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07084F" w14:textId="24D2F6D3" w:rsidR="00E778C1" w:rsidRPr="00E778C1" w:rsidRDefault="00E778C1" w:rsidP="00E778C1">
      <w:pPr>
        <w:jc w:val="left"/>
        <w:rPr>
          <w:b/>
        </w:rPr>
      </w:pPr>
    </w:p>
    <w:p w14:paraId="32D666C9" w14:textId="1605DD5B" w:rsidR="00E778C1" w:rsidRPr="00E778C1" w:rsidRDefault="008C3150" w:rsidP="00E778C1">
      <w:pPr>
        <w:jc w:val="center"/>
        <w:rPr>
          <w:rFonts w:eastAsia="Calibri" w:cs="Times New Roman"/>
          <w:b/>
          <w:color w:val="808080"/>
          <w:sz w:val="50"/>
          <w:szCs w:val="50"/>
        </w:rPr>
      </w:pPr>
      <w:r>
        <w:rPr>
          <w:rFonts w:eastAsia="Calibri" w:cs="Times New Roman"/>
          <w:b/>
          <w:color w:val="808080"/>
          <w:sz w:val="50"/>
          <w:szCs w:val="50"/>
        </w:rPr>
        <w:t>MUNICIPALIDAD DE BUENOS AIRES</w:t>
      </w:r>
    </w:p>
    <w:p w14:paraId="66320DAD" w14:textId="77777777" w:rsidR="00E778C1" w:rsidRPr="00E778C1" w:rsidRDefault="00E778C1" w:rsidP="00E778C1">
      <w:pPr>
        <w:jc w:val="left"/>
      </w:pPr>
    </w:p>
    <w:p w14:paraId="29438BD4" w14:textId="77777777" w:rsidR="00E778C1" w:rsidRPr="00E778C1" w:rsidRDefault="00E778C1" w:rsidP="00E778C1">
      <w:pPr>
        <w:jc w:val="left"/>
      </w:pPr>
    </w:p>
    <w:p w14:paraId="0DF7C05A" w14:textId="77777777" w:rsidR="00E778C1" w:rsidRPr="00E778C1" w:rsidRDefault="00E778C1" w:rsidP="00E778C1">
      <w:pPr>
        <w:jc w:val="left"/>
      </w:pPr>
    </w:p>
    <w:p w14:paraId="749AFAE2" w14:textId="77777777" w:rsidR="00E778C1" w:rsidRPr="00E778C1" w:rsidRDefault="00E778C1" w:rsidP="00E778C1">
      <w:pPr>
        <w:jc w:val="left"/>
      </w:pPr>
    </w:p>
    <w:p w14:paraId="7897A729" w14:textId="12A07EB4" w:rsidR="00E778C1" w:rsidRPr="00E778C1" w:rsidRDefault="00E778C1" w:rsidP="00E778C1">
      <w:pPr>
        <w:jc w:val="center"/>
        <w:rPr>
          <w:rFonts w:eastAsia="Calibri" w:cs="Times New Roman"/>
          <w:b/>
          <w:color w:val="808080"/>
          <w:sz w:val="50"/>
          <w:szCs w:val="50"/>
        </w:rPr>
      </w:pPr>
      <w:r w:rsidRPr="00E778C1">
        <w:rPr>
          <w:rFonts w:eastAsia="Calibri" w:cs="Times New Roman"/>
          <w:b/>
          <w:color w:val="808080"/>
          <w:sz w:val="50"/>
          <w:szCs w:val="50"/>
        </w:rPr>
        <w:t xml:space="preserve">NOTAS CONTABLES ESTADOS FINANCIEROS </w:t>
      </w:r>
      <w:r w:rsidR="00D470B6">
        <w:rPr>
          <w:rFonts w:eastAsia="Calibri" w:cs="Times New Roman"/>
          <w:b/>
          <w:color w:val="808080"/>
          <w:sz w:val="50"/>
          <w:szCs w:val="50"/>
        </w:rPr>
        <w:t>JUNIO</w:t>
      </w:r>
      <w:r w:rsidRPr="00E778C1">
        <w:rPr>
          <w:rFonts w:eastAsia="Calibri" w:cs="Times New Roman"/>
          <w:b/>
          <w:color w:val="808080"/>
          <w:sz w:val="50"/>
          <w:szCs w:val="50"/>
        </w:rPr>
        <w:t xml:space="preserve"> 202</w:t>
      </w:r>
      <w:r w:rsidR="006C732B">
        <w:rPr>
          <w:rFonts w:eastAsia="Calibri" w:cs="Times New Roman"/>
          <w:b/>
          <w:color w:val="808080"/>
          <w:sz w:val="50"/>
          <w:szCs w:val="50"/>
        </w:rPr>
        <w:t>4</w:t>
      </w:r>
    </w:p>
    <w:p w14:paraId="6CF4C1DC" w14:textId="77777777" w:rsidR="00E778C1" w:rsidRPr="00E778C1" w:rsidRDefault="00E778C1" w:rsidP="00E778C1">
      <w:pPr>
        <w:jc w:val="left"/>
      </w:pPr>
    </w:p>
    <w:p w14:paraId="04BDF968" w14:textId="77777777" w:rsidR="00E778C1" w:rsidRPr="00E778C1" w:rsidRDefault="00E778C1" w:rsidP="00E778C1">
      <w:pPr>
        <w:jc w:val="left"/>
      </w:pPr>
    </w:p>
    <w:p w14:paraId="0715AE3A" w14:textId="77777777" w:rsidR="00E778C1" w:rsidRPr="00E778C1" w:rsidRDefault="00E778C1" w:rsidP="00E778C1">
      <w:pPr>
        <w:jc w:val="left"/>
      </w:pPr>
    </w:p>
    <w:p w14:paraId="7195B921" w14:textId="77777777" w:rsidR="00E778C1" w:rsidRPr="00E778C1" w:rsidRDefault="00E778C1" w:rsidP="00E778C1">
      <w:pPr>
        <w:jc w:val="left"/>
      </w:pPr>
    </w:p>
    <w:p w14:paraId="17EC13F0" w14:textId="77777777" w:rsidR="00E778C1" w:rsidRPr="00E778C1" w:rsidRDefault="00E778C1" w:rsidP="00E778C1">
      <w:pPr>
        <w:jc w:val="left"/>
      </w:pPr>
    </w:p>
    <w:p w14:paraId="56C595DC" w14:textId="77777777" w:rsidR="00E778C1" w:rsidRPr="00E778C1" w:rsidRDefault="00E778C1" w:rsidP="00E778C1">
      <w:pPr>
        <w:jc w:val="left"/>
      </w:pPr>
    </w:p>
    <w:p w14:paraId="7512F12F" w14:textId="77777777" w:rsidR="00E778C1" w:rsidRPr="00E778C1" w:rsidRDefault="00E778C1" w:rsidP="00E778C1">
      <w:pPr>
        <w:jc w:val="left"/>
      </w:pPr>
    </w:p>
    <w:p w14:paraId="72BB973A" w14:textId="77777777" w:rsidR="00E778C1" w:rsidRPr="00E778C1" w:rsidRDefault="00E778C1" w:rsidP="00E778C1">
      <w:pPr>
        <w:jc w:val="left"/>
      </w:pPr>
    </w:p>
    <w:p w14:paraId="21A56F5A" w14:textId="77777777" w:rsidR="00E778C1" w:rsidRPr="00E778C1" w:rsidRDefault="00E778C1" w:rsidP="00E778C1">
      <w:pPr>
        <w:jc w:val="left"/>
      </w:pPr>
    </w:p>
    <w:p w14:paraId="62AD9D18" w14:textId="77777777" w:rsidR="00E778C1" w:rsidRPr="00E778C1" w:rsidRDefault="00E778C1" w:rsidP="00E778C1">
      <w:pPr>
        <w:jc w:val="left"/>
      </w:pPr>
    </w:p>
    <w:p w14:paraId="397093E9" w14:textId="77777777" w:rsidR="00E778C1" w:rsidRPr="00E778C1" w:rsidRDefault="00E778C1" w:rsidP="00E778C1">
      <w:pPr>
        <w:jc w:val="left"/>
      </w:pPr>
    </w:p>
    <w:p w14:paraId="3E327AC9" w14:textId="5CE7B3E4" w:rsidR="004B7D88" w:rsidRPr="0045072A" w:rsidRDefault="00D470B6" w:rsidP="0045072A">
      <w:pPr>
        <w:jc w:val="center"/>
        <w:rPr>
          <w:rFonts w:eastAsia="Calibri" w:cs="Times New Roman"/>
          <w:color w:val="808080"/>
          <w:sz w:val="40"/>
          <w:szCs w:val="40"/>
        </w:rPr>
      </w:pPr>
      <w:r>
        <w:rPr>
          <w:rFonts w:eastAsia="Calibri" w:cs="Times New Roman"/>
          <w:color w:val="808080"/>
          <w:sz w:val="40"/>
          <w:szCs w:val="40"/>
        </w:rPr>
        <w:t>JUNIO</w:t>
      </w:r>
      <w:r w:rsidR="00E778C1" w:rsidRPr="00E778C1">
        <w:rPr>
          <w:rFonts w:eastAsia="Calibri" w:cs="Times New Roman"/>
          <w:color w:val="808080"/>
          <w:sz w:val="40"/>
          <w:szCs w:val="40"/>
        </w:rPr>
        <w:t>, 202</w:t>
      </w:r>
      <w:r w:rsidR="006C732B">
        <w:rPr>
          <w:rFonts w:eastAsia="Calibri" w:cs="Times New Roman"/>
          <w:color w:val="808080"/>
          <w:sz w:val="40"/>
          <w:szCs w:val="40"/>
        </w:rPr>
        <w:t>4</w:t>
      </w:r>
    </w:p>
    <w:p w14:paraId="62F39ED6" w14:textId="3795B714" w:rsidR="00E778C1" w:rsidRPr="00E778C1" w:rsidRDefault="00E778C1">
      <w:pPr>
        <w:rPr>
          <w:sz w:val="28"/>
        </w:rPr>
      </w:pPr>
      <w:r w:rsidRPr="00E778C1">
        <w:rPr>
          <w:sz w:val="28"/>
        </w:rPr>
        <w:lastRenderedPageBreak/>
        <w:t>TABLA DE CONTENIDO</w:t>
      </w:r>
    </w:p>
    <w:p w14:paraId="1111E63E" w14:textId="02EABED7" w:rsidR="0068177A" w:rsidRDefault="002C4091">
      <w:pPr>
        <w:pStyle w:val="TDC1"/>
        <w:tabs>
          <w:tab w:val="right" w:leader="dot" w:pos="8779"/>
        </w:tabs>
        <w:rPr>
          <w:rFonts w:asciiTheme="minorHAnsi" w:eastAsiaTheme="minorEastAsia" w:hAnsiTheme="minorHAnsi"/>
          <w:b w:val="0"/>
          <w:bCs w:val="0"/>
          <w:caps w:val="0"/>
          <w:noProof/>
          <w:kern w:val="2"/>
          <w:lang w:val="en-US"/>
          <w14:ligatures w14:val="standardContextual"/>
        </w:rPr>
      </w:pPr>
      <w:r w:rsidRPr="00874E06">
        <w:rPr>
          <w:rFonts w:ascii="Arial Narrow" w:hAnsi="Arial Narrow"/>
          <w:sz w:val="22"/>
          <w:szCs w:val="22"/>
        </w:rPr>
        <w:fldChar w:fldCharType="begin"/>
      </w:r>
      <w:r w:rsidRPr="00874E06">
        <w:rPr>
          <w:rFonts w:ascii="Arial Narrow" w:hAnsi="Arial Narrow"/>
          <w:sz w:val="22"/>
          <w:szCs w:val="22"/>
        </w:rPr>
        <w:instrText xml:space="preserve"> TOC \o "1-4" \h \z \u </w:instrText>
      </w:r>
      <w:r w:rsidRPr="00874E06">
        <w:rPr>
          <w:rFonts w:ascii="Arial Narrow" w:hAnsi="Arial Narrow"/>
          <w:sz w:val="22"/>
          <w:szCs w:val="22"/>
        </w:rPr>
        <w:fldChar w:fldCharType="separate"/>
      </w:r>
      <w:hyperlink w:anchor="_Toc173245174" w:history="1">
        <w:r w:rsidR="0068177A" w:rsidRPr="000D28E7">
          <w:rPr>
            <w:rStyle w:val="Hipervnculo"/>
            <w:noProof/>
          </w:rPr>
          <w:t>Periodo Contable 2024</w:t>
        </w:r>
        <w:r w:rsidR="0068177A">
          <w:rPr>
            <w:noProof/>
            <w:webHidden/>
          </w:rPr>
          <w:tab/>
        </w:r>
        <w:r w:rsidR="0068177A">
          <w:rPr>
            <w:noProof/>
            <w:webHidden/>
          </w:rPr>
          <w:fldChar w:fldCharType="begin"/>
        </w:r>
        <w:r w:rsidR="0068177A">
          <w:rPr>
            <w:noProof/>
            <w:webHidden/>
          </w:rPr>
          <w:instrText xml:space="preserve"> PAGEREF _Toc173245174 \h </w:instrText>
        </w:r>
        <w:r w:rsidR="0068177A">
          <w:rPr>
            <w:noProof/>
            <w:webHidden/>
          </w:rPr>
        </w:r>
        <w:r w:rsidR="0068177A">
          <w:rPr>
            <w:noProof/>
            <w:webHidden/>
          </w:rPr>
          <w:fldChar w:fldCharType="separate"/>
        </w:r>
        <w:r w:rsidR="0023515C">
          <w:rPr>
            <w:noProof/>
            <w:webHidden/>
          </w:rPr>
          <w:t>9</w:t>
        </w:r>
        <w:r w:rsidR="0068177A">
          <w:rPr>
            <w:noProof/>
            <w:webHidden/>
          </w:rPr>
          <w:fldChar w:fldCharType="end"/>
        </w:r>
      </w:hyperlink>
    </w:p>
    <w:p w14:paraId="76BA9CA1" w14:textId="0C7D500C" w:rsidR="0068177A" w:rsidRDefault="00764935">
      <w:pPr>
        <w:pStyle w:val="TDC1"/>
        <w:tabs>
          <w:tab w:val="right" w:leader="dot" w:pos="8779"/>
        </w:tabs>
        <w:rPr>
          <w:rFonts w:asciiTheme="minorHAnsi" w:eastAsiaTheme="minorEastAsia" w:hAnsiTheme="minorHAnsi"/>
          <w:b w:val="0"/>
          <w:bCs w:val="0"/>
          <w:caps w:val="0"/>
          <w:noProof/>
          <w:kern w:val="2"/>
          <w:lang w:val="en-US"/>
          <w14:ligatures w14:val="standardContextual"/>
        </w:rPr>
      </w:pPr>
      <w:hyperlink w:anchor="_Toc173245175" w:history="1">
        <w:r w:rsidR="0068177A" w:rsidRPr="000D28E7">
          <w:rPr>
            <w:rStyle w:val="Hipervnculo"/>
            <w:noProof/>
          </w:rPr>
          <w:t>NOTAS NORMAS INTERNACIONALES DE CONTABILIDAD PARA EL SECTOR PUBLICO COSTARRICENSE</w:t>
        </w:r>
        <w:r w:rsidR="0068177A">
          <w:rPr>
            <w:noProof/>
            <w:webHidden/>
          </w:rPr>
          <w:tab/>
        </w:r>
        <w:r w:rsidR="0068177A">
          <w:rPr>
            <w:noProof/>
            <w:webHidden/>
          </w:rPr>
          <w:fldChar w:fldCharType="begin"/>
        </w:r>
        <w:r w:rsidR="0068177A">
          <w:rPr>
            <w:noProof/>
            <w:webHidden/>
          </w:rPr>
          <w:instrText xml:space="preserve"> PAGEREF _Toc173245175 \h </w:instrText>
        </w:r>
        <w:r w:rsidR="0068177A">
          <w:rPr>
            <w:noProof/>
            <w:webHidden/>
          </w:rPr>
        </w:r>
        <w:r w:rsidR="0068177A">
          <w:rPr>
            <w:noProof/>
            <w:webHidden/>
          </w:rPr>
          <w:fldChar w:fldCharType="separate"/>
        </w:r>
        <w:r w:rsidR="0023515C">
          <w:rPr>
            <w:noProof/>
            <w:webHidden/>
          </w:rPr>
          <w:t>11</w:t>
        </w:r>
        <w:r w:rsidR="0068177A">
          <w:rPr>
            <w:noProof/>
            <w:webHidden/>
          </w:rPr>
          <w:fldChar w:fldCharType="end"/>
        </w:r>
      </w:hyperlink>
    </w:p>
    <w:p w14:paraId="7017D0F5" w14:textId="175A6674" w:rsidR="0068177A" w:rsidRDefault="00764935">
      <w:pPr>
        <w:pStyle w:val="TDC2"/>
        <w:tabs>
          <w:tab w:val="right" w:leader="dot" w:pos="8779"/>
        </w:tabs>
        <w:rPr>
          <w:rFonts w:eastAsiaTheme="minorEastAsia" w:cstheme="minorBidi"/>
          <w:b w:val="0"/>
          <w:bCs w:val="0"/>
          <w:noProof/>
          <w:kern w:val="2"/>
          <w:sz w:val="24"/>
          <w:szCs w:val="24"/>
          <w:lang w:val="en-US"/>
          <w14:ligatures w14:val="standardContextual"/>
        </w:rPr>
      </w:pPr>
      <w:hyperlink w:anchor="_Toc173245176" w:history="1">
        <w:r w:rsidR="0068177A" w:rsidRPr="000D28E7">
          <w:rPr>
            <w:rStyle w:val="Hipervnculo"/>
            <w:noProof/>
          </w:rPr>
          <w:t>DECLARACIÓN DE CUMPLIMIENTO</w:t>
        </w:r>
        <w:r w:rsidR="0068177A">
          <w:rPr>
            <w:noProof/>
            <w:webHidden/>
          </w:rPr>
          <w:tab/>
        </w:r>
        <w:r w:rsidR="0068177A">
          <w:rPr>
            <w:noProof/>
            <w:webHidden/>
          </w:rPr>
          <w:fldChar w:fldCharType="begin"/>
        </w:r>
        <w:r w:rsidR="0068177A">
          <w:rPr>
            <w:noProof/>
            <w:webHidden/>
          </w:rPr>
          <w:instrText xml:space="preserve"> PAGEREF _Toc173245176 \h </w:instrText>
        </w:r>
        <w:r w:rsidR="0068177A">
          <w:rPr>
            <w:noProof/>
            <w:webHidden/>
          </w:rPr>
        </w:r>
        <w:r w:rsidR="0068177A">
          <w:rPr>
            <w:noProof/>
            <w:webHidden/>
          </w:rPr>
          <w:fldChar w:fldCharType="separate"/>
        </w:r>
        <w:r w:rsidR="0023515C">
          <w:rPr>
            <w:noProof/>
            <w:webHidden/>
          </w:rPr>
          <w:t>11</w:t>
        </w:r>
        <w:r w:rsidR="0068177A">
          <w:rPr>
            <w:noProof/>
            <w:webHidden/>
          </w:rPr>
          <w:fldChar w:fldCharType="end"/>
        </w:r>
      </w:hyperlink>
    </w:p>
    <w:p w14:paraId="5CB84C9A" w14:textId="1B3E61A4" w:rsidR="0068177A" w:rsidRDefault="00764935">
      <w:pPr>
        <w:pStyle w:val="TDC2"/>
        <w:tabs>
          <w:tab w:val="right" w:leader="dot" w:pos="8779"/>
        </w:tabs>
        <w:rPr>
          <w:rFonts w:eastAsiaTheme="minorEastAsia" w:cstheme="minorBidi"/>
          <w:b w:val="0"/>
          <w:bCs w:val="0"/>
          <w:noProof/>
          <w:kern w:val="2"/>
          <w:sz w:val="24"/>
          <w:szCs w:val="24"/>
          <w:lang w:val="en-US"/>
          <w14:ligatures w14:val="standardContextual"/>
        </w:rPr>
      </w:pPr>
      <w:hyperlink w:anchor="_Toc173245177" w:history="1">
        <w:r w:rsidR="0068177A" w:rsidRPr="000D28E7">
          <w:rPr>
            <w:rStyle w:val="Hipervnculo"/>
            <w:noProof/>
          </w:rPr>
          <w:t>CERTIFICACIÓN COMISIÓN DE NICSP INSTITUCIONAL</w:t>
        </w:r>
        <w:r w:rsidR="0068177A">
          <w:rPr>
            <w:noProof/>
            <w:webHidden/>
          </w:rPr>
          <w:tab/>
        </w:r>
        <w:r w:rsidR="0068177A">
          <w:rPr>
            <w:noProof/>
            <w:webHidden/>
          </w:rPr>
          <w:fldChar w:fldCharType="begin"/>
        </w:r>
        <w:r w:rsidR="0068177A">
          <w:rPr>
            <w:noProof/>
            <w:webHidden/>
          </w:rPr>
          <w:instrText xml:space="preserve"> PAGEREF _Toc173245177 \h </w:instrText>
        </w:r>
        <w:r w:rsidR="0068177A">
          <w:rPr>
            <w:noProof/>
            <w:webHidden/>
          </w:rPr>
        </w:r>
        <w:r w:rsidR="0068177A">
          <w:rPr>
            <w:noProof/>
            <w:webHidden/>
          </w:rPr>
          <w:fldChar w:fldCharType="separate"/>
        </w:r>
        <w:r w:rsidR="0023515C">
          <w:rPr>
            <w:noProof/>
            <w:webHidden/>
          </w:rPr>
          <w:t>12</w:t>
        </w:r>
        <w:r w:rsidR="0068177A">
          <w:rPr>
            <w:noProof/>
            <w:webHidden/>
          </w:rPr>
          <w:fldChar w:fldCharType="end"/>
        </w:r>
      </w:hyperlink>
    </w:p>
    <w:p w14:paraId="255F84B1" w14:textId="50D1F4BA" w:rsidR="0068177A" w:rsidRDefault="00764935">
      <w:pPr>
        <w:pStyle w:val="TDC4"/>
        <w:tabs>
          <w:tab w:val="left" w:pos="960"/>
          <w:tab w:val="right" w:leader="dot" w:pos="8779"/>
        </w:tabs>
        <w:rPr>
          <w:rFonts w:eastAsiaTheme="minorEastAsia" w:cstheme="minorBidi"/>
          <w:noProof/>
          <w:kern w:val="2"/>
          <w:sz w:val="24"/>
          <w:szCs w:val="24"/>
          <w:lang w:val="en-US"/>
          <w14:ligatures w14:val="standardContextual"/>
        </w:rPr>
      </w:pPr>
      <w:hyperlink w:anchor="_Toc173245178" w:history="1">
        <w:r w:rsidR="0068177A" w:rsidRPr="000D28E7">
          <w:rPr>
            <w:rStyle w:val="Hipervnculo"/>
            <w:noProof/>
          </w:rPr>
          <w:t>I-</w:t>
        </w:r>
        <w:r w:rsidR="0068177A">
          <w:rPr>
            <w:rFonts w:eastAsiaTheme="minorEastAsia" w:cstheme="minorBidi"/>
            <w:noProof/>
            <w:kern w:val="2"/>
            <w:sz w:val="24"/>
            <w:szCs w:val="24"/>
            <w:lang w:val="en-US"/>
            <w14:ligatures w14:val="standardContextual"/>
          </w:rPr>
          <w:tab/>
        </w:r>
        <w:r w:rsidR="0068177A" w:rsidRPr="000D28E7">
          <w:rPr>
            <w:rStyle w:val="Hipervnculo"/>
            <w:noProof/>
          </w:rPr>
          <w:t>Cuadro Resumen- Normativa Contable</w:t>
        </w:r>
        <w:r w:rsidR="0068177A">
          <w:rPr>
            <w:noProof/>
            <w:webHidden/>
          </w:rPr>
          <w:tab/>
        </w:r>
        <w:r w:rsidR="0068177A">
          <w:rPr>
            <w:noProof/>
            <w:webHidden/>
          </w:rPr>
          <w:fldChar w:fldCharType="begin"/>
        </w:r>
        <w:r w:rsidR="0068177A">
          <w:rPr>
            <w:noProof/>
            <w:webHidden/>
          </w:rPr>
          <w:instrText xml:space="preserve"> PAGEREF _Toc173245178 \h </w:instrText>
        </w:r>
        <w:r w:rsidR="0068177A">
          <w:rPr>
            <w:noProof/>
            <w:webHidden/>
          </w:rPr>
        </w:r>
        <w:r w:rsidR="0068177A">
          <w:rPr>
            <w:noProof/>
            <w:webHidden/>
          </w:rPr>
          <w:fldChar w:fldCharType="separate"/>
        </w:r>
        <w:r w:rsidR="0023515C">
          <w:rPr>
            <w:noProof/>
            <w:webHidden/>
          </w:rPr>
          <w:t>13</w:t>
        </w:r>
        <w:r w:rsidR="0068177A">
          <w:rPr>
            <w:noProof/>
            <w:webHidden/>
          </w:rPr>
          <w:fldChar w:fldCharType="end"/>
        </w:r>
      </w:hyperlink>
    </w:p>
    <w:p w14:paraId="5C723E7C" w14:textId="05BC3DEF" w:rsidR="0068177A" w:rsidRDefault="00764935">
      <w:pPr>
        <w:pStyle w:val="TDC4"/>
        <w:tabs>
          <w:tab w:val="left" w:pos="960"/>
          <w:tab w:val="right" w:leader="dot" w:pos="8779"/>
        </w:tabs>
        <w:rPr>
          <w:rFonts w:eastAsiaTheme="minorEastAsia" w:cstheme="minorBidi"/>
          <w:noProof/>
          <w:kern w:val="2"/>
          <w:sz w:val="24"/>
          <w:szCs w:val="24"/>
          <w:lang w:val="en-US"/>
          <w14:ligatures w14:val="standardContextual"/>
        </w:rPr>
      </w:pPr>
      <w:hyperlink w:anchor="_Toc173245179" w:history="1">
        <w:r w:rsidR="0068177A" w:rsidRPr="000D28E7">
          <w:rPr>
            <w:rStyle w:val="Hipervnculo"/>
            <w:noProof/>
          </w:rPr>
          <w:t>II-</w:t>
        </w:r>
        <w:r w:rsidR="0068177A">
          <w:rPr>
            <w:rFonts w:eastAsiaTheme="minorEastAsia" w:cstheme="minorBidi"/>
            <w:noProof/>
            <w:kern w:val="2"/>
            <w:sz w:val="24"/>
            <w:szCs w:val="24"/>
            <w:lang w:val="en-US"/>
            <w14:ligatures w14:val="standardContextual"/>
          </w:rPr>
          <w:tab/>
        </w:r>
        <w:r w:rsidR="0068177A" w:rsidRPr="000D28E7">
          <w:rPr>
            <w:rStyle w:val="Hipervnculo"/>
            <w:noProof/>
          </w:rPr>
          <w:t>Transitorios</w:t>
        </w:r>
        <w:r w:rsidR="0068177A">
          <w:rPr>
            <w:noProof/>
            <w:webHidden/>
          </w:rPr>
          <w:tab/>
        </w:r>
        <w:r w:rsidR="0068177A">
          <w:rPr>
            <w:noProof/>
            <w:webHidden/>
          </w:rPr>
          <w:fldChar w:fldCharType="begin"/>
        </w:r>
        <w:r w:rsidR="0068177A">
          <w:rPr>
            <w:noProof/>
            <w:webHidden/>
          </w:rPr>
          <w:instrText xml:space="preserve"> PAGEREF _Toc173245179 \h </w:instrText>
        </w:r>
        <w:r w:rsidR="0068177A">
          <w:rPr>
            <w:noProof/>
            <w:webHidden/>
          </w:rPr>
        </w:r>
        <w:r w:rsidR="0068177A">
          <w:rPr>
            <w:noProof/>
            <w:webHidden/>
          </w:rPr>
          <w:fldChar w:fldCharType="separate"/>
        </w:r>
        <w:r w:rsidR="0023515C">
          <w:rPr>
            <w:noProof/>
            <w:webHidden/>
          </w:rPr>
          <w:t>13</w:t>
        </w:r>
        <w:r w:rsidR="0068177A">
          <w:rPr>
            <w:noProof/>
            <w:webHidden/>
          </w:rPr>
          <w:fldChar w:fldCharType="end"/>
        </w:r>
      </w:hyperlink>
    </w:p>
    <w:p w14:paraId="25D40021" w14:textId="2B8CDB80" w:rsidR="0068177A" w:rsidRDefault="00764935">
      <w:pPr>
        <w:pStyle w:val="TDC3"/>
        <w:tabs>
          <w:tab w:val="right" w:leader="dot" w:pos="8779"/>
        </w:tabs>
        <w:rPr>
          <w:rFonts w:eastAsiaTheme="minorEastAsia" w:cstheme="minorBidi"/>
          <w:noProof/>
          <w:kern w:val="2"/>
          <w:sz w:val="24"/>
          <w:szCs w:val="24"/>
          <w:lang w:val="en-US"/>
          <w14:ligatures w14:val="standardContextual"/>
        </w:rPr>
      </w:pPr>
      <w:hyperlink w:anchor="_Toc173245180" w:history="1">
        <w:r w:rsidR="0068177A" w:rsidRPr="000D28E7">
          <w:rPr>
            <w:rStyle w:val="Hipervnculo"/>
            <w:rFonts w:eastAsia="Calibri"/>
            <w:noProof/>
          </w:rPr>
          <w:t>Base de Medición</w:t>
        </w:r>
        <w:r w:rsidR="0068177A">
          <w:rPr>
            <w:noProof/>
            <w:webHidden/>
          </w:rPr>
          <w:tab/>
        </w:r>
        <w:r w:rsidR="0068177A">
          <w:rPr>
            <w:noProof/>
            <w:webHidden/>
          </w:rPr>
          <w:fldChar w:fldCharType="begin"/>
        </w:r>
        <w:r w:rsidR="0068177A">
          <w:rPr>
            <w:noProof/>
            <w:webHidden/>
          </w:rPr>
          <w:instrText xml:space="preserve"> PAGEREF _Toc173245180 \h </w:instrText>
        </w:r>
        <w:r w:rsidR="0068177A">
          <w:rPr>
            <w:noProof/>
            <w:webHidden/>
          </w:rPr>
        </w:r>
        <w:r w:rsidR="0068177A">
          <w:rPr>
            <w:noProof/>
            <w:webHidden/>
          </w:rPr>
          <w:fldChar w:fldCharType="separate"/>
        </w:r>
        <w:r w:rsidR="0023515C">
          <w:rPr>
            <w:noProof/>
            <w:webHidden/>
          </w:rPr>
          <w:t>15</w:t>
        </w:r>
        <w:r w:rsidR="0068177A">
          <w:rPr>
            <w:noProof/>
            <w:webHidden/>
          </w:rPr>
          <w:fldChar w:fldCharType="end"/>
        </w:r>
      </w:hyperlink>
    </w:p>
    <w:p w14:paraId="5115A6BD" w14:textId="495F2B5B" w:rsidR="0068177A" w:rsidRDefault="00764935">
      <w:pPr>
        <w:pStyle w:val="TDC3"/>
        <w:tabs>
          <w:tab w:val="right" w:leader="dot" w:pos="8779"/>
        </w:tabs>
        <w:rPr>
          <w:rFonts w:eastAsiaTheme="minorEastAsia" w:cstheme="minorBidi"/>
          <w:noProof/>
          <w:kern w:val="2"/>
          <w:sz w:val="24"/>
          <w:szCs w:val="24"/>
          <w:lang w:val="en-US"/>
          <w14:ligatures w14:val="standardContextual"/>
        </w:rPr>
      </w:pPr>
      <w:hyperlink w:anchor="_Toc173245181" w:history="1">
        <w:r w:rsidR="0068177A" w:rsidRPr="000D28E7">
          <w:rPr>
            <w:rStyle w:val="Hipervnculo"/>
            <w:noProof/>
          </w:rPr>
          <w:t>Moneda Funcional y de Presentación</w:t>
        </w:r>
        <w:r w:rsidR="0068177A">
          <w:rPr>
            <w:noProof/>
            <w:webHidden/>
          </w:rPr>
          <w:tab/>
        </w:r>
        <w:r w:rsidR="0068177A">
          <w:rPr>
            <w:noProof/>
            <w:webHidden/>
          </w:rPr>
          <w:fldChar w:fldCharType="begin"/>
        </w:r>
        <w:r w:rsidR="0068177A">
          <w:rPr>
            <w:noProof/>
            <w:webHidden/>
          </w:rPr>
          <w:instrText xml:space="preserve"> PAGEREF _Toc173245181 \h </w:instrText>
        </w:r>
        <w:r w:rsidR="0068177A">
          <w:rPr>
            <w:noProof/>
            <w:webHidden/>
          </w:rPr>
        </w:r>
        <w:r w:rsidR="0068177A">
          <w:rPr>
            <w:noProof/>
            <w:webHidden/>
          </w:rPr>
          <w:fldChar w:fldCharType="separate"/>
        </w:r>
        <w:r w:rsidR="0023515C">
          <w:rPr>
            <w:noProof/>
            <w:webHidden/>
          </w:rPr>
          <w:t>16</w:t>
        </w:r>
        <w:r w:rsidR="0068177A">
          <w:rPr>
            <w:noProof/>
            <w:webHidden/>
          </w:rPr>
          <w:fldChar w:fldCharType="end"/>
        </w:r>
      </w:hyperlink>
    </w:p>
    <w:p w14:paraId="46AA75B4" w14:textId="588B173F" w:rsidR="0068177A" w:rsidRDefault="00764935">
      <w:pPr>
        <w:pStyle w:val="TDC3"/>
        <w:tabs>
          <w:tab w:val="right" w:leader="dot" w:pos="8779"/>
        </w:tabs>
        <w:rPr>
          <w:rFonts w:eastAsiaTheme="minorEastAsia" w:cstheme="minorBidi"/>
          <w:noProof/>
          <w:kern w:val="2"/>
          <w:sz w:val="24"/>
          <w:szCs w:val="24"/>
          <w:lang w:val="en-US"/>
          <w14:ligatures w14:val="standardContextual"/>
        </w:rPr>
      </w:pPr>
      <w:hyperlink w:anchor="_Toc173245182" w:history="1">
        <w:r w:rsidR="0068177A" w:rsidRPr="000D28E7">
          <w:rPr>
            <w:rStyle w:val="Hipervnculo"/>
            <w:rFonts w:eastAsia="Calibri"/>
            <w:noProof/>
          </w:rPr>
          <w:t>Políticas Contables:</w:t>
        </w:r>
        <w:r w:rsidR="0068177A">
          <w:rPr>
            <w:noProof/>
            <w:webHidden/>
          </w:rPr>
          <w:tab/>
        </w:r>
        <w:r w:rsidR="0068177A">
          <w:rPr>
            <w:noProof/>
            <w:webHidden/>
          </w:rPr>
          <w:fldChar w:fldCharType="begin"/>
        </w:r>
        <w:r w:rsidR="0068177A">
          <w:rPr>
            <w:noProof/>
            <w:webHidden/>
          </w:rPr>
          <w:instrText xml:space="preserve"> PAGEREF _Toc173245182 \h </w:instrText>
        </w:r>
        <w:r w:rsidR="0068177A">
          <w:rPr>
            <w:noProof/>
            <w:webHidden/>
          </w:rPr>
        </w:r>
        <w:r w:rsidR="0068177A">
          <w:rPr>
            <w:noProof/>
            <w:webHidden/>
          </w:rPr>
          <w:fldChar w:fldCharType="separate"/>
        </w:r>
        <w:r w:rsidR="0023515C">
          <w:rPr>
            <w:noProof/>
            <w:webHidden/>
          </w:rPr>
          <w:t>16</w:t>
        </w:r>
        <w:r w:rsidR="0068177A">
          <w:rPr>
            <w:noProof/>
            <w:webHidden/>
          </w:rPr>
          <w:fldChar w:fldCharType="end"/>
        </w:r>
      </w:hyperlink>
    </w:p>
    <w:p w14:paraId="14725A74" w14:textId="22DA5ACD" w:rsidR="0068177A" w:rsidRDefault="00764935">
      <w:pPr>
        <w:pStyle w:val="TDC2"/>
        <w:tabs>
          <w:tab w:val="right" w:leader="dot" w:pos="8779"/>
        </w:tabs>
        <w:rPr>
          <w:rFonts w:eastAsiaTheme="minorEastAsia" w:cstheme="minorBidi"/>
          <w:b w:val="0"/>
          <w:bCs w:val="0"/>
          <w:noProof/>
          <w:kern w:val="2"/>
          <w:sz w:val="24"/>
          <w:szCs w:val="24"/>
          <w:lang w:val="en-US"/>
          <w14:ligatures w14:val="standardContextual"/>
        </w:rPr>
      </w:pPr>
      <w:hyperlink w:anchor="_Toc173245183" w:history="1">
        <w:r w:rsidR="0068177A" w:rsidRPr="000D28E7">
          <w:rPr>
            <w:rStyle w:val="Hipervnculo"/>
            <w:rFonts w:eastAsia="Times New Roman"/>
            <w:noProof/>
            <w:lang w:eastAsia="es-CR"/>
          </w:rPr>
          <w:t>CERTIFICACIÓN POLITICAS CONTABLES</w:t>
        </w:r>
        <w:r w:rsidR="0068177A">
          <w:rPr>
            <w:noProof/>
            <w:webHidden/>
          </w:rPr>
          <w:tab/>
        </w:r>
        <w:r w:rsidR="0068177A">
          <w:rPr>
            <w:noProof/>
            <w:webHidden/>
          </w:rPr>
          <w:fldChar w:fldCharType="begin"/>
        </w:r>
        <w:r w:rsidR="0068177A">
          <w:rPr>
            <w:noProof/>
            <w:webHidden/>
          </w:rPr>
          <w:instrText xml:space="preserve"> PAGEREF _Toc173245183 \h </w:instrText>
        </w:r>
        <w:r w:rsidR="0068177A">
          <w:rPr>
            <w:noProof/>
            <w:webHidden/>
          </w:rPr>
        </w:r>
        <w:r w:rsidR="0068177A">
          <w:rPr>
            <w:noProof/>
            <w:webHidden/>
          </w:rPr>
          <w:fldChar w:fldCharType="separate"/>
        </w:r>
        <w:r w:rsidR="0023515C">
          <w:rPr>
            <w:noProof/>
            <w:webHidden/>
          </w:rPr>
          <w:t>17</w:t>
        </w:r>
        <w:r w:rsidR="0068177A">
          <w:rPr>
            <w:noProof/>
            <w:webHidden/>
          </w:rPr>
          <w:fldChar w:fldCharType="end"/>
        </w:r>
      </w:hyperlink>
    </w:p>
    <w:p w14:paraId="0204C260" w14:textId="250935F3" w:rsidR="0068177A" w:rsidRDefault="00764935">
      <w:pPr>
        <w:pStyle w:val="TDC2"/>
        <w:tabs>
          <w:tab w:val="right" w:leader="dot" w:pos="8779"/>
        </w:tabs>
        <w:rPr>
          <w:rFonts w:eastAsiaTheme="minorEastAsia" w:cstheme="minorBidi"/>
          <w:b w:val="0"/>
          <w:bCs w:val="0"/>
          <w:noProof/>
          <w:kern w:val="2"/>
          <w:sz w:val="24"/>
          <w:szCs w:val="24"/>
          <w:lang w:val="en-US"/>
          <w14:ligatures w14:val="standardContextual"/>
        </w:rPr>
      </w:pPr>
      <w:hyperlink w:anchor="_Toc173245184" w:history="1">
        <w:r w:rsidR="0068177A" w:rsidRPr="000D28E7">
          <w:rPr>
            <w:rStyle w:val="Hipervnculo"/>
            <w:noProof/>
            <w:lang w:eastAsia="es-CR"/>
          </w:rPr>
          <w:t>Otra revelación sobre las principales Políticas</w:t>
        </w:r>
        <w:r w:rsidR="0068177A">
          <w:rPr>
            <w:noProof/>
            <w:webHidden/>
          </w:rPr>
          <w:tab/>
        </w:r>
        <w:r w:rsidR="0068177A">
          <w:rPr>
            <w:noProof/>
            <w:webHidden/>
          </w:rPr>
          <w:fldChar w:fldCharType="begin"/>
        </w:r>
        <w:r w:rsidR="0068177A">
          <w:rPr>
            <w:noProof/>
            <w:webHidden/>
          </w:rPr>
          <w:instrText xml:space="preserve"> PAGEREF _Toc173245184 \h </w:instrText>
        </w:r>
        <w:r w:rsidR="0068177A">
          <w:rPr>
            <w:noProof/>
            <w:webHidden/>
          </w:rPr>
        </w:r>
        <w:r w:rsidR="0068177A">
          <w:rPr>
            <w:noProof/>
            <w:webHidden/>
          </w:rPr>
          <w:fldChar w:fldCharType="separate"/>
        </w:r>
        <w:r w:rsidR="0023515C">
          <w:rPr>
            <w:noProof/>
            <w:webHidden/>
          </w:rPr>
          <w:t>20</w:t>
        </w:r>
        <w:r w:rsidR="0068177A">
          <w:rPr>
            <w:noProof/>
            <w:webHidden/>
          </w:rPr>
          <w:fldChar w:fldCharType="end"/>
        </w:r>
      </w:hyperlink>
    </w:p>
    <w:p w14:paraId="0BA19320" w14:textId="34B300DE" w:rsidR="0068177A" w:rsidRDefault="00764935">
      <w:pPr>
        <w:pStyle w:val="TDC2"/>
        <w:tabs>
          <w:tab w:val="right" w:leader="dot" w:pos="8779"/>
        </w:tabs>
        <w:rPr>
          <w:rFonts w:eastAsiaTheme="minorEastAsia" w:cstheme="minorBidi"/>
          <w:b w:val="0"/>
          <w:bCs w:val="0"/>
          <w:noProof/>
          <w:kern w:val="2"/>
          <w:sz w:val="24"/>
          <w:szCs w:val="24"/>
          <w:lang w:val="en-US"/>
          <w14:ligatures w14:val="standardContextual"/>
        </w:rPr>
      </w:pPr>
      <w:hyperlink w:anchor="_Toc173245185" w:history="1">
        <w:r w:rsidR="0068177A" w:rsidRPr="000D28E7">
          <w:rPr>
            <w:rStyle w:val="Hipervnculo"/>
            <w:rFonts w:eastAsia="Times New Roman"/>
            <w:noProof/>
            <w:lang w:eastAsia="es-CR"/>
          </w:rPr>
          <w:t>CERTIFICACIÓN COMISIÓN DE RIESGO (SEVRI)</w:t>
        </w:r>
        <w:r w:rsidR="0068177A">
          <w:rPr>
            <w:noProof/>
            <w:webHidden/>
          </w:rPr>
          <w:tab/>
        </w:r>
        <w:r w:rsidR="0068177A">
          <w:rPr>
            <w:noProof/>
            <w:webHidden/>
          </w:rPr>
          <w:fldChar w:fldCharType="begin"/>
        </w:r>
        <w:r w:rsidR="0068177A">
          <w:rPr>
            <w:noProof/>
            <w:webHidden/>
          </w:rPr>
          <w:instrText xml:space="preserve"> PAGEREF _Toc173245185 \h </w:instrText>
        </w:r>
        <w:r w:rsidR="0068177A">
          <w:rPr>
            <w:noProof/>
            <w:webHidden/>
          </w:rPr>
        </w:r>
        <w:r w:rsidR="0068177A">
          <w:rPr>
            <w:noProof/>
            <w:webHidden/>
          </w:rPr>
          <w:fldChar w:fldCharType="separate"/>
        </w:r>
        <w:r w:rsidR="0023515C">
          <w:rPr>
            <w:noProof/>
            <w:webHidden/>
          </w:rPr>
          <w:t>26</w:t>
        </w:r>
        <w:r w:rsidR="0068177A">
          <w:rPr>
            <w:noProof/>
            <w:webHidden/>
          </w:rPr>
          <w:fldChar w:fldCharType="end"/>
        </w:r>
      </w:hyperlink>
    </w:p>
    <w:p w14:paraId="5095F995" w14:textId="5AC8741E" w:rsidR="0068177A" w:rsidRDefault="00764935">
      <w:pPr>
        <w:pStyle w:val="TDC1"/>
        <w:tabs>
          <w:tab w:val="right" w:leader="dot" w:pos="8779"/>
        </w:tabs>
        <w:rPr>
          <w:rFonts w:asciiTheme="minorHAnsi" w:eastAsiaTheme="minorEastAsia" w:hAnsiTheme="minorHAnsi"/>
          <w:b w:val="0"/>
          <w:bCs w:val="0"/>
          <w:caps w:val="0"/>
          <w:noProof/>
          <w:kern w:val="2"/>
          <w:lang w:val="en-US"/>
          <w14:ligatures w14:val="standardContextual"/>
        </w:rPr>
      </w:pPr>
      <w:hyperlink w:anchor="_Toc173245186" w:history="1">
        <w:r w:rsidR="0068177A" w:rsidRPr="000D28E7">
          <w:rPr>
            <w:rStyle w:val="Hipervnculo"/>
            <w:noProof/>
          </w:rPr>
          <w:t>INFORME DETALLADO AVANCE NICSP  REVELACIÓN JUNIO 2024</w:t>
        </w:r>
        <w:r w:rsidR="0068177A">
          <w:rPr>
            <w:noProof/>
            <w:webHidden/>
          </w:rPr>
          <w:tab/>
        </w:r>
        <w:r w:rsidR="0068177A">
          <w:rPr>
            <w:noProof/>
            <w:webHidden/>
          </w:rPr>
          <w:fldChar w:fldCharType="begin"/>
        </w:r>
        <w:r w:rsidR="0068177A">
          <w:rPr>
            <w:noProof/>
            <w:webHidden/>
          </w:rPr>
          <w:instrText xml:space="preserve"> PAGEREF _Toc173245186 \h </w:instrText>
        </w:r>
        <w:r w:rsidR="0068177A">
          <w:rPr>
            <w:noProof/>
            <w:webHidden/>
          </w:rPr>
        </w:r>
        <w:r w:rsidR="0068177A">
          <w:rPr>
            <w:noProof/>
            <w:webHidden/>
          </w:rPr>
          <w:fldChar w:fldCharType="separate"/>
        </w:r>
        <w:r w:rsidR="0023515C">
          <w:rPr>
            <w:noProof/>
            <w:webHidden/>
          </w:rPr>
          <w:t>29</w:t>
        </w:r>
        <w:r w:rsidR="0068177A">
          <w:rPr>
            <w:noProof/>
            <w:webHidden/>
          </w:rPr>
          <w:fldChar w:fldCharType="end"/>
        </w:r>
      </w:hyperlink>
    </w:p>
    <w:p w14:paraId="2494BA7D" w14:textId="53ACFA6B" w:rsidR="0068177A" w:rsidRDefault="00764935">
      <w:pPr>
        <w:pStyle w:val="TDC2"/>
        <w:tabs>
          <w:tab w:val="right" w:leader="dot" w:pos="8779"/>
        </w:tabs>
        <w:rPr>
          <w:rFonts w:eastAsiaTheme="minorEastAsia" w:cstheme="minorBidi"/>
          <w:b w:val="0"/>
          <w:bCs w:val="0"/>
          <w:noProof/>
          <w:kern w:val="2"/>
          <w:sz w:val="24"/>
          <w:szCs w:val="24"/>
          <w:lang w:val="en-US"/>
          <w14:ligatures w14:val="standardContextual"/>
        </w:rPr>
      </w:pPr>
      <w:hyperlink w:anchor="_Toc173245187" w:history="1">
        <w:r w:rsidR="0068177A" w:rsidRPr="000D28E7">
          <w:rPr>
            <w:rStyle w:val="Hipervnculo"/>
            <w:noProof/>
          </w:rPr>
          <w:t>NICSP 1- PRESENTACIÓN DE ESTADOS FINANCIEROS (DE APLICACIÓN OBLIGATORIA):</w:t>
        </w:r>
        <w:r w:rsidR="0068177A">
          <w:rPr>
            <w:noProof/>
            <w:webHidden/>
          </w:rPr>
          <w:tab/>
        </w:r>
        <w:r w:rsidR="0068177A">
          <w:rPr>
            <w:noProof/>
            <w:webHidden/>
          </w:rPr>
          <w:fldChar w:fldCharType="begin"/>
        </w:r>
        <w:r w:rsidR="0068177A">
          <w:rPr>
            <w:noProof/>
            <w:webHidden/>
          </w:rPr>
          <w:instrText xml:space="preserve"> PAGEREF _Toc173245187 \h </w:instrText>
        </w:r>
        <w:r w:rsidR="0068177A">
          <w:rPr>
            <w:noProof/>
            <w:webHidden/>
          </w:rPr>
        </w:r>
        <w:r w:rsidR="0068177A">
          <w:rPr>
            <w:noProof/>
            <w:webHidden/>
          </w:rPr>
          <w:fldChar w:fldCharType="separate"/>
        </w:r>
        <w:r w:rsidR="0023515C">
          <w:rPr>
            <w:noProof/>
            <w:webHidden/>
          </w:rPr>
          <w:t>30</w:t>
        </w:r>
        <w:r w:rsidR="0068177A">
          <w:rPr>
            <w:noProof/>
            <w:webHidden/>
          </w:rPr>
          <w:fldChar w:fldCharType="end"/>
        </w:r>
      </w:hyperlink>
    </w:p>
    <w:p w14:paraId="78C31124" w14:textId="2DB0E37A" w:rsidR="0068177A" w:rsidRDefault="00764935">
      <w:pPr>
        <w:pStyle w:val="TDC2"/>
        <w:tabs>
          <w:tab w:val="right" w:leader="dot" w:pos="8779"/>
        </w:tabs>
        <w:rPr>
          <w:rFonts w:eastAsiaTheme="minorEastAsia" w:cstheme="minorBidi"/>
          <w:b w:val="0"/>
          <w:bCs w:val="0"/>
          <w:noProof/>
          <w:kern w:val="2"/>
          <w:sz w:val="24"/>
          <w:szCs w:val="24"/>
          <w:lang w:val="en-US"/>
          <w14:ligatures w14:val="standardContextual"/>
        </w:rPr>
      </w:pPr>
      <w:hyperlink w:anchor="_Toc173245188" w:history="1">
        <w:r w:rsidR="0068177A" w:rsidRPr="000D28E7">
          <w:rPr>
            <w:rStyle w:val="Hipervnculo"/>
            <w:noProof/>
            <w:lang w:val="es-MX"/>
          </w:rPr>
          <w:t>NICSP 2 -ESTADO DE FLUJO DE EFECTIVO (DE APLICACIÓN OBLIGATORIA):</w:t>
        </w:r>
        <w:r w:rsidR="0068177A">
          <w:rPr>
            <w:noProof/>
            <w:webHidden/>
          </w:rPr>
          <w:tab/>
        </w:r>
        <w:r w:rsidR="0068177A">
          <w:rPr>
            <w:noProof/>
            <w:webHidden/>
          </w:rPr>
          <w:fldChar w:fldCharType="begin"/>
        </w:r>
        <w:r w:rsidR="0068177A">
          <w:rPr>
            <w:noProof/>
            <w:webHidden/>
          </w:rPr>
          <w:instrText xml:space="preserve"> PAGEREF _Toc173245188 \h </w:instrText>
        </w:r>
        <w:r w:rsidR="0068177A">
          <w:rPr>
            <w:noProof/>
            <w:webHidden/>
          </w:rPr>
        </w:r>
        <w:r w:rsidR="0068177A">
          <w:rPr>
            <w:noProof/>
            <w:webHidden/>
          </w:rPr>
          <w:fldChar w:fldCharType="separate"/>
        </w:r>
        <w:r w:rsidR="0023515C">
          <w:rPr>
            <w:noProof/>
            <w:webHidden/>
          </w:rPr>
          <w:t>34</w:t>
        </w:r>
        <w:r w:rsidR="0068177A">
          <w:rPr>
            <w:noProof/>
            <w:webHidden/>
          </w:rPr>
          <w:fldChar w:fldCharType="end"/>
        </w:r>
      </w:hyperlink>
    </w:p>
    <w:p w14:paraId="6E759A12" w14:textId="67B6D946" w:rsidR="0068177A" w:rsidRDefault="00764935">
      <w:pPr>
        <w:pStyle w:val="TDC2"/>
        <w:tabs>
          <w:tab w:val="right" w:leader="dot" w:pos="8779"/>
        </w:tabs>
        <w:rPr>
          <w:rFonts w:eastAsiaTheme="minorEastAsia" w:cstheme="minorBidi"/>
          <w:b w:val="0"/>
          <w:bCs w:val="0"/>
          <w:noProof/>
          <w:kern w:val="2"/>
          <w:sz w:val="24"/>
          <w:szCs w:val="24"/>
          <w:lang w:val="en-US"/>
          <w14:ligatures w14:val="standardContextual"/>
        </w:rPr>
      </w:pPr>
      <w:hyperlink w:anchor="_Toc173245189" w:history="1">
        <w:r w:rsidR="0068177A" w:rsidRPr="000D28E7">
          <w:rPr>
            <w:rStyle w:val="Hipervnculo"/>
            <w:noProof/>
          </w:rPr>
          <w:t>NICSP 3- POLÍTICAS CONTABLES, CAMBIOS EN LAS ESTIMACIONES CONTABLES Y ERRORES (DE APLICACIÓN OBLIGATORIA):</w:t>
        </w:r>
        <w:r w:rsidR="0068177A">
          <w:rPr>
            <w:noProof/>
            <w:webHidden/>
          </w:rPr>
          <w:tab/>
        </w:r>
        <w:r w:rsidR="0068177A">
          <w:rPr>
            <w:noProof/>
            <w:webHidden/>
          </w:rPr>
          <w:fldChar w:fldCharType="begin"/>
        </w:r>
        <w:r w:rsidR="0068177A">
          <w:rPr>
            <w:noProof/>
            <w:webHidden/>
          </w:rPr>
          <w:instrText xml:space="preserve"> PAGEREF _Toc173245189 \h </w:instrText>
        </w:r>
        <w:r w:rsidR="0068177A">
          <w:rPr>
            <w:noProof/>
            <w:webHidden/>
          </w:rPr>
        </w:r>
        <w:r w:rsidR="0068177A">
          <w:rPr>
            <w:noProof/>
            <w:webHidden/>
          </w:rPr>
          <w:fldChar w:fldCharType="separate"/>
        </w:r>
        <w:r w:rsidR="0023515C">
          <w:rPr>
            <w:noProof/>
            <w:webHidden/>
          </w:rPr>
          <w:t>37</w:t>
        </w:r>
        <w:r w:rsidR="0068177A">
          <w:rPr>
            <w:noProof/>
            <w:webHidden/>
          </w:rPr>
          <w:fldChar w:fldCharType="end"/>
        </w:r>
      </w:hyperlink>
    </w:p>
    <w:p w14:paraId="30A49874" w14:textId="3F690BE8" w:rsidR="0068177A" w:rsidRDefault="00764935">
      <w:pPr>
        <w:pStyle w:val="TDC2"/>
        <w:tabs>
          <w:tab w:val="right" w:leader="dot" w:pos="8779"/>
        </w:tabs>
        <w:rPr>
          <w:rFonts w:eastAsiaTheme="minorEastAsia" w:cstheme="minorBidi"/>
          <w:b w:val="0"/>
          <w:bCs w:val="0"/>
          <w:noProof/>
          <w:kern w:val="2"/>
          <w:sz w:val="24"/>
          <w:szCs w:val="24"/>
          <w:lang w:val="en-US"/>
          <w14:ligatures w14:val="standardContextual"/>
        </w:rPr>
      </w:pPr>
      <w:hyperlink w:anchor="_Toc173245190" w:history="1">
        <w:r w:rsidR="0068177A" w:rsidRPr="000D28E7">
          <w:rPr>
            <w:rStyle w:val="Hipervnculo"/>
            <w:noProof/>
          </w:rPr>
          <w:t>NICSP 4- EFECTOS DE VARIACIONES EN LAS TASAS DE CAMBIO DE MONEDA EXTRANJERA:</w:t>
        </w:r>
        <w:r w:rsidR="0068177A">
          <w:rPr>
            <w:noProof/>
            <w:webHidden/>
          </w:rPr>
          <w:tab/>
        </w:r>
        <w:r w:rsidR="0068177A">
          <w:rPr>
            <w:noProof/>
            <w:webHidden/>
          </w:rPr>
          <w:fldChar w:fldCharType="begin"/>
        </w:r>
        <w:r w:rsidR="0068177A">
          <w:rPr>
            <w:noProof/>
            <w:webHidden/>
          </w:rPr>
          <w:instrText xml:space="preserve"> PAGEREF _Toc173245190 \h </w:instrText>
        </w:r>
        <w:r w:rsidR="0068177A">
          <w:rPr>
            <w:noProof/>
            <w:webHidden/>
          </w:rPr>
        </w:r>
        <w:r w:rsidR="0068177A">
          <w:rPr>
            <w:noProof/>
            <w:webHidden/>
          </w:rPr>
          <w:fldChar w:fldCharType="separate"/>
        </w:r>
        <w:r w:rsidR="0023515C">
          <w:rPr>
            <w:noProof/>
            <w:webHidden/>
          </w:rPr>
          <w:t>40</w:t>
        </w:r>
        <w:r w:rsidR="0068177A">
          <w:rPr>
            <w:noProof/>
            <w:webHidden/>
          </w:rPr>
          <w:fldChar w:fldCharType="end"/>
        </w:r>
      </w:hyperlink>
    </w:p>
    <w:p w14:paraId="357973FB" w14:textId="1A86E79F" w:rsidR="0068177A" w:rsidRDefault="00764935">
      <w:pPr>
        <w:pStyle w:val="TDC2"/>
        <w:tabs>
          <w:tab w:val="right" w:leader="dot" w:pos="8779"/>
        </w:tabs>
        <w:rPr>
          <w:rFonts w:eastAsiaTheme="minorEastAsia" w:cstheme="minorBidi"/>
          <w:b w:val="0"/>
          <w:bCs w:val="0"/>
          <w:noProof/>
          <w:kern w:val="2"/>
          <w:sz w:val="24"/>
          <w:szCs w:val="24"/>
          <w:lang w:val="en-US"/>
          <w14:ligatures w14:val="standardContextual"/>
        </w:rPr>
      </w:pPr>
      <w:hyperlink w:anchor="_Toc173245191" w:history="1">
        <w:r w:rsidR="0068177A" w:rsidRPr="000D28E7">
          <w:rPr>
            <w:rStyle w:val="Hipervnculo"/>
            <w:noProof/>
          </w:rPr>
          <w:t>NICSP 5 COSTO POR INTERESES:</w:t>
        </w:r>
        <w:r w:rsidR="0068177A">
          <w:rPr>
            <w:noProof/>
            <w:webHidden/>
          </w:rPr>
          <w:tab/>
        </w:r>
        <w:r w:rsidR="0068177A">
          <w:rPr>
            <w:noProof/>
            <w:webHidden/>
          </w:rPr>
          <w:fldChar w:fldCharType="begin"/>
        </w:r>
        <w:r w:rsidR="0068177A">
          <w:rPr>
            <w:noProof/>
            <w:webHidden/>
          </w:rPr>
          <w:instrText xml:space="preserve"> PAGEREF _Toc173245191 \h </w:instrText>
        </w:r>
        <w:r w:rsidR="0068177A">
          <w:rPr>
            <w:noProof/>
            <w:webHidden/>
          </w:rPr>
        </w:r>
        <w:r w:rsidR="0068177A">
          <w:rPr>
            <w:noProof/>
            <w:webHidden/>
          </w:rPr>
          <w:fldChar w:fldCharType="separate"/>
        </w:r>
        <w:r w:rsidR="0023515C">
          <w:rPr>
            <w:noProof/>
            <w:webHidden/>
          </w:rPr>
          <w:t>44</w:t>
        </w:r>
        <w:r w:rsidR="0068177A">
          <w:rPr>
            <w:noProof/>
            <w:webHidden/>
          </w:rPr>
          <w:fldChar w:fldCharType="end"/>
        </w:r>
      </w:hyperlink>
    </w:p>
    <w:p w14:paraId="0F6335DC" w14:textId="2D6A6B54" w:rsidR="0068177A" w:rsidRDefault="00764935">
      <w:pPr>
        <w:pStyle w:val="TDC2"/>
        <w:tabs>
          <w:tab w:val="right" w:leader="dot" w:pos="8779"/>
        </w:tabs>
        <w:rPr>
          <w:rFonts w:eastAsiaTheme="minorEastAsia" w:cstheme="minorBidi"/>
          <w:b w:val="0"/>
          <w:bCs w:val="0"/>
          <w:noProof/>
          <w:kern w:val="2"/>
          <w:sz w:val="24"/>
          <w:szCs w:val="24"/>
          <w:lang w:val="en-US"/>
          <w14:ligatures w14:val="standardContextual"/>
        </w:rPr>
      </w:pPr>
      <w:hyperlink w:anchor="_Toc173245192" w:history="1">
        <w:r w:rsidR="0068177A" w:rsidRPr="000D28E7">
          <w:rPr>
            <w:rStyle w:val="Hipervnculo"/>
            <w:rFonts w:eastAsia="Times New Roman"/>
            <w:noProof/>
            <w:lang w:eastAsia="es-CR"/>
          </w:rPr>
          <w:t>NICSP 9- INGRESOS DE TRANSACCIONES CON CONTRAPRESTACIÓN (DE APLICACIÓN OBLIGATORIA):</w:t>
        </w:r>
        <w:r w:rsidR="0068177A">
          <w:rPr>
            <w:noProof/>
            <w:webHidden/>
          </w:rPr>
          <w:tab/>
        </w:r>
        <w:r w:rsidR="0068177A">
          <w:rPr>
            <w:noProof/>
            <w:webHidden/>
          </w:rPr>
          <w:fldChar w:fldCharType="begin"/>
        </w:r>
        <w:r w:rsidR="0068177A">
          <w:rPr>
            <w:noProof/>
            <w:webHidden/>
          </w:rPr>
          <w:instrText xml:space="preserve"> PAGEREF _Toc173245192 \h </w:instrText>
        </w:r>
        <w:r w:rsidR="0068177A">
          <w:rPr>
            <w:noProof/>
            <w:webHidden/>
          </w:rPr>
        </w:r>
        <w:r w:rsidR="0068177A">
          <w:rPr>
            <w:noProof/>
            <w:webHidden/>
          </w:rPr>
          <w:fldChar w:fldCharType="separate"/>
        </w:r>
        <w:r w:rsidR="0023515C">
          <w:rPr>
            <w:noProof/>
            <w:webHidden/>
          </w:rPr>
          <w:t>46</w:t>
        </w:r>
        <w:r w:rsidR="0068177A">
          <w:rPr>
            <w:noProof/>
            <w:webHidden/>
          </w:rPr>
          <w:fldChar w:fldCharType="end"/>
        </w:r>
      </w:hyperlink>
    </w:p>
    <w:p w14:paraId="6C15EBF2" w14:textId="44ED511D" w:rsidR="0068177A" w:rsidRDefault="00764935">
      <w:pPr>
        <w:pStyle w:val="TDC2"/>
        <w:tabs>
          <w:tab w:val="right" w:leader="dot" w:pos="8779"/>
        </w:tabs>
        <w:rPr>
          <w:rFonts w:eastAsiaTheme="minorEastAsia" w:cstheme="minorBidi"/>
          <w:b w:val="0"/>
          <w:bCs w:val="0"/>
          <w:noProof/>
          <w:kern w:val="2"/>
          <w:sz w:val="24"/>
          <w:szCs w:val="24"/>
          <w:lang w:val="en-US"/>
          <w14:ligatures w14:val="standardContextual"/>
        </w:rPr>
      </w:pPr>
      <w:hyperlink w:anchor="_Toc173245193" w:history="1">
        <w:r w:rsidR="0068177A" w:rsidRPr="000D28E7">
          <w:rPr>
            <w:rStyle w:val="Hipervnculo"/>
            <w:noProof/>
          </w:rPr>
          <w:t>NICSP 10- INFORMACIÓN FINANCIERA EN ECONOMÍAS HIPERINFLACIONARIAS:</w:t>
        </w:r>
        <w:r w:rsidR="0068177A">
          <w:rPr>
            <w:noProof/>
            <w:webHidden/>
          </w:rPr>
          <w:tab/>
        </w:r>
        <w:r w:rsidR="0068177A">
          <w:rPr>
            <w:noProof/>
            <w:webHidden/>
          </w:rPr>
          <w:fldChar w:fldCharType="begin"/>
        </w:r>
        <w:r w:rsidR="0068177A">
          <w:rPr>
            <w:noProof/>
            <w:webHidden/>
          </w:rPr>
          <w:instrText xml:space="preserve"> PAGEREF _Toc173245193 \h </w:instrText>
        </w:r>
        <w:r w:rsidR="0068177A">
          <w:rPr>
            <w:noProof/>
            <w:webHidden/>
          </w:rPr>
        </w:r>
        <w:r w:rsidR="0068177A">
          <w:rPr>
            <w:noProof/>
            <w:webHidden/>
          </w:rPr>
          <w:fldChar w:fldCharType="separate"/>
        </w:r>
        <w:r w:rsidR="0023515C">
          <w:rPr>
            <w:noProof/>
            <w:webHidden/>
          </w:rPr>
          <w:t>49</w:t>
        </w:r>
        <w:r w:rsidR="0068177A">
          <w:rPr>
            <w:noProof/>
            <w:webHidden/>
          </w:rPr>
          <w:fldChar w:fldCharType="end"/>
        </w:r>
      </w:hyperlink>
    </w:p>
    <w:p w14:paraId="20099781" w14:textId="41FE9F7E" w:rsidR="0068177A" w:rsidRDefault="00764935">
      <w:pPr>
        <w:pStyle w:val="TDC2"/>
        <w:tabs>
          <w:tab w:val="right" w:leader="dot" w:pos="8779"/>
        </w:tabs>
        <w:rPr>
          <w:rFonts w:eastAsiaTheme="minorEastAsia" w:cstheme="minorBidi"/>
          <w:b w:val="0"/>
          <w:bCs w:val="0"/>
          <w:noProof/>
          <w:kern w:val="2"/>
          <w:sz w:val="24"/>
          <w:szCs w:val="24"/>
          <w:lang w:val="en-US"/>
          <w14:ligatures w14:val="standardContextual"/>
        </w:rPr>
      </w:pPr>
      <w:hyperlink w:anchor="_Toc173245194" w:history="1">
        <w:r w:rsidR="0068177A" w:rsidRPr="000D28E7">
          <w:rPr>
            <w:rStyle w:val="Hipervnculo"/>
            <w:noProof/>
          </w:rPr>
          <w:t>NICSP 11- CONTRATOS DE CONSTRUCCIÓN:</w:t>
        </w:r>
        <w:r w:rsidR="0068177A">
          <w:rPr>
            <w:noProof/>
            <w:webHidden/>
          </w:rPr>
          <w:tab/>
        </w:r>
        <w:r w:rsidR="0068177A">
          <w:rPr>
            <w:noProof/>
            <w:webHidden/>
          </w:rPr>
          <w:fldChar w:fldCharType="begin"/>
        </w:r>
        <w:r w:rsidR="0068177A">
          <w:rPr>
            <w:noProof/>
            <w:webHidden/>
          </w:rPr>
          <w:instrText xml:space="preserve"> PAGEREF _Toc173245194 \h </w:instrText>
        </w:r>
        <w:r w:rsidR="0068177A">
          <w:rPr>
            <w:noProof/>
            <w:webHidden/>
          </w:rPr>
        </w:r>
        <w:r w:rsidR="0068177A">
          <w:rPr>
            <w:noProof/>
            <w:webHidden/>
          </w:rPr>
          <w:fldChar w:fldCharType="separate"/>
        </w:r>
        <w:r w:rsidR="0023515C">
          <w:rPr>
            <w:noProof/>
            <w:webHidden/>
          </w:rPr>
          <w:t>50</w:t>
        </w:r>
        <w:r w:rsidR="0068177A">
          <w:rPr>
            <w:noProof/>
            <w:webHidden/>
          </w:rPr>
          <w:fldChar w:fldCharType="end"/>
        </w:r>
      </w:hyperlink>
    </w:p>
    <w:p w14:paraId="2B05FB9E" w14:textId="18C69E31" w:rsidR="0068177A" w:rsidRDefault="00764935">
      <w:pPr>
        <w:pStyle w:val="TDC2"/>
        <w:tabs>
          <w:tab w:val="right" w:leader="dot" w:pos="8779"/>
        </w:tabs>
        <w:rPr>
          <w:rFonts w:eastAsiaTheme="minorEastAsia" w:cstheme="minorBidi"/>
          <w:b w:val="0"/>
          <w:bCs w:val="0"/>
          <w:noProof/>
          <w:kern w:val="2"/>
          <w:sz w:val="24"/>
          <w:szCs w:val="24"/>
          <w:lang w:val="en-US"/>
          <w14:ligatures w14:val="standardContextual"/>
        </w:rPr>
      </w:pPr>
      <w:hyperlink w:anchor="_Toc173245195" w:history="1">
        <w:r w:rsidR="0068177A" w:rsidRPr="000D28E7">
          <w:rPr>
            <w:rStyle w:val="Hipervnculo"/>
            <w:rFonts w:eastAsia="Times New Roman"/>
            <w:noProof/>
            <w:lang w:eastAsia="es-CR"/>
          </w:rPr>
          <w:t>NICSP 12-INVENTARIOS (DE APLICACIÓN OBLIGATORIA):</w:t>
        </w:r>
        <w:r w:rsidR="0068177A">
          <w:rPr>
            <w:noProof/>
            <w:webHidden/>
          </w:rPr>
          <w:tab/>
        </w:r>
        <w:r w:rsidR="0068177A">
          <w:rPr>
            <w:noProof/>
            <w:webHidden/>
          </w:rPr>
          <w:fldChar w:fldCharType="begin"/>
        </w:r>
        <w:r w:rsidR="0068177A">
          <w:rPr>
            <w:noProof/>
            <w:webHidden/>
          </w:rPr>
          <w:instrText xml:space="preserve"> PAGEREF _Toc173245195 \h </w:instrText>
        </w:r>
        <w:r w:rsidR="0068177A">
          <w:rPr>
            <w:noProof/>
            <w:webHidden/>
          </w:rPr>
        </w:r>
        <w:r w:rsidR="0068177A">
          <w:rPr>
            <w:noProof/>
            <w:webHidden/>
          </w:rPr>
          <w:fldChar w:fldCharType="separate"/>
        </w:r>
        <w:r w:rsidR="0023515C">
          <w:rPr>
            <w:noProof/>
            <w:webHidden/>
          </w:rPr>
          <w:t>51</w:t>
        </w:r>
        <w:r w:rsidR="0068177A">
          <w:rPr>
            <w:noProof/>
            <w:webHidden/>
          </w:rPr>
          <w:fldChar w:fldCharType="end"/>
        </w:r>
      </w:hyperlink>
    </w:p>
    <w:p w14:paraId="1F92A861" w14:textId="66CF9D7A" w:rsidR="0068177A" w:rsidRDefault="00764935">
      <w:pPr>
        <w:pStyle w:val="TDC2"/>
        <w:tabs>
          <w:tab w:val="right" w:leader="dot" w:pos="8779"/>
        </w:tabs>
        <w:rPr>
          <w:rFonts w:eastAsiaTheme="minorEastAsia" w:cstheme="minorBidi"/>
          <w:b w:val="0"/>
          <w:bCs w:val="0"/>
          <w:noProof/>
          <w:kern w:val="2"/>
          <w:sz w:val="24"/>
          <w:szCs w:val="24"/>
          <w:lang w:val="en-US"/>
          <w14:ligatures w14:val="standardContextual"/>
        </w:rPr>
      </w:pPr>
      <w:hyperlink w:anchor="_Toc173245196" w:history="1">
        <w:r w:rsidR="0068177A" w:rsidRPr="000D28E7">
          <w:rPr>
            <w:rStyle w:val="Hipervnculo"/>
            <w:rFonts w:eastAsia="Times New Roman"/>
            <w:noProof/>
            <w:lang w:eastAsia="es-CR"/>
          </w:rPr>
          <w:t>NICSP 14-HECHOS OCURRIDOS DESPUÉS DE FECHA DE PRESENTACIÓN (DE APLICACIÓN OBLIGATORIA):</w:t>
        </w:r>
        <w:r w:rsidR="0068177A">
          <w:rPr>
            <w:noProof/>
            <w:webHidden/>
          </w:rPr>
          <w:tab/>
        </w:r>
        <w:r w:rsidR="0068177A">
          <w:rPr>
            <w:noProof/>
            <w:webHidden/>
          </w:rPr>
          <w:fldChar w:fldCharType="begin"/>
        </w:r>
        <w:r w:rsidR="0068177A">
          <w:rPr>
            <w:noProof/>
            <w:webHidden/>
          </w:rPr>
          <w:instrText xml:space="preserve"> PAGEREF _Toc173245196 \h </w:instrText>
        </w:r>
        <w:r w:rsidR="0068177A">
          <w:rPr>
            <w:noProof/>
            <w:webHidden/>
          </w:rPr>
        </w:r>
        <w:r w:rsidR="0068177A">
          <w:rPr>
            <w:noProof/>
            <w:webHidden/>
          </w:rPr>
          <w:fldChar w:fldCharType="separate"/>
        </w:r>
        <w:r w:rsidR="0023515C">
          <w:rPr>
            <w:noProof/>
            <w:webHidden/>
          </w:rPr>
          <w:t>60</w:t>
        </w:r>
        <w:r w:rsidR="0068177A">
          <w:rPr>
            <w:noProof/>
            <w:webHidden/>
          </w:rPr>
          <w:fldChar w:fldCharType="end"/>
        </w:r>
      </w:hyperlink>
    </w:p>
    <w:p w14:paraId="58524BC2" w14:textId="38E083FB" w:rsidR="0068177A" w:rsidRDefault="00764935">
      <w:pPr>
        <w:pStyle w:val="TDC2"/>
        <w:tabs>
          <w:tab w:val="right" w:leader="dot" w:pos="8779"/>
        </w:tabs>
        <w:rPr>
          <w:rFonts w:eastAsiaTheme="minorEastAsia" w:cstheme="minorBidi"/>
          <w:b w:val="0"/>
          <w:bCs w:val="0"/>
          <w:noProof/>
          <w:kern w:val="2"/>
          <w:sz w:val="24"/>
          <w:szCs w:val="24"/>
          <w:lang w:val="en-US"/>
          <w14:ligatures w14:val="standardContextual"/>
        </w:rPr>
      </w:pPr>
      <w:hyperlink w:anchor="_Toc173245197" w:history="1">
        <w:r w:rsidR="0068177A" w:rsidRPr="000D28E7">
          <w:rPr>
            <w:rStyle w:val="Hipervnculo"/>
            <w:rFonts w:eastAsia="Times New Roman"/>
            <w:noProof/>
            <w:lang w:eastAsia="es-CR"/>
          </w:rPr>
          <w:t>NICSP 16- PROPIEDADES DE INVERSIÓN:</w:t>
        </w:r>
        <w:r w:rsidR="0068177A">
          <w:rPr>
            <w:noProof/>
            <w:webHidden/>
          </w:rPr>
          <w:tab/>
        </w:r>
        <w:r w:rsidR="0068177A">
          <w:rPr>
            <w:noProof/>
            <w:webHidden/>
          </w:rPr>
          <w:fldChar w:fldCharType="begin"/>
        </w:r>
        <w:r w:rsidR="0068177A">
          <w:rPr>
            <w:noProof/>
            <w:webHidden/>
          </w:rPr>
          <w:instrText xml:space="preserve"> PAGEREF _Toc173245197 \h </w:instrText>
        </w:r>
        <w:r w:rsidR="0068177A">
          <w:rPr>
            <w:noProof/>
            <w:webHidden/>
          </w:rPr>
        </w:r>
        <w:r w:rsidR="0068177A">
          <w:rPr>
            <w:noProof/>
            <w:webHidden/>
          </w:rPr>
          <w:fldChar w:fldCharType="separate"/>
        </w:r>
        <w:r w:rsidR="0023515C">
          <w:rPr>
            <w:noProof/>
            <w:webHidden/>
          </w:rPr>
          <w:t>63</w:t>
        </w:r>
        <w:r w:rsidR="0068177A">
          <w:rPr>
            <w:noProof/>
            <w:webHidden/>
          </w:rPr>
          <w:fldChar w:fldCharType="end"/>
        </w:r>
      </w:hyperlink>
    </w:p>
    <w:p w14:paraId="683125FE" w14:textId="1C78B6FB" w:rsidR="0068177A" w:rsidRDefault="00764935">
      <w:pPr>
        <w:pStyle w:val="TDC2"/>
        <w:tabs>
          <w:tab w:val="right" w:leader="dot" w:pos="8779"/>
        </w:tabs>
        <w:rPr>
          <w:rFonts w:eastAsiaTheme="minorEastAsia" w:cstheme="minorBidi"/>
          <w:b w:val="0"/>
          <w:bCs w:val="0"/>
          <w:noProof/>
          <w:kern w:val="2"/>
          <w:sz w:val="24"/>
          <w:szCs w:val="24"/>
          <w:lang w:val="en-US"/>
          <w14:ligatures w14:val="standardContextual"/>
        </w:rPr>
      </w:pPr>
      <w:hyperlink w:anchor="_Toc173245198" w:history="1">
        <w:r w:rsidR="0068177A" w:rsidRPr="000D28E7">
          <w:rPr>
            <w:rStyle w:val="Hipervnculo"/>
            <w:rFonts w:eastAsia="Times New Roman"/>
            <w:noProof/>
            <w:lang w:eastAsia="es-CR"/>
          </w:rPr>
          <w:t>NICSP 17- PROPIEDAD, PLANTA Y EQUIPO (DE APLICACIÓN OBLIGATORIA):</w:t>
        </w:r>
        <w:r w:rsidR="0068177A">
          <w:rPr>
            <w:noProof/>
            <w:webHidden/>
          </w:rPr>
          <w:tab/>
        </w:r>
        <w:r w:rsidR="0068177A">
          <w:rPr>
            <w:noProof/>
            <w:webHidden/>
          </w:rPr>
          <w:fldChar w:fldCharType="begin"/>
        </w:r>
        <w:r w:rsidR="0068177A">
          <w:rPr>
            <w:noProof/>
            <w:webHidden/>
          </w:rPr>
          <w:instrText xml:space="preserve"> PAGEREF _Toc173245198 \h </w:instrText>
        </w:r>
        <w:r w:rsidR="0068177A">
          <w:rPr>
            <w:noProof/>
            <w:webHidden/>
          </w:rPr>
        </w:r>
        <w:r w:rsidR="0068177A">
          <w:rPr>
            <w:noProof/>
            <w:webHidden/>
          </w:rPr>
          <w:fldChar w:fldCharType="separate"/>
        </w:r>
        <w:r w:rsidR="0023515C">
          <w:rPr>
            <w:noProof/>
            <w:webHidden/>
          </w:rPr>
          <w:t>64</w:t>
        </w:r>
        <w:r w:rsidR="0068177A">
          <w:rPr>
            <w:noProof/>
            <w:webHidden/>
          </w:rPr>
          <w:fldChar w:fldCharType="end"/>
        </w:r>
      </w:hyperlink>
    </w:p>
    <w:p w14:paraId="408B7D48" w14:textId="384C913D" w:rsidR="0068177A" w:rsidRDefault="00764935">
      <w:pPr>
        <w:pStyle w:val="TDC2"/>
        <w:tabs>
          <w:tab w:val="right" w:leader="dot" w:pos="8779"/>
        </w:tabs>
        <w:rPr>
          <w:rFonts w:eastAsiaTheme="minorEastAsia" w:cstheme="minorBidi"/>
          <w:b w:val="0"/>
          <w:bCs w:val="0"/>
          <w:noProof/>
          <w:kern w:val="2"/>
          <w:sz w:val="24"/>
          <w:szCs w:val="24"/>
          <w:lang w:val="en-US"/>
          <w14:ligatures w14:val="standardContextual"/>
        </w:rPr>
      </w:pPr>
      <w:hyperlink w:anchor="_Toc173245199" w:history="1">
        <w:r w:rsidR="0068177A" w:rsidRPr="000D28E7">
          <w:rPr>
            <w:rStyle w:val="Hipervnculo"/>
            <w:rFonts w:eastAsia="Times New Roman"/>
            <w:noProof/>
            <w:lang w:eastAsia="es-CR"/>
          </w:rPr>
          <w:t>NICSP 18- INFORMACIÓN FINANCIERA POR SEGMENTOS:</w:t>
        </w:r>
        <w:r w:rsidR="0068177A">
          <w:rPr>
            <w:noProof/>
            <w:webHidden/>
          </w:rPr>
          <w:tab/>
        </w:r>
        <w:r w:rsidR="0068177A">
          <w:rPr>
            <w:noProof/>
            <w:webHidden/>
          </w:rPr>
          <w:fldChar w:fldCharType="begin"/>
        </w:r>
        <w:r w:rsidR="0068177A">
          <w:rPr>
            <w:noProof/>
            <w:webHidden/>
          </w:rPr>
          <w:instrText xml:space="preserve"> PAGEREF _Toc173245199 \h </w:instrText>
        </w:r>
        <w:r w:rsidR="0068177A">
          <w:rPr>
            <w:noProof/>
            <w:webHidden/>
          </w:rPr>
        </w:r>
        <w:r w:rsidR="0068177A">
          <w:rPr>
            <w:noProof/>
            <w:webHidden/>
          </w:rPr>
          <w:fldChar w:fldCharType="separate"/>
        </w:r>
        <w:r w:rsidR="0023515C">
          <w:rPr>
            <w:noProof/>
            <w:webHidden/>
          </w:rPr>
          <w:t>69</w:t>
        </w:r>
        <w:r w:rsidR="0068177A">
          <w:rPr>
            <w:noProof/>
            <w:webHidden/>
          </w:rPr>
          <w:fldChar w:fldCharType="end"/>
        </w:r>
      </w:hyperlink>
    </w:p>
    <w:p w14:paraId="4251FE3C" w14:textId="1EE63C50" w:rsidR="0068177A" w:rsidRDefault="00764935">
      <w:pPr>
        <w:pStyle w:val="TDC2"/>
        <w:tabs>
          <w:tab w:val="right" w:leader="dot" w:pos="8779"/>
        </w:tabs>
        <w:rPr>
          <w:rFonts w:eastAsiaTheme="minorEastAsia" w:cstheme="minorBidi"/>
          <w:b w:val="0"/>
          <w:bCs w:val="0"/>
          <w:noProof/>
          <w:kern w:val="2"/>
          <w:sz w:val="24"/>
          <w:szCs w:val="24"/>
          <w:lang w:val="en-US"/>
          <w14:ligatures w14:val="standardContextual"/>
        </w:rPr>
      </w:pPr>
      <w:hyperlink w:anchor="_Toc173245200" w:history="1">
        <w:r w:rsidR="0068177A" w:rsidRPr="000D28E7">
          <w:rPr>
            <w:rStyle w:val="Hipervnculo"/>
            <w:rFonts w:eastAsia="Times New Roman"/>
            <w:noProof/>
            <w:lang w:eastAsia="es-CR"/>
          </w:rPr>
          <w:t>NICSP 19- PROVISIONES, ACTIVOS Y PASIVOS CONTINGENTES (DE APLICACIÓN OBLIGATORIA):</w:t>
        </w:r>
        <w:r w:rsidR="0068177A">
          <w:rPr>
            <w:noProof/>
            <w:webHidden/>
          </w:rPr>
          <w:tab/>
        </w:r>
        <w:r w:rsidR="0068177A">
          <w:rPr>
            <w:noProof/>
            <w:webHidden/>
          </w:rPr>
          <w:fldChar w:fldCharType="begin"/>
        </w:r>
        <w:r w:rsidR="0068177A">
          <w:rPr>
            <w:noProof/>
            <w:webHidden/>
          </w:rPr>
          <w:instrText xml:space="preserve"> PAGEREF _Toc173245200 \h </w:instrText>
        </w:r>
        <w:r w:rsidR="0068177A">
          <w:rPr>
            <w:noProof/>
            <w:webHidden/>
          </w:rPr>
        </w:r>
        <w:r w:rsidR="0068177A">
          <w:rPr>
            <w:noProof/>
            <w:webHidden/>
          </w:rPr>
          <w:fldChar w:fldCharType="separate"/>
        </w:r>
        <w:r w:rsidR="0023515C">
          <w:rPr>
            <w:noProof/>
            <w:webHidden/>
          </w:rPr>
          <w:t>71</w:t>
        </w:r>
        <w:r w:rsidR="0068177A">
          <w:rPr>
            <w:noProof/>
            <w:webHidden/>
          </w:rPr>
          <w:fldChar w:fldCharType="end"/>
        </w:r>
      </w:hyperlink>
    </w:p>
    <w:p w14:paraId="5E931DC9" w14:textId="2210605A" w:rsidR="0068177A" w:rsidRDefault="00764935">
      <w:pPr>
        <w:pStyle w:val="TDC2"/>
        <w:tabs>
          <w:tab w:val="right" w:leader="dot" w:pos="8779"/>
        </w:tabs>
        <w:rPr>
          <w:rFonts w:eastAsiaTheme="minorEastAsia" w:cstheme="minorBidi"/>
          <w:b w:val="0"/>
          <w:bCs w:val="0"/>
          <w:noProof/>
          <w:kern w:val="2"/>
          <w:sz w:val="24"/>
          <w:szCs w:val="24"/>
          <w:lang w:val="en-US"/>
          <w14:ligatures w14:val="standardContextual"/>
        </w:rPr>
      </w:pPr>
      <w:hyperlink w:anchor="_Toc173245201" w:history="1">
        <w:r w:rsidR="0068177A" w:rsidRPr="000D28E7">
          <w:rPr>
            <w:rStyle w:val="Hipervnculo"/>
            <w:rFonts w:eastAsia="Times New Roman"/>
            <w:noProof/>
            <w:lang w:eastAsia="es-CR"/>
          </w:rPr>
          <w:t>NICSP 20- INFORMACIÓN A REVELAR SOBRE PARTES RELACIONADAS (DE APLICACIÓN OBLIGATORIA):</w:t>
        </w:r>
        <w:r w:rsidR="0068177A">
          <w:rPr>
            <w:noProof/>
            <w:webHidden/>
          </w:rPr>
          <w:tab/>
        </w:r>
        <w:r w:rsidR="0068177A">
          <w:rPr>
            <w:noProof/>
            <w:webHidden/>
          </w:rPr>
          <w:fldChar w:fldCharType="begin"/>
        </w:r>
        <w:r w:rsidR="0068177A">
          <w:rPr>
            <w:noProof/>
            <w:webHidden/>
          </w:rPr>
          <w:instrText xml:space="preserve"> PAGEREF _Toc173245201 \h </w:instrText>
        </w:r>
        <w:r w:rsidR="0068177A">
          <w:rPr>
            <w:noProof/>
            <w:webHidden/>
          </w:rPr>
        </w:r>
        <w:r w:rsidR="0068177A">
          <w:rPr>
            <w:noProof/>
            <w:webHidden/>
          </w:rPr>
          <w:fldChar w:fldCharType="separate"/>
        </w:r>
        <w:r w:rsidR="0023515C">
          <w:rPr>
            <w:noProof/>
            <w:webHidden/>
          </w:rPr>
          <w:t>75</w:t>
        </w:r>
        <w:r w:rsidR="0068177A">
          <w:rPr>
            <w:noProof/>
            <w:webHidden/>
          </w:rPr>
          <w:fldChar w:fldCharType="end"/>
        </w:r>
      </w:hyperlink>
    </w:p>
    <w:p w14:paraId="4CEA87A1" w14:textId="5196C9ED" w:rsidR="0068177A" w:rsidRDefault="00764935">
      <w:pPr>
        <w:pStyle w:val="TDC2"/>
        <w:tabs>
          <w:tab w:val="right" w:leader="dot" w:pos="8779"/>
        </w:tabs>
        <w:rPr>
          <w:rFonts w:eastAsiaTheme="minorEastAsia" w:cstheme="minorBidi"/>
          <w:b w:val="0"/>
          <w:bCs w:val="0"/>
          <w:noProof/>
          <w:kern w:val="2"/>
          <w:sz w:val="24"/>
          <w:szCs w:val="24"/>
          <w:lang w:val="en-US"/>
          <w14:ligatures w14:val="standardContextual"/>
        </w:rPr>
      </w:pPr>
      <w:hyperlink w:anchor="_Toc173245202" w:history="1">
        <w:r w:rsidR="0068177A" w:rsidRPr="000D28E7">
          <w:rPr>
            <w:rStyle w:val="Hipervnculo"/>
            <w:rFonts w:eastAsia="Times New Roman"/>
            <w:noProof/>
            <w:lang w:eastAsia="es-CR"/>
          </w:rPr>
          <w:t>NICSP 21- DETERIORO DEL VALOR DE ACTIVOS NO GENERADORES DE EFECTIVO:</w:t>
        </w:r>
        <w:r w:rsidR="0068177A">
          <w:rPr>
            <w:noProof/>
            <w:webHidden/>
          </w:rPr>
          <w:tab/>
        </w:r>
        <w:r w:rsidR="0068177A">
          <w:rPr>
            <w:noProof/>
            <w:webHidden/>
          </w:rPr>
          <w:fldChar w:fldCharType="begin"/>
        </w:r>
        <w:r w:rsidR="0068177A">
          <w:rPr>
            <w:noProof/>
            <w:webHidden/>
          </w:rPr>
          <w:instrText xml:space="preserve"> PAGEREF _Toc173245202 \h </w:instrText>
        </w:r>
        <w:r w:rsidR="0068177A">
          <w:rPr>
            <w:noProof/>
            <w:webHidden/>
          </w:rPr>
        </w:r>
        <w:r w:rsidR="0068177A">
          <w:rPr>
            <w:noProof/>
            <w:webHidden/>
          </w:rPr>
          <w:fldChar w:fldCharType="separate"/>
        </w:r>
        <w:r w:rsidR="0023515C">
          <w:rPr>
            <w:noProof/>
            <w:webHidden/>
          </w:rPr>
          <w:t>78</w:t>
        </w:r>
        <w:r w:rsidR="0068177A">
          <w:rPr>
            <w:noProof/>
            <w:webHidden/>
          </w:rPr>
          <w:fldChar w:fldCharType="end"/>
        </w:r>
      </w:hyperlink>
    </w:p>
    <w:p w14:paraId="5C61FCA2" w14:textId="0353779D" w:rsidR="0068177A" w:rsidRDefault="00764935">
      <w:pPr>
        <w:pStyle w:val="TDC2"/>
        <w:tabs>
          <w:tab w:val="right" w:leader="dot" w:pos="8779"/>
        </w:tabs>
        <w:rPr>
          <w:rFonts w:eastAsiaTheme="minorEastAsia" w:cstheme="minorBidi"/>
          <w:b w:val="0"/>
          <w:bCs w:val="0"/>
          <w:noProof/>
          <w:kern w:val="2"/>
          <w:sz w:val="24"/>
          <w:szCs w:val="24"/>
          <w:lang w:val="en-US"/>
          <w14:ligatures w14:val="standardContextual"/>
        </w:rPr>
      </w:pPr>
      <w:hyperlink w:anchor="_Toc173245203" w:history="1">
        <w:r w:rsidR="0068177A" w:rsidRPr="000D28E7">
          <w:rPr>
            <w:rStyle w:val="Hipervnculo"/>
            <w:rFonts w:eastAsia="Times New Roman"/>
            <w:noProof/>
            <w:lang w:eastAsia="es-CR"/>
          </w:rPr>
          <w:t>NICSP 22 -REVELACIÓN DE INFORMACIÓN FINANCIERA SOBRE EL SECTOR GOBIERNO CENTRAL:</w:t>
        </w:r>
        <w:r w:rsidR="0068177A">
          <w:rPr>
            <w:noProof/>
            <w:webHidden/>
          </w:rPr>
          <w:tab/>
        </w:r>
        <w:r w:rsidR="0068177A">
          <w:rPr>
            <w:noProof/>
            <w:webHidden/>
          </w:rPr>
          <w:fldChar w:fldCharType="begin"/>
        </w:r>
        <w:r w:rsidR="0068177A">
          <w:rPr>
            <w:noProof/>
            <w:webHidden/>
          </w:rPr>
          <w:instrText xml:space="preserve"> PAGEREF _Toc173245203 \h </w:instrText>
        </w:r>
        <w:r w:rsidR="0068177A">
          <w:rPr>
            <w:noProof/>
            <w:webHidden/>
          </w:rPr>
        </w:r>
        <w:r w:rsidR="0068177A">
          <w:rPr>
            <w:noProof/>
            <w:webHidden/>
          </w:rPr>
          <w:fldChar w:fldCharType="separate"/>
        </w:r>
        <w:r w:rsidR="0023515C">
          <w:rPr>
            <w:noProof/>
            <w:webHidden/>
          </w:rPr>
          <w:t>80</w:t>
        </w:r>
        <w:r w:rsidR="0068177A">
          <w:rPr>
            <w:noProof/>
            <w:webHidden/>
          </w:rPr>
          <w:fldChar w:fldCharType="end"/>
        </w:r>
      </w:hyperlink>
    </w:p>
    <w:p w14:paraId="3625C831" w14:textId="5A3AEBEE" w:rsidR="0068177A" w:rsidRDefault="00764935">
      <w:pPr>
        <w:pStyle w:val="TDC2"/>
        <w:tabs>
          <w:tab w:val="right" w:leader="dot" w:pos="8779"/>
        </w:tabs>
        <w:rPr>
          <w:rFonts w:eastAsiaTheme="minorEastAsia" w:cstheme="minorBidi"/>
          <w:b w:val="0"/>
          <w:bCs w:val="0"/>
          <w:noProof/>
          <w:kern w:val="2"/>
          <w:sz w:val="24"/>
          <w:szCs w:val="24"/>
          <w:lang w:val="en-US"/>
          <w14:ligatures w14:val="standardContextual"/>
        </w:rPr>
      </w:pPr>
      <w:hyperlink w:anchor="_Toc173245204" w:history="1">
        <w:r w:rsidR="0068177A" w:rsidRPr="000D28E7">
          <w:rPr>
            <w:rStyle w:val="Hipervnculo"/>
            <w:rFonts w:eastAsia="Times New Roman"/>
            <w:noProof/>
            <w:lang w:eastAsia="es-CR"/>
          </w:rPr>
          <w:t>NICSP 23- INGRESOS DE TRANSACCIONES SIN CONTRAPRESTACIÓN (IMPUESTOS Y TRANSFERENCIAS) (DE APLICACIÓN OBLIGATORIA):</w:t>
        </w:r>
        <w:r w:rsidR="0068177A">
          <w:rPr>
            <w:noProof/>
            <w:webHidden/>
          </w:rPr>
          <w:tab/>
        </w:r>
        <w:r w:rsidR="0068177A">
          <w:rPr>
            <w:noProof/>
            <w:webHidden/>
          </w:rPr>
          <w:fldChar w:fldCharType="begin"/>
        </w:r>
        <w:r w:rsidR="0068177A">
          <w:rPr>
            <w:noProof/>
            <w:webHidden/>
          </w:rPr>
          <w:instrText xml:space="preserve"> PAGEREF _Toc173245204 \h </w:instrText>
        </w:r>
        <w:r w:rsidR="0068177A">
          <w:rPr>
            <w:noProof/>
            <w:webHidden/>
          </w:rPr>
        </w:r>
        <w:r w:rsidR="0068177A">
          <w:rPr>
            <w:noProof/>
            <w:webHidden/>
          </w:rPr>
          <w:fldChar w:fldCharType="separate"/>
        </w:r>
        <w:r w:rsidR="0023515C">
          <w:rPr>
            <w:noProof/>
            <w:webHidden/>
          </w:rPr>
          <w:t>81</w:t>
        </w:r>
        <w:r w:rsidR="0068177A">
          <w:rPr>
            <w:noProof/>
            <w:webHidden/>
          </w:rPr>
          <w:fldChar w:fldCharType="end"/>
        </w:r>
      </w:hyperlink>
    </w:p>
    <w:p w14:paraId="627DC482" w14:textId="5D7C0259" w:rsidR="0068177A" w:rsidRDefault="00764935">
      <w:pPr>
        <w:pStyle w:val="TDC2"/>
        <w:tabs>
          <w:tab w:val="right" w:leader="dot" w:pos="8779"/>
        </w:tabs>
        <w:rPr>
          <w:rFonts w:eastAsiaTheme="minorEastAsia" w:cstheme="minorBidi"/>
          <w:b w:val="0"/>
          <w:bCs w:val="0"/>
          <w:noProof/>
          <w:kern w:val="2"/>
          <w:sz w:val="24"/>
          <w:szCs w:val="24"/>
          <w:lang w:val="en-US"/>
          <w14:ligatures w14:val="standardContextual"/>
        </w:rPr>
      </w:pPr>
      <w:hyperlink w:anchor="_Toc173245205" w:history="1">
        <w:r w:rsidR="0068177A" w:rsidRPr="000D28E7">
          <w:rPr>
            <w:rStyle w:val="Hipervnculo"/>
            <w:rFonts w:eastAsia="Times New Roman"/>
            <w:noProof/>
            <w:lang w:eastAsia="es-CR"/>
          </w:rPr>
          <w:t>NICSP 24- PRESENTACIÓN DE INFORMACIÓN DEL PRESUPUESTO EN LOS ESTADOS FINANCIEROS (DE APLICACIÓN OBLIGATORIA):</w:t>
        </w:r>
        <w:r w:rsidR="0068177A">
          <w:rPr>
            <w:noProof/>
            <w:webHidden/>
          </w:rPr>
          <w:tab/>
        </w:r>
        <w:r w:rsidR="0068177A">
          <w:rPr>
            <w:noProof/>
            <w:webHidden/>
          </w:rPr>
          <w:fldChar w:fldCharType="begin"/>
        </w:r>
        <w:r w:rsidR="0068177A">
          <w:rPr>
            <w:noProof/>
            <w:webHidden/>
          </w:rPr>
          <w:instrText xml:space="preserve"> PAGEREF _Toc173245205 \h </w:instrText>
        </w:r>
        <w:r w:rsidR="0068177A">
          <w:rPr>
            <w:noProof/>
            <w:webHidden/>
          </w:rPr>
        </w:r>
        <w:r w:rsidR="0068177A">
          <w:rPr>
            <w:noProof/>
            <w:webHidden/>
          </w:rPr>
          <w:fldChar w:fldCharType="separate"/>
        </w:r>
        <w:r w:rsidR="0023515C">
          <w:rPr>
            <w:noProof/>
            <w:webHidden/>
          </w:rPr>
          <w:t>86</w:t>
        </w:r>
        <w:r w:rsidR="0068177A">
          <w:rPr>
            <w:noProof/>
            <w:webHidden/>
          </w:rPr>
          <w:fldChar w:fldCharType="end"/>
        </w:r>
      </w:hyperlink>
    </w:p>
    <w:p w14:paraId="0DE89EB9" w14:textId="4B294DA7" w:rsidR="0068177A" w:rsidRDefault="00764935">
      <w:pPr>
        <w:pStyle w:val="TDC2"/>
        <w:tabs>
          <w:tab w:val="right" w:leader="dot" w:pos="8779"/>
        </w:tabs>
        <w:rPr>
          <w:rFonts w:eastAsiaTheme="minorEastAsia" w:cstheme="minorBidi"/>
          <w:b w:val="0"/>
          <w:bCs w:val="0"/>
          <w:noProof/>
          <w:kern w:val="2"/>
          <w:sz w:val="24"/>
          <w:szCs w:val="24"/>
          <w:lang w:val="en-US"/>
          <w14:ligatures w14:val="standardContextual"/>
        </w:rPr>
      </w:pPr>
      <w:hyperlink w:anchor="_Toc173245206" w:history="1">
        <w:r w:rsidR="0068177A" w:rsidRPr="000D28E7">
          <w:rPr>
            <w:rStyle w:val="Hipervnculo"/>
            <w:rFonts w:eastAsia="Times New Roman"/>
            <w:noProof/>
            <w:lang w:eastAsia="es-CR"/>
          </w:rPr>
          <w:t>NICSP 26 DETERIORO DEL VALOR DE ACTIVOS GENERADORES DE EFECTIVO:</w:t>
        </w:r>
        <w:r w:rsidR="0068177A">
          <w:rPr>
            <w:noProof/>
            <w:webHidden/>
          </w:rPr>
          <w:tab/>
        </w:r>
        <w:r w:rsidR="0068177A">
          <w:rPr>
            <w:noProof/>
            <w:webHidden/>
          </w:rPr>
          <w:fldChar w:fldCharType="begin"/>
        </w:r>
        <w:r w:rsidR="0068177A">
          <w:rPr>
            <w:noProof/>
            <w:webHidden/>
          </w:rPr>
          <w:instrText xml:space="preserve"> PAGEREF _Toc173245206 \h </w:instrText>
        </w:r>
        <w:r w:rsidR="0068177A">
          <w:rPr>
            <w:noProof/>
            <w:webHidden/>
          </w:rPr>
        </w:r>
        <w:r w:rsidR="0068177A">
          <w:rPr>
            <w:noProof/>
            <w:webHidden/>
          </w:rPr>
          <w:fldChar w:fldCharType="separate"/>
        </w:r>
        <w:r w:rsidR="0023515C">
          <w:rPr>
            <w:noProof/>
            <w:webHidden/>
          </w:rPr>
          <w:t>89</w:t>
        </w:r>
        <w:r w:rsidR="0068177A">
          <w:rPr>
            <w:noProof/>
            <w:webHidden/>
          </w:rPr>
          <w:fldChar w:fldCharType="end"/>
        </w:r>
      </w:hyperlink>
    </w:p>
    <w:p w14:paraId="301DDD79" w14:textId="0BD09D3F" w:rsidR="0068177A" w:rsidRDefault="00764935">
      <w:pPr>
        <w:pStyle w:val="TDC2"/>
        <w:tabs>
          <w:tab w:val="right" w:leader="dot" w:pos="8779"/>
        </w:tabs>
        <w:rPr>
          <w:rFonts w:eastAsiaTheme="minorEastAsia" w:cstheme="minorBidi"/>
          <w:b w:val="0"/>
          <w:bCs w:val="0"/>
          <w:noProof/>
          <w:kern w:val="2"/>
          <w:sz w:val="24"/>
          <w:szCs w:val="24"/>
          <w:lang w:val="en-US"/>
          <w14:ligatures w14:val="standardContextual"/>
        </w:rPr>
      </w:pPr>
      <w:hyperlink w:anchor="_Toc173245207" w:history="1">
        <w:r w:rsidR="0068177A" w:rsidRPr="000D28E7">
          <w:rPr>
            <w:rStyle w:val="Hipervnculo"/>
            <w:rFonts w:eastAsia="Times New Roman"/>
            <w:noProof/>
            <w:lang w:eastAsia="es-CR"/>
          </w:rPr>
          <w:t>NICSP 27 AGRICULTURA:</w:t>
        </w:r>
        <w:r w:rsidR="0068177A">
          <w:rPr>
            <w:noProof/>
            <w:webHidden/>
          </w:rPr>
          <w:tab/>
        </w:r>
        <w:r w:rsidR="0068177A">
          <w:rPr>
            <w:noProof/>
            <w:webHidden/>
          </w:rPr>
          <w:fldChar w:fldCharType="begin"/>
        </w:r>
        <w:r w:rsidR="0068177A">
          <w:rPr>
            <w:noProof/>
            <w:webHidden/>
          </w:rPr>
          <w:instrText xml:space="preserve"> PAGEREF _Toc173245207 \h </w:instrText>
        </w:r>
        <w:r w:rsidR="0068177A">
          <w:rPr>
            <w:noProof/>
            <w:webHidden/>
          </w:rPr>
        </w:r>
        <w:r w:rsidR="0068177A">
          <w:rPr>
            <w:noProof/>
            <w:webHidden/>
          </w:rPr>
          <w:fldChar w:fldCharType="separate"/>
        </w:r>
        <w:r w:rsidR="0023515C">
          <w:rPr>
            <w:noProof/>
            <w:webHidden/>
          </w:rPr>
          <w:t>91</w:t>
        </w:r>
        <w:r w:rsidR="0068177A">
          <w:rPr>
            <w:noProof/>
            <w:webHidden/>
          </w:rPr>
          <w:fldChar w:fldCharType="end"/>
        </w:r>
      </w:hyperlink>
    </w:p>
    <w:p w14:paraId="04C642A1" w14:textId="29E45271" w:rsidR="0068177A" w:rsidRDefault="00764935">
      <w:pPr>
        <w:pStyle w:val="TDC2"/>
        <w:tabs>
          <w:tab w:val="right" w:leader="dot" w:pos="8779"/>
        </w:tabs>
        <w:rPr>
          <w:rFonts w:eastAsiaTheme="minorEastAsia" w:cstheme="minorBidi"/>
          <w:b w:val="0"/>
          <w:bCs w:val="0"/>
          <w:noProof/>
          <w:kern w:val="2"/>
          <w:sz w:val="24"/>
          <w:szCs w:val="24"/>
          <w:lang w:val="en-US"/>
          <w14:ligatures w14:val="standardContextual"/>
        </w:rPr>
      </w:pPr>
      <w:hyperlink w:anchor="_Toc173245208" w:history="1">
        <w:r w:rsidR="0068177A" w:rsidRPr="000D28E7">
          <w:rPr>
            <w:rStyle w:val="Hipervnculo"/>
            <w:rFonts w:eastAsia="Times New Roman"/>
            <w:noProof/>
            <w:lang w:eastAsia="es-CR"/>
          </w:rPr>
          <w:t>NICSP 28-29-30 INSTRUMENTOS FINANCIEROS (PRESENTACIÓN, RECONOCIMIENTO MEDICIÓN Y REVELACIÓN) (DE APLICACIÓN OBLIGATORIA):</w:t>
        </w:r>
        <w:r w:rsidR="0068177A">
          <w:rPr>
            <w:noProof/>
            <w:webHidden/>
          </w:rPr>
          <w:tab/>
        </w:r>
        <w:r w:rsidR="0068177A">
          <w:rPr>
            <w:noProof/>
            <w:webHidden/>
          </w:rPr>
          <w:fldChar w:fldCharType="begin"/>
        </w:r>
        <w:r w:rsidR="0068177A">
          <w:rPr>
            <w:noProof/>
            <w:webHidden/>
          </w:rPr>
          <w:instrText xml:space="preserve"> PAGEREF _Toc173245208 \h </w:instrText>
        </w:r>
        <w:r w:rsidR="0068177A">
          <w:rPr>
            <w:noProof/>
            <w:webHidden/>
          </w:rPr>
        </w:r>
        <w:r w:rsidR="0068177A">
          <w:rPr>
            <w:noProof/>
            <w:webHidden/>
          </w:rPr>
          <w:fldChar w:fldCharType="separate"/>
        </w:r>
        <w:r w:rsidR="0023515C">
          <w:rPr>
            <w:noProof/>
            <w:webHidden/>
          </w:rPr>
          <w:t>92</w:t>
        </w:r>
        <w:r w:rsidR="0068177A">
          <w:rPr>
            <w:noProof/>
            <w:webHidden/>
          </w:rPr>
          <w:fldChar w:fldCharType="end"/>
        </w:r>
      </w:hyperlink>
    </w:p>
    <w:p w14:paraId="44F6BB88" w14:textId="7FA232FC" w:rsidR="0068177A" w:rsidRDefault="00764935">
      <w:pPr>
        <w:pStyle w:val="TDC2"/>
        <w:tabs>
          <w:tab w:val="right" w:leader="dot" w:pos="8779"/>
        </w:tabs>
        <w:rPr>
          <w:rFonts w:eastAsiaTheme="minorEastAsia" w:cstheme="minorBidi"/>
          <w:b w:val="0"/>
          <w:bCs w:val="0"/>
          <w:noProof/>
          <w:kern w:val="2"/>
          <w:sz w:val="24"/>
          <w:szCs w:val="24"/>
          <w:lang w:val="en-US"/>
          <w14:ligatures w14:val="standardContextual"/>
        </w:rPr>
      </w:pPr>
      <w:hyperlink w:anchor="_Toc173245209" w:history="1">
        <w:r w:rsidR="0068177A" w:rsidRPr="000D28E7">
          <w:rPr>
            <w:rStyle w:val="Hipervnculo"/>
            <w:rFonts w:eastAsia="Times New Roman"/>
            <w:noProof/>
            <w:lang w:eastAsia="es-CR"/>
          </w:rPr>
          <w:t>FIDEICOMISOS</w:t>
        </w:r>
        <w:r w:rsidR="0068177A">
          <w:rPr>
            <w:noProof/>
            <w:webHidden/>
          </w:rPr>
          <w:tab/>
        </w:r>
        <w:r w:rsidR="0068177A">
          <w:rPr>
            <w:noProof/>
            <w:webHidden/>
          </w:rPr>
          <w:fldChar w:fldCharType="begin"/>
        </w:r>
        <w:r w:rsidR="0068177A">
          <w:rPr>
            <w:noProof/>
            <w:webHidden/>
          </w:rPr>
          <w:instrText xml:space="preserve"> PAGEREF _Toc173245209 \h </w:instrText>
        </w:r>
        <w:r w:rsidR="0068177A">
          <w:rPr>
            <w:noProof/>
            <w:webHidden/>
          </w:rPr>
        </w:r>
        <w:r w:rsidR="0068177A">
          <w:rPr>
            <w:noProof/>
            <w:webHidden/>
          </w:rPr>
          <w:fldChar w:fldCharType="separate"/>
        </w:r>
        <w:r w:rsidR="0023515C">
          <w:rPr>
            <w:noProof/>
            <w:webHidden/>
          </w:rPr>
          <w:t>99</w:t>
        </w:r>
        <w:r w:rsidR="0068177A">
          <w:rPr>
            <w:noProof/>
            <w:webHidden/>
          </w:rPr>
          <w:fldChar w:fldCharType="end"/>
        </w:r>
      </w:hyperlink>
    </w:p>
    <w:p w14:paraId="48852E37" w14:textId="48797460" w:rsidR="0068177A" w:rsidRDefault="00764935">
      <w:pPr>
        <w:pStyle w:val="TDC2"/>
        <w:tabs>
          <w:tab w:val="right" w:leader="dot" w:pos="8779"/>
        </w:tabs>
        <w:rPr>
          <w:rFonts w:eastAsiaTheme="minorEastAsia" w:cstheme="minorBidi"/>
          <w:b w:val="0"/>
          <w:bCs w:val="0"/>
          <w:noProof/>
          <w:kern w:val="2"/>
          <w:sz w:val="24"/>
          <w:szCs w:val="24"/>
          <w:lang w:val="en-US"/>
          <w14:ligatures w14:val="standardContextual"/>
        </w:rPr>
      </w:pPr>
      <w:hyperlink w:anchor="_Toc173245210" w:history="1">
        <w:r w:rsidR="0068177A" w:rsidRPr="000D28E7">
          <w:rPr>
            <w:rStyle w:val="Hipervnculo"/>
            <w:rFonts w:eastAsia="Times New Roman"/>
            <w:noProof/>
            <w:lang w:eastAsia="es-CR"/>
          </w:rPr>
          <w:t>NICSP 31- ACTIVOS INTANGIBLES:</w:t>
        </w:r>
        <w:r w:rsidR="0068177A">
          <w:rPr>
            <w:noProof/>
            <w:webHidden/>
          </w:rPr>
          <w:tab/>
        </w:r>
        <w:r w:rsidR="0068177A">
          <w:rPr>
            <w:noProof/>
            <w:webHidden/>
          </w:rPr>
          <w:fldChar w:fldCharType="begin"/>
        </w:r>
        <w:r w:rsidR="0068177A">
          <w:rPr>
            <w:noProof/>
            <w:webHidden/>
          </w:rPr>
          <w:instrText xml:space="preserve"> PAGEREF _Toc173245210 \h </w:instrText>
        </w:r>
        <w:r w:rsidR="0068177A">
          <w:rPr>
            <w:noProof/>
            <w:webHidden/>
          </w:rPr>
        </w:r>
        <w:r w:rsidR="0068177A">
          <w:rPr>
            <w:noProof/>
            <w:webHidden/>
          </w:rPr>
          <w:fldChar w:fldCharType="separate"/>
        </w:r>
        <w:r w:rsidR="0023515C">
          <w:rPr>
            <w:noProof/>
            <w:webHidden/>
          </w:rPr>
          <w:t>100</w:t>
        </w:r>
        <w:r w:rsidR="0068177A">
          <w:rPr>
            <w:noProof/>
            <w:webHidden/>
          </w:rPr>
          <w:fldChar w:fldCharType="end"/>
        </w:r>
      </w:hyperlink>
    </w:p>
    <w:p w14:paraId="384ADDB5" w14:textId="1F36E429" w:rsidR="0068177A" w:rsidRDefault="00764935">
      <w:pPr>
        <w:pStyle w:val="TDC2"/>
        <w:tabs>
          <w:tab w:val="right" w:leader="dot" w:pos="8779"/>
        </w:tabs>
        <w:rPr>
          <w:rFonts w:eastAsiaTheme="minorEastAsia" w:cstheme="minorBidi"/>
          <w:b w:val="0"/>
          <w:bCs w:val="0"/>
          <w:noProof/>
          <w:kern w:val="2"/>
          <w:sz w:val="24"/>
          <w:szCs w:val="24"/>
          <w:lang w:val="en-US"/>
          <w14:ligatures w14:val="standardContextual"/>
        </w:rPr>
      </w:pPr>
      <w:hyperlink w:anchor="_Toc173245211" w:history="1">
        <w:r w:rsidR="0068177A" w:rsidRPr="000D28E7">
          <w:rPr>
            <w:rStyle w:val="Hipervnculo"/>
            <w:rFonts w:eastAsia="Times New Roman"/>
            <w:noProof/>
            <w:lang w:eastAsia="es-CR"/>
          </w:rPr>
          <w:t>NICSP 32 - ACUERDOS DE CONCESIÓN DE SERVICIOS: LA CONCEDENTE:</w:t>
        </w:r>
        <w:r w:rsidR="0068177A">
          <w:rPr>
            <w:noProof/>
            <w:webHidden/>
          </w:rPr>
          <w:tab/>
        </w:r>
        <w:r w:rsidR="0068177A">
          <w:rPr>
            <w:noProof/>
            <w:webHidden/>
          </w:rPr>
          <w:fldChar w:fldCharType="begin"/>
        </w:r>
        <w:r w:rsidR="0068177A">
          <w:rPr>
            <w:noProof/>
            <w:webHidden/>
          </w:rPr>
          <w:instrText xml:space="preserve"> PAGEREF _Toc173245211 \h </w:instrText>
        </w:r>
        <w:r w:rsidR="0068177A">
          <w:rPr>
            <w:noProof/>
            <w:webHidden/>
          </w:rPr>
        </w:r>
        <w:r w:rsidR="0068177A">
          <w:rPr>
            <w:noProof/>
            <w:webHidden/>
          </w:rPr>
          <w:fldChar w:fldCharType="separate"/>
        </w:r>
        <w:r w:rsidR="0023515C">
          <w:rPr>
            <w:noProof/>
            <w:webHidden/>
          </w:rPr>
          <w:t>103</w:t>
        </w:r>
        <w:r w:rsidR="0068177A">
          <w:rPr>
            <w:noProof/>
            <w:webHidden/>
          </w:rPr>
          <w:fldChar w:fldCharType="end"/>
        </w:r>
      </w:hyperlink>
    </w:p>
    <w:p w14:paraId="2B28278C" w14:textId="63BAEFCD" w:rsidR="0068177A" w:rsidRDefault="00764935">
      <w:pPr>
        <w:pStyle w:val="TDC2"/>
        <w:tabs>
          <w:tab w:val="right" w:leader="dot" w:pos="8779"/>
        </w:tabs>
        <w:rPr>
          <w:rFonts w:eastAsiaTheme="minorEastAsia" w:cstheme="minorBidi"/>
          <w:b w:val="0"/>
          <w:bCs w:val="0"/>
          <w:noProof/>
          <w:kern w:val="2"/>
          <w:sz w:val="24"/>
          <w:szCs w:val="24"/>
          <w:lang w:val="en-US"/>
          <w14:ligatures w14:val="standardContextual"/>
        </w:rPr>
      </w:pPr>
      <w:hyperlink w:anchor="_Toc173245212" w:history="1">
        <w:r w:rsidR="0068177A" w:rsidRPr="000D28E7">
          <w:rPr>
            <w:rStyle w:val="Hipervnculo"/>
            <w:rFonts w:eastAsia="Times New Roman"/>
            <w:noProof/>
            <w:lang w:eastAsia="es-CR"/>
          </w:rPr>
          <w:t>NICSP 33 - ADOPCIÓN POR PRIMERA VEZ DE LAS NICSP DE BASE DE ACUMULACIÓN (O DEVENGO) (DE APLICACIÓN OBLIGATORIA):</w:t>
        </w:r>
        <w:r w:rsidR="0068177A">
          <w:rPr>
            <w:noProof/>
            <w:webHidden/>
          </w:rPr>
          <w:tab/>
        </w:r>
        <w:r w:rsidR="0068177A">
          <w:rPr>
            <w:noProof/>
            <w:webHidden/>
          </w:rPr>
          <w:fldChar w:fldCharType="begin"/>
        </w:r>
        <w:r w:rsidR="0068177A">
          <w:rPr>
            <w:noProof/>
            <w:webHidden/>
          </w:rPr>
          <w:instrText xml:space="preserve"> PAGEREF _Toc173245212 \h </w:instrText>
        </w:r>
        <w:r w:rsidR="0068177A">
          <w:rPr>
            <w:noProof/>
            <w:webHidden/>
          </w:rPr>
        </w:r>
        <w:r w:rsidR="0068177A">
          <w:rPr>
            <w:noProof/>
            <w:webHidden/>
          </w:rPr>
          <w:fldChar w:fldCharType="separate"/>
        </w:r>
        <w:r w:rsidR="0023515C">
          <w:rPr>
            <w:noProof/>
            <w:webHidden/>
          </w:rPr>
          <w:t>104</w:t>
        </w:r>
        <w:r w:rsidR="0068177A">
          <w:rPr>
            <w:noProof/>
            <w:webHidden/>
          </w:rPr>
          <w:fldChar w:fldCharType="end"/>
        </w:r>
      </w:hyperlink>
    </w:p>
    <w:p w14:paraId="3E81E194" w14:textId="133EBAD3" w:rsidR="0068177A" w:rsidRDefault="00764935">
      <w:pPr>
        <w:pStyle w:val="TDC2"/>
        <w:tabs>
          <w:tab w:val="right" w:leader="dot" w:pos="8779"/>
        </w:tabs>
        <w:rPr>
          <w:rFonts w:eastAsiaTheme="minorEastAsia" w:cstheme="minorBidi"/>
          <w:b w:val="0"/>
          <w:bCs w:val="0"/>
          <w:noProof/>
          <w:kern w:val="2"/>
          <w:sz w:val="24"/>
          <w:szCs w:val="24"/>
          <w:lang w:val="en-US"/>
          <w14:ligatures w14:val="standardContextual"/>
        </w:rPr>
      </w:pPr>
      <w:hyperlink w:anchor="_Toc173245213" w:history="1">
        <w:r w:rsidR="0068177A" w:rsidRPr="000D28E7">
          <w:rPr>
            <w:rStyle w:val="Hipervnculo"/>
            <w:rFonts w:eastAsia="Times New Roman"/>
            <w:noProof/>
            <w:lang w:eastAsia="es-CR"/>
          </w:rPr>
          <w:t>NICSP 34 - ESTADOS FINANCIEROS SEPARADOS:</w:t>
        </w:r>
        <w:r w:rsidR="0068177A">
          <w:rPr>
            <w:noProof/>
            <w:webHidden/>
          </w:rPr>
          <w:tab/>
        </w:r>
        <w:r w:rsidR="0068177A">
          <w:rPr>
            <w:noProof/>
            <w:webHidden/>
          </w:rPr>
          <w:fldChar w:fldCharType="begin"/>
        </w:r>
        <w:r w:rsidR="0068177A">
          <w:rPr>
            <w:noProof/>
            <w:webHidden/>
          </w:rPr>
          <w:instrText xml:space="preserve"> PAGEREF _Toc173245213 \h </w:instrText>
        </w:r>
        <w:r w:rsidR="0068177A">
          <w:rPr>
            <w:noProof/>
            <w:webHidden/>
          </w:rPr>
        </w:r>
        <w:r w:rsidR="0068177A">
          <w:rPr>
            <w:noProof/>
            <w:webHidden/>
          </w:rPr>
          <w:fldChar w:fldCharType="separate"/>
        </w:r>
        <w:r w:rsidR="0023515C">
          <w:rPr>
            <w:noProof/>
            <w:webHidden/>
          </w:rPr>
          <w:t>109</w:t>
        </w:r>
        <w:r w:rsidR="0068177A">
          <w:rPr>
            <w:noProof/>
            <w:webHidden/>
          </w:rPr>
          <w:fldChar w:fldCharType="end"/>
        </w:r>
      </w:hyperlink>
    </w:p>
    <w:p w14:paraId="17B7BBB1" w14:textId="3F5F9DDE" w:rsidR="0068177A" w:rsidRDefault="00764935">
      <w:pPr>
        <w:pStyle w:val="TDC2"/>
        <w:tabs>
          <w:tab w:val="right" w:leader="dot" w:pos="8779"/>
        </w:tabs>
        <w:rPr>
          <w:rFonts w:eastAsiaTheme="minorEastAsia" w:cstheme="minorBidi"/>
          <w:b w:val="0"/>
          <w:bCs w:val="0"/>
          <w:noProof/>
          <w:kern w:val="2"/>
          <w:sz w:val="24"/>
          <w:szCs w:val="24"/>
          <w:lang w:val="en-US"/>
          <w14:ligatures w14:val="standardContextual"/>
        </w:rPr>
      </w:pPr>
      <w:hyperlink w:anchor="_Toc173245214" w:history="1">
        <w:r w:rsidR="0068177A" w:rsidRPr="000D28E7">
          <w:rPr>
            <w:rStyle w:val="Hipervnculo"/>
            <w:rFonts w:eastAsia="Times New Roman"/>
            <w:noProof/>
            <w:lang w:eastAsia="es-CR"/>
          </w:rPr>
          <w:t>NICSP 35 - ESTADOS FINANCIEROS CONSOLIDADOS:</w:t>
        </w:r>
        <w:r w:rsidR="0068177A">
          <w:rPr>
            <w:noProof/>
            <w:webHidden/>
          </w:rPr>
          <w:tab/>
        </w:r>
        <w:r w:rsidR="0068177A">
          <w:rPr>
            <w:noProof/>
            <w:webHidden/>
          </w:rPr>
          <w:fldChar w:fldCharType="begin"/>
        </w:r>
        <w:r w:rsidR="0068177A">
          <w:rPr>
            <w:noProof/>
            <w:webHidden/>
          </w:rPr>
          <w:instrText xml:space="preserve"> PAGEREF _Toc173245214 \h </w:instrText>
        </w:r>
        <w:r w:rsidR="0068177A">
          <w:rPr>
            <w:noProof/>
            <w:webHidden/>
          </w:rPr>
        </w:r>
        <w:r w:rsidR="0068177A">
          <w:rPr>
            <w:noProof/>
            <w:webHidden/>
          </w:rPr>
          <w:fldChar w:fldCharType="separate"/>
        </w:r>
        <w:r w:rsidR="0023515C">
          <w:rPr>
            <w:noProof/>
            <w:webHidden/>
          </w:rPr>
          <w:t>110</w:t>
        </w:r>
        <w:r w:rsidR="0068177A">
          <w:rPr>
            <w:noProof/>
            <w:webHidden/>
          </w:rPr>
          <w:fldChar w:fldCharType="end"/>
        </w:r>
      </w:hyperlink>
    </w:p>
    <w:p w14:paraId="7EA82F5E" w14:textId="50246E83" w:rsidR="0068177A" w:rsidRDefault="00764935">
      <w:pPr>
        <w:pStyle w:val="TDC2"/>
        <w:tabs>
          <w:tab w:val="right" w:leader="dot" w:pos="8779"/>
        </w:tabs>
        <w:rPr>
          <w:rFonts w:eastAsiaTheme="minorEastAsia" w:cstheme="minorBidi"/>
          <w:b w:val="0"/>
          <w:bCs w:val="0"/>
          <w:noProof/>
          <w:kern w:val="2"/>
          <w:sz w:val="24"/>
          <w:szCs w:val="24"/>
          <w:lang w:val="en-US"/>
          <w14:ligatures w14:val="standardContextual"/>
        </w:rPr>
      </w:pPr>
      <w:hyperlink w:anchor="_Toc173245215" w:history="1">
        <w:r w:rsidR="0068177A" w:rsidRPr="000D28E7">
          <w:rPr>
            <w:rStyle w:val="Hipervnculo"/>
            <w:rFonts w:eastAsia="Times New Roman"/>
            <w:noProof/>
            <w:lang w:eastAsia="es-CR"/>
          </w:rPr>
          <w:t>NICSP 36 - INVERSIONES EN ASOCIADAS Y NEGOCIOS CONJUNTOS:</w:t>
        </w:r>
        <w:r w:rsidR="0068177A">
          <w:rPr>
            <w:noProof/>
            <w:webHidden/>
          </w:rPr>
          <w:tab/>
        </w:r>
        <w:r w:rsidR="0068177A">
          <w:rPr>
            <w:noProof/>
            <w:webHidden/>
          </w:rPr>
          <w:fldChar w:fldCharType="begin"/>
        </w:r>
        <w:r w:rsidR="0068177A">
          <w:rPr>
            <w:noProof/>
            <w:webHidden/>
          </w:rPr>
          <w:instrText xml:space="preserve"> PAGEREF _Toc173245215 \h </w:instrText>
        </w:r>
        <w:r w:rsidR="0068177A">
          <w:rPr>
            <w:noProof/>
            <w:webHidden/>
          </w:rPr>
        </w:r>
        <w:r w:rsidR="0068177A">
          <w:rPr>
            <w:noProof/>
            <w:webHidden/>
          </w:rPr>
          <w:fldChar w:fldCharType="separate"/>
        </w:r>
        <w:r w:rsidR="0023515C">
          <w:rPr>
            <w:noProof/>
            <w:webHidden/>
          </w:rPr>
          <w:t>114</w:t>
        </w:r>
        <w:r w:rsidR="0068177A">
          <w:rPr>
            <w:noProof/>
            <w:webHidden/>
          </w:rPr>
          <w:fldChar w:fldCharType="end"/>
        </w:r>
      </w:hyperlink>
    </w:p>
    <w:p w14:paraId="152E2096" w14:textId="2C35D80C" w:rsidR="0068177A" w:rsidRDefault="00764935">
      <w:pPr>
        <w:pStyle w:val="TDC2"/>
        <w:tabs>
          <w:tab w:val="right" w:leader="dot" w:pos="8779"/>
        </w:tabs>
        <w:rPr>
          <w:rFonts w:eastAsiaTheme="minorEastAsia" w:cstheme="minorBidi"/>
          <w:b w:val="0"/>
          <w:bCs w:val="0"/>
          <w:noProof/>
          <w:kern w:val="2"/>
          <w:sz w:val="24"/>
          <w:szCs w:val="24"/>
          <w:lang w:val="en-US"/>
          <w14:ligatures w14:val="standardContextual"/>
        </w:rPr>
      </w:pPr>
      <w:hyperlink w:anchor="_Toc173245216" w:history="1">
        <w:r w:rsidR="0068177A" w:rsidRPr="000D28E7">
          <w:rPr>
            <w:rStyle w:val="Hipervnculo"/>
            <w:rFonts w:eastAsia="Times New Roman"/>
            <w:noProof/>
            <w:lang w:eastAsia="es-CR"/>
          </w:rPr>
          <w:t>NICSP 37 - ACUERDOS CONJUNTOS:</w:t>
        </w:r>
        <w:r w:rsidR="0068177A">
          <w:rPr>
            <w:noProof/>
            <w:webHidden/>
          </w:rPr>
          <w:tab/>
        </w:r>
        <w:r w:rsidR="0068177A">
          <w:rPr>
            <w:noProof/>
            <w:webHidden/>
          </w:rPr>
          <w:fldChar w:fldCharType="begin"/>
        </w:r>
        <w:r w:rsidR="0068177A">
          <w:rPr>
            <w:noProof/>
            <w:webHidden/>
          </w:rPr>
          <w:instrText xml:space="preserve"> PAGEREF _Toc173245216 \h </w:instrText>
        </w:r>
        <w:r w:rsidR="0068177A">
          <w:rPr>
            <w:noProof/>
            <w:webHidden/>
          </w:rPr>
        </w:r>
        <w:r w:rsidR="0068177A">
          <w:rPr>
            <w:noProof/>
            <w:webHidden/>
          </w:rPr>
          <w:fldChar w:fldCharType="separate"/>
        </w:r>
        <w:r w:rsidR="0023515C">
          <w:rPr>
            <w:noProof/>
            <w:webHidden/>
          </w:rPr>
          <w:t>116</w:t>
        </w:r>
        <w:r w:rsidR="0068177A">
          <w:rPr>
            <w:noProof/>
            <w:webHidden/>
          </w:rPr>
          <w:fldChar w:fldCharType="end"/>
        </w:r>
      </w:hyperlink>
    </w:p>
    <w:p w14:paraId="25A4E2A6" w14:textId="39DDA6CE" w:rsidR="0068177A" w:rsidRDefault="00764935">
      <w:pPr>
        <w:pStyle w:val="TDC2"/>
        <w:tabs>
          <w:tab w:val="right" w:leader="dot" w:pos="8779"/>
        </w:tabs>
        <w:rPr>
          <w:rFonts w:eastAsiaTheme="minorEastAsia" w:cstheme="minorBidi"/>
          <w:b w:val="0"/>
          <w:bCs w:val="0"/>
          <w:noProof/>
          <w:kern w:val="2"/>
          <w:sz w:val="24"/>
          <w:szCs w:val="24"/>
          <w:lang w:val="en-US"/>
          <w14:ligatures w14:val="standardContextual"/>
        </w:rPr>
      </w:pPr>
      <w:hyperlink w:anchor="_Toc173245217" w:history="1">
        <w:r w:rsidR="0068177A" w:rsidRPr="000D28E7">
          <w:rPr>
            <w:rStyle w:val="Hipervnculo"/>
            <w:rFonts w:eastAsia="Times New Roman"/>
            <w:noProof/>
            <w:lang w:eastAsia="es-CR"/>
          </w:rPr>
          <w:t>NICSP 38 - INFORMACIÓN A REVELAR SOBRE PARTICIPACIONES EN OTRAS ENTIDADES:</w:t>
        </w:r>
        <w:r w:rsidR="0068177A">
          <w:rPr>
            <w:noProof/>
            <w:webHidden/>
          </w:rPr>
          <w:tab/>
        </w:r>
        <w:r w:rsidR="0068177A">
          <w:rPr>
            <w:noProof/>
            <w:webHidden/>
          </w:rPr>
          <w:fldChar w:fldCharType="begin"/>
        </w:r>
        <w:r w:rsidR="0068177A">
          <w:rPr>
            <w:noProof/>
            <w:webHidden/>
          </w:rPr>
          <w:instrText xml:space="preserve"> PAGEREF _Toc173245217 \h </w:instrText>
        </w:r>
        <w:r w:rsidR="0068177A">
          <w:rPr>
            <w:noProof/>
            <w:webHidden/>
          </w:rPr>
        </w:r>
        <w:r w:rsidR="0068177A">
          <w:rPr>
            <w:noProof/>
            <w:webHidden/>
          </w:rPr>
          <w:fldChar w:fldCharType="separate"/>
        </w:r>
        <w:r w:rsidR="0023515C">
          <w:rPr>
            <w:noProof/>
            <w:webHidden/>
          </w:rPr>
          <w:t>117</w:t>
        </w:r>
        <w:r w:rsidR="0068177A">
          <w:rPr>
            <w:noProof/>
            <w:webHidden/>
          </w:rPr>
          <w:fldChar w:fldCharType="end"/>
        </w:r>
      </w:hyperlink>
    </w:p>
    <w:p w14:paraId="4197D112" w14:textId="62C2F9F8" w:rsidR="0068177A" w:rsidRDefault="00764935">
      <w:pPr>
        <w:pStyle w:val="TDC2"/>
        <w:tabs>
          <w:tab w:val="right" w:leader="dot" w:pos="8779"/>
        </w:tabs>
        <w:rPr>
          <w:rFonts w:eastAsiaTheme="minorEastAsia" w:cstheme="minorBidi"/>
          <w:b w:val="0"/>
          <w:bCs w:val="0"/>
          <w:noProof/>
          <w:kern w:val="2"/>
          <w:sz w:val="24"/>
          <w:szCs w:val="24"/>
          <w:lang w:val="en-US"/>
          <w14:ligatures w14:val="standardContextual"/>
        </w:rPr>
      </w:pPr>
      <w:hyperlink w:anchor="_Toc173245218" w:history="1">
        <w:r w:rsidR="0068177A" w:rsidRPr="000D28E7">
          <w:rPr>
            <w:rStyle w:val="Hipervnculo"/>
            <w:rFonts w:eastAsia="Times New Roman"/>
            <w:noProof/>
            <w:lang w:eastAsia="es-CR"/>
          </w:rPr>
          <w:t>NICSP 39 - BENEFICIOS A LOS EMPLEADOS (DE APLICACIÓN OBLIGATORIA):</w:t>
        </w:r>
        <w:r w:rsidR="0068177A">
          <w:rPr>
            <w:noProof/>
            <w:webHidden/>
          </w:rPr>
          <w:tab/>
        </w:r>
        <w:r w:rsidR="0068177A">
          <w:rPr>
            <w:noProof/>
            <w:webHidden/>
          </w:rPr>
          <w:fldChar w:fldCharType="begin"/>
        </w:r>
        <w:r w:rsidR="0068177A">
          <w:rPr>
            <w:noProof/>
            <w:webHidden/>
          </w:rPr>
          <w:instrText xml:space="preserve"> PAGEREF _Toc173245218 \h </w:instrText>
        </w:r>
        <w:r w:rsidR="0068177A">
          <w:rPr>
            <w:noProof/>
            <w:webHidden/>
          </w:rPr>
        </w:r>
        <w:r w:rsidR="0068177A">
          <w:rPr>
            <w:noProof/>
            <w:webHidden/>
          </w:rPr>
          <w:fldChar w:fldCharType="separate"/>
        </w:r>
        <w:r w:rsidR="0023515C">
          <w:rPr>
            <w:noProof/>
            <w:webHidden/>
          </w:rPr>
          <w:t>118</w:t>
        </w:r>
        <w:r w:rsidR="0068177A">
          <w:rPr>
            <w:noProof/>
            <w:webHidden/>
          </w:rPr>
          <w:fldChar w:fldCharType="end"/>
        </w:r>
      </w:hyperlink>
    </w:p>
    <w:p w14:paraId="783C866A" w14:textId="2DA3EFE5" w:rsidR="0068177A" w:rsidRDefault="00764935">
      <w:pPr>
        <w:pStyle w:val="TDC2"/>
        <w:tabs>
          <w:tab w:val="right" w:leader="dot" w:pos="8779"/>
        </w:tabs>
        <w:rPr>
          <w:rFonts w:eastAsiaTheme="minorEastAsia" w:cstheme="minorBidi"/>
          <w:b w:val="0"/>
          <w:bCs w:val="0"/>
          <w:noProof/>
          <w:kern w:val="2"/>
          <w:sz w:val="24"/>
          <w:szCs w:val="24"/>
          <w:lang w:val="en-US"/>
          <w14:ligatures w14:val="standardContextual"/>
        </w:rPr>
      </w:pPr>
      <w:hyperlink w:anchor="_Toc173245219" w:history="1">
        <w:r w:rsidR="0068177A" w:rsidRPr="000D28E7">
          <w:rPr>
            <w:rStyle w:val="Hipervnculo"/>
            <w:rFonts w:eastAsia="Times New Roman"/>
            <w:noProof/>
            <w:lang w:eastAsia="es-CR"/>
          </w:rPr>
          <w:t>NICSP 40 - COMBINACIONES EN EL SECTOR PÚBLICO:</w:t>
        </w:r>
        <w:r w:rsidR="0068177A">
          <w:rPr>
            <w:noProof/>
            <w:webHidden/>
          </w:rPr>
          <w:tab/>
        </w:r>
        <w:r w:rsidR="0068177A">
          <w:rPr>
            <w:noProof/>
            <w:webHidden/>
          </w:rPr>
          <w:fldChar w:fldCharType="begin"/>
        </w:r>
        <w:r w:rsidR="0068177A">
          <w:rPr>
            <w:noProof/>
            <w:webHidden/>
          </w:rPr>
          <w:instrText xml:space="preserve"> PAGEREF _Toc173245219 \h </w:instrText>
        </w:r>
        <w:r w:rsidR="0068177A">
          <w:rPr>
            <w:noProof/>
            <w:webHidden/>
          </w:rPr>
        </w:r>
        <w:r w:rsidR="0068177A">
          <w:rPr>
            <w:noProof/>
            <w:webHidden/>
          </w:rPr>
          <w:fldChar w:fldCharType="separate"/>
        </w:r>
        <w:r w:rsidR="0023515C">
          <w:rPr>
            <w:noProof/>
            <w:webHidden/>
          </w:rPr>
          <w:t>122</w:t>
        </w:r>
        <w:r w:rsidR="0068177A">
          <w:rPr>
            <w:noProof/>
            <w:webHidden/>
          </w:rPr>
          <w:fldChar w:fldCharType="end"/>
        </w:r>
      </w:hyperlink>
    </w:p>
    <w:p w14:paraId="44FD7968" w14:textId="250500E6" w:rsidR="0068177A" w:rsidRDefault="00764935">
      <w:pPr>
        <w:pStyle w:val="TDC1"/>
        <w:tabs>
          <w:tab w:val="right" w:leader="dot" w:pos="8779"/>
        </w:tabs>
        <w:rPr>
          <w:rFonts w:asciiTheme="minorHAnsi" w:eastAsiaTheme="minorEastAsia" w:hAnsiTheme="minorHAnsi"/>
          <w:b w:val="0"/>
          <w:bCs w:val="0"/>
          <w:caps w:val="0"/>
          <w:noProof/>
          <w:kern w:val="2"/>
          <w:lang w:val="en-US"/>
          <w14:ligatures w14:val="standardContextual"/>
        </w:rPr>
      </w:pPr>
      <w:hyperlink w:anchor="_Toc173245220" w:history="1">
        <w:r w:rsidR="0068177A" w:rsidRPr="000D28E7">
          <w:rPr>
            <w:rStyle w:val="Hipervnculo"/>
            <w:rFonts w:eastAsia="Times New Roman"/>
            <w:noProof/>
          </w:rPr>
          <w:t>REVELACIONES PARTICULARES</w:t>
        </w:r>
        <w:r w:rsidR="0068177A">
          <w:rPr>
            <w:noProof/>
            <w:webHidden/>
          </w:rPr>
          <w:tab/>
        </w:r>
        <w:r w:rsidR="0068177A">
          <w:rPr>
            <w:noProof/>
            <w:webHidden/>
          </w:rPr>
          <w:fldChar w:fldCharType="begin"/>
        </w:r>
        <w:r w:rsidR="0068177A">
          <w:rPr>
            <w:noProof/>
            <w:webHidden/>
          </w:rPr>
          <w:instrText xml:space="preserve"> PAGEREF _Toc173245220 \h </w:instrText>
        </w:r>
        <w:r w:rsidR="0068177A">
          <w:rPr>
            <w:noProof/>
            <w:webHidden/>
          </w:rPr>
        </w:r>
        <w:r w:rsidR="0068177A">
          <w:rPr>
            <w:noProof/>
            <w:webHidden/>
          </w:rPr>
          <w:fldChar w:fldCharType="separate"/>
        </w:r>
        <w:r w:rsidR="0023515C">
          <w:rPr>
            <w:noProof/>
            <w:webHidden/>
          </w:rPr>
          <w:t>125</w:t>
        </w:r>
        <w:r w:rsidR="0068177A">
          <w:rPr>
            <w:noProof/>
            <w:webHidden/>
          </w:rPr>
          <w:fldChar w:fldCharType="end"/>
        </w:r>
      </w:hyperlink>
    </w:p>
    <w:p w14:paraId="4B277002" w14:textId="3E1ADC98" w:rsidR="0068177A" w:rsidRDefault="00764935">
      <w:pPr>
        <w:pStyle w:val="TDC1"/>
        <w:tabs>
          <w:tab w:val="right" w:leader="dot" w:pos="8779"/>
        </w:tabs>
        <w:rPr>
          <w:rFonts w:asciiTheme="minorHAnsi" w:eastAsiaTheme="minorEastAsia" w:hAnsiTheme="minorHAnsi"/>
          <w:b w:val="0"/>
          <w:bCs w:val="0"/>
          <w:caps w:val="0"/>
          <w:noProof/>
          <w:kern w:val="2"/>
          <w:lang w:val="en-US"/>
          <w14:ligatures w14:val="standardContextual"/>
        </w:rPr>
      </w:pPr>
      <w:hyperlink w:anchor="_Toc173245221" w:history="1">
        <w:r w:rsidR="0068177A" w:rsidRPr="000D28E7">
          <w:rPr>
            <w:rStyle w:val="Hipervnculo"/>
            <w:rFonts w:eastAsia="Times New Roman"/>
            <w:noProof/>
            <w:lang w:val="es-ES"/>
          </w:rPr>
          <w:t>NOTAS COMPLEMENTARIAS</w:t>
        </w:r>
        <w:r w:rsidR="0068177A">
          <w:rPr>
            <w:noProof/>
            <w:webHidden/>
          </w:rPr>
          <w:tab/>
        </w:r>
        <w:r w:rsidR="0068177A">
          <w:rPr>
            <w:noProof/>
            <w:webHidden/>
          </w:rPr>
          <w:fldChar w:fldCharType="begin"/>
        </w:r>
        <w:r w:rsidR="0068177A">
          <w:rPr>
            <w:noProof/>
            <w:webHidden/>
          </w:rPr>
          <w:instrText xml:space="preserve"> PAGEREF _Toc173245221 \h </w:instrText>
        </w:r>
        <w:r w:rsidR="0068177A">
          <w:rPr>
            <w:noProof/>
            <w:webHidden/>
          </w:rPr>
        </w:r>
        <w:r w:rsidR="0068177A">
          <w:rPr>
            <w:noProof/>
            <w:webHidden/>
          </w:rPr>
          <w:fldChar w:fldCharType="separate"/>
        </w:r>
        <w:r w:rsidR="0023515C">
          <w:rPr>
            <w:noProof/>
            <w:webHidden/>
          </w:rPr>
          <w:t>133</w:t>
        </w:r>
        <w:r w:rsidR="0068177A">
          <w:rPr>
            <w:noProof/>
            <w:webHidden/>
          </w:rPr>
          <w:fldChar w:fldCharType="end"/>
        </w:r>
      </w:hyperlink>
    </w:p>
    <w:p w14:paraId="4300E5C7" w14:textId="7D7D3DB4" w:rsidR="0068177A" w:rsidRDefault="00764935">
      <w:pPr>
        <w:pStyle w:val="TDC1"/>
        <w:tabs>
          <w:tab w:val="right" w:leader="dot" w:pos="8779"/>
        </w:tabs>
        <w:rPr>
          <w:rFonts w:asciiTheme="minorHAnsi" w:eastAsiaTheme="minorEastAsia" w:hAnsiTheme="minorHAnsi"/>
          <w:b w:val="0"/>
          <w:bCs w:val="0"/>
          <w:caps w:val="0"/>
          <w:noProof/>
          <w:kern w:val="2"/>
          <w:lang w:val="en-US"/>
          <w14:ligatures w14:val="standardContextual"/>
        </w:rPr>
      </w:pPr>
      <w:hyperlink w:anchor="_Toc173245222" w:history="1">
        <w:r w:rsidR="0068177A" w:rsidRPr="000D28E7">
          <w:rPr>
            <w:rStyle w:val="Hipervnculo"/>
            <w:rFonts w:eastAsia="Times New Roman"/>
            <w:noProof/>
            <w:lang w:val="es-ES"/>
          </w:rPr>
          <w:t>NOTAS CONTABLES PARTIDAS A ESTADOS FINANCIEROS</w:t>
        </w:r>
        <w:r w:rsidR="0068177A">
          <w:rPr>
            <w:noProof/>
            <w:webHidden/>
          </w:rPr>
          <w:tab/>
        </w:r>
        <w:r w:rsidR="0068177A">
          <w:rPr>
            <w:noProof/>
            <w:webHidden/>
          </w:rPr>
          <w:fldChar w:fldCharType="begin"/>
        </w:r>
        <w:r w:rsidR="0068177A">
          <w:rPr>
            <w:noProof/>
            <w:webHidden/>
          </w:rPr>
          <w:instrText xml:space="preserve"> PAGEREF _Toc173245222 \h </w:instrText>
        </w:r>
        <w:r w:rsidR="0068177A">
          <w:rPr>
            <w:noProof/>
            <w:webHidden/>
          </w:rPr>
        </w:r>
        <w:r w:rsidR="0068177A">
          <w:rPr>
            <w:noProof/>
            <w:webHidden/>
          </w:rPr>
          <w:fldChar w:fldCharType="separate"/>
        </w:r>
        <w:r w:rsidR="0023515C">
          <w:rPr>
            <w:noProof/>
            <w:webHidden/>
          </w:rPr>
          <w:t>134</w:t>
        </w:r>
        <w:r w:rsidR="0068177A">
          <w:rPr>
            <w:noProof/>
            <w:webHidden/>
          </w:rPr>
          <w:fldChar w:fldCharType="end"/>
        </w:r>
      </w:hyperlink>
    </w:p>
    <w:p w14:paraId="147BD019" w14:textId="661FC86E" w:rsidR="0068177A" w:rsidRDefault="00764935">
      <w:pPr>
        <w:pStyle w:val="TDC2"/>
        <w:tabs>
          <w:tab w:val="right" w:leader="dot" w:pos="8779"/>
        </w:tabs>
        <w:rPr>
          <w:rFonts w:eastAsiaTheme="minorEastAsia" w:cstheme="minorBidi"/>
          <w:b w:val="0"/>
          <w:bCs w:val="0"/>
          <w:noProof/>
          <w:kern w:val="2"/>
          <w:sz w:val="24"/>
          <w:szCs w:val="24"/>
          <w:lang w:val="en-US"/>
          <w14:ligatures w14:val="standardContextual"/>
        </w:rPr>
      </w:pPr>
      <w:hyperlink w:anchor="_Toc173245223" w:history="1">
        <w:r w:rsidR="0068177A" w:rsidRPr="000D28E7">
          <w:rPr>
            <w:rStyle w:val="Hipervnculo"/>
            <w:rFonts w:eastAsia="Times New Roman"/>
            <w:noProof/>
          </w:rPr>
          <w:t>NOTAS ESTADO DE SITUACION FINANCIERA</w:t>
        </w:r>
        <w:r w:rsidR="0068177A">
          <w:rPr>
            <w:noProof/>
            <w:webHidden/>
          </w:rPr>
          <w:tab/>
        </w:r>
        <w:r w:rsidR="0068177A">
          <w:rPr>
            <w:noProof/>
            <w:webHidden/>
          </w:rPr>
          <w:fldChar w:fldCharType="begin"/>
        </w:r>
        <w:r w:rsidR="0068177A">
          <w:rPr>
            <w:noProof/>
            <w:webHidden/>
          </w:rPr>
          <w:instrText xml:space="preserve"> PAGEREF _Toc173245223 \h </w:instrText>
        </w:r>
        <w:r w:rsidR="0068177A">
          <w:rPr>
            <w:noProof/>
            <w:webHidden/>
          </w:rPr>
        </w:r>
        <w:r w:rsidR="0068177A">
          <w:rPr>
            <w:noProof/>
            <w:webHidden/>
          </w:rPr>
          <w:fldChar w:fldCharType="separate"/>
        </w:r>
        <w:r w:rsidR="0023515C">
          <w:rPr>
            <w:noProof/>
            <w:webHidden/>
          </w:rPr>
          <w:t>135</w:t>
        </w:r>
        <w:r w:rsidR="0068177A">
          <w:rPr>
            <w:noProof/>
            <w:webHidden/>
          </w:rPr>
          <w:fldChar w:fldCharType="end"/>
        </w:r>
      </w:hyperlink>
    </w:p>
    <w:p w14:paraId="6CEB0986" w14:textId="32D010CD" w:rsidR="0068177A" w:rsidRDefault="00764935">
      <w:pPr>
        <w:pStyle w:val="TDC3"/>
        <w:tabs>
          <w:tab w:val="right" w:leader="dot" w:pos="8779"/>
        </w:tabs>
        <w:rPr>
          <w:rFonts w:eastAsiaTheme="minorEastAsia" w:cstheme="minorBidi"/>
          <w:noProof/>
          <w:kern w:val="2"/>
          <w:sz w:val="24"/>
          <w:szCs w:val="24"/>
          <w:lang w:val="en-US"/>
          <w14:ligatures w14:val="standardContextual"/>
        </w:rPr>
      </w:pPr>
      <w:hyperlink w:anchor="_Toc173245224" w:history="1">
        <w:r w:rsidR="0068177A" w:rsidRPr="000D28E7">
          <w:rPr>
            <w:rStyle w:val="Hipervnculo"/>
            <w:rFonts w:eastAsia="Times New Roman"/>
            <w:noProof/>
            <w:lang w:eastAsia="es-CR"/>
          </w:rPr>
          <w:t>1.1. ACTIVO</w:t>
        </w:r>
        <w:r w:rsidR="0068177A">
          <w:rPr>
            <w:noProof/>
            <w:webHidden/>
          </w:rPr>
          <w:tab/>
        </w:r>
        <w:r w:rsidR="0068177A">
          <w:rPr>
            <w:noProof/>
            <w:webHidden/>
          </w:rPr>
          <w:fldChar w:fldCharType="begin"/>
        </w:r>
        <w:r w:rsidR="0068177A">
          <w:rPr>
            <w:noProof/>
            <w:webHidden/>
          </w:rPr>
          <w:instrText xml:space="preserve"> PAGEREF _Toc173245224 \h </w:instrText>
        </w:r>
        <w:r w:rsidR="0068177A">
          <w:rPr>
            <w:noProof/>
            <w:webHidden/>
          </w:rPr>
        </w:r>
        <w:r w:rsidR="0068177A">
          <w:rPr>
            <w:noProof/>
            <w:webHidden/>
          </w:rPr>
          <w:fldChar w:fldCharType="separate"/>
        </w:r>
        <w:r w:rsidR="0023515C">
          <w:rPr>
            <w:noProof/>
            <w:webHidden/>
          </w:rPr>
          <w:t>136</w:t>
        </w:r>
        <w:r w:rsidR="0068177A">
          <w:rPr>
            <w:noProof/>
            <w:webHidden/>
          </w:rPr>
          <w:fldChar w:fldCharType="end"/>
        </w:r>
      </w:hyperlink>
    </w:p>
    <w:p w14:paraId="0FD94D99" w14:textId="6218F07E" w:rsidR="0068177A" w:rsidRDefault="00764935">
      <w:pPr>
        <w:pStyle w:val="TDC3"/>
        <w:tabs>
          <w:tab w:val="right" w:leader="dot" w:pos="8779"/>
        </w:tabs>
        <w:rPr>
          <w:rFonts w:eastAsiaTheme="minorEastAsia" w:cstheme="minorBidi"/>
          <w:noProof/>
          <w:kern w:val="2"/>
          <w:sz w:val="24"/>
          <w:szCs w:val="24"/>
          <w:lang w:val="en-US"/>
          <w14:ligatures w14:val="standardContextual"/>
        </w:rPr>
      </w:pPr>
      <w:hyperlink w:anchor="_Toc173245225" w:history="1">
        <w:r w:rsidR="0068177A" w:rsidRPr="000D28E7">
          <w:rPr>
            <w:rStyle w:val="Hipervnculo"/>
            <w:rFonts w:eastAsia="Calibri"/>
            <w:noProof/>
            <w:lang w:eastAsia="es-CR"/>
          </w:rPr>
          <w:t>1.1 ACTIVO CORRIENTE</w:t>
        </w:r>
        <w:r w:rsidR="0068177A">
          <w:rPr>
            <w:noProof/>
            <w:webHidden/>
          </w:rPr>
          <w:tab/>
        </w:r>
        <w:r w:rsidR="0068177A">
          <w:rPr>
            <w:noProof/>
            <w:webHidden/>
          </w:rPr>
          <w:fldChar w:fldCharType="begin"/>
        </w:r>
        <w:r w:rsidR="0068177A">
          <w:rPr>
            <w:noProof/>
            <w:webHidden/>
          </w:rPr>
          <w:instrText xml:space="preserve"> PAGEREF _Toc173245225 \h </w:instrText>
        </w:r>
        <w:r w:rsidR="0068177A">
          <w:rPr>
            <w:noProof/>
            <w:webHidden/>
          </w:rPr>
        </w:r>
        <w:r w:rsidR="0068177A">
          <w:rPr>
            <w:noProof/>
            <w:webHidden/>
          </w:rPr>
          <w:fldChar w:fldCharType="separate"/>
        </w:r>
        <w:r w:rsidR="0023515C">
          <w:rPr>
            <w:noProof/>
            <w:webHidden/>
          </w:rPr>
          <w:t>136</w:t>
        </w:r>
        <w:r w:rsidR="0068177A">
          <w:rPr>
            <w:noProof/>
            <w:webHidden/>
          </w:rPr>
          <w:fldChar w:fldCharType="end"/>
        </w:r>
      </w:hyperlink>
    </w:p>
    <w:p w14:paraId="1E829A0F" w14:textId="2CB59ABD"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26" w:history="1">
        <w:r w:rsidR="0068177A" w:rsidRPr="000D28E7">
          <w:rPr>
            <w:rStyle w:val="Hipervnculo"/>
            <w:rFonts w:eastAsia="Times New Roman"/>
            <w:noProof/>
            <w:lang w:eastAsia="es-CR"/>
          </w:rPr>
          <w:t>NOTA N° 3</w:t>
        </w:r>
        <w:r w:rsidR="0068177A">
          <w:rPr>
            <w:noProof/>
            <w:webHidden/>
          </w:rPr>
          <w:tab/>
        </w:r>
        <w:r w:rsidR="0068177A">
          <w:rPr>
            <w:noProof/>
            <w:webHidden/>
          </w:rPr>
          <w:fldChar w:fldCharType="begin"/>
        </w:r>
        <w:r w:rsidR="0068177A">
          <w:rPr>
            <w:noProof/>
            <w:webHidden/>
          </w:rPr>
          <w:instrText xml:space="preserve"> PAGEREF _Toc173245226 \h </w:instrText>
        </w:r>
        <w:r w:rsidR="0068177A">
          <w:rPr>
            <w:noProof/>
            <w:webHidden/>
          </w:rPr>
        </w:r>
        <w:r w:rsidR="0068177A">
          <w:rPr>
            <w:noProof/>
            <w:webHidden/>
          </w:rPr>
          <w:fldChar w:fldCharType="separate"/>
        </w:r>
        <w:r w:rsidR="0023515C">
          <w:rPr>
            <w:noProof/>
            <w:webHidden/>
          </w:rPr>
          <w:t>136</w:t>
        </w:r>
        <w:r w:rsidR="0068177A">
          <w:rPr>
            <w:noProof/>
            <w:webHidden/>
          </w:rPr>
          <w:fldChar w:fldCharType="end"/>
        </w:r>
      </w:hyperlink>
    </w:p>
    <w:p w14:paraId="135D0320" w14:textId="287D6AD4"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27" w:history="1">
        <w:r w:rsidR="0068177A" w:rsidRPr="000D28E7">
          <w:rPr>
            <w:rStyle w:val="Hipervnculo"/>
            <w:rFonts w:eastAsia="Times New Roman"/>
            <w:noProof/>
            <w:lang w:eastAsia="es-CR"/>
          </w:rPr>
          <w:t>NOTA N° 4</w:t>
        </w:r>
        <w:r w:rsidR="0068177A">
          <w:rPr>
            <w:noProof/>
            <w:webHidden/>
          </w:rPr>
          <w:tab/>
        </w:r>
        <w:r w:rsidR="0068177A">
          <w:rPr>
            <w:noProof/>
            <w:webHidden/>
          </w:rPr>
          <w:fldChar w:fldCharType="begin"/>
        </w:r>
        <w:r w:rsidR="0068177A">
          <w:rPr>
            <w:noProof/>
            <w:webHidden/>
          </w:rPr>
          <w:instrText xml:space="preserve"> PAGEREF _Toc173245227 \h </w:instrText>
        </w:r>
        <w:r w:rsidR="0068177A">
          <w:rPr>
            <w:noProof/>
            <w:webHidden/>
          </w:rPr>
        </w:r>
        <w:r w:rsidR="0068177A">
          <w:rPr>
            <w:noProof/>
            <w:webHidden/>
          </w:rPr>
          <w:fldChar w:fldCharType="separate"/>
        </w:r>
        <w:r w:rsidR="0023515C">
          <w:rPr>
            <w:noProof/>
            <w:webHidden/>
          </w:rPr>
          <w:t>139</w:t>
        </w:r>
        <w:r w:rsidR="0068177A">
          <w:rPr>
            <w:noProof/>
            <w:webHidden/>
          </w:rPr>
          <w:fldChar w:fldCharType="end"/>
        </w:r>
      </w:hyperlink>
    </w:p>
    <w:p w14:paraId="724D95A6" w14:textId="10BC8CCE"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28" w:history="1">
        <w:r w:rsidR="0068177A" w:rsidRPr="000D28E7">
          <w:rPr>
            <w:rStyle w:val="Hipervnculo"/>
            <w:noProof/>
          </w:rPr>
          <w:t>NOTA N° 5</w:t>
        </w:r>
        <w:r w:rsidR="0068177A">
          <w:rPr>
            <w:noProof/>
            <w:webHidden/>
          </w:rPr>
          <w:tab/>
        </w:r>
        <w:r w:rsidR="0068177A">
          <w:rPr>
            <w:noProof/>
            <w:webHidden/>
          </w:rPr>
          <w:fldChar w:fldCharType="begin"/>
        </w:r>
        <w:r w:rsidR="0068177A">
          <w:rPr>
            <w:noProof/>
            <w:webHidden/>
          </w:rPr>
          <w:instrText xml:space="preserve"> PAGEREF _Toc173245228 \h </w:instrText>
        </w:r>
        <w:r w:rsidR="0068177A">
          <w:rPr>
            <w:noProof/>
            <w:webHidden/>
          </w:rPr>
        </w:r>
        <w:r w:rsidR="0068177A">
          <w:rPr>
            <w:noProof/>
            <w:webHidden/>
          </w:rPr>
          <w:fldChar w:fldCharType="separate"/>
        </w:r>
        <w:r w:rsidR="0023515C">
          <w:rPr>
            <w:noProof/>
            <w:webHidden/>
          </w:rPr>
          <w:t>140</w:t>
        </w:r>
        <w:r w:rsidR="0068177A">
          <w:rPr>
            <w:noProof/>
            <w:webHidden/>
          </w:rPr>
          <w:fldChar w:fldCharType="end"/>
        </w:r>
      </w:hyperlink>
    </w:p>
    <w:p w14:paraId="2572F5E5" w14:textId="3CA2C8E0"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29" w:history="1">
        <w:r w:rsidR="0068177A" w:rsidRPr="000D28E7">
          <w:rPr>
            <w:rStyle w:val="Hipervnculo"/>
            <w:rFonts w:eastAsia="Times New Roman"/>
            <w:noProof/>
            <w:lang w:eastAsia="es-CR"/>
          </w:rPr>
          <w:t>NOTA N° 6</w:t>
        </w:r>
        <w:r w:rsidR="0068177A">
          <w:rPr>
            <w:noProof/>
            <w:webHidden/>
          </w:rPr>
          <w:tab/>
        </w:r>
        <w:r w:rsidR="0068177A">
          <w:rPr>
            <w:noProof/>
            <w:webHidden/>
          </w:rPr>
          <w:fldChar w:fldCharType="begin"/>
        </w:r>
        <w:r w:rsidR="0068177A">
          <w:rPr>
            <w:noProof/>
            <w:webHidden/>
          </w:rPr>
          <w:instrText xml:space="preserve"> PAGEREF _Toc173245229 \h </w:instrText>
        </w:r>
        <w:r w:rsidR="0068177A">
          <w:rPr>
            <w:noProof/>
            <w:webHidden/>
          </w:rPr>
        </w:r>
        <w:r w:rsidR="0068177A">
          <w:rPr>
            <w:noProof/>
            <w:webHidden/>
          </w:rPr>
          <w:fldChar w:fldCharType="separate"/>
        </w:r>
        <w:r w:rsidR="0023515C">
          <w:rPr>
            <w:noProof/>
            <w:webHidden/>
          </w:rPr>
          <w:t>143</w:t>
        </w:r>
        <w:r w:rsidR="0068177A">
          <w:rPr>
            <w:noProof/>
            <w:webHidden/>
          </w:rPr>
          <w:fldChar w:fldCharType="end"/>
        </w:r>
      </w:hyperlink>
    </w:p>
    <w:p w14:paraId="46501DF2" w14:textId="5CFDDCAC"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30" w:history="1">
        <w:r w:rsidR="0068177A" w:rsidRPr="000D28E7">
          <w:rPr>
            <w:rStyle w:val="Hipervnculo"/>
            <w:rFonts w:eastAsia="Times New Roman"/>
            <w:noProof/>
          </w:rPr>
          <w:t>NOTA N° 7</w:t>
        </w:r>
        <w:r w:rsidR="0068177A">
          <w:rPr>
            <w:noProof/>
            <w:webHidden/>
          </w:rPr>
          <w:tab/>
        </w:r>
        <w:r w:rsidR="0068177A">
          <w:rPr>
            <w:noProof/>
            <w:webHidden/>
          </w:rPr>
          <w:fldChar w:fldCharType="begin"/>
        </w:r>
        <w:r w:rsidR="0068177A">
          <w:rPr>
            <w:noProof/>
            <w:webHidden/>
          </w:rPr>
          <w:instrText xml:space="preserve"> PAGEREF _Toc173245230 \h </w:instrText>
        </w:r>
        <w:r w:rsidR="0068177A">
          <w:rPr>
            <w:noProof/>
            <w:webHidden/>
          </w:rPr>
        </w:r>
        <w:r w:rsidR="0068177A">
          <w:rPr>
            <w:noProof/>
            <w:webHidden/>
          </w:rPr>
          <w:fldChar w:fldCharType="separate"/>
        </w:r>
        <w:r w:rsidR="0023515C">
          <w:rPr>
            <w:noProof/>
            <w:webHidden/>
          </w:rPr>
          <w:t>146</w:t>
        </w:r>
        <w:r w:rsidR="0068177A">
          <w:rPr>
            <w:noProof/>
            <w:webHidden/>
          </w:rPr>
          <w:fldChar w:fldCharType="end"/>
        </w:r>
      </w:hyperlink>
    </w:p>
    <w:p w14:paraId="0A9998E5" w14:textId="49E67810" w:rsidR="0068177A" w:rsidRDefault="00764935">
      <w:pPr>
        <w:pStyle w:val="TDC3"/>
        <w:tabs>
          <w:tab w:val="right" w:leader="dot" w:pos="8779"/>
        </w:tabs>
        <w:rPr>
          <w:rFonts w:eastAsiaTheme="minorEastAsia" w:cstheme="minorBidi"/>
          <w:noProof/>
          <w:kern w:val="2"/>
          <w:sz w:val="24"/>
          <w:szCs w:val="24"/>
          <w:lang w:val="en-US"/>
          <w14:ligatures w14:val="standardContextual"/>
        </w:rPr>
      </w:pPr>
      <w:hyperlink w:anchor="_Toc173245231" w:history="1">
        <w:r w:rsidR="0068177A" w:rsidRPr="000D28E7">
          <w:rPr>
            <w:rStyle w:val="Hipervnculo"/>
            <w:rFonts w:eastAsia="Calibri"/>
            <w:noProof/>
            <w:lang w:eastAsia="es-CR"/>
          </w:rPr>
          <w:t>1.2 ACTIVO NO CORRIENTE</w:t>
        </w:r>
        <w:r w:rsidR="0068177A">
          <w:rPr>
            <w:noProof/>
            <w:webHidden/>
          </w:rPr>
          <w:tab/>
        </w:r>
        <w:r w:rsidR="0068177A">
          <w:rPr>
            <w:noProof/>
            <w:webHidden/>
          </w:rPr>
          <w:fldChar w:fldCharType="begin"/>
        </w:r>
        <w:r w:rsidR="0068177A">
          <w:rPr>
            <w:noProof/>
            <w:webHidden/>
          </w:rPr>
          <w:instrText xml:space="preserve"> PAGEREF _Toc173245231 \h </w:instrText>
        </w:r>
        <w:r w:rsidR="0068177A">
          <w:rPr>
            <w:noProof/>
            <w:webHidden/>
          </w:rPr>
        </w:r>
        <w:r w:rsidR="0068177A">
          <w:rPr>
            <w:noProof/>
            <w:webHidden/>
          </w:rPr>
          <w:fldChar w:fldCharType="separate"/>
        </w:r>
        <w:r w:rsidR="0023515C">
          <w:rPr>
            <w:noProof/>
            <w:webHidden/>
          </w:rPr>
          <w:t>147</w:t>
        </w:r>
        <w:r w:rsidR="0068177A">
          <w:rPr>
            <w:noProof/>
            <w:webHidden/>
          </w:rPr>
          <w:fldChar w:fldCharType="end"/>
        </w:r>
      </w:hyperlink>
    </w:p>
    <w:p w14:paraId="418B43B6" w14:textId="65684C6D"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32" w:history="1">
        <w:r w:rsidR="0068177A" w:rsidRPr="000D28E7">
          <w:rPr>
            <w:rStyle w:val="Hipervnculo"/>
            <w:rFonts w:eastAsia="Times New Roman"/>
            <w:noProof/>
          </w:rPr>
          <w:t>NOTA N° 8</w:t>
        </w:r>
        <w:r w:rsidR="0068177A">
          <w:rPr>
            <w:noProof/>
            <w:webHidden/>
          </w:rPr>
          <w:tab/>
        </w:r>
        <w:r w:rsidR="0068177A">
          <w:rPr>
            <w:noProof/>
            <w:webHidden/>
          </w:rPr>
          <w:fldChar w:fldCharType="begin"/>
        </w:r>
        <w:r w:rsidR="0068177A">
          <w:rPr>
            <w:noProof/>
            <w:webHidden/>
          </w:rPr>
          <w:instrText xml:space="preserve"> PAGEREF _Toc173245232 \h </w:instrText>
        </w:r>
        <w:r w:rsidR="0068177A">
          <w:rPr>
            <w:noProof/>
            <w:webHidden/>
          </w:rPr>
        </w:r>
        <w:r w:rsidR="0068177A">
          <w:rPr>
            <w:noProof/>
            <w:webHidden/>
          </w:rPr>
          <w:fldChar w:fldCharType="separate"/>
        </w:r>
        <w:r w:rsidR="0023515C">
          <w:rPr>
            <w:noProof/>
            <w:webHidden/>
          </w:rPr>
          <w:t>147</w:t>
        </w:r>
        <w:r w:rsidR="0068177A">
          <w:rPr>
            <w:noProof/>
            <w:webHidden/>
          </w:rPr>
          <w:fldChar w:fldCharType="end"/>
        </w:r>
      </w:hyperlink>
    </w:p>
    <w:p w14:paraId="16B171A4" w14:textId="21742287"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33" w:history="1">
        <w:r w:rsidR="0068177A" w:rsidRPr="000D28E7">
          <w:rPr>
            <w:rStyle w:val="Hipervnculo"/>
            <w:rFonts w:eastAsia="Times New Roman" w:cs="Times New Roman"/>
            <w:bCs/>
            <w:noProof/>
          </w:rPr>
          <w:t>NOTA N° 9</w:t>
        </w:r>
        <w:r w:rsidR="0068177A">
          <w:rPr>
            <w:noProof/>
            <w:webHidden/>
          </w:rPr>
          <w:tab/>
        </w:r>
        <w:r w:rsidR="0068177A">
          <w:rPr>
            <w:noProof/>
            <w:webHidden/>
          </w:rPr>
          <w:fldChar w:fldCharType="begin"/>
        </w:r>
        <w:r w:rsidR="0068177A">
          <w:rPr>
            <w:noProof/>
            <w:webHidden/>
          </w:rPr>
          <w:instrText xml:space="preserve"> PAGEREF _Toc173245233 \h </w:instrText>
        </w:r>
        <w:r w:rsidR="0068177A">
          <w:rPr>
            <w:noProof/>
            <w:webHidden/>
          </w:rPr>
        </w:r>
        <w:r w:rsidR="0068177A">
          <w:rPr>
            <w:noProof/>
            <w:webHidden/>
          </w:rPr>
          <w:fldChar w:fldCharType="separate"/>
        </w:r>
        <w:r w:rsidR="0023515C">
          <w:rPr>
            <w:noProof/>
            <w:webHidden/>
          </w:rPr>
          <w:t>147</w:t>
        </w:r>
        <w:r w:rsidR="0068177A">
          <w:rPr>
            <w:noProof/>
            <w:webHidden/>
          </w:rPr>
          <w:fldChar w:fldCharType="end"/>
        </w:r>
      </w:hyperlink>
    </w:p>
    <w:p w14:paraId="30614FDC" w14:textId="3B434A81"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34" w:history="1">
        <w:r w:rsidR="0068177A" w:rsidRPr="000D28E7">
          <w:rPr>
            <w:rStyle w:val="Hipervnculo"/>
            <w:rFonts w:eastAsia="Times New Roman"/>
            <w:noProof/>
          </w:rPr>
          <w:t>NOTA N° 10</w:t>
        </w:r>
        <w:r w:rsidR="0068177A">
          <w:rPr>
            <w:noProof/>
            <w:webHidden/>
          </w:rPr>
          <w:tab/>
        </w:r>
        <w:r w:rsidR="0068177A">
          <w:rPr>
            <w:noProof/>
            <w:webHidden/>
          </w:rPr>
          <w:fldChar w:fldCharType="begin"/>
        </w:r>
        <w:r w:rsidR="0068177A">
          <w:rPr>
            <w:noProof/>
            <w:webHidden/>
          </w:rPr>
          <w:instrText xml:space="preserve"> PAGEREF _Toc173245234 \h </w:instrText>
        </w:r>
        <w:r w:rsidR="0068177A">
          <w:rPr>
            <w:noProof/>
            <w:webHidden/>
          </w:rPr>
        </w:r>
        <w:r w:rsidR="0068177A">
          <w:rPr>
            <w:noProof/>
            <w:webHidden/>
          </w:rPr>
          <w:fldChar w:fldCharType="separate"/>
        </w:r>
        <w:r w:rsidR="0023515C">
          <w:rPr>
            <w:noProof/>
            <w:webHidden/>
          </w:rPr>
          <w:t>148</w:t>
        </w:r>
        <w:r w:rsidR="0068177A">
          <w:rPr>
            <w:noProof/>
            <w:webHidden/>
          </w:rPr>
          <w:fldChar w:fldCharType="end"/>
        </w:r>
      </w:hyperlink>
    </w:p>
    <w:p w14:paraId="20417601" w14:textId="2543BC2C"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35" w:history="1">
        <w:r w:rsidR="0068177A" w:rsidRPr="000D28E7">
          <w:rPr>
            <w:rStyle w:val="Hipervnculo"/>
            <w:rFonts w:eastAsia="Times New Roman"/>
            <w:noProof/>
          </w:rPr>
          <w:t>NOTA N° 11</w:t>
        </w:r>
        <w:r w:rsidR="0068177A">
          <w:rPr>
            <w:noProof/>
            <w:webHidden/>
          </w:rPr>
          <w:tab/>
        </w:r>
        <w:r w:rsidR="0068177A">
          <w:rPr>
            <w:noProof/>
            <w:webHidden/>
          </w:rPr>
          <w:fldChar w:fldCharType="begin"/>
        </w:r>
        <w:r w:rsidR="0068177A">
          <w:rPr>
            <w:noProof/>
            <w:webHidden/>
          </w:rPr>
          <w:instrText xml:space="preserve"> PAGEREF _Toc173245235 \h </w:instrText>
        </w:r>
        <w:r w:rsidR="0068177A">
          <w:rPr>
            <w:noProof/>
            <w:webHidden/>
          </w:rPr>
        </w:r>
        <w:r w:rsidR="0068177A">
          <w:rPr>
            <w:noProof/>
            <w:webHidden/>
          </w:rPr>
          <w:fldChar w:fldCharType="separate"/>
        </w:r>
        <w:r w:rsidR="0023515C">
          <w:rPr>
            <w:noProof/>
            <w:webHidden/>
          </w:rPr>
          <w:t>161</w:t>
        </w:r>
        <w:r w:rsidR="0068177A">
          <w:rPr>
            <w:noProof/>
            <w:webHidden/>
          </w:rPr>
          <w:fldChar w:fldCharType="end"/>
        </w:r>
      </w:hyperlink>
    </w:p>
    <w:p w14:paraId="0A58B7FE" w14:textId="590BFB35"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36" w:history="1">
        <w:r w:rsidR="0068177A" w:rsidRPr="000D28E7">
          <w:rPr>
            <w:rStyle w:val="Hipervnculo"/>
            <w:rFonts w:eastAsia="Times New Roman"/>
            <w:noProof/>
          </w:rPr>
          <w:t>NOTA N° 12</w:t>
        </w:r>
        <w:r w:rsidR="0068177A">
          <w:rPr>
            <w:noProof/>
            <w:webHidden/>
          </w:rPr>
          <w:tab/>
        </w:r>
        <w:r w:rsidR="0068177A">
          <w:rPr>
            <w:noProof/>
            <w:webHidden/>
          </w:rPr>
          <w:fldChar w:fldCharType="begin"/>
        </w:r>
        <w:r w:rsidR="0068177A">
          <w:rPr>
            <w:noProof/>
            <w:webHidden/>
          </w:rPr>
          <w:instrText xml:space="preserve"> PAGEREF _Toc173245236 \h </w:instrText>
        </w:r>
        <w:r w:rsidR="0068177A">
          <w:rPr>
            <w:noProof/>
            <w:webHidden/>
          </w:rPr>
        </w:r>
        <w:r w:rsidR="0068177A">
          <w:rPr>
            <w:noProof/>
            <w:webHidden/>
          </w:rPr>
          <w:fldChar w:fldCharType="separate"/>
        </w:r>
        <w:r w:rsidR="0023515C">
          <w:rPr>
            <w:noProof/>
            <w:webHidden/>
          </w:rPr>
          <w:t>164</w:t>
        </w:r>
        <w:r w:rsidR="0068177A">
          <w:rPr>
            <w:noProof/>
            <w:webHidden/>
          </w:rPr>
          <w:fldChar w:fldCharType="end"/>
        </w:r>
      </w:hyperlink>
    </w:p>
    <w:p w14:paraId="08974486" w14:textId="103AB39A"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37" w:history="1">
        <w:r w:rsidR="0068177A" w:rsidRPr="000D28E7">
          <w:rPr>
            <w:rStyle w:val="Hipervnculo"/>
            <w:rFonts w:eastAsia="Times New Roman"/>
            <w:noProof/>
          </w:rPr>
          <w:t>NOTA N° 13</w:t>
        </w:r>
        <w:r w:rsidR="0068177A">
          <w:rPr>
            <w:noProof/>
            <w:webHidden/>
          </w:rPr>
          <w:tab/>
        </w:r>
        <w:r w:rsidR="0068177A">
          <w:rPr>
            <w:noProof/>
            <w:webHidden/>
          </w:rPr>
          <w:fldChar w:fldCharType="begin"/>
        </w:r>
        <w:r w:rsidR="0068177A">
          <w:rPr>
            <w:noProof/>
            <w:webHidden/>
          </w:rPr>
          <w:instrText xml:space="preserve"> PAGEREF _Toc173245237 \h </w:instrText>
        </w:r>
        <w:r w:rsidR="0068177A">
          <w:rPr>
            <w:noProof/>
            <w:webHidden/>
          </w:rPr>
        </w:r>
        <w:r w:rsidR="0068177A">
          <w:rPr>
            <w:noProof/>
            <w:webHidden/>
          </w:rPr>
          <w:fldChar w:fldCharType="separate"/>
        </w:r>
        <w:r w:rsidR="0023515C">
          <w:rPr>
            <w:noProof/>
            <w:webHidden/>
          </w:rPr>
          <w:t>164</w:t>
        </w:r>
        <w:r w:rsidR="0068177A">
          <w:rPr>
            <w:noProof/>
            <w:webHidden/>
          </w:rPr>
          <w:fldChar w:fldCharType="end"/>
        </w:r>
      </w:hyperlink>
    </w:p>
    <w:p w14:paraId="2E2C7377" w14:textId="66122BDB" w:rsidR="0068177A" w:rsidRDefault="00764935">
      <w:pPr>
        <w:pStyle w:val="TDC3"/>
        <w:tabs>
          <w:tab w:val="right" w:leader="dot" w:pos="8779"/>
        </w:tabs>
        <w:rPr>
          <w:rFonts w:eastAsiaTheme="minorEastAsia" w:cstheme="minorBidi"/>
          <w:noProof/>
          <w:kern w:val="2"/>
          <w:sz w:val="24"/>
          <w:szCs w:val="24"/>
          <w:lang w:val="en-US"/>
          <w14:ligatures w14:val="standardContextual"/>
        </w:rPr>
      </w:pPr>
      <w:hyperlink w:anchor="_Toc173245238" w:history="1">
        <w:r w:rsidR="0068177A" w:rsidRPr="000D28E7">
          <w:rPr>
            <w:rStyle w:val="Hipervnculo"/>
            <w:rFonts w:eastAsia="Times New Roman"/>
            <w:noProof/>
            <w:lang w:eastAsia="es-CR"/>
          </w:rPr>
          <w:t>2. PASIVO</w:t>
        </w:r>
        <w:r w:rsidR="0068177A">
          <w:rPr>
            <w:noProof/>
            <w:webHidden/>
          </w:rPr>
          <w:tab/>
        </w:r>
        <w:r w:rsidR="0068177A">
          <w:rPr>
            <w:noProof/>
            <w:webHidden/>
          </w:rPr>
          <w:fldChar w:fldCharType="begin"/>
        </w:r>
        <w:r w:rsidR="0068177A">
          <w:rPr>
            <w:noProof/>
            <w:webHidden/>
          </w:rPr>
          <w:instrText xml:space="preserve"> PAGEREF _Toc173245238 \h </w:instrText>
        </w:r>
        <w:r w:rsidR="0068177A">
          <w:rPr>
            <w:noProof/>
            <w:webHidden/>
          </w:rPr>
        </w:r>
        <w:r w:rsidR="0068177A">
          <w:rPr>
            <w:noProof/>
            <w:webHidden/>
          </w:rPr>
          <w:fldChar w:fldCharType="separate"/>
        </w:r>
        <w:r w:rsidR="0023515C">
          <w:rPr>
            <w:noProof/>
            <w:webHidden/>
          </w:rPr>
          <w:t>165</w:t>
        </w:r>
        <w:r w:rsidR="0068177A">
          <w:rPr>
            <w:noProof/>
            <w:webHidden/>
          </w:rPr>
          <w:fldChar w:fldCharType="end"/>
        </w:r>
      </w:hyperlink>
    </w:p>
    <w:p w14:paraId="7A566B34" w14:textId="6756E2DC" w:rsidR="0068177A" w:rsidRDefault="00764935">
      <w:pPr>
        <w:pStyle w:val="TDC3"/>
        <w:tabs>
          <w:tab w:val="right" w:leader="dot" w:pos="8779"/>
        </w:tabs>
        <w:rPr>
          <w:rFonts w:eastAsiaTheme="minorEastAsia" w:cstheme="minorBidi"/>
          <w:noProof/>
          <w:kern w:val="2"/>
          <w:sz w:val="24"/>
          <w:szCs w:val="24"/>
          <w:lang w:val="en-US"/>
          <w14:ligatures w14:val="standardContextual"/>
        </w:rPr>
      </w:pPr>
      <w:hyperlink w:anchor="_Toc173245239" w:history="1">
        <w:r w:rsidR="0068177A" w:rsidRPr="000D28E7">
          <w:rPr>
            <w:rStyle w:val="Hipervnculo"/>
            <w:rFonts w:eastAsia="Calibri"/>
            <w:noProof/>
            <w:lang w:eastAsia="es-CR"/>
          </w:rPr>
          <w:t>2.1 PASIVO CORRIENTE</w:t>
        </w:r>
        <w:r w:rsidR="0068177A">
          <w:rPr>
            <w:noProof/>
            <w:webHidden/>
          </w:rPr>
          <w:tab/>
        </w:r>
        <w:r w:rsidR="0068177A">
          <w:rPr>
            <w:noProof/>
            <w:webHidden/>
          </w:rPr>
          <w:fldChar w:fldCharType="begin"/>
        </w:r>
        <w:r w:rsidR="0068177A">
          <w:rPr>
            <w:noProof/>
            <w:webHidden/>
          </w:rPr>
          <w:instrText xml:space="preserve"> PAGEREF _Toc173245239 \h </w:instrText>
        </w:r>
        <w:r w:rsidR="0068177A">
          <w:rPr>
            <w:noProof/>
            <w:webHidden/>
          </w:rPr>
        </w:r>
        <w:r w:rsidR="0068177A">
          <w:rPr>
            <w:noProof/>
            <w:webHidden/>
          </w:rPr>
          <w:fldChar w:fldCharType="separate"/>
        </w:r>
        <w:r w:rsidR="0023515C">
          <w:rPr>
            <w:noProof/>
            <w:webHidden/>
          </w:rPr>
          <w:t>165</w:t>
        </w:r>
        <w:r w:rsidR="0068177A">
          <w:rPr>
            <w:noProof/>
            <w:webHidden/>
          </w:rPr>
          <w:fldChar w:fldCharType="end"/>
        </w:r>
      </w:hyperlink>
    </w:p>
    <w:p w14:paraId="605B94F6" w14:textId="30CC0826"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40" w:history="1">
        <w:r w:rsidR="0068177A" w:rsidRPr="000D28E7">
          <w:rPr>
            <w:rStyle w:val="Hipervnculo"/>
            <w:rFonts w:eastAsia="Times New Roman"/>
            <w:noProof/>
          </w:rPr>
          <w:t>NOTA N° 14</w:t>
        </w:r>
        <w:r w:rsidR="0068177A">
          <w:rPr>
            <w:noProof/>
            <w:webHidden/>
          </w:rPr>
          <w:tab/>
        </w:r>
        <w:r w:rsidR="0068177A">
          <w:rPr>
            <w:noProof/>
            <w:webHidden/>
          </w:rPr>
          <w:fldChar w:fldCharType="begin"/>
        </w:r>
        <w:r w:rsidR="0068177A">
          <w:rPr>
            <w:noProof/>
            <w:webHidden/>
          </w:rPr>
          <w:instrText xml:space="preserve"> PAGEREF _Toc173245240 \h </w:instrText>
        </w:r>
        <w:r w:rsidR="0068177A">
          <w:rPr>
            <w:noProof/>
            <w:webHidden/>
          </w:rPr>
        </w:r>
        <w:r w:rsidR="0068177A">
          <w:rPr>
            <w:noProof/>
            <w:webHidden/>
          </w:rPr>
          <w:fldChar w:fldCharType="separate"/>
        </w:r>
        <w:r w:rsidR="0023515C">
          <w:rPr>
            <w:noProof/>
            <w:webHidden/>
          </w:rPr>
          <w:t>165</w:t>
        </w:r>
        <w:r w:rsidR="0068177A">
          <w:rPr>
            <w:noProof/>
            <w:webHidden/>
          </w:rPr>
          <w:fldChar w:fldCharType="end"/>
        </w:r>
      </w:hyperlink>
    </w:p>
    <w:p w14:paraId="346E90F0" w14:textId="177102BA"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41" w:history="1">
        <w:r w:rsidR="0068177A" w:rsidRPr="000D28E7">
          <w:rPr>
            <w:rStyle w:val="Hipervnculo"/>
            <w:rFonts w:eastAsia="Times New Roman"/>
            <w:noProof/>
          </w:rPr>
          <w:t>NOTA N° 15</w:t>
        </w:r>
        <w:r w:rsidR="0068177A">
          <w:rPr>
            <w:noProof/>
            <w:webHidden/>
          </w:rPr>
          <w:tab/>
        </w:r>
        <w:r w:rsidR="0068177A">
          <w:rPr>
            <w:noProof/>
            <w:webHidden/>
          </w:rPr>
          <w:fldChar w:fldCharType="begin"/>
        </w:r>
        <w:r w:rsidR="0068177A">
          <w:rPr>
            <w:noProof/>
            <w:webHidden/>
          </w:rPr>
          <w:instrText xml:space="preserve"> PAGEREF _Toc173245241 \h </w:instrText>
        </w:r>
        <w:r w:rsidR="0068177A">
          <w:rPr>
            <w:noProof/>
            <w:webHidden/>
          </w:rPr>
        </w:r>
        <w:r w:rsidR="0068177A">
          <w:rPr>
            <w:noProof/>
            <w:webHidden/>
          </w:rPr>
          <w:fldChar w:fldCharType="separate"/>
        </w:r>
        <w:r w:rsidR="0023515C">
          <w:rPr>
            <w:noProof/>
            <w:webHidden/>
          </w:rPr>
          <w:t>169</w:t>
        </w:r>
        <w:r w:rsidR="0068177A">
          <w:rPr>
            <w:noProof/>
            <w:webHidden/>
          </w:rPr>
          <w:fldChar w:fldCharType="end"/>
        </w:r>
      </w:hyperlink>
    </w:p>
    <w:p w14:paraId="10BB0C6D" w14:textId="5287DA65"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42" w:history="1">
        <w:r w:rsidR="0068177A" w:rsidRPr="000D28E7">
          <w:rPr>
            <w:rStyle w:val="Hipervnculo"/>
            <w:rFonts w:eastAsia="Times New Roman"/>
            <w:noProof/>
          </w:rPr>
          <w:t>NOTA N° 16</w:t>
        </w:r>
        <w:r w:rsidR="0068177A">
          <w:rPr>
            <w:noProof/>
            <w:webHidden/>
          </w:rPr>
          <w:tab/>
        </w:r>
        <w:r w:rsidR="0068177A">
          <w:rPr>
            <w:noProof/>
            <w:webHidden/>
          </w:rPr>
          <w:fldChar w:fldCharType="begin"/>
        </w:r>
        <w:r w:rsidR="0068177A">
          <w:rPr>
            <w:noProof/>
            <w:webHidden/>
          </w:rPr>
          <w:instrText xml:space="preserve"> PAGEREF _Toc173245242 \h </w:instrText>
        </w:r>
        <w:r w:rsidR="0068177A">
          <w:rPr>
            <w:noProof/>
            <w:webHidden/>
          </w:rPr>
        </w:r>
        <w:r w:rsidR="0068177A">
          <w:rPr>
            <w:noProof/>
            <w:webHidden/>
          </w:rPr>
          <w:fldChar w:fldCharType="separate"/>
        </w:r>
        <w:r w:rsidR="0023515C">
          <w:rPr>
            <w:noProof/>
            <w:webHidden/>
          </w:rPr>
          <w:t>170</w:t>
        </w:r>
        <w:r w:rsidR="0068177A">
          <w:rPr>
            <w:noProof/>
            <w:webHidden/>
          </w:rPr>
          <w:fldChar w:fldCharType="end"/>
        </w:r>
      </w:hyperlink>
    </w:p>
    <w:p w14:paraId="72D85EC7" w14:textId="590DF790"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43" w:history="1">
        <w:r w:rsidR="0068177A" w:rsidRPr="000D28E7">
          <w:rPr>
            <w:rStyle w:val="Hipervnculo"/>
            <w:rFonts w:eastAsia="Times New Roman"/>
            <w:noProof/>
          </w:rPr>
          <w:t>NOTA N° 17</w:t>
        </w:r>
        <w:r w:rsidR="0068177A">
          <w:rPr>
            <w:noProof/>
            <w:webHidden/>
          </w:rPr>
          <w:tab/>
        </w:r>
        <w:r w:rsidR="0068177A">
          <w:rPr>
            <w:noProof/>
            <w:webHidden/>
          </w:rPr>
          <w:fldChar w:fldCharType="begin"/>
        </w:r>
        <w:r w:rsidR="0068177A">
          <w:rPr>
            <w:noProof/>
            <w:webHidden/>
          </w:rPr>
          <w:instrText xml:space="preserve"> PAGEREF _Toc173245243 \h </w:instrText>
        </w:r>
        <w:r w:rsidR="0068177A">
          <w:rPr>
            <w:noProof/>
            <w:webHidden/>
          </w:rPr>
        </w:r>
        <w:r w:rsidR="0068177A">
          <w:rPr>
            <w:noProof/>
            <w:webHidden/>
          </w:rPr>
          <w:fldChar w:fldCharType="separate"/>
        </w:r>
        <w:r w:rsidR="0023515C">
          <w:rPr>
            <w:noProof/>
            <w:webHidden/>
          </w:rPr>
          <w:t>171</w:t>
        </w:r>
        <w:r w:rsidR="0068177A">
          <w:rPr>
            <w:noProof/>
            <w:webHidden/>
          </w:rPr>
          <w:fldChar w:fldCharType="end"/>
        </w:r>
      </w:hyperlink>
    </w:p>
    <w:p w14:paraId="71B8E66F" w14:textId="17574D8D"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44" w:history="1">
        <w:r w:rsidR="0068177A" w:rsidRPr="000D28E7">
          <w:rPr>
            <w:rStyle w:val="Hipervnculo"/>
            <w:rFonts w:eastAsia="Times New Roman"/>
            <w:noProof/>
          </w:rPr>
          <w:t>NOTA N° 18</w:t>
        </w:r>
        <w:r w:rsidR="0068177A">
          <w:rPr>
            <w:noProof/>
            <w:webHidden/>
          </w:rPr>
          <w:tab/>
        </w:r>
        <w:r w:rsidR="0068177A">
          <w:rPr>
            <w:noProof/>
            <w:webHidden/>
          </w:rPr>
          <w:fldChar w:fldCharType="begin"/>
        </w:r>
        <w:r w:rsidR="0068177A">
          <w:rPr>
            <w:noProof/>
            <w:webHidden/>
          </w:rPr>
          <w:instrText xml:space="preserve"> PAGEREF _Toc173245244 \h </w:instrText>
        </w:r>
        <w:r w:rsidR="0068177A">
          <w:rPr>
            <w:noProof/>
            <w:webHidden/>
          </w:rPr>
        </w:r>
        <w:r w:rsidR="0068177A">
          <w:rPr>
            <w:noProof/>
            <w:webHidden/>
          </w:rPr>
          <w:fldChar w:fldCharType="separate"/>
        </w:r>
        <w:r w:rsidR="0023515C">
          <w:rPr>
            <w:noProof/>
            <w:webHidden/>
          </w:rPr>
          <w:t>174</w:t>
        </w:r>
        <w:r w:rsidR="0068177A">
          <w:rPr>
            <w:noProof/>
            <w:webHidden/>
          </w:rPr>
          <w:fldChar w:fldCharType="end"/>
        </w:r>
      </w:hyperlink>
    </w:p>
    <w:p w14:paraId="5D6D3120" w14:textId="35CFA364" w:rsidR="0068177A" w:rsidRDefault="00764935">
      <w:pPr>
        <w:pStyle w:val="TDC3"/>
        <w:tabs>
          <w:tab w:val="right" w:leader="dot" w:pos="8779"/>
        </w:tabs>
        <w:rPr>
          <w:rFonts w:eastAsiaTheme="minorEastAsia" w:cstheme="minorBidi"/>
          <w:noProof/>
          <w:kern w:val="2"/>
          <w:sz w:val="24"/>
          <w:szCs w:val="24"/>
          <w:lang w:val="en-US"/>
          <w14:ligatures w14:val="standardContextual"/>
        </w:rPr>
      </w:pPr>
      <w:hyperlink w:anchor="_Toc173245245" w:history="1">
        <w:r w:rsidR="0068177A" w:rsidRPr="000D28E7">
          <w:rPr>
            <w:rStyle w:val="Hipervnculo"/>
            <w:rFonts w:eastAsia="Calibri"/>
            <w:noProof/>
            <w:lang w:eastAsia="es-CR"/>
          </w:rPr>
          <w:t>2.2 PASIVO NO CORRIENTE</w:t>
        </w:r>
        <w:r w:rsidR="0068177A">
          <w:rPr>
            <w:noProof/>
            <w:webHidden/>
          </w:rPr>
          <w:tab/>
        </w:r>
        <w:r w:rsidR="0068177A">
          <w:rPr>
            <w:noProof/>
            <w:webHidden/>
          </w:rPr>
          <w:fldChar w:fldCharType="begin"/>
        </w:r>
        <w:r w:rsidR="0068177A">
          <w:rPr>
            <w:noProof/>
            <w:webHidden/>
          </w:rPr>
          <w:instrText xml:space="preserve"> PAGEREF _Toc173245245 \h </w:instrText>
        </w:r>
        <w:r w:rsidR="0068177A">
          <w:rPr>
            <w:noProof/>
            <w:webHidden/>
          </w:rPr>
        </w:r>
        <w:r w:rsidR="0068177A">
          <w:rPr>
            <w:noProof/>
            <w:webHidden/>
          </w:rPr>
          <w:fldChar w:fldCharType="separate"/>
        </w:r>
        <w:r w:rsidR="0023515C">
          <w:rPr>
            <w:noProof/>
            <w:webHidden/>
          </w:rPr>
          <w:t>175</w:t>
        </w:r>
        <w:r w:rsidR="0068177A">
          <w:rPr>
            <w:noProof/>
            <w:webHidden/>
          </w:rPr>
          <w:fldChar w:fldCharType="end"/>
        </w:r>
      </w:hyperlink>
    </w:p>
    <w:p w14:paraId="41027BC1" w14:textId="3CAE4F2D"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46" w:history="1">
        <w:r w:rsidR="0068177A" w:rsidRPr="000D28E7">
          <w:rPr>
            <w:rStyle w:val="Hipervnculo"/>
            <w:rFonts w:eastAsia="Times New Roman"/>
            <w:noProof/>
          </w:rPr>
          <w:t>NOTA N° 19</w:t>
        </w:r>
        <w:r w:rsidR="0068177A">
          <w:rPr>
            <w:noProof/>
            <w:webHidden/>
          </w:rPr>
          <w:tab/>
        </w:r>
        <w:r w:rsidR="0068177A">
          <w:rPr>
            <w:noProof/>
            <w:webHidden/>
          </w:rPr>
          <w:fldChar w:fldCharType="begin"/>
        </w:r>
        <w:r w:rsidR="0068177A">
          <w:rPr>
            <w:noProof/>
            <w:webHidden/>
          </w:rPr>
          <w:instrText xml:space="preserve"> PAGEREF _Toc173245246 \h </w:instrText>
        </w:r>
        <w:r w:rsidR="0068177A">
          <w:rPr>
            <w:noProof/>
            <w:webHidden/>
          </w:rPr>
        </w:r>
        <w:r w:rsidR="0068177A">
          <w:rPr>
            <w:noProof/>
            <w:webHidden/>
          </w:rPr>
          <w:fldChar w:fldCharType="separate"/>
        </w:r>
        <w:r w:rsidR="0023515C">
          <w:rPr>
            <w:noProof/>
            <w:webHidden/>
          </w:rPr>
          <w:t>175</w:t>
        </w:r>
        <w:r w:rsidR="0068177A">
          <w:rPr>
            <w:noProof/>
            <w:webHidden/>
          </w:rPr>
          <w:fldChar w:fldCharType="end"/>
        </w:r>
      </w:hyperlink>
    </w:p>
    <w:p w14:paraId="175280DE" w14:textId="1E0E57D7"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47" w:history="1">
        <w:r w:rsidR="0068177A" w:rsidRPr="000D28E7">
          <w:rPr>
            <w:rStyle w:val="Hipervnculo"/>
            <w:rFonts w:eastAsia="Times New Roman"/>
            <w:noProof/>
          </w:rPr>
          <w:t>NOTA N° 20</w:t>
        </w:r>
        <w:r w:rsidR="0068177A">
          <w:rPr>
            <w:noProof/>
            <w:webHidden/>
          </w:rPr>
          <w:tab/>
        </w:r>
        <w:r w:rsidR="0068177A">
          <w:rPr>
            <w:noProof/>
            <w:webHidden/>
          </w:rPr>
          <w:fldChar w:fldCharType="begin"/>
        </w:r>
        <w:r w:rsidR="0068177A">
          <w:rPr>
            <w:noProof/>
            <w:webHidden/>
          </w:rPr>
          <w:instrText xml:space="preserve"> PAGEREF _Toc173245247 \h </w:instrText>
        </w:r>
        <w:r w:rsidR="0068177A">
          <w:rPr>
            <w:noProof/>
            <w:webHidden/>
          </w:rPr>
        </w:r>
        <w:r w:rsidR="0068177A">
          <w:rPr>
            <w:noProof/>
            <w:webHidden/>
          </w:rPr>
          <w:fldChar w:fldCharType="separate"/>
        </w:r>
        <w:r w:rsidR="0023515C">
          <w:rPr>
            <w:noProof/>
            <w:webHidden/>
          </w:rPr>
          <w:t>176</w:t>
        </w:r>
        <w:r w:rsidR="0068177A">
          <w:rPr>
            <w:noProof/>
            <w:webHidden/>
          </w:rPr>
          <w:fldChar w:fldCharType="end"/>
        </w:r>
      </w:hyperlink>
    </w:p>
    <w:p w14:paraId="532691C0" w14:textId="3E079179"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48" w:history="1">
        <w:r w:rsidR="0068177A" w:rsidRPr="000D28E7">
          <w:rPr>
            <w:rStyle w:val="Hipervnculo"/>
            <w:rFonts w:eastAsia="Times New Roman"/>
            <w:noProof/>
          </w:rPr>
          <w:t>NOTA N° 21</w:t>
        </w:r>
        <w:r w:rsidR="0068177A">
          <w:rPr>
            <w:noProof/>
            <w:webHidden/>
          </w:rPr>
          <w:tab/>
        </w:r>
        <w:r w:rsidR="0068177A">
          <w:rPr>
            <w:noProof/>
            <w:webHidden/>
          </w:rPr>
          <w:fldChar w:fldCharType="begin"/>
        </w:r>
        <w:r w:rsidR="0068177A">
          <w:rPr>
            <w:noProof/>
            <w:webHidden/>
          </w:rPr>
          <w:instrText xml:space="preserve"> PAGEREF _Toc173245248 \h </w:instrText>
        </w:r>
        <w:r w:rsidR="0068177A">
          <w:rPr>
            <w:noProof/>
            <w:webHidden/>
          </w:rPr>
        </w:r>
        <w:r w:rsidR="0068177A">
          <w:rPr>
            <w:noProof/>
            <w:webHidden/>
          </w:rPr>
          <w:fldChar w:fldCharType="separate"/>
        </w:r>
        <w:r w:rsidR="0023515C">
          <w:rPr>
            <w:noProof/>
            <w:webHidden/>
          </w:rPr>
          <w:t>177</w:t>
        </w:r>
        <w:r w:rsidR="0068177A">
          <w:rPr>
            <w:noProof/>
            <w:webHidden/>
          </w:rPr>
          <w:fldChar w:fldCharType="end"/>
        </w:r>
      </w:hyperlink>
    </w:p>
    <w:p w14:paraId="09B24912" w14:textId="07FCE82A"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49" w:history="1">
        <w:r w:rsidR="0068177A" w:rsidRPr="000D28E7">
          <w:rPr>
            <w:rStyle w:val="Hipervnculo"/>
            <w:rFonts w:eastAsia="Times New Roman"/>
            <w:noProof/>
          </w:rPr>
          <w:t>NOTA N° 22</w:t>
        </w:r>
        <w:r w:rsidR="0068177A">
          <w:rPr>
            <w:noProof/>
            <w:webHidden/>
          </w:rPr>
          <w:tab/>
        </w:r>
        <w:r w:rsidR="0068177A">
          <w:rPr>
            <w:noProof/>
            <w:webHidden/>
          </w:rPr>
          <w:fldChar w:fldCharType="begin"/>
        </w:r>
        <w:r w:rsidR="0068177A">
          <w:rPr>
            <w:noProof/>
            <w:webHidden/>
          </w:rPr>
          <w:instrText xml:space="preserve"> PAGEREF _Toc173245249 \h </w:instrText>
        </w:r>
        <w:r w:rsidR="0068177A">
          <w:rPr>
            <w:noProof/>
            <w:webHidden/>
          </w:rPr>
        </w:r>
        <w:r w:rsidR="0068177A">
          <w:rPr>
            <w:noProof/>
            <w:webHidden/>
          </w:rPr>
          <w:fldChar w:fldCharType="separate"/>
        </w:r>
        <w:r w:rsidR="0023515C">
          <w:rPr>
            <w:noProof/>
            <w:webHidden/>
          </w:rPr>
          <w:t>177</w:t>
        </w:r>
        <w:r w:rsidR="0068177A">
          <w:rPr>
            <w:noProof/>
            <w:webHidden/>
          </w:rPr>
          <w:fldChar w:fldCharType="end"/>
        </w:r>
      </w:hyperlink>
    </w:p>
    <w:p w14:paraId="17A9F49C" w14:textId="5780AD43"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50" w:history="1">
        <w:r w:rsidR="0068177A" w:rsidRPr="000D28E7">
          <w:rPr>
            <w:rStyle w:val="Hipervnculo"/>
            <w:rFonts w:eastAsia="Times New Roman"/>
            <w:noProof/>
          </w:rPr>
          <w:t>NOTA N° 23</w:t>
        </w:r>
        <w:r w:rsidR="0068177A">
          <w:rPr>
            <w:noProof/>
            <w:webHidden/>
          </w:rPr>
          <w:tab/>
        </w:r>
        <w:r w:rsidR="0068177A">
          <w:rPr>
            <w:noProof/>
            <w:webHidden/>
          </w:rPr>
          <w:fldChar w:fldCharType="begin"/>
        </w:r>
        <w:r w:rsidR="0068177A">
          <w:rPr>
            <w:noProof/>
            <w:webHidden/>
          </w:rPr>
          <w:instrText xml:space="preserve"> PAGEREF _Toc173245250 \h </w:instrText>
        </w:r>
        <w:r w:rsidR="0068177A">
          <w:rPr>
            <w:noProof/>
            <w:webHidden/>
          </w:rPr>
        </w:r>
        <w:r w:rsidR="0068177A">
          <w:rPr>
            <w:noProof/>
            <w:webHidden/>
          </w:rPr>
          <w:fldChar w:fldCharType="separate"/>
        </w:r>
        <w:r w:rsidR="0023515C">
          <w:rPr>
            <w:noProof/>
            <w:webHidden/>
          </w:rPr>
          <w:t>178</w:t>
        </w:r>
        <w:r w:rsidR="0068177A">
          <w:rPr>
            <w:noProof/>
            <w:webHidden/>
          </w:rPr>
          <w:fldChar w:fldCharType="end"/>
        </w:r>
      </w:hyperlink>
    </w:p>
    <w:p w14:paraId="6E19B992" w14:textId="1F595B3F" w:rsidR="0068177A" w:rsidRDefault="00764935">
      <w:pPr>
        <w:pStyle w:val="TDC3"/>
        <w:tabs>
          <w:tab w:val="right" w:leader="dot" w:pos="8779"/>
        </w:tabs>
        <w:rPr>
          <w:rFonts w:eastAsiaTheme="minorEastAsia" w:cstheme="minorBidi"/>
          <w:noProof/>
          <w:kern w:val="2"/>
          <w:sz w:val="24"/>
          <w:szCs w:val="24"/>
          <w:lang w:val="en-US"/>
          <w14:ligatures w14:val="standardContextual"/>
        </w:rPr>
      </w:pPr>
      <w:hyperlink w:anchor="_Toc173245251" w:history="1">
        <w:r w:rsidR="0068177A" w:rsidRPr="000D28E7">
          <w:rPr>
            <w:rStyle w:val="Hipervnculo"/>
            <w:rFonts w:eastAsia="Times New Roman"/>
            <w:noProof/>
            <w:lang w:eastAsia="es-CR"/>
          </w:rPr>
          <w:t>3. PATRIMONIO</w:t>
        </w:r>
        <w:r w:rsidR="0068177A">
          <w:rPr>
            <w:noProof/>
            <w:webHidden/>
          </w:rPr>
          <w:tab/>
        </w:r>
        <w:r w:rsidR="0068177A">
          <w:rPr>
            <w:noProof/>
            <w:webHidden/>
          </w:rPr>
          <w:fldChar w:fldCharType="begin"/>
        </w:r>
        <w:r w:rsidR="0068177A">
          <w:rPr>
            <w:noProof/>
            <w:webHidden/>
          </w:rPr>
          <w:instrText xml:space="preserve"> PAGEREF _Toc173245251 \h </w:instrText>
        </w:r>
        <w:r w:rsidR="0068177A">
          <w:rPr>
            <w:noProof/>
            <w:webHidden/>
          </w:rPr>
        </w:r>
        <w:r w:rsidR="0068177A">
          <w:rPr>
            <w:noProof/>
            <w:webHidden/>
          </w:rPr>
          <w:fldChar w:fldCharType="separate"/>
        </w:r>
        <w:r w:rsidR="0023515C">
          <w:rPr>
            <w:noProof/>
            <w:webHidden/>
          </w:rPr>
          <w:t>179</w:t>
        </w:r>
        <w:r w:rsidR="0068177A">
          <w:rPr>
            <w:noProof/>
            <w:webHidden/>
          </w:rPr>
          <w:fldChar w:fldCharType="end"/>
        </w:r>
      </w:hyperlink>
    </w:p>
    <w:p w14:paraId="6BF0F904" w14:textId="3905A3BB" w:rsidR="0068177A" w:rsidRDefault="00764935">
      <w:pPr>
        <w:pStyle w:val="TDC3"/>
        <w:tabs>
          <w:tab w:val="right" w:leader="dot" w:pos="8779"/>
        </w:tabs>
        <w:rPr>
          <w:rFonts w:eastAsiaTheme="minorEastAsia" w:cstheme="minorBidi"/>
          <w:noProof/>
          <w:kern w:val="2"/>
          <w:sz w:val="24"/>
          <w:szCs w:val="24"/>
          <w:lang w:val="en-US"/>
          <w14:ligatures w14:val="standardContextual"/>
        </w:rPr>
      </w:pPr>
      <w:hyperlink w:anchor="_Toc173245252" w:history="1">
        <w:r w:rsidR="0068177A" w:rsidRPr="000D28E7">
          <w:rPr>
            <w:rStyle w:val="Hipervnculo"/>
            <w:rFonts w:eastAsia="Calibri"/>
            <w:noProof/>
            <w:lang w:eastAsia="es-CR"/>
          </w:rPr>
          <w:t>3.1 PATRIMONIO PUBLICO</w:t>
        </w:r>
        <w:r w:rsidR="0068177A">
          <w:rPr>
            <w:noProof/>
            <w:webHidden/>
          </w:rPr>
          <w:tab/>
        </w:r>
        <w:r w:rsidR="0068177A">
          <w:rPr>
            <w:noProof/>
            <w:webHidden/>
          </w:rPr>
          <w:fldChar w:fldCharType="begin"/>
        </w:r>
        <w:r w:rsidR="0068177A">
          <w:rPr>
            <w:noProof/>
            <w:webHidden/>
          </w:rPr>
          <w:instrText xml:space="preserve"> PAGEREF _Toc173245252 \h </w:instrText>
        </w:r>
        <w:r w:rsidR="0068177A">
          <w:rPr>
            <w:noProof/>
            <w:webHidden/>
          </w:rPr>
        </w:r>
        <w:r w:rsidR="0068177A">
          <w:rPr>
            <w:noProof/>
            <w:webHidden/>
          </w:rPr>
          <w:fldChar w:fldCharType="separate"/>
        </w:r>
        <w:r w:rsidR="0023515C">
          <w:rPr>
            <w:noProof/>
            <w:webHidden/>
          </w:rPr>
          <w:t>179</w:t>
        </w:r>
        <w:r w:rsidR="0068177A">
          <w:rPr>
            <w:noProof/>
            <w:webHidden/>
          </w:rPr>
          <w:fldChar w:fldCharType="end"/>
        </w:r>
      </w:hyperlink>
    </w:p>
    <w:p w14:paraId="168E0CB6" w14:textId="12E4DE01"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53" w:history="1">
        <w:r w:rsidR="0068177A" w:rsidRPr="000D28E7">
          <w:rPr>
            <w:rStyle w:val="Hipervnculo"/>
            <w:rFonts w:eastAsia="Times New Roman"/>
            <w:noProof/>
          </w:rPr>
          <w:t>NOTA N° 24</w:t>
        </w:r>
        <w:r w:rsidR="0068177A">
          <w:rPr>
            <w:noProof/>
            <w:webHidden/>
          </w:rPr>
          <w:tab/>
        </w:r>
        <w:r w:rsidR="0068177A">
          <w:rPr>
            <w:noProof/>
            <w:webHidden/>
          </w:rPr>
          <w:fldChar w:fldCharType="begin"/>
        </w:r>
        <w:r w:rsidR="0068177A">
          <w:rPr>
            <w:noProof/>
            <w:webHidden/>
          </w:rPr>
          <w:instrText xml:space="preserve"> PAGEREF _Toc173245253 \h </w:instrText>
        </w:r>
        <w:r w:rsidR="0068177A">
          <w:rPr>
            <w:noProof/>
            <w:webHidden/>
          </w:rPr>
        </w:r>
        <w:r w:rsidR="0068177A">
          <w:rPr>
            <w:noProof/>
            <w:webHidden/>
          </w:rPr>
          <w:fldChar w:fldCharType="separate"/>
        </w:r>
        <w:r w:rsidR="0023515C">
          <w:rPr>
            <w:noProof/>
            <w:webHidden/>
          </w:rPr>
          <w:t>179</w:t>
        </w:r>
        <w:r w:rsidR="0068177A">
          <w:rPr>
            <w:noProof/>
            <w:webHidden/>
          </w:rPr>
          <w:fldChar w:fldCharType="end"/>
        </w:r>
      </w:hyperlink>
    </w:p>
    <w:p w14:paraId="628A5824" w14:textId="49E20788"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54" w:history="1">
        <w:r w:rsidR="0068177A" w:rsidRPr="000D28E7">
          <w:rPr>
            <w:rStyle w:val="Hipervnculo"/>
            <w:rFonts w:eastAsia="Times New Roman"/>
            <w:noProof/>
          </w:rPr>
          <w:t>NOTA N° 25</w:t>
        </w:r>
        <w:r w:rsidR="0068177A">
          <w:rPr>
            <w:noProof/>
            <w:webHidden/>
          </w:rPr>
          <w:tab/>
        </w:r>
        <w:r w:rsidR="0068177A">
          <w:rPr>
            <w:noProof/>
            <w:webHidden/>
          </w:rPr>
          <w:fldChar w:fldCharType="begin"/>
        </w:r>
        <w:r w:rsidR="0068177A">
          <w:rPr>
            <w:noProof/>
            <w:webHidden/>
          </w:rPr>
          <w:instrText xml:space="preserve"> PAGEREF _Toc173245254 \h </w:instrText>
        </w:r>
        <w:r w:rsidR="0068177A">
          <w:rPr>
            <w:noProof/>
            <w:webHidden/>
          </w:rPr>
        </w:r>
        <w:r w:rsidR="0068177A">
          <w:rPr>
            <w:noProof/>
            <w:webHidden/>
          </w:rPr>
          <w:fldChar w:fldCharType="separate"/>
        </w:r>
        <w:r w:rsidR="0023515C">
          <w:rPr>
            <w:noProof/>
            <w:webHidden/>
          </w:rPr>
          <w:t>181</w:t>
        </w:r>
        <w:r w:rsidR="0068177A">
          <w:rPr>
            <w:noProof/>
            <w:webHidden/>
          </w:rPr>
          <w:fldChar w:fldCharType="end"/>
        </w:r>
      </w:hyperlink>
    </w:p>
    <w:p w14:paraId="7064357E" w14:textId="7FDDACEF"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55" w:history="1">
        <w:r w:rsidR="0068177A" w:rsidRPr="000D28E7">
          <w:rPr>
            <w:rStyle w:val="Hipervnculo"/>
            <w:rFonts w:eastAsia="Times New Roman"/>
            <w:noProof/>
          </w:rPr>
          <w:t>NOTA N° 26</w:t>
        </w:r>
        <w:r w:rsidR="0068177A">
          <w:rPr>
            <w:noProof/>
            <w:webHidden/>
          </w:rPr>
          <w:tab/>
        </w:r>
        <w:r w:rsidR="0068177A">
          <w:rPr>
            <w:noProof/>
            <w:webHidden/>
          </w:rPr>
          <w:fldChar w:fldCharType="begin"/>
        </w:r>
        <w:r w:rsidR="0068177A">
          <w:rPr>
            <w:noProof/>
            <w:webHidden/>
          </w:rPr>
          <w:instrText xml:space="preserve"> PAGEREF _Toc173245255 \h </w:instrText>
        </w:r>
        <w:r w:rsidR="0068177A">
          <w:rPr>
            <w:noProof/>
            <w:webHidden/>
          </w:rPr>
        </w:r>
        <w:r w:rsidR="0068177A">
          <w:rPr>
            <w:noProof/>
            <w:webHidden/>
          </w:rPr>
          <w:fldChar w:fldCharType="separate"/>
        </w:r>
        <w:r w:rsidR="0023515C">
          <w:rPr>
            <w:noProof/>
            <w:webHidden/>
          </w:rPr>
          <w:t>181</w:t>
        </w:r>
        <w:r w:rsidR="0068177A">
          <w:rPr>
            <w:noProof/>
            <w:webHidden/>
          </w:rPr>
          <w:fldChar w:fldCharType="end"/>
        </w:r>
      </w:hyperlink>
    </w:p>
    <w:p w14:paraId="4F650980" w14:textId="1BC0D854"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56" w:history="1">
        <w:r w:rsidR="0068177A" w:rsidRPr="000D28E7">
          <w:rPr>
            <w:rStyle w:val="Hipervnculo"/>
            <w:rFonts w:eastAsia="Times New Roman"/>
            <w:noProof/>
          </w:rPr>
          <w:t>NOTA N° 27</w:t>
        </w:r>
        <w:r w:rsidR="0068177A">
          <w:rPr>
            <w:noProof/>
            <w:webHidden/>
          </w:rPr>
          <w:tab/>
        </w:r>
        <w:r w:rsidR="0068177A">
          <w:rPr>
            <w:noProof/>
            <w:webHidden/>
          </w:rPr>
          <w:fldChar w:fldCharType="begin"/>
        </w:r>
        <w:r w:rsidR="0068177A">
          <w:rPr>
            <w:noProof/>
            <w:webHidden/>
          </w:rPr>
          <w:instrText xml:space="preserve"> PAGEREF _Toc173245256 \h </w:instrText>
        </w:r>
        <w:r w:rsidR="0068177A">
          <w:rPr>
            <w:noProof/>
            <w:webHidden/>
          </w:rPr>
        </w:r>
        <w:r w:rsidR="0068177A">
          <w:rPr>
            <w:noProof/>
            <w:webHidden/>
          </w:rPr>
          <w:fldChar w:fldCharType="separate"/>
        </w:r>
        <w:r w:rsidR="0023515C">
          <w:rPr>
            <w:noProof/>
            <w:webHidden/>
          </w:rPr>
          <w:t>181</w:t>
        </w:r>
        <w:r w:rsidR="0068177A">
          <w:rPr>
            <w:noProof/>
            <w:webHidden/>
          </w:rPr>
          <w:fldChar w:fldCharType="end"/>
        </w:r>
      </w:hyperlink>
    </w:p>
    <w:p w14:paraId="722A4E89" w14:textId="0647FCE1"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57" w:history="1">
        <w:r w:rsidR="0068177A" w:rsidRPr="000D28E7">
          <w:rPr>
            <w:rStyle w:val="Hipervnculo"/>
            <w:rFonts w:eastAsia="Times New Roman"/>
            <w:noProof/>
          </w:rPr>
          <w:t>NOTA N° 28</w:t>
        </w:r>
        <w:r w:rsidR="0068177A">
          <w:rPr>
            <w:noProof/>
            <w:webHidden/>
          </w:rPr>
          <w:tab/>
        </w:r>
        <w:r w:rsidR="0068177A">
          <w:rPr>
            <w:noProof/>
            <w:webHidden/>
          </w:rPr>
          <w:fldChar w:fldCharType="begin"/>
        </w:r>
        <w:r w:rsidR="0068177A">
          <w:rPr>
            <w:noProof/>
            <w:webHidden/>
          </w:rPr>
          <w:instrText xml:space="preserve"> PAGEREF _Toc173245257 \h </w:instrText>
        </w:r>
        <w:r w:rsidR="0068177A">
          <w:rPr>
            <w:noProof/>
            <w:webHidden/>
          </w:rPr>
        </w:r>
        <w:r w:rsidR="0068177A">
          <w:rPr>
            <w:noProof/>
            <w:webHidden/>
          </w:rPr>
          <w:fldChar w:fldCharType="separate"/>
        </w:r>
        <w:r w:rsidR="0023515C">
          <w:rPr>
            <w:noProof/>
            <w:webHidden/>
          </w:rPr>
          <w:t>182</w:t>
        </w:r>
        <w:r w:rsidR="0068177A">
          <w:rPr>
            <w:noProof/>
            <w:webHidden/>
          </w:rPr>
          <w:fldChar w:fldCharType="end"/>
        </w:r>
      </w:hyperlink>
    </w:p>
    <w:p w14:paraId="5C13D235" w14:textId="77F178CD"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58" w:history="1">
        <w:r w:rsidR="0068177A" w:rsidRPr="000D28E7">
          <w:rPr>
            <w:rStyle w:val="Hipervnculo"/>
            <w:rFonts w:eastAsia="Times New Roman"/>
            <w:noProof/>
          </w:rPr>
          <w:t>NOTA N° 29</w:t>
        </w:r>
        <w:r w:rsidR="0068177A">
          <w:rPr>
            <w:noProof/>
            <w:webHidden/>
          </w:rPr>
          <w:tab/>
        </w:r>
        <w:r w:rsidR="0068177A">
          <w:rPr>
            <w:noProof/>
            <w:webHidden/>
          </w:rPr>
          <w:fldChar w:fldCharType="begin"/>
        </w:r>
        <w:r w:rsidR="0068177A">
          <w:rPr>
            <w:noProof/>
            <w:webHidden/>
          </w:rPr>
          <w:instrText xml:space="preserve"> PAGEREF _Toc173245258 \h </w:instrText>
        </w:r>
        <w:r w:rsidR="0068177A">
          <w:rPr>
            <w:noProof/>
            <w:webHidden/>
          </w:rPr>
        </w:r>
        <w:r w:rsidR="0068177A">
          <w:rPr>
            <w:noProof/>
            <w:webHidden/>
          </w:rPr>
          <w:fldChar w:fldCharType="separate"/>
        </w:r>
        <w:r w:rsidR="0023515C">
          <w:rPr>
            <w:noProof/>
            <w:webHidden/>
          </w:rPr>
          <w:t>183</w:t>
        </w:r>
        <w:r w:rsidR="0068177A">
          <w:rPr>
            <w:noProof/>
            <w:webHidden/>
          </w:rPr>
          <w:fldChar w:fldCharType="end"/>
        </w:r>
      </w:hyperlink>
    </w:p>
    <w:p w14:paraId="7F741F94" w14:textId="727943BA"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59" w:history="1">
        <w:r w:rsidR="0068177A" w:rsidRPr="000D28E7">
          <w:rPr>
            <w:rStyle w:val="Hipervnculo"/>
            <w:rFonts w:eastAsia="Times New Roman"/>
            <w:noProof/>
          </w:rPr>
          <w:t>NOTA N° 30</w:t>
        </w:r>
        <w:r w:rsidR="0068177A">
          <w:rPr>
            <w:noProof/>
            <w:webHidden/>
          </w:rPr>
          <w:tab/>
        </w:r>
        <w:r w:rsidR="0068177A">
          <w:rPr>
            <w:noProof/>
            <w:webHidden/>
          </w:rPr>
          <w:fldChar w:fldCharType="begin"/>
        </w:r>
        <w:r w:rsidR="0068177A">
          <w:rPr>
            <w:noProof/>
            <w:webHidden/>
          </w:rPr>
          <w:instrText xml:space="preserve"> PAGEREF _Toc173245259 \h </w:instrText>
        </w:r>
        <w:r w:rsidR="0068177A">
          <w:rPr>
            <w:noProof/>
            <w:webHidden/>
          </w:rPr>
        </w:r>
        <w:r w:rsidR="0068177A">
          <w:rPr>
            <w:noProof/>
            <w:webHidden/>
          </w:rPr>
          <w:fldChar w:fldCharType="separate"/>
        </w:r>
        <w:r w:rsidR="0023515C">
          <w:rPr>
            <w:noProof/>
            <w:webHidden/>
          </w:rPr>
          <w:t>183</w:t>
        </w:r>
        <w:r w:rsidR="0068177A">
          <w:rPr>
            <w:noProof/>
            <w:webHidden/>
          </w:rPr>
          <w:fldChar w:fldCharType="end"/>
        </w:r>
      </w:hyperlink>
    </w:p>
    <w:p w14:paraId="24EC7949" w14:textId="6FA1B20D" w:rsidR="0068177A" w:rsidRDefault="00764935">
      <w:pPr>
        <w:pStyle w:val="TDC2"/>
        <w:tabs>
          <w:tab w:val="right" w:leader="dot" w:pos="8779"/>
        </w:tabs>
        <w:rPr>
          <w:rFonts w:eastAsiaTheme="minorEastAsia" w:cstheme="minorBidi"/>
          <w:b w:val="0"/>
          <w:bCs w:val="0"/>
          <w:noProof/>
          <w:kern w:val="2"/>
          <w:sz w:val="24"/>
          <w:szCs w:val="24"/>
          <w:lang w:val="en-US"/>
          <w14:ligatures w14:val="standardContextual"/>
        </w:rPr>
      </w:pPr>
      <w:hyperlink w:anchor="_Toc173245260" w:history="1">
        <w:r w:rsidR="0068177A" w:rsidRPr="000D28E7">
          <w:rPr>
            <w:rStyle w:val="Hipervnculo"/>
            <w:rFonts w:eastAsia="Times New Roman"/>
            <w:noProof/>
          </w:rPr>
          <w:t>NOTAS EXPLICATIVAS AL ESTADO DE RENDIMIENTO FINANCIERO</w:t>
        </w:r>
        <w:r w:rsidR="0068177A">
          <w:rPr>
            <w:noProof/>
            <w:webHidden/>
          </w:rPr>
          <w:tab/>
        </w:r>
        <w:r w:rsidR="0068177A">
          <w:rPr>
            <w:noProof/>
            <w:webHidden/>
          </w:rPr>
          <w:fldChar w:fldCharType="begin"/>
        </w:r>
        <w:r w:rsidR="0068177A">
          <w:rPr>
            <w:noProof/>
            <w:webHidden/>
          </w:rPr>
          <w:instrText xml:space="preserve"> PAGEREF _Toc173245260 \h </w:instrText>
        </w:r>
        <w:r w:rsidR="0068177A">
          <w:rPr>
            <w:noProof/>
            <w:webHidden/>
          </w:rPr>
        </w:r>
        <w:r w:rsidR="0068177A">
          <w:rPr>
            <w:noProof/>
            <w:webHidden/>
          </w:rPr>
          <w:fldChar w:fldCharType="separate"/>
        </w:r>
        <w:r w:rsidR="0023515C">
          <w:rPr>
            <w:noProof/>
            <w:webHidden/>
          </w:rPr>
          <w:t>184</w:t>
        </w:r>
        <w:r w:rsidR="0068177A">
          <w:rPr>
            <w:noProof/>
            <w:webHidden/>
          </w:rPr>
          <w:fldChar w:fldCharType="end"/>
        </w:r>
      </w:hyperlink>
    </w:p>
    <w:p w14:paraId="1EF5BD90" w14:textId="77DB509A" w:rsidR="0068177A" w:rsidRDefault="00764935">
      <w:pPr>
        <w:pStyle w:val="TDC3"/>
        <w:tabs>
          <w:tab w:val="right" w:leader="dot" w:pos="8779"/>
        </w:tabs>
        <w:rPr>
          <w:rFonts w:eastAsiaTheme="minorEastAsia" w:cstheme="minorBidi"/>
          <w:noProof/>
          <w:kern w:val="2"/>
          <w:sz w:val="24"/>
          <w:szCs w:val="24"/>
          <w:lang w:val="en-US"/>
          <w14:ligatures w14:val="standardContextual"/>
        </w:rPr>
      </w:pPr>
      <w:hyperlink w:anchor="_Toc173245261" w:history="1">
        <w:r w:rsidR="0068177A" w:rsidRPr="000D28E7">
          <w:rPr>
            <w:rStyle w:val="Hipervnculo"/>
            <w:rFonts w:eastAsia="Times New Roman"/>
            <w:noProof/>
            <w:lang w:eastAsia="es-CR"/>
          </w:rPr>
          <w:t>4. INGRESOS</w:t>
        </w:r>
        <w:r w:rsidR="0068177A">
          <w:rPr>
            <w:noProof/>
            <w:webHidden/>
          </w:rPr>
          <w:tab/>
        </w:r>
        <w:r w:rsidR="0068177A">
          <w:rPr>
            <w:noProof/>
            <w:webHidden/>
          </w:rPr>
          <w:fldChar w:fldCharType="begin"/>
        </w:r>
        <w:r w:rsidR="0068177A">
          <w:rPr>
            <w:noProof/>
            <w:webHidden/>
          </w:rPr>
          <w:instrText xml:space="preserve"> PAGEREF _Toc173245261 \h </w:instrText>
        </w:r>
        <w:r w:rsidR="0068177A">
          <w:rPr>
            <w:noProof/>
            <w:webHidden/>
          </w:rPr>
        </w:r>
        <w:r w:rsidR="0068177A">
          <w:rPr>
            <w:noProof/>
            <w:webHidden/>
          </w:rPr>
          <w:fldChar w:fldCharType="separate"/>
        </w:r>
        <w:r w:rsidR="0023515C">
          <w:rPr>
            <w:noProof/>
            <w:webHidden/>
          </w:rPr>
          <w:t>184</w:t>
        </w:r>
        <w:r w:rsidR="0068177A">
          <w:rPr>
            <w:noProof/>
            <w:webHidden/>
          </w:rPr>
          <w:fldChar w:fldCharType="end"/>
        </w:r>
      </w:hyperlink>
    </w:p>
    <w:p w14:paraId="54760132" w14:textId="08282EF7" w:rsidR="0068177A" w:rsidRDefault="00764935">
      <w:pPr>
        <w:pStyle w:val="TDC3"/>
        <w:tabs>
          <w:tab w:val="right" w:leader="dot" w:pos="8779"/>
        </w:tabs>
        <w:rPr>
          <w:rFonts w:eastAsiaTheme="minorEastAsia" w:cstheme="minorBidi"/>
          <w:noProof/>
          <w:kern w:val="2"/>
          <w:sz w:val="24"/>
          <w:szCs w:val="24"/>
          <w:lang w:val="en-US"/>
          <w14:ligatures w14:val="standardContextual"/>
        </w:rPr>
      </w:pPr>
      <w:hyperlink w:anchor="_Toc173245262" w:history="1">
        <w:r w:rsidR="0068177A" w:rsidRPr="000D28E7">
          <w:rPr>
            <w:rStyle w:val="Hipervnculo"/>
            <w:rFonts w:eastAsia="Calibri"/>
            <w:noProof/>
            <w:lang w:eastAsia="es-CR"/>
          </w:rPr>
          <w:t>4.1 IMPUESTOS</w:t>
        </w:r>
        <w:r w:rsidR="0068177A">
          <w:rPr>
            <w:noProof/>
            <w:webHidden/>
          </w:rPr>
          <w:tab/>
        </w:r>
        <w:r w:rsidR="0068177A">
          <w:rPr>
            <w:noProof/>
            <w:webHidden/>
          </w:rPr>
          <w:fldChar w:fldCharType="begin"/>
        </w:r>
        <w:r w:rsidR="0068177A">
          <w:rPr>
            <w:noProof/>
            <w:webHidden/>
          </w:rPr>
          <w:instrText xml:space="preserve"> PAGEREF _Toc173245262 \h </w:instrText>
        </w:r>
        <w:r w:rsidR="0068177A">
          <w:rPr>
            <w:noProof/>
            <w:webHidden/>
          </w:rPr>
        </w:r>
        <w:r w:rsidR="0068177A">
          <w:rPr>
            <w:noProof/>
            <w:webHidden/>
          </w:rPr>
          <w:fldChar w:fldCharType="separate"/>
        </w:r>
        <w:r w:rsidR="0023515C">
          <w:rPr>
            <w:noProof/>
            <w:webHidden/>
          </w:rPr>
          <w:t>184</w:t>
        </w:r>
        <w:r w:rsidR="0068177A">
          <w:rPr>
            <w:noProof/>
            <w:webHidden/>
          </w:rPr>
          <w:fldChar w:fldCharType="end"/>
        </w:r>
      </w:hyperlink>
    </w:p>
    <w:p w14:paraId="4E18CABB" w14:textId="41B371B6"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63" w:history="1">
        <w:r w:rsidR="0068177A" w:rsidRPr="000D28E7">
          <w:rPr>
            <w:rStyle w:val="Hipervnculo"/>
            <w:rFonts w:eastAsia="Times New Roman"/>
            <w:noProof/>
          </w:rPr>
          <w:t>NOTA N° 31</w:t>
        </w:r>
        <w:r w:rsidR="0068177A">
          <w:rPr>
            <w:noProof/>
            <w:webHidden/>
          </w:rPr>
          <w:tab/>
        </w:r>
        <w:r w:rsidR="0068177A">
          <w:rPr>
            <w:noProof/>
            <w:webHidden/>
          </w:rPr>
          <w:fldChar w:fldCharType="begin"/>
        </w:r>
        <w:r w:rsidR="0068177A">
          <w:rPr>
            <w:noProof/>
            <w:webHidden/>
          </w:rPr>
          <w:instrText xml:space="preserve"> PAGEREF _Toc173245263 \h </w:instrText>
        </w:r>
        <w:r w:rsidR="0068177A">
          <w:rPr>
            <w:noProof/>
            <w:webHidden/>
          </w:rPr>
        </w:r>
        <w:r w:rsidR="0068177A">
          <w:rPr>
            <w:noProof/>
            <w:webHidden/>
          </w:rPr>
          <w:fldChar w:fldCharType="separate"/>
        </w:r>
        <w:r w:rsidR="0023515C">
          <w:rPr>
            <w:noProof/>
            <w:webHidden/>
          </w:rPr>
          <w:t>184</w:t>
        </w:r>
        <w:r w:rsidR="0068177A">
          <w:rPr>
            <w:noProof/>
            <w:webHidden/>
          </w:rPr>
          <w:fldChar w:fldCharType="end"/>
        </w:r>
      </w:hyperlink>
    </w:p>
    <w:p w14:paraId="28265388" w14:textId="49D285A7"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64" w:history="1">
        <w:r w:rsidR="0068177A" w:rsidRPr="000D28E7">
          <w:rPr>
            <w:rStyle w:val="Hipervnculo"/>
            <w:rFonts w:eastAsia="Times New Roman"/>
            <w:noProof/>
          </w:rPr>
          <w:t>NOTA N° 32</w:t>
        </w:r>
        <w:r w:rsidR="0068177A">
          <w:rPr>
            <w:noProof/>
            <w:webHidden/>
          </w:rPr>
          <w:tab/>
        </w:r>
        <w:r w:rsidR="0068177A">
          <w:rPr>
            <w:noProof/>
            <w:webHidden/>
          </w:rPr>
          <w:fldChar w:fldCharType="begin"/>
        </w:r>
        <w:r w:rsidR="0068177A">
          <w:rPr>
            <w:noProof/>
            <w:webHidden/>
          </w:rPr>
          <w:instrText xml:space="preserve"> PAGEREF _Toc173245264 \h </w:instrText>
        </w:r>
        <w:r w:rsidR="0068177A">
          <w:rPr>
            <w:noProof/>
            <w:webHidden/>
          </w:rPr>
        </w:r>
        <w:r w:rsidR="0068177A">
          <w:rPr>
            <w:noProof/>
            <w:webHidden/>
          </w:rPr>
          <w:fldChar w:fldCharType="separate"/>
        </w:r>
        <w:r w:rsidR="0023515C">
          <w:rPr>
            <w:noProof/>
            <w:webHidden/>
          </w:rPr>
          <w:t>184</w:t>
        </w:r>
        <w:r w:rsidR="0068177A">
          <w:rPr>
            <w:noProof/>
            <w:webHidden/>
          </w:rPr>
          <w:fldChar w:fldCharType="end"/>
        </w:r>
      </w:hyperlink>
    </w:p>
    <w:p w14:paraId="615F5BF3" w14:textId="36CEA0AE"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65" w:history="1">
        <w:r w:rsidR="0068177A" w:rsidRPr="000D28E7">
          <w:rPr>
            <w:rStyle w:val="Hipervnculo"/>
            <w:rFonts w:eastAsia="Times New Roman"/>
            <w:noProof/>
          </w:rPr>
          <w:t>NOTA N° 33</w:t>
        </w:r>
        <w:r w:rsidR="0068177A">
          <w:rPr>
            <w:noProof/>
            <w:webHidden/>
          </w:rPr>
          <w:tab/>
        </w:r>
        <w:r w:rsidR="0068177A">
          <w:rPr>
            <w:noProof/>
            <w:webHidden/>
          </w:rPr>
          <w:fldChar w:fldCharType="begin"/>
        </w:r>
        <w:r w:rsidR="0068177A">
          <w:rPr>
            <w:noProof/>
            <w:webHidden/>
          </w:rPr>
          <w:instrText xml:space="preserve"> PAGEREF _Toc173245265 \h </w:instrText>
        </w:r>
        <w:r w:rsidR="0068177A">
          <w:rPr>
            <w:noProof/>
            <w:webHidden/>
          </w:rPr>
        </w:r>
        <w:r w:rsidR="0068177A">
          <w:rPr>
            <w:noProof/>
            <w:webHidden/>
          </w:rPr>
          <w:fldChar w:fldCharType="separate"/>
        </w:r>
        <w:r w:rsidR="0023515C">
          <w:rPr>
            <w:noProof/>
            <w:webHidden/>
          </w:rPr>
          <w:t>185</w:t>
        </w:r>
        <w:r w:rsidR="0068177A">
          <w:rPr>
            <w:noProof/>
            <w:webHidden/>
          </w:rPr>
          <w:fldChar w:fldCharType="end"/>
        </w:r>
      </w:hyperlink>
    </w:p>
    <w:p w14:paraId="2257676D" w14:textId="33F8DAAE"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66" w:history="1">
        <w:r w:rsidR="0068177A" w:rsidRPr="000D28E7">
          <w:rPr>
            <w:rStyle w:val="Hipervnculo"/>
            <w:rFonts w:eastAsia="Times New Roman"/>
            <w:noProof/>
          </w:rPr>
          <w:t>NOTA N° 34</w:t>
        </w:r>
        <w:r w:rsidR="0068177A">
          <w:rPr>
            <w:noProof/>
            <w:webHidden/>
          </w:rPr>
          <w:tab/>
        </w:r>
        <w:r w:rsidR="0068177A">
          <w:rPr>
            <w:noProof/>
            <w:webHidden/>
          </w:rPr>
          <w:fldChar w:fldCharType="begin"/>
        </w:r>
        <w:r w:rsidR="0068177A">
          <w:rPr>
            <w:noProof/>
            <w:webHidden/>
          </w:rPr>
          <w:instrText xml:space="preserve"> PAGEREF _Toc173245266 \h </w:instrText>
        </w:r>
        <w:r w:rsidR="0068177A">
          <w:rPr>
            <w:noProof/>
            <w:webHidden/>
          </w:rPr>
        </w:r>
        <w:r w:rsidR="0068177A">
          <w:rPr>
            <w:noProof/>
            <w:webHidden/>
          </w:rPr>
          <w:fldChar w:fldCharType="separate"/>
        </w:r>
        <w:r w:rsidR="0023515C">
          <w:rPr>
            <w:noProof/>
            <w:webHidden/>
          </w:rPr>
          <w:t>186</w:t>
        </w:r>
        <w:r w:rsidR="0068177A">
          <w:rPr>
            <w:noProof/>
            <w:webHidden/>
          </w:rPr>
          <w:fldChar w:fldCharType="end"/>
        </w:r>
      </w:hyperlink>
    </w:p>
    <w:p w14:paraId="0E277487" w14:textId="6B2C391C"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67" w:history="1">
        <w:r w:rsidR="0068177A" w:rsidRPr="000D28E7">
          <w:rPr>
            <w:rStyle w:val="Hipervnculo"/>
            <w:rFonts w:eastAsia="Times New Roman"/>
            <w:noProof/>
          </w:rPr>
          <w:t>NOTA N° 35</w:t>
        </w:r>
        <w:r w:rsidR="0068177A">
          <w:rPr>
            <w:noProof/>
            <w:webHidden/>
          </w:rPr>
          <w:tab/>
        </w:r>
        <w:r w:rsidR="0068177A">
          <w:rPr>
            <w:noProof/>
            <w:webHidden/>
          </w:rPr>
          <w:fldChar w:fldCharType="begin"/>
        </w:r>
        <w:r w:rsidR="0068177A">
          <w:rPr>
            <w:noProof/>
            <w:webHidden/>
          </w:rPr>
          <w:instrText xml:space="preserve"> PAGEREF _Toc173245267 \h </w:instrText>
        </w:r>
        <w:r w:rsidR="0068177A">
          <w:rPr>
            <w:noProof/>
            <w:webHidden/>
          </w:rPr>
        </w:r>
        <w:r w:rsidR="0068177A">
          <w:rPr>
            <w:noProof/>
            <w:webHidden/>
          </w:rPr>
          <w:fldChar w:fldCharType="separate"/>
        </w:r>
        <w:r w:rsidR="0023515C">
          <w:rPr>
            <w:noProof/>
            <w:webHidden/>
          </w:rPr>
          <w:t>186</w:t>
        </w:r>
        <w:r w:rsidR="0068177A">
          <w:rPr>
            <w:noProof/>
            <w:webHidden/>
          </w:rPr>
          <w:fldChar w:fldCharType="end"/>
        </w:r>
      </w:hyperlink>
    </w:p>
    <w:p w14:paraId="1AAE0DCD" w14:textId="4EE4F305" w:rsidR="0068177A" w:rsidRDefault="00764935">
      <w:pPr>
        <w:pStyle w:val="TDC3"/>
        <w:tabs>
          <w:tab w:val="right" w:leader="dot" w:pos="8779"/>
        </w:tabs>
        <w:rPr>
          <w:rFonts w:eastAsiaTheme="minorEastAsia" w:cstheme="minorBidi"/>
          <w:noProof/>
          <w:kern w:val="2"/>
          <w:sz w:val="24"/>
          <w:szCs w:val="24"/>
          <w:lang w:val="en-US"/>
          <w14:ligatures w14:val="standardContextual"/>
        </w:rPr>
      </w:pPr>
      <w:hyperlink w:anchor="_Toc173245268" w:history="1">
        <w:r w:rsidR="0068177A" w:rsidRPr="000D28E7">
          <w:rPr>
            <w:rStyle w:val="Hipervnculo"/>
            <w:rFonts w:eastAsia="Calibri"/>
            <w:noProof/>
            <w:lang w:eastAsia="es-CR"/>
          </w:rPr>
          <w:t>4.2 CONTRIBUCIONES SOCIALES</w:t>
        </w:r>
        <w:r w:rsidR="0068177A">
          <w:rPr>
            <w:noProof/>
            <w:webHidden/>
          </w:rPr>
          <w:tab/>
        </w:r>
        <w:r w:rsidR="0068177A">
          <w:rPr>
            <w:noProof/>
            <w:webHidden/>
          </w:rPr>
          <w:fldChar w:fldCharType="begin"/>
        </w:r>
        <w:r w:rsidR="0068177A">
          <w:rPr>
            <w:noProof/>
            <w:webHidden/>
          </w:rPr>
          <w:instrText xml:space="preserve"> PAGEREF _Toc173245268 \h </w:instrText>
        </w:r>
        <w:r w:rsidR="0068177A">
          <w:rPr>
            <w:noProof/>
            <w:webHidden/>
          </w:rPr>
        </w:r>
        <w:r w:rsidR="0068177A">
          <w:rPr>
            <w:noProof/>
            <w:webHidden/>
          </w:rPr>
          <w:fldChar w:fldCharType="separate"/>
        </w:r>
        <w:r w:rsidR="0023515C">
          <w:rPr>
            <w:noProof/>
            <w:webHidden/>
          </w:rPr>
          <w:t>187</w:t>
        </w:r>
        <w:r w:rsidR="0068177A">
          <w:rPr>
            <w:noProof/>
            <w:webHidden/>
          </w:rPr>
          <w:fldChar w:fldCharType="end"/>
        </w:r>
      </w:hyperlink>
    </w:p>
    <w:p w14:paraId="22543223" w14:textId="3B972BF4"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69" w:history="1">
        <w:r w:rsidR="0068177A" w:rsidRPr="000D28E7">
          <w:rPr>
            <w:rStyle w:val="Hipervnculo"/>
            <w:rFonts w:eastAsia="Times New Roman"/>
            <w:noProof/>
          </w:rPr>
          <w:t>NOTA N°36</w:t>
        </w:r>
        <w:r w:rsidR="0068177A">
          <w:rPr>
            <w:noProof/>
            <w:webHidden/>
          </w:rPr>
          <w:tab/>
        </w:r>
        <w:r w:rsidR="0068177A">
          <w:rPr>
            <w:noProof/>
            <w:webHidden/>
          </w:rPr>
          <w:fldChar w:fldCharType="begin"/>
        </w:r>
        <w:r w:rsidR="0068177A">
          <w:rPr>
            <w:noProof/>
            <w:webHidden/>
          </w:rPr>
          <w:instrText xml:space="preserve"> PAGEREF _Toc173245269 \h </w:instrText>
        </w:r>
        <w:r w:rsidR="0068177A">
          <w:rPr>
            <w:noProof/>
            <w:webHidden/>
          </w:rPr>
        </w:r>
        <w:r w:rsidR="0068177A">
          <w:rPr>
            <w:noProof/>
            <w:webHidden/>
          </w:rPr>
          <w:fldChar w:fldCharType="separate"/>
        </w:r>
        <w:r w:rsidR="0023515C">
          <w:rPr>
            <w:noProof/>
            <w:webHidden/>
          </w:rPr>
          <w:t>187</w:t>
        </w:r>
        <w:r w:rsidR="0068177A">
          <w:rPr>
            <w:noProof/>
            <w:webHidden/>
          </w:rPr>
          <w:fldChar w:fldCharType="end"/>
        </w:r>
      </w:hyperlink>
    </w:p>
    <w:p w14:paraId="13143931" w14:textId="47DD4C48"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70" w:history="1">
        <w:r w:rsidR="0068177A" w:rsidRPr="000D28E7">
          <w:rPr>
            <w:rStyle w:val="Hipervnculo"/>
            <w:rFonts w:eastAsia="Times New Roman"/>
            <w:noProof/>
          </w:rPr>
          <w:t>NOTA N° 37</w:t>
        </w:r>
        <w:r w:rsidR="0068177A">
          <w:rPr>
            <w:noProof/>
            <w:webHidden/>
          </w:rPr>
          <w:tab/>
        </w:r>
        <w:r w:rsidR="0068177A">
          <w:rPr>
            <w:noProof/>
            <w:webHidden/>
          </w:rPr>
          <w:fldChar w:fldCharType="begin"/>
        </w:r>
        <w:r w:rsidR="0068177A">
          <w:rPr>
            <w:noProof/>
            <w:webHidden/>
          </w:rPr>
          <w:instrText xml:space="preserve"> PAGEREF _Toc173245270 \h </w:instrText>
        </w:r>
        <w:r w:rsidR="0068177A">
          <w:rPr>
            <w:noProof/>
            <w:webHidden/>
          </w:rPr>
        </w:r>
        <w:r w:rsidR="0068177A">
          <w:rPr>
            <w:noProof/>
            <w:webHidden/>
          </w:rPr>
          <w:fldChar w:fldCharType="separate"/>
        </w:r>
        <w:r w:rsidR="0023515C">
          <w:rPr>
            <w:noProof/>
            <w:webHidden/>
          </w:rPr>
          <w:t>187</w:t>
        </w:r>
        <w:r w:rsidR="0068177A">
          <w:rPr>
            <w:noProof/>
            <w:webHidden/>
          </w:rPr>
          <w:fldChar w:fldCharType="end"/>
        </w:r>
      </w:hyperlink>
    </w:p>
    <w:p w14:paraId="09E2C36D" w14:textId="78B235F7" w:rsidR="0068177A" w:rsidRDefault="00764935">
      <w:pPr>
        <w:pStyle w:val="TDC3"/>
        <w:tabs>
          <w:tab w:val="right" w:leader="dot" w:pos="8779"/>
        </w:tabs>
        <w:rPr>
          <w:rFonts w:eastAsiaTheme="minorEastAsia" w:cstheme="minorBidi"/>
          <w:noProof/>
          <w:kern w:val="2"/>
          <w:sz w:val="24"/>
          <w:szCs w:val="24"/>
          <w:lang w:val="en-US"/>
          <w14:ligatures w14:val="standardContextual"/>
        </w:rPr>
      </w:pPr>
      <w:hyperlink w:anchor="_Toc173245271" w:history="1">
        <w:r w:rsidR="0068177A" w:rsidRPr="000D28E7">
          <w:rPr>
            <w:rStyle w:val="Hipervnculo"/>
            <w:rFonts w:eastAsia="Calibri"/>
            <w:noProof/>
            <w:lang w:eastAsia="es-CR"/>
          </w:rPr>
          <w:t>4.3 MULTAS, SANCIONES, REMATES Y CONFISCACIONES DE ORIGEN NO TRIBUTARIO</w:t>
        </w:r>
        <w:r w:rsidR="0068177A">
          <w:rPr>
            <w:noProof/>
            <w:webHidden/>
          </w:rPr>
          <w:tab/>
        </w:r>
        <w:r w:rsidR="0068177A">
          <w:rPr>
            <w:noProof/>
            <w:webHidden/>
          </w:rPr>
          <w:fldChar w:fldCharType="begin"/>
        </w:r>
        <w:r w:rsidR="0068177A">
          <w:rPr>
            <w:noProof/>
            <w:webHidden/>
          </w:rPr>
          <w:instrText xml:space="preserve"> PAGEREF _Toc173245271 \h </w:instrText>
        </w:r>
        <w:r w:rsidR="0068177A">
          <w:rPr>
            <w:noProof/>
            <w:webHidden/>
          </w:rPr>
        </w:r>
        <w:r w:rsidR="0068177A">
          <w:rPr>
            <w:noProof/>
            <w:webHidden/>
          </w:rPr>
          <w:fldChar w:fldCharType="separate"/>
        </w:r>
        <w:r w:rsidR="0023515C">
          <w:rPr>
            <w:noProof/>
            <w:webHidden/>
          </w:rPr>
          <w:t>188</w:t>
        </w:r>
        <w:r w:rsidR="0068177A">
          <w:rPr>
            <w:noProof/>
            <w:webHidden/>
          </w:rPr>
          <w:fldChar w:fldCharType="end"/>
        </w:r>
      </w:hyperlink>
    </w:p>
    <w:p w14:paraId="5B6FF008" w14:textId="4A5E6530"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72" w:history="1">
        <w:r w:rsidR="0068177A" w:rsidRPr="000D28E7">
          <w:rPr>
            <w:rStyle w:val="Hipervnculo"/>
            <w:rFonts w:eastAsia="Times New Roman"/>
            <w:noProof/>
          </w:rPr>
          <w:t>NOTA N° 38</w:t>
        </w:r>
        <w:r w:rsidR="0068177A">
          <w:rPr>
            <w:noProof/>
            <w:webHidden/>
          </w:rPr>
          <w:tab/>
        </w:r>
        <w:r w:rsidR="0068177A">
          <w:rPr>
            <w:noProof/>
            <w:webHidden/>
          </w:rPr>
          <w:fldChar w:fldCharType="begin"/>
        </w:r>
        <w:r w:rsidR="0068177A">
          <w:rPr>
            <w:noProof/>
            <w:webHidden/>
          </w:rPr>
          <w:instrText xml:space="preserve"> PAGEREF _Toc173245272 \h </w:instrText>
        </w:r>
        <w:r w:rsidR="0068177A">
          <w:rPr>
            <w:noProof/>
            <w:webHidden/>
          </w:rPr>
        </w:r>
        <w:r w:rsidR="0068177A">
          <w:rPr>
            <w:noProof/>
            <w:webHidden/>
          </w:rPr>
          <w:fldChar w:fldCharType="separate"/>
        </w:r>
        <w:r w:rsidR="0023515C">
          <w:rPr>
            <w:noProof/>
            <w:webHidden/>
          </w:rPr>
          <w:t>188</w:t>
        </w:r>
        <w:r w:rsidR="0068177A">
          <w:rPr>
            <w:noProof/>
            <w:webHidden/>
          </w:rPr>
          <w:fldChar w:fldCharType="end"/>
        </w:r>
      </w:hyperlink>
    </w:p>
    <w:p w14:paraId="70584F06" w14:textId="59D26B6C"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73" w:history="1">
        <w:r w:rsidR="0068177A" w:rsidRPr="000D28E7">
          <w:rPr>
            <w:rStyle w:val="Hipervnculo"/>
            <w:rFonts w:eastAsia="Times New Roman"/>
            <w:noProof/>
          </w:rPr>
          <w:t>NOTA N° 39</w:t>
        </w:r>
        <w:r w:rsidR="0068177A">
          <w:rPr>
            <w:noProof/>
            <w:webHidden/>
          </w:rPr>
          <w:tab/>
        </w:r>
        <w:r w:rsidR="0068177A">
          <w:rPr>
            <w:noProof/>
            <w:webHidden/>
          </w:rPr>
          <w:fldChar w:fldCharType="begin"/>
        </w:r>
        <w:r w:rsidR="0068177A">
          <w:rPr>
            <w:noProof/>
            <w:webHidden/>
          </w:rPr>
          <w:instrText xml:space="preserve"> PAGEREF _Toc173245273 \h </w:instrText>
        </w:r>
        <w:r w:rsidR="0068177A">
          <w:rPr>
            <w:noProof/>
            <w:webHidden/>
          </w:rPr>
        </w:r>
        <w:r w:rsidR="0068177A">
          <w:rPr>
            <w:noProof/>
            <w:webHidden/>
          </w:rPr>
          <w:fldChar w:fldCharType="separate"/>
        </w:r>
        <w:r w:rsidR="0023515C">
          <w:rPr>
            <w:noProof/>
            <w:webHidden/>
          </w:rPr>
          <w:t>188</w:t>
        </w:r>
        <w:r w:rsidR="0068177A">
          <w:rPr>
            <w:noProof/>
            <w:webHidden/>
          </w:rPr>
          <w:fldChar w:fldCharType="end"/>
        </w:r>
      </w:hyperlink>
    </w:p>
    <w:p w14:paraId="06DC9D82" w14:textId="79A5415F"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74" w:history="1">
        <w:r w:rsidR="0068177A" w:rsidRPr="000D28E7">
          <w:rPr>
            <w:rStyle w:val="Hipervnculo"/>
            <w:rFonts w:eastAsia="Times New Roman"/>
            <w:noProof/>
          </w:rPr>
          <w:t>NOTA N° 40</w:t>
        </w:r>
        <w:r w:rsidR="0068177A">
          <w:rPr>
            <w:noProof/>
            <w:webHidden/>
          </w:rPr>
          <w:tab/>
        </w:r>
        <w:r w:rsidR="0068177A">
          <w:rPr>
            <w:noProof/>
            <w:webHidden/>
          </w:rPr>
          <w:fldChar w:fldCharType="begin"/>
        </w:r>
        <w:r w:rsidR="0068177A">
          <w:rPr>
            <w:noProof/>
            <w:webHidden/>
          </w:rPr>
          <w:instrText xml:space="preserve"> PAGEREF _Toc173245274 \h </w:instrText>
        </w:r>
        <w:r w:rsidR="0068177A">
          <w:rPr>
            <w:noProof/>
            <w:webHidden/>
          </w:rPr>
        </w:r>
        <w:r w:rsidR="0068177A">
          <w:rPr>
            <w:noProof/>
            <w:webHidden/>
          </w:rPr>
          <w:fldChar w:fldCharType="separate"/>
        </w:r>
        <w:r w:rsidR="0023515C">
          <w:rPr>
            <w:noProof/>
            <w:webHidden/>
          </w:rPr>
          <w:t>189</w:t>
        </w:r>
        <w:r w:rsidR="0068177A">
          <w:rPr>
            <w:noProof/>
            <w:webHidden/>
          </w:rPr>
          <w:fldChar w:fldCharType="end"/>
        </w:r>
      </w:hyperlink>
    </w:p>
    <w:p w14:paraId="58932F4F" w14:textId="7FFD26E2" w:rsidR="0068177A" w:rsidRDefault="00764935">
      <w:pPr>
        <w:pStyle w:val="TDC3"/>
        <w:tabs>
          <w:tab w:val="right" w:leader="dot" w:pos="8779"/>
        </w:tabs>
        <w:rPr>
          <w:rFonts w:eastAsiaTheme="minorEastAsia" w:cstheme="minorBidi"/>
          <w:noProof/>
          <w:kern w:val="2"/>
          <w:sz w:val="24"/>
          <w:szCs w:val="24"/>
          <w:lang w:val="en-US"/>
          <w14:ligatures w14:val="standardContextual"/>
        </w:rPr>
      </w:pPr>
      <w:hyperlink w:anchor="_Toc173245275" w:history="1">
        <w:r w:rsidR="0068177A" w:rsidRPr="000D28E7">
          <w:rPr>
            <w:rStyle w:val="Hipervnculo"/>
            <w:rFonts w:eastAsia="Calibri"/>
            <w:noProof/>
            <w:lang w:eastAsia="es-CR"/>
          </w:rPr>
          <w:t>4.4 INGRESOS Y RESULTADOS POSITIVOS POR VENTAS</w:t>
        </w:r>
        <w:r w:rsidR="0068177A">
          <w:rPr>
            <w:noProof/>
            <w:webHidden/>
          </w:rPr>
          <w:tab/>
        </w:r>
        <w:r w:rsidR="0068177A">
          <w:rPr>
            <w:noProof/>
            <w:webHidden/>
          </w:rPr>
          <w:fldChar w:fldCharType="begin"/>
        </w:r>
        <w:r w:rsidR="0068177A">
          <w:rPr>
            <w:noProof/>
            <w:webHidden/>
          </w:rPr>
          <w:instrText xml:space="preserve"> PAGEREF _Toc173245275 \h </w:instrText>
        </w:r>
        <w:r w:rsidR="0068177A">
          <w:rPr>
            <w:noProof/>
            <w:webHidden/>
          </w:rPr>
        </w:r>
        <w:r w:rsidR="0068177A">
          <w:rPr>
            <w:noProof/>
            <w:webHidden/>
          </w:rPr>
          <w:fldChar w:fldCharType="separate"/>
        </w:r>
        <w:r w:rsidR="0023515C">
          <w:rPr>
            <w:noProof/>
            <w:webHidden/>
          </w:rPr>
          <w:t>189</w:t>
        </w:r>
        <w:r w:rsidR="0068177A">
          <w:rPr>
            <w:noProof/>
            <w:webHidden/>
          </w:rPr>
          <w:fldChar w:fldCharType="end"/>
        </w:r>
      </w:hyperlink>
    </w:p>
    <w:p w14:paraId="218AD48D" w14:textId="2A013F65"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76" w:history="1">
        <w:r w:rsidR="0068177A" w:rsidRPr="000D28E7">
          <w:rPr>
            <w:rStyle w:val="Hipervnculo"/>
            <w:rFonts w:eastAsia="Times New Roman"/>
            <w:noProof/>
          </w:rPr>
          <w:t>NOTA N° 41</w:t>
        </w:r>
        <w:r w:rsidR="0068177A">
          <w:rPr>
            <w:noProof/>
            <w:webHidden/>
          </w:rPr>
          <w:tab/>
        </w:r>
        <w:r w:rsidR="0068177A">
          <w:rPr>
            <w:noProof/>
            <w:webHidden/>
          </w:rPr>
          <w:fldChar w:fldCharType="begin"/>
        </w:r>
        <w:r w:rsidR="0068177A">
          <w:rPr>
            <w:noProof/>
            <w:webHidden/>
          </w:rPr>
          <w:instrText xml:space="preserve"> PAGEREF _Toc173245276 \h </w:instrText>
        </w:r>
        <w:r w:rsidR="0068177A">
          <w:rPr>
            <w:noProof/>
            <w:webHidden/>
          </w:rPr>
        </w:r>
        <w:r w:rsidR="0068177A">
          <w:rPr>
            <w:noProof/>
            <w:webHidden/>
          </w:rPr>
          <w:fldChar w:fldCharType="separate"/>
        </w:r>
        <w:r w:rsidR="0023515C">
          <w:rPr>
            <w:noProof/>
            <w:webHidden/>
          </w:rPr>
          <w:t>189</w:t>
        </w:r>
        <w:r w:rsidR="0068177A">
          <w:rPr>
            <w:noProof/>
            <w:webHidden/>
          </w:rPr>
          <w:fldChar w:fldCharType="end"/>
        </w:r>
      </w:hyperlink>
    </w:p>
    <w:p w14:paraId="6608D972" w14:textId="02F4D8CC"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77" w:history="1">
        <w:r w:rsidR="0068177A" w:rsidRPr="000D28E7">
          <w:rPr>
            <w:rStyle w:val="Hipervnculo"/>
            <w:rFonts w:eastAsia="Times New Roman"/>
            <w:noProof/>
          </w:rPr>
          <w:t>NOTA N° 42</w:t>
        </w:r>
        <w:r w:rsidR="0068177A">
          <w:rPr>
            <w:noProof/>
            <w:webHidden/>
          </w:rPr>
          <w:tab/>
        </w:r>
        <w:r w:rsidR="0068177A">
          <w:rPr>
            <w:noProof/>
            <w:webHidden/>
          </w:rPr>
          <w:fldChar w:fldCharType="begin"/>
        </w:r>
        <w:r w:rsidR="0068177A">
          <w:rPr>
            <w:noProof/>
            <w:webHidden/>
          </w:rPr>
          <w:instrText xml:space="preserve"> PAGEREF _Toc173245277 \h </w:instrText>
        </w:r>
        <w:r w:rsidR="0068177A">
          <w:rPr>
            <w:noProof/>
            <w:webHidden/>
          </w:rPr>
        </w:r>
        <w:r w:rsidR="0068177A">
          <w:rPr>
            <w:noProof/>
            <w:webHidden/>
          </w:rPr>
          <w:fldChar w:fldCharType="separate"/>
        </w:r>
        <w:r w:rsidR="0023515C">
          <w:rPr>
            <w:noProof/>
            <w:webHidden/>
          </w:rPr>
          <w:t>190</w:t>
        </w:r>
        <w:r w:rsidR="0068177A">
          <w:rPr>
            <w:noProof/>
            <w:webHidden/>
          </w:rPr>
          <w:fldChar w:fldCharType="end"/>
        </w:r>
      </w:hyperlink>
    </w:p>
    <w:p w14:paraId="7C8ADB67" w14:textId="25364501"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78" w:history="1">
        <w:r w:rsidR="0068177A" w:rsidRPr="000D28E7">
          <w:rPr>
            <w:rStyle w:val="Hipervnculo"/>
            <w:rFonts w:eastAsia="Times New Roman"/>
            <w:noProof/>
          </w:rPr>
          <w:t>NOTA N° 43</w:t>
        </w:r>
        <w:r w:rsidR="0068177A">
          <w:rPr>
            <w:noProof/>
            <w:webHidden/>
          </w:rPr>
          <w:tab/>
        </w:r>
        <w:r w:rsidR="0068177A">
          <w:rPr>
            <w:noProof/>
            <w:webHidden/>
          </w:rPr>
          <w:fldChar w:fldCharType="begin"/>
        </w:r>
        <w:r w:rsidR="0068177A">
          <w:rPr>
            <w:noProof/>
            <w:webHidden/>
          </w:rPr>
          <w:instrText xml:space="preserve"> PAGEREF _Toc173245278 \h </w:instrText>
        </w:r>
        <w:r w:rsidR="0068177A">
          <w:rPr>
            <w:noProof/>
            <w:webHidden/>
          </w:rPr>
        </w:r>
        <w:r w:rsidR="0068177A">
          <w:rPr>
            <w:noProof/>
            <w:webHidden/>
          </w:rPr>
          <w:fldChar w:fldCharType="separate"/>
        </w:r>
        <w:r w:rsidR="0023515C">
          <w:rPr>
            <w:noProof/>
            <w:webHidden/>
          </w:rPr>
          <w:t>191</w:t>
        </w:r>
        <w:r w:rsidR="0068177A">
          <w:rPr>
            <w:noProof/>
            <w:webHidden/>
          </w:rPr>
          <w:fldChar w:fldCharType="end"/>
        </w:r>
      </w:hyperlink>
    </w:p>
    <w:p w14:paraId="760FFB52" w14:textId="1B866533"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79" w:history="1">
        <w:r w:rsidR="0068177A" w:rsidRPr="000D28E7">
          <w:rPr>
            <w:rStyle w:val="Hipervnculo"/>
            <w:rFonts w:eastAsia="Times New Roman"/>
            <w:noProof/>
          </w:rPr>
          <w:t>NOTA N° 44</w:t>
        </w:r>
        <w:r w:rsidR="0068177A">
          <w:rPr>
            <w:noProof/>
            <w:webHidden/>
          </w:rPr>
          <w:tab/>
        </w:r>
        <w:r w:rsidR="0068177A">
          <w:rPr>
            <w:noProof/>
            <w:webHidden/>
          </w:rPr>
          <w:fldChar w:fldCharType="begin"/>
        </w:r>
        <w:r w:rsidR="0068177A">
          <w:rPr>
            <w:noProof/>
            <w:webHidden/>
          </w:rPr>
          <w:instrText xml:space="preserve"> PAGEREF _Toc173245279 \h </w:instrText>
        </w:r>
        <w:r w:rsidR="0068177A">
          <w:rPr>
            <w:noProof/>
            <w:webHidden/>
          </w:rPr>
        </w:r>
        <w:r w:rsidR="0068177A">
          <w:rPr>
            <w:noProof/>
            <w:webHidden/>
          </w:rPr>
          <w:fldChar w:fldCharType="separate"/>
        </w:r>
        <w:r w:rsidR="0023515C">
          <w:rPr>
            <w:noProof/>
            <w:webHidden/>
          </w:rPr>
          <w:t>191</w:t>
        </w:r>
        <w:r w:rsidR="0068177A">
          <w:rPr>
            <w:noProof/>
            <w:webHidden/>
          </w:rPr>
          <w:fldChar w:fldCharType="end"/>
        </w:r>
      </w:hyperlink>
    </w:p>
    <w:p w14:paraId="5E297133" w14:textId="2AB4BDA4"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80" w:history="1">
        <w:r w:rsidR="0068177A" w:rsidRPr="000D28E7">
          <w:rPr>
            <w:rStyle w:val="Hipervnculo"/>
            <w:rFonts w:eastAsia="Times New Roman"/>
            <w:noProof/>
          </w:rPr>
          <w:t>NOTA N° 45</w:t>
        </w:r>
        <w:r w:rsidR="0068177A">
          <w:rPr>
            <w:noProof/>
            <w:webHidden/>
          </w:rPr>
          <w:tab/>
        </w:r>
        <w:r w:rsidR="0068177A">
          <w:rPr>
            <w:noProof/>
            <w:webHidden/>
          </w:rPr>
          <w:fldChar w:fldCharType="begin"/>
        </w:r>
        <w:r w:rsidR="0068177A">
          <w:rPr>
            <w:noProof/>
            <w:webHidden/>
          </w:rPr>
          <w:instrText xml:space="preserve"> PAGEREF _Toc173245280 \h </w:instrText>
        </w:r>
        <w:r w:rsidR="0068177A">
          <w:rPr>
            <w:noProof/>
            <w:webHidden/>
          </w:rPr>
        </w:r>
        <w:r w:rsidR="0068177A">
          <w:rPr>
            <w:noProof/>
            <w:webHidden/>
          </w:rPr>
          <w:fldChar w:fldCharType="separate"/>
        </w:r>
        <w:r w:rsidR="0023515C">
          <w:rPr>
            <w:noProof/>
            <w:webHidden/>
          </w:rPr>
          <w:t>192</w:t>
        </w:r>
        <w:r w:rsidR="0068177A">
          <w:rPr>
            <w:noProof/>
            <w:webHidden/>
          </w:rPr>
          <w:fldChar w:fldCharType="end"/>
        </w:r>
      </w:hyperlink>
    </w:p>
    <w:p w14:paraId="76E88778" w14:textId="7B4302EE"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81" w:history="1">
        <w:r w:rsidR="0068177A" w:rsidRPr="000D28E7">
          <w:rPr>
            <w:rStyle w:val="Hipervnculo"/>
            <w:rFonts w:eastAsia="Times New Roman"/>
            <w:noProof/>
          </w:rPr>
          <w:t>NOTA N° 46</w:t>
        </w:r>
        <w:r w:rsidR="0068177A">
          <w:rPr>
            <w:noProof/>
            <w:webHidden/>
          </w:rPr>
          <w:tab/>
        </w:r>
        <w:r w:rsidR="0068177A">
          <w:rPr>
            <w:noProof/>
            <w:webHidden/>
          </w:rPr>
          <w:fldChar w:fldCharType="begin"/>
        </w:r>
        <w:r w:rsidR="0068177A">
          <w:rPr>
            <w:noProof/>
            <w:webHidden/>
          </w:rPr>
          <w:instrText xml:space="preserve"> PAGEREF _Toc173245281 \h </w:instrText>
        </w:r>
        <w:r w:rsidR="0068177A">
          <w:rPr>
            <w:noProof/>
            <w:webHidden/>
          </w:rPr>
        </w:r>
        <w:r w:rsidR="0068177A">
          <w:rPr>
            <w:noProof/>
            <w:webHidden/>
          </w:rPr>
          <w:fldChar w:fldCharType="separate"/>
        </w:r>
        <w:r w:rsidR="0023515C">
          <w:rPr>
            <w:noProof/>
            <w:webHidden/>
          </w:rPr>
          <w:t>192</w:t>
        </w:r>
        <w:r w:rsidR="0068177A">
          <w:rPr>
            <w:noProof/>
            <w:webHidden/>
          </w:rPr>
          <w:fldChar w:fldCharType="end"/>
        </w:r>
      </w:hyperlink>
    </w:p>
    <w:p w14:paraId="51A1ED8B" w14:textId="731B2005" w:rsidR="0068177A" w:rsidRDefault="00764935">
      <w:pPr>
        <w:pStyle w:val="TDC3"/>
        <w:tabs>
          <w:tab w:val="right" w:leader="dot" w:pos="8779"/>
        </w:tabs>
        <w:rPr>
          <w:rFonts w:eastAsiaTheme="minorEastAsia" w:cstheme="minorBidi"/>
          <w:noProof/>
          <w:kern w:val="2"/>
          <w:sz w:val="24"/>
          <w:szCs w:val="24"/>
          <w:lang w:val="en-US"/>
          <w14:ligatures w14:val="standardContextual"/>
        </w:rPr>
      </w:pPr>
      <w:hyperlink w:anchor="_Toc173245282" w:history="1">
        <w:r w:rsidR="0068177A" w:rsidRPr="000D28E7">
          <w:rPr>
            <w:rStyle w:val="Hipervnculo"/>
            <w:rFonts w:eastAsia="Calibri"/>
            <w:noProof/>
            <w:lang w:eastAsia="es-CR"/>
          </w:rPr>
          <w:t>4.5 INGRESOS DE LA PROPIEDAD</w:t>
        </w:r>
        <w:r w:rsidR="0068177A">
          <w:rPr>
            <w:noProof/>
            <w:webHidden/>
          </w:rPr>
          <w:tab/>
        </w:r>
        <w:r w:rsidR="0068177A">
          <w:rPr>
            <w:noProof/>
            <w:webHidden/>
          </w:rPr>
          <w:fldChar w:fldCharType="begin"/>
        </w:r>
        <w:r w:rsidR="0068177A">
          <w:rPr>
            <w:noProof/>
            <w:webHidden/>
          </w:rPr>
          <w:instrText xml:space="preserve"> PAGEREF _Toc173245282 \h </w:instrText>
        </w:r>
        <w:r w:rsidR="0068177A">
          <w:rPr>
            <w:noProof/>
            <w:webHidden/>
          </w:rPr>
        </w:r>
        <w:r w:rsidR="0068177A">
          <w:rPr>
            <w:noProof/>
            <w:webHidden/>
          </w:rPr>
          <w:fldChar w:fldCharType="separate"/>
        </w:r>
        <w:r w:rsidR="0023515C">
          <w:rPr>
            <w:noProof/>
            <w:webHidden/>
          </w:rPr>
          <w:t>193</w:t>
        </w:r>
        <w:r w:rsidR="0068177A">
          <w:rPr>
            <w:noProof/>
            <w:webHidden/>
          </w:rPr>
          <w:fldChar w:fldCharType="end"/>
        </w:r>
      </w:hyperlink>
    </w:p>
    <w:p w14:paraId="4C22DD83" w14:textId="3E2B2C26"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83" w:history="1">
        <w:r w:rsidR="0068177A" w:rsidRPr="000D28E7">
          <w:rPr>
            <w:rStyle w:val="Hipervnculo"/>
            <w:rFonts w:eastAsia="Times New Roman"/>
            <w:noProof/>
          </w:rPr>
          <w:t>NOTA N° 47</w:t>
        </w:r>
        <w:r w:rsidR="0068177A">
          <w:rPr>
            <w:noProof/>
            <w:webHidden/>
          </w:rPr>
          <w:tab/>
        </w:r>
        <w:r w:rsidR="0068177A">
          <w:rPr>
            <w:noProof/>
            <w:webHidden/>
          </w:rPr>
          <w:fldChar w:fldCharType="begin"/>
        </w:r>
        <w:r w:rsidR="0068177A">
          <w:rPr>
            <w:noProof/>
            <w:webHidden/>
          </w:rPr>
          <w:instrText xml:space="preserve"> PAGEREF _Toc173245283 \h </w:instrText>
        </w:r>
        <w:r w:rsidR="0068177A">
          <w:rPr>
            <w:noProof/>
            <w:webHidden/>
          </w:rPr>
        </w:r>
        <w:r w:rsidR="0068177A">
          <w:rPr>
            <w:noProof/>
            <w:webHidden/>
          </w:rPr>
          <w:fldChar w:fldCharType="separate"/>
        </w:r>
        <w:r w:rsidR="0023515C">
          <w:rPr>
            <w:noProof/>
            <w:webHidden/>
          </w:rPr>
          <w:t>193</w:t>
        </w:r>
        <w:r w:rsidR="0068177A">
          <w:rPr>
            <w:noProof/>
            <w:webHidden/>
          </w:rPr>
          <w:fldChar w:fldCharType="end"/>
        </w:r>
      </w:hyperlink>
    </w:p>
    <w:p w14:paraId="7098D9A2" w14:textId="370D7DC9"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84" w:history="1">
        <w:r w:rsidR="0068177A" w:rsidRPr="000D28E7">
          <w:rPr>
            <w:rStyle w:val="Hipervnculo"/>
            <w:rFonts w:eastAsia="Times New Roman"/>
            <w:noProof/>
          </w:rPr>
          <w:t>NOTA N° 48</w:t>
        </w:r>
        <w:r w:rsidR="0068177A">
          <w:rPr>
            <w:noProof/>
            <w:webHidden/>
          </w:rPr>
          <w:tab/>
        </w:r>
        <w:r w:rsidR="0068177A">
          <w:rPr>
            <w:noProof/>
            <w:webHidden/>
          </w:rPr>
          <w:fldChar w:fldCharType="begin"/>
        </w:r>
        <w:r w:rsidR="0068177A">
          <w:rPr>
            <w:noProof/>
            <w:webHidden/>
          </w:rPr>
          <w:instrText xml:space="preserve"> PAGEREF _Toc173245284 \h </w:instrText>
        </w:r>
        <w:r w:rsidR="0068177A">
          <w:rPr>
            <w:noProof/>
            <w:webHidden/>
          </w:rPr>
        </w:r>
        <w:r w:rsidR="0068177A">
          <w:rPr>
            <w:noProof/>
            <w:webHidden/>
          </w:rPr>
          <w:fldChar w:fldCharType="separate"/>
        </w:r>
        <w:r w:rsidR="0023515C">
          <w:rPr>
            <w:noProof/>
            <w:webHidden/>
          </w:rPr>
          <w:t>194</w:t>
        </w:r>
        <w:r w:rsidR="0068177A">
          <w:rPr>
            <w:noProof/>
            <w:webHidden/>
          </w:rPr>
          <w:fldChar w:fldCharType="end"/>
        </w:r>
      </w:hyperlink>
    </w:p>
    <w:p w14:paraId="32E1FD09" w14:textId="48D0F0C1"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85" w:history="1">
        <w:r w:rsidR="0068177A" w:rsidRPr="000D28E7">
          <w:rPr>
            <w:rStyle w:val="Hipervnculo"/>
            <w:rFonts w:eastAsia="Times New Roman"/>
            <w:noProof/>
          </w:rPr>
          <w:t>NOTA N° 49</w:t>
        </w:r>
        <w:r w:rsidR="0068177A">
          <w:rPr>
            <w:noProof/>
            <w:webHidden/>
          </w:rPr>
          <w:tab/>
        </w:r>
        <w:r w:rsidR="0068177A">
          <w:rPr>
            <w:noProof/>
            <w:webHidden/>
          </w:rPr>
          <w:fldChar w:fldCharType="begin"/>
        </w:r>
        <w:r w:rsidR="0068177A">
          <w:rPr>
            <w:noProof/>
            <w:webHidden/>
          </w:rPr>
          <w:instrText xml:space="preserve"> PAGEREF _Toc173245285 \h </w:instrText>
        </w:r>
        <w:r w:rsidR="0068177A">
          <w:rPr>
            <w:noProof/>
            <w:webHidden/>
          </w:rPr>
        </w:r>
        <w:r w:rsidR="0068177A">
          <w:rPr>
            <w:noProof/>
            <w:webHidden/>
          </w:rPr>
          <w:fldChar w:fldCharType="separate"/>
        </w:r>
        <w:r w:rsidR="0023515C">
          <w:rPr>
            <w:noProof/>
            <w:webHidden/>
          </w:rPr>
          <w:t>195</w:t>
        </w:r>
        <w:r w:rsidR="0068177A">
          <w:rPr>
            <w:noProof/>
            <w:webHidden/>
          </w:rPr>
          <w:fldChar w:fldCharType="end"/>
        </w:r>
      </w:hyperlink>
    </w:p>
    <w:p w14:paraId="22B50C60" w14:textId="29E3E2CC" w:rsidR="0068177A" w:rsidRDefault="00764935">
      <w:pPr>
        <w:pStyle w:val="TDC3"/>
        <w:tabs>
          <w:tab w:val="right" w:leader="dot" w:pos="8779"/>
        </w:tabs>
        <w:rPr>
          <w:rFonts w:eastAsiaTheme="minorEastAsia" w:cstheme="minorBidi"/>
          <w:noProof/>
          <w:kern w:val="2"/>
          <w:sz w:val="24"/>
          <w:szCs w:val="24"/>
          <w:lang w:val="en-US"/>
          <w14:ligatures w14:val="standardContextual"/>
        </w:rPr>
      </w:pPr>
      <w:hyperlink w:anchor="_Toc173245286" w:history="1">
        <w:r w:rsidR="0068177A" w:rsidRPr="000D28E7">
          <w:rPr>
            <w:rStyle w:val="Hipervnculo"/>
            <w:rFonts w:eastAsia="Calibri"/>
            <w:noProof/>
            <w:lang w:eastAsia="es-CR"/>
          </w:rPr>
          <w:t>4.6 TRANSFERENCIAS</w:t>
        </w:r>
        <w:r w:rsidR="0068177A">
          <w:rPr>
            <w:noProof/>
            <w:webHidden/>
          </w:rPr>
          <w:tab/>
        </w:r>
        <w:r w:rsidR="0068177A">
          <w:rPr>
            <w:noProof/>
            <w:webHidden/>
          </w:rPr>
          <w:fldChar w:fldCharType="begin"/>
        </w:r>
        <w:r w:rsidR="0068177A">
          <w:rPr>
            <w:noProof/>
            <w:webHidden/>
          </w:rPr>
          <w:instrText xml:space="preserve"> PAGEREF _Toc173245286 \h </w:instrText>
        </w:r>
        <w:r w:rsidR="0068177A">
          <w:rPr>
            <w:noProof/>
            <w:webHidden/>
          </w:rPr>
        </w:r>
        <w:r w:rsidR="0068177A">
          <w:rPr>
            <w:noProof/>
            <w:webHidden/>
          </w:rPr>
          <w:fldChar w:fldCharType="separate"/>
        </w:r>
        <w:r w:rsidR="0023515C">
          <w:rPr>
            <w:noProof/>
            <w:webHidden/>
          </w:rPr>
          <w:t>195</w:t>
        </w:r>
        <w:r w:rsidR="0068177A">
          <w:rPr>
            <w:noProof/>
            <w:webHidden/>
          </w:rPr>
          <w:fldChar w:fldCharType="end"/>
        </w:r>
      </w:hyperlink>
    </w:p>
    <w:p w14:paraId="16A88B01" w14:textId="2915EA2E"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87" w:history="1">
        <w:r w:rsidR="0068177A" w:rsidRPr="000D28E7">
          <w:rPr>
            <w:rStyle w:val="Hipervnculo"/>
            <w:rFonts w:eastAsia="Times New Roman"/>
            <w:noProof/>
          </w:rPr>
          <w:t>NOTA N° 50</w:t>
        </w:r>
        <w:r w:rsidR="0068177A">
          <w:rPr>
            <w:noProof/>
            <w:webHidden/>
          </w:rPr>
          <w:tab/>
        </w:r>
        <w:r w:rsidR="0068177A">
          <w:rPr>
            <w:noProof/>
            <w:webHidden/>
          </w:rPr>
          <w:fldChar w:fldCharType="begin"/>
        </w:r>
        <w:r w:rsidR="0068177A">
          <w:rPr>
            <w:noProof/>
            <w:webHidden/>
          </w:rPr>
          <w:instrText xml:space="preserve"> PAGEREF _Toc173245287 \h </w:instrText>
        </w:r>
        <w:r w:rsidR="0068177A">
          <w:rPr>
            <w:noProof/>
            <w:webHidden/>
          </w:rPr>
        </w:r>
        <w:r w:rsidR="0068177A">
          <w:rPr>
            <w:noProof/>
            <w:webHidden/>
          </w:rPr>
          <w:fldChar w:fldCharType="separate"/>
        </w:r>
        <w:r w:rsidR="0023515C">
          <w:rPr>
            <w:noProof/>
            <w:webHidden/>
          </w:rPr>
          <w:t>195</w:t>
        </w:r>
        <w:r w:rsidR="0068177A">
          <w:rPr>
            <w:noProof/>
            <w:webHidden/>
          </w:rPr>
          <w:fldChar w:fldCharType="end"/>
        </w:r>
      </w:hyperlink>
    </w:p>
    <w:p w14:paraId="5AE96DD1" w14:textId="613FE385"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88" w:history="1">
        <w:r w:rsidR="0068177A" w:rsidRPr="000D28E7">
          <w:rPr>
            <w:rStyle w:val="Hipervnculo"/>
            <w:rFonts w:eastAsia="Times New Roman"/>
            <w:noProof/>
          </w:rPr>
          <w:t>NOTA N° 51</w:t>
        </w:r>
        <w:r w:rsidR="0068177A">
          <w:rPr>
            <w:noProof/>
            <w:webHidden/>
          </w:rPr>
          <w:tab/>
        </w:r>
        <w:r w:rsidR="0068177A">
          <w:rPr>
            <w:noProof/>
            <w:webHidden/>
          </w:rPr>
          <w:fldChar w:fldCharType="begin"/>
        </w:r>
        <w:r w:rsidR="0068177A">
          <w:rPr>
            <w:noProof/>
            <w:webHidden/>
          </w:rPr>
          <w:instrText xml:space="preserve"> PAGEREF _Toc173245288 \h </w:instrText>
        </w:r>
        <w:r w:rsidR="0068177A">
          <w:rPr>
            <w:noProof/>
            <w:webHidden/>
          </w:rPr>
        </w:r>
        <w:r w:rsidR="0068177A">
          <w:rPr>
            <w:noProof/>
            <w:webHidden/>
          </w:rPr>
          <w:fldChar w:fldCharType="separate"/>
        </w:r>
        <w:r w:rsidR="0023515C">
          <w:rPr>
            <w:noProof/>
            <w:webHidden/>
          </w:rPr>
          <w:t>196</w:t>
        </w:r>
        <w:r w:rsidR="0068177A">
          <w:rPr>
            <w:noProof/>
            <w:webHidden/>
          </w:rPr>
          <w:fldChar w:fldCharType="end"/>
        </w:r>
      </w:hyperlink>
    </w:p>
    <w:p w14:paraId="4826DD91" w14:textId="38995A1D"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89" w:history="1">
        <w:r w:rsidR="0068177A" w:rsidRPr="000D28E7">
          <w:rPr>
            <w:rStyle w:val="Hipervnculo"/>
            <w:rFonts w:eastAsia="Times New Roman"/>
            <w:noProof/>
          </w:rPr>
          <w:t>Transferencias de capital</w:t>
        </w:r>
        <w:r w:rsidR="0068177A">
          <w:rPr>
            <w:noProof/>
            <w:webHidden/>
          </w:rPr>
          <w:tab/>
        </w:r>
        <w:r w:rsidR="0068177A">
          <w:rPr>
            <w:noProof/>
            <w:webHidden/>
          </w:rPr>
          <w:fldChar w:fldCharType="begin"/>
        </w:r>
        <w:r w:rsidR="0068177A">
          <w:rPr>
            <w:noProof/>
            <w:webHidden/>
          </w:rPr>
          <w:instrText xml:space="preserve"> PAGEREF _Toc173245289 \h </w:instrText>
        </w:r>
        <w:r w:rsidR="0068177A">
          <w:rPr>
            <w:noProof/>
            <w:webHidden/>
          </w:rPr>
        </w:r>
        <w:r w:rsidR="0068177A">
          <w:rPr>
            <w:noProof/>
            <w:webHidden/>
          </w:rPr>
          <w:fldChar w:fldCharType="separate"/>
        </w:r>
        <w:r w:rsidR="0023515C">
          <w:rPr>
            <w:noProof/>
            <w:webHidden/>
          </w:rPr>
          <w:t>196</w:t>
        </w:r>
        <w:r w:rsidR="0068177A">
          <w:rPr>
            <w:noProof/>
            <w:webHidden/>
          </w:rPr>
          <w:fldChar w:fldCharType="end"/>
        </w:r>
      </w:hyperlink>
    </w:p>
    <w:p w14:paraId="160EDA12" w14:textId="4C7A7EB8" w:rsidR="0068177A" w:rsidRDefault="00764935">
      <w:pPr>
        <w:pStyle w:val="TDC3"/>
        <w:tabs>
          <w:tab w:val="right" w:leader="dot" w:pos="8779"/>
        </w:tabs>
        <w:rPr>
          <w:rFonts w:eastAsiaTheme="minorEastAsia" w:cstheme="minorBidi"/>
          <w:noProof/>
          <w:kern w:val="2"/>
          <w:sz w:val="24"/>
          <w:szCs w:val="24"/>
          <w:lang w:val="en-US"/>
          <w14:ligatures w14:val="standardContextual"/>
        </w:rPr>
      </w:pPr>
      <w:hyperlink w:anchor="_Toc173245290" w:history="1">
        <w:r w:rsidR="0068177A" w:rsidRPr="000D28E7">
          <w:rPr>
            <w:rStyle w:val="Hipervnculo"/>
            <w:rFonts w:eastAsia="Calibri"/>
            <w:noProof/>
            <w:lang w:eastAsia="es-CR"/>
          </w:rPr>
          <w:t>4.9 OTROS INGRESOS</w:t>
        </w:r>
        <w:r w:rsidR="0068177A">
          <w:rPr>
            <w:noProof/>
            <w:webHidden/>
          </w:rPr>
          <w:tab/>
        </w:r>
        <w:r w:rsidR="0068177A">
          <w:rPr>
            <w:noProof/>
            <w:webHidden/>
          </w:rPr>
          <w:fldChar w:fldCharType="begin"/>
        </w:r>
        <w:r w:rsidR="0068177A">
          <w:rPr>
            <w:noProof/>
            <w:webHidden/>
          </w:rPr>
          <w:instrText xml:space="preserve"> PAGEREF _Toc173245290 \h </w:instrText>
        </w:r>
        <w:r w:rsidR="0068177A">
          <w:rPr>
            <w:noProof/>
            <w:webHidden/>
          </w:rPr>
        </w:r>
        <w:r w:rsidR="0068177A">
          <w:rPr>
            <w:noProof/>
            <w:webHidden/>
          </w:rPr>
          <w:fldChar w:fldCharType="separate"/>
        </w:r>
        <w:r w:rsidR="0023515C">
          <w:rPr>
            <w:noProof/>
            <w:webHidden/>
          </w:rPr>
          <w:t>197</w:t>
        </w:r>
        <w:r w:rsidR="0068177A">
          <w:rPr>
            <w:noProof/>
            <w:webHidden/>
          </w:rPr>
          <w:fldChar w:fldCharType="end"/>
        </w:r>
      </w:hyperlink>
    </w:p>
    <w:p w14:paraId="52D0A893" w14:textId="751440A0"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91" w:history="1">
        <w:r w:rsidR="0068177A" w:rsidRPr="000D28E7">
          <w:rPr>
            <w:rStyle w:val="Hipervnculo"/>
            <w:rFonts w:eastAsia="Times New Roman"/>
            <w:noProof/>
          </w:rPr>
          <w:t>NOTA N° 52</w:t>
        </w:r>
        <w:r w:rsidR="0068177A">
          <w:rPr>
            <w:noProof/>
            <w:webHidden/>
          </w:rPr>
          <w:tab/>
        </w:r>
        <w:r w:rsidR="0068177A">
          <w:rPr>
            <w:noProof/>
            <w:webHidden/>
          </w:rPr>
          <w:fldChar w:fldCharType="begin"/>
        </w:r>
        <w:r w:rsidR="0068177A">
          <w:rPr>
            <w:noProof/>
            <w:webHidden/>
          </w:rPr>
          <w:instrText xml:space="preserve"> PAGEREF _Toc173245291 \h </w:instrText>
        </w:r>
        <w:r w:rsidR="0068177A">
          <w:rPr>
            <w:noProof/>
            <w:webHidden/>
          </w:rPr>
        </w:r>
        <w:r w:rsidR="0068177A">
          <w:rPr>
            <w:noProof/>
            <w:webHidden/>
          </w:rPr>
          <w:fldChar w:fldCharType="separate"/>
        </w:r>
        <w:r w:rsidR="0023515C">
          <w:rPr>
            <w:noProof/>
            <w:webHidden/>
          </w:rPr>
          <w:t>197</w:t>
        </w:r>
        <w:r w:rsidR="0068177A">
          <w:rPr>
            <w:noProof/>
            <w:webHidden/>
          </w:rPr>
          <w:fldChar w:fldCharType="end"/>
        </w:r>
      </w:hyperlink>
    </w:p>
    <w:p w14:paraId="29DFE68C" w14:textId="11945F41"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92" w:history="1">
        <w:r w:rsidR="0068177A" w:rsidRPr="000D28E7">
          <w:rPr>
            <w:rStyle w:val="Hipervnculo"/>
            <w:rFonts w:eastAsia="Times New Roman"/>
            <w:noProof/>
          </w:rPr>
          <w:t>NOTA N° 53</w:t>
        </w:r>
        <w:r w:rsidR="0068177A">
          <w:rPr>
            <w:noProof/>
            <w:webHidden/>
          </w:rPr>
          <w:tab/>
        </w:r>
        <w:r w:rsidR="0068177A">
          <w:rPr>
            <w:noProof/>
            <w:webHidden/>
          </w:rPr>
          <w:fldChar w:fldCharType="begin"/>
        </w:r>
        <w:r w:rsidR="0068177A">
          <w:rPr>
            <w:noProof/>
            <w:webHidden/>
          </w:rPr>
          <w:instrText xml:space="preserve"> PAGEREF _Toc173245292 \h </w:instrText>
        </w:r>
        <w:r w:rsidR="0068177A">
          <w:rPr>
            <w:noProof/>
            <w:webHidden/>
          </w:rPr>
        </w:r>
        <w:r w:rsidR="0068177A">
          <w:rPr>
            <w:noProof/>
            <w:webHidden/>
          </w:rPr>
          <w:fldChar w:fldCharType="separate"/>
        </w:r>
        <w:r w:rsidR="0023515C">
          <w:rPr>
            <w:noProof/>
            <w:webHidden/>
          </w:rPr>
          <w:t>197</w:t>
        </w:r>
        <w:r w:rsidR="0068177A">
          <w:rPr>
            <w:noProof/>
            <w:webHidden/>
          </w:rPr>
          <w:fldChar w:fldCharType="end"/>
        </w:r>
      </w:hyperlink>
    </w:p>
    <w:p w14:paraId="0D9C45DB" w14:textId="7F00CF23"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93" w:history="1">
        <w:r w:rsidR="0068177A" w:rsidRPr="000D28E7">
          <w:rPr>
            <w:rStyle w:val="Hipervnculo"/>
            <w:rFonts w:eastAsia="Times New Roman"/>
            <w:noProof/>
          </w:rPr>
          <w:t>NOTA N° 54</w:t>
        </w:r>
        <w:r w:rsidR="0068177A">
          <w:rPr>
            <w:noProof/>
            <w:webHidden/>
          </w:rPr>
          <w:tab/>
        </w:r>
        <w:r w:rsidR="0068177A">
          <w:rPr>
            <w:noProof/>
            <w:webHidden/>
          </w:rPr>
          <w:fldChar w:fldCharType="begin"/>
        </w:r>
        <w:r w:rsidR="0068177A">
          <w:rPr>
            <w:noProof/>
            <w:webHidden/>
          </w:rPr>
          <w:instrText xml:space="preserve"> PAGEREF _Toc173245293 \h </w:instrText>
        </w:r>
        <w:r w:rsidR="0068177A">
          <w:rPr>
            <w:noProof/>
            <w:webHidden/>
          </w:rPr>
        </w:r>
        <w:r w:rsidR="0068177A">
          <w:rPr>
            <w:noProof/>
            <w:webHidden/>
          </w:rPr>
          <w:fldChar w:fldCharType="separate"/>
        </w:r>
        <w:r w:rsidR="0023515C">
          <w:rPr>
            <w:noProof/>
            <w:webHidden/>
          </w:rPr>
          <w:t>198</w:t>
        </w:r>
        <w:r w:rsidR="0068177A">
          <w:rPr>
            <w:noProof/>
            <w:webHidden/>
          </w:rPr>
          <w:fldChar w:fldCharType="end"/>
        </w:r>
      </w:hyperlink>
    </w:p>
    <w:p w14:paraId="3F30907D" w14:textId="66E1BD0C"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94" w:history="1">
        <w:r w:rsidR="0068177A" w:rsidRPr="000D28E7">
          <w:rPr>
            <w:rStyle w:val="Hipervnculo"/>
            <w:rFonts w:eastAsia="Times New Roman"/>
            <w:noProof/>
          </w:rPr>
          <w:t>NOTA N° 55</w:t>
        </w:r>
        <w:r w:rsidR="0068177A">
          <w:rPr>
            <w:noProof/>
            <w:webHidden/>
          </w:rPr>
          <w:tab/>
        </w:r>
        <w:r w:rsidR="0068177A">
          <w:rPr>
            <w:noProof/>
            <w:webHidden/>
          </w:rPr>
          <w:fldChar w:fldCharType="begin"/>
        </w:r>
        <w:r w:rsidR="0068177A">
          <w:rPr>
            <w:noProof/>
            <w:webHidden/>
          </w:rPr>
          <w:instrText xml:space="preserve"> PAGEREF _Toc173245294 \h </w:instrText>
        </w:r>
        <w:r w:rsidR="0068177A">
          <w:rPr>
            <w:noProof/>
            <w:webHidden/>
          </w:rPr>
        </w:r>
        <w:r w:rsidR="0068177A">
          <w:rPr>
            <w:noProof/>
            <w:webHidden/>
          </w:rPr>
          <w:fldChar w:fldCharType="separate"/>
        </w:r>
        <w:r w:rsidR="0023515C">
          <w:rPr>
            <w:noProof/>
            <w:webHidden/>
          </w:rPr>
          <w:t>198</w:t>
        </w:r>
        <w:r w:rsidR="0068177A">
          <w:rPr>
            <w:noProof/>
            <w:webHidden/>
          </w:rPr>
          <w:fldChar w:fldCharType="end"/>
        </w:r>
      </w:hyperlink>
    </w:p>
    <w:p w14:paraId="4523F283" w14:textId="0F13463A"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95" w:history="1">
        <w:r w:rsidR="0068177A" w:rsidRPr="000D28E7">
          <w:rPr>
            <w:rStyle w:val="Hipervnculo"/>
            <w:rFonts w:eastAsia="Times New Roman"/>
            <w:noProof/>
          </w:rPr>
          <w:t>NOTA N° 56</w:t>
        </w:r>
        <w:r w:rsidR="0068177A">
          <w:rPr>
            <w:noProof/>
            <w:webHidden/>
          </w:rPr>
          <w:tab/>
        </w:r>
        <w:r w:rsidR="0068177A">
          <w:rPr>
            <w:noProof/>
            <w:webHidden/>
          </w:rPr>
          <w:fldChar w:fldCharType="begin"/>
        </w:r>
        <w:r w:rsidR="0068177A">
          <w:rPr>
            <w:noProof/>
            <w:webHidden/>
          </w:rPr>
          <w:instrText xml:space="preserve"> PAGEREF _Toc173245295 \h </w:instrText>
        </w:r>
        <w:r w:rsidR="0068177A">
          <w:rPr>
            <w:noProof/>
            <w:webHidden/>
          </w:rPr>
        </w:r>
        <w:r w:rsidR="0068177A">
          <w:rPr>
            <w:noProof/>
            <w:webHidden/>
          </w:rPr>
          <w:fldChar w:fldCharType="separate"/>
        </w:r>
        <w:r w:rsidR="0023515C">
          <w:rPr>
            <w:noProof/>
            <w:webHidden/>
          </w:rPr>
          <w:t>199</w:t>
        </w:r>
        <w:r w:rsidR="0068177A">
          <w:rPr>
            <w:noProof/>
            <w:webHidden/>
          </w:rPr>
          <w:fldChar w:fldCharType="end"/>
        </w:r>
      </w:hyperlink>
    </w:p>
    <w:p w14:paraId="0F1B6309" w14:textId="6C8BB421"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96" w:history="1">
        <w:r w:rsidR="0068177A" w:rsidRPr="000D28E7">
          <w:rPr>
            <w:rStyle w:val="Hipervnculo"/>
            <w:rFonts w:eastAsia="Times New Roman"/>
            <w:noProof/>
          </w:rPr>
          <w:t>NOTA N° 57</w:t>
        </w:r>
        <w:r w:rsidR="0068177A">
          <w:rPr>
            <w:noProof/>
            <w:webHidden/>
          </w:rPr>
          <w:tab/>
        </w:r>
        <w:r w:rsidR="0068177A">
          <w:rPr>
            <w:noProof/>
            <w:webHidden/>
          </w:rPr>
          <w:fldChar w:fldCharType="begin"/>
        </w:r>
        <w:r w:rsidR="0068177A">
          <w:rPr>
            <w:noProof/>
            <w:webHidden/>
          </w:rPr>
          <w:instrText xml:space="preserve"> PAGEREF _Toc173245296 \h </w:instrText>
        </w:r>
        <w:r w:rsidR="0068177A">
          <w:rPr>
            <w:noProof/>
            <w:webHidden/>
          </w:rPr>
        </w:r>
        <w:r w:rsidR="0068177A">
          <w:rPr>
            <w:noProof/>
            <w:webHidden/>
          </w:rPr>
          <w:fldChar w:fldCharType="separate"/>
        </w:r>
        <w:r w:rsidR="0023515C">
          <w:rPr>
            <w:noProof/>
            <w:webHidden/>
          </w:rPr>
          <w:t>199</w:t>
        </w:r>
        <w:r w:rsidR="0068177A">
          <w:rPr>
            <w:noProof/>
            <w:webHidden/>
          </w:rPr>
          <w:fldChar w:fldCharType="end"/>
        </w:r>
      </w:hyperlink>
    </w:p>
    <w:p w14:paraId="28B302C6" w14:textId="40BB0E58"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297" w:history="1">
        <w:r w:rsidR="0068177A" w:rsidRPr="000D28E7">
          <w:rPr>
            <w:rStyle w:val="Hipervnculo"/>
            <w:rFonts w:eastAsia="Times New Roman"/>
            <w:noProof/>
          </w:rPr>
          <w:t>NOTA N° 58</w:t>
        </w:r>
        <w:r w:rsidR="0068177A">
          <w:rPr>
            <w:noProof/>
            <w:webHidden/>
          </w:rPr>
          <w:tab/>
        </w:r>
        <w:r w:rsidR="0068177A">
          <w:rPr>
            <w:noProof/>
            <w:webHidden/>
          </w:rPr>
          <w:fldChar w:fldCharType="begin"/>
        </w:r>
        <w:r w:rsidR="0068177A">
          <w:rPr>
            <w:noProof/>
            <w:webHidden/>
          </w:rPr>
          <w:instrText xml:space="preserve"> PAGEREF _Toc173245297 \h </w:instrText>
        </w:r>
        <w:r w:rsidR="0068177A">
          <w:rPr>
            <w:noProof/>
            <w:webHidden/>
          </w:rPr>
        </w:r>
        <w:r w:rsidR="0068177A">
          <w:rPr>
            <w:noProof/>
            <w:webHidden/>
          </w:rPr>
          <w:fldChar w:fldCharType="separate"/>
        </w:r>
        <w:r w:rsidR="0023515C">
          <w:rPr>
            <w:noProof/>
            <w:webHidden/>
          </w:rPr>
          <w:t>200</w:t>
        </w:r>
        <w:r w:rsidR="0068177A">
          <w:rPr>
            <w:noProof/>
            <w:webHidden/>
          </w:rPr>
          <w:fldChar w:fldCharType="end"/>
        </w:r>
      </w:hyperlink>
    </w:p>
    <w:p w14:paraId="767E29BD" w14:textId="31729F9E" w:rsidR="0068177A" w:rsidRDefault="00764935">
      <w:pPr>
        <w:pStyle w:val="TDC3"/>
        <w:tabs>
          <w:tab w:val="right" w:leader="dot" w:pos="8779"/>
        </w:tabs>
        <w:rPr>
          <w:rFonts w:eastAsiaTheme="minorEastAsia" w:cstheme="minorBidi"/>
          <w:noProof/>
          <w:kern w:val="2"/>
          <w:sz w:val="24"/>
          <w:szCs w:val="24"/>
          <w:lang w:val="en-US"/>
          <w14:ligatures w14:val="standardContextual"/>
        </w:rPr>
      </w:pPr>
      <w:hyperlink w:anchor="_Toc173245298" w:history="1">
        <w:r w:rsidR="0068177A" w:rsidRPr="000D28E7">
          <w:rPr>
            <w:rStyle w:val="Hipervnculo"/>
            <w:rFonts w:eastAsia="Times New Roman"/>
            <w:noProof/>
            <w:lang w:eastAsia="es-CR"/>
          </w:rPr>
          <w:t>5. GASTOS</w:t>
        </w:r>
        <w:r w:rsidR="0068177A">
          <w:rPr>
            <w:noProof/>
            <w:webHidden/>
          </w:rPr>
          <w:tab/>
        </w:r>
        <w:r w:rsidR="0068177A">
          <w:rPr>
            <w:noProof/>
            <w:webHidden/>
          </w:rPr>
          <w:fldChar w:fldCharType="begin"/>
        </w:r>
        <w:r w:rsidR="0068177A">
          <w:rPr>
            <w:noProof/>
            <w:webHidden/>
          </w:rPr>
          <w:instrText xml:space="preserve"> PAGEREF _Toc173245298 \h </w:instrText>
        </w:r>
        <w:r w:rsidR="0068177A">
          <w:rPr>
            <w:noProof/>
            <w:webHidden/>
          </w:rPr>
        </w:r>
        <w:r w:rsidR="0068177A">
          <w:rPr>
            <w:noProof/>
            <w:webHidden/>
          </w:rPr>
          <w:fldChar w:fldCharType="separate"/>
        </w:r>
        <w:r w:rsidR="0023515C">
          <w:rPr>
            <w:noProof/>
            <w:webHidden/>
          </w:rPr>
          <w:t>200</w:t>
        </w:r>
        <w:r w:rsidR="0068177A">
          <w:rPr>
            <w:noProof/>
            <w:webHidden/>
          </w:rPr>
          <w:fldChar w:fldCharType="end"/>
        </w:r>
      </w:hyperlink>
    </w:p>
    <w:p w14:paraId="61142042" w14:textId="77D22BCD" w:rsidR="0068177A" w:rsidRDefault="00764935">
      <w:pPr>
        <w:pStyle w:val="TDC3"/>
        <w:tabs>
          <w:tab w:val="right" w:leader="dot" w:pos="8779"/>
        </w:tabs>
        <w:rPr>
          <w:rFonts w:eastAsiaTheme="minorEastAsia" w:cstheme="minorBidi"/>
          <w:noProof/>
          <w:kern w:val="2"/>
          <w:sz w:val="24"/>
          <w:szCs w:val="24"/>
          <w:lang w:val="en-US"/>
          <w14:ligatures w14:val="standardContextual"/>
        </w:rPr>
      </w:pPr>
      <w:hyperlink w:anchor="_Toc173245299" w:history="1">
        <w:r w:rsidR="0068177A" w:rsidRPr="000D28E7">
          <w:rPr>
            <w:rStyle w:val="Hipervnculo"/>
            <w:rFonts w:eastAsia="Calibri"/>
            <w:noProof/>
            <w:lang w:eastAsia="es-CR"/>
          </w:rPr>
          <w:t>5.1 GASTOS DE FUNCIONAMIENTO</w:t>
        </w:r>
        <w:r w:rsidR="0068177A">
          <w:rPr>
            <w:noProof/>
            <w:webHidden/>
          </w:rPr>
          <w:tab/>
        </w:r>
        <w:r w:rsidR="0068177A">
          <w:rPr>
            <w:noProof/>
            <w:webHidden/>
          </w:rPr>
          <w:fldChar w:fldCharType="begin"/>
        </w:r>
        <w:r w:rsidR="0068177A">
          <w:rPr>
            <w:noProof/>
            <w:webHidden/>
          </w:rPr>
          <w:instrText xml:space="preserve"> PAGEREF _Toc173245299 \h </w:instrText>
        </w:r>
        <w:r w:rsidR="0068177A">
          <w:rPr>
            <w:noProof/>
            <w:webHidden/>
          </w:rPr>
        </w:r>
        <w:r w:rsidR="0068177A">
          <w:rPr>
            <w:noProof/>
            <w:webHidden/>
          </w:rPr>
          <w:fldChar w:fldCharType="separate"/>
        </w:r>
        <w:r w:rsidR="0023515C">
          <w:rPr>
            <w:noProof/>
            <w:webHidden/>
          </w:rPr>
          <w:t>200</w:t>
        </w:r>
        <w:r w:rsidR="0068177A">
          <w:rPr>
            <w:noProof/>
            <w:webHidden/>
          </w:rPr>
          <w:fldChar w:fldCharType="end"/>
        </w:r>
      </w:hyperlink>
    </w:p>
    <w:p w14:paraId="5C2673B1" w14:textId="4A1879CC"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300" w:history="1">
        <w:r w:rsidR="0068177A" w:rsidRPr="000D28E7">
          <w:rPr>
            <w:rStyle w:val="Hipervnculo"/>
            <w:rFonts w:eastAsia="Times New Roman"/>
            <w:noProof/>
          </w:rPr>
          <w:t>NOTA N° 59</w:t>
        </w:r>
        <w:r w:rsidR="0068177A">
          <w:rPr>
            <w:noProof/>
            <w:webHidden/>
          </w:rPr>
          <w:tab/>
        </w:r>
        <w:r w:rsidR="0068177A">
          <w:rPr>
            <w:noProof/>
            <w:webHidden/>
          </w:rPr>
          <w:fldChar w:fldCharType="begin"/>
        </w:r>
        <w:r w:rsidR="0068177A">
          <w:rPr>
            <w:noProof/>
            <w:webHidden/>
          </w:rPr>
          <w:instrText xml:space="preserve"> PAGEREF _Toc173245300 \h </w:instrText>
        </w:r>
        <w:r w:rsidR="0068177A">
          <w:rPr>
            <w:noProof/>
            <w:webHidden/>
          </w:rPr>
        </w:r>
        <w:r w:rsidR="0068177A">
          <w:rPr>
            <w:noProof/>
            <w:webHidden/>
          </w:rPr>
          <w:fldChar w:fldCharType="separate"/>
        </w:r>
        <w:r w:rsidR="0023515C">
          <w:rPr>
            <w:noProof/>
            <w:webHidden/>
          </w:rPr>
          <w:t>200</w:t>
        </w:r>
        <w:r w:rsidR="0068177A">
          <w:rPr>
            <w:noProof/>
            <w:webHidden/>
          </w:rPr>
          <w:fldChar w:fldCharType="end"/>
        </w:r>
      </w:hyperlink>
    </w:p>
    <w:p w14:paraId="4A3146D6" w14:textId="74089D8E"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301" w:history="1">
        <w:r w:rsidR="0068177A" w:rsidRPr="000D28E7">
          <w:rPr>
            <w:rStyle w:val="Hipervnculo"/>
            <w:rFonts w:eastAsia="Times New Roman"/>
            <w:noProof/>
          </w:rPr>
          <w:t>NOTA N° 60</w:t>
        </w:r>
        <w:r w:rsidR="0068177A">
          <w:rPr>
            <w:noProof/>
            <w:webHidden/>
          </w:rPr>
          <w:tab/>
        </w:r>
        <w:r w:rsidR="0068177A">
          <w:rPr>
            <w:noProof/>
            <w:webHidden/>
          </w:rPr>
          <w:fldChar w:fldCharType="begin"/>
        </w:r>
        <w:r w:rsidR="0068177A">
          <w:rPr>
            <w:noProof/>
            <w:webHidden/>
          </w:rPr>
          <w:instrText xml:space="preserve"> PAGEREF _Toc173245301 \h </w:instrText>
        </w:r>
        <w:r w:rsidR="0068177A">
          <w:rPr>
            <w:noProof/>
            <w:webHidden/>
          </w:rPr>
        </w:r>
        <w:r w:rsidR="0068177A">
          <w:rPr>
            <w:noProof/>
            <w:webHidden/>
          </w:rPr>
          <w:fldChar w:fldCharType="separate"/>
        </w:r>
        <w:r w:rsidR="0023515C">
          <w:rPr>
            <w:noProof/>
            <w:webHidden/>
          </w:rPr>
          <w:t>202</w:t>
        </w:r>
        <w:r w:rsidR="0068177A">
          <w:rPr>
            <w:noProof/>
            <w:webHidden/>
          </w:rPr>
          <w:fldChar w:fldCharType="end"/>
        </w:r>
      </w:hyperlink>
    </w:p>
    <w:p w14:paraId="5F774B0B" w14:textId="255C9800"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302" w:history="1">
        <w:r w:rsidR="0068177A" w:rsidRPr="000D28E7">
          <w:rPr>
            <w:rStyle w:val="Hipervnculo"/>
            <w:rFonts w:eastAsia="Times New Roman"/>
            <w:noProof/>
          </w:rPr>
          <w:t>NOTA N° 61</w:t>
        </w:r>
        <w:r w:rsidR="0068177A">
          <w:rPr>
            <w:noProof/>
            <w:webHidden/>
          </w:rPr>
          <w:tab/>
        </w:r>
        <w:r w:rsidR="0068177A">
          <w:rPr>
            <w:noProof/>
            <w:webHidden/>
          </w:rPr>
          <w:fldChar w:fldCharType="begin"/>
        </w:r>
        <w:r w:rsidR="0068177A">
          <w:rPr>
            <w:noProof/>
            <w:webHidden/>
          </w:rPr>
          <w:instrText xml:space="preserve"> PAGEREF _Toc173245302 \h </w:instrText>
        </w:r>
        <w:r w:rsidR="0068177A">
          <w:rPr>
            <w:noProof/>
            <w:webHidden/>
          </w:rPr>
        </w:r>
        <w:r w:rsidR="0068177A">
          <w:rPr>
            <w:noProof/>
            <w:webHidden/>
          </w:rPr>
          <w:fldChar w:fldCharType="separate"/>
        </w:r>
        <w:r w:rsidR="0023515C">
          <w:rPr>
            <w:noProof/>
            <w:webHidden/>
          </w:rPr>
          <w:t>205</w:t>
        </w:r>
        <w:r w:rsidR="0068177A">
          <w:rPr>
            <w:noProof/>
            <w:webHidden/>
          </w:rPr>
          <w:fldChar w:fldCharType="end"/>
        </w:r>
      </w:hyperlink>
    </w:p>
    <w:p w14:paraId="7E86D3E3" w14:textId="6B9294FB"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303" w:history="1">
        <w:r w:rsidR="0068177A" w:rsidRPr="000D28E7">
          <w:rPr>
            <w:rStyle w:val="Hipervnculo"/>
            <w:rFonts w:eastAsia="Times New Roman"/>
            <w:noProof/>
          </w:rPr>
          <w:t>NOTA N° 62</w:t>
        </w:r>
        <w:r w:rsidR="0068177A">
          <w:rPr>
            <w:noProof/>
            <w:webHidden/>
          </w:rPr>
          <w:tab/>
        </w:r>
        <w:r w:rsidR="0068177A">
          <w:rPr>
            <w:noProof/>
            <w:webHidden/>
          </w:rPr>
          <w:fldChar w:fldCharType="begin"/>
        </w:r>
        <w:r w:rsidR="0068177A">
          <w:rPr>
            <w:noProof/>
            <w:webHidden/>
          </w:rPr>
          <w:instrText xml:space="preserve"> PAGEREF _Toc173245303 \h </w:instrText>
        </w:r>
        <w:r w:rsidR="0068177A">
          <w:rPr>
            <w:noProof/>
            <w:webHidden/>
          </w:rPr>
        </w:r>
        <w:r w:rsidR="0068177A">
          <w:rPr>
            <w:noProof/>
            <w:webHidden/>
          </w:rPr>
          <w:fldChar w:fldCharType="separate"/>
        </w:r>
        <w:r w:rsidR="0023515C">
          <w:rPr>
            <w:noProof/>
            <w:webHidden/>
          </w:rPr>
          <w:t>207</w:t>
        </w:r>
        <w:r w:rsidR="0068177A">
          <w:rPr>
            <w:noProof/>
            <w:webHidden/>
          </w:rPr>
          <w:fldChar w:fldCharType="end"/>
        </w:r>
      </w:hyperlink>
    </w:p>
    <w:p w14:paraId="157BA514" w14:textId="1732BB38"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304" w:history="1">
        <w:r w:rsidR="0068177A" w:rsidRPr="000D28E7">
          <w:rPr>
            <w:rStyle w:val="Hipervnculo"/>
            <w:rFonts w:eastAsia="Times New Roman"/>
            <w:noProof/>
          </w:rPr>
          <w:t>NOTA N° 63</w:t>
        </w:r>
        <w:r w:rsidR="0068177A">
          <w:rPr>
            <w:noProof/>
            <w:webHidden/>
          </w:rPr>
          <w:tab/>
        </w:r>
        <w:r w:rsidR="0068177A">
          <w:rPr>
            <w:noProof/>
            <w:webHidden/>
          </w:rPr>
          <w:fldChar w:fldCharType="begin"/>
        </w:r>
        <w:r w:rsidR="0068177A">
          <w:rPr>
            <w:noProof/>
            <w:webHidden/>
          </w:rPr>
          <w:instrText xml:space="preserve"> PAGEREF _Toc173245304 \h </w:instrText>
        </w:r>
        <w:r w:rsidR="0068177A">
          <w:rPr>
            <w:noProof/>
            <w:webHidden/>
          </w:rPr>
        </w:r>
        <w:r w:rsidR="0068177A">
          <w:rPr>
            <w:noProof/>
            <w:webHidden/>
          </w:rPr>
          <w:fldChar w:fldCharType="separate"/>
        </w:r>
        <w:r w:rsidR="0023515C">
          <w:rPr>
            <w:noProof/>
            <w:webHidden/>
          </w:rPr>
          <w:t>208</w:t>
        </w:r>
        <w:r w:rsidR="0068177A">
          <w:rPr>
            <w:noProof/>
            <w:webHidden/>
          </w:rPr>
          <w:fldChar w:fldCharType="end"/>
        </w:r>
      </w:hyperlink>
    </w:p>
    <w:p w14:paraId="43789C40" w14:textId="425A4104"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305" w:history="1">
        <w:r w:rsidR="0068177A" w:rsidRPr="000D28E7">
          <w:rPr>
            <w:rStyle w:val="Hipervnculo"/>
            <w:rFonts w:eastAsia="Times New Roman"/>
            <w:noProof/>
          </w:rPr>
          <w:t>NOTA N° 64</w:t>
        </w:r>
        <w:r w:rsidR="0068177A">
          <w:rPr>
            <w:noProof/>
            <w:webHidden/>
          </w:rPr>
          <w:tab/>
        </w:r>
        <w:r w:rsidR="0068177A">
          <w:rPr>
            <w:noProof/>
            <w:webHidden/>
          </w:rPr>
          <w:fldChar w:fldCharType="begin"/>
        </w:r>
        <w:r w:rsidR="0068177A">
          <w:rPr>
            <w:noProof/>
            <w:webHidden/>
          </w:rPr>
          <w:instrText xml:space="preserve"> PAGEREF _Toc173245305 \h </w:instrText>
        </w:r>
        <w:r w:rsidR="0068177A">
          <w:rPr>
            <w:noProof/>
            <w:webHidden/>
          </w:rPr>
        </w:r>
        <w:r w:rsidR="0068177A">
          <w:rPr>
            <w:noProof/>
            <w:webHidden/>
          </w:rPr>
          <w:fldChar w:fldCharType="separate"/>
        </w:r>
        <w:r w:rsidR="0023515C">
          <w:rPr>
            <w:noProof/>
            <w:webHidden/>
          </w:rPr>
          <w:t>209</w:t>
        </w:r>
        <w:r w:rsidR="0068177A">
          <w:rPr>
            <w:noProof/>
            <w:webHidden/>
          </w:rPr>
          <w:fldChar w:fldCharType="end"/>
        </w:r>
      </w:hyperlink>
    </w:p>
    <w:p w14:paraId="050F0EA2" w14:textId="25127F83"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306" w:history="1">
        <w:r w:rsidR="0068177A" w:rsidRPr="000D28E7">
          <w:rPr>
            <w:rStyle w:val="Hipervnculo"/>
            <w:rFonts w:eastAsia="Times New Roman"/>
            <w:noProof/>
          </w:rPr>
          <w:t>NOTA N° 65</w:t>
        </w:r>
        <w:r w:rsidR="0068177A">
          <w:rPr>
            <w:noProof/>
            <w:webHidden/>
          </w:rPr>
          <w:tab/>
        </w:r>
        <w:r w:rsidR="0068177A">
          <w:rPr>
            <w:noProof/>
            <w:webHidden/>
          </w:rPr>
          <w:fldChar w:fldCharType="begin"/>
        </w:r>
        <w:r w:rsidR="0068177A">
          <w:rPr>
            <w:noProof/>
            <w:webHidden/>
          </w:rPr>
          <w:instrText xml:space="preserve"> PAGEREF _Toc173245306 \h </w:instrText>
        </w:r>
        <w:r w:rsidR="0068177A">
          <w:rPr>
            <w:noProof/>
            <w:webHidden/>
          </w:rPr>
        </w:r>
        <w:r w:rsidR="0068177A">
          <w:rPr>
            <w:noProof/>
            <w:webHidden/>
          </w:rPr>
          <w:fldChar w:fldCharType="separate"/>
        </w:r>
        <w:r w:rsidR="0023515C">
          <w:rPr>
            <w:noProof/>
            <w:webHidden/>
          </w:rPr>
          <w:t>209</w:t>
        </w:r>
        <w:r w:rsidR="0068177A">
          <w:rPr>
            <w:noProof/>
            <w:webHidden/>
          </w:rPr>
          <w:fldChar w:fldCharType="end"/>
        </w:r>
      </w:hyperlink>
    </w:p>
    <w:p w14:paraId="2DB105FD" w14:textId="470B31F8"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307" w:history="1">
        <w:r w:rsidR="0068177A" w:rsidRPr="000D28E7">
          <w:rPr>
            <w:rStyle w:val="Hipervnculo"/>
            <w:rFonts w:eastAsia="Times New Roman"/>
            <w:noProof/>
          </w:rPr>
          <w:t>NOTA N° 66</w:t>
        </w:r>
        <w:r w:rsidR="0068177A">
          <w:rPr>
            <w:noProof/>
            <w:webHidden/>
          </w:rPr>
          <w:tab/>
        </w:r>
        <w:r w:rsidR="0068177A">
          <w:rPr>
            <w:noProof/>
            <w:webHidden/>
          </w:rPr>
          <w:fldChar w:fldCharType="begin"/>
        </w:r>
        <w:r w:rsidR="0068177A">
          <w:rPr>
            <w:noProof/>
            <w:webHidden/>
          </w:rPr>
          <w:instrText xml:space="preserve"> PAGEREF _Toc173245307 \h </w:instrText>
        </w:r>
        <w:r w:rsidR="0068177A">
          <w:rPr>
            <w:noProof/>
            <w:webHidden/>
          </w:rPr>
        </w:r>
        <w:r w:rsidR="0068177A">
          <w:rPr>
            <w:noProof/>
            <w:webHidden/>
          </w:rPr>
          <w:fldChar w:fldCharType="separate"/>
        </w:r>
        <w:r w:rsidR="0023515C">
          <w:rPr>
            <w:noProof/>
            <w:webHidden/>
          </w:rPr>
          <w:t>210</w:t>
        </w:r>
        <w:r w:rsidR="0068177A">
          <w:rPr>
            <w:noProof/>
            <w:webHidden/>
          </w:rPr>
          <w:fldChar w:fldCharType="end"/>
        </w:r>
      </w:hyperlink>
    </w:p>
    <w:p w14:paraId="7B3F8A08" w14:textId="016B4205" w:rsidR="0068177A" w:rsidRDefault="00764935">
      <w:pPr>
        <w:pStyle w:val="TDC3"/>
        <w:tabs>
          <w:tab w:val="right" w:leader="dot" w:pos="8779"/>
        </w:tabs>
        <w:rPr>
          <w:rFonts w:eastAsiaTheme="minorEastAsia" w:cstheme="minorBidi"/>
          <w:noProof/>
          <w:kern w:val="2"/>
          <w:sz w:val="24"/>
          <w:szCs w:val="24"/>
          <w:lang w:val="en-US"/>
          <w14:ligatures w14:val="standardContextual"/>
        </w:rPr>
      </w:pPr>
      <w:hyperlink w:anchor="_Toc173245308" w:history="1">
        <w:r w:rsidR="0068177A" w:rsidRPr="000D28E7">
          <w:rPr>
            <w:rStyle w:val="Hipervnculo"/>
            <w:rFonts w:eastAsia="Calibri"/>
            <w:noProof/>
            <w:lang w:eastAsia="es-CR"/>
          </w:rPr>
          <w:t>5.2 GASTOS FINANCIEROS</w:t>
        </w:r>
        <w:r w:rsidR="0068177A">
          <w:rPr>
            <w:noProof/>
            <w:webHidden/>
          </w:rPr>
          <w:tab/>
        </w:r>
        <w:r w:rsidR="0068177A">
          <w:rPr>
            <w:noProof/>
            <w:webHidden/>
          </w:rPr>
          <w:fldChar w:fldCharType="begin"/>
        </w:r>
        <w:r w:rsidR="0068177A">
          <w:rPr>
            <w:noProof/>
            <w:webHidden/>
          </w:rPr>
          <w:instrText xml:space="preserve"> PAGEREF _Toc173245308 \h </w:instrText>
        </w:r>
        <w:r w:rsidR="0068177A">
          <w:rPr>
            <w:noProof/>
            <w:webHidden/>
          </w:rPr>
        </w:r>
        <w:r w:rsidR="0068177A">
          <w:rPr>
            <w:noProof/>
            <w:webHidden/>
          </w:rPr>
          <w:fldChar w:fldCharType="separate"/>
        </w:r>
        <w:r w:rsidR="0023515C">
          <w:rPr>
            <w:noProof/>
            <w:webHidden/>
          </w:rPr>
          <w:t>210</w:t>
        </w:r>
        <w:r w:rsidR="0068177A">
          <w:rPr>
            <w:noProof/>
            <w:webHidden/>
          </w:rPr>
          <w:fldChar w:fldCharType="end"/>
        </w:r>
      </w:hyperlink>
    </w:p>
    <w:p w14:paraId="4F9F4DEA" w14:textId="784B6FEF"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309" w:history="1">
        <w:r w:rsidR="0068177A" w:rsidRPr="000D28E7">
          <w:rPr>
            <w:rStyle w:val="Hipervnculo"/>
            <w:rFonts w:eastAsia="Times New Roman"/>
            <w:noProof/>
          </w:rPr>
          <w:t>NOTA N° 67</w:t>
        </w:r>
        <w:r w:rsidR="0068177A">
          <w:rPr>
            <w:noProof/>
            <w:webHidden/>
          </w:rPr>
          <w:tab/>
        </w:r>
        <w:r w:rsidR="0068177A">
          <w:rPr>
            <w:noProof/>
            <w:webHidden/>
          </w:rPr>
          <w:fldChar w:fldCharType="begin"/>
        </w:r>
        <w:r w:rsidR="0068177A">
          <w:rPr>
            <w:noProof/>
            <w:webHidden/>
          </w:rPr>
          <w:instrText xml:space="preserve"> PAGEREF _Toc173245309 \h </w:instrText>
        </w:r>
        <w:r w:rsidR="0068177A">
          <w:rPr>
            <w:noProof/>
            <w:webHidden/>
          </w:rPr>
        </w:r>
        <w:r w:rsidR="0068177A">
          <w:rPr>
            <w:noProof/>
            <w:webHidden/>
          </w:rPr>
          <w:fldChar w:fldCharType="separate"/>
        </w:r>
        <w:r w:rsidR="0023515C">
          <w:rPr>
            <w:noProof/>
            <w:webHidden/>
          </w:rPr>
          <w:t>210</w:t>
        </w:r>
        <w:r w:rsidR="0068177A">
          <w:rPr>
            <w:noProof/>
            <w:webHidden/>
          </w:rPr>
          <w:fldChar w:fldCharType="end"/>
        </w:r>
      </w:hyperlink>
    </w:p>
    <w:p w14:paraId="2D7CF156" w14:textId="2FB0C5C1"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310" w:history="1">
        <w:r w:rsidR="0068177A" w:rsidRPr="000D28E7">
          <w:rPr>
            <w:rStyle w:val="Hipervnculo"/>
            <w:rFonts w:eastAsia="Times New Roman"/>
            <w:noProof/>
          </w:rPr>
          <w:t>NOTA N° 68</w:t>
        </w:r>
        <w:r w:rsidR="0068177A">
          <w:rPr>
            <w:noProof/>
            <w:webHidden/>
          </w:rPr>
          <w:tab/>
        </w:r>
        <w:r w:rsidR="0068177A">
          <w:rPr>
            <w:noProof/>
            <w:webHidden/>
          </w:rPr>
          <w:fldChar w:fldCharType="begin"/>
        </w:r>
        <w:r w:rsidR="0068177A">
          <w:rPr>
            <w:noProof/>
            <w:webHidden/>
          </w:rPr>
          <w:instrText xml:space="preserve"> PAGEREF _Toc173245310 \h </w:instrText>
        </w:r>
        <w:r w:rsidR="0068177A">
          <w:rPr>
            <w:noProof/>
            <w:webHidden/>
          </w:rPr>
        </w:r>
        <w:r w:rsidR="0068177A">
          <w:rPr>
            <w:noProof/>
            <w:webHidden/>
          </w:rPr>
          <w:fldChar w:fldCharType="separate"/>
        </w:r>
        <w:r w:rsidR="0023515C">
          <w:rPr>
            <w:noProof/>
            <w:webHidden/>
          </w:rPr>
          <w:t>211</w:t>
        </w:r>
        <w:r w:rsidR="0068177A">
          <w:rPr>
            <w:noProof/>
            <w:webHidden/>
          </w:rPr>
          <w:fldChar w:fldCharType="end"/>
        </w:r>
      </w:hyperlink>
    </w:p>
    <w:p w14:paraId="2D43363A" w14:textId="1B75C4B4" w:rsidR="0068177A" w:rsidRDefault="00764935">
      <w:pPr>
        <w:pStyle w:val="TDC3"/>
        <w:tabs>
          <w:tab w:val="right" w:leader="dot" w:pos="8779"/>
        </w:tabs>
        <w:rPr>
          <w:rFonts w:eastAsiaTheme="minorEastAsia" w:cstheme="minorBidi"/>
          <w:noProof/>
          <w:kern w:val="2"/>
          <w:sz w:val="24"/>
          <w:szCs w:val="24"/>
          <w:lang w:val="en-US"/>
          <w14:ligatures w14:val="standardContextual"/>
        </w:rPr>
      </w:pPr>
      <w:hyperlink w:anchor="_Toc173245311" w:history="1">
        <w:r w:rsidR="0068177A" w:rsidRPr="000D28E7">
          <w:rPr>
            <w:rStyle w:val="Hipervnculo"/>
            <w:rFonts w:eastAsia="Calibri"/>
            <w:noProof/>
            <w:lang w:eastAsia="es-CR"/>
          </w:rPr>
          <w:t>5.3 GASTOS Y RESULTADOS NEGATIVOS POR VENTAS</w:t>
        </w:r>
        <w:r w:rsidR="0068177A">
          <w:rPr>
            <w:noProof/>
            <w:webHidden/>
          </w:rPr>
          <w:tab/>
        </w:r>
        <w:r w:rsidR="0068177A">
          <w:rPr>
            <w:noProof/>
            <w:webHidden/>
          </w:rPr>
          <w:fldChar w:fldCharType="begin"/>
        </w:r>
        <w:r w:rsidR="0068177A">
          <w:rPr>
            <w:noProof/>
            <w:webHidden/>
          </w:rPr>
          <w:instrText xml:space="preserve"> PAGEREF _Toc173245311 \h </w:instrText>
        </w:r>
        <w:r w:rsidR="0068177A">
          <w:rPr>
            <w:noProof/>
            <w:webHidden/>
          </w:rPr>
        </w:r>
        <w:r w:rsidR="0068177A">
          <w:rPr>
            <w:noProof/>
            <w:webHidden/>
          </w:rPr>
          <w:fldChar w:fldCharType="separate"/>
        </w:r>
        <w:r w:rsidR="0023515C">
          <w:rPr>
            <w:noProof/>
            <w:webHidden/>
          </w:rPr>
          <w:t>212</w:t>
        </w:r>
        <w:r w:rsidR="0068177A">
          <w:rPr>
            <w:noProof/>
            <w:webHidden/>
          </w:rPr>
          <w:fldChar w:fldCharType="end"/>
        </w:r>
      </w:hyperlink>
    </w:p>
    <w:p w14:paraId="06841B93" w14:textId="1BF247BD"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312" w:history="1">
        <w:r w:rsidR="0068177A" w:rsidRPr="000D28E7">
          <w:rPr>
            <w:rStyle w:val="Hipervnculo"/>
            <w:rFonts w:eastAsia="Times New Roman"/>
            <w:noProof/>
          </w:rPr>
          <w:t>NOTA N° 69</w:t>
        </w:r>
        <w:r w:rsidR="0068177A">
          <w:rPr>
            <w:noProof/>
            <w:webHidden/>
          </w:rPr>
          <w:tab/>
        </w:r>
        <w:r w:rsidR="0068177A">
          <w:rPr>
            <w:noProof/>
            <w:webHidden/>
          </w:rPr>
          <w:fldChar w:fldCharType="begin"/>
        </w:r>
        <w:r w:rsidR="0068177A">
          <w:rPr>
            <w:noProof/>
            <w:webHidden/>
          </w:rPr>
          <w:instrText xml:space="preserve"> PAGEREF _Toc173245312 \h </w:instrText>
        </w:r>
        <w:r w:rsidR="0068177A">
          <w:rPr>
            <w:noProof/>
            <w:webHidden/>
          </w:rPr>
        </w:r>
        <w:r w:rsidR="0068177A">
          <w:rPr>
            <w:noProof/>
            <w:webHidden/>
          </w:rPr>
          <w:fldChar w:fldCharType="separate"/>
        </w:r>
        <w:r w:rsidR="0023515C">
          <w:rPr>
            <w:noProof/>
            <w:webHidden/>
          </w:rPr>
          <w:t>212</w:t>
        </w:r>
        <w:r w:rsidR="0068177A">
          <w:rPr>
            <w:noProof/>
            <w:webHidden/>
          </w:rPr>
          <w:fldChar w:fldCharType="end"/>
        </w:r>
      </w:hyperlink>
    </w:p>
    <w:p w14:paraId="15229B57" w14:textId="58FC27E4"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313" w:history="1">
        <w:r w:rsidR="0068177A" w:rsidRPr="000D28E7">
          <w:rPr>
            <w:rStyle w:val="Hipervnculo"/>
            <w:rFonts w:eastAsia="Times New Roman"/>
            <w:noProof/>
          </w:rPr>
          <w:t>NOTA N° 70</w:t>
        </w:r>
        <w:r w:rsidR="0068177A">
          <w:rPr>
            <w:noProof/>
            <w:webHidden/>
          </w:rPr>
          <w:tab/>
        </w:r>
        <w:r w:rsidR="0068177A">
          <w:rPr>
            <w:noProof/>
            <w:webHidden/>
          </w:rPr>
          <w:fldChar w:fldCharType="begin"/>
        </w:r>
        <w:r w:rsidR="0068177A">
          <w:rPr>
            <w:noProof/>
            <w:webHidden/>
          </w:rPr>
          <w:instrText xml:space="preserve"> PAGEREF _Toc173245313 \h </w:instrText>
        </w:r>
        <w:r w:rsidR="0068177A">
          <w:rPr>
            <w:noProof/>
            <w:webHidden/>
          </w:rPr>
        </w:r>
        <w:r w:rsidR="0068177A">
          <w:rPr>
            <w:noProof/>
            <w:webHidden/>
          </w:rPr>
          <w:fldChar w:fldCharType="separate"/>
        </w:r>
        <w:r w:rsidR="0023515C">
          <w:rPr>
            <w:noProof/>
            <w:webHidden/>
          </w:rPr>
          <w:t>212</w:t>
        </w:r>
        <w:r w:rsidR="0068177A">
          <w:rPr>
            <w:noProof/>
            <w:webHidden/>
          </w:rPr>
          <w:fldChar w:fldCharType="end"/>
        </w:r>
      </w:hyperlink>
    </w:p>
    <w:p w14:paraId="6BAE1046" w14:textId="152869D7"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314" w:history="1">
        <w:r w:rsidR="0068177A" w:rsidRPr="000D28E7">
          <w:rPr>
            <w:rStyle w:val="Hipervnculo"/>
            <w:rFonts w:eastAsia="Times New Roman"/>
            <w:noProof/>
          </w:rPr>
          <w:t>NOTA N° 71</w:t>
        </w:r>
        <w:r w:rsidR="0068177A">
          <w:rPr>
            <w:noProof/>
            <w:webHidden/>
          </w:rPr>
          <w:tab/>
        </w:r>
        <w:r w:rsidR="0068177A">
          <w:rPr>
            <w:noProof/>
            <w:webHidden/>
          </w:rPr>
          <w:fldChar w:fldCharType="begin"/>
        </w:r>
        <w:r w:rsidR="0068177A">
          <w:rPr>
            <w:noProof/>
            <w:webHidden/>
          </w:rPr>
          <w:instrText xml:space="preserve"> PAGEREF _Toc173245314 \h </w:instrText>
        </w:r>
        <w:r w:rsidR="0068177A">
          <w:rPr>
            <w:noProof/>
            <w:webHidden/>
          </w:rPr>
        </w:r>
        <w:r w:rsidR="0068177A">
          <w:rPr>
            <w:noProof/>
            <w:webHidden/>
          </w:rPr>
          <w:fldChar w:fldCharType="separate"/>
        </w:r>
        <w:r w:rsidR="0023515C">
          <w:rPr>
            <w:noProof/>
            <w:webHidden/>
          </w:rPr>
          <w:t>213</w:t>
        </w:r>
        <w:r w:rsidR="0068177A">
          <w:rPr>
            <w:noProof/>
            <w:webHidden/>
          </w:rPr>
          <w:fldChar w:fldCharType="end"/>
        </w:r>
      </w:hyperlink>
    </w:p>
    <w:p w14:paraId="0FB34C10" w14:textId="6F9B8A08" w:rsidR="0068177A" w:rsidRDefault="00764935">
      <w:pPr>
        <w:pStyle w:val="TDC3"/>
        <w:tabs>
          <w:tab w:val="right" w:leader="dot" w:pos="8779"/>
        </w:tabs>
        <w:rPr>
          <w:rFonts w:eastAsiaTheme="minorEastAsia" w:cstheme="minorBidi"/>
          <w:noProof/>
          <w:kern w:val="2"/>
          <w:sz w:val="24"/>
          <w:szCs w:val="24"/>
          <w:lang w:val="en-US"/>
          <w14:ligatures w14:val="standardContextual"/>
        </w:rPr>
      </w:pPr>
      <w:hyperlink w:anchor="_Toc173245315" w:history="1">
        <w:r w:rsidR="0068177A" w:rsidRPr="000D28E7">
          <w:rPr>
            <w:rStyle w:val="Hipervnculo"/>
            <w:rFonts w:eastAsia="Calibri"/>
            <w:noProof/>
            <w:lang w:eastAsia="es-CR"/>
          </w:rPr>
          <w:t>5.4 TRANSFERENCIAS</w:t>
        </w:r>
        <w:r w:rsidR="0068177A">
          <w:rPr>
            <w:noProof/>
            <w:webHidden/>
          </w:rPr>
          <w:tab/>
        </w:r>
        <w:r w:rsidR="0068177A">
          <w:rPr>
            <w:noProof/>
            <w:webHidden/>
          </w:rPr>
          <w:fldChar w:fldCharType="begin"/>
        </w:r>
        <w:r w:rsidR="0068177A">
          <w:rPr>
            <w:noProof/>
            <w:webHidden/>
          </w:rPr>
          <w:instrText xml:space="preserve"> PAGEREF _Toc173245315 \h </w:instrText>
        </w:r>
        <w:r w:rsidR="0068177A">
          <w:rPr>
            <w:noProof/>
            <w:webHidden/>
          </w:rPr>
        </w:r>
        <w:r w:rsidR="0068177A">
          <w:rPr>
            <w:noProof/>
            <w:webHidden/>
          </w:rPr>
          <w:fldChar w:fldCharType="separate"/>
        </w:r>
        <w:r w:rsidR="0023515C">
          <w:rPr>
            <w:noProof/>
            <w:webHidden/>
          </w:rPr>
          <w:t>213</w:t>
        </w:r>
        <w:r w:rsidR="0068177A">
          <w:rPr>
            <w:noProof/>
            <w:webHidden/>
          </w:rPr>
          <w:fldChar w:fldCharType="end"/>
        </w:r>
      </w:hyperlink>
    </w:p>
    <w:p w14:paraId="6C79B463" w14:textId="724678F6"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316" w:history="1">
        <w:r w:rsidR="0068177A" w:rsidRPr="000D28E7">
          <w:rPr>
            <w:rStyle w:val="Hipervnculo"/>
            <w:rFonts w:eastAsia="Times New Roman"/>
            <w:noProof/>
          </w:rPr>
          <w:t>NOTA N° 72</w:t>
        </w:r>
        <w:r w:rsidR="0068177A">
          <w:rPr>
            <w:noProof/>
            <w:webHidden/>
          </w:rPr>
          <w:tab/>
        </w:r>
        <w:r w:rsidR="0068177A">
          <w:rPr>
            <w:noProof/>
            <w:webHidden/>
          </w:rPr>
          <w:fldChar w:fldCharType="begin"/>
        </w:r>
        <w:r w:rsidR="0068177A">
          <w:rPr>
            <w:noProof/>
            <w:webHidden/>
          </w:rPr>
          <w:instrText xml:space="preserve"> PAGEREF _Toc173245316 \h </w:instrText>
        </w:r>
        <w:r w:rsidR="0068177A">
          <w:rPr>
            <w:noProof/>
            <w:webHidden/>
          </w:rPr>
        </w:r>
        <w:r w:rsidR="0068177A">
          <w:rPr>
            <w:noProof/>
            <w:webHidden/>
          </w:rPr>
          <w:fldChar w:fldCharType="separate"/>
        </w:r>
        <w:r w:rsidR="0023515C">
          <w:rPr>
            <w:noProof/>
            <w:webHidden/>
          </w:rPr>
          <w:t>213</w:t>
        </w:r>
        <w:r w:rsidR="0068177A">
          <w:rPr>
            <w:noProof/>
            <w:webHidden/>
          </w:rPr>
          <w:fldChar w:fldCharType="end"/>
        </w:r>
      </w:hyperlink>
    </w:p>
    <w:p w14:paraId="140A2B1C" w14:textId="26D58395"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317" w:history="1">
        <w:r w:rsidR="0068177A" w:rsidRPr="000D28E7">
          <w:rPr>
            <w:rStyle w:val="Hipervnculo"/>
            <w:rFonts w:eastAsia="Times New Roman"/>
            <w:noProof/>
          </w:rPr>
          <w:t>NOTA N° 73</w:t>
        </w:r>
        <w:r w:rsidR="0068177A">
          <w:rPr>
            <w:noProof/>
            <w:webHidden/>
          </w:rPr>
          <w:tab/>
        </w:r>
        <w:r w:rsidR="0068177A">
          <w:rPr>
            <w:noProof/>
            <w:webHidden/>
          </w:rPr>
          <w:fldChar w:fldCharType="begin"/>
        </w:r>
        <w:r w:rsidR="0068177A">
          <w:rPr>
            <w:noProof/>
            <w:webHidden/>
          </w:rPr>
          <w:instrText xml:space="preserve"> PAGEREF _Toc173245317 \h </w:instrText>
        </w:r>
        <w:r w:rsidR="0068177A">
          <w:rPr>
            <w:noProof/>
            <w:webHidden/>
          </w:rPr>
        </w:r>
        <w:r w:rsidR="0068177A">
          <w:rPr>
            <w:noProof/>
            <w:webHidden/>
          </w:rPr>
          <w:fldChar w:fldCharType="separate"/>
        </w:r>
        <w:r w:rsidR="0023515C">
          <w:rPr>
            <w:noProof/>
            <w:webHidden/>
          </w:rPr>
          <w:t>214</w:t>
        </w:r>
        <w:r w:rsidR="0068177A">
          <w:rPr>
            <w:noProof/>
            <w:webHidden/>
          </w:rPr>
          <w:fldChar w:fldCharType="end"/>
        </w:r>
      </w:hyperlink>
    </w:p>
    <w:p w14:paraId="65248F6F" w14:textId="0BF3D06A" w:rsidR="0068177A" w:rsidRDefault="00764935">
      <w:pPr>
        <w:pStyle w:val="TDC3"/>
        <w:tabs>
          <w:tab w:val="right" w:leader="dot" w:pos="8779"/>
        </w:tabs>
        <w:rPr>
          <w:rFonts w:eastAsiaTheme="minorEastAsia" w:cstheme="minorBidi"/>
          <w:noProof/>
          <w:kern w:val="2"/>
          <w:sz w:val="24"/>
          <w:szCs w:val="24"/>
          <w:lang w:val="en-US"/>
          <w14:ligatures w14:val="standardContextual"/>
        </w:rPr>
      </w:pPr>
      <w:hyperlink w:anchor="_Toc173245318" w:history="1">
        <w:r w:rsidR="0068177A" w:rsidRPr="000D28E7">
          <w:rPr>
            <w:rStyle w:val="Hipervnculo"/>
            <w:rFonts w:eastAsia="Calibri"/>
            <w:noProof/>
            <w:lang w:eastAsia="es-CR"/>
          </w:rPr>
          <w:t>5.9 OTROS GASTOS</w:t>
        </w:r>
        <w:r w:rsidR="0068177A">
          <w:rPr>
            <w:noProof/>
            <w:webHidden/>
          </w:rPr>
          <w:tab/>
        </w:r>
        <w:r w:rsidR="0068177A">
          <w:rPr>
            <w:noProof/>
            <w:webHidden/>
          </w:rPr>
          <w:fldChar w:fldCharType="begin"/>
        </w:r>
        <w:r w:rsidR="0068177A">
          <w:rPr>
            <w:noProof/>
            <w:webHidden/>
          </w:rPr>
          <w:instrText xml:space="preserve"> PAGEREF _Toc173245318 \h </w:instrText>
        </w:r>
        <w:r w:rsidR="0068177A">
          <w:rPr>
            <w:noProof/>
            <w:webHidden/>
          </w:rPr>
        </w:r>
        <w:r w:rsidR="0068177A">
          <w:rPr>
            <w:noProof/>
            <w:webHidden/>
          </w:rPr>
          <w:fldChar w:fldCharType="separate"/>
        </w:r>
        <w:r w:rsidR="0023515C">
          <w:rPr>
            <w:noProof/>
            <w:webHidden/>
          </w:rPr>
          <w:t>215</w:t>
        </w:r>
        <w:r w:rsidR="0068177A">
          <w:rPr>
            <w:noProof/>
            <w:webHidden/>
          </w:rPr>
          <w:fldChar w:fldCharType="end"/>
        </w:r>
      </w:hyperlink>
    </w:p>
    <w:p w14:paraId="469F935B" w14:textId="48B6436E"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319" w:history="1">
        <w:r w:rsidR="0068177A" w:rsidRPr="000D28E7">
          <w:rPr>
            <w:rStyle w:val="Hipervnculo"/>
            <w:rFonts w:eastAsia="Times New Roman"/>
            <w:noProof/>
          </w:rPr>
          <w:t>NOTA N° 74</w:t>
        </w:r>
        <w:r w:rsidR="0068177A">
          <w:rPr>
            <w:noProof/>
            <w:webHidden/>
          </w:rPr>
          <w:tab/>
        </w:r>
        <w:r w:rsidR="0068177A">
          <w:rPr>
            <w:noProof/>
            <w:webHidden/>
          </w:rPr>
          <w:fldChar w:fldCharType="begin"/>
        </w:r>
        <w:r w:rsidR="0068177A">
          <w:rPr>
            <w:noProof/>
            <w:webHidden/>
          </w:rPr>
          <w:instrText xml:space="preserve"> PAGEREF _Toc173245319 \h </w:instrText>
        </w:r>
        <w:r w:rsidR="0068177A">
          <w:rPr>
            <w:noProof/>
            <w:webHidden/>
          </w:rPr>
        </w:r>
        <w:r w:rsidR="0068177A">
          <w:rPr>
            <w:noProof/>
            <w:webHidden/>
          </w:rPr>
          <w:fldChar w:fldCharType="separate"/>
        </w:r>
        <w:r w:rsidR="0023515C">
          <w:rPr>
            <w:noProof/>
            <w:webHidden/>
          </w:rPr>
          <w:t>215</w:t>
        </w:r>
        <w:r w:rsidR="0068177A">
          <w:rPr>
            <w:noProof/>
            <w:webHidden/>
          </w:rPr>
          <w:fldChar w:fldCharType="end"/>
        </w:r>
      </w:hyperlink>
    </w:p>
    <w:p w14:paraId="72E4D176" w14:textId="738A2010"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320" w:history="1">
        <w:r w:rsidR="0068177A" w:rsidRPr="000D28E7">
          <w:rPr>
            <w:rStyle w:val="Hipervnculo"/>
            <w:rFonts w:eastAsia="Times New Roman"/>
            <w:noProof/>
          </w:rPr>
          <w:t>NOTA N° 75</w:t>
        </w:r>
        <w:r w:rsidR="0068177A">
          <w:rPr>
            <w:noProof/>
            <w:webHidden/>
          </w:rPr>
          <w:tab/>
        </w:r>
        <w:r w:rsidR="0068177A">
          <w:rPr>
            <w:noProof/>
            <w:webHidden/>
          </w:rPr>
          <w:fldChar w:fldCharType="begin"/>
        </w:r>
        <w:r w:rsidR="0068177A">
          <w:rPr>
            <w:noProof/>
            <w:webHidden/>
          </w:rPr>
          <w:instrText xml:space="preserve"> PAGEREF _Toc173245320 \h </w:instrText>
        </w:r>
        <w:r w:rsidR="0068177A">
          <w:rPr>
            <w:noProof/>
            <w:webHidden/>
          </w:rPr>
        </w:r>
        <w:r w:rsidR="0068177A">
          <w:rPr>
            <w:noProof/>
            <w:webHidden/>
          </w:rPr>
          <w:fldChar w:fldCharType="separate"/>
        </w:r>
        <w:r w:rsidR="0023515C">
          <w:rPr>
            <w:noProof/>
            <w:webHidden/>
          </w:rPr>
          <w:t>215</w:t>
        </w:r>
        <w:r w:rsidR="0068177A">
          <w:rPr>
            <w:noProof/>
            <w:webHidden/>
          </w:rPr>
          <w:fldChar w:fldCharType="end"/>
        </w:r>
      </w:hyperlink>
    </w:p>
    <w:p w14:paraId="4F44A00A" w14:textId="49837D22"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321" w:history="1">
        <w:r w:rsidR="0068177A" w:rsidRPr="000D28E7">
          <w:rPr>
            <w:rStyle w:val="Hipervnculo"/>
            <w:rFonts w:eastAsia="Times New Roman"/>
            <w:noProof/>
          </w:rPr>
          <w:t>NOTA N° 76</w:t>
        </w:r>
        <w:r w:rsidR="0068177A">
          <w:rPr>
            <w:noProof/>
            <w:webHidden/>
          </w:rPr>
          <w:tab/>
        </w:r>
        <w:r w:rsidR="0068177A">
          <w:rPr>
            <w:noProof/>
            <w:webHidden/>
          </w:rPr>
          <w:fldChar w:fldCharType="begin"/>
        </w:r>
        <w:r w:rsidR="0068177A">
          <w:rPr>
            <w:noProof/>
            <w:webHidden/>
          </w:rPr>
          <w:instrText xml:space="preserve"> PAGEREF _Toc173245321 \h </w:instrText>
        </w:r>
        <w:r w:rsidR="0068177A">
          <w:rPr>
            <w:noProof/>
            <w:webHidden/>
          </w:rPr>
        </w:r>
        <w:r w:rsidR="0068177A">
          <w:rPr>
            <w:noProof/>
            <w:webHidden/>
          </w:rPr>
          <w:fldChar w:fldCharType="separate"/>
        </w:r>
        <w:r w:rsidR="0023515C">
          <w:rPr>
            <w:noProof/>
            <w:webHidden/>
          </w:rPr>
          <w:t>216</w:t>
        </w:r>
        <w:r w:rsidR="0068177A">
          <w:rPr>
            <w:noProof/>
            <w:webHidden/>
          </w:rPr>
          <w:fldChar w:fldCharType="end"/>
        </w:r>
      </w:hyperlink>
    </w:p>
    <w:p w14:paraId="16BC895C" w14:textId="2ADFC365" w:rsidR="0068177A" w:rsidRDefault="00764935">
      <w:pPr>
        <w:pStyle w:val="TDC2"/>
        <w:tabs>
          <w:tab w:val="right" w:leader="dot" w:pos="8779"/>
        </w:tabs>
        <w:rPr>
          <w:rFonts w:eastAsiaTheme="minorEastAsia" w:cstheme="minorBidi"/>
          <w:b w:val="0"/>
          <w:bCs w:val="0"/>
          <w:noProof/>
          <w:kern w:val="2"/>
          <w:sz w:val="24"/>
          <w:szCs w:val="24"/>
          <w:lang w:val="en-US"/>
          <w14:ligatures w14:val="standardContextual"/>
        </w:rPr>
      </w:pPr>
      <w:hyperlink w:anchor="_Toc173245322" w:history="1">
        <w:r w:rsidR="0068177A" w:rsidRPr="000D28E7">
          <w:rPr>
            <w:rStyle w:val="Hipervnculo"/>
            <w:rFonts w:eastAsia="Times New Roman"/>
            <w:noProof/>
          </w:rPr>
          <w:t>NOTAS ESTADO DE FLUJO DE EFECTIVO</w:t>
        </w:r>
        <w:r w:rsidR="0068177A">
          <w:rPr>
            <w:noProof/>
            <w:webHidden/>
          </w:rPr>
          <w:tab/>
        </w:r>
        <w:r w:rsidR="0068177A">
          <w:rPr>
            <w:noProof/>
            <w:webHidden/>
          </w:rPr>
          <w:fldChar w:fldCharType="begin"/>
        </w:r>
        <w:r w:rsidR="0068177A">
          <w:rPr>
            <w:noProof/>
            <w:webHidden/>
          </w:rPr>
          <w:instrText xml:space="preserve"> PAGEREF _Toc173245322 \h </w:instrText>
        </w:r>
        <w:r w:rsidR="0068177A">
          <w:rPr>
            <w:noProof/>
            <w:webHidden/>
          </w:rPr>
        </w:r>
        <w:r w:rsidR="0068177A">
          <w:rPr>
            <w:noProof/>
            <w:webHidden/>
          </w:rPr>
          <w:fldChar w:fldCharType="separate"/>
        </w:r>
        <w:r w:rsidR="0023515C">
          <w:rPr>
            <w:noProof/>
            <w:webHidden/>
          </w:rPr>
          <w:t>216</w:t>
        </w:r>
        <w:r w:rsidR="0068177A">
          <w:rPr>
            <w:noProof/>
            <w:webHidden/>
          </w:rPr>
          <w:fldChar w:fldCharType="end"/>
        </w:r>
      </w:hyperlink>
    </w:p>
    <w:p w14:paraId="59EE4D36" w14:textId="725B5C9B"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323" w:history="1">
        <w:r w:rsidR="0068177A" w:rsidRPr="000D28E7">
          <w:rPr>
            <w:rStyle w:val="Hipervnculo"/>
            <w:rFonts w:eastAsia="Times New Roman"/>
            <w:noProof/>
            <w:lang w:eastAsia="es-CR"/>
          </w:rPr>
          <w:t>FLUJOS DE EFECTIVO DE LAS ACTIVIDADES DE OPERACIÓN</w:t>
        </w:r>
        <w:r w:rsidR="0068177A">
          <w:rPr>
            <w:noProof/>
            <w:webHidden/>
          </w:rPr>
          <w:tab/>
        </w:r>
        <w:r w:rsidR="0068177A">
          <w:rPr>
            <w:noProof/>
            <w:webHidden/>
          </w:rPr>
          <w:fldChar w:fldCharType="begin"/>
        </w:r>
        <w:r w:rsidR="0068177A">
          <w:rPr>
            <w:noProof/>
            <w:webHidden/>
          </w:rPr>
          <w:instrText xml:space="preserve"> PAGEREF _Toc173245323 \h </w:instrText>
        </w:r>
        <w:r w:rsidR="0068177A">
          <w:rPr>
            <w:noProof/>
            <w:webHidden/>
          </w:rPr>
        </w:r>
        <w:r w:rsidR="0068177A">
          <w:rPr>
            <w:noProof/>
            <w:webHidden/>
          </w:rPr>
          <w:fldChar w:fldCharType="separate"/>
        </w:r>
        <w:r w:rsidR="0023515C">
          <w:rPr>
            <w:noProof/>
            <w:webHidden/>
          </w:rPr>
          <w:t>216</w:t>
        </w:r>
        <w:r w:rsidR="0068177A">
          <w:rPr>
            <w:noProof/>
            <w:webHidden/>
          </w:rPr>
          <w:fldChar w:fldCharType="end"/>
        </w:r>
      </w:hyperlink>
    </w:p>
    <w:p w14:paraId="2614F2B3" w14:textId="36A6F745"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324" w:history="1">
        <w:r w:rsidR="0068177A" w:rsidRPr="000D28E7">
          <w:rPr>
            <w:rStyle w:val="Hipervnculo"/>
            <w:rFonts w:eastAsia="Times New Roman" w:cs="Times New Roman"/>
            <w:bCs/>
            <w:noProof/>
          </w:rPr>
          <w:t>NOTA N°77</w:t>
        </w:r>
        <w:r w:rsidR="0068177A">
          <w:rPr>
            <w:noProof/>
            <w:webHidden/>
          </w:rPr>
          <w:tab/>
        </w:r>
        <w:r w:rsidR="0068177A">
          <w:rPr>
            <w:noProof/>
            <w:webHidden/>
          </w:rPr>
          <w:fldChar w:fldCharType="begin"/>
        </w:r>
        <w:r w:rsidR="0068177A">
          <w:rPr>
            <w:noProof/>
            <w:webHidden/>
          </w:rPr>
          <w:instrText xml:space="preserve"> PAGEREF _Toc173245324 \h </w:instrText>
        </w:r>
        <w:r w:rsidR="0068177A">
          <w:rPr>
            <w:noProof/>
            <w:webHidden/>
          </w:rPr>
        </w:r>
        <w:r w:rsidR="0068177A">
          <w:rPr>
            <w:noProof/>
            <w:webHidden/>
          </w:rPr>
          <w:fldChar w:fldCharType="separate"/>
        </w:r>
        <w:r w:rsidR="0023515C">
          <w:rPr>
            <w:noProof/>
            <w:webHidden/>
          </w:rPr>
          <w:t>216</w:t>
        </w:r>
        <w:r w:rsidR="0068177A">
          <w:rPr>
            <w:noProof/>
            <w:webHidden/>
          </w:rPr>
          <w:fldChar w:fldCharType="end"/>
        </w:r>
      </w:hyperlink>
    </w:p>
    <w:p w14:paraId="0CAF8DF4" w14:textId="5757B5AC"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325" w:history="1">
        <w:r w:rsidR="0068177A" w:rsidRPr="000D28E7">
          <w:rPr>
            <w:rStyle w:val="Hipervnculo"/>
            <w:rFonts w:eastAsia="Times New Roman"/>
            <w:noProof/>
          </w:rPr>
          <w:t>NOTA N°78</w:t>
        </w:r>
        <w:r w:rsidR="0068177A">
          <w:rPr>
            <w:noProof/>
            <w:webHidden/>
          </w:rPr>
          <w:tab/>
        </w:r>
        <w:r w:rsidR="0068177A">
          <w:rPr>
            <w:noProof/>
            <w:webHidden/>
          </w:rPr>
          <w:fldChar w:fldCharType="begin"/>
        </w:r>
        <w:r w:rsidR="0068177A">
          <w:rPr>
            <w:noProof/>
            <w:webHidden/>
          </w:rPr>
          <w:instrText xml:space="preserve"> PAGEREF _Toc173245325 \h </w:instrText>
        </w:r>
        <w:r w:rsidR="0068177A">
          <w:rPr>
            <w:noProof/>
            <w:webHidden/>
          </w:rPr>
        </w:r>
        <w:r w:rsidR="0068177A">
          <w:rPr>
            <w:noProof/>
            <w:webHidden/>
          </w:rPr>
          <w:fldChar w:fldCharType="separate"/>
        </w:r>
        <w:r w:rsidR="0023515C">
          <w:rPr>
            <w:noProof/>
            <w:webHidden/>
          </w:rPr>
          <w:t>217</w:t>
        </w:r>
        <w:r w:rsidR="0068177A">
          <w:rPr>
            <w:noProof/>
            <w:webHidden/>
          </w:rPr>
          <w:fldChar w:fldCharType="end"/>
        </w:r>
      </w:hyperlink>
    </w:p>
    <w:p w14:paraId="45E583B6" w14:textId="1453D3D6"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326" w:history="1">
        <w:r w:rsidR="0068177A" w:rsidRPr="000D28E7">
          <w:rPr>
            <w:rStyle w:val="Hipervnculo"/>
            <w:rFonts w:eastAsia="Times New Roman"/>
            <w:noProof/>
            <w:lang w:eastAsia="es-CR"/>
          </w:rPr>
          <w:t>FLUJOS DE EFECTIVO DE LAS ACTIVIDADES DE INVERSIÓN</w:t>
        </w:r>
        <w:r w:rsidR="0068177A">
          <w:rPr>
            <w:noProof/>
            <w:webHidden/>
          </w:rPr>
          <w:tab/>
        </w:r>
        <w:r w:rsidR="0068177A">
          <w:rPr>
            <w:noProof/>
            <w:webHidden/>
          </w:rPr>
          <w:fldChar w:fldCharType="begin"/>
        </w:r>
        <w:r w:rsidR="0068177A">
          <w:rPr>
            <w:noProof/>
            <w:webHidden/>
          </w:rPr>
          <w:instrText xml:space="preserve"> PAGEREF _Toc173245326 \h </w:instrText>
        </w:r>
        <w:r w:rsidR="0068177A">
          <w:rPr>
            <w:noProof/>
            <w:webHidden/>
          </w:rPr>
        </w:r>
        <w:r w:rsidR="0068177A">
          <w:rPr>
            <w:noProof/>
            <w:webHidden/>
          </w:rPr>
          <w:fldChar w:fldCharType="separate"/>
        </w:r>
        <w:r w:rsidR="0023515C">
          <w:rPr>
            <w:noProof/>
            <w:webHidden/>
          </w:rPr>
          <w:t>217</w:t>
        </w:r>
        <w:r w:rsidR="0068177A">
          <w:rPr>
            <w:noProof/>
            <w:webHidden/>
          </w:rPr>
          <w:fldChar w:fldCharType="end"/>
        </w:r>
      </w:hyperlink>
    </w:p>
    <w:p w14:paraId="10FAAE31" w14:textId="645C9B74"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327" w:history="1">
        <w:r w:rsidR="0068177A" w:rsidRPr="000D28E7">
          <w:rPr>
            <w:rStyle w:val="Hipervnculo"/>
            <w:rFonts w:eastAsia="Times New Roman"/>
            <w:bCs/>
            <w:noProof/>
          </w:rPr>
          <w:t>NOTA N°79</w:t>
        </w:r>
        <w:r w:rsidR="0068177A">
          <w:rPr>
            <w:noProof/>
            <w:webHidden/>
          </w:rPr>
          <w:tab/>
        </w:r>
        <w:r w:rsidR="0068177A">
          <w:rPr>
            <w:noProof/>
            <w:webHidden/>
          </w:rPr>
          <w:fldChar w:fldCharType="begin"/>
        </w:r>
        <w:r w:rsidR="0068177A">
          <w:rPr>
            <w:noProof/>
            <w:webHidden/>
          </w:rPr>
          <w:instrText xml:space="preserve"> PAGEREF _Toc173245327 \h </w:instrText>
        </w:r>
        <w:r w:rsidR="0068177A">
          <w:rPr>
            <w:noProof/>
            <w:webHidden/>
          </w:rPr>
        </w:r>
        <w:r w:rsidR="0068177A">
          <w:rPr>
            <w:noProof/>
            <w:webHidden/>
          </w:rPr>
          <w:fldChar w:fldCharType="separate"/>
        </w:r>
        <w:r w:rsidR="0023515C">
          <w:rPr>
            <w:noProof/>
            <w:webHidden/>
          </w:rPr>
          <w:t>217</w:t>
        </w:r>
        <w:r w:rsidR="0068177A">
          <w:rPr>
            <w:noProof/>
            <w:webHidden/>
          </w:rPr>
          <w:fldChar w:fldCharType="end"/>
        </w:r>
      </w:hyperlink>
    </w:p>
    <w:p w14:paraId="7BF955CE" w14:textId="46DD19C3"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328" w:history="1">
        <w:r w:rsidR="0068177A" w:rsidRPr="000D28E7">
          <w:rPr>
            <w:rStyle w:val="Hipervnculo"/>
            <w:rFonts w:eastAsia="Times New Roman"/>
            <w:noProof/>
          </w:rPr>
          <w:t>NOTA N°80</w:t>
        </w:r>
        <w:r w:rsidR="0068177A">
          <w:rPr>
            <w:noProof/>
            <w:webHidden/>
          </w:rPr>
          <w:tab/>
        </w:r>
        <w:r w:rsidR="0068177A">
          <w:rPr>
            <w:noProof/>
            <w:webHidden/>
          </w:rPr>
          <w:fldChar w:fldCharType="begin"/>
        </w:r>
        <w:r w:rsidR="0068177A">
          <w:rPr>
            <w:noProof/>
            <w:webHidden/>
          </w:rPr>
          <w:instrText xml:space="preserve"> PAGEREF _Toc173245328 \h </w:instrText>
        </w:r>
        <w:r w:rsidR="0068177A">
          <w:rPr>
            <w:noProof/>
            <w:webHidden/>
          </w:rPr>
        </w:r>
        <w:r w:rsidR="0068177A">
          <w:rPr>
            <w:noProof/>
            <w:webHidden/>
          </w:rPr>
          <w:fldChar w:fldCharType="separate"/>
        </w:r>
        <w:r w:rsidR="0023515C">
          <w:rPr>
            <w:noProof/>
            <w:webHidden/>
          </w:rPr>
          <w:t>218</w:t>
        </w:r>
        <w:r w:rsidR="0068177A">
          <w:rPr>
            <w:noProof/>
            <w:webHidden/>
          </w:rPr>
          <w:fldChar w:fldCharType="end"/>
        </w:r>
      </w:hyperlink>
    </w:p>
    <w:p w14:paraId="275DAF08" w14:textId="3F7680E2"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329" w:history="1">
        <w:r w:rsidR="0068177A" w:rsidRPr="000D28E7">
          <w:rPr>
            <w:rStyle w:val="Hipervnculo"/>
            <w:rFonts w:eastAsia="Times New Roman"/>
            <w:noProof/>
            <w:lang w:eastAsia="es-CR"/>
          </w:rPr>
          <w:t>FLUJOS DE EFECTIVO DE LAS ACTIVIDADES DE FINANCIACIÓN</w:t>
        </w:r>
        <w:r w:rsidR="0068177A">
          <w:rPr>
            <w:noProof/>
            <w:webHidden/>
          </w:rPr>
          <w:tab/>
        </w:r>
        <w:r w:rsidR="0068177A">
          <w:rPr>
            <w:noProof/>
            <w:webHidden/>
          </w:rPr>
          <w:fldChar w:fldCharType="begin"/>
        </w:r>
        <w:r w:rsidR="0068177A">
          <w:rPr>
            <w:noProof/>
            <w:webHidden/>
          </w:rPr>
          <w:instrText xml:space="preserve"> PAGEREF _Toc173245329 \h </w:instrText>
        </w:r>
        <w:r w:rsidR="0068177A">
          <w:rPr>
            <w:noProof/>
            <w:webHidden/>
          </w:rPr>
        </w:r>
        <w:r w:rsidR="0068177A">
          <w:rPr>
            <w:noProof/>
            <w:webHidden/>
          </w:rPr>
          <w:fldChar w:fldCharType="separate"/>
        </w:r>
        <w:r w:rsidR="0023515C">
          <w:rPr>
            <w:noProof/>
            <w:webHidden/>
          </w:rPr>
          <w:t>218</w:t>
        </w:r>
        <w:r w:rsidR="0068177A">
          <w:rPr>
            <w:noProof/>
            <w:webHidden/>
          </w:rPr>
          <w:fldChar w:fldCharType="end"/>
        </w:r>
      </w:hyperlink>
    </w:p>
    <w:p w14:paraId="50108EA9" w14:textId="38264985"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330" w:history="1">
        <w:r w:rsidR="0068177A" w:rsidRPr="000D28E7">
          <w:rPr>
            <w:rStyle w:val="Hipervnculo"/>
            <w:rFonts w:eastAsia="Times New Roman"/>
            <w:bCs/>
            <w:noProof/>
          </w:rPr>
          <w:t>NOTA N°81</w:t>
        </w:r>
        <w:r w:rsidR="0068177A">
          <w:rPr>
            <w:noProof/>
            <w:webHidden/>
          </w:rPr>
          <w:tab/>
        </w:r>
        <w:r w:rsidR="0068177A">
          <w:rPr>
            <w:noProof/>
            <w:webHidden/>
          </w:rPr>
          <w:fldChar w:fldCharType="begin"/>
        </w:r>
        <w:r w:rsidR="0068177A">
          <w:rPr>
            <w:noProof/>
            <w:webHidden/>
          </w:rPr>
          <w:instrText xml:space="preserve"> PAGEREF _Toc173245330 \h </w:instrText>
        </w:r>
        <w:r w:rsidR="0068177A">
          <w:rPr>
            <w:noProof/>
            <w:webHidden/>
          </w:rPr>
        </w:r>
        <w:r w:rsidR="0068177A">
          <w:rPr>
            <w:noProof/>
            <w:webHidden/>
          </w:rPr>
          <w:fldChar w:fldCharType="separate"/>
        </w:r>
        <w:r w:rsidR="0023515C">
          <w:rPr>
            <w:noProof/>
            <w:webHidden/>
          </w:rPr>
          <w:t>218</w:t>
        </w:r>
        <w:r w:rsidR="0068177A">
          <w:rPr>
            <w:noProof/>
            <w:webHidden/>
          </w:rPr>
          <w:fldChar w:fldCharType="end"/>
        </w:r>
      </w:hyperlink>
    </w:p>
    <w:p w14:paraId="263DD18C" w14:textId="2488CA3D"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331" w:history="1">
        <w:r w:rsidR="0068177A" w:rsidRPr="000D28E7">
          <w:rPr>
            <w:rStyle w:val="Hipervnculo"/>
            <w:rFonts w:eastAsia="Times New Roman"/>
            <w:noProof/>
          </w:rPr>
          <w:t>NOTA N°82</w:t>
        </w:r>
        <w:r w:rsidR="0068177A">
          <w:rPr>
            <w:noProof/>
            <w:webHidden/>
          </w:rPr>
          <w:tab/>
        </w:r>
        <w:r w:rsidR="0068177A">
          <w:rPr>
            <w:noProof/>
            <w:webHidden/>
          </w:rPr>
          <w:fldChar w:fldCharType="begin"/>
        </w:r>
        <w:r w:rsidR="0068177A">
          <w:rPr>
            <w:noProof/>
            <w:webHidden/>
          </w:rPr>
          <w:instrText xml:space="preserve"> PAGEREF _Toc173245331 \h </w:instrText>
        </w:r>
        <w:r w:rsidR="0068177A">
          <w:rPr>
            <w:noProof/>
            <w:webHidden/>
          </w:rPr>
        </w:r>
        <w:r w:rsidR="0068177A">
          <w:rPr>
            <w:noProof/>
            <w:webHidden/>
          </w:rPr>
          <w:fldChar w:fldCharType="separate"/>
        </w:r>
        <w:r w:rsidR="0023515C">
          <w:rPr>
            <w:noProof/>
            <w:webHidden/>
          </w:rPr>
          <w:t>219</w:t>
        </w:r>
        <w:r w:rsidR="0068177A">
          <w:rPr>
            <w:noProof/>
            <w:webHidden/>
          </w:rPr>
          <w:fldChar w:fldCharType="end"/>
        </w:r>
      </w:hyperlink>
    </w:p>
    <w:p w14:paraId="2C9CADC5" w14:textId="17667BC3"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332" w:history="1">
        <w:r w:rsidR="0068177A" w:rsidRPr="000D28E7">
          <w:rPr>
            <w:rStyle w:val="Hipervnculo"/>
            <w:rFonts w:eastAsia="Times New Roman"/>
            <w:noProof/>
          </w:rPr>
          <w:t>NOTA N°83</w:t>
        </w:r>
        <w:r w:rsidR="0068177A">
          <w:rPr>
            <w:noProof/>
            <w:webHidden/>
          </w:rPr>
          <w:tab/>
        </w:r>
        <w:r w:rsidR="0068177A">
          <w:rPr>
            <w:noProof/>
            <w:webHidden/>
          </w:rPr>
          <w:fldChar w:fldCharType="begin"/>
        </w:r>
        <w:r w:rsidR="0068177A">
          <w:rPr>
            <w:noProof/>
            <w:webHidden/>
          </w:rPr>
          <w:instrText xml:space="preserve"> PAGEREF _Toc173245332 \h </w:instrText>
        </w:r>
        <w:r w:rsidR="0068177A">
          <w:rPr>
            <w:noProof/>
            <w:webHidden/>
          </w:rPr>
        </w:r>
        <w:r w:rsidR="0068177A">
          <w:rPr>
            <w:noProof/>
            <w:webHidden/>
          </w:rPr>
          <w:fldChar w:fldCharType="separate"/>
        </w:r>
        <w:r w:rsidR="0023515C">
          <w:rPr>
            <w:noProof/>
            <w:webHidden/>
          </w:rPr>
          <w:t>219</w:t>
        </w:r>
        <w:r w:rsidR="0068177A">
          <w:rPr>
            <w:noProof/>
            <w:webHidden/>
          </w:rPr>
          <w:fldChar w:fldCharType="end"/>
        </w:r>
      </w:hyperlink>
    </w:p>
    <w:p w14:paraId="11C3241A" w14:textId="01BDABCA" w:rsidR="0068177A" w:rsidRDefault="00764935">
      <w:pPr>
        <w:pStyle w:val="TDC2"/>
        <w:tabs>
          <w:tab w:val="right" w:leader="dot" w:pos="8779"/>
        </w:tabs>
        <w:rPr>
          <w:rFonts w:eastAsiaTheme="minorEastAsia" w:cstheme="minorBidi"/>
          <w:b w:val="0"/>
          <w:bCs w:val="0"/>
          <w:noProof/>
          <w:kern w:val="2"/>
          <w:sz w:val="24"/>
          <w:szCs w:val="24"/>
          <w:lang w:val="en-US"/>
          <w14:ligatures w14:val="standardContextual"/>
        </w:rPr>
      </w:pPr>
      <w:hyperlink w:anchor="_Toc173245333" w:history="1">
        <w:r w:rsidR="0068177A" w:rsidRPr="000D28E7">
          <w:rPr>
            <w:rStyle w:val="Hipervnculo"/>
            <w:rFonts w:eastAsia="Times New Roman"/>
            <w:noProof/>
          </w:rPr>
          <w:t>NOTAS DEL ESTADO DE CAMBIOS EN EL PATRIMONIO NETO</w:t>
        </w:r>
        <w:r w:rsidR="0068177A">
          <w:rPr>
            <w:noProof/>
            <w:webHidden/>
          </w:rPr>
          <w:tab/>
        </w:r>
        <w:r w:rsidR="0068177A">
          <w:rPr>
            <w:noProof/>
            <w:webHidden/>
          </w:rPr>
          <w:fldChar w:fldCharType="begin"/>
        </w:r>
        <w:r w:rsidR="0068177A">
          <w:rPr>
            <w:noProof/>
            <w:webHidden/>
          </w:rPr>
          <w:instrText xml:space="preserve"> PAGEREF _Toc173245333 \h </w:instrText>
        </w:r>
        <w:r w:rsidR="0068177A">
          <w:rPr>
            <w:noProof/>
            <w:webHidden/>
          </w:rPr>
        </w:r>
        <w:r w:rsidR="0068177A">
          <w:rPr>
            <w:noProof/>
            <w:webHidden/>
          </w:rPr>
          <w:fldChar w:fldCharType="separate"/>
        </w:r>
        <w:r w:rsidR="0023515C">
          <w:rPr>
            <w:noProof/>
            <w:webHidden/>
          </w:rPr>
          <w:t>220</w:t>
        </w:r>
        <w:r w:rsidR="0068177A">
          <w:rPr>
            <w:noProof/>
            <w:webHidden/>
          </w:rPr>
          <w:fldChar w:fldCharType="end"/>
        </w:r>
      </w:hyperlink>
    </w:p>
    <w:p w14:paraId="064CC281" w14:textId="5393724E"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334" w:history="1">
        <w:r w:rsidR="0068177A" w:rsidRPr="000D28E7">
          <w:rPr>
            <w:rStyle w:val="Hipervnculo"/>
            <w:rFonts w:eastAsia="Times New Roman"/>
            <w:noProof/>
          </w:rPr>
          <w:t>NOTA N°84</w:t>
        </w:r>
        <w:r w:rsidR="0068177A">
          <w:rPr>
            <w:noProof/>
            <w:webHidden/>
          </w:rPr>
          <w:tab/>
        </w:r>
        <w:r w:rsidR="0068177A">
          <w:rPr>
            <w:noProof/>
            <w:webHidden/>
          </w:rPr>
          <w:fldChar w:fldCharType="begin"/>
        </w:r>
        <w:r w:rsidR="0068177A">
          <w:rPr>
            <w:noProof/>
            <w:webHidden/>
          </w:rPr>
          <w:instrText xml:space="preserve"> PAGEREF _Toc173245334 \h </w:instrText>
        </w:r>
        <w:r w:rsidR="0068177A">
          <w:rPr>
            <w:noProof/>
            <w:webHidden/>
          </w:rPr>
        </w:r>
        <w:r w:rsidR="0068177A">
          <w:rPr>
            <w:noProof/>
            <w:webHidden/>
          </w:rPr>
          <w:fldChar w:fldCharType="separate"/>
        </w:r>
        <w:r w:rsidR="0023515C">
          <w:rPr>
            <w:noProof/>
            <w:webHidden/>
          </w:rPr>
          <w:t>220</w:t>
        </w:r>
        <w:r w:rsidR="0068177A">
          <w:rPr>
            <w:noProof/>
            <w:webHidden/>
          </w:rPr>
          <w:fldChar w:fldCharType="end"/>
        </w:r>
      </w:hyperlink>
    </w:p>
    <w:p w14:paraId="49CE8629" w14:textId="1F42D5B4" w:rsidR="0068177A" w:rsidRDefault="00764935">
      <w:pPr>
        <w:pStyle w:val="TDC1"/>
        <w:tabs>
          <w:tab w:val="right" w:leader="dot" w:pos="8779"/>
        </w:tabs>
        <w:rPr>
          <w:rFonts w:asciiTheme="minorHAnsi" w:eastAsiaTheme="minorEastAsia" w:hAnsiTheme="minorHAnsi"/>
          <w:b w:val="0"/>
          <w:bCs w:val="0"/>
          <w:caps w:val="0"/>
          <w:noProof/>
          <w:kern w:val="2"/>
          <w:lang w:val="en-US"/>
          <w14:ligatures w14:val="standardContextual"/>
        </w:rPr>
      </w:pPr>
      <w:hyperlink w:anchor="_Toc173245335" w:history="1">
        <w:r w:rsidR="0068177A" w:rsidRPr="000D28E7">
          <w:rPr>
            <w:rStyle w:val="Hipervnculo"/>
            <w:rFonts w:eastAsia="Times New Roman"/>
            <w:noProof/>
          </w:rPr>
          <w:t>NOTAS AL INFORME COMPARATIVO DE EJECUCIÓN PRESUPUESTARIA CON DEVENGADO DE CONTABILIDAD</w:t>
        </w:r>
        <w:r w:rsidR="0068177A">
          <w:rPr>
            <w:noProof/>
            <w:webHidden/>
          </w:rPr>
          <w:tab/>
        </w:r>
        <w:r w:rsidR="0068177A">
          <w:rPr>
            <w:noProof/>
            <w:webHidden/>
          </w:rPr>
          <w:fldChar w:fldCharType="begin"/>
        </w:r>
        <w:r w:rsidR="0068177A">
          <w:rPr>
            <w:noProof/>
            <w:webHidden/>
          </w:rPr>
          <w:instrText xml:space="preserve"> PAGEREF _Toc173245335 \h </w:instrText>
        </w:r>
        <w:r w:rsidR="0068177A">
          <w:rPr>
            <w:noProof/>
            <w:webHidden/>
          </w:rPr>
        </w:r>
        <w:r w:rsidR="0068177A">
          <w:rPr>
            <w:noProof/>
            <w:webHidden/>
          </w:rPr>
          <w:fldChar w:fldCharType="separate"/>
        </w:r>
        <w:r w:rsidR="0023515C">
          <w:rPr>
            <w:noProof/>
            <w:webHidden/>
          </w:rPr>
          <w:t>221</w:t>
        </w:r>
        <w:r w:rsidR="0068177A">
          <w:rPr>
            <w:noProof/>
            <w:webHidden/>
          </w:rPr>
          <w:fldChar w:fldCharType="end"/>
        </w:r>
      </w:hyperlink>
    </w:p>
    <w:p w14:paraId="12FDAEAF" w14:textId="2C1015D8"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336" w:history="1">
        <w:r w:rsidR="0068177A" w:rsidRPr="000D28E7">
          <w:rPr>
            <w:rStyle w:val="Hipervnculo"/>
            <w:rFonts w:eastAsia="Times New Roman"/>
            <w:noProof/>
          </w:rPr>
          <w:t>NOTA N°85</w:t>
        </w:r>
        <w:r w:rsidR="0068177A">
          <w:rPr>
            <w:noProof/>
            <w:webHidden/>
          </w:rPr>
          <w:tab/>
        </w:r>
        <w:r w:rsidR="0068177A">
          <w:rPr>
            <w:noProof/>
            <w:webHidden/>
          </w:rPr>
          <w:fldChar w:fldCharType="begin"/>
        </w:r>
        <w:r w:rsidR="0068177A">
          <w:rPr>
            <w:noProof/>
            <w:webHidden/>
          </w:rPr>
          <w:instrText xml:space="preserve"> PAGEREF _Toc173245336 \h </w:instrText>
        </w:r>
        <w:r w:rsidR="0068177A">
          <w:rPr>
            <w:noProof/>
            <w:webHidden/>
          </w:rPr>
        </w:r>
        <w:r w:rsidR="0068177A">
          <w:rPr>
            <w:noProof/>
            <w:webHidden/>
          </w:rPr>
          <w:fldChar w:fldCharType="separate"/>
        </w:r>
        <w:r w:rsidR="0023515C">
          <w:rPr>
            <w:noProof/>
            <w:webHidden/>
          </w:rPr>
          <w:t>221</w:t>
        </w:r>
        <w:r w:rsidR="0068177A">
          <w:rPr>
            <w:noProof/>
            <w:webHidden/>
          </w:rPr>
          <w:fldChar w:fldCharType="end"/>
        </w:r>
      </w:hyperlink>
    </w:p>
    <w:p w14:paraId="2923369C" w14:textId="52F7A8E1" w:rsidR="0068177A" w:rsidRDefault="00764935">
      <w:pPr>
        <w:pStyle w:val="TDC2"/>
        <w:tabs>
          <w:tab w:val="right" w:leader="dot" w:pos="8779"/>
        </w:tabs>
        <w:rPr>
          <w:rFonts w:eastAsiaTheme="minorEastAsia" w:cstheme="minorBidi"/>
          <w:b w:val="0"/>
          <w:bCs w:val="0"/>
          <w:noProof/>
          <w:kern w:val="2"/>
          <w:sz w:val="24"/>
          <w:szCs w:val="24"/>
          <w:lang w:val="en-US"/>
          <w14:ligatures w14:val="standardContextual"/>
        </w:rPr>
      </w:pPr>
      <w:hyperlink w:anchor="_Toc173245337" w:history="1">
        <w:r w:rsidR="0068177A" w:rsidRPr="000D28E7">
          <w:rPr>
            <w:rStyle w:val="Hipervnculo"/>
            <w:rFonts w:eastAsia="Times New Roman"/>
            <w:noProof/>
          </w:rPr>
          <w:t>NOTAS AL INFORME DEUDA PÚBLICA</w:t>
        </w:r>
        <w:r w:rsidR="0068177A">
          <w:rPr>
            <w:noProof/>
            <w:webHidden/>
          </w:rPr>
          <w:tab/>
        </w:r>
        <w:r w:rsidR="0068177A">
          <w:rPr>
            <w:noProof/>
            <w:webHidden/>
          </w:rPr>
          <w:fldChar w:fldCharType="begin"/>
        </w:r>
        <w:r w:rsidR="0068177A">
          <w:rPr>
            <w:noProof/>
            <w:webHidden/>
          </w:rPr>
          <w:instrText xml:space="preserve"> PAGEREF _Toc173245337 \h </w:instrText>
        </w:r>
        <w:r w:rsidR="0068177A">
          <w:rPr>
            <w:noProof/>
            <w:webHidden/>
          </w:rPr>
        </w:r>
        <w:r w:rsidR="0068177A">
          <w:rPr>
            <w:noProof/>
            <w:webHidden/>
          </w:rPr>
          <w:fldChar w:fldCharType="separate"/>
        </w:r>
        <w:r w:rsidR="0023515C">
          <w:rPr>
            <w:noProof/>
            <w:webHidden/>
          </w:rPr>
          <w:t>222</w:t>
        </w:r>
        <w:r w:rsidR="0068177A">
          <w:rPr>
            <w:noProof/>
            <w:webHidden/>
          </w:rPr>
          <w:fldChar w:fldCharType="end"/>
        </w:r>
      </w:hyperlink>
    </w:p>
    <w:p w14:paraId="46F2B9A4" w14:textId="3B365E7C"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338" w:history="1">
        <w:r w:rsidR="0068177A" w:rsidRPr="000D28E7">
          <w:rPr>
            <w:rStyle w:val="Hipervnculo"/>
            <w:noProof/>
          </w:rPr>
          <w:t>NOTA N°86</w:t>
        </w:r>
        <w:r w:rsidR="0068177A">
          <w:rPr>
            <w:noProof/>
            <w:webHidden/>
          </w:rPr>
          <w:tab/>
        </w:r>
        <w:r w:rsidR="0068177A">
          <w:rPr>
            <w:noProof/>
            <w:webHidden/>
          </w:rPr>
          <w:fldChar w:fldCharType="begin"/>
        </w:r>
        <w:r w:rsidR="0068177A">
          <w:rPr>
            <w:noProof/>
            <w:webHidden/>
          </w:rPr>
          <w:instrText xml:space="preserve"> PAGEREF _Toc173245338 \h </w:instrText>
        </w:r>
        <w:r w:rsidR="0068177A">
          <w:rPr>
            <w:noProof/>
            <w:webHidden/>
          </w:rPr>
        </w:r>
        <w:r w:rsidR="0068177A">
          <w:rPr>
            <w:noProof/>
            <w:webHidden/>
          </w:rPr>
          <w:fldChar w:fldCharType="separate"/>
        </w:r>
        <w:r w:rsidR="0023515C">
          <w:rPr>
            <w:noProof/>
            <w:webHidden/>
          </w:rPr>
          <w:t>222</w:t>
        </w:r>
        <w:r w:rsidR="0068177A">
          <w:rPr>
            <w:noProof/>
            <w:webHidden/>
          </w:rPr>
          <w:fldChar w:fldCharType="end"/>
        </w:r>
      </w:hyperlink>
    </w:p>
    <w:p w14:paraId="68C8A08B" w14:textId="6129667A" w:rsidR="0068177A" w:rsidRDefault="00764935">
      <w:pPr>
        <w:pStyle w:val="TDC2"/>
        <w:tabs>
          <w:tab w:val="right" w:leader="dot" w:pos="8779"/>
        </w:tabs>
        <w:rPr>
          <w:rFonts w:eastAsiaTheme="minorEastAsia" w:cstheme="minorBidi"/>
          <w:b w:val="0"/>
          <w:bCs w:val="0"/>
          <w:noProof/>
          <w:kern w:val="2"/>
          <w:sz w:val="24"/>
          <w:szCs w:val="24"/>
          <w:lang w:val="en-US"/>
          <w14:ligatures w14:val="standardContextual"/>
        </w:rPr>
      </w:pPr>
      <w:hyperlink w:anchor="_Toc173245339" w:history="1">
        <w:r w:rsidR="0068177A" w:rsidRPr="000D28E7">
          <w:rPr>
            <w:rStyle w:val="Hipervnculo"/>
            <w:rFonts w:eastAsia="Calibri"/>
            <w:noProof/>
            <w:lang w:val="es-ES" w:eastAsia="es-CR"/>
          </w:rPr>
          <w:t>NOTAS INFORME ESTADO DE SITUACION Y EVOLUCION DE BIENES NO CONCECIONADOS Y CONCESIONADOS</w:t>
        </w:r>
        <w:r w:rsidR="0068177A">
          <w:rPr>
            <w:noProof/>
            <w:webHidden/>
          </w:rPr>
          <w:tab/>
        </w:r>
        <w:r w:rsidR="0068177A">
          <w:rPr>
            <w:noProof/>
            <w:webHidden/>
          </w:rPr>
          <w:fldChar w:fldCharType="begin"/>
        </w:r>
        <w:r w:rsidR="0068177A">
          <w:rPr>
            <w:noProof/>
            <w:webHidden/>
          </w:rPr>
          <w:instrText xml:space="preserve"> PAGEREF _Toc173245339 \h </w:instrText>
        </w:r>
        <w:r w:rsidR="0068177A">
          <w:rPr>
            <w:noProof/>
            <w:webHidden/>
          </w:rPr>
        </w:r>
        <w:r w:rsidR="0068177A">
          <w:rPr>
            <w:noProof/>
            <w:webHidden/>
          </w:rPr>
          <w:fldChar w:fldCharType="separate"/>
        </w:r>
        <w:r w:rsidR="0023515C">
          <w:rPr>
            <w:noProof/>
            <w:webHidden/>
          </w:rPr>
          <w:t>223</w:t>
        </w:r>
        <w:r w:rsidR="0068177A">
          <w:rPr>
            <w:noProof/>
            <w:webHidden/>
          </w:rPr>
          <w:fldChar w:fldCharType="end"/>
        </w:r>
      </w:hyperlink>
    </w:p>
    <w:p w14:paraId="73C3D7C6" w14:textId="0AFAC704" w:rsidR="0068177A" w:rsidRDefault="00764935">
      <w:pPr>
        <w:pStyle w:val="TDC4"/>
        <w:tabs>
          <w:tab w:val="right" w:leader="dot" w:pos="8779"/>
        </w:tabs>
        <w:rPr>
          <w:rFonts w:eastAsiaTheme="minorEastAsia" w:cstheme="minorBidi"/>
          <w:noProof/>
          <w:kern w:val="2"/>
          <w:sz w:val="24"/>
          <w:szCs w:val="24"/>
          <w:lang w:val="en-US"/>
          <w14:ligatures w14:val="standardContextual"/>
        </w:rPr>
      </w:pPr>
      <w:hyperlink w:anchor="_Toc173245340" w:history="1">
        <w:r w:rsidR="0068177A" w:rsidRPr="000D28E7">
          <w:rPr>
            <w:rStyle w:val="Hipervnculo"/>
            <w:rFonts w:eastAsia="Calibri"/>
            <w:noProof/>
          </w:rPr>
          <w:t>NOTA N°87</w:t>
        </w:r>
        <w:r w:rsidR="0068177A">
          <w:rPr>
            <w:noProof/>
            <w:webHidden/>
          </w:rPr>
          <w:tab/>
        </w:r>
        <w:r w:rsidR="0068177A">
          <w:rPr>
            <w:noProof/>
            <w:webHidden/>
          </w:rPr>
          <w:fldChar w:fldCharType="begin"/>
        </w:r>
        <w:r w:rsidR="0068177A">
          <w:rPr>
            <w:noProof/>
            <w:webHidden/>
          </w:rPr>
          <w:instrText xml:space="preserve"> PAGEREF _Toc173245340 \h </w:instrText>
        </w:r>
        <w:r w:rsidR="0068177A">
          <w:rPr>
            <w:noProof/>
            <w:webHidden/>
          </w:rPr>
        </w:r>
        <w:r w:rsidR="0068177A">
          <w:rPr>
            <w:noProof/>
            <w:webHidden/>
          </w:rPr>
          <w:fldChar w:fldCharType="separate"/>
        </w:r>
        <w:r w:rsidR="0023515C">
          <w:rPr>
            <w:noProof/>
            <w:webHidden/>
          </w:rPr>
          <w:t>223</w:t>
        </w:r>
        <w:r w:rsidR="0068177A">
          <w:rPr>
            <w:noProof/>
            <w:webHidden/>
          </w:rPr>
          <w:fldChar w:fldCharType="end"/>
        </w:r>
      </w:hyperlink>
    </w:p>
    <w:p w14:paraId="3B39BA9F" w14:textId="23D6A5E1" w:rsidR="0068177A" w:rsidRDefault="00764935">
      <w:pPr>
        <w:pStyle w:val="TDC2"/>
        <w:tabs>
          <w:tab w:val="right" w:leader="dot" w:pos="8779"/>
        </w:tabs>
        <w:rPr>
          <w:rFonts w:eastAsiaTheme="minorEastAsia" w:cstheme="minorBidi"/>
          <w:b w:val="0"/>
          <w:bCs w:val="0"/>
          <w:noProof/>
          <w:kern w:val="2"/>
          <w:sz w:val="24"/>
          <w:szCs w:val="24"/>
          <w:lang w:val="en-US"/>
          <w14:ligatures w14:val="standardContextual"/>
        </w:rPr>
      </w:pPr>
      <w:hyperlink w:anchor="_Toc173245341" w:history="1">
        <w:r w:rsidR="0068177A" w:rsidRPr="000D28E7">
          <w:rPr>
            <w:rStyle w:val="Hipervnculo"/>
            <w:rFonts w:eastAsia="Times New Roman"/>
            <w:noProof/>
          </w:rPr>
          <w:t>NOTAS INFORME ESTADO POR SEGMENTOS</w:t>
        </w:r>
        <w:r w:rsidR="0068177A">
          <w:rPr>
            <w:noProof/>
            <w:webHidden/>
          </w:rPr>
          <w:tab/>
        </w:r>
        <w:r w:rsidR="0068177A">
          <w:rPr>
            <w:noProof/>
            <w:webHidden/>
          </w:rPr>
          <w:fldChar w:fldCharType="begin"/>
        </w:r>
        <w:r w:rsidR="0068177A">
          <w:rPr>
            <w:noProof/>
            <w:webHidden/>
          </w:rPr>
          <w:instrText xml:space="preserve"> PAGEREF _Toc173245341 \h </w:instrText>
        </w:r>
        <w:r w:rsidR="0068177A">
          <w:rPr>
            <w:noProof/>
            <w:webHidden/>
          </w:rPr>
        </w:r>
        <w:r w:rsidR="0068177A">
          <w:rPr>
            <w:noProof/>
            <w:webHidden/>
          </w:rPr>
          <w:fldChar w:fldCharType="separate"/>
        </w:r>
        <w:r w:rsidR="0023515C">
          <w:rPr>
            <w:noProof/>
            <w:webHidden/>
          </w:rPr>
          <w:t>224</w:t>
        </w:r>
        <w:r w:rsidR="0068177A">
          <w:rPr>
            <w:noProof/>
            <w:webHidden/>
          </w:rPr>
          <w:fldChar w:fldCharType="end"/>
        </w:r>
      </w:hyperlink>
    </w:p>
    <w:p w14:paraId="30B92A9F" w14:textId="16856C23" w:rsidR="0068177A" w:rsidRDefault="00764935">
      <w:pPr>
        <w:pStyle w:val="TDC1"/>
        <w:tabs>
          <w:tab w:val="right" w:leader="dot" w:pos="8779"/>
        </w:tabs>
        <w:rPr>
          <w:rFonts w:asciiTheme="minorHAnsi" w:eastAsiaTheme="minorEastAsia" w:hAnsiTheme="minorHAnsi"/>
          <w:b w:val="0"/>
          <w:bCs w:val="0"/>
          <w:caps w:val="0"/>
          <w:noProof/>
          <w:kern w:val="2"/>
          <w:lang w:val="en-US"/>
          <w14:ligatures w14:val="standardContextual"/>
        </w:rPr>
      </w:pPr>
      <w:hyperlink w:anchor="_Toc173245342" w:history="1">
        <w:r w:rsidR="0068177A" w:rsidRPr="000D28E7">
          <w:rPr>
            <w:rStyle w:val="Hipervnculo"/>
            <w:rFonts w:eastAsia="Times New Roman"/>
            <w:noProof/>
            <w:lang w:val="es-ES" w:eastAsia="es-ES"/>
          </w:rPr>
          <w:t>NOTAS PARTICULARES</w:t>
        </w:r>
        <w:r w:rsidR="0068177A">
          <w:rPr>
            <w:noProof/>
            <w:webHidden/>
          </w:rPr>
          <w:tab/>
        </w:r>
        <w:r w:rsidR="0068177A">
          <w:rPr>
            <w:noProof/>
            <w:webHidden/>
          </w:rPr>
          <w:fldChar w:fldCharType="begin"/>
        </w:r>
        <w:r w:rsidR="0068177A">
          <w:rPr>
            <w:noProof/>
            <w:webHidden/>
          </w:rPr>
          <w:instrText xml:space="preserve"> PAGEREF _Toc173245342 \h </w:instrText>
        </w:r>
        <w:r w:rsidR="0068177A">
          <w:rPr>
            <w:noProof/>
            <w:webHidden/>
          </w:rPr>
        </w:r>
        <w:r w:rsidR="0068177A">
          <w:rPr>
            <w:noProof/>
            <w:webHidden/>
          </w:rPr>
          <w:fldChar w:fldCharType="separate"/>
        </w:r>
        <w:r w:rsidR="0023515C">
          <w:rPr>
            <w:noProof/>
            <w:webHidden/>
          </w:rPr>
          <w:t>225</w:t>
        </w:r>
        <w:r w:rsidR="0068177A">
          <w:rPr>
            <w:noProof/>
            <w:webHidden/>
          </w:rPr>
          <w:fldChar w:fldCharType="end"/>
        </w:r>
      </w:hyperlink>
    </w:p>
    <w:p w14:paraId="4AA4ECD4" w14:textId="5E9858BF" w:rsidR="0068177A" w:rsidRDefault="00764935">
      <w:pPr>
        <w:pStyle w:val="TDC1"/>
        <w:tabs>
          <w:tab w:val="right" w:leader="dot" w:pos="8779"/>
        </w:tabs>
        <w:rPr>
          <w:rFonts w:asciiTheme="minorHAnsi" w:eastAsiaTheme="minorEastAsia" w:hAnsiTheme="minorHAnsi"/>
          <w:b w:val="0"/>
          <w:bCs w:val="0"/>
          <w:caps w:val="0"/>
          <w:noProof/>
          <w:kern w:val="2"/>
          <w:lang w:val="en-US"/>
          <w14:ligatures w14:val="standardContextual"/>
        </w:rPr>
      </w:pPr>
      <w:hyperlink w:anchor="_Toc173245343" w:history="1">
        <w:r w:rsidR="0068177A" w:rsidRPr="000D28E7">
          <w:rPr>
            <w:rStyle w:val="Hipervnculo"/>
            <w:noProof/>
            <w:lang w:val="es-ES"/>
          </w:rPr>
          <w:t>ANEXOS</w:t>
        </w:r>
        <w:r w:rsidR="0068177A">
          <w:rPr>
            <w:noProof/>
            <w:webHidden/>
          </w:rPr>
          <w:tab/>
        </w:r>
        <w:r w:rsidR="0068177A">
          <w:rPr>
            <w:noProof/>
            <w:webHidden/>
          </w:rPr>
          <w:fldChar w:fldCharType="begin"/>
        </w:r>
        <w:r w:rsidR="0068177A">
          <w:rPr>
            <w:noProof/>
            <w:webHidden/>
          </w:rPr>
          <w:instrText xml:space="preserve"> PAGEREF _Toc173245343 \h </w:instrText>
        </w:r>
        <w:r w:rsidR="0068177A">
          <w:rPr>
            <w:noProof/>
            <w:webHidden/>
          </w:rPr>
        </w:r>
        <w:r w:rsidR="0068177A">
          <w:rPr>
            <w:noProof/>
            <w:webHidden/>
          </w:rPr>
          <w:fldChar w:fldCharType="separate"/>
        </w:r>
        <w:r w:rsidR="0023515C">
          <w:rPr>
            <w:noProof/>
            <w:webHidden/>
          </w:rPr>
          <w:t>226</w:t>
        </w:r>
        <w:r w:rsidR="0068177A">
          <w:rPr>
            <w:noProof/>
            <w:webHidden/>
          </w:rPr>
          <w:fldChar w:fldCharType="end"/>
        </w:r>
      </w:hyperlink>
    </w:p>
    <w:p w14:paraId="341E5D67" w14:textId="0A01B51B" w:rsidR="0068177A" w:rsidRDefault="00764935">
      <w:pPr>
        <w:pStyle w:val="TDC2"/>
        <w:tabs>
          <w:tab w:val="right" w:leader="dot" w:pos="8779"/>
        </w:tabs>
        <w:rPr>
          <w:rFonts w:eastAsiaTheme="minorEastAsia" w:cstheme="minorBidi"/>
          <w:b w:val="0"/>
          <w:bCs w:val="0"/>
          <w:noProof/>
          <w:kern w:val="2"/>
          <w:sz w:val="24"/>
          <w:szCs w:val="24"/>
          <w:lang w:val="en-US"/>
          <w14:ligatures w14:val="standardContextual"/>
        </w:rPr>
      </w:pPr>
      <w:hyperlink w:anchor="_Toc173245344" w:history="1">
        <w:r w:rsidR="0068177A" w:rsidRPr="000D28E7">
          <w:rPr>
            <w:rStyle w:val="Hipervnculo"/>
            <w:rFonts w:eastAsia="Times New Roman"/>
            <w:noProof/>
          </w:rPr>
          <w:t>NICSP</w:t>
        </w:r>
        <w:r w:rsidR="0068177A">
          <w:rPr>
            <w:noProof/>
            <w:webHidden/>
          </w:rPr>
          <w:tab/>
        </w:r>
        <w:r w:rsidR="0068177A">
          <w:rPr>
            <w:noProof/>
            <w:webHidden/>
          </w:rPr>
          <w:fldChar w:fldCharType="begin"/>
        </w:r>
        <w:r w:rsidR="0068177A">
          <w:rPr>
            <w:noProof/>
            <w:webHidden/>
          </w:rPr>
          <w:instrText xml:space="preserve"> PAGEREF _Toc173245344 \h </w:instrText>
        </w:r>
        <w:r w:rsidR="0068177A">
          <w:rPr>
            <w:noProof/>
            <w:webHidden/>
          </w:rPr>
        </w:r>
        <w:r w:rsidR="0068177A">
          <w:rPr>
            <w:noProof/>
            <w:webHidden/>
          </w:rPr>
          <w:fldChar w:fldCharType="separate"/>
        </w:r>
        <w:r w:rsidR="0023515C">
          <w:rPr>
            <w:noProof/>
            <w:webHidden/>
          </w:rPr>
          <w:t>226</w:t>
        </w:r>
        <w:r w:rsidR="0068177A">
          <w:rPr>
            <w:noProof/>
            <w:webHidden/>
          </w:rPr>
          <w:fldChar w:fldCharType="end"/>
        </w:r>
      </w:hyperlink>
    </w:p>
    <w:p w14:paraId="0BF210D6" w14:textId="14B04B81" w:rsidR="0068177A" w:rsidRDefault="00764935">
      <w:pPr>
        <w:pStyle w:val="TDC3"/>
        <w:tabs>
          <w:tab w:val="right" w:leader="dot" w:pos="8779"/>
        </w:tabs>
        <w:rPr>
          <w:rFonts w:eastAsiaTheme="minorEastAsia" w:cstheme="minorBidi"/>
          <w:noProof/>
          <w:kern w:val="2"/>
          <w:sz w:val="24"/>
          <w:szCs w:val="24"/>
          <w:lang w:val="en-US"/>
          <w14:ligatures w14:val="standardContextual"/>
        </w:rPr>
      </w:pPr>
      <w:hyperlink w:anchor="_Toc173245345" w:history="1">
        <w:r w:rsidR="0068177A" w:rsidRPr="000D28E7">
          <w:rPr>
            <w:rStyle w:val="Hipervnculo"/>
            <w:rFonts w:eastAsia="Times New Roman"/>
            <w:noProof/>
            <w:lang w:eastAsia="es-CR"/>
          </w:rPr>
          <w:t>NICSP 13 ARRENDAMIENTOS</w:t>
        </w:r>
        <w:r w:rsidR="0068177A">
          <w:rPr>
            <w:noProof/>
            <w:webHidden/>
          </w:rPr>
          <w:tab/>
        </w:r>
        <w:r w:rsidR="0068177A">
          <w:rPr>
            <w:noProof/>
            <w:webHidden/>
          </w:rPr>
          <w:fldChar w:fldCharType="begin"/>
        </w:r>
        <w:r w:rsidR="0068177A">
          <w:rPr>
            <w:noProof/>
            <w:webHidden/>
          </w:rPr>
          <w:instrText xml:space="preserve"> PAGEREF _Toc173245345 \h </w:instrText>
        </w:r>
        <w:r w:rsidR="0068177A">
          <w:rPr>
            <w:noProof/>
            <w:webHidden/>
          </w:rPr>
        </w:r>
        <w:r w:rsidR="0068177A">
          <w:rPr>
            <w:noProof/>
            <w:webHidden/>
          </w:rPr>
          <w:fldChar w:fldCharType="separate"/>
        </w:r>
        <w:r w:rsidR="0023515C">
          <w:rPr>
            <w:noProof/>
            <w:webHidden/>
          </w:rPr>
          <w:t>226</w:t>
        </w:r>
        <w:r w:rsidR="0068177A">
          <w:rPr>
            <w:noProof/>
            <w:webHidden/>
          </w:rPr>
          <w:fldChar w:fldCharType="end"/>
        </w:r>
      </w:hyperlink>
    </w:p>
    <w:p w14:paraId="607CA21B" w14:textId="15E3F62C" w:rsidR="0068177A" w:rsidRDefault="00764935">
      <w:pPr>
        <w:pStyle w:val="TDC3"/>
        <w:tabs>
          <w:tab w:val="right" w:leader="dot" w:pos="8779"/>
        </w:tabs>
        <w:rPr>
          <w:rFonts w:eastAsiaTheme="minorEastAsia" w:cstheme="minorBidi"/>
          <w:noProof/>
          <w:kern w:val="2"/>
          <w:sz w:val="24"/>
          <w:szCs w:val="24"/>
          <w:lang w:val="en-US"/>
          <w14:ligatures w14:val="standardContextual"/>
        </w:rPr>
      </w:pPr>
      <w:hyperlink w:anchor="_Toc173245346" w:history="1">
        <w:r w:rsidR="0068177A" w:rsidRPr="000D28E7">
          <w:rPr>
            <w:rStyle w:val="Hipervnculo"/>
            <w:rFonts w:eastAsia="Times New Roman"/>
            <w:noProof/>
            <w:lang w:eastAsia="es-CR"/>
          </w:rPr>
          <w:t>NICSP 16- PROPIEDADES DE INVERSIÓN</w:t>
        </w:r>
        <w:r w:rsidR="0068177A">
          <w:rPr>
            <w:noProof/>
            <w:webHidden/>
          </w:rPr>
          <w:tab/>
        </w:r>
        <w:r w:rsidR="0068177A">
          <w:rPr>
            <w:noProof/>
            <w:webHidden/>
          </w:rPr>
          <w:fldChar w:fldCharType="begin"/>
        </w:r>
        <w:r w:rsidR="0068177A">
          <w:rPr>
            <w:noProof/>
            <w:webHidden/>
          </w:rPr>
          <w:instrText xml:space="preserve"> PAGEREF _Toc173245346 \h </w:instrText>
        </w:r>
        <w:r w:rsidR="0068177A">
          <w:rPr>
            <w:noProof/>
            <w:webHidden/>
          </w:rPr>
        </w:r>
        <w:r w:rsidR="0068177A">
          <w:rPr>
            <w:noProof/>
            <w:webHidden/>
          </w:rPr>
          <w:fldChar w:fldCharType="separate"/>
        </w:r>
        <w:r w:rsidR="0023515C">
          <w:rPr>
            <w:noProof/>
            <w:webHidden/>
          </w:rPr>
          <w:t>227</w:t>
        </w:r>
        <w:r w:rsidR="0068177A">
          <w:rPr>
            <w:noProof/>
            <w:webHidden/>
          </w:rPr>
          <w:fldChar w:fldCharType="end"/>
        </w:r>
      </w:hyperlink>
    </w:p>
    <w:p w14:paraId="2863C0C6" w14:textId="550523BA" w:rsidR="0068177A" w:rsidRDefault="00764935">
      <w:pPr>
        <w:pStyle w:val="TDC3"/>
        <w:tabs>
          <w:tab w:val="right" w:leader="dot" w:pos="8779"/>
        </w:tabs>
        <w:rPr>
          <w:rFonts w:eastAsiaTheme="minorEastAsia" w:cstheme="minorBidi"/>
          <w:noProof/>
          <w:kern w:val="2"/>
          <w:sz w:val="24"/>
          <w:szCs w:val="24"/>
          <w:lang w:val="en-US"/>
          <w14:ligatures w14:val="standardContextual"/>
        </w:rPr>
      </w:pPr>
      <w:hyperlink w:anchor="_Toc173245347" w:history="1">
        <w:r w:rsidR="0068177A" w:rsidRPr="000D28E7">
          <w:rPr>
            <w:rStyle w:val="Hipervnculo"/>
            <w:rFonts w:eastAsia="Times New Roman"/>
            <w:noProof/>
            <w:lang w:eastAsia="es-CR"/>
          </w:rPr>
          <w:t>NICSP 17- PROPIEDAD, PLANTA Y EQUIPO</w:t>
        </w:r>
        <w:r w:rsidR="0068177A">
          <w:rPr>
            <w:noProof/>
            <w:webHidden/>
          </w:rPr>
          <w:tab/>
        </w:r>
        <w:r w:rsidR="0068177A">
          <w:rPr>
            <w:noProof/>
            <w:webHidden/>
          </w:rPr>
          <w:fldChar w:fldCharType="begin"/>
        </w:r>
        <w:r w:rsidR="0068177A">
          <w:rPr>
            <w:noProof/>
            <w:webHidden/>
          </w:rPr>
          <w:instrText xml:space="preserve"> PAGEREF _Toc173245347 \h </w:instrText>
        </w:r>
        <w:r w:rsidR="0068177A">
          <w:rPr>
            <w:noProof/>
            <w:webHidden/>
          </w:rPr>
        </w:r>
        <w:r w:rsidR="0068177A">
          <w:rPr>
            <w:noProof/>
            <w:webHidden/>
          </w:rPr>
          <w:fldChar w:fldCharType="separate"/>
        </w:r>
        <w:r w:rsidR="0023515C">
          <w:rPr>
            <w:noProof/>
            <w:webHidden/>
          </w:rPr>
          <w:t>227</w:t>
        </w:r>
        <w:r w:rsidR="0068177A">
          <w:rPr>
            <w:noProof/>
            <w:webHidden/>
          </w:rPr>
          <w:fldChar w:fldCharType="end"/>
        </w:r>
      </w:hyperlink>
    </w:p>
    <w:p w14:paraId="15E7330A" w14:textId="30061DBF" w:rsidR="0068177A" w:rsidRDefault="00764935">
      <w:pPr>
        <w:pStyle w:val="TDC3"/>
        <w:tabs>
          <w:tab w:val="right" w:leader="dot" w:pos="8779"/>
        </w:tabs>
        <w:rPr>
          <w:rFonts w:eastAsiaTheme="minorEastAsia" w:cstheme="minorBidi"/>
          <w:noProof/>
          <w:kern w:val="2"/>
          <w:sz w:val="24"/>
          <w:szCs w:val="24"/>
          <w:lang w:val="en-US"/>
          <w14:ligatures w14:val="standardContextual"/>
        </w:rPr>
      </w:pPr>
      <w:hyperlink w:anchor="_Toc173245348" w:history="1">
        <w:r w:rsidR="0068177A" w:rsidRPr="000D28E7">
          <w:rPr>
            <w:rStyle w:val="Hipervnculo"/>
            <w:rFonts w:eastAsia="Times New Roman"/>
            <w:noProof/>
            <w:lang w:eastAsia="es-CR"/>
          </w:rPr>
          <w:t>NICSP 19- ACTIVOS CONTINGENTES</w:t>
        </w:r>
        <w:r w:rsidR="0068177A">
          <w:rPr>
            <w:noProof/>
            <w:webHidden/>
          </w:rPr>
          <w:tab/>
        </w:r>
        <w:r w:rsidR="0068177A">
          <w:rPr>
            <w:noProof/>
            <w:webHidden/>
          </w:rPr>
          <w:fldChar w:fldCharType="begin"/>
        </w:r>
        <w:r w:rsidR="0068177A">
          <w:rPr>
            <w:noProof/>
            <w:webHidden/>
          </w:rPr>
          <w:instrText xml:space="preserve"> PAGEREF _Toc173245348 \h </w:instrText>
        </w:r>
        <w:r w:rsidR="0068177A">
          <w:rPr>
            <w:noProof/>
            <w:webHidden/>
          </w:rPr>
        </w:r>
        <w:r w:rsidR="0068177A">
          <w:rPr>
            <w:noProof/>
            <w:webHidden/>
          </w:rPr>
          <w:fldChar w:fldCharType="separate"/>
        </w:r>
        <w:r w:rsidR="0023515C">
          <w:rPr>
            <w:noProof/>
            <w:webHidden/>
          </w:rPr>
          <w:t>229</w:t>
        </w:r>
        <w:r w:rsidR="0068177A">
          <w:rPr>
            <w:noProof/>
            <w:webHidden/>
          </w:rPr>
          <w:fldChar w:fldCharType="end"/>
        </w:r>
      </w:hyperlink>
    </w:p>
    <w:p w14:paraId="619DC891" w14:textId="789227EF" w:rsidR="0068177A" w:rsidRDefault="00764935">
      <w:pPr>
        <w:pStyle w:val="TDC3"/>
        <w:tabs>
          <w:tab w:val="right" w:leader="dot" w:pos="8779"/>
        </w:tabs>
        <w:rPr>
          <w:rFonts w:eastAsiaTheme="minorEastAsia" w:cstheme="minorBidi"/>
          <w:noProof/>
          <w:kern w:val="2"/>
          <w:sz w:val="24"/>
          <w:szCs w:val="24"/>
          <w:lang w:val="en-US"/>
          <w14:ligatures w14:val="standardContextual"/>
        </w:rPr>
      </w:pPr>
      <w:hyperlink w:anchor="_Toc173245349" w:history="1">
        <w:r w:rsidR="0068177A" w:rsidRPr="000D28E7">
          <w:rPr>
            <w:rStyle w:val="Hipervnculo"/>
            <w:rFonts w:eastAsia="Times New Roman"/>
            <w:noProof/>
            <w:lang w:eastAsia="es-CR"/>
          </w:rPr>
          <w:t>NICSP 19- PASIVOS CONTINGENTES</w:t>
        </w:r>
        <w:r w:rsidR="0068177A">
          <w:rPr>
            <w:noProof/>
            <w:webHidden/>
          </w:rPr>
          <w:tab/>
        </w:r>
        <w:r w:rsidR="0068177A">
          <w:rPr>
            <w:noProof/>
            <w:webHidden/>
          </w:rPr>
          <w:fldChar w:fldCharType="begin"/>
        </w:r>
        <w:r w:rsidR="0068177A">
          <w:rPr>
            <w:noProof/>
            <w:webHidden/>
          </w:rPr>
          <w:instrText xml:space="preserve"> PAGEREF _Toc173245349 \h </w:instrText>
        </w:r>
        <w:r w:rsidR="0068177A">
          <w:rPr>
            <w:noProof/>
            <w:webHidden/>
          </w:rPr>
        </w:r>
        <w:r w:rsidR="0068177A">
          <w:rPr>
            <w:noProof/>
            <w:webHidden/>
          </w:rPr>
          <w:fldChar w:fldCharType="separate"/>
        </w:r>
        <w:r w:rsidR="0023515C">
          <w:rPr>
            <w:noProof/>
            <w:webHidden/>
          </w:rPr>
          <w:t>230</w:t>
        </w:r>
        <w:r w:rsidR="0068177A">
          <w:rPr>
            <w:noProof/>
            <w:webHidden/>
          </w:rPr>
          <w:fldChar w:fldCharType="end"/>
        </w:r>
      </w:hyperlink>
    </w:p>
    <w:p w14:paraId="7D245CE1" w14:textId="6497F315" w:rsidR="0068177A" w:rsidRDefault="00764935">
      <w:pPr>
        <w:pStyle w:val="TDC3"/>
        <w:tabs>
          <w:tab w:val="right" w:leader="dot" w:pos="8779"/>
        </w:tabs>
        <w:rPr>
          <w:rFonts w:eastAsiaTheme="minorEastAsia" w:cstheme="minorBidi"/>
          <w:noProof/>
          <w:kern w:val="2"/>
          <w:sz w:val="24"/>
          <w:szCs w:val="24"/>
          <w:lang w:val="en-US"/>
          <w14:ligatures w14:val="standardContextual"/>
        </w:rPr>
      </w:pPr>
      <w:hyperlink w:anchor="_Toc173245350" w:history="1">
        <w:r w:rsidR="0068177A" w:rsidRPr="000D28E7">
          <w:rPr>
            <w:rStyle w:val="Hipervnculo"/>
            <w:rFonts w:eastAsia="Times New Roman"/>
            <w:noProof/>
            <w:lang w:eastAsia="es-CR"/>
          </w:rPr>
          <w:t>NICSP 27- AGRICULTURA</w:t>
        </w:r>
        <w:r w:rsidR="0068177A">
          <w:rPr>
            <w:noProof/>
            <w:webHidden/>
          </w:rPr>
          <w:tab/>
        </w:r>
        <w:r w:rsidR="0068177A">
          <w:rPr>
            <w:noProof/>
            <w:webHidden/>
          </w:rPr>
          <w:fldChar w:fldCharType="begin"/>
        </w:r>
        <w:r w:rsidR="0068177A">
          <w:rPr>
            <w:noProof/>
            <w:webHidden/>
          </w:rPr>
          <w:instrText xml:space="preserve"> PAGEREF _Toc173245350 \h </w:instrText>
        </w:r>
        <w:r w:rsidR="0068177A">
          <w:rPr>
            <w:noProof/>
            <w:webHidden/>
          </w:rPr>
        </w:r>
        <w:r w:rsidR="0068177A">
          <w:rPr>
            <w:noProof/>
            <w:webHidden/>
          </w:rPr>
          <w:fldChar w:fldCharType="separate"/>
        </w:r>
        <w:r w:rsidR="0023515C">
          <w:rPr>
            <w:noProof/>
            <w:webHidden/>
          </w:rPr>
          <w:t>231</w:t>
        </w:r>
        <w:r w:rsidR="0068177A">
          <w:rPr>
            <w:noProof/>
            <w:webHidden/>
          </w:rPr>
          <w:fldChar w:fldCharType="end"/>
        </w:r>
      </w:hyperlink>
    </w:p>
    <w:p w14:paraId="770C2DC1" w14:textId="4937BBD7" w:rsidR="0068177A" w:rsidRDefault="00764935">
      <w:pPr>
        <w:pStyle w:val="TDC3"/>
        <w:tabs>
          <w:tab w:val="right" w:leader="dot" w:pos="8779"/>
        </w:tabs>
        <w:rPr>
          <w:rFonts w:eastAsiaTheme="minorEastAsia" w:cstheme="minorBidi"/>
          <w:noProof/>
          <w:kern w:val="2"/>
          <w:sz w:val="24"/>
          <w:szCs w:val="24"/>
          <w:lang w:val="en-US"/>
          <w14:ligatures w14:val="standardContextual"/>
        </w:rPr>
      </w:pPr>
      <w:hyperlink w:anchor="_Toc173245351" w:history="1">
        <w:r w:rsidR="0068177A" w:rsidRPr="000D28E7">
          <w:rPr>
            <w:rStyle w:val="Hipervnculo"/>
            <w:rFonts w:eastAsia="Times New Roman"/>
            <w:noProof/>
            <w:lang w:eastAsia="es-CR"/>
          </w:rPr>
          <w:t>NICSP 28- 29- 30</w:t>
        </w:r>
        <w:r w:rsidR="0068177A">
          <w:rPr>
            <w:noProof/>
            <w:webHidden/>
          </w:rPr>
          <w:tab/>
        </w:r>
        <w:r w:rsidR="0068177A">
          <w:rPr>
            <w:noProof/>
            <w:webHidden/>
          </w:rPr>
          <w:fldChar w:fldCharType="begin"/>
        </w:r>
        <w:r w:rsidR="0068177A">
          <w:rPr>
            <w:noProof/>
            <w:webHidden/>
          </w:rPr>
          <w:instrText xml:space="preserve"> PAGEREF _Toc173245351 \h </w:instrText>
        </w:r>
        <w:r w:rsidR="0068177A">
          <w:rPr>
            <w:noProof/>
            <w:webHidden/>
          </w:rPr>
        </w:r>
        <w:r w:rsidR="0068177A">
          <w:rPr>
            <w:noProof/>
            <w:webHidden/>
          </w:rPr>
          <w:fldChar w:fldCharType="separate"/>
        </w:r>
        <w:r w:rsidR="0023515C">
          <w:rPr>
            <w:noProof/>
            <w:webHidden/>
          </w:rPr>
          <w:t>232</w:t>
        </w:r>
        <w:r w:rsidR="0068177A">
          <w:rPr>
            <w:noProof/>
            <w:webHidden/>
          </w:rPr>
          <w:fldChar w:fldCharType="end"/>
        </w:r>
      </w:hyperlink>
    </w:p>
    <w:p w14:paraId="2944356F" w14:textId="513D7D37" w:rsidR="0068177A" w:rsidRDefault="00764935">
      <w:pPr>
        <w:pStyle w:val="TDC3"/>
        <w:tabs>
          <w:tab w:val="right" w:leader="dot" w:pos="8779"/>
        </w:tabs>
        <w:rPr>
          <w:rFonts w:eastAsiaTheme="minorEastAsia" w:cstheme="minorBidi"/>
          <w:noProof/>
          <w:kern w:val="2"/>
          <w:sz w:val="24"/>
          <w:szCs w:val="24"/>
          <w:lang w:val="en-US"/>
          <w14:ligatures w14:val="standardContextual"/>
        </w:rPr>
      </w:pPr>
      <w:hyperlink w:anchor="_Toc173245352" w:history="1">
        <w:r w:rsidR="0068177A" w:rsidRPr="000D28E7">
          <w:rPr>
            <w:rStyle w:val="Hipervnculo"/>
            <w:rFonts w:eastAsia="Times New Roman"/>
            <w:noProof/>
            <w:lang w:eastAsia="es-CR"/>
          </w:rPr>
          <w:t>FIDEICOMISOS</w:t>
        </w:r>
        <w:r w:rsidR="0068177A">
          <w:rPr>
            <w:noProof/>
            <w:webHidden/>
          </w:rPr>
          <w:tab/>
        </w:r>
        <w:r w:rsidR="0068177A">
          <w:rPr>
            <w:noProof/>
            <w:webHidden/>
          </w:rPr>
          <w:fldChar w:fldCharType="begin"/>
        </w:r>
        <w:r w:rsidR="0068177A">
          <w:rPr>
            <w:noProof/>
            <w:webHidden/>
          </w:rPr>
          <w:instrText xml:space="preserve"> PAGEREF _Toc173245352 \h </w:instrText>
        </w:r>
        <w:r w:rsidR="0068177A">
          <w:rPr>
            <w:noProof/>
            <w:webHidden/>
          </w:rPr>
        </w:r>
        <w:r w:rsidR="0068177A">
          <w:rPr>
            <w:noProof/>
            <w:webHidden/>
          </w:rPr>
          <w:fldChar w:fldCharType="separate"/>
        </w:r>
        <w:r w:rsidR="0023515C">
          <w:rPr>
            <w:noProof/>
            <w:webHidden/>
          </w:rPr>
          <w:t>233</w:t>
        </w:r>
        <w:r w:rsidR="0068177A">
          <w:rPr>
            <w:noProof/>
            <w:webHidden/>
          </w:rPr>
          <w:fldChar w:fldCharType="end"/>
        </w:r>
      </w:hyperlink>
    </w:p>
    <w:p w14:paraId="38C2A197" w14:textId="06B2B43D" w:rsidR="0068177A" w:rsidRDefault="00764935">
      <w:pPr>
        <w:pStyle w:val="TDC3"/>
        <w:tabs>
          <w:tab w:val="right" w:leader="dot" w:pos="8779"/>
        </w:tabs>
        <w:rPr>
          <w:rFonts w:eastAsiaTheme="minorEastAsia" w:cstheme="minorBidi"/>
          <w:noProof/>
          <w:kern w:val="2"/>
          <w:sz w:val="24"/>
          <w:szCs w:val="24"/>
          <w:lang w:val="en-US"/>
          <w14:ligatures w14:val="standardContextual"/>
        </w:rPr>
      </w:pPr>
      <w:hyperlink w:anchor="_Toc173245353" w:history="1">
        <w:r w:rsidR="0068177A" w:rsidRPr="000D28E7">
          <w:rPr>
            <w:rStyle w:val="Hipervnculo"/>
            <w:rFonts w:eastAsia="Times New Roman"/>
            <w:noProof/>
            <w:lang w:eastAsia="es-CR"/>
          </w:rPr>
          <w:t>NICSP 31</w:t>
        </w:r>
        <w:r w:rsidR="0068177A">
          <w:rPr>
            <w:noProof/>
            <w:webHidden/>
          </w:rPr>
          <w:tab/>
        </w:r>
        <w:r w:rsidR="0068177A">
          <w:rPr>
            <w:noProof/>
            <w:webHidden/>
          </w:rPr>
          <w:fldChar w:fldCharType="begin"/>
        </w:r>
        <w:r w:rsidR="0068177A">
          <w:rPr>
            <w:noProof/>
            <w:webHidden/>
          </w:rPr>
          <w:instrText xml:space="preserve"> PAGEREF _Toc173245353 \h </w:instrText>
        </w:r>
        <w:r w:rsidR="0068177A">
          <w:rPr>
            <w:noProof/>
            <w:webHidden/>
          </w:rPr>
        </w:r>
        <w:r w:rsidR="0068177A">
          <w:rPr>
            <w:noProof/>
            <w:webHidden/>
          </w:rPr>
          <w:fldChar w:fldCharType="separate"/>
        </w:r>
        <w:r w:rsidR="0023515C">
          <w:rPr>
            <w:noProof/>
            <w:webHidden/>
          </w:rPr>
          <w:t>233</w:t>
        </w:r>
        <w:r w:rsidR="0068177A">
          <w:rPr>
            <w:noProof/>
            <w:webHidden/>
          </w:rPr>
          <w:fldChar w:fldCharType="end"/>
        </w:r>
      </w:hyperlink>
    </w:p>
    <w:p w14:paraId="16547B02" w14:textId="1DBDF586" w:rsidR="00E778C1" w:rsidRPr="00874E06" w:rsidRDefault="002C4091">
      <w:pPr>
        <w:rPr>
          <w:sz w:val="22"/>
        </w:rPr>
      </w:pPr>
      <w:r w:rsidRPr="00874E06">
        <w:rPr>
          <w:sz w:val="22"/>
        </w:rPr>
        <w:fldChar w:fldCharType="end"/>
      </w:r>
    </w:p>
    <w:p w14:paraId="0A38E0D3" w14:textId="4315A83D" w:rsidR="00E778C1" w:rsidRPr="006B75D2" w:rsidRDefault="00E778C1">
      <w:pPr>
        <w:rPr>
          <w:sz w:val="22"/>
        </w:rPr>
      </w:pPr>
    </w:p>
    <w:p w14:paraId="608912F3" w14:textId="77777777" w:rsidR="002407B9" w:rsidRDefault="002407B9">
      <w:pPr>
        <w:rPr>
          <w:sz w:val="22"/>
        </w:rPr>
      </w:pPr>
    </w:p>
    <w:p w14:paraId="3BEBF90C" w14:textId="77777777" w:rsidR="002407B9" w:rsidRDefault="002407B9">
      <w:pPr>
        <w:rPr>
          <w:sz w:val="22"/>
        </w:rPr>
      </w:pPr>
    </w:p>
    <w:p w14:paraId="5CC2CF9C" w14:textId="77777777" w:rsidR="006B75D2" w:rsidRDefault="006B75D2">
      <w:pPr>
        <w:rPr>
          <w:sz w:val="22"/>
        </w:rPr>
      </w:pPr>
    </w:p>
    <w:p w14:paraId="7042B10B" w14:textId="77777777" w:rsidR="006B75D2" w:rsidRDefault="006B75D2">
      <w:pPr>
        <w:rPr>
          <w:sz w:val="22"/>
        </w:rPr>
      </w:pPr>
    </w:p>
    <w:p w14:paraId="0C56DFBF" w14:textId="77777777" w:rsidR="006B75D2" w:rsidRDefault="006B75D2">
      <w:pPr>
        <w:rPr>
          <w:sz w:val="22"/>
        </w:rPr>
      </w:pPr>
    </w:p>
    <w:p w14:paraId="320FE7EC" w14:textId="77777777" w:rsidR="006B75D2" w:rsidRDefault="006B75D2">
      <w:pPr>
        <w:rPr>
          <w:sz w:val="22"/>
        </w:rPr>
      </w:pPr>
    </w:p>
    <w:p w14:paraId="1D680C9A" w14:textId="77777777" w:rsidR="006B75D2" w:rsidRDefault="006B75D2">
      <w:pPr>
        <w:rPr>
          <w:sz w:val="22"/>
        </w:rPr>
      </w:pPr>
    </w:p>
    <w:p w14:paraId="44732E00" w14:textId="77777777" w:rsidR="006B75D2" w:rsidRDefault="006B75D2">
      <w:pPr>
        <w:rPr>
          <w:sz w:val="22"/>
        </w:rPr>
      </w:pPr>
    </w:p>
    <w:p w14:paraId="7EB0EA93" w14:textId="77777777" w:rsidR="006B75D2" w:rsidRDefault="006B75D2">
      <w:pPr>
        <w:rPr>
          <w:sz w:val="22"/>
        </w:rPr>
      </w:pPr>
    </w:p>
    <w:p w14:paraId="2478A946" w14:textId="77777777" w:rsidR="006B75D2" w:rsidRDefault="006B75D2">
      <w:pPr>
        <w:rPr>
          <w:sz w:val="22"/>
        </w:rPr>
      </w:pPr>
    </w:p>
    <w:p w14:paraId="3DBF1A97" w14:textId="77777777" w:rsidR="006B75D2" w:rsidRDefault="006B75D2">
      <w:pPr>
        <w:rPr>
          <w:sz w:val="22"/>
        </w:rPr>
      </w:pPr>
    </w:p>
    <w:p w14:paraId="7F4DAA43" w14:textId="77777777" w:rsidR="00874E06" w:rsidRDefault="00874E06">
      <w:pPr>
        <w:rPr>
          <w:sz w:val="22"/>
        </w:rPr>
      </w:pPr>
    </w:p>
    <w:p w14:paraId="7CD5151F" w14:textId="77777777" w:rsidR="00874E06" w:rsidRDefault="00874E06">
      <w:pPr>
        <w:rPr>
          <w:sz w:val="22"/>
        </w:rPr>
      </w:pPr>
    </w:p>
    <w:p w14:paraId="0CFC7E9B" w14:textId="77777777" w:rsidR="00874E06" w:rsidRDefault="00874E06">
      <w:pPr>
        <w:rPr>
          <w:sz w:val="22"/>
        </w:rPr>
      </w:pPr>
    </w:p>
    <w:p w14:paraId="378385C0" w14:textId="77777777" w:rsidR="006B75D2" w:rsidRPr="002C4091" w:rsidRDefault="006B75D2">
      <w:pPr>
        <w:rPr>
          <w:sz w:val="22"/>
        </w:rPr>
      </w:pPr>
    </w:p>
    <w:p w14:paraId="38A90BE9" w14:textId="77777777" w:rsidR="002407B9" w:rsidRDefault="002407B9" w:rsidP="002407B9">
      <w:pPr>
        <w:jc w:val="center"/>
      </w:pPr>
      <w:bookmarkStart w:id="0" w:name="_Hlk153877590"/>
    </w:p>
    <w:p w14:paraId="1BC0DCF1" w14:textId="024CDAD8" w:rsidR="002407B9" w:rsidRDefault="002407B9" w:rsidP="00B2071E">
      <w:pPr>
        <w:pStyle w:val="Ttulo1"/>
      </w:pPr>
      <w:bookmarkStart w:id="1" w:name="_Toc173245174"/>
      <w:r>
        <w:t>Periodo Contable 202</w:t>
      </w:r>
      <w:r w:rsidR="00016C74">
        <w:t>4</w:t>
      </w:r>
      <w:bookmarkEnd w:id="1"/>
    </w:p>
    <w:bookmarkEnd w:id="0"/>
    <w:bookmarkStart w:id="2" w:name="_MON_1590822211"/>
    <w:bookmarkEnd w:id="2"/>
    <w:p w14:paraId="06E0BF87" w14:textId="6A34DDE5" w:rsidR="008C3150" w:rsidRPr="00E778C1" w:rsidRDefault="00122ACD" w:rsidP="008C3150">
      <w:r w:rsidRPr="00735F66">
        <w:object w:dxaOrig="9348" w:dyaOrig="3193" w14:anchorId="774400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141pt" o:ole="">
            <v:imagedata r:id="rId11" o:title=""/>
          </v:shape>
          <o:OLEObject Type="Embed" ProgID="Excel.Sheet.12" ShapeID="_x0000_i1025" DrawAspect="Content" ObjectID="_1783921914" r:id="rId12"/>
        </w:object>
      </w:r>
    </w:p>
    <w:p w14:paraId="28419653" w14:textId="6F53D3C7" w:rsidR="00D33ADF" w:rsidRDefault="00E778C1" w:rsidP="008C3150">
      <w:pPr>
        <w:spacing w:after="0" w:line="240" w:lineRule="auto"/>
        <w:rPr>
          <w:rFonts w:eastAsia="Times New Roman"/>
          <w:color w:val="FFFFFF"/>
          <w:sz w:val="14"/>
          <w:szCs w:val="24"/>
          <w:lang w:eastAsia="es-CR"/>
        </w:rPr>
      </w:pPr>
      <w:r w:rsidRPr="00E778C1">
        <w:rPr>
          <w:noProof/>
          <w:lang w:eastAsia="es-CR"/>
        </w:rPr>
        <w:drawing>
          <wp:inline distT="0" distB="0" distL="0" distR="0" wp14:anchorId="25F6424C" wp14:editId="735A1EB8">
            <wp:extent cx="5654040" cy="228600"/>
            <wp:effectExtent l="0" t="0" r="0" b="0"/>
            <wp:docPr id="523" name="Imagen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4040" cy="228600"/>
                    </a:xfrm>
                    <a:prstGeom prst="rect">
                      <a:avLst/>
                    </a:prstGeom>
                    <a:noFill/>
                    <a:ln>
                      <a:noFill/>
                    </a:ln>
                  </pic:spPr>
                </pic:pic>
              </a:graphicData>
            </a:graphic>
          </wp:inline>
        </w:drawing>
      </w:r>
    </w:p>
    <w:tbl>
      <w:tblPr>
        <w:tblpPr w:leftFromText="141" w:rightFromText="141" w:vertAnchor="text" w:horzAnchor="margin" w:tblpY="209"/>
        <w:tblW w:w="8958" w:type="dxa"/>
        <w:tblCellMar>
          <w:left w:w="70" w:type="dxa"/>
          <w:right w:w="70" w:type="dxa"/>
        </w:tblCellMar>
        <w:tblLook w:val="04A0" w:firstRow="1" w:lastRow="0" w:firstColumn="1" w:lastColumn="0" w:noHBand="0" w:noVBand="1"/>
      </w:tblPr>
      <w:tblGrid>
        <w:gridCol w:w="8958"/>
      </w:tblGrid>
      <w:tr w:rsidR="00294CCF" w:rsidRPr="00BF7D90" w14:paraId="2133DA0A" w14:textId="77777777" w:rsidTr="004653E2">
        <w:trPr>
          <w:trHeight w:val="421"/>
        </w:trPr>
        <w:tc>
          <w:tcPr>
            <w:tcW w:w="8958" w:type="dxa"/>
            <w:tcBorders>
              <w:top w:val="nil"/>
              <w:left w:val="nil"/>
              <w:bottom w:val="nil"/>
              <w:right w:val="nil"/>
            </w:tcBorders>
            <w:shd w:val="clear" w:color="000000" w:fill="17375E"/>
            <w:noWrap/>
            <w:vAlign w:val="center"/>
            <w:hideMark/>
          </w:tcPr>
          <w:p w14:paraId="471F9214" w14:textId="77777777" w:rsidR="00294CCF" w:rsidRPr="00BF7D90" w:rsidRDefault="00294CCF" w:rsidP="004653E2">
            <w:pPr>
              <w:spacing w:after="0" w:line="240" w:lineRule="auto"/>
              <w:rPr>
                <w:rFonts w:eastAsia="Times New Roman" w:cs="Calibri"/>
                <w:color w:val="FFFFFF"/>
                <w:szCs w:val="24"/>
                <w:lang w:eastAsia="es-CR"/>
              </w:rPr>
            </w:pPr>
            <w:r w:rsidRPr="00BF7D90">
              <w:rPr>
                <w:rFonts w:eastAsia="Times New Roman" w:cs="Calibri"/>
                <w:color w:val="FFFFFF"/>
                <w:szCs w:val="24"/>
                <w:lang w:eastAsia="es-CR"/>
              </w:rPr>
              <w:t>Entidad:</w:t>
            </w:r>
          </w:p>
        </w:tc>
      </w:tr>
    </w:tbl>
    <w:p w14:paraId="11CA7CF9" w14:textId="77777777" w:rsidR="008C3150" w:rsidRPr="007630E3" w:rsidRDefault="008C3150" w:rsidP="008C3150">
      <w:pPr>
        <w:numPr>
          <w:ilvl w:val="0"/>
          <w:numId w:val="20"/>
        </w:numPr>
        <w:spacing w:before="120" w:after="120" w:line="240" w:lineRule="auto"/>
        <w:ind w:left="284" w:right="49" w:hanging="284"/>
        <w:rPr>
          <w:szCs w:val="24"/>
        </w:rPr>
      </w:pPr>
      <w:r w:rsidRPr="007630E3">
        <w:rPr>
          <w:szCs w:val="24"/>
        </w:rPr>
        <w:t>MUNICIPALIDAD DE BUENOS AIRES</w:t>
      </w:r>
    </w:p>
    <w:p w14:paraId="5D408421" w14:textId="1D4A9968" w:rsidR="00294CCF" w:rsidRPr="008C3150" w:rsidRDefault="008C3150" w:rsidP="008C3150">
      <w:pPr>
        <w:numPr>
          <w:ilvl w:val="0"/>
          <w:numId w:val="20"/>
        </w:numPr>
        <w:spacing w:after="0" w:line="240" w:lineRule="auto"/>
        <w:ind w:left="284" w:right="-91" w:hanging="284"/>
        <w:rPr>
          <w:szCs w:val="24"/>
        </w:rPr>
      </w:pPr>
      <w:r w:rsidRPr="007630E3">
        <w:rPr>
          <w:szCs w:val="24"/>
        </w:rPr>
        <w:t>Las Municipalidades se rigen por un amplio marco normativo, donde destacan La Constitución Política de la República de Costa Rica (Título XII), el Código Municipal Ley 7794, la Ley General de Control Interno Ley 8292, la Ley de Contratación Administrativa Ley 7494 y su Reglamento, Ley de Administración Financiera de la República y Presupuestos Públicos Ley 8131.</w:t>
      </w:r>
    </w:p>
    <w:tbl>
      <w:tblPr>
        <w:tblpPr w:leftFromText="141" w:rightFromText="141" w:vertAnchor="text" w:horzAnchor="margin" w:tblpY="209"/>
        <w:tblW w:w="8958" w:type="dxa"/>
        <w:tblCellMar>
          <w:left w:w="70" w:type="dxa"/>
          <w:right w:w="70" w:type="dxa"/>
        </w:tblCellMar>
        <w:tblLook w:val="04A0" w:firstRow="1" w:lastRow="0" w:firstColumn="1" w:lastColumn="0" w:noHBand="0" w:noVBand="1"/>
      </w:tblPr>
      <w:tblGrid>
        <w:gridCol w:w="8958"/>
      </w:tblGrid>
      <w:tr w:rsidR="00294CCF" w:rsidRPr="00BF7D90" w14:paraId="69CCDA97" w14:textId="77777777" w:rsidTr="004653E2">
        <w:trPr>
          <w:trHeight w:val="420"/>
        </w:trPr>
        <w:tc>
          <w:tcPr>
            <w:tcW w:w="8958" w:type="dxa"/>
            <w:tcBorders>
              <w:top w:val="nil"/>
              <w:left w:val="nil"/>
              <w:bottom w:val="nil"/>
              <w:right w:val="nil"/>
            </w:tcBorders>
            <w:shd w:val="clear" w:color="000000" w:fill="17375E"/>
            <w:noWrap/>
            <w:vAlign w:val="center"/>
            <w:hideMark/>
          </w:tcPr>
          <w:p w14:paraId="0F19BF4E" w14:textId="77777777" w:rsidR="00294CCF" w:rsidRPr="00BF7D90" w:rsidRDefault="00294CCF" w:rsidP="004653E2">
            <w:pPr>
              <w:spacing w:after="0" w:line="240" w:lineRule="auto"/>
              <w:rPr>
                <w:rFonts w:eastAsia="Times New Roman" w:cs="Calibri"/>
                <w:color w:val="FFFFFF"/>
                <w:szCs w:val="24"/>
                <w:lang w:eastAsia="es-CR"/>
              </w:rPr>
            </w:pPr>
            <w:r>
              <w:rPr>
                <w:rFonts w:eastAsia="Times New Roman" w:cs="Calibri"/>
                <w:color w:val="FFFFFF"/>
                <w:szCs w:val="24"/>
                <w:lang w:eastAsia="es-CR"/>
              </w:rPr>
              <w:t>Ley de Creación</w:t>
            </w:r>
            <w:r w:rsidRPr="00BF7D90">
              <w:rPr>
                <w:rFonts w:eastAsia="Times New Roman" w:cs="Calibri"/>
                <w:color w:val="FFFFFF"/>
                <w:szCs w:val="24"/>
                <w:lang w:eastAsia="es-CR"/>
              </w:rPr>
              <w:t>:</w:t>
            </w:r>
          </w:p>
        </w:tc>
      </w:tr>
    </w:tbl>
    <w:p w14:paraId="72EAC917" w14:textId="3D4D6CFA" w:rsidR="00294CCF" w:rsidRPr="008C3150" w:rsidRDefault="008C3150" w:rsidP="008C3150">
      <w:pPr>
        <w:numPr>
          <w:ilvl w:val="0"/>
          <w:numId w:val="20"/>
        </w:numPr>
        <w:spacing w:before="120" w:after="0" w:line="240" w:lineRule="auto"/>
        <w:ind w:left="284" w:hanging="284"/>
        <w:jc w:val="left"/>
        <w:rPr>
          <w:szCs w:val="24"/>
        </w:rPr>
      </w:pPr>
      <w:r w:rsidRPr="007630E3">
        <w:rPr>
          <w:szCs w:val="24"/>
        </w:rPr>
        <w:t>Fue creada, según Ley No. 185; el 29 de julio de 1940</w:t>
      </w:r>
    </w:p>
    <w:tbl>
      <w:tblPr>
        <w:tblpPr w:leftFromText="141" w:rightFromText="141" w:vertAnchor="text" w:horzAnchor="margin" w:tblpY="209"/>
        <w:tblW w:w="8958" w:type="dxa"/>
        <w:tblCellMar>
          <w:left w:w="70" w:type="dxa"/>
          <w:right w:w="70" w:type="dxa"/>
        </w:tblCellMar>
        <w:tblLook w:val="04A0" w:firstRow="1" w:lastRow="0" w:firstColumn="1" w:lastColumn="0" w:noHBand="0" w:noVBand="1"/>
      </w:tblPr>
      <w:tblGrid>
        <w:gridCol w:w="8958"/>
      </w:tblGrid>
      <w:tr w:rsidR="00294CCF" w:rsidRPr="00BF7D90" w14:paraId="66A25344" w14:textId="77777777" w:rsidTr="004653E2">
        <w:trPr>
          <w:trHeight w:val="433"/>
        </w:trPr>
        <w:tc>
          <w:tcPr>
            <w:tcW w:w="8958" w:type="dxa"/>
            <w:tcBorders>
              <w:top w:val="nil"/>
              <w:left w:val="nil"/>
              <w:bottom w:val="nil"/>
              <w:right w:val="nil"/>
            </w:tcBorders>
            <w:shd w:val="clear" w:color="000000" w:fill="17375E"/>
            <w:noWrap/>
            <w:vAlign w:val="center"/>
            <w:hideMark/>
          </w:tcPr>
          <w:p w14:paraId="34316953" w14:textId="77777777" w:rsidR="00294CCF" w:rsidRPr="00BF7D90" w:rsidRDefault="00294CCF" w:rsidP="004653E2">
            <w:pPr>
              <w:spacing w:after="0" w:line="240" w:lineRule="auto"/>
              <w:rPr>
                <w:rFonts w:eastAsia="Times New Roman" w:cs="Calibri"/>
                <w:color w:val="FFFFFF"/>
                <w:szCs w:val="24"/>
                <w:lang w:eastAsia="es-CR"/>
              </w:rPr>
            </w:pPr>
            <w:r>
              <w:rPr>
                <w:rFonts w:eastAsia="Times New Roman" w:cs="Calibri"/>
                <w:color w:val="FFFFFF"/>
                <w:szCs w:val="24"/>
                <w:lang w:eastAsia="es-CR"/>
              </w:rPr>
              <w:t>Fines de creación de la Entidad</w:t>
            </w:r>
            <w:r w:rsidRPr="00BF7D90">
              <w:rPr>
                <w:rFonts w:eastAsia="Times New Roman" w:cs="Calibri"/>
                <w:color w:val="FFFFFF"/>
                <w:szCs w:val="24"/>
                <w:lang w:eastAsia="es-CR"/>
              </w:rPr>
              <w:t>:</w:t>
            </w:r>
          </w:p>
        </w:tc>
      </w:tr>
    </w:tbl>
    <w:p w14:paraId="3B0C2CC2" w14:textId="2456416A" w:rsidR="00294CCF" w:rsidRPr="008C3150" w:rsidRDefault="008C3150" w:rsidP="008C3150">
      <w:pPr>
        <w:numPr>
          <w:ilvl w:val="0"/>
          <w:numId w:val="20"/>
        </w:numPr>
        <w:spacing w:before="120" w:after="0" w:line="240" w:lineRule="auto"/>
        <w:ind w:left="284" w:right="-91" w:hanging="284"/>
        <w:rPr>
          <w:szCs w:val="24"/>
        </w:rPr>
      </w:pPr>
      <w:r w:rsidRPr="007630E3">
        <w:rPr>
          <w:szCs w:val="24"/>
        </w:rPr>
        <w:t>La Municipalidad de Buenos Aires es un gobierno local efectivo y transparente en la administración de las necesidades, intereses y los servicios a la ciudadanía, siendo garante del desarrollo humano inclusivo y sustentable para el cantón.</w:t>
      </w:r>
    </w:p>
    <w:tbl>
      <w:tblPr>
        <w:tblpPr w:leftFromText="141" w:rightFromText="141" w:vertAnchor="text" w:horzAnchor="margin" w:tblpY="209"/>
        <w:tblW w:w="8958" w:type="dxa"/>
        <w:tblCellMar>
          <w:left w:w="70" w:type="dxa"/>
          <w:right w:w="70" w:type="dxa"/>
        </w:tblCellMar>
        <w:tblLook w:val="04A0" w:firstRow="1" w:lastRow="0" w:firstColumn="1" w:lastColumn="0" w:noHBand="0" w:noVBand="1"/>
      </w:tblPr>
      <w:tblGrid>
        <w:gridCol w:w="8958"/>
      </w:tblGrid>
      <w:tr w:rsidR="00294CCF" w:rsidRPr="00BF7D90" w14:paraId="5FE4B768" w14:textId="77777777" w:rsidTr="004653E2">
        <w:trPr>
          <w:trHeight w:val="420"/>
        </w:trPr>
        <w:tc>
          <w:tcPr>
            <w:tcW w:w="8958" w:type="dxa"/>
            <w:tcBorders>
              <w:top w:val="nil"/>
              <w:left w:val="nil"/>
              <w:bottom w:val="nil"/>
              <w:right w:val="nil"/>
            </w:tcBorders>
            <w:shd w:val="clear" w:color="000000" w:fill="17375E"/>
            <w:noWrap/>
            <w:vAlign w:val="center"/>
            <w:hideMark/>
          </w:tcPr>
          <w:p w14:paraId="5D1DEB9C" w14:textId="77777777" w:rsidR="00294CCF" w:rsidRPr="00BF7D90" w:rsidRDefault="00294CCF" w:rsidP="004653E2">
            <w:pPr>
              <w:spacing w:after="0" w:line="240" w:lineRule="auto"/>
              <w:rPr>
                <w:rFonts w:eastAsia="Times New Roman" w:cs="Calibri"/>
                <w:color w:val="FFFFFF"/>
                <w:szCs w:val="24"/>
                <w:lang w:eastAsia="es-CR"/>
              </w:rPr>
            </w:pPr>
            <w:r>
              <w:rPr>
                <w:rFonts w:eastAsia="Times New Roman" w:cs="Calibri"/>
                <w:color w:val="FFFFFF"/>
                <w:szCs w:val="24"/>
                <w:lang w:eastAsia="es-CR"/>
              </w:rPr>
              <w:t>Objetivos de la Entidad</w:t>
            </w:r>
            <w:r w:rsidRPr="00BF7D90">
              <w:rPr>
                <w:rFonts w:eastAsia="Times New Roman" w:cs="Calibri"/>
                <w:color w:val="FFFFFF"/>
                <w:szCs w:val="24"/>
                <w:lang w:eastAsia="es-CR"/>
              </w:rPr>
              <w:t>:</w:t>
            </w:r>
          </w:p>
        </w:tc>
      </w:tr>
    </w:tbl>
    <w:p w14:paraId="140EB45F" w14:textId="77777777" w:rsidR="008C3150" w:rsidRPr="007630E3" w:rsidRDefault="008C3150" w:rsidP="008C3150">
      <w:pPr>
        <w:numPr>
          <w:ilvl w:val="0"/>
          <w:numId w:val="21"/>
        </w:numPr>
        <w:shd w:val="clear" w:color="auto" w:fill="FFFFFF"/>
        <w:tabs>
          <w:tab w:val="clear" w:pos="720"/>
        </w:tabs>
        <w:spacing w:before="120" w:after="120" w:line="240" w:lineRule="auto"/>
        <w:ind w:left="284" w:hanging="284"/>
        <w:textAlignment w:val="baseline"/>
        <w:rPr>
          <w:szCs w:val="24"/>
        </w:rPr>
      </w:pPr>
      <w:r w:rsidRPr="007630E3">
        <w:rPr>
          <w:szCs w:val="24"/>
        </w:rPr>
        <w:t>Planificar, ejecutar y promover, el conjunto de acciones necesarias, orientadas a proporcionar a la ciudadanía un ambiente socioeconómico y cultural adecuados para la atención de sus necesidades vitales en los aspectos de vivienda, salubridad, comercialización, educación, ecología, seguridad, deportes, recreación, planificación urbana y transporte, administrando racionalmente los tributos municipales, priorizando los gastos, con transparencia publica, generando actividades, proyectos y obras enmarcados en los presupuestos institucionales, planes operativos y la escala de prioridades.</w:t>
      </w:r>
    </w:p>
    <w:p w14:paraId="132A4AA9" w14:textId="77777777" w:rsidR="008C3150" w:rsidRPr="007630E3" w:rsidRDefault="008C3150" w:rsidP="008C3150">
      <w:pPr>
        <w:numPr>
          <w:ilvl w:val="0"/>
          <w:numId w:val="21"/>
        </w:numPr>
        <w:shd w:val="clear" w:color="auto" w:fill="FFFFFF"/>
        <w:tabs>
          <w:tab w:val="clear" w:pos="720"/>
        </w:tabs>
        <w:spacing w:after="120" w:line="240" w:lineRule="auto"/>
        <w:ind w:left="284" w:hanging="284"/>
        <w:textAlignment w:val="baseline"/>
        <w:rPr>
          <w:szCs w:val="24"/>
        </w:rPr>
      </w:pPr>
      <w:r w:rsidRPr="007630E3">
        <w:rPr>
          <w:szCs w:val="24"/>
        </w:rPr>
        <w:t>Estimular e institucionalizar la participación responsable de la población en la gestión municipal, fomentando el trabajo comunal y dando opción al ejercicio de libre iniciativa individual y colectiva, en función a los Planes de Desarrollo Local Participativo y concertado.</w:t>
      </w:r>
    </w:p>
    <w:p w14:paraId="5D22D61A" w14:textId="5E7DDA75" w:rsidR="00294CCF" w:rsidRPr="008C3150" w:rsidRDefault="008C3150" w:rsidP="008C3150">
      <w:pPr>
        <w:numPr>
          <w:ilvl w:val="0"/>
          <w:numId w:val="21"/>
        </w:numPr>
        <w:shd w:val="clear" w:color="auto" w:fill="FFFFFF"/>
        <w:tabs>
          <w:tab w:val="clear" w:pos="720"/>
        </w:tabs>
        <w:spacing w:after="120" w:line="240" w:lineRule="auto"/>
        <w:ind w:left="284" w:hanging="284"/>
        <w:textAlignment w:val="baseline"/>
        <w:rPr>
          <w:szCs w:val="24"/>
        </w:rPr>
      </w:pPr>
      <w:r w:rsidRPr="007630E3">
        <w:rPr>
          <w:szCs w:val="24"/>
        </w:rPr>
        <w:t>Garantizar la prestación de los servicios institucionales mediante la utilización de los mejores métodos de trabajo, con el acompañamiento de las mejores herramientas y con el concurso del talento humano capacitado según las competencias requeridas para cada puesto en cada proceso, con el propósito fundamental de alcanzar los más altos estándares de calidad.</w:t>
      </w:r>
    </w:p>
    <w:tbl>
      <w:tblPr>
        <w:tblpPr w:leftFromText="141" w:rightFromText="141" w:vertAnchor="text" w:horzAnchor="margin" w:tblpY="209"/>
        <w:tblW w:w="8958" w:type="dxa"/>
        <w:tblCellMar>
          <w:left w:w="70" w:type="dxa"/>
          <w:right w:w="70" w:type="dxa"/>
        </w:tblCellMar>
        <w:tblLook w:val="04A0" w:firstRow="1" w:lastRow="0" w:firstColumn="1" w:lastColumn="0" w:noHBand="0" w:noVBand="1"/>
      </w:tblPr>
      <w:tblGrid>
        <w:gridCol w:w="8958"/>
      </w:tblGrid>
      <w:tr w:rsidR="00294CCF" w:rsidRPr="00BF7D90" w14:paraId="724903E0" w14:textId="77777777" w:rsidTr="004653E2">
        <w:trPr>
          <w:trHeight w:val="433"/>
        </w:trPr>
        <w:tc>
          <w:tcPr>
            <w:tcW w:w="8958" w:type="dxa"/>
            <w:tcBorders>
              <w:top w:val="nil"/>
              <w:left w:val="nil"/>
              <w:bottom w:val="nil"/>
              <w:right w:val="nil"/>
            </w:tcBorders>
            <w:shd w:val="clear" w:color="000000" w:fill="17375E"/>
            <w:noWrap/>
            <w:vAlign w:val="center"/>
            <w:hideMark/>
          </w:tcPr>
          <w:p w14:paraId="1C7C9411" w14:textId="77777777" w:rsidR="00294CCF" w:rsidRPr="00BF7D90" w:rsidRDefault="00294CCF" w:rsidP="004653E2">
            <w:pPr>
              <w:spacing w:after="0" w:line="240" w:lineRule="auto"/>
              <w:rPr>
                <w:rFonts w:eastAsia="Times New Roman" w:cs="Calibri"/>
                <w:color w:val="FFFFFF"/>
                <w:szCs w:val="24"/>
                <w:lang w:eastAsia="es-CR"/>
              </w:rPr>
            </w:pPr>
            <w:r w:rsidRPr="001F6CBB">
              <w:rPr>
                <w:rFonts w:eastAsia="Times New Roman" w:cs="Calibri"/>
                <w:color w:val="FFFFFF"/>
                <w:szCs w:val="24"/>
                <w:lang w:eastAsia="es-CR"/>
              </w:rPr>
              <w:t>Domicilio y forma legal de la entidad, y jurisdicción en que opera:</w:t>
            </w:r>
          </w:p>
        </w:tc>
      </w:tr>
    </w:tbl>
    <w:p w14:paraId="1B608690" w14:textId="77777777" w:rsidR="008C3150" w:rsidRPr="007630E3" w:rsidRDefault="008C3150" w:rsidP="008C3150">
      <w:pPr>
        <w:numPr>
          <w:ilvl w:val="0"/>
          <w:numId w:val="20"/>
        </w:numPr>
        <w:spacing w:before="120" w:after="120" w:line="240" w:lineRule="auto"/>
        <w:ind w:left="284" w:right="-91" w:hanging="284"/>
        <w:rPr>
          <w:szCs w:val="24"/>
        </w:rPr>
      </w:pPr>
      <w:r w:rsidRPr="007630E3">
        <w:rPr>
          <w:szCs w:val="24"/>
        </w:rPr>
        <w:t xml:space="preserve">Domicilio: Provincia de Puntarenas, Cantón Buenos Aires, Distrito Nº 1. Buenos Aires. </w:t>
      </w:r>
    </w:p>
    <w:p w14:paraId="6116FEA1" w14:textId="77777777" w:rsidR="008C3150" w:rsidRPr="007630E3" w:rsidRDefault="008C3150" w:rsidP="008C3150">
      <w:pPr>
        <w:numPr>
          <w:ilvl w:val="0"/>
          <w:numId w:val="20"/>
        </w:numPr>
        <w:spacing w:after="120" w:line="240" w:lineRule="auto"/>
        <w:ind w:left="284" w:right="-91" w:hanging="284"/>
        <w:rPr>
          <w:szCs w:val="24"/>
        </w:rPr>
      </w:pPr>
      <w:r w:rsidRPr="007630E3">
        <w:rPr>
          <w:szCs w:val="24"/>
        </w:rPr>
        <w:t xml:space="preserve">Forma legal de la entidad: Corresponde al Sector Municipal o Gobierno Local. </w:t>
      </w:r>
    </w:p>
    <w:p w14:paraId="4046F3BE" w14:textId="2F44A74D" w:rsidR="00294CCF" w:rsidRPr="008C3150" w:rsidRDefault="008C3150" w:rsidP="00294CCF">
      <w:pPr>
        <w:numPr>
          <w:ilvl w:val="0"/>
          <w:numId w:val="20"/>
        </w:numPr>
        <w:spacing w:after="0" w:line="240" w:lineRule="auto"/>
        <w:ind w:left="284" w:right="-93" w:hanging="284"/>
        <w:rPr>
          <w:szCs w:val="24"/>
        </w:rPr>
      </w:pPr>
      <w:r w:rsidRPr="007630E3">
        <w:rPr>
          <w:szCs w:val="24"/>
        </w:rPr>
        <w:t>Jurisdicción en que opera: Es en el Cantón III de la Provincia de Puntarenas denominado legamente como Buenos Aires, cuenta con una extensión de 2 382,61 Kms², y está conformado por nueve (9) distritos, cuya cabecera lleva el mismo nombre del Cantón. Sus límites son: Al Este con Talamanca y Coto Brus, al Oeste con Pérez Zeledón, al Norte con Talamanca y Pérez Zeledón y al Sur con Osa y Coto Brus.</w:t>
      </w:r>
    </w:p>
    <w:tbl>
      <w:tblPr>
        <w:tblpPr w:leftFromText="141" w:rightFromText="141" w:vertAnchor="text" w:horzAnchor="margin" w:tblpY="209"/>
        <w:tblW w:w="8958" w:type="dxa"/>
        <w:tblCellMar>
          <w:left w:w="70" w:type="dxa"/>
          <w:right w:w="70" w:type="dxa"/>
        </w:tblCellMar>
        <w:tblLook w:val="04A0" w:firstRow="1" w:lastRow="0" w:firstColumn="1" w:lastColumn="0" w:noHBand="0" w:noVBand="1"/>
      </w:tblPr>
      <w:tblGrid>
        <w:gridCol w:w="8958"/>
      </w:tblGrid>
      <w:tr w:rsidR="00294CCF" w:rsidRPr="00BF7D90" w14:paraId="40F44AE8" w14:textId="77777777" w:rsidTr="004653E2">
        <w:trPr>
          <w:trHeight w:val="420"/>
        </w:trPr>
        <w:tc>
          <w:tcPr>
            <w:tcW w:w="8958" w:type="dxa"/>
            <w:tcBorders>
              <w:top w:val="nil"/>
              <w:left w:val="nil"/>
              <w:bottom w:val="nil"/>
              <w:right w:val="nil"/>
            </w:tcBorders>
            <w:shd w:val="clear" w:color="000000" w:fill="17375E"/>
            <w:noWrap/>
            <w:vAlign w:val="center"/>
            <w:hideMark/>
          </w:tcPr>
          <w:p w14:paraId="7D01966A" w14:textId="77777777" w:rsidR="00294CCF" w:rsidRPr="00BD742A" w:rsidRDefault="00294CCF" w:rsidP="004653E2">
            <w:pPr>
              <w:spacing w:after="0" w:line="240" w:lineRule="auto"/>
              <w:rPr>
                <w:rFonts w:cs="Calibri"/>
                <w:color w:val="FFFFFF"/>
              </w:rPr>
            </w:pPr>
            <w:r w:rsidRPr="00CF06B8">
              <w:rPr>
                <w:rFonts w:eastAsia="Times New Roman" w:cs="Calibri"/>
                <w:color w:val="FFFFFF"/>
                <w:szCs w:val="24"/>
                <w:lang w:eastAsia="es-CR"/>
              </w:rPr>
              <w:t>Descripción de la naturaleza de las operaciones de la entidad, y principales actividades:</w:t>
            </w:r>
          </w:p>
        </w:tc>
      </w:tr>
    </w:tbl>
    <w:p w14:paraId="5355B81D" w14:textId="77777777" w:rsidR="008C3150" w:rsidRPr="007630E3" w:rsidRDefault="008C3150" w:rsidP="008C3150">
      <w:pPr>
        <w:spacing w:before="120" w:after="120" w:line="240" w:lineRule="auto"/>
        <w:rPr>
          <w:szCs w:val="24"/>
        </w:rPr>
      </w:pPr>
      <w:r w:rsidRPr="007630E3">
        <w:rPr>
          <w:szCs w:val="24"/>
        </w:rPr>
        <w:t>La Municipalidad es el gobierno municipal con personería jurídica estatal, con patrimonio propio y personalidad, y capacidad jurídica plenas para ejecutar todo tipo de actos y contratos necesarios para cumplir sus fines, promover y administrar los intereses de las personas vecinas residentes en el Cantón.</w:t>
      </w:r>
    </w:p>
    <w:p w14:paraId="1A851EC2" w14:textId="77777777" w:rsidR="008C3150" w:rsidRPr="007630E3" w:rsidRDefault="008C3150" w:rsidP="008C3150">
      <w:pPr>
        <w:spacing w:after="120" w:line="240" w:lineRule="auto"/>
        <w:rPr>
          <w:szCs w:val="24"/>
        </w:rPr>
      </w:pPr>
      <w:r w:rsidRPr="007630E3">
        <w:rPr>
          <w:szCs w:val="24"/>
        </w:rPr>
        <w:t xml:space="preserve"> De acuerdo con el Artículo 4 del Código Municipal, la Municipalidad posee la autonomía política, administrativa y financiera que le confiere la Constitución Política y dentro de sus atribuciones se incluyen las siguientes:</w:t>
      </w:r>
    </w:p>
    <w:p w14:paraId="7FF9B35E" w14:textId="77777777" w:rsidR="008C3150" w:rsidRPr="007630E3" w:rsidRDefault="008C3150" w:rsidP="008C3150">
      <w:pPr>
        <w:spacing w:after="120" w:line="240" w:lineRule="auto"/>
        <w:ind w:left="284" w:hanging="284"/>
        <w:rPr>
          <w:szCs w:val="24"/>
        </w:rPr>
      </w:pPr>
      <w:r w:rsidRPr="007630E3">
        <w:rPr>
          <w:szCs w:val="24"/>
        </w:rPr>
        <w:t>a) </w:t>
      </w:r>
      <w:r w:rsidRPr="007630E3">
        <w:rPr>
          <w:szCs w:val="24"/>
        </w:rPr>
        <w:tab/>
        <w:t>Dictar los reglamentos autónomos de organización y de servicio, así como cualquier otra disposición que autorice el ordenamiento jurídico.</w:t>
      </w:r>
    </w:p>
    <w:p w14:paraId="29631483" w14:textId="77777777" w:rsidR="008C3150" w:rsidRPr="007630E3" w:rsidRDefault="008C3150" w:rsidP="008C3150">
      <w:pPr>
        <w:spacing w:after="120" w:line="240" w:lineRule="auto"/>
        <w:ind w:left="284" w:hanging="284"/>
        <w:rPr>
          <w:szCs w:val="24"/>
        </w:rPr>
      </w:pPr>
      <w:r w:rsidRPr="007630E3">
        <w:rPr>
          <w:szCs w:val="24"/>
        </w:rPr>
        <w:t>b)  Acordar sus presupuestos y ejecutarlos.</w:t>
      </w:r>
    </w:p>
    <w:p w14:paraId="5916A6B4" w14:textId="77777777" w:rsidR="008C3150" w:rsidRPr="007630E3" w:rsidRDefault="008C3150" w:rsidP="008C3150">
      <w:pPr>
        <w:spacing w:after="120" w:line="240" w:lineRule="auto"/>
        <w:ind w:left="284" w:hanging="284"/>
        <w:rPr>
          <w:szCs w:val="24"/>
        </w:rPr>
      </w:pPr>
      <w:r w:rsidRPr="007630E3">
        <w:rPr>
          <w:szCs w:val="24"/>
        </w:rPr>
        <w:t>c)  Administrar y prestar los servicios públicos municipales, así como velar por su vigilancia y control.</w:t>
      </w:r>
    </w:p>
    <w:p w14:paraId="55061B4F" w14:textId="77777777" w:rsidR="008C3150" w:rsidRPr="007630E3" w:rsidRDefault="008C3150" w:rsidP="008C3150">
      <w:pPr>
        <w:spacing w:after="120" w:line="240" w:lineRule="auto"/>
        <w:ind w:left="284" w:hanging="284"/>
        <w:rPr>
          <w:szCs w:val="24"/>
        </w:rPr>
      </w:pPr>
      <w:r w:rsidRPr="007630E3">
        <w:rPr>
          <w:szCs w:val="24"/>
        </w:rPr>
        <w:t>d)  Aprobar las tasas, los precios y las contribuciones municipales, así como proponer los proyectos de tarifas de impuestos municipales.</w:t>
      </w:r>
    </w:p>
    <w:p w14:paraId="66529052" w14:textId="77777777" w:rsidR="008C3150" w:rsidRPr="007630E3" w:rsidRDefault="008C3150" w:rsidP="008C3150">
      <w:pPr>
        <w:spacing w:after="120" w:line="240" w:lineRule="auto"/>
        <w:ind w:left="284" w:hanging="284"/>
        <w:rPr>
          <w:szCs w:val="24"/>
        </w:rPr>
      </w:pPr>
      <w:r w:rsidRPr="007630E3">
        <w:rPr>
          <w:szCs w:val="24"/>
        </w:rPr>
        <w:t>e) </w:t>
      </w:r>
      <w:r w:rsidRPr="007630E3">
        <w:rPr>
          <w:szCs w:val="24"/>
        </w:rPr>
        <w:tab/>
        <w:t>Percibir y administrar, en su carácter de administración tributaria, los tributos y demás ingresos municipales.</w:t>
      </w:r>
    </w:p>
    <w:p w14:paraId="087785D7" w14:textId="77777777" w:rsidR="008C3150" w:rsidRPr="007630E3" w:rsidRDefault="008C3150" w:rsidP="008C3150">
      <w:pPr>
        <w:spacing w:after="120" w:line="240" w:lineRule="auto"/>
        <w:ind w:left="284" w:hanging="284"/>
        <w:rPr>
          <w:szCs w:val="24"/>
        </w:rPr>
      </w:pPr>
      <w:r w:rsidRPr="007630E3">
        <w:rPr>
          <w:szCs w:val="24"/>
        </w:rPr>
        <w:t>f)  Concertar, con personas o entidades nacionales o extranjeras, pactos, convenios o contratos necesarios para el cumplimiento de sus funciones.</w:t>
      </w:r>
    </w:p>
    <w:p w14:paraId="6C5639BB" w14:textId="77777777" w:rsidR="008C3150" w:rsidRPr="007630E3" w:rsidRDefault="008C3150" w:rsidP="008C3150">
      <w:pPr>
        <w:spacing w:after="120" w:line="240" w:lineRule="auto"/>
        <w:ind w:left="284" w:hanging="284"/>
        <w:rPr>
          <w:szCs w:val="24"/>
        </w:rPr>
      </w:pPr>
      <w:r w:rsidRPr="007630E3">
        <w:rPr>
          <w:szCs w:val="24"/>
        </w:rPr>
        <w:t>g) </w:t>
      </w:r>
      <w:r w:rsidRPr="007630E3">
        <w:rPr>
          <w:szCs w:val="24"/>
        </w:rPr>
        <w:tab/>
        <w:t>Convocar al municipio a consultas populares, para los fines establecidos en esta Ley y su Reglamento.</w:t>
      </w:r>
    </w:p>
    <w:p w14:paraId="42F1B6B7" w14:textId="77777777" w:rsidR="008C3150" w:rsidRPr="007630E3" w:rsidRDefault="008C3150" w:rsidP="008C3150">
      <w:pPr>
        <w:spacing w:after="120" w:line="240" w:lineRule="auto"/>
        <w:ind w:left="284" w:hanging="284"/>
        <w:rPr>
          <w:szCs w:val="24"/>
        </w:rPr>
      </w:pPr>
      <w:r w:rsidRPr="007630E3">
        <w:rPr>
          <w:szCs w:val="24"/>
        </w:rPr>
        <w:t>h) </w:t>
      </w:r>
      <w:r w:rsidRPr="007630E3">
        <w:rPr>
          <w:szCs w:val="24"/>
        </w:rPr>
        <w:tab/>
        <w:t>Promover un desarrollo local participativo e inclusivo, que contemple la diversidad de las necesidades y los intereses de la población.</w:t>
      </w:r>
    </w:p>
    <w:p w14:paraId="4DFB6704" w14:textId="77777777" w:rsidR="008C3150" w:rsidRPr="007630E3" w:rsidRDefault="008C3150" w:rsidP="008C3150">
      <w:pPr>
        <w:spacing w:after="120" w:line="240" w:lineRule="auto"/>
        <w:ind w:left="284" w:hanging="284"/>
        <w:rPr>
          <w:szCs w:val="24"/>
        </w:rPr>
      </w:pPr>
      <w:r w:rsidRPr="007630E3">
        <w:rPr>
          <w:szCs w:val="24"/>
        </w:rPr>
        <w:t xml:space="preserve">i)  </w:t>
      </w:r>
      <w:r w:rsidRPr="007630E3">
        <w:rPr>
          <w:szCs w:val="24"/>
        </w:rPr>
        <w:tab/>
        <w:t>Impulsar políticas públicas locales para la promoción de los derechos y la ciudadanía de las mujeres, en favor de la igualdad y la equidad de género.</w:t>
      </w:r>
    </w:p>
    <w:p w14:paraId="76EA7D6B" w14:textId="77777777" w:rsidR="00294CCF" w:rsidRPr="00E778C1" w:rsidRDefault="00294CCF" w:rsidP="00294CCF"/>
    <w:p w14:paraId="1965131A" w14:textId="1335B50C" w:rsidR="00E778C1" w:rsidRDefault="00E778C1" w:rsidP="00756E35">
      <w:pPr>
        <w:pStyle w:val="Ttulo1"/>
      </w:pPr>
      <w:bookmarkStart w:id="3" w:name="_Toc173245175"/>
      <w:r w:rsidRPr="00E778C1">
        <w:t>NOTAS NORMAS INTERNACIONALES DE CONTABILIDAD PARA EL SECTOR PUBLICO COSTARRICENSE</w:t>
      </w:r>
      <w:bookmarkEnd w:id="3"/>
    </w:p>
    <w:p w14:paraId="0E6F53A5" w14:textId="77777777" w:rsidR="00756E35" w:rsidRPr="00756E35" w:rsidRDefault="00756E35" w:rsidP="00756E35"/>
    <w:p w14:paraId="44207989" w14:textId="5C6FF4B0" w:rsidR="00E778C1" w:rsidRPr="00E778C1" w:rsidRDefault="00E778C1" w:rsidP="00E778C1">
      <w:pPr>
        <w:pStyle w:val="Ttulo2"/>
        <w:spacing w:after="240"/>
      </w:pPr>
      <w:bookmarkStart w:id="4" w:name="_Toc173245176"/>
      <w:r>
        <w:t>DECLARACIÓN DE CUMPLIMIENTO</w:t>
      </w:r>
      <w:bookmarkEnd w:id="4"/>
    </w:p>
    <w:p w14:paraId="452F13AC" w14:textId="790E12B4" w:rsidR="00E778C1" w:rsidRDefault="00E778C1" w:rsidP="00E778C1">
      <w:r>
        <w:t xml:space="preserve">El Ente Contable aplica lo dispuesto en la Resolución DCN-0003-2022 con respecto a la Afirmación Explicita e Incondicional sobre el cumplimiento de las NICSP, y de las Políticas Contables Generales. </w:t>
      </w:r>
    </w:p>
    <w:p w14:paraId="7324FC0E" w14:textId="77777777" w:rsidR="00694299" w:rsidRPr="00694299" w:rsidRDefault="00E778C1" w:rsidP="00694299">
      <w:r>
        <w:t xml:space="preserve"> </w:t>
      </w:r>
      <w:r w:rsidR="00801B52">
        <w:t>I</w:t>
      </w:r>
      <w:r w:rsidR="00801B52" w:rsidRPr="00801B52">
        <w:t xml:space="preserve">ndicar SI o NO </w:t>
      </w:r>
      <w:r w:rsidR="00E044CF">
        <w:t xml:space="preserve">de acuerdo a las condiciones de la entidad: </w:t>
      </w:r>
      <w:r w:rsidR="00BF6D99">
        <w:fldChar w:fldCharType="begin"/>
      </w:r>
      <w:r w:rsidR="00BF6D99">
        <w:instrText xml:space="preserve"> LINK </w:instrText>
      </w:r>
      <w:r w:rsidR="00323752">
        <w:instrText xml:space="preserve">Excel.SheetMacroEnabled.12 "D:\\MORAVIA\\INSUMOS\\NOTAS 2024\\Formato_Notas_EEFF_Vinculadas_2024\\XXXXX_PXX_202X_Anexo_Estado_Notas_Contables_Vinculadas.xlsm" NICSP_1!F16C3:F16C4 </w:instrText>
      </w:r>
      <w:r w:rsidR="00BF6D99">
        <w:instrText xml:space="preserve">\a \f 4 \h  \* MERGEFORMAT </w:instrText>
      </w:r>
      <w:r w:rsidR="00BF6D99">
        <w:fldChar w:fldCharType="separate"/>
      </w:r>
    </w:p>
    <w:tbl>
      <w:tblPr>
        <w:tblW w:w="0" w:type="auto"/>
        <w:tblCellMar>
          <w:left w:w="70" w:type="dxa"/>
          <w:right w:w="70" w:type="dxa"/>
        </w:tblCellMar>
        <w:tblLook w:val="04A0" w:firstRow="1" w:lastRow="0" w:firstColumn="1" w:lastColumn="0" w:noHBand="0" w:noVBand="1"/>
      </w:tblPr>
      <w:tblGrid>
        <w:gridCol w:w="2233"/>
        <w:gridCol w:w="1712"/>
      </w:tblGrid>
      <w:tr w:rsidR="00694299" w:rsidRPr="00694299" w14:paraId="30C8994A" w14:textId="77777777" w:rsidTr="00694299">
        <w:trPr>
          <w:divId w:val="1177378186"/>
          <w:trHeight w:val="410"/>
        </w:trPr>
        <w:tc>
          <w:tcPr>
            <w:tcW w:w="2233" w:type="dxa"/>
            <w:tcBorders>
              <w:top w:val="single" w:sz="8" w:space="0" w:color="auto"/>
              <w:left w:val="single" w:sz="8" w:space="0" w:color="auto"/>
              <w:bottom w:val="single" w:sz="8" w:space="0" w:color="auto"/>
              <w:right w:val="single" w:sz="8" w:space="0" w:color="auto"/>
            </w:tcBorders>
            <w:shd w:val="clear" w:color="000000" w:fill="17365D"/>
            <w:noWrap/>
            <w:vAlign w:val="center"/>
            <w:hideMark/>
          </w:tcPr>
          <w:p w14:paraId="0D3B04F2" w14:textId="113681FA"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APLICACIÓN</w:t>
            </w:r>
          </w:p>
        </w:tc>
        <w:tc>
          <w:tcPr>
            <w:tcW w:w="1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96446"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NO</w:t>
            </w:r>
          </w:p>
        </w:tc>
      </w:tr>
    </w:tbl>
    <w:p w14:paraId="782A8926" w14:textId="4BCA384C" w:rsidR="00E778C1" w:rsidRDefault="00BF6D99" w:rsidP="00BF6D99">
      <w:pPr>
        <w:spacing w:before="240"/>
      </w:pPr>
      <w:r>
        <w:fldChar w:fldCharType="end"/>
      </w:r>
      <w:r w:rsidR="00E778C1">
        <w:t>En caso de que el Ente cumpla con lo establecido en la Resolución DCN-0003-2022 conforme a los plazos y ya este al 100% de la aplicación de las NICSP y las Políticas Contables Generales,</w:t>
      </w:r>
      <w:r w:rsidR="00E778C1">
        <w:rPr>
          <w:rFonts w:ascii="Arial" w:hAnsi="Arial" w:cs="Arial"/>
        </w:rPr>
        <w:t> </w:t>
      </w:r>
      <w:r w:rsidR="00E778C1">
        <w:t>debe llenar y presentar los datos de la siguiente afirmaci</w:t>
      </w:r>
      <w:r w:rsidR="00E778C1">
        <w:rPr>
          <w:rFonts w:cs="Arial Narrow"/>
        </w:rPr>
        <w:t>ó</w:t>
      </w:r>
      <w:r w:rsidR="00E778C1">
        <w:t xml:space="preserve">n: </w:t>
      </w:r>
    </w:p>
    <w:p w14:paraId="70B0030B" w14:textId="77777777" w:rsidR="00082399" w:rsidRDefault="00082399" w:rsidP="00082399">
      <w:pPr>
        <w:rPr>
          <w:b/>
          <w:u w:val="single"/>
        </w:rPr>
      </w:pPr>
      <w:r>
        <w:rPr>
          <w:b/>
          <w:u w:val="single"/>
        </w:rPr>
        <w:t>Revelación</w:t>
      </w:r>
    </w:p>
    <w:p w14:paraId="2B71AB4B" w14:textId="23979D30" w:rsidR="00082399" w:rsidRPr="007630E3" w:rsidRDefault="00082399" w:rsidP="00082399">
      <w:pPr>
        <w:spacing w:line="240" w:lineRule="auto"/>
        <w:rPr>
          <w:b/>
          <w:bCs/>
          <w:szCs w:val="24"/>
        </w:rPr>
      </w:pPr>
      <w:r w:rsidRPr="007630E3">
        <w:rPr>
          <w:b/>
          <w:bCs/>
          <w:szCs w:val="24"/>
        </w:rPr>
        <w:t xml:space="preserve">La MUNICIPALIDAD DE BUENOS AIRES, cedula jurídica 3-014-042112, y cuyo Representante Legal es MÁSTER </w:t>
      </w:r>
      <w:r w:rsidR="004653E2">
        <w:rPr>
          <w:b/>
          <w:bCs/>
          <w:szCs w:val="24"/>
        </w:rPr>
        <w:t>ANA MARGOTH MORA NAVARRO</w:t>
      </w:r>
      <w:r w:rsidRPr="007630E3">
        <w:rPr>
          <w:b/>
          <w:bCs/>
          <w:szCs w:val="24"/>
        </w:rPr>
        <w:t>, port</w:t>
      </w:r>
      <w:r w:rsidR="004653E2">
        <w:rPr>
          <w:b/>
          <w:bCs/>
          <w:szCs w:val="24"/>
        </w:rPr>
        <w:t>ador de la cédula de identidad 1-0280-0849</w:t>
      </w:r>
      <w:r w:rsidRPr="007630E3">
        <w:rPr>
          <w:b/>
          <w:bCs/>
          <w:szCs w:val="24"/>
        </w:rPr>
        <w:t>, CERTIFICA QUE: Declara que la Municipalidad se encuentra en el periodo de transición a las NICSP. En esta transición a las NICSP de base de devengo la Municipalidad de Buenos Aires aprovechó las exenciones transitorias concedidas en varias normas. En consecuencia, no puede hacer una declaración explicita y sin reservas de conformidad con las NICSP de base de acumulación (o devengo) al preparar sus estados financieros de transición conforme a las NICSP para este periodo sobre el que se informa. La Municipalidad de Buenos Aires pretende reconocer o medir todos sus activos, pasivos, ingresos y gastos en el año 2024.</w:t>
      </w:r>
    </w:p>
    <w:p w14:paraId="2FA2643F" w14:textId="77777777" w:rsidR="00DF7432" w:rsidRDefault="00DF7432" w:rsidP="00E778C1">
      <w:pPr>
        <w:rPr>
          <w:b/>
          <w:u w:val="single"/>
        </w:rPr>
      </w:pPr>
    </w:p>
    <w:p w14:paraId="36C73F6C" w14:textId="12022E69" w:rsidR="00756E35" w:rsidRDefault="00756E35" w:rsidP="00756E35">
      <w:pPr>
        <w:pStyle w:val="Ttulo2"/>
      </w:pPr>
      <w:bookmarkStart w:id="5" w:name="_Toc173245177"/>
      <w:r>
        <w:t>CERTIFICACIÓN COMISIÓN DE NICSP INSTITUCIONAL</w:t>
      </w:r>
      <w:bookmarkEnd w:id="5"/>
    </w:p>
    <w:p w14:paraId="1D73726E" w14:textId="03EC93A4" w:rsidR="003441B0" w:rsidRDefault="00756E35" w:rsidP="003441B0">
      <w:pPr>
        <w:spacing w:before="240"/>
      </w:pPr>
      <w:r w:rsidRPr="00756E35">
        <w:t>(Certificación o (Constancia – Sector Municipal) de conformación de Comisión NICSP Institucional). La Comisión de NICSP Institucional es obligatoria y debe ser coordinada por el Director Administrativo y Financiero e integrada por jefes de departamentos que generan la información para la elaboración de los EEFF.</w:t>
      </w:r>
      <w:bookmarkStart w:id="6" w:name="_Hlk120618070"/>
    </w:p>
    <w:p w14:paraId="25E8AA62" w14:textId="7771B4DA" w:rsidR="00DF7432" w:rsidRDefault="00DF7432" w:rsidP="003441B0">
      <w:pPr>
        <w:spacing w:before="240"/>
        <w:rPr>
          <w:rFonts w:eastAsia="Calibri" w:cs="Times New Roman"/>
        </w:rPr>
      </w:pPr>
    </w:p>
    <w:p w14:paraId="6034038F" w14:textId="514CC5CA" w:rsidR="00801B52" w:rsidRDefault="00801B52" w:rsidP="003441B0">
      <w:pPr>
        <w:spacing w:before="240"/>
        <w:rPr>
          <w:rFonts w:eastAsia="Calibri" w:cs="Times New Roman"/>
        </w:rPr>
      </w:pPr>
    </w:p>
    <w:p w14:paraId="7591B60A" w14:textId="6C99EC93" w:rsidR="00B4271E" w:rsidRPr="00BC7C5B" w:rsidRDefault="004653E2" w:rsidP="00332C30">
      <w:pPr>
        <w:pBdr>
          <w:top w:val="single" w:sz="4" w:space="0" w:color="auto"/>
          <w:left w:val="single" w:sz="4" w:space="4" w:color="auto"/>
          <w:bottom w:val="single" w:sz="4" w:space="1" w:color="auto"/>
          <w:right w:val="single" w:sz="4" w:space="4" w:color="auto"/>
        </w:pBdr>
        <w:jc w:val="center"/>
        <w:rPr>
          <w:b/>
          <w:bCs/>
        </w:rPr>
      </w:pPr>
      <w:bookmarkStart w:id="7" w:name="_Hlk41839088"/>
      <w:bookmarkEnd w:id="6"/>
      <w:r>
        <w:rPr>
          <w:b/>
          <w:bCs/>
        </w:rPr>
        <w:t>C</w:t>
      </w:r>
      <w:r w:rsidR="00B4271E" w:rsidRPr="00BC7C5B">
        <w:rPr>
          <w:b/>
          <w:bCs/>
        </w:rPr>
        <w:t>ertificación o Constancia:</w:t>
      </w:r>
    </w:p>
    <w:p w14:paraId="769BFF57" w14:textId="01F825F4" w:rsidR="00082399" w:rsidRDefault="00082399" w:rsidP="00082399">
      <w:pPr>
        <w:pBdr>
          <w:top w:val="single" w:sz="4" w:space="0" w:color="auto"/>
          <w:left w:val="single" w:sz="4" w:space="4" w:color="auto"/>
          <w:bottom w:val="single" w:sz="4" w:space="1" w:color="auto"/>
          <w:right w:val="single" w:sz="4" w:space="4" w:color="auto"/>
        </w:pBdr>
        <w:spacing w:line="240" w:lineRule="auto"/>
      </w:pPr>
      <w:bookmarkStart w:id="8" w:name="_Hlk115886974"/>
      <w:r w:rsidRPr="00BC7C5B">
        <w:t>La</w:t>
      </w:r>
      <w:r>
        <w:t xml:space="preserve"> Municipalidad de Buenos Aires</w:t>
      </w:r>
      <w:r w:rsidRPr="00BC7C5B">
        <w:t xml:space="preserve">, cedula jurídica </w:t>
      </w:r>
      <w:r w:rsidRPr="00FB0D9A">
        <w:rPr>
          <w:b/>
        </w:rPr>
        <w:t>3-014-042112</w:t>
      </w:r>
      <w:r w:rsidRPr="00BC7C5B">
        <w:t>, y cuyo Representante Legal es</w:t>
      </w:r>
      <w:r>
        <w:t xml:space="preserve"> </w:t>
      </w:r>
      <w:r w:rsidRPr="00FB0D9A">
        <w:rPr>
          <w:b/>
        </w:rPr>
        <w:t xml:space="preserve">MÁSTER </w:t>
      </w:r>
      <w:r w:rsidR="004653E2">
        <w:rPr>
          <w:b/>
        </w:rPr>
        <w:t>ANA MARGOTH MORA NAVARRO</w:t>
      </w:r>
      <w:r w:rsidRPr="00BC7C5B">
        <w:t xml:space="preserve">, portadora de la cedula de identidad </w:t>
      </w:r>
      <w:bookmarkEnd w:id="8"/>
      <w:r w:rsidR="004653E2">
        <w:rPr>
          <w:b/>
        </w:rPr>
        <w:t>1-0280-0849</w:t>
      </w:r>
      <w:r>
        <w:t>.</w:t>
      </w:r>
    </w:p>
    <w:p w14:paraId="599F9CC6" w14:textId="77777777" w:rsidR="00082399" w:rsidRPr="00BC7C5B" w:rsidRDefault="00082399" w:rsidP="00082399">
      <w:pPr>
        <w:pBdr>
          <w:top w:val="single" w:sz="4" w:space="0" w:color="auto"/>
          <w:left w:val="single" w:sz="4" w:space="4" w:color="auto"/>
          <w:bottom w:val="single" w:sz="4" w:space="1" w:color="auto"/>
          <w:right w:val="single" w:sz="4" w:space="4" w:color="auto"/>
        </w:pBdr>
        <w:spacing w:line="240" w:lineRule="auto"/>
        <w:rPr>
          <w:u w:val="single"/>
        </w:rPr>
      </w:pPr>
      <w:r w:rsidRPr="00BC7C5B">
        <w:t xml:space="preserve">CERTIFICA QUE: </w:t>
      </w:r>
      <w:r w:rsidRPr="00BC7C5B">
        <w:rPr>
          <w:u w:val="single"/>
        </w:rPr>
        <w:t xml:space="preserve">la entidad cuenta con una Comisión de NICSP, y que de acuerdo con el oficio </w:t>
      </w:r>
      <w:r w:rsidRPr="000917D8">
        <w:rPr>
          <w:u w:val="single"/>
        </w:rPr>
        <w:t>AMBA</w:t>
      </w:r>
      <w:r w:rsidRPr="000917D8">
        <w:rPr>
          <w:b/>
          <w:u w:val="single"/>
        </w:rPr>
        <w:t>-</w:t>
      </w:r>
      <w:r>
        <w:rPr>
          <w:b/>
          <w:u w:val="single"/>
        </w:rPr>
        <w:t>554</w:t>
      </w:r>
      <w:r w:rsidRPr="000917D8">
        <w:rPr>
          <w:b/>
          <w:u w:val="single"/>
        </w:rPr>
        <w:t>-202</w:t>
      </w:r>
      <w:r>
        <w:rPr>
          <w:b/>
          <w:u w:val="single"/>
        </w:rPr>
        <w:t>3</w:t>
      </w:r>
      <w:r w:rsidRPr="00FB0D9A">
        <w:t xml:space="preserve"> </w:t>
      </w:r>
      <w:r w:rsidRPr="00BC7C5B">
        <w:rPr>
          <w:u w:val="single"/>
        </w:rPr>
        <w:t xml:space="preserve">de fecha </w:t>
      </w:r>
      <w:r w:rsidRPr="000917D8">
        <w:rPr>
          <w:u w:val="single"/>
        </w:rPr>
        <w:t>1</w:t>
      </w:r>
      <w:r>
        <w:rPr>
          <w:u w:val="single"/>
        </w:rPr>
        <w:t>0</w:t>
      </w:r>
      <w:r w:rsidRPr="000917D8">
        <w:rPr>
          <w:u w:val="single"/>
        </w:rPr>
        <w:t xml:space="preserve"> de o</w:t>
      </w:r>
      <w:r>
        <w:rPr>
          <w:u w:val="single"/>
        </w:rPr>
        <w:t>ctubre</w:t>
      </w:r>
      <w:r w:rsidRPr="000917D8">
        <w:rPr>
          <w:u w:val="single"/>
        </w:rPr>
        <w:t xml:space="preserve"> de 202</w:t>
      </w:r>
      <w:r>
        <w:rPr>
          <w:u w:val="single"/>
        </w:rPr>
        <w:t>3,</w:t>
      </w:r>
      <w:r w:rsidRPr="000917D8">
        <w:rPr>
          <w:u w:val="single"/>
        </w:rPr>
        <w:t xml:space="preserve"> </w:t>
      </w:r>
      <w:r w:rsidRPr="00BC7C5B">
        <w:rPr>
          <w:u w:val="single"/>
        </w:rPr>
        <w:t>se oficializó.</w:t>
      </w:r>
    </w:p>
    <w:p w14:paraId="7F0DE413" w14:textId="3EBCFB69" w:rsidR="00B4271E" w:rsidRPr="00BC7C5B" w:rsidRDefault="00B4271E" w:rsidP="00DF7432">
      <w:pPr>
        <w:pBdr>
          <w:top w:val="single" w:sz="4" w:space="0" w:color="auto"/>
          <w:left w:val="single" w:sz="4" w:space="4" w:color="auto"/>
          <w:bottom w:val="single" w:sz="4" w:space="1" w:color="auto"/>
          <w:right w:val="single" w:sz="4" w:space="4" w:color="auto"/>
        </w:pBdr>
        <w:spacing w:line="240" w:lineRule="auto"/>
      </w:pPr>
      <w:r w:rsidRPr="00BC7C5B">
        <w:t>Los Integrantes son:</w:t>
      </w:r>
    </w:p>
    <w:p w14:paraId="0D018CC4" w14:textId="77777777" w:rsidR="005D05BD" w:rsidRPr="00BC7C5B" w:rsidRDefault="005D05BD" w:rsidP="005D05BD">
      <w:pPr>
        <w:pBdr>
          <w:top w:val="single" w:sz="4" w:space="0" w:color="auto"/>
          <w:left w:val="single" w:sz="4" w:space="4" w:color="auto"/>
          <w:bottom w:val="single" w:sz="4" w:space="1" w:color="auto"/>
          <w:right w:val="single" w:sz="4" w:space="4" w:color="auto"/>
        </w:pBdr>
        <w:spacing w:line="240" w:lineRule="auto"/>
      </w:pPr>
      <w:r w:rsidRPr="000917D8">
        <w:rPr>
          <w:b/>
          <w:bCs/>
        </w:rPr>
        <w:t>Gerardo Cordero Arguedas, Contador Municipal.</w:t>
      </w:r>
      <w:r w:rsidRPr="00BC7C5B">
        <w:t xml:space="preserve"> Coordinador de la Comisión.</w:t>
      </w:r>
    </w:p>
    <w:p w14:paraId="0F820250" w14:textId="77777777" w:rsidR="005D05BD" w:rsidRDefault="005D05BD" w:rsidP="005D05BD">
      <w:pPr>
        <w:pBdr>
          <w:top w:val="single" w:sz="4" w:space="0" w:color="auto"/>
          <w:left w:val="single" w:sz="4" w:space="4" w:color="auto"/>
          <w:bottom w:val="single" w:sz="4" w:space="1" w:color="auto"/>
          <w:right w:val="single" w:sz="4" w:space="4" w:color="auto"/>
        </w:pBdr>
        <w:spacing w:line="276" w:lineRule="auto"/>
        <w:rPr>
          <w:b/>
          <w:bCs/>
        </w:rPr>
      </w:pPr>
      <w:r w:rsidRPr="00BC7C5B">
        <w:rPr>
          <w:b/>
          <w:bCs/>
        </w:rPr>
        <w:t>Integrantes</w:t>
      </w:r>
      <w:r>
        <w:rPr>
          <w:b/>
          <w:bCs/>
        </w:rPr>
        <w:t>:</w:t>
      </w:r>
    </w:p>
    <w:p w14:paraId="099F7901" w14:textId="77777777" w:rsidR="005D05BD" w:rsidRDefault="005D05BD" w:rsidP="005D05BD">
      <w:pPr>
        <w:pBdr>
          <w:top w:val="single" w:sz="4" w:space="0" w:color="auto"/>
          <w:left w:val="single" w:sz="4" w:space="4" w:color="auto"/>
          <w:bottom w:val="single" w:sz="4" w:space="1" w:color="auto"/>
          <w:right w:val="single" w:sz="4" w:space="4" w:color="auto"/>
        </w:pBdr>
        <w:spacing w:after="0" w:line="240" w:lineRule="auto"/>
      </w:pPr>
      <w:r>
        <w:t>Karol Zapata Zapata, Vice Alcaldesa.</w:t>
      </w:r>
    </w:p>
    <w:p w14:paraId="45F1C8D8" w14:textId="77777777" w:rsidR="005D05BD" w:rsidRDefault="005D05BD" w:rsidP="005D05BD">
      <w:pPr>
        <w:pBdr>
          <w:top w:val="single" w:sz="4" w:space="0" w:color="auto"/>
          <w:left w:val="single" w:sz="4" w:space="4" w:color="auto"/>
          <w:bottom w:val="single" w:sz="4" w:space="1" w:color="auto"/>
          <w:right w:val="single" w:sz="4" w:space="4" w:color="auto"/>
        </w:pBdr>
        <w:spacing w:after="0" w:line="240" w:lineRule="auto"/>
        <w:rPr>
          <w:bCs/>
        </w:rPr>
      </w:pPr>
      <w:r w:rsidRPr="00FB0D9A">
        <w:rPr>
          <w:bCs/>
        </w:rPr>
        <w:t xml:space="preserve">Maribel Pérez Monge, </w:t>
      </w:r>
      <w:r>
        <w:rPr>
          <w:bCs/>
        </w:rPr>
        <w:t xml:space="preserve">Encargada Departamento </w:t>
      </w:r>
      <w:r w:rsidRPr="00FB0D9A">
        <w:rPr>
          <w:bCs/>
        </w:rPr>
        <w:t>Administra</w:t>
      </w:r>
      <w:r>
        <w:rPr>
          <w:bCs/>
        </w:rPr>
        <w:t>ción</w:t>
      </w:r>
      <w:r w:rsidRPr="00FB0D9A">
        <w:rPr>
          <w:bCs/>
        </w:rPr>
        <w:t xml:space="preserve"> Tributaria</w:t>
      </w:r>
    </w:p>
    <w:p w14:paraId="67B2EA1F" w14:textId="77777777" w:rsidR="005D05BD" w:rsidRDefault="005D05BD" w:rsidP="005D05BD">
      <w:pPr>
        <w:pBdr>
          <w:top w:val="single" w:sz="4" w:space="0" w:color="auto"/>
          <w:left w:val="single" w:sz="4" w:space="4" w:color="auto"/>
          <w:bottom w:val="single" w:sz="4" w:space="1" w:color="auto"/>
          <w:right w:val="single" w:sz="4" w:space="4" w:color="auto"/>
        </w:pBdr>
        <w:spacing w:after="0" w:line="240" w:lineRule="auto"/>
      </w:pPr>
      <w:r w:rsidRPr="00FB0D9A">
        <w:rPr>
          <w:bCs/>
        </w:rPr>
        <w:t>Esteban Fallas Vidal, Tesorería</w:t>
      </w:r>
    </w:p>
    <w:p w14:paraId="55CC976E" w14:textId="77777777" w:rsidR="005D05BD" w:rsidRDefault="005D05BD" w:rsidP="005D05BD">
      <w:pPr>
        <w:pBdr>
          <w:top w:val="single" w:sz="4" w:space="0" w:color="auto"/>
          <w:left w:val="single" w:sz="4" w:space="4" w:color="auto"/>
          <w:bottom w:val="single" w:sz="4" w:space="1" w:color="auto"/>
          <w:right w:val="single" w:sz="4" w:space="4" w:color="auto"/>
        </w:pBdr>
        <w:spacing w:after="0" w:line="240" w:lineRule="auto"/>
        <w:rPr>
          <w:bCs/>
        </w:rPr>
      </w:pPr>
      <w:r>
        <w:rPr>
          <w:bCs/>
        </w:rPr>
        <w:t>Natalia Saldaña Delgado</w:t>
      </w:r>
      <w:r w:rsidRPr="00FB0D9A">
        <w:rPr>
          <w:bCs/>
        </w:rPr>
        <w:t xml:space="preserve">, </w:t>
      </w:r>
      <w:r>
        <w:rPr>
          <w:bCs/>
        </w:rPr>
        <w:t>Departamento de TI</w:t>
      </w:r>
    </w:p>
    <w:p w14:paraId="24DA2D94" w14:textId="77777777" w:rsidR="005D05BD" w:rsidRDefault="005D05BD" w:rsidP="005D05BD">
      <w:pPr>
        <w:pBdr>
          <w:top w:val="single" w:sz="4" w:space="0" w:color="auto"/>
          <w:left w:val="single" w:sz="4" w:space="4" w:color="auto"/>
          <w:bottom w:val="single" w:sz="4" w:space="1" w:color="auto"/>
          <w:right w:val="single" w:sz="4" w:space="4" w:color="auto"/>
        </w:pBdr>
        <w:spacing w:after="0" w:line="240" w:lineRule="auto"/>
        <w:rPr>
          <w:bCs/>
        </w:rPr>
      </w:pPr>
      <w:r>
        <w:rPr>
          <w:bCs/>
        </w:rPr>
        <w:t>Edylma Granados Bermúdez</w:t>
      </w:r>
    </w:p>
    <w:p w14:paraId="61135FB4" w14:textId="77777777" w:rsidR="005D05BD" w:rsidRDefault="005D05BD" w:rsidP="005D05BD">
      <w:pPr>
        <w:pBdr>
          <w:top w:val="single" w:sz="4" w:space="0" w:color="auto"/>
          <w:left w:val="single" w:sz="4" w:space="4" w:color="auto"/>
          <w:bottom w:val="single" w:sz="4" w:space="1" w:color="auto"/>
          <w:right w:val="single" w:sz="4" w:space="4" w:color="auto"/>
        </w:pBdr>
        <w:spacing w:after="0" w:line="240" w:lineRule="auto"/>
        <w:rPr>
          <w:bCs/>
        </w:rPr>
      </w:pPr>
      <w:r>
        <w:rPr>
          <w:bCs/>
        </w:rPr>
        <w:t>Limsay Acuña López</w:t>
      </w:r>
    </w:p>
    <w:p w14:paraId="3F4B6D88" w14:textId="77777777" w:rsidR="005D05BD" w:rsidRDefault="005D05BD" w:rsidP="005D05BD">
      <w:pPr>
        <w:pBdr>
          <w:top w:val="single" w:sz="4" w:space="0" w:color="auto"/>
          <w:left w:val="single" w:sz="4" w:space="4" w:color="auto"/>
          <w:bottom w:val="single" w:sz="4" w:space="1" w:color="auto"/>
          <w:right w:val="single" w:sz="4" w:space="4" w:color="auto"/>
        </w:pBdr>
        <w:spacing w:after="0" w:line="240" w:lineRule="auto"/>
        <w:rPr>
          <w:bCs/>
        </w:rPr>
      </w:pPr>
      <w:r>
        <w:rPr>
          <w:bCs/>
        </w:rPr>
        <w:t>Andrea Espinoza Arauz, Encargada Recursos Humanos</w:t>
      </w:r>
    </w:p>
    <w:p w14:paraId="4BB5DEE2" w14:textId="77777777" w:rsidR="005D05BD" w:rsidRDefault="005D05BD" w:rsidP="005D05BD">
      <w:pPr>
        <w:pBdr>
          <w:top w:val="single" w:sz="4" w:space="0" w:color="auto"/>
          <w:left w:val="single" w:sz="4" w:space="4" w:color="auto"/>
          <w:bottom w:val="single" w:sz="4" w:space="1" w:color="auto"/>
          <w:right w:val="single" w:sz="4" w:space="4" w:color="auto"/>
        </w:pBdr>
        <w:spacing w:after="0" w:line="240" w:lineRule="auto"/>
        <w:rPr>
          <w:bCs/>
        </w:rPr>
      </w:pPr>
      <w:r w:rsidRPr="00FB0D9A">
        <w:rPr>
          <w:bCs/>
        </w:rPr>
        <w:t xml:space="preserve">Albán Serrano Siles, </w:t>
      </w:r>
      <w:r>
        <w:rPr>
          <w:bCs/>
        </w:rPr>
        <w:t xml:space="preserve">Encargado </w:t>
      </w:r>
      <w:r w:rsidRPr="00FB0D9A">
        <w:rPr>
          <w:bCs/>
        </w:rPr>
        <w:t>Prov</w:t>
      </w:r>
      <w:r>
        <w:rPr>
          <w:bCs/>
        </w:rPr>
        <w:t xml:space="preserve">eeduría </w:t>
      </w:r>
      <w:r w:rsidRPr="00FB0D9A">
        <w:rPr>
          <w:bCs/>
        </w:rPr>
        <w:t>Municipal</w:t>
      </w:r>
    </w:p>
    <w:p w14:paraId="1B347432" w14:textId="77777777" w:rsidR="005D05BD" w:rsidRDefault="005D05BD" w:rsidP="005D05BD">
      <w:pPr>
        <w:pBdr>
          <w:top w:val="single" w:sz="4" w:space="0" w:color="auto"/>
          <w:left w:val="single" w:sz="4" w:space="4" w:color="auto"/>
          <w:bottom w:val="single" w:sz="4" w:space="1" w:color="auto"/>
          <w:right w:val="single" w:sz="4" w:space="4" w:color="auto"/>
        </w:pBdr>
        <w:spacing w:after="0" w:line="240" w:lineRule="auto"/>
        <w:rPr>
          <w:bCs/>
        </w:rPr>
      </w:pPr>
      <w:r>
        <w:rPr>
          <w:bCs/>
        </w:rPr>
        <w:t>Graciela Núñez Marchena.</w:t>
      </w:r>
    </w:p>
    <w:p w14:paraId="465A71D0" w14:textId="77777777" w:rsidR="005D05BD" w:rsidRDefault="005D05BD" w:rsidP="005D05BD">
      <w:pPr>
        <w:pBdr>
          <w:top w:val="single" w:sz="4" w:space="0" w:color="auto"/>
          <w:left w:val="single" w:sz="4" w:space="4" w:color="auto"/>
          <w:bottom w:val="single" w:sz="4" w:space="1" w:color="auto"/>
          <w:right w:val="single" w:sz="4" w:space="4" w:color="auto"/>
        </w:pBdr>
        <w:spacing w:after="0" w:line="240" w:lineRule="auto"/>
        <w:rPr>
          <w:bCs/>
        </w:rPr>
      </w:pPr>
      <w:r w:rsidRPr="00FB0D9A">
        <w:rPr>
          <w:bCs/>
        </w:rPr>
        <w:t xml:space="preserve">Johnny Vidal Atencio, Asesor </w:t>
      </w:r>
      <w:r>
        <w:rPr>
          <w:bCs/>
        </w:rPr>
        <w:t>Legal</w:t>
      </w:r>
    </w:p>
    <w:p w14:paraId="16CD15A0" w14:textId="77777777" w:rsidR="005D05BD" w:rsidRDefault="005D05BD" w:rsidP="005D05BD">
      <w:pPr>
        <w:pBdr>
          <w:top w:val="single" w:sz="4" w:space="0" w:color="auto"/>
          <w:left w:val="single" w:sz="4" w:space="4" w:color="auto"/>
          <w:bottom w:val="single" w:sz="4" w:space="1" w:color="auto"/>
          <w:right w:val="single" w:sz="4" w:space="4" w:color="auto"/>
        </w:pBdr>
        <w:spacing w:after="0" w:line="240" w:lineRule="auto"/>
        <w:rPr>
          <w:bCs/>
        </w:rPr>
      </w:pPr>
      <w:r>
        <w:rPr>
          <w:bCs/>
        </w:rPr>
        <w:t>J</w:t>
      </w:r>
      <w:r w:rsidRPr="00FB0D9A">
        <w:rPr>
          <w:bCs/>
        </w:rPr>
        <w:t>eannette Chaves Ortiz, Presupuesto</w:t>
      </w:r>
    </w:p>
    <w:p w14:paraId="54C36587" w14:textId="77777777" w:rsidR="005D05BD" w:rsidRDefault="005D05BD" w:rsidP="005D05BD">
      <w:pPr>
        <w:pBdr>
          <w:top w:val="single" w:sz="4" w:space="0" w:color="auto"/>
          <w:left w:val="single" w:sz="4" w:space="4" w:color="auto"/>
          <w:bottom w:val="single" w:sz="4" w:space="1" w:color="auto"/>
          <w:right w:val="single" w:sz="4" w:space="4" w:color="auto"/>
        </w:pBdr>
        <w:spacing w:after="0" w:line="240" w:lineRule="auto"/>
        <w:rPr>
          <w:bCs/>
        </w:rPr>
      </w:pPr>
      <w:r>
        <w:rPr>
          <w:bCs/>
        </w:rPr>
        <w:t>Freddy Jiménez Torres</w:t>
      </w:r>
      <w:r w:rsidRPr="00FB0D9A">
        <w:rPr>
          <w:bCs/>
        </w:rPr>
        <w:t>.</w:t>
      </w:r>
      <w:r>
        <w:rPr>
          <w:bCs/>
        </w:rPr>
        <w:t xml:space="preserve"> Coordinador General Gestión Vial</w:t>
      </w:r>
    </w:p>
    <w:p w14:paraId="671AD40B" w14:textId="77777777" w:rsidR="005D05BD" w:rsidRPr="00C276CA" w:rsidRDefault="005D05BD" w:rsidP="005D05BD">
      <w:pPr>
        <w:pBdr>
          <w:top w:val="single" w:sz="4" w:space="0" w:color="auto"/>
          <w:left w:val="single" w:sz="4" w:space="4" w:color="auto"/>
          <w:bottom w:val="single" w:sz="4" w:space="1" w:color="auto"/>
          <w:right w:val="single" w:sz="4" w:space="4" w:color="auto"/>
        </w:pBdr>
        <w:spacing w:after="0" w:line="240" w:lineRule="auto"/>
        <w:rPr>
          <w:bCs/>
        </w:rPr>
      </w:pPr>
      <w:r w:rsidRPr="00C276CA">
        <w:rPr>
          <w:bCs/>
        </w:rPr>
        <w:t xml:space="preserve">Jorge Morales Black, </w:t>
      </w:r>
      <w:r>
        <w:rPr>
          <w:bCs/>
        </w:rPr>
        <w:t>Desarrollo Urbano</w:t>
      </w:r>
    </w:p>
    <w:p w14:paraId="0B458856" w14:textId="77777777" w:rsidR="005D05BD" w:rsidRPr="00C276CA" w:rsidRDefault="005D05BD" w:rsidP="005D05BD">
      <w:pPr>
        <w:pBdr>
          <w:top w:val="single" w:sz="4" w:space="0" w:color="auto"/>
          <w:left w:val="single" w:sz="4" w:space="4" w:color="auto"/>
          <w:bottom w:val="single" w:sz="4" w:space="1" w:color="auto"/>
          <w:right w:val="single" w:sz="4" w:space="4" w:color="auto"/>
        </w:pBdr>
        <w:spacing w:after="0" w:line="240" w:lineRule="auto"/>
        <w:rPr>
          <w:bCs/>
        </w:rPr>
      </w:pPr>
      <w:r w:rsidRPr="00C276CA">
        <w:rPr>
          <w:bCs/>
        </w:rPr>
        <w:t>Marisol Monge Ortiz</w:t>
      </w:r>
    </w:p>
    <w:p w14:paraId="058BF2A9" w14:textId="77777777" w:rsidR="005D05BD" w:rsidRDefault="005D05BD" w:rsidP="005D05BD">
      <w:pPr>
        <w:pBdr>
          <w:top w:val="single" w:sz="4" w:space="0" w:color="auto"/>
          <w:left w:val="single" w:sz="4" w:space="4" w:color="auto"/>
          <w:bottom w:val="single" w:sz="4" w:space="1" w:color="auto"/>
          <w:right w:val="single" w:sz="4" w:space="4" w:color="auto"/>
        </w:pBdr>
        <w:spacing w:after="0" w:line="240" w:lineRule="auto"/>
        <w:rPr>
          <w:bCs/>
        </w:rPr>
      </w:pPr>
      <w:r w:rsidRPr="00C276CA">
        <w:rPr>
          <w:bCs/>
        </w:rPr>
        <w:t>Michael Piedra Maroto</w:t>
      </w:r>
    </w:p>
    <w:p w14:paraId="64E8DF56" w14:textId="77777777" w:rsidR="005D05BD" w:rsidRPr="00C276CA" w:rsidRDefault="005D05BD" w:rsidP="005D05BD">
      <w:pPr>
        <w:pBdr>
          <w:top w:val="single" w:sz="4" w:space="0" w:color="auto"/>
          <w:left w:val="single" w:sz="4" w:space="4" w:color="auto"/>
          <w:bottom w:val="single" w:sz="4" w:space="1" w:color="auto"/>
          <w:right w:val="single" w:sz="4" w:space="4" w:color="auto"/>
        </w:pBdr>
        <w:spacing w:after="0" w:line="240" w:lineRule="auto"/>
        <w:rPr>
          <w:bCs/>
        </w:rPr>
      </w:pPr>
    </w:p>
    <w:p w14:paraId="54CCCAF2" w14:textId="77777777" w:rsidR="005D05BD" w:rsidRDefault="005D05BD" w:rsidP="005D05BD">
      <w:pPr>
        <w:pBdr>
          <w:top w:val="single" w:sz="4" w:space="0" w:color="auto"/>
          <w:left w:val="single" w:sz="4" w:space="4" w:color="auto"/>
          <w:bottom w:val="single" w:sz="4" w:space="1" w:color="auto"/>
          <w:right w:val="single" w:sz="4" w:space="4" w:color="auto"/>
        </w:pBdr>
        <w:spacing w:line="276" w:lineRule="auto"/>
      </w:pPr>
      <w:r w:rsidRPr="00BC7C5B">
        <w:rPr>
          <w:b/>
          <w:bCs/>
        </w:rPr>
        <w:t>Observaciones:</w:t>
      </w:r>
      <w:r w:rsidRPr="00BC7C5B">
        <w:t xml:space="preserve"> (Principales acuerdos y logros en el periodo).</w:t>
      </w:r>
    </w:p>
    <w:p w14:paraId="4F92848C" w14:textId="77777777" w:rsidR="005D05BD" w:rsidRDefault="005D05BD" w:rsidP="005D05BD">
      <w:pPr>
        <w:pBdr>
          <w:top w:val="single" w:sz="4" w:space="0" w:color="auto"/>
          <w:left w:val="single" w:sz="4" w:space="4" w:color="auto"/>
          <w:bottom w:val="single" w:sz="4" w:space="1" w:color="auto"/>
          <w:right w:val="single" w:sz="4" w:space="4" w:color="auto"/>
        </w:pBdr>
        <w:spacing w:line="276" w:lineRule="auto"/>
      </w:pPr>
      <w:r w:rsidRPr="00FB0D9A">
        <w:t xml:space="preserve">Se han promovido reuniones con la Alcaldía Municipal para fortalecer el proceso de implementación de las NICSP y lograr avanzar en el cumplimiento de los planes de acción que corresponden a las unidades primarias de registro.  </w:t>
      </w:r>
    </w:p>
    <w:p w14:paraId="1CD2B9C3" w14:textId="1FC5B86A" w:rsidR="00AE31D6" w:rsidRPr="00BC7C5B" w:rsidRDefault="00AE31D6" w:rsidP="00B4271E">
      <w:pPr>
        <w:pBdr>
          <w:top w:val="single" w:sz="4" w:space="0" w:color="auto"/>
          <w:left w:val="single" w:sz="4" w:space="4" w:color="auto"/>
          <w:bottom w:val="single" w:sz="4" w:space="1" w:color="auto"/>
          <w:right w:val="single" w:sz="4" w:space="4" w:color="auto"/>
        </w:pBdr>
      </w:pPr>
      <w:r w:rsidRPr="00AD752F">
        <w:rPr>
          <w:b/>
        </w:rPr>
        <w:t>Nota:</w:t>
      </w:r>
      <w:r w:rsidRPr="00343AA4">
        <w:t xml:space="preserve">  La firma del </w:t>
      </w:r>
      <w:r w:rsidRPr="00AE31D6">
        <w:t xml:space="preserve">Director Administrativo -Financiero o su equivalente </w:t>
      </w:r>
      <w:r w:rsidRPr="00343AA4">
        <w:t>está incluida en las firmas del estado de notas en su conjunto.</w:t>
      </w:r>
    </w:p>
    <w:p w14:paraId="79BE5729" w14:textId="730CC5B3" w:rsidR="00B4271E" w:rsidRDefault="00B4271E">
      <w:pPr>
        <w:pStyle w:val="Ttulo4"/>
        <w:numPr>
          <w:ilvl w:val="0"/>
          <w:numId w:val="1"/>
        </w:numPr>
      </w:pPr>
      <w:bookmarkStart w:id="9" w:name="_Toc173245178"/>
      <w:bookmarkEnd w:id="7"/>
      <w:r w:rsidRPr="00B4271E">
        <w:t>Cuadro Resumen- Normativa Contable</w:t>
      </w:r>
      <w:bookmarkEnd w:id="9"/>
      <w:r w:rsidRPr="00B4271E">
        <w:t xml:space="preserve"> </w:t>
      </w:r>
    </w:p>
    <w:p w14:paraId="103C02F5" w14:textId="12379791" w:rsidR="00756E35" w:rsidRDefault="00B4271E" w:rsidP="00B4271E">
      <w:pPr>
        <w:spacing w:before="240"/>
      </w:pPr>
      <w:r w:rsidRPr="00B4271E">
        <w:t xml:space="preserve">Normas Internacionales de Contabilidad </w:t>
      </w:r>
      <w:r>
        <w:t xml:space="preserve">Sector Público) </w:t>
      </w:r>
    </w:p>
    <w:p w14:paraId="4AB60C2B" w14:textId="50BCE2BF" w:rsidR="00B4271E" w:rsidRPr="00DF7432" w:rsidRDefault="00B4271E">
      <w:pPr>
        <w:pStyle w:val="Ttulo4"/>
        <w:numPr>
          <w:ilvl w:val="0"/>
          <w:numId w:val="1"/>
        </w:numPr>
        <w:spacing w:after="240"/>
      </w:pPr>
      <w:bookmarkStart w:id="10" w:name="_Toc173245179"/>
      <w:r w:rsidRPr="00CF291B">
        <w:t>Transitorios</w:t>
      </w:r>
      <w:bookmarkEnd w:id="10"/>
    </w:p>
    <w:p w14:paraId="44FDAD28" w14:textId="087149BE" w:rsidR="00B4271E" w:rsidRDefault="00B4271E" w:rsidP="00B4271E">
      <w:r w:rsidRPr="00CF291B">
        <w:t>Para todos los efectos las Normas que tienen transitorio, y para las cuales se acoja la entidad, debe también tener un plan de acción.</w:t>
      </w:r>
    </w:p>
    <w:p w14:paraId="7D26AA61" w14:textId="4F633975" w:rsidR="00B4271E" w:rsidRDefault="00B4271E" w:rsidP="00B4271E">
      <w:pPr>
        <w:jc w:val="center"/>
      </w:pPr>
      <w:r w:rsidRPr="00A27B4B">
        <w:rPr>
          <w:noProof/>
          <w:highlight w:val="yellow"/>
          <w:lang w:eastAsia="es-CR"/>
        </w:rPr>
        <w:drawing>
          <wp:inline distT="0" distB="0" distL="0" distR="0" wp14:anchorId="2CA01ED6" wp14:editId="15CBCFB6">
            <wp:extent cx="4594860" cy="2164080"/>
            <wp:effectExtent l="0" t="0" r="0" b="0"/>
            <wp:docPr id="5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4860" cy="2164080"/>
                    </a:xfrm>
                    <a:prstGeom prst="rect">
                      <a:avLst/>
                    </a:prstGeom>
                    <a:noFill/>
                    <a:ln>
                      <a:noFill/>
                    </a:ln>
                  </pic:spPr>
                </pic:pic>
              </a:graphicData>
            </a:graphic>
          </wp:inline>
        </w:drawing>
      </w:r>
    </w:p>
    <w:p w14:paraId="0359F249" w14:textId="77777777" w:rsidR="00694299" w:rsidRPr="00694299" w:rsidRDefault="00B4271E" w:rsidP="00B4271E">
      <w:pPr>
        <w:spacing w:before="240"/>
      </w:pPr>
      <w:r w:rsidRPr="00B4271E">
        <w:t>Para la elaboración del ESFA de las Instituciones del Sector Público Costarricense usarán las políticas contables establecidas en el PGCN y podrán aplicar las disposiciones transitorias establecidas en las NICSP, para lo cual deberán informar en Nota al ESFA que han adoptado una disposición transitoria</w:t>
      </w:r>
      <w:r w:rsidR="00BF6D99">
        <w:fldChar w:fldCharType="begin"/>
      </w:r>
      <w:r w:rsidR="00BF6D99">
        <w:instrText xml:space="preserve"> LINK </w:instrText>
      </w:r>
      <w:r w:rsidR="00323752">
        <w:instrText xml:space="preserve">Excel.SheetMacroEnabled.12 "D:\\MORAVIA\\INSUMOS\\NOTAS 2024\\Formato_Notas_EEFF_Vinculadas_2024\\XXXXX_PXX_202X_Anexo_Estado_Notas_Contables_Vinculadas.xlsm" NICSP!F9C2:F49C8 </w:instrText>
      </w:r>
      <w:r w:rsidR="00BF6D99">
        <w:instrText xml:space="preserve">\a \f 4 \h  \* MERGEFORMAT </w:instrText>
      </w:r>
      <w:r w:rsidR="00BF6D99">
        <w:fldChar w:fldCharType="separate"/>
      </w:r>
    </w:p>
    <w:tbl>
      <w:tblPr>
        <w:tblW w:w="9946" w:type="dxa"/>
        <w:tblInd w:w="-577" w:type="dxa"/>
        <w:tblCellMar>
          <w:left w:w="70" w:type="dxa"/>
          <w:right w:w="70" w:type="dxa"/>
        </w:tblCellMar>
        <w:tblLook w:val="04A0" w:firstRow="1" w:lastRow="0" w:firstColumn="1" w:lastColumn="0" w:noHBand="0" w:noVBand="1"/>
      </w:tblPr>
      <w:tblGrid>
        <w:gridCol w:w="851"/>
        <w:gridCol w:w="3685"/>
        <w:gridCol w:w="1157"/>
        <w:gridCol w:w="970"/>
        <w:gridCol w:w="1059"/>
        <w:gridCol w:w="1067"/>
        <w:gridCol w:w="1157"/>
      </w:tblGrid>
      <w:tr w:rsidR="00694299" w:rsidRPr="00694299" w14:paraId="5107AF6B" w14:textId="77777777" w:rsidTr="00694299">
        <w:trPr>
          <w:divId w:val="191265739"/>
          <w:trHeight w:val="840"/>
        </w:trPr>
        <w:tc>
          <w:tcPr>
            <w:tcW w:w="4536" w:type="dxa"/>
            <w:gridSpan w:val="2"/>
            <w:tcBorders>
              <w:top w:val="single" w:sz="8" w:space="0" w:color="auto"/>
              <w:left w:val="single" w:sz="8" w:space="0" w:color="auto"/>
              <w:bottom w:val="single" w:sz="8" w:space="0" w:color="auto"/>
              <w:right w:val="single" w:sz="8" w:space="0" w:color="000000"/>
            </w:tcBorders>
            <w:shd w:val="clear" w:color="000000" w:fill="632523"/>
            <w:vAlign w:val="center"/>
            <w:hideMark/>
          </w:tcPr>
          <w:p w14:paraId="508C5E73" w14:textId="4B652C1B" w:rsidR="00694299" w:rsidRPr="00694299" w:rsidRDefault="00694299" w:rsidP="00694299">
            <w:pPr>
              <w:spacing w:after="0" w:line="240" w:lineRule="auto"/>
              <w:jc w:val="center"/>
              <w:rPr>
                <w:rFonts w:eastAsia="Times New Roman" w:cs="Calibri"/>
                <w:b/>
                <w:bCs/>
                <w:color w:val="FFFFFF"/>
                <w:sz w:val="18"/>
                <w:szCs w:val="20"/>
                <w:lang w:eastAsia="es-CR"/>
              </w:rPr>
            </w:pPr>
            <w:r w:rsidRPr="00694299">
              <w:rPr>
                <w:rFonts w:eastAsia="Times New Roman" w:cs="Calibri"/>
                <w:b/>
                <w:bCs/>
                <w:color w:val="FFFFFF"/>
                <w:sz w:val="18"/>
                <w:szCs w:val="20"/>
                <w:lang w:eastAsia="es-CR"/>
              </w:rPr>
              <w:t>NORMA</w:t>
            </w:r>
          </w:p>
        </w:tc>
        <w:tc>
          <w:tcPr>
            <w:tcW w:w="1157" w:type="dxa"/>
            <w:tcBorders>
              <w:top w:val="nil"/>
              <w:left w:val="nil"/>
              <w:bottom w:val="nil"/>
              <w:right w:val="nil"/>
            </w:tcBorders>
            <w:shd w:val="clear" w:color="000000" w:fill="632523"/>
            <w:vAlign w:val="center"/>
            <w:hideMark/>
          </w:tcPr>
          <w:p w14:paraId="34103C38" w14:textId="77777777" w:rsidR="00694299" w:rsidRPr="00694299" w:rsidRDefault="00694299" w:rsidP="00694299">
            <w:pPr>
              <w:spacing w:after="0" w:line="240" w:lineRule="auto"/>
              <w:jc w:val="center"/>
              <w:rPr>
                <w:rFonts w:eastAsia="Times New Roman" w:cs="Calibri"/>
                <w:b/>
                <w:bCs/>
                <w:color w:val="FFFFFF"/>
                <w:sz w:val="18"/>
                <w:szCs w:val="20"/>
                <w:lang w:eastAsia="es-CR"/>
              </w:rPr>
            </w:pPr>
            <w:r w:rsidRPr="00694299">
              <w:rPr>
                <w:rFonts w:eastAsia="Times New Roman" w:cs="Calibri"/>
                <w:b/>
                <w:bCs/>
                <w:color w:val="FFFFFF"/>
                <w:sz w:val="18"/>
                <w:szCs w:val="20"/>
                <w:lang w:eastAsia="es-CR"/>
              </w:rPr>
              <w:t>NORMA TRANSITORIO</w:t>
            </w:r>
          </w:p>
        </w:tc>
        <w:tc>
          <w:tcPr>
            <w:tcW w:w="970" w:type="dxa"/>
            <w:tcBorders>
              <w:top w:val="nil"/>
              <w:left w:val="nil"/>
              <w:bottom w:val="nil"/>
              <w:right w:val="nil"/>
            </w:tcBorders>
            <w:shd w:val="clear" w:color="000000" w:fill="632523"/>
            <w:vAlign w:val="center"/>
            <w:hideMark/>
          </w:tcPr>
          <w:p w14:paraId="6DE2ED08" w14:textId="77777777" w:rsidR="00694299" w:rsidRPr="00694299" w:rsidRDefault="00694299" w:rsidP="00694299">
            <w:pPr>
              <w:spacing w:after="0" w:line="240" w:lineRule="auto"/>
              <w:jc w:val="center"/>
              <w:rPr>
                <w:rFonts w:eastAsia="Times New Roman" w:cs="Calibri"/>
                <w:b/>
                <w:bCs/>
                <w:color w:val="FFFFFF"/>
                <w:sz w:val="18"/>
                <w:lang w:eastAsia="es-CR"/>
              </w:rPr>
            </w:pPr>
            <w:r w:rsidRPr="00694299">
              <w:rPr>
                <w:rFonts w:eastAsia="Times New Roman" w:cs="Calibri"/>
                <w:b/>
                <w:bCs/>
                <w:color w:val="FFFFFF"/>
                <w:sz w:val="18"/>
                <w:lang w:eastAsia="es-CR"/>
              </w:rPr>
              <w:t>FECHA</w:t>
            </w:r>
          </w:p>
        </w:tc>
        <w:tc>
          <w:tcPr>
            <w:tcW w:w="1059" w:type="dxa"/>
            <w:tcBorders>
              <w:top w:val="nil"/>
              <w:left w:val="nil"/>
              <w:bottom w:val="nil"/>
              <w:right w:val="nil"/>
            </w:tcBorders>
            <w:shd w:val="clear" w:color="632523" w:fill="632523"/>
            <w:vAlign w:val="center"/>
            <w:hideMark/>
          </w:tcPr>
          <w:p w14:paraId="35AC510E" w14:textId="77777777" w:rsidR="00694299" w:rsidRPr="00694299" w:rsidRDefault="00694299" w:rsidP="00694299">
            <w:pPr>
              <w:spacing w:after="0" w:line="240" w:lineRule="auto"/>
              <w:jc w:val="center"/>
              <w:rPr>
                <w:rFonts w:eastAsia="Times New Roman" w:cs="Calibri"/>
                <w:b/>
                <w:bCs/>
                <w:color w:val="FFFFFF"/>
                <w:sz w:val="18"/>
                <w:szCs w:val="20"/>
                <w:lang w:eastAsia="es-CR"/>
              </w:rPr>
            </w:pPr>
            <w:r w:rsidRPr="00694299">
              <w:rPr>
                <w:rFonts w:eastAsia="Times New Roman" w:cs="Calibri"/>
                <w:b/>
                <w:bCs/>
                <w:color w:val="FFFFFF"/>
                <w:sz w:val="18"/>
                <w:szCs w:val="20"/>
                <w:lang w:eastAsia="es-CR"/>
              </w:rPr>
              <w:t>APLICACIÓN</w:t>
            </w:r>
          </w:p>
        </w:tc>
        <w:tc>
          <w:tcPr>
            <w:tcW w:w="1067" w:type="dxa"/>
            <w:tcBorders>
              <w:top w:val="nil"/>
              <w:left w:val="nil"/>
              <w:bottom w:val="nil"/>
              <w:right w:val="nil"/>
            </w:tcBorders>
            <w:shd w:val="clear" w:color="632523" w:fill="632523"/>
            <w:vAlign w:val="center"/>
            <w:hideMark/>
          </w:tcPr>
          <w:p w14:paraId="2EAE5762" w14:textId="77777777" w:rsidR="00694299" w:rsidRPr="00694299" w:rsidRDefault="00694299" w:rsidP="00694299">
            <w:pPr>
              <w:spacing w:after="0" w:line="240" w:lineRule="auto"/>
              <w:jc w:val="center"/>
              <w:rPr>
                <w:rFonts w:eastAsia="Times New Roman" w:cs="Calibri"/>
                <w:b/>
                <w:bCs/>
                <w:color w:val="FFFFFF"/>
                <w:sz w:val="18"/>
                <w:szCs w:val="20"/>
                <w:lang w:eastAsia="es-CR"/>
              </w:rPr>
            </w:pPr>
            <w:r w:rsidRPr="00694299">
              <w:rPr>
                <w:rFonts w:eastAsia="Times New Roman" w:cs="Calibri"/>
                <w:b/>
                <w:bCs/>
                <w:color w:val="FFFFFF"/>
                <w:sz w:val="18"/>
                <w:szCs w:val="20"/>
                <w:lang w:eastAsia="es-CR"/>
              </w:rPr>
              <w:t>GRADO APLICACION</w:t>
            </w:r>
          </w:p>
        </w:tc>
        <w:tc>
          <w:tcPr>
            <w:tcW w:w="1157" w:type="dxa"/>
            <w:tcBorders>
              <w:top w:val="nil"/>
              <w:left w:val="nil"/>
              <w:bottom w:val="nil"/>
              <w:right w:val="nil"/>
            </w:tcBorders>
            <w:shd w:val="clear" w:color="632523" w:fill="632523"/>
            <w:vAlign w:val="center"/>
            <w:hideMark/>
          </w:tcPr>
          <w:p w14:paraId="715B2783" w14:textId="77777777" w:rsidR="00694299" w:rsidRPr="00694299" w:rsidRDefault="00694299" w:rsidP="00694299">
            <w:pPr>
              <w:spacing w:after="0" w:line="240" w:lineRule="auto"/>
              <w:jc w:val="center"/>
              <w:rPr>
                <w:rFonts w:eastAsia="Times New Roman" w:cs="Calibri"/>
                <w:b/>
                <w:bCs/>
                <w:color w:val="FFFFFF"/>
                <w:sz w:val="18"/>
                <w:szCs w:val="20"/>
                <w:lang w:eastAsia="es-CR"/>
              </w:rPr>
            </w:pPr>
            <w:r w:rsidRPr="00694299">
              <w:rPr>
                <w:rFonts w:eastAsia="Times New Roman" w:cs="Calibri"/>
                <w:b/>
                <w:bCs/>
                <w:color w:val="FFFFFF"/>
                <w:sz w:val="18"/>
                <w:szCs w:val="20"/>
                <w:lang w:eastAsia="es-CR"/>
              </w:rPr>
              <w:t>APLICACIÓN TRANSITORIO</w:t>
            </w:r>
          </w:p>
        </w:tc>
      </w:tr>
      <w:tr w:rsidR="00694299" w:rsidRPr="00694299" w14:paraId="3D20BB45" w14:textId="77777777" w:rsidTr="00694299">
        <w:trPr>
          <w:divId w:val="191265739"/>
          <w:trHeight w:val="324"/>
        </w:trPr>
        <w:tc>
          <w:tcPr>
            <w:tcW w:w="851" w:type="dxa"/>
            <w:tcBorders>
              <w:top w:val="nil"/>
              <w:left w:val="single" w:sz="8" w:space="0" w:color="auto"/>
              <w:bottom w:val="single" w:sz="8" w:space="0" w:color="auto"/>
              <w:right w:val="nil"/>
            </w:tcBorders>
            <w:shd w:val="clear" w:color="auto" w:fill="auto"/>
            <w:vAlign w:val="center"/>
            <w:hideMark/>
          </w:tcPr>
          <w:p w14:paraId="2EE18C31"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1</w:t>
            </w:r>
          </w:p>
        </w:tc>
        <w:tc>
          <w:tcPr>
            <w:tcW w:w="3685" w:type="dxa"/>
            <w:tcBorders>
              <w:top w:val="nil"/>
              <w:left w:val="single" w:sz="8" w:space="0" w:color="auto"/>
              <w:bottom w:val="single" w:sz="8" w:space="0" w:color="auto"/>
              <w:right w:val="nil"/>
            </w:tcBorders>
            <w:shd w:val="clear" w:color="auto" w:fill="auto"/>
            <w:vAlign w:val="center"/>
            <w:hideMark/>
          </w:tcPr>
          <w:p w14:paraId="1DCBF1FE"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Presentación Estados Financieros</w:t>
            </w:r>
          </w:p>
        </w:tc>
        <w:tc>
          <w:tcPr>
            <w:tcW w:w="1157" w:type="dxa"/>
            <w:tcBorders>
              <w:top w:val="single" w:sz="8" w:space="0" w:color="auto"/>
              <w:left w:val="single" w:sz="8" w:space="0" w:color="auto"/>
              <w:bottom w:val="single" w:sz="8" w:space="0" w:color="auto"/>
              <w:right w:val="single" w:sz="8" w:space="0" w:color="auto"/>
            </w:tcBorders>
            <w:shd w:val="clear" w:color="000000" w:fill="203764"/>
            <w:noWrap/>
            <w:vAlign w:val="center"/>
            <w:hideMark/>
          </w:tcPr>
          <w:p w14:paraId="340F6DF9"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4EFAB4FC"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31/12/2024</w:t>
            </w:r>
          </w:p>
        </w:tc>
        <w:tc>
          <w:tcPr>
            <w:tcW w:w="10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2FE04FD"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c>
          <w:tcPr>
            <w:tcW w:w="1067" w:type="dxa"/>
            <w:tcBorders>
              <w:top w:val="single" w:sz="8" w:space="0" w:color="auto"/>
              <w:left w:val="nil"/>
              <w:bottom w:val="single" w:sz="8" w:space="0" w:color="auto"/>
              <w:right w:val="single" w:sz="8" w:space="0" w:color="auto"/>
            </w:tcBorders>
            <w:shd w:val="clear" w:color="auto" w:fill="auto"/>
            <w:noWrap/>
            <w:vAlign w:val="bottom"/>
            <w:hideMark/>
          </w:tcPr>
          <w:p w14:paraId="6611FE6D" w14:textId="5D91DC95"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9</w:t>
            </w:r>
            <w:r w:rsidR="005D05BD">
              <w:rPr>
                <w:rFonts w:eastAsia="Times New Roman" w:cs="Calibri"/>
                <w:color w:val="000000"/>
                <w:sz w:val="18"/>
                <w:lang w:eastAsia="es-CR"/>
              </w:rPr>
              <w:t>9</w:t>
            </w:r>
            <w:r w:rsidRPr="00694299">
              <w:rPr>
                <w:rFonts w:eastAsia="Times New Roman" w:cs="Calibri"/>
                <w:color w:val="000000"/>
                <w:sz w:val="18"/>
                <w:lang w:eastAsia="es-CR"/>
              </w:rPr>
              <w:t>,</w:t>
            </w:r>
            <w:r w:rsidR="005D05BD">
              <w:rPr>
                <w:rFonts w:eastAsia="Times New Roman" w:cs="Calibri"/>
                <w:color w:val="000000"/>
                <w:sz w:val="18"/>
                <w:lang w:eastAsia="es-CR"/>
              </w:rPr>
              <w:t>0</w:t>
            </w:r>
            <w:r w:rsidRPr="00694299">
              <w:rPr>
                <w:rFonts w:eastAsia="Times New Roman" w:cs="Calibri"/>
                <w:color w:val="000000"/>
                <w:sz w:val="18"/>
                <w:lang w:eastAsia="es-CR"/>
              </w:rPr>
              <w:t>0%</w:t>
            </w:r>
          </w:p>
        </w:tc>
        <w:tc>
          <w:tcPr>
            <w:tcW w:w="1157" w:type="dxa"/>
            <w:tcBorders>
              <w:top w:val="single" w:sz="8" w:space="0" w:color="auto"/>
              <w:left w:val="nil"/>
              <w:bottom w:val="single" w:sz="8" w:space="0" w:color="auto"/>
              <w:right w:val="single" w:sz="8" w:space="0" w:color="auto"/>
            </w:tcBorders>
            <w:shd w:val="clear" w:color="auto" w:fill="auto"/>
            <w:noWrap/>
            <w:vAlign w:val="bottom"/>
            <w:hideMark/>
          </w:tcPr>
          <w:p w14:paraId="5B5A955B"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r>
      <w:tr w:rsidR="00694299" w:rsidRPr="00694299" w14:paraId="755012D6" w14:textId="77777777" w:rsidTr="00694299">
        <w:trPr>
          <w:divId w:val="191265739"/>
          <w:trHeight w:val="324"/>
        </w:trPr>
        <w:tc>
          <w:tcPr>
            <w:tcW w:w="851" w:type="dxa"/>
            <w:tcBorders>
              <w:top w:val="nil"/>
              <w:left w:val="single" w:sz="8" w:space="0" w:color="auto"/>
              <w:bottom w:val="single" w:sz="8" w:space="0" w:color="auto"/>
              <w:right w:val="nil"/>
            </w:tcBorders>
            <w:shd w:val="clear" w:color="auto" w:fill="auto"/>
            <w:vAlign w:val="center"/>
            <w:hideMark/>
          </w:tcPr>
          <w:p w14:paraId="2BBD1F88"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2</w:t>
            </w:r>
          </w:p>
        </w:tc>
        <w:tc>
          <w:tcPr>
            <w:tcW w:w="3685" w:type="dxa"/>
            <w:tcBorders>
              <w:top w:val="nil"/>
              <w:left w:val="single" w:sz="8" w:space="0" w:color="auto"/>
              <w:bottom w:val="single" w:sz="8" w:space="0" w:color="auto"/>
              <w:right w:val="nil"/>
            </w:tcBorders>
            <w:shd w:val="clear" w:color="auto" w:fill="auto"/>
            <w:vAlign w:val="center"/>
            <w:hideMark/>
          </w:tcPr>
          <w:p w14:paraId="116F799A"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Estado Flujo de Efectivo</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7C98D093"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0D868A1F"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7D6D7E55"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6C94701F"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100,00%</w:t>
            </w:r>
          </w:p>
        </w:tc>
        <w:tc>
          <w:tcPr>
            <w:tcW w:w="1157" w:type="dxa"/>
            <w:tcBorders>
              <w:top w:val="nil"/>
              <w:left w:val="nil"/>
              <w:bottom w:val="single" w:sz="8" w:space="0" w:color="auto"/>
              <w:right w:val="single" w:sz="8" w:space="0" w:color="auto"/>
            </w:tcBorders>
            <w:shd w:val="clear" w:color="auto" w:fill="auto"/>
            <w:noWrap/>
            <w:vAlign w:val="bottom"/>
            <w:hideMark/>
          </w:tcPr>
          <w:p w14:paraId="159E4F2C"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0</w:t>
            </w:r>
          </w:p>
        </w:tc>
      </w:tr>
      <w:tr w:rsidR="00694299" w:rsidRPr="00694299" w14:paraId="4DF105F4" w14:textId="77777777" w:rsidTr="00694299">
        <w:trPr>
          <w:divId w:val="191265739"/>
          <w:trHeight w:val="324"/>
        </w:trPr>
        <w:tc>
          <w:tcPr>
            <w:tcW w:w="851" w:type="dxa"/>
            <w:tcBorders>
              <w:top w:val="nil"/>
              <w:left w:val="single" w:sz="8" w:space="0" w:color="auto"/>
              <w:bottom w:val="single" w:sz="8" w:space="0" w:color="auto"/>
              <w:right w:val="nil"/>
            </w:tcBorders>
            <w:shd w:val="clear" w:color="auto" w:fill="auto"/>
            <w:vAlign w:val="center"/>
            <w:hideMark/>
          </w:tcPr>
          <w:p w14:paraId="1BEFA35D"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3</w:t>
            </w:r>
          </w:p>
        </w:tc>
        <w:tc>
          <w:tcPr>
            <w:tcW w:w="3685" w:type="dxa"/>
            <w:tcBorders>
              <w:top w:val="nil"/>
              <w:left w:val="single" w:sz="8" w:space="0" w:color="auto"/>
              <w:bottom w:val="single" w:sz="8" w:space="0" w:color="auto"/>
              <w:right w:val="nil"/>
            </w:tcBorders>
            <w:shd w:val="clear" w:color="auto" w:fill="auto"/>
            <w:vAlign w:val="center"/>
            <w:hideMark/>
          </w:tcPr>
          <w:p w14:paraId="535AF7EF"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Políticas Contables, Cambios en las estimaciones contables y Errores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63E65ACC"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17362F2F"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14BCE735"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2DFE9A85"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90,00%</w:t>
            </w:r>
          </w:p>
        </w:tc>
        <w:tc>
          <w:tcPr>
            <w:tcW w:w="1157" w:type="dxa"/>
            <w:tcBorders>
              <w:top w:val="nil"/>
              <w:left w:val="nil"/>
              <w:bottom w:val="single" w:sz="8" w:space="0" w:color="auto"/>
              <w:right w:val="single" w:sz="8" w:space="0" w:color="auto"/>
            </w:tcBorders>
            <w:shd w:val="clear" w:color="auto" w:fill="auto"/>
            <w:noWrap/>
            <w:vAlign w:val="bottom"/>
            <w:hideMark/>
          </w:tcPr>
          <w:p w14:paraId="1B7AB7FC"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No</w:t>
            </w:r>
          </w:p>
        </w:tc>
      </w:tr>
      <w:tr w:rsidR="00694299" w:rsidRPr="00694299" w14:paraId="6D64D091" w14:textId="77777777" w:rsidTr="00694299">
        <w:trPr>
          <w:divId w:val="191265739"/>
          <w:trHeight w:val="324"/>
        </w:trPr>
        <w:tc>
          <w:tcPr>
            <w:tcW w:w="851" w:type="dxa"/>
            <w:tcBorders>
              <w:top w:val="nil"/>
              <w:left w:val="single" w:sz="8" w:space="0" w:color="auto"/>
              <w:bottom w:val="single" w:sz="8" w:space="0" w:color="auto"/>
              <w:right w:val="nil"/>
            </w:tcBorders>
            <w:shd w:val="clear" w:color="auto" w:fill="auto"/>
            <w:vAlign w:val="center"/>
            <w:hideMark/>
          </w:tcPr>
          <w:p w14:paraId="327E3F74"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4</w:t>
            </w:r>
          </w:p>
        </w:tc>
        <w:tc>
          <w:tcPr>
            <w:tcW w:w="3685" w:type="dxa"/>
            <w:tcBorders>
              <w:top w:val="nil"/>
              <w:left w:val="single" w:sz="8" w:space="0" w:color="auto"/>
              <w:bottom w:val="single" w:sz="8" w:space="0" w:color="auto"/>
              <w:right w:val="nil"/>
            </w:tcBorders>
            <w:shd w:val="clear" w:color="auto" w:fill="auto"/>
            <w:vAlign w:val="center"/>
            <w:hideMark/>
          </w:tcPr>
          <w:p w14:paraId="30550881"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Efectos de las variaciones en las tasas de cambio de la moneda</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4933FBA7"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6A4A17BF"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377DF1AC"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75AD33EA" w14:textId="429B1AAE"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47,</w:t>
            </w:r>
            <w:r w:rsidR="005D05BD">
              <w:rPr>
                <w:rFonts w:eastAsia="Times New Roman" w:cs="Calibri"/>
                <w:color w:val="000000"/>
                <w:sz w:val="18"/>
                <w:lang w:eastAsia="es-CR"/>
              </w:rPr>
              <w:t>00</w:t>
            </w:r>
            <w:r w:rsidRPr="00694299">
              <w:rPr>
                <w:rFonts w:eastAsia="Times New Roman" w:cs="Calibri"/>
                <w:color w:val="000000"/>
                <w:sz w:val="18"/>
                <w:lang w:eastAsia="es-CR"/>
              </w:rPr>
              <w:t>%</w:t>
            </w:r>
          </w:p>
        </w:tc>
        <w:tc>
          <w:tcPr>
            <w:tcW w:w="1157" w:type="dxa"/>
            <w:tcBorders>
              <w:top w:val="nil"/>
              <w:left w:val="nil"/>
              <w:bottom w:val="single" w:sz="8" w:space="0" w:color="auto"/>
              <w:right w:val="single" w:sz="8" w:space="0" w:color="auto"/>
            </w:tcBorders>
            <w:shd w:val="clear" w:color="auto" w:fill="auto"/>
            <w:noWrap/>
            <w:vAlign w:val="bottom"/>
            <w:hideMark/>
          </w:tcPr>
          <w:p w14:paraId="10AD8F72"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0</w:t>
            </w:r>
          </w:p>
        </w:tc>
      </w:tr>
      <w:tr w:rsidR="00694299" w:rsidRPr="00694299" w14:paraId="61828F53" w14:textId="77777777" w:rsidTr="00694299">
        <w:trPr>
          <w:divId w:val="191265739"/>
          <w:trHeight w:val="324"/>
        </w:trPr>
        <w:tc>
          <w:tcPr>
            <w:tcW w:w="851" w:type="dxa"/>
            <w:tcBorders>
              <w:top w:val="nil"/>
              <w:left w:val="single" w:sz="8" w:space="0" w:color="auto"/>
              <w:bottom w:val="single" w:sz="8" w:space="0" w:color="auto"/>
              <w:right w:val="nil"/>
            </w:tcBorders>
            <w:shd w:val="clear" w:color="auto" w:fill="auto"/>
            <w:vAlign w:val="center"/>
            <w:hideMark/>
          </w:tcPr>
          <w:p w14:paraId="4FA247CE"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5</w:t>
            </w:r>
          </w:p>
        </w:tc>
        <w:tc>
          <w:tcPr>
            <w:tcW w:w="3685" w:type="dxa"/>
            <w:tcBorders>
              <w:top w:val="nil"/>
              <w:left w:val="single" w:sz="8" w:space="0" w:color="auto"/>
              <w:bottom w:val="single" w:sz="8" w:space="0" w:color="auto"/>
              <w:right w:val="nil"/>
            </w:tcBorders>
            <w:shd w:val="clear" w:color="auto" w:fill="auto"/>
            <w:vAlign w:val="center"/>
            <w:hideMark/>
          </w:tcPr>
          <w:p w14:paraId="1FA990DD"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Costo por Préstamos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47273EC2"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479F7576"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4B6A19AA"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40677AE1"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100,00%</w:t>
            </w:r>
          </w:p>
        </w:tc>
        <w:tc>
          <w:tcPr>
            <w:tcW w:w="1157" w:type="dxa"/>
            <w:tcBorders>
              <w:top w:val="nil"/>
              <w:left w:val="nil"/>
              <w:bottom w:val="single" w:sz="8" w:space="0" w:color="auto"/>
              <w:right w:val="single" w:sz="8" w:space="0" w:color="auto"/>
            </w:tcBorders>
            <w:shd w:val="clear" w:color="auto" w:fill="auto"/>
            <w:noWrap/>
            <w:vAlign w:val="bottom"/>
            <w:hideMark/>
          </w:tcPr>
          <w:p w14:paraId="5CE1E7B2"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0</w:t>
            </w:r>
          </w:p>
        </w:tc>
      </w:tr>
      <w:tr w:rsidR="00694299" w:rsidRPr="00694299" w14:paraId="0E2CB4E1" w14:textId="77777777" w:rsidTr="00694299">
        <w:trPr>
          <w:divId w:val="191265739"/>
          <w:trHeight w:val="288"/>
        </w:trPr>
        <w:tc>
          <w:tcPr>
            <w:tcW w:w="851" w:type="dxa"/>
            <w:tcBorders>
              <w:top w:val="nil"/>
              <w:left w:val="single" w:sz="8" w:space="0" w:color="auto"/>
              <w:bottom w:val="single" w:sz="8" w:space="0" w:color="auto"/>
              <w:right w:val="nil"/>
            </w:tcBorders>
            <w:shd w:val="clear" w:color="000000" w:fill="FFC000"/>
            <w:vAlign w:val="center"/>
            <w:hideMark/>
          </w:tcPr>
          <w:p w14:paraId="68C14010"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6</w:t>
            </w:r>
          </w:p>
        </w:tc>
        <w:tc>
          <w:tcPr>
            <w:tcW w:w="3685" w:type="dxa"/>
            <w:tcBorders>
              <w:top w:val="nil"/>
              <w:left w:val="single" w:sz="8" w:space="0" w:color="auto"/>
              <w:bottom w:val="single" w:sz="8" w:space="0" w:color="auto"/>
              <w:right w:val="nil"/>
            </w:tcBorders>
            <w:shd w:val="clear" w:color="000000" w:fill="FFC000"/>
            <w:vAlign w:val="center"/>
            <w:hideMark/>
          </w:tcPr>
          <w:p w14:paraId="58C388A4"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Estados Financieros Consolidados y separados.</w:t>
            </w:r>
          </w:p>
        </w:tc>
        <w:tc>
          <w:tcPr>
            <w:tcW w:w="5410" w:type="dxa"/>
            <w:gridSpan w:val="5"/>
            <w:tcBorders>
              <w:top w:val="single" w:sz="8" w:space="0" w:color="auto"/>
              <w:left w:val="single" w:sz="8" w:space="0" w:color="auto"/>
              <w:bottom w:val="single" w:sz="8" w:space="0" w:color="auto"/>
              <w:right w:val="single" w:sz="8" w:space="0" w:color="000000"/>
            </w:tcBorders>
            <w:shd w:val="clear" w:color="000000" w:fill="FFC000"/>
            <w:noWrap/>
            <w:vAlign w:val="center"/>
            <w:hideMark/>
          </w:tcPr>
          <w:p w14:paraId="605DEBD2"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Derogada en la versión 2018</w:t>
            </w:r>
          </w:p>
        </w:tc>
      </w:tr>
      <w:tr w:rsidR="00694299" w:rsidRPr="00694299" w14:paraId="461F4217" w14:textId="77777777" w:rsidTr="00694299">
        <w:trPr>
          <w:divId w:val="191265739"/>
          <w:trHeight w:val="288"/>
        </w:trPr>
        <w:tc>
          <w:tcPr>
            <w:tcW w:w="851" w:type="dxa"/>
            <w:tcBorders>
              <w:top w:val="nil"/>
              <w:left w:val="single" w:sz="8" w:space="0" w:color="auto"/>
              <w:bottom w:val="single" w:sz="8" w:space="0" w:color="auto"/>
              <w:right w:val="nil"/>
            </w:tcBorders>
            <w:shd w:val="clear" w:color="000000" w:fill="FFC000"/>
            <w:vAlign w:val="center"/>
            <w:hideMark/>
          </w:tcPr>
          <w:p w14:paraId="6423CA31"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7</w:t>
            </w:r>
          </w:p>
        </w:tc>
        <w:tc>
          <w:tcPr>
            <w:tcW w:w="3685" w:type="dxa"/>
            <w:tcBorders>
              <w:top w:val="nil"/>
              <w:left w:val="single" w:sz="8" w:space="0" w:color="auto"/>
              <w:bottom w:val="single" w:sz="8" w:space="0" w:color="auto"/>
              <w:right w:val="nil"/>
            </w:tcBorders>
            <w:shd w:val="clear" w:color="000000" w:fill="FFC000"/>
            <w:vAlign w:val="center"/>
            <w:hideMark/>
          </w:tcPr>
          <w:p w14:paraId="4C10AB51"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Inversiones en Asociadas</w:t>
            </w:r>
          </w:p>
        </w:tc>
        <w:tc>
          <w:tcPr>
            <w:tcW w:w="5410" w:type="dxa"/>
            <w:gridSpan w:val="5"/>
            <w:tcBorders>
              <w:top w:val="single" w:sz="8" w:space="0" w:color="auto"/>
              <w:left w:val="single" w:sz="8" w:space="0" w:color="auto"/>
              <w:bottom w:val="single" w:sz="8" w:space="0" w:color="auto"/>
              <w:right w:val="single" w:sz="8" w:space="0" w:color="000000"/>
            </w:tcBorders>
            <w:shd w:val="clear" w:color="000000" w:fill="FFC000"/>
            <w:noWrap/>
            <w:vAlign w:val="center"/>
            <w:hideMark/>
          </w:tcPr>
          <w:p w14:paraId="36892362"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Derogada en la versión 2018</w:t>
            </w:r>
          </w:p>
        </w:tc>
      </w:tr>
      <w:tr w:rsidR="00694299" w:rsidRPr="00694299" w14:paraId="6337E411" w14:textId="77777777" w:rsidTr="00694299">
        <w:trPr>
          <w:divId w:val="191265739"/>
          <w:trHeight w:val="288"/>
        </w:trPr>
        <w:tc>
          <w:tcPr>
            <w:tcW w:w="851" w:type="dxa"/>
            <w:tcBorders>
              <w:top w:val="nil"/>
              <w:left w:val="single" w:sz="8" w:space="0" w:color="auto"/>
              <w:bottom w:val="single" w:sz="8" w:space="0" w:color="auto"/>
              <w:right w:val="nil"/>
            </w:tcBorders>
            <w:shd w:val="clear" w:color="000000" w:fill="FFC000"/>
            <w:vAlign w:val="center"/>
            <w:hideMark/>
          </w:tcPr>
          <w:p w14:paraId="38373DE1"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8</w:t>
            </w:r>
          </w:p>
        </w:tc>
        <w:tc>
          <w:tcPr>
            <w:tcW w:w="3685" w:type="dxa"/>
            <w:tcBorders>
              <w:top w:val="nil"/>
              <w:left w:val="single" w:sz="8" w:space="0" w:color="auto"/>
              <w:bottom w:val="single" w:sz="8" w:space="0" w:color="auto"/>
              <w:right w:val="nil"/>
            </w:tcBorders>
            <w:shd w:val="clear" w:color="000000" w:fill="FFC000"/>
            <w:vAlign w:val="center"/>
            <w:hideMark/>
          </w:tcPr>
          <w:p w14:paraId="3A4DAC31"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Participaciones en Negocios Conjuntos</w:t>
            </w:r>
          </w:p>
        </w:tc>
        <w:tc>
          <w:tcPr>
            <w:tcW w:w="5410" w:type="dxa"/>
            <w:gridSpan w:val="5"/>
            <w:tcBorders>
              <w:top w:val="single" w:sz="8" w:space="0" w:color="auto"/>
              <w:left w:val="single" w:sz="8" w:space="0" w:color="auto"/>
              <w:bottom w:val="single" w:sz="8" w:space="0" w:color="auto"/>
              <w:right w:val="single" w:sz="8" w:space="0" w:color="000000"/>
            </w:tcBorders>
            <w:shd w:val="clear" w:color="000000" w:fill="FFC000"/>
            <w:noWrap/>
            <w:vAlign w:val="center"/>
            <w:hideMark/>
          </w:tcPr>
          <w:p w14:paraId="50D3AA44"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Derogada en la versión 2018</w:t>
            </w:r>
          </w:p>
        </w:tc>
      </w:tr>
      <w:tr w:rsidR="00694299" w:rsidRPr="00694299" w14:paraId="0462CF45" w14:textId="77777777" w:rsidTr="00694299">
        <w:trPr>
          <w:divId w:val="191265739"/>
          <w:trHeight w:val="324"/>
        </w:trPr>
        <w:tc>
          <w:tcPr>
            <w:tcW w:w="851" w:type="dxa"/>
            <w:tcBorders>
              <w:top w:val="nil"/>
              <w:left w:val="single" w:sz="8" w:space="0" w:color="auto"/>
              <w:bottom w:val="single" w:sz="8" w:space="0" w:color="auto"/>
              <w:right w:val="nil"/>
            </w:tcBorders>
            <w:shd w:val="clear" w:color="auto" w:fill="auto"/>
            <w:vAlign w:val="center"/>
            <w:hideMark/>
          </w:tcPr>
          <w:p w14:paraId="7235598F"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9</w:t>
            </w:r>
          </w:p>
        </w:tc>
        <w:tc>
          <w:tcPr>
            <w:tcW w:w="3685" w:type="dxa"/>
            <w:tcBorders>
              <w:top w:val="nil"/>
              <w:left w:val="single" w:sz="8" w:space="0" w:color="auto"/>
              <w:bottom w:val="single" w:sz="8" w:space="0" w:color="auto"/>
              <w:right w:val="nil"/>
            </w:tcBorders>
            <w:shd w:val="clear" w:color="auto" w:fill="auto"/>
            <w:vAlign w:val="center"/>
            <w:hideMark/>
          </w:tcPr>
          <w:p w14:paraId="03B9A6AF"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Ingresos de transacciones con contraprestación</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043C3210"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145942EB"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3F68E034"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356DF286"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100,00%</w:t>
            </w:r>
          </w:p>
        </w:tc>
        <w:tc>
          <w:tcPr>
            <w:tcW w:w="1157" w:type="dxa"/>
            <w:tcBorders>
              <w:top w:val="nil"/>
              <w:left w:val="nil"/>
              <w:bottom w:val="single" w:sz="8" w:space="0" w:color="auto"/>
              <w:right w:val="single" w:sz="8" w:space="0" w:color="auto"/>
            </w:tcBorders>
            <w:shd w:val="clear" w:color="auto" w:fill="auto"/>
            <w:noWrap/>
            <w:vAlign w:val="bottom"/>
            <w:hideMark/>
          </w:tcPr>
          <w:p w14:paraId="55FDCB08"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0</w:t>
            </w:r>
          </w:p>
        </w:tc>
      </w:tr>
      <w:tr w:rsidR="00694299" w:rsidRPr="00694299" w14:paraId="69D1A9EF" w14:textId="77777777" w:rsidTr="00694299">
        <w:trPr>
          <w:divId w:val="191265739"/>
          <w:trHeight w:val="324"/>
        </w:trPr>
        <w:tc>
          <w:tcPr>
            <w:tcW w:w="851" w:type="dxa"/>
            <w:tcBorders>
              <w:top w:val="nil"/>
              <w:left w:val="single" w:sz="8" w:space="0" w:color="auto"/>
              <w:bottom w:val="single" w:sz="8" w:space="0" w:color="auto"/>
              <w:right w:val="nil"/>
            </w:tcBorders>
            <w:shd w:val="clear" w:color="auto" w:fill="auto"/>
            <w:vAlign w:val="center"/>
            <w:hideMark/>
          </w:tcPr>
          <w:p w14:paraId="5DB649FB"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10</w:t>
            </w:r>
          </w:p>
        </w:tc>
        <w:tc>
          <w:tcPr>
            <w:tcW w:w="3685" w:type="dxa"/>
            <w:tcBorders>
              <w:top w:val="nil"/>
              <w:left w:val="single" w:sz="8" w:space="0" w:color="auto"/>
              <w:bottom w:val="single" w:sz="8" w:space="0" w:color="auto"/>
              <w:right w:val="nil"/>
            </w:tcBorders>
            <w:shd w:val="clear" w:color="auto" w:fill="auto"/>
            <w:vAlign w:val="center"/>
            <w:hideMark/>
          </w:tcPr>
          <w:p w14:paraId="3540F9B3"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Información Financiera en Economía Hiperinflacionarias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18B827DD"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6BDE08F9"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400B216F"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No</w:t>
            </w:r>
          </w:p>
        </w:tc>
        <w:tc>
          <w:tcPr>
            <w:tcW w:w="1067" w:type="dxa"/>
            <w:tcBorders>
              <w:top w:val="nil"/>
              <w:left w:val="nil"/>
              <w:bottom w:val="single" w:sz="8" w:space="0" w:color="auto"/>
              <w:right w:val="single" w:sz="8" w:space="0" w:color="auto"/>
            </w:tcBorders>
            <w:shd w:val="clear" w:color="auto" w:fill="auto"/>
            <w:noWrap/>
            <w:vAlign w:val="bottom"/>
            <w:hideMark/>
          </w:tcPr>
          <w:p w14:paraId="060E653C"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 </w:t>
            </w:r>
          </w:p>
        </w:tc>
        <w:tc>
          <w:tcPr>
            <w:tcW w:w="1157" w:type="dxa"/>
            <w:tcBorders>
              <w:top w:val="nil"/>
              <w:left w:val="nil"/>
              <w:bottom w:val="single" w:sz="8" w:space="0" w:color="auto"/>
              <w:right w:val="single" w:sz="8" w:space="0" w:color="auto"/>
            </w:tcBorders>
            <w:shd w:val="clear" w:color="auto" w:fill="auto"/>
            <w:noWrap/>
            <w:vAlign w:val="bottom"/>
            <w:hideMark/>
          </w:tcPr>
          <w:p w14:paraId="714E7454"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 </w:t>
            </w:r>
          </w:p>
        </w:tc>
      </w:tr>
      <w:tr w:rsidR="00694299" w:rsidRPr="00694299" w14:paraId="1C3B0C5B" w14:textId="77777777" w:rsidTr="00694299">
        <w:trPr>
          <w:divId w:val="191265739"/>
          <w:trHeight w:val="324"/>
        </w:trPr>
        <w:tc>
          <w:tcPr>
            <w:tcW w:w="851" w:type="dxa"/>
            <w:tcBorders>
              <w:top w:val="nil"/>
              <w:left w:val="single" w:sz="8" w:space="0" w:color="auto"/>
              <w:bottom w:val="single" w:sz="8" w:space="0" w:color="auto"/>
              <w:right w:val="nil"/>
            </w:tcBorders>
            <w:shd w:val="clear" w:color="auto" w:fill="auto"/>
            <w:vAlign w:val="center"/>
            <w:hideMark/>
          </w:tcPr>
          <w:p w14:paraId="2B711390"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11</w:t>
            </w:r>
          </w:p>
        </w:tc>
        <w:tc>
          <w:tcPr>
            <w:tcW w:w="3685" w:type="dxa"/>
            <w:tcBorders>
              <w:top w:val="nil"/>
              <w:left w:val="single" w:sz="8" w:space="0" w:color="auto"/>
              <w:bottom w:val="single" w:sz="8" w:space="0" w:color="auto"/>
              <w:right w:val="nil"/>
            </w:tcBorders>
            <w:shd w:val="clear" w:color="auto" w:fill="auto"/>
            <w:vAlign w:val="center"/>
            <w:hideMark/>
          </w:tcPr>
          <w:p w14:paraId="2C0837B5"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Contrato de Construcción</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524DDDAA"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103DA478"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27DB3DAD"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No</w:t>
            </w:r>
          </w:p>
        </w:tc>
        <w:tc>
          <w:tcPr>
            <w:tcW w:w="1067" w:type="dxa"/>
            <w:tcBorders>
              <w:top w:val="nil"/>
              <w:left w:val="nil"/>
              <w:bottom w:val="single" w:sz="8" w:space="0" w:color="auto"/>
              <w:right w:val="single" w:sz="8" w:space="0" w:color="auto"/>
            </w:tcBorders>
            <w:shd w:val="clear" w:color="auto" w:fill="auto"/>
            <w:noWrap/>
            <w:vAlign w:val="bottom"/>
            <w:hideMark/>
          </w:tcPr>
          <w:p w14:paraId="20D9E486"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 </w:t>
            </w:r>
          </w:p>
        </w:tc>
        <w:tc>
          <w:tcPr>
            <w:tcW w:w="1157" w:type="dxa"/>
            <w:tcBorders>
              <w:top w:val="nil"/>
              <w:left w:val="nil"/>
              <w:bottom w:val="single" w:sz="8" w:space="0" w:color="auto"/>
              <w:right w:val="single" w:sz="8" w:space="0" w:color="auto"/>
            </w:tcBorders>
            <w:shd w:val="clear" w:color="auto" w:fill="auto"/>
            <w:noWrap/>
            <w:vAlign w:val="bottom"/>
            <w:hideMark/>
          </w:tcPr>
          <w:p w14:paraId="6220B7E1"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 </w:t>
            </w:r>
          </w:p>
        </w:tc>
      </w:tr>
      <w:tr w:rsidR="00694299" w:rsidRPr="00694299" w14:paraId="0427DC30" w14:textId="77777777" w:rsidTr="00694299">
        <w:trPr>
          <w:divId w:val="191265739"/>
          <w:trHeight w:val="324"/>
        </w:trPr>
        <w:tc>
          <w:tcPr>
            <w:tcW w:w="851" w:type="dxa"/>
            <w:tcBorders>
              <w:top w:val="nil"/>
              <w:left w:val="single" w:sz="8" w:space="0" w:color="auto"/>
              <w:bottom w:val="single" w:sz="8" w:space="0" w:color="auto"/>
              <w:right w:val="nil"/>
            </w:tcBorders>
            <w:shd w:val="clear" w:color="auto" w:fill="auto"/>
            <w:vAlign w:val="center"/>
            <w:hideMark/>
          </w:tcPr>
          <w:p w14:paraId="2055BBD4"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12</w:t>
            </w:r>
          </w:p>
        </w:tc>
        <w:tc>
          <w:tcPr>
            <w:tcW w:w="3685" w:type="dxa"/>
            <w:tcBorders>
              <w:top w:val="nil"/>
              <w:left w:val="single" w:sz="8" w:space="0" w:color="auto"/>
              <w:bottom w:val="single" w:sz="8" w:space="0" w:color="auto"/>
              <w:right w:val="nil"/>
            </w:tcBorders>
            <w:shd w:val="clear" w:color="auto" w:fill="auto"/>
            <w:vAlign w:val="center"/>
            <w:hideMark/>
          </w:tcPr>
          <w:p w14:paraId="14137368"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Inventarios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493F29E2"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1736996C"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24A8814E"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6F75423C"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97,00%</w:t>
            </w:r>
          </w:p>
        </w:tc>
        <w:tc>
          <w:tcPr>
            <w:tcW w:w="1157" w:type="dxa"/>
            <w:tcBorders>
              <w:top w:val="nil"/>
              <w:left w:val="nil"/>
              <w:bottom w:val="single" w:sz="8" w:space="0" w:color="auto"/>
              <w:right w:val="single" w:sz="8" w:space="0" w:color="auto"/>
            </w:tcBorders>
            <w:shd w:val="clear" w:color="auto" w:fill="auto"/>
            <w:noWrap/>
            <w:vAlign w:val="bottom"/>
            <w:hideMark/>
          </w:tcPr>
          <w:p w14:paraId="007ADAC8"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r>
      <w:tr w:rsidR="00694299" w:rsidRPr="00694299" w14:paraId="4A1492F9" w14:textId="77777777" w:rsidTr="00694299">
        <w:trPr>
          <w:divId w:val="191265739"/>
          <w:trHeight w:val="324"/>
        </w:trPr>
        <w:tc>
          <w:tcPr>
            <w:tcW w:w="851" w:type="dxa"/>
            <w:tcBorders>
              <w:top w:val="nil"/>
              <w:left w:val="single" w:sz="8" w:space="0" w:color="auto"/>
              <w:bottom w:val="single" w:sz="8" w:space="0" w:color="auto"/>
              <w:right w:val="nil"/>
            </w:tcBorders>
            <w:shd w:val="clear" w:color="auto" w:fill="auto"/>
            <w:vAlign w:val="center"/>
            <w:hideMark/>
          </w:tcPr>
          <w:p w14:paraId="0836D364"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13</w:t>
            </w:r>
          </w:p>
        </w:tc>
        <w:tc>
          <w:tcPr>
            <w:tcW w:w="3685" w:type="dxa"/>
            <w:tcBorders>
              <w:top w:val="nil"/>
              <w:left w:val="single" w:sz="8" w:space="0" w:color="auto"/>
              <w:bottom w:val="single" w:sz="8" w:space="0" w:color="auto"/>
              <w:right w:val="nil"/>
            </w:tcBorders>
            <w:shd w:val="clear" w:color="auto" w:fill="auto"/>
            <w:vAlign w:val="center"/>
            <w:hideMark/>
          </w:tcPr>
          <w:p w14:paraId="3A5859E9"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Arrendamientos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6A7E0B27"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007EBC7A"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1911379D"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448F4AB8" w14:textId="4EF0437B" w:rsidR="00694299" w:rsidRPr="00694299" w:rsidRDefault="005D05BD" w:rsidP="00694299">
            <w:pPr>
              <w:spacing w:after="0" w:line="240" w:lineRule="auto"/>
              <w:jc w:val="center"/>
              <w:rPr>
                <w:rFonts w:eastAsia="Times New Roman" w:cs="Calibri"/>
                <w:color w:val="000000"/>
                <w:sz w:val="18"/>
                <w:lang w:eastAsia="es-CR"/>
              </w:rPr>
            </w:pPr>
            <w:r>
              <w:rPr>
                <w:rFonts w:eastAsia="Times New Roman" w:cs="Calibri"/>
                <w:color w:val="000000"/>
                <w:sz w:val="18"/>
                <w:lang w:eastAsia="es-CR"/>
              </w:rPr>
              <w:t>80</w:t>
            </w:r>
            <w:r w:rsidR="00694299" w:rsidRPr="00694299">
              <w:rPr>
                <w:rFonts w:eastAsia="Times New Roman" w:cs="Calibri"/>
                <w:color w:val="000000"/>
                <w:sz w:val="18"/>
                <w:lang w:eastAsia="es-CR"/>
              </w:rPr>
              <w:t>,</w:t>
            </w:r>
            <w:r>
              <w:rPr>
                <w:rFonts w:eastAsia="Times New Roman" w:cs="Calibri"/>
                <w:color w:val="000000"/>
                <w:sz w:val="18"/>
                <w:lang w:eastAsia="es-CR"/>
              </w:rPr>
              <w:t>00</w:t>
            </w:r>
            <w:r w:rsidR="00694299" w:rsidRPr="00694299">
              <w:rPr>
                <w:rFonts w:eastAsia="Times New Roman" w:cs="Calibri"/>
                <w:color w:val="000000"/>
                <w:sz w:val="18"/>
                <w:lang w:eastAsia="es-CR"/>
              </w:rPr>
              <w:t>%</w:t>
            </w:r>
          </w:p>
        </w:tc>
        <w:tc>
          <w:tcPr>
            <w:tcW w:w="1157" w:type="dxa"/>
            <w:tcBorders>
              <w:top w:val="nil"/>
              <w:left w:val="nil"/>
              <w:bottom w:val="single" w:sz="8" w:space="0" w:color="auto"/>
              <w:right w:val="single" w:sz="8" w:space="0" w:color="auto"/>
            </w:tcBorders>
            <w:shd w:val="clear" w:color="auto" w:fill="auto"/>
            <w:noWrap/>
            <w:vAlign w:val="bottom"/>
            <w:hideMark/>
          </w:tcPr>
          <w:p w14:paraId="48323B2A"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r>
      <w:tr w:rsidR="00694299" w:rsidRPr="00694299" w14:paraId="7830892D" w14:textId="77777777" w:rsidTr="00694299">
        <w:trPr>
          <w:divId w:val="191265739"/>
          <w:trHeight w:val="324"/>
        </w:trPr>
        <w:tc>
          <w:tcPr>
            <w:tcW w:w="851" w:type="dxa"/>
            <w:tcBorders>
              <w:top w:val="nil"/>
              <w:left w:val="single" w:sz="8" w:space="0" w:color="auto"/>
              <w:bottom w:val="single" w:sz="8" w:space="0" w:color="auto"/>
              <w:right w:val="nil"/>
            </w:tcBorders>
            <w:shd w:val="clear" w:color="auto" w:fill="auto"/>
            <w:vAlign w:val="center"/>
            <w:hideMark/>
          </w:tcPr>
          <w:p w14:paraId="125736B2"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14</w:t>
            </w:r>
          </w:p>
        </w:tc>
        <w:tc>
          <w:tcPr>
            <w:tcW w:w="3685" w:type="dxa"/>
            <w:tcBorders>
              <w:top w:val="nil"/>
              <w:left w:val="single" w:sz="8" w:space="0" w:color="auto"/>
              <w:bottom w:val="single" w:sz="8" w:space="0" w:color="auto"/>
              <w:right w:val="nil"/>
            </w:tcBorders>
            <w:shd w:val="clear" w:color="auto" w:fill="auto"/>
            <w:vAlign w:val="center"/>
            <w:hideMark/>
          </w:tcPr>
          <w:p w14:paraId="36DA1525"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Hechos ocurridos después de la fecha de presentación.</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6769F50B"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66EAA792"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532B808D"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46EF8C5F"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100,00%</w:t>
            </w:r>
          </w:p>
        </w:tc>
        <w:tc>
          <w:tcPr>
            <w:tcW w:w="1157" w:type="dxa"/>
            <w:tcBorders>
              <w:top w:val="nil"/>
              <w:left w:val="nil"/>
              <w:bottom w:val="single" w:sz="8" w:space="0" w:color="auto"/>
              <w:right w:val="single" w:sz="8" w:space="0" w:color="auto"/>
            </w:tcBorders>
            <w:shd w:val="clear" w:color="auto" w:fill="auto"/>
            <w:noWrap/>
            <w:vAlign w:val="bottom"/>
            <w:hideMark/>
          </w:tcPr>
          <w:p w14:paraId="6EE8E89C"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0</w:t>
            </w:r>
          </w:p>
        </w:tc>
      </w:tr>
      <w:tr w:rsidR="00694299" w:rsidRPr="00694299" w14:paraId="7195E848" w14:textId="77777777" w:rsidTr="00694299">
        <w:trPr>
          <w:divId w:val="191265739"/>
          <w:trHeight w:val="324"/>
        </w:trPr>
        <w:tc>
          <w:tcPr>
            <w:tcW w:w="851" w:type="dxa"/>
            <w:tcBorders>
              <w:top w:val="nil"/>
              <w:left w:val="single" w:sz="8" w:space="0" w:color="auto"/>
              <w:bottom w:val="single" w:sz="8" w:space="0" w:color="auto"/>
              <w:right w:val="nil"/>
            </w:tcBorders>
            <w:shd w:val="clear" w:color="auto" w:fill="auto"/>
            <w:vAlign w:val="center"/>
            <w:hideMark/>
          </w:tcPr>
          <w:p w14:paraId="790B81C0"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16</w:t>
            </w:r>
          </w:p>
        </w:tc>
        <w:tc>
          <w:tcPr>
            <w:tcW w:w="3685" w:type="dxa"/>
            <w:tcBorders>
              <w:top w:val="nil"/>
              <w:left w:val="single" w:sz="8" w:space="0" w:color="auto"/>
              <w:bottom w:val="single" w:sz="8" w:space="0" w:color="auto"/>
              <w:right w:val="nil"/>
            </w:tcBorders>
            <w:shd w:val="clear" w:color="auto" w:fill="auto"/>
            <w:vAlign w:val="center"/>
            <w:hideMark/>
          </w:tcPr>
          <w:p w14:paraId="497D8D13"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Propiedades de Inversión</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7099E226"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5A85BA3F"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5746F933"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No</w:t>
            </w:r>
          </w:p>
        </w:tc>
        <w:tc>
          <w:tcPr>
            <w:tcW w:w="1067" w:type="dxa"/>
            <w:tcBorders>
              <w:top w:val="nil"/>
              <w:left w:val="nil"/>
              <w:bottom w:val="single" w:sz="8" w:space="0" w:color="auto"/>
              <w:right w:val="single" w:sz="8" w:space="0" w:color="auto"/>
            </w:tcBorders>
            <w:shd w:val="clear" w:color="auto" w:fill="auto"/>
            <w:noWrap/>
            <w:vAlign w:val="bottom"/>
            <w:hideMark/>
          </w:tcPr>
          <w:p w14:paraId="58D2EC19"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 </w:t>
            </w:r>
          </w:p>
        </w:tc>
        <w:tc>
          <w:tcPr>
            <w:tcW w:w="1157" w:type="dxa"/>
            <w:tcBorders>
              <w:top w:val="nil"/>
              <w:left w:val="nil"/>
              <w:bottom w:val="single" w:sz="8" w:space="0" w:color="auto"/>
              <w:right w:val="single" w:sz="8" w:space="0" w:color="auto"/>
            </w:tcBorders>
            <w:shd w:val="clear" w:color="auto" w:fill="auto"/>
            <w:noWrap/>
            <w:vAlign w:val="bottom"/>
            <w:hideMark/>
          </w:tcPr>
          <w:p w14:paraId="2EB85B5E"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 </w:t>
            </w:r>
          </w:p>
        </w:tc>
      </w:tr>
      <w:tr w:rsidR="00694299" w:rsidRPr="00694299" w14:paraId="67DD0BB0" w14:textId="77777777" w:rsidTr="00694299">
        <w:trPr>
          <w:divId w:val="191265739"/>
          <w:trHeight w:val="324"/>
        </w:trPr>
        <w:tc>
          <w:tcPr>
            <w:tcW w:w="851" w:type="dxa"/>
            <w:tcBorders>
              <w:top w:val="nil"/>
              <w:left w:val="single" w:sz="8" w:space="0" w:color="auto"/>
              <w:bottom w:val="single" w:sz="8" w:space="0" w:color="auto"/>
              <w:right w:val="nil"/>
            </w:tcBorders>
            <w:shd w:val="clear" w:color="auto" w:fill="auto"/>
            <w:vAlign w:val="center"/>
            <w:hideMark/>
          </w:tcPr>
          <w:p w14:paraId="1EFD08C5"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17</w:t>
            </w:r>
          </w:p>
        </w:tc>
        <w:tc>
          <w:tcPr>
            <w:tcW w:w="3685" w:type="dxa"/>
            <w:tcBorders>
              <w:top w:val="nil"/>
              <w:left w:val="single" w:sz="8" w:space="0" w:color="auto"/>
              <w:bottom w:val="single" w:sz="8" w:space="0" w:color="auto"/>
              <w:right w:val="nil"/>
            </w:tcBorders>
            <w:shd w:val="clear" w:color="auto" w:fill="auto"/>
            <w:vAlign w:val="center"/>
            <w:hideMark/>
          </w:tcPr>
          <w:p w14:paraId="6C4635B8"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Propiedad, Planta y Equipo</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5C87D0F9"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6168C77B"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0BB9B086"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6DB5BB4D" w14:textId="6668B96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96,</w:t>
            </w:r>
            <w:r w:rsidR="005D05BD">
              <w:rPr>
                <w:rFonts w:eastAsia="Times New Roman" w:cs="Calibri"/>
                <w:color w:val="000000"/>
                <w:sz w:val="18"/>
                <w:lang w:eastAsia="es-CR"/>
              </w:rPr>
              <w:t>00</w:t>
            </w:r>
            <w:r w:rsidRPr="00694299">
              <w:rPr>
                <w:rFonts w:eastAsia="Times New Roman" w:cs="Calibri"/>
                <w:color w:val="000000"/>
                <w:sz w:val="18"/>
                <w:lang w:eastAsia="es-CR"/>
              </w:rPr>
              <w:t>%</w:t>
            </w:r>
          </w:p>
        </w:tc>
        <w:tc>
          <w:tcPr>
            <w:tcW w:w="1157" w:type="dxa"/>
            <w:tcBorders>
              <w:top w:val="nil"/>
              <w:left w:val="nil"/>
              <w:bottom w:val="single" w:sz="8" w:space="0" w:color="auto"/>
              <w:right w:val="single" w:sz="8" w:space="0" w:color="auto"/>
            </w:tcBorders>
            <w:shd w:val="clear" w:color="auto" w:fill="auto"/>
            <w:noWrap/>
            <w:vAlign w:val="bottom"/>
            <w:hideMark/>
          </w:tcPr>
          <w:p w14:paraId="6FDF62C5"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r>
      <w:tr w:rsidR="00694299" w:rsidRPr="00694299" w14:paraId="0336126E" w14:textId="77777777" w:rsidTr="00694299">
        <w:trPr>
          <w:divId w:val="191265739"/>
          <w:trHeight w:val="324"/>
        </w:trPr>
        <w:tc>
          <w:tcPr>
            <w:tcW w:w="851" w:type="dxa"/>
            <w:tcBorders>
              <w:top w:val="nil"/>
              <w:left w:val="single" w:sz="8" w:space="0" w:color="auto"/>
              <w:bottom w:val="single" w:sz="8" w:space="0" w:color="auto"/>
              <w:right w:val="nil"/>
            </w:tcBorders>
            <w:shd w:val="clear" w:color="auto" w:fill="auto"/>
            <w:vAlign w:val="center"/>
            <w:hideMark/>
          </w:tcPr>
          <w:p w14:paraId="26163CF9"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18</w:t>
            </w:r>
          </w:p>
        </w:tc>
        <w:tc>
          <w:tcPr>
            <w:tcW w:w="3685" w:type="dxa"/>
            <w:tcBorders>
              <w:top w:val="nil"/>
              <w:left w:val="single" w:sz="8" w:space="0" w:color="auto"/>
              <w:bottom w:val="single" w:sz="8" w:space="0" w:color="auto"/>
              <w:right w:val="nil"/>
            </w:tcBorders>
            <w:shd w:val="clear" w:color="auto" w:fill="auto"/>
            <w:vAlign w:val="center"/>
            <w:hideMark/>
          </w:tcPr>
          <w:p w14:paraId="3E2DF4B9"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Información Financiera por Segmentos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04123600"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49AE5AD7"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40DFD6D4"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No</w:t>
            </w:r>
          </w:p>
        </w:tc>
        <w:tc>
          <w:tcPr>
            <w:tcW w:w="1067" w:type="dxa"/>
            <w:tcBorders>
              <w:top w:val="nil"/>
              <w:left w:val="nil"/>
              <w:bottom w:val="single" w:sz="8" w:space="0" w:color="auto"/>
              <w:right w:val="single" w:sz="8" w:space="0" w:color="auto"/>
            </w:tcBorders>
            <w:shd w:val="clear" w:color="auto" w:fill="auto"/>
            <w:noWrap/>
            <w:vAlign w:val="bottom"/>
            <w:hideMark/>
          </w:tcPr>
          <w:p w14:paraId="66414BFE"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 </w:t>
            </w:r>
          </w:p>
        </w:tc>
        <w:tc>
          <w:tcPr>
            <w:tcW w:w="1157" w:type="dxa"/>
            <w:tcBorders>
              <w:top w:val="nil"/>
              <w:left w:val="nil"/>
              <w:bottom w:val="single" w:sz="8" w:space="0" w:color="auto"/>
              <w:right w:val="single" w:sz="8" w:space="0" w:color="auto"/>
            </w:tcBorders>
            <w:shd w:val="clear" w:color="auto" w:fill="auto"/>
            <w:noWrap/>
            <w:vAlign w:val="bottom"/>
            <w:hideMark/>
          </w:tcPr>
          <w:p w14:paraId="720D4C53"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 </w:t>
            </w:r>
          </w:p>
        </w:tc>
      </w:tr>
      <w:tr w:rsidR="00694299" w:rsidRPr="00694299" w14:paraId="661F438E" w14:textId="77777777" w:rsidTr="00694299">
        <w:trPr>
          <w:divId w:val="191265739"/>
          <w:trHeight w:val="324"/>
        </w:trPr>
        <w:tc>
          <w:tcPr>
            <w:tcW w:w="851" w:type="dxa"/>
            <w:tcBorders>
              <w:top w:val="nil"/>
              <w:left w:val="single" w:sz="8" w:space="0" w:color="auto"/>
              <w:bottom w:val="single" w:sz="8" w:space="0" w:color="auto"/>
              <w:right w:val="nil"/>
            </w:tcBorders>
            <w:shd w:val="clear" w:color="auto" w:fill="auto"/>
            <w:vAlign w:val="center"/>
            <w:hideMark/>
          </w:tcPr>
          <w:p w14:paraId="4C6DA641"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19</w:t>
            </w:r>
          </w:p>
        </w:tc>
        <w:tc>
          <w:tcPr>
            <w:tcW w:w="3685" w:type="dxa"/>
            <w:tcBorders>
              <w:top w:val="nil"/>
              <w:left w:val="single" w:sz="8" w:space="0" w:color="auto"/>
              <w:bottom w:val="single" w:sz="8" w:space="0" w:color="auto"/>
              <w:right w:val="nil"/>
            </w:tcBorders>
            <w:shd w:val="clear" w:color="auto" w:fill="auto"/>
            <w:vAlign w:val="center"/>
            <w:hideMark/>
          </w:tcPr>
          <w:p w14:paraId="258FF079"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Provisiones, Pasivos contingentes y Activos Contingentes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1E0908CF"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5BA39F2D"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2F1E611B"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3B8027E5"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92,00%</w:t>
            </w:r>
          </w:p>
        </w:tc>
        <w:tc>
          <w:tcPr>
            <w:tcW w:w="1157" w:type="dxa"/>
            <w:tcBorders>
              <w:top w:val="nil"/>
              <w:left w:val="nil"/>
              <w:bottom w:val="single" w:sz="8" w:space="0" w:color="auto"/>
              <w:right w:val="single" w:sz="8" w:space="0" w:color="auto"/>
            </w:tcBorders>
            <w:shd w:val="clear" w:color="auto" w:fill="auto"/>
            <w:noWrap/>
            <w:vAlign w:val="bottom"/>
            <w:hideMark/>
          </w:tcPr>
          <w:p w14:paraId="3E8742ED"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r>
      <w:tr w:rsidR="00694299" w:rsidRPr="00694299" w14:paraId="59AF695A" w14:textId="77777777" w:rsidTr="00694299">
        <w:trPr>
          <w:divId w:val="191265739"/>
          <w:trHeight w:val="324"/>
        </w:trPr>
        <w:tc>
          <w:tcPr>
            <w:tcW w:w="851" w:type="dxa"/>
            <w:tcBorders>
              <w:top w:val="nil"/>
              <w:left w:val="single" w:sz="8" w:space="0" w:color="auto"/>
              <w:bottom w:val="single" w:sz="8" w:space="0" w:color="auto"/>
              <w:right w:val="nil"/>
            </w:tcBorders>
            <w:shd w:val="clear" w:color="auto" w:fill="auto"/>
            <w:vAlign w:val="center"/>
            <w:hideMark/>
          </w:tcPr>
          <w:p w14:paraId="586F8709"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20</w:t>
            </w:r>
          </w:p>
        </w:tc>
        <w:tc>
          <w:tcPr>
            <w:tcW w:w="3685" w:type="dxa"/>
            <w:tcBorders>
              <w:top w:val="nil"/>
              <w:left w:val="single" w:sz="8" w:space="0" w:color="auto"/>
              <w:bottom w:val="single" w:sz="8" w:space="0" w:color="auto"/>
              <w:right w:val="nil"/>
            </w:tcBorders>
            <w:shd w:val="clear" w:color="auto" w:fill="auto"/>
            <w:vAlign w:val="center"/>
            <w:hideMark/>
          </w:tcPr>
          <w:p w14:paraId="499C460D"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Información a Revelar sobre partes relacionadas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0B383C24"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0767D546"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356D87A4"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45F974AC"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64,00%</w:t>
            </w:r>
          </w:p>
        </w:tc>
        <w:tc>
          <w:tcPr>
            <w:tcW w:w="1157" w:type="dxa"/>
            <w:tcBorders>
              <w:top w:val="nil"/>
              <w:left w:val="nil"/>
              <w:bottom w:val="single" w:sz="8" w:space="0" w:color="auto"/>
              <w:right w:val="single" w:sz="8" w:space="0" w:color="auto"/>
            </w:tcBorders>
            <w:shd w:val="clear" w:color="auto" w:fill="auto"/>
            <w:noWrap/>
            <w:vAlign w:val="bottom"/>
            <w:hideMark/>
          </w:tcPr>
          <w:p w14:paraId="0DFDB903"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r>
      <w:tr w:rsidR="00694299" w:rsidRPr="00694299" w14:paraId="0E50B15A" w14:textId="77777777" w:rsidTr="00694299">
        <w:trPr>
          <w:divId w:val="191265739"/>
          <w:trHeight w:val="324"/>
        </w:trPr>
        <w:tc>
          <w:tcPr>
            <w:tcW w:w="851" w:type="dxa"/>
            <w:tcBorders>
              <w:top w:val="nil"/>
              <w:left w:val="single" w:sz="8" w:space="0" w:color="auto"/>
              <w:bottom w:val="single" w:sz="8" w:space="0" w:color="auto"/>
              <w:right w:val="nil"/>
            </w:tcBorders>
            <w:shd w:val="clear" w:color="auto" w:fill="auto"/>
            <w:vAlign w:val="center"/>
            <w:hideMark/>
          </w:tcPr>
          <w:p w14:paraId="3969838D"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21</w:t>
            </w:r>
          </w:p>
        </w:tc>
        <w:tc>
          <w:tcPr>
            <w:tcW w:w="3685" w:type="dxa"/>
            <w:tcBorders>
              <w:top w:val="nil"/>
              <w:left w:val="single" w:sz="8" w:space="0" w:color="auto"/>
              <w:bottom w:val="single" w:sz="8" w:space="0" w:color="auto"/>
              <w:right w:val="nil"/>
            </w:tcBorders>
            <w:shd w:val="clear" w:color="auto" w:fill="auto"/>
            <w:vAlign w:val="center"/>
            <w:hideMark/>
          </w:tcPr>
          <w:p w14:paraId="1FE89A9B"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Deterioro de Valor de Activos no generadores de Efectivo</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397FF2BE"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7C9032F8"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43004D07"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7D97E5F9" w14:textId="1B8335C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2</w:t>
            </w:r>
            <w:r w:rsidR="005D05BD">
              <w:rPr>
                <w:rFonts w:eastAsia="Times New Roman" w:cs="Calibri"/>
                <w:color w:val="000000"/>
                <w:sz w:val="18"/>
                <w:lang w:eastAsia="es-CR"/>
              </w:rPr>
              <w:t>7</w:t>
            </w:r>
            <w:r w:rsidRPr="00694299">
              <w:rPr>
                <w:rFonts w:eastAsia="Times New Roman" w:cs="Calibri"/>
                <w:color w:val="000000"/>
                <w:sz w:val="18"/>
                <w:lang w:eastAsia="es-CR"/>
              </w:rPr>
              <w:t>,</w:t>
            </w:r>
            <w:r w:rsidR="005D05BD">
              <w:rPr>
                <w:rFonts w:eastAsia="Times New Roman" w:cs="Calibri"/>
                <w:color w:val="000000"/>
                <w:sz w:val="18"/>
                <w:lang w:eastAsia="es-CR"/>
              </w:rPr>
              <w:t>00</w:t>
            </w:r>
            <w:r w:rsidRPr="00694299">
              <w:rPr>
                <w:rFonts w:eastAsia="Times New Roman" w:cs="Calibri"/>
                <w:color w:val="000000"/>
                <w:sz w:val="18"/>
                <w:lang w:eastAsia="es-CR"/>
              </w:rPr>
              <w:t>%</w:t>
            </w:r>
          </w:p>
        </w:tc>
        <w:tc>
          <w:tcPr>
            <w:tcW w:w="1157" w:type="dxa"/>
            <w:tcBorders>
              <w:top w:val="nil"/>
              <w:left w:val="nil"/>
              <w:bottom w:val="single" w:sz="8" w:space="0" w:color="auto"/>
              <w:right w:val="single" w:sz="8" w:space="0" w:color="auto"/>
            </w:tcBorders>
            <w:shd w:val="clear" w:color="auto" w:fill="auto"/>
            <w:noWrap/>
            <w:vAlign w:val="bottom"/>
            <w:hideMark/>
          </w:tcPr>
          <w:p w14:paraId="475E78E5"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r>
      <w:tr w:rsidR="00694299" w:rsidRPr="00694299" w14:paraId="6388542B" w14:textId="77777777" w:rsidTr="00694299">
        <w:trPr>
          <w:divId w:val="191265739"/>
          <w:trHeight w:val="528"/>
        </w:trPr>
        <w:tc>
          <w:tcPr>
            <w:tcW w:w="851" w:type="dxa"/>
            <w:tcBorders>
              <w:top w:val="nil"/>
              <w:left w:val="single" w:sz="8" w:space="0" w:color="auto"/>
              <w:bottom w:val="single" w:sz="8" w:space="0" w:color="auto"/>
              <w:right w:val="nil"/>
            </w:tcBorders>
            <w:shd w:val="clear" w:color="auto" w:fill="auto"/>
            <w:vAlign w:val="center"/>
            <w:hideMark/>
          </w:tcPr>
          <w:p w14:paraId="48B07A19"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22</w:t>
            </w:r>
          </w:p>
        </w:tc>
        <w:tc>
          <w:tcPr>
            <w:tcW w:w="3685" w:type="dxa"/>
            <w:tcBorders>
              <w:top w:val="nil"/>
              <w:left w:val="single" w:sz="8" w:space="0" w:color="auto"/>
              <w:bottom w:val="single" w:sz="8" w:space="0" w:color="auto"/>
              <w:right w:val="nil"/>
            </w:tcBorders>
            <w:shd w:val="clear" w:color="auto" w:fill="auto"/>
            <w:vAlign w:val="center"/>
            <w:hideMark/>
          </w:tcPr>
          <w:p w14:paraId="3548F7F6"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Revelación de Información Financiera sobre Sector Gobierno General</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4B5D5AE7"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57753525"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4684B57E"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No</w:t>
            </w:r>
          </w:p>
        </w:tc>
        <w:tc>
          <w:tcPr>
            <w:tcW w:w="1067" w:type="dxa"/>
            <w:tcBorders>
              <w:top w:val="nil"/>
              <w:left w:val="nil"/>
              <w:bottom w:val="single" w:sz="8" w:space="0" w:color="auto"/>
              <w:right w:val="single" w:sz="8" w:space="0" w:color="auto"/>
            </w:tcBorders>
            <w:shd w:val="clear" w:color="auto" w:fill="auto"/>
            <w:noWrap/>
            <w:vAlign w:val="bottom"/>
            <w:hideMark/>
          </w:tcPr>
          <w:p w14:paraId="6C336F93"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 </w:t>
            </w:r>
          </w:p>
        </w:tc>
        <w:tc>
          <w:tcPr>
            <w:tcW w:w="1157" w:type="dxa"/>
            <w:tcBorders>
              <w:top w:val="nil"/>
              <w:left w:val="nil"/>
              <w:bottom w:val="single" w:sz="8" w:space="0" w:color="auto"/>
              <w:right w:val="single" w:sz="8" w:space="0" w:color="auto"/>
            </w:tcBorders>
            <w:shd w:val="clear" w:color="auto" w:fill="auto"/>
            <w:noWrap/>
            <w:vAlign w:val="bottom"/>
            <w:hideMark/>
          </w:tcPr>
          <w:p w14:paraId="0C4C3B37"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 </w:t>
            </w:r>
          </w:p>
        </w:tc>
      </w:tr>
      <w:tr w:rsidR="00694299" w:rsidRPr="00694299" w14:paraId="66B50C51" w14:textId="77777777" w:rsidTr="00694299">
        <w:trPr>
          <w:divId w:val="191265739"/>
          <w:trHeight w:val="564"/>
        </w:trPr>
        <w:tc>
          <w:tcPr>
            <w:tcW w:w="851" w:type="dxa"/>
            <w:tcBorders>
              <w:top w:val="nil"/>
              <w:left w:val="single" w:sz="8" w:space="0" w:color="auto"/>
              <w:bottom w:val="single" w:sz="8" w:space="0" w:color="auto"/>
              <w:right w:val="nil"/>
            </w:tcBorders>
            <w:shd w:val="clear" w:color="auto" w:fill="auto"/>
            <w:vAlign w:val="center"/>
            <w:hideMark/>
          </w:tcPr>
          <w:p w14:paraId="0011CF64"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23</w:t>
            </w:r>
          </w:p>
        </w:tc>
        <w:tc>
          <w:tcPr>
            <w:tcW w:w="3685" w:type="dxa"/>
            <w:tcBorders>
              <w:top w:val="nil"/>
              <w:left w:val="single" w:sz="8" w:space="0" w:color="auto"/>
              <w:bottom w:val="single" w:sz="8" w:space="0" w:color="auto"/>
              <w:right w:val="nil"/>
            </w:tcBorders>
            <w:shd w:val="clear" w:color="auto" w:fill="auto"/>
            <w:vAlign w:val="center"/>
            <w:hideMark/>
          </w:tcPr>
          <w:p w14:paraId="464DD3AB"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Ingresos ordinarios provenientes de transacciones que no son de intercambio (Impuestos y transferencias)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32BE24A2"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43903657"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0E817921"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1810B272" w14:textId="0081BBD6" w:rsidR="00694299" w:rsidRPr="00694299" w:rsidRDefault="005D05BD" w:rsidP="00694299">
            <w:pPr>
              <w:spacing w:after="0" w:line="240" w:lineRule="auto"/>
              <w:jc w:val="center"/>
              <w:rPr>
                <w:rFonts w:eastAsia="Times New Roman" w:cs="Calibri"/>
                <w:color w:val="000000"/>
                <w:sz w:val="18"/>
                <w:lang w:eastAsia="es-CR"/>
              </w:rPr>
            </w:pPr>
            <w:r>
              <w:rPr>
                <w:rFonts w:eastAsia="Times New Roman" w:cs="Calibri"/>
                <w:color w:val="000000"/>
                <w:sz w:val="18"/>
                <w:lang w:eastAsia="es-CR"/>
              </w:rPr>
              <w:t>100</w:t>
            </w:r>
            <w:r w:rsidR="00694299" w:rsidRPr="00694299">
              <w:rPr>
                <w:rFonts w:eastAsia="Times New Roman" w:cs="Calibri"/>
                <w:color w:val="000000"/>
                <w:sz w:val="18"/>
                <w:lang w:eastAsia="es-CR"/>
              </w:rPr>
              <w:t>,</w:t>
            </w:r>
            <w:r>
              <w:rPr>
                <w:rFonts w:eastAsia="Times New Roman" w:cs="Calibri"/>
                <w:color w:val="000000"/>
                <w:sz w:val="18"/>
                <w:lang w:eastAsia="es-CR"/>
              </w:rPr>
              <w:t>00</w:t>
            </w:r>
            <w:r w:rsidR="00694299" w:rsidRPr="00694299">
              <w:rPr>
                <w:rFonts w:eastAsia="Times New Roman" w:cs="Calibri"/>
                <w:color w:val="000000"/>
                <w:sz w:val="18"/>
                <w:lang w:eastAsia="es-CR"/>
              </w:rPr>
              <w:t>%</w:t>
            </w:r>
          </w:p>
        </w:tc>
        <w:tc>
          <w:tcPr>
            <w:tcW w:w="1157" w:type="dxa"/>
            <w:tcBorders>
              <w:top w:val="nil"/>
              <w:left w:val="nil"/>
              <w:bottom w:val="single" w:sz="8" w:space="0" w:color="auto"/>
              <w:right w:val="single" w:sz="8" w:space="0" w:color="auto"/>
            </w:tcBorders>
            <w:shd w:val="clear" w:color="auto" w:fill="auto"/>
            <w:noWrap/>
            <w:vAlign w:val="bottom"/>
            <w:hideMark/>
          </w:tcPr>
          <w:p w14:paraId="539A6F84"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r>
      <w:tr w:rsidR="00694299" w:rsidRPr="00694299" w14:paraId="2FB75F48" w14:textId="77777777" w:rsidTr="00694299">
        <w:trPr>
          <w:divId w:val="191265739"/>
          <w:trHeight w:val="540"/>
        </w:trPr>
        <w:tc>
          <w:tcPr>
            <w:tcW w:w="851" w:type="dxa"/>
            <w:tcBorders>
              <w:top w:val="nil"/>
              <w:left w:val="single" w:sz="8" w:space="0" w:color="auto"/>
              <w:bottom w:val="single" w:sz="8" w:space="0" w:color="auto"/>
              <w:right w:val="nil"/>
            </w:tcBorders>
            <w:shd w:val="clear" w:color="auto" w:fill="auto"/>
            <w:vAlign w:val="center"/>
            <w:hideMark/>
          </w:tcPr>
          <w:p w14:paraId="4AA678CF"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24</w:t>
            </w:r>
          </w:p>
        </w:tc>
        <w:tc>
          <w:tcPr>
            <w:tcW w:w="3685" w:type="dxa"/>
            <w:tcBorders>
              <w:top w:val="nil"/>
              <w:left w:val="single" w:sz="8" w:space="0" w:color="auto"/>
              <w:bottom w:val="single" w:sz="8" w:space="0" w:color="auto"/>
              <w:right w:val="nil"/>
            </w:tcBorders>
            <w:shd w:val="clear" w:color="auto" w:fill="auto"/>
            <w:vAlign w:val="center"/>
            <w:hideMark/>
          </w:tcPr>
          <w:p w14:paraId="6F7580ED"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Presentación de Información del presupuesto en los Estados Financieros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09DFFB3D"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70B5FF71"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1115794E"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7FDB647F" w14:textId="192640B5"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6</w:t>
            </w:r>
            <w:r w:rsidR="005D05BD">
              <w:rPr>
                <w:rFonts w:eastAsia="Times New Roman" w:cs="Calibri"/>
                <w:color w:val="000000"/>
                <w:sz w:val="18"/>
                <w:lang w:eastAsia="es-CR"/>
              </w:rPr>
              <w:t>3</w:t>
            </w:r>
            <w:r w:rsidRPr="00694299">
              <w:rPr>
                <w:rFonts w:eastAsia="Times New Roman" w:cs="Calibri"/>
                <w:color w:val="000000"/>
                <w:sz w:val="18"/>
                <w:lang w:eastAsia="es-CR"/>
              </w:rPr>
              <w:t>,</w:t>
            </w:r>
            <w:r w:rsidR="005D05BD">
              <w:rPr>
                <w:rFonts w:eastAsia="Times New Roman" w:cs="Calibri"/>
                <w:color w:val="000000"/>
                <w:sz w:val="18"/>
                <w:lang w:eastAsia="es-CR"/>
              </w:rPr>
              <w:t>00</w:t>
            </w:r>
            <w:r w:rsidRPr="00694299">
              <w:rPr>
                <w:rFonts w:eastAsia="Times New Roman" w:cs="Calibri"/>
                <w:color w:val="000000"/>
                <w:sz w:val="18"/>
                <w:lang w:eastAsia="es-CR"/>
              </w:rPr>
              <w:t>%</w:t>
            </w:r>
          </w:p>
        </w:tc>
        <w:tc>
          <w:tcPr>
            <w:tcW w:w="1157" w:type="dxa"/>
            <w:tcBorders>
              <w:top w:val="nil"/>
              <w:left w:val="nil"/>
              <w:bottom w:val="single" w:sz="8" w:space="0" w:color="auto"/>
              <w:right w:val="single" w:sz="8" w:space="0" w:color="auto"/>
            </w:tcBorders>
            <w:shd w:val="clear" w:color="auto" w:fill="auto"/>
            <w:noWrap/>
            <w:vAlign w:val="bottom"/>
            <w:hideMark/>
          </w:tcPr>
          <w:p w14:paraId="1EAB6110"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No</w:t>
            </w:r>
          </w:p>
        </w:tc>
      </w:tr>
      <w:tr w:rsidR="00694299" w:rsidRPr="00694299" w14:paraId="525E7B64" w14:textId="77777777" w:rsidTr="00694299">
        <w:trPr>
          <w:divId w:val="191265739"/>
          <w:trHeight w:val="288"/>
        </w:trPr>
        <w:tc>
          <w:tcPr>
            <w:tcW w:w="851" w:type="dxa"/>
            <w:tcBorders>
              <w:top w:val="nil"/>
              <w:left w:val="single" w:sz="8" w:space="0" w:color="auto"/>
              <w:bottom w:val="single" w:sz="8" w:space="0" w:color="auto"/>
              <w:right w:val="nil"/>
            </w:tcBorders>
            <w:shd w:val="clear" w:color="000000" w:fill="FFC000"/>
            <w:vAlign w:val="center"/>
            <w:hideMark/>
          </w:tcPr>
          <w:p w14:paraId="28CF170A"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25</w:t>
            </w:r>
          </w:p>
        </w:tc>
        <w:tc>
          <w:tcPr>
            <w:tcW w:w="3685" w:type="dxa"/>
            <w:tcBorders>
              <w:top w:val="nil"/>
              <w:left w:val="single" w:sz="8" w:space="0" w:color="auto"/>
              <w:bottom w:val="single" w:sz="8" w:space="0" w:color="auto"/>
              <w:right w:val="nil"/>
            </w:tcBorders>
            <w:shd w:val="clear" w:color="000000" w:fill="FFC000"/>
            <w:vAlign w:val="center"/>
            <w:hideMark/>
          </w:tcPr>
          <w:p w14:paraId="2BB391DB"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Beneficios a los Empleados</w:t>
            </w:r>
          </w:p>
        </w:tc>
        <w:tc>
          <w:tcPr>
            <w:tcW w:w="5410" w:type="dxa"/>
            <w:gridSpan w:val="5"/>
            <w:tcBorders>
              <w:top w:val="single" w:sz="8" w:space="0" w:color="auto"/>
              <w:left w:val="single" w:sz="8" w:space="0" w:color="auto"/>
              <w:bottom w:val="single" w:sz="8" w:space="0" w:color="auto"/>
              <w:right w:val="single" w:sz="8" w:space="0" w:color="000000"/>
            </w:tcBorders>
            <w:shd w:val="clear" w:color="000000" w:fill="FFC000"/>
            <w:noWrap/>
            <w:vAlign w:val="center"/>
            <w:hideMark/>
          </w:tcPr>
          <w:p w14:paraId="22EF5361"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Derogada en la versión 2018</w:t>
            </w:r>
          </w:p>
        </w:tc>
      </w:tr>
      <w:tr w:rsidR="00694299" w:rsidRPr="00694299" w14:paraId="4946A6FD" w14:textId="77777777" w:rsidTr="00694299">
        <w:trPr>
          <w:divId w:val="191265739"/>
          <w:trHeight w:val="324"/>
        </w:trPr>
        <w:tc>
          <w:tcPr>
            <w:tcW w:w="851" w:type="dxa"/>
            <w:tcBorders>
              <w:top w:val="nil"/>
              <w:left w:val="single" w:sz="8" w:space="0" w:color="auto"/>
              <w:bottom w:val="single" w:sz="8" w:space="0" w:color="auto"/>
              <w:right w:val="nil"/>
            </w:tcBorders>
            <w:shd w:val="clear" w:color="auto" w:fill="auto"/>
            <w:vAlign w:val="center"/>
            <w:hideMark/>
          </w:tcPr>
          <w:p w14:paraId="0DB08C4A"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26</w:t>
            </w:r>
          </w:p>
        </w:tc>
        <w:tc>
          <w:tcPr>
            <w:tcW w:w="3685" w:type="dxa"/>
            <w:tcBorders>
              <w:top w:val="nil"/>
              <w:left w:val="single" w:sz="8" w:space="0" w:color="auto"/>
              <w:bottom w:val="single" w:sz="8" w:space="0" w:color="auto"/>
              <w:right w:val="nil"/>
            </w:tcBorders>
            <w:shd w:val="clear" w:color="auto" w:fill="auto"/>
            <w:vAlign w:val="center"/>
            <w:hideMark/>
          </w:tcPr>
          <w:p w14:paraId="4902A802"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Deterioro del Valor de Activos generadores de efectivo</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05F42641"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026C30B5"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0B953FDD"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77BFA5ED"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30,00%</w:t>
            </w:r>
          </w:p>
        </w:tc>
        <w:tc>
          <w:tcPr>
            <w:tcW w:w="1157" w:type="dxa"/>
            <w:tcBorders>
              <w:top w:val="nil"/>
              <w:left w:val="nil"/>
              <w:bottom w:val="single" w:sz="8" w:space="0" w:color="auto"/>
              <w:right w:val="single" w:sz="8" w:space="0" w:color="auto"/>
            </w:tcBorders>
            <w:shd w:val="clear" w:color="auto" w:fill="auto"/>
            <w:noWrap/>
            <w:vAlign w:val="bottom"/>
            <w:hideMark/>
          </w:tcPr>
          <w:p w14:paraId="0E4D5F1D"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r>
      <w:tr w:rsidR="00694299" w:rsidRPr="00694299" w14:paraId="15425C7D" w14:textId="77777777" w:rsidTr="00694299">
        <w:trPr>
          <w:divId w:val="191265739"/>
          <w:trHeight w:val="324"/>
        </w:trPr>
        <w:tc>
          <w:tcPr>
            <w:tcW w:w="851" w:type="dxa"/>
            <w:tcBorders>
              <w:top w:val="nil"/>
              <w:left w:val="single" w:sz="8" w:space="0" w:color="auto"/>
              <w:bottom w:val="single" w:sz="8" w:space="0" w:color="auto"/>
              <w:right w:val="nil"/>
            </w:tcBorders>
            <w:shd w:val="clear" w:color="auto" w:fill="auto"/>
            <w:vAlign w:val="center"/>
            <w:hideMark/>
          </w:tcPr>
          <w:p w14:paraId="36810E61"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27</w:t>
            </w:r>
          </w:p>
        </w:tc>
        <w:tc>
          <w:tcPr>
            <w:tcW w:w="3685" w:type="dxa"/>
            <w:tcBorders>
              <w:top w:val="nil"/>
              <w:left w:val="single" w:sz="8" w:space="0" w:color="auto"/>
              <w:bottom w:val="single" w:sz="8" w:space="0" w:color="auto"/>
              <w:right w:val="nil"/>
            </w:tcBorders>
            <w:shd w:val="clear" w:color="auto" w:fill="auto"/>
            <w:vAlign w:val="center"/>
            <w:hideMark/>
          </w:tcPr>
          <w:p w14:paraId="10116A3F"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Agricultura</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07259F8C"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49667B3A"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7B9230D7"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No</w:t>
            </w:r>
          </w:p>
        </w:tc>
        <w:tc>
          <w:tcPr>
            <w:tcW w:w="1067" w:type="dxa"/>
            <w:tcBorders>
              <w:top w:val="nil"/>
              <w:left w:val="nil"/>
              <w:bottom w:val="single" w:sz="8" w:space="0" w:color="auto"/>
              <w:right w:val="single" w:sz="8" w:space="0" w:color="auto"/>
            </w:tcBorders>
            <w:shd w:val="clear" w:color="auto" w:fill="auto"/>
            <w:noWrap/>
            <w:vAlign w:val="bottom"/>
            <w:hideMark/>
          </w:tcPr>
          <w:p w14:paraId="3268A0F7"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 </w:t>
            </w:r>
          </w:p>
        </w:tc>
        <w:tc>
          <w:tcPr>
            <w:tcW w:w="1157" w:type="dxa"/>
            <w:tcBorders>
              <w:top w:val="nil"/>
              <w:left w:val="nil"/>
              <w:bottom w:val="single" w:sz="8" w:space="0" w:color="auto"/>
              <w:right w:val="single" w:sz="8" w:space="0" w:color="auto"/>
            </w:tcBorders>
            <w:shd w:val="clear" w:color="auto" w:fill="auto"/>
            <w:noWrap/>
            <w:vAlign w:val="bottom"/>
            <w:hideMark/>
          </w:tcPr>
          <w:p w14:paraId="72F3FD1E"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 </w:t>
            </w:r>
          </w:p>
        </w:tc>
      </w:tr>
      <w:tr w:rsidR="00694299" w:rsidRPr="00694299" w14:paraId="720FE17B" w14:textId="77777777" w:rsidTr="00694299">
        <w:trPr>
          <w:divId w:val="191265739"/>
          <w:trHeight w:val="324"/>
        </w:trPr>
        <w:tc>
          <w:tcPr>
            <w:tcW w:w="851" w:type="dxa"/>
            <w:tcBorders>
              <w:top w:val="nil"/>
              <w:left w:val="single" w:sz="8" w:space="0" w:color="auto"/>
              <w:bottom w:val="single" w:sz="8" w:space="0" w:color="auto"/>
              <w:right w:val="nil"/>
            </w:tcBorders>
            <w:shd w:val="clear" w:color="auto" w:fill="auto"/>
            <w:vAlign w:val="center"/>
            <w:hideMark/>
          </w:tcPr>
          <w:p w14:paraId="2DE2F32A"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28</w:t>
            </w:r>
          </w:p>
        </w:tc>
        <w:tc>
          <w:tcPr>
            <w:tcW w:w="3685" w:type="dxa"/>
            <w:tcBorders>
              <w:top w:val="nil"/>
              <w:left w:val="single" w:sz="8" w:space="0" w:color="auto"/>
              <w:bottom w:val="single" w:sz="8" w:space="0" w:color="auto"/>
              <w:right w:val="nil"/>
            </w:tcBorders>
            <w:shd w:val="clear" w:color="auto" w:fill="auto"/>
            <w:vAlign w:val="center"/>
            <w:hideMark/>
          </w:tcPr>
          <w:p w14:paraId="76975E3B"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Instrumentos Financieros- Presentación</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280704AE"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304B5BCE"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560DCA72"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6A1C64BB"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100,00%</w:t>
            </w:r>
          </w:p>
        </w:tc>
        <w:tc>
          <w:tcPr>
            <w:tcW w:w="1157" w:type="dxa"/>
            <w:tcBorders>
              <w:top w:val="nil"/>
              <w:left w:val="nil"/>
              <w:bottom w:val="single" w:sz="8" w:space="0" w:color="auto"/>
              <w:right w:val="single" w:sz="8" w:space="0" w:color="auto"/>
            </w:tcBorders>
            <w:shd w:val="clear" w:color="auto" w:fill="auto"/>
            <w:noWrap/>
            <w:vAlign w:val="bottom"/>
            <w:hideMark/>
          </w:tcPr>
          <w:p w14:paraId="5E515AA9"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0</w:t>
            </w:r>
          </w:p>
        </w:tc>
      </w:tr>
      <w:tr w:rsidR="00694299" w:rsidRPr="00694299" w14:paraId="491FB73E" w14:textId="77777777" w:rsidTr="00694299">
        <w:trPr>
          <w:divId w:val="191265739"/>
          <w:trHeight w:val="324"/>
        </w:trPr>
        <w:tc>
          <w:tcPr>
            <w:tcW w:w="851" w:type="dxa"/>
            <w:tcBorders>
              <w:top w:val="nil"/>
              <w:left w:val="single" w:sz="8" w:space="0" w:color="auto"/>
              <w:bottom w:val="single" w:sz="8" w:space="0" w:color="auto"/>
              <w:right w:val="nil"/>
            </w:tcBorders>
            <w:shd w:val="clear" w:color="auto" w:fill="auto"/>
            <w:vAlign w:val="center"/>
            <w:hideMark/>
          </w:tcPr>
          <w:p w14:paraId="664A0E96"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29</w:t>
            </w:r>
          </w:p>
        </w:tc>
        <w:tc>
          <w:tcPr>
            <w:tcW w:w="3685" w:type="dxa"/>
            <w:tcBorders>
              <w:top w:val="nil"/>
              <w:left w:val="single" w:sz="8" w:space="0" w:color="auto"/>
              <w:bottom w:val="single" w:sz="8" w:space="0" w:color="auto"/>
              <w:right w:val="nil"/>
            </w:tcBorders>
            <w:shd w:val="clear" w:color="auto" w:fill="auto"/>
            <w:vAlign w:val="center"/>
            <w:hideMark/>
          </w:tcPr>
          <w:p w14:paraId="421E87B4"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Instrumentos Financieros- Reconocimiento y Medición</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2848DDDB"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0E73EFC1"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10C186BF"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6B5B19BD"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100,00%</w:t>
            </w:r>
          </w:p>
        </w:tc>
        <w:tc>
          <w:tcPr>
            <w:tcW w:w="1157" w:type="dxa"/>
            <w:tcBorders>
              <w:top w:val="nil"/>
              <w:left w:val="nil"/>
              <w:bottom w:val="single" w:sz="8" w:space="0" w:color="auto"/>
              <w:right w:val="single" w:sz="8" w:space="0" w:color="auto"/>
            </w:tcBorders>
            <w:shd w:val="clear" w:color="auto" w:fill="auto"/>
            <w:noWrap/>
            <w:vAlign w:val="bottom"/>
            <w:hideMark/>
          </w:tcPr>
          <w:p w14:paraId="20F74506"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r>
      <w:tr w:rsidR="00694299" w:rsidRPr="00694299" w14:paraId="4C5485FC" w14:textId="77777777" w:rsidTr="00694299">
        <w:trPr>
          <w:divId w:val="191265739"/>
          <w:trHeight w:val="324"/>
        </w:trPr>
        <w:tc>
          <w:tcPr>
            <w:tcW w:w="851" w:type="dxa"/>
            <w:tcBorders>
              <w:top w:val="nil"/>
              <w:left w:val="single" w:sz="8" w:space="0" w:color="auto"/>
              <w:bottom w:val="single" w:sz="8" w:space="0" w:color="auto"/>
              <w:right w:val="nil"/>
            </w:tcBorders>
            <w:shd w:val="clear" w:color="auto" w:fill="auto"/>
            <w:vAlign w:val="center"/>
            <w:hideMark/>
          </w:tcPr>
          <w:p w14:paraId="60C5AAFA"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30</w:t>
            </w:r>
          </w:p>
        </w:tc>
        <w:tc>
          <w:tcPr>
            <w:tcW w:w="3685" w:type="dxa"/>
            <w:tcBorders>
              <w:top w:val="nil"/>
              <w:left w:val="single" w:sz="8" w:space="0" w:color="auto"/>
              <w:bottom w:val="single" w:sz="8" w:space="0" w:color="auto"/>
              <w:right w:val="nil"/>
            </w:tcBorders>
            <w:shd w:val="clear" w:color="auto" w:fill="auto"/>
            <w:vAlign w:val="center"/>
            <w:hideMark/>
          </w:tcPr>
          <w:p w14:paraId="1A3D106A"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Instrumentos Financieros- Información a revelar</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33AB72F2"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53658FD8"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7A4C3AD1"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59794C99"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65,15%</w:t>
            </w:r>
          </w:p>
        </w:tc>
        <w:tc>
          <w:tcPr>
            <w:tcW w:w="1157" w:type="dxa"/>
            <w:tcBorders>
              <w:top w:val="nil"/>
              <w:left w:val="nil"/>
              <w:bottom w:val="single" w:sz="8" w:space="0" w:color="auto"/>
              <w:right w:val="single" w:sz="8" w:space="0" w:color="auto"/>
            </w:tcBorders>
            <w:shd w:val="clear" w:color="auto" w:fill="auto"/>
            <w:noWrap/>
            <w:vAlign w:val="bottom"/>
            <w:hideMark/>
          </w:tcPr>
          <w:p w14:paraId="1D7C8059"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No</w:t>
            </w:r>
          </w:p>
        </w:tc>
      </w:tr>
      <w:tr w:rsidR="00694299" w:rsidRPr="00694299" w14:paraId="02285E34" w14:textId="77777777" w:rsidTr="00694299">
        <w:trPr>
          <w:divId w:val="191265739"/>
          <w:trHeight w:val="324"/>
        </w:trPr>
        <w:tc>
          <w:tcPr>
            <w:tcW w:w="851" w:type="dxa"/>
            <w:tcBorders>
              <w:top w:val="nil"/>
              <w:left w:val="single" w:sz="8" w:space="0" w:color="auto"/>
              <w:bottom w:val="single" w:sz="8" w:space="0" w:color="auto"/>
              <w:right w:val="nil"/>
            </w:tcBorders>
            <w:shd w:val="clear" w:color="auto" w:fill="auto"/>
            <w:vAlign w:val="center"/>
            <w:hideMark/>
          </w:tcPr>
          <w:p w14:paraId="61A50277"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31</w:t>
            </w:r>
          </w:p>
        </w:tc>
        <w:tc>
          <w:tcPr>
            <w:tcW w:w="3685" w:type="dxa"/>
            <w:tcBorders>
              <w:top w:val="nil"/>
              <w:left w:val="single" w:sz="8" w:space="0" w:color="auto"/>
              <w:bottom w:val="single" w:sz="8" w:space="0" w:color="auto"/>
              <w:right w:val="nil"/>
            </w:tcBorders>
            <w:shd w:val="clear" w:color="auto" w:fill="auto"/>
            <w:vAlign w:val="center"/>
            <w:hideMark/>
          </w:tcPr>
          <w:p w14:paraId="125C7AFB"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Activos Intangibles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00E6AA4E"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2C2031E0"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6A263969"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57757115" w14:textId="7FF35766"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53,</w:t>
            </w:r>
            <w:r w:rsidR="005D05BD">
              <w:rPr>
                <w:rFonts w:eastAsia="Times New Roman" w:cs="Calibri"/>
                <w:color w:val="000000"/>
                <w:sz w:val="18"/>
                <w:lang w:eastAsia="es-CR"/>
              </w:rPr>
              <w:t>00</w:t>
            </w:r>
            <w:r w:rsidRPr="00694299">
              <w:rPr>
                <w:rFonts w:eastAsia="Times New Roman" w:cs="Calibri"/>
                <w:color w:val="000000"/>
                <w:sz w:val="18"/>
                <w:lang w:eastAsia="es-CR"/>
              </w:rPr>
              <w:t>%</w:t>
            </w:r>
          </w:p>
        </w:tc>
        <w:tc>
          <w:tcPr>
            <w:tcW w:w="1157" w:type="dxa"/>
            <w:tcBorders>
              <w:top w:val="nil"/>
              <w:left w:val="nil"/>
              <w:bottom w:val="single" w:sz="8" w:space="0" w:color="auto"/>
              <w:right w:val="single" w:sz="8" w:space="0" w:color="auto"/>
            </w:tcBorders>
            <w:shd w:val="clear" w:color="auto" w:fill="auto"/>
            <w:noWrap/>
            <w:vAlign w:val="bottom"/>
            <w:hideMark/>
          </w:tcPr>
          <w:p w14:paraId="4F80256B"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r>
      <w:tr w:rsidR="00694299" w:rsidRPr="00694299" w14:paraId="19BEE1F0" w14:textId="77777777" w:rsidTr="00694299">
        <w:trPr>
          <w:divId w:val="191265739"/>
          <w:trHeight w:val="324"/>
        </w:trPr>
        <w:tc>
          <w:tcPr>
            <w:tcW w:w="851" w:type="dxa"/>
            <w:tcBorders>
              <w:top w:val="nil"/>
              <w:left w:val="single" w:sz="8" w:space="0" w:color="auto"/>
              <w:bottom w:val="nil"/>
              <w:right w:val="nil"/>
            </w:tcBorders>
            <w:shd w:val="clear" w:color="auto" w:fill="auto"/>
            <w:vAlign w:val="center"/>
            <w:hideMark/>
          </w:tcPr>
          <w:p w14:paraId="61B2ACAF"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32</w:t>
            </w:r>
          </w:p>
        </w:tc>
        <w:tc>
          <w:tcPr>
            <w:tcW w:w="3685" w:type="dxa"/>
            <w:tcBorders>
              <w:top w:val="nil"/>
              <w:left w:val="single" w:sz="8" w:space="0" w:color="auto"/>
              <w:bottom w:val="nil"/>
              <w:right w:val="nil"/>
            </w:tcBorders>
            <w:shd w:val="clear" w:color="auto" w:fill="auto"/>
            <w:vAlign w:val="center"/>
            <w:hideMark/>
          </w:tcPr>
          <w:p w14:paraId="1E978D78"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Acuerdos de servicio de concesión: Otorgante</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371B018C"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2217203E"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6C3CAFD4"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No</w:t>
            </w:r>
          </w:p>
        </w:tc>
        <w:tc>
          <w:tcPr>
            <w:tcW w:w="1067" w:type="dxa"/>
            <w:tcBorders>
              <w:top w:val="nil"/>
              <w:left w:val="nil"/>
              <w:bottom w:val="single" w:sz="8" w:space="0" w:color="auto"/>
              <w:right w:val="single" w:sz="8" w:space="0" w:color="auto"/>
            </w:tcBorders>
            <w:shd w:val="clear" w:color="auto" w:fill="auto"/>
            <w:noWrap/>
            <w:vAlign w:val="bottom"/>
            <w:hideMark/>
          </w:tcPr>
          <w:p w14:paraId="6F3258E4"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 </w:t>
            </w:r>
          </w:p>
        </w:tc>
        <w:tc>
          <w:tcPr>
            <w:tcW w:w="1157" w:type="dxa"/>
            <w:tcBorders>
              <w:top w:val="nil"/>
              <w:left w:val="nil"/>
              <w:bottom w:val="single" w:sz="8" w:space="0" w:color="auto"/>
              <w:right w:val="single" w:sz="8" w:space="0" w:color="auto"/>
            </w:tcBorders>
            <w:shd w:val="clear" w:color="auto" w:fill="auto"/>
            <w:noWrap/>
            <w:vAlign w:val="bottom"/>
            <w:hideMark/>
          </w:tcPr>
          <w:p w14:paraId="79890CD9"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 </w:t>
            </w:r>
          </w:p>
        </w:tc>
      </w:tr>
      <w:tr w:rsidR="00694299" w:rsidRPr="00694299" w14:paraId="6F815594" w14:textId="77777777" w:rsidTr="00694299">
        <w:trPr>
          <w:divId w:val="191265739"/>
          <w:trHeight w:val="564"/>
        </w:trPr>
        <w:tc>
          <w:tcPr>
            <w:tcW w:w="851" w:type="dxa"/>
            <w:tcBorders>
              <w:top w:val="single" w:sz="8" w:space="0" w:color="auto"/>
              <w:left w:val="single" w:sz="8" w:space="0" w:color="auto"/>
              <w:bottom w:val="nil"/>
              <w:right w:val="nil"/>
            </w:tcBorders>
            <w:shd w:val="clear" w:color="auto" w:fill="auto"/>
            <w:vAlign w:val="center"/>
            <w:hideMark/>
          </w:tcPr>
          <w:p w14:paraId="4AEE6677"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33</w:t>
            </w:r>
          </w:p>
        </w:tc>
        <w:tc>
          <w:tcPr>
            <w:tcW w:w="3685" w:type="dxa"/>
            <w:tcBorders>
              <w:top w:val="single" w:sz="8" w:space="0" w:color="auto"/>
              <w:left w:val="single" w:sz="8" w:space="0" w:color="auto"/>
              <w:bottom w:val="nil"/>
              <w:right w:val="nil"/>
            </w:tcBorders>
            <w:shd w:val="clear" w:color="auto" w:fill="auto"/>
            <w:vAlign w:val="center"/>
            <w:hideMark/>
          </w:tcPr>
          <w:p w14:paraId="36DDB880"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Adopción por primera vez de las NICSP de base de acumulación (o Devengo)</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72FBD519"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422B0EAD"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08DEE096"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695A96E2"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75,00%</w:t>
            </w:r>
          </w:p>
        </w:tc>
        <w:tc>
          <w:tcPr>
            <w:tcW w:w="1157" w:type="dxa"/>
            <w:tcBorders>
              <w:top w:val="nil"/>
              <w:left w:val="nil"/>
              <w:bottom w:val="single" w:sz="8" w:space="0" w:color="auto"/>
              <w:right w:val="single" w:sz="8" w:space="0" w:color="auto"/>
            </w:tcBorders>
            <w:shd w:val="clear" w:color="auto" w:fill="auto"/>
            <w:noWrap/>
            <w:vAlign w:val="bottom"/>
            <w:hideMark/>
          </w:tcPr>
          <w:p w14:paraId="535B4560"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No</w:t>
            </w:r>
          </w:p>
        </w:tc>
      </w:tr>
      <w:tr w:rsidR="00694299" w:rsidRPr="00694299" w14:paraId="4EBD0D71" w14:textId="77777777" w:rsidTr="00694299">
        <w:trPr>
          <w:divId w:val="191265739"/>
          <w:trHeight w:val="324"/>
        </w:trPr>
        <w:tc>
          <w:tcPr>
            <w:tcW w:w="851" w:type="dxa"/>
            <w:tcBorders>
              <w:top w:val="single" w:sz="8" w:space="0" w:color="auto"/>
              <w:left w:val="single" w:sz="8" w:space="0" w:color="auto"/>
              <w:bottom w:val="nil"/>
              <w:right w:val="nil"/>
            </w:tcBorders>
            <w:shd w:val="clear" w:color="auto" w:fill="auto"/>
            <w:vAlign w:val="center"/>
            <w:hideMark/>
          </w:tcPr>
          <w:p w14:paraId="4FBD0993"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34</w:t>
            </w:r>
          </w:p>
        </w:tc>
        <w:tc>
          <w:tcPr>
            <w:tcW w:w="3685" w:type="dxa"/>
            <w:tcBorders>
              <w:top w:val="single" w:sz="8" w:space="0" w:color="auto"/>
              <w:left w:val="single" w:sz="8" w:space="0" w:color="auto"/>
              <w:bottom w:val="nil"/>
              <w:right w:val="nil"/>
            </w:tcBorders>
            <w:shd w:val="clear" w:color="auto" w:fill="auto"/>
            <w:vAlign w:val="center"/>
            <w:hideMark/>
          </w:tcPr>
          <w:p w14:paraId="22251B27"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Estados financieros separados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048F7D57"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0FC821BD"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0BC30CCE"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No</w:t>
            </w:r>
          </w:p>
        </w:tc>
        <w:tc>
          <w:tcPr>
            <w:tcW w:w="1067" w:type="dxa"/>
            <w:tcBorders>
              <w:top w:val="nil"/>
              <w:left w:val="nil"/>
              <w:bottom w:val="single" w:sz="8" w:space="0" w:color="auto"/>
              <w:right w:val="single" w:sz="8" w:space="0" w:color="auto"/>
            </w:tcBorders>
            <w:shd w:val="clear" w:color="auto" w:fill="auto"/>
            <w:noWrap/>
            <w:vAlign w:val="bottom"/>
            <w:hideMark/>
          </w:tcPr>
          <w:p w14:paraId="54CEF6B4"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 </w:t>
            </w:r>
          </w:p>
        </w:tc>
        <w:tc>
          <w:tcPr>
            <w:tcW w:w="1157" w:type="dxa"/>
            <w:tcBorders>
              <w:top w:val="nil"/>
              <w:left w:val="nil"/>
              <w:bottom w:val="single" w:sz="8" w:space="0" w:color="auto"/>
              <w:right w:val="single" w:sz="8" w:space="0" w:color="auto"/>
            </w:tcBorders>
            <w:shd w:val="clear" w:color="auto" w:fill="auto"/>
            <w:noWrap/>
            <w:vAlign w:val="bottom"/>
            <w:hideMark/>
          </w:tcPr>
          <w:p w14:paraId="22DB3640"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 </w:t>
            </w:r>
          </w:p>
        </w:tc>
      </w:tr>
      <w:tr w:rsidR="00694299" w:rsidRPr="00694299" w14:paraId="51814CCD" w14:textId="77777777" w:rsidTr="00694299">
        <w:trPr>
          <w:divId w:val="191265739"/>
          <w:trHeight w:val="324"/>
        </w:trPr>
        <w:tc>
          <w:tcPr>
            <w:tcW w:w="851" w:type="dxa"/>
            <w:tcBorders>
              <w:top w:val="single" w:sz="8" w:space="0" w:color="auto"/>
              <w:left w:val="single" w:sz="8" w:space="0" w:color="auto"/>
              <w:bottom w:val="nil"/>
              <w:right w:val="nil"/>
            </w:tcBorders>
            <w:shd w:val="clear" w:color="auto" w:fill="auto"/>
            <w:vAlign w:val="center"/>
            <w:hideMark/>
          </w:tcPr>
          <w:p w14:paraId="45B979DF"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35</w:t>
            </w:r>
          </w:p>
        </w:tc>
        <w:tc>
          <w:tcPr>
            <w:tcW w:w="3685" w:type="dxa"/>
            <w:tcBorders>
              <w:top w:val="single" w:sz="8" w:space="0" w:color="auto"/>
              <w:left w:val="single" w:sz="8" w:space="0" w:color="auto"/>
              <w:bottom w:val="nil"/>
              <w:right w:val="nil"/>
            </w:tcBorders>
            <w:shd w:val="clear" w:color="auto" w:fill="auto"/>
            <w:vAlign w:val="center"/>
            <w:hideMark/>
          </w:tcPr>
          <w:p w14:paraId="77854756"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Estados financieros consolidados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4F0E9A97"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7E4D5F81"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7955D118"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6C438206"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40,00%</w:t>
            </w:r>
          </w:p>
        </w:tc>
        <w:tc>
          <w:tcPr>
            <w:tcW w:w="1157" w:type="dxa"/>
            <w:tcBorders>
              <w:top w:val="nil"/>
              <w:left w:val="nil"/>
              <w:bottom w:val="single" w:sz="8" w:space="0" w:color="auto"/>
              <w:right w:val="single" w:sz="8" w:space="0" w:color="auto"/>
            </w:tcBorders>
            <w:shd w:val="clear" w:color="auto" w:fill="auto"/>
            <w:noWrap/>
            <w:vAlign w:val="bottom"/>
            <w:hideMark/>
          </w:tcPr>
          <w:p w14:paraId="74E00734"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r>
      <w:tr w:rsidR="00694299" w:rsidRPr="00694299" w14:paraId="256E8783" w14:textId="77777777" w:rsidTr="00694299">
        <w:trPr>
          <w:divId w:val="191265739"/>
          <w:trHeight w:val="324"/>
        </w:trPr>
        <w:tc>
          <w:tcPr>
            <w:tcW w:w="851" w:type="dxa"/>
            <w:tcBorders>
              <w:top w:val="single" w:sz="8" w:space="0" w:color="auto"/>
              <w:left w:val="single" w:sz="8" w:space="0" w:color="auto"/>
              <w:bottom w:val="nil"/>
              <w:right w:val="nil"/>
            </w:tcBorders>
            <w:shd w:val="clear" w:color="auto" w:fill="auto"/>
            <w:vAlign w:val="center"/>
            <w:hideMark/>
          </w:tcPr>
          <w:p w14:paraId="686C3880"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36</w:t>
            </w:r>
          </w:p>
        </w:tc>
        <w:tc>
          <w:tcPr>
            <w:tcW w:w="3685" w:type="dxa"/>
            <w:tcBorders>
              <w:top w:val="single" w:sz="8" w:space="0" w:color="auto"/>
              <w:left w:val="single" w:sz="8" w:space="0" w:color="auto"/>
              <w:bottom w:val="nil"/>
              <w:right w:val="nil"/>
            </w:tcBorders>
            <w:shd w:val="clear" w:color="auto" w:fill="auto"/>
            <w:vAlign w:val="center"/>
            <w:hideMark/>
          </w:tcPr>
          <w:p w14:paraId="1AC07326"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Inversiones en asociadas y negocios conjuntos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640E3AD1"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10F33EBE"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5EBAB831"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No</w:t>
            </w:r>
          </w:p>
        </w:tc>
        <w:tc>
          <w:tcPr>
            <w:tcW w:w="1067" w:type="dxa"/>
            <w:tcBorders>
              <w:top w:val="nil"/>
              <w:left w:val="nil"/>
              <w:bottom w:val="single" w:sz="8" w:space="0" w:color="auto"/>
              <w:right w:val="single" w:sz="8" w:space="0" w:color="auto"/>
            </w:tcBorders>
            <w:shd w:val="clear" w:color="auto" w:fill="auto"/>
            <w:noWrap/>
            <w:vAlign w:val="bottom"/>
            <w:hideMark/>
          </w:tcPr>
          <w:p w14:paraId="3C392058"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 </w:t>
            </w:r>
          </w:p>
        </w:tc>
        <w:tc>
          <w:tcPr>
            <w:tcW w:w="1157" w:type="dxa"/>
            <w:tcBorders>
              <w:top w:val="nil"/>
              <w:left w:val="nil"/>
              <w:bottom w:val="single" w:sz="8" w:space="0" w:color="auto"/>
              <w:right w:val="single" w:sz="8" w:space="0" w:color="auto"/>
            </w:tcBorders>
            <w:shd w:val="clear" w:color="auto" w:fill="auto"/>
            <w:noWrap/>
            <w:vAlign w:val="bottom"/>
            <w:hideMark/>
          </w:tcPr>
          <w:p w14:paraId="769AA310"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 </w:t>
            </w:r>
          </w:p>
        </w:tc>
      </w:tr>
      <w:tr w:rsidR="00694299" w:rsidRPr="00694299" w14:paraId="15F61B56" w14:textId="77777777" w:rsidTr="00694299">
        <w:trPr>
          <w:divId w:val="191265739"/>
          <w:trHeight w:val="324"/>
        </w:trPr>
        <w:tc>
          <w:tcPr>
            <w:tcW w:w="851" w:type="dxa"/>
            <w:tcBorders>
              <w:top w:val="single" w:sz="8" w:space="0" w:color="auto"/>
              <w:left w:val="single" w:sz="8" w:space="0" w:color="auto"/>
              <w:bottom w:val="nil"/>
              <w:right w:val="nil"/>
            </w:tcBorders>
            <w:shd w:val="clear" w:color="auto" w:fill="auto"/>
            <w:vAlign w:val="center"/>
            <w:hideMark/>
          </w:tcPr>
          <w:p w14:paraId="1C51793E"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37</w:t>
            </w:r>
          </w:p>
        </w:tc>
        <w:tc>
          <w:tcPr>
            <w:tcW w:w="3685" w:type="dxa"/>
            <w:tcBorders>
              <w:top w:val="single" w:sz="8" w:space="0" w:color="auto"/>
              <w:left w:val="single" w:sz="8" w:space="0" w:color="auto"/>
              <w:bottom w:val="nil"/>
              <w:right w:val="nil"/>
            </w:tcBorders>
            <w:shd w:val="clear" w:color="auto" w:fill="auto"/>
            <w:vAlign w:val="center"/>
            <w:hideMark/>
          </w:tcPr>
          <w:p w14:paraId="7CA51264"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Acuerdos conjuntos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63BF827C"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44FDA823"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52281F6E"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No</w:t>
            </w:r>
          </w:p>
        </w:tc>
        <w:tc>
          <w:tcPr>
            <w:tcW w:w="1067" w:type="dxa"/>
            <w:tcBorders>
              <w:top w:val="nil"/>
              <w:left w:val="nil"/>
              <w:bottom w:val="single" w:sz="8" w:space="0" w:color="auto"/>
              <w:right w:val="single" w:sz="8" w:space="0" w:color="auto"/>
            </w:tcBorders>
            <w:shd w:val="clear" w:color="auto" w:fill="auto"/>
            <w:noWrap/>
            <w:vAlign w:val="bottom"/>
            <w:hideMark/>
          </w:tcPr>
          <w:p w14:paraId="684A9B32"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 </w:t>
            </w:r>
          </w:p>
        </w:tc>
        <w:tc>
          <w:tcPr>
            <w:tcW w:w="1157" w:type="dxa"/>
            <w:tcBorders>
              <w:top w:val="nil"/>
              <w:left w:val="nil"/>
              <w:bottom w:val="single" w:sz="8" w:space="0" w:color="auto"/>
              <w:right w:val="single" w:sz="8" w:space="0" w:color="auto"/>
            </w:tcBorders>
            <w:shd w:val="clear" w:color="auto" w:fill="auto"/>
            <w:noWrap/>
            <w:vAlign w:val="bottom"/>
            <w:hideMark/>
          </w:tcPr>
          <w:p w14:paraId="1130BE02"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 </w:t>
            </w:r>
          </w:p>
        </w:tc>
      </w:tr>
      <w:tr w:rsidR="00694299" w:rsidRPr="00694299" w14:paraId="1D69AE44" w14:textId="77777777" w:rsidTr="00694299">
        <w:trPr>
          <w:divId w:val="191265739"/>
          <w:trHeight w:val="324"/>
        </w:trPr>
        <w:tc>
          <w:tcPr>
            <w:tcW w:w="851" w:type="dxa"/>
            <w:tcBorders>
              <w:top w:val="single" w:sz="8" w:space="0" w:color="auto"/>
              <w:left w:val="single" w:sz="8" w:space="0" w:color="auto"/>
              <w:bottom w:val="nil"/>
              <w:right w:val="nil"/>
            </w:tcBorders>
            <w:shd w:val="clear" w:color="auto" w:fill="auto"/>
            <w:vAlign w:val="center"/>
            <w:hideMark/>
          </w:tcPr>
          <w:p w14:paraId="1D836618"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38</w:t>
            </w:r>
          </w:p>
        </w:tc>
        <w:tc>
          <w:tcPr>
            <w:tcW w:w="3685" w:type="dxa"/>
            <w:tcBorders>
              <w:top w:val="single" w:sz="8" w:space="0" w:color="auto"/>
              <w:left w:val="single" w:sz="8" w:space="0" w:color="auto"/>
              <w:bottom w:val="nil"/>
              <w:right w:val="nil"/>
            </w:tcBorders>
            <w:shd w:val="clear" w:color="auto" w:fill="auto"/>
            <w:vAlign w:val="center"/>
            <w:hideMark/>
          </w:tcPr>
          <w:p w14:paraId="54F074DE"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Revelación de intereses en otras entidades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27C053CC"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185B8936"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0AAB96C4"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No</w:t>
            </w:r>
          </w:p>
        </w:tc>
        <w:tc>
          <w:tcPr>
            <w:tcW w:w="1067" w:type="dxa"/>
            <w:tcBorders>
              <w:top w:val="nil"/>
              <w:left w:val="nil"/>
              <w:bottom w:val="single" w:sz="8" w:space="0" w:color="auto"/>
              <w:right w:val="single" w:sz="8" w:space="0" w:color="auto"/>
            </w:tcBorders>
            <w:shd w:val="clear" w:color="auto" w:fill="auto"/>
            <w:noWrap/>
            <w:vAlign w:val="bottom"/>
            <w:hideMark/>
          </w:tcPr>
          <w:p w14:paraId="73C38EE1"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 </w:t>
            </w:r>
          </w:p>
        </w:tc>
        <w:tc>
          <w:tcPr>
            <w:tcW w:w="1157" w:type="dxa"/>
            <w:tcBorders>
              <w:top w:val="nil"/>
              <w:left w:val="nil"/>
              <w:bottom w:val="single" w:sz="8" w:space="0" w:color="auto"/>
              <w:right w:val="single" w:sz="8" w:space="0" w:color="auto"/>
            </w:tcBorders>
            <w:shd w:val="clear" w:color="auto" w:fill="auto"/>
            <w:noWrap/>
            <w:vAlign w:val="bottom"/>
            <w:hideMark/>
          </w:tcPr>
          <w:p w14:paraId="304D37FD"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 </w:t>
            </w:r>
          </w:p>
        </w:tc>
      </w:tr>
      <w:tr w:rsidR="00694299" w:rsidRPr="00694299" w14:paraId="0FCE8290" w14:textId="77777777" w:rsidTr="00694299">
        <w:trPr>
          <w:divId w:val="191265739"/>
          <w:trHeight w:val="324"/>
        </w:trPr>
        <w:tc>
          <w:tcPr>
            <w:tcW w:w="851" w:type="dxa"/>
            <w:tcBorders>
              <w:top w:val="single" w:sz="8" w:space="0" w:color="auto"/>
              <w:left w:val="single" w:sz="8" w:space="0" w:color="auto"/>
              <w:bottom w:val="nil"/>
              <w:right w:val="nil"/>
            </w:tcBorders>
            <w:shd w:val="clear" w:color="auto" w:fill="auto"/>
            <w:vAlign w:val="center"/>
            <w:hideMark/>
          </w:tcPr>
          <w:p w14:paraId="7A4F39DF"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39</w:t>
            </w:r>
          </w:p>
        </w:tc>
        <w:tc>
          <w:tcPr>
            <w:tcW w:w="3685" w:type="dxa"/>
            <w:tcBorders>
              <w:top w:val="single" w:sz="8" w:space="0" w:color="auto"/>
              <w:left w:val="single" w:sz="8" w:space="0" w:color="auto"/>
              <w:bottom w:val="nil"/>
              <w:right w:val="nil"/>
            </w:tcBorders>
            <w:shd w:val="clear" w:color="auto" w:fill="auto"/>
            <w:vAlign w:val="center"/>
            <w:hideMark/>
          </w:tcPr>
          <w:p w14:paraId="4C6C11AD"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Beneficios para empleados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68EF08D0"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35321424"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5D3B773A"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4D59D738"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70,00%</w:t>
            </w:r>
          </w:p>
        </w:tc>
        <w:tc>
          <w:tcPr>
            <w:tcW w:w="1157" w:type="dxa"/>
            <w:tcBorders>
              <w:top w:val="nil"/>
              <w:left w:val="nil"/>
              <w:bottom w:val="single" w:sz="8" w:space="0" w:color="auto"/>
              <w:right w:val="single" w:sz="8" w:space="0" w:color="auto"/>
            </w:tcBorders>
            <w:shd w:val="clear" w:color="auto" w:fill="auto"/>
            <w:noWrap/>
            <w:vAlign w:val="bottom"/>
            <w:hideMark/>
          </w:tcPr>
          <w:p w14:paraId="0AA24F72"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r>
      <w:tr w:rsidR="00694299" w:rsidRPr="00694299" w14:paraId="341FAA47" w14:textId="77777777" w:rsidTr="00694299">
        <w:trPr>
          <w:divId w:val="191265739"/>
          <w:trHeight w:val="324"/>
        </w:trPr>
        <w:tc>
          <w:tcPr>
            <w:tcW w:w="851" w:type="dxa"/>
            <w:tcBorders>
              <w:top w:val="single" w:sz="8" w:space="0" w:color="auto"/>
              <w:left w:val="single" w:sz="8" w:space="0" w:color="auto"/>
              <w:bottom w:val="single" w:sz="8" w:space="0" w:color="auto"/>
              <w:right w:val="nil"/>
            </w:tcBorders>
            <w:shd w:val="clear" w:color="auto" w:fill="auto"/>
            <w:vAlign w:val="center"/>
            <w:hideMark/>
          </w:tcPr>
          <w:p w14:paraId="00737FFF"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40</w:t>
            </w:r>
          </w:p>
        </w:tc>
        <w:tc>
          <w:tcPr>
            <w:tcW w:w="3685" w:type="dxa"/>
            <w:tcBorders>
              <w:top w:val="single" w:sz="8" w:space="0" w:color="auto"/>
              <w:left w:val="single" w:sz="8" w:space="0" w:color="auto"/>
              <w:bottom w:val="single" w:sz="8" w:space="0" w:color="auto"/>
              <w:right w:val="nil"/>
            </w:tcBorders>
            <w:shd w:val="clear" w:color="auto" w:fill="auto"/>
            <w:vAlign w:val="center"/>
            <w:hideMark/>
          </w:tcPr>
          <w:p w14:paraId="6A01F728"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Combinaciones en el sector público</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6873A919"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382B1B25"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68BD25F8"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No</w:t>
            </w:r>
          </w:p>
        </w:tc>
        <w:tc>
          <w:tcPr>
            <w:tcW w:w="1067" w:type="dxa"/>
            <w:tcBorders>
              <w:top w:val="nil"/>
              <w:left w:val="nil"/>
              <w:bottom w:val="single" w:sz="8" w:space="0" w:color="auto"/>
              <w:right w:val="single" w:sz="8" w:space="0" w:color="auto"/>
            </w:tcBorders>
            <w:shd w:val="clear" w:color="auto" w:fill="auto"/>
            <w:noWrap/>
            <w:vAlign w:val="bottom"/>
            <w:hideMark/>
          </w:tcPr>
          <w:p w14:paraId="3B667888"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 </w:t>
            </w:r>
          </w:p>
        </w:tc>
        <w:tc>
          <w:tcPr>
            <w:tcW w:w="1157" w:type="dxa"/>
            <w:tcBorders>
              <w:top w:val="nil"/>
              <w:left w:val="nil"/>
              <w:bottom w:val="single" w:sz="8" w:space="0" w:color="auto"/>
              <w:right w:val="single" w:sz="8" w:space="0" w:color="auto"/>
            </w:tcBorders>
            <w:shd w:val="clear" w:color="auto" w:fill="auto"/>
            <w:noWrap/>
            <w:vAlign w:val="bottom"/>
            <w:hideMark/>
          </w:tcPr>
          <w:p w14:paraId="652AC049"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 </w:t>
            </w:r>
          </w:p>
        </w:tc>
      </w:tr>
      <w:tr w:rsidR="00694299" w:rsidRPr="00694299" w14:paraId="1B30CE29" w14:textId="77777777" w:rsidTr="00694299">
        <w:trPr>
          <w:divId w:val="191265739"/>
          <w:trHeight w:val="324"/>
        </w:trPr>
        <w:tc>
          <w:tcPr>
            <w:tcW w:w="851" w:type="dxa"/>
            <w:tcBorders>
              <w:top w:val="nil"/>
              <w:left w:val="nil"/>
              <w:bottom w:val="nil"/>
              <w:right w:val="nil"/>
            </w:tcBorders>
            <w:shd w:val="clear" w:color="auto" w:fill="auto"/>
            <w:noWrap/>
            <w:vAlign w:val="bottom"/>
            <w:hideMark/>
          </w:tcPr>
          <w:p w14:paraId="3DD44600" w14:textId="77777777" w:rsidR="00694299" w:rsidRPr="00694299" w:rsidRDefault="00694299" w:rsidP="00694299">
            <w:pPr>
              <w:spacing w:after="0" w:line="240" w:lineRule="auto"/>
              <w:jc w:val="center"/>
              <w:rPr>
                <w:rFonts w:eastAsia="Times New Roman" w:cs="Calibri"/>
                <w:color w:val="000000"/>
                <w:sz w:val="18"/>
                <w:lang w:eastAsia="es-CR"/>
              </w:rPr>
            </w:pPr>
          </w:p>
        </w:tc>
        <w:tc>
          <w:tcPr>
            <w:tcW w:w="3685" w:type="dxa"/>
            <w:tcBorders>
              <w:top w:val="nil"/>
              <w:left w:val="single" w:sz="8" w:space="0" w:color="auto"/>
              <w:bottom w:val="single" w:sz="8" w:space="0" w:color="auto"/>
              <w:right w:val="nil"/>
            </w:tcBorders>
            <w:shd w:val="clear" w:color="auto" w:fill="auto"/>
            <w:vAlign w:val="center"/>
            <w:hideMark/>
          </w:tcPr>
          <w:p w14:paraId="138E5089"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Fideicomisos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55B445C6"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 </w:t>
            </w:r>
          </w:p>
        </w:tc>
        <w:tc>
          <w:tcPr>
            <w:tcW w:w="970" w:type="dxa"/>
            <w:tcBorders>
              <w:top w:val="nil"/>
              <w:left w:val="nil"/>
              <w:bottom w:val="single" w:sz="8" w:space="0" w:color="auto"/>
              <w:right w:val="single" w:sz="8" w:space="0" w:color="auto"/>
            </w:tcBorders>
            <w:shd w:val="clear" w:color="000000" w:fill="203764"/>
            <w:noWrap/>
            <w:vAlign w:val="center"/>
            <w:hideMark/>
          </w:tcPr>
          <w:p w14:paraId="7FE5AAFF"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 </w:t>
            </w:r>
          </w:p>
        </w:tc>
        <w:tc>
          <w:tcPr>
            <w:tcW w:w="1059" w:type="dxa"/>
            <w:tcBorders>
              <w:top w:val="nil"/>
              <w:left w:val="nil"/>
              <w:bottom w:val="single" w:sz="8" w:space="0" w:color="auto"/>
              <w:right w:val="single" w:sz="8" w:space="0" w:color="auto"/>
            </w:tcBorders>
            <w:shd w:val="clear" w:color="auto" w:fill="auto"/>
            <w:noWrap/>
            <w:vAlign w:val="bottom"/>
            <w:hideMark/>
          </w:tcPr>
          <w:p w14:paraId="28DDF252"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NO</w:t>
            </w:r>
          </w:p>
        </w:tc>
        <w:tc>
          <w:tcPr>
            <w:tcW w:w="1067" w:type="dxa"/>
            <w:tcBorders>
              <w:top w:val="nil"/>
              <w:left w:val="nil"/>
              <w:bottom w:val="single" w:sz="8" w:space="0" w:color="auto"/>
              <w:right w:val="single" w:sz="8" w:space="0" w:color="auto"/>
            </w:tcBorders>
            <w:shd w:val="clear" w:color="000000" w:fill="203764"/>
            <w:noWrap/>
            <w:vAlign w:val="center"/>
            <w:hideMark/>
          </w:tcPr>
          <w:p w14:paraId="65A60D07"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 </w:t>
            </w:r>
          </w:p>
        </w:tc>
        <w:tc>
          <w:tcPr>
            <w:tcW w:w="1157" w:type="dxa"/>
            <w:tcBorders>
              <w:top w:val="nil"/>
              <w:left w:val="nil"/>
              <w:bottom w:val="single" w:sz="8" w:space="0" w:color="auto"/>
              <w:right w:val="single" w:sz="8" w:space="0" w:color="auto"/>
            </w:tcBorders>
            <w:shd w:val="clear" w:color="000000" w:fill="203764"/>
            <w:noWrap/>
            <w:vAlign w:val="center"/>
            <w:hideMark/>
          </w:tcPr>
          <w:p w14:paraId="2E4EAC32"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 </w:t>
            </w:r>
          </w:p>
        </w:tc>
      </w:tr>
    </w:tbl>
    <w:p w14:paraId="05D0C3A8" w14:textId="4ADD53E5" w:rsidR="00BF6D99" w:rsidRDefault="00BF6D99" w:rsidP="00B4271E">
      <w:pPr>
        <w:spacing w:before="240"/>
      </w:pPr>
      <w:r>
        <w:fldChar w:fldCharType="end"/>
      </w:r>
    </w:p>
    <w:p w14:paraId="698C233C" w14:textId="035A182B" w:rsidR="00F11F6C" w:rsidRPr="005D574A" w:rsidRDefault="00F11F6C" w:rsidP="005D574A">
      <w:pPr>
        <w:pStyle w:val="Ttulo3"/>
        <w:spacing w:after="240"/>
        <w:rPr>
          <w:rFonts w:eastAsia="Calibri"/>
        </w:rPr>
      </w:pPr>
      <w:bookmarkStart w:id="11" w:name="_Toc173245180"/>
      <w:r w:rsidRPr="00F11F6C">
        <w:rPr>
          <w:rFonts w:eastAsia="Calibri"/>
        </w:rPr>
        <w:t>Base de Medición</w:t>
      </w:r>
      <w:bookmarkEnd w:id="11"/>
      <w:r w:rsidRPr="00F11F6C">
        <w:rPr>
          <w:rFonts w:eastAsia="Calibri"/>
        </w:rPr>
        <w:t xml:space="preserve"> </w:t>
      </w:r>
    </w:p>
    <w:p w14:paraId="40309B26" w14:textId="77777777" w:rsidR="00F11F6C" w:rsidRPr="00F11F6C" w:rsidRDefault="00F11F6C" w:rsidP="00F11F6C">
      <w:r w:rsidRPr="00F11F6C">
        <w:t>Los Estados Financieros han sido preparados según las bases de medición contenidas en las NICSP (2018) para cada saldo de cuenta. Las principales bases están determinadas en las Políticas Contables Generales emitidas por la Contabilidad Nacional versión (2021) y la emisión de la Metodología de Implementación de NICSP la versión del 2021 y en cuanto al Plan General de Cuentas y el Manual Funcional de Cuentas Contable para el Sector Público.</w:t>
      </w:r>
    </w:p>
    <w:p w14:paraId="315F1286" w14:textId="3D4D3D56" w:rsidR="00F11F6C" w:rsidRPr="00F11F6C" w:rsidRDefault="00F11F6C" w:rsidP="00F11F6C">
      <w:pPr>
        <w:spacing w:before="240"/>
      </w:pPr>
      <w:r w:rsidRPr="00F11F6C">
        <w:t>Considerar lo indicado en la NICSP 1 párrafo 133.</w:t>
      </w:r>
    </w:p>
    <w:p w14:paraId="27567D64" w14:textId="77777777" w:rsidR="00F11F6C" w:rsidRPr="00F11F6C" w:rsidRDefault="00F11F6C" w:rsidP="00F11F6C">
      <w:pPr>
        <w:spacing w:before="240"/>
        <w:rPr>
          <w:i/>
        </w:rPr>
      </w:pPr>
      <w:r w:rsidRPr="00F11F6C">
        <w:rPr>
          <w:i/>
        </w:rPr>
        <w:t>“Es importante para los usuarios estar informados acerca de la base de medición utilizada en los estados financieros (por ejemplo: costo histórico, costo corriente, valor realizable neto, valor razonable, importe recuperable o importe de servicio recuperable), puesto que esas bases, sobre las cuales se elaboran los estados financieros, afectan significativamente a su análisis.</w:t>
      </w:r>
    </w:p>
    <w:p w14:paraId="13CF4132" w14:textId="311FD296" w:rsidR="00F11F6C" w:rsidRPr="00F11F6C" w:rsidRDefault="00F11F6C" w:rsidP="00F11F6C">
      <w:pPr>
        <w:spacing w:before="240"/>
        <w:rPr>
          <w:i/>
        </w:rPr>
      </w:pPr>
      <w:r w:rsidRPr="00F11F6C">
        <w:rPr>
          <w:i/>
        </w:rPr>
        <w:t>Cuando se haya usado más de una base de medición al elaborar los estados financieros, por ejemplo, si se han revaluado sólo ciertas clases de activos, será suficiente con suministrar una indicación respecto a las categorías de activos y pasivos a los cuales se ha aplicado cada base de medición y se debe revelar la información.”</w:t>
      </w:r>
    </w:p>
    <w:p w14:paraId="67E00230" w14:textId="60AF86F6" w:rsidR="00641AF6" w:rsidRDefault="00F11F6C" w:rsidP="00F266E7">
      <w:pPr>
        <w:spacing w:before="240"/>
      </w:pPr>
      <w:r w:rsidRPr="00F11F6C">
        <w:t>Por lo anterior el ente contable a continuación debe revelar con lo estipulado NICSP 1 párrafo 133 y a continuación indicar la base de medición utilizada en los estados financieros:</w:t>
      </w:r>
    </w:p>
    <w:p w14:paraId="187D54B4" w14:textId="77777777" w:rsidR="005D05BD" w:rsidRPr="00B8357B" w:rsidRDefault="005D05BD" w:rsidP="005D05BD">
      <w:pPr>
        <w:pStyle w:val="Bodycopyheader1"/>
        <w:widowControl w:val="0"/>
        <w:tabs>
          <w:tab w:val="left" w:pos="360"/>
        </w:tabs>
        <w:spacing w:before="240" w:line="240" w:lineRule="auto"/>
        <w:jc w:val="both"/>
        <w:rPr>
          <w:rFonts w:ascii="Arial Narrow" w:eastAsia="Times New Roman" w:hAnsi="Arial Narrow" w:cs="Times New Roman"/>
          <w:bCs/>
          <w:color w:val="auto"/>
          <w:sz w:val="22"/>
          <w:szCs w:val="22"/>
          <w:lang w:val="es-CR" w:eastAsia="es-CR"/>
        </w:rPr>
      </w:pPr>
      <w:r w:rsidRPr="00B8357B">
        <w:rPr>
          <w:rFonts w:ascii="Arial Narrow" w:eastAsia="Times New Roman" w:hAnsi="Arial Narrow" w:cs="Times New Roman"/>
          <w:bCs/>
          <w:color w:val="auto"/>
          <w:sz w:val="22"/>
          <w:szCs w:val="22"/>
          <w:lang w:val="es-CR" w:eastAsia="es-CR"/>
        </w:rPr>
        <w:t>Método de Devengado</w:t>
      </w:r>
    </w:p>
    <w:p w14:paraId="1B2743D3" w14:textId="77777777" w:rsidR="005D05BD" w:rsidRPr="00B8357B" w:rsidRDefault="005D05BD" w:rsidP="005D05BD">
      <w:pPr>
        <w:pStyle w:val="Bodycopyheader1"/>
        <w:widowControl w:val="0"/>
        <w:tabs>
          <w:tab w:val="left" w:pos="360"/>
        </w:tabs>
        <w:spacing w:before="0" w:line="240" w:lineRule="auto"/>
        <w:jc w:val="both"/>
        <w:rPr>
          <w:rFonts w:ascii="Arial Narrow" w:eastAsia="Times New Roman" w:hAnsi="Arial Narrow" w:cs="Times New Roman"/>
          <w:b w:val="0"/>
          <w:color w:val="auto"/>
          <w:sz w:val="22"/>
          <w:szCs w:val="22"/>
          <w:lang w:val="es-CR" w:eastAsia="es-CR"/>
        </w:rPr>
      </w:pPr>
    </w:p>
    <w:p w14:paraId="4C61C59A" w14:textId="77777777" w:rsidR="005D05BD" w:rsidRPr="00740611" w:rsidRDefault="005D05BD" w:rsidP="005D05BD">
      <w:pPr>
        <w:spacing w:after="0" w:line="240" w:lineRule="auto"/>
        <w:rPr>
          <w:rFonts w:eastAsia="Cambria" w:cs="Arial"/>
          <w:color w:val="000000"/>
          <w:szCs w:val="24"/>
          <w:lang w:eastAsia="es-CR"/>
        </w:rPr>
      </w:pPr>
      <w:r w:rsidRPr="00740611">
        <w:rPr>
          <w:rFonts w:eastAsia="Cambria" w:cs="Arial"/>
          <w:color w:val="000000"/>
          <w:szCs w:val="24"/>
          <w:lang w:eastAsia="es-CR"/>
        </w:rPr>
        <w:t xml:space="preserve">La Municipalidad de Buenos Aires utiliza el Método de Devengo de acuerdo con las NICSP, mediante el cual, las transacciones y otros hechos se reconocen cuando ocurren (y no sólo cuando se cobra o paga el correspondiente efectivo o su equivalente). Por tanto, las transacciones y hechos se tienen impacto en los registros contables y se reconocen en los Estados Financieros de los ejercicios con los cuales se relacionan. Los elementos reconocidos bajo la contabilización de lo devengado son: activo, pasivo, activo neto/ patrimonio, ingreso y gasto. </w:t>
      </w:r>
    </w:p>
    <w:p w14:paraId="5DE67784" w14:textId="77777777" w:rsidR="005D05BD" w:rsidRPr="00CA0AA0" w:rsidRDefault="005D05BD" w:rsidP="005D05BD">
      <w:pPr>
        <w:spacing w:after="0" w:line="240" w:lineRule="auto"/>
        <w:rPr>
          <w:rFonts w:eastAsia="Cambria" w:cs="Arial"/>
          <w:color w:val="000000"/>
          <w:sz w:val="22"/>
          <w:lang w:eastAsia="es-CR"/>
        </w:rPr>
      </w:pPr>
    </w:p>
    <w:p w14:paraId="6D83E33C" w14:textId="77777777" w:rsidR="005D05BD" w:rsidRDefault="005D05BD" w:rsidP="005D05BD">
      <w:pPr>
        <w:spacing w:after="0" w:line="240" w:lineRule="auto"/>
        <w:rPr>
          <w:rFonts w:eastAsia="Cambria" w:cs="Arial"/>
          <w:b/>
          <w:bCs/>
          <w:color w:val="000000"/>
          <w:lang w:eastAsia="es-CR"/>
        </w:rPr>
      </w:pPr>
      <w:r w:rsidRPr="0042740E">
        <w:rPr>
          <w:rFonts w:eastAsia="Cambria" w:cs="Arial"/>
          <w:b/>
          <w:bCs/>
          <w:color w:val="000000"/>
          <w:lang w:eastAsia="es-CR"/>
        </w:rPr>
        <w:t>Medición al Costo Histórico</w:t>
      </w:r>
    </w:p>
    <w:p w14:paraId="77B15E4B" w14:textId="77777777" w:rsidR="005D05BD" w:rsidRPr="0042740E" w:rsidRDefault="005D05BD" w:rsidP="005D05BD">
      <w:pPr>
        <w:spacing w:after="0" w:line="240" w:lineRule="auto"/>
        <w:rPr>
          <w:rFonts w:eastAsia="Cambria" w:cs="Arial"/>
          <w:b/>
          <w:bCs/>
          <w:color w:val="000000"/>
          <w:lang w:eastAsia="es-CR"/>
        </w:rPr>
      </w:pPr>
    </w:p>
    <w:p w14:paraId="6A7B59DB" w14:textId="77777777" w:rsidR="005D05BD" w:rsidRPr="00740611" w:rsidRDefault="005D05BD" w:rsidP="005D05BD">
      <w:pPr>
        <w:spacing w:after="0" w:line="240" w:lineRule="auto"/>
        <w:rPr>
          <w:rFonts w:eastAsia="Cambria" w:cs="Arial"/>
          <w:color w:val="000000"/>
          <w:szCs w:val="24"/>
          <w:lang w:eastAsia="es-CR"/>
        </w:rPr>
      </w:pPr>
      <w:r w:rsidRPr="00740611">
        <w:rPr>
          <w:rFonts w:eastAsia="Cambria" w:cs="Arial"/>
          <w:color w:val="000000"/>
          <w:szCs w:val="24"/>
          <w:lang w:eastAsia="es-CR"/>
        </w:rPr>
        <w:t>Los activos se registran por el importe de efectivo o su equivalente o por el valor razonable de la contrapartida entregada a cambio a la fecha de la adquisición.  Los pasivos se registran por el valor del bien o servicio recibido a cambio de incurrir en la deuda o por las cantidades de efectivo o sus equivalentes que se espera pagar para satisfacer la correspondiente deuda en el curso normal de la transacción.</w:t>
      </w:r>
    </w:p>
    <w:p w14:paraId="19331515" w14:textId="77777777" w:rsidR="005D05BD" w:rsidRPr="0042740E" w:rsidRDefault="005D05BD" w:rsidP="005D05BD">
      <w:pPr>
        <w:spacing w:before="240"/>
        <w:rPr>
          <w:rFonts w:eastAsia="Cambria" w:cs="Arial"/>
          <w:b/>
          <w:bCs/>
          <w:color w:val="000000"/>
          <w:lang w:eastAsia="es-CR"/>
        </w:rPr>
      </w:pPr>
      <w:r w:rsidRPr="0042740E">
        <w:rPr>
          <w:rFonts w:eastAsia="Cambria" w:cs="Arial"/>
          <w:b/>
          <w:bCs/>
          <w:color w:val="000000"/>
          <w:lang w:eastAsia="es-CR"/>
        </w:rPr>
        <w:t>Medición al Costo Corriente de Reposición</w:t>
      </w:r>
    </w:p>
    <w:p w14:paraId="57BC7708" w14:textId="77777777" w:rsidR="005D05BD" w:rsidRPr="00740611" w:rsidRDefault="005D05BD" w:rsidP="005D05BD">
      <w:pPr>
        <w:spacing w:after="0" w:line="240" w:lineRule="auto"/>
        <w:rPr>
          <w:rFonts w:eastAsia="Cambria" w:cs="Arial"/>
          <w:color w:val="000000"/>
          <w:szCs w:val="24"/>
          <w:lang w:eastAsia="es-CR"/>
        </w:rPr>
      </w:pPr>
      <w:r w:rsidRPr="00740611">
        <w:rPr>
          <w:rFonts w:eastAsia="Cambria" w:cs="Arial"/>
          <w:color w:val="000000"/>
          <w:szCs w:val="24"/>
          <w:lang w:eastAsia="es-CR"/>
        </w:rPr>
        <w:t>Los activos se registran contablemente por el importe de efectivo o equivalentes que debería pagarse si se adquiere en la actualidad el mismo activo u otro equivalente.  Los pasivos se llevan contablemente por su importe de efectivo o equivalentes al monto que se precisaría para liquidar dicho pasivo en el momento presente.</w:t>
      </w:r>
    </w:p>
    <w:p w14:paraId="742F54C8" w14:textId="77777777" w:rsidR="005D05BD" w:rsidRPr="0042740E" w:rsidRDefault="005D05BD" w:rsidP="005D05BD">
      <w:pPr>
        <w:spacing w:before="240"/>
        <w:rPr>
          <w:rFonts w:eastAsia="Cambria" w:cs="Arial"/>
          <w:b/>
          <w:bCs/>
          <w:color w:val="000000"/>
          <w:lang w:eastAsia="es-CR"/>
        </w:rPr>
      </w:pPr>
      <w:r w:rsidRPr="0042740E">
        <w:rPr>
          <w:rFonts w:eastAsia="Cambria" w:cs="Arial"/>
          <w:b/>
          <w:bCs/>
          <w:color w:val="000000"/>
          <w:lang w:eastAsia="es-CR"/>
        </w:rPr>
        <w:t>Medición al Costo Corriente Amortizado</w:t>
      </w:r>
    </w:p>
    <w:p w14:paraId="56D4658E" w14:textId="77777777" w:rsidR="005D05BD" w:rsidRDefault="005D05BD" w:rsidP="005D05BD">
      <w:pPr>
        <w:spacing w:after="0" w:line="240" w:lineRule="auto"/>
        <w:rPr>
          <w:rFonts w:eastAsia="Cambria" w:cs="Arial"/>
          <w:color w:val="000000"/>
          <w:szCs w:val="24"/>
          <w:lang w:eastAsia="es-CR"/>
        </w:rPr>
      </w:pPr>
      <w:r w:rsidRPr="00740611">
        <w:rPr>
          <w:rFonts w:eastAsia="Cambria" w:cs="Arial"/>
          <w:color w:val="000000"/>
          <w:szCs w:val="24"/>
          <w:lang w:eastAsia="es-CR"/>
        </w:rPr>
        <w:t>Es el costo mediante el cual la medida contable asignada a una cuenta por cobrar o por pagar se obtiene considerando: su medida contable inicial, la imputación gradual acumulada de cualquier diferencia existente, dicha medida inicial y el importe por cobrar o por pagar al vencimiento y los pagos parciales efectuados por el deudor.</w:t>
      </w:r>
    </w:p>
    <w:p w14:paraId="4AFF07D6" w14:textId="77777777" w:rsidR="005D05BD" w:rsidRPr="00740611" w:rsidRDefault="005D05BD" w:rsidP="005D05BD">
      <w:pPr>
        <w:spacing w:after="0" w:line="240" w:lineRule="auto"/>
        <w:rPr>
          <w:rFonts w:eastAsia="Cambria" w:cs="Arial"/>
          <w:color w:val="000000"/>
          <w:szCs w:val="24"/>
          <w:lang w:eastAsia="es-CR"/>
        </w:rPr>
      </w:pPr>
    </w:p>
    <w:p w14:paraId="0401F97B" w14:textId="6FB8DBA1" w:rsidR="00F11F6C" w:rsidRPr="00F266E7" w:rsidRDefault="00F11F6C" w:rsidP="00F266E7">
      <w:pPr>
        <w:pStyle w:val="Ttulo3"/>
      </w:pPr>
      <w:bookmarkStart w:id="12" w:name="_Toc173245181"/>
      <w:r w:rsidRPr="00F266E7">
        <w:t>Moneda Funcional y de Presentación</w:t>
      </w:r>
      <w:bookmarkEnd w:id="12"/>
    </w:p>
    <w:p w14:paraId="771D4290" w14:textId="41F5D995" w:rsidR="00F11F6C" w:rsidRPr="00F11F6C" w:rsidRDefault="00F11F6C" w:rsidP="00F11F6C">
      <w:pPr>
        <w:spacing w:before="240"/>
      </w:pPr>
      <w:r w:rsidRPr="00F11F6C">
        <w:t>Los Estados Financieros se presentan en colones costarricenses (¢), la cual ha sido determinada por esta entidad como su moneda funcional. Toda información financiera contenida en los Estados Financieros y sus notas se presentan en miles de colones.</w:t>
      </w:r>
    </w:p>
    <w:p w14:paraId="73A38EFE" w14:textId="2107EF1D" w:rsidR="00F11F6C" w:rsidRPr="00F11F6C" w:rsidRDefault="00F11F6C" w:rsidP="00DF7432">
      <w:pPr>
        <w:spacing w:before="240"/>
        <w:jc w:val="center"/>
      </w:pPr>
      <w:r w:rsidRPr="00F11F6C">
        <w:rPr>
          <w:noProof/>
          <w:lang w:eastAsia="es-CR"/>
        </w:rPr>
        <w:drawing>
          <wp:inline distT="0" distB="0" distL="0" distR="0" wp14:anchorId="0F40BD01" wp14:editId="419F7D5F">
            <wp:extent cx="4785360" cy="1051560"/>
            <wp:effectExtent l="0" t="0" r="0" b="0"/>
            <wp:docPr id="5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5360" cy="1051560"/>
                    </a:xfrm>
                    <a:prstGeom prst="rect">
                      <a:avLst/>
                    </a:prstGeom>
                    <a:noFill/>
                    <a:ln>
                      <a:noFill/>
                    </a:ln>
                  </pic:spPr>
                </pic:pic>
              </a:graphicData>
            </a:graphic>
          </wp:inline>
        </w:drawing>
      </w:r>
    </w:p>
    <w:p w14:paraId="166CB07B" w14:textId="62121A81" w:rsidR="005D574A" w:rsidRDefault="00F11F6C" w:rsidP="00F11F6C">
      <w:pPr>
        <w:spacing w:before="240"/>
      </w:pPr>
      <w:r w:rsidRPr="00F11F6C">
        <w:t>La moneda funcional será la de curso legal del país. La misma refleja las transacciones, sucesos y condiciones que subyacen y son relevantes para la misma.</w:t>
      </w:r>
    </w:p>
    <w:p w14:paraId="4A00FDE4" w14:textId="77777777" w:rsidR="005D05BD" w:rsidRDefault="005D05BD" w:rsidP="005D05BD">
      <w:pPr>
        <w:spacing w:before="120" w:after="120" w:line="240" w:lineRule="auto"/>
      </w:pPr>
    </w:p>
    <w:p w14:paraId="7AD22E75" w14:textId="68B62486" w:rsidR="00006A63" w:rsidRDefault="00A266AB" w:rsidP="00006A63">
      <w:pPr>
        <w:pStyle w:val="Ttulo3"/>
        <w:rPr>
          <w:rFonts w:eastAsia="Calibri"/>
        </w:rPr>
      </w:pPr>
      <w:bookmarkStart w:id="13" w:name="_Toc173245182"/>
      <w:r w:rsidRPr="00A266AB">
        <w:rPr>
          <w:rFonts w:eastAsia="Calibri"/>
        </w:rPr>
        <w:t>Políticas Contables:</w:t>
      </w:r>
      <w:bookmarkEnd w:id="13"/>
    </w:p>
    <w:p w14:paraId="2EA40751" w14:textId="77777777" w:rsidR="00006A63" w:rsidRPr="00006A63" w:rsidRDefault="00006A63" w:rsidP="005D05BD">
      <w:pPr>
        <w:spacing w:after="0" w:line="240" w:lineRule="auto"/>
      </w:pPr>
    </w:p>
    <w:p w14:paraId="00F5B440" w14:textId="040C3D2E" w:rsidR="00006A63" w:rsidRPr="00A266AB" w:rsidRDefault="00A266AB" w:rsidP="00A266AB">
      <w:r w:rsidRPr="00A266AB">
        <w:t xml:space="preserve"> El ente contable debe llenar la siguiente declaración:</w:t>
      </w:r>
    </w:p>
    <w:p w14:paraId="717A57A8" w14:textId="6C91C234" w:rsidR="005D574A" w:rsidRPr="005D574A" w:rsidRDefault="00A266AB" w:rsidP="005D574A">
      <w:pPr>
        <w:pStyle w:val="Ttulo2"/>
        <w:spacing w:after="240"/>
        <w:rPr>
          <w:rFonts w:eastAsia="Times New Roman"/>
          <w:lang w:eastAsia="es-CR"/>
        </w:rPr>
      </w:pPr>
      <w:bookmarkStart w:id="14" w:name="_Toc82768839"/>
      <w:bookmarkStart w:id="15" w:name="_Toc173245183"/>
      <w:r w:rsidRPr="00A266AB">
        <w:rPr>
          <w:rFonts w:eastAsia="Times New Roman"/>
          <w:lang w:eastAsia="es-CR"/>
        </w:rPr>
        <w:t>CERTIFICACIÓN POLITICAS CONTABLES</w:t>
      </w:r>
      <w:bookmarkEnd w:id="14"/>
      <w:bookmarkEnd w:id="15"/>
    </w:p>
    <w:p w14:paraId="69BABD19" w14:textId="420B635D" w:rsidR="00B70FD4" w:rsidRPr="00A266AB" w:rsidRDefault="00A266AB" w:rsidP="00A266AB">
      <w:pPr>
        <w:rPr>
          <w:lang w:eastAsia="es-CR"/>
        </w:rPr>
      </w:pPr>
      <w:r w:rsidRPr="00A266AB">
        <w:rPr>
          <w:lang w:eastAsia="es-CR"/>
        </w:rPr>
        <w:t>(Certificación (Constancia – Sector Municipal) de Políticas Contables): El ente debe cumplir con las Políticas Contables Generales que emita la Contabilidad Nacional, es por ello que los responsables contables deben estudiarlas y analizarlas e incluirlas dentro del tratamiento contable, de igual manera de estar al tanto de las actualizaciones.</w:t>
      </w:r>
    </w:p>
    <w:p w14:paraId="7ACD9358" w14:textId="71A1AD58" w:rsidR="00A266AB" w:rsidRDefault="00A266AB" w:rsidP="00B70FD4">
      <w:pPr>
        <w:pBdr>
          <w:top w:val="single" w:sz="4" w:space="1" w:color="auto"/>
          <w:left w:val="single" w:sz="4" w:space="4" w:color="auto"/>
          <w:right w:val="single" w:sz="4" w:space="4" w:color="auto"/>
        </w:pBdr>
        <w:jc w:val="center"/>
        <w:rPr>
          <w:b/>
        </w:rPr>
      </w:pPr>
      <w:r w:rsidRPr="00B70FD4">
        <w:rPr>
          <w:b/>
        </w:rPr>
        <w:t>Certificación</w:t>
      </w:r>
      <w:r w:rsidRPr="00B70FD4">
        <w:rPr>
          <w:rStyle w:val="nfasissutil"/>
          <w:b/>
        </w:rPr>
        <w:t xml:space="preserve"> </w:t>
      </w:r>
      <w:r w:rsidRPr="00B70FD4">
        <w:rPr>
          <w:b/>
        </w:rPr>
        <w:t>o Constancia:</w:t>
      </w:r>
    </w:p>
    <w:p w14:paraId="51871AE3" w14:textId="306E899B" w:rsidR="00B948D5" w:rsidRDefault="00B948D5" w:rsidP="00B948D5">
      <w:pPr>
        <w:pBdr>
          <w:left w:val="single" w:sz="4" w:space="4" w:color="auto"/>
          <w:right w:val="single" w:sz="4" w:space="4" w:color="auto"/>
        </w:pBdr>
      </w:pPr>
      <w:r>
        <w:t xml:space="preserve">La </w:t>
      </w:r>
      <w:r w:rsidRPr="0042740E">
        <w:rPr>
          <w:b/>
          <w:color w:val="000000"/>
        </w:rPr>
        <w:t>MUNICIPALIDAD DE BUENOS AIRES</w:t>
      </w:r>
      <w:r>
        <w:t xml:space="preserve">, cedula jurídica </w:t>
      </w:r>
      <w:r w:rsidRPr="0042740E">
        <w:rPr>
          <w:b/>
        </w:rPr>
        <w:t>3-014-042112</w:t>
      </w:r>
      <w:r>
        <w:t xml:space="preserve">, y cuyo Representante Legal es </w:t>
      </w:r>
      <w:r w:rsidRPr="0042740E">
        <w:rPr>
          <w:b/>
          <w:color w:val="000000"/>
        </w:rPr>
        <w:t xml:space="preserve">MÁSTER </w:t>
      </w:r>
      <w:r w:rsidR="004653E2">
        <w:rPr>
          <w:b/>
          <w:color w:val="000000"/>
        </w:rPr>
        <w:t>ANA MARGOTH MORA NAVARRO</w:t>
      </w:r>
      <w:r>
        <w:t xml:space="preserve">, portadora de la cédula de identidad </w:t>
      </w:r>
      <w:r w:rsidR="004653E2">
        <w:rPr>
          <w:b/>
          <w:color w:val="000000"/>
        </w:rPr>
        <w:t>1-0280-0849</w:t>
      </w:r>
      <w:r w:rsidRPr="0042740E">
        <w:t>,</w:t>
      </w:r>
      <w:r w:rsidRPr="00916044">
        <w:rPr>
          <w:highlight w:val="lightGray"/>
        </w:rPr>
        <w:t xml:space="preserve"> </w:t>
      </w:r>
      <w:r>
        <w:t>CERTIFICA QUE:</w:t>
      </w:r>
    </w:p>
    <w:p w14:paraId="07B96F28" w14:textId="3D6A063A" w:rsidR="00B70FD4" w:rsidRPr="00B70FD4" w:rsidRDefault="00B70FD4" w:rsidP="00B70FD4">
      <w:pPr>
        <w:pBdr>
          <w:left w:val="single" w:sz="4" w:space="4" w:color="auto"/>
          <w:right w:val="single" w:sz="4" w:space="4" w:color="auto"/>
        </w:pBdr>
        <w:rPr>
          <w:u w:val="single"/>
        </w:rPr>
      </w:pPr>
      <w:r w:rsidRPr="00B70FD4">
        <w:rPr>
          <w:u w:val="single"/>
        </w:rPr>
        <w:t xml:space="preserve"> Los registros contables y estados financieros se ajustan a la Políticas Contables Generales emitidas por la DGCN en su versión 2021.</w:t>
      </w:r>
    </w:p>
    <w:p w14:paraId="4D664867" w14:textId="5C2A5C8B" w:rsidR="00B70FD4" w:rsidRPr="00B70FD4" w:rsidRDefault="00B70FD4" w:rsidP="00B70FD4">
      <w:pPr>
        <w:pBdr>
          <w:left w:val="single" w:sz="4" w:space="4" w:color="auto"/>
          <w:bottom w:val="single" w:sz="4" w:space="1" w:color="auto"/>
          <w:right w:val="single" w:sz="4" w:space="4" w:color="auto"/>
        </w:pBdr>
        <w:rPr>
          <w:b/>
        </w:rPr>
      </w:pPr>
      <w:r w:rsidRPr="00B70FD4">
        <w:rPr>
          <w:b/>
        </w:rPr>
        <w:t>Nota:</w:t>
      </w:r>
      <w:r>
        <w:t xml:space="preserve">  La firma del Máximo Jerarca está incluida en las firmas del estado de notas en su conjunto.</w:t>
      </w:r>
      <w:r w:rsidRPr="00B70FD4">
        <w:rPr>
          <w:b/>
        </w:rPr>
        <w:t xml:space="preserve"> De acuerdo con las particularidades del ente contable, estas son las políticas contables de mayor relevancia para el tratamiento contable</w:t>
      </w:r>
      <w:r>
        <w:rPr>
          <w:b/>
        </w:rPr>
        <w:t>.</w:t>
      </w:r>
    </w:p>
    <w:p w14:paraId="381B66A5" w14:textId="77777777" w:rsidR="00A266AB" w:rsidRPr="00A266AB" w:rsidRDefault="00A266AB" w:rsidP="0077456B">
      <w:pPr>
        <w:rPr>
          <w:highlight w:val="lightGray"/>
          <w:lang w:eastAsia="es-CR"/>
        </w:rPr>
      </w:pPr>
    </w:p>
    <w:p w14:paraId="6C9F90E5" w14:textId="4DDFC8C8" w:rsidR="00A266AB" w:rsidRPr="0077456B" w:rsidRDefault="00A266AB" w:rsidP="0077456B">
      <w:pPr>
        <w:rPr>
          <w:b/>
          <w:lang w:eastAsia="es-CR"/>
        </w:rPr>
      </w:pPr>
      <w:r w:rsidRPr="0077456B">
        <w:rPr>
          <w:b/>
          <w:lang w:eastAsia="es-CR"/>
        </w:rPr>
        <w:t>Una entidad revelara las políticas contables utilizadas que sean relevantes para la comprensión de los Estados Financieros en el siguiente cuadro:</w:t>
      </w:r>
    </w:p>
    <w:tbl>
      <w:tblPr>
        <w:tblW w:w="5000" w:type="pct"/>
        <w:tblLayout w:type="fixed"/>
        <w:tblCellMar>
          <w:left w:w="70" w:type="dxa"/>
          <w:right w:w="70" w:type="dxa"/>
        </w:tblCellMar>
        <w:tblLook w:val="04A0" w:firstRow="1" w:lastRow="0" w:firstColumn="1" w:lastColumn="0" w:noHBand="0" w:noVBand="1"/>
      </w:tblPr>
      <w:tblGrid>
        <w:gridCol w:w="657"/>
        <w:gridCol w:w="1263"/>
        <w:gridCol w:w="2669"/>
        <w:gridCol w:w="1370"/>
        <w:gridCol w:w="2825"/>
      </w:tblGrid>
      <w:tr w:rsidR="00B948D5" w:rsidRPr="0036385D" w14:paraId="78D52D9C" w14:textId="77777777" w:rsidTr="004653E2">
        <w:trPr>
          <w:trHeight w:val="236"/>
        </w:trPr>
        <w:tc>
          <w:tcPr>
            <w:tcW w:w="5000" w:type="pct"/>
            <w:gridSpan w:val="5"/>
            <w:tcBorders>
              <w:top w:val="nil"/>
              <w:left w:val="single" w:sz="4" w:space="0" w:color="auto"/>
              <w:bottom w:val="single" w:sz="4" w:space="0" w:color="auto"/>
              <w:right w:val="nil"/>
            </w:tcBorders>
            <w:shd w:val="clear" w:color="000000" w:fill="305496"/>
            <w:noWrap/>
            <w:vAlign w:val="center"/>
            <w:hideMark/>
          </w:tcPr>
          <w:p w14:paraId="59D91A5C" w14:textId="77777777" w:rsidR="00B948D5" w:rsidRPr="0036385D" w:rsidRDefault="00B948D5" w:rsidP="004653E2">
            <w:pPr>
              <w:spacing w:before="120" w:after="120" w:line="240" w:lineRule="auto"/>
              <w:jc w:val="center"/>
              <w:rPr>
                <w:rFonts w:eastAsia="Times New Roman" w:cs="Calibri"/>
                <w:color w:val="FFFFFF"/>
                <w:sz w:val="16"/>
                <w:szCs w:val="16"/>
                <w:lang w:eastAsia="es-CR"/>
              </w:rPr>
            </w:pPr>
            <w:bookmarkStart w:id="16" w:name="_Hlk153877840"/>
            <w:r w:rsidRPr="0036385D">
              <w:rPr>
                <w:rFonts w:eastAsia="Times New Roman" w:cs="Calibri"/>
                <w:color w:val="FFFFFF"/>
                <w:sz w:val="16"/>
                <w:szCs w:val="16"/>
                <w:lang w:eastAsia="es-CR"/>
              </w:rPr>
              <w:t>Políticas</w:t>
            </w:r>
          </w:p>
        </w:tc>
      </w:tr>
      <w:tr w:rsidR="00B948D5" w:rsidRPr="0036385D" w14:paraId="51B0555B" w14:textId="77777777" w:rsidTr="004653E2">
        <w:trPr>
          <w:trHeight w:val="457"/>
        </w:trPr>
        <w:tc>
          <w:tcPr>
            <w:tcW w:w="374" w:type="pct"/>
            <w:vMerge w:val="restart"/>
            <w:tcBorders>
              <w:top w:val="nil"/>
              <w:left w:val="nil"/>
              <w:bottom w:val="single" w:sz="4" w:space="0" w:color="000000"/>
              <w:right w:val="single" w:sz="4" w:space="0" w:color="auto"/>
            </w:tcBorders>
            <w:shd w:val="clear" w:color="000000" w:fill="305496"/>
            <w:vAlign w:val="center"/>
            <w:hideMark/>
          </w:tcPr>
          <w:p w14:paraId="2543B2FC" w14:textId="77777777" w:rsidR="00B948D5" w:rsidRPr="0036385D" w:rsidRDefault="00B948D5" w:rsidP="004653E2">
            <w:pPr>
              <w:spacing w:after="0" w:line="240" w:lineRule="auto"/>
              <w:jc w:val="center"/>
              <w:rPr>
                <w:rFonts w:eastAsia="Times New Roman" w:cs="Calibri"/>
                <w:color w:val="FFFFFF"/>
                <w:sz w:val="16"/>
                <w:szCs w:val="16"/>
                <w:lang w:eastAsia="es-CR"/>
              </w:rPr>
            </w:pPr>
            <w:r w:rsidRPr="0036385D">
              <w:rPr>
                <w:rFonts w:eastAsia="Times New Roman" w:cs="Calibri"/>
                <w:color w:val="FFFFFF"/>
                <w:sz w:val="16"/>
                <w:szCs w:val="16"/>
                <w:lang w:eastAsia="es-CR"/>
              </w:rPr>
              <w:t xml:space="preserve">N° Política </w:t>
            </w:r>
          </w:p>
        </w:tc>
        <w:tc>
          <w:tcPr>
            <w:tcW w:w="719" w:type="pct"/>
            <w:vMerge w:val="restart"/>
            <w:tcBorders>
              <w:top w:val="nil"/>
              <w:left w:val="nil"/>
              <w:bottom w:val="single" w:sz="4" w:space="0" w:color="000000"/>
              <w:right w:val="single" w:sz="4" w:space="0" w:color="auto"/>
            </w:tcBorders>
            <w:shd w:val="clear" w:color="000000" w:fill="305496"/>
            <w:vAlign w:val="center"/>
            <w:hideMark/>
          </w:tcPr>
          <w:p w14:paraId="31362405" w14:textId="77777777" w:rsidR="00B948D5" w:rsidRPr="0036385D" w:rsidRDefault="00B948D5" w:rsidP="004653E2">
            <w:pPr>
              <w:spacing w:after="0" w:line="240" w:lineRule="auto"/>
              <w:jc w:val="center"/>
              <w:rPr>
                <w:rFonts w:eastAsia="Times New Roman" w:cs="Calibri"/>
                <w:color w:val="FFFFFF"/>
                <w:sz w:val="16"/>
                <w:szCs w:val="16"/>
                <w:lang w:eastAsia="es-CR"/>
              </w:rPr>
            </w:pPr>
            <w:r w:rsidRPr="0036385D">
              <w:rPr>
                <w:rFonts w:eastAsia="Times New Roman" w:cs="Calibri"/>
                <w:color w:val="FFFFFF"/>
                <w:sz w:val="16"/>
                <w:szCs w:val="16"/>
                <w:lang w:eastAsia="es-CR"/>
              </w:rPr>
              <w:t>Concepto</w:t>
            </w:r>
          </w:p>
        </w:tc>
        <w:tc>
          <w:tcPr>
            <w:tcW w:w="1519" w:type="pct"/>
            <w:vMerge w:val="restart"/>
            <w:tcBorders>
              <w:top w:val="nil"/>
              <w:left w:val="nil"/>
              <w:bottom w:val="single" w:sz="4" w:space="0" w:color="000000"/>
              <w:right w:val="single" w:sz="4" w:space="0" w:color="auto"/>
            </w:tcBorders>
            <w:shd w:val="clear" w:color="000000" w:fill="305496"/>
            <w:vAlign w:val="center"/>
            <w:hideMark/>
          </w:tcPr>
          <w:p w14:paraId="0510AFAF" w14:textId="77777777" w:rsidR="00B948D5" w:rsidRPr="0036385D" w:rsidRDefault="00B948D5" w:rsidP="004653E2">
            <w:pPr>
              <w:spacing w:after="0" w:line="240" w:lineRule="auto"/>
              <w:jc w:val="center"/>
              <w:rPr>
                <w:rFonts w:eastAsia="Times New Roman" w:cs="Calibri"/>
                <w:color w:val="FFFFFF"/>
                <w:sz w:val="16"/>
                <w:szCs w:val="16"/>
                <w:lang w:eastAsia="es-CR"/>
              </w:rPr>
            </w:pPr>
            <w:r w:rsidRPr="0036385D">
              <w:rPr>
                <w:rFonts w:eastAsia="Times New Roman" w:cs="Calibri"/>
                <w:color w:val="FFFFFF"/>
                <w:sz w:val="16"/>
                <w:szCs w:val="16"/>
                <w:lang w:eastAsia="es-CR"/>
              </w:rPr>
              <w:t xml:space="preserve">Rubro que afecta </w:t>
            </w:r>
          </w:p>
        </w:tc>
        <w:tc>
          <w:tcPr>
            <w:tcW w:w="780" w:type="pct"/>
            <w:vMerge w:val="restart"/>
            <w:tcBorders>
              <w:top w:val="nil"/>
              <w:left w:val="single" w:sz="4" w:space="0" w:color="auto"/>
              <w:bottom w:val="single" w:sz="4" w:space="0" w:color="auto"/>
              <w:right w:val="single" w:sz="4" w:space="0" w:color="auto"/>
            </w:tcBorders>
            <w:shd w:val="clear" w:color="000000" w:fill="305496"/>
            <w:vAlign w:val="center"/>
            <w:hideMark/>
          </w:tcPr>
          <w:p w14:paraId="6C307435" w14:textId="77777777" w:rsidR="00B948D5" w:rsidRPr="0036385D" w:rsidRDefault="00B948D5" w:rsidP="004653E2">
            <w:pPr>
              <w:spacing w:after="0" w:line="240" w:lineRule="auto"/>
              <w:jc w:val="center"/>
              <w:rPr>
                <w:rFonts w:eastAsia="Times New Roman" w:cs="Calibri"/>
                <w:color w:val="FFFFFF"/>
                <w:sz w:val="16"/>
                <w:szCs w:val="16"/>
                <w:lang w:eastAsia="es-CR"/>
              </w:rPr>
            </w:pPr>
            <w:r w:rsidRPr="0036385D">
              <w:rPr>
                <w:rFonts w:eastAsia="Times New Roman" w:cs="Calibri"/>
                <w:color w:val="FFFFFF"/>
                <w:sz w:val="16"/>
                <w:szCs w:val="16"/>
                <w:lang w:eastAsia="es-CR"/>
              </w:rPr>
              <w:t>NICSP Relacionada</w:t>
            </w:r>
          </w:p>
        </w:tc>
        <w:tc>
          <w:tcPr>
            <w:tcW w:w="1608" w:type="pct"/>
            <w:vMerge w:val="restart"/>
            <w:tcBorders>
              <w:top w:val="nil"/>
              <w:left w:val="single" w:sz="4" w:space="0" w:color="auto"/>
              <w:bottom w:val="single" w:sz="4" w:space="0" w:color="auto"/>
              <w:right w:val="single" w:sz="4" w:space="0" w:color="auto"/>
            </w:tcBorders>
            <w:shd w:val="clear" w:color="000000" w:fill="305496"/>
            <w:vAlign w:val="center"/>
            <w:hideMark/>
          </w:tcPr>
          <w:p w14:paraId="19E718D5" w14:textId="77777777" w:rsidR="00B948D5" w:rsidRPr="0036385D" w:rsidRDefault="00B948D5" w:rsidP="004653E2">
            <w:pPr>
              <w:spacing w:after="0" w:line="240" w:lineRule="auto"/>
              <w:jc w:val="center"/>
              <w:rPr>
                <w:rFonts w:eastAsia="Times New Roman" w:cs="Calibri"/>
                <w:color w:val="FFFFFF"/>
                <w:sz w:val="16"/>
                <w:szCs w:val="16"/>
                <w:lang w:eastAsia="es-CR"/>
              </w:rPr>
            </w:pPr>
            <w:r w:rsidRPr="0036385D">
              <w:rPr>
                <w:rFonts w:eastAsia="Times New Roman" w:cs="Calibri"/>
                <w:color w:val="FFFFFF"/>
                <w:sz w:val="16"/>
                <w:szCs w:val="16"/>
                <w:lang w:eastAsia="es-CR"/>
              </w:rPr>
              <w:t>Detalle</w:t>
            </w:r>
          </w:p>
        </w:tc>
      </w:tr>
      <w:tr w:rsidR="00B948D5" w:rsidRPr="0036385D" w14:paraId="7611C0BE" w14:textId="77777777" w:rsidTr="004653E2">
        <w:trPr>
          <w:trHeight w:val="457"/>
        </w:trPr>
        <w:tc>
          <w:tcPr>
            <w:tcW w:w="374" w:type="pct"/>
            <w:vMerge/>
            <w:tcBorders>
              <w:top w:val="nil"/>
              <w:left w:val="nil"/>
              <w:bottom w:val="single" w:sz="4" w:space="0" w:color="000000"/>
              <w:right w:val="single" w:sz="4" w:space="0" w:color="auto"/>
            </w:tcBorders>
            <w:vAlign w:val="center"/>
            <w:hideMark/>
          </w:tcPr>
          <w:p w14:paraId="74C763D0" w14:textId="77777777" w:rsidR="00B948D5" w:rsidRPr="0036385D" w:rsidRDefault="00B948D5" w:rsidP="004653E2">
            <w:pPr>
              <w:spacing w:after="0" w:line="240" w:lineRule="auto"/>
              <w:jc w:val="left"/>
              <w:rPr>
                <w:rFonts w:eastAsia="Times New Roman" w:cs="Calibri"/>
                <w:color w:val="FFFFFF"/>
                <w:sz w:val="16"/>
                <w:szCs w:val="16"/>
                <w:lang w:eastAsia="es-CR"/>
              </w:rPr>
            </w:pPr>
          </w:p>
        </w:tc>
        <w:tc>
          <w:tcPr>
            <w:tcW w:w="719" w:type="pct"/>
            <w:vMerge/>
            <w:tcBorders>
              <w:top w:val="nil"/>
              <w:left w:val="nil"/>
              <w:bottom w:val="single" w:sz="4" w:space="0" w:color="000000"/>
              <w:right w:val="single" w:sz="4" w:space="0" w:color="auto"/>
            </w:tcBorders>
            <w:vAlign w:val="center"/>
            <w:hideMark/>
          </w:tcPr>
          <w:p w14:paraId="204D2803" w14:textId="77777777" w:rsidR="00B948D5" w:rsidRPr="0036385D" w:rsidRDefault="00B948D5" w:rsidP="004653E2">
            <w:pPr>
              <w:spacing w:after="0" w:line="240" w:lineRule="auto"/>
              <w:jc w:val="left"/>
              <w:rPr>
                <w:rFonts w:eastAsia="Times New Roman" w:cs="Calibri"/>
                <w:color w:val="FFFFFF"/>
                <w:sz w:val="16"/>
                <w:szCs w:val="16"/>
                <w:lang w:eastAsia="es-CR"/>
              </w:rPr>
            </w:pPr>
          </w:p>
        </w:tc>
        <w:tc>
          <w:tcPr>
            <w:tcW w:w="1519" w:type="pct"/>
            <w:vMerge/>
            <w:tcBorders>
              <w:top w:val="nil"/>
              <w:left w:val="nil"/>
              <w:bottom w:val="single" w:sz="4" w:space="0" w:color="000000"/>
              <w:right w:val="single" w:sz="4" w:space="0" w:color="auto"/>
            </w:tcBorders>
            <w:vAlign w:val="center"/>
            <w:hideMark/>
          </w:tcPr>
          <w:p w14:paraId="4B04C1E6" w14:textId="77777777" w:rsidR="00B948D5" w:rsidRPr="0036385D" w:rsidRDefault="00B948D5" w:rsidP="004653E2">
            <w:pPr>
              <w:spacing w:after="0" w:line="240" w:lineRule="auto"/>
              <w:jc w:val="left"/>
              <w:rPr>
                <w:rFonts w:eastAsia="Times New Roman" w:cs="Calibri"/>
                <w:color w:val="FFFFFF"/>
                <w:sz w:val="16"/>
                <w:szCs w:val="16"/>
                <w:lang w:eastAsia="es-CR"/>
              </w:rPr>
            </w:pPr>
          </w:p>
        </w:tc>
        <w:tc>
          <w:tcPr>
            <w:tcW w:w="780" w:type="pct"/>
            <w:vMerge/>
            <w:tcBorders>
              <w:top w:val="nil"/>
              <w:left w:val="single" w:sz="4" w:space="0" w:color="auto"/>
              <w:bottom w:val="single" w:sz="4" w:space="0" w:color="auto"/>
              <w:right w:val="single" w:sz="4" w:space="0" w:color="auto"/>
            </w:tcBorders>
            <w:vAlign w:val="center"/>
            <w:hideMark/>
          </w:tcPr>
          <w:p w14:paraId="108F60FC" w14:textId="77777777" w:rsidR="00B948D5" w:rsidRPr="0036385D" w:rsidRDefault="00B948D5" w:rsidP="004653E2">
            <w:pPr>
              <w:spacing w:after="0" w:line="240" w:lineRule="auto"/>
              <w:jc w:val="left"/>
              <w:rPr>
                <w:rFonts w:eastAsia="Times New Roman" w:cs="Calibri"/>
                <w:color w:val="FFFFFF"/>
                <w:sz w:val="16"/>
                <w:szCs w:val="16"/>
                <w:lang w:eastAsia="es-CR"/>
              </w:rPr>
            </w:pPr>
          </w:p>
        </w:tc>
        <w:tc>
          <w:tcPr>
            <w:tcW w:w="1608" w:type="pct"/>
            <w:vMerge/>
            <w:tcBorders>
              <w:top w:val="nil"/>
              <w:left w:val="single" w:sz="4" w:space="0" w:color="auto"/>
              <w:bottom w:val="single" w:sz="4" w:space="0" w:color="auto"/>
              <w:right w:val="single" w:sz="4" w:space="0" w:color="auto"/>
            </w:tcBorders>
            <w:vAlign w:val="center"/>
            <w:hideMark/>
          </w:tcPr>
          <w:p w14:paraId="67886183" w14:textId="77777777" w:rsidR="00B948D5" w:rsidRPr="0036385D" w:rsidRDefault="00B948D5" w:rsidP="004653E2">
            <w:pPr>
              <w:spacing w:after="0" w:line="240" w:lineRule="auto"/>
              <w:jc w:val="left"/>
              <w:rPr>
                <w:rFonts w:eastAsia="Times New Roman" w:cs="Calibri"/>
                <w:color w:val="FFFFFF"/>
                <w:sz w:val="16"/>
                <w:szCs w:val="16"/>
                <w:lang w:eastAsia="es-CR"/>
              </w:rPr>
            </w:pPr>
          </w:p>
        </w:tc>
      </w:tr>
      <w:tr w:rsidR="00B948D5" w:rsidRPr="0036385D" w14:paraId="1E66F552" w14:textId="77777777" w:rsidTr="004653E2">
        <w:trPr>
          <w:trHeight w:val="236"/>
        </w:trPr>
        <w:tc>
          <w:tcPr>
            <w:tcW w:w="374" w:type="pct"/>
            <w:tcBorders>
              <w:top w:val="nil"/>
              <w:left w:val="single" w:sz="4" w:space="0" w:color="auto"/>
              <w:bottom w:val="single" w:sz="4" w:space="0" w:color="auto"/>
              <w:right w:val="single" w:sz="4" w:space="0" w:color="auto"/>
            </w:tcBorders>
            <w:shd w:val="clear" w:color="auto" w:fill="auto"/>
            <w:noWrap/>
            <w:vAlign w:val="center"/>
            <w:hideMark/>
          </w:tcPr>
          <w:p w14:paraId="221C3748"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sidRPr="0036385D">
              <w:rPr>
                <w:rFonts w:ascii="Calibri" w:eastAsia="Times New Roman" w:hAnsi="Calibri" w:cs="Calibri"/>
                <w:color w:val="000000"/>
                <w:sz w:val="16"/>
                <w:szCs w:val="16"/>
                <w:lang w:eastAsia="es-CR"/>
              </w:rPr>
              <w:t>1.</w:t>
            </w:r>
            <w:r>
              <w:rPr>
                <w:rFonts w:ascii="Calibri" w:eastAsia="Times New Roman" w:hAnsi="Calibri" w:cs="Calibri"/>
                <w:color w:val="000000"/>
                <w:sz w:val="16"/>
                <w:szCs w:val="16"/>
                <w:lang w:eastAsia="es-CR"/>
              </w:rPr>
              <w:t>29</w:t>
            </w:r>
            <w:r w:rsidRPr="0036385D">
              <w:rPr>
                <w:rFonts w:ascii="Calibri" w:eastAsia="Times New Roman" w:hAnsi="Calibri" w:cs="Calibri"/>
                <w:color w:val="000000"/>
                <w:sz w:val="16"/>
                <w:szCs w:val="16"/>
                <w:lang w:eastAsia="es-CR"/>
              </w:rPr>
              <w:t>,</w:t>
            </w:r>
          </w:p>
          <w:p w14:paraId="2F817B2E" w14:textId="77777777" w:rsidR="00B948D5" w:rsidRPr="0036385D" w:rsidRDefault="00B948D5" w:rsidP="004653E2">
            <w:pPr>
              <w:spacing w:after="0" w:line="240" w:lineRule="auto"/>
              <w:jc w:val="center"/>
              <w:rPr>
                <w:rFonts w:ascii="Calibri" w:eastAsia="Times New Roman" w:hAnsi="Calibri" w:cs="Calibri"/>
                <w:color w:val="000000"/>
                <w:sz w:val="16"/>
                <w:szCs w:val="16"/>
                <w:lang w:eastAsia="es-CR"/>
              </w:rPr>
            </w:pPr>
            <w:r w:rsidRPr="0036385D">
              <w:rPr>
                <w:rFonts w:ascii="Calibri" w:eastAsia="Times New Roman" w:hAnsi="Calibri" w:cs="Calibri"/>
                <w:color w:val="000000"/>
                <w:sz w:val="16"/>
                <w:szCs w:val="16"/>
                <w:lang w:eastAsia="es-CR"/>
              </w:rPr>
              <w:t>1.</w:t>
            </w:r>
            <w:r>
              <w:rPr>
                <w:rFonts w:ascii="Calibri" w:eastAsia="Times New Roman" w:hAnsi="Calibri" w:cs="Calibri"/>
                <w:color w:val="000000"/>
                <w:sz w:val="16"/>
                <w:szCs w:val="16"/>
                <w:lang w:eastAsia="es-CR"/>
              </w:rPr>
              <w:t>30,</w:t>
            </w:r>
          </w:p>
        </w:tc>
        <w:tc>
          <w:tcPr>
            <w:tcW w:w="719" w:type="pct"/>
            <w:tcBorders>
              <w:top w:val="nil"/>
              <w:left w:val="nil"/>
              <w:bottom w:val="single" w:sz="4" w:space="0" w:color="auto"/>
              <w:right w:val="single" w:sz="4" w:space="0" w:color="auto"/>
            </w:tcBorders>
            <w:shd w:val="clear" w:color="auto" w:fill="auto"/>
            <w:vAlign w:val="center"/>
            <w:hideMark/>
          </w:tcPr>
          <w:p w14:paraId="155F6C21" w14:textId="77777777" w:rsidR="00B948D5" w:rsidRPr="0036385D" w:rsidRDefault="00B948D5" w:rsidP="004653E2">
            <w:pPr>
              <w:spacing w:after="0" w:line="240" w:lineRule="auto"/>
              <w:jc w:val="center"/>
              <w:rPr>
                <w:rFonts w:eastAsia="Times New Roman" w:cs="Times New Roman"/>
                <w:bCs/>
                <w:sz w:val="16"/>
                <w:szCs w:val="16"/>
                <w:lang w:eastAsia="es-CR"/>
              </w:rPr>
            </w:pPr>
            <w:r w:rsidRPr="0036385D">
              <w:rPr>
                <w:rFonts w:eastAsia="Times New Roman" w:cs="Calibri"/>
                <w:sz w:val="16"/>
                <w:szCs w:val="16"/>
                <w:lang w:eastAsia="es-CR"/>
              </w:rPr>
              <w:t>Activos financieros</w:t>
            </w:r>
          </w:p>
        </w:tc>
        <w:tc>
          <w:tcPr>
            <w:tcW w:w="1519" w:type="pct"/>
            <w:tcBorders>
              <w:top w:val="nil"/>
              <w:left w:val="nil"/>
              <w:bottom w:val="single" w:sz="4" w:space="0" w:color="auto"/>
              <w:right w:val="single" w:sz="4" w:space="0" w:color="auto"/>
            </w:tcBorders>
            <w:shd w:val="clear" w:color="auto" w:fill="auto"/>
            <w:noWrap/>
            <w:vAlign w:val="bottom"/>
            <w:hideMark/>
          </w:tcPr>
          <w:p w14:paraId="08C3EE5B" w14:textId="77777777" w:rsidR="00B948D5" w:rsidRPr="0036385D" w:rsidRDefault="00B948D5" w:rsidP="004653E2">
            <w:pPr>
              <w:spacing w:after="120" w:line="240" w:lineRule="auto"/>
              <w:jc w:val="center"/>
              <w:rPr>
                <w:rFonts w:eastAsia="Times New Roman" w:cs="Calibri"/>
                <w:sz w:val="16"/>
                <w:szCs w:val="16"/>
                <w:lang w:eastAsia="es-CR"/>
              </w:rPr>
            </w:pPr>
            <w:r w:rsidRPr="0036385D">
              <w:rPr>
                <w:rFonts w:eastAsia="Times New Roman" w:cs="Calibri"/>
                <w:sz w:val="16"/>
                <w:szCs w:val="16"/>
                <w:lang w:eastAsia="es-CR"/>
              </w:rPr>
              <w:t>Efectivo y Equivalentes de Efectivo </w:t>
            </w:r>
          </w:p>
        </w:tc>
        <w:tc>
          <w:tcPr>
            <w:tcW w:w="780" w:type="pct"/>
            <w:tcBorders>
              <w:top w:val="nil"/>
              <w:left w:val="nil"/>
              <w:bottom w:val="single" w:sz="4" w:space="0" w:color="auto"/>
              <w:right w:val="single" w:sz="4" w:space="0" w:color="auto"/>
            </w:tcBorders>
            <w:shd w:val="clear" w:color="auto" w:fill="auto"/>
            <w:noWrap/>
            <w:vAlign w:val="bottom"/>
            <w:hideMark/>
          </w:tcPr>
          <w:p w14:paraId="5F9BCDA8" w14:textId="77777777" w:rsidR="00B948D5" w:rsidRPr="002C0759" w:rsidRDefault="00B948D5" w:rsidP="004653E2">
            <w:pPr>
              <w:spacing w:after="0" w:line="240" w:lineRule="auto"/>
              <w:jc w:val="center"/>
              <w:rPr>
                <w:rFonts w:eastAsia="Times New Roman" w:cs="Calibri"/>
                <w:sz w:val="16"/>
                <w:szCs w:val="16"/>
                <w:lang w:eastAsia="es-CR"/>
              </w:rPr>
            </w:pPr>
            <w:r w:rsidRPr="002C0759">
              <w:rPr>
                <w:rFonts w:eastAsia="Times New Roman" w:cs="Calibri"/>
                <w:sz w:val="16"/>
                <w:szCs w:val="16"/>
                <w:lang w:eastAsia="es-CR"/>
              </w:rPr>
              <w:t> NICSP 1 y NICSP 28,29,30</w:t>
            </w:r>
          </w:p>
        </w:tc>
        <w:tc>
          <w:tcPr>
            <w:tcW w:w="1608" w:type="pct"/>
            <w:tcBorders>
              <w:top w:val="nil"/>
              <w:left w:val="nil"/>
              <w:bottom w:val="single" w:sz="4" w:space="0" w:color="auto"/>
              <w:right w:val="single" w:sz="4" w:space="0" w:color="auto"/>
            </w:tcBorders>
            <w:shd w:val="clear" w:color="auto" w:fill="auto"/>
            <w:noWrap/>
            <w:vAlign w:val="bottom"/>
            <w:hideMark/>
          </w:tcPr>
          <w:p w14:paraId="772D9380" w14:textId="77777777" w:rsidR="00B948D5" w:rsidRDefault="00B948D5" w:rsidP="004653E2">
            <w:pPr>
              <w:spacing w:after="0" w:line="240" w:lineRule="auto"/>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-Efectivo,</w:t>
            </w:r>
          </w:p>
          <w:p w14:paraId="2A807DCD" w14:textId="77777777" w:rsidR="00B948D5" w:rsidRPr="0036385D" w:rsidRDefault="00B948D5" w:rsidP="004653E2">
            <w:pPr>
              <w:spacing w:after="0" w:line="240" w:lineRule="auto"/>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 Equivalente de efectivo</w:t>
            </w:r>
          </w:p>
        </w:tc>
      </w:tr>
      <w:tr w:rsidR="00B948D5" w:rsidRPr="002C0759" w14:paraId="07F12B16" w14:textId="77777777" w:rsidTr="004653E2">
        <w:trPr>
          <w:trHeight w:val="236"/>
        </w:trPr>
        <w:tc>
          <w:tcPr>
            <w:tcW w:w="374" w:type="pct"/>
            <w:tcBorders>
              <w:top w:val="nil"/>
              <w:left w:val="single" w:sz="4" w:space="0" w:color="auto"/>
              <w:bottom w:val="single" w:sz="4" w:space="0" w:color="auto"/>
              <w:right w:val="single" w:sz="4" w:space="0" w:color="auto"/>
            </w:tcBorders>
            <w:shd w:val="clear" w:color="auto" w:fill="auto"/>
            <w:noWrap/>
            <w:vAlign w:val="center"/>
            <w:hideMark/>
          </w:tcPr>
          <w:p w14:paraId="6EDE0814"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1.48,</w:t>
            </w:r>
          </w:p>
          <w:p w14:paraId="56E8D76F"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1.49,</w:t>
            </w:r>
          </w:p>
          <w:p w14:paraId="3D9D9404" w14:textId="77777777" w:rsidR="00B948D5" w:rsidRPr="0036385D"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1.50</w:t>
            </w:r>
          </w:p>
        </w:tc>
        <w:tc>
          <w:tcPr>
            <w:tcW w:w="719" w:type="pct"/>
            <w:tcBorders>
              <w:top w:val="nil"/>
              <w:left w:val="nil"/>
              <w:bottom w:val="single" w:sz="4" w:space="0" w:color="auto"/>
              <w:right w:val="single" w:sz="4" w:space="0" w:color="auto"/>
            </w:tcBorders>
            <w:shd w:val="clear" w:color="auto" w:fill="auto"/>
            <w:vAlign w:val="center"/>
            <w:hideMark/>
          </w:tcPr>
          <w:p w14:paraId="61443D5C" w14:textId="77777777" w:rsidR="00B948D5" w:rsidRPr="0036385D" w:rsidRDefault="00B948D5" w:rsidP="004653E2">
            <w:pPr>
              <w:spacing w:after="0" w:line="240" w:lineRule="auto"/>
              <w:jc w:val="center"/>
              <w:rPr>
                <w:rFonts w:eastAsia="Times New Roman" w:cs="Calibri"/>
                <w:color w:val="000000"/>
                <w:sz w:val="16"/>
                <w:szCs w:val="16"/>
                <w:lang w:eastAsia="es-CR"/>
              </w:rPr>
            </w:pPr>
            <w:r w:rsidRPr="0036385D">
              <w:rPr>
                <w:rFonts w:eastAsia="Times New Roman" w:cs="Calibri"/>
                <w:color w:val="000000"/>
                <w:sz w:val="16"/>
                <w:szCs w:val="16"/>
                <w:lang w:eastAsia="es-CR"/>
              </w:rPr>
              <w:t>Activos financieros</w:t>
            </w:r>
          </w:p>
        </w:tc>
        <w:tc>
          <w:tcPr>
            <w:tcW w:w="1519" w:type="pct"/>
            <w:tcBorders>
              <w:top w:val="nil"/>
              <w:left w:val="nil"/>
              <w:bottom w:val="single" w:sz="4" w:space="0" w:color="auto"/>
              <w:right w:val="single" w:sz="4" w:space="0" w:color="auto"/>
            </w:tcBorders>
            <w:shd w:val="clear" w:color="auto" w:fill="auto"/>
            <w:noWrap/>
            <w:vAlign w:val="bottom"/>
            <w:hideMark/>
          </w:tcPr>
          <w:p w14:paraId="11F2DF72" w14:textId="77777777" w:rsidR="00B948D5" w:rsidRPr="0073207E" w:rsidRDefault="00B948D5" w:rsidP="004653E2">
            <w:pPr>
              <w:spacing w:after="480" w:line="240" w:lineRule="auto"/>
              <w:jc w:val="center"/>
              <w:rPr>
                <w:rFonts w:eastAsia="Times New Roman" w:cs="Calibri"/>
                <w:sz w:val="16"/>
                <w:szCs w:val="16"/>
                <w:lang w:eastAsia="es-CR"/>
              </w:rPr>
            </w:pPr>
            <w:r w:rsidRPr="0073207E">
              <w:rPr>
                <w:rFonts w:eastAsia="Times New Roman" w:cs="Calibri"/>
                <w:sz w:val="16"/>
                <w:szCs w:val="16"/>
                <w:lang w:eastAsia="es-CR"/>
              </w:rPr>
              <w:t>Cuentas y Documentos por Cobrar</w:t>
            </w:r>
          </w:p>
        </w:tc>
        <w:tc>
          <w:tcPr>
            <w:tcW w:w="780" w:type="pct"/>
            <w:tcBorders>
              <w:top w:val="nil"/>
              <w:left w:val="nil"/>
              <w:bottom w:val="single" w:sz="4" w:space="0" w:color="auto"/>
              <w:right w:val="single" w:sz="4" w:space="0" w:color="auto"/>
            </w:tcBorders>
            <w:shd w:val="clear" w:color="auto" w:fill="auto"/>
            <w:noWrap/>
            <w:vAlign w:val="bottom"/>
            <w:hideMark/>
          </w:tcPr>
          <w:p w14:paraId="2D72D6E8" w14:textId="77777777" w:rsidR="00B948D5" w:rsidRPr="0073207E" w:rsidRDefault="00B948D5" w:rsidP="004653E2">
            <w:pPr>
              <w:spacing w:after="480" w:line="240" w:lineRule="auto"/>
              <w:jc w:val="center"/>
              <w:rPr>
                <w:rFonts w:eastAsia="Times New Roman" w:cs="Calibri"/>
                <w:sz w:val="16"/>
                <w:szCs w:val="16"/>
                <w:lang w:eastAsia="es-CR"/>
              </w:rPr>
            </w:pPr>
            <w:r w:rsidRPr="0073207E">
              <w:rPr>
                <w:rFonts w:eastAsia="Times New Roman" w:cs="Calibri"/>
                <w:sz w:val="16"/>
                <w:szCs w:val="16"/>
                <w:lang w:eastAsia="es-CR"/>
              </w:rPr>
              <w:t> NICSP 28,29,30</w:t>
            </w:r>
          </w:p>
        </w:tc>
        <w:tc>
          <w:tcPr>
            <w:tcW w:w="1608" w:type="pct"/>
            <w:tcBorders>
              <w:top w:val="nil"/>
              <w:left w:val="nil"/>
              <w:bottom w:val="single" w:sz="4" w:space="0" w:color="auto"/>
              <w:right w:val="single" w:sz="4" w:space="0" w:color="auto"/>
            </w:tcBorders>
            <w:shd w:val="clear" w:color="auto" w:fill="auto"/>
            <w:noWrap/>
            <w:vAlign w:val="bottom"/>
            <w:hideMark/>
          </w:tcPr>
          <w:p w14:paraId="29AB487E" w14:textId="77777777" w:rsidR="00B948D5" w:rsidRDefault="00B948D5" w:rsidP="00B948D5">
            <w:pPr>
              <w:pStyle w:val="Prrafodelista"/>
              <w:numPr>
                <w:ilvl w:val="0"/>
                <w:numId w:val="22"/>
              </w:numPr>
              <w:spacing w:after="0" w:line="240" w:lineRule="auto"/>
              <w:ind w:left="26" w:hanging="77"/>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Cuentas por cobrar, Reconocimiento y Clasificación,</w:t>
            </w:r>
          </w:p>
          <w:p w14:paraId="2B08C4D2" w14:textId="77777777" w:rsidR="00B948D5" w:rsidRDefault="00B948D5" w:rsidP="00B948D5">
            <w:pPr>
              <w:pStyle w:val="Prrafodelista"/>
              <w:numPr>
                <w:ilvl w:val="0"/>
                <w:numId w:val="22"/>
              </w:numPr>
              <w:spacing w:after="0" w:line="240" w:lineRule="auto"/>
              <w:ind w:left="26" w:hanging="77"/>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Medición inicial de las Cuentas por Cobrar</w:t>
            </w:r>
          </w:p>
          <w:p w14:paraId="0A7364DD" w14:textId="77777777" w:rsidR="00B948D5" w:rsidRPr="002C0759" w:rsidRDefault="00B948D5" w:rsidP="00B948D5">
            <w:pPr>
              <w:pStyle w:val="Prrafodelista"/>
              <w:numPr>
                <w:ilvl w:val="0"/>
                <w:numId w:val="22"/>
              </w:numPr>
              <w:spacing w:after="0" w:line="240" w:lineRule="auto"/>
              <w:ind w:left="26" w:hanging="77"/>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Medición posterior de las cuentas por cobrar financieras</w:t>
            </w:r>
          </w:p>
        </w:tc>
      </w:tr>
      <w:tr w:rsidR="00B948D5" w14:paraId="061E7342" w14:textId="77777777" w:rsidTr="004653E2">
        <w:trPr>
          <w:trHeight w:val="599"/>
        </w:trPr>
        <w:tc>
          <w:tcPr>
            <w:tcW w:w="374" w:type="pct"/>
            <w:tcBorders>
              <w:top w:val="nil"/>
              <w:left w:val="single" w:sz="4" w:space="0" w:color="auto"/>
              <w:bottom w:val="single" w:sz="4" w:space="0" w:color="auto"/>
              <w:right w:val="single" w:sz="4" w:space="0" w:color="auto"/>
            </w:tcBorders>
            <w:shd w:val="clear" w:color="auto" w:fill="auto"/>
            <w:noWrap/>
            <w:vAlign w:val="center"/>
          </w:tcPr>
          <w:p w14:paraId="4A0E9254"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1.63</w:t>
            </w:r>
          </w:p>
        </w:tc>
        <w:tc>
          <w:tcPr>
            <w:tcW w:w="719" w:type="pct"/>
            <w:tcBorders>
              <w:top w:val="nil"/>
              <w:left w:val="nil"/>
              <w:bottom w:val="single" w:sz="4" w:space="0" w:color="auto"/>
              <w:right w:val="single" w:sz="4" w:space="0" w:color="auto"/>
            </w:tcBorders>
            <w:shd w:val="clear" w:color="auto" w:fill="auto"/>
            <w:vAlign w:val="center"/>
          </w:tcPr>
          <w:p w14:paraId="2C108838" w14:textId="77777777" w:rsidR="00B948D5" w:rsidRPr="0036385D" w:rsidRDefault="00B948D5" w:rsidP="004653E2">
            <w:pPr>
              <w:spacing w:after="0" w:line="240" w:lineRule="auto"/>
              <w:jc w:val="center"/>
              <w:rPr>
                <w:rFonts w:eastAsia="Times New Roman" w:cs="Calibri"/>
                <w:color w:val="000000"/>
                <w:sz w:val="16"/>
                <w:szCs w:val="16"/>
                <w:lang w:eastAsia="es-CR"/>
              </w:rPr>
            </w:pPr>
            <w:r w:rsidRPr="0036385D">
              <w:rPr>
                <w:rFonts w:eastAsia="Times New Roman" w:cs="Calibri"/>
                <w:color w:val="000000"/>
                <w:sz w:val="16"/>
                <w:szCs w:val="16"/>
                <w:lang w:eastAsia="es-CR"/>
              </w:rPr>
              <w:t>Activos financieros</w:t>
            </w:r>
          </w:p>
        </w:tc>
        <w:tc>
          <w:tcPr>
            <w:tcW w:w="1519" w:type="pct"/>
            <w:tcBorders>
              <w:top w:val="nil"/>
              <w:left w:val="nil"/>
              <w:bottom w:val="single" w:sz="4" w:space="0" w:color="auto"/>
              <w:right w:val="single" w:sz="4" w:space="0" w:color="auto"/>
            </w:tcBorders>
            <w:shd w:val="clear" w:color="auto" w:fill="auto"/>
            <w:noWrap/>
            <w:vAlign w:val="bottom"/>
          </w:tcPr>
          <w:p w14:paraId="11468ECF" w14:textId="77777777" w:rsidR="00B948D5" w:rsidRPr="00F753BA" w:rsidRDefault="00B948D5" w:rsidP="004653E2">
            <w:pPr>
              <w:spacing w:after="180" w:line="240" w:lineRule="auto"/>
              <w:jc w:val="center"/>
              <w:rPr>
                <w:rFonts w:eastAsia="Times New Roman" w:cs="Calibri"/>
                <w:color w:val="000000"/>
                <w:sz w:val="16"/>
                <w:szCs w:val="16"/>
                <w:lang w:eastAsia="es-CR"/>
              </w:rPr>
            </w:pPr>
            <w:r w:rsidRPr="00F753BA">
              <w:rPr>
                <w:rFonts w:eastAsia="Times New Roman" w:cs="Calibri"/>
                <w:color w:val="000000"/>
                <w:sz w:val="16"/>
                <w:szCs w:val="16"/>
                <w:lang w:eastAsia="es-CR"/>
              </w:rPr>
              <w:t>Transferencia por cobrar</w:t>
            </w:r>
          </w:p>
        </w:tc>
        <w:tc>
          <w:tcPr>
            <w:tcW w:w="780" w:type="pct"/>
            <w:tcBorders>
              <w:top w:val="nil"/>
              <w:left w:val="nil"/>
              <w:bottom w:val="single" w:sz="4" w:space="0" w:color="auto"/>
              <w:right w:val="single" w:sz="4" w:space="0" w:color="auto"/>
            </w:tcBorders>
            <w:shd w:val="clear" w:color="auto" w:fill="auto"/>
            <w:noWrap/>
            <w:vAlign w:val="bottom"/>
          </w:tcPr>
          <w:p w14:paraId="5AE15318" w14:textId="77777777" w:rsidR="00B948D5" w:rsidRPr="00F753BA" w:rsidRDefault="00B948D5" w:rsidP="004653E2">
            <w:pPr>
              <w:spacing w:after="180" w:line="240" w:lineRule="auto"/>
              <w:jc w:val="center"/>
              <w:rPr>
                <w:rFonts w:eastAsia="Times New Roman" w:cs="Calibri"/>
                <w:color w:val="000000"/>
                <w:sz w:val="16"/>
                <w:szCs w:val="16"/>
                <w:lang w:eastAsia="es-CR"/>
              </w:rPr>
            </w:pPr>
            <w:r w:rsidRPr="00F753BA">
              <w:rPr>
                <w:rFonts w:eastAsia="Times New Roman" w:cs="Calibri"/>
                <w:color w:val="000000"/>
                <w:sz w:val="16"/>
                <w:szCs w:val="16"/>
                <w:lang w:eastAsia="es-CR"/>
              </w:rPr>
              <w:t> NICSP 28,29,30</w:t>
            </w:r>
          </w:p>
        </w:tc>
        <w:tc>
          <w:tcPr>
            <w:tcW w:w="1608" w:type="pct"/>
            <w:tcBorders>
              <w:top w:val="nil"/>
              <w:left w:val="nil"/>
              <w:bottom w:val="single" w:sz="4" w:space="0" w:color="auto"/>
              <w:right w:val="single" w:sz="4" w:space="0" w:color="auto"/>
            </w:tcBorders>
            <w:shd w:val="clear" w:color="auto" w:fill="auto"/>
            <w:noWrap/>
            <w:vAlign w:val="bottom"/>
          </w:tcPr>
          <w:p w14:paraId="113DACE4" w14:textId="77777777" w:rsidR="00B948D5" w:rsidRDefault="00B948D5" w:rsidP="00B948D5">
            <w:pPr>
              <w:pStyle w:val="Prrafodelista"/>
              <w:numPr>
                <w:ilvl w:val="0"/>
                <w:numId w:val="22"/>
              </w:numPr>
              <w:spacing w:after="0" w:line="240" w:lineRule="auto"/>
              <w:ind w:left="26" w:hanging="77"/>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Reconocimiento de las transferencias a cobrar (Derecho adquirido, Medición de las transferencias a cobrar</w:t>
            </w:r>
          </w:p>
        </w:tc>
      </w:tr>
      <w:tr w:rsidR="00B948D5" w:rsidRPr="0036385D" w14:paraId="1BADDBB8" w14:textId="77777777" w:rsidTr="004653E2">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3868F1"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1.72,</w:t>
            </w:r>
          </w:p>
          <w:p w14:paraId="641EC7B4"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1.76,</w:t>
            </w:r>
          </w:p>
          <w:p w14:paraId="0BE042A6"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1.78,</w:t>
            </w:r>
          </w:p>
          <w:p w14:paraId="35699041"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1.86,</w:t>
            </w:r>
          </w:p>
          <w:p w14:paraId="2DCFDF10" w14:textId="77777777" w:rsidR="00B948D5" w:rsidRDefault="00B948D5" w:rsidP="004653E2">
            <w:pPr>
              <w:spacing w:before="60" w:after="12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1.87,</w:t>
            </w:r>
          </w:p>
          <w:p w14:paraId="1AAD2D4D" w14:textId="77777777" w:rsidR="00B948D5" w:rsidRPr="0036385D" w:rsidRDefault="00B948D5" w:rsidP="004653E2">
            <w:pPr>
              <w:spacing w:before="120"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1.89</w:t>
            </w:r>
          </w:p>
        </w:tc>
        <w:tc>
          <w:tcPr>
            <w:tcW w:w="719" w:type="pct"/>
            <w:tcBorders>
              <w:top w:val="single" w:sz="4" w:space="0" w:color="auto"/>
              <w:left w:val="nil"/>
              <w:bottom w:val="single" w:sz="4" w:space="0" w:color="auto"/>
              <w:right w:val="single" w:sz="4" w:space="0" w:color="auto"/>
            </w:tcBorders>
            <w:shd w:val="clear" w:color="auto" w:fill="auto"/>
            <w:vAlign w:val="center"/>
          </w:tcPr>
          <w:p w14:paraId="00AF9734" w14:textId="77777777" w:rsidR="00B948D5" w:rsidRPr="0036385D" w:rsidRDefault="00B948D5" w:rsidP="004653E2">
            <w:pPr>
              <w:spacing w:after="0" w:line="240" w:lineRule="auto"/>
              <w:jc w:val="center"/>
              <w:rPr>
                <w:rFonts w:eastAsia="Times New Roman" w:cs="Calibri"/>
                <w:color w:val="000000"/>
                <w:sz w:val="16"/>
                <w:szCs w:val="16"/>
                <w:lang w:eastAsia="es-CR"/>
              </w:rPr>
            </w:pPr>
            <w:r w:rsidRPr="0036385D">
              <w:rPr>
                <w:rFonts w:eastAsia="Times New Roman" w:cs="Calibri"/>
                <w:color w:val="000000"/>
                <w:sz w:val="16"/>
                <w:szCs w:val="16"/>
                <w:lang w:eastAsia="es-CR"/>
              </w:rPr>
              <w:t xml:space="preserve">Activo </w:t>
            </w:r>
            <w:r>
              <w:rPr>
                <w:rFonts w:eastAsia="Times New Roman" w:cs="Calibri"/>
                <w:color w:val="000000"/>
                <w:sz w:val="16"/>
                <w:szCs w:val="16"/>
                <w:lang w:eastAsia="es-CR"/>
              </w:rPr>
              <w:t>no financiero</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6B484A27" w14:textId="77777777" w:rsidR="00B948D5" w:rsidRPr="0036385D" w:rsidRDefault="00B948D5" w:rsidP="004653E2">
            <w:pPr>
              <w:spacing w:after="480" w:line="240" w:lineRule="auto"/>
              <w:jc w:val="center"/>
              <w:rPr>
                <w:rFonts w:eastAsia="Cambria" w:cs="Arial"/>
                <w:color w:val="000000"/>
                <w:sz w:val="16"/>
                <w:szCs w:val="16"/>
                <w:lang w:eastAsia="es-CR"/>
              </w:rPr>
            </w:pPr>
            <w:r w:rsidRPr="0036385D">
              <w:rPr>
                <w:rFonts w:eastAsia="Cambria" w:cs="Arial"/>
                <w:color w:val="000000"/>
                <w:sz w:val="16"/>
                <w:szCs w:val="16"/>
                <w:lang w:eastAsia="es-CR"/>
              </w:rPr>
              <w:t>Inventarios</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4F51B713" w14:textId="77777777" w:rsidR="00B948D5" w:rsidRPr="00BB0532" w:rsidRDefault="00B948D5" w:rsidP="004653E2">
            <w:pPr>
              <w:spacing w:after="480" w:line="240" w:lineRule="auto"/>
              <w:jc w:val="center"/>
              <w:rPr>
                <w:rFonts w:eastAsia="Cambria" w:cs="Arial"/>
                <w:color w:val="000000"/>
                <w:sz w:val="16"/>
                <w:szCs w:val="16"/>
                <w:lang w:eastAsia="es-CR"/>
              </w:rPr>
            </w:pPr>
            <w:r w:rsidRPr="00BB0532">
              <w:rPr>
                <w:rFonts w:eastAsia="Cambria" w:cs="Arial"/>
                <w:color w:val="000000"/>
                <w:sz w:val="16"/>
                <w:szCs w:val="16"/>
                <w:lang w:eastAsia="es-CR"/>
              </w:rPr>
              <w:t>NICSP 12</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0CE9317E" w14:textId="77777777" w:rsidR="00B948D5" w:rsidRPr="00FE0973" w:rsidRDefault="00B948D5" w:rsidP="00B948D5">
            <w:pPr>
              <w:pStyle w:val="Prrafodelista"/>
              <w:numPr>
                <w:ilvl w:val="0"/>
                <w:numId w:val="22"/>
              </w:numPr>
              <w:spacing w:after="80" w:line="240" w:lineRule="auto"/>
              <w:ind w:left="26" w:hanging="91"/>
              <w:rPr>
                <w:rFonts w:ascii="Calibri" w:eastAsia="Times New Roman" w:hAnsi="Calibri" w:cs="Calibri"/>
                <w:color w:val="000000"/>
                <w:sz w:val="16"/>
                <w:szCs w:val="16"/>
                <w:lang w:eastAsia="es-CR"/>
              </w:rPr>
            </w:pPr>
            <w:r w:rsidRPr="00FE0973">
              <w:rPr>
                <w:rFonts w:ascii="Calibri" w:eastAsia="Times New Roman" w:hAnsi="Calibri" w:cs="Calibri"/>
                <w:color w:val="000000"/>
                <w:sz w:val="16"/>
                <w:szCs w:val="16"/>
                <w:lang w:eastAsia="es-CR"/>
              </w:rPr>
              <w:t>Catálogo (Integración y PPC),</w:t>
            </w:r>
          </w:p>
          <w:p w14:paraId="691C5D3A" w14:textId="77777777" w:rsidR="00B948D5" w:rsidRDefault="00B948D5" w:rsidP="00B948D5">
            <w:pPr>
              <w:pStyle w:val="Prrafodelista"/>
              <w:numPr>
                <w:ilvl w:val="0"/>
                <w:numId w:val="22"/>
              </w:numPr>
              <w:spacing w:after="80" w:line="240" w:lineRule="auto"/>
              <w:ind w:left="26" w:hanging="91"/>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Medición general de los inventarios,</w:t>
            </w:r>
          </w:p>
          <w:p w14:paraId="00316B97" w14:textId="77777777" w:rsidR="00B948D5" w:rsidRDefault="00B948D5" w:rsidP="00B948D5">
            <w:pPr>
              <w:pStyle w:val="Prrafodelista"/>
              <w:numPr>
                <w:ilvl w:val="0"/>
                <w:numId w:val="22"/>
              </w:numPr>
              <w:spacing w:after="80" w:line="240" w:lineRule="auto"/>
              <w:ind w:left="26" w:hanging="91"/>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Costo de los inventarios,</w:t>
            </w:r>
          </w:p>
          <w:p w14:paraId="02F93A74" w14:textId="77777777" w:rsidR="00B948D5" w:rsidRDefault="00B948D5" w:rsidP="00B948D5">
            <w:pPr>
              <w:pStyle w:val="Prrafodelista"/>
              <w:numPr>
                <w:ilvl w:val="0"/>
                <w:numId w:val="22"/>
              </w:numPr>
              <w:spacing w:after="80" w:line="240" w:lineRule="auto"/>
              <w:ind w:left="26" w:hanging="91"/>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Costos de los bienes recibidos por un valor ínfimo o nulo,</w:t>
            </w:r>
          </w:p>
          <w:p w14:paraId="2E442945" w14:textId="77777777" w:rsidR="00B948D5" w:rsidRDefault="00B948D5" w:rsidP="00B948D5">
            <w:pPr>
              <w:pStyle w:val="Prrafodelista"/>
              <w:numPr>
                <w:ilvl w:val="0"/>
                <w:numId w:val="22"/>
              </w:numPr>
              <w:spacing w:after="0" w:line="240" w:lineRule="auto"/>
              <w:ind w:left="29" w:hanging="91"/>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Costos excluidos del valor de los inventarios,</w:t>
            </w:r>
          </w:p>
          <w:p w14:paraId="07EFF59A" w14:textId="77777777" w:rsidR="00B948D5" w:rsidRPr="0036385D" w:rsidRDefault="00B948D5" w:rsidP="00B948D5">
            <w:pPr>
              <w:pStyle w:val="Prrafodelista"/>
              <w:numPr>
                <w:ilvl w:val="0"/>
                <w:numId w:val="22"/>
              </w:numPr>
              <w:spacing w:after="80" w:line="240" w:lineRule="auto"/>
              <w:ind w:left="26" w:hanging="91"/>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Fórmulas del costo para inventarios</w:t>
            </w:r>
          </w:p>
        </w:tc>
      </w:tr>
      <w:tr w:rsidR="00B948D5" w:rsidRPr="00E55FAC" w14:paraId="4A2221EC" w14:textId="77777777" w:rsidTr="004653E2">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D2D79A" w14:textId="77777777" w:rsidR="00B948D5" w:rsidRDefault="00B948D5" w:rsidP="004653E2">
            <w:pPr>
              <w:spacing w:after="18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1.51,</w:t>
            </w:r>
          </w:p>
          <w:p w14:paraId="6EA62884" w14:textId="77777777" w:rsidR="00B948D5" w:rsidRDefault="00B948D5" w:rsidP="004653E2">
            <w:pPr>
              <w:spacing w:after="12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1.55, 1.134, 1.136,</w:t>
            </w:r>
          </w:p>
          <w:p w14:paraId="776D3208" w14:textId="77777777" w:rsidR="00B948D5" w:rsidRDefault="00B948D5" w:rsidP="004653E2">
            <w:pPr>
              <w:spacing w:after="24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1.137,</w:t>
            </w:r>
          </w:p>
          <w:p w14:paraId="33255445" w14:textId="77777777" w:rsidR="00B948D5" w:rsidRDefault="00B948D5" w:rsidP="004653E2">
            <w:pPr>
              <w:spacing w:after="24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2.24,</w:t>
            </w:r>
          </w:p>
          <w:p w14:paraId="3A1E9C2E" w14:textId="77777777" w:rsidR="00B948D5" w:rsidRPr="0036385D"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2.26</w:t>
            </w:r>
          </w:p>
        </w:tc>
        <w:tc>
          <w:tcPr>
            <w:tcW w:w="719" w:type="pct"/>
            <w:tcBorders>
              <w:top w:val="single" w:sz="4" w:space="0" w:color="auto"/>
              <w:left w:val="nil"/>
              <w:bottom w:val="single" w:sz="4" w:space="0" w:color="auto"/>
              <w:right w:val="single" w:sz="4" w:space="0" w:color="auto"/>
            </w:tcBorders>
            <w:shd w:val="clear" w:color="auto" w:fill="auto"/>
            <w:vAlign w:val="center"/>
          </w:tcPr>
          <w:p w14:paraId="435A64A1" w14:textId="77777777" w:rsidR="00B948D5" w:rsidRPr="0036385D" w:rsidRDefault="00B948D5" w:rsidP="004653E2">
            <w:pPr>
              <w:spacing w:after="0" w:line="240" w:lineRule="auto"/>
              <w:jc w:val="center"/>
              <w:rPr>
                <w:rFonts w:eastAsia="Times New Roman" w:cs="Calibri"/>
                <w:color w:val="000000"/>
                <w:sz w:val="16"/>
                <w:szCs w:val="16"/>
                <w:lang w:eastAsia="es-CR"/>
              </w:rPr>
            </w:pPr>
            <w:r w:rsidRPr="0036385D">
              <w:rPr>
                <w:rFonts w:eastAsia="Times New Roman" w:cs="Calibri"/>
                <w:color w:val="000000"/>
                <w:sz w:val="16"/>
                <w:szCs w:val="16"/>
                <w:lang w:eastAsia="es-CR"/>
              </w:rPr>
              <w:t>Activo no corriente</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7DD35F1C" w14:textId="77777777" w:rsidR="00B948D5" w:rsidRPr="00BD3E85" w:rsidRDefault="00B948D5" w:rsidP="004653E2">
            <w:pPr>
              <w:spacing w:after="960" w:line="240" w:lineRule="auto"/>
              <w:jc w:val="center"/>
              <w:rPr>
                <w:rFonts w:eastAsia="Times New Roman" w:cs="Calibri"/>
                <w:color w:val="000000"/>
                <w:sz w:val="16"/>
                <w:szCs w:val="16"/>
                <w:lang w:eastAsia="es-CR"/>
              </w:rPr>
            </w:pPr>
            <w:r w:rsidRPr="00BD3E85">
              <w:rPr>
                <w:rFonts w:eastAsia="Times New Roman" w:cs="Calibri"/>
                <w:color w:val="000000"/>
                <w:sz w:val="16"/>
                <w:szCs w:val="16"/>
                <w:lang w:eastAsia="es-CR"/>
              </w:rPr>
              <w:t>Arrendamientos</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30F4A138" w14:textId="77777777" w:rsidR="00B948D5" w:rsidRPr="00BD3E85" w:rsidRDefault="00B948D5" w:rsidP="004653E2">
            <w:pPr>
              <w:spacing w:after="960" w:line="240" w:lineRule="auto"/>
              <w:jc w:val="center"/>
              <w:rPr>
                <w:rFonts w:eastAsia="Times New Roman" w:cs="Calibri"/>
                <w:color w:val="000000"/>
                <w:sz w:val="16"/>
                <w:szCs w:val="16"/>
                <w:lang w:eastAsia="es-CR"/>
              </w:rPr>
            </w:pPr>
            <w:r w:rsidRPr="00BD3E85">
              <w:rPr>
                <w:rFonts w:eastAsia="Times New Roman" w:cs="Calibri"/>
                <w:color w:val="000000"/>
                <w:sz w:val="16"/>
                <w:szCs w:val="16"/>
                <w:lang w:eastAsia="es-CR"/>
              </w:rPr>
              <w:t>NICSP 13</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33D9B87D" w14:textId="77777777" w:rsidR="00B948D5" w:rsidRPr="00E55FAC"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sidRPr="00E55FAC">
              <w:rPr>
                <w:rFonts w:ascii="Calibri" w:eastAsia="Times New Roman" w:hAnsi="Calibri" w:cs="Calibri"/>
                <w:color w:val="000000"/>
                <w:sz w:val="16"/>
                <w:szCs w:val="16"/>
                <w:lang w:eastAsia="es-CR"/>
              </w:rPr>
              <w:t>Clasificación de los arrendamientos financieros y operativos,</w:t>
            </w:r>
          </w:p>
          <w:p w14:paraId="42875067" w14:textId="77777777" w:rsidR="00B948D5" w:rsidRPr="002E556C"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sidRPr="00E55FAC">
              <w:rPr>
                <w:rFonts w:ascii="Calibri" w:eastAsia="Times New Roman" w:hAnsi="Calibri" w:cs="Calibri"/>
                <w:color w:val="000000"/>
                <w:sz w:val="16"/>
                <w:szCs w:val="16"/>
                <w:lang w:eastAsia="es-CR"/>
              </w:rPr>
              <w:t>Inicio del arrendamiento</w:t>
            </w:r>
            <w:r>
              <w:rPr>
                <w:rFonts w:ascii="Calibri" w:eastAsia="Times New Roman" w:hAnsi="Calibri" w:cs="Calibri"/>
                <w:color w:val="000000"/>
                <w:sz w:val="16"/>
                <w:szCs w:val="16"/>
                <w:lang w:eastAsia="es-CR"/>
              </w:rPr>
              <w:t>,</w:t>
            </w:r>
          </w:p>
          <w:p w14:paraId="5C2453B6"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Registro inicial,</w:t>
            </w:r>
          </w:p>
          <w:p w14:paraId="78AC5437"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Reconocimiento inicial de bienes arrendados (arrendamiento financiero),</w:t>
            </w:r>
          </w:p>
          <w:p w14:paraId="0627BFCA"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Costos iniciales del arrendamiento financiero,</w:t>
            </w:r>
          </w:p>
          <w:p w14:paraId="3DF55AF6"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Reconocimiento inicial de arrendamientos financieros,</w:t>
            </w:r>
          </w:p>
          <w:p w14:paraId="08AF5A26" w14:textId="77777777" w:rsidR="00B948D5" w:rsidRPr="00E55FAC"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Pasivo por arrendamiento operativo</w:t>
            </w:r>
          </w:p>
        </w:tc>
      </w:tr>
      <w:tr w:rsidR="00B948D5" w:rsidRPr="00064C1D" w14:paraId="3B270868" w14:textId="77777777" w:rsidTr="004653E2">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7C2477"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1.110,</w:t>
            </w:r>
          </w:p>
          <w:p w14:paraId="278FB8E2" w14:textId="77777777" w:rsidR="00B948D5" w:rsidRDefault="00B948D5" w:rsidP="004653E2">
            <w:pPr>
              <w:spacing w:before="180"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1.113,</w:t>
            </w:r>
          </w:p>
          <w:p w14:paraId="4FB46CCC" w14:textId="77777777" w:rsidR="00B948D5" w:rsidRDefault="00B948D5" w:rsidP="004653E2">
            <w:pPr>
              <w:spacing w:before="120"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1.117,</w:t>
            </w:r>
          </w:p>
          <w:p w14:paraId="57BEBEE0"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1.120,</w:t>
            </w:r>
          </w:p>
          <w:p w14:paraId="4BAD7F60" w14:textId="77777777" w:rsidR="00B948D5" w:rsidRPr="0036385D"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1.121</w:t>
            </w:r>
          </w:p>
        </w:tc>
        <w:tc>
          <w:tcPr>
            <w:tcW w:w="719" w:type="pct"/>
            <w:tcBorders>
              <w:top w:val="single" w:sz="4" w:space="0" w:color="auto"/>
              <w:left w:val="nil"/>
              <w:bottom w:val="single" w:sz="4" w:space="0" w:color="auto"/>
              <w:right w:val="single" w:sz="4" w:space="0" w:color="auto"/>
            </w:tcBorders>
            <w:shd w:val="clear" w:color="auto" w:fill="auto"/>
            <w:vAlign w:val="center"/>
          </w:tcPr>
          <w:p w14:paraId="59FC6435" w14:textId="77777777" w:rsidR="00B948D5" w:rsidRPr="0036385D" w:rsidRDefault="00B948D5" w:rsidP="004653E2">
            <w:pPr>
              <w:spacing w:after="0" w:line="240" w:lineRule="auto"/>
              <w:jc w:val="center"/>
              <w:rPr>
                <w:rFonts w:eastAsia="Times New Roman" w:cs="Calibri"/>
                <w:color w:val="000000"/>
                <w:sz w:val="16"/>
                <w:szCs w:val="16"/>
                <w:lang w:eastAsia="es-CR"/>
              </w:rPr>
            </w:pPr>
            <w:r w:rsidRPr="0036385D">
              <w:rPr>
                <w:rFonts w:eastAsia="Times New Roman" w:cs="Calibri"/>
                <w:color w:val="000000"/>
                <w:sz w:val="16"/>
                <w:szCs w:val="16"/>
                <w:lang w:eastAsia="es-CR"/>
              </w:rPr>
              <w:t>Activo no corriente</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429D3965" w14:textId="77777777" w:rsidR="00B948D5" w:rsidRPr="00BD3E85" w:rsidRDefault="00B948D5" w:rsidP="004653E2">
            <w:pPr>
              <w:spacing w:after="600" w:line="240" w:lineRule="auto"/>
              <w:jc w:val="center"/>
              <w:rPr>
                <w:rFonts w:eastAsia="Times New Roman" w:cs="Calibri"/>
                <w:color w:val="000000"/>
                <w:sz w:val="16"/>
                <w:szCs w:val="16"/>
                <w:lang w:eastAsia="es-CR"/>
              </w:rPr>
            </w:pPr>
            <w:r w:rsidRPr="00BD3E85">
              <w:rPr>
                <w:rFonts w:eastAsia="Times New Roman" w:cs="Calibri"/>
                <w:color w:val="000000"/>
                <w:sz w:val="16"/>
                <w:szCs w:val="16"/>
                <w:lang w:eastAsia="es-CR"/>
              </w:rPr>
              <w:t>Propiedades de Inversión</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24AFA000" w14:textId="77777777" w:rsidR="00B948D5" w:rsidRPr="00BD3E85" w:rsidRDefault="00B948D5" w:rsidP="004653E2">
            <w:pPr>
              <w:spacing w:after="600" w:line="240" w:lineRule="auto"/>
              <w:jc w:val="center"/>
              <w:rPr>
                <w:rFonts w:eastAsia="Times New Roman" w:cs="Calibri"/>
                <w:color w:val="000000"/>
                <w:sz w:val="16"/>
                <w:szCs w:val="16"/>
                <w:lang w:eastAsia="es-CR"/>
              </w:rPr>
            </w:pPr>
            <w:r w:rsidRPr="00BD3E85">
              <w:rPr>
                <w:rFonts w:eastAsia="Times New Roman" w:cs="Calibri"/>
                <w:color w:val="000000"/>
                <w:sz w:val="16"/>
                <w:szCs w:val="16"/>
                <w:lang w:eastAsia="es-CR"/>
              </w:rPr>
              <w:t>NICSP 16</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0099DE58" w14:textId="77777777" w:rsidR="00B948D5"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sidRPr="00064C1D">
              <w:rPr>
                <w:rFonts w:ascii="Calibri" w:eastAsia="Times New Roman" w:hAnsi="Calibri" w:cs="Calibri"/>
                <w:color w:val="000000"/>
                <w:sz w:val="16"/>
                <w:szCs w:val="16"/>
                <w:lang w:eastAsia="es-CR"/>
              </w:rPr>
              <w:t>Bienes imputados a propiedades de inversión,</w:t>
            </w:r>
          </w:p>
          <w:p w14:paraId="29F38E3E" w14:textId="77777777" w:rsidR="00B948D5"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Reconocimiento de propiedades de inversión,</w:t>
            </w:r>
          </w:p>
          <w:p w14:paraId="7FA4A3CF" w14:textId="77777777" w:rsidR="00B948D5"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Arrendamiento y propiedad de inversión,</w:t>
            </w:r>
          </w:p>
          <w:p w14:paraId="6A2D25E2" w14:textId="77777777" w:rsidR="00B948D5"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Medición posterior al inicio,</w:t>
            </w:r>
          </w:p>
          <w:p w14:paraId="61134410" w14:textId="77777777" w:rsidR="00B948D5" w:rsidRPr="00064C1D"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Modelo de costo como modelo general</w:t>
            </w:r>
          </w:p>
        </w:tc>
      </w:tr>
      <w:tr w:rsidR="00B948D5" w:rsidRPr="00FE0973" w14:paraId="3473C36A" w14:textId="77777777" w:rsidTr="004653E2">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7A5B84"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1.92,</w:t>
            </w:r>
          </w:p>
          <w:p w14:paraId="6815B9B5"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1.95,</w:t>
            </w:r>
          </w:p>
          <w:p w14:paraId="24823E08"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1.96,</w:t>
            </w:r>
          </w:p>
          <w:p w14:paraId="33927440"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1.98,</w:t>
            </w:r>
          </w:p>
          <w:p w14:paraId="14828FB2"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1.101,</w:t>
            </w:r>
          </w:p>
          <w:p w14:paraId="6FCF6E56"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1.102,</w:t>
            </w:r>
          </w:p>
          <w:p w14:paraId="03C8CECF"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1.104.</w:t>
            </w:r>
          </w:p>
          <w:p w14:paraId="49B28E86"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1.108,</w:t>
            </w:r>
          </w:p>
          <w:p w14:paraId="621294C7"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1.149,</w:t>
            </w:r>
          </w:p>
          <w:p w14:paraId="7DE277EC"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1.163,</w:t>
            </w:r>
          </w:p>
          <w:p w14:paraId="741F8C92"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1.190,</w:t>
            </w:r>
          </w:p>
          <w:p w14:paraId="7960B658" w14:textId="77777777" w:rsidR="00B948D5" w:rsidRDefault="00B948D5" w:rsidP="004653E2">
            <w:pPr>
              <w:spacing w:after="12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1.193,</w:t>
            </w:r>
          </w:p>
          <w:p w14:paraId="0E40512C" w14:textId="77777777" w:rsidR="00B948D5" w:rsidRDefault="00B948D5" w:rsidP="004653E2">
            <w:pPr>
              <w:spacing w:after="12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1.209,</w:t>
            </w:r>
          </w:p>
          <w:p w14:paraId="5476BA8F" w14:textId="77777777" w:rsidR="00B948D5" w:rsidRDefault="00B948D5" w:rsidP="004653E2">
            <w:pPr>
              <w:spacing w:after="12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1.213,</w:t>
            </w:r>
          </w:p>
          <w:p w14:paraId="69DFD4EA" w14:textId="77777777" w:rsidR="00B948D5" w:rsidRDefault="00B948D5" w:rsidP="004653E2">
            <w:pPr>
              <w:spacing w:after="12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1.214,</w:t>
            </w:r>
          </w:p>
          <w:p w14:paraId="4AF81476"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1.219,</w:t>
            </w:r>
          </w:p>
          <w:p w14:paraId="2A35CB95" w14:textId="77777777" w:rsidR="00B948D5" w:rsidRPr="0036385D"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1.220</w:t>
            </w:r>
          </w:p>
        </w:tc>
        <w:tc>
          <w:tcPr>
            <w:tcW w:w="719" w:type="pct"/>
            <w:tcBorders>
              <w:top w:val="single" w:sz="4" w:space="0" w:color="auto"/>
              <w:left w:val="nil"/>
              <w:bottom w:val="single" w:sz="4" w:space="0" w:color="auto"/>
              <w:right w:val="single" w:sz="4" w:space="0" w:color="auto"/>
            </w:tcBorders>
            <w:shd w:val="clear" w:color="auto" w:fill="auto"/>
            <w:vAlign w:val="center"/>
          </w:tcPr>
          <w:p w14:paraId="6CCFEF5D" w14:textId="77777777" w:rsidR="00B948D5" w:rsidRPr="0036385D" w:rsidRDefault="00B948D5" w:rsidP="004653E2">
            <w:pPr>
              <w:spacing w:after="0" w:line="240" w:lineRule="auto"/>
              <w:jc w:val="center"/>
              <w:rPr>
                <w:rFonts w:eastAsia="Times New Roman" w:cs="Calibri"/>
                <w:color w:val="000000"/>
                <w:sz w:val="16"/>
                <w:szCs w:val="16"/>
                <w:lang w:eastAsia="es-CR"/>
              </w:rPr>
            </w:pPr>
            <w:r w:rsidRPr="0036385D">
              <w:rPr>
                <w:rFonts w:eastAsia="Times New Roman" w:cs="Calibri"/>
                <w:color w:val="000000"/>
                <w:sz w:val="16"/>
                <w:szCs w:val="16"/>
                <w:lang w:eastAsia="es-CR"/>
              </w:rPr>
              <w:t>Activo no corriente</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001EB3A2" w14:textId="77777777" w:rsidR="00B948D5" w:rsidRDefault="00B948D5" w:rsidP="004653E2">
            <w:pPr>
              <w:spacing w:after="120" w:line="240" w:lineRule="auto"/>
              <w:jc w:val="center"/>
              <w:rPr>
                <w:rFonts w:eastAsia="Times New Roman" w:cs="Calibri"/>
                <w:color w:val="000000"/>
                <w:sz w:val="16"/>
                <w:szCs w:val="16"/>
                <w:lang w:eastAsia="es-CR"/>
              </w:rPr>
            </w:pPr>
            <w:r w:rsidRPr="00876871">
              <w:rPr>
                <w:rFonts w:eastAsia="Times New Roman" w:cs="Calibri"/>
                <w:color w:val="000000"/>
                <w:sz w:val="16"/>
                <w:szCs w:val="16"/>
                <w:lang w:eastAsia="es-CR"/>
              </w:rPr>
              <w:t>Activo Propiedad Planta y Equipo</w:t>
            </w:r>
            <w:r>
              <w:rPr>
                <w:rFonts w:eastAsia="Times New Roman" w:cs="Calibri"/>
                <w:color w:val="000000"/>
                <w:sz w:val="16"/>
                <w:szCs w:val="16"/>
                <w:lang w:eastAsia="es-CR"/>
              </w:rPr>
              <w:t xml:space="preserve">; y </w:t>
            </w:r>
          </w:p>
          <w:p w14:paraId="34DDF03F" w14:textId="77777777" w:rsidR="00B948D5" w:rsidRPr="00876871" w:rsidRDefault="00B948D5" w:rsidP="004653E2">
            <w:pPr>
              <w:spacing w:after="1680" w:line="240" w:lineRule="auto"/>
              <w:jc w:val="center"/>
              <w:rPr>
                <w:rFonts w:eastAsia="Times New Roman" w:cs="Calibri"/>
                <w:color w:val="000000"/>
                <w:sz w:val="16"/>
                <w:szCs w:val="16"/>
                <w:lang w:eastAsia="es-CR"/>
              </w:rPr>
            </w:pPr>
            <w:r w:rsidRPr="0036385D">
              <w:rPr>
                <w:rFonts w:eastAsia="Cambria" w:cs="Arial"/>
                <w:color w:val="000000"/>
                <w:sz w:val="16"/>
                <w:szCs w:val="16"/>
                <w:lang w:eastAsia="es-CR"/>
              </w:rPr>
              <w:t>Bienes de infraestructura y de beneficio y uso público</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415662AD" w14:textId="77777777" w:rsidR="00B948D5" w:rsidRPr="00876871" w:rsidRDefault="00B948D5" w:rsidP="004653E2">
            <w:pPr>
              <w:spacing w:after="1800" w:line="240" w:lineRule="auto"/>
              <w:jc w:val="center"/>
              <w:rPr>
                <w:rFonts w:eastAsia="Times New Roman" w:cs="Calibri"/>
                <w:color w:val="000000"/>
                <w:sz w:val="16"/>
                <w:szCs w:val="16"/>
                <w:lang w:eastAsia="es-CR"/>
              </w:rPr>
            </w:pPr>
            <w:r w:rsidRPr="00876871">
              <w:rPr>
                <w:rFonts w:eastAsia="Times New Roman" w:cs="Calibri"/>
                <w:color w:val="000000"/>
                <w:sz w:val="16"/>
                <w:szCs w:val="16"/>
                <w:lang w:eastAsia="es-CR"/>
              </w:rPr>
              <w:t>NICSP 17</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2A145B25" w14:textId="77777777" w:rsidR="00B948D5" w:rsidRPr="00876871"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sidRPr="00876871">
              <w:rPr>
                <w:rFonts w:ascii="Calibri" w:eastAsia="Times New Roman" w:hAnsi="Calibri" w:cs="Calibri"/>
                <w:color w:val="000000"/>
                <w:sz w:val="16"/>
                <w:szCs w:val="16"/>
                <w:lang w:eastAsia="es-CR"/>
              </w:rPr>
              <w:t>Clases de bienes,</w:t>
            </w:r>
          </w:p>
          <w:p w14:paraId="69F95B2D" w14:textId="77777777" w:rsidR="00B948D5"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Reconocimiento del activo,</w:t>
            </w:r>
          </w:p>
          <w:p w14:paraId="1E2BCB28" w14:textId="77777777" w:rsidR="00B948D5"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Bienes contemplados,</w:t>
            </w:r>
          </w:p>
          <w:p w14:paraId="111D7009" w14:textId="77777777" w:rsidR="00B948D5"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Medición y reconocimiento inicial</w:t>
            </w:r>
          </w:p>
          <w:p w14:paraId="315FCD15" w14:textId="77777777" w:rsidR="00B948D5"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Medición y reconocimiento posterior,</w:t>
            </w:r>
          </w:p>
          <w:p w14:paraId="434B60DE" w14:textId="77777777" w:rsidR="00B948D5"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Modelo de Costo,</w:t>
            </w:r>
          </w:p>
          <w:p w14:paraId="3DCFEE01" w14:textId="77777777" w:rsidR="00B948D5"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Componentes del costo,</w:t>
            </w:r>
          </w:p>
          <w:p w14:paraId="6CEA6F88" w14:textId="77777777" w:rsidR="00B948D5"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Bajas de bienes,</w:t>
            </w:r>
          </w:p>
          <w:p w14:paraId="78C5A612" w14:textId="77777777" w:rsidR="00B948D5"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Bienes de infraestructura,</w:t>
            </w:r>
          </w:p>
          <w:p w14:paraId="5180EF82" w14:textId="77777777" w:rsidR="00B948D5"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Contrato de construcción</w:t>
            </w:r>
          </w:p>
          <w:p w14:paraId="5A712884" w14:textId="77777777" w:rsidR="00B948D5"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Activos sujetos a evaluación de deterioro,</w:t>
            </w:r>
          </w:p>
          <w:p w14:paraId="422C2512" w14:textId="77777777" w:rsidR="00B948D5"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Deterioro del valor,</w:t>
            </w:r>
          </w:p>
          <w:p w14:paraId="32970A91" w14:textId="77777777" w:rsidR="00B948D5"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Reconocimiento de pérdidas por deterioro,</w:t>
            </w:r>
          </w:p>
          <w:p w14:paraId="677D2D26" w14:textId="77777777" w:rsidR="00B948D5"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Reconocimiento de reversiones de pérdidas por deterioro,</w:t>
            </w:r>
          </w:p>
          <w:p w14:paraId="4839E7CA" w14:textId="77777777" w:rsidR="00B948D5"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Reversión de pérdidas por deterioro para unidades generadoras de efectivo,</w:t>
            </w:r>
          </w:p>
          <w:p w14:paraId="707E1A2E" w14:textId="77777777" w:rsidR="00B948D5"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Depreciaciones de bienes,</w:t>
            </w:r>
          </w:p>
          <w:p w14:paraId="30BF42D5" w14:textId="77777777" w:rsidR="00B948D5" w:rsidRPr="00FE0973"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Cargo por depreciación</w:t>
            </w:r>
          </w:p>
        </w:tc>
      </w:tr>
      <w:tr w:rsidR="00B948D5" w:rsidRPr="0036385D" w14:paraId="04C4507F" w14:textId="77777777" w:rsidTr="004653E2">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1C91C6"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1.227,</w:t>
            </w:r>
          </w:p>
          <w:p w14:paraId="5B1131B8" w14:textId="77777777" w:rsidR="00B948D5" w:rsidRDefault="00B948D5" w:rsidP="004653E2">
            <w:pPr>
              <w:spacing w:after="18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1.231,</w:t>
            </w:r>
          </w:p>
          <w:p w14:paraId="3DAD430D"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1.232,</w:t>
            </w:r>
          </w:p>
          <w:p w14:paraId="3AF21015"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1.236,</w:t>
            </w:r>
          </w:p>
          <w:p w14:paraId="735FBE9B" w14:textId="77777777" w:rsidR="00B948D5" w:rsidRDefault="00B948D5" w:rsidP="004653E2">
            <w:pPr>
              <w:spacing w:after="18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1.237,</w:t>
            </w:r>
          </w:p>
          <w:p w14:paraId="3B203D5D" w14:textId="77777777" w:rsidR="00B948D5" w:rsidRDefault="00B948D5" w:rsidP="004653E2">
            <w:pPr>
              <w:spacing w:after="18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1.239,</w:t>
            </w:r>
          </w:p>
          <w:p w14:paraId="5EDEF8C4" w14:textId="77777777" w:rsidR="00B948D5" w:rsidRPr="0036385D"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1.249</w:t>
            </w:r>
          </w:p>
        </w:tc>
        <w:tc>
          <w:tcPr>
            <w:tcW w:w="719" w:type="pct"/>
            <w:tcBorders>
              <w:top w:val="single" w:sz="4" w:space="0" w:color="auto"/>
              <w:left w:val="nil"/>
              <w:bottom w:val="single" w:sz="4" w:space="0" w:color="auto"/>
              <w:right w:val="single" w:sz="4" w:space="0" w:color="auto"/>
            </w:tcBorders>
            <w:shd w:val="clear" w:color="auto" w:fill="auto"/>
            <w:vAlign w:val="center"/>
          </w:tcPr>
          <w:p w14:paraId="2AFA6B32" w14:textId="77777777" w:rsidR="00B948D5" w:rsidRPr="0036385D" w:rsidRDefault="00B948D5" w:rsidP="004653E2">
            <w:pPr>
              <w:spacing w:after="0" w:line="240" w:lineRule="auto"/>
              <w:jc w:val="center"/>
              <w:rPr>
                <w:rFonts w:eastAsia="Times New Roman" w:cs="Calibri"/>
                <w:color w:val="000000"/>
                <w:sz w:val="16"/>
                <w:szCs w:val="16"/>
                <w:lang w:eastAsia="es-CR"/>
              </w:rPr>
            </w:pPr>
            <w:r w:rsidRPr="0036385D">
              <w:rPr>
                <w:rFonts w:eastAsia="Times New Roman" w:cs="Calibri"/>
                <w:color w:val="000000"/>
                <w:sz w:val="16"/>
                <w:szCs w:val="16"/>
                <w:lang w:eastAsia="es-CR"/>
              </w:rPr>
              <w:t>Activo no corriente</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63EF1788" w14:textId="77777777" w:rsidR="00B948D5" w:rsidRPr="00E12D38" w:rsidRDefault="00B948D5" w:rsidP="004653E2">
            <w:pPr>
              <w:spacing w:after="900" w:line="240" w:lineRule="auto"/>
              <w:jc w:val="center"/>
              <w:rPr>
                <w:rFonts w:eastAsia="Times New Roman" w:cs="Calibri"/>
                <w:color w:val="000000"/>
                <w:sz w:val="16"/>
                <w:szCs w:val="16"/>
                <w:lang w:eastAsia="es-CR"/>
              </w:rPr>
            </w:pPr>
            <w:r w:rsidRPr="00E12D38">
              <w:rPr>
                <w:rFonts w:eastAsia="Times New Roman" w:cs="Calibri"/>
                <w:color w:val="000000"/>
                <w:sz w:val="16"/>
                <w:szCs w:val="16"/>
                <w:lang w:eastAsia="es-CR"/>
              </w:rPr>
              <w:t>Bienes Intangibles</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6666A95A" w14:textId="77777777" w:rsidR="00B948D5" w:rsidRPr="0036385D" w:rsidRDefault="00B948D5" w:rsidP="004653E2">
            <w:pPr>
              <w:spacing w:after="900" w:line="240" w:lineRule="auto"/>
              <w:jc w:val="left"/>
              <w:rPr>
                <w:rFonts w:ascii="Calibri" w:eastAsia="Times New Roman" w:hAnsi="Calibri" w:cs="Calibri"/>
                <w:color w:val="000000"/>
                <w:sz w:val="16"/>
                <w:szCs w:val="16"/>
                <w:lang w:eastAsia="es-CR"/>
              </w:rPr>
            </w:pPr>
            <w:r w:rsidRPr="0036385D">
              <w:rPr>
                <w:rFonts w:ascii="Calibri" w:eastAsia="Times New Roman" w:hAnsi="Calibri" w:cs="Calibri"/>
                <w:color w:val="000000"/>
                <w:sz w:val="16"/>
                <w:szCs w:val="16"/>
                <w:lang w:eastAsia="es-CR"/>
              </w:rPr>
              <w:t>NICSP 31</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0B7BBF96" w14:textId="77777777" w:rsidR="00B948D5"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Alcance</w:t>
            </w:r>
          </w:p>
          <w:p w14:paraId="25718176" w14:textId="77777777" w:rsidR="00B948D5"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Bienes intangibles del patrimonio histórico-artístico y/o cultural,</w:t>
            </w:r>
          </w:p>
          <w:p w14:paraId="0E80468A" w14:textId="77777777" w:rsidR="00B948D5"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Condiciones previas al reconocimiento,</w:t>
            </w:r>
          </w:p>
          <w:p w14:paraId="6A1ED839" w14:textId="77777777" w:rsidR="00B948D5"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Medición inicial,</w:t>
            </w:r>
          </w:p>
          <w:p w14:paraId="3C59F679" w14:textId="77777777" w:rsidR="00B948D5"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Costo de un activo intangible de forma separada,</w:t>
            </w:r>
          </w:p>
          <w:p w14:paraId="62514BC8" w14:textId="77777777" w:rsidR="00B948D5"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Costo de un activo intangible generado internamente,</w:t>
            </w:r>
          </w:p>
          <w:p w14:paraId="63D530F7" w14:textId="77777777" w:rsidR="00B948D5" w:rsidRPr="0036385D"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Medición posterior al inicio</w:t>
            </w:r>
          </w:p>
        </w:tc>
      </w:tr>
      <w:tr w:rsidR="00B948D5" w:rsidRPr="0036385D" w14:paraId="0B490BA9" w14:textId="77777777" w:rsidTr="004653E2">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50C6AA" w14:textId="77777777" w:rsidR="00B948D5" w:rsidRDefault="00B948D5" w:rsidP="004653E2">
            <w:pPr>
              <w:spacing w:after="6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1.270,</w:t>
            </w:r>
          </w:p>
          <w:p w14:paraId="07E2603F"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1.271</w:t>
            </w:r>
          </w:p>
          <w:p w14:paraId="1293075D" w14:textId="77777777" w:rsidR="00B948D5" w:rsidRPr="0036385D" w:rsidRDefault="00B948D5" w:rsidP="004653E2">
            <w:pPr>
              <w:spacing w:after="0" w:line="240" w:lineRule="auto"/>
              <w:jc w:val="center"/>
              <w:rPr>
                <w:rFonts w:ascii="Calibri" w:eastAsia="Times New Roman" w:hAnsi="Calibri" w:cs="Calibri"/>
                <w:color w:val="000000"/>
                <w:sz w:val="16"/>
                <w:szCs w:val="16"/>
                <w:lang w:eastAsia="es-CR"/>
              </w:rPr>
            </w:pPr>
          </w:p>
        </w:tc>
        <w:tc>
          <w:tcPr>
            <w:tcW w:w="719" w:type="pct"/>
            <w:tcBorders>
              <w:top w:val="single" w:sz="4" w:space="0" w:color="auto"/>
              <w:left w:val="nil"/>
              <w:bottom w:val="single" w:sz="4" w:space="0" w:color="auto"/>
              <w:right w:val="single" w:sz="4" w:space="0" w:color="auto"/>
            </w:tcBorders>
            <w:shd w:val="clear" w:color="auto" w:fill="auto"/>
            <w:vAlign w:val="center"/>
          </w:tcPr>
          <w:p w14:paraId="2D8E3049" w14:textId="77777777" w:rsidR="00B948D5" w:rsidRPr="0036385D" w:rsidRDefault="00B948D5" w:rsidP="004653E2">
            <w:pPr>
              <w:spacing w:after="0" w:line="240" w:lineRule="auto"/>
              <w:jc w:val="center"/>
              <w:rPr>
                <w:rFonts w:eastAsia="Times New Roman" w:cs="Calibri"/>
                <w:color w:val="000000"/>
                <w:sz w:val="16"/>
                <w:szCs w:val="16"/>
                <w:lang w:eastAsia="es-CR"/>
              </w:rPr>
            </w:pPr>
            <w:r w:rsidRPr="0036385D">
              <w:rPr>
                <w:rFonts w:eastAsia="Times New Roman" w:cs="Calibri"/>
                <w:color w:val="000000"/>
                <w:sz w:val="16"/>
                <w:szCs w:val="16"/>
                <w:lang w:eastAsia="es-CR"/>
              </w:rPr>
              <w:t>Activo corriente</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42DF2E85" w14:textId="77777777" w:rsidR="00B948D5" w:rsidRPr="00A07FAD" w:rsidRDefault="00B948D5" w:rsidP="004653E2">
            <w:pPr>
              <w:spacing w:after="240" w:line="240" w:lineRule="auto"/>
              <w:jc w:val="center"/>
              <w:rPr>
                <w:rFonts w:eastAsia="Times New Roman" w:cs="Calibri"/>
                <w:color w:val="000000"/>
                <w:sz w:val="16"/>
                <w:szCs w:val="16"/>
                <w:lang w:eastAsia="es-CR"/>
              </w:rPr>
            </w:pPr>
            <w:r w:rsidRPr="00A07FAD">
              <w:rPr>
                <w:rFonts w:eastAsia="Times New Roman" w:cs="Calibri"/>
                <w:color w:val="000000"/>
                <w:sz w:val="16"/>
                <w:szCs w:val="16"/>
                <w:lang w:eastAsia="es-CR"/>
              </w:rPr>
              <w:t>Activos Contingentes</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07088188" w14:textId="77777777" w:rsidR="00B948D5" w:rsidRPr="00A07FAD" w:rsidRDefault="00B948D5" w:rsidP="004653E2">
            <w:pPr>
              <w:spacing w:after="240" w:line="240" w:lineRule="auto"/>
              <w:jc w:val="center"/>
              <w:rPr>
                <w:rFonts w:eastAsia="Times New Roman" w:cs="Calibri"/>
                <w:color w:val="000000"/>
                <w:sz w:val="16"/>
                <w:szCs w:val="16"/>
                <w:lang w:eastAsia="es-CR"/>
              </w:rPr>
            </w:pPr>
            <w:r w:rsidRPr="00A07FAD">
              <w:rPr>
                <w:rFonts w:eastAsia="Times New Roman" w:cs="Calibri"/>
                <w:color w:val="000000"/>
                <w:sz w:val="16"/>
                <w:szCs w:val="16"/>
                <w:lang w:eastAsia="es-CR"/>
              </w:rPr>
              <w:t>NICSP28,29,30</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6C5DF062" w14:textId="77777777" w:rsidR="00B948D5"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Identificación de activos contingentes,</w:t>
            </w:r>
          </w:p>
          <w:p w14:paraId="6ADBBF5C" w14:textId="77777777" w:rsidR="00B948D5" w:rsidRPr="0036385D"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Reconocimiento de un activo contingente,</w:t>
            </w:r>
          </w:p>
        </w:tc>
      </w:tr>
      <w:tr w:rsidR="00B948D5" w:rsidRPr="0036385D" w14:paraId="1CCD936C" w14:textId="77777777" w:rsidTr="004653E2">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5100C7"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2.1,</w:t>
            </w:r>
          </w:p>
          <w:p w14:paraId="1A97967B"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2.23</w:t>
            </w:r>
          </w:p>
          <w:p w14:paraId="4474AB66" w14:textId="77777777" w:rsidR="00B948D5" w:rsidRPr="0036385D" w:rsidRDefault="00B948D5" w:rsidP="004653E2">
            <w:pPr>
              <w:spacing w:after="0" w:line="240" w:lineRule="auto"/>
              <w:jc w:val="center"/>
              <w:rPr>
                <w:rFonts w:ascii="Calibri" w:eastAsia="Times New Roman" w:hAnsi="Calibri" w:cs="Calibri"/>
                <w:color w:val="000000"/>
                <w:sz w:val="16"/>
                <w:szCs w:val="16"/>
                <w:lang w:eastAsia="es-CR"/>
              </w:rPr>
            </w:pPr>
          </w:p>
        </w:tc>
        <w:tc>
          <w:tcPr>
            <w:tcW w:w="719" w:type="pct"/>
            <w:tcBorders>
              <w:top w:val="single" w:sz="4" w:space="0" w:color="auto"/>
              <w:left w:val="nil"/>
              <w:bottom w:val="single" w:sz="4" w:space="0" w:color="auto"/>
              <w:right w:val="single" w:sz="4" w:space="0" w:color="auto"/>
            </w:tcBorders>
            <w:shd w:val="clear" w:color="auto" w:fill="auto"/>
            <w:vAlign w:val="center"/>
          </w:tcPr>
          <w:p w14:paraId="4AE0432B" w14:textId="77777777" w:rsidR="00B948D5" w:rsidRPr="0036385D" w:rsidRDefault="00B948D5" w:rsidP="004653E2">
            <w:pPr>
              <w:spacing w:after="0" w:line="240" w:lineRule="auto"/>
              <w:jc w:val="center"/>
              <w:rPr>
                <w:rFonts w:eastAsia="Times New Roman" w:cs="Calibri"/>
                <w:color w:val="000000"/>
                <w:sz w:val="16"/>
                <w:szCs w:val="16"/>
                <w:lang w:eastAsia="es-CR"/>
              </w:rPr>
            </w:pPr>
            <w:r w:rsidRPr="0036385D">
              <w:rPr>
                <w:rFonts w:eastAsia="Times New Roman" w:cs="Calibri"/>
                <w:color w:val="000000"/>
                <w:sz w:val="16"/>
                <w:szCs w:val="16"/>
                <w:lang w:eastAsia="es-CR"/>
              </w:rPr>
              <w:t>Pasivo</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187D9DAB" w14:textId="77777777" w:rsidR="00B948D5" w:rsidRPr="007A74FB" w:rsidRDefault="00B948D5" w:rsidP="004653E2">
            <w:pPr>
              <w:spacing w:after="240" w:line="240" w:lineRule="auto"/>
              <w:jc w:val="center"/>
              <w:rPr>
                <w:rFonts w:eastAsia="Times New Roman" w:cs="Calibri"/>
                <w:color w:val="000000"/>
                <w:sz w:val="16"/>
                <w:szCs w:val="16"/>
                <w:lang w:eastAsia="es-CR"/>
              </w:rPr>
            </w:pPr>
            <w:r w:rsidRPr="007A74FB">
              <w:rPr>
                <w:rFonts w:eastAsia="Times New Roman" w:cs="Calibri"/>
                <w:color w:val="000000"/>
                <w:sz w:val="16"/>
                <w:szCs w:val="16"/>
                <w:lang w:eastAsia="es-CR"/>
              </w:rPr>
              <w:t>Cuentas por Pagar</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261662D1" w14:textId="77777777" w:rsidR="00B948D5" w:rsidRPr="007A74FB" w:rsidRDefault="00B948D5" w:rsidP="004653E2">
            <w:pPr>
              <w:spacing w:after="240" w:line="240" w:lineRule="auto"/>
              <w:jc w:val="center"/>
              <w:rPr>
                <w:rFonts w:eastAsia="Times New Roman" w:cs="Calibri"/>
                <w:color w:val="000000"/>
                <w:sz w:val="16"/>
                <w:szCs w:val="16"/>
                <w:lang w:eastAsia="es-CR"/>
              </w:rPr>
            </w:pPr>
            <w:r w:rsidRPr="007A74FB">
              <w:rPr>
                <w:rFonts w:eastAsia="Times New Roman" w:cs="Calibri"/>
                <w:color w:val="000000"/>
                <w:sz w:val="16"/>
                <w:szCs w:val="16"/>
                <w:lang w:eastAsia="es-CR"/>
              </w:rPr>
              <w:t>NICSP28,29,30</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43D9C085" w14:textId="77777777" w:rsidR="00B948D5" w:rsidRPr="0036385D"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Reconocimiento de un pasivo,</w:t>
            </w:r>
          </w:p>
          <w:p w14:paraId="13BB8AEE" w14:textId="77777777" w:rsidR="00B948D5" w:rsidRPr="0036385D"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Cuentas por pagar (Reconocimiento y cancelación, Origen, formas</w:t>
            </w:r>
          </w:p>
        </w:tc>
      </w:tr>
      <w:tr w:rsidR="00B948D5" w:rsidRPr="0036385D" w14:paraId="243ED8CE" w14:textId="77777777" w:rsidTr="004653E2">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9D4A3D"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1.78.1</w:t>
            </w:r>
          </w:p>
          <w:p w14:paraId="4E35BBE2" w14:textId="77777777" w:rsidR="00B948D5" w:rsidRDefault="00B948D5" w:rsidP="004653E2">
            <w:pPr>
              <w:spacing w:after="24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1.78.2,</w:t>
            </w:r>
          </w:p>
          <w:p w14:paraId="7E75B001" w14:textId="77777777" w:rsidR="00B948D5" w:rsidRDefault="00B948D5" w:rsidP="004653E2">
            <w:pPr>
              <w:spacing w:before="60"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2.2,</w:t>
            </w:r>
          </w:p>
          <w:p w14:paraId="03EE0D94" w14:textId="77777777" w:rsidR="00B948D5" w:rsidRDefault="00B948D5" w:rsidP="004653E2">
            <w:pPr>
              <w:spacing w:after="12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2.13,</w:t>
            </w:r>
          </w:p>
          <w:p w14:paraId="5E8B99F1"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2.15,</w:t>
            </w:r>
          </w:p>
          <w:p w14:paraId="2C9D8EB7" w14:textId="77777777" w:rsidR="00B948D5" w:rsidRDefault="00B948D5" w:rsidP="004653E2">
            <w:pPr>
              <w:spacing w:after="8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2.16,</w:t>
            </w:r>
          </w:p>
          <w:p w14:paraId="3378C5FE" w14:textId="77777777" w:rsidR="00B948D5" w:rsidRPr="0036385D" w:rsidRDefault="00B948D5" w:rsidP="004653E2">
            <w:pPr>
              <w:spacing w:before="240"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2.20</w:t>
            </w:r>
          </w:p>
        </w:tc>
        <w:tc>
          <w:tcPr>
            <w:tcW w:w="719" w:type="pct"/>
            <w:tcBorders>
              <w:top w:val="single" w:sz="4" w:space="0" w:color="auto"/>
              <w:left w:val="nil"/>
              <w:bottom w:val="single" w:sz="4" w:space="0" w:color="auto"/>
              <w:right w:val="single" w:sz="4" w:space="0" w:color="auto"/>
            </w:tcBorders>
            <w:shd w:val="clear" w:color="auto" w:fill="auto"/>
            <w:vAlign w:val="center"/>
          </w:tcPr>
          <w:p w14:paraId="3B506E00" w14:textId="77777777" w:rsidR="00B948D5" w:rsidRPr="0036385D" w:rsidRDefault="00B948D5" w:rsidP="004653E2">
            <w:pPr>
              <w:spacing w:before="120" w:after="0" w:line="240" w:lineRule="auto"/>
              <w:jc w:val="center"/>
              <w:rPr>
                <w:rFonts w:eastAsia="Times New Roman" w:cs="Calibri"/>
                <w:color w:val="000000"/>
                <w:sz w:val="16"/>
                <w:szCs w:val="16"/>
                <w:lang w:eastAsia="es-CR"/>
              </w:rPr>
            </w:pPr>
            <w:r w:rsidRPr="0036385D">
              <w:rPr>
                <w:rFonts w:eastAsia="Times New Roman" w:cs="Calibri"/>
                <w:color w:val="000000"/>
                <w:sz w:val="16"/>
                <w:szCs w:val="16"/>
                <w:lang w:eastAsia="es-CR"/>
              </w:rPr>
              <w:t>Pasivo</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1798CFD8" w14:textId="77777777" w:rsidR="00B948D5" w:rsidRPr="007A74FB" w:rsidRDefault="00B948D5" w:rsidP="004653E2">
            <w:pPr>
              <w:spacing w:before="240" w:after="600" w:line="240" w:lineRule="auto"/>
              <w:jc w:val="center"/>
              <w:rPr>
                <w:rFonts w:eastAsia="Times New Roman" w:cs="Calibri"/>
                <w:color w:val="000000"/>
                <w:sz w:val="16"/>
                <w:szCs w:val="16"/>
                <w:lang w:eastAsia="es-CR"/>
              </w:rPr>
            </w:pPr>
            <w:r w:rsidRPr="007A74FB">
              <w:rPr>
                <w:rFonts w:eastAsia="Times New Roman" w:cs="Calibri"/>
                <w:color w:val="000000"/>
                <w:sz w:val="16"/>
                <w:szCs w:val="16"/>
                <w:lang w:eastAsia="es-CR"/>
              </w:rPr>
              <w:t>Préstamo por Pagar</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5C6A3CC7" w14:textId="77777777" w:rsidR="00B948D5" w:rsidRPr="007A74FB" w:rsidRDefault="00B948D5" w:rsidP="004653E2">
            <w:pPr>
              <w:spacing w:before="240" w:after="600" w:line="240" w:lineRule="auto"/>
              <w:jc w:val="center"/>
              <w:rPr>
                <w:rFonts w:eastAsia="Times New Roman" w:cs="Calibri"/>
                <w:color w:val="000000"/>
                <w:sz w:val="16"/>
                <w:szCs w:val="16"/>
                <w:lang w:eastAsia="es-CR"/>
              </w:rPr>
            </w:pPr>
            <w:r w:rsidRPr="007A74FB">
              <w:rPr>
                <w:rFonts w:eastAsia="Times New Roman" w:cs="Calibri"/>
                <w:color w:val="000000"/>
                <w:sz w:val="16"/>
                <w:szCs w:val="16"/>
                <w:lang w:eastAsia="es-CR"/>
              </w:rPr>
              <w:t>NICSP28,29,30</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72AA77AE" w14:textId="77777777" w:rsidR="00B948D5" w:rsidRPr="0070087C"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sidRPr="0070087C">
              <w:rPr>
                <w:rFonts w:ascii="Calibri" w:eastAsia="Times New Roman" w:hAnsi="Calibri" w:cs="Calibri"/>
                <w:color w:val="000000"/>
                <w:sz w:val="16"/>
                <w:szCs w:val="16"/>
                <w:lang w:eastAsia="es-CR"/>
              </w:rPr>
              <w:t>Costos por préstamos,</w:t>
            </w:r>
          </w:p>
          <w:p w14:paraId="10BE42CD"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Prohibición de capitalizar costos por préstamos,</w:t>
            </w:r>
          </w:p>
          <w:p w14:paraId="6E157E39"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Pasivo financiero,</w:t>
            </w:r>
          </w:p>
          <w:p w14:paraId="4998430C"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Reconocimiento inicial de pasivos financieros,</w:t>
            </w:r>
          </w:p>
          <w:p w14:paraId="71510464"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Medición inicial,</w:t>
            </w:r>
          </w:p>
          <w:p w14:paraId="4C2252C9"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Medición posterior de pasivos financieros,</w:t>
            </w:r>
          </w:p>
          <w:p w14:paraId="5BCEB692" w14:textId="77777777" w:rsidR="00B948D5" w:rsidRPr="0036385D"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Hechos generados de la baja en cuentas</w:t>
            </w:r>
          </w:p>
        </w:tc>
      </w:tr>
      <w:tr w:rsidR="00B948D5" w:rsidRPr="0070087C" w14:paraId="575843B3" w14:textId="77777777" w:rsidTr="004653E2">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10218B"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2.29,</w:t>
            </w:r>
          </w:p>
          <w:p w14:paraId="77E388A4"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2.30</w:t>
            </w:r>
          </w:p>
        </w:tc>
        <w:tc>
          <w:tcPr>
            <w:tcW w:w="719" w:type="pct"/>
            <w:tcBorders>
              <w:top w:val="single" w:sz="4" w:space="0" w:color="auto"/>
              <w:left w:val="nil"/>
              <w:bottom w:val="single" w:sz="4" w:space="0" w:color="auto"/>
              <w:right w:val="single" w:sz="4" w:space="0" w:color="auto"/>
            </w:tcBorders>
            <w:shd w:val="clear" w:color="auto" w:fill="auto"/>
            <w:vAlign w:val="center"/>
          </w:tcPr>
          <w:p w14:paraId="6EFDEFCA" w14:textId="77777777" w:rsidR="00B948D5" w:rsidRPr="0036385D" w:rsidRDefault="00B948D5" w:rsidP="004653E2">
            <w:pPr>
              <w:spacing w:after="0" w:line="240" w:lineRule="auto"/>
              <w:jc w:val="center"/>
              <w:rPr>
                <w:rFonts w:eastAsia="Times New Roman" w:cs="Calibri"/>
                <w:color w:val="000000"/>
                <w:sz w:val="16"/>
                <w:szCs w:val="16"/>
                <w:lang w:eastAsia="es-CR"/>
              </w:rPr>
            </w:pPr>
            <w:r>
              <w:rPr>
                <w:rFonts w:eastAsia="Times New Roman" w:cs="Calibri"/>
                <w:color w:val="000000"/>
                <w:sz w:val="16"/>
                <w:szCs w:val="16"/>
                <w:lang w:eastAsia="es-CR"/>
              </w:rPr>
              <w:t>Pasivo</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1EE50E19" w14:textId="77777777" w:rsidR="00B948D5" w:rsidRPr="007A74FB" w:rsidRDefault="00B948D5" w:rsidP="004653E2">
            <w:pPr>
              <w:spacing w:after="120" w:line="240" w:lineRule="auto"/>
              <w:jc w:val="center"/>
              <w:rPr>
                <w:rFonts w:eastAsia="Times New Roman" w:cs="Calibri"/>
                <w:color w:val="000000"/>
                <w:sz w:val="16"/>
                <w:szCs w:val="16"/>
                <w:lang w:eastAsia="es-CR"/>
              </w:rPr>
            </w:pPr>
            <w:r w:rsidRPr="007A74FB">
              <w:rPr>
                <w:rFonts w:eastAsia="Times New Roman" w:cs="Calibri"/>
                <w:color w:val="000000"/>
                <w:sz w:val="16"/>
                <w:szCs w:val="16"/>
                <w:lang w:eastAsia="es-CR"/>
              </w:rPr>
              <w:t>Anticipos recibidos</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545A9658" w14:textId="77777777" w:rsidR="00B948D5" w:rsidRPr="007A74FB" w:rsidRDefault="00B948D5" w:rsidP="004653E2">
            <w:pPr>
              <w:spacing w:after="120" w:line="240" w:lineRule="auto"/>
              <w:jc w:val="center"/>
              <w:rPr>
                <w:rFonts w:eastAsia="Times New Roman" w:cs="Calibri"/>
                <w:color w:val="000000"/>
                <w:sz w:val="16"/>
                <w:szCs w:val="16"/>
                <w:lang w:eastAsia="es-CR"/>
              </w:rPr>
            </w:pPr>
            <w:r w:rsidRPr="007A74FB">
              <w:rPr>
                <w:rFonts w:eastAsia="Times New Roman" w:cs="Calibri"/>
                <w:color w:val="000000"/>
                <w:sz w:val="16"/>
                <w:szCs w:val="16"/>
                <w:lang w:eastAsia="es-CR"/>
              </w:rPr>
              <w:t>NICSP 28,29,30</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32468FD4"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Anticipos de impuestos,</w:t>
            </w:r>
          </w:p>
          <w:p w14:paraId="58087408" w14:textId="77777777" w:rsidR="00B948D5" w:rsidRPr="0070087C"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Cobros de transferencias por anticipado</w:t>
            </w:r>
          </w:p>
        </w:tc>
      </w:tr>
      <w:tr w:rsidR="00B948D5" w14:paraId="2BB06606" w14:textId="77777777" w:rsidTr="004653E2">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2A2056"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2.34,</w:t>
            </w:r>
          </w:p>
          <w:p w14:paraId="1B277C2E"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2.35,</w:t>
            </w:r>
          </w:p>
          <w:p w14:paraId="54D3AAC8"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2.36,</w:t>
            </w:r>
          </w:p>
          <w:p w14:paraId="574B8BBA"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2.37,</w:t>
            </w:r>
          </w:p>
          <w:p w14:paraId="083C4CF2" w14:textId="77777777" w:rsidR="00B948D5" w:rsidRDefault="00B948D5" w:rsidP="004653E2">
            <w:pPr>
              <w:spacing w:after="12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2.38,</w:t>
            </w:r>
          </w:p>
          <w:p w14:paraId="0C608262" w14:textId="77777777" w:rsidR="00B948D5" w:rsidRDefault="00B948D5" w:rsidP="004653E2">
            <w:pPr>
              <w:spacing w:before="180" w:after="18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2.39,</w:t>
            </w:r>
          </w:p>
          <w:p w14:paraId="6D76B25B" w14:textId="77777777" w:rsidR="00B948D5" w:rsidRDefault="00B948D5" w:rsidP="004653E2">
            <w:pPr>
              <w:spacing w:after="18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2.40,</w:t>
            </w:r>
          </w:p>
          <w:p w14:paraId="7DA53535" w14:textId="77777777" w:rsidR="00B948D5" w:rsidRDefault="00B948D5" w:rsidP="004653E2">
            <w:pPr>
              <w:spacing w:after="24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2.41,</w:t>
            </w:r>
          </w:p>
          <w:p w14:paraId="45F71EAD"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2.42</w:t>
            </w:r>
          </w:p>
        </w:tc>
        <w:tc>
          <w:tcPr>
            <w:tcW w:w="719" w:type="pct"/>
            <w:tcBorders>
              <w:top w:val="single" w:sz="4" w:space="0" w:color="auto"/>
              <w:left w:val="nil"/>
              <w:bottom w:val="single" w:sz="4" w:space="0" w:color="auto"/>
              <w:right w:val="single" w:sz="4" w:space="0" w:color="auto"/>
            </w:tcBorders>
            <w:shd w:val="clear" w:color="auto" w:fill="auto"/>
            <w:vAlign w:val="center"/>
          </w:tcPr>
          <w:p w14:paraId="3460A665" w14:textId="77777777" w:rsidR="00B948D5" w:rsidRDefault="00B948D5" w:rsidP="004653E2">
            <w:pPr>
              <w:spacing w:after="0" w:line="240" w:lineRule="auto"/>
              <w:jc w:val="center"/>
              <w:rPr>
                <w:rFonts w:eastAsia="Times New Roman" w:cs="Calibri"/>
                <w:color w:val="000000"/>
                <w:sz w:val="16"/>
                <w:szCs w:val="16"/>
                <w:lang w:eastAsia="es-CR"/>
              </w:rPr>
            </w:pPr>
            <w:r>
              <w:rPr>
                <w:rFonts w:eastAsia="Times New Roman" w:cs="Calibri"/>
                <w:color w:val="000000"/>
                <w:sz w:val="16"/>
                <w:szCs w:val="16"/>
                <w:lang w:eastAsia="es-CR"/>
              </w:rPr>
              <w:t>Pasivos</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7ADC3878" w14:textId="77777777" w:rsidR="00B948D5" w:rsidRDefault="00B948D5" w:rsidP="004653E2">
            <w:pPr>
              <w:spacing w:after="1260" w:line="240" w:lineRule="auto"/>
              <w:jc w:val="center"/>
              <w:rPr>
                <w:rFonts w:eastAsia="Cambria" w:cs="Arial"/>
                <w:color w:val="000000"/>
                <w:sz w:val="16"/>
                <w:szCs w:val="16"/>
                <w:lang w:eastAsia="es-CR"/>
              </w:rPr>
            </w:pPr>
            <w:r>
              <w:rPr>
                <w:rFonts w:eastAsia="Cambria" w:cs="Arial"/>
                <w:color w:val="000000"/>
                <w:sz w:val="16"/>
                <w:szCs w:val="16"/>
                <w:lang w:eastAsia="es-CR"/>
              </w:rPr>
              <w:t>Beneficios a los empleados</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6D6F543E" w14:textId="77777777" w:rsidR="00B948D5" w:rsidRDefault="00B948D5" w:rsidP="004653E2">
            <w:pPr>
              <w:spacing w:after="126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NICSP 39</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62FFCA14"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Beneficios a los empleados,</w:t>
            </w:r>
          </w:p>
          <w:p w14:paraId="09F84F57"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Alcance,</w:t>
            </w:r>
          </w:p>
          <w:p w14:paraId="16086991"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Criterio general de reconocimiento,</w:t>
            </w:r>
          </w:p>
          <w:p w14:paraId="5BC6928D"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Categorías de beneficios a los empleados,</w:t>
            </w:r>
          </w:p>
          <w:p w14:paraId="6BF111DF"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Cuentas por pagar por concepto de aguinaldo,</w:t>
            </w:r>
          </w:p>
          <w:p w14:paraId="1A47925F"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Cuentas por Pagar por concepto de salario escolar,</w:t>
            </w:r>
          </w:p>
          <w:p w14:paraId="46C711D1"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Cuentas por Pagar por concepto de vacaciones,</w:t>
            </w:r>
          </w:p>
          <w:p w14:paraId="5E034774"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Cuentas por Pagar por concepto de cesantía,</w:t>
            </w:r>
          </w:p>
          <w:p w14:paraId="3ED926C0"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Cuentas por Pagar por concepto de preaviso</w:t>
            </w:r>
          </w:p>
        </w:tc>
      </w:tr>
      <w:tr w:rsidR="00B948D5" w:rsidRPr="0036385D" w14:paraId="52FD8779" w14:textId="77777777" w:rsidTr="004653E2">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46B897" w14:textId="77777777" w:rsidR="00B948D5" w:rsidRDefault="00B948D5" w:rsidP="004653E2">
            <w:pPr>
              <w:spacing w:after="24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2.95,</w:t>
            </w:r>
          </w:p>
          <w:p w14:paraId="19244C7A"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2.96,</w:t>
            </w:r>
          </w:p>
          <w:p w14:paraId="2096B312" w14:textId="77777777" w:rsidR="00B948D5" w:rsidRDefault="00B948D5" w:rsidP="004653E2">
            <w:pPr>
              <w:spacing w:after="12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2.103,</w:t>
            </w:r>
          </w:p>
          <w:p w14:paraId="50608FB5"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2.109,</w:t>
            </w:r>
          </w:p>
          <w:p w14:paraId="2375E840" w14:textId="77777777" w:rsidR="00B948D5" w:rsidRPr="0036385D"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2.110</w:t>
            </w:r>
          </w:p>
        </w:tc>
        <w:tc>
          <w:tcPr>
            <w:tcW w:w="719" w:type="pct"/>
            <w:tcBorders>
              <w:top w:val="single" w:sz="4" w:space="0" w:color="auto"/>
              <w:left w:val="nil"/>
              <w:bottom w:val="single" w:sz="4" w:space="0" w:color="auto"/>
              <w:right w:val="single" w:sz="4" w:space="0" w:color="auto"/>
            </w:tcBorders>
            <w:shd w:val="clear" w:color="auto" w:fill="auto"/>
            <w:vAlign w:val="center"/>
          </w:tcPr>
          <w:p w14:paraId="7D5B9C63" w14:textId="77777777" w:rsidR="00B948D5" w:rsidRPr="0036385D" w:rsidRDefault="00B948D5" w:rsidP="004653E2">
            <w:pPr>
              <w:spacing w:after="0" w:line="240" w:lineRule="auto"/>
              <w:jc w:val="center"/>
              <w:rPr>
                <w:rFonts w:eastAsia="Times New Roman" w:cs="Calibri"/>
                <w:color w:val="000000"/>
                <w:sz w:val="16"/>
                <w:szCs w:val="16"/>
                <w:lang w:eastAsia="es-CR"/>
              </w:rPr>
            </w:pPr>
            <w:r w:rsidRPr="0036385D">
              <w:rPr>
                <w:rFonts w:eastAsia="Times New Roman" w:cs="Calibri"/>
                <w:color w:val="000000"/>
                <w:sz w:val="16"/>
                <w:szCs w:val="16"/>
                <w:lang w:eastAsia="es-CR"/>
              </w:rPr>
              <w:t>Pasivo</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3E8B8A8F" w14:textId="77777777" w:rsidR="00B948D5" w:rsidRPr="00BB0532" w:rsidRDefault="00B948D5" w:rsidP="004653E2">
            <w:pPr>
              <w:spacing w:after="600" w:line="240" w:lineRule="auto"/>
              <w:jc w:val="center"/>
              <w:rPr>
                <w:rFonts w:eastAsia="Times New Roman" w:cs="Calibri"/>
                <w:color w:val="000000"/>
                <w:sz w:val="16"/>
                <w:szCs w:val="16"/>
                <w:lang w:eastAsia="es-CR"/>
              </w:rPr>
            </w:pPr>
            <w:r w:rsidRPr="00BB0532">
              <w:rPr>
                <w:rFonts w:eastAsia="Times New Roman" w:cs="Calibri"/>
                <w:color w:val="000000"/>
                <w:sz w:val="16"/>
                <w:szCs w:val="16"/>
                <w:lang w:eastAsia="es-CR"/>
              </w:rPr>
              <w:t>Pasivo contingente</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0A4F6EE3" w14:textId="77777777" w:rsidR="00B948D5" w:rsidRPr="00BB0532" w:rsidRDefault="00B948D5" w:rsidP="004653E2">
            <w:pPr>
              <w:spacing w:after="600" w:line="240" w:lineRule="auto"/>
              <w:jc w:val="center"/>
              <w:rPr>
                <w:rFonts w:eastAsia="Times New Roman" w:cs="Calibri"/>
                <w:color w:val="000000"/>
                <w:sz w:val="16"/>
                <w:szCs w:val="16"/>
                <w:lang w:eastAsia="es-CR"/>
              </w:rPr>
            </w:pPr>
            <w:r w:rsidRPr="00BB0532">
              <w:rPr>
                <w:rFonts w:eastAsia="Times New Roman" w:cs="Calibri"/>
                <w:color w:val="000000"/>
                <w:sz w:val="16"/>
                <w:szCs w:val="16"/>
                <w:lang w:eastAsia="es-CR"/>
              </w:rPr>
              <w:t>NICSP 19, 28,29,30</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245DB343"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Reconocimiento de un pasivo contingente,</w:t>
            </w:r>
          </w:p>
          <w:p w14:paraId="39B2DF0B"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Estimación fiable de la obligación,</w:t>
            </w:r>
          </w:p>
          <w:p w14:paraId="1E236A56"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Evaluación continua de pasivos contingentes,</w:t>
            </w:r>
          </w:p>
          <w:p w14:paraId="4FB327B4"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Pasivo Contingente,</w:t>
            </w:r>
          </w:p>
          <w:p w14:paraId="270702A7" w14:textId="77777777" w:rsidR="00B948D5" w:rsidRPr="0036385D"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Reconocimiento</w:t>
            </w:r>
          </w:p>
        </w:tc>
      </w:tr>
      <w:tr w:rsidR="00B948D5" w:rsidRPr="0036385D" w14:paraId="0F2E5B6C" w14:textId="77777777" w:rsidTr="004653E2">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431FBF"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2.93,</w:t>
            </w:r>
          </w:p>
          <w:p w14:paraId="2125C6B8"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2.95,</w:t>
            </w:r>
          </w:p>
          <w:p w14:paraId="41453CA3"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2.99,</w:t>
            </w:r>
          </w:p>
          <w:p w14:paraId="1834111C" w14:textId="77777777" w:rsidR="00B948D5" w:rsidRDefault="00B948D5" w:rsidP="004653E2">
            <w:pPr>
              <w:spacing w:after="12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2.104,</w:t>
            </w:r>
          </w:p>
          <w:p w14:paraId="2081151F" w14:textId="77777777" w:rsidR="00B948D5" w:rsidRPr="0036385D"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2.107</w:t>
            </w:r>
          </w:p>
        </w:tc>
        <w:tc>
          <w:tcPr>
            <w:tcW w:w="719" w:type="pct"/>
            <w:tcBorders>
              <w:top w:val="single" w:sz="4" w:space="0" w:color="auto"/>
              <w:left w:val="nil"/>
              <w:bottom w:val="single" w:sz="4" w:space="0" w:color="auto"/>
              <w:right w:val="single" w:sz="4" w:space="0" w:color="auto"/>
            </w:tcBorders>
            <w:shd w:val="clear" w:color="auto" w:fill="auto"/>
            <w:vAlign w:val="center"/>
          </w:tcPr>
          <w:p w14:paraId="131417B6" w14:textId="77777777" w:rsidR="00B948D5" w:rsidRPr="0036385D" w:rsidRDefault="00B948D5" w:rsidP="004653E2">
            <w:pPr>
              <w:spacing w:after="0" w:line="240" w:lineRule="auto"/>
              <w:jc w:val="center"/>
              <w:rPr>
                <w:rFonts w:eastAsia="Times New Roman" w:cs="Calibri"/>
                <w:color w:val="000000"/>
                <w:sz w:val="16"/>
                <w:szCs w:val="16"/>
                <w:lang w:eastAsia="es-CR"/>
              </w:rPr>
            </w:pPr>
            <w:r w:rsidRPr="0036385D">
              <w:rPr>
                <w:rFonts w:eastAsia="Times New Roman" w:cs="Calibri"/>
                <w:color w:val="000000"/>
                <w:sz w:val="16"/>
                <w:szCs w:val="16"/>
                <w:lang w:eastAsia="es-CR"/>
              </w:rPr>
              <w:t>Pasivo</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04DE659B" w14:textId="77777777" w:rsidR="00B948D5" w:rsidRPr="00244C72" w:rsidRDefault="00B948D5" w:rsidP="004653E2">
            <w:pPr>
              <w:spacing w:after="480" w:line="240" w:lineRule="auto"/>
              <w:jc w:val="center"/>
              <w:rPr>
                <w:rFonts w:eastAsia="Times New Roman" w:cs="Calibri"/>
                <w:color w:val="000000"/>
                <w:sz w:val="16"/>
                <w:szCs w:val="16"/>
                <w:lang w:eastAsia="es-CR"/>
              </w:rPr>
            </w:pPr>
            <w:r w:rsidRPr="00244C72">
              <w:rPr>
                <w:rFonts w:eastAsia="Times New Roman" w:cs="Calibri"/>
                <w:color w:val="000000"/>
                <w:sz w:val="16"/>
                <w:szCs w:val="16"/>
                <w:lang w:eastAsia="es-CR"/>
              </w:rPr>
              <w:t>Provisiones</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62EC9F88" w14:textId="77777777" w:rsidR="00B948D5" w:rsidRPr="00244C72" w:rsidRDefault="00B948D5" w:rsidP="004653E2">
            <w:pPr>
              <w:spacing w:after="480" w:line="240" w:lineRule="auto"/>
              <w:jc w:val="center"/>
              <w:rPr>
                <w:rFonts w:eastAsia="Times New Roman" w:cs="Calibri"/>
                <w:color w:val="000000"/>
                <w:sz w:val="16"/>
                <w:szCs w:val="16"/>
                <w:lang w:eastAsia="es-CR"/>
              </w:rPr>
            </w:pPr>
            <w:r w:rsidRPr="00244C72">
              <w:rPr>
                <w:rFonts w:eastAsia="Times New Roman" w:cs="Calibri"/>
                <w:color w:val="000000"/>
                <w:sz w:val="16"/>
                <w:szCs w:val="16"/>
                <w:lang w:eastAsia="es-CR"/>
              </w:rPr>
              <w:t>NICSP 19, 39</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2AB11566"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Provisiones,</w:t>
            </w:r>
          </w:p>
          <w:p w14:paraId="668EC098"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Reconocimiento de una provisión,</w:t>
            </w:r>
          </w:p>
          <w:p w14:paraId="0D7F7F8F"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Medición de la provisión,</w:t>
            </w:r>
          </w:p>
          <w:p w14:paraId="6F4D397C"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Aplicación de las provisiones,</w:t>
            </w:r>
          </w:p>
          <w:p w14:paraId="00A32E28" w14:textId="77777777" w:rsidR="00B948D5" w:rsidRPr="0036385D"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Provisiones para litigios y demandas (Etapas judiciales, informe jurídico)</w:t>
            </w:r>
          </w:p>
        </w:tc>
      </w:tr>
      <w:tr w:rsidR="00B948D5" w:rsidRPr="00244C72" w14:paraId="4FF257D9" w14:textId="77777777" w:rsidTr="004653E2">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75FC21"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2.115</w:t>
            </w:r>
          </w:p>
        </w:tc>
        <w:tc>
          <w:tcPr>
            <w:tcW w:w="719" w:type="pct"/>
            <w:tcBorders>
              <w:top w:val="single" w:sz="4" w:space="0" w:color="auto"/>
              <w:left w:val="nil"/>
              <w:bottom w:val="single" w:sz="4" w:space="0" w:color="auto"/>
              <w:right w:val="single" w:sz="4" w:space="0" w:color="auto"/>
            </w:tcBorders>
            <w:shd w:val="clear" w:color="auto" w:fill="auto"/>
            <w:vAlign w:val="center"/>
          </w:tcPr>
          <w:p w14:paraId="49563E50" w14:textId="77777777" w:rsidR="00B948D5" w:rsidRPr="0036385D" w:rsidRDefault="00B948D5" w:rsidP="004653E2">
            <w:pPr>
              <w:spacing w:after="0" w:line="240" w:lineRule="auto"/>
              <w:jc w:val="center"/>
              <w:rPr>
                <w:rFonts w:eastAsia="Times New Roman" w:cs="Calibri"/>
                <w:color w:val="000000"/>
                <w:sz w:val="16"/>
                <w:szCs w:val="16"/>
                <w:lang w:eastAsia="es-CR"/>
              </w:rPr>
            </w:pPr>
            <w:r>
              <w:rPr>
                <w:rFonts w:eastAsia="Times New Roman" w:cs="Calibri"/>
                <w:color w:val="000000"/>
                <w:sz w:val="16"/>
                <w:szCs w:val="16"/>
                <w:lang w:eastAsia="es-CR"/>
              </w:rPr>
              <w:t>Pasivo</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0CA16DBA" w14:textId="77777777" w:rsidR="00B948D5" w:rsidRPr="00244C72" w:rsidRDefault="00B948D5" w:rsidP="004653E2">
            <w:pPr>
              <w:spacing w:after="60" w:line="240" w:lineRule="auto"/>
              <w:jc w:val="center"/>
              <w:rPr>
                <w:rFonts w:eastAsia="Times New Roman" w:cs="Calibri"/>
                <w:color w:val="000000"/>
                <w:sz w:val="16"/>
                <w:szCs w:val="16"/>
                <w:lang w:eastAsia="es-CR"/>
              </w:rPr>
            </w:pPr>
            <w:r w:rsidRPr="00244C72">
              <w:rPr>
                <w:rFonts w:eastAsia="Times New Roman" w:cs="Calibri"/>
                <w:color w:val="000000"/>
                <w:sz w:val="16"/>
                <w:szCs w:val="16"/>
                <w:lang w:eastAsia="es-CR"/>
              </w:rPr>
              <w:t>Ingresos a devengar</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27FB3A0F" w14:textId="77777777" w:rsidR="00B948D5" w:rsidRPr="00244C72" w:rsidRDefault="00B948D5" w:rsidP="004653E2">
            <w:pPr>
              <w:spacing w:after="60" w:line="240" w:lineRule="auto"/>
              <w:jc w:val="center"/>
              <w:rPr>
                <w:rFonts w:eastAsia="Times New Roman" w:cs="Calibri"/>
                <w:color w:val="000000"/>
                <w:sz w:val="16"/>
                <w:szCs w:val="16"/>
                <w:lang w:eastAsia="es-CR"/>
              </w:rPr>
            </w:pPr>
            <w:r w:rsidRPr="00244C72">
              <w:rPr>
                <w:rFonts w:eastAsia="Times New Roman" w:cs="Calibri"/>
                <w:color w:val="000000"/>
                <w:sz w:val="16"/>
                <w:szCs w:val="16"/>
                <w:lang w:eastAsia="es-CR"/>
              </w:rPr>
              <w:t>NICSP 28,29,30</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6BEF21D8" w14:textId="77777777" w:rsidR="00B948D5" w:rsidRPr="00244C72" w:rsidRDefault="00B948D5" w:rsidP="004653E2">
            <w:pPr>
              <w:spacing w:after="60" w:line="240" w:lineRule="auto"/>
              <w:rPr>
                <w:rFonts w:eastAsia="Times New Roman" w:cs="Calibri"/>
                <w:color w:val="000000"/>
                <w:sz w:val="16"/>
                <w:szCs w:val="16"/>
                <w:lang w:eastAsia="es-CR"/>
              </w:rPr>
            </w:pPr>
            <w:r w:rsidRPr="00244C72">
              <w:rPr>
                <w:rFonts w:eastAsia="Times New Roman" w:cs="Calibri"/>
                <w:color w:val="000000"/>
                <w:sz w:val="16"/>
                <w:szCs w:val="16"/>
                <w:lang w:eastAsia="es-CR"/>
              </w:rPr>
              <w:t>Ingresos a devengar</w:t>
            </w:r>
          </w:p>
        </w:tc>
      </w:tr>
      <w:tr w:rsidR="00B948D5" w14:paraId="0CD19020" w14:textId="77777777" w:rsidTr="004653E2">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210DC1"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3.1</w:t>
            </w:r>
          </w:p>
          <w:p w14:paraId="52196A7F"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3.2</w:t>
            </w:r>
          </w:p>
        </w:tc>
        <w:tc>
          <w:tcPr>
            <w:tcW w:w="719" w:type="pct"/>
            <w:tcBorders>
              <w:top w:val="single" w:sz="4" w:space="0" w:color="auto"/>
              <w:left w:val="nil"/>
              <w:bottom w:val="single" w:sz="4" w:space="0" w:color="auto"/>
              <w:right w:val="single" w:sz="4" w:space="0" w:color="auto"/>
            </w:tcBorders>
            <w:shd w:val="clear" w:color="auto" w:fill="auto"/>
            <w:vAlign w:val="center"/>
          </w:tcPr>
          <w:p w14:paraId="34176B9F" w14:textId="77777777" w:rsidR="00B948D5" w:rsidRPr="0036385D" w:rsidRDefault="00B948D5" w:rsidP="004653E2">
            <w:pPr>
              <w:spacing w:after="0" w:line="240" w:lineRule="auto"/>
              <w:jc w:val="center"/>
              <w:rPr>
                <w:rFonts w:eastAsia="Times New Roman" w:cs="Calibri"/>
                <w:color w:val="000000"/>
                <w:sz w:val="16"/>
                <w:szCs w:val="16"/>
                <w:lang w:eastAsia="es-CR"/>
              </w:rPr>
            </w:pPr>
            <w:r>
              <w:rPr>
                <w:rFonts w:eastAsia="Times New Roman" w:cs="Calibri"/>
                <w:color w:val="000000"/>
                <w:sz w:val="16"/>
                <w:szCs w:val="16"/>
                <w:lang w:eastAsia="es-CR"/>
              </w:rPr>
              <w:t>Pasivo</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0188724E" w14:textId="77777777" w:rsidR="00B948D5" w:rsidRDefault="00B948D5" w:rsidP="004653E2">
            <w:pPr>
              <w:spacing w:after="80" w:line="240" w:lineRule="auto"/>
              <w:jc w:val="center"/>
              <w:rPr>
                <w:rFonts w:eastAsia="Cambria" w:cs="Arial"/>
                <w:color w:val="000000"/>
                <w:sz w:val="16"/>
                <w:szCs w:val="16"/>
                <w:lang w:eastAsia="es-CR"/>
              </w:rPr>
            </w:pPr>
            <w:r>
              <w:rPr>
                <w:rFonts w:eastAsia="Times New Roman" w:cs="Calibri"/>
                <w:color w:val="000000"/>
                <w:sz w:val="16"/>
                <w:szCs w:val="16"/>
                <w:lang w:eastAsia="es-CR"/>
              </w:rPr>
              <w:t>Patrimonio gubernamental</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6A95CF02" w14:textId="77777777" w:rsidR="00B948D5" w:rsidRDefault="00B948D5" w:rsidP="004653E2">
            <w:pPr>
              <w:spacing w:after="8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NICSP 1</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1033742B"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Definición,</w:t>
            </w:r>
          </w:p>
          <w:p w14:paraId="20FC5EE7"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Instrumento de patrimonio</w:t>
            </w:r>
          </w:p>
        </w:tc>
      </w:tr>
      <w:tr w:rsidR="00B948D5" w:rsidRPr="0036385D" w14:paraId="49827415" w14:textId="77777777" w:rsidTr="004653E2">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92C4AF" w14:textId="77777777" w:rsidR="00B948D5" w:rsidRPr="0036385D" w:rsidRDefault="00B948D5" w:rsidP="004653E2">
            <w:pPr>
              <w:spacing w:after="0" w:line="240" w:lineRule="auto"/>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3.5</w:t>
            </w:r>
          </w:p>
        </w:tc>
        <w:tc>
          <w:tcPr>
            <w:tcW w:w="719" w:type="pct"/>
            <w:tcBorders>
              <w:top w:val="single" w:sz="4" w:space="0" w:color="auto"/>
              <w:left w:val="nil"/>
              <w:bottom w:val="single" w:sz="4" w:space="0" w:color="auto"/>
              <w:right w:val="single" w:sz="4" w:space="0" w:color="auto"/>
            </w:tcBorders>
            <w:shd w:val="clear" w:color="auto" w:fill="auto"/>
            <w:vAlign w:val="center"/>
          </w:tcPr>
          <w:p w14:paraId="3F905C18" w14:textId="77777777" w:rsidR="00B948D5" w:rsidRPr="0036385D" w:rsidRDefault="00B948D5" w:rsidP="004653E2">
            <w:pPr>
              <w:spacing w:after="0" w:line="240" w:lineRule="auto"/>
              <w:jc w:val="center"/>
              <w:rPr>
                <w:rFonts w:eastAsia="Times New Roman" w:cs="Calibri"/>
                <w:color w:val="000000"/>
                <w:sz w:val="16"/>
                <w:szCs w:val="16"/>
                <w:lang w:eastAsia="es-CR"/>
              </w:rPr>
            </w:pPr>
            <w:r w:rsidRPr="0036385D">
              <w:rPr>
                <w:rFonts w:eastAsia="Times New Roman" w:cs="Calibri"/>
                <w:color w:val="000000"/>
                <w:sz w:val="16"/>
                <w:szCs w:val="16"/>
                <w:lang w:eastAsia="es-CR"/>
              </w:rPr>
              <w:t>Patrimonio</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2029DB7D" w14:textId="77777777" w:rsidR="00B948D5" w:rsidRPr="0036385D" w:rsidRDefault="00B948D5" w:rsidP="004653E2">
            <w:pPr>
              <w:spacing w:after="80" w:line="240" w:lineRule="auto"/>
              <w:jc w:val="center"/>
              <w:rPr>
                <w:rFonts w:eastAsia="Cambria" w:cs="Arial"/>
                <w:color w:val="000000"/>
                <w:sz w:val="16"/>
                <w:szCs w:val="16"/>
                <w:lang w:eastAsia="es-CR"/>
              </w:rPr>
            </w:pPr>
            <w:r w:rsidRPr="0036385D">
              <w:rPr>
                <w:rFonts w:eastAsia="Cambria" w:cs="Arial"/>
                <w:color w:val="000000"/>
                <w:sz w:val="16"/>
                <w:szCs w:val="16"/>
                <w:lang w:eastAsia="es-CR"/>
              </w:rPr>
              <w:t>Capital Inicial</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00D60AED" w14:textId="77777777" w:rsidR="00B948D5" w:rsidRPr="0036385D" w:rsidRDefault="00B948D5" w:rsidP="004653E2">
            <w:pPr>
              <w:spacing w:after="80" w:line="240" w:lineRule="auto"/>
              <w:jc w:val="center"/>
              <w:rPr>
                <w:rFonts w:ascii="Calibri" w:eastAsia="Times New Roman" w:hAnsi="Calibri" w:cs="Calibri"/>
                <w:color w:val="000000"/>
                <w:sz w:val="16"/>
                <w:szCs w:val="16"/>
                <w:lang w:eastAsia="es-CR"/>
              </w:rPr>
            </w:pPr>
            <w:r w:rsidRPr="0036385D">
              <w:rPr>
                <w:rFonts w:ascii="Calibri" w:eastAsia="Times New Roman" w:hAnsi="Calibri" w:cs="Calibri"/>
                <w:color w:val="000000"/>
                <w:sz w:val="16"/>
                <w:szCs w:val="16"/>
                <w:lang w:eastAsia="es-CR"/>
              </w:rPr>
              <w:t>NICSP 1</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2E6DE8A3" w14:textId="77777777" w:rsidR="00B948D5" w:rsidRPr="0036385D"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Capital inicial (entidad nueva, Entidad en marcha, Incorporaciones al Capital inicial)</w:t>
            </w:r>
          </w:p>
        </w:tc>
      </w:tr>
      <w:tr w:rsidR="00B948D5" w:rsidRPr="0036385D" w14:paraId="38E6DB77" w14:textId="77777777" w:rsidTr="004653E2">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AC17D1" w14:textId="77777777" w:rsidR="00B948D5" w:rsidRPr="0036385D"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3.9</w:t>
            </w:r>
          </w:p>
        </w:tc>
        <w:tc>
          <w:tcPr>
            <w:tcW w:w="719" w:type="pct"/>
            <w:tcBorders>
              <w:top w:val="single" w:sz="4" w:space="0" w:color="auto"/>
              <w:left w:val="nil"/>
              <w:bottom w:val="single" w:sz="4" w:space="0" w:color="auto"/>
              <w:right w:val="single" w:sz="4" w:space="0" w:color="auto"/>
            </w:tcBorders>
            <w:shd w:val="clear" w:color="auto" w:fill="auto"/>
            <w:vAlign w:val="center"/>
          </w:tcPr>
          <w:p w14:paraId="611A8856" w14:textId="77777777" w:rsidR="00B948D5" w:rsidRPr="0036385D" w:rsidRDefault="00B948D5" w:rsidP="004653E2">
            <w:pPr>
              <w:spacing w:after="0" w:line="240" w:lineRule="auto"/>
              <w:jc w:val="center"/>
              <w:rPr>
                <w:rFonts w:eastAsia="Times New Roman" w:cs="Calibri"/>
                <w:color w:val="000000"/>
                <w:sz w:val="16"/>
                <w:szCs w:val="16"/>
                <w:lang w:eastAsia="es-CR"/>
              </w:rPr>
            </w:pPr>
            <w:r w:rsidRPr="0036385D">
              <w:rPr>
                <w:rFonts w:eastAsia="Times New Roman" w:cs="Calibri"/>
                <w:color w:val="000000"/>
                <w:sz w:val="16"/>
                <w:szCs w:val="16"/>
                <w:lang w:eastAsia="es-CR"/>
              </w:rPr>
              <w:t>Patrimonio</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51ED3C29" w14:textId="77777777" w:rsidR="00B948D5" w:rsidRPr="0036385D" w:rsidRDefault="00B948D5" w:rsidP="004653E2">
            <w:pPr>
              <w:spacing w:after="180" w:line="240" w:lineRule="auto"/>
              <w:jc w:val="center"/>
              <w:rPr>
                <w:rFonts w:eastAsia="Cambria" w:cs="Arial"/>
                <w:color w:val="000000"/>
                <w:sz w:val="16"/>
                <w:szCs w:val="16"/>
                <w:lang w:eastAsia="es-CR"/>
              </w:rPr>
            </w:pPr>
            <w:r w:rsidRPr="0036385D">
              <w:rPr>
                <w:rFonts w:eastAsia="Cambria" w:cs="Arial"/>
                <w:color w:val="000000"/>
                <w:sz w:val="16"/>
                <w:szCs w:val="16"/>
                <w:lang w:eastAsia="es-CR"/>
              </w:rPr>
              <w:t>Reservas</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1529C079" w14:textId="77777777" w:rsidR="00B948D5" w:rsidRPr="0036385D" w:rsidRDefault="00B948D5" w:rsidP="004653E2">
            <w:pPr>
              <w:spacing w:after="180" w:line="240" w:lineRule="auto"/>
              <w:jc w:val="center"/>
              <w:rPr>
                <w:rFonts w:ascii="Calibri" w:eastAsia="Times New Roman" w:hAnsi="Calibri" w:cs="Calibri"/>
                <w:color w:val="000000"/>
                <w:sz w:val="16"/>
                <w:szCs w:val="16"/>
                <w:lang w:eastAsia="es-CR"/>
              </w:rPr>
            </w:pPr>
            <w:r w:rsidRPr="0036385D">
              <w:rPr>
                <w:rFonts w:ascii="Calibri" w:eastAsia="Times New Roman" w:hAnsi="Calibri" w:cs="Calibri"/>
                <w:color w:val="000000"/>
                <w:sz w:val="16"/>
                <w:szCs w:val="16"/>
                <w:lang w:eastAsia="es-CR"/>
              </w:rPr>
              <w:t>NICSP 1</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7DC991AF" w14:textId="77777777" w:rsidR="00B948D5" w:rsidRPr="0036385D"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Reservas (Reservas por revaluación del Activo, Reserva por revaluación de bienes intangibles, Información a revelar)</w:t>
            </w:r>
          </w:p>
        </w:tc>
      </w:tr>
      <w:tr w:rsidR="00B948D5" w:rsidRPr="0036385D" w14:paraId="698BED38" w14:textId="77777777" w:rsidTr="004653E2">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7E257F"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3.14,</w:t>
            </w:r>
          </w:p>
          <w:p w14:paraId="017134A2" w14:textId="77777777" w:rsidR="00B948D5" w:rsidRPr="0036385D"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3.15</w:t>
            </w:r>
          </w:p>
        </w:tc>
        <w:tc>
          <w:tcPr>
            <w:tcW w:w="719" w:type="pct"/>
            <w:tcBorders>
              <w:top w:val="single" w:sz="4" w:space="0" w:color="auto"/>
              <w:left w:val="nil"/>
              <w:bottom w:val="single" w:sz="4" w:space="0" w:color="auto"/>
              <w:right w:val="single" w:sz="4" w:space="0" w:color="auto"/>
            </w:tcBorders>
            <w:shd w:val="clear" w:color="auto" w:fill="auto"/>
            <w:vAlign w:val="center"/>
          </w:tcPr>
          <w:p w14:paraId="6EFCE6DE" w14:textId="77777777" w:rsidR="00B948D5" w:rsidRPr="0036385D" w:rsidRDefault="00B948D5" w:rsidP="004653E2">
            <w:pPr>
              <w:spacing w:after="0" w:line="240" w:lineRule="auto"/>
              <w:jc w:val="center"/>
              <w:rPr>
                <w:rFonts w:eastAsia="Times New Roman" w:cs="Calibri"/>
                <w:color w:val="000000"/>
                <w:sz w:val="16"/>
                <w:szCs w:val="16"/>
                <w:lang w:eastAsia="es-CR"/>
              </w:rPr>
            </w:pPr>
            <w:r w:rsidRPr="0036385D">
              <w:rPr>
                <w:rFonts w:eastAsia="Times New Roman" w:cs="Calibri"/>
                <w:color w:val="000000"/>
                <w:sz w:val="16"/>
                <w:szCs w:val="16"/>
                <w:lang w:eastAsia="es-CR"/>
              </w:rPr>
              <w:t>Patrimonio</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7731BF71" w14:textId="77777777" w:rsidR="00B948D5" w:rsidRPr="0036385D" w:rsidRDefault="00B948D5" w:rsidP="004653E2">
            <w:pPr>
              <w:spacing w:after="180" w:line="240" w:lineRule="auto"/>
              <w:jc w:val="center"/>
              <w:rPr>
                <w:rFonts w:eastAsia="Cambria" w:cs="Arial"/>
                <w:color w:val="000000"/>
                <w:sz w:val="16"/>
                <w:szCs w:val="16"/>
                <w:lang w:eastAsia="es-CR"/>
              </w:rPr>
            </w:pPr>
            <w:r w:rsidRPr="0036385D">
              <w:rPr>
                <w:rFonts w:eastAsia="Cambria" w:cs="Arial"/>
                <w:color w:val="000000"/>
                <w:sz w:val="16"/>
                <w:szCs w:val="16"/>
                <w:lang w:eastAsia="es-CR"/>
              </w:rPr>
              <w:t>Resultados acumulados</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4A8A53E7" w14:textId="77777777" w:rsidR="00B948D5" w:rsidRPr="0036385D" w:rsidRDefault="00B948D5" w:rsidP="004653E2">
            <w:pPr>
              <w:spacing w:after="180" w:line="240" w:lineRule="auto"/>
              <w:jc w:val="center"/>
              <w:rPr>
                <w:rFonts w:ascii="Calibri" w:eastAsia="Times New Roman" w:hAnsi="Calibri" w:cs="Calibri"/>
                <w:color w:val="000000"/>
                <w:sz w:val="16"/>
                <w:szCs w:val="16"/>
                <w:lang w:eastAsia="es-CR"/>
              </w:rPr>
            </w:pPr>
            <w:r w:rsidRPr="0036385D">
              <w:rPr>
                <w:rFonts w:ascii="Calibri" w:eastAsia="Times New Roman" w:hAnsi="Calibri" w:cs="Calibri"/>
                <w:color w:val="000000"/>
                <w:sz w:val="16"/>
                <w:szCs w:val="16"/>
                <w:lang w:eastAsia="es-CR"/>
              </w:rPr>
              <w:t>NICSP 1</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37C19684"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Definición,</w:t>
            </w:r>
          </w:p>
          <w:p w14:paraId="18B81861" w14:textId="77777777" w:rsidR="00B948D5" w:rsidRPr="0036385D"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Ajustes de resultados acumulados de ejercicios anteriores</w:t>
            </w:r>
          </w:p>
        </w:tc>
      </w:tr>
      <w:tr w:rsidR="00B948D5" w:rsidRPr="0036385D" w14:paraId="6B7FE1E1" w14:textId="77777777" w:rsidTr="004653E2">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186F16"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4.2,</w:t>
            </w:r>
          </w:p>
          <w:p w14:paraId="1C6A6E7E" w14:textId="77777777" w:rsidR="00B948D5" w:rsidRDefault="00B948D5" w:rsidP="004653E2">
            <w:pPr>
              <w:spacing w:after="24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4.3,</w:t>
            </w:r>
          </w:p>
          <w:p w14:paraId="3A1DA6E6" w14:textId="77777777" w:rsidR="00B948D5" w:rsidRDefault="00B948D5" w:rsidP="004653E2">
            <w:pPr>
              <w:spacing w:after="24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4.4,</w:t>
            </w:r>
          </w:p>
          <w:p w14:paraId="1E989834" w14:textId="77777777" w:rsidR="00B948D5" w:rsidRDefault="00B948D5" w:rsidP="004653E2">
            <w:pPr>
              <w:spacing w:after="24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4.7,</w:t>
            </w:r>
          </w:p>
          <w:p w14:paraId="5F13C3C7" w14:textId="77777777" w:rsidR="00B948D5" w:rsidRDefault="00B948D5" w:rsidP="004653E2">
            <w:pPr>
              <w:spacing w:after="36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4.8,</w:t>
            </w:r>
          </w:p>
          <w:p w14:paraId="144A8EAD" w14:textId="77777777" w:rsidR="00B948D5" w:rsidRDefault="00B948D5" w:rsidP="004653E2">
            <w:pPr>
              <w:spacing w:after="36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4.9,</w:t>
            </w:r>
          </w:p>
          <w:p w14:paraId="0B502D1C"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4.12,</w:t>
            </w:r>
          </w:p>
          <w:p w14:paraId="1DDF4FBC"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4.13,</w:t>
            </w:r>
          </w:p>
          <w:p w14:paraId="1B029A7E"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4.15,</w:t>
            </w:r>
          </w:p>
          <w:p w14:paraId="4DED9A48"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4.20,</w:t>
            </w:r>
          </w:p>
          <w:p w14:paraId="2F449313"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4.23,</w:t>
            </w:r>
          </w:p>
          <w:p w14:paraId="74CB0E59"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4.21,</w:t>
            </w:r>
          </w:p>
          <w:p w14:paraId="2CF2735B" w14:textId="77777777" w:rsidR="00B948D5" w:rsidRPr="0036385D"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4.49</w:t>
            </w:r>
          </w:p>
        </w:tc>
        <w:tc>
          <w:tcPr>
            <w:tcW w:w="719" w:type="pct"/>
            <w:tcBorders>
              <w:top w:val="single" w:sz="4" w:space="0" w:color="auto"/>
              <w:left w:val="nil"/>
              <w:bottom w:val="single" w:sz="4" w:space="0" w:color="auto"/>
              <w:right w:val="single" w:sz="4" w:space="0" w:color="auto"/>
            </w:tcBorders>
            <w:shd w:val="clear" w:color="auto" w:fill="auto"/>
            <w:vAlign w:val="center"/>
          </w:tcPr>
          <w:p w14:paraId="6C4029D2" w14:textId="77777777" w:rsidR="00B948D5" w:rsidRPr="0036385D" w:rsidRDefault="00B948D5" w:rsidP="004653E2">
            <w:pPr>
              <w:spacing w:after="0" w:line="240" w:lineRule="auto"/>
              <w:jc w:val="center"/>
              <w:rPr>
                <w:rFonts w:eastAsia="Times New Roman" w:cs="Calibri"/>
                <w:color w:val="000000"/>
                <w:sz w:val="16"/>
                <w:szCs w:val="16"/>
                <w:lang w:eastAsia="es-CR"/>
              </w:rPr>
            </w:pPr>
            <w:r w:rsidRPr="0036385D">
              <w:rPr>
                <w:rFonts w:eastAsia="Times New Roman" w:cs="Calibri"/>
                <w:color w:val="000000"/>
                <w:sz w:val="16"/>
                <w:szCs w:val="16"/>
                <w:lang w:eastAsia="es-CR"/>
              </w:rPr>
              <w:t>Ingresos</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74914D3B" w14:textId="77777777" w:rsidR="00B948D5" w:rsidRPr="00244C72" w:rsidRDefault="00B948D5" w:rsidP="004653E2">
            <w:pPr>
              <w:spacing w:after="1920" w:line="240" w:lineRule="auto"/>
              <w:jc w:val="center"/>
              <w:rPr>
                <w:rFonts w:eastAsia="Times New Roman" w:cs="Calibri"/>
                <w:color w:val="000000"/>
                <w:sz w:val="16"/>
                <w:szCs w:val="16"/>
                <w:lang w:eastAsia="es-CR"/>
              </w:rPr>
            </w:pPr>
            <w:r w:rsidRPr="00244C72">
              <w:rPr>
                <w:rFonts w:eastAsia="Times New Roman" w:cs="Calibri"/>
                <w:color w:val="000000"/>
                <w:sz w:val="16"/>
                <w:szCs w:val="16"/>
                <w:lang w:eastAsia="es-CR"/>
              </w:rPr>
              <w:t>Ingresos</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054CB8AA" w14:textId="77777777" w:rsidR="00B948D5" w:rsidRPr="00244C72" w:rsidRDefault="00B948D5" w:rsidP="004653E2">
            <w:pPr>
              <w:spacing w:after="1920" w:line="240" w:lineRule="auto"/>
              <w:jc w:val="center"/>
              <w:rPr>
                <w:rFonts w:eastAsia="Times New Roman" w:cs="Calibri"/>
                <w:color w:val="000000"/>
                <w:sz w:val="16"/>
                <w:szCs w:val="16"/>
                <w:lang w:eastAsia="es-CR"/>
              </w:rPr>
            </w:pPr>
            <w:r w:rsidRPr="00244C72">
              <w:rPr>
                <w:rFonts w:eastAsia="Times New Roman" w:cs="Calibri"/>
                <w:color w:val="000000"/>
                <w:sz w:val="16"/>
                <w:szCs w:val="16"/>
                <w:lang w:eastAsia="es-CR"/>
              </w:rPr>
              <w:t>NICSP 9, 13, 23</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6B54F858"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Componentes del ingreso,</w:t>
            </w:r>
          </w:p>
          <w:p w14:paraId="35C836B7"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Transacciones y eventos con contraprestación que general ingresos,</w:t>
            </w:r>
          </w:p>
          <w:p w14:paraId="5CE7CFF0"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Transacciones y eventos sin contraprestación,</w:t>
            </w:r>
          </w:p>
          <w:p w14:paraId="442112A3"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Reconocimiento de activos por transacciones sin contraprestación,</w:t>
            </w:r>
          </w:p>
          <w:p w14:paraId="43D4D8FF"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Reconocimiento inicial de un activo adquirido mediante transacción sin contraprestación,</w:t>
            </w:r>
          </w:p>
          <w:p w14:paraId="57958A0C"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Reconocimiento de ingresos por transacciones sin contraprestación,</w:t>
            </w:r>
          </w:p>
          <w:p w14:paraId="1EDDDF47"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Reconocimiento de ingresos por impuestos,</w:t>
            </w:r>
          </w:p>
          <w:p w14:paraId="40CB765E"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Anticipos de impuestos,</w:t>
            </w:r>
          </w:p>
          <w:p w14:paraId="5888CA3D"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Transferencias,</w:t>
            </w:r>
          </w:p>
          <w:p w14:paraId="12C37B0D"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Reconocimiento de las transferencias,</w:t>
            </w:r>
          </w:p>
          <w:p w14:paraId="705462FC"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Reconocimiento y medición de multas,</w:t>
            </w:r>
          </w:p>
          <w:p w14:paraId="70663F67"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Donaciones, regalos y bienes en especies,</w:t>
            </w:r>
          </w:p>
          <w:p w14:paraId="1D9B34F3"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Prestación de servicios,</w:t>
            </w:r>
          </w:p>
          <w:p w14:paraId="664B22B8" w14:textId="77777777" w:rsidR="00B948D5" w:rsidRPr="0036385D"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Ingresos por arrendamientos operativos</w:t>
            </w:r>
          </w:p>
        </w:tc>
      </w:tr>
      <w:tr w:rsidR="00B948D5" w:rsidRPr="00F753BA" w14:paraId="622CF16F" w14:textId="77777777" w:rsidTr="004653E2">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096A4E"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1.90,</w:t>
            </w:r>
          </w:p>
          <w:p w14:paraId="183FE5AA" w14:textId="77777777" w:rsidR="00B948D5" w:rsidRDefault="00B948D5" w:rsidP="004653E2">
            <w:pPr>
              <w:spacing w:before="240"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5.1,</w:t>
            </w:r>
          </w:p>
          <w:p w14:paraId="665A6E7E"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5.2,</w:t>
            </w:r>
          </w:p>
          <w:p w14:paraId="364DB968"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5.3,</w:t>
            </w:r>
          </w:p>
          <w:p w14:paraId="5ECE9841"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5.4,</w:t>
            </w:r>
          </w:p>
          <w:p w14:paraId="36B3EEC6" w14:textId="77777777" w:rsidR="00B948D5" w:rsidRDefault="00B948D5" w:rsidP="004653E2">
            <w:pPr>
              <w:spacing w:after="24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5.5,</w:t>
            </w:r>
          </w:p>
          <w:p w14:paraId="2FDBF0C1"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5.6,</w:t>
            </w:r>
          </w:p>
          <w:p w14:paraId="23AFF940"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5.7,</w:t>
            </w:r>
          </w:p>
          <w:p w14:paraId="30F9DDA0"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5.12,</w:t>
            </w:r>
          </w:p>
          <w:p w14:paraId="7CB800A3" w14:textId="77777777" w:rsidR="00B948D5" w:rsidRDefault="00B948D5" w:rsidP="004653E2">
            <w:pPr>
              <w:spacing w:after="12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5.13,</w:t>
            </w:r>
          </w:p>
          <w:p w14:paraId="39FD724A"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5.14,</w:t>
            </w:r>
          </w:p>
          <w:p w14:paraId="4B164B23"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5.17,</w:t>
            </w:r>
          </w:p>
          <w:p w14:paraId="314D57C8" w14:textId="77777777" w:rsidR="00B948D5" w:rsidRDefault="00B948D5" w:rsidP="004653E2">
            <w:pPr>
              <w:spacing w:after="12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5.18,</w:t>
            </w:r>
          </w:p>
          <w:p w14:paraId="7F2D53DE" w14:textId="77777777" w:rsidR="00B948D5" w:rsidRDefault="00B948D5" w:rsidP="004653E2">
            <w:pPr>
              <w:spacing w:after="12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5.19,</w:t>
            </w:r>
          </w:p>
          <w:p w14:paraId="08F75F0B" w14:textId="77777777" w:rsidR="00B948D5" w:rsidRDefault="00B948D5" w:rsidP="004653E2">
            <w:pPr>
              <w:spacing w:after="12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5.24,</w:t>
            </w:r>
          </w:p>
          <w:p w14:paraId="1505D1FC"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5.35,</w:t>
            </w:r>
          </w:p>
          <w:p w14:paraId="1B5571BD" w14:textId="77777777" w:rsidR="00B948D5" w:rsidRDefault="00B948D5" w:rsidP="004653E2">
            <w:pPr>
              <w:spacing w:after="12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5.37,</w:t>
            </w:r>
          </w:p>
          <w:p w14:paraId="37F91430"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5.39,</w:t>
            </w:r>
          </w:p>
          <w:p w14:paraId="69883593" w14:textId="77777777" w:rsidR="00B948D5" w:rsidRDefault="00B948D5" w:rsidP="004653E2">
            <w:pPr>
              <w:spacing w:after="12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5.40,</w:t>
            </w:r>
          </w:p>
          <w:p w14:paraId="297C34D3"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5.44,</w:t>
            </w:r>
          </w:p>
          <w:p w14:paraId="1D035620"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5.46,</w:t>
            </w:r>
          </w:p>
          <w:p w14:paraId="240BCA71" w14:textId="77777777" w:rsidR="00B948D5" w:rsidRPr="0036385D"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5.55</w:t>
            </w:r>
          </w:p>
        </w:tc>
        <w:tc>
          <w:tcPr>
            <w:tcW w:w="719" w:type="pct"/>
            <w:tcBorders>
              <w:top w:val="single" w:sz="4" w:space="0" w:color="auto"/>
              <w:left w:val="nil"/>
              <w:bottom w:val="single" w:sz="4" w:space="0" w:color="auto"/>
              <w:right w:val="single" w:sz="4" w:space="0" w:color="auto"/>
            </w:tcBorders>
            <w:shd w:val="clear" w:color="auto" w:fill="auto"/>
            <w:vAlign w:val="center"/>
          </w:tcPr>
          <w:p w14:paraId="73620918" w14:textId="77777777" w:rsidR="00B948D5" w:rsidRPr="0036385D" w:rsidRDefault="00B948D5" w:rsidP="004653E2">
            <w:pPr>
              <w:spacing w:before="360" w:after="0" w:line="240" w:lineRule="auto"/>
              <w:jc w:val="center"/>
              <w:rPr>
                <w:rFonts w:eastAsia="Times New Roman" w:cs="Calibri"/>
                <w:color w:val="000000"/>
                <w:sz w:val="16"/>
                <w:szCs w:val="16"/>
                <w:lang w:eastAsia="es-CR"/>
              </w:rPr>
            </w:pPr>
            <w:r w:rsidRPr="0036385D">
              <w:rPr>
                <w:rFonts w:eastAsia="Times New Roman" w:cs="Calibri"/>
                <w:color w:val="000000"/>
                <w:sz w:val="16"/>
                <w:szCs w:val="16"/>
                <w:lang w:eastAsia="es-CR"/>
              </w:rPr>
              <w:t>Gastos</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1303D8D4" w14:textId="77777777" w:rsidR="00B948D5" w:rsidRPr="0036385D" w:rsidRDefault="00B948D5" w:rsidP="004653E2">
            <w:pPr>
              <w:spacing w:before="360" w:after="2820" w:line="240" w:lineRule="auto"/>
              <w:jc w:val="center"/>
              <w:rPr>
                <w:rFonts w:eastAsia="Cambria" w:cs="Arial"/>
                <w:color w:val="000000"/>
                <w:sz w:val="16"/>
                <w:szCs w:val="16"/>
                <w:lang w:eastAsia="es-CR"/>
              </w:rPr>
            </w:pPr>
            <w:r w:rsidRPr="0036385D">
              <w:rPr>
                <w:rFonts w:eastAsia="Cambria" w:cs="Arial"/>
                <w:color w:val="000000"/>
                <w:sz w:val="16"/>
                <w:szCs w:val="16"/>
                <w:lang w:eastAsia="es-CR"/>
              </w:rPr>
              <w:t>Gastos</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15A20147" w14:textId="77777777" w:rsidR="00B948D5" w:rsidRPr="0036385D" w:rsidRDefault="00B948D5" w:rsidP="004653E2">
            <w:pPr>
              <w:spacing w:before="360" w:after="2820" w:line="240" w:lineRule="auto"/>
              <w:jc w:val="center"/>
              <w:rPr>
                <w:rFonts w:ascii="Calibri" w:eastAsia="Times New Roman" w:hAnsi="Calibri" w:cs="Calibri"/>
                <w:color w:val="000000"/>
                <w:sz w:val="16"/>
                <w:szCs w:val="16"/>
                <w:lang w:eastAsia="es-CR"/>
              </w:rPr>
            </w:pPr>
            <w:r w:rsidRPr="0036385D">
              <w:rPr>
                <w:rFonts w:ascii="Calibri" w:eastAsia="Times New Roman" w:hAnsi="Calibri" w:cs="Calibri"/>
                <w:color w:val="000000"/>
                <w:sz w:val="16"/>
                <w:szCs w:val="16"/>
                <w:lang w:eastAsia="es-CR"/>
              </w:rPr>
              <w:t>NICSP 5,12,13,17,19,39</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0317C67B"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sidRPr="00F753BA">
              <w:rPr>
                <w:rFonts w:ascii="Calibri" w:eastAsia="Times New Roman" w:hAnsi="Calibri" w:cs="Calibri"/>
                <w:color w:val="000000"/>
                <w:sz w:val="16"/>
                <w:szCs w:val="16"/>
                <w:lang w:eastAsia="es-CR"/>
              </w:rPr>
              <w:t>Reconocimiento como un gasto (inventarios)</w:t>
            </w:r>
            <w:r>
              <w:rPr>
                <w:rFonts w:ascii="Calibri" w:eastAsia="Times New Roman" w:hAnsi="Calibri" w:cs="Calibri"/>
                <w:color w:val="000000"/>
                <w:sz w:val="16"/>
                <w:szCs w:val="16"/>
                <w:lang w:eastAsia="es-CR"/>
              </w:rPr>
              <w:t>,</w:t>
            </w:r>
          </w:p>
          <w:p w14:paraId="42260D50"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Gastos por beneficios a los empleados,</w:t>
            </w:r>
          </w:p>
          <w:p w14:paraId="48D98B7C"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Gastos por concepto de salario escolar,</w:t>
            </w:r>
          </w:p>
          <w:p w14:paraId="5CC8E139"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Gastos por concepto de vacaciones</w:t>
            </w:r>
          </w:p>
          <w:p w14:paraId="217524FF"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Medición y Reconocimiento vacaciones,</w:t>
            </w:r>
          </w:p>
          <w:p w14:paraId="26190396"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Medición y reconocimiento de ausencias retribuidas,</w:t>
            </w:r>
          </w:p>
          <w:p w14:paraId="28AB46C5"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Pago por incentivos,</w:t>
            </w:r>
          </w:p>
          <w:p w14:paraId="4DC6ACA9"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Gastos por concepto de aguinaldo,</w:t>
            </w:r>
          </w:p>
          <w:p w14:paraId="59DAB8F8"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Indemnizaciones por cese,</w:t>
            </w:r>
          </w:p>
          <w:p w14:paraId="36F6D950"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Gastos por concepto de auxilio de cesantía,</w:t>
            </w:r>
          </w:p>
          <w:p w14:paraId="36FB9606"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Gastos por concepto de preaviso,</w:t>
            </w:r>
          </w:p>
          <w:p w14:paraId="6CB7345A"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Servicios recibidos,</w:t>
            </w:r>
          </w:p>
          <w:p w14:paraId="4B60482C"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Reconocimiento de gastos por inventarios,</w:t>
            </w:r>
          </w:p>
          <w:p w14:paraId="47BD93FB"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Reconocimiento de gastos por bienes del Activo Fijo,</w:t>
            </w:r>
          </w:p>
          <w:p w14:paraId="4EE2CF69"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Cuotas del arrendamiento operativo para la entidad arrendataria,</w:t>
            </w:r>
          </w:p>
          <w:p w14:paraId="6E3BD711"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Depreciaciones – Terrenos y Edificios,</w:t>
            </w:r>
          </w:p>
          <w:p w14:paraId="08B6A4E9"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Depreciación de los bienes dados en arrendamiento operativo,</w:t>
            </w:r>
          </w:p>
          <w:p w14:paraId="61E12A53"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Reconocimiento de depreciaciones y amortizaciones,</w:t>
            </w:r>
          </w:p>
          <w:p w14:paraId="1621AE63"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Deterioro del valor,</w:t>
            </w:r>
          </w:p>
          <w:p w14:paraId="252BC596"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Pérdida del valor de los inventarios,</w:t>
            </w:r>
          </w:p>
          <w:p w14:paraId="1B47D91F"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Deterioro e incobrabilidad de los activos financieros,</w:t>
            </w:r>
          </w:p>
          <w:p w14:paraId="2E6134A2" w14:textId="77777777" w:rsidR="00B948D5" w:rsidRPr="00F753BA"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Reconocimiento en los EEFF de la variación de las diferencias de cambio</w:t>
            </w:r>
          </w:p>
        </w:tc>
      </w:tr>
      <w:tr w:rsidR="00B948D5" w:rsidRPr="0036385D" w14:paraId="5219DFDB" w14:textId="77777777" w:rsidTr="004653E2">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370D35" w14:textId="77777777" w:rsidR="00B948D5" w:rsidRDefault="00B948D5" w:rsidP="004653E2">
            <w:pPr>
              <w:spacing w:after="48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6.13,</w:t>
            </w:r>
          </w:p>
          <w:p w14:paraId="68029AF2" w14:textId="77777777" w:rsidR="00B948D5" w:rsidRDefault="00B948D5" w:rsidP="004653E2">
            <w:pPr>
              <w:spacing w:after="36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6.15,</w:t>
            </w:r>
          </w:p>
          <w:p w14:paraId="46FF16F2" w14:textId="77777777" w:rsidR="00B948D5" w:rsidRPr="0036385D"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2.95</w:t>
            </w:r>
          </w:p>
        </w:tc>
        <w:tc>
          <w:tcPr>
            <w:tcW w:w="719" w:type="pct"/>
            <w:tcBorders>
              <w:top w:val="single" w:sz="4" w:space="0" w:color="auto"/>
              <w:left w:val="nil"/>
              <w:bottom w:val="single" w:sz="4" w:space="0" w:color="auto"/>
              <w:right w:val="single" w:sz="4" w:space="0" w:color="auto"/>
            </w:tcBorders>
            <w:shd w:val="clear" w:color="auto" w:fill="auto"/>
            <w:vAlign w:val="center"/>
          </w:tcPr>
          <w:p w14:paraId="4320245F" w14:textId="77777777" w:rsidR="00B948D5" w:rsidRPr="0036385D" w:rsidRDefault="00B948D5" w:rsidP="004653E2">
            <w:pPr>
              <w:spacing w:after="0" w:line="240" w:lineRule="auto"/>
              <w:jc w:val="center"/>
              <w:rPr>
                <w:rFonts w:eastAsia="Times New Roman" w:cs="Calibri"/>
                <w:color w:val="000000"/>
                <w:sz w:val="16"/>
                <w:szCs w:val="16"/>
                <w:lang w:eastAsia="es-CR"/>
              </w:rPr>
            </w:pPr>
            <w:r w:rsidRPr="0036385D">
              <w:rPr>
                <w:rFonts w:eastAsia="Times New Roman" w:cs="Calibri"/>
                <w:color w:val="000000"/>
                <w:sz w:val="16"/>
                <w:szCs w:val="16"/>
                <w:lang w:eastAsia="es-CR"/>
              </w:rPr>
              <w:t>Presentación EEFF</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43201DEA" w14:textId="77777777" w:rsidR="00B948D5" w:rsidRPr="0036385D" w:rsidRDefault="00B948D5" w:rsidP="004653E2">
            <w:pPr>
              <w:spacing w:after="600" w:line="240" w:lineRule="auto"/>
              <w:rPr>
                <w:rFonts w:eastAsia="Cambria" w:cs="Arial"/>
                <w:color w:val="000000"/>
                <w:sz w:val="16"/>
                <w:szCs w:val="16"/>
                <w:lang w:eastAsia="es-CR"/>
              </w:rPr>
            </w:pPr>
            <w:r w:rsidRPr="0036385D">
              <w:rPr>
                <w:rFonts w:eastAsia="Cambria" w:cs="Arial"/>
                <w:color w:val="000000"/>
                <w:sz w:val="16"/>
                <w:szCs w:val="16"/>
                <w:lang w:eastAsia="es-CR"/>
              </w:rPr>
              <w:t>Hechos ocurridos después de la fecha de presentación</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422865D6" w14:textId="77777777" w:rsidR="00B948D5" w:rsidRPr="0036385D" w:rsidRDefault="00B948D5" w:rsidP="004653E2">
            <w:pPr>
              <w:spacing w:after="600" w:line="240" w:lineRule="auto"/>
              <w:jc w:val="center"/>
              <w:rPr>
                <w:rFonts w:ascii="Calibri" w:eastAsia="Times New Roman" w:hAnsi="Calibri" w:cs="Calibri"/>
                <w:color w:val="000000"/>
                <w:sz w:val="16"/>
                <w:szCs w:val="16"/>
                <w:lang w:eastAsia="es-CR"/>
              </w:rPr>
            </w:pPr>
            <w:r w:rsidRPr="0036385D">
              <w:rPr>
                <w:rFonts w:ascii="Calibri" w:eastAsia="Times New Roman" w:hAnsi="Calibri" w:cs="Calibri"/>
                <w:color w:val="000000"/>
                <w:sz w:val="16"/>
                <w:szCs w:val="16"/>
                <w:lang w:eastAsia="es-CR"/>
              </w:rPr>
              <w:t>NICSP 14</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22D795B1"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Hechos ocurridos después de la fecha sobre la que se informa,</w:t>
            </w:r>
          </w:p>
          <w:p w14:paraId="43965DB3"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Tratamiento de los hechos ocurridos después de la fecha sobre la que se informa,</w:t>
            </w:r>
          </w:p>
          <w:p w14:paraId="7A9570EB" w14:textId="77777777" w:rsidR="00B948D5" w:rsidRPr="0036385D"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Reconocimiento de una provisión (Hechos ocurridos después de la fecha sobre la que se informa)</w:t>
            </w:r>
          </w:p>
        </w:tc>
      </w:tr>
      <w:tr w:rsidR="00B948D5" w:rsidRPr="0036385D" w14:paraId="78A02711" w14:textId="77777777" w:rsidTr="004653E2">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ADB165" w14:textId="77777777" w:rsidR="00B948D5" w:rsidRDefault="00B948D5" w:rsidP="004653E2">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6.1,</w:t>
            </w:r>
          </w:p>
          <w:p w14:paraId="337B4B8E" w14:textId="77777777" w:rsidR="00B948D5" w:rsidRDefault="00B948D5" w:rsidP="004653E2">
            <w:pPr>
              <w:spacing w:before="240"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6.6,</w:t>
            </w:r>
          </w:p>
          <w:p w14:paraId="1C0E5497" w14:textId="77777777" w:rsidR="00B948D5" w:rsidRPr="0036385D" w:rsidRDefault="00B948D5" w:rsidP="004653E2">
            <w:pPr>
              <w:spacing w:before="240"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6.9</w:t>
            </w:r>
          </w:p>
        </w:tc>
        <w:tc>
          <w:tcPr>
            <w:tcW w:w="719" w:type="pct"/>
            <w:tcBorders>
              <w:top w:val="single" w:sz="4" w:space="0" w:color="auto"/>
              <w:left w:val="nil"/>
              <w:bottom w:val="single" w:sz="4" w:space="0" w:color="auto"/>
              <w:right w:val="single" w:sz="4" w:space="0" w:color="auto"/>
            </w:tcBorders>
            <w:shd w:val="clear" w:color="auto" w:fill="auto"/>
            <w:vAlign w:val="center"/>
          </w:tcPr>
          <w:p w14:paraId="6CCFDBB3" w14:textId="77777777" w:rsidR="00B948D5" w:rsidRPr="0036385D" w:rsidRDefault="00B948D5" w:rsidP="004653E2">
            <w:pPr>
              <w:spacing w:after="0" w:line="240" w:lineRule="auto"/>
              <w:jc w:val="center"/>
              <w:rPr>
                <w:rFonts w:eastAsia="Times New Roman" w:cs="Calibri"/>
                <w:color w:val="000000"/>
                <w:sz w:val="16"/>
                <w:szCs w:val="16"/>
                <w:lang w:eastAsia="es-CR"/>
              </w:rPr>
            </w:pPr>
            <w:r w:rsidRPr="0036385D">
              <w:rPr>
                <w:rFonts w:eastAsia="Times New Roman" w:cs="Calibri"/>
                <w:color w:val="000000"/>
                <w:sz w:val="16"/>
                <w:szCs w:val="16"/>
                <w:lang w:eastAsia="es-CR"/>
              </w:rPr>
              <w:t>Presentación EEFF</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7D2C60BA" w14:textId="77777777" w:rsidR="00B948D5" w:rsidRPr="0036385D" w:rsidRDefault="00B948D5" w:rsidP="004653E2">
            <w:pPr>
              <w:spacing w:after="360" w:line="240" w:lineRule="auto"/>
              <w:rPr>
                <w:rFonts w:eastAsia="Cambria" w:cs="Arial"/>
                <w:color w:val="000000"/>
                <w:sz w:val="16"/>
                <w:szCs w:val="16"/>
                <w:lang w:eastAsia="es-CR"/>
              </w:rPr>
            </w:pPr>
            <w:r w:rsidRPr="0036385D">
              <w:rPr>
                <w:rFonts w:eastAsia="Cambria" w:cs="Arial"/>
                <w:color w:val="000000"/>
                <w:sz w:val="16"/>
                <w:szCs w:val="16"/>
                <w:lang w:eastAsia="es-CR"/>
              </w:rPr>
              <w:t>Estados financieros</w:t>
            </w:r>
            <w:r>
              <w:rPr>
                <w:rFonts w:eastAsia="Cambria" w:cs="Arial"/>
                <w:color w:val="000000"/>
                <w:sz w:val="16"/>
                <w:szCs w:val="16"/>
                <w:lang w:eastAsia="es-CR"/>
              </w:rPr>
              <w:t xml:space="preserve"> y Estados financieros </w:t>
            </w:r>
            <w:r w:rsidRPr="0036385D">
              <w:rPr>
                <w:rFonts w:eastAsia="Cambria" w:cs="Arial"/>
                <w:color w:val="000000"/>
                <w:sz w:val="16"/>
                <w:szCs w:val="16"/>
                <w:lang w:eastAsia="es-CR"/>
              </w:rPr>
              <w:t>consolidados</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2A87C5C5" w14:textId="77777777" w:rsidR="00B948D5" w:rsidRPr="0036385D" w:rsidRDefault="00B948D5" w:rsidP="004653E2">
            <w:pPr>
              <w:spacing w:after="480" w:line="240" w:lineRule="auto"/>
              <w:jc w:val="right"/>
              <w:rPr>
                <w:rFonts w:ascii="Calibri" w:eastAsia="Times New Roman" w:hAnsi="Calibri" w:cs="Calibri"/>
                <w:color w:val="000000"/>
                <w:sz w:val="16"/>
                <w:szCs w:val="16"/>
                <w:lang w:eastAsia="es-CR"/>
              </w:rPr>
            </w:pPr>
            <w:r w:rsidRPr="0036385D">
              <w:rPr>
                <w:rFonts w:ascii="Calibri" w:eastAsia="Times New Roman" w:hAnsi="Calibri" w:cs="Calibri"/>
                <w:color w:val="000000"/>
                <w:sz w:val="16"/>
                <w:szCs w:val="16"/>
                <w:lang w:eastAsia="es-CR"/>
              </w:rPr>
              <w:t>NICSP 1, 20, 35</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35BAD655"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 xml:space="preserve">Información Financiera de Propósito General, </w:t>
            </w:r>
          </w:p>
          <w:p w14:paraId="5BBD4475"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Estructura de los EEFF y de los EFC para el SPC,</w:t>
            </w:r>
          </w:p>
          <w:p w14:paraId="06F82495" w14:textId="77777777" w:rsidR="00B948D5" w:rsidRPr="0036385D"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Presentación razonable y cumplimiento de las NICSP</w:t>
            </w:r>
          </w:p>
        </w:tc>
      </w:tr>
    </w:tbl>
    <w:p w14:paraId="235EFE67" w14:textId="77777777" w:rsidR="00B948D5" w:rsidRDefault="00B948D5" w:rsidP="0004142E">
      <w:pPr>
        <w:rPr>
          <w:bCs/>
        </w:rPr>
      </w:pPr>
    </w:p>
    <w:p w14:paraId="3A5B2465" w14:textId="77777777" w:rsidR="00B948D5" w:rsidRPr="00243AD8" w:rsidRDefault="00B948D5" w:rsidP="00B948D5">
      <w:pPr>
        <w:pStyle w:val="Ttulo2"/>
        <w:keepNext w:val="0"/>
        <w:widowControl w:val="0"/>
        <w:spacing w:before="0" w:after="240"/>
        <w:rPr>
          <w:b/>
          <w:bCs/>
          <w:color w:val="auto"/>
          <w:szCs w:val="24"/>
          <w:lang w:eastAsia="es-CR"/>
        </w:rPr>
      </w:pPr>
      <w:bookmarkStart w:id="17" w:name="_Toc133944314"/>
      <w:bookmarkStart w:id="18" w:name="_Toc173245184"/>
      <w:r>
        <w:rPr>
          <w:b/>
          <w:bCs/>
          <w:color w:val="auto"/>
          <w:szCs w:val="24"/>
          <w:lang w:eastAsia="es-CR"/>
        </w:rPr>
        <w:t>Otra r</w:t>
      </w:r>
      <w:r w:rsidRPr="00243AD8">
        <w:rPr>
          <w:b/>
          <w:bCs/>
          <w:color w:val="auto"/>
          <w:szCs w:val="24"/>
          <w:lang w:eastAsia="es-CR"/>
        </w:rPr>
        <w:t>evelación sobre las principales Políticas</w:t>
      </w:r>
      <w:bookmarkEnd w:id="17"/>
      <w:bookmarkEnd w:id="18"/>
    </w:p>
    <w:p w14:paraId="558FF75B" w14:textId="77777777" w:rsidR="00B948D5" w:rsidRDefault="00B948D5" w:rsidP="00B948D5">
      <w:pPr>
        <w:spacing w:after="0" w:line="240" w:lineRule="auto"/>
        <w:rPr>
          <w:rFonts w:eastAsia="Cambria" w:cs="Arial"/>
          <w:b/>
          <w:bCs/>
          <w:color w:val="000000"/>
          <w:lang w:eastAsia="es-CR"/>
        </w:rPr>
      </w:pPr>
      <w:r w:rsidRPr="00E91F3C">
        <w:rPr>
          <w:rFonts w:eastAsia="Cambria" w:cs="Arial"/>
          <w:b/>
          <w:bCs/>
          <w:color w:val="000000"/>
          <w:lang w:eastAsia="es-CR"/>
        </w:rPr>
        <w:t>ACTIVOS</w:t>
      </w:r>
    </w:p>
    <w:p w14:paraId="2132F465" w14:textId="77777777" w:rsidR="00B948D5" w:rsidRPr="00E91F3C" w:rsidRDefault="00B948D5" w:rsidP="00B948D5">
      <w:pPr>
        <w:spacing w:after="0" w:line="240" w:lineRule="auto"/>
        <w:rPr>
          <w:rFonts w:eastAsia="Cambria" w:cs="Arial"/>
          <w:b/>
          <w:bCs/>
          <w:color w:val="000000"/>
          <w:lang w:eastAsia="es-CR"/>
        </w:rPr>
      </w:pPr>
    </w:p>
    <w:p w14:paraId="3AD68A21" w14:textId="77777777" w:rsidR="00B948D5" w:rsidRPr="00E91F3C" w:rsidRDefault="00B948D5" w:rsidP="00B948D5">
      <w:pPr>
        <w:spacing w:after="0"/>
        <w:rPr>
          <w:rFonts w:eastAsia="Cambria" w:cs="Arial"/>
          <w:b/>
          <w:bCs/>
          <w:color w:val="000000"/>
          <w:lang w:eastAsia="es-CR"/>
        </w:rPr>
      </w:pPr>
      <w:r w:rsidRPr="00E91F3C">
        <w:rPr>
          <w:rFonts w:eastAsia="Cambria" w:cs="Arial"/>
          <w:b/>
          <w:bCs/>
          <w:color w:val="000000"/>
          <w:lang w:eastAsia="es-CR"/>
        </w:rPr>
        <w:t>Efectivo y Equivalentes de Efectivo</w:t>
      </w:r>
    </w:p>
    <w:p w14:paraId="537DD9BF" w14:textId="77777777" w:rsidR="00B948D5" w:rsidRPr="00740611" w:rsidRDefault="00B948D5" w:rsidP="00B948D5">
      <w:pPr>
        <w:spacing w:after="0" w:line="240" w:lineRule="auto"/>
        <w:rPr>
          <w:rFonts w:eastAsia="Cambria" w:cs="Arial"/>
          <w:b/>
          <w:szCs w:val="24"/>
          <w:lang w:eastAsia="es-CR"/>
        </w:rPr>
      </w:pPr>
      <w:r w:rsidRPr="00740611">
        <w:rPr>
          <w:rFonts w:eastAsia="Cambria" w:cs="Arial"/>
          <w:color w:val="000000"/>
          <w:szCs w:val="24"/>
          <w:lang w:eastAsia="es-CR"/>
        </w:rPr>
        <w:t>El Efectivo y Equivalentes de Efectivo se reconocen a su valor nominal. La Municipalidad de Buenos Aires tiene como políticas mantener el Efectivo y Equivalentes de Efectivo en cuentas bancarias en los bancos públicos Banco Nacional de Costa Rica y Banco de Costa Rica, en Caja Chica y en Caja Recaudadora, y se utiliza para cumplir los compromisos de pago a corto plazo. Además, posee</w:t>
      </w:r>
      <w:r w:rsidRPr="00740611">
        <w:rPr>
          <w:rFonts w:eastAsia="Cambria" w:cs="Arial"/>
          <w:b/>
          <w:color w:val="000000"/>
          <w:szCs w:val="24"/>
          <w:lang w:eastAsia="es-CR"/>
        </w:rPr>
        <w:t xml:space="preserve"> </w:t>
      </w:r>
      <w:r w:rsidRPr="00740611">
        <w:rPr>
          <w:rFonts w:eastAsia="Cambria" w:cs="Arial"/>
          <w:color w:val="000000"/>
          <w:szCs w:val="24"/>
          <w:lang w:eastAsia="es-CR"/>
        </w:rPr>
        <w:t>efectivo en la Caja Única del Estado (Tesorería Nacional), cuyo funcionamiento se rige por medio de lo dictado en el Artículo 43 de la Ley Nº 8131 Ley de Administración Financiera de la República y Presupuestos Públicos y en el Decreto Nº 33950-H Reglamento para el funcionamiento de la Caja Única.</w:t>
      </w:r>
    </w:p>
    <w:p w14:paraId="1E175259" w14:textId="77777777" w:rsidR="00B948D5" w:rsidRDefault="00B948D5" w:rsidP="00B948D5">
      <w:pPr>
        <w:spacing w:after="0" w:line="240" w:lineRule="auto"/>
        <w:rPr>
          <w:rFonts w:eastAsia="Cambria" w:cs="Arial"/>
          <w:b/>
          <w:bCs/>
          <w:color w:val="000000"/>
          <w:lang w:eastAsia="es-CR"/>
        </w:rPr>
      </w:pPr>
    </w:p>
    <w:p w14:paraId="7FBEF1A0" w14:textId="77777777" w:rsidR="00B948D5" w:rsidRPr="00E91F3C" w:rsidRDefault="00B948D5" w:rsidP="00B948D5">
      <w:pPr>
        <w:spacing w:after="0"/>
        <w:rPr>
          <w:rFonts w:eastAsia="Cambria" w:cs="Arial"/>
          <w:b/>
          <w:bCs/>
          <w:color w:val="000000"/>
          <w:lang w:eastAsia="es-CR"/>
        </w:rPr>
      </w:pPr>
      <w:r w:rsidRPr="00E91F3C">
        <w:rPr>
          <w:rFonts w:eastAsia="Cambria" w:cs="Arial"/>
          <w:b/>
          <w:bCs/>
          <w:color w:val="000000"/>
          <w:lang w:eastAsia="es-CR"/>
        </w:rPr>
        <w:t>Cuentas y Documentos por Cobrar</w:t>
      </w:r>
    </w:p>
    <w:p w14:paraId="5B488A66" w14:textId="77777777" w:rsidR="00B948D5" w:rsidRPr="00740611" w:rsidRDefault="00B948D5" w:rsidP="00B948D5">
      <w:pPr>
        <w:spacing w:line="240" w:lineRule="auto"/>
        <w:rPr>
          <w:rFonts w:eastAsia="Cambria" w:cs="Arial"/>
          <w:color w:val="000000"/>
          <w:szCs w:val="24"/>
          <w:lang w:eastAsia="es-CR"/>
        </w:rPr>
      </w:pPr>
      <w:r w:rsidRPr="00740611">
        <w:rPr>
          <w:rFonts w:eastAsia="Cambria" w:cs="Arial"/>
          <w:color w:val="000000"/>
          <w:szCs w:val="24"/>
          <w:lang w:eastAsia="es-CR"/>
        </w:rPr>
        <w:t xml:space="preserve">Los Instrumentos Financieros que posee la Municipalidad de Buenos Aires se incluyen los instrumentos primarios, tales como </w:t>
      </w:r>
      <w:r w:rsidRPr="00740611">
        <w:rPr>
          <w:rFonts w:eastAsia="Cambria" w:cs="Arial"/>
          <w:b/>
          <w:bCs/>
          <w:color w:val="000000"/>
          <w:szCs w:val="24"/>
          <w:lang w:eastAsia="es-CR"/>
        </w:rPr>
        <w:t>Cuentas por Cobrar</w:t>
      </w:r>
      <w:r w:rsidRPr="00740611">
        <w:rPr>
          <w:rFonts w:eastAsia="Cambria" w:cs="Arial"/>
          <w:color w:val="000000"/>
          <w:szCs w:val="24"/>
          <w:lang w:eastAsia="es-CR"/>
        </w:rPr>
        <w:t xml:space="preserve"> y </w:t>
      </w:r>
      <w:r w:rsidRPr="00740611">
        <w:rPr>
          <w:rFonts w:eastAsia="Cambria" w:cs="Arial"/>
          <w:b/>
          <w:bCs/>
          <w:color w:val="000000"/>
          <w:szCs w:val="24"/>
          <w:lang w:eastAsia="es-CR"/>
        </w:rPr>
        <w:t>Documentos por Cobrar</w:t>
      </w:r>
      <w:r w:rsidRPr="00740611">
        <w:rPr>
          <w:rFonts w:eastAsia="Cambria" w:cs="Arial"/>
          <w:color w:val="000000"/>
          <w:szCs w:val="24"/>
          <w:lang w:eastAsia="es-CR"/>
        </w:rPr>
        <w:t>, originados en una obligación que sea ineludible o probable; y que deba efectuar en una fecha determinada o determinable debido a la ocurrencia de cierto hecho por parte de los contribuyentes, y que los obliga a de entregar un activo a la Municipalidad. Dichos instrumentos financieros se reconocen por adeudo de impuestos, tasas, alquileres de bienes, por el otorgamiento de nuevos plazos para el cobro de cuentas por cobrar existentes.</w:t>
      </w:r>
    </w:p>
    <w:p w14:paraId="08F24DE4" w14:textId="77777777" w:rsidR="00B948D5" w:rsidRPr="00740611" w:rsidRDefault="00B948D5" w:rsidP="00B948D5">
      <w:pPr>
        <w:spacing w:line="240" w:lineRule="auto"/>
        <w:rPr>
          <w:rFonts w:eastAsia="Cambria" w:cs="Arial"/>
          <w:color w:val="000000"/>
          <w:szCs w:val="24"/>
          <w:lang w:eastAsia="es-CR"/>
        </w:rPr>
      </w:pPr>
      <w:r w:rsidRPr="00740611">
        <w:rPr>
          <w:rFonts w:eastAsia="Cambria" w:cs="Arial"/>
          <w:color w:val="000000"/>
          <w:szCs w:val="24"/>
          <w:lang w:eastAsia="es-CR"/>
        </w:rPr>
        <w:t>La Municipalidad tiene como política de medición contable inicial de las cuentas por cobrar deberá realizarse al costo.  En relación con los Documentos por Cobrar se tiene establece como política de medición posterior que deberá realizarse por el costo amortizado a una tasa de interés efectiva.</w:t>
      </w:r>
    </w:p>
    <w:p w14:paraId="52A2C758" w14:textId="77777777" w:rsidR="00B948D5" w:rsidRDefault="00B948D5" w:rsidP="00B948D5">
      <w:pPr>
        <w:spacing w:after="0" w:line="240" w:lineRule="auto"/>
        <w:rPr>
          <w:rFonts w:eastAsia="Cambria" w:cs="Arial"/>
          <w:color w:val="000000"/>
          <w:szCs w:val="24"/>
          <w:lang w:eastAsia="es-CR"/>
        </w:rPr>
      </w:pPr>
      <w:r w:rsidRPr="00740611">
        <w:rPr>
          <w:rFonts w:eastAsia="Cambria" w:cs="Arial"/>
          <w:color w:val="000000"/>
          <w:szCs w:val="24"/>
          <w:lang w:eastAsia="es-CR"/>
        </w:rPr>
        <w:t>Para calcular el tipo de interés efectivo, la Municipalidad de Buenos Aires estimará los flujos de efectivo teniendo en cuenta todas las condiciones contractuales del instrumento financiero (por ejemplo, pagos anticipados, rescates y opciones similares). El cálculo incluirá todas las comisiones y puntos básicos de interés, pagados o recibidos por las partes del contrato, que integren el tipo de interés efectivo, así como los costes de transacción y cualquier otra prima o descuento.</w:t>
      </w:r>
    </w:p>
    <w:p w14:paraId="49C6588E" w14:textId="77777777" w:rsidR="00B948D5" w:rsidRPr="00740611" w:rsidRDefault="00B948D5" w:rsidP="00B948D5">
      <w:pPr>
        <w:spacing w:after="0" w:line="240" w:lineRule="auto"/>
        <w:rPr>
          <w:rFonts w:eastAsia="Cambria" w:cs="Arial"/>
          <w:color w:val="000000"/>
          <w:szCs w:val="24"/>
          <w:lang w:eastAsia="es-CR"/>
        </w:rPr>
      </w:pPr>
    </w:p>
    <w:p w14:paraId="59401467" w14:textId="7F7B27A8" w:rsidR="00B948D5" w:rsidRPr="00E91F3C" w:rsidRDefault="00A123AD" w:rsidP="00B948D5">
      <w:pPr>
        <w:spacing w:before="120" w:after="0"/>
        <w:rPr>
          <w:rFonts w:eastAsia="Cambria" w:cs="Arial"/>
          <w:b/>
          <w:bCs/>
          <w:color w:val="000000"/>
          <w:lang w:eastAsia="es-CR"/>
        </w:rPr>
      </w:pPr>
      <w:r w:rsidRPr="00E91F3C">
        <w:rPr>
          <w:rFonts w:eastAsia="Cambria" w:cs="Arial"/>
          <w:b/>
          <w:bCs/>
          <w:color w:val="000000"/>
          <w:lang w:eastAsia="es-CR"/>
        </w:rPr>
        <w:t xml:space="preserve">Transferencias </w:t>
      </w:r>
      <w:r>
        <w:rPr>
          <w:rFonts w:eastAsia="Cambria" w:cs="Arial"/>
          <w:b/>
          <w:bCs/>
          <w:color w:val="000000"/>
          <w:lang w:eastAsia="es-CR"/>
        </w:rPr>
        <w:t>p</w:t>
      </w:r>
      <w:r w:rsidRPr="00E91F3C">
        <w:rPr>
          <w:rFonts w:eastAsia="Cambria" w:cs="Arial"/>
          <w:b/>
          <w:bCs/>
          <w:color w:val="000000"/>
          <w:lang w:eastAsia="es-CR"/>
        </w:rPr>
        <w:t>or Cobrar</w:t>
      </w:r>
    </w:p>
    <w:p w14:paraId="0A5BA4F0" w14:textId="77777777" w:rsidR="00B948D5" w:rsidRDefault="00B948D5" w:rsidP="00B948D5">
      <w:pPr>
        <w:spacing w:after="0" w:line="240" w:lineRule="auto"/>
        <w:rPr>
          <w:rFonts w:eastAsia="Cambria" w:cs="Arial"/>
          <w:color w:val="000000"/>
          <w:szCs w:val="24"/>
          <w:lang w:eastAsia="es-CR"/>
        </w:rPr>
      </w:pPr>
      <w:r w:rsidRPr="00740611">
        <w:rPr>
          <w:rFonts w:eastAsia="Cambria" w:cs="Arial"/>
          <w:color w:val="000000"/>
          <w:szCs w:val="24"/>
          <w:lang w:eastAsia="es-CR"/>
        </w:rPr>
        <w:t>Transferencias a Cobrar: comprende los créditos a favor de la Municipalidad de Buenos Aires, de carácter corriente, emergentes de obligaciones contraídas por terceros en concepto de ingresos de parte de personas, entes y órganos del sector público, privado y externo, con el fin de satisfacer necesidades públicas de diversa índole, sin cargo de devolución y sin que medie una contraprestación de bienes, servicios o derechos, según lo indica el Manual Funcional de Cuentas Contables en el punto 1.1.3.06., páginas 246, 247.</w:t>
      </w:r>
    </w:p>
    <w:p w14:paraId="78D345C7" w14:textId="77777777" w:rsidR="00B948D5" w:rsidRPr="00740611" w:rsidRDefault="00B948D5" w:rsidP="00B948D5">
      <w:pPr>
        <w:spacing w:after="120" w:line="240" w:lineRule="auto"/>
        <w:rPr>
          <w:rFonts w:eastAsia="Cambria" w:cs="Arial"/>
          <w:color w:val="000000"/>
          <w:szCs w:val="24"/>
          <w:lang w:eastAsia="es-CR"/>
        </w:rPr>
      </w:pPr>
    </w:p>
    <w:p w14:paraId="5C28E524" w14:textId="77777777" w:rsidR="00B948D5" w:rsidRPr="00E91F3C" w:rsidRDefault="00B948D5" w:rsidP="00B948D5">
      <w:pPr>
        <w:spacing w:after="0"/>
        <w:rPr>
          <w:rFonts w:eastAsia="Cambria" w:cs="Arial"/>
          <w:b/>
          <w:bCs/>
          <w:color w:val="000000"/>
          <w:lang w:eastAsia="es-CR"/>
        </w:rPr>
      </w:pPr>
      <w:r w:rsidRPr="00E91F3C">
        <w:rPr>
          <w:rFonts w:eastAsia="Cambria" w:cs="Arial"/>
          <w:b/>
          <w:bCs/>
          <w:color w:val="000000"/>
          <w:lang w:eastAsia="es-CR"/>
        </w:rPr>
        <w:t>Inventarios</w:t>
      </w:r>
    </w:p>
    <w:p w14:paraId="27EB8E0A" w14:textId="77777777" w:rsidR="00B948D5" w:rsidRDefault="00B948D5" w:rsidP="00B948D5">
      <w:pPr>
        <w:spacing w:after="120" w:line="240" w:lineRule="auto"/>
        <w:rPr>
          <w:rFonts w:eastAsia="Cambria" w:cs="Arial"/>
          <w:color w:val="000000"/>
          <w:szCs w:val="24"/>
          <w:lang w:eastAsia="es-CR"/>
        </w:rPr>
      </w:pPr>
      <w:r w:rsidRPr="00D65F43">
        <w:rPr>
          <w:rFonts w:eastAsia="Cambria" w:cs="Arial"/>
          <w:color w:val="000000"/>
          <w:szCs w:val="24"/>
          <w:lang w:eastAsia="es-CR"/>
        </w:rPr>
        <w:t>Los inventarios se reconocen como activos al momento de su ingreso a la bodega al costo. Las existencias en bodega se valoran por medio del método Primera en Entrar Primera en Salir “PEPS”, según lo establecido en las políticas generales emitidas por la Dirección General de Contabilidad Nacional (DGCN). Además, la Municipalidad actualmente tiene como política para su manejo utilizar el sistema de inventario “Periódico”, lo que exige realizar una toma física del inventario total al final del año.</w:t>
      </w:r>
    </w:p>
    <w:p w14:paraId="12B4E80F" w14:textId="77777777" w:rsidR="00B948D5" w:rsidRPr="00D65F43" w:rsidRDefault="00B948D5" w:rsidP="00B948D5">
      <w:pPr>
        <w:spacing w:after="0" w:line="240" w:lineRule="auto"/>
        <w:rPr>
          <w:rFonts w:eastAsia="Cambria" w:cs="Arial"/>
          <w:color w:val="000000"/>
          <w:szCs w:val="24"/>
          <w:lang w:eastAsia="es-CR"/>
        </w:rPr>
      </w:pPr>
    </w:p>
    <w:p w14:paraId="4137336F" w14:textId="77777777" w:rsidR="00B948D5" w:rsidRPr="00E91F3C" w:rsidRDefault="00B948D5" w:rsidP="00B948D5">
      <w:pPr>
        <w:spacing w:after="0"/>
        <w:rPr>
          <w:rFonts w:eastAsia="Cambria" w:cs="Arial"/>
          <w:b/>
          <w:bCs/>
          <w:color w:val="000000"/>
          <w:lang w:eastAsia="es-CR"/>
        </w:rPr>
      </w:pPr>
      <w:r w:rsidRPr="00E91F3C">
        <w:rPr>
          <w:rFonts w:eastAsia="Cambria" w:cs="Arial"/>
          <w:b/>
          <w:bCs/>
          <w:color w:val="000000"/>
          <w:lang w:eastAsia="es-CR"/>
        </w:rPr>
        <w:t>Activo Propiedad Planta y Equipo</w:t>
      </w:r>
    </w:p>
    <w:p w14:paraId="7DBCF4B3" w14:textId="77777777" w:rsidR="00B948D5" w:rsidRPr="00D65F43" w:rsidRDefault="00B948D5" w:rsidP="00B948D5">
      <w:pPr>
        <w:spacing w:line="240" w:lineRule="auto"/>
        <w:rPr>
          <w:rFonts w:eastAsia="Cambria" w:cs="Arial"/>
          <w:color w:val="000000"/>
          <w:szCs w:val="24"/>
          <w:lang w:eastAsia="es-CR"/>
        </w:rPr>
      </w:pPr>
      <w:r w:rsidRPr="00D65F43">
        <w:rPr>
          <w:rFonts w:eastAsia="Cambria" w:cs="Arial"/>
          <w:color w:val="000000"/>
          <w:szCs w:val="24"/>
          <w:lang w:eastAsia="es-CR"/>
        </w:rPr>
        <w:t>Un elemento del activo Propiedad Planta y Equipo se reconocerá como activo si cumple con las características: de que es probable que el Municipalidad de Buenos Aires reciba beneficios económicos o potenciales servicios asociados al activo; y su valor pueda ser establecido de forma fiable.</w:t>
      </w:r>
    </w:p>
    <w:p w14:paraId="55046CE3" w14:textId="77777777" w:rsidR="00B948D5" w:rsidRPr="00D65F43" w:rsidRDefault="00B948D5" w:rsidP="00B948D5">
      <w:pPr>
        <w:spacing w:line="240" w:lineRule="auto"/>
        <w:rPr>
          <w:rFonts w:eastAsia="Cambria" w:cs="Arial"/>
          <w:color w:val="000000"/>
          <w:szCs w:val="24"/>
          <w:lang w:eastAsia="es-CR"/>
        </w:rPr>
      </w:pPr>
      <w:r w:rsidRPr="00D65F43">
        <w:rPr>
          <w:rFonts w:eastAsia="Cambria" w:cs="Arial"/>
          <w:color w:val="000000"/>
          <w:szCs w:val="24"/>
          <w:lang w:eastAsia="es-CR"/>
        </w:rPr>
        <w:t>Los elementos de propiedades, planta y equipo se contabilizarán inicialmente por su costo y en el caso de activos adquiridos sin costo, o por un costo insignificante se valorará a su valor razonable en la fecha de la adquisición. Con posterioridad al reconocimiento inicial, el importe en libros de un elemento de propiedad, planta y equipo se establecerá por su costo menos la depreciación acumulada y el importe acumulado de las pérdidas por deterioro del valor.</w:t>
      </w:r>
    </w:p>
    <w:p w14:paraId="25D23607" w14:textId="77777777" w:rsidR="00B948D5" w:rsidRDefault="00B948D5" w:rsidP="00B948D5">
      <w:pPr>
        <w:spacing w:after="120" w:line="240" w:lineRule="auto"/>
        <w:rPr>
          <w:rFonts w:eastAsia="Cambria" w:cs="Arial"/>
          <w:color w:val="000000"/>
          <w:szCs w:val="24"/>
          <w:lang w:eastAsia="es-CR"/>
        </w:rPr>
      </w:pPr>
      <w:r w:rsidRPr="00D65F43">
        <w:rPr>
          <w:rFonts w:eastAsia="Cambria" w:cs="Arial"/>
          <w:color w:val="000000"/>
          <w:szCs w:val="24"/>
          <w:lang w:eastAsia="es-CR"/>
        </w:rPr>
        <w:t>La Municipalidad de Buenos Aires tiene como política, depreciar los elementos de propiedad, planta y equipo por medio del método de línea recta durante la vida útil de los mismos, y la vida útil de los activos es la establecida por la DGCN en la directriz CN-001-2009 del 23 de noviembre de 2009.</w:t>
      </w:r>
    </w:p>
    <w:p w14:paraId="0C6F8429" w14:textId="77777777" w:rsidR="00B948D5" w:rsidRPr="00D65F43" w:rsidRDefault="00B948D5" w:rsidP="00B948D5">
      <w:pPr>
        <w:spacing w:after="0" w:line="240" w:lineRule="auto"/>
        <w:rPr>
          <w:rFonts w:eastAsia="Cambria" w:cs="Arial"/>
          <w:color w:val="000000"/>
          <w:szCs w:val="24"/>
          <w:lang w:eastAsia="es-CR"/>
        </w:rPr>
      </w:pPr>
    </w:p>
    <w:p w14:paraId="2D2DD5AA" w14:textId="77777777" w:rsidR="00B948D5" w:rsidRPr="00E91F3C" w:rsidRDefault="00B948D5" w:rsidP="00B948D5">
      <w:pPr>
        <w:spacing w:after="0"/>
        <w:rPr>
          <w:rFonts w:eastAsia="Cambria" w:cs="Arial"/>
          <w:b/>
          <w:bCs/>
          <w:color w:val="000000"/>
          <w:lang w:eastAsia="es-CR"/>
        </w:rPr>
      </w:pPr>
      <w:r w:rsidRPr="00E91F3C">
        <w:rPr>
          <w:rFonts w:eastAsia="Cambria" w:cs="Arial"/>
          <w:b/>
          <w:bCs/>
          <w:color w:val="000000"/>
          <w:lang w:eastAsia="es-CR"/>
        </w:rPr>
        <w:t>Propiedades de Inversión</w:t>
      </w:r>
    </w:p>
    <w:p w14:paraId="526A9A25" w14:textId="77777777" w:rsidR="00B948D5" w:rsidRDefault="00B948D5" w:rsidP="00B948D5">
      <w:pPr>
        <w:spacing w:after="120" w:line="240" w:lineRule="auto"/>
        <w:rPr>
          <w:rFonts w:eastAsia="Cambria" w:cs="Arial"/>
          <w:color w:val="000000"/>
          <w:szCs w:val="24"/>
          <w:lang w:eastAsia="es-CR"/>
        </w:rPr>
      </w:pPr>
      <w:r w:rsidRPr="00D65F43">
        <w:rPr>
          <w:rFonts w:eastAsia="Cambria" w:cs="Arial"/>
          <w:color w:val="000000"/>
          <w:szCs w:val="24"/>
          <w:lang w:eastAsia="es-CR"/>
        </w:rPr>
        <w:t>La Municipalidad tiene establecido que las Propiedades de Inversión medirán inicialmente a su costo (los costos asociados a la transacción deben incluirse en la medición inicial) y cuando se adquiere una propiedad de inversión a través de una transacción sin contraprestación, su costo se medirá a su valor razonable en la fecha de adquisición, se depreciarán por medio del método de línea recta durante la vida útil de los mismos, y la vida útil de los activos es la establecida por la DGCN en la directriz CN-001-2009 del 23 de noviembre de 2009.</w:t>
      </w:r>
    </w:p>
    <w:p w14:paraId="5EA870E8" w14:textId="77777777" w:rsidR="00B948D5" w:rsidRPr="00D65F43" w:rsidRDefault="00B948D5" w:rsidP="00B948D5">
      <w:pPr>
        <w:spacing w:after="0" w:line="240" w:lineRule="auto"/>
        <w:rPr>
          <w:rFonts w:eastAsia="Cambria" w:cs="Arial"/>
          <w:color w:val="000000"/>
          <w:szCs w:val="24"/>
          <w:lang w:eastAsia="es-CR"/>
        </w:rPr>
      </w:pPr>
    </w:p>
    <w:p w14:paraId="7F004A98" w14:textId="77777777" w:rsidR="00B948D5" w:rsidRPr="00E91F3C" w:rsidRDefault="00B948D5" w:rsidP="00B948D5">
      <w:pPr>
        <w:spacing w:after="0"/>
        <w:rPr>
          <w:rFonts w:eastAsia="Cambria" w:cs="Arial"/>
          <w:b/>
          <w:bCs/>
          <w:color w:val="000000"/>
          <w:lang w:eastAsia="es-CR"/>
        </w:rPr>
      </w:pPr>
      <w:r w:rsidRPr="00E91F3C">
        <w:rPr>
          <w:rFonts w:eastAsia="Cambria" w:cs="Arial"/>
          <w:b/>
          <w:bCs/>
          <w:color w:val="000000"/>
          <w:lang w:eastAsia="es-CR"/>
        </w:rPr>
        <w:t>Bienes de infraestructura y de beneficio y uso público</w:t>
      </w:r>
    </w:p>
    <w:p w14:paraId="493AB303" w14:textId="77777777" w:rsidR="00B948D5" w:rsidRPr="00D65F43" w:rsidRDefault="00B948D5" w:rsidP="00B948D5">
      <w:pPr>
        <w:spacing w:line="240" w:lineRule="auto"/>
        <w:rPr>
          <w:rFonts w:eastAsia="Cambria" w:cs="Arial"/>
          <w:color w:val="000000"/>
          <w:szCs w:val="24"/>
          <w:lang w:eastAsia="es-CR"/>
        </w:rPr>
      </w:pPr>
      <w:r w:rsidRPr="00D65F43">
        <w:rPr>
          <w:rFonts w:eastAsia="Cambria" w:cs="Arial"/>
          <w:color w:val="000000"/>
          <w:szCs w:val="24"/>
          <w:lang w:eastAsia="es-CR"/>
        </w:rPr>
        <w:t>Se consideran bienes de infraestructura las que cumplen con alguna de las siguientes características (o todas ellas): son parte de un sistema o red; son de naturaleza especializada y no tienen usos alternativos; no pueden moverse; son de uso público y pueden estar sujetos a limitaciones con respecto a su disposición.</w:t>
      </w:r>
    </w:p>
    <w:p w14:paraId="6BF2556D" w14:textId="77777777" w:rsidR="00B948D5" w:rsidRDefault="00B948D5" w:rsidP="00B948D5">
      <w:pPr>
        <w:spacing w:after="120" w:line="240" w:lineRule="auto"/>
        <w:rPr>
          <w:rFonts w:eastAsia="Cambria" w:cs="Arial"/>
          <w:color w:val="000000"/>
          <w:szCs w:val="24"/>
          <w:lang w:eastAsia="es-CR"/>
        </w:rPr>
      </w:pPr>
      <w:r w:rsidRPr="00D65F43">
        <w:rPr>
          <w:rFonts w:eastAsia="Cambria" w:cs="Arial"/>
          <w:color w:val="000000"/>
          <w:szCs w:val="24"/>
          <w:lang w:eastAsia="es-CR"/>
        </w:rPr>
        <w:t>Las infraestructuras cumplen con la definición de propiedades, planta y equipo y deberán contabilizarse según la NICSP 17.</w:t>
      </w:r>
    </w:p>
    <w:p w14:paraId="4AC4208C" w14:textId="77777777" w:rsidR="00B948D5" w:rsidRPr="00D65F43" w:rsidRDefault="00B948D5" w:rsidP="00B948D5">
      <w:pPr>
        <w:spacing w:after="0" w:line="240" w:lineRule="auto"/>
        <w:rPr>
          <w:rFonts w:eastAsia="Cambria" w:cs="Arial"/>
          <w:color w:val="000000"/>
          <w:szCs w:val="24"/>
          <w:lang w:eastAsia="es-CR"/>
        </w:rPr>
      </w:pPr>
    </w:p>
    <w:p w14:paraId="61216EB4" w14:textId="77777777" w:rsidR="00B948D5" w:rsidRPr="00E91F3C" w:rsidRDefault="00B948D5" w:rsidP="00B948D5">
      <w:pPr>
        <w:spacing w:after="0"/>
        <w:rPr>
          <w:rFonts w:eastAsia="Cambria" w:cs="Arial"/>
          <w:b/>
          <w:bCs/>
          <w:color w:val="000000"/>
          <w:lang w:eastAsia="es-CR"/>
        </w:rPr>
      </w:pPr>
      <w:r w:rsidRPr="00E91F3C">
        <w:rPr>
          <w:rFonts w:eastAsia="Cambria" w:cs="Arial"/>
          <w:b/>
          <w:bCs/>
          <w:color w:val="000000"/>
          <w:lang w:eastAsia="es-CR"/>
        </w:rPr>
        <w:t>Bienes Intangibles</w:t>
      </w:r>
    </w:p>
    <w:p w14:paraId="5AA0D30B" w14:textId="77777777" w:rsidR="00B948D5" w:rsidRPr="00D65F43" w:rsidRDefault="00B948D5" w:rsidP="00B948D5">
      <w:pPr>
        <w:spacing w:line="240" w:lineRule="auto"/>
        <w:rPr>
          <w:rFonts w:eastAsia="Cambria" w:cs="Arial"/>
          <w:color w:val="000000"/>
          <w:szCs w:val="24"/>
          <w:lang w:eastAsia="es-CR"/>
        </w:rPr>
      </w:pPr>
      <w:r w:rsidRPr="00D65F43">
        <w:rPr>
          <w:rFonts w:eastAsia="Cambria" w:cs="Arial"/>
          <w:color w:val="000000"/>
          <w:szCs w:val="24"/>
          <w:lang w:eastAsia="es-CR"/>
        </w:rPr>
        <w:t>Un bien activo intangible se reconocerá como tal, si es probable que los beneficios económicos y potencial de servicio futuros del bien intangible fluyan a la Municipalidad de Buenos Aires; y el valor del activo pueda ser medido con fiabilidad.</w:t>
      </w:r>
    </w:p>
    <w:p w14:paraId="66CD3D29" w14:textId="77777777" w:rsidR="00B948D5" w:rsidRDefault="00B948D5" w:rsidP="00B948D5">
      <w:pPr>
        <w:spacing w:after="120" w:line="240" w:lineRule="auto"/>
        <w:rPr>
          <w:rFonts w:eastAsia="Cambria" w:cs="Arial"/>
          <w:color w:val="000000"/>
          <w:szCs w:val="24"/>
          <w:lang w:eastAsia="es-CR"/>
        </w:rPr>
      </w:pPr>
      <w:r w:rsidRPr="00D65F43">
        <w:rPr>
          <w:rFonts w:eastAsia="Cambria" w:cs="Arial"/>
          <w:color w:val="000000"/>
          <w:szCs w:val="24"/>
          <w:lang w:eastAsia="es-CR"/>
        </w:rPr>
        <w:t>Serán reconocidos cuando estén con las condiciones requeridas para su uso y se medirá inicialmente por su costo; y en el caso de activos adquiridos sin costo, o por un costo insignificante, se valorará a su valor razonable en la fecha de la adquisición. Los activos intangibles con vida definida se amortizarán utilizando el método de línea recta durante su vida útil.</w:t>
      </w:r>
    </w:p>
    <w:p w14:paraId="6AB04ADF" w14:textId="77777777" w:rsidR="00B948D5" w:rsidRPr="00D65F43" w:rsidRDefault="00B948D5" w:rsidP="00B948D5">
      <w:pPr>
        <w:spacing w:after="0" w:line="240" w:lineRule="auto"/>
        <w:rPr>
          <w:rFonts w:eastAsia="Cambria" w:cs="Arial"/>
          <w:color w:val="000000"/>
          <w:szCs w:val="24"/>
          <w:lang w:eastAsia="es-CR"/>
        </w:rPr>
      </w:pPr>
    </w:p>
    <w:p w14:paraId="08354C52" w14:textId="77777777" w:rsidR="00B948D5" w:rsidRPr="00E91F3C" w:rsidRDefault="00B948D5" w:rsidP="00B948D5">
      <w:pPr>
        <w:spacing w:after="0"/>
        <w:rPr>
          <w:rFonts w:eastAsia="Cambria" w:cs="Arial"/>
          <w:b/>
          <w:bCs/>
          <w:color w:val="000000"/>
          <w:lang w:eastAsia="es-CR"/>
        </w:rPr>
      </w:pPr>
      <w:r w:rsidRPr="00E91F3C">
        <w:rPr>
          <w:rFonts w:eastAsia="Cambria" w:cs="Arial"/>
          <w:b/>
          <w:bCs/>
          <w:color w:val="000000"/>
          <w:lang w:eastAsia="es-CR"/>
        </w:rPr>
        <w:t>Activos Contingentes</w:t>
      </w:r>
    </w:p>
    <w:p w14:paraId="7FBD8A33" w14:textId="77777777" w:rsidR="00B948D5" w:rsidRPr="00D65F43" w:rsidRDefault="00B948D5" w:rsidP="00B948D5">
      <w:pPr>
        <w:spacing w:line="240" w:lineRule="auto"/>
        <w:rPr>
          <w:rFonts w:eastAsia="Cambria" w:cs="Arial"/>
          <w:color w:val="000000"/>
          <w:szCs w:val="24"/>
          <w:lang w:eastAsia="es-CR"/>
        </w:rPr>
      </w:pPr>
      <w:r w:rsidRPr="00D65F43">
        <w:rPr>
          <w:rFonts w:eastAsia="Cambria" w:cs="Arial"/>
          <w:color w:val="000000"/>
          <w:szCs w:val="24"/>
          <w:lang w:eastAsia="es-CR"/>
        </w:rPr>
        <w:t>La Municipalidad tiene establecido que se revelarán dentro de las notas a los estados financieros los activos contingentes que identifique la administración cuando exista una sentencia (primera y segunda instancia), que de indicio de una probabilidad cierta de entrada de recursos (entre 50% y 90%); y se reconocerá como activo puro (Cuenta por Cobrar), cuando exista una sentencia en firme o de instancia final (Casación).</w:t>
      </w:r>
    </w:p>
    <w:p w14:paraId="256BD15F" w14:textId="77777777" w:rsidR="00B948D5" w:rsidRDefault="00B948D5" w:rsidP="00B948D5">
      <w:pPr>
        <w:spacing w:after="0" w:line="240" w:lineRule="auto"/>
        <w:rPr>
          <w:rFonts w:eastAsia="Cambria" w:cs="Arial"/>
          <w:color w:val="000000"/>
          <w:lang w:eastAsia="es-CR"/>
        </w:rPr>
      </w:pPr>
    </w:p>
    <w:p w14:paraId="344BF351" w14:textId="77777777" w:rsidR="00B948D5" w:rsidRPr="00E91F3C" w:rsidRDefault="00B948D5" w:rsidP="00B948D5">
      <w:pPr>
        <w:rPr>
          <w:rFonts w:eastAsia="Cambria" w:cs="Arial"/>
          <w:b/>
          <w:bCs/>
          <w:color w:val="000000"/>
          <w:lang w:eastAsia="es-CR"/>
        </w:rPr>
      </w:pPr>
      <w:r w:rsidRPr="00E91F3C">
        <w:rPr>
          <w:rFonts w:eastAsia="Cambria" w:cs="Arial"/>
          <w:b/>
          <w:bCs/>
          <w:color w:val="000000"/>
          <w:lang w:eastAsia="es-CR"/>
        </w:rPr>
        <w:t>PASIVOS</w:t>
      </w:r>
    </w:p>
    <w:p w14:paraId="60C2410B" w14:textId="77777777" w:rsidR="00B948D5" w:rsidRPr="00E91F3C" w:rsidRDefault="00B948D5" w:rsidP="00B948D5">
      <w:pPr>
        <w:spacing w:after="0"/>
        <w:rPr>
          <w:rFonts w:eastAsia="Cambria" w:cs="Arial"/>
          <w:b/>
          <w:bCs/>
          <w:color w:val="000000"/>
          <w:lang w:eastAsia="es-CR"/>
        </w:rPr>
      </w:pPr>
      <w:r w:rsidRPr="00E91F3C">
        <w:rPr>
          <w:rFonts w:eastAsia="Cambria" w:cs="Arial"/>
          <w:b/>
          <w:bCs/>
          <w:color w:val="000000"/>
          <w:lang w:eastAsia="es-CR"/>
        </w:rPr>
        <w:t>Cuentas por Pagar</w:t>
      </w:r>
    </w:p>
    <w:p w14:paraId="17461BF0" w14:textId="77777777" w:rsidR="00B948D5" w:rsidRPr="00D65F43" w:rsidRDefault="00B948D5" w:rsidP="00B948D5">
      <w:pPr>
        <w:spacing w:after="120" w:line="240" w:lineRule="auto"/>
        <w:rPr>
          <w:rFonts w:eastAsia="Cambria" w:cs="Arial"/>
          <w:color w:val="000000"/>
          <w:szCs w:val="24"/>
          <w:lang w:eastAsia="es-CR"/>
        </w:rPr>
      </w:pPr>
      <w:r w:rsidRPr="00D65F43">
        <w:rPr>
          <w:rFonts w:eastAsia="Cambria" w:cs="Arial"/>
          <w:color w:val="000000"/>
          <w:szCs w:val="24"/>
          <w:lang w:eastAsia="es-CR"/>
        </w:rPr>
        <w:t>Comprende el valor de las obligaciones de corto plazo contraídas por la Municipalidad con proveedores locales por concepto de adquisición de bienes y servicios requeridos para el desarrollo de las actividades sustantivas y administrativas. Las cuentas por pagar comerciales se reconocen de forma inicial al valor razonable.</w:t>
      </w:r>
    </w:p>
    <w:p w14:paraId="77AA90F6" w14:textId="77777777" w:rsidR="00B948D5" w:rsidRPr="005E5249" w:rsidRDefault="00B948D5" w:rsidP="00B948D5">
      <w:pPr>
        <w:spacing w:after="0" w:line="240" w:lineRule="auto"/>
        <w:rPr>
          <w:rFonts w:eastAsia="Cambria" w:cs="Arial"/>
          <w:color w:val="000000"/>
          <w:sz w:val="22"/>
          <w:lang w:eastAsia="es-CR"/>
        </w:rPr>
      </w:pPr>
    </w:p>
    <w:p w14:paraId="65883835" w14:textId="77777777" w:rsidR="00B948D5" w:rsidRPr="00E91F3C" w:rsidRDefault="00B948D5" w:rsidP="00B948D5">
      <w:pPr>
        <w:spacing w:after="0"/>
        <w:rPr>
          <w:rFonts w:eastAsia="Cambria" w:cs="Arial"/>
          <w:b/>
          <w:bCs/>
          <w:color w:val="000000"/>
          <w:lang w:eastAsia="es-CR"/>
        </w:rPr>
      </w:pPr>
      <w:r w:rsidRPr="00E91F3C">
        <w:rPr>
          <w:rFonts w:eastAsia="Cambria" w:cs="Arial"/>
          <w:b/>
          <w:bCs/>
          <w:color w:val="000000"/>
          <w:lang w:eastAsia="es-CR"/>
        </w:rPr>
        <w:t>Documentos por Pagar</w:t>
      </w:r>
    </w:p>
    <w:p w14:paraId="35E1396C" w14:textId="77777777" w:rsidR="00B948D5" w:rsidRPr="00D65F43" w:rsidRDefault="00B948D5" w:rsidP="00B948D5">
      <w:pPr>
        <w:spacing w:line="240" w:lineRule="auto"/>
        <w:rPr>
          <w:rFonts w:eastAsia="Cambria" w:cs="Arial"/>
          <w:color w:val="000000"/>
          <w:szCs w:val="24"/>
          <w:lang w:eastAsia="es-CR"/>
        </w:rPr>
      </w:pPr>
      <w:r w:rsidRPr="00D65F43">
        <w:rPr>
          <w:rFonts w:eastAsia="Cambria" w:cs="Arial"/>
          <w:color w:val="000000"/>
          <w:szCs w:val="24"/>
          <w:lang w:eastAsia="es-CR"/>
        </w:rPr>
        <w:t>Esta categoría de pasivos incluye diversas operaciones de crédito que la Municipalidad de Buenos Aires ha formalizado con entidades financieras nacionales y con el Instituto de Fomento y Asesoría Municipal (IFAM) fundamentalmente. Este tipo de obligaciones se reconocen inicialmente con base en la suscripción de contratos de crédito suscrito al valor razonable más o menos los costos de la transacción que eventualmente sean atribuibles a la formalización de dichos convenios de crédito.</w:t>
      </w:r>
    </w:p>
    <w:p w14:paraId="1C64BADB" w14:textId="77777777" w:rsidR="00B948D5" w:rsidRDefault="00B948D5" w:rsidP="00B948D5">
      <w:pPr>
        <w:spacing w:after="120" w:line="240" w:lineRule="auto"/>
        <w:rPr>
          <w:rFonts w:eastAsia="Cambria" w:cs="Arial"/>
          <w:color w:val="000000"/>
          <w:szCs w:val="24"/>
          <w:lang w:eastAsia="es-CR"/>
        </w:rPr>
      </w:pPr>
      <w:r w:rsidRPr="00D65F43">
        <w:rPr>
          <w:rFonts w:eastAsia="Cambria" w:cs="Arial"/>
          <w:color w:val="000000"/>
          <w:szCs w:val="24"/>
          <w:lang w:eastAsia="es-CR"/>
        </w:rPr>
        <w:t>La medición posterior de este tipo de pasivos se realizará al costo amortizado a la tasa de interés efectiva. En el caso de este tipo de pasivos financieros, el costo amortizado está representado por el principal del convenio de crédito, menos las amortizaciones a dicho principal, más o menos las primas o descuentos (pagadas o recibidas) al momento de la suscripción del contrato de crédito. La amortización de las primas o descuentos antes referidos se lleva a cabo utilizando el método del interés efectivo.</w:t>
      </w:r>
    </w:p>
    <w:p w14:paraId="5F611622" w14:textId="77777777" w:rsidR="00B948D5" w:rsidRPr="00D65F43" w:rsidRDefault="00B948D5" w:rsidP="00B948D5">
      <w:pPr>
        <w:spacing w:after="0" w:line="240" w:lineRule="auto"/>
        <w:rPr>
          <w:rFonts w:eastAsia="Cambria" w:cs="Arial"/>
          <w:color w:val="000000"/>
          <w:szCs w:val="24"/>
          <w:lang w:eastAsia="es-CR"/>
        </w:rPr>
      </w:pPr>
    </w:p>
    <w:p w14:paraId="2A9B077F" w14:textId="77777777" w:rsidR="00B948D5" w:rsidRPr="00E91F3C" w:rsidRDefault="00B948D5" w:rsidP="00B948D5">
      <w:pPr>
        <w:spacing w:after="0"/>
        <w:rPr>
          <w:rFonts w:eastAsia="Cambria" w:cs="Arial"/>
          <w:b/>
          <w:bCs/>
          <w:color w:val="000000"/>
          <w:lang w:eastAsia="es-CR"/>
        </w:rPr>
      </w:pPr>
      <w:r w:rsidRPr="00E91F3C">
        <w:rPr>
          <w:rFonts w:eastAsia="Cambria" w:cs="Arial"/>
          <w:b/>
          <w:bCs/>
          <w:color w:val="000000"/>
          <w:lang w:eastAsia="es-CR"/>
        </w:rPr>
        <w:t>Pasivo contingente</w:t>
      </w:r>
    </w:p>
    <w:p w14:paraId="187B5141" w14:textId="77777777" w:rsidR="00B948D5" w:rsidRPr="00D65F43" w:rsidRDefault="00B948D5" w:rsidP="00B948D5">
      <w:pPr>
        <w:spacing w:line="240" w:lineRule="auto"/>
        <w:rPr>
          <w:rFonts w:eastAsia="Cambria" w:cs="Arial"/>
          <w:color w:val="000000"/>
          <w:szCs w:val="24"/>
          <w:lang w:eastAsia="es-CR"/>
        </w:rPr>
      </w:pPr>
      <w:r w:rsidRPr="00D65F43">
        <w:rPr>
          <w:rFonts w:eastAsia="Cambria" w:cs="Arial"/>
          <w:color w:val="000000"/>
          <w:szCs w:val="24"/>
          <w:lang w:eastAsia="es-CR"/>
        </w:rPr>
        <w:t>Los pasivos contingentes deben informarse en las notas a los EEFF. Como parte del proceso de cierre, trimestralmente el Departamento de Asesoría Jurídica enviará la información según los formatos preestablecidos, para que la Contabilidad juzgue realizar los registros o revelaciones pertinentes. Los pasivos contingentes han de ser objeto de evaluación de forma continua para asegurar que su evolución esté reflejada adecuadamente en los EEFF.</w:t>
      </w:r>
    </w:p>
    <w:p w14:paraId="4DE8F458" w14:textId="77777777" w:rsidR="00B948D5" w:rsidRDefault="00B948D5" w:rsidP="00B948D5">
      <w:pPr>
        <w:spacing w:after="120" w:line="240" w:lineRule="auto"/>
        <w:rPr>
          <w:rFonts w:eastAsia="Cambria" w:cs="Arial"/>
          <w:color w:val="000000"/>
          <w:szCs w:val="24"/>
          <w:lang w:eastAsia="es-CR"/>
        </w:rPr>
      </w:pPr>
      <w:r w:rsidRPr="00D65F43">
        <w:rPr>
          <w:rFonts w:eastAsia="Cambria" w:cs="Arial"/>
          <w:color w:val="000000"/>
          <w:szCs w:val="24"/>
          <w:lang w:eastAsia="es-CR"/>
        </w:rPr>
        <w:t>El Municipalidad de Buenos Aires valuará mediante el análisis de la información previamente acordada y suministrada por la Dirección de Asuntos Jurídicos, si debe registrar un pasivo contingente que surge de una acción legal tomada contra el Municipalidad de Buenos Aires. Esto debido a que son obligaciones ligadas a una probabilidad de que se materialice el evento que surge a raíz de eventos pasados. Además, muchas veces es probable que dicha obligación no requiera que el Municipalidad de Buenos Aires se desprenda de recursos del Registro o que la obligación no pueda ser medida con suficiente fiabilidad.</w:t>
      </w:r>
    </w:p>
    <w:p w14:paraId="7CF2A39D" w14:textId="77777777" w:rsidR="00B948D5" w:rsidRPr="00D65F43" w:rsidRDefault="00B948D5" w:rsidP="00B948D5">
      <w:pPr>
        <w:spacing w:after="0" w:line="240" w:lineRule="auto"/>
        <w:rPr>
          <w:rFonts w:eastAsia="Cambria" w:cs="Arial"/>
          <w:color w:val="000000"/>
          <w:szCs w:val="24"/>
          <w:lang w:eastAsia="es-CR"/>
        </w:rPr>
      </w:pPr>
    </w:p>
    <w:p w14:paraId="037BC177" w14:textId="77777777" w:rsidR="00B948D5" w:rsidRPr="00E91F3C" w:rsidRDefault="00B948D5" w:rsidP="00B948D5">
      <w:pPr>
        <w:spacing w:after="0"/>
        <w:rPr>
          <w:rFonts w:eastAsia="Cambria" w:cs="Arial"/>
          <w:b/>
          <w:bCs/>
          <w:color w:val="000000"/>
          <w:lang w:eastAsia="es-CR"/>
        </w:rPr>
      </w:pPr>
      <w:r w:rsidRPr="00E91F3C">
        <w:rPr>
          <w:rFonts w:eastAsia="Cambria" w:cs="Arial"/>
          <w:b/>
          <w:bCs/>
          <w:color w:val="000000"/>
          <w:lang w:eastAsia="es-CR"/>
        </w:rPr>
        <w:t>Provisiones</w:t>
      </w:r>
    </w:p>
    <w:p w14:paraId="3DB9966C" w14:textId="77777777" w:rsidR="00B948D5" w:rsidRPr="00D65F43" w:rsidRDefault="00B948D5" w:rsidP="00B948D5">
      <w:pPr>
        <w:spacing w:line="240" w:lineRule="auto"/>
        <w:rPr>
          <w:rFonts w:eastAsia="Cambria" w:cs="Arial"/>
          <w:color w:val="000000"/>
          <w:szCs w:val="24"/>
          <w:lang w:eastAsia="es-CR"/>
        </w:rPr>
      </w:pPr>
      <w:r w:rsidRPr="00D65F43">
        <w:rPr>
          <w:rFonts w:eastAsia="Cambria" w:cs="Arial"/>
          <w:color w:val="000000"/>
          <w:szCs w:val="24"/>
          <w:lang w:eastAsia="es-CR"/>
        </w:rPr>
        <w:t>Las provisiones pueden distinguirse de otros pasivos, tales como los acreedores comerciales y otras obligaciones acumuladas (o devengadas) que son objeto de estimación, por la existencia de incertidumbre acerca del momento del vencimiento o de los montos de los desembolsos futuros necesarios para proceder a su cancelación.</w:t>
      </w:r>
    </w:p>
    <w:p w14:paraId="13CC7CD0" w14:textId="77777777" w:rsidR="00B948D5" w:rsidRPr="00D65F43" w:rsidRDefault="00B948D5" w:rsidP="00B948D5">
      <w:pPr>
        <w:spacing w:line="240" w:lineRule="auto"/>
        <w:rPr>
          <w:rFonts w:eastAsia="Cambria" w:cs="Arial"/>
          <w:color w:val="000000"/>
          <w:szCs w:val="24"/>
          <w:lang w:eastAsia="es-CR"/>
        </w:rPr>
      </w:pPr>
      <w:r w:rsidRPr="00D65F43">
        <w:rPr>
          <w:rFonts w:eastAsia="Cambria" w:cs="Arial"/>
          <w:color w:val="000000"/>
          <w:szCs w:val="24"/>
          <w:lang w:eastAsia="es-CR"/>
        </w:rPr>
        <w:t xml:space="preserve">Una provisión debe reconocerse cuando: se tiene una obligación presente (ya sea legal o implícita) como resultado de un suceso pasado; es probable que la Municipalidad de Buenos Aires tenga que desprenderse de recursos que incorporen beneficios económicos para cancelar tal obligación; y puede hacerse una estimación fiable del importe de la obligación. </w:t>
      </w:r>
    </w:p>
    <w:p w14:paraId="26DCE74B" w14:textId="44A66A99" w:rsidR="00B948D5" w:rsidRPr="00D65F43" w:rsidRDefault="00B948D5" w:rsidP="00B948D5">
      <w:pPr>
        <w:spacing w:line="240" w:lineRule="auto"/>
        <w:rPr>
          <w:rFonts w:eastAsia="Cambria" w:cs="Arial"/>
          <w:color w:val="000000"/>
          <w:szCs w:val="24"/>
          <w:lang w:eastAsia="es-CR"/>
        </w:rPr>
      </w:pPr>
      <w:r w:rsidRPr="00D65F43">
        <w:rPr>
          <w:rFonts w:eastAsia="Cambria" w:cs="Arial"/>
          <w:color w:val="000000"/>
          <w:szCs w:val="24"/>
          <w:lang w:eastAsia="es-CR"/>
        </w:rPr>
        <w:t xml:space="preserve">Para llegar a la mejor estimación de una provisión debe tenerse en cuenta los riesgos e incertidumbres que inevitablemente rodean a muchos sucesos </w:t>
      </w:r>
      <w:r w:rsidR="004653E2" w:rsidRPr="00D65F43">
        <w:rPr>
          <w:rFonts w:eastAsia="Cambria" w:cs="Arial"/>
          <w:color w:val="000000"/>
          <w:szCs w:val="24"/>
          <w:lang w:eastAsia="es-CR"/>
        </w:rPr>
        <w:t>y circunstancias</w:t>
      </w:r>
      <w:r w:rsidRPr="00D65F43">
        <w:rPr>
          <w:rFonts w:eastAsia="Cambria" w:cs="Arial"/>
          <w:color w:val="000000"/>
          <w:szCs w:val="24"/>
          <w:lang w:eastAsia="es-CR"/>
        </w:rPr>
        <w:t xml:space="preserve"> (Criterio técnico).</w:t>
      </w:r>
    </w:p>
    <w:p w14:paraId="03A1F6C6" w14:textId="77777777" w:rsidR="00B948D5" w:rsidRPr="00D65F43" w:rsidRDefault="00B948D5" w:rsidP="00B948D5">
      <w:pPr>
        <w:spacing w:line="240" w:lineRule="auto"/>
        <w:rPr>
          <w:rFonts w:eastAsia="Cambria" w:cs="Arial"/>
          <w:color w:val="000000"/>
          <w:szCs w:val="24"/>
          <w:lang w:eastAsia="es-CR"/>
        </w:rPr>
      </w:pPr>
      <w:r w:rsidRPr="00D65F43">
        <w:rPr>
          <w:rFonts w:eastAsia="Cambria" w:cs="Arial"/>
          <w:color w:val="000000"/>
          <w:szCs w:val="24"/>
          <w:lang w:eastAsia="es-CR"/>
        </w:rPr>
        <w:t>Las provisiones se deben revisar en cada fecha sobre la que se informa, y deben ajustarse, en su caso para reflejar la mejor estimación existente en ese momento.  Si ya no es probable que, para liquidar la obligación, se vaya a requerir de un flujo de salida de recursos que incorporen beneficios económicos o un potencial de servicio, se deberá revertir la provisión.</w:t>
      </w:r>
    </w:p>
    <w:p w14:paraId="7784CB30" w14:textId="77777777" w:rsidR="00B948D5" w:rsidRDefault="00B948D5" w:rsidP="00B948D5">
      <w:pPr>
        <w:spacing w:after="0"/>
        <w:rPr>
          <w:rFonts w:eastAsia="Cambria" w:cs="Arial"/>
          <w:b/>
          <w:bCs/>
          <w:color w:val="000000"/>
          <w:lang w:eastAsia="es-CR"/>
        </w:rPr>
      </w:pPr>
    </w:p>
    <w:p w14:paraId="3C73F8A8" w14:textId="77777777" w:rsidR="00B948D5" w:rsidRPr="00E91F3C" w:rsidRDefault="00B948D5" w:rsidP="00B948D5">
      <w:pPr>
        <w:rPr>
          <w:rFonts w:eastAsia="Cambria" w:cs="Arial"/>
          <w:b/>
          <w:bCs/>
          <w:color w:val="000000"/>
          <w:lang w:eastAsia="es-CR"/>
        </w:rPr>
      </w:pPr>
      <w:r w:rsidRPr="00E91F3C">
        <w:rPr>
          <w:rFonts w:eastAsia="Cambria" w:cs="Arial"/>
          <w:b/>
          <w:bCs/>
          <w:color w:val="000000"/>
          <w:lang w:eastAsia="es-CR"/>
        </w:rPr>
        <w:t>PATRIMONIO</w:t>
      </w:r>
    </w:p>
    <w:p w14:paraId="48172790" w14:textId="77777777" w:rsidR="00B948D5" w:rsidRPr="00E91F3C" w:rsidRDefault="00B948D5" w:rsidP="00B948D5">
      <w:pPr>
        <w:spacing w:after="0"/>
        <w:rPr>
          <w:rFonts w:eastAsia="Cambria" w:cs="Arial"/>
          <w:b/>
          <w:bCs/>
          <w:color w:val="000000"/>
          <w:lang w:eastAsia="es-CR"/>
        </w:rPr>
      </w:pPr>
      <w:r w:rsidRPr="00E91F3C">
        <w:rPr>
          <w:rFonts w:eastAsia="Cambria" w:cs="Arial"/>
          <w:b/>
          <w:bCs/>
          <w:color w:val="000000"/>
          <w:lang w:eastAsia="es-CR"/>
        </w:rPr>
        <w:t>Capital Inicial</w:t>
      </w:r>
    </w:p>
    <w:p w14:paraId="3B5593AF" w14:textId="77777777" w:rsidR="00B948D5" w:rsidRDefault="00B948D5" w:rsidP="00A123AD">
      <w:pPr>
        <w:spacing w:after="0" w:line="240" w:lineRule="auto"/>
        <w:rPr>
          <w:rFonts w:eastAsia="Cambria" w:cs="Arial"/>
          <w:color w:val="000000"/>
          <w:szCs w:val="24"/>
          <w:lang w:eastAsia="es-CR"/>
        </w:rPr>
      </w:pPr>
      <w:r w:rsidRPr="00DA6452">
        <w:rPr>
          <w:rFonts w:eastAsia="Cambria" w:cs="Arial"/>
          <w:color w:val="000000"/>
          <w:szCs w:val="24"/>
          <w:lang w:eastAsia="es-CR"/>
        </w:rPr>
        <w:t>El capital inicial está constituido por el valor de los recursos asignados al momento de su creación al inicio de la vida económica de la Municipalidad de Buenos Aires.</w:t>
      </w:r>
    </w:p>
    <w:p w14:paraId="5D0F6847" w14:textId="77777777" w:rsidR="00B948D5" w:rsidRPr="00DA6452" w:rsidRDefault="00B948D5" w:rsidP="00B948D5">
      <w:pPr>
        <w:spacing w:after="0" w:line="240" w:lineRule="auto"/>
        <w:rPr>
          <w:rFonts w:eastAsia="Cambria" w:cs="Arial"/>
          <w:color w:val="000000"/>
          <w:szCs w:val="24"/>
          <w:lang w:eastAsia="es-CR"/>
        </w:rPr>
      </w:pPr>
    </w:p>
    <w:p w14:paraId="3320657A" w14:textId="77777777" w:rsidR="00B948D5" w:rsidRPr="00E91F3C" w:rsidRDefault="00B948D5" w:rsidP="00B948D5">
      <w:pPr>
        <w:spacing w:after="0"/>
        <w:rPr>
          <w:rFonts w:eastAsia="Cambria" w:cs="Arial"/>
          <w:b/>
          <w:bCs/>
          <w:color w:val="000000"/>
          <w:lang w:eastAsia="es-CR"/>
        </w:rPr>
      </w:pPr>
      <w:r w:rsidRPr="00E91F3C">
        <w:rPr>
          <w:rFonts w:eastAsia="Cambria" w:cs="Arial"/>
          <w:b/>
          <w:bCs/>
          <w:color w:val="000000"/>
          <w:lang w:eastAsia="es-CR"/>
        </w:rPr>
        <w:t>Reservas</w:t>
      </w:r>
    </w:p>
    <w:p w14:paraId="7CE1D28E" w14:textId="77777777" w:rsidR="00B948D5" w:rsidRDefault="00B948D5" w:rsidP="00B948D5">
      <w:pPr>
        <w:spacing w:after="120" w:line="240" w:lineRule="auto"/>
        <w:rPr>
          <w:rFonts w:eastAsia="Cambria" w:cs="Arial"/>
          <w:color w:val="000000"/>
          <w:szCs w:val="24"/>
          <w:lang w:eastAsia="es-CR"/>
        </w:rPr>
      </w:pPr>
      <w:r w:rsidRPr="00DA6452">
        <w:rPr>
          <w:rFonts w:eastAsia="Cambria" w:cs="Arial"/>
          <w:color w:val="000000"/>
          <w:szCs w:val="24"/>
          <w:lang w:eastAsia="es-CR"/>
        </w:rPr>
        <w:t>Representan la porción del Patrimonio Neto de la Municipalidad de Buenos Aires, originada en el incremento de recursos que no tienen por contrapartida ni la disminución de otros activos, ni el incremento de pasivos, y cuya acumulación tiene por objeto absorber futuras disminuciones de valor y/o afectarse a resultados en el ejercicio en que se disponga o realice el activo generador de la reserva.</w:t>
      </w:r>
    </w:p>
    <w:p w14:paraId="7E579E99" w14:textId="77777777" w:rsidR="00B948D5" w:rsidRPr="00DA6452" w:rsidRDefault="00B948D5" w:rsidP="00B948D5">
      <w:pPr>
        <w:spacing w:after="0" w:line="240" w:lineRule="auto"/>
        <w:rPr>
          <w:rFonts w:eastAsia="Cambria" w:cs="Arial"/>
          <w:color w:val="000000"/>
          <w:szCs w:val="24"/>
          <w:lang w:eastAsia="es-CR"/>
        </w:rPr>
      </w:pPr>
    </w:p>
    <w:p w14:paraId="026C4E18" w14:textId="77777777" w:rsidR="00B948D5" w:rsidRPr="00E91F3C" w:rsidRDefault="00B948D5" w:rsidP="00B948D5">
      <w:pPr>
        <w:spacing w:after="0"/>
        <w:rPr>
          <w:rFonts w:eastAsia="Cambria" w:cs="Arial"/>
          <w:b/>
          <w:bCs/>
          <w:color w:val="000000"/>
          <w:lang w:eastAsia="es-CR"/>
        </w:rPr>
      </w:pPr>
      <w:r w:rsidRPr="00E91F3C">
        <w:rPr>
          <w:rFonts w:eastAsia="Cambria" w:cs="Arial"/>
          <w:b/>
          <w:bCs/>
          <w:color w:val="000000"/>
          <w:lang w:eastAsia="es-CR"/>
        </w:rPr>
        <w:t>Resultados acumulados</w:t>
      </w:r>
    </w:p>
    <w:p w14:paraId="0FFCA199" w14:textId="77777777" w:rsidR="00B948D5" w:rsidRPr="00DA6452" w:rsidRDefault="00B948D5" w:rsidP="00B948D5">
      <w:pPr>
        <w:spacing w:line="240" w:lineRule="auto"/>
        <w:rPr>
          <w:rFonts w:eastAsia="Cambria" w:cs="Arial"/>
          <w:color w:val="000000"/>
          <w:szCs w:val="24"/>
          <w:lang w:eastAsia="es-CR"/>
        </w:rPr>
      </w:pPr>
      <w:r w:rsidRPr="00DA6452">
        <w:rPr>
          <w:rFonts w:eastAsia="Cambria" w:cs="Arial"/>
          <w:color w:val="000000"/>
          <w:szCs w:val="24"/>
          <w:lang w:eastAsia="es-CR"/>
        </w:rPr>
        <w:t>Es la diferencia entre el Capital Inicial medido según cualquiera de los criterios de valoración establecido en las NICSP y activos y pasivos registrados (o resultados de ejercicios anteriores) al momento de adopción de las NICSP. Además, incluyen los resultados acumulados por la Municipalidad de Buenos Aires en sucesivos ejercicios, incluyendo el actual, que forman parte integrante del Patrimonio Neto.</w:t>
      </w:r>
    </w:p>
    <w:p w14:paraId="69D02ADF" w14:textId="77777777" w:rsidR="00B948D5" w:rsidRPr="00DA6452" w:rsidRDefault="00B948D5" w:rsidP="00B948D5">
      <w:pPr>
        <w:spacing w:line="240" w:lineRule="auto"/>
        <w:rPr>
          <w:rFonts w:eastAsia="Cambria" w:cs="Arial"/>
          <w:color w:val="000000"/>
          <w:szCs w:val="24"/>
          <w:lang w:eastAsia="es-CR"/>
        </w:rPr>
      </w:pPr>
      <w:r w:rsidRPr="00DA6452">
        <w:rPr>
          <w:rFonts w:eastAsia="Cambria" w:cs="Arial"/>
          <w:color w:val="000000"/>
          <w:szCs w:val="24"/>
          <w:lang w:eastAsia="es-CR"/>
        </w:rPr>
        <w:t xml:space="preserve">Los ajustes retroactivos pueden ser por cambios en las políticas contables y por la re-expresión para la corrección de errores que se efectúe retroactivamente, en la medida en que estas correcciones sean practicables. Los ajustes y las re-expresiones retroactivas se realizan sobre el saldo de los resultados acumulados, deben ser aprobados formalmente por la autoridad administrativa superior (Alcalde).  </w:t>
      </w:r>
    </w:p>
    <w:p w14:paraId="72099802" w14:textId="77777777" w:rsidR="00B948D5" w:rsidRDefault="00B948D5" w:rsidP="00B948D5">
      <w:pPr>
        <w:spacing w:after="120" w:line="240" w:lineRule="auto"/>
        <w:rPr>
          <w:rFonts w:eastAsia="Cambria" w:cs="Arial"/>
          <w:color w:val="000000"/>
          <w:szCs w:val="24"/>
          <w:lang w:eastAsia="es-CR"/>
        </w:rPr>
      </w:pPr>
      <w:r w:rsidRPr="00DA6452">
        <w:rPr>
          <w:rFonts w:eastAsia="Cambria" w:cs="Arial"/>
          <w:color w:val="000000"/>
          <w:szCs w:val="24"/>
          <w:lang w:eastAsia="es-CR"/>
        </w:rPr>
        <w:t>El efecto del reconocimiento inicial de propiedades, planta y equipo que la Municipalidad de Buenos Aires lleve a cabo dentro de los cinco años siguientes a la adopción de NICSP, se realizará con carácter de ajuste al saldo inicial de los resultados acumulados del período en que tenga lugar el reconocimiento. Dichos ajustes serán posteriormente capitalizados, separadamente del capital inicial, por la porción de las propiedades, planta y equipo respecto de la cual pueda afirmarse que estuvo originada en bienes existentes al momento de la adopción de las NICSP.</w:t>
      </w:r>
    </w:p>
    <w:p w14:paraId="75196D40" w14:textId="77777777" w:rsidR="00B948D5" w:rsidRDefault="00B948D5" w:rsidP="00B948D5">
      <w:pPr>
        <w:spacing w:after="0" w:line="240" w:lineRule="auto"/>
        <w:rPr>
          <w:rFonts w:eastAsia="Cambria" w:cs="Arial"/>
          <w:color w:val="000000"/>
          <w:szCs w:val="24"/>
          <w:lang w:eastAsia="es-CR"/>
        </w:rPr>
      </w:pPr>
    </w:p>
    <w:p w14:paraId="38B177E4" w14:textId="77777777" w:rsidR="00A123AD" w:rsidRDefault="00A123AD" w:rsidP="00B948D5">
      <w:pPr>
        <w:spacing w:after="0" w:line="240" w:lineRule="auto"/>
        <w:rPr>
          <w:rFonts w:eastAsia="Cambria" w:cs="Arial"/>
          <w:color w:val="000000"/>
          <w:szCs w:val="24"/>
          <w:lang w:eastAsia="es-CR"/>
        </w:rPr>
      </w:pPr>
    </w:p>
    <w:p w14:paraId="488E2313" w14:textId="77777777" w:rsidR="00A123AD" w:rsidRPr="00DA6452" w:rsidRDefault="00A123AD" w:rsidP="00B948D5">
      <w:pPr>
        <w:spacing w:after="0" w:line="240" w:lineRule="auto"/>
        <w:rPr>
          <w:rFonts w:eastAsia="Cambria" w:cs="Arial"/>
          <w:color w:val="000000"/>
          <w:szCs w:val="24"/>
          <w:lang w:eastAsia="es-CR"/>
        </w:rPr>
      </w:pPr>
    </w:p>
    <w:p w14:paraId="6B811913" w14:textId="77777777" w:rsidR="00B948D5" w:rsidRPr="00E91F3C" w:rsidRDefault="00B948D5" w:rsidP="00B948D5">
      <w:pPr>
        <w:spacing w:after="0"/>
        <w:rPr>
          <w:rFonts w:eastAsia="Cambria" w:cs="Arial"/>
          <w:b/>
          <w:bCs/>
          <w:color w:val="000000"/>
          <w:lang w:eastAsia="es-CR"/>
        </w:rPr>
      </w:pPr>
      <w:r w:rsidRPr="00E91F3C">
        <w:rPr>
          <w:rFonts w:eastAsia="Cambria" w:cs="Arial"/>
          <w:b/>
          <w:bCs/>
          <w:color w:val="000000"/>
          <w:lang w:eastAsia="es-CR"/>
        </w:rPr>
        <w:t>Ingresos</w:t>
      </w:r>
    </w:p>
    <w:p w14:paraId="52ABCC3C" w14:textId="77777777" w:rsidR="00B948D5" w:rsidRDefault="00B948D5" w:rsidP="00B948D5">
      <w:pPr>
        <w:spacing w:after="120" w:line="240" w:lineRule="auto"/>
        <w:rPr>
          <w:rFonts w:eastAsia="Cambria" w:cs="Arial"/>
          <w:color w:val="000000"/>
          <w:szCs w:val="24"/>
          <w:lang w:eastAsia="es-CR"/>
        </w:rPr>
      </w:pPr>
      <w:r w:rsidRPr="00DA6452">
        <w:rPr>
          <w:rFonts w:eastAsia="Cambria" w:cs="Arial"/>
          <w:color w:val="000000"/>
          <w:szCs w:val="24"/>
          <w:lang w:eastAsia="es-CR"/>
        </w:rPr>
        <w:t>Los ingresos de la Municipalidad de Buenos Aires se originan por impuestos; tasas de servicios, por el alquiler de bienes; y la transferencia de fondos. Estos tipos de ingresos se registran con base en “devengo”; en el período en el que ocurren. Si por alguna razón, al cierre del período queda pendiente algún ingreso, éste se registra en el período en el cual se tuvo conocimiento, pero afectando la cuenta “Resultados Acumulados”.  Esta situación ocasiona que se reflejen diferencias entre los registros contables y los presupuestarios.  Así mismo, cuando se presentan devoluciones de derechos cuyo ingreso se recibió en períodos anteriores, dicha devolución se aplica a esa misma cuenta (Resultados acumulados). Una entrada de recursos de una transacción sin contraprestación se reconocerá cuando ocurra, a su valor nominal.</w:t>
      </w:r>
    </w:p>
    <w:p w14:paraId="23C70E03" w14:textId="77777777" w:rsidR="00B948D5" w:rsidRPr="00DA6452" w:rsidRDefault="00B948D5" w:rsidP="00B948D5">
      <w:pPr>
        <w:spacing w:after="0" w:line="240" w:lineRule="auto"/>
        <w:rPr>
          <w:rFonts w:eastAsia="Cambria" w:cs="Arial"/>
          <w:color w:val="000000"/>
          <w:szCs w:val="24"/>
          <w:lang w:eastAsia="es-CR"/>
        </w:rPr>
      </w:pPr>
    </w:p>
    <w:p w14:paraId="2671585E" w14:textId="77777777" w:rsidR="00B948D5" w:rsidRPr="00E91F3C" w:rsidRDefault="00B948D5" w:rsidP="00B948D5">
      <w:pPr>
        <w:spacing w:after="0"/>
        <w:rPr>
          <w:rFonts w:eastAsia="Cambria" w:cs="Arial"/>
          <w:b/>
          <w:bCs/>
          <w:color w:val="000000"/>
          <w:lang w:eastAsia="es-CR"/>
        </w:rPr>
      </w:pPr>
      <w:r w:rsidRPr="00E91F3C">
        <w:rPr>
          <w:rFonts w:eastAsia="Cambria" w:cs="Arial"/>
          <w:b/>
          <w:bCs/>
          <w:color w:val="000000"/>
          <w:lang w:eastAsia="es-CR"/>
        </w:rPr>
        <w:t>Gastos</w:t>
      </w:r>
    </w:p>
    <w:p w14:paraId="6557C85E" w14:textId="77777777" w:rsidR="00B948D5" w:rsidRPr="00DA6452" w:rsidRDefault="00B948D5" w:rsidP="00B948D5">
      <w:pPr>
        <w:spacing w:line="240" w:lineRule="auto"/>
        <w:rPr>
          <w:rFonts w:eastAsia="Cambria" w:cs="Arial"/>
          <w:color w:val="000000"/>
          <w:szCs w:val="24"/>
          <w:lang w:eastAsia="es-CR"/>
        </w:rPr>
      </w:pPr>
      <w:r w:rsidRPr="00DA6452">
        <w:rPr>
          <w:rFonts w:eastAsia="Cambria" w:cs="Arial"/>
          <w:color w:val="000000"/>
          <w:szCs w:val="24"/>
          <w:lang w:eastAsia="es-CR"/>
        </w:rPr>
        <w:t>Gastos en que incurre el Municipalidad de Buenos Aires, producto del funcionamiento o desarrollo normal de sus actividades y del cumplimiento de su cometido, los gastos y resultados negativos vinculados con transacciones de enajenación de bienes y prestaciones de servicios y las operaciones de financiamiento. Se consideran entre los gastos de funcionamiento o desarrollo normal de sus actividades los incurridos por concepto de las Remuneraciones; los Servicios; los Materiales y suministros consumidos; el consumo de activos de Propiedad, Planta y Equipo, y Bienes Intangibles (depreciación y amortización respectivamente).</w:t>
      </w:r>
    </w:p>
    <w:p w14:paraId="73AE9D28" w14:textId="77777777" w:rsidR="00B948D5" w:rsidRDefault="00B948D5" w:rsidP="00B948D5">
      <w:pPr>
        <w:spacing w:after="0" w:line="240" w:lineRule="auto"/>
        <w:rPr>
          <w:rFonts w:eastAsia="Cambria" w:cs="Arial"/>
          <w:color w:val="000000"/>
          <w:szCs w:val="24"/>
          <w:lang w:eastAsia="es-CR"/>
        </w:rPr>
      </w:pPr>
      <w:r w:rsidRPr="00DA6452">
        <w:rPr>
          <w:rFonts w:eastAsia="Cambria" w:cs="Arial"/>
          <w:color w:val="000000"/>
          <w:szCs w:val="24"/>
          <w:lang w:eastAsia="es-CR"/>
        </w:rPr>
        <w:t>Los gastos se reconocen por el Método de Devengado, es decir cuando ocurren (y no sólo cuando se cobra o paga el correspondiente efectivo o su equivalente). Por tanto, las transacciones y hechos se inscriben en los registros contables y se reconocen en los Estados Financieros de los ejercicios con los cuales se relacionan.</w:t>
      </w:r>
    </w:p>
    <w:p w14:paraId="0CCFEDA9" w14:textId="77777777" w:rsidR="00B948D5" w:rsidRPr="00DA6452" w:rsidRDefault="00B948D5" w:rsidP="00B948D5">
      <w:pPr>
        <w:spacing w:after="0" w:line="240" w:lineRule="auto"/>
        <w:rPr>
          <w:rFonts w:eastAsia="Cambria" w:cs="Arial"/>
          <w:color w:val="000000"/>
          <w:szCs w:val="24"/>
          <w:lang w:eastAsia="es-CR"/>
        </w:rPr>
      </w:pPr>
    </w:p>
    <w:p w14:paraId="1FDD360D" w14:textId="77777777" w:rsidR="00B948D5" w:rsidRDefault="00B948D5" w:rsidP="00B948D5">
      <w:pPr>
        <w:spacing w:before="120" w:after="0"/>
        <w:rPr>
          <w:rFonts w:eastAsia="Cambria" w:cs="Arial"/>
          <w:b/>
          <w:bCs/>
          <w:color w:val="000000"/>
          <w:lang w:eastAsia="es-CR"/>
        </w:rPr>
      </w:pPr>
      <w:r w:rsidRPr="003B7DD4">
        <w:rPr>
          <w:rFonts w:eastAsia="Cambria" w:cs="Arial"/>
          <w:b/>
          <w:bCs/>
          <w:color w:val="000000"/>
          <w:lang w:eastAsia="es-CR"/>
        </w:rPr>
        <w:t>Hechos ocurridos después de la fecha de presentación</w:t>
      </w:r>
    </w:p>
    <w:p w14:paraId="046F5968" w14:textId="77777777" w:rsidR="00B948D5" w:rsidRPr="00DA6452" w:rsidRDefault="00B948D5" w:rsidP="00B948D5">
      <w:pPr>
        <w:spacing w:line="240" w:lineRule="auto"/>
        <w:rPr>
          <w:szCs w:val="24"/>
        </w:rPr>
      </w:pPr>
      <w:r w:rsidRPr="00DA6452">
        <w:rPr>
          <w:szCs w:val="24"/>
          <w:lang w:val="es-ES"/>
        </w:rPr>
        <w:t>Se deben identificar los posibles hechos ocurridos después de fecha de presentación de los estados financieros y en caso de materializarse y de acuerdo la citada NICSP, serán objeto de reconocimiento y revelación (afectan los saldos a la fecha de presentación), únicamente deben ser reveladas; (tienen relación con los saldos después de la fecha de presentación), o que no implican ni reconocimiento ni revelación.</w:t>
      </w:r>
    </w:p>
    <w:p w14:paraId="3EC5A59A" w14:textId="282BA2F7" w:rsidR="00B948D5" w:rsidRDefault="00B948D5" w:rsidP="00B948D5">
      <w:pPr>
        <w:spacing w:after="120" w:line="240" w:lineRule="auto"/>
        <w:rPr>
          <w:rFonts w:cs="Calibri"/>
          <w:szCs w:val="24"/>
        </w:rPr>
      </w:pPr>
      <w:r w:rsidRPr="00DA6452">
        <w:rPr>
          <w:rFonts w:cs="Calibri"/>
          <w:szCs w:val="24"/>
        </w:rPr>
        <w:t xml:space="preserve">Como parte del proceso de implementación de las NICSP </w:t>
      </w:r>
      <w:r w:rsidRPr="00DA6452">
        <w:rPr>
          <w:szCs w:val="24"/>
          <w:lang w:val="es-ES"/>
        </w:rPr>
        <w:t xml:space="preserve">se tiene programado establecer políticas y </w:t>
      </w:r>
      <w:r w:rsidR="004653E2" w:rsidRPr="00DA6452">
        <w:rPr>
          <w:szCs w:val="24"/>
          <w:lang w:val="es-ES"/>
        </w:rPr>
        <w:t>procedimientos internos</w:t>
      </w:r>
      <w:r w:rsidRPr="00DA6452">
        <w:rPr>
          <w:szCs w:val="24"/>
          <w:lang w:val="es-ES"/>
        </w:rPr>
        <w:t xml:space="preserve"> para regular lo atinente a la aplicación de la NICSP 14. </w:t>
      </w:r>
      <w:r w:rsidRPr="00DA6452">
        <w:rPr>
          <w:rFonts w:cs="Calibri"/>
          <w:szCs w:val="24"/>
        </w:rPr>
        <w:t xml:space="preserve">Al </w:t>
      </w:r>
      <w:r w:rsidR="00564BDD">
        <w:rPr>
          <w:rFonts w:cs="Calibri"/>
          <w:szCs w:val="24"/>
        </w:rPr>
        <w:t>30 de junio</w:t>
      </w:r>
      <w:r w:rsidR="002D3D6C">
        <w:rPr>
          <w:rFonts w:cs="Calibri"/>
          <w:szCs w:val="24"/>
        </w:rPr>
        <w:t xml:space="preserve"> de 2024</w:t>
      </w:r>
      <w:r w:rsidRPr="00DA6452">
        <w:rPr>
          <w:rFonts w:cs="Calibri"/>
          <w:szCs w:val="24"/>
        </w:rPr>
        <w:t xml:space="preserve"> no se tuvo evidencia de Hechos ocurridos después de fecha de presentación de los estados financieros.</w:t>
      </w:r>
    </w:p>
    <w:p w14:paraId="3F6ECEFA" w14:textId="77777777" w:rsidR="00B948D5" w:rsidRPr="00DA6452" w:rsidRDefault="00B948D5" w:rsidP="00B948D5">
      <w:pPr>
        <w:spacing w:after="0" w:line="240" w:lineRule="auto"/>
        <w:rPr>
          <w:rFonts w:cs="Calibri"/>
          <w:szCs w:val="24"/>
        </w:rPr>
      </w:pPr>
    </w:p>
    <w:p w14:paraId="190711FB" w14:textId="77777777" w:rsidR="00B948D5" w:rsidRPr="003B7DD4" w:rsidRDefault="00B948D5" w:rsidP="00B948D5">
      <w:pPr>
        <w:spacing w:before="120" w:after="0"/>
        <w:rPr>
          <w:rFonts w:eastAsia="Cambria" w:cs="Arial"/>
          <w:b/>
          <w:bCs/>
          <w:color w:val="000000"/>
          <w:lang w:eastAsia="es-CR"/>
        </w:rPr>
      </w:pPr>
      <w:r>
        <w:rPr>
          <w:rFonts w:eastAsia="Cambria" w:cs="Arial"/>
          <w:b/>
          <w:bCs/>
          <w:color w:val="000000"/>
          <w:lang w:eastAsia="es-CR"/>
        </w:rPr>
        <w:t>Estados financieros consolidados</w:t>
      </w:r>
    </w:p>
    <w:p w14:paraId="3F4996C3" w14:textId="77777777" w:rsidR="00B948D5" w:rsidRPr="00DA6452" w:rsidRDefault="00B948D5" w:rsidP="00B948D5">
      <w:pPr>
        <w:spacing w:line="240" w:lineRule="auto"/>
        <w:rPr>
          <w:szCs w:val="24"/>
          <w:lang w:val="es-AR"/>
        </w:rPr>
      </w:pPr>
      <w:r w:rsidRPr="00DA6452">
        <w:rPr>
          <w:szCs w:val="24"/>
        </w:rPr>
        <w:t xml:space="preserve">La Municipalidad de Buenos Aires deberá elaborar estados financieros consolidados incluyendo la información del Comité Cantonal de Deportes y Recreación (CCDR) de Buenos Aires. No obstante, no fue posible elaborar esos estados, debido a que el CCDR no remitió sus estados financieros a la Municipalidad. </w:t>
      </w:r>
      <w:r w:rsidRPr="00DA6452">
        <w:rPr>
          <w:szCs w:val="24"/>
          <w:lang w:val="es-AR"/>
        </w:rPr>
        <w:t>Esto debido a que dicho Comité se encuentra también en proceso de implementación y aplicación de las NICSP y la Municipalidad se encuentra coordinando lo pertinente para definir y consensuar alguna información propia del Comité y su registro contable, para su posterior consolidación.</w:t>
      </w:r>
    </w:p>
    <w:p w14:paraId="49D58FD5" w14:textId="77777777" w:rsidR="00A123AD" w:rsidRDefault="00A123AD" w:rsidP="00A123AD">
      <w:pPr>
        <w:spacing w:after="0" w:line="240" w:lineRule="auto"/>
        <w:rPr>
          <w:bCs/>
        </w:rPr>
      </w:pPr>
    </w:p>
    <w:p w14:paraId="7C8E0ECB" w14:textId="2C8372BD" w:rsidR="00422EDF" w:rsidRDefault="00D33ADF" w:rsidP="0004142E">
      <w:pPr>
        <w:rPr>
          <w:bCs/>
        </w:rPr>
      </w:pPr>
      <w:r>
        <w:rPr>
          <w:bCs/>
        </w:rPr>
        <w:t>A</w:t>
      </w:r>
      <w:r w:rsidRPr="00564F81">
        <w:rPr>
          <w:bCs/>
        </w:rPr>
        <w:t xml:space="preserve">djuntar el Plan General Contable en anexos.  </w:t>
      </w:r>
      <w:bookmarkEnd w:id="16"/>
    </w:p>
    <w:p w14:paraId="0C95C042" w14:textId="77777777" w:rsidR="00A123AD" w:rsidRPr="00874E06" w:rsidRDefault="00A123AD" w:rsidP="00A123AD">
      <w:pPr>
        <w:spacing w:after="0"/>
        <w:rPr>
          <w:bCs/>
        </w:rPr>
      </w:pPr>
    </w:p>
    <w:p w14:paraId="2D93BB97" w14:textId="77777777" w:rsidR="00E319B8" w:rsidRPr="00E319B8" w:rsidRDefault="00E319B8" w:rsidP="00E319B8">
      <w:pPr>
        <w:pStyle w:val="Ttulo2"/>
        <w:rPr>
          <w:rFonts w:eastAsia="Times New Roman"/>
          <w:lang w:eastAsia="es-CR"/>
        </w:rPr>
      </w:pPr>
      <w:bookmarkStart w:id="19" w:name="_Toc82768861"/>
      <w:bookmarkStart w:id="20" w:name="_Toc173245185"/>
      <w:r w:rsidRPr="00E319B8">
        <w:rPr>
          <w:rFonts w:eastAsia="Times New Roman"/>
          <w:lang w:eastAsia="es-CR"/>
        </w:rPr>
        <w:t>CERTIFICACIÓN COMISIÓN DE RIESGO (SEVRI)</w:t>
      </w:r>
      <w:bookmarkEnd w:id="19"/>
      <w:bookmarkEnd w:id="20"/>
    </w:p>
    <w:p w14:paraId="58401BA3" w14:textId="094ADDF1" w:rsidR="00F21F36" w:rsidRPr="00E319B8" w:rsidRDefault="00E319B8" w:rsidP="00E319B8">
      <w:pPr>
        <w:rPr>
          <w:lang w:eastAsia="es-CR"/>
        </w:rPr>
      </w:pPr>
      <w:r w:rsidRPr="00E319B8">
        <w:rPr>
          <w:lang w:eastAsia="es-CR"/>
        </w:rPr>
        <w:t>(Certificación (Constancia – Sector Municipal) de Comisión de Riesgo). La comisión de riesgo es la misma que del SEVRI de acuerdo con la Ley General de Control Interno, por lo que se debe incluir el cumplimiento de las NICSP como parte de la valoración de riesgos institucional.</w:t>
      </w:r>
    </w:p>
    <w:p w14:paraId="73D15D93" w14:textId="77777777" w:rsidR="00E319B8" w:rsidRPr="00B70FD4" w:rsidRDefault="00E319B8" w:rsidP="00B70FD4">
      <w:pPr>
        <w:pBdr>
          <w:top w:val="single" w:sz="4" w:space="1" w:color="auto"/>
          <w:left w:val="single" w:sz="4" w:space="4" w:color="auto"/>
          <w:right w:val="single" w:sz="4" w:space="4" w:color="auto"/>
        </w:pBdr>
        <w:spacing w:after="0" w:line="240" w:lineRule="auto"/>
        <w:jc w:val="center"/>
        <w:rPr>
          <w:b/>
        </w:rPr>
      </w:pPr>
      <w:r w:rsidRPr="00B70FD4">
        <w:rPr>
          <w:b/>
        </w:rPr>
        <w:t>Certificación o Constancia:</w:t>
      </w:r>
    </w:p>
    <w:p w14:paraId="41FFBFAC" w14:textId="77777777" w:rsidR="00E319B8" w:rsidRPr="00E319B8" w:rsidRDefault="00E319B8" w:rsidP="00B70FD4">
      <w:pPr>
        <w:pBdr>
          <w:left w:val="single" w:sz="4" w:space="4" w:color="auto"/>
          <w:right w:val="single" w:sz="4" w:space="4" w:color="auto"/>
        </w:pBdr>
        <w:spacing w:after="0" w:line="240" w:lineRule="auto"/>
      </w:pPr>
    </w:p>
    <w:p w14:paraId="0B68F949" w14:textId="045D8A52" w:rsidR="00E319B8" w:rsidRPr="00E319B8" w:rsidRDefault="00A123AD" w:rsidP="00B70FD4">
      <w:pPr>
        <w:pBdr>
          <w:left w:val="single" w:sz="4" w:space="4" w:color="auto"/>
          <w:right w:val="single" w:sz="4" w:space="4" w:color="auto"/>
        </w:pBdr>
        <w:spacing w:after="0" w:line="240" w:lineRule="auto"/>
      </w:pPr>
      <w:r w:rsidRPr="00E319B8">
        <w:t>La</w:t>
      </w:r>
      <w:r>
        <w:t xml:space="preserve"> MUNICIPALIDAD DE BUENOS AIRES</w:t>
      </w:r>
      <w:r w:rsidRPr="00E319B8">
        <w:t xml:space="preserve">, cédula jurídica </w:t>
      </w:r>
      <w:r w:rsidRPr="00DB124F">
        <w:rPr>
          <w:b/>
          <w:sz w:val="22"/>
        </w:rPr>
        <w:t>3-014-042112</w:t>
      </w:r>
      <w:r w:rsidRPr="00E319B8">
        <w:t xml:space="preserve">, y cuyo Representante Legal es </w:t>
      </w:r>
      <w:r w:rsidRPr="00DB124F">
        <w:rPr>
          <w:b/>
          <w:color w:val="000000"/>
          <w:sz w:val="22"/>
        </w:rPr>
        <w:t xml:space="preserve">MÁSTER </w:t>
      </w:r>
      <w:r w:rsidR="004653E2">
        <w:rPr>
          <w:b/>
          <w:color w:val="000000"/>
          <w:sz w:val="22"/>
        </w:rPr>
        <w:t>ANA MARGOTH MORA NAVARRO</w:t>
      </w:r>
      <w:r w:rsidRPr="00E319B8">
        <w:t xml:space="preserve">, portadora de la cédula de identidad </w:t>
      </w:r>
      <w:r w:rsidR="004653E2">
        <w:rPr>
          <w:b/>
          <w:color w:val="000000"/>
          <w:sz w:val="22"/>
        </w:rPr>
        <w:t>1-0280-0849</w:t>
      </w:r>
      <w:r w:rsidRPr="00E319B8">
        <w:t xml:space="preserve">, CERTIFICA QUE: </w:t>
      </w:r>
      <w:r w:rsidRPr="00E319B8">
        <w:rPr>
          <w:u w:val="single"/>
        </w:rPr>
        <w:t>la entidad cuenta con una Comisión de Riesgo, la cual incluyo el cumplimiento de las NICSP</w:t>
      </w:r>
      <w:r w:rsidRPr="00E319B8">
        <w:t>.</w:t>
      </w:r>
    </w:p>
    <w:p w14:paraId="55302A27" w14:textId="77777777" w:rsidR="00E319B8" w:rsidRPr="00E319B8" w:rsidRDefault="00E319B8" w:rsidP="00B70FD4">
      <w:pPr>
        <w:pBdr>
          <w:left w:val="single" w:sz="4" w:space="4" w:color="auto"/>
          <w:right w:val="single" w:sz="4" w:space="4" w:color="auto"/>
        </w:pBdr>
        <w:spacing w:after="0" w:line="240" w:lineRule="auto"/>
      </w:pPr>
    </w:p>
    <w:p w14:paraId="33CE02B2" w14:textId="77777777" w:rsidR="00E319B8" w:rsidRPr="00B70FD4" w:rsidRDefault="00E319B8" w:rsidP="00B70FD4">
      <w:pPr>
        <w:pBdr>
          <w:left w:val="single" w:sz="4" w:space="4" w:color="auto"/>
          <w:right w:val="single" w:sz="4" w:space="4" w:color="auto"/>
        </w:pBdr>
        <w:spacing w:after="0" w:line="240" w:lineRule="auto"/>
        <w:rPr>
          <w:b/>
        </w:rPr>
      </w:pPr>
      <w:r w:rsidRPr="00B70FD4">
        <w:rPr>
          <w:b/>
        </w:rPr>
        <w:t>Los Integrantes son:</w:t>
      </w:r>
    </w:p>
    <w:p w14:paraId="014A290E" w14:textId="77777777" w:rsidR="00E319B8" w:rsidRPr="00E319B8" w:rsidRDefault="00E319B8" w:rsidP="00B70FD4">
      <w:pPr>
        <w:pBdr>
          <w:left w:val="single" w:sz="4" w:space="4" w:color="auto"/>
          <w:right w:val="single" w:sz="4" w:space="4" w:color="auto"/>
        </w:pBdr>
        <w:spacing w:after="0" w:line="240" w:lineRule="auto"/>
      </w:pPr>
    </w:p>
    <w:p w14:paraId="1515AF04" w14:textId="48617A19" w:rsidR="00E319B8" w:rsidRPr="00E319B8" w:rsidRDefault="00B8671D" w:rsidP="00B70FD4">
      <w:pPr>
        <w:pBdr>
          <w:left w:val="single" w:sz="4" w:space="4" w:color="auto"/>
          <w:right w:val="single" w:sz="4" w:space="4" w:color="auto"/>
        </w:pBdr>
        <w:spacing w:after="0" w:line="240" w:lineRule="auto"/>
      </w:pPr>
      <w:r>
        <w:t>Curime A</w:t>
      </w:r>
      <w:r w:rsidR="00457510">
        <w:t>rguedas, Vice Alcalde</w:t>
      </w:r>
      <w:r w:rsidR="00E319B8" w:rsidRPr="00E319B8">
        <w:t>. Coordinador de la Comisión.</w:t>
      </w:r>
    </w:p>
    <w:p w14:paraId="7BE7F761" w14:textId="77777777" w:rsidR="00E319B8" w:rsidRPr="00E319B8" w:rsidRDefault="00E319B8" w:rsidP="00B70FD4">
      <w:pPr>
        <w:pBdr>
          <w:left w:val="single" w:sz="4" w:space="4" w:color="auto"/>
          <w:right w:val="single" w:sz="4" w:space="4" w:color="auto"/>
        </w:pBdr>
        <w:spacing w:after="0" w:line="240" w:lineRule="auto"/>
      </w:pPr>
    </w:p>
    <w:p w14:paraId="52CDEA75" w14:textId="64D620A7" w:rsidR="00E319B8" w:rsidRDefault="00E319B8" w:rsidP="00B70FD4">
      <w:pPr>
        <w:pBdr>
          <w:left w:val="single" w:sz="4" w:space="4" w:color="auto"/>
          <w:right w:val="single" w:sz="4" w:space="4" w:color="auto"/>
        </w:pBdr>
        <w:spacing w:after="0" w:line="240" w:lineRule="auto"/>
        <w:rPr>
          <w:b/>
        </w:rPr>
      </w:pPr>
      <w:r w:rsidRPr="00B70FD4">
        <w:rPr>
          <w:b/>
        </w:rPr>
        <w:t>Integrantes:</w:t>
      </w:r>
    </w:p>
    <w:p w14:paraId="3C09888F" w14:textId="77777777" w:rsidR="00A123AD" w:rsidRDefault="00A123AD" w:rsidP="00B70FD4">
      <w:pPr>
        <w:pBdr>
          <w:left w:val="single" w:sz="4" w:space="4" w:color="auto"/>
          <w:right w:val="single" w:sz="4" w:space="4" w:color="auto"/>
        </w:pBdr>
        <w:spacing w:after="0" w:line="240" w:lineRule="auto"/>
        <w:rPr>
          <w:b/>
        </w:rPr>
      </w:pPr>
    </w:p>
    <w:p w14:paraId="30EA571E" w14:textId="0216BA8A" w:rsidR="00A123AD" w:rsidRDefault="00A123AD" w:rsidP="00B70FD4">
      <w:pPr>
        <w:pBdr>
          <w:left w:val="single" w:sz="4" w:space="4" w:color="auto"/>
          <w:right w:val="single" w:sz="4" w:space="4" w:color="auto"/>
        </w:pBdr>
        <w:spacing w:after="0" w:line="240" w:lineRule="auto"/>
        <w:rPr>
          <w:bCs/>
        </w:rPr>
      </w:pPr>
      <w:r w:rsidRPr="00A123AD">
        <w:rPr>
          <w:bCs/>
        </w:rPr>
        <w:t>Gerardo Cordero Arguedas, Contador Municipal</w:t>
      </w:r>
    </w:p>
    <w:p w14:paraId="07E5911A" w14:textId="504B4AEA" w:rsidR="00A123AD" w:rsidRDefault="00A123AD" w:rsidP="00B70FD4">
      <w:pPr>
        <w:pBdr>
          <w:left w:val="single" w:sz="4" w:space="4" w:color="auto"/>
          <w:right w:val="single" w:sz="4" w:space="4" w:color="auto"/>
        </w:pBdr>
        <w:spacing w:after="0" w:line="240" w:lineRule="auto"/>
        <w:rPr>
          <w:bCs/>
        </w:rPr>
      </w:pPr>
      <w:r>
        <w:rPr>
          <w:bCs/>
        </w:rPr>
        <w:t>Maribel Pérez Monge, Encargada Departamento Administración Tributaria</w:t>
      </w:r>
    </w:p>
    <w:p w14:paraId="6D7564FF" w14:textId="31053823" w:rsidR="00A123AD" w:rsidRDefault="00A123AD" w:rsidP="00B70FD4">
      <w:pPr>
        <w:pBdr>
          <w:left w:val="single" w:sz="4" w:space="4" w:color="auto"/>
          <w:right w:val="single" w:sz="4" w:space="4" w:color="auto"/>
        </w:pBdr>
        <w:spacing w:after="0" w:line="240" w:lineRule="auto"/>
        <w:rPr>
          <w:bCs/>
        </w:rPr>
      </w:pPr>
      <w:r>
        <w:rPr>
          <w:bCs/>
        </w:rPr>
        <w:t>Esteban Fallas Vidal, Tesorero Municipal</w:t>
      </w:r>
    </w:p>
    <w:p w14:paraId="3BEFF4B6" w14:textId="17B4CE83" w:rsidR="00A123AD" w:rsidRDefault="00A123AD" w:rsidP="00B70FD4">
      <w:pPr>
        <w:pBdr>
          <w:left w:val="single" w:sz="4" w:space="4" w:color="auto"/>
          <w:right w:val="single" w:sz="4" w:space="4" w:color="auto"/>
        </w:pBdr>
        <w:spacing w:after="0" w:line="240" w:lineRule="auto"/>
        <w:rPr>
          <w:bCs/>
        </w:rPr>
      </w:pPr>
      <w:r>
        <w:rPr>
          <w:bCs/>
        </w:rPr>
        <w:t>Natalia Saldaña Delgado, Encargada Departamento de TI</w:t>
      </w:r>
    </w:p>
    <w:p w14:paraId="0F272974" w14:textId="5974CEAD" w:rsidR="00A123AD" w:rsidRDefault="00A123AD" w:rsidP="00B70FD4">
      <w:pPr>
        <w:pBdr>
          <w:left w:val="single" w:sz="4" w:space="4" w:color="auto"/>
          <w:right w:val="single" w:sz="4" w:space="4" w:color="auto"/>
        </w:pBdr>
        <w:spacing w:after="0" w:line="240" w:lineRule="auto"/>
        <w:rPr>
          <w:bCs/>
        </w:rPr>
      </w:pPr>
      <w:r>
        <w:rPr>
          <w:bCs/>
        </w:rPr>
        <w:t>Edylma Granados Bermúdez</w:t>
      </w:r>
    </w:p>
    <w:p w14:paraId="658C50AD" w14:textId="35C508F0" w:rsidR="00A123AD" w:rsidRDefault="00A123AD" w:rsidP="00B70FD4">
      <w:pPr>
        <w:pBdr>
          <w:left w:val="single" w:sz="4" w:space="4" w:color="auto"/>
          <w:right w:val="single" w:sz="4" w:space="4" w:color="auto"/>
        </w:pBdr>
        <w:spacing w:after="0" w:line="240" w:lineRule="auto"/>
        <w:rPr>
          <w:bCs/>
        </w:rPr>
      </w:pPr>
      <w:r>
        <w:rPr>
          <w:bCs/>
        </w:rPr>
        <w:t>Limsay Acuña López</w:t>
      </w:r>
    </w:p>
    <w:p w14:paraId="6045E068" w14:textId="3F8F13FF" w:rsidR="00A123AD" w:rsidRDefault="00A123AD" w:rsidP="00B70FD4">
      <w:pPr>
        <w:pBdr>
          <w:left w:val="single" w:sz="4" w:space="4" w:color="auto"/>
          <w:right w:val="single" w:sz="4" w:space="4" w:color="auto"/>
        </w:pBdr>
        <w:spacing w:after="0" w:line="240" w:lineRule="auto"/>
        <w:rPr>
          <w:bCs/>
        </w:rPr>
      </w:pPr>
      <w:r>
        <w:rPr>
          <w:bCs/>
        </w:rPr>
        <w:t>Andrea Espinoza Arauz, Encargada Recursos Humanos</w:t>
      </w:r>
    </w:p>
    <w:p w14:paraId="4540C250" w14:textId="18FC5B24" w:rsidR="00A123AD" w:rsidRDefault="00A123AD" w:rsidP="00B70FD4">
      <w:pPr>
        <w:pBdr>
          <w:left w:val="single" w:sz="4" w:space="4" w:color="auto"/>
          <w:right w:val="single" w:sz="4" w:space="4" w:color="auto"/>
        </w:pBdr>
        <w:spacing w:after="0" w:line="240" w:lineRule="auto"/>
        <w:rPr>
          <w:bCs/>
        </w:rPr>
      </w:pPr>
      <w:r>
        <w:rPr>
          <w:bCs/>
        </w:rPr>
        <w:t>Alban Serrano Siles, Encargado Proveeduría Municipal</w:t>
      </w:r>
    </w:p>
    <w:p w14:paraId="75578492" w14:textId="5BB9692C" w:rsidR="00A123AD" w:rsidRDefault="00BE0876" w:rsidP="00B70FD4">
      <w:pPr>
        <w:pBdr>
          <w:left w:val="single" w:sz="4" w:space="4" w:color="auto"/>
          <w:right w:val="single" w:sz="4" w:space="4" w:color="auto"/>
        </w:pBdr>
        <w:spacing w:after="0" w:line="240" w:lineRule="auto"/>
        <w:rPr>
          <w:bCs/>
        </w:rPr>
      </w:pPr>
      <w:r>
        <w:rPr>
          <w:bCs/>
        </w:rPr>
        <w:t>Graciela Núñez Marchena</w:t>
      </w:r>
    </w:p>
    <w:p w14:paraId="14F7ED59" w14:textId="312A57D4" w:rsidR="00BE0876" w:rsidRDefault="00BE0876" w:rsidP="00B70FD4">
      <w:pPr>
        <w:pBdr>
          <w:left w:val="single" w:sz="4" w:space="4" w:color="auto"/>
          <w:right w:val="single" w:sz="4" w:space="4" w:color="auto"/>
        </w:pBdr>
        <w:spacing w:after="0" w:line="240" w:lineRule="auto"/>
        <w:rPr>
          <w:bCs/>
        </w:rPr>
      </w:pPr>
      <w:r>
        <w:rPr>
          <w:bCs/>
        </w:rPr>
        <w:t>Jhonny Vidal Atencio, Asesor Legal</w:t>
      </w:r>
    </w:p>
    <w:p w14:paraId="5DBDEA56" w14:textId="60F70DA8" w:rsidR="00BE0876" w:rsidRDefault="00BE0876" w:rsidP="00B70FD4">
      <w:pPr>
        <w:pBdr>
          <w:left w:val="single" w:sz="4" w:space="4" w:color="auto"/>
          <w:right w:val="single" w:sz="4" w:space="4" w:color="auto"/>
        </w:pBdr>
        <w:spacing w:after="0" w:line="240" w:lineRule="auto"/>
        <w:rPr>
          <w:bCs/>
        </w:rPr>
      </w:pPr>
      <w:r>
        <w:rPr>
          <w:bCs/>
        </w:rPr>
        <w:t>Jeannette Chaves Ortiz, Encargada Presupuesto</w:t>
      </w:r>
    </w:p>
    <w:p w14:paraId="5743965F" w14:textId="25188276" w:rsidR="00BE0876" w:rsidRDefault="00BE0876" w:rsidP="00B70FD4">
      <w:pPr>
        <w:pBdr>
          <w:left w:val="single" w:sz="4" w:space="4" w:color="auto"/>
          <w:right w:val="single" w:sz="4" w:space="4" w:color="auto"/>
        </w:pBdr>
        <w:spacing w:after="0" w:line="240" w:lineRule="auto"/>
        <w:rPr>
          <w:bCs/>
        </w:rPr>
      </w:pPr>
      <w:r>
        <w:rPr>
          <w:bCs/>
        </w:rPr>
        <w:t>Freddy Jiménez Torres, Coordinador General Gestión Vial</w:t>
      </w:r>
    </w:p>
    <w:p w14:paraId="37D2F9D4" w14:textId="33C6FE20" w:rsidR="00BE0876" w:rsidRDefault="00BE0876" w:rsidP="00B70FD4">
      <w:pPr>
        <w:pBdr>
          <w:left w:val="single" w:sz="4" w:space="4" w:color="auto"/>
          <w:right w:val="single" w:sz="4" w:space="4" w:color="auto"/>
        </w:pBdr>
        <w:spacing w:after="0" w:line="240" w:lineRule="auto"/>
        <w:rPr>
          <w:bCs/>
        </w:rPr>
      </w:pPr>
      <w:r>
        <w:rPr>
          <w:bCs/>
        </w:rPr>
        <w:t>Jorge Morales Black, Coordinados Desarrollo Urbano</w:t>
      </w:r>
    </w:p>
    <w:p w14:paraId="226CDE88" w14:textId="64E42528" w:rsidR="00BE0876" w:rsidRPr="00A123AD" w:rsidRDefault="00BE0876" w:rsidP="00B70FD4">
      <w:pPr>
        <w:pBdr>
          <w:left w:val="single" w:sz="4" w:space="4" w:color="auto"/>
          <w:right w:val="single" w:sz="4" w:space="4" w:color="auto"/>
        </w:pBdr>
        <w:spacing w:after="0" w:line="240" w:lineRule="auto"/>
        <w:rPr>
          <w:bCs/>
        </w:rPr>
      </w:pPr>
      <w:r>
        <w:rPr>
          <w:bCs/>
        </w:rPr>
        <w:t>Marisol Monge Ortiz</w:t>
      </w:r>
    </w:p>
    <w:p w14:paraId="1C72923C" w14:textId="77777777" w:rsidR="00A123AD" w:rsidRPr="00A123AD" w:rsidRDefault="00A123AD" w:rsidP="00B70FD4">
      <w:pPr>
        <w:pBdr>
          <w:left w:val="single" w:sz="4" w:space="4" w:color="auto"/>
          <w:right w:val="single" w:sz="4" w:space="4" w:color="auto"/>
        </w:pBdr>
        <w:spacing w:after="0" w:line="240" w:lineRule="auto"/>
        <w:rPr>
          <w:b/>
        </w:rPr>
      </w:pPr>
    </w:p>
    <w:p w14:paraId="26C506EE" w14:textId="34EF12F9" w:rsidR="00E319B8" w:rsidRPr="00E319B8" w:rsidRDefault="00E319B8" w:rsidP="00B70FD4">
      <w:pPr>
        <w:pBdr>
          <w:left w:val="single" w:sz="4" w:space="4" w:color="auto"/>
          <w:right w:val="single" w:sz="4" w:space="4" w:color="auto"/>
        </w:pBdr>
        <w:spacing w:after="0" w:line="240" w:lineRule="auto"/>
      </w:pPr>
      <w:r w:rsidRPr="00B70FD4">
        <w:rPr>
          <w:b/>
        </w:rPr>
        <w:t>Observaciones:</w:t>
      </w:r>
      <w:r w:rsidRPr="00E319B8">
        <w:t xml:space="preserve"> </w:t>
      </w:r>
      <w:r w:rsidR="00BE0876">
        <w:t>Se han promovido reuniones con la Alcaldía Municipal para fortalecer el proceso de implementación de las NICSP y lograr avanzar en el cumplimiento de los planes de acción que corresponden a las unidades primarias de registro.</w:t>
      </w:r>
    </w:p>
    <w:p w14:paraId="6FA7AFC0" w14:textId="77777777" w:rsidR="00E319B8" w:rsidRPr="00E319B8" w:rsidRDefault="00E319B8" w:rsidP="00B70FD4">
      <w:pPr>
        <w:pBdr>
          <w:left w:val="single" w:sz="4" w:space="4" w:color="auto"/>
          <w:right w:val="single" w:sz="4" w:space="4" w:color="auto"/>
        </w:pBdr>
        <w:spacing w:after="0" w:line="240" w:lineRule="auto"/>
      </w:pPr>
    </w:p>
    <w:p w14:paraId="62E6C00E" w14:textId="52B79F04" w:rsidR="00B70FD4" w:rsidRDefault="00E319B8" w:rsidP="00BE0876">
      <w:pPr>
        <w:pBdr>
          <w:left w:val="single" w:sz="4" w:space="4" w:color="auto"/>
          <w:bottom w:val="single" w:sz="4" w:space="0" w:color="auto"/>
          <w:right w:val="single" w:sz="4" w:space="4" w:color="auto"/>
        </w:pBdr>
        <w:spacing w:after="120" w:line="240" w:lineRule="auto"/>
        <w:rPr>
          <w:rFonts w:eastAsia="Calibri" w:cs="Times New Roman"/>
        </w:rPr>
      </w:pPr>
      <w:r w:rsidRPr="00B70FD4">
        <w:rPr>
          <w:b/>
        </w:rPr>
        <w:t>Nota:</w:t>
      </w:r>
      <w:r w:rsidRPr="00E319B8">
        <w:t xml:space="preserve">  La firma del Máximo Jerarca está incluida en las firmas del estado de notas en su conjunto.</w:t>
      </w:r>
      <w:r w:rsidR="00B70FD4" w:rsidRPr="00E319B8">
        <w:rPr>
          <w:rFonts w:eastAsia="Calibri" w:cs="Times New Roman"/>
        </w:rPr>
        <w:t xml:space="preserve"> </w:t>
      </w:r>
    </w:p>
    <w:p w14:paraId="024DAF7A" w14:textId="47872057" w:rsidR="00E319B8" w:rsidRDefault="00E319B8" w:rsidP="00B70FD4">
      <w:pPr>
        <w:spacing w:before="240"/>
      </w:pPr>
      <w:r w:rsidRPr="00E319B8">
        <w:t xml:space="preserve">El siguiente cuadro debe presentarse como revelación </w:t>
      </w:r>
      <w:r w:rsidR="00150775">
        <w:t>al 2024</w:t>
      </w:r>
      <w:r w:rsidRPr="00E319B8">
        <w:t>, de acuerdo con sus particularidades.</w:t>
      </w:r>
    </w:p>
    <w:tbl>
      <w:tblPr>
        <w:tblW w:w="8960" w:type="dxa"/>
        <w:tblLook w:val="04A0" w:firstRow="1" w:lastRow="0" w:firstColumn="1" w:lastColumn="0" w:noHBand="0" w:noVBand="1"/>
      </w:tblPr>
      <w:tblGrid>
        <w:gridCol w:w="1840"/>
        <w:gridCol w:w="1840"/>
        <w:gridCol w:w="3460"/>
        <w:gridCol w:w="1820"/>
      </w:tblGrid>
      <w:tr w:rsidR="00BE0876" w:rsidRPr="00AC668C" w14:paraId="5079A93D" w14:textId="77777777" w:rsidTr="004653E2">
        <w:trPr>
          <w:trHeight w:val="310"/>
        </w:trPr>
        <w:tc>
          <w:tcPr>
            <w:tcW w:w="1840" w:type="dxa"/>
            <w:tcBorders>
              <w:top w:val="single" w:sz="8" w:space="0" w:color="auto"/>
              <w:left w:val="single" w:sz="8" w:space="0" w:color="auto"/>
              <w:bottom w:val="single" w:sz="4" w:space="0" w:color="auto"/>
              <w:right w:val="single" w:sz="8" w:space="0" w:color="auto"/>
            </w:tcBorders>
            <w:shd w:val="clear" w:color="000000" w:fill="1F3864"/>
            <w:noWrap/>
            <w:vAlign w:val="center"/>
            <w:hideMark/>
          </w:tcPr>
          <w:p w14:paraId="012D4DAF" w14:textId="77777777" w:rsidR="00BE0876" w:rsidRPr="00AC668C" w:rsidRDefault="00BE0876" w:rsidP="004653E2">
            <w:pPr>
              <w:jc w:val="center"/>
              <w:rPr>
                <w:rFonts w:cs="Calibri"/>
                <w:color w:val="FFFFFF"/>
              </w:rPr>
            </w:pPr>
            <w:r w:rsidRPr="00AC668C">
              <w:rPr>
                <w:rFonts w:cs="Calibri"/>
                <w:color w:val="FFFFFF"/>
              </w:rPr>
              <w:t>Riesgo</w:t>
            </w:r>
          </w:p>
        </w:tc>
        <w:tc>
          <w:tcPr>
            <w:tcW w:w="1840" w:type="dxa"/>
            <w:tcBorders>
              <w:top w:val="single" w:sz="8" w:space="0" w:color="auto"/>
              <w:left w:val="nil"/>
              <w:bottom w:val="single" w:sz="4" w:space="0" w:color="auto"/>
              <w:right w:val="single" w:sz="8" w:space="0" w:color="auto"/>
            </w:tcBorders>
            <w:shd w:val="clear" w:color="000000" w:fill="1F3864"/>
            <w:vAlign w:val="center"/>
            <w:hideMark/>
          </w:tcPr>
          <w:p w14:paraId="4209F017" w14:textId="77777777" w:rsidR="00BE0876" w:rsidRPr="00AC668C" w:rsidRDefault="00BE0876" w:rsidP="004653E2">
            <w:pPr>
              <w:jc w:val="center"/>
              <w:rPr>
                <w:rFonts w:cs="Calibri"/>
                <w:color w:val="FFFFFF"/>
              </w:rPr>
            </w:pPr>
            <w:r w:rsidRPr="00AC668C">
              <w:rPr>
                <w:rFonts w:cs="Calibri"/>
                <w:color w:val="FFFFFF"/>
              </w:rPr>
              <w:t>Grado Impacto</w:t>
            </w:r>
          </w:p>
        </w:tc>
        <w:tc>
          <w:tcPr>
            <w:tcW w:w="3460" w:type="dxa"/>
            <w:tcBorders>
              <w:top w:val="single" w:sz="8" w:space="0" w:color="auto"/>
              <w:left w:val="nil"/>
              <w:bottom w:val="single" w:sz="4" w:space="0" w:color="auto"/>
              <w:right w:val="single" w:sz="8" w:space="0" w:color="auto"/>
            </w:tcBorders>
            <w:shd w:val="clear" w:color="000000" w:fill="1F3864"/>
            <w:vAlign w:val="center"/>
            <w:hideMark/>
          </w:tcPr>
          <w:p w14:paraId="124C8112" w14:textId="77777777" w:rsidR="00BE0876" w:rsidRPr="00AC668C" w:rsidRDefault="00BE0876" w:rsidP="004653E2">
            <w:pPr>
              <w:jc w:val="center"/>
              <w:rPr>
                <w:rFonts w:cs="Calibri"/>
                <w:color w:val="FFFFFF"/>
              </w:rPr>
            </w:pPr>
            <w:r w:rsidRPr="00AC668C">
              <w:rPr>
                <w:rFonts w:cs="Calibri"/>
                <w:color w:val="FFFFFF"/>
              </w:rPr>
              <w:t>Medidas De Contención</w:t>
            </w:r>
          </w:p>
        </w:tc>
        <w:tc>
          <w:tcPr>
            <w:tcW w:w="1820" w:type="dxa"/>
            <w:tcBorders>
              <w:top w:val="single" w:sz="8" w:space="0" w:color="auto"/>
              <w:left w:val="nil"/>
              <w:bottom w:val="single" w:sz="4" w:space="0" w:color="auto"/>
              <w:right w:val="single" w:sz="8" w:space="0" w:color="auto"/>
            </w:tcBorders>
            <w:shd w:val="clear" w:color="000000" w:fill="1F3864"/>
            <w:vAlign w:val="center"/>
            <w:hideMark/>
          </w:tcPr>
          <w:p w14:paraId="1C003EE5" w14:textId="77777777" w:rsidR="00BE0876" w:rsidRPr="00AC668C" w:rsidRDefault="00BE0876" w:rsidP="004653E2">
            <w:pPr>
              <w:jc w:val="center"/>
              <w:rPr>
                <w:rFonts w:cs="Calibri"/>
                <w:color w:val="FFFFFF"/>
              </w:rPr>
            </w:pPr>
            <w:r w:rsidRPr="00AC668C">
              <w:rPr>
                <w:rFonts w:cs="Calibri"/>
                <w:color w:val="FFFFFF"/>
              </w:rPr>
              <w:t>Observaciones</w:t>
            </w:r>
          </w:p>
        </w:tc>
      </w:tr>
      <w:tr w:rsidR="00BE0876" w:rsidRPr="00A13506" w14:paraId="2DEB8B38" w14:textId="77777777" w:rsidTr="004653E2">
        <w:trPr>
          <w:trHeight w:val="2540"/>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5E5F07" w14:textId="77777777" w:rsidR="00BE0876" w:rsidRPr="00A13506" w:rsidRDefault="00BE0876" w:rsidP="004653E2">
            <w:pPr>
              <w:spacing w:after="60" w:line="240" w:lineRule="auto"/>
              <w:rPr>
                <w:rFonts w:cs="Arial"/>
                <w:color w:val="000000"/>
                <w:sz w:val="20"/>
                <w:szCs w:val="20"/>
              </w:rPr>
            </w:pPr>
            <w:r w:rsidRPr="00A13506">
              <w:rPr>
                <w:rFonts w:cs="Arial"/>
                <w:color w:val="000000"/>
                <w:sz w:val="20"/>
                <w:szCs w:val="20"/>
              </w:rPr>
              <w:t>Disminución en el flujo de caja institucional (menos ingresos)</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4D706F87" w14:textId="77777777" w:rsidR="00BE0876" w:rsidRPr="00A13506" w:rsidRDefault="00BE0876" w:rsidP="004653E2">
            <w:pPr>
              <w:spacing w:after="60" w:line="240" w:lineRule="auto"/>
              <w:jc w:val="center"/>
              <w:rPr>
                <w:rFonts w:cs="Arial"/>
                <w:color w:val="000000"/>
                <w:sz w:val="20"/>
                <w:szCs w:val="20"/>
              </w:rPr>
            </w:pPr>
            <w:r w:rsidRPr="00A13506">
              <w:rPr>
                <w:rFonts w:cs="Arial"/>
                <w:color w:val="000000"/>
                <w:sz w:val="20"/>
                <w:szCs w:val="20"/>
              </w:rPr>
              <w:t> Alto</w:t>
            </w:r>
          </w:p>
        </w:tc>
        <w:tc>
          <w:tcPr>
            <w:tcW w:w="3460" w:type="dxa"/>
            <w:tcBorders>
              <w:top w:val="single" w:sz="4" w:space="0" w:color="auto"/>
              <w:left w:val="nil"/>
              <w:bottom w:val="single" w:sz="4" w:space="0" w:color="auto"/>
              <w:right w:val="single" w:sz="4" w:space="0" w:color="auto"/>
            </w:tcBorders>
            <w:shd w:val="clear" w:color="auto" w:fill="auto"/>
            <w:vAlign w:val="center"/>
            <w:hideMark/>
          </w:tcPr>
          <w:p w14:paraId="6D735BAB" w14:textId="77777777" w:rsidR="00BE0876" w:rsidRPr="00A13506" w:rsidRDefault="00BE0876" w:rsidP="004653E2">
            <w:pPr>
              <w:spacing w:after="60" w:line="240" w:lineRule="auto"/>
              <w:rPr>
                <w:rFonts w:cs="Arial"/>
                <w:color w:val="000000"/>
                <w:sz w:val="20"/>
                <w:szCs w:val="20"/>
              </w:rPr>
            </w:pPr>
            <w:r w:rsidRPr="00A13506">
              <w:rPr>
                <w:rFonts w:cs="Arial"/>
                <w:color w:val="000000"/>
                <w:sz w:val="20"/>
                <w:szCs w:val="20"/>
              </w:rPr>
              <w:t>Impulsar el uso de las tecnologías información para el cobro de tributos y atención de consultas ciudadanas.</w:t>
            </w:r>
            <w:r w:rsidRPr="00A13506">
              <w:rPr>
                <w:rFonts w:cs="Arial"/>
                <w:color w:val="000000"/>
                <w:sz w:val="20"/>
                <w:szCs w:val="20"/>
              </w:rPr>
              <w:br/>
            </w:r>
            <w:r w:rsidRPr="00A13506">
              <w:rPr>
                <w:rFonts w:cs="Arial"/>
                <w:color w:val="000000"/>
                <w:sz w:val="20"/>
                <w:szCs w:val="20"/>
              </w:rPr>
              <w:br/>
              <w:t>Hacer uso de los medios dispuestos para el cobro de tributos en línea.</w:t>
            </w:r>
            <w:r w:rsidRPr="00A13506">
              <w:rPr>
                <w:rFonts w:cs="Arial"/>
                <w:color w:val="000000"/>
                <w:sz w:val="20"/>
                <w:szCs w:val="20"/>
              </w:rPr>
              <w:br/>
            </w:r>
            <w:r w:rsidRPr="00A13506">
              <w:rPr>
                <w:rFonts w:cs="Arial"/>
                <w:color w:val="000000"/>
                <w:sz w:val="20"/>
                <w:szCs w:val="20"/>
              </w:rPr>
              <w:br/>
              <w:t>Formular y poner en práctica políticas y protocolos para atención de trámites ciudadanos con alguna limitación para uso de trámites digitales.</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7D908FDA" w14:textId="77777777" w:rsidR="00BE0876" w:rsidRPr="00A13506" w:rsidRDefault="00BE0876" w:rsidP="004653E2">
            <w:pPr>
              <w:spacing w:after="60" w:line="240" w:lineRule="auto"/>
              <w:rPr>
                <w:rFonts w:cs="Arial"/>
                <w:color w:val="000000"/>
                <w:sz w:val="20"/>
                <w:szCs w:val="20"/>
              </w:rPr>
            </w:pPr>
            <w:r w:rsidRPr="00A13506">
              <w:rPr>
                <w:rFonts w:cs="Arial"/>
                <w:color w:val="000000"/>
                <w:sz w:val="20"/>
                <w:szCs w:val="20"/>
              </w:rPr>
              <w:t xml:space="preserve"> </w:t>
            </w:r>
          </w:p>
        </w:tc>
      </w:tr>
      <w:tr w:rsidR="00BE0876" w:rsidRPr="00A13506" w14:paraId="188270C2" w14:textId="77777777" w:rsidTr="004653E2">
        <w:trPr>
          <w:trHeight w:val="3188"/>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8A1E9" w14:textId="77777777" w:rsidR="00BE0876" w:rsidRPr="00A13506" w:rsidRDefault="00BE0876" w:rsidP="004653E2">
            <w:pPr>
              <w:spacing w:after="60" w:line="240" w:lineRule="auto"/>
              <w:rPr>
                <w:rFonts w:cs="Arial"/>
                <w:color w:val="000000"/>
                <w:sz w:val="20"/>
                <w:szCs w:val="20"/>
              </w:rPr>
            </w:pPr>
            <w:r w:rsidRPr="00A13506">
              <w:rPr>
                <w:rFonts w:cs="Arial"/>
                <w:color w:val="000000"/>
                <w:sz w:val="20"/>
                <w:szCs w:val="20"/>
              </w:rPr>
              <w:t xml:space="preserve">No se cuenta con una automatización completa de los servicios Municipales, los cuales se lleven a cabo a través </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7834D2" w14:textId="77777777" w:rsidR="00BE0876" w:rsidRPr="00A13506" w:rsidRDefault="00BE0876" w:rsidP="004653E2">
            <w:pPr>
              <w:spacing w:after="60" w:line="240" w:lineRule="auto"/>
              <w:jc w:val="center"/>
              <w:rPr>
                <w:rFonts w:cs="Arial"/>
                <w:color w:val="000000"/>
                <w:sz w:val="20"/>
                <w:szCs w:val="20"/>
              </w:rPr>
            </w:pPr>
            <w:r w:rsidRPr="00A13506">
              <w:rPr>
                <w:rFonts w:cs="Arial"/>
                <w:color w:val="000000"/>
                <w:sz w:val="20"/>
                <w:szCs w:val="20"/>
              </w:rPr>
              <w:t> 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8F3993" w14:textId="77777777" w:rsidR="00BE0876" w:rsidRPr="00A13506" w:rsidRDefault="00BE0876" w:rsidP="004653E2">
            <w:pPr>
              <w:spacing w:after="60" w:line="240" w:lineRule="auto"/>
              <w:rPr>
                <w:rFonts w:cs="Arial"/>
                <w:color w:val="000000"/>
                <w:sz w:val="20"/>
                <w:szCs w:val="20"/>
              </w:rPr>
            </w:pPr>
            <w:r w:rsidRPr="00A13506">
              <w:rPr>
                <w:rFonts w:cs="Arial"/>
                <w:color w:val="000000"/>
                <w:sz w:val="20"/>
                <w:szCs w:val="20"/>
              </w:rPr>
              <w:t>Impulsar el uso de las tecnologías información para el cobro de tributos y atención de consultas ciudadanas.</w:t>
            </w:r>
            <w:r w:rsidRPr="00A13506">
              <w:rPr>
                <w:rFonts w:cs="Arial"/>
                <w:color w:val="000000"/>
                <w:sz w:val="20"/>
                <w:szCs w:val="20"/>
              </w:rPr>
              <w:br/>
              <w:t>Fortalecer la gestión de las distintas unidades administrativas tendentes a mejorar los servicios que presta la Municipalidad.</w:t>
            </w:r>
            <w:r w:rsidRPr="00A13506">
              <w:rPr>
                <w:rFonts w:cs="Arial"/>
                <w:color w:val="000000"/>
                <w:sz w:val="20"/>
                <w:szCs w:val="20"/>
              </w:rPr>
              <w:br/>
              <w:t>Buscar mejorar las condiciones de trabajo aplicando distintas medidas como, habilitando nuevos espacios físicos, la modalidad de teletrabajo.</w:t>
            </w:r>
            <w:r w:rsidRPr="00A13506">
              <w:rPr>
                <w:rFonts w:cs="Arial"/>
                <w:color w:val="000000"/>
                <w:sz w:val="20"/>
                <w:szCs w:val="20"/>
              </w:rPr>
              <w:br/>
              <w:t>Plantear la necesidad de una revisión de los procesos a cargo de los diferentes departamentos con el fin de evaluar las cargas de trabajo.</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A09BB6" w14:textId="77777777" w:rsidR="00BE0876" w:rsidRPr="00A13506" w:rsidRDefault="00BE0876" w:rsidP="004653E2">
            <w:pPr>
              <w:spacing w:after="60" w:line="240" w:lineRule="auto"/>
              <w:rPr>
                <w:rFonts w:cs="Arial"/>
                <w:color w:val="000000"/>
                <w:sz w:val="20"/>
                <w:szCs w:val="20"/>
              </w:rPr>
            </w:pPr>
            <w:r w:rsidRPr="00A13506">
              <w:rPr>
                <w:rFonts w:cs="Arial"/>
                <w:color w:val="000000"/>
                <w:sz w:val="20"/>
                <w:szCs w:val="20"/>
              </w:rPr>
              <w:t> </w:t>
            </w:r>
          </w:p>
        </w:tc>
      </w:tr>
      <w:tr w:rsidR="00BE0876" w:rsidRPr="00A13506" w14:paraId="40B4DFA7" w14:textId="77777777" w:rsidTr="004653E2">
        <w:trPr>
          <w:trHeight w:val="2540"/>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2C7B92" w14:textId="77777777" w:rsidR="00BE0876" w:rsidRPr="00A13506" w:rsidRDefault="00BE0876" w:rsidP="004653E2">
            <w:pPr>
              <w:spacing w:after="60" w:line="240" w:lineRule="auto"/>
              <w:rPr>
                <w:rFonts w:cs="Arial"/>
                <w:color w:val="000000"/>
                <w:sz w:val="20"/>
                <w:szCs w:val="20"/>
              </w:rPr>
            </w:pPr>
            <w:r w:rsidRPr="00A13506">
              <w:rPr>
                <w:rFonts w:cs="Arial"/>
                <w:color w:val="000000"/>
                <w:sz w:val="20"/>
                <w:szCs w:val="20"/>
              </w:rPr>
              <w:t>Afectación en la prestación de los servicios a las personas contribuyentes.</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D799D" w14:textId="77777777" w:rsidR="00BE0876" w:rsidRPr="00A13506" w:rsidRDefault="00BE0876" w:rsidP="004653E2">
            <w:pPr>
              <w:spacing w:after="60" w:line="240" w:lineRule="auto"/>
              <w:jc w:val="center"/>
              <w:rPr>
                <w:rFonts w:cs="Calibri"/>
                <w:color w:val="000000"/>
                <w:sz w:val="20"/>
                <w:szCs w:val="20"/>
              </w:rPr>
            </w:pPr>
            <w:r w:rsidRPr="00A13506">
              <w:rPr>
                <w:rFonts w:cs="Calibri"/>
                <w:color w:val="000000"/>
                <w:sz w:val="20"/>
                <w:szCs w:val="20"/>
              </w:rPr>
              <w:t>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7F5340" w14:textId="77777777" w:rsidR="00BE0876" w:rsidRPr="00A13506" w:rsidRDefault="00BE0876" w:rsidP="004653E2">
            <w:pPr>
              <w:spacing w:after="60" w:line="240" w:lineRule="auto"/>
              <w:rPr>
                <w:rFonts w:cs="Arial"/>
                <w:color w:val="000000"/>
                <w:sz w:val="20"/>
                <w:szCs w:val="20"/>
              </w:rPr>
            </w:pPr>
            <w:r w:rsidRPr="00A13506">
              <w:rPr>
                <w:rFonts w:cs="Arial"/>
                <w:color w:val="000000"/>
                <w:sz w:val="20"/>
                <w:szCs w:val="20"/>
              </w:rPr>
              <w:t xml:space="preserve">Impulsar las acciones de mejora para generar información financiera y de gestión oportuna y confiable para la toma de decisiones. </w:t>
            </w:r>
            <w:r w:rsidRPr="00A13506">
              <w:rPr>
                <w:rFonts w:cs="Arial"/>
                <w:color w:val="000000"/>
                <w:sz w:val="20"/>
                <w:szCs w:val="20"/>
              </w:rPr>
              <w:br/>
              <w:t>Impulsar mejoras del sistema de control interno institucional mediante la formulación de procedimientos y herramientas que coadyuven en el mejor desempeño de las funciones.</w:t>
            </w:r>
            <w:r w:rsidRPr="00A13506">
              <w:rPr>
                <w:rFonts w:cs="Arial"/>
                <w:color w:val="000000"/>
                <w:sz w:val="20"/>
                <w:szCs w:val="20"/>
              </w:rPr>
              <w:br/>
              <w:t>Establecer las estrategias financieras que minimicen los riesgos de impactar en la continuidad de la prestación de los servicios municipales.</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A9A894" w14:textId="77777777" w:rsidR="00BE0876" w:rsidRPr="00A13506" w:rsidRDefault="00BE0876" w:rsidP="004653E2">
            <w:pPr>
              <w:spacing w:after="60" w:line="240" w:lineRule="auto"/>
              <w:rPr>
                <w:rFonts w:cs="Arial"/>
                <w:color w:val="000000"/>
                <w:sz w:val="20"/>
                <w:szCs w:val="20"/>
              </w:rPr>
            </w:pPr>
            <w:r w:rsidRPr="00A13506">
              <w:rPr>
                <w:rFonts w:cs="Arial"/>
                <w:color w:val="000000"/>
                <w:sz w:val="20"/>
                <w:szCs w:val="20"/>
              </w:rPr>
              <w:t> </w:t>
            </w:r>
          </w:p>
        </w:tc>
      </w:tr>
      <w:tr w:rsidR="00BE0876" w:rsidRPr="00A13506" w14:paraId="216A6146" w14:textId="77777777" w:rsidTr="004653E2">
        <w:trPr>
          <w:trHeight w:val="1813"/>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4D1BF" w14:textId="77777777" w:rsidR="00BE0876" w:rsidRPr="00A13506" w:rsidRDefault="00BE0876" w:rsidP="004653E2">
            <w:pPr>
              <w:spacing w:after="60" w:line="240" w:lineRule="auto"/>
              <w:rPr>
                <w:rFonts w:cs="Arial"/>
                <w:color w:val="000000"/>
                <w:sz w:val="20"/>
                <w:szCs w:val="20"/>
              </w:rPr>
            </w:pPr>
            <w:r w:rsidRPr="00A13506">
              <w:rPr>
                <w:rFonts w:cs="Arial"/>
                <w:color w:val="000000"/>
                <w:sz w:val="20"/>
                <w:szCs w:val="20"/>
              </w:rPr>
              <w:t>Retraso en la ejecución de proyectos de inversión.</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F828C" w14:textId="77777777" w:rsidR="00BE0876" w:rsidRPr="00A13506" w:rsidRDefault="00BE0876" w:rsidP="004653E2">
            <w:pPr>
              <w:spacing w:after="60" w:line="240" w:lineRule="auto"/>
              <w:jc w:val="center"/>
              <w:rPr>
                <w:rFonts w:cs="Calibri"/>
                <w:color w:val="000000"/>
                <w:sz w:val="20"/>
                <w:szCs w:val="20"/>
              </w:rPr>
            </w:pPr>
            <w:r w:rsidRPr="00A13506">
              <w:rPr>
                <w:rFonts w:cs="Calibri"/>
                <w:color w:val="000000"/>
                <w:sz w:val="20"/>
                <w:szCs w:val="20"/>
              </w:rPr>
              <w:t>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E01FEE" w14:textId="77777777" w:rsidR="00BE0876" w:rsidRPr="00A13506" w:rsidRDefault="00BE0876" w:rsidP="004653E2">
            <w:pPr>
              <w:spacing w:after="60" w:line="240" w:lineRule="auto"/>
              <w:rPr>
                <w:rFonts w:cs="Arial"/>
                <w:color w:val="000000"/>
                <w:sz w:val="20"/>
                <w:szCs w:val="20"/>
              </w:rPr>
            </w:pPr>
            <w:r w:rsidRPr="00A13506">
              <w:rPr>
                <w:rFonts w:cs="Arial"/>
                <w:color w:val="000000"/>
                <w:sz w:val="20"/>
                <w:szCs w:val="20"/>
              </w:rPr>
              <w:t xml:space="preserve">Fortalecer el proceso de planificación institucional que permita garantizar a la población la prestación de los servicios actuales y nuevos, así como la ejecución de obras públicas. </w:t>
            </w:r>
            <w:r w:rsidRPr="00A13506">
              <w:rPr>
                <w:rFonts w:cs="Arial"/>
                <w:color w:val="000000"/>
                <w:sz w:val="20"/>
                <w:szCs w:val="20"/>
              </w:rPr>
              <w:br/>
              <w:t>Impulsar las acciones de mejora para D10generar información financiera y de gestión oportuna y confiable para la toma de decisiones</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35DCF5" w14:textId="77777777" w:rsidR="00BE0876" w:rsidRPr="00A13506" w:rsidRDefault="00BE0876" w:rsidP="004653E2">
            <w:pPr>
              <w:spacing w:after="60" w:line="240" w:lineRule="auto"/>
              <w:rPr>
                <w:rFonts w:cs="Arial"/>
                <w:color w:val="000000"/>
                <w:sz w:val="20"/>
                <w:szCs w:val="20"/>
              </w:rPr>
            </w:pPr>
            <w:r w:rsidRPr="00A13506">
              <w:rPr>
                <w:rFonts w:cs="Arial"/>
                <w:color w:val="000000"/>
                <w:sz w:val="20"/>
                <w:szCs w:val="20"/>
              </w:rPr>
              <w:t> </w:t>
            </w:r>
          </w:p>
        </w:tc>
      </w:tr>
      <w:tr w:rsidR="00BE0876" w:rsidRPr="00A13506" w14:paraId="206FFB7B" w14:textId="77777777" w:rsidTr="004653E2">
        <w:trPr>
          <w:trHeight w:val="1850"/>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226BBC" w14:textId="77777777" w:rsidR="00BE0876" w:rsidRPr="00A13506" w:rsidRDefault="00BE0876" w:rsidP="004653E2">
            <w:pPr>
              <w:spacing w:after="60" w:line="240" w:lineRule="auto"/>
              <w:rPr>
                <w:rFonts w:cs="Arial"/>
                <w:color w:val="000000"/>
                <w:sz w:val="20"/>
                <w:szCs w:val="20"/>
              </w:rPr>
            </w:pPr>
            <w:r w:rsidRPr="00A13506">
              <w:rPr>
                <w:rFonts w:cs="Arial"/>
                <w:color w:val="000000"/>
                <w:sz w:val="20"/>
                <w:szCs w:val="20"/>
              </w:rPr>
              <w:t>Alto volumen de trabajo en relación con la disponibilidad de recurso humano y limitaciones de espacio físico.</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BD2B5" w14:textId="77777777" w:rsidR="00BE0876" w:rsidRPr="00A13506" w:rsidRDefault="00BE0876" w:rsidP="004653E2">
            <w:pPr>
              <w:spacing w:after="60" w:line="240" w:lineRule="auto"/>
              <w:jc w:val="center"/>
              <w:rPr>
                <w:rFonts w:cs="Calibri"/>
                <w:color w:val="000000"/>
                <w:sz w:val="20"/>
                <w:szCs w:val="20"/>
              </w:rPr>
            </w:pPr>
            <w:r w:rsidRPr="00A13506">
              <w:rPr>
                <w:rFonts w:cs="Calibri"/>
                <w:color w:val="000000"/>
                <w:sz w:val="20"/>
                <w:szCs w:val="20"/>
              </w:rPr>
              <w:t>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1F2133" w14:textId="77777777" w:rsidR="00BE0876" w:rsidRPr="00A13506" w:rsidRDefault="00BE0876" w:rsidP="004653E2">
            <w:pPr>
              <w:spacing w:after="60" w:line="240" w:lineRule="auto"/>
              <w:rPr>
                <w:rFonts w:cs="Arial"/>
                <w:color w:val="000000"/>
                <w:sz w:val="20"/>
                <w:szCs w:val="20"/>
              </w:rPr>
            </w:pPr>
            <w:r w:rsidRPr="00A13506">
              <w:rPr>
                <w:rFonts w:cs="Arial"/>
                <w:color w:val="000000"/>
                <w:sz w:val="20"/>
                <w:szCs w:val="20"/>
              </w:rPr>
              <w:t xml:space="preserve">Buscar mejorar las condiciones de trabajo aplicando distintas medidas como, habilitando nuevos espacios físicos, la modalidad de teletrabajo. </w:t>
            </w:r>
            <w:r w:rsidRPr="00A13506">
              <w:rPr>
                <w:rFonts w:cs="Arial"/>
                <w:color w:val="000000"/>
                <w:sz w:val="20"/>
                <w:szCs w:val="20"/>
              </w:rPr>
              <w:br/>
              <w:t>Plantear la necesidad de una revisión de los procesos a cargo de los diferentes departamentos con el fin de evaluar las cargas de trabajo.</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498B41" w14:textId="77777777" w:rsidR="00BE0876" w:rsidRPr="00A13506" w:rsidRDefault="00BE0876" w:rsidP="004653E2">
            <w:pPr>
              <w:spacing w:after="60" w:line="240" w:lineRule="auto"/>
              <w:rPr>
                <w:rFonts w:cs="Arial"/>
                <w:color w:val="000000"/>
                <w:sz w:val="20"/>
                <w:szCs w:val="20"/>
              </w:rPr>
            </w:pPr>
            <w:r w:rsidRPr="00A13506">
              <w:rPr>
                <w:rFonts w:cs="Arial"/>
                <w:color w:val="000000"/>
                <w:sz w:val="20"/>
                <w:szCs w:val="20"/>
              </w:rPr>
              <w:t> </w:t>
            </w:r>
          </w:p>
        </w:tc>
      </w:tr>
      <w:tr w:rsidR="00BE0876" w:rsidRPr="00A13506" w14:paraId="1959572E" w14:textId="77777777" w:rsidTr="004653E2">
        <w:trPr>
          <w:trHeight w:val="2472"/>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0F6060" w14:textId="77777777" w:rsidR="00BE0876" w:rsidRPr="00A13506" w:rsidRDefault="00BE0876" w:rsidP="004653E2">
            <w:pPr>
              <w:spacing w:after="60" w:line="240" w:lineRule="auto"/>
              <w:rPr>
                <w:rFonts w:cs="Arial"/>
                <w:color w:val="000000"/>
                <w:sz w:val="20"/>
                <w:szCs w:val="20"/>
              </w:rPr>
            </w:pPr>
            <w:r w:rsidRPr="00A13506">
              <w:rPr>
                <w:rFonts w:cs="Arial"/>
                <w:color w:val="000000"/>
                <w:sz w:val="20"/>
                <w:szCs w:val="20"/>
              </w:rPr>
              <w:t>Ausencia de un sistema de información integrado para el control de cuentas por cobrar, inventario, propiedad, planta y equipo y, cuentas por pagar.</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0F7B2" w14:textId="77777777" w:rsidR="00BE0876" w:rsidRPr="00A13506" w:rsidRDefault="00BE0876" w:rsidP="004653E2">
            <w:pPr>
              <w:spacing w:after="60" w:line="240" w:lineRule="auto"/>
              <w:jc w:val="center"/>
              <w:rPr>
                <w:rFonts w:cs="Calibri"/>
                <w:color w:val="000000"/>
                <w:sz w:val="20"/>
                <w:szCs w:val="20"/>
              </w:rPr>
            </w:pPr>
            <w:r w:rsidRPr="00A13506">
              <w:rPr>
                <w:rFonts w:cs="Calibri"/>
                <w:color w:val="000000"/>
                <w:sz w:val="20"/>
                <w:szCs w:val="20"/>
              </w:rPr>
              <w:t>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B6A0A" w14:textId="77777777" w:rsidR="00BE0876" w:rsidRPr="00A13506" w:rsidRDefault="00BE0876" w:rsidP="004653E2">
            <w:pPr>
              <w:spacing w:after="60" w:line="240" w:lineRule="auto"/>
              <w:rPr>
                <w:rFonts w:cs="Arial"/>
                <w:color w:val="000000"/>
                <w:sz w:val="20"/>
                <w:szCs w:val="20"/>
              </w:rPr>
            </w:pPr>
            <w:r w:rsidRPr="00A13506">
              <w:rPr>
                <w:rFonts w:cs="Arial"/>
                <w:color w:val="000000"/>
                <w:sz w:val="20"/>
                <w:szCs w:val="20"/>
              </w:rPr>
              <w:t xml:space="preserve">Impulsar las acciones de mejora para generar información financiera y de gestión oportuna y confiable para la toma de decisiones. </w:t>
            </w:r>
            <w:r w:rsidRPr="00A13506">
              <w:rPr>
                <w:rFonts w:cs="Arial"/>
                <w:color w:val="000000"/>
                <w:sz w:val="20"/>
                <w:szCs w:val="20"/>
              </w:rPr>
              <w:br/>
              <w:t xml:space="preserve">Impulsar mejoras del sistema de control interno institucional mediante la formulación de procedimientos y herramientas que coadyuven en el mejor desempeño de las funciones. </w:t>
            </w:r>
            <w:r w:rsidRPr="00A13506">
              <w:rPr>
                <w:rFonts w:cs="Arial"/>
                <w:color w:val="000000"/>
                <w:sz w:val="20"/>
                <w:szCs w:val="20"/>
              </w:rPr>
              <w:br/>
              <w:t>Aprovechar los servicios de asesoría externa contratados para fortalecer la gestión institucional.</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FFF4A5" w14:textId="77777777" w:rsidR="00BE0876" w:rsidRPr="00A13506" w:rsidRDefault="00BE0876" w:rsidP="004653E2">
            <w:pPr>
              <w:spacing w:after="60" w:line="240" w:lineRule="auto"/>
              <w:rPr>
                <w:rFonts w:cs="Arial"/>
                <w:color w:val="000000"/>
                <w:sz w:val="20"/>
                <w:szCs w:val="20"/>
              </w:rPr>
            </w:pPr>
            <w:r w:rsidRPr="00A13506">
              <w:rPr>
                <w:rFonts w:cs="Arial"/>
                <w:color w:val="000000"/>
                <w:sz w:val="20"/>
                <w:szCs w:val="20"/>
              </w:rPr>
              <w:t> </w:t>
            </w:r>
          </w:p>
        </w:tc>
      </w:tr>
      <w:tr w:rsidR="00BE0876" w:rsidRPr="00A13506" w14:paraId="187CA9B3" w14:textId="77777777" w:rsidTr="004653E2">
        <w:trPr>
          <w:trHeight w:val="1685"/>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722F4B" w14:textId="77777777" w:rsidR="00BE0876" w:rsidRPr="00A13506" w:rsidRDefault="00BE0876" w:rsidP="004653E2">
            <w:pPr>
              <w:spacing w:after="60" w:line="240" w:lineRule="auto"/>
              <w:rPr>
                <w:rFonts w:cs="Arial"/>
                <w:color w:val="000000"/>
                <w:sz w:val="20"/>
                <w:szCs w:val="20"/>
              </w:rPr>
            </w:pPr>
            <w:r w:rsidRPr="00A13506">
              <w:rPr>
                <w:rFonts w:cs="Arial"/>
                <w:color w:val="000000"/>
                <w:sz w:val="20"/>
                <w:szCs w:val="20"/>
              </w:rPr>
              <w:t>Limitaciones de recursos para la atención de emergencias y solicitudes de los ciudadanos.</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D10D6" w14:textId="77777777" w:rsidR="00BE0876" w:rsidRPr="00A13506" w:rsidRDefault="00BE0876" w:rsidP="004653E2">
            <w:pPr>
              <w:spacing w:after="60" w:line="240" w:lineRule="auto"/>
              <w:jc w:val="center"/>
              <w:rPr>
                <w:rFonts w:cs="Calibri"/>
                <w:color w:val="000000"/>
                <w:sz w:val="20"/>
                <w:szCs w:val="20"/>
              </w:rPr>
            </w:pPr>
            <w:r w:rsidRPr="00A13506">
              <w:rPr>
                <w:rFonts w:cs="Calibri"/>
                <w:color w:val="000000"/>
                <w:sz w:val="20"/>
                <w:szCs w:val="20"/>
              </w:rPr>
              <w:t>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CBAB40" w14:textId="77777777" w:rsidR="00BE0876" w:rsidRPr="00A13506" w:rsidRDefault="00BE0876" w:rsidP="004653E2">
            <w:pPr>
              <w:spacing w:after="60" w:line="240" w:lineRule="auto"/>
              <w:rPr>
                <w:rFonts w:cs="Arial"/>
                <w:color w:val="000000"/>
                <w:sz w:val="20"/>
                <w:szCs w:val="20"/>
              </w:rPr>
            </w:pPr>
            <w:r w:rsidRPr="00A13506">
              <w:rPr>
                <w:rFonts w:cs="Arial"/>
                <w:color w:val="000000"/>
                <w:sz w:val="20"/>
                <w:szCs w:val="20"/>
              </w:rPr>
              <w:t xml:space="preserve">Impulsar la suscripción de convenios o alianzas con instituciones pública y/ privadas para mejorar gestión institucional. </w:t>
            </w:r>
            <w:r w:rsidRPr="00A13506">
              <w:rPr>
                <w:rFonts w:cs="Arial"/>
                <w:color w:val="000000"/>
                <w:sz w:val="20"/>
                <w:szCs w:val="20"/>
              </w:rPr>
              <w:br/>
              <w:t>Impulsar las acciones de mejora para generar información financiera y de gestión oportuna y confiable para la toma de decisiones.</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7570FF" w14:textId="77777777" w:rsidR="00BE0876" w:rsidRPr="00A13506" w:rsidRDefault="00BE0876" w:rsidP="004653E2">
            <w:pPr>
              <w:spacing w:after="60" w:line="240" w:lineRule="auto"/>
              <w:rPr>
                <w:rFonts w:cs="Arial"/>
                <w:color w:val="000000"/>
                <w:sz w:val="20"/>
                <w:szCs w:val="20"/>
              </w:rPr>
            </w:pPr>
            <w:r w:rsidRPr="00A13506">
              <w:rPr>
                <w:rFonts w:cs="Arial"/>
                <w:color w:val="000000"/>
                <w:sz w:val="20"/>
                <w:szCs w:val="20"/>
              </w:rPr>
              <w:t> </w:t>
            </w:r>
          </w:p>
        </w:tc>
      </w:tr>
      <w:tr w:rsidR="00BE0876" w:rsidRPr="00A13506" w14:paraId="7B698693" w14:textId="77777777" w:rsidTr="004653E2">
        <w:trPr>
          <w:trHeight w:val="2815"/>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870150" w14:textId="77777777" w:rsidR="00BE0876" w:rsidRPr="00A13506" w:rsidRDefault="00BE0876" w:rsidP="004653E2">
            <w:pPr>
              <w:spacing w:after="60" w:line="240" w:lineRule="auto"/>
              <w:rPr>
                <w:rFonts w:cs="Arial"/>
                <w:color w:val="000000"/>
                <w:sz w:val="20"/>
                <w:szCs w:val="20"/>
              </w:rPr>
            </w:pPr>
            <w:r w:rsidRPr="00A13506">
              <w:rPr>
                <w:rFonts w:cs="Arial"/>
                <w:color w:val="000000"/>
                <w:sz w:val="20"/>
                <w:szCs w:val="20"/>
              </w:rPr>
              <w:t>Ausencia de sistemas de información integrados actualmente</w:t>
            </w:r>
          </w:p>
        </w:tc>
        <w:tc>
          <w:tcPr>
            <w:tcW w:w="1840" w:type="dxa"/>
            <w:tcBorders>
              <w:top w:val="single" w:sz="4" w:space="0" w:color="auto"/>
              <w:left w:val="nil"/>
              <w:bottom w:val="single" w:sz="4" w:space="0" w:color="auto"/>
              <w:right w:val="nil"/>
            </w:tcBorders>
            <w:shd w:val="clear" w:color="auto" w:fill="auto"/>
            <w:noWrap/>
            <w:vAlign w:val="center"/>
            <w:hideMark/>
          </w:tcPr>
          <w:p w14:paraId="3349FFE7" w14:textId="77777777" w:rsidR="00BE0876" w:rsidRPr="00A13506" w:rsidRDefault="00BE0876" w:rsidP="004653E2">
            <w:pPr>
              <w:spacing w:after="60" w:line="240" w:lineRule="auto"/>
              <w:jc w:val="center"/>
              <w:rPr>
                <w:rFonts w:cs="Calibri"/>
                <w:color w:val="000000"/>
                <w:sz w:val="20"/>
                <w:szCs w:val="20"/>
              </w:rPr>
            </w:pPr>
            <w:r w:rsidRPr="00A13506">
              <w:rPr>
                <w:rFonts w:cs="Calibri"/>
                <w:color w:val="000000"/>
                <w:sz w:val="20"/>
                <w:szCs w:val="20"/>
              </w:rPr>
              <w:t>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EB1058" w14:textId="77777777" w:rsidR="00BE0876" w:rsidRPr="00A13506" w:rsidRDefault="00BE0876" w:rsidP="004653E2">
            <w:pPr>
              <w:spacing w:after="60" w:line="240" w:lineRule="auto"/>
              <w:rPr>
                <w:rFonts w:cs="Arial"/>
                <w:color w:val="000000"/>
                <w:sz w:val="20"/>
                <w:szCs w:val="20"/>
              </w:rPr>
            </w:pPr>
            <w:r w:rsidRPr="00A13506">
              <w:rPr>
                <w:rFonts w:cs="Arial"/>
                <w:color w:val="000000"/>
                <w:sz w:val="20"/>
                <w:szCs w:val="20"/>
              </w:rPr>
              <w:t xml:space="preserve">Impulsar el uso de las tecnologías información para el cobro de tributos y atención de consultas ciudadanas. </w:t>
            </w:r>
            <w:r w:rsidRPr="00A13506">
              <w:rPr>
                <w:rFonts w:cs="Arial"/>
                <w:color w:val="000000"/>
                <w:sz w:val="20"/>
                <w:szCs w:val="20"/>
              </w:rPr>
              <w:br/>
              <w:t>Fortalecer la gestión de las distintas unidades administrativas tendentes a mejorar los servicios que presta la Municipalidad e impulsando el proceso de implementación del sistema de información integrado, adquirido por la Municipalidad.</w:t>
            </w:r>
            <w:r w:rsidRPr="00A13506">
              <w:rPr>
                <w:rFonts w:cs="Arial"/>
                <w:color w:val="000000"/>
                <w:sz w:val="20"/>
                <w:szCs w:val="20"/>
              </w:rPr>
              <w:br/>
              <w:t>Buscar mejorar las condiciones de trabajo aplicando distintas medidas como, habilitando nuevos espacios físicos, la modalidad de teletrabajo.</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2CDED3A1" w14:textId="77777777" w:rsidR="00BE0876" w:rsidRPr="00A13506" w:rsidRDefault="00BE0876" w:rsidP="004653E2">
            <w:pPr>
              <w:spacing w:after="60" w:line="240" w:lineRule="auto"/>
              <w:rPr>
                <w:rFonts w:cs="Arial"/>
                <w:color w:val="000000"/>
                <w:sz w:val="20"/>
                <w:szCs w:val="20"/>
              </w:rPr>
            </w:pPr>
            <w:r w:rsidRPr="00A13506">
              <w:rPr>
                <w:rFonts w:cs="Arial"/>
                <w:color w:val="000000"/>
                <w:sz w:val="20"/>
                <w:szCs w:val="20"/>
              </w:rPr>
              <w:t> </w:t>
            </w:r>
          </w:p>
        </w:tc>
      </w:tr>
      <w:tr w:rsidR="00BE0876" w:rsidRPr="00A13506" w14:paraId="38690260" w14:textId="77777777" w:rsidTr="004653E2">
        <w:trPr>
          <w:trHeight w:val="1609"/>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5CB35C" w14:textId="77777777" w:rsidR="00BE0876" w:rsidRPr="00A13506" w:rsidRDefault="00BE0876" w:rsidP="004653E2">
            <w:pPr>
              <w:spacing w:after="60" w:line="240" w:lineRule="auto"/>
              <w:rPr>
                <w:rFonts w:cs="Arial"/>
                <w:color w:val="000000"/>
                <w:sz w:val="20"/>
                <w:szCs w:val="20"/>
              </w:rPr>
            </w:pPr>
            <w:r w:rsidRPr="00A13506">
              <w:rPr>
                <w:rFonts w:cs="Arial"/>
                <w:color w:val="000000"/>
                <w:sz w:val="20"/>
                <w:szCs w:val="20"/>
              </w:rPr>
              <w:t>Limitaciones presupuestarias</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990EF" w14:textId="77777777" w:rsidR="00BE0876" w:rsidRPr="00A13506" w:rsidRDefault="00BE0876" w:rsidP="004653E2">
            <w:pPr>
              <w:spacing w:after="60" w:line="240" w:lineRule="auto"/>
              <w:jc w:val="center"/>
              <w:rPr>
                <w:rFonts w:cs="Calibri"/>
                <w:color w:val="000000"/>
                <w:sz w:val="20"/>
                <w:szCs w:val="20"/>
              </w:rPr>
            </w:pPr>
            <w:r w:rsidRPr="00A13506">
              <w:rPr>
                <w:rFonts w:cs="Calibri"/>
                <w:color w:val="000000"/>
                <w:sz w:val="20"/>
                <w:szCs w:val="20"/>
              </w:rPr>
              <w:t>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1A09BA" w14:textId="77777777" w:rsidR="00BE0876" w:rsidRPr="00A13506" w:rsidRDefault="00BE0876" w:rsidP="004653E2">
            <w:pPr>
              <w:spacing w:after="60" w:line="240" w:lineRule="auto"/>
              <w:rPr>
                <w:rFonts w:cs="Arial"/>
                <w:color w:val="000000"/>
                <w:sz w:val="20"/>
                <w:szCs w:val="20"/>
              </w:rPr>
            </w:pPr>
            <w:r w:rsidRPr="00A13506">
              <w:rPr>
                <w:rFonts w:cs="Arial"/>
                <w:color w:val="000000"/>
                <w:sz w:val="20"/>
                <w:szCs w:val="20"/>
              </w:rPr>
              <w:t xml:space="preserve">Establecer las estrategias financieras que minimicen los riesgos de impactar en la continuidad de la prestación de los servicios municipales. </w:t>
            </w:r>
            <w:r w:rsidRPr="00A13506">
              <w:rPr>
                <w:rFonts w:cs="Arial"/>
                <w:color w:val="000000"/>
                <w:sz w:val="20"/>
                <w:szCs w:val="20"/>
              </w:rPr>
              <w:br/>
              <w:t>Mantener un monitoreo permanente sobre el comportamiento de los ingresos y egresos municipales, con el fin de tomar medidas correctivas oportunas.</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F3E36F" w14:textId="77777777" w:rsidR="00BE0876" w:rsidRPr="00A13506" w:rsidRDefault="00BE0876" w:rsidP="004653E2">
            <w:pPr>
              <w:spacing w:after="60" w:line="240" w:lineRule="auto"/>
              <w:rPr>
                <w:rFonts w:cs="Arial"/>
                <w:color w:val="000000"/>
                <w:sz w:val="20"/>
                <w:szCs w:val="20"/>
              </w:rPr>
            </w:pPr>
            <w:r w:rsidRPr="00A13506">
              <w:rPr>
                <w:rFonts w:cs="Arial"/>
                <w:color w:val="000000"/>
                <w:sz w:val="20"/>
                <w:szCs w:val="20"/>
              </w:rPr>
              <w:t> </w:t>
            </w:r>
          </w:p>
        </w:tc>
      </w:tr>
      <w:tr w:rsidR="00BE0876" w:rsidRPr="00A13506" w14:paraId="02BAF90D" w14:textId="77777777" w:rsidTr="004653E2">
        <w:trPr>
          <w:trHeight w:val="558"/>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CE9AE" w14:textId="77777777" w:rsidR="00BE0876" w:rsidRPr="00A13506" w:rsidRDefault="00BE0876" w:rsidP="004653E2">
            <w:pPr>
              <w:spacing w:after="60" w:line="240" w:lineRule="auto"/>
              <w:rPr>
                <w:rFonts w:cs="Arial"/>
                <w:color w:val="000000"/>
                <w:sz w:val="20"/>
                <w:szCs w:val="20"/>
              </w:rPr>
            </w:pPr>
            <w:r w:rsidRPr="00A13506">
              <w:rPr>
                <w:rFonts w:cs="Arial"/>
                <w:color w:val="000000"/>
                <w:sz w:val="20"/>
                <w:szCs w:val="20"/>
              </w:rPr>
              <w:t>Cierre de negocios (patentados y contribuyentes).</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D72A8" w14:textId="77777777" w:rsidR="00BE0876" w:rsidRPr="00A13506" w:rsidRDefault="00BE0876" w:rsidP="004653E2">
            <w:pPr>
              <w:spacing w:after="60" w:line="240" w:lineRule="auto"/>
              <w:jc w:val="center"/>
              <w:rPr>
                <w:rFonts w:cs="Calibri"/>
                <w:color w:val="000000"/>
                <w:sz w:val="20"/>
                <w:szCs w:val="20"/>
              </w:rPr>
            </w:pPr>
            <w:r w:rsidRPr="00A13506">
              <w:rPr>
                <w:rFonts w:cs="Calibri"/>
                <w:color w:val="000000"/>
                <w:sz w:val="20"/>
                <w:szCs w:val="20"/>
              </w:rPr>
              <w:t>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546494" w14:textId="77777777" w:rsidR="00BE0876" w:rsidRPr="00A13506" w:rsidRDefault="00BE0876" w:rsidP="004653E2">
            <w:pPr>
              <w:spacing w:after="60" w:line="240" w:lineRule="auto"/>
              <w:rPr>
                <w:rFonts w:cs="Arial"/>
                <w:color w:val="000000"/>
                <w:sz w:val="20"/>
                <w:szCs w:val="20"/>
              </w:rPr>
            </w:pPr>
            <w:r w:rsidRPr="00A13506">
              <w:rPr>
                <w:rFonts w:cs="Arial"/>
                <w:color w:val="000000"/>
                <w:sz w:val="20"/>
                <w:szCs w:val="20"/>
              </w:rPr>
              <w:t>Establecer las estrategias financieras que minimicen los riesgos de impactar en la continuidad de la prestación de los servicios municipales. Impulsar la suscripción de convenios o alianzas con instituciones pública y/ privadas para mejorar gestión institucional.</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A381E5" w14:textId="77777777" w:rsidR="00BE0876" w:rsidRPr="00A13506" w:rsidRDefault="00BE0876" w:rsidP="004653E2">
            <w:pPr>
              <w:spacing w:after="60" w:line="240" w:lineRule="auto"/>
              <w:rPr>
                <w:rFonts w:cs="Arial"/>
                <w:color w:val="000000"/>
                <w:sz w:val="20"/>
                <w:szCs w:val="20"/>
              </w:rPr>
            </w:pPr>
            <w:r w:rsidRPr="00A13506">
              <w:rPr>
                <w:rFonts w:cs="Arial"/>
                <w:color w:val="000000"/>
                <w:sz w:val="20"/>
                <w:szCs w:val="20"/>
              </w:rPr>
              <w:t> </w:t>
            </w:r>
          </w:p>
        </w:tc>
      </w:tr>
      <w:tr w:rsidR="00BE0876" w:rsidRPr="00A13506" w14:paraId="6A64FBB4" w14:textId="77777777" w:rsidTr="004653E2">
        <w:trPr>
          <w:trHeight w:val="1850"/>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F10671" w14:textId="77777777" w:rsidR="00BE0876" w:rsidRPr="00A13506" w:rsidRDefault="00BE0876" w:rsidP="004653E2">
            <w:pPr>
              <w:spacing w:after="60" w:line="240" w:lineRule="auto"/>
              <w:rPr>
                <w:rFonts w:cs="Arial"/>
                <w:color w:val="000000"/>
                <w:sz w:val="20"/>
                <w:szCs w:val="20"/>
              </w:rPr>
            </w:pPr>
            <w:r w:rsidRPr="00A13506">
              <w:rPr>
                <w:rFonts w:cs="Arial"/>
                <w:color w:val="000000"/>
                <w:sz w:val="20"/>
                <w:szCs w:val="20"/>
              </w:rPr>
              <w:t>Rezago en el mejoramiento de los servicios Municipales.</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10907" w14:textId="77777777" w:rsidR="00BE0876" w:rsidRPr="00A13506" w:rsidRDefault="00BE0876" w:rsidP="004653E2">
            <w:pPr>
              <w:spacing w:after="60" w:line="240" w:lineRule="auto"/>
              <w:jc w:val="center"/>
              <w:rPr>
                <w:rFonts w:cs="Calibri"/>
                <w:color w:val="000000"/>
                <w:sz w:val="20"/>
                <w:szCs w:val="20"/>
              </w:rPr>
            </w:pPr>
            <w:r w:rsidRPr="00A13506">
              <w:rPr>
                <w:rFonts w:cs="Calibri"/>
                <w:color w:val="000000"/>
                <w:sz w:val="20"/>
                <w:szCs w:val="20"/>
              </w:rPr>
              <w:t>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141234" w14:textId="77777777" w:rsidR="00BE0876" w:rsidRPr="00A13506" w:rsidRDefault="00BE0876" w:rsidP="004653E2">
            <w:pPr>
              <w:spacing w:after="60" w:line="240" w:lineRule="auto"/>
              <w:rPr>
                <w:rFonts w:cs="Arial"/>
                <w:color w:val="000000"/>
                <w:sz w:val="20"/>
                <w:szCs w:val="20"/>
              </w:rPr>
            </w:pPr>
            <w:r w:rsidRPr="00A13506">
              <w:rPr>
                <w:rFonts w:cs="Arial"/>
                <w:color w:val="000000"/>
                <w:sz w:val="20"/>
                <w:szCs w:val="20"/>
              </w:rPr>
              <w:t xml:space="preserve">Establecer las estrategias financieras que minimicen los riesgos de impactar en la continuidad de la prestación de los servicios municipales. </w:t>
            </w:r>
            <w:r w:rsidRPr="00A13506">
              <w:rPr>
                <w:rFonts w:cs="Arial"/>
                <w:color w:val="000000"/>
                <w:sz w:val="20"/>
                <w:szCs w:val="20"/>
              </w:rPr>
              <w:br/>
              <w:t>Mantener un monitoreo permanente sobre el comportamiento de los ingresos y egresos municipales, con el fin de tomar medidas correctivas oportunas.</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0B4BBA" w14:textId="77777777" w:rsidR="00BE0876" w:rsidRPr="00A13506" w:rsidRDefault="00BE0876" w:rsidP="004653E2">
            <w:pPr>
              <w:spacing w:after="60" w:line="240" w:lineRule="auto"/>
              <w:rPr>
                <w:rFonts w:cs="Arial"/>
                <w:color w:val="000000"/>
                <w:sz w:val="20"/>
                <w:szCs w:val="20"/>
              </w:rPr>
            </w:pPr>
            <w:r w:rsidRPr="00A13506">
              <w:rPr>
                <w:rFonts w:cs="Arial"/>
                <w:color w:val="000000"/>
                <w:sz w:val="20"/>
                <w:szCs w:val="20"/>
              </w:rPr>
              <w:t> </w:t>
            </w:r>
          </w:p>
        </w:tc>
      </w:tr>
      <w:tr w:rsidR="00BE0876" w:rsidRPr="00A13506" w14:paraId="75348A18" w14:textId="77777777" w:rsidTr="004653E2">
        <w:trPr>
          <w:trHeight w:val="1621"/>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92020" w14:textId="77777777" w:rsidR="00BE0876" w:rsidRPr="00A13506" w:rsidRDefault="00BE0876" w:rsidP="004653E2">
            <w:pPr>
              <w:spacing w:after="60" w:line="240" w:lineRule="auto"/>
              <w:rPr>
                <w:rFonts w:cs="Arial"/>
                <w:color w:val="000000"/>
                <w:sz w:val="20"/>
                <w:szCs w:val="20"/>
              </w:rPr>
            </w:pPr>
            <w:r w:rsidRPr="00A13506">
              <w:rPr>
                <w:rFonts w:cs="Arial"/>
                <w:color w:val="000000"/>
                <w:sz w:val="20"/>
                <w:szCs w:val="20"/>
              </w:rPr>
              <w:t>Inobservancia en la aplicación de las medidas sanitarias por parte de la población.</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24F81" w14:textId="77777777" w:rsidR="00BE0876" w:rsidRPr="00A13506" w:rsidRDefault="00BE0876" w:rsidP="004653E2">
            <w:pPr>
              <w:spacing w:after="60" w:line="240" w:lineRule="auto"/>
              <w:jc w:val="center"/>
              <w:rPr>
                <w:rFonts w:cs="Calibri"/>
                <w:color w:val="000000"/>
                <w:sz w:val="20"/>
                <w:szCs w:val="20"/>
              </w:rPr>
            </w:pPr>
            <w:r w:rsidRPr="00A13506">
              <w:rPr>
                <w:rFonts w:cs="Calibri"/>
                <w:color w:val="000000"/>
                <w:sz w:val="20"/>
                <w:szCs w:val="20"/>
              </w:rPr>
              <w:t>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0E694" w14:textId="77777777" w:rsidR="00BE0876" w:rsidRPr="00A13506" w:rsidRDefault="00BE0876" w:rsidP="004653E2">
            <w:pPr>
              <w:spacing w:after="60" w:line="240" w:lineRule="auto"/>
              <w:rPr>
                <w:rFonts w:cs="Arial"/>
                <w:color w:val="000000"/>
                <w:sz w:val="20"/>
                <w:szCs w:val="20"/>
              </w:rPr>
            </w:pPr>
            <w:r w:rsidRPr="00A13506">
              <w:rPr>
                <w:rFonts w:cs="Arial"/>
                <w:color w:val="000000"/>
                <w:sz w:val="20"/>
                <w:szCs w:val="20"/>
              </w:rPr>
              <w:t xml:space="preserve">Implementar las medidas de control sanitarias en el desarrollo de la gestión municipal para garantizar el cumplimiento de los objetivos de desarrollo local. </w:t>
            </w:r>
            <w:r w:rsidRPr="00A13506">
              <w:rPr>
                <w:rFonts w:cs="Arial"/>
                <w:color w:val="000000"/>
                <w:sz w:val="20"/>
                <w:szCs w:val="20"/>
              </w:rPr>
              <w:br/>
              <w:t>Impulsar los cambios en la cultura y de paradigmas de gestión para potenciar la comunicación virtual en las áreas que así lo posibiliten.</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FA5FA8" w14:textId="77777777" w:rsidR="00BE0876" w:rsidRPr="00A13506" w:rsidRDefault="00BE0876" w:rsidP="004653E2">
            <w:pPr>
              <w:spacing w:after="60" w:line="240" w:lineRule="auto"/>
              <w:rPr>
                <w:rFonts w:cs="Arial"/>
                <w:color w:val="000000"/>
                <w:sz w:val="20"/>
                <w:szCs w:val="20"/>
              </w:rPr>
            </w:pPr>
            <w:r w:rsidRPr="00A13506">
              <w:rPr>
                <w:rFonts w:cs="Arial"/>
                <w:color w:val="000000"/>
                <w:sz w:val="20"/>
                <w:szCs w:val="20"/>
              </w:rPr>
              <w:t> </w:t>
            </w:r>
          </w:p>
        </w:tc>
      </w:tr>
      <w:tr w:rsidR="00BE0876" w:rsidRPr="00A13506" w14:paraId="1396DF45" w14:textId="77777777" w:rsidTr="004653E2">
        <w:trPr>
          <w:trHeight w:val="977"/>
        </w:trPr>
        <w:tc>
          <w:tcPr>
            <w:tcW w:w="1840" w:type="dxa"/>
            <w:tcBorders>
              <w:top w:val="single" w:sz="4" w:space="0" w:color="auto"/>
              <w:left w:val="single" w:sz="4" w:space="0" w:color="auto"/>
              <w:bottom w:val="single" w:sz="4" w:space="0" w:color="auto"/>
              <w:right w:val="nil"/>
            </w:tcBorders>
            <w:shd w:val="clear" w:color="auto" w:fill="auto"/>
            <w:vAlign w:val="center"/>
            <w:hideMark/>
          </w:tcPr>
          <w:p w14:paraId="7BA2A14B" w14:textId="77777777" w:rsidR="00BE0876" w:rsidRPr="00A13506" w:rsidRDefault="00BE0876" w:rsidP="004653E2">
            <w:pPr>
              <w:spacing w:after="60" w:line="240" w:lineRule="auto"/>
              <w:rPr>
                <w:rFonts w:cs="Arial"/>
                <w:color w:val="000000"/>
                <w:sz w:val="20"/>
                <w:szCs w:val="20"/>
              </w:rPr>
            </w:pPr>
            <w:r w:rsidRPr="00A13506">
              <w:rPr>
                <w:rFonts w:cs="Arial"/>
                <w:color w:val="000000"/>
                <w:sz w:val="20"/>
                <w:szCs w:val="20"/>
              </w:rPr>
              <w:t>Grupo de personas con resistencia a uso de tecnología.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2ADB6" w14:textId="77777777" w:rsidR="00BE0876" w:rsidRPr="00A13506" w:rsidRDefault="00BE0876" w:rsidP="004653E2">
            <w:pPr>
              <w:spacing w:after="60" w:line="240" w:lineRule="auto"/>
              <w:jc w:val="center"/>
              <w:rPr>
                <w:rFonts w:cs="Calibri"/>
                <w:color w:val="000000"/>
                <w:sz w:val="20"/>
                <w:szCs w:val="20"/>
              </w:rPr>
            </w:pPr>
            <w:r w:rsidRPr="00A13506">
              <w:rPr>
                <w:rFonts w:cs="Calibri"/>
                <w:color w:val="000000"/>
                <w:sz w:val="20"/>
                <w:szCs w:val="20"/>
              </w:rPr>
              <w:t> </w:t>
            </w:r>
          </w:p>
        </w:tc>
        <w:tc>
          <w:tcPr>
            <w:tcW w:w="3460" w:type="dxa"/>
            <w:tcBorders>
              <w:top w:val="single" w:sz="4" w:space="0" w:color="auto"/>
              <w:left w:val="nil"/>
              <w:bottom w:val="single" w:sz="4" w:space="0" w:color="auto"/>
              <w:right w:val="single" w:sz="4" w:space="0" w:color="auto"/>
            </w:tcBorders>
            <w:shd w:val="clear" w:color="auto" w:fill="auto"/>
            <w:vAlign w:val="center"/>
            <w:hideMark/>
          </w:tcPr>
          <w:p w14:paraId="4C9EF582" w14:textId="77777777" w:rsidR="00BE0876" w:rsidRPr="00A13506" w:rsidRDefault="00BE0876" w:rsidP="004653E2">
            <w:pPr>
              <w:spacing w:after="60" w:line="240" w:lineRule="auto"/>
              <w:rPr>
                <w:rFonts w:cs="Arial"/>
                <w:color w:val="000000"/>
                <w:sz w:val="20"/>
                <w:szCs w:val="20"/>
              </w:rPr>
            </w:pPr>
            <w:r w:rsidRPr="00A13506">
              <w:rPr>
                <w:rFonts w:cs="Arial"/>
                <w:color w:val="000000"/>
                <w:sz w:val="20"/>
                <w:szCs w:val="20"/>
              </w:rPr>
              <w:t>Impulsar los cambios en la cultura y de paradigmas de gestión para potenciar la comunicación virtual en las áreas que así lo posibiliten.</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093D66A1" w14:textId="77777777" w:rsidR="00BE0876" w:rsidRPr="00A13506" w:rsidRDefault="00BE0876" w:rsidP="004653E2">
            <w:pPr>
              <w:spacing w:after="60" w:line="240" w:lineRule="auto"/>
              <w:rPr>
                <w:rFonts w:cs="Arial"/>
                <w:color w:val="000000"/>
                <w:sz w:val="20"/>
                <w:szCs w:val="20"/>
              </w:rPr>
            </w:pPr>
            <w:r w:rsidRPr="00A13506">
              <w:rPr>
                <w:rFonts w:cs="Arial"/>
                <w:color w:val="000000"/>
                <w:sz w:val="20"/>
                <w:szCs w:val="20"/>
              </w:rPr>
              <w:t> </w:t>
            </w:r>
          </w:p>
        </w:tc>
      </w:tr>
    </w:tbl>
    <w:p w14:paraId="6A1504EF" w14:textId="27A26D33" w:rsidR="00874E06" w:rsidRDefault="00093A79" w:rsidP="00874E06">
      <w:bookmarkStart w:id="21" w:name="_Toc82768862"/>
      <w:r>
        <w:t>MA</w:t>
      </w:r>
    </w:p>
    <w:p w14:paraId="44F68494" w14:textId="77777777" w:rsidR="00E1565E" w:rsidRDefault="00E1565E" w:rsidP="00874E06"/>
    <w:p w14:paraId="47409E2D" w14:textId="1737468E" w:rsidR="00874E06" w:rsidRPr="00874E06" w:rsidRDefault="006031F8" w:rsidP="00874E06">
      <w:pPr>
        <w:pStyle w:val="Ttulo1"/>
      </w:pPr>
      <w:bookmarkStart w:id="22" w:name="_Toc173245186"/>
      <w:r w:rsidRPr="00BC7C5B">
        <w:t xml:space="preserve">INFORME DETALLADO AVANCE </w:t>
      </w:r>
      <w:r w:rsidR="004653E2" w:rsidRPr="00BC7C5B">
        <w:t xml:space="preserve">NICSP </w:t>
      </w:r>
      <w:r w:rsidR="004653E2">
        <w:t>REVELACIÓN</w:t>
      </w:r>
      <w:r w:rsidR="00086E46">
        <w:t xml:space="preserve"> </w:t>
      </w:r>
      <w:r w:rsidR="00D470B6">
        <w:t>JUNIO</w:t>
      </w:r>
      <w:r w:rsidRPr="00BC7C5B">
        <w:t xml:space="preserve"> </w:t>
      </w:r>
      <w:r>
        <w:t>202</w:t>
      </w:r>
      <w:bookmarkEnd w:id="21"/>
      <w:r w:rsidR="00150775">
        <w:t>4</w:t>
      </w:r>
      <w:bookmarkEnd w:id="22"/>
    </w:p>
    <w:p w14:paraId="7EED5CB8" w14:textId="26C00BBE" w:rsidR="006031F8" w:rsidRPr="006031F8" w:rsidRDefault="00BE0876" w:rsidP="00BE0876">
      <w:pPr>
        <w:tabs>
          <w:tab w:val="left" w:pos="2850"/>
        </w:tabs>
        <w:spacing w:after="0"/>
      </w:pPr>
      <w:r>
        <w:tab/>
      </w:r>
    </w:p>
    <w:p w14:paraId="63FDDA38" w14:textId="3123C3EB" w:rsidR="00BD44F5" w:rsidRDefault="006031F8" w:rsidP="00BD44F5">
      <w:pPr>
        <w:spacing w:before="240"/>
        <w:rPr>
          <w:rFonts w:eastAsia="Times New Roman"/>
          <w:lang w:val="es-MX" w:eastAsia="es-CR"/>
        </w:rPr>
      </w:pPr>
      <w:r w:rsidRPr="006031F8">
        <w:t>A continuación, se detalla cada una de las normas, donde se debe indicar la aplicación en la institución con base al avance en cada una de las NICSP</w:t>
      </w:r>
      <w:r w:rsidRPr="006031F8">
        <w:rPr>
          <w:rFonts w:eastAsia="Times New Roman"/>
          <w:lang w:val="es-MX" w:eastAsia="es-CR"/>
        </w:rPr>
        <w:t>, y a su vez debe contener la respectiva revelación solicitada en cada norma según la versión de las NICSP 2018, las Políticas Contables Generales versión 2021 emitidas por la Dirección General de Contabilidad.</w:t>
      </w:r>
    </w:p>
    <w:p w14:paraId="441FC97D" w14:textId="77777777" w:rsidR="00982595" w:rsidRPr="00BD44F5" w:rsidRDefault="00982595" w:rsidP="00BD44F5">
      <w:pPr>
        <w:spacing w:before="240"/>
        <w:rPr>
          <w:rFonts w:eastAsia="Times New Roman"/>
          <w:lang w:val="es-MX" w:eastAsia="es-CR"/>
        </w:rPr>
      </w:pPr>
    </w:p>
    <w:p w14:paraId="2FC72C5C" w14:textId="5115ED9A" w:rsidR="00F47F86" w:rsidRDefault="008F107F" w:rsidP="00A649A4">
      <w:pPr>
        <w:pStyle w:val="Ttulo2"/>
        <w:spacing w:after="240"/>
      </w:pPr>
      <w:bookmarkStart w:id="23" w:name="_Hlk123586541"/>
      <w:bookmarkStart w:id="24" w:name="_Toc173245187"/>
      <w:r w:rsidRPr="008F107F">
        <w:t>NICSP 1- PRESENTACIÓN DE ESTADOS FINANCIEROS</w:t>
      </w:r>
      <w:bookmarkEnd w:id="23"/>
      <w:r w:rsidRPr="008F107F">
        <w:t xml:space="preserve"> (DE APLICACIÓN OBLIGATORIA):</w:t>
      </w:r>
      <w:bookmarkEnd w:id="24"/>
    </w:p>
    <w:p w14:paraId="59EC5224" w14:textId="77777777" w:rsidR="00694299" w:rsidRDefault="00405DBC" w:rsidP="00174505">
      <w:pPr>
        <w:rPr>
          <w:rFonts w:asciiTheme="minorHAnsi" w:hAnsiTheme="minorHAnsi"/>
          <w:sz w:val="22"/>
        </w:rPr>
      </w:pPr>
      <w:r>
        <w:t>De acuerdo con la</w:t>
      </w:r>
      <w:r w:rsidRPr="00405DBC">
        <w:t xml:space="preserve"> NICSP 1- Presentación </w:t>
      </w:r>
      <w:r>
        <w:t>d</w:t>
      </w:r>
      <w:r w:rsidRPr="00405DBC">
        <w:t>e Estados Financieros</w:t>
      </w:r>
      <w:r>
        <w:t>, i</w:t>
      </w:r>
      <w:r w:rsidR="00F47F86">
        <w:t xml:space="preserve">ndicar si este rubro afecta SI o NO a la institución, </w:t>
      </w:r>
      <w:r w:rsidRPr="00405DBC">
        <w:t>además del porcentaje de avance</w:t>
      </w:r>
      <w:r>
        <w:t xml:space="preserve"> en la implementación</w:t>
      </w:r>
      <w:r w:rsidRPr="00405DBC">
        <w:t xml:space="preserve"> que presenta</w:t>
      </w:r>
      <w:r w:rsidR="00D16DB1">
        <w:t>.</w:t>
      </w:r>
      <w:r w:rsidR="00BD44F5">
        <w:fldChar w:fldCharType="begin"/>
      </w:r>
      <w:r w:rsidR="00BD44F5">
        <w:instrText xml:space="preserve"> LINK </w:instrText>
      </w:r>
      <w:r w:rsidR="00323752">
        <w:instrText xml:space="preserve">Excel.SheetMacroEnabled.12 "D:\\MORAVIA\\INSUMOS\\NOTAS 2024\\Formato_Notas_EEFF_Vinculadas_2024\\XXXXX_PXX_202X_Anexo_Estado_Notas_Contables_Vinculadas.xlsm" NICSP_1!F9C3:F10C4 </w:instrText>
      </w:r>
      <w:r w:rsidR="00BD44F5">
        <w:instrText xml:space="preserve">\a \f 4 \h </w:instrText>
      </w:r>
      <w:r w:rsidR="00BD44F5">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694299" w:rsidRPr="00694299" w14:paraId="1C4C858C" w14:textId="77777777" w:rsidTr="00694299">
        <w:trPr>
          <w:divId w:val="380327392"/>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1116F5A2" w14:textId="4795D3D4"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9F303"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Si</w:t>
            </w:r>
          </w:p>
        </w:tc>
      </w:tr>
      <w:tr w:rsidR="00694299" w:rsidRPr="00694299" w14:paraId="532BE851" w14:textId="77777777" w:rsidTr="00694299">
        <w:trPr>
          <w:divId w:val="380327392"/>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3EABFBF7"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66EDFDBB" w14:textId="059301D6"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9</w:t>
            </w:r>
            <w:r w:rsidR="00E1565E">
              <w:rPr>
                <w:rFonts w:eastAsia="Times New Roman" w:cs="Calibri"/>
                <w:color w:val="000000"/>
                <w:sz w:val="22"/>
                <w:lang w:eastAsia="es-CR"/>
              </w:rPr>
              <w:t>9</w:t>
            </w:r>
            <w:r w:rsidRPr="00694299">
              <w:rPr>
                <w:rFonts w:eastAsia="Times New Roman" w:cs="Calibri"/>
                <w:color w:val="000000"/>
                <w:sz w:val="22"/>
                <w:lang w:eastAsia="es-CR"/>
              </w:rPr>
              <w:t>,</w:t>
            </w:r>
            <w:r w:rsidR="00E1565E">
              <w:rPr>
                <w:rFonts w:eastAsia="Times New Roman" w:cs="Calibri"/>
                <w:color w:val="000000"/>
                <w:sz w:val="22"/>
                <w:lang w:eastAsia="es-CR"/>
              </w:rPr>
              <w:t>0</w:t>
            </w:r>
            <w:r w:rsidRPr="00694299">
              <w:rPr>
                <w:rFonts w:eastAsia="Times New Roman" w:cs="Calibri"/>
                <w:color w:val="000000"/>
                <w:sz w:val="22"/>
                <w:lang w:eastAsia="es-CR"/>
              </w:rPr>
              <w:t>0%</w:t>
            </w:r>
          </w:p>
        </w:tc>
      </w:tr>
    </w:tbl>
    <w:p w14:paraId="4A9A2199" w14:textId="45016F06" w:rsidR="00F47F86" w:rsidRPr="00707625" w:rsidRDefault="00BD44F5" w:rsidP="00174505">
      <w:r>
        <w:fldChar w:fldCharType="end"/>
      </w:r>
      <w:r>
        <w:rPr>
          <w:b/>
          <w:sz w:val="16"/>
          <w:szCs w:val="16"/>
          <w:lang w:eastAsia="es-CR"/>
        </w:rPr>
        <w:t xml:space="preserve">                                               </w:t>
      </w:r>
      <w:r w:rsidR="00217CA2" w:rsidRPr="00C35565">
        <w:rPr>
          <w:b/>
          <w:sz w:val="16"/>
          <w:szCs w:val="16"/>
          <w:lang w:eastAsia="es-CR"/>
        </w:rPr>
        <w:t>-Aplicación Obligatoria-</w:t>
      </w:r>
    </w:p>
    <w:p w14:paraId="431B661A" w14:textId="5D014817" w:rsidR="005907C4" w:rsidRDefault="005907C4" w:rsidP="005907C4">
      <w:pPr>
        <w:pBdr>
          <w:top w:val="single" w:sz="4" w:space="1" w:color="auto"/>
          <w:left w:val="single" w:sz="4" w:space="4" w:color="auto"/>
          <w:bottom w:val="single" w:sz="4" w:space="1" w:color="auto"/>
          <w:right w:val="single" w:sz="4" w:space="4" w:color="auto"/>
        </w:pBdr>
        <w:ind w:left="720"/>
        <w:jc w:val="center"/>
        <w:rPr>
          <w:b/>
          <w:bCs/>
        </w:rPr>
      </w:pPr>
      <w:r w:rsidRPr="00BC7C5B">
        <w:rPr>
          <w:b/>
          <w:bCs/>
        </w:rPr>
        <w:t>COMISIÓN DE NICSP INSTITUCIONAL</w:t>
      </w:r>
    </w:p>
    <w:p w14:paraId="72C54AC4" w14:textId="5105F926" w:rsidR="005907C4" w:rsidRPr="00BC7C5B" w:rsidRDefault="005907C4" w:rsidP="005907C4">
      <w:pPr>
        <w:pBdr>
          <w:top w:val="single" w:sz="4" w:space="1" w:color="auto"/>
          <w:left w:val="single" w:sz="4" w:space="4" w:color="auto"/>
          <w:bottom w:val="single" w:sz="4" w:space="1" w:color="auto"/>
          <w:right w:val="single" w:sz="4" w:space="4" w:color="auto"/>
        </w:pBdr>
        <w:ind w:left="720"/>
        <w:jc w:val="center"/>
        <w:rPr>
          <w:b/>
          <w:bCs/>
        </w:rPr>
      </w:pPr>
      <w:r w:rsidRPr="00BC7C5B">
        <w:rPr>
          <w:b/>
          <w:bCs/>
        </w:rPr>
        <w:t>Certificación:</w:t>
      </w:r>
    </w:p>
    <w:p w14:paraId="15D2284F" w14:textId="04DB068F" w:rsidR="005907C4" w:rsidRDefault="005907C4" w:rsidP="005907C4">
      <w:pPr>
        <w:pBdr>
          <w:top w:val="single" w:sz="4" w:space="1" w:color="auto"/>
          <w:left w:val="single" w:sz="4" w:space="4" w:color="auto"/>
          <w:bottom w:val="single" w:sz="4" w:space="1" w:color="auto"/>
          <w:right w:val="single" w:sz="4" w:space="4" w:color="auto"/>
        </w:pBdr>
        <w:ind w:left="720"/>
      </w:pPr>
      <w:r w:rsidRPr="00BC7C5B">
        <w:t xml:space="preserve">La </w:t>
      </w:r>
      <w:r w:rsidR="00E1565E" w:rsidRPr="00A13506">
        <w:rPr>
          <w:b/>
          <w:sz w:val="22"/>
        </w:rPr>
        <w:t>MUNICIPALIDAD DE BUENOS AIRES</w:t>
      </w:r>
      <w:r w:rsidRPr="00BC7C5B">
        <w:t xml:space="preserve">, cedula jurídica </w:t>
      </w:r>
      <w:r w:rsidR="00E1565E" w:rsidRPr="00A13506">
        <w:rPr>
          <w:b/>
          <w:sz w:val="22"/>
        </w:rPr>
        <w:t>3-.014-042112</w:t>
      </w:r>
      <w:r w:rsidRPr="00BC7C5B">
        <w:t xml:space="preserve">, y cuyo </w:t>
      </w:r>
      <w:r w:rsidR="00E1565E" w:rsidRPr="00A13506">
        <w:rPr>
          <w:sz w:val="22"/>
        </w:rPr>
        <w:t>Contador Municipal</w:t>
      </w:r>
      <w:r w:rsidR="00E1565E">
        <w:rPr>
          <w:sz w:val="22"/>
        </w:rPr>
        <w:t xml:space="preserve"> es el Bachiller</w:t>
      </w:r>
      <w:r w:rsidRPr="00BC7C5B">
        <w:t xml:space="preserve"> </w:t>
      </w:r>
      <w:r w:rsidR="00E1565E" w:rsidRPr="00A13506">
        <w:rPr>
          <w:b/>
          <w:bCs/>
          <w:sz w:val="22"/>
        </w:rPr>
        <w:t>GERARDO CORDERO ARGUEDAS</w:t>
      </w:r>
      <w:r w:rsidRPr="00BC7C5B">
        <w:t>, portadora de la c</w:t>
      </w:r>
      <w:r>
        <w:t>é</w:t>
      </w:r>
      <w:r w:rsidRPr="00BC7C5B">
        <w:t xml:space="preserve">dula de identidad </w:t>
      </w:r>
      <w:r w:rsidR="00E1565E" w:rsidRPr="00A13506">
        <w:rPr>
          <w:b/>
          <w:sz w:val="22"/>
        </w:rPr>
        <w:t>6-0253-0912</w:t>
      </w:r>
      <w:r w:rsidRPr="00BC7C5B">
        <w:t xml:space="preserve">, Coordinadora de la Comisión NICSP Institucional </w:t>
      </w:r>
    </w:p>
    <w:p w14:paraId="3A610FC7" w14:textId="77777777" w:rsidR="005907C4" w:rsidRDefault="005907C4" w:rsidP="005907C4">
      <w:pPr>
        <w:pBdr>
          <w:top w:val="single" w:sz="4" w:space="1" w:color="auto"/>
          <w:left w:val="single" w:sz="4" w:space="4" w:color="auto"/>
          <w:bottom w:val="single" w:sz="4" w:space="1" w:color="auto"/>
          <w:right w:val="single" w:sz="4" w:space="4" w:color="auto"/>
        </w:pBdr>
        <w:spacing w:after="0"/>
        <w:ind w:left="720"/>
      </w:pPr>
    </w:p>
    <w:p w14:paraId="38A71E29" w14:textId="4329BF27" w:rsidR="005907C4" w:rsidRDefault="005907C4" w:rsidP="005907C4">
      <w:pPr>
        <w:pBdr>
          <w:top w:val="single" w:sz="4" w:space="1" w:color="auto"/>
          <w:left w:val="single" w:sz="4" w:space="4" w:color="auto"/>
          <w:bottom w:val="single" w:sz="4" w:space="1" w:color="auto"/>
          <w:right w:val="single" w:sz="4" w:space="4" w:color="auto"/>
        </w:pBdr>
        <w:ind w:left="720"/>
      </w:pPr>
      <w:r w:rsidRPr="00BC7C5B">
        <w:t xml:space="preserve">CERTIFICA QUE: </w:t>
      </w:r>
      <w:r w:rsidRPr="00BC7C5B">
        <w:rPr>
          <w:u w:val="single"/>
        </w:rPr>
        <w:t xml:space="preserve">la entidad se encuentra en el proceso de implementación de NICSP en la </w:t>
      </w:r>
      <w:r w:rsidRPr="00D819F8">
        <w:rPr>
          <w:u w:val="single"/>
        </w:rPr>
        <w:t xml:space="preserve">versión 2018 </w:t>
      </w:r>
      <w:r w:rsidRPr="00BC7C5B">
        <w:rPr>
          <w:u w:val="single"/>
        </w:rPr>
        <w:t>y que está al tanto de los requerimientos solicitados por la DGCN en la presentación de los</w:t>
      </w:r>
      <w:r w:rsidR="00E1565E">
        <w:rPr>
          <w:u w:val="single"/>
        </w:rPr>
        <w:t xml:space="preserve"> </w:t>
      </w:r>
      <w:r w:rsidRPr="00BC7C5B">
        <w:rPr>
          <w:u w:val="single"/>
        </w:rPr>
        <w:t>EEFF</w:t>
      </w:r>
      <w:r w:rsidRPr="00BC7C5B">
        <w:t>.</w:t>
      </w:r>
    </w:p>
    <w:p w14:paraId="6E4213EE" w14:textId="7803885E" w:rsidR="005907C4" w:rsidRDefault="005907C4" w:rsidP="00E1565E">
      <w:pPr>
        <w:pBdr>
          <w:top w:val="single" w:sz="4" w:space="1" w:color="auto"/>
          <w:left w:val="single" w:sz="4" w:space="4" w:color="auto"/>
          <w:bottom w:val="single" w:sz="4" w:space="1" w:color="auto"/>
          <w:right w:val="single" w:sz="4" w:space="4" w:color="auto"/>
        </w:pBdr>
        <w:spacing w:after="0"/>
        <w:ind w:left="720"/>
      </w:pPr>
    </w:p>
    <w:p w14:paraId="36A4A110" w14:textId="5E6904F1" w:rsidR="005907C4" w:rsidRPr="005907C4" w:rsidRDefault="005907C4" w:rsidP="005907C4">
      <w:pPr>
        <w:pBdr>
          <w:top w:val="single" w:sz="4" w:space="1" w:color="auto"/>
          <w:left w:val="single" w:sz="4" w:space="4" w:color="auto"/>
          <w:bottom w:val="single" w:sz="4" w:space="1" w:color="auto"/>
          <w:right w:val="single" w:sz="4" w:space="4" w:color="auto"/>
        </w:pBdr>
        <w:ind w:left="720"/>
        <w:jc w:val="center"/>
        <w:rPr>
          <w:b/>
          <w:bCs/>
        </w:rPr>
      </w:pPr>
      <w:r w:rsidRPr="00BC7C5B">
        <w:rPr>
          <w:b/>
          <w:bCs/>
        </w:rPr>
        <w:t xml:space="preserve">Firma Digital del </w:t>
      </w:r>
      <w:r w:rsidR="00E1565E">
        <w:rPr>
          <w:b/>
          <w:bCs/>
        </w:rPr>
        <w:t>Contador Municipal</w:t>
      </w:r>
    </w:p>
    <w:p w14:paraId="5E9892FB" w14:textId="77777777" w:rsidR="00016C74" w:rsidRPr="003516A2" w:rsidRDefault="00016C74" w:rsidP="00CD3A05">
      <w:pPr>
        <w:rPr>
          <w:color w:val="FFFFFF" w:themeColor="background1"/>
          <w:lang w:eastAsia="es-CR"/>
        </w:rPr>
      </w:pPr>
    </w:p>
    <w:p w14:paraId="479EFCD9" w14:textId="597452C7" w:rsidR="00104AD0" w:rsidRPr="00104AD0" w:rsidRDefault="00104AD0" w:rsidP="00CD3A05">
      <w:pPr>
        <w:rPr>
          <w:lang w:eastAsia="es-CR"/>
        </w:rPr>
      </w:pPr>
      <w:r w:rsidRPr="00104AD0">
        <w:rPr>
          <w:lang w:eastAsia="es-CR"/>
        </w:rPr>
        <w:t>De acuerdo con el párrafo 27 de la NICSP 1 Presentación razonable y conformidad con las NICSP</w:t>
      </w:r>
    </w:p>
    <w:p w14:paraId="3956EF18" w14:textId="79467ED7" w:rsidR="00104AD0" w:rsidRDefault="00104AD0" w:rsidP="000B404C">
      <w:pPr>
        <w:spacing w:line="240" w:lineRule="auto"/>
        <w:rPr>
          <w:rStyle w:val="nfasis"/>
        </w:rPr>
      </w:pPr>
      <w:r w:rsidRPr="000B404C">
        <w:rPr>
          <w:rStyle w:val="nfasis"/>
        </w:rPr>
        <w:t>“Los estados financieros deberán presentar razonablemente la situación financiera y el rendimiento financiero, así como los flujos de efectivo de una entidad. Esta presentación razonable requiere proporcionar la representación fiel de los efectos de las transacciones, así como de otros sucesos y condiciones, de acuerdo con las definiciones y los criterios de reconocimiento de activos, pasivos, ingresos y gastos establecidos en las NICSP. Se presume que la aplicación de las NICSP, acompañada de informaciones adicionales cuando sea preciso, dará lugar a estados financieros que proporcionen una presentación razonable”</w:t>
      </w:r>
    </w:p>
    <w:p w14:paraId="69704F76" w14:textId="77777777" w:rsidR="003516A2" w:rsidRDefault="003516A2" w:rsidP="000B404C">
      <w:pPr>
        <w:spacing w:line="240" w:lineRule="auto"/>
        <w:rPr>
          <w:rStyle w:val="nfasis"/>
        </w:rPr>
      </w:pPr>
    </w:p>
    <w:p w14:paraId="6FEFD5F8" w14:textId="77777777" w:rsidR="00E1565E" w:rsidRDefault="003516A2" w:rsidP="00E1565E">
      <w:pPr>
        <w:spacing w:line="240" w:lineRule="auto"/>
        <w:rPr>
          <w:b/>
          <w:color w:val="FFFFFF" w:themeColor="background1"/>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28F834EB" w14:textId="617F6919" w:rsidR="00E1565E" w:rsidRPr="0037413F" w:rsidRDefault="00E1565E" w:rsidP="00E1565E">
      <w:pPr>
        <w:spacing w:line="240" w:lineRule="auto"/>
        <w:rPr>
          <w:bCs/>
        </w:rPr>
      </w:pPr>
      <w:r w:rsidRPr="0037413F">
        <w:rPr>
          <w:bCs/>
        </w:rPr>
        <w:t xml:space="preserve">Se adoptó la política contable que define los activos como "recursos controlados por la Municipalidad como resultado de eventos pasados </w:t>
      </w:r>
      <w:r w:rsidRPr="0037413F">
        <w:rPr>
          <w:rFonts w:ascii="Arial" w:hAnsi="Arial" w:cs="Arial"/>
          <w:bCs/>
        </w:rPr>
        <w:t>​​</w:t>
      </w:r>
      <w:r w:rsidRPr="0037413F">
        <w:rPr>
          <w:bCs/>
        </w:rPr>
        <w:t>y de los cuales se espera que los beneficios econ</w:t>
      </w:r>
      <w:r w:rsidRPr="0037413F">
        <w:rPr>
          <w:rFonts w:cs="Arial Narrow"/>
          <w:bCs/>
        </w:rPr>
        <w:t>ó</w:t>
      </w:r>
      <w:r w:rsidRPr="0037413F">
        <w:rPr>
          <w:bCs/>
        </w:rPr>
        <w:t xml:space="preserve">micos futuros o el potencial de servicio fluyan a la </w:t>
      </w:r>
      <w:r>
        <w:rPr>
          <w:bCs/>
        </w:rPr>
        <w:t>municipalidad.</w:t>
      </w:r>
    </w:p>
    <w:p w14:paraId="5512E76C" w14:textId="77777777" w:rsidR="00E1565E" w:rsidRPr="0037413F" w:rsidRDefault="00E1565E" w:rsidP="00E1565E">
      <w:pPr>
        <w:spacing w:line="240" w:lineRule="auto"/>
        <w:rPr>
          <w:bCs/>
        </w:rPr>
      </w:pPr>
      <w:r>
        <w:rPr>
          <w:bCs/>
        </w:rPr>
        <w:t xml:space="preserve">Se adoptó la </w:t>
      </w:r>
      <w:r w:rsidRPr="0037413F">
        <w:rPr>
          <w:bCs/>
        </w:rPr>
        <w:t>política contable que define los pasivos como "obligaciones presentes de la entidad que surgen de eventos pasados, cuya liquidación se espera que resulte en una salida de la entidad de recursos que incorporen beneficios económicos o potencial de servicio"</w:t>
      </w:r>
      <w:r>
        <w:rPr>
          <w:bCs/>
        </w:rPr>
        <w:t>.</w:t>
      </w:r>
    </w:p>
    <w:p w14:paraId="51450216" w14:textId="77777777" w:rsidR="00E1565E" w:rsidRPr="0037413F" w:rsidRDefault="00E1565E" w:rsidP="00E1565E">
      <w:pPr>
        <w:spacing w:line="240" w:lineRule="auto"/>
        <w:rPr>
          <w:bCs/>
        </w:rPr>
      </w:pPr>
      <w:r>
        <w:rPr>
          <w:bCs/>
        </w:rPr>
        <w:t>Se adoptó la</w:t>
      </w:r>
      <w:r w:rsidRPr="0037413F">
        <w:rPr>
          <w:bCs/>
        </w:rPr>
        <w:t xml:space="preserve"> política contable que defin</w:t>
      </w:r>
      <w:r>
        <w:rPr>
          <w:bCs/>
        </w:rPr>
        <w:t>e</w:t>
      </w:r>
      <w:r w:rsidRPr="0037413F">
        <w:rPr>
          <w:bCs/>
        </w:rPr>
        <w:t xml:space="preserve"> los ingresos como "la entrada bruta de beneficios económicos o potencial de servicio durante el período de presentación de reportes cuando esas entradas producen un aumento en los activos netos / patrimonio neto, además de los incrementos relacionados con las contribuciones de los propietarios"</w:t>
      </w:r>
      <w:r>
        <w:rPr>
          <w:bCs/>
        </w:rPr>
        <w:t>.</w:t>
      </w:r>
    </w:p>
    <w:p w14:paraId="5F6DD663" w14:textId="77777777" w:rsidR="00E1565E" w:rsidRPr="0037413F" w:rsidRDefault="00E1565E" w:rsidP="00E1565E">
      <w:pPr>
        <w:spacing w:line="240" w:lineRule="auto"/>
        <w:rPr>
          <w:bCs/>
        </w:rPr>
      </w:pPr>
      <w:r>
        <w:rPr>
          <w:bCs/>
        </w:rPr>
        <w:t xml:space="preserve">Se adoptó la </w:t>
      </w:r>
      <w:r w:rsidRPr="0037413F">
        <w:rPr>
          <w:bCs/>
        </w:rPr>
        <w:t>política contable que defin</w:t>
      </w:r>
      <w:r>
        <w:rPr>
          <w:bCs/>
        </w:rPr>
        <w:t>e</w:t>
      </w:r>
      <w:r w:rsidRPr="0037413F">
        <w:rPr>
          <w:bCs/>
        </w:rPr>
        <w:t xml:space="preserve"> los gastos como “disminuciones en los beneficios económicos o el potencial de servicio durante el período de presentación de reportes en forma de salidas o consumo de activos o incurrimientos de pasivos que resultan en disminuciones en los activos netos / patrimonio, distintos de los relacionados a distribuciones a propietarios"</w:t>
      </w:r>
    </w:p>
    <w:p w14:paraId="6281EB94" w14:textId="77777777" w:rsidR="003516A2" w:rsidRDefault="003516A2" w:rsidP="000B404C">
      <w:pPr>
        <w:spacing w:line="240" w:lineRule="auto"/>
        <w:rPr>
          <w:b/>
          <w:u w:val="single"/>
        </w:rPr>
      </w:pPr>
    </w:p>
    <w:p w14:paraId="426ACE57" w14:textId="15D86DCF" w:rsidR="003516A2" w:rsidRPr="003516A2" w:rsidRDefault="003516A2" w:rsidP="000B404C">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6F2FB416" w14:textId="77777777" w:rsidR="00C30C4C" w:rsidRDefault="00C30C4C" w:rsidP="00C30C4C">
      <w:pPr>
        <w:spacing w:line="240" w:lineRule="auto"/>
        <w:rPr>
          <w:bCs/>
        </w:rPr>
      </w:pPr>
      <w:r w:rsidRPr="0037413F">
        <w:rPr>
          <w:bCs/>
        </w:rPr>
        <w:t xml:space="preserve">De acuerdo con la política contable actual de la </w:t>
      </w:r>
      <w:r>
        <w:rPr>
          <w:bCs/>
        </w:rPr>
        <w:t>Municipalidad</w:t>
      </w:r>
      <w:r w:rsidRPr="0037413F">
        <w:rPr>
          <w:bCs/>
        </w:rPr>
        <w:t xml:space="preserve"> present</w:t>
      </w:r>
      <w:r>
        <w:rPr>
          <w:bCs/>
        </w:rPr>
        <w:t>a</w:t>
      </w:r>
      <w:r w:rsidRPr="0037413F">
        <w:rPr>
          <w:bCs/>
        </w:rPr>
        <w:t xml:space="preserve"> </w:t>
      </w:r>
      <w:r>
        <w:rPr>
          <w:bCs/>
        </w:rPr>
        <w:t xml:space="preserve">EEFF </w:t>
      </w:r>
      <w:r w:rsidRPr="0037413F">
        <w:rPr>
          <w:bCs/>
        </w:rPr>
        <w:t>basados en valores devengados</w:t>
      </w:r>
      <w:r>
        <w:rPr>
          <w:bCs/>
        </w:rPr>
        <w:t>.</w:t>
      </w:r>
    </w:p>
    <w:p w14:paraId="141CA4F5" w14:textId="77777777" w:rsidR="00C30C4C" w:rsidRPr="0037413F" w:rsidRDefault="00C30C4C" w:rsidP="00C30C4C">
      <w:pPr>
        <w:spacing w:line="240" w:lineRule="auto"/>
        <w:rPr>
          <w:bCs/>
        </w:rPr>
      </w:pPr>
      <w:r>
        <w:rPr>
          <w:bCs/>
        </w:rPr>
        <w:t>Los EEFF r</w:t>
      </w:r>
      <w:r w:rsidRPr="0037413F">
        <w:rPr>
          <w:bCs/>
        </w:rPr>
        <w:t>evelan información sobre el cumplimiento de las normas legislativas, reglamentarias u otras disposiciones legales</w:t>
      </w:r>
      <w:r>
        <w:rPr>
          <w:bCs/>
        </w:rPr>
        <w:t>.</w:t>
      </w:r>
    </w:p>
    <w:p w14:paraId="29F11350" w14:textId="77777777" w:rsidR="00C30C4C" w:rsidRPr="0037413F" w:rsidRDefault="00C30C4C" w:rsidP="00C30C4C">
      <w:pPr>
        <w:spacing w:line="240" w:lineRule="auto"/>
        <w:rPr>
          <w:bCs/>
        </w:rPr>
      </w:pPr>
      <w:r w:rsidRPr="0037413F">
        <w:rPr>
          <w:bCs/>
        </w:rPr>
        <w:t xml:space="preserve">Se presentan los </w:t>
      </w:r>
      <w:r>
        <w:rPr>
          <w:bCs/>
        </w:rPr>
        <w:t>EEFF</w:t>
      </w:r>
      <w:r w:rsidRPr="0037413F">
        <w:rPr>
          <w:bCs/>
        </w:rPr>
        <w:t xml:space="preserve"> dentro de los 6 meses posteriores a la fecha de informe</w:t>
      </w:r>
      <w:r>
        <w:rPr>
          <w:bCs/>
        </w:rPr>
        <w:t>.</w:t>
      </w:r>
    </w:p>
    <w:p w14:paraId="207EA268" w14:textId="77777777" w:rsidR="00C30C4C" w:rsidRPr="0037413F" w:rsidRDefault="00C30C4C" w:rsidP="00C30C4C">
      <w:pPr>
        <w:spacing w:line="240" w:lineRule="auto"/>
        <w:rPr>
          <w:bCs/>
        </w:rPr>
      </w:pPr>
      <w:r w:rsidRPr="0037413F">
        <w:rPr>
          <w:bCs/>
        </w:rPr>
        <w:t>Se clasifican los activos tangibles o intangibles, de operación o financieros, ligados a la entidad a largo plazo como activos no corrientes</w:t>
      </w:r>
      <w:r>
        <w:rPr>
          <w:bCs/>
        </w:rPr>
        <w:t>.</w:t>
      </w:r>
    </w:p>
    <w:p w14:paraId="3529280E" w14:textId="77777777" w:rsidR="00C30C4C" w:rsidRPr="0037413F" w:rsidRDefault="00C30C4C" w:rsidP="00C30C4C">
      <w:pPr>
        <w:spacing w:line="240" w:lineRule="auto"/>
        <w:rPr>
          <w:bCs/>
        </w:rPr>
      </w:pPr>
      <w:r w:rsidRPr="0037413F">
        <w:rPr>
          <w:bCs/>
        </w:rPr>
        <w:t>Los activos propiedad, planta y equipo se clasifican por clases de conformidad con lo establecido para el tratamiento contable de propiedades, planta y equipo</w:t>
      </w:r>
      <w:r>
        <w:rPr>
          <w:bCs/>
        </w:rPr>
        <w:t>.</w:t>
      </w:r>
    </w:p>
    <w:p w14:paraId="06F26460" w14:textId="77777777" w:rsidR="00C30C4C" w:rsidRPr="0037413F" w:rsidRDefault="00C30C4C" w:rsidP="00C30C4C">
      <w:pPr>
        <w:spacing w:line="240" w:lineRule="auto"/>
        <w:rPr>
          <w:bCs/>
        </w:rPr>
      </w:pPr>
      <w:r w:rsidRPr="0037413F">
        <w:rPr>
          <w:bCs/>
        </w:rPr>
        <w:t>Las cuentas por cobrar se clasifican en cuentas por cobrar en concepto de ingresos ordinarios/recursos a cobrar por servicios suministrados y otros ingresos ordinarios/recursos con contraprestación, impuestos y otros ingresos ordinarios/recursos sin contraprestación, otras entidades y de otras partidas (o rubros)</w:t>
      </w:r>
      <w:r>
        <w:rPr>
          <w:bCs/>
        </w:rPr>
        <w:t>.</w:t>
      </w:r>
    </w:p>
    <w:p w14:paraId="1C016EB3" w14:textId="77777777" w:rsidR="00C30C4C" w:rsidRPr="0037413F" w:rsidRDefault="00C30C4C" w:rsidP="00C30C4C">
      <w:pPr>
        <w:spacing w:line="240" w:lineRule="auto"/>
        <w:rPr>
          <w:bCs/>
        </w:rPr>
      </w:pPr>
      <w:r w:rsidRPr="0037413F">
        <w:rPr>
          <w:bCs/>
        </w:rPr>
        <w:t>Los inventarios se subdividen, de conformidad con normas adecuadas que aborden el tratamiento contable de las existencias, en categorías tales como mercaderías, materias primas, materiales, productos en proceso y productos terminados</w:t>
      </w:r>
      <w:r>
        <w:rPr>
          <w:bCs/>
        </w:rPr>
        <w:t>.</w:t>
      </w:r>
    </w:p>
    <w:p w14:paraId="7E0088DD" w14:textId="77777777" w:rsidR="00C30C4C" w:rsidRPr="0037413F" w:rsidRDefault="00C30C4C" w:rsidP="00C30C4C">
      <w:pPr>
        <w:spacing w:line="240" w:lineRule="auto"/>
        <w:rPr>
          <w:bCs/>
        </w:rPr>
      </w:pPr>
      <w:r w:rsidRPr="0037413F">
        <w:rPr>
          <w:bCs/>
        </w:rPr>
        <w:t>Las cuentas por pagar se clasifican en devoluciones de tributos, las transferencias por pagar y cuantías por pagar a otras entidades pertenecientes a la entidad económica</w:t>
      </w:r>
      <w:r>
        <w:rPr>
          <w:bCs/>
        </w:rPr>
        <w:t>.</w:t>
      </w:r>
    </w:p>
    <w:p w14:paraId="758F7D32" w14:textId="77777777" w:rsidR="00C30C4C" w:rsidRPr="0037413F" w:rsidRDefault="00C30C4C" w:rsidP="00C30C4C">
      <w:pPr>
        <w:spacing w:line="240" w:lineRule="auto"/>
        <w:rPr>
          <w:bCs/>
        </w:rPr>
      </w:pPr>
      <w:r w:rsidRPr="0037413F">
        <w:rPr>
          <w:bCs/>
        </w:rPr>
        <w:t>Las provisiones</w:t>
      </w:r>
      <w:r>
        <w:rPr>
          <w:bCs/>
        </w:rPr>
        <w:t xml:space="preserve">, cuando corresponda, </w:t>
      </w:r>
      <w:r w:rsidRPr="0037413F">
        <w:rPr>
          <w:bCs/>
        </w:rPr>
        <w:t>se desglosa</w:t>
      </w:r>
      <w:r>
        <w:rPr>
          <w:bCs/>
        </w:rPr>
        <w:t>rá</w:t>
      </w:r>
      <w:r w:rsidRPr="0037413F">
        <w:rPr>
          <w:bCs/>
        </w:rPr>
        <w:t xml:space="preserve">n mostrando separadamente las que corresponden a provisiones por beneficios a empleados y cualesquiera otros tipos que sean adecuados según las actividades de la </w:t>
      </w:r>
      <w:r>
        <w:rPr>
          <w:bCs/>
        </w:rPr>
        <w:t>municipalidad.</w:t>
      </w:r>
    </w:p>
    <w:p w14:paraId="1CC2CB32" w14:textId="77777777" w:rsidR="00C30C4C" w:rsidRPr="0037413F" w:rsidRDefault="00C30C4C" w:rsidP="00C30C4C">
      <w:pPr>
        <w:spacing w:line="240" w:lineRule="auto"/>
        <w:rPr>
          <w:bCs/>
          <w:highlight w:val="darkBlue"/>
        </w:rPr>
      </w:pPr>
      <w:r w:rsidRPr="0037413F">
        <w:rPr>
          <w:bCs/>
        </w:rPr>
        <w:t>Los componentes de los activos netos/patrimonio neto se clasifican mostrando por separado el capital aportado, los resultados netos (ahorro o desahorro) acumulados</w:t>
      </w:r>
      <w:r>
        <w:rPr>
          <w:bCs/>
        </w:rPr>
        <w:t>.</w:t>
      </w:r>
    </w:p>
    <w:p w14:paraId="5444254C" w14:textId="77777777" w:rsidR="003516A2" w:rsidRPr="000B404C" w:rsidRDefault="003516A2" w:rsidP="000B404C">
      <w:pPr>
        <w:spacing w:line="240" w:lineRule="auto"/>
        <w:rPr>
          <w:rStyle w:val="nfasis"/>
        </w:rPr>
      </w:pPr>
    </w:p>
    <w:p w14:paraId="3B46BBE4" w14:textId="77777777" w:rsidR="00104AD0" w:rsidRPr="00104AD0" w:rsidRDefault="00104AD0" w:rsidP="00104AD0">
      <w:pPr>
        <w:rPr>
          <w:b/>
          <w:u w:val="single"/>
        </w:rPr>
      </w:pPr>
      <w:r w:rsidRPr="00104AD0">
        <w:rPr>
          <w:b/>
          <w:u w:val="single"/>
        </w:rPr>
        <w:t xml:space="preserve">Revelación Suficiente: El ente debe cumplir con lo estipulado en revelación con forme a la NICSP, también debe considerar la política general y los párrafos incluidos en la matriz de autoevaluación referente a esta NICSP guías de aplicación. (Ver GA NICSP 1) </w:t>
      </w:r>
    </w:p>
    <w:p w14:paraId="489573C4" w14:textId="69FE8BB5" w:rsidR="004A4DC7" w:rsidRPr="004A4DC7" w:rsidRDefault="004A4DC7" w:rsidP="004A4DC7">
      <w:pPr>
        <w:spacing w:after="0" w:line="240" w:lineRule="auto"/>
        <w:rPr>
          <w:lang w:val="es-MX"/>
        </w:rPr>
      </w:pPr>
      <w:r w:rsidRPr="004A4DC7">
        <w:rPr>
          <w:lang w:val="es-MX"/>
        </w:rPr>
        <w:t xml:space="preserve">Los estados financieros de la Municipalidad de Buenos Aires presentan razonablemente, la situación financiera, el rendimiento financiero, así como sus flujos de efectivo. </w:t>
      </w:r>
    </w:p>
    <w:p w14:paraId="28870570" w14:textId="77777777" w:rsidR="004A4DC7" w:rsidRPr="004A4DC7" w:rsidRDefault="004A4DC7" w:rsidP="004A4DC7">
      <w:pPr>
        <w:spacing w:after="0" w:line="240" w:lineRule="auto"/>
        <w:rPr>
          <w:lang w:val="es-MX"/>
        </w:rPr>
      </w:pPr>
    </w:p>
    <w:p w14:paraId="5EE86E5B" w14:textId="77777777" w:rsidR="004A4DC7" w:rsidRPr="004A4DC7" w:rsidRDefault="004A4DC7" w:rsidP="004A4DC7">
      <w:pPr>
        <w:spacing w:after="120" w:line="240" w:lineRule="auto"/>
        <w:rPr>
          <w:lang w:val="es-MX"/>
        </w:rPr>
      </w:pPr>
      <w:r w:rsidRPr="004A4DC7">
        <w:rPr>
          <w:lang w:val="es-MX"/>
        </w:rPr>
        <w:t xml:space="preserve">Esta presentación razonable proporciona la representación de los efectos de las transacciones, así como de otros sucesos y condiciones, de acuerdo con las definiciones y los criterios de reconocimiento de activos, pasivos, ingresos y gastos establecidos en las NICSP. </w:t>
      </w:r>
    </w:p>
    <w:p w14:paraId="5DA546FB" w14:textId="3E1226AC" w:rsidR="004A4DC7" w:rsidRDefault="00C30C4C" w:rsidP="004A4DC7">
      <w:pPr>
        <w:spacing w:after="120" w:line="240" w:lineRule="auto"/>
        <w:ind w:right="51"/>
        <w:rPr>
          <w:lang w:val="es-MX"/>
        </w:rPr>
      </w:pPr>
      <w:r>
        <w:rPr>
          <w:lang w:val="es-MX"/>
        </w:rPr>
        <w:t xml:space="preserve">Los estados financieros presentan la información financiera al </w:t>
      </w:r>
      <w:r w:rsidR="00564BDD">
        <w:rPr>
          <w:lang w:val="es-MX"/>
        </w:rPr>
        <w:t>30 de junio</w:t>
      </w:r>
      <w:r>
        <w:rPr>
          <w:lang w:val="es-MX"/>
        </w:rPr>
        <w:t xml:space="preserve"> de 2024 de manera comparativa con respecto al periodo finalizado al </w:t>
      </w:r>
      <w:r w:rsidR="00564BDD">
        <w:rPr>
          <w:lang w:val="es-MX"/>
        </w:rPr>
        <w:t>30 de junio</w:t>
      </w:r>
      <w:r>
        <w:rPr>
          <w:lang w:val="es-MX"/>
        </w:rPr>
        <w:t xml:space="preserve"> de 2023, y en aquellos casos en que se requiera se incluye en las notas información adicional para aclarar cualquier variación que resulte por el efecto de encontrarse la Municipalidad en el periodo de transición. </w:t>
      </w:r>
    </w:p>
    <w:p w14:paraId="164557A6" w14:textId="28A0FE33" w:rsidR="004A4DC7" w:rsidRDefault="00C30C4C" w:rsidP="004A4DC7">
      <w:pPr>
        <w:spacing w:after="120" w:line="240" w:lineRule="auto"/>
        <w:ind w:right="51"/>
        <w:rPr>
          <w:lang w:val="es-MX"/>
        </w:rPr>
      </w:pPr>
      <w:r>
        <w:rPr>
          <w:lang w:val="es-MX"/>
        </w:rPr>
        <w:t xml:space="preserve">Dichos estados se elaboraron con base en Acumulación o Devengo y considerando las disposiciones transitorias que conceden las NICSP 1, 5,12,13,17,19,20,21,23,26,31,35 y 39 que le son de aplicación a la Municipalidad. </w:t>
      </w:r>
    </w:p>
    <w:p w14:paraId="3BF9370C" w14:textId="47E72C89" w:rsidR="00C30C4C" w:rsidRDefault="00C30C4C" w:rsidP="004A4DC7">
      <w:pPr>
        <w:spacing w:after="120" w:line="240" w:lineRule="auto"/>
        <w:ind w:right="51"/>
        <w:rPr>
          <w:lang w:val="es-MX"/>
        </w:rPr>
      </w:pPr>
      <w:r>
        <w:rPr>
          <w:lang w:val="es-MX"/>
        </w:rPr>
        <w:t>Además, para la medición de los diferentes elementos que componen los estados financieros se utilizó alguna de las bases permitidas por las NICSP de que se trate; a saber: costo histórico, valor realizable neto, valor razonable, importe de servicio recuperable, importe recuperable, las cuales se especifican en detalle en las notas particulares de los estados financieros.</w:t>
      </w:r>
    </w:p>
    <w:p w14:paraId="4817442D" w14:textId="77777777" w:rsidR="004A4DC7" w:rsidRDefault="00C30C4C" w:rsidP="00C30C4C">
      <w:pPr>
        <w:spacing w:line="240" w:lineRule="auto"/>
        <w:ind w:right="49"/>
        <w:rPr>
          <w:lang w:val="es-MX"/>
        </w:rPr>
      </w:pPr>
      <w:r>
        <w:rPr>
          <w:lang w:val="es-MX"/>
        </w:rPr>
        <w:t xml:space="preserve">Como se indicó antes la Municipalidad de Buenos Aires se encuentra en el periodo de transición a las NICSP, por lo tanto, los estados financieros a que se refieren estas notas no proporcionan una representación fiel del efecto de las transacciones, así como de otros sucesos y condiciones, de acuerdo con las definiciones y los criterios de reconocimiento de activos, pasivos, ingresos y gastos establecidos en las NICSP. </w:t>
      </w:r>
    </w:p>
    <w:p w14:paraId="62C1A817" w14:textId="26279967" w:rsidR="00C30C4C" w:rsidRDefault="00C30C4C" w:rsidP="00C30C4C">
      <w:pPr>
        <w:spacing w:line="240" w:lineRule="auto"/>
        <w:ind w:right="49"/>
        <w:rPr>
          <w:lang w:val="es-MX"/>
        </w:rPr>
      </w:pPr>
      <w:r>
        <w:rPr>
          <w:lang w:val="es-MX"/>
        </w:rPr>
        <w:t xml:space="preserve">Aunado, debe señalarse que, la presentación razonable no se ha alcanzado por cuanto aún se está pendiente la implementación operativa de varias políticas contables relacionadas con los activos de propiedad, planta y equipo, partida que al </w:t>
      </w:r>
      <w:r w:rsidR="00564BDD">
        <w:rPr>
          <w:lang w:val="es-MX"/>
        </w:rPr>
        <w:t>30 de junio</w:t>
      </w:r>
      <w:r>
        <w:rPr>
          <w:lang w:val="es-MX"/>
        </w:rPr>
        <w:t xml:space="preserve"> de 2023 representa el </w:t>
      </w:r>
      <w:r w:rsidRPr="00373BFA">
        <w:rPr>
          <w:lang w:val="es-MX"/>
        </w:rPr>
        <w:t>98,3</w:t>
      </w:r>
      <w:r>
        <w:rPr>
          <w:lang w:val="es-MX"/>
        </w:rPr>
        <w:t>0 % del total de los activos, constituyendo una partida influyente en las decisiones económica que pudieran tomar los usuarios de la información financiera.</w:t>
      </w:r>
    </w:p>
    <w:p w14:paraId="3A5A674D" w14:textId="77777777" w:rsidR="00C30C4C" w:rsidRDefault="00C30C4C" w:rsidP="00C30C4C">
      <w:pPr>
        <w:spacing w:line="240" w:lineRule="auto"/>
        <w:ind w:right="49"/>
        <w:rPr>
          <w:lang w:val="es-MX"/>
        </w:rPr>
      </w:pPr>
      <w:r>
        <w:rPr>
          <w:lang w:val="es-MX"/>
        </w:rPr>
        <w:t>Los estados financieros han sido preparados con base en el principio de negocio en marcha, lo cual implica que no se tiene ninguna intención de liquidar la Municipalidad o cesar sus operaciones. Asimismo, no existe incertidumbre material, relacionada con sucesos o condiciones que puedan aportar dudas significativas sobre la capacidad de que la Municipalidad pueda seguir operando con normalidad con base en los ingresos que se prevén recaudar y los gastos asociados a los mismos, según la planificación operativa y estratégica institucional.</w:t>
      </w:r>
    </w:p>
    <w:p w14:paraId="3939D2DC" w14:textId="77777777" w:rsidR="00C30C4C" w:rsidRDefault="00C30C4C" w:rsidP="00C30C4C">
      <w:pPr>
        <w:spacing w:line="240" w:lineRule="auto"/>
        <w:ind w:right="49"/>
        <w:rPr>
          <w:lang w:val="es-MX"/>
        </w:rPr>
      </w:pPr>
      <w:r>
        <w:rPr>
          <w:lang w:val="es-MX"/>
        </w:rPr>
        <w:t xml:space="preserve">Es pertinente indicar que los estados financieros conservan la misma estructura del periodo anterior, así como las partidas en los estados financieros conservan la presentación y clasificación. Esto incluye la no realización de compensaciones, por lo que las partidas de activo, pasivo, ingresos y gastos se presentan por separado considerando la materialidad conforme lo establece la NICSP 1. </w:t>
      </w:r>
    </w:p>
    <w:p w14:paraId="7A5B0C3F" w14:textId="77777777" w:rsidR="00C30C4C" w:rsidRDefault="00C30C4C" w:rsidP="00C30C4C">
      <w:pPr>
        <w:spacing w:line="240" w:lineRule="auto"/>
        <w:rPr>
          <w:lang w:val="es-MX"/>
        </w:rPr>
      </w:pPr>
      <w:r>
        <w:rPr>
          <w:lang w:val="es-MX"/>
        </w:rPr>
        <w:t>Finalmente, es preciso manifestar que como se indica en la Matriz NICSP y Plan de Acción aún se encuentra en proceso de implementación lo concerniente a:</w:t>
      </w:r>
    </w:p>
    <w:p w14:paraId="4DBA9A62" w14:textId="77777777" w:rsidR="00086E46" w:rsidRDefault="00086E46" w:rsidP="00C30C4C">
      <w:pPr>
        <w:spacing w:line="240" w:lineRule="auto"/>
        <w:rPr>
          <w:lang w:val="es-MX"/>
        </w:rPr>
      </w:pPr>
    </w:p>
    <w:tbl>
      <w:tblPr>
        <w:tblW w:w="9097" w:type="dxa"/>
        <w:tblLook w:val="04A0" w:firstRow="1" w:lastRow="0" w:firstColumn="1" w:lastColumn="0" w:noHBand="0" w:noVBand="1"/>
      </w:tblPr>
      <w:tblGrid>
        <w:gridCol w:w="7787"/>
        <w:gridCol w:w="1310"/>
      </w:tblGrid>
      <w:tr w:rsidR="00C30C4C" w:rsidRPr="000D4EE3" w14:paraId="42AC244F" w14:textId="77777777" w:rsidTr="004653E2">
        <w:trPr>
          <w:trHeight w:val="790"/>
        </w:trPr>
        <w:tc>
          <w:tcPr>
            <w:tcW w:w="778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1F1D449" w14:textId="77777777" w:rsidR="00C30C4C" w:rsidRPr="000D4EE3" w:rsidRDefault="00C30C4C" w:rsidP="004653E2">
            <w:pPr>
              <w:spacing w:after="0" w:line="240" w:lineRule="auto"/>
              <w:jc w:val="center"/>
              <w:rPr>
                <w:rFonts w:eastAsia="Times New Roman" w:cs="Calibri"/>
                <w:b/>
                <w:bCs/>
                <w:sz w:val="20"/>
                <w:szCs w:val="20"/>
                <w:lang w:val="en-US"/>
              </w:rPr>
            </w:pPr>
            <w:r w:rsidRPr="000D4EE3">
              <w:rPr>
                <w:rFonts w:eastAsia="Times New Roman" w:cs="Calibri"/>
                <w:b/>
                <w:bCs/>
                <w:sz w:val="20"/>
                <w:szCs w:val="20"/>
                <w:lang w:val="en-US"/>
              </w:rPr>
              <w:t>Actividades Pendientes de Cumplimiento</w:t>
            </w:r>
          </w:p>
        </w:tc>
        <w:tc>
          <w:tcPr>
            <w:tcW w:w="1310" w:type="dxa"/>
            <w:tcBorders>
              <w:top w:val="single" w:sz="8" w:space="0" w:color="auto"/>
              <w:left w:val="nil"/>
              <w:bottom w:val="single" w:sz="4" w:space="0" w:color="auto"/>
              <w:right w:val="single" w:sz="8" w:space="0" w:color="auto"/>
            </w:tcBorders>
            <w:shd w:val="clear" w:color="auto" w:fill="auto"/>
            <w:vAlign w:val="bottom"/>
            <w:hideMark/>
          </w:tcPr>
          <w:p w14:paraId="0569B0B1" w14:textId="77777777" w:rsidR="00C30C4C" w:rsidRPr="000D4EE3" w:rsidRDefault="00C30C4C" w:rsidP="004653E2">
            <w:pPr>
              <w:spacing w:after="0" w:line="240" w:lineRule="auto"/>
              <w:jc w:val="center"/>
              <w:rPr>
                <w:rFonts w:eastAsia="Times New Roman" w:cs="Calibri"/>
                <w:b/>
                <w:bCs/>
                <w:color w:val="000000"/>
                <w:sz w:val="20"/>
                <w:szCs w:val="20"/>
                <w:lang w:val="en-US"/>
              </w:rPr>
            </w:pPr>
            <w:r w:rsidRPr="000D4EE3">
              <w:rPr>
                <w:rFonts w:eastAsia="Times New Roman" w:cs="Calibri"/>
                <w:b/>
                <w:bCs/>
                <w:color w:val="000000"/>
                <w:sz w:val="20"/>
                <w:szCs w:val="20"/>
                <w:lang w:val="en-US"/>
              </w:rPr>
              <w:t>Fecha Estimada Cumplimiento</w:t>
            </w:r>
          </w:p>
        </w:tc>
      </w:tr>
      <w:tr w:rsidR="00C30C4C" w:rsidRPr="000D4EE3" w14:paraId="133876D3" w14:textId="77777777" w:rsidTr="004653E2">
        <w:trPr>
          <w:trHeight w:val="2311"/>
        </w:trPr>
        <w:tc>
          <w:tcPr>
            <w:tcW w:w="7787" w:type="dxa"/>
            <w:tcBorders>
              <w:top w:val="nil"/>
              <w:left w:val="single" w:sz="8" w:space="0" w:color="auto"/>
              <w:bottom w:val="single" w:sz="4" w:space="0" w:color="auto"/>
              <w:right w:val="single" w:sz="4" w:space="0" w:color="auto"/>
            </w:tcBorders>
            <w:shd w:val="clear" w:color="000000" w:fill="FFFFFF"/>
            <w:hideMark/>
          </w:tcPr>
          <w:p w14:paraId="60F9B267" w14:textId="77777777" w:rsidR="00C30C4C" w:rsidRDefault="00C30C4C" w:rsidP="004653E2">
            <w:pPr>
              <w:spacing w:after="0" w:line="240" w:lineRule="auto"/>
              <w:rPr>
                <w:rFonts w:eastAsia="Times New Roman" w:cs="Calibri"/>
                <w:sz w:val="20"/>
                <w:szCs w:val="20"/>
              </w:rPr>
            </w:pPr>
            <w:r w:rsidRPr="000D4EE3">
              <w:rPr>
                <w:rFonts w:eastAsia="Times New Roman" w:cs="Calibri"/>
                <w:sz w:val="20"/>
                <w:szCs w:val="20"/>
              </w:rPr>
              <w:t>Concluir las depuraciones de los saldos correspondientes que se reflejan en los estados financieros y garantizar la información correcta acerca de las bases para la elaboración de los EEFF:</w:t>
            </w:r>
            <w:r w:rsidRPr="000D4EE3">
              <w:rPr>
                <w:rFonts w:eastAsia="Times New Roman" w:cs="Calibri"/>
                <w:sz w:val="20"/>
                <w:szCs w:val="20"/>
              </w:rPr>
              <w:br/>
              <w:t>1. Toma física y valuación de activos de infraestructura vial</w:t>
            </w:r>
            <w:r>
              <w:rPr>
                <w:rFonts w:eastAsia="Times New Roman" w:cs="Calibri"/>
                <w:sz w:val="20"/>
                <w:szCs w:val="20"/>
              </w:rPr>
              <w:t>.</w:t>
            </w:r>
          </w:p>
          <w:p w14:paraId="663E1319" w14:textId="77777777" w:rsidR="00C30C4C" w:rsidRDefault="00C30C4C" w:rsidP="004653E2">
            <w:pPr>
              <w:spacing w:after="0" w:line="240" w:lineRule="auto"/>
              <w:rPr>
                <w:rFonts w:eastAsia="Times New Roman" w:cs="Calibri"/>
                <w:sz w:val="20"/>
                <w:szCs w:val="20"/>
              </w:rPr>
            </w:pPr>
            <w:r w:rsidRPr="000D4EE3">
              <w:rPr>
                <w:rFonts w:eastAsia="Times New Roman" w:cs="Calibri"/>
                <w:sz w:val="20"/>
                <w:szCs w:val="20"/>
              </w:rPr>
              <w:t>2. Levantar el inventario y valuación de los activos intangibles</w:t>
            </w:r>
            <w:r>
              <w:rPr>
                <w:rFonts w:eastAsia="Times New Roman" w:cs="Calibri"/>
                <w:sz w:val="20"/>
                <w:szCs w:val="20"/>
              </w:rPr>
              <w:t>.</w:t>
            </w:r>
          </w:p>
          <w:p w14:paraId="766FA5AF" w14:textId="77777777" w:rsidR="00C30C4C" w:rsidRDefault="00C30C4C" w:rsidP="004653E2">
            <w:pPr>
              <w:spacing w:after="0" w:line="240" w:lineRule="auto"/>
              <w:rPr>
                <w:rFonts w:eastAsia="Times New Roman" w:cs="Calibri"/>
                <w:sz w:val="20"/>
                <w:szCs w:val="20"/>
              </w:rPr>
            </w:pPr>
            <w:r w:rsidRPr="000D4EE3">
              <w:rPr>
                <w:rFonts w:eastAsia="Times New Roman" w:cs="Calibri"/>
                <w:sz w:val="20"/>
                <w:szCs w:val="20"/>
              </w:rPr>
              <w:t>3. Identificación y valoración de los terrenos propiedad de la Municipalidad.</w:t>
            </w:r>
          </w:p>
          <w:p w14:paraId="3434113A" w14:textId="77777777" w:rsidR="00C30C4C" w:rsidRDefault="00C30C4C" w:rsidP="004653E2">
            <w:pPr>
              <w:spacing w:after="0" w:line="240" w:lineRule="auto"/>
              <w:rPr>
                <w:rFonts w:eastAsia="Times New Roman" w:cs="Calibri"/>
                <w:sz w:val="20"/>
                <w:szCs w:val="20"/>
              </w:rPr>
            </w:pPr>
            <w:r w:rsidRPr="000D4EE3">
              <w:rPr>
                <w:rFonts w:eastAsia="Times New Roman" w:cs="Calibri"/>
                <w:sz w:val="20"/>
                <w:szCs w:val="20"/>
              </w:rPr>
              <w:t>4. Valuación de los edificios de propiedad municipal.</w:t>
            </w:r>
          </w:p>
          <w:p w14:paraId="4C85B237" w14:textId="77777777" w:rsidR="00C30C4C" w:rsidRDefault="00C30C4C" w:rsidP="004653E2">
            <w:pPr>
              <w:spacing w:after="0" w:line="240" w:lineRule="auto"/>
              <w:rPr>
                <w:rFonts w:eastAsia="Times New Roman" w:cs="Calibri"/>
                <w:sz w:val="20"/>
                <w:szCs w:val="20"/>
              </w:rPr>
            </w:pPr>
            <w:r w:rsidRPr="000D4EE3">
              <w:rPr>
                <w:rFonts w:eastAsia="Times New Roman" w:cs="Calibri"/>
                <w:sz w:val="20"/>
                <w:szCs w:val="20"/>
              </w:rPr>
              <w:t>5. Depuración de la base de datos de cuentas por cobrar.</w:t>
            </w:r>
          </w:p>
          <w:p w14:paraId="4012C125" w14:textId="77777777" w:rsidR="00C30C4C" w:rsidRDefault="00C30C4C" w:rsidP="004653E2">
            <w:pPr>
              <w:spacing w:after="0" w:line="240" w:lineRule="auto"/>
              <w:rPr>
                <w:rFonts w:eastAsia="Times New Roman" w:cs="Calibri"/>
                <w:sz w:val="20"/>
                <w:szCs w:val="20"/>
              </w:rPr>
            </w:pPr>
            <w:r w:rsidRPr="000D4EE3">
              <w:rPr>
                <w:rFonts w:eastAsia="Times New Roman" w:cs="Calibri"/>
                <w:sz w:val="20"/>
                <w:szCs w:val="20"/>
              </w:rPr>
              <w:t>6. Depuración de la información acerca de litigios en proceso</w:t>
            </w:r>
          </w:p>
          <w:p w14:paraId="2A888820" w14:textId="77777777" w:rsidR="00C30C4C" w:rsidRDefault="00C30C4C" w:rsidP="004653E2">
            <w:pPr>
              <w:spacing w:after="0" w:line="240" w:lineRule="auto"/>
              <w:rPr>
                <w:rFonts w:eastAsia="Times New Roman" w:cs="Calibri"/>
                <w:sz w:val="20"/>
                <w:szCs w:val="20"/>
              </w:rPr>
            </w:pPr>
            <w:r w:rsidRPr="000D4EE3">
              <w:rPr>
                <w:rFonts w:eastAsia="Times New Roman" w:cs="Calibri"/>
                <w:sz w:val="20"/>
                <w:szCs w:val="20"/>
              </w:rPr>
              <w:t>7. Información sobre el recurso humano acerca de los beneficios sociales.</w:t>
            </w:r>
          </w:p>
          <w:p w14:paraId="52DB0BBD" w14:textId="77777777" w:rsidR="00C30C4C" w:rsidRPr="000D4EE3" w:rsidRDefault="00C30C4C" w:rsidP="004653E2">
            <w:pPr>
              <w:spacing w:after="0" w:line="240" w:lineRule="auto"/>
              <w:rPr>
                <w:rFonts w:eastAsia="Times New Roman" w:cs="Calibri"/>
                <w:sz w:val="20"/>
                <w:szCs w:val="20"/>
              </w:rPr>
            </w:pPr>
            <w:r w:rsidRPr="000D4EE3">
              <w:rPr>
                <w:rFonts w:eastAsia="Times New Roman" w:cs="Calibri"/>
                <w:sz w:val="20"/>
                <w:szCs w:val="20"/>
              </w:rPr>
              <w:t>8. EEFF del CCDRN</w:t>
            </w:r>
          </w:p>
        </w:tc>
        <w:tc>
          <w:tcPr>
            <w:tcW w:w="1310" w:type="dxa"/>
            <w:tcBorders>
              <w:top w:val="nil"/>
              <w:left w:val="nil"/>
              <w:bottom w:val="single" w:sz="4" w:space="0" w:color="auto"/>
              <w:right w:val="single" w:sz="8" w:space="0" w:color="auto"/>
            </w:tcBorders>
            <w:shd w:val="clear" w:color="000000" w:fill="FFFFFF"/>
            <w:noWrap/>
            <w:vAlign w:val="center"/>
            <w:hideMark/>
          </w:tcPr>
          <w:p w14:paraId="385E42E1" w14:textId="77777777" w:rsidR="00C30C4C" w:rsidRPr="000D4EE3" w:rsidRDefault="00C30C4C" w:rsidP="004653E2">
            <w:pPr>
              <w:spacing w:after="0" w:line="240" w:lineRule="auto"/>
              <w:jc w:val="center"/>
              <w:rPr>
                <w:rFonts w:eastAsia="Times New Roman" w:cs="Calibri"/>
                <w:sz w:val="20"/>
                <w:szCs w:val="20"/>
                <w:lang w:val="en-US"/>
              </w:rPr>
            </w:pPr>
            <w:r w:rsidRPr="000D4EE3">
              <w:rPr>
                <w:rFonts w:eastAsia="Times New Roman" w:cs="Calibri"/>
                <w:sz w:val="20"/>
                <w:szCs w:val="20"/>
                <w:lang w:val="en-US"/>
              </w:rPr>
              <w:t>31/12/24</w:t>
            </w:r>
          </w:p>
        </w:tc>
      </w:tr>
      <w:tr w:rsidR="00C30C4C" w:rsidRPr="000D4EE3" w14:paraId="4CBCCD53" w14:textId="77777777" w:rsidTr="004653E2">
        <w:trPr>
          <w:trHeight w:val="520"/>
        </w:trPr>
        <w:tc>
          <w:tcPr>
            <w:tcW w:w="7787" w:type="dxa"/>
            <w:tcBorders>
              <w:top w:val="nil"/>
              <w:left w:val="single" w:sz="8" w:space="0" w:color="auto"/>
              <w:bottom w:val="single" w:sz="4" w:space="0" w:color="auto"/>
              <w:right w:val="single" w:sz="4" w:space="0" w:color="auto"/>
            </w:tcBorders>
            <w:shd w:val="clear" w:color="000000" w:fill="FFFFFF"/>
            <w:hideMark/>
          </w:tcPr>
          <w:p w14:paraId="78334242" w14:textId="77777777" w:rsidR="00C30C4C" w:rsidRPr="000D4EE3" w:rsidRDefault="00C30C4C" w:rsidP="004653E2">
            <w:pPr>
              <w:spacing w:after="0" w:line="240" w:lineRule="auto"/>
              <w:rPr>
                <w:rFonts w:eastAsia="Times New Roman" w:cs="Calibri"/>
                <w:sz w:val="20"/>
                <w:szCs w:val="20"/>
              </w:rPr>
            </w:pPr>
            <w:r w:rsidRPr="000D4EE3">
              <w:rPr>
                <w:rFonts w:eastAsia="Times New Roman" w:cs="Calibri"/>
                <w:sz w:val="20"/>
                <w:szCs w:val="20"/>
              </w:rPr>
              <w:t>Contar con un sistema integrado que permita el registro de las transacciones que se realizan en la Institución  y que genere los EEFF según la normativa contable</w:t>
            </w:r>
            <w:r>
              <w:rPr>
                <w:rFonts w:eastAsia="Times New Roman" w:cs="Calibri"/>
                <w:sz w:val="20"/>
                <w:szCs w:val="20"/>
              </w:rPr>
              <w:t>.</w:t>
            </w:r>
          </w:p>
        </w:tc>
        <w:tc>
          <w:tcPr>
            <w:tcW w:w="1310" w:type="dxa"/>
            <w:tcBorders>
              <w:top w:val="nil"/>
              <w:left w:val="nil"/>
              <w:bottom w:val="single" w:sz="4" w:space="0" w:color="auto"/>
              <w:right w:val="single" w:sz="8" w:space="0" w:color="auto"/>
            </w:tcBorders>
            <w:shd w:val="clear" w:color="000000" w:fill="FFFFFF"/>
            <w:noWrap/>
            <w:vAlign w:val="center"/>
            <w:hideMark/>
          </w:tcPr>
          <w:p w14:paraId="6181D45D" w14:textId="77777777" w:rsidR="00C30C4C" w:rsidRPr="000D4EE3" w:rsidRDefault="00C30C4C" w:rsidP="004653E2">
            <w:pPr>
              <w:spacing w:after="0" w:line="240" w:lineRule="auto"/>
              <w:jc w:val="center"/>
              <w:rPr>
                <w:rFonts w:eastAsia="Times New Roman" w:cs="Calibri"/>
                <w:sz w:val="20"/>
                <w:szCs w:val="20"/>
                <w:lang w:val="en-US"/>
              </w:rPr>
            </w:pPr>
            <w:r w:rsidRPr="000D4EE3">
              <w:rPr>
                <w:rFonts w:eastAsia="Times New Roman" w:cs="Calibri"/>
                <w:sz w:val="20"/>
                <w:szCs w:val="20"/>
                <w:lang w:val="en-US"/>
              </w:rPr>
              <w:t>31/12/24</w:t>
            </w:r>
          </w:p>
        </w:tc>
      </w:tr>
      <w:tr w:rsidR="00C30C4C" w:rsidRPr="000D4EE3" w14:paraId="4430FEEB" w14:textId="77777777" w:rsidTr="004653E2">
        <w:trPr>
          <w:trHeight w:val="520"/>
        </w:trPr>
        <w:tc>
          <w:tcPr>
            <w:tcW w:w="7787" w:type="dxa"/>
            <w:tcBorders>
              <w:top w:val="nil"/>
              <w:left w:val="single" w:sz="8" w:space="0" w:color="auto"/>
              <w:bottom w:val="single" w:sz="4" w:space="0" w:color="auto"/>
              <w:right w:val="single" w:sz="4" w:space="0" w:color="auto"/>
            </w:tcBorders>
            <w:shd w:val="clear" w:color="000000" w:fill="FFFFFF"/>
            <w:hideMark/>
          </w:tcPr>
          <w:p w14:paraId="021DC551" w14:textId="42F29B43" w:rsidR="00C30C4C" w:rsidRPr="000D4EE3" w:rsidRDefault="00C30C4C" w:rsidP="004653E2">
            <w:pPr>
              <w:spacing w:after="0" w:line="240" w:lineRule="auto"/>
              <w:rPr>
                <w:rFonts w:eastAsia="Times New Roman" w:cs="Calibri"/>
                <w:sz w:val="20"/>
                <w:szCs w:val="20"/>
              </w:rPr>
            </w:pPr>
            <w:r w:rsidRPr="000D4EE3">
              <w:rPr>
                <w:rFonts w:eastAsia="Times New Roman" w:cs="Calibri"/>
                <w:sz w:val="20"/>
                <w:szCs w:val="20"/>
              </w:rPr>
              <w:t>Concluir con la identificación de las principales políticas</w:t>
            </w:r>
            <w:r>
              <w:rPr>
                <w:rFonts w:eastAsia="Times New Roman" w:cs="Calibri"/>
                <w:sz w:val="20"/>
                <w:szCs w:val="20"/>
              </w:rPr>
              <w:t xml:space="preserve"> particulares</w:t>
            </w:r>
            <w:r w:rsidRPr="000D4EE3">
              <w:rPr>
                <w:rFonts w:eastAsia="Times New Roman" w:cs="Calibri"/>
                <w:sz w:val="20"/>
                <w:szCs w:val="20"/>
              </w:rPr>
              <w:t xml:space="preserve"> que se debe revelar en las notas a los estados financieros en relación con los saldos presentados en esos estados financieros</w:t>
            </w:r>
            <w:r>
              <w:rPr>
                <w:rFonts w:eastAsia="Times New Roman" w:cs="Calibri"/>
                <w:sz w:val="20"/>
                <w:szCs w:val="20"/>
              </w:rPr>
              <w:t>.</w:t>
            </w:r>
          </w:p>
        </w:tc>
        <w:tc>
          <w:tcPr>
            <w:tcW w:w="1310" w:type="dxa"/>
            <w:tcBorders>
              <w:top w:val="nil"/>
              <w:left w:val="nil"/>
              <w:bottom w:val="single" w:sz="4" w:space="0" w:color="auto"/>
              <w:right w:val="single" w:sz="8" w:space="0" w:color="auto"/>
            </w:tcBorders>
            <w:shd w:val="clear" w:color="000000" w:fill="FFFFFF"/>
            <w:noWrap/>
            <w:vAlign w:val="center"/>
            <w:hideMark/>
          </w:tcPr>
          <w:p w14:paraId="4B2777F0" w14:textId="77777777" w:rsidR="00C30C4C" w:rsidRPr="000D4EE3" w:rsidRDefault="00C30C4C" w:rsidP="004653E2">
            <w:pPr>
              <w:spacing w:after="0" w:line="240" w:lineRule="auto"/>
              <w:jc w:val="center"/>
              <w:rPr>
                <w:rFonts w:eastAsia="Times New Roman" w:cs="Calibri"/>
                <w:sz w:val="20"/>
                <w:szCs w:val="20"/>
                <w:lang w:val="en-US"/>
              </w:rPr>
            </w:pPr>
            <w:r w:rsidRPr="000D4EE3">
              <w:rPr>
                <w:rFonts w:eastAsia="Times New Roman" w:cs="Calibri"/>
                <w:sz w:val="20"/>
                <w:szCs w:val="20"/>
                <w:lang w:val="en-US"/>
              </w:rPr>
              <w:t>31/12/24</w:t>
            </w:r>
          </w:p>
        </w:tc>
      </w:tr>
      <w:tr w:rsidR="00C30C4C" w:rsidRPr="000D4EE3" w14:paraId="379318B0" w14:textId="77777777" w:rsidTr="004653E2">
        <w:trPr>
          <w:trHeight w:val="780"/>
        </w:trPr>
        <w:tc>
          <w:tcPr>
            <w:tcW w:w="7787" w:type="dxa"/>
            <w:tcBorders>
              <w:top w:val="nil"/>
              <w:left w:val="single" w:sz="8" w:space="0" w:color="auto"/>
              <w:bottom w:val="single" w:sz="4" w:space="0" w:color="auto"/>
              <w:right w:val="single" w:sz="4" w:space="0" w:color="auto"/>
            </w:tcBorders>
            <w:shd w:val="clear" w:color="000000" w:fill="FFFFFF"/>
            <w:hideMark/>
          </w:tcPr>
          <w:p w14:paraId="26B047DA" w14:textId="77777777" w:rsidR="00C30C4C" w:rsidRPr="000D4EE3" w:rsidRDefault="00C30C4C" w:rsidP="004653E2">
            <w:pPr>
              <w:spacing w:after="0" w:line="240" w:lineRule="auto"/>
              <w:rPr>
                <w:rFonts w:eastAsia="Times New Roman" w:cs="Calibri"/>
                <w:sz w:val="20"/>
                <w:szCs w:val="20"/>
              </w:rPr>
            </w:pPr>
            <w:r w:rsidRPr="000D4EE3">
              <w:rPr>
                <w:rFonts w:eastAsia="Times New Roman" w:cs="Calibri"/>
                <w:sz w:val="20"/>
                <w:szCs w:val="20"/>
              </w:rPr>
              <w:t>Revisar y ajustar el contenido de las notas a los estados financieros con base en la información identificada en según la actividad anterior, con el fin de cumplir con lo establecido en la NICSP 1 y las demás NICSP relacionadas con los diferentes a componentes de los estados financieros</w:t>
            </w:r>
            <w:r>
              <w:rPr>
                <w:rFonts w:eastAsia="Times New Roman" w:cs="Calibri"/>
                <w:sz w:val="20"/>
                <w:szCs w:val="20"/>
              </w:rPr>
              <w:t>.</w:t>
            </w:r>
          </w:p>
        </w:tc>
        <w:tc>
          <w:tcPr>
            <w:tcW w:w="1310" w:type="dxa"/>
            <w:tcBorders>
              <w:top w:val="nil"/>
              <w:left w:val="nil"/>
              <w:bottom w:val="single" w:sz="4" w:space="0" w:color="auto"/>
              <w:right w:val="single" w:sz="8" w:space="0" w:color="auto"/>
            </w:tcBorders>
            <w:shd w:val="clear" w:color="000000" w:fill="FFFFFF"/>
            <w:noWrap/>
            <w:vAlign w:val="center"/>
            <w:hideMark/>
          </w:tcPr>
          <w:p w14:paraId="53C13ECD" w14:textId="77777777" w:rsidR="00C30C4C" w:rsidRPr="000D4EE3" w:rsidRDefault="00C30C4C" w:rsidP="004653E2">
            <w:pPr>
              <w:spacing w:after="0" w:line="240" w:lineRule="auto"/>
              <w:jc w:val="center"/>
              <w:rPr>
                <w:rFonts w:eastAsia="Times New Roman" w:cs="Calibri"/>
                <w:sz w:val="20"/>
                <w:szCs w:val="20"/>
                <w:lang w:val="en-US"/>
              </w:rPr>
            </w:pPr>
            <w:r w:rsidRPr="000D4EE3">
              <w:rPr>
                <w:rFonts w:eastAsia="Times New Roman" w:cs="Calibri"/>
                <w:sz w:val="20"/>
                <w:szCs w:val="20"/>
                <w:lang w:val="en-US"/>
              </w:rPr>
              <w:t>31/12/24</w:t>
            </w:r>
          </w:p>
        </w:tc>
      </w:tr>
      <w:tr w:rsidR="00C30C4C" w:rsidRPr="000D4EE3" w14:paraId="01578CEF" w14:textId="77777777" w:rsidTr="004653E2">
        <w:trPr>
          <w:trHeight w:val="2330"/>
        </w:trPr>
        <w:tc>
          <w:tcPr>
            <w:tcW w:w="7787" w:type="dxa"/>
            <w:tcBorders>
              <w:top w:val="nil"/>
              <w:left w:val="single" w:sz="8" w:space="0" w:color="auto"/>
              <w:bottom w:val="single" w:sz="8" w:space="0" w:color="auto"/>
              <w:right w:val="single" w:sz="4" w:space="0" w:color="auto"/>
            </w:tcBorders>
            <w:shd w:val="clear" w:color="000000" w:fill="FFFFFF"/>
            <w:hideMark/>
          </w:tcPr>
          <w:p w14:paraId="2126E617" w14:textId="24D8A233" w:rsidR="00C30C4C" w:rsidRDefault="00C30C4C" w:rsidP="004653E2">
            <w:pPr>
              <w:spacing w:after="0" w:line="240" w:lineRule="auto"/>
              <w:jc w:val="left"/>
              <w:rPr>
                <w:rFonts w:eastAsia="Times New Roman" w:cs="Calibri"/>
                <w:sz w:val="20"/>
                <w:szCs w:val="20"/>
              </w:rPr>
            </w:pPr>
            <w:r w:rsidRPr="000D4EE3">
              <w:rPr>
                <w:rFonts w:eastAsia="Times New Roman" w:cs="Calibri"/>
                <w:sz w:val="20"/>
                <w:szCs w:val="20"/>
              </w:rPr>
              <w:t xml:space="preserve">Realizar un proceso elaboración de las políticas </w:t>
            </w:r>
            <w:r>
              <w:rPr>
                <w:rFonts w:eastAsia="Times New Roman" w:cs="Calibri"/>
                <w:sz w:val="20"/>
                <w:szCs w:val="20"/>
              </w:rPr>
              <w:t>particulares</w:t>
            </w:r>
            <w:r w:rsidRPr="000D4EE3">
              <w:rPr>
                <w:rFonts w:eastAsia="Times New Roman" w:cs="Calibri"/>
                <w:sz w:val="20"/>
                <w:szCs w:val="20"/>
              </w:rPr>
              <w:t xml:space="preserve"> según corresponda, Las políticas contables específicas a elaborar y emitir se refieren a los siguientes temas:  </w:t>
            </w:r>
            <w:r w:rsidRPr="000D4EE3">
              <w:rPr>
                <w:rFonts w:eastAsia="Times New Roman" w:cs="Calibri"/>
                <w:sz w:val="20"/>
                <w:szCs w:val="20"/>
              </w:rPr>
              <w:br/>
              <w:t>a) Reconocimiento, registro y control de activos fijos comprendidos en el rubro de Propiedad, Planta y Equipo</w:t>
            </w:r>
            <w:r>
              <w:rPr>
                <w:rFonts w:eastAsia="Times New Roman" w:cs="Calibri"/>
                <w:sz w:val="20"/>
                <w:szCs w:val="20"/>
              </w:rPr>
              <w:t>.</w:t>
            </w:r>
            <w:r w:rsidRPr="000D4EE3">
              <w:rPr>
                <w:rFonts w:eastAsia="Times New Roman" w:cs="Calibri"/>
                <w:sz w:val="20"/>
                <w:szCs w:val="20"/>
              </w:rPr>
              <w:br/>
              <w:t>b) Reconocimiento, registro y control de cuentas por cobrar y estimación de incobrables</w:t>
            </w:r>
            <w:r>
              <w:rPr>
                <w:rFonts w:eastAsia="Times New Roman" w:cs="Calibri"/>
                <w:sz w:val="20"/>
                <w:szCs w:val="20"/>
              </w:rPr>
              <w:t>.</w:t>
            </w:r>
            <w:r w:rsidRPr="000D4EE3">
              <w:rPr>
                <w:rFonts w:eastAsia="Times New Roman" w:cs="Calibri"/>
                <w:sz w:val="20"/>
                <w:szCs w:val="20"/>
              </w:rPr>
              <w:br/>
              <w:t>c) Registro de las inversiones que se realizan en la Red Vial Cantonal</w:t>
            </w:r>
            <w:r>
              <w:rPr>
                <w:rFonts w:eastAsia="Times New Roman" w:cs="Calibri"/>
                <w:sz w:val="20"/>
                <w:szCs w:val="20"/>
              </w:rPr>
              <w:t>.</w:t>
            </w:r>
            <w:r w:rsidRPr="000D4EE3">
              <w:rPr>
                <w:rFonts w:eastAsia="Times New Roman" w:cs="Calibri"/>
                <w:sz w:val="20"/>
                <w:szCs w:val="20"/>
              </w:rPr>
              <w:br/>
              <w:t>d) Reconocimiento, registro y control del inventario de materiales y suministros bajo el sistema de inventario permanente</w:t>
            </w:r>
            <w:r>
              <w:rPr>
                <w:rFonts w:eastAsia="Times New Roman" w:cs="Calibri"/>
                <w:sz w:val="20"/>
                <w:szCs w:val="20"/>
              </w:rPr>
              <w:t>.</w:t>
            </w:r>
          </w:p>
          <w:p w14:paraId="6C55C523" w14:textId="77777777" w:rsidR="00C30C4C" w:rsidRPr="000D4EE3" w:rsidRDefault="00C30C4C" w:rsidP="004653E2">
            <w:pPr>
              <w:spacing w:after="0" w:line="240" w:lineRule="auto"/>
              <w:rPr>
                <w:rFonts w:eastAsia="Times New Roman" w:cs="Calibri"/>
                <w:sz w:val="20"/>
                <w:szCs w:val="20"/>
              </w:rPr>
            </w:pPr>
            <w:r w:rsidRPr="000D4EE3">
              <w:rPr>
                <w:rFonts w:eastAsia="Times New Roman" w:cs="Calibri"/>
                <w:sz w:val="20"/>
                <w:szCs w:val="20"/>
              </w:rPr>
              <w:t xml:space="preserve">e) Registro de activos o pasivos contingentes de manera consistente. La Alcaldía emitió en diciembre 2021 una directriz relacionada con la coordinación acerca del traslado de la información para efectos del registro contable correspondiente. </w:t>
            </w:r>
          </w:p>
        </w:tc>
        <w:tc>
          <w:tcPr>
            <w:tcW w:w="1310" w:type="dxa"/>
            <w:tcBorders>
              <w:top w:val="nil"/>
              <w:left w:val="nil"/>
              <w:bottom w:val="single" w:sz="8" w:space="0" w:color="auto"/>
              <w:right w:val="single" w:sz="8" w:space="0" w:color="auto"/>
            </w:tcBorders>
            <w:shd w:val="clear" w:color="000000" w:fill="FFFFFF"/>
            <w:noWrap/>
            <w:vAlign w:val="center"/>
            <w:hideMark/>
          </w:tcPr>
          <w:p w14:paraId="3178C62D" w14:textId="77777777" w:rsidR="00C30C4C" w:rsidRPr="000D4EE3" w:rsidRDefault="00C30C4C" w:rsidP="004653E2">
            <w:pPr>
              <w:spacing w:after="0" w:line="240" w:lineRule="auto"/>
              <w:jc w:val="center"/>
              <w:rPr>
                <w:rFonts w:eastAsia="Times New Roman" w:cs="Calibri"/>
                <w:sz w:val="20"/>
                <w:szCs w:val="20"/>
                <w:lang w:val="en-US"/>
              </w:rPr>
            </w:pPr>
            <w:r w:rsidRPr="000D4EE3">
              <w:rPr>
                <w:rFonts w:eastAsia="Times New Roman" w:cs="Calibri"/>
                <w:sz w:val="20"/>
                <w:szCs w:val="20"/>
                <w:lang w:val="en-US"/>
              </w:rPr>
              <w:t>31/12/24</w:t>
            </w:r>
          </w:p>
        </w:tc>
      </w:tr>
    </w:tbl>
    <w:p w14:paraId="16C66579" w14:textId="77777777" w:rsidR="00C30C4C" w:rsidRDefault="00C30C4C" w:rsidP="00C30C4C">
      <w:pPr>
        <w:spacing w:line="240" w:lineRule="auto"/>
        <w:rPr>
          <w:lang w:val="es-MX"/>
        </w:rPr>
      </w:pPr>
    </w:p>
    <w:p w14:paraId="479AB033" w14:textId="77777777" w:rsidR="001F57D3" w:rsidRDefault="001F57D3" w:rsidP="001F57D3">
      <w:pPr>
        <w:spacing w:line="240" w:lineRule="auto"/>
        <w:rPr>
          <w:rStyle w:val="nfasis"/>
        </w:rPr>
      </w:pPr>
      <w:r>
        <w:rPr>
          <w:rStyle w:val="nfasis"/>
        </w:rPr>
        <w:t xml:space="preserve">De conformidad </w:t>
      </w:r>
      <w:r w:rsidRPr="00EF5BB2">
        <w:rPr>
          <w:rStyle w:val="nfasis"/>
          <w:b/>
          <w:bCs/>
        </w:rPr>
        <w:t>con la matriz de autoevaluación</w:t>
      </w:r>
      <w:r>
        <w:rPr>
          <w:rStyle w:val="nfasis"/>
        </w:rPr>
        <w:t>, razonablemente se ha atendido lo correspondiente a los criterios de reconocimiento y medición que le aplican a la Municipalidad; con los criterios de revelaciones (componentes de los estados financieros, información de la entidad, cumplimiento de las NICSP, negocio en marcha, acerca del período sobre el que se informa, información comparativa, congruencia de la presentación, con los estados de situación financiera; de rendimiento financiero, información presentada al frente del estado de rendimiento, el estado de cambios en activos netos/ patrimonio neto, patrimonio)</w:t>
      </w:r>
    </w:p>
    <w:p w14:paraId="14665D23" w14:textId="77777777" w:rsidR="001F57D3" w:rsidRDefault="001F57D3" w:rsidP="001F57D3">
      <w:pPr>
        <w:spacing w:after="0" w:line="240" w:lineRule="auto"/>
        <w:rPr>
          <w:rStyle w:val="nfasis"/>
        </w:rPr>
      </w:pPr>
      <w:r>
        <w:rPr>
          <w:rStyle w:val="nfasis"/>
        </w:rPr>
        <w:t>En cuanto a las notas de los Estados Financieros, se está fortaleciendo su presentación.</w:t>
      </w:r>
    </w:p>
    <w:p w14:paraId="360FBB91" w14:textId="77777777" w:rsidR="001F57D3" w:rsidRDefault="001F57D3" w:rsidP="001F57D3">
      <w:pPr>
        <w:spacing w:after="0" w:line="240" w:lineRule="auto"/>
        <w:rPr>
          <w:rStyle w:val="nfasis"/>
        </w:rPr>
      </w:pPr>
    </w:p>
    <w:p w14:paraId="149B77D4" w14:textId="77777777" w:rsidR="001F57D3" w:rsidRDefault="001F57D3" w:rsidP="001F57D3">
      <w:pPr>
        <w:spacing w:after="0" w:line="240" w:lineRule="auto"/>
        <w:rPr>
          <w:rStyle w:val="nfasis"/>
        </w:rPr>
      </w:pPr>
      <w:r>
        <w:rPr>
          <w:rStyle w:val="nfasis"/>
        </w:rPr>
        <w:t>De acuerdo con el plan de acción para el cierre de brechas corresponde realizar:</w:t>
      </w:r>
    </w:p>
    <w:p w14:paraId="2B50C4CD" w14:textId="77777777" w:rsidR="001F57D3" w:rsidRDefault="001F57D3" w:rsidP="001F57D3">
      <w:pPr>
        <w:spacing w:after="0" w:line="240" w:lineRule="auto"/>
        <w:rPr>
          <w:rStyle w:val="nfasis"/>
        </w:rPr>
      </w:pPr>
    </w:p>
    <w:p w14:paraId="549ABC92" w14:textId="77777777" w:rsidR="001F57D3" w:rsidRPr="00C81465" w:rsidRDefault="001F57D3" w:rsidP="001F57D3">
      <w:pPr>
        <w:spacing w:after="0" w:line="240" w:lineRule="auto"/>
        <w:rPr>
          <w:rStyle w:val="nfasis"/>
        </w:rPr>
      </w:pPr>
      <w:r>
        <w:rPr>
          <w:rStyle w:val="nfasis"/>
        </w:rPr>
        <w:t>L</w:t>
      </w:r>
      <w:r w:rsidRPr="00C81465">
        <w:rPr>
          <w:rStyle w:val="nfasis"/>
        </w:rPr>
        <w:t>as acciones que se vienen ejecutando para poder revelar la declaración explícita y sin reservas de cumplimiento con las NICSP.</w:t>
      </w:r>
    </w:p>
    <w:p w14:paraId="4F410D8C" w14:textId="77777777" w:rsidR="001F57D3" w:rsidRPr="00C81465" w:rsidRDefault="001F57D3" w:rsidP="001F57D3">
      <w:pPr>
        <w:spacing w:after="0" w:line="240" w:lineRule="auto"/>
        <w:rPr>
          <w:rStyle w:val="nfasis"/>
        </w:rPr>
      </w:pPr>
    </w:p>
    <w:p w14:paraId="0DB18BE7" w14:textId="77777777" w:rsidR="001F57D3" w:rsidRPr="00C81465" w:rsidRDefault="001F57D3" w:rsidP="001F57D3">
      <w:pPr>
        <w:spacing w:after="0" w:line="240" w:lineRule="auto"/>
        <w:rPr>
          <w:rStyle w:val="nfasis"/>
        </w:rPr>
      </w:pPr>
      <w:r>
        <w:rPr>
          <w:rStyle w:val="nfasis"/>
        </w:rPr>
        <w:t>E</w:t>
      </w:r>
      <w:r w:rsidRPr="00C81465">
        <w:rPr>
          <w:rStyle w:val="nfasis"/>
        </w:rPr>
        <w:t>l proceso de comparación del presupuesto y los montos reales (declaración financiera separada).</w:t>
      </w:r>
    </w:p>
    <w:p w14:paraId="6F50E0CD" w14:textId="77777777" w:rsidR="001F57D3" w:rsidRPr="00C81465" w:rsidRDefault="001F57D3" w:rsidP="001F57D3">
      <w:pPr>
        <w:spacing w:after="0" w:line="240" w:lineRule="auto"/>
        <w:rPr>
          <w:rStyle w:val="nfasis"/>
        </w:rPr>
      </w:pPr>
    </w:p>
    <w:p w14:paraId="0CCD080B" w14:textId="77777777" w:rsidR="001F57D3" w:rsidRPr="00C81465" w:rsidRDefault="001F57D3" w:rsidP="001F57D3">
      <w:pPr>
        <w:spacing w:after="0" w:line="240" w:lineRule="auto"/>
        <w:rPr>
          <w:rStyle w:val="nfasis"/>
        </w:rPr>
      </w:pPr>
      <w:r>
        <w:rPr>
          <w:rStyle w:val="nfasis"/>
        </w:rPr>
        <w:t>L</w:t>
      </w:r>
      <w:r w:rsidRPr="00C81465">
        <w:rPr>
          <w:rStyle w:val="nfasis"/>
        </w:rPr>
        <w:t>as acciones que permita formular las notas a los EEFF de modo que revelen la información acerca de las bases y las políticas contables específicas seleccionadas y aplicadas para las transacciones y sucesos significativos.</w:t>
      </w:r>
    </w:p>
    <w:p w14:paraId="31D4B118" w14:textId="77777777" w:rsidR="001F57D3" w:rsidRPr="001F57D3" w:rsidRDefault="001F57D3" w:rsidP="00C30C4C">
      <w:pPr>
        <w:spacing w:line="240" w:lineRule="auto"/>
      </w:pPr>
    </w:p>
    <w:p w14:paraId="38DB07DB" w14:textId="77777777" w:rsidR="00217CA2" w:rsidRDefault="00217CA2" w:rsidP="00217CA2">
      <w:pPr>
        <w:rPr>
          <w:lang w:val="es-MX"/>
        </w:rPr>
      </w:pPr>
    </w:p>
    <w:p w14:paraId="2C6826E8" w14:textId="77777777" w:rsidR="00B02660" w:rsidRDefault="00217CA2" w:rsidP="00B02660">
      <w:pPr>
        <w:pStyle w:val="Ttulo2"/>
        <w:spacing w:after="240"/>
        <w:rPr>
          <w:lang w:val="es-MX"/>
        </w:rPr>
      </w:pPr>
      <w:bookmarkStart w:id="25" w:name="_Toc173245188"/>
      <w:r w:rsidRPr="00217CA2">
        <w:rPr>
          <w:lang w:val="es-MX"/>
        </w:rPr>
        <w:t>NICSP 2 -ESTADO DE FLUJO DE EFECTIVO (DE APLICACIÓN OBLIGATORIA):</w:t>
      </w:r>
      <w:bookmarkEnd w:id="25"/>
    </w:p>
    <w:p w14:paraId="7F5CD605" w14:textId="77777777" w:rsidR="00694299" w:rsidRDefault="00405DBC" w:rsidP="00174505">
      <w:pPr>
        <w:rPr>
          <w:rFonts w:asciiTheme="minorHAnsi" w:hAnsiTheme="minorHAnsi"/>
          <w:sz w:val="22"/>
        </w:rPr>
      </w:pPr>
      <w:r w:rsidRPr="00405DBC">
        <w:t xml:space="preserve">De acuerdo con la NICSP 2- Estado de Flujo de </w:t>
      </w:r>
      <w:r w:rsidR="00551C7D" w:rsidRPr="00405DBC">
        <w:t>Efectivo,</w:t>
      </w:r>
      <w:r w:rsidR="00551C7D">
        <w:t xml:space="preserve"> i</w:t>
      </w:r>
      <w:r w:rsidR="00217CA2">
        <w:t xml:space="preserve">ndicar si este rubro afecta SI o NO a la institución, </w:t>
      </w:r>
      <w:r w:rsidRPr="00405DBC">
        <w:t>además del porcentaje de avance</w:t>
      </w:r>
      <w:r>
        <w:t xml:space="preserve"> en la implementación</w:t>
      </w:r>
      <w:r w:rsidRPr="00405DBC">
        <w:t xml:space="preserve"> que presenta</w:t>
      </w:r>
      <w:r>
        <w:t xml:space="preserve">, </w:t>
      </w:r>
      <w:r w:rsidRPr="00405DBC">
        <w:t>la entidad utiliza el Método Directo establecido por la DGCN</w:t>
      </w:r>
      <w:r w:rsidR="00D16DB1">
        <w:t>.</w:t>
      </w:r>
      <w:r w:rsidR="00707625">
        <w:rPr>
          <w:lang w:eastAsia="es-CR"/>
        </w:rPr>
        <w:fldChar w:fldCharType="begin"/>
      </w:r>
      <w:r w:rsidR="00707625">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NICSP_2!F9C3:F10C4 </w:instrText>
      </w:r>
      <w:r w:rsidR="00707625">
        <w:rPr>
          <w:lang w:eastAsia="es-CR"/>
        </w:rPr>
        <w:instrText xml:space="preserve">\a \f 4 \h </w:instrText>
      </w:r>
      <w:r w:rsidR="00707625">
        <w:rPr>
          <w:lang w:eastAsia="es-CR"/>
        </w:rPr>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694299" w:rsidRPr="00694299" w14:paraId="291AC8B5" w14:textId="77777777" w:rsidTr="00694299">
        <w:trPr>
          <w:divId w:val="671688267"/>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14C4B4F5" w14:textId="452A35C0"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EE8EE"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Si</w:t>
            </w:r>
          </w:p>
        </w:tc>
      </w:tr>
      <w:tr w:rsidR="00694299" w:rsidRPr="00694299" w14:paraId="7477575E" w14:textId="77777777" w:rsidTr="00694299">
        <w:trPr>
          <w:divId w:val="671688267"/>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03927DDB"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25F2F395"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100,00%</w:t>
            </w:r>
          </w:p>
        </w:tc>
      </w:tr>
    </w:tbl>
    <w:p w14:paraId="21C35074" w14:textId="4811AE5A" w:rsidR="00174505" w:rsidRPr="00707625" w:rsidRDefault="00707625" w:rsidP="00174505">
      <w:pPr>
        <w:rPr>
          <w:b/>
          <w:sz w:val="16"/>
          <w:szCs w:val="16"/>
          <w:lang w:eastAsia="es-CR"/>
        </w:rPr>
      </w:pPr>
      <w:r>
        <w:rPr>
          <w:b/>
          <w:sz w:val="16"/>
          <w:szCs w:val="16"/>
          <w:lang w:eastAsia="es-CR"/>
        </w:rPr>
        <w:fldChar w:fldCharType="end"/>
      </w:r>
      <w:r w:rsidR="00174505">
        <w:rPr>
          <w:b/>
          <w:sz w:val="16"/>
          <w:szCs w:val="16"/>
          <w:lang w:eastAsia="es-CR"/>
        </w:rPr>
        <w:t xml:space="preserve"> </w:t>
      </w:r>
      <w:r>
        <w:rPr>
          <w:b/>
          <w:sz w:val="16"/>
          <w:szCs w:val="16"/>
          <w:lang w:eastAsia="es-CR"/>
        </w:rPr>
        <w:t xml:space="preserve">                                      </w:t>
      </w:r>
      <w:r w:rsidR="00174505">
        <w:rPr>
          <w:b/>
          <w:sz w:val="16"/>
          <w:szCs w:val="16"/>
          <w:lang w:eastAsia="es-CR"/>
        </w:rPr>
        <w:t xml:space="preserve">    </w:t>
      </w:r>
      <w:r w:rsidR="00174505" w:rsidRPr="00C35565">
        <w:rPr>
          <w:b/>
          <w:sz w:val="16"/>
          <w:szCs w:val="16"/>
          <w:lang w:eastAsia="es-CR"/>
        </w:rPr>
        <w:t>-Aplicación Obligatoria-</w:t>
      </w:r>
    </w:p>
    <w:p w14:paraId="49709544" w14:textId="6FB65765" w:rsidR="003516A2" w:rsidRPr="003516A2" w:rsidRDefault="003516A2" w:rsidP="003516A2">
      <w:pPr>
        <w:spacing w:line="240" w:lineRule="auto"/>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323332B9" w14:textId="77777777" w:rsidR="00C9412D" w:rsidRDefault="00C60928" w:rsidP="003516A2">
      <w:pPr>
        <w:spacing w:line="240" w:lineRule="auto"/>
        <w:rPr>
          <w:lang w:val="es-MX"/>
        </w:rPr>
      </w:pPr>
      <w:r>
        <w:rPr>
          <w:lang w:val="es-MX"/>
        </w:rPr>
        <w:t>El efectivo y equivalentes de efectivo procedentes de las actividades de operación, de inversión y de financiación</w:t>
      </w:r>
      <w:r w:rsidR="00C9643B">
        <w:rPr>
          <w:lang w:val="es-MX"/>
        </w:rPr>
        <w:t xml:space="preserve"> se reconocen cuando se realizan los cobros </w:t>
      </w:r>
      <w:r w:rsidR="004B1DAC">
        <w:rPr>
          <w:lang w:val="es-MX"/>
        </w:rPr>
        <w:t xml:space="preserve">o pagos </w:t>
      </w:r>
      <w:r w:rsidR="00C9643B">
        <w:rPr>
          <w:lang w:val="es-MX"/>
        </w:rPr>
        <w:t>en efectivo procedentes</w:t>
      </w:r>
      <w:r w:rsidR="004B1DAC">
        <w:rPr>
          <w:lang w:val="es-MX"/>
        </w:rPr>
        <w:t>:</w:t>
      </w:r>
      <w:r w:rsidR="00C9643B">
        <w:rPr>
          <w:lang w:val="es-MX"/>
        </w:rPr>
        <w:t xml:space="preserve"> </w:t>
      </w:r>
    </w:p>
    <w:p w14:paraId="3FEF1AFF" w14:textId="0A1A6C87" w:rsidR="004B1DAC" w:rsidRDefault="00C9412D" w:rsidP="003516A2">
      <w:pPr>
        <w:spacing w:line="240" w:lineRule="auto"/>
        <w:rPr>
          <w:lang w:val="es-MX"/>
        </w:rPr>
      </w:pPr>
      <w:r w:rsidRPr="00C9412D">
        <w:rPr>
          <w:b/>
          <w:bCs/>
          <w:lang w:val="es-MX"/>
        </w:rPr>
        <w:t>Actividades de Operación:</w:t>
      </w:r>
      <w:r>
        <w:rPr>
          <w:lang w:val="es-MX"/>
        </w:rPr>
        <w:t xml:space="preserve"> </w:t>
      </w:r>
      <w:r w:rsidR="00C9643B">
        <w:rPr>
          <w:lang w:val="es-MX"/>
        </w:rPr>
        <w:t xml:space="preserve">de impuestos, </w:t>
      </w:r>
      <w:r w:rsidR="004B1DAC">
        <w:rPr>
          <w:lang w:val="es-MX"/>
        </w:rPr>
        <w:t xml:space="preserve">de </w:t>
      </w:r>
      <w:r w:rsidR="00C9643B">
        <w:rPr>
          <w:lang w:val="es-MX"/>
        </w:rPr>
        <w:t xml:space="preserve">tasas por prestaciones de servicios, </w:t>
      </w:r>
      <w:r w:rsidR="004B1DAC">
        <w:rPr>
          <w:lang w:val="es-MX"/>
        </w:rPr>
        <w:t xml:space="preserve">de </w:t>
      </w:r>
      <w:r w:rsidR="00C9643B">
        <w:rPr>
          <w:lang w:val="es-MX"/>
        </w:rPr>
        <w:t xml:space="preserve">contribuciones, </w:t>
      </w:r>
      <w:r w:rsidR="004B1DAC">
        <w:rPr>
          <w:lang w:val="es-MX"/>
        </w:rPr>
        <w:t xml:space="preserve">de </w:t>
      </w:r>
      <w:r w:rsidR="00C9643B">
        <w:rPr>
          <w:lang w:val="es-MX"/>
        </w:rPr>
        <w:t>transferencias y subvenciones y otras asignaciones presupuestarias hechas por el gobierno central u otra entidad del sector público</w:t>
      </w:r>
      <w:r w:rsidR="004B1DAC">
        <w:rPr>
          <w:lang w:val="es-MX"/>
        </w:rPr>
        <w:t xml:space="preserve">, de regalías donaciones, </w:t>
      </w:r>
      <w:r w:rsidR="00C9643B">
        <w:rPr>
          <w:lang w:val="es-MX"/>
        </w:rPr>
        <w:t>de multas e intereses</w:t>
      </w:r>
      <w:r w:rsidR="004B1DAC">
        <w:rPr>
          <w:lang w:val="es-MX"/>
        </w:rPr>
        <w:t>; pago a proveedores de bienes</w:t>
      </w:r>
      <w:r>
        <w:rPr>
          <w:lang w:val="es-MX"/>
        </w:rPr>
        <w:t xml:space="preserve">, </w:t>
      </w:r>
      <w:r w:rsidR="004B1DAC">
        <w:rPr>
          <w:lang w:val="es-MX"/>
        </w:rPr>
        <w:t>servicios</w:t>
      </w:r>
      <w:r>
        <w:rPr>
          <w:lang w:val="es-MX"/>
        </w:rPr>
        <w:t xml:space="preserve"> y seguros, los pagos a y por cuenta de empleados</w:t>
      </w:r>
      <w:r w:rsidR="004B1DAC">
        <w:rPr>
          <w:lang w:val="es-MX"/>
        </w:rPr>
        <w:t xml:space="preserve">, </w:t>
      </w:r>
      <w:r>
        <w:rPr>
          <w:lang w:val="es-MX"/>
        </w:rPr>
        <w:t>y cobros o pagos de arrendamientos o resoluciones de litigios</w:t>
      </w:r>
      <w:r w:rsidR="00C9643B">
        <w:rPr>
          <w:lang w:val="es-MX"/>
        </w:rPr>
        <w:t>.</w:t>
      </w:r>
    </w:p>
    <w:p w14:paraId="6FFBC648" w14:textId="746FD594" w:rsidR="00C9412D" w:rsidRDefault="00C9412D" w:rsidP="003516A2">
      <w:pPr>
        <w:spacing w:line="240" w:lineRule="auto"/>
        <w:rPr>
          <w:lang w:val="es-MX"/>
        </w:rPr>
      </w:pPr>
      <w:r w:rsidRPr="002B378A">
        <w:rPr>
          <w:b/>
          <w:bCs/>
          <w:lang w:val="es-MX"/>
        </w:rPr>
        <w:t>Actividades de Inversión:</w:t>
      </w:r>
      <w:r>
        <w:rPr>
          <w:lang w:val="es-MX"/>
        </w:rPr>
        <w:t xml:space="preserve"> cobros o pagos </w:t>
      </w:r>
      <w:r w:rsidR="002B378A">
        <w:rPr>
          <w:lang w:val="es-MX"/>
        </w:rPr>
        <w:t>por concepto de</w:t>
      </w:r>
      <w:r>
        <w:rPr>
          <w:lang w:val="es-MX"/>
        </w:rPr>
        <w:t xml:space="preserve"> compra</w:t>
      </w:r>
      <w:r w:rsidR="002B378A">
        <w:rPr>
          <w:lang w:val="es-MX"/>
        </w:rPr>
        <w:t xml:space="preserve"> o venta de</w:t>
      </w:r>
      <w:r>
        <w:rPr>
          <w:lang w:val="es-MX"/>
        </w:rPr>
        <w:t xml:space="preserve"> propiedades, plantas y equipo, intangibles, otros activos a largo plazo, </w:t>
      </w:r>
      <w:r w:rsidR="002B378A">
        <w:rPr>
          <w:lang w:val="es-MX"/>
        </w:rPr>
        <w:t>anticipos a proveedores por compra de PP y E e intangibles.</w:t>
      </w:r>
    </w:p>
    <w:p w14:paraId="523C5573" w14:textId="46FFC298" w:rsidR="002B378A" w:rsidRPr="002B378A" w:rsidRDefault="002B378A" w:rsidP="003516A2">
      <w:pPr>
        <w:spacing w:line="240" w:lineRule="auto"/>
        <w:rPr>
          <w:b/>
          <w:bCs/>
          <w:lang w:val="es-MX"/>
        </w:rPr>
      </w:pPr>
      <w:r w:rsidRPr="002B378A">
        <w:rPr>
          <w:b/>
          <w:bCs/>
          <w:lang w:val="es-MX"/>
        </w:rPr>
        <w:t xml:space="preserve">Actividades de Financiación: </w:t>
      </w:r>
      <w:r>
        <w:rPr>
          <w:lang w:val="es-MX"/>
        </w:rPr>
        <w:t>Cobros o pagos de préstamos, reembolsos de fondos tomados en préstamo y pagos de arrendamientos financieros.</w:t>
      </w:r>
    </w:p>
    <w:p w14:paraId="50B2EA80" w14:textId="4841ECF0" w:rsidR="00C60928" w:rsidRDefault="004B1DAC" w:rsidP="003516A2">
      <w:pPr>
        <w:spacing w:line="240" w:lineRule="auto"/>
        <w:rPr>
          <w:lang w:val="es-MX"/>
        </w:rPr>
      </w:pPr>
      <w:r>
        <w:rPr>
          <w:lang w:val="es-MX"/>
        </w:rPr>
        <w:t>Los cobros no realizados no son flujos de efectivo; sin embargo, son considerados con objeto de presentación en el estado de flujos de efectivo para permitir la conciliación entre las existencias de efectivo y equivalentes de efectivo al principio y final del periodo.</w:t>
      </w:r>
    </w:p>
    <w:p w14:paraId="7F1B252B" w14:textId="73A9B5DE" w:rsidR="003516A2" w:rsidRDefault="005E39A7" w:rsidP="003516A2">
      <w:pPr>
        <w:spacing w:line="240" w:lineRule="auto"/>
        <w:rPr>
          <w:lang w:val="es-MX"/>
        </w:rPr>
      </w:pPr>
      <w:r w:rsidRPr="005E39A7">
        <w:rPr>
          <w:lang w:val="es-MX"/>
        </w:rPr>
        <w:t xml:space="preserve">El importe de </w:t>
      </w:r>
      <w:r>
        <w:rPr>
          <w:lang w:val="es-MX"/>
        </w:rPr>
        <w:t>intereses recibidos y pagados durante el ejercicio se presentará, en el estado de flujo de efectivo, tanto si han sido reconocidos como gastos o si han sido capitalizados, de acuerdo con el tratamiento alternativo de la NICSP 5 “Costos por Préstamos”,</w:t>
      </w:r>
    </w:p>
    <w:p w14:paraId="2107BBF6" w14:textId="77777777" w:rsidR="005E39A7" w:rsidRDefault="005E39A7" w:rsidP="003516A2">
      <w:pPr>
        <w:spacing w:line="240" w:lineRule="auto"/>
        <w:rPr>
          <w:lang w:val="es-MX"/>
        </w:rPr>
      </w:pPr>
    </w:p>
    <w:p w14:paraId="11D2CA66" w14:textId="77777777" w:rsidR="002B378A" w:rsidRDefault="002B378A" w:rsidP="003516A2">
      <w:pPr>
        <w:spacing w:line="240" w:lineRule="auto"/>
        <w:rPr>
          <w:lang w:val="es-MX"/>
        </w:rPr>
      </w:pPr>
    </w:p>
    <w:p w14:paraId="6F001CF5" w14:textId="77777777" w:rsidR="002B378A" w:rsidRPr="005E39A7" w:rsidRDefault="002B378A" w:rsidP="003516A2">
      <w:pPr>
        <w:spacing w:line="240" w:lineRule="auto"/>
        <w:rPr>
          <w:lang w:val="es-MX"/>
        </w:rPr>
      </w:pPr>
    </w:p>
    <w:p w14:paraId="4F6DF029" w14:textId="77777777" w:rsidR="003516A2" w:rsidRPr="003516A2" w:rsidRDefault="003516A2" w:rsidP="003516A2">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5667ADB4" w14:textId="60E6778A" w:rsidR="003C48CE" w:rsidRDefault="003C48CE" w:rsidP="003C48CE">
      <w:pPr>
        <w:spacing w:line="240" w:lineRule="auto"/>
        <w:rPr>
          <w:b/>
          <w:u w:val="single"/>
        </w:rPr>
      </w:pPr>
      <w:r>
        <w:rPr>
          <w:bCs/>
        </w:rPr>
        <w:t>El efectivo y equivalente de efectivo</w:t>
      </w:r>
      <w:r w:rsidRPr="00852E6C">
        <w:rPr>
          <w:bCs/>
        </w:rPr>
        <w:t xml:space="preserve"> pagado o cobrado</w:t>
      </w:r>
      <w:r>
        <w:rPr>
          <w:bCs/>
        </w:rPr>
        <w:t xml:space="preserve"> en el periodo</w:t>
      </w:r>
      <w:r w:rsidRPr="00852E6C">
        <w:rPr>
          <w:bCs/>
        </w:rPr>
        <w:t xml:space="preserve"> por la compra</w:t>
      </w:r>
      <w:r>
        <w:rPr>
          <w:bCs/>
        </w:rPr>
        <w:t>, pago,</w:t>
      </w:r>
      <w:r w:rsidRPr="00852E6C">
        <w:rPr>
          <w:bCs/>
        </w:rPr>
        <w:t xml:space="preserve"> disposición o enajenación, </w:t>
      </w:r>
      <w:r>
        <w:rPr>
          <w:bCs/>
        </w:rPr>
        <w:t>se registra contablemente utilizando el método del devengo con base en lo establecido en los requerimientos de la NICSP que regula lo atinente a la operación que se trate, y el estado de flujo de efectivo se elabora con base en el método de efectivo.</w:t>
      </w:r>
    </w:p>
    <w:p w14:paraId="47A33361" w14:textId="53C87602" w:rsidR="003516A2" w:rsidRDefault="0062011D" w:rsidP="003516A2">
      <w:pPr>
        <w:spacing w:line="240" w:lineRule="auto"/>
        <w:rPr>
          <w:lang w:val="es-MX"/>
        </w:rPr>
      </w:pPr>
      <w:r>
        <w:rPr>
          <w:lang w:val="es-MX"/>
        </w:rPr>
        <w:t xml:space="preserve">Los flujos de efectivo procedentes de transacciones en moneda extranjera se convertirán </w:t>
      </w:r>
      <w:r w:rsidR="00AD774D">
        <w:rPr>
          <w:lang w:val="es-MX"/>
        </w:rPr>
        <w:t>a la moneda funcional de la entidad aplicando el importe en moneda extranjera la tasa de cambio entre ambas monedas en la fecha de en que se produjo cada flujo de efectivo de manera congruente con la NICSP 4 “Efectos de las variaciones en las Tasas de Cambio de la Moneda Extranjera”. Las ganancias y pérdidas no realizadas que surgen de cambio en moneda extranjera no son flujos de efectivo; sin embargo, son objeto de presentación en el estado fe flujos de efectivo para permitir la conciliación entre las existencias de efectivo y equivalentes de efectivo al principio y final del periodo.</w:t>
      </w:r>
    </w:p>
    <w:p w14:paraId="2A09D029" w14:textId="393D8713" w:rsidR="005A6B5F" w:rsidRDefault="005A6B5F" w:rsidP="00174505">
      <w:pPr>
        <w:rPr>
          <w:b/>
          <w:u w:val="single"/>
        </w:rPr>
      </w:pPr>
    </w:p>
    <w:p w14:paraId="2872B847" w14:textId="28E30F03" w:rsidR="00174505" w:rsidRDefault="00174505" w:rsidP="00174505">
      <w:r w:rsidRPr="003516A2">
        <w:rPr>
          <w:b/>
          <w:color w:val="FFFFFF" w:themeColor="background1"/>
          <w:highlight w:val="darkBlue"/>
          <w:u w:val="single"/>
        </w:rPr>
        <w:t>Revelación Suficiente:</w:t>
      </w:r>
      <w:r w:rsidRPr="0074522C">
        <w:rPr>
          <w:b/>
          <w:u w:val="single"/>
        </w:rPr>
        <w:t xml:space="preserve"> El ente debe cumplir con lo estipulado en revelación con forme a la NICSP, también debe considerar la política general y los párrafos incluidos en la matriz de autoevaluación referente a esta NICSP guías de aplicación</w:t>
      </w:r>
      <w:r>
        <w:t xml:space="preserve">.  </w:t>
      </w:r>
    </w:p>
    <w:p w14:paraId="6E937AA9" w14:textId="77777777" w:rsidR="005F7966" w:rsidRPr="00F517AA" w:rsidRDefault="005F7966" w:rsidP="005F7966">
      <w:pPr>
        <w:spacing w:after="0" w:line="240" w:lineRule="auto"/>
        <w:rPr>
          <w:b/>
          <w:bCs/>
          <w:lang w:eastAsia="es-CR"/>
        </w:rPr>
      </w:pPr>
      <w:bookmarkStart w:id="26" w:name="_Toc33601182"/>
      <w:bookmarkStart w:id="27" w:name="_Toc82768865"/>
      <w:r w:rsidRPr="00F517AA">
        <w:rPr>
          <w:b/>
          <w:bCs/>
          <w:lang w:eastAsia="es-CR"/>
        </w:rPr>
        <w:t>Políticas Particulares</w:t>
      </w:r>
    </w:p>
    <w:p w14:paraId="2AD5A094" w14:textId="77777777" w:rsidR="005F7966" w:rsidRDefault="005F7966" w:rsidP="005F7966">
      <w:pPr>
        <w:spacing w:after="0" w:line="240" w:lineRule="auto"/>
        <w:rPr>
          <w:lang w:eastAsia="es-CR"/>
        </w:rPr>
      </w:pPr>
    </w:p>
    <w:p w14:paraId="607E18EB" w14:textId="77777777" w:rsidR="005F7966" w:rsidRPr="007630E3" w:rsidRDefault="005F7966" w:rsidP="005F7966">
      <w:pPr>
        <w:spacing w:after="0" w:line="240" w:lineRule="auto"/>
        <w:rPr>
          <w:szCs w:val="24"/>
        </w:rPr>
      </w:pPr>
      <w:r w:rsidRPr="007630E3">
        <w:rPr>
          <w:szCs w:val="24"/>
        </w:rPr>
        <w:t xml:space="preserve">En la MBA el EFE se elaborará utilizando el </w:t>
      </w:r>
      <w:r w:rsidRPr="007630E3">
        <w:rPr>
          <w:b/>
          <w:bCs/>
          <w:szCs w:val="24"/>
        </w:rPr>
        <w:t>“Método Directo”</w:t>
      </w:r>
      <w:r w:rsidRPr="007630E3">
        <w:rPr>
          <w:szCs w:val="24"/>
        </w:rPr>
        <w:t>, tomando los montos brutos a incorporar en dicho Estado de la base de datos del subsistema de contabilidad.</w:t>
      </w:r>
    </w:p>
    <w:p w14:paraId="608ED054" w14:textId="77777777" w:rsidR="005F7966" w:rsidRPr="007630E3" w:rsidRDefault="005F7966" w:rsidP="005F7966">
      <w:pPr>
        <w:spacing w:after="0" w:line="240" w:lineRule="auto"/>
        <w:rPr>
          <w:szCs w:val="24"/>
        </w:rPr>
      </w:pPr>
    </w:p>
    <w:p w14:paraId="61DB0200" w14:textId="77777777" w:rsidR="005F7966" w:rsidRPr="007630E3" w:rsidRDefault="005F7966" w:rsidP="005F7966">
      <w:pPr>
        <w:spacing w:after="0" w:line="240" w:lineRule="auto"/>
        <w:rPr>
          <w:szCs w:val="24"/>
        </w:rPr>
      </w:pPr>
      <w:r w:rsidRPr="007630E3">
        <w:rPr>
          <w:szCs w:val="24"/>
        </w:rPr>
        <w:t xml:space="preserve">En el método directo, la información acerca de las principales categorías de cobros o pagos en términos brutos puede ser obtenida por uno de los siguientes procedimientos: </w:t>
      </w:r>
    </w:p>
    <w:p w14:paraId="29E8B1E3" w14:textId="77777777" w:rsidR="005F7966" w:rsidRPr="007630E3" w:rsidRDefault="005F7966" w:rsidP="005F7966">
      <w:pPr>
        <w:spacing w:after="0" w:line="240" w:lineRule="auto"/>
        <w:ind w:left="284" w:hanging="284"/>
        <w:rPr>
          <w:szCs w:val="24"/>
        </w:rPr>
      </w:pPr>
      <w:r w:rsidRPr="007630E3">
        <w:rPr>
          <w:szCs w:val="24"/>
        </w:rPr>
        <w:t xml:space="preserve">a) utilizando los registros contables de la entidad, o </w:t>
      </w:r>
    </w:p>
    <w:p w14:paraId="5EFD1CEB" w14:textId="77777777" w:rsidR="005F7966" w:rsidRPr="007630E3" w:rsidRDefault="005F7966" w:rsidP="005F7966">
      <w:pPr>
        <w:spacing w:after="0" w:line="240" w:lineRule="auto"/>
        <w:ind w:left="284" w:hanging="284"/>
        <w:rPr>
          <w:szCs w:val="24"/>
        </w:rPr>
      </w:pPr>
      <w:r w:rsidRPr="007630E3">
        <w:rPr>
          <w:szCs w:val="24"/>
        </w:rPr>
        <w:t xml:space="preserve">b) ajustando los ingresos y gastos de operación, así como otras partidas del ERF, en relación con: </w:t>
      </w:r>
    </w:p>
    <w:p w14:paraId="2F4B39D7" w14:textId="77777777" w:rsidR="005F7966" w:rsidRPr="007630E3" w:rsidRDefault="005F7966" w:rsidP="005F7966">
      <w:pPr>
        <w:spacing w:after="0" w:line="240" w:lineRule="auto"/>
        <w:ind w:left="284"/>
        <w:rPr>
          <w:szCs w:val="24"/>
        </w:rPr>
      </w:pPr>
      <w:r w:rsidRPr="007630E3">
        <w:rPr>
          <w:szCs w:val="24"/>
        </w:rPr>
        <w:t xml:space="preserve">i. los cambios habidos durante el período en los inventarios y en las cuentas por cobrar y por pagar derivadas de las actividades de operación; </w:t>
      </w:r>
    </w:p>
    <w:p w14:paraId="73F6B81B" w14:textId="77777777" w:rsidR="005F7966" w:rsidRPr="007630E3" w:rsidRDefault="005F7966" w:rsidP="005F7966">
      <w:pPr>
        <w:spacing w:after="0" w:line="240" w:lineRule="auto"/>
        <w:ind w:left="284"/>
        <w:rPr>
          <w:szCs w:val="24"/>
        </w:rPr>
      </w:pPr>
      <w:r w:rsidRPr="007630E3">
        <w:rPr>
          <w:szCs w:val="24"/>
        </w:rPr>
        <w:t xml:space="preserve">ii. otras partidas distintas del efectivo; y </w:t>
      </w:r>
    </w:p>
    <w:p w14:paraId="5B01DD31" w14:textId="77777777" w:rsidR="005F7966" w:rsidRPr="007630E3" w:rsidRDefault="005F7966" w:rsidP="005F7966">
      <w:pPr>
        <w:spacing w:after="0" w:line="240" w:lineRule="auto"/>
        <w:ind w:left="284"/>
        <w:rPr>
          <w:szCs w:val="24"/>
        </w:rPr>
      </w:pPr>
      <w:r w:rsidRPr="007630E3">
        <w:rPr>
          <w:szCs w:val="24"/>
        </w:rPr>
        <w:t xml:space="preserve">iii. otras partidas cuyos efectos monetarios se consideran flujos de efectivo, de inversión o financiación. </w:t>
      </w:r>
    </w:p>
    <w:p w14:paraId="718F8487" w14:textId="77777777" w:rsidR="005F7966" w:rsidRPr="007630E3" w:rsidRDefault="005F7966" w:rsidP="005F7966">
      <w:pPr>
        <w:spacing w:after="0" w:line="240" w:lineRule="auto"/>
        <w:rPr>
          <w:szCs w:val="24"/>
        </w:rPr>
      </w:pPr>
    </w:p>
    <w:p w14:paraId="29DC262E" w14:textId="77777777" w:rsidR="005F7966" w:rsidRPr="007630E3" w:rsidRDefault="005F7966" w:rsidP="005F7966">
      <w:pPr>
        <w:spacing w:after="0" w:line="240" w:lineRule="auto"/>
        <w:rPr>
          <w:b/>
          <w:bCs/>
          <w:szCs w:val="24"/>
        </w:rPr>
      </w:pPr>
      <w:r w:rsidRPr="007630E3">
        <w:rPr>
          <w:szCs w:val="24"/>
        </w:rPr>
        <w:t xml:space="preserve">El EFE debe informar acerca de los flujos de efectivo habidos durante el período, clasificándolos por </w:t>
      </w:r>
      <w:r w:rsidRPr="007630E3">
        <w:rPr>
          <w:b/>
          <w:bCs/>
          <w:szCs w:val="24"/>
        </w:rPr>
        <w:t>actividades de operación, de inversión y de financiación.</w:t>
      </w:r>
    </w:p>
    <w:p w14:paraId="7DB1855A" w14:textId="77777777" w:rsidR="005F7966" w:rsidRPr="007630E3" w:rsidRDefault="005F7966" w:rsidP="005F7966">
      <w:pPr>
        <w:spacing w:after="0" w:line="240" w:lineRule="auto"/>
        <w:rPr>
          <w:b/>
          <w:bCs/>
          <w:szCs w:val="24"/>
        </w:rPr>
      </w:pPr>
    </w:p>
    <w:p w14:paraId="1E55DB50" w14:textId="77777777" w:rsidR="005F7966" w:rsidRPr="007630E3" w:rsidRDefault="005F7966" w:rsidP="005F7966">
      <w:pPr>
        <w:spacing w:after="0" w:line="240" w:lineRule="auto"/>
        <w:rPr>
          <w:b/>
          <w:bCs/>
          <w:szCs w:val="24"/>
        </w:rPr>
      </w:pPr>
      <w:r w:rsidRPr="007630E3">
        <w:rPr>
          <w:szCs w:val="24"/>
        </w:rPr>
        <w:t xml:space="preserve">Los flujos de efectivo procedentes de actividades de </w:t>
      </w:r>
      <w:r w:rsidRPr="007630E3">
        <w:rPr>
          <w:b/>
          <w:bCs/>
          <w:szCs w:val="24"/>
        </w:rPr>
        <w:t>operación</w:t>
      </w:r>
      <w:r w:rsidRPr="007630E3">
        <w:rPr>
          <w:szCs w:val="24"/>
        </w:rPr>
        <w:t xml:space="preserve"> es un indicador clave del grado en que las operaciones de la entidad se hallan financiadas por: impuestos (directa e indirectamente); o los receptores de los bienes y servicios suministrados por la entidad. De acuerdo con lo anterior, los flujos de efectivo procedentes de actividades de operación se derivan fundamentalmente, de las transacciones que constituyen la principal fuente de generación de efectivo de la entidad, pudiéndose</w:t>
      </w:r>
    </w:p>
    <w:p w14:paraId="5ECB4B3A" w14:textId="77777777" w:rsidR="005F7966" w:rsidRPr="007630E3" w:rsidRDefault="005F7966" w:rsidP="005F7966">
      <w:pPr>
        <w:spacing w:after="0" w:line="240" w:lineRule="auto"/>
        <w:rPr>
          <w:b/>
          <w:bCs/>
          <w:szCs w:val="24"/>
        </w:rPr>
      </w:pPr>
    </w:p>
    <w:p w14:paraId="3811CEA1" w14:textId="77777777" w:rsidR="005F7966" w:rsidRPr="007630E3" w:rsidRDefault="005F7966" w:rsidP="005F7966">
      <w:pPr>
        <w:spacing w:after="0" w:line="240" w:lineRule="auto"/>
        <w:rPr>
          <w:szCs w:val="24"/>
        </w:rPr>
      </w:pPr>
      <w:r w:rsidRPr="007630E3">
        <w:rPr>
          <w:szCs w:val="24"/>
        </w:rPr>
        <w:t xml:space="preserve">Los flujos de efectivo procedentes de las actividades de </w:t>
      </w:r>
      <w:r w:rsidRPr="007630E3">
        <w:rPr>
          <w:b/>
          <w:bCs/>
          <w:szCs w:val="24"/>
        </w:rPr>
        <w:t>inversión</w:t>
      </w:r>
      <w:r w:rsidRPr="007630E3">
        <w:rPr>
          <w:szCs w:val="24"/>
        </w:rPr>
        <w:t xml:space="preserve"> representan los desembolsos realizados para constituir los recursos con que se pretende contribuir a la prestación de servicios de la entidad en el futuro. Constituyen flujos de efectivo provenientes de las actividades de inversión.</w:t>
      </w:r>
    </w:p>
    <w:p w14:paraId="1E30D92C" w14:textId="77777777" w:rsidR="005F7966" w:rsidRPr="007630E3" w:rsidRDefault="005F7966" w:rsidP="005F7966">
      <w:pPr>
        <w:spacing w:after="0" w:line="240" w:lineRule="auto"/>
        <w:rPr>
          <w:szCs w:val="24"/>
        </w:rPr>
      </w:pPr>
    </w:p>
    <w:p w14:paraId="530828ED" w14:textId="77777777" w:rsidR="005F7966" w:rsidRPr="007630E3" w:rsidRDefault="005F7966" w:rsidP="005F7966">
      <w:pPr>
        <w:spacing w:after="0" w:line="240" w:lineRule="auto"/>
        <w:rPr>
          <w:szCs w:val="24"/>
        </w:rPr>
      </w:pPr>
      <w:r w:rsidRPr="007630E3">
        <w:rPr>
          <w:szCs w:val="24"/>
        </w:rPr>
        <w:t xml:space="preserve">Los flujos de efectivo procedentes de las actividades de </w:t>
      </w:r>
      <w:r w:rsidRPr="007630E3">
        <w:rPr>
          <w:b/>
          <w:bCs/>
          <w:szCs w:val="24"/>
        </w:rPr>
        <w:t>financiación</w:t>
      </w:r>
      <w:r w:rsidRPr="007630E3">
        <w:rPr>
          <w:szCs w:val="24"/>
        </w:rPr>
        <w:t xml:space="preserve">, es importante, ya que resulta de utilidad al efectuar la predicción de necesidades de efectivo para cubrir compromisos con los suministradores de capital a la entidad. Los flujos de efectivo que surgen de actividades de financiación son: cobros en efectivo procedentes de la emisión de obligaciones, préstamos, bonos, cédulas hipotecarias y otros fondos tomados en préstamo, a largo o a corto plazo; reembolsos de los fondos tomados en préstamo; y pagos realizados por el arrendatario para reducir la deuda pendiente procedente de un arrendamiento financiero. </w:t>
      </w:r>
    </w:p>
    <w:p w14:paraId="7B16F1EC" w14:textId="77777777" w:rsidR="005F7966" w:rsidRPr="007630E3" w:rsidRDefault="005F7966" w:rsidP="005F7966">
      <w:pPr>
        <w:spacing w:after="0" w:line="240" w:lineRule="auto"/>
        <w:rPr>
          <w:szCs w:val="24"/>
        </w:rPr>
      </w:pPr>
    </w:p>
    <w:p w14:paraId="3A4BE52B" w14:textId="77777777" w:rsidR="005F7966" w:rsidRPr="007630E3" w:rsidRDefault="005F7966" w:rsidP="005F7966">
      <w:pPr>
        <w:spacing w:after="0" w:line="240" w:lineRule="auto"/>
        <w:rPr>
          <w:szCs w:val="24"/>
        </w:rPr>
      </w:pPr>
      <w:r w:rsidRPr="007630E3">
        <w:rPr>
          <w:szCs w:val="24"/>
        </w:rPr>
        <w:t>Cuando la entidad no pueda identificar separadamente las asignaciones o autorizaciones presupuestarias como actividades corrientes, inversiones de capital y contribuciones de capital, dichas asignaciones o autorizaciones presupuestarias deberán clasificarse como flujos de efectivo provenientes de las actividades de operación y este hecho deberá revelarse en las notas a los EEFF, explicando las razones de tal impedimento.</w:t>
      </w:r>
    </w:p>
    <w:p w14:paraId="0CA374F9" w14:textId="77777777" w:rsidR="005F7966" w:rsidRDefault="005F7966" w:rsidP="005F7966">
      <w:pPr>
        <w:spacing w:after="0" w:line="240" w:lineRule="auto"/>
        <w:rPr>
          <w:sz w:val="23"/>
          <w:szCs w:val="23"/>
        </w:rPr>
      </w:pPr>
    </w:p>
    <w:p w14:paraId="75CB1978" w14:textId="77777777" w:rsidR="005F7966" w:rsidRPr="00633704" w:rsidRDefault="005F7966" w:rsidP="005F7966">
      <w:pPr>
        <w:spacing w:after="0" w:line="240" w:lineRule="auto"/>
        <w:rPr>
          <w:b/>
          <w:bCs/>
          <w:szCs w:val="24"/>
          <w:lang w:eastAsia="es-CR"/>
        </w:rPr>
      </w:pPr>
      <w:r w:rsidRPr="00633704">
        <w:rPr>
          <w:b/>
          <w:bCs/>
          <w:szCs w:val="24"/>
        </w:rPr>
        <w:t>Otras revelaciones</w:t>
      </w:r>
    </w:p>
    <w:p w14:paraId="0B9D0676" w14:textId="77777777" w:rsidR="005F7966" w:rsidRDefault="005F7966" w:rsidP="005F7966">
      <w:pPr>
        <w:spacing w:after="0" w:line="240" w:lineRule="auto"/>
        <w:rPr>
          <w:lang w:eastAsia="es-CR"/>
        </w:rPr>
      </w:pPr>
    </w:p>
    <w:p w14:paraId="220D85B5" w14:textId="4FAF2110" w:rsidR="005F7966" w:rsidRDefault="005F7966" w:rsidP="005F7966">
      <w:pPr>
        <w:spacing w:after="0" w:line="240" w:lineRule="auto"/>
        <w:rPr>
          <w:lang w:eastAsia="es-CR"/>
        </w:rPr>
      </w:pPr>
      <w:r>
        <w:rPr>
          <w:lang w:eastAsia="es-CR"/>
        </w:rPr>
        <w:t xml:space="preserve">En relación con el Efectivo y Equivalentes de Efectivo es pertinente indicar, que el efectivo mantenido en la </w:t>
      </w:r>
      <w:r w:rsidRPr="00631750">
        <w:rPr>
          <w:lang w:eastAsia="es-CR"/>
        </w:rPr>
        <w:t>Cuenta 1640-3 B.N.C.R. GARANTIAS</w:t>
      </w:r>
      <w:r>
        <w:rPr>
          <w:lang w:eastAsia="es-CR"/>
        </w:rPr>
        <w:t xml:space="preserve"> por la suma de </w:t>
      </w:r>
      <w:r w:rsidRPr="00B40C86">
        <w:rPr>
          <w:rFonts w:ascii="Calibri" w:eastAsia="Times New Roman" w:hAnsi="Calibri" w:cs="Calibri"/>
          <w:color w:val="000000"/>
          <w:sz w:val="22"/>
        </w:rPr>
        <w:t>₡</w:t>
      </w:r>
      <w:r w:rsidR="00AB27EA">
        <w:rPr>
          <w:lang w:eastAsia="es-CR"/>
        </w:rPr>
        <w:t>58.724.40</w:t>
      </w:r>
      <w:r>
        <w:rPr>
          <w:lang w:eastAsia="es-CR"/>
        </w:rPr>
        <w:t xml:space="preserve"> miles, no puede ser utilizado debido a que corresponde a sumas depositadas por personas o empresas que participan en procesos de contratación realizados por la Municipalidad, los cuales deberán ser devueltos una vez concluido el objeto de la contratación. Con respecto a los recursos por un monto de </w:t>
      </w:r>
      <w:r w:rsidRPr="00B40C86">
        <w:rPr>
          <w:rFonts w:ascii="Arial" w:hAnsi="Arial" w:cs="Arial"/>
          <w:lang w:eastAsia="es-CR"/>
        </w:rPr>
        <w:t>₡</w:t>
      </w:r>
      <w:r w:rsidR="00756813">
        <w:rPr>
          <w:lang w:eastAsia="es-CR"/>
        </w:rPr>
        <w:t>1.0</w:t>
      </w:r>
      <w:r w:rsidR="006B0D9E">
        <w:rPr>
          <w:lang w:eastAsia="es-CR"/>
        </w:rPr>
        <w:t>99.048.38</w:t>
      </w:r>
      <w:r>
        <w:rPr>
          <w:lang w:eastAsia="es-CR"/>
        </w:rPr>
        <w:t xml:space="preserve"> miles en Caja Única del Estado, la Municipalidad puede disponer de los mismos conforme a la programación para su utilización existente en el Ministerio de Hacienda.</w:t>
      </w:r>
    </w:p>
    <w:p w14:paraId="7BCF2400" w14:textId="77777777" w:rsidR="005F7966" w:rsidRDefault="005F7966" w:rsidP="005F7966">
      <w:pPr>
        <w:spacing w:after="0" w:line="240" w:lineRule="auto"/>
        <w:rPr>
          <w:lang w:eastAsia="es-CR"/>
        </w:rPr>
      </w:pPr>
    </w:p>
    <w:p w14:paraId="54A51D7E" w14:textId="7A39E1C6" w:rsidR="005F7966" w:rsidRPr="002D3D6C" w:rsidRDefault="005F7966" w:rsidP="002D3D6C">
      <w:pPr>
        <w:spacing w:line="240" w:lineRule="auto"/>
        <w:rPr>
          <w:rFonts w:eastAsia="Times New Roman" w:cs="Calibri"/>
          <w:color w:val="000000"/>
          <w:sz w:val="18"/>
          <w:szCs w:val="18"/>
        </w:rPr>
      </w:pPr>
      <w:r>
        <w:t xml:space="preserve">Además, la Municipalidad tiene aprobado un préstamo con el IFAM (Operación Nº 6-CVL-1457-0718 DEL 19 de enero de 2019) por la suma de </w:t>
      </w:r>
      <w:r w:rsidRPr="00B40C86">
        <w:rPr>
          <w:rFonts w:ascii="Calibri" w:eastAsia="Times New Roman" w:hAnsi="Calibri" w:cs="Calibri"/>
          <w:color w:val="000000"/>
          <w:sz w:val="22"/>
        </w:rPr>
        <w:t>₡</w:t>
      </w:r>
      <w:r w:rsidRPr="00F02BC5">
        <w:t>3 563</w:t>
      </w:r>
      <w:r>
        <w:t> </w:t>
      </w:r>
      <w:r w:rsidRPr="00F02BC5">
        <w:t>088</w:t>
      </w:r>
      <w:r>
        <w:t>,50 miles</w:t>
      </w:r>
      <w:r w:rsidRPr="00F02BC5">
        <w:t xml:space="preserve"> </w:t>
      </w:r>
      <w:r>
        <w:t xml:space="preserve">de los cuales al </w:t>
      </w:r>
      <w:r w:rsidR="00D470B6">
        <w:t>30 de junio</w:t>
      </w:r>
      <w:r w:rsidR="00756813">
        <w:t xml:space="preserve"> de 2024</w:t>
      </w:r>
      <w:r>
        <w:t xml:space="preserve"> aún está pendiente de percibirse la suma de</w:t>
      </w:r>
      <w:r w:rsidR="002D3D6C">
        <w:t xml:space="preserve"> </w:t>
      </w:r>
      <w:r w:rsidR="002D3D6C" w:rsidRPr="002D3D6C">
        <w:rPr>
          <w:rFonts w:ascii="Arial" w:hAnsi="Arial" w:cs="Arial"/>
        </w:rPr>
        <w:t>₡</w:t>
      </w:r>
      <w:r w:rsidR="00782C75">
        <w:t>1.109.953.43</w:t>
      </w:r>
      <w:r w:rsidRPr="00F02BC5">
        <w:t xml:space="preserve"> </w:t>
      </w:r>
      <w:r>
        <w:t xml:space="preserve">y de la suma recibida </w:t>
      </w:r>
      <w:r w:rsidR="002D3D6C" w:rsidRPr="002D3D6C">
        <w:rPr>
          <w:rFonts w:ascii="Arial" w:hAnsi="Arial" w:cs="Arial"/>
        </w:rPr>
        <w:t>₡</w:t>
      </w:r>
      <w:r w:rsidR="00782C75">
        <w:t>2.453.135.07</w:t>
      </w:r>
      <w:r>
        <w:t xml:space="preserve"> miles a la fecha de presentación de los estados financieros, se adeuda el monto de </w:t>
      </w:r>
      <w:r w:rsidR="002D3D6C" w:rsidRPr="002D3D6C">
        <w:rPr>
          <w:rFonts w:ascii="Arial" w:hAnsi="Arial" w:cs="Arial"/>
        </w:rPr>
        <w:t>₡</w:t>
      </w:r>
      <w:r w:rsidR="00782C75">
        <w:t>1.583.551.96</w:t>
      </w:r>
      <w:r w:rsidR="002D3D6C">
        <w:t xml:space="preserve"> </w:t>
      </w:r>
      <w:r w:rsidRPr="00415CED">
        <w:t>miles</w:t>
      </w:r>
      <w:r>
        <w:t>.</w:t>
      </w:r>
    </w:p>
    <w:p w14:paraId="5D695099" w14:textId="77777777" w:rsidR="005F7966" w:rsidRDefault="005F7966" w:rsidP="005F7966">
      <w:pPr>
        <w:spacing w:after="0" w:line="240" w:lineRule="auto"/>
      </w:pPr>
    </w:p>
    <w:p w14:paraId="2C45F804" w14:textId="77777777" w:rsidR="005F7966" w:rsidRDefault="005F7966" w:rsidP="005F7966">
      <w:pPr>
        <w:spacing w:after="0" w:line="240" w:lineRule="auto"/>
      </w:pPr>
      <w:r>
        <w:t>Efectivo y Equivalentes de Efectivo en miles de colones:</w:t>
      </w:r>
    </w:p>
    <w:p w14:paraId="134883A7" w14:textId="77777777" w:rsidR="005F7966" w:rsidRDefault="005F7966" w:rsidP="005F7966">
      <w:pPr>
        <w:spacing w:after="0" w:line="240" w:lineRule="auto"/>
      </w:pPr>
    </w:p>
    <w:tbl>
      <w:tblPr>
        <w:tblStyle w:val="Tablaconcuadrcula"/>
        <w:tblW w:w="0" w:type="auto"/>
        <w:tblLook w:val="04A0" w:firstRow="1" w:lastRow="0" w:firstColumn="1" w:lastColumn="0" w:noHBand="0" w:noVBand="1"/>
      </w:tblPr>
      <w:tblGrid>
        <w:gridCol w:w="1125"/>
        <w:gridCol w:w="4676"/>
        <w:gridCol w:w="1512"/>
        <w:gridCol w:w="1466"/>
      </w:tblGrid>
      <w:tr w:rsidR="005F7966" w:rsidRPr="00E67ECC" w14:paraId="5D1114B9" w14:textId="77777777" w:rsidTr="004653E2">
        <w:tc>
          <w:tcPr>
            <w:tcW w:w="1129" w:type="dxa"/>
            <w:shd w:val="clear" w:color="auto" w:fill="1F4E79" w:themeFill="accent5" w:themeFillShade="80"/>
          </w:tcPr>
          <w:p w14:paraId="5FEF5B1C" w14:textId="77777777" w:rsidR="005F7966" w:rsidRPr="00E67ECC" w:rsidRDefault="005F7966" w:rsidP="004653E2">
            <w:pPr>
              <w:spacing w:line="240" w:lineRule="auto"/>
              <w:jc w:val="center"/>
              <w:rPr>
                <w:b/>
                <w:bCs/>
                <w:color w:val="FFFFFF" w:themeColor="background1"/>
                <w:sz w:val="22"/>
                <w:szCs w:val="22"/>
              </w:rPr>
            </w:pPr>
            <w:r w:rsidRPr="00E67ECC">
              <w:rPr>
                <w:b/>
                <w:bCs/>
                <w:color w:val="FFFFFF" w:themeColor="background1"/>
                <w:sz w:val="22"/>
                <w:szCs w:val="22"/>
              </w:rPr>
              <w:t>Cuenta</w:t>
            </w:r>
          </w:p>
        </w:tc>
        <w:tc>
          <w:tcPr>
            <w:tcW w:w="4716" w:type="dxa"/>
            <w:shd w:val="clear" w:color="auto" w:fill="1F4E79" w:themeFill="accent5" w:themeFillShade="80"/>
          </w:tcPr>
          <w:p w14:paraId="7C8718E9" w14:textId="77777777" w:rsidR="005F7966" w:rsidRPr="00E67ECC" w:rsidRDefault="005F7966" w:rsidP="004653E2">
            <w:pPr>
              <w:spacing w:line="240" w:lineRule="auto"/>
              <w:jc w:val="center"/>
              <w:rPr>
                <w:b/>
                <w:bCs/>
                <w:color w:val="FFFFFF" w:themeColor="background1"/>
                <w:sz w:val="22"/>
                <w:szCs w:val="22"/>
              </w:rPr>
            </w:pPr>
            <w:r w:rsidRPr="00E67ECC">
              <w:rPr>
                <w:b/>
                <w:bCs/>
                <w:color w:val="FFFFFF" w:themeColor="background1"/>
                <w:sz w:val="22"/>
                <w:szCs w:val="22"/>
              </w:rPr>
              <w:t>Descripción</w:t>
            </w:r>
          </w:p>
        </w:tc>
        <w:tc>
          <w:tcPr>
            <w:tcW w:w="1515" w:type="dxa"/>
            <w:shd w:val="clear" w:color="auto" w:fill="1F4E79" w:themeFill="accent5" w:themeFillShade="80"/>
          </w:tcPr>
          <w:p w14:paraId="65D39761" w14:textId="77BC53A6" w:rsidR="005F7966" w:rsidRPr="00E67ECC" w:rsidRDefault="005F7966" w:rsidP="004653E2">
            <w:pPr>
              <w:spacing w:line="240" w:lineRule="auto"/>
              <w:jc w:val="center"/>
              <w:rPr>
                <w:b/>
                <w:bCs/>
                <w:color w:val="FFFFFF" w:themeColor="background1"/>
                <w:sz w:val="22"/>
                <w:szCs w:val="22"/>
              </w:rPr>
            </w:pPr>
            <w:r w:rsidRPr="00E67ECC">
              <w:rPr>
                <w:b/>
                <w:bCs/>
                <w:color w:val="FFFFFF" w:themeColor="background1"/>
                <w:sz w:val="22"/>
                <w:szCs w:val="22"/>
              </w:rPr>
              <w:t>202</w:t>
            </w:r>
            <w:r w:rsidR="003C48CE">
              <w:rPr>
                <w:b/>
                <w:bCs/>
                <w:color w:val="FFFFFF" w:themeColor="background1"/>
                <w:sz w:val="22"/>
                <w:szCs w:val="22"/>
              </w:rPr>
              <w:t>4</w:t>
            </w:r>
          </w:p>
        </w:tc>
        <w:tc>
          <w:tcPr>
            <w:tcW w:w="1468" w:type="dxa"/>
            <w:shd w:val="clear" w:color="auto" w:fill="1F4E79" w:themeFill="accent5" w:themeFillShade="80"/>
          </w:tcPr>
          <w:p w14:paraId="01636472" w14:textId="0CA0A215" w:rsidR="005F7966" w:rsidRPr="00E67ECC" w:rsidRDefault="005F7966" w:rsidP="004653E2">
            <w:pPr>
              <w:spacing w:line="240" w:lineRule="auto"/>
              <w:jc w:val="center"/>
              <w:rPr>
                <w:b/>
                <w:bCs/>
                <w:color w:val="FFFFFF" w:themeColor="background1"/>
                <w:sz w:val="22"/>
                <w:szCs w:val="22"/>
              </w:rPr>
            </w:pPr>
            <w:r w:rsidRPr="00E67ECC">
              <w:rPr>
                <w:b/>
                <w:bCs/>
                <w:color w:val="FFFFFF" w:themeColor="background1"/>
                <w:sz w:val="22"/>
                <w:szCs w:val="22"/>
              </w:rPr>
              <w:t>202</w:t>
            </w:r>
            <w:r w:rsidR="003C48CE">
              <w:rPr>
                <w:b/>
                <w:bCs/>
                <w:color w:val="FFFFFF" w:themeColor="background1"/>
                <w:sz w:val="22"/>
                <w:szCs w:val="22"/>
              </w:rPr>
              <w:t>3</w:t>
            </w:r>
          </w:p>
        </w:tc>
      </w:tr>
      <w:tr w:rsidR="005F7966" w:rsidRPr="00E67ECC" w14:paraId="31BB0032" w14:textId="77777777" w:rsidTr="004653E2">
        <w:tc>
          <w:tcPr>
            <w:tcW w:w="1129" w:type="dxa"/>
          </w:tcPr>
          <w:p w14:paraId="7354D698" w14:textId="123EC111" w:rsidR="005F7966" w:rsidRPr="00E67ECC" w:rsidRDefault="005F7966" w:rsidP="004653E2">
            <w:pPr>
              <w:spacing w:line="240" w:lineRule="auto"/>
              <w:rPr>
                <w:rFonts w:cs="Calibri"/>
                <w:b/>
                <w:bCs/>
                <w:color w:val="000000"/>
                <w:sz w:val="22"/>
                <w:szCs w:val="22"/>
              </w:rPr>
            </w:pPr>
            <w:r w:rsidRPr="00E67ECC">
              <w:rPr>
                <w:rFonts w:cs="Calibri"/>
                <w:b/>
                <w:bCs/>
                <w:color w:val="000000"/>
                <w:sz w:val="22"/>
                <w:szCs w:val="22"/>
              </w:rPr>
              <w:t>1.1.1.</w:t>
            </w:r>
          </w:p>
        </w:tc>
        <w:tc>
          <w:tcPr>
            <w:tcW w:w="4716" w:type="dxa"/>
          </w:tcPr>
          <w:p w14:paraId="18B98546" w14:textId="77777777" w:rsidR="005F7966" w:rsidRPr="00E67ECC" w:rsidRDefault="005F7966" w:rsidP="004653E2">
            <w:pPr>
              <w:spacing w:line="240" w:lineRule="auto"/>
              <w:rPr>
                <w:b/>
                <w:bCs/>
                <w:sz w:val="22"/>
                <w:szCs w:val="22"/>
              </w:rPr>
            </w:pPr>
            <w:r w:rsidRPr="00E67ECC">
              <w:rPr>
                <w:b/>
                <w:bCs/>
                <w:sz w:val="22"/>
                <w:szCs w:val="22"/>
              </w:rPr>
              <w:t>Efectivo en Bancos, Cajas Chicas y Fondos Rotatorios</w:t>
            </w:r>
          </w:p>
        </w:tc>
        <w:tc>
          <w:tcPr>
            <w:tcW w:w="1515" w:type="dxa"/>
            <w:vAlign w:val="center"/>
          </w:tcPr>
          <w:p w14:paraId="203A923E" w14:textId="32AACB0B" w:rsidR="005F7966" w:rsidRPr="00E67ECC" w:rsidRDefault="005F7966" w:rsidP="00AB27EA">
            <w:pPr>
              <w:spacing w:line="240" w:lineRule="auto"/>
              <w:jc w:val="center"/>
              <w:rPr>
                <w:rFonts w:cs="Calibri"/>
                <w:b/>
                <w:bCs/>
                <w:color w:val="000000"/>
                <w:sz w:val="22"/>
                <w:szCs w:val="22"/>
              </w:rPr>
            </w:pPr>
            <w:r w:rsidRPr="00E67ECC">
              <w:rPr>
                <w:rFonts w:cs="Calibri"/>
                <w:b/>
                <w:bCs/>
                <w:color w:val="000000"/>
                <w:sz w:val="22"/>
                <w:szCs w:val="22"/>
              </w:rPr>
              <w:t xml:space="preserve">  </w:t>
            </w:r>
            <w:r w:rsidR="00AB27EA">
              <w:rPr>
                <w:rFonts w:cs="Calibri"/>
                <w:b/>
                <w:bCs/>
                <w:color w:val="000000"/>
                <w:sz w:val="22"/>
                <w:szCs w:val="22"/>
              </w:rPr>
              <w:t>1.873.754.83</w:t>
            </w:r>
          </w:p>
        </w:tc>
        <w:tc>
          <w:tcPr>
            <w:tcW w:w="1468" w:type="dxa"/>
            <w:vAlign w:val="center"/>
          </w:tcPr>
          <w:p w14:paraId="020916C4" w14:textId="3F1D4749" w:rsidR="005F7966" w:rsidRPr="00E67ECC" w:rsidRDefault="005F7966" w:rsidP="00AB27EA">
            <w:pPr>
              <w:spacing w:line="240" w:lineRule="auto"/>
              <w:jc w:val="center"/>
              <w:rPr>
                <w:rFonts w:cs="Calibri"/>
                <w:b/>
                <w:bCs/>
                <w:color w:val="000000"/>
                <w:sz w:val="22"/>
                <w:szCs w:val="22"/>
              </w:rPr>
            </w:pPr>
            <w:r w:rsidRPr="00E67ECC">
              <w:rPr>
                <w:rFonts w:cs="Calibri"/>
                <w:b/>
                <w:bCs/>
                <w:color w:val="000000"/>
                <w:sz w:val="22"/>
                <w:szCs w:val="22"/>
              </w:rPr>
              <w:t xml:space="preserve"> </w:t>
            </w:r>
            <w:r w:rsidR="00AB27EA">
              <w:rPr>
                <w:rFonts w:cs="Calibri"/>
                <w:b/>
                <w:bCs/>
                <w:color w:val="000000"/>
                <w:sz w:val="22"/>
                <w:szCs w:val="22"/>
              </w:rPr>
              <w:t>2.221.962.60</w:t>
            </w:r>
          </w:p>
        </w:tc>
      </w:tr>
    </w:tbl>
    <w:p w14:paraId="6E035156" w14:textId="77777777" w:rsidR="005F7966" w:rsidRDefault="005F7966" w:rsidP="005F7966">
      <w:pPr>
        <w:spacing w:after="0" w:line="240" w:lineRule="auto"/>
      </w:pPr>
    </w:p>
    <w:p w14:paraId="1054328D" w14:textId="77777777" w:rsidR="005F7966" w:rsidRDefault="005F7966" w:rsidP="005F7966">
      <w:pPr>
        <w:spacing w:after="0" w:line="240" w:lineRule="auto"/>
      </w:pPr>
      <w:r w:rsidRPr="005836BB">
        <w:t>Se debe indicar que la Municipalidad de Buenos Aires inicio la implementación de las NICSP en el año 2021; y a</w:t>
      </w:r>
      <w:r>
        <w:t>ún</w:t>
      </w:r>
      <w:r w:rsidRPr="005836BB">
        <w:t xml:space="preserve"> está realizándose un proceso de revisión y depuración de cifras, con el objetivo de cumplir con todos los requisitos exigidos por las NICSP en el plazo establecido por la Ley Nº 9635 “Ley de Fortalecimiento de las Finanzas Públicas.</w:t>
      </w:r>
    </w:p>
    <w:p w14:paraId="09240AB1" w14:textId="77777777" w:rsidR="005F7966" w:rsidRPr="005836BB" w:rsidRDefault="005F7966" w:rsidP="005F7966">
      <w:pPr>
        <w:spacing w:after="0" w:line="240" w:lineRule="auto"/>
      </w:pPr>
    </w:p>
    <w:p w14:paraId="46BAD602" w14:textId="77777777" w:rsidR="005F7966" w:rsidRDefault="005F7966" w:rsidP="005F7966">
      <w:pPr>
        <w:spacing w:after="0" w:line="240" w:lineRule="auto"/>
      </w:pPr>
      <w:r w:rsidRPr="005836BB">
        <w:t>La Municipalidad de Buenos Aires confecciona el estado de flujo de efectivo utilizando el método directo con base en las políticas emitidas por la Dirección General de Contabilidad Nacional. Al respecto debe señalarse, que las principales entradas por actividades de operación que tiene la Municipalidad son: el cobro de impuestos (patentes, sobre bienes inmuebles, sobre construcciones, entre otros), el cobro de las tasas por la prestación de servicios comunitarios, y el cobro de multas e intereses por atraso de los contribuyentes; además, de las sumas cobradas por alquileres.</w:t>
      </w:r>
    </w:p>
    <w:p w14:paraId="08B0DCED" w14:textId="77777777" w:rsidR="005F7966" w:rsidRPr="005836BB" w:rsidRDefault="005F7966" w:rsidP="005F7966">
      <w:pPr>
        <w:spacing w:after="0" w:line="240" w:lineRule="auto"/>
      </w:pPr>
    </w:p>
    <w:p w14:paraId="04182D8B" w14:textId="2EDA9EC4" w:rsidR="005F7966" w:rsidRDefault="005F7966" w:rsidP="005F7966">
      <w:pPr>
        <w:spacing w:after="0" w:line="240" w:lineRule="auto"/>
      </w:pPr>
      <w:r w:rsidRPr="005836BB">
        <w:t>Por otra parte, debe indicarse que l</w:t>
      </w:r>
      <w:r>
        <w:t>a</w:t>
      </w:r>
      <w:r w:rsidRPr="005836BB">
        <w:t xml:space="preserve">s principales </w:t>
      </w:r>
      <w:r>
        <w:t>salidas</w:t>
      </w:r>
      <w:r w:rsidRPr="005836BB">
        <w:t xml:space="preserve"> referentes a las actividades de operación están asociados al pago de beneficios al personal, prestaciones de la seguridad social, adquisición de servicios e inventarios y transferencias corrientes.  En cuanto a las actividades de financiamiento los principales gastos se refieren a la amortización de la deuda contraída por la Municipalidad con el Instituto de Fomento y Asesoría Municipal, </w:t>
      </w:r>
      <w:r w:rsidR="00130B2D" w:rsidRPr="005836BB">
        <w:t>operación Nª</w:t>
      </w:r>
      <w:r w:rsidRPr="005836BB">
        <w:t xml:space="preserve"> 6-CVL-1457-0718 para el mejoramiento de la red vial cantonal, compra de maquinaria, inventario de vías y estudios de pre-inversión para la construcción del plantel municipal y oficinas de la Unidad Técnica de Gestión Vial y Transferencia de Capital (IFAM) y el servicio de esa deuda.</w:t>
      </w:r>
    </w:p>
    <w:p w14:paraId="2E97DEE0" w14:textId="77777777" w:rsidR="005F7966" w:rsidRPr="005836BB" w:rsidRDefault="005F7966" w:rsidP="005F7966">
      <w:pPr>
        <w:spacing w:after="0" w:line="240" w:lineRule="auto"/>
      </w:pPr>
    </w:p>
    <w:p w14:paraId="134E05C1" w14:textId="23D15575" w:rsidR="005F7966" w:rsidRDefault="005F7966" w:rsidP="005F7966">
      <w:pPr>
        <w:spacing w:after="0" w:line="240" w:lineRule="auto"/>
      </w:pPr>
      <w:r w:rsidRPr="005836BB">
        <w:t xml:space="preserve">Los montos netos correspondiente a actividades de operación, inversión y financiamiento al </w:t>
      </w:r>
      <w:r w:rsidR="00130B2D">
        <w:t>30</w:t>
      </w:r>
      <w:r>
        <w:t xml:space="preserve"> de </w:t>
      </w:r>
      <w:r w:rsidR="00130B2D">
        <w:t>junio</w:t>
      </w:r>
      <w:r>
        <w:t xml:space="preserve"> de 202</w:t>
      </w:r>
      <w:r w:rsidR="002D3D6C">
        <w:t>4</w:t>
      </w:r>
      <w:r w:rsidRPr="005836BB">
        <w:t>, presentado en miles de colones costarricenses se muestran en el siguiente cuadro:</w:t>
      </w:r>
    </w:p>
    <w:p w14:paraId="333F7071" w14:textId="77777777" w:rsidR="005F7966" w:rsidRPr="00C276CA" w:rsidRDefault="005F7966" w:rsidP="005F7966">
      <w:pPr>
        <w:spacing w:after="0" w:line="240" w:lineRule="auto"/>
        <w:rPr>
          <w:rFonts w:eastAsia="Times New Roman" w:cs="Calibri"/>
          <w:b/>
          <w:bCs/>
          <w:sz w:val="20"/>
          <w:szCs w:val="20"/>
        </w:rPr>
      </w:pPr>
    </w:p>
    <w:p w14:paraId="23C962CA" w14:textId="77777777" w:rsidR="005F7966" w:rsidRPr="006C7C0B" w:rsidRDefault="005F7966" w:rsidP="005F7966">
      <w:pPr>
        <w:spacing w:after="0" w:line="240" w:lineRule="auto"/>
      </w:pPr>
    </w:p>
    <w:tbl>
      <w:tblPr>
        <w:tblW w:w="0" w:type="auto"/>
        <w:tblInd w:w="1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0"/>
        <w:gridCol w:w="1875"/>
      </w:tblGrid>
      <w:tr w:rsidR="005F7966" w:rsidRPr="00D93D7C" w14:paraId="768A4C62" w14:textId="77777777" w:rsidTr="004653E2">
        <w:tc>
          <w:tcPr>
            <w:tcW w:w="3000" w:type="dxa"/>
            <w:tcBorders>
              <w:top w:val="single" w:sz="8" w:space="0" w:color="4F81BD"/>
              <w:left w:val="single" w:sz="8" w:space="0" w:color="4F81BD"/>
              <w:bottom w:val="single" w:sz="18" w:space="0" w:color="FFFFFF"/>
              <w:right w:val="single" w:sz="8" w:space="0" w:color="4F81BD"/>
            </w:tcBorders>
            <w:shd w:val="clear" w:color="auto" w:fill="002060"/>
          </w:tcPr>
          <w:p w14:paraId="7FDF9AA6" w14:textId="77777777" w:rsidR="005F7966" w:rsidRPr="006C7C0B" w:rsidRDefault="005F7966" w:rsidP="004653E2">
            <w:pPr>
              <w:spacing w:after="0" w:line="240" w:lineRule="auto"/>
            </w:pPr>
            <w:r w:rsidRPr="006C7C0B">
              <w:t>CONCEPTO</w:t>
            </w:r>
          </w:p>
        </w:tc>
        <w:tc>
          <w:tcPr>
            <w:tcW w:w="1875" w:type="dxa"/>
            <w:tcBorders>
              <w:top w:val="single" w:sz="8" w:space="0" w:color="4F81BD"/>
              <w:left w:val="single" w:sz="8" w:space="0" w:color="4F81BD"/>
              <w:bottom w:val="single" w:sz="18" w:space="0" w:color="FFFFFF"/>
              <w:right w:val="single" w:sz="8" w:space="0" w:color="4F81BD"/>
            </w:tcBorders>
            <w:shd w:val="clear" w:color="auto" w:fill="002060"/>
          </w:tcPr>
          <w:p w14:paraId="403CC625" w14:textId="77777777" w:rsidR="005F7966" w:rsidRPr="006C7C0B" w:rsidRDefault="005F7966" w:rsidP="004653E2">
            <w:pPr>
              <w:spacing w:after="0" w:line="240" w:lineRule="auto"/>
            </w:pPr>
            <w:r w:rsidRPr="006C7C0B">
              <w:t>MONTO</w:t>
            </w:r>
          </w:p>
        </w:tc>
      </w:tr>
      <w:tr w:rsidR="00086E46" w:rsidRPr="00DE2E35" w14:paraId="0CE20919" w14:textId="77777777" w:rsidTr="004653E2">
        <w:tc>
          <w:tcPr>
            <w:tcW w:w="3000" w:type="dxa"/>
            <w:tcBorders>
              <w:top w:val="single" w:sz="18" w:space="0" w:color="FFFFFF"/>
              <w:left w:val="single" w:sz="8" w:space="0" w:color="4F81BD"/>
              <w:bottom w:val="single" w:sz="8" w:space="0" w:color="4F81BD"/>
              <w:right w:val="single" w:sz="8" w:space="0" w:color="4F81BD"/>
            </w:tcBorders>
            <w:shd w:val="clear" w:color="auto" w:fill="FFFFFF"/>
          </w:tcPr>
          <w:p w14:paraId="32A14EBA" w14:textId="77777777" w:rsidR="00086E46" w:rsidRPr="006C7C0B" w:rsidRDefault="00086E46" w:rsidP="00086E46">
            <w:pPr>
              <w:spacing w:after="0" w:line="240" w:lineRule="auto"/>
            </w:pPr>
            <w:r w:rsidRPr="006C7C0B">
              <w:t>Actividades de operación</w:t>
            </w:r>
          </w:p>
        </w:tc>
        <w:tc>
          <w:tcPr>
            <w:tcW w:w="1875" w:type="dxa"/>
            <w:tcBorders>
              <w:top w:val="single" w:sz="18" w:space="0" w:color="FFFFFF"/>
              <w:left w:val="single" w:sz="8" w:space="0" w:color="4F81BD"/>
              <w:bottom w:val="single" w:sz="8" w:space="0" w:color="4F81BD"/>
              <w:right w:val="single" w:sz="8" w:space="0" w:color="4F81BD"/>
            </w:tcBorders>
            <w:shd w:val="clear" w:color="auto" w:fill="FFFFFF" w:themeFill="background1"/>
          </w:tcPr>
          <w:p w14:paraId="71560A9C" w14:textId="495B384C" w:rsidR="00086E46" w:rsidRPr="00086E46" w:rsidRDefault="00086E46" w:rsidP="00086E46">
            <w:pPr>
              <w:spacing w:line="240" w:lineRule="auto"/>
              <w:rPr>
                <w:rFonts w:cs="Arial"/>
                <w:b/>
                <w:bCs/>
                <w:sz w:val="20"/>
                <w:szCs w:val="20"/>
              </w:rPr>
            </w:pPr>
            <w:r w:rsidRPr="00086E46">
              <w:rPr>
                <w:rFonts w:ascii="Arial" w:hAnsi="Arial" w:cs="Arial"/>
                <w:b/>
                <w:bCs/>
                <w:sz w:val="20"/>
                <w:szCs w:val="20"/>
              </w:rPr>
              <w:t>₡</w:t>
            </w:r>
            <w:r w:rsidRPr="00086E46">
              <w:rPr>
                <w:rFonts w:cs="Arial"/>
                <w:b/>
                <w:bCs/>
                <w:sz w:val="20"/>
                <w:szCs w:val="20"/>
              </w:rPr>
              <w:t>169 632,95</w:t>
            </w:r>
          </w:p>
        </w:tc>
      </w:tr>
      <w:tr w:rsidR="00086E46" w:rsidRPr="00DE2E35" w14:paraId="75C11E95" w14:textId="77777777" w:rsidTr="004653E2">
        <w:tc>
          <w:tcPr>
            <w:tcW w:w="3000" w:type="dxa"/>
            <w:tcBorders>
              <w:top w:val="single" w:sz="8" w:space="0" w:color="4F81BD"/>
              <w:left w:val="single" w:sz="8" w:space="0" w:color="4F81BD"/>
              <w:bottom w:val="single" w:sz="8" w:space="0" w:color="4F81BD"/>
              <w:right w:val="single" w:sz="8" w:space="0" w:color="4F81BD"/>
            </w:tcBorders>
            <w:shd w:val="clear" w:color="auto" w:fill="FFFFFF"/>
          </w:tcPr>
          <w:p w14:paraId="5683B276" w14:textId="77777777" w:rsidR="00086E46" w:rsidRPr="006C7C0B" w:rsidRDefault="00086E46" w:rsidP="00086E46">
            <w:pPr>
              <w:spacing w:after="0" w:line="240" w:lineRule="auto"/>
            </w:pPr>
            <w:r w:rsidRPr="006C7C0B">
              <w:t>Actividades de inversión</w:t>
            </w:r>
          </w:p>
        </w:tc>
        <w:tc>
          <w:tcPr>
            <w:tcW w:w="1875" w:type="dxa"/>
            <w:tcBorders>
              <w:top w:val="single" w:sz="8" w:space="0" w:color="4F81BD"/>
              <w:left w:val="single" w:sz="8" w:space="0" w:color="4F81BD"/>
              <w:bottom w:val="single" w:sz="8" w:space="0" w:color="4F81BD"/>
              <w:right w:val="single" w:sz="8" w:space="0" w:color="4F81BD"/>
            </w:tcBorders>
            <w:shd w:val="clear" w:color="auto" w:fill="FFFFFF" w:themeFill="background1"/>
          </w:tcPr>
          <w:p w14:paraId="1562436B" w14:textId="726C1CC5" w:rsidR="00086E46" w:rsidRPr="00E837B5" w:rsidRDefault="00086E46" w:rsidP="00086E46">
            <w:pPr>
              <w:spacing w:line="240" w:lineRule="auto"/>
              <w:rPr>
                <w:rFonts w:cs="Calibri"/>
                <w:b/>
                <w:bCs/>
                <w:sz w:val="20"/>
                <w:szCs w:val="20"/>
              </w:rPr>
            </w:pPr>
            <w:r>
              <w:rPr>
                <w:rFonts w:ascii="Arial" w:hAnsi="Arial" w:cs="Arial"/>
                <w:b/>
                <w:bCs/>
                <w:sz w:val="20"/>
                <w:szCs w:val="20"/>
              </w:rPr>
              <w:t>-</w:t>
            </w:r>
            <w:r w:rsidRPr="00E837B5">
              <w:rPr>
                <w:rFonts w:ascii="Arial" w:hAnsi="Arial" w:cs="Arial"/>
                <w:b/>
                <w:bCs/>
                <w:sz w:val="20"/>
                <w:szCs w:val="20"/>
              </w:rPr>
              <w:t>₡</w:t>
            </w:r>
            <w:r w:rsidRPr="00E837B5">
              <w:rPr>
                <w:rFonts w:cs="Calibri"/>
                <w:b/>
                <w:bCs/>
                <w:sz w:val="20"/>
                <w:szCs w:val="20"/>
              </w:rPr>
              <w:t>4</w:t>
            </w:r>
            <w:r>
              <w:rPr>
                <w:rFonts w:cs="Calibri"/>
                <w:b/>
                <w:bCs/>
                <w:sz w:val="20"/>
                <w:szCs w:val="20"/>
              </w:rPr>
              <w:t>08</w:t>
            </w:r>
            <w:r w:rsidRPr="00E837B5">
              <w:rPr>
                <w:rFonts w:cs="Calibri"/>
                <w:b/>
                <w:bCs/>
                <w:sz w:val="20"/>
                <w:szCs w:val="20"/>
              </w:rPr>
              <w:t xml:space="preserve"> </w:t>
            </w:r>
            <w:r>
              <w:rPr>
                <w:rFonts w:cs="Calibri"/>
                <w:b/>
                <w:bCs/>
                <w:sz w:val="20"/>
                <w:szCs w:val="20"/>
              </w:rPr>
              <w:t>9</w:t>
            </w:r>
            <w:r w:rsidRPr="00E837B5">
              <w:rPr>
                <w:rFonts w:cs="Calibri"/>
                <w:b/>
                <w:bCs/>
                <w:sz w:val="20"/>
                <w:szCs w:val="20"/>
              </w:rPr>
              <w:t>1</w:t>
            </w:r>
            <w:r>
              <w:rPr>
                <w:rFonts w:cs="Calibri"/>
                <w:b/>
                <w:bCs/>
                <w:sz w:val="20"/>
                <w:szCs w:val="20"/>
              </w:rPr>
              <w:t>6</w:t>
            </w:r>
            <w:r w:rsidRPr="00E837B5">
              <w:rPr>
                <w:rFonts w:cs="Calibri"/>
                <w:b/>
                <w:bCs/>
                <w:sz w:val="20"/>
                <w:szCs w:val="20"/>
              </w:rPr>
              <w:t>,</w:t>
            </w:r>
            <w:r>
              <w:rPr>
                <w:rFonts w:cs="Calibri"/>
                <w:b/>
                <w:bCs/>
                <w:sz w:val="20"/>
                <w:szCs w:val="20"/>
              </w:rPr>
              <w:t>81</w:t>
            </w:r>
          </w:p>
        </w:tc>
      </w:tr>
      <w:tr w:rsidR="00086E46" w:rsidRPr="00DE2E35" w14:paraId="072222C2" w14:textId="77777777" w:rsidTr="004653E2">
        <w:tc>
          <w:tcPr>
            <w:tcW w:w="3000" w:type="dxa"/>
            <w:tcBorders>
              <w:top w:val="single" w:sz="8" w:space="0" w:color="4F81BD"/>
              <w:left w:val="single" w:sz="8" w:space="0" w:color="4F81BD"/>
              <w:bottom w:val="single" w:sz="8" w:space="0" w:color="4F81BD"/>
              <w:right w:val="single" w:sz="8" w:space="0" w:color="4F81BD"/>
            </w:tcBorders>
            <w:shd w:val="clear" w:color="auto" w:fill="FFFFFF"/>
          </w:tcPr>
          <w:p w14:paraId="0CBF3B9C" w14:textId="77777777" w:rsidR="00086E46" w:rsidRPr="006C7C0B" w:rsidRDefault="00086E46" w:rsidP="00086E46">
            <w:pPr>
              <w:spacing w:after="0" w:line="240" w:lineRule="auto"/>
            </w:pPr>
            <w:r w:rsidRPr="006C7C0B">
              <w:t>Actividades de financiamiento</w:t>
            </w:r>
          </w:p>
        </w:tc>
        <w:tc>
          <w:tcPr>
            <w:tcW w:w="1875" w:type="dxa"/>
            <w:tcBorders>
              <w:top w:val="single" w:sz="8" w:space="0" w:color="4F81BD"/>
              <w:left w:val="single" w:sz="8" w:space="0" w:color="4F81BD"/>
              <w:bottom w:val="single" w:sz="8" w:space="0" w:color="4F81BD"/>
              <w:right w:val="single" w:sz="8" w:space="0" w:color="4F81BD"/>
            </w:tcBorders>
            <w:shd w:val="clear" w:color="auto" w:fill="FFFFFF" w:themeFill="background1"/>
          </w:tcPr>
          <w:p w14:paraId="1F5E7E5B" w14:textId="7F6E7BFD" w:rsidR="00086E46" w:rsidRPr="00086E46" w:rsidRDefault="00086E46" w:rsidP="00086E46">
            <w:pPr>
              <w:spacing w:line="240" w:lineRule="auto"/>
              <w:rPr>
                <w:rFonts w:cs="Calibri"/>
                <w:b/>
                <w:bCs/>
                <w:sz w:val="20"/>
                <w:szCs w:val="20"/>
              </w:rPr>
            </w:pPr>
            <w:r>
              <w:rPr>
                <w:rFonts w:ascii="Arial" w:hAnsi="Arial" w:cs="Arial"/>
                <w:b/>
                <w:bCs/>
                <w:sz w:val="20"/>
                <w:szCs w:val="20"/>
              </w:rPr>
              <w:t xml:space="preserve"> </w:t>
            </w:r>
            <w:r w:rsidRPr="00086E46">
              <w:rPr>
                <w:rFonts w:ascii="Arial" w:hAnsi="Arial" w:cs="Arial"/>
                <w:b/>
                <w:bCs/>
                <w:sz w:val="20"/>
                <w:szCs w:val="20"/>
              </w:rPr>
              <w:t>₡</w:t>
            </w:r>
            <w:r w:rsidRPr="00086E46">
              <w:rPr>
                <w:rFonts w:cs="Arial"/>
                <w:b/>
                <w:bCs/>
                <w:sz w:val="20"/>
                <w:szCs w:val="20"/>
              </w:rPr>
              <w:t>6</w:t>
            </w:r>
            <w:r w:rsidRPr="00086E46">
              <w:rPr>
                <w:rFonts w:cs="Calibri"/>
                <w:b/>
                <w:bCs/>
                <w:sz w:val="20"/>
                <w:szCs w:val="20"/>
              </w:rPr>
              <w:t xml:space="preserve"> 226,78</w:t>
            </w:r>
          </w:p>
        </w:tc>
      </w:tr>
    </w:tbl>
    <w:p w14:paraId="439C1AB5" w14:textId="77777777" w:rsidR="005F7966" w:rsidRDefault="005F7966" w:rsidP="005F7966">
      <w:pPr>
        <w:pStyle w:val="Ttulo2"/>
        <w:spacing w:before="0" w:line="240" w:lineRule="auto"/>
      </w:pPr>
    </w:p>
    <w:p w14:paraId="3F114A30" w14:textId="77777777" w:rsidR="00D74068" w:rsidRPr="00D74068" w:rsidRDefault="00D74068" w:rsidP="00D74068"/>
    <w:p w14:paraId="30A85074" w14:textId="41255C83" w:rsidR="0092145A" w:rsidRDefault="0092145A" w:rsidP="00A649A4">
      <w:pPr>
        <w:pStyle w:val="Ttulo2"/>
        <w:spacing w:after="240"/>
      </w:pPr>
      <w:bookmarkStart w:id="28" w:name="_Toc173245189"/>
      <w:r w:rsidRPr="00D819F8">
        <w:t>NICSP 3- POLÍTICAS CONTABLES, CAMBIOS EN LAS ESTIMACIONES CONTABLES Y ERRORES (DE APLICACIÓN OBLIGATORIA):</w:t>
      </w:r>
      <w:bookmarkEnd w:id="26"/>
      <w:bookmarkEnd w:id="27"/>
      <w:bookmarkEnd w:id="28"/>
    </w:p>
    <w:p w14:paraId="22F19649" w14:textId="77777777" w:rsidR="00694299" w:rsidRDefault="0004771E" w:rsidP="0092145A">
      <w:pPr>
        <w:rPr>
          <w:rFonts w:asciiTheme="minorHAnsi" w:hAnsiTheme="minorHAnsi"/>
          <w:sz w:val="22"/>
        </w:rPr>
      </w:pPr>
      <w:r w:rsidRPr="0004771E">
        <w:t>De acuerdo con la NICSP 3- Políticas contables, cambios en las estimaciones contables y errores</w:t>
      </w:r>
      <w:r w:rsidR="00FB0858">
        <w:t>, i</w:t>
      </w:r>
      <w:r w:rsidR="0092145A">
        <w:t xml:space="preserve">ndicar si este rubro afecta SI o NO a la institución, </w:t>
      </w:r>
      <w:r w:rsidR="00405DBC" w:rsidRPr="00405DBC">
        <w:t>además del porcentaje de avance</w:t>
      </w:r>
      <w:r w:rsidR="00405DBC">
        <w:t xml:space="preserve"> en la implementación</w:t>
      </w:r>
      <w:r w:rsidR="00405DBC" w:rsidRPr="00405DBC">
        <w:t xml:space="preserve"> que presenta</w:t>
      </w:r>
      <w:r w:rsidR="00D16DB1">
        <w:t>.</w:t>
      </w:r>
      <w:r w:rsidR="0034451D">
        <w:fldChar w:fldCharType="begin"/>
      </w:r>
      <w:r w:rsidR="0034451D">
        <w:instrText xml:space="preserve"> LINK </w:instrText>
      </w:r>
      <w:r w:rsidR="00323752">
        <w:instrText xml:space="preserve">Excel.SheetMacroEnabled.12 "D:\\MORAVIA\\INSUMOS\\NOTAS 2024\\Formato_Notas_EEFF_Vinculadas_2024\\XXXXX_PXX_202X_Anexo_Estado_Notas_Contables_Vinculadas.xlsm" NICSP_3!F9C3:F10C4 </w:instrText>
      </w:r>
      <w:r w:rsidR="0034451D">
        <w:instrText xml:space="preserve">\a \f 4 \h </w:instrText>
      </w:r>
      <w:r w:rsidR="0034451D">
        <w:fldChar w:fldCharType="separate"/>
      </w:r>
    </w:p>
    <w:tbl>
      <w:tblPr>
        <w:tblW w:w="4360" w:type="dxa"/>
        <w:tblCellMar>
          <w:left w:w="70" w:type="dxa"/>
          <w:right w:w="70" w:type="dxa"/>
        </w:tblCellMar>
        <w:tblLook w:val="04A0" w:firstRow="1" w:lastRow="0" w:firstColumn="1" w:lastColumn="0" w:noHBand="0" w:noVBand="1"/>
      </w:tblPr>
      <w:tblGrid>
        <w:gridCol w:w="2420"/>
        <w:gridCol w:w="1940"/>
      </w:tblGrid>
      <w:tr w:rsidR="00694299" w:rsidRPr="00694299" w14:paraId="4A00C298" w14:textId="77777777" w:rsidTr="00694299">
        <w:trPr>
          <w:divId w:val="760951936"/>
          <w:trHeight w:val="324"/>
        </w:trPr>
        <w:tc>
          <w:tcPr>
            <w:tcW w:w="242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350C230A" w14:textId="6B547AA2"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91113"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Si</w:t>
            </w:r>
          </w:p>
        </w:tc>
      </w:tr>
      <w:tr w:rsidR="00694299" w:rsidRPr="00694299" w14:paraId="45A22B6F" w14:textId="77777777" w:rsidTr="00694299">
        <w:trPr>
          <w:divId w:val="760951936"/>
          <w:trHeight w:val="324"/>
        </w:trPr>
        <w:tc>
          <w:tcPr>
            <w:tcW w:w="2420" w:type="dxa"/>
            <w:tcBorders>
              <w:top w:val="nil"/>
              <w:left w:val="single" w:sz="8" w:space="0" w:color="auto"/>
              <w:bottom w:val="single" w:sz="8" w:space="0" w:color="auto"/>
              <w:right w:val="single" w:sz="8" w:space="0" w:color="auto"/>
            </w:tcBorders>
            <w:shd w:val="clear" w:color="000000" w:fill="17365D"/>
            <w:vAlign w:val="center"/>
            <w:hideMark/>
          </w:tcPr>
          <w:p w14:paraId="1A362001"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9769796"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90,00%</w:t>
            </w:r>
          </w:p>
        </w:tc>
      </w:tr>
    </w:tbl>
    <w:p w14:paraId="0D4FDC6A" w14:textId="1537BF88" w:rsidR="0092145A" w:rsidRPr="0034451D" w:rsidRDefault="0034451D" w:rsidP="0092145A">
      <w:r>
        <w:fldChar w:fldCharType="end"/>
      </w:r>
      <w:r w:rsidR="0092145A">
        <w:rPr>
          <w:b/>
          <w:sz w:val="16"/>
          <w:szCs w:val="16"/>
          <w:lang w:eastAsia="es-CR"/>
        </w:rPr>
        <w:t xml:space="preserve">    </w:t>
      </w:r>
      <w:r>
        <w:rPr>
          <w:b/>
          <w:sz w:val="16"/>
          <w:szCs w:val="16"/>
          <w:lang w:eastAsia="es-CR"/>
        </w:rPr>
        <w:t xml:space="preserve">                                          </w:t>
      </w:r>
      <w:r w:rsidR="0092145A">
        <w:rPr>
          <w:b/>
          <w:sz w:val="16"/>
          <w:szCs w:val="16"/>
          <w:lang w:eastAsia="es-CR"/>
        </w:rPr>
        <w:t xml:space="preserve"> </w:t>
      </w:r>
      <w:r w:rsidR="0092145A" w:rsidRPr="00C35565">
        <w:rPr>
          <w:b/>
          <w:sz w:val="16"/>
          <w:szCs w:val="16"/>
          <w:lang w:eastAsia="es-CR"/>
        </w:rPr>
        <w:t>-Aplicación Obligatoria-</w:t>
      </w:r>
    </w:p>
    <w:p w14:paraId="4E3654F9" w14:textId="1E022D7E" w:rsidR="0092145A" w:rsidRDefault="00F56F0E" w:rsidP="00F56F0E">
      <w:pPr>
        <w:jc w:val="center"/>
      </w:pPr>
      <w:r w:rsidRPr="0059406F">
        <w:rPr>
          <w:noProof/>
          <w:lang w:eastAsia="es-CR"/>
        </w:rPr>
        <w:drawing>
          <wp:inline distT="0" distB="0" distL="0" distR="0" wp14:anchorId="54980D0B" wp14:editId="683949C4">
            <wp:extent cx="4602480" cy="2301240"/>
            <wp:effectExtent l="0" t="0" r="0" b="0"/>
            <wp:docPr id="5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2480" cy="2301240"/>
                    </a:xfrm>
                    <a:prstGeom prst="rect">
                      <a:avLst/>
                    </a:prstGeom>
                    <a:noFill/>
                    <a:ln>
                      <a:noFill/>
                    </a:ln>
                  </pic:spPr>
                </pic:pic>
              </a:graphicData>
            </a:graphic>
          </wp:inline>
        </w:drawing>
      </w:r>
    </w:p>
    <w:p w14:paraId="2B0E1765" w14:textId="77777777" w:rsidR="00F56F0E" w:rsidRPr="004C209C" w:rsidRDefault="00F56F0E" w:rsidP="00F56F0E">
      <w:pPr>
        <w:rPr>
          <w:lang w:val="es-ES"/>
        </w:rPr>
      </w:pPr>
      <w:r w:rsidRPr="004C209C">
        <w:rPr>
          <w:lang w:val="es-ES"/>
        </w:rPr>
        <w:t>En el presente PGCN se establece, conjuntamente con las NICSP, la normativa que se deberá aplicar ante las siguientes situaciones:</w:t>
      </w:r>
    </w:p>
    <w:p w14:paraId="3DF954E9" w14:textId="77777777" w:rsidR="00F56F0E" w:rsidRPr="00F56F0E" w:rsidRDefault="00F56F0E">
      <w:pPr>
        <w:pStyle w:val="Prrafodelista"/>
        <w:numPr>
          <w:ilvl w:val="0"/>
          <w:numId w:val="2"/>
        </w:numPr>
        <w:rPr>
          <w:lang w:val="es-ES"/>
        </w:rPr>
      </w:pPr>
      <w:r w:rsidRPr="00F56F0E">
        <w:rPr>
          <w:lang w:val="es-AR"/>
        </w:rPr>
        <w:t>la selección y aplicación de políticas contables;</w:t>
      </w:r>
    </w:p>
    <w:p w14:paraId="7069B4AE" w14:textId="77777777" w:rsidR="00F56F0E" w:rsidRPr="00F56F0E" w:rsidRDefault="00F56F0E">
      <w:pPr>
        <w:pStyle w:val="Prrafodelista"/>
        <w:numPr>
          <w:ilvl w:val="0"/>
          <w:numId w:val="2"/>
        </w:numPr>
        <w:rPr>
          <w:lang w:val="es-ES"/>
        </w:rPr>
      </w:pPr>
      <w:r w:rsidRPr="00F56F0E">
        <w:rPr>
          <w:lang w:val="es-AR"/>
        </w:rPr>
        <w:t xml:space="preserve">la contabilización de los cambios en las mismas, en las estimaciones contables; y </w:t>
      </w:r>
    </w:p>
    <w:p w14:paraId="12D6261A" w14:textId="3E8CBA1D" w:rsidR="00982595" w:rsidRPr="00486EC5" w:rsidRDefault="00F56F0E">
      <w:pPr>
        <w:pStyle w:val="Prrafodelista"/>
        <w:numPr>
          <w:ilvl w:val="0"/>
          <w:numId w:val="2"/>
        </w:numPr>
        <w:rPr>
          <w:lang w:val="es-ES"/>
        </w:rPr>
      </w:pPr>
      <w:r w:rsidRPr="00F56F0E">
        <w:rPr>
          <w:lang w:val="es-AR"/>
        </w:rPr>
        <w:t>la corrección de errores de períodos anteriores.</w:t>
      </w:r>
    </w:p>
    <w:p w14:paraId="19A6BAF1" w14:textId="77777777" w:rsidR="00694299" w:rsidRPr="00694299" w:rsidRDefault="00707625" w:rsidP="00694299">
      <w:pPr>
        <w:pStyle w:val="Prrafodelista"/>
        <w:rPr>
          <w:lang w:val="es-ES"/>
        </w:rPr>
      </w:pPr>
      <w:r>
        <w:rPr>
          <w:lang w:val="es-ES"/>
        </w:rPr>
        <w:fldChar w:fldCharType="begin"/>
      </w:r>
      <w:r w:rsidRPr="001C7FD6">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NICSP_3!F15C3:F18C6 </w:instrText>
      </w:r>
      <w:r w:rsidRPr="001C7FD6">
        <w:rPr>
          <w:lang w:val="es-ES"/>
        </w:rPr>
        <w:instrText xml:space="preserve">\a \f 4 \h  \* MERGEFORMAT </w:instrText>
      </w:r>
      <w:r>
        <w:rPr>
          <w:lang w:val="es-ES"/>
        </w:rPr>
        <w:fldChar w:fldCharType="separate"/>
      </w:r>
    </w:p>
    <w:tbl>
      <w:tblPr>
        <w:tblW w:w="7911" w:type="dxa"/>
        <w:jc w:val="center"/>
        <w:tblCellMar>
          <w:left w:w="70" w:type="dxa"/>
          <w:right w:w="70" w:type="dxa"/>
        </w:tblCellMar>
        <w:tblLook w:val="04A0" w:firstRow="1" w:lastRow="0" w:firstColumn="1" w:lastColumn="0" w:noHBand="0" w:noVBand="1"/>
      </w:tblPr>
      <w:tblGrid>
        <w:gridCol w:w="2411"/>
        <w:gridCol w:w="1933"/>
        <w:gridCol w:w="1455"/>
        <w:gridCol w:w="2112"/>
      </w:tblGrid>
      <w:tr w:rsidR="00694299" w:rsidRPr="00694299" w14:paraId="3CF95992" w14:textId="77777777" w:rsidTr="00694299">
        <w:trPr>
          <w:divId w:val="788858272"/>
          <w:trHeight w:val="330"/>
          <w:jc w:val="center"/>
        </w:trPr>
        <w:tc>
          <w:tcPr>
            <w:tcW w:w="2411"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434DCDA6" w14:textId="20EF5BF0"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Cambio Estimación</w:t>
            </w:r>
          </w:p>
        </w:tc>
        <w:tc>
          <w:tcPr>
            <w:tcW w:w="1933" w:type="dxa"/>
            <w:tcBorders>
              <w:top w:val="single" w:sz="8" w:space="0" w:color="auto"/>
              <w:left w:val="nil"/>
              <w:bottom w:val="single" w:sz="8" w:space="0" w:color="auto"/>
              <w:right w:val="single" w:sz="8" w:space="0" w:color="auto"/>
            </w:tcBorders>
            <w:shd w:val="clear" w:color="000000" w:fill="1F3864"/>
            <w:noWrap/>
            <w:vAlign w:val="center"/>
            <w:hideMark/>
          </w:tcPr>
          <w:p w14:paraId="1AD729A1" w14:textId="77777777"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Naturaleza</w:t>
            </w:r>
          </w:p>
        </w:tc>
        <w:tc>
          <w:tcPr>
            <w:tcW w:w="1455" w:type="dxa"/>
            <w:tcBorders>
              <w:top w:val="single" w:sz="8" w:space="0" w:color="auto"/>
              <w:left w:val="nil"/>
              <w:bottom w:val="single" w:sz="8" w:space="0" w:color="auto"/>
              <w:right w:val="single" w:sz="8" w:space="0" w:color="auto"/>
            </w:tcBorders>
            <w:shd w:val="clear" w:color="000000" w:fill="1F3864"/>
            <w:noWrap/>
            <w:vAlign w:val="center"/>
            <w:hideMark/>
          </w:tcPr>
          <w:p w14:paraId="4B64D48A" w14:textId="77777777"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Periodo</w:t>
            </w:r>
          </w:p>
        </w:tc>
        <w:tc>
          <w:tcPr>
            <w:tcW w:w="2112" w:type="dxa"/>
            <w:tcBorders>
              <w:top w:val="single" w:sz="8" w:space="0" w:color="auto"/>
              <w:left w:val="nil"/>
              <w:bottom w:val="single" w:sz="8" w:space="0" w:color="auto"/>
              <w:right w:val="single" w:sz="8" w:space="0" w:color="auto"/>
            </w:tcBorders>
            <w:shd w:val="clear" w:color="000000" w:fill="1F3864"/>
            <w:noWrap/>
            <w:vAlign w:val="center"/>
            <w:hideMark/>
          </w:tcPr>
          <w:p w14:paraId="763A7DCF" w14:textId="77777777"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Efecto futuro</w:t>
            </w:r>
          </w:p>
        </w:tc>
      </w:tr>
      <w:tr w:rsidR="00694299" w:rsidRPr="00694299" w14:paraId="15F3DD9D" w14:textId="77777777" w:rsidTr="00694299">
        <w:trPr>
          <w:divId w:val="788858272"/>
          <w:trHeight w:val="343"/>
          <w:jc w:val="center"/>
        </w:trPr>
        <w:tc>
          <w:tcPr>
            <w:tcW w:w="2411" w:type="dxa"/>
            <w:tcBorders>
              <w:top w:val="nil"/>
              <w:left w:val="single" w:sz="8" w:space="0" w:color="auto"/>
              <w:bottom w:val="single" w:sz="8" w:space="0" w:color="auto"/>
              <w:right w:val="single" w:sz="8" w:space="0" w:color="auto"/>
            </w:tcBorders>
            <w:shd w:val="clear" w:color="auto" w:fill="auto"/>
            <w:noWrap/>
            <w:vAlign w:val="bottom"/>
            <w:hideMark/>
          </w:tcPr>
          <w:p w14:paraId="44EE1B1E"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1933" w:type="dxa"/>
            <w:tcBorders>
              <w:top w:val="nil"/>
              <w:left w:val="nil"/>
              <w:bottom w:val="single" w:sz="8" w:space="0" w:color="auto"/>
              <w:right w:val="single" w:sz="8" w:space="0" w:color="auto"/>
            </w:tcBorders>
            <w:shd w:val="clear" w:color="auto" w:fill="auto"/>
            <w:noWrap/>
            <w:vAlign w:val="bottom"/>
            <w:hideMark/>
          </w:tcPr>
          <w:p w14:paraId="7D932902"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1455" w:type="dxa"/>
            <w:tcBorders>
              <w:top w:val="nil"/>
              <w:left w:val="nil"/>
              <w:bottom w:val="single" w:sz="8" w:space="0" w:color="auto"/>
              <w:right w:val="single" w:sz="8" w:space="0" w:color="auto"/>
            </w:tcBorders>
            <w:shd w:val="clear" w:color="auto" w:fill="auto"/>
            <w:noWrap/>
            <w:vAlign w:val="bottom"/>
            <w:hideMark/>
          </w:tcPr>
          <w:p w14:paraId="11992D23"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2112" w:type="dxa"/>
            <w:tcBorders>
              <w:top w:val="nil"/>
              <w:left w:val="nil"/>
              <w:bottom w:val="single" w:sz="8" w:space="0" w:color="auto"/>
              <w:right w:val="single" w:sz="8" w:space="0" w:color="auto"/>
            </w:tcBorders>
            <w:shd w:val="clear" w:color="auto" w:fill="auto"/>
            <w:noWrap/>
            <w:vAlign w:val="bottom"/>
            <w:hideMark/>
          </w:tcPr>
          <w:p w14:paraId="3C65517C"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r>
      <w:tr w:rsidR="00694299" w:rsidRPr="00694299" w14:paraId="5E13488B" w14:textId="77777777" w:rsidTr="00694299">
        <w:trPr>
          <w:divId w:val="788858272"/>
          <w:trHeight w:val="343"/>
          <w:jc w:val="center"/>
        </w:trPr>
        <w:tc>
          <w:tcPr>
            <w:tcW w:w="2411" w:type="dxa"/>
            <w:tcBorders>
              <w:top w:val="nil"/>
              <w:left w:val="single" w:sz="8" w:space="0" w:color="auto"/>
              <w:bottom w:val="single" w:sz="8" w:space="0" w:color="auto"/>
              <w:right w:val="single" w:sz="8" w:space="0" w:color="auto"/>
            </w:tcBorders>
            <w:shd w:val="clear" w:color="auto" w:fill="auto"/>
            <w:noWrap/>
            <w:vAlign w:val="bottom"/>
            <w:hideMark/>
          </w:tcPr>
          <w:p w14:paraId="47898229"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1933" w:type="dxa"/>
            <w:tcBorders>
              <w:top w:val="nil"/>
              <w:left w:val="nil"/>
              <w:bottom w:val="single" w:sz="8" w:space="0" w:color="auto"/>
              <w:right w:val="single" w:sz="8" w:space="0" w:color="auto"/>
            </w:tcBorders>
            <w:shd w:val="clear" w:color="auto" w:fill="auto"/>
            <w:noWrap/>
            <w:vAlign w:val="bottom"/>
            <w:hideMark/>
          </w:tcPr>
          <w:p w14:paraId="01534C98"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1455" w:type="dxa"/>
            <w:tcBorders>
              <w:top w:val="nil"/>
              <w:left w:val="nil"/>
              <w:bottom w:val="single" w:sz="8" w:space="0" w:color="auto"/>
              <w:right w:val="single" w:sz="8" w:space="0" w:color="auto"/>
            </w:tcBorders>
            <w:shd w:val="clear" w:color="auto" w:fill="auto"/>
            <w:noWrap/>
            <w:vAlign w:val="bottom"/>
            <w:hideMark/>
          </w:tcPr>
          <w:p w14:paraId="73AE13B2"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2112" w:type="dxa"/>
            <w:tcBorders>
              <w:top w:val="nil"/>
              <w:left w:val="nil"/>
              <w:bottom w:val="single" w:sz="8" w:space="0" w:color="auto"/>
              <w:right w:val="single" w:sz="8" w:space="0" w:color="auto"/>
            </w:tcBorders>
            <w:shd w:val="clear" w:color="auto" w:fill="auto"/>
            <w:noWrap/>
            <w:vAlign w:val="bottom"/>
            <w:hideMark/>
          </w:tcPr>
          <w:p w14:paraId="78368182"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r>
      <w:tr w:rsidR="00694299" w:rsidRPr="00694299" w14:paraId="44EB0A0B" w14:textId="77777777" w:rsidTr="00694299">
        <w:trPr>
          <w:divId w:val="788858272"/>
          <w:trHeight w:val="343"/>
          <w:jc w:val="center"/>
        </w:trPr>
        <w:tc>
          <w:tcPr>
            <w:tcW w:w="2411" w:type="dxa"/>
            <w:tcBorders>
              <w:top w:val="nil"/>
              <w:left w:val="single" w:sz="8" w:space="0" w:color="auto"/>
              <w:bottom w:val="single" w:sz="8" w:space="0" w:color="auto"/>
              <w:right w:val="single" w:sz="8" w:space="0" w:color="auto"/>
            </w:tcBorders>
            <w:shd w:val="clear" w:color="auto" w:fill="auto"/>
            <w:noWrap/>
            <w:vAlign w:val="bottom"/>
            <w:hideMark/>
          </w:tcPr>
          <w:p w14:paraId="24D2E120"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1933" w:type="dxa"/>
            <w:tcBorders>
              <w:top w:val="nil"/>
              <w:left w:val="nil"/>
              <w:bottom w:val="single" w:sz="8" w:space="0" w:color="auto"/>
              <w:right w:val="single" w:sz="8" w:space="0" w:color="auto"/>
            </w:tcBorders>
            <w:shd w:val="clear" w:color="auto" w:fill="auto"/>
            <w:noWrap/>
            <w:vAlign w:val="bottom"/>
            <w:hideMark/>
          </w:tcPr>
          <w:p w14:paraId="4913604A"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1455" w:type="dxa"/>
            <w:tcBorders>
              <w:top w:val="nil"/>
              <w:left w:val="nil"/>
              <w:bottom w:val="single" w:sz="8" w:space="0" w:color="auto"/>
              <w:right w:val="single" w:sz="8" w:space="0" w:color="auto"/>
            </w:tcBorders>
            <w:shd w:val="clear" w:color="auto" w:fill="auto"/>
            <w:noWrap/>
            <w:vAlign w:val="bottom"/>
            <w:hideMark/>
          </w:tcPr>
          <w:p w14:paraId="0761E4A8"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2112" w:type="dxa"/>
            <w:tcBorders>
              <w:top w:val="nil"/>
              <w:left w:val="nil"/>
              <w:bottom w:val="single" w:sz="8" w:space="0" w:color="auto"/>
              <w:right w:val="single" w:sz="8" w:space="0" w:color="auto"/>
            </w:tcBorders>
            <w:shd w:val="clear" w:color="auto" w:fill="auto"/>
            <w:noWrap/>
            <w:vAlign w:val="bottom"/>
            <w:hideMark/>
          </w:tcPr>
          <w:p w14:paraId="518DB87A"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r>
    </w:tbl>
    <w:p w14:paraId="767769D2" w14:textId="77777777" w:rsidR="00694299" w:rsidRPr="00694299" w:rsidRDefault="00707625" w:rsidP="00707625">
      <w:pPr>
        <w:rPr>
          <w:lang w:val="es-ES"/>
        </w:rPr>
      </w:pPr>
      <w:r>
        <w:rPr>
          <w:lang w:val="es-ES"/>
        </w:rPr>
        <w:fldChar w:fldCharType="end"/>
      </w:r>
      <w:r>
        <w:rPr>
          <w:lang w:val="es-ES"/>
        </w:rPr>
        <w:fldChar w:fldCharType="begin"/>
      </w:r>
      <w:r>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NICSP_3!F15C8:F18C11 </w:instrText>
      </w:r>
      <w:r>
        <w:rPr>
          <w:lang w:val="es-ES"/>
        </w:rPr>
        <w:instrText xml:space="preserve">\a \f 4 \h  \* MERGEFORMAT </w:instrText>
      </w:r>
      <w:r>
        <w:rPr>
          <w:lang w:val="es-ES"/>
        </w:rPr>
        <w:fldChar w:fldCharType="separate"/>
      </w:r>
    </w:p>
    <w:tbl>
      <w:tblPr>
        <w:tblW w:w="7925" w:type="dxa"/>
        <w:jc w:val="center"/>
        <w:tblCellMar>
          <w:left w:w="70" w:type="dxa"/>
          <w:right w:w="70" w:type="dxa"/>
        </w:tblCellMar>
        <w:tblLook w:val="04A0" w:firstRow="1" w:lastRow="0" w:firstColumn="1" w:lastColumn="0" w:noHBand="0" w:noVBand="1"/>
      </w:tblPr>
      <w:tblGrid>
        <w:gridCol w:w="2359"/>
        <w:gridCol w:w="1956"/>
        <w:gridCol w:w="1472"/>
        <w:gridCol w:w="2138"/>
      </w:tblGrid>
      <w:tr w:rsidR="00694299" w:rsidRPr="00694299" w14:paraId="07955AD9" w14:textId="77777777" w:rsidTr="00694299">
        <w:trPr>
          <w:divId w:val="673841563"/>
          <w:trHeight w:val="314"/>
          <w:jc w:val="center"/>
        </w:trPr>
        <w:tc>
          <w:tcPr>
            <w:tcW w:w="2359"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27AE2D30" w14:textId="5F1CFF34"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Cambio Política Contable</w:t>
            </w:r>
          </w:p>
        </w:tc>
        <w:tc>
          <w:tcPr>
            <w:tcW w:w="1956" w:type="dxa"/>
            <w:tcBorders>
              <w:top w:val="single" w:sz="8" w:space="0" w:color="auto"/>
              <w:left w:val="nil"/>
              <w:bottom w:val="single" w:sz="8" w:space="0" w:color="auto"/>
              <w:right w:val="single" w:sz="8" w:space="0" w:color="auto"/>
            </w:tcBorders>
            <w:shd w:val="clear" w:color="000000" w:fill="1F3864"/>
            <w:noWrap/>
            <w:vAlign w:val="center"/>
            <w:hideMark/>
          </w:tcPr>
          <w:p w14:paraId="60084DF3" w14:textId="77777777"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Naturaleza</w:t>
            </w:r>
          </w:p>
        </w:tc>
        <w:tc>
          <w:tcPr>
            <w:tcW w:w="1472" w:type="dxa"/>
            <w:tcBorders>
              <w:top w:val="single" w:sz="8" w:space="0" w:color="auto"/>
              <w:left w:val="nil"/>
              <w:bottom w:val="single" w:sz="8" w:space="0" w:color="auto"/>
              <w:right w:val="single" w:sz="8" w:space="0" w:color="auto"/>
            </w:tcBorders>
            <w:shd w:val="clear" w:color="000000" w:fill="1F3864"/>
            <w:noWrap/>
            <w:vAlign w:val="center"/>
            <w:hideMark/>
          </w:tcPr>
          <w:p w14:paraId="39A33B82" w14:textId="77777777"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Periodo</w:t>
            </w:r>
          </w:p>
        </w:tc>
        <w:tc>
          <w:tcPr>
            <w:tcW w:w="2138" w:type="dxa"/>
            <w:tcBorders>
              <w:top w:val="single" w:sz="8" w:space="0" w:color="auto"/>
              <w:left w:val="nil"/>
              <w:bottom w:val="single" w:sz="8" w:space="0" w:color="auto"/>
              <w:right w:val="single" w:sz="8" w:space="0" w:color="auto"/>
            </w:tcBorders>
            <w:shd w:val="clear" w:color="000000" w:fill="1F3864"/>
            <w:noWrap/>
            <w:vAlign w:val="center"/>
            <w:hideMark/>
          </w:tcPr>
          <w:p w14:paraId="462EAC50" w14:textId="77777777"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Efecto futuro</w:t>
            </w:r>
          </w:p>
        </w:tc>
      </w:tr>
      <w:tr w:rsidR="00694299" w:rsidRPr="00694299" w14:paraId="05D50CF2" w14:textId="77777777" w:rsidTr="00694299">
        <w:trPr>
          <w:divId w:val="673841563"/>
          <w:trHeight w:val="328"/>
          <w:jc w:val="center"/>
        </w:trPr>
        <w:tc>
          <w:tcPr>
            <w:tcW w:w="2359" w:type="dxa"/>
            <w:tcBorders>
              <w:top w:val="nil"/>
              <w:left w:val="single" w:sz="8" w:space="0" w:color="auto"/>
              <w:bottom w:val="single" w:sz="8" w:space="0" w:color="auto"/>
              <w:right w:val="single" w:sz="8" w:space="0" w:color="auto"/>
            </w:tcBorders>
            <w:shd w:val="clear" w:color="auto" w:fill="auto"/>
            <w:noWrap/>
            <w:vAlign w:val="bottom"/>
            <w:hideMark/>
          </w:tcPr>
          <w:p w14:paraId="07CAEBE3"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1956" w:type="dxa"/>
            <w:tcBorders>
              <w:top w:val="nil"/>
              <w:left w:val="nil"/>
              <w:bottom w:val="single" w:sz="8" w:space="0" w:color="auto"/>
              <w:right w:val="single" w:sz="8" w:space="0" w:color="auto"/>
            </w:tcBorders>
            <w:shd w:val="clear" w:color="auto" w:fill="auto"/>
            <w:noWrap/>
            <w:vAlign w:val="bottom"/>
            <w:hideMark/>
          </w:tcPr>
          <w:p w14:paraId="0EC807A9"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1472" w:type="dxa"/>
            <w:tcBorders>
              <w:top w:val="nil"/>
              <w:left w:val="nil"/>
              <w:bottom w:val="single" w:sz="8" w:space="0" w:color="auto"/>
              <w:right w:val="single" w:sz="8" w:space="0" w:color="auto"/>
            </w:tcBorders>
            <w:shd w:val="clear" w:color="auto" w:fill="auto"/>
            <w:noWrap/>
            <w:vAlign w:val="bottom"/>
            <w:hideMark/>
          </w:tcPr>
          <w:p w14:paraId="2ADA879B"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2138" w:type="dxa"/>
            <w:tcBorders>
              <w:top w:val="nil"/>
              <w:left w:val="nil"/>
              <w:bottom w:val="single" w:sz="8" w:space="0" w:color="auto"/>
              <w:right w:val="single" w:sz="8" w:space="0" w:color="auto"/>
            </w:tcBorders>
            <w:shd w:val="clear" w:color="auto" w:fill="auto"/>
            <w:noWrap/>
            <w:vAlign w:val="bottom"/>
            <w:hideMark/>
          </w:tcPr>
          <w:p w14:paraId="1C911B67"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r>
      <w:tr w:rsidR="00694299" w:rsidRPr="00694299" w14:paraId="4BFE6B3C" w14:textId="77777777" w:rsidTr="00694299">
        <w:trPr>
          <w:divId w:val="673841563"/>
          <w:trHeight w:val="328"/>
          <w:jc w:val="center"/>
        </w:trPr>
        <w:tc>
          <w:tcPr>
            <w:tcW w:w="2359" w:type="dxa"/>
            <w:tcBorders>
              <w:top w:val="nil"/>
              <w:left w:val="single" w:sz="8" w:space="0" w:color="auto"/>
              <w:bottom w:val="single" w:sz="8" w:space="0" w:color="auto"/>
              <w:right w:val="single" w:sz="8" w:space="0" w:color="auto"/>
            </w:tcBorders>
            <w:shd w:val="clear" w:color="auto" w:fill="auto"/>
            <w:noWrap/>
            <w:vAlign w:val="bottom"/>
            <w:hideMark/>
          </w:tcPr>
          <w:p w14:paraId="595E612D"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1956" w:type="dxa"/>
            <w:tcBorders>
              <w:top w:val="nil"/>
              <w:left w:val="nil"/>
              <w:bottom w:val="single" w:sz="8" w:space="0" w:color="auto"/>
              <w:right w:val="single" w:sz="8" w:space="0" w:color="auto"/>
            </w:tcBorders>
            <w:shd w:val="clear" w:color="auto" w:fill="auto"/>
            <w:noWrap/>
            <w:vAlign w:val="bottom"/>
            <w:hideMark/>
          </w:tcPr>
          <w:p w14:paraId="14C2DD35"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1472" w:type="dxa"/>
            <w:tcBorders>
              <w:top w:val="nil"/>
              <w:left w:val="nil"/>
              <w:bottom w:val="single" w:sz="8" w:space="0" w:color="auto"/>
              <w:right w:val="single" w:sz="8" w:space="0" w:color="auto"/>
            </w:tcBorders>
            <w:shd w:val="clear" w:color="auto" w:fill="auto"/>
            <w:noWrap/>
            <w:vAlign w:val="bottom"/>
            <w:hideMark/>
          </w:tcPr>
          <w:p w14:paraId="12ACF646"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2138" w:type="dxa"/>
            <w:tcBorders>
              <w:top w:val="nil"/>
              <w:left w:val="nil"/>
              <w:bottom w:val="single" w:sz="8" w:space="0" w:color="auto"/>
              <w:right w:val="single" w:sz="8" w:space="0" w:color="auto"/>
            </w:tcBorders>
            <w:shd w:val="clear" w:color="auto" w:fill="auto"/>
            <w:noWrap/>
            <w:vAlign w:val="bottom"/>
            <w:hideMark/>
          </w:tcPr>
          <w:p w14:paraId="1070A1DE"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r>
      <w:tr w:rsidR="00694299" w:rsidRPr="00694299" w14:paraId="6B3DCDDE" w14:textId="77777777" w:rsidTr="00694299">
        <w:trPr>
          <w:divId w:val="673841563"/>
          <w:trHeight w:val="328"/>
          <w:jc w:val="center"/>
        </w:trPr>
        <w:tc>
          <w:tcPr>
            <w:tcW w:w="2359" w:type="dxa"/>
            <w:tcBorders>
              <w:top w:val="nil"/>
              <w:left w:val="single" w:sz="8" w:space="0" w:color="auto"/>
              <w:bottom w:val="single" w:sz="8" w:space="0" w:color="auto"/>
              <w:right w:val="single" w:sz="8" w:space="0" w:color="auto"/>
            </w:tcBorders>
            <w:shd w:val="clear" w:color="auto" w:fill="auto"/>
            <w:noWrap/>
            <w:vAlign w:val="bottom"/>
            <w:hideMark/>
          </w:tcPr>
          <w:p w14:paraId="7A64AF5D"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1956" w:type="dxa"/>
            <w:tcBorders>
              <w:top w:val="nil"/>
              <w:left w:val="nil"/>
              <w:bottom w:val="single" w:sz="8" w:space="0" w:color="auto"/>
              <w:right w:val="single" w:sz="8" w:space="0" w:color="auto"/>
            </w:tcBorders>
            <w:shd w:val="clear" w:color="auto" w:fill="auto"/>
            <w:noWrap/>
            <w:vAlign w:val="bottom"/>
            <w:hideMark/>
          </w:tcPr>
          <w:p w14:paraId="03A8896F"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1472" w:type="dxa"/>
            <w:tcBorders>
              <w:top w:val="nil"/>
              <w:left w:val="nil"/>
              <w:bottom w:val="single" w:sz="8" w:space="0" w:color="auto"/>
              <w:right w:val="single" w:sz="8" w:space="0" w:color="auto"/>
            </w:tcBorders>
            <w:shd w:val="clear" w:color="auto" w:fill="auto"/>
            <w:noWrap/>
            <w:vAlign w:val="bottom"/>
            <w:hideMark/>
          </w:tcPr>
          <w:p w14:paraId="73AD2A88"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2138" w:type="dxa"/>
            <w:tcBorders>
              <w:top w:val="nil"/>
              <w:left w:val="nil"/>
              <w:bottom w:val="single" w:sz="8" w:space="0" w:color="auto"/>
              <w:right w:val="single" w:sz="8" w:space="0" w:color="auto"/>
            </w:tcBorders>
            <w:shd w:val="clear" w:color="auto" w:fill="auto"/>
            <w:noWrap/>
            <w:vAlign w:val="bottom"/>
            <w:hideMark/>
          </w:tcPr>
          <w:p w14:paraId="5545A0FC"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r>
    </w:tbl>
    <w:p w14:paraId="7DC88E4D" w14:textId="77777777" w:rsidR="00694299" w:rsidRPr="00694299" w:rsidRDefault="00707625" w:rsidP="00707625">
      <w:pPr>
        <w:rPr>
          <w:lang w:val="es-ES"/>
        </w:rPr>
      </w:pPr>
      <w:r>
        <w:rPr>
          <w:lang w:val="es-ES"/>
        </w:rPr>
        <w:fldChar w:fldCharType="end"/>
      </w:r>
      <w:r>
        <w:rPr>
          <w:lang w:val="es-ES"/>
        </w:rPr>
        <w:fldChar w:fldCharType="begin"/>
      </w:r>
      <w:r>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NICSP_3!F15C13:F18C16 </w:instrText>
      </w:r>
      <w:r>
        <w:rPr>
          <w:lang w:val="es-ES"/>
        </w:rPr>
        <w:instrText xml:space="preserve">\a \f 4 \h  \* MERGEFORMAT </w:instrText>
      </w:r>
      <w:r>
        <w:rPr>
          <w:lang w:val="es-ES"/>
        </w:rPr>
        <w:fldChar w:fldCharType="separate"/>
      </w:r>
    </w:p>
    <w:tbl>
      <w:tblPr>
        <w:tblW w:w="7526" w:type="dxa"/>
        <w:jc w:val="center"/>
        <w:tblCellMar>
          <w:left w:w="70" w:type="dxa"/>
          <w:right w:w="70" w:type="dxa"/>
        </w:tblCellMar>
        <w:tblLook w:val="04A0" w:firstRow="1" w:lastRow="0" w:firstColumn="1" w:lastColumn="0" w:noHBand="0" w:noVBand="1"/>
      </w:tblPr>
      <w:tblGrid>
        <w:gridCol w:w="1957"/>
        <w:gridCol w:w="1957"/>
        <w:gridCol w:w="1473"/>
        <w:gridCol w:w="2139"/>
      </w:tblGrid>
      <w:tr w:rsidR="00694299" w:rsidRPr="00694299" w14:paraId="4B6CEC27" w14:textId="77777777" w:rsidTr="00694299">
        <w:trPr>
          <w:divId w:val="1676883278"/>
          <w:trHeight w:val="335"/>
          <w:jc w:val="center"/>
        </w:trPr>
        <w:tc>
          <w:tcPr>
            <w:tcW w:w="1957"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184435F4" w14:textId="5B8E510F"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Error</w:t>
            </w:r>
          </w:p>
        </w:tc>
        <w:tc>
          <w:tcPr>
            <w:tcW w:w="1957" w:type="dxa"/>
            <w:tcBorders>
              <w:top w:val="single" w:sz="8" w:space="0" w:color="auto"/>
              <w:left w:val="nil"/>
              <w:bottom w:val="single" w:sz="8" w:space="0" w:color="auto"/>
              <w:right w:val="single" w:sz="8" w:space="0" w:color="auto"/>
            </w:tcBorders>
            <w:shd w:val="clear" w:color="000000" w:fill="1F3864"/>
            <w:noWrap/>
            <w:vAlign w:val="center"/>
            <w:hideMark/>
          </w:tcPr>
          <w:p w14:paraId="0BD69F58" w14:textId="77777777"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Naturaleza</w:t>
            </w:r>
          </w:p>
        </w:tc>
        <w:tc>
          <w:tcPr>
            <w:tcW w:w="1473" w:type="dxa"/>
            <w:tcBorders>
              <w:top w:val="single" w:sz="8" w:space="0" w:color="auto"/>
              <w:left w:val="nil"/>
              <w:bottom w:val="single" w:sz="8" w:space="0" w:color="auto"/>
              <w:right w:val="single" w:sz="8" w:space="0" w:color="auto"/>
            </w:tcBorders>
            <w:shd w:val="clear" w:color="000000" w:fill="1F3864"/>
            <w:noWrap/>
            <w:vAlign w:val="center"/>
            <w:hideMark/>
          </w:tcPr>
          <w:p w14:paraId="43ABB44E" w14:textId="77777777"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Periodo</w:t>
            </w:r>
          </w:p>
        </w:tc>
        <w:tc>
          <w:tcPr>
            <w:tcW w:w="2139" w:type="dxa"/>
            <w:tcBorders>
              <w:top w:val="single" w:sz="8" w:space="0" w:color="auto"/>
              <w:left w:val="nil"/>
              <w:bottom w:val="single" w:sz="8" w:space="0" w:color="auto"/>
              <w:right w:val="single" w:sz="8" w:space="0" w:color="auto"/>
            </w:tcBorders>
            <w:shd w:val="clear" w:color="000000" w:fill="1F3864"/>
            <w:noWrap/>
            <w:vAlign w:val="center"/>
            <w:hideMark/>
          </w:tcPr>
          <w:p w14:paraId="2D30FD29" w14:textId="77777777"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Efecto futuro</w:t>
            </w:r>
          </w:p>
        </w:tc>
      </w:tr>
      <w:tr w:rsidR="00694299" w:rsidRPr="00694299" w14:paraId="18B8D97B" w14:textId="77777777" w:rsidTr="00694299">
        <w:trPr>
          <w:divId w:val="1676883278"/>
          <w:trHeight w:val="349"/>
          <w:jc w:val="center"/>
        </w:trPr>
        <w:tc>
          <w:tcPr>
            <w:tcW w:w="1957" w:type="dxa"/>
            <w:tcBorders>
              <w:top w:val="nil"/>
              <w:left w:val="single" w:sz="8" w:space="0" w:color="auto"/>
              <w:bottom w:val="single" w:sz="8" w:space="0" w:color="auto"/>
              <w:right w:val="single" w:sz="8" w:space="0" w:color="auto"/>
            </w:tcBorders>
            <w:shd w:val="clear" w:color="auto" w:fill="auto"/>
            <w:noWrap/>
            <w:vAlign w:val="bottom"/>
            <w:hideMark/>
          </w:tcPr>
          <w:p w14:paraId="2CAC8157"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1957" w:type="dxa"/>
            <w:tcBorders>
              <w:top w:val="nil"/>
              <w:left w:val="nil"/>
              <w:bottom w:val="single" w:sz="8" w:space="0" w:color="auto"/>
              <w:right w:val="single" w:sz="8" w:space="0" w:color="auto"/>
            </w:tcBorders>
            <w:shd w:val="clear" w:color="auto" w:fill="auto"/>
            <w:noWrap/>
            <w:vAlign w:val="bottom"/>
            <w:hideMark/>
          </w:tcPr>
          <w:p w14:paraId="70EAB308"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1473" w:type="dxa"/>
            <w:tcBorders>
              <w:top w:val="nil"/>
              <w:left w:val="nil"/>
              <w:bottom w:val="single" w:sz="8" w:space="0" w:color="auto"/>
              <w:right w:val="single" w:sz="8" w:space="0" w:color="auto"/>
            </w:tcBorders>
            <w:shd w:val="clear" w:color="auto" w:fill="auto"/>
            <w:noWrap/>
            <w:vAlign w:val="bottom"/>
            <w:hideMark/>
          </w:tcPr>
          <w:p w14:paraId="76E31E3B"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2139" w:type="dxa"/>
            <w:tcBorders>
              <w:top w:val="nil"/>
              <w:left w:val="nil"/>
              <w:bottom w:val="single" w:sz="8" w:space="0" w:color="auto"/>
              <w:right w:val="single" w:sz="8" w:space="0" w:color="auto"/>
            </w:tcBorders>
            <w:shd w:val="clear" w:color="auto" w:fill="auto"/>
            <w:noWrap/>
            <w:vAlign w:val="bottom"/>
            <w:hideMark/>
          </w:tcPr>
          <w:p w14:paraId="020BC608"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r>
      <w:tr w:rsidR="00694299" w:rsidRPr="00694299" w14:paraId="68BA7F9E" w14:textId="77777777" w:rsidTr="00694299">
        <w:trPr>
          <w:divId w:val="1676883278"/>
          <w:trHeight w:val="349"/>
          <w:jc w:val="center"/>
        </w:trPr>
        <w:tc>
          <w:tcPr>
            <w:tcW w:w="1957" w:type="dxa"/>
            <w:tcBorders>
              <w:top w:val="nil"/>
              <w:left w:val="single" w:sz="8" w:space="0" w:color="auto"/>
              <w:bottom w:val="single" w:sz="8" w:space="0" w:color="auto"/>
              <w:right w:val="single" w:sz="8" w:space="0" w:color="auto"/>
            </w:tcBorders>
            <w:shd w:val="clear" w:color="auto" w:fill="auto"/>
            <w:noWrap/>
            <w:vAlign w:val="bottom"/>
            <w:hideMark/>
          </w:tcPr>
          <w:p w14:paraId="067BFC7C"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1957" w:type="dxa"/>
            <w:tcBorders>
              <w:top w:val="nil"/>
              <w:left w:val="nil"/>
              <w:bottom w:val="single" w:sz="8" w:space="0" w:color="auto"/>
              <w:right w:val="single" w:sz="8" w:space="0" w:color="auto"/>
            </w:tcBorders>
            <w:shd w:val="clear" w:color="auto" w:fill="auto"/>
            <w:noWrap/>
            <w:vAlign w:val="bottom"/>
            <w:hideMark/>
          </w:tcPr>
          <w:p w14:paraId="5D91DF63"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1473" w:type="dxa"/>
            <w:tcBorders>
              <w:top w:val="nil"/>
              <w:left w:val="nil"/>
              <w:bottom w:val="single" w:sz="8" w:space="0" w:color="auto"/>
              <w:right w:val="single" w:sz="8" w:space="0" w:color="auto"/>
            </w:tcBorders>
            <w:shd w:val="clear" w:color="auto" w:fill="auto"/>
            <w:noWrap/>
            <w:vAlign w:val="bottom"/>
            <w:hideMark/>
          </w:tcPr>
          <w:p w14:paraId="4033B799"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2139" w:type="dxa"/>
            <w:tcBorders>
              <w:top w:val="nil"/>
              <w:left w:val="nil"/>
              <w:bottom w:val="single" w:sz="8" w:space="0" w:color="auto"/>
              <w:right w:val="single" w:sz="8" w:space="0" w:color="auto"/>
            </w:tcBorders>
            <w:shd w:val="clear" w:color="auto" w:fill="auto"/>
            <w:noWrap/>
            <w:vAlign w:val="bottom"/>
            <w:hideMark/>
          </w:tcPr>
          <w:p w14:paraId="1B17523C"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r>
      <w:tr w:rsidR="00694299" w:rsidRPr="00694299" w14:paraId="3B46A562" w14:textId="77777777" w:rsidTr="00694299">
        <w:trPr>
          <w:divId w:val="1676883278"/>
          <w:trHeight w:val="349"/>
          <w:jc w:val="center"/>
        </w:trPr>
        <w:tc>
          <w:tcPr>
            <w:tcW w:w="1957" w:type="dxa"/>
            <w:tcBorders>
              <w:top w:val="nil"/>
              <w:left w:val="single" w:sz="8" w:space="0" w:color="auto"/>
              <w:bottom w:val="single" w:sz="8" w:space="0" w:color="auto"/>
              <w:right w:val="single" w:sz="8" w:space="0" w:color="auto"/>
            </w:tcBorders>
            <w:shd w:val="clear" w:color="auto" w:fill="auto"/>
            <w:noWrap/>
            <w:vAlign w:val="bottom"/>
            <w:hideMark/>
          </w:tcPr>
          <w:p w14:paraId="55BEB69A"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1957" w:type="dxa"/>
            <w:tcBorders>
              <w:top w:val="nil"/>
              <w:left w:val="nil"/>
              <w:bottom w:val="single" w:sz="8" w:space="0" w:color="auto"/>
              <w:right w:val="single" w:sz="8" w:space="0" w:color="auto"/>
            </w:tcBorders>
            <w:shd w:val="clear" w:color="auto" w:fill="auto"/>
            <w:noWrap/>
            <w:vAlign w:val="bottom"/>
            <w:hideMark/>
          </w:tcPr>
          <w:p w14:paraId="1070027F"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1473" w:type="dxa"/>
            <w:tcBorders>
              <w:top w:val="nil"/>
              <w:left w:val="nil"/>
              <w:bottom w:val="single" w:sz="8" w:space="0" w:color="auto"/>
              <w:right w:val="single" w:sz="8" w:space="0" w:color="auto"/>
            </w:tcBorders>
            <w:shd w:val="clear" w:color="auto" w:fill="auto"/>
            <w:noWrap/>
            <w:vAlign w:val="bottom"/>
            <w:hideMark/>
          </w:tcPr>
          <w:p w14:paraId="341C7FBB"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2139" w:type="dxa"/>
            <w:tcBorders>
              <w:top w:val="nil"/>
              <w:left w:val="nil"/>
              <w:bottom w:val="single" w:sz="8" w:space="0" w:color="auto"/>
              <w:right w:val="single" w:sz="8" w:space="0" w:color="auto"/>
            </w:tcBorders>
            <w:shd w:val="clear" w:color="auto" w:fill="auto"/>
            <w:noWrap/>
            <w:vAlign w:val="bottom"/>
            <w:hideMark/>
          </w:tcPr>
          <w:p w14:paraId="445CE840"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r>
    </w:tbl>
    <w:p w14:paraId="2DB89A8D" w14:textId="3EBEAD13" w:rsidR="00707625" w:rsidRDefault="00707625" w:rsidP="00707625">
      <w:pPr>
        <w:rPr>
          <w:lang w:val="es-ES"/>
        </w:rPr>
      </w:pPr>
      <w:r>
        <w:rPr>
          <w:lang w:val="es-ES"/>
        </w:rPr>
        <w:fldChar w:fldCharType="end"/>
      </w:r>
    </w:p>
    <w:p w14:paraId="5D19922E" w14:textId="77777777" w:rsidR="00A4562C" w:rsidRDefault="003516A2" w:rsidP="00A4562C">
      <w:pPr>
        <w:spacing w:line="240" w:lineRule="auto"/>
        <w:rPr>
          <w:b/>
          <w:color w:val="FFFFFF" w:themeColor="background1"/>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6A3528C5" w14:textId="25CDA401" w:rsidR="00A4562C" w:rsidRPr="00D35102" w:rsidRDefault="00A4562C" w:rsidP="00A4562C">
      <w:pPr>
        <w:spacing w:line="240" w:lineRule="auto"/>
        <w:rPr>
          <w:bCs/>
        </w:rPr>
      </w:pPr>
      <w:r w:rsidRPr="00D35102">
        <w:rPr>
          <w:bCs/>
        </w:rPr>
        <w:t xml:space="preserve">En ausencia de una NICSP que sea aplicable específicamente a una transacción o a otros hechos o condiciones, </w:t>
      </w:r>
      <w:r>
        <w:rPr>
          <w:bCs/>
        </w:rPr>
        <w:t xml:space="preserve">se </w:t>
      </w:r>
      <w:r w:rsidRPr="00D35102">
        <w:rPr>
          <w:bCs/>
        </w:rPr>
        <w:t>usa su juicio en el desarrollo y aplicación de una política contable, a fin de suministrar información</w:t>
      </w:r>
      <w:r>
        <w:rPr>
          <w:bCs/>
        </w:rPr>
        <w:t>.</w:t>
      </w:r>
    </w:p>
    <w:p w14:paraId="146A0202" w14:textId="77777777" w:rsidR="00A4562C" w:rsidRPr="00D35102" w:rsidRDefault="00A4562C" w:rsidP="00A4562C">
      <w:pPr>
        <w:spacing w:line="240" w:lineRule="auto"/>
        <w:rPr>
          <w:bCs/>
        </w:rPr>
      </w:pPr>
      <w:r w:rsidRPr="00D35102">
        <w:rPr>
          <w:bCs/>
        </w:rPr>
        <w:t>Al realizar los juicios profesionales descritos anteriormente, se refiere, en orden descendente, a las siguientes fuentes y considera su aplicabilidad:</w:t>
      </w:r>
    </w:p>
    <w:p w14:paraId="41DBC48B" w14:textId="77777777" w:rsidR="00A4562C" w:rsidRPr="00D35102" w:rsidRDefault="00A4562C" w:rsidP="00A4562C">
      <w:pPr>
        <w:spacing w:line="240" w:lineRule="auto"/>
        <w:rPr>
          <w:bCs/>
        </w:rPr>
      </w:pPr>
      <w:r w:rsidRPr="00D35102">
        <w:rPr>
          <w:bCs/>
        </w:rPr>
        <w:t>(a) los requerimientos de las NICSP que traten temas similares y</w:t>
      </w:r>
      <w:r>
        <w:rPr>
          <w:bCs/>
        </w:rPr>
        <w:t xml:space="preserve"> </w:t>
      </w:r>
      <w:r w:rsidRPr="00D35102">
        <w:rPr>
          <w:bCs/>
        </w:rPr>
        <w:t>relacionados; y</w:t>
      </w:r>
    </w:p>
    <w:p w14:paraId="270FDCB8" w14:textId="77777777" w:rsidR="00A4562C" w:rsidRDefault="00A4562C" w:rsidP="00A4562C">
      <w:pPr>
        <w:spacing w:line="240" w:lineRule="auto"/>
        <w:rPr>
          <w:bCs/>
        </w:rPr>
      </w:pPr>
      <w:r w:rsidRPr="00D35102">
        <w:rPr>
          <w:bCs/>
        </w:rPr>
        <w:t>(b) Las definiciones, criterios de reconocimiento y medición de activos, pasivos, ingresos y gastos establecidos en otras NICSP."</w:t>
      </w:r>
    </w:p>
    <w:p w14:paraId="3565C6F6" w14:textId="75D2040A" w:rsidR="00586B6D" w:rsidRDefault="00586B6D" w:rsidP="00A4562C">
      <w:pPr>
        <w:spacing w:line="240" w:lineRule="auto"/>
        <w:rPr>
          <w:bCs/>
        </w:rPr>
      </w:pPr>
      <w:r>
        <w:rPr>
          <w:bCs/>
        </w:rPr>
        <w:t>Todos los errores materiales de periodos anteriores son corregidos retrospectivamente en el primer conjunto de estados financieros autorizados. En aquellos casos en que no sea claro si se trata de un cambio de política o de estimación, la transacción resultante se tratará como un cambio en un estimado contable.</w:t>
      </w:r>
    </w:p>
    <w:p w14:paraId="5E05657F" w14:textId="6C767759" w:rsidR="00586B6D" w:rsidRPr="00D35102" w:rsidRDefault="00D516B1" w:rsidP="00A4562C">
      <w:pPr>
        <w:spacing w:line="240" w:lineRule="auto"/>
        <w:rPr>
          <w:bCs/>
        </w:rPr>
      </w:pPr>
      <w:r>
        <w:rPr>
          <w:bCs/>
        </w:rPr>
        <w:t xml:space="preserve">Un cambio en una política contable se contabiliza según los requerimientos de transición definidos en el </w:t>
      </w:r>
      <w:r w:rsidR="004653E2">
        <w:rPr>
          <w:bCs/>
        </w:rPr>
        <w:t>pronunciamiento,</w:t>
      </w:r>
      <w:r>
        <w:rPr>
          <w:bCs/>
        </w:rPr>
        <w:t xml:space="preserve"> si no se específica ninguno o el cambio es voluntario la nueva política se aplica retrospectivamente mediante reemitiendo los periodos anteriores y en caso de que la remisión sea impracticable el efecto acumulado de la nueva política se aplicará prospectivamente. </w:t>
      </w:r>
      <w:r w:rsidR="00586B6D">
        <w:rPr>
          <w:bCs/>
        </w:rPr>
        <w:t>Los cambios en estimaciones contables se contabilizan en el periodo corriente o en los periodos futuros.</w:t>
      </w:r>
    </w:p>
    <w:p w14:paraId="0E4C7D41" w14:textId="77777777" w:rsidR="003516A2" w:rsidRDefault="003516A2" w:rsidP="003516A2">
      <w:pPr>
        <w:spacing w:line="240" w:lineRule="auto"/>
        <w:rPr>
          <w:b/>
          <w:u w:val="single"/>
        </w:rPr>
      </w:pPr>
    </w:p>
    <w:p w14:paraId="276DE22F" w14:textId="77777777" w:rsidR="003516A2" w:rsidRPr="003516A2" w:rsidRDefault="003516A2" w:rsidP="003516A2">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3A608230" w14:textId="0A9DFBCA" w:rsidR="00A4562C" w:rsidRPr="00D35102" w:rsidRDefault="00A4562C" w:rsidP="00A4562C">
      <w:pPr>
        <w:spacing w:line="240" w:lineRule="auto"/>
        <w:rPr>
          <w:bCs/>
        </w:rPr>
      </w:pPr>
      <w:r w:rsidRPr="00D35102">
        <w:rPr>
          <w:bCs/>
        </w:rPr>
        <w:t>Un cambio en la política contable que resulta de la aplicación inicial de una NICSP se contabiliza de acuerdo con las disposiciones transitorias específicas</w:t>
      </w:r>
      <w:r w:rsidR="00586B6D">
        <w:rPr>
          <w:bCs/>
        </w:rPr>
        <w:t xml:space="preserve"> en esta norma y las respectivas</w:t>
      </w:r>
      <w:r w:rsidRPr="00D35102">
        <w:rPr>
          <w:bCs/>
        </w:rPr>
        <w:t xml:space="preserve"> </w:t>
      </w:r>
      <w:r w:rsidR="00586B6D">
        <w:rPr>
          <w:bCs/>
        </w:rPr>
        <w:t>n</w:t>
      </w:r>
      <w:r w:rsidRPr="00D35102">
        <w:rPr>
          <w:bCs/>
        </w:rPr>
        <w:t>orma</w:t>
      </w:r>
      <w:r w:rsidR="00586B6D">
        <w:rPr>
          <w:bCs/>
        </w:rPr>
        <w:t>s</w:t>
      </w:r>
      <w:r w:rsidRPr="00D35102">
        <w:rPr>
          <w:bCs/>
        </w:rPr>
        <w:t xml:space="preserve"> </w:t>
      </w:r>
      <w:r w:rsidR="00586B6D">
        <w:rPr>
          <w:bCs/>
        </w:rPr>
        <w:t>i</w:t>
      </w:r>
      <w:r w:rsidRPr="00D35102">
        <w:rPr>
          <w:bCs/>
        </w:rPr>
        <w:t>nternacional</w:t>
      </w:r>
      <w:r w:rsidR="00586B6D">
        <w:rPr>
          <w:bCs/>
        </w:rPr>
        <w:t>es</w:t>
      </w:r>
      <w:r w:rsidRPr="00D35102">
        <w:rPr>
          <w:bCs/>
        </w:rPr>
        <w:t xml:space="preserve"> de </w:t>
      </w:r>
      <w:r w:rsidR="00586B6D">
        <w:rPr>
          <w:bCs/>
        </w:rPr>
        <w:t>c</w:t>
      </w:r>
      <w:r w:rsidRPr="00D35102">
        <w:rPr>
          <w:bCs/>
        </w:rPr>
        <w:t xml:space="preserve">ontabilidad del </w:t>
      </w:r>
      <w:r w:rsidR="00586B6D">
        <w:rPr>
          <w:bCs/>
        </w:rPr>
        <w:t>s</w:t>
      </w:r>
      <w:r w:rsidRPr="00D35102">
        <w:rPr>
          <w:bCs/>
        </w:rPr>
        <w:t>ector</w:t>
      </w:r>
      <w:r w:rsidR="00586B6D">
        <w:rPr>
          <w:bCs/>
        </w:rPr>
        <w:t xml:space="preserve"> p</w:t>
      </w:r>
      <w:r w:rsidRPr="00D35102">
        <w:rPr>
          <w:bCs/>
        </w:rPr>
        <w:t>úblico</w:t>
      </w:r>
      <w:r w:rsidR="00586B6D">
        <w:rPr>
          <w:bCs/>
        </w:rPr>
        <w:t xml:space="preserve"> relacionadas</w:t>
      </w:r>
      <w:r w:rsidR="00586B6D" w:rsidRPr="00D35102">
        <w:rPr>
          <w:bCs/>
        </w:rPr>
        <w:t xml:space="preserve"> si las hay</w:t>
      </w:r>
      <w:r>
        <w:rPr>
          <w:bCs/>
        </w:rPr>
        <w:t>.</w:t>
      </w:r>
      <w:r w:rsidR="00586B6D">
        <w:rPr>
          <w:bCs/>
        </w:rPr>
        <w:t xml:space="preserve"> Asimismo, cuando</w:t>
      </w:r>
      <w:r w:rsidRPr="00D35102">
        <w:rPr>
          <w:bCs/>
        </w:rPr>
        <w:t xml:space="preserve"> se cometen errores</w:t>
      </w:r>
      <w:r>
        <w:rPr>
          <w:bCs/>
        </w:rPr>
        <w:t xml:space="preserve"> </w:t>
      </w:r>
      <w:r w:rsidR="00D516B1">
        <w:rPr>
          <w:bCs/>
        </w:rPr>
        <w:t>materiales realiza el ajuste por el monto establecido del error retrospectivamente y cuando se cambia una estimación</w:t>
      </w:r>
      <w:r w:rsidR="00311798">
        <w:rPr>
          <w:bCs/>
        </w:rPr>
        <w:t>,</w:t>
      </w:r>
      <w:r w:rsidR="00D516B1">
        <w:rPr>
          <w:bCs/>
        </w:rPr>
        <w:t xml:space="preserve"> el monto</w:t>
      </w:r>
      <w:r w:rsidR="00311798">
        <w:rPr>
          <w:bCs/>
        </w:rPr>
        <w:t xml:space="preserve"> por ajustar será el</w:t>
      </w:r>
      <w:r w:rsidR="00D516B1">
        <w:rPr>
          <w:bCs/>
        </w:rPr>
        <w:t xml:space="preserve"> resultante de </w:t>
      </w:r>
      <w:r w:rsidR="00311798">
        <w:rPr>
          <w:bCs/>
        </w:rPr>
        <w:t>comparar la estimación anterior con la nueva estimación y se registra en el periodo corriente o en los periodos futuros</w:t>
      </w:r>
      <w:r w:rsidR="00D516B1">
        <w:rPr>
          <w:bCs/>
        </w:rPr>
        <w:t>. Además</w:t>
      </w:r>
      <w:r w:rsidR="00311798">
        <w:rPr>
          <w:bCs/>
        </w:rPr>
        <w:t>,</w:t>
      </w:r>
      <w:r w:rsidR="00D516B1">
        <w:rPr>
          <w:bCs/>
        </w:rPr>
        <w:t xml:space="preserve"> en </w:t>
      </w:r>
      <w:r w:rsidR="00311798">
        <w:rPr>
          <w:bCs/>
        </w:rPr>
        <w:t>todos los</w:t>
      </w:r>
      <w:r w:rsidR="00D516B1">
        <w:rPr>
          <w:bCs/>
        </w:rPr>
        <w:t xml:space="preserve"> casos </w:t>
      </w:r>
      <w:r>
        <w:rPr>
          <w:bCs/>
        </w:rPr>
        <w:t>se hace la revelación</w:t>
      </w:r>
      <w:r w:rsidR="00586B6D">
        <w:rPr>
          <w:bCs/>
        </w:rPr>
        <w:t xml:space="preserve"> respectiva en las notas a los EEFF</w:t>
      </w:r>
      <w:r>
        <w:rPr>
          <w:bCs/>
        </w:rPr>
        <w:t>.</w:t>
      </w:r>
    </w:p>
    <w:p w14:paraId="5A4F71D8" w14:textId="77777777" w:rsidR="003516A2" w:rsidRPr="00A4562C" w:rsidRDefault="003516A2" w:rsidP="00707625"/>
    <w:p w14:paraId="446E2091" w14:textId="009F619A" w:rsidR="00F56F0E" w:rsidRPr="005D574A" w:rsidRDefault="00F56F0E" w:rsidP="005D574A">
      <w:pPr>
        <w:rPr>
          <w:b/>
          <w:u w:val="single"/>
        </w:rPr>
      </w:pPr>
      <w:r w:rsidRPr="003516A2">
        <w:rPr>
          <w:b/>
          <w:color w:val="FFFFFF" w:themeColor="background1"/>
          <w:highlight w:val="darkBlue"/>
          <w:u w:val="single"/>
        </w:rPr>
        <w:t>Revelación Suficiente:</w:t>
      </w:r>
      <w:r w:rsidRPr="005D574A">
        <w:rPr>
          <w:b/>
          <w:u w:val="single"/>
        </w:rPr>
        <w:t xml:space="preserve"> El ente debe cumplir con lo estipulado en revelación con forme a la NICSP, también debe considerar la política general y los párrafos incluidos en la matriz de autoevaluación referente a esta NICSP y guías de aplicación (Ver GA NICSP 3).</w:t>
      </w:r>
    </w:p>
    <w:p w14:paraId="62C123BA" w14:textId="77777777" w:rsidR="00D74068" w:rsidRDefault="00D74068" w:rsidP="00D74068">
      <w:pPr>
        <w:spacing w:after="0" w:line="240" w:lineRule="auto"/>
        <w:rPr>
          <w:lang w:val="es-ES"/>
        </w:rPr>
      </w:pPr>
      <w:r w:rsidRPr="005C6BF2">
        <w:rPr>
          <w:lang w:val="es-ES"/>
        </w:rPr>
        <w:t xml:space="preserve">La Municipalidad de Buenos Aires inicio la implementación de las NICSP en febrero de 2021 y presentó los </w:t>
      </w:r>
      <w:r>
        <w:rPr>
          <w:lang w:val="es-ES"/>
        </w:rPr>
        <w:t xml:space="preserve">primeros </w:t>
      </w:r>
      <w:r w:rsidRPr="005C6BF2">
        <w:rPr>
          <w:lang w:val="es-ES"/>
        </w:rPr>
        <w:t xml:space="preserve">estados financieros </w:t>
      </w:r>
      <w:r>
        <w:rPr>
          <w:lang w:val="es-ES"/>
        </w:rPr>
        <w:t xml:space="preserve">de transición </w:t>
      </w:r>
      <w:r w:rsidRPr="005C6BF2">
        <w:rPr>
          <w:lang w:val="es-ES"/>
        </w:rPr>
        <w:t xml:space="preserve">bajo ese marco normativo en el primer trimestre del año 2021. Sobre el particular debe indicarse, que previo a esa fecha el ayuntamiento no llevaba contabilidad patrimonial solo presupuestaria. </w:t>
      </w:r>
    </w:p>
    <w:p w14:paraId="26848CBC" w14:textId="77777777" w:rsidR="00D74068" w:rsidRDefault="00D74068" w:rsidP="00D74068">
      <w:pPr>
        <w:spacing w:after="0" w:line="240" w:lineRule="auto"/>
        <w:rPr>
          <w:lang w:val="es-ES"/>
        </w:rPr>
      </w:pPr>
    </w:p>
    <w:p w14:paraId="4617CCEE" w14:textId="77777777" w:rsidR="00D74068" w:rsidRPr="005C6BF2" w:rsidRDefault="00D74068" w:rsidP="00D74068">
      <w:pPr>
        <w:spacing w:after="0" w:line="240" w:lineRule="auto"/>
        <w:rPr>
          <w:lang w:val="es-ES"/>
        </w:rPr>
      </w:pPr>
      <w:r w:rsidRPr="005C6BF2">
        <w:rPr>
          <w:lang w:val="es-ES"/>
        </w:rPr>
        <w:t xml:space="preserve">Por lo anterior, con la implementación de las NICSP </w:t>
      </w:r>
      <w:r>
        <w:rPr>
          <w:lang w:val="es-ES"/>
        </w:rPr>
        <w:t xml:space="preserve">en la fecha señalada, </w:t>
      </w:r>
      <w:r w:rsidRPr="005C6BF2">
        <w:rPr>
          <w:lang w:val="es-ES"/>
        </w:rPr>
        <w:t xml:space="preserve">se inició el establecimiento de las políticas contables pertinentes, las que se han mantenido por lo que durante el periodo de informe no se han presentado cambios en esas políticas contables que tengan efectos: a) en el periodo corriente o en algún período anterior, b) en el periodo si no fuera impracticable determinar el importe del ajuste, o c) sobre periodos futuros. </w:t>
      </w:r>
      <w:r>
        <w:rPr>
          <w:lang w:val="es-ES"/>
        </w:rPr>
        <w:t>Por otra parte, t</w:t>
      </w:r>
      <w:r w:rsidRPr="005C6BF2">
        <w:rPr>
          <w:lang w:val="es-ES"/>
        </w:rPr>
        <w:t>ampoco se han realizado cambios en las estimaciones contables</w:t>
      </w:r>
      <w:r>
        <w:rPr>
          <w:lang w:val="es-ES"/>
        </w:rPr>
        <w:t xml:space="preserve"> implementadas bajo los requerimientos de las NICSP</w:t>
      </w:r>
      <w:r w:rsidRPr="005C6BF2">
        <w:rPr>
          <w:lang w:val="es-ES"/>
        </w:rPr>
        <w:t xml:space="preserve">, ni se han corregido errores que hayan producido efectos en el periodo corriente, </w:t>
      </w:r>
      <w:r>
        <w:rPr>
          <w:lang w:val="es-ES"/>
        </w:rPr>
        <w:t xml:space="preserve">en periodos anteriores, </w:t>
      </w:r>
      <w:r w:rsidRPr="005C6BF2">
        <w:rPr>
          <w:lang w:val="es-ES"/>
        </w:rPr>
        <w:t xml:space="preserve">o que se espere vayan a producir en períodos futuros. </w:t>
      </w:r>
    </w:p>
    <w:p w14:paraId="1A1DAEFD" w14:textId="77777777" w:rsidR="00D74068" w:rsidRPr="005C6BF2" w:rsidRDefault="00D74068" w:rsidP="00D74068">
      <w:pPr>
        <w:spacing w:after="0" w:line="240" w:lineRule="auto"/>
        <w:rPr>
          <w:lang w:val="es-ES"/>
        </w:rPr>
      </w:pPr>
    </w:p>
    <w:p w14:paraId="7FCEE24B" w14:textId="660A22EB" w:rsidR="00D74068" w:rsidRDefault="00D74068" w:rsidP="00D74068">
      <w:pPr>
        <w:spacing w:after="0" w:line="240" w:lineRule="auto"/>
        <w:rPr>
          <w:lang w:val="es-ES"/>
        </w:rPr>
      </w:pPr>
      <w:r w:rsidRPr="005C6BF2">
        <w:rPr>
          <w:lang w:val="es-ES"/>
        </w:rPr>
        <w:t xml:space="preserve">Además, </w:t>
      </w:r>
      <w:r>
        <w:rPr>
          <w:lang w:val="es-ES"/>
        </w:rPr>
        <w:t xml:space="preserve">tal como se indica en la Matriz de NICSP y Plan de Acción </w:t>
      </w:r>
      <w:r w:rsidRPr="005C6BF2">
        <w:rPr>
          <w:lang w:val="es-ES"/>
        </w:rPr>
        <w:t>debe señalarse que</w:t>
      </w:r>
      <w:r>
        <w:rPr>
          <w:lang w:val="es-ES"/>
        </w:rPr>
        <w:t>,</w:t>
      </w:r>
      <w:r w:rsidRPr="005C6BF2">
        <w:rPr>
          <w:lang w:val="es-ES"/>
        </w:rPr>
        <w:t xml:space="preserve"> como parte del proceso de implementación se está trabajando en concluir con el establecimiento de las políticas particulares aplicables a algunos tipos de transacciones, eventos o condiciones, aplicando lo establecido en las Normas respectivas</w:t>
      </w:r>
      <w:r>
        <w:rPr>
          <w:lang w:val="es-ES"/>
        </w:rPr>
        <w:t xml:space="preserve"> en cada caso y ajustar el sistema contable </w:t>
      </w:r>
      <w:r w:rsidR="00A4562C">
        <w:rPr>
          <w:lang w:val="es-ES"/>
        </w:rPr>
        <w:t>en caso de que</w:t>
      </w:r>
      <w:r>
        <w:rPr>
          <w:lang w:val="es-ES"/>
        </w:rPr>
        <w:t xml:space="preserve"> corresponda.</w:t>
      </w:r>
    </w:p>
    <w:p w14:paraId="7E87914C" w14:textId="77777777" w:rsidR="00586B6D" w:rsidRDefault="00586B6D" w:rsidP="00D74068">
      <w:pPr>
        <w:spacing w:after="0" w:line="240" w:lineRule="auto"/>
        <w:rPr>
          <w:lang w:val="es-ES"/>
        </w:rPr>
      </w:pPr>
    </w:p>
    <w:p w14:paraId="069573C5" w14:textId="6DE0D022" w:rsidR="00A4562C" w:rsidRPr="00A4562C" w:rsidRDefault="00A4562C" w:rsidP="00A4562C">
      <w:pPr>
        <w:spacing w:line="240" w:lineRule="auto"/>
        <w:rPr>
          <w:rStyle w:val="nfasis"/>
          <w:i w:val="0"/>
          <w:iCs w:val="0"/>
          <w:szCs w:val="24"/>
        </w:rPr>
      </w:pPr>
      <w:r w:rsidRPr="00A4562C">
        <w:rPr>
          <w:rStyle w:val="nfasis"/>
          <w:i w:val="0"/>
          <w:iCs w:val="0"/>
          <w:szCs w:val="24"/>
        </w:rPr>
        <w:t xml:space="preserve">De conformidad con el esfuerzo institucional, razonablemente se está atendido lo correspondiente y en lo que le aplica los requisitos referidos al reconocimiento y medición.  En cuanto a revelaciones relacionados con cambios en políticas contables, está en proceso de actualización del marco normativo interno orientado a generar políticas </w:t>
      </w:r>
      <w:r>
        <w:rPr>
          <w:rStyle w:val="nfasis"/>
          <w:i w:val="0"/>
          <w:iCs w:val="0"/>
          <w:szCs w:val="24"/>
        </w:rPr>
        <w:t xml:space="preserve">y procedimientos </w:t>
      </w:r>
      <w:r w:rsidRPr="00A4562C">
        <w:rPr>
          <w:rStyle w:val="nfasis"/>
          <w:i w:val="0"/>
          <w:iCs w:val="0"/>
          <w:szCs w:val="24"/>
        </w:rPr>
        <w:t>que permitan suministrar información fiable y relevante sobre los efectos de las transacciones, otros eventos y condiciones que afecten la situación financiera, el rendimiento financiero o los flujos de efectivo de la Municipalidad.</w:t>
      </w:r>
    </w:p>
    <w:p w14:paraId="0AF9F3B8" w14:textId="611762E8" w:rsidR="00A4562C" w:rsidRPr="00B80019" w:rsidRDefault="00A4562C" w:rsidP="00A4562C">
      <w:pPr>
        <w:spacing w:line="240" w:lineRule="auto"/>
        <w:rPr>
          <w:rStyle w:val="nfasis"/>
          <w:i w:val="0"/>
          <w:iCs w:val="0"/>
          <w:szCs w:val="24"/>
        </w:rPr>
      </w:pPr>
      <w:r w:rsidRPr="00B80019">
        <w:rPr>
          <w:rStyle w:val="nfasis"/>
          <w:i w:val="0"/>
          <w:iCs w:val="0"/>
          <w:szCs w:val="24"/>
        </w:rPr>
        <w:t xml:space="preserve">En general el plan </w:t>
      </w:r>
      <w:r>
        <w:rPr>
          <w:rStyle w:val="nfasis"/>
          <w:i w:val="0"/>
          <w:iCs w:val="0"/>
          <w:szCs w:val="24"/>
        </w:rPr>
        <w:t>de acción</w:t>
      </w:r>
      <w:r w:rsidRPr="00B80019">
        <w:rPr>
          <w:rStyle w:val="nfasis"/>
          <w:i w:val="0"/>
          <w:iCs w:val="0"/>
          <w:szCs w:val="24"/>
        </w:rPr>
        <w:t xml:space="preserve"> para el cierre de brechas según los resultados de la autoevaluación al </w:t>
      </w:r>
      <w:r w:rsidR="00D470B6">
        <w:rPr>
          <w:rStyle w:val="nfasis"/>
          <w:i w:val="0"/>
          <w:iCs w:val="0"/>
          <w:szCs w:val="24"/>
        </w:rPr>
        <w:t>30 de junio</w:t>
      </w:r>
      <w:r w:rsidRPr="00B80019">
        <w:rPr>
          <w:rStyle w:val="nfasis"/>
          <w:i w:val="0"/>
          <w:iCs w:val="0"/>
          <w:szCs w:val="24"/>
        </w:rPr>
        <w:t xml:space="preserve"> de 202</w:t>
      </w:r>
      <w:r>
        <w:rPr>
          <w:rStyle w:val="nfasis"/>
          <w:i w:val="0"/>
          <w:iCs w:val="0"/>
          <w:szCs w:val="24"/>
        </w:rPr>
        <w:t>4</w:t>
      </w:r>
      <w:r w:rsidRPr="00B80019">
        <w:rPr>
          <w:rStyle w:val="nfasis"/>
          <w:i w:val="0"/>
          <w:iCs w:val="0"/>
          <w:szCs w:val="24"/>
        </w:rPr>
        <w:t xml:space="preserve"> considera entre otras medidas relevantes </w:t>
      </w:r>
      <w:r>
        <w:rPr>
          <w:rStyle w:val="nfasis"/>
          <w:i w:val="0"/>
          <w:iCs w:val="0"/>
          <w:szCs w:val="24"/>
        </w:rPr>
        <w:t>las siguientes</w:t>
      </w:r>
      <w:r w:rsidRPr="00B80019">
        <w:rPr>
          <w:rStyle w:val="nfasis"/>
          <w:i w:val="0"/>
          <w:iCs w:val="0"/>
          <w:szCs w:val="24"/>
        </w:rPr>
        <w:t>:</w:t>
      </w:r>
    </w:p>
    <w:p w14:paraId="3ECC54E7" w14:textId="77777777" w:rsidR="00D74068" w:rsidRPr="00A4562C" w:rsidRDefault="00D74068" w:rsidP="00D74068">
      <w:pPr>
        <w:spacing w:after="0" w:line="240" w:lineRule="auto"/>
      </w:pPr>
    </w:p>
    <w:tbl>
      <w:tblPr>
        <w:tblW w:w="8813" w:type="dxa"/>
        <w:tblLook w:val="04A0" w:firstRow="1" w:lastRow="0" w:firstColumn="1" w:lastColumn="0" w:noHBand="0" w:noVBand="1"/>
      </w:tblPr>
      <w:tblGrid>
        <w:gridCol w:w="7503"/>
        <w:gridCol w:w="1310"/>
      </w:tblGrid>
      <w:tr w:rsidR="00D74068" w:rsidRPr="00901B72" w14:paraId="2A698BD8" w14:textId="77777777" w:rsidTr="004653E2">
        <w:trPr>
          <w:trHeight w:val="790"/>
        </w:trPr>
        <w:tc>
          <w:tcPr>
            <w:tcW w:w="750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FE1ECEC" w14:textId="77777777" w:rsidR="00D74068" w:rsidRPr="004653E2" w:rsidRDefault="00D74068" w:rsidP="004653E2">
            <w:pPr>
              <w:spacing w:after="0" w:line="240" w:lineRule="auto"/>
              <w:jc w:val="center"/>
              <w:rPr>
                <w:rFonts w:eastAsia="Times New Roman" w:cs="Calibri"/>
                <w:b/>
                <w:bCs/>
                <w:sz w:val="20"/>
                <w:szCs w:val="20"/>
              </w:rPr>
            </w:pPr>
            <w:r w:rsidRPr="004653E2">
              <w:rPr>
                <w:rFonts w:eastAsia="Times New Roman" w:cs="Calibri"/>
                <w:b/>
                <w:bCs/>
                <w:sz w:val="20"/>
                <w:szCs w:val="20"/>
              </w:rPr>
              <w:t>Actividades Pendientes de Cumplimiento</w:t>
            </w:r>
          </w:p>
        </w:tc>
        <w:tc>
          <w:tcPr>
            <w:tcW w:w="1310" w:type="dxa"/>
            <w:tcBorders>
              <w:top w:val="single" w:sz="8" w:space="0" w:color="auto"/>
              <w:left w:val="nil"/>
              <w:bottom w:val="single" w:sz="4" w:space="0" w:color="auto"/>
              <w:right w:val="single" w:sz="8" w:space="0" w:color="auto"/>
            </w:tcBorders>
            <w:shd w:val="clear" w:color="auto" w:fill="auto"/>
            <w:vAlign w:val="bottom"/>
            <w:hideMark/>
          </w:tcPr>
          <w:p w14:paraId="594AECC1" w14:textId="77777777" w:rsidR="00D74068" w:rsidRPr="004653E2" w:rsidRDefault="00D74068" w:rsidP="004653E2">
            <w:pPr>
              <w:spacing w:after="0" w:line="240" w:lineRule="auto"/>
              <w:jc w:val="center"/>
              <w:rPr>
                <w:rFonts w:eastAsia="Times New Roman" w:cs="Calibri"/>
                <w:b/>
                <w:bCs/>
                <w:color w:val="000000"/>
                <w:sz w:val="20"/>
                <w:szCs w:val="20"/>
              </w:rPr>
            </w:pPr>
            <w:r w:rsidRPr="004653E2">
              <w:rPr>
                <w:rFonts w:eastAsia="Times New Roman" w:cs="Calibri"/>
                <w:b/>
                <w:bCs/>
                <w:color w:val="000000"/>
                <w:sz w:val="20"/>
                <w:szCs w:val="20"/>
              </w:rPr>
              <w:t>Fecha Estimada Cumplimiento</w:t>
            </w:r>
          </w:p>
        </w:tc>
      </w:tr>
      <w:tr w:rsidR="00D74068" w:rsidRPr="00901B72" w14:paraId="5738C021" w14:textId="77777777" w:rsidTr="004653E2">
        <w:trPr>
          <w:trHeight w:val="520"/>
        </w:trPr>
        <w:tc>
          <w:tcPr>
            <w:tcW w:w="7503" w:type="dxa"/>
            <w:tcBorders>
              <w:top w:val="nil"/>
              <w:left w:val="single" w:sz="8" w:space="0" w:color="auto"/>
              <w:bottom w:val="single" w:sz="4" w:space="0" w:color="auto"/>
              <w:right w:val="single" w:sz="4" w:space="0" w:color="auto"/>
            </w:tcBorders>
            <w:shd w:val="clear" w:color="000000" w:fill="FFFFFF"/>
            <w:hideMark/>
          </w:tcPr>
          <w:p w14:paraId="2E26AE3E" w14:textId="77777777" w:rsidR="00D74068" w:rsidRPr="00901B72" w:rsidRDefault="00D74068" w:rsidP="004653E2">
            <w:pPr>
              <w:spacing w:after="0" w:line="240" w:lineRule="auto"/>
              <w:rPr>
                <w:rFonts w:eastAsia="Times New Roman" w:cs="Calibri"/>
                <w:color w:val="000000"/>
                <w:sz w:val="20"/>
                <w:szCs w:val="20"/>
              </w:rPr>
            </w:pPr>
            <w:r w:rsidRPr="00901B72">
              <w:rPr>
                <w:rFonts w:eastAsia="Times New Roman" w:cs="Calibri"/>
                <w:color w:val="000000"/>
                <w:sz w:val="20"/>
                <w:szCs w:val="20"/>
              </w:rPr>
              <w:t>Revisar y proponer las políticas particulares que correspondan conforme a la realidad institucional y la normativa contable aplicable según lo establece la NICSP 3</w:t>
            </w:r>
          </w:p>
        </w:tc>
        <w:tc>
          <w:tcPr>
            <w:tcW w:w="1310" w:type="dxa"/>
            <w:tcBorders>
              <w:top w:val="nil"/>
              <w:left w:val="nil"/>
              <w:bottom w:val="single" w:sz="4" w:space="0" w:color="auto"/>
              <w:right w:val="single" w:sz="8" w:space="0" w:color="auto"/>
            </w:tcBorders>
            <w:shd w:val="clear" w:color="000000" w:fill="FFFFFF"/>
            <w:noWrap/>
            <w:vAlign w:val="center"/>
            <w:hideMark/>
          </w:tcPr>
          <w:p w14:paraId="1CF75306" w14:textId="3F465EC6" w:rsidR="00D74068" w:rsidRPr="00901B72" w:rsidRDefault="004653E2" w:rsidP="004653E2">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31/12</w:t>
            </w:r>
            <w:r w:rsidR="00D74068" w:rsidRPr="00901B72">
              <w:rPr>
                <w:rFonts w:eastAsia="Times New Roman" w:cs="Calibri"/>
                <w:color w:val="000000"/>
                <w:sz w:val="20"/>
                <w:szCs w:val="20"/>
                <w:lang w:val="en-US"/>
              </w:rPr>
              <w:t>/24</w:t>
            </w:r>
          </w:p>
        </w:tc>
      </w:tr>
      <w:tr w:rsidR="00D74068" w:rsidRPr="00901B72" w14:paraId="742E0D76" w14:textId="77777777" w:rsidTr="004653E2">
        <w:trPr>
          <w:trHeight w:val="300"/>
        </w:trPr>
        <w:tc>
          <w:tcPr>
            <w:tcW w:w="7503" w:type="dxa"/>
            <w:tcBorders>
              <w:top w:val="nil"/>
              <w:left w:val="single" w:sz="8" w:space="0" w:color="auto"/>
              <w:bottom w:val="single" w:sz="8" w:space="0" w:color="auto"/>
              <w:right w:val="single" w:sz="4" w:space="0" w:color="auto"/>
            </w:tcBorders>
            <w:shd w:val="clear" w:color="000000" w:fill="FFFFFF"/>
            <w:hideMark/>
          </w:tcPr>
          <w:p w14:paraId="372F9F9C" w14:textId="77777777" w:rsidR="00D74068" w:rsidRPr="00901B72" w:rsidRDefault="00D74068" w:rsidP="004653E2">
            <w:pPr>
              <w:spacing w:after="0" w:line="240" w:lineRule="auto"/>
              <w:rPr>
                <w:rFonts w:eastAsia="Times New Roman" w:cs="Calibri"/>
                <w:color w:val="000000"/>
                <w:sz w:val="20"/>
                <w:szCs w:val="20"/>
              </w:rPr>
            </w:pPr>
            <w:r w:rsidRPr="00901B72">
              <w:rPr>
                <w:rFonts w:eastAsia="Times New Roman" w:cs="Calibri"/>
                <w:color w:val="000000"/>
                <w:sz w:val="20"/>
                <w:szCs w:val="20"/>
              </w:rPr>
              <w:t>Efectuar los ajustes correspondientes en el sistema contable en desarrollo.</w:t>
            </w:r>
          </w:p>
        </w:tc>
        <w:tc>
          <w:tcPr>
            <w:tcW w:w="1310" w:type="dxa"/>
            <w:tcBorders>
              <w:top w:val="nil"/>
              <w:left w:val="nil"/>
              <w:bottom w:val="single" w:sz="8" w:space="0" w:color="auto"/>
              <w:right w:val="single" w:sz="8" w:space="0" w:color="auto"/>
            </w:tcBorders>
            <w:shd w:val="clear" w:color="000000" w:fill="FFFFFF"/>
            <w:noWrap/>
            <w:vAlign w:val="center"/>
            <w:hideMark/>
          </w:tcPr>
          <w:p w14:paraId="390AF38C" w14:textId="7EFD14F5" w:rsidR="00D74068" w:rsidRPr="00901B72" w:rsidRDefault="004653E2" w:rsidP="004653E2">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31/12/</w:t>
            </w:r>
            <w:r w:rsidR="00D74068" w:rsidRPr="00901B72">
              <w:rPr>
                <w:rFonts w:eastAsia="Times New Roman" w:cs="Calibri"/>
                <w:color w:val="000000"/>
                <w:sz w:val="20"/>
                <w:szCs w:val="20"/>
                <w:lang w:val="en-US"/>
              </w:rPr>
              <w:t>24</w:t>
            </w:r>
          </w:p>
        </w:tc>
      </w:tr>
    </w:tbl>
    <w:p w14:paraId="25C74C46" w14:textId="77777777" w:rsidR="00D74068" w:rsidRDefault="00D74068" w:rsidP="00D74068"/>
    <w:p w14:paraId="221856DB" w14:textId="1AC8DEFC" w:rsidR="00F56F0E" w:rsidRDefault="00F56F0E" w:rsidP="00F56F0E"/>
    <w:p w14:paraId="56E42509" w14:textId="3A7677B4" w:rsidR="002007F6" w:rsidRDefault="002007F6" w:rsidP="00D16DB1">
      <w:pPr>
        <w:pStyle w:val="Ttulo2"/>
        <w:spacing w:after="240"/>
      </w:pPr>
      <w:bookmarkStart w:id="29" w:name="_Toc173245190"/>
      <w:r w:rsidRPr="002007F6">
        <w:t>NICSP 4- EFECTOS DE VARIACIONES EN LAS TASAS DE CAMBIO DE MONEDA EXTRANJERA:</w:t>
      </w:r>
      <w:bookmarkEnd w:id="29"/>
    </w:p>
    <w:p w14:paraId="2E061F8D" w14:textId="77777777" w:rsidR="00694299" w:rsidRDefault="00FB0858" w:rsidP="002007F6">
      <w:pPr>
        <w:rPr>
          <w:rFonts w:asciiTheme="minorHAnsi" w:hAnsiTheme="minorHAnsi"/>
          <w:sz w:val="22"/>
        </w:rPr>
      </w:pPr>
      <w:r w:rsidRPr="00FB0858">
        <w:t>De acuerdo con la NICSP 4- Efectos de variaciones en las tasas de cambio de moneda extranjera</w:t>
      </w:r>
      <w:r>
        <w:t>, i</w:t>
      </w:r>
      <w:r w:rsidR="002007F6">
        <w:t xml:space="preserve">ndicar si este rubro afecta SI o NO a la institución, </w:t>
      </w:r>
      <w:r w:rsidR="00405DBC" w:rsidRPr="00405DBC">
        <w:t>además del porcentaje de avance</w:t>
      </w:r>
      <w:r w:rsidR="00405DBC">
        <w:t xml:space="preserve"> en la implementación</w:t>
      </w:r>
      <w:r w:rsidR="00405DBC" w:rsidRPr="00405DBC">
        <w:t xml:space="preserve"> que presenta</w:t>
      </w:r>
      <w:r w:rsidR="00D16DB1">
        <w:t>.</w:t>
      </w:r>
      <w:r w:rsidR="0025405A">
        <w:fldChar w:fldCharType="begin"/>
      </w:r>
      <w:r w:rsidR="0025405A">
        <w:instrText xml:space="preserve"> LINK </w:instrText>
      </w:r>
      <w:r w:rsidR="00323752">
        <w:instrText xml:space="preserve">Excel.SheetMacroEnabled.12 "D:\\MORAVIA\\INSUMOS\\NOTAS 2024\\Formato_Notas_EEFF_Vinculadas_2024\\XXXXX_PXX_202X_Anexo_Estado_Notas_Contables_Vinculadas.xlsm" NICSP_4!F9C3:F10C4 </w:instrText>
      </w:r>
      <w:r w:rsidR="0025405A">
        <w:instrText xml:space="preserve">\a \f 4 \h </w:instrText>
      </w:r>
      <w:r w:rsidR="0025405A">
        <w:fldChar w:fldCharType="separate"/>
      </w:r>
    </w:p>
    <w:tbl>
      <w:tblPr>
        <w:tblW w:w="4220" w:type="dxa"/>
        <w:tblCellMar>
          <w:left w:w="70" w:type="dxa"/>
          <w:right w:w="70" w:type="dxa"/>
        </w:tblCellMar>
        <w:tblLook w:val="04A0" w:firstRow="1" w:lastRow="0" w:firstColumn="1" w:lastColumn="0" w:noHBand="0" w:noVBand="1"/>
      </w:tblPr>
      <w:tblGrid>
        <w:gridCol w:w="2400"/>
        <w:gridCol w:w="1820"/>
      </w:tblGrid>
      <w:tr w:rsidR="00694299" w:rsidRPr="00694299" w14:paraId="65B978CF" w14:textId="77777777" w:rsidTr="00694299">
        <w:trPr>
          <w:divId w:val="1574044272"/>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13ABEEFB" w14:textId="1567110F"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BBE1F"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Si</w:t>
            </w:r>
          </w:p>
        </w:tc>
      </w:tr>
      <w:tr w:rsidR="00694299" w:rsidRPr="00694299" w14:paraId="1253C3DB" w14:textId="77777777" w:rsidTr="00694299">
        <w:trPr>
          <w:divId w:val="1574044272"/>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175C9D54"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570C6A38" w14:textId="204BF18C"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47,</w:t>
            </w:r>
            <w:r w:rsidR="00A4562C">
              <w:rPr>
                <w:rFonts w:eastAsia="Times New Roman" w:cs="Calibri"/>
                <w:color w:val="000000"/>
                <w:sz w:val="22"/>
                <w:lang w:eastAsia="es-CR"/>
              </w:rPr>
              <w:t>00</w:t>
            </w:r>
            <w:r w:rsidRPr="00694299">
              <w:rPr>
                <w:rFonts w:eastAsia="Times New Roman" w:cs="Calibri"/>
                <w:color w:val="000000"/>
                <w:sz w:val="22"/>
                <w:lang w:eastAsia="es-CR"/>
              </w:rPr>
              <w:t>%</w:t>
            </w:r>
          </w:p>
        </w:tc>
      </w:tr>
    </w:tbl>
    <w:p w14:paraId="029096D2" w14:textId="15E52E89" w:rsidR="0025405A" w:rsidRDefault="0025405A" w:rsidP="002007F6">
      <w:r>
        <w:fldChar w:fldCharType="end"/>
      </w:r>
      <w:r>
        <w:rPr>
          <w:b/>
          <w:sz w:val="16"/>
          <w:szCs w:val="16"/>
          <w:lang w:eastAsia="es-CR"/>
        </w:rPr>
        <w:t xml:space="preserve">                                                 </w:t>
      </w:r>
      <w:r w:rsidR="002007F6" w:rsidRPr="00C35565">
        <w:rPr>
          <w:b/>
          <w:sz w:val="16"/>
          <w:szCs w:val="16"/>
          <w:lang w:eastAsia="es-CR"/>
        </w:rPr>
        <w:t>-Aplicación Obligatoria-</w:t>
      </w:r>
    </w:p>
    <w:p w14:paraId="01715CEB" w14:textId="3BFD2876" w:rsidR="002007F6" w:rsidRPr="002007F6" w:rsidRDefault="002007F6" w:rsidP="002007F6">
      <w:pPr>
        <w:rPr>
          <w:b/>
          <w:lang w:val="es-MX"/>
        </w:rPr>
      </w:pPr>
      <w:r w:rsidRPr="002007F6">
        <w:rPr>
          <w:b/>
        </w:rPr>
        <w:t>Moneda Extranjera</w:t>
      </w:r>
    </w:p>
    <w:p w14:paraId="10F94098" w14:textId="3636E803" w:rsidR="002007F6" w:rsidRPr="00D16DB1" w:rsidRDefault="002007F6" w:rsidP="00CD3A05">
      <w:pPr>
        <w:rPr>
          <w:lang w:val="es-ES_tradnl" w:eastAsia="es-ES"/>
        </w:rPr>
      </w:pPr>
      <w:r w:rsidRPr="002007F6">
        <w:rPr>
          <w:lang w:val="es-ES_tradnl" w:eastAsia="es-ES"/>
        </w:rPr>
        <w:t xml:space="preserve">Las partidas monetarias en moneda extranjera se convertirán a la moneda funcional utilizando la tasa de cambio de la fecha de cierre de los EEFF. </w:t>
      </w:r>
    </w:p>
    <w:p w14:paraId="51A46126" w14:textId="74020B03" w:rsidR="002007F6" w:rsidRPr="002007F6" w:rsidRDefault="002007F6" w:rsidP="00CD3A05">
      <w:pPr>
        <w:jc w:val="center"/>
        <w:rPr>
          <w:lang w:val="es-MX"/>
        </w:rPr>
      </w:pPr>
      <w:r w:rsidRPr="002007F6">
        <w:rPr>
          <w:noProof/>
          <w:lang w:eastAsia="es-CR"/>
        </w:rPr>
        <w:drawing>
          <wp:inline distT="0" distB="0" distL="0" distR="0" wp14:anchorId="6D1EB6A0" wp14:editId="4E511BC6">
            <wp:extent cx="4210050" cy="12096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10050" cy="1209675"/>
                    </a:xfrm>
                    <a:prstGeom prst="rect">
                      <a:avLst/>
                    </a:prstGeom>
                  </pic:spPr>
                </pic:pic>
              </a:graphicData>
            </a:graphic>
          </wp:inline>
        </w:drawing>
      </w:r>
    </w:p>
    <w:p w14:paraId="05EC36B9" w14:textId="2F477289" w:rsidR="002007F6" w:rsidRPr="002007F6" w:rsidRDefault="002007F6" w:rsidP="002007F6">
      <w:pPr>
        <w:rPr>
          <w:lang w:val="es-MX"/>
        </w:rPr>
      </w:pPr>
      <w:r w:rsidRPr="002007F6">
        <w:rPr>
          <w:lang w:val="es-MX"/>
        </w:rPr>
        <w:t xml:space="preserve">Las partidas monetarias en moneda extranjera se convertirán utilizando la tasa de cambio al cierre de los EEFF. </w:t>
      </w:r>
    </w:p>
    <w:p w14:paraId="4AB489F5" w14:textId="7B568A8E" w:rsidR="002007F6" w:rsidRPr="002007F6" w:rsidRDefault="002007F6" w:rsidP="002007F6">
      <w:pPr>
        <w:rPr>
          <w:lang w:val="es-MX"/>
        </w:rPr>
      </w:pPr>
      <w:r w:rsidRPr="002007F6">
        <w:rPr>
          <w:lang w:val="es-MX"/>
        </w:rPr>
        <w:t>El tipo de cambio a utilizar para la conversión de las monedas a la moneda funcional será el siguiente: para las cuentas de activo, el tipo de cambio de compra y para las cuentas de pasivo, el tipo de cambio de venta, que emite el Banco Central de Costa Rica para las operaciones con el Sector Público no bancario. El ajuste por el diferencial cambiario se deberá realizar el último día de cada mes.</w:t>
      </w:r>
    </w:p>
    <w:p w14:paraId="0075EED5" w14:textId="3DD848B6" w:rsidR="00694299" w:rsidRDefault="002007F6" w:rsidP="00CD3A05">
      <w:pPr>
        <w:rPr>
          <w:rFonts w:asciiTheme="minorHAnsi" w:hAnsiTheme="minorHAnsi"/>
          <w:sz w:val="22"/>
        </w:rPr>
      </w:pPr>
      <w:r w:rsidRPr="002007F6">
        <w:rPr>
          <w:lang w:val="es-MX"/>
        </w:rPr>
        <w:t>A continuación, se presentan los tipos de cambio para transacciones en monedas extranjeras, tanto de compra como venta de (Dólar y Euros)</w:t>
      </w:r>
      <w:r w:rsidR="00D910AF">
        <w:rPr>
          <w:lang w:val="es-MX"/>
        </w:rPr>
        <w:t xml:space="preserve"> con base en los precios de referencia del Banco Central de Costa Rica.</w:t>
      </w:r>
      <w:r w:rsidR="007F098E">
        <w:rPr>
          <w:lang w:val="es-MX"/>
        </w:rPr>
        <w:fldChar w:fldCharType="begin"/>
      </w:r>
      <w:r w:rsidR="007F098E">
        <w:rPr>
          <w:lang w:val="es-MX"/>
        </w:rPr>
        <w:instrText xml:space="preserve"> LINK </w:instrText>
      </w:r>
      <w:r w:rsidR="00323752">
        <w:rPr>
          <w:lang w:val="es-MX"/>
        </w:rPr>
        <w:instrText xml:space="preserve">Excel.SheetMacroEnabled.12 "D:\\MORAVIA\\INSUMOS\\NOTAS 2024\\Formato_Notas_EEFF_Vinculadas_2024\\XXXXX_PXX_202X_Anexo_Estado_Notas_Contables_Vinculadas.xlsm" NICSP_4!F13C3:F15C5 </w:instrText>
      </w:r>
      <w:r w:rsidR="007F098E">
        <w:rPr>
          <w:lang w:val="es-MX"/>
        </w:rPr>
        <w:instrText xml:space="preserve">\a \f 4 \h </w:instrText>
      </w:r>
      <w:r w:rsidR="0045235E">
        <w:rPr>
          <w:lang w:val="es-MX"/>
        </w:rPr>
        <w:instrText xml:space="preserve"> \* MERGEFORMAT </w:instrText>
      </w:r>
      <w:r w:rsidR="007F098E">
        <w:rPr>
          <w:lang w:val="es-MX"/>
        </w:rPr>
        <w:fldChar w:fldCharType="separate"/>
      </w:r>
    </w:p>
    <w:tbl>
      <w:tblPr>
        <w:tblW w:w="6040" w:type="dxa"/>
        <w:tblCellMar>
          <w:left w:w="70" w:type="dxa"/>
          <w:right w:w="70" w:type="dxa"/>
        </w:tblCellMar>
        <w:tblLook w:val="04A0" w:firstRow="1" w:lastRow="0" w:firstColumn="1" w:lastColumn="0" w:noHBand="0" w:noVBand="1"/>
      </w:tblPr>
      <w:tblGrid>
        <w:gridCol w:w="2689"/>
        <w:gridCol w:w="1531"/>
        <w:gridCol w:w="1820"/>
      </w:tblGrid>
      <w:tr w:rsidR="00694299" w:rsidRPr="00694299" w14:paraId="061CA14D" w14:textId="77777777" w:rsidTr="0045235E">
        <w:trPr>
          <w:divId w:val="1567108277"/>
          <w:trHeight w:val="288"/>
        </w:trPr>
        <w:tc>
          <w:tcPr>
            <w:tcW w:w="2689" w:type="dxa"/>
            <w:tcBorders>
              <w:top w:val="single" w:sz="4" w:space="0" w:color="auto"/>
              <w:left w:val="single" w:sz="4" w:space="0" w:color="auto"/>
              <w:bottom w:val="single" w:sz="4" w:space="0" w:color="auto"/>
              <w:right w:val="single" w:sz="4" w:space="0" w:color="auto"/>
            </w:tcBorders>
            <w:shd w:val="clear" w:color="000000" w:fill="17365D"/>
            <w:noWrap/>
            <w:vAlign w:val="center"/>
            <w:hideMark/>
          </w:tcPr>
          <w:p w14:paraId="29315CC2" w14:textId="28E5518A" w:rsidR="00694299" w:rsidRPr="00694299" w:rsidRDefault="00694299" w:rsidP="00694299">
            <w:pPr>
              <w:jc w:val="center"/>
              <w:rPr>
                <w:rFonts w:eastAsia="Times New Roman" w:cs="Calibri"/>
                <w:color w:val="FFFFFF"/>
                <w:szCs w:val="24"/>
                <w:lang w:eastAsia="es-CR"/>
              </w:rPr>
            </w:pPr>
            <w:r w:rsidRPr="00694299">
              <w:rPr>
                <w:rFonts w:eastAsia="Times New Roman" w:cs="Calibri"/>
                <w:color w:val="FFFFFF"/>
                <w:szCs w:val="24"/>
                <w:lang w:eastAsia="es-CR"/>
              </w:rPr>
              <w:t>Moneda</w:t>
            </w:r>
          </w:p>
        </w:tc>
        <w:tc>
          <w:tcPr>
            <w:tcW w:w="1531" w:type="dxa"/>
            <w:tcBorders>
              <w:top w:val="single" w:sz="4" w:space="0" w:color="auto"/>
              <w:left w:val="nil"/>
              <w:bottom w:val="single" w:sz="4" w:space="0" w:color="auto"/>
              <w:right w:val="single" w:sz="4" w:space="0" w:color="auto"/>
            </w:tcBorders>
            <w:shd w:val="clear" w:color="000000" w:fill="17365D"/>
            <w:noWrap/>
            <w:vAlign w:val="center"/>
            <w:hideMark/>
          </w:tcPr>
          <w:p w14:paraId="65C034CC"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Compra</w:t>
            </w:r>
          </w:p>
        </w:tc>
        <w:tc>
          <w:tcPr>
            <w:tcW w:w="1820" w:type="dxa"/>
            <w:tcBorders>
              <w:top w:val="single" w:sz="4" w:space="0" w:color="auto"/>
              <w:left w:val="nil"/>
              <w:bottom w:val="single" w:sz="4" w:space="0" w:color="auto"/>
              <w:right w:val="single" w:sz="4" w:space="0" w:color="auto"/>
            </w:tcBorders>
            <w:shd w:val="clear" w:color="000000" w:fill="17365D"/>
            <w:noWrap/>
            <w:vAlign w:val="center"/>
            <w:hideMark/>
          </w:tcPr>
          <w:p w14:paraId="19B66A67"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Venta</w:t>
            </w:r>
          </w:p>
        </w:tc>
      </w:tr>
      <w:tr w:rsidR="00694299" w:rsidRPr="00694299" w14:paraId="6D06AEF1" w14:textId="77777777" w:rsidTr="0045235E">
        <w:trPr>
          <w:divId w:val="1567108277"/>
          <w:trHeight w:val="300"/>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1364BD13" w14:textId="77777777" w:rsidR="00694299" w:rsidRPr="00694299" w:rsidRDefault="00694299" w:rsidP="00694299">
            <w:pPr>
              <w:spacing w:after="0" w:line="240" w:lineRule="auto"/>
              <w:jc w:val="center"/>
              <w:rPr>
                <w:rFonts w:eastAsia="Times New Roman" w:cs="Calibri"/>
                <w:color w:val="000000"/>
                <w:szCs w:val="24"/>
                <w:lang w:eastAsia="es-CR"/>
              </w:rPr>
            </w:pPr>
            <w:r w:rsidRPr="00694299">
              <w:rPr>
                <w:rFonts w:eastAsia="Times New Roman" w:cs="Calibri"/>
                <w:color w:val="000000"/>
                <w:szCs w:val="24"/>
                <w:lang w:eastAsia="es-CR"/>
              </w:rPr>
              <w:t>Dólar</w:t>
            </w:r>
          </w:p>
        </w:tc>
        <w:tc>
          <w:tcPr>
            <w:tcW w:w="1531" w:type="dxa"/>
            <w:tcBorders>
              <w:top w:val="nil"/>
              <w:left w:val="nil"/>
              <w:bottom w:val="single" w:sz="4" w:space="0" w:color="auto"/>
              <w:right w:val="single" w:sz="4" w:space="0" w:color="auto"/>
            </w:tcBorders>
            <w:shd w:val="clear" w:color="auto" w:fill="auto"/>
            <w:vAlign w:val="center"/>
            <w:hideMark/>
          </w:tcPr>
          <w:p w14:paraId="1AB63AED" w14:textId="2E050749" w:rsidR="00694299" w:rsidRPr="00694299" w:rsidRDefault="00571AD9" w:rsidP="0045235E">
            <w:pPr>
              <w:spacing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523,42</w:t>
            </w:r>
          </w:p>
        </w:tc>
        <w:tc>
          <w:tcPr>
            <w:tcW w:w="1820" w:type="dxa"/>
            <w:tcBorders>
              <w:top w:val="nil"/>
              <w:left w:val="nil"/>
              <w:bottom w:val="single" w:sz="4" w:space="0" w:color="auto"/>
              <w:right w:val="single" w:sz="4" w:space="0" w:color="auto"/>
            </w:tcBorders>
            <w:shd w:val="clear" w:color="auto" w:fill="auto"/>
            <w:noWrap/>
            <w:vAlign w:val="center"/>
            <w:hideMark/>
          </w:tcPr>
          <w:p w14:paraId="5BFF5257" w14:textId="7879703E" w:rsidR="00694299" w:rsidRPr="0045235E" w:rsidRDefault="00571AD9" w:rsidP="0045235E">
            <w:pPr>
              <w:spacing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530,41</w:t>
            </w:r>
          </w:p>
        </w:tc>
      </w:tr>
      <w:tr w:rsidR="00694299" w:rsidRPr="00694299" w14:paraId="4AEE6DEE" w14:textId="77777777" w:rsidTr="0045235E">
        <w:trPr>
          <w:divId w:val="1567108277"/>
          <w:trHeight w:val="312"/>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34723D80" w14:textId="77777777" w:rsidR="00694299" w:rsidRPr="00694299" w:rsidRDefault="00694299" w:rsidP="00694299">
            <w:pPr>
              <w:spacing w:after="0" w:line="240" w:lineRule="auto"/>
              <w:jc w:val="center"/>
              <w:rPr>
                <w:rFonts w:eastAsia="Times New Roman" w:cs="Calibri"/>
                <w:color w:val="000000"/>
                <w:szCs w:val="24"/>
                <w:lang w:eastAsia="es-CR"/>
              </w:rPr>
            </w:pPr>
            <w:r w:rsidRPr="00694299">
              <w:rPr>
                <w:rFonts w:eastAsia="Times New Roman" w:cs="Calibri"/>
                <w:color w:val="000000"/>
                <w:szCs w:val="24"/>
                <w:lang w:eastAsia="es-CR"/>
              </w:rPr>
              <w:t>Euro</w:t>
            </w:r>
          </w:p>
        </w:tc>
        <w:tc>
          <w:tcPr>
            <w:tcW w:w="1531" w:type="dxa"/>
            <w:tcBorders>
              <w:top w:val="nil"/>
              <w:left w:val="nil"/>
              <w:bottom w:val="single" w:sz="4" w:space="0" w:color="auto"/>
              <w:right w:val="single" w:sz="4" w:space="0" w:color="auto"/>
            </w:tcBorders>
            <w:shd w:val="clear" w:color="auto" w:fill="auto"/>
            <w:vAlign w:val="center"/>
            <w:hideMark/>
          </w:tcPr>
          <w:p w14:paraId="1DAE2B59" w14:textId="7578667A" w:rsidR="00694299" w:rsidRPr="00694299" w:rsidRDefault="0045235E" w:rsidP="0045235E">
            <w:pPr>
              <w:spacing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5</w:t>
            </w:r>
            <w:r w:rsidR="00571AD9">
              <w:rPr>
                <w:rFonts w:eastAsia="Times New Roman" w:cs="Calibri"/>
                <w:color w:val="000000"/>
                <w:sz w:val="20"/>
                <w:szCs w:val="20"/>
                <w:lang w:eastAsia="es-CR"/>
              </w:rPr>
              <w:t>6</w:t>
            </w:r>
            <w:r>
              <w:rPr>
                <w:rFonts w:eastAsia="Times New Roman" w:cs="Calibri"/>
                <w:color w:val="000000"/>
                <w:sz w:val="20"/>
                <w:szCs w:val="20"/>
                <w:lang w:eastAsia="es-CR"/>
              </w:rPr>
              <w:t>4,0</w:t>
            </w:r>
            <w:r w:rsidR="00571AD9">
              <w:rPr>
                <w:rFonts w:eastAsia="Times New Roman" w:cs="Calibri"/>
                <w:color w:val="000000"/>
                <w:sz w:val="20"/>
                <w:szCs w:val="20"/>
                <w:lang w:eastAsia="es-CR"/>
              </w:rPr>
              <w:t>8</w:t>
            </w:r>
          </w:p>
        </w:tc>
        <w:tc>
          <w:tcPr>
            <w:tcW w:w="1820" w:type="dxa"/>
            <w:tcBorders>
              <w:top w:val="nil"/>
              <w:left w:val="nil"/>
              <w:bottom w:val="single" w:sz="4" w:space="0" w:color="auto"/>
              <w:right w:val="single" w:sz="4" w:space="0" w:color="auto"/>
            </w:tcBorders>
            <w:shd w:val="clear" w:color="auto" w:fill="auto"/>
            <w:noWrap/>
            <w:vAlign w:val="center"/>
            <w:hideMark/>
          </w:tcPr>
          <w:p w14:paraId="3DC1B2A0" w14:textId="2C35B883" w:rsidR="00694299" w:rsidRPr="0045235E" w:rsidRDefault="0045235E" w:rsidP="0045235E">
            <w:pPr>
              <w:spacing w:after="0" w:line="240" w:lineRule="auto"/>
              <w:jc w:val="center"/>
              <w:rPr>
                <w:rFonts w:eastAsia="Times New Roman" w:cs="Calibri"/>
                <w:color w:val="000000"/>
                <w:sz w:val="20"/>
                <w:szCs w:val="20"/>
                <w:lang w:eastAsia="es-CR"/>
              </w:rPr>
            </w:pPr>
            <w:r w:rsidRPr="0045235E">
              <w:rPr>
                <w:rFonts w:eastAsia="Times New Roman" w:cs="Calibri"/>
                <w:color w:val="000000"/>
                <w:sz w:val="20"/>
                <w:szCs w:val="20"/>
                <w:lang w:eastAsia="es-CR"/>
              </w:rPr>
              <w:t>5</w:t>
            </w:r>
            <w:r w:rsidR="00571AD9">
              <w:rPr>
                <w:rFonts w:eastAsia="Times New Roman" w:cs="Calibri"/>
                <w:color w:val="000000"/>
                <w:sz w:val="20"/>
                <w:szCs w:val="20"/>
                <w:lang w:eastAsia="es-CR"/>
              </w:rPr>
              <w:t>6</w:t>
            </w:r>
            <w:r w:rsidRPr="0045235E">
              <w:rPr>
                <w:rFonts w:eastAsia="Times New Roman" w:cs="Calibri"/>
                <w:color w:val="000000"/>
                <w:sz w:val="20"/>
                <w:szCs w:val="20"/>
                <w:lang w:eastAsia="es-CR"/>
              </w:rPr>
              <w:t>4,0</w:t>
            </w:r>
            <w:r w:rsidR="00571AD9">
              <w:rPr>
                <w:rFonts w:eastAsia="Times New Roman" w:cs="Calibri"/>
                <w:color w:val="000000"/>
                <w:sz w:val="20"/>
                <w:szCs w:val="20"/>
                <w:lang w:eastAsia="es-CR"/>
              </w:rPr>
              <w:t>8</w:t>
            </w:r>
          </w:p>
        </w:tc>
      </w:tr>
    </w:tbl>
    <w:p w14:paraId="1E1307A7" w14:textId="4165B576" w:rsidR="007F098E" w:rsidRDefault="007F098E" w:rsidP="00CD3A05">
      <w:pPr>
        <w:rPr>
          <w:lang w:val="es-MX"/>
        </w:rPr>
      </w:pPr>
      <w:r>
        <w:rPr>
          <w:lang w:val="es-MX"/>
        </w:rPr>
        <w:fldChar w:fldCharType="end"/>
      </w:r>
    </w:p>
    <w:p w14:paraId="6E26EE32" w14:textId="77777777" w:rsidR="00090D25" w:rsidRDefault="000C3947" w:rsidP="00090D25">
      <w:pPr>
        <w:spacing w:after="0" w:line="240" w:lineRule="auto"/>
        <w:rPr>
          <w:b/>
          <w:color w:val="FFFFFF" w:themeColor="background1"/>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48D80846" w14:textId="77777777" w:rsidR="00090D25" w:rsidRDefault="00090D25" w:rsidP="00090D25">
      <w:pPr>
        <w:spacing w:after="0" w:line="240" w:lineRule="auto"/>
        <w:rPr>
          <w:b/>
          <w:color w:val="FFFFFF" w:themeColor="background1"/>
          <w:u w:val="single"/>
        </w:rPr>
      </w:pPr>
    </w:p>
    <w:p w14:paraId="59BC196B" w14:textId="5D7757D8" w:rsidR="00090D25" w:rsidRDefault="00090D25" w:rsidP="00090D25">
      <w:pPr>
        <w:spacing w:after="0" w:line="240" w:lineRule="auto"/>
        <w:rPr>
          <w:szCs w:val="24"/>
        </w:rPr>
      </w:pPr>
      <w:r w:rsidRPr="00372829">
        <w:rPr>
          <w:szCs w:val="24"/>
        </w:rPr>
        <w:t>Una transacción en moneda extranjera se reconoc</w:t>
      </w:r>
      <w:r>
        <w:rPr>
          <w:szCs w:val="24"/>
        </w:rPr>
        <w:t>erá</w:t>
      </w:r>
      <w:r w:rsidRPr="00372829">
        <w:rPr>
          <w:szCs w:val="24"/>
        </w:rPr>
        <w:t xml:space="preserve"> inicial</w:t>
      </w:r>
      <w:r>
        <w:rPr>
          <w:szCs w:val="24"/>
        </w:rPr>
        <w:t>mente al momento</w:t>
      </w:r>
      <w:r w:rsidRPr="00372829">
        <w:rPr>
          <w:szCs w:val="24"/>
        </w:rPr>
        <w:t>, utilizando la moneda funcional, aplicando al importe en moneda extranjera la tasa de cambio de contado existente entre la moneda funcional y la moneda extranjera a la fecha de la transacción.</w:t>
      </w:r>
    </w:p>
    <w:p w14:paraId="202805B9" w14:textId="77777777" w:rsidR="00090D25" w:rsidRPr="00372829" w:rsidRDefault="00090D25" w:rsidP="00090D25">
      <w:pPr>
        <w:autoSpaceDE w:val="0"/>
        <w:autoSpaceDN w:val="0"/>
        <w:adjustRightInd w:val="0"/>
        <w:spacing w:after="0" w:line="240" w:lineRule="auto"/>
        <w:rPr>
          <w:rFonts w:cs="Arial"/>
          <w:color w:val="000000"/>
          <w:szCs w:val="24"/>
        </w:rPr>
      </w:pPr>
    </w:p>
    <w:p w14:paraId="75367E79" w14:textId="510FFEE0" w:rsidR="00311798" w:rsidRDefault="00090D25" w:rsidP="000C3947">
      <w:pPr>
        <w:numPr>
          <w:ilvl w:val="1"/>
          <w:numId w:val="23"/>
        </w:numPr>
        <w:autoSpaceDE w:val="0"/>
        <w:autoSpaceDN w:val="0"/>
        <w:adjustRightInd w:val="0"/>
        <w:spacing w:after="0" w:line="240" w:lineRule="auto"/>
        <w:rPr>
          <w:rFonts w:cs="Arial"/>
          <w:color w:val="000000"/>
          <w:szCs w:val="24"/>
        </w:rPr>
      </w:pPr>
      <w:r w:rsidRPr="00090D25">
        <w:rPr>
          <w:rFonts w:cs="Arial"/>
          <w:color w:val="000000"/>
          <w:szCs w:val="24"/>
        </w:rPr>
        <w:t>Las ganancias o pérdidas por deterioro del valor y las diferencias de cambio se reconocerán en el resultado del ejercicio</w:t>
      </w:r>
      <w:r w:rsidR="0048714F">
        <w:rPr>
          <w:rFonts w:cs="Arial"/>
          <w:color w:val="000000"/>
          <w:szCs w:val="24"/>
        </w:rPr>
        <w:t xml:space="preserve"> al final del periodo para lo cual, se realiza </w:t>
      </w:r>
      <w:r w:rsidR="0048714F" w:rsidRPr="00DE1098">
        <w:rPr>
          <w:rFonts w:cs="Arial"/>
          <w:color w:val="000000"/>
          <w:szCs w:val="24"/>
        </w:rPr>
        <w:t xml:space="preserve">la conversión </w:t>
      </w:r>
      <w:r w:rsidR="0048714F">
        <w:rPr>
          <w:rFonts w:cs="Arial"/>
          <w:color w:val="000000"/>
          <w:szCs w:val="24"/>
        </w:rPr>
        <w:t xml:space="preserve">de la moneda extranjera </w:t>
      </w:r>
      <w:r w:rsidR="0048714F" w:rsidRPr="00DE1098">
        <w:rPr>
          <w:rFonts w:cs="Arial"/>
          <w:color w:val="000000"/>
          <w:szCs w:val="24"/>
        </w:rPr>
        <w:t>a moneda funcional de las partidas monetarias en moneda extranjera, considerando la variación de las tasas de cambio entre</w:t>
      </w:r>
      <w:r w:rsidR="0048714F">
        <w:rPr>
          <w:rFonts w:cs="Arial"/>
          <w:color w:val="000000"/>
          <w:szCs w:val="24"/>
        </w:rPr>
        <w:t xml:space="preserve"> la fecha de origen de la transacción y la fecha de cierre de los estados financieros</w:t>
      </w:r>
      <w:r>
        <w:rPr>
          <w:rFonts w:cs="Arial"/>
          <w:color w:val="000000"/>
          <w:szCs w:val="24"/>
        </w:rPr>
        <w:t>.</w:t>
      </w:r>
      <w:r w:rsidRPr="00372829">
        <w:rPr>
          <w:rFonts w:cs="Arial"/>
          <w:color w:val="000000"/>
          <w:szCs w:val="24"/>
        </w:rPr>
        <w:t xml:space="preserve"> </w:t>
      </w:r>
    </w:p>
    <w:p w14:paraId="5774DF4B" w14:textId="77777777" w:rsidR="00311798" w:rsidRDefault="00311798" w:rsidP="00311798">
      <w:pPr>
        <w:autoSpaceDE w:val="0"/>
        <w:autoSpaceDN w:val="0"/>
        <w:adjustRightInd w:val="0"/>
        <w:spacing w:after="0" w:line="240" w:lineRule="auto"/>
        <w:rPr>
          <w:rFonts w:cs="Arial"/>
          <w:color w:val="000000"/>
          <w:szCs w:val="24"/>
        </w:rPr>
      </w:pPr>
    </w:p>
    <w:p w14:paraId="4D2251F8" w14:textId="3A36D079" w:rsidR="00311798" w:rsidRPr="00311798" w:rsidRDefault="00311798" w:rsidP="00311798">
      <w:pPr>
        <w:autoSpaceDE w:val="0"/>
        <w:autoSpaceDN w:val="0"/>
        <w:adjustRightInd w:val="0"/>
        <w:spacing w:after="0" w:line="240" w:lineRule="auto"/>
        <w:rPr>
          <w:rFonts w:cs="Arial"/>
          <w:color w:val="000000"/>
          <w:szCs w:val="24"/>
        </w:rPr>
      </w:pPr>
      <w:r>
        <w:rPr>
          <w:rFonts w:cs="Arial"/>
          <w:color w:val="000000"/>
          <w:szCs w:val="24"/>
        </w:rPr>
        <w:t>Las diferencias de cambio resultantes se reconocen como un componente separado de activos netos /</w:t>
      </w:r>
      <w:r w:rsidR="00C650AA">
        <w:rPr>
          <w:rFonts w:cs="Arial"/>
          <w:color w:val="000000"/>
          <w:szCs w:val="24"/>
        </w:rPr>
        <w:t xml:space="preserve"> patrimonio </w:t>
      </w:r>
    </w:p>
    <w:p w14:paraId="1AC47423" w14:textId="77777777" w:rsidR="00311798" w:rsidRDefault="00311798" w:rsidP="000C3947">
      <w:pPr>
        <w:spacing w:line="240" w:lineRule="auto"/>
        <w:rPr>
          <w:b/>
          <w:u w:val="single"/>
        </w:rPr>
      </w:pPr>
    </w:p>
    <w:p w14:paraId="35824D9C" w14:textId="77777777" w:rsidR="000C3947" w:rsidRPr="003516A2" w:rsidRDefault="000C3947" w:rsidP="000C3947">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0B5C22CE" w14:textId="05D9A71E" w:rsidR="00311798" w:rsidRDefault="00311798" w:rsidP="00311798">
      <w:pPr>
        <w:spacing w:after="0" w:line="240" w:lineRule="auto"/>
        <w:rPr>
          <w:rFonts w:cs="Arial"/>
          <w:color w:val="000000"/>
          <w:szCs w:val="24"/>
        </w:rPr>
      </w:pPr>
      <w:r>
        <w:rPr>
          <w:rFonts w:cs="Arial"/>
          <w:color w:val="000000"/>
          <w:szCs w:val="24"/>
        </w:rPr>
        <w:t xml:space="preserve">Los ingresos y gastos de cada estado de rendimiento financiero se convierten a las tasas de cambio de compra y venta de referencia </w:t>
      </w:r>
      <w:r w:rsidR="006C4FFD">
        <w:rPr>
          <w:rFonts w:cs="Arial"/>
          <w:color w:val="000000"/>
          <w:szCs w:val="24"/>
        </w:rPr>
        <w:t>d</w:t>
      </w:r>
      <w:r w:rsidR="006C4FFD" w:rsidRPr="00372829">
        <w:rPr>
          <w:rFonts w:cs="Arial"/>
          <w:color w:val="000000"/>
          <w:szCs w:val="24"/>
        </w:rPr>
        <w:t>el Sector Público no bancario</w:t>
      </w:r>
      <w:r w:rsidR="006C4FFD">
        <w:rPr>
          <w:rFonts w:cs="Arial"/>
          <w:color w:val="000000"/>
          <w:szCs w:val="24"/>
        </w:rPr>
        <w:t xml:space="preserve"> </w:t>
      </w:r>
      <w:r>
        <w:rPr>
          <w:rFonts w:cs="Arial"/>
          <w:color w:val="000000"/>
          <w:szCs w:val="24"/>
        </w:rPr>
        <w:t>emitidas por Banco Central de Costa Rica, vigentes a en las fechas de las transacciones.</w:t>
      </w:r>
    </w:p>
    <w:p w14:paraId="3B035EE4" w14:textId="77777777" w:rsidR="00311798" w:rsidRDefault="00311798" w:rsidP="0048714F">
      <w:pPr>
        <w:spacing w:after="0" w:line="240" w:lineRule="auto"/>
        <w:rPr>
          <w:rFonts w:cs="Arial"/>
          <w:color w:val="000000"/>
          <w:szCs w:val="24"/>
        </w:rPr>
      </w:pPr>
    </w:p>
    <w:p w14:paraId="257A3D7F" w14:textId="1E5F70B0" w:rsidR="00C650AA" w:rsidRDefault="00090D25" w:rsidP="0048714F">
      <w:pPr>
        <w:spacing w:after="0" w:line="240" w:lineRule="auto"/>
        <w:rPr>
          <w:rFonts w:cs="Arial"/>
          <w:color w:val="000000"/>
          <w:szCs w:val="24"/>
        </w:rPr>
      </w:pPr>
      <w:r>
        <w:rPr>
          <w:rFonts w:cs="Arial"/>
          <w:color w:val="000000"/>
          <w:szCs w:val="24"/>
        </w:rPr>
        <w:t>L</w:t>
      </w:r>
      <w:r w:rsidR="00C650AA">
        <w:rPr>
          <w:rFonts w:cs="Arial"/>
          <w:color w:val="000000"/>
          <w:szCs w:val="24"/>
        </w:rPr>
        <w:t>o</w:t>
      </w:r>
      <w:r w:rsidRPr="00372829">
        <w:rPr>
          <w:rFonts w:cs="Arial"/>
          <w:color w:val="000000"/>
          <w:szCs w:val="24"/>
        </w:rPr>
        <w:t xml:space="preserve">s </w:t>
      </w:r>
      <w:r w:rsidR="00C650AA">
        <w:rPr>
          <w:rFonts w:cs="Arial"/>
          <w:color w:val="000000"/>
          <w:szCs w:val="24"/>
        </w:rPr>
        <w:t xml:space="preserve">activos y pasivos en </w:t>
      </w:r>
      <w:r w:rsidRPr="00372829">
        <w:rPr>
          <w:rFonts w:cs="Arial"/>
          <w:color w:val="000000"/>
          <w:szCs w:val="24"/>
        </w:rPr>
        <w:t xml:space="preserve">monedas </w:t>
      </w:r>
      <w:r>
        <w:rPr>
          <w:rFonts w:cs="Arial"/>
          <w:color w:val="000000"/>
          <w:szCs w:val="24"/>
        </w:rPr>
        <w:t xml:space="preserve">extranjeras se convierten </w:t>
      </w:r>
      <w:r w:rsidRPr="00372829">
        <w:rPr>
          <w:rFonts w:cs="Arial"/>
          <w:color w:val="000000"/>
          <w:szCs w:val="24"/>
        </w:rPr>
        <w:t xml:space="preserve">a la moneda funcional </w:t>
      </w:r>
      <w:r>
        <w:rPr>
          <w:rFonts w:cs="Arial"/>
          <w:color w:val="000000"/>
          <w:szCs w:val="24"/>
        </w:rPr>
        <w:t>según</w:t>
      </w:r>
      <w:r w:rsidRPr="00372829">
        <w:rPr>
          <w:rFonts w:cs="Arial"/>
          <w:color w:val="000000"/>
          <w:szCs w:val="24"/>
        </w:rPr>
        <w:t xml:space="preserve"> l</w:t>
      </w:r>
      <w:r>
        <w:rPr>
          <w:rFonts w:cs="Arial"/>
          <w:color w:val="000000"/>
          <w:szCs w:val="24"/>
        </w:rPr>
        <w:t>o</w:t>
      </w:r>
      <w:r w:rsidRPr="00372829">
        <w:rPr>
          <w:rFonts w:cs="Arial"/>
          <w:color w:val="000000"/>
          <w:szCs w:val="24"/>
        </w:rPr>
        <w:t xml:space="preserve"> siguiente: para las cuentas de activo, el tipo de cambio de compra y para las cuentas de pasivo, l</w:t>
      </w:r>
      <w:r w:rsidR="006C4FFD">
        <w:rPr>
          <w:rFonts w:cs="Arial"/>
          <w:color w:val="000000"/>
          <w:szCs w:val="24"/>
        </w:rPr>
        <w:t>os</w:t>
      </w:r>
      <w:r w:rsidRPr="00372829">
        <w:rPr>
          <w:rFonts w:cs="Arial"/>
          <w:color w:val="000000"/>
          <w:szCs w:val="24"/>
        </w:rPr>
        <w:t xml:space="preserve"> tipo</w:t>
      </w:r>
      <w:r w:rsidR="006C4FFD">
        <w:rPr>
          <w:rFonts w:cs="Arial"/>
          <w:color w:val="000000"/>
          <w:szCs w:val="24"/>
        </w:rPr>
        <w:t>s</w:t>
      </w:r>
      <w:r w:rsidRPr="00372829">
        <w:rPr>
          <w:rFonts w:cs="Arial"/>
          <w:color w:val="000000"/>
          <w:szCs w:val="24"/>
        </w:rPr>
        <w:t xml:space="preserve"> de cambio de </w:t>
      </w:r>
      <w:r w:rsidR="006C4FFD">
        <w:rPr>
          <w:rFonts w:cs="Arial"/>
          <w:color w:val="000000"/>
          <w:szCs w:val="24"/>
        </w:rPr>
        <w:t>referencia</w:t>
      </w:r>
      <w:r w:rsidRPr="00372829">
        <w:rPr>
          <w:rFonts w:cs="Arial"/>
          <w:color w:val="000000"/>
          <w:szCs w:val="24"/>
        </w:rPr>
        <w:t xml:space="preserve">, que emite el Banco Central de Costa Rica para las operaciones con el Sector Público no bancario. </w:t>
      </w:r>
    </w:p>
    <w:p w14:paraId="5D58AB36" w14:textId="77777777" w:rsidR="00C650AA" w:rsidRDefault="00C650AA" w:rsidP="0048714F">
      <w:pPr>
        <w:spacing w:after="0" w:line="240" w:lineRule="auto"/>
        <w:rPr>
          <w:rFonts w:cs="Arial"/>
          <w:color w:val="000000"/>
          <w:szCs w:val="24"/>
        </w:rPr>
      </w:pPr>
    </w:p>
    <w:p w14:paraId="321EAAF0" w14:textId="2B180234" w:rsidR="00090D25" w:rsidRDefault="00090D25" w:rsidP="0048714F">
      <w:pPr>
        <w:spacing w:after="0" w:line="240" w:lineRule="auto"/>
        <w:rPr>
          <w:rFonts w:cs="Arial"/>
          <w:color w:val="000000"/>
          <w:szCs w:val="24"/>
        </w:rPr>
      </w:pPr>
      <w:r w:rsidRPr="00372829">
        <w:rPr>
          <w:rFonts w:cs="Arial"/>
          <w:color w:val="000000"/>
          <w:szCs w:val="24"/>
        </w:rPr>
        <w:t xml:space="preserve">El </w:t>
      </w:r>
      <w:r w:rsidR="00C650AA" w:rsidRPr="00372829">
        <w:rPr>
          <w:rFonts w:cs="Arial"/>
          <w:color w:val="000000"/>
          <w:szCs w:val="24"/>
        </w:rPr>
        <w:t xml:space="preserve">último día de cada mes </w:t>
      </w:r>
      <w:r w:rsidR="006C4FFD">
        <w:rPr>
          <w:rFonts w:cs="Arial"/>
          <w:color w:val="000000"/>
          <w:szCs w:val="24"/>
        </w:rPr>
        <w:t xml:space="preserve">los saldos de activos y pasivos en moneda extranjera </w:t>
      </w:r>
      <w:r w:rsidR="00C650AA">
        <w:rPr>
          <w:rFonts w:cs="Arial"/>
          <w:color w:val="000000"/>
          <w:szCs w:val="24"/>
        </w:rPr>
        <w:t xml:space="preserve">se </w:t>
      </w:r>
      <w:r w:rsidR="006C4FFD">
        <w:rPr>
          <w:rFonts w:cs="Arial"/>
          <w:color w:val="000000"/>
          <w:szCs w:val="24"/>
        </w:rPr>
        <w:t xml:space="preserve">ajustan </w:t>
      </w:r>
      <w:r w:rsidR="006C4FFD" w:rsidRPr="00372829">
        <w:rPr>
          <w:rFonts w:cs="Arial"/>
          <w:color w:val="000000"/>
          <w:szCs w:val="24"/>
        </w:rPr>
        <w:t xml:space="preserve">por el diferencial cambiario </w:t>
      </w:r>
      <w:r w:rsidR="006C4FFD">
        <w:rPr>
          <w:rFonts w:cs="Arial"/>
          <w:color w:val="000000"/>
          <w:szCs w:val="24"/>
        </w:rPr>
        <w:t xml:space="preserve">a </w:t>
      </w:r>
      <w:r w:rsidR="006C4FFD" w:rsidRPr="00372829">
        <w:rPr>
          <w:rFonts w:cs="Arial"/>
          <w:color w:val="000000"/>
          <w:szCs w:val="24"/>
        </w:rPr>
        <w:t>l</w:t>
      </w:r>
      <w:r w:rsidR="006C4FFD">
        <w:rPr>
          <w:rFonts w:cs="Arial"/>
          <w:color w:val="000000"/>
          <w:szCs w:val="24"/>
        </w:rPr>
        <w:t>os</w:t>
      </w:r>
      <w:r w:rsidR="006C4FFD" w:rsidRPr="00372829">
        <w:rPr>
          <w:rFonts w:cs="Arial"/>
          <w:color w:val="000000"/>
          <w:szCs w:val="24"/>
        </w:rPr>
        <w:t xml:space="preserve"> tipo</w:t>
      </w:r>
      <w:r w:rsidR="006C4FFD">
        <w:rPr>
          <w:rFonts w:cs="Arial"/>
          <w:color w:val="000000"/>
          <w:szCs w:val="24"/>
        </w:rPr>
        <w:t>s</w:t>
      </w:r>
      <w:r w:rsidR="006C4FFD" w:rsidRPr="00372829">
        <w:rPr>
          <w:rFonts w:cs="Arial"/>
          <w:color w:val="000000"/>
          <w:szCs w:val="24"/>
        </w:rPr>
        <w:t xml:space="preserve"> de cambio de </w:t>
      </w:r>
      <w:r w:rsidR="006C4FFD">
        <w:rPr>
          <w:rFonts w:cs="Arial"/>
          <w:color w:val="000000"/>
          <w:szCs w:val="24"/>
        </w:rPr>
        <w:t xml:space="preserve">referencia de compra y venta </w:t>
      </w:r>
      <w:r w:rsidR="006C4FFD" w:rsidRPr="00372829">
        <w:rPr>
          <w:rFonts w:cs="Arial"/>
          <w:color w:val="000000"/>
          <w:szCs w:val="24"/>
        </w:rPr>
        <w:t>el Sector Público no bancario, que emite el Banco Central de Costa Rica</w:t>
      </w:r>
      <w:r w:rsidRPr="00372829">
        <w:rPr>
          <w:rFonts w:cs="Arial"/>
          <w:color w:val="000000"/>
          <w:szCs w:val="24"/>
        </w:rPr>
        <w:t>.</w:t>
      </w:r>
    </w:p>
    <w:p w14:paraId="60DB0153" w14:textId="77777777" w:rsidR="0048714F" w:rsidRPr="00372829" w:rsidRDefault="0048714F" w:rsidP="0048714F">
      <w:pPr>
        <w:spacing w:after="0" w:line="240" w:lineRule="auto"/>
        <w:rPr>
          <w:rFonts w:cs="Arial"/>
          <w:color w:val="000000"/>
          <w:szCs w:val="24"/>
        </w:rPr>
      </w:pPr>
    </w:p>
    <w:p w14:paraId="4B4FBA0E" w14:textId="74878093" w:rsidR="002007F6" w:rsidRPr="00EC2994" w:rsidRDefault="002007F6" w:rsidP="009B7238">
      <w:pPr>
        <w:spacing w:before="240"/>
        <w:rPr>
          <w:rFonts w:eastAsia="Times New Roman"/>
          <w:b/>
          <w:color w:val="000000"/>
          <w:u w:val="single"/>
          <w:lang w:eastAsia="es-CR"/>
        </w:rPr>
      </w:pPr>
      <w:r w:rsidRPr="000C3947">
        <w:rPr>
          <w:b/>
          <w:color w:val="FFFFFF" w:themeColor="background1"/>
          <w:highlight w:val="darkBlue"/>
          <w:u w:val="single"/>
        </w:rPr>
        <w:t>Revelación Suficiente:</w:t>
      </w:r>
      <w:r w:rsidRPr="00EC2994">
        <w:rPr>
          <w:rFonts w:eastAsia="Times New Roman"/>
          <w:b/>
          <w:color w:val="000000"/>
          <w:u w:val="single"/>
          <w:lang w:eastAsia="es-CR"/>
        </w:rPr>
        <w:t xml:space="preserve"> </w:t>
      </w:r>
      <w:r w:rsidRPr="00EC2994">
        <w:rPr>
          <w:b/>
          <w:u w:val="single"/>
        </w:rPr>
        <w:t xml:space="preserve">El ente debe cumplir con lo estipulado en revelación con forme a la NICSP, también debe considerar la política general y los párrafos incluidos en la matriz de autoevaluación referente a esta NICSP y guías de aplicación </w:t>
      </w:r>
      <w:r w:rsidRPr="00EC2994">
        <w:rPr>
          <w:rFonts w:eastAsia="Times New Roman"/>
          <w:b/>
          <w:color w:val="000000"/>
          <w:u w:val="single"/>
          <w:lang w:eastAsia="es-CR"/>
        </w:rPr>
        <w:t>(Indicar tipos de cambios utilizados en las distintas operaciones). Ver GA NICSP 4:</w:t>
      </w:r>
    </w:p>
    <w:p w14:paraId="3ACED70D" w14:textId="77777777" w:rsidR="00D910AF" w:rsidRPr="00E67ECC" w:rsidRDefault="00D910AF" w:rsidP="00D910AF">
      <w:pPr>
        <w:spacing w:line="240" w:lineRule="auto"/>
        <w:rPr>
          <w:b/>
          <w:bCs/>
          <w:szCs w:val="24"/>
          <w:lang w:eastAsia="es-CR"/>
        </w:rPr>
      </w:pPr>
      <w:bookmarkStart w:id="30" w:name="_Toc54961671"/>
      <w:bookmarkStart w:id="31" w:name="_Toc82768867"/>
      <w:r w:rsidRPr="00E67ECC">
        <w:rPr>
          <w:b/>
          <w:bCs/>
          <w:szCs w:val="24"/>
          <w:lang w:eastAsia="es-CR"/>
        </w:rPr>
        <w:t>Principales Políticas</w:t>
      </w:r>
    </w:p>
    <w:p w14:paraId="2C1CDE92" w14:textId="77777777" w:rsidR="00D910AF" w:rsidRPr="00372829" w:rsidRDefault="00D910AF" w:rsidP="00090D25">
      <w:pPr>
        <w:autoSpaceDE w:val="0"/>
        <w:autoSpaceDN w:val="0"/>
        <w:adjustRightInd w:val="0"/>
        <w:spacing w:after="120" w:line="240" w:lineRule="auto"/>
        <w:rPr>
          <w:rFonts w:cs="Arial"/>
          <w:color w:val="000000"/>
          <w:szCs w:val="24"/>
        </w:rPr>
      </w:pPr>
      <w:r w:rsidRPr="00372829">
        <w:rPr>
          <w:rFonts w:cs="Arial"/>
          <w:color w:val="000000"/>
          <w:szCs w:val="24"/>
        </w:rPr>
        <w:t xml:space="preserve">Una </w:t>
      </w:r>
      <w:r w:rsidRPr="00372829">
        <w:rPr>
          <w:rFonts w:cs="Arial"/>
          <w:b/>
          <w:bCs/>
          <w:color w:val="000000"/>
          <w:szCs w:val="24"/>
        </w:rPr>
        <w:t xml:space="preserve">transacción en moneda extranjera </w:t>
      </w:r>
      <w:r w:rsidRPr="00372829">
        <w:rPr>
          <w:rFonts w:cs="Arial"/>
          <w:color w:val="000000"/>
          <w:szCs w:val="24"/>
        </w:rPr>
        <w:t xml:space="preserve">es aquélla cuyo importe se denomina, o cuya liquidación se exige, en una moneda distinta de la funcional, entre las que se incluyen cuando una entidad: </w:t>
      </w:r>
    </w:p>
    <w:p w14:paraId="6A936080" w14:textId="77777777" w:rsidR="00D910AF" w:rsidRPr="00DE1098" w:rsidRDefault="00D910AF" w:rsidP="00D910AF">
      <w:pPr>
        <w:pStyle w:val="Prrafodelista"/>
        <w:numPr>
          <w:ilvl w:val="0"/>
          <w:numId w:val="26"/>
        </w:numPr>
        <w:autoSpaceDE w:val="0"/>
        <w:autoSpaceDN w:val="0"/>
        <w:adjustRightInd w:val="0"/>
        <w:spacing w:after="20" w:line="240" w:lineRule="auto"/>
        <w:ind w:left="426"/>
        <w:rPr>
          <w:rFonts w:cs="Arial"/>
          <w:color w:val="000000"/>
          <w:szCs w:val="24"/>
        </w:rPr>
      </w:pPr>
      <w:r w:rsidRPr="00DE1098">
        <w:rPr>
          <w:rFonts w:cs="Arial"/>
          <w:color w:val="000000"/>
          <w:szCs w:val="24"/>
        </w:rPr>
        <w:t xml:space="preserve">Compra o vende bienes o servicios cuyo precio se establece en una moneda extranjera; </w:t>
      </w:r>
    </w:p>
    <w:p w14:paraId="32EA0A0F" w14:textId="77777777" w:rsidR="00D910AF" w:rsidRPr="00DE1098" w:rsidRDefault="00D910AF" w:rsidP="00D910AF">
      <w:pPr>
        <w:pStyle w:val="Prrafodelista"/>
        <w:numPr>
          <w:ilvl w:val="0"/>
          <w:numId w:val="26"/>
        </w:numPr>
        <w:autoSpaceDE w:val="0"/>
        <w:autoSpaceDN w:val="0"/>
        <w:adjustRightInd w:val="0"/>
        <w:spacing w:after="20" w:line="240" w:lineRule="auto"/>
        <w:ind w:left="426"/>
        <w:rPr>
          <w:rFonts w:cs="Arial"/>
          <w:color w:val="000000"/>
          <w:szCs w:val="24"/>
        </w:rPr>
      </w:pPr>
      <w:r w:rsidRPr="00DE1098">
        <w:rPr>
          <w:rFonts w:cs="Arial"/>
          <w:color w:val="000000"/>
          <w:szCs w:val="24"/>
        </w:rPr>
        <w:t xml:space="preserve">Presta o toma prestados fondos, si los importes correspondientes se establecen a cobrar o pagar en una moneda extranjera; o </w:t>
      </w:r>
    </w:p>
    <w:p w14:paraId="5790A914" w14:textId="77777777" w:rsidR="00D910AF" w:rsidRPr="00DE1098" w:rsidRDefault="00D910AF" w:rsidP="00D910AF">
      <w:pPr>
        <w:pStyle w:val="Prrafodelista"/>
        <w:numPr>
          <w:ilvl w:val="0"/>
          <w:numId w:val="26"/>
        </w:numPr>
        <w:autoSpaceDE w:val="0"/>
        <w:autoSpaceDN w:val="0"/>
        <w:adjustRightInd w:val="0"/>
        <w:spacing w:after="0" w:line="240" w:lineRule="auto"/>
        <w:ind w:left="426"/>
        <w:rPr>
          <w:rFonts w:cs="Arial"/>
          <w:color w:val="000000"/>
          <w:szCs w:val="24"/>
        </w:rPr>
      </w:pPr>
      <w:r w:rsidRPr="00DE1098">
        <w:rPr>
          <w:rFonts w:cs="Arial"/>
          <w:color w:val="000000"/>
          <w:szCs w:val="24"/>
        </w:rPr>
        <w:t>Adquiere o dispone de activos, o bien toma o liquida pasivos, en transacciones pactadas en moneda extranjera.</w:t>
      </w:r>
    </w:p>
    <w:p w14:paraId="63B356FB" w14:textId="77777777" w:rsidR="00D910AF" w:rsidRDefault="00D910AF" w:rsidP="00D910AF">
      <w:pPr>
        <w:spacing w:after="0" w:line="240" w:lineRule="auto"/>
        <w:rPr>
          <w:szCs w:val="24"/>
        </w:rPr>
      </w:pPr>
    </w:p>
    <w:p w14:paraId="721CB88B" w14:textId="77777777" w:rsidR="00D910AF" w:rsidRDefault="00D910AF" w:rsidP="00D910AF">
      <w:pPr>
        <w:spacing w:after="0" w:line="240" w:lineRule="auto"/>
        <w:rPr>
          <w:sz w:val="23"/>
          <w:szCs w:val="23"/>
        </w:rPr>
      </w:pPr>
      <w:r w:rsidRPr="00372829">
        <w:rPr>
          <w:szCs w:val="24"/>
        </w:rPr>
        <w:t>Una transacción en moneda extranjera se registrará, en el momento de su reconocimiento inicial, utilizando la moneda funcional, aplicando al importe en moneda extranjera la tasa de cambio de contado existente entre la moneda funcional y la moneda extranjera a la fecha de la transacción.</w:t>
      </w:r>
      <w:r>
        <w:rPr>
          <w:szCs w:val="24"/>
        </w:rPr>
        <w:t xml:space="preserve"> </w:t>
      </w:r>
      <w:r>
        <w:rPr>
          <w:sz w:val="23"/>
          <w:szCs w:val="23"/>
        </w:rPr>
        <w:t>Las partidas monetarias en moneda extranjera se convertirán a la moneda funcional utilizando la tasa de cambio de la fecha de cierre de los EEFF.</w:t>
      </w:r>
    </w:p>
    <w:p w14:paraId="15210E1F" w14:textId="77777777" w:rsidR="00D910AF" w:rsidRPr="00372829" w:rsidRDefault="00D910AF" w:rsidP="00D910AF">
      <w:pPr>
        <w:autoSpaceDE w:val="0"/>
        <w:autoSpaceDN w:val="0"/>
        <w:adjustRightInd w:val="0"/>
        <w:spacing w:after="0" w:line="240" w:lineRule="auto"/>
        <w:rPr>
          <w:rFonts w:cs="Arial"/>
          <w:color w:val="000000"/>
          <w:szCs w:val="24"/>
        </w:rPr>
      </w:pPr>
    </w:p>
    <w:p w14:paraId="302776D5" w14:textId="0B64037C" w:rsidR="00D910AF" w:rsidRPr="00372829" w:rsidRDefault="00D910AF" w:rsidP="00D910AF">
      <w:pPr>
        <w:numPr>
          <w:ilvl w:val="1"/>
          <w:numId w:val="23"/>
        </w:numPr>
        <w:autoSpaceDE w:val="0"/>
        <w:autoSpaceDN w:val="0"/>
        <w:adjustRightInd w:val="0"/>
        <w:spacing w:after="0" w:line="240" w:lineRule="auto"/>
        <w:rPr>
          <w:rFonts w:cs="Arial"/>
          <w:color w:val="000000"/>
          <w:szCs w:val="24"/>
        </w:rPr>
      </w:pPr>
      <w:r w:rsidRPr="00090D25">
        <w:rPr>
          <w:rFonts w:cs="Arial"/>
          <w:color w:val="000000"/>
          <w:szCs w:val="24"/>
        </w:rPr>
        <w:t>Las ganancias o pérdidas por deterioro del valor y las diferencias de cambio se reconocerán en el resultado del ejercicio</w:t>
      </w:r>
      <w:r w:rsidR="00090D25">
        <w:rPr>
          <w:rFonts w:cs="Arial"/>
          <w:color w:val="000000"/>
          <w:szCs w:val="24"/>
        </w:rPr>
        <w:t>.</w:t>
      </w:r>
      <w:r w:rsidRPr="00372829">
        <w:rPr>
          <w:rFonts w:cs="Arial"/>
          <w:color w:val="000000"/>
          <w:szCs w:val="24"/>
        </w:rPr>
        <w:t xml:space="preserve"> </w:t>
      </w:r>
    </w:p>
    <w:p w14:paraId="75068C5D" w14:textId="77777777" w:rsidR="00D910AF" w:rsidRPr="00372829" w:rsidRDefault="00D910AF" w:rsidP="00D910AF">
      <w:pPr>
        <w:numPr>
          <w:ilvl w:val="1"/>
          <w:numId w:val="23"/>
        </w:numPr>
        <w:autoSpaceDE w:val="0"/>
        <w:autoSpaceDN w:val="0"/>
        <w:adjustRightInd w:val="0"/>
        <w:spacing w:after="0" w:line="240" w:lineRule="auto"/>
        <w:rPr>
          <w:rFonts w:cs="Arial"/>
          <w:color w:val="000000"/>
          <w:szCs w:val="24"/>
        </w:rPr>
      </w:pPr>
    </w:p>
    <w:p w14:paraId="1743B476" w14:textId="77777777" w:rsidR="00D910AF" w:rsidRPr="00DE1098" w:rsidRDefault="00D910AF" w:rsidP="00D910AF">
      <w:pPr>
        <w:autoSpaceDE w:val="0"/>
        <w:autoSpaceDN w:val="0"/>
        <w:adjustRightInd w:val="0"/>
        <w:spacing w:after="0" w:line="240" w:lineRule="auto"/>
        <w:rPr>
          <w:rFonts w:cs="Arial"/>
          <w:color w:val="000000"/>
          <w:szCs w:val="24"/>
        </w:rPr>
      </w:pPr>
      <w:r w:rsidRPr="00DE1098">
        <w:rPr>
          <w:rFonts w:cs="Arial"/>
          <w:color w:val="000000"/>
          <w:szCs w:val="24"/>
        </w:rPr>
        <w:t xml:space="preserve">En el caso de un activo no monetario, medido en una moneda extranjera, el importe en libros se determinará comparando: </w:t>
      </w:r>
    </w:p>
    <w:p w14:paraId="1B6EE345" w14:textId="77777777" w:rsidR="00D910AF" w:rsidRPr="00DE1098" w:rsidRDefault="00D910AF" w:rsidP="00D910AF">
      <w:pPr>
        <w:pStyle w:val="Prrafodelista"/>
        <w:numPr>
          <w:ilvl w:val="0"/>
          <w:numId w:val="27"/>
        </w:numPr>
        <w:autoSpaceDE w:val="0"/>
        <w:autoSpaceDN w:val="0"/>
        <w:adjustRightInd w:val="0"/>
        <w:spacing w:after="18" w:line="240" w:lineRule="auto"/>
        <w:ind w:left="426"/>
        <w:rPr>
          <w:rFonts w:cs="Arial"/>
          <w:color w:val="000000"/>
          <w:szCs w:val="24"/>
        </w:rPr>
      </w:pPr>
      <w:r w:rsidRPr="00DE1098">
        <w:rPr>
          <w:rFonts w:cs="Arial"/>
          <w:color w:val="000000"/>
          <w:szCs w:val="24"/>
        </w:rPr>
        <w:t xml:space="preserve">El costo en moneda extranjera convertido al tipo de cambio de la fecha de determinación de ese costo; </w:t>
      </w:r>
    </w:p>
    <w:p w14:paraId="08117DB9" w14:textId="77777777" w:rsidR="00D910AF" w:rsidRPr="00DE1098" w:rsidRDefault="00D910AF" w:rsidP="00D910AF">
      <w:pPr>
        <w:pStyle w:val="Prrafodelista"/>
        <w:numPr>
          <w:ilvl w:val="0"/>
          <w:numId w:val="27"/>
        </w:numPr>
        <w:autoSpaceDE w:val="0"/>
        <w:autoSpaceDN w:val="0"/>
        <w:adjustRightInd w:val="0"/>
        <w:spacing w:after="0" w:line="240" w:lineRule="auto"/>
        <w:ind w:left="425" w:hanging="357"/>
        <w:rPr>
          <w:rFonts w:cs="Arial"/>
          <w:color w:val="000000"/>
          <w:szCs w:val="24"/>
        </w:rPr>
      </w:pPr>
      <w:r w:rsidRPr="00DE1098">
        <w:rPr>
          <w:rFonts w:cs="Arial"/>
          <w:color w:val="000000"/>
          <w:szCs w:val="24"/>
        </w:rPr>
        <w:t xml:space="preserve">El importe del servicio recuperable medido en moneda extranjera convertido al tipo de cambio de la fecha de dicha medición. </w:t>
      </w:r>
    </w:p>
    <w:p w14:paraId="2210E9C4" w14:textId="77777777" w:rsidR="00D910AF" w:rsidRPr="00372829" w:rsidRDefault="00D910AF" w:rsidP="00D910AF">
      <w:pPr>
        <w:spacing w:after="0" w:line="240" w:lineRule="auto"/>
        <w:rPr>
          <w:rFonts w:cs="Arial"/>
          <w:color w:val="000000"/>
          <w:szCs w:val="24"/>
        </w:rPr>
      </w:pPr>
    </w:p>
    <w:p w14:paraId="7DE4C995" w14:textId="77777777" w:rsidR="00D910AF" w:rsidRPr="00372829" w:rsidRDefault="00D910AF" w:rsidP="0048714F">
      <w:pPr>
        <w:autoSpaceDE w:val="0"/>
        <w:autoSpaceDN w:val="0"/>
        <w:adjustRightInd w:val="0"/>
        <w:spacing w:after="120" w:line="240" w:lineRule="auto"/>
        <w:rPr>
          <w:rFonts w:cs="Arial"/>
          <w:color w:val="000000"/>
          <w:szCs w:val="24"/>
        </w:rPr>
      </w:pPr>
      <w:r w:rsidRPr="00372829">
        <w:rPr>
          <w:rFonts w:cs="Arial"/>
          <w:color w:val="000000"/>
          <w:szCs w:val="24"/>
        </w:rPr>
        <w:t xml:space="preserve">En cada fecha de presentación de los EEFF se deberán incluir: </w:t>
      </w:r>
    </w:p>
    <w:p w14:paraId="4D1660F9" w14:textId="77777777" w:rsidR="00D910AF" w:rsidRPr="00DE1098" w:rsidRDefault="00D910AF" w:rsidP="00D910AF">
      <w:pPr>
        <w:pStyle w:val="Prrafodelista"/>
        <w:numPr>
          <w:ilvl w:val="0"/>
          <w:numId w:val="28"/>
        </w:numPr>
        <w:autoSpaceDE w:val="0"/>
        <w:autoSpaceDN w:val="0"/>
        <w:adjustRightInd w:val="0"/>
        <w:spacing w:after="20" w:line="240" w:lineRule="auto"/>
        <w:ind w:left="426"/>
        <w:rPr>
          <w:rFonts w:cs="Arial"/>
          <w:color w:val="000000"/>
          <w:szCs w:val="24"/>
        </w:rPr>
      </w:pPr>
      <w:r w:rsidRPr="00DE1098">
        <w:rPr>
          <w:rFonts w:cs="Arial"/>
          <w:color w:val="000000"/>
          <w:szCs w:val="24"/>
        </w:rPr>
        <w:t xml:space="preserve">Las partidas monetarias en moneda extranjera, las cuales se convertirán utilizando la tasa de cambio de cierre; </w:t>
      </w:r>
    </w:p>
    <w:p w14:paraId="6E93166F" w14:textId="77777777" w:rsidR="00D910AF" w:rsidRPr="00DE1098" w:rsidRDefault="00D910AF" w:rsidP="00D910AF">
      <w:pPr>
        <w:pStyle w:val="Prrafodelista"/>
        <w:numPr>
          <w:ilvl w:val="0"/>
          <w:numId w:val="28"/>
        </w:numPr>
        <w:autoSpaceDE w:val="0"/>
        <w:autoSpaceDN w:val="0"/>
        <w:adjustRightInd w:val="0"/>
        <w:spacing w:after="20" w:line="240" w:lineRule="auto"/>
        <w:ind w:left="426"/>
        <w:rPr>
          <w:rFonts w:cs="Arial"/>
          <w:color w:val="000000"/>
          <w:szCs w:val="24"/>
        </w:rPr>
      </w:pPr>
      <w:r w:rsidRPr="00DE1098">
        <w:rPr>
          <w:rFonts w:cs="Arial"/>
          <w:color w:val="000000"/>
          <w:szCs w:val="24"/>
        </w:rPr>
        <w:t xml:space="preserve">Las partidas no monetarias en moneda extranjera que se midan en términos de costo histórico, las cuales se convertirán utilizando la tasa de cambio en la fecha de la transacción; y </w:t>
      </w:r>
    </w:p>
    <w:p w14:paraId="1BD08255" w14:textId="77777777" w:rsidR="00D910AF" w:rsidRPr="00DE1098" w:rsidRDefault="00D910AF" w:rsidP="00D910AF">
      <w:pPr>
        <w:pStyle w:val="Prrafodelista"/>
        <w:numPr>
          <w:ilvl w:val="0"/>
          <w:numId w:val="28"/>
        </w:numPr>
        <w:autoSpaceDE w:val="0"/>
        <w:autoSpaceDN w:val="0"/>
        <w:adjustRightInd w:val="0"/>
        <w:spacing w:after="0" w:line="240" w:lineRule="auto"/>
        <w:ind w:left="426"/>
        <w:rPr>
          <w:rFonts w:cs="Arial"/>
          <w:color w:val="000000"/>
          <w:szCs w:val="24"/>
        </w:rPr>
      </w:pPr>
      <w:r>
        <w:rPr>
          <w:rFonts w:cs="Arial"/>
          <w:color w:val="000000"/>
          <w:szCs w:val="24"/>
        </w:rPr>
        <w:t>L</w:t>
      </w:r>
      <w:r w:rsidRPr="00DE1098">
        <w:rPr>
          <w:rFonts w:cs="Arial"/>
          <w:color w:val="000000"/>
          <w:szCs w:val="24"/>
        </w:rPr>
        <w:t xml:space="preserve">as partidas no monetarias que se midan al valor razonable en una moneda extranjera, las cuales se convertirán utilizando las tasas de cambio de la fecha en que se determine este valor razonable. </w:t>
      </w:r>
    </w:p>
    <w:p w14:paraId="2924C0D6" w14:textId="77777777" w:rsidR="00D910AF" w:rsidRPr="00372829" w:rsidRDefault="00D910AF" w:rsidP="00D910AF">
      <w:pPr>
        <w:autoSpaceDE w:val="0"/>
        <w:autoSpaceDN w:val="0"/>
        <w:adjustRightInd w:val="0"/>
        <w:spacing w:after="0" w:line="240" w:lineRule="auto"/>
        <w:rPr>
          <w:rFonts w:cs="Arial"/>
          <w:color w:val="000000"/>
          <w:szCs w:val="24"/>
        </w:rPr>
      </w:pPr>
    </w:p>
    <w:p w14:paraId="02068FF0" w14:textId="77777777" w:rsidR="00D910AF" w:rsidRDefault="00D910AF" w:rsidP="00D910AF">
      <w:pPr>
        <w:numPr>
          <w:ilvl w:val="1"/>
          <w:numId w:val="24"/>
        </w:numPr>
        <w:autoSpaceDE w:val="0"/>
        <w:autoSpaceDN w:val="0"/>
        <w:adjustRightInd w:val="0"/>
        <w:spacing w:after="20" w:line="240" w:lineRule="auto"/>
        <w:ind w:left="1440" w:hanging="360"/>
        <w:rPr>
          <w:rFonts w:cs="Arial"/>
          <w:color w:val="000000"/>
          <w:szCs w:val="24"/>
        </w:rPr>
      </w:pPr>
      <w:r>
        <w:rPr>
          <w:rFonts w:cs="Arial"/>
          <w:color w:val="000000"/>
          <w:szCs w:val="24"/>
        </w:rPr>
        <w:t>S</w:t>
      </w:r>
      <w:r w:rsidRPr="00372829">
        <w:rPr>
          <w:rFonts w:cs="Arial"/>
          <w:color w:val="000000"/>
          <w:szCs w:val="24"/>
        </w:rPr>
        <w:t>e reconocerán diferencias de cambio respecto de la tenencia y/o liquidación de partidas monetarias, pautadas en moneda extranjera, en la medida de la variación del tipo de cambio a la fecha de cierre y/o liquidación respecto del vigente a la fecha de transacción y/o de inicio del ejercicio, según sea el caso</w:t>
      </w:r>
      <w:r>
        <w:rPr>
          <w:rFonts w:cs="Arial"/>
          <w:color w:val="000000"/>
          <w:szCs w:val="24"/>
        </w:rPr>
        <w:t>.</w:t>
      </w:r>
    </w:p>
    <w:p w14:paraId="50CC9485" w14:textId="77777777" w:rsidR="00D910AF" w:rsidRDefault="00D910AF" w:rsidP="00D910AF">
      <w:pPr>
        <w:numPr>
          <w:ilvl w:val="1"/>
          <w:numId w:val="24"/>
        </w:numPr>
        <w:autoSpaceDE w:val="0"/>
        <w:autoSpaceDN w:val="0"/>
        <w:adjustRightInd w:val="0"/>
        <w:spacing w:after="20" w:line="240" w:lineRule="auto"/>
        <w:ind w:left="1440" w:hanging="360"/>
        <w:rPr>
          <w:rFonts w:cs="Arial"/>
          <w:color w:val="000000"/>
          <w:szCs w:val="24"/>
        </w:rPr>
      </w:pPr>
    </w:p>
    <w:p w14:paraId="536AA435" w14:textId="77777777" w:rsidR="00D910AF" w:rsidRPr="00DE1098" w:rsidRDefault="00D910AF" w:rsidP="00D910AF">
      <w:pPr>
        <w:pStyle w:val="Prrafodelista"/>
        <w:numPr>
          <w:ilvl w:val="0"/>
          <w:numId w:val="24"/>
        </w:numPr>
        <w:autoSpaceDE w:val="0"/>
        <w:autoSpaceDN w:val="0"/>
        <w:adjustRightInd w:val="0"/>
        <w:spacing w:after="0" w:line="240" w:lineRule="auto"/>
        <w:ind w:hanging="360"/>
        <w:rPr>
          <w:rFonts w:cs="Arial"/>
          <w:color w:val="000000"/>
          <w:szCs w:val="24"/>
        </w:rPr>
      </w:pPr>
      <w:r w:rsidRPr="00DE1098">
        <w:rPr>
          <w:rFonts w:cs="Arial"/>
          <w:color w:val="000000"/>
          <w:szCs w:val="24"/>
        </w:rPr>
        <w:t>En particular, la diferencia de cambio surgirá de la conversión a moneda funcional de las partidas monetarias en moneda extranjera, considerando la variación de las tasas de cambio entre las siguientes fechas:</w:t>
      </w:r>
    </w:p>
    <w:p w14:paraId="3D2A79B1" w14:textId="77777777" w:rsidR="00D910AF" w:rsidRDefault="00D910AF" w:rsidP="00D910AF">
      <w:pPr>
        <w:autoSpaceDE w:val="0"/>
        <w:autoSpaceDN w:val="0"/>
        <w:adjustRightInd w:val="0"/>
        <w:spacing w:after="20" w:line="240" w:lineRule="auto"/>
        <w:rPr>
          <w:rFonts w:cs="Arial"/>
          <w:color w:val="000000"/>
          <w:szCs w:val="24"/>
        </w:rPr>
      </w:pPr>
    </w:p>
    <w:p w14:paraId="218B5F7B" w14:textId="77777777" w:rsidR="00D910AF" w:rsidRPr="00372829" w:rsidRDefault="00D910AF" w:rsidP="00D910AF">
      <w:pPr>
        <w:numPr>
          <w:ilvl w:val="1"/>
          <w:numId w:val="29"/>
        </w:numPr>
        <w:autoSpaceDE w:val="0"/>
        <w:autoSpaceDN w:val="0"/>
        <w:adjustRightInd w:val="0"/>
        <w:spacing w:after="20" w:line="240" w:lineRule="auto"/>
        <w:ind w:left="426"/>
        <w:rPr>
          <w:rFonts w:cs="Arial"/>
          <w:color w:val="000000"/>
          <w:szCs w:val="24"/>
        </w:rPr>
      </w:pPr>
      <w:r w:rsidRPr="00372829">
        <w:rPr>
          <w:rFonts w:cs="Arial"/>
          <w:b/>
          <w:bCs/>
          <w:color w:val="000000"/>
          <w:szCs w:val="24"/>
        </w:rPr>
        <w:t xml:space="preserve">fecha de liquidación y fecha de origen de la transacción: </w:t>
      </w:r>
      <w:r w:rsidRPr="00372829">
        <w:rPr>
          <w:rFonts w:cs="Arial"/>
          <w:color w:val="000000"/>
          <w:szCs w:val="24"/>
        </w:rPr>
        <w:t xml:space="preserve">en el caso de partidas originadas y liquidadas durante el ejercicio; </w:t>
      </w:r>
    </w:p>
    <w:p w14:paraId="7ADAC5E6" w14:textId="77777777" w:rsidR="00D910AF" w:rsidRPr="00372829" w:rsidRDefault="00D910AF" w:rsidP="00D910AF">
      <w:pPr>
        <w:numPr>
          <w:ilvl w:val="1"/>
          <w:numId w:val="29"/>
        </w:numPr>
        <w:autoSpaceDE w:val="0"/>
        <w:autoSpaceDN w:val="0"/>
        <w:adjustRightInd w:val="0"/>
        <w:spacing w:after="20" w:line="240" w:lineRule="auto"/>
        <w:ind w:left="426"/>
        <w:rPr>
          <w:rFonts w:cs="Arial"/>
          <w:color w:val="000000"/>
          <w:szCs w:val="24"/>
        </w:rPr>
      </w:pPr>
      <w:r w:rsidRPr="00372829">
        <w:rPr>
          <w:rFonts w:cs="Arial"/>
          <w:b/>
          <w:bCs/>
          <w:color w:val="000000"/>
          <w:szCs w:val="24"/>
        </w:rPr>
        <w:t xml:space="preserve">fecha de liquidación y fecha de inicio de ejercicio: </w:t>
      </w:r>
      <w:r w:rsidRPr="00372829">
        <w:rPr>
          <w:rFonts w:cs="Arial"/>
          <w:color w:val="000000"/>
          <w:szCs w:val="24"/>
        </w:rPr>
        <w:t xml:space="preserve">en el caso de partidas originadas en ejercicios anteriores y liquidadas en el ejercicio; </w:t>
      </w:r>
    </w:p>
    <w:p w14:paraId="35E70F0D" w14:textId="77777777" w:rsidR="00D910AF" w:rsidRPr="00372829" w:rsidRDefault="00D910AF" w:rsidP="00D910AF">
      <w:pPr>
        <w:numPr>
          <w:ilvl w:val="1"/>
          <w:numId w:val="29"/>
        </w:numPr>
        <w:autoSpaceDE w:val="0"/>
        <w:autoSpaceDN w:val="0"/>
        <w:adjustRightInd w:val="0"/>
        <w:spacing w:after="0" w:line="240" w:lineRule="auto"/>
        <w:ind w:left="426"/>
        <w:rPr>
          <w:rFonts w:cs="Arial"/>
          <w:color w:val="000000"/>
          <w:szCs w:val="24"/>
        </w:rPr>
      </w:pPr>
      <w:r w:rsidRPr="00372829">
        <w:rPr>
          <w:rFonts w:cs="Arial"/>
          <w:b/>
          <w:bCs/>
          <w:color w:val="000000"/>
          <w:szCs w:val="24"/>
        </w:rPr>
        <w:t xml:space="preserve">fecha de cierre y fecha de origen de la transacción: </w:t>
      </w:r>
      <w:r w:rsidRPr="00372829">
        <w:rPr>
          <w:rFonts w:cs="Arial"/>
          <w:color w:val="000000"/>
          <w:szCs w:val="24"/>
        </w:rPr>
        <w:t xml:space="preserve">en el caso de partidas originadas durante el ejercicio y mantenidas al cierre del mismo; y </w:t>
      </w:r>
    </w:p>
    <w:p w14:paraId="7C39415B" w14:textId="77777777" w:rsidR="00D910AF" w:rsidRDefault="00D910AF" w:rsidP="00D910AF">
      <w:pPr>
        <w:numPr>
          <w:ilvl w:val="1"/>
          <w:numId w:val="29"/>
        </w:numPr>
        <w:autoSpaceDE w:val="0"/>
        <w:autoSpaceDN w:val="0"/>
        <w:adjustRightInd w:val="0"/>
        <w:spacing w:after="0" w:line="240" w:lineRule="auto"/>
        <w:ind w:left="426"/>
        <w:rPr>
          <w:rFonts w:cs="Arial"/>
          <w:szCs w:val="24"/>
        </w:rPr>
      </w:pPr>
      <w:r w:rsidRPr="00372829">
        <w:rPr>
          <w:rFonts w:cs="Arial"/>
          <w:b/>
          <w:bCs/>
          <w:szCs w:val="24"/>
        </w:rPr>
        <w:t xml:space="preserve">fecha de cierre y fecha de inicio del ejercicio: </w:t>
      </w:r>
      <w:r w:rsidRPr="00372829">
        <w:rPr>
          <w:rFonts w:cs="Arial"/>
          <w:szCs w:val="24"/>
        </w:rPr>
        <w:t xml:space="preserve">en el caso de partidas originadas en ejercicios anteriores y mantenidas al cierre del ejercicio. </w:t>
      </w:r>
    </w:p>
    <w:p w14:paraId="3B8D45E2" w14:textId="77777777" w:rsidR="00D910AF" w:rsidRPr="00372829" w:rsidRDefault="00D910AF" w:rsidP="00D910AF">
      <w:pPr>
        <w:numPr>
          <w:ilvl w:val="1"/>
          <w:numId w:val="25"/>
        </w:numPr>
        <w:autoSpaceDE w:val="0"/>
        <w:autoSpaceDN w:val="0"/>
        <w:adjustRightInd w:val="0"/>
        <w:spacing w:after="0" w:line="240" w:lineRule="auto"/>
        <w:ind w:left="720" w:hanging="360"/>
        <w:rPr>
          <w:rFonts w:cs="Arial"/>
          <w:szCs w:val="24"/>
        </w:rPr>
      </w:pPr>
    </w:p>
    <w:p w14:paraId="35BEB277" w14:textId="77777777" w:rsidR="00D910AF" w:rsidRPr="00C876DD" w:rsidRDefault="00D910AF" w:rsidP="00D910AF">
      <w:pPr>
        <w:spacing w:line="240" w:lineRule="auto"/>
        <w:rPr>
          <w:b/>
          <w:bCs/>
          <w:szCs w:val="24"/>
          <w:lang w:eastAsia="es-CR"/>
        </w:rPr>
      </w:pPr>
      <w:r w:rsidRPr="00C876DD">
        <w:rPr>
          <w:b/>
          <w:bCs/>
          <w:szCs w:val="24"/>
          <w:lang w:eastAsia="es-CR"/>
        </w:rPr>
        <w:t>Otras revelaciones</w:t>
      </w:r>
    </w:p>
    <w:p w14:paraId="6FD13E05" w14:textId="2D5922F7" w:rsidR="00D910AF" w:rsidRDefault="00D910AF" w:rsidP="00D910AF">
      <w:pPr>
        <w:spacing w:line="240" w:lineRule="auto"/>
        <w:rPr>
          <w:szCs w:val="24"/>
          <w:lang w:eastAsia="es-CR"/>
        </w:rPr>
      </w:pPr>
      <w:r w:rsidRPr="00BF3C19">
        <w:rPr>
          <w:szCs w:val="24"/>
          <w:lang w:eastAsia="es-CR"/>
        </w:rPr>
        <w:t xml:space="preserve">A la Municipalidad de Buenos Aires </w:t>
      </w:r>
      <w:r>
        <w:rPr>
          <w:szCs w:val="24"/>
          <w:lang w:eastAsia="es-CR"/>
        </w:rPr>
        <w:t>no</w:t>
      </w:r>
      <w:r w:rsidRPr="00BF3C19">
        <w:rPr>
          <w:szCs w:val="24"/>
          <w:lang w:eastAsia="es-CR"/>
        </w:rPr>
        <w:t xml:space="preserve"> mantiene cuentas </w:t>
      </w:r>
      <w:r>
        <w:rPr>
          <w:szCs w:val="24"/>
          <w:lang w:eastAsia="es-CR"/>
        </w:rPr>
        <w:t xml:space="preserve">corrientes </w:t>
      </w:r>
      <w:r w:rsidRPr="00BF3C19">
        <w:rPr>
          <w:szCs w:val="24"/>
          <w:lang w:eastAsia="es-CR"/>
        </w:rPr>
        <w:t xml:space="preserve">en moneda </w:t>
      </w:r>
      <w:r>
        <w:rPr>
          <w:szCs w:val="24"/>
          <w:lang w:eastAsia="es-CR"/>
        </w:rPr>
        <w:t xml:space="preserve">extranjera, sus cuentas corrientes son en moneda </w:t>
      </w:r>
      <w:r w:rsidRPr="00BF3C19">
        <w:rPr>
          <w:szCs w:val="24"/>
          <w:lang w:eastAsia="es-CR"/>
        </w:rPr>
        <w:t>nacional (colones costarricenses)</w:t>
      </w:r>
      <w:r>
        <w:rPr>
          <w:szCs w:val="24"/>
          <w:lang w:eastAsia="es-CR"/>
        </w:rPr>
        <w:t>, la cual se tiene establecida como moneda funcional</w:t>
      </w:r>
      <w:r w:rsidRPr="00BF3C19">
        <w:rPr>
          <w:szCs w:val="24"/>
          <w:lang w:eastAsia="es-CR"/>
        </w:rPr>
        <w:t xml:space="preserve">; asimismo, todas las transacciones se </w:t>
      </w:r>
      <w:r>
        <w:rPr>
          <w:szCs w:val="24"/>
          <w:lang w:eastAsia="es-CR"/>
        </w:rPr>
        <w:t>registran</w:t>
      </w:r>
      <w:r w:rsidRPr="00BF3C19">
        <w:rPr>
          <w:szCs w:val="24"/>
          <w:lang w:eastAsia="es-CR"/>
        </w:rPr>
        <w:t xml:space="preserve"> en esa moneda. </w:t>
      </w:r>
      <w:r>
        <w:rPr>
          <w:szCs w:val="24"/>
          <w:lang w:eastAsia="es-CR"/>
        </w:rPr>
        <w:t>Además, e</w:t>
      </w:r>
      <w:r w:rsidRPr="00BF3C19">
        <w:rPr>
          <w:szCs w:val="24"/>
          <w:lang w:eastAsia="es-CR"/>
        </w:rPr>
        <w:t>s pertinente indicar, que de manera excepcional se presenta</w:t>
      </w:r>
      <w:r>
        <w:rPr>
          <w:szCs w:val="24"/>
          <w:lang w:eastAsia="es-CR"/>
        </w:rPr>
        <w:t>n</w:t>
      </w:r>
      <w:r w:rsidRPr="00BF3C19">
        <w:rPr>
          <w:szCs w:val="24"/>
          <w:lang w:eastAsia="es-CR"/>
        </w:rPr>
        <w:t xml:space="preserve"> transacci</w:t>
      </w:r>
      <w:r>
        <w:rPr>
          <w:szCs w:val="24"/>
          <w:lang w:eastAsia="es-CR"/>
        </w:rPr>
        <w:t>o</w:t>
      </w:r>
      <w:r w:rsidRPr="00BF3C19">
        <w:rPr>
          <w:szCs w:val="24"/>
          <w:lang w:eastAsia="es-CR"/>
        </w:rPr>
        <w:t>n</w:t>
      </w:r>
      <w:r>
        <w:rPr>
          <w:szCs w:val="24"/>
          <w:lang w:eastAsia="es-CR"/>
        </w:rPr>
        <w:t>es</w:t>
      </w:r>
      <w:r w:rsidRPr="00BF3C19">
        <w:rPr>
          <w:szCs w:val="24"/>
          <w:lang w:eastAsia="es-CR"/>
        </w:rPr>
        <w:t xml:space="preserve"> en alguna moneda extranjera, en cuyo caso la misma se medirá al tipo de cambio oficial del día que se reconoce y cancela. </w:t>
      </w:r>
      <w:r>
        <w:rPr>
          <w:szCs w:val="24"/>
          <w:lang w:eastAsia="es-CR"/>
        </w:rPr>
        <w:t>Asimismo</w:t>
      </w:r>
      <w:r w:rsidRPr="00BF3C19">
        <w:rPr>
          <w:szCs w:val="24"/>
          <w:lang w:eastAsia="es-CR"/>
        </w:rPr>
        <w:t xml:space="preserve">, es pertinente indicar que al </w:t>
      </w:r>
      <w:r w:rsidR="00D470B6">
        <w:rPr>
          <w:szCs w:val="24"/>
          <w:lang w:eastAsia="es-CR"/>
        </w:rPr>
        <w:t>30 de junio</w:t>
      </w:r>
      <w:r>
        <w:rPr>
          <w:szCs w:val="24"/>
          <w:lang w:eastAsia="es-CR"/>
        </w:rPr>
        <w:t xml:space="preserve"> de 202</w:t>
      </w:r>
      <w:r w:rsidR="002D3D6C">
        <w:rPr>
          <w:szCs w:val="24"/>
          <w:lang w:eastAsia="es-CR"/>
        </w:rPr>
        <w:t>4</w:t>
      </w:r>
      <w:r w:rsidRPr="00BF3C19">
        <w:rPr>
          <w:szCs w:val="24"/>
          <w:lang w:eastAsia="es-CR"/>
        </w:rPr>
        <w:t xml:space="preserve"> la Municipalidad no posee efectivo ni equivalentes de efectivo, así como cualquier otra cuenta de activo o pasivo en moneda extranjera</w:t>
      </w:r>
      <w:r>
        <w:rPr>
          <w:szCs w:val="24"/>
          <w:lang w:eastAsia="es-CR"/>
        </w:rPr>
        <w:t xml:space="preserve"> que requiriera ajuste por variación del tipo de cabio</w:t>
      </w:r>
      <w:r w:rsidRPr="00BF3C19">
        <w:rPr>
          <w:szCs w:val="24"/>
          <w:lang w:eastAsia="es-CR"/>
        </w:rPr>
        <w:t>.</w:t>
      </w:r>
    </w:p>
    <w:p w14:paraId="494527E6" w14:textId="27101126" w:rsidR="00D910AF" w:rsidRDefault="00D910AF" w:rsidP="00D910AF">
      <w:pPr>
        <w:spacing w:line="240" w:lineRule="auto"/>
        <w:rPr>
          <w:szCs w:val="24"/>
          <w:lang w:eastAsia="es-CR"/>
        </w:rPr>
      </w:pPr>
      <w:bookmarkStart w:id="32" w:name="_Hlk158621807"/>
      <w:r>
        <w:rPr>
          <w:szCs w:val="24"/>
          <w:lang w:eastAsia="es-CR"/>
        </w:rPr>
        <w:t xml:space="preserve">De acuerdo con lo consignado en la Matriz de NICSP y Plan de Acción al </w:t>
      </w:r>
      <w:r w:rsidR="00D470B6">
        <w:rPr>
          <w:szCs w:val="24"/>
          <w:lang w:eastAsia="es-CR"/>
        </w:rPr>
        <w:t>30 de junio</w:t>
      </w:r>
      <w:r>
        <w:rPr>
          <w:szCs w:val="24"/>
          <w:lang w:eastAsia="es-CR"/>
        </w:rPr>
        <w:t xml:space="preserve"> se encuentra pendiente de implementar lo siguiente:</w:t>
      </w:r>
    </w:p>
    <w:tbl>
      <w:tblPr>
        <w:tblW w:w="8900" w:type="dxa"/>
        <w:tblLook w:val="04A0" w:firstRow="1" w:lastRow="0" w:firstColumn="1" w:lastColumn="0" w:noHBand="0" w:noVBand="1"/>
      </w:tblPr>
      <w:tblGrid>
        <w:gridCol w:w="7220"/>
        <w:gridCol w:w="1680"/>
      </w:tblGrid>
      <w:tr w:rsidR="00D910AF" w:rsidRPr="00031D3F" w14:paraId="15CAFA14" w14:textId="77777777" w:rsidTr="004653E2">
        <w:trPr>
          <w:trHeight w:val="530"/>
        </w:trPr>
        <w:tc>
          <w:tcPr>
            <w:tcW w:w="72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bookmarkEnd w:id="32"/>
          <w:p w14:paraId="7D18738C" w14:textId="77777777" w:rsidR="00D910AF" w:rsidRPr="00031D3F" w:rsidRDefault="00D910AF" w:rsidP="004653E2">
            <w:pPr>
              <w:spacing w:after="0" w:line="240" w:lineRule="auto"/>
              <w:jc w:val="center"/>
              <w:rPr>
                <w:rFonts w:eastAsia="Times New Roman" w:cs="Calibri"/>
                <w:b/>
                <w:bCs/>
                <w:sz w:val="20"/>
                <w:szCs w:val="20"/>
                <w:lang w:val="en-US"/>
              </w:rPr>
            </w:pPr>
            <w:r w:rsidRPr="00031D3F">
              <w:rPr>
                <w:rFonts w:eastAsia="Times New Roman" w:cs="Calibri"/>
                <w:b/>
                <w:bCs/>
                <w:sz w:val="20"/>
                <w:szCs w:val="20"/>
                <w:lang w:val="en-US"/>
              </w:rPr>
              <w:t>Actividades Pendientes de Cumplimiento</w:t>
            </w:r>
          </w:p>
        </w:tc>
        <w:tc>
          <w:tcPr>
            <w:tcW w:w="1680" w:type="dxa"/>
            <w:tcBorders>
              <w:top w:val="single" w:sz="8" w:space="0" w:color="auto"/>
              <w:left w:val="nil"/>
              <w:bottom w:val="single" w:sz="4" w:space="0" w:color="auto"/>
              <w:right w:val="single" w:sz="8" w:space="0" w:color="auto"/>
            </w:tcBorders>
            <w:shd w:val="clear" w:color="000000" w:fill="FFFFFF"/>
            <w:vAlign w:val="bottom"/>
            <w:hideMark/>
          </w:tcPr>
          <w:p w14:paraId="2E15CFA0" w14:textId="77777777" w:rsidR="00D910AF" w:rsidRPr="00031D3F" w:rsidRDefault="00D910AF" w:rsidP="004653E2">
            <w:pPr>
              <w:spacing w:after="0" w:line="240" w:lineRule="auto"/>
              <w:jc w:val="center"/>
              <w:rPr>
                <w:rFonts w:eastAsia="Times New Roman" w:cs="Calibri"/>
                <w:b/>
                <w:bCs/>
                <w:color w:val="000000"/>
                <w:sz w:val="20"/>
                <w:szCs w:val="20"/>
                <w:lang w:val="en-US"/>
              </w:rPr>
            </w:pPr>
            <w:r w:rsidRPr="00031D3F">
              <w:rPr>
                <w:rFonts w:eastAsia="Times New Roman" w:cs="Calibri"/>
                <w:b/>
                <w:bCs/>
                <w:color w:val="000000"/>
                <w:sz w:val="20"/>
                <w:szCs w:val="20"/>
                <w:lang w:val="en-US"/>
              </w:rPr>
              <w:t>Fecha Estimada Cumplimiento</w:t>
            </w:r>
          </w:p>
        </w:tc>
      </w:tr>
      <w:tr w:rsidR="00D910AF" w:rsidRPr="00031D3F" w14:paraId="7AE4738C" w14:textId="77777777" w:rsidTr="004653E2">
        <w:trPr>
          <w:trHeight w:val="520"/>
        </w:trPr>
        <w:tc>
          <w:tcPr>
            <w:tcW w:w="7220" w:type="dxa"/>
            <w:tcBorders>
              <w:top w:val="nil"/>
              <w:left w:val="single" w:sz="8" w:space="0" w:color="auto"/>
              <w:bottom w:val="single" w:sz="4" w:space="0" w:color="auto"/>
              <w:right w:val="single" w:sz="4" w:space="0" w:color="auto"/>
            </w:tcBorders>
            <w:shd w:val="clear" w:color="000000" w:fill="FFFFFF"/>
            <w:vAlign w:val="center"/>
            <w:hideMark/>
          </w:tcPr>
          <w:p w14:paraId="26E899A6" w14:textId="77777777" w:rsidR="00D910AF" w:rsidRPr="00031D3F" w:rsidRDefault="00D910AF" w:rsidP="004653E2">
            <w:pPr>
              <w:spacing w:after="0" w:line="240" w:lineRule="auto"/>
              <w:rPr>
                <w:rFonts w:eastAsia="Times New Roman" w:cs="Calibri"/>
                <w:sz w:val="20"/>
                <w:szCs w:val="20"/>
              </w:rPr>
            </w:pPr>
            <w:r w:rsidRPr="00031D3F">
              <w:rPr>
                <w:rFonts w:eastAsia="Times New Roman" w:cs="Calibri"/>
                <w:sz w:val="20"/>
                <w:szCs w:val="20"/>
              </w:rPr>
              <w:t>Emitir las políticas contables específicas para el reconocimiento y la medición de los efectos de los cambios en las divisas en los estados financieros</w:t>
            </w:r>
          </w:p>
        </w:tc>
        <w:tc>
          <w:tcPr>
            <w:tcW w:w="1680" w:type="dxa"/>
            <w:tcBorders>
              <w:top w:val="nil"/>
              <w:left w:val="nil"/>
              <w:bottom w:val="single" w:sz="4" w:space="0" w:color="auto"/>
              <w:right w:val="single" w:sz="8" w:space="0" w:color="auto"/>
            </w:tcBorders>
            <w:shd w:val="clear" w:color="000000" w:fill="FFFFFF"/>
            <w:noWrap/>
            <w:vAlign w:val="center"/>
            <w:hideMark/>
          </w:tcPr>
          <w:p w14:paraId="445B3A9D" w14:textId="6E51C5DE" w:rsidR="00D910AF" w:rsidRPr="00031D3F" w:rsidRDefault="004653E2" w:rsidP="004653E2">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31/12</w:t>
            </w:r>
            <w:r w:rsidR="00D910AF" w:rsidRPr="00031D3F">
              <w:rPr>
                <w:rFonts w:eastAsia="Times New Roman" w:cs="Calibri"/>
                <w:color w:val="000000"/>
                <w:sz w:val="20"/>
                <w:szCs w:val="20"/>
                <w:lang w:val="en-US"/>
              </w:rPr>
              <w:t>/24</w:t>
            </w:r>
          </w:p>
        </w:tc>
      </w:tr>
      <w:tr w:rsidR="004653E2" w:rsidRPr="00031D3F" w14:paraId="02B42BAD" w14:textId="77777777" w:rsidTr="004653E2">
        <w:trPr>
          <w:trHeight w:val="780"/>
        </w:trPr>
        <w:tc>
          <w:tcPr>
            <w:tcW w:w="7220" w:type="dxa"/>
            <w:tcBorders>
              <w:top w:val="nil"/>
              <w:left w:val="single" w:sz="8" w:space="0" w:color="auto"/>
              <w:bottom w:val="single" w:sz="4" w:space="0" w:color="auto"/>
              <w:right w:val="single" w:sz="4" w:space="0" w:color="auto"/>
            </w:tcBorders>
            <w:shd w:val="clear" w:color="auto" w:fill="auto"/>
            <w:vAlign w:val="center"/>
            <w:hideMark/>
          </w:tcPr>
          <w:p w14:paraId="2931ABE2" w14:textId="77777777" w:rsidR="004653E2" w:rsidRPr="00031D3F" w:rsidRDefault="004653E2" w:rsidP="004653E2">
            <w:pPr>
              <w:spacing w:after="0" w:line="240" w:lineRule="auto"/>
              <w:rPr>
                <w:rFonts w:eastAsia="Times New Roman" w:cs="Calibri"/>
                <w:sz w:val="20"/>
                <w:szCs w:val="20"/>
              </w:rPr>
            </w:pPr>
            <w:r w:rsidRPr="00031D3F">
              <w:rPr>
                <w:rFonts w:eastAsia="Times New Roman" w:cs="Calibri"/>
                <w:sz w:val="20"/>
                <w:szCs w:val="20"/>
              </w:rPr>
              <w:t>Poner en operación en cada fecha de presentación de los estados financieros la práctica de que las partidas monetarias y no monetarias en moneda extranjera se convierten utilizando la tasa de cambio de cierre.</w:t>
            </w:r>
          </w:p>
        </w:tc>
        <w:tc>
          <w:tcPr>
            <w:tcW w:w="1680" w:type="dxa"/>
            <w:tcBorders>
              <w:top w:val="nil"/>
              <w:left w:val="nil"/>
              <w:bottom w:val="single" w:sz="4" w:space="0" w:color="auto"/>
              <w:right w:val="single" w:sz="8" w:space="0" w:color="auto"/>
            </w:tcBorders>
            <w:shd w:val="clear" w:color="000000" w:fill="FFFFFF"/>
            <w:noWrap/>
            <w:hideMark/>
          </w:tcPr>
          <w:p w14:paraId="719BD7D6" w14:textId="7EE28277" w:rsidR="004653E2" w:rsidRPr="00031D3F" w:rsidRDefault="004653E2" w:rsidP="004653E2">
            <w:pPr>
              <w:spacing w:after="0" w:line="240" w:lineRule="auto"/>
              <w:jc w:val="center"/>
              <w:rPr>
                <w:rFonts w:eastAsia="Times New Roman" w:cs="Calibri"/>
                <w:color w:val="000000"/>
                <w:sz w:val="20"/>
                <w:szCs w:val="20"/>
                <w:lang w:val="en-US"/>
              </w:rPr>
            </w:pPr>
            <w:r w:rsidRPr="00BB70AB">
              <w:rPr>
                <w:rFonts w:eastAsia="Times New Roman" w:cs="Calibri"/>
                <w:color w:val="000000"/>
                <w:sz w:val="20"/>
                <w:szCs w:val="20"/>
                <w:lang w:val="en-US"/>
              </w:rPr>
              <w:t>31/12/24</w:t>
            </w:r>
          </w:p>
        </w:tc>
      </w:tr>
      <w:tr w:rsidR="004653E2" w:rsidRPr="00031D3F" w14:paraId="2EC0C3AA" w14:textId="77777777" w:rsidTr="004653E2">
        <w:trPr>
          <w:trHeight w:val="780"/>
        </w:trPr>
        <w:tc>
          <w:tcPr>
            <w:tcW w:w="7220" w:type="dxa"/>
            <w:tcBorders>
              <w:top w:val="nil"/>
              <w:left w:val="single" w:sz="8" w:space="0" w:color="auto"/>
              <w:bottom w:val="single" w:sz="4" w:space="0" w:color="auto"/>
              <w:right w:val="single" w:sz="4" w:space="0" w:color="auto"/>
            </w:tcBorders>
            <w:shd w:val="clear" w:color="auto" w:fill="auto"/>
            <w:vAlign w:val="center"/>
            <w:hideMark/>
          </w:tcPr>
          <w:p w14:paraId="54FC33EF" w14:textId="77777777" w:rsidR="004653E2" w:rsidRPr="00031D3F" w:rsidRDefault="004653E2" w:rsidP="004653E2">
            <w:pPr>
              <w:spacing w:after="0" w:line="240" w:lineRule="auto"/>
              <w:rPr>
                <w:rFonts w:eastAsia="Times New Roman" w:cs="Calibri"/>
                <w:sz w:val="20"/>
                <w:szCs w:val="20"/>
              </w:rPr>
            </w:pPr>
            <w:r w:rsidRPr="00031D3F">
              <w:rPr>
                <w:rFonts w:eastAsia="Times New Roman" w:cs="Calibri"/>
                <w:sz w:val="20"/>
                <w:szCs w:val="20"/>
              </w:rPr>
              <w:t>Reconocer el importe de las diferencias de cambio en el resultado (ahorro o desahorro), con excepción de las procedentes de los instrumentos financieros medidos al valor razonable con cambios en los resultados.</w:t>
            </w:r>
          </w:p>
        </w:tc>
        <w:tc>
          <w:tcPr>
            <w:tcW w:w="1680" w:type="dxa"/>
            <w:tcBorders>
              <w:top w:val="nil"/>
              <w:left w:val="nil"/>
              <w:bottom w:val="single" w:sz="4" w:space="0" w:color="auto"/>
              <w:right w:val="single" w:sz="8" w:space="0" w:color="auto"/>
            </w:tcBorders>
            <w:shd w:val="clear" w:color="000000" w:fill="FFFFFF"/>
            <w:noWrap/>
            <w:hideMark/>
          </w:tcPr>
          <w:p w14:paraId="6A61387B" w14:textId="5FFA9011" w:rsidR="004653E2" w:rsidRPr="00031D3F" w:rsidRDefault="004653E2" w:rsidP="004653E2">
            <w:pPr>
              <w:spacing w:after="0" w:line="240" w:lineRule="auto"/>
              <w:jc w:val="center"/>
              <w:rPr>
                <w:rFonts w:eastAsia="Times New Roman" w:cs="Calibri"/>
                <w:color w:val="000000"/>
                <w:sz w:val="20"/>
                <w:szCs w:val="20"/>
                <w:lang w:val="en-US"/>
              </w:rPr>
            </w:pPr>
            <w:r w:rsidRPr="00BB70AB">
              <w:rPr>
                <w:rFonts w:eastAsia="Times New Roman" w:cs="Calibri"/>
                <w:color w:val="000000"/>
                <w:sz w:val="20"/>
                <w:szCs w:val="20"/>
                <w:lang w:val="en-US"/>
              </w:rPr>
              <w:t>31/12/24</w:t>
            </w:r>
          </w:p>
        </w:tc>
      </w:tr>
      <w:tr w:rsidR="004653E2" w:rsidRPr="00031D3F" w14:paraId="5E99FD50" w14:textId="77777777" w:rsidTr="004653E2">
        <w:trPr>
          <w:trHeight w:val="790"/>
        </w:trPr>
        <w:tc>
          <w:tcPr>
            <w:tcW w:w="7220" w:type="dxa"/>
            <w:tcBorders>
              <w:top w:val="nil"/>
              <w:left w:val="single" w:sz="8" w:space="0" w:color="auto"/>
              <w:bottom w:val="single" w:sz="8" w:space="0" w:color="auto"/>
              <w:right w:val="single" w:sz="4" w:space="0" w:color="auto"/>
            </w:tcBorders>
            <w:shd w:val="clear" w:color="auto" w:fill="auto"/>
            <w:vAlign w:val="center"/>
            <w:hideMark/>
          </w:tcPr>
          <w:p w14:paraId="341F29B3" w14:textId="77777777" w:rsidR="004653E2" w:rsidRPr="00031D3F" w:rsidRDefault="004653E2" w:rsidP="004653E2">
            <w:pPr>
              <w:spacing w:after="0" w:line="240" w:lineRule="auto"/>
              <w:rPr>
                <w:rFonts w:eastAsia="Times New Roman" w:cs="Calibri"/>
                <w:sz w:val="20"/>
                <w:szCs w:val="20"/>
              </w:rPr>
            </w:pPr>
            <w:r w:rsidRPr="00031D3F">
              <w:rPr>
                <w:rFonts w:eastAsia="Times New Roman" w:cs="Calibri"/>
                <w:sz w:val="20"/>
                <w:szCs w:val="20"/>
              </w:rPr>
              <w:t>Revelar las diferencias de cambio netas clasificadas como un componente separado de los activos netos/patrimonio, así como una conciliación entre los importes de estas diferencias al principio y al final del periodo.</w:t>
            </w:r>
          </w:p>
        </w:tc>
        <w:tc>
          <w:tcPr>
            <w:tcW w:w="1680" w:type="dxa"/>
            <w:tcBorders>
              <w:top w:val="nil"/>
              <w:left w:val="nil"/>
              <w:bottom w:val="single" w:sz="8" w:space="0" w:color="auto"/>
              <w:right w:val="single" w:sz="8" w:space="0" w:color="auto"/>
            </w:tcBorders>
            <w:shd w:val="clear" w:color="000000" w:fill="FFFFFF"/>
            <w:noWrap/>
            <w:hideMark/>
          </w:tcPr>
          <w:p w14:paraId="2A8F82CF" w14:textId="05387690" w:rsidR="004653E2" w:rsidRPr="00031D3F" w:rsidRDefault="004653E2" w:rsidP="004653E2">
            <w:pPr>
              <w:spacing w:after="0" w:line="240" w:lineRule="auto"/>
              <w:jc w:val="center"/>
              <w:rPr>
                <w:rFonts w:eastAsia="Times New Roman" w:cs="Calibri"/>
                <w:color w:val="000000"/>
                <w:sz w:val="20"/>
                <w:szCs w:val="20"/>
                <w:lang w:val="en-US"/>
              </w:rPr>
            </w:pPr>
            <w:r w:rsidRPr="00BB70AB">
              <w:rPr>
                <w:rFonts w:eastAsia="Times New Roman" w:cs="Calibri"/>
                <w:color w:val="000000"/>
                <w:sz w:val="20"/>
                <w:szCs w:val="20"/>
                <w:lang w:val="en-US"/>
              </w:rPr>
              <w:t>31/12/24</w:t>
            </w:r>
          </w:p>
        </w:tc>
      </w:tr>
    </w:tbl>
    <w:p w14:paraId="5497D627" w14:textId="77777777" w:rsidR="00D910AF" w:rsidRDefault="00D910AF" w:rsidP="00D910AF">
      <w:pPr>
        <w:spacing w:line="240" w:lineRule="auto"/>
        <w:rPr>
          <w:szCs w:val="24"/>
          <w:lang w:eastAsia="es-CR"/>
        </w:rPr>
      </w:pPr>
    </w:p>
    <w:p w14:paraId="29BAADFA" w14:textId="77777777" w:rsidR="00486EC5" w:rsidRDefault="00486EC5" w:rsidP="00486EC5"/>
    <w:p w14:paraId="4F670294" w14:textId="196DF0C6" w:rsidR="00982595" w:rsidRPr="001C7FD6" w:rsidRDefault="00171A58" w:rsidP="00486EC5">
      <w:pPr>
        <w:pStyle w:val="Ttulo2"/>
        <w:spacing w:after="240"/>
      </w:pPr>
      <w:bookmarkStart w:id="33" w:name="_Toc173245191"/>
      <w:r w:rsidRPr="00171A58">
        <w:t>NICSP 5 COSTO POR INTERESES:</w:t>
      </w:r>
      <w:bookmarkEnd w:id="30"/>
      <w:bookmarkEnd w:id="31"/>
      <w:bookmarkEnd w:id="33"/>
      <w:r w:rsidRPr="00171A58">
        <w:t xml:space="preserve"> </w:t>
      </w:r>
    </w:p>
    <w:p w14:paraId="07A1FED8" w14:textId="77777777" w:rsidR="00694299" w:rsidRDefault="00FB0858" w:rsidP="002007F6">
      <w:pPr>
        <w:rPr>
          <w:rFonts w:asciiTheme="minorHAnsi" w:hAnsiTheme="minorHAnsi"/>
          <w:sz w:val="22"/>
        </w:rPr>
      </w:pPr>
      <w:r w:rsidRPr="00FB0858">
        <w:t>De acuerdo con la NICSP 5-: Costo por Intereses</w:t>
      </w:r>
      <w:r>
        <w:t>, i</w:t>
      </w:r>
      <w:r w:rsidR="00171A58">
        <w:t xml:space="preserve">ndicar si este rubro afecta SI o NO a la institución, </w:t>
      </w:r>
      <w:r w:rsidR="00405DBC" w:rsidRPr="00405DBC">
        <w:t>además del porcentaje de avance</w:t>
      </w:r>
      <w:r w:rsidR="00405DBC">
        <w:t xml:space="preserve"> en la implementación</w:t>
      </w:r>
      <w:r w:rsidR="00405DBC" w:rsidRPr="00405DBC">
        <w:t xml:space="preserve"> que presenta</w:t>
      </w:r>
      <w:r w:rsidR="00D16DB1">
        <w:t>.</w:t>
      </w:r>
      <w:r w:rsidR="00791EEB">
        <w:fldChar w:fldCharType="begin"/>
      </w:r>
      <w:r w:rsidR="00791EEB">
        <w:instrText xml:space="preserve"> LINK </w:instrText>
      </w:r>
      <w:r w:rsidR="00323752">
        <w:instrText xml:space="preserve">Excel.SheetMacroEnabled.12 "D:\\MORAVIA\\INSUMOS\\NOTAS 2024\\Formato_Notas_EEFF_Vinculadas_2024\\XXXXX_PXX_202X_Anexo_Estado_Notas_Contables_Vinculadas.xlsm" NICSP_5!F9C3:F10C4 </w:instrText>
      </w:r>
      <w:r w:rsidR="00791EEB">
        <w:instrText xml:space="preserve">\a \f 4 \h </w:instrText>
      </w:r>
      <w:r w:rsidR="00791EEB">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694299" w:rsidRPr="00694299" w14:paraId="2D4E1C27" w14:textId="77777777" w:rsidTr="00694299">
        <w:trPr>
          <w:divId w:val="130175396"/>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18A472CA" w14:textId="5549B498"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479B5"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Si</w:t>
            </w:r>
          </w:p>
        </w:tc>
      </w:tr>
      <w:tr w:rsidR="00694299" w:rsidRPr="00694299" w14:paraId="25E689BE" w14:textId="77777777" w:rsidTr="00694299">
        <w:trPr>
          <w:divId w:val="130175396"/>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289AC056"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53D1779C"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100,00%</w:t>
            </w:r>
          </w:p>
        </w:tc>
      </w:tr>
    </w:tbl>
    <w:p w14:paraId="41B1F314" w14:textId="56BCB125" w:rsidR="00171A58" w:rsidRDefault="00791EEB" w:rsidP="002007F6">
      <w:r>
        <w:fldChar w:fldCharType="end"/>
      </w:r>
    </w:p>
    <w:p w14:paraId="0DAB970F" w14:textId="03A86BCB" w:rsidR="00171A58" w:rsidRDefault="00171A58" w:rsidP="00171A58">
      <w:pPr>
        <w:jc w:val="center"/>
      </w:pPr>
      <w:r w:rsidRPr="00B96662">
        <w:rPr>
          <w:noProof/>
          <w:lang w:eastAsia="es-CR"/>
        </w:rPr>
        <w:drawing>
          <wp:inline distT="0" distB="0" distL="0" distR="0" wp14:anchorId="6C5C5F20" wp14:editId="2EBA37AD">
            <wp:extent cx="4274820" cy="1074420"/>
            <wp:effectExtent l="0" t="0" r="0" b="0"/>
            <wp:docPr id="5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4820" cy="1074420"/>
                    </a:xfrm>
                    <a:prstGeom prst="rect">
                      <a:avLst/>
                    </a:prstGeom>
                    <a:noFill/>
                    <a:ln>
                      <a:noFill/>
                    </a:ln>
                  </pic:spPr>
                </pic:pic>
              </a:graphicData>
            </a:graphic>
          </wp:inline>
        </w:drawing>
      </w:r>
    </w:p>
    <w:p w14:paraId="0ACEC084" w14:textId="77777777" w:rsidR="00171A58" w:rsidRDefault="00171A58" w:rsidP="00171A58">
      <w:r>
        <w:t>Se realizará la revelación considerando la política 1.172 del Plan General de Contabilidad.</w:t>
      </w:r>
    </w:p>
    <w:p w14:paraId="38BC45EB" w14:textId="77777777" w:rsidR="00171A58" w:rsidRDefault="00171A58" w:rsidP="00171A58">
      <w:r>
        <w:t>a) las políticas contables adoptadas con relación a los costos por préstamos;</w:t>
      </w:r>
    </w:p>
    <w:p w14:paraId="29D32A87" w14:textId="77777777" w:rsidR="00171A58" w:rsidRDefault="00171A58" w:rsidP="00171A58">
      <w:r>
        <w:t>b) el importe de los costos por préstamos capitalizados durante el período; y</w:t>
      </w:r>
    </w:p>
    <w:p w14:paraId="251354F0" w14:textId="77777777" w:rsidR="00171A58" w:rsidRDefault="00171A58" w:rsidP="00171A58">
      <w:r>
        <w:t>c) la tasa de capitalización utilizada para determinar el importe de los costos por préstamos susceptibles de capitalización (si ha sido necesario aplicar una tasa de capitalización a los fondos obtenidos mediante un endeudamiento centralizado).</w:t>
      </w:r>
    </w:p>
    <w:p w14:paraId="1E4CF0BD" w14:textId="77777777" w:rsidR="006D6E93" w:rsidRDefault="000C3947" w:rsidP="006D6E93">
      <w:pPr>
        <w:spacing w:line="240" w:lineRule="auto"/>
        <w:rPr>
          <w:b/>
          <w:color w:val="FFFFFF" w:themeColor="background1"/>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0F52AC9C" w14:textId="77777777" w:rsidR="002D01B0" w:rsidRDefault="006D6E93" w:rsidP="006D6E93">
      <w:pPr>
        <w:spacing w:after="120" w:line="240" w:lineRule="auto"/>
        <w:rPr>
          <w:rFonts w:eastAsia="Calibri"/>
          <w:szCs w:val="24"/>
        </w:rPr>
      </w:pPr>
      <w:r w:rsidRPr="003934D3">
        <w:rPr>
          <w:rFonts w:eastAsia="Calibri"/>
          <w:szCs w:val="24"/>
        </w:rPr>
        <w:t>La Municipalidad adoptó como políticas contables en relación con los costos por préstamos, que los mismos serán reconocidos como gastos en el periodo en que se incurran</w:t>
      </w:r>
      <w:r w:rsidR="002D01B0">
        <w:rPr>
          <w:rFonts w:eastAsia="Calibri"/>
          <w:szCs w:val="24"/>
        </w:rPr>
        <w:t xml:space="preserve">, </w:t>
      </w:r>
      <w:r w:rsidR="002D01B0" w:rsidRPr="00CC7AA4">
        <w:rPr>
          <w:lang w:val="es-MX"/>
        </w:rPr>
        <w:t>con independencia de los activos a los que fuesen aplicables</w:t>
      </w:r>
      <w:r w:rsidRPr="003934D3">
        <w:rPr>
          <w:rFonts w:eastAsia="Calibri"/>
          <w:szCs w:val="24"/>
        </w:rPr>
        <w:t xml:space="preserve">. </w:t>
      </w:r>
    </w:p>
    <w:p w14:paraId="3A2A6F38" w14:textId="7E53797D" w:rsidR="006D6E93" w:rsidRDefault="006D6E93" w:rsidP="006D6E93">
      <w:pPr>
        <w:spacing w:after="120" w:line="240" w:lineRule="auto"/>
        <w:rPr>
          <w:rFonts w:eastAsia="Calibri"/>
          <w:szCs w:val="24"/>
        </w:rPr>
      </w:pPr>
      <w:r w:rsidRPr="003934D3">
        <w:rPr>
          <w:rFonts w:eastAsia="Calibri"/>
          <w:szCs w:val="24"/>
        </w:rPr>
        <w:t>En el caso de</w:t>
      </w:r>
      <w:r w:rsidR="002D01B0" w:rsidRPr="00CC7AA4">
        <w:rPr>
          <w:lang w:val="es-MX"/>
        </w:rPr>
        <w:t>l tratamiento alternativo</w:t>
      </w:r>
      <w:r w:rsidR="002D01B0">
        <w:rPr>
          <w:lang w:val="es-MX"/>
        </w:rPr>
        <w:t>,</w:t>
      </w:r>
      <w:r w:rsidRPr="003934D3">
        <w:rPr>
          <w:rFonts w:eastAsia="Calibri"/>
          <w:szCs w:val="24"/>
        </w:rPr>
        <w:t xml:space="preserve"> aquellos costos por préstamos incurridos durante el proceso de construcción de un activo</w:t>
      </w:r>
      <w:r w:rsidR="002D01B0">
        <w:rPr>
          <w:rFonts w:eastAsia="Calibri"/>
          <w:szCs w:val="24"/>
        </w:rPr>
        <w:t xml:space="preserve"> que pueden ser medidos confiablemente, que sean atribuibles a la adquisición o construcción de un activo y que esos costos resulten en beneficios económicos futuros o potencial de servicio para la Municipalidad, </w:t>
      </w:r>
      <w:r w:rsidRPr="003934D3">
        <w:rPr>
          <w:rFonts w:eastAsia="Calibri"/>
          <w:szCs w:val="24"/>
        </w:rPr>
        <w:t>serán capitalizados por lo que pasan a formar parte del costo del activo.</w:t>
      </w:r>
    </w:p>
    <w:p w14:paraId="7A1B03DE" w14:textId="77777777" w:rsidR="000C3947" w:rsidRDefault="000C3947" w:rsidP="000C3947">
      <w:pPr>
        <w:spacing w:line="240" w:lineRule="auto"/>
        <w:rPr>
          <w:b/>
          <w:u w:val="single"/>
        </w:rPr>
      </w:pPr>
    </w:p>
    <w:p w14:paraId="79704691" w14:textId="77777777" w:rsidR="000C3947" w:rsidRPr="003516A2" w:rsidRDefault="000C3947" w:rsidP="000C3947">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139FD606" w14:textId="601B0408" w:rsidR="002D01B0" w:rsidRDefault="002D01B0" w:rsidP="002D01B0">
      <w:pPr>
        <w:spacing w:line="240" w:lineRule="auto"/>
        <w:rPr>
          <w:lang w:val="es-MX"/>
        </w:rPr>
      </w:pPr>
      <w:r>
        <w:rPr>
          <w:lang w:val="es-MX"/>
        </w:rPr>
        <w:t>Los costos por préstamos (intereses</w:t>
      </w:r>
      <w:r w:rsidR="00994B95">
        <w:rPr>
          <w:lang w:val="es-MX"/>
        </w:rPr>
        <w:t>), se miden por el valor aplicable a la tasa de capitalización (promedio ponderado de los costos por préstamos aplicables a los préstamos generales pendientes de pago durante el periodo de informe), a los gastos incurridos durante el periodo, para determinar la cantidad de los costos por préstamos elegibles para capitalizar o a registrar en resultados.</w:t>
      </w:r>
    </w:p>
    <w:p w14:paraId="69DF5DEB" w14:textId="127545A5" w:rsidR="00994B95" w:rsidRDefault="00994B95" w:rsidP="002D01B0">
      <w:pPr>
        <w:spacing w:line="240" w:lineRule="auto"/>
      </w:pPr>
      <w:r>
        <w:rPr>
          <w:lang w:val="es-MX"/>
        </w:rPr>
        <w:t>Los otros costos (descuentos o primas en préstamos y otros costos accesorios incurridos en el acuerdo de préstamo) se miden por el valor de las sumas por amortizar en el transcurso de la vida del préstamo utilizando al respecto el método de línea recta.</w:t>
      </w:r>
    </w:p>
    <w:p w14:paraId="1FBD09F3" w14:textId="77777777" w:rsidR="000C3947" w:rsidRDefault="000C3947" w:rsidP="00171A58"/>
    <w:p w14:paraId="429FDD29" w14:textId="062F4D24" w:rsidR="00171A58" w:rsidRPr="00171A58" w:rsidRDefault="00171A58" w:rsidP="00171A58">
      <w:pPr>
        <w:rPr>
          <w:b/>
          <w:u w:val="single"/>
        </w:rPr>
      </w:pPr>
      <w:r w:rsidRPr="000C3947">
        <w:rPr>
          <w:b/>
          <w:color w:val="FFFFFF" w:themeColor="background1"/>
          <w:highlight w:val="darkBlue"/>
          <w:u w:val="single"/>
        </w:rPr>
        <w:t>Revelación</w:t>
      </w:r>
      <w:r w:rsidR="000C3947">
        <w:rPr>
          <w:b/>
          <w:color w:val="FFFFFF" w:themeColor="background1"/>
          <w:highlight w:val="darkBlue"/>
          <w:u w:val="single"/>
        </w:rPr>
        <w:t xml:space="preserve"> Suficiente</w:t>
      </w:r>
      <w:r w:rsidRPr="000C3947">
        <w:rPr>
          <w:b/>
          <w:color w:val="FFFFFF" w:themeColor="background1"/>
          <w:highlight w:val="darkBlue"/>
          <w:u w:val="single"/>
        </w:rPr>
        <w:t>:</w:t>
      </w:r>
      <w:r w:rsidRPr="00171A58">
        <w:rPr>
          <w:b/>
          <w:u w:val="single"/>
        </w:rPr>
        <w:t xml:space="preserve"> El ente debe cumplir con lo estipulado en revelación con forme a la NICSP, también debe considerar la política general y los párrafos incluidos en la matriz de autoevaluación referente a esta NICSP y guías de aplicación (Ver revelación y guía de aplicación de la NICSP 5)  </w:t>
      </w:r>
    </w:p>
    <w:p w14:paraId="63C7C1D9" w14:textId="262E668B" w:rsidR="0048714F" w:rsidRPr="002446E9" w:rsidRDefault="0048714F" w:rsidP="0048714F">
      <w:pPr>
        <w:shd w:val="clear" w:color="auto" w:fill="FFFFFF"/>
        <w:spacing w:after="0" w:line="240" w:lineRule="auto"/>
        <w:ind w:right="6"/>
      </w:pPr>
      <w:r>
        <w:rPr>
          <w:sz w:val="23"/>
          <w:szCs w:val="23"/>
        </w:rPr>
        <w:t>Se debe reiterar que la Municipalidad aprovecha la exención del párrafo 36 que permite un periodo de dispensa transitorio de tres años</w:t>
      </w:r>
      <w:r w:rsidRPr="002446E9">
        <w:rPr>
          <w:sz w:val="23"/>
          <w:szCs w:val="23"/>
        </w:rPr>
        <w:t xml:space="preserve"> para el reconocimiento o medición de activos de acuerdo con las NICSP 16, 17, 27, 31 y 32, no se requiere que capitalice los costos por préstamos incurridos en activos que cumplen los requisitos con anterioridad al, o durante el, periodo de transición</w:t>
      </w:r>
      <w:r>
        <w:rPr>
          <w:sz w:val="23"/>
          <w:szCs w:val="23"/>
        </w:rPr>
        <w:t>.</w:t>
      </w:r>
      <w:r w:rsidR="006D6E93">
        <w:rPr>
          <w:sz w:val="23"/>
          <w:szCs w:val="23"/>
        </w:rPr>
        <w:t xml:space="preserve"> </w:t>
      </w:r>
      <w:r w:rsidR="006D6E93" w:rsidRPr="00CC7AA4">
        <w:rPr>
          <w:lang w:val="es-MX"/>
        </w:rPr>
        <w:t xml:space="preserve">Bajo el tratamiento de referencia, </w:t>
      </w:r>
      <w:r w:rsidR="006D6E93">
        <w:rPr>
          <w:lang w:val="es-MX"/>
        </w:rPr>
        <w:t xml:space="preserve">como se indicó antes, </w:t>
      </w:r>
      <w:r w:rsidR="006D6E93" w:rsidRPr="00CC7AA4">
        <w:rPr>
          <w:lang w:val="es-MX"/>
        </w:rPr>
        <w:t>los costos por préstamos se reconocen como gastos del periodo en que se incurre en ellos, con independencia de los activos a los que fuesen aplicables</w:t>
      </w:r>
    </w:p>
    <w:p w14:paraId="36FEB08C" w14:textId="77777777" w:rsidR="0048714F" w:rsidRPr="003934D3" w:rsidRDefault="0048714F" w:rsidP="0048714F">
      <w:pPr>
        <w:spacing w:after="120" w:line="240" w:lineRule="auto"/>
        <w:rPr>
          <w:rFonts w:eastAsia="Calibri"/>
          <w:szCs w:val="24"/>
        </w:rPr>
      </w:pPr>
    </w:p>
    <w:p w14:paraId="0B7465DA" w14:textId="77777777" w:rsidR="006D6E93" w:rsidRPr="00385A6C" w:rsidRDefault="006D6E93" w:rsidP="006D6E93">
      <w:pPr>
        <w:shd w:val="clear" w:color="auto" w:fill="FFFFFF"/>
        <w:spacing w:after="0" w:line="240" w:lineRule="auto"/>
        <w:ind w:right="6"/>
        <w:rPr>
          <w:rFonts w:cs="Arial"/>
          <w:b/>
          <w:bCs/>
          <w:szCs w:val="24"/>
          <w:lang w:eastAsia="es-CR"/>
        </w:rPr>
      </w:pPr>
      <w:r w:rsidRPr="00385A6C">
        <w:rPr>
          <w:rFonts w:cs="Arial"/>
          <w:b/>
          <w:bCs/>
          <w:szCs w:val="24"/>
          <w:lang w:eastAsia="es-CR"/>
        </w:rPr>
        <w:t>Otras Revelaciones</w:t>
      </w:r>
    </w:p>
    <w:p w14:paraId="0B7408B5" w14:textId="77777777" w:rsidR="006D6E93" w:rsidRDefault="006D6E93" w:rsidP="006D6E93">
      <w:pPr>
        <w:shd w:val="clear" w:color="auto" w:fill="FFFFFF"/>
        <w:spacing w:after="0" w:line="240" w:lineRule="auto"/>
        <w:ind w:right="6"/>
        <w:rPr>
          <w:rFonts w:cs="Arial"/>
          <w:szCs w:val="24"/>
          <w:lang w:eastAsia="es-CR"/>
        </w:rPr>
      </w:pPr>
    </w:p>
    <w:p w14:paraId="7D7EB72E" w14:textId="77777777" w:rsidR="006D6E93" w:rsidRPr="003934D3" w:rsidRDefault="006D6E93" w:rsidP="006D6E93">
      <w:pPr>
        <w:shd w:val="clear" w:color="auto" w:fill="FFFFFF"/>
        <w:spacing w:after="0" w:line="240" w:lineRule="auto"/>
        <w:ind w:right="6"/>
        <w:rPr>
          <w:rFonts w:cs="Arial"/>
          <w:szCs w:val="24"/>
          <w:lang w:eastAsia="es-CR"/>
        </w:rPr>
      </w:pPr>
      <w:r w:rsidRPr="003934D3">
        <w:rPr>
          <w:rFonts w:cs="Arial"/>
          <w:szCs w:val="24"/>
          <w:lang w:eastAsia="es-CR"/>
        </w:rPr>
        <w:t>La Municipalidad de Buenos Aires suscribió un contrato de préstamo con el Instituto de Fomento y Asesoría Municipal (IFAM) el 19 de enero de 2019, según operación Nº 6-CVL-1457-0718, para el mejoramiento de la red vial cantonal, compra de maquinaria, inventario de vías y estudios de pre-inversión para la construcción del plantel municipal y oficinas de la Unidad Técnica de Gestión Vial y Asfaltado.</w:t>
      </w:r>
    </w:p>
    <w:p w14:paraId="01465F18" w14:textId="77777777" w:rsidR="006D6E93" w:rsidRPr="003934D3" w:rsidRDefault="006D6E93" w:rsidP="006D6E93">
      <w:pPr>
        <w:shd w:val="clear" w:color="auto" w:fill="FFFFFF"/>
        <w:spacing w:after="0" w:line="240" w:lineRule="auto"/>
        <w:ind w:right="6"/>
        <w:rPr>
          <w:rFonts w:cs="Arial"/>
          <w:szCs w:val="24"/>
          <w:lang w:eastAsia="es-CR"/>
        </w:rPr>
      </w:pPr>
    </w:p>
    <w:p w14:paraId="03BAC71B" w14:textId="77777777" w:rsidR="006D6E93" w:rsidRPr="003934D3" w:rsidRDefault="006D6E93" w:rsidP="006D6E93">
      <w:pPr>
        <w:shd w:val="clear" w:color="auto" w:fill="FFFFFF"/>
        <w:spacing w:after="0" w:line="240" w:lineRule="auto"/>
        <w:ind w:right="6"/>
        <w:rPr>
          <w:rFonts w:cs="Arial"/>
          <w:szCs w:val="24"/>
          <w:lang w:eastAsia="es-CR"/>
        </w:rPr>
      </w:pPr>
      <w:r w:rsidRPr="003934D3">
        <w:rPr>
          <w:rFonts w:cs="Arial"/>
          <w:szCs w:val="24"/>
          <w:lang w:eastAsia="es-CR"/>
        </w:rPr>
        <w:t>De acuerdo con lo consignado en dicho contrato, el préstamo contraído con el IFAM es por la suma de ¢3.563.088,50 miles de colones el plazo de amortización y del préstamo es de 7 años; pagadero en 28 cuotas trimestrales. La tasa de interés ordinaria es del 7% anal fija sobre saldos. Además, en la Cláusula SÉTIMA del contrato se establece que los desembolsos se girarán en tractos directamente a la Municipalidad a solicitud del representante legal. Además, se establece en el citado contrato que la Municipalidad debe cancelar la suma de ¢17 815,44 miles de colones por concepto de comisión de formalización la cual se rebajaría en el primer desembolso.</w:t>
      </w:r>
    </w:p>
    <w:p w14:paraId="2F7510CE" w14:textId="77777777" w:rsidR="006D6E93" w:rsidRPr="003934D3" w:rsidRDefault="006D6E93" w:rsidP="006D6E93">
      <w:pPr>
        <w:shd w:val="clear" w:color="auto" w:fill="FFFFFF"/>
        <w:spacing w:after="0" w:line="240" w:lineRule="auto"/>
        <w:ind w:right="6"/>
        <w:rPr>
          <w:rFonts w:cs="Arial"/>
          <w:szCs w:val="24"/>
          <w:lang w:eastAsia="es-CR"/>
        </w:rPr>
      </w:pPr>
      <w:r w:rsidRPr="003934D3">
        <w:rPr>
          <w:rFonts w:cs="Arial"/>
          <w:szCs w:val="24"/>
          <w:lang w:eastAsia="es-CR"/>
        </w:rPr>
        <w:t xml:space="preserve"> </w:t>
      </w:r>
    </w:p>
    <w:p w14:paraId="39128470" w14:textId="4772265E" w:rsidR="006D6E93" w:rsidRDefault="006D6E93" w:rsidP="006D6E93">
      <w:pPr>
        <w:spacing w:after="0" w:line="240" w:lineRule="auto"/>
        <w:rPr>
          <w:rFonts w:cs="Arial"/>
          <w:szCs w:val="24"/>
          <w:lang w:eastAsia="es-CR"/>
        </w:rPr>
      </w:pPr>
      <w:r w:rsidRPr="003934D3">
        <w:rPr>
          <w:rFonts w:cs="Arial"/>
          <w:szCs w:val="24"/>
          <w:lang w:eastAsia="es-CR"/>
        </w:rPr>
        <w:t xml:space="preserve">En ese sentido y tal como se muestra en el cuadro siguiente del monto de préstamo por ¢3.563.088,50 miles de colones, al </w:t>
      </w:r>
      <w:r w:rsidR="00D470B6">
        <w:rPr>
          <w:rFonts w:cs="Arial"/>
          <w:szCs w:val="24"/>
          <w:lang w:eastAsia="es-CR"/>
        </w:rPr>
        <w:t>30 de junio</w:t>
      </w:r>
      <w:r w:rsidR="002D3D6C">
        <w:rPr>
          <w:rFonts w:cs="Arial"/>
          <w:szCs w:val="24"/>
          <w:lang w:eastAsia="es-CR"/>
        </w:rPr>
        <w:t xml:space="preserve"> de 2024</w:t>
      </w:r>
      <w:r w:rsidRPr="003934D3">
        <w:rPr>
          <w:rFonts w:cs="Arial"/>
          <w:szCs w:val="24"/>
          <w:lang w:eastAsia="es-CR"/>
        </w:rPr>
        <w:t xml:space="preserve"> la Municipalidad ha recibido a esa fecha de cierre de estos estados financieros adeuda la suma de ¢</w:t>
      </w:r>
      <w:r w:rsidR="00503939">
        <w:rPr>
          <w:rFonts w:cs="Arial"/>
          <w:szCs w:val="24"/>
          <w:lang w:eastAsia="es-CR"/>
        </w:rPr>
        <w:t>2.453.135.07</w:t>
      </w:r>
      <w:r>
        <w:rPr>
          <w:rFonts w:cs="Arial"/>
          <w:szCs w:val="24"/>
          <w:lang w:eastAsia="es-CR"/>
        </w:rPr>
        <w:t xml:space="preserve"> </w:t>
      </w:r>
      <w:r w:rsidRPr="003934D3">
        <w:rPr>
          <w:rFonts w:cs="Arial"/>
          <w:szCs w:val="24"/>
          <w:lang w:eastAsia="es-CR"/>
        </w:rPr>
        <w:t>miles de colones</w:t>
      </w:r>
      <w:r>
        <w:rPr>
          <w:rFonts w:cs="Arial"/>
          <w:szCs w:val="24"/>
          <w:lang w:eastAsia="es-CR"/>
        </w:rPr>
        <w:t xml:space="preserve"> y de esa suma aún se adeuda un monto de </w:t>
      </w:r>
      <w:r w:rsidRPr="003934D3">
        <w:rPr>
          <w:rFonts w:cs="Arial"/>
          <w:szCs w:val="24"/>
          <w:lang w:eastAsia="es-CR"/>
        </w:rPr>
        <w:t>¢</w:t>
      </w:r>
      <w:r w:rsidR="00503939">
        <w:rPr>
          <w:rFonts w:cs="Arial"/>
          <w:szCs w:val="24"/>
          <w:lang w:eastAsia="es-CR"/>
        </w:rPr>
        <w:t>1.583.551.96</w:t>
      </w:r>
      <w:r>
        <w:rPr>
          <w:rFonts w:cs="Arial"/>
          <w:szCs w:val="24"/>
          <w:lang w:eastAsia="es-CR"/>
        </w:rPr>
        <w:t xml:space="preserve"> miles</w:t>
      </w:r>
      <w:r w:rsidRPr="003934D3">
        <w:rPr>
          <w:rFonts w:cs="Arial"/>
          <w:szCs w:val="24"/>
          <w:lang w:eastAsia="es-CR"/>
        </w:rPr>
        <w:t xml:space="preserve"> como se muestra en el siguiente cuadro.</w:t>
      </w:r>
    </w:p>
    <w:p w14:paraId="0136BF31" w14:textId="77777777" w:rsidR="00AD59ED" w:rsidRPr="003934D3" w:rsidRDefault="00AD59ED" w:rsidP="006D6E93">
      <w:pPr>
        <w:spacing w:after="0" w:line="240" w:lineRule="auto"/>
        <w:rPr>
          <w:rFonts w:cs="Arial"/>
          <w:szCs w:val="24"/>
          <w:lang w:eastAsia="es-CR"/>
        </w:rPr>
      </w:pPr>
    </w:p>
    <w:p w14:paraId="166F8FD3" w14:textId="52BB91BE" w:rsidR="006D6E93" w:rsidRDefault="00D34EFF" w:rsidP="006D6E93">
      <w:pPr>
        <w:spacing w:after="0" w:line="240" w:lineRule="auto"/>
        <w:ind w:right="51"/>
      </w:pPr>
      <w:r w:rsidRPr="00D34EFF">
        <w:drawing>
          <wp:inline distT="0" distB="0" distL="0" distR="0" wp14:anchorId="21C3D774" wp14:editId="7E685BE2">
            <wp:extent cx="5580776" cy="1030406"/>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1017" cy="1032297"/>
                    </a:xfrm>
                    <a:prstGeom prst="rect">
                      <a:avLst/>
                    </a:prstGeom>
                    <a:noFill/>
                    <a:ln>
                      <a:noFill/>
                    </a:ln>
                  </pic:spPr>
                </pic:pic>
              </a:graphicData>
            </a:graphic>
          </wp:inline>
        </w:drawing>
      </w:r>
    </w:p>
    <w:p w14:paraId="50ED4640" w14:textId="34D3FC19" w:rsidR="006D6E93" w:rsidRDefault="006D6E93" w:rsidP="006D6E93">
      <w:pPr>
        <w:spacing w:after="120" w:line="240" w:lineRule="auto"/>
        <w:rPr>
          <w:rFonts w:eastAsia="Calibri"/>
          <w:szCs w:val="24"/>
        </w:rPr>
      </w:pPr>
    </w:p>
    <w:p w14:paraId="39ACF2B9" w14:textId="77777777" w:rsidR="006D6E93" w:rsidRDefault="006D6E93" w:rsidP="006D6E93">
      <w:pPr>
        <w:spacing w:after="0" w:line="240" w:lineRule="auto"/>
        <w:rPr>
          <w:rFonts w:eastAsia="Calibri"/>
          <w:szCs w:val="24"/>
        </w:rPr>
      </w:pPr>
    </w:p>
    <w:p w14:paraId="3AE86525" w14:textId="77777777" w:rsidR="006D6E93" w:rsidRPr="005C6BF2" w:rsidRDefault="006D6E93" w:rsidP="006D6E93">
      <w:pPr>
        <w:spacing w:after="120" w:line="240" w:lineRule="auto"/>
        <w:rPr>
          <w:rFonts w:eastAsia="Calibri"/>
          <w:szCs w:val="24"/>
        </w:rPr>
      </w:pPr>
      <w:r w:rsidRPr="005C6BF2">
        <w:rPr>
          <w:rFonts w:eastAsia="Calibri"/>
          <w:szCs w:val="24"/>
        </w:rPr>
        <w:t>Por otra parte, durante el periodo informado la Municipalidad no ha incurrido en el pago de importes de los costos por préstamos que correspondan ser capitalizados.</w:t>
      </w:r>
    </w:p>
    <w:p w14:paraId="007D104A" w14:textId="77777777" w:rsidR="006D6E93" w:rsidRPr="005C6BF2" w:rsidRDefault="006D6E93" w:rsidP="006D6E93">
      <w:pPr>
        <w:spacing w:after="120" w:line="240" w:lineRule="auto"/>
        <w:rPr>
          <w:rFonts w:eastAsia="Calibri"/>
          <w:szCs w:val="24"/>
        </w:rPr>
      </w:pPr>
      <w:r w:rsidRPr="005C6BF2">
        <w:rPr>
          <w:rFonts w:eastAsia="Calibri"/>
          <w:szCs w:val="24"/>
        </w:rPr>
        <w:t>Finalmente, de acuerdo con lo indicado en el inciso anterior no fue necesario aplicar ninguna tasa de capitalización para determinar el importe de los costos por préstamos susceptibles de capitalización.</w:t>
      </w:r>
    </w:p>
    <w:p w14:paraId="5F6E74B0" w14:textId="77777777" w:rsidR="000C3947" w:rsidRDefault="000C3947" w:rsidP="00171A58"/>
    <w:p w14:paraId="432524ED" w14:textId="77777777" w:rsidR="001152CE" w:rsidRDefault="001152CE" w:rsidP="00171A58"/>
    <w:p w14:paraId="6B8B43A5" w14:textId="269CAAF0" w:rsidR="000B04D8" w:rsidRPr="00A649A4" w:rsidRDefault="000B04D8" w:rsidP="00791EEB">
      <w:pPr>
        <w:pStyle w:val="Ttulo2"/>
        <w:spacing w:after="240"/>
        <w:rPr>
          <w:rFonts w:eastAsia="Times New Roman"/>
          <w:lang w:eastAsia="es-CR"/>
        </w:rPr>
      </w:pPr>
      <w:bookmarkStart w:id="34" w:name="_Toc54961675"/>
      <w:bookmarkStart w:id="35" w:name="_Toc82768871"/>
      <w:bookmarkStart w:id="36" w:name="_Toc173245192"/>
      <w:r w:rsidRPr="000B04D8">
        <w:rPr>
          <w:rFonts w:eastAsia="Times New Roman"/>
          <w:lang w:eastAsia="es-CR"/>
        </w:rPr>
        <w:t>NICSP 9- INGRESOS DE TRANSACCIONES CON CONTRAPRESTACIÓN (DE APLICACIÓN OBLIGATORIA):</w:t>
      </w:r>
      <w:bookmarkEnd w:id="34"/>
      <w:bookmarkEnd w:id="35"/>
      <w:bookmarkEnd w:id="36"/>
      <w:r w:rsidRPr="000B04D8">
        <w:rPr>
          <w:rFonts w:eastAsia="Times New Roman"/>
          <w:lang w:eastAsia="es-CR"/>
        </w:rPr>
        <w:t xml:space="preserve"> </w:t>
      </w:r>
    </w:p>
    <w:p w14:paraId="76F55348" w14:textId="77777777" w:rsidR="00694299" w:rsidRDefault="00FB0858" w:rsidP="002D5C33">
      <w:pPr>
        <w:rPr>
          <w:rFonts w:asciiTheme="minorHAnsi" w:hAnsiTheme="minorHAnsi"/>
          <w:sz w:val="22"/>
        </w:rPr>
      </w:pPr>
      <w:bookmarkStart w:id="37" w:name="_Hlk123586132"/>
      <w:r w:rsidRPr="00FB0858">
        <w:t>De acuerdo con la NICSP 9- Ingresos de transacciones con contraprestación</w:t>
      </w:r>
      <w:r>
        <w:t>, i</w:t>
      </w:r>
      <w:r w:rsidR="000B04D8">
        <w:t xml:space="preserve">ndicar si este rubro afecta SI o NO a la institución, </w:t>
      </w:r>
      <w:r w:rsidR="00405DBC" w:rsidRPr="00405DBC">
        <w:t>además del porcentaje de avance</w:t>
      </w:r>
      <w:r w:rsidR="00405DBC">
        <w:t xml:space="preserve"> en la implementación</w:t>
      </w:r>
      <w:r w:rsidR="00405DBC" w:rsidRPr="00405DBC">
        <w:t xml:space="preserve"> que presenta</w:t>
      </w:r>
      <w:r w:rsidR="00D16DB1">
        <w:t>.</w:t>
      </w:r>
      <w:r w:rsidR="0025405A">
        <w:fldChar w:fldCharType="begin"/>
      </w:r>
      <w:r w:rsidR="0025405A">
        <w:instrText xml:space="preserve"> LINK </w:instrText>
      </w:r>
      <w:r w:rsidR="00323752">
        <w:instrText xml:space="preserve">Excel.SheetMacroEnabled.12 "D:\\MORAVIA\\INSUMOS\\NOTAS 2024\\Formato_Notas_EEFF_Vinculadas_2024\\XXXXX_PXX_202X_Anexo_Estado_Notas_Contables_Vinculadas.xlsm" NICSP_9!F9C3:F10C4 </w:instrText>
      </w:r>
      <w:r w:rsidR="0025405A">
        <w:instrText xml:space="preserve">\a \f 4 \h </w:instrText>
      </w:r>
      <w:r w:rsidR="0025405A">
        <w:fldChar w:fldCharType="separate"/>
      </w:r>
    </w:p>
    <w:tbl>
      <w:tblPr>
        <w:tblW w:w="4380" w:type="dxa"/>
        <w:tblCellMar>
          <w:left w:w="70" w:type="dxa"/>
          <w:right w:w="70" w:type="dxa"/>
        </w:tblCellMar>
        <w:tblLook w:val="04A0" w:firstRow="1" w:lastRow="0" w:firstColumn="1" w:lastColumn="0" w:noHBand="0" w:noVBand="1"/>
      </w:tblPr>
      <w:tblGrid>
        <w:gridCol w:w="2560"/>
        <w:gridCol w:w="1820"/>
      </w:tblGrid>
      <w:tr w:rsidR="00694299" w:rsidRPr="00694299" w14:paraId="5BACACB0" w14:textId="77777777" w:rsidTr="00694299">
        <w:trPr>
          <w:divId w:val="528030560"/>
          <w:trHeight w:val="324"/>
        </w:trPr>
        <w:tc>
          <w:tcPr>
            <w:tcW w:w="25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4E533A0D" w14:textId="2AE038F2"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6F0B1"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Si</w:t>
            </w:r>
          </w:p>
        </w:tc>
      </w:tr>
      <w:tr w:rsidR="00694299" w:rsidRPr="00694299" w14:paraId="5767898E" w14:textId="77777777" w:rsidTr="00694299">
        <w:trPr>
          <w:divId w:val="528030560"/>
          <w:trHeight w:val="324"/>
        </w:trPr>
        <w:tc>
          <w:tcPr>
            <w:tcW w:w="2560" w:type="dxa"/>
            <w:tcBorders>
              <w:top w:val="nil"/>
              <w:left w:val="single" w:sz="8" w:space="0" w:color="auto"/>
              <w:bottom w:val="single" w:sz="8" w:space="0" w:color="auto"/>
              <w:right w:val="single" w:sz="8" w:space="0" w:color="auto"/>
            </w:tcBorders>
            <w:shd w:val="clear" w:color="000000" w:fill="17365D"/>
            <w:vAlign w:val="center"/>
            <w:hideMark/>
          </w:tcPr>
          <w:p w14:paraId="0A69B57B"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1463E57C"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100,00%</w:t>
            </w:r>
          </w:p>
        </w:tc>
      </w:tr>
    </w:tbl>
    <w:p w14:paraId="2DA5CED9" w14:textId="0D7C3BE3" w:rsidR="000B04D8" w:rsidRPr="00C35565" w:rsidRDefault="0025405A" w:rsidP="002D5C33">
      <w:pPr>
        <w:rPr>
          <w:b/>
          <w:sz w:val="16"/>
          <w:szCs w:val="16"/>
          <w:lang w:eastAsia="es-CR"/>
        </w:rPr>
      </w:pPr>
      <w:r>
        <w:fldChar w:fldCharType="end"/>
      </w:r>
      <w:r>
        <w:t xml:space="preserve">                                  </w:t>
      </w:r>
      <w:r w:rsidR="000B04D8" w:rsidRPr="00C35565">
        <w:rPr>
          <w:b/>
          <w:sz w:val="16"/>
          <w:szCs w:val="16"/>
          <w:lang w:eastAsia="es-CR"/>
        </w:rPr>
        <w:t>-Aplicación Obligatoria-</w:t>
      </w:r>
    </w:p>
    <w:bookmarkEnd w:id="37"/>
    <w:p w14:paraId="5397F7EB" w14:textId="61507FA4" w:rsidR="00994B95" w:rsidRDefault="000B04D8" w:rsidP="00CD3A05">
      <w:pPr>
        <w:rPr>
          <w:lang w:eastAsia="es-CR"/>
        </w:rPr>
      </w:pPr>
      <w:r w:rsidRPr="00AD752F">
        <w:rPr>
          <w:lang w:eastAsia="es-CR"/>
        </w:rPr>
        <w:t>Describir los tiempos del devengo en los principales ingresos de transacciones con contraprestación</w:t>
      </w:r>
    </w:p>
    <w:tbl>
      <w:tblPr>
        <w:tblW w:w="8980" w:type="dxa"/>
        <w:tblLook w:val="04A0" w:firstRow="1" w:lastRow="0" w:firstColumn="1" w:lastColumn="0" w:noHBand="0" w:noVBand="1"/>
      </w:tblPr>
      <w:tblGrid>
        <w:gridCol w:w="3620"/>
        <w:gridCol w:w="5360"/>
      </w:tblGrid>
      <w:tr w:rsidR="00994B95" w:rsidRPr="00C34499" w14:paraId="476719B6" w14:textId="77777777" w:rsidTr="004653E2">
        <w:trPr>
          <w:trHeight w:val="320"/>
        </w:trPr>
        <w:tc>
          <w:tcPr>
            <w:tcW w:w="3620" w:type="dxa"/>
            <w:tcBorders>
              <w:top w:val="single" w:sz="4" w:space="0" w:color="auto"/>
              <w:left w:val="single" w:sz="4" w:space="0" w:color="auto"/>
              <w:bottom w:val="single" w:sz="4" w:space="0" w:color="auto"/>
              <w:right w:val="single" w:sz="4" w:space="0" w:color="auto"/>
            </w:tcBorders>
            <w:shd w:val="clear" w:color="000000" w:fill="1F3864"/>
            <w:noWrap/>
            <w:vAlign w:val="center"/>
            <w:hideMark/>
          </w:tcPr>
          <w:p w14:paraId="080ECBEA" w14:textId="77777777" w:rsidR="00994B95" w:rsidRPr="00C34499" w:rsidRDefault="00994B95" w:rsidP="004653E2">
            <w:pPr>
              <w:jc w:val="center"/>
              <w:rPr>
                <w:rFonts w:eastAsia="Times New Roman" w:cs="Calibri"/>
                <w:color w:val="FFFFFF"/>
                <w:sz w:val="22"/>
                <w:lang w:val="en-US"/>
              </w:rPr>
            </w:pPr>
            <w:r w:rsidRPr="00C34499">
              <w:rPr>
                <w:rFonts w:eastAsia="Times New Roman" w:cs="Calibri"/>
                <w:color w:val="FFFFFF"/>
                <w:sz w:val="22"/>
                <w:lang w:val="en-US"/>
              </w:rPr>
              <w:t>TIPO DE INGRESO</w:t>
            </w:r>
          </w:p>
        </w:tc>
        <w:tc>
          <w:tcPr>
            <w:tcW w:w="5360" w:type="dxa"/>
            <w:tcBorders>
              <w:top w:val="single" w:sz="4" w:space="0" w:color="auto"/>
              <w:left w:val="nil"/>
              <w:bottom w:val="single" w:sz="4" w:space="0" w:color="auto"/>
              <w:right w:val="single" w:sz="4" w:space="0" w:color="auto"/>
            </w:tcBorders>
            <w:shd w:val="clear" w:color="000000" w:fill="1F3864"/>
            <w:noWrap/>
            <w:vAlign w:val="center"/>
            <w:hideMark/>
          </w:tcPr>
          <w:p w14:paraId="3AB185CF" w14:textId="77777777" w:rsidR="00994B95" w:rsidRPr="00C34499" w:rsidRDefault="00994B95" w:rsidP="004653E2">
            <w:pPr>
              <w:spacing w:after="0" w:line="240" w:lineRule="auto"/>
              <w:jc w:val="center"/>
              <w:rPr>
                <w:rFonts w:eastAsia="Times New Roman" w:cs="Calibri"/>
                <w:color w:val="FFFFFF"/>
                <w:sz w:val="22"/>
                <w:lang w:val="en-US"/>
              </w:rPr>
            </w:pPr>
            <w:r w:rsidRPr="00C34499">
              <w:rPr>
                <w:rFonts w:eastAsia="Times New Roman" w:cs="Calibri"/>
                <w:color w:val="FFFFFF"/>
                <w:sz w:val="22"/>
                <w:lang w:val="en-US"/>
              </w:rPr>
              <w:t>TIEMPOS DEL DEVENGO:</w:t>
            </w:r>
          </w:p>
        </w:tc>
      </w:tr>
      <w:tr w:rsidR="00994B95" w:rsidRPr="00C34499" w14:paraId="12219F60" w14:textId="77777777" w:rsidTr="004653E2">
        <w:trPr>
          <w:trHeight w:val="320"/>
        </w:trPr>
        <w:tc>
          <w:tcPr>
            <w:tcW w:w="362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595227D8" w14:textId="77777777" w:rsidR="00994B95" w:rsidRPr="00C34499" w:rsidRDefault="00994B95" w:rsidP="004653E2">
            <w:pPr>
              <w:spacing w:after="0" w:line="240" w:lineRule="auto"/>
              <w:jc w:val="left"/>
              <w:rPr>
                <w:rFonts w:eastAsia="Times New Roman" w:cs="Calibri"/>
                <w:color w:val="FFFFFF"/>
                <w:sz w:val="22"/>
                <w:lang w:val="en-US"/>
              </w:rPr>
            </w:pPr>
            <w:r w:rsidRPr="00C34499">
              <w:rPr>
                <w:rFonts w:eastAsia="Times New Roman" w:cs="Calibri"/>
                <w:color w:val="FFFFFF"/>
                <w:sz w:val="22"/>
                <w:lang w:val="en-US"/>
              </w:rPr>
              <w:t>Servicios de saneamiento ambiental</w:t>
            </w:r>
          </w:p>
        </w:tc>
        <w:tc>
          <w:tcPr>
            <w:tcW w:w="5360" w:type="dxa"/>
            <w:tcBorders>
              <w:top w:val="single" w:sz="8" w:space="0" w:color="auto"/>
              <w:left w:val="nil"/>
              <w:bottom w:val="single" w:sz="8" w:space="0" w:color="auto"/>
              <w:right w:val="single" w:sz="8" w:space="0" w:color="auto"/>
            </w:tcBorders>
            <w:shd w:val="clear" w:color="auto" w:fill="auto"/>
            <w:noWrap/>
            <w:vAlign w:val="center"/>
            <w:hideMark/>
          </w:tcPr>
          <w:p w14:paraId="3FCF634F" w14:textId="37FCA605" w:rsidR="00994B95" w:rsidRPr="00C34499" w:rsidRDefault="00994B95" w:rsidP="004653E2">
            <w:pPr>
              <w:spacing w:after="0" w:line="240" w:lineRule="auto"/>
              <w:jc w:val="left"/>
              <w:rPr>
                <w:rFonts w:eastAsia="Times New Roman" w:cs="Calibri"/>
                <w:color w:val="000000"/>
                <w:sz w:val="22"/>
              </w:rPr>
            </w:pPr>
            <w:r w:rsidRPr="00C34499">
              <w:rPr>
                <w:rFonts w:eastAsia="Times New Roman" w:cs="Calibri"/>
                <w:color w:val="000000"/>
                <w:sz w:val="22"/>
              </w:rPr>
              <w:t>Trimestre vencido (abril, julio, octubre y enero)</w:t>
            </w:r>
          </w:p>
        </w:tc>
      </w:tr>
      <w:tr w:rsidR="00994B95" w:rsidRPr="00C34499" w14:paraId="22F92B32" w14:textId="77777777" w:rsidTr="004653E2">
        <w:trPr>
          <w:trHeight w:val="290"/>
        </w:trPr>
        <w:tc>
          <w:tcPr>
            <w:tcW w:w="3620" w:type="dxa"/>
            <w:tcBorders>
              <w:top w:val="nil"/>
              <w:left w:val="single" w:sz="8" w:space="0" w:color="auto"/>
              <w:bottom w:val="single" w:sz="8" w:space="0" w:color="auto"/>
              <w:right w:val="single" w:sz="8" w:space="0" w:color="auto"/>
            </w:tcBorders>
            <w:shd w:val="clear" w:color="000000" w:fill="1F3864"/>
            <w:noWrap/>
            <w:vAlign w:val="center"/>
            <w:hideMark/>
          </w:tcPr>
          <w:p w14:paraId="2EEBD8E7" w14:textId="77777777" w:rsidR="00994B95" w:rsidRPr="00C34499" w:rsidRDefault="00994B95" w:rsidP="004653E2">
            <w:pPr>
              <w:spacing w:after="0" w:line="240" w:lineRule="auto"/>
              <w:jc w:val="left"/>
              <w:rPr>
                <w:rFonts w:eastAsia="Times New Roman" w:cs="Calibri"/>
                <w:color w:val="FFFFFF"/>
                <w:sz w:val="22"/>
                <w:lang w:val="en-US"/>
              </w:rPr>
            </w:pPr>
            <w:r w:rsidRPr="00C34499">
              <w:rPr>
                <w:rFonts w:eastAsia="Times New Roman" w:cs="Calibri"/>
                <w:color w:val="FFFFFF"/>
                <w:sz w:val="22"/>
                <w:lang w:val="en-US"/>
              </w:rPr>
              <w:t>Otros servicios comunitarios CECUDI</w:t>
            </w:r>
          </w:p>
        </w:tc>
        <w:tc>
          <w:tcPr>
            <w:tcW w:w="5360" w:type="dxa"/>
            <w:tcBorders>
              <w:top w:val="nil"/>
              <w:left w:val="nil"/>
              <w:bottom w:val="single" w:sz="8" w:space="0" w:color="auto"/>
              <w:right w:val="single" w:sz="8" w:space="0" w:color="auto"/>
            </w:tcBorders>
            <w:shd w:val="clear" w:color="auto" w:fill="auto"/>
            <w:noWrap/>
            <w:vAlign w:val="center"/>
            <w:hideMark/>
          </w:tcPr>
          <w:p w14:paraId="28ECE425" w14:textId="021D5F83" w:rsidR="00994B95" w:rsidRPr="001152CE" w:rsidRDefault="00994B95" w:rsidP="004653E2">
            <w:pPr>
              <w:spacing w:after="0" w:line="240" w:lineRule="auto"/>
              <w:jc w:val="left"/>
              <w:rPr>
                <w:rFonts w:eastAsia="Times New Roman" w:cs="Calibri"/>
                <w:color w:val="000000"/>
                <w:sz w:val="22"/>
              </w:rPr>
            </w:pPr>
            <w:r w:rsidRPr="001152CE">
              <w:rPr>
                <w:rFonts w:eastAsia="Times New Roman" w:cs="Calibri"/>
                <w:color w:val="000000"/>
                <w:sz w:val="22"/>
              </w:rPr>
              <w:t>Mes adelantado</w:t>
            </w:r>
            <w:r w:rsidR="001152CE" w:rsidRPr="001152CE">
              <w:rPr>
                <w:rFonts w:eastAsia="Times New Roman" w:cs="Calibri"/>
                <w:color w:val="000000"/>
                <w:sz w:val="22"/>
              </w:rPr>
              <w:t xml:space="preserve"> </w:t>
            </w:r>
            <w:r w:rsidR="001152CE">
              <w:rPr>
                <w:rFonts w:eastAsia="Times New Roman" w:cs="Calibri"/>
                <w:color w:val="000000"/>
                <w:sz w:val="22"/>
              </w:rPr>
              <w:t>(inicio del mes arrendado)</w:t>
            </w:r>
          </w:p>
        </w:tc>
      </w:tr>
      <w:tr w:rsidR="00994B95" w:rsidRPr="00C34499" w14:paraId="6418B3E2" w14:textId="77777777" w:rsidTr="004653E2">
        <w:trPr>
          <w:trHeight w:val="290"/>
        </w:trPr>
        <w:tc>
          <w:tcPr>
            <w:tcW w:w="3620" w:type="dxa"/>
            <w:tcBorders>
              <w:top w:val="nil"/>
              <w:left w:val="single" w:sz="8" w:space="0" w:color="auto"/>
              <w:bottom w:val="single" w:sz="8" w:space="0" w:color="auto"/>
              <w:right w:val="single" w:sz="8" w:space="0" w:color="auto"/>
            </w:tcBorders>
            <w:shd w:val="clear" w:color="000000" w:fill="1F3864"/>
            <w:noWrap/>
            <w:vAlign w:val="center"/>
            <w:hideMark/>
          </w:tcPr>
          <w:p w14:paraId="4BFAE924" w14:textId="77777777" w:rsidR="00994B95" w:rsidRPr="00C34499" w:rsidRDefault="00994B95" w:rsidP="004653E2">
            <w:pPr>
              <w:spacing w:after="0" w:line="240" w:lineRule="auto"/>
              <w:jc w:val="left"/>
              <w:rPr>
                <w:rFonts w:eastAsia="Times New Roman" w:cs="Calibri"/>
                <w:color w:val="FFFFFF"/>
                <w:sz w:val="22"/>
                <w:lang w:val="en-US"/>
              </w:rPr>
            </w:pPr>
            <w:r w:rsidRPr="00C34499">
              <w:rPr>
                <w:rFonts w:eastAsia="Times New Roman" w:cs="Calibri"/>
                <w:color w:val="FFFFFF"/>
                <w:sz w:val="22"/>
                <w:lang w:val="en-US"/>
              </w:rPr>
              <w:t>Alquiler de mercado</w:t>
            </w:r>
          </w:p>
        </w:tc>
        <w:tc>
          <w:tcPr>
            <w:tcW w:w="5360" w:type="dxa"/>
            <w:tcBorders>
              <w:top w:val="nil"/>
              <w:left w:val="nil"/>
              <w:bottom w:val="single" w:sz="8" w:space="0" w:color="auto"/>
              <w:right w:val="single" w:sz="8" w:space="0" w:color="auto"/>
            </w:tcBorders>
            <w:shd w:val="clear" w:color="auto" w:fill="auto"/>
            <w:noWrap/>
            <w:vAlign w:val="center"/>
            <w:hideMark/>
          </w:tcPr>
          <w:p w14:paraId="73CEEAF5" w14:textId="28027A5F" w:rsidR="00994B95" w:rsidRPr="001152CE" w:rsidRDefault="00994B95" w:rsidP="004653E2">
            <w:pPr>
              <w:spacing w:after="0" w:line="240" w:lineRule="auto"/>
              <w:jc w:val="left"/>
              <w:rPr>
                <w:rFonts w:eastAsia="Times New Roman" w:cs="Calibri"/>
                <w:color w:val="000000"/>
                <w:sz w:val="22"/>
              </w:rPr>
            </w:pPr>
            <w:r w:rsidRPr="001152CE">
              <w:rPr>
                <w:rFonts w:eastAsia="Times New Roman" w:cs="Calibri"/>
                <w:color w:val="000000"/>
                <w:sz w:val="22"/>
              </w:rPr>
              <w:t>Mes adelantado</w:t>
            </w:r>
            <w:r w:rsidR="001152CE" w:rsidRPr="001152CE">
              <w:rPr>
                <w:rFonts w:eastAsia="Times New Roman" w:cs="Calibri"/>
                <w:color w:val="000000"/>
                <w:sz w:val="22"/>
              </w:rPr>
              <w:t xml:space="preserve"> </w:t>
            </w:r>
            <w:r w:rsidR="001152CE">
              <w:rPr>
                <w:rFonts w:eastAsia="Times New Roman" w:cs="Calibri"/>
                <w:color w:val="000000"/>
                <w:sz w:val="22"/>
              </w:rPr>
              <w:t>(inicio del mes arrendado)</w:t>
            </w:r>
          </w:p>
        </w:tc>
      </w:tr>
      <w:tr w:rsidR="00994B95" w:rsidRPr="00C34499" w14:paraId="53DF033D" w14:textId="77777777" w:rsidTr="004653E2">
        <w:trPr>
          <w:trHeight w:val="570"/>
        </w:trPr>
        <w:tc>
          <w:tcPr>
            <w:tcW w:w="3620" w:type="dxa"/>
            <w:tcBorders>
              <w:top w:val="nil"/>
              <w:left w:val="single" w:sz="8" w:space="0" w:color="auto"/>
              <w:bottom w:val="single" w:sz="8" w:space="0" w:color="auto"/>
              <w:right w:val="single" w:sz="8" w:space="0" w:color="auto"/>
            </w:tcBorders>
            <w:shd w:val="clear" w:color="000000" w:fill="1F3864"/>
            <w:vAlign w:val="center"/>
            <w:hideMark/>
          </w:tcPr>
          <w:p w14:paraId="22B9E11C" w14:textId="77777777" w:rsidR="00994B95" w:rsidRPr="00C34499" w:rsidRDefault="00994B95" w:rsidP="004653E2">
            <w:pPr>
              <w:spacing w:after="0" w:line="240" w:lineRule="auto"/>
              <w:jc w:val="left"/>
              <w:rPr>
                <w:rFonts w:eastAsia="Times New Roman" w:cs="Calibri"/>
                <w:color w:val="FFFFFF"/>
                <w:sz w:val="22"/>
              </w:rPr>
            </w:pPr>
            <w:r w:rsidRPr="00C34499">
              <w:rPr>
                <w:rFonts w:eastAsia="Times New Roman" w:cs="Calibri"/>
                <w:color w:val="FFFFFF"/>
                <w:sz w:val="22"/>
              </w:rPr>
              <w:t xml:space="preserve">Alquiler de locales en edificio terminal de buses                       </w:t>
            </w:r>
          </w:p>
        </w:tc>
        <w:tc>
          <w:tcPr>
            <w:tcW w:w="5360" w:type="dxa"/>
            <w:tcBorders>
              <w:top w:val="nil"/>
              <w:left w:val="nil"/>
              <w:bottom w:val="single" w:sz="8" w:space="0" w:color="auto"/>
              <w:right w:val="single" w:sz="8" w:space="0" w:color="auto"/>
            </w:tcBorders>
            <w:shd w:val="clear" w:color="auto" w:fill="auto"/>
            <w:noWrap/>
            <w:vAlign w:val="center"/>
            <w:hideMark/>
          </w:tcPr>
          <w:p w14:paraId="4FFDBA40" w14:textId="76F415A8" w:rsidR="00994B95" w:rsidRPr="001152CE" w:rsidRDefault="00994B95" w:rsidP="004653E2">
            <w:pPr>
              <w:spacing w:after="0" w:line="240" w:lineRule="auto"/>
              <w:jc w:val="left"/>
              <w:rPr>
                <w:rFonts w:eastAsia="Times New Roman" w:cs="Calibri"/>
                <w:color w:val="000000"/>
                <w:sz w:val="22"/>
              </w:rPr>
            </w:pPr>
            <w:r w:rsidRPr="001152CE">
              <w:rPr>
                <w:rFonts w:eastAsia="Times New Roman" w:cs="Calibri"/>
                <w:color w:val="000000"/>
                <w:sz w:val="22"/>
              </w:rPr>
              <w:t>Mes adelantado</w:t>
            </w:r>
            <w:r w:rsidR="001152CE" w:rsidRPr="001152CE">
              <w:rPr>
                <w:rFonts w:eastAsia="Times New Roman" w:cs="Calibri"/>
                <w:color w:val="000000"/>
                <w:sz w:val="22"/>
              </w:rPr>
              <w:t xml:space="preserve"> </w:t>
            </w:r>
            <w:r w:rsidR="001152CE">
              <w:rPr>
                <w:rFonts w:eastAsia="Times New Roman" w:cs="Calibri"/>
                <w:color w:val="000000"/>
                <w:sz w:val="22"/>
              </w:rPr>
              <w:t>(inicio del mes arrendado)</w:t>
            </w:r>
          </w:p>
        </w:tc>
      </w:tr>
      <w:tr w:rsidR="00994B95" w:rsidRPr="00C34499" w14:paraId="5A7FE374" w14:textId="77777777" w:rsidTr="004653E2">
        <w:trPr>
          <w:trHeight w:val="290"/>
        </w:trPr>
        <w:tc>
          <w:tcPr>
            <w:tcW w:w="3620" w:type="dxa"/>
            <w:tcBorders>
              <w:top w:val="nil"/>
              <w:left w:val="single" w:sz="8" w:space="0" w:color="auto"/>
              <w:bottom w:val="single" w:sz="8" w:space="0" w:color="auto"/>
              <w:right w:val="single" w:sz="8" w:space="0" w:color="auto"/>
            </w:tcBorders>
            <w:shd w:val="clear" w:color="000000" w:fill="1F3864"/>
            <w:noWrap/>
            <w:vAlign w:val="center"/>
            <w:hideMark/>
          </w:tcPr>
          <w:p w14:paraId="2D8C1AC5" w14:textId="77777777" w:rsidR="00994B95" w:rsidRPr="00C34499" w:rsidRDefault="00994B95" w:rsidP="004653E2">
            <w:pPr>
              <w:spacing w:after="0" w:line="240" w:lineRule="auto"/>
              <w:jc w:val="left"/>
              <w:rPr>
                <w:rFonts w:eastAsia="Times New Roman" w:cs="Calibri"/>
                <w:color w:val="FFFFFF"/>
                <w:sz w:val="22"/>
                <w:lang w:val="en-US"/>
              </w:rPr>
            </w:pPr>
            <w:r w:rsidRPr="00C34499">
              <w:rPr>
                <w:rFonts w:eastAsia="Times New Roman" w:cs="Calibri"/>
                <w:color w:val="FFFFFF"/>
                <w:sz w:val="22"/>
                <w:lang w:val="en-US"/>
              </w:rPr>
              <w:t xml:space="preserve">Servicios de cementerio                                                            </w:t>
            </w:r>
          </w:p>
        </w:tc>
        <w:tc>
          <w:tcPr>
            <w:tcW w:w="5360" w:type="dxa"/>
            <w:tcBorders>
              <w:top w:val="nil"/>
              <w:left w:val="nil"/>
              <w:bottom w:val="single" w:sz="8" w:space="0" w:color="auto"/>
              <w:right w:val="single" w:sz="8" w:space="0" w:color="auto"/>
            </w:tcBorders>
            <w:shd w:val="clear" w:color="auto" w:fill="auto"/>
            <w:noWrap/>
            <w:vAlign w:val="center"/>
            <w:hideMark/>
          </w:tcPr>
          <w:p w14:paraId="72EBC8B6" w14:textId="7DA71E70" w:rsidR="00994B95" w:rsidRPr="00C34499" w:rsidRDefault="00994B95" w:rsidP="004653E2">
            <w:pPr>
              <w:spacing w:after="0" w:line="240" w:lineRule="auto"/>
              <w:jc w:val="left"/>
              <w:rPr>
                <w:rFonts w:eastAsia="Times New Roman" w:cs="Calibri"/>
                <w:color w:val="000000"/>
                <w:sz w:val="22"/>
              </w:rPr>
            </w:pPr>
            <w:r w:rsidRPr="00C34499">
              <w:rPr>
                <w:rFonts w:eastAsia="Times New Roman" w:cs="Calibri"/>
                <w:color w:val="000000"/>
                <w:sz w:val="22"/>
              </w:rPr>
              <w:t xml:space="preserve">Trimestre </w:t>
            </w:r>
            <w:r w:rsidR="001152CE" w:rsidRPr="00C34499">
              <w:rPr>
                <w:rFonts w:eastAsia="Times New Roman" w:cs="Calibri"/>
                <w:color w:val="000000"/>
                <w:sz w:val="22"/>
              </w:rPr>
              <w:t>vencido (</w:t>
            </w:r>
            <w:r w:rsidRPr="00C34499">
              <w:rPr>
                <w:rFonts w:eastAsia="Times New Roman" w:cs="Calibri"/>
                <w:color w:val="000000"/>
                <w:sz w:val="22"/>
              </w:rPr>
              <w:t>abril, julio, octubre y enero)</w:t>
            </w:r>
          </w:p>
        </w:tc>
      </w:tr>
      <w:tr w:rsidR="00994B95" w:rsidRPr="00C34499" w14:paraId="50C659BB" w14:textId="77777777" w:rsidTr="004653E2">
        <w:trPr>
          <w:trHeight w:val="570"/>
        </w:trPr>
        <w:tc>
          <w:tcPr>
            <w:tcW w:w="3620" w:type="dxa"/>
            <w:tcBorders>
              <w:top w:val="nil"/>
              <w:left w:val="single" w:sz="8" w:space="0" w:color="auto"/>
              <w:bottom w:val="single" w:sz="8" w:space="0" w:color="auto"/>
              <w:right w:val="single" w:sz="8" w:space="0" w:color="auto"/>
            </w:tcBorders>
            <w:shd w:val="clear" w:color="000000" w:fill="1F3864"/>
            <w:vAlign w:val="center"/>
            <w:hideMark/>
          </w:tcPr>
          <w:p w14:paraId="7745C45C" w14:textId="77777777" w:rsidR="00994B95" w:rsidRPr="00C34499" w:rsidRDefault="00994B95" w:rsidP="004653E2">
            <w:pPr>
              <w:spacing w:after="0" w:line="240" w:lineRule="auto"/>
              <w:jc w:val="left"/>
              <w:rPr>
                <w:rFonts w:eastAsia="Times New Roman" w:cs="Calibri"/>
                <w:color w:val="FFFFFF"/>
                <w:sz w:val="22"/>
              </w:rPr>
            </w:pPr>
            <w:r w:rsidRPr="00C34499">
              <w:rPr>
                <w:rFonts w:eastAsia="Times New Roman" w:cs="Calibri"/>
                <w:color w:val="FFFFFF"/>
                <w:sz w:val="22"/>
              </w:rPr>
              <w:t xml:space="preserve">Servicio de mantenimiento de parques obras y ornato             </w:t>
            </w:r>
          </w:p>
        </w:tc>
        <w:tc>
          <w:tcPr>
            <w:tcW w:w="5360" w:type="dxa"/>
            <w:tcBorders>
              <w:top w:val="nil"/>
              <w:left w:val="nil"/>
              <w:bottom w:val="single" w:sz="8" w:space="0" w:color="auto"/>
              <w:right w:val="single" w:sz="8" w:space="0" w:color="auto"/>
            </w:tcBorders>
            <w:shd w:val="clear" w:color="auto" w:fill="auto"/>
            <w:noWrap/>
            <w:vAlign w:val="center"/>
            <w:hideMark/>
          </w:tcPr>
          <w:p w14:paraId="4A8AFADA" w14:textId="4CE1E901" w:rsidR="00994B95" w:rsidRPr="00C34499" w:rsidRDefault="001152CE" w:rsidP="004653E2">
            <w:pPr>
              <w:spacing w:after="0" w:line="240" w:lineRule="auto"/>
              <w:jc w:val="left"/>
              <w:rPr>
                <w:rFonts w:eastAsia="Times New Roman" w:cs="Calibri"/>
                <w:color w:val="000000"/>
                <w:sz w:val="22"/>
              </w:rPr>
            </w:pPr>
            <w:r w:rsidRPr="00C34499">
              <w:rPr>
                <w:rFonts w:eastAsia="Times New Roman" w:cs="Calibri"/>
                <w:color w:val="000000"/>
                <w:sz w:val="22"/>
              </w:rPr>
              <w:t>Trimestre</w:t>
            </w:r>
            <w:r w:rsidR="00994B95" w:rsidRPr="00C34499">
              <w:rPr>
                <w:rFonts w:eastAsia="Times New Roman" w:cs="Calibri"/>
                <w:color w:val="000000"/>
                <w:sz w:val="22"/>
              </w:rPr>
              <w:t xml:space="preserve"> vencido (abril, julio, octubre y enero)</w:t>
            </w:r>
          </w:p>
        </w:tc>
      </w:tr>
    </w:tbl>
    <w:p w14:paraId="28E8FEBB" w14:textId="0DE2DF2A" w:rsidR="009B7238" w:rsidRDefault="009B7238" w:rsidP="0012360C">
      <w:pPr>
        <w:spacing w:line="240" w:lineRule="auto"/>
        <w:rPr>
          <w:lang w:eastAsia="es-CR"/>
        </w:rPr>
      </w:pPr>
    </w:p>
    <w:p w14:paraId="70A775C9" w14:textId="253622FD" w:rsidR="000B04D8" w:rsidRPr="000B04D8" w:rsidRDefault="000B04D8" w:rsidP="00CD3A05">
      <w:pPr>
        <w:rPr>
          <w:lang w:eastAsia="es-CR"/>
        </w:rPr>
      </w:pPr>
      <w:r w:rsidRPr="000B04D8">
        <w:rPr>
          <w:lang w:eastAsia="es-CR"/>
        </w:rPr>
        <w:t>Se realizará la revelación considerando lo dispuesto en el párrafo 39 de la NICSP 9.</w:t>
      </w:r>
    </w:p>
    <w:p w14:paraId="635E8F5C" w14:textId="77777777" w:rsidR="000B04D8" w:rsidRPr="000B404C" w:rsidRDefault="000B04D8" w:rsidP="000B04D8">
      <w:pPr>
        <w:spacing w:after="0" w:line="240" w:lineRule="auto"/>
        <w:rPr>
          <w:rStyle w:val="nfasis"/>
        </w:rPr>
      </w:pPr>
      <w:r w:rsidRPr="000B404C">
        <w:rPr>
          <w:rStyle w:val="nfasis"/>
        </w:rPr>
        <w:t>“39. Una entidad revelará:</w:t>
      </w:r>
    </w:p>
    <w:p w14:paraId="3DAEB9A1" w14:textId="77777777" w:rsidR="000B04D8" w:rsidRPr="000B404C" w:rsidRDefault="000B04D8" w:rsidP="000B04D8">
      <w:pPr>
        <w:spacing w:after="0" w:line="240" w:lineRule="auto"/>
        <w:rPr>
          <w:rStyle w:val="nfasis"/>
        </w:rPr>
      </w:pPr>
      <w:r w:rsidRPr="000B404C">
        <w:rPr>
          <w:rStyle w:val="nfasis"/>
        </w:rPr>
        <w:t xml:space="preserve">(a) las políticas contables adoptadas para el reconocimiento de los ingresos, incluyendo los métodos utilizados para determinar el porcentaje de terminación de las transacciones involucradas con la prestación de servicios; </w:t>
      </w:r>
    </w:p>
    <w:p w14:paraId="73141CF8" w14:textId="77777777" w:rsidR="000B04D8" w:rsidRPr="000B404C" w:rsidRDefault="000B04D8" w:rsidP="000B04D8">
      <w:pPr>
        <w:spacing w:after="0" w:line="240" w:lineRule="auto"/>
        <w:rPr>
          <w:rStyle w:val="nfasis"/>
        </w:rPr>
      </w:pPr>
      <w:r w:rsidRPr="000B404C">
        <w:rPr>
          <w:rStyle w:val="nfasis"/>
        </w:rPr>
        <w:t xml:space="preserve">(b) la cuantía de cada categoría significativa de ingresos, reconocida durante el periodo, con indicación expresa de los ingresos procedentes de: </w:t>
      </w:r>
    </w:p>
    <w:p w14:paraId="65A83ADF" w14:textId="77777777" w:rsidR="000B04D8" w:rsidRPr="000B404C" w:rsidRDefault="000B04D8" w:rsidP="000B04D8">
      <w:pPr>
        <w:spacing w:after="0" w:line="240" w:lineRule="auto"/>
        <w:rPr>
          <w:rStyle w:val="nfasis"/>
        </w:rPr>
      </w:pPr>
      <w:r w:rsidRPr="000B404C">
        <w:rPr>
          <w:rStyle w:val="nfasis"/>
        </w:rPr>
        <w:tab/>
        <w:t xml:space="preserve">(i) la prestación de servicios; </w:t>
      </w:r>
    </w:p>
    <w:p w14:paraId="01E762B2" w14:textId="77777777" w:rsidR="000B04D8" w:rsidRPr="000B404C" w:rsidRDefault="000B04D8" w:rsidP="000B04D8">
      <w:pPr>
        <w:spacing w:after="0" w:line="240" w:lineRule="auto"/>
        <w:rPr>
          <w:rStyle w:val="nfasis"/>
        </w:rPr>
      </w:pPr>
      <w:r w:rsidRPr="000B404C">
        <w:rPr>
          <w:rStyle w:val="nfasis"/>
        </w:rPr>
        <w:tab/>
        <w:t xml:space="preserve">(ii) la venta de bienes; </w:t>
      </w:r>
    </w:p>
    <w:p w14:paraId="24C1E670" w14:textId="77777777" w:rsidR="000B04D8" w:rsidRPr="000B404C" w:rsidRDefault="000B04D8" w:rsidP="000B04D8">
      <w:pPr>
        <w:spacing w:after="0" w:line="240" w:lineRule="auto"/>
        <w:rPr>
          <w:rStyle w:val="nfasis"/>
        </w:rPr>
      </w:pPr>
      <w:r w:rsidRPr="000B404C">
        <w:rPr>
          <w:rStyle w:val="nfasis"/>
        </w:rPr>
        <w:tab/>
        <w:t xml:space="preserve">(iii) intereses; </w:t>
      </w:r>
    </w:p>
    <w:p w14:paraId="3DB20AC4" w14:textId="77777777" w:rsidR="000B04D8" w:rsidRPr="000B404C" w:rsidRDefault="000B04D8" w:rsidP="000B04D8">
      <w:pPr>
        <w:spacing w:after="0" w:line="240" w:lineRule="auto"/>
        <w:rPr>
          <w:rStyle w:val="nfasis"/>
        </w:rPr>
      </w:pPr>
      <w:r w:rsidRPr="000B404C">
        <w:rPr>
          <w:rStyle w:val="nfasis"/>
        </w:rPr>
        <w:tab/>
        <w:t xml:space="preserve">(iv) regalías; y </w:t>
      </w:r>
    </w:p>
    <w:p w14:paraId="151B5147" w14:textId="7F682D1B" w:rsidR="000B04D8" w:rsidRPr="000B404C" w:rsidRDefault="000B04D8" w:rsidP="000B04D8">
      <w:pPr>
        <w:spacing w:after="0" w:line="240" w:lineRule="auto"/>
        <w:rPr>
          <w:rStyle w:val="nfasis"/>
        </w:rPr>
      </w:pPr>
      <w:r w:rsidRPr="000B404C">
        <w:rPr>
          <w:rStyle w:val="nfasis"/>
        </w:rPr>
        <w:tab/>
        <w:t xml:space="preserve">(v) dividendos o distribuciones similares; y el importe de los ingresos producidos por </w:t>
      </w:r>
      <w:r w:rsidRPr="000B404C">
        <w:rPr>
          <w:rStyle w:val="nfasis"/>
        </w:rPr>
        <w:tab/>
        <w:t>intercambios de bienes o servicios incluidos en cada una de las categorías anteriores.”</w:t>
      </w:r>
    </w:p>
    <w:p w14:paraId="5409BC7A" w14:textId="77777777" w:rsidR="000B04D8" w:rsidRDefault="000B04D8" w:rsidP="000B04D8">
      <w:pPr>
        <w:rPr>
          <w:lang w:eastAsia="es-CR"/>
        </w:rPr>
      </w:pPr>
    </w:p>
    <w:p w14:paraId="55C7364C" w14:textId="77777777" w:rsidR="00B45699" w:rsidRDefault="000C3947" w:rsidP="000C3947">
      <w:pPr>
        <w:spacing w:line="240" w:lineRule="auto"/>
        <w:rPr>
          <w:b/>
          <w:color w:val="FFFFFF" w:themeColor="background1"/>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7933258C" w14:textId="63A2368B" w:rsidR="000C3947" w:rsidRDefault="00B45699" w:rsidP="000C3947">
      <w:pPr>
        <w:spacing w:line="240" w:lineRule="auto"/>
        <w:rPr>
          <w:lang w:val="es-MX"/>
        </w:rPr>
      </w:pPr>
      <w:r>
        <w:rPr>
          <w:lang w:val="es-MX"/>
        </w:rPr>
        <w:t xml:space="preserve">Los ingresos provenientes de la prestación de servicios </w:t>
      </w:r>
      <w:r w:rsidR="006B7DC6">
        <w:rPr>
          <w:lang w:val="es-MX"/>
        </w:rPr>
        <w:t xml:space="preserve">(saneamiento ambiental, cementerio y mantenimiento de parques obras y ornato), </w:t>
      </w:r>
      <w:r>
        <w:rPr>
          <w:lang w:val="es-MX"/>
        </w:rPr>
        <w:t>se reconocen como gasto y cuentas por cobrar, con base en el reporte de lo puesto al cobro emitido por la Unidad de Registro Primario respectiva en la fecha del reporte en los meses que se indica en el cuadro antes consignado en esta norma.</w:t>
      </w:r>
    </w:p>
    <w:p w14:paraId="361DAEF4" w14:textId="0173E87D" w:rsidR="006B7DC6" w:rsidRDefault="006B7DC6" w:rsidP="000C3947">
      <w:pPr>
        <w:spacing w:line="240" w:lineRule="auto"/>
        <w:rPr>
          <w:lang w:val="es-MX"/>
        </w:rPr>
      </w:pPr>
      <w:r>
        <w:rPr>
          <w:lang w:val="es-MX"/>
        </w:rPr>
        <w:t>Los ingresos de servicios de CECUDI y alquileres, se reconocen de acuerdo con el plazo establecido en los contratos</w:t>
      </w:r>
      <w:r w:rsidR="000F1D39">
        <w:rPr>
          <w:lang w:val="es-MX"/>
        </w:rPr>
        <w:t>, acuerdos</w:t>
      </w:r>
      <w:r>
        <w:rPr>
          <w:lang w:val="es-MX"/>
        </w:rPr>
        <w:t xml:space="preserve"> o convenios </w:t>
      </w:r>
      <w:r w:rsidR="000F1D39">
        <w:rPr>
          <w:lang w:val="es-MX"/>
        </w:rPr>
        <w:t>elaborados, que se encuentren formalmente aprobados por la Municipalidad.</w:t>
      </w:r>
    </w:p>
    <w:p w14:paraId="6BC45054" w14:textId="3AA0C089" w:rsidR="000F1D39" w:rsidRPr="006B7DC6" w:rsidRDefault="000F1D39" w:rsidP="000C3947">
      <w:pPr>
        <w:spacing w:line="240" w:lineRule="auto"/>
        <w:rPr>
          <w:lang w:val="es-MX"/>
        </w:rPr>
      </w:pPr>
      <w:r>
        <w:rPr>
          <w:lang w:val="es-MX"/>
        </w:rPr>
        <w:t xml:space="preserve">Los ingresos por venta de bienes, cuando los riesgos y recompensas importantes han sido transferidos al comprador, los ingresos ordinarios pueden ser medidos confiablemente, y es probable que los beneficios económicos o potencial de servicios </w:t>
      </w:r>
      <w:r w:rsidR="00884FCC">
        <w:rPr>
          <w:lang w:val="es-MX"/>
        </w:rPr>
        <w:t>asociados con la transacción fluirán a la Municipalidad y los costos incurridos o por incurrir en la transacción puedan ser medidos confiablemente.</w:t>
      </w:r>
    </w:p>
    <w:p w14:paraId="3A34702F" w14:textId="77777777" w:rsidR="000C3947" w:rsidRDefault="000C3947" w:rsidP="000C3947">
      <w:pPr>
        <w:spacing w:line="240" w:lineRule="auto"/>
        <w:rPr>
          <w:b/>
          <w:u w:val="single"/>
        </w:rPr>
      </w:pPr>
    </w:p>
    <w:p w14:paraId="08C08C86" w14:textId="77777777" w:rsidR="000C3947" w:rsidRPr="003516A2" w:rsidRDefault="000C3947" w:rsidP="000C3947">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5DDBB52A" w14:textId="5D6EDF28" w:rsidR="000C3947" w:rsidRPr="00B45699" w:rsidRDefault="006544DD" w:rsidP="00B45699">
      <w:pPr>
        <w:spacing w:line="240" w:lineRule="auto"/>
        <w:rPr>
          <w:rFonts w:cs="Arial"/>
          <w:szCs w:val="24"/>
          <w:lang w:eastAsia="es-CR"/>
        </w:rPr>
      </w:pPr>
      <w:r w:rsidRPr="00B45699">
        <w:rPr>
          <w:rFonts w:cs="Arial"/>
          <w:szCs w:val="24"/>
          <w:lang w:eastAsia="es-CR"/>
        </w:rPr>
        <w:t>Los ingresos provenientes de transacciones con contraprestación (intercambio), se miden al valor razonable de la consideración recibida o por cobrar</w:t>
      </w:r>
      <w:r w:rsidR="00B45699">
        <w:rPr>
          <w:rFonts w:cs="Arial"/>
          <w:szCs w:val="24"/>
          <w:lang w:eastAsia="es-CR"/>
        </w:rPr>
        <w:t>.</w:t>
      </w:r>
      <w:r w:rsidR="006B7DC6">
        <w:rPr>
          <w:rFonts w:cs="Arial"/>
          <w:szCs w:val="24"/>
          <w:lang w:eastAsia="es-CR"/>
        </w:rPr>
        <w:t xml:space="preserve"> Los montos de los ingresos que no pueden ser estimados confiablemente (multas, intereses, donaciones y regalías)</w:t>
      </w:r>
      <w:r w:rsidR="000F1D39">
        <w:rPr>
          <w:rFonts w:cs="Arial"/>
          <w:szCs w:val="24"/>
          <w:lang w:eastAsia="es-CR"/>
        </w:rPr>
        <w:t>,</w:t>
      </w:r>
      <w:r w:rsidR="006B7DC6">
        <w:rPr>
          <w:rFonts w:cs="Arial"/>
          <w:szCs w:val="24"/>
          <w:lang w:eastAsia="es-CR"/>
        </w:rPr>
        <w:t xml:space="preserve"> se reconocerán solo </w:t>
      </w:r>
      <w:r w:rsidR="000F1D39">
        <w:rPr>
          <w:rFonts w:cs="Arial"/>
          <w:szCs w:val="24"/>
          <w:lang w:eastAsia="es-CR"/>
        </w:rPr>
        <w:t xml:space="preserve">por los beneficios económicos o potencial de servicio que fluirá a la Municipalidad </w:t>
      </w:r>
      <w:r w:rsidR="006B7DC6">
        <w:rPr>
          <w:rFonts w:cs="Arial"/>
          <w:szCs w:val="24"/>
          <w:lang w:eastAsia="es-CR"/>
        </w:rPr>
        <w:t xml:space="preserve">en la extensión de los montos recuperables que </w:t>
      </w:r>
      <w:r w:rsidR="000F1D39">
        <w:rPr>
          <w:rFonts w:cs="Arial"/>
          <w:szCs w:val="24"/>
          <w:lang w:eastAsia="es-CR"/>
        </w:rPr>
        <w:t>puedan ser medidos confiablemente según se</w:t>
      </w:r>
      <w:r w:rsidR="006B7DC6">
        <w:rPr>
          <w:rFonts w:cs="Arial"/>
          <w:szCs w:val="24"/>
          <w:lang w:eastAsia="es-CR"/>
        </w:rPr>
        <w:t xml:space="preserve"> estable</w:t>
      </w:r>
      <w:r w:rsidR="000F1D39">
        <w:rPr>
          <w:rFonts w:cs="Arial"/>
          <w:szCs w:val="24"/>
          <w:lang w:eastAsia="es-CR"/>
        </w:rPr>
        <w:t>zca</w:t>
      </w:r>
      <w:r w:rsidR="006B7DC6">
        <w:rPr>
          <w:rFonts w:cs="Arial"/>
          <w:szCs w:val="24"/>
          <w:lang w:eastAsia="es-CR"/>
        </w:rPr>
        <w:t xml:space="preserve"> en cada periodo</w:t>
      </w:r>
      <w:r w:rsidR="000F1D39">
        <w:rPr>
          <w:rFonts w:cs="Arial"/>
          <w:szCs w:val="24"/>
          <w:lang w:eastAsia="es-CR"/>
        </w:rPr>
        <w:t xml:space="preserve"> (intereses: sobre la base de tiempo proporcional que tenga en cuenta el rendimiento del activo, donaciones y regalías; cuando sean un derecho de acuerdo con la sustancia del contrato, acuerdo o convenio vigente).</w:t>
      </w:r>
      <w:r w:rsidR="006B7DC6">
        <w:rPr>
          <w:rFonts w:cs="Arial"/>
          <w:szCs w:val="24"/>
          <w:lang w:eastAsia="es-CR"/>
        </w:rPr>
        <w:t>.</w:t>
      </w:r>
    </w:p>
    <w:p w14:paraId="4199818A" w14:textId="77777777" w:rsidR="000C3947" w:rsidRPr="006B7DC6" w:rsidRDefault="000C3947" w:rsidP="000C3947"/>
    <w:p w14:paraId="14906A31" w14:textId="77777777" w:rsidR="000B04D8" w:rsidRPr="000B04D8" w:rsidRDefault="000B04D8" w:rsidP="000B04D8">
      <w:pPr>
        <w:rPr>
          <w:rFonts w:cs="Times New Roman"/>
          <w:b/>
          <w:bCs/>
          <w:sz w:val="22"/>
          <w:u w:val="single"/>
          <w:lang w:eastAsia="es-CR"/>
        </w:rPr>
      </w:pPr>
      <w:r w:rsidRPr="000C3947">
        <w:rPr>
          <w:b/>
          <w:color w:val="FFFFFF" w:themeColor="background1"/>
          <w:highlight w:val="darkBlue"/>
          <w:u w:val="single"/>
        </w:rPr>
        <w:t>Revelación Suficiente:</w:t>
      </w:r>
      <w:r w:rsidRPr="000B04D8">
        <w:rPr>
          <w:rFonts w:cs="Times New Roman"/>
          <w:b/>
          <w:bCs/>
          <w:sz w:val="22"/>
          <w:u w:val="single"/>
          <w:lang w:eastAsia="es-CR"/>
        </w:rPr>
        <w:t xml:space="preserve"> El ente debe cumplir con lo estipulado en revelación con forme a la NICSP, también debe considerar la política general y los párrafos incluidos en la matriz de autoevaluación referente a esta NICSP y guías de aplicación </w:t>
      </w:r>
      <w:r w:rsidRPr="000B04D8">
        <w:rPr>
          <w:rFonts w:cs="Times New Roman"/>
          <w:b/>
          <w:bCs/>
          <w:szCs w:val="24"/>
          <w:u w:val="single"/>
          <w:lang w:eastAsia="es-CR"/>
        </w:rPr>
        <w:t>(</w:t>
      </w:r>
      <w:r w:rsidRPr="000B04D8">
        <w:rPr>
          <w:rFonts w:cs="Times New Roman"/>
          <w:b/>
          <w:bCs/>
          <w:sz w:val="22"/>
          <w:u w:val="single"/>
          <w:lang w:eastAsia="es-CR"/>
        </w:rPr>
        <w:t>Ver las GA de la NICSP 9).</w:t>
      </w:r>
    </w:p>
    <w:p w14:paraId="2F656B7B" w14:textId="77777777" w:rsidR="00884FCC" w:rsidRPr="00290B8F" w:rsidRDefault="00884FCC" w:rsidP="00884FCC">
      <w:pPr>
        <w:rPr>
          <w:rFonts w:cs="Times New Roman"/>
          <w:b/>
          <w:bCs/>
          <w:sz w:val="22"/>
          <w:lang w:eastAsia="es-CR"/>
        </w:rPr>
      </w:pPr>
      <w:r w:rsidRPr="00290B8F">
        <w:rPr>
          <w:rFonts w:cs="Times New Roman"/>
          <w:b/>
          <w:bCs/>
          <w:sz w:val="22"/>
          <w:lang w:eastAsia="es-CR"/>
        </w:rPr>
        <w:t>Principales Políticas</w:t>
      </w:r>
    </w:p>
    <w:p w14:paraId="60D9292B" w14:textId="77777777" w:rsidR="00884FCC" w:rsidRPr="00290B8F" w:rsidRDefault="00884FCC" w:rsidP="00884FCC">
      <w:pPr>
        <w:spacing w:line="240" w:lineRule="auto"/>
        <w:rPr>
          <w:rFonts w:cs="Times New Roman"/>
          <w:sz w:val="22"/>
          <w:lang w:eastAsia="es-CR"/>
        </w:rPr>
      </w:pPr>
      <w:r w:rsidRPr="00290B8F">
        <w:rPr>
          <w:sz w:val="22"/>
        </w:rPr>
        <w:t xml:space="preserve">Los ingresos con contraprestación se miden utilizando </w:t>
      </w:r>
      <w:r w:rsidRPr="00290B8F">
        <w:rPr>
          <w:b/>
          <w:bCs/>
          <w:sz w:val="22"/>
        </w:rPr>
        <w:t>el valor razonable de la contrapartida</w:t>
      </w:r>
      <w:r w:rsidRPr="00290B8F">
        <w:rPr>
          <w:sz w:val="22"/>
        </w:rPr>
        <w:t>, recibida o por recibir, derivada de los mismos</w:t>
      </w:r>
      <w:r>
        <w:rPr>
          <w:sz w:val="22"/>
        </w:rPr>
        <w:t xml:space="preserve"> de acuerdo con lo establecido en el siguiente cuadro:</w:t>
      </w:r>
    </w:p>
    <w:tbl>
      <w:tblPr>
        <w:tblW w:w="8846" w:type="dxa"/>
        <w:tblInd w:w="80" w:type="dxa"/>
        <w:tblCellMar>
          <w:left w:w="70" w:type="dxa"/>
          <w:right w:w="70" w:type="dxa"/>
        </w:tblCellMar>
        <w:tblLook w:val="0000" w:firstRow="0" w:lastRow="0" w:firstColumn="0" w:lastColumn="0" w:noHBand="0" w:noVBand="0"/>
      </w:tblPr>
      <w:tblGrid>
        <w:gridCol w:w="3818"/>
        <w:gridCol w:w="5028"/>
      </w:tblGrid>
      <w:tr w:rsidR="00884FCC" w14:paraId="054C95AF" w14:textId="77777777" w:rsidTr="004653E2">
        <w:trPr>
          <w:trHeight w:val="288"/>
        </w:trPr>
        <w:tc>
          <w:tcPr>
            <w:tcW w:w="3818" w:type="dxa"/>
            <w:tcBorders>
              <w:top w:val="single" w:sz="4" w:space="0" w:color="auto"/>
              <w:left w:val="single" w:sz="4" w:space="0" w:color="auto"/>
              <w:bottom w:val="single" w:sz="4" w:space="0" w:color="auto"/>
              <w:right w:val="single" w:sz="4" w:space="0" w:color="auto"/>
            </w:tcBorders>
            <w:shd w:val="clear" w:color="auto" w:fill="D9E2F3"/>
            <w:noWrap/>
            <w:vAlign w:val="bottom"/>
          </w:tcPr>
          <w:p w14:paraId="060D4E83" w14:textId="77777777" w:rsidR="00884FCC" w:rsidRDefault="00884FCC" w:rsidP="004653E2">
            <w:pPr>
              <w:spacing w:after="0" w:line="240" w:lineRule="auto"/>
              <w:jc w:val="center"/>
              <w:rPr>
                <w:rFonts w:cs="Calibri"/>
                <w:b/>
                <w:bCs/>
                <w:color w:val="000000"/>
                <w:sz w:val="20"/>
                <w:szCs w:val="20"/>
                <w:lang w:val="es-ES" w:eastAsia="es-CR"/>
              </w:rPr>
            </w:pPr>
            <w:r>
              <w:rPr>
                <w:rFonts w:cs="Calibri"/>
                <w:b/>
                <w:bCs/>
                <w:color w:val="000000"/>
                <w:sz w:val="20"/>
                <w:szCs w:val="20"/>
                <w:lang w:val="es-ES" w:eastAsia="es-CR"/>
              </w:rPr>
              <w:t>Ingreso de transacciones c/contraprestación</w:t>
            </w:r>
          </w:p>
        </w:tc>
        <w:tc>
          <w:tcPr>
            <w:tcW w:w="5028" w:type="dxa"/>
            <w:tcBorders>
              <w:top w:val="single" w:sz="4" w:space="0" w:color="auto"/>
              <w:left w:val="single" w:sz="4" w:space="0" w:color="auto"/>
              <w:bottom w:val="single" w:sz="4" w:space="0" w:color="auto"/>
              <w:right w:val="single" w:sz="4" w:space="0" w:color="auto"/>
            </w:tcBorders>
            <w:shd w:val="clear" w:color="auto" w:fill="D9E2F3"/>
          </w:tcPr>
          <w:p w14:paraId="47899CAE" w14:textId="77777777" w:rsidR="00884FCC" w:rsidRDefault="00884FCC" w:rsidP="004653E2">
            <w:pPr>
              <w:spacing w:after="0" w:line="240" w:lineRule="auto"/>
              <w:jc w:val="center"/>
              <w:rPr>
                <w:rFonts w:cs="Calibri"/>
                <w:b/>
                <w:bCs/>
                <w:color w:val="000000"/>
                <w:sz w:val="20"/>
                <w:szCs w:val="20"/>
                <w:lang w:eastAsia="es-CR"/>
              </w:rPr>
            </w:pPr>
            <w:r>
              <w:rPr>
                <w:rFonts w:cs="Calibri"/>
                <w:b/>
                <w:bCs/>
                <w:color w:val="000000"/>
                <w:sz w:val="20"/>
                <w:szCs w:val="20"/>
                <w:lang w:eastAsia="es-CR"/>
              </w:rPr>
              <w:t>Política contable</w:t>
            </w:r>
          </w:p>
        </w:tc>
      </w:tr>
      <w:tr w:rsidR="00884FCC" w:rsidRPr="00DD3CC2" w14:paraId="758B47BA" w14:textId="77777777" w:rsidTr="004653E2">
        <w:trPr>
          <w:trHeight w:val="946"/>
        </w:trPr>
        <w:tc>
          <w:tcPr>
            <w:tcW w:w="3818" w:type="dxa"/>
            <w:tcBorders>
              <w:top w:val="nil"/>
              <w:left w:val="single" w:sz="8" w:space="0" w:color="auto"/>
              <w:bottom w:val="single" w:sz="4" w:space="0" w:color="auto"/>
              <w:right w:val="single" w:sz="4" w:space="0" w:color="auto"/>
            </w:tcBorders>
            <w:noWrap/>
            <w:vAlign w:val="bottom"/>
          </w:tcPr>
          <w:p w14:paraId="6616FF36" w14:textId="77777777" w:rsidR="00884FCC" w:rsidRPr="00A14094" w:rsidRDefault="00884FCC" w:rsidP="004653E2">
            <w:pPr>
              <w:spacing w:after="240" w:line="240" w:lineRule="auto"/>
              <w:rPr>
                <w:rFonts w:cs="Arial Narrow"/>
                <w:sz w:val="20"/>
                <w:szCs w:val="20"/>
                <w:lang w:val="es-ES" w:eastAsia="es-CR"/>
              </w:rPr>
            </w:pPr>
            <w:r>
              <w:rPr>
                <w:rFonts w:cs="Arial Narrow"/>
                <w:sz w:val="20"/>
                <w:szCs w:val="20"/>
                <w:lang w:val="es-ES" w:eastAsia="es-CR"/>
              </w:rPr>
              <w:t>Servicios Comunitarios: Saneamiento ambiental (recolección de residuos, tratamiento, aseo de vías, mantenimiento de parques).</w:t>
            </w:r>
          </w:p>
        </w:tc>
        <w:tc>
          <w:tcPr>
            <w:tcW w:w="5028" w:type="dxa"/>
            <w:tcBorders>
              <w:top w:val="nil"/>
              <w:left w:val="single" w:sz="8" w:space="0" w:color="auto"/>
              <w:bottom w:val="single" w:sz="4" w:space="0" w:color="auto"/>
              <w:right w:val="single" w:sz="4" w:space="0" w:color="auto"/>
            </w:tcBorders>
          </w:tcPr>
          <w:p w14:paraId="1B49B401" w14:textId="77777777" w:rsidR="00884FCC" w:rsidRPr="0042740E" w:rsidRDefault="00884FCC" w:rsidP="004653E2">
            <w:pPr>
              <w:spacing w:after="0" w:line="240" w:lineRule="auto"/>
              <w:rPr>
                <w:rFonts w:cs="Arial Narrow"/>
                <w:sz w:val="20"/>
                <w:szCs w:val="20"/>
                <w:lang w:eastAsia="es-CR"/>
              </w:rPr>
            </w:pPr>
            <w:r w:rsidRPr="0042740E">
              <w:rPr>
                <w:rFonts w:cs="Arial Narrow"/>
                <w:sz w:val="20"/>
                <w:szCs w:val="20"/>
                <w:lang w:eastAsia="es-CR"/>
              </w:rPr>
              <w:t xml:space="preserve">De acuerdo con el artículo 83 del Código Municipal establece que la municipalidad calculará cada tasa por los servicios que preste de forma anual y las cobrará en tractos trimestrales </w:t>
            </w:r>
            <w:r>
              <w:rPr>
                <w:rFonts w:cs="Arial Narrow"/>
                <w:sz w:val="20"/>
                <w:szCs w:val="20"/>
                <w:lang w:eastAsia="es-CR"/>
              </w:rPr>
              <w:t>por trimestre</w:t>
            </w:r>
            <w:r w:rsidRPr="0042740E">
              <w:rPr>
                <w:rFonts w:cs="Arial Narrow"/>
                <w:sz w:val="20"/>
                <w:szCs w:val="20"/>
                <w:lang w:eastAsia="es-CR"/>
              </w:rPr>
              <w:t xml:space="preserve"> vencido</w:t>
            </w:r>
            <w:r>
              <w:rPr>
                <w:rFonts w:cs="Arial Narrow"/>
                <w:sz w:val="20"/>
                <w:szCs w:val="20"/>
                <w:lang w:eastAsia="es-CR"/>
              </w:rPr>
              <w:t>.</w:t>
            </w:r>
          </w:p>
        </w:tc>
      </w:tr>
      <w:tr w:rsidR="00884FCC" w:rsidRPr="00DD3CC2" w14:paraId="32C20C96" w14:textId="77777777" w:rsidTr="004653E2">
        <w:trPr>
          <w:trHeight w:val="470"/>
        </w:trPr>
        <w:tc>
          <w:tcPr>
            <w:tcW w:w="3818" w:type="dxa"/>
            <w:tcBorders>
              <w:top w:val="nil"/>
              <w:left w:val="single" w:sz="8" w:space="0" w:color="auto"/>
              <w:bottom w:val="single" w:sz="4" w:space="0" w:color="auto"/>
              <w:right w:val="single" w:sz="4" w:space="0" w:color="auto"/>
            </w:tcBorders>
            <w:noWrap/>
            <w:vAlign w:val="bottom"/>
          </w:tcPr>
          <w:p w14:paraId="7B4BA1B4" w14:textId="77777777" w:rsidR="00884FCC" w:rsidRDefault="00884FCC" w:rsidP="004653E2">
            <w:pPr>
              <w:spacing w:after="0" w:line="240" w:lineRule="auto"/>
              <w:rPr>
                <w:rFonts w:cs="Arial Narrow"/>
                <w:sz w:val="20"/>
                <w:szCs w:val="20"/>
                <w:lang w:val="es-ES" w:eastAsia="es-CR"/>
              </w:rPr>
            </w:pPr>
            <w:r w:rsidRPr="0042740E">
              <w:rPr>
                <w:rFonts w:cs="Arial Narrow"/>
                <w:sz w:val="20"/>
                <w:szCs w:val="20"/>
                <w:lang w:eastAsia="es-CR"/>
              </w:rPr>
              <w:t> </w:t>
            </w:r>
            <w:r>
              <w:rPr>
                <w:rFonts w:cs="Arial Narrow"/>
                <w:sz w:val="20"/>
                <w:szCs w:val="20"/>
                <w:lang w:val="es-ES" w:eastAsia="es-CR"/>
              </w:rPr>
              <w:t xml:space="preserve">Servicios comunitarios: Cementerios </w:t>
            </w:r>
          </w:p>
          <w:p w14:paraId="1F876F67" w14:textId="77777777" w:rsidR="00884FCC" w:rsidRDefault="00884FCC" w:rsidP="004653E2">
            <w:pPr>
              <w:spacing w:after="0" w:line="240" w:lineRule="auto"/>
              <w:rPr>
                <w:rFonts w:cs="Arial Narrow"/>
                <w:sz w:val="20"/>
                <w:szCs w:val="20"/>
                <w:lang w:eastAsia="es-CR"/>
              </w:rPr>
            </w:pPr>
          </w:p>
        </w:tc>
        <w:tc>
          <w:tcPr>
            <w:tcW w:w="5028" w:type="dxa"/>
            <w:tcBorders>
              <w:top w:val="nil"/>
              <w:left w:val="single" w:sz="8" w:space="0" w:color="auto"/>
              <w:bottom w:val="single" w:sz="4" w:space="0" w:color="auto"/>
              <w:right w:val="single" w:sz="4" w:space="0" w:color="auto"/>
            </w:tcBorders>
          </w:tcPr>
          <w:p w14:paraId="29C98362" w14:textId="77777777" w:rsidR="00884FCC" w:rsidRPr="0042740E" w:rsidRDefault="00884FCC" w:rsidP="004653E2">
            <w:pPr>
              <w:spacing w:after="0" w:line="240" w:lineRule="auto"/>
              <w:rPr>
                <w:rFonts w:cs="Arial Narrow"/>
                <w:sz w:val="20"/>
                <w:szCs w:val="20"/>
                <w:lang w:eastAsia="es-CR"/>
              </w:rPr>
            </w:pPr>
            <w:r w:rsidRPr="0042740E">
              <w:rPr>
                <w:rFonts w:cs="Arial Narrow"/>
                <w:sz w:val="20"/>
                <w:szCs w:val="20"/>
                <w:lang w:eastAsia="es-CR"/>
              </w:rPr>
              <w:t>Servicios de cementerios, conforme a las competencias establecidas en el Código Municipal y la realidad cantonal.</w:t>
            </w:r>
          </w:p>
        </w:tc>
      </w:tr>
      <w:tr w:rsidR="00884FCC" w14:paraId="2DFF512B" w14:textId="77777777" w:rsidTr="004653E2">
        <w:trPr>
          <w:trHeight w:val="288"/>
        </w:trPr>
        <w:tc>
          <w:tcPr>
            <w:tcW w:w="3818" w:type="dxa"/>
            <w:tcBorders>
              <w:top w:val="single" w:sz="4" w:space="0" w:color="auto"/>
              <w:left w:val="single" w:sz="8" w:space="0" w:color="auto"/>
              <w:bottom w:val="single" w:sz="4" w:space="0" w:color="auto"/>
              <w:right w:val="single" w:sz="4" w:space="0" w:color="auto"/>
            </w:tcBorders>
            <w:noWrap/>
            <w:vAlign w:val="bottom"/>
          </w:tcPr>
          <w:p w14:paraId="5969A2FE" w14:textId="77777777" w:rsidR="00884FCC" w:rsidRPr="00D05F48" w:rsidRDefault="00884FCC" w:rsidP="004653E2">
            <w:pPr>
              <w:spacing w:after="0" w:line="240" w:lineRule="auto"/>
              <w:rPr>
                <w:rFonts w:cs="Arial Narrow"/>
                <w:sz w:val="20"/>
                <w:szCs w:val="20"/>
                <w:lang w:eastAsia="es-CR"/>
              </w:rPr>
            </w:pPr>
            <w:r w:rsidRPr="00D05F48">
              <w:rPr>
                <w:rFonts w:cs="Arial Narrow"/>
                <w:sz w:val="20"/>
                <w:szCs w:val="20"/>
                <w:lang w:eastAsia="es-CR"/>
              </w:rPr>
              <w:t>Alquileres</w:t>
            </w:r>
          </w:p>
          <w:p w14:paraId="449ED592" w14:textId="77777777" w:rsidR="00884FCC" w:rsidRDefault="00884FCC" w:rsidP="004653E2">
            <w:pPr>
              <w:spacing w:after="0" w:line="240" w:lineRule="auto"/>
              <w:rPr>
                <w:rFonts w:cs="Arial Narrow"/>
                <w:sz w:val="20"/>
                <w:szCs w:val="20"/>
                <w:lang w:eastAsia="es-CR"/>
              </w:rPr>
            </w:pPr>
          </w:p>
        </w:tc>
        <w:tc>
          <w:tcPr>
            <w:tcW w:w="5028" w:type="dxa"/>
            <w:tcBorders>
              <w:top w:val="single" w:sz="4" w:space="0" w:color="auto"/>
              <w:left w:val="single" w:sz="8" w:space="0" w:color="auto"/>
              <w:bottom w:val="single" w:sz="4" w:space="0" w:color="auto"/>
              <w:right w:val="single" w:sz="4" w:space="0" w:color="auto"/>
            </w:tcBorders>
          </w:tcPr>
          <w:p w14:paraId="1C742014" w14:textId="77777777" w:rsidR="00884FCC" w:rsidRDefault="00884FCC" w:rsidP="004653E2">
            <w:pPr>
              <w:spacing w:after="0" w:line="240" w:lineRule="auto"/>
              <w:rPr>
                <w:rFonts w:cs="Arial Narrow"/>
                <w:sz w:val="20"/>
                <w:szCs w:val="20"/>
                <w:lang w:eastAsia="es-CR"/>
              </w:rPr>
            </w:pPr>
            <w:r w:rsidRPr="0042740E">
              <w:rPr>
                <w:rFonts w:cs="Arial Narrow"/>
                <w:sz w:val="20"/>
                <w:szCs w:val="20"/>
                <w:lang w:eastAsia="es-CR"/>
              </w:rPr>
              <w:t xml:space="preserve">Se reciben por alquiler de locales en el mercado municipal y terminal de autobuses que según </w:t>
            </w:r>
            <w:r>
              <w:rPr>
                <w:rFonts w:cs="Arial Narrow"/>
                <w:sz w:val="20"/>
                <w:szCs w:val="20"/>
                <w:lang w:val="es-ES" w:eastAsia="es-CR"/>
              </w:rPr>
              <w:t xml:space="preserve">los contratos de arrendamiento que se suscriban conforme la competencia dada por la Ley sobre arrendamiento de Locales Municipales N° 7027.  El </w:t>
            </w:r>
            <w:r>
              <w:rPr>
                <w:rFonts w:cs="Arial Narrow"/>
                <w:sz w:val="20"/>
                <w:szCs w:val="20"/>
                <w:lang w:eastAsia="es-CR"/>
              </w:rPr>
              <w:t xml:space="preserve">precio de </w:t>
            </w:r>
            <w:r>
              <w:rPr>
                <w:rFonts w:cs="Arial Narrow"/>
                <w:sz w:val="20"/>
                <w:szCs w:val="20"/>
                <w:lang w:val="es-ES" w:eastAsia="es-CR"/>
              </w:rPr>
              <w:t xml:space="preserve">alquiler es </w:t>
            </w:r>
            <w:r>
              <w:rPr>
                <w:rFonts w:cs="Arial Narrow"/>
                <w:sz w:val="20"/>
                <w:szCs w:val="20"/>
                <w:lang w:eastAsia="es-CR"/>
              </w:rPr>
              <w:t>pagadero por adelantado.</w:t>
            </w:r>
          </w:p>
        </w:tc>
      </w:tr>
      <w:tr w:rsidR="00884FCC" w:rsidRPr="00DD3CC2" w14:paraId="639FA310" w14:textId="77777777" w:rsidTr="004653E2">
        <w:trPr>
          <w:trHeight w:val="288"/>
        </w:trPr>
        <w:tc>
          <w:tcPr>
            <w:tcW w:w="3818" w:type="dxa"/>
            <w:tcBorders>
              <w:top w:val="single" w:sz="4" w:space="0" w:color="auto"/>
              <w:left w:val="single" w:sz="8" w:space="0" w:color="auto"/>
              <w:bottom w:val="single" w:sz="4" w:space="0" w:color="auto"/>
              <w:right w:val="single" w:sz="4" w:space="0" w:color="auto"/>
            </w:tcBorders>
            <w:noWrap/>
            <w:vAlign w:val="bottom"/>
          </w:tcPr>
          <w:p w14:paraId="36D9B769" w14:textId="77777777" w:rsidR="00884FCC" w:rsidRPr="0042740E" w:rsidRDefault="00884FCC" w:rsidP="004653E2">
            <w:pPr>
              <w:spacing w:after="0" w:line="240" w:lineRule="auto"/>
              <w:rPr>
                <w:rFonts w:cs="Arial Narrow"/>
                <w:sz w:val="20"/>
                <w:szCs w:val="20"/>
                <w:lang w:eastAsia="es-CR"/>
              </w:rPr>
            </w:pPr>
            <w:r w:rsidRPr="0042740E">
              <w:rPr>
                <w:rFonts w:cs="Arial Narrow"/>
                <w:sz w:val="20"/>
                <w:szCs w:val="20"/>
                <w:lang w:eastAsia="es-CR"/>
              </w:rPr>
              <w:t>Derechos administrativos a los servicios de transportes por carreteras.</w:t>
            </w:r>
          </w:p>
          <w:p w14:paraId="595E1A59" w14:textId="77777777" w:rsidR="00884FCC" w:rsidRPr="0042740E" w:rsidRDefault="00884FCC" w:rsidP="004653E2">
            <w:pPr>
              <w:spacing w:after="0" w:line="240" w:lineRule="auto"/>
              <w:rPr>
                <w:rFonts w:cs="Arial Narrow"/>
                <w:sz w:val="20"/>
                <w:szCs w:val="20"/>
                <w:lang w:eastAsia="es-CR"/>
              </w:rPr>
            </w:pPr>
          </w:p>
        </w:tc>
        <w:tc>
          <w:tcPr>
            <w:tcW w:w="5028" w:type="dxa"/>
            <w:tcBorders>
              <w:top w:val="single" w:sz="4" w:space="0" w:color="auto"/>
              <w:left w:val="single" w:sz="8" w:space="0" w:color="auto"/>
              <w:bottom w:val="single" w:sz="4" w:space="0" w:color="auto"/>
              <w:right w:val="single" w:sz="4" w:space="0" w:color="auto"/>
            </w:tcBorders>
          </w:tcPr>
          <w:p w14:paraId="0A25B50E" w14:textId="77777777" w:rsidR="00884FCC" w:rsidRPr="0042740E" w:rsidRDefault="00884FCC" w:rsidP="004653E2">
            <w:pPr>
              <w:spacing w:after="0" w:line="240" w:lineRule="auto"/>
              <w:rPr>
                <w:rFonts w:cs="Arial Narrow"/>
                <w:sz w:val="20"/>
                <w:szCs w:val="20"/>
                <w:lang w:eastAsia="es-CR"/>
              </w:rPr>
            </w:pPr>
            <w:r>
              <w:rPr>
                <w:rFonts w:cs="Arial Narrow"/>
                <w:sz w:val="20"/>
                <w:szCs w:val="20"/>
                <w:lang w:val="es-ES" w:eastAsia="es-CR"/>
              </w:rPr>
              <w:t xml:space="preserve">Conforme con las facultades municipales </w:t>
            </w:r>
            <w:r w:rsidRPr="0042740E">
              <w:rPr>
                <w:rFonts w:cs="Arial Narrow"/>
                <w:sz w:val="20"/>
                <w:szCs w:val="20"/>
                <w:lang w:eastAsia="es-CR"/>
              </w:rPr>
              <w:t xml:space="preserve">se estableció </w:t>
            </w:r>
            <w:r>
              <w:rPr>
                <w:rFonts w:cs="Arial Narrow"/>
                <w:sz w:val="20"/>
                <w:szCs w:val="20"/>
                <w:lang w:val="es-ES" w:eastAsia="es-CR"/>
              </w:rPr>
              <w:t xml:space="preserve">el cobro de derechos </w:t>
            </w:r>
            <w:r w:rsidRPr="0048465A">
              <w:rPr>
                <w:rFonts w:cs="Arial Narrow"/>
                <w:sz w:val="20"/>
                <w:szCs w:val="20"/>
                <w:lang w:val="es-ES" w:eastAsia="es-CR"/>
              </w:rPr>
              <w:t xml:space="preserve">administrativos a los servicios de transportes por carretera, </w:t>
            </w:r>
            <w:r w:rsidRPr="0042740E">
              <w:rPr>
                <w:rFonts w:cs="Arial Narrow"/>
                <w:sz w:val="20"/>
                <w:szCs w:val="20"/>
                <w:lang w:eastAsia="es-CR"/>
              </w:rPr>
              <w:t>pagadero por adelantado</w:t>
            </w:r>
            <w:r w:rsidRPr="0048465A">
              <w:rPr>
                <w:rFonts w:cs="Arial Narrow"/>
                <w:sz w:val="20"/>
                <w:szCs w:val="20"/>
                <w:lang w:val="es-ES" w:eastAsia="es-CR"/>
              </w:rPr>
              <w:t xml:space="preserve"> por el uso de espacio en la terminal de buses en el centro de </w:t>
            </w:r>
            <w:r>
              <w:rPr>
                <w:rFonts w:cs="Arial Narrow"/>
                <w:sz w:val="20"/>
                <w:szCs w:val="20"/>
                <w:lang w:val="es-ES" w:eastAsia="es-CR"/>
              </w:rPr>
              <w:t>Buenos Aires</w:t>
            </w:r>
            <w:r w:rsidRPr="0042740E">
              <w:rPr>
                <w:rFonts w:cs="Arial Narrow"/>
                <w:sz w:val="20"/>
                <w:szCs w:val="20"/>
                <w:lang w:eastAsia="es-CR"/>
              </w:rPr>
              <w:t>.</w:t>
            </w:r>
          </w:p>
        </w:tc>
      </w:tr>
    </w:tbl>
    <w:p w14:paraId="7E3F99DD" w14:textId="77777777" w:rsidR="00884FCC" w:rsidRDefault="00884FCC" w:rsidP="00884FCC">
      <w:pPr>
        <w:spacing w:line="240" w:lineRule="auto"/>
      </w:pPr>
    </w:p>
    <w:p w14:paraId="68FEB98E" w14:textId="77777777" w:rsidR="00884FCC" w:rsidRDefault="00884FCC" w:rsidP="00884FCC">
      <w:pPr>
        <w:spacing w:after="0" w:line="240" w:lineRule="auto"/>
      </w:pPr>
      <w:r>
        <w:t>Los principales ingresos con contraprestación reconocidos durante el periodo objeto de informe se presentan en el siguiente cuadro:</w:t>
      </w:r>
    </w:p>
    <w:p w14:paraId="0F21699C" w14:textId="77777777" w:rsidR="00884FCC" w:rsidRDefault="00884FCC" w:rsidP="00884FCC">
      <w:pPr>
        <w:spacing w:after="0" w:line="240" w:lineRule="auto"/>
      </w:pPr>
    </w:p>
    <w:tbl>
      <w:tblPr>
        <w:tblW w:w="7787" w:type="dxa"/>
        <w:tblLook w:val="04A0" w:firstRow="1" w:lastRow="0" w:firstColumn="1" w:lastColumn="0" w:noHBand="0" w:noVBand="1"/>
      </w:tblPr>
      <w:tblGrid>
        <w:gridCol w:w="1311"/>
        <w:gridCol w:w="5200"/>
        <w:gridCol w:w="1276"/>
      </w:tblGrid>
      <w:tr w:rsidR="00884FCC" w:rsidRPr="008C172F" w14:paraId="41491726" w14:textId="77777777" w:rsidTr="004653E2">
        <w:trPr>
          <w:trHeight w:val="470"/>
        </w:trPr>
        <w:tc>
          <w:tcPr>
            <w:tcW w:w="1311" w:type="dxa"/>
            <w:tcBorders>
              <w:top w:val="single" w:sz="8" w:space="0" w:color="auto"/>
              <w:left w:val="single" w:sz="8" w:space="0" w:color="auto"/>
              <w:bottom w:val="single" w:sz="4" w:space="0" w:color="auto"/>
              <w:right w:val="single" w:sz="8" w:space="0" w:color="auto"/>
            </w:tcBorders>
            <w:shd w:val="clear" w:color="000000" w:fill="366092"/>
            <w:vAlign w:val="center"/>
            <w:hideMark/>
          </w:tcPr>
          <w:p w14:paraId="0FDD442A" w14:textId="77777777" w:rsidR="00884FCC" w:rsidRPr="008C172F" w:rsidRDefault="00884FCC" w:rsidP="004653E2">
            <w:pPr>
              <w:spacing w:after="0" w:line="240" w:lineRule="auto"/>
              <w:jc w:val="center"/>
              <w:rPr>
                <w:rFonts w:eastAsia="Times New Roman" w:cs="Calibri"/>
                <w:b/>
                <w:bCs/>
                <w:color w:val="FFFFFF"/>
                <w:sz w:val="20"/>
                <w:szCs w:val="20"/>
                <w:lang w:val="en-US"/>
              </w:rPr>
            </w:pPr>
            <w:r w:rsidRPr="008C172F">
              <w:rPr>
                <w:rFonts w:eastAsia="Times New Roman" w:cs="Calibri"/>
                <w:b/>
                <w:bCs/>
                <w:color w:val="FFFFFF"/>
                <w:sz w:val="20"/>
                <w:szCs w:val="20"/>
                <w:lang w:val="en-US"/>
              </w:rPr>
              <w:t>Cuenta</w:t>
            </w:r>
          </w:p>
        </w:tc>
        <w:tc>
          <w:tcPr>
            <w:tcW w:w="5200" w:type="dxa"/>
            <w:tcBorders>
              <w:top w:val="single" w:sz="8" w:space="0" w:color="auto"/>
              <w:left w:val="nil"/>
              <w:bottom w:val="single" w:sz="4" w:space="0" w:color="auto"/>
              <w:right w:val="single" w:sz="8" w:space="0" w:color="auto"/>
            </w:tcBorders>
            <w:shd w:val="clear" w:color="000000" w:fill="366092"/>
            <w:vAlign w:val="center"/>
            <w:hideMark/>
          </w:tcPr>
          <w:p w14:paraId="368CC577" w14:textId="77777777" w:rsidR="00884FCC" w:rsidRPr="008C172F" w:rsidRDefault="00884FCC" w:rsidP="004653E2">
            <w:pPr>
              <w:spacing w:after="0" w:line="240" w:lineRule="auto"/>
              <w:jc w:val="center"/>
              <w:rPr>
                <w:rFonts w:eastAsia="Times New Roman" w:cs="Calibri"/>
                <w:b/>
                <w:bCs/>
                <w:color w:val="FFFFFF"/>
                <w:sz w:val="20"/>
                <w:szCs w:val="20"/>
                <w:lang w:val="en-US"/>
              </w:rPr>
            </w:pPr>
            <w:r w:rsidRPr="008C172F">
              <w:rPr>
                <w:rFonts w:eastAsia="Times New Roman" w:cs="Calibri"/>
                <w:b/>
                <w:bCs/>
                <w:color w:val="FFFFFF"/>
                <w:sz w:val="20"/>
                <w:szCs w:val="20"/>
                <w:lang w:val="en-US"/>
              </w:rPr>
              <w:t>Descripción</w:t>
            </w:r>
          </w:p>
        </w:tc>
        <w:tc>
          <w:tcPr>
            <w:tcW w:w="1276" w:type="dxa"/>
            <w:tcBorders>
              <w:top w:val="single" w:sz="8" w:space="0" w:color="auto"/>
              <w:left w:val="nil"/>
              <w:bottom w:val="single" w:sz="4" w:space="0" w:color="auto"/>
              <w:right w:val="single" w:sz="8" w:space="0" w:color="auto"/>
            </w:tcBorders>
            <w:shd w:val="clear" w:color="000000" w:fill="366092"/>
            <w:vAlign w:val="center"/>
            <w:hideMark/>
          </w:tcPr>
          <w:p w14:paraId="518047A3" w14:textId="77777777" w:rsidR="00884FCC" w:rsidRPr="008C172F" w:rsidRDefault="00884FCC" w:rsidP="004653E2">
            <w:pPr>
              <w:spacing w:after="0" w:line="240" w:lineRule="auto"/>
              <w:jc w:val="center"/>
              <w:rPr>
                <w:rFonts w:eastAsia="Times New Roman" w:cs="Calibri"/>
                <w:b/>
                <w:bCs/>
                <w:color w:val="FFFFFF"/>
                <w:sz w:val="20"/>
                <w:szCs w:val="20"/>
                <w:lang w:val="en-US"/>
              </w:rPr>
            </w:pPr>
            <w:r w:rsidRPr="008C172F">
              <w:rPr>
                <w:rFonts w:eastAsia="Times New Roman" w:cs="Calibri"/>
                <w:b/>
                <w:bCs/>
                <w:color w:val="FFFFFF"/>
                <w:sz w:val="20"/>
                <w:szCs w:val="20"/>
                <w:lang w:val="en-US"/>
              </w:rPr>
              <w:t>Saldo Actual</w:t>
            </w:r>
          </w:p>
        </w:tc>
      </w:tr>
      <w:tr w:rsidR="00884FCC" w:rsidRPr="008C172F" w14:paraId="2EB8E338" w14:textId="77777777" w:rsidTr="004653E2">
        <w:trPr>
          <w:trHeight w:val="290"/>
        </w:trPr>
        <w:tc>
          <w:tcPr>
            <w:tcW w:w="1311" w:type="dxa"/>
            <w:tcBorders>
              <w:top w:val="single" w:sz="4" w:space="0" w:color="auto"/>
              <w:left w:val="single" w:sz="4" w:space="0" w:color="auto"/>
              <w:right w:val="single" w:sz="4" w:space="0" w:color="auto"/>
            </w:tcBorders>
            <w:shd w:val="clear" w:color="000000" w:fill="FFFFFF"/>
            <w:noWrap/>
            <w:vAlign w:val="bottom"/>
            <w:hideMark/>
          </w:tcPr>
          <w:p w14:paraId="2C09EBF7" w14:textId="77777777" w:rsidR="00884FCC" w:rsidRPr="008C172F" w:rsidRDefault="00884FCC" w:rsidP="004653E2">
            <w:pPr>
              <w:spacing w:after="0" w:line="240" w:lineRule="auto"/>
              <w:jc w:val="left"/>
              <w:rPr>
                <w:rFonts w:eastAsia="Times New Roman" w:cs="Calibri"/>
                <w:b/>
                <w:bCs/>
                <w:color w:val="000000"/>
                <w:sz w:val="20"/>
                <w:szCs w:val="20"/>
                <w:lang w:val="en-US"/>
              </w:rPr>
            </w:pPr>
            <w:r w:rsidRPr="008C172F">
              <w:rPr>
                <w:rFonts w:eastAsia="Times New Roman" w:cs="Calibri"/>
                <w:b/>
                <w:bCs/>
                <w:color w:val="000000"/>
                <w:sz w:val="20"/>
                <w:szCs w:val="20"/>
                <w:lang w:val="en-US"/>
              </w:rPr>
              <w:t>4.4.1.02.04.</w:t>
            </w:r>
          </w:p>
        </w:tc>
        <w:tc>
          <w:tcPr>
            <w:tcW w:w="5200" w:type="dxa"/>
            <w:tcBorders>
              <w:top w:val="single" w:sz="4" w:space="0" w:color="auto"/>
              <w:left w:val="single" w:sz="4" w:space="0" w:color="auto"/>
              <w:right w:val="single" w:sz="4" w:space="0" w:color="auto"/>
            </w:tcBorders>
            <w:shd w:val="clear" w:color="auto" w:fill="auto"/>
            <w:noWrap/>
            <w:vAlign w:val="bottom"/>
            <w:hideMark/>
          </w:tcPr>
          <w:p w14:paraId="13AE306F" w14:textId="77777777" w:rsidR="00884FCC" w:rsidRPr="008C172F" w:rsidRDefault="00884FCC" w:rsidP="004653E2">
            <w:pPr>
              <w:spacing w:after="0" w:line="240" w:lineRule="auto"/>
              <w:jc w:val="left"/>
              <w:rPr>
                <w:rFonts w:eastAsia="Times New Roman" w:cs="Calibri"/>
                <w:b/>
                <w:bCs/>
                <w:color w:val="000000"/>
                <w:sz w:val="20"/>
                <w:szCs w:val="20"/>
                <w:lang w:val="en-US"/>
              </w:rPr>
            </w:pPr>
            <w:r w:rsidRPr="008C172F">
              <w:rPr>
                <w:rFonts w:eastAsia="Times New Roman" w:cs="Calibri"/>
                <w:b/>
                <w:bCs/>
                <w:color w:val="000000"/>
                <w:sz w:val="20"/>
                <w:szCs w:val="20"/>
                <w:lang w:val="en-US"/>
              </w:rPr>
              <w:t>Servicios comunitarios</w:t>
            </w:r>
          </w:p>
        </w:tc>
        <w:tc>
          <w:tcPr>
            <w:tcW w:w="1276" w:type="dxa"/>
            <w:tcBorders>
              <w:top w:val="single" w:sz="4" w:space="0" w:color="auto"/>
              <w:left w:val="single" w:sz="4" w:space="0" w:color="auto"/>
              <w:right w:val="single" w:sz="4" w:space="0" w:color="auto"/>
            </w:tcBorders>
            <w:shd w:val="clear" w:color="000000" w:fill="FFFFFF"/>
            <w:noWrap/>
            <w:vAlign w:val="bottom"/>
            <w:hideMark/>
          </w:tcPr>
          <w:p w14:paraId="1C84D3AA" w14:textId="77777777" w:rsidR="00884FCC" w:rsidRPr="008C172F" w:rsidRDefault="00884FCC" w:rsidP="004653E2">
            <w:pPr>
              <w:spacing w:after="0" w:line="240" w:lineRule="auto"/>
              <w:jc w:val="left"/>
              <w:rPr>
                <w:rFonts w:eastAsia="Times New Roman" w:cs="Calibri"/>
                <w:color w:val="000000"/>
                <w:sz w:val="20"/>
                <w:szCs w:val="20"/>
                <w:lang w:val="en-US"/>
              </w:rPr>
            </w:pPr>
            <w:r w:rsidRPr="008C172F">
              <w:rPr>
                <w:rFonts w:eastAsia="Times New Roman" w:cs="Calibri"/>
                <w:color w:val="000000"/>
                <w:sz w:val="20"/>
                <w:szCs w:val="20"/>
                <w:lang w:val="en-US"/>
              </w:rPr>
              <w:t> </w:t>
            </w:r>
          </w:p>
        </w:tc>
      </w:tr>
      <w:tr w:rsidR="00884FCC" w:rsidRPr="008C172F" w14:paraId="15C5F97C" w14:textId="77777777" w:rsidTr="004653E2">
        <w:trPr>
          <w:trHeight w:val="290"/>
        </w:trPr>
        <w:tc>
          <w:tcPr>
            <w:tcW w:w="1311" w:type="dxa"/>
            <w:tcBorders>
              <w:top w:val="nil"/>
              <w:left w:val="single" w:sz="4" w:space="0" w:color="auto"/>
              <w:right w:val="single" w:sz="4" w:space="0" w:color="auto"/>
            </w:tcBorders>
            <w:shd w:val="clear" w:color="000000" w:fill="FFFFFF"/>
            <w:noWrap/>
            <w:vAlign w:val="bottom"/>
            <w:hideMark/>
          </w:tcPr>
          <w:p w14:paraId="05F1B99B" w14:textId="77777777" w:rsidR="00884FCC" w:rsidRPr="008C172F" w:rsidRDefault="00884FCC" w:rsidP="004653E2">
            <w:pPr>
              <w:spacing w:after="0" w:line="240" w:lineRule="auto"/>
              <w:jc w:val="left"/>
              <w:rPr>
                <w:rFonts w:eastAsia="Times New Roman" w:cs="Calibri"/>
                <w:color w:val="000000"/>
                <w:sz w:val="20"/>
                <w:szCs w:val="20"/>
                <w:lang w:val="en-US"/>
              </w:rPr>
            </w:pPr>
            <w:r w:rsidRPr="008C172F">
              <w:rPr>
                <w:rFonts w:eastAsia="Times New Roman" w:cs="Calibri"/>
                <w:color w:val="000000"/>
                <w:sz w:val="20"/>
                <w:szCs w:val="20"/>
                <w:lang w:val="en-US"/>
              </w:rPr>
              <w:t>4.4.1.02.04.03.</w:t>
            </w:r>
          </w:p>
        </w:tc>
        <w:tc>
          <w:tcPr>
            <w:tcW w:w="5200" w:type="dxa"/>
            <w:tcBorders>
              <w:top w:val="nil"/>
              <w:left w:val="single" w:sz="4" w:space="0" w:color="auto"/>
              <w:right w:val="single" w:sz="4" w:space="0" w:color="auto"/>
            </w:tcBorders>
            <w:shd w:val="clear" w:color="auto" w:fill="auto"/>
            <w:noWrap/>
            <w:vAlign w:val="bottom"/>
            <w:hideMark/>
          </w:tcPr>
          <w:p w14:paraId="256A361E" w14:textId="77777777" w:rsidR="00884FCC" w:rsidRPr="008C172F" w:rsidRDefault="00884FCC" w:rsidP="004653E2">
            <w:pPr>
              <w:spacing w:after="0" w:line="240" w:lineRule="auto"/>
              <w:jc w:val="left"/>
              <w:rPr>
                <w:rFonts w:eastAsia="Times New Roman" w:cs="Calibri"/>
                <w:color w:val="000000"/>
                <w:sz w:val="20"/>
                <w:szCs w:val="20"/>
                <w:lang w:val="en-US"/>
              </w:rPr>
            </w:pPr>
            <w:r w:rsidRPr="008C172F">
              <w:rPr>
                <w:rFonts w:eastAsia="Times New Roman" w:cs="Calibri"/>
                <w:color w:val="000000"/>
                <w:sz w:val="20"/>
                <w:szCs w:val="20"/>
                <w:lang w:val="en-US"/>
              </w:rPr>
              <w:t xml:space="preserve">Servicios de </w:t>
            </w:r>
            <w:r>
              <w:rPr>
                <w:rFonts w:eastAsia="Times New Roman" w:cs="Calibri"/>
                <w:color w:val="000000"/>
                <w:sz w:val="20"/>
                <w:szCs w:val="20"/>
                <w:lang w:val="en-US"/>
              </w:rPr>
              <w:t>Cementerio</w:t>
            </w:r>
          </w:p>
        </w:tc>
        <w:tc>
          <w:tcPr>
            <w:tcW w:w="1276" w:type="dxa"/>
            <w:tcBorders>
              <w:top w:val="nil"/>
              <w:left w:val="single" w:sz="4" w:space="0" w:color="auto"/>
              <w:right w:val="single" w:sz="4" w:space="0" w:color="auto"/>
            </w:tcBorders>
            <w:shd w:val="clear" w:color="000000" w:fill="FFFFFF"/>
            <w:noWrap/>
            <w:vAlign w:val="bottom"/>
            <w:hideMark/>
          </w:tcPr>
          <w:p w14:paraId="76AAE953" w14:textId="720DBC93" w:rsidR="00884FCC" w:rsidRPr="008C172F" w:rsidRDefault="00884FCC" w:rsidP="004653E2">
            <w:pPr>
              <w:spacing w:after="0" w:line="240" w:lineRule="auto"/>
              <w:jc w:val="right"/>
              <w:rPr>
                <w:rFonts w:eastAsia="Times New Roman" w:cs="Calibri"/>
                <w:color w:val="000000"/>
                <w:sz w:val="20"/>
                <w:szCs w:val="20"/>
                <w:lang w:val="en-US"/>
              </w:rPr>
            </w:pPr>
            <w:r w:rsidRPr="008C172F">
              <w:rPr>
                <w:rFonts w:ascii="Arial" w:eastAsia="Times New Roman" w:hAnsi="Arial" w:cs="Arial"/>
                <w:color w:val="000000"/>
                <w:sz w:val="20"/>
                <w:szCs w:val="20"/>
                <w:lang w:val="en-US"/>
              </w:rPr>
              <w:t>₡</w:t>
            </w:r>
            <w:r w:rsidRPr="008C172F">
              <w:rPr>
                <w:rFonts w:eastAsia="Times New Roman" w:cs="Calibri"/>
                <w:color w:val="000000"/>
                <w:sz w:val="20"/>
                <w:szCs w:val="20"/>
                <w:lang w:val="en-US"/>
              </w:rPr>
              <w:t>1</w:t>
            </w:r>
            <w:r w:rsidR="0012360C">
              <w:rPr>
                <w:rFonts w:eastAsia="Times New Roman" w:cs="Calibri"/>
                <w:color w:val="000000"/>
                <w:sz w:val="20"/>
                <w:szCs w:val="20"/>
                <w:lang w:val="en-US"/>
              </w:rPr>
              <w:t>8</w:t>
            </w:r>
            <w:r w:rsidRPr="008C172F">
              <w:rPr>
                <w:rFonts w:eastAsia="Times New Roman" w:cs="Calibri"/>
                <w:color w:val="000000"/>
                <w:sz w:val="20"/>
                <w:szCs w:val="20"/>
                <w:lang w:val="en-US"/>
              </w:rPr>
              <w:t xml:space="preserve"> 4</w:t>
            </w:r>
            <w:r w:rsidR="0012360C">
              <w:rPr>
                <w:rFonts w:eastAsia="Times New Roman" w:cs="Calibri"/>
                <w:color w:val="000000"/>
                <w:sz w:val="20"/>
                <w:szCs w:val="20"/>
                <w:lang w:val="en-US"/>
              </w:rPr>
              <w:t>06</w:t>
            </w:r>
            <w:r w:rsidRPr="008C172F">
              <w:rPr>
                <w:rFonts w:eastAsia="Times New Roman" w:cs="Calibri"/>
                <w:color w:val="000000"/>
                <w:sz w:val="20"/>
                <w:szCs w:val="20"/>
                <w:lang w:val="en-US"/>
              </w:rPr>
              <w:t>,</w:t>
            </w:r>
            <w:r w:rsidR="0012360C">
              <w:rPr>
                <w:rFonts w:eastAsia="Times New Roman" w:cs="Calibri"/>
                <w:color w:val="000000"/>
                <w:sz w:val="20"/>
                <w:szCs w:val="20"/>
                <w:lang w:val="en-US"/>
              </w:rPr>
              <w:t>82</w:t>
            </w:r>
          </w:p>
        </w:tc>
      </w:tr>
      <w:tr w:rsidR="00884FCC" w:rsidRPr="008C172F" w14:paraId="5C16B5ED" w14:textId="77777777" w:rsidTr="004653E2">
        <w:trPr>
          <w:trHeight w:val="290"/>
        </w:trPr>
        <w:tc>
          <w:tcPr>
            <w:tcW w:w="1311" w:type="dxa"/>
            <w:tcBorders>
              <w:top w:val="nil"/>
              <w:left w:val="single" w:sz="4" w:space="0" w:color="auto"/>
              <w:right w:val="single" w:sz="4" w:space="0" w:color="auto"/>
            </w:tcBorders>
            <w:shd w:val="clear" w:color="000000" w:fill="FFFFFF"/>
            <w:noWrap/>
            <w:vAlign w:val="bottom"/>
            <w:hideMark/>
          </w:tcPr>
          <w:p w14:paraId="6700C5EA" w14:textId="77777777" w:rsidR="00884FCC" w:rsidRPr="008C172F" w:rsidRDefault="00884FCC" w:rsidP="004653E2">
            <w:pPr>
              <w:spacing w:after="0" w:line="240" w:lineRule="auto"/>
              <w:jc w:val="left"/>
              <w:rPr>
                <w:rFonts w:eastAsia="Times New Roman" w:cs="Calibri"/>
                <w:color w:val="000000"/>
                <w:sz w:val="20"/>
                <w:szCs w:val="20"/>
                <w:lang w:val="en-US"/>
              </w:rPr>
            </w:pPr>
            <w:r w:rsidRPr="008C172F">
              <w:rPr>
                <w:rFonts w:eastAsia="Times New Roman" w:cs="Calibri"/>
                <w:color w:val="000000"/>
                <w:sz w:val="20"/>
                <w:szCs w:val="20"/>
                <w:lang w:val="en-US"/>
              </w:rPr>
              <w:t>4.4.1.02.04.04.</w:t>
            </w:r>
          </w:p>
        </w:tc>
        <w:tc>
          <w:tcPr>
            <w:tcW w:w="5200" w:type="dxa"/>
            <w:tcBorders>
              <w:top w:val="nil"/>
              <w:left w:val="single" w:sz="4" w:space="0" w:color="auto"/>
              <w:right w:val="single" w:sz="4" w:space="0" w:color="auto"/>
            </w:tcBorders>
            <w:shd w:val="clear" w:color="auto" w:fill="auto"/>
            <w:noWrap/>
            <w:vAlign w:val="bottom"/>
            <w:hideMark/>
          </w:tcPr>
          <w:p w14:paraId="23B580DE" w14:textId="77777777" w:rsidR="00884FCC" w:rsidRPr="008C172F" w:rsidRDefault="00884FCC" w:rsidP="004653E2">
            <w:pPr>
              <w:spacing w:after="0" w:line="240" w:lineRule="auto"/>
              <w:jc w:val="left"/>
              <w:rPr>
                <w:rFonts w:eastAsia="Times New Roman" w:cs="Calibri"/>
                <w:color w:val="000000"/>
                <w:sz w:val="20"/>
                <w:szCs w:val="20"/>
                <w:lang w:val="en-US"/>
              </w:rPr>
            </w:pPr>
            <w:r w:rsidRPr="008C172F">
              <w:rPr>
                <w:rFonts w:eastAsia="Times New Roman" w:cs="Calibri"/>
                <w:color w:val="000000"/>
                <w:sz w:val="20"/>
                <w:szCs w:val="20"/>
                <w:lang w:val="en-US"/>
              </w:rPr>
              <w:t xml:space="preserve">Servicios de saneamiento </w:t>
            </w:r>
            <w:r>
              <w:rPr>
                <w:rFonts w:eastAsia="Times New Roman" w:cs="Calibri"/>
                <w:color w:val="000000"/>
                <w:sz w:val="20"/>
                <w:szCs w:val="20"/>
                <w:lang w:val="en-US"/>
              </w:rPr>
              <w:t>Ambiental</w:t>
            </w:r>
          </w:p>
        </w:tc>
        <w:tc>
          <w:tcPr>
            <w:tcW w:w="1276" w:type="dxa"/>
            <w:tcBorders>
              <w:top w:val="nil"/>
              <w:left w:val="single" w:sz="4" w:space="0" w:color="auto"/>
              <w:right w:val="single" w:sz="4" w:space="0" w:color="auto"/>
            </w:tcBorders>
            <w:shd w:val="clear" w:color="000000" w:fill="FFFFFF"/>
            <w:noWrap/>
            <w:vAlign w:val="bottom"/>
            <w:hideMark/>
          </w:tcPr>
          <w:p w14:paraId="051D9CD8" w14:textId="4E01835B" w:rsidR="00884FCC" w:rsidRPr="008C172F" w:rsidRDefault="00884FCC" w:rsidP="004653E2">
            <w:pPr>
              <w:spacing w:after="0" w:line="240" w:lineRule="auto"/>
              <w:jc w:val="right"/>
              <w:rPr>
                <w:rFonts w:eastAsia="Times New Roman" w:cs="Calibri"/>
                <w:color w:val="000000"/>
                <w:sz w:val="20"/>
                <w:szCs w:val="20"/>
                <w:lang w:val="en-US"/>
              </w:rPr>
            </w:pPr>
            <w:r w:rsidRPr="008C172F">
              <w:rPr>
                <w:rFonts w:ascii="Arial" w:eastAsia="Times New Roman" w:hAnsi="Arial" w:cs="Arial"/>
                <w:color w:val="000000"/>
                <w:sz w:val="20"/>
                <w:szCs w:val="20"/>
                <w:lang w:val="en-US"/>
              </w:rPr>
              <w:t>₡</w:t>
            </w:r>
            <w:r w:rsidR="0012360C">
              <w:rPr>
                <w:rFonts w:eastAsia="Times New Roman" w:cs="Arial"/>
                <w:color w:val="000000"/>
                <w:sz w:val="20"/>
                <w:szCs w:val="20"/>
                <w:lang w:val="en-US"/>
              </w:rPr>
              <w:t>292</w:t>
            </w:r>
            <w:r w:rsidRPr="008C172F">
              <w:rPr>
                <w:rFonts w:eastAsia="Times New Roman" w:cs="Calibri"/>
                <w:color w:val="000000"/>
                <w:sz w:val="20"/>
                <w:szCs w:val="20"/>
                <w:lang w:val="en-US"/>
              </w:rPr>
              <w:t xml:space="preserve"> </w:t>
            </w:r>
            <w:r w:rsidR="0012360C">
              <w:rPr>
                <w:rFonts w:eastAsia="Times New Roman" w:cs="Calibri"/>
                <w:color w:val="000000"/>
                <w:sz w:val="20"/>
                <w:szCs w:val="20"/>
                <w:lang w:val="en-US"/>
              </w:rPr>
              <w:t>353</w:t>
            </w:r>
            <w:r w:rsidRPr="008C172F">
              <w:rPr>
                <w:rFonts w:eastAsia="Times New Roman" w:cs="Calibri"/>
                <w:color w:val="000000"/>
                <w:sz w:val="20"/>
                <w:szCs w:val="20"/>
                <w:lang w:val="en-US"/>
              </w:rPr>
              <w:t>,</w:t>
            </w:r>
            <w:r w:rsidR="0012360C">
              <w:rPr>
                <w:rFonts w:eastAsia="Times New Roman" w:cs="Calibri"/>
                <w:color w:val="000000"/>
                <w:sz w:val="20"/>
                <w:szCs w:val="20"/>
                <w:lang w:val="en-US"/>
              </w:rPr>
              <w:t>11</w:t>
            </w:r>
          </w:p>
        </w:tc>
      </w:tr>
      <w:tr w:rsidR="00884FCC" w:rsidRPr="008C172F" w14:paraId="175D7A88" w14:textId="77777777" w:rsidTr="004653E2">
        <w:trPr>
          <w:trHeight w:val="290"/>
        </w:trPr>
        <w:tc>
          <w:tcPr>
            <w:tcW w:w="1311" w:type="dxa"/>
            <w:tcBorders>
              <w:top w:val="nil"/>
              <w:left w:val="single" w:sz="4" w:space="0" w:color="auto"/>
              <w:right w:val="single" w:sz="4" w:space="0" w:color="auto"/>
            </w:tcBorders>
            <w:shd w:val="clear" w:color="000000" w:fill="FFFFFF"/>
            <w:noWrap/>
            <w:vAlign w:val="bottom"/>
            <w:hideMark/>
          </w:tcPr>
          <w:p w14:paraId="6E4E2C6C" w14:textId="77777777" w:rsidR="00884FCC" w:rsidRPr="008C172F" w:rsidRDefault="00884FCC" w:rsidP="004653E2">
            <w:pPr>
              <w:spacing w:after="0" w:line="240" w:lineRule="auto"/>
              <w:jc w:val="left"/>
              <w:rPr>
                <w:rFonts w:eastAsia="Times New Roman" w:cs="Calibri"/>
                <w:b/>
                <w:bCs/>
                <w:color w:val="000000"/>
                <w:sz w:val="20"/>
                <w:szCs w:val="20"/>
                <w:lang w:val="en-US"/>
              </w:rPr>
            </w:pPr>
            <w:r w:rsidRPr="008C172F">
              <w:rPr>
                <w:rFonts w:eastAsia="Times New Roman" w:cs="Calibri"/>
                <w:b/>
                <w:bCs/>
                <w:color w:val="000000"/>
                <w:sz w:val="20"/>
                <w:szCs w:val="20"/>
                <w:lang w:val="en-US"/>
              </w:rPr>
              <w:t>4.4.1.02.99.</w:t>
            </w:r>
          </w:p>
        </w:tc>
        <w:tc>
          <w:tcPr>
            <w:tcW w:w="5200" w:type="dxa"/>
            <w:tcBorders>
              <w:top w:val="nil"/>
              <w:left w:val="single" w:sz="4" w:space="0" w:color="auto"/>
              <w:right w:val="single" w:sz="4" w:space="0" w:color="auto"/>
            </w:tcBorders>
            <w:shd w:val="clear" w:color="auto" w:fill="auto"/>
            <w:noWrap/>
            <w:vAlign w:val="bottom"/>
            <w:hideMark/>
          </w:tcPr>
          <w:p w14:paraId="480B1795" w14:textId="77777777" w:rsidR="00884FCC" w:rsidRPr="008C172F" w:rsidRDefault="00884FCC" w:rsidP="004653E2">
            <w:pPr>
              <w:spacing w:after="0" w:line="240" w:lineRule="auto"/>
              <w:jc w:val="left"/>
              <w:rPr>
                <w:rFonts w:eastAsia="Times New Roman" w:cs="Calibri"/>
                <w:b/>
                <w:bCs/>
                <w:color w:val="000000"/>
                <w:sz w:val="20"/>
                <w:szCs w:val="20"/>
                <w:lang w:val="en-US"/>
              </w:rPr>
            </w:pPr>
            <w:r w:rsidRPr="008C172F">
              <w:rPr>
                <w:rFonts w:eastAsia="Times New Roman" w:cs="Calibri"/>
                <w:b/>
                <w:bCs/>
                <w:color w:val="000000"/>
                <w:sz w:val="20"/>
                <w:szCs w:val="20"/>
                <w:lang w:val="en-US"/>
              </w:rPr>
              <w:t>Otras ventas de servicios</w:t>
            </w:r>
          </w:p>
        </w:tc>
        <w:tc>
          <w:tcPr>
            <w:tcW w:w="1276" w:type="dxa"/>
            <w:tcBorders>
              <w:top w:val="nil"/>
              <w:left w:val="single" w:sz="4" w:space="0" w:color="auto"/>
              <w:right w:val="single" w:sz="4" w:space="0" w:color="auto"/>
            </w:tcBorders>
            <w:shd w:val="clear" w:color="000000" w:fill="FFFFFF"/>
            <w:noWrap/>
            <w:vAlign w:val="bottom"/>
            <w:hideMark/>
          </w:tcPr>
          <w:p w14:paraId="6C947BC7" w14:textId="77777777" w:rsidR="00884FCC" w:rsidRPr="008C172F" w:rsidRDefault="00884FCC" w:rsidP="004653E2">
            <w:pPr>
              <w:spacing w:after="0" w:line="240" w:lineRule="auto"/>
              <w:jc w:val="left"/>
              <w:rPr>
                <w:rFonts w:eastAsia="Times New Roman" w:cs="Calibri"/>
                <w:color w:val="000000"/>
                <w:sz w:val="20"/>
                <w:szCs w:val="20"/>
                <w:lang w:val="en-US"/>
              </w:rPr>
            </w:pPr>
            <w:r w:rsidRPr="008C172F">
              <w:rPr>
                <w:rFonts w:eastAsia="Times New Roman" w:cs="Calibri"/>
                <w:color w:val="000000"/>
                <w:sz w:val="20"/>
                <w:szCs w:val="20"/>
                <w:lang w:val="en-US"/>
              </w:rPr>
              <w:t xml:space="preserve"> </w:t>
            </w:r>
          </w:p>
        </w:tc>
      </w:tr>
      <w:tr w:rsidR="00884FCC" w:rsidRPr="008C172F" w14:paraId="48554336" w14:textId="77777777" w:rsidTr="004653E2">
        <w:trPr>
          <w:trHeight w:val="300"/>
        </w:trPr>
        <w:tc>
          <w:tcPr>
            <w:tcW w:w="1311" w:type="dxa"/>
            <w:tcBorders>
              <w:top w:val="nil"/>
              <w:left w:val="single" w:sz="4" w:space="0" w:color="auto"/>
              <w:right w:val="single" w:sz="4" w:space="0" w:color="auto"/>
            </w:tcBorders>
            <w:shd w:val="clear" w:color="000000" w:fill="FFFFFF"/>
            <w:noWrap/>
            <w:vAlign w:val="bottom"/>
            <w:hideMark/>
          </w:tcPr>
          <w:p w14:paraId="783262FC" w14:textId="77777777" w:rsidR="00884FCC" w:rsidRPr="008C172F" w:rsidRDefault="00884FCC" w:rsidP="004653E2">
            <w:pPr>
              <w:spacing w:after="0" w:line="240" w:lineRule="auto"/>
              <w:jc w:val="left"/>
              <w:rPr>
                <w:rFonts w:eastAsia="Times New Roman" w:cs="Calibri"/>
                <w:color w:val="000000"/>
                <w:sz w:val="20"/>
                <w:szCs w:val="20"/>
                <w:lang w:val="en-US"/>
              </w:rPr>
            </w:pPr>
            <w:r w:rsidRPr="008C172F">
              <w:rPr>
                <w:rFonts w:eastAsia="Times New Roman" w:cs="Calibri"/>
                <w:color w:val="000000"/>
                <w:sz w:val="20"/>
                <w:szCs w:val="20"/>
                <w:lang w:val="en-US"/>
              </w:rPr>
              <w:t>4.4.1.02.99.99.</w:t>
            </w:r>
          </w:p>
        </w:tc>
        <w:tc>
          <w:tcPr>
            <w:tcW w:w="5200" w:type="dxa"/>
            <w:tcBorders>
              <w:top w:val="nil"/>
              <w:left w:val="single" w:sz="4" w:space="0" w:color="auto"/>
              <w:right w:val="single" w:sz="4" w:space="0" w:color="auto"/>
            </w:tcBorders>
            <w:shd w:val="clear" w:color="auto" w:fill="auto"/>
            <w:noWrap/>
            <w:vAlign w:val="bottom"/>
            <w:hideMark/>
          </w:tcPr>
          <w:p w14:paraId="400C4480" w14:textId="77777777" w:rsidR="00884FCC" w:rsidRPr="008C172F" w:rsidRDefault="00884FCC" w:rsidP="004653E2">
            <w:pPr>
              <w:spacing w:after="0" w:line="240" w:lineRule="auto"/>
              <w:jc w:val="left"/>
              <w:rPr>
                <w:rFonts w:eastAsia="Times New Roman" w:cs="Calibri"/>
                <w:color w:val="000000"/>
                <w:sz w:val="20"/>
                <w:szCs w:val="20"/>
              </w:rPr>
            </w:pPr>
            <w:r w:rsidRPr="008C172F">
              <w:rPr>
                <w:rFonts w:eastAsia="Times New Roman" w:cs="Calibri"/>
                <w:color w:val="000000"/>
                <w:sz w:val="20"/>
                <w:szCs w:val="20"/>
              </w:rPr>
              <w:t>Otras ventas de servicios varios</w:t>
            </w:r>
          </w:p>
        </w:tc>
        <w:tc>
          <w:tcPr>
            <w:tcW w:w="1276" w:type="dxa"/>
            <w:tcBorders>
              <w:top w:val="nil"/>
              <w:left w:val="single" w:sz="4" w:space="0" w:color="auto"/>
              <w:right w:val="single" w:sz="4" w:space="0" w:color="auto"/>
            </w:tcBorders>
            <w:shd w:val="clear" w:color="000000" w:fill="FFFFFF"/>
            <w:noWrap/>
            <w:vAlign w:val="bottom"/>
            <w:hideMark/>
          </w:tcPr>
          <w:p w14:paraId="31ACAC28" w14:textId="52DBBAC3" w:rsidR="00884FCC" w:rsidRPr="008C172F" w:rsidRDefault="00884FCC" w:rsidP="004653E2">
            <w:pPr>
              <w:spacing w:after="0" w:line="240" w:lineRule="auto"/>
              <w:jc w:val="right"/>
              <w:rPr>
                <w:rFonts w:eastAsia="Times New Roman" w:cs="Calibri"/>
                <w:color w:val="000000"/>
                <w:sz w:val="20"/>
                <w:szCs w:val="20"/>
                <w:lang w:val="en-US"/>
              </w:rPr>
            </w:pPr>
            <w:r w:rsidRPr="008C172F">
              <w:rPr>
                <w:rFonts w:ascii="Arial" w:eastAsia="Times New Roman" w:hAnsi="Arial" w:cs="Arial"/>
                <w:color w:val="000000"/>
                <w:sz w:val="20"/>
                <w:szCs w:val="20"/>
                <w:lang w:val="en-US"/>
              </w:rPr>
              <w:t>₡</w:t>
            </w:r>
            <w:r w:rsidR="0012360C">
              <w:rPr>
                <w:rFonts w:eastAsia="Times New Roman" w:cs="Arial"/>
                <w:color w:val="000000"/>
                <w:sz w:val="20"/>
                <w:szCs w:val="20"/>
                <w:lang w:val="en-US"/>
              </w:rPr>
              <w:t>35</w:t>
            </w:r>
            <w:r w:rsidRPr="008C172F">
              <w:rPr>
                <w:rFonts w:eastAsia="Times New Roman" w:cs="Calibri"/>
                <w:color w:val="000000"/>
                <w:sz w:val="20"/>
                <w:szCs w:val="20"/>
                <w:lang w:val="en-US"/>
              </w:rPr>
              <w:t xml:space="preserve"> </w:t>
            </w:r>
            <w:r w:rsidR="0012360C">
              <w:rPr>
                <w:rFonts w:eastAsia="Times New Roman" w:cs="Calibri"/>
                <w:color w:val="000000"/>
                <w:sz w:val="20"/>
                <w:szCs w:val="20"/>
                <w:lang w:val="en-US"/>
              </w:rPr>
              <w:t>882</w:t>
            </w:r>
            <w:r w:rsidRPr="008C172F">
              <w:rPr>
                <w:rFonts w:eastAsia="Times New Roman" w:cs="Calibri"/>
                <w:color w:val="000000"/>
                <w:sz w:val="20"/>
                <w:szCs w:val="20"/>
                <w:lang w:val="en-US"/>
              </w:rPr>
              <w:t>,</w:t>
            </w:r>
            <w:r w:rsidR="0012360C">
              <w:rPr>
                <w:rFonts w:eastAsia="Times New Roman" w:cs="Calibri"/>
                <w:color w:val="000000"/>
                <w:sz w:val="20"/>
                <w:szCs w:val="20"/>
                <w:lang w:val="en-US"/>
              </w:rPr>
              <w:t>77</w:t>
            </w:r>
          </w:p>
        </w:tc>
      </w:tr>
      <w:tr w:rsidR="00884FCC" w:rsidRPr="008C172F" w14:paraId="386FC1C2" w14:textId="77777777" w:rsidTr="004653E2">
        <w:trPr>
          <w:trHeight w:val="300"/>
        </w:trPr>
        <w:tc>
          <w:tcPr>
            <w:tcW w:w="1311" w:type="dxa"/>
            <w:tcBorders>
              <w:top w:val="nil"/>
              <w:left w:val="single" w:sz="4" w:space="0" w:color="auto"/>
              <w:right w:val="single" w:sz="4" w:space="0" w:color="auto"/>
            </w:tcBorders>
            <w:shd w:val="clear" w:color="000000" w:fill="FFFFFF"/>
            <w:noWrap/>
            <w:vAlign w:val="bottom"/>
            <w:hideMark/>
          </w:tcPr>
          <w:p w14:paraId="0A004FCE" w14:textId="77777777" w:rsidR="00884FCC" w:rsidRPr="008C172F" w:rsidRDefault="00884FCC" w:rsidP="004653E2">
            <w:pPr>
              <w:spacing w:after="0" w:line="240" w:lineRule="auto"/>
              <w:jc w:val="left"/>
              <w:rPr>
                <w:rFonts w:eastAsia="Times New Roman" w:cs="Calibri"/>
                <w:b/>
                <w:bCs/>
                <w:color w:val="000000"/>
                <w:sz w:val="20"/>
                <w:szCs w:val="20"/>
                <w:lang w:val="en-US"/>
              </w:rPr>
            </w:pPr>
            <w:r w:rsidRPr="008C172F">
              <w:rPr>
                <w:rFonts w:eastAsia="Times New Roman" w:cs="Calibri"/>
                <w:b/>
                <w:bCs/>
                <w:color w:val="000000"/>
                <w:sz w:val="20"/>
                <w:szCs w:val="20"/>
                <w:lang w:val="en-US"/>
              </w:rPr>
              <w:t>4.4.2.01.</w:t>
            </w:r>
          </w:p>
        </w:tc>
        <w:tc>
          <w:tcPr>
            <w:tcW w:w="5200" w:type="dxa"/>
            <w:tcBorders>
              <w:top w:val="nil"/>
              <w:left w:val="single" w:sz="4" w:space="0" w:color="auto"/>
              <w:right w:val="single" w:sz="4" w:space="0" w:color="auto"/>
            </w:tcBorders>
            <w:shd w:val="clear" w:color="auto" w:fill="auto"/>
            <w:noWrap/>
            <w:vAlign w:val="bottom"/>
            <w:hideMark/>
          </w:tcPr>
          <w:p w14:paraId="49023580" w14:textId="77777777" w:rsidR="00884FCC" w:rsidRPr="008C172F" w:rsidRDefault="00884FCC" w:rsidP="004653E2">
            <w:pPr>
              <w:spacing w:after="0" w:line="240" w:lineRule="auto"/>
              <w:jc w:val="left"/>
              <w:rPr>
                <w:rFonts w:eastAsia="Times New Roman" w:cs="Calibri"/>
                <w:b/>
                <w:bCs/>
                <w:color w:val="000000"/>
                <w:sz w:val="20"/>
                <w:szCs w:val="20"/>
              </w:rPr>
            </w:pPr>
            <w:r w:rsidRPr="008C172F">
              <w:rPr>
                <w:rFonts w:eastAsia="Times New Roman" w:cs="Calibri"/>
                <w:b/>
                <w:bCs/>
                <w:color w:val="000000"/>
                <w:sz w:val="20"/>
                <w:szCs w:val="20"/>
              </w:rPr>
              <w:t>Derechos administrativos a los servicios de transporte</w:t>
            </w:r>
          </w:p>
        </w:tc>
        <w:tc>
          <w:tcPr>
            <w:tcW w:w="1276" w:type="dxa"/>
            <w:tcBorders>
              <w:top w:val="nil"/>
              <w:left w:val="single" w:sz="4" w:space="0" w:color="auto"/>
              <w:right w:val="single" w:sz="4" w:space="0" w:color="auto"/>
            </w:tcBorders>
            <w:shd w:val="clear" w:color="000000" w:fill="FFFFFF"/>
            <w:noWrap/>
            <w:vAlign w:val="bottom"/>
            <w:hideMark/>
          </w:tcPr>
          <w:p w14:paraId="74CB5B05" w14:textId="77777777" w:rsidR="00884FCC" w:rsidRPr="008C172F" w:rsidRDefault="00884FCC" w:rsidP="004653E2">
            <w:pPr>
              <w:spacing w:after="0" w:line="240" w:lineRule="auto"/>
              <w:jc w:val="left"/>
              <w:rPr>
                <w:rFonts w:eastAsia="Times New Roman" w:cs="Calibri"/>
                <w:color w:val="000000"/>
                <w:sz w:val="20"/>
                <w:szCs w:val="20"/>
              </w:rPr>
            </w:pPr>
            <w:r w:rsidRPr="008C172F">
              <w:rPr>
                <w:rFonts w:eastAsia="Times New Roman" w:cs="Calibri"/>
                <w:color w:val="000000"/>
                <w:sz w:val="20"/>
                <w:szCs w:val="20"/>
              </w:rPr>
              <w:t> </w:t>
            </w:r>
          </w:p>
        </w:tc>
      </w:tr>
      <w:tr w:rsidR="00884FCC" w:rsidRPr="008C172F" w14:paraId="7C6B0CDF" w14:textId="77777777" w:rsidTr="004653E2">
        <w:trPr>
          <w:trHeight w:val="290"/>
        </w:trPr>
        <w:tc>
          <w:tcPr>
            <w:tcW w:w="1311" w:type="dxa"/>
            <w:tcBorders>
              <w:top w:val="nil"/>
              <w:left w:val="single" w:sz="4" w:space="0" w:color="auto"/>
              <w:right w:val="single" w:sz="4" w:space="0" w:color="auto"/>
            </w:tcBorders>
            <w:shd w:val="clear" w:color="000000" w:fill="FFFFFF"/>
            <w:noWrap/>
            <w:vAlign w:val="bottom"/>
            <w:hideMark/>
          </w:tcPr>
          <w:p w14:paraId="3268FB88" w14:textId="77777777" w:rsidR="00884FCC" w:rsidRPr="008C172F" w:rsidRDefault="00884FCC" w:rsidP="004653E2">
            <w:pPr>
              <w:spacing w:after="0" w:line="240" w:lineRule="auto"/>
              <w:jc w:val="left"/>
              <w:rPr>
                <w:rFonts w:eastAsia="Times New Roman" w:cs="Calibri"/>
                <w:color w:val="000000"/>
                <w:sz w:val="20"/>
                <w:szCs w:val="20"/>
                <w:lang w:val="en-US"/>
              </w:rPr>
            </w:pPr>
            <w:r w:rsidRPr="008C172F">
              <w:rPr>
                <w:rFonts w:eastAsia="Times New Roman" w:cs="Calibri"/>
                <w:color w:val="000000"/>
                <w:sz w:val="20"/>
                <w:szCs w:val="20"/>
                <w:lang w:val="en-US"/>
              </w:rPr>
              <w:t>4.4.2.01.01</w:t>
            </w:r>
          </w:p>
        </w:tc>
        <w:tc>
          <w:tcPr>
            <w:tcW w:w="5200" w:type="dxa"/>
            <w:tcBorders>
              <w:top w:val="nil"/>
              <w:left w:val="single" w:sz="4" w:space="0" w:color="auto"/>
              <w:right w:val="single" w:sz="4" w:space="0" w:color="auto"/>
            </w:tcBorders>
            <w:shd w:val="clear" w:color="auto" w:fill="auto"/>
            <w:noWrap/>
            <w:vAlign w:val="bottom"/>
            <w:hideMark/>
          </w:tcPr>
          <w:p w14:paraId="008651E6" w14:textId="77777777" w:rsidR="00884FCC" w:rsidRPr="008C172F" w:rsidRDefault="00884FCC" w:rsidP="004653E2">
            <w:pPr>
              <w:spacing w:after="0" w:line="240" w:lineRule="auto"/>
              <w:jc w:val="left"/>
              <w:rPr>
                <w:rFonts w:eastAsia="Times New Roman" w:cs="Calibri"/>
                <w:color w:val="000000"/>
                <w:sz w:val="20"/>
                <w:szCs w:val="20"/>
              </w:rPr>
            </w:pPr>
            <w:r w:rsidRPr="008C172F">
              <w:rPr>
                <w:rFonts w:eastAsia="Times New Roman" w:cs="Calibri"/>
                <w:color w:val="000000"/>
                <w:sz w:val="20"/>
                <w:szCs w:val="20"/>
              </w:rPr>
              <w:t>Derechos administrativos a los servicios de transporte</w:t>
            </w:r>
            <w:r>
              <w:rPr>
                <w:rFonts w:eastAsia="Times New Roman" w:cs="Calibri"/>
                <w:color w:val="000000"/>
                <w:sz w:val="20"/>
                <w:szCs w:val="20"/>
              </w:rPr>
              <w:t xml:space="preserve"> </w:t>
            </w:r>
            <w:r w:rsidRPr="008C172F">
              <w:rPr>
                <w:rFonts w:eastAsia="Times New Roman" w:cs="Calibri"/>
                <w:color w:val="000000"/>
                <w:sz w:val="20"/>
                <w:szCs w:val="20"/>
              </w:rPr>
              <w:t>por carretera</w:t>
            </w:r>
          </w:p>
        </w:tc>
        <w:tc>
          <w:tcPr>
            <w:tcW w:w="1276" w:type="dxa"/>
            <w:tcBorders>
              <w:top w:val="nil"/>
              <w:left w:val="single" w:sz="4" w:space="0" w:color="auto"/>
              <w:right w:val="single" w:sz="4" w:space="0" w:color="auto"/>
            </w:tcBorders>
            <w:shd w:val="clear" w:color="000000" w:fill="FFFFFF"/>
            <w:noWrap/>
            <w:vAlign w:val="bottom"/>
            <w:hideMark/>
          </w:tcPr>
          <w:p w14:paraId="3C008E97" w14:textId="0247A460" w:rsidR="00884FCC" w:rsidRPr="008C172F" w:rsidRDefault="00884FCC" w:rsidP="004653E2">
            <w:pPr>
              <w:spacing w:after="0" w:line="240" w:lineRule="auto"/>
              <w:jc w:val="right"/>
              <w:rPr>
                <w:rFonts w:eastAsia="Times New Roman" w:cs="Calibri"/>
                <w:color w:val="000000"/>
                <w:sz w:val="20"/>
                <w:szCs w:val="20"/>
                <w:lang w:val="en-US"/>
              </w:rPr>
            </w:pPr>
            <w:r w:rsidRPr="008C172F">
              <w:rPr>
                <w:rFonts w:ascii="Arial" w:eastAsia="Times New Roman" w:hAnsi="Arial" w:cs="Arial"/>
                <w:color w:val="000000"/>
                <w:sz w:val="20"/>
                <w:szCs w:val="20"/>
                <w:lang w:val="en-US"/>
              </w:rPr>
              <w:t>₡</w:t>
            </w:r>
            <w:r w:rsidR="0012360C">
              <w:rPr>
                <w:rFonts w:eastAsia="Times New Roman" w:cs="Arial"/>
                <w:color w:val="000000"/>
                <w:sz w:val="20"/>
                <w:szCs w:val="20"/>
                <w:lang w:val="en-US"/>
              </w:rPr>
              <w:t>240</w:t>
            </w:r>
            <w:r w:rsidRPr="008C172F">
              <w:rPr>
                <w:rFonts w:eastAsia="Times New Roman" w:cs="Calibri"/>
                <w:color w:val="000000"/>
                <w:sz w:val="20"/>
                <w:szCs w:val="20"/>
                <w:lang w:val="en-US"/>
              </w:rPr>
              <w:t>,00</w:t>
            </w:r>
          </w:p>
        </w:tc>
      </w:tr>
      <w:tr w:rsidR="00884FCC" w:rsidRPr="008C172F" w14:paraId="0D45953A" w14:textId="77777777" w:rsidTr="004653E2">
        <w:trPr>
          <w:trHeight w:val="290"/>
        </w:trPr>
        <w:tc>
          <w:tcPr>
            <w:tcW w:w="1311" w:type="dxa"/>
            <w:tcBorders>
              <w:top w:val="nil"/>
              <w:left w:val="single" w:sz="4" w:space="0" w:color="auto"/>
              <w:right w:val="single" w:sz="4" w:space="0" w:color="auto"/>
            </w:tcBorders>
            <w:shd w:val="clear" w:color="000000" w:fill="FFFFFF"/>
            <w:noWrap/>
            <w:vAlign w:val="bottom"/>
            <w:hideMark/>
          </w:tcPr>
          <w:p w14:paraId="31D9C066" w14:textId="77777777" w:rsidR="00884FCC" w:rsidRPr="008C172F" w:rsidRDefault="00884FCC" w:rsidP="004653E2">
            <w:pPr>
              <w:spacing w:after="0" w:line="240" w:lineRule="auto"/>
              <w:jc w:val="left"/>
              <w:rPr>
                <w:rFonts w:eastAsia="Times New Roman" w:cs="Calibri"/>
                <w:b/>
                <w:bCs/>
                <w:color w:val="000000"/>
                <w:sz w:val="20"/>
                <w:szCs w:val="20"/>
                <w:lang w:val="en-US"/>
              </w:rPr>
            </w:pPr>
            <w:r w:rsidRPr="008C172F">
              <w:rPr>
                <w:rFonts w:eastAsia="Times New Roman" w:cs="Calibri"/>
                <w:b/>
                <w:bCs/>
                <w:color w:val="000000"/>
                <w:sz w:val="20"/>
                <w:szCs w:val="20"/>
                <w:lang w:val="en-US"/>
              </w:rPr>
              <w:t>4.4.2.99.</w:t>
            </w:r>
          </w:p>
        </w:tc>
        <w:tc>
          <w:tcPr>
            <w:tcW w:w="5200" w:type="dxa"/>
            <w:tcBorders>
              <w:top w:val="nil"/>
              <w:left w:val="single" w:sz="4" w:space="0" w:color="auto"/>
              <w:right w:val="single" w:sz="4" w:space="0" w:color="auto"/>
            </w:tcBorders>
            <w:shd w:val="clear" w:color="auto" w:fill="auto"/>
            <w:noWrap/>
            <w:vAlign w:val="bottom"/>
            <w:hideMark/>
          </w:tcPr>
          <w:p w14:paraId="09B6C66D" w14:textId="77777777" w:rsidR="00884FCC" w:rsidRPr="008C172F" w:rsidRDefault="00884FCC" w:rsidP="004653E2">
            <w:pPr>
              <w:spacing w:after="0" w:line="240" w:lineRule="auto"/>
              <w:jc w:val="left"/>
              <w:rPr>
                <w:rFonts w:eastAsia="Times New Roman" w:cs="Calibri"/>
                <w:b/>
                <w:bCs/>
                <w:color w:val="000000"/>
                <w:sz w:val="20"/>
                <w:szCs w:val="20"/>
                <w:lang w:val="en-US"/>
              </w:rPr>
            </w:pPr>
            <w:r w:rsidRPr="008C172F">
              <w:rPr>
                <w:rFonts w:eastAsia="Times New Roman" w:cs="Calibri"/>
                <w:b/>
                <w:bCs/>
                <w:color w:val="000000"/>
                <w:sz w:val="20"/>
                <w:szCs w:val="20"/>
                <w:lang w:val="en-US"/>
              </w:rPr>
              <w:t>Otros derechos administrativos varios</w:t>
            </w:r>
          </w:p>
        </w:tc>
        <w:tc>
          <w:tcPr>
            <w:tcW w:w="1276" w:type="dxa"/>
            <w:tcBorders>
              <w:top w:val="nil"/>
              <w:left w:val="single" w:sz="4" w:space="0" w:color="auto"/>
              <w:right w:val="single" w:sz="4" w:space="0" w:color="auto"/>
            </w:tcBorders>
            <w:shd w:val="clear" w:color="auto" w:fill="auto"/>
            <w:noWrap/>
            <w:vAlign w:val="bottom"/>
            <w:hideMark/>
          </w:tcPr>
          <w:p w14:paraId="43E6EE02" w14:textId="77777777" w:rsidR="00884FCC" w:rsidRPr="008C172F" w:rsidRDefault="00884FCC" w:rsidP="004653E2">
            <w:pPr>
              <w:spacing w:after="0" w:line="240" w:lineRule="auto"/>
              <w:jc w:val="left"/>
              <w:rPr>
                <w:rFonts w:eastAsia="Times New Roman" w:cs="Calibri"/>
                <w:color w:val="000000"/>
                <w:sz w:val="20"/>
                <w:szCs w:val="20"/>
                <w:lang w:val="en-US"/>
              </w:rPr>
            </w:pPr>
            <w:r w:rsidRPr="008C172F">
              <w:rPr>
                <w:rFonts w:eastAsia="Times New Roman" w:cs="Calibri"/>
                <w:color w:val="000000"/>
                <w:sz w:val="20"/>
                <w:szCs w:val="20"/>
                <w:lang w:val="en-US"/>
              </w:rPr>
              <w:t> </w:t>
            </w:r>
          </w:p>
        </w:tc>
      </w:tr>
      <w:tr w:rsidR="00884FCC" w:rsidRPr="008C172F" w14:paraId="613505EA" w14:textId="77777777" w:rsidTr="004653E2">
        <w:trPr>
          <w:trHeight w:val="290"/>
        </w:trPr>
        <w:tc>
          <w:tcPr>
            <w:tcW w:w="1311" w:type="dxa"/>
            <w:tcBorders>
              <w:top w:val="nil"/>
              <w:left w:val="single" w:sz="4" w:space="0" w:color="auto"/>
              <w:right w:val="single" w:sz="4" w:space="0" w:color="auto"/>
            </w:tcBorders>
            <w:shd w:val="clear" w:color="000000" w:fill="FFFFFF"/>
            <w:noWrap/>
            <w:vAlign w:val="bottom"/>
            <w:hideMark/>
          </w:tcPr>
          <w:p w14:paraId="417A8506" w14:textId="77777777" w:rsidR="00884FCC" w:rsidRPr="008C172F" w:rsidRDefault="00884FCC" w:rsidP="004653E2">
            <w:pPr>
              <w:spacing w:after="0" w:line="240" w:lineRule="auto"/>
              <w:jc w:val="left"/>
              <w:rPr>
                <w:rFonts w:eastAsia="Times New Roman" w:cs="Calibri"/>
                <w:color w:val="000000"/>
                <w:sz w:val="20"/>
                <w:szCs w:val="20"/>
                <w:lang w:val="en-US"/>
              </w:rPr>
            </w:pPr>
            <w:r w:rsidRPr="008C172F">
              <w:rPr>
                <w:rFonts w:eastAsia="Times New Roman" w:cs="Calibri"/>
                <w:color w:val="000000"/>
                <w:sz w:val="20"/>
                <w:szCs w:val="20"/>
                <w:lang w:val="en-US"/>
              </w:rPr>
              <w:t>4.4.2.99.99</w:t>
            </w:r>
          </w:p>
        </w:tc>
        <w:tc>
          <w:tcPr>
            <w:tcW w:w="5200" w:type="dxa"/>
            <w:tcBorders>
              <w:top w:val="nil"/>
              <w:left w:val="single" w:sz="4" w:space="0" w:color="auto"/>
              <w:right w:val="single" w:sz="4" w:space="0" w:color="auto"/>
            </w:tcBorders>
            <w:shd w:val="clear" w:color="auto" w:fill="auto"/>
            <w:noWrap/>
            <w:vAlign w:val="bottom"/>
            <w:hideMark/>
          </w:tcPr>
          <w:p w14:paraId="144DFE71" w14:textId="77777777" w:rsidR="00884FCC" w:rsidRPr="008C172F" w:rsidRDefault="00884FCC" w:rsidP="004653E2">
            <w:pPr>
              <w:spacing w:after="0" w:line="240" w:lineRule="auto"/>
              <w:jc w:val="left"/>
              <w:rPr>
                <w:rFonts w:eastAsia="Times New Roman" w:cs="Calibri"/>
                <w:color w:val="000000"/>
                <w:sz w:val="20"/>
                <w:szCs w:val="20"/>
                <w:lang w:val="en-US"/>
              </w:rPr>
            </w:pPr>
            <w:r w:rsidRPr="008C172F">
              <w:rPr>
                <w:rFonts w:eastAsia="Times New Roman" w:cs="Calibri"/>
                <w:color w:val="000000"/>
                <w:sz w:val="20"/>
                <w:szCs w:val="20"/>
                <w:lang w:val="en-US"/>
              </w:rPr>
              <w:t>Otros derechos administrativos varios</w:t>
            </w:r>
          </w:p>
        </w:tc>
        <w:tc>
          <w:tcPr>
            <w:tcW w:w="1276" w:type="dxa"/>
            <w:tcBorders>
              <w:top w:val="nil"/>
              <w:left w:val="single" w:sz="4" w:space="0" w:color="auto"/>
              <w:right w:val="single" w:sz="4" w:space="0" w:color="auto"/>
            </w:tcBorders>
            <w:shd w:val="clear" w:color="000000" w:fill="FFFFFF"/>
            <w:noWrap/>
            <w:vAlign w:val="bottom"/>
            <w:hideMark/>
          </w:tcPr>
          <w:p w14:paraId="0F26DE90" w14:textId="7643BF4F" w:rsidR="00884FCC" w:rsidRPr="008C172F" w:rsidRDefault="00884FCC" w:rsidP="004653E2">
            <w:pPr>
              <w:spacing w:after="0" w:line="240" w:lineRule="auto"/>
              <w:jc w:val="right"/>
              <w:rPr>
                <w:rFonts w:eastAsia="Times New Roman" w:cs="Calibri"/>
                <w:color w:val="000000"/>
                <w:sz w:val="20"/>
                <w:szCs w:val="20"/>
                <w:lang w:val="en-US"/>
              </w:rPr>
            </w:pPr>
            <w:r w:rsidRPr="008C172F">
              <w:rPr>
                <w:rFonts w:ascii="Arial" w:eastAsia="Times New Roman" w:hAnsi="Arial" w:cs="Arial"/>
                <w:color w:val="000000"/>
                <w:sz w:val="20"/>
                <w:szCs w:val="20"/>
                <w:lang w:val="en-US"/>
              </w:rPr>
              <w:t>₡</w:t>
            </w:r>
            <w:r w:rsidRPr="008C172F">
              <w:rPr>
                <w:rFonts w:eastAsia="Times New Roman" w:cs="Calibri"/>
                <w:color w:val="000000"/>
                <w:sz w:val="20"/>
                <w:szCs w:val="20"/>
                <w:lang w:val="en-US"/>
              </w:rPr>
              <w:t>1</w:t>
            </w:r>
            <w:r w:rsidR="0012360C">
              <w:rPr>
                <w:rFonts w:eastAsia="Times New Roman" w:cs="Calibri"/>
                <w:color w:val="000000"/>
                <w:sz w:val="20"/>
                <w:szCs w:val="20"/>
                <w:lang w:val="en-US"/>
              </w:rPr>
              <w:t>28</w:t>
            </w:r>
            <w:r w:rsidRPr="008C172F">
              <w:rPr>
                <w:rFonts w:eastAsia="Times New Roman" w:cs="Calibri"/>
                <w:color w:val="000000"/>
                <w:sz w:val="20"/>
                <w:szCs w:val="20"/>
                <w:lang w:val="en-US"/>
              </w:rPr>
              <w:t>,</w:t>
            </w:r>
            <w:r w:rsidR="0012360C">
              <w:rPr>
                <w:rFonts w:eastAsia="Times New Roman" w:cs="Calibri"/>
                <w:color w:val="000000"/>
                <w:sz w:val="20"/>
                <w:szCs w:val="20"/>
                <w:lang w:val="en-US"/>
              </w:rPr>
              <w:t>93</w:t>
            </w:r>
          </w:p>
        </w:tc>
      </w:tr>
      <w:tr w:rsidR="00884FCC" w:rsidRPr="008C172F" w14:paraId="2CC59B6E" w14:textId="77777777" w:rsidTr="004653E2">
        <w:trPr>
          <w:trHeight w:val="290"/>
        </w:trPr>
        <w:tc>
          <w:tcPr>
            <w:tcW w:w="1311" w:type="dxa"/>
            <w:tcBorders>
              <w:top w:val="nil"/>
              <w:left w:val="single" w:sz="4" w:space="0" w:color="auto"/>
              <w:right w:val="single" w:sz="4" w:space="0" w:color="auto"/>
            </w:tcBorders>
            <w:shd w:val="clear" w:color="000000" w:fill="FFFFFF"/>
            <w:noWrap/>
            <w:vAlign w:val="bottom"/>
            <w:hideMark/>
          </w:tcPr>
          <w:p w14:paraId="4A30C669" w14:textId="77777777" w:rsidR="00884FCC" w:rsidRPr="008C172F" w:rsidRDefault="00884FCC" w:rsidP="004653E2">
            <w:pPr>
              <w:spacing w:after="0" w:line="240" w:lineRule="auto"/>
              <w:jc w:val="left"/>
              <w:rPr>
                <w:rFonts w:eastAsia="Times New Roman" w:cs="Calibri"/>
                <w:b/>
                <w:bCs/>
                <w:color w:val="000000"/>
                <w:sz w:val="20"/>
                <w:szCs w:val="20"/>
                <w:lang w:val="en-US"/>
              </w:rPr>
            </w:pPr>
            <w:r w:rsidRPr="008C172F">
              <w:rPr>
                <w:rFonts w:eastAsia="Times New Roman" w:cs="Calibri"/>
                <w:b/>
                <w:bCs/>
                <w:color w:val="000000"/>
                <w:sz w:val="20"/>
                <w:szCs w:val="20"/>
                <w:lang w:val="en-US"/>
              </w:rPr>
              <w:t>4.5.2.01.</w:t>
            </w:r>
          </w:p>
        </w:tc>
        <w:tc>
          <w:tcPr>
            <w:tcW w:w="5200" w:type="dxa"/>
            <w:tcBorders>
              <w:top w:val="nil"/>
              <w:left w:val="single" w:sz="4" w:space="0" w:color="auto"/>
              <w:right w:val="single" w:sz="4" w:space="0" w:color="auto"/>
            </w:tcBorders>
            <w:shd w:val="clear" w:color="auto" w:fill="auto"/>
            <w:noWrap/>
            <w:vAlign w:val="bottom"/>
            <w:hideMark/>
          </w:tcPr>
          <w:p w14:paraId="4C389345" w14:textId="77777777" w:rsidR="00884FCC" w:rsidRPr="008C172F" w:rsidRDefault="00884FCC" w:rsidP="004653E2">
            <w:pPr>
              <w:spacing w:after="0" w:line="240" w:lineRule="auto"/>
              <w:jc w:val="left"/>
              <w:rPr>
                <w:rFonts w:eastAsia="Times New Roman" w:cs="Calibri"/>
                <w:b/>
                <w:bCs/>
                <w:color w:val="000000"/>
                <w:sz w:val="20"/>
                <w:szCs w:val="20"/>
                <w:lang w:val="en-US"/>
              </w:rPr>
            </w:pPr>
            <w:r w:rsidRPr="008C172F">
              <w:rPr>
                <w:rFonts w:eastAsia="Times New Roman" w:cs="Calibri"/>
                <w:b/>
                <w:bCs/>
                <w:color w:val="000000"/>
                <w:sz w:val="20"/>
                <w:szCs w:val="20"/>
                <w:lang w:val="en-US"/>
              </w:rPr>
              <w:t>Alquileres</w:t>
            </w:r>
          </w:p>
        </w:tc>
        <w:tc>
          <w:tcPr>
            <w:tcW w:w="1276" w:type="dxa"/>
            <w:tcBorders>
              <w:top w:val="nil"/>
              <w:left w:val="single" w:sz="4" w:space="0" w:color="auto"/>
              <w:right w:val="single" w:sz="4" w:space="0" w:color="auto"/>
            </w:tcBorders>
            <w:shd w:val="clear" w:color="000000" w:fill="FFFFFF"/>
            <w:noWrap/>
            <w:vAlign w:val="bottom"/>
            <w:hideMark/>
          </w:tcPr>
          <w:p w14:paraId="317691D6" w14:textId="77777777" w:rsidR="00884FCC" w:rsidRPr="008C172F" w:rsidRDefault="00884FCC" w:rsidP="004653E2">
            <w:pPr>
              <w:spacing w:after="0" w:line="240" w:lineRule="auto"/>
              <w:jc w:val="left"/>
              <w:rPr>
                <w:rFonts w:eastAsia="Times New Roman" w:cs="Calibri"/>
                <w:color w:val="000000"/>
                <w:sz w:val="20"/>
                <w:szCs w:val="20"/>
                <w:lang w:val="en-US"/>
              </w:rPr>
            </w:pPr>
            <w:r w:rsidRPr="008C172F">
              <w:rPr>
                <w:rFonts w:eastAsia="Times New Roman" w:cs="Calibri"/>
                <w:color w:val="000000"/>
                <w:sz w:val="20"/>
                <w:szCs w:val="20"/>
                <w:lang w:val="en-US"/>
              </w:rPr>
              <w:t xml:space="preserve">    </w:t>
            </w:r>
          </w:p>
        </w:tc>
      </w:tr>
      <w:tr w:rsidR="00884FCC" w:rsidRPr="008C172F" w14:paraId="7F09CB83" w14:textId="77777777" w:rsidTr="004653E2">
        <w:trPr>
          <w:trHeight w:val="300"/>
        </w:trPr>
        <w:tc>
          <w:tcPr>
            <w:tcW w:w="1311" w:type="dxa"/>
            <w:tcBorders>
              <w:top w:val="nil"/>
              <w:left w:val="single" w:sz="4" w:space="0" w:color="auto"/>
              <w:bottom w:val="single" w:sz="4" w:space="0" w:color="auto"/>
              <w:right w:val="single" w:sz="4" w:space="0" w:color="auto"/>
            </w:tcBorders>
            <w:shd w:val="clear" w:color="000000" w:fill="FFFFFF"/>
            <w:noWrap/>
            <w:vAlign w:val="bottom"/>
            <w:hideMark/>
          </w:tcPr>
          <w:p w14:paraId="33E898E3" w14:textId="77777777" w:rsidR="00884FCC" w:rsidRPr="008C172F" w:rsidRDefault="00884FCC" w:rsidP="004653E2">
            <w:pPr>
              <w:spacing w:after="0" w:line="240" w:lineRule="auto"/>
              <w:jc w:val="left"/>
              <w:rPr>
                <w:rFonts w:eastAsia="Times New Roman" w:cs="Calibri"/>
                <w:color w:val="000000"/>
                <w:sz w:val="20"/>
                <w:szCs w:val="20"/>
                <w:lang w:val="en-US"/>
              </w:rPr>
            </w:pPr>
            <w:r w:rsidRPr="008C172F">
              <w:rPr>
                <w:rFonts w:eastAsia="Times New Roman" w:cs="Calibri"/>
                <w:color w:val="000000"/>
                <w:sz w:val="20"/>
                <w:szCs w:val="20"/>
                <w:lang w:val="en-US"/>
              </w:rPr>
              <w:t>5.5.2.01.02</w:t>
            </w:r>
          </w:p>
        </w:tc>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D3E12B4" w14:textId="77777777" w:rsidR="00884FCC" w:rsidRPr="008C172F" w:rsidRDefault="00884FCC" w:rsidP="004653E2">
            <w:pPr>
              <w:spacing w:after="0" w:line="240" w:lineRule="auto"/>
              <w:jc w:val="left"/>
              <w:rPr>
                <w:rFonts w:eastAsia="Times New Roman" w:cs="Calibri"/>
                <w:color w:val="000000"/>
                <w:sz w:val="20"/>
                <w:szCs w:val="20"/>
                <w:lang w:val="en-US"/>
              </w:rPr>
            </w:pPr>
            <w:r w:rsidRPr="008C172F">
              <w:rPr>
                <w:rFonts w:eastAsia="Times New Roman" w:cs="Calibri"/>
                <w:color w:val="000000"/>
                <w:sz w:val="20"/>
                <w:szCs w:val="20"/>
                <w:lang w:val="en-US"/>
              </w:rPr>
              <w:t>Alquileres de edificios</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14:paraId="51608637" w14:textId="4E074690" w:rsidR="00884FCC" w:rsidRPr="008C172F" w:rsidRDefault="00884FCC" w:rsidP="004653E2">
            <w:pPr>
              <w:spacing w:after="0" w:line="240" w:lineRule="auto"/>
              <w:jc w:val="right"/>
              <w:rPr>
                <w:rFonts w:eastAsia="Times New Roman" w:cs="Calibri"/>
                <w:color w:val="000000"/>
                <w:sz w:val="20"/>
                <w:szCs w:val="20"/>
                <w:lang w:val="en-US"/>
              </w:rPr>
            </w:pPr>
            <w:r w:rsidRPr="008C172F">
              <w:rPr>
                <w:rFonts w:ascii="Arial" w:eastAsia="Times New Roman" w:hAnsi="Arial" w:cs="Arial"/>
                <w:color w:val="000000"/>
                <w:sz w:val="20"/>
                <w:szCs w:val="20"/>
                <w:lang w:val="en-US"/>
              </w:rPr>
              <w:t>₡</w:t>
            </w:r>
            <w:r w:rsidR="0012360C">
              <w:rPr>
                <w:rFonts w:eastAsia="Times New Roman" w:cs="Arial"/>
                <w:color w:val="000000"/>
                <w:sz w:val="20"/>
                <w:szCs w:val="20"/>
                <w:lang w:val="en-US"/>
              </w:rPr>
              <w:t>2</w:t>
            </w:r>
            <w:r w:rsidRPr="008C172F">
              <w:rPr>
                <w:rFonts w:eastAsia="Times New Roman" w:cs="Calibri"/>
                <w:color w:val="000000"/>
                <w:sz w:val="20"/>
                <w:szCs w:val="20"/>
                <w:lang w:val="en-US"/>
              </w:rPr>
              <w:t xml:space="preserve">1 </w:t>
            </w:r>
            <w:r w:rsidR="0012360C">
              <w:rPr>
                <w:rFonts w:eastAsia="Times New Roman" w:cs="Calibri"/>
                <w:color w:val="000000"/>
                <w:sz w:val="20"/>
                <w:szCs w:val="20"/>
                <w:lang w:val="en-US"/>
              </w:rPr>
              <w:t>544</w:t>
            </w:r>
            <w:r w:rsidRPr="008C172F">
              <w:rPr>
                <w:rFonts w:eastAsia="Times New Roman" w:cs="Calibri"/>
                <w:color w:val="000000"/>
                <w:sz w:val="20"/>
                <w:szCs w:val="20"/>
                <w:lang w:val="en-US"/>
              </w:rPr>
              <w:t>,</w:t>
            </w:r>
            <w:r w:rsidR="0012360C">
              <w:rPr>
                <w:rFonts w:eastAsia="Times New Roman" w:cs="Calibri"/>
                <w:color w:val="000000"/>
                <w:sz w:val="20"/>
                <w:szCs w:val="20"/>
                <w:lang w:val="en-US"/>
              </w:rPr>
              <w:t>07</w:t>
            </w:r>
          </w:p>
        </w:tc>
      </w:tr>
    </w:tbl>
    <w:p w14:paraId="35D15122" w14:textId="77777777" w:rsidR="00884FCC" w:rsidRDefault="00884FCC" w:rsidP="00884FCC">
      <w:pPr>
        <w:spacing w:after="0" w:line="240" w:lineRule="auto"/>
      </w:pPr>
    </w:p>
    <w:p w14:paraId="3A225899" w14:textId="77777777" w:rsidR="00884FCC" w:rsidRPr="00FD51F5" w:rsidRDefault="00884FCC" w:rsidP="00884FCC">
      <w:pPr>
        <w:spacing w:after="0" w:line="240" w:lineRule="auto"/>
      </w:pPr>
      <w:r w:rsidRPr="00FD51F5">
        <w:t>Los servicios que generan ingresos con contraprestación se reconocen en los períodos en los cuales tiene lugar la prestación, según el avance de terminación alcanzado en cada período.</w:t>
      </w:r>
    </w:p>
    <w:p w14:paraId="52ADB7DA" w14:textId="77777777" w:rsidR="00884FCC" w:rsidRDefault="00884FCC" w:rsidP="00884FCC">
      <w:pPr>
        <w:spacing w:after="0" w:line="240" w:lineRule="auto"/>
      </w:pPr>
    </w:p>
    <w:p w14:paraId="6D7310F7" w14:textId="77777777" w:rsidR="00884FCC" w:rsidRPr="00FD51F5" w:rsidRDefault="00884FCC" w:rsidP="00884FCC">
      <w:pPr>
        <w:spacing w:after="0" w:line="240" w:lineRule="auto"/>
      </w:pPr>
      <w:r w:rsidRPr="00FD51F5">
        <w:t>Si surge algún tipo de incertidumbre acerca de los importes ya incluidos como ingresos, la cuantía incobrable, o el importe respecto del cual ha dejado de ser probable la recuperabilidad, se reconocen como un gasto y no se ajustan los importes originalmente reconocidos como ingresos. Es decir, que se tratarán como un deterioro del activo financiero surgido como consecuencia del ingreso reconocido oportunamente.</w:t>
      </w:r>
    </w:p>
    <w:p w14:paraId="725ECDB6" w14:textId="77777777" w:rsidR="00884FCC" w:rsidRPr="00FD51F5" w:rsidRDefault="00884FCC" w:rsidP="00884FCC">
      <w:pPr>
        <w:spacing w:after="0" w:line="240" w:lineRule="auto"/>
      </w:pPr>
    </w:p>
    <w:p w14:paraId="3A06B43B" w14:textId="77777777" w:rsidR="00884FCC" w:rsidRPr="00FD51F5" w:rsidRDefault="00884FCC" w:rsidP="00884FCC">
      <w:pPr>
        <w:spacing w:after="0" w:line="240" w:lineRule="auto"/>
      </w:pPr>
      <w:r w:rsidRPr="00FD51F5">
        <w:t>El porcentaje de terminación de una transacción puede determinarse mediante varios métodos, dependiendo de la naturaleza de la operación, pudiendo incluir:</w:t>
      </w:r>
      <w:r>
        <w:t xml:space="preserve"> </w:t>
      </w:r>
      <w:r w:rsidRPr="00FD51F5">
        <w:t xml:space="preserve">la inspección de los trabajos ejecutados; la proporción de los servicios ejecutados hasta la fecha como porcentaje del total de servicios a prestar; o la proporción de los costos incurridos hasta la fecha sobre el costo total estimado de la operación, considerando a tales efectos sólo los costos que reflejen servicios ya ejecutados. </w:t>
      </w:r>
    </w:p>
    <w:p w14:paraId="2E3D11AD" w14:textId="77777777" w:rsidR="00884FCC" w:rsidRDefault="00884FCC" w:rsidP="00884FCC">
      <w:pPr>
        <w:spacing w:after="0" w:line="240" w:lineRule="auto"/>
      </w:pPr>
    </w:p>
    <w:p w14:paraId="77DBF64E" w14:textId="77777777" w:rsidR="00884FCC" w:rsidRPr="00FD51F5" w:rsidRDefault="00884FCC" w:rsidP="00884FCC">
      <w:pPr>
        <w:spacing w:after="0" w:line="240" w:lineRule="auto"/>
      </w:pPr>
      <w:r>
        <w:t>L</w:t>
      </w:r>
      <w:r w:rsidRPr="00FD51F5">
        <w:t>os pagos a cuenta, los anticipos recibidos de los clientes reflejan el porcentaje de</w:t>
      </w:r>
      <w:r>
        <w:t xml:space="preserve"> </w:t>
      </w:r>
      <w:r w:rsidRPr="00FD51F5">
        <w:t>l</w:t>
      </w:r>
      <w:r>
        <w:t>os</w:t>
      </w:r>
      <w:r w:rsidRPr="00FD51F5">
        <w:t xml:space="preserve"> servicio</w:t>
      </w:r>
      <w:r>
        <w:t>s</w:t>
      </w:r>
      <w:r w:rsidRPr="00FD51F5">
        <w:t xml:space="preserve"> prestado</w:t>
      </w:r>
      <w:r>
        <w:t>s</w:t>
      </w:r>
      <w:r w:rsidRPr="00FD51F5">
        <w:t xml:space="preserve">, </w:t>
      </w:r>
      <w:r>
        <w:t xml:space="preserve">por lo </w:t>
      </w:r>
      <w:r w:rsidRPr="00FD51F5">
        <w:t>que s</w:t>
      </w:r>
      <w:r>
        <w:t>o</w:t>
      </w:r>
      <w:r w:rsidRPr="00FD51F5">
        <w:t>n tratados como pasivos</w:t>
      </w:r>
      <w:r>
        <w:t xml:space="preserve"> “Ingresos a Devengar”</w:t>
      </w:r>
      <w:r w:rsidRPr="00FD51F5">
        <w:t xml:space="preserve">. </w:t>
      </w:r>
    </w:p>
    <w:p w14:paraId="4C851415" w14:textId="77777777" w:rsidR="00884FCC" w:rsidRPr="00FD51F5" w:rsidRDefault="00884FCC" w:rsidP="00884FCC">
      <w:pPr>
        <w:spacing w:after="0" w:line="240" w:lineRule="auto"/>
      </w:pPr>
    </w:p>
    <w:p w14:paraId="28604C50" w14:textId="77777777" w:rsidR="00884FCC" w:rsidRPr="00FD51F5" w:rsidRDefault="00884FCC" w:rsidP="00884FCC">
      <w:pPr>
        <w:spacing w:after="0" w:line="240" w:lineRule="auto"/>
      </w:pPr>
      <w:r>
        <w:t>Si</w:t>
      </w:r>
      <w:r w:rsidRPr="00FD51F5">
        <w:t xml:space="preserve"> una transacción que impli</w:t>
      </w:r>
      <w:r>
        <w:t>ca</w:t>
      </w:r>
      <w:r w:rsidRPr="00FD51F5">
        <w:t xml:space="preserve"> la prestación de servicios, no pueda ser estimado de forma fiable, los ingresos deben ser reconocidos como tales, sólo en la cuantía de los gastos reconocidos que se consideren recuperables. </w:t>
      </w:r>
    </w:p>
    <w:p w14:paraId="32552FA5" w14:textId="77777777" w:rsidR="005D574A" w:rsidRDefault="005D574A" w:rsidP="00171A58"/>
    <w:p w14:paraId="2530C60F" w14:textId="00E2D5EC" w:rsidR="000B04D8" w:rsidRDefault="000B04D8" w:rsidP="00A649A4">
      <w:pPr>
        <w:pStyle w:val="Ttulo2"/>
        <w:spacing w:after="240"/>
      </w:pPr>
      <w:bookmarkStart w:id="38" w:name="_Toc54961676"/>
      <w:bookmarkStart w:id="39" w:name="_Toc82768872"/>
      <w:bookmarkStart w:id="40" w:name="_Toc173245193"/>
      <w:r w:rsidRPr="00BC7C5B">
        <w:t>NICSP 10- INFORMACIÓN FINANCIERA EN ECONOMÍAS HIPERINFLACIONARIAS:</w:t>
      </w:r>
      <w:bookmarkEnd w:id="38"/>
      <w:bookmarkEnd w:id="39"/>
      <w:bookmarkEnd w:id="40"/>
      <w:r w:rsidRPr="00BC7C5B">
        <w:t xml:space="preserve"> </w:t>
      </w:r>
    </w:p>
    <w:p w14:paraId="6DE8829F" w14:textId="77777777" w:rsidR="00694299" w:rsidRDefault="000B04D8" w:rsidP="000B04D8">
      <w:pPr>
        <w:rPr>
          <w:rFonts w:asciiTheme="minorHAnsi" w:hAnsiTheme="minorHAnsi"/>
          <w:sz w:val="22"/>
        </w:rPr>
      </w:pPr>
      <w:r>
        <w:t xml:space="preserve">Indicar si este rubro afecta SI o NO a la institución, </w:t>
      </w:r>
      <w:r w:rsidR="00405DBC" w:rsidRPr="00405DBC">
        <w:t>además del porcentaje de avance</w:t>
      </w:r>
      <w:r w:rsidR="00405DBC">
        <w:t xml:space="preserve"> en la implementación</w:t>
      </w:r>
      <w:r w:rsidR="00405DBC" w:rsidRPr="00405DBC">
        <w:t xml:space="preserve"> que presenta</w:t>
      </w:r>
      <w:r w:rsidR="00D16DB1">
        <w:t>.</w:t>
      </w:r>
      <w:r w:rsidR="001C7FD6">
        <w:rPr>
          <w:lang w:eastAsia="es-CR"/>
        </w:rPr>
        <w:fldChar w:fldCharType="begin"/>
      </w:r>
      <w:r w:rsidR="001C7FD6">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NISCP_10!F9C3:F10C4 </w:instrText>
      </w:r>
      <w:r w:rsidR="001C7FD6">
        <w:rPr>
          <w:lang w:eastAsia="es-CR"/>
        </w:rPr>
        <w:instrText xml:space="preserve">\a \f 4 \h </w:instrText>
      </w:r>
      <w:r w:rsidR="001C7FD6">
        <w:rPr>
          <w:lang w:eastAsia="es-CR"/>
        </w:rPr>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694299" w:rsidRPr="00694299" w14:paraId="67ED8F53" w14:textId="77777777" w:rsidTr="00694299">
        <w:trPr>
          <w:divId w:val="434208360"/>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0807B388" w14:textId="6DC9B318"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F124B"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No</w:t>
            </w:r>
          </w:p>
        </w:tc>
      </w:tr>
      <w:tr w:rsidR="00694299" w:rsidRPr="00694299" w14:paraId="432650F9" w14:textId="77777777" w:rsidTr="00694299">
        <w:trPr>
          <w:divId w:val="434208360"/>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1FA05951"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658F3D0F"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 </w:t>
            </w:r>
          </w:p>
        </w:tc>
      </w:tr>
    </w:tbl>
    <w:p w14:paraId="0DB333E5" w14:textId="6E040DC3" w:rsidR="00405DBC" w:rsidRDefault="001C7FD6" w:rsidP="000B04D8">
      <w:pPr>
        <w:rPr>
          <w:lang w:eastAsia="es-CR"/>
        </w:rPr>
      </w:pPr>
      <w:r>
        <w:rPr>
          <w:lang w:eastAsia="es-CR"/>
        </w:rPr>
        <w:fldChar w:fldCharType="end"/>
      </w:r>
    </w:p>
    <w:p w14:paraId="79AE8278" w14:textId="77777777" w:rsidR="000C3947" w:rsidRPr="003516A2" w:rsidRDefault="000C3947" w:rsidP="000C3947">
      <w:pPr>
        <w:spacing w:line="240" w:lineRule="auto"/>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36D02C35" w14:textId="77777777" w:rsidR="000C3947" w:rsidRDefault="000C3947" w:rsidP="000C3947">
      <w:pPr>
        <w:spacing w:line="240" w:lineRule="auto"/>
        <w:rPr>
          <w:b/>
          <w:u w:val="single"/>
        </w:rPr>
      </w:pPr>
    </w:p>
    <w:p w14:paraId="6B3CB568" w14:textId="77777777" w:rsidR="000C3947" w:rsidRPr="003516A2" w:rsidRDefault="000C3947" w:rsidP="000C3947">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130853EA" w14:textId="77777777" w:rsidR="000C3947" w:rsidRPr="002007F6" w:rsidRDefault="000C3947" w:rsidP="000C3947">
      <w:pPr>
        <w:rPr>
          <w:lang w:val="es-MX"/>
        </w:rPr>
      </w:pPr>
      <w:r>
        <w:rPr>
          <w:lang w:val="es-MX"/>
        </w:rPr>
        <w:t>________________________________________________________________________________________________________________________________________________________________</w:t>
      </w:r>
    </w:p>
    <w:p w14:paraId="793B796F" w14:textId="77777777" w:rsidR="000C3947" w:rsidRPr="00C35565" w:rsidRDefault="000C3947" w:rsidP="000B04D8">
      <w:pPr>
        <w:rPr>
          <w:b/>
          <w:sz w:val="16"/>
          <w:szCs w:val="16"/>
          <w:lang w:eastAsia="es-CR"/>
        </w:rPr>
      </w:pPr>
    </w:p>
    <w:p w14:paraId="2E8FC256" w14:textId="6E20838C" w:rsidR="00405DBC" w:rsidRPr="00405DBC" w:rsidRDefault="00405DBC" w:rsidP="00405DBC">
      <w:pPr>
        <w:rPr>
          <w:b/>
          <w:u w:val="single"/>
          <w:lang w:val="es-MX"/>
        </w:rPr>
      </w:pPr>
      <w:r w:rsidRPr="000C3947">
        <w:rPr>
          <w:b/>
          <w:color w:val="FFFFFF" w:themeColor="background1"/>
          <w:highlight w:val="darkBlue"/>
          <w:u w:val="single"/>
        </w:rPr>
        <w:t>Revelación</w:t>
      </w:r>
      <w:r w:rsidR="000C3947">
        <w:rPr>
          <w:b/>
          <w:color w:val="FFFFFF" w:themeColor="background1"/>
          <w:highlight w:val="darkBlue"/>
          <w:u w:val="single"/>
        </w:rPr>
        <w:t xml:space="preserve"> Suficente</w:t>
      </w:r>
      <w:r w:rsidRPr="000C3947">
        <w:rPr>
          <w:b/>
          <w:color w:val="FFFFFF" w:themeColor="background1"/>
          <w:highlight w:val="darkBlue"/>
          <w:u w:val="single"/>
        </w:rPr>
        <w:t xml:space="preserve">: </w:t>
      </w:r>
      <w:r w:rsidRPr="00405DBC">
        <w:rPr>
          <w:b/>
          <w:u w:val="single"/>
        </w:rPr>
        <w:t>El ente debe cumplir con lo estipulado en revelación con forme a la NICSP, también debe considerar la política general y los párrafos incluidos en la matriz de autoevaluación referente a esta NICSP y guías de aplicación</w:t>
      </w:r>
      <w:r w:rsidRPr="00405DBC">
        <w:rPr>
          <w:b/>
          <w:u w:val="single"/>
          <w:lang w:val="es-MX"/>
        </w:rPr>
        <w:t xml:space="preserve"> (Ver guías de aplicación de la NICSP 10):</w:t>
      </w:r>
    </w:p>
    <w:p w14:paraId="1939FC4C" w14:textId="5C1F3475" w:rsidR="000B04D8" w:rsidRDefault="00405DBC" w:rsidP="00405DBC">
      <w:r>
        <w:rPr>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CD802D" w14:textId="59040EAE" w:rsidR="000B04D8" w:rsidRDefault="000B04D8" w:rsidP="00171A58"/>
    <w:p w14:paraId="62B20F63" w14:textId="77777777" w:rsidR="006E066C" w:rsidRDefault="00405DBC" w:rsidP="006E066C">
      <w:pPr>
        <w:pStyle w:val="Ttulo2"/>
        <w:spacing w:after="240"/>
      </w:pPr>
      <w:bookmarkStart w:id="41" w:name="_Toc54961677"/>
      <w:bookmarkStart w:id="42" w:name="_Toc82768873"/>
      <w:bookmarkStart w:id="43" w:name="_Toc173245194"/>
      <w:r w:rsidRPr="00BC7C5B">
        <w:t>NICSP 11- CONTRATOS DE CONSTRUCCIÓN:</w:t>
      </w:r>
      <w:bookmarkEnd w:id="41"/>
      <w:bookmarkEnd w:id="42"/>
      <w:bookmarkEnd w:id="43"/>
      <w:r w:rsidRPr="00BC7C5B">
        <w:t xml:space="preserve"> </w:t>
      </w:r>
    </w:p>
    <w:p w14:paraId="4E9D1A3A" w14:textId="77777777" w:rsidR="00694299" w:rsidRDefault="006E066C" w:rsidP="006E066C">
      <w:pPr>
        <w:spacing w:before="240"/>
        <w:rPr>
          <w:rFonts w:asciiTheme="minorHAnsi" w:hAnsiTheme="minorHAnsi"/>
          <w:sz w:val="22"/>
        </w:rPr>
      </w:pPr>
      <w:r w:rsidRPr="005F7730">
        <w:t>De acuerdo con la NICSP 11- Contratos de construcción: (El contratista). Indicar si este rubro afecta SI o NO a la institución, además del porcentaje de avance en la implementación que presenta.</w:t>
      </w:r>
      <w:r>
        <w:fldChar w:fldCharType="begin"/>
      </w:r>
      <w:r w:rsidRPr="005F7730">
        <w:instrText xml:space="preserve"> LINK </w:instrText>
      </w:r>
      <w:r w:rsidR="00323752">
        <w:instrText xml:space="preserve">Excel.SheetMacroEnabled.12 "D:\\MORAVIA\\INSUMOS\\NOTAS 2024\\Formato_Notas_EEFF_Vinculadas_2024\\XXXXX_PXX_202X_Anexo_Estado_Notas_Contables_Vinculadas.xlsm" NICSP_11!F9C3:F10C4 </w:instrText>
      </w:r>
      <w:r w:rsidRPr="005F7730">
        <w:instrText xml:space="preserve">\a \f 4 \h </w:instrText>
      </w:r>
      <w:r>
        <w:instrText xml:space="preserve"> \* MERGEFORMAT </w:instrText>
      </w:r>
      <w:r>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694299" w:rsidRPr="00694299" w14:paraId="15A9950A" w14:textId="77777777" w:rsidTr="00694299">
        <w:trPr>
          <w:divId w:val="980041786"/>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006E7695" w14:textId="2F9051C1"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7D7AB"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No</w:t>
            </w:r>
          </w:p>
        </w:tc>
      </w:tr>
      <w:tr w:rsidR="00694299" w:rsidRPr="00694299" w14:paraId="302422D3" w14:textId="77777777" w:rsidTr="00694299">
        <w:trPr>
          <w:divId w:val="980041786"/>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25C75E6A"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6C7DC60F"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 </w:t>
            </w:r>
          </w:p>
        </w:tc>
      </w:tr>
    </w:tbl>
    <w:p w14:paraId="3709C002" w14:textId="77777777" w:rsidR="000C3947" w:rsidRDefault="006E066C" w:rsidP="006E066C">
      <w:pPr>
        <w:spacing w:before="240"/>
      </w:pPr>
      <w:r>
        <w:fldChar w:fldCharType="end"/>
      </w:r>
    </w:p>
    <w:p w14:paraId="230D8729" w14:textId="77777777" w:rsidR="000C3947" w:rsidRPr="003516A2" w:rsidRDefault="000C3947" w:rsidP="000C3947">
      <w:pPr>
        <w:spacing w:line="240" w:lineRule="auto"/>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5906E6AA" w14:textId="77777777" w:rsidR="000C3947" w:rsidRDefault="000C3947" w:rsidP="000C3947">
      <w:pPr>
        <w:spacing w:line="240" w:lineRule="auto"/>
        <w:rPr>
          <w:b/>
          <w:u w:val="single"/>
        </w:rPr>
      </w:pPr>
    </w:p>
    <w:p w14:paraId="78CBFF7D" w14:textId="77777777" w:rsidR="000C3947" w:rsidRPr="003516A2" w:rsidRDefault="000C3947" w:rsidP="000C3947">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451568A7" w14:textId="77777777" w:rsidR="000C3947" w:rsidRPr="002007F6" w:rsidRDefault="000C3947" w:rsidP="000C3947">
      <w:pPr>
        <w:rPr>
          <w:lang w:val="es-MX"/>
        </w:rPr>
      </w:pPr>
      <w:r>
        <w:rPr>
          <w:lang w:val="es-MX"/>
        </w:rPr>
        <w:t>________________________________________________________________________________________________________________________________________________________________</w:t>
      </w:r>
    </w:p>
    <w:p w14:paraId="7E09785A" w14:textId="706392F5" w:rsidR="005D574A" w:rsidRPr="006E066C" w:rsidRDefault="005D574A" w:rsidP="006E066C">
      <w:pPr>
        <w:spacing w:before="240"/>
      </w:pPr>
      <w:r w:rsidRPr="000C3947">
        <w:rPr>
          <w:b/>
          <w:color w:val="FFFFFF" w:themeColor="background1"/>
          <w:highlight w:val="darkBlue"/>
          <w:u w:val="single"/>
        </w:rPr>
        <w:t>Revelación Suficiente:</w:t>
      </w:r>
      <w:r w:rsidRPr="005D574A">
        <w:rPr>
          <w:b/>
          <w:u w:val="single"/>
          <w:lang w:eastAsia="es-CR"/>
        </w:rPr>
        <w:t xml:space="preserve"> El ente debe cumplir con lo estipulado en revelación con forme a la NICSP, también debe considerar la política general y los párrafos incluidos en la matriz de autoevaluación referente a esta NICSP y guías de aplicación</w:t>
      </w:r>
      <w:r w:rsidRPr="005D574A">
        <w:rPr>
          <w:b/>
          <w:u w:val="single"/>
          <w:lang w:val="es-MX" w:eastAsia="es-CR"/>
        </w:rPr>
        <w:t xml:space="preserve"> (Ver GA de la NICSP 11):</w:t>
      </w:r>
    </w:p>
    <w:p w14:paraId="711153DF" w14:textId="77777777" w:rsidR="005D574A" w:rsidRPr="005D574A" w:rsidRDefault="005D574A" w:rsidP="005D574A">
      <w:pPr>
        <w:rPr>
          <w:lang w:val="es-MX"/>
        </w:rPr>
      </w:pPr>
      <w:r w:rsidRPr="005D574A">
        <w:rPr>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C57574" w14:textId="02379113" w:rsidR="00405DBC" w:rsidRDefault="00405DBC" w:rsidP="00171A58"/>
    <w:p w14:paraId="15B2AFEC" w14:textId="77777777" w:rsidR="00703B18" w:rsidRDefault="00703B18" w:rsidP="00171A58"/>
    <w:p w14:paraId="28C546A4" w14:textId="7F8FB63D" w:rsidR="00405DBC" w:rsidRPr="00A649A4" w:rsidRDefault="005D574A" w:rsidP="00A649A4">
      <w:pPr>
        <w:pStyle w:val="Ttulo2"/>
        <w:spacing w:after="240"/>
        <w:rPr>
          <w:rFonts w:eastAsia="Times New Roman"/>
          <w:lang w:eastAsia="es-CR"/>
        </w:rPr>
      </w:pPr>
      <w:bookmarkStart w:id="44" w:name="_Toc82768874"/>
      <w:bookmarkStart w:id="45" w:name="_Toc173245195"/>
      <w:r w:rsidRPr="005D574A">
        <w:rPr>
          <w:rFonts w:eastAsia="Times New Roman"/>
          <w:lang w:eastAsia="es-CR"/>
        </w:rPr>
        <w:t>NICSP 12-INVENTARIOS (DE APLICACIÓN OBLIGATORIA):</w:t>
      </w:r>
      <w:bookmarkEnd w:id="44"/>
      <w:bookmarkEnd w:id="45"/>
      <w:r w:rsidRPr="005D574A">
        <w:rPr>
          <w:rFonts w:eastAsia="Times New Roman"/>
          <w:lang w:eastAsia="es-CR"/>
        </w:rPr>
        <w:t xml:space="preserve"> </w:t>
      </w:r>
    </w:p>
    <w:p w14:paraId="23587376" w14:textId="77777777" w:rsidR="00694299" w:rsidRDefault="005D574A" w:rsidP="005D574A">
      <w:pPr>
        <w:rPr>
          <w:rFonts w:asciiTheme="minorHAnsi" w:hAnsiTheme="minorHAnsi"/>
          <w:sz w:val="22"/>
        </w:rPr>
      </w:pPr>
      <w:r w:rsidRPr="00FB0858">
        <w:t xml:space="preserve">De acuerdo con la NICSP </w:t>
      </w:r>
      <w:r>
        <w:t xml:space="preserve">12- Inventarios, indicar si este rubro afecta SI o NO a la institución, </w:t>
      </w:r>
      <w:r w:rsidRPr="00405DBC">
        <w:t>además del porcentaje de avance</w:t>
      </w:r>
      <w:r>
        <w:t xml:space="preserve"> en la implementación</w:t>
      </w:r>
      <w:r w:rsidRPr="00405DBC">
        <w:t xml:space="preserve"> que presenta</w:t>
      </w:r>
      <w:r w:rsidR="00D16DB1">
        <w:t>.</w:t>
      </w:r>
      <w:r w:rsidR="0025405A">
        <w:fldChar w:fldCharType="begin"/>
      </w:r>
      <w:r w:rsidR="0025405A">
        <w:instrText xml:space="preserve"> LINK </w:instrText>
      </w:r>
      <w:r w:rsidR="00323752">
        <w:instrText xml:space="preserve">Excel.SheetMacroEnabled.12 "D:\\MORAVIA\\INSUMOS\\NOTAS 2024\\Formato_Notas_EEFF_Vinculadas_2024\\XXXXX_PXX_202X_Anexo_Estado_Notas_Contables_Vinculadas.xlsm" NICSP_12!F9C3:F10C4 </w:instrText>
      </w:r>
      <w:r w:rsidR="0025405A">
        <w:instrText xml:space="preserve">\a \f 4 \h </w:instrText>
      </w:r>
      <w:r w:rsidR="0025405A">
        <w:fldChar w:fldCharType="separate"/>
      </w:r>
    </w:p>
    <w:tbl>
      <w:tblPr>
        <w:tblW w:w="3920" w:type="dxa"/>
        <w:tblCellMar>
          <w:left w:w="70" w:type="dxa"/>
          <w:right w:w="70" w:type="dxa"/>
        </w:tblCellMar>
        <w:tblLook w:val="04A0" w:firstRow="1" w:lastRow="0" w:firstColumn="1" w:lastColumn="0" w:noHBand="0" w:noVBand="1"/>
      </w:tblPr>
      <w:tblGrid>
        <w:gridCol w:w="2260"/>
        <w:gridCol w:w="1660"/>
      </w:tblGrid>
      <w:tr w:rsidR="00694299" w:rsidRPr="00694299" w14:paraId="3C339FB7" w14:textId="77777777" w:rsidTr="00694299">
        <w:trPr>
          <w:divId w:val="570041696"/>
          <w:trHeight w:val="324"/>
        </w:trPr>
        <w:tc>
          <w:tcPr>
            <w:tcW w:w="22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645C4115" w14:textId="7160A2F5"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9BDD0"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Si</w:t>
            </w:r>
          </w:p>
        </w:tc>
      </w:tr>
      <w:tr w:rsidR="00694299" w:rsidRPr="00694299" w14:paraId="6FE7B3DE" w14:textId="77777777" w:rsidTr="00694299">
        <w:trPr>
          <w:divId w:val="570041696"/>
          <w:trHeight w:val="324"/>
        </w:trPr>
        <w:tc>
          <w:tcPr>
            <w:tcW w:w="2260" w:type="dxa"/>
            <w:tcBorders>
              <w:top w:val="nil"/>
              <w:left w:val="single" w:sz="8" w:space="0" w:color="auto"/>
              <w:bottom w:val="single" w:sz="8" w:space="0" w:color="auto"/>
              <w:right w:val="single" w:sz="8" w:space="0" w:color="auto"/>
            </w:tcBorders>
            <w:shd w:val="clear" w:color="000000" w:fill="17365D"/>
            <w:vAlign w:val="center"/>
            <w:hideMark/>
          </w:tcPr>
          <w:p w14:paraId="23831071"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761A742C"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97,00%</w:t>
            </w:r>
          </w:p>
        </w:tc>
      </w:tr>
    </w:tbl>
    <w:p w14:paraId="02D61D60" w14:textId="77777777" w:rsidR="000C3947" w:rsidRDefault="0025405A" w:rsidP="005D574A">
      <w:pPr>
        <w:rPr>
          <w:b/>
          <w:sz w:val="16"/>
          <w:szCs w:val="16"/>
          <w:lang w:eastAsia="es-CR"/>
        </w:rPr>
      </w:pPr>
      <w:r>
        <w:fldChar w:fldCharType="end"/>
      </w:r>
      <w:r>
        <w:rPr>
          <w:b/>
          <w:sz w:val="16"/>
          <w:szCs w:val="16"/>
          <w:lang w:eastAsia="es-CR"/>
        </w:rPr>
        <w:t xml:space="preserve">                                             </w:t>
      </w:r>
      <w:r w:rsidR="005D574A" w:rsidRPr="00C35565">
        <w:rPr>
          <w:b/>
          <w:sz w:val="16"/>
          <w:szCs w:val="16"/>
          <w:lang w:eastAsia="es-CR"/>
        </w:rPr>
        <w:t>-Aplicación Obligatoria-</w:t>
      </w:r>
    </w:p>
    <w:p w14:paraId="1D4B8A65" w14:textId="006E0418" w:rsidR="00694299" w:rsidRDefault="00CF1073" w:rsidP="005D574A">
      <w:pPr>
        <w:rPr>
          <w:rFonts w:asciiTheme="minorHAnsi" w:hAnsiTheme="minorHAnsi"/>
          <w:sz w:val="22"/>
        </w:rPr>
      </w:pPr>
      <w:r>
        <w:rPr>
          <w:lang w:eastAsia="es-CR"/>
        </w:rPr>
        <w:fldChar w:fldCharType="begin"/>
      </w:r>
      <w:r>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NICSP_12!F12C3:F16C5 </w:instrText>
      </w:r>
      <w:r>
        <w:rPr>
          <w:lang w:eastAsia="es-CR"/>
        </w:rPr>
        <w:instrText xml:space="preserve">\a \f 4 \h </w:instrText>
      </w:r>
      <w:r w:rsidR="00703B18">
        <w:rPr>
          <w:lang w:eastAsia="es-CR"/>
        </w:rPr>
        <w:instrText xml:space="preserve"> \* MERGEFORMAT </w:instrText>
      </w:r>
      <w:r>
        <w:rPr>
          <w:lang w:eastAsia="es-CR"/>
        </w:rPr>
        <w:fldChar w:fldCharType="separate"/>
      </w:r>
    </w:p>
    <w:tbl>
      <w:tblPr>
        <w:tblW w:w="8637" w:type="dxa"/>
        <w:tblCellMar>
          <w:left w:w="70" w:type="dxa"/>
          <w:right w:w="70" w:type="dxa"/>
        </w:tblCellMar>
        <w:tblLook w:val="04A0" w:firstRow="1" w:lastRow="0" w:firstColumn="1" w:lastColumn="0" w:noHBand="0" w:noVBand="1"/>
      </w:tblPr>
      <w:tblGrid>
        <w:gridCol w:w="8637"/>
      </w:tblGrid>
      <w:tr w:rsidR="00694299" w:rsidRPr="00694299" w14:paraId="7D6E2D94" w14:textId="77777777" w:rsidTr="00703B18">
        <w:trPr>
          <w:divId w:val="326783838"/>
          <w:trHeight w:val="288"/>
        </w:trPr>
        <w:tc>
          <w:tcPr>
            <w:tcW w:w="8637" w:type="dxa"/>
            <w:tcBorders>
              <w:top w:val="single" w:sz="8" w:space="0" w:color="auto"/>
              <w:left w:val="single" w:sz="8" w:space="0" w:color="auto"/>
              <w:bottom w:val="nil"/>
              <w:right w:val="single" w:sz="8" w:space="0" w:color="000000"/>
            </w:tcBorders>
            <w:shd w:val="clear" w:color="000000" w:fill="1F3864"/>
            <w:noWrap/>
            <w:vAlign w:val="center"/>
            <w:hideMark/>
          </w:tcPr>
          <w:p w14:paraId="50B2FBAE" w14:textId="18F58066"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TIEMPOS DEL DEVENGO:</w:t>
            </w:r>
          </w:p>
        </w:tc>
      </w:tr>
      <w:tr w:rsidR="00694299" w:rsidRPr="00694299" w14:paraId="170DF680" w14:textId="77777777" w:rsidTr="00703B18">
        <w:trPr>
          <w:divId w:val="326783838"/>
          <w:trHeight w:val="288"/>
        </w:trPr>
        <w:tc>
          <w:tcPr>
            <w:tcW w:w="8637"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6D79223" w14:textId="179FBB1A" w:rsidR="00694299" w:rsidRPr="00694299" w:rsidRDefault="00694299" w:rsidP="00703B18">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Describir los tiempos del devengo</w:t>
            </w:r>
          </w:p>
        </w:tc>
      </w:tr>
      <w:tr w:rsidR="00694299" w:rsidRPr="00694299" w14:paraId="23A74CA8" w14:textId="77777777" w:rsidTr="00703B18">
        <w:trPr>
          <w:divId w:val="326783838"/>
          <w:trHeight w:val="288"/>
        </w:trPr>
        <w:tc>
          <w:tcPr>
            <w:tcW w:w="8637"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DB63F4E"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en los insumos que por materialidad aplica:</w:t>
            </w:r>
          </w:p>
        </w:tc>
      </w:tr>
      <w:tr w:rsidR="00703B18" w:rsidRPr="00694299" w14:paraId="5216F9A8" w14:textId="77777777" w:rsidTr="00703B18">
        <w:trPr>
          <w:divId w:val="326783838"/>
          <w:trHeight w:val="276"/>
        </w:trPr>
        <w:tc>
          <w:tcPr>
            <w:tcW w:w="8637" w:type="dxa"/>
            <w:tcBorders>
              <w:top w:val="single" w:sz="4" w:space="0" w:color="auto"/>
              <w:left w:val="single" w:sz="8" w:space="0" w:color="auto"/>
              <w:bottom w:val="single" w:sz="4" w:space="0" w:color="auto"/>
              <w:right w:val="single" w:sz="8" w:space="0" w:color="000000"/>
            </w:tcBorders>
            <w:shd w:val="clear" w:color="auto" w:fill="auto"/>
            <w:noWrap/>
            <w:hideMark/>
          </w:tcPr>
          <w:p w14:paraId="6434A125" w14:textId="7D1CFAF9" w:rsidR="00703B18" w:rsidRPr="00694299" w:rsidRDefault="00703B18" w:rsidP="00703B18">
            <w:pPr>
              <w:spacing w:after="0" w:line="240" w:lineRule="auto"/>
              <w:rPr>
                <w:rFonts w:eastAsia="Times New Roman" w:cs="Calibri"/>
                <w:color w:val="000000"/>
                <w:sz w:val="22"/>
                <w:lang w:eastAsia="es-CR"/>
              </w:rPr>
            </w:pPr>
            <w:r w:rsidRPr="00C34499">
              <w:rPr>
                <w:rFonts w:eastAsia="Times New Roman" w:cs="Calibri"/>
                <w:color w:val="000000"/>
                <w:sz w:val="22"/>
              </w:rPr>
              <w:t>Como parte de las políticas que están operando actualmente se tiene establecido reconocer el gasto de inventarios con base en el recuento que hacen los encargados de las diferentes bodegas trimestralmente, quienes informan a la contabilidad municipal los saldos de las existencias para que realice el registro respectivo.  Por lo tanto, el método que está operando actualmente es el de inventario periódico que hacen los encargados de las bodegas e informan los saldos de las existencias.</w:t>
            </w:r>
          </w:p>
        </w:tc>
      </w:tr>
      <w:tr w:rsidR="00703B18" w:rsidRPr="00694299" w14:paraId="50646D4B" w14:textId="77777777" w:rsidTr="004653E2">
        <w:trPr>
          <w:divId w:val="326783838"/>
          <w:trHeight w:val="288"/>
        </w:trPr>
        <w:tc>
          <w:tcPr>
            <w:tcW w:w="8637" w:type="dxa"/>
            <w:tcBorders>
              <w:top w:val="single" w:sz="4" w:space="0" w:color="auto"/>
              <w:left w:val="single" w:sz="8" w:space="0" w:color="auto"/>
              <w:bottom w:val="single" w:sz="8" w:space="0" w:color="auto"/>
              <w:right w:val="single" w:sz="8" w:space="0" w:color="000000"/>
            </w:tcBorders>
            <w:shd w:val="clear" w:color="auto" w:fill="auto"/>
            <w:noWrap/>
            <w:hideMark/>
          </w:tcPr>
          <w:p w14:paraId="56748D7A" w14:textId="368B1603" w:rsidR="00703B18" w:rsidRPr="00694299" w:rsidRDefault="00703B18" w:rsidP="00703B18">
            <w:pPr>
              <w:spacing w:after="0" w:line="240" w:lineRule="auto"/>
              <w:rPr>
                <w:rFonts w:eastAsia="Times New Roman" w:cs="Calibri"/>
                <w:color w:val="000000"/>
                <w:sz w:val="22"/>
                <w:lang w:eastAsia="es-CR"/>
              </w:rPr>
            </w:pPr>
            <w:r w:rsidRPr="00C34499">
              <w:rPr>
                <w:rFonts w:eastAsia="Times New Roman" w:cs="Calibri"/>
                <w:color w:val="000000"/>
                <w:sz w:val="22"/>
              </w:rPr>
              <w:t>De momento se está en proceso de construcción de las políticas y procedimientos de control para la administración de los inventarios de materiales y suministros, sustentado en el método de primera en entrar primera en salir.</w:t>
            </w:r>
          </w:p>
        </w:tc>
      </w:tr>
    </w:tbl>
    <w:p w14:paraId="5F382D34" w14:textId="6F6DD1EA" w:rsidR="00694299" w:rsidRDefault="00CF1073" w:rsidP="005D574A">
      <w:pPr>
        <w:rPr>
          <w:rFonts w:asciiTheme="minorHAnsi" w:hAnsiTheme="minorHAnsi"/>
          <w:sz w:val="22"/>
        </w:rPr>
      </w:pPr>
      <w:r>
        <w:rPr>
          <w:b/>
          <w:sz w:val="16"/>
          <w:szCs w:val="16"/>
          <w:lang w:eastAsia="es-CR"/>
        </w:rPr>
        <w:fldChar w:fldCharType="end"/>
      </w:r>
      <w:r w:rsidR="0025405A">
        <w:rPr>
          <w:lang w:eastAsia="es-CR"/>
        </w:rPr>
        <w:fldChar w:fldCharType="begin"/>
      </w:r>
      <w:r w:rsidR="0025405A">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NICSP_12!F18C7:F21C10 </w:instrText>
      </w:r>
      <w:r w:rsidR="0025405A">
        <w:rPr>
          <w:lang w:eastAsia="es-CR"/>
        </w:rPr>
        <w:instrText xml:space="preserve">\a \f 4 \h </w:instrText>
      </w:r>
      <w:r w:rsidR="00703B18">
        <w:rPr>
          <w:lang w:eastAsia="es-CR"/>
        </w:rPr>
        <w:instrText xml:space="preserve"> \* MERGEFORMAT </w:instrText>
      </w:r>
      <w:r w:rsidR="0025405A">
        <w:rPr>
          <w:lang w:eastAsia="es-CR"/>
        </w:rPr>
        <w:fldChar w:fldCharType="separate"/>
      </w:r>
    </w:p>
    <w:tbl>
      <w:tblPr>
        <w:tblW w:w="8779" w:type="dxa"/>
        <w:tblCellMar>
          <w:left w:w="70" w:type="dxa"/>
          <w:right w:w="70" w:type="dxa"/>
        </w:tblCellMar>
        <w:tblLook w:val="04A0" w:firstRow="1" w:lastRow="0" w:firstColumn="1" w:lastColumn="0" w:noHBand="0" w:noVBand="1"/>
      </w:tblPr>
      <w:tblGrid>
        <w:gridCol w:w="3392"/>
        <w:gridCol w:w="3544"/>
        <w:gridCol w:w="1843"/>
      </w:tblGrid>
      <w:tr w:rsidR="00694299" w:rsidRPr="00694299" w14:paraId="3D6BEC12" w14:textId="77777777" w:rsidTr="00E1025B">
        <w:trPr>
          <w:divId w:val="701831212"/>
          <w:trHeight w:val="300"/>
        </w:trPr>
        <w:tc>
          <w:tcPr>
            <w:tcW w:w="6936" w:type="dxa"/>
            <w:gridSpan w:val="2"/>
            <w:tcBorders>
              <w:top w:val="single" w:sz="8" w:space="0" w:color="auto"/>
              <w:left w:val="single" w:sz="8" w:space="0" w:color="auto"/>
              <w:bottom w:val="nil"/>
              <w:right w:val="single" w:sz="8" w:space="0" w:color="000000"/>
            </w:tcBorders>
            <w:shd w:val="clear" w:color="000000" w:fill="1F3864"/>
            <w:noWrap/>
            <w:vAlign w:val="center"/>
            <w:hideMark/>
          </w:tcPr>
          <w:p w14:paraId="6F709D48" w14:textId="562186AB" w:rsidR="00694299" w:rsidRPr="00694299" w:rsidRDefault="00694299" w:rsidP="00694299">
            <w:pPr>
              <w:jc w:val="center"/>
              <w:rPr>
                <w:rFonts w:eastAsia="Times New Roman" w:cs="Calibri"/>
                <w:color w:val="FFFFFF"/>
                <w:sz w:val="22"/>
                <w:lang w:eastAsia="es-CR"/>
              </w:rPr>
            </w:pPr>
            <w:r w:rsidRPr="00694299">
              <w:rPr>
                <w:rFonts w:eastAsia="Times New Roman" w:cs="Calibri"/>
                <w:color w:val="FFFFFF"/>
                <w:sz w:val="22"/>
                <w:lang w:eastAsia="es-CR"/>
              </w:rPr>
              <w:t>Inventarios Método Valuación PEPS.</w:t>
            </w:r>
          </w:p>
        </w:tc>
        <w:tc>
          <w:tcPr>
            <w:tcW w:w="1843" w:type="dxa"/>
            <w:tcBorders>
              <w:top w:val="single" w:sz="8" w:space="0" w:color="auto"/>
              <w:left w:val="nil"/>
              <w:bottom w:val="single" w:sz="8" w:space="0" w:color="auto"/>
              <w:right w:val="single" w:sz="8" w:space="0" w:color="auto"/>
            </w:tcBorders>
            <w:shd w:val="clear" w:color="000000" w:fill="1F3864"/>
            <w:noWrap/>
            <w:vAlign w:val="center"/>
            <w:hideMark/>
          </w:tcPr>
          <w:p w14:paraId="4E4EBB15" w14:textId="77777777"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Observaciones</w:t>
            </w:r>
          </w:p>
        </w:tc>
      </w:tr>
      <w:tr w:rsidR="00694299" w:rsidRPr="00694299" w14:paraId="294C3ABB" w14:textId="77777777" w:rsidTr="00E1025B">
        <w:trPr>
          <w:divId w:val="701831212"/>
          <w:trHeight w:val="300"/>
        </w:trPr>
        <w:tc>
          <w:tcPr>
            <w:tcW w:w="3392" w:type="dxa"/>
            <w:tcBorders>
              <w:top w:val="nil"/>
              <w:left w:val="single" w:sz="8" w:space="0" w:color="auto"/>
              <w:bottom w:val="single" w:sz="8" w:space="0" w:color="auto"/>
              <w:right w:val="single" w:sz="8" w:space="0" w:color="000000"/>
            </w:tcBorders>
            <w:shd w:val="clear" w:color="auto" w:fill="auto"/>
            <w:noWrap/>
            <w:vAlign w:val="center"/>
            <w:hideMark/>
          </w:tcPr>
          <w:p w14:paraId="704C4767"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xml:space="preserve">Nombre de responsables institucional </w:t>
            </w:r>
          </w:p>
        </w:tc>
        <w:tc>
          <w:tcPr>
            <w:tcW w:w="3544" w:type="dxa"/>
            <w:tcBorders>
              <w:top w:val="single" w:sz="8" w:space="0" w:color="auto"/>
              <w:left w:val="nil"/>
              <w:bottom w:val="single" w:sz="8" w:space="0" w:color="auto"/>
              <w:right w:val="single" w:sz="8" w:space="0" w:color="auto"/>
            </w:tcBorders>
            <w:shd w:val="clear" w:color="auto" w:fill="auto"/>
            <w:noWrap/>
            <w:vAlign w:val="center"/>
            <w:hideMark/>
          </w:tcPr>
          <w:p w14:paraId="395C2498" w14:textId="7F41E769"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r w:rsidR="00E1025B">
              <w:rPr>
                <w:rFonts w:eastAsia="Times New Roman" w:cs="Calibri"/>
                <w:color w:val="000000"/>
                <w:sz w:val="22"/>
                <w:lang w:eastAsia="es-CR"/>
              </w:rPr>
              <w:t>Albán Serrano Siles, Proveedor Municipal</w:t>
            </w:r>
          </w:p>
        </w:tc>
        <w:tc>
          <w:tcPr>
            <w:tcW w:w="1843" w:type="dxa"/>
            <w:tcBorders>
              <w:top w:val="nil"/>
              <w:left w:val="nil"/>
              <w:bottom w:val="nil"/>
              <w:right w:val="single" w:sz="8" w:space="0" w:color="auto"/>
            </w:tcBorders>
            <w:shd w:val="clear" w:color="auto" w:fill="auto"/>
            <w:noWrap/>
            <w:vAlign w:val="center"/>
            <w:hideMark/>
          </w:tcPr>
          <w:p w14:paraId="1EF49D88"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r w:rsidR="00694299" w:rsidRPr="00694299" w14:paraId="4CA84703" w14:textId="77777777" w:rsidTr="00E1025B">
        <w:trPr>
          <w:divId w:val="701831212"/>
          <w:trHeight w:val="300"/>
        </w:trPr>
        <w:tc>
          <w:tcPr>
            <w:tcW w:w="339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C75E6FB"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Fecha de ultimo inventario físico</w:t>
            </w:r>
          </w:p>
        </w:tc>
        <w:tc>
          <w:tcPr>
            <w:tcW w:w="3544" w:type="dxa"/>
            <w:tcBorders>
              <w:top w:val="nil"/>
              <w:left w:val="nil"/>
              <w:bottom w:val="single" w:sz="8" w:space="0" w:color="auto"/>
              <w:right w:val="single" w:sz="8" w:space="0" w:color="auto"/>
            </w:tcBorders>
            <w:shd w:val="clear" w:color="auto" w:fill="auto"/>
            <w:noWrap/>
            <w:vAlign w:val="center"/>
            <w:hideMark/>
          </w:tcPr>
          <w:p w14:paraId="022B1D3B" w14:textId="5A5A02CD"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r w:rsidR="00D470B6">
              <w:rPr>
                <w:rFonts w:eastAsia="Times New Roman" w:cs="Calibri"/>
                <w:color w:val="000000"/>
                <w:sz w:val="22"/>
                <w:lang w:eastAsia="es-CR"/>
              </w:rPr>
              <w:t>30 de junio</w:t>
            </w:r>
            <w:r w:rsidR="00703B18">
              <w:rPr>
                <w:rFonts w:eastAsia="Times New Roman" w:cs="Calibri"/>
                <w:color w:val="000000"/>
                <w:sz w:val="22"/>
                <w:lang w:eastAsia="es-CR"/>
              </w:rPr>
              <w:t xml:space="preserve"> de 2024</w:t>
            </w:r>
          </w:p>
        </w:tc>
        <w:tc>
          <w:tcPr>
            <w:tcW w:w="1843" w:type="dxa"/>
            <w:tcBorders>
              <w:top w:val="nil"/>
              <w:left w:val="nil"/>
              <w:bottom w:val="nil"/>
              <w:right w:val="single" w:sz="8" w:space="0" w:color="auto"/>
            </w:tcBorders>
            <w:shd w:val="clear" w:color="auto" w:fill="auto"/>
            <w:noWrap/>
            <w:vAlign w:val="center"/>
            <w:hideMark/>
          </w:tcPr>
          <w:p w14:paraId="4B0CFF3B"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r w:rsidR="00694299" w:rsidRPr="00694299" w14:paraId="0ABB6BA8" w14:textId="77777777" w:rsidTr="00E1025B">
        <w:trPr>
          <w:divId w:val="701831212"/>
          <w:trHeight w:val="300"/>
        </w:trPr>
        <w:tc>
          <w:tcPr>
            <w:tcW w:w="339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EB920FE"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Fecha de ultimo asiento por depuración</w:t>
            </w:r>
          </w:p>
        </w:tc>
        <w:tc>
          <w:tcPr>
            <w:tcW w:w="3544" w:type="dxa"/>
            <w:tcBorders>
              <w:top w:val="nil"/>
              <w:left w:val="nil"/>
              <w:bottom w:val="single" w:sz="8" w:space="0" w:color="auto"/>
              <w:right w:val="single" w:sz="8" w:space="0" w:color="auto"/>
            </w:tcBorders>
            <w:shd w:val="clear" w:color="auto" w:fill="auto"/>
            <w:noWrap/>
            <w:vAlign w:val="center"/>
            <w:hideMark/>
          </w:tcPr>
          <w:p w14:paraId="4F33A77C" w14:textId="5829C85C"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r w:rsidR="00703B18">
              <w:rPr>
                <w:rFonts w:eastAsia="Times New Roman" w:cs="Calibri"/>
                <w:color w:val="000000"/>
                <w:sz w:val="22"/>
                <w:lang w:eastAsia="es-CR"/>
              </w:rPr>
              <w:t>31 de mayo de 2023</w:t>
            </w:r>
          </w:p>
        </w:tc>
        <w:tc>
          <w:tcPr>
            <w:tcW w:w="1843" w:type="dxa"/>
            <w:tcBorders>
              <w:top w:val="nil"/>
              <w:left w:val="nil"/>
              <w:bottom w:val="single" w:sz="8" w:space="0" w:color="auto"/>
              <w:right w:val="single" w:sz="8" w:space="0" w:color="auto"/>
            </w:tcBorders>
            <w:shd w:val="clear" w:color="auto" w:fill="auto"/>
            <w:noWrap/>
            <w:vAlign w:val="center"/>
            <w:hideMark/>
          </w:tcPr>
          <w:p w14:paraId="0BAD1997" w14:textId="23B8B211" w:rsidR="00694299" w:rsidRPr="00694299" w:rsidRDefault="00703B18" w:rsidP="00703B18">
            <w:pPr>
              <w:spacing w:after="0" w:line="240" w:lineRule="auto"/>
              <w:rPr>
                <w:rFonts w:eastAsia="Times New Roman" w:cs="Calibri"/>
                <w:color w:val="000000"/>
                <w:sz w:val="22"/>
                <w:lang w:eastAsia="es-CR"/>
              </w:rPr>
            </w:pPr>
            <w:r>
              <w:rPr>
                <w:lang w:eastAsia="es-CR"/>
              </w:rPr>
              <w:t>S</w:t>
            </w:r>
            <w:r w:rsidRPr="00B03432">
              <w:rPr>
                <w:lang w:eastAsia="es-CR"/>
              </w:rPr>
              <w:t xml:space="preserve">e registró el inventario de materiales y repuestos que mantiene </w:t>
            </w:r>
            <w:r>
              <w:rPr>
                <w:lang w:eastAsia="es-CR"/>
              </w:rPr>
              <w:t>la</w:t>
            </w:r>
            <w:r w:rsidRPr="00B03432">
              <w:rPr>
                <w:lang w:eastAsia="es-CR"/>
              </w:rPr>
              <w:t xml:space="preserve"> UT</w:t>
            </w:r>
            <w:r>
              <w:rPr>
                <w:lang w:eastAsia="es-CR"/>
              </w:rPr>
              <w:t>GV</w:t>
            </w:r>
            <w:r w:rsidR="00694299" w:rsidRPr="00694299">
              <w:rPr>
                <w:rFonts w:eastAsia="Times New Roman" w:cs="Calibri"/>
                <w:color w:val="000000"/>
                <w:sz w:val="22"/>
                <w:lang w:eastAsia="es-CR"/>
              </w:rPr>
              <w:t> </w:t>
            </w:r>
          </w:p>
        </w:tc>
      </w:tr>
    </w:tbl>
    <w:p w14:paraId="6A070B5C" w14:textId="77777777" w:rsidR="00703B18" w:rsidRDefault="0025405A" w:rsidP="00703B18">
      <w:pPr>
        <w:spacing w:after="120" w:line="240" w:lineRule="auto"/>
        <w:rPr>
          <w:lang w:eastAsia="es-CR"/>
        </w:rPr>
      </w:pPr>
      <w:r>
        <w:rPr>
          <w:lang w:eastAsia="es-CR"/>
        </w:rPr>
        <w:fldChar w:fldCharType="end"/>
      </w:r>
      <w:r w:rsidR="00703B18" w:rsidRPr="00703B18">
        <w:rPr>
          <w:lang w:eastAsia="es-CR"/>
        </w:rPr>
        <w:t xml:space="preserve"> </w:t>
      </w:r>
    </w:p>
    <w:p w14:paraId="34127C7E" w14:textId="35D5F7DF" w:rsidR="00703B18" w:rsidRDefault="00703B18" w:rsidP="00E1025B">
      <w:pPr>
        <w:spacing w:after="0" w:line="240" w:lineRule="auto"/>
        <w:rPr>
          <w:lang w:eastAsia="es-CR"/>
        </w:rPr>
      </w:pPr>
      <w:r w:rsidRPr="00B03432">
        <w:rPr>
          <w:lang w:eastAsia="es-CR"/>
        </w:rPr>
        <w:t xml:space="preserve">En el mes de mayo de 2023 con base en el Oficio Nro. </w:t>
      </w:r>
      <w:r w:rsidRPr="00B03432">
        <w:t>GV-MBA-303-2023 del 3</w:t>
      </w:r>
      <w:r>
        <w:t>1</w:t>
      </w:r>
      <w:r w:rsidRPr="00B03432">
        <w:t xml:space="preserve"> de mayo de 2023 remitido por el Coordinador General Gestión Vial, </w:t>
      </w:r>
      <w:r w:rsidRPr="00B03432">
        <w:rPr>
          <w:lang w:eastAsia="es-CR"/>
        </w:rPr>
        <w:t xml:space="preserve">se registró el inventario de materiales y repuestos que mantiene dicha Unidad Técnica en una bodega ubicada en el sitio conocido como el Remolino por un monto que ascendía a </w:t>
      </w:r>
      <w:r w:rsidRPr="00B03432">
        <w:rPr>
          <w:rFonts w:ascii="Arial" w:hAnsi="Arial" w:cs="Arial"/>
          <w:lang w:eastAsia="es-CR"/>
        </w:rPr>
        <w:t>₡</w:t>
      </w:r>
      <w:r w:rsidRPr="00B03432">
        <w:rPr>
          <w:lang w:eastAsia="es-CR"/>
        </w:rPr>
        <w:t>164 475,28 miles</w:t>
      </w:r>
      <w:r>
        <w:rPr>
          <w:rFonts w:cs="Calibri"/>
          <w:color w:val="000000"/>
        </w:rPr>
        <w:t>, siendo este inventario el que fundamentalmente origina la variación como se consigna en el</w:t>
      </w:r>
      <w:r w:rsidRPr="00A91674">
        <w:rPr>
          <w:lang w:eastAsia="es-CR"/>
        </w:rPr>
        <w:t xml:space="preserve"> detalle de los inventarios </w:t>
      </w:r>
      <w:r w:rsidR="003E39ED" w:rsidRPr="00A91674">
        <w:rPr>
          <w:lang w:eastAsia="es-CR"/>
        </w:rPr>
        <w:t>registrados.</w:t>
      </w:r>
    </w:p>
    <w:p w14:paraId="3C6522F0" w14:textId="1A3B1209" w:rsidR="00694299" w:rsidRPr="00694299" w:rsidRDefault="00225A39" w:rsidP="00E1025B">
      <w:pPr>
        <w:spacing w:after="0"/>
        <w:rPr>
          <w:lang w:eastAsia="es-CR"/>
        </w:rPr>
      </w:pPr>
      <w:r>
        <w:rPr>
          <w:lang w:eastAsia="es-CR"/>
        </w:rPr>
        <w:fldChar w:fldCharType="begin"/>
      </w:r>
      <w:r>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NICSP_12!F12C7:F14C9 </w:instrText>
      </w:r>
      <w:r>
        <w:rPr>
          <w:lang w:eastAsia="es-CR"/>
        </w:rPr>
        <w:instrText xml:space="preserve">\a \f 4 \h  \* MERGEFORMAT </w:instrText>
      </w:r>
      <w:r>
        <w:rPr>
          <w:lang w:eastAsia="es-CR"/>
        </w:rPr>
        <w:fldChar w:fldCharType="separate"/>
      </w:r>
    </w:p>
    <w:tbl>
      <w:tblPr>
        <w:tblW w:w="4740" w:type="dxa"/>
        <w:jc w:val="center"/>
        <w:tblCellMar>
          <w:left w:w="70" w:type="dxa"/>
          <w:right w:w="70" w:type="dxa"/>
        </w:tblCellMar>
        <w:tblLook w:val="04A0" w:firstRow="1" w:lastRow="0" w:firstColumn="1" w:lastColumn="0" w:noHBand="0" w:noVBand="1"/>
      </w:tblPr>
      <w:tblGrid>
        <w:gridCol w:w="2020"/>
        <w:gridCol w:w="1360"/>
        <w:gridCol w:w="1360"/>
      </w:tblGrid>
      <w:tr w:rsidR="00694299" w:rsidRPr="00694299" w14:paraId="0FD1554C" w14:textId="77777777" w:rsidTr="00694299">
        <w:trPr>
          <w:divId w:val="1172525245"/>
          <w:trHeight w:val="288"/>
          <w:jc w:val="center"/>
        </w:trPr>
        <w:tc>
          <w:tcPr>
            <w:tcW w:w="202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0E949E5B" w14:textId="4AEE8B5C"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Sistema de Inventario</w:t>
            </w:r>
          </w:p>
        </w:tc>
        <w:tc>
          <w:tcPr>
            <w:tcW w:w="1360" w:type="dxa"/>
            <w:tcBorders>
              <w:top w:val="single" w:sz="8" w:space="0" w:color="auto"/>
              <w:left w:val="nil"/>
              <w:bottom w:val="single" w:sz="8" w:space="0" w:color="auto"/>
              <w:right w:val="single" w:sz="8" w:space="0" w:color="auto"/>
            </w:tcBorders>
            <w:shd w:val="clear" w:color="000000" w:fill="1F3864"/>
            <w:noWrap/>
            <w:vAlign w:val="center"/>
            <w:hideMark/>
          </w:tcPr>
          <w:p w14:paraId="768BD28F" w14:textId="77777777"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SI</w:t>
            </w:r>
          </w:p>
        </w:tc>
        <w:tc>
          <w:tcPr>
            <w:tcW w:w="1360" w:type="dxa"/>
            <w:tcBorders>
              <w:top w:val="single" w:sz="8" w:space="0" w:color="auto"/>
              <w:left w:val="nil"/>
              <w:bottom w:val="single" w:sz="8" w:space="0" w:color="auto"/>
              <w:right w:val="single" w:sz="8" w:space="0" w:color="auto"/>
            </w:tcBorders>
            <w:shd w:val="clear" w:color="000000" w:fill="1F3864"/>
            <w:noWrap/>
            <w:vAlign w:val="center"/>
            <w:hideMark/>
          </w:tcPr>
          <w:p w14:paraId="6D19BF6B" w14:textId="77777777"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NO</w:t>
            </w:r>
          </w:p>
        </w:tc>
      </w:tr>
      <w:tr w:rsidR="00694299" w:rsidRPr="00694299" w14:paraId="44FB7F0E" w14:textId="77777777" w:rsidTr="00694299">
        <w:trPr>
          <w:divId w:val="1172525245"/>
          <w:trHeight w:val="288"/>
          <w:jc w:val="center"/>
        </w:trPr>
        <w:tc>
          <w:tcPr>
            <w:tcW w:w="2020" w:type="dxa"/>
            <w:tcBorders>
              <w:top w:val="nil"/>
              <w:left w:val="single" w:sz="8" w:space="0" w:color="auto"/>
              <w:bottom w:val="single" w:sz="8" w:space="0" w:color="auto"/>
              <w:right w:val="single" w:sz="8" w:space="0" w:color="auto"/>
            </w:tcBorders>
            <w:shd w:val="clear" w:color="auto" w:fill="auto"/>
            <w:noWrap/>
            <w:vAlign w:val="center"/>
            <w:hideMark/>
          </w:tcPr>
          <w:p w14:paraId="6CC20DF6"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Perpetuo o constante</w:t>
            </w:r>
          </w:p>
        </w:tc>
        <w:tc>
          <w:tcPr>
            <w:tcW w:w="1360" w:type="dxa"/>
            <w:tcBorders>
              <w:top w:val="nil"/>
              <w:left w:val="nil"/>
              <w:bottom w:val="single" w:sz="8" w:space="0" w:color="auto"/>
              <w:right w:val="single" w:sz="8" w:space="0" w:color="auto"/>
            </w:tcBorders>
            <w:shd w:val="clear" w:color="auto" w:fill="auto"/>
            <w:noWrap/>
            <w:vAlign w:val="center"/>
            <w:hideMark/>
          </w:tcPr>
          <w:p w14:paraId="6B9E8FE6"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360" w:type="dxa"/>
            <w:tcBorders>
              <w:top w:val="nil"/>
              <w:left w:val="nil"/>
              <w:bottom w:val="single" w:sz="8" w:space="0" w:color="auto"/>
              <w:right w:val="single" w:sz="8" w:space="0" w:color="auto"/>
            </w:tcBorders>
            <w:shd w:val="clear" w:color="auto" w:fill="auto"/>
            <w:noWrap/>
            <w:vAlign w:val="center"/>
            <w:hideMark/>
          </w:tcPr>
          <w:p w14:paraId="3D035C5F" w14:textId="23170B20" w:rsidR="00694299" w:rsidRPr="00694299" w:rsidRDefault="009E5DEC" w:rsidP="00E1025B">
            <w:pPr>
              <w:spacing w:after="0" w:line="240" w:lineRule="auto"/>
              <w:jc w:val="center"/>
              <w:rPr>
                <w:rFonts w:eastAsia="Times New Roman" w:cs="Calibri"/>
                <w:color w:val="000000"/>
                <w:sz w:val="22"/>
                <w:lang w:eastAsia="es-CR"/>
              </w:rPr>
            </w:pPr>
            <w:r>
              <w:rPr>
                <w:rFonts w:eastAsia="Times New Roman" w:cs="Calibri"/>
                <w:color w:val="000000"/>
                <w:sz w:val="22"/>
                <w:lang w:eastAsia="es-CR"/>
              </w:rPr>
              <w:t>1</w:t>
            </w:r>
          </w:p>
        </w:tc>
      </w:tr>
      <w:tr w:rsidR="00694299" w:rsidRPr="00694299" w14:paraId="67B9CBCF" w14:textId="77777777" w:rsidTr="00694299">
        <w:trPr>
          <w:divId w:val="1172525245"/>
          <w:trHeight w:val="288"/>
          <w:jc w:val="center"/>
        </w:trPr>
        <w:tc>
          <w:tcPr>
            <w:tcW w:w="2020" w:type="dxa"/>
            <w:tcBorders>
              <w:top w:val="nil"/>
              <w:left w:val="single" w:sz="8" w:space="0" w:color="auto"/>
              <w:bottom w:val="single" w:sz="8" w:space="0" w:color="auto"/>
              <w:right w:val="single" w:sz="8" w:space="0" w:color="auto"/>
            </w:tcBorders>
            <w:shd w:val="clear" w:color="auto" w:fill="auto"/>
            <w:noWrap/>
            <w:vAlign w:val="center"/>
            <w:hideMark/>
          </w:tcPr>
          <w:p w14:paraId="7F460E0E"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periódico</w:t>
            </w:r>
          </w:p>
        </w:tc>
        <w:tc>
          <w:tcPr>
            <w:tcW w:w="1360" w:type="dxa"/>
            <w:tcBorders>
              <w:top w:val="nil"/>
              <w:left w:val="nil"/>
              <w:bottom w:val="single" w:sz="8" w:space="0" w:color="auto"/>
              <w:right w:val="single" w:sz="8" w:space="0" w:color="auto"/>
            </w:tcBorders>
            <w:shd w:val="clear" w:color="auto" w:fill="auto"/>
            <w:noWrap/>
            <w:vAlign w:val="center"/>
            <w:hideMark/>
          </w:tcPr>
          <w:p w14:paraId="3D962459" w14:textId="537E8370" w:rsidR="00694299" w:rsidRPr="00694299" w:rsidRDefault="009E5DEC" w:rsidP="00E1025B">
            <w:pPr>
              <w:spacing w:after="0" w:line="240" w:lineRule="auto"/>
              <w:jc w:val="center"/>
              <w:rPr>
                <w:rFonts w:eastAsia="Times New Roman" w:cs="Calibri"/>
                <w:color w:val="000000"/>
                <w:sz w:val="22"/>
                <w:lang w:eastAsia="es-CR"/>
              </w:rPr>
            </w:pPr>
            <w:r>
              <w:rPr>
                <w:rFonts w:eastAsia="Times New Roman" w:cs="Calibri"/>
                <w:color w:val="000000"/>
                <w:sz w:val="22"/>
                <w:lang w:eastAsia="es-CR"/>
              </w:rPr>
              <w:t>1</w:t>
            </w:r>
          </w:p>
        </w:tc>
        <w:tc>
          <w:tcPr>
            <w:tcW w:w="1360" w:type="dxa"/>
            <w:tcBorders>
              <w:top w:val="nil"/>
              <w:left w:val="nil"/>
              <w:bottom w:val="single" w:sz="8" w:space="0" w:color="auto"/>
              <w:right w:val="single" w:sz="8" w:space="0" w:color="auto"/>
            </w:tcBorders>
            <w:shd w:val="clear" w:color="auto" w:fill="auto"/>
            <w:noWrap/>
            <w:vAlign w:val="center"/>
            <w:hideMark/>
          </w:tcPr>
          <w:p w14:paraId="43FD4E83"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bl>
    <w:p w14:paraId="00DF89A0" w14:textId="061B8831" w:rsidR="00225A39" w:rsidRDefault="00225A39" w:rsidP="005D574A">
      <w:pPr>
        <w:rPr>
          <w:lang w:eastAsia="es-CR"/>
        </w:rPr>
      </w:pPr>
      <w:r>
        <w:rPr>
          <w:lang w:eastAsia="es-CR"/>
        </w:rPr>
        <w:fldChar w:fldCharType="end"/>
      </w:r>
    </w:p>
    <w:p w14:paraId="05399B95" w14:textId="34592C34" w:rsidR="005D574A" w:rsidRPr="005D574A" w:rsidRDefault="005D574A" w:rsidP="005D574A">
      <w:pPr>
        <w:rPr>
          <w:lang w:eastAsia="es-CR"/>
        </w:rPr>
      </w:pPr>
      <w:r w:rsidRPr="005D574A">
        <w:rPr>
          <w:lang w:eastAsia="es-CR"/>
        </w:rPr>
        <w:t>Se realizará la revelación considerando lo dispuesto en el párrafo 47 de la NICSP12.</w:t>
      </w:r>
    </w:p>
    <w:p w14:paraId="112D1955" w14:textId="77777777" w:rsidR="005D574A" w:rsidRPr="000B404C" w:rsidRDefault="005D574A" w:rsidP="000B404C">
      <w:pPr>
        <w:spacing w:after="0" w:line="240" w:lineRule="auto"/>
        <w:rPr>
          <w:rStyle w:val="nfasis"/>
        </w:rPr>
      </w:pPr>
      <w:r w:rsidRPr="000B404C">
        <w:rPr>
          <w:rStyle w:val="nfasis"/>
        </w:rPr>
        <w:t>“47. En los estados financieros se revelará la siguiente información:</w:t>
      </w:r>
    </w:p>
    <w:p w14:paraId="6447C0AF" w14:textId="77777777" w:rsidR="005D574A" w:rsidRPr="000B404C" w:rsidRDefault="005D574A">
      <w:pPr>
        <w:pStyle w:val="Prrafodelista"/>
        <w:numPr>
          <w:ilvl w:val="0"/>
          <w:numId w:val="3"/>
        </w:numPr>
        <w:spacing w:after="0" w:line="240" w:lineRule="auto"/>
        <w:rPr>
          <w:rStyle w:val="nfasis"/>
        </w:rPr>
      </w:pPr>
      <w:r w:rsidRPr="000B404C">
        <w:rPr>
          <w:rStyle w:val="nfasis"/>
        </w:rPr>
        <w:t>las políticas contables adoptadas para la medición de los inventarios, incluyendo la fórmula de medición de los costos utilizada;</w:t>
      </w:r>
    </w:p>
    <w:p w14:paraId="48601664" w14:textId="01744355" w:rsidR="005D574A" w:rsidRPr="000B404C" w:rsidRDefault="005D574A">
      <w:pPr>
        <w:pStyle w:val="Prrafodelista"/>
        <w:numPr>
          <w:ilvl w:val="0"/>
          <w:numId w:val="3"/>
        </w:numPr>
        <w:spacing w:after="0" w:line="240" w:lineRule="auto"/>
        <w:rPr>
          <w:rStyle w:val="nfasis"/>
        </w:rPr>
      </w:pPr>
      <w:r w:rsidRPr="000B404C">
        <w:rPr>
          <w:rStyle w:val="nfasis"/>
        </w:rPr>
        <w:t>el importe total en libros de los inventarios y los importes según la clasificación que resulte apropiada para la entidad; etc.”</w:t>
      </w:r>
    </w:p>
    <w:p w14:paraId="2947E6C0" w14:textId="77777777" w:rsidR="005D574A" w:rsidRDefault="005D574A" w:rsidP="005D574A">
      <w:pPr>
        <w:rPr>
          <w:lang w:val="es-MX" w:eastAsia="es-CR"/>
        </w:rPr>
      </w:pPr>
    </w:p>
    <w:p w14:paraId="1471483F" w14:textId="194F641D" w:rsidR="005675B0" w:rsidRPr="003516A2" w:rsidRDefault="000C3947" w:rsidP="000C3947">
      <w:pPr>
        <w:spacing w:line="240" w:lineRule="auto"/>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0AF050A9" w14:textId="77777777" w:rsidR="00A8206C" w:rsidRDefault="00A8206C" w:rsidP="000C3947">
      <w:pPr>
        <w:spacing w:line="240" w:lineRule="auto"/>
        <w:rPr>
          <w:bCs/>
        </w:rPr>
      </w:pPr>
      <w:r>
        <w:rPr>
          <w:bCs/>
        </w:rPr>
        <w:t>Los elementos en inventarios para la venta, prestación de servicios, intercambiables o distribuidos el valor en libros se reconoce como un gasto en el periodo en el cual se reconocen los ingresos ordinarios relacionados. Si no hay ingresos ordinarios relacionados, el gasto se reconoce cuando los bienes sean distribuidos o hayan sido prestados los servicios relacionados.</w:t>
      </w:r>
    </w:p>
    <w:p w14:paraId="59BCAD0F" w14:textId="095A23D5" w:rsidR="005675B0" w:rsidRDefault="00A8206C" w:rsidP="000C3947">
      <w:pPr>
        <w:spacing w:line="240" w:lineRule="auto"/>
        <w:rPr>
          <w:bCs/>
        </w:rPr>
      </w:pPr>
      <w:r>
        <w:rPr>
          <w:bCs/>
        </w:rPr>
        <w:t>El castigo al valor realizable neto se reconoce como un gasto en el periodo que se determine la pérdida o cuando ocurre el castigo. Además, las reservas originadas de un incremento en el valor realizable neto se reconocen como una reducción del gasto de inventario en el periodo en el que ocurren.</w:t>
      </w:r>
    </w:p>
    <w:p w14:paraId="7203321D" w14:textId="77777777" w:rsidR="005675B0" w:rsidRPr="005675B0" w:rsidRDefault="005675B0" w:rsidP="000C3947">
      <w:pPr>
        <w:spacing w:line="240" w:lineRule="auto"/>
        <w:rPr>
          <w:bCs/>
        </w:rPr>
      </w:pPr>
    </w:p>
    <w:p w14:paraId="1C6B9521" w14:textId="77777777" w:rsidR="000C3947" w:rsidRPr="003516A2" w:rsidRDefault="000C3947" w:rsidP="000C3947">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17EC9923" w14:textId="088193F5" w:rsidR="00A8206C" w:rsidRDefault="00B12199" w:rsidP="005675B0">
      <w:pPr>
        <w:spacing w:line="240" w:lineRule="auto"/>
        <w:rPr>
          <w:bCs/>
        </w:rPr>
      </w:pPr>
      <w:r>
        <w:rPr>
          <w:bCs/>
        </w:rPr>
        <w:t>El costo de los elementos de inventario incluye</w:t>
      </w:r>
      <w:r w:rsidR="00330ADC">
        <w:rPr>
          <w:bCs/>
        </w:rPr>
        <w:t xml:space="preserve"> los costos de compra, de conversión y otros costos necesarios para llevar el inventario a su localización y condición presente, pero no las diferencias de cambio y los costos de venta. Los descuentos comerciales, rebajas y otros elementos similares se deducen en la determinación de los costos de compra.</w:t>
      </w:r>
    </w:p>
    <w:p w14:paraId="6AD4EB6C" w14:textId="58C038D3" w:rsidR="005675B0" w:rsidRPr="00117B7D" w:rsidRDefault="005675B0" w:rsidP="005675B0">
      <w:pPr>
        <w:spacing w:line="240" w:lineRule="auto"/>
        <w:rPr>
          <w:lang w:val="es-MX"/>
        </w:rPr>
      </w:pPr>
      <w:r w:rsidRPr="005675B0">
        <w:rPr>
          <w:bCs/>
        </w:rPr>
        <w:t xml:space="preserve">Los </w:t>
      </w:r>
      <w:r>
        <w:rPr>
          <w:bCs/>
        </w:rPr>
        <w:t xml:space="preserve">inventarios son medidos al más bajo entre el costo y el valor realizable neto. </w:t>
      </w:r>
      <w:r w:rsidRPr="00117B7D">
        <w:rPr>
          <w:lang w:val="es-MX"/>
        </w:rPr>
        <w:t>En caso de inventarios a</w:t>
      </w:r>
      <w:r w:rsidR="00330ADC">
        <w:rPr>
          <w:lang w:val="es-MX"/>
        </w:rPr>
        <w:t>dquiridos a</w:t>
      </w:r>
      <w:r w:rsidRPr="00117B7D">
        <w:rPr>
          <w:lang w:val="es-MX"/>
        </w:rPr>
        <w:t xml:space="preserve"> través de una transacción sin contraprestación</w:t>
      </w:r>
      <w:r w:rsidR="00330ADC">
        <w:rPr>
          <w:lang w:val="es-MX"/>
        </w:rPr>
        <w:t xml:space="preserve">, que no es intercambiable </w:t>
      </w:r>
      <w:r w:rsidRPr="00117B7D">
        <w:rPr>
          <w:lang w:val="es-MX"/>
        </w:rPr>
        <w:t>su costo es medido a su valor razonable en la fecha de la adquisición</w:t>
      </w:r>
      <w:r>
        <w:rPr>
          <w:lang w:val="es-MX"/>
        </w:rPr>
        <w:t xml:space="preserve">. </w:t>
      </w:r>
      <w:r w:rsidRPr="00117B7D">
        <w:rPr>
          <w:lang w:val="es-MX"/>
        </w:rPr>
        <w:t xml:space="preserve">Cuando los inventarios se </w:t>
      </w:r>
      <w:r>
        <w:rPr>
          <w:lang w:val="es-MX"/>
        </w:rPr>
        <w:t>adquieren</w:t>
      </w:r>
      <w:r w:rsidRPr="00117B7D">
        <w:rPr>
          <w:lang w:val="es-MX"/>
        </w:rPr>
        <w:t xml:space="preserve"> sin contraprestación o con contraprestación insignificante, u usados para </w:t>
      </w:r>
      <w:r>
        <w:rPr>
          <w:lang w:val="es-MX"/>
        </w:rPr>
        <w:t>prestar servicios</w:t>
      </w:r>
      <w:r w:rsidRPr="00117B7D">
        <w:rPr>
          <w:lang w:val="es-MX"/>
        </w:rPr>
        <w:t xml:space="preserve"> que serán distribuidos sin contraprestación son medidos al menor valor entre el costo y el costo </w:t>
      </w:r>
      <w:r w:rsidR="00330ADC">
        <w:rPr>
          <w:lang w:val="es-MX"/>
        </w:rPr>
        <w:t>actual</w:t>
      </w:r>
      <w:r w:rsidRPr="00117B7D">
        <w:rPr>
          <w:lang w:val="es-MX"/>
        </w:rPr>
        <w:t xml:space="preserve"> de </w:t>
      </w:r>
      <w:r w:rsidR="00330ADC">
        <w:rPr>
          <w:lang w:val="es-MX"/>
        </w:rPr>
        <w:t>reemplazo</w:t>
      </w:r>
      <w:r>
        <w:rPr>
          <w:lang w:val="es-MX"/>
        </w:rPr>
        <w:t>.</w:t>
      </w:r>
    </w:p>
    <w:p w14:paraId="549B7E04" w14:textId="05587929" w:rsidR="005675B0" w:rsidRPr="00117B7D" w:rsidRDefault="005675B0" w:rsidP="005675B0">
      <w:pPr>
        <w:spacing w:line="240" w:lineRule="auto"/>
        <w:rPr>
          <w:lang w:val="es-MX"/>
        </w:rPr>
      </w:pPr>
    </w:p>
    <w:p w14:paraId="7344B82F" w14:textId="6C3E2FA0" w:rsidR="005675B0" w:rsidRPr="005675B0" w:rsidRDefault="005675B0" w:rsidP="005675B0">
      <w:pPr>
        <w:spacing w:line="240" w:lineRule="auto"/>
        <w:rPr>
          <w:bCs/>
          <w:lang w:val="es-MX"/>
        </w:rPr>
      </w:pPr>
    </w:p>
    <w:p w14:paraId="68877F35" w14:textId="77777777" w:rsidR="000C3947" w:rsidRPr="005D574A" w:rsidRDefault="000C3947" w:rsidP="005D574A">
      <w:pPr>
        <w:rPr>
          <w:lang w:val="es-MX" w:eastAsia="es-CR"/>
        </w:rPr>
      </w:pPr>
    </w:p>
    <w:p w14:paraId="466C2738" w14:textId="77777777" w:rsidR="005D574A" w:rsidRPr="005D574A" w:rsidRDefault="005D574A" w:rsidP="005D574A">
      <w:pPr>
        <w:rPr>
          <w:b/>
          <w:u w:val="single"/>
          <w:lang w:val="es-MX" w:eastAsia="es-CR"/>
        </w:rPr>
      </w:pPr>
      <w:r w:rsidRPr="000C3947">
        <w:rPr>
          <w:b/>
          <w:color w:val="FFFFFF" w:themeColor="background1"/>
          <w:highlight w:val="darkBlue"/>
          <w:u w:val="single"/>
        </w:rPr>
        <w:t>Revelación Suficiente:</w:t>
      </w:r>
      <w:r w:rsidRPr="005D574A">
        <w:rPr>
          <w:b/>
          <w:u w:val="single"/>
          <w:lang w:val="es-MX" w:eastAsia="es-CR"/>
        </w:rPr>
        <w:t xml:space="preserve"> </w:t>
      </w:r>
      <w:r w:rsidRPr="005D574A">
        <w:rPr>
          <w:b/>
          <w:u w:val="single"/>
          <w:lang w:eastAsia="es-CR"/>
        </w:rPr>
        <w:t>El ente debe cumplir con lo estipulado en revelación con forme a la NICSP, también debe considerar la política general y los párrafos incluidos en la matriz de autoevaluación referente a esta NICSP y guías de aplicación</w:t>
      </w:r>
      <w:r w:rsidRPr="005D574A">
        <w:rPr>
          <w:b/>
          <w:u w:val="single"/>
          <w:lang w:val="es-MX" w:eastAsia="es-CR"/>
        </w:rPr>
        <w:t xml:space="preserve"> (Ver las GA de la NICSP 12):</w:t>
      </w:r>
    </w:p>
    <w:p w14:paraId="3E297685" w14:textId="77777777" w:rsidR="005D574A" w:rsidRPr="000C3947" w:rsidRDefault="005D574A" w:rsidP="005D574A">
      <w:pPr>
        <w:rPr>
          <w:b/>
          <w:color w:val="FFFFFF" w:themeColor="background1"/>
          <w:highlight w:val="darkBlue"/>
          <w:u w:val="single"/>
        </w:rPr>
      </w:pPr>
      <w:r w:rsidRPr="000C3947">
        <w:rPr>
          <w:b/>
          <w:color w:val="FFFFFF" w:themeColor="background1"/>
          <w:highlight w:val="darkBlue"/>
          <w:u w:val="single"/>
        </w:rPr>
        <w:t>*En caso de que la entidad este aplicando aun el método de Promedio Ponderado y esté en proceso de trasladarse a PEPS, deben revelar el impacto financiero al ajustar el cambio de política.</w:t>
      </w:r>
    </w:p>
    <w:p w14:paraId="1D075CFF" w14:textId="77777777" w:rsidR="00330ADC" w:rsidRDefault="005D574A" w:rsidP="00330ADC">
      <w:pPr>
        <w:spacing w:after="0" w:line="240" w:lineRule="auto"/>
        <w:rPr>
          <w:b/>
          <w:bCs/>
          <w:lang w:eastAsia="es-CR"/>
        </w:rPr>
      </w:pPr>
      <w:r w:rsidRPr="005D574A">
        <w:rPr>
          <w:rFonts w:eastAsia="Calibri" w:cs="Times New Roman"/>
          <w:lang w:val="es-MX"/>
        </w:rPr>
        <w:t>________________________________________________________________________________________________________________________________________________________________________________________________________________________________________________</w:t>
      </w:r>
      <w:bookmarkStart w:id="46" w:name="_Toc54961679"/>
      <w:bookmarkStart w:id="47" w:name="_Toc82768875"/>
      <w:r w:rsidR="00330ADC" w:rsidRPr="00330ADC">
        <w:rPr>
          <w:b/>
          <w:bCs/>
          <w:lang w:eastAsia="es-CR"/>
        </w:rPr>
        <w:t xml:space="preserve"> </w:t>
      </w:r>
    </w:p>
    <w:p w14:paraId="6B8BEAD9" w14:textId="77777777" w:rsidR="00330ADC" w:rsidRDefault="00330ADC" w:rsidP="00330ADC">
      <w:pPr>
        <w:spacing w:after="0" w:line="240" w:lineRule="auto"/>
        <w:rPr>
          <w:b/>
          <w:bCs/>
          <w:lang w:eastAsia="es-CR"/>
        </w:rPr>
      </w:pPr>
    </w:p>
    <w:p w14:paraId="1BB5A354" w14:textId="3E87671F" w:rsidR="00330ADC" w:rsidRPr="002D6330" w:rsidRDefault="00330ADC" w:rsidP="00330ADC">
      <w:pPr>
        <w:spacing w:after="0" w:line="240" w:lineRule="auto"/>
        <w:rPr>
          <w:b/>
          <w:bCs/>
          <w:lang w:eastAsia="es-CR"/>
        </w:rPr>
      </w:pPr>
      <w:r w:rsidRPr="002D6330">
        <w:rPr>
          <w:b/>
          <w:bCs/>
          <w:lang w:eastAsia="es-CR"/>
        </w:rPr>
        <w:t>Adopción de la dispensa de tres años concedida en la NICSP 33</w:t>
      </w:r>
    </w:p>
    <w:p w14:paraId="22477E12" w14:textId="77777777" w:rsidR="00330ADC" w:rsidRDefault="00330ADC" w:rsidP="00330ADC">
      <w:pPr>
        <w:spacing w:after="0" w:line="240" w:lineRule="auto"/>
        <w:rPr>
          <w:lang w:eastAsia="es-CR"/>
        </w:rPr>
      </w:pPr>
    </w:p>
    <w:p w14:paraId="2BBC46FE" w14:textId="77777777" w:rsidR="00330ADC" w:rsidRDefault="00330ADC" w:rsidP="00330ADC">
      <w:pPr>
        <w:spacing w:after="0" w:line="240" w:lineRule="auto"/>
        <w:rPr>
          <w:lang w:eastAsia="es-CR"/>
        </w:rPr>
      </w:pPr>
      <w:bookmarkStart w:id="48" w:name="_Hlk158793451"/>
      <w:r>
        <w:rPr>
          <w:lang w:eastAsia="es-CR"/>
        </w:rPr>
        <w:t>La Municipalidad se acogió al periodo de dispensa transitorio de tres años para el reconocimiento o medición de activos o pasivos que proporciona la NICSP 33 en los párrafos 36 a 62, el cual finaliza el 31 de diciembre de 2024. Durante este periodo la Municipalidad se encuentra realizando un proceso de cierre de brechas, con el fin de lograr cumplir con los requerimientos exigidos por la NICSP 12 y lograr presentar información razonable sobre los inventarios que posee.</w:t>
      </w:r>
    </w:p>
    <w:p w14:paraId="70FC3891" w14:textId="77777777" w:rsidR="00330ADC" w:rsidRDefault="00330ADC" w:rsidP="00330ADC">
      <w:pPr>
        <w:spacing w:after="0" w:line="240" w:lineRule="auto"/>
        <w:rPr>
          <w:lang w:eastAsia="es-CR"/>
        </w:rPr>
      </w:pPr>
    </w:p>
    <w:p w14:paraId="1712F8A8" w14:textId="77777777" w:rsidR="00330ADC" w:rsidRPr="00AB7075" w:rsidRDefault="00330ADC" w:rsidP="00330ADC">
      <w:pPr>
        <w:spacing w:after="0" w:line="240" w:lineRule="auto"/>
        <w:rPr>
          <w:lang w:eastAsia="es-CR"/>
        </w:rPr>
      </w:pPr>
      <w:r>
        <w:rPr>
          <w:lang w:eastAsia="es-CR"/>
        </w:rPr>
        <w:t>Como parte del proceso de implementación s</w:t>
      </w:r>
      <w:r w:rsidRPr="00AB7075">
        <w:rPr>
          <w:lang w:eastAsia="es-CR"/>
        </w:rPr>
        <w:t xml:space="preserve">e está en proceso de elaboración de lineamientos internos para fortalecer el control de los inventarios de materiales y suministros.  De momento, para establecer el </w:t>
      </w:r>
      <w:r>
        <w:rPr>
          <w:lang w:eastAsia="es-CR"/>
        </w:rPr>
        <w:t>costo</w:t>
      </w:r>
      <w:r w:rsidRPr="00AB7075">
        <w:rPr>
          <w:lang w:eastAsia="es-CR"/>
        </w:rPr>
        <w:t xml:space="preserve"> de los materiales y suministros</w:t>
      </w:r>
      <w:r>
        <w:rPr>
          <w:lang w:eastAsia="es-CR"/>
        </w:rPr>
        <w:t xml:space="preserve"> en inventario se emplea el sistema de inventario periódico, con ese fin, </w:t>
      </w:r>
      <w:r w:rsidRPr="00AB7075">
        <w:rPr>
          <w:lang w:eastAsia="es-CR"/>
        </w:rPr>
        <w:t xml:space="preserve">se elaboraron formularios de uso común obligatorio para que todas las unidades usuarias que mantienen existencias en inventario </w:t>
      </w:r>
      <w:r>
        <w:rPr>
          <w:lang w:eastAsia="es-CR"/>
        </w:rPr>
        <w:t>lleven un control de</w:t>
      </w:r>
      <w:r w:rsidRPr="00AB7075">
        <w:rPr>
          <w:lang w:eastAsia="es-CR"/>
        </w:rPr>
        <w:t xml:space="preserve"> los movimientos</w:t>
      </w:r>
      <w:r>
        <w:rPr>
          <w:lang w:eastAsia="es-CR"/>
        </w:rPr>
        <w:t xml:space="preserve"> de entrada y salida de bienes, así como sobre </w:t>
      </w:r>
      <w:r w:rsidRPr="00AB7075">
        <w:rPr>
          <w:lang w:eastAsia="es-CR"/>
        </w:rPr>
        <w:t xml:space="preserve">las cantidades </w:t>
      </w:r>
      <w:r>
        <w:rPr>
          <w:lang w:eastAsia="es-CR"/>
        </w:rPr>
        <w:t xml:space="preserve">en existencia, y con base en esta información se procede a realizar </w:t>
      </w:r>
      <w:r w:rsidRPr="00AB7075">
        <w:rPr>
          <w:lang w:eastAsia="es-CR"/>
        </w:rPr>
        <w:t xml:space="preserve">la valuación de </w:t>
      </w:r>
      <w:r>
        <w:rPr>
          <w:lang w:eastAsia="es-CR"/>
        </w:rPr>
        <w:t>los inventarios a la fecha de presentación de EEFF.</w:t>
      </w:r>
    </w:p>
    <w:p w14:paraId="4DDA00C0" w14:textId="77777777" w:rsidR="00330ADC" w:rsidRPr="005C6BF2" w:rsidRDefault="00330ADC" w:rsidP="00330ADC">
      <w:pPr>
        <w:spacing w:after="0" w:line="240" w:lineRule="auto"/>
        <w:rPr>
          <w:lang w:eastAsia="es-CR"/>
        </w:rPr>
      </w:pPr>
    </w:p>
    <w:p w14:paraId="3F5B96AC" w14:textId="77777777" w:rsidR="00330ADC" w:rsidRPr="005C6BF2" w:rsidRDefault="00330ADC" w:rsidP="00330ADC">
      <w:pPr>
        <w:spacing w:after="0" w:line="240" w:lineRule="auto"/>
        <w:rPr>
          <w:lang w:eastAsia="es-CR"/>
        </w:rPr>
      </w:pPr>
      <w:r w:rsidRPr="005C6BF2">
        <w:rPr>
          <w:lang w:eastAsia="es-CR"/>
        </w:rPr>
        <w:t>Por otra parte, con el objetivo de fortalecer la administración de los inventarios de materiales y suministros de limpieza, se está trabajando en el establecimiento de las políticas para regular lo atinente a la medición, valuación y presentación de los bienes en inventario, tratar las bajas de inventario; además, se implementarán los procedimientos requeridos sustentados en métodos de aceptación general y considerando lo normado en la NICSP 12, en la Ley General de Control Interno y en las Normas de Control Interno para el Sector Público.</w:t>
      </w:r>
    </w:p>
    <w:bookmarkEnd w:id="48"/>
    <w:p w14:paraId="37B024EB" w14:textId="77777777" w:rsidR="00330ADC" w:rsidRDefault="00330ADC" w:rsidP="00330ADC">
      <w:pPr>
        <w:spacing w:after="0" w:line="240" w:lineRule="auto"/>
        <w:rPr>
          <w:lang w:eastAsia="es-CR"/>
        </w:rPr>
      </w:pPr>
    </w:p>
    <w:p w14:paraId="7B851C71" w14:textId="77777777" w:rsidR="00330ADC" w:rsidRPr="00745EB9" w:rsidRDefault="00330ADC" w:rsidP="00330ADC">
      <w:pPr>
        <w:spacing w:after="0" w:line="240" w:lineRule="auto"/>
        <w:rPr>
          <w:b/>
          <w:bCs/>
          <w:lang w:eastAsia="es-CR"/>
        </w:rPr>
      </w:pPr>
      <w:r w:rsidRPr="00745EB9">
        <w:rPr>
          <w:b/>
          <w:bCs/>
          <w:lang w:eastAsia="es-CR"/>
        </w:rPr>
        <w:t>Principales Políticas</w:t>
      </w:r>
    </w:p>
    <w:p w14:paraId="3CA1096C" w14:textId="77777777" w:rsidR="00330ADC" w:rsidRDefault="00330ADC" w:rsidP="00330ADC">
      <w:pPr>
        <w:spacing w:after="0" w:line="240" w:lineRule="auto"/>
        <w:rPr>
          <w:lang w:eastAsia="es-CR"/>
        </w:rPr>
      </w:pPr>
    </w:p>
    <w:p w14:paraId="08F33D25" w14:textId="77777777" w:rsidR="00330ADC" w:rsidRDefault="00330ADC" w:rsidP="00330ADC">
      <w:pPr>
        <w:spacing w:after="0" w:line="240" w:lineRule="auto"/>
        <w:rPr>
          <w:lang w:eastAsia="es-CR"/>
        </w:rPr>
      </w:pPr>
      <w:r>
        <w:rPr>
          <w:lang w:eastAsia="es-CR"/>
        </w:rPr>
        <w:t>La Municipalidad de Buenos Aires adoptó como políticas contables las siguientes:</w:t>
      </w:r>
    </w:p>
    <w:p w14:paraId="767D5DCD" w14:textId="77777777" w:rsidR="00330ADC" w:rsidRDefault="00330ADC" w:rsidP="00330ADC">
      <w:pPr>
        <w:spacing w:after="0" w:line="240" w:lineRule="auto"/>
        <w:rPr>
          <w:lang w:eastAsia="es-CR"/>
        </w:rPr>
      </w:pPr>
    </w:p>
    <w:p w14:paraId="42846581" w14:textId="77777777" w:rsidR="00330ADC" w:rsidRDefault="00330ADC" w:rsidP="00330ADC">
      <w:pPr>
        <w:spacing w:after="0" w:line="240" w:lineRule="auto"/>
        <w:rPr>
          <w:lang w:eastAsia="es-CR"/>
        </w:rPr>
      </w:pPr>
      <w:r>
        <w:rPr>
          <w:lang w:eastAsia="es-CR"/>
        </w:rPr>
        <w:t>Los inventarios se miden al costo o valor realizable neto, el que sea menor. Los bienes adquiridos a través de una transacción sin contraprestación se medirán a su valor razonable a la fecha de adquisición y aquellos por distribuir sin contraprestación a cambio, o por una contraprestación insignificante se medirán al menor valor entre el costo y el costo corriente. Los inventarios recibidos por un valor ínfimo o nulo (sin contraprestación) se medirán por su valor razonable a la fecha de ingreso del activo.</w:t>
      </w:r>
    </w:p>
    <w:p w14:paraId="6C36CC38" w14:textId="77777777" w:rsidR="00330ADC" w:rsidRDefault="00330ADC" w:rsidP="00330ADC">
      <w:pPr>
        <w:spacing w:after="0" w:line="240" w:lineRule="auto"/>
        <w:rPr>
          <w:lang w:eastAsia="es-CR"/>
        </w:rPr>
      </w:pPr>
    </w:p>
    <w:p w14:paraId="0D456FB1" w14:textId="77777777" w:rsidR="00330ADC" w:rsidRDefault="00330ADC" w:rsidP="00330ADC">
      <w:pPr>
        <w:spacing w:after="0" w:line="240" w:lineRule="auto"/>
        <w:rPr>
          <w:lang w:eastAsia="es-CR"/>
        </w:rPr>
      </w:pPr>
      <w:r>
        <w:rPr>
          <w:lang w:eastAsia="es-CR"/>
        </w:rPr>
        <w:t xml:space="preserve">El valor de los inventarios incluirá el precio de compra, los aranceles de importación y otros impuestos no recuperables por la Municipalidad, los transportes, el almacenamiento y otros costos directamente atribuibles a la adquisición. Los descuentos comerciales, rebajas y otros rubros similares se deducirán del costo de adquisición.  </w:t>
      </w:r>
    </w:p>
    <w:p w14:paraId="3BDA89C8" w14:textId="77777777" w:rsidR="00330ADC" w:rsidRDefault="00330ADC" w:rsidP="00330ADC">
      <w:pPr>
        <w:spacing w:after="0" w:line="240" w:lineRule="auto"/>
        <w:rPr>
          <w:lang w:eastAsia="es-CR"/>
        </w:rPr>
      </w:pPr>
    </w:p>
    <w:p w14:paraId="49E48523" w14:textId="77777777" w:rsidR="00330ADC" w:rsidRDefault="00330ADC" w:rsidP="00330ADC">
      <w:pPr>
        <w:spacing w:after="0" w:line="240" w:lineRule="auto"/>
        <w:rPr>
          <w:lang w:eastAsia="es-CR"/>
        </w:rPr>
      </w:pPr>
      <w:r>
        <w:rPr>
          <w:lang w:eastAsia="es-CR"/>
        </w:rPr>
        <w:t>Los inventarios cuyos beneficios o potencial de servicios futuros no estén directamente relacionados con la capacidad de generar entradas netas de efectivo se medirán al costo de reposición o a una estimación de este en caso de no existir un mercado de intercambio de estos.</w:t>
      </w:r>
    </w:p>
    <w:p w14:paraId="5ED4747E" w14:textId="77777777" w:rsidR="00330ADC" w:rsidRDefault="00330ADC" w:rsidP="00330ADC">
      <w:pPr>
        <w:spacing w:after="0" w:line="240" w:lineRule="auto"/>
        <w:rPr>
          <w:lang w:eastAsia="es-CR"/>
        </w:rPr>
      </w:pPr>
    </w:p>
    <w:p w14:paraId="1785EB61" w14:textId="77777777" w:rsidR="00330ADC" w:rsidRDefault="00330ADC" w:rsidP="00330ADC">
      <w:pPr>
        <w:tabs>
          <w:tab w:val="left" w:pos="1600"/>
        </w:tabs>
        <w:spacing w:after="0" w:line="240" w:lineRule="auto"/>
        <w:rPr>
          <w:lang w:eastAsia="es-CR"/>
        </w:rPr>
      </w:pPr>
      <w:r>
        <w:rPr>
          <w:lang w:eastAsia="es-CR"/>
        </w:rPr>
        <w:t>El costo de los inventarios incluirá todos los costos derivados de su adquisición y transformación, así como los otros costos en los que se haya incurrido para darles su condición y ubicación actuales. En ningún caso se procederá a capitalizar los costos por préstamos, por lo que se afectarán íntegramente a los resultados del ejercicio en que se incurran.</w:t>
      </w:r>
    </w:p>
    <w:p w14:paraId="07A3A768" w14:textId="77777777" w:rsidR="00330ADC" w:rsidRDefault="00330ADC" w:rsidP="00330ADC">
      <w:pPr>
        <w:tabs>
          <w:tab w:val="left" w:pos="1600"/>
        </w:tabs>
        <w:spacing w:after="0" w:line="240" w:lineRule="auto"/>
        <w:rPr>
          <w:lang w:eastAsia="es-CR"/>
        </w:rPr>
      </w:pPr>
    </w:p>
    <w:p w14:paraId="2C59F8FB" w14:textId="77777777" w:rsidR="00330ADC" w:rsidRDefault="00330ADC" w:rsidP="00330ADC">
      <w:pPr>
        <w:tabs>
          <w:tab w:val="left" w:pos="1600"/>
        </w:tabs>
        <w:spacing w:after="0" w:line="240" w:lineRule="auto"/>
        <w:rPr>
          <w:lang w:eastAsia="es-CR"/>
        </w:rPr>
      </w:pPr>
      <w:r>
        <w:rPr>
          <w:lang w:eastAsia="es-CR"/>
        </w:rPr>
        <w:t>El costo de los inventarios se asignará utilizando el método “Primera Entrada Primera Salida” (PEPS), el cual supone que los productos en inventario que fueron comprados o producidos antes, serán consumidos o vendidos en primer lugar, y consecuentemente, los productos que quedan en el inventario al final del periodo serán los producidos o comprados recientemente.</w:t>
      </w:r>
    </w:p>
    <w:p w14:paraId="12B17181" w14:textId="77777777" w:rsidR="00330ADC" w:rsidRDefault="00330ADC" w:rsidP="00330ADC">
      <w:pPr>
        <w:tabs>
          <w:tab w:val="left" w:pos="1600"/>
        </w:tabs>
        <w:spacing w:after="0" w:line="240" w:lineRule="auto"/>
        <w:rPr>
          <w:lang w:eastAsia="es-CR"/>
        </w:rPr>
      </w:pPr>
    </w:p>
    <w:p w14:paraId="3C5C1DCE" w14:textId="77777777" w:rsidR="00330ADC" w:rsidRDefault="00330ADC" w:rsidP="00330ADC">
      <w:pPr>
        <w:tabs>
          <w:tab w:val="left" w:pos="1600"/>
        </w:tabs>
        <w:spacing w:after="0" w:line="240" w:lineRule="auto"/>
        <w:rPr>
          <w:lang w:eastAsia="es-CR"/>
        </w:rPr>
      </w:pPr>
      <w:r>
        <w:rPr>
          <w:lang w:eastAsia="es-CR"/>
        </w:rPr>
        <w:t>Cuando los inventarios se distribuyen o consumen en las operaciones normales de la Municipalidad o se preste un servicio, se reconocerá como un gasto. El importe de cualquier rebaja en los inventarios y todas las pérdidas en los mismos, se reconocerá como un gasto en el periodo en que tenga lugar la rebaja. En caso de presentarse una reversión de las rebajas de inventario se registrará con cargo a los inventarios y como un menor gasto en el periodo que tenga lugar la reversión.</w:t>
      </w:r>
    </w:p>
    <w:p w14:paraId="34F04DAA" w14:textId="77777777" w:rsidR="00330ADC" w:rsidRDefault="00330ADC" w:rsidP="00330ADC">
      <w:pPr>
        <w:tabs>
          <w:tab w:val="left" w:pos="1600"/>
        </w:tabs>
        <w:spacing w:after="0" w:line="240" w:lineRule="auto"/>
        <w:rPr>
          <w:lang w:eastAsia="es-CR"/>
        </w:rPr>
      </w:pPr>
    </w:p>
    <w:p w14:paraId="01E046D5" w14:textId="77777777" w:rsidR="00330ADC" w:rsidRDefault="00330ADC" w:rsidP="00330ADC">
      <w:pPr>
        <w:tabs>
          <w:tab w:val="left" w:pos="1600"/>
        </w:tabs>
        <w:spacing w:after="0" w:line="240" w:lineRule="auto"/>
        <w:rPr>
          <w:lang w:eastAsia="es-CR"/>
        </w:rPr>
      </w:pPr>
      <w:r>
        <w:rPr>
          <w:lang w:eastAsia="es-CR"/>
        </w:rPr>
        <w:t xml:space="preserve">No se reconocerán como parte de los inventarios aquellos bienes sobre los que exista alguna pignoración </w:t>
      </w:r>
      <w:r w:rsidRPr="00AB7075">
        <w:rPr>
          <w:lang w:eastAsia="es-CR"/>
        </w:rPr>
        <w:t>o que se hayan dado en garantía de deudas contraídas con terceros</w:t>
      </w:r>
      <w:r>
        <w:rPr>
          <w:lang w:eastAsia="es-CR"/>
        </w:rPr>
        <w:t xml:space="preserve"> por la municipalidad y deberá revelarse esa situación detalladamente en las notas a los EEFF.</w:t>
      </w:r>
    </w:p>
    <w:p w14:paraId="140A0537" w14:textId="77777777" w:rsidR="00330ADC" w:rsidRDefault="00330ADC" w:rsidP="00330ADC">
      <w:pPr>
        <w:tabs>
          <w:tab w:val="left" w:pos="1600"/>
        </w:tabs>
        <w:spacing w:after="0" w:line="240" w:lineRule="auto"/>
        <w:rPr>
          <w:lang w:eastAsia="es-CR"/>
        </w:rPr>
      </w:pPr>
    </w:p>
    <w:p w14:paraId="5F76CC6C" w14:textId="22E1FD30" w:rsidR="00330ADC" w:rsidRPr="003D0479" w:rsidRDefault="00B456AC" w:rsidP="00330ADC">
      <w:pPr>
        <w:tabs>
          <w:tab w:val="left" w:pos="1600"/>
        </w:tabs>
        <w:spacing w:after="0" w:line="240" w:lineRule="auto"/>
        <w:rPr>
          <w:b/>
          <w:bCs/>
          <w:lang w:eastAsia="es-CR"/>
        </w:rPr>
      </w:pPr>
      <w:r>
        <w:rPr>
          <w:b/>
          <w:bCs/>
          <w:lang w:eastAsia="es-CR"/>
        </w:rPr>
        <w:t>Otras revelacion</w:t>
      </w:r>
    </w:p>
    <w:p w14:paraId="6B8D39FA" w14:textId="77777777" w:rsidR="00330ADC" w:rsidRDefault="00330ADC" w:rsidP="00330ADC">
      <w:pPr>
        <w:tabs>
          <w:tab w:val="left" w:pos="1600"/>
        </w:tabs>
        <w:spacing w:after="0" w:line="240" w:lineRule="auto"/>
        <w:rPr>
          <w:lang w:eastAsia="es-CR"/>
        </w:rPr>
      </w:pPr>
    </w:p>
    <w:p w14:paraId="23F6177F" w14:textId="77777777" w:rsidR="00330ADC" w:rsidRPr="00AB7075" w:rsidRDefault="00330ADC" w:rsidP="00330ADC">
      <w:pPr>
        <w:spacing w:after="0" w:line="240" w:lineRule="auto"/>
        <w:rPr>
          <w:lang w:eastAsia="es-CR"/>
        </w:rPr>
      </w:pPr>
      <w:r w:rsidRPr="00AB7075">
        <w:rPr>
          <w:lang w:eastAsia="es-CR"/>
        </w:rPr>
        <w:t xml:space="preserve">El inventario que se lleva en la Municipalidad de Buenos Aires corresponde en gran parte a </w:t>
      </w:r>
      <w:r>
        <w:rPr>
          <w:lang w:eastAsia="es-CR"/>
        </w:rPr>
        <w:t>Combustibles y lubricantes (</w:t>
      </w:r>
      <w:r w:rsidRPr="00AB666C">
        <w:rPr>
          <w:rFonts w:ascii="Arial" w:eastAsia="Times New Roman" w:hAnsi="Arial" w:cs="Arial"/>
          <w:color w:val="000000"/>
          <w:sz w:val="20"/>
          <w:szCs w:val="20"/>
        </w:rPr>
        <w:t>₡</w:t>
      </w:r>
      <w:r>
        <w:rPr>
          <w:lang w:eastAsia="es-CR"/>
        </w:rPr>
        <w:t>21 280,50 miles), Materiales y productos metálicos (</w:t>
      </w:r>
      <w:r w:rsidRPr="00AB666C">
        <w:rPr>
          <w:rFonts w:ascii="Arial" w:eastAsia="Times New Roman" w:hAnsi="Arial" w:cs="Arial"/>
          <w:color w:val="000000"/>
          <w:sz w:val="20"/>
          <w:szCs w:val="20"/>
        </w:rPr>
        <w:t>₡</w:t>
      </w:r>
      <w:r>
        <w:rPr>
          <w:lang w:eastAsia="es-CR"/>
        </w:rPr>
        <w:t>25 238,70 miles) y Repuestos y accesorios nuevos (</w:t>
      </w:r>
      <w:r w:rsidRPr="00AB666C">
        <w:rPr>
          <w:rFonts w:ascii="Arial" w:eastAsia="Times New Roman" w:hAnsi="Arial" w:cs="Arial"/>
          <w:color w:val="000000"/>
          <w:sz w:val="20"/>
          <w:szCs w:val="20"/>
        </w:rPr>
        <w:t>₡</w:t>
      </w:r>
      <w:r>
        <w:rPr>
          <w:lang w:eastAsia="es-CR"/>
        </w:rPr>
        <w:t>130 044,37 miles)</w:t>
      </w:r>
      <w:r w:rsidRPr="00AB7075">
        <w:rPr>
          <w:lang w:eastAsia="es-CR"/>
        </w:rPr>
        <w:t xml:space="preserve">, si bien el control de este está centralizado en el Departamento de Proveeduría, algunas unidades municipales mantienen bajo su custodia y administran las existencias de algunos de esos bienes, los cuales son consumidos por cada una de ellas.  </w:t>
      </w:r>
      <w:r>
        <w:rPr>
          <w:lang w:eastAsia="es-CR"/>
        </w:rPr>
        <w:t xml:space="preserve">El detalle de la composición de los inventarios por tipo de bien y por Unidades que los mantienen se consigna en la </w:t>
      </w:r>
      <w:r w:rsidRPr="000A3C75">
        <w:rPr>
          <w:b/>
          <w:bCs/>
          <w:lang w:eastAsia="es-CR"/>
        </w:rPr>
        <w:t>Nota Nº 6</w:t>
      </w:r>
      <w:r>
        <w:rPr>
          <w:b/>
          <w:bCs/>
          <w:lang w:eastAsia="es-CR"/>
        </w:rPr>
        <w:t xml:space="preserve">. </w:t>
      </w:r>
      <w:r w:rsidRPr="000A3C75">
        <w:rPr>
          <w:b/>
          <w:bCs/>
          <w:lang w:eastAsia="es-CR"/>
        </w:rPr>
        <w:t xml:space="preserve"> Inventario</w:t>
      </w:r>
      <w:r>
        <w:rPr>
          <w:b/>
          <w:bCs/>
          <w:lang w:eastAsia="es-CR"/>
        </w:rPr>
        <w:t>s</w:t>
      </w:r>
      <w:r>
        <w:rPr>
          <w:lang w:eastAsia="es-CR"/>
        </w:rPr>
        <w:t>.</w:t>
      </w:r>
    </w:p>
    <w:p w14:paraId="32F0175D" w14:textId="77777777" w:rsidR="00330ADC" w:rsidRPr="00AB7075" w:rsidRDefault="00330ADC" w:rsidP="00330ADC">
      <w:pPr>
        <w:spacing w:after="0" w:line="240" w:lineRule="auto"/>
        <w:rPr>
          <w:lang w:eastAsia="es-CR"/>
        </w:rPr>
      </w:pPr>
    </w:p>
    <w:p w14:paraId="3FBD156A" w14:textId="77777777" w:rsidR="00330ADC" w:rsidRPr="00AB7075" w:rsidRDefault="00330ADC" w:rsidP="00330ADC">
      <w:pPr>
        <w:spacing w:after="0" w:line="240" w:lineRule="auto"/>
        <w:rPr>
          <w:lang w:eastAsia="es-CR"/>
        </w:rPr>
      </w:pPr>
      <w:r>
        <w:rPr>
          <w:lang w:eastAsia="es-CR"/>
        </w:rPr>
        <w:t>Durante el periodo informado l</w:t>
      </w:r>
      <w:r w:rsidRPr="00AB7075">
        <w:rPr>
          <w:lang w:eastAsia="es-CR"/>
        </w:rPr>
        <w:t xml:space="preserve">os inventarios se </w:t>
      </w:r>
      <w:r>
        <w:rPr>
          <w:lang w:eastAsia="es-CR"/>
        </w:rPr>
        <w:t>midieron</w:t>
      </w:r>
      <w:r w:rsidRPr="00AB7075">
        <w:rPr>
          <w:lang w:eastAsia="es-CR"/>
        </w:rPr>
        <w:t xml:space="preserve"> al costo o al valor realizable neto el que sea menor y se consideran las excepciones aprobadas por la DGCN. Asimismo, los bienes los bienes que se </w:t>
      </w:r>
      <w:r>
        <w:rPr>
          <w:lang w:eastAsia="es-CR"/>
        </w:rPr>
        <w:t>utilizaron</w:t>
      </w:r>
      <w:r w:rsidRPr="00AB7075">
        <w:rPr>
          <w:lang w:eastAsia="es-CR"/>
        </w:rPr>
        <w:t xml:space="preserve"> en una transacción sin contraprestación o por una contraprestación simbólica se </w:t>
      </w:r>
      <w:r>
        <w:rPr>
          <w:lang w:eastAsia="es-CR"/>
        </w:rPr>
        <w:t>midieron</w:t>
      </w:r>
      <w:r w:rsidRPr="00AB7075">
        <w:rPr>
          <w:lang w:eastAsia="es-CR"/>
        </w:rPr>
        <w:t xml:space="preserve"> al costo; y los bienes que se </w:t>
      </w:r>
      <w:r>
        <w:rPr>
          <w:lang w:eastAsia="es-CR"/>
        </w:rPr>
        <w:t>consumieron</w:t>
      </w:r>
      <w:r w:rsidRPr="00AB7075">
        <w:rPr>
          <w:lang w:eastAsia="es-CR"/>
        </w:rPr>
        <w:t xml:space="preserve"> en la prestación de servicios se </w:t>
      </w:r>
      <w:r>
        <w:rPr>
          <w:lang w:eastAsia="es-CR"/>
        </w:rPr>
        <w:t>midieron</w:t>
      </w:r>
      <w:r w:rsidRPr="00AB7075">
        <w:rPr>
          <w:lang w:eastAsia="es-CR"/>
        </w:rPr>
        <w:t xml:space="preserve"> al costo</w:t>
      </w:r>
      <w:r>
        <w:rPr>
          <w:lang w:eastAsia="es-CR"/>
        </w:rPr>
        <w:t>.</w:t>
      </w:r>
    </w:p>
    <w:p w14:paraId="53EB5A0D" w14:textId="77777777" w:rsidR="00330ADC" w:rsidRPr="00AB7075" w:rsidRDefault="00330ADC" w:rsidP="00330ADC">
      <w:pPr>
        <w:spacing w:after="0" w:line="240" w:lineRule="auto"/>
        <w:rPr>
          <w:lang w:eastAsia="es-CR"/>
        </w:rPr>
      </w:pPr>
    </w:p>
    <w:p w14:paraId="06EA76B3" w14:textId="77777777" w:rsidR="00330ADC" w:rsidRPr="00AB7075" w:rsidRDefault="00330ADC" w:rsidP="00330ADC">
      <w:pPr>
        <w:spacing w:after="0" w:line="240" w:lineRule="auto"/>
        <w:rPr>
          <w:lang w:eastAsia="es-CR"/>
        </w:rPr>
      </w:pPr>
      <w:r>
        <w:rPr>
          <w:lang w:eastAsia="es-CR"/>
        </w:rPr>
        <w:t>Por otra parte, d</w:t>
      </w:r>
      <w:r w:rsidRPr="00AB7075">
        <w:rPr>
          <w:lang w:eastAsia="es-CR"/>
        </w:rPr>
        <w:t xml:space="preserve">urante el </w:t>
      </w:r>
      <w:r>
        <w:rPr>
          <w:lang w:eastAsia="es-CR"/>
        </w:rPr>
        <w:t>año 2023</w:t>
      </w:r>
      <w:r w:rsidRPr="00AB7075">
        <w:rPr>
          <w:lang w:eastAsia="es-CR"/>
        </w:rPr>
        <w:t xml:space="preserve"> no se ha efectuado rebaja en el valor de los inventarios que haya sido reconocido como un gasto, ya que las circunstancias económicas se han mantenido estables. Además, porque el tipo de bienes que se mantienen en inventario son fundamentalmente para la operativa de las unidades administrativas de la Municipalidad y no para prestación de los servicios públicos que presta </w:t>
      </w:r>
      <w:r>
        <w:rPr>
          <w:lang w:eastAsia="es-CR"/>
        </w:rPr>
        <w:t>el Ayuntamiento</w:t>
      </w:r>
      <w:r w:rsidRPr="00AB7075">
        <w:rPr>
          <w:lang w:eastAsia="es-CR"/>
        </w:rPr>
        <w:t>. Además, tampoco se ha efectuado la reversión de rebajas en inventarios.</w:t>
      </w:r>
    </w:p>
    <w:p w14:paraId="6BD85990" w14:textId="77777777" w:rsidR="00330ADC" w:rsidRPr="00AB7075" w:rsidRDefault="00330ADC" w:rsidP="00330ADC">
      <w:pPr>
        <w:spacing w:after="0" w:line="240" w:lineRule="auto"/>
        <w:rPr>
          <w:lang w:eastAsia="es-CR"/>
        </w:rPr>
      </w:pPr>
    </w:p>
    <w:p w14:paraId="65F0CD6A" w14:textId="585EB573" w:rsidR="00330ADC" w:rsidRDefault="00330ADC" w:rsidP="00330ADC">
      <w:pPr>
        <w:spacing w:after="0" w:line="240" w:lineRule="auto"/>
        <w:rPr>
          <w:lang w:eastAsia="es-CR"/>
        </w:rPr>
      </w:pPr>
      <w:r>
        <w:rPr>
          <w:lang w:eastAsia="es-CR"/>
        </w:rPr>
        <w:t xml:space="preserve">Finalmente, al </w:t>
      </w:r>
      <w:r w:rsidR="00D470B6">
        <w:rPr>
          <w:lang w:eastAsia="es-CR"/>
        </w:rPr>
        <w:t>30 de junio</w:t>
      </w:r>
      <w:r w:rsidR="002D3D6C">
        <w:rPr>
          <w:lang w:eastAsia="es-CR"/>
        </w:rPr>
        <w:t xml:space="preserve"> de 2024</w:t>
      </w:r>
      <w:r>
        <w:rPr>
          <w:lang w:eastAsia="es-CR"/>
        </w:rPr>
        <w:t>, l</w:t>
      </w:r>
      <w:r w:rsidRPr="00AB7075">
        <w:rPr>
          <w:lang w:eastAsia="es-CR"/>
        </w:rPr>
        <w:t xml:space="preserve">a Municipalidad de Buenos </w:t>
      </w:r>
      <w:r>
        <w:rPr>
          <w:lang w:eastAsia="es-CR"/>
        </w:rPr>
        <w:t>A</w:t>
      </w:r>
      <w:r w:rsidRPr="00AB7075">
        <w:rPr>
          <w:lang w:eastAsia="es-CR"/>
        </w:rPr>
        <w:t>ires no posee inventarios pignorados o que se hayan dado en garantía de deudas contraídas con terceros</w:t>
      </w:r>
      <w:r w:rsidRPr="005C6BF2">
        <w:rPr>
          <w:lang w:eastAsia="es-CR"/>
        </w:rPr>
        <w:t>.</w:t>
      </w:r>
    </w:p>
    <w:p w14:paraId="62054F1F" w14:textId="77777777" w:rsidR="00330ADC" w:rsidRPr="005C6BF2" w:rsidRDefault="00330ADC" w:rsidP="00330ADC">
      <w:pPr>
        <w:spacing w:after="0" w:line="240" w:lineRule="auto"/>
        <w:rPr>
          <w:lang w:eastAsia="es-CR"/>
        </w:rPr>
      </w:pPr>
    </w:p>
    <w:p w14:paraId="00B93C85" w14:textId="49604CB4" w:rsidR="00330ADC" w:rsidRDefault="00330ADC" w:rsidP="00330ADC">
      <w:pPr>
        <w:spacing w:line="240" w:lineRule="auto"/>
        <w:rPr>
          <w:szCs w:val="24"/>
          <w:lang w:eastAsia="es-CR"/>
        </w:rPr>
      </w:pPr>
      <w:r>
        <w:rPr>
          <w:szCs w:val="24"/>
          <w:lang w:eastAsia="es-CR"/>
        </w:rPr>
        <w:t xml:space="preserve">De acuerdo con lo consignado en la Matriz de NICSP y Plan de Acción al </w:t>
      </w:r>
      <w:r w:rsidR="00D470B6">
        <w:rPr>
          <w:szCs w:val="24"/>
          <w:lang w:eastAsia="es-CR"/>
        </w:rPr>
        <w:t>30 de junio</w:t>
      </w:r>
      <w:r>
        <w:rPr>
          <w:szCs w:val="24"/>
          <w:lang w:eastAsia="es-CR"/>
        </w:rPr>
        <w:t xml:space="preserve"> se encuentra pendiente de implementar lo siguiente:</w:t>
      </w:r>
    </w:p>
    <w:tbl>
      <w:tblPr>
        <w:tblW w:w="8863" w:type="dxa"/>
        <w:tblLook w:val="04A0" w:firstRow="1" w:lastRow="0" w:firstColumn="1" w:lastColumn="0" w:noHBand="0" w:noVBand="1"/>
      </w:tblPr>
      <w:tblGrid>
        <w:gridCol w:w="7361"/>
        <w:gridCol w:w="1502"/>
      </w:tblGrid>
      <w:tr w:rsidR="00330ADC" w:rsidRPr="00031D3F" w14:paraId="56CD1DC1" w14:textId="77777777" w:rsidTr="004653E2">
        <w:trPr>
          <w:trHeight w:val="530"/>
        </w:trPr>
        <w:tc>
          <w:tcPr>
            <w:tcW w:w="736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D536F24" w14:textId="77777777" w:rsidR="00330ADC" w:rsidRPr="00031D3F" w:rsidRDefault="00330ADC" w:rsidP="004653E2">
            <w:pPr>
              <w:spacing w:after="0" w:line="240" w:lineRule="auto"/>
              <w:jc w:val="center"/>
              <w:rPr>
                <w:rFonts w:eastAsia="Times New Roman" w:cs="Calibri"/>
                <w:b/>
                <w:bCs/>
                <w:sz w:val="20"/>
                <w:szCs w:val="20"/>
                <w:lang w:val="en-US"/>
              </w:rPr>
            </w:pPr>
            <w:r w:rsidRPr="00031D3F">
              <w:rPr>
                <w:rFonts w:eastAsia="Times New Roman" w:cs="Calibri"/>
                <w:b/>
                <w:bCs/>
                <w:sz w:val="20"/>
                <w:szCs w:val="20"/>
                <w:lang w:val="en-US"/>
              </w:rPr>
              <w:t>Actividades Pendientes de Cumplimiento</w:t>
            </w:r>
          </w:p>
        </w:tc>
        <w:tc>
          <w:tcPr>
            <w:tcW w:w="1502" w:type="dxa"/>
            <w:tcBorders>
              <w:top w:val="single" w:sz="8" w:space="0" w:color="auto"/>
              <w:left w:val="nil"/>
              <w:bottom w:val="single" w:sz="4" w:space="0" w:color="auto"/>
              <w:right w:val="single" w:sz="8" w:space="0" w:color="auto"/>
            </w:tcBorders>
            <w:shd w:val="clear" w:color="000000" w:fill="FFFFFF"/>
            <w:vAlign w:val="bottom"/>
            <w:hideMark/>
          </w:tcPr>
          <w:p w14:paraId="64DB9417" w14:textId="77777777" w:rsidR="00330ADC" w:rsidRPr="00031D3F" w:rsidRDefault="00330ADC" w:rsidP="004653E2">
            <w:pPr>
              <w:spacing w:after="0" w:line="240" w:lineRule="auto"/>
              <w:jc w:val="center"/>
              <w:rPr>
                <w:rFonts w:eastAsia="Times New Roman" w:cs="Calibri"/>
                <w:b/>
                <w:bCs/>
                <w:color w:val="000000"/>
                <w:sz w:val="20"/>
                <w:szCs w:val="20"/>
                <w:lang w:val="en-US"/>
              </w:rPr>
            </w:pPr>
            <w:r w:rsidRPr="00031D3F">
              <w:rPr>
                <w:rFonts w:eastAsia="Times New Roman" w:cs="Calibri"/>
                <w:b/>
                <w:bCs/>
                <w:color w:val="000000"/>
                <w:sz w:val="20"/>
                <w:szCs w:val="20"/>
                <w:lang w:val="en-US"/>
              </w:rPr>
              <w:t>Fecha Estimada Cumplimiento</w:t>
            </w:r>
          </w:p>
        </w:tc>
      </w:tr>
      <w:tr w:rsidR="00330ADC" w:rsidRPr="00031D3F" w14:paraId="43005147" w14:textId="77777777" w:rsidTr="004653E2">
        <w:trPr>
          <w:trHeight w:val="780"/>
        </w:trPr>
        <w:tc>
          <w:tcPr>
            <w:tcW w:w="7361" w:type="dxa"/>
            <w:tcBorders>
              <w:top w:val="nil"/>
              <w:left w:val="single" w:sz="8" w:space="0" w:color="auto"/>
              <w:bottom w:val="single" w:sz="4" w:space="0" w:color="auto"/>
              <w:right w:val="single" w:sz="4" w:space="0" w:color="auto"/>
            </w:tcBorders>
            <w:shd w:val="clear" w:color="000000" w:fill="FFFFFF"/>
            <w:vAlign w:val="center"/>
            <w:hideMark/>
          </w:tcPr>
          <w:p w14:paraId="15FB686E" w14:textId="77777777" w:rsidR="00330ADC" w:rsidRPr="00031D3F" w:rsidRDefault="00330ADC" w:rsidP="004653E2">
            <w:pPr>
              <w:spacing w:after="0" w:line="240" w:lineRule="auto"/>
              <w:rPr>
                <w:rFonts w:eastAsia="Times New Roman" w:cs="Calibri"/>
                <w:sz w:val="20"/>
                <w:szCs w:val="20"/>
              </w:rPr>
            </w:pPr>
            <w:r w:rsidRPr="00031D3F">
              <w:rPr>
                <w:rFonts w:eastAsia="Times New Roman" w:cs="Calibri"/>
                <w:sz w:val="20"/>
                <w:szCs w:val="20"/>
              </w:rPr>
              <w:t>Realizar el registro de entradas y salidas de inventarios mediante el devengo (registrar las entradas cuando se reciben y los gastos cuando salen los bienes del inventario), según corresponda como indica la NICSP 12.</w:t>
            </w:r>
          </w:p>
        </w:tc>
        <w:tc>
          <w:tcPr>
            <w:tcW w:w="1502" w:type="dxa"/>
            <w:tcBorders>
              <w:top w:val="nil"/>
              <w:left w:val="nil"/>
              <w:bottom w:val="single" w:sz="4" w:space="0" w:color="auto"/>
              <w:right w:val="single" w:sz="8" w:space="0" w:color="auto"/>
            </w:tcBorders>
            <w:shd w:val="clear" w:color="000000" w:fill="FFFFFF"/>
            <w:noWrap/>
            <w:vAlign w:val="center"/>
            <w:hideMark/>
          </w:tcPr>
          <w:p w14:paraId="68E20C57" w14:textId="57A05BF9" w:rsidR="00330ADC" w:rsidRPr="00031D3F" w:rsidRDefault="004653E2" w:rsidP="004653E2">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31/12</w:t>
            </w:r>
            <w:r w:rsidR="00330ADC" w:rsidRPr="00031D3F">
              <w:rPr>
                <w:rFonts w:eastAsia="Times New Roman" w:cs="Calibri"/>
                <w:color w:val="000000"/>
                <w:sz w:val="20"/>
                <w:szCs w:val="20"/>
                <w:lang w:val="en-US"/>
              </w:rPr>
              <w:t>/24</w:t>
            </w:r>
          </w:p>
        </w:tc>
      </w:tr>
      <w:tr w:rsidR="004653E2" w:rsidRPr="00031D3F" w14:paraId="0AA8192A" w14:textId="77777777" w:rsidTr="004653E2">
        <w:trPr>
          <w:trHeight w:val="520"/>
        </w:trPr>
        <w:tc>
          <w:tcPr>
            <w:tcW w:w="7361" w:type="dxa"/>
            <w:tcBorders>
              <w:top w:val="nil"/>
              <w:left w:val="single" w:sz="8" w:space="0" w:color="auto"/>
              <w:bottom w:val="single" w:sz="4" w:space="0" w:color="auto"/>
              <w:right w:val="single" w:sz="4" w:space="0" w:color="auto"/>
            </w:tcBorders>
            <w:shd w:val="clear" w:color="auto" w:fill="auto"/>
            <w:vAlign w:val="center"/>
            <w:hideMark/>
          </w:tcPr>
          <w:p w14:paraId="7E3AEB4E" w14:textId="77777777" w:rsidR="004653E2" w:rsidRPr="00031D3F" w:rsidRDefault="004653E2" w:rsidP="004653E2">
            <w:pPr>
              <w:spacing w:after="0" w:line="240" w:lineRule="auto"/>
              <w:rPr>
                <w:rFonts w:eastAsia="Times New Roman" w:cs="Calibri"/>
                <w:sz w:val="20"/>
                <w:szCs w:val="20"/>
              </w:rPr>
            </w:pPr>
            <w:r w:rsidRPr="00031D3F">
              <w:rPr>
                <w:rFonts w:eastAsia="Times New Roman" w:cs="Calibri"/>
                <w:sz w:val="20"/>
                <w:szCs w:val="20"/>
              </w:rPr>
              <w:t>Establecer y oficializar los procedimientos pertinentes para un adecuado registro, control y administración de los bienes en inventario.</w:t>
            </w:r>
          </w:p>
        </w:tc>
        <w:tc>
          <w:tcPr>
            <w:tcW w:w="1502" w:type="dxa"/>
            <w:tcBorders>
              <w:top w:val="nil"/>
              <w:left w:val="nil"/>
              <w:bottom w:val="single" w:sz="4" w:space="0" w:color="auto"/>
              <w:right w:val="single" w:sz="8" w:space="0" w:color="auto"/>
            </w:tcBorders>
            <w:shd w:val="clear" w:color="000000" w:fill="FFFFFF"/>
            <w:noWrap/>
            <w:hideMark/>
          </w:tcPr>
          <w:p w14:paraId="3561F95C" w14:textId="6B10FE6F" w:rsidR="004653E2" w:rsidRPr="00031D3F" w:rsidRDefault="004653E2" w:rsidP="004653E2">
            <w:pPr>
              <w:spacing w:after="0" w:line="240" w:lineRule="auto"/>
              <w:jc w:val="center"/>
              <w:rPr>
                <w:rFonts w:eastAsia="Times New Roman" w:cs="Calibri"/>
                <w:color w:val="000000"/>
                <w:sz w:val="20"/>
                <w:szCs w:val="20"/>
                <w:lang w:val="en-US"/>
              </w:rPr>
            </w:pPr>
            <w:r w:rsidRPr="00456059">
              <w:rPr>
                <w:rFonts w:eastAsia="Times New Roman" w:cs="Calibri"/>
                <w:color w:val="000000"/>
                <w:sz w:val="20"/>
                <w:szCs w:val="20"/>
                <w:lang w:val="en-US"/>
              </w:rPr>
              <w:t>31/12/24</w:t>
            </w:r>
          </w:p>
        </w:tc>
      </w:tr>
      <w:tr w:rsidR="004653E2" w:rsidRPr="00031D3F" w14:paraId="2936CF6B" w14:textId="77777777" w:rsidTr="004653E2">
        <w:trPr>
          <w:trHeight w:val="520"/>
        </w:trPr>
        <w:tc>
          <w:tcPr>
            <w:tcW w:w="7361" w:type="dxa"/>
            <w:tcBorders>
              <w:top w:val="nil"/>
              <w:left w:val="single" w:sz="8" w:space="0" w:color="auto"/>
              <w:bottom w:val="single" w:sz="4" w:space="0" w:color="auto"/>
              <w:right w:val="single" w:sz="4" w:space="0" w:color="auto"/>
            </w:tcBorders>
            <w:shd w:val="clear" w:color="000000" w:fill="FFFFFF"/>
            <w:vAlign w:val="center"/>
            <w:hideMark/>
          </w:tcPr>
          <w:p w14:paraId="6DDA1275" w14:textId="77777777" w:rsidR="004653E2" w:rsidRPr="00031D3F" w:rsidRDefault="004653E2" w:rsidP="004653E2">
            <w:pPr>
              <w:spacing w:after="0" w:line="240" w:lineRule="auto"/>
              <w:rPr>
                <w:rFonts w:eastAsia="Times New Roman" w:cs="Calibri"/>
                <w:sz w:val="20"/>
                <w:szCs w:val="20"/>
              </w:rPr>
            </w:pPr>
            <w:r w:rsidRPr="00031D3F">
              <w:rPr>
                <w:rFonts w:eastAsia="Times New Roman" w:cs="Calibri"/>
                <w:sz w:val="20"/>
                <w:szCs w:val="20"/>
              </w:rPr>
              <w:t>Concluir con el proceso de revisión de las notas a los estados financieros y ajustar la información contenida en las notas, según lo establecido en la NICSP 12.</w:t>
            </w:r>
          </w:p>
        </w:tc>
        <w:tc>
          <w:tcPr>
            <w:tcW w:w="1502" w:type="dxa"/>
            <w:tcBorders>
              <w:top w:val="nil"/>
              <w:left w:val="nil"/>
              <w:bottom w:val="single" w:sz="4" w:space="0" w:color="auto"/>
              <w:right w:val="single" w:sz="8" w:space="0" w:color="auto"/>
            </w:tcBorders>
            <w:shd w:val="clear" w:color="000000" w:fill="FFFFFF"/>
            <w:noWrap/>
            <w:hideMark/>
          </w:tcPr>
          <w:p w14:paraId="6203072A" w14:textId="785B59F6" w:rsidR="004653E2" w:rsidRPr="00031D3F" w:rsidRDefault="004653E2" w:rsidP="004653E2">
            <w:pPr>
              <w:spacing w:after="0" w:line="240" w:lineRule="auto"/>
              <w:jc w:val="center"/>
              <w:rPr>
                <w:rFonts w:eastAsia="Times New Roman" w:cs="Calibri"/>
                <w:color w:val="000000"/>
                <w:sz w:val="20"/>
                <w:szCs w:val="20"/>
                <w:lang w:val="en-US"/>
              </w:rPr>
            </w:pPr>
            <w:r w:rsidRPr="00456059">
              <w:rPr>
                <w:rFonts w:eastAsia="Times New Roman" w:cs="Calibri"/>
                <w:color w:val="000000"/>
                <w:sz w:val="20"/>
                <w:szCs w:val="20"/>
                <w:lang w:val="en-US"/>
              </w:rPr>
              <w:t>31/12/24</w:t>
            </w:r>
          </w:p>
        </w:tc>
      </w:tr>
    </w:tbl>
    <w:p w14:paraId="36C00AB2" w14:textId="77777777" w:rsidR="00330ADC" w:rsidRDefault="00330ADC" w:rsidP="00330ADC">
      <w:pPr>
        <w:rPr>
          <w:b/>
          <w:u w:val="single"/>
          <w:lang w:eastAsia="es-CR"/>
        </w:rPr>
      </w:pPr>
    </w:p>
    <w:p w14:paraId="0CAAB033" w14:textId="77777777" w:rsidR="00330ADC" w:rsidRDefault="00330ADC" w:rsidP="00330ADC">
      <w:pPr>
        <w:rPr>
          <w:b/>
          <w:u w:val="single"/>
          <w:lang w:eastAsia="es-CR"/>
        </w:rPr>
      </w:pPr>
    </w:p>
    <w:p w14:paraId="44165230" w14:textId="00672BCE" w:rsidR="00D16DB1" w:rsidRPr="00A649A4" w:rsidRDefault="00D16DB1" w:rsidP="00330ADC">
      <w:pPr>
        <w:rPr>
          <w:rFonts w:eastAsia="Times New Roman"/>
          <w:lang w:eastAsia="es-CR"/>
        </w:rPr>
      </w:pPr>
      <w:r w:rsidRPr="00D16DB1">
        <w:rPr>
          <w:rFonts w:eastAsia="Times New Roman"/>
          <w:lang w:eastAsia="es-CR"/>
        </w:rPr>
        <w:t>NICSP 13 ARRENDAMIENTOS:</w:t>
      </w:r>
      <w:bookmarkEnd w:id="46"/>
      <w:bookmarkEnd w:id="47"/>
      <w:r w:rsidRPr="00D16DB1">
        <w:rPr>
          <w:rFonts w:eastAsia="Times New Roman"/>
          <w:lang w:eastAsia="es-CR"/>
        </w:rPr>
        <w:t xml:space="preserve"> </w:t>
      </w:r>
    </w:p>
    <w:p w14:paraId="456BF821" w14:textId="77777777" w:rsidR="00694299" w:rsidRDefault="00D16DB1" w:rsidP="00D16DB1">
      <w:pPr>
        <w:rPr>
          <w:rFonts w:asciiTheme="minorHAnsi" w:hAnsiTheme="minorHAnsi"/>
          <w:sz w:val="22"/>
        </w:rPr>
      </w:pPr>
      <w:r w:rsidRPr="00405DBC">
        <w:t>De acuerdo con la NICSP 1</w:t>
      </w:r>
      <w:r>
        <w:t>3</w:t>
      </w:r>
      <w:r w:rsidRPr="00405DBC">
        <w:t xml:space="preserve">- </w:t>
      </w:r>
      <w:r>
        <w:t xml:space="preserve">Arrendamientos, </w:t>
      </w:r>
      <w:r w:rsidRPr="00405DBC">
        <w:t>Indicar si este rubro afecta SI o NO a la institución, además del porcentaje de avance</w:t>
      </w:r>
      <w:r>
        <w:t xml:space="preserve"> en la implementación</w:t>
      </w:r>
      <w:r w:rsidRPr="00405DBC">
        <w:t xml:space="preserve"> que presenta</w:t>
      </w:r>
      <w:r>
        <w:rPr>
          <w:b/>
        </w:rPr>
        <w:t>.</w:t>
      </w:r>
      <w:r w:rsidR="0025405A">
        <w:t xml:space="preserve"> </w:t>
      </w:r>
      <w:r w:rsidR="0025405A">
        <w:fldChar w:fldCharType="begin"/>
      </w:r>
      <w:r w:rsidR="0025405A">
        <w:instrText xml:space="preserve"> LINK </w:instrText>
      </w:r>
      <w:r w:rsidR="00323752">
        <w:instrText xml:space="preserve">Excel.SheetMacroEnabled.12 "D:\\MORAVIA\\INSUMOS\\NOTAS 2024\\Formato_Notas_EEFF_Vinculadas_2024\\XXXXX_PXX_202X_Anexo_Estado_Notas_Contables_Vinculadas.xlsm" NICSP_13!F9C3:F10C4 </w:instrText>
      </w:r>
      <w:r w:rsidR="0025405A">
        <w:instrText xml:space="preserve">\a \f 4 \h </w:instrText>
      </w:r>
      <w:r w:rsidR="0025405A">
        <w:fldChar w:fldCharType="separate"/>
      </w:r>
    </w:p>
    <w:tbl>
      <w:tblPr>
        <w:tblW w:w="4220" w:type="dxa"/>
        <w:tblCellMar>
          <w:left w:w="70" w:type="dxa"/>
          <w:right w:w="70" w:type="dxa"/>
        </w:tblCellMar>
        <w:tblLook w:val="04A0" w:firstRow="1" w:lastRow="0" w:firstColumn="1" w:lastColumn="0" w:noHBand="0" w:noVBand="1"/>
      </w:tblPr>
      <w:tblGrid>
        <w:gridCol w:w="2460"/>
        <w:gridCol w:w="1760"/>
      </w:tblGrid>
      <w:tr w:rsidR="00694299" w:rsidRPr="00694299" w14:paraId="31DFABE4" w14:textId="77777777" w:rsidTr="00694299">
        <w:trPr>
          <w:divId w:val="64692253"/>
          <w:trHeight w:val="324"/>
        </w:trPr>
        <w:tc>
          <w:tcPr>
            <w:tcW w:w="24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10B307AC" w14:textId="2F5AB203"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A125F"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Si</w:t>
            </w:r>
          </w:p>
        </w:tc>
      </w:tr>
      <w:tr w:rsidR="00694299" w:rsidRPr="00694299" w14:paraId="62E7ECA8" w14:textId="77777777" w:rsidTr="00694299">
        <w:trPr>
          <w:divId w:val="64692253"/>
          <w:trHeight w:val="324"/>
        </w:trPr>
        <w:tc>
          <w:tcPr>
            <w:tcW w:w="2460" w:type="dxa"/>
            <w:tcBorders>
              <w:top w:val="nil"/>
              <w:left w:val="single" w:sz="8" w:space="0" w:color="auto"/>
              <w:bottom w:val="single" w:sz="8" w:space="0" w:color="auto"/>
              <w:right w:val="single" w:sz="8" w:space="0" w:color="auto"/>
            </w:tcBorders>
            <w:shd w:val="clear" w:color="000000" w:fill="17365D"/>
            <w:vAlign w:val="center"/>
            <w:hideMark/>
          </w:tcPr>
          <w:p w14:paraId="6CD21A73"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534D98B3" w14:textId="62858A86" w:rsidR="00694299" w:rsidRPr="00694299" w:rsidRDefault="008A22DF" w:rsidP="00694299">
            <w:pPr>
              <w:spacing w:after="0" w:line="240" w:lineRule="auto"/>
              <w:jc w:val="center"/>
              <w:rPr>
                <w:rFonts w:eastAsia="Times New Roman" w:cs="Calibri"/>
                <w:color w:val="000000"/>
                <w:sz w:val="22"/>
                <w:lang w:eastAsia="es-CR"/>
              </w:rPr>
            </w:pPr>
            <w:r>
              <w:rPr>
                <w:rFonts w:eastAsia="Times New Roman" w:cs="Calibri"/>
                <w:color w:val="000000"/>
                <w:sz w:val="22"/>
                <w:lang w:eastAsia="es-CR"/>
              </w:rPr>
              <w:t>80</w:t>
            </w:r>
            <w:r w:rsidR="00694299" w:rsidRPr="00694299">
              <w:rPr>
                <w:rFonts w:eastAsia="Times New Roman" w:cs="Calibri"/>
                <w:color w:val="000000"/>
                <w:sz w:val="22"/>
                <w:lang w:eastAsia="es-CR"/>
              </w:rPr>
              <w:t>,</w:t>
            </w:r>
            <w:r>
              <w:rPr>
                <w:rFonts w:eastAsia="Times New Roman" w:cs="Calibri"/>
                <w:color w:val="000000"/>
                <w:sz w:val="22"/>
                <w:lang w:eastAsia="es-CR"/>
              </w:rPr>
              <w:t>00</w:t>
            </w:r>
            <w:r w:rsidR="00694299" w:rsidRPr="00694299">
              <w:rPr>
                <w:rFonts w:eastAsia="Times New Roman" w:cs="Calibri"/>
                <w:color w:val="000000"/>
                <w:sz w:val="22"/>
                <w:lang w:eastAsia="es-CR"/>
              </w:rPr>
              <w:t>%</w:t>
            </w:r>
          </w:p>
        </w:tc>
      </w:tr>
    </w:tbl>
    <w:p w14:paraId="4BE06FC8" w14:textId="260F5845" w:rsidR="0025405A" w:rsidRDefault="0025405A" w:rsidP="00D16DB1">
      <w:r>
        <w:fldChar w:fldCharType="end"/>
      </w:r>
    </w:p>
    <w:p w14:paraId="310D3614" w14:textId="5A792E01" w:rsidR="00694299" w:rsidRDefault="00D16DB1" w:rsidP="00D16DB1">
      <w:pPr>
        <w:rPr>
          <w:rFonts w:asciiTheme="minorHAnsi" w:hAnsiTheme="minorHAnsi"/>
          <w:sz w:val="22"/>
        </w:rPr>
      </w:pPr>
      <w:r w:rsidRPr="00D16DB1">
        <w:rPr>
          <w:lang w:eastAsia="es-CR"/>
        </w:rPr>
        <w:t>A continuación, un cuadro resumen, pero el detalle de los contratos debe ser adjuntados como anexos</w:t>
      </w:r>
      <w:r w:rsidR="005F2549">
        <w:rPr>
          <w:sz w:val="22"/>
          <w:lang w:val="es-MX"/>
        </w:rPr>
        <w:t xml:space="preserve">. </w:t>
      </w:r>
      <w:hyperlink w:anchor="_NICSP_13_Arrendamientos" w:history="1">
        <w:r w:rsidR="005F2549" w:rsidRPr="005F2549">
          <w:rPr>
            <w:rStyle w:val="Hipervnculo"/>
            <w:sz w:val="22"/>
            <w:lang w:val="es-MX"/>
          </w:rPr>
          <w:t>NICSP 13 - Arrendamientos</w:t>
        </w:r>
      </w:hyperlink>
      <w:r w:rsidR="005F2549">
        <w:rPr>
          <w:sz w:val="22"/>
          <w:lang w:val="es-MX"/>
        </w:rPr>
        <w:t xml:space="preserve"> </w:t>
      </w:r>
      <w:r w:rsidR="00900BB0">
        <w:rPr>
          <w:lang w:eastAsia="es-CR"/>
        </w:rPr>
        <w:fldChar w:fldCharType="begin"/>
      </w:r>
      <w:r w:rsidR="00900BB0">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NICSP_13!F12C3:F14C5 </w:instrText>
      </w:r>
      <w:r w:rsidR="00900BB0">
        <w:rPr>
          <w:lang w:eastAsia="es-CR"/>
        </w:rPr>
        <w:instrText xml:space="preserve">\a \f 4 \h </w:instrText>
      </w:r>
      <w:r w:rsidR="00900BB0">
        <w:rPr>
          <w:lang w:eastAsia="es-CR"/>
        </w:rPr>
        <w:fldChar w:fldCharType="separate"/>
      </w:r>
    </w:p>
    <w:tbl>
      <w:tblPr>
        <w:tblW w:w="5980" w:type="dxa"/>
        <w:tblCellMar>
          <w:left w:w="70" w:type="dxa"/>
          <w:right w:w="70" w:type="dxa"/>
        </w:tblCellMar>
        <w:tblLook w:val="04A0" w:firstRow="1" w:lastRow="0" w:firstColumn="1" w:lastColumn="0" w:noHBand="0" w:noVBand="1"/>
      </w:tblPr>
      <w:tblGrid>
        <w:gridCol w:w="2460"/>
        <w:gridCol w:w="1760"/>
        <w:gridCol w:w="1760"/>
      </w:tblGrid>
      <w:tr w:rsidR="00694299" w:rsidRPr="00694299" w14:paraId="7CE28F11" w14:textId="77777777" w:rsidTr="00694299">
        <w:trPr>
          <w:divId w:val="1663123339"/>
          <w:trHeight w:val="324"/>
        </w:trPr>
        <w:tc>
          <w:tcPr>
            <w:tcW w:w="2460" w:type="dxa"/>
            <w:tcBorders>
              <w:top w:val="single" w:sz="8" w:space="0" w:color="auto"/>
              <w:left w:val="single" w:sz="8" w:space="0" w:color="auto"/>
              <w:bottom w:val="single" w:sz="8" w:space="0" w:color="auto"/>
              <w:right w:val="nil"/>
            </w:tcBorders>
            <w:shd w:val="clear" w:color="000000" w:fill="1F3864"/>
            <w:vAlign w:val="center"/>
            <w:hideMark/>
          </w:tcPr>
          <w:p w14:paraId="4C3B4F75" w14:textId="74C7D397" w:rsidR="00694299" w:rsidRPr="00694299" w:rsidRDefault="00694299" w:rsidP="00694299">
            <w:pPr>
              <w:jc w:val="center"/>
              <w:rPr>
                <w:rFonts w:eastAsia="Times New Roman" w:cs="Calibri"/>
                <w:color w:val="FFFFFF"/>
                <w:szCs w:val="24"/>
                <w:lang w:eastAsia="es-CR"/>
              </w:rPr>
            </w:pPr>
            <w:r w:rsidRPr="00694299">
              <w:rPr>
                <w:rFonts w:eastAsia="Times New Roman" w:cs="Calibri"/>
                <w:color w:val="FFFFFF"/>
                <w:szCs w:val="24"/>
                <w:lang w:eastAsia="es-CR"/>
              </w:rPr>
              <w:t>Resumen</w:t>
            </w:r>
          </w:p>
        </w:tc>
        <w:tc>
          <w:tcPr>
            <w:tcW w:w="1760" w:type="dxa"/>
            <w:tcBorders>
              <w:top w:val="single" w:sz="8" w:space="0" w:color="auto"/>
              <w:left w:val="single" w:sz="8" w:space="0" w:color="auto"/>
              <w:bottom w:val="single" w:sz="8" w:space="0" w:color="auto"/>
              <w:right w:val="nil"/>
            </w:tcBorders>
            <w:shd w:val="clear" w:color="000000" w:fill="1F3864"/>
            <w:vAlign w:val="center"/>
            <w:hideMark/>
          </w:tcPr>
          <w:p w14:paraId="1A6422FC"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 xml:space="preserve">CANTIDAD </w:t>
            </w:r>
          </w:p>
        </w:tc>
        <w:tc>
          <w:tcPr>
            <w:tcW w:w="176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0E9ECB1B"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MONTO TOTAL</w:t>
            </w:r>
          </w:p>
        </w:tc>
      </w:tr>
      <w:tr w:rsidR="00694299" w:rsidRPr="00694299" w14:paraId="24F60DBC" w14:textId="77777777" w:rsidTr="00694299">
        <w:trPr>
          <w:divId w:val="1663123339"/>
          <w:trHeight w:val="384"/>
        </w:trPr>
        <w:tc>
          <w:tcPr>
            <w:tcW w:w="2460" w:type="dxa"/>
            <w:tcBorders>
              <w:top w:val="nil"/>
              <w:left w:val="single" w:sz="8" w:space="0" w:color="auto"/>
              <w:bottom w:val="single" w:sz="8" w:space="0" w:color="auto"/>
              <w:right w:val="nil"/>
            </w:tcBorders>
            <w:shd w:val="clear" w:color="000000" w:fill="1F3864"/>
            <w:vAlign w:val="center"/>
            <w:hideMark/>
          </w:tcPr>
          <w:p w14:paraId="1A976B3A"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Arrendamiento Operativo</w:t>
            </w:r>
          </w:p>
        </w:tc>
        <w:tc>
          <w:tcPr>
            <w:tcW w:w="1760" w:type="dxa"/>
            <w:tcBorders>
              <w:top w:val="nil"/>
              <w:left w:val="nil"/>
              <w:bottom w:val="single" w:sz="8" w:space="0" w:color="auto"/>
              <w:right w:val="single" w:sz="8" w:space="0" w:color="auto"/>
            </w:tcBorders>
            <w:shd w:val="clear" w:color="auto" w:fill="auto"/>
            <w:noWrap/>
            <w:vAlign w:val="center"/>
            <w:hideMark/>
          </w:tcPr>
          <w:p w14:paraId="3DF940D9" w14:textId="420C85A4"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r w:rsidR="008A22DF">
              <w:rPr>
                <w:rFonts w:eastAsia="Times New Roman" w:cs="Calibri"/>
                <w:color w:val="000000"/>
                <w:sz w:val="20"/>
                <w:szCs w:val="20"/>
                <w:lang w:eastAsia="es-CR"/>
              </w:rPr>
              <w:t>33</w:t>
            </w:r>
          </w:p>
        </w:tc>
        <w:tc>
          <w:tcPr>
            <w:tcW w:w="1760" w:type="dxa"/>
            <w:tcBorders>
              <w:top w:val="nil"/>
              <w:left w:val="nil"/>
              <w:bottom w:val="single" w:sz="8" w:space="0" w:color="auto"/>
              <w:right w:val="single" w:sz="8" w:space="0" w:color="auto"/>
            </w:tcBorders>
            <w:shd w:val="clear" w:color="auto" w:fill="auto"/>
            <w:noWrap/>
            <w:vAlign w:val="center"/>
            <w:hideMark/>
          </w:tcPr>
          <w:p w14:paraId="1E39A830" w14:textId="3283AA9E" w:rsidR="00694299" w:rsidRPr="00694299" w:rsidRDefault="00694299" w:rsidP="00694299">
            <w:pPr>
              <w:spacing w:after="0" w:line="240" w:lineRule="auto"/>
              <w:jc w:val="right"/>
              <w:rPr>
                <w:rFonts w:eastAsia="Times New Roman" w:cs="Calibri"/>
                <w:color w:val="000000"/>
                <w:sz w:val="20"/>
                <w:szCs w:val="20"/>
                <w:lang w:eastAsia="es-CR"/>
              </w:rPr>
            </w:pPr>
            <w:r w:rsidRPr="00694299">
              <w:rPr>
                <w:rFonts w:ascii="Arial" w:eastAsia="Times New Roman" w:hAnsi="Arial" w:cs="Arial"/>
                <w:color w:val="000000"/>
                <w:sz w:val="20"/>
                <w:szCs w:val="20"/>
                <w:lang w:eastAsia="es-CR"/>
              </w:rPr>
              <w:t>₡</w:t>
            </w:r>
            <w:r w:rsidR="008A22DF">
              <w:rPr>
                <w:rFonts w:ascii="Arial" w:eastAsia="Times New Roman" w:hAnsi="Arial" w:cs="Arial"/>
                <w:color w:val="000000"/>
                <w:sz w:val="20"/>
                <w:szCs w:val="20"/>
                <w:lang w:eastAsia="es-CR"/>
              </w:rPr>
              <w:t>5</w:t>
            </w:r>
            <w:r w:rsidRPr="00694299">
              <w:rPr>
                <w:rFonts w:eastAsia="Times New Roman" w:cs="Calibri"/>
                <w:color w:val="000000"/>
                <w:sz w:val="20"/>
                <w:szCs w:val="20"/>
                <w:lang w:eastAsia="es-CR"/>
              </w:rPr>
              <w:t>0</w:t>
            </w:r>
            <w:r w:rsidR="008A22DF">
              <w:rPr>
                <w:rFonts w:eastAsia="Times New Roman" w:cs="Calibri"/>
                <w:color w:val="000000"/>
                <w:sz w:val="20"/>
                <w:szCs w:val="20"/>
                <w:lang w:eastAsia="es-CR"/>
              </w:rPr>
              <w:t xml:space="preserve"> 373,</w:t>
            </w:r>
            <w:r w:rsidRPr="00694299">
              <w:rPr>
                <w:rFonts w:eastAsia="Times New Roman" w:cs="Calibri"/>
                <w:color w:val="000000"/>
                <w:sz w:val="20"/>
                <w:szCs w:val="20"/>
                <w:lang w:eastAsia="es-CR"/>
              </w:rPr>
              <w:t>0</w:t>
            </w:r>
            <w:r w:rsidR="008A22DF">
              <w:rPr>
                <w:rFonts w:eastAsia="Times New Roman" w:cs="Calibri"/>
                <w:color w:val="000000"/>
                <w:sz w:val="20"/>
                <w:szCs w:val="20"/>
                <w:lang w:eastAsia="es-CR"/>
              </w:rPr>
              <w:t>2</w:t>
            </w:r>
          </w:p>
        </w:tc>
      </w:tr>
      <w:tr w:rsidR="00694299" w:rsidRPr="00694299" w14:paraId="18DD5B82" w14:textId="77777777" w:rsidTr="00694299">
        <w:trPr>
          <w:divId w:val="1663123339"/>
          <w:trHeight w:val="384"/>
        </w:trPr>
        <w:tc>
          <w:tcPr>
            <w:tcW w:w="2460" w:type="dxa"/>
            <w:tcBorders>
              <w:top w:val="nil"/>
              <w:left w:val="single" w:sz="8" w:space="0" w:color="auto"/>
              <w:bottom w:val="single" w:sz="8" w:space="0" w:color="auto"/>
              <w:right w:val="nil"/>
            </w:tcBorders>
            <w:shd w:val="clear" w:color="000000" w:fill="1F3864"/>
            <w:vAlign w:val="center"/>
            <w:hideMark/>
          </w:tcPr>
          <w:p w14:paraId="0E79A60A"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Arrendamiento Financiero</w:t>
            </w:r>
          </w:p>
        </w:tc>
        <w:tc>
          <w:tcPr>
            <w:tcW w:w="1760" w:type="dxa"/>
            <w:tcBorders>
              <w:top w:val="nil"/>
              <w:left w:val="nil"/>
              <w:bottom w:val="single" w:sz="8" w:space="0" w:color="auto"/>
              <w:right w:val="single" w:sz="8" w:space="0" w:color="auto"/>
            </w:tcBorders>
            <w:shd w:val="clear" w:color="auto" w:fill="auto"/>
            <w:noWrap/>
            <w:vAlign w:val="center"/>
            <w:hideMark/>
          </w:tcPr>
          <w:p w14:paraId="6BE37EB5" w14:textId="00353FA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r w:rsidR="008A22DF">
              <w:rPr>
                <w:rFonts w:eastAsia="Times New Roman" w:cs="Calibri"/>
                <w:color w:val="000000"/>
                <w:sz w:val="20"/>
                <w:szCs w:val="20"/>
                <w:lang w:eastAsia="es-CR"/>
              </w:rPr>
              <w:t>0</w:t>
            </w:r>
          </w:p>
        </w:tc>
        <w:tc>
          <w:tcPr>
            <w:tcW w:w="1760" w:type="dxa"/>
            <w:tcBorders>
              <w:top w:val="nil"/>
              <w:left w:val="nil"/>
              <w:bottom w:val="single" w:sz="8" w:space="0" w:color="auto"/>
              <w:right w:val="single" w:sz="8" w:space="0" w:color="auto"/>
            </w:tcBorders>
            <w:shd w:val="clear" w:color="auto" w:fill="auto"/>
            <w:noWrap/>
            <w:vAlign w:val="center"/>
            <w:hideMark/>
          </w:tcPr>
          <w:p w14:paraId="1180E4FC" w14:textId="77777777" w:rsidR="00694299" w:rsidRPr="00694299" w:rsidRDefault="00694299" w:rsidP="00694299">
            <w:pPr>
              <w:spacing w:after="0" w:line="240" w:lineRule="auto"/>
              <w:jc w:val="right"/>
              <w:rPr>
                <w:rFonts w:eastAsia="Times New Roman" w:cs="Calibri"/>
                <w:color w:val="000000"/>
                <w:sz w:val="20"/>
                <w:szCs w:val="20"/>
                <w:lang w:eastAsia="es-CR"/>
              </w:rPr>
            </w:pPr>
            <w:r w:rsidRPr="00694299">
              <w:rPr>
                <w:rFonts w:ascii="Arial" w:eastAsia="Times New Roman" w:hAnsi="Arial" w:cs="Arial"/>
                <w:color w:val="000000"/>
                <w:sz w:val="20"/>
                <w:szCs w:val="20"/>
                <w:lang w:eastAsia="es-CR"/>
              </w:rPr>
              <w:t>₡</w:t>
            </w:r>
            <w:r w:rsidRPr="00694299">
              <w:rPr>
                <w:rFonts w:eastAsia="Times New Roman" w:cs="Calibri"/>
                <w:color w:val="000000"/>
                <w:sz w:val="20"/>
                <w:szCs w:val="20"/>
                <w:lang w:eastAsia="es-CR"/>
              </w:rPr>
              <w:t>0,00</w:t>
            </w:r>
          </w:p>
        </w:tc>
      </w:tr>
    </w:tbl>
    <w:p w14:paraId="647B44B2" w14:textId="698CC92B" w:rsidR="00D16DB1" w:rsidRDefault="00900BB0" w:rsidP="00D16DB1">
      <w:pPr>
        <w:rPr>
          <w:lang w:eastAsia="es-CR"/>
        </w:rPr>
      </w:pPr>
      <w:r>
        <w:rPr>
          <w:lang w:eastAsia="es-CR"/>
        </w:rPr>
        <w:fldChar w:fldCharType="end"/>
      </w:r>
    </w:p>
    <w:p w14:paraId="20761122" w14:textId="1E84B75E" w:rsidR="00D16DB1" w:rsidRPr="00D16DB1" w:rsidRDefault="00D16DB1" w:rsidP="00D16DB1">
      <w:pPr>
        <w:rPr>
          <w:lang w:eastAsia="es-CR"/>
        </w:rPr>
      </w:pPr>
      <w:r w:rsidRPr="00D16DB1">
        <w:rPr>
          <w:lang w:eastAsia="es-CR"/>
        </w:rPr>
        <w:t>El responsable contable debe analizar las características de la esencia económica del tipo de arrendamiento, para determinar si es un arrendamiento operativo o arrendamiento financiero. Se realizará la revelación considerando lo dispuesto en el párrafo 40 y 44 de la NICSP 13.</w:t>
      </w:r>
    </w:p>
    <w:p w14:paraId="6C7C0D94" w14:textId="77777777" w:rsidR="00D16DB1" w:rsidRPr="00D16DB1" w:rsidRDefault="00D16DB1" w:rsidP="000B404C">
      <w:pPr>
        <w:spacing w:after="0" w:line="240" w:lineRule="auto"/>
        <w:rPr>
          <w:i/>
          <w:lang w:val="es-MX"/>
        </w:rPr>
      </w:pPr>
      <w:r w:rsidRPr="00D16DB1">
        <w:rPr>
          <w:i/>
          <w:lang w:val="es-MX"/>
        </w:rPr>
        <w:t>“40. Los arrendatarios revelarán la siguiente información sobre arrendamientos financieros:</w:t>
      </w:r>
    </w:p>
    <w:p w14:paraId="6E21EADD" w14:textId="77777777" w:rsidR="00D16DB1" w:rsidRPr="00D16DB1" w:rsidRDefault="00D16DB1" w:rsidP="000B404C">
      <w:pPr>
        <w:spacing w:after="0" w:line="240" w:lineRule="auto"/>
        <w:rPr>
          <w:i/>
          <w:lang w:val="es-MX"/>
        </w:rPr>
      </w:pPr>
      <w:r w:rsidRPr="00D16DB1">
        <w:rPr>
          <w:i/>
          <w:lang w:val="es-MX"/>
        </w:rPr>
        <w:t>(a) para cada clase de activos, el importe en libros neto en la fecha de presentación;</w:t>
      </w:r>
    </w:p>
    <w:p w14:paraId="263C031E" w14:textId="77777777" w:rsidR="00D16DB1" w:rsidRPr="00D16DB1" w:rsidRDefault="00D16DB1" w:rsidP="000B404C">
      <w:pPr>
        <w:spacing w:after="0" w:line="240" w:lineRule="auto"/>
        <w:rPr>
          <w:i/>
          <w:lang w:val="es-MX"/>
        </w:rPr>
      </w:pPr>
      <w:r w:rsidRPr="00D16DB1">
        <w:rPr>
          <w:i/>
          <w:lang w:val="es-MX"/>
        </w:rPr>
        <w:t>(b) una conciliación entre el total de pagos mínimos futuros por arrendamiento en la fecha de presentación, y su valor presente;</w:t>
      </w:r>
    </w:p>
    <w:p w14:paraId="67505FDA" w14:textId="77777777" w:rsidR="00D16DB1" w:rsidRPr="00D16DB1" w:rsidRDefault="00D16DB1" w:rsidP="000B404C">
      <w:pPr>
        <w:spacing w:after="0" w:line="240" w:lineRule="auto"/>
        <w:rPr>
          <w:i/>
          <w:lang w:val="es-MX"/>
        </w:rPr>
      </w:pPr>
      <w:r w:rsidRPr="00D16DB1">
        <w:rPr>
          <w:i/>
          <w:lang w:val="es-MX"/>
        </w:rPr>
        <w:t>(c) además, la entidad revelará el total de pagos mínimos futuros por arrendamiento en la fecha de presentación, y su valor presente, para cada uno de los siguientes periodos:</w:t>
      </w:r>
    </w:p>
    <w:p w14:paraId="117A12C1" w14:textId="77777777" w:rsidR="00D16DB1" w:rsidRPr="00D16DB1" w:rsidRDefault="00D16DB1" w:rsidP="000B404C">
      <w:pPr>
        <w:spacing w:after="0" w:line="240" w:lineRule="auto"/>
        <w:rPr>
          <w:i/>
          <w:lang w:val="es-MX"/>
        </w:rPr>
      </w:pPr>
      <w:r w:rsidRPr="00D16DB1">
        <w:rPr>
          <w:i/>
          <w:lang w:val="es-MX"/>
        </w:rPr>
        <w:tab/>
        <w:t>(i) hasta un año;</w:t>
      </w:r>
    </w:p>
    <w:p w14:paraId="132E2073" w14:textId="77777777" w:rsidR="00D16DB1" w:rsidRPr="00D16DB1" w:rsidRDefault="00D16DB1" w:rsidP="000B404C">
      <w:pPr>
        <w:spacing w:after="0" w:line="240" w:lineRule="auto"/>
        <w:rPr>
          <w:i/>
          <w:lang w:val="es-MX"/>
        </w:rPr>
      </w:pPr>
      <w:r w:rsidRPr="00D16DB1">
        <w:rPr>
          <w:i/>
          <w:lang w:val="es-MX"/>
        </w:rPr>
        <w:t>(ii) entre uno y cinco años; y</w:t>
      </w:r>
    </w:p>
    <w:p w14:paraId="6B9FA74D" w14:textId="77777777" w:rsidR="00D16DB1" w:rsidRPr="00D16DB1" w:rsidRDefault="00D16DB1" w:rsidP="000B404C">
      <w:pPr>
        <w:spacing w:after="0" w:line="240" w:lineRule="auto"/>
        <w:rPr>
          <w:i/>
          <w:lang w:val="es-MX"/>
        </w:rPr>
      </w:pPr>
      <w:r w:rsidRPr="00D16DB1">
        <w:rPr>
          <w:i/>
          <w:lang w:val="es-MX"/>
        </w:rPr>
        <w:t>(iii) más de cinco años.</w:t>
      </w:r>
    </w:p>
    <w:p w14:paraId="66E238C5" w14:textId="77777777" w:rsidR="00D16DB1" w:rsidRPr="00D16DB1" w:rsidRDefault="00D16DB1" w:rsidP="000B404C">
      <w:pPr>
        <w:spacing w:after="0" w:line="240" w:lineRule="auto"/>
        <w:rPr>
          <w:i/>
          <w:lang w:val="es-MX"/>
        </w:rPr>
      </w:pPr>
      <w:r w:rsidRPr="00D16DB1">
        <w:rPr>
          <w:i/>
          <w:lang w:val="es-MX"/>
        </w:rPr>
        <w:t>(d) cuotas contingentes reconocidas como gasto en el periodo;</w:t>
      </w:r>
    </w:p>
    <w:p w14:paraId="0FA8CAE4" w14:textId="77777777" w:rsidR="00D16DB1" w:rsidRPr="00D16DB1" w:rsidRDefault="00D16DB1" w:rsidP="000B404C">
      <w:pPr>
        <w:spacing w:after="0" w:line="240" w:lineRule="auto"/>
        <w:rPr>
          <w:i/>
          <w:lang w:val="es-MX"/>
        </w:rPr>
      </w:pPr>
      <w:r w:rsidRPr="00D16DB1">
        <w:rPr>
          <w:i/>
          <w:lang w:val="es-MX"/>
        </w:rPr>
        <w:t>(e) el total de los pagos futuros mínimos por subarrendamiento que se esperan recibir, en la fecha de presentación, por los subarrendamientos no cancelables; y</w:t>
      </w:r>
    </w:p>
    <w:p w14:paraId="597C40D4" w14:textId="77777777" w:rsidR="00D16DB1" w:rsidRPr="00D16DB1" w:rsidRDefault="00D16DB1" w:rsidP="000B404C">
      <w:pPr>
        <w:spacing w:after="0" w:line="240" w:lineRule="auto"/>
        <w:rPr>
          <w:i/>
          <w:lang w:val="es-MX"/>
        </w:rPr>
      </w:pPr>
      <w:r w:rsidRPr="00D16DB1">
        <w:rPr>
          <w:i/>
          <w:lang w:val="es-MX"/>
        </w:rPr>
        <w:t>(f) una descripción general de los acuerdos de arrendamiento significativos del arrendatario, donde se incluirán, pero sin limitarse a ellos, los siguientes datos:</w:t>
      </w:r>
    </w:p>
    <w:p w14:paraId="0ECFE11B" w14:textId="77777777" w:rsidR="00D16DB1" w:rsidRPr="00D16DB1" w:rsidRDefault="00D16DB1" w:rsidP="000B404C">
      <w:pPr>
        <w:spacing w:after="0" w:line="240" w:lineRule="auto"/>
        <w:rPr>
          <w:i/>
          <w:lang w:val="es-MX"/>
        </w:rPr>
      </w:pPr>
      <w:r w:rsidRPr="00D16DB1">
        <w:rPr>
          <w:i/>
          <w:lang w:val="es-MX"/>
        </w:rPr>
        <w:t>(i) las bases para la determinación de cualquier cuota de carácter contingente que se haya pactado;</w:t>
      </w:r>
    </w:p>
    <w:p w14:paraId="57FB8559" w14:textId="77777777" w:rsidR="00D16DB1" w:rsidRPr="00D16DB1" w:rsidRDefault="00D16DB1" w:rsidP="000B404C">
      <w:pPr>
        <w:spacing w:after="0" w:line="240" w:lineRule="auto"/>
        <w:rPr>
          <w:i/>
          <w:lang w:val="es-MX"/>
        </w:rPr>
      </w:pPr>
      <w:r w:rsidRPr="00D16DB1">
        <w:rPr>
          <w:i/>
          <w:lang w:val="es-MX"/>
        </w:rPr>
        <w:t>(ii) la existencia y, en su caso, los plazos de renovación o las opciones de compra y las cláusulas de actualización o escalonamiento; y</w:t>
      </w:r>
    </w:p>
    <w:p w14:paraId="67379E8A" w14:textId="77777777" w:rsidR="00D16DB1" w:rsidRPr="00D16DB1" w:rsidRDefault="00D16DB1" w:rsidP="000B404C">
      <w:pPr>
        <w:spacing w:after="0" w:line="240" w:lineRule="auto"/>
        <w:rPr>
          <w:i/>
          <w:lang w:val="es-MX"/>
        </w:rPr>
      </w:pPr>
      <w:r w:rsidRPr="00D16DB1">
        <w:rPr>
          <w:i/>
          <w:lang w:val="es-MX"/>
        </w:rPr>
        <w:t>(iii) las restricciones impuestas por contratos de arrendamiento, tales como las que se refieran a la devolución del resultado positivo (ahorro), devolución de las aportaciones de capital, la distribución de dividendos o distribuciones similares, endeudamiento adicional o a nuevos contratos de arrendamiento.”</w:t>
      </w:r>
    </w:p>
    <w:p w14:paraId="5BCA13F6" w14:textId="77777777" w:rsidR="00D16DB1" w:rsidRPr="00D16DB1" w:rsidRDefault="00D16DB1" w:rsidP="000B404C">
      <w:pPr>
        <w:spacing w:after="0" w:line="240" w:lineRule="auto"/>
        <w:rPr>
          <w:i/>
          <w:lang w:val="es-MX"/>
        </w:rPr>
      </w:pPr>
    </w:p>
    <w:p w14:paraId="726C998F" w14:textId="77777777" w:rsidR="00D16DB1" w:rsidRPr="00D16DB1" w:rsidRDefault="00D16DB1" w:rsidP="000B404C">
      <w:pPr>
        <w:spacing w:after="0" w:line="240" w:lineRule="auto"/>
        <w:rPr>
          <w:i/>
          <w:lang w:val="es-MX"/>
        </w:rPr>
      </w:pPr>
      <w:r w:rsidRPr="00D16DB1">
        <w:rPr>
          <w:i/>
          <w:lang w:val="es-MX"/>
        </w:rPr>
        <w:t>“44. Los arrendatarios revelarán la siguiente información sobre arrendamientos operativos:</w:t>
      </w:r>
    </w:p>
    <w:p w14:paraId="4B4BF0F2" w14:textId="77777777" w:rsidR="00D16DB1" w:rsidRPr="00D16DB1" w:rsidRDefault="00D16DB1" w:rsidP="000B404C">
      <w:pPr>
        <w:spacing w:after="0" w:line="240" w:lineRule="auto"/>
        <w:rPr>
          <w:i/>
          <w:lang w:val="es-MX"/>
        </w:rPr>
      </w:pPr>
      <w:r w:rsidRPr="00D16DB1">
        <w:rPr>
          <w:i/>
          <w:lang w:val="es-MX"/>
        </w:rPr>
        <w:t>(a) el total de pagos mínimos futuros del arrendamiento, derivados de contratos de arrendamiento operativo no cancelables, que se van a satisfacer en los siguientes plazos:</w:t>
      </w:r>
    </w:p>
    <w:p w14:paraId="3B674044" w14:textId="77777777" w:rsidR="00D16DB1" w:rsidRPr="00D16DB1" w:rsidRDefault="00D16DB1" w:rsidP="000B404C">
      <w:pPr>
        <w:spacing w:after="0" w:line="240" w:lineRule="auto"/>
        <w:rPr>
          <w:i/>
          <w:lang w:val="es-MX"/>
        </w:rPr>
      </w:pPr>
      <w:r w:rsidRPr="00D16DB1">
        <w:rPr>
          <w:i/>
          <w:lang w:val="es-MX"/>
        </w:rPr>
        <w:t>(i) hasta un año;</w:t>
      </w:r>
    </w:p>
    <w:p w14:paraId="03194E11" w14:textId="77777777" w:rsidR="00D16DB1" w:rsidRPr="00D16DB1" w:rsidRDefault="00D16DB1" w:rsidP="000B404C">
      <w:pPr>
        <w:spacing w:after="0" w:line="240" w:lineRule="auto"/>
        <w:rPr>
          <w:i/>
          <w:lang w:val="es-MX"/>
        </w:rPr>
      </w:pPr>
      <w:r w:rsidRPr="00D16DB1">
        <w:rPr>
          <w:i/>
          <w:lang w:val="es-MX"/>
        </w:rPr>
        <w:t>(ii) entre uno y cinco años; y</w:t>
      </w:r>
    </w:p>
    <w:p w14:paraId="7CD4A216" w14:textId="77777777" w:rsidR="00D16DB1" w:rsidRPr="00D16DB1" w:rsidRDefault="00D16DB1" w:rsidP="000B404C">
      <w:pPr>
        <w:spacing w:after="0" w:line="240" w:lineRule="auto"/>
        <w:rPr>
          <w:i/>
          <w:lang w:val="es-MX"/>
        </w:rPr>
      </w:pPr>
      <w:r w:rsidRPr="00D16DB1">
        <w:rPr>
          <w:i/>
          <w:lang w:val="es-MX"/>
        </w:rPr>
        <w:t>(iii) más de cinco años.</w:t>
      </w:r>
    </w:p>
    <w:p w14:paraId="045B23E1" w14:textId="77777777" w:rsidR="00D16DB1" w:rsidRPr="00D16DB1" w:rsidRDefault="00D16DB1" w:rsidP="000B404C">
      <w:pPr>
        <w:spacing w:after="0" w:line="240" w:lineRule="auto"/>
        <w:rPr>
          <w:i/>
          <w:lang w:val="es-MX"/>
        </w:rPr>
      </w:pPr>
      <w:r w:rsidRPr="00D16DB1">
        <w:rPr>
          <w:i/>
          <w:lang w:val="es-MX"/>
        </w:rPr>
        <w:t>(b) el total de los pagos futuros mínimos por subarrendamiento que se esperan recibir, en la fecha de presentación, por los subarrendamientos operativos no cancelables;</w:t>
      </w:r>
    </w:p>
    <w:p w14:paraId="377C18EC" w14:textId="77777777" w:rsidR="00D16DB1" w:rsidRPr="00D16DB1" w:rsidRDefault="00D16DB1" w:rsidP="000B404C">
      <w:pPr>
        <w:spacing w:after="0" w:line="240" w:lineRule="auto"/>
        <w:rPr>
          <w:i/>
          <w:lang w:val="es-MX"/>
        </w:rPr>
      </w:pPr>
      <w:r w:rsidRPr="00D16DB1">
        <w:rPr>
          <w:i/>
          <w:lang w:val="es-MX"/>
        </w:rPr>
        <w:t>(c) cuotas de arrendamientos y subarriendos reconocidas como gastos del periodo, revelando por separado los importes de los pagos mínimos por arrendamiento, las cuotas contingentes y las cuotas de subarriendo; y</w:t>
      </w:r>
    </w:p>
    <w:p w14:paraId="2ED4F9B1" w14:textId="77777777" w:rsidR="00D16DB1" w:rsidRPr="00D16DB1" w:rsidRDefault="00D16DB1" w:rsidP="000B404C">
      <w:pPr>
        <w:spacing w:after="0" w:line="240" w:lineRule="auto"/>
        <w:rPr>
          <w:i/>
          <w:lang w:val="es-MX"/>
        </w:rPr>
      </w:pPr>
      <w:r w:rsidRPr="00D16DB1">
        <w:rPr>
          <w:i/>
          <w:lang w:val="es-MX"/>
        </w:rPr>
        <w:t>(d) una descripción general de los acuerdos significativos del arrendamiento llevados a cabo por el arrendatario, donde se incluirán, sin limitarse a ellos, los siguientes datos:</w:t>
      </w:r>
    </w:p>
    <w:p w14:paraId="3B7BBA9E" w14:textId="77777777" w:rsidR="00D16DB1" w:rsidRPr="00D16DB1" w:rsidRDefault="00D16DB1" w:rsidP="000B404C">
      <w:pPr>
        <w:spacing w:after="0" w:line="240" w:lineRule="auto"/>
        <w:rPr>
          <w:i/>
          <w:lang w:val="es-MX"/>
        </w:rPr>
      </w:pPr>
      <w:r w:rsidRPr="00D16DB1">
        <w:rPr>
          <w:i/>
          <w:lang w:val="es-MX"/>
        </w:rPr>
        <w:t>(i) las bases para la determinación de cualquier eventual cuota de carácter contingente que se haya pactado;</w:t>
      </w:r>
    </w:p>
    <w:p w14:paraId="14B30589" w14:textId="77777777" w:rsidR="00D16DB1" w:rsidRPr="00D16DB1" w:rsidRDefault="00D16DB1" w:rsidP="000B404C">
      <w:pPr>
        <w:spacing w:after="0" w:line="240" w:lineRule="auto"/>
        <w:rPr>
          <w:i/>
          <w:lang w:val="es-MX"/>
        </w:rPr>
      </w:pPr>
      <w:r w:rsidRPr="00D16DB1">
        <w:rPr>
          <w:i/>
          <w:lang w:val="es-MX"/>
        </w:rPr>
        <w:t>(ii) la existencia y, en su caso, los plazos de renovación o las opciones de compra y las cláusulas de escalonamiento; y</w:t>
      </w:r>
    </w:p>
    <w:p w14:paraId="32E80CD9" w14:textId="1ACB8522" w:rsidR="00D16DB1" w:rsidRDefault="00D16DB1" w:rsidP="000B404C">
      <w:pPr>
        <w:spacing w:after="0" w:line="240" w:lineRule="auto"/>
        <w:rPr>
          <w:rStyle w:val="nfasis"/>
        </w:rPr>
      </w:pPr>
      <w:r w:rsidRPr="00D16DB1">
        <w:rPr>
          <w:rStyle w:val="nfasis"/>
        </w:rPr>
        <w:t>(iii) las restricciones impuestas por contratos de arrendamiento financiero, tales como las que se refieran a la devolución del resultado positivo (ahorro), devolución de las aportaciones de capital, la distribución de dividendos o distribuciones similares, endeudamiento adicional o a nuevos contratos de arrendamiento</w:t>
      </w:r>
    </w:p>
    <w:p w14:paraId="6AD98E6D" w14:textId="77777777" w:rsidR="000C3947" w:rsidRDefault="000C3947" w:rsidP="000B404C">
      <w:pPr>
        <w:spacing w:after="0" w:line="240" w:lineRule="auto"/>
        <w:rPr>
          <w:rStyle w:val="nfasis"/>
        </w:rPr>
      </w:pPr>
    </w:p>
    <w:p w14:paraId="118DAF13" w14:textId="77777777" w:rsidR="008A22DF" w:rsidRDefault="000C3947" w:rsidP="000C3947">
      <w:pPr>
        <w:spacing w:line="240" w:lineRule="auto"/>
        <w:rPr>
          <w:b/>
          <w:color w:val="FFFFFF" w:themeColor="background1"/>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6923BF0B" w14:textId="32D829F7" w:rsidR="000C3947" w:rsidRDefault="008A22DF" w:rsidP="000C3947">
      <w:pPr>
        <w:spacing w:line="240" w:lineRule="auto"/>
        <w:rPr>
          <w:lang w:val="es-MX"/>
        </w:rPr>
      </w:pPr>
      <w:r>
        <w:rPr>
          <w:lang w:val="es-MX"/>
        </w:rPr>
        <w:t>A la fecha de presentación de los estados financieros la Municipalidad posee únicamente arrendamientos operativos tanto en calidad de arrendatario como de arrendador.</w:t>
      </w:r>
    </w:p>
    <w:p w14:paraId="78147A5C" w14:textId="583D16C9" w:rsidR="008A22DF" w:rsidRDefault="008A22DF" w:rsidP="000C3947">
      <w:pPr>
        <w:spacing w:line="240" w:lineRule="auto"/>
        <w:rPr>
          <w:lang w:val="es-MX"/>
        </w:rPr>
      </w:pPr>
      <w:r>
        <w:rPr>
          <w:lang w:val="es-MX"/>
        </w:rPr>
        <w:t>Arrendamientos operacionales en calidad de arrendatario: los pagos se reconocen como un gasto en el estado de rendimientos financieros sobre una base de línea recta durante el término del arrendamiento.</w:t>
      </w:r>
    </w:p>
    <w:p w14:paraId="278313F0" w14:textId="204164FB" w:rsidR="008A22DF" w:rsidRDefault="008A22DF" w:rsidP="000C3947">
      <w:pPr>
        <w:spacing w:line="240" w:lineRule="auto"/>
        <w:rPr>
          <w:lang w:val="es-MX"/>
        </w:rPr>
      </w:pPr>
      <w:r>
        <w:rPr>
          <w:lang w:val="es-MX"/>
        </w:rPr>
        <w:t>Arrendamientos operacionales en calidad de arrendador: los activos arrendados se mantienen en el estado de situación financiera de acuerdo con la naturaleza del activo. Los ingresos ordinarios se reconocen sobre una base de línea recta durante el término del arrendamiento</w:t>
      </w:r>
      <w:r w:rsidR="00AA0CD9">
        <w:rPr>
          <w:lang w:val="es-MX"/>
        </w:rPr>
        <w:t>.</w:t>
      </w:r>
    </w:p>
    <w:p w14:paraId="2A6D3996" w14:textId="3F08047B" w:rsidR="00AA0CD9" w:rsidRPr="003516A2" w:rsidRDefault="00AA0CD9" w:rsidP="000C3947">
      <w:pPr>
        <w:spacing w:line="240" w:lineRule="auto"/>
        <w:rPr>
          <w:b/>
          <w:color w:val="FFFFFF" w:themeColor="background1"/>
          <w:highlight w:val="darkBlue"/>
          <w:u w:val="single"/>
        </w:rPr>
      </w:pPr>
      <w:r>
        <w:rPr>
          <w:lang w:val="es-MX"/>
        </w:rPr>
        <w:t xml:space="preserve">Los costos directos iniciales incurridos en la negociación y acuerdo del arrendamiento operacional de adicionan al valor en libros del activo arrendado y se reconocen como un gasto durante el término del arrendamiento con la misma base que los ingresos ordinarios del arrendamiento. </w:t>
      </w:r>
    </w:p>
    <w:p w14:paraId="1B64F9FE" w14:textId="77777777" w:rsidR="000C3947" w:rsidRDefault="000C3947" w:rsidP="000C3947">
      <w:pPr>
        <w:spacing w:line="240" w:lineRule="auto"/>
        <w:rPr>
          <w:b/>
          <w:u w:val="single"/>
        </w:rPr>
      </w:pPr>
    </w:p>
    <w:p w14:paraId="0BD73575" w14:textId="77777777" w:rsidR="000C3947" w:rsidRPr="003516A2" w:rsidRDefault="000C3947" w:rsidP="000C3947">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5A2A751C" w14:textId="122AD567" w:rsidR="000C3947" w:rsidRPr="002007F6" w:rsidRDefault="004A3DA2" w:rsidP="004A3DA2">
      <w:pPr>
        <w:spacing w:line="240" w:lineRule="auto"/>
        <w:rPr>
          <w:lang w:val="es-MX"/>
        </w:rPr>
      </w:pPr>
      <w:r>
        <w:rPr>
          <w:lang w:val="es-MX"/>
        </w:rPr>
        <w:t xml:space="preserve">Los arrendamientos operativos </w:t>
      </w:r>
      <w:r w:rsidR="005E77EB">
        <w:rPr>
          <w:lang w:val="es-MX"/>
        </w:rPr>
        <w:t xml:space="preserve">en los que la Municipalidad actúa como arrendatario o arrendador, </w:t>
      </w:r>
      <w:r>
        <w:rPr>
          <w:lang w:val="es-MX"/>
        </w:rPr>
        <w:t xml:space="preserve">se miden al valor razonable, el cual incluye </w:t>
      </w:r>
      <w:r w:rsidR="005E77EB">
        <w:rPr>
          <w:lang w:val="es-MX"/>
        </w:rPr>
        <w:t>e</w:t>
      </w:r>
      <w:r>
        <w:rPr>
          <w:lang w:val="es-MX"/>
        </w:rPr>
        <w:t>l valor del activo</w:t>
      </w:r>
      <w:r w:rsidR="005E77EB">
        <w:rPr>
          <w:lang w:val="es-MX"/>
        </w:rPr>
        <w:t xml:space="preserve"> y todos</w:t>
      </w:r>
      <w:r>
        <w:rPr>
          <w:lang w:val="es-MX"/>
        </w:rPr>
        <w:t xml:space="preserve"> los costos directos iniciales adicionales incurridos en la negociación y acuerdo del contrato de arrendamiento.</w:t>
      </w:r>
    </w:p>
    <w:p w14:paraId="0CBF35EF" w14:textId="77777777" w:rsidR="00D16DB1" w:rsidRPr="00D16DB1" w:rsidRDefault="00D16DB1" w:rsidP="00D16DB1">
      <w:pPr>
        <w:spacing w:after="0"/>
        <w:rPr>
          <w:i/>
          <w:lang w:val="es-MX"/>
        </w:rPr>
      </w:pPr>
    </w:p>
    <w:p w14:paraId="0B419D87" w14:textId="77777777" w:rsidR="00D16DB1" w:rsidRPr="00D16DB1" w:rsidRDefault="00D16DB1" w:rsidP="00D16DB1">
      <w:pPr>
        <w:rPr>
          <w:b/>
          <w:u w:val="single"/>
          <w:lang w:val="es-MX" w:eastAsia="es-CR"/>
        </w:rPr>
      </w:pPr>
      <w:r w:rsidRPr="000C3947">
        <w:rPr>
          <w:b/>
          <w:color w:val="FFFFFF" w:themeColor="background1"/>
          <w:highlight w:val="darkBlue"/>
          <w:u w:val="single"/>
        </w:rPr>
        <w:t>Revelación Suficiente:</w:t>
      </w:r>
      <w:r w:rsidRPr="00D16DB1">
        <w:rPr>
          <w:b/>
          <w:u w:val="single"/>
          <w:lang w:eastAsia="es-CR"/>
        </w:rPr>
        <w:t xml:space="preserve"> El ente debe cumplir con lo estipulado en revelación con forme a la NICSP, también debe considerar la política general y los párrafos incluidos en la matriz de autoevaluación referente a esta NICSP y guías de aplicación</w:t>
      </w:r>
      <w:r w:rsidRPr="00D16DB1">
        <w:rPr>
          <w:b/>
          <w:u w:val="single"/>
          <w:lang w:val="es-MX" w:eastAsia="es-CR"/>
        </w:rPr>
        <w:t xml:space="preserve"> (Ver GA NICSP 13):</w:t>
      </w:r>
    </w:p>
    <w:p w14:paraId="190FA6A0" w14:textId="77777777" w:rsidR="008A22DF" w:rsidRDefault="008A22DF" w:rsidP="008A22DF">
      <w:pPr>
        <w:spacing w:after="0" w:line="240" w:lineRule="auto"/>
        <w:rPr>
          <w:lang w:eastAsia="es-CR"/>
        </w:rPr>
      </w:pPr>
      <w:r w:rsidRPr="002D6330">
        <w:rPr>
          <w:b/>
          <w:bCs/>
          <w:lang w:eastAsia="es-CR"/>
        </w:rPr>
        <w:t>Adopción de la dispensa de tres años concedida en la NICSP 33</w:t>
      </w:r>
    </w:p>
    <w:p w14:paraId="08780A71" w14:textId="77777777" w:rsidR="008A22DF" w:rsidRDefault="008A22DF" w:rsidP="008A22DF">
      <w:pPr>
        <w:spacing w:after="0" w:line="240" w:lineRule="auto"/>
        <w:rPr>
          <w:lang w:eastAsia="es-CR"/>
        </w:rPr>
      </w:pPr>
    </w:p>
    <w:p w14:paraId="00355205" w14:textId="77777777" w:rsidR="008A22DF" w:rsidRDefault="008A22DF" w:rsidP="008A22DF">
      <w:pPr>
        <w:spacing w:after="0" w:line="240" w:lineRule="auto"/>
        <w:rPr>
          <w:lang w:eastAsia="es-CR"/>
        </w:rPr>
      </w:pPr>
      <w:bookmarkStart w:id="49" w:name="_Hlk158793841"/>
      <w:r>
        <w:rPr>
          <w:lang w:eastAsia="es-CR"/>
        </w:rPr>
        <w:t>La Municipalidad se acogió al periodo de dispensa transitorio de tres años para el reconocimiento o medición de activos o pasivos que proporciona la NICSP 33 en los párrafos 36 a 62, para no reconocer activos de acuerdo con las NICSP 16, 17 y 31, el cual finaliza el 31 de diciembre de 2024. Durante este periodo la Municipalidad se encuentra realizando un proceso de cierre de brechas, con el fin de lograr cumplir con los requerimientos exigidos por la NICSP 13 y lograr presentar información razonable sobre los arrendamientos que posee.</w:t>
      </w:r>
    </w:p>
    <w:bookmarkEnd w:id="49"/>
    <w:p w14:paraId="18982970" w14:textId="77777777" w:rsidR="008A22DF" w:rsidRDefault="008A22DF" w:rsidP="008A22DF">
      <w:pPr>
        <w:spacing w:after="0" w:line="240" w:lineRule="auto"/>
        <w:rPr>
          <w:lang w:eastAsia="es-CR"/>
        </w:rPr>
      </w:pPr>
    </w:p>
    <w:p w14:paraId="207A7A31" w14:textId="77777777" w:rsidR="008A22DF" w:rsidRPr="00385A6C" w:rsidRDefault="008A22DF" w:rsidP="008A22DF">
      <w:pPr>
        <w:spacing w:after="0" w:line="240" w:lineRule="auto"/>
        <w:rPr>
          <w:b/>
          <w:bCs/>
          <w:lang w:eastAsia="es-CR"/>
        </w:rPr>
      </w:pPr>
      <w:r w:rsidRPr="00385A6C">
        <w:rPr>
          <w:b/>
          <w:bCs/>
          <w:lang w:eastAsia="es-CR"/>
        </w:rPr>
        <w:t>Principales Políticas</w:t>
      </w:r>
    </w:p>
    <w:p w14:paraId="15AE7D1B" w14:textId="77777777" w:rsidR="008A22DF" w:rsidRDefault="008A22DF" w:rsidP="008A22DF">
      <w:pPr>
        <w:spacing w:after="0" w:line="240" w:lineRule="auto"/>
        <w:rPr>
          <w:lang w:eastAsia="es-CR"/>
        </w:rPr>
      </w:pPr>
    </w:p>
    <w:p w14:paraId="62022F8D" w14:textId="77777777" w:rsidR="008A22DF" w:rsidRPr="009E4623" w:rsidRDefault="008A22DF" w:rsidP="008A22DF">
      <w:pPr>
        <w:spacing w:after="0" w:line="240" w:lineRule="auto"/>
        <w:rPr>
          <w:szCs w:val="24"/>
          <w:lang w:eastAsia="es-CR"/>
        </w:rPr>
      </w:pPr>
      <w:r w:rsidRPr="009E4623">
        <w:rPr>
          <w:szCs w:val="24"/>
          <w:lang w:eastAsia="es-CR"/>
        </w:rPr>
        <w:t xml:space="preserve">Los ingresos y gastos originados por concepto de arrendamientos operativos se clasificarán </w:t>
      </w:r>
      <w:r w:rsidRPr="009E4623">
        <w:rPr>
          <w:szCs w:val="24"/>
        </w:rPr>
        <w:t xml:space="preserve">de forma lineal a lo largo del plazo de arrendamiento </w:t>
      </w:r>
      <w:r w:rsidRPr="009E4623">
        <w:rPr>
          <w:szCs w:val="24"/>
          <w:lang w:eastAsia="es-CR"/>
        </w:rPr>
        <w:t>en el ERF según corresponda (ingresos con contraprestación o gastos de operación).</w:t>
      </w:r>
    </w:p>
    <w:p w14:paraId="08E71DA7" w14:textId="77777777" w:rsidR="008A22DF" w:rsidRPr="009E4623" w:rsidRDefault="008A22DF" w:rsidP="008A22DF">
      <w:pPr>
        <w:spacing w:after="0" w:line="240" w:lineRule="auto"/>
        <w:rPr>
          <w:szCs w:val="24"/>
          <w:lang w:eastAsia="es-CR"/>
        </w:rPr>
      </w:pPr>
    </w:p>
    <w:p w14:paraId="25693296" w14:textId="77777777" w:rsidR="008A22DF" w:rsidRPr="009E4623" w:rsidRDefault="008A22DF" w:rsidP="008A22DF">
      <w:pPr>
        <w:spacing w:after="0" w:line="240" w:lineRule="auto"/>
        <w:rPr>
          <w:szCs w:val="24"/>
        </w:rPr>
      </w:pPr>
      <w:r w:rsidRPr="009E4623">
        <w:rPr>
          <w:szCs w:val="24"/>
        </w:rPr>
        <w:t>Los pagos de arrendamientos financieros relativos a cada período contable, una vez excluidos los costos por servicios, se destinarán a cubrir la inversión bruta en el arrendamiento, reduciendo tanto el principal como los ingresos financieros no acumulados (no devengados).</w:t>
      </w:r>
    </w:p>
    <w:p w14:paraId="4FC670B2" w14:textId="77777777" w:rsidR="008A22DF" w:rsidRPr="009E4623" w:rsidRDefault="008A22DF" w:rsidP="008A22DF">
      <w:pPr>
        <w:spacing w:after="0" w:line="240" w:lineRule="auto"/>
        <w:rPr>
          <w:szCs w:val="24"/>
        </w:rPr>
      </w:pPr>
    </w:p>
    <w:p w14:paraId="0ADE2C17" w14:textId="77777777" w:rsidR="008A22DF" w:rsidRPr="009E4623" w:rsidRDefault="008A22DF" w:rsidP="008A22DF">
      <w:pPr>
        <w:autoSpaceDE w:val="0"/>
        <w:autoSpaceDN w:val="0"/>
        <w:adjustRightInd w:val="0"/>
        <w:spacing w:after="0" w:line="240" w:lineRule="auto"/>
        <w:jc w:val="left"/>
        <w:rPr>
          <w:rFonts w:cs="Arial"/>
          <w:color w:val="000000"/>
          <w:szCs w:val="24"/>
        </w:rPr>
      </w:pPr>
      <w:r w:rsidRPr="009E4623">
        <w:rPr>
          <w:rFonts w:cs="Arial"/>
          <w:color w:val="000000"/>
          <w:szCs w:val="24"/>
        </w:rPr>
        <w:t>L</w:t>
      </w:r>
      <w:r>
        <w:rPr>
          <w:rFonts w:cs="Arial"/>
          <w:color w:val="000000"/>
          <w:szCs w:val="24"/>
        </w:rPr>
        <w:t xml:space="preserve">a Municipalidad </w:t>
      </w:r>
      <w:r w:rsidRPr="009E4623">
        <w:rPr>
          <w:rFonts w:cs="Arial"/>
          <w:color w:val="000000"/>
          <w:szCs w:val="24"/>
        </w:rPr>
        <w:t>revelará</w:t>
      </w:r>
      <w:r>
        <w:rPr>
          <w:rFonts w:cs="Arial"/>
          <w:color w:val="000000"/>
          <w:szCs w:val="24"/>
        </w:rPr>
        <w:t xml:space="preserve"> </w:t>
      </w:r>
      <w:r w:rsidRPr="009E4623">
        <w:rPr>
          <w:rFonts w:cs="Arial"/>
          <w:color w:val="000000"/>
          <w:szCs w:val="24"/>
        </w:rPr>
        <w:t xml:space="preserve">sobre arrendamientos operativos: </w:t>
      </w:r>
    </w:p>
    <w:p w14:paraId="084E3684" w14:textId="77777777" w:rsidR="008A22DF" w:rsidRDefault="008A22DF" w:rsidP="008A22DF">
      <w:pPr>
        <w:pStyle w:val="Prrafodelista"/>
        <w:numPr>
          <w:ilvl w:val="0"/>
          <w:numId w:val="30"/>
        </w:numPr>
        <w:autoSpaceDE w:val="0"/>
        <w:autoSpaceDN w:val="0"/>
        <w:adjustRightInd w:val="0"/>
        <w:spacing w:after="20" w:line="240" w:lineRule="auto"/>
        <w:ind w:left="284" w:hanging="284"/>
        <w:jc w:val="left"/>
        <w:rPr>
          <w:rFonts w:cs="Arial"/>
          <w:color w:val="000000"/>
          <w:szCs w:val="24"/>
        </w:rPr>
      </w:pPr>
      <w:r w:rsidRPr="00285CAD">
        <w:rPr>
          <w:rFonts w:cs="Arial"/>
          <w:color w:val="000000"/>
          <w:szCs w:val="24"/>
        </w:rPr>
        <w:t xml:space="preserve">los activos afectados a arrendamientos operativos, de acuerdo con la naturaleza de tales bienes; </w:t>
      </w:r>
    </w:p>
    <w:p w14:paraId="3B8E165B" w14:textId="77777777" w:rsidR="008A22DF" w:rsidRPr="00285CAD" w:rsidRDefault="008A22DF" w:rsidP="008A22DF">
      <w:pPr>
        <w:pStyle w:val="Prrafodelista"/>
        <w:numPr>
          <w:ilvl w:val="0"/>
          <w:numId w:val="30"/>
        </w:numPr>
        <w:autoSpaceDE w:val="0"/>
        <w:autoSpaceDN w:val="0"/>
        <w:adjustRightInd w:val="0"/>
        <w:spacing w:after="20" w:line="240" w:lineRule="auto"/>
        <w:ind w:left="284" w:hanging="284"/>
        <w:jc w:val="left"/>
        <w:rPr>
          <w:rFonts w:cs="Arial"/>
          <w:color w:val="000000"/>
          <w:szCs w:val="24"/>
        </w:rPr>
      </w:pPr>
      <w:r w:rsidRPr="00285CAD">
        <w:rPr>
          <w:rFonts w:cs="Arial"/>
          <w:color w:val="000000"/>
          <w:szCs w:val="24"/>
        </w:rPr>
        <w:t xml:space="preserve">el importe acumulado de los pagos mínimos futuros del arrendamiento, correspondientes a los arrendamientos operativos no cancelables, así como la distribución de dichos pagos futuros según los siguientes plazos: </w:t>
      </w:r>
    </w:p>
    <w:p w14:paraId="54FC87EF" w14:textId="77777777" w:rsidR="008A22DF" w:rsidRPr="009E4623" w:rsidRDefault="008A22DF" w:rsidP="008A22DF">
      <w:pPr>
        <w:numPr>
          <w:ilvl w:val="1"/>
          <w:numId w:val="31"/>
        </w:numPr>
        <w:autoSpaceDE w:val="0"/>
        <w:autoSpaceDN w:val="0"/>
        <w:adjustRightInd w:val="0"/>
        <w:spacing w:after="18" w:line="240" w:lineRule="auto"/>
        <w:jc w:val="left"/>
        <w:rPr>
          <w:rFonts w:cs="Arial"/>
          <w:color w:val="000000"/>
          <w:szCs w:val="24"/>
        </w:rPr>
      </w:pPr>
      <w:r w:rsidRPr="009E4623">
        <w:rPr>
          <w:rFonts w:cs="Arial"/>
          <w:color w:val="000000"/>
          <w:szCs w:val="24"/>
        </w:rPr>
        <w:t xml:space="preserve">a. hasta un año; </w:t>
      </w:r>
    </w:p>
    <w:p w14:paraId="76F7C4B9" w14:textId="77777777" w:rsidR="008A22DF" w:rsidRPr="009E4623" w:rsidRDefault="008A22DF" w:rsidP="008A22DF">
      <w:pPr>
        <w:numPr>
          <w:ilvl w:val="1"/>
          <w:numId w:val="31"/>
        </w:numPr>
        <w:autoSpaceDE w:val="0"/>
        <w:autoSpaceDN w:val="0"/>
        <w:adjustRightInd w:val="0"/>
        <w:spacing w:after="18" w:line="240" w:lineRule="auto"/>
        <w:jc w:val="left"/>
        <w:rPr>
          <w:rFonts w:cs="Arial"/>
          <w:color w:val="000000"/>
          <w:szCs w:val="24"/>
        </w:rPr>
      </w:pPr>
      <w:r w:rsidRPr="009E4623">
        <w:rPr>
          <w:rFonts w:cs="Arial"/>
          <w:color w:val="000000"/>
          <w:szCs w:val="24"/>
        </w:rPr>
        <w:t xml:space="preserve">b. entre uno y cinco años; </w:t>
      </w:r>
    </w:p>
    <w:p w14:paraId="1A42D270" w14:textId="77777777" w:rsidR="008A22DF" w:rsidRPr="009E4623" w:rsidRDefault="008A22DF" w:rsidP="008A22DF">
      <w:pPr>
        <w:numPr>
          <w:ilvl w:val="1"/>
          <w:numId w:val="31"/>
        </w:numPr>
        <w:autoSpaceDE w:val="0"/>
        <w:autoSpaceDN w:val="0"/>
        <w:adjustRightInd w:val="0"/>
        <w:spacing w:after="0" w:line="240" w:lineRule="auto"/>
        <w:jc w:val="left"/>
        <w:rPr>
          <w:rFonts w:cs="Arial"/>
          <w:color w:val="000000"/>
          <w:szCs w:val="24"/>
        </w:rPr>
      </w:pPr>
      <w:r w:rsidRPr="009E4623">
        <w:rPr>
          <w:rFonts w:cs="Arial"/>
          <w:color w:val="000000"/>
          <w:szCs w:val="24"/>
        </w:rPr>
        <w:t xml:space="preserve">c. más de cinco años; </w:t>
      </w:r>
    </w:p>
    <w:p w14:paraId="108FD574" w14:textId="77777777" w:rsidR="008A22DF" w:rsidRDefault="008A22DF" w:rsidP="008A22DF">
      <w:pPr>
        <w:pStyle w:val="Prrafodelista"/>
        <w:numPr>
          <w:ilvl w:val="0"/>
          <w:numId w:val="30"/>
        </w:numPr>
        <w:autoSpaceDE w:val="0"/>
        <w:autoSpaceDN w:val="0"/>
        <w:adjustRightInd w:val="0"/>
        <w:spacing w:after="20" w:line="240" w:lineRule="auto"/>
        <w:ind w:left="284" w:hanging="284"/>
        <w:jc w:val="left"/>
        <w:rPr>
          <w:rFonts w:cs="Arial"/>
          <w:color w:val="000000"/>
          <w:szCs w:val="24"/>
        </w:rPr>
      </w:pPr>
      <w:r w:rsidRPr="009E4623">
        <w:rPr>
          <w:rFonts w:cs="Arial"/>
          <w:color w:val="000000"/>
          <w:szCs w:val="24"/>
        </w:rPr>
        <w:t xml:space="preserve">el total de las cuotas de carácter contingente reconocidas en el estado de rendimiento financiero del período; y </w:t>
      </w:r>
    </w:p>
    <w:p w14:paraId="78FC708B" w14:textId="77777777" w:rsidR="008A22DF" w:rsidRPr="009E4623" w:rsidRDefault="008A22DF" w:rsidP="008A22DF">
      <w:pPr>
        <w:pStyle w:val="Prrafodelista"/>
        <w:numPr>
          <w:ilvl w:val="0"/>
          <w:numId w:val="30"/>
        </w:numPr>
        <w:autoSpaceDE w:val="0"/>
        <w:autoSpaceDN w:val="0"/>
        <w:adjustRightInd w:val="0"/>
        <w:spacing w:after="20" w:line="240" w:lineRule="auto"/>
        <w:ind w:left="284" w:hanging="284"/>
        <w:jc w:val="left"/>
        <w:rPr>
          <w:rFonts w:cs="Arial"/>
          <w:color w:val="000000"/>
          <w:szCs w:val="24"/>
        </w:rPr>
      </w:pPr>
      <w:r w:rsidRPr="009E4623">
        <w:rPr>
          <w:rFonts w:cs="Arial"/>
          <w:color w:val="000000"/>
          <w:szCs w:val="24"/>
        </w:rPr>
        <w:t xml:space="preserve">una descripción general de las condiciones de los arrendamientos acordados. </w:t>
      </w:r>
    </w:p>
    <w:p w14:paraId="0776878D" w14:textId="77777777" w:rsidR="008A22DF" w:rsidRDefault="008A22DF" w:rsidP="008A22DF">
      <w:pPr>
        <w:spacing w:after="0" w:line="240" w:lineRule="auto"/>
        <w:rPr>
          <w:lang w:eastAsia="es-CR"/>
        </w:rPr>
      </w:pPr>
    </w:p>
    <w:p w14:paraId="693AD3DC" w14:textId="77777777" w:rsidR="008A22DF" w:rsidRDefault="008A22DF" w:rsidP="008A22DF">
      <w:pPr>
        <w:spacing w:after="0" w:line="240" w:lineRule="auto"/>
        <w:rPr>
          <w:lang w:eastAsia="es-CR"/>
        </w:rPr>
      </w:pPr>
    </w:p>
    <w:p w14:paraId="10DE7C23" w14:textId="77777777" w:rsidR="008A22DF" w:rsidRPr="00385A6C" w:rsidRDefault="008A22DF" w:rsidP="008A22DF">
      <w:pPr>
        <w:spacing w:after="0" w:line="240" w:lineRule="auto"/>
        <w:rPr>
          <w:b/>
          <w:bCs/>
          <w:lang w:eastAsia="es-CR"/>
        </w:rPr>
      </w:pPr>
      <w:r w:rsidRPr="00385A6C">
        <w:rPr>
          <w:b/>
          <w:bCs/>
          <w:lang w:eastAsia="es-CR"/>
        </w:rPr>
        <w:t>Otras Revelaciones</w:t>
      </w:r>
    </w:p>
    <w:p w14:paraId="424CFCB1" w14:textId="77777777" w:rsidR="008A22DF" w:rsidRDefault="008A22DF" w:rsidP="008A22DF">
      <w:pPr>
        <w:spacing w:after="0" w:line="240" w:lineRule="auto"/>
      </w:pPr>
    </w:p>
    <w:p w14:paraId="1E86F210" w14:textId="77777777" w:rsidR="008A22DF" w:rsidRPr="005C6BF2" w:rsidRDefault="008A22DF" w:rsidP="008A22DF">
      <w:pPr>
        <w:spacing w:after="0" w:line="240" w:lineRule="auto"/>
      </w:pPr>
      <w:r>
        <w:t>En relación con la NICSP 13, es pertinente señalar que l</w:t>
      </w:r>
      <w:r w:rsidRPr="005C6BF2">
        <w:t>a Municipalidad de Buenos Aires, en cumplimiento del mandato legal establecido por medio del artículo 3 del Código Municipal de velar por los intereses y servicios cantonales, destina varios espacios públicos de su propiedad para promover el desarrollo cantonal y apoyar a su ciudadanía en su fortalecimiento económico y promoción de fuentes de empleo en el Cantón.</w:t>
      </w:r>
    </w:p>
    <w:p w14:paraId="3A010889" w14:textId="77777777" w:rsidR="008A22DF" w:rsidRPr="005C6BF2" w:rsidRDefault="008A22DF" w:rsidP="008A22DF">
      <w:pPr>
        <w:spacing w:after="0" w:line="240" w:lineRule="auto"/>
      </w:pPr>
    </w:p>
    <w:p w14:paraId="54B13680" w14:textId="77777777" w:rsidR="008A22DF" w:rsidRDefault="008A22DF" w:rsidP="008A22DF">
      <w:pPr>
        <w:spacing w:after="0" w:line="240" w:lineRule="auto"/>
      </w:pPr>
      <w:r>
        <w:t>Como parte del proceso de implementación la Municipalidad se encuentra realizando un estudio sobre los bienes municipales dados en arrendamiento, localizando los contratos para establecer su existencia y Vigencia.</w:t>
      </w:r>
    </w:p>
    <w:p w14:paraId="2D84B853" w14:textId="77777777" w:rsidR="008A22DF" w:rsidRDefault="008A22DF" w:rsidP="008A22DF">
      <w:pPr>
        <w:spacing w:after="0" w:line="240" w:lineRule="auto"/>
      </w:pPr>
    </w:p>
    <w:p w14:paraId="57A00A3D" w14:textId="77777777" w:rsidR="008A22DF" w:rsidRDefault="008A22DF" w:rsidP="008A22DF">
      <w:pPr>
        <w:spacing w:after="0" w:line="240" w:lineRule="auto"/>
      </w:pPr>
      <w:r>
        <w:t xml:space="preserve">Al respecto, se tienen identificados los siguientes bienes dados en </w:t>
      </w:r>
      <w:r w:rsidRPr="005C6BF2">
        <w:t>arriend</w:t>
      </w:r>
      <w:r>
        <w:t>o operativo:</w:t>
      </w:r>
      <w:r w:rsidRPr="005C6BF2">
        <w:t xml:space="preserve"> diecisiete (17) locales ubicados en el mercado municipal, en el cual se desarrollan actividades comerciales como bazar, zapaterías, sodas, verdulerías, panaderías, entre otras. También</w:t>
      </w:r>
      <w:r>
        <w:t>,</w:t>
      </w:r>
      <w:r w:rsidRPr="005C6BF2">
        <w:t xml:space="preserve"> arrienda tres (3) locales ubicados en </w:t>
      </w:r>
      <w:bookmarkStart w:id="50" w:name="_Hlk78148474"/>
      <w:r w:rsidRPr="005C6BF2">
        <w:t>la terminal de autobuses</w:t>
      </w:r>
      <w:bookmarkEnd w:id="50"/>
      <w:r w:rsidRPr="005C6BF2">
        <w:t>, con la intención de coadyuvar a la actividad comercial del Cantón. Por último y con el fin de promover un desarrollo urbano controlado, mantiene en operación 7 espacios físicos destinado para terminal de autobuses, que brinda facilidades, tanto a los empresarios como a los usuarios del servicio de transporte colectivo.</w:t>
      </w:r>
    </w:p>
    <w:p w14:paraId="31B5A7F1" w14:textId="77777777" w:rsidR="008A22DF" w:rsidRDefault="008A22DF" w:rsidP="008A22DF">
      <w:pPr>
        <w:spacing w:after="0" w:line="240" w:lineRule="auto"/>
      </w:pPr>
    </w:p>
    <w:p w14:paraId="20F8A3F7" w14:textId="77777777" w:rsidR="008A22DF" w:rsidRPr="005C6BF2" w:rsidRDefault="008A22DF" w:rsidP="008A22DF">
      <w:pPr>
        <w:spacing w:after="0" w:line="240" w:lineRule="auto"/>
      </w:pPr>
      <w:r>
        <w:t>De acuerdo con la información suministrada por la Unidad Primaria de Registro el detalle los arrendamientos operativos mencionados es el siguiente:</w:t>
      </w:r>
    </w:p>
    <w:p w14:paraId="7DB70548" w14:textId="77777777" w:rsidR="008A22DF" w:rsidRDefault="008A22DF" w:rsidP="008A22DF">
      <w:pPr>
        <w:pStyle w:val="NormalWeb"/>
        <w:spacing w:before="0" w:beforeAutospacing="0" w:after="0" w:afterAutospacing="0"/>
        <w:rPr>
          <w:rFonts w:ascii="Arial Narrow" w:hAnsi="Arial Narrow"/>
          <w:sz w:val="22"/>
          <w:szCs w:val="22"/>
        </w:rPr>
      </w:pPr>
    </w:p>
    <w:p w14:paraId="71529117" w14:textId="77777777" w:rsidR="008A22DF" w:rsidRPr="0042740E" w:rsidRDefault="008A22DF" w:rsidP="008A22DF">
      <w:pPr>
        <w:spacing w:after="0" w:line="240" w:lineRule="auto"/>
      </w:pPr>
      <w:r w:rsidRPr="00040A91">
        <w:rPr>
          <w:noProof/>
          <w:lang w:eastAsia="es-CR"/>
        </w:rPr>
        <w:drawing>
          <wp:inline distT="0" distB="0" distL="0" distR="0" wp14:anchorId="494A47CD" wp14:editId="41B159DD">
            <wp:extent cx="5612130" cy="139319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1393190"/>
                    </a:xfrm>
                    <a:prstGeom prst="rect">
                      <a:avLst/>
                    </a:prstGeom>
                    <a:noFill/>
                    <a:ln>
                      <a:noFill/>
                    </a:ln>
                  </pic:spPr>
                </pic:pic>
              </a:graphicData>
            </a:graphic>
          </wp:inline>
        </w:drawing>
      </w:r>
    </w:p>
    <w:p w14:paraId="07951BF7" w14:textId="77777777" w:rsidR="008A22DF" w:rsidRDefault="008A22DF" w:rsidP="008A22DF">
      <w:pPr>
        <w:spacing w:after="0" w:line="240" w:lineRule="auto"/>
        <w:ind w:right="51"/>
        <w:rPr>
          <w:sz w:val="22"/>
          <w:lang w:eastAsia="es-CR"/>
        </w:rPr>
      </w:pPr>
    </w:p>
    <w:p w14:paraId="7E5E88E6" w14:textId="77777777" w:rsidR="008A22DF" w:rsidRDefault="008A22DF" w:rsidP="008A22DF">
      <w:pPr>
        <w:spacing w:after="0" w:line="240" w:lineRule="auto"/>
      </w:pPr>
      <w:r>
        <w:t>Como se indicó anteriormente, la información contenida el cuadro consignado esta siendo objeto de revisión para establecer su corrección. Como parte del trabajo realizado debe indicarse que aun falta de ubicar algunos contratos.</w:t>
      </w:r>
    </w:p>
    <w:p w14:paraId="0BB6EC46" w14:textId="77777777" w:rsidR="008A22DF" w:rsidRDefault="008A22DF" w:rsidP="008A22DF">
      <w:pPr>
        <w:spacing w:after="0" w:line="240" w:lineRule="auto"/>
      </w:pPr>
    </w:p>
    <w:p w14:paraId="0392F1B4" w14:textId="77777777" w:rsidR="008A22DF" w:rsidRPr="00884A85" w:rsidRDefault="008A22DF" w:rsidP="008A22DF">
      <w:pPr>
        <w:spacing w:after="0" w:line="240" w:lineRule="auto"/>
      </w:pPr>
      <w:bookmarkStart w:id="51" w:name="_Hlk158794162"/>
      <w:r w:rsidRPr="005C6BF2">
        <w:t xml:space="preserve">Por otra parte, la Municipalidad </w:t>
      </w:r>
      <w:r>
        <w:t xml:space="preserve">tiene en arrendamiento operativo </w:t>
      </w:r>
      <w:bookmarkStart w:id="52" w:name="_Hlk78148505"/>
      <w:r>
        <w:t>el</w:t>
      </w:r>
      <w:r w:rsidRPr="005C6BF2">
        <w:t xml:space="preserve"> edificio donde se ubica las oficinas de nuestra Unidad Técnica de Gestión Vial Municipal</w:t>
      </w:r>
      <w:bookmarkEnd w:id="52"/>
      <w:r>
        <w:t xml:space="preserve"> por el cual la Municipalidad</w:t>
      </w:r>
      <w:r w:rsidRPr="005C6BF2">
        <w:t>.</w:t>
      </w:r>
      <w:r>
        <w:t xml:space="preserve"> Dicho edificio pertenece al </w:t>
      </w:r>
      <w:r w:rsidRPr="005C6BF2">
        <w:t>Sr. Henry H. Braddock Stradtmann,</w:t>
      </w:r>
      <w:r>
        <w:t xml:space="preserve"> por dicho inmueble la Municipalidad cancela la suma de </w:t>
      </w:r>
      <w:r w:rsidRPr="00AB666C">
        <w:rPr>
          <w:rFonts w:ascii="Arial" w:eastAsia="Times New Roman" w:hAnsi="Arial" w:cs="Arial"/>
          <w:color w:val="000000"/>
          <w:sz w:val="20"/>
          <w:szCs w:val="20"/>
        </w:rPr>
        <w:t>₡1</w:t>
      </w:r>
      <w:r>
        <w:rPr>
          <w:rFonts w:ascii="Arial" w:eastAsia="Times New Roman" w:hAnsi="Arial" w:cs="Arial"/>
          <w:color w:val="000000"/>
          <w:sz w:val="20"/>
          <w:szCs w:val="20"/>
        </w:rPr>
        <w:t>4 000 000,00 anuales (</w:t>
      </w:r>
      <w:r w:rsidRPr="00AB666C">
        <w:rPr>
          <w:rFonts w:ascii="Arial" w:eastAsia="Times New Roman" w:hAnsi="Arial" w:cs="Arial"/>
          <w:color w:val="000000"/>
          <w:sz w:val="20"/>
          <w:szCs w:val="20"/>
        </w:rPr>
        <w:t>₡</w:t>
      </w:r>
      <w:r>
        <w:t xml:space="preserve">1 200 000,00 colones mensuales), de acuerdo con lo establecido en el Contrato Número </w:t>
      </w:r>
      <w:r w:rsidRPr="00884A85">
        <w:t>0432019000400276-03</w:t>
      </w:r>
      <w:r>
        <w:t xml:space="preserve"> del 19 de enero de 2023, cuya vigencia es del 13 de enero 2023 al 12 de enero de 2024, prorrogable por tres años.</w:t>
      </w:r>
    </w:p>
    <w:bookmarkEnd w:id="51"/>
    <w:p w14:paraId="374F49AD" w14:textId="77777777" w:rsidR="008A22DF" w:rsidRDefault="008A22DF" w:rsidP="008A22DF">
      <w:pPr>
        <w:autoSpaceDE w:val="0"/>
        <w:autoSpaceDN w:val="0"/>
        <w:adjustRightInd w:val="0"/>
        <w:spacing w:after="0" w:line="240" w:lineRule="auto"/>
        <w:jc w:val="left"/>
        <w:rPr>
          <w:rFonts w:ascii="Arial" w:hAnsi="Arial" w:cs="Arial"/>
          <w:color w:val="000000"/>
          <w:szCs w:val="24"/>
        </w:rPr>
      </w:pPr>
    </w:p>
    <w:p w14:paraId="77CA5008" w14:textId="49830885" w:rsidR="008A22DF" w:rsidRDefault="008A22DF" w:rsidP="008A22DF">
      <w:pPr>
        <w:spacing w:line="240" w:lineRule="auto"/>
        <w:rPr>
          <w:szCs w:val="24"/>
          <w:lang w:eastAsia="es-CR"/>
        </w:rPr>
      </w:pPr>
      <w:r>
        <w:rPr>
          <w:szCs w:val="24"/>
          <w:lang w:eastAsia="es-CR"/>
        </w:rPr>
        <w:t xml:space="preserve">De acuerdo con lo consignado en la Matriz de NICSP y Plan de Acción al </w:t>
      </w:r>
      <w:r w:rsidR="00D470B6">
        <w:rPr>
          <w:szCs w:val="24"/>
          <w:lang w:eastAsia="es-CR"/>
        </w:rPr>
        <w:t>30 de junio</w:t>
      </w:r>
      <w:r>
        <w:rPr>
          <w:szCs w:val="24"/>
          <w:lang w:eastAsia="es-CR"/>
        </w:rPr>
        <w:t xml:space="preserve"> se encuentra pendiente de implementar lo siguiente:</w:t>
      </w:r>
    </w:p>
    <w:tbl>
      <w:tblPr>
        <w:tblW w:w="8779" w:type="dxa"/>
        <w:tblLook w:val="04A0" w:firstRow="1" w:lastRow="0" w:firstColumn="1" w:lastColumn="0" w:noHBand="0" w:noVBand="1"/>
      </w:tblPr>
      <w:tblGrid>
        <w:gridCol w:w="7361"/>
        <w:gridCol w:w="1418"/>
      </w:tblGrid>
      <w:tr w:rsidR="008A22DF" w:rsidRPr="003B67AD" w14:paraId="199C61CD" w14:textId="77777777" w:rsidTr="004653E2">
        <w:trPr>
          <w:trHeight w:val="530"/>
        </w:trPr>
        <w:tc>
          <w:tcPr>
            <w:tcW w:w="736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76D291C" w14:textId="77777777" w:rsidR="008A22DF" w:rsidRPr="003B67AD" w:rsidRDefault="008A22DF" w:rsidP="004653E2">
            <w:pPr>
              <w:spacing w:after="0" w:line="240" w:lineRule="auto"/>
              <w:jc w:val="center"/>
              <w:rPr>
                <w:rFonts w:eastAsia="Times New Roman" w:cs="Calibri"/>
                <w:b/>
                <w:bCs/>
                <w:sz w:val="20"/>
                <w:szCs w:val="20"/>
                <w:lang w:val="en-US"/>
              </w:rPr>
            </w:pPr>
            <w:r w:rsidRPr="003B67AD">
              <w:rPr>
                <w:rFonts w:eastAsia="Times New Roman" w:cs="Calibri"/>
                <w:b/>
                <w:bCs/>
                <w:sz w:val="20"/>
                <w:szCs w:val="20"/>
                <w:lang w:val="en-US"/>
              </w:rPr>
              <w:t>Actividades Pendientes de Cumplimiento</w:t>
            </w:r>
          </w:p>
        </w:tc>
        <w:tc>
          <w:tcPr>
            <w:tcW w:w="1418" w:type="dxa"/>
            <w:tcBorders>
              <w:top w:val="single" w:sz="8" w:space="0" w:color="auto"/>
              <w:left w:val="nil"/>
              <w:bottom w:val="single" w:sz="4" w:space="0" w:color="auto"/>
              <w:right w:val="single" w:sz="8" w:space="0" w:color="auto"/>
            </w:tcBorders>
            <w:shd w:val="clear" w:color="000000" w:fill="FFFFFF"/>
            <w:vAlign w:val="bottom"/>
            <w:hideMark/>
          </w:tcPr>
          <w:p w14:paraId="21CEE7B9" w14:textId="77777777" w:rsidR="008A22DF" w:rsidRPr="003B67AD" w:rsidRDefault="008A22DF" w:rsidP="004653E2">
            <w:pPr>
              <w:spacing w:after="0" w:line="240" w:lineRule="auto"/>
              <w:jc w:val="center"/>
              <w:rPr>
                <w:rFonts w:eastAsia="Times New Roman" w:cs="Calibri"/>
                <w:b/>
                <w:bCs/>
                <w:color w:val="000000"/>
                <w:sz w:val="20"/>
                <w:szCs w:val="20"/>
                <w:lang w:val="en-US"/>
              </w:rPr>
            </w:pPr>
            <w:r w:rsidRPr="003B67AD">
              <w:rPr>
                <w:rFonts w:eastAsia="Times New Roman" w:cs="Calibri"/>
                <w:b/>
                <w:bCs/>
                <w:color w:val="000000"/>
                <w:sz w:val="20"/>
                <w:szCs w:val="20"/>
                <w:lang w:val="en-US"/>
              </w:rPr>
              <w:t>Fecha Estimada Cumplimiento</w:t>
            </w:r>
          </w:p>
        </w:tc>
      </w:tr>
      <w:tr w:rsidR="008A22DF" w:rsidRPr="003B67AD" w14:paraId="3136F565" w14:textId="77777777" w:rsidTr="004653E2">
        <w:trPr>
          <w:trHeight w:val="299"/>
        </w:trPr>
        <w:tc>
          <w:tcPr>
            <w:tcW w:w="7361" w:type="dxa"/>
            <w:tcBorders>
              <w:top w:val="nil"/>
              <w:left w:val="single" w:sz="8" w:space="0" w:color="auto"/>
              <w:bottom w:val="single" w:sz="4" w:space="0" w:color="auto"/>
              <w:right w:val="single" w:sz="4" w:space="0" w:color="auto"/>
            </w:tcBorders>
            <w:shd w:val="clear" w:color="000000" w:fill="FFFFFF"/>
            <w:hideMark/>
          </w:tcPr>
          <w:p w14:paraId="1F60B4CA" w14:textId="77777777" w:rsidR="008A22DF" w:rsidRPr="003B67AD" w:rsidRDefault="008A22DF" w:rsidP="004653E2">
            <w:pPr>
              <w:spacing w:after="0" w:line="240" w:lineRule="auto"/>
              <w:rPr>
                <w:rFonts w:eastAsia="Times New Roman" w:cs="Calibri"/>
                <w:sz w:val="20"/>
                <w:szCs w:val="20"/>
              </w:rPr>
            </w:pPr>
            <w:r w:rsidRPr="003B67AD">
              <w:rPr>
                <w:rFonts w:eastAsia="Times New Roman" w:cs="Calibri"/>
                <w:sz w:val="20"/>
                <w:szCs w:val="20"/>
              </w:rPr>
              <w:t>Identificar los indicios de deterioro del valor de los activos en arrendamiento operativo.</w:t>
            </w:r>
          </w:p>
        </w:tc>
        <w:tc>
          <w:tcPr>
            <w:tcW w:w="1418" w:type="dxa"/>
            <w:tcBorders>
              <w:top w:val="nil"/>
              <w:left w:val="nil"/>
              <w:bottom w:val="single" w:sz="4" w:space="0" w:color="auto"/>
              <w:right w:val="single" w:sz="8" w:space="0" w:color="auto"/>
            </w:tcBorders>
            <w:shd w:val="clear" w:color="000000" w:fill="FFFFFF"/>
            <w:noWrap/>
            <w:vAlign w:val="center"/>
            <w:hideMark/>
          </w:tcPr>
          <w:p w14:paraId="5C046F84" w14:textId="07C3FC7A" w:rsidR="008A22DF" w:rsidRPr="003B67AD" w:rsidRDefault="004653E2" w:rsidP="004653E2">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31/12</w:t>
            </w:r>
            <w:r w:rsidR="008A22DF" w:rsidRPr="003B67AD">
              <w:rPr>
                <w:rFonts w:eastAsia="Times New Roman" w:cs="Calibri"/>
                <w:color w:val="000000"/>
                <w:sz w:val="20"/>
                <w:szCs w:val="20"/>
                <w:lang w:val="en-US"/>
              </w:rPr>
              <w:t>/24</w:t>
            </w:r>
          </w:p>
        </w:tc>
      </w:tr>
      <w:tr w:rsidR="004653E2" w:rsidRPr="003B67AD" w14:paraId="1D321D31" w14:textId="77777777" w:rsidTr="004653E2">
        <w:trPr>
          <w:trHeight w:val="701"/>
        </w:trPr>
        <w:tc>
          <w:tcPr>
            <w:tcW w:w="7361" w:type="dxa"/>
            <w:tcBorders>
              <w:top w:val="nil"/>
              <w:left w:val="single" w:sz="8" w:space="0" w:color="auto"/>
              <w:bottom w:val="single" w:sz="4" w:space="0" w:color="auto"/>
              <w:right w:val="single" w:sz="4" w:space="0" w:color="auto"/>
            </w:tcBorders>
            <w:shd w:val="clear" w:color="000000" w:fill="FFFFFF"/>
            <w:hideMark/>
          </w:tcPr>
          <w:p w14:paraId="2470E063" w14:textId="77777777" w:rsidR="004653E2" w:rsidRPr="003B67AD" w:rsidRDefault="004653E2" w:rsidP="004653E2">
            <w:pPr>
              <w:spacing w:after="0" w:line="240" w:lineRule="auto"/>
              <w:rPr>
                <w:rFonts w:eastAsia="Times New Roman" w:cs="Calibri"/>
                <w:sz w:val="20"/>
                <w:szCs w:val="20"/>
              </w:rPr>
            </w:pPr>
            <w:r w:rsidRPr="003B67AD">
              <w:rPr>
                <w:rFonts w:eastAsia="Times New Roman" w:cs="Calibri"/>
                <w:sz w:val="20"/>
                <w:szCs w:val="20"/>
              </w:rPr>
              <w:t>Medir y Reconocer el deteriodro sufrido por los activos en arrendamiento operativo que como arrendador mantiene la Municipalidad, con fundamento en lo establecido por las NICSP que regulan esa materia.</w:t>
            </w:r>
          </w:p>
        </w:tc>
        <w:tc>
          <w:tcPr>
            <w:tcW w:w="1418" w:type="dxa"/>
            <w:tcBorders>
              <w:top w:val="nil"/>
              <w:left w:val="nil"/>
              <w:bottom w:val="single" w:sz="4" w:space="0" w:color="auto"/>
              <w:right w:val="single" w:sz="8" w:space="0" w:color="auto"/>
            </w:tcBorders>
            <w:shd w:val="clear" w:color="000000" w:fill="FFFFFF"/>
            <w:noWrap/>
            <w:hideMark/>
          </w:tcPr>
          <w:p w14:paraId="195CEE63" w14:textId="5672700C" w:rsidR="004653E2" w:rsidRPr="003B67AD" w:rsidRDefault="004653E2" w:rsidP="004653E2">
            <w:pPr>
              <w:spacing w:after="0" w:line="240" w:lineRule="auto"/>
              <w:jc w:val="center"/>
              <w:rPr>
                <w:rFonts w:eastAsia="Times New Roman" w:cs="Calibri"/>
                <w:color w:val="000000"/>
                <w:sz w:val="20"/>
                <w:szCs w:val="20"/>
                <w:lang w:val="en-US"/>
              </w:rPr>
            </w:pPr>
            <w:r w:rsidRPr="007A7D25">
              <w:rPr>
                <w:rFonts w:eastAsia="Times New Roman" w:cs="Calibri"/>
                <w:color w:val="000000"/>
                <w:sz w:val="20"/>
                <w:szCs w:val="20"/>
                <w:lang w:val="en-US"/>
              </w:rPr>
              <w:t>31/12/24</w:t>
            </w:r>
          </w:p>
        </w:tc>
      </w:tr>
      <w:tr w:rsidR="004653E2" w:rsidRPr="003B67AD" w14:paraId="6B32E14E" w14:textId="77777777" w:rsidTr="004653E2">
        <w:trPr>
          <w:trHeight w:val="290"/>
        </w:trPr>
        <w:tc>
          <w:tcPr>
            <w:tcW w:w="7361" w:type="dxa"/>
            <w:tcBorders>
              <w:top w:val="nil"/>
              <w:left w:val="single" w:sz="8" w:space="0" w:color="auto"/>
              <w:bottom w:val="single" w:sz="4" w:space="0" w:color="auto"/>
              <w:right w:val="single" w:sz="4" w:space="0" w:color="auto"/>
            </w:tcBorders>
            <w:shd w:val="clear" w:color="000000" w:fill="FFFFFF"/>
            <w:hideMark/>
          </w:tcPr>
          <w:p w14:paraId="26969062" w14:textId="77777777" w:rsidR="004653E2" w:rsidRPr="003B67AD" w:rsidRDefault="004653E2" w:rsidP="004653E2">
            <w:pPr>
              <w:spacing w:after="0" w:line="240" w:lineRule="auto"/>
              <w:rPr>
                <w:rFonts w:eastAsia="Times New Roman" w:cs="Calibri"/>
                <w:sz w:val="20"/>
                <w:szCs w:val="20"/>
              </w:rPr>
            </w:pPr>
            <w:r w:rsidRPr="003B67AD">
              <w:rPr>
                <w:rFonts w:eastAsia="Times New Roman" w:cs="Calibri"/>
                <w:sz w:val="20"/>
                <w:szCs w:val="20"/>
              </w:rPr>
              <w:t>Realizar las revelaciones establecidas en la norma referente a los arrendamientos.</w:t>
            </w:r>
          </w:p>
        </w:tc>
        <w:tc>
          <w:tcPr>
            <w:tcW w:w="1418" w:type="dxa"/>
            <w:tcBorders>
              <w:top w:val="nil"/>
              <w:left w:val="nil"/>
              <w:bottom w:val="single" w:sz="4" w:space="0" w:color="auto"/>
              <w:right w:val="single" w:sz="8" w:space="0" w:color="auto"/>
            </w:tcBorders>
            <w:shd w:val="clear" w:color="000000" w:fill="FFFFFF"/>
            <w:noWrap/>
            <w:hideMark/>
          </w:tcPr>
          <w:p w14:paraId="792DC030" w14:textId="082D38DC" w:rsidR="004653E2" w:rsidRPr="003B67AD" w:rsidRDefault="004653E2" w:rsidP="004653E2">
            <w:pPr>
              <w:spacing w:after="0" w:line="240" w:lineRule="auto"/>
              <w:jc w:val="center"/>
              <w:rPr>
                <w:rFonts w:eastAsia="Times New Roman" w:cs="Calibri"/>
                <w:color w:val="000000"/>
                <w:sz w:val="20"/>
                <w:szCs w:val="20"/>
                <w:lang w:val="en-US"/>
              </w:rPr>
            </w:pPr>
            <w:r w:rsidRPr="007A7D25">
              <w:rPr>
                <w:rFonts w:eastAsia="Times New Roman" w:cs="Calibri"/>
                <w:color w:val="000000"/>
                <w:sz w:val="20"/>
                <w:szCs w:val="20"/>
                <w:lang w:val="en-US"/>
              </w:rPr>
              <w:t>31/12/24</w:t>
            </w:r>
          </w:p>
        </w:tc>
      </w:tr>
      <w:tr w:rsidR="004653E2" w:rsidRPr="003B67AD" w14:paraId="346D115D" w14:textId="77777777" w:rsidTr="004653E2">
        <w:trPr>
          <w:trHeight w:val="461"/>
        </w:trPr>
        <w:tc>
          <w:tcPr>
            <w:tcW w:w="7361" w:type="dxa"/>
            <w:tcBorders>
              <w:top w:val="nil"/>
              <w:left w:val="single" w:sz="8" w:space="0" w:color="auto"/>
              <w:bottom w:val="single" w:sz="8" w:space="0" w:color="auto"/>
              <w:right w:val="single" w:sz="4" w:space="0" w:color="auto"/>
            </w:tcBorders>
            <w:shd w:val="clear" w:color="000000" w:fill="FFFFFF"/>
            <w:hideMark/>
          </w:tcPr>
          <w:p w14:paraId="19FA4E85" w14:textId="77777777" w:rsidR="004653E2" w:rsidRPr="003B67AD" w:rsidRDefault="004653E2" w:rsidP="004653E2">
            <w:pPr>
              <w:spacing w:after="0" w:line="240" w:lineRule="auto"/>
              <w:jc w:val="left"/>
              <w:rPr>
                <w:rFonts w:eastAsia="Times New Roman" w:cs="Calibri"/>
                <w:sz w:val="20"/>
                <w:szCs w:val="20"/>
              </w:rPr>
            </w:pPr>
            <w:r w:rsidRPr="003B67AD">
              <w:rPr>
                <w:rFonts w:eastAsia="Times New Roman" w:cs="Calibri"/>
                <w:sz w:val="20"/>
                <w:szCs w:val="20"/>
              </w:rPr>
              <w:t>Determinar con las instancias respectivas la información relativa a los contratos de arrendamiento suscritos por la Municipalidad y verificar sus características y condiciones de arriendo.</w:t>
            </w:r>
          </w:p>
        </w:tc>
        <w:tc>
          <w:tcPr>
            <w:tcW w:w="1418" w:type="dxa"/>
            <w:tcBorders>
              <w:top w:val="nil"/>
              <w:left w:val="nil"/>
              <w:bottom w:val="single" w:sz="8" w:space="0" w:color="auto"/>
              <w:right w:val="single" w:sz="8" w:space="0" w:color="auto"/>
            </w:tcBorders>
            <w:shd w:val="clear" w:color="000000" w:fill="FFFFFF"/>
            <w:noWrap/>
            <w:hideMark/>
          </w:tcPr>
          <w:p w14:paraId="32A30E6C" w14:textId="571F3B09" w:rsidR="004653E2" w:rsidRPr="003B67AD" w:rsidRDefault="004653E2" w:rsidP="004653E2">
            <w:pPr>
              <w:spacing w:after="0" w:line="240" w:lineRule="auto"/>
              <w:jc w:val="center"/>
              <w:rPr>
                <w:rFonts w:eastAsia="Times New Roman" w:cs="Calibri"/>
                <w:color w:val="000000"/>
                <w:sz w:val="20"/>
                <w:szCs w:val="20"/>
                <w:lang w:val="en-US"/>
              </w:rPr>
            </w:pPr>
            <w:r w:rsidRPr="007A7D25">
              <w:rPr>
                <w:rFonts w:eastAsia="Times New Roman" w:cs="Calibri"/>
                <w:color w:val="000000"/>
                <w:sz w:val="20"/>
                <w:szCs w:val="20"/>
                <w:lang w:val="en-US"/>
              </w:rPr>
              <w:t>31/12/24</w:t>
            </w:r>
          </w:p>
        </w:tc>
      </w:tr>
    </w:tbl>
    <w:p w14:paraId="573FE53D" w14:textId="77777777" w:rsidR="008A22DF" w:rsidRDefault="008A22DF" w:rsidP="008A22DF">
      <w:pPr>
        <w:autoSpaceDE w:val="0"/>
        <w:autoSpaceDN w:val="0"/>
        <w:adjustRightInd w:val="0"/>
        <w:spacing w:after="0" w:line="240" w:lineRule="auto"/>
        <w:jc w:val="left"/>
        <w:rPr>
          <w:rFonts w:ascii="Arial" w:hAnsi="Arial" w:cs="Arial"/>
          <w:color w:val="000000"/>
          <w:szCs w:val="24"/>
        </w:rPr>
      </w:pPr>
    </w:p>
    <w:p w14:paraId="7A21E047" w14:textId="63BCA6AA" w:rsidR="005D574A" w:rsidRDefault="005D574A" w:rsidP="005D574A"/>
    <w:p w14:paraId="11989AD9" w14:textId="306B2942" w:rsidR="000B404C" w:rsidRPr="00A649A4" w:rsidRDefault="000B404C" w:rsidP="00A649A4">
      <w:pPr>
        <w:pStyle w:val="Ttulo2"/>
        <w:spacing w:after="240"/>
        <w:rPr>
          <w:rFonts w:eastAsia="Times New Roman"/>
          <w:lang w:eastAsia="es-CR"/>
        </w:rPr>
      </w:pPr>
      <w:bookmarkStart w:id="53" w:name="_Toc33601181"/>
      <w:bookmarkStart w:id="54" w:name="_Toc54961680"/>
      <w:bookmarkStart w:id="55" w:name="_Toc82768876"/>
      <w:bookmarkStart w:id="56" w:name="_Toc173245196"/>
      <w:r w:rsidRPr="000B404C">
        <w:rPr>
          <w:rFonts w:eastAsia="Times New Roman"/>
          <w:lang w:eastAsia="es-CR"/>
        </w:rPr>
        <w:t>NICSP 14-HECHOS OCURRIDOS DESPUÉS DE FECHA DE PRESENTACIÓN</w:t>
      </w:r>
      <w:bookmarkEnd w:id="53"/>
      <w:bookmarkEnd w:id="54"/>
      <w:r w:rsidRPr="000B404C">
        <w:rPr>
          <w:rFonts w:eastAsia="Times New Roman"/>
          <w:lang w:eastAsia="es-CR"/>
        </w:rPr>
        <w:t xml:space="preserve"> (DE APLICACIÓN OBLIGATORIA):</w:t>
      </w:r>
      <w:bookmarkEnd w:id="55"/>
      <w:bookmarkEnd w:id="56"/>
      <w:r w:rsidRPr="000B404C">
        <w:rPr>
          <w:rFonts w:eastAsia="Times New Roman"/>
          <w:lang w:eastAsia="es-CR"/>
        </w:rPr>
        <w:t xml:space="preserve"> </w:t>
      </w:r>
    </w:p>
    <w:p w14:paraId="54B09A1A" w14:textId="77777777" w:rsidR="00694299" w:rsidRDefault="000B404C" w:rsidP="00900BB0">
      <w:pPr>
        <w:rPr>
          <w:rFonts w:asciiTheme="minorHAnsi" w:hAnsiTheme="minorHAnsi"/>
          <w:sz w:val="22"/>
        </w:rPr>
      </w:pPr>
      <w:bookmarkStart w:id="57" w:name="_Hlk123830644"/>
      <w:r w:rsidRPr="00FB0858">
        <w:t xml:space="preserve">De acuerdo con la </w:t>
      </w:r>
      <w:r w:rsidRPr="000B404C">
        <w:t>NICSP 14- Hechos ocurridos después de fecha de presentación</w:t>
      </w:r>
      <w:r>
        <w:t xml:space="preserve">, indicar si este rubro afecta SI o NO a la institución, </w:t>
      </w:r>
      <w:r w:rsidRPr="00405DBC">
        <w:t>además del porcentaje de avance</w:t>
      </w:r>
      <w:r>
        <w:t xml:space="preserve"> en la implementación</w:t>
      </w:r>
      <w:r w:rsidRPr="00405DBC">
        <w:t xml:space="preserve"> que presenta</w:t>
      </w:r>
      <w:r>
        <w:t>.</w:t>
      </w:r>
      <w:r w:rsidR="0025405A">
        <w:rPr>
          <w:lang w:eastAsia="es-CR"/>
        </w:rPr>
        <w:fldChar w:fldCharType="begin"/>
      </w:r>
      <w:r w:rsidR="0025405A">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NICSP_14!F9C3:F10C4 </w:instrText>
      </w:r>
      <w:r w:rsidR="0025405A">
        <w:rPr>
          <w:lang w:eastAsia="es-CR"/>
        </w:rPr>
        <w:instrText xml:space="preserve">\a \f 4 \h </w:instrText>
      </w:r>
      <w:r w:rsidR="0025405A">
        <w:rPr>
          <w:lang w:eastAsia="es-CR"/>
        </w:rPr>
        <w:fldChar w:fldCharType="separate"/>
      </w:r>
    </w:p>
    <w:tbl>
      <w:tblPr>
        <w:tblW w:w="4360" w:type="dxa"/>
        <w:tblCellMar>
          <w:left w:w="70" w:type="dxa"/>
          <w:right w:w="70" w:type="dxa"/>
        </w:tblCellMar>
        <w:tblLook w:val="04A0" w:firstRow="1" w:lastRow="0" w:firstColumn="1" w:lastColumn="0" w:noHBand="0" w:noVBand="1"/>
      </w:tblPr>
      <w:tblGrid>
        <w:gridCol w:w="2740"/>
        <w:gridCol w:w="1620"/>
      </w:tblGrid>
      <w:tr w:rsidR="00694299" w:rsidRPr="00694299" w14:paraId="7769361E" w14:textId="77777777" w:rsidTr="00694299">
        <w:trPr>
          <w:divId w:val="69619303"/>
          <w:trHeight w:val="324"/>
        </w:trPr>
        <w:tc>
          <w:tcPr>
            <w:tcW w:w="27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5622737B" w14:textId="0D321086"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51166"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Si</w:t>
            </w:r>
          </w:p>
        </w:tc>
      </w:tr>
      <w:tr w:rsidR="00694299" w:rsidRPr="00694299" w14:paraId="1C4F457E" w14:textId="77777777" w:rsidTr="00694299">
        <w:trPr>
          <w:divId w:val="69619303"/>
          <w:trHeight w:val="324"/>
        </w:trPr>
        <w:tc>
          <w:tcPr>
            <w:tcW w:w="2740" w:type="dxa"/>
            <w:tcBorders>
              <w:top w:val="nil"/>
              <w:left w:val="single" w:sz="8" w:space="0" w:color="auto"/>
              <w:bottom w:val="single" w:sz="8" w:space="0" w:color="auto"/>
              <w:right w:val="single" w:sz="8" w:space="0" w:color="auto"/>
            </w:tcBorders>
            <w:shd w:val="clear" w:color="000000" w:fill="17365D"/>
            <w:vAlign w:val="center"/>
            <w:hideMark/>
          </w:tcPr>
          <w:p w14:paraId="1A4E025B"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3DBD255D"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100,00%</w:t>
            </w:r>
          </w:p>
        </w:tc>
      </w:tr>
    </w:tbl>
    <w:p w14:paraId="76D8A752" w14:textId="0DEBB4DD" w:rsidR="000B404C" w:rsidRDefault="0025405A" w:rsidP="00900BB0">
      <w:pPr>
        <w:rPr>
          <w:b/>
          <w:sz w:val="16"/>
          <w:szCs w:val="16"/>
          <w:lang w:eastAsia="es-CR"/>
        </w:rPr>
      </w:pPr>
      <w:r>
        <w:rPr>
          <w:lang w:eastAsia="es-CR"/>
        </w:rPr>
        <w:fldChar w:fldCharType="end"/>
      </w:r>
      <w:r>
        <w:rPr>
          <w:lang w:eastAsia="es-CR"/>
        </w:rPr>
        <w:t xml:space="preserve">                                      </w:t>
      </w:r>
      <w:r w:rsidR="000B404C" w:rsidRPr="00C35565">
        <w:rPr>
          <w:b/>
          <w:sz w:val="16"/>
          <w:szCs w:val="16"/>
          <w:lang w:eastAsia="es-CR"/>
        </w:rPr>
        <w:t>-Aplicación Obligatoria-</w:t>
      </w:r>
    </w:p>
    <w:bookmarkEnd w:id="57"/>
    <w:p w14:paraId="7F337884" w14:textId="77777777" w:rsidR="000B404C" w:rsidRDefault="000B404C" w:rsidP="000B404C">
      <w:pPr>
        <w:rPr>
          <w:b/>
          <w:sz w:val="16"/>
          <w:szCs w:val="16"/>
          <w:lang w:eastAsia="es-CR"/>
        </w:rPr>
      </w:pPr>
    </w:p>
    <w:p w14:paraId="5752B9DF" w14:textId="74A359EF" w:rsidR="000B404C" w:rsidRDefault="000B404C" w:rsidP="000B404C">
      <w:pPr>
        <w:jc w:val="center"/>
      </w:pPr>
      <w:r>
        <w:rPr>
          <w:noProof/>
          <w:lang w:eastAsia="es-CR"/>
        </w:rPr>
        <w:drawing>
          <wp:inline distT="0" distB="0" distL="0" distR="0" wp14:anchorId="6004E590" wp14:editId="776BB2A5">
            <wp:extent cx="4212590" cy="128651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2590" cy="1286510"/>
                    </a:xfrm>
                    <a:prstGeom prst="rect">
                      <a:avLst/>
                    </a:prstGeom>
                    <a:noFill/>
                  </pic:spPr>
                </pic:pic>
              </a:graphicData>
            </a:graphic>
          </wp:inline>
        </w:drawing>
      </w:r>
    </w:p>
    <w:p w14:paraId="0FADCC90" w14:textId="77777777" w:rsidR="00694299" w:rsidRPr="00694299" w:rsidRDefault="000B404C" w:rsidP="00694299">
      <w:pPr>
        <w:rPr>
          <w:rFonts w:eastAsia="Calibri" w:cs="Arial"/>
          <w:color w:val="000000"/>
          <w:lang w:val="es-ES_tradnl"/>
        </w:rPr>
      </w:pPr>
      <w:r w:rsidRPr="000B404C">
        <w:rPr>
          <w:rFonts w:eastAsia="Calibri" w:cs="Arial"/>
          <w:color w:val="000000"/>
          <w:lang w:val="es-ES_tradnl"/>
        </w:rPr>
        <w:t>La fecha de emisión de los EEFF es aquélla en que los mismos son remitidos por el Ministerio de Hacienda a la Contraloría General de la República (conforme al plazo establecido en la normativa legal). La opinión de la Contraloría se efectúa sobre la base de dichos EEFF terminados.</w:t>
      </w:r>
      <w:r w:rsidR="00900BB0">
        <w:rPr>
          <w:lang w:val="es-ES_tradnl"/>
        </w:rPr>
        <w:fldChar w:fldCharType="begin"/>
      </w:r>
      <w:r w:rsidR="00900BB0">
        <w:rPr>
          <w:lang w:val="es-ES_tradnl"/>
        </w:rPr>
        <w:instrText xml:space="preserve"> LINK </w:instrText>
      </w:r>
      <w:r w:rsidR="00323752">
        <w:rPr>
          <w:lang w:val="es-ES_tradnl"/>
        </w:rPr>
        <w:instrText xml:space="preserve">Excel.SheetMacroEnabled.12 "D:\\MORAVIA\\INSUMOS\\NOTAS 2024\\Formato_Notas_EEFF_Vinculadas_2024\\XXXXX_PXX_202X_Anexo_Estado_Notas_Contables_Vinculadas.xlsm" NICSP_14!F15C5:F24C6 </w:instrText>
      </w:r>
      <w:r w:rsidR="00900BB0">
        <w:rPr>
          <w:lang w:val="es-ES_tradnl"/>
        </w:rPr>
        <w:instrText xml:space="preserve">\a \f 4 \h  \* MERGEFORMAT </w:instrText>
      </w:r>
      <w:r w:rsidR="00900BB0">
        <w:rPr>
          <w:lang w:val="es-ES_tradnl"/>
        </w:rPr>
        <w:fldChar w:fldCharType="separate"/>
      </w:r>
    </w:p>
    <w:tbl>
      <w:tblPr>
        <w:tblW w:w="8286" w:type="dxa"/>
        <w:jc w:val="center"/>
        <w:tblCellMar>
          <w:left w:w="70" w:type="dxa"/>
          <w:right w:w="70" w:type="dxa"/>
        </w:tblCellMar>
        <w:tblLook w:val="04A0" w:firstRow="1" w:lastRow="0" w:firstColumn="1" w:lastColumn="0" w:noHBand="0" w:noVBand="1"/>
      </w:tblPr>
      <w:tblGrid>
        <w:gridCol w:w="3590"/>
        <w:gridCol w:w="4696"/>
      </w:tblGrid>
      <w:tr w:rsidR="00694299" w:rsidRPr="00694299" w14:paraId="4FF161F6" w14:textId="77777777" w:rsidTr="00694299">
        <w:trPr>
          <w:divId w:val="74208290"/>
          <w:trHeight w:val="249"/>
          <w:jc w:val="center"/>
        </w:trPr>
        <w:tc>
          <w:tcPr>
            <w:tcW w:w="8286" w:type="dxa"/>
            <w:gridSpan w:val="2"/>
            <w:tcBorders>
              <w:top w:val="single" w:sz="8" w:space="0" w:color="auto"/>
              <w:left w:val="single" w:sz="8" w:space="0" w:color="auto"/>
              <w:bottom w:val="single" w:sz="8" w:space="0" w:color="auto"/>
              <w:right w:val="single" w:sz="8" w:space="0" w:color="000000"/>
            </w:tcBorders>
            <w:shd w:val="clear" w:color="000000" w:fill="1F3864"/>
            <w:noWrap/>
            <w:vAlign w:val="center"/>
            <w:hideMark/>
          </w:tcPr>
          <w:p w14:paraId="3A2F9EF1" w14:textId="709E9B04" w:rsidR="00694299" w:rsidRPr="00694299" w:rsidRDefault="00694299" w:rsidP="00694299">
            <w:pPr>
              <w:spacing w:after="0" w:line="240" w:lineRule="auto"/>
              <w:jc w:val="center"/>
              <w:rPr>
                <w:rFonts w:eastAsia="Times New Roman" w:cs="Calibri"/>
                <w:b/>
                <w:bCs/>
                <w:color w:val="FFFFFF"/>
                <w:sz w:val="22"/>
                <w:lang w:eastAsia="es-CR"/>
              </w:rPr>
            </w:pPr>
            <w:r w:rsidRPr="00694299">
              <w:rPr>
                <w:rFonts w:eastAsia="Times New Roman" w:cs="Calibri"/>
                <w:b/>
                <w:bCs/>
                <w:color w:val="FFFFFF"/>
                <w:sz w:val="22"/>
                <w:lang w:eastAsia="es-CR"/>
              </w:rPr>
              <w:t>Indique los eventos posteriores después del cierre</w:t>
            </w:r>
          </w:p>
        </w:tc>
      </w:tr>
      <w:tr w:rsidR="00694299" w:rsidRPr="00694299" w14:paraId="69754B12" w14:textId="77777777" w:rsidTr="00694299">
        <w:trPr>
          <w:divId w:val="74208290"/>
          <w:trHeight w:val="249"/>
          <w:jc w:val="center"/>
        </w:trPr>
        <w:tc>
          <w:tcPr>
            <w:tcW w:w="3590" w:type="dxa"/>
            <w:tcBorders>
              <w:top w:val="nil"/>
              <w:left w:val="single" w:sz="8" w:space="0" w:color="auto"/>
              <w:bottom w:val="single" w:sz="8" w:space="0" w:color="auto"/>
              <w:right w:val="single" w:sz="8" w:space="0" w:color="auto"/>
            </w:tcBorders>
            <w:shd w:val="clear" w:color="000000" w:fill="1F3864"/>
            <w:noWrap/>
            <w:vAlign w:val="center"/>
            <w:hideMark/>
          </w:tcPr>
          <w:p w14:paraId="7A47EF1C" w14:textId="77777777" w:rsidR="00694299" w:rsidRPr="00694299" w:rsidRDefault="00694299" w:rsidP="00694299">
            <w:pPr>
              <w:spacing w:after="0" w:line="240" w:lineRule="auto"/>
              <w:jc w:val="left"/>
              <w:rPr>
                <w:rFonts w:eastAsia="Times New Roman" w:cs="Calibri"/>
                <w:color w:val="FFFFFF"/>
                <w:sz w:val="22"/>
                <w:lang w:eastAsia="es-CR"/>
              </w:rPr>
            </w:pPr>
            <w:r w:rsidRPr="00694299">
              <w:rPr>
                <w:rFonts w:eastAsia="Times New Roman" w:cs="Calibri"/>
                <w:color w:val="FFFFFF"/>
                <w:sz w:val="22"/>
                <w:lang w:eastAsia="es-CR"/>
              </w:rPr>
              <w:t>Fecha de cierre</w:t>
            </w:r>
          </w:p>
        </w:tc>
        <w:tc>
          <w:tcPr>
            <w:tcW w:w="4696" w:type="dxa"/>
            <w:tcBorders>
              <w:top w:val="nil"/>
              <w:left w:val="nil"/>
              <w:bottom w:val="single" w:sz="8" w:space="0" w:color="auto"/>
              <w:right w:val="single" w:sz="8" w:space="0" w:color="auto"/>
            </w:tcBorders>
            <w:shd w:val="clear" w:color="auto" w:fill="auto"/>
            <w:noWrap/>
            <w:vAlign w:val="center"/>
            <w:hideMark/>
          </w:tcPr>
          <w:p w14:paraId="34ACEFB9"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r w:rsidR="00694299" w:rsidRPr="00694299" w14:paraId="25C4D0D7" w14:textId="77777777" w:rsidTr="00694299">
        <w:trPr>
          <w:divId w:val="74208290"/>
          <w:trHeight w:val="249"/>
          <w:jc w:val="center"/>
        </w:trPr>
        <w:tc>
          <w:tcPr>
            <w:tcW w:w="3590" w:type="dxa"/>
            <w:tcBorders>
              <w:top w:val="nil"/>
              <w:left w:val="single" w:sz="8" w:space="0" w:color="auto"/>
              <w:bottom w:val="single" w:sz="8" w:space="0" w:color="auto"/>
              <w:right w:val="single" w:sz="8" w:space="0" w:color="auto"/>
            </w:tcBorders>
            <w:shd w:val="clear" w:color="000000" w:fill="1F3864"/>
            <w:noWrap/>
            <w:vAlign w:val="center"/>
            <w:hideMark/>
          </w:tcPr>
          <w:p w14:paraId="53CDDA96" w14:textId="77777777" w:rsidR="00694299" w:rsidRPr="00694299" w:rsidRDefault="00694299" w:rsidP="00694299">
            <w:pPr>
              <w:spacing w:after="0" w:line="240" w:lineRule="auto"/>
              <w:jc w:val="left"/>
              <w:rPr>
                <w:rFonts w:eastAsia="Times New Roman" w:cs="Calibri"/>
                <w:color w:val="FFFFFF"/>
                <w:sz w:val="22"/>
                <w:lang w:eastAsia="es-CR"/>
              </w:rPr>
            </w:pPr>
            <w:r w:rsidRPr="00694299">
              <w:rPr>
                <w:rFonts w:eastAsia="Times New Roman" w:cs="Calibri"/>
                <w:color w:val="FFFFFF"/>
                <w:sz w:val="22"/>
                <w:lang w:eastAsia="es-CR"/>
              </w:rPr>
              <w:t>Fecha del Evento</w:t>
            </w:r>
          </w:p>
        </w:tc>
        <w:tc>
          <w:tcPr>
            <w:tcW w:w="4696" w:type="dxa"/>
            <w:tcBorders>
              <w:top w:val="nil"/>
              <w:left w:val="nil"/>
              <w:bottom w:val="single" w:sz="8" w:space="0" w:color="auto"/>
              <w:right w:val="single" w:sz="8" w:space="0" w:color="auto"/>
            </w:tcBorders>
            <w:shd w:val="clear" w:color="auto" w:fill="auto"/>
            <w:noWrap/>
            <w:vAlign w:val="center"/>
            <w:hideMark/>
          </w:tcPr>
          <w:p w14:paraId="1B479FA9"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r w:rsidR="00694299" w:rsidRPr="00694299" w14:paraId="5A4187D0" w14:textId="77777777" w:rsidTr="00694299">
        <w:trPr>
          <w:divId w:val="74208290"/>
          <w:trHeight w:val="249"/>
          <w:jc w:val="center"/>
        </w:trPr>
        <w:tc>
          <w:tcPr>
            <w:tcW w:w="3590" w:type="dxa"/>
            <w:tcBorders>
              <w:top w:val="nil"/>
              <w:left w:val="single" w:sz="8" w:space="0" w:color="auto"/>
              <w:bottom w:val="single" w:sz="8" w:space="0" w:color="auto"/>
              <w:right w:val="single" w:sz="8" w:space="0" w:color="auto"/>
            </w:tcBorders>
            <w:shd w:val="clear" w:color="000000" w:fill="1F3864"/>
            <w:noWrap/>
            <w:vAlign w:val="center"/>
            <w:hideMark/>
          </w:tcPr>
          <w:p w14:paraId="0A8C95A9" w14:textId="77777777" w:rsidR="00694299" w:rsidRPr="00694299" w:rsidRDefault="00694299" w:rsidP="00694299">
            <w:pPr>
              <w:spacing w:after="0" w:line="240" w:lineRule="auto"/>
              <w:jc w:val="left"/>
              <w:rPr>
                <w:rFonts w:eastAsia="Times New Roman" w:cs="Calibri"/>
                <w:color w:val="FFFFFF"/>
                <w:sz w:val="22"/>
                <w:lang w:eastAsia="es-CR"/>
              </w:rPr>
            </w:pPr>
            <w:r w:rsidRPr="00694299">
              <w:rPr>
                <w:rFonts w:eastAsia="Times New Roman" w:cs="Calibri"/>
                <w:color w:val="FFFFFF"/>
                <w:sz w:val="22"/>
                <w:lang w:eastAsia="es-CR"/>
              </w:rPr>
              <w:t>Descripción</w:t>
            </w:r>
          </w:p>
        </w:tc>
        <w:tc>
          <w:tcPr>
            <w:tcW w:w="4696" w:type="dxa"/>
            <w:tcBorders>
              <w:top w:val="nil"/>
              <w:left w:val="nil"/>
              <w:bottom w:val="single" w:sz="8" w:space="0" w:color="auto"/>
              <w:right w:val="single" w:sz="8" w:space="0" w:color="auto"/>
            </w:tcBorders>
            <w:shd w:val="clear" w:color="auto" w:fill="auto"/>
            <w:noWrap/>
            <w:vAlign w:val="center"/>
            <w:hideMark/>
          </w:tcPr>
          <w:p w14:paraId="4E5627CB"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r w:rsidR="00694299" w:rsidRPr="00694299" w14:paraId="0B74BD64" w14:textId="77777777" w:rsidTr="00694299">
        <w:trPr>
          <w:divId w:val="74208290"/>
          <w:trHeight w:val="249"/>
          <w:jc w:val="center"/>
        </w:trPr>
        <w:tc>
          <w:tcPr>
            <w:tcW w:w="3590" w:type="dxa"/>
            <w:tcBorders>
              <w:top w:val="nil"/>
              <w:left w:val="single" w:sz="8" w:space="0" w:color="auto"/>
              <w:bottom w:val="single" w:sz="8" w:space="0" w:color="auto"/>
              <w:right w:val="single" w:sz="8" w:space="0" w:color="auto"/>
            </w:tcBorders>
            <w:shd w:val="clear" w:color="000000" w:fill="1F3864"/>
            <w:noWrap/>
            <w:vAlign w:val="center"/>
            <w:hideMark/>
          </w:tcPr>
          <w:p w14:paraId="1F041413" w14:textId="77777777" w:rsidR="00694299" w:rsidRPr="00694299" w:rsidRDefault="00694299" w:rsidP="00694299">
            <w:pPr>
              <w:spacing w:after="0" w:line="240" w:lineRule="auto"/>
              <w:jc w:val="left"/>
              <w:rPr>
                <w:rFonts w:eastAsia="Times New Roman" w:cs="Calibri"/>
                <w:color w:val="FFFFFF"/>
                <w:sz w:val="22"/>
                <w:lang w:eastAsia="es-CR"/>
              </w:rPr>
            </w:pPr>
            <w:r w:rsidRPr="00694299">
              <w:rPr>
                <w:rFonts w:eastAsia="Times New Roman" w:cs="Calibri"/>
                <w:color w:val="FFFFFF"/>
                <w:sz w:val="22"/>
                <w:lang w:eastAsia="es-CR"/>
              </w:rPr>
              <w:t>Cuenta Contable</w:t>
            </w:r>
          </w:p>
        </w:tc>
        <w:tc>
          <w:tcPr>
            <w:tcW w:w="4696" w:type="dxa"/>
            <w:tcBorders>
              <w:top w:val="nil"/>
              <w:left w:val="nil"/>
              <w:bottom w:val="single" w:sz="8" w:space="0" w:color="auto"/>
              <w:right w:val="single" w:sz="8" w:space="0" w:color="auto"/>
            </w:tcBorders>
            <w:shd w:val="clear" w:color="auto" w:fill="auto"/>
            <w:noWrap/>
            <w:vAlign w:val="center"/>
            <w:hideMark/>
          </w:tcPr>
          <w:p w14:paraId="7A82EAC0"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r w:rsidR="00694299" w:rsidRPr="00694299" w14:paraId="154C6A8F" w14:textId="77777777" w:rsidTr="00694299">
        <w:trPr>
          <w:divId w:val="74208290"/>
          <w:trHeight w:val="249"/>
          <w:jc w:val="center"/>
        </w:trPr>
        <w:tc>
          <w:tcPr>
            <w:tcW w:w="3590" w:type="dxa"/>
            <w:tcBorders>
              <w:top w:val="nil"/>
              <w:left w:val="single" w:sz="8" w:space="0" w:color="auto"/>
              <w:bottom w:val="nil"/>
              <w:right w:val="single" w:sz="8" w:space="0" w:color="auto"/>
            </w:tcBorders>
            <w:shd w:val="clear" w:color="000000" w:fill="1F3864"/>
            <w:noWrap/>
            <w:vAlign w:val="center"/>
            <w:hideMark/>
          </w:tcPr>
          <w:p w14:paraId="18925FB3" w14:textId="77777777" w:rsidR="00694299" w:rsidRPr="00694299" w:rsidRDefault="00694299" w:rsidP="00694299">
            <w:pPr>
              <w:spacing w:after="0" w:line="240" w:lineRule="auto"/>
              <w:jc w:val="left"/>
              <w:rPr>
                <w:rFonts w:eastAsia="Times New Roman" w:cs="Calibri"/>
                <w:color w:val="FFFFFF"/>
                <w:sz w:val="22"/>
                <w:lang w:eastAsia="es-CR"/>
              </w:rPr>
            </w:pPr>
            <w:r w:rsidRPr="00694299">
              <w:rPr>
                <w:rFonts w:eastAsia="Times New Roman" w:cs="Calibri"/>
                <w:color w:val="FFFFFF"/>
                <w:sz w:val="22"/>
                <w:lang w:eastAsia="es-CR"/>
              </w:rPr>
              <w:t>Materialidad</w:t>
            </w:r>
          </w:p>
        </w:tc>
        <w:tc>
          <w:tcPr>
            <w:tcW w:w="4696" w:type="dxa"/>
            <w:tcBorders>
              <w:top w:val="nil"/>
              <w:left w:val="nil"/>
              <w:bottom w:val="nil"/>
              <w:right w:val="single" w:sz="8" w:space="0" w:color="auto"/>
            </w:tcBorders>
            <w:shd w:val="clear" w:color="auto" w:fill="auto"/>
            <w:noWrap/>
            <w:vAlign w:val="center"/>
            <w:hideMark/>
          </w:tcPr>
          <w:p w14:paraId="426E1C9C"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r w:rsidR="00694299" w:rsidRPr="00694299" w14:paraId="44D37F1C" w14:textId="77777777" w:rsidTr="00694299">
        <w:trPr>
          <w:divId w:val="74208290"/>
          <w:trHeight w:val="249"/>
          <w:jc w:val="center"/>
        </w:trPr>
        <w:tc>
          <w:tcPr>
            <w:tcW w:w="359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2FA0BA48" w14:textId="77777777" w:rsidR="00694299" w:rsidRPr="00694299" w:rsidRDefault="00694299" w:rsidP="00694299">
            <w:pPr>
              <w:spacing w:after="0" w:line="240" w:lineRule="auto"/>
              <w:jc w:val="left"/>
              <w:rPr>
                <w:rFonts w:eastAsia="Times New Roman" w:cs="Calibri"/>
                <w:color w:val="FFFFFF"/>
                <w:sz w:val="22"/>
                <w:lang w:eastAsia="es-CR"/>
              </w:rPr>
            </w:pPr>
            <w:r w:rsidRPr="00694299">
              <w:rPr>
                <w:rFonts w:eastAsia="Times New Roman" w:cs="Calibri"/>
                <w:color w:val="FFFFFF"/>
                <w:sz w:val="22"/>
                <w:lang w:eastAsia="es-CR"/>
              </w:rPr>
              <w:t>Oficio de ente fiscalizador que lo detecto</w:t>
            </w:r>
          </w:p>
        </w:tc>
        <w:tc>
          <w:tcPr>
            <w:tcW w:w="4696" w:type="dxa"/>
            <w:tcBorders>
              <w:top w:val="single" w:sz="8" w:space="0" w:color="auto"/>
              <w:left w:val="nil"/>
              <w:bottom w:val="single" w:sz="8" w:space="0" w:color="auto"/>
              <w:right w:val="single" w:sz="8" w:space="0" w:color="auto"/>
            </w:tcBorders>
            <w:shd w:val="clear" w:color="auto" w:fill="auto"/>
            <w:noWrap/>
            <w:vAlign w:val="center"/>
            <w:hideMark/>
          </w:tcPr>
          <w:p w14:paraId="441716D3"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r w:rsidR="00694299" w:rsidRPr="00694299" w14:paraId="70030361" w14:textId="77777777" w:rsidTr="00694299">
        <w:trPr>
          <w:divId w:val="74208290"/>
          <w:trHeight w:val="249"/>
          <w:jc w:val="center"/>
        </w:trPr>
        <w:tc>
          <w:tcPr>
            <w:tcW w:w="3590" w:type="dxa"/>
            <w:tcBorders>
              <w:top w:val="nil"/>
              <w:left w:val="single" w:sz="8" w:space="0" w:color="auto"/>
              <w:bottom w:val="nil"/>
              <w:right w:val="single" w:sz="8" w:space="0" w:color="auto"/>
            </w:tcBorders>
            <w:shd w:val="clear" w:color="000000" w:fill="1F3864"/>
            <w:vAlign w:val="center"/>
            <w:hideMark/>
          </w:tcPr>
          <w:p w14:paraId="00C02294" w14:textId="77777777" w:rsidR="00694299" w:rsidRPr="00694299" w:rsidRDefault="00694299" w:rsidP="00694299">
            <w:pPr>
              <w:spacing w:after="0" w:line="240" w:lineRule="auto"/>
              <w:jc w:val="left"/>
              <w:rPr>
                <w:rFonts w:eastAsia="Times New Roman" w:cs="Calibri"/>
                <w:color w:val="FFFFFF"/>
                <w:sz w:val="22"/>
                <w:lang w:eastAsia="es-CR"/>
              </w:rPr>
            </w:pPr>
            <w:r w:rsidRPr="00694299">
              <w:rPr>
                <w:rFonts w:eastAsia="Times New Roman" w:cs="Calibri"/>
                <w:color w:val="FFFFFF"/>
                <w:sz w:val="22"/>
                <w:lang w:eastAsia="es-CR"/>
              </w:rPr>
              <w:t>Oficio de la administración que lo detecto</w:t>
            </w:r>
          </w:p>
        </w:tc>
        <w:tc>
          <w:tcPr>
            <w:tcW w:w="4696" w:type="dxa"/>
            <w:tcBorders>
              <w:top w:val="nil"/>
              <w:left w:val="nil"/>
              <w:bottom w:val="single" w:sz="8" w:space="0" w:color="auto"/>
              <w:right w:val="single" w:sz="8" w:space="0" w:color="auto"/>
            </w:tcBorders>
            <w:shd w:val="clear" w:color="auto" w:fill="auto"/>
            <w:noWrap/>
            <w:vAlign w:val="center"/>
            <w:hideMark/>
          </w:tcPr>
          <w:p w14:paraId="65FB2D3A"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r w:rsidR="00694299" w:rsidRPr="00694299" w14:paraId="5EA07574" w14:textId="77777777" w:rsidTr="00694299">
        <w:trPr>
          <w:divId w:val="74208290"/>
          <w:trHeight w:val="249"/>
          <w:jc w:val="center"/>
        </w:trPr>
        <w:tc>
          <w:tcPr>
            <w:tcW w:w="359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3EA58877" w14:textId="77777777" w:rsidR="00694299" w:rsidRPr="00694299" w:rsidRDefault="00694299" w:rsidP="00694299">
            <w:pPr>
              <w:spacing w:after="0" w:line="240" w:lineRule="auto"/>
              <w:jc w:val="left"/>
              <w:rPr>
                <w:rFonts w:eastAsia="Times New Roman" w:cs="Calibri"/>
                <w:color w:val="FFFFFF"/>
                <w:sz w:val="22"/>
                <w:lang w:eastAsia="es-CR"/>
              </w:rPr>
            </w:pPr>
            <w:r w:rsidRPr="00694299">
              <w:rPr>
                <w:rFonts w:eastAsia="Times New Roman" w:cs="Calibri"/>
                <w:color w:val="FFFFFF"/>
                <w:sz w:val="22"/>
                <w:lang w:eastAsia="es-CR"/>
              </w:rPr>
              <w:t>Fecha de Re expresión</w:t>
            </w:r>
          </w:p>
        </w:tc>
        <w:tc>
          <w:tcPr>
            <w:tcW w:w="4696" w:type="dxa"/>
            <w:tcBorders>
              <w:top w:val="nil"/>
              <w:left w:val="nil"/>
              <w:bottom w:val="single" w:sz="8" w:space="0" w:color="auto"/>
              <w:right w:val="single" w:sz="8" w:space="0" w:color="auto"/>
            </w:tcBorders>
            <w:shd w:val="clear" w:color="auto" w:fill="auto"/>
            <w:noWrap/>
            <w:vAlign w:val="center"/>
            <w:hideMark/>
          </w:tcPr>
          <w:p w14:paraId="6F710A2E"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r w:rsidR="00694299" w:rsidRPr="00694299" w14:paraId="1FAC82B6" w14:textId="77777777" w:rsidTr="00694299">
        <w:trPr>
          <w:divId w:val="74208290"/>
          <w:trHeight w:val="249"/>
          <w:jc w:val="center"/>
        </w:trPr>
        <w:tc>
          <w:tcPr>
            <w:tcW w:w="3590" w:type="dxa"/>
            <w:tcBorders>
              <w:top w:val="nil"/>
              <w:left w:val="single" w:sz="8" w:space="0" w:color="auto"/>
              <w:bottom w:val="single" w:sz="8" w:space="0" w:color="auto"/>
              <w:right w:val="single" w:sz="8" w:space="0" w:color="auto"/>
            </w:tcBorders>
            <w:shd w:val="clear" w:color="000000" w:fill="1F3864"/>
            <w:vAlign w:val="center"/>
            <w:hideMark/>
          </w:tcPr>
          <w:p w14:paraId="4CC6CEF6" w14:textId="77777777" w:rsidR="00694299" w:rsidRPr="00694299" w:rsidRDefault="00694299" w:rsidP="00694299">
            <w:pPr>
              <w:spacing w:after="0" w:line="240" w:lineRule="auto"/>
              <w:jc w:val="left"/>
              <w:rPr>
                <w:rFonts w:eastAsia="Times New Roman" w:cs="Calibri"/>
                <w:color w:val="FFFFFF"/>
                <w:sz w:val="22"/>
                <w:lang w:eastAsia="es-CR"/>
              </w:rPr>
            </w:pPr>
            <w:r w:rsidRPr="00694299">
              <w:rPr>
                <w:rFonts w:eastAsia="Times New Roman" w:cs="Calibri"/>
                <w:color w:val="FFFFFF"/>
                <w:sz w:val="22"/>
                <w:lang w:eastAsia="es-CR"/>
              </w:rPr>
              <w:t>Observaciones</w:t>
            </w:r>
          </w:p>
        </w:tc>
        <w:tc>
          <w:tcPr>
            <w:tcW w:w="4696" w:type="dxa"/>
            <w:tcBorders>
              <w:top w:val="nil"/>
              <w:left w:val="nil"/>
              <w:bottom w:val="single" w:sz="8" w:space="0" w:color="auto"/>
              <w:right w:val="single" w:sz="8" w:space="0" w:color="auto"/>
            </w:tcBorders>
            <w:shd w:val="clear" w:color="auto" w:fill="auto"/>
            <w:noWrap/>
            <w:vAlign w:val="center"/>
            <w:hideMark/>
          </w:tcPr>
          <w:p w14:paraId="01FE9BD2"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bl>
    <w:p w14:paraId="4A4C4BA0" w14:textId="7D33069D" w:rsidR="000B404C" w:rsidRPr="0074522C" w:rsidRDefault="00900BB0" w:rsidP="003A31CC">
      <w:pPr>
        <w:spacing w:before="240"/>
        <w:rPr>
          <w:rFonts w:eastAsia="Calibri" w:cs="Arial"/>
          <w:color w:val="000000"/>
          <w:lang w:val="es-ES_tradnl"/>
        </w:rPr>
      </w:pPr>
      <w:r>
        <w:rPr>
          <w:rFonts w:eastAsia="Calibri" w:cs="Arial"/>
          <w:color w:val="000000"/>
          <w:lang w:val="es-ES_tradnl"/>
        </w:rPr>
        <w:fldChar w:fldCharType="end"/>
      </w:r>
      <w:r w:rsidR="000B404C" w:rsidRPr="000B404C">
        <w:t>El responsable contable no solamente debe analizar hechos ocurridos después de la fecha de presentación que impliquen ajustes, sino también los hechos ocurridos después de la fecha de presentación que no implican ajustes y realizar la revelación considerando lo dispuesto en el párrafo 30 de la NICSP 14.</w:t>
      </w:r>
    </w:p>
    <w:p w14:paraId="3E1A82D5" w14:textId="77777777" w:rsidR="000B404C" w:rsidRPr="000B404C" w:rsidRDefault="000B404C" w:rsidP="000B404C">
      <w:pPr>
        <w:rPr>
          <w:b/>
        </w:rPr>
      </w:pPr>
      <w:r w:rsidRPr="000B404C">
        <w:rPr>
          <w:b/>
        </w:rPr>
        <w:t xml:space="preserve">Revelación de hechos ocurridos después de la fecha de presentación que no implican ajustes </w:t>
      </w:r>
    </w:p>
    <w:p w14:paraId="6FC2B51D" w14:textId="77777777" w:rsidR="000B404C" w:rsidRDefault="000B404C" w:rsidP="000B404C">
      <w:pPr>
        <w:spacing w:line="240" w:lineRule="auto"/>
        <w:rPr>
          <w:rStyle w:val="nfasis"/>
        </w:rPr>
      </w:pPr>
      <w:r w:rsidRPr="000B404C">
        <w:rPr>
          <w:rStyle w:val="nfasis"/>
        </w:rPr>
        <w:t>“30. Si los hechos posteriores a la fecha de presentación que no implican ajustes tienen importancia relativa o son significativos, su no revelación puede influir en las decisiones económicas de los usuarios tomadas a partir de los estados financieros. En consecuencia, una entidad deberá revelar la siguiente información para cada una de las categorías significativas de hechos ocurridos después de la fecha de presentación que no implican ajustes: (a) la naturaleza del hecho; y (b) una estimación de su efecto financiero, o un pronunciamiento sobre la imposibilidad de realizar tal estimación.”</w:t>
      </w:r>
    </w:p>
    <w:p w14:paraId="7FDDBCD3" w14:textId="77777777" w:rsidR="005E77EB" w:rsidRPr="005E77EB" w:rsidRDefault="005E77EB" w:rsidP="000B404C">
      <w:pPr>
        <w:spacing w:line="240" w:lineRule="auto"/>
        <w:rPr>
          <w:rStyle w:val="nfasis"/>
          <w:i w:val="0"/>
          <w:iCs w:val="0"/>
        </w:rPr>
      </w:pPr>
    </w:p>
    <w:p w14:paraId="7B9B0A43" w14:textId="77777777" w:rsidR="005E77EB" w:rsidRDefault="000C3947" w:rsidP="000C3947">
      <w:pPr>
        <w:spacing w:line="240" w:lineRule="auto"/>
        <w:rPr>
          <w:b/>
          <w:color w:val="FFFFFF" w:themeColor="background1"/>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3A808E65" w14:textId="7207A3AE" w:rsidR="000C3947" w:rsidRDefault="005E77EB" w:rsidP="000C3947">
      <w:pPr>
        <w:spacing w:line="240" w:lineRule="auto"/>
        <w:rPr>
          <w:lang w:val="es-MX"/>
        </w:rPr>
      </w:pPr>
      <w:r w:rsidRPr="005E77EB">
        <w:rPr>
          <w:b/>
        </w:rPr>
        <w:t>Los</w:t>
      </w:r>
      <w:r>
        <w:rPr>
          <w:lang w:val="es-MX"/>
        </w:rPr>
        <w:t xml:space="preserve"> eventos de ajuste después de la fecha de presentación de reporte, los que proporcionan evidencia de </w:t>
      </w:r>
      <w:r w:rsidR="00CE0420">
        <w:rPr>
          <w:lang w:val="es-MX"/>
        </w:rPr>
        <w:t>condiciones que existían a la fecha de presentación de reporte se ajustan los estados financieros para reflejar los eventos.</w:t>
      </w:r>
    </w:p>
    <w:p w14:paraId="0B31F062" w14:textId="04E3FA5F" w:rsidR="00CE0420" w:rsidRDefault="00CE0420" w:rsidP="000C3947">
      <w:pPr>
        <w:spacing w:line="240" w:lineRule="auto"/>
        <w:rPr>
          <w:lang w:val="es-MX"/>
        </w:rPr>
      </w:pPr>
      <w:r>
        <w:rPr>
          <w:lang w:val="es-MX"/>
        </w:rPr>
        <w:t xml:space="preserve">Los eventos que no requieren ajuste después de la fecha de presentación de reporte, y que están relacionados con condiciones que surgen después de la fecha de presentación de reporte no se ajustan en los estados financieros para reflejar dichos </w:t>
      </w:r>
      <w:r w:rsidR="006B4939">
        <w:rPr>
          <w:lang w:val="es-MX"/>
        </w:rPr>
        <w:t>eventos,</w:t>
      </w:r>
      <w:r>
        <w:rPr>
          <w:lang w:val="es-MX"/>
        </w:rPr>
        <w:t xml:space="preserve"> pero si se hacen las revelaciones pertinentes.</w:t>
      </w:r>
    </w:p>
    <w:p w14:paraId="0203E0C3" w14:textId="6ED9A688" w:rsidR="00CE0420" w:rsidRPr="005E77EB" w:rsidRDefault="00CE0420" w:rsidP="000C3947">
      <w:pPr>
        <w:spacing w:line="240" w:lineRule="auto"/>
        <w:rPr>
          <w:b/>
          <w:highlight w:val="darkBlue"/>
        </w:rPr>
      </w:pPr>
      <w:r>
        <w:rPr>
          <w:lang w:val="es-MX"/>
        </w:rPr>
        <w:t xml:space="preserve">Si se obtiene información después de la fecha de presentación de reporte, </w:t>
      </w:r>
      <w:r w:rsidR="006B4939">
        <w:rPr>
          <w:lang w:val="es-MX"/>
        </w:rPr>
        <w:t>pero antes que los estados financieros sean autorizados para emisión, acerca de condiciones que existían a la fecha de presentación de reporte, la entidad tiene que actualizar las revelaciones que se relacionen con esas condiciones sobre la nueva información.</w:t>
      </w:r>
    </w:p>
    <w:p w14:paraId="70E379CD" w14:textId="77777777" w:rsidR="000C3947" w:rsidRDefault="000C3947" w:rsidP="000C3947">
      <w:pPr>
        <w:spacing w:line="240" w:lineRule="auto"/>
        <w:rPr>
          <w:b/>
          <w:u w:val="single"/>
        </w:rPr>
      </w:pPr>
    </w:p>
    <w:p w14:paraId="61C4A7C1" w14:textId="77777777" w:rsidR="000C3947" w:rsidRPr="003516A2" w:rsidRDefault="000C3947" w:rsidP="000C3947">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506481BC" w14:textId="1E15FE72" w:rsidR="000C3947" w:rsidRPr="002007F6" w:rsidRDefault="006B4939" w:rsidP="006B4939">
      <w:pPr>
        <w:spacing w:after="120" w:line="240" w:lineRule="auto"/>
        <w:rPr>
          <w:lang w:val="es-MX"/>
        </w:rPr>
      </w:pPr>
      <w:r>
        <w:rPr>
          <w:lang w:val="es-MX"/>
        </w:rPr>
        <w:t>Los eventos favorables o desfavorables ocurridos entre la fecha de presentación de reporte y la fecha de autorización de los estados financieros para emisión se miden y/o revelan por el valor confiable del evento determinado a la fecha de presentación de reporte</w:t>
      </w:r>
      <w:r w:rsidR="00A561D7">
        <w:rPr>
          <w:lang w:val="es-MX"/>
        </w:rPr>
        <w:t xml:space="preserve">, </w:t>
      </w:r>
      <w:r w:rsidR="00A561D7" w:rsidRPr="00716167">
        <w:rPr>
          <w:lang w:val="es-MX"/>
        </w:rPr>
        <w:t>para reflejar la incidencia de los hechos ocurridos después de la fecha de presentación</w:t>
      </w:r>
      <w:r>
        <w:rPr>
          <w:lang w:val="es-MX"/>
        </w:rPr>
        <w:t xml:space="preserve">. </w:t>
      </w:r>
    </w:p>
    <w:p w14:paraId="1BAB146C" w14:textId="77777777" w:rsidR="000B404C" w:rsidRPr="00D848D5" w:rsidRDefault="000B404C" w:rsidP="000B404C">
      <w:pPr>
        <w:rPr>
          <w:i/>
          <w:szCs w:val="24"/>
          <w:lang w:val="es-MX"/>
        </w:rPr>
      </w:pPr>
    </w:p>
    <w:p w14:paraId="30A7ED08" w14:textId="7B4BA796" w:rsidR="000B404C" w:rsidRPr="000B404C" w:rsidRDefault="000B404C" w:rsidP="000B404C">
      <w:pPr>
        <w:rPr>
          <w:b/>
          <w:u w:val="single"/>
        </w:rPr>
      </w:pPr>
      <w:r w:rsidRPr="000C3947">
        <w:rPr>
          <w:b/>
          <w:color w:val="FFFFFF" w:themeColor="background1"/>
          <w:highlight w:val="darkBlue"/>
          <w:u w:val="single"/>
        </w:rPr>
        <w:t>Revelación Suficiente:</w:t>
      </w:r>
      <w:r w:rsidRPr="000B404C">
        <w:rPr>
          <w:b/>
          <w:u w:val="single"/>
        </w:rPr>
        <w:t xml:space="preserve"> El ente debe cumplir con lo estipulado en revelación con forme a la NICSP, también debe considerar la política general y los párrafos incluidos en la matriz de autoevaluación referente a esta NICSP y guías de aplicación (Ver GA NICSP 14) Considerar también aquellos hechos que no tienen impacto contable:</w:t>
      </w:r>
    </w:p>
    <w:p w14:paraId="4EEDA42D" w14:textId="77777777" w:rsidR="005E77EB" w:rsidRPr="002B5BDB" w:rsidRDefault="005E77EB" w:rsidP="005E77EB">
      <w:pPr>
        <w:spacing w:after="0" w:line="240" w:lineRule="auto"/>
        <w:rPr>
          <w:rFonts w:eastAsia="Calibri" w:cs="Arial"/>
          <w:b/>
          <w:bCs/>
          <w:color w:val="000000"/>
          <w:lang w:val="es-ES_tradnl"/>
        </w:rPr>
      </w:pPr>
      <w:r w:rsidRPr="00285CAD">
        <w:rPr>
          <w:rFonts w:eastAsia="Calibri" w:cs="Arial"/>
          <w:b/>
          <w:bCs/>
          <w:color w:val="000000"/>
          <w:lang w:val="es-ES_tradnl"/>
        </w:rPr>
        <w:t>Principales Políticas</w:t>
      </w:r>
    </w:p>
    <w:p w14:paraId="0DC03003" w14:textId="77777777" w:rsidR="005E77EB" w:rsidRPr="00AF3F82" w:rsidRDefault="005E77EB" w:rsidP="005E77EB">
      <w:pPr>
        <w:autoSpaceDE w:val="0"/>
        <w:autoSpaceDN w:val="0"/>
        <w:adjustRightInd w:val="0"/>
        <w:spacing w:after="0" w:line="240" w:lineRule="auto"/>
        <w:jc w:val="left"/>
        <w:rPr>
          <w:rFonts w:ascii="Arial" w:hAnsi="Arial" w:cs="Arial"/>
          <w:color w:val="000000"/>
          <w:szCs w:val="24"/>
          <w:lang w:val="en-US"/>
        </w:rPr>
      </w:pPr>
    </w:p>
    <w:p w14:paraId="20FE9884" w14:textId="77777777" w:rsidR="005E77EB" w:rsidRPr="002B5BDB" w:rsidRDefault="005E77EB" w:rsidP="005E77EB">
      <w:pPr>
        <w:numPr>
          <w:ilvl w:val="1"/>
          <w:numId w:val="32"/>
        </w:numPr>
        <w:autoSpaceDE w:val="0"/>
        <w:autoSpaceDN w:val="0"/>
        <w:adjustRightInd w:val="0"/>
        <w:spacing w:after="20" w:line="240" w:lineRule="auto"/>
        <w:rPr>
          <w:rFonts w:ascii="Arial" w:hAnsi="Arial" w:cs="Arial"/>
          <w:color w:val="000000"/>
          <w:sz w:val="23"/>
          <w:szCs w:val="23"/>
        </w:rPr>
      </w:pPr>
      <w:r>
        <w:rPr>
          <w:rFonts w:cs="Arial"/>
          <w:color w:val="000000"/>
          <w:szCs w:val="24"/>
        </w:rPr>
        <w:t xml:space="preserve">La MBA </w:t>
      </w:r>
      <w:r w:rsidRPr="00AF3F82">
        <w:rPr>
          <w:rFonts w:cs="Arial"/>
          <w:color w:val="000000"/>
          <w:szCs w:val="24"/>
        </w:rPr>
        <w:t xml:space="preserve">procederá a determinar la existencia o no de </w:t>
      </w:r>
      <w:r w:rsidRPr="00AF3F82">
        <w:rPr>
          <w:rFonts w:cs="Arial"/>
          <w:b/>
          <w:bCs/>
          <w:color w:val="000000"/>
          <w:szCs w:val="24"/>
        </w:rPr>
        <w:t>hechos ocurridos después la fecha sobre la que se informa</w:t>
      </w:r>
      <w:r w:rsidRPr="00AF3F82">
        <w:rPr>
          <w:rFonts w:cs="Arial"/>
          <w:color w:val="000000"/>
          <w:szCs w:val="24"/>
        </w:rPr>
        <w:t>. A partir de esa evidencia</w:t>
      </w:r>
      <w:r>
        <w:rPr>
          <w:rFonts w:cs="Arial"/>
          <w:color w:val="000000"/>
          <w:szCs w:val="24"/>
        </w:rPr>
        <w:t xml:space="preserve"> establecerá</w:t>
      </w:r>
      <w:r w:rsidRPr="00AF3F82">
        <w:rPr>
          <w:rFonts w:cs="Arial"/>
          <w:color w:val="000000"/>
          <w:szCs w:val="24"/>
        </w:rPr>
        <w:t xml:space="preserve">: </w:t>
      </w:r>
    </w:p>
    <w:p w14:paraId="622DC6FC" w14:textId="77777777" w:rsidR="005E77EB" w:rsidRPr="00AF3F82" w:rsidRDefault="005E77EB" w:rsidP="005E77EB">
      <w:pPr>
        <w:numPr>
          <w:ilvl w:val="1"/>
          <w:numId w:val="33"/>
        </w:numPr>
        <w:autoSpaceDE w:val="0"/>
        <w:autoSpaceDN w:val="0"/>
        <w:adjustRightInd w:val="0"/>
        <w:spacing w:after="20" w:line="240" w:lineRule="auto"/>
        <w:rPr>
          <w:rFonts w:ascii="Arial" w:hAnsi="Arial" w:cs="Arial"/>
          <w:color w:val="000000"/>
          <w:sz w:val="23"/>
          <w:szCs w:val="23"/>
        </w:rPr>
      </w:pPr>
      <w:r>
        <w:rPr>
          <w:rFonts w:cs="Arial"/>
          <w:color w:val="000000"/>
          <w:szCs w:val="24"/>
        </w:rPr>
        <w:t>S</w:t>
      </w:r>
      <w:r w:rsidRPr="00AF3F82">
        <w:rPr>
          <w:rFonts w:cs="Arial"/>
          <w:color w:val="000000"/>
          <w:szCs w:val="24"/>
        </w:rPr>
        <w:t xml:space="preserve">i es </w:t>
      </w:r>
      <w:r w:rsidRPr="00AF3F82">
        <w:rPr>
          <w:rFonts w:cs="Arial"/>
          <w:b/>
          <w:bCs/>
          <w:color w:val="000000"/>
          <w:szCs w:val="24"/>
        </w:rPr>
        <w:t xml:space="preserve">más probable que improbable </w:t>
      </w:r>
      <w:r w:rsidRPr="00AF3F82">
        <w:rPr>
          <w:rFonts w:cs="Arial"/>
          <w:color w:val="000000"/>
          <w:szCs w:val="24"/>
        </w:rPr>
        <w:t xml:space="preserve">que una obligación presente </w:t>
      </w:r>
      <w:r w:rsidRPr="00AF3F82">
        <w:rPr>
          <w:rFonts w:cs="Arial"/>
          <w:b/>
          <w:bCs/>
          <w:color w:val="000000"/>
          <w:szCs w:val="24"/>
        </w:rPr>
        <w:t xml:space="preserve">exista </w:t>
      </w:r>
      <w:r w:rsidRPr="00AF3F82">
        <w:rPr>
          <w:rFonts w:cs="Arial"/>
          <w:color w:val="000000"/>
          <w:szCs w:val="24"/>
        </w:rPr>
        <w:t>en la fecha sobre la que se informa, la entidad reconocerá una provisión (siempre que se satisfagan los criterios de reconocimiento);</w:t>
      </w:r>
      <w:r w:rsidRPr="00AF3F82">
        <w:rPr>
          <w:rFonts w:ascii="Arial" w:hAnsi="Arial" w:cs="Arial"/>
          <w:color w:val="000000"/>
          <w:sz w:val="23"/>
          <w:szCs w:val="23"/>
        </w:rPr>
        <w:t xml:space="preserve"> </w:t>
      </w:r>
    </w:p>
    <w:p w14:paraId="113792E2" w14:textId="77777777" w:rsidR="005E77EB" w:rsidRPr="00AF3F82" w:rsidRDefault="005E77EB" w:rsidP="005E77EB">
      <w:pPr>
        <w:numPr>
          <w:ilvl w:val="1"/>
          <w:numId w:val="33"/>
        </w:numPr>
        <w:autoSpaceDE w:val="0"/>
        <w:autoSpaceDN w:val="0"/>
        <w:adjustRightInd w:val="0"/>
        <w:spacing w:after="0" w:line="240" w:lineRule="auto"/>
        <w:rPr>
          <w:rFonts w:cs="Arial"/>
          <w:color w:val="000000"/>
          <w:szCs w:val="24"/>
        </w:rPr>
      </w:pPr>
      <w:r>
        <w:rPr>
          <w:rFonts w:cs="Arial"/>
          <w:color w:val="000000"/>
          <w:szCs w:val="24"/>
        </w:rPr>
        <w:t>S</w:t>
      </w:r>
      <w:r w:rsidRPr="00AF3F82">
        <w:rPr>
          <w:rFonts w:cs="Arial"/>
          <w:color w:val="000000"/>
          <w:szCs w:val="24"/>
        </w:rPr>
        <w:t xml:space="preserve">i es </w:t>
      </w:r>
      <w:r w:rsidRPr="00AF3F82">
        <w:rPr>
          <w:rFonts w:cs="Arial"/>
          <w:b/>
          <w:bCs/>
          <w:color w:val="000000"/>
          <w:szCs w:val="24"/>
        </w:rPr>
        <w:t xml:space="preserve">más probable que improbable </w:t>
      </w:r>
      <w:r w:rsidRPr="00AF3F82">
        <w:rPr>
          <w:rFonts w:cs="Arial"/>
          <w:color w:val="000000"/>
          <w:szCs w:val="24"/>
        </w:rPr>
        <w:t xml:space="preserve">que </w:t>
      </w:r>
      <w:r w:rsidRPr="00AF3F82">
        <w:rPr>
          <w:rFonts w:cs="Arial"/>
          <w:b/>
          <w:bCs/>
          <w:color w:val="000000"/>
          <w:szCs w:val="24"/>
        </w:rPr>
        <w:t xml:space="preserve">ninguna obligación presente exista </w:t>
      </w:r>
      <w:r w:rsidRPr="00AF3F82">
        <w:rPr>
          <w:rFonts w:cs="Arial"/>
          <w:color w:val="000000"/>
          <w:szCs w:val="24"/>
        </w:rPr>
        <w:t xml:space="preserve">en la fecha sobre la que se informa, la entidad </w:t>
      </w:r>
      <w:r w:rsidRPr="00AF3F82">
        <w:rPr>
          <w:rFonts w:cs="Arial"/>
          <w:b/>
          <w:bCs/>
          <w:color w:val="000000"/>
          <w:szCs w:val="24"/>
        </w:rPr>
        <w:t xml:space="preserve">informará en las notas de la existencia de un pasivo contingente, </w:t>
      </w:r>
      <w:r w:rsidRPr="00AF3F82">
        <w:rPr>
          <w:rFonts w:cs="Arial"/>
          <w:color w:val="000000"/>
          <w:szCs w:val="24"/>
        </w:rPr>
        <w:t xml:space="preserve">salvo que la posibilidad de un flujo de salida de recursos que incorporen beneficios económicos o un potencial de servicio sea remota. </w:t>
      </w:r>
    </w:p>
    <w:p w14:paraId="1C0A99B5" w14:textId="77777777" w:rsidR="005E77EB" w:rsidRPr="00AF3F82" w:rsidRDefault="005E77EB" w:rsidP="005E77EB">
      <w:pPr>
        <w:numPr>
          <w:ilvl w:val="1"/>
          <w:numId w:val="32"/>
        </w:numPr>
        <w:autoSpaceDE w:val="0"/>
        <w:autoSpaceDN w:val="0"/>
        <w:adjustRightInd w:val="0"/>
        <w:spacing w:after="0" w:line="240" w:lineRule="auto"/>
        <w:rPr>
          <w:rFonts w:cs="Arial"/>
          <w:color w:val="000000"/>
          <w:szCs w:val="24"/>
        </w:rPr>
      </w:pPr>
    </w:p>
    <w:p w14:paraId="5DB771AB" w14:textId="77777777" w:rsidR="005E77EB" w:rsidRDefault="005E77EB" w:rsidP="005E77EB">
      <w:pPr>
        <w:autoSpaceDE w:val="0"/>
        <w:autoSpaceDN w:val="0"/>
        <w:adjustRightInd w:val="0"/>
        <w:spacing w:after="0" w:line="240" w:lineRule="auto"/>
        <w:rPr>
          <w:rFonts w:cs="Arial"/>
          <w:color w:val="000000"/>
          <w:szCs w:val="24"/>
        </w:rPr>
      </w:pPr>
      <w:r w:rsidRPr="00AF3F82">
        <w:rPr>
          <w:rFonts w:cs="Arial"/>
          <w:color w:val="000000"/>
          <w:szCs w:val="24"/>
        </w:rPr>
        <w:t>S</w:t>
      </w:r>
      <w:r>
        <w:rPr>
          <w:rFonts w:cs="Arial"/>
          <w:color w:val="000000"/>
          <w:szCs w:val="24"/>
        </w:rPr>
        <w:t xml:space="preserve">e considerarán </w:t>
      </w:r>
      <w:r w:rsidRPr="00AF3F82">
        <w:rPr>
          <w:rFonts w:cs="Arial"/>
          <w:b/>
          <w:bCs/>
          <w:color w:val="000000"/>
          <w:szCs w:val="24"/>
        </w:rPr>
        <w:t>hechos ocurridos después la fecha sobre la que se informa</w:t>
      </w:r>
      <w:r>
        <w:rPr>
          <w:rFonts w:cs="Arial"/>
          <w:b/>
          <w:bCs/>
          <w:color w:val="000000"/>
          <w:szCs w:val="24"/>
        </w:rPr>
        <w:t>,</w:t>
      </w:r>
      <w:r w:rsidRPr="00AF3F82">
        <w:rPr>
          <w:rFonts w:cs="Arial"/>
          <w:color w:val="000000"/>
          <w:szCs w:val="24"/>
        </w:rPr>
        <w:t xml:space="preserve"> todos aquellos sucesos, ya sean favorables o desfavorables, que se han producido entre la fecha sobre la que se informa y la fecha de autorización de los EEFF para su emisión. Pueden identificarse dos tipos de tales sucesos:</w:t>
      </w:r>
    </w:p>
    <w:p w14:paraId="6190A0CF" w14:textId="77777777" w:rsidR="005E77EB" w:rsidRPr="00AF3F82" w:rsidRDefault="005E77EB" w:rsidP="005E77EB">
      <w:pPr>
        <w:autoSpaceDE w:val="0"/>
        <w:autoSpaceDN w:val="0"/>
        <w:adjustRightInd w:val="0"/>
        <w:spacing w:after="0" w:line="240" w:lineRule="auto"/>
        <w:rPr>
          <w:rFonts w:cs="Arial"/>
          <w:color w:val="000000"/>
          <w:szCs w:val="24"/>
        </w:rPr>
      </w:pPr>
    </w:p>
    <w:p w14:paraId="0476106D" w14:textId="77777777" w:rsidR="005E77EB" w:rsidRPr="002B5BDB" w:rsidRDefault="005E77EB" w:rsidP="005E77EB">
      <w:pPr>
        <w:numPr>
          <w:ilvl w:val="0"/>
          <w:numId w:val="34"/>
        </w:numPr>
        <w:autoSpaceDE w:val="0"/>
        <w:autoSpaceDN w:val="0"/>
        <w:adjustRightInd w:val="0"/>
        <w:spacing w:after="19" w:line="240" w:lineRule="auto"/>
        <w:ind w:left="284" w:hanging="284"/>
        <w:rPr>
          <w:rFonts w:cs="Arial"/>
          <w:color w:val="000000"/>
          <w:szCs w:val="24"/>
        </w:rPr>
      </w:pPr>
      <w:r>
        <w:rPr>
          <w:rFonts w:cs="Arial"/>
          <w:color w:val="000000"/>
          <w:szCs w:val="24"/>
        </w:rPr>
        <w:t>L</w:t>
      </w:r>
      <w:r w:rsidRPr="00AF3F82">
        <w:rPr>
          <w:rFonts w:cs="Arial"/>
          <w:color w:val="000000"/>
          <w:szCs w:val="24"/>
        </w:rPr>
        <w:t>os</w:t>
      </w:r>
      <w:r>
        <w:rPr>
          <w:rFonts w:cs="Arial"/>
          <w:color w:val="000000"/>
          <w:szCs w:val="24"/>
        </w:rPr>
        <w:t xml:space="preserve"> que implican ajustes, son aquellos</w:t>
      </w:r>
      <w:r w:rsidRPr="00AF3F82">
        <w:rPr>
          <w:rFonts w:cs="Arial"/>
          <w:color w:val="000000"/>
          <w:szCs w:val="24"/>
        </w:rPr>
        <w:t xml:space="preserve"> que suministran evidencia de condiciones que ya existían en la fecha sobre la que se informa (hechos posteriores a la fecha sobre la que se informa que implican ajuste); </w:t>
      </w:r>
      <w:r>
        <w:rPr>
          <w:rFonts w:cs="Arial"/>
          <w:color w:val="000000"/>
          <w:szCs w:val="24"/>
        </w:rPr>
        <w:t>en este caso se procederá</w:t>
      </w:r>
      <w:r w:rsidRPr="002B5BDB">
        <w:rPr>
          <w:szCs w:val="24"/>
        </w:rPr>
        <w:t xml:space="preserve"> modificar los importes reconocidos en sus EEFF para reflejar la incidencia de los hechos ocurridos después de la fecha sobre la que se informa, que impliquen ajustes;</w:t>
      </w:r>
    </w:p>
    <w:p w14:paraId="4060D64D" w14:textId="77777777" w:rsidR="005E77EB" w:rsidRPr="00AF3F82" w:rsidRDefault="005E77EB" w:rsidP="005E77EB">
      <w:pPr>
        <w:numPr>
          <w:ilvl w:val="0"/>
          <w:numId w:val="34"/>
        </w:numPr>
        <w:autoSpaceDE w:val="0"/>
        <w:autoSpaceDN w:val="0"/>
        <w:adjustRightInd w:val="0"/>
        <w:spacing w:after="0" w:line="240" w:lineRule="auto"/>
        <w:ind w:left="284" w:hanging="284"/>
        <w:rPr>
          <w:rFonts w:cs="Arial"/>
          <w:color w:val="000000"/>
          <w:szCs w:val="24"/>
        </w:rPr>
      </w:pPr>
      <w:r>
        <w:rPr>
          <w:rFonts w:cs="Arial"/>
          <w:color w:val="000000"/>
          <w:szCs w:val="24"/>
        </w:rPr>
        <w:t>L</w:t>
      </w:r>
      <w:r w:rsidRPr="00AF3F82">
        <w:rPr>
          <w:rFonts w:cs="Arial"/>
          <w:color w:val="000000"/>
          <w:szCs w:val="24"/>
        </w:rPr>
        <w:t xml:space="preserve">os </w:t>
      </w:r>
      <w:r>
        <w:rPr>
          <w:rFonts w:cs="Arial"/>
          <w:color w:val="000000"/>
          <w:szCs w:val="24"/>
        </w:rPr>
        <w:t>no implican ajustes, son a</w:t>
      </w:r>
      <w:r w:rsidRPr="00AF3F82">
        <w:rPr>
          <w:rFonts w:cs="Arial"/>
          <w:color w:val="000000"/>
          <w:szCs w:val="24"/>
        </w:rPr>
        <w:t>que</w:t>
      </w:r>
      <w:r>
        <w:rPr>
          <w:rFonts w:cs="Arial"/>
          <w:color w:val="000000"/>
          <w:szCs w:val="24"/>
        </w:rPr>
        <w:t>llos</w:t>
      </w:r>
      <w:r w:rsidRPr="00AF3F82">
        <w:rPr>
          <w:rFonts w:cs="Arial"/>
          <w:color w:val="000000"/>
          <w:szCs w:val="24"/>
        </w:rPr>
        <w:t xml:space="preserve"> indicativos de condiciones que han aparecido después de la fecha sobre la que se informa (hechos posteriores a la fecha sobre la que se informa que no implican ajuste</w:t>
      </w:r>
      <w:r>
        <w:rPr>
          <w:rFonts w:cs="Arial"/>
          <w:color w:val="000000"/>
          <w:szCs w:val="24"/>
        </w:rPr>
        <w:t>)</w:t>
      </w:r>
      <w:r w:rsidRPr="00AF3F82">
        <w:rPr>
          <w:rFonts w:cs="Arial"/>
          <w:color w:val="000000"/>
          <w:szCs w:val="24"/>
        </w:rPr>
        <w:t xml:space="preserve"> </w:t>
      </w:r>
    </w:p>
    <w:p w14:paraId="5E0A245C" w14:textId="77777777" w:rsidR="005E77EB" w:rsidRPr="002B5BDB" w:rsidRDefault="005E77EB" w:rsidP="005E77EB">
      <w:pPr>
        <w:spacing w:after="0" w:line="240" w:lineRule="auto"/>
        <w:rPr>
          <w:rFonts w:eastAsia="Calibri" w:cs="Arial"/>
          <w:color w:val="000000"/>
          <w:szCs w:val="24"/>
        </w:rPr>
      </w:pPr>
    </w:p>
    <w:p w14:paraId="4621B5D6" w14:textId="77777777" w:rsidR="005E77EB" w:rsidRPr="002B5BDB" w:rsidRDefault="005E77EB" w:rsidP="005E77EB">
      <w:pPr>
        <w:spacing w:after="0" w:line="240" w:lineRule="auto"/>
        <w:rPr>
          <w:szCs w:val="24"/>
        </w:rPr>
      </w:pPr>
      <w:r w:rsidRPr="002B5BDB">
        <w:rPr>
          <w:szCs w:val="24"/>
        </w:rPr>
        <w:t xml:space="preserve">La </w:t>
      </w:r>
      <w:r>
        <w:rPr>
          <w:szCs w:val="24"/>
        </w:rPr>
        <w:t xml:space="preserve">MBA revelará lo pertinente sobre </w:t>
      </w:r>
      <w:r w:rsidRPr="002B5BDB">
        <w:rPr>
          <w:szCs w:val="24"/>
        </w:rPr>
        <w:t>la premisa básica de “ente en marcha”</w:t>
      </w:r>
      <w:r>
        <w:rPr>
          <w:szCs w:val="24"/>
        </w:rPr>
        <w:t>, entre lo que incluye l</w:t>
      </w:r>
      <w:r w:rsidRPr="001C1A34">
        <w:rPr>
          <w:szCs w:val="24"/>
        </w:rPr>
        <w:t xml:space="preserve">a intención de liquidar la entidad o cesar en sus operaciones </w:t>
      </w:r>
      <w:r w:rsidRPr="002B5BDB">
        <w:rPr>
          <w:szCs w:val="24"/>
        </w:rPr>
        <w:t>deberá quedar formalizada por escrito y autorizada por autoridad competente.</w:t>
      </w:r>
    </w:p>
    <w:p w14:paraId="1649B979" w14:textId="77777777" w:rsidR="005E77EB" w:rsidRPr="002B5BDB" w:rsidRDefault="005E77EB" w:rsidP="005E77EB">
      <w:pPr>
        <w:spacing w:after="0" w:line="240" w:lineRule="auto"/>
        <w:rPr>
          <w:szCs w:val="24"/>
        </w:rPr>
      </w:pPr>
    </w:p>
    <w:p w14:paraId="255D0B8F" w14:textId="77777777" w:rsidR="005E77EB" w:rsidRDefault="005E77EB" w:rsidP="005E77EB">
      <w:pPr>
        <w:spacing w:after="0" w:line="240" w:lineRule="auto"/>
        <w:rPr>
          <w:szCs w:val="24"/>
        </w:rPr>
      </w:pPr>
      <w:r w:rsidRPr="002B5BDB">
        <w:rPr>
          <w:szCs w:val="24"/>
        </w:rPr>
        <w:t xml:space="preserve">Cuando </w:t>
      </w:r>
      <w:r>
        <w:rPr>
          <w:szCs w:val="24"/>
        </w:rPr>
        <w:t xml:space="preserve">la MBA anuncie </w:t>
      </w:r>
      <w:r w:rsidRPr="002B5BDB">
        <w:rPr>
          <w:szCs w:val="24"/>
        </w:rPr>
        <w:t>una reestructuración después de la fecha sobre la que se</w:t>
      </w:r>
      <w:r>
        <w:rPr>
          <w:szCs w:val="24"/>
        </w:rPr>
        <w:t xml:space="preserve"> informa analizará e indicará</w:t>
      </w:r>
      <w:r w:rsidRPr="002B5BDB">
        <w:rPr>
          <w:szCs w:val="24"/>
        </w:rPr>
        <w:t xml:space="preserve"> que no implica ajuste</w:t>
      </w:r>
      <w:r>
        <w:rPr>
          <w:szCs w:val="24"/>
        </w:rPr>
        <w:t xml:space="preserve"> y</w:t>
      </w:r>
      <w:r w:rsidRPr="002B5BDB">
        <w:rPr>
          <w:szCs w:val="24"/>
        </w:rPr>
        <w:t>, se realizará una adecuada revelación de información sobre el particular.</w:t>
      </w:r>
      <w:r>
        <w:rPr>
          <w:szCs w:val="24"/>
        </w:rPr>
        <w:t xml:space="preserve"> </w:t>
      </w:r>
      <w:r w:rsidRPr="002B5BDB">
        <w:rPr>
          <w:szCs w:val="24"/>
        </w:rPr>
        <w:t xml:space="preserve">Sin embargo, cuando una reestructuración anunciada después de la fecha sobre la que se informa implica que </w:t>
      </w:r>
      <w:r>
        <w:rPr>
          <w:szCs w:val="24"/>
        </w:rPr>
        <w:t>la Municipalidad</w:t>
      </w:r>
      <w:r w:rsidRPr="002B5BDB">
        <w:rPr>
          <w:szCs w:val="24"/>
        </w:rPr>
        <w:t xml:space="preserve"> ya no se considera</w:t>
      </w:r>
      <w:r>
        <w:rPr>
          <w:szCs w:val="24"/>
        </w:rPr>
        <w:t>rá</w:t>
      </w:r>
      <w:r w:rsidRPr="002B5BDB">
        <w:rPr>
          <w:szCs w:val="24"/>
        </w:rPr>
        <w:t xml:space="preserve"> un ente en marcha, </w:t>
      </w:r>
      <w:r>
        <w:rPr>
          <w:szCs w:val="24"/>
        </w:rPr>
        <w:t xml:space="preserve">se deberá revelar lo pertinente sobre los posibles </w:t>
      </w:r>
      <w:r w:rsidRPr="002B5BDB">
        <w:rPr>
          <w:szCs w:val="24"/>
        </w:rPr>
        <w:t>cambi</w:t>
      </w:r>
      <w:r>
        <w:rPr>
          <w:szCs w:val="24"/>
        </w:rPr>
        <w:t>os,</w:t>
      </w:r>
      <w:r w:rsidRPr="002B5BDB">
        <w:rPr>
          <w:szCs w:val="24"/>
        </w:rPr>
        <w:t xml:space="preserve"> la naturaleza y los importes de activos y pasivos.</w:t>
      </w:r>
    </w:p>
    <w:p w14:paraId="0F023CD3" w14:textId="77777777" w:rsidR="00A561D7" w:rsidRDefault="00A561D7" w:rsidP="005E77EB">
      <w:pPr>
        <w:spacing w:after="0" w:line="240" w:lineRule="auto"/>
        <w:rPr>
          <w:szCs w:val="24"/>
        </w:rPr>
      </w:pPr>
    </w:p>
    <w:p w14:paraId="6AD1632B" w14:textId="77777777" w:rsidR="00A561D7" w:rsidRDefault="00A561D7" w:rsidP="00A561D7">
      <w:pPr>
        <w:autoSpaceDE w:val="0"/>
        <w:autoSpaceDN w:val="0"/>
        <w:adjustRightInd w:val="0"/>
        <w:spacing w:after="0" w:line="240" w:lineRule="auto"/>
        <w:rPr>
          <w:rFonts w:cs="Arial"/>
          <w:color w:val="000000"/>
          <w:szCs w:val="24"/>
        </w:rPr>
      </w:pPr>
      <w:r w:rsidRPr="002B5BDB">
        <w:rPr>
          <w:rFonts w:cs="Arial"/>
          <w:color w:val="000000"/>
          <w:szCs w:val="24"/>
        </w:rPr>
        <w:t xml:space="preserve">Las </w:t>
      </w:r>
      <w:r>
        <w:rPr>
          <w:rFonts w:cs="Arial"/>
          <w:color w:val="000000"/>
          <w:szCs w:val="24"/>
        </w:rPr>
        <w:t>MBA</w:t>
      </w:r>
      <w:r w:rsidRPr="002B5BDB">
        <w:rPr>
          <w:rFonts w:cs="Arial"/>
          <w:color w:val="000000"/>
          <w:szCs w:val="24"/>
        </w:rPr>
        <w:t xml:space="preserve"> revelar</w:t>
      </w:r>
      <w:r>
        <w:rPr>
          <w:rFonts w:cs="Arial"/>
          <w:color w:val="000000"/>
          <w:szCs w:val="24"/>
        </w:rPr>
        <w:t>á</w:t>
      </w:r>
      <w:r w:rsidRPr="002B5BDB">
        <w:rPr>
          <w:rFonts w:cs="Arial"/>
          <w:color w:val="000000"/>
          <w:szCs w:val="24"/>
        </w:rPr>
        <w:t xml:space="preserve"> en Notas a los EEFF, </w:t>
      </w:r>
      <w:r>
        <w:rPr>
          <w:rFonts w:cs="Arial"/>
          <w:color w:val="000000"/>
          <w:szCs w:val="24"/>
        </w:rPr>
        <w:t xml:space="preserve">la </w:t>
      </w:r>
      <w:r w:rsidRPr="002B5BDB">
        <w:rPr>
          <w:rFonts w:cs="Arial"/>
          <w:color w:val="000000"/>
          <w:szCs w:val="24"/>
        </w:rPr>
        <w:t xml:space="preserve">Fecha de autorización: </w:t>
      </w:r>
      <w:r>
        <w:rPr>
          <w:rFonts w:cs="Arial"/>
          <w:color w:val="000000"/>
          <w:szCs w:val="24"/>
        </w:rPr>
        <w:t xml:space="preserve">la Fecha </w:t>
      </w:r>
      <w:r w:rsidRPr="002B5BDB">
        <w:rPr>
          <w:rFonts w:cs="Arial"/>
          <w:color w:val="000000"/>
          <w:szCs w:val="24"/>
        </w:rPr>
        <w:t>Actualización de las revelaciones sobre condiciones existentes a la fecha sobre la que se informa</w:t>
      </w:r>
      <w:r w:rsidRPr="00A5738D">
        <w:rPr>
          <w:rFonts w:cs="Arial"/>
          <w:color w:val="000000"/>
          <w:szCs w:val="24"/>
        </w:rPr>
        <w:t xml:space="preserve">, </w:t>
      </w:r>
      <w:r w:rsidRPr="002B5BDB">
        <w:rPr>
          <w:rFonts w:cs="Arial"/>
          <w:color w:val="000000"/>
          <w:szCs w:val="24"/>
        </w:rPr>
        <w:t>Revelación de hechos ocurridos después de la fecha sobre la que se informa y que no implican ajustes</w:t>
      </w:r>
      <w:r>
        <w:rPr>
          <w:rFonts w:cs="Arial"/>
          <w:color w:val="000000"/>
          <w:szCs w:val="24"/>
        </w:rPr>
        <w:t>.</w:t>
      </w:r>
    </w:p>
    <w:p w14:paraId="223BBDF6" w14:textId="77777777" w:rsidR="00A561D7" w:rsidRDefault="00A561D7" w:rsidP="00A561D7">
      <w:pPr>
        <w:spacing w:after="0" w:line="240" w:lineRule="auto"/>
        <w:rPr>
          <w:rFonts w:eastAsia="Calibri" w:cs="Arial"/>
          <w:color w:val="000000"/>
          <w:lang w:val="es-ES_tradnl"/>
        </w:rPr>
      </w:pPr>
    </w:p>
    <w:p w14:paraId="68F3436E" w14:textId="77777777" w:rsidR="00A561D7" w:rsidRPr="002B5BDB" w:rsidRDefault="00A561D7" w:rsidP="00A561D7">
      <w:pPr>
        <w:spacing w:after="0" w:line="240" w:lineRule="auto"/>
        <w:rPr>
          <w:rFonts w:eastAsia="Calibri" w:cs="Arial"/>
          <w:b/>
          <w:bCs/>
          <w:color w:val="000000"/>
          <w:lang w:val="es-ES_tradnl"/>
        </w:rPr>
      </w:pPr>
      <w:r w:rsidRPr="002B5BDB">
        <w:rPr>
          <w:rFonts w:eastAsia="Calibri" w:cs="Arial"/>
          <w:b/>
          <w:bCs/>
          <w:color w:val="000000"/>
          <w:lang w:val="es-ES_tradnl"/>
        </w:rPr>
        <w:t>Otras Revelaciones</w:t>
      </w:r>
    </w:p>
    <w:p w14:paraId="7D91340E" w14:textId="77777777" w:rsidR="005E77EB" w:rsidRPr="002B5BDB" w:rsidRDefault="005E77EB" w:rsidP="005E77EB">
      <w:pPr>
        <w:spacing w:after="0" w:line="240" w:lineRule="auto"/>
        <w:rPr>
          <w:rFonts w:eastAsia="Calibri" w:cs="Arial"/>
          <w:color w:val="000000"/>
          <w:szCs w:val="24"/>
          <w:lang w:val="es-ES_tradnl"/>
        </w:rPr>
      </w:pPr>
    </w:p>
    <w:p w14:paraId="11F8A867" w14:textId="4686E563" w:rsidR="005F2549" w:rsidRDefault="005E77EB" w:rsidP="005E77EB">
      <w:pPr>
        <w:rPr>
          <w:rFonts w:cs="Arial"/>
          <w:color w:val="000000"/>
          <w:szCs w:val="24"/>
        </w:rPr>
      </w:pPr>
      <w:r w:rsidRPr="002B5BDB">
        <w:rPr>
          <w:rFonts w:cs="Arial"/>
          <w:color w:val="000000"/>
          <w:szCs w:val="24"/>
        </w:rPr>
        <w:t xml:space="preserve">Las </w:t>
      </w:r>
      <w:r>
        <w:rPr>
          <w:rFonts w:cs="Arial"/>
          <w:color w:val="000000"/>
          <w:szCs w:val="24"/>
        </w:rPr>
        <w:t>MBA</w:t>
      </w:r>
      <w:r w:rsidRPr="002B5BDB">
        <w:rPr>
          <w:rFonts w:cs="Arial"/>
          <w:color w:val="000000"/>
          <w:szCs w:val="24"/>
        </w:rPr>
        <w:t xml:space="preserve"> revelar</w:t>
      </w:r>
      <w:r>
        <w:rPr>
          <w:rFonts w:cs="Arial"/>
          <w:color w:val="000000"/>
          <w:szCs w:val="24"/>
        </w:rPr>
        <w:t>á</w:t>
      </w:r>
      <w:r w:rsidRPr="002B5BDB">
        <w:rPr>
          <w:rFonts w:cs="Arial"/>
          <w:color w:val="000000"/>
          <w:szCs w:val="24"/>
        </w:rPr>
        <w:t xml:space="preserve"> en Notas a los EEFF, </w:t>
      </w:r>
      <w:r>
        <w:rPr>
          <w:rFonts w:cs="Arial"/>
          <w:color w:val="000000"/>
          <w:szCs w:val="24"/>
        </w:rPr>
        <w:t xml:space="preserve">la </w:t>
      </w:r>
      <w:r w:rsidRPr="002B5BDB">
        <w:rPr>
          <w:rFonts w:cs="Arial"/>
          <w:color w:val="000000"/>
          <w:szCs w:val="24"/>
        </w:rPr>
        <w:t xml:space="preserve">Fecha de autorización: </w:t>
      </w:r>
      <w:r>
        <w:rPr>
          <w:rFonts w:cs="Arial"/>
          <w:color w:val="000000"/>
          <w:szCs w:val="24"/>
        </w:rPr>
        <w:t xml:space="preserve">la Fecha </w:t>
      </w:r>
      <w:r w:rsidRPr="002B5BDB">
        <w:rPr>
          <w:rFonts w:cs="Arial"/>
          <w:color w:val="000000"/>
          <w:szCs w:val="24"/>
        </w:rPr>
        <w:t>Actualización de las revelaciones sobre condiciones existentes a la fecha sobre la que se informa</w:t>
      </w:r>
      <w:r w:rsidRPr="00A5738D">
        <w:rPr>
          <w:rFonts w:cs="Arial"/>
          <w:color w:val="000000"/>
          <w:szCs w:val="24"/>
        </w:rPr>
        <w:t xml:space="preserve">, </w:t>
      </w:r>
      <w:r w:rsidRPr="002B5BDB">
        <w:rPr>
          <w:rFonts w:cs="Arial"/>
          <w:color w:val="000000"/>
          <w:szCs w:val="24"/>
        </w:rPr>
        <w:t>Revelación de hechos ocurridos después de la fecha sobre la que se informa y que no implican ajustes</w:t>
      </w:r>
      <w:r>
        <w:rPr>
          <w:rFonts w:cs="Arial"/>
          <w:color w:val="000000"/>
          <w:szCs w:val="24"/>
        </w:rPr>
        <w:t>.</w:t>
      </w:r>
    </w:p>
    <w:p w14:paraId="3B6A94D5" w14:textId="77777777" w:rsidR="00A561D7" w:rsidRPr="005C6BF2" w:rsidRDefault="00A561D7" w:rsidP="00A561D7">
      <w:pPr>
        <w:spacing w:after="0" w:line="240" w:lineRule="auto"/>
        <w:rPr>
          <w:rFonts w:eastAsia="Calibri" w:cs="Arial"/>
          <w:color w:val="000000"/>
          <w:lang w:val="es-ES_tradnl"/>
        </w:rPr>
      </w:pPr>
      <w:r w:rsidRPr="005C6BF2">
        <w:rPr>
          <w:rFonts w:eastAsia="Calibri" w:cs="Arial"/>
          <w:color w:val="000000"/>
          <w:lang w:val="es-ES_tradnl"/>
        </w:rPr>
        <w:t xml:space="preserve">Los estados financieros se emiten conforme los lineamientos dados por la DGCN, en los cuales se establece que la fecha de presentación de dichos estados es mensualmente. Por otro lado, la información sobre el presupuesto se elabora conforme lo establecido en las Normas Técnicas sobre Presupuesto Público formuladas por la Contraloría General de la República, de acuerdo con estas se debe presentar informes sobre el presupuesto semestral y anualmente se realiza la liquidación del mismo.  </w:t>
      </w:r>
    </w:p>
    <w:p w14:paraId="02DC94E9" w14:textId="77777777" w:rsidR="00A561D7" w:rsidRPr="005C6BF2" w:rsidRDefault="00A561D7" w:rsidP="00A561D7">
      <w:pPr>
        <w:spacing w:after="0" w:line="240" w:lineRule="auto"/>
        <w:rPr>
          <w:rFonts w:eastAsia="Calibri" w:cs="Arial"/>
          <w:color w:val="000000"/>
          <w:lang w:val="es-ES_tradnl"/>
        </w:rPr>
      </w:pPr>
    </w:p>
    <w:p w14:paraId="634966D7" w14:textId="662BF928" w:rsidR="00A561D7" w:rsidRPr="005C6BF2" w:rsidRDefault="00A561D7" w:rsidP="00A561D7">
      <w:pPr>
        <w:spacing w:after="0" w:line="240" w:lineRule="auto"/>
        <w:rPr>
          <w:rFonts w:eastAsia="Calibri" w:cs="Arial"/>
          <w:color w:val="000000"/>
          <w:lang w:val="es-ES_tradnl"/>
        </w:rPr>
      </w:pPr>
      <w:bookmarkStart w:id="58" w:name="_Hlk158794468"/>
      <w:r w:rsidRPr="005C6BF2">
        <w:rPr>
          <w:rFonts w:eastAsia="Calibri" w:cs="Arial"/>
          <w:color w:val="000000"/>
          <w:lang w:val="es-ES_tradnl"/>
        </w:rPr>
        <w:t xml:space="preserve">No se tuvo evidencia de hechos significativos ocurridos después de fecha de presentación de los estados financieros, que hiciera dudar de la hipótesis de negocio en marcha o de otro tipo, que requiriera ser revelada o efectuar algún ajustar a uno o más de los saldos presentados en los estados financieros que hubiera sido impactado sustancialmente. Además, es pertinente indicar que como parte del proceso de implementación de las NICSP se están formulando políticas y </w:t>
      </w:r>
      <w:r w:rsidR="004653E2" w:rsidRPr="005C6BF2">
        <w:rPr>
          <w:rFonts w:eastAsia="Calibri" w:cs="Arial"/>
          <w:color w:val="000000"/>
          <w:lang w:val="es-ES_tradnl"/>
        </w:rPr>
        <w:t>procedimientos internos</w:t>
      </w:r>
      <w:r w:rsidRPr="005C6BF2">
        <w:rPr>
          <w:rFonts w:eastAsia="Calibri" w:cs="Arial"/>
          <w:color w:val="000000"/>
          <w:lang w:val="es-ES_tradnl"/>
        </w:rPr>
        <w:t xml:space="preserve"> para regular lo atinente a la aplicación de la NICSP 14.</w:t>
      </w:r>
    </w:p>
    <w:bookmarkEnd w:id="58"/>
    <w:p w14:paraId="11FB28CB" w14:textId="77777777" w:rsidR="00A561D7" w:rsidRPr="005C6BF2" w:rsidRDefault="00A561D7" w:rsidP="00A561D7">
      <w:pPr>
        <w:spacing w:after="0" w:line="240" w:lineRule="auto"/>
        <w:rPr>
          <w:rFonts w:eastAsia="Calibri" w:cs="Arial"/>
          <w:color w:val="000000"/>
          <w:lang w:val="es-ES_tradnl"/>
        </w:rPr>
      </w:pPr>
    </w:p>
    <w:p w14:paraId="6B58A053" w14:textId="77777777" w:rsidR="00A561D7" w:rsidRDefault="00A561D7" w:rsidP="00A561D7">
      <w:pPr>
        <w:spacing w:after="0" w:line="240" w:lineRule="auto"/>
        <w:rPr>
          <w:rFonts w:eastAsia="Calibri" w:cs="Arial"/>
          <w:color w:val="000000"/>
          <w:lang w:val="es-ES_tradnl"/>
        </w:rPr>
      </w:pPr>
      <w:r w:rsidRPr="005C6BF2">
        <w:rPr>
          <w:rFonts w:eastAsia="Calibri" w:cs="Arial"/>
          <w:color w:val="000000"/>
          <w:lang w:val="es-ES_tradnl"/>
        </w:rPr>
        <w:t xml:space="preserve">Asimismo, se </w:t>
      </w:r>
      <w:r>
        <w:rPr>
          <w:rFonts w:eastAsia="Calibri" w:cs="Arial"/>
          <w:color w:val="000000"/>
          <w:lang w:val="es-ES_tradnl"/>
        </w:rPr>
        <w:t>analizó la existencia de</w:t>
      </w:r>
      <w:r w:rsidRPr="005C6BF2">
        <w:rPr>
          <w:rFonts w:eastAsia="Calibri" w:cs="Arial"/>
          <w:color w:val="000000"/>
          <w:lang w:val="es-ES_tradnl"/>
        </w:rPr>
        <w:t xml:space="preserve"> posibles hechos que en caso de materializarse y de acuerdo la citada NICSP, ser</w:t>
      </w:r>
      <w:r>
        <w:rPr>
          <w:rFonts w:eastAsia="Calibri" w:cs="Arial"/>
          <w:color w:val="000000"/>
          <w:lang w:val="es-ES_tradnl"/>
        </w:rPr>
        <w:t>án</w:t>
      </w:r>
      <w:r w:rsidRPr="005C6BF2">
        <w:rPr>
          <w:rFonts w:eastAsia="Calibri" w:cs="Arial"/>
          <w:color w:val="000000"/>
          <w:lang w:val="es-ES_tradnl"/>
        </w:rPr>
        <w:t xml:space="preserve"> objeto de reconocimiento y revelación (afectan los saldos a la fecha de presentación), únicamente deben ser reveladas (tienen relación con los saldos después de la fecha de presentación), o que no implican ni reconocimiento ni revelación.</w:t>
      </w:r>
    </w:p>
    <w:p w14:paraId="7F3E9AF6" w14:textId="77777777" w:rsidR="00A561D7" w:rsidRPr="00A561D7" w:rsidRDefault="00A561D7" w:rsidP="005E77EB">
      <w:pPr>
        <w:rPr>
          <w:lang w:val="es-ES_tradnl" w:eastAsia="es-CR"/>
        </w:rPr>
      </w:pPr>
    </w:p>
    <w:p w14:paraId="0FDC405E" w14:textId="005D2F9F" w:rsidR="000B404C" w:rsidRPr="00A649A4" w:rsidRDefault="000B404C" w:rsidP="00A649A4">
      <w:pPr>
        <w:pStyle w:val="Ttulo2"/>
        <w:spacing w:after="240"/>
        <w:rPr>
          <w:rFonts w:eastAsia="Times New Roman"/>
          <w:lang w:eastAsia="es-CR"/>
        </w:rPr>
      </w:pPr>
      <w:bookmarkStart w:id="59" w:name="_Toc173245197"/>
      <w:r w:rsidRPr="000B404C">
        <w:rPr>
          <w:rFonts w:eastAsia="Times New Roman"/>
          <w:lang w:eastAsia="es-CR"/>
        </w:rPr>
        <w:t>NICSP 16- PROPIEDADES DE INVERSIÓN:</w:t>
      </w:r>
      <w:bookmarkEnd w:id="59"/>
    </w:p>
    <w:p w14:paraId="2742B1FB" w14:textId="77777777" w:rsidR="00694299" w:rsidRDefault="000B404C" w:rsidP="0074522C">
      <w:pPr>
        <w:spacing w:before="240"/>
        <w:rPr>
          <w:rFonts w:asciiTheme="minorHAnsi" w:hAnsiTheme="minorHAnsi"/>
          <w:sz w:val="22"/>
        </w:rPr>
      </w:pPr>
      <w:r w:rsidRPr="00405DBC">
        <w:t xml:space="preserve">De acuerdo con la </w:t>
      </w:r>
      <w:r w:rsidRPr="00BC7C5B">
        <w:rPr>
          <w:rFonts w:eastAsia="Times New Roman"/>
          <w:lang w:val="es-MX" w:eastAsia="es-CR"/>
        </w:rPr>
        <w:t>NICSP 16- Propiedades de Inversión</w:t>
      </w:r>
      <w:r>
        <w:t xml:space="preserve">, </w:t>
      </w:r>
      <w:r w:rsidRPr="00405DBC">
        <w:t>Indicar si este rubro afecta SI o NO a la institución, además del porcentaje de avance</w:t>
      </w:r>
      <w:r>
        <w:t xml:space="preserve"> en la implementación</w:t>
      </w:r>
      <w:r w:rsidRPr="00405DBC">
        <w:t xml:space="preserve"> que presenta</w:t>
      </w:r>
      <w:r>
        <w:rPr>
          <w:b/>
        </w:rPr>
        <w:t>.</w:t>
      </w:r>
      <w:r w:rsidR="0025405A">
        <w:t xml:space="preserve"> </w:t>
      </w:r>
      <w:r w:rsidR="0025405A">
        <w:rPr>
          <w:lang w:val="es-MX" w:eastAsia="es-CR"/>
        </w:rPr>
        <w:fldChar w:fldCharType="begin"/>
      </w:r>
      <w:r w:rsidR="0025405A">
        <w:rPr>
          <w:lang w:val="es-MX" w:eastAsia="es-CR"/>
        </w:rPr>
        <w:instrText xml:space="preserve"> LINK </w:instrText>
      </w:r>
      <w:r w:rsidR="00323752">
        <w:rPr>
          <w:lang w:val="es-MX" w:eastAsia="es-CR"/>
        </w:rPr>
        <w:instrText xml:space="preserve">Excel.SheetMacroEnabled.12 "D:\\MORAVIA\\INSUMOS\\NOTAS 2024\\Formato_Notas_EEFF_Vinculadas_2024\\XXXXX_PXX_202X_Anexo_Estado_Notas_Contables_Vinculadas.xlsm" NICSP_16!F9C3:F10C4 </w:instrText>
      </w:r>
      <w:r w:rsidR="0025405A">
        <w:rPr>
          <w:lang w:val="es-MX" w:eastAsia="es-CR"/>
        </w:rPr>
        <w:instrText xml:space="preserve">\a \f 4 \h </w:instrText>
      </w:r>
      <w:r w:rsidR="0025405A">
        <w:rPr>
          <w:lang w:val="es-MX" w:eastAsia="es-CR"/>
        </w:rPr>
        <w:fldChar w:fldCharType="separate"/>
      </w:r>
    </w:p>
    <w:tbl>
      <w:tblPr>
        <w:tblW w:w="3920" w:type="dxa"/>
        <w:tblCellMar>
          <w:left w:w="70" w:type="dxa"/>
          <w:right w:w="70" w:type="dxa"/>
        </w:tblCellMar>
        <w:tblLook w:val="04A0" w:firstRow="1" w:lastRow="0" w:firstColumn="1" w:lastColumn="0" w:noHBand="0" w:noVBand="1"/>
      </w:tblPr>
      <w:tblGrid>
        <w:gridCol w:w="2440"/>
        <w:gridCol w:w="1480"/>
      </w:tblGrid>
      <w:tr w:rsidR="00694299" w:rsidRPr="00694299" w14:paraId="7CE3DDEE" w14:textId="77777777" w:rsidTr="00694299">
        <w:trPr>
          <w:divId w:val="369692940"/>
          <w:trHeight w:val="348"/>
        </w:trPr>
        <w:tc>
          <w:tcPr>
            <w:tcW w:w="24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766F084C" w14:textId="7A54EE30"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E3855"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No</w:t>
            </w:r>
          </w:p>
        </w:tc>
      </w:tr>
      <w:tr w:rsidR="00694299" w:rsidRPr="00694299" w14:paraId="58083784" w14:textId="77777777" w:rsidTr="00694299">
        <w:trPr>
          <w:divId w:val="369692940"/>
          <w:trHeight w:val="348"/>
        </w:trPr>
        <w:tc>
          <w:tcPr>
            <w:tcW w:w="2440" w:type="dxa"/>
            <w:tcBorders>
              <w:top w:val="nil"/>
              <w:left w:val="single" w:sz="8" w:space="0" w:color="auto"/>
              <w:bottom w:val="single" w:sz="8" w:space="0" w:color="auto"/>
              <w:right w:val="single" w:sz="8" w:space="0" w:color="auto"/>
            </w:tcBorders>
            <w:shd w:val="clear" w:color="000000" w:fill="17365D"/>
            <w:vAlign w:val="center"/>
            <w:hideMark/>
          </w:tcPr>
          <w:p w14:paraId="4CC5F77C"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61B42BFB"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 </w:t>
            </w:r>
          </w:p>
        </w:tc>
      </w:tr>
    </w:tbl>
    <w:p w14:paraId="6EF9FE76" w14:textId="54338A4E" w:rsidR="000B404C" w:rsidRPr="000B404C" w:rsidRDefault="0025405A" w:rsidP="0074522C">
      <w:pPr>
        <w:spacing w:before="240"/>
        <w:rPr>
          <w:lang w:val="es-MX" w:eastAsia="es-CR"/>
        </w:rPr>
      </w:pPr>
      <w:r>
        <w:rPr>
          <w:lang w:val="es-MX" w:eastAsia="es-CR"/>
        </w:rPr>
        <w:fldChar w:fldCharType="end"/>
      </w:r>
      <w:r w:rsidR="000B404C" w:rsidRPr="000B404C">
        <w:rPr>
          <w:lang w:val="es-MX" w:eastAsia="es-CR"/>
        </w:rPr>
        <w:t>El responsable contable debe analizar las características del activo para determinar su tratamiento</w:t>
      </w:r>
    </w:p>
    <w:p w14:paraId="6EE98A47" w14:textId="77777777" w:rsidR="005F2549" w:rsidRDefault="000B404C" w:rsidP="000B404C">
      <w:pPr>
        <w:rPr>
          <w:sz w:val="22"/>
          <w:lang w:val="es-MX" w:eastAsia="es-CR"/>
        </w:rPr>
      </w:pPr>
      <w:r w:rsidRPr="000B404C">
        <w:rPr>
          <w:sz w:val="22"/>
          <w:lang w:val="es-MX" w:eastAsia="es-CR"/>
        </w:rPr>
        <w:t>A continuación, un cuadro resumen, pero el detalle de los cuadros debe ser adjuntados como anexos</w:t>
      </w:r>
    </w:p>
    <w:p w14:paraId="3D6A1A1C" w14:textId="3191FBEA" w:rsidR="003A31CC" w:rsidRDefault="000B404C" w:rsidP="000B404C">
      <w:pPr>
        <w:rPr>
          <w:rFonts w:eastAsia="Calibri" w:cs="Arial"/>
          <w:color w:val="000000"/>
          <w:lang w:val="es-ES_tradnl"/>
        </w:rPr>
      </w:pPr>
      <w:r w:rsidRPr="000B404C">
        <w:rPr>
          <w:sz w:val="22"/>
          <w:lang w:val="es-MX" w:eastAsia="es-CR"/>
        </w:rPr>
        <w:t xml:space="preserve"> </w:t>
      </w:r>
      <w:hyperlink w:anchor="_NICSP_16-_Propiedades" w:history="1">
        <w:r w:rsidRPr="000B404C">
          <w:rPr>
            <w:color w:val="0000FF"/>
            <w:sz w:val="22"/>
            <w:u w:val="single"/>
            <w:lang w:val="es-MX" w:eastAsia="es-CR"/>
          </w:rPr>
          <w:t>NICSP 16- Propiedades de Inversión</w:t>
        </w:r>
      </w:hyperlink>
      <w:r w:rsidRPr="000B404C">
        <w:rPr>
          <w:sz w:val="22"/>
          <w:lang w:val="es-MX" w:eastAsia="es-CR"/>
        </w:rPr>
        <w:t>:</w:t>
      </w:r>
      <w:r w:rsidRPr="000B404C">
        <w:rPr>
          <w:rFonts w:eastAsia="Calibri" w:cs="Arial"/>
          <w:color w:val="000000"/>
          <w:lang w:val="es-ES_tradnl"/>
        </w:rPr>
        <w:t xml:space="preserve"> </w:t>
      </w:r>
    </w:p>
    <w:p w14:paraId="7CD785DE" w14:textId="77777777" w:rsidR="00694299" w:rsidRDefault="00F56027" w:rsidP="000B404C">
      <w:pPr>
        <w:rPr>
          <w:rFonts w:asciiTheme="minorHAnsi" w:hAnsiTheme="minorHAnsi"/>
          <w:sz w:val="22"/>
        </w:rPr>
      </w:pPr>
      <w:r>
        <w:rPr>
          <w:lang w:val="es-ES_tradnl"/>
        </w:rPr>
        <w:fldChar w:fldCharType="begin"/>
      </w:r>
      <w:r>
        <w:rPr>
          <w:lang w:val="es-ES_tradnl"/>
        </w:rPr>
        <w:instrText xml:space="preserve"> LINK </w:instrText>
      </w:r>
      <w:r w:rsidR="00323752">
        <w:rPr>
          <w:lang w:val="es-ES_tradnl"/>
        </w:rPr>
        <w:instrText xml:space="preserve">Excel.SheetMacroEnabled.12 "D:\\MORAVIA\\INSUMOS\\NOTAS 2024\\Formato_Notas_EEFF_Vinculadas_2024\\XXXXX_PXX_202X_Anexo_Estado_Notas_Contables_Vinculadas.xlsm" NICSP_16!F12C3:F13C5 </w:instrText>
      </w:r>
      <w:r>
        <w:rPr>
          <w:lang w:val="es-ES_tradnl"/>
        </w:rPr>
        <w:instrText xml:space="preserve">\a \f 4 \h </w:instrText>
      </w:r>
      <w:r>
        <w:rPr>
          <w:lang w:val="es-ES_tradnl"/>
        </w:rPr>
        <w:fldChar w:fldCharType="separate"/>
      </w:r>
    </w:p>
    <w:tbl>
      <w:tblPr>
        <w:tblW w:w="5940" w:type="dxa"/>
        <w:tblCellMar>
          <w:left w:w="70" w:type="dxa"/>
          <w:right w:w="70" w:type="dxa"/>
        </w:tblCellMar>
        <w:tblLook w:val="04A0" w:firstRow="1" w:lastRow="0" w:firstColumn="1" w:lastColumn="0" w:noHBand="0" w:noVBand="1"/>
      </w:tblPr>
      <w:tblGrid>
        <w:gridCol w:w="2440"/>
        <w:gridCol w:w="1480"/>
        <w:gridCol w:w="2020"/>
      </w:tblGrid>
      <w:tr w:rsidR="00694299" w:rsidRPr="00694299" w14:paraId="4C03A2A1" w14:textId="77777777" w:rsidTr="00694299">
        <w:trPr>
          <w:divId w:val="732654992"/>
          <w:trHeight w:val="324"/>
        </w:trPr>
        <w:tc>
          <w:tcPr>
            <w:tcW w:w="2440" w:type="dxa"/>
            <w:tcBorders>
              <w:top w:val="single" w:sz="8" w:space="0" w:color="auto"/>
              <w:left w:val="single" w:sz="8" w:space="0" w:color="auto"/>
              <w:bottom w:val="single" w:sz="8" w:space="0" w:color="auto"/>
              <w:right w:val="nil"/>
            </w:tcBorders>
            <w:shd w:val="clear" w:color="000000" w:fill="1F3864"/>
            <w:vAlign w:val="center"/>
            <w:hideMark/>
          </w:tcPr>
          <w:p w14:paraId="4D18AF28" w14:textId="1BC2021B"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Resumen</w:t>
            </w:r>
          </w:p>
        </w:tc>
        <w:tc>
          <w:tcPr>
            <w:tcW w:w="1480" w:type="dxa"/>
            <w:tcBorders>
              <w:top w:val="single" w:sz="8" w:space="0" w:color="auto"/>
              <w:left w:val="single" w:sz="8" w:space="0" w:color="auto"/>
              <w:bottom w:val="single" w:sz="8" w:space="0" w:color="auto"/>
              <w:right w:val="nil"/>
            </w:tcBorders>
            <w:shd w:val="clear" w:color="000000" w:fill="1F3864"/>
            <w:vAlign w:val="center"/>
            <w:hideMark/>
          </w:tcPr>
          <w:p w14:paraId="47048080"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 xml:space="preserve">CANTIDAD </w:t>
            </w:r>
          </w:p>
        </w:tc>
        <w:tc>
          <w:tcPr>
            <w:tcW w:w="202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12C288B7"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MONTO TOTAL</w:t>
            </w:r>
          </w:p>
        </w:tc>
      </w:tr>
      <w:tr w:rsidR="00694299" w:rsidRPr="00694299" w14:paraId="43B56014" w14:textId="77777777" w:rsidTr="00694299">
        <w:trPr>
          <w:divId w:val="732654992"/>
          <w:trHeight w:val="348"/>
        </w:trPr>
        <w:tc>
          <w:tcPr>
            <w:tcW w:w="2440" w:type="dxa"/>
            <w:tcBorders>
              <w:top w:val="nil"/>
              <w:left w:val="single" w:sz="8" w:space="0" w:color="auto"/>
              <w:bottom w:val="single" w:sz="8" w:space="0" w:color="auto"/>
              <w:right w:val="nil"/>
            </w:tcBorders>
            <w:shd w:val="clear" w:color="000000" w:fill="1F3864"/>
            <w:vAlign w:val="center"/>
            <w:hideMark/>
          </w:tcPr>
          <w:p w14:paraId="4282E5A3"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Propiedades de Inversión</w:t>
            </w:r>
          </w:p>
        </w:tc>
        <w:tc>
          <w:tcPr>
            <w:tcW w:w="1480" w:type="dxa"/>
            <w:tcBorders>
              <w:top w:val="nil"/>
              <w:left w:val="nil"/>
              <w:bottom w:val="single" w:sz="8" w:space="0" w:color="auto"/>
              <w:right w:val="single" w:sz="8" w:space="0" w:color="auto"/>
            </w:tcBorders>
            <w:shd w:val="clear" w:color="auto" w:fill="auto"/>
            <w:noWrap/>
            <w:vAlign w:val="center"/>
            <w:hideMark/>
          </w:tcPr>
          <w:p w14:paraId="32B06E50" w14:textId="77777777" w:rsidR="00694299" w:rsidRPr="00694299" w:rsidRDefault="00694299" w:rsidP="00694299">
            <w:pPr>
              <w:spacing w:after="0" w:line="240" w:lineRule="auto"/>
              <w:jc w:val="center"/>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2020" w:type="dxa"/>
            <w:tcBorders>
              <w:top w:val="nil"/>
              <w:left w:val="nil"/>
              <w:bottom w:val="single" w:sz="8" w:space="0" w:color="auto"/>
              <w:right w:val="single" w:sz="8" w:space="0" w:color="auto"/>
            </w:tcBorders>
            <w:shd w:val="clear" w:color="auto" w:fill="auto"/>
            <w:noWrap/>
            <w:vAlign w:val="center"/>
            <w:hideMark/>
          </w:tcPr>
          <w:p w14:paraId="3584D392" w14:textId="77777777" w:rsidR="00694299" w:rsidRPr="00694299" w:rsidRDefault="00694299" w:rsidP="00694299">
            <w:pPr>
              <w:spacing w:after="0" w:line="240" w:lineRule="auto"/>
              <w:jc w:val="right"/>
              <w:rPr>
                <w:rFonts w:eastAsia="Times New Roman" w:cs="Calibri"/>
                <w:color w:val="000000"/>
                <w:sz w:val="20"/>
                <w:szCs w:val="20"/>
                <w:lang w:eastAsia="es-CR"/>
              </w:rPr>
            </w:pPr>
            <w:r w:rsidRPr="00694299">
              <w:rPr>
                <w:rFonts w:ascii="Arial" w:eastAsia="Times New Roman" w:hAnsi="Arial" w:cs="Arial"/>
                <w:color w:val="000000"/>
                <w:sz w:val="20"/>
                <w:szCs w:val="20"/>
                <w:lang w:eastAsia="es-CR"/>
              </w:rPr>
              <w:t>₡</w:t>
            </w:r>
            <w:r w:rsidRPr="00694299">
              <w:rPr>
                <w:rFonts w:eastAsia="Times New Roman" w:cs="Calibri"/>
                <w:color w:val="000000"/>
                <w:sz w:val="20"/>
                <w:szCs w:val="20"/>
                <w:lang w:eastAsia="es-CR"/>
              </w:rPr>
              <w:t>0,00</w:t>
            </w:r>
          </w:p>
        </w:tc>
      </w:tr>
    </w:tbl>
    <w:p w14:paraId="181C259A" w14:textId="41942D38" w:rsidR="000B404C" w:rsidRPr="000B404C" w:rsidRDefault="00F56027" w:rsidP="000B404C">
      <w:pPr>
        <w:rPr>
          <w:rFonts w:eastAsia="Calibri" w:cs="Arial"/>
          <w:color w:val="000000"/>
          <w:lang w:val="es-ES_tradnl"/>
        </w:rPr>
      </w:pPr>
      <w:r>
        <w:rPr>
          <w:rFonts w:eastAsia="Calibri" w:cs="Arial"/>
          <w:color w:val="000000"/>
          <w:lang w:val="es-ES_tradnl"/>
        </w:rPr>
        <w:fldChar w:fldCharType="end"/>
      </w:r>
    </w:p>
    <w:p w14:paraId="5329F945" w14:textId="77777777" w:rsidR="000B404C" w:rsidRDefault="000B404C" w:rsidP="000B404C">
      <w:r w:rsidRPr="000B404C">
        <w:t>El responsable contable deberá revelar considerando lo dispuesto en el párrafo 86 de la NICSP 16, si aplica el modelo del valor razonable o el modelo del costo y todo lo que solicita la norma al respecto.</w:t>
      </w:r>
    </w:p>
    <w:p w14:paraId="17B4EA92" w14:textId="77777777" w:rsidR="004B38F9" w:rsidRPr="003516A2" w:rsidRDefault="004B38F9" w:rsidP="004B38F9">
      <w:pPr>
        <w:spacing w:line="240" w:lineRule="auto"/>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1297B085" w14:textId="77777777" w:rsidR="004B38F9" w:rsidRDefault="004B38F9" w:rsidP="004B38F9">
      <w:pPr>
        <w:spacing w:line="240" w:lineRule="auto"/>
        <w:rPr>
          <w:b/>
          <w:u w:val="single"/>
        </w:rPr>
      </w:pPr>
    </w:p>
    <w:p w14:paraId="605B8ABF" w14:textId="77777777" w:rsidR="004B38F9" w:rsidRPr="003516A2" w:rsidRDefault="004B38F9" w:rsidP="004B38F9">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32E6B693" w14:textId="77777777" w:rsidR="004B38F9" w:rsidRPr="002007F6" w:rsidRDefault="004B38F9" w:rsidP="004B38F9">
      <w:pPr>
        <w:rPr>
          <w:lang w:val="es-MX"/>
        </w:rPr>
      </w:pPr>
      <w:r>
        <w:rPr>
          <w:lang w:val="es-MX"/>
        </w:rPr>
        <w:t>________________________________________________________________________________________________________________________________________________________________</w:t>
      </w:r>
    </w:p>
    <w:p w14:paraId="0777BDB1" w14:textId="77777777" w:rsidR="004B38F9" w:rsidRPr="000B404C" w:rsidRDefault="004B38F9" w:rsidP="000B404C"/>
    <w:p w14:paraId="0C4CA708" w14:textId="77777777" w:rsidR="000B404C" w:rsidRPr="000B404C" w:rsidRDefault="000B404C" w:rsidP="000B404C">
      <w:pPr>
        <w:rPr>
          <w:b/>
          <w:szCs w:val="24"/>
          <w:u w:val="single"/>
          <w:lang w:val="es-MX" w:eastAsia="es-CR"/>
        </w:rPr>
      </w:pPr>
      <w:r w:rsidRPr="004B38F9">
        <w:rPr>
          <w:b/>
          <w:color w:val="FFFFFF" w:themeColor="background1"/>
          <w:highlight w:val="darkBlue"/>
          <w:u w:val="single"/>
        </w:rPr>
        <w:t>Revelación Suficiente:</w:t>
      </w:r>
      <w:r w:rsidRPr="000B404C">
        <w:rPr>
          <w:b/>
          <w:u w:val="single"/>
          <w:lang w:eastAsia="es-CR"/>
        </w:rPr>
        <w:t xml:space="preserve"> El ente debe cumplir con lo estipulado en revelación con forme a la NICSP, también debe considerar la política general y los párrafos incluidos en la matriz de autoevaluación referente a esta NICSP y guías de aplicación</w:t>
      </w:r>
      <w:r w:rsidRPr="000B404C">
        <w:rPr>
          <w:b/>
          <w:szCs w:val="24"/>
          <w:u w:val="single"/>
          <w:lang w:eastAsia="es-CR"/>
        </w:rPr>
        <w:t xml:space="preserve"> (Ver GA NICSP 16): </w:t>
      </w:r>
    </w:p>
    <w:p w14:paraId="455C3111" w14:textId="77777777" w:rsidR="00A561D7" w:rsidRPr="00A7067D" w:rsidRDefault="00A561D7" w:rsidP="00A561D7">
      <w:pPr>
        <w:spacing w:after="0" w:line="240" w:lineRule="auto"/>
        <w:ind w:right="51"/>
        <w:rPr>
          <w:szCs w:val="24"/>
        </w:rPr>
      </w:pPr>
      <w:bookmarkStart w:id="60" w:name="_Hlk158794980"/>
      <w:bookmarkStart w:id="61" w:name="_Toc54961682"/>
      <w:bookmarkStart w:id="62" w:name="_Toc82768878"/>
      <w:r w:rsidRPr="00A7067D">
        <w:rPr>
          <w:szCs w:val="24"/>
        </w:rPr>
        <w:t>Como parte del proceso de implementación se está llevando a cabo un inventario de los activos de propiedad, planta y equipo que posee la Municipalidad, y conjuntamente se está revisando el uso que se le está dando a los diferentes bienes, con el fin de proceder a establecer la acciones que procedan para el correcto registro de todos los bienes (como propiedad, planta y equipo o como propiedades de inversión), según el uso que se les está dando.</w:t>
      </w:r>
    </w:p>
    <w:bookmarkEnd w:id="60"/>
    <w:p w14:paraId="7CD335C9" w14:textId="77777777" w:rsidR="00A561D7" w:rsidRPr="00A7067D" w:rsidRDefault="00A561D7" w:rsidP="00A561D7">
      <w:pPr>
        <w:spacing w:after="0" w:line="240" w:lineRule="auto"/>
        <w:ind w:right="51"/>
        <w:rPr>
          <w:b/>
          <w:szCs w:val="24"/>
          <w:u w:val="single"/>
        </w:rPr>
      </w:pPr>
    </w:p>
    <w:p w14:paraId="4DC36458" w14:textId="77777777" w:rsidR="00A561D7" w:rsidRDefault="00A561D7" w:rsidP="00A561D7">
      <w:pPr>
        <w:spacing w:after="0" w:line="240" w:lineRule="auto"/>
        <w:ind w:right="51"/>
        <w:rPr>
          <w:szCs w:val="24"/>
        </w:rPr>
      </w:pPr>
      <w:r w:rsidRPr="00A7067D">
        <w:rPr>
          <w:szCs w:val="24"/>
        </w:rPr>
        <w:t xml:space="preserve">Además, es pertinente agregar </w:t>
      </w:r>
      <w:r w:rsidRPr="00A7067D">
        <w:rPr>
          <w:szCs w:val="24"/>
          <w:lang w:val="es-ES"/>
        </w:rPr>
        <w:t xml:space="preserve">que se está analizando si los locales y propiedades que se tienen en arriendo (locales en el mercado municipal, </w:t>
      </w:r>
      <w:r>
        <w:rPr>
          <w:szCs w:val="24"/>
          <w:lang w:val="es-ES"/>
        </w:rPr>
        <w:t>en la terminal</w:t>
      </w:r>
      <w:r w:rsidRPr="00A7067D">
        <w:rPr>
          <w:szCs w:val="24"/>
          <w:lang w:val="es-ES"/>
        </w:rPr>
        <w:t xml:space="preserve"> de autobuses y </w:t>
      </w:r>
      <w:r>
        <w:rPr>
          <w:szCs w:val="24"/>
          <w:lang w:val="es-ES"/>
        </w:rPr>
        <w:t xml:space="preserve">el </w:t>
      </w:r>
      <w:r w:rsidRPr="00A7067D">
        <w:rPr>
          <w:szCs w:val="24"/>
          <w:lang w:val="es-ES"/>
        </w:rPr>
        <w:t>cementerio municipal),</w:t>
      </w:r>
      <w:r w:rsidRPr="00A7067D">
        <w:rPr>
          <w:szCs w:val="24"/>
        </w:rPr>
        <w:t xml:space="preserve"> constituyen propiedades de inversión para proceder a su registro </w:t>
      </w:r>
      <w:r w:rsidRPr="00A7067D">
        <w:rPr>
          <w:szCs w:val="24"/>
          <w:lang w:val="es-ES"/>
        </w:rPr>
        <w:t>de acuerdo con lo establecido por la</w:t>
      </w:r>
      <w:r w:rsidRPr="00A7067D">
        <w:rPr>
          <w:szCs w:val="24"/>
        </w:rPr>
        <w:t xml:space="preserve"> NICSP 17 bajo el modelo del costo y en aquellos casos en que no sea posible establecer un valor de costo fiable, se les asignará un valor atribuido según lo establecido en las NICSP 16 y 33;  y a aquellos que corresponda se les aplicará la depreciación utilizando el método de línea recta permitido por la NICSP 17 y sugerido por la Dirección General de Contabilidad Nacional.</w:t>
      </w:r>
    </w:p>
    <w:p w14:paraId="4901DC5A" w14:textId="77777777" w:rsidR="000B404C" w:rsidRDefault="000B404C" w:rsidP="000B404C">
      <w:pPr>
        <w:rPr>
          <w:lang w:eastAsia="es-CR"/>
        </w:rPr>
      </w:pPr>
    </w:p>
    <w:p w14:paraId="1C54C87C" w14:textId="77777777" w:rsidR="00A561D7" w:rsidRDefault="00A561D7" w:rsidP="00A561D7">
      <w:pPr>
        <w:spacing w:after="120" w:line="240" w:lineRule="auto"/>
        <w:rPr>
          <w:lang w:eastAsia="es-CR"/>
        </w:rPr>
      </w:pPr>
    </w:p>
    <w:p w14:paraId="39BE1AF0" w14:textId="41AB815E" w:rsidR="000B404C" w:rsidRPr="00A649A4" w:rsidRDefault="000B404C" w:rsidP="00A649A4">
      <w:pPr>
        <w:pStyle w:val="Ttulo2"/>
        <w:spacing w:after="240"/>
        <w:rPr>
          <w:rFonts w:eastAsia="Times New Roman"/>
          <w:lang w:eastAsia="es-CR"/>
        </w:rPr>
      </w:pPr>
      <w:bookmarkStart w:id="63" w:name="_Toc173245198"/>
      <w:r w:rsidRPr="000B404C">
        <w:rPr>
          <w:rFonts w:eastAsia="Times New Roman"/>
          <w:lang w:eastAsia="es-CR"/>
        </w:rPr>
        <w:t>NICSP 17- PROPIEDAD, PLANTA Y EQUIPO (DE APLICACIÓN OBLIGATORIA):</w:t>
      </w:r>
      <w:bookmarkEnd w:id="61"/>
      <w:bookmarkEnd w:id="62"/>
      <w:bookmarkEnd w:id="63"/>
    </w:p>
    <w:p w14:paraId="3B544AB6" w14:textId="77777777" w:rsidR="00694299" w:rsidRDefault="000B404C" w:rsidP="000B404C">
      <w:pPr>
        <w:rPr>
          <w:rFonts w:asciiTheme="minorHAnsi" w:hAnsiTheme="minorHAnsi"/>
          <w:sz w:val="22"/>
        </w:rPr>
      </w:pPr>
      <w:bookmarkStart w:id="64" w:name="_Hlk123831052"/>
      <w:r w:rsidRPr="00FB0858">
        <w:t xml:space="preserve">De acuerdo con la </w:t>
      </w:r>
      <w:r w:rsidRPr="000B404C">
        <w:t>De acuerdo con la NICSP 17- Propiedad, Planta y Equipo</w:t>
      </w:r>
      <w:r>
        <w:t xml:space="preserve">, indicar si este rubro afecta SI o NO a la institución, </w:t>
      </w:r>
      <w:r w:rsidRPr="00405DBC">
        <w:t>además del porcentaje de avance</w:t>
      </w:r>
      <w:r>
        <w:t xml:space="preserve"> en la implementación</w:t>
      </w:r>
      <w:r w:rsidRPr="00405DBC">
        <w:t xml:space="preserve"> que presenta</w:t>
      </w:r>
      <w:r>
        <w:t>.</w:t>
      </w:r>
      <w:r w:rsidR="001D0A81">
        <w:rPr>
          <w:lang w:eastAsia="es-CR"/>
        </w:rPr>
        <w:fldChar w:fldCharType="begin"/>
      </w:r>
      <w:r w:rsidR="001D0A81">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NICSP_17!F9C3:F10C4 </w:instrText>
      </w:r>
      <w:r w:rsidR="001D0A81">
        <w:rPr>
          <w:lang w:eastAsia="es-CR"/>
        </w:rPr>
        <w:instrText xml:space="preserve">\a \f 4 \h </w:instrText>
      </w:r>
      <w:r w:rsidR="001D0A81">
        <w:rPr>
          <w:lang w:eastAsia="es-CR"/>
        </w:rPr>
        <w:fldChar w:fldCharType="separate"/>
      </w:r>
    </w:p>
    <w:tbl>
      <w:tblPr>
        <w:tblW w:w="4640" w:type="dxa"/>
        <w:tblCellMar>
          <w:left w:w="70" w:type="dxa"/>
          <w:right w:w="70" w:type="dxa"/>
        </w:tblCellMar>
        <w:tblLook w:val="04A0" w:firstRow="1" w:lastRow="0" w:firstColumn="1" w:lastColumn="0" w:noHBand="0" w:noVBand="1"/>
      </w:tblPr>
      <w:tblGrid>
        <w:gridCol w:w="3140"/>
        <w:gridCol w:w="1500"/>
      </w:tblGrid>
      <w:tr w:rsidR="00694299" w:rsidRPr="00694299" w14:paraId="509B21E5" w14:textId="77777777" w:rsidTr="00694299">
        <w:trPr>
          <w:divId w:val="1161854155"/>
          <w:trHeight w:val="324"/>
        </w:trPr>
        <w:tc>
          <w:tcPr>
            <w:tcW w:w="31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1AB00F10" w14:textId="446D975B"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EA05E"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Si</w:t>
            </w:r>
          </w:p>
        </w:tc>
      </w:tr>
      <w:tr w:rsidR="00694299" w:rsidRPr="00694299" w14:paraId="0804E7CA" w14:textId="77777777" w:rsidTr="00694299">
        <w:trPr>
          <w:divId w:val="1161854155"/>
          <w:trHeight w:val="324"/>
        </w:trPr>
        <w:tc>
          <w:tcPr>
            <w:tcW w:w="3140" w:type="dxa"/>
            <w:tcBorders>
              <w:top w:val="nil"/>
              <w:left w:val="single" w:sz="8" w:space="0" w:color="auto"/>
              <w:bottom w:val="single" w:sz="8" w:space="0" w:color="auto"/>
              <w:right w:val="single" w:sz="8" w:space="0" w:color="auto"/>
            </w:tcBorders>
            <w:shd w:val="clear" w:color="000000" w:fill="17365D"/>
            <w:vAlign w:val="center"/>
            <w:hideMark/>
          </w:tcPr>
          <w:p w14:paraId="6A702FD2"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6CE77F20" w14:textId="175A138C"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96,</w:t>
            </w:r>
            <w:r w:rsidR="00A561D7">
              <w:rPr>
                <w:rFonts w:eastAsia="Times New Roman" w:cs="Calibri"/>
                <w:color w:val="000000"/>
                <w:sz w:val="22"/>
                <w:lang w:eastAsia="es-CR"/>
              </w:rPr>
              <w:t>00</w:t>
            </w:r>
            <w:r w:rsidRPr="00694299">
              <w:rPr>
                <w:rFonts w:eastAsia="Times New Roman" w:cs="Calibri"/>
                <w:color w:val="000000"/>
                <w:sz w:val="22"/>
                <w:lang w:eastAsia="es-CR"/>
              </w:rPr>
              <w:t>%</w:t>
            </w:r>
          </w:p>
        </w:tc>
      </w:tr>
    </w:tbl>
    <w:p w14:paraId="59924DCE" w14:textId="1C8DB292" w:rsidR="000B404C" w:rsidRPr="00F56027" w:rsidRDefault="001D0A81" w:rsidP="000B404C">
      <w:pPr>
        <w:rPr>
          <w:b/>
          <w:sz w:val="16"/>
          <w:szCs w:val="16"/>
          <w:lang w:eastAsia="es-CR"/>
        </w:rPr>
      </w:pPr>
      <w:r>
        <w:rPr>
          <w:lang w:eastAsia="es-CR"/>
        </w:rPr>
        <w:fldChar w:fldCharType="end"/>
      </w:r>
      <w:r>
        <w:rPr>
          <w:lang w:eastAsia="es-CR"/>
        </w:rPr>
        <w:t xml:space="preserve">                                           </w:t>
      </w:r>
      <w:r w:rsidR="000B404C" w:rsidRPr="00C35565">
        <w:rPr>
          <w:b/>
          <w:sz w:val="16"/>
          <w:szCs w:val="16"/>
          <w:lang w:eastAsia="es-CR"/>
        </w:rPr>
        <w:t>-Aplicación Obligatoria-</w:t>
      </w:r>
      <w:bookmarkEnd w:id="64"/>
    </w:p>
    <w:p w14:paraId="729D2E38" w14:textId="0C8C8A8C" w:rsidR="001D0A81" w:rsidRDefault="000B404C" w:rsidP="00F56027">
      <w:pPr>
        <w:rPr>
          <w:lang w:val="es-MX"/>
        </w:rPr>
      </w:pPr>
      <w:r w:rsidRPr="007D51EA">
        <w:rPr>
          <w:lang w:val="es-MX"/>
        </w:rPr>
        <w:t>A continuación, un cuadro resumen, pero el detalle de los c</w:t>
      </w:r>
      <w:r>
        <w:rPr>
          <w:lang w:val="es-MX"/>
        </w:rPr>
        <w:t>uadros</w:t>
      </w:r>
      <w:r w:rsidRPr="007D51EA">
        <w:rPr>
          <w:lang w:val="es-MX"/>
        </w:rPr>
        <w:t xml:space="preserve"> debe ser adjuntados como</w:t>
      </w:r>
      <w:r>
        <w:rPr>
          <w:lang w:val="es-MX"/>
        </w:rPr>
        <w:t xml:space="preserve"> </w:t>
      </w:r>
      <w:r w:rsidRPr="00CB4CC6">
        <w:rPr>
          <w:lang w:val="es-MX"/>
        </w:rPr>
        <w:t>anexos</w:t>
      </w:r>
      <w:r>
        <w:rPr>
          <w:lang w:val="es-MX"/>
        </w:rPr>
        <w:t xml:space="preserve"> </w:t>
      </w:r>
      <w:hyperlink w:anchor="_NICSP_17-_Propiedad," w:history="1">
        <w:r w:rsidRPr="005F2549">
          <w:rPr>
            <w:rStyle w:val="Hipervnculo"/>
            <w:rFonts w:eastAsia="Calibri"/>
            <w:sz w:val="22"/>
            <w:lang w:val="es-MX"/>
          </w:rPr>
          <w:t>NICSP 17- Propiedad, Planta y Equipo</w:t>
        </w:r>
      </w:hyperlink>
      <w:r w:rsidRPr="007D51EA">
        <w:rPr>
          <w:lang w:val="es-MX"/>
        </w:rPr>
        <w:t>:</w:t>
      </w:r>
    </w:p>
    <w:tbl>
      <w:tblPr>
        <w:tblW w:w="4740" w:type="dxa"/>
        <w:tblLook w:val="04A0" w:firstRow="1" w:lastRow="0" w:firstColumn="1" w:lastColumn="0" w:noHBand="0" w:noVBand="1"/>
      </w:tblPr>
      <w:tblGrid>
        <w:gridCol w:w="3200"/>
        <w:gridCol w:w="1540"/>
      </w:tblGrid>
      <w:tr w:rsidR="00D277DD" w:rsidRPr="00D277DD" w14:paraId="65446A50" w14:textId="77777777" w:rsidTr="00D277DD">
        <w:trPr>
          <w:trHeight w:val="493"/>
        </w:trPr>
        <w:tc>
          <w:tcPr>
            <w:tcW w:w="3200" w:type="dxa"/>
            <w:tcBorders>
              <w:top w:val="single" w:sz="4" w:space="0" w:color="auto"/>
              <w:left w:val="single" w:sz="4" w:space="0" w:color="auto"/>
              <w:bottom w:val="single" w:sz="4" w:space="0" w:color="auto"/>
              <w:right w:val="single" w:sz="4" w:space="0" w:color="auto"/>
            </w:tcBorders>
            <w:shd w:val="clear" w:color="000000" w:fill="1F3864"/>
            <w:vAlign w:val="center"/>
            <w:hideMark/>
          </w:tcPr>
          <w:p w14:paraId="4C1A7FB1" w14:textId="77777777" w:rsidR="00D277DD" w:rsidRPr="00D277DD" w:rsidRDefault="00D277DD" w:rsidP="00D277DD">
            <w:pPr>
              <w:spacing w:after="0" w:line="240" w:lineRule="auto"/>
              <w:jc w:val="center"/>
              <w:rPr>
                <w:rFonts w:eastAsia="Times New Roman" w:cs="Calibri"/>
                <w:color w:val="FFFFFF"/>
                <w:szCs w:val="24"/>
                <w:lang w:val="en-US"/>
              </w:rPr>
            </w:pPr>
            <w:r w:rsidRPr="00D277DD">
              <w:rPr>
                <w:rFonts w:eastAsia="Times New Roman" w:cs="Calibri"/>
                <w:color w:val="FFFFFF"/>
                <w:szCs w:val="24"/>
                <w:lang w:val="en-US"/>
              </w:rPr>
              <w:t>Resumen</w:t>
            </w:r>
          </w:p>
        </w:tc>
        <w:tc>
          <w:tcPr>
            <w:tcW w:w="1540" w:type="dxa"/>
            <w:tcBorders>
              <w:top w:val="single" w:sz="4" w:space="0" w:color="auto"/>
              <w:left w:val="nil"/>
              <w:bottom w:val="single" w:sz="4" w:space="0" w:color="auto"/>
              <w:right w:val="single" w:sz="4" w:space="0" w:color="auto"/>
            </w:tcBorders>
            <w:shd w:val="clear" w:color="000000" w:fill="1F3864"/>
            <w:vAlign w:val="center"/>
            <w:hideMark/>
          </w:tcPr>
          <w:p w14:paraId="2FA197AC" w14:textId="77777777" w:rsidR="00D277DD" w:rsidRPr="00D277DD" w:rsidRDefault="00D277DD" w:rsidP="00D277DD">
            <w:pPr>
              <w:spacing w:after="0" w:line="240" w:lineRule="auto"/>
              <w:jc w:val="center"/>
              <w:rPr>
                <w:rFonts w:eastAsia="Times New Roman" w:cs="Calibri"/>
                <w:color w:val="FFFFFF"/>
                <w:szCs w:val="24"/>
                <w:lang w:val="en-US"/>
              </w:rPr>
            </w:pPr>
            <w:r w:rsidRPr="00D277DD">
              <w:rPr>
                <w:rFonts w:eastAsia="Times New Roman" w:cs="Calibri"/>
                <w:color w:val="FFFFFF"/>
                <w:szCs w:val="24"/>
                <w:lang w:val="en-US"/>
              </w:rPr>
              <w:t>PPE</w:t>
            </w:r>
          </w:p>
        </w:tc>
      </w:tr>
      <w:tr w:rsidR="00D277DD" w:rsidRPr="00D277DD" w14:paraId="6D9A5E31" w14:textId="77777777" w:rsidTr="00D277DD">
        <w:trPr>
          <w:trHeight w:val="493"/>
        </w:trPr>
        <w:tc>
          <w:tcPr>
            <w:tcW w:w="3200" w:type="dxa"/>
            <w:tcBorders>
              <w:top w:val="nil"/>
              <w:left w:val="single" w:sz="4" w:space="0" w:color="auto"/>
              <w:bottom w:val="single" w:sz="4" w:space="0" w:color="auto"/>
              <w:right w:val="single" w:sz="4" w:space="0" w:color="auto"/>
            </w:tcBorders>
            <w:shd w:val="clear" w:color="000000" w:fill="1F3864"/>
            <w:vAlign w:val="center"/>
            <w:hideMark/>
          </w:tcPr>
          <w:p w14:paraId="0CAF6E2F" w14:textId="77777777" w:rsidR="00D277DD" w:rsidRPr="00D277DD" w:rsidRDefault="00D277DD" w:rsidP="00D277DD">
            <w:pPr>
              <w:spacing w:after="0" w:line="240" w:lineRule="auto"/>
              <w:jc w:val="left"/>
              <w:rPr>
                <w:rFonts w:eastAsia="Times New Roman" w:cs="Calibri"/>
                <w:color w:val="FFFFFF"/>
                <w:szCs w:val="24"/>
                <w:lang w:val="en-US"/>
              </w:rPr>
            </w:pPr>
            <w:r w:rsidRPr="00D277DD">
              <w:rPr>
                <w:rFonts w:eastAsia="Times New Roman" w:cs="Calibri"/>
                <w:color w:val="FFFFFF"/>
                <w:szCs w:val="24"/>
                <w:lang w:val="en-US"/>
              </w:rPr>
              <w:t xml:space="preserve">CANTIDAD </w:t>
            </w:r>
          </w:p>
        </w:tc>
        <w:tc>
          <w:tcPr>
            <w:tcW w:w="1540" w:type="dxa"/>
            <w:tcBorders>
              <w:top w:val="nil"/>
              <w:left w:val="nil"/>
              <w:bottom w:val="single" w:sz="4" w:space="0" w:color="auto"/>
              <w:right w:val="single" w:sz="4" w:space="0" w:color="auto"/>
            </w:tcBorders>
            <w:shd w:val="clear" w:color="auto" w:fill="auto"/>
            <w:noWrap/>
            <w:vAlign w:val="center"/>
            <w:hideMark/>
          </w:tcPr>
          <w:p w14:paraId="4122C2DD" w14:textId="77777777" w:rsidR="00D277DD" w:rsidRPr="00D277DD" w:rsidRDefault="00D277DD" w:rsidP="00D277DD">
            <w:pPr>
              <w:spacing w:after="0" w:line="240" w:lineRule="auto"/>
              <w:jc w:val="center"/>
              <w:rPr>
                <w:rFonts w:eastAsia="Times New Roman" w:cs="Calibri"/>
                <w:color w:val="000000"/>
                <w:sz w:val="20"/>
                <w:szCs w:val="20"/>
                <w:lang w:val="en-US"/>
              </w:rPr>
            </w:pPr>
            <w:r w:rsidRPr="00D277DD">
              <w:rPr>
                <w:rFonts w:eastAsia="Times New Roman" w:cs="Calibri"/>
                <w:color w:val="000000"/>
                <w:sz w:val="20"/>
                <w:szCs w:val="20"/>
                <w:lang w:val="en-US"/>
              </w:rPr>
              <w:t>1002</w:t>
            </w:r>
          </w:p>
        </w:tc>
      </w:tr>
      <w:tr w:rsidR="00D277DD" w:rsidRPr="00D277DD" w14:paraId="466F204A" w14:textId="77777777" w:rsidTr="00D277DD">
        <w:trPr>
          <w:trHeight w:val="493"/>
        </w:trPr>
        <w:tc>
          <w:tcPr>
            <w:tcW w:w="3200" w:type="dxa"/>
            <w:tcBorders>
              <w:top w:val="nil"/>
              <w:left w:val="single" w:sz="4" w:space="0" w:color="auto"/>
              <w:bottom w:val="single" w:sz="4" w:space="0" w:color="auto"/>
              <w:right w:val="single" w:sz="4" w:space="0" w:color="auto"/>
            </w:tcBorders>
            <w:shd w:val="clear" w:color="000000" w:fill="1F3864"/>
            <w:vAlign w:val="center"/>
            <w:hideMark/>
          </w:tcPr>
          <w:p w14:paraId="561C69B2" w14:textId="77777777" w:rsidR="00D277DD" w:rsidRPr="00D277DD" w:rsidRDefault="00D277DD" w:rsidP="00D277DD">
            <w:pPr>
              <w:spacing w:after="0" w:line="240" w:lineRule="auto"/>
              <w:jc w:val="left"/>
              <w:rPr>
                <w:rFonts w:eastAsia="Times New Roman" w:cs="Calibri"/>
                <w:color w:val="FFFFFF"/>
                <w:sz w:val="22"/>
                <w:lang w:val="en-US"/>
              </w:rPr>
            </w:pPr>
            <w:r w:rsidRPr="00D277DD">
              <w:rPr>
                <w:rFonts w:eastAsia="Times New Roman" w:cs="Calibri"/>
                <w:color w:val="FFFFFF"/>
                <w:sz w:val="22"/>
                <w:lang w:val="en-US"/>
              </w:rPr>
              <w:t xml:space="preserve">Valor  Inicio </w:t>
            </w:r>
          </w:p>
        </w:tc>
        <w:tc>
          <w:tcPr>
            <w:tcW w:w="1540" w:type="dxa"/>
            <w:tcBorders>
              <w:top w:val="nil"/>
              <w:left w:val="nil"/>
              <w:bottom w:val="single" w:sz="4" w:space="0" w:color="auto"/>
              <w:right w:val="single" w:sz="4" w:space="0" w:color="auto"/>
            </w:tcBorders>
            <w:shd w:val="clear" w:color="auto" w:fill="auto"/>
            <w:noWrap/>
            <w:vAlign w:val="bottom"/>
            <w:hideMark/>
          </w:tcPr>
          <w:p w14:paraId="1B0FC116" w14:textId="77777777" w:rsidR="00D277DD" w:rsidRPr="00D277DD" w:rsidRDefault="00D277DD" w:rsidP="00D277DD">
            <w:pPr>
              <w:spacing w:after="0" w:line="240" w:lineRule="auto"/>
              <w:jc w:val="center"/>
              <w:rPr>
                <w:rFonts w:eastAsia="Times New Roman" w:cs="Calibri"/>
                <w:color w:val="000000"/>
                <w:sz w:val="22"/>
                <w:lang w:val="en-US"/>
              </w:rPr>
            </w:pPr>
            <w:r w:rsidRPr="00D277DD">
              <w:rPr>
                <w:rFonts w:eastAsia="Times New Roman" w:cs="Calibri"/>
                <w:color w:val="000000"/>
                <w:sz w:val="22"/>
                <w:lang w:val="en-US"/>
              </w:rPr>
              <w:t>3709004,48</w:t>
            </w:r>
          </w:p>
        </w:tc>
      </w:tr>
      <w:tr w:rsidR="00D277DD" w:rsidRPr="00D277DD" w14:paraId="43B28449" w14:textId="77777777" w:rsidTr="00D277DD">
        <w:trPr>
          <w:trHeight w:val="493"/>
        </w:trPr>
        <w:tc>
          <w:tcPr>
            <w:tcW w:w="3200" w:type="dxa"/>
            <w:tcBorders>
              <w:top w:val="nil"/>
              <w:left w:val="single" w:sz="4" w:space="0" w:color="auto"/>
              <w:bottom w:val="single" w:sz="4" w:space="0" w:color="auto"/>
              <w:right w:val="single" w:sz="4" w:space="0" w:color="auto"/>
            </w:tcBorders>
            <w:shd w:val="clear" w:color="000000" w:fill="1F3864"/>
            <w:vAlign w:val="center"/>
            <w:hideMark/>
          </w:tcPr>
          <w:p w14:paraId="303692AC" w14:textId="77777777" w:rsidR="00D277DD" w:rsidRPr="00D277DD" w:rsidRDefault="00D277DD" w:rsidP="00D277DD">
            <w:pPr>
              <w:spacing w:after="0" w:line="240" w:lineRule="auto"/>
              <w:jc w:val="left"/>
              <w:rPr>
                <w:rFonts w:eastAsia="Times New Roman" w:cs="Calibri"/>
                <w:color w:val="FFFFFF"/>
                <w:sz w:val="22"/>
                <w:lang w:val="en-US"/>
              </w:rPr>
            </w:pPr>
            <w:r w:rsidRPr="00D277DD">
              <w:rPr>
                <w:rFonts w:eastAsia="Times New Roman" w:cs="Calibri"/>
                <w:color w:val="FFFFFF"/>
                <w:sz w:val="22"/>
                <w:lang w:val="en-US"/>
              </w:rPr>
              <w:t>Altas</w:t>
            </w:r>
          </w:p>
        </w:tc>
        <w:tc>
          <w:tcPr>
            <w:tcW w:w="1540" w:type="dxa"/>
            <w:tcBorders>
              <w:top w:val="nil"/>
              <w:left w:val="nil"/>
              <w:bottom w:val="single" w:sz="4" w:space="0" w:color="auto"/>
              <w:right w:val="single" w:sz="4" w:space="0" w:color="auto"/>
            </w:tcBorders>
            <w:shd w:val="clear" w:color="auto" w:fill="auto"/>
            <w:noWrap/>
            <w:vAlign w:val="bottom"/>
            <w:hideMark/>
          </w:tcPr>
          <w:p w14:paraId="38A59784" w14:textId="77777777" w:rsidR="00D277DD" w:rsidRPr="00D277DD" w:rsidRDefault="00D277DD" w:rsidP="00D277DD">
            <w:pPr>
              <w:spacing w:after="0" w:line="240" w:lineRule="auto"/>
              <w:jc w:val="center"/>
              <w:rPr>
                <w:rFonts w:eastAsia="Times New Roman" w:cs="Calibri"/>
                <w:color w:val="000000"/>
                <w:sz w:val="22"/>
                <w:lang w:val="en-US"/>
              </w:rPr>
            </w:pPr>
            <w:r w:rsidRPr="00D277DD">
              <w:rPr>
                <w:rFonts w:eastAsia="Times New Roman" w:cs="Calibri"/>
                <w:color w:val="000000"/>
                <w:sz w:val="22"/>
                <w:lang w:val="en-US"/>
              </w:rPr>
              <w:t>388918,62</w:t>
            </w:r>
          </w:p>
        </w:tc>
      </w:tr>
      <w:tr w:rsidR="00D277DD" w:rsidRPr="00D277DD" w14:paraId="434897D7" w14:textId="77777777" w:rsidTr="00D277DD">
        <w:trPr>
          <w:trHeight w:val="493"/>
        </w:trPr>
        <w:tc>
          <w:tcPr>
            <w:tcW w:w="3200" w:type="dxa"/>
            <w:tcBorders>
              <w:top w:val="nil"/>
              <w:left w:val="single" w:sz="4" w:space="0" w:color="auto"/>
              <w:bottom w:val="single" w:sz="4" w:space="0" w:color="auto"/>
              <w:right w:val="single" w:sz="4" w:space="0" w:color="auto"/>
            </w:tcBorders>
            <w:shd w:val="clear" w:color="000000" w:fill="1F3864"/>
            <w:vAlign w:val="center"/>
            <w:hideMark/>
          </w:tcPr>
          <w:p w14:paraId="3289BC7D" w14:textId="77777777" w:rsidR="00D277DD" w:rsidRPr="00D277DD" w:rsidRDefault="00D277DD" w:rsidP="00D277DD">
            <w:pPr>
              <w:spacing w:after="0" w:line="240" w:lineRule="auto"/>
              <w:jc w:val="left"/>
              <w:rPr>
                <w:rFonts w:eastAsia="Times New Roman" w:cs="Calibri"/>
                <w:color w:val="FFFFFF"/>
                <w:sz w:val="22"/>
                <w:lang w:val="en-US"/>
              </w:rPr>
            </w:pPr>
            <w:r w:rsidRPr="00D277DD">
              <w:rPr>
                <w:rFonts w:eastAsia="Times New Roman" w:cs="Calibri"/>
                <w:color w:val="FFFFFF"/>
                <w:sz w:val="22"/>
                <w:lang w:val="en-US"/>
              </w:rPr>
              <w:t xml:space="preserve"> Bajas</w:t>
            </w:r>
          </w:p>
        </w:tc>
        <w:tc>
          <w:tcPr>
            <w:tcW w:w="1540" w:type="dxa"/>
            <w:tcBorders>
              <w:top w:val="nil"/>
              <w:left w:val="nil"/>
              <w:bottom w:val="single" w:sz="4" w:space="0" w:color="auto"/>
              <w:right w:val="single" w:sz="4" w:space="0" w:color="auto"/>
            </w:tcBorders>
            <w:shd w:val="clear" w:color="auto" w:fill="auto"/>
            <w:noWrap/>
            <w:vAlign w:val="bottom"/>
            <w:hideMark/>
          </w:tcPr>
          <w:p w14:paraId="6910C453" w14:textId="77777777" w:rsidR="00D277DD" w:rsidRPr="00D277DD" w:rsidRDefault="00D277DD" w:rsidP="00D277DD">
            <w:pPr>
              <w:spacing w:after="0" w:line="240" w:lineRule="auto"/>
              <w:jc w:val="center"/>
              <w:rPr>
                <w:rFonts w:eastAsia="Times New Roman" w:cs="Calibri"/>
                <w:color w:val="000000"/>
                <w:sz w:val="22"/>
                <w:lang w:val="en-US"/>
              </w:rPr>
            </w:pPr>
            <w:r w:rsidRPr="00D277DD">
              <w:rPr>
                <w:rFonts w:eastAsia="Times New Roman" w:cs="Calibri"/>
                <w:color w:val="000000"/>
                <w:sz w:val="22"/>
                <w:lang w:val="en-US"/>
              </w:rPr>
              <w:t>-1597,50</w:t>
            </w:r>
          </w:p>
        </w:tc>
      </w:tr>
      <w:tr w:rsidR="00D277DD" w:rsidRPr="00D277DD" w14:paraId="7B383783" w14:textId="77777777" w:rsidTr="00D277DD">
        <w:trPr>
          <w:trHeight w:val="493"/>
        </w:trPr>
        <w:tc>
          <w:tcPr>
            <w:tcW w:w="3200" w:type="dxa"/>
            <w:tcBorders>
              <w:top w:val="nil"/>
              <w:left w:val="single" w:sz="4" w:space="0" w:color="auto"/>
              <w:bottom w:val="single" w:sz="4" w:space="0" w:color="auto"/>
              <w:right w:val="single" w:sz="4" w:space="0" w:color="auto"/>
            </w:tcBorders>
            <w:shd w:val="clear" w:color="000000" w:fill="1F3864"/>
            <w:vAlign w:val="center"/>
            <w:hideMark/>
          </w:tcPr>
          <w:p w14:paraId="52F5FE54" w14:textId="77777777" w:rsidR="00D277DD" w:rsidRPr="00D277DD" w:rsidRDefault="00D277DD" w:rsidP="00D277DD">
            <w:pPr>
              <w:spacing w:after="0" w:line="240" w:lineRule="auto"/>
              <w:jc w:val="left"/>
              <w:rPr>
                <w:rFonts w:eastAsia="Times New Roman" w:cs="Calibri"/>
                <w:color w:val="FFFFFF"/>
                <w:sz w:val="22"/>
                <w:lang w:val="en-US"/>
              </w:rPr>
            </w:pPr>
            <w:r w:rsidRPr="00D277DD">
              <w:rPr>
                <w:rFonts w:eastAsia="Times New Roman" w:cs="Calibri"/>
                <w:color w:val="FFFFFF"/>
                <w:sz w:val="22"/>
                <w:lang w:val="en-US"/>
              </w:rPr>
              <w:t>Depreciación</w:t>
            </w:r>
          </w:p>
        </w:tc>
        <w:tc>
          <w:tcPr>
            <w:tcW w:w="1540" w:type="dxa"/>
            <w:tcBorders>
              <w:top w:val="nil"/>
              <w:left w:val="nil"/>
              <w:bottom w:val="single" w:sz="4" w:space="0" w:color="auto"/>
              <w:right w:val="single" w:sz="4" w:space="0" w:color="auto"/>
            </w:tcBorders>
            <w:shd w:val="clear" w:color="auto" w:fill="auto"/>
            <w:noWrap/>
            <w:vAlign w:val="bottom"/>
            <w:hideMark/>
          </w:tcPr>
          <w:p w14:paraId="422AB395" w14:textId="77777777" w:rsidR="00D277DD" w:rsidRPr="00D277DD" w:rsidRDefault="00D277DD" w:rsidP="00D277DD">
            <w:pPr>
              <w:spacing w:after="0" w:line="240" w:lineRule="auto"/>
              <w:jc w:val="center"/>
              <w:rPr>
                <w:rFonts w:eastAsia="Times New Roman" w:cs="Calibri"/>
                <w:color w:val="000000"/>
                <w:sz w:val="22"/>
                <w:lang w:val="en-US"/>
              </w:rPr>
            </w:pPr>
            <w:r w:rsidRPr="00D277DD">
              <w:rPr>
                <w:rFonts w:eastAsia="Times New Roman" w:cs="Calibri"/>
                <w:color w:val="000000"/>
                <w:sz w:val="22"/>
                <w:lang w:val="en-US"/>
              </w:rPr>
              <w:t>-1749525,97</w:t>
            </w:r>
          </w:p>
        </w:tc>
      </w:tr>
      <w:tr w:rsidR="00D277DD" w:rsidRPr="00D277DD" w14:paraId="6032AB56" w14:textId="77777777" w:rsidTr="00D277DD">
        <w:trPr>
          <w:trHeight w:val="493"/>
        </w:trPr>
        <w:tc>
          <w:tcPr>
            <w:tcW w:w="3200" w:type="dxa"/>
            <w:tcBorders>
              <w:top w:val="nil"/>
              <w:left w:val="single" w:sz="4" w:space="0" w:color="auto"/>
              <w:bottom w:val="single" w:sz="4" w:space="0" w:color="auto"/>
              <w:right w:val="single" w:sz="4" w:space="0" w:color="auto"/>
            </w:tcBorders>
            <w:shd w:val="clear" w:color="000000" w:fill="1F3864"/>
            <w:vAlign w:val="center"/>
            <w:hideMark/>
          </w:tcPr>
          <w:p w14:paraId="36B69B5F" w14:textId="77777777" w:rsidR="00D277DD" w:rsidRPr="00D277DD" w:rsidRDefault="00D277DD" w:rsidP="00D277DD">
            <w:pPr>
              <w:spacing w:after="0" w:line="240" w:lineRule="auto"/>
              <w:jc w:val="left"/>
              <w:rPr>
                <w:rFonts w:eastAsia="Times New Roman" w:cs="Calibri"/>
                <w:color w:val="FFFFFF"/>
                <w:sz w:val="22"/>
                <w:lang w:val="en-US"/>
              </w:rPr>
            </w:pPr>
            <w:r w:rsidRPr="00D277DD">
              <w:rPr>
                <w:rFonts w:eastAsia="Times New Roman" w:cs="Calibri"/>
                <w:color w:val="FFFFFF"/>
                <w:sz w:val="22"/>
                <w:lang w:val="en-US"/>
              </w:rPr>
              <w:t>Deterioro</w:t>
            </w:r>
          </w:p>
        </w:tc>
        <w:tc>
          <w:tcPr>
            <w:tcW w:w="1540" w:type="dxa"/>
            <w:tcBorders>
              <w:top w:val="nil"/>
              <w:left w:val="nil"/>
              <w:bottom w:val="single" w:sz="4" w:space="0" w:color="auto"/>
              <w:right w:val="single" w:sz="4" w:space="0" w:color="auto"/>
            </w:tcBorders>
            <w:shd w:val="clear" w:color="auto" w:fill="auto"/>
            <w:noWrap/>
            <w:vAlign w:val="bottom"/>
            <w:hideMark/>
          </w:tcPr>
          <w:p w14:paraId="16734BE1" w14:textId="77777777" w:rsidR="00D277DD" w:rsidRPr="00D277DD" w:rsidRDefault="00D277DD" w:rsidP="00D277DD">
            <w:pPr>
              <w:spacing w:after="0" w:line="240" w:lineRule="auto"/>
              <w:jc w:val="center"/>
              <w:rPr>
                <w:rFonts w:eastAsia="Times New Roman" w:cs="Calibri"/>
                <w:color w:val="000000"/>
                <w:sz w:val="22"/>
                <w:lang w:val="en-US"/>
              </w:rPr>
            </w:pPr>
            <w:r w:rsidRPr="00D277DD">
              <w:rPr>
                <w:rFonts w:eastAsia="Times New Roman" w:cs="Calibri"/>
                <w:color w:val="000000"/>
                <w:sz w:val="22"/>
                <w:lang w:val="en-US"/>
              </w:rPr>
              <w:t>0,00</w:t>
            </w:r>
          </w:p>
        </w:tc>
      </w:tr>
      <w:tr w:rsidR="00D277DD" w:rsidRPr="00D277DD" w14:paraId="5CF339B7" w14:textId="77777777" w:rsidTr="00D277DD">
        <w:trPr>
          <w:trHeight w:val="493"/>
        </w:trPr>
        <w:tc>
          <w:tcPr>
            <w:tcW w:w="3200" w:type="dxa"/>
            <w:tcBorders>
              <w:top w:val="nil"/>
              <w:left w:val="single" w:sz="4" w:space="0" w:color="auto"/>
              <w:bottom w:val="single" w:sz="4" w:space="0" w:color="auto"/>
              <w:right w:val="single" w:sz="4" w:space="0" w:color="auto"/>
            </w:tcBorders>
            <w:shd w:val="clear" w:color="000000" w:fill="1F3864"/>
            <w:vAlign w:val="center"/>
            <w:hideMark/>
          </w:tcPr>
          <w:p w14:paraId="12E3EFB7" w14:textId="77777777" w:rsidR="00D277DD" w:rsidRPr="00D277DD" w:rsidRDefault="00D277DD" w:rsidP="00D277DD">
            <w:pPr>
              <w:spacing w:after="0" w:line="240" w:lineRule="auto"/>
              <w:jc w:val="left"/>
              <w:rPr>
                <w:rFonts w:eastAsia="Times New Roman" w:cs="Calibri"/>
                <w:color w:val="FFFFFF"/>
                <w:sz w:val="22"/>
              </w:rPr>
            </w:pPr>
            <w:r w:rsidRPr="00D277DD">
              <w:rPr>
                <w:rFonts w:eastAsia="Times New Roman" w:cs="Calibri"/>
                <w:color w:val="FFFFFF"/>
                <w:sz w:val="22"/>
              </w:rPr>
              <w:t xml:space="preserve">Ajustes por reversión de Deterioro </w:t>
            </w:r>
          </w:p>
        </w:tc>
        <w:tc>
          <w:tcPr>
            <w:tcW w:w="1540" w:type="dxa"/>
            <w:tcBorders>
              <w:top w:val="nil"/>
              <w:left w:val="nil"/>
              <w:bottom w:val="single" w:sz="4" w:space="0" w:color="auto"/>
              <w:right w:val="single" w:sz="4" w:space="0" w:color="auto"/>
            </w:tcBorders>
            <w:shd w:val="clear" w:color="auto" w:fill="auto"/>
            <w:noWrap/>
            <w:vAlign w:val="bottom"/>
            <w:hideMark/>
          </w:tcPr>
          <w:p w14:paraId="4D70016B" w14:textId="77777777" w:rsidR="00D277DD" w:rsidRPr="00D277DD" w:rsidRDefault="00D277DD" w:rsidP="00D277DD">
            <w:pPr>
              <w:spacing w:after="0" w:line="240" w:lineRule="auto"/>
              <w:jc w:val="center"/>
              <w:rPr>
                <w:rFonts w:eastAsia="Times New Roman" w:cs="Calibri"/>
                <w:color w:val="000000"/>
                <w:sz w:val="22"/>
                <w:lang w:val="en-US"/>
              </w:rPr>
            </w:pPr>
            <w:r w:rsidRPr="00D277DD">
              <w:rPr>
                <w:rFonts w:eastAsia="Times New Roman" w:cs="Calibri"/>
                <w:color w:val="000000"/>
                <w:sz w:val="22"/>
                <w:lang w:val="en-US"/>
              </w:rPr>
              <w:t>0,00</w:t>
            </w:r>
          </w:p>
        </w:tc>
      </w:tr>
      <w:tr w:rsidR="00D277DD" w:rsidRPr="00D277DD" w14:paraId="33DC9A02" w14:textId="77777777" w:rsidTr="00D277DD">
        <w:trPr>
          <w:trHeight w:val="493"/>
        </w:trPr>
        <w:tc>
          <w:tcPr>
            <w:tcW w:w="3200" w:type="dxa"/>
            <w:tcBorders>
              <w:top w:val="nil"/>
              <w:left w:val="single" w:sz="4" w:space="0" w:color="auto"/>
              <w:bottom w:val="single" w:sz="4" w:space="0" w:color="auto"/>
              <w:right w:val="single" w:sz="4" w:space="0" w:color="auto"/>
            </w:tcBorders>
            <w:shd w:val="clear" w:color="000000" w:fill="1F3864"/>
            <w:vAlign w:val="center"/>
            <w:hideMark/>
          </w:tcPr>
          <w:p w14:paraId="79FA0522" w14:textId="77777777" w:rsidR="00D277DD" w:rsidRPr="00D277DD" w:rsidRDefault="00D277DD" w:rsidP="00D277DD">
            <w:pPr>
              <w:spacing w:after="0" w:line="240" w:lineRule="auto"/>
              <w:jc w:val="left"/>
              <w:rPr>
                <w:rFonts w:eastAsia="Times New Roman" w:cs="Calibri"/>
                <w:color w:val="FFFFFF"/>
                <w:sz w:val="22"/>
              </w:rPr>
            </w:pPr>
            <w:r w:rsidRPr="00D277DD">
              <w:rPr>
                <w:rFonts w:eastAsia="Times New Roman" w:cs="Calibri"/>
                <w:color w:val="FFFFFF"/>
                <w:sz w:val="22"/>
              </w:rPr>
              <w:t>Ajustes por diferencias derivadas T.C.</w:t>
            </w:r>
          </w:p>
        </w:tc>
        <w:tc>
          <w:tcPr>
            <w:tcW w:w="1540" w:type="dxa"/>
            <w:tcBorders>
              <w:top w:val="nil"/>
              <w:left w:val="nil"/>
              <w:bottom w:val="single" w:sz="4" w:space="0" w:color="auto"/>
              <w:right w:val="single" w:sz="4" w:space="0" w:color="auto"/>
            </w:tcBorders>
            <w:shd w:val="clear" w:color="auto" w:fill="auto"/>
            <w:noWrap/>
            <w:vAlign w:val="bottom"/>
            <w:hideMark/>
          </w:tcPr>
          <w:p w14:paraId="07A3D986" w14:textId="77777777" w:rsidR="00D277DD" w:rsidRPr="00D277DD" w:rsidRDefault="00D277DD" w:rsidP="00D277DD">
            <w:pPr>
              <w:spacing w:after="0" w:line="240" w:lineRule="auto"/>
              <w:jc w:val="center"/>
              <w:rPr>
                <w:rFonts w:eastAsia="Times New Roman" w:cs="Calibri"/>
                <w:color w:val="000000"/>
                <w:sz w:val="22"/>
                <w:lang w:val="en-US"/>
              </w:rPr>
            </w:pPr>
            <w:r w:rsidRPr="00D277DD">
              <w:rPr>
                <w:rFonts w:eastAsia="Times New Roman" w:cs="Calibri"/>
                <w:color w:val="000000"/>
                <w:sz w:val="22"/>
                <w:lang w:val="en-US"/>
              </w:rPr>
              <w:t>0,00</w:t>
            </w:r>
          </w:p>
        </w:tc>
      </w:tr>
      <w:tr w:rsidR="00D277DD" w:rsidRPr="00D277DD" w14:paraId="11B664DE" w14:textId="77777777" w:rsidTr="00D277DD">
        <w:trPr>
          <w:trHeight w:val="493"/>
        </w:trPr>
        <w:tc>
          <w:tcPr>
            <w:tcW w:w="3200" w:type="dxa"/>
            <w:tcBorders>
              <w:top w:val="nil"/>
              <w:left w:val="single" w:sz="4" w:space="0" w:color="auto"/>
              <w:bottom w:val="single" w:sz="4" w:space="0" w:color="auto"/>
              <w:right w:val="single" w:sz="4" w:space="0" w:color="auto"/>
            </w:tcBorders>
            <w:shd w:val="clear" w:color="000000" w:fill="1F3864"/>
            <w:vAlign w:val="center"/>
            <w:hideMark/>
          </w:tcPr>
          <w:p w14:paraId="310D1EA3" w14:textId="77777777" w:rsidR="00D277DD" w:rsidRPr="00D277DD" w:rsidRDefault="00D277DD" w:rsidP="00D277DD">
            <w:pPr>
              <w:spacing w:after="0" w:line="240" w:lineRule="auto"/>
              <w:jc w:val="left"/>
              <w:rPr>
                <w:rFonts w:eastAsia="Times New Roman" w:cs="Calibri"/>
                <w:color w:val="FFFFFF"/>
                <w:sz w:val="22"/>
                <w:lang w:val="en-US"/>
              </w:rPr>
            </w:pPr>
            <w:r w:rsidRPr="00D277DD">
              <w:rPr>
                <w:rFonts w:eastAsia="Times New Roman" w:cs="Calibri"/>
                <w:color w:val="FFFFFF"/>
                <w:sz w:val="22"/>
                <w:lang w:val="en-US"/>
              </w:rPr>
              <w:t>Valor al Cierre</w:t>
            </w:r>
          </w:p>
        </w:tc>
        <w:tc>
          <w:tcPr>
            <w:tcW w:w="1540" w:type="dxa"/>
            <w:tcBorders>
              <w:top w:val="nil"/>
              <w:left w:val="nil"/>
              <w:bottom w:val="single" w:sz="4" w:space="0" w:color="auto"/>
              <w:right w:val="single" w:sz="4" w:space="0" w:color="auto"/>
            </w:tcBorders>
            <w:shd w:val="clear" w:color="auto" w:fill="auto"/>
            <w:noWrap/>
            <w:vAlign w:val="bottom"/>
            <w:hideMark/>
          </w:tcPr>
          <w:p w14:paraId="5F5D19DF" w14:textId="77777777" w:rsidR="00D277DD" w:rsidRPr="00D277DD" w:rsidRDefault="00D277DD" w:rsidP="00D277DD">
            <w:pPr>
              <w:spacing w:after="0" w:line="240" w:lineRule="auto"/>
              <w:jc w:val="center"/>
              <w:rPr>
                <w:rFonts w:eastAsia="Times New Roman" w:cs="Calibri"/>
                <w:color w:val="000000"/>
                <w:sz w:val="22"/>
                <w:lang w:val="en-US"/>
              </w:rPr>
            </w:pPr>
            <w:r w:rsidRPr="00D277DD">
              <w:rPr>
                <w:rFonts w:eastAsia="Times New Roman" w:cs="Calibri"/>
                <w:color w:val="000000"/>
                <w:sz w:val="22"/>
                <w:lang w:val="en-US"/>
              </w:rPr>
              <w:t>163112297,72</w:t>
            </w:r>
          </w:p>
        </w:tc>
      </w:tr>
    </w:tbl>
    <w:p w14:paraId="1978C12A" w14:textId="3ACB6AE3" w:rsidR="00694299" w:rsidRDefault="00F56027" w:rsidP="00D277DD">
      <w:pPr>
        <w:spacing w:after="0" w:line="240" w:lineRule="auto"/>
        <w:rPr>
          <w:rFonts w:asciiTheme="minorHAnsi" w:hAnsiTheme="minorHAnsi"/>
          <w:sz w:val="22"/>
        </w:rPr>
      </w:pPr>
      <w:r>
        <w:fldChar w:fldCharType="begin"/>
      </w:r>
      <w:r>
        <w:instrText xml:space="preserve"> LINK </w:instrText>
      </w:r>
      <w:r w:rsidR="00323752">
        <w:instrText xml:space="preserve">Excel.SheetMacroEnabled.12 "D:\\MORAVIA\\INSUMOS\\NOTAS 2024\\Formato_Notas_EEFF_Vinculadas_2024\\XXXXX_PXX_202X_Anexo_Estado_Notas_Contables_Vinculadas.xlsm" NICSP_17!F12C3:F21C4 </w:instrText>
      </w:r>
      <w:r>
        <w:instrText xml:space="preserve">\a \f 4 \h </w:instrText>
      </w:r>
      <w:r w:rsidR="00783907">
        <w:instrText xml:space="preserve"> \* MERGEFORMAT </w:instrText>
      </w:r>
      <w:r>
        <w:fldChar w:fldCharType="separate"/>
      </w:r>
    </w:p>
    <w:p w14:paraId="319F2AB4" w14:textId="46CD693C" w:rsidR="0070041E" w:rsidRDefault="00F56027" w:rsidP="00D73D2C">
      <w:pPr>
        <w:spacing w:after="0" w:line="240" w:lineRule="auto"/>
      </w:pPr>
      <w:r>
        <w:fldChar w:fldCharType="end"/>
      </w:r>
      <w:r w:rsidR="0070041E" w:rsidRPr="0070041E">
        <w:rPr>
          <w:color w:val="FF0000"/>
        </w:rPr>
        <w:t>**</w:t>
      </w:r>
      <w:r w:rsidR="0070041E">
        <w:rPr>
          <w:color w:val="FF0000"/>
        </w:rPr>
        <w:t xml:space="preserve"> </w:t>
      </w:r>
      <w:r w:rsidR="0070041E">
        <w:t>No incluye los bienes de infraestructura vial,</w:t>
      </w:r>
    </w:p>
    <w:p w14:paraId="6223E798" w14:textId="14BE4082" w:rsidR="00D73D2C" w:rsidRDefault="0070041E" w:rsidP="00D73D2C">
      <w:pPr>
        <w:spacing w:after="0" w:line="240" w:lineRule="auto"/>
      </w:pPr>
      <w:r>
        <w:t xml:space="preserve">    Ver cuadro de activos PPyE inserto adelante en esta nota.</w:t>
      </w:r>
    </w:p>
    <w:p w14:paraId="04FCAA23" w14:textId="6CDF1FA2" w:rsidR="00D73D2C" w:rsidRDefault="0021412C" w:rsidP="0021412C">
      <w:pPr>
        <w:tabs>
          <w:tab w:val="left" w:pos="6513"/>
        </w:tabs>
      </w:pPr>
      <w:r>
        <w:tab/>
      </w:r>
    </w:p>
    <w:p w14:paraId="1F2B6482" w14:textId="77C32310" w:rsidR="000B404C" w:rsidRDefault="000B404C" w:rsidP="00F56027">
      <w:pPr>
        <w:jc w:val="center"/>
      </w:pPr>
      <w:r>
        <w:rPr>
          <w:noProof/>
          <w:lang w:eastAsia="es-CR"/>
        </w:rPr>
        <w:drawing>
          <wp:inline distT="0" distB="0" distL="0" distR="0" wp14:anchorId="1C8E41BD" wp14:editId="64A9800F">
            <wp:extent cx="4231005" cy="1438910"/>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31005" cy="1438910"/>
                    </a:xfrm>
                    <a:prstGeom prst="rect">
                      <a:avLst/>
                    </a:prstGeom>
                    <a:noFill/>
                  </pic:spPr>
                </pic:pic>
              </a:graphicData>
            </a:graphic>
          </wp:inline>
        </w:drawing>
      </w:r>
    </w:p>
    <w:p w14:paraId="2D19EE5A" w14:textId="77777777" w:rsidR="000B404C" w:rsidRPr="000B404C" w:rsidRDefault="000B404C" w:rsidP="000B404C">
      <w:pPr>
        <w:rPr>
          <w:lang w:eastAsia="es-CR"/>
        </w:rPr>
      </w:pPr>
      <w:r w:rsidRPr="000B404C">
        <w:rPr>
          <w:lang w:eastAsia="es-CR"/>
        </w:rPr>
        <w:t>El responsable contable debe analizar y revelar lo dispuesto en los párrafos 12 de la NICSP 17.</w:t>
      </w:r>
    </w:p>
    <w:p w14:paraId="56D9C2B8" w14:textId="77777777" w:rsidR="000B404C" w:rsidRPr="000B404C" w:rsidRDefault="000B404C" w:rsidP="000B404C">
      <w:pPr>
        <w:spacing w:line="240" w:lineRule="auto"/>
        <w:rPr>
          <w:rStyle w:val="nfasis"/>
        </w:rPr>
      </w:pPr>
      <w:r w:rsidRPr="000B404C">
        <w:rPr>
          <w:rStyle w:val="nfasis"/>
          <w:lang w:val="es-ES" w:eastAsia="es-ES" w:bidi="es-ES"/>
        </w:rPr>
        <w:t>“</w:t>
      </w:r>
      <w:r w:rsidRPr="000B404C">
        <w:rPr>
          <w:rStyle w:val="nfasis"/>
        </w:rPr>
        <w:t>La información a revelar exigida en los párrafos 88 a 94 requiere que las entidades revelen información sobre los activos reconocidos. Por lo tanto, a las entidades que reconocen bienes del patrimonio histórico artístico y/o cultural se les requiere que revelen, en relación a dichos bienes, puntos tales como, por ejemplo, los siguientes:</w:t>
      </w:r>
    </w:p>
    <w:p w14:paraId="7B0FE661" w14:textId="77777777" w:rsidR="000B404C" w:rsidRPr="000B404C" w:rsidRDefault="000B404C" w:rsidP="000B404C">
      <w:pPr>
        <w:spacing w:line="240" w:lineRule="auto"/>
        <w:rPr>
          <w:rStyle w:val="nfasis"/>
        </w:rPr>
      </w:pPr>
      <w:r w:rsidRPr="000B404C">
        <w:rPr>
          <w:rStyle w:val="nfasis"/>
        </w:rPr>
        <w:t>la base de medición utilizada;</w:t>
      </w:r>
    </w:p>
    <w:p w14:paraId="2C0619C4" w14:textId="77777777" w:rsidR="000B404C" w:rsidRPr="000B404C" w:rsidRDefault="000B404C" w:rsidP="000B404C">
      <w:pPr>
        <w:spacing w:line="240" w:lineRule="auto"/>
        <w:rPr>
          <w:rStyle w:val="nfasis"/>
        </w:rPr>
      </w:pPr>
      <w:r w:rsidRPr="000B404C">
        <w:rPr>
          <w:rStyle w:val="nfasis"/>
        </w:rPr>
        <w:t>el método de depreciación utilizado, si los hubiere;</w:t>
      </w:r>
    </w:p>
    <w:p w14:paraId="011737DE" w14:textId="77777777" w:rsidR="000B404C" w:rsidRPr="000B404C" w:rsidRDefault="000B404C" w:rsidP="000B404C">
      <w:pPr>
        <w:spacing w:line="240" w:lineRule="auto"/>
        <w:rPr>
          <w:rStyle w:val="nfasis"/>
        </w:rPr>
      </w:pPr>
      <w:r w:rsidRPr="000B404C">
        <w:rPr>
          <w:rStyle w:val="nfasis"/>
        </w:rPr>
        <w:t>el valor bruto en libros;</w:t>
      </w:r>
    </w:p>
    <w:p w14:paraId="72C6F3F2" w14:textId="77777777" w:rsidR="000B404C" w:rsidRPr="000B404C" w:rsidRDefault="000B404C" w:rsidP="000B404C">
      <w:pPr>
        <w:spacing w:line="240" w:lineRule="auto"/>
        <w:rPr>
          <w:rStyle w:val="nfasis"/>
        </w:rPr>
      </w:pPr>
      <w:r w:rsidRPr="000B404C">
        <w:rPr>
          <w:rStyle w:val="nfasis"/>
        </w:rPr>
        <w:t>la depreciación acumulada al final del periodo, si la hubiere; y</w:t>
      </w:r>
    </w:p>
    <w:p w14:paraId="176EA96A" w14:textId="584DB70A" w:rsidR="000B404C" w:rsidRDefault="000B404C" w:rsidP="0074522C">
      <w:pPr>
        <w:spacing w:line="240" w:lineRule="auto"/>
        <w:rPr>
          <w:rStyle w:val="nfasis"/>
        </w:rPr>
      </w:pPr>
      <w:r w:rsidRPr="000B404C">
        <w:rPr>
          <w:rStyle w:val="nfasis"/>
        </w:rPr>
        <w:t>una conciliación entre el valor en libros al comienzo y al final del periodo mostrando determinados componentes de la misma.”</w:t>
      </w:r>
    </w:p>
    <w:p w14:paraId="3AB747CA" w14:textId="77777777" w:rsidR="0070041E" w:rsidRPr="0070041E" w:rsidRDefault="0070041E" w:rsidP="0074522C">
      <w:pPr>
        <w:spacing w:line="240" w:lineRule="auto"/>
        <w:rPr>
          <w:rStyle w:val="nfasis"/>
          <w:i w:val="0"/>
          <w:iCs w:val="0"/>
        </w:rPr>
      </w:pPr>
    </w:p>
    <w:p w14:paraId="0AFC61C8" w14:textId="77777777" w:rsidR="00FB7390" w:rsidRDefault="004B38F9" w:rsidP="004B38F9">
      <w:pPr>
        <w:spacing w:line="240" w:lineRule="auto"/>
        <w:rPr>
          <w:b/>
          <w:color w:val="FFFFFF" w:themeColor="background1"/>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4C6A3AD9" w14:textId="3AAAF625" w:rsidR="004B38F9" w:rsidRDefault="00FB7390" w:rsidP="004B38F9">
      <w:pPr>
        <w:spacing w:line="240" w:lineRule="auto"/>
        <w:rPr>
          <w:lang w:val="es-MX"/>
        </w:rPr>
      </w:pPr>
      <w:r>
        <w:rPr>
          <w:lang w:val="es-MX"/>
        </w:rPr>
        <w:t>Los elementos de PP y E serán reconocidos como activos si, y solo si, es probable que los beneficios económicos futuros o el potencial de servicios asociados con el elemento fluirá para la entidad, y el costo o el valor razonable del elemento puede ser medido confiablemente.</w:t>
      </w:r>
    </w:p>
    <w:p w14:paraId="5D244149" w14:textId="77777777" w:rsidR="00963DCB" w:rsidRDefault="008961B6" w:rsidP="004B38F9">
      <w:pPr>
        <w:spacing w:line="240" w:lineRule="auto"/>
        <w:rPr>
          <w:lang w:val="es-MX"/>
        </w:rPr>
      </w:pPr>
      <w:r>
        <w:rPr>
          <w:lang w:val="es-MX"/>
        </w:rPr>
        <w:t xml:space="preserve">Los elementos de PP y E se reconocerán como activos de la entidad en el momento en que </w:t>
      </w:r>
      <w:r w:rsidR="00963DCB">
        <w:rPr>
          <w:lang w:val="es-MX"/>
        </w:rPr>
        <w:t xml:space="preserve">su propiedad sea transferida a la Municipalidad, sean recibidos a satisfacción y </w:t>
      </w:r>
      <w:r>
        <w:rPr>
          <w:lang w:val="es-MX"/>
        </w:rPr>
        <w:t xml:space="preserve">estén listos para </w:t>
      </w:r>
      <w:r w:rsidR="00963DCB">
        <w:rPr>
          <w:lang w:val="es-MX"/>
        </w:rPr>
        <w:t>su uso.</w:t>
      </w:r>
    </w:p>
    <w:p w14:paraId="0974176A" w14:textId="19D1EC8B" w:rsidR="008961B6" w:rsidRDefault="00963DCB" w:rsidP="004B38F9">
      <w:pPr>
        <w:spacing w:line="240" w:lineRule="auto"/>
        <w:rPr>
          <w:lang w:val="es-MX"/>
        </w:rPr>
      </w:pPr>
      <w:r>
        <w:rPr>
          <w:lang w:val="es-MX"/>
        </w:rPr>
        <w:t xml:space="preserve">El valor en libros de los activos de PP y E se </w:t>
      </w:r>
      <w:r w:rsidR="004653E2">
        <w:rPr>
          <w:lang w:val="es-MX"/>
        </w:rPr>
        <w:t>eliminarán</w:t>
      </w:r>
      <w:r>
        <w:rPr>
          <w:lang w:val="es-MX"/>
        </w:rPr>
        <w:t xml:space="preserve"> de los registros contables cuando se disponga de estos</w:t>
      </w:r>
      <w:r w:rsidR="004B3790">
        <w:rPr>
          <w:lang w:val="es-MX"/>
        </w:rPr>
        <w:t xml:space="preserve"> y</w:t>
      </w:r>
      <w:r>
        <w:rPr>
          <w:lang w:val="es-MX"/>
        </w:rPr>
        <w:t xml:space="preserve"> cuando de su uso o disposición no se esperen beneficios económicos futuros o potencial de servicio.</w:t>
      </w:r>
    </w:p>
    <w:p w14:paraId="746E8756" w14:textId="266256DF" w:rsidR="006D1C5F" w:rsidRDefault="006D1C5F" w:rsidP="004B38F9">
      <w:pPr>
        <w:spacing w:line="240" w:lineRule="auto"/>
        <w:rPr>
          <w:lang w:val="es-MX"/>
        </w:rPr>
      </w:pPr>
      <w:r>
        <w:rPr>
          <w:lang w:val="es-MX"/>
        </w:rPr>
        <w:t xml:space="preserve">El gasto de depreciación es </w:t>
      </w:r>
      <w:r w:rsidR="004653E2">
        <w:rPr>
          <w:lang w:val="es-MX"/>
        </w:rPr>
        <w:t>cargado sistemáticamente</w:t>
      </w:r>
      <w:r>
        <w:rPr>
          <w:lang w:val="es-MX"/>
        </w:rPr>
        <w:t xml:space="preserve"> durante la vida útil del activo.</w:t>
      </w:r>
    </w:p>
    <w:p w14:paraId="316C7FEE" w14:textId="0B116B9C" w:rsidR="00963DCB" w:rsidRDefault="00963DCB" w:rsidP="004B38F9">
      <w:pPr>
        <w:spacing w:line="240" w:lineRule="auto"/>
        <w:rPr>
          <w:lang w:val="es-MX"/>
        </w:rPr>
      </w:pPr>
      <w:r>
        <w:rPr>
          <w:lang w:val="es-MX"/>
        </w:rPr>
        <w:t xml:space="preserve">Las ganancias o pérdidas </w:t>
      </w:r>
      <w:r w:rsidR="004B3790">
        <w:rPr>
          <w:lang w:val="es-MX"/>
        </w:rPr>
        <w:t>que surjan del des-reconocimiento de un activo de PP y E se reconoce en los resultados del periodo en que el activo es dado de baja.</w:t>
      </w:r>
    </w:p>
    <w:p w14:paraId="22607FA9" w14:textId="77777777" w:rsidR="004B38F9" w:rsidRDefault="004B38F9" w:rsidP="004B38F9">
      <w:pPr>
        <w:spacing w:line="240" w:lineRule="auto"/>
        <w:rPr>
          <w:b/>
          <w:u w:val="single"/>
        </w:rPr>
      </w:pPr>
    </w:p>
    <w:p w14:paraId="6B0E2E4A" w14:textId="77777777" w:rsidR="004B38F9" w:rsidRPr="003516A2" w:rsidRDefault="004B38F9" w:rsidP="004B38F9">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56824F57" w14:textId="289B10C7" w:rsidR="008961B6" w:rsidRDefault="008961B6" w:rsidP="008961B6">
      <w:pPr>
        <w:spacing w:line="240" w:lineRule="auto"/>
        <w:rPr>
          <w:lang w:val="es-MX"/>
        </w:rPr>
      </w:pPr>
      <w:r>
        <w:rPr>
          <w:lang w:val="es-MX"/>
        </w:rPr>
        <w:t>Inicialmente los activos se medirán al costo, el cual incluye todos los costos necesarios para conseguir que el activo esté listo para el uso que se tiene intención darle al activo. Los activos adquiridos sin costo, o por un costo nominal, se medirá por el valor razonable a la fecha de adquisición, si el pago del activo es diferido, los intereses tienen ser reconocidos como parte del costo.</w:t>
      </w:r>
    </w:p>
    <w:p w14:paraId="1A3CE673" w14:textId="4B15D657" w:rsidR="008961B6" w:rsidRDefault="008961B6" w:rsidP="008961B6">
      <w:pPr>
        <w:spacing w:line="240" w:lineRule="auto"/>
        <w:rPr>
          <w:lang w:val="es-MX"/>
        </w:rPr>
      </w:pPr>
      <w:r>
        <w:rPr>
          <w:lang w:val="es-MX"/>
        </w:rPr>
        <w:t>Posterior a la adquisición, la Municipalidad utiliza el modelo del costo, es decir, el activo es llevado al costo, menos la depreciación acumulada y pérdidas por deterioro.</w:t>
      </w:r>
    </w:p>
    <w:p w14:paraId="39360E43" w14:textId="4856FA41" w:rsidR="006D1C5F" w:rsidRDefault="006D1C5F" w:rsidP="008961B6">
      <w:pPr>
        <w:spacing w:line="240" w:lineRule="auto"/>
        <w:rPr>
          <w:lang w:val="es-MX"/>
        </w:rPr>
      </w:pPr>
      <w:r>
        <w:rPr>
          <w:lang w:val="es-MX"/>
        </w:rPr>
        <w:t>El monto de la depreciación sistemática tiene que reflejar el patrón con el cual los beneficios económicos futuros del activo o el potencial de servicios del activo se espera consumidos por la entidad.</w:t>
      </w:r>
    </w:p>
    <w:p w14:paraId="33A3CC8C" w14:textId="728EC9CB" w:rsidR="004B3790" w:rsidRPr="003516A2" w:rsidRDefault="004B3790" w:rsidP="008961B6">
      <w:pPr>
        <w:spacing w:line="240" w:lineRule="auto"/>
        <w:rPr>
          <w:b/>
          <w:color w:val="FFFFFF" w:themeColor="background1"/>
          <w:highlight w:val="darkBlue"/>
          <w:u w:val="single"/>
        </w:rPr>
      </w:pPr>
      <w:r>
        <w:rPr>
          <w:lang w:val="es-MX"/>
        </w:rPr>
        <w:t>La ganancia o pérdida que surja del des-reconocimiento de un activo de PP y E es la diferencia entre los productos netos de la disposición, si los hay, y el valor en libros del activo.</w:t>
      </w:r>
    </w:p>
    <w:p w14:paraId="6F2A7F80" w14:textId="77777777" w:rsidR="004B38F9" w:rsidRPr="0074522C" w:rsidRDefault="004B38F9" w:rsidP="0074522C">
      <w:pPr>
        <w:spacing w:line="240" w:lineRule="auto"/>
        <w:rPr>
          <w:i/>
          <w:iCs/>
        </w:rPr>
      </w:pPr>
    </w:p>
    <w:p w14:paraId="621E09EF" w14:textId="71FAE343" w:rsidR="000B404C" w:rsidRPr="000B404C" w:rsidRDefault="000B404C" w:rsidP="00A64E1A">
      <w:pPr>
        <w:spacing w:line="240" w:lineRule="auto"/>
        <w:rPr>
          <w:b/>
          <w:u w:val="single"/>
          <w:lang w:eastAsia="es-CR"/>
        </w:rPr>
      </w:pPr>
      <w:r w:rsidRPr="004B38F9">
        <w:rPr>
          <w:b/>
          <w:color w:val="FFFFFF" w:themeColor="background1"/>
          <w:highlight w:val="darkBlue"/>
          <w:u w:val="single"/>
        </w:rPr>
        <w:t>Revelación Suficiente:</w:t>
      </w:r>
      <w:r w:rsidRPr="000B404C">
        <w:rPr>
          <w:b/>
          <w:bCs/>
          <w:u w:val="single"/>
          <w:lang w:eastAsia="es-CR"/>
        </w:rPr>
        <w:t xml:space="preserve"> El ente debe cumplir con lo estipulado en revelación con forme a la NICSP, también debe considerar la política general y los párrafos incluidos en la matriz de autoevaluación referente a esta NICSP y guías de aplicación</w:t>
      </w:r>
      <w:r w:rsidRPr="000B404C">
        <w:rPr>
          <w:b/>
          <w:u w:val="single"/>
          <w:lang w:eastAsia="es-CR"/>
        </w:rPr>
        <w:t xml:space="preserve"> (Ver GA NICSP 17):</w:t>
      </w:r>
    </w:p>
    <w:p w14:paraId="004C8800" w14:textId="77777777" w:rsidR="00A64E1A" w:rsidRDefault="00A64E1A" w:rsidP="002B2DB1">
      <w:pPr>
        <w:spacing w:after="0" w:line="240" w:lineRule="auto"/>
        <w:rPr>
          <w:b/>
          <w:bCs/>
          <w:lang w:eastAsia="es-CR"/>
        </w:rPr>
      </w:pPr>
    </w:p>
    <w:p w14:paraId="4484098D" w14:textId="155F33A2" w:rsidR="002B2DB1" w:rsidRPr="002D6330" w:rsidRDefault="002B2DB1" w:rsidP="002B2DB1">
      <w:pPr>
        <w:spacing w:after="0" w:line="240" w:lineRule="auto"/>
        <w:rPr>
          <w:b/>
          <w:bCs/>
          <w:lang w:eastAsia="es-CR"/>
        </w:rPr>
      </w:pPr>
      <w:r w:rsidRPr="002D6330">
        <w:rPr>
          <w:b/>
          <w:bCs/>
          <w:lang w:eastAsia="es-CR"/>
        </w:rPr>
        <w:t>Adopción de la dispensa de tres años concedida en la NICSP 33</w:t>
      </w:r>
    </w:p>
    <w:p w14:paraId="186F5173" w14:textId="77777777" w:rsidR="002B2DB1" w:rsidRDefault="002B2DB1" w:rsidP="002B2DB1">
      <w:pPr>
        <w:spacing w:after="0" w:line="240" w:lineRule="auto"/>
        <w:rPr>
          <w:lang w:eastAsia="es-CR"/>
        </w:rPr>
      </w:pPr>
    </w:p>
    <w:p w14:paraId="0194597C" w14:textId="77777777" w:rsidR="002B2DB1" w:rsidRDefault="002B2DB1" w:rsidP="002B2DB1">
      <w:pPr>
        <w:spacing w:after="0" w:line="240" w:lineRule="auto"/>
        <w:rPr>
          <w:lang w:eastAsia="es-CR"/>
        </w:rPr>
      </w:pPr>
      <w:bookmarkStart w:id="65" w:name="_Hlk158796817"/>
      <w:r>
        <w:rPr>
          <w:lang w:eastAsia="es-CR"/>
        </w:rPr>
        <w:t>La Municipalidad se acogió al periodo de dispensa transitorio de tres años para el reconocimiento o medición de activos o pasivos que proporciona la NICSP 33 en los párrafos 36 a 62, el cual finaliza el 31 de diciembre de 2024. Durante este periodo la Municipalidad se encuentra realizando un proceso de cierre de brechas, con el fin de lograr cumplir con los requerimientos exigidos por la NICSP 17 y lograr presentar información razonable sobre los inventarios que posee.</w:t>
      </w:r>
    </w:p>
    <w:bookmarkEnd w:id="65"/>
    <w:p w14:paraId="3339A012" w14:textId="77777777" w:rsidR="002B2DB1" w:rsidRPr="00A7067D" w:rsidRDefault="002B2DB1" w:rsidP="002B2DB1">
      <w:pPr>
        <w:spacing w:after="0" w:line="240" w:lineRule="auto"/>
        <w:rPr>
          <w:szCs w:val="24"/>
          <w:lang w:val="es-MX" w:eastAsia="es-CR"/>
        </w:rPr>
      </w:pPr>
    </w:p>
    <w:p w14:paraId="44BEAAF5" w14:textId="77777777" w:rsidR="002B2DB1" w:rsidRDefault="002B2DB1" w:rsidP="002B2DB1">
      <w:pPr>
        <w:spacing w:after="0" w:line="240" w:lineRule="auto"/>
        <w:rPr>
          <w:szCs w:val="24"/>
          <w:lang w:val="es-MX" w:eastAsia="es-CR"/>
        </w:rPr>
      </w:pPr>
      <w:r w:rsidRPr="00A7067D">
        <w:rPr>
          <w:szCs w:val="24"/>
          <w:lang w:val="es-MX" w:eastAsia="es-CR"/>
        </w:rPr>
        <w:t>La Municipalidad se encuentra llevando a cabo un proceso de levantamiento de inventario con base en el cual, se efectúa la identificación, depuración y actualización del registro que mantenía la Proveeduría Municipal de sus bienes de propiedad, planta y equipo, procediéndose con base en dicho levantamiento a establecer los valores correctos de cada uno de sus activos, determinar la depreciación acumulada y los criterios de deterioro que pueden afectar alguno o algunos de sus activos, tanto los generadores como los no generadores de efectivo, según lo establecido en las NICSP 21 y NICSP 26.</w:t>
      </w:r>
    </w:p>
    <w:p w14:paraId="61B144DE" w14:textId="77777777" w:rsidR="002B2DB1" w:rsidRPr="00A7067D" w:rsidRDefault="002B2DB1" w:rsidP="002B2DB1">
      <w:pPr>
        <w:spacing w:after="0" w:line="240" w:lineRule="auto"/>
        <w:rPr>
          <w:szCs w:val="24"/>
          <w:lang w:val="es-MX" w:eastAsia="es-CR"/>
        </w:rPr>
      </w:pPr>
    </w:p>
    <w:p w14:paraId="68ABE24C" w14:textId="77777777" w:rsidR="002B2DB1" w:rsidRDefault="002B2DB1" w:rsidP="002B2DB1">
      <w:pPr>
        <w:spacing w:after="0" w:line="240" w:lineRule="auto"/>
        <w:rPr>
          <w:szCs w:val="24"/>
          <w:lang w:val="es-ES" w:eastAsia="es-CR"/>
        </w:rPr>
      </w:pPr>
      <w:r w:rsidRPr="00A7067D">
        <w:rPr>
          <w:szCs w:val="24"/>
          <w:lang w:val="es-MX" w:eastAsia="es-CR"/>
        </w:rPr>
        <w:t xml:space="preserve">Además, </w:t>
      </w:r>
      <w:bookmarkStart w:id="66" w:name="_Hlk158796906"/>
      <w:r w:rsidRPr="00A7067D">
        <w:rPr>
          <w:szCs w:val="24"/>
          <w:lang w:val="es-MX" w:eastAsia="es-CR"/>
        </w:rPr>
        <w:t xml:space="preserve">como parte del proceso en mención, se verificará la titularidad de las propiedades y planta que sean identificados y en caso de que corresponda se procederá a efectuar las gestiones y ajustes pertinentes, revelando los importes que están afectos a alguna condición especial, </w:t>
      </w:r>
      <w:r w:rsidRPr="00A7067D">
        <w:rPr>
          <w:szCs w:val="24"/>
          <w:lang w:val="es-ES" w:eastAsia="es-CR"/>
        </w:rPr>
        <w:t>así como cualquier otra revelación conforme lo establece la normativa técnica y legal que regula lo concerniente a los bienes municipales.</w:t>
      </w:r>
    </w:p>
    <w:bookmarkEnd w:id="66"/>
    <w:p w14:paraId="25155BCC" w14:textId="77777777" w:rsidR="002B2DB1" w:rsidRDefault="002B2DB1" w:rsidP="002B2DB1">
      <w:pPr>
        <w:spacing w:after="0" w:line="240" w:lineRule="auto"/>
        <w:rPr>
          <w:szCs w:val="24"/>
          <w:lang w:val="es-ES" w:eastAsia="es-CR"/>
        </w:rPr>
      </w:pPr>
    </w:p>
    <w:p w14:paraId="3F6F60F3" w14:textId="77777777" w:rsidR="002B2DB1" w:rsidRDefault="002B2DB1" w:rsidP="002B2DB1">
      <w:pPr>
        <w:spacing w:after="0" w:line="240" w:lineRule="auto"/>
        <w:rPr>
          <w:szCs w:val="24"/>
          <w:lang w:val="es-ES" w:eastAsia="es-CR"/>
        </w:rPr>
      </w:pPr>
      <w:r>
        <w:rPr>
          <w:szCs w:val="24"/>
          <w:lang w:val="es-ES" w:eastAsia="es-CR"/>
        </w:rPr>
        <w:t>De acuerdo con lo consignado en el Plan de Acción para implementación de las NICSP, se está realizando un inventario físico de cada una de las clases de activos que posee la Municipalidad, luego se procede a valorar los bienes identificados y su posterior registro y a hacer las revelaciones respectivas. Conforme lo indicado en el citado Plan de Acción la totalidad de los requerimientos de esta norma se estima cumplirlos a más tardar el 31 de diciembre de 2024.</w:t>
      </w:r>
    </w:p>
    <w:p w14:paraId="2EE71AD4" w14:textId="77777777" w:rsidR="002B2DB1" w:rsidRDefault="002B2DB1" w:rsidP="002B2DB1">
      <w:pPr>
        <w:spacing w:after="0" w:line="240" w:lineRule="auto"/>
        <w:rPr>
          <w:szCs w:val="24"/>
          <w:lang w:val="es-ES" w:eastAsia="es-CR"/>
        </w:rPr>
      </w:pPr>
    </w:p>
    <w:p w14:paraId="72FCF49B" w14:textId="77777777" w:rsidR="002B2DB1" w:rsidRDefault="002B2DB1" w:rsidP="002B2DB1">
      <w:pPr>
        <w:spacing w:after="0" w:line="240" w:lineRule="auto"/>
        <w:rPr>
          <w:szCs w:val="24"/>
          <w:lang w:val="es-ES" w:eastAsia="es-CR"/>
        </w:rPr>
      </w:pPr>
      <w:r>
        <w:rPr>
          <w:szCs w:val="24"/>
          <w:lang w:val="es-ES" w:eastAsia="es-CR"/>
        </w:rPr>
        <w:t>Cabe señalar, que debido a que antes de iniciar la implementación de las NICSP la Municipalidad no llevaba una contabilidad patrimonial, por lo tanto, desde un inicio los activos de PPyE se reconocen y miden con base en lo establecido en las NICSP.</w:t>
      </w:r>
    </w:p>
    <w:p w14:paraId="6D40C3FC" w14:textId="77777777" w:rsidR="002B2DB1" w:rsidRPr="00A7067D" w:rsidRDefault="002B2DB1" w:rsidP="002B2DB1">
      <w:pPr>
        <w:spacing w:after="0" w:line="240" w:lineRule="auto"/>
        <w:rPr>
          <w:szCs w:val="24"/>
          <w:lang w:val="es-ES" w:eastAsia="es-CR"/>
        </w:rPr>
      </w:pPr>
    </w:p>
    <w:p w14:paraId="68AB871E" w14:textId="77777777" w:rsidR="002B2DB1" w:rsidRPr="00DC114B" w:rsidRDefault="002B2DB1" w:rsidP="002B2DB1">
      <w:pPr>
        <w:spacing w:after="0" w:line="240" w:lineRule="auto"/>
        <w:rPr>
          <w:b/>
          <w:bCs/>
          <w:szCs w:val="24"/>
          <w:lang w:val="es-ES" w:eastAsia="es-CR"/>
        </w:rPr>
      </w:pPr>
      <w:r w:rsidRPr="00DC114B">
        <w:rPr>
          <w:b/>
          <w:bCs/>
          <w:szCs w:val="24"/>
          <w:lang w:val="es-ES" w:eastAsia="es-CR"/>
        </w:rPr>
        <w:t>Principales Políticas</w:t>
      </w:r>
    </w:p>
    <w:p w14:paraId="176B6B62" w14:textId="77777777" w:rsidR="002B2DB1" w:rsidRDefault="002B2DB1" w:rsidP="002B2DB1">
      <w:pPr>
        <w:spacing w:after="0" w:line="240" w:lineRule="auto"/>
        <w:rPr>
          <w:szCs w:val="24"/>
          <w:lang w:val="es-ES" w:eastAsia="es-CR"/>
        </w:rPr>
      </w:pPr>
    </w:p>
    <w:p w14:paraId="0F034E25" w14:textId="77777777" w:rsidR="002B2DB1" w:rsidRDefault="002B2DB1" w:rsidP="002B2DB1">
      <w:pPr>
        <w:spacing w:after="0" w:line="240" w:lineRule="auto"/>
        <w:rPr>
          <w:szCs w:val="24"/>
          <w:lang w:val="es-MX" w:eastAsia="es-CR"/>
        </w:rPr>
      </w:pPr>
      <w:r>
        <w:rPr>
          <w:szCs w:val="24"/>
          <w:lang w:val="es-MX" w:eastAsia="es-CR"/>
        </w:rPr>
        <w:t xml:space="preserve">Un activo se reconocerá como activo de Propiedad, Planta y Equipo si y solo si cumple las características a) es probable que la entidad reciba beneficios económicos o potencial de servicios futuros asociados al activo; y b) el valor razonable o el costo del activo puede ser medido de forma fiable. El costo de un elemento de propiedad planta y equipo será el precio equivalente al contado. </w:t>
      </w:r>
    </w:p>
    <w:p w14:paraId="0CD9961F" w14:textId="77777777" w:rsidR="002B2DB1" w:rsidRDefault="002B2DB1" w:rsidP="002B2DB1">
      <w:pPr>
        <w:spacing w:after="0" w:line="240" w:lineRule="auto"/>
        <w:rPr>
          <w:szCs w:val="24"/>
          <w:lang w:val="es-MX" w:eastAsia="es-CR"/>
        </w:rPr>
      </w:pPr>
    </w:p>
    <w:p w14:paraId="1260CAFA" w14:textId="77777777" w:rsidR="002B2DB1" w:rsidRDefault="002B2DB1" w:rsidP="002B2DB1">
      <w:pPr>
        <w:spacing w:after="0" w:line="240" w:lineRule="auto"/>
        <w:rPr>
          <w:szCs w:val="24"/>
          <w:lang w:val="es-MX" w:eastAsia="es-CR"/>
        </w:rPr>
      </w:pPr>
      <w:r w:rsidRPr="00A7067D">
        <w:rPr>
          <w:szCs w:val="24"/>
          <w:lang w:val="es-MX" w:eastAsia="es-CR"/>
        </w:rPr>
        <w:t xml:space="preserve">La base de medición utilizada para determinar el importe en libros bruto es el método de costo, y en el caso de aquello activos que se encuentran en uso y se desconoce su valor </w:t>
      </w:r>
      <w:r>
        <w:rPr>
          <w:szCs w:val="24"/>
          <w:lang w:val="es-MX" w:eastAsia="es-CR"/>
        </w:rPr>
        <w:t xml:space="preserve">o no se dispone de información fiable del mismo </w:t>
      </w:r>
      <w:r w:rsidRPr="00A7067D">
        <w:rPr>
          <w:szCs w:val="24"/>
          <w:lang w:val="es-MX" w:eastAsia="es-CR"/>
        </w:rPr>
        <w:t xml:space="preserve">se </w:t>
      </w:r>
      <w:r>
        <w:rPr>
          <w:szCs w:val="24"/>
          <w:lang w:val="es-MX" w:eastAsia="es-CR"/>
        </w:rPr>
        <w:t>le aplicará un</w:t>
      </w:r>
      <w:r w:rsidRPr="00A7067D">
        <w:rPr>
          <w:szCs w:val="24"/>
          <w:lang w:val="es-MX" w:eastAsia="es-CR"/>
        </w:rPr>
        <w:t xml:space="preserve"> valor razonable</w:t>
      </w:r>
      <w:r>
        <w:rPr>
          <w:szCs w:val="24"/>
          <w:lang w:val="es-MX" w:eastAsia="es-CR"/>
        </w:rPr>
        <w:t xml:space="preserve"> como el costo atribuido conforme lo establece la NICSP 33, el cual será establecido </w:t>
      </w:r>
      <w:r w:rsidRPr="00A7067D">
        <w:rPr>
          <w:szCs w:val="24"/>
          <w:lang w:val="es-MX" w:eastAsia="es-CR"/>
        </w:rPr>
        <w:t xml:space="preserve">con </w:t>
      </w:r>
      <w:r>
        <w:rPr>
          <w:szCs w:val="24"/>
          <w:lang w:val="es-MX" w:eastAsia="es-CR"/>
        </w:rPr>
        <w:t xml:space="preserve">base en </w:t>
      </w:r>
      <w:r w:rsidRPr="00A7067D">
        <w:rPr>
          <w:szCs w:val="24"/>
          <w:lang w:val="es-MX" w:eastAsia="es-CR"/>
        </w:rPr>
        <w:t>un estudio de mercado</w:t>
      </w:r>
      <w:r>
        <w:rPr>
          <w:szCs w:val="24"/>
          <w:lang w:val="es-MX" w:eastAsia="es-CR"/>
        </w:rPr>
        <w:t xml:space="preserve"> o un avalúo realizado por un profesional experto</w:t>
      </w:r>
      <w:r w:rsidRPr="00A7067D">
        <w:rPr>
          <w:szCs w:val="24"/>
          <w:lang w:val="es-MX" w:eastAsia="es-CR"/>
        </w:rPr>
        <w:t>.</w:t>
      </w:r>
    </w:p>
    <w:p w14:paraId="265796A3" w14:textId="77777777" w:rsidR="002B2DB1" w:rsidRDefault="002B2DB1" w:rsidP="002B2DB1">
      <w:pPr>
        <w:spacing w:after="0" w:line="240" w:lineRule="auto"/>
        <w:rPr>
          <w:szCs w:val="24"/>
          <w:lang w:val="es-MX" w:eastAsia="es-CR"/>
        </w:rPr>
      </w:pPr>
    </w:p>
    <w:p w14:paraId="093ABF70" w14:textId="77777777" w:rsidR="002B2DB1" w:rsidRDefault="002B2DB1" w:rsidP="002B2DB1">
      <w:pPr>
        <w:spacing w:after="0" w:line="240" w:lineRule="auto"/>
        <w:rPr>
          <w:szCs w:val="24"/>
          <w:lang w:val="es-MX" w:eastAsia="es-CR"/>
        </w:rPr>
      </w:pPr>
      <w:r>
        <w:rPr>
          <w:szCs w:val="24"/>
          <w:lang w:val="es-MX" w:eastAsia="es-CR"/>
        </w:rPr>
        <w:t>Con posterioridad al reconocimiento inicial un activo de propiedad, planta y equipo se contabilizará por su costo menos la depreciación y el importe acumulados de las pérdidas por deterioro del valor.</w:t>
      </w:r>
    </w:p>
    <w:p w14:paraId="2DCEE575" w14:textId="77777777" w:rsidR="002B2DB1" w:rsidRDefault="002B2DB1" w:rsidP="002B2DB1">
      <w:pPr>
        <w:spacing w:after="0" w:line="240" w:lineRule="auto"/>
        <w:rPr>
          <w:szCs w:val="24"/>
          <w:lang w:val="es-MX" w:eastAsia="es-CR"/>
        </w:rPr>
      </w:pPr>
    </w:p>
    <w:p w14:paraId="75459510" w14:textId="77777777" w:rsidR="002B2DB1" w:rsidRDefault="002B2DB1" w:rsidP="002B2DB1">
      <w:pPr>
        <w:spacing w:after="0" w:line="240" w:lineRule="auto"/>
        <w:rPr>
          <w:szCs w:val="24"/>
          <w:lang w:val="es-MX" w:eastAsia="es-CR"/>
        </w:rPr>
      </w:pPr>
      <w:r>
        <w:rPr>
          <w:szCs w:val="24"/>
          <w:lang w:val="es-MX" w:eastAsia="es-CR"/>
        </w:rPr>
        <w:t>Todos aquellos desembolsos que se realicen que no incrementen los beneficios económicos o el potencial de servicios futuros, será considerado con carácter de gasto de mantenimiento y por lo tanto se reconocerá como gasto del periodo.</w:t>
      </w:r>
    </w:p>
    <w:p w14:paraId="097485AB" w14:textId="77777777" w:rsidR="002B2DB1" w:rsidRDefault="002B2DB1" w:rsidP="002B2DB1">
      <w:pPr>
        <w:spacing w:after="0" w:line="240" w:lineRule="auto"/>
        <w:rPr>
          <w:szCs w:val="24"/>
          <w:lang w:val="es-MX" w:eastAsia="es-CR"/>
        </w:rPr>
      </w:pPr>
    </w:p>
    <w:p w14:paraId="5638B887" w14:textId="77777777" w:rsidR="002B2DB1" w:rsidRDefault="002B2DB1" w:rsidP="002B2DB1">
      <w:pPr>
        <w:spacing w:after="0" w:line="240" w:lineRule="auto"/>
        <w:rPr>
          <w:szCs w:val="24"/>
          <w:lang w:val="es-MX" w:eastAsia="es-CR"/>
        </w:rPr>
      </w:pPr>
      <w:r w:rsidRPr="00A7067D">
        <w:rPr>
          <w:szCs w:val="24"/>
          <w:lang w:val="es-MX" w:eastAsia="es-CR"/>
        </w:rPr>
        <w:t>El método de depreciación que se utiliza es el de línea recta, permitido por la NICSP 17 y sugerido por la Contabilidad Nacional; y la determinación de las vidas útiles o los porcentajes de depreciación empleados se realiza con base en la Directriz CN-001-2009 emitida por la DGCN.</w:t>
      </w:r>
    </w:p>
    <w:p w14:paraId="590BF0DA" w14:textId="77777777" w:rsidR="002B2DB1" w:rsidRDefault="002B2DB1" w:rsidP="002B2DB1">
      <w:pPr>
        <w:spacing w:after="0" w:line="240" w:lineRule="auto"/>
        <w:rPr>
          <w:szCs w:val="24"/>
          <w:lang w:val="es-MX" w:eastAsia="es-CR"/>
        </w:rPr>
      </w:pPr>
    </w:p>
    <w:p w14:paraId="3A23C4EB" w14:textId="77777777" w:rsidR="002B2DB1" w:rsidRDefault="002B2DB1" w:rsidP="002B2DB1">
      <w:pPr>
        <w:spacing w:after="0" w:line="240" w:lineRule="auto"/>
        <w:rPr>
          <w:szCs w:val="24"/>
          <w:lang w:val="es-MX" w:eastAsia="es-CR"/>
        </w:rPr>
      </w:pPr>
      <w:r>
        <w:rPr>
          <w:szCs w:val="24"/>
          <w:lang w:val="es-MX" w:eastAsia="es-CR"/>
        </w:rPr>
        <w:t>Un elemento de PPyE se dará de baja porque no se espere obtener ningún beneficio futuro o potencial de servicio por su uso o disposición. La disposición de un activo puede llevarse a cabo mediante, su venta, donación o desecho.</w:t>
      </w:r>
    </w:p>
    <w:p w14:paraId="09465087" w14:textId="77777777" w:rsidR="002B2DB1" w:rsidRPr="00D02440" w:rsidRDefault="002B2DB1" w:rsidP="002B2DB1">
      <w:pPr>
        <w:spacing w:after="0" w:line="240" w:lineRule="auto"/>
        <w:rPr>
          <w:szCs w:val="24"/>
          <w:lang w:val="es-MX" w:eastAsia="es-CR"/>
        </w:rPr>
      </w:pPr>
    </w:p>
    <w:p w14:paraId="698C06C2" w14:textId="77777777" w:rsidR="002B2DB1" w:rsidRDefault="002B2DB1" w:rsidP="002B2DB1">
      <w:pPr>
        <w:spacing w:after="0" w:line="240" w:lineRule="auto"/>
        <w:rPr>
          <w:szCs w:val="24"/>
          <w:lang w:val="es-ES" w:eastAsia="es-CR"/>
        </w:rPr>
      </w:pPr>
      <w:r>
        <w:rPr>
          <w:szCs w:val="24"/>
          <w:lang w:val="es-MX" w:eastAsia="es-CR"/>
        </w:rPr>
        <w:t>L</w:t>
      </w:r>
      <w:r w:rsidRPr="00A7067D">
        <w:rPr>
          <w:szCs w:val="24"/>
          <w:lang w:val="es-ES" w:eastAsia="es-CR"/>
        </w:rPr>
        <w:t>a depreciación de los activos que conforman la Propiedad, planta y equipo municipal, se debe indicar</w:t>
      </w:r>
      <w:r>
        <w:rPr>
          <w:szCs w:val="24"/>
          <w:lang w:val="es-ES" w:eastAsia="es-CR"/>
        </w:rPr>
        <w:t>,</w:t>
      </w:r>
      <w:r w:rsidRPr="00A7067D">
        <w:rPr>
          <w:szCs w:val="24"/>
          <w:lang w:val="es-ES" w:eastAsia="es-CR"/>
        </w:rPr>
        <w:t xml:space="preserve"> que como parte del proceso de depuración con forme se van inventariando los activos se procede a establecer los criterios para el cálculo de la </w:t>
      </w:r>
      <w:r>
        <w:rPr>
          <w:szCs w:val="24"/>
          <w:lang w:val="es-ES" w:eastAsia="es-CR"/>
        </w:rPr>
        <w:t>d</w:t>
      </w:r>
      <w:r w:rsidRPr="00A7067D">
        <w:rPr>
          <w:szCs w:val="24"/>
          <w:lang w:val="es-ES" w:eastAsia="es-CR"/>
        </w:rPr>
        <w:t xml:space="preserve">epreciación de acuerdo con lo establecido en </w:t>
      </w:r>
      <w:r w:rsidRPr="00A7067D">
        <w:rPr>
          <w:szCs w:val="24"/>
          <w:lang w:val="es-MX" w:eastAsia="es-CR"/>
        </w:rPr>
        <w:t>la Directriz CN-001-2009 emitida por la DGCN</w:t>
      </w:r>
      <w:r w:rsidRPr="00A7067D">
        <w:rPr>
          <w:szCs w:val="24"/>
          <w:lang w:val="es-ES" w:eastAsia="es-CR"/>
        </w:rPr>
        <w:t>.</w:t>
      </w:r>
      <w:r>
        <w:rPr>
          <w:szCs w:val="24"/>
          <w:lang w:val="es-ES" w:eastAsia="es-CR"/>
        </w:rPr>
        <w:t xml:space="preserve"> </w:t>
      </w:r>
    </w:p>
    <w:p w14:paraId="3BEC37C3" w14:textId="77777777" w:rsidR="002B2DB1" w:rsidRDefault="002B2DB1" w:rsidP="002B2DB1">
      <w:pPr>
        <w:spacing w:after="0" w:line="240" w:lineRule="auto"/>
        <w:rPr>
          <w:szCs w:val="24"/>
          <w:lang w:val="es-ES" w:eastAsia="es-CR"/>
        </w:rPr>
      </w:pPr>
    </w:p>
    <w:p w14:paraId="70241445" w14:textId="77777777" w:rsidR="002B2DB1" w:rsidRPr="00A7067D" w:rsidRDefault="002B2DB1" w:rsidP="002B2DB1">
      <w:pPr>
        <w:spacing w:after="0" w:line="240" w:lineRule="auto"/>
        <w:rPr>
          <w:szCs w:val="24"/>
          <w:lang w:val="es-ES" w:eastAsia="es-CR"/>
        </w:rPr>
      </w:pPr>
      <w:r>
        <w:rPr>
          <w:szCs w:val="24"/>
          <w:lang w:val="es-ES" w:eastAsia="es-CR"/>
        </w:rPr>
        <w:t>De acuerdo con dicha tabla a los activos más significativos se les estima la vida útil de la siguiente manera: a los edificios entre 17 y 50 años (se deprecian dependiendo de los materiales constructivos entre 2% y 6% anual); la maquinaria y equipos para la construcción, y los equipos y mobiliario de oficina tienen una vida útil estimada de 10 años (se deprecian un 10% anual); los equipos de computación tienen una vida estimada de 5 años (se deprecian un 20% anual) Los equipos de transporte tracción y elevación tienen vidas útiles que van de los 5 a los 20 años (dependiendo de las características y actividad a la que se dediquen tendrán tasas de depreciación entre 5% y 20%) y al equipo de comunicación se le asigna una vida útil de 10 años (se depreciaran 10% anual).</w:t>
      </w:r>
    </w:p>
    <w:p w14:paraId="45F6C23C" w14:textId="77777777" w:rsidR="00D73D2C" w:rsidRPr="002E52D8" w:rsidRDefault="00D73D2C" w:rsidP="002B2DB1">
      <w:pPr>
        <w:tabs>
          <w:tab w:val="left" w:pos="2240"/>
        </w:tabs>
        <w:spacing w:after="0" w:line="240" w:lineRule="auto"/>
        <w:rPr>
          <w:lang w:val="es-ES"/>
        </w:rPr>
      </w:pPr>
    </w:p>
    <w:p w14:paraId="03432706" w14:textId="77777777" w:rsidR="002B2DB1" w:rsidRPr="002E52D8" w:rsidRDefault="002B2DB1" w:rsidP="002B2DB1">
      <w:pPr>
        <w:spacing w:after="0" w:line="240" w:lineRule="auto"/>
        <w:rPr>
          <w:b/>
          <w:bCs/>
          <w:szCs w:val="24"/>
          <w:lang w:val="es-ES" w:eastAsia="es-CR"/>
        </w:rPr>
      </w:pPr>
      <w:r w:rsidRPr="002E52D8">
        <w:rPr>
          <w:b/>
          <w:bCs/>
          <w:szCs w:val="24"/>
          <w:lang w:val="es-ES" w:eastAsia="es-CR"/>
        </w:rPr>
        <w:t>Otras revelaciones</w:t>
      </w:r>
    </w:p>
    <w:p w14:paraId="423CC195" w14:textId="77777777" w:rsidR="002B2DB1" w:rsidRDefault="002B2DB1" w:rsidP="002B2DB1">
      <w:pPr>
        <w:spacing w:after="0" w:line="240" w:lineRule="auto"/>
        <w:rPr>
          <w:szCs w:val="24"/>
          <w:lang w:val="es-ES" w:eastAsia="es-CR"/>
        </w:rPr>
      </w:pPr>
    </w:p>
    <w:p w14:paraId="71B12B18" w14:textId="13A14A75" w:rsidR="000B404C" w:rsidRDefault="002B2DB1" w:rsidP="00D73D2C">
      <w:pPr>
        <w:spacing w:after="0" w:line="240" w:lineRule="auto"/>
        <w:rPr>
          <w:lang w:val="es-ES"/>
        </w:rPr>
      </w:pPr>
      <w:r>
        <w:rPr>
          <w:szCs w:val="24"/>
          <w:lang w:val="es-ES" w:eastAsia="es-CR"/>
        </w:rPr>
        <w:t>T</w:t>
      </w:r>
      <w:r w:rsidRPr="00A7067D">
        <w:rPr>
          <w:szCs w:val="24"/>
          <w:lang w:val="es-ES" w:eastAsia="es-CR"/>
        </w:rPr>
        <w:t xml:space="preserve">al como se aprecia en el </w:t>
      </w:r>
      <w:r>
        <w:rPr>
          <w:szCs w:val="24"/>
          <w:lang w:val="es-ES" w:eastAsia="es-CR"/>
        </w:rPr>
        <w:t xml:space="preserve">siguiente </w:t>
      </w:r>
      <w:r w:rsidRPr="00A7067D">
        <w:rPr>
          <w:szCs w:val="24"/>
          <w:lang w:val="es-ES" w:eastAsia="es-CR"/>
        </w:rPr>
        <w:t>detalle los bienes de infraestructura y de beneficio y uso público en servicio son los que representan la mayor cuantía de la propiedad planta y equipo</w:t>
      </w:r>
      <w:r>
        <w:rPr>
          <w:szCs w:val="24"/>
          <w:lang w:val="es-ES" w:eastAsia="es-CR"/>
        </w:rPr>
        <w:t xml:space="preserve">, siendo </w:t>
      </w:r>
      <w:r w:rsidRPr="00A7067D">
        <w:rPr>
          <w:szCs w:val="24"/>
          <w:lang w:val="es-ES" w:eastAsia="es-CR"/>
        </w:rPr>
        <w:t xml:space="preserve">principalmente los bienes correspondientes a Infraestructura Vial, los </w:t>
      </w:r>
      <w:r>
        <w:rPr>
          <w:szCs w:val="24"/>
          <w:lang w:val="es-ES" w:eastAsia="es-CR"/>
        </w:rPr>
        <w:t>que presentan</w:t>
      </w:r>
      <w:r w:rsidRPr="00A7067D">
        <w:rPr>
          <w:szCs w:val="24"/>
          <w:lang w:val="es-ES" w:eastAsia="es-CR"/>
        </w:rPr>
        <w:t xml:space="preserve"> una cuantía significativa dentro de </w:t>
      </w:r>
      <w:r>
        <w:rPr>
          <w:szCs w:val="24"/>
          <w:lang w:val="es-ES" w:eastAsia="es-CR"/>
        </w:rPr>
        <w:t>este grupo de</w:t>
      </w:r>
      <w:r w:rsidRPr="00A7067D">
        <w:rPr>
          <w:szCs w:val="24"/>
          <w:lang w:val="es-ES" w:eastAsia="es-CR"/>
        </w:rPr>
        <w:t xml:space="preserve"> activos</w:t>
      </w:r>
      <w:r>
        <w:rPr>
          <w:szCs w:val="24"/>
          <w:lang w:val="es-ES" w:eastAsia="es-CR"/>
        </w:rPr>
        <w:t>;</w:t>
      </w:r>
      <w:r w:rsidRPr="00A7067D">
        <w:rPr>
          <w:szCs w:val="24"/>
          <w:lang w:val="es-ES" w:eastAsia="es-CR"/>
        </w:rPr>
        <w:t xml:space="preserve"> </w:t>
      </w:r>
      <w:r>
        <w:rPr>
          <w:szCs w:val="24"/>
          <w:lang w:val="es-ES" w:eastAsia="es-CR"/>
        </w:rPr>
        <w:t>los segundos en importancia son los edificios; en tercer lugar se tiene</w:t>
      </w:r>
      <w:r w:rsidRPr="00A7067D">
        <w:rPr>
          <w:szCs w:val="24"/>
          <w:lang w:val="es-ES" w:eastAsia="es-CR"/>
        </w:rPr>
        <w:t xml:space="preserve"> la maquinaria y equipo de trabajo, equipo de cómputo y de oficina</w:t>
      </w:r>
      <w:r>
        <w:rPr>
          <w:szCs w:val="24"/>
          <w:lang w:val="es-ES" w:eastAsia="es-CR"/>
        </w:rPr>
        <w:t>; y finalmente los activos intangibles</w:t>
      </w:r>
      <w:r w:rsidRPr="00A7067D">
        <w:rPr>
          <w:szCs w:val="24"/>
          <w:lang w:val="es-ES" w:eastAsia="es-CR"/>
        </w:rPr>
        <w:t>.</w:t>
      </w:r>
      <w:r>
        <w:rPr>
          <w:szCs w:val="24"/>
          <w:lang w:val="es-ES" w:eastAsia="es-CR"/>
        </w:rPr>
        <w:t xml:space="preserve"> </w:t>
      </w:r>
      <w:r>
        <w:rPr>
          <w:lang w:val="es-ES"/>
        </w:rPr>
        <w:t xml:space="preserve">El detalle de los activos de </w:t>
      </w:r>
      <w:r w:rsidR="00A64E1A">
        <w:rPr>
          <w:lang w:val="es-ES"/>
        </w:rPr>
        <w:t xml:space="preserve">Infraestructura Vial </w:t>
      </w:r>
      <w:r>
        <w:rPr>
          <w:lang w:val="es-ES"/>
        </w:rPr>
        <w:t xml:space="preserve">al </w:t>
      </w:r>
      <w:r w:rsidR="00D470B6">
        <w:rPr>
          <w:lang w:val="es-ES"/>
        </w:rPr>
        <w:t>30 de junio</w:t>
      </w:r>
      <w:r w:rsidR="002D3D6C">
        <w:rPr>
          <w:lang w:val="es-ES"/>
        </w:rPr>
        <w:t xml:space="preserve"> de 2024</w:t>
      </w:r>
      <w:r>
        <w:rPr>
          <w:lang w:val="es-ES"/>
        </w:rPr>
        <w:t xml:space="preserve"> es el siguiente:</w:t>
      </w:r>
    </w:p>
    <w:p w14:paraId="420EA0C9" w14:textId="77777777" w:rsidR="00D73D2C" w:rsidRDefault="00D73D2C" w:rsidP="00D73D2C">
      <w:pPr>
        <w:spacing w:after="0" w:line="240" w:lineRule="auto"/>
        <w:rPr>
          <w:lang w:val="es-ES"/>
        </w:rPr>
      </w:pPr>
    </w:p>
    <w:p w14:paraId="379C09E8" w14:textId="77777777" w:rsidR="00F53031" w:rsidRDefault="00F53031" w:rsidP="00D73D2C">
      <w:pPr>
        <w:spacing w:after="0" w:line="240" w:lineRule="auto"/>
        <w:rPr>
          <w:lang w:val="es-ES"/>
        </w:rPr>
      </w:pPr>
    </w:p>
    <w:p w14:paraId="216F9D20" w14:textId="77777777" w:rsidR="00F53031" w:rsidRDefault="00F53031" w:rsidP="00D73D2C">
      <w:pPr>
        <w:spacing w:after="0" w:line="240" w:lineRule="auto"/>
        <w:rPr>
          <w:lang w:val="es-ES"/>
        </w:rPr>
      </w:pPr>
    </w:p>
    <w:p w14:paraId="53F39D90" w14:textId="77777777" w:rsidR="00F53031" w:rsidRDefault="00F53031" w:rsidP="00D73D2C">
      <w:pPr>
        <w:spacing w:after="0" w:line="240" w:lineRule="auto"/>
        <w:rPr>
          <w:lang w:val="es-ES"/>
        </w:rPr>
      </w:pPr>
    </w:p>
    <w:tbl>
      <w:tblPr>
        <w:tblW w:w="8921" w:type="dxa"/>
        <w:tblLook w:val="04A0" w:firstRow="1" w:lastRow="0" w:firstColumn="1" w:lastColumn="0" w:noHBand="0" w:noVBand="1"/>
      </w:tblPr>
      <w:tblGrid>
        <w:gridCol w:w="901"/>
        <w:gridCol w:w="3909"/>
        <w:gridCol w:w="1374"/>
        <w:gridCol w:w="1348"/>
        <w:gridCol w:w="1389"/>
      </w:tblGrid>
      <w:tr w:rsidR="00E53BE5" w:rsidRPr="00FC1340" w14:paraId="490AEC37" w14:textId="77777777" w:rsidTr="00A64E1A">
        <w:trPr>
          <w:trHeight w:val="700"/>
        </w:trPr>
        <w:tc>
          <w:tcPr>
            <w:tcW w:w="901" w:type="dxa"/>
            <w:tcBorders>
              <w:top w:val="single" w:sz="8" w:space="0" w:color="auto"/>
              <w:left w:val="single" w:sz="8" w:space="0" w:color="auto"/>
              <w:bottom w:val="nil"/>
              <w:right w:val="single" w:sz="8" w:space="0" w:color="auto"/>
            </w:tcBorders>
            <w:shd w:val="clear" w:color="000000" w:fill="203764"/>
            <w:vAlign w:val="center"/>
            <w:hideMark/>
          </w:tcPr>
          <w:p w14:paraId="3484A84C" w14:textId="77777777" w:rsidR="00E53BE5" w:rsidRPr="00FC1340" w:rsidRDefault="00E53BE5" w:rsidP="00FC1340">
            <w:pPr>
              <w:spacing w:after="0" w:line="240" w:lineRule="auto"/>
              <w:jc w:val="center"/>
              <w:rPr>
                <w:rFonts w:eastAsia="Times New Roman" w:cs="Calibri"/>
                <w:b/>
                <w:bCs/>
                <w:color w:val="FFFFFF"/>
                <w:sz w:val="18"/>
                <w:szCs w:val="18"/>
                <w:lang w:val="en-US"/>
              </w:rPr>
            </w:pPr>
            <w:r w:rsidRPr="00FC1340">
              <w:rPr>
                <w:rFonts w:eastAsia="Times New Roman" w:cs="Calibri"/>
                <w:b/>
                <w:bCs/>
                <w:color w:val="FFFFFF"/>
                <w:sz w:val="18"/>
                <w:szCs w:val="18"/>
                <w:lang w:val="en-US"/>
              </w:rPr>
              <w:t>Cantidad</w:t>
            </w:r>
          </w:p>
        </w:tc>
        <w:tc>
          <w:tcPr>
            <w:tcW w:w="3909" w:type="dxa"/>
            <w:tcBorders>
              <w:top w:val="single" w:sz="8" w:space="0" w:color="auto"/>
              <w:left w:val="nil"/>
              <w:bottom w:val="nil"/>
              <w:right w:val="single" w:sz="8" w:space="0" w:color="auto"/>
            </w:tcBorders>
            <w:shd w:val="clear" w:color="000000" w:fill="203764"/>
            <w:vAlign w:val="center"/>
            <w:hideMark/>
          </w:tcPr>
          <w:p w14:paraId="60393809" w14:textId="77777777" w:rsidR="00E53BE5" w:rsidRPr="00FC1340" w:rsidRDefault="00E53BE5" w:rsidP="00FC1340">
            <w:pPr>
              <w:spacing w:after="0" w:line="240" w:lineRule="auto"/>
              <w:jc w:val="center"/>
              <w:rPr>
                <w:rFonts w:eastAsia="Times New Roman" w:cs="Calibri"/>
                <w:b/>
                <w:bCs/>
                <w:color w:val="FFFFFF"/>
                <w:sz w:val="18"/>
                <w:szCs w:val="18"/>
                <w:lang w:val="en-US"/>
              </w:rPr>
            </w:pPr>
            <w:r w:rsidRPr="00FC1340">
              <w:rPr>
                <w:rFonts w:eastAsia="Times New Roman" w:cs="Calibri"/>
                <w:b/>
                <w:bCs/>
                <w:color w:val="FFFFFF"/>
                <w:sz w:val="18"/>
                <w:szCs w:val="18"/>
                <w:lang w:val="en-US"/>
              </w:rPr>
              <w:t>DESCRIPCIÓN DEL ACTIVO</w:t>
            </w:r>
          </w:p>
        </w:tc>
        <w:tc>
          <w:tcPr>
            <w:tcW w:w="1374" w:type="dxa"/>
            <w:tcBorders>
              <w:top w:val="single" w:sz="8" w:space="0" w:color="auto"/>
              <w:left w:val="nil"/>
              <w:bottom w:val="nil"/>
              <w:right w:val="single" w:sz="8" w:space="0" w:color="auto"/>
            </w:tcBorders>
            <w:shd w:val="clear" w:color="000000" w:fill="203764"/>
            <w:vAlign w:val="center"/>
            <w:hideMark/>
          </w:tcPr>
          <w:p w14:paraId="0E27959A" w14:textId="77777777" w:rsidR="00E53BE5" w:rsidRPr="00FC1340" w:rsidRDefault="00E53BE5" w:rsidP="00FC1340">
            <w:pPr>
              <w:spacing w:after="0" w:line="240" w:lineRule="auto"/>
              <w:jc w:val="center"/>
              <w:rPr>
                <w:rFonts w:eastAsia="Times New Roman" w:cs="Calibri"/>
                <w:b/>
                <w:bCs/>
                <w:color w:val="FFFFFF"/>
                <w:sz w:val="18"/>
                <w:szCs w:val="18"/>
                <w:lang w:val="en-US"/>
              </w:rPr>
            </w:pPr>
            <w:r w:rsidRPr="00FC1340">
              <w:rPr>
                <w:rFonts w:eastAsia="Times New Roman" w:cs="Calibri"/>
                <w:b/>
                <w:bCs/>
                <w:color w:val="FFFFFF"/>
                <w:sz w:val="18"/>
                <w:szCs w:val="18"/>
                <w:lang w:val="en-US"/>
              </w:rPr>
              <w:t>COSTO</w:t>
            </w:r>
          </w:p>
        </w:tc>
        <w:tc>
          <w:tcPr>
            <w:tcW w:w="1348" w:type="dxa"/>
            <w:tcBorders>
              <w:top w:val="single" w:sz="8" w:space="0" w:color="auto"/>
              <w:left w:val="nil"/>
              <w:bottom w:val="nil"/>
              <w:right w:val="single" w:sz="8" w:space="0" w:color="auto"/>
            </w:tcBorders>
            <w:shd w:val="clear" w:color="000000" w:fill="203764"/>
            <w:vAlign w:val="center"/>
            <w:hideMark/>
          </w:tcPr>
          <w:p w14:paraId="48FA5A8D" w14:textId="77777777" w:rsidR="00E53BE5" w:rsidRPr="00FC1340" w:rsidRDefault="00E53BE5" w:rsidP="00FC1340">
            <w:pPr>
              <w:spacing w:after="0" w:line="240" w:lineRule="auto"/>
              <w:jc w:val="center"/>
              <w:rPr>
                <w:rFonts w:eastAsia="Times New Roman" w:cs="Calibri"/>
                <w:b/>
                <w:bCs/>
                <w:color w:val="FFFFFF"/>
                <w:sz w:val="18"/>
                <w:szCs w:val="18"/>
                <w:lang w:val="en-US"/>
              </w:rPr>
            </w:pPr>
            <w:r w:rsidRPr="00FC1340">
              <w:rPr>
                <w:rFonts w:eastAsia="Times New Roman" w:cs="Calibri"/>
                <w:b/>
                <w:bCs/>
                <w:color w:val="FFFFFF"/>
                <w:sz w:val="18"/>
                <w:szCs w:val="18"/>
                <w:lang w:val="en-US"/>
              </w:rPr>
              <w:t>DEPRECIACIÓN</w:t>
            </w:r>
            <w:r w:rsidRPr="00FC1340">
              <w:rPr>
                <w:rFonts w:eastAsia="Times New Roman" w:cs="Calibri"/>
                <w:b/>
                <w:bCs/>
                <w:color w:val="FFFFFF"/>
                <w:sz w:val="18"/>
                <w:szCs w:val="18"/>
                <w:lang w:val="en-US"/>
              </w:rPr>
              <w:br/>
              <w:t>ACUMULADA JUNIO 2024</w:t>
            </w:r>
          </w:p>
        </w:tc>
        <w:tc>
          <w:tcPr>
            <w:tcW w:w="1389" w:type="dxa"/>
            <w:tcBorders>
              <w:top w:val="single" w:sz="8" w:space="0" w:color="auto"/>
              <w:left w:val="nil"/>
              <w:bottom w:val="nil"/>
              <w:right w:val="single" w:sz="8" w:space="0" w:color="auto"/>
            </w:tcBorders>
            <w:shd w:val="clear" w:color="000000" w:fill="203764"/>
            <w:vAlign w:val="center"/>
            <w:hideMark/>
          </w:tcPr>
          <w:p w14:paraId="4770AF89" w14:textId="77777777" w:rsidR="00E53BE5" w:rsidRPr="00FC1340" w:rsidRDefault="00E53BE5" w:rsidP="00FC1340">
            <w:pPr>
              <w:spacing w:after="0" w:line="240" w:lineRule="auto"/>
              <w:jc w:val="center"/>
              <w:rPr>
                <w:rFonts w:eastAsia="Times New Roman" w:cs="Calibri"/>
                <w:b/>
                <w:bCs/>
                <w:color w:val="FFFFFF"/>
                <w:sz w:val="18"/>
                <w:szCs w:val="18"/>
                <w:lang w:val="en-US"/>
              </w:rPr>
            </w:pPr>
            <w:r w:rsidRPr="00FC1340">
              <w:rPr>
                <w:rFonts w:eastAsia="Times New Roman" w:cs="Calibri"/>
                <w:b/>
                <w:bCs/>
                <w:color w:val="FFFFFF"/>
                <w:sz w:val="18"/>
                <w:szCs w:val="18"/>
                <w:lang w:val="en-US"/>
              </w:rPr>
              <w:t xml:space="preserve">VALOR EN </w:t>
            </w:r>
            <w:r w:rsidRPr="00FC1340">
              <w:rPr>
                <w:rFonts w:eastAsia="Times New Roman" w:cs="Calibri"/>
                <w:b/>
                <w:bCs/>
                <w:color w:val="FFFFFF"/>
                <w:sz w:val="18"/>
                <w:szCs w:val="18"/>
                <w:lang w:val="en-US"/>
              </w:rPr>
              <w:br/>
              <w:t>LIBROS JUNIO 2024</w:t>
            </w:r>
          </w:p>
        </w:tc>
      </w:tr>
      <w:tr w:rsidR="00E53BE5" w:rsidRPr="00FC1340" w14:paraId="6767D95A" w14:textId="77777777" w:rsidTr="00A64E1A">
        <w:trPr>
          <w:trHeight w:val="300"/>
        </w:trPr>
        <w:tc>
          <w:tcPr>
            <w:tcW w:w="901" w:type="dxa"/>
            <w:tcBorders>
              <w:top w:val="single" w:sz="8" w:space="0" w:color="auto"/>
              <w:left w:val="single" w:sz="8" w:space="0" w:color="auto"/>
              <w:bottom w:val="single" w:sz="6" w:space="0" w:color="auto"/>
              <w:right w:val="single" w:sz="4" w:space="0" w:color="auto"/>
            </w:tcBorders>
            <w:shd w:val="clear" w:color="000000" w:fill="FFFFFF"/>
            <w:vAlign w:val="bottom"/>
            <w:hideMark/>
          </w:tcPr>
          <w:p w14:paraId="3F46E8A4" w14:textId="73D95E62" w:rsidR="00E53BE5" w:rsidRPr="00FC1340" w:rsidRDefault="00E53BE5" w:rsidP="00E53BE5">
            <w:pPr>
              <w:spacing w:after="0" w:line="240" w:lineRule="auto"/>
              <w:jc w:val="center"/>
              <w:rPr>
                <w:rFonts w:eastAsia="Times New Roman" w:cs="Calibri"/>
                <w:b/>
                <w:bCs/>
                <w:color w:val="000000"/>
                <w:sz w:val="20"/>
                <w:szCs w:val="20"/>
                <w:lang w:val="en-US"/>
              </w:rPr>
            </w:pPr>
            <w:r w:rsidRPr="00F53031">
              <w:rPr>
                <w:rFonts w:eastAsia="Times New Roman" w:cs="Calibri"/>
                <w:color w:val="000000"/>
                <w:sz w:val="20"/>
                <w:szCs w:val="20"/>
                <w:lang w:val="en-US"/>
              </w:rPr>
              <w:t>756</w:t>
            </w:r>
            <w:r w:rsidRPr="00A64E1A">
              <w:rPr>
                <w:rFonts w:eastAsia="Times New Roman" w:cs="Calibri"/>
                <w:color w:val="000000"/>
                <w:sz w:val="20"/>
                <w:szCs w:val="20"/>
                <w:lang w:val="en-US"/>
              </w:rPr>
              <w:t xml:space="preserve"> </w:t>
            </w:r>
            <w:r w:rsidRPr="00A64E1A">
              <w:rPr>
                <w:rFonts w:eastAsia="Times New Roman" w:cs="Calibri"/>
                <w:b/>
                <w:bCs/>
                <w:color w:val="FF0000"/>
                <w:sz w:val="20"/>
                <w:szCs w:val="20"/>
                <w:lang w:val="en-US"/>
              </w:rPr>
              <w:t>**</w:t>
            </w:r>
          </w:p>
        </w:tc>
        <w:tc>
          <w:tcPr>
            <w:tcW w:w="3909" w:type="dxa"/>
            <w:tcBorders>
              <w:top w:val="single" w:sz="8" w:space="0" w:color="auto"/>
              <w:left w:val="nil"/>
              <w:bottom w:val="single" w:sz="6" w:space="0" w:color="auto"/>
              <w:right w:val="single" w:sz="4" w:space="0" w:color="auto"/>
            </w:tcBorders>
            <w:shd w:val="clear" w:color="000000" w:fill="FFFFFF"/>
            <w:vAlign w:val="bottom"/>
            <w:hideMark/>
          </w:tcPr>
          <w:p w14:paraId="1E57C468" w14:textId="1D0E0757" w:rsidR="00E53BE5" w:rsidRPr="00FC1340" w:rsidRDefault="00E53BE5" w:rsidP="00E53BE5">
            <w:pPr>
              <w:spacing w:after="0" w:line="240" w:lineRule="auto"/>
              <w:jc w:val="left"/>
              <w:rPr>
                <w:rFonts w:eastAsia="Times New Roman" w:cs="Calibri"/>
                <w:sz w:val="20"/>
                <w:szCs w:val="20"/>
              </w:rPr>
            </w:pPr>
            <w:r w:rsidRPr="00F53031">
              <w:rPr>
                <w:rFonts w:eastAsia="Times New Roman" w:cs="Calibri"/>
                <w:sz w:val="20"/>
                <w:szCs w:val="20"/>
              </w:rPr>
              <w:t>Carreteras y caminos (Terrenos)</w:t>
            </w:r>
          </w:p>
        </w:tc>
        <w:tc>
          <w:tcPr>
            <w:tcW w:w="1374" w:type="dxa"/>
            <w:tcBorders>
              <w:top w:val="single" w:sz="8" w:space="0" w:color="auto"/>
              <w:left w:val="nil"/>
              <w:bottom w:val="single" w:sz="6" w:space="0" w:color="auto"/>
              <w:right w:val="single" w:sz="4" w:space="0" w:color="auto"/>
            </w:tcBorders>
            <w:shd w:val="clear" w:color="000000" w:fill="FFFFFF"/>
            <w:noWrap/>
            <w:vAlign w:val="bottom"/>
          </w:tcPr>
          <w:p w14:paraId="281681AE" w14:textId="49C831F0" w:rsidR="00E53BE5" w:rsidRPr="00FC1340" w:rsidRDefault="00E53BE5" w:rsidP="00E53BE5">
            <w:pPr>
              <w:spacing w:after="0" w:line="240" w:lineRule="auto"/>
              <w:jc w:val="right"/>
              <w:rPr>
                <w:rFonts w:eastAsia="Times New Roman" w:cs="Calibri"/>
                <w:sz w:val="20"/>
                <w:szCs w:val="20"/>
                <w:lang w:val="en-US"/>
              </w:rPr>
            </w:pPr>
            <w:r w:rsidRPr="00A64E1A">
              <w:rPr>
                <w:rFonts w:eastAsia="Times New Roman" w:cs="Calibri"/>
                <w:sz w:val="20"/>
                <w:szCs w:val="20"/>
                <w:lang w:val="en-US"/>
              </w:rPr>
              <w:t>22 435 224,77</w:t>
            </w:r>
          </w:p>
        </w:tc>
        <w:tc>
          <w:tcPr>
            <w:tcW w:w="1348" w:type="dxa"/>
            <w:tcBorders>
              <w:top w:val="single" w:sz="8" w:space="0" w:color="auto"/>
              <w:left w:val="nil"/>
              <w:bottom w:val="single" w:sz="6" w:space="0" w:color="auto"/>
              <w:right w:val="single" w:sz="4" w:space="0" w:color="auto"/>
            </w:tcBorders>
            <w:shd w:val="clear" w:color="000000" w:fill="FFFFFF"/>
            <w:noWrap/>
            <w:vAlign w:val="bottom"/>
            <w:hideMark/>
          </w:tcPr>
          <w:p w14:paraId="126F073F" w14:textId="0CEEB956" w:rsidR="00E53BE5" w:rsidRPr="00FC1340" w:rsidRDefault="00E53BE5" w:rsidP="00E53BE5">
            <w:pPr>
              <w:spacing w:after="0" w:line="240" w:lineRule="auto"/>
              <w:jc w:val="right"/>
              <w:rPr>
                <w:rFonts w:eastAsia="Times New Roman" w:cs="Calibri"/>
                <w:b/>
                <w:bCs/>
                <w:sz w:val="20"/>
                <w:szCs w:val="20"/>
                <w:lang w:val="en-US"/>
              </w:rPr>
            </w:pPr>
          </w:p>
        </w:tc>
        <w:tc>
          <w:tcPr>
            <w:tcW w:w="1389" w:type="dxa"/>
            <w:tcBorders>
              <w:top w:val="single" w:sz="8" w:space="0" w:color="auto"/>
              <w:left w:val="nil"/>
              <w:bottom w:val="single" w:sz="6" w:space="0" w:color="auto"/>
              <w:right w:val="single" w:sz="8" w:space="0" w:color="auto"/>
            </w:tcBorders>
            <w:shd w:val="clear" w:color="000000" w:fill="FFFFFF"/>
            <w:noWrap/>
            <w:vAlign w:val="bottom"/>
            <w:hideMark/>
          </w:tcPr>
          <w:p w14:paraId="4875B9DB" w14:textId="2988D62F" w:rsidR="00E53BE5" w:rsidRPr="00FC1340" w:rsidRDefault="00E53BE5" w:rsidP="00E53BE5">
            <w:pPr>
              <w:spacing w:after="0" w:line="240" w:lineRule="auto"/>
              <w:jc w:val="right"/>
              <w:rPr>
                <w:rFonts w:eastAsia="Times New Roman" w:cs="Calibri"/>
                <w:b/>
                <w:bCs/>
                <w:sz w:val="20"/>
                <w:szCs w:val="20"/>
                <w:lang w:val="en-US"/>
              </w:rPr>
            </w:pPr>
            <w:r w:rsidRPr="00A64E1A">
              <w:rPr>
                <w:rFonts w:eastAsia="Times New Roman" w:cs="Calibri"/>
                <w:sz w:val="20"/>
                <w:szCs w:val="20"/>
                <w:lang w:val="en-US"/>
              </w:rPr>
              <w:t>22 435 224,77</w:t>
            </w:r>
          </w:p>
        </w:tc>
      </w:tr>
      <w:tr w:rsidR="00E53BE5" w:rsidRPr="00E716BD" w14:paraId="168AD20D" w14:textId="77777777" w:rsidTr="00A64E1A">
        <w:trPr>
          <w:trHeight w:val="300"/>
        </w:trPr>
        <w:tc>
          <w:tcPr>
            <w:tcW w:w="901" w:type="dxa"/>
            <w:tcBorders>
              <w:top w:val="single" w:sz="6" w:space="0" w:color="auto"/>
              <w:left w:val="single" w:sz="6" w:space="0" w:color="auto"/>
              <w:bottom w:val="single" w:sz="6" w:space="0" w:color="auto"/>
              <w:right w:val="single" w:sz="6" w:space="0" w:color="auto"/>
            </w:tcBorders>
            <w:shd w:val="clear" w:color="000000" w:fill="FFFFFF"/>
            <w:vAlign w:val="bottom"/>
          </w:tcPr>
          <w:p w14:paraId="712BC973" w14:textId="5520F479" w:rsidR="00E53BE5" w:rsidRPr="00A64E1A" w:rsidRDefault="00E53BE5" w:rsidP="00E53BE5">
            <w:pPr>
              <w:spacing w:after="0" w:line="240" w:lineRule="auto"/>
              <w:jc w:val="center"/>
              <w:rPr>
                <w:rFonts w:eastAsia="Times New Roman" w:cs="Calibri"/>
                <w:color w:val="000000"/>
                <w:sz w:val="20"/>
                <w:szCs w:val="20"/>
                <w:lang w:val="en-US"/>
              </w:rPr>
            </w:pPr>
            <w:r w:rsidRPr="00F53031">
              <w:rPr>
                <w:rFonts w:eastAsia="Times New Roman" w:cs="Calibri"/>
                <w:color w:val="000000"/>
                <w:sz w:val="20"/>
                <w:szCs w:val="20"/>
                <w:lang w:val="en-US"/>
              </w:rPr>
              <w:t>1943,65</w:t>
            </w:r>
            <w:r w:rsidRPr="00A64E1A">
              <w:rPr>
                <w:rFonts w:eastAsia="Times New Roman" w:cs="Calibri"/>
                <w:color w:val="000000"/>
                <w:sz w:val="20"/>
                <w:szCs w:val="20"/>
                <w:lang w:val="en-US"/>
              </w:rPr>
              <w:t xml:space="preserve"> Km</w:t>
            </w:r>
          </w:p>
        </w:tc>
        <w:tc>
          <w:tcPr>
            <w:tcW w:w="3909" w:type="dxa"/>
            <w:tcBorders>
              <w:top w:val="single" w:sz="6" w:space="0" w:color="auto"/>
              <w:left w:val="single" w:sz="6" w:space="0" w:color="auto"/>
              <w:bottom w:val="single" w:sz="6" w:space="0" w:color="auto"/>
              <w:right w:val="single" w:sz="6" w:space="0" w:color="auto"/>
            </w:tcBorders>
            <w:shd w:val="clear" w:color="000000" w:fill="FFFFFF"/>
            <w:vAlign w:val="bottom"/>
          </w:tcPr>
          <w:p w14:paraId="37DC336B" w14:textId="5096B942" w:rsidR="00E53BE5" w:rsidRPr="00A64E1A" w:rsidRDefault="00E53BE5" w:rsidP="00E53BE5">
            <w:pPr>
              <w:spacing w:after="0" w:line="240" w:lineRule="auto"/>
              <w:jc w:val="left"/>
              <w:rPr>
                <w:rFonts w:eastAsia="Times New Roman" w:cs="Calibri"/>
                <w:sz w:val="20"/>
                <w:szCs w:val="20"/>
              </w:rPr>
            </w:pPr>
            <w:r w:rsidRPr="00F53031">
              <w:rPr>
                <w:rFonts w:eastAsia="Times New Roman" w:cs="Calibri"/>
                <w:sz w:val="20"/>
                <w:szCs w:val="20"/>
              </w:rPr>
              <w:t>Carreteras y caminos Porción terreno (Longitud de superficie</w:t>
            </w:r>
            <w:r w:rsidRPr="00A64E1A">
              <w:rPr>
                <w:rFonts w:eastAsia="Times New Roman" w:cs="Calibri"/>
                <w:sz w:val="20"/>
                <w:szCs w:val="20"/>
              </w:rPr>
              <w:t>)</w:t>
            </w:r>
          </w:p>
        </w:tc>
        <w:tc>
          <w:tcPr>
            <w:tcW w:w="1374" w:type="dxa"/>
            <w:tcBorders>
              <w:top w:val="single" w:sz="6" w:space="0" w:color="auto"/>
              <w:left w:val="single" w:sz="6" w:space="0" w:color="auto"/>
              <w:bottom w:val="single" w:sz="6" w:space="0" w:color="auto"/>
              <w:right w:val="single" w:sz="6" w:space="0" w:color="auto"/>
            </w:tcBorders>
            <w:shd w:val="clear" w:color="000000" w:fill="FFFFFF"/>
            <w:noWrap/>
            <w:vAlign w:val="bottom"/>
          </w:tcPr>
          <w:p w14:paraId="15AD666B" w14:textId="01B2E0AC" w:rsidR="00E53BE5" w:rsidRPr="00A64E1A" w:rsidRDefault="00E53BE5" w:rsidP="00E53BE5">
            <w:pPr>
              <w:spacing w:after="0" w:line="240" w:lineRule="auto"/>
              <w:jc w:val="right"/>
              <w:rPr>
                <w:rFonts w:eastAsia="Times New Roman" w:cs="Calibri"/>
                <w:color w:val="000000"/>
                <w:sz w:val="20"/>
                <w:szCs w:val="20"/>
                <w:lang w:val="en-US"/>
              </w:rPr>
            </w:pPr>
            <w:r w:rsidRPr="00A64E1A">
              <w:rPr>
                <w:rFonts w:eastAsia="Times New Roman" w:cs="Calibri"/>
                <w:color w:val="000000"/>
                <w:sz w:val="20"/>
                <w:szCs w:val="20"/>
                <w:lang w:val="en-US"/>
              </w:rPr>
              <w:t>120 894 567,95</w:t>
            </w:r>
          </w:p>
        </w:tc>
        <w:tc>
          <w:tcPr>
            <w:tcW w:w="1348" w:type="dxa"/>
            <w:tcBorders>
              <w:top w:val="single" w:sz="6" w:space="0" w:color="auto"/>
              <w:left w:val="single" w:sz="6" w:space="0" w:color="auto"/>
              <w:bottom w:val="single" w:sz="6" w:space="0" w:color="auto"/>
              <w:right w:val="single" w:sz="6" w:space="0" w:color="auto"/>
            </w:tcBorders>
            <w:shd w:val="clear" w:color="000000" w:fill="FFFFFF"/>
            <w:noWrap/>
            <w:vAlign w:val="bottom"/>
          </w:tcPr>
          <w:p w14:paraId="5AB7B795" w14:textId="77777777" w:rsidR="00E53BE5" w:rsidRPr="00A64E1A" w:rsidRDefault="00E53BE5" w:rsidP="00E53BE5">
            <w:pPr>
              <w:spacing w:after="0" w:line="240" w:lineRule="auto"/>
              <w:jc w:val="center"/>
              <w:rPr>
                <w:rFonts w:eastAsia="Times New Roman" w:cs="Calibri"/>
                <w:color w:val="000000"/>
                <w:sz w:val="20"/>
                <w:szCs w:val="20"/>
                <w:lang w:val="en-US"/>
              </w:rPr>
            </w:pPr>
          </w:p>
        </w:tc>
        <w:tc>
          <w:tcPr>
            <w:tcW w:w="1389" w:type="dxa"/>
            <w:tcBorders>
              <w:top w:val="single" w:sz="6" w:space="0" w:color="auto"/>
              <w:left w:val="single" w:sz="6" w:space="0" w:color="auto"/>
              <w:bottom w:val="single" w:sz="6" w:space="0" w:color="auto"/>
              <w:right w:val="single" w:sz="6" w:space="0" w:color="auto"/>
            </w:tcBorders>
            <w:shd w:val="clear" w:color="000000" w:fill="FFFFFF"/>
            <w:noWrap/>
            <w:vAlign w:val="bottom"/>
          </w:tcPr>
          <w:p w14:paraId="550AB33B" w14:textId="018D9EB9" w:rsidR="00E53BE5" w:rsidRPr="00A64E1A" w:rsidRDefault="00E53BE5" w:rsidP="00E53BE5">
            <w:pPr>
              <w:spacing w:after="0" w:line="240" w:lineRule="auto"/>
              <w:jc w:val="right"/>
              <w:rPr>
                <w:rFonts w:eastAsia="Times New Roman" w:cs="Calibri"/>
                <w:color w:val="000000"/>
                <w:sz w:val="20"/>
                <w:szCs w:val="20"/>
                <w:lang w:val="en-US"/>
              </w:rPr>
            </w:pPr>
            <w:r w:rsidRPr="00A64E1A">
              <w:rPr>
                <w:rFonts w:eastAsia="Times New Roman" w:cs="Calibri"/>
                <w:color w:val="000000"/>
                <w:sz w:val="20"/>
                <w:szCs w:val="20"/>
                <w:lang w:val="en-US"/>
              </w:rPr>
              <w:t>120 894 567,95</w:t>
            </w:r>
          </w:p>
        </w:tc>
      </w:tr>
      <w:tr w:rsidR="00E53BE5" w:rsidRPr="00E716BD" w14:paraId="04304EFE" w14:textId="77777777" w:rsidTr="00A64E1A">
        <w:trPr>
          <w:trHeight w:val="107"/>
        </w:trPr>
        <w:tc>
          <w:tcPr>
            <w:tcW w:w="901" w:type="dxa"/>
            <w:tcBorders>
              <w:top w:val="single" w:sz="6" w:space="0" w:color="auto"/>
              <w:left w:val="single" w:sz="6" w:space="0" w:color="auto"/>
              <w:bottom w:val="single" w:sz="6" w:space="0" w:color="auto"/>
              <w:right w:val="single" w:sz="6" w:space="0" w:color="auto"/>
            </w:tcBorders>
            <w:shd w:val="clear" w:color="000000" w:fill="FFFFFF"/>
            <w:vAlign w:val="bottom"/>
          </w:tcPr>
          <w:p w14:paraId="38450270" w14:textId="7BE06A61" w:rsidR="00E53BE5" w:rsidRPr="00A64E1A" w:rsidRDefault="00E53BE5" w:rsidP="00E53BE5">
            <w:pPr>
              <w:spacing w:after="0" w:line="240" w:lineRule="auto"/>
              <w:jc w:val="center"/>
              <w:rPr>
                <w:rFonts w:eastAsia="Times New Roman" w:cs="Calibri"/>
                <w:color w:val="000000"/>
                <w:sz w:val="20"/>
                <w:szCs w:val="20"/>
                <w:lang w:val="en-US"/>
              </w:rPr>
            </w:pPr>
            <w:r w:rsidRPr="00A64E1A">
              <w:rPr>
                <w:rFonts w:eastAsia="Times New Roman" w:cs="Calibri"/>
                <w:color w:val="000000"/>
                <w:sz w:val="20"/>
                <w:szCs w:val="20"/>
                <w:lang w:val="en-US"/>
              </w:rPr>
              <w:t>99</w:t>
            </w:r>
          </w:p>
        </w:tc>
        <w:tc>
          <w:tcPr>
            <w:tcW w:w="3909" w:type="dxa"/>
            <w:tcBorders>
              <w:top w:val="single" w:sz="6" w:space="0" w:color="auto"/>
              <w:left w:val="single" w:sz="6" w:space="0" w:color="auto"/>
              <w:bottom w:val="single" w:sz="6" w:space="0" w:color="auto"/>
              <w:right w:val="single" w:sz="6" w:space="0" w:color="auto"/>
            </w:tcBorders>
            <w:shd w:val="clear" w:color="000000" w:fill="FFFFFF"/>
            <w:vAlign w:val="bottom"/>
          </w:tcPr>
          <w:p w14:paraId="4A7B56D5" w14:textId="5D10D0C7" w:rsidR="00E53BE5" w:rsidRPr="00A64E1A" w:rsidRDefault="00E53BE5" w:rsidP="00E53BE5">
            <w:pPr>
              <w:spacing w:after="0" w:line="240" w:lineRule="auto"/>
              <w:jc w:val="left"/>
              <w:rPr>
                <w:rFonts w:eastAsia="Times New Roman" w:cs="Calibri"/>
                <w:sz w:val="20"/>
                <w:szCs w:val="20"/>
              </w:rPr>
            </w:pPr>
            <w:r w:rsidRPr="00F53031">
              <w:rPr>
                <w:rFonts w:eastAsia="Times New Roman" w:cs="Calibri"/>
                <w:sz w:val="20"/>
                <w:szCs w:val="20"/>
              </w:rPr>
              <w:t>Puentes</w:t>
            </w:r>
          </w:p>
        </w:tc>
        <w:tc>
          <w:tcPr>
            <w:tcW w:w="1374" w:type="dxa"/>
            <w:tcBorders>
              <w:top w:val="single" w:sz="6" w:space="0" w:color="auto"/>
              <w:left w:val="single" w:sz="6" w:space="0" w:color="auto"/>
              <w:bottom w:val="single" w:sz="6" w:space="0" w:color="auto"/>
              <w:right w:val="single" w:sz="6" w:space="0" w:color="auto"/>
            </w:tcBorders>
            <w:shd w:val="clear" w:color="000000" w:fill="FFFFFF"/>
            <w:noWrap/>
            <w:vAlign w:val="bottom"/>
          </w:tcPr>
          <w:p w14:paraId="78BF028A" w14:textId="30C5DD22" w:rsidR="00E53BE5" w:rsidRPr="00A64E1A" w:rsidRDefault="00E53BE5" w:rsidP="00E53BE5">
            <w:pPr>
              <w:spacing w:after="0" w:line="240" w:lineRule="auto"/>
              <w:jc w:val="right"/>
              <w:rPr>
                <w:rFonts w:eastAsia="Times New Roman" w:cs="Calibri"/>
                <w:color w:val="000000"/>
                <w:sz w:val="20"/>
                <w:szCs w:val="20"/>
                <w:lang w:val="en-US"/>
              </w:rPr>
            </w:pPr>
            <w:r w:rsidRPr="00A64E1A">
              <w:rPr>
                <w:rFonts w:eastAsia="Times New Roman" w:cs="Calibri"/>
                <w:color w:val="000000"/>
                <w:sz w:val="20"/>
                <w:szCs w:val="20"/>
                <w:lang w:val="en-US"/>
              </w:rPr>
              <w:t>13 385 469,37</w:t>
            </w:r>
          </w:p>
        </w:tc>
        <w:tc>
          <w:tcPr>
            <w:tcW w:w="1348" w:type="dxa"/>
            <w:tcBorders>
              <w:top w:val="single" w:sz="6" w:space="0" w:color="auto"/>
              <w:left w:val="single" w:sz="6" w:space="0" w:color="auto"/>
              <w:bottom w:val="single" w:sz="6" w:space="0" w:color="auto"/>
              <w:right w:val="single" w:sz="6" w:space="0" w:color="auto"/>
            </w:tcBorders>
            <w:shd w:val="clear" w:color="000000" w:fill="FFFFFF"/>
            <w:noWrap/>
            <w:vAlign w:val="bottom"/>
          </w:tcPr>
          <w:p w14:paraId="477CB2E7" w14:textId="77777777" w:rsidR="00E53BE5" w:rsidRPr="00A64E1A" w:rsidRDefault="00E53BE5" w:rsidP="00E53BE5">
            <w:pPr>
              <w:spacing w:after="0" w:line="240" w:lineRule="auto"/>
              <w:jc w:val="center"/>
              <w:rPr>
                <w:rFonts w:eastAsia="Times New Roman" w:cs="Calibri"/>
                <w:color w:val="000000"/>
                <w:sz w:val="20"/>
                <w:szCs w:val="20"/>
                <w:lang w:val="en-US"/>
              </w:rPr>
            </w:pPr>
          </w:p>
        </w:tc>
        <w:tc>
          <w:tcPr>
            <w:tcW w:w="1389" w:type="dxa"/>
            <w:tcBorders>
              <w:top w:val="single" w:sz="6" w:space="0" w:color="auto"/>
              <w:left w:val="single" w:sz="6" w:space="0" w:color="auto"/>
              <w:bottom w:val="single" w:sz="6" w:space="0" w:color="auto"/>
              <w:right w:val="single" w:sz="6" w:space="0" w:color="auto"/>
            </w:tcBorders>
            <w:shd w:val="clear" w:color="000000" w:fill="FFFFFF"/>
            <w:noWrap/>
            <w:vAlign w:val="bottom"/>
          </w:tcPr>
          <w:p w14:paraId="15E819BE" w14:textId="310EC3EC" w:rsidR="00E53BE5" w:rsidRPr="00A64E1A" w:rsidRDefault="00E53BE5" w:rsidP="00E53BE5">
            <w:pPr>
              <w:spacing w:after="0" w:line="240" w:lineRule="auto"/>
              <w:jc w:val="right"/>
              <w:rPr>
                <w:rFonts w:eastAsia="Times New Roman" w:cs="Calibri"/>
                <w:color w:val="000000"/>
                <w:sz w:val="20"/>
                <w:szCs w:val="20"/>
                <w:lang w:val="en-US"/>
              </w:rPr>
            </w:pPr>
            <w:r w:rsidRPr="00A64E1A">
              <w:rPr>
                <w:rFonts w:eastAsia="Times New Roman" w:cs="Calibri"/>
                <w:color w:val="000000"/>
                <w:sz w:val="20"/>
                <w:szCs w:val="20"/>
                <w:lang w:val="en-US"/>
              </w:rPr>
              <w:t>13 385 469,37</w:t>
            </w:r>
          </w:p>
        </w:tc>
      </w:tr>
      <w:tr w:rsidR="00E53BE5" w:rsidRPr="00E716BD" w14:paraId="37D474E1" w14:textId="77777777" w:rsidTr="00A64E1A">
        <w:trPr>
          <w:trHeight w:val="300"/>
        </w:trPr>
        <w:tc>
          <w:tcPr>
            <w:tcW w:w="901" w:type="dxa"/>
            <w:tcBorders>
              <w:top w:val="single" w:sz="6" w:space="0" w:color="auto"/>
              <w:left w:val="single" w:sz="6" w:space="0" w:color="auto"/>
              <w:bottom w:val="single" w:sz="6" w:space="0" w:color="auto"/>
              <w:right w:val="single" w:sz="6" w:space="0" w:color="auto"/>
            </w:tcBorders>
            <w:shd w:val="clear" w:color="000000" w:fill="FFFFFF"/>
            <w:vAlign w:val="bottom"/>
          </w:tcPr>
          <w:p w14:paraId="0637A6F6" w14:textId="142C890B" w:rsidR="00E53BE5" w:rsidRPr="00A64E1A" w:rsidRDefault="00E53BE5" w:rsidP="00E53BE5">
            <w:pPr>
              <w:spacing w:after="0" w:line="240" w:lineRule="auto"/>
              <w:jc w:val="center"/>
              <w:rPr>
                <w:rFonts w:eastAsia="Times New Roman" w:cs="Calibri"/>
                <w:color w:val="000000"/>
                <w:sz w:val="20"/>
                <w:szCs w:val="20"/>
                <w:lang w:val="en-US"/>
              </w:rPr>
            </w:pPr>
            <w:r w:rsidRPr="00F53031">
              <w:rPr>
                <w:rFonts w:eastAsia="Times New Roman" w:cs="Calibri"/>
                <w:color w:val="000000"/>
                <w:sz w:val="20"/>
                <w:szCs w:val="20"/>
                <w:lang w:val="en-US"/>
              </w:rPr>
              <w:t>18112,72</w:t>
            </w:r>
          </w:p>
        </w:tc>
        <w:tc>
          <w:tcPr>
            <w:tcW w:w="3909" w:type="dxa"/>
            <w:tcBorders>
              <w:top w:val="single" w:sz="6" w:space="0" w:color="auto"/>
              <w:left w:val="single" w:sz="6" w:space="0" w:color="auto"/>
              <w:bottom w:val="single" w:sz="6" w:space="0" w:color="auto"/>
              <w:right w:val="single" w:sz="6" w:space="0" w:color="auto"/>
            </w:tcBorders>
            <w:shd w:val="clear" w:color="000000" w:fill="FFFFFF"/>
            <w:vAlign w:val="bottom"/>
          </w:tcPr>
          <w:p w14:paraId="200CD21B" w14:textId="659090C9" w:rsidR="00E53BE5" w:rsidRPr="00A64E1A" w:rsidRDefault="00E53BE5" w:rsidP="00E53BE5">
            <w:pPr>
              <w:spacing w:after="0" w:line="240" w:lineRule="auto"/>
              <w:jc w:val="left"/>
              <w:rPr>
                <w:rFonts w:eastAsia="Times New Roman" w:cs="Calibri"/>
                <w:sz w:val="20"/>
                <w:szCs w:val="20"/>
              </w:rPr>
            </w:pPr>
            <w:r w:rsidRPr="00F53031">
              <w:rPr>
                <w:rFonts w:eastAsia="Times New Roman" w:cs="Calibri"/>
                <w:sz w:val="20"/>
                <w:szCs w:val="20"/>
              </w:rPr>
              <w:t>Centrales redes de comunicación energía (m de longitud)</w:t>
            </w:r>
          </w:p>
        </w:tc>
        <w:tc>
          <w:tcPr>
            <w:tcW w:w="1374" w:type="dxa"/>
            <w:tcBorders>
              <w:top w:val="single" w:sz="6" w:space="0" w:color="auto"/>
              <w:left w:val="single" w:sz="6" w:space="0" w:color="auto"/>
              <w:bottom w:val="single" w:sz="6" w:space="0" w:color="auto"/>
              <w:right w:val="single" w:sz="6" w:space="0" w:color="auto"/>
            </w:tcBorders>
            <w:shd w:val="clear" w:color="000000" w:fill="FFFFFF"/>
            <w:noWrap/>
            <w:vAlign w:val="bottom"/>
          </w:tcPr>
          <w:p w14:paraId="26E52C21" w14:textId="59BE5E5D" w:rsidR="00E53BE5" w:rsidRPr="00A64E1A" w:rsidRDefault="00E53BE5" w:rsidP="00E53BE5">
            <w:pPr>
              <w:spacing w:after="0" w:line="240" w:lineRule="auto"/>
              <w:jc w:val="right"/>
              <w:rPr>
                <w:rFonts w:eastAsia="Times New Roman" w:cs="Calibri"/>
                <w:color w:val="000000"/>
                <w:sz w:val="20"/>
                <w:szCs w:val="20"/>
                <w:lang w:val="en-US"/>
              </w:rPr>
            </w:pPr>
            <w:r w:rsidRPr="00A64E1A">
              <w:rPr>
                <w:rFonts w:eastAsia="Times New Roman" w:cs="Calibri"/>
                <w:color w:val="000000"/>
                <w:sz w:val="20"/>
                <w:szCs w:val="20"/>
                <w:lang w:val="en-US"/>
              </w:rPr>
              <w:t>4 013 723,66</w:t>
            </w:r>
          </w:p>
        </w:tc>
        <w:tc>
          <w:tcPr>
            <w:tcW w:w="1348" w:type="dxa"/>
            <w:tcBorders>
              <w:top w:val="single" w:sz="6" w:space="0" w:color="auto"/>
              <w:left w:val="single" w:sz="6" w:space="0" w:color="auto"/>
              <w:bottom w:val="single" w:sz="6" w:space="0" w:color="auto"/>
              <w:right w:val="single" w:sz="6" w:space="0" w:color="auto"/>
            </w:tcBorders>
            <w:shd w:val="clear" w:color="000000" w:fill="FFFFFF"/>
            <w:noWrap/>
            <w:vAlign w:val="bottom"/>
          </w:tcPr>
          <w:p w14:paraId="1FE1135A" w14:textId="77777777" w:rsidR="00E53BE5" w:rsidRPr="00A64E1A" w:rsidRDefault="00E53BE5" w:rsidP="00E53BE5">
            <w:pPr>
              <w:spacing w:after="0" w:line="240" w:lineRule="auto"/>
              <w:jc w:val="center"/>
              <w:rPr>
                <w:rFonts w:eastAsia="Times New Roman" w:cs="Calibri"/>
                <w:color w:val="000000"/>
                <w:sz w:val="20"/>
                <w:szCs w:val="20"/>
                <w:lang w:val="en-US"/>
              </w:rPr>
            </w:pPr>
          </w:p>
        </w:tc>
        <w:tc>
          <w:tcPr>
            <w:tcW w:w="1389" w:type="dxa"/>
            <w:tcBorders>
              <w:top w:val="single" w:sz="6" w:space="0" w:color="auto"/>
              <w:left w:val="single" w:sz="6" w:space="0" w:color="auto"/>
              <w:bottom w:val="single" w:sz="6" w:space="0" w:color="auto"/>
              <w:right w:val="single" w:sz="6" w:space="0" w:color="auto"/>
            </w:tcBorders>
            <w:shd w:val="clear" w:color="000000" w:fill="FFFFFF"/>
            <w:noWrap/>
            <w:vAlign w:val="bottom"/>
          </w:tcPr>
          <w:p w14:paraId="18B02051" w14:textId="1E7F0EBA" w:rsidR="00E53BE5" w:rsidRPr="00A64E1A" w:rsidRDefault="00E53BE5" w:rsidP="00E53BE5">
            <w:pPr>
              <w:spacing w:after="0" w:line="240" w:lineRule="auto"/>
              <w:jc w:val="right"/>
              <w:rPr>
                <w:rFonts w:eastAsia="Times New Roman" w:cs="Calibri"/>
                <w:color w:val="000000"/>
                <w:sz w:val="20"/>
                <w:szCs w:val="20"/>
                <w:lang w:val="en-US"/>
              </w:rPr>
            </w:pPr>
            <w:r w:rsidRPr="00A64E1A">
              <w:rPr>
                <w:rFonts w:eastAsia="Times New Roman" w:cs="Calibri"/>
                <w:color w:val="000000"/>
                <w:sz w:val="20"/>
                <w:szCs w:val="20"/>
                <w:lang w:val="en-US"/>
              </w:rPr>
              <w:t>4 013 723,66</w:t>
            </w:r>
          </w:p>
        </w:tc>
      </w:tr>
      <w:tr w:rsidR="00E53BE5" w:rsidRPr="00E716BD" w14:paraId="0BEBB167" w14:textId="77777777" w:rsidTr="00A64E1A">
        <w:trPr>
          <w:trHeight w:val="218"/>
        </w:trPr>
        <w:tc>
          <w:tcPr>
            <w:tcW w:w="901" w:type="dxa"/>
            <w:tcBorders>
              <w:top w:val="single" w:sz="6" w:space="0" w:color="auto"/>
              <w:left w:val="single" w:sz="6" w:space="0" w:color="auto"/>
              <w:bottom w:val="single" w:sz="6" w:space="0" w:color="auto"/>
              <w:right w:val="single" w:sz="6" w:space="0" w:color="auto"/>
            </w:tcBorders>
            <w:shd w:val="clear" w:color="000000" w:fill="FFFFFF"/>
            <w:vAlign w:val="bottom"/>
          </w:tcPr>
          <w:p w14:paraId="3F083162" w14:textId="374761EB" w:rsidR="00E53BE5" w:rsidRPr="00A64E1A" w:rsidRDefault="00E53BE5" w:rsidP="00E53BE5">
            <w:pPr>
              <w:spacing w:after="0" w:line="240" w:lineRule="auto"/>
              <w:jc w:val="center"/>
              <w:rPr>
                <w:rFonts w:eastAsia="Times New Roman" w:cs="Calibri"/>
                <w:color w:val="000000"/>
                <w:sz w:val="20"/>
                <w:szCs w:val="20"/>
                <w:lang w:val="en-US"/>
              </w:rPr>
            </w:pPr>
            <w:r w:rsidRPr="00A64E1A">
              <w:rPr>
                <w:rFonts w:eastAsia="Times New Roman" w:cs="Calibri"/>
                <w:color w:val="000000"/>
                <w:sz w:val="20"/>
                <w:szCs w:val="20"/>
                <w:lang w:val="en-US"/>
              </w:rPr>
              <w:t>*</w:t>
            </w:r>
          </w:p>
        </w:tc>
        <w:tc>
          <w:tcPr>
            <w:tcW w:w="3909" w:type="dxa"/>
            <w:tcBorders>
              <w:top w:val="single" w:sz="6" w:space="0" w:color="auto"/>
              <w:left w:val="single" w:sz="6" w:space="0" w:color="auto"/>
              <w:bottom w:val="single" w:sz="6" w:space="0" w:color="auto"/>
              <w:right w:val="single" w:sz="6" w:space="0" w:color="auto"/>
            </w:tcBorders>
            <w:shd w:val="clear" w:color="000000" w:fill="FFFFFF"/>
            <w:vAlign w:val="bottom"/>
          </w:tcPr>
          <w:p w14:paraId="385B61D5" w14:textId="165B7078" w:rsidR="00E53BE5" w:rsidRPr="00A64E1A" w:rsidRDefault="00E53BE5" w:rsidP="00E53BE5">
            <w:pPr>
              <w:spacing w:after="0" w:line="240" w:lineRule="auto"/>
              <w:jc w:val="left"/>
              <w:rPr>
                <w:rFonts w:eastAsia="Times New Roman" w:cs="Calibri"/>
                <w:sz w:val="20"/>
                <w:szCs w:val="20"/>
              </w:rPr>
            </w:pPr>
            <w:r w:rsidRPr="00F53031">
              <w:rPr>
                <w:rFonts w:eastAsia="Times New Roman" w:cs="Calibri"/>
                <w:sz w:val="20"/>
                <w:szCs w:val="20"/>
              </w:rPr>
              <w:t>Otras vías de comunicación terrestre</w:t>
            </w:r>
          </w:p>
        </w:tc>
        <w:tc>
          <w:tcPr>
            <w:tcW w:w="1374" w:type="dxa"/>
            <w:tcBorders>
              <w:top w:val="single" w:sz="6" w:space="0" w:color="auto"/>
              <w:left w:val="single" w:sz="6" w:space="0" w:color="auto"/>
              <w:bottom w:val="single" w:sz="6" w:space="0" w:color="auto"/>
              <w:right w:val="single" w:sz="6" w:space="0" w:color="auto"/>
            </w:tcBorders>
            <w:shd w:val="clear" w:color="000000" w:fill="FFFFFF"/>
            <w:noWrap/>
            <w:vAlign w:val="bottom"/>
          </w:tcPr>
          <w:p w14:paraId="24C4EB11" w14:textId="77370161" w:rsidR="00E53BE5" w:rsidRPr="00A64E1A" w:rsidRDefault="00E53BE5" w:rsidP="00E53BE5">
            <w:pPr>
              <w:spacing w:after="0" w:line="240" w:lineRule="auto"/>
              <w:jc w:val="right"/>
              <w:rPr>
                <w:rFonts w:eastAsia="Times New Roman" w:cs="Calibri"/>
                <w:color w:val="000000"/>
                <w:sz w:val="20"/>
                <w:szCs w:val="20"/>
                <w:lang w:val="en-US"/>
              </w:rPr>
            </w:pPr>
            <w:r w:rsidRPr="00A64E1A">
              <w:rPr>
                <w:rFonts w:eastAsia="Times New Roman" w:cs="Calibri"/>
                <w:color w:val="000000"/>
                <w:sz w:val="20"/>
                <w:szCs w:val="20"/>
                <w:lang w:val="en-US"/>
              </w:rPr>
              <w:t>16 665,42</w:t>
            </w:r>
          </w:p>
        </w:tc>
        <w:tc>
          <w:tcPr>
            <w:tcW w:w="1348" w:type="dxa"/>
            <w:tcBorders>
              <w:top w:val="single" w:sz="6" w:space="0" w:color="auto"/>
              <w:left w:val="single" w:sz="6" w:space="0" w:color="auto"/>
              <w:bottom w:val="single" w:sz="6" w:space="0" w:color="auto"/>
              <w:right w:val="single" w:sz="6" w:space="0" w:color="auto"/>
            </w:tcBorders>
            <w:shd w:val="clear" w:color="000000" w:fill="FFFFFF"/>
            <w:noWrap/>
            <w:vAlign w:val="bottom"/>
          </w:tcPr>
          <w:p w14:paraId="4BF0D2A1" w14:textId="77777777" w:rsidR="00E53BE5" w:rsidRPr="00A64E1A" w:rsidRDefault="00E53BE5" w:rsidP="00E53BE5">
            <w:pPr>
              <w:spacing w:after="0" w:line="240" w:lineRule="auto"/>
              <w:jc w:val="center"/>
              <w:rPr>
                <w:rFonts w:eastAsia="Times New Roman" w:cs="Calibri"/>
                <w:color w:val="000000"/>
                <w:sz w:val="20"/>
                <w:szCs w:val="20"/>
                <w:lang w:val="en-US"/>
              </w:rPr>
            </w:pPr>
          </w:p>
        </w:tc>
        <w:tc>
          <w:tcPr>
            <w:tcW w:w="1389" w:type="dxa"/>
            <w:tcBorders>
              <w:top w:val="single" w:sz="6" w:space="0" w:color="auto"/>
              <w:left w:val="single" w:sz="6" w:space="0" w:color="auto"/>
              <w:bottom w:val="single" w:sz="6" w:space="0" w:color="auto"/>
              <w:right w:val="single" w:sz="6" w:space="0" w:color="auto"/>
            </w:tcBorders>
            <w:shd w:val="clear" w:color="000000" w:fill="FFFFFF"/>
            <w:noWrap/>
            <w:vAlign w:val="bottom"/>
          </w:tcPr>
          <w:p w14:paraId="70CD3809" w14:textId="0B64BA52" w:rsidR="00E53BE5" w:rsidRPr="00A64E1A" w:rsidRDefault="00E53BE5" w:rsidP="00E53BE5">
            <w:pPr>
              <w:spacing w:after="0" w:line="240" w:lineRule="auto"/>
              <w:jc w:val="right"/>
              <w:rPr>
                <w:rFonts w:eastAsia="Times New Roman" w:cs="Calibri"/>
                <w:color w:val="000000"/>
                <w:sz w:val="20"/>
                <w:szCs w:val="20"/>
                <w:lang w:val="en-US"/>
              </w:rPr>
            </w:pPr>
            <w:r w:rsidRPr="00A64E1A">
              <w:rPr>
                <w:rFonts w:eastAsia="Times New Roman" w:cs="Calibri"/>
                <w:color w:val="000000"/>
                <w:sz w:val="20"/>
                <w:szCs w:val="20"/>
                <w:lang w:val="en-US"/>
              </w:rPr>
              <w:t>16 665,42</w:t>
            </w:r>
          </w:p>
        </w:tc>
      </w:tr>
      <w:tr w:rsidR="00E53BE5" w:rsidRPr="00E716BD" w14:paraId="54C5FAE9" w14:textId="77777777" w:rsidTr="00A64E1A">
        <w:trPr>
          <w:trHeight w:val="300"/>
        </w:trPr>
        <w:tc>
          <w:tcPr>
            <w:tcW w:w="901" w:type="dxa"/>
            <w:tcBorders>
              <w:top w:val="single" w:sz="6" w:space="0" w:color="auto"/>
              <w:left w:val="single" w:sz="6" w:space="0" w:color="auto"/>
              <w:bottom w:val="single" w:sz="6" w:space="0" w:color="auto"/>
              <w:right w:val="single" w:sz="6" w:space="0" w:color="auto"/>
            </w:tcBorders>
            <w:shd w:val="clear" w:color="000000" w:fill="FFFFFF"/>
            <w:vAlign w:val="bottom"/>
          </w:tcPr>
          <w:p w14:paraId="4B35038A" w14:textId="16B37F8D" w:rsidR="00E53BE5" w:rsidRPr="00A64E1A" w:rsidRDefault="00E53BE5" w:rsidP="00E53BE5">
            <w:pPr>
              <w:spacing w:after="0" w:line="240" w:lineRule="auto"/>
              <w:jc w:val="center"/>
              <w:rPr>
                <w:rFonts w:eastAsia="Times New Roman" w:cs="Calibri"/>
                <w:color w:val="000000"/>
                <w:sz w:val="20"/>
                <w:szCs w:val="20"/>
                <w:lang w:val="en-US"/>
              </w:rPr>
            </w:pPr>
            <w:r w:rsidRPr="00A64E1A">
              <w:rPr>
                <w:rFonts w:eastAsia="Times New Roman" w:cs="Calibri"/>
                <w:color w:val="000000"/>
                <w:sz w:val="20"/>
                <w:szCs w:val="20"/>
                <w:lang w:val="en-US"/>
              </w:rPr>
              <w:t>*</w:t>
            </w:r>
          </w:p>
        </w:tc>
        <w:tc>
          <w:tcPr>
            <w:tcW w:w="3909" w:type="dxa"/>
            <w:tcBorders>
              <w:top w:val="single" w:sz="6" w:space="0" w:color="auto"/>
              <w:left w:val="single" w:sz="6" w:space="0" w:color="auto"/>
              <w:bottom w:val="single" w:sz="6" w:space="0" w:color="auto"/>
              <w:right w:val="single" w:sz="6" w:space="0" w:color="auto"/>
            </w:tcBorders>
            <w:shd w:val="clear" w:color="000000" w:fill="FFFFFF"/>
            <w:vAlign w:val="bottom"/>
          </w:tcPr>
          <w:p w14:paraId="4BD596A8" w14:textId="38CF3377" w:rsidR="00E53BE5" w:rsidRPr="00A64E1A" w:rsidRDefault="00E53BE5" w:rsidP="00E53BE5">
            <w:pPr>
              <w:spacing w:after="0" w:line="240" w:lineRule="auto"/>
              <w:jc w:val="left"/>
              <w:rPr>
                <w:rFonts w:eastAsia="Times New Roman" w:cs="Calibri"/>
                <w:sz w:val="20"/>
                <w:szCs w:val="20"/>
              </w:rPr>
            </w:pPr>
            <w:r w:rsidRPr="00F53031">
              <w:rPr>
                <w:rFonts w:eastAsia="Times New Roman" w:cs="Calibri"/>
                <w:sz w:val="20"/>
                <w:szCs w:val="20"/>
              </w:rPr>
              <w:t>Otros bienes de infraestructura y beneficio y uso público en servicio</w:t>
            </w:r>
          </w:p>
        </w:tc>
        <w:tc>
          <w:tcPr>
            <w:tcW w:w="1374" w:type="dxa"/>
            <w:tcBorders>
              <w:top w:val="single" w:sz="6" w:space="0" w:color="auto"/>
              <w:left w:val="single" w:sz="6" w:space="0" w:color="auto"/>
              <w:bottom w:val="single" w:sz="6" w:space="0" w:color="auto"/>
              <w:right w:val="single" w:sz="6" w:space="0" w:color="auto"/>
            </w:tcBorders>
            <w:shd w:val="clear" w:color="000000" w:fill="FFFFFF"/>
            <w:noWrap/>
            <w:vAlign w:val="bottom"/>
          </w:tcPr>
          <w:p w14:paraId="5C01767C" w14:textId="143CE026" w:rsidR="00E53BE5" w:rsidRPr="00A64E1A" w:rsidRDefault="00E53BE5" w:rsidP="00E53BE5">
            <w:pPr>
              <w:spacing w:after="0" w:line="240" w:lineRule="auto"/>
              <w:jc w:val="right"/>
              <w:rPr>
                <w:rFonts w:eastAsia="Times New Roman" w:cs="Calibri"/>
                <w:color w:val="000000"/>
                <w:sz w:val="20"/>
                <w:szCs w:val="20"/>
                <w:lang w:val="en-US"/>
              </w:rPr>
            </w:pPr>
            <w:r w:rsidRPr="00A64E1A">
              <w:rPr>
                <w:rFonts w:eastAsia="Times New Roman" w:cs="Calibri"/>
                <w:color w:val="000000"/>
                <w:sz w:val="20"/>
                <w:szCs w:val="20"/>
                <w:lang w:val="en-US"/>
              </w:rPr>
              <w:t>19 846,91</w:t>
            </w:r>
          </w:p>
        </w:tc>
        <w:tc>
          <w:tcPr>
            <w:tcW w:w="1348" w:type="dxa"/>
            <w:tcBorders>
              <w:top w:val="single" w:sz="6" w:space="0" w:color="auto"/>
              <w:left w:val="single" w:sz="6" w:space="0" w:color="auto"/>
              <w:bottom w:val="single" w:sz="6" w:space="0" w:color="auto"/>
              <w:right w:val="single" w:sz="6" w:space="0" w:color="auto"/>
            </w:tcBorders>
            <w:shd w:val="clear" w:color="000000" w:fill="FFFFFF"/>
            <w:noWrap/>
            <w:vAlign w:val="bottom"/>
          </w:tcPr>
          <w:p w14:paraId="7AB017F4" w14:textId="77777777" w:rsidR="00E53BE5" w:rsidRPr="00A64E1A" w:rsidRDefault="00E53BE5" w:rsidP="00E53BE5">
            <w:pPr>
              <w:spacing w:after="0" w:line="240" w:lineRule="auto"/>
              <w:jc w:val="center"/>
              <w:rPr>
                <w:rFonts w:eastAsia="Times New Roman" w:cs="Calibri"/>
                <w:color w:val="000000"/>
                <w:sz w:val="20"/>
                <w:szCs w:val="20"/>
                <w:lang w:val="en-US"/>
              </w:rPr>
            </w:pPr>
          </w:p>
        </w:tc>
        <w:tc>
          <w:tcPr>
            <w:tcW w:w="1389" w:type="dxa"/>
            <w:tcBorders>
              <w:top w:val="single" w:sz="6" w:space="0" w:color="auto"/>
              <w:left w:val="single" w:sz="6" w:space="0" w:color="auto"/>
              <w:bottom w:val="single" w:sz="6" w:space="0" w:color="auto"/>
              <w:right w:val="single" w:sz="6" w:space="0" w:color="auto"/>
            </w:tcBorders>
            <w:shd w:val="clear" w:color="000000" w:fill="FFFFFF"/>
            <w:noWrap/>
            <w:vAlign w:val="bottom"/>
          </w:tcPr>
          <w:p w14:paraId="5093E506" w14:textId="324C9539" w:rsidR="00E53BE5" w:rsidRPr="00A64E1A" w:rsidRDefault="00E53BE5" w:rsidP="00E53BE5">
            <w:pPr>
              <w:spacing w:after="0" w:line="240" w:lineRule="auto"/>
              <w:jc w:val="right"/>
              <w:rPr>
                <w:rFonts w:eastAsia="Times New Roman" w:cs="Calibri"/>
                <w:color w:val="000000"/>
                <w:sz w:val="20"/>
                <w:szCs w:val="20"/>
                <w:lang w:val="en-US"/>
              </w:rPr>
            </w:pPr>
            <w:r w:rsidRPr="00A64E1A">
              <w:rPr>
                <w:rFonts w:eastAsia="Times New Roman" w:cs="Calibri"/>
                <w:color w:val="000000"/>
                <w:sz w:val="20"/>
                <w:szCs w:val="20"/>
                <w:lang w:val="en-US"/>
              </w:rPr>
              <w:t>19 846,91</w:t>
            </w:r>
          </w:p>
        </w:tc>
      </w:tr>
      <w:tr w:rsidR="00E53BE5" w:rsidRPr="00F53031" w14:paraId="341A9703" w14:textId="77777777" w:rsidTr="00A64E1A">
        <w:trPr>
          <w:trHeight w:val="300"/>
        </w:trPr>
        <w:tc>
          <w:tcPr>
            <w:tcW w:w="901" w:type="dxa"/>
            <w:tcBorders>
              <w:top w:val="single" w:sz="6" w:space="0" w:color="auto"/>
              <w:left w:val="single" w:sz="4" w:space="0" w:color="auto"/>
              <w:bottom w:val="single" w:sz="8" w:space="0" w:color="auto"/>
              <w:right w:val="single" w:sz="4" w:space="0" w:color="auto"/>
            </w:tcBorders>
            <w:shd w:val="clear" w:color="000000" w:fill="FFFFFF"/>
            <w:vAlign w:val="bottom"/>
          </w:tcPr>
          <w:p w14:paraId="53DB4C37" w14:textId="77777777" w:rsidR="00E53BE5" w:rsidRPr="00A64E1A" w:rsidRDefault="00E53BE5" w:rsidP="00E716BD">
            <w:pPr>
              <w:spacing w:after="0" w:line="240" w:lineRule="auto"/>
              <w:jc w:val="center"/>
              <w:rPr>
                <w:rFonts w:eastAsia="Times New Roman" w:cs="Calibri"/>
                <w:color w:val="000000"/>
                <w:sz w:val="20"/>
                <w:szCs w:val="20"/>
                <w:lang w:val="en-US"/>
              </w:rPr>
            </w:pPr>
          </w:p>
        </w:tc>
        <w:tc>
          <w:tcPr>
            <w:tcW w:w="3909" w:type="dxa"/>
            <w:tcBorders>
              <w:top w:val="single" w:sz="6" w:space="0" w:color="auto"/>
              <w:left w:val="nil"/>
              <w:bottom w:val="single" w:sz="8" w:space="0" w:color="auto"/>
              <w:right w:val="single" w:sz="4" w:space="0" w:color="auto"/>
            </w:tcBorders>
            <w:shd w:val="clear" w:color="000000" w:fill="FFFFFF"/>
            <w:vAlign w:val="bottom"/>
          </w:tcPr>
          <w:p w14:paraId="1F07CC2C" w14:textId="70A21808" w:rsidR="00E53BE5" w:rsidRPr="00A64E1A" w:rsidRDefault="00E53BE5" w:rsidP="00E716BD">
            <w:pPr>
              <w:spacing w:after="0" w:line="240" w:lineRule="auto"/>
              <w:jc w:val="left"/>
              <w:rPr>
                <w:rFonts w:eastAsia="Times New Roman" w:cs="Calibri"/>
                <w:color w:val="000000"/>
                <w:sz w:val="20"/>
                <w:szCs w:val="20"/>
              </w:rPr>
            </w:pPr>
            <w:r w:rsidRPr="00A64E1A">
              <w:rPr>
                <w:rFonts w:eastAsia="Times New Roman" w:cs="Calibri"/>
                <w:b/>
                <w:bCs/>
                <w:sz w:val="20"/>
                <w:szCs w:val="20"/>
              </w:rPr>
              <w:t>TOTAL BIENES INFRAESTRUCTURA VIAL</w:t>
            </w:r>
          </w:p>
        </w:tc>
        <w:tc>
          <w:tcPr>
            <w:tcW w:w="1374" w:type="dxa"/>
            <w:tcBorders>
              <w:top w:val="single" w:sz="6" w:space="0" w:color="auto"/>
              <w:left w:val="nil"/>
              <w:bottom w:val="single" w:sz="8" w:space="0" w:color="auto"/>
              <w:right w:val="single" w:sz="4" w:space="0" w:color="auto"/>
            </w:tcBorders>
            <w:shd w:val="clear" w:color="000000" w:fill="FFFFFF"/>
            <w:noWrap/>
            <w:vAlign w:val="bottom"/>
          </w:tcPr>
          <w:p w14:paraId="093086EF" w14:textId="7BABE92A" w:rsidR="00E53BE5" w:rsidRPr="00A64E1A" w:rsidRDefault="00E53BE5" w:rsidP="00E716BD">
            <w:pPr>
              <w:spacing w:after="0" w:line="240" w:lineRule="auto"/>
              <w:jc w:val="right"/>
              <w:rPr>
                <w:rFonts w:eastAsia="Times New Roman" w:cs="Calibri"/>
                <w:b/>
                <w:bCs/>
                <w:sz w:val="20"/>
                <w:szCs w:val="20"/>
                <w:lang w:val="en-US"/>
              </w:rPr>
            </w:pPr>
            <w:r w:rsidRPr="00A64E1A">
              <w:rPr>
                <w:rFonts w:eastAsia="Times New Roman" w:cs="Calibri"/>
                <w:b/>
                <w:bCs/>
                <w:sz w:val="20"/>
                <w:szCs w:val="20"/>
                <w:lang w:val="en-US"/>
              </w:rPr>
              <w:t>160 765 498,08</w:t>
            </w:r>
          </w:p>
        </w:tc>
        <w:tc>
          <w:tcPr>
            <w:tcW w:w="1348" w:type="dxa"/>
            <w:tcBorders>
              <w:top w:val="single" w:sz="6" w:space="0" w:color="auto"/>
              <w:left w:val="nil"/>
              <w:bottom w:val="single" w:sz="8" w:space="0" w:color="auto"/>
              <w:right w:val="single" w:sz="4" w:space="0" w:color="auto"/>
            </w:tcBorders>
            <w:shd w:val="clear" w:color="000000" w:fill="FFFFFF"/>
            <w:noWrap/>
            <w:vAlign w:val="bottom"/>
          </w:tcPr>
          <w:p w14:paraId="33C7A09A" w14:textId="77777777" w:rsidR="00E53BE5" w:rsidRPr="00A64E1A" w:rsidRDefault="00E53BE5" w:rsidP="00E716BD">
            <w:pPr>
              <w:spacing w:after="0" w:line="240" w:lineRule="auto"/>
              <w:jc w:val="right"/>
              <w:rPr>
                <w:rFonts w:eastAsia="Times New Roman" w:cs="Calibri"/>
                <w:b/>
                <w:bCs/>
                <w:sz w:val="20"/>
                <w:szCs w:val="20"/>
              </w:rPr>
            </w:pPr>
          </w:p>
        </w:tc>
        <w:tc>
          <w:tcPr>
            <w:tcW w:w="1389" w:type="dxa"/>
            <w:tcBorders>
              <w:top w:val="single" w:sz="6" w:space="0" w:color="auto"/>
              <w:left w:val="nil"/>
              <w:bottom w:val="single" w:sz="8" w:space="0" w:color="auto"/>
              <w:right w:val="single" w:sz="4" w:space="0" w:color="auto"/>
            </w:tcBorders>
            <w:shd w:val="clear" w:color="000000" w:fill="FFFFFF"/>
            <w:noWrap/>
            <w:vAlign w:val="bottom"/>
          </w:tcPr>
          <w:p w14:paraId="0C690612" w14:textId="13C1114D" w:rsidR="00E53BE5" w:rsidRPr="00A64E1A" w:rsidRDefault="00E53BE5" w:rsidP="00E716BD">
            <w:pPr>
              <w:spacing w:after="0" w:line="240" w:lineRule="auto"/>
              <w:jc w:val="right"/>
              <w:rPr>
                <w:rFonts w:eastAsia="Times New Roman" w:cs="Calibri"/>
                <w:b/>
                <w:bCs/>
                <w:sz w:val="20"/>
                <w:szCs w:val="20"/>
              </w:rPr>
            </w:pPr>
            <w:r w:rsidRPr="00A64E1A">
              <w:rPr>
                <w:rFonts w:eastAsia="Times New Roman" w:cs="Calibri"/>
                <w:b/>
                <w:bCs/>
                <w:sz w:val="20"/>
                <w:szCs w:val="20"/>
                <w:lang w:val="en-US"/>
              </w:rPr>
              <w:t>160 765 498,08</w:t>
            </w:r>
          </w:p>
        </w:tc>
      </w:tr>
    </w:tbl>
    <w:p w14:paraId="29413850" w14:textId="430A4C22" w:rsidR="002B2DB1" w:rsidRPr="00A64E1A" w:rsidRDefault="00E716BD" w:rsidP="00E716BD">
      <w:pPr>
        <w:spacing w:after="0" w:line="240" w:lineRule="auto"/>
        <w:ind w:left="709" w:hanging="709"/>
        <w:rPr>
          <w:sz w:val="18"/>
          <w:szCs w:val="18"/>
          <w:lang w:val="es-ES"/>
        </w:rPr>
      </w:pPr>
      <w:r w:rsidRPr="00A64E1A">
        <w:rPr>
          <w:sz w:val="18"/>
          <w:szCs w:val="18"/>
          <w:lang w:val="es-ES"/>
        </w:rPr>
        <w:t xml:space="preserve">Nota: </w:t>
      </w:r>
      <w:r w:rsidRPr="00A64E1A">
        <w:rPr>
          <w:color w:val="FF0000"/>
          <w:sz w:val="18"/>
          <w:szCs w:val="18"/>
          <w:lang w:val="es-ES"/>
        </w:rPr>
        <w:t>*</w:t>
      </w:r>
      <w:r w:rsidRPr="00A64E1A">
        <w:rPr>
          <w:sz w:val="18"/>
          <w:szCs w:val="18"/>
          <w:lang w:val="es-ES"/>
        </w:rPr>
        <w:t xml:space="preserve"> Estos rubros están siendo revisados para determinar la corrección y cantidad de bienes respectiva.</w:t>
      </w:r>
    </w:p>
    <w:p w14:paraId="1ECFB96B" w14:textId="6C9E8172" w:rsidR="00E716BD" w:rsidRPr="00A64E1A" w:rsidRDefault="00E716BD" w:rsidP="00E716BD">
      <w:pPr>
        <w:spacing w:after="0" w:line="240" w:lineRule="auto"/>
        <w:ind w:left="709" w:hanging="283"/>
        <w:rPr>
          <w:color w:val="FF0000"/>
          <w:sz w:val="18"/>
          <w:szCs w:val="18"/>
          <w:lang w:val="es-ES"/>
        </w:rPr>
      </w:pPr>
      <w:r w:rsidRPr="00A64E1A">
        <w:rPr>
          <w:color w:val="FF0000"/>
          <w:sz w:val="18"/>
          <w:szCs w:val="18"/>
          <w:lang w:val="es-ES"/>
        </w:rPr>
        <w:t xml:space="preserve">**  </w:t>
      </w:r>
      <w:r w:rsidRPr="00A64E1A">
        <w:rPr>
          <w:sz w:val="18"/>
          <w:szCs w:val="18"/>
          <w:lang w:val="es-ES"/>
        </w:rPr>
        <w:t>Corresponde a cantidad de propiedades</w:t>
      </w:r>
      <w:r w:rsidRPr="00A64E1A">
        <w:rPr>
          <w:color w:val="FF0000"/>
          <w:sz w:val="18"/>
          <w:szCs w:val="18"/>
          <w:lang w:val="es-ES"/>
        </w:rPr>
        <w:t xml:space="preserve"> </w:t>
      </w:r>
    </w:p>
    <w:p w14:paraId="4186F29F" w14:textId="77777777" w:rsidR="00F53031" w:rsidRDefault="00F53031" w:rsidP="000B404C">
      <w:pPr>
        <w:rPr>
          <w:lang w:val="es-ES"/>
        </w:rPr>
      </w:pPr>
    </w:p>
    <w:p w14:paraId="008C471D" w14:textId="0B422B9C" w:rsidR="002B2DB1" w:rsidRDefault="002B2DB1" w:rsidP="002B2DB1">
      <w:pPr>
        <w:spacing w:line="240" w:lineRule="auto"/>
        <w:rPr>
          <w:szCs w:val="24"/>
          <w:lang w:eastAsia="es-CR"/>
        </w:rPr>
      </w:pPr>
      <w:r>
        <w:rPr>
          <w:szCs w:val="24"/>
          <w:lang w:eastAsia="es-CR"/>
        </w:rPr>
        <w:t xml:space="preserve">De acuerdo con lo consignado en la Matriz de NICSP y Plan de Acción al </w:t>
      </w:r>
      <w:r w:rsidR="00D470B6">
        <w:rPr>
          <w:szCs w:val="24"/>
          <w:lang w:eastAsia="es-CR"/>
        </w:rPr>
        <w:t>30 de junio</w:t>
      </w:r>
      <w:r>
        <w:rPr>
          <w:szCs w:val="24"/>
          <w:lang w:eastAsia="es-CR"/>
        </w:rPr>
        <w:t xml:space="preserve"> se encuentra pendiente de implementar lo siguiente:</w:t>
      </w:r>
    </w:p>
    <w:tbl>
      <w:tblPr>
        <w:tblW w:w="8920" w:type="dxa"/>
        <w:tblLook w:val="04A0" w:firstRow="1" w:lastRow="0" w:firstColumn="1" w:lastColumn="0" w:noHBand="0" w:noVBand="1"/>
      </w:tblPr>
      <w:tblGrid>
        <w:gridCol w:w="7503"/>
        <w:gridCol w:w="1417"/>
      </w:tblGrid>
      <w:tr w:rsidR="002B2DB1" w:rsidRPr="003B67AD" w14:paraId="27027100" w14:textId="77777777" w:rsidTr="004653E2">
        <w:trPr>
          <w:trHeight w:val="530"/>
        </w:trPr>
        <w:tc>
          <w:tcPr>
            <w:tcW w:w="7503"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2090DDAF" w14:textId="77777777" w:rsidR="002B2DB1" w:rsidRPr="003B67AD" w:rsidRDefault="002B2DB1" w:rsidP="004653E2">
            <w:pPr>
              <w:spacing w:after="0" w:line="240" w:lineRule="auto"/>
              <w:jc w:val="center"/>
              <w:rPr>
                <w:rFonts w:eastAsia="Times New Roman" w:cs="Calibri"/>
                <w:b/>
                <w:bCs/>
                <w:sz w:val="20"/>
                <w:szCs w:val="20"/>
                <w:lang w:val="en-US"/>
              </w:rPr>
            </w:pPr>
            <w:r w:rsidRPr="003B67AD">
              <w:rPr>
                <w:rFonts w:eastAsia="Times New Roman" w:cs="Calibri"/>
                <w:b/>
                <w:bCs/>
                <w:sz w:val="20"/>
                <w:szCs w:val="20"/>
                <w:lang w:val="en-US"/>
              </w:rPr>
              <w:t>Actividades Pendientes de Cumplimiento</w:t>
            </w:r>
          </w:p>
        </w:tc>
        <w:tc>
          <w:tcPr>
            <w:tcW w:w="1417" w:type="dxa"/>
            <w:tcBorders>
              <w:top w:val="single" w:sz="8" w:space="0" w:color="auto"/>
              <w:left w:val="nil"/>
              <w:bottom w:val="single" w:sz="4" w:space="0" w:color="auto"/>
              <w:right w:val="single" w:sz="8" w:space="0" w:color="auto"/>
            </w:tcBorders>
            <w:shd w:val="clear" w:color="000000" w:fill="FFFFFF"/>
            <w:vAlign w:val="bottom"/>
            <w:hideMark/>
          </w:tcPr>
          <w:p w14:paraId="70953440" w14:textId="77777777" w:rsidR="002B2DB1" w:rsidRPr="003B67AD" w:rsidRDefault="002B2DB1" w:rsidP="004653E2">
            <w:pPr>
              <w:spacing w:after="0" w:line="240" w:lineRule="auto"/>
              <w:jc w:val="center"/>
              <w:rPr>
                <w:rFonts w:eastAsia="Times New Roman" w:cs="Calibri"/>
                <w:b/>
                <w:bCs/>
                <w:color w:val="000000"/>
                <w:sz w:val="20"/>
                <w:szCs w:val="20"/>
                <w:lang w:val="en-US"/>
              </w:rPr>
            </w:pPr>
            <w:r w:rsidRPr="003B67AD">
              <w:rPr>
                <w:rFonts w:eastAsia="Times New Roman" w:cs="Calibri"/>
                <w:b/>
                <w:bCs/>
                <w:color w:val="000000"/>
                <w:sz w:val="20"/>
                <w:szCs w:val="20"/>
                <w:lang w:val="en-US"/>
              </w:rPr>
              <w:t>Fecha Estimada Cumplimiento</w:t>
            </w:r>
          </w:p>
        </w:tc>
      </w:tr>
      <w:tr w:rsidR="002B2DB1" w:rsidRPr="003B67AD" w14:paraId="2507C27B" w14:textId="77777777" w:rsidTr="004653E2">
        <w:trPr>
          <w:trHeight w:val="1260"/>
        </w:trPr>
        <w:tc>
          <w:tcPr>
            <w:tcW w:w="7503" w:type="dxa"/>
            <w:tcBorders>
              <w:top w:val="nil"/>
              <w:left w:val="single" w:sz="8" w:space="0" w:color="auto"/>
              <w:bottom w:val="single" w:sz="4" w:space="0" w:color="auto"/>
              <w:right w:val="single" w:sz="4" w:space="0" w:color="auto"/>
            </w:tcBorders>
            <w:shd w:val="clear" w:color="000000" w:fill="FFFFFF"/>
            <w:hideMark/>
          </w:tcPr>
          <w:p w14:paraId="23B5E4E5" w14:textId="77777777" w:rsidR="002B2DB1" w:rsidRDefault="002B2DB1" w:rsidP="004653E2">
            <w:pPr>
              <w:spacing w:after="0" w:line="240" w:lineRule="auto"/>
              <w:rPr>
                <w:rFonts w:ascii="Arial" w:eastAsia="Times New Roman" w:hAnsi="Arial" w:cs="Arial"/>
                <w:b/>
                <w:bCs/>
                <w:sz w:val="20"/>
                <w:szCs w:val="20"/>
              </w:rPr>
            </w:pPr>
            <w:r w:rsidRPr="003B67AD">
              <w:rPr>
                <w:rFonts w:ascii="Arial" w:eastAsia="Times New Roman" w:hAnsi="Arial" w:cs="Arial"/>
                <w:sz w:val="20"/>
                <w:szCs w:val="20"/>
              </w:rPr>
              <w:t>Realizar la identificación, el reconocimiento y clasificación, medición y registro de los terrenos según las NICSP.</w:t>
            </w:r>
            <w:r w:rsidRPr="003B67AD">
              <w:rPr>
                <w:rFonts w:ascii="Arial" w:eastAsia="Times New Roman" w:hAnsi="Arial" w:cs="Arial"/>
                <w:b/>
                <w:bCs/>
                <w:sz w:val="20"/>
                <w:szCs w:val="20"/>
              </w:rPr>
              <w:t xml:space="preserve"> </w:t>
            </w:r>
          </w:p>
          <w:p w14:paraId="141ADB25" w14:textId="77777777" w:rsidR="002B2DB1" w:rsidRPr="003B67AD" w:rsidRDefault="002B2DB1" w:rsidP="002B2DB1">
            <w:pPr>
              <w:pStyle w:val="Prrafodelista"/>
              <w:numPr>
                <w:ilvl w:val="1"/>
                <w:numId w:val="21"/>
              </w:numPr>
              <w:spacing w:after="0" w:line="240" w:lineRule="auto"/>
              <w:ind w:left="306"/>
              <w:rPr>
                <w:rFonts w:ascii="Arial" w:eastAsia="Times New Roman" w:hAnsi="Arial" w:cs="Arial"/>
                <w:sz w:val="20"/>
                <w:szCs w:val="20"/>
              </w:rPr>
            </w:pPr>
            <w:r w:rsidRPr="003B67AD">
              <w:rPr>
                <w:rFonts w:ascii="Arial" w:eastAsia="Times New Roman" w:hAnsi="Arial" w:cs="Arial"/>
                <w:sz w:val="20"/>
                <w:szCs w:val="20"/>
              </w:rPr>
              <w:t>Levantar un inventario,</w:t>
            </w:r>
          </w:p>
          <w:p w14:paraId="6555C586" w14:textId="77777777" w:rsidR="002B2DB1" w:rsidRDefault="002B2DB1" w:rsidP="002B2DB1">
            <w:pPr>
              <w:pStyle w:val="Prrafodelista"/>
              <w:numPr>
                <w:ilvl w:val="1"/>
                <w:numId w:val="21"/>
              </w:numPr>
              <w:spacing w:after="0" w:line="240" w:lineRule="auto"/>
              <w:ind w:left="306"/>
              <w:rPr>
                <w:rFonts w:ascii="Arial" w:eastAsia="Times New Roman" w:hAnsi="Arial" w:cs="Arial"/>
                <w:sz w:val="20"/>
                <w:szCs w:val="20"/>
              </w:rPr>
            </w:pPr>
            <w:r w:rsidRPr="003B67AD">
              <w:rPr>
                <w:rFonts w:ascii="Arial" w:eastAsia="Times New Roman" w:hAnsi="Arial" w:cs="Arial"/>
                <w:sz w:val="20"/>
                <w:szCs w:val="20"/>
              </w:rPr>
              <w:t>valuarlo, y</w:t>
            </w:r>
          </w:p>
          <w:p w14:paraId="26879088" w14:textId="77777777" w:rsidR="002B2DB1" w:rsidRPr="003B67AD" w:rsidRDefault="002B2DB1" w:rsidP="002B2DB1">
            <w:pPr>
              <w:pStyle w:val="Prrafodelista"/>
              <w:numPr>
                <w:ilvl w:val="1"/>
                <w:numId w:val="21"/>
              </w:numPr>
              <w:spacing w:after="0" w:line="240" w:lineRule="auto"/>
              <w:ind w:left="306"/>
              <w:rPr>
                <w:rFonts w:ascii="Arial" w:eastAsia="Times New Roman" w:hAnsi="Arial" w:cs="Arial"/>
                <w:sz w:val="20"/>
                <w:szCs w:val="20"/>
              </w:rPr>
            </w:pPr>
            <w:r w:rsidRPr="003B67AD">
              <w:rPr>
                <w:rFonts w:ascii="Arial" w:eastAsia="Times New Roman" w:hAnsi="Arial" w:cs="Arial"/>
                <w:sz w:val="20"/>
                <w:szCs w:val="20"/>
              </w:rPr>
              <w:t>conabilizarlo en el sistema contable para actualizar el auxiliar contable.</w:t>
            </w:r>
          </w:p>
        </w:tc>
        <w:tc>
          <w:tcPr>
            <w:tcW w:w="1417" w:type="dxa"/>
            <w:tcBorders>
              <w:top w:val="nil"/>
              <w:left w:val="nil"/>
              <w:bottom w:val="single" w:sz="4" w:space="0" w:color="auto"/>
              <w:right w:val="single" w:sz="8" w:space="0" w:color="auto"/>
            </w:tcBorders>
            <w:shd w:val="clear" w:color="000000" w:fill="FFFFFF"/>
            <w:noWrap/>
            <w:vAlign w:val="center"/>
            <w:hideMark/>
          </w:tcPr>
          <w:p w14:paraId="39C065A2" w14:textId="77777777" w:rsidR="002B2DB1" w:rsidRPr="003B67AD" w:rsidRDefault="002B2DB1" w:rsidP="004653E2">
            <w:pPr>
              <w:spacing w:after="0" w:line="240" w:lineRule="auto"/>
              <w:jc w:val="center"/>
              <w:rPr>
                <w:rFonts w:ascii="Arial" w:eastAsia="Times New Roman" w:hAnsi="Arial" w:cs="Arial"/>
                <w:color w:val="000000"/>
                <w:sz w:val="20"/>
                <w:szCs w:val="20"/>
                <w:lang w:val="en-US"/>
              </w:rPr>
            </w:pPr>
            <w:r w:rsidRPr="003B67AD">
              <w:rPr>
                <w:rFonts w:ascii="Arial" w:eastAsia="Times New Roman" w:hAnsi="Arial" w:cs="Arial"/>
                <w:color w:val="000000"/>
                <w:sz w:val="20"/>
                <w:szCs w:val="20"/>
                <w:lang w:val="en-US"/>
              </w:rPr>
              <w:t>31/12/24</w:t>
            </w:r>
          </w:p>
        </w:tc>
      </w:tr>
      <w:tr w:rsidR="002B2DB1" w:rsidRPr="003B67AD" w14:paraId="0776F32E" w14:textId="77777777" w:rsidTr="004653E2">
        <w:trPr>
          <w:trHeight w:val="1500"/>
        </w:trPr>
        <w:tc>
          <w:tcPr>
            <w:tcW w:w="7503" w:type="dxa"/>
            <w:tcBorders>
              <w:top w:val="nil"/>
              <w:left w:val="single" w:sz="8" w:space="0" w:color="auto"/>
              <w:bottom w:val="single" w:sz="4" w:space="0" w:color="auto"/>
              <w:right w:val="single" w:sz="4" w:space="0" w:color="auto"/>
            </w:tcBorders>
            <w:shd w:val="clear" w:color="000000" w:fill="FFFFFF"/>
            <w:hideMark/>
          </w:tcPr>
          <w:p w14:paraId="35BCBF3A" w14:textId="77777777" w:rsidR="002B2DB1" w:rsidRDefault="002B2DB1" w:rsidP="004653E2">
            <w:pPr>
              <w:spacing w:after="0" w:line="240" w:lineRule="auto"/>
              <w:rPr>
                <w:rFonts w:ascii="Arial" w:eastAsia="Times New Roman" w:hAnsi="Arial" w:cs="Arial"/>
                <w:sz w:val="20"/>
                <w:szCs w:val="20"/>
              </w:rPr>
            </w:pPr>
            <w:r w:rsidRPr="003B67AD">
              <w:rPr>
                <w:rFonts w:ascii="Arial" w:eastAsia="Times New Roman" w:hAnsi="Arial" w:cs="Arial"/>
                <w:sz w:val="20"/>
                <w:szCs w:val="20"/>
              </w:rPr>
              <w:t>Realizar la identificación, el reconocimiento y clasificación, medición y registro de los edificios según las NICSP y el catálogo contable.</w:t>
            </w:r>
            <w:r>
              <w:rPr>
                <w:rFonts w:ascii="Arial" w:eastAsia="Times New Roman" w:hAnsi="Arial" w:cs="Arial"/>
                <w:sz w:val="20"/>
                <w:szCs w:val="20"/>
              </w:rPr>
              <w:t xml:space="preserve"> </w:t>
            </w:r>
            <w:r w:rsidRPr="003B67AD">
              <w:rPr>
                <w:rFonts w:ascii="Arial" w:eastAsia="Times New Roman" w:hAnsi="Arial" w:cs="Arial"/>
                <w:sz w:val="20"/>
                <w:szCs w:val="20"/>
              </w:rPr>
              <w:t>Esto implica:</w:t>
            </w:r>
          </w:p>
          <w:p w14:paraId="2500E60B" w14:textId="77777777" w:rsidR="002B2DB1" w:rsidRPr="003B67AD" w:rsidRDefault="002B2DB1" w:rsidP="002B2DB1">
            <w:pPr>
              <w:pStyle w:val="Prrafodelista"/>
              <w:numPr>
                <w:ilvl w:val="0"/>
                <w:numId w:val="35"/>
              </w:numPr>
              <w:spacing w:after="0" w:line="240" w:lineRule="auto"/>
              <w:ind w:left="306"/>
              <w:rPr>
                <w:rFonts w:ascii="Arial" w:eastAsia="Times New Roman" w:hAnsi="Arial" w:cs="Arial"/>
                <w:sz w:val="20"/>
                <w:szCs w:val="20"/>
              </w:rPr>
            </w:pPr>
            <w:r w:rsidRPr="003B67AD">
              <w:rPr>
                <w:rFonts w:ascii="Arial" w:eastAsia="Times New Roman" w:hAnsi="Arial" w:cs="Arial"/>
                <w:sz w:val="20"/>
                <w:szCs w:val="20"/>
              </w:rPr>
              <w:t>Levantar un inventario,</w:t>
            </w:r>
          </w:p>
          <w:p w14:paraId="2E8602E6" w14:textId="77777777" w:rsidR="002B2DB1" w:rsidRDefault="002B2DB1" w:rsidP="002B2DB1">
            <w:pPr>
              <w:pStyle w:val="Prrafodelista"/>
              <w:numPr>
                <w:ilvl w:val="0"/>
                <w:numId w:val="35"/>
              </w:numPr>
              <w:spacing w:after="0" w:line="240" w:lineRule="auto"/>
              <w:ind w:left="306"/>
              <w:rPr>
                <w:rFonts w:ascii="Arial" w:eastAsia="Times New Roman" w:hAnsi="Arial" w:cs="Arial"/>
                <w:sz w:val="20"/>
                <w:szCs w:val="20"/>
              </w:rPr>
            </w:pPr>
            <w:r w:rsidRPr="003B67AD">
              <w:rPr>
                <w:rFonts w:ascii="Arial" w:eastAsia="Times New Roman" w:hAnsi="Arial" w:cs="Arial"/>
                <w:sz w:val="20"/>
                <w:szCs w:val="20"/>
              </w:rPr>
              <w:t>valuarlo, y</w:t>
            </w:r>
          </w:p>
          <w:p w14:paraId="6629EF4B" w14:textId="77777777" w:rsidR="002B2DB1" w:rsidRPr="003B67AD" w:rsidRDefault="002B2DB1" w:rsidP="002B2DB1">
            <w:pPr>
              <w:pStyle w:val="Prrafodelista"/>
              <w:numPr>
                <w:ilvl w:val="0"/>
                <w:numId w:val="35"/>
              </w:numPr>
              <w:spacing w:after="0" w:line="240" w:lineRule="auto"/>
              <w:ind w:left="306"/>
              <w:rPr>
                <w:rFonts w:ascii="Arial" w:eastAsia="Times New Roman" w:hAnsi="Arial" w:cs="Arial"/>
                <w:sz w:val="20"/>
                <w:szCs w:val="20"/>
              </w:rPr>
            </w:pPr>
            <w:r w:rsidRPr="003B67AD">
              <w:rPr>
                <w:rFonts w:ascii="Arial" w:eastAsia="Times New Roman" w:hAnsi="Arial" w:cs="Arial"/>
                <w:sz w:val="20"/>
                <w:szCs w:val="20"/>
              </w:rPr>
              <w:t>conabilizarlo en el sistema contable para actualizar el auxiliar contable.</w:t>
            </w:r>
          </w:p>
        </w:tc>
        <w:tc>
          <w:tcPr>
            <w:tcW w:w="1417" w:type="dxa"/>
            <w:tcBorders>
              <w:top w:val="nil"/>
              <w:left w:val="nil"/>
              <w:bottom w:val="single" w:sz="4" w:space="0" w:color="auto"/>
              <w:right w:val="single" w:sz="8" w:space="0" w:color="auto"/>
            </w:tcBorders>
            <w:shd w:val="clear" w:color="000000" w:fill="FFFFFF"/>
            <w:noWrap/>
            <w:vAlign w:val="center"/>
            <w:hideMark/>
          </w:tcPr>
          <w:p w14:paraId="71CE03DC" w14:textId="77777777" w:rsidR="002B2DB1" w:rsidRPr="003B67AD" w:rsidRDefault="002B2DB1" w:rsidP="004653E2">
            <w:pPr>
              <w:spacing w:after="0" w:line="240" w:lineRule="auto"/>
              <w:jc w:val="center"/>
              <w:rPr>
                <w:rFonts w:ascii="Arial" w:eastAsia="Times New Roman" w:hAnsi="Arial" w:cs="Arial"/>
                <w:color w:val="000000"/>
                <w:sz w:val="20"/>
                <w:szCs w:val="20"/>
                <w:lang w:val="en-US"/>
              </w:rPr>
            </w:pPr>
            <w:r w:rsidRPr="003B67AD">
              <w:rPr>
                <w:rFonts w:ascii="Arial" w:eastAsia="Times New Roman" w:hAnsi="Arial" w:cs="Arial"/>
                <w:color w:val="000000"/>
                <w:sz w:val="20"/>
                <w:szCs w:val="20"/>
                <w:lang w:val="en-US"/>
              </w:rPr>
              <w:t>31/12/24</w:t>
            </w:r>
          </w:p>
        </w:tc>
      </w:tr>
      <w:tr w:rsidR="002B2DB1" w:rsidRPr="003B67AD" w14:paraId="4086AF0D" w14:textId="77777777" w:rsidTr="004653E2">
        <w:trPr>
          <w:trHeight w:val="1500"/>
        </w:trPr>
        <w:tc>
          <w:tcPr>
            <w:tcW w:w="7503" w:type="dxa"/>
            <w:tcBorders>
              <w:top w:val="nil"/>
              <w:left w:val="single" w:sz="8" w:space="0" w:color="auto"/>
              <w:bottom w:val="single" w:sz="4" w:space="0" w:color="auto"/>
              <w:right w:val="single" w:sz="4" w:space="0" w:color="auto"/>
            </w:tcBorders>
            <w:shd w:val="clear" w:color="000000" w:fill="FFFFFF"/>
            <w:hideMark/>
          </w:tcPr>
          <w:p w14:paraId="795BE0AF" w14:textId="77777777" w:rsidR="002B2DB1" w:rsidRDefault="002B2DB1" w:rsidP="004653E2">
            <w:pPr>
              <w:spacing w:after="0" w:line="240" w:lineRule="auto"/>
              <w:rPr>
                <w:rFonts w:ascii="Arial" w:eastAsia="Times New Roman" w:hAnsi="Arial" w:cs="Arial"/>
                <w:sz w:val="20"/>
                <w:szCs w:val="20"/>
              </w:rPr>
            </w:pPr>
            <w:r w:rsidRPr="003B67AD">
              <w:rPr>
                <w:rFonts w:ascii="Arial" w:eastAsia="Times New Roman" w:hAnsi="Arial" w:cs="Arial"/>
                <w:sz w:val="20"/>
                <w:szCs w:val="20"/>
              </w:rPr>
              <w:t xml:space="preserve">Realizar la identificación el reconocimiento y clasificación, medición y registro de los de los activos de planta y equipo según las NICSP y el catálogo contable. </w:t>
            </w:r>
            <w:r w:rsidRPr="003B67AD">
              <w:rPr>
                <w:rFonts w:ascii="Arial" w:eastAsia="Times New Roman" w:hAnsi="Arial" w:cs="Arial"/>
                <w:color w:val="548235"/>
                <w:sz w:val="20"/>
                <w:szCs w:val="20"/>
              </w:rPr>
              <w:t xml:space="preserve"> </w:t>
            </w:r>
            <w:r w:rsidRPr="003B67AD">
              <w:rPr>
                <w:rFonts w:ascii="Arial" w:eastAsia="Times New Roman" w:hAnsi="Arial" w:cs="Arial"/>
                <w:sz w:val="20"/>
                <w:szCs w:val="20"/>
              </w:rPr>
              <w:br/>
              <w:t>Esto implica:</w:t>
            </w:r>
          </w:p>
          <w:p w14:paraId="54C78386" w14:textId="77777777" w:rsidR="002B2DB1" w:rsidRDefault="002B2DB1" w:rsidP="004653E2">
            <w:pPr>
              <w:spacing w:after="0" w:line="240" w:lineRule="auto"/>
              <w:rPr>
                <w:rFonts w:ascii="Arial" w:eastAsia="Times New Roman" w:hAnsi="Arial" w:cs="Arial"/>
                <w:sz w:val="20"/>
                <w:szCs w:val="20"/>
              </w:rPr>
            </w:pPr>
            <w:r w:rsidRPr="003B67AD">
              <w:rPr>
                <w:rFonts w:ascii="Arial" w:eastAsia="Times New Roman" w:hAnsi="Arial" w:cs="Arial"/>
                <w:sz w:val="20"/>
                <w:szCs w:val="20"/>
              </w:rPr>
              <w:t>a. Levantar un inventario,</w:t>
            </w:r>
          </w:p>
          <w:p w14:paraId="050D7F87" w14:textId="77777777" w:rsidR="002B2DB1" w:rsidRDefault="002B2DB1" w:rsidP="004653E2">
            <w:pPr>
              <w:spacing w:after="0" w:line="240" w:lineRule="auto"/>
              <w:rPr>
                <w:rFonts w:ascii="Arial" w:eastAsia="Times New Roman" w:hAnsi="Arial" w:cs="Arial"/>
                <w:sz w:val="20"/>
                <w:szCs w:val="20"/>
              </w:rPr>
            </w:pPr>
            <w:r w:rsidRPr="003B67AD">
              <w:rPr>
                <w:rFonts w:ascii="Arial" w:eastAsia="Times New Roman" w:hAnsi="Arial" w:cs="Arial"/>
                <w:sz w:val="20"/>
                <w:szCs w:val="20"/>
              </w:rPr>
              <w:t>b. valuarlo, y</w:t>
            </w:r>
          </w:p>
          <w:p w14:paraId="71E21B55" w14:textId="77777777" w:rsidR="002B2DB1" w:rsidRPr="003B67AD" w:rsidRDefault="002B2DB1" w:rsidP="004653E2">
            <w:pPr>
              <w:spacing w:after="0" w:line="240" w:lineRule="auto"/>
              <w:rPr>
                <w:rFonts w:ascii="Arial" w:eastAsia="Times New Roman" w:hAnsi="Arial" w:cs="Arial"/>
                <w:sz w:val="20"/>
                <w:szCs w:val="20"/>
              </w:rPr>
            </w:pPr>
            <w:r w:rsidRPr="003B67AD">
              <w:rPr>
                <w:rFonts w:ascii="Arial" w:eastAsia="Times New Roman" w:hAnsi="Arial" w:cs="Arial"/>
                <w:sz w:val="20"/>
                <w:szCs w:val="20"/>
              </w:rPr>
              <w:t>c. conabilizarlo en el sistema contable para actualizar el auxiliar contable.</w:t>
            </w:r>
          </w:p>
        </w:tc>
        <w:tc>
          <w:tcPr>
            <w:tcW w:w="1417" w:type="dxa"/>
            <w:tcBorders>
              <w:top w:val="nil"/>
              <w:left w:val="nil"/>
              <w:bottom w:val="single" w:sz="4" w:space="0" w:color="auto"/>
              <w:right w:val="single" w:sz="8" w:space="0" w:color="auto"/>
            </w:tcBorders>
            <w:shd w:val="clear" w:color="000000" w:fill="FFFFFF"/>
            <w:noWrap/>
            <w:vAlign w:val="center"/>
            <w:hideMark/>
          </w:tcPr>
          <w:p w14:paraId="0A3F7C0D" w14:textId="77777777" w:rsidR="002B2DB1" w:rsidRPr="003B67AD" w:rsidRDefault="002B2DB1" w:rsidP="004653E2">
            <w:pPr>
              <w:spacing w:after="0" w:line="240" w:lineRule="auto"/>
              <w:jc w:val="center"/>
              <w:rPr>
                <w:rFonts w:ascii="Arial" w:eastAsia="Times New Roman" w:hAnsi="Arial" w:cs="Arial"/>
                <w:color w:val="000000"/>
                <w:sz w:val="20"/>
                <w:szCs w:val="20"/>
                <w:lang w:val="en-US"/>
              </w:rPr>
            </w:pPr>
            <w:r w:rsidRPr="003B67AD">
              <w:rPr>
                <w:rFonts w:ascii="Arial" w:eastAsia="Times New Roman" w:hAnsi="Arial" w:cs="Arial"/>
                <w:color w:val="000000"/>
                <w:sz w:val="20"/>
                <w:szCs w:val="20"/>
                <w:lang w:val="en-US"/>
              </w:rPr>
              <w:t>31/12/24</w:t>
            </w:r>
          </w:p>
        </w:tc>
      </w:tr>
      <w:tr w:rsidR="002B2DB1" w:rsidRPr="003B67AD" w14:paraId="0D8A6615" w14:textId="77777777" w:rsidTr="004653E2">
        <w:trPr>
          <w:trHeight w:val="500"/>
        </w:trPr>
        <w:tc>
          <w:tcPr>
            <w:tcW w:w="7503" w:type="dxa"/>
            <w:tcBorders>
              <w:top w:val="nil"/>
              <w:left w:val="single" w:sz="8" w:space="0" w:color="auto"/>
              <w:bottom w:val="single" w:sz="4" w:space="0" w:color="auto"/>
              <w:right w:val="single" w:sz="4" w:space="0" w:color="auto"/>
            </w:tcBorders>
            <w:shd w:val="clear" w:color="000000" w:fill="FFFFFF"/>
            <w:hideMark/>
          </w:tcPr>
          <w:p w14:paraId="09F665A2" w14:textId="77777777" w:rsidR="002B2DB1" w:rsidRPr="003B67AD" w:rsidRDefault="002B2DB1" w:rsidP="004653E2">
            <w:pPr>
              <w:spacing w:after="0" w:line="240" w:lineRule="auto"/>
              <w:rPr>
                <w:rFonts w:ascii="Arial" w:eastAsia="Times New Roman" w:hAnsi="Arial" w:cs="Arial"/>
                <w:sz w:val="20"/>
                <w:szCs w:val="20"/>
              </w:rPr>
            </w:pPr>
            <w:r w:rsidRPr="003B67AD">
              <w:rPr>
                <w:rFonts w:ascii="Arial" w:eastAsia="Times New Roman" w:hAnsi="Arial" w:cs="Arial"/>
                <w:sz w:val="20"/>
                <w:szCs w:val="20"/>
              </w:rPr>
              <w:t>Realizar el cálculo y reconocimiento de la depreciación de los elementos de propiedad, planta y equipo.</w:t>
            </w:r>
          </w:p>
        </w:tc>
        <w:tc>
          <w:tcPr>
            <w:tcW w:w="1417" w:type="dxa"/>
            <w:tcBorders>
              <w:top w:val="nil"/>
              <w:left w:val="nil"/>
              <w:bottom w:val="single" w:sz="4" w:space="0" w:color="auto"/>
              <w:right w:val="single" w:sz="8" w:space="0" w:color="auto"/>
            </w:tcBorders>
            <w:shd w:val="clear" w:color="000000" w:fill="FFFFFF"/>
            <w:noWrap/>
            <w:vAlign w:val="center"/>
            <w:hideMark/>
          </w:tcPr>
          <w:p w14:paraId="4CA5BE82" w14:textId="77777777" w:rsidR="002B2DB1" w:rsidRPr="003B67AD" w:rsidRDefault="002B2DB1" w:rsidP="004653E2">
            <w:pPr>
              <w:spacing w:after="0" w:line="240" w:lineRule="auto"/>
              <w:jc w:val="center"/>
              <w:rPr>
                <w:rFonts w:ascii="Arial" w:eastAsia="Times New Roman" w:hAnsi="Arial" w:cs="Arial"/>
                <w:color w:val="000000"/>
                <w:sz w:val="20"/>
                <w:szCs w:val="20"/>
                <w:lang w:val="en-US"/>
              </w:rPr>
            </w:pPr>
            <w:r w:rsidRPr="003B67AD">
              <w:rPr>
                <w:rFonts w:ascii="Arial" w:eastAsia="Times New Roman" w:hAnsi="Arial" w:cs="Arial"/>
                <w:color w:val="000000"/>
                <w:sz w:val="20"/>
                <w:szCs w:val="20"/>
                <w:lang w:val="en-US"/>
              </w:rPr>
              <w:t>31/12/24</w:t>
            </w:r>
          </w:p>
        </w:tc>
      </w:tr>
      <w:tr w:rsidR="002B2DB1" w:rsidRPr="003B67AD" w14:paraId="70DB58BC" w14:textId="77777777" w:rsidTr="004653E2">
        <w:trPr>
          <w:trHeight w:val="500"/>
        </w:trPr>
        <w:tc>
          <w:tcPr>
            <w:tcW w:w="7503" w:type="dxa"/>
            <w:tcBorders>
              <w:top w:val="nil"/>
              <w:left w:val="single" w:sz="8" w:space="0" w:color="auto"/>
              <w:bottom w:val="single" w:sz="4" w:space="0" w:color="auto"/>
              <w:right w:val="single" w:sz="4" w:space="0" w:color="auto"/>
            </w:tcBorders>
            <w:shd w:val="clear" w:color="000000" w:fill="FFFFFF"/>
            <w:hideMark/>
          </w:tcPr>
          <w:p w14:paraId="117AF9D7" w14:textId="77777777" w:rsidR="002B2DB1" w:rsidRPr="00582DE9" w:rsidRDefault="002B2DB1" w:rsidP="004653E2">
            <w:pPr>
              <w:spacing w:after="0" w:line="240" w:lineRule="auto"/>
              <w:rPr>
                <w:rFonts w:ascii="Arial" w:eastAsia="Times New Roman" w:hAnsi="Arial" w:cs="Arial"/>
                <w:sz w:val="20"/>
                <w:szCs w:val="20"/>
              </w:rPr>
            </w:pPr>
            <w:r w:rsidRPr="003B67AD">
              <w:rPr>
                <w:rFonts w:ascii="Arial" w:eastAsia="Times New Roman" w:hAnsi="Arial" w:cs="Arial"/>
                <w:sz w:val="20"/>
                <w:szCs w:val="20"/>
              </w:rPr>
              <w:t>Realizar las revelaciones correspondientes sobre los activos de Propiedad, Planta y Equipo, según lo establecido por la norma.</w:t>
            </w:r>
          </w:p>
        </w:tc>
        <w:tc>
          <w:tcPr>
            <w:tcW w:w="1417" w:type="dxa"/>
            <w:tcBorders>
              <w:top w:val="nil"/>
              <w:left w:val="nil"/>
              <w:bottom w:val="single" w:sz="4" w:space="0" w:color="auto"/>
              <w:right w:val="single" w:sz="8" w:space="0" w:color="auto"/>
            </w:tcBorders>
            <w:shd w:val="clear" w:color="000000" w:fill="FFFFFF"/>
            <w:noWrap/>
            <w:vAlign w:val="center"/>
            <w:hideMark/>
          </w:tcPr>
          <w:p w14:paraId="35CF6826" w14:textId="77777777" w:rsidR="002B2DB1" w:rsidRPr="003B67AD" w:rsidRDefault="002B2DB1" w:rsidP="004653E2">
            <w:pPr>
              <w:spacing w:after="0" w:line="240" w:lineRule="auto"/>
              <w:jc w:val="center"/>
              <w:rPr>
                <w:rFonts w:ascii="Arial" w:eastAsia="Times New Roman" w:hAnsi="Arial" w:cs="Arial"/>
                <w:color w:val="000000"/>
                <w:sz w:val="20"/>
                <w:szCs w:val="20"/>
                <w:lang w:val="en-US"/>
              </w:rPr>
            </w:pPr>
            <w:r w:rsidRPr="003B67AD">
              <w:rPr>
                <w:rFonts w:ascii="Arial" w:eastAsia="Times New Roman" w:hAnsi="Arial" w:cs="Arial"/>
                <w:color w:val="000000"/>
                <w:sz w:val="20"/>
                <w:szCs w:val="20"/>
                <w:lang w:val="en-US"/>
              </w:rPr>
              <w:t>31/12/24</w:t>
            </w:r>
          </w:p>
        </w:tc>
      </w:tr>
      <w:tr w:rsidR="002B2DB1" w:rsidRPr="003B67AD" w14:paraId="7118D359" w14:textId="77777777" w:rsidTr="004653E2">
        <w:trPr>
          <w:trHeight w:val="760"/>
        </w:trPr>
        <w:tc>
          <w:tcPr>
            <w:tcW w:w="7503" w:type="dxa"/>
            <w:tcBorders>
              <w:top w:val="nil"/>
              <w:left w:val="single" w:sz="8" w:space="0" w:color="auto"/>
              <w:bottom w:val="single" w:sz="8" w:space="0" w:color="auto"/>
              <w:right w:val="single" w:sz="4" w:space="0" w:color="auto"/>
            </w:tcBorders>
            <w:shd w:val="clear" w:color="000000" w:fill="FFFFFF"/>
            <w:hideMark/>
          </w:tcPr>
          <w:p w14:paraId="29E829D2" w14:textId="77777777" w:rsidR="002B2DB1" w:rsidRPr="00582DE9" w:rsidRDefault="002B2DB1" w:rsidP="004653E2">
            <w:pPr>
              <w:spacing w:after="0" w:line="240" w:lineRule="auto"/>
              <w:rPr>
                <w:rFonts w:ascii="Arial" w:eastAsia="Times New Roman" w:hAnsi="Arial" w:cs="Arial"/>
                <w:sz w:val="20"/>
                <w:szCs w:val="20"/>
              </w:rPr>
            </w:pPr>
            <w:r w:rsidRPr="003B67AD">
              <w:rPr>
                <w:rFonts w:ascii="Arial" w:eastAsia="Times New Roman" w:hAnsi="Arial" w:cs="Arial"/>
                <w:sz w:val="20"/>
                <w:szCs w:val="20"/>
              </w:rPr>
              <w:t>Establecerse el procedimiento particular para la administración de activo de Propiedad, Planta y equipo, así como definir el responsable de informar a la Contabilidad sobre el avance obras en proceso y de cierre de proyectos para su registro como elementos de PPyE.</w:t>
            </w:r>
          </w:p>
        </w:tc>
        <w:tc>
          <w:tcPr>
            <w:tcW w:w="1417" w:type="dxa"/>
            <w:tcBorders>
              <w:top w:val="nil"/>
              <w:left w:val="nil"/>
              <w:bottom w:val="single" w:sz="8" w:space="0" w:color="auto"/>
              <w:right w:val="single" w:sz="8" w:space="0" w:color="auto"/>
            </w:tcBorders>
            <w:shd w:val="clear" w:color="000000" w:fill="FFFFFF"/>
            <w:noWrap/>
            <w:vAlign w:val="center"/>
            <w:hideMark/>
          </w:tcPr>
          <w:p w14:paraId="4A992B24" w14:textId="77777777" w:rsidR="002B2DB1" w:rsidRPr="003B67AD" w:rsidRDefault="002B2DB1" w:rsidP="004653E2">
            <w:pPr>
              <w:spacing w:after="0" w:line="240" w:lineRule="auto"/>
              <w:jc w:val="center"/>
              <w:rPr>
                <w:rFonts w:ascii="Arial" w:eastAsia="Times New Roman" w:hAnsi="Arial" w:cs="Arial"/>
                <w:color w:val="000000"/>
                <w:sz w:val="20"/>
                <w:szCs w:val="20"/>
                <w:lang w:val="en-US"/>
              </w:rPr>
            </w:pPr>
            <w:r w:rsidRPr="003B67AD">
              <w:rPr>
                <w:rFonts w:ascii="Arial" w:eastAsia="Times New Roman" w:hAnsi="Arial" w:cs="Arial"/>
                <w:color w:val="000000"/>
                <w:sz w:val="20"/>
                <w:szCs w:val="20"/>
                <w:lang w:val="en-US"/>
              </w:rPr>
              <w:t>31/12/24</w:t>
            </w:r>
          </w:p>
        </w:tc>
      </w:tr>
    </w:tbl>
    <w:p w14:paraId="60710447" w14:textId="77777777" w:rsidR="002B2DB1" w:rsidRDefault="002B2DB1" w:rsidP="002B2DB1">
      <w:pPr>
        <w:spacing w:line="240" w:lineRule="auto"/>
        <w:rPr>
          <w:szCs w:val="24"/>
          <w:lang w:eastAsia="es-CR"/>
        </w:rPr>
      </w:pPr>
    </w:p>
    <w:p w14:paraId="70EB9A9C" w14:textId="77777777" w:rsidR="002B2DB1" w:rsidRPr="002B2DB1" w:rsidRDefault="002B2DB1" w:rsidP="000B404C">
      <w:pPr>
        <w:rPr>
          <w:lang w:val="es-ES"/>
        </w:rPr>
      </w:pPr>
    </w:p>
    <w:p w14:paraId="64FC6E01" w14:textId="4315197E" w:rsidR="001C7FD6" w:rsidRPr="001C7FD6" w:rsidRDefault="00295C0B" w:rsidP="001C7FD6">
      <w:pPr>
        <w:pStyle w:val="Ttulo2"/>
        <w:spacing w:after="240"/>
        <w:rPr>
          <w:rFonts w:eastAsia="Times New Roman"/>
          <w:lang w:eastAsia="es-CR"/>
        </w:rPr>
      </w:pPr>
      <w:bookmarkStart w:id="67" w:name="_Toc33601178"/>
      <w:bookmarkStart w:id="68" w:name="_Toc54961683"/>
      <w:bookmarkStart w:id="69" w:name="_Toc82768879"/>
      <w:bookmarkStart w:id="70" w:name="_Toc173245199"/>
      <w:r w:rsidRPr="00295C0B">
        <w:rPr>
          <w:rFonts w:eastAsia="Times New Roman"/>
          <w:lang w:eastAsia="es-CR"/>
        </w:rPr>
        <w:t>NICSP 18- INFORMACIÓN FINANCIERA POR SEGMENTOS:</w:t>
      </w:r>
      <w:bookmarkEnd w:id="67"/>
      <w:bookmarkEnd w:id="68"/>
      <w:bookmarkEnd w:id="69"/>
      <w:bookmarkEnd w:id="70"/>
      <w:r w:rsidRPr="00295C0B">
        <w:rPr>
          <w:rFonts w:eastAsia="Times New Roman"/>
          <w:lang w:eastAsia="es-CR"/>
        </w:rPr>
        <w:t xml:space="preserve"> </w:t>
      </w:r>
    </w:p>
    <w:p w14:paraId="392CA0AD" w14:textId="77777777" w:rsidR="00694299" w:rsidRDefault="00295C0B" w:rsidP="00295C0B">
      <w:pPr>
        <w:rPr>
          <w:rFonts w:asciiTheme="minorHAnsi" w:hAnsiTheme="minorHAnsi"/>
          <w:sz w:val="22"/>
        </w:rPr>
      </w:pPr>
      <w:r w:rsidRPr="00405DBC">
        <w:t xml:space="preserve">De acuerdo con la </w:t>
      </w:r>
      <w:r w:rsidRPr="00295C0B">
        <w:rPr>
          <w:rFonts w:eastAsia="Times New Roman"/>
          <w:lang w:val="es-MX" w:eastAsia="es-CR"/>
        </w:rPr>
        <w:t>NICSP 18- Información Financiera por Segmentos</w:t>
      </w:r>
      <w:r>
        <w:t xml:space="preserve">, </w:t>
      </w:r>
      <w:r w:rsidRPr="00405DBC">
        <w:t>Indicar si este rubro afecta SI o NO a la institución, además del porcentaje de avance</w:t>
      </w:r>
      <w:r>
        <w:t xml:space="preserve"> en la implementación</w:t>
      </w:r>
      <w:r w:rsidRPr="00405DBC">
        <w:t xml:space="preserve"> que presenta</w:t>
      </w:r>
      <w:r>
        <w:rPr>
          <w:b/>
        </w:rPr>
        <w:t>.</w:t>
      </w:r>
      <w:r w:rsidR="00F56027">
        <w:fldChar w:fldCharType="begin"/>
      </w:r>
      <w:r w:rsidR="00F56027">
        <w:instrText xml:space="preserve"> LINK </w:instrText>
      </w:r>
      <w:r w:rsidR="00323752">
        <w:instrText xml:space="preserve">Excel.SheetMacroEnabled.12 "D:\\MORAVIA\\INSUMOS\\NOTAS 2024\\Formato_Notas_EEFF_Vinculadas_2024\\XXXXX_PXX_202X_Anexo_Estado_Notas_Contables_Vinculadas.xlsm" NICSP_18!F9C3:F10C4 </w:instrText>
      </w:r>
      <w:r w:rsidR="00F56027">
        <w:instrText xml:space="preserve">\a \f 4 \h </w:instrText>
      </w:r>
      <w:r w:rsidR="00F56027">
        <w:fldChar w:fldCharType="separate"/>
      </w:r>
    </w:p>
    <w:tbl>
      <w:tblPr>
        <w:tblW w:w="3760" w:type="dxa"/>
        <w:tblCellMar>
          <w:left w:w="70" w:type="dxa"/>
          <w:right w:w="70" w:type="dxa"/>
        </w:tblCellMar>
        <w:tblLook w:val="04A0" w:firstRow="1" w:lastRow="0" w:firstColumn="1" w:lastColumn="0" w:noHBand="0" w:noVBand="1"/>
      </w:tblPr>
      <w:tblGrid>
        <w:gridCol w:w="2360"/>
        <w:gridCol w:w="1400"/>
      </w:tblGrid>
      <w:tr w:rsidR="00694299" w:rsidRPr="00694299" w14:paraId="3F5BC225" w14:textId="77777777" w:rsidTr="00694299">
        <w:trPr>
          <w:divId w:val="619342288"/>
          <w:trHeight w:val="324"/>
        </w:trPr>
        <w:tc>
          <w:tcPr>
            <w:tcW w:w="23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67A220C7" w14:textId="62CEF8D3"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04E61"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No</w:t>
            </w:r>
          </w:p>
        </w:tc>
      </w:tr>
      <w:tr w:rsidR="00694299" w:rsidRPr="00694299" w14:paraId="461D6187" w14:textId="77777777" w:rsidTr="00694299">
        <w:trPr>
          <w:divId w:val="619342288"/>
          <w:trHeight w:val="324"/>
        </w:trPr>
        <w:tc>
          <w:tcPr>
            <w:tcW w:w="2360" w:type="dxa"/>
            <w:tcBorders>
              <w:top w:val="nil"/>
              <w:left w:val="single" w:sz="8" w:space="0" w:color="auto"/>
              <w:bottom w:val="single" w:sz="8" w:space="0" w:color="auto"/>
              <w:right w:val="single" w:sz="8" w:space="0" w:color="auto"/>
            </w:tcBorders>
            <w:shd w:val="clear" w:color="000000" w:fill="17365D"/>
            <w:vAlign w:val="center"/>
            <w:hideMark/>
          </w:tcPr>
          <w:p w14:paraId="3E33D64A"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65B0AE58"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 </w:t>
            </w:r>
          </w:p>
        </w:tc>
      </w:tr>
    </w:tbl>
    <w:p w14:paraId="4C5C3936" w14:textId="1B6FC379" w:rsidR="00295C0B" w:rsidRDefault="00F56027" w:rsidP="00295C0B">
      <w:r>
        <w:fldChar w:fldCharType="end"/>
      </w:r>
    </w:p>
    <w:p w14:paraId="72264AFA" w14:textId="480CE1F1" w:rsidR="00C94496" w:rsidRDefault="00295C0B" w:rsidP="00295C0B">
      <w:pPr>
        <w:jc w:val="center"/>
      </w:pPr>
      <w:r w:rsidRPr="0003248F">
        <w:rPr>
          <w:noProof/>
          <w:lang w:eastAsia="es-CR"/>
        </w:rPr>
        <w:drawing>
          <wp:inline distT="0" distB="0" distL="0" distR="0" wp14:anchorId="48C6B35F" wp14:editId="09DC1616">
            <wp:extent cx="4602480" cy="1584960"/>
            <wp:effectExtent l="0" t="0" r="0" b="0"/>
            <wp:docPr id="5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02480" cy="1584960"/>
                    </a:xfrm>
                    <a:prstGeom prst="rect">
                      <a:avLst/>
                    </a:prstGeom>
                    <a:noFill/>
                    <a:ln>
                      <a:noFill/>
                    </a:ln>
                  </pic:spPr>
                </pic:pic>
              </a:graphicData>
            </a:graphic>
          </wp:inline>
        </w:drawing>
      </w:r>
    </w:p>
    <w:p w14:paraId="19754494" w14:textId="2EE00866" w:rsidR="00295C0B" w:rsidRPr="00295C0B" w:rsidRDefault="00295C0B" w:rsidP="00295C0B">
      <w:pPr>
        <w:rPr>
          <w:lang w:val="es-MX"/>
        </w:rPr>
      </w:pPr>
      <w:r w:rsidRPr="00295C0B">
        <w:rPr>
          <w:lang w:val="es-MX"/>
        </w:rPr>
        <w:t>Se define al segmento como una actividad o grupo de actividades de la entidad, que son identificables y para las cuales es apropiado presentar información financiera separada con el fin de:</w:t>
      </w:r>
    </w:p>
    <w:p w14:paraId="106318E1" w14:textId="5F83318B" w:rsidR="00694299" w:rsidRPr="006D1C5F" w:rsidRDefault="00295C0B" w:rsidP="004653E2">
      <w:pPr>
        <w:pStyle w:val="Prrafodelista"/>
        <w:numPr>
          <w:ilvl w:val="0"/>
          <w:numId w:val="4"/>
        </w:numPr>
        <w:spacing w:line="240" w:lineRule="auto"/>
        <w:rPr>
          <w:rFonts w:asciiTheme="minorHAnsi" w:hAnsiTheme="minorHAnsi"/>
          <w:sz w:val="22"/>
        </w:rPr>
      </w:pPr>
      <w:r w:rsidRPr="006D1C5F">
        <w:rPr>
          <w:lang w:val="es-MX"/>
        </w:rPr>
        <w:t>evaluar el rendimiento pasado de la entidad en la consecución de sus objetivos; y</w:t>
      </w:r>
      <w:r w:rsidR="004B38F9" w:rsidRPr="006D1C5F">
        <w:rPr>
          <w:lang w:val="es-MX"/>
        </w:rPr>
        <w:t xml:space="preserve"> </w:t>
      </w:r>
      <w:r w:rsidRPr="006D1C5F">
        <w:rPr>
          <w:lang w:val="es-MX"/>
        </w:rPr>
        <w:t>tomar decisiones respecto de la futura asignación de recursos.</w:t>
      </w:r>
      <w:r w:rsidR="00F56027">
        <w:rPr>
          <w:lang w:val="es-MX"/>
        </w:rPr>
        <w:fldChar w:fldCharType="begin"/>
      </w:r>
      <w:r w:rsidR="00F56027" w:rsidRPr="006D1C5F">
        <w:rPr>
          <w:lang w:val="es-MX"/>
        </w:rPr>
        <w:instrText xml:space="preserve"> LINK </w:instrText>
      </w:r>
      <w:r w:rsidR="00323752" w:rsidRPr="006D1C5F">
        <w:rPr>
          <w:lang w:val="es-MX"/>
        </w:rPr>
        <w:instrText xml:space="preserve">Excel.SheetMacroEnabled.12 "D:\\MORAVIA\\INSUMOS\\NOTAS 2024\\Formato_Notas_EEFF_Vinculadas_2024\\XXXXX_PXX_202X_Anexo_Estado_Notas_Contables_Vinculadas.xlsm" NICSP_18!F9C6:F14C7 </w:instrText>
      </w:r>
      <w:r w:rsidR="00F56027" w:rsidRPr="006D1C5F">
        <w:rPr>
          <w:lang w:val="es-MX"/>
        </w:rPr>
        <w:instrText xml:space="preserve">\a \f 4 \h </w:instrText>
      </w:r>
      <w:r w:rsidR="00F56027">
        <w:rPr>
          <w:lang w:val="es-MX"/>
        </w:rPr>
        <w:fldChar w:fldCharType="separate"/>
      </w:r>
    </w:p>
    <w:tbl>
      <w:tblPr>
        <w:tblW w:w="7000" w:type="dxa"/>
        <w:tblCellMar>
          <w:left w:w="70" w:type="dxa"/>
          <w:right w:w="70" w:type="dxa"/>
        </w:tblCellMar>
        <w:tblLook w:val="04A0" w:firstRow="1" w:lastRow="0" w:firstColumn="1" w:lastColumn="0" w:noHBand="0" w:noVBand="1"/>
      </w:tblPr>
      <w:tblGrid>
        <w:gridCol w:w="2420"/>
        <w:gridCol w:w="4580"/>
      </w:tblGrid>
      <w:tr w:rsidR="00694299" w:rsidRPr="00694299" w14:paraId="740CB284" w14:textId="77777777" w:rsidTr="00694299">
        <w:trPr>
          <w:divId w:val="844244825"/>
          <w:trHeight w:val="324"/>
        </w:trPr>
        <w:tc>
          <w:tcPr>
            <w:tcW w:w="242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1C9BB54A" w14:textId="61979CB1"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Ente contable</w:t>
            </w:r>
          </w:p>
        </w:tc>
        <w:tc>
          <w:tcPr>
            <w:tcW w:w="4580" w:type="dxa"/>
            <w:tcBorders>
              <w:top w:val="single" w:sz="8" w:space="0" w:color="auto"/>
              <w:left w:val="nil"/>
              <w:bottom w:val="single" w:sz="8" w:space="0" w:color="auto"/>
              <w:right w:val="single" w:sz="8" w:space="0" w:color="auto"/>
            </w:tcBorders>
            <w:shd w:val="clear" w:color="000000" w:fill="1F3864"/>
            <w:noWrap/>
            <w:vAlign w:val="center"/>
            <w:hideMark/>
          </w:tcPr>
          <w:p w14:paraId="1C86A24A" w14:textId="77777777"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Código de Segmento asignado</w:t>
            </w:r>
          </w:p>
        </w:tc>
      </w:tr>
      <w:tr w:rsidR="00694299" w:rsidRPr="00694299" w14:paraId="32026797" w14:textId="77777777" w:rsidTr="00694299">
        <w:trPr>
          <w:divId w:val="844244825"/>
          <w:trHeight w:val="324"/>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14:paraId="262976A7"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4580" w:type="dxa"/>
            <w:tcBorders>
              <w:top w:val="nil"/>
              <w:left w:val="nil"/>
              <w:bottom w:val="single" w:sz="8" w:space="0" w:color="auto"/>
              <w:right w:val="single" w:sz="8" w:space="0" w:color="auto"/>
            </w:tcBorders>
            <w:shd w:val="clear" w:color="auto" w:fill="auto"/>
            <w:noWrap/>
            <w:vAlign w:val="center"/>
            <w:hideMark/>
          </w:tcPr>
          <w:p w14:paraId="1FB9B285"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r w:rsidR="00694299" w:rsidRPr="00694299" w14:paraId="5F5889CA" w14:textId="77777777" w:rsidTr="00694299">
        <w:trPr>
          <w:divId w:val="844244825"/>
          <w:trHeight w:val="288"/>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14:paraId="214CEC71"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4580" w:type="dxa"/>
            <w:tcBorders>
              <w:top w:val="nil"/>
              <w:left w:val="nil"/>
              <w:bottom w:val="single" w:sz="8" w:space="0" w:color="auto"/>
              <w:right w:val="single" w:sz="8" w:space="0" w:color="auto"/>
            </w:tcBorders>
            <w:shd w:val="clear" w:color="auto" w:fill="auto"/>
            <w:noWrap/>
            <w:vAlign w:val="center"/>
            <w:hideMark/>
          </w:tcPr>
          <w:p w14:paraId="1F1763B3"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r w:rsidR="00694299" w:rsidRPr="00694299" w14:paraId="6F2AD85F" w14:textId="77777777" w:rsidTr="00694299">
        <w:trPr>
          <w:divId w:val="844244825"/>
          <w:trHeight w:val="288"/>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14:paraId="62AAFA53"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4580" w:type="dxa"/>
            <w:tcBorders>
              <w:top w:val="nil"/>
              <w:left w:val="nil"/>
              <w:bottom w:val="single" w:sz="8" w:space="0" w:color="auto"/>
              <w:right w:val="single" w:sz="8" w:space="0" w:color="auto"/>
            </w:tcBorders>
            <w:shd w:val="clear" w:color="auto" w:fill="auto"/>
            <w:noWrap/>
            <w:vAlign w:val="center"/>
            <w:hideMark/>
          </w:tcPr>
          <w:p w14:paraId="54522A3A"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r w:rsidR="00694299" w:rsidRPr="00694299" w14:paraId="3AC3130C" w14:textId="77777777" w:rsidTr="00694299">
        <w:trPr>
          <w:divId w:val="844244825"/>
          <w:trHeight w:val="288"/>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14:paraId="59BBA487"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4580" w:type="dxa"/>
            <w:tcBorders>
              <w:top w:val="nil"/>
              <w:left w:val="nil"/>
              <w:bottom w:val="single" w:sz="8" w:space="0" w:color="auto"/>
              <w:right w:val="single" w:sz="8" w:space="0" w:color="auto"/>
            </w:tcBorders>
            <w:shd w:val="clear" w:color="auto" w:fill="auto"/>
            <w:noWrap/>
            <w:vAlign w:val="center"/>
            <w:hideMark/>
          </w:tcPr>
          <w:p w14:paraId="0EA3BE2A"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r w:rsidR="00694299" w:rsidRPr="00694299" w14:paraId="04930A01" w14:textId="77777777" w:rsidTr="00694299">
        <w:trPr>
          <w:divId w:val="844244825"/>
          <w:trHeight w:val="288"/>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14:paraId="68BE7944"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4580" w:type="dxa"/>
            <w:tcBorders>
              <w:top w:val="nil"/>
              <w:left w:val="nil"/>
              <w:bottom w:val="single" w:sz="8" w:space="0" w:color="auto"/>
              <w:right w:val="single" w:sz="8" w:space="0" w:color="auto"/>
            </w:tcBorders>
            <w:shd w:val="clear" w:color="auto" w:fill="auto"/>
            <w:noWrap/>
            <w:vAlign w:val="center"/>
            <w:hideMark/>
          </w:tcPr>
          <w:p w14:paraId="6E3F1199"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bl>
    <w:p w14:paraId="23E639D6" w14:textId="77777777" w:rsidR="004B38F9" w:rsidRDefault="00F56027" w:rsidP="004B38F9">
      <w:pPr>
        <w:spacing w:line="240" w:lineRule="auto"/>
        <w:rPr>
          <w:lang w:val="es-MX"/>
        </w:rPr>
      </w:pPr>
      <w:r>
        <w:rPr>
          <w:lang w:val="es-MX"/>
        </w:rPr>
        <w:fldChar w:fldCharType="end"/>
      </w:r>
    </w:p>
    <w:p w14:paraId="59C48E86" w14:textId="28C4E086" w:rsidR="004B38F9" w:rsidRPr="003516A2" w:rsidRDefault="004B38F9" w:rsidP="004B38F9">
      <w:pPr>
        <w:spacing w:line="240" w:lineRule="auto"/>
        <w:rPr>
          <w:b/>
          <w:color w:val="FFFFFF" w:themeColor="background1"/>
          <w:highlight w:val="darkBlue"/>
          <w:u w:val="single"/>
        </w:rPr>
      </w:pPr>
      <w:r w:rsidRPr="004B38F9">
        <w:rPr>
          <w:b/>
          <w:color w:val="FFFFFF" w:themeColor="background1"/>
          <w:highlight w:val="darkBlue"/>
          <w:u w:val="single"/>
        </w:rPr>
        <w:t xml:space="preserve"> </w:t>
      </w: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649C9F44" w14:textId="77777777" w:rsidR="004B38F9" w:rsidRDefault="004B38F9" w:rsidP="004B38F9">
      <w:pPr>
        <w:spacing w:line="240" w:lineRule="auto"/>
        <w:rPr>
          <w:b/>
          <w:u w:val="single"/>
        </w:rPr>
      </w:pPr>
    </w:p>
    <w:p w14:paraId="6796E5D1" w14:textId="77777777" w:rsidR="004B38F9" w:rsidRPr="003516A2" w:rsidRDefault="004B38F9" w:rsidP="004B38F9">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22FB7545" w14:textId="77777777" w:rsidR="004B38F9" w:rsidRPr="002007F6" w:rsidRDefault="004B38F9" w:rsidP="004B38F9">
      <w:pPr>
        <w:rPr>
          <w:lang w:val="es-MX"/>
        </w:rPr>
      </w:pPr>
      <w:r>
        <w:rPr>
          <w:lang w:val="es-MX"/>
        </w:rPr>
        <w:t>________________________________________________________________________________________________________________________________________________________________</w:t>
      </w:r>
    </w:p>
    <w:p w14:paraId="2EC09C60" w14:textId="19ECBBEF" w:rsidR="00295C0B" w:rsidRPr="00422EDF" w:rsidRDefault="00295C0B" w:rsidP="00422EDF">
      <w:pPr>
        <w:spacing w:before="240"/>
        <w:rPr>
          <w:lang w:val="es-MX"/>
        </w:rPr>
      </w:pPr>
      <w:r w:rsidRPr="004B38F9">
        <w:rPr>
          <w:b/>
          <w:color w:val="FFFFFF" w:themeColor="background1"/>
          <w:highlight w:val="darkBlue"/>
          <w:u w:val="single"/>
        </w:rPr>
        <w:t>Revelación Suficiente:</w:t>
      </w:r>
      <w:r w:rsidRPr="00295C0B">
        <w:rPr>
          <w:b/>
          <w:u w:val="single"/>
          <w:lang w:eastAsia="es-CR"/>
        </w:rPr>
        <w:t xml:space="preserve"> El ente debe cumplir con lo estipulado en revelación con forme a la NICSP, también debe considerar la política general y los párrafos incluidos en la matriz de autoevaluación referente a esta NICSP y guías de aplicación (Ver GA NICSP 18):</w:t>
      </w:r>
    </w:p>
    <w:p w14:paraId="54012B2D" w14:textId="77777777" w:rsidR="006D1C5F" w:rsidRPr="00B92CC6" w:rsidRDefault="006D1C5F" w:rsidP="006D1C5F">
      <w:pPr>
        <w:spacing w:after="0" w:line="240" w:lineRule="auto"/>
        <w:ind w:right="51"/>
        <w:rPr>
          <w:szCs w:val="24"/>
        </w:rPr>
      </w:pPr>
      <w:r w:rsidRPr="00B92CC6">
        <w:rPr>
          <w:szCs w:val="24"/>
        </w:rPr>
        <w:t>La Municipal no se tiene la estructura organizacional para generar la información financiera por segmentos; además el nivel superior no ha establecido la necesidad de generar dicha información.  Como parte de las acciones incluidas en el plan de acción de implementación de las NICSP se tiene programado hacer un análisis para establecer las acciones y requerimientos pertinentes para promover el control financiero administrativo por segmentos.</w:t>
      </w:r>
    </w:p>
    <w:p w14:paraId="60CCB7D2" w14:textId="28B4E841" w:rsidR="00295C0B" w:rsidRDefault="00295C0B" w:rsidP="006D1C5F">
      <w:pPr>
        <w:spacing w:after="0" w:line="240" w:lineRule="auto"/>
      </w:pPr>
    </w:p>
    <w:p w14:paraId="21B84E10" w14:textId="77777777" w:rsidR="006D1C5F" w:rsidRDefault="006D1C5F" w:rsidP="00295C0B"/>
    <w:p w14:paraId="3F3ECDD8" w14:textId="7C200E18" w:rsidR="00295C0B" w:rsidRPr="00A649A4" w:rsidRDefault="00295C0B" w:rsidP="00A649A4">
      <w:pPr>
        <w:pStyle w:val="Ttulo2"/>
        <w:spacing w:after="240"/>
        <w:rPr>
          <w:rFonts w:eastAsia="Times New Roman"/>
          <w:lang w:eastAsia="es-CR"/>
        </w:rPr>
      </w:pPr>
      <w:bookmarkStart w:id="71" w:name="_Toc54961684"/>
      <w:bookmarkStart w:id="72" w:name="_Toc82768880"/>
      <w:bookmarkStart w:id="73" w:name="_Toc173245200"/>
      <w:r w:rsidRPr="00295C0B">
        <w:rPr>
          <w:rFonts w:eastAsia="Times New Roman"/>
          <w:lang w:eastAsia="es-CR"/>
        </w:rPr>
        <w:t>NICSP 19- PROVISIONES, ACTIVOS Y PASIVOS CONTINGENTES</w:t>
      </w:r>
      <w:bookmarkEnd w:id="71"/>
      <w:bookmarkEnd w:id="72"/>
      <w:r w:rsidRPr="00295C0B">
        <w:rPr>
          <w:rFonts w:eastAsia="Times New Roman"/>
          <w:lang w:eastAsia="es-CR"/>
        </w:rPr>
        <w:t xml:space="preserve"> (DE APLICACIÓN OBLIGATORIA):</w:t>
      </w:r>
      <w:bookmarkEnd w:id="73"/>
      <w:r w:rsidRPr="00295C0B">
        <w:rPr>
          <w:rFonts w:eastAsia="Times New Roman"/>
          <w:lang w:eastAsia="es-CR"/>
        </w:rPr>
        <w:t xml:space="preserve"> </w:t>
      </w:r>
    </w:p>
    <w:p w14:paraId="72BF9428" w14:textId="77777777" w:rsidR="00694299" w:rsidRDefault="00295C0B" w:rsidP="00295C0B">
      <w:pPr>
        <w:rPr>
          <w:rFonts w:asciiTheme="minorHAnsi" w:hAnsiTheme="minorHAnsi"/>
          <w:sz w:val="22"/>
        </w:rPr>
      </w:pPr>
      <w:r w:rsidRPr="00FB0858">
        <w:t xml:space="preserve">De acuerdo con la </w:t>
      </w:r>
      <w:r w:rsidRPr="000B404C">
        <w:t xml:space="preserve">De acuerdo con la </w:t>
      </w:r>
      <w:r w:rsidRPr="00295C0B">
        <w:t>NICSP 19- Activos y Pasivos Contingentes</w:t>
      </w:r>
      <w:r>
        <w:t xml:space="preserve">, indicar si este rubro afecta SI o NO a la institución, </w:t>
      </w:r>
      <w:r w:rsidRPr="00405DBC">
        <w:t>además del porcentaje de avance</w:t>
      </w:r>
      <w:r>
        <w:t xml:space="preserve"> en la implementación</w:t>
      </w:r>
      <w:r w:rsidRPr="00405DBC">
        <w:t xml:space="preserve"> que presenta</w:t>
      </w:r>
      <w:r>
        <w:t>.</w:t>
      </w:r>
      <w:r w:rsidR="001F4B1E">
        <w:rPr>
          <w:lang w:eastAsia="es-CR"/>
        </w:rPr>
        <w:fldChar w:fldCharType="begin"/>
      </w:r>
      <w:r w:rsidR="001F4B1E">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NICSP_19_ACTIVO!F9C3:F10C4 </w:instrText>
      </w:r>
      <w:r w:rsidR="001F4B1E">
        <w:rPr>
          <w:lang w:eastAsia="es-CR"/>
        </w:rPr>
        <w:instrText xml:space="preserve">\a \f 4 \h </w:instrText>
      </w:r>
      <w:r w:rsidR="001F4B1E">
        <w:rPr>
          <w:lang w:eastAsia="es-CR"/>
        </w:rPr>
        <w:fldChar w:fldCharType="separate"/>
      </w:r>
    </w:p>
    <w:tbl>
      <w:tblPr>
        <w:tblW w:w="3720" w:type="dxa"/>
        <w:tblCellMar>
          <w:left w:w="70" w:type="dxa"/>
          <w:right w:w="70" w:type="dxa"/>
        </w:tblCellMar>
        <w:tblLook w:val="04A0" w:firstRow="1" w:lastRow="0" w:firstColumn="1" w:lastColumn="0" w:noHBand="0" w:noVBand="1"/>
      </w:tblPr>
      <w:tblGrid>
        <w:gridCol w:w="2200"/>
        <w:gridCol w:w="1520"/>
      </w:tblGrid>
      <w:tr w:rsidR="00694299" w:rsidRPr="00694299" w14:paraId="797B90EB" w14:textId="77777777" w:rsidTr="00694299">
        <w:trPr>
          <w:divId w:val="1602032661"/>
          <w:trHeight w:val="324"/>
        </w:trPr>
        <w:tc>
          <w:tcPr>
            <w:tcW w:w="22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78D6224F" w14:textId="54AC582D"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F3971"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Si</w:t>
            </w:r>
          </w:p>
        </w:tc>
      </w:tr>
      <w:tr w:rsidR="00694299" w:rsidRPr="00694299" w14:paraId="6894648E" w14:textId="77777777" w:rsidTr="00694299">
        <w:trPr>
          <w:divId w:val="1602032661"/>
          <w:trHeight w:val="324"/>
        </w:trPr>
        <w:tc>
          <w:tcPr>
            <w:tcW w:w="2200" w:type="dxa"/>
            <w:tcBorders>
              <w:top w:val="nil"/>
              <w:left w:val="single" w:sz="8" w:space="0" w:color="auto"/>
              <w:bottom w:val="single" w:sz="8" w:space="0" w:color="auto"/>
              <w:right w:val="single" w:sz="8" w:space="0" w:color="auto"/>
            </w:tcBorders>
            <w:shd w:val="clear" w:color="000000" w:fill="17365D"/>
            <w:vAlign w:val="center"/>
            <w:hideMark/>
          </w:tcPr>
          <w:p w14:paraId="147384A7"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2EB4C91F"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92,00%</w:t>
            </w:r>
          </w:p>
        </w:tc>
      </w:tr>
    </w:tbl>
    <w:p w14:paraId="26549DE6" w14:textId="45006BB3" w:rsidR="00295C0B" w:rsidRDefault="001F4B1E" w:rsidP="00295C0B">
      <w:pPr>
        <w:rPr>
          <w:b/>
          <w:sz w:val="16"/>
          <w:szCs w:val="16"/>
          <w:lang w:eastAsia="es-CR"/>
        </w:rPr>
      </w:pPr>
      <w:r>
        <w:rPr>
          <w:b/>
          <w:sz w:val="16"/>
          <w:szCs w:val="16"/>
          <w:lang w:eastAsia="es-CR"/>
        </w:rPr>
        <w:fldChar w:fldCharType="end"/>
      </w:r>
      <w:r>
        <w:rPr>
          <w:b/>
          <w:sz w:val="16"/>
          <w:szCs w:val="16"/>
          <w:lang w:eastAsia="es-CR"/>
        </w:rPr>
        <w:t xml:space="preserve">                                          </w:t>
      </w:r>
      <w:r w:rsidR="00295C0B" w:rsidRPr="00C35565">
        <w:rPr>
          <w:b/>
          <w:sz w:val="16"/>
          <w:szCs w:val="16"/>
          <w:lang w:eastAsia="es-CR"/>
        </w:rPr>
        <w:t>-Aplicación Obligatoria-</w:t>
      </w:r>
    </w:p>
    <w:p w14:paraId="3C30868C" w14:textId="77777777" w:rsidR="001D0A81" w:rsidRPr="00295C0B" w:rsidRDefault="001D0A81" w:rsidP="00295C0B">
      <w:pPr>
        <w:rPr>
          <w:b/>
          <w:sz w:val="16"/>
          <w:szCs w:val="16"/>
          <w:lang w:eastAsia="es-CR"/>
        </w:rPr>
      </w:pPr>
    </w:p>
    <w:p w14:paraId="2A0BA1EF" w14:textId="77777777" w:rsidR="00295C0B" w:rsidRPr="00295C0B" w:rsidRDefault="00295C0B" w:rsidP="00295C0B">
      <w:pPr>
        <w:rPr>
          <w:rFonts w:eastAsia="Times New Roman" w:cs="Times New Roman"/>
          <w:sz w:val="22"/>
          <w:lang w:val="es-ES_tradnl" w:eastAsia="es-CR"/>
        </w:rPr>
      </w:pPr>
      <w:r w:rsidRPr="00295C0B">
        <w:rPr>
          <w:rFonts w:eastAsia="Times New Roman" w:cs="Times New Roman"/>
          <w:sz w:val="22"/>
          <w:lang w:val="es-ES_tradnl" w:eastAsia="es-CR"/>
        </w:rPr>
        <w:t>El responsable contable debe analizar el tratamiento contable:</w:t>
      </w:r>
    </w:p>
    <w:p w14:paraId="5D0B71ED" w14:textId="77777777" w:rsidR="005F2549" w:rsidRDefault="00295C0B" w:rsidP="000B404C">
      <w:pPr>
        <w:rPr>
          <w:rFonts w:eastAsia="Calibri" w:cs="Times New Roman"/>
          <w:sz w:val="22"/>
          <w:lang w:val="es-MX"/>
        </w:rPr>
      </w:pPr>
      <w:r w:rsidRPr="00295C0B">
        <w:rPr>
          <w:rFonts w:eastAsia="Calibri" w:cs="Times New Roman"/>
          <w:sz w:val="22"/>
          <w:lang w:val="es-MX"/>
        </w:rPr>
        <w:t>A continuación, un cuadro resumen, pero el detalle de los cuadros debe ser adjuntados como anexos</w:t>
      </w:r>
    </w:p>
    <w:p w14:paraId="1E6C447D" w14:textId="6C00855A" w:rsidR="001D0A81" w:rsidRDefault="00764935" w:rsidP="001F4B1E">
      <w:pPr>
        <w:rPr>
          <w:rFonts w:eastAsia="Calibri" w:cs="Times New Roman"/>
          <w:sz w:val="22"/>
          <w:lang w:val="es-MX"/>
        </w:rPr>
      </w:pPr>
      <w:hyperlink w:anchor="_NICSP_19-_Activos" w:history="1">
        <w:r w:rsidR="00295C0B" w:rsidRPr="005F2549">
          <w:rPr>
            <w:rStyle w:val="Hipervnculo"/>
            <w:rFonts w:eastAsia="Calibri" w:cs="Times New Roman"/>
            <w:sz w:val="22"/>
            <w:lang w:val="es-MX"/>
          </w:rPr>
          <w:t xml:space="preserve"> NICSP 19- Activos Contingentes</w:t>
        </w:r>
      </w:hyperlink>
      <w:r w:rsidR="005F2549">
        <w:rPr>
          <w:rFonts w:eastAsia="Calibri" w:cs="Times New Roman"/>
          <w:sz w:val="22"/>
          <w:lang w:val="es-MX"/>
        </w:rPr>
        <w:t xml:space="preserve">  / </w:t>
      </w:r>
      <w:r w:rsidR="005F2549" w:rsidRPr="005F2549">
        <w:rPr>
          <w:rFonts w:eastAsia="Calibri" w:cs="Times New Roman"/>
          <w:sz w:val="22"/>
          <w:lang w:val="es-MX"/>
        </w:rPr>
        <w:t xml:space="preserve"> </w:t>
      </w:r>
      <w:hyperlink w:anchor="_NICSP_19-_PASIVOS" w:history="1">
        <w:r w:rsidR="005F2549" w:rsidRPr="005F2549">
          <w:rPr>
            <w:rStyle w:val="Hipervnculo"/>
            <w:rFonts w:eastAsia="Calibri" w:cs="Times New Roman"/>
            <w:sz w:val="22"/>
            <w:lang w:val="es-MX"/>
          </w:rPr>
          <w:t>NICSP 19- Pasivos Contingentes</w:t>
        </w:r>
      </w:hyperlink>
      <w:r w:rsidR="005F2549" w:rsidRPr="005F2549">
        <w:rPr>
          <w:rFonts w:eastAsia="Calibri" w:cs="Times New Roman"/>
          <w:sz w:val="22"/>
          <w:lang w:val="es-MX"/>
        </w:rPr>
        <w:t>:</w:t>
      </w:r>
    </w:p>
    <w:p w14:paraId="0DBF8B56" w14:textId="77777777" w:rsidR="00694299" w:rsidRDefault="001F4B1E" w:rsidP="001F4B1E">
      <w:pPr>
        <w:rPr>
          <w:rFonts w:asciiTheme="minorHAnsi" w:hAnsiTheme="minorHAnsi"/>
          <w:sz w:val="22"/>
        </w:rPr>
      </w:pPr>
      <w:r>
        <w:fldChar w:fldCharType="begin"/>
      </w:r>
      <w:r>
        <w:instrText xml:space="preserve"> LINK </w:instrText>
      </w:r>
      <w:r w:rsidR="00323752">
        <w:instrText xml:space="preserve">Excel.SheetMacroEnabled.12 "D:\\MORAVIA\\INSUMOS\\NOTAS 2024\\Formato_Notas_EEFF_Vinculadas_2024\\XXXXX_PXX_202X_Anexo_Estado_Notas_Contables_Vinculadas.xlsm" NICSP_19_ACTIVO!F13C6:F18C10 </w:instrText>
      </w:r>
      <w:r>
        <w:instrText xml:space="preserve">\a \f 4 \h </w:instrText>
      </w:r>
      <w:r>
        <w:fldChar w:fldCharType="separate"/>
      </w:r>
    </w:p>
    <w:tbl>
      <w:tblPr>
        <w:tblW w:w="9740" w:type="dxa"/>
        <w:tblCellMar>
          <w:left w:w="70" w:type="dxa"/>
          <w:right w:w="70" w:type="dxa"/>
        </w:tblCellMar>
        <w:tblLook w:val="04A0" w:firstRow="1" w:lastRow="0" w:firstColumn="1" w:lastColumn="0" w:noHBand="0" w:noVBand="1"/>
      </w:tblPr>
      <w:tblGrid>
        <w:gridCol w:w="2496"/>
        <w:gridCol w:w="1959"/>
        <w:gridCol w:w="988"/>
        <w:gridCol w:w="2338"/>
        <w:gridCol w:w="1959"/>
      </w:tblGrid>
      <w:tr w:rsidR="00694299" w:rsidRPr="00694299" w14:paraId="5D9F7584" w14:textId="77777777" w:rsidTr="00694299">
        <w:trPr>
          <w:divId w:val="1074091010"/>
          <w:trHeight w:val="636"/>
        </w:trPr>
        <w:tc>
          <w:tcPr>
            <w:tcW w:w="2496" w:type="dxa"/>
            <w:tcBorders>
              <w:top w:val="single" w:sz="8" w:space="0" w:color="auto"/>
              <w:left w:val="single" w:sz="8" w:space="0" w:color="auto"/>
              <w:bottom w:val="single" w:sz="8" w:space="0" w:color="auto"/>
              <w:right w:val="nil"/>
            </w:tcBorders>
            <w:shd w:val="clear" w:color="000000" w:fill="1F3864"/>
            <w:vAlign w:val="center"/>
            <w:hideMark/>
          </w:tcPr>
          <w:p w14:paraId="6FC5C9DD" w14:textId="64C8FDDA"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Resumen</w:t>
            </w:r>
            <w:r w:rsidRPr="00694299">
              <w:rPr>
                <w:rFonts w:eastAsia="Times New Roman" w:cs="Calibri"/>
                <w:color w:val="FFFFFF"/>
                <w:szCs w:val="24"/>
                <w:lang w:eastAsia="es-CR"/>
              </w:rPr>
              <w:br/>
              <w:t>Montos</w:t>
            </w:r>
          </w:p>
        </w:tc>
        <w:tc>
          <w:tcPr>
            <w:tcW w:w="1959" w:type="dxa"/>
            <w:tcBorders>
              <w:top w:val="single" w:sz="8" w:space="0" w:color="auto"/>
              <w:left w:val="single" w:sz="8" w:space="0" w:color="auto"/>
              <w:bottom w:val="single" w:sz="8" w:space="0" w:color="auto"/>
              <w:right w:val="nil"/>
            </w:tcBorders>
            <w:shd w:val="clear" w:color="000000" w:fill="1F3864"/>
            <w:vAlign w:val="center"/>
            <w:hideMark/>
          </w:tcPr>
          <w:p w14:paraId="11DE28E3"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Activos Contingentes</w:t>
            </w:r>
          </w:p>
        </w:tc>
        <w:tc>
          <w:tcPr>
            <w:tcW w:w="988" w:type="dxa"/>
            <w:tcBorders>
              <w:top w:val="nil"/>
              <w:left w:val="nil"/>
              <w:bottom w:val="nil"/>
              <w:right w:val="nil"/>
            </w:tcBorders>
            <w:shd w:val="clear" w:color="auto" w:fill="auto"/>
            <w:noWrap/>
            <w:vAlign w:val="bottom"/>
            <w:hideMark/>
          </w:tcPr>
          <w:p w14:paraId="12D33AD9" w14:textId="77777777" w:rsidR="00694299" w:rsidRPr="00694299" w:rsidRDefault="00694299" w:rsidP="00694299">
            <w:pPr>
              <w:spacing w:after="0" w:line="240" w:lineRule="auto"/>
              <w:jc w:val="center"/>
              <w:rPr>
                <w:rFonts w:eastAsia="Times New Roman" w:cs="Calibri"/>
                <w:color w:val="FFFFFF"/>
                <w:szCs w:val="24"/>
                <w:lang w:eastAsia="es-CR"/>
              </w:rPr>
            </w:pPr>
          </w:p>
        </w:tc>
        <w:tc>
          <w:tcPr>
            <w:tcW w:w="2338" w:type="dxa"/>
            <w:tcBorders>
              <w:top w:val="single" w:sz="8" w:space="0" w:color="auto"/>
              <w:left w:val="single" w:sz="8" w:space="0" w:color="auto"/>
              <w:bottom w:val="single" w:sz="8" w:space="0" w:color="auto"/>
              <w:right w:val="nil"/>
            </w:tcBorders>
            <w:shd w:val="clear" w:color="000000" w:fill="1F3864"/>
            <w:vAlign w:val="center"/>
            <w:hideMark/>
          </w:tcPr>
          <w:p w14:paraId="4C855B04"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Resumen</w:t>
            </w:r>
            <w:r w:rsidRPr="00694299">
              <w:rPr>
                <w:rFonts w:eastAsia="Times New Roman" w:cs="Calibri"/>
                <w:color w:val="FFFFFF"/>
                <w:szCs w:val="24"/>
                <w:lang w:eastAsia="es-CR"/>
              </w:rPr>
              <w:br/>
              <w:t xml:space="preserve">Cantidad </w:t>
            </w:r>
          </w:p>
        </w:tc>
        <w:tc>
          <w:tcPr>
            <w:tcW w:w="1959" w:type="dxa"/>
            <w:tcBorders>
              <w:top w:val="single" w:sz="8" w:space="0" w:color="auto"/>
              <w:left w:val="single" w:sz="8" w:space="0" w:color="auto"/>
              <w:bottom w:val="single" w:sz="8" w:space="0" w:color="auto"/>
              <w:right w:val="nil"/>
            </w:tcBorders>
            <w:shd w:val="clear" w:color="000000" w:fill="1F3864"/>
            <w:vAlign w:val="center"/>
            <w:hideMark/>
          </w:tcPr>
          <w:p w14:paraId="33018D88"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Activos Contingentes</w:t>
            </w:r>
          </w:p>
        </w:tc>
      </w:tr>
      <w:tr w:rsidR="00694299" w:rsidRPr="00694299" w14:paraId="23F45507" w14:textId="77777777" w:rsidTr="00694299">
        <w:trPr>
          <w:divId w:val="1074091010"/>
          <w:trHeight w:val="324"/>
        </w:trPr>
        <w:tc>
          <w:tcPr>
            <w:tcW w:w="2496" w:type="dxa"/>
            <w:tcBorders>
              <w:top w:val="nil"/>
              <w:left w:val="single" w:sz="8" w:space="0" w:color="auto"/>
              <w:bottom w:val="single" w:sz="8" w:space="0" w:color="auto"/>
              <w:right w:val="nil"/>
            </w:tcBorders>
            <w:shd w:val="clear" w:color="000000" w:fill="1F3864"/>
            <w:vAlign w:val="center"/>
            <w:hideMark/>
          </w:tcPr>
          <w:p w14:paraId="496C445C"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Pretensión Inicial</w:t>
            </w:r>
          </w:p>
        </w:tc>
        <w:tc>
          <w:tcPr>
            <w:tcW w:w="1959" w:type="dxa"/>
            <w:tcBorders>
              <w:top w:val="nil"/>
              <w:left w:val="nil"/>
              <w:bottom w:val="single" w:sz="8" w:space="0" w:color="auto"/>
              <w:right w:val="single" w:sz="8" w:space="0" w:color="auto"/>
            </w:tcBorders>
            <w:shd w:val="clear" w:color="auto" w:fill="auto"/>
            <w:noWrap/>
            <w:vAlign w:val="center"/>
            <w:hideMark/>
          </w:tcPr>
          <w:p w14:paraId="59875D7B" w14:textId="77777777" w:rsidR="00694299" w:rsidRPr="00694299" w:rsidRDefault="00694299" w:rsidP="00694299">
            <w:pPr>
              <w:spacing w:after="0" w:line="240" w:lineRule="auto"/>
              <w:jc w:val="right"/>
              <w:rPr>
                <w:rFonts w:eastAsia="Times New Roman" w:cs="Calibri"/>
                <w:color w:val="000000"/>
                <w:sz w:val="20"/>
                <w:szCs w:val="20"/>
                <w:lang w:eastAsia="es-CR"/>
              </w:rPr>
            </w:pPr>
            <w:r w:rsidRPr="00694299">
              <w:rPr>
                <w:rFonts w:ascii="Arial" w:eastAsia="Times New Roman" w:hAnsi="Arial" w:cs="Arial"/>
                <w:color w:val="000000"/>
                <w:sz w:val="20"/>
                <w:szCs w:val="20"/>
                <w:lang w:eastAsia="es-CR"/>
              </w:rPr>
              <w:t>₡</w:t>
            </w:r>
            <w:r w:rsidRPr="00694299">
              <w:rPr>
                <w:rFonts w:eastAsia="Times New Roman" w:cs="Calibri"/>
                <w:color w:val="000000"/>
                <w:sz w:val="20"/>
                <w:szCs w:val="20"/>
                <w:lang w:eastAsia="es-CR"/>
              </w:rPr>
              <w:t>0,00</w:t>
            </w:r>
          </w:p>
        </w:tc>
        <w:tc>
          <w:tcPr>
            <w:tcW w:w="988" w:type="dxa"/>
            <w:tcBorders>
              <w:top w:val="nil"/>
              <w:left w:val="nil"/>
              <w:bottom w:val="nil"/>
              <w:right w:val="nil"/>
            </w:tcBorders>
            <w:shd w:val="clear" w:color="auto" w:fill="auto"/>
            <w:noWrap/>
            <w:vAlign w:val="bottom"/>
            <w:hideMark/>
          </w:tcPr>
          <w:p w14:paraId="391A0C47" w14:textId="77777777" w:rsidR="00694299" w:rsidRPr="00694299" w:rsidRDefault="00694299" w:rsidP="00694299">
            <w:pPr>
              <w:spacing w:after="0" w:line="240" w:lineRule="auto"/>
              <w:jc w:val="right"/>
              <w:rPr>
                <w:rFonts w:eastAsia="Times New Roman" w:cs="Calibri"/>
                <w:color w:val="000000"/>
                <w:sz w:val="20"/>
                <w:szCs w:val="20"/>
                <w:lang w:eastAsia="es-CR"/>
              </w:rPr>
            </w:pPr>
          </w:p>
        </w:tc>
        <w:tc>
          <w:tcPr>
            <w:tcW w:w="2338" w:type="dxa"/>
            <w:tcBorders>
              <w:top w:val="nil"/>
              <w:left w:val="single" w:sz="8" w:space="0" w:color="auto"/>
              <w:bottom w:val="single" w:sz="8" w:space="0" w:color="auto"/>
              <w:right w:val="nil"/>
            </w:tcBorders>
            <w:shd w:val="clear" w:color="000000" w:fill="1F3864"/>
            <w:vAlign w:val="center"/>
            <w:hideMark/>
          </w:tcPr>
          <w:p w14:paraId="3755DC68"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Pretensión Inicial</w:t>
            </w:r>
          </w:p>
        </w:tc>
        <w:tc>
          <w:tcPr>
            <w:tcW w:w="1959" w:type="dxa"/>
            <w:tcBorders>
              <w:top w:val="nil"/>
              <w:left w:val="nil"/>
              <w:bottom w:val="single" w:sz="8" w:space="0" w:color="auto"/>
              <w:right w:val="single" w:sz="8" w:space="0" w:color="auto"/>
            </w:tcBorders>
            <w:shd w:val="clear" w:color="auto" w:fill="auto"/>
            <w:noWrap/>
            <w:vAlign w:val="center"/>
            <w:hideMark/>
          </w:tcPr>
          <w:p w14:paraId="73F548BC" w14:textId="77777777" w:rsidR="00694299" w:rsidRPr="00694299" w:rsidRDefault="00694299" w:rsidP="00694299">
            <w:pPr>
              <w:spacing w:after="0" w:line="240" w:lineRule="auto"/>
              <w:jc w:val="center"/>
              <w:rPr>
                <w:rFonts w:eastAsia="Times New Roman" w:cs="Calibri"/>
                <w:color w:val="000000"/>
                <w:sz w:val="20"/>
                <w:szCs w:val="20"/>
                <w:lang w:eastAsia="es-CR"/>
              </w:rPr>
            </w:pPr>
            <w:r w:rsidRPr="00694299">
              <w:rPr>
                <w:rFonts w:eastAsia="Times New Roman" w:cs="Calibri"/>
                <w:color w:val="000000"/>
                <w:sz w:val="20"/>
                <w:szCs w:val="20"/>
                <w:lang w:eastAsia="es-CR"/>
              </w:rPr>
              <w:t> </w:t>
            </w:r>
          </w:p>
        </w:tc>
      </w:tr>
      <w:tr w:rsidR="00694299" w:rsidRPr="00694299" w14:paraId="123FCC55" w14:textId="77777777" w:rsidTr="00694299">
        <w:trPr>
          <w:divId w:val="1074091010"/>
          <w:trHeight w:val="324"/>
        </w:trPr>
        <w:tc>
          <w:tcPr>
            <w:tcW w:w="2496" w:type="dxa"/>
            <w:tcBorders>
              <w:top w:val="nil"/>
              <w:left w:val="single" w:sz="8" w:space="0" w:color="auto"/>
              <w:bottom w:val="single" w:sz="8" w:space="0" w:color="auto"/>
              <w:right w:val="nil"/>
            </w:tcBorders>
            <w:shd w:val="clear" w:color="000000" w:fill="1F3864"/>
            <w:vAlign w:val="center"/>
            <w:hideMark/>
          </w:tcPr>
          <w:p w14:paraId="6F6EA36A"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Resolución provisional 1</w:t>
            </w:r>
          </w:p>
        </w:tc>
        <w:tc>
          <w:tcPr>
            <w:tcW w:w="1959" w:type="dxa"/>
            <w:tcBorders>
              <w:top w:val="nil"/>
              <w:left w:val="nil"/>
              <w:bottom w:val="single" w:sz="8" w:space="0" w:color="auto"/>
              <w:right w:val="single" w:sz="8" w:space="0" w:color="auto"/>
            </w:tcBorders>
            <w:shd w:val="clear" w:color="auto" w:fill="auto"/>
            <w:noWrap/>
            <w:vAlign w:val="center"/>
            <w:hideMark/>
          </w:tcPr>
          <w:p w14:paraId="02800A5B" w14:textId="77777777" w:rsidR="00694299" w:rsidRPr="00694299" w:rsidRDefault="00694299" w:rsidP="00694299">
            <w:pPr>
              <w:spacing w:after="0" w:line="240" w:lineRule="auto"/>
              <w:jc w:val="right"/>
              <w:rPr>
                <w:rFonts w:eastAsia="Times New Roman" w:cs="Calibri"/>
                <w:color w:val="000000"/>
                <w:sz w:val="20"/>
                <w:szCs w:val="20"/>
                <w:lang w:eastAsia="es-CR"/>
              </w:rPr>
            </w:pPr>
            <w:r w:rsidRPr="00694299">
              <w:rPr>
                <w:rFonts w:ascii="Arial" w:eastAsia="Times New Roman" w:hAnsi="Arial" w:cs="Arial"/>
                <w:color w:val="000000"/>
                <w:sz w:val="20"/>
                <w:szCs w:val="20"/>
                <w:lang w:eastAsia="es-CR"/>
              </w:rPr>
              <w:t>₡</w:t>
            </w:r>
            <w:r w:rsidRPr="00694299">
              <w:rPr>
                <w:rFonts w:eastAsia="Times New Roman" w:cs="Calibri"/>
                <w:color w:val="000000"/>
                <w:sz w:val="20"/>
                <w:szCs w:val="20"/>
                <w:lang w:eastAsia="es-CR"/>
              </w:rPr>
              <w:t>0,00</w:t>
            </w:r>
          </w:p>
        </w:tc>
        <w:tc>
          <w:tcPr>
            <w:tcW w:w="988" w:type="dxa"/>
            <w:tcBorders>
              <w:top w:val="nil"/>
              <w:left w:val="nil"/>
              <w:bottom w:val="nil"/>
              <w:right w:val="nil"/>
            </w:tcBorders>
            <w:shd w:val="clear" w:color="auto" w:fill="auto"/>
            <w:noWrap/>
            <w:vAlign w:val="bottom"/>
            <w:hideMark/>
          </w:tcPr>
          <w:p w14:paraId="0519E774" w14:textId="77777777" w:rsidR="00694299" w:rsidRPr="00694299" w:rsidRDefault="00694299" w:rsidP="00694299">
            <w:pPr>
              <w:spacing w:after="0" w:line="240" w:lineRule="auto"/>
              <w:jc w:val="right"/>
              <w:rPr>
                <w:rFonts w:eastAsia="Times New Roman" w:cs="Calibri"/>
                <w:color w:val="000000"/>
                <w:sz w:val="20"/>
                <w:szCs w:val="20"/>
                <w:lang w:eastAsia="es-CR"/>
              </w:rPr>
            </w:pPr>
          </w:p>
        </w:tc>
        <w:tc>
          <w:tcPr>
            <w:tcW w:w="2338" w:type="dxa"/>
            <w:tcBorders>
              <w:top w:val="nil"/>
              <w:left w:val="single" w:sz="8" w:space="0" w:color="auto"/>
              <w:bottom w:val="single" w:sz="8" w:space="0" w:color="auto"/>
              <w:right w:val="nil"/>
            </w:tcBorders>
            <w:shd w:val="clear" w:color="000000" w:fill="1F3864"/>
            <w:vAlign w:val="center"/>
            <w:hideMark/>
          </w:tcPr>
          <w:p w14:paraId="4DD10EEE"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Resolución provisional 1</w:t>
            </w:r>
          </w:p>
        </w:tc>
        <w:tc>
          <w:tcPr>
            <w:tcW w:w="1959" w:type="dxa"/>
            <w:tcBorders>
              <w:top w:val="nil"/>
              <w:left w:val="nil"/>
              <w:bottom w:val="single" w:sz="8" w:space="0" w:color="auto"/>
              <w:right w:val="single" w:sz="8" w:space="0" w:color="auto"/>
            </w:tcBorders>
            <w:shd w:val="clear" w:color="auto" w:fill="auto"/>
            <w:noWrap/>
            <w:vAlign w:val="center"/>
            <w:hideMark/>
          </w:tcPr>
          <w:p w14:paraId="68369D5C" w14:textId="77777777" w:rsidR="00694299" w:rsidRPr="00694299" w:rsidRDefault="00694299" w:rsidP="00694299">
            <w:pPr>
              <w:spacing w:after="0" w:line="240" w:lineRule="auto"/>
              <w:jc w:val="center"/>
              <w:rPr>
                <w:rFonts w:eastAsia="Times New Roman" w:cs="Calibri"/>
                <w:color w:val="000000"/>
                <w:sz w:val="20"/>
                <w:szCs w:val="20"/>
                <w:lang w:eastAsia="es-CR"/>
              </w:rPr>
            </w:pPr>
            <w:r w:rsidRPr="00694299">
              <w:rPr>
                <w:rFonts w:eastAsia="Times New Roman" w:cs="Calibri"/>
                <w:color w:val="000000"/>
                <w:sz w:val="20"/>
                <w:szCs w:val="20"/>
                <w:lang w:eastAsia="es-CR"/>
              </w:rPr>
              <w:t> </w:t>
            </w:r>
          </w:p>
        </w:tc>
      </w:tr>
      <w:tr w:rsidR="00694299" w:rsidRPr="00694299" w14:paraId="59818CE5" w14:textId="77777777" w:rsidTr="00694299">
        <w:trPr>
          <w:divId w:val="1074091010"/>
          <w:trHeight w:val="324"/>
        </w:trPr>
        <w:tc>
          <w:tcPr>
            <w:tcW w:w="2496" w:type="dxa"/>
            <w:tcBorders>
              <w:top w:val="nil"/>
              <w:left w:val="single" w:sz="8" w:space="0" w:color="auto"/>
              <w:bottom w:val="single" w:sz="8" w:space="0" w:color="auto"/>
              <w:right w:val="nil"/>
            </w:tcBorders>
            <w:shd w:val="clear" w:color="000000" w:fill="1F3864"/>
            <w:vAlign w:val="center"/>
            <w:hideMark/>
          </w:tcPr>
          <w:p w14:paraId="348EA0A9"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Resolución provisional 2</w:t>
            </w:r>
          </w:p>
        </w:tc>
        <w:tc>
          <w:tcPr>
            <w:tcW w:w="1959" w:type="dxa"/>
            <w:tcBorders>
              <w:top w:val="nil"/>
              <w:left w:val="nil"/>
              <w:bottom w:val="single" w:sz="8" w:space="0" w:color="auto"/>
              <w:right w:val="single" w:sz="8" w:space="0" w:color="auto"/>
            </w:tcBorders>
            <w:shd w:val="clear" w:color="auto" w:fill="auto"/>
            <w:noWrap/>
            <w:vAlign w:val="center"/>
            <w:hideMark/>
          </w:tcPr>
          <w:p w14:paraId="5EB64DAE" w14:textId="77777777" w:rsidR="00694299" w:rsidRPr="00694299" w:rsidRDefault="00694299" w:rsidP="00694299">
            <w:pPr>
              <w:spacing w:after="0" w:line="240" w:lineRule="auto"/>
              <w:jc w:val="right"/>
              <w:rPr>
                <w:rFonts w:eastAsia="Times New Roman" w:cs="Calibri"/>
                <w:color w:val="000000"/>
                <w:sz w:val="20"/>
                <w:szCs w:val="20"/>
                <w:lang w:eastAsia="es-CR"/>
              </w:rPr>
            </w:pPr>
            <w:r w:rsidRPr="00694299">
              <w:rPr>
                <w:rFonts w:ascii="Arial" w:eastAsia="Times New Roman" w:hAnsi="Arial" w:cs="Arial"/>
                <w:color w:val="000000"/>
                <w:sz w:val="20"/>
                <w:szCs w:val="20"/>
                <w:lang w:eastAsia="es-CR"/>
              </w:rPr>
              <w:t>₡</w:t>
            </w:r>
            <w:r w:rsidRPr="00694299">
              <w:rPr>
                <w:rFonts w:eastAsia="Times New Roman" w:cs="Calibri"/>
                <w:color w:val="000000"/>
                <w:sz w:val="20"/>
                <w:szCs w:val="20"/>
                <w:lang w:eastAsia="es-CR"/>
              </w:rPr>
              <w:t>0,00</w:t>
            </w:r>
          </w:p>
        </w:tc>
        <w:tc>
          <w:tcPr>
            <w:tcW w:w="988" w:type="dxa"/>
            <w:tcBorders>
              <w:top w:val="nil"/>
              <w:left w:val="nil"/>
              <w:bottom w:val="nil"/>
              <w:right w:val="nil"/>
            </w:tcBorders>
            <w:shd w:val="clear" w:color="auto" w:fill="auto"/>
            <w:noWrap/>
            <w:vAlign w:val="bottom"/>
            <w:hideMark/>
          </w:tcPr>
          <w:p w14:paraId="12CF07B2" w14:textId="77777777" w:rsidR="00694299" w:rsidRPr="00694299" w:rsidRDefault="00694299" w:rsidP="00694299">
            <w:pPr>
              <w:spacing w:after="0" w:line="240" w:lineRule="auto"/>
              <w:jc w:val="right"/>
              <w:rPr>
                <w:rFonts w:eastAsia="Times New Roman" w:cs="Calibri"/>
                <w:color w:val="000000"/>
                <w:sz w:val="20"/>
                <w:szCs w:val="20"/>
                <w:lang w:eastAsia="es-CR"/>
              </w:rPr>
            </w:pPr>
          </w:p>
        </w:tc>
        <w:tc>
          <w:tcPr>
            <w:tcW w:w="2338" w:type="dxa"/>
            <w:tcBorders>
              <w:top w:val="nil"/>
              <w:left w:val="single" w:sz="8" w:space="0" w:color="auto"/>
              <w:bottom w:val="single" w:sz="8" w:space="0" w:color="auto"/>
              <w:right w:val="nil"/>
            </w:tcBorders>
            <w:shd w:val="clear" w:color="000000" w:fill="1F3864"/>
            <w:vAlign w:val="center"/>
            <w:hideMark/>
          </w:tcPr>
          <w:p w14:paraId="2B66F854"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Resolución provisional 2</w:t>
            </w:r>
          </w:p>
        </w:tc>
        <w:tc>
          <w:tcPr>
            <w:tcW w:w="1959" w:type="dxa"/>
            <w:tcBorders>
              <w:top w:val="nil"/>
              <w:left w:val="nil"/>
              <w:bottom w:val="single" w:sz="8" w:space="0" w:color="auto"/>
              <w:right w:val="single" w:sz="8" w:space="0" w:color="auto"/>
            </w:tcBorders>
            <w:shd w:val="clear" w:color="auto" w:fill="auto"/>
            <w:noWrap/>
            <w:vAlign w:val="center"/>
            <w:hideMark/>
          </w:tcPr>
          <w:p w14:paraId="28517EFE" w14:textId="77777777" w:rsidR="00694299" w:rsidRPr="00694299" w:rsidRDefault="00694299" w:rsidP="00694299">
            <w:pPr>
              <w:spacing w:after="0" w:line="240" w:lineRule="auto"/>
              <w:jc w:val="center"/>
              <w:rPr>
                <w:rFonts w:eastAsia="Times New Roman" w:cs="Calibri"/>
                <w:color w:val="000000"/>
                <w:sz w:val="20"/>
                <w:szCs w:val="20"/>
                <w:lang w:eastAsia="es-CR"/>
              </w:rPr>
            </w:pPr>
            <w:r w:rsidRPr="00694299">
              <w:rPr>
                <w:rFonts w:eastAsia="Times New Roman" w:cs="Calibri"/>
                <w:color w:val="000000"/>
                <w:sz w:val="20"/>
                <w:szCs w:val="20"/>
                <w:lang w:eastAsia="es-CR"/>
              </w:rPr>
              <w:t> </w:t>
            </w:r>
          </w:p>
        </w:tc>
      </w:tr>
      <w:tr w:rsidR="00694299" w:rsidRPr="00694299" w14:paraId="6B8D027B" w14:textId="77777777" w:rsidTr="00694299">
        <w:trPr>
          <w:divId w:val="1074091010"/>
          <w:trHeight w:val="324"/>
        </w:trPr>
        <w:tc>
          <w:tcPr>
            <w:tcW w:w="2496" w:type="dxa"/>
            <w:tcBorders>
              <w:top w:val="nil"/>
              <w:left w:val="single" w:sz="8" w:space="0" w:color="auto"/>
              <w:bottom w:val="single" w:sz="8" w:space="0" w:color="auto"/>
              <w:right w:val="nil"/>
            </w:tcBorders>
            <w:shd w:val="clear" w:color="000000" w:fill="1F3864"/>
            <w:vAlign w:val="center"/>
            <w:hideMark/>
          </w:tcPr>
          <w:p w14:paraId="5A0716FD"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Resolución en firme</w:t>
            </w:r>
          </w:p>
        </w:tc>
        <w:tc>
          <w:tcPr>
            <w:tcW w:w="1959" w:type="dxa"/>
            <w:tcBorders>
              <w:top w:val="nil"/>
              <w:left w:val="nil"/>
              <w:bottom w:val="single" w:sz="8" w:space="0" w:color="auto"/>
              <w:right w:val="single" w:sz="8" w:space="0" w:color="auto"/>
            </w:tcBorders>
            <w:shd w:val="clear" w:color="auto" w:fill="auto"/>
            <w:noWrap/>
            <w:vAlign w:val="center"/>
            <w:hideMark/>
          </w:tcPr>
          <w:p w14:paraId="5D09D408" w14:textId="77777777" w:rsidR="00694299" w:rsidRPr="00694299" w:rsidRDefault="00694299" w:rsidP="00694299">
            <w:pPr>
              <w:spacing w:after="0" w:line="240" w:lineRule="auto"/>
              <w:jc w:val="right"/>
              <w:rPr>
                <w:rFonts w:eastAsia="Times New Roman" w:cs="Calibri"/>
                <w:color w:val="000000"/>
                <w:sz w:val="20"/>
                <w:szCs w:val="20"/>
                <w:lang w:eastAsia="es-CR"/>
              </w:rPr>
            </w:pPr>
            <w:r w:rsidRPr="00694299">
              <w:rPr>
                <w:rFonts w:ascii="Arial" w:eastAsia="Times New Roman" w:hAnsi="Arial" w:cs="Arial"/>
                <w:color w:val="000000"/>
                <w:sz w:val="20"/>
                <w:szCs w:val="20"/>
                <w:lang w:eastAsia="es-CR"/>
              </w:rPr>
              <w:t>₡</w:t>
            </w:r>
            <w:r w:rsidRPr="00694299">
              <w:rPr>
                <w:rFonts w:eastAsia="Times New Roman" w:cs="Calibri"/>
                <w:color w:val="000000"/>
                <w:sz w:val="20"/>
                <w:szCs w:val="20"/>
                <w:lang w:eastAsia="es-CR"/>
              </w:rPr>
              <w:t>0,00</w:t>
            </w:r>
          </w:p>
        </w:tc>
        <w:tc>
          <w:tcPr>
            <w:tcW w:w="988" w:type="dxa"/>
            <w:tcBorders>
              <w:top w:val="nil"/>
              <w:left w:val="nil"/>
              <w:bottom w:val="nil"/>
              <w:right w:val="nil"/>
            </w:tcBorders>
            <w:shd w:val="clear" w:color="auto" w:fill="auto"/>
            <w:noWrap/>
            <w:vAlign w:val="bottom"/>
            <w:hideMark/>
          </w:tcPr>
          <w:p w14:paraId="5D1814DD" w14:textId="77777777" w:rsidR="00694299" w:rsidRPr="00694299" w:rsidRDefault="00694299" w:rsidP="00694299">
            <w:pPr>
              <w:spacing w:after="0" w:line="240" w:lineRule="auto"/>
              <w:jc w:val="right"/>
              <w:rPr>
                <w:rFonts w:eastAsia="Times New Roman" w:cs="Calibri"/>
                <w:color w:val="000000"/>
                <w:sz w:val="20"/>
                <w:szCs w:val="20"/>
                <w:lang w:eastAsia="es-CR"/>
              </w:rPr>
            </w:pPr>
          </w:p>
        </w:tc>
        <w:tc>
          <w:tcPr>
            <w:tcW w:w="2338" w:type="dxa"/>
            <w:tcBorders>
              <w:top w:val="nil"/>
              <w:left w:val="single" w:sz="8" w:space="0" w:color="auto"/>
              <w:bottom w:val="single" w:sz="8" w:space="0" w:color="auto"/>
              <w:right w:val="nil"/>
            </w:tcBorders>
            <w:shd w:val="clear" w:color="000000" w:fill="1F3864"/>
            <w:vAlign w:val="center"/>
            <w:hideMark/>
          </w:tcPr>
          <w:p w14:paraId="7FE559F1"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Resolución en firme</w:t>
            </w:r>
          </w:p>
        </w:tc>
        <w:tc>
          <w:tcPr>
            <w:tcW w:w="1959" w:type="dxa"/>
            <w:tcBorders>
              <w:top w:val="nil"/>
              <w:left w:val="nil"/>
              <w:bottom w:val="single" w:sz="8" w:space="0" w:color="auto"/>
              <w:right w:val="single" w:sz="8" w:space="0" w:color="auto"/>
            </w:tcBorders>
            <w:shd w:val="clear" w:color="auto" w:fill="auto"/>
            <w:noWrap/>
            <w:vAlign w:val="center"/>
            <w:hideMark/>
          </w:tcPr>
          <w:p w14:paraId="1CB875D4" w14:textId="77777777" w:rsidR="00694299" w:rsidRPr="00694299" w:rsidRDefault="00694299" w:rsidP="00694299">
            <w:pPr>
              <w:spacing w:after="0" w:line="240" w:lineRule="auto"/>
              <w:jc w:val="center"/>
              <w:rPr>
                <w:rFonts w:eastAsia="Times New Roman" w:cs="Calibri"/>
                <w:color w:val="000000"/>
                <w:sz w:val="20"/>
                <w:szCs w:val="20"/>
                <w:lang w:eastAsia="es-CR"/>
              </w:rPr>
            </w:pPr>
            <w:r w:rsidRPr="00694299">
              <w:rPr>
                <w:rFonts w:eastAsia="Times New Roman" w:cs="Calibri"/>
                <w:color w:val="000000"/>
                <w:sz w:val="20"/>
                <w:szCs w:val="20"/>
                <w:lang w:eastAsia="es-CR"/>
              </w:rPr>
              <w:t> </w:t>
            </w:r>
          </w:p>
        </w:tc>
      </w:tr>
      <w:tr w:rsidR="00694299" w:rsidRPr="00694299" w14:paraId="7CBF86D2" w14:textId="77777777" w:rsidTr="00694299">
        <w:trPr>
          <w:divId w:val="1074091010"/>
          <w:trHeight w:val="324"/>
        </w:trPr>
        <w:tc>
          <w:tcPr>
            <w:tcW w:w="2496" w:type="dxa"/>
            <w:tcBorders>
              <w:top w:val="nil"/>
              <w:left w:val="single" w:sz="8" w:space="0" w:color="auto"/>
              <w:bottom w:val="single" w:sz="8" w:space="0" w:color="auto"/>
              <w:right w:val="nil"/>
            </w:tcBorders>
            <w:shd w:val="clear" w:color="000000" w:fill="1F3864"/>
            <w:vAlign w:val="center"/>
            <w:hideMark/>
          </w:tcPr>
          <w:p w14:paraId="1BA518EE"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GRAN TOTAL</w:t>
            </w:r>
          </w:p>
        </w:tc>
        <w:tc>
          <w:tcPr>
            <w:tcW w:w="1959" w:type="dxa"/>
            <w:tcBorders>
              <w:top w:val="nil"/>
              <w:left w:val="nil"/>
              <w:bottom w:val="single" w:sz="8" w:space="0" w:color="auto"/>
              <w:right w:val="single" w:sz="8" w:space="0" w:color="auto"/>
            </w:tcBorders>
            <w:shd w:val="clear" w:color="auto" w:fill="auto"/>
            <w:noWrap/>
            <w:vAlign w:val="center"/>
            <w:hideMark/>
          </w:tcPr>
          <w:p w14:paraId="27BA19D6" w14:textId="77777777" w:rsidR="00694299" w:rsidRPr="00694299" w:rsidRDefault="00694299" w:rsidP="00694299">
            <w:pPr>
              <w:spacing w:after="0" w:line="240" w:lineRule="auto"/>
              <w:jc w:val="right"/>
              <w:rPr>
                <w:rFonts w:eastAsia="Times New Roman" w:cs="Calibri"/>
                <w:b/>
                <w:bCs/>
                <w:color w:val="000000"/>
                <w:sz w:val="20"/>
                <w:szCs w:val="20"/>
                <w:lang w:eastAsia="es-CR"/>
              </w:rPr>
            </w:pPr>
            <w:r w:rsidRPr="00694299">
              <w:rPr>
                <w:rFonts w:ascii="Arial" w:eastAsia="Times New Roman" w:hAnsi="Arial" w:cs="Arial"/>
                <w:b/>
                <w:bCs/>
                <w:color w:val="000000"/>
                <w:sz w:val="20"/>
                <w:szCs w:val="20"/>
                <w:lang w:eastAsia="es-CR"/>
              </w:rPr>
              <w:t>₡</w:t>
            </w:r>
            <w:r w:rsidRPr="00694299">
              <w:rPr>
                <w:rFonts w:eastAsia="Times New Roman" w:cs="Calibri"/>
                <w:b/>
                <w:bCs/>
                <w:color w:val="000000"/>
                <w:sz w:val="20"/>
                <w:szCs w:val="20"/>
                <w:lang w:eastAsia="es-CR"/>
              </w:rPr>
              <w:t>0,00</w:t>
            </w:r>
          </w:p>
        </w:tc>
        <w:tc>
          <w:tcPr>
            <w:tcW w:w="988" w:type="dxa"/>
            <w:tcBorders>
              <w:top w:val="nil"/>
              <w:left w:val="nil"/>
              <w:bottom w:val="nil"/>
              <w:right w:val="nil"/>
            </w:tcBorders>
            <w:shd w:val="clear" w:color="auto" w:fill="auto"/>
            <w:noWrap/>
            <w:vAlign w:val="bottom"/>
            <w:hideMark/>
          </w:tcPr>
          <w:p w14:paraId="297DE323" w14:textId="77777777" w:rsidR="00694299" w:rsidRPr="00694299" w:rsidRDefault="00694299" w:rsidP="00694299">
            <w:pPr>
              <w:spacing w:after="0" w:line="240" w:lineRule="auto"/>
              <w:jc w:val="right"/>
              <w:rPr>
                <w:rFonts w:eastAsia="Times New Roman" w:cs="Calibri"/>
                <w:b/>
                <w:bCs/>
                <w:color w:val="000000"/>
                <w:sz w:val="20"/>
                <w:szCs w:val="20"/>
                <w:lang w:eastAsia="es-CR"/>
              </w:rPr>
            </w:pPr>
          </w:p>
        </w:tc>
        <w:tc>
          <w:tcPr>
            <w:tcW w:w="2338" w:type="dxa"/>
            <w:tcBorders>
              <w:top w:val="nil"/>
              <w:left w:val="single" w:sz="8" w:space="0" w:color="auto"/>
              <w:bottom w:val="single" w:sz="8" w:space="0" w:color="auto"/>
              <w:right w:val="nil"/>
            </w:tcBorders>
            <w:shd w:val="clear" w:color="000000" w:fill="1F3864"/>
            <w:vAlign w:val="center"/>
            <w:hideMark/>
          </w:tcPr>
          <w:p w14:paraId="5D7F78A0"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GRAN TOTAL</w:t>
            </w:r>
          </w:p>
        </w:tc>
        <w:tc>
          <w:tcPr>
            <w:tcW w:w="1959" w:type="dxa"/>
            <w:tcBorders>
              <w:top w:val="nil"/>
              <w:left w:val="nil"/>
              <w:bottom w:val="single" w:sz="8" w:space="0" w:color="auto"/>
              <w:right w:val="single" w:sz="8" w:space="0" w:color="auto"/>
            </w:tcBorders>
            <w:shd w:val="clear" w:color="auto" w:fill="auto"/>
            <w:noWrap/>
            <w:vAlign w:val="center"/>
            <w:hideMark/>
          </w:tcPr>
          <w:p w14:paraId="7E4373D4" w14:textId="77777777" w:rsidR="00694299" w:rsidRPr="00694299" w:rsidRDefault="00694299" w:rsidP="00694299">
            <w:pPr>
              <w:spacing w:after="0" w:line="240" w:lineRule="auto"/>
              <w:jc w:val="right"/>
              <w:rPr>
                <w:rFonts w:eastAsia="Times New Roman" w:cs="Calibri"/>
                <w:b/>
                <w:bCs/>
                <w:color w:val="000000"/>
                <w:sz w:val="20"/>
                <w:szCs w:val="20"/>
                <w:lang w:eastAsia="es-CR"/>
              </w:rPr>
            </w:pPr>
            <w:r w:rsidRPr="00694299">
              <w:rPr>
                <w:rFonts w:eastAsia="Times New Roman" w:cs="Calibri"/>
                <w:b/>
                <w:bCs/>
                <w:color w:val="000000"/>
                <w:sz w:val="20"/>
                <w:szCs w:val="20"/>
                <w:lang w:eastAsia="es-CR"/>
              </w:rPr>
              <w:t>0</w:t>
            </w:r>
          </w:p>
        </w:tc>
      </w:tr>
    </w:tbl>
    <w:p w14:paraId="0987C485" w14:textId="77777777" w:rsidR="00323752" w:rsidRDefault="001F4B1E" w:rsidP="001F4B1E">
      <w:pPr>
        <w:rPr>
          <w:rFonts w:asciiTheme="minorHAnsi" w:hAnsiTheme="minorHAnsi"/>
          <w:sz w:val="22"/>
        </w:rPr>
      </w:pPr>
      <w:r>
        <w:fldChar w:fldCharType="end"/>
      </w:r>
      <w:r>
        <w:fldChar w:fldCharType="begin"/>
      </w:r>
      <w:r>
        <w:instrText xml:space="preserve"> LINK </w:instrText>
      </w:r>
      <w:r w:rsidR="00323752">
        <w:instrText xml:space="preserve">Excel.SheetMacroEnabled.12 "D:\\MORAVIA\\INSUMOS\\NOTAS 2024\\Formato_Notas_EEFF_Vinculadas_2024\\XXXXX_PXX_202X_Anexo_Estado_Notas_Contables_Vinculadas.xlsm" NICSP_19_PASIVO!F13C6:F18C10 </w:instrText>
      </w:r>
      <w:r>
        <w:instrText xml:space="preserve">\a \f 4 \h </w:instrText>
      </w:r>
      <w:r>
        <w:fldChar w:fldCharType="separate"/>
      </w:r>
    </w:p>
    <w:tbl>
      <w:tblPr>
        <w:tblW w:w="9860" w:type="dxa"/>
        <w:tblCellMar>
          <w:left w:w="70" w:type="dxa"/>
          <w:right w:w="70" w:type="dxa"/>
        </w:tblCellMar>
        <w:tblLook w:val="04A0" w:firstRow="1" w:lastRow="0" w:firstColumn="1" w:lastColumn="0" w:noHBand="0" w:noVBand="1"/>
      </w:tblPr>
      <w:tblGrid>
        <w:gridCol w:w="2377"/>
        <w:gridCol w:w="2019"/>
        <w:gridCol w:w="928"/>
        <w:gridCol w:w="2398"/>
        <w:gridCol w:w="2138"/>
      </w:tblGrid>
      <w:tr w:rsidR="00323752" w:rsidRPr="00323752" w14:paraId="1C944681" w14:textId="77777777" w:rsidTr="00323752">
        <w:trPr>
          <w:divId w:val="1699432923"/>
          <w:trHeight w:val="636"/>
        </w:trPr>
        <w:tc>
          <w:tcPr>
            <w:tcW w:w="2377" w:type="dxa"/>
            <w:tcBorders>
              <w:top w:val="single" w:sz="8" w:space="0" w:color="auto"/>
              <w:left w:val="single" w:sz="8" w:space="0" w:color="auto"/>
              <w:bottom w:val="single" w:sz="8" w:space="0" w:color="auto"/>
              <w:right w:val="nil"/>
            </w:tcBorders>
            <w:shd w:val="clear" w:color="000000" w:fill="1F3864"/>
            <w:vAlign w:val="center"/>
            <w:hideMark/>
          </w:tcPr>
          <w:p w14:paraId="65ABA01E" w14:textId="55CBE11C" w:rsidR="00323752" w:rsidRPr="00323752" w:rsidRDefault="00323752" w:rsidP="00323752">
            <w:pPr>
              <w:jc w:val="center"/>
              <w:rPr>
                <w:rFonts w:eastAsia="Times New Roman" w:cs="Calibri"/>
                <w:color w:val="FFFFFF"/>
                <w:szCs w:val="24"/>
                <w:lang w:eastAsia="es-CR"/>
              </w:rPr>
            </w:pPr>
            <w:r w:rsidRPr="00323752">
              <w:rPr>
                <w:rFonts w:eastAsia="Times New Roman" w:cs="Calibri"/>
                <w:color w:val="FFFFFF"/>
                <w:szCs w:val="24"/>
                <w:lang w:eastAsia="es-CR"/>
              </w:rPr>
              <w:t>Resumen</w:t>
            </w:r>
            <w:r w:rsidRPr="00323752">
              <w:rPr>
                <w:rFonts w:eastAsia="Times New Roman" w:cs="Calibri"/>
                <w:color w:val="FFFFFF"/>
                <w:szCs w:val="24"/>
                <w:lang w:eastAsia="es-CR"/>
              </w:rPr>
              <w:br/>
              <w:t>Montos</w:t>
            </w:r>
          </w:p>
        </w:tc>
        <w:tc>
          <w:tcPr>
            <w:tcW w:w="2019" w:type="dxa"/>
            <w:tcBorders>
              <w:top w:val="single" w:sz="8" w:space="0" w:color="auto"/>
              <w:left w:val="single" w:sz="8" w:space="0" w:color="auto"/>
              <w:bottom w:val="single" w:sz="8" w:space="0" w:color="auto"/>
              <w:right w:val="nil"/>
            </w:tcBorders>
            <w:shd w:val="clear" w:color="000000" w:fill="1F3864"/>
            <w:vAlign w:val="center"/>
            <w:hideMark/>
          </w:tcPr>
          <w:p w14:paraId="042A86AE" w14:textId="77777777" w:rsidR="00323752" w:rsidRPr="00323752" w:rsidRDefault="00323752" w:rsidP="00323752">
            <w:pPr>
              <w:spacing w:after="0" w:line="240" w:lineRule="auto"/>
              <w:jc w:val="center"/>
              <w:rPr>
                <w:rFonts w:eastAsia="Times New Roman" w:cs="Calibri"/>
                <w:color w:val="FFFFFF"/>
                <w:szCs w:val="24"/>
                <w:lang w:eastAsia="es-CR"/>
              </w:rPr>
            </w:pPr>
            <w:r w:rsidRPr="00323752">
              <w:rPr>
                <w:rFonts w:eastAsia="Times New Roman" w:cs="Calibri"/>
                <w:color w:val="FFFFFF"/>
                <w:szCs w:val="24"/>
                <w:lang w:eastAsia="es-CR"/>
              </w:rPr>
              <w:t>Pasivos Contingentes</w:t>
            </w:r>
          </w:p>
        </w:tc>
        <w:tc>
          <w:tcPr>
            <w:tcW w:w="928" w:type="dxa"/>
            <w:tcBorders>
              <w:top w:val="nil"/>
              <w:left w:val="nil"/>
              <w:bottom w:val="nil"/>
              <w:right w:val="nil"/>
            </w:tcBorders>
            <w:shd w:val="clear" w:color="auto" w:fill="auto"/>
            <w:noWrap/>
            <w:vAlign w:val="bottom"/>
            <w:hideMark/>
          </w:tcPr>
          <w:p w14:paraId="6E7D6446" w14:textId="77777777" w:rsidR="00323752" w:rsidRPr="00323752" w:rsidRDefault="00323752" w:rsidP="00323752">
            <w:pPr>
              <w:spacing w:after="0" w:line="240" w:lineRule="auto"/>
              <w:jc w:val="center"/>
              <w:rPr>
                <w:rFonts w:eastAsia="Times New Roman" w:cs="Calibri"/>
                <w:color w:val="FFFFFF"/>
                <w:szCs w:val="24"/>
                <w:lang w:eastAsia="es-CR"/>
              </w:rPr>
            </w:pPr>
          </w:p>
        </w:tc>
        <w:tc>
          <w:tcPr>
            <w:tcW w:w="2398" w:type="dxa"/>
            <w:tcBorders>
              <w:top w:val="single" w:sz="8" w:space="0" w:color="auto"/>
              <w:left w:val="single" w:sz="8" w:space="0" w:color="auto"/>
              <w:bottom w:val="single" w:sz="8" w:space="0" w:color="auto"/>
              <w:right w:val="nil"/>
            </w:tcBorders>
            <w:shd w:val="clear" w:color="000000" w:fill="1F3864"/>
            <w:vAlign w:val="center"/>
            <w:hideMark/>
          </w:tcPr>
          <w:p w14:paraId="5B7CD1EE" w14:textId="77777777" w:rsidR="00323752" w:rsidRPr="00323752" w:rsidRDefault="00323752" w:rsidP="00323752">
            <w:pPr>
              <w:spacing w:after="0" w:line="240" w:lineRule="auto"/>
              <w:jc w:val="center"/>
              <w:rPr>
                <w:rFonts w:eastAsia="Times New Roman" w:cs="Calibri"/>
                <w:color w:val="FFFFFF"/>
                <w:szCs w:val="24"/>
                <w:lang w:eastAsia="es-CR"/>
              </w:rPr>
            </w:pPr>
            <w:r w:rsidRPr="00323752">
              <w:rPr>
                <w:rFonts w:eastAsia="Times New Roman" w:cs="Calibri"/>
                <w:color w:val="FFFFFF"/>
                <w:szCs w:val="24"/>
                <w:lang w:eastAsia="es-CR"/>
              </w:rPr>
              <w:t>Resumen</w:t>
            </w:r>
            <w:r w:rsidRPr="00323752">
              <w:rPr>
                <w:rFonts w:eastAsia="Times New Roman" w:cs="Calibri"/>
                <w:color w:val="FFFFFF"/>
                <w:szCs w:val="24"/>
                <w:lang w:eastAsia="es-CR"/>
              </w:rPr>
              <w:br/>
              <w:t xml:space="preserve">Cantidad </w:t>
            </w:r>
          </w:p>
        </w:tc>
        <w:tc>
          <w:tcPr>
            <w:tcW w:w="2138" w:type="dxa"/>
            <w:tcBorders>
              <w:top w:val="single" w:sz="8" w:space="0" w:color="auto"/>
              <w:left w:val="single" w:sz="8" w:space="0" w:color="auto"/>
              <w:bottom w:val="single" w:sz="8" w:space="0" w:color="auto"/>
              <w:right w:val="nil"/>
            </w:tcBorders>
            <w:shd w:val="clear" w:color="000000" w:fill="1F3864"/>
            <w:vAlign w:val="center"/>
            <w:hideMark/>
          </w:tcPr>
          <w:p w14:paraId="5E8E8514" w14:textId="77777777" w:rsidR="00323752" w:rsidRPr="00323752" w:rsidRDefault="00323752" w:rsidP="00323752">
            <w:pPr>
              <w:spacing w:after="0" w:line="240" w:lineRule="auto"/>
              <w:jc w:val="center"/>
              <w:rPr>
                <w:rFonts w:eastAsia="Times New Roman" w:cs="Calibri"/>
                <w:color w:val="FFFFFF"/>
                <w:szCs w:val="24"/>
                <w:lang w:eastAsia="es-CR"/>
              </w:rPr>
            </w:pPr>
            <w:r w:rsidRPr="00323752">
              <w:rPr>
                <w:rFonts w:eastAsia="Times New Roman" w:cs="Calibri"/>
                <w:color w:val="FFFFFF"/>
                <w:szCs w:val="24"/>
                <w:lang w:eastAsia="es-CR"/>
              </w:rPr>
              <w:t>Pasivos Contingentes</w:t>
            </w:r>
          </w:p>
        </w:tc>
      </w:tr>
      <w:tr w:rsidR="00323752" w:rsidRPr="00323752" w14:paraId="74409DCE" w14:textId="77777777" w:rsidTr="00323752">
        <w:trPr>
          <w:divId w:val="1699432923"/>
          <w:trHeight w:val="324"/>
        </w:trPr>
        <w:tc>
          <w:tcPr>
            <w:tcW w:w="2377" w:type="dxa"/>
            <w:tcBorders>
              <w:top w:val="nil"/>
              <w:left w:val="single" w:sz="8" w:space="0" w:color="auto"/>
              <w:bottom w:val="single" w:sz="8" w:space="0" w:color="auto"/>
              <w:right w:val="nil"/>
            </w:tcBorders>
            <w:shd w:val="clear" w:color="000000" w:fill="1F3864"/>
            <w:vAlign w:val="center"/>
            <w:hideMark/>
          </w:tcPr>
          <w:p w14:paraId="7F618E76" w14:textId="77777777" w:rsidR="00323752" w:rsidRPr="00323752" w:rsidRDefault="00323752" w:rsidP="00323752">
            <w:pPr>
              <w:spacing w:after="0" w:line="240" w:lineRule="auto"/>
              <w:jc w:val="left"/>
              <w:rPr>
                <w:rFonts w:eastAsia="Times New Roman" w:cs="Calibri"/>
                <w:color w:val="FFFFFF"/>
                <w:szCs w:val="24"/>
                <w:lang w:eastAsia="es-CR"/>
              </w:rPr>
            </w:pPr>
            <w:r w:rsidRPr="00323752">
              <w:rPr>
                <w:rFonts w:eastAsia="Times New Roman" w:cs="Calibri"/>
                <w:color w:val="FFFFFF"/>
                <w:szCs w:val="24"/>
                <w:lang w:eastAsia="es-CR"/>
              </w:rPr>
              <w:t>Pretensión Inicial</w:t>
            </w:r>
          </w:p>
        </w:tc>
        <w:tc>
          <w:tcPr>
            <w:tcW w:w="2019" w:type="dxa"/>
            <w:tcBorders>
              <w:top w:val="nil"/>
              <w:left w:val="nil"/>
              <w:bottom w:val="single" w:sz="8" w:space="0" w:color="auto"/>
              <w:right w:val="single" w:sz="8" w:space="0" w:color="auto"/>
            </w:tcBorders>
            <w:shd w:val="clear" w:color="auto" w:fill="auto"/>
            <w:noWrap/>
            <w:vAlign w:val="center"/>
            <w:hideMark/>
          </w:tcPr>
          <w:p w14:paraId="5CA34FA2" w14:textId="77777777" w:rsidR="00323752" w:rsidRPr="00323752" w:rsidRDefault="00323752" w:rsidP="00323752">
            <w:pPr>
              <w:spacing w:after="0" w:line="240" w:lineRule="auto"/>
              <w:jc w:val="right"/>
              <w:rPr>
                <w:rFonts w:eastAsia="Times New Roman" w:cs="Calibri"/>
                <w:color w:val="000000"/>
                <w:sz w:val="20"/>
                <w:szCs w:val="20"/>
                <w:lang w:eastAsia="es-CR"/>
              </w:rPr>
            </w:pPr>
            <w:r w:rsidRPr="00323752">
              <w:rPr>
                <w:rFonts w:ascii="Arial" w:eastAsia="Times New Roman" w:hAnsi="Arial" w:cs="Arial"/>
                <w:color w:val="000000"/>
                <w:sz w:val="20"/>
                <w:szCs w:val="20"/>
                <w:lang w:eastAsia="es-CR"/>
              </w:rPr>
              <w:t>₡</w:t>
            </w:r>
            <w:r w:rsidRPr="00323752">
              <w:rPr>
                <w:rFonts w:eastAsia="Times New Roman" w:cs="Calibri"/>
                <w:color w:val="000000"/>
                <w:sz w:val="20"/>
                <w:szCs w:val="20"/>
                <w:lang w:eastAsia="es-CR"/>
              </w:rPr>
              <w:t>0,00</w:t>
            </w:r>
          </w:p>
        </w:tc>
        <w:tc>
          <w:tcPr>
            <w:tcW w:w="928" w:type="dxa"/>
            <w:tcBorders>
              <w:top w:val="nil"/>
              <w:left w:val="nil"/>
              <w:bottom w:val="nil"/>
              <w:right w:val="nil"/>
            </w:tcBorders>
            <w:shd w:val="clear" w:color="auto" w:fill="auto"/>
            <w:noWrap/>
            <w:vAlign w:val="bottom"/>
            <w:hideMark/>
          </w:tcPr>
          <w:p w14:paraId="0032E2FB" w14:textId="77777777" w:rsidR="00323752" w:rsidRPr="00323752" w:rsidRDefault="00323752" w:rsidP="00323752">
            <w:pPr>
              <w:spacing w:after="0" w:line="240" w:lineRule="auto"/>
              <w:jc w:val="right"/>
              <w:rPr>
                <w:rFonts w:eastAsia="Times New Roman" w:cs="Calibri"/>
                <w:color w:val="000000"/>
                <w:sz w:val="20"/>
                <w:szCs w:val="20"/>
                <w:lang w:eastAsia="es-CR"/>
              </w:rPr>
            </w:pPr>
          </w:p>
        </w:tc>
        <w:tc>
          <w:tcPr>
            <w:tcW w:w="2398" w:type="dxa"/>
            <w:tcBorders>
              <w:top w:val="nil"/>
              <w:left w:val="single" w:sz="8" w:space="0" w:color="auto"/>
              <w:bottom w:val="single" w:sz="8" w:space="0" w:color="auto"/>
              <w:right w:val="nil"/>
            </w:tcBorders>
            <w:shd w:val="clear" w:color="000000" w:fill="1F3864"/>
            <w:vAlign w:val="center"/>
            <w:hideMark/>
          </w:tcPr>
          <w:p w14:paraId="3B3A6497" w14:textId="77777777" w:rsidR="00323752" w:rsidRPr="00323752" w:rsidRDefault="00323752" w:rsidP="00323752">
            <w:pPr>
              <w:spacing w:after="0" w:line="240" w:lineRule="auto"/>
              <w:jc w:val="left"/>
              <w:rPr>
                <w:rFonts w:eastAsia="Times New Roman" w:cs="Calibri"/>
                <w:color w:val="FFFFFF"/>
                <w:szCs w:val="24"/>
                <w:lang w:eastAsia="es-CR"/>
              </w:rPr>
            </w:pPr>
            <w:r w:rsidRPr="00323752">
              <w:rPr>
                <w:rFonts w:eastAsia="Times New Roman" w:cs="Calibri"/>
                <w:color w:val="FFFFFF"/>
                <w:szCs w:val="24"/>
                <w:lang w:eastAsia="es-CR"/>
              </w:rPr>
              <w:t>Pretensión Inicial</w:t>
            </w:r>
          </w:p>
        </w:tc>
        <w:tc>
          <w:tcPr>
            <w:tcW w:w="2138" w:type="dxa"/>
            <w:tcBorders>
              <w:top w:val="nil"/>
              <w:left w:val="nil"/>
              <w:bottom w:val="single" w:sz="8" w:space="0" w:color="auto"/>
              <w:right w:val="single" w:sz="8" w:space="0" w:color="auto"/>
            </w:tcBorders>
            <w:shd w:val="clear" w:color="auto" w:fill="auto"/>
            <w:noWrap/>
            <w:vAlign w:val="center"/>
            <w:hideMark/>
          </w:tcPr>
          <w:p w14:paraId="4A31D18B" w14:textId="77777777" w:rsidR="00323752" w:rsidRPr="00323752" w:rsidRDefault="00323752" w:rsidP="00323752">
            <w:pPr>
              <w:spacing w:after="0" w:line="240" w:lineRule="auto"/>
              <w:jc w:val="center"/>
              <w:rPr>
                <w:rFonts w:eastAsia="Times New Roman" w:cs="Calibri"/>
                <w:color w:val="000000"/>
                <w:sz w:val="20"/>
                <w:szCs w:val="20"/>
                <w:lang w:eastAsia="es-CR"/>
              </w:rPr>
            </w:pPr>
            <w:r w:rsidRPr="00323752">
              <w:rPr>
                <w:rFonts w:eastAsia="Times New Roman" w:cs="Calibri"/>
                <w:color w:val="000000"/>
                <w:sz w:val="20"/>
                <w:szCs w:val="20"/>
                <w:lang w:eastAsia="es-CR"/>
              </w:rPr>
              <w:t> </w:t>
            </w:r>
          </w:p>
        </w:tc>
      </w:tr>
      <w:tr w:rsidR="00323752" w:rsidRPr="00323752" w14:paraId="27A00064" w14:textId="77777777" w:rsidTr="00323752">
        <w:trPr>
          <w:divId w:val="1699432923"/>
          <w:trHeight w:val="324"/>
        </w:trPr>
        <w:tc>
          <w:tcPr>
            <w:tcW w:w="2377" w:type="dxa"/>
            <w:tcBorders>
              <w:top w:val="nil"/>
              <w:left w:val="single" w:sz="8" w:space="0" w:color="auto"/>
              <w:bottom w:val="single" w:sz="8" w:space="0" w:color="auto"/>
              <w:right w:val="nil"/>
            </w:tcBorders>
            <w:shd w:val="clear" w:color="000000" w:fill="1F3864"/>
            <w:vAlign w:val="center"/>
            <w:hideMark/>
          </w:tcPr>
          <w:p w14:paraId="6DF2DFA5" w14:textId="77777777" w:rsidR="00323752" w:rsidRPr="00323752" w:rsidRDefault="00323752" w:rsidP="00323752">
            <w:pPr>
              <w:spacing w:after="0" w:line="240" w:lineRule="auto"/>
              <w:jc w:val="left"/>
              <w:rPr>
                <w:rFonts w:eastAsia="Times New Roman" w:cs="Calibri"/>
                <w:color w:val="FFFFFF"/>
                <w:szCs w:val="24"/>
                <w:lang w:eastAsia="es-CR"/>
              </w:rPr>
            </w:pPr>
            <w:r w:rsidRPr="00323752">
              <w:rPr>
                <w:rFonts w:eastAsia="Times New Roman" w:cs="Calibri"/>
                <w:color w:val="FFFFFF"/>
                <w:szCs w:val="24"/>
                <w:lang w:eastAsia="es-CR"/>
              </w:rPr>
              <w:t>Resolución provisional 1</w:t>
            </w:r>
          </w:p>
        </w:tc>
        <w:tc>
          <w:tcPr>
            <w:tcW w:w="2019" w:type="dxa"/>
            <w:tcBorders>
              <w:top w:val="nil"/>
              <w:left w:val="nil"/>
              <w:bottom w:val="single" w:sz="8" w:space="0" w:color="auto"/>
              <w:right w:val="single" w:sz="8" w:space="0" w:color="auto"/>
            </w:tcBorders>
            <w:shd w:val="clear" w:color="auto" w:fill="auto"/>
            <w:noWrap/>
            <w:vAlign w:val="center"/>
            <w:hideMark/>
          </w:tcPr>
          <w:p w14:paraId="197AA7DE" w14:textId="77777777" w:rsidR="00323752" w:rsidRPr="00323752" w:rsidRDefault="00323752" w:rsidP="00323752">
            <w:pPr>
              <w:spacing w:after="0" w:line="240" w:lineRule="auto"/>
              <w:jc w:val="right"/>
              <w:rPr>
                <w:rFonts w:eastAsia="Times New Roman" w:cs="Calibri"/>
                <w:color w:val="000000"/>
                <w:sz w:val="20"/>
                <w:szCs w:val="20"/>
                <w:lang w:eastAsia="es-CR"/>
              </w:rPr>
            </w:pPr>
            <w:r w:rsidRPr="00323752">
              <w:rPr>
                <w:rFonts w:ascii="Arial" w:eastAsia="Times New Roman" w:hAnsi="Arial" w:cs="Arial"/>
                <w:color w:val="000000"/>
                <w:sz w:val="20"/>
                <w:szCs w:val="20"/>
                <w:lang w:eastAsia="es-CR"/>
              </w:rPr>
              <w:t>₡</w:t>
            </w:r>
            <w:r w:rsidRPr="00323752">
              <w:rPr>
                <w:rFonts w:eastAsia="Times New Roman" w:cs="Calibri"/>
                <w:color w:val="000000"/>
                <w:sz w:val="20"/>
                <w:szCs w:val="20"/>
                <w:lang w:eastAsia="es-CR"/>
              </w:rPr>
              <w:t>0,00</w:t>
            </w:r>
          </w:p>
        </w:tc>
        <w:tc>
          <w:tcPr>
            <w:tcW w:w="928" w:type="dxa"/>
            <w:tcBorders>
              <w:top w:val="nil"/>
              <w:left w:val="nil"/>
              <w:bottom w:val="nil"/>
              <w:right w:val="nil"/>
            </w:tcBorders>
            <w:shd w:val="clear" w:color="auto" w:fill="auto"/>
            <w:noWrap/>
            <w:vAlign w:val="bottom"/>
            <w:hideMark/>
          </w:tcPr>
          <w:p w14:paraId="1186AAEB" w14:textId="77777777" w:rsidR="00323752" w:rsidRPr="00323752" w:rsidRDefault="00323752" w:rsidP="00323752">
            <w:pPr>
              <w:spacing w:after="0" w:line="240" w:lineRule="auto"/>
              <w:jc w:val="right"/>
              <w:rPr>
                <w:rFonts w:eastAsia="Times New Roman" w:cs="Calibri"/>
                <w:color w:val="000000"/>
                <w:sz w:val="20"/>
                <w:szCs w:val="20"/>
                <w:lang w:eastAsia="es-CR"/>
              </w:rPr>
            </w:pPr>
          </w:p>
        </w:tc>
        <w:tc>
          <w:tcPr>
            <w:tcW w:w="2398" w:type="dxa"/>
            <w:tcBorders>
              <w:top w:val="nil"/>
              <w:left w:val="single" w:sz="8" w:space="0" w:color="auto"/>
              <w:bottom w:val="single" w:sz="8" w:space="0" w:color="auto"/>
              <w:right w:val="nil"/>
            </w:tcBorders>
            <w:shd w:val="clear" w:color="000000" w:fill="1F3864"/>
            <w:vAlign w:val="center"/>
            <w:hideMark/>
          </w:tcPr>
          <w:p w14:paraId="7657C6D8" w14:textId="77777777" w:rsidR="00323752" w:rsidRPr="00323752" w:rsidRDefault="00323752" w:rsidP="00323752">
            <w:pPr>
              <w:spacing w:after="0" w:line="240" w:lineRule="auto"/>
              <w:jc w:val="left"/>
              <w:rPr>
                <w:rFonts w:eastAsia="Times New Roman" w:cs="Calibri"/>
                <w:color w:val="FFFFFF"/>
                <w:szCs w:val="24"/>
                <w:lang w:eastAsia="es-CR"/>
              </w:rPr>
            </w:pPr>
            <w:r w:rsidRPr="00323752">
              <w:rPr>
                <w:rFonts w:eastAsia="Times New Roman" w:cs="Calibri"/>
                <w:color w:val="FFFFFF"/>
                <w:szCs w:val="24"/>
                <w:lang w:eastAsia="es-CR"/>
              </w:rPr>
              <w:t>Resolución provisional 1</w:t>
            </w:r>
          </w:p>
        </w:tc>
        <w:tc>
          <w:tcPr>
            <w:tcW w:w="2138" w:type="dxa"/>
            <w:tcBorders>
              <w:top w:val="nil"/>
              <w:left w:val="nil"/>
              <w:bottom w:val="single" w:sz="8" w:space="0" w:color="auto"/>
              <w:right w:val="single" w:sz="8" w:space="0" w:color="auto"/>
            </w:tcBorders>
            <w:shd w:val="clear" w:color="auto" w:fill="auto"/>
            <w:noWrap/>
            <w:vAlign w:val="center"/>
            <w:hideMark/>
          </w:tcPr>
          <w:p w14:paraId="207445A1" w14:textId="77777777" w:rsidR="00323752" w:rsidRPr="00323752" w:rsidRDefault="00323752" w:rsidP="00323752">
            <w:pPr>
              <w:spacing w:after="0" w:line="240" w:lineRule="auto"/>
              <w:jc w:val="center"/>
              <w:rPr>
                <w:rFonts w:eastAsia="Times New Roman" w:cs="Calibri"/>
                <w:color w:val="000000"/>
                <w:sz w:val="20"/>
                <w:szCs w:val="20"/>
                <w:lang w:eastAsia="es-CR"/>
              </w:rPr>
            </w:pPr>
            <w:r w:rsidRPr="00323752">
              <w:rPr>
                <w:rFonts w:eastAsia="Times New Roman" w:cs="Calibri"/>
                <w:color w:val="000000"/>
                <w:sz w:val="20"/>
                <w:szCs w:val="20"/>
                <w:lang w:eastAsia="es-CR"/>
              </w:rPr>
              <w:t> </w:t>
            </w:r>
          </w:p>
        </w:tc>
      </w:tr>
      <w:tr w:rsidR="00323752" w:rsidRPr="00323752" w14:paraId="3476CCE6" w14:textId="77777777" w:rsidTr="00323752">
        <w:trPr>
          <w:divId w:val="1699432923"/>
          <w:trHeight w:val="324"/>
        </w:trPr>
        <w:tc>
          <w:tcPr>
            <w:tcW w:w="2377" w:type="dxa"/>
            <w:tcBorders>
              <w:top w:val="nil"/>
              <w:left w:val="single" w:sz="8" w:space="0" w:color="auto"/>
              <w:bottom w:val="single" w:sz="8" w:space="0" w:color="auto"/>
              <w:right w:val="nil"/>
            </w:tcBorders>
            <w:shd w:val="clear" w:color="000000" w:fill="1F3864"/>
            <w:vAlign w:val="center"/>
            <w:hideMark/>
          </w:tcPr>
          <w:p w14:paraId="403BBA12" w14:textId="77777777" w:rsidR="00323752" w:rsidRPr="00323752" w:rsidRDefault="00323752" w:rsidP="00323752">
            <w:pPr>
              <w:spacing w:after="0" w:line="240" w:lineRule="auto"/>
              <w:jc w:val="left"/>
              <w:rPr>
                <w:rFonts w:eastAsia="Times New Roman" w:cs="Calibri"/>
                <w:color w:val="FFFFFF"/>
                <w:szCs w:val="24"/>
                <w:lang w:eastAsia="es-CR"/>
              </w:rPr>
            </w:pPr>
            <w:r w:rsidRPr="00323752">
              <w:rPr>
                <w:rFonts w:eastAsia="Times New Roman" w:cs="Calibri"/>
                <w:color w:val="FFFFFF"/>
                <w:szCs w:val="24"/>
                <w:lang w:eastAsia="es-CR"/>
              </w:rPr>
              <w:t>Resolución provisional 2</w:t>
            </w:r>
          </w:p>
        </w:tc>
        <w:tc>
          <w:tcPr>
            <w:tcW w:w="2019" w:type="dxa"/>
            <w:tcBorders>
              <w:top w:val="nil"/>
              <w:left w:val="nil"/>
              <w:bottom w:val="single" w:sz="8" w:space="0" w:color="auto"/>
              <w:right w:val="single" w:sz="8" w:space="0" w:color="auto"/>
            </w:tcBorders>
            <w:shd w:val="clear" w:color="auto" w:fill="auto"/>
            <w:noWrap/>
            <w:vAlign w:val="center"/>
            <w:hideMark/>
          </w:tcPr>
          <w:p w14:paraId="4E5E11CA" w14:textId="77777777" w:rsidR="00323752" w:rsidRPr="00323752" w:rsidRDefault="00323752" w:rsidP="00323752">
            <w:pPr>
              <w:spacing w:after="0" w:line="240" w:lineRule="auto"/>
              <w:jc w:val="right"/>
              <w:rPr>
                <w:rFonts w:eastAsia="Times New Roman" w:cs="Calibri"/>
                <w:color w:val="000000"/>
                <w:sz w:val="20"/>
                <w:szCs w:val="20"/>
                <w:lang w:eastAsia="es-CR"/>
              </w:rPr>
            </w:pPr>
            <w:r w:rsidRPr="00323752">
              <w:rPr>
                <w:rFonts w:ascii="Arial" w:eastAsia="Times New Roman" w:hAnsi="Arial" w:cs="Arial"/>
                <w:color w:val="000000"/>
                <w:sz w:val="20"/>
                <w:szCs w:val="20"/>
                <w:lang w:eastAsia="es-CR"/>
              </w:rPr>
              <w:t>₡</w:t>
            </w:r>
            <w:r w:rsidRPr="00323752">
              <w:rPr>
                <w:rFonts w:eastAsia="Times New Roman" w:cs="Calibri"/>
                <w:color w:val="000000"/>
                <w:sz w:val="20"/>
                <w:szCs w:val="20"/>
                <w:lang w:eastAsia="es-CR"/>
              </w:rPr>
              <w:t>0,00</w:t>
            </w:r>
          </w:p>
        </w:tc>
        <w:tc>
          <w:tcPr>
            <w:tcW w:w="928" w:type="dxa"/>
            <w:tcBorders>
              <w:top w:val="nil"/>
              <w:left w:val="nil"/>
              <w:bottom w:val="nil"/>
              <w:right w:val="nil"/>
            </w:tcBorders>
            <w:shd w:val="clear" w:color="auto" w:fill="auto"/>
            <w:noWrap/>
            <w:vAlign w:val="bottom"/>
            <w:hideMark/>
          </w:tcPr>
          <w:p w14:paraId="09DD56A4" w14:textId="77777777" w:rsidR="00323752" w:rsidRPr="00323752" w:rsidRDefault="00323752" w:rsidP="00323752">
            <w:pPr>
              <w:spacing w:after="0" w:line="240" w:lineRule="auto"/>
              <w:jc w:val="right"/>
              <w:rPr>
                <w:rFonts w:eastAsia="Times New Roman" w:cs="Calibri"/>
                <w:color w:val="000000"/>
                <w:sz w:val="20"/>
                <w:szCs w:val="20"/>
                <w:lang w:eastAsia="es-CR"/>
              </w:rPr>
            </w:pPr>
          </w:p>
        </w:tc>
        <w:tc>
          <w:tcPr>
            <w:tcW w:w="2398" w:type="dxa"/>
            <w:tcBorders>
              <w:top w:val="nil"/>
              <w:left w:val="single" w:sz="8" w:space="0" w:color="auto"/>
              <w:bottom w:val="single" w:sz="8" w:space="0" w:color="auto"/>
              <w:right w:val="nil"/>
            </w:tcBorders>
            <w:shd w:val="clear" w:color="000000" w:fill="1F3864"/>
            <w:vAlign w:val="center"/>
            <w:hideMark/>
          </w:tcPr>
          <w:p w14:paraId="0B518668" w14:textId="77777777" w:rsidR="00323752" w:rsidRPr="00323752" w:rsidRDefault="00323752" w:rsidP="00323752">
            <w:pPr>
              <w:spacing w:after="0" w:line="240" w:lineRule="auto"/>
              <w:jc w:val="left"/>
              <w:rPr>
                <w:rFonts w:eastAsia="Times New Roman" w:cs="Calibri"/>
                <w:color w:val="FFFFFF"/>
                <w:szCs w:val="24"/>
                <w:lang w:eastAsia="es-CR"/>
              </w:rPr>
            </w:pPr>
            <w:r w:rsidRPr="00323752">
              <w:rPr>
                <w:rFonts w:eastAsia="Times New Roman" w:cs="Calibri"/>
                <w:color w:val="FFFFFF"/>
                <w:szCs w:val="24"/>
                <w:lang w:eastAsia="es-CR"/>
              </w:rPr>
              <w:t>Resolución provisional 2</w:t>
            </w:r>
          </w:p>
        </w:tc>
        <w:tc>
          <w:tcPr>
            <w:tcW w:w="2138" w:type="dxa"/>
            <w:tcBorders>
              <w:top w:val="nil"/>
              <w:left w:val="nil"/>
              <w:bottom w:val="single" w:sz="8" w:space="0" w:color="auto"/>
              <w:right w:val="single" w:sz="8" w:space="0" w:color="auto"/>
            </w:tcBorders>
            <w:shd w:val="clear" w:color="auto" w:fill="auto"/>
            <w:noWrap/>
            <w:vAlign w:val="center"/>
            <w:hideMark/>
          </w:tcPr>
          <w:p w14:paraId="519DF96E" w14:textId="77777777" w:rsidR="00323752" w:rsidRPr="00323752" w:rsidRDefault="00323752" w:rsidP="00323752">
            <w:pPr>
              <w:spacing w:after="0" w:line="240" w:lineRule="auto"/>
              <w:jc w:val="center"/>
              <w:rPr>
                <w:rFonts w:eastAsia="Times New Roman" w:cs="Calibri"/>
                <w:color w:val="000000"/>
                <w:sz w:val="20"/>
                <w:szCs w:val="20"/>
                <w:lang w:eastAsia="es-CR"/>
              </w:rPr>
            </w:pPr>
            <w:r w:rsidRPr="00323752">
              <w:rPr>
                <w:rFonts w:eastAsia="Times New Roman" w:cs="Calibri"/>
                <w:color w:val="000000"/>
                <w:sz w:val="20"/>
                <w:szCs w:val="20"/>
                <w:lang w:eastAsia="es-CR"/>
              </w:rPr>
              <w:t> </w:t>
            </w:r>
          </w:p>
        </w:tc>
      </w:tr>
      <w:tr w:rsidR="00323752" w:rsidRPr="00323752" w14:paraId="7EF96ABC" w14:textId="77777777" w:rsidTr="00323752">
        <w:trPr>
          <w:divId w:val="1699432923"/>
          <w:trHeight w:val="324"/>
        </w:trPr>
        <w:tc>
          <w:tcPr>
            <w:tcW w:w="2377" w:type="dxa"/>
            <w:tcBorders>
              <w:top w:val="nil"/>
              <w:left w:val="single" w:sz="8" w:space="0" w:color="auto"/>
              <w:bottom w:val="single" w:sz="8" w:space="0" w:color="auto"/>
              <w:right w:val="nil"/>
            </w:tcBorders>
            <w:shd w:val="clear" w:color="000000" w:fill="1F3864"/>
            <w:vAlign w:val="center"/>
            <w:hideMark/>
          </w:tcPr>
          <w:p w14:paraId="4C9F6886" w14:textId="77777777" w:rsidR="00323752" w:rsidRPr="00323752" w:rsidRDefault="00323752" w:rsidP="00323752">
            <w:pPr>
              <w:spacing w:after="0" w:line="240" w:lineRule="auto"/>
              <w:jc w:val="left"/>
              <w:rPr>
                <w:rFonts w:eastAsia="Times New Roman" w:cs="Calibri"/>
                <w:color w:val="FFFFFF"/>
                <w:szCs w:val="24"/>
                <w:lang w:eastAsia="es-CR"/>
              </w:rPr>
            </w:pPr>
            <w:r w:rsidRPr="00323752">
              <w:rPr>
                <w:rFonts w:eastAsia="Times New Roman" w:cs="Calibri"/>
                <w:color w:val="FFFFFF"/>
                <w:szCs w:val="24"/>
                <w:lang w:eastAsia="es-CR"/>
              </w:rPr>
              <w:t>Resolución en firme</w:t>
            </w:r>
          </w:p>
        </w:tc>
        <w:tc>
          <w:tcPr>
            <w:tcW w:w="2019" w:type="dxa"/>
            <w:tcBorders>
              <w:top w:val="nil"/>
              <w:left w:val="nil"/>
              <w:bottom w:val="single" w:sz="8" w:space="0" w:color="auto"/>
              <w:right w:val="single" w:sz="8" w:space="0" w:color="auto"/>
            </w:tcBorders>
            <w:shd w:val="clear" w:color="auto" w:fill="auto"/>
            <w:noWrap/>
            <w:vAlign w:val="center"/>
            <w:hideMark/>
          </w:tcPr>
          <w:p w14:paraId="1A79B5C6" w14:textId="77777777" w:rsidR="00323752" w:rsidRPr="00323752" w:rsidRDefault="00323752" w:rsidP="00323752">
            <w:pPr>
              <w:spacing w:after="0" w:line="240" w:lineRule="auto"/>
              <w:jc w:val="right"/>
              <w:rPr>
                <w:rFonts w:eastAsia="Times New Roman" w:cs="Calibri"/>
                <w:color w:val="000000"/>
                <w:sz w:val="20"/>
                <w:szCs w:val="20"/>
                <w:lang w:eastAsia="es-CR"/>
              </w:rPr>
            </w:pPr>
            <w:r w:rsidRPr="00323752">
              <w:rPr>
                <w:rFonts w:ascii="Arial" w:eastAsia="Times New Roman" w:hAnsi="Arial" w:cs="Arial"/>
                <w:color w:val="000000"/>
                <w:sz w:val="20"/>
                <w:szCs w:val="20"/>
                <w:lang w:eastAsia="es-CR"/>
              </w:rPr>
              <w:t>₡</w:t>
            </w:r>
            <w:r w:rsidRPr="00323752">
              <w:rPr>
                <w:rFonts w:eastAsia="Times New Roman" w:cs="Calibri"/>
                <w:color w:val="000000"/>
                <w:sz w:val="20"/>
                <w:szCs w:val="20"/>
                <w:lang w:eastAsia="es-CR"/>
              </w:rPr>
              <w:t>0,00</w:t>
            </w:r>
          </w:p>
        </w:tc>
        <w:tc>
          <w:tcPr>
            <w:tcW w:w="928" w:type="dxa"/>
            <w:tcBorders>
              <w:top w:val="nil"/>
              <w:left w:val="nil"/>
              <w:bottom w:val="nil"/>
              <w:right w:val="nil"/>
            </w:tcBorders>
            <w:shd w:val="clear" w:color="auto" w:fill="auto"/>
            <w:noWrap/>
            <w:vAlign w:val="bottom"/>
            <w:hideMark/>
          </w:tcPr>
          <w:p w14:paraId="4A3F1F48" w14:textId="77777777" w:rsidR="00323752" w:rsidRPr="00323752" w:rsidRDefault="00323752" w:rsidP="00323752">
            <w:pPr>
              <w:spacing w:after="0" w:line="240" w:lineRule="auto"/>
              <w:jc w:val="right"/>
              <w:rPr>
                <w:rFonts w:eastAsia="Times New Roman" w:cs="Calibri"/>
                <w:color w:val="000000"/>
                <w:sz w:val="20"/>
                <w:szCs w:val="20"/>
                <w:lang w:eastAsia="es-CR"/>
              </w:rPr>
            </w:pPr>
          </w:p>
        </w:tc>
        <w:tc>
          <w:tcPr>
            <w:tcW w:w="2398" w:type="dxa"/>
            <w:tcBorders>
              <w:top w:val="nil"/>
              <w:left w:val="single" w:sz="8" w:space="0" w:color="auto"/>
              <w:bottom w:val="single" w:sz="8" w:space="0" w:color="auto"/>
              <w:right w:val="nil"/>
            </w:tcBorders>
            <w:shd w:val="clear" w:color="000000" w:fill="1F3864"/>
            <w:vAlign w:val="center"/>
            <w:hideMark/>
          </w:tcPr>
          <w:p w14:paraId="729FE964" w14:textId="77777777" w:rsidR="00323752" w:rsidRPr="00323752" w:rsidRDefault="00323752" w:rsidP="00323752">
            <w:pPr>
              <w:spacing w:after="0" w:line="240" w:lineRule="auto"/>
              <w:jc w:val="left"/>
              <w:rPr>
                <w:rFonts w:eastAsia="Times New Roman" w:cs="Calibri"/>
                <w:color w:val="FFFFFF"/>
                <w:szCs w:val="24"/>
                <w:lang w:eastAsia="es-CR"/>
              </w:rPr>
            </w:pPr>
            <w:r w:rsidRPr="00323752">
              <w:rPr>
                <w:rFonts w:eastAsia="Times New Roman" w:cs="Calibri"/>
                <w:color w:val="FFFFFF"/>
                <w:szCs w:val="24"/>
                <w:lang w:eastAsia="es-CR"/>
              </w:rPr>
              <w:t>Resolución en firme</w:t>
            </w:r>
          </w:p>
        </w:tc>
        <w:tc>
          <w:tcPr>
            <w:tcW w:w="2138" w:type="dxa"/>
            <w:tcBorders>
              <w:top w:val="nil"/>
              <w:left w:val="nil"/>
              <w:bottom w:val="single" w:sz="8" w:space="0" w:color="auto"/>
              <w:right w:val="single" w:sz="8" w:space="0" w:color="auto"/>
            </w:tcBorders>
            <w:shd w:val="clear" w:color="auto" w:fill="auto"/>
            <w:noWrap/>
            <w:vAlign w:val="center"/>
            <w:hideMark/>
          </w:tcPr>
          <w:p w14:paraId="7BC9922B" w14:textId="77777777" w:rsidR="00323752" w:rsidRPr="00323752" w:rsidRDefault="00323752" w:rsidP="00323752">
            <w:pPr>
              <w:spacing w:after="0" w:line="240" w:lineRule="auto"/>
              <w:jc w:val="center"/>
              <w:rPr>
                <w:rFonts w:eastAsia="Times New Roman" w:cs="Calibri"/>
                <w:color w:val="000000"/>
                <w:sz w:val="20"/>
                <w:szCs w:val="20"/>
                <w:lang w:eastAsia="es-CR"/>
              </w:rPr>
            </w:pPr>
            <w:r w:rsidRPr="00323752">
              <w:rPr>
                <w:rFonts w:eastAsia="Times New Roman" w:cs="Calibri"/>
                <w:color w:val="000000"/>
                <w:sz w:val="20"/>
                <w:szCs w:val="20"/>
                <w:lang w:eastAsia="es-CR"/>
              </w:rPr>
              <w:t> </w:t>
            </w:r>
          </w:p>
        </w:tc>
      </w:tr>
      <w:tr w:rsidR="00323752" w:rsidRPr="00323752" w14:paraId="7368FF34" w14:textId="77777777" w:rsidTr="00323752">
        <w:trPr>
          <w:divId w:val="1699432923"/>
          <w:trHeight w:val="324"/>
        </w:trPr>
        <w:tc>
          <w:tcPr>
            <w:tcW w:w="2377" w:type="dxa"/>
            <w:tcBorders>
              <w:top w:val="nil"/>
              <w:left w:val="single" w:sz="8" w:space="0" w:color="auto"/>
              <w:bottom w:val="single" w:sz="8" w:space="0" w:color="auto"/>
              <w:right w:val="nil"/>
            </w:tcBorders>
            <w:shd w:val="clear" w:color="000000" w:fill="1F3864"/>
            <w:vAlign w:val="center"/>
            <w:hideMark/>
          </w:tcPr>
          <w:p w14:paraId="4180BCE3" w14:textId="77777777" w:rsidR="00323752" w:rsidRPr="00323752" w:rsidRDefault="00323752" w:rsidP="00323752">
            <w:pPr>
              <w:spacing w:after="0" w:line="240" w:lineRule="auto"/>
              <w:jc w:val="left"/>
              <w:rPr>
                <w:rFonts w:eastAsia="Times New Roman" w:cs="Calibri"/>
                <w:color w:val="FFFFFF"/>
                <w:szCs w:val="24"/>
                <w:lang w:eastAsia="es-CR"/>
              </w:rPr>
            </w:pPr>
            <w:r w:rsidRPr="00323752">
              <w:rPr>
                <w:rFonts w:eastAsia="Times New Roman" w:cs="Calibri"/>
                <w:color w:val="FFFFFF"/>
                <w:szCs w:val="24"/>
                <w:lang w:eastAsia="es-CR"/>
              </w:rPr>
              <w:t>GRAN TOTAL</w:t>
            </w:r>
          </w:p>
        </w:tc>
        <w:tc>
          <w:tcPr>
            <w:tcW w:w="2019" w:type="dxa"/>
            <w:tcBorders>
              <w:top w:val="nil"/>
              <w:left w:val="nil"/>
              <w:bottom w:val="single" w:sz="8" w:space="0" w:color="auto"/>
              <w:right w:val="single" w:sz="8" w:space="0" w:color="auto"/>
            </w:tcBorders>
            <w:shd w:val="clear" w:color="auto" w:fill="auto"/>
            <w:noWrap/>
            <w:vAlign w:val="center"/>
            <w:hideMark/>
          </w:tcPr>
          <w:p w14:paraId="02DB1D6C" w14:textId="77777777" w:rsidR="00323752" w:rsidRPr="00323752" w:rsidRDefault="00323752" w:rsidP="00323752">
            <w:pPr>
              <w:spacing w:after="0" w:line="240" w:lineRule="auto"/>
              <w:jc w:val="right"/>
              <w:rPr>
                <w:rFonts w:eastAsia="Times New Roman" w:cs="Calibri"/>
                <w:b/>
                <w:bCs/>
                <w:color w:val="000000"/>
                <w:sz w:val="20"/>
                <w:szCs w:val="20"/>
                <w:lang w:eastAsia="es-CR"/>
              </w:rPr>
            </w:pPr>
            <w:r w:rsidRPr="00323752">
              <w:rPr>
                <w:rFonts w:ascii="Arial" w:eastAsia="Times New Roman" w:hAnsi="Arial" w:cs="Arial"/>
                <w:b/>
                <w:bCs/>
                <w:color w:val="000000"/>
                <w:sz w:val="20"/>
                <w:szCs w:val="20"/>
                <w:lang w:eastAsia="es-CR"/>
              </w:rPr>
              <w:t>₡</w:t>
            </w:r>
            <w:r w:rsidRPr="00323752">
              <w:rPr>
                <w:rFonts w:eastAsia="Times New Roman" w:cs="Calibri"/>
                <w:b/>
                <w:bCs/>
                <w:color w:val="000000"/>
                <w:sz w:val="20"/>
                <w:szCs w:val="20"/>
                <w:lang w:eastAsia="es-CR"/>
              </w:rPr>
              <w:t>0,00</w:t>
            </w:r>
          </w:p>
        </w:tc>
        <w:tc>
          <w:tcPr>
            <w:tcW w:w="928" w:type="dxa"/>
            <w:tcBorders>
              <w:top w:val="nil"/>
              <w:left w:val="nil"/>
              <w:bottom w:val="nil"/>
              <w:right w:val="nil"/>
            </w:tcBorders>
            <w:shd w:val="clear" w:color="auto" w:fill="auto"/>
            <w:noWrap/>
            <w:vAlign w:val="bottom"/>
            <w:hideMark/>
          </w:tcPr>
          <w:p w14:paraId="2B045A41" w14:textId="77777777" w:rsidR="00323752" w:rsidRPr="00323752" w:rsidRDefault="00323752" w:rsidP="00323752">
            <w:pPr>
              <w:spacing w:after="0" w:line="240" w:lineRule="auto"/>
              <w:jc w:val="right"/>
              <w:rPr>
                <w:rFonts w:eastAsia="Times New Roman" w:cs="Calibri"/>
                <w:b/>
                <w:bCs/>
                <w:color w:val="000000"/>
                <w:sz w:val="20"/>
                <w:szCs w:val="20"/>
                <w:lang w:eastAsia="es-CR"/>
              </w:rPr>
            </w:pPr>
          </w:p>
        </w:tc>
        <w:tc>
          <w:tcPr>
            <w:tcW w:w="2398" w:type="dxa"/>
            <w:tcBorders>
              <w:top w:val="nil"/>
              <w:left w:val="single" w:sz="8" w:space="0" w:color="auto"/>
              <w:bottom w:val="single" w:sz="8" w:space="0" w:color="auto"/>
              <w:right w:val="nil"/>
            </w:tcBorders>
            <w:shd w:val="clear" w:color="000000" w:fill="1F3864"/>
            <w:vAlign w:val="center"/>
            <w:hideMark/>
          </w:tcPr>
          <w:p w14:paraId="610734EC" w14:textId="77777777" w:rsidR="00323752" w:rsidRPr="00323752" w:rsidRDefault="00323752" w:rsidP="00323752">
            <w:pPr>
              <w:spacing w:after="0" w:line="240" w:lineRule="auto"/>
              <w:jc w:val="left"/>
              <w:rPr>
                <w:rFonts w:eastAsia="Times New Roman" w:cs="Calibri"/>
                <w:color w:val="FFFFFF"/>
                <w:szCs w:val="24"/>
                <w:lang w:eastAsia="es-CR"/>
              </w:rPr>
            </w:pPr>
            <w:r w:rsidRPr="00323752">
              <w:rPr>
                <w:rFonts w:eastAsia="Times New Roman" w:cs="Calibri"/>
                <w:color w:val="FFFFFF"/>
                <w:szCs w:val="24"/>
                <w:lang w:eastAsia="es-CR"/>
              </w:rPr>
              <w:t>GRAN TOTAL</w:t>
            </w:r>
          </w:p>
        </w:tc>
        <w:tc>
          <w:tcPr>
            <w:tcW w:w="2138" w:type="dxa"/>
            <w:tcBorders>
              <w:top w:val="nil"/>
              <w:left w:val="nil"/>
              <w:bottom w:val="single" w:sz="8" w:space="0" w:color="auto"/>
              <w:right w:val="single" w:sz="8" w:space="0" w:color="auto"/>
            </w:tcBorders>
            <w:shd w:val="clear" w:color="auto" w:fill="auto"/>
            <w:noWrap/>
            <w:vAlign w:val="center"/>
            <w:hideMark/>
          </w:tcPr>
          <w:p w14:paraId="6C863340" w14:textId="77777777" w:rsidR="00323752" w:rsidRPr="00323752" w:rsidRDefault="00323752" w:rsidP="00323752">
            <w:pPr>
              <w:spacing w:after="0" w:line="240" w:lineRule="auto"/>
              <w:jc w:val="right"/>
              <w:rPr>
                <w:rFonts w:eastAsia="Times New Roman" w:cs="Calibri"/>
                <w:b/>
                <w:bCs/>
                <w:color w:val="000000"/>
                <w:sz w:val="20"/>
                <w:szCs w:val="20"/>
                <w:lang w:eastAsia="es-CR"/>
              </w:rPr>
            </w:pPr>
            <w:r w:rsidRPr="00323752">
              <w:rPr>
                <w:rFonts w:eastAsia="Times New Roman" w:cs="Calibri"/>
                <w:b/>
                <w:bCs/>
                <w:color w:val="000000"/>
                <w:sz w:val="20"/>
                <w:szCs w:val="20"/>
                <w:lang w:eastAsia="es-CR"/>
              </w:rPr>
              <w:t>0</w:t>
            </w:r>
          </w:p>
        </w:tc>
      </w:tr>
    </w:tbl>
    <w:p w14:paraId="385D8367" w14:textId="4AFCEB81" w:rsidR="00295C0B" w:rsidRDefault="001F4B1E" w:rsidP="001F4B1E">
      <w:r>
        <w:fldChar w:fldCharType="end"/>
      </w:r>
    </w:p>
    <w:p w14:paraId="77033095" w14:textId="77C25412" w:rsidR="004B38F9" w:rsidRDefault="004B38F9" w:rsidP="004B38F9">
      <w:pPr>
        <w:spacing w:line="240" w:lineRule="auto"/>
        <w:rPr>
          <w:lang w:val="es-MX"/>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6DE9DF53" w14:textId="74BC12AF" w:rsidR="006D1C5F" w:rsidRDefault="005754A8" w:rsidP="004B38F9">
      <w:pPr>
        <w:spacing w:line="240" w:lineRule="auto"/>
        <w:rPr>
          <w:lang w:val="es-MX"/>
        </w:rPr>
      </w:pPr>
      <w:r>
        <w:rPr>
          <w:lang w:val="es-MX"/>
        </w:rPr>
        <w:t>Una provisión</w:t>
      </w:r>
      <w:r w:rsidR="006D1C5F">
        <w:rPr>
          <w:lang w:val="es-MX"/>
        </w:rPr>
        <w:t xml:space="preserve"> se reconoce </w:t>
      </w:r>
      <w:r>
        <w:rPr>
          <w:lang w:val="es-MX"/>
        </w:rPr>
        <w:t>solo cuando un evento pasado ha creado una obligación presente legal o constructiva, es probable una salida de recursos que conlleve beneficios económicos o potencial de servicios requeridos para liquidar la obligación y el monto de la obligación puede ser estimado confiablemente.</w:t>
      </w:r>
    </w:p>
    <w:p w14:paraId="3A93ECD9" w14:textId="7EF78984" w:rsidR="00BB3590" w:rsidRDefault="00BB3590" w:rsidP="00BB3590">
      <w:pPr>
        <w:spacing w:after="120" w:line="240" w:lineRule="auto"/>
        <w:rPr>
          <w:lang w:val="es-MX"/>
        </w:rPr>
      </w:pPr>
      <w:r>
        <w:rPr>
          <w:lang w:val="es-MX"/>
        </w:rPr>
        <w:t>Las provisiones se reversarán si ya no es probable la salida de recursos para liquidar la obligación que conlleva beneficios económicos o potencial de servicios.</w:t>
      </w:r>
    </w:p>
    <w:p w14:paraId="7B6486B0" w14:textId="20F780C9" w:rsidR="00BB3590" w:rsidRDefault="00EF2480" w:rsidP="00BB3590">
      <w:pPr>
        <w:spacing w:after="120" w:line="240" w:lineRule="auto"/>
        <w:rPr>
          <w:lang w:val="es-MX"/>
        </w:rPr>
      </w:pPr>
      <w:r>
        <w:rPr>
          <w:lang w:val="es-MX"/>
        </w:rPr>
        <w:t>Un pasivo contingente no se reconoce solo se revela; y si la probabilidad de la salida de flujos de efectivo es remota, entonces no se revela.</w:t>
      </w:r>
    </w:p>
    <w:p w14:paraId="74177C7E" w14:textId="21712E8E" w:rsidR="00EF2480" w:rsidRDefault="00EF2480" w:rsidP="00BB3590">
      <w:pPr>
        <w:spacing w:after="120" w:line="240" w:lineRule="auto"/>
        <w:rPr>
          <w:lang w:val="es-MX"/>
        </w:rPr>
      </w:pPr>
      <w:r>
        <w:rPr>
          <w:lang w:val="es-MX"/>
        </w:rPr>
        <w:t>Los activos contingentes no se reconocen solo se revelan, si la probabilidad de la realización de los ingresos es virtualmente cierta y es apropiado el reconocimiento del activo se registrará una cuenta por cobrar y los ingresos ordinarios relacionados.</w:t>
      </w:r>
    </w:p>
    <w:p w14:paraId="6BBC9476" w14:textId="77777777" w:rsidR="00A4051D" w:rsidRDefault="00A4051D" w:rsidP="00BB3590">
      <w:pPr>
        <w:spacing w:after="120" w:line="240" w:lineRule="auto"/>
        <w:rPr>
          <w:lang w:val="es-MX"/>
        </w:rPr>
      </w:pPr>
    </w:p>
    <w:p w14:paraId="51E77C29" w14:textId="77777777" w:rsidR="004B38F9" w:rsidRPr="003516A2" w:rsidRDefault="004B38F9" w:rsidP="004B38F9">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3D375B34" w14:textId="70AE98D5" w:rsidR="00BB3590" w:rsidRDefault="00BB3590" w:rsidP="00BB3590">
      <w:pPr>
        <w:spacing w:after="120" w:line="240" w:lineRule="auto"/>
        <w:rPr>
          <w:lang w:val="es-MX"/>
        </w:rPr>
      </w:pPr>
      <w:r>
        <w:rPr>
          <w:lang w:val="es-MX"/>
        </w:rPr>
        <w:t>El monto por reconocer de una provisión, será el mejor estimado de la liquidación de la cantidad del desembolso requerido para liquidar la obligación a la fecha de presentación de los EEFF.</w:t>
      </w:r>
      <w:r w:rsidR="00EF2480">
        <w:rPr>
          <w:lang w:val="es-MX"/>
        </w:rPr>
        <w:t xml:space="preserve"> Por lo anterior, las cantidades reconocidas como provisiones serán revisadas en la fecha de presentación de EEFF para ajustarla por los cambios que se hayan presentado para reflejar el mejor estimado corriente.</w:t>
      </w:r>
    </w:p>
    <w:p w14:paraId="6A53B784" w14:textId="77777777" w:rsidR="00EF2480" w:rsidRDefault="00EF2480" w:rsidP="00BB3590">
      <w:pPr>
        <w:spacing w:after="120" w:line="240" w:lineRule="auto"/>
        <w:rPr>
          <w:lang w:val="es-MX"/>
        </w:rPr>
      </w:pPr>
    </w:p>
    <w:p w14:paraId="2015EEC7" w14:textId="77777777" w:rsidR="00E364AD" w:rsidRPr="00E364AD" w:rsidRDefault="00E364AD" w:rsidP="00A4051D">
      <w:pPr>
        <w:spacing w:line="240" w:lineRule="auto"/>
        <w:rPr>
          <w:b/>
          <w:u w:val="single"/>
          <w:lang w:eastAsia="es-CR"/>
        </w:rPr>
      </w:pPr>
      <w:r w:rsidRPr="004B38F9">
        <w:rPr>
          <w:b/>
          <w:color w:val="FFFFFF" w:themeColor="background1"/>
          <w:highlight w:val="darkBlue"/>
          <w:u w:val="single"/>
        </w:rPr>
        <w:t>Revelación Suficiente:</w:t>
      </w:r>
      <w:r w:rsidRPr="00E364AD">
        <w:rPr>
          <w:b/>
          <w:u w:val="single"/>
          <w:lang w:eastAsia="es-CR"/>
        </w:rPr>
        <w:t xml:space="preserve"> El ente debe cumplir con lo estipulado en revelación con forme a la NICSP, también debe considerar la política general y los párrafos incluidos en la matriz de autoevaluación referente a esta NICSP y guías de aplicación (Ver GT NICSP 19).</w:t>
      </w:r>
    </w:p>
    <w:p w14:paraId="09F9C97B" w14:textId="77777777" w:rsidR="00A4051D" w:rsidRDefault="00A4051D" w:rsidP="00EF2480">
      <w:pPr>
        <w:spacing w:after="0" w:line="240" w:lineRule="auto"/>
        <w:rPr>
          <w:b/>
          <w:bCs/>
        </w:rPr>
      </w:pPr>
    </w:p>
    <w:p w14:paraId="0259942F" w14:textId="578AFC31" w:rsidR="00EF2480" w:rsidRDefault="00EF2480" w:rsidP="00EF2480">
      <w:pPr>
        <w:spacing w:after="0" w:line="240" w:lineRule="auto"/>
        <w:rPr>
          <w:b/>
          <w:bCs/>
        </w:rPr>
      </w:pPr>
      <w:r>
        <w:rPr>
          <w:b/>
          <w:bCs/>
        </w:rPr>
        <w:t xml:space="preserve">Principales </w:t>
      </w:r>
      <w:r w:rsidRPr="00F506AA">
        <w:rPr>
          <w:b/>
          <w:bCs/>
        </w:rPr>
        <w:t>Políticas</w:t>
      </w:r>
    </w:p>
    <w:p w14:paraId="41968339" w14:textId="77777777" w:rsidR="00EF2480" w:rsidRDefault="00EF2480" w:rsidP="00EF2480">
      <w:pPr>
        <w:spacing w:after="0" w:line="240" w:lineRule="auto"/>
        <w:rPr>
          <w:b/>
          <w:bCs/>
        </w:rPr>
      </w:pPr>
    </w:p>
    <w:p w14:paraId="46350BBC" w14:textId="77777777" w:rsidR="00EF2480" w:rsidRDefault="00EF2480" w:rsidP="00EF2480">
      <w:pPr>
        <w:spacing w:after="0" w:line="240" w:lineRule="auto"/>
        <w:rPr>
          <w:sz w:val="23"/>
          <w:szCs w:val="23"/>
        </w:rPr>
      </w:pPr>
      <w:r>
        <w:rPr>
          <w:sz w:val="23"/>
          <w:szCs w:val="23"/>
        </w:rPr>
        <w:t>Una provisión es un pasivo respecto del cual existe incertidumbre acerca del momento de su vencimiento y/o de la cuantía de los desembolsos futuros necesarios para proceder a su cancelación. En razón de dicha incertidumbre, las provisiones son objeto de estimación.</w:t>
      </w:r>
    </w:p>
    <w:p w14:paraId="7C0FF699" w14:textId="77777777" w:rsidR="00EF2480" w:rsidRDefault="00EF2480" w:rsidP="00EF2480">
      <w:pPr>
        <w:spacing w:after="0" w:line="240" w:lineRule="auto"/>
        <w:rPr>
          <w:sz w:val="23"/>
          <w:szCs w:val="23"/>
        </w:rPr>
      </w:pPr>
    </w:p>
    <w:p w14:paraId="0B743A7B" w14:textId="77777777" w:rsidR="00EF2480" w:rsidRPr="00F506AA" w:rsidRDefault="00EF2480" w:rsidP="00EF2480">
      <w:pPr>
        <w:spacing w:after="0" w:line="240" w:lineRule="auto"/>
        <w:rPr>
          <w:sz w:val="23"/>
          <w:szCs w:val="23"/>
        </w:rPr>
      </w:pPr>
      <w:r>
        <w:rPr>
          <w:sz w:val="23"/>
          <w:szCs w:val="23"/>
        </w:rPr>
        <w:t>La MBA reconocerá u</w:t>
      </w:r>
      <w:r w:rsidRPr="00F506AA">
        <w:rPr>
          <w:sz w:val="23"/>
          <w:szCs w:val="23"/>
        </w:rPr>
        <w:t xml:space="preserve">na </w:t>
      </w:r>
      <w:r>
        <w:rPr>
          <w:sz w:val="23"/>
          <w:szCs w:val="23"/>
        </w:rPr>
        <w:t>provisión solo cuando</w:t>
      </w:r>
      <w:r w:rsidRPr="00F506AA">
        <w:rPr>
          <w:sz w:val="23"/>
          <w:szCs w:val="23"/>
        </w:rPr>
        <w:t xml:space="preserve">: </w:t>
      </w:r>
    </w:p>
    <w:p w14:paraId="04F42D92" w14:textId="77777777" w:rsidR="00EF2480" w:rsidRPr="00F506AA" w:rsidRDefault="00EF2480" w:rsidP="00EF2480">
      <w:pPr>
        <w:spacing w:after="0" w:line="240" w:lineRule="auto"/>
        <w:rPr>
          <w:sz w:val="23"/>
          <w:szCs w:val="23"/>
        </w:rPr>
      </w:pPr>
      <w:r w:rsidRPr="00F506AA">
        <w:rPr>
          <w:sz w:val="23"/>
          <w:szCs w:val="23"/>
        </w:rPr>
        <w:t xml:space="preserve">a) existe una obligación presente (ya sea legal o implícita) como resultado de un suceso pasado; </w:t>
      </w:r>
    </w:p>
    <w:p w14:paraId="2684E5F3" w14:textId="77777777" w:rsidR="00EF2480" w:rsidRPr="00F506AA" w:rsidRDefault="00EF2480" w:rsidP="00EF2480">
      <w:pPr>
        <w:spacing w:after="0" w:line="240" w:lineRule="auto"/>
        <w:rPr>
          <w:sz w:val="23"/>
          <w:szCs w:val="23"/>
        </w:rPr>
      </w:pPr>
      <w:r w:rsidRPr="00F506AA">
        <w:rPr>
          <w:sz w:val="23"/>
          <w:szCs w:val="23"/>
        </w:rPr>
        <w:t xml:space="preserve">b) es probable que la entidad tenga que desprenderse de recursos que incorporen beneficios económicos para cancelar tal obligación; y </w:t>
      </w:r>
    </w:p>
    <w:p w14:paraId="53765FB0" w14:textId="77777777" w:rsidR="00EF2480" w:rsidRPr="00F506AA" w:rsidRDefault="00EF2480" w:rsidP="00EF2480">
      <w:pPr>
        <w:spacing w:after="0" w:line="240" w:lineRule="auto"/>
        <w:rPr>
          <w:sz w:val="23"/>
          <w:szCs w:val="23"/>
        </w:rPr>
      </w:pPr>
      <w:r w:rsidRPr="00F506AA">
        <w:rPr>
          <w:sz w:val="23"/>
          <w:szCs w:val="23"/>
        </w:rPr>
        <w:t xml:space="preserve">c) puede hacerse una estimación fiable del importe de la obligación. </w:t>
      </w:r>
    </w:p>
    <w:p w14:paraId="7F41B68E" w14:textId="77777777" w:rsidR="00EF2480" w:rsidRPr="00F506AA" w:rsidRDefault="00EF2480" w:rsidP="00EF2480">
      <w:pPr>
        <w:autoSpaceDE w:val="0"/>
        <w:autoSpaceDN w:val="0"/>
        <w:adjustRightInd w:val="0"/>
        <w:spacing w:after="0" w:line="240" w:lineRule="auto"/>
        <w:jc w:val="left"/>
        <w:rPr>
          <w:rFonts w:ascii="Arial" w:hAnsi="Arial" w:cs="Arial"/>
          <w:color w:val="000000"/>
          <w:szCs w:val="24"/>
        </w:rPr>
      </w:pPr>
    </w:p>
    <w:p w14:paraId="17055AB4" w14:textId="77777777" w:rsidR="00EF2480" w:rsidRDefault="00EF2480" w:rsidP="00EF2480">
      <w:pPr>
        <w:spacing w:after="0" w:line="240" w:lineRule="auto"/>
        <w:rPr>
          <w:sz w:val="23"/>
          <w:szCs w:val="23"/>
        </w:rPr>
      </w:pPr>
      <w:r w:rsidRPr="006A60D8">
        <w:rPr>
          <w:sz w:val="23"/>
          <w:szCs w:val="23"/>
        </w:rPr>
        <w:t>El importe reconocido como provisión debe ser la mejor estimación, del desembolso requerido para cancelar la obligación presente en la fecha del informe.</w:t>
      </w:r>
      <w:r>
        <w:rPr>
          <w:sz w:val="23"/>
          <w:szCs w:val="23"/>
        </w:rPr>
        <w:t xml:space="preserve"> </w:t>
      </w:r>
      <w:r w:rsidRPr="00A52A94">
        <w:rPr>
          <w:sz w:val="23"/>
          <w:szCs w:val="23"/>
        </w:rPr>
        <w:t xml:space="preserve">Para llegar a la mejor estimación de una provisión </w:t>
      </w:r>
      <w:r>
        <w:rPr>
          <w:sz w:val="23"/>
          <w:szCs w:val="23"/>
        </w:rPr>
        <w:t>se</w:t>
      </w:r>
      <w:r w:rsidRPr="00A52A94">
        <w:rPr>
          <w:sz w:val="23"/>
          <w:szCs w:val="23"/>
        </w:rPr>
        <w:t xml:space="preserve"> ten</w:t>
      </w:r>
      <w:r>
        <w:rPr>
          <w:sz w:val="23"/>
          <w:szCs w:val="23"/>
        </w:rPr>
        <w:t>d</w:t>
      </w:r>
      <w:r w:rsidRPr="00A52A94">
        <w:rPr>
          <w:sz w:val="23"/>
          <w:szCs w:val="23"/>
        </w:rPr>
        <w:t>r</w:t>
      </w:r>
      <w:r>
        <w:rPr>
          <w:sz w:val="23"/>
          <w:szCs w:val="23"/>
        </w:rPr>
        <w:t>á</w:t>
      </w:r>
      <w:r w:rsidRPr="00A52A94">
        <w:rPr>
          <w:sz w:val="23"/>
          <w:szCs w:val="23"/>
        </w:rPr>
        <w:t xml:space="preserve"> en cuenta los riesgos e incertidumbres que inevitablemente rodean a muchos sucesos y circunstancias. (Criterio técnico)</w:t>
      </w:r>
      <w:r>
        <w:rPr>
          <w:sz w:val="23"/>
          <w:szCs w:val="23"/>
        </w:rPr>
        <w:t xml:space="preserve">. </w:t>
      </w:r>
    </w:p>
    <w:p w14:paraId="43755B45" w14:textId="77777777" w:rsidR="00EF2480" w:rsidRDefault="00EF2480" w:rsidP="00EF2480">
      <w:pPr>
        <w:spacing w:after="0" w:line="240" w:lineRule="auto"/>
        <w:rPr>
          <w:sz w:val="23"/>
          <w:szCs w:val="23"/>
        </w:rPr>
      </w:pPr>
    </w:p>
    <w:p w14:paraId="083B4288" w14:textId="77777777" w:rsidR="00EF2480" w:rsidRPr="006A60D8" w:rsidRDefault="00EF2480" w:rsidP="00EF2480">
      <w:pPr>
        <w:spacing w:after="0" w:line="240" w:lineRule="auto"/>
        <w:rPr>
          <w:sz w:val="23"/>
          <w:szCs w:val="23"/>
        </w:rPr>
      </w:pPr>
      <w:r w:rsidRPr="006A60D8">
        <w:rPr>
          <w:sz w:val="23"/>
          <w:szCs w:val="23"/>
        </w:rPr>
        <w:t xml:space="preserve">Las provisiones se </w:t>
      </w:r>
      <w:r>
        <w:rPr>
          <w:sz w:val="23"/>
          <w:szCs w:val="23"/>
        </w:rPr>
        <w:t>r</w:t>
      </w:r>
      <w:r w:rsidRPr="006A60D8">
        <w:rPr>
          <w:sz w:val="23"/>
          <w:szCs w:val="23"/>
        </w:rPr>
        <w:t>evisar</w:t>
      </w:r>
      <w:r>
        <w:rPr>
          <w:sz w:val="23"/>
          <w:szCs w:val="23"/>
        </w:rPr>
        <w:t>án</w:t>
      </w:r>
      <w:r w:rsidRPr="006A60D8">
        <w:rPr>
          <w:sz w:val="23"/>
          <w:szCs w:val="23"/>
        </w:rPr>
        <w:t xml:space="preserve"> en cada fecha sobre la que se informa, y deben ajustarse, en su caso para reflejar la mejor estimación existente en ese momento.  Si ya no es probable que, para liquidar la obligación, se vaya a requerir de un flujo de salida de recursos que incorporen beneficios económicos o un potencial de servicio, se deberá revertir la provisión.</w:t>
      </w:r>
    </w:p>
    <w:p w14:paraId="6474146D" w14:textId="77777777" w:rsidR="00EF2480" w:rsidRDefault="00EF2480" w:rsidP="00EF2480">
      <w:pPr>
        <w:spacing w:after="0" w:line="240" w:lineRule="auto"/>
        <w:rPr>
          <w:sz w:val="23"/>
          <w:szCs w:val="23"/>
        </w:rPr>
      </w:pPr>
    </w:p>
    <w:p w14:paraId="54407C34" w14:textId="77777777" w:rsidR="00EF2480" w:rsidRPr="00A52A94" w:rsidRDefault="00EF2480" w:rsidP="00EF2480">
      <w:pPr>
        <w:spacing w:after="0" w:line="240" w:lineRule="auto"/>
        <w:rPr>
          <w:sz w:val="23"/>
          <w:szCs w:val="23"/>
        </w:rPr>
      </w:pPr>
      <w:r>
        <w:rPr>
          <w:sz w:val="23"/>
          <w:szCs w:val="23"/>
        </w:rPr>
        <w:t xml:space="preserve">Los </w:t>
      </w:r>
      <w:r w:rsidRPr="00A52A94">
        <w:rPr>
          <w:sz w:val="23"/>
          <w:szCs w:val="23"/>
        </w:rPr>
        <w:t>Activo</w:t>
      </w:r>
      <w:r>
        <w:rPr>
          <w:sz w:val="23"/>
          <w:szCs w:val="23"/>
        </w:rPr>
        <w:t>s</w:t>
      </w:r>
      <w:r w:rsidRPr="00A52A94">
        <w:rPr>
          <w:sz w:val="23"/>
          <w:szCs w:val="23"/>
        </w:rPr>
        <w:t xml:space="preserve"> </w:t>
      </w:r>
      <w:r>
        <w:rPr>
          <w:sz w:val="23"/>
          <w:szCs w:val="23"/>
        </w:rPr>
        <w:t xml:space="preserve">y Pasivos </w:t>
      </w:r>
      <w:r w:rsidRPr="00A52A94">
        <w:rPr>
          <w:sz w:val="23"/>
          <w:szCs w:val="23"/>
        </w:rPr>
        <w:t>Contingente</w:t>
      </w:r>
      <w:r>
        <w:rPr>
          <w:sz w:val="23"/>
          <w:szCs w:val="23"/>
        </w:rPr>
        <w:t xml:space="preserve">s son </w:t>
      </w:r>
      <w:r w:rsidRPr="00A52A94">
        <w:rPr>
          <w:sz w:val="23"/>
          <w:szCs w:val="23"/>
        </w:rPr>
        <w:t xml:space="preserve">de naturaleza posible, surgido a raíz de sucesos pasados, cuya existencia ha de ser confirmada solo porque ocurra, o </w:t>
      </w:r>
      <w:r>
        <w:rPr>
          <w:sz w:val="23"/>
          <w:szCs w:val="23"/>
        </w:rPr>
        <w:t xml:space="preserve">no ocurra </w:t>
      </w:r>
      <w:r w:rsidRPr="00A52A94">
        <w:rPr>
          <w:sz w:val="23"/>
          <w:szCs w:val="23"/>
        </w:rPr>
        <w:t>uno o más eventos inciertos en el futuro, que no están enteramente bajo el control de la entidad.</w:t>
      </w:r>
    </w:p>
    <w:p w14:paraId="48E9B23A" w14:textId="77777777" w:rsidR="00EF2480" w:rsidRDefault="00EF2480" w:rsidP="00EF2480">
      <w:pPr>
        <w:spacing w:after="0" w:line="240" w:lineRule="auto"/>
        <w:rPr>
          <w:sz w:val="23"/>
          <w:szCs w:val="23"/>
        </w:rPr>
      </w:pPr>
    </w:p>
    <w:p w14:paraId="48674505" w14:textId="77777777" w:rsidR="00EF2480" w:rsidRDefault="00EF2480" w:rsidP="00EF2480">
      <w:pPr>
        <w:spacing w:after="0" w:line="240" w:lineRule="auto"/>
        <w:rPr>
          <w:sz w:val="23"/>
          <w:szCs w:val="23"/>
        </w:rPr>
      </w:pPr>
      <w:r>
        <w:rPr>
          <w:sz w:val="23"/>
          <w:szCs w:val="23"/>
        </w:rPr>
        <w:t xml:space="preserve">Al respecto, en la MBA se </w:t>
      </w:r>
      <w:r w:rsidRPr="00F506AA">
        <w:rPr>
          <w:sz w:val="23"/>
          <w:szCs w:val="23"/>
        </w:rPr>
        <w:t xml:space="preserve">procederá a determinar la existencia o no de la obligación presente, teniendo en cuenta toda la evidencia disponible, entre la que se podrá incluir, por ejemplo, la opinión de expertos. La evidencia que se toma en consideración incluye la adicional que pudieran suministrar los hechos ocurridos después la fecha sobre la que se informa. A partir de esa evidencia: </w:t>
      </w:r>
    </w:p>
    <w:p w14:paraId="3CCFA483" w14:textId="77777777" w:rsidR="00EF2480" w:rsidRDefault="00EF2480" w:rsidP="00EF2480">
      <w:pPr>
        <w:spacing w:after="0" w:line="240" w:lineRule="auto"/>
        <w:rPr>
          <w:sz w:val="23"/>
          <w:szCs w:val="23"/>
        </w:rPr>
      </w:pPr>
    </w:p>
    <w:p w14:paraId="04E70B50" w14:textId="77777777" w:rsidR="00EF2480" w:rsidRPr="00A52A94" w:rsidRDefault="00EF2480" w:rsidP="00EF2480">
      <w:pPr>
        <w:pStyle w:val="Prrafodelista"/>
        <w:numPr>
          <w:ilvl w:val="1"/>
          <w:numId w:val="36"/>
        </w:numPr>
        <w:spacing w:after="0" w:line="240" w:lineRule="auto"/>
        <w:ind w:left="284"/>
        <w:rPr>
          <w:sz w:val="23"/>
          <w:szCs w:val="23"/>
        </w:rPr>
      </w:pPr>
      <w:r w:rsidRPr="00A52A94">
        <w:rPr>
          <w:sz w:val="23"/>
          <w:szCs w:val="23"/>
        </w:rPr>
        <w:t xml:space="preserve">Si es más probable que improbable que una obligación presente exista en la fecha sobre la que se informa, la entidad reconocerá una provisión (siempre que se satisfagan los criterios de reconocimiento); </w:t>
      </w:r>
    </w:p>
    <w:p w14:paraId="2EA9A7BF" w14:textId="77777777" w:rsidR="00EF2480" w:rsidRPr="00A52A94" w:rsidRDefault="00EF2480" w:rsidP="00EF2480">
      <w:pPr>
        <w:pStyle w:val="Prrafodelista"/>
        <w:numPr>
          <w:ilvl w:val="1"/>
          <w:numId w:val="36"/>
        </w:numPr>
        <w:spacing w:after="0" w:line="240" w:lineRule="auto"/>
        <w:ind w:left="284"/>
        <w:rPr>
          <w:sz w:val="23"/>
          <w:szCs w:val="23"/>
        </w:rPr>
      </w:pPr>
      <w:r w:rsidRPr="00A52A94">
        <w:rPr>
          <w:sz w:val="23"/>
          <w:szCs w:val="23"/>
        </w:rPr>
        <w:t xml:space="preserve">Si es más probable que improbable que ninguna obligación presente exista en la fecha sobre la que se informa, la entidad informará en las notas de la existencia de un pasivo contingente, salvo que la posibilidad de un flujo de salida de recursos que incorporen beneficios económicos o un potencial de servicio sea remota. </w:t>
      </w:r>
    </w:p>
    <w:p w14:paraId="3D952041" w14:textId="77777777" w:rsidR="00EF2480" w:rsidRPr="00F506AA" w:rsidRDefault="00EF2480" w:rsidP="00EF2480">
      <w:pPr>
        <w:spacing w:after="0" w:line="240" w:lineRule="auto"/>
        <w:rPr>
          <w:sz w:val="23"/>
          <w:szCs w:val="23"/>
        </w:rPr>
      </w:pPr>
    </w:p>
    <w:p w14:paraId="1D033D99" w14:textId="77777777" w:rsidR="00EF2480" w:rsidRPr="00E7081A" w:rsidRDefault="00EF2480" w:rsidP="00EF2480">
      <w:pPr>
        <w:spacing w:after="0" w:line="240" w:lineRule="auto"/>
        <w:rPr>
          <w:sz w:val="23"/>
          <w:szCs w:val="23"/>
        </w:rPr>
      </w:pPr>
      <w:r w:rsidRPr="00E7081A">
        <w:rPr>
          <w:sz w:val="23"/>
          <w:szCs w:val="23"/>
        </w:rPr>
        <w:t xml:space="preserve">Un </w:t>
      </w:r>
      <w:r>
        <w:rPr>
          <w:sz w:val="23"/>
          <w:szCs w:val="23"/>
        </w:rPr>
        <w:t>activo o p</w:t>
      </w:r>
      <w:r w:rsidRPr="00E7081A">
        <w:rPr>
          <w:sz w:val="23"/>
          <w:szCs w:val="23"/>
        </w:rPr>
        <w:t>asivo contingente</w:t>
      </w:r>
      <w:r>
        <w:rPr>
          <w:sz w:val="23"/>
          <w:szCs w:val="23"/>
        </w:rPr>
        <w:t>s</w:t>
      </w:r>
      <w:r w:rsidRPr="00E7081A">
        <w:rPr>
          <w:sz w:val="23"/>
          <w:szCs w:val="23"/>
        </w:rPr>
        <w:t xml:space="preserve"> no se reconoce</w:t>
      </w:r>
      <w:r>
        <w:rPr>
          <w:sz w:val="23"/>
          <w:szCs w:val="23"/>
        </w:rPr>
        <w:t>n</w:t>
      </w:r>
      <w:r w:rsidRPr="00E7081A">
        <w:rPr>
          <w:sz w:val="23"/>
          <w:szCs w:val="23"/>
        </w:rPr>
        <w:t xml:space="preserve"> contablemente debido a que su existencia será confirmada sólo porque suceda o, en su caso, porque no suceda uno o más eventos inciertos en el futuro, que no están enteramente bajo el control de la entidad, o debido a que l</w:t>
      </w:r>
      <w:r>
        <w:rPr>
          <w:sz w:val="23"/>
          <w:szCs w:val="23"/>
        </w:rPr>
        <w:t>os activos o</w:t>
      </w:r>
      <w:r w:rsidRPr="00E7081A">
        <w:rPr>
          <w:sz w:val="23"/>
          <w:szCs w:val="23"/>
        </w:rPr>
        <w:t xml:space="preserve"> pasivo no satisface los criterios de reconocimiento. Los</w:t>
      </w:r>
      <w:r>
        <w:rPr>
          <w:sz w:val="23"/>
          <w:szCs w:val="23"/>
        </w:rPr>
        <w:t xml:space="preserve"> activos y</w:t>
      </w:r>
      <w:r w:rsidRPr="00E7081A">
        <w:rPr>
          <w:sz w:val="23"/>
          <w:szCs w:val="23"/>
        </w:rPr>
        <w:t xml:space="preserve"> pasivos contingentes sólo deben informarse en las notas a los estados financieros</w:t>
      </w:r>
      <w:r>
        <w:rPr>
          <w:sz w:val="23"/>
          <w:szCs w:val="23"/>
        </w:rPr>
        <w:t>.</w:t>
      </w:r>
    </w:p>
    <w:p w14:paraId="205EE436" w14:textId="77777777" w:rsidR="00EF2480" w:rsidRDefault="00EF2480" w:rsidP="00EF2480">
      <w:pPr>
        <w:spacing w:after="0" w:line="240" w:lineRule="auto"/>
      </w:pPr>
    </w:p>
    <w:p w14:paraId="7365A5FC" w14:textId="77777777" w:rsidR="00EF2480" w:rsidRPr="006A60D8" w:rsidRDefault="00EF2480" w:rsidP="00EF2480">
      <w:pPr>
        <w:spacing w:after="0" w:line="240" w:lineRule="auto"/>
        <w:rPr>
          <w:b/>
          <w:bCs/>
        </w:rPr>
      </w:pPr>
      <w:r w:rsidRPr="006A60D8">
        <w:rPr>
          <w:b/>
          <w:bCs/>
        </w:rPr>
        <w:t>Otras revelaciones</w:t>
      </w:r>
    </w:p>
    <w:p w14:paraId="1D9DA17F" w14:textId="77777777" w:rsidR="00EF2480" w:rsidRDefault="00EF2480" w:rsidP="00EF2480">
      <w:pPr>
        <w:spacing w:after="0" w:line="240" w:lineRule="auto"/>
      </w:pPr>
    </w:p>
    <w:p w14:paraId="2B8C8074" w14:textId="77777777" w:rsidR="000B2825" w:rsidRDefault="000B2825" w:rsidP="000B2825">
      <w:pPr>
        <w:spacing w:line="240" w:lineRule="auto"/>
      </w:pPr>
      <w:r>
        <w:t xml:space="preserve">Al respecto, debe indicarse que a la fecha de cierre de estos estados financieros no se recibió de Recursos Humanos la información requerida para registrar lo correspondiente a provisiones por beneficios a empleados. </w:t>
      </w:r>
    </w:p>
    <w:p w14:paraId="5AA421AD" w14:textId="77777777" w:rsidR="000B2825" w:rsidRDefault="000B2825" w:rsidP="000B2825">
      <w:pPr>
        <w:autoSpaceDE w:val="0"/>
        <w:autoSpaceDN w:val="0"/>
        <w:adjustRightInd w:val="0"/>
        <w:spacing w:line="240" w:lineRule="auto"/>
      </w:pPr>
      <w:r>
        <w:t xml:space="preserve">En relación con los activos y pasivos contingentes mediante oficio AJMBA/106-2024 el Asesor Jurídico Municipal indicó que en el caso del </w:t>
      </w:r>
      <w:r w:rsidRPr="007D2929">
        <w:t>RECLAMO ADMINISTRATIVO DE LA EMPRESA PINDECO, el mismo se ha venido manejando bajo la figura de la conciliación, ya se entregó la propuesta por parte de la administración, ya se recibió respuesta, se tomó un acuerdo y está pendiente de ser plasmado y acordado el sistema de pagos con la empresa, mediante documento de transacción debidamente autorizado y aprobado por el Concejo Mu</w:t>
      </w:r>
      <w:r>
        <w:t>nicipal, pero no se consigna el monto para su reconocimiento.</w:t>
      </w:r>
    </w:p>
    <w:p w14:paraId="34233756" w14:textId="77777777" w:rsidR="000B2825" w:rsidRDefault="000B2825" w:rsidP="000B2825">
      <w:pPr>
        <w:autoSpaceDE w:val="0"/>
        <w:autoSpaceDN w:val="0"/>
        <w:adjustRightInd w:val="0"/>
        <w:spacing w:line="240" w:lineRule="auto"/>
      </w:pPr>
      <w:r>
        <w:t xml:space="preserve">En adición, debe señalarse que, de acuerdo con la información existente en los archivos municipales, </w:t>
      </w:r>
      <w:r w:rsidRPr="00DA2D7E">
        <w:t xml:space="preserve">el 6 de mayo del 2022 el señor </w:t>
      </w:r>
      <w:r>
        <w:t>A</w:t>
      </w:r>
      <w:r w:rsidRPr="00DA2D7E">
        <w:t xml:space="preserve">lcalde remite a la Comisión de deuda </w:t>
      </w:r>
      <w:r>
        <w:t>P</w:t>
      </w:r>
      <w:r w:rsidRPr="00DA2D7E">
        <w:t xml:space="preserve">INDECO </w:t>
      </w:r>
      <w:r>
        <w:t xml:space="preserve">la </w:t>
      </w:r>
      <w:r w:rsidRPr="00DA2D7E">
        <w:t xml:space="preserve">propuesta para el pago de deuda, </w:t>
      </w:r>
      <w:r>
        <w:t xml:space="preserve">mediante </w:t>
      </w:r>
      <w:r w:rsidRPr="00DA2D7E">
        <w:t xml:space="preserve">documento con fecha de recibido 09 </w:t>
      </w:r>
      <w:r>
        <w:t xml:space="preserve">de mayo de </w:t>
      </w:r>
      <w:r w:rsidRPr="00DA2D7E">
        <w:t>2022 por el Consejo Municipal</w:t>
      </w:r>
      <w:r>
        <w:t>.</w:t>
      </w:r>
    </w:p>
    <w:p w14:paraId="3E11EB4B" w14:textId="77777777" w:rsidR="000B2825" w:rsidRDefault="000B2825" w:rsidP="000B2825">
      <w:pPr>
        <w:autoSpaceDE w:val="0"/>
        <w:autoSpaceDN w:val="0"/>
        <w:adjustRightInd w:val="0"/>
        <w:spacing w:line="240" w:lineRule="auto"/>
      </w:pPr>
      <w:r w:rsidRPr="00DA2D7E">
        <w:t>En</w:t>
      </w:r>
      <w:r>
        <w:t xml:space="preserve"> dicho</w:t>
      </w:r>
      <w:r w:rsidRPr="00DA2D7E">
        <w:t xml:space="preserve"> documento se indica que dado que existe una deuda sobre principal de los periodos 2006-2007-2008 2009 por un monto de </w:t>
      </w:r>
      <w:r w:rsidRPr="00C5183A">
        <w:rPr>
          <w:rFonts w:ascii="Arial" w:hAnsi="Arial" w:cs="Arial"/>
        </w:rPr>
        <w:t>₡</w:t>
      </w:r>
      <w:r w:rsidRPr="00DA2D7E">
        <w:t xml:space="preserve">179.024.767 se propone que </w:t>
      </w:r>
      <w:r>
        <w:t>P</w:t>
      </w:r>
      <w:r w:rsidRPr="00DA2D7E">
        <w:t xml:space="preserve">INDECO haga renuncia expresa sobre de las costas e intereses y que por su parte la municipalidad se compromete a pagar en el periodo 2022 la suma de </w:t>
      </w:r>
      <w:r w:rsidRPr="00C5183A">
        <w:rPr>
          <w:rFonts w:ascii="Arial" w:hAnsi="Arial" w:cs="Arial"/>
        </w:rPr>
        <w:t>₡</w:t>
      </w:r>
      <w:r w:rsidRPr="00DA2D7E">
        <w:t xml:space="preserve">50.000.000 y que sobre el saldo de </w:t>
      </w:r>
      <w:r w:rsidRPr="00C5183A">
        <w:rPr>
          <w:rFonts w:ascii="Arial" w:hAnsi="Arial" w:cs="Arial"/>
        </w:rPr>
        <w:t>₡</w:t>
      </w:r>
      <w:r>
        <w:t>1</w:t>
      </w:r>
      <w:r w:rsidRPr="00DA2D7E">
        <w:t xml:space="preserve">29.024.767 </w:t>
      </w:r>
      <w:r>
        <w:t xml:space="preserve">restante, </w:t>
      </w:r>
      <w:r w:rsidRPr="00DA2D7E">
        <w:t>se asume el compromiso de pagar en dos tractos en l</w:t>
      </w:r>
      <w:r>
        <w:t>os años</w:t>
      </w:r>
      <w:r w:rsidRPr="00DA2D7E">
        <w:t xml:space="preserve"> 2023 y 2024 cada uno por la suma de </w:t>
      </w:r>
      <w:r w:rsidRPr="00C5183A">
        <w:rPr>
          <w:rFonts w:ascii="Arial" w:hAnsi="Arial" w:cs="Arial"/>
        </w:rPr>
        <w:t>₡</w:t>
      </w:r>
      <w:r w:rsidRPr="00DA2D7E">
        <w:t>64.512.383.50.</w:t>
      </w:r>
      <w:r>
        <w:t xml:space="preserve"> </w:t>
      </w:r>
      <w:r w:rsidRPr="00DA2D7E">
        <w:t xml:space="preserve">Dicha propuesta </w:t>
      </w:r>
      <w:r>
        <w:t>fue</w:t>
      </w:r>
      <w:r w:rsidRPr="00DA2D7E">
        <w:t xml:space="preserve"> analizada y transferida por parte de la Comisión de deuda </w:t>
      </w:r>
      <w:r>
        <w:t>P</w:t>
      </w:r>
      <w:r w:rsidRPr="00DA2D7E">
        <w:t>INDECO al Concejo Municipal.</w:t>
      </w:r>
    </w:p>
    <w:p w14:paraId="4FD3F24C" w14:textId="77777777" w:rsidR="000B2825" w:rsidRPr="00DA2D7E" w:rsidRDefault="000B2825" w:rsidP="000B2825">
      <w:pPr>
        <w:autoSpaceDE w:val="0"/>
        <w:autoSpaceDN w:val="0"/>
        <w:adjustRightInd w:val="0"/>
        <w:spacing w:line="240" w:lineRule="auto"/>
      </w:pPr>
      <w:r w:rsidRPr="00DA2D7E">
        <w:t>Mediante el Oficio MBA-SCM 2020-2024-O-0369-2022 del 26 de mayo del 2022 el Concejo remite acuerdo tomado en  Sesión Ordinaria 107- 2022, celebrada el 23 de mayo del 2022 que en letra dice: Con vista en el Dictamen de la Comisión Municipal de la deuda PINDECO</w:t>
      </w:r>
      <w:r>
        <w:t>,</w:t>
      </w:r>
      <w:r w:rsidRPr="00DA2D7E">
        <w:t xml:space="preserve"> se procede a acoger la recomendación para autorizar a la Administración para que presente la propuesta a la Compañía PINDECO.</w:t>
      </w:r>
      <w:r>
        <w:t xml:space="preserve"> </w:t>
      </w:r>
      <w:r w:rsidRPr="00DA2D7E">
        <w:t>Mediante Oficio AMBA-397-2022 con fecha 25 de agosto del 2022</w:t>
      </w:r>
      <w:r>
        <w:t>,</w:t>
      </w:r>
      <w:r w:rsidRPr="00DA2D7E">
        <w:t xml:space="preserve"> se le envía nota al Señor Ing. Luis Arias Hidalgo por parte del señor </w:t>
      </w:r>
      <w:r>
        <w:t>Al</w:t>
      </w:r>
      <w:r w:rsidRPr="00DA2D7E">
        <w:t>calde donde se le indica el acuerdo antes citado.</w:t>
      </w:r>
    </w:p>
    <w:p w14:paraId="3FD3E68C" w14:textId="77777777" w:rsidR="000B2825" w:rsidRPr="00DA2D7E" w:rsidRDefault="000B2825" w:rsidP="000B2825">
      <w:pPr>
        <w:autoSpaceDE w:val="0"/>
        <w:autoSpaceDN w:val="0"/>
        <w:adjustRightInd w:val="0"/>
        <w:spacing w:line="240" w:lineRule="auto"/>
      </w:pPr>
      <w:r w:rsidRPr="00DA2D7E">
        <w:t>En el 19 de diciembre del 2022 dado que no había respuesta por parte de PINDECO sobre el acuerdo tomado y la nota enviada</w:t>
      </w:r>
      <w:r>
        <w:t>,</w:t>
      </w:r>
      <w:r w:rsidRPr="00DA2D7E">
        <w:t xml:space="preserve"> se procedió con autorización del señor </w:t>
      </w:r>
      <w:r>
        <w:t>A</w:t>
      </w:r>
      <w:r w:rsidRPr="00DA2D7E">
        <w:t xml:space="preserve">lcalde </w:t>
      </w:r>
      <w:r>
        <w:t>mediante</w:t>
      </w:r>
      <w:r w:rsidRPr="00DA2D7E">
        <w:t xml:space="preserve"> Oficio OFICIO-AMBA-577-2022 a depositar la suma de ¢50.000.000 </w:t>
      </w:r>
      <w:r>
        <w:t xml:space="preserve">quedando pendiente de cancelar la suma de </w:t>
      </w:r>
      <w:r w:rsidRPr="00C5183A">
        <w:rPr>
          <w:rFonts w:ascii="Arial" w:hAnsi="Arial" w:cs="Arial"/>
        </w:rPr>
        <w:t>₡</w:t>
      </w:r>
      <w:r w:rsidRPr="00DA2D7E">
        <w:t>129.024.767</w:t>
      </w:r>
      <w:r>
        <w:t>,00 (</w:t>
      </w:r>
      <w:r w:rsidRPr="00DA2D7E">
        <w:t xml:space="preserve">principal </w:t>
      </w:r>
      <w:r w:rsidRPr="00C5183A">
        <w:rPr>
          <w:rFonts w:ascii="Arial" w:hAnsi="Arial" w:cs="Arial"/>
        </w:rPr>
        <w:t>₡</w:t>
      </w:r>
      <w:r w:rsidRPr="00DA2D7E">
        <w:t xml:space="preserve">179.024.767 </w:t>
      </w:r>
      <w:r>
        <w:t xml:space="preserve">menos abono </w:t>
      </w:r>
      <w:r w:rsidRPr="00C5183A">
        <w:rPr>
          <w:rFonts w:ascii="Arial" w:hAnsi="Arial" w:cs="Arial"/>
        </w:rPr>
        <w:t>₡</w:t>
      </w:r>
      <w:r>
        <w:t>50 000,00)</w:t>
      </w:r>
      <w:r w:rsidRPr="00DA2D7E">
        <w:t>.</w:t>
      </w:r>
    </w:p>
    <w:p w14:paraId="2259B2BF" w14:textId="77777777" w:rsidR="000B2825" w:rsidRPr="00DA2D7E" w:rsidRDefault="000B2825" w:rsidP="000B2825">
      <w:pPr>
        <w:autoSpaceDE w:val="0"/>
        <w:autoSpaceDN w:val="0"/>
        <w:adjustRightInd w:val="0"/>
        <w:spacing w:line="240" w:lineRule="auto"/>
      </w:pPr>
      <w:r w:rsidRPr="00DA2D7E">
        <w:t xml:space="preserve">En fecha 27 de Julio del 2023 se recibe por parte de la Cía. PINDECO documento sin número de oficio dirigido al señor José Rojas donde nos indican que mantienen la posición de condonar los intereses, pero no así el rubro por los gastos legales administrativos que serían por un monto de </w:t>
      </w:r>
      <w:r w:rsidRPr="00C5183A">
        <w:rPr>
          <w:rFonts w:ascii="Arial" w:hAnsi="Arial" w:cs="Arial"/>
        </w:rPr>
        <w:t>₡</w:t>
      </w:r>
      <w:r w:rsidRPr="00DA2D7E">
        <w:t>61.000.000</w:t>
      </w:r>
      <w:r>
        <w:t>,00</w:t>
      </w:r>
      <w:r w:rsidRPr="00DA2D7E">
        <w:t>.</w:t>
      </w:r>
    </w:p>
    <w:p w14:paraId="1DDF71AB" w14:textId="682F3240" w:rsidR="000B2825" w:rsidRPr="00DA2D7E" w:rsidRDefault="000B2825" w:rsidP="000B2825">
      <w:pPr>
        <w:autoSpaceDE w:val="0"/>
        <w:autoSpaceDN w:val="0"/>
        <w:adjustRightInd w:val="0"/>
        <w:spacing w:line="240" w:lineRule="auto"/>
      </w:pPr>
      <w:r w:rsidRPr="00DA2D7E">
        <w:t xml:space="preserve">Mediante acuerdo de Sesión Extraordinaria 66-2023 del 27 de octubre del 2024 el </w:t>
      </w:r>
      <w:r>
        <w:t>C</w:t>
      </w:r>
      <w:r w:rsidRPr="00DA2D7E">
        <w:t xml:space="preserve">oncejo </w:t>
      </w:r>
      <w:r>
        <w:t>i</w:t>
      </w:r>
      <w:r w:rsidRPr="00DA2D7E">
        <w:t xml:space="preserve">ndica estar de acuerdo en pagar los gastos administrativos por la suma de </w:t>
      </w:r>
      <w:r w:rsidRPr="00C5183A">
        <w:rPr>
          <w:rFonts w:ascii="Arial" w:hAnsi="Arial" w:cs="Arial"/>
        </w:rPr>
        <w:t>₡</w:t>
      </w:r>
      <w:r w:rsidRPr="00DA2D7E">
        <w:t>61.000.000</w:t>
      </w:r>
      <w:r>
        <w:t>,00</w:t>
      </w:r>
      <w:r w:rsidRPr="00DA2D7E">
        <w:t>.</w:t>
      </w:r>
      <w:r>
        <w:t xml:space="preserve"> </w:t>
      </w:r>
      <w:r w:rsidRPr="00DA2D7E">
        <w:t>A</w:t>
      </w:r>
      <w:r>
        <w:t>si</w:t>
      </w:r>
      <w:r w:rsidRPr="00DA2D7E">
        <w:t>mismo</w:t>
      </w:r>
      <w:r>
        <w:t>,</w:t>
      </w:r>
      <w:r w:rsidRPr="00DA2D7E">
        <w:t xml:space="preserve"> en dicha sesión también se ac</w:t>
      </w:r>
      <w:r>
        <w:t>o</w:t>
      </w:r>
      <w:r w:rsidRPr="00DA2D7E">
        <w:t>rd</w:t>
      </w:r>
      <w:r>
        <w:t>ó</w:t>
      </w:r>
      <w:r w:rsidRPr="00DA2D7E">
        <w:t xml:space="preserve"> delegar al señor Alcalde para que negoci</w:t>
      </w:r>
      <w:r>
        <w:t>ara</w:t>
      </w:r>
      <w:r w:rsidRPr="00DA2D7E">
        <w:t xml:space="preserve"> la modalidad de pago sobre la deuda </w:t>
      </w:r>
      <w:r w:rsidR="004653E2" w:rsidRPr="00DA2D7E">
        <w:t>del periodo</w:t>
      </w:r>
      <w:r w:rsidRPr="00DA2D7E">
        <w:t xml:space="preserve"> 2006 a 2009 y presentarlo ante el </w:t>
      </w:r>
      <w:r>
        <w:t>C</w:t>
      </w:r>
      <w:r w:rsidRPr="00DA2D7E">
        <w:t>oncejo.</w:t>
      </w:r>
      <w:r>
        <w:t xml:space="preserve"> </w:t>
      </w:r>
      <w:r w:rsidRPr="00DA2D7E">
        <w:t xml:space="preserve">Así las cosas, según este último acuerdo el monto de la deuda </w:t>
      </w:r>
      <w:r>
        <w:t>asciende a</w:t>
      </w:r>
      <w:r w:rsidRPr="00DA2D7E">
        <w:t xml:space="preserve"> </w:t>
      </w:r>
      <w:r w:rsidRPr="00C5183A">
        <w:rPr>
          <w:rFonts w:ascii="Arial" w:hAnsi="Arial" w:cs="Arial"/>
        </w:rPr>
        <w:t>₡</w:t>
      </w:r>
      <w:r w:rsidRPr="00DA2D7E">
        <w:t>190.024.767.00</w:t>
      </w:r>
    </w:p>
    <w:p w14:paraId="0EBCC3CA" w14:textId="4F71D6D1" w:rsidR="000B2825" w:rsidRDefault="000B2825" w:rsidP="000B2825">
      <w:pPr>
        <w:autoSpaceDE w:val="0"/>
        <w:autoSpaceDN w:val="0"/>
        <w:adjustRightInd w:val="0"/>
        <w:spacing w:line="240" w:lineRule="auto"/>
      </w:pPr>
      <w:r w:rsidRPr="00DA2D7E">
        <w:t xml:space="preserve">En fecha 27 de febrero del 2024 se realizó </w:t>
      </w:r>
      <w:r>
        <w:t xml:space="preserve">un </w:t>
      </w:r>
      <w:r w:rsidRPr="00DA2D7E">
        <w:t xml:space="preserve">depósito por la suma de </w:t>
      </w:r>
      <w:r w:rsidRPr="00C5183A">
        <w:rPr>
          <w:rFonts w:ascii="Arial" w:hAnsi="Arial" w:cs="Arial"/>
        </w:rPr>
        <w:t>₡</w:t>
      </w:r>
      <w:r w:rsidRPr="00DA2D7E">
        <w:t xml:space="preserve">50.000.000 correspondiente a la cuota del periodo 2023, </w:t>
      </w:r>
      <w:r>
        <w:t>con lo cual</w:t>
      </w:r>
      <w:r w:rsidRPr="00DA2D7E">
        <w:t xml:space="preserve"> la deuda </w:t>
      </w:r>
      <w:r>
        <w:t>se redujo a</w:t>
      </w:r>
      <w:r w:rsidRPr="00DA2D7E">
        <w:t xml:space="preserve"> </w:t>
      </w:r>
      <w:r w:rsidRPr="00C5183A">
        <w:rPr>
          <w:rFonts w:ascii="Arial" w:hAnsi="Arial" w:cs="Arial"/>
        </w:rPr>
        <w:t>₡</w:t>
      </w:r>
      <w:r w:rsidRPr="00DA2D7E">
        <w:t>140.024.767</w:t>
      </w:r>
      <w:r>
        <w:t>,00</w:t>
      </w:r>
      <w:r w:rsidRPr="00DA2D7E">
        <w:t>.</w:t>
      </w:r>
      <w:r>
        <w:t xml:space="preserve"> Al respecto, </w:t>
      </w:r>
      <w:r w:rsidRPr="00DA2D7E">
        <w:t xml:space="preserve">el señor </w:t>
      </w:r>
      <w:r>
        <w:t>A</w:t>
      </w:r>
      <w:r w:rsidRPr="00DA2D7E">
        <w:t>lcalde deberá presentar</w:t>
      </w:r>
      <w:r>
        <w:t xml:space="preserve"> una</w:t>
      </w:r>
      <w:r w:rsidRPr="00DA2D7E">
        <w:t xml:space="preserve"> propuesta de pago al </w:t>
      </w:r>
      <w:r>
        <w:t>C</w:t>
      </w:r>
      <w:r w:rsidRPr="00DA2D7E">
        <w:t xml:space="preserve">oncejo </w:t>
      </w:r>
      <w:r>
        <w:t>para la cancelación d</w:t>
      </w:r>
      <w:r w:rsidRPr="00DA2D7E">
        <w:t>e</w:t>
      </w:r>
      <w:r>
        <w:t xml:space="preserve"> </w:t>
      </w:r>
      <w:r w:rsidRPr="00DA2D7E">
        <w:t>l</w:t>
      </w:r>
      <w:r>
        <w:t>a</w:t>
      </w:r>
      <w:r w:rsidRPr="00DA2D7E">
        <w:t xml:space="preserve"> </w:t>
      </w:r>
      <w:r>
        <w:t xml:space="preserve">deuda a </w:t>
      </w:r>
      <w:r w:rsidRPr="00DA2D7E">
        <w:t>PINDECO</w:t>
      </w:r>
      <w:r>
        <w:t>.</w:t>
      </w:r>
    </w:p>
    <w:p w14:paraId="4CBDE15D" w14:textId="77777777" w:rsidR="00A4051D" w:rsidRDefault="00A4051D" w:rsidP="000B2825">
      <w:pPr>
        <w:autoSpaceDE w:val="0"/>
        <w:autoSpaceDN w:val="0"/>
        <w:adjustRightInd w:val="0"/>
        <w:spacing w:line="240" w:lineRule="auto"/>
      </w:pPr>
    </w:p>
    <w:p w14:paraId="3E4A09E4" w14:textId="77777777" w:rsidR="00A4051D" w:rsidRDefault="00A4051D" w:rsidP="000B2825">
      <w:pPr>
        <w:autoSpaceDE w:val="0"/>
        <w:autoSpaceDN w:val="0"/>
        <w:adjustRightInd w:val="0"/>
        <w:spacing w:line="240" w:lineRule="auto"/>
      </w:pPr>
    </w:p>
    <w:p w14:paraId="3C4E65AA" w14:textId="77777777" w:rsidR="00A4051D" w:rsidRPr="00DA2D7E" w:rsidRDefault="00A4051D" w:rsidP="000B2825">
      <w:pPr>
        <w:autoSpaceDE w:val="0"/>
        <w:autoSpaceDN w:val="0"/>
        <w:adjustRightInd w:val="0"/>
        <w:spacing w:line="240" w:lineRule="auto"/>
      </w:pPr>
    </w:p>
    <w:p w14:paraId="45CBBC56" w14:textId="5D4AF54D" w:rsidR="000B2825" w:rsidRDefault="000B2825" w:rsidP="000B2825">
      <w:pPr>
        <w:autoSpaceDE w:val="0"/>
        <w:autoSpaceDN w:val="0"/>
        <w:adjustRightInd w:val="0"/>
      </w:pPr>
      <w:r w:rsidRPr="00DA2D7E">
        <w:t xml:space="preserve">En el siguiente cuadro se </w:t>
      </w:r>
      <w:r>
        <w:t>resume</w:t>
      </w:r>
      <w:r w:rsidRPr="00DA2D7E">
        <w:t xml:space="preserve"> lo </w:t>
      </w:r>
      <w:r>
        <w:t>comentado</w:t>
      </w:r>
      <w:r w:rsidRPr="00DA2D7E">
        <w:t xml:space="preserve"> anteriormente.</w:t>
      </w:r>
    </w:p>
    <w:tbl>
      <w:tblPr>
        <w:tblStyle w:val="Tablaconcuadrcula"/>
        <w:tblW w:w="6804" w:type="dxa"/>
        <w:tblInd w:w="84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414"/>
        <w:gridCol w:w="2390"/>
      </w:tblGrid>
      <w:tr w:rsidR="000B2825" w:rsidRPr="00641850" w14:paraId="1D40340C" w14:textId="77777777" w:rsidTr="004653E2">
        <w:tc>
          <w:tcPr>
            <w:tcW w:w="4414" w:type="dxa"/>
            <w:tcBorders>
              <w:top w:val="single" w:sz="12" w:space="0" w:color="auto"/>
              <w:bottom w:val="single" w:sz="12" w:space="0" w:color="auto"/>
            </w:tcBorders>
            <w:shd w:val="clear" w:color="auto" w:fill="1F3864" w:themeFill="accent1" w:themeFillShade="80"/>
          </w:tcPr>
          <w:p w14:paraId="34050064" w14:textId="77777777" w:rsidR="000B2825" w:rsidRPr="00641850" w:rsidRDefault="000B2825" w:rsidP="004653E2">
            <w:pPr>
              <w:autoSpaceDE w:val="0"/>
              <w:autoSpaceDN w:val="0"/>
              <w:adjustRightInd w:val="0"/>
              <w:spacing w:before="120" w:after="120"/>
              <w:jc w:val="center"/>
              <w:rPr>
                <w:color w:val="FFFFFF" w:themeColor="background1"/>
                <w:sz w:val="22"/>
                <w:szCs w:val="22"/>
              </w:rPr>
            </w:pPr>
            <w:r w:rsidRPr="00641850">
              <w:rPr>
                <w:b/>
                <w:bCs/>
                <w:color w:val="FFFFFF" w:themeColor="background1"/>
                <w:sz w:val="22"/>
                <w:szCs w:val="22"/>
              </w:rPr>
              <w:t>Descripción</w:t>
            </w:r>
          </w:p>
        </w:tc>
        <w:tc>
          <w:tcPr>
            <w:tcW w:w="2390" w:type="dxa"/>
            <w:tcBorders>
              <w:top w:val="single" w:sz="12" w:space="0" w:color="auto"/>
              <w:bottom w:val="single" w:sz="12" w:space="0" w:color="auto"/>
            </w:tcBorders>
            <w:shd w:val="clear" w:color="auto" w:fill="1F3864" w:themeFill="accent1" w:themeFillShade="80"/>
          </w:tcPr>
          <w:p w14:paraId="3EECCB4E" w14:textId="77777777" w:rsidR="000B2825" w:rsidRPr="00641850" w:rsidRDefault="000B2825" w:rsidP="004653E2">
            <w:pPr>
              <w:autoSpaceDE w:val="0"/>
              <w:autoSpaceDN w:val="0"/>
              <w:adjustRightInd w:val="0"/>
              <w:spacing w:before="120" w:after="120"/>
              <w:jc w:val="center"/>
              <w:rPr>
                <w:color w:val="FFFFFF" w:themeColor="background1"/>
                <w:sz w:val="22"/>
                <w:szCs w:val="22"/>
              </w:rPr>
            </w:pPr>
            <w:r w:rsidRPr="00641850">
              <w:rPr>
                <w:b/>
                <w:bCs/>
                <w:color w:val="FFFFFF" w:themeColor="background1"/>
                <w:sz w:val="22"/>
                <w:szCs w:val="22"/>
              </w:rPr>
              <w:t>Monto</w:t>
            </w:r>
          </w:p>
        </w:tc>
      </w:tr>
      <w:tr w:rsidR="000B2825" w:rsidRPr="00641850" w14:paraId="6BA0784C" w14:textId="77777777" w:rsidTr="004653E2">
        <w:tc>
          <w:tcPr>
            <w:tcW w:w="4414" w:type="dxa"/>
            <w:tcBorders>
              <w:top w:val="single" w:sz="12" w:space="0" w:color="auto"/>
              <w:left w:val="single" w:sz="12" w:space="0" w:color="auto"/>
              <w:bottom w:val="nil"/>
              <w:right w:val="single" w:sz="12" w:space="0" w:color="auto"/>
            </w:tcBorders>
          </w:tcPr>
          <w:p w14:paraId="4319797D" w14:textId="77777777" w:rsidR="000B2825" w:rsidRPr="00641850" w:rsidRDefault="000B2825" w:rsidP="004653E2">
            <w:pPr>
              <w:autoSpaceDE w:val="0"/>
              <w:autoSpaceDN w:val="0"/>
              <w:adjustRightInd w:val="0"/>
              <w:spacing w:before="120"/>
              <w:rPr>
                <w:sz w:val="22"/>
                <w:szCs w:val="22"/>
              </w:rPr>
            </w:pPr>
            <w:r w:rsidRPr="00641850">
              <w:rPr>
                <w:sz w:val="22"/>
                <w:szCs w:val="22"/>
              </w:rPr>
              <w:t>Deuda sobre los periodos 2006-2007-2008 2009</w:t>
            </w:r>
          </w:p>
        </w:tc>
        <w:tc>
          <w:tcPr>
            <w:tcW w:w="2390" w:type="dxa"/>
            <w:tcBorders>
              <w:top w:val="single" w:sz="12" w:space="0" w:color="auto"/>
              <w:left w:val="single" w:sz="12" w:space="0" w:color="auto"/>
              <w:bottom w:val="nil"/>
              <w:right w:val="single" w:sz="12" w:space="0" w:color="auto"/>
            </w:tcBorders>
          </w:tcPr>
          <w:p w14:paraId="4356950A" w14:textId="77777777" w:rsidR="000B2825" w:rsidRPr="00641850" w:rsidRDefault="000B2825" w:rsidP="004653E2">
            <w:pPr>
              <w:autoSpaceDE w:val="0"/>
              <w:autoSpaceDN w:val="0"/>
              <w:adjustRightInd w:val="0"/>
              <w:spacing w:before="120"/>
              <w:jc w:val="right"/>
              <w:rPr>
                <w:sz w:val="22"/>
                <w:szCs w:val="22"/>
              </w:rPr>
            </w:pPr>
            <w:r w:rsidRPr="00641850">
              <w:rPr>
                <w:rFonts w:ascii="Arial" w:hAnsi="Arial" w:cs="Arial"/>
                <w:sz w:val="22"/>
                <w:szCs w:val="22"/>
              </w:rPr>
              <w:t>₡</w:t>
            </w:r>
            <w:r w:rsidRPr="00641850">
              <w:rPr>
                <w:sz w:val="22"/>
                <w:szCs w:val="22"/>
              </w:rPr>
              <w:t>179 024 767,00</w:t>
            </w:r>
          </w:p>
        </w:tc>
      </w:tr>
      <w:tr w:rsidR="000B2825" w:rsidRPr="00641850" w14:paraId="0E16F1F5" w14:textId="77777777" w:rsidTr="004653E2">
        <w:tc>
          <w:tcPr>
            <w:tcW w:w="4414" w:type="dxa"/>
            <w:tcBorders>
              <w:top w:val="nil"/>
              <w:left w:val="single" w:sz="12" w:space="0" w:color="auto"/>
              <w:bottom w:val="nil"/>
              <w:right w:val="single" w:sz="12" w:space="0" w:color="auto"/>
            </w:tcBorders>
          </w:tcPr>
          <w:p w14:paraId="0633E962" w14:textId="77777777" w:rsidR="000B2825" w:rsidRPr="00641850" w:rsidRDefault="000B2825" w:rsidP="004653E2">
            <w:pPr>
              <w:autoSpaceDE w:val="0"/>
              <w:autoSpaceDN w:val="0"/>
              <w:adjustRightInd w:val="0"/>
              <w:rPr>
                <w:sz w:val="22"/>
                <w:szCs w:val="22"/>
              </w:rPr>
            </w:pPr>
            <w:r w:rsidRPr="00641850">
              <w:rPr>
                <w:b/>
                <w:bCs/>
                <w:sz w:val="22"/>
                <w:szCs w:val="22"/>
              </w:rPr>
              <w:t>Menos</w:t>
            </w:r>
            <w:r w:rsidRPr="00641850">
              <w:rPr>
                <w:sz w:val="22"/>
                <w:szCs w:val="22"/>
              </w:rPr>
              <w:t>: Depósito efectuado en diciembre 2022</w:t>
            </w:r>
          </w:p>
        </w:tc>
        <w:tc>
          <w:tcPr>
            <w:tcW w:w="2390" w:type="dxa"/>
            <w:tcBorders>
              <w:top w:val="nil"/>
              <w:left w:val="single" w:sz="12" w:space="0" w:color="auto"/>
              <w:bottom w:val="single" w:sz="12" w:space="0" w:color="auto"/>
              <w:right w:val="single" w:sz="12" w:space="0" w:color="auto"/>
            </w:tcBorders>
          </w:tcPr>
          <w:p w14:paraId="108D0C20" w14:textId="77777777" w:rsidR="000B2825" w:rsidRPr="00641850" w:rsidRDefault="000B2825" w:rsidP="004653E2">
            <w:pPr>
              <w:autoSpaceDE w:val="0"/>
              <w:autoSpaceDN w:val="0"/>
              <w:adjustRightInd w:val="0"/>
              <w:jc w:val="right"/>
              <w:rPr>
                <w:sz w:val="22"/>
                <w:szCs w:val="22"/>
              </w:rPr>
            </w:pPr>
            <w:r w:rsidRPr="00641850">
              <w:rPr>
                <w:sz w:val="22"/>
                <w:szCs w:val="22"/>
              </w:rPr>
              <w:t>50 000,00</w:t>
            </w:r>
          </w:p>
        </w:tc>
      </w:tr>
      <w:tr w:rsidR="000B2825" w:rsidRPr="00641850" w14:paraId="342560F4" w14:textId="77777777" w:rsidTr="004653E2">
        <w:tc>
          <w:tcPr>
            <w:tcW w:w="4414" w:type="dxa"/>
            <w:tcBorders>
              <w:top w:val="nil"/>
              <w:left w:val="single" w:sz="12" w:space="0" w:color="auto"/>
              <w:bottom w:val="nil"/>
              <w:right w:val="single" w:sz="12" w:space="0" w:color="auto"/>
            </w:tcBorders>
          </w:tcPr>
          <w:p w14:paraId="214CFEAD" w14:textId="77777777" w:rsidR="000B2825" w:rsidRPr="00641850" w:rsidRDefault="000B2825" w:rsidP="004653E2">
            <w:pPr>
              <w:autoSpaceDE w:val="0"/>
              <w:autoSpaceDN w:val="0"/>
              <w:adjustRightInd w:val="0"/>
              <w:spacing w:before="120"/>
              <w:rPr>
                <w:b/>
                <w:bCs/>
                <w:sz w:val="22"/>
                <w:szCs w:val="22"/>
              </w:rPr>
            </w:pPr>
            <w:r w:rsidRPr="00641850">
              <w:rPr>
                <w:b/>
                <w:bCs/>
                <w:sz w:val="22"/>
                <w:szCs w:val="22"/>
              </w:rPr>
              <w:t>Saldo</w:t>
            </w:r>
          </w:p>
        </w:tc>
        <w:tc>
          <w:tcPr>
            <w:tcW w:w="2390" w:type="dxa"/>
            <w:tcBorders>
              <w:top w:val="single" w:sz="12" w:space="0" w:color="auto"/>
              <w:left w:val="single" w:sz="12" w:space="0" w:color="auto"/>
              <w:bottom w:val="nil"/>
              <w:right w:val="single" w:sz="12" w:space="0" w:color="auto"/>
            </w:tcBorders>
          </w:tcPr>
          <w:p w14:paraId="21D2EEF1" w14:textId="77777777" w:rsidR="000B2825" w:rsidRPr="00641850" w:rsidRDefault="000B2825" w:rsidP="004653E2">
            <w:pPr>
              <w:autoSpaceDE w:val="0"/>
              <w:autoSpaceDN w:val="0"/>
              <w:adjustRightInd w:val="0"/>
              <w:spacing w:before="120"/>
              <w:jc w:val="right"/>
              <w:rPr>
                <w:b/>
                <w:bCs/>
                <w:sz w:val="22"/>
                <w:szCs w:val="22"/>
              </w:rPr>
            </w:pPr>
            <w:r w:rsidRPr="00641850">
              <w:rPr>
                <w:rFonts w:ascii="Arial" w:hAnsi="Arial" w:cs="Arial"/>
                <w:b/>
                <w:bCs/>
                <w:sz w:val="22"/>
                <w:szCs w:val="22"/>
              </w:rPr>
              <w:t>₡</w:t>
            </w:r>
            <w:r w:rsidRPr="00641850">
              <w:rPr>
                <w:b/>
                <w:bCs/>
                <w:sz w:val="22"/>
                <w:szCs w:val="22"/>
              </w:rPr>
              <w:t>129 024 767,00</w:t>
            </w:r>
          </w:p>
        </w:tc>
      </w:tr>
      <w:tr w:rsidR="000B2825" w:rsidRPr="00641850" w14:paraId="4E4E7CE5" w14:textId="77777777" w:rsidTr="004653E2">
        <w:tc>
          <w:tcPr>
            <w:tcW w:w="4414" w:type="dxa"/>
            <w:tcBorders>
              <w:top w:val="nil"/>
              <w:left w:val="single" w:sz="12" w:space="0" w:color="auto"/>
              <w:bottom w:val="nil"/>
              <w:right w:val="single" w:sz="12" w:space="0" w:color="auto"/>
            </w:tcBorders>
          </w:tcPr>
          <w:p w14:paraId="19053C79" w14:textId="77777777" w:rsidR="000B2825" w:rsidRPr="00641850" w:rsidRDefault="000B2825" w:rsidP="004653E2">
            <w:pPr>
              <w:autoSpaceDE w:val="0"/>
              <w:autoSpaceDN w:val="0"/>
              <w:adjustRightInd w:val="0"/>
              <w:rPr>
                <w:sz w:val="22"/>
                <w:szCs w:val="22"/>
              </w:rPr>
            </w:pPr>
            <w:r w:rsidRPr="00641850">
              <w:rPr>
                <w:b/>
                <w:bCs/>
                <w:sz w:val="22"/>
                <w:szCs w:val="22"/>
              </w:rPr>
              <w:t>Mas</w:t>
            </w:r>
            <w:r w:rsidRPr="00641850">
              <w:rPr>
                <w:sz w:val="22"/>
                <w:szCs w:val="22"/>
              </w:rPr>
              <w:t>: Gastos legales administrativos</w:t>
            </w:r>
          </w:p>
        </w:tc>
        <w:tc>
          <w:tcPr>
            <w:tcW w:w="2390" w:type="dxa"/>
            <w:tcBorders>
              <w:top w:val="nil"/>
              <w:left w:val="single" w:sz="12" w:space="0" w:color="auto"/>
              <w:bottom w:val="single" w:sz="12" w:space="0" w:color="auto"/>
              <w:right w:val="single" w:sz="12" w:space="0" w:color="auto"/>
            </w:tcBorders>
          </w:tcPr>
          <w:p w14:paraId="78ED9A89" w14:textId="77777777" w:rsidR="000B2825" w:rsidRPr="00641850" w:rsidRDefault="000B2825" w:rsidP="004653E2">
            <w:pPr>
              <w:autoSpaceDE w:val="0"/>
              <w:autoSpaceDN w:val="0"/>
              <w:adjustRightInd w:val="0"/>
              <w:jc w:val="right"/>
              <w:rPr>
                <w:sz w:val="22"/>
                <w:szCs w:val="22"/>
              </w:rPr>
            </w:pPr>
            <w:r w:rsidRPr="00641850">
              <w:rPr>
                <w:sz w:val="22"/>
                <w:szCs w:val="22"/>
              </w:rPr>
              <w:t>61 000,00</w:t>
            </w:r>
          </w:p>
        </w:tc>
      </w:tr>
      <w:tr w:rsidR="000B2825" w:rsidRPr="00641850" w14:paraId="3E683127" w14:textId="77777777" w:rsidTr="004653E2">
        <w:tc>
          <w:tcPr>
            <w:tcW w:w="4414" w:type="dxa"/>
            <w:tcBorders>
              <w:top w:val="nil"/>
              <w:left w:val="single" w:sz="12" w:space="0" w:color="auto"/>
              <w:bottom w:val="nil"/>
              <w:right w:val="single" w:sz="12" w:space="0" w:color="auto"/>
            </w:tcBorders>
          </w:tcPr>
          <w:p w14:paraId="341A323C" w14:textId="77777777" w:rsidR="000B2825" w:rsidRPr="00641850" w:rsidRDefault="000B2825" w:rsidP="004653E2">
            <w:pPr>
              <w:autoSpaceDE w:val="0"/>
              <w:autoSpaceDN w:val="0"/>
              <w:adjustRightInd w:val="0"/>
              <w:spacing w:before="120"/>
              <w:rPr>
                <w:b/>
                <w:bCs/>
                <w:sz w:val="22"/>
                <w:szCs w:val="22"/>
              </w:rPr>
            </w:pPr>
            <w:r w:rsidRPr="00641850">
              <w:rPr>
                <w:b/>
                <w:bCs/>
                <w:sz w:val="22"/>
                <w:szCs w:val="22"/>
              </w:rPr>
              <w:t>Saldo</w:t>
            </w:r>
          </w:p>
        </w:tc>
        <w:tc>
          <w:tcPr>
            <w:tcW w:w="2390" w:type="dxa"/>
            <w:tcBorders>
              <w:top w:val="single" w:sz="12" w:space="0" w:color="auto"/>
              <w:left w:val="single" w:sz="12" w:space="0" w:color="auto"/>
              <w:bottom w:val="nil"/>
              <w:right w:val="single" w:sz="12" w:space="0" w:color="auto"/>
            </w:tcBorders>
          </w:tcPr>
          <w:p w14:paraId="6C0607DA" w14:textId="77777777" w:rsidR="000B2825" w:rsidRPr="00641850" w:rsidRDefault="000B2825" w:rsidP="004653E2">
            <w:pPr>
              <w:autoSpaceDE w:val="0"/>
              <w:autoSpaceDN w:val="0"/>
              <w:adjustRightInd w:val="0"/>
              <w:spacing w:before="120"/>
              <w:jc w:val="right"/>
              <w:rPr>
                <w:b/>
                <w:bCs/>
                <w:sz w:val="22"/>
                <w:szCs w:val="22"/>
              </w:rPr>
            </w:pPr>
            <w:r w:rsidRPr="00641850">
              <w:rPr>
                <w:rFonts w:ascii="Arial" w:hAnsi="Arial" w:cs="Arial"/>
                <w:b/>
                <w:bCs/>
                <w:sz w:val="22"/>
                <w:szCs w:val="22"/>
              </w:rPr>
              <w:t>₡</w:t>
            </w:r>
            <w:r w:rsidRPr="00641850">
              <w:rPr>
                <w:rFonts w:cs="Arial"/>
                <w:b/>
                <w:bCs/>
                <w:sz w:val="22"/>
                <w:szCs w:val="22"/>
              </w:rPr>
              <w:t>190</w:t>
            </w:r>
            <w:r w:rsidRPr="00641850">
              <w:rPr>
                <w:b/>
                <w:bCs/>
                <w:sz w:val="22"/>
                <w:szCs w:val="22"/>
              </w:rPr>
              <w:t> 024 767,00</w:t>
            </w:r>
          </w:p>
        </w:tc>
      </w:tr>
      <w:tr w:rsidR="000B2825" w:rsidRPr="00641850" w14:paraId="1E30774B" w14:textId="77777777" w:rsidTr="004653E2">
        <w:tc>
          <w:tcPr>
            <w:tcW w:w="4414" w:type="dxa"/>
            <w:tcBorders>
              <w:top w:val="nil"/>
              <w:left w:val="single" w:sz="12" w:space="0" w:color="auto"/>
              <w:bottom w:val="single" w:sz="12" w:space="0" w:color="auto"/>
              <w:right w:val="single" w:sz="12" w:space="0" w:color="auto"/>
            </w:tcBorders>
          </w:tcPr>
          <w:p w14:paraId="3E3281DB" w14:textId="77777777" w:rsidR="000B2825" w:rsidRPr="00641850" w:rsidRDefault="000B2825" w:rsidP="004653E2">
            <w:pPr>
              <w:autoSpaceDE w:val="0"/>
              <w:autoSpaceDN w:val="0"/>
              <w:adjustRightInd w:val="0"/>
              <w:rPr>
                <w:sz w:val="22"/>
                <w:szCs w:val="22"/>
              </w:rPr>
            </w:pPr>
            <w:r w:rsidRPr="00641850">
              <w:rPr>
                <w:b/>
                <w:bCs/>
                <w:sz w:val="22"/>
                <w:szCs w:val="22"/>
              </w:rPr>
              <w:t>Menos</w:t>
            </w:r>
            <w:r w:rsidRPr="00641850">
              <w:rPr>
                <w:sz w:val="22"/>
                <w:szCs w:val="22"/>
              </w:rPr>
              <w:t>: Depósito efectuado en febrero 2024</w:t>
            </w:r>
          </w:p>
        </w:tc>
        <w:tc>
          <w:tcPr>
            <w:tcW w:w="2390" w:type="dxa"/>
            <w:tcBorders>
              <w:top w:val="nil"/>
              <w:left w:val="single" w:sz="12" w:space="0" w:color="auto"/>
              <w:bottom w:val="single" w:sz="12" w:space="0" w:color="auto"/>
              <w:right w:val="single" w:sz="12" w:space="0" w:color="auto"/>
            </w:tcBorders>
          </w:tcPr>
          <w:p w14:paraId="32AC7C7C" w14:textId="77777777" w:rsidR="000B2825" w:rsidRPr="00641850" w:rsidRDefault="000B2825" w:rsidP="004653E2">
            <w:pPr>
              <w:autoSpaceDE w:val="0"/>
              <w:autoSpaceDN w:val="0"/>
              <w:adjustRightInd w:val="0"/>
              <w:jc w:val="right"/>
              <w:rPr>
                <w:sz w:val="22"/>
                <w:szCs w:val="22"/>
              </w:rPr>
            </w:pPr>
            <w:r w:rsidRPr="00641850">
              <w:rPr>
                <w:sz w:val="22"/>
                <w:szCs w:val="22"/>
              </w:rPr>
              <w:t>50 000,00</w:t>
            </w:r>
          </w:p>
        </w:tc>
      </w:tr>
      <w:tr w:rsidR="000B2825" w:rsidRPr="00641850" w14:paraId="1BEAF04E" w14:textId="77777777" w:rsidTr="004653E2">
        <w:tc>
          <w:tcPr>
            <w:tcW w:w="4414" w:type="dxa"/>
            <w:tcBorders>
              <w:top w:val="single" w:sz="12" w:space="0" w:color="auto"/>
              <w:right w:val="single" w:sz="12" w:space="0" w:color="auto"/>
            </w:tcBorders>
          </w:tcPr>
          <w:p w14:paraId="445D2E58" w14:textId="77777777" w:rsidR="000B2825" w:rsidRPr="00641850" w:rsidRDefault="000B2825" w:rsidP="004653E2">
            <w:pPr>
              <w:autoSpaceDE w:val="0"/>
              <w:autoSpaceDN w:val="0"/>
              <w:adjustRightInd w:val="0"/>
              <w:rPr>
                <w:b/>
                <w:bCs/>
                <w:sz w:val="22"/>
                <w:szCs w:val="22"/>
              </w:rPr>
            </w:pPr>
            <w:r w:rsidRPr="00641850">
              <w:rPr>
                <w:b/>
                <w:bCs/>
                <w:sz w:val="22"/>
                <w:szCs w:val="22"/>
              </w:rPr>
              <w:t>SALDO ADEUDADO AL 29/2/2024</w:t>
            </w:r>
          </w:p>
        </w:tc>
        <w:tc>
          <w:tcPr>
            <w:tcW w:w="2390" w:type="dxa"/>
            <w:tcBorders>
              <w:top w:val="single" w:sz="12" w:space="0" w:color="auto"/>
              <w:left w:val="single" w:sz="12" w:space="0" w:color="auto"/>
              <w:bottom w:val="single" w:sz="12" w:space="0" w:color="auto"/>
            </w:tcBorders>
          </w:tcPr>
          <w:p w14:paraId="45C7C55A" w14:textId="77777777" w:rsidR="000B2825" w:rsidRPr="00641850" w:rsidRDefault="000B2825" w:rsidP="004653E2">
            <w:pPr>
              <w:autoSpaceDE w:val="0"/>
              <w:autoSpaceDN w:val="0"/>
              <w:adjustRightInd w:val="0"/>
              <w:jc w:val="right"/>
              <w:rPr>
                <w:b/>
                <w:bCs/>
                <w:sz w:val="22"/>
                <w:szCs w:val="22"/>
              </w:rPr>
            </w:pPr>
            <w:r w:rsidRPr="00641850">
              <w:rPr>
                <w:rFonts w:ascii="Arial" w:hAnsi="Arial" w:cs="Arial"/>
                <w:b/>
                <w:bCs/>
                <w:sz w:val="22"/>
                <w:szCs w:val="22"/>
              </w:rPr>
              <w:t>₡</w:t>
            </w:r>
            <w:r w:rsidRPr="00641850">
              <w:rPr>
                <w:rFonts w:cs="Arial"/>
                <w:b/>
                <w:bCs/>
                <w:sz w:val="22"/>
                <w:szCs w:val="22"/>
              </w:rPr>
              <w:t>140</w:t>
            </w:r>
            <w:r w:rsidRPr="00641850">
              <w:rPr>
                <w:b/>
                <w:bCs/>
                <w:sz w:val="22"/>
                <w:szCs w:val="22"/>
              </w:rPr>
              <w:t> 024 767,00</w:t>
            </w:r>
          </w:p>
        </w:tc>
      </w:tr>
    </w:tbl>
    <w:p w14:paraId="1F119550" w14:textId="77777777" w:rsidR="000B2825" w:rsidRDefault="000B2825" w:rsidP="000B2825">
      <w:pPr>
        <w:pStyle w:val="Default"/>
      </w:pPr>
    </w:p>
    <w:p w14:paraId="68B8889B" w14:textId="77777777" w:rsidR="00EF2480" w:rsidRDefault="00EF2480" w:rsidP="00EF2480">
      <w:pPr>
        <w:spacing w:after="0" w:line="240" w:lineRule="auto"/>
        <w:rPr>
          <w:szCs w:val="24"/>
        </w:rPr>
      </w:pPr>
    </w:p>
    <w:p w14:paraId="0A5D8A9D" w14:textId="1AB2A9A1" w:rsidR="00EF2480" w:rsidRDefault="00EF2480" w:rsidP="00EF2480">
      <w:pPr>
        <w:spacing w:line="240" w:lineRule="auto"/>
        <w:rPr>
          <w:szCs w:val="24"/>
          <w:lang w:eastAsia="es-CR"/>
        </w:rPr>
      </w:pPr>
      <w:r>
        <w:rPr>
          <w:szCs w:val="24"/>
          <w:lang w:eastAsia="es-CR"/>
        </w:rPr>
        <w:t xml:space="preserve">De acuerdo con lo consignado en la Matriz de NICSP y Plan de Acción al </w:t>
      </w:r>
      <w:r w:rsidR="00D470B6">
        <w:rPr>
          <w:szCs w:val="24"/>
          <w:lang w:eastAsia="es-CR"/>
        </w:rPr>
        <w:t>30 de junio</w:t>
      </w:r>
      <w:r w:rsidR="000B2825">
        <w:rPr>
          <w:szCs w:val="24"/>
          <w:lang w:eastAsia="es-CR"/>
        </w:rPr>
        <w:t xml:space="preserve"> de 2024,</w:t>
      </w:r>
      <w:r>
        <w:rPr>
          <w:szCs w:val="24"/>
          <w:lang w:eastAsia="es-CR"/>
        </w:rPr>
        <w:t xml:space="preserve"> se encuentra pendiente de implementar lo siguiente:</w:t>
      </w:r>
    </w:p>
    <w:tbl>
      <w:tblPr>
        <w:tblW w:w="8921" w:type="dxa"/>
        <w:tblLook w:val="04A0" w:firstRow="1" w:lastRow="0" w:firstColumn="1" w:lastColumn="0" w:noHBand="0" w:noVBand="1"/>
      </w:tblPr>
      <w:tblGrid>
        <w:gridCol w:w="7512"/>
        <w:gridCol w:w="1409"/>
      </w:tblGrid>
      <w:tr w:rsidR="00EF2480" w:rsidRPr="00274DBE" w14:paraId="2AD8CF7A" w14:textId="77777777" w:rsidTr="004653E2">
        <w:trPr>
          <w:trHeight w:val="790"/>
        </w:trPr>
        <w:tc>
          <w:tcPr>
            <w:tcW w:w="7512"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419B5684" w14:textId="77777777" w:rsidR="00EF2480" w:rsidRPr="00274DBE" w:rsidRDefault="00EF2480" w:rsidP="004653E2">
            <w:pPr>
              <w:spacing w:after="0" w:line="240" w:lineRule="auto"/>
              <w:jc w:val="center"/>
              <w:rPr>
                <w:rFonts w:eastAsia="Times New Roman" w:cs="Calibri"/>
                <w:b/>
                <w:bCs/>
                <w:sz w:val="20"/>
                <w:szCs w:val="20"/>
                <w:lang w:val="en-US"/>
              </w:rPr>
            </w:pPr>
            <w:r w:rsidRPr="00274DBE">
              <w:rPr>
                <w:rFonts w:eastAsia="Times New Roman" w:cs="Calibri"/>
                <w:b/>
                <w:bCs/>
                <w:sz w:val="20"/>
                <w:szCs w:val="20"/>
                <w:lang w:val="en-US"/>
              </w:rPr>
              <w:t>Actividades Pendientes de Cumplimiento</w:t>
            </w:r>
          </w:p>
        </w:tc>
        <w:tc>
          <w:tcPr>
            <w:tcW w:w="1409" w:type="dxa"/>
            <w:tcBorders>
              <w:top w:val="single" w:sz="8" w:space="0" w:color="auto"/>
              <w:left w:val="nil"/>
              <w:bottom w:val="single" w:sz="4" w:space="0" w:color="auto"/>
              <w:right w:val="single" w:sz="8" w:space="0" w:color="auto"/>
            </w:tcBorders>
            <w:shd w:val="clear" w:color="000000" w:fill="FFFFFF"/>
            <w:vAlign w:val="bottom"/>
            <w:hideMark/>
          </w:tcPr>
          <w:p w14:paraId="7F52E99B" w14:textId="77777777" w:rsidR="00EF2480" w:rsidRPr="00274DBE" w:rsidRDefault="00EF2480" w:rsidP="004653E2">
            <w:pPr>
              <w:spacing w:after="0" w:line="240" w:lineRule="auto"/>
              <w:jc w:val="center"/>
              <w:rPr>
                <w:rFonts w:eastAsia="Times New Roman" w:cs="Calibri"/>
                <w:b/>
                <w:bCs/>
                <w:color w:val="000000"/>
                <w:sz w:val="20"/>
                <w:szCs w:val="20"/>
                <w:lang w:val="en-US"/>
              </w:rPr>
            </w:pPr>
            <w:r w:rsidRPr="00274DBE">
              <w:rPr>
                <w:rFonts w:eastAsia="Times New Roman" w:cs="Calibri"/>
                <w:b/>
                <w:bCs/>
                <w:color w:val="000000"/>
                <w:sz w:val="20"/>
                <w:szCs w:val="20"/>
                <w:lang w:val="en-US"/>
              </w:rPr>
              <w:t>Fecha Estimada Cumplimiento</w:t>
            </w:r>
          </w:p>
        </w:tc>
      </w:tr>
      <w:tr w:rsidR="00EF2480" w:rsidRPr="00274DBE" w14:paraId="247C4FA9" w14:textId="77777777" w:rsidTr="004653E2">
        <w:trPr>
          <w:trHeight w:val="780"/>
        </w:trPr>
        <w:tc>
          <w:tcPr>
            <w:tcW w:w="7512" w:type="dxa"/>
            <w:tcBorders>
              <w:top w:val="nil"/>
              <w:left w:val="single" w:sz="4" w:space="0" w:color="auto"/>
              <w:bottom w:val="single" w:sz="4" w:space="0" w:color="auto"/>
              <w:right w:val="single" w:sz="4" w:space="0" w:color="auto"/>
            </w:tcBorders>
            <w:shd w:val="clear" w:color="000000" w:fill="FFFFFF"/>
            <w:hideMark/>
          </w:tcPr>
          <w:p w14:paraId="5A9C5203" w14:textId="77777777" w:rsidR="00EF2480" w:rsidRPr="00274DBE" w:rsidRDefault="00EF2480" w:rsidP="004653E2">
            <w:pPr>
              <w:spacing w:after="0" w:line="240" w:lineRule="auto"/>
              <w:rPr>
                <w:rFonts w:eastAsia="Times New Roman" w:cs="Calibri"/>
                <w:color w:val="000000"/>
                <w:sz w:val="20"/>
                <w:szCs w:val="20"/>
                <w:lang w:val="en-US"/>
              </w:rPr>
            </w:pPr>
            <w:r w:rsidRPr="00274DBE">
              <w:rPr>
                <w:rFonts w:eastAsia="Times New Roman" w:cs="Calibri"/>
                <w:color w:val="000000"/>
                <w:sz w:val="20"/>
                <w:szCs w:val="20"/>
              </w:rPr>
              <w:t xml:space="preserve">Realizar la Identificación, reconocimiento, medición y contabilización de las provisiones que correspondan según las transacciones que se realizan en la Municipalidad. </w:t>
            </w:r>
            <w:r w:rsidRPr="00274DBE">
              <w:rPr>
                <w:rFonts w:eastAsia="Times New Roman" w:cs="Calibri"/>
                <w:color w:val="000000"/>
                <w:sz w:val="20"/>
                <w:szCs w:val="20"/>
                <w:lang w:val="en-US"/>
              </w:rPr>
              <w:t>Esto con base en lo establecido en las NICSP.</w:t>
            </w:r>
          </w:p>
        </w:tc>
        <w:tc>
          <w:tcPr>
            <w:tcW w:w="1409" w:type="dxa"/>
            <w:tcBorders>
              <w:top w:val="nil"/>
              <w:left w:val="nil"/>
              <w:bottom w:val="single" w:sz="4" w:space="0" w:color="auto"/>
              <w:right w:val="single" w:sz="4" w:space="0" w:color="auto"/>
            </w:tcBorders>
            <w:shd w:val="clear" w:color="000000" w:fill="FFFFFF"/>
            <w:noWrap/>
            <w:vAlign w:val="center"/>
            <w:hideMark/>
          </w:tcPr>
          <w:p w14:paraId="3A031D00" w14:textId="5315D1A4" w:rsidR="00EF2480" w:rsidRPr="00274DBE" w:rsidRDefault="004653E2" w:rsidP="004653E2">
            <w:pPr>
              <w:spacing w:after="0" w:line="240" w:lineRule="auto"/>
              <w:jc w:val="center"/>
              <w:rPr>
                <w:rFonts w:eastAsia="Times New Roman" w:cs="Calibri"/>
                <w:sz w:val="20"/>
                <w:szCs w:val="20"/>
                <w:lang w:val="en-US"/>
              </w:rPr>
            </w:pPr>
            <w:r>
              <w:rPr>
                <w:rFonts w:eastAsia="Times New Roman" w:cs="Calibri"/>
                <w:sz w:val="20"/>
                <w:szCs w:val="20"/>
                <w:lang w:val="en-US"/>
              </w:rPr>
              <w:t>31/12</w:t>
            </w:r>
            <w:r w:rsidR="00EF2480" w:rsidRPr="00274DBE">
              <w:rPr>
                <w:rFonts w:eastAsia="Times New Roman" w:cs="Calibri"/>
                <w:sz w:val="20"/>
                <w:szCs w:val="20"/>
                <w:lang w:val="en-US"/>
              </w:rPr>
              <w:t>/24</w:t>
            </w:r>
          </w:p>
        </w:tc>
      </w:tr>
      <w:tr w:rsidR="004653E2" w:rsidRPr="00274DBE" w14:paraId="78B7EDE3" w14:textId="77777777" w:rsidTr="004653E2">
        <w:trPr>
          <w:trHeight w:val="780"/>
        </w:trPr>
        <w:tc>
          <w:tcPr>
            <w:tcW w:w="7512" w:type="dxa"/>
            <w:tcBorders>
              <w:top w:val="nil"/>
              <w:left w:val="single" w:sz="4" w:space="0" w:color="auto"/>
              <w:bottom w:val="single" w:sz="4" w:space="0" w:color="auto"/>
              <w:right w:val="single" w:sz="4" w:space="0" w:color="auto"/>
            </w:tcBorders>
            <w:shd w:val="clear" w:color="000000" w:fill="FFFFFF"/>
            <w:hideMark/>
          </w:tcPr>
          <w:p w14:paraId="5008C4E2" w14:textId="77777777" w:rsidR="004653E2" w:rsidRPr="00274DBE" w:rsidRDefault="004653E2" w:rsidP="004653E2">
            <w:pPr>
              <w:spacing w:after="0" w:line="240" w:lineRule="auto"/>
              <w:rPr>
                <w:rFonts w:eastAsia="Times New Roman" w:cs="Calibri"/>
                <w:color w:val="000000"/>
                <w:sz w:val="20"/>
                <w:szCs w:val="20"/>
              </w:rPr>
            </w:pPr>
            <w:r w:rsidRPr="00274DBE">
              <w:rPr>
                <w:rFonts w:eastAsia="Times New Roman" w:cs="Calibri"/>
                <w:color w:val="000000"/>
                <w:sz w:val="20"/>
                <w:szCs w:val="20"/>
              </w:rPr>
              <w:t>Contar con un sistema integrado  que permita el registro de las transacciones  relacionadas con la NICSP 19 que se realizan en la Institución  y que generen información para los Estados Financieros según la normativa contable</w:t>
            </w:r>
            <w:r w:rsidRPr="00274DBE">
              <w:rPr>
                <w:rFonts w:eastAsia="Times New Roman" w:cs="Calibri"/>
                <w:b/>
                <w:bCs/>
                <w:color w:val="548235"/>
                <w:sz w:val="20"/>
                <w:szCs w:val="20"/>
              </w:rPr>
              <w:t>.</w:t>
            </w:r>
          </w:p>
        </w:tc>
        <w:tc>
          <w:tcPr>
            <w:tcW w:w="1409" w:type="dxa"/>
            <w:tcBorders>
              <w:top w:val="nil"/>
              <w:left w:val="nil"/>
              <w:bottom w:val="single" w:sz="4" w:space="0" w:color="auto"/>
              <w:right w:val="single" w:sz="4" w:space="0" w:color="auto"/>
            </w:tcBorders>
            <w:shd w:val="clear" w:color="000000" w:fill="FFFFFF"/>
            <w:noWrap/>
            <w:hideMark/>
          </w:tcPr>
          <w:p w14:paraId="7B75FEAB" w14:textId="283CD23C" w:rsidR="004653E2" w:rsidRPr="00274DBE" w:rsidRDefault="004653E2" w:rsidP="004653E2">
            <w:pPr>
              <w:spacing w:after="0" w:line="240" w:lineRule="auto"/>
              <w:jc w:val="center"/>
              <w:rPr>
                <w:rFonts w:eastAsia="Times New Roman" w:cs="Calibri"/>
                <w:sz w:val="20"/>
                <w:szCs w:val="20"/>
                <w:lang w:val="en-US"/>
              </w:rPr>
            </w:pPr>
            <w:r w:rsidRPr="00277703">
              <w:rPr>
                <w:rFonts w:eastAsia="Times New Roman" w:cs="Calibri"/>
                <w:sz w:val="20"/>
                <w:szCs w:val="20"/>
                <w:lang w:val="en-US"/>
              </w:rPr>
              <w:t>31/12/24</w:t>
            </w:r>
          </w:p>
        </w:tc>
      </w:tr>
      <w:tr w:rsidR="004653E2" w:rsidRPr="00274DBE" w14:paraId="653D1792" w14:textId="77777777" w:rsidTr="004653E2">
        <w:trPr>
          <w:trHeight w:val="520"/>
        </w:trPr>
        <w:tc>
          <w:tcPr>
            <w:tcW w:w="7512" w:type="dxa"/>
            <w:tcBorders>
              <w:top w:val="nil"/>
              <w:left w:val="single" w:sz="4" w:space="0" w:color="auto"/>
              <w:bottom w:val="single" w:sz="4" w:space="0" w:color="auto"/>
              <w:right w:val="single" w:sz="4" w:space="0" w:color="auto"/>
            </w:tcBorders>
            <w:shd w:val="clear" w:color="000000" w:fill="FFFFFF"/>
            <w:hideMark/>
          </w:tcPr>
          <w:p w14:paraId="432E22C3" w14:textId="77777777" w:rsidR="004653E2" w:rsidRPr="00274DBE" w:rsidRDefault="004653E2" w:rsidP="004653E2">
            <w:pPr>
              <w:spacing w:after="0" w:line="240" w:lineRule="auto"/>
              <w:rPr>
                <w:rFonts w:eastAsia="Times New Roman" w:cs="Calibri"/>
                <w:color w:val="000000"/>
                <w:sz w:val="20"/>
                <w:szCs w:val="20"/>
              </w:rPr>
            </w:pPr>
            <w:r w:rsidRPr="00274DBE">
              <w:rPr>
                <w:rFonts w:eastAsia="Times New Roman" w:cs="Calibri"/>
                <w:color w:val="000000"/>
                <w:sz w:val="20"/>
                <w:szCs w:val="20"/>
              </w:rPr>
              <w:t>Determinar la información que se debe revelar en relación con las provisiones y activos y pasivos contingentes.</w:t>
            </w:r>
          </w:p>
        </w:tc>
        <w:tc>
          <w:tcPr>
            <w:tcW w:w="1409" w:type="dxa"/>
            <w:tcBorders>
              <w:top w:val="nil"/>
              <w:left w:val="nil"/>
              <w:bottom w:val="single" w:sz="4" w:space="0" w:color="auto"/>
              <w:right w:val="single" w:sz="4" w:space="0" w:color="auto"/>
            </w:tcBorders>
            <w:shd w:val="clear" w:color="000000" w:fill="FFFFFF"/>
            <w:noWrap/>
            <w:hideMark/>
          </w:tcPr>
          <w:p w14:paraId="5BF87213" w14:textId="5AA43496" w:rsidR="004653E2" w:rsidRPr="00274DBE" w:rsidRDefault="004653E2" w:rsidP="004653E2">
            <w:pPr>
              <w:spacing w:after="0" w:line="240" w:lineRule="auto"/>
              <w:jc w:val="center"/>
              <w:rPr>
                <w:rFonts w:eastAsia="Times New Roman" w:cs="Calibri"/>
                <w:sz w:val="20"/>
                <w:szCs w:val="20"/>
                <w:lang w:val="en-US"/>
              </w:rPr>
            </w:pPr>
            <w:r w:rsidRPr="00277703">
              <w:rPr>
                <w:rFonts w:eastAsia="Times New Roman" w:cs="Calibri"/>
                <w:sz w:val="20"/>
                <w:szCs w:val="20"/>
                <w:lang w:val="en-US"/>
              </w:rPr>
              <w:t>31/12/24</w:t>
            </w:r>
          </w:p>
        </w:tc>
      </w:tr>
      <w:tr w:rsidR="004653E2" w:rsidRPr="00274DBE" w14:paraId="43DB9D52" w14:textId="77777777" w:rsidTr="004653E2">
        <w:trPr>
          <w:trHeight w:val="520"/>
        </w:trPr>
        <w:tc>
          <w:tcPr>
            <w:tcW w:w="7512" w:type="dxa"/>
            <w:tcBorders>
              <w:top w:val="nil"/>
              <w:left w:val="single" w:sz="4" w:space="0" w:color="auto"/>
              <w:bottom w:val="single" w:sz="4" w:space="0" w:color="auto"/>
              <w:right w:val="single" w:sz="4" w:space="0" w:color="auto"/>
            </w:tcBorders>
            <w:shd w:val="clear" w:color="000000" w:fill="FFFFFF"/>
            <w:hideMark/>
          </w:tcPr>
          <w:p w14:paraId="73BE1F9E" w14:textId="77777777" w:rsidR="004653E2" w:rsidRPr="00274DBE" w:rsidRDefault="004653E2" w:rsidP="004653E2">
            <w:pPr>
              <w:spacing w:after="0" w:line="240" w:lineRule="auto"/>
              <w:rPr>
                <w:rFonts w:eastAsia="Times New Roman" w:cs="Calibri"/>
                <w:color w:val="000000"/>
                <w:sz w:val="20"/>
                <w:szCs w:val="20"/>
              </w:rPr>
            </w:pPr>
            <w:r w:rsidRPr="00274DBE">
              <w:rPr>
                <w:rFonts w:eastAsia="Times New Roman" w:cs="Calibri"/>
                <w:color w:val="000000"/>
                <w:sz w:val="20"/>
                <w:szCs w:val="20"/>
              </w:rPr>
              <w:t>Realizar las revelaciones correspondientes sobre las provisiones y activos y pasivos contingentes, según lo establecido por la norma.</w:t>
            </w:r>
          </w:p>
        </w:tc>
        <w:tc>
          <w:tcPr>
            <w:tcW w:w="1409" w:type="dxa"/>
            <w:tcBorders>
              <w:top w:val="nil"/>
              <w:left w:val="nil"/>
              <w:bottom w:val="single" w:sz="4" w:space="0" w:color="auto"/>
              <w:right w:val="single" w:sz="4" w:space="0" w:color="auto"/>
            </w:tcBorders>
            <w:shd w:val="clear" w:color="000000" w:fill="FFFFFF"/>
            <w:noWrap/>
            <w:hideMark/>
          </w:tcPr>
          <w:p w14:paraId="5FCFD999" w14:textId="69A0650E" w:rsidR="004653E2" w:rsidRPr="00274DBE" w:rsidRDefault="004653E2" w:rsidP="004653E2">
            <w:pPr>
              <w:spacing w:after="0" w:line="240" w:lineRule="auto"/>
              <w:jc w:val="center"/>
              <w:rPr>
                <w:rFonts w:eastAsia="Times New Roman" w:cs="Calibri"/>
                <w:sz w:val="20"/>
                <w:szCs w:val="20"/>
                <w:lang w:val="en-US"/>
              </w:rPr>
            </w:pPr>
            <w:r w:rsidRPr="00277703">
              <w:rPr>
                <w:rFonts w:eastAsia="Times New Roman" w:cs="Calibri"/>
                <w:sz w:val="20"/>
                <w:szCs w:val="20"/>
                <w:lang w:val="en-US"/>
              </w:rPr>
              <w:t>31/12/24</w:t>
            </w:r>
          </w:p>
        </w:tc>
      </w:tr>
    </w:tbl>
    <w:p w14:paraId="5B2F2B5A" w14:textId="77777777" w:rsidR="00EF2480" w:rsidRDefault="00EF2480" w:rsidP="00EF2480">
      <w:pPr>
        <w:spacing w:after="0" w:line="240" w:lineRule="auto"/>
        <w:rPr>
          <w:szCs w:val="24"/>
        </w:rPr>
      </w:pPr>
    </w:p>
    <w:p w14:paraId="4E98878A" w14:textId="76FEDB49" w:rsidR="00295C0B" w:rsidRDefault="00295C0B" w:rsidP="000B404C"/>
    <w:p w14:paraId="2A2F6ABE" w14:textId="323BE019" w:rsidR="00D67331" w:rsidRPr="00A649A4" w:rsidRDefault="00D67331" w:rsidP="00A649A4">
      <w:pPr>
        <w:pStyle w:val="Ttulo2"/>
        <w:spacing w:after="240"/>
        <w:rPr>
          <w:rFonts w:eastAsia="Times New Roman"/>
          <w:lang w:eastAsia="es-CR"/>
        </w:rPr>
      </w:pPr>
      <w:bookmarkStart w:id="74" w:name="_Toc33601179"/>
      <w:bookmarkStart w:id="75" w:name="_Toc54961685"/>
      <w:bookmarkStart w:id="76" w:name="_Toc82768881"/>
      <w:bookmarkStart w:id="77" w:name="_Toc173245201"/>
      <w:r w:rsidRPr="00D67331">
        <w:rPr>
          <w:rFonts w:eastAsia="Times New Roman"/>
          <w:lang w:eastAsia="es-CR"/>
        </w:rPr>
        <w:t xml:space="preserve">NICSP 20- INFORMACIÓN A REVELAR SOBRE PARTES </w:t>
      </w:r>
      <w:bookmarkEnd w:id="74"/>
      <w:bookmarkEnd w:id="75"/>
      <w:r w:rsidRPr="00D67331">
        <w:rPr>
          <w:rFonts w:eastAsia="Times New Roman"/>
          <w:lang w:eastAsia="es-CR"/>
        </w:rPr>
        <w:t>RELACIONADAS (DE APLICACIÓN OBLIGATORIA):</w:t>
      </w:r>
      <w:bookmarkEnd w:id="76"/>
      <w:bookmarkEnd w:id="77"/>
      <w:r w:rsidRPr="00D67331">
        <w:rPr>
          <w:rFonts w:eastAsia="Times New Roman"/>
          <w:lang w:eastAsia="es-CR"/>
        </w:rPr>
        <w:t xml:space="preserve"> </w:t>
      </w:r>
    </w:p>
    <w:p w14:paraId="0A4FE5F2" w14:textId="77777777" w:rsidR="001D0A81" w:rsidRDefault="00D67331" w:rsidP="00A450FF">
      <w:r w:rsidRPr="00FB0858">
        <w:t xml:space="preserve">De acuerdo con la </w:t>
      </w:r>
      <w:r w:rsidRPr="000B404C">
        <w:t xml:space="preserve">De acuerdo con la </w:t>
      </w:r>
      <w:r w:rsidRPr="00D67331">
        <w:t>NICSP 20- Información a revelar sobre partes relacionadas</w:t>
      </w:r>
      <w:r>
        <w:t xml:space="preserve">, indicar si este rubro afecta SI o NO a la institución, </w:t>
      </w:r>
      <w:r w:rsidRPr="00405DBC">
        <w:t>además del porcentaje de avance</w:t>
      </w:r>
      <w:r>
        <w:t xml:space="preserve"> en la implementación</w:t>
      </w:r>
      <w:r w:rsidRPr="00405DBC">
        <w:t xml:space="preserve"> que presenta</w:t>
      </w:r>
      <w:r>
        <w:t>.</w:t>
      </w:r>
    </w:p>
    <w:p w14:paraId="06A1466D" w14:textId="77777777" w:rsidR="00694299" w:rsidRDefault="001D0A81" w:rsidP="00A450FF">
      <w:pPr>
        <w:rPr>
          <w:rFonts w:asciiTheme="minorHAnsi" w:hAnsiTheme="minorHAnsi"/>
          <w:sz w:val="22"/>
        </w:rPr>
      </w:pPr>
      <w:r>
        <w:rPr>
          <w:lang w:eastAsia="es-CR"/>
        </w:rPr>
        <w:fldChar w:fldCharType="begin"/>
      </w:r>
      <w:r>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NICSP_20!F9C3:F10C4 </w:instrText>
      </w:r>
      <w:r>
        <w:rPr>
          <w:lang w:eastAsia="es-CR"/>
        </w:rPr>
        <w:instrText xml:space="preserve">\a \f 4 \h </w:instrText>
      </w:r>
      <w:r>
        <w:rPr>
          <w:lang w:eastAsia="es-CR"/>
        </w:rPr>
        <w:fldChar w:fldCharType="separate"/>
      </w:r>
    </w:p>
    <w:tbl>
      <w:tblPr>
        <w:tblW w:w="4020" w:type="dxa"/>
        <w:tblCellMar>
          <w:left w:w="70" w:type="dxa"/>
          <w:right w:w="70" w:type="dxa"/>
        </w:tblCellMar>
        <w:tblLook w:val="04A0" w:firstRow="1" w:lastRow="0" w:firstColumn="1" w:lastColumn="0" w:noHBand="0" w:noVBand="1"/>
      </w:tblPr>
      <w:tblGrid>
        <w:gridCol w:w="2320"/>
        <w:gridCol w:w="1700"/>
      </w:tblGrid>
      <w:tr w:rsidR="00694299" w:rsidRPr="00694299" w14:paraId="4F59D0EA" w14:textId="77777777" w:rsidTr="00694299">
        <w:trPr>
          <w:divId w:val="1629508188"/>
          <w:trHeight w:val="324"/>
        </w:trPr>
        <w:tc>
          <w:tcPr>
            <w:tcW w:w="232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458EB44C" w14:textId="59149B93"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Aplica</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79DB5"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Si</w:t>
            </w:r>
          </w:p>
        </w:tc>
      </w:tr>
      <w:tr w:rsidR="00694299" w:rsidRPr="00694299" w14:paraId="6D9A5222" w14:textId="77777777" w:rsidTr="00694299">
        <w:trPr>
          <w:divId w:val="1629508188"/>
          <w:trHeight w:val="324"/>
        </w:trPr>
        <w:tc>
          <w:tcPr>
            <w:tcW w:w="2320" w:type="dxa"/>
            <w:tcBorders>
              <w:top w:val="nil"/>
              <w:left w:val="single" w:sz="8" w:space="0" w:color="auto"/>
              <w:bottom w:val="single" w:sz="8" w:space="0" w:color="auto"/>
              <w:right w:val="single" w:sz="8" w:space="0" w:color="auto"/>
            </w:tcBorders>
            <w:shd w:val="clear" w:color="000000" w:fill="17365D"/>
            <w:vAlign w:val="center"/>
            <w:hideMark/>
          </w:tcPr>
          <w:p w14:paraId="43B088A2"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667690B5"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64,00%</w:t>
            </w:r>
          </w:p>
        </w:tc>
      </w:tr>
    </w:tbl>
    <w:p w14:paraId="0688E0BD" w14:textId="236B0178" w:rsidR="00D67331" w:rsidRDefault="001D0A81" w:rsidP="00A450FF">
      <w:pPr>
        <w:rPr>
          <w:b/>
          <w:sz w:val="16"/>
          <w:szCs w:val="16"/>
          <w:lang w:eastAsia="es-CR"/>
        </w:rPr>
      </w:pPr>
      <w:r>
        <w:rPr>
          <w:lang w:eastAsia="es-CR"/>
        </w:rPr>
        <w:fldChar w:fldCharType="end"/>
      </w:r>
      <w:r>
        <w:rPr>
          <w:lang w:eastAsia="es-CR"/>
        </w:rPr>
        <w:t xml:space="preserve">                              </w:t>
      </w:r>
      <w:r w:rsidR="00D67331" w:rsidRPr="00C35565">
        <w:rPr>
          <w:b/>
          <w:sz w:val="16"/>
          <w:szCs w:val="16"/>
          <w:lang w:eastAsia="es-CR"/>
        </w:rPr>
        <w:t>-Aplicación Obligatoria-</w:t>
      </w:r>
    </w:p>
    <w:p w14:paraId="24D15792" w14:textId="040E2D3E" w:rsidR="00D67331" w:rsidRDefault="00D67331" w:rsidP="00D67331">
      <w:pPr>
        <w:jc w:val="center"/>
      </w:pPr>
      <w:r>
        <w:rPr>
          <w:noProof/>
          <w:lang w:eastAsia="es-CR"/>
        </w:rPr>
        <w:drawing>
          <wp:inline distT="0" distB="0" distL="0" distR="0" wp14:anchorId="2031B89B" wp14:editId="7A84CC63">
            <wp:extent cx="4608830" cy="213360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08830" cy="2133600"/>
                    </a:xfrm>
                    <a:prstGeom prst="rect">
                      <a:avLst/>
                    </a:prstGeom>
                    <a:noFill/>
                  </pic:spPr>
                </pic:pic>
              </a:graphicData>
            </a:graphic>
          </wp:inline>
        </w:drawing>
      </w:r>
    </w:p>
    <w:p w14:paraId="0C8C5FC1" w14:textId="28D3FC13" w:rsidR="00D67331" w:rsidRPr="00D67331" w:rsidRDefault="00D67331" w:rsidP="00D67331">
      <w:pPr>
        <w:rPr>
          <w:lang w:val="es-MX"/>
        </w:rPr>
      </w:pPr>
      <w:r w:rsidRPr="00BC7C5B">
        <w:rPr>
          <w:lang w:val="es-ES_tradnl"/>
        </w:rPr>
        <w:t>Una parte se considera relacionada con otra si una de ellas tiene la posibilidad de ejercer el control sobre la misma, o de ejercer influencia significativa sobre ella al tomar sus decisiones financieras y operativas, o si la parte relacionada y otra entidad están sujetas a control común.</w:t>
      </w:r>
      <w:r w:rsidRPr="00BC7C5B">
        <w:rPr>
          <w:lang w:val="es-MX"/>
        </w:rPr>
        <w:t xml:space="preserve"> Incluye al personal clave de la gerencia u órgano de dirección de la entidad y familiares próximos a los mismos.</w:t>
      </w:r>
    </w:p>
    <w:p w14:paraId="7F6E1360" w14:textId="77777777" w:rsidR="00694299" w:rsidRDefault="00D67331" w:rsidP="00A450FF">
      <w:pPr>
        <w:rPr>
          <w:rFonts w:asciiTheme="minorHAnsi" w:hAnsiTheme="minorHAnsi"/>
          <w:sz w:val="22"/>
        </w:rPr>
      </w:pPr>
      <w:r w:rsidRPr="005A1C32">
        <w:rPr>
          <w:lang w:val="es-MX"/>
        </w:rPr>
        <w:t>Declaraciones juradas presentadas a la Contraloría General de la República</w:t>
      </w:r>
      <w:r w:rsidR="00A450FF">
        <w:fldChar w:fldCharType="begin"/>
      </w:r>
      <w:r w:rsidR="00A450FF">
        <w:instrText xml:space="preserve"> LINK </w:instrText>
      </w:r>
      <w:r w:rsidR="00323752">
        <w:instrText xml:space="preserve">Excel.SheetMacroEnabled.12 "D:\\MORAVIA\\INSUMOS\\NOTAS 2024\\Formato_Notas_EEFF_Vinculadas_2024\\XXXXX_PXX_202X_Anexo_Estado_Notas_Contables_Vinculadas.xlsm" NICSP_20!F12C7:F16C11 </w:instrText>
      </w:r>
      <w:r w:rsidR="00A450FF">
        <w:instrText xml:space="preserve">\a \f 4 \h </w:instrText>
      </w:r>
      <w:r w:rsidR="00A450FF">
        <w:fldChar w:fldCharType="separate"/>
      </w:r>
    </w:p>
    <w:tbl>
      <w:tblPr>
        <w:tblW w:w="6380" w:type="dxa"/>
        <w:tblCellMar>
          <w:left w:w="70" w:type="dxa"/>
          <w:right w:w="70" w:type="dxa"/>
        </w:tblCellMar>
        <w:tblLook w:val="04A0" w:firstRow="1" w:lastRow="0" w:firstColumn="1" w:lastColumn="0" w:noHBand="0" w:noVBand="1"/>
      </w:tblPr>
      <w:tblGrid>
        <w:gridCol w:w="1537"/>
        <w:gridCol w:w="1240"/>
        <w:gridCol w:w="864"/>
        <w:gridCol w:w="1319"/>
        <w:gridCol w:w="1420"/>
      </w:tblGrid>
      <w:tr w:rsidR="00694299" w:rsidRPr="00694299" w14:paraId="0FB85337" w14:textId="77777777" w:rsidTr="00694299">
        <w:trPr>
          <w:divId w:val="297296952"/>
          <w:trHeight w:val="288"/>
        </w:trPr>
        <w:tc>
          <w:tcPr>
            <w:tcW w:w="1537"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60E8CDD6" w14:textId="2E4A9CCC" w:rsidR="00694299" w:rsidRPr="00694299" w:rsidRDefault="00694299" w:rsidP="00694299">
            <w:pPr>
              <w:jc w:val="center"/>
              <w:rPr>
                <w:rFonts w:eastAsia="Times New Roman" w:cs="Calibri"/>
                <w:color w:val="FFFFFF"/>
                <w:sz w:val="22"/>
                <w:lang w:eastAsia="es-CR"/>
              </w:rPr>
            </w:pPr>
            <w:r w:rsidRPr="00694299">
              <w:rPr>
                <w:rFonts w:eastAsia="Times New Roman" w:cs="Calibri"/>
                <w:color w:val="FFFFFF"/>
                <w:sz w:val="22"/>
                <w:lang w:eastAsia="es-CR"/>
              </w:rPr>
              <w:t>Nombre funcionario</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5E2D61E2" w14:textId="77777777"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Fecha de presentación</w:t>
            </w:r>
          </w:p>
        </w:tc>
        <w:tc>
          <w:tcPr>
            <w:tcW w:w="2183" w:type="dxa"/>
            <w:gridSpan w:val="2"/>
            <w:tcBorders>
              <w:top w:val="single" w:sz="8" w:space="0" w:color="auto"/>
              <w:left w:val="nil"/>
              <w:bottom w:val="single" w:sz="8" w:space="0" w:color="auto"/>
              <w:right w:val="single" w:sz="8" w:space="0" w:color="000000"/>
            </w:tcBorders>
            <w:shd w:val="clear" w:color="000000" w:fill="1F3864"/>
            <w:vAlign w:val="center"/>
            <w:hideMark/>
          </w:tcPr>
          <w:p w14:paraId="0E10FE76" w14:textId="77777777"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Partes relacionadas</w:t>
            </w:r>
          </w:p>
        </w:tc>
        <w:tc>
          <w:tcPr>
            <w:tcW w:w="1420" w:type="dxa"/>
            <w:vMerge w:val="restart"/>
            <w:tcBorders>
              <w:top w:val="single" w:sz="8" w:space="0" w:color="auto"/>
              <w:left w:val="nil"/>
              <w:bottom w:val="single" w:sz="8" w:space="0" w:color="000000"/>
              <w:right w:val="single" w:sz="8" w:space="0" w:color="auto"/>
            </w:tcBorders>
            <w:shd w:val="clear" w:color="000000" w:fill="1F3864"/>
            <w:noWrap/>
            <w:vAlign w:val="center"/>
            <w:hideMark/>
          </w:tcPr>
          <w:p w14:paraId="3CFEA2CC" w14:textId="77777777"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Observaciones</w:t>
            </w:r>
          </w:p>
        </w:tc>
      </w:tr>
      <w:tr w:rsidR="00694299" w:rsidRPr="00694299" w14:paraId="023F2852" w14:textId="77777777" w:rsidTr="00694299">
        <w:trPr>
          <w:divId w:val="297296952"/>
          <w:trHeight w:val="288"/>
        </w:trPr>
        <w:tc>
          <w:tcPr>
            <w:tcW w:w="1537" w:type="dxa"/>
            <w:vMerge/>
            <w:tcBorders>
              <w:top w:val="single" w:sz="8" w:space="0" w:color="auto"/>
              <w:left w:val="single" w:sz="8" w:space="0" w:color="auto"/>
              <w:bottom w:val="single" w:sz="8" w:space="0" w:color="000000"/>
              <w:right w:val="single" w:sz="8" w:space="0" w:color="auto"/>
            </w:tcBorders>
            <w:vAlign w:val="center"/>
            <w:hideMark/>
          </w:tcPr>
          <w:p w14:paraId="2D5D160F" w14:textId="77777777" w:rsidR="00694299" w:rsidRPr="00694299" w:rsidRDefault="00694299" w:rsidP="00694299">
            <w:pPr>
              <w:spacing w:after="0" w:line="240" w:lineRule="auto"/>
              <w:jc w:val="left"/>
              <w:rPr>
                <w:rFonts w:eastAsia="Times New Roman" w:cs="Calibri"/>
                <w:color w:val="FFFFFF"/>
                <w:sz w:val="22"/>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7241650" w14:textId="77777777" w:rsidR="00694299" w:rsidRPr="00694299" w:rsidRDefault="00694299" w:rsidP="00694299">
            <w:pPr>
              <w:spacing w:after="0" w:line="240" w:lineRule="auto"/>
              <w:jc w:val="left"/>
              <w:rPr>
                <w:rFonts w:eastAsia="Times New Roman" w:cs="Calibri"/>
                <w:color w:val="FFFFFF"/>
                <w:sz w:val="22"/>
                <w:lang w:eastAsia="es-CR"/>
              </w:rPr>
            </w:pPr>
          </w:p>
        </w:tc>
        <w:tc>
          <w:tcPr>
            <w:tcW w:w="864" w:type="dxa"/>
            <w:tcBorders>
              <w:top w:val="nil"/>
              <w:left w:val="nil"/>
              <w:bottom w:val="nil"/>
              <w:right w:val="single" w:sz="8" w:space="0" w:color="auto"/>
            </w:tcBorders>
            <w:shd w:val="clear" w:color="000000" w:fill="1F3864"/>
            <w:noWrap/>
            <w:vAlign w:val="center"/>
            <w:hideMark/>
          </w:tcPr>
          <w:p w14:paraId="6E78E53C" w14:textId="77777777"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SI</w:t>
            </w:r>
          </w:p>
        </w:tc>
        <w:tc>
          <w:tcPr>
            <w:tcW w:w="1319" w:type="dxa"/>
            <w:tcBorders>
              <w:top w:val="nil"/>
              <w:left w:val="nil"/>
              <w:bottom w:val="nil"/>
              <w:right w:val="single" w:sz="8" w:space="0" w:color="auto"/>
            </w:tcBorders>
            <w:shd w:val="clear" w:color="000000" w:fill="1F3864"/>
            <w:noWrap/>
            <w:vAlign w:val="center"/>
            <w:hideMark/>
          </w:tcPr>
          <w:p w14:paraId="2EFF1766" w14:textId="77777777"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 xml:space="preserve">NO </w:t>
            </w:r>
          </w:p>
        </w:tc>
        <w:tc>
          <w:tcPr>
            <w:tcW w:w="1420" w:type="dxa"/>
            <w:vMerge/>
            <w:tcBorders>
              <w:top w:val="single" w:sz="8" w:space="0" w:color="auto"/>
              <w:left w:val="nil"/>
              <w:bottom w:val="single" w:sz="8" w:space="0" w:color="000000"/>
              <w:right w:val="single" w:sz="8" w:space="0" w:color="auto"/>
            </w:tcBorders>
            <w:vAlign w:val="center"/>
            <w:hideMark/>
          </w:tcPr>
          <w:p w14:paraId="0B316D6A" w14:textId="77777777" w:rsidR="00694299" w:rsidRPr="00694299" w:rsidRDefault="00694299" w:rsidP="00694299">
            <w:pPr>
              <w:spacing w:after="0" w:line="240" w:lineRule="auto"/>
              <w:jc w:val="left"/>
              <w:rPr>
                <w:rFonts w:eastAsia="Times New Roman" w:cs="Calibri"/>
                <w:color w:val="FFFFFF"/>
                <w:sz w:val="22"/>
                <w:lang w:eastAsia="es-CR"/>
              </w:rPr>
            </w:pPr>
          </w:p>
        </w:tc>
      </w:tr>
      <w:tr w:rsidR="00694299" w:rsidRPr="00694299" w14:paraId="1D64BF5C" w14:textId="77777777" w:rsidTr="00694299">
        <w:trPr>
          <w:divId w:val="297296952"/>
          <w:trHeight w:val="288"/>
        </w:trPr>
        <w:tc>
          <w:tcPr>
            <w:tcW w:w="1537" w:type="dxa"/>
            <w:tcBorders>
              <w:top w:val="nil"/>
              <w:left w:val="single" w:sz="8" w:space="0" w:color="auto"/>
              <w:bottom w:val="single" w:sz="8" w:space="0" w:color="auto"/>
              <w:right w:val="single" w:sz="8" w:space="0" w:color="auto"/>
            </w:tcBorders>
            <w:shd w:val="clear" w:color="auto" w:fill="auto"/>
            <w:noWrap/>
            <w:vAlign w:val="center"/>
            <w:hideMark/>
          </w:tcPr>
          <w:p w14:paraId="4BFA76BA"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62A9AC77"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864" w:type="dxa"/>
            <w:tcBorders>
              <w:top w:val="single" w:sz="8" w:space="0" w:color="auto"/>
              <w:left w:val="nil"/>
              <w:bottom w:val="single" w:sz="8" w:space="0" w:color="auto"/>
              <w:right w:val="single" w:sz="8" w:space="0" w:color="auto"/>
            </w:tcBorders>
            <w:shd w:val="clear" w:color="auto" w:fill="auto"/>
            <w:noWrap/>
            <w:vAlign w:val="center"/>
            <w:hideMark/>
          </w:tcPr>
          <w:p w14:paraId="224A3B7B"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319" w:type="dxa"/>
            <w:tcBorders>
              <w:top w:val="single" w:sz="8" w:space="0" w:color="auto"/>
              <w:left w:val="nil"/>
              <w:bottom w:val="single" w:sz="8" w:space="0" w:color="auto"/>
              <w:right w:val="single" w:sz="8" w:space="0" w:color="auto"/>
            </w:tcBorders>
            <w:shd w:val="clear" w:color="auto" w:fill="auto"/>
            <w:noWrap/>
            <w:vAlign w:val="center"/>
            <w:hideMark/>
          </w:tcPr>
          <w:p w14:paraId="14D8A6E4"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420" w:type="dxa"/>
            <w:tcBorders>
              <w:top w:val="nil"/>
              <w:left w:val="nil"/>
              <w:bottom w:val="single" w:sz="8" w:space="0" w:color="auto"/>
              <w:right w:val="single" w:sz="8" w:space="0" w:color="auto"/>
            </w:tcBorders>
            <w:shd w:val="clear" w:color="auto" w:fill="auto"/>
            <w:noWrap/>
            <w:vAlign w:val="center"/>
            <w:hideMark/>
          </w:tcPr>
          <w:p w14:paraId="56873E10"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r w:rsidR="00694299" w:rsidRPr="00694299" w14:paraId="4C35F894" w14:textId="77777777" w:rsidTr="00694299">
        <w:trPr>
          <w:divId w:val="297296952"/>
          <w:trHeight w:val="288"/>
        </w:trPr>
        <w:tc>
          <w:tcPr>
            <w:tcW w:w="1537" w:type="dxa"/>
            <w:tcBorders>
              <w:top w:val="nil"/>
              <w:left w:val="single" w:sz="8" w:space="0" w:color="auto"/>
              <w:bottom w:val="single" w:sz="8" w:space="0" w:color="auto"/>
              <w:right w:val="single" w:sz="8" w:space="0" w:color="auto"/>
            </w:tcBorders>
            <w:shd w:val="clear" w:color="auto" w:fill="auto"/>
            <w:noWrap/>
            <w:vAlign w:val="center"/>
            <w:hideMark/>
          </w:tcPr>
          <w:p w14:paraId="3D0DF434"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5B5E492E"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864" w:type="dxa"/>
            <w:tcBorders>
              <w:top w:val="nil"/>
              <w:left w:val="nil"/>
              <w:bottom w:val="single" w:sz="8" w:space="0" w:color="auto"/>
              <w:right w:val="single" w:sz="8" w:space="0" w:color="auto"/>
            </w:tcBorders>
            <w:shd w:val="clear" w:color="auto" w:fill="auto"/>
            <w:noWrap/>
            <w:vAlign w:val="center"/>
            <w:hideMark/>
          </w:tcPr>
          <w:p w14:paraId="4B2A3ED4"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319" w:type="dxa"/>
            <w:tcBorders>
              <w:top w:val="nil"/>
              <w:left w:val="nil"/>
              <w:bottom w:val="single" w:sz="8" w:space="0" w:color="auto"/>
              <w:right w:val="single" w:sz="8" w:space="0" w:color="auto"/>
            </w:tcBorders>
            <w:shd w:val="clear" w:color="auto" w:fill="auto"/>
            <w:noWrap/>
            <w:vAlign w:val="center"/>
            <w:hideMark/>
          </w:tcPr>
          <w:p w14:paraId="2EB9320B"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420" w:type="dxa"/>
            <w:tcBorders>
              <w:top w:val="nil"/>
              <w:left w:val="nil"/>
              <w:bottom w:val="single" w:sz="8" w:space="0" w:color="auto"/>
              <w:right w:val="single" w:sz="8" w:space="0" w:color="auto"/>
            </w:tcBorders>
            <w:shd w:val="clear" w:color="auto" w:fill="auto"/>
            <w:noWrap/>
            <w:vAlign w:val="center"/>
            <w:hideMark/>
          </w:tcPr>
          <w:p w14:paraId="11C1A079"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r w:rsidR="00694299" w:rsidRPr="00694299" w14:paraId="1C94B693" w14:textId="77777777" w:rsidTr="00694299">
        <w:trPr>
          <w:divId w:val="297296952"/>
          <w:trHeight w:val="288"/>
        </w:trPr>
        <w:tc>
          <w:tcPr>
            <w:tcW w:w="1537" w:type="dxa"/>
            <w:tcBorders>
              <w:top w:val="nil"/>
              <w:left w:val="single" w:sz="8" w:space="0" w:color="auto"/>
              <w:bottom w:val="single" w:sz="8" w:space="0" w:color="auto"/>
              <w:right w:val="single" w:sz="8" w:space="0" w:color="auto"/>
            </w:tcBorders>
            <w:shd w:val="clear" w:color="auto" w:fill="auto"/>
            <w:noWrap/>
            <w:vAlign w:val="center"/>
            <w:hideMark/>
          </w:tcPr>
          <w:p w14:paraId="4D8E2F90"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62C3936F"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864" w:type="dxa"/>
            <w:tcBorders>
              <w:top w:val="nil"/>
              <w:left w:val="nil"/>
              <w:bottom w:val="single" w:sz="8" w:space="0" w:color="auto"/>
              <w:right w:val="single" w:sz="8" w:space="0" w:color="auto"/>
            </w:tcBorders>
            <w:shd w:val="clear" w:color="auto" w:fill="auto"/>
            <w:noWrap/>
            <w:vAlign w:val="center"/>
            <w:hideMark/>
          </w:tcPr>
          <w:p w14:paraId="03FBE74A"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319" w:type="dxa"/>
            <w:tcBorders>
              <w:top w:val="nil"/>
              <w:left w:val="nil"/>
              <w:bottom w:val="single" w:sz="8" w:space="0" w:color="auto"/>
              <w:right w:val="single" w:sz="8" w:space="0" w:color="auto"/>
            </w:tcBorders>
            <w:shd w:val="clear" w:color="auto" w:fill="auto"/>
            <w:noWrap/>
            <w:vAlign w:val="center"/>
            <w:hideMark/>
          </w:tcPr>
          <w:p w14:paraId="71E4ACD0"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420" w:type="dxa"/>
            <w:tcBorders>
              <w:top w:val="nil"/>
              <w:left w:val="nil"/>
              <w:bottom w:val="single" w:sz="8" w:space="0" w:color="auto"/>
              <w:right w:val="single" w:sz="8" w:space="0" w:color="auto"/>
            </w:tcBorders>
            <w:shd w:val="clear" w:color="auto" w:fill="auto"/>
            <w:noWrap/>
            <w:vAlign w:val="center"/>
            <w:hideMark/>
          </w:tcPr>
          <w:p w14:paraId="6CC6AAD6"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bl>
    <w:p w14:paraId="2EEA44A5" w14:textId="067EEA39" w:rsidR="00D67331" w:rsidRDefault="00A450FF" w:rsidP="00A450FF">
      <w:r>
        <w:fldChar w:fldCharType="end"/>
      </w:r>
    </w:p>
    <w:p w14:paraId="029404FE" w14:textId="77777777" w:rsidR="00D67331" w:rsidRPr="00D67331" w:rsidRDefault="00D67331" w:rsidP="00D67331">
      <w:r w:rsidRPr="00D67331">
        <w:t>El responsable contable deberá también revelar información sobre transacciones entre partes relacionadas (Cuentas reciprocas) considerando lo dispuesto en el párrafo 27 y 28 de la NICSP 20.</w:t>
      </w:r>
    </w:p>
    <w:p w14:paraId="4E1F3947" w14:textId="77777777" w:rsidR="00D67331" w:rsidRPr="00D67331" w:rsidRDefault="00D67331" w:rsidP="00D67331">
      <w:pPr>
        <w:spacing w:line="240" w:lineRule="auto"/>
        <w:rPr>
          <w:rStyle w:val="nfasis"/>
          <w:b/>
        </w:rPr>
      </w:pPr>
      <w:r w:rsidRPr="00D67331">
        <w:rPr>
          <w:rStyle w:val="nfasis"/>
          <w:b/>
        </w:rPr>
        <w:t xml:space="preserve">“Información a revelar sobre transacciones entre partes relacionadas </w:t>
      </w:r>
    </w:p>
    <w:p w14:paraId="1EE53D6A" w14:textId="77777777" w:rsidR="00D67331" w:rsidRPr="00D67331" w:rsidRDefault="00D67331" w:rsidP="00D67331">
      <w:pPr>
        <w:spacing w:line="240" w:lineRule="auto"/>
        <w:rPr>
          <w:rStyle w:val="nfasis"/>
        </w:rPr>
      </w:pPr>
      <w:r w:rsidRPr="00D67331">
        <w:rPr>
          <w:rStyle w:val="nfasis"/>
        </w:rPr>
        <w:t>28. Las situaciones siguientes son ejemplos en los que la existencia de partes relacionadas puede dar lugar a la revelación de información por parte de la entidad que informa:</w:t>
      </w:r>
    </w:p>
    <w:p w14:paraId="5B71D3E3" w14:textId="77777777" w:rsidR="00D67331" w:rsidRPr="00D67331" w:rsidRDefault="00D67331" w:rsidP="00D67331">
      <w:pPr>
        <w:spacing w:line="240" w:lineRule="auto"/>
        <w:rPr>
          <w:rStyle w:val="nfasis"/>
        </w:rPr>
      </w:pPr>
      <w:r w:rsidRPr="00D67331">
        <w:rPr>
          <w:rStyle w:val="nfasis"/>
        </w:rPr>
        <w:t xml:space="preserve">(a) prestación o recepción de servicios; </w:t>
      </w:r>
    </w:p>
    <w:p w14:paraId="38DA9723" w14:textId="77777777" w:rsidR="00D67331" w:rsidRPr="00D67331" w:rsidRDefault="00D67331" w:rsidP="00D67331">
      <w:pPr>
        <w:spacing w:line="240" w:lineRule="auto"/>
        <w:rPr>
          <w:rStyle w:val="nfasis"/>
        </w:rPr>
      </w:pPr>
      <w:r w:rsidRPr="00D67331">
        <w:rPr>
          <w:rStyle w:val="nfasis"/>
        </w:rPr>
        <w:t xml:space="preserve">(b) compras o transferencias/ventas de bienes (terminados o no); </w:t>
      </w:r>
    </w:p>
    <w:p w14:paraId="34E4F43B" w14:textId="77777777" w:rsidR="00D67331" w:rsidRPr="00D67331" w:rsidRDefault="00D67331" w:rsidP="00D67331">
      <w:pPr>
        <w:spacing w:line="240" w:lineRule="auto"/>
        <w:rPr>
          <w:rStyle w:val="nfasis"/>
        </w:rPr>
      </w:pPr>
      <w:r w:rsidRPr="00D67331">
        <w:rPr>
          <w:rStyle w:val="nfasis"/>
        </w:rPr>
        <w:t xml:space="preserve">(c) compras o transferencias/ventas de propiedades y otros activos; </w:t>
      </w:r>
    </w:p>
    <w:p w14:paraId="4E7A3F18" w14:textId="77777777" w:rsidR="00D67331" w:rsidRPr="00D67331" w:rsidRDefault="00D67331" w:rsidP="00D67331">
      <w:pPr>
        <w:spacing w:line="240" w:lineRule="auto"/>
        <w:rPr>
          <w:rStyle w:val="nfasis"/>
        </w:rPr>
      </w:pPr>
      <w:r w:rsidRPr="00D67331">
        <w:rPr>
          <w:rStyle w:val="nfasis"/>
        </w:rPr>
        <w:t xml:space="preserve">(d) acuerdos de agencia; </w:t>
      </w:r>
    </w:p>
    <w:p w14:paraId="42D35662" w14:textId="77777777" w:rsidR="00D67331" w:rsidRPr="00D67331" w:rsidRDefault="00D67331" w:rsidP="00D67331">
      <w:pPr>
        <w:spacing w:line="240" w:lineRule="auto"/>
        <w:rPr>
          <w:rStyle w:val="nfasis"/>
        </w:rPr>
      </w:pPr>
      <w:r w:rsidRPr="00D67331">
        <w:rPr>
          <w:rStyle w:val="nfasis"/>
        </w:rPr>
        <w:t xml:space="preserve">(e) acuerdos sobre arrendamientos financieros; </w:t>
      </w:r>
    </w:p>
    <w:p w14:paraId="40A5BF33" w14:textId="77777777" w:rsidR="00D67331" w:rsidRPr="00D67331" w:rsidRDefault="00D67331" w:rsidP="00D67331">
      <w:pPr>
        <w:spacing w:line="240" w:lineRule="auto"/>
        <w:rPr>
          <w:rStyle w:val="nfasis"/>
        </w:rPr>
      </w:pPr>
      <w:r w:rsidRPr="00D67331">
        <w:rPr>
          <w:rStyle w:val="nfasis"/>
        </w:rPr>
        <w:t xml:space="preserve">(f) transferencias de investigación y desarrollo; </w:t>
      </w:r>
    </w:p>
    <w:p w14:paraId="31A4D9F3" w14:textId="77777777" w:rsidR="00D67331" w:rsidRPr="00D67331" w:rsidRDefault="00D67331" w:rsidP="00D67331">
      <w:pPr>
        <w:spacing w:line="240" w:lineRule="auto"/>
        <w:rPr>
          <w:rStyle w:val="nfasis"/>
        </w:rPr>
      </w:pPr>
      <w:r w:rsidRPr="00D67331">
        <w:rPr>
          <w:rStyle w:val="nfasis"/>
        </w:rPr>
        <w:t xml:space="preserve">(g) acuerdos sobre licencias; </w:t>
      </w:r>
    </w:p>
    <w:p w14:paraId="1C4A11A0" w14:textId="77777777" w:rsidR="00D67331" w:rsidRPr="00D67331" w:rsidRDefault="00D67331" w:rsidP="00D67331">
      <w:pPr>
        <w:spacing w:line="240" w:lineRule="auto"/>
        <w:rPr>
          <w:rStyle w:val="nfasis"/>
        </w:rPr>
      </w:pPr>
      <w:r w:rsidRPr="00D67331">
        <w:rPr>
          <w:rStyle w:val="nfasis"/>
        </w:rPr>
        <w:t>(h) financiación (incluyendo préstamos, aportaciones de capital, donaciones, ya sean en efectivo o especie, y otro tipo de soporte financiero incluyendo acuerdos para compartir costos); y</w:t>
      </w:r>
    </w:p>
    <w:p w14:paraId="1929D4EA" w14:textId="7F016DF2" w:rsidR="00D67331" w:rsidRDefault="00D67331" w:rsidP="00D67331">
      <w:pPr>
        <w:spacing w:line="240" w:lineRule="auto"/>
        <w:rPr>
          <w:rStyle w:val="nfasis"/>
        </w:rPr>
      </w:pPr>
      <w:r w:rsidRPr="00D67331">
        <w:rPr>
          <w:rStyle w:val="nfasis"/>
        </w:rPr>
        <w:t xml:space="preserve"> (i) garantías y avales.”</w:t>
      </w:r>
    </w:p>
    <w:p w14:paraId="69E2AEFE" w14:textId="77777777" w:rsidR="004B38F9" w:rsidRDefault="004B38F9" w:rsidP="00D67331">
      <w:pPr>
        <w:spacing w:line="240" w:lineRule="auto"/>
        <w:rPr>
          <w:rStyle w:val="nfasis"/>
        </w:rPr>
      </w:pPr>
    </w:p>
    <w:p w14:paraId="46F95A24" w14:textId="77777777" w:rsidR="00C92D39" w:rsidRDefault="004B38F9" w:rsidP="004B38F9">
      <w:pPr>
        <w:spacing w:line="240" w:lineRule="auto"/>
        <w:rPr>
          <w:b/>
          <w:color w:val="FFFFFF" w:themeColor="background1"/>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008E4790" w14:textId="3308D70C" w:rsidR="004B38F9" w:rsidRDefault="00C92D39" w:rsidP="004B38F9">
      <w:pPr>
        <w:spacing w:line="240" w:lineRule="auto"/>
        <w:rPr>
          <w:lang w:val="es-MX"/>
        </w:rPr>
      </w:pPr>
      <w:r>
        <w:rPr>
          <w:lang w:val="es-MX"/>
        </w:rPr>
        <w:t xml:space="preserve">La Municipalidad reconoce como pasivo y gasto relacionado </w:t>
      </w:r>
      <w:r w:rsidR="008E5B78">
        <w:rPr>
          <w:lang w:val="es-MX"/>
        </w:rPr>
        <w:t xml:space="preserve">las trasferencias que </w:t>
      </w:r>
      <w:r>
        <w:rPr>
          <w:lang w:val="es-MX"/>
        </w:rPr>
        <w:t xml:space="preserve">realiza al Comité Cantonal de Deporte y Recreación al inicio del periodo con base al monto incluido en el Presupuesto Municipal para el ejercicio </w:t>
      </w:r>
      <w:r w:rsidR="008E5B78">
        <w:rPr>
          <w:lang w:val="es-MX"/>
        </w:rPr>
        <w:t>económico que se traté.</w:t>
      </w:r>
    </w:p>
    <w:p w14:paraId="3F773C9F" w14:textId="77777777" w:rsidR="00A4051D" w:rsidRPr="003516A2" w:rsidRDefault="00A4051D" w:rsidP="004B38F9">
      <w:pPr>
        <w:spacing w:line="240" w:lineRule="auto"/>
        <w:rPr>
          <w:b/>
          <w:color w:val="FFFFFF" w:themeColor="background1"/>
          <w:highlight w:val="darkBlue"/>
          <w:u w:val="single"/>
        </w:rPr>
      </w:pPr>
    </w:p>
    <w:p w14:paraId="01607484" w14:textId="77777777" w:rsidR="004B38F9" w:rsidRPr="003516A2" w:rsidRDefault="004B38F9" w:rsidP="004B38F9">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6C629A7B" w14:textId="727D38D1" w:rsidR="004B38F9" w:rsidRPr="002007F6" w:rsidRDefault="008E5B78" w:rsidP="008E5B78">
      <w:pPr>
        <w:spacing w:after="120" w:line="240" w:lineRule="auto"/>
        <w:rPr>
          <w:lang w:val="es-MX"/>
        </w:rPr>
      </w:pPr>
      <w:r>
        <w:rPr>
          <w:lang w:val="es-MX"/>
        </w:rPr>
        <w:t xml:space="preserve">Las transferencias realizadas al CCDR se </w:t>
      </w:r>
      <w:r w:rsidR="001F1DE1">
        <w:rPr>
          <w:lang w:val="es-MX"/>
        </w:rPr>
        <w:t>miden por</w:t>
      </w:r>
      <w:r>
        <w:rPr>
          <w:lang w:val="es-MX"/>
        </w:rPr>
        <w:t xml:space="preserve"> el valor corriente contenido en el presupuesto de la Municipalidad para el ejercicio de que se trate.</w:t>
      </w:r>
    </w:p>
    <w:p w14:paraId="430DB966" w14:textId="77777777" w:rsidR="004B38F9" w:rsidRPr="00D67331" w:rsidRDefault="004B38F9" w:rsidP="00D67331">
      <w:pPr>
        <w:spacing w:line="240" w:lineRule="auto"/>
        <w:rPr>
          <w:i/>
          <w:iCs/>
        </w:rPr>
      </w:pPr>
    </w:p>
    <w:p w14:paraId="74D9C14A" w14:textId="77777777" w:rsidR="00D67331" w:rsidRPr="00D67331" w:rsidRDefault="00D67331" w:rsidP="00D67331">
      <w:pPr>
        <w:rPr>
          <w:rStyle w:val="nfasis"/>
          <w:b/>
          <w:i w:val="0"/>
          <w:u w:val="single"/>
          <w:lang w:val="es-MX" w:eastAsia="es-CR"/>
        </w:rPr>
      </w:pPr>
      <w:r w:rsidRPr="004B38F9">
        <w:rPr>
          <w:iCs/>
          <w:color w:val="FFFFFF" w:themeColor="background1"/>
          <w:highlight w:val="darkBlue"/>
        </w:rPr>
        <w:t>Revelación Suficiente:</w:t>
      </w:r>
      <w:r w:rsidRPr="00D67331">
        <w:rPr>
          <w:rStyle w:val="nfasis"/>
          <w:b/>
          <w:i w:val="0"/>
          <w:u w:val="single"/>
          <w:lang w:val="es-MX" w:eastAsia="es-CR"/>
        </w:rPr>
        <w:t xml:space="preserve"> </w:t>
      </w:r>
      <w:r w:rsidRPr="00D67331">
        <w:rPr>
          <w:rStyle w:val="nfasis"/>
          <w:b/>
          <w:i w:val="0"/>
          <w:u w:val="single"/>
          <w:lang w:eastAsia="es-CR"/>
        </w:rPr>
        <w:t>El ente debe cumplir con lo estipulado en revelación con forme a la NICSP, también debe considerar la política general y los párrafos incluidos en la matriz de autoevaluación referente a esta NICSP y guías de aplicación</w:t>
      </w:r>
      <w:r w:rsidRPr="00D67331">
        <w:rPr>
          <w:rStyle w:val="nfasis"/>
          <w:b/>
          <w:i w:val="0"/>
          <w:u w:val="single"/>
          <w:lang w:val="es-MX" w:eastAsia="es-CR"/>
        </w:rPr>
        <w:t xml:space="preserve"> (ver GA NICSP 20).</w:t>
      </w:r>
    </w:p>
    <w:p w14:paraId="41310538" w14:textId="77777777" w:rsidR="001F1DE1" w:rsidRDefault="001F1DE1" w:rsidP="001F1DE1">
      <w:pPr>
        <w:autoSpaceDE w:val="0"/>
        <w:autoSpaceDN w:val="0"/>
        <w:adjustRightInd w:val="0"/>
        <w:spacing w:after="0" w:line="240" w:lineRule="auto"/>
        <w:rPr>
          <w:szCs w:val="24"/>
        </w:rPr>
      </w:pPr>
    </w:p>
    <w:p w14:paraId="2BCEB293" w14:textId="6C8CE225" w:rsidR="001F1DE1" w:rsidRPr="00871BCF" w:rsidRDefault="001F1DE1" w:rsidP="001F1DE1">
      <w:pPr>
        <w:spacing w:after="0" w:line="240" w:lineRule="auto"/>
        <w:rPr>
          <w:b/>
          <w:bCs/>
          <w:szCs w:val="24"/>
        </w:rPr>
      </w:pPr>
      <w:r>
        <w:rPr>
          <w:b/>
          <w:bCs/>
          <w:szCs w:val="24"/>
        </w:rPr>
        <w:t>Principales políticas</w:t>
      </w:r>
    </w:p>
    <w:p w14:paraId="5FB79174" w14:textId="33CC830D" w:rsidR="001F1DE1" w:rsidRDefault="001F1DE1" w:rsidP="001F1DE1">
      <w:pPr>
        <w:autoSpaceDE w:val="0"/>
        <w:autoSpaceDN w:val="0"/>
        <w:adjustRightInd w:val="0"/>
        <w:spacing w:after="0" w:line="240" w:lineRule="auto"/>
        <w:rPr>
          <w:szCs w:val="24"/>
        </w:rPr>
      </w:pPr>
      <w:r>
        <w:rPr>
          <w:szCs w:val="24"/>
        </w:rPr>
        <w:t xml:space="preserve">Se revelará en cada presentación de EEFF las relaciones que involucran control, las transacciones ejecutadas con las partes relacionadas. En relación con las transacciones ejecutadas se revelará la naturaleza, los tipos de transacción, </w:t>
      </w:r>
    </w:p>
    <w:p w14:paraId="0B019374" w14:textId="77777777" w:rsidR="001F1DE1" w:rsidRDefault="001F1DE1" w:rsidP="001F1DE1">
      <w:pPr>
        <w:autoSpaceDE w:val="0"/>
        <w:autoSpaceDN w:val="0"/>
        <w:adjustRightInd w:val="0"/>
        <w:spacing w:after="0" w:line="240" w:lineRule="auto"/>
        <w:rPr>
          <w:szCs w:val="24"/>
        </w:rPr>
      </w:pPr>
    </w:p>
    <w:p w14:paraId="7116948C" w14:textId="77777777" w:rsidR="001F1DE1" w:rsidRPr="00871BCF" w:rsidRDefault="001F1DE1" w:rsidP="001F1DE1">
      <w:pPr>
        <w:spacing w:after="0" w:line="240" w:lineRule="auto"/>
        <w:rPr>
          <w:b/>
          <w:bCs/>
          <w:szCs w:val="24"/>
        </w:rPr>
      </w:pPr>
      <w:r w:rsidRPr="00871BCF">
        <w:rPr>
          <w:b/>
          <w:bCs/>
          <w:szCs w:val="24"/>
        </w:rPr>
        <w:t>Otras Revelaciones</w:t>
      </w:r>
    </w:p>
    <w:p w14:paraId="330E2C9B" w14:textId="77777777" w:rsidR="001F1DE1" w:rsidRDefault="001F1DE1" w:rsidP="001F1DE1">
      <w:pPr>
        <w:autoSpaceDE w:val="0"/>
        <w:autoSpaceDN w:val="0"/>
        <w:adjustRightInd w:val="0"/>
        <w:spacing w:after="0" w:line="240" w:lineRule="auto"/>
        <w:rPr>
          <w:szCs w:val="24"/>
        </w:rPr>
      </w:pPr>
    </w:p>
    <w:p w14:paraId="64FDB9F2" w14:textId="71ED2E17" w:rsidR="001F1DE1" w:rsidRPr="00167CF9" w:rsidRDefault="001F1DE1" w:rsidP="001F1DE1">
      <w:pPr>
        <w:autoSpaceDE w:val="0"/>
        <w:autoSpaceDN w:val="0"/>
        <w:adjustRightInd w:val="0"/>
        <w:spacing w:after="0" w:line="240" w:lineRule="auto"/>
        <w:rPr>
          <w:szCs w:val="24"/>
        </w:rPr>
      </w:pPr>
      <w:r w:rsidRPr="00167CF9">
        <w:rPr>
          <w:szCs w:val="24"/>
        </w:rPr>
        <w:t xml:space="preserve">De acuerdo con el artículo 173 del Código Municipal, el comité cantonal de deportes y recreación es un ente adscrito a la municipalidad que goza de personalidad jurídica instrumental para desarrollar planes, proyectos y programas deportivos y recreativos cantonales, así como para construir, administrar y mantener las instalaciones deportivas de su propiedad o las otorgadas en administración. </w:t>
      </w:r>
    </w:p>
    <w:p w14:paraId="74D3663B" w14:textId="77777777" w:rsidR="001F1DE1" w:rsidRPr="00167CF9" w:rsidRDefault="001F1DE1" w:rsidP="001F1DE1">
      <w:pPr>
        <w:autoSpaceDE w:val="0"/>
        <w:autoSpaceDN w:val="0"/>
        <w:adjustRightInd w:val="0"/>
        <w:spacing w:after="0" w:line="240" w:lineRule="auto"/>
        <w:rPr>
          <w:szCs w:val="24"/>
        </w:rPr>
      </w:pPr>
    </w:p>
    <w:p w14:paraId="6D05E628" w14:textId="77777777" w:rsidR="001F1DE1" w:rsidRPr="00167CF9" w:rsidRDefault="001F1DE1" w:rsidP="001F1DE1">
      <w:pPr>
        <w:autoSpaceDE w:val="0"/>
        <w:autoSpaceDN w:val="0"/>
        <w:adjustRightInd w:val="0"/>
        <w:spacing w:after="0" w:line="240" w:lineRule="auto"/>
        <w:rPr>
          <w:szCs w:val="24"/>
        </w:rPr>
      </w:pPr>
      <w:r w:rsidRPr="00167CF9">
        <w:rPr>
          <w:szCs w:val="24"/>
        </w:rPr>
        <w:t>El artículo 174 dice que el Comité cantonal estará integrado por cinco residentes en el cantón: a) Dos miembros nombrados por el Concejo Municipal. b) Dos de las organizaciones deportivas y recreativas del cantón. c) Un miembro de las organizaciones comunales restantes. d) Dos miembros de la población entre los 15 años y menores de 18 años, elegidos directamente mediante una asamblea cantonal.</w:t>
      </w:r>
    </w:p>
    <w:p w14:paraId="165B8F22" w14:textId="77777777" w:rsidR="001F1DE1" w:rsidRPr="00167CF9" w:rsidRDefault="001F1DE1" w:rsidP="001F1DE1">
      <w:pPr>
        <w:autoSpaceDE w:val="0"/>
        <w:autoSpaceDN w:val="0"/>
        <w:adjustRightInd w:val="0"/>
        <w:spacing w:after="0" w:line="240" w:lineRule="auto"/>
        <w:rPr>
          <w:szCs w:val="24"/>
        </w:rPr>
      </w:pPr>
    </w:p>
    <w:p w14:paraId="518ED5E8" w14:textId="77777777" w:rsidR="001F1DE1" w:rsidRPr="00167CF9" w:rsidRDefault="001F1DE1" w:rsidP="001F1DE1">
      <w:pPr>
        <w:autoSpaceDE w:val="0"/>
        <w:autoSpaceDN w:val="0"/>
        <w:adjustRightInd w:val="0"/>
        <w:spacing w:after="0" w:line="240" w:lineRule="auto"/>
        <w:rPr>
          <w:szCs w:val="24"/>
        </w:rPr>
      </w:pPr>
      <w:r w:rsidRPr="00167CF9">
        <w:rPr>
          <w:szCs w:val="24"/>
        </w:rPr>
        <w:t xml:space="preserve">El artículo 178 indica que el Comité cantonal funcionará con el reglamento que dicte la municipalidad y el 179 señala que </w:t>
      </w:r>
      <w:r w:rsidRPr="00167CF9">
        <w:rPr>
          <w:b/>
          <w:bCs/>
          <w:szCs w:val="24"/>
        </w:rPr>
        <w:t>la municipalidad deberá asignarle un mínimo de un 3% de los ingresos ordinarios anuales municipales</w:t>
      </w:r>
      <w:r w:rsidRPr="00167CF9">
        <w:rPr>
          <w:szCs w:val="24"/>
        </w:rPr>
        <w:t>.</w:t>
      </w:r>
    </w:p>
    <w:p w14:paraId="6FB0F4DA" w14:textId="77777777" w:rsidR="001F1DE1" w:rsidRPr="00167CF9" w:rsidRDefault="001F1DE1" w:rsidP="001F1DE1">
      <w:pPr>
        <w:autoSpaceDE w:val="0"/>
        <w:autoSpaceDN w:val="0"/>
        <w:adjustRightInd w:val="0"/>
        <w:spacing w:after="0" w:line="240" w:lineRule="auto"/>
        <w:rPr>
          <w:szCs w:val="24"/>
        </w:rPr>
      </w:pPr>
    </w:p>
    <w:p w14:paraId="72AE4BA6" w14:textId="77777777" w:rsidR="001F1DE1" w:rsidRPr="00167CF9" w:rsidRDefault="001F1DE1" w:rsidP="001F1DE1">
      <w:pPr>
        <w:autoSpaceDE w:val="0"/>
        <w:autoSpaceDN w:val="0"/>
        <w:adjustRightInd w:val="0"/>
        <w:spacing w:after="0" w:line="240" w:lineRule="auto"/>
        <w:rPr>
          <w:szCs w:val="24"/>
        </w:rPr>
      </w:pPr>
      <w:r w:rsidRPr="00167CF9">
        <w:rPr>
          <w:szCs w:val="24"/>
        </w:rPr>
        <w:t>Se considera que la Municipalidad tiene la posibilidad de ejercer influencia significativa sobre el comité respecto de las decisiones financieras y operativas.</w:t>
      </w:r>
    </w:p>
    <w:p w14:paraId="23991445" w14:textId="77777777" w:rsidR="001F1DE1" w:rsidRPr="00167CF9" w:rsidRDefault="001F1DE1" w:rsidP="001F1DE1">
      <w:pPr>
        <w:autoSpaceDE w:val="0"/>
        <w:autoSpaceDN w:val="0"/>
        <w:adjustRightInd w:val="0"/>
        <w:spacing w:after="0" w:line="240" w:lineRule="auto"/>
        <w:rPr>
          <w:szCs w:val="24"/>
        </w:rPr>
      </w:pPr>
    </w:p>
    <w:p w14:paraId="42AB635F" w14:textId="77777777" w:rsidR="001F1DE1" w:rsidRPr="00167CF9" w:rsidRDefault="001F1DE1" w:rsidP="001F1DE1">
      <w:pPr>
        <w:autoSpaceDE w:val="0"/>
        <w:autoSpaceDN w:val="0"/>
        <w:adjustRightInd w:val="0"/>
        <w:spacing w:after="0" w:line="240" w:lineRule="auto"/>
        <w:rPr>
          <w:szCs w:val="24"/>
        </w:rPr>
      </w:pPr>
      <w:r w:rsidRPr="00167CF9">
        <w:rPr>
          <w:szCs w:val="24"/>
        </w:rPr>
        <w:t xml:space="preserve">Es preciso manifestar que conforme con la Matriz de seguimiento al plan de acción para el cierre de brechas en concordancia con la matriz de autoevaluación, están en proceso de implementación lo concerniente a esta NICSP 20: </w:t>
      </w:r>
    </w:p>
    <w:p w14:paraId="1D2D114F" w14:textId="77777777" w:rsidR="001F1DE1" w:rsidRDefault="001F1DE1" w:rsidP="008E5B78">
      <w:pPr>
        <w:spacing w:after="0" w:line="240" w:lineRule="auto"/>
        <w:rPr>
          <w:szCs w:val="24"/>
        </w:rPr>
      </w:pPr>
    </w:p>
    <w:p w14:paraId="56D84AE5" w14:textId="3B39382E" w:rsidR="008E5B78" w:rsidRDefault="008E5B78" w:rsidP="008E5B78">
      <w:pPr>
        <w:spacing w:after="0" w:line="240" w:lineRule="auto"/>
        <w:rPr>
          <w:szCs w:val="24"/>
        </w:rPr>
      </w:pPr>
      <w:r w:rsidRPr="005C6BF2">
        <w:rPr>
          <w:szCs w:val="24"/>
        </w:rPr>
        <w:t xml:space="preserve">Como parte del proceso de </w:t>
      </w:r>
      <w:bookmarkStart w:id="78" w:name="_Hlk127365517"/>
      <w:r w:rsidRPr="005C6BF2">
        <w:rPr>
          <w:szCs w:val="24"/>
        </w:rPr>
        <w:t>implementación se está realizando el análisis de la relación que tiene la Municipalidad con el Comité Cantonal de Deportes y Recreación (CCDR), para establecer la información que se debe revelar de acuerdo con el control y beneficio en el potencial de servicio que brinda la Municipalidad a través de la gestión que realiza el CCDR a la ciudadanía del Cantón</w:t>
      </w:r>
      <w:bookmarkEnd w:id="78"/>
      <w:r w:rsidRPr="005C6BF2">
        <w:rPr>
          <w:szCs w:val="24"/>
        </w:rPr>
        <w:t>, en pro de lograr el bienestar en la salud física y mental, así como en la recreación de la población.</w:t>
      </w:r>
    </w:p>
    <w:p w14:paraId="42BE0E61" w14:textId="77777777" w:rsidR="008E5B78" w:rsidRDefault="008E5B78" w:rsidP="008E5B78">
      <w:pPr>
        <w:spacing w:after="0" w:line="240" w:lineRule="auto"/>
        <w:rPr>
          <w:szCs w:val="24"/>
        </w:rPr>
      </w:pPr>
    </w:p>
    <w:p w14:paraId="103A7B41" w14:textId="66FAFED8" w:rsidR="008E5B78" w:rsidRDefault="008E5B78" w:rsidP="008E5B78">
      <w:pPr>
        <w:spacing w:line="240" w:lineRule="auto"/>
        <w:rPr>
          <w:szCs w:val="24"/>
          <w:lang w:eastAsia="es-CR"/>
        </w:rPr>
      </w:pPr>
      <w:r>
        <w:rPr>
          <w:szCs w:val="24"/>
          <w:lang w:eastAsia="es-CR"/>
        </w:rPr>
        <w:t xml:space="preserve">De acuerdo con lo consignado en la Matriz de NICSP y Plan de Acción al </w:t>
      </w:r>
      <w:r w:rsidR="00D470B6">
        <w:rPr>
          <w:szCs w:val="24"/>
          <w:lang w:eastAsia="es-CR"/>
        </w:rPr>
        <w:t>30 de junio</w:t>
      </w:r>
      <w:r>
        <w:rPr>
          <w:szCs w:val="24"/>
          <w:lang w:eastAsia="es-CR"/>
        </w:rPr>
        <w:t xml:space="preserve"> de 2024 se encuentra pendiente de implementar lo siguiente:</w:t>
      </w:r>
    </w:p>
    <w:p w14:paraId="2E972230" w14:textId="77777777" w:rsidR="008E5B78" w:rsidRDefault="008E5B78" w:rsidP="008E5B78">
      <w:pPr>
        <w:spacing w:after="0" w:line="240" w:lineRule="auto"/>
        <w:rPr>
          <w:szCs w:val="24"/>
          <w:lang w:eastAsia="es-CR"/>
        </w:rPr>
      </w:pPr>
    </w:p>
    <w:tbl>
      <w:tblPr>
        <w:tblW w:w="8813" w:type="dxa"/>
        <w:tblLook w:val="04A0" w:firstRow="1" w:lastRow="0" w:firstColumn="1" w:lastColumn="0" w:noHBand="0" w:noVBand="1"/>
      </w:tblPr>
      <w:tblGrid>
        <w:gridCol w:w="7503"/>
        <w:gridCol w:w="1310"/>
      </w:tblGrid>
      <w:tr w:rsidR="008E5B78" w:rsidRPr="00274DBE" w14:paraId="338099CE" w14:textId="77777777" w:rsidTr="004653E2">
        <w:trPr>
          <w:trHeight w:val="645"/>
        </w:trPr>
        <w:tc>
          <w:tcPr>
            <w:tcW w:w="7503"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77076067" w14:textId="77777777" w:rsidR="008E5B78" w:rsidRPr="00274DBE" w:rsidRDefault="008E5B78" w:rsidP="004653E2">
            <w:pPr>
              <w:spacing w:after="0" w:line="240" w:lineRule="auto"/>
              <w:jc w:val="center"/>
              <w:rPr>
                <w:rFonts w:eastAsia="Times New Roman" w:cs="Calibri"/>
                <w:b/>
                <w:bCs/>
                <w:sz w:val="20"/>
                <w:szCs w:val="20"/>
                <w:lang w:val="en-US"/>
              </w:rPr>
            </w:pPr>
            <w:r w:rsidRPr="00274DBE">
              <w:rPr>
                <w:rFonts w:eastAsia="Times New Roman" w:cs="Calibri"/>
                <w:b/>
                <w:bCs/>
                <w:sz w:val="20"/>
                <w:szCs w:val="20"/>
                <w:lang w:val="en-US"/>
              </w:rPr>
              <w:t>Actividades Pendientes de Cumplimiento</w:t>
            </w:r>
          </w:p>
        </w:tc>
        <w:tc>
          <w:tcPr>
            <w:tcW w:w="1310" w:type="dxa"/>
            <w:tcBorders>
              <w:top w:val="single" w:sz="8" w:space="0" w:color="auto"/>
              <w:left w:val="nil"/>
              <w:bottom w:val="single" w:sz="4" w:space="0" w:color="auto"/>
              <w:right w:val="single" w:sz="8" w:space="0" w:color="auto"/>
            </w:tcBorders>
            <w:shd w:val="clear" w:color="000000" w:fill="FFFFFF"/>
            <w:vAlign w:val="bottom"/>
            <w:hideMark/>
          </w:tcPr>
          <w:p w14:paraId="710A4EDE" w14:textId="77777777" w:rsidR="008E5B78" w:rsidRPr="00274DBE" w:rsidRDefault="008E5B78" w:rsidP="004653E2">
            <w:pPr>
              <w:spacing w:after="0" w:line="240" w:lineRule="auto"/>
              <w:jc w:val="center"/>
              <w:rPr>
                <w:rFonts w:eastAsia="Times New Roman" w:cs="Calibri"/>
                <w:b/>
                <w:bCs/>
                <w:color w:val="000000"/>
                <w:sz w:val="20"/>
                <w:szCs w:val="20"/>
                <w:lang w:val="en-US"/>
              </w:rPr>
            </w:pPr>
            <w:r w:rsidRPr="00274DBE">
              <w:rPr>
                <w:rFonts w:eastAsia="Times New Roman" w:cs="Calibri"/>
                <w:b/>
                <w:bCs/>
                <w:color w:val="000000"/>
                <w:sz w:val="20"/>
                <w:szCs w:val="20"/>
                <w:lang w:val="en-US"/>
              </w:rPr>
              <w:t>Fecha Estimada Cumplimiento</w:t>
            </w:r>
          </w:p>
        </w:tc>
      </w:tr>
      <w:tr w:rsidR="008E5B78" w:rsidRPr="00274DBE" w14:paraId="6A7298E8" w14:textId="77777777" w:rsidTr="004653E2">
        <w:trPr>
          <w:trHeight w:val="500"/>
        </w:trPr>
        <w:tc>
          <w:tcPr>
            <w:tcW w:w="7503" w:type="dxa"/>
            <w:tcBorders>
              <w:top w:val="nil"/>
              <w:left w:val="single" w:sz="8" w:space="0" w:color="auto"/>
              <w:bottom w:val="single" w:sz="4" w:space="0" w:color="auto"/>
              <w:right w:val="single" w:sz="4" w:space="0" w:color="auto"/>
            </w:tcBorders>
            <w:shd w:val="clear" w:color="000000" w:fill="FFFFFF"/>
            <w:hideMark/>
          </w:tcPr>
          <w:p w14:paraId="679930C0" w14:textId="77777777" w:rsidR="008E5B78" w:rsidRPr="00274DBE" w:rsidRDefault="008E5B78" w:rsidP="004653E2">
            <w:pPr>
              <w:spacing w:after="0" w:line="240" w:lineRule="auto"/>
              <w:rPr>
                <w:rFonts w:ascii="Arial" w:eastAsia="Times New Roman" w:hAnsi="Arial" w:cs="Arial"/>
                <w:sz w:val="20"/>
                <w:szCs w:val="20"/>
              </w:rPr>
            </w:pPr>
            <w:r w:rsidRPr="00274DBE">
              <w:rPr>
                <w:rFonts w:ascii="Arial" w:eastAsia="Times New Roman" w:hAnsi="Arial" w:cs="Arial"/>
                <w:sz w:val="20"/>
                <w:szCs w:val="20"/>
              </w:rPr>
              <w:t>Presentar las transacciones que se efectúen entre partes relacionadas conforme lo establece la NICSP.</w:t>
            </w:r>
          </w:p>
        </w:tc>
        <w:tc>
          <w:tcPr>
            <w:tcW w:w="1310" w:type="dxa"/>
            <w:tcBorders>
              <w:top w:val="nil"/>
              <w:left w:val="nil"/>
              <w:bottom w:val="single" w:sz="4" w:space="0" w:color="auto"/>
              <w:right w:val="single" w:sz="8" w:space="0" w:color="auto"/>
            </w:tcBorders>
            <w:shd w:val="clear" w:color="000000" w:fill="FFFFFF"/>
            <w:noWrap/>
            <w:vAlign w:val="center"/>
            <w:hideMark/>
          </w:tcPr>
          <w:p w14:paraId="7AF02970" w14:textId="0E755C2B" w:rsidR="008E5B78" w:rsidRPr="00274DBE" w:rsidRDefault="004653E2" w:rsidP="004653E2">
            <w:pPr>
              <w:spacing w:after="0" w:line="240" w:lineRule="auto"/>
              <w:jc w:val="center"/>
              <w:rPr>
                <w:rFonts w:ascii="Arial" w:eastAsia="Times New Roman" w:hAnsi="Arial" w:cs="Arial"/>
                <w:sz w:val="20"/>
                <w:szCs w:val="20"/>
                <w:lang w:val="en-US"/>
              </w:rPr>
            </w:pPr>
            <w:r>
              <w:rPr>
                <w:rFonts w:ascii="Arial" w:eastAsia="Times New Roman" w:hAnsi="Arial" w:cs="Arial"/>
                <w:sz w:val="20"/>
                <w:szCs w:val="20"/>
                <w:lang w:val="en-US"/>
              </w:rPr>
              <w:t>31/12</w:t>
            </w:r>
            <w:r w:rsidR="008E5B78" w:rsidRPr="00274DBE">
              <w:rPr>
                <w:rFonts w:ascii="Arial" w:eastAsia="Times New Roman" w:hAnsi="Arial" w:cs="Arial"/>
                <w:sz w:val="20"/>
                <w:szCs w:val="20"/>
                <w:lang w:val="en-US"/>
              </w:rPr>
              <w:t>/24</w:t>
            </w:r>
          </w:p>
        </w:tc>
      </w:tr>
      <w:tr w:rsidR="008E5B78" w:rsidRPr="00274DBE" w14:paraId="57FF722B" w14:textId="77777777" w:rsidTr="004653E2">
        <w:trPr>
          <w:trHeight w:val="290"/>
        </w:trPr>
        <w:tc>
          <w:tcPr>
            <w:tcW w:w="7503" w:type="dxa"/>
            <w:tcBorders>
              <w:top w:val="nil"/>
              <w:left w:val="single" w:sz="8" w:space="0" w:color="auto"/>
              <w:bottom w:val="single" w:sz="4" w:space="0" w:color="auto"/>
              <w:right w:val="single" w:sz="4" w:space="0" w:color="auto"/>
            </w:tcBorders>
            <w:shd w:val="clear" w:color="000000" w:fill="FFFFFF"/>
            <w:hideMark/>
          </w:tcPr>
          <w:p w14:paraId="4960F9C9" w14:textId="77777777" w:rsidR="008E5B78" w:rsidRPr="00274DBE" w:rsidRDefault="008E5B78" w:rsidP="004653E2">
            <w:pPr>
              <w:spacing w:after="0" w:line="240" w:lineRule="auto"/>
              <w:rPr>
                <w:rFonts w:ascii="Arial" w:eastAsia="Times New Roman" w:hAnsi="Arial" w:cs="Arial"/>
                <w:sz w:val="20"/>
                <w:szCs w:val="20"/>
              </w:rPr>
            </w:pPr>
            <w:r w:rsidRPr="00274DBE">
              <w:rPr>
                <w:rFonts w:ascii="Arial" w:eastAsia="Times New Roman" w:hAnsi="Arial" w:cs="Arial"/>
                <w:sz w:val="20"/>
                <w:szCs w:val="20"/>
              </w:rPr>
              <w:t>Determinar la información que se debe revelar en relación con Partes relacionadas.</w:t>
            </w:r>
          </w:p>
        </w:tc>
        <w:tc>
          <w:tcPr>
            <w:tcW w:w="1310" w:type="dxa"/>
            <w:tcBorders>
              <w:top w:val="nil"/>
              <w:left w:val="nil"/>
              <w:bottom w:val="single" w:sz="4" w:space="0" w:color="auto"/>
              <w:right w:val="single" w:sz="8" w:space="0" w:color="auto"/>
            </w:tcBorders>
            <w:shd w:val="clear" w:color="000000" w:fill="FFFFFF"/>
            <w:noWrap/>
            <w:vAlign w:val="center"/>
            <w:hideMark/>
          </w:tcPr>
          <w:p w14:paraId="285B7760" w14:textId="5E43CEA6" w:rsidR="008E5B78" w:rsidRPr="00274DBE" w:rsidRDefault="004653E2" w:rsidP="004653E2">
            <w:pPr>
              <w:spacing w:after="0" w:line="240" w:lineRule="auto"/>
              <w:jc w:val="center"/>
              <w:rPr>
                <w:rFonts w:ascii="Arial" w:eastAsia="Times New Roman" w:hAnsi="Arial" w:cs="Arial"/>
                <w:sz w:val="20"/>
                <w:szCs w:val="20"/>
                <w:lang w:val="en-US"/>
              </w:rPr>
            </w:pPr>
            <w:r>
              <w:rPr>
                <w:rFonts w:ascii="Arial" w:eastAsia="Times New Roman" w:hAnsi="Arial" w:cs="Arial"/>
                <w:sz w:val="20"/>
                <w:szCs w:val="20"/>
                <w:lang w:val="en-US"/>
              </w:rPr>
              <w:t>31/12</w:t>
            </w:r>
            <w:r w:rsidR="008E5B78" w:rsidRPr="00274DBE">
              <w:rPr>
                <w:rFonts w:ascii="Arial" w:eastAsia="Times New Roman" w:hAnsi="Arial" w:cs="Arial"/>
                <w:sz w:val="20"/>
                <w:szCs w:val="20"/>
                <w:lang w:val="en-US"/>
              </w:rPr>
              <w:t>/24</w:t>
            </w:r>
          </w:p>
        </w:tc>
      </w:tr>
      <w:tr w:rsidR="008E5B78" w:rsidRPr="00274DBE" w14:paraId="6F775B3E" w14:textId="77777777" w:rsidTr="004653E2">
        <w:trPr>
          <w:trHeight w:val="510"/>
        </w:trPr>
        <w:tc>
          <w:tcPr>
            <w:tcW w:w="7503" w:type="dxa"/>
            <w:tcBorders>
              <w:top w:val="nil"/>
              <w:left w:val="single" w:sz="8" w:space="0" w:color="auto"/>
              <w:bottom w:val="single" w:sz="8" w:space="0" w:color="auto"/>
              <w:right w:val="single" w:sz="4" w:space="0" w:color="auto"/>
            </w:tcBorders>
            <w:shd w:val="clear" w:color="000000" w:fill="FFFFFF"/>
            <w:hideMark/>
          </w:tcPr>
          <w:p w14:paraId="7DCBC2B8" w14:textId="77777777" w:rsidR="008E5B78" w:rsidRPr="00274DBE" w:rsidRDefault="008E5B78" w:rsidP="004653E2">
            <w:pPr>
              <w:spacing w:after="0" w:line="240" w:lineRule="auto"/>
              <w:rPr>
                <w:rFonts w:ascii="Arial" w:eastAsia="Times New Roman" w:hAnsi="Arial" w:cs="Arial"/>
                <w:sz w:val="20"/>
                <w:szCs w:val="20"/>
              </w:rPr>
            </w:pPr>
            <w:r w:rsidRPr="00274DBE">
              <w:rPr>
                <w:rFonts w:ascii="Arial" w:eastAsia="Times New Roman" w:hAnsi="Arial" w:cs="Arial"/>
                <w:sz w:val="20"/>
                <w:szCs w:val="20"/>
              </w:rPr>
              <w:t>Realizar las revelaciones correspondientes sobre Partes relacionadas, según lo establecido por la norma.</w:t>
            </w:r>
          </w:p>
        </w:tc>
        <w:tc>
          <w:tcPr>
            <w:tcW w:w="1310" w:type="dxa"/>
            <w:tcBorders>
              <w:top w:val="nil"/>
              <w:left w:val="nil"/>
              <w:bottom w:val="single" w:sz="8" w:space="0" w:color="auto"/>
              <w:right w:val="single" w:sz="8" w:space="0" w:color="auto"/>
            </w:tcBorders>
            <w:shd w:val="clear" w:color="000000" w:fill="FFFFFF"/>
            <w:noWrap/>
            <w:vAlign w:val="center"/>
            <w:hideMark/>
          </w:tcPr>
          <w:p w14:paraId="0CFA0AA7" w14:textId="4D5E3C61" w:rsidR="008E5B78" w:rsidRPr="00274DBE" w:rsidRDefault="004653E2" w:rsidP="004653E2">
            <w:pPr>
              <w:spacing w:after="0" w:line="240" w:lineRule="auto"/>
              <w:jc w:val="center"/>
              <w:rPr>
                <w:rFonts w:ascii="Arial" w:eastAsia="Times New Roman" w:hAnsi="Arial" w:cs="Arial"/>
                <w:sz w:val="20"/>
                <w:szCs w:val="20"/>
                <w:lang w:val="en-US"/>
              </w:rPr>
            </w:pPr>
            <w:r>
              <w:rPr>
                <w:rFonts w:ascii="Arial" w:eastAsia="Times New Roman" w:hAnsi="Arial" w:cs="Arial"/>
                <w:sz w:val="20"/>
                <w:szCs w:val="20"/>
                <w:lang w:val="en-US"/>
              </w:rPr>
              <w:t>31/012</w:t>
            </w:r>
            <w:r w:rsidR="008E5B78" w:rsidRPr="00274DBE">
              <w:rPr>
                <w:rFonts w:ascii="Arial" w:eastAsia="Times New Roman" w:hAnsi="Arial" w:cs="Arial"/>
                <w:sz w:val="20"/>
                <w:szCs w:val="20"/>
                <w:lang w:val="en-US"/>
              </w:rPr>
              <w:t>/24</w:t>
            </w:r>
          </w:p>
        </w:tc>
      </w:tr>
    </w:tbl>
    <w:p w14:paraId="7BB0308A" w14:textId="31432AA0" w:rsidR="00D67331" w:rsidRDefault="00D67331" w:rsidP="000B404C"/>
    <w:p w14:paraId="719EAFA7" w14:textId="66669F45" w:rsidR="00BB6A3C" w:rsidRPr="00A649A4" w:rsidRDefault="00BB6A3C" w:rsidP="00A649A4">
      <w:pPr>
        <w:pStyle w:val="Ttulo2"/>
        <w:spacing w:after="240"/>
        <w:rPr>
          <w:rFonts w:eastAsia="Times New Roman"/>
          <w:lang w:eastAsia="es-CR"/>
        </w:rPr>
      </w:pPr>
      <w:bookmarkStart w:id="79" w:name="_Toc173245202"/>
      <w:r w:rsidRPr="00BB6A3C">
        <w:rPr>
          <w:rFonts w:eastAsia="Times New Roman"/>
          <w:lang w:eastAsia="es-CR"/>
        </w:rPr>
        <w:t>NICSP 21- DETERIORO DEL VALOR DE ACTIVOS NO GENERADORES DE EFECTIVO:</w:t>
      </w:r>
      <w:bookmarkEnd w:id="79"/>
      <w:r w:rsidRPr="00BB6A3C">
        <w:rPr>
          <w:rFonts w:eastAsia="Times New Roman"/>
          <w:lang w:eastAsia="es-CR"/>
        </w:rPr>
        <w:t xml:space="preserve"> </w:t>
      </w:r>
    </w:p>
    <w:p w14:paraId="6D2EF7AD" w14:textId="77777777" w:rsidR="00694299" w:rsidRDefault="00BB6A3C" w:rsidP="00BB6A3C">
      <w:pPr>
        <w:rPr>
          <w:rFonts w:asciiTheme="minorHAnsi" w:hAnsiTheme="minorHAnsi"/>
          <w:sz w:val="22"/>
        </w:rPr>
      </w:pPr>
      <w:r w:rsidRPr="00405DBC">
        <w:t xml:space="preserve">De acuerdo con la </w:t>
      </w:r>
      <w:r w:rsidRPr="00BB6A3C">
        <w:rPr>
          <w:rFonts w:eastAsia="Times New Roman"/>
          <w:lang w:val="es-MX" w:eastAsia="es-CR"/>
        </w:rPr>
        <w:t xml:space="preserve">NICSP 21 </w:t>
      </w:r>
      <w:r>
        <w:rPr>
          <w:rFonts w:eastAsia="Times New Roman"/>
          <w:lang w:val="es-MX" w:eastAsia="es-CR"/>
        </w:rPr>
        <w:t xml:space="preserve">- </w:t>
      </w:r>
      <w:r w:rsidRPr="00BB6A3C">
        <w:rPr>
          <w:rFonts w:eastAsia="Times New Roman"/>
          <w:lang w:val="es-MX" w:eastAsia="es-CR"/>
        </w:rPr>
        <w:t>Deterioro del Valor de Activos No Generadores de Efectivo</w:t>
      </w:r>
      <w:r>
        <w:t xml:space="preserve">, </w:t>
      </w:r>
      <w:r w:rsidR="00653C92">
        <w:t>i</w:t>
      </w:r>
      <w:r w:rsidRPr="00405DBC">
        <w:t>ndicar si este rubro afecta SI o NO a la institución, además del porcentaje de avance</w:t>
      </w:r>
      <w:r>
        <w:t xml:space="preserve"> en la implementación</w:t>
      </w:r>
      <w:r w:rsidRPr="00405DBC">
        <w:t xml:space="preserve"> que presenta</w:t>
      </w:r>
      <w:r w:rsidR="001C7FD6">
        <w:t xml:space="preserve">. </w:t>
      </w:r>
      <w:r w:rsidR="001C7FD6">
        <w:fldChar w:fldCharType="begin"/>
      </w:r>
      <w:r w:rsidR="001C7FD6">
        <w:instrText xml:space="preserve"> LINK </w:instrText>
      </w:r>
      <w:r w:rsidR="00323752">
        <w:instrText xml:space="preserve">Excel.SheetMacroEnabled.12 "D:\\MORAVIA\\INSUMOS\\NOTAS 2024\\Formato_Notas_EEFF_Vinculadas_2024\\XXXXX_PXX_202X_Anexo_Estado_Notas_Contables_Vinculadas.xlsm" NICSP_21!F9C3:F10C4 </w:instrText>
      </w:r>
      <w:r w:rsidR="001C7FD6">
        <w:instrText xml:space="preserve">\a \f 4 \h </w:instrText>
      </w:r>
      <w:r w:rsidR="001C7FD6">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694299" w:rsidRPr="00694299" w14:paraId="0794C95C" w14:textId="77777777" w:rsidTr="00694299">
        <w:trPr>
          <w:divId w:val="817765937"/>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3C54043B" w14:textId="260D742F"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30D5E"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Si</w:t>
            </w:r>
          </w:p>
        </w:tc>
      </w:tr>
      <w:tr w:rsidR="00694299" w:rsidRPr="00694299" w14:paraId="43AEF22D" w14:textId="77777777" w:rsidTr="00694299">
        <w:trPr>
          <w:divId w:val="817765937"/>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71FD8BC9"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26E89528" w14:textId="099EF50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27</w:t>
            </w:r>
            <w:r w:rsidR="003A0A8C">
              <w:rPr>
                <w:rFonts w:eastAsia="Times New Roman" w:cs="Calibri"/>
                <w:color w:val="000000"/>
                <w:sz w:val="22"/>
                <w:lang w:eastAsia="es-CR"/>
              </w:rPr>
              <w:t>,00</w:t>
            </w:r>
            <w:r w:rsidRPr="00694299">
              <w:rPr>
                <w:rFonts w:eastAsia="Times New Roman" w:cs="Calibri"/>
                <w:color w:val="000000"/>
                <w:sz w:val="22"/>
                <w:lang w:eastAsia="es-CR"/>
              </w:rPr>
              <w:t>%</w:t>
            </w:r>
          </w:p>
        </w:tc>
      </w:tr>
    </w:tbl>
    <w:p w14:paraId="32BFC857" w14:textId="2C04E9A6" w:rsidR="00BB6A3C" w:rsidRDefault="001C7FD6" w:rsidP="00BB6A3C">
      <w:r>
        <w:fldChar w:fldCharType="end"/>
      </w:r>
    </w:p>
    <w:p w14:paraId="3DF2D2FE" w14:textId="77777777" w:rsidR="003A0A8C" w:rsidRDefault="00E80180" w:rsidP="00E80180">
      <w:pPr>
        <w:spacing w:line="240" w:lineRule="auto"/>
        <w:rPr>
          <w:b/>
          <w:color w:val="FFFFFF" w:themeColor="background1"/>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516D7118" w14:textId="381EDD94" w:rsidR="00E80180" w:rsidRDefault="003A0A8C" w:rsidP="00E80180">
      <w:pPr>
        <w:spacing w:line="240" w:lineRule="auto"/>
        <w:rPr>
          <w:lang w:val="es-MX"/>
        </w:rPr>
      </w:pPr>
      <w:r>
        <w:rPr>
          <w:lang w:val="es-MX"/>
        </w:rPr>
        <w:t xml:space="preserve">El deterioro de los activos no generadores de efectivo se reconoce inmediatamente que se determine en el superávit o déficit en el periodo que se reporta. Después del reconocimiento una pérdida por deterioro el cargo por depreciación (amortización) del activo se ajusta en periodos futuros para asignar el valor en libros revisado del activo, menos </w:t>
      </w:r>
      <w:r w:rsidR="006C707A">
        <w:rPr>
          <w:lang w:val="es-MX"/>
        </w:rPr>
        <w:t>su valor residual (si lo hay), sobre una base sistémica durante su vida útil restante.</w:t>
      </w:r>
    </w:p>
    <w:p w14:paraId="57AD2418" w14:textId="6356CBCC" w:rsidR="00976F1C" w:rsidRPr="003516A2" w:rsidRDefault="00976F1C" w:rsidP="00E80180">
      <w:pPr>
        <w:spacing w:line="240" w:lineRule="auto"/>
        <w:rPr>
          <w:b/>
          <w:color w:val="FFFFFF" w:themeColor="background1"/>
          <w:highlight w:val="darkBlue"/>
          <w:u w:val="single"/>
        </w:rPr>
      </w:pPr>
      <w:r>
        <w:rPr>
          <w:lang w:val="es-MX"/>
        </w:rPr>
        <w:t>En cada fecha de presentación de EEFF se revisa los activos para valorar cualquier indicador de que el activo pueda estar deteriorado</w:t>
      </w:r>
      <w:r w:rsidR="0016451A">
        <w:rPr>
          <w:lang w:val="es-MX"/>
        </w:rPr>
        <w:t xml:space="preserve"> o no y realizar los ajustes pertinentes.</w:t>
      </w:r>
    </w:p>
    <w:p w14:paraId="6E98851A" w14:textId="77777777" w:rsidR="00E80180" w:rsidRDefault="00E80180" w:rsidP="00E80180">
      <w:pPr>
        <w:spacing w:line="240" w:lineRule="auto"/>
        <w:rPr>
          <w:b/>
          <w:u w:val="single"/>
        </w:rPr>
      </w:pPr>
    </w:p>
    <w:p w14:paraId="6C37190C" w14:textId="77777777" w:rsidR="00E80180" w:rsidRPr="003516A2" w:rsidRDefault="00E80180" w:rsidP="00E80180">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18C8E310" w14:textId="351AB096" w:rsidR="00E80180" w:rsidRDefault="006C707A" w:rsidP="00943987">
      <w:pPr>
        <w:spacing w:line="240" w:lineRule="auto"/>
        <w:rPr>
          <w:lang w:val="es-MX"/>
        </w:rPr>
      </w:pPr>
      <w:r>
        <w:rPr>
          <w:lang w:val="es-MX"/>
        </w:rPr>
        <w:t>E</w:t>
      </w:r>
      <w:r w:rsidR="00D9351B">
        <w:rPr>
          <w:lang w:val="es-MX"/>
        </w:rPr>
        <w:t xml:space="preserve">l deterioro se medirá con base en la cantidad de servicio recuperable, este es el más alto entre el valor razonable menos los costos de venta y su valor en uso. El valor en uso de un activo que no genera efectivo es el valor presente del potencial de servicio restante del activo, el cual se establece usando </w:t>
      </w:r>
      <w:r w:rsidR="00943987">
        <w:rPr>
          <w:lang w:val="es-MX"/>
        </w:rPr>
        <w:t>cualquiera de los enfoques y depende de la disponibilidad de los datos y de la naturaleza del deterioro.</w:t>
      </w:r>
    </w:p>
    <w:p w14:paraId="549DC5D7" w14:textId="3A2A159C" w:rsidR="00943987" w:rsidRDefault="00943987" w:rsidP="00943987">
      <w:pPr>
        <w:spacing w:line="240" w:lineRule="auto"/>
        <w:rPr>
          <w:lang w:val="es-MX"/>
        </w:rPr>
      </w:pPr>
      <w:r>
        <w:rPr>
          <w:lang w:val="es-MX"/>
        </w:rPr>
        <w:t>Enfoque del costo de reemplazo depreciado. El valor presente del potencial de servicio restante de un activo se determina como el costo para reemplazar el potencial de servicio bruto del activo, el cual es depreciado para reflejar el activo en su condición usada. El costo de reemplazo es depreciado es medido como el costo de reproducción o reemplazo del activo, el que sea menor, menos la depreciación acumulada calculada con base en tal costo, para reflejar el potencial de servicio ya consumido o expirado del activo.</w:t>
      </w:r>
    </w:p>
    <w:p w14:paraId="3D88583F" w14:textId="3DE168F4" w:rsidR="00943987" w:rsidRDefault="00943987" w:rsidP="00943987">
      <w:pPr>
        <w:spacing w:line="240" w:lineRule="auto"/>
        <w:rPr>
          <w:lang w:val="es-MX"/>
        </w:rPr>
      </w:pPr>
      <w:r>
        <w:rPr>
          <w:lang w:val="es-MX"/>
        </w:rPr>
        <w:t xml:space="preserve">Enfoque del costo de restauración. El valor presente del potencial de servicio restante de un activo se determina sustrayendo el costo estimado de restauración del activo del costo </w:t>
      </w:r>
      <w:r w:rsidR="00976F1C">
        <w:rPr>
          <w:lang w:val="es-MX"/>
        </w:rPr>
        <w:t>corriente de reemplazar el potencial de servicio restante del activo antes del deterior. El último costo se determina como el costo de reproducción o reemplazo depreciado del activo el menor.</w:t>
      </w:r>
    </w:p>
    <w:p w14:paraId="677DA247" w14:textId="7DBE4E72" w:rsidR="00976F1C" w:rsidRPr="002007F6" w:rsidRDefault="00976F1C" w:rsidP="00943987">
      <w:pPr>
        <w:spacing w:line="240" w:lineRule="auto"/>
        <w:rPr>
          <w:lang w:val="es-MX"/>
        </w:rPr>
      </w:pPr>
      <w:r>
        <w:rPr>
          <w:lang w:val="es-MX"/>
        </w:rPr>
        <w:t>Enfoque de unidades de servicio. El valor presente del potencial de servicio restante de un activo se determina reduciendo el costo corriente del potencial de servicio restante antes del deterioro para conformarlo con el número reducido de unidades de servicio que se espera del activo en su estado deteriorado.</w:t>
      </w:r>
      <w:r w:rsidRPr="00976F1C">
        <w:rPr>
          <w:lang w:val="es-MX"/>
        </w:rPr>
        <w:t xml:space="preserve"> </w:t>
      </w:r>
      <w:r>
        <w:rPr>
          <w:lang w:val="es-MX"/>
        </w:rPr>
        <w:t>El último costo se determina como el costo de reproducción o reemplazo depreciado del activo el menor.</w:t>
      </w:r>
    </w:p>
    <w:p w14:paraId="1320190B" w14:textId="77777777" w:rsidR="00E80180" w:rsidRPr="00653C92" w:rsidRDefault="00E80180" w:rsidP="00653C92">
      <w:pPr>
        <w:rPr>
          <w:b/>
          <w:lang w:val="es-MX" w:eastAsia="es-CR"/>
        </w:rPr>
      </w:pPr>
    </w:p>
    <w:p w14:paraId="65EBF9C9" w14:textId="77777777" w:rsidR="00653C92" w:rsidRPr="00653C92" w:rsidRDefault="00653C92" w:rsidP="00653C92">
      <w:pPr>
        <w:rPr>
          <w:rFonts w:eastAsia="Calibri"/>
          <w:b/>
          <w:lang w:eastAsia="es-CR"/>
        </w:rPr>
      </w:pPr>
      <w:r w:rsidRPr="00E80180">
        <w:rPr>
          <w:b/>
          <w:color w:val="FFFFFF" w:themeColor="background1"/>
          <w:highlight w:val="darkBlue"/>
          <w:u w:val="single"/>
        </w:rPr>
        <w:t>Revelación Suficiente:</w:t>
      </w:r>
      <w:r w:rsidRPr="00653C92">
        <w:rPr>
          <w:rFonts w:eastAsia="Calibri"/>
          <w:b/>
          <w:u w:val="single"/>
        </w:rPr>
        <w:t xml:space="preserve"> El ente debe cumplir con lo estipulado en revelación con forme a la NICSP, también debe considerar la política general y los párrafos incluidos en la matriz de autoevaluación referente a esta NICSP y guías de aplicación</w:t>
      </w:r>
      <w:r w:rsidRPr="00653C92">
        <w:rPr>
          <w:rFonts w:eastAsia="Calibri"/>
          <w:b/>
          <w:u w:val="single"/>
          <w:lang w:val="es-MX"/>
        </w:rPr>
        <w:t xml:space="preserve"> (ver GA NICSP 21).</w:t>
      </w:r>
    </w:p>
    <w:p w14:paraId="5778E56D" w14:textId="77777777" w:rsidR="003A0A8C" w:rsidRPr="00094A22" w:rsidRDefault="003A0A8C" w:rsidP="003A0A8C">
      <w:pPr>
        <w:spacing w:after="0" w:line="240" w:lineRule="auto"/>
        <w:rPr>
          <w:b/>
          <w:bCs/>
          <w:sz w:val="23"/>
          <w:szCs w:val="23"/>
        </w:rPr>
      </w:pPr>
      <w:r w:rsidRPr="00094A22">
        <w:rPr>
          <w:b/>
          <w:bCs/>
          <w:sz w:val="23"/>
          <w:szCs w:val="23"/>
        </w:rPr>
        <w:t>Aprovechamiento de la exención de la NICSP 33</w:t>
      </w:r>
    </w:p>
    <w:p w14:paraId="54065DAA" w14:textId="77777777" w:rsidR="003A0A8C" w:rsidRDefault="003A0A8C" w:rsidP="003A0A8C">
      <w:pPr>
        <w:spacing w:after="0" w:line="240" w:lineRule="auto"/>
        <w:rPr>
          <w:sz w:val="23"/>
          <w:szCs w:val="23"/>
        </w:rPr>
      </w:pPr>
    </w:p>
    <w:p w14:paraId="13441F26" w14:textId="77777777" w:rsidR="003A0A8C" w:rsidRDefault="003A0A8C" w:rsidP="0016451A">
      <w:pPr>
        <w:spacing w:after="120" w:line="240" w:lineRule="auto"/>
      </w:pPr>
      <w:r>
        <w:rPr>
          <w:sz w:val="23"/>
          <w:szCs w:val="23"/>
        </w:rPr>
        <w:t>La Municipalidad aprovecha la exención del párrafo 36 de la NICSP 33, que concede un periodo de dispensa transitorio para no reconocer o medir activos de las NICSP 16, 17, 27, 31 y 32, aplicará la NICSP 21, cuando la exención que proporcionó la dispensa haya expirado o los activos correspondientes se reconozcan o midan de acuerdo con las NICSP aplicables (lo que tenga lugar primero).</w:t>
      </w:r>
    </w:p>
    <w:p w14:paraId="37ED0649" w14:textId="50D99D76" w:rsidR="003A0A8C" w:rsidRDefault="003A0A8C" w:rsidP="0016451A">
      <w:pPr>
        <w:spacing w:after="120" w:line="240" w:lineRule="auto"/>
      </w:pPr>
      <w:r w:rsidRPr="005C6BF2">
        <w:t xml:space="preserve">Si bien la norma debe ser aplicada por la Municipalidad, tal como se indica en el Apartado II Efecto en el deterioro de acuerdo con la NICSP 21 y 26, la Municipalidad de Buenos Aires aún se encuentra realizando un proceso inventario físico de activos, el cual ha ido permitiendo realizar la actualización y valuación de los activos fijos (propiedad, planta y equipo), en cumplimiento al plan de acción para la implementación de las NICSP definido. Como parte de dicho proceso se tiene previsto realizar la clasificación de los activos en generadores y no generadores de efectivo, Sin embargo, la labor no ha concluido aún. No obstante, es pertinente indicar que en </w:t>
      </w:r>
      <w:r w:rsidR="0016451A" w:rsidRPr="005C6BF2">
        <w:t>el trabajo realizado</w:t>
      </w:r>
      <w:r w:rsidRPr="005C6BF2">
        <w:t xml:space="preserve"> no se han identificado indicio de que alguno de los activos haya sido sujeto a la determinación del deterioro de su valor.</w:t>
      </w:r>
    </w:p>
    <w:p w14:paraId="5B6DD127" w14:textId="77777777" w:rsidR="003A0A8C" w:rsidRDefault="003A0A8C" w:rsidP="0016451A">
      <w:pPr>
        <w:spacing w:after="120" w:line="240" w:lineRule="auto"/>
        <w:rPr>
          <w:rFonts w:eastAsia="Times New Roman"/>
          <w:lang w:val="es-MX" w:eastAsia="es-CR"/>
        </w:rPr>
      </w:pPr>
      <w:r>
        <w:t xml:space="preserve">Además, se está trabajando en las políticas particulares y procedimientos que se aplicarán en la Municipalidad de Buenos Aires para lo atinente al </w:t>
      </w:r>
      <w:r w:rsidRPr="00BB6A3C">
        <w:rPr>
          <w:rFonts w:eastAsia="Times New Roman"/>
          <w:lang w:val="es-MX" w:eastAsia="es-CR"/>
        </w:rPr>
        <w:t>Deterioro del Valor de Activos No Generadores de Efectiv</w:t>
      </w:r>
      <w:r>
        <w:rPr>
          <w:rFonts w:eastAsia="Times New Roman"/>
          <w:lang w:val="es-MX" w:eastAsia="es-CR"/>
        </w:rPr>
        <w:t>o.</w:t>
      </w:r>
    </w:p>
    <w:p w14:paraId="12A134E2" w14:textId="5D3F196B" w:rsidR="003A0A8C" w:rsidRDefault="003A0A8C" w:rsidP="003A0A8C">
      <w:pPr>
        <w:spacing w:line="240" w:lineRule="auto"/>
        <w:rPr>
          <w:szCs w:val="24"/>
          <w:lang w:eastAsia="es-CR"/>
        </w:rPr>
      </w:pPr>
      <w:r>
        <w:rPr>
          <w:szCs w:val="24"/>
          <w:lang w:eastAsia="es-CR"/>
        </w:rPr>
        <w:t xml:space="preserve">De acuerdo con lo consignado en la Matriz de NICSP y Plan de Acción al </w:t>
      </w:r>
      <w:r w:rsidR="00D470B6">
        <w:rPr>
          <w:szCs w:val="24"/>
          <w:lang w:eastAsia="es-CR"/>
        </w:rPr>
        <w:t>30 de junio</w:t>
      </w:r>
      <w:r>
        <w:rPr>
          <w:szCs w:val="24"/>
          <w:lang w:eastAsia="es-CR"/>
        </w:rPr>
        <w:t xml:space="preserve"> de 2024 se encuentra pendiente de implementar lo siguiente:</w:t>
      </w:r>
    </w:p>
    <w:tbl>
      <w:tblPr>
        <w:tblW w:w="8813" w:type="dxa"/>
        <w:tblLook w:val="04A0" w:firstRow="1" w:lastRow="0" w:firstColumn="1" w:lastColumn="0" w:noHBand="0" w:noVBand="1"/>
      </w:tblPr>
      <w:tblGrid>
        <w:gridCol w:w="7503"/>
        <w:gridCol w:w="1310"/>
      </w:tblGrid>
      <w:tr w:rsidR="003A0A8C" w:rsidRPr="00274DBE" w14:paraId="3C172340" w14:textId="77777777" w:rsidTr="004653E2">
        <w:trPr>
          <w:trHeight w:val="790"/>
        </w:trPr>
        <w:tc>
          <w:tcPr>
            <w:tcW w:w="7503"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4D767367" w14:textId="77777777" w:rsidR="003A0A8C" w:rsidRPr="00274DBE" w:rsidRDefault="003A0A8C" w:rsidP="004653E2">
            <w:pPr>
              <w:spacing w:after="0" w:line="240" w:lineRule="auto"/>
              <w:jc w:val="center"/>
              <w:rPr>
                <w:rFonts w:eastAsia="Times New Roman" w:cs="Calibri"/>
                <w:b/>
                <w:bCs/>
                <w:sz w:val="20"/>
                <w:szCs w:val="20"/>
                <w:lang w:val="en-US"/>
              </w:rPr>
            </w:pPr>
            <w:r w:rsidRPr="00274DBE">
              <w:rPr>
                <w:rFonts w:eastAsia="Times New Roman" w:cs="Calibri"/>
                <w:b/>
                <w:bCs/>
                <w:sz w:val="20"/>
                <w:szCs w:val="20"/>
                <w:lang w:val="en-US"/>
              </w:rPr>
              <w:t>Actividades Pendientes de Cumplimiento</w:t>
            </w:r>
          </w:p>
        </w:tc>
        <w:tc>
          <w:tcPr>
            <w:tcW w:w="1310" w:type="dxa"/>
            <w:tcBorders>
              <w:top w:val="single" w:sz="8" w:space="0" w:color="auto"/>
              <w:left w:val="nil"/>
              <w:bottom w:val="single" w:sz="4" w:space="0" w:color="auto"/>
              <w:right w:val="single" w:sz="8" w:space="0" w:color="auto"/>
            </w:tcBorders>
            <w:shd w:val="clear" w:color="000000" w:fill="FFFFFF"/>
            <w:vAlign w:val="bottom"/>
            <w:hideMark/>
          </w:tcPr>
          <w:p w14:paraId="54362430" w14:textId="77777777" w:rsidR="003A0A8C" w:rsidRPr="00274DBE" w:rsidRDefault="003A0A8C" w:rsidP="004653E2">
            <w:pPr>
              <w:spacing w:after="0" w:line="240" w:lineRule="auto"/>
              <w:jc w:val="center"/>
              <w:rPr>
                <w:rFonts w:eastAsia="Times New Roman" w:cs="Calibri"/>
                <w:b/>
                <w:bCs/>
                <w:color w:val="000000"/>
                <w:sz w:val="20"/>
                <w:szCs w:val="20"/>
                <w:lang w:val="en-US"/>
              </w:rPr>
            </w:pPr>
            <w:r w:rsidRPr="00274DBE">
              <w:rPr>
                <w:rFonts w:eastAsia="Times New Roman" w:cs="Calibri"/>
                <w:b/>
                <w:bCs/>
                <w:color w:val="000000"/>
                <w:sz w:val="20"/>
                <w:szCs w:val="20"/>
                <w:lang w:val="en-US"/>
              </w:rPr>
              <w:t>Fecha Estimada Cumplimiento</w:t>
            </w:r>
          </w:p>
        </w:tc>
      </w:tr>
      <w:tr w:rsidR="003A0A8C" w:rsidRPr="00274DBE" w14:paraId="5D61EABB" w14:textId="77777777" w:rsidTr="004653E2">
        <w:trPr>
          <w:trHeight w:val="290"/>
        </w:trPr>
        <w:tc>
          <w:tcPr>
            <w:tcW w:w="7503" w:type="dxa"/>
            <w:tcBorders>
              <w:top w:val="nil"/>
              <w:left w:val="single" w:sz="8" w:space="0" w:color="auto"/>
              <w:bottom w:val="single" w:sz="4" w:space="0" w:color="auto"/>
              <w:right w:val="single" w:sz="4" w:space="0" w:color="auto"/>
            </w:tcBorders>
            <w:shd w:val="clear" w:color="000000" w:fill="FFFFFF"/>
            <w:hideMark/>
          </w:tcPr>
          <w:p w14:paraId="5EB0119C" w14:textId="77777777" w:rsidR="003A0A8C" w:rsidRPr="00274DBE" w:rsidRDefault="003A0A8C" w:rsidP="004653E2">
            <w:pPr>
              <w:spacing w:after="0" w:line="240" w:lineRule="auto"/>
              <w:jc w:val="left"/>
              <w:rPr>
                <w:rFonts w:ascii="Arial" w:eastAsia="Times New Roman" w:hAnsi="Arial" w:cs="Arial"/>
                <w:color w:val="000000"/>
                <w:sz w:val="20"/>
                <w:szCs w:val="20"/>
              </w:rPr>
            </w:pPr>
            <w:r w:rsidRPr="00274DBE">
              <w:rPr>
                <w:rFonts w:ascii="Arial" w:eastAsia="Times New Roman" w:hAnsi="Arial" w:cs="Arial"/>
                <w:color w:val="000000"/>
                <w:sz w:val="20"/>
                <w:szCs w:val="20"/>
              </w:rPr>
              <w:t>Identificar los activos no generadores de efectivo de la Municipalidad.</w:t>
            </w:r>
          </w:p>
        </w:tc>
        <w:tc>
          <w:tcPr>
            <w:tcW w:w="1310" w:type="dxa"/>
            <w:tcBorders>
              <w:top w:val="nil"/>
              <w:left w:val="nil"/>
              <w:bottom w:val="single" w:sz="4" w:space="0" w:color="auto"/>
              <w:right w:val="single" w:sz="8" w:space="0" w:color="auto"/>
            </w:tcBorders>
            <w:shd w:val="clear" w:color="000000" w:fill="FFFFFF"/>
            <w:noWrap/>
            <w:vAlign w:val="center"/>
            <w:hideMark/>
          </w:tcPr>
          <w:p w14:paraId="23A072D4" w14:textId="77777777" w:rsidR="003A0A8C" w:rsidRPr="00274DBE" w:rsidRDefault="003A0A8C" w:rsidP="004653E2">
            <w:pPr>
              <w:spacing w:after="0" w:line="240" w:lineRule="auto"/>
              <w:jc w:val="center"/>
              <w:rPr>
                <w:rFonts w:ascii="Arial" w:eastAsia="Times New Roman" w:hAnsi="Arial" w:cs="Arial"/>
                <w:sz w:val="20"/>
                <w:szCs w:val="20"/>
                <w:lang w:val="en-US"/>
              </w:rPr>
            </w:pPr>
            <w:r w:rsidRPr="00274DBE">
              <w:rPr>
                <w:rFonts w:ascii="Arial" w:eastAsia="Times New Roman" w:hAnsi="Arial" w:cs="Arial"/>
                <w:sz w:val="20"/>
                <w:szCs w:val="20"/>
                <w:lang w:val="en-US"/>
              </w:rPr>
              <w:t>31/12/24</w:t>
            </w:r>
          </w:p>
        </w:tc>
      </w:tr>
      <w:tr w:rsidR="003A0A8C" w:rsidRPr="00274DBE" w14:paraId="22AD8E5E" w14:textId="77777777" w:rsidTr="004653E2">
        <w:trPr>
          <w:trHeight w:val="750"/>
        </w:trPr>
        <w:tc>
          <w:tcPr>
            <w:tcW w:w="7503" w:type="dxa"/>
            <w:tcBorders>
              <w:top w:val="nil"/>
              <w:left w:val="single" w:sz="8" w:space="0" w:color="auto"/>
              <w:bottom w:val="single" w:sz="4" w:space="0" w:color="auto"/>
              <w:right w:val="single" w:sz="4" w:space="0" w:color="auto"/>
            </w:tcBorders>
            <w:shd w:val="clear" w:color="000000" w:fill="FFFFFF"/>
            <w:hideMark/>
          </w:tcPr>
          <w:p w14:paraId="1076FF39" w14:textId="77777777" w:rsidR="003A0A8C" w:rsidRPr="00274DBE" w:rsidRDefault="003A0A8C" w:rsidP="004653E2">
            <w:pPr>
              <w:spacing w:after="0" w:line="240" w:lineRule="auto"/>
              <w:rPr>
                <w:rFonts w:ascii="Arial" w:eastAsia="Times New Roman" w:hAnsi="Arial" w:cs="Arial"/>
                <w:sz w:val="20"/>
                <w:szCs w:val="20"/>
              </w:rPr>
            </w:pPr>
            <w:r w:rsidRPr="00274DBE">
              <w:rPr>
                <w:rFonts w:ascii="Arial" w:eastAsia="Times New Roman" w:hAnsi="Arial" w:cs="Arial"/>
                <w:sz w:val="20"/>
                <w:szCs w:val="20"/>
              </w:rPr>
              <w:t>Implementar la práctica de evaluar en cada fecha de presentación, si existen indicios de deterioro en los activos tangibles e intangibles no generadoras de efectivo y en caso de que se presenten realizar el calculo para determinar el valor recuperable.</w:t>
            </w:r>
          </w:p>
        </w:tc>
        <w:tc>
          <w:tcPr>
            <w:tcW w:w="1310" w:type="dxa"/>
            <w:tcBorders>
              <w:top w:val="nil"/>
              <w:left w:val="nil"/>
              <w:bottom w:val="single" w:sz="4" w:space="0" w:color="auto"/>
              <w:right w:val="single" w:sz="8" w:space="0" w:color="auto"/>
            </w:tcBorders>
            <w:shd w:val="clear" w:color="000000" w:fill="FFFFFF"/>
            <w:noWrap/>
            <w:vAlign w:val="center"/>
            <w:hideMark/>
          </w:tcPr>
          <w:p w14:paraId="4029E7C7" w14:textId="77777777" w:rsidR="003A0A8C" w:rsidRPr="00274DBE" w:rsidRDefault="003A0A8C" w:rsidP="004653E2">
            <w:pPr>
              <w:spacing w:after="0" w:line="240" w:lineRule="auto"/>
              <w:jc w:val="center"/>
              <w:rPr>
                <w:rFonts w:ascii="Arial" w:eastAsia="Times New Roman" w:hAnsi="Arial" w:cs="Arial"/>
                <w:sz w:val="20"/>
                <w:szCs w:val="20"/>
                <w:lang w:val="en-US"/>
              </w:rPr>
            </w:pPr>
            <w:r w:rsidRPr="00274DBE">
              <w:rPr>
                <w:rFonts w:ascii="Arial" w:eastAsia="Times New Roman" w:hAnsi="Arial" w:cs="Arial"/>
                <w:sz w:val="20"/>
                <w:szCs w:val="20"/>
                <w:lang w:val="en-US"/>
              </w:rPr>
              <w:t>31/12/24</w:t>
            </w:r>
          </w:p>
        </w:tc>
      </w:tr>
      <w:tr w:rsidR="003A0A8C" w:rsidRPr="00274DBE" w14:paraId="48C9178A" w14:textId="77777777" w:rsidTr="004653E2">
        <w:trPr>
          <w:trHeight w:val="500"/>
        </w:trPr>
        <w:tc>
          <w:tcPr>
            <w:tcW w:w="7503" w:type="dxa"/>
            <w:tcBorders>
              <w:top w:val="nil"/>
              <w:left w:val="single" w:sz="8" w:space="0" w:color="auto"/>
              <w:bottom w:val="single" w:sz="4" w:space="0" w:color="auto"/>
              <w:right w:val="single" w:sz="4" w:space="0" w:color="auto"/>
            </w:tcBorders>
            <w:shd w:val="clear" w:color="000000" w:fill="FFFFFF"/>
            <w:hideMark/>
          </w:tcPr>
          <w:p w14:paraId="773B7427" w14:textId="77777777" w:rsidR="003A0A8C" w:rsidRPr="00274DBE" w:rsidRDefault="003A0A8C" w:rsidP="004653E2">
            <w:pPr>
              <w:spacing w:after="0" w:line="240" w:lineRule="auto"/>
              <w:rPr>
                <w:rFonts w:ascii="Arial" w:eastAsia="Times New Roman" w:hAnsi="Arial" w:cs="Arial"/>
                <w:sz w:val="20"/>
                <w:szCs w:val="20"/>
              </w:rPr>
            </w:pPr>
            <w:r w:rsidRPr="00274DBE">
              <w:rPr>
                <w:rFonts w:ascii="Arial" w:eastAsia="Times New Roman" w:hAnsi="Arial" w:cs="Arial"/>
                <w:sz w:val="20"/>
                <w:szCs w:val="20"/>
              </w:rPr>
              <w:t xml:space="preserve">Implementar la práctica de evaluar en cada fecha de presentación,si algún indicio de que la pérdida por deterioro reconocida en periodos anteriores ya no existe o ha disminuido. </w:t>
            </w:r>
          </w:p>
        </w:tc>
        <w:tc>
          <w:tcPr>
            <w:tcW w:w="1310" w:type="dxa"/>
            <w:tcBorders>
              <w:top w:val="nil"/>
              <w:left w:val="nil"/>
              <w:bottom w:val="single" w:sz="4" w:space="0" w:color="auto"/>
              <w:right w:val="single" w:sz="8" w:space="0" w:color="auto"/>
            </w:tcBorders>
            <w:shd w:val="clear" w:color="000000" w:fill="FFFFFF"/>
            <w:noWrap/>
            <w:vAlign w:val="center"/>
            <w:hideMark/>
          </w:tcPr>
          <w:p w14:paraId="3EE3EB5D" w14:textId="77777777" w:rsidR="003A0A8C" w:rsidRPr="00274DBE" w:rsidRDefault="003A0A8C" w:rsidP="004653E2">
            <w:pPr>
              <w:spacing w:after="0" w:line="240" w:lineRule="auto"/>
              <w:jc w:val="center"/>
              <w:rPr>
                <w:rFonts w:ascii="Arial" w:eastAsia="Times New Roman" w:hAnsi="Arial" w:cs="Arial"/>
                <w:sz w:val="20"/>
                <w:szCs w:val="20"/>
                <w:lang w:val="en-US"/>
              </w:rPr>
            </w:pPr>
            <w:r w:rsidRPr="00274DBE">
              <w:rPr>
                <w:rFonts w:ascii="Arial" w:eastAsia="Times New Roman" w:hAnsi="Arial" w:cs="Arial"/>
                <w:sz w:val="20"/>
                <w:szCs w:val="20"/>
                <w:lang w:val="en-US"/>
              </w:rPr>
              <w:t>31/12/24</w:t>
            </w:r>
          </w:p>
        </w:tc>
      </w:tr>
      <w:tr w:rsidR="003A0A8C" w:rsidRPr="00274DBE" w14:paraId="75C0987E" w14:textId="77777777" w:rsidTr="004653E2">
        <w:trPr>
          <w:trHeight w:val="750"/>
        </w:trPr>
        <w:tc>
          <w:tcPr>
            <w:tcW w:w="7503" w:type="dxa"/>
            <w:tcBorders>
              <w:top w:val="nil"/>
              <w:left w:val="single" w:sz="8" w:space="0" w:color="auto"/>
              <w:bottom w:val="single" w:sz="4" w:space="0" w:color="auto"/>
              <w:right w:val="single" w:sz="4" w:space="0" w:color="auto"/>
            </w:tcBorders>
            <w:shd w:val="clear" w:color="000000" w:fill="FFFFFF"/>
            <w:hideMark/>
          </w:tcPr>
          <w:p w14:paraId="6598F148" w14:textId="77777777" w:rsidR="003A0A8C" w:rsidRPr="00274DBE" w:rsidRDefault="003A0A8C" w:rsidP="004653E2">
            <w:pPr>
              <w:spacing w:after="0" w:line="240" w:lineRule="auto"/>
              <w:rPr>
                <w:rFonts w:ascii="Arial" w:eastAsia="Times New Roman" w:hAnsi="Arial" w:cs="Arial"/>
                <w:sz w:val="20"/>
                <w:szCs w:val="20"/>
              </w:rPr>
            </w:pPr>
            <w:r w:rsidRPr="00274DBE">
              <w:rPr>
                <w:rFonts w:ascii="Arial" w:eastAsia="Times New Roman" w:hAnsi="Arial" w:cs="Arial"/>
                <w:sz w:val="20"/>
                <w:szCs w:val="20"/>
              </w:rPr>
              <w:t>Reconocer y medir la ocurrencia de una pérdida por deterioro, o la disminuciión o eliminación de una pérdida reconocida anteriormente, con base en los resultados obtenidos en la evaluación realizada en cada fecha de presentación, según indica la norma..</w:t>
            </w:r>
          </w:p>
        </w:tc>
        <w:tc>
          <w:tcPr>
            <w:tcW w:w="1310" w:type="dxa"/>
            <w:tcBorders>
              <w:top w:val="nil"/>
              <w:left w:val="nil"/>
              <w:bottom w:val="single" w:sz="4" w:space="0" w:color="auto"/>
              <w:right w:val="single" w:sz="8" w:space="0" w:color="auto"/>
            </w:tcBorders>
            <w:shd w:val="clear" w:color="000000" w:fill="FFFFFF"/>
            <w:noWrap/>
            <w:vAlign w:val="center"/>
            <w:hideMark/>
          </w:tcPr>
          <w:p w14:paraId="376D436E" w14:textId="77777777" w:rsidR="003A0A8C" w:rsidRPr="00274DBE" w:rsidRDefault="003A0A8C" w:rsidP="004653E2">
            <w:pPr>
              <w:spacing w:after="0" w:line="240" w:lineRule="auto"/>
              <w:jc w:val="center"/>
              <w:rPr>
                <w:rFonts w:ascii="Arial" w:eastAsia="Times New Roman" w:hAnsi="Arial" w:cs="Arial"/>
                <w:sz w:val="20"/>
                <w:szCs w:val="20"/>
                <w:lang w:val="en-US"/>
              </w:rPr>
            </w:pPr>
            <w:r w:rsidRPr="00274DBE">
              <w:rPr>
                <w:rFonts w:ascii="Arial" w:eastAsia="Times New Roman" w:hAnsi="Arial" w:cs="Arial"/>
                <w:sz w:val="20"/>
                <w:szCs w:val="20"/>
                <w:lang w:val="en-US"/>
              </w:rPr>
              <w:t>31/12/24</w:t>
            </w:r>
          </w:p>
        </w:tc>
      </w:tr>
      <w:tr w:rsidR="003A0A8C" w:rsidRPr="00274DBE" w14:paraId="3521BC9A" w14:textId="77777777" w:rsidTr="004653E2">
        <w:trPr>
          <w:trHeight w:val="500"/>
        </w:trPr>
        <w:tc>
          <w:tcPr>
            <w:tcW w:w="7503" w:type="dxa"/>
            <w:tcBorders>
              <w:top w:val="nil"/>
              <w:left w:val="single" w:sz="8" w:space="0" w:color="auto"/>
              <w:bottom w:val="single" w:sz="4" w:space="0" w:color="auto"/>
              <w:right w:val="single" w:sz="4" w:space="0" w:color="auto"/>
            </w:tcBorders>
            <w:shd w:val="clear" w:color="000000" w:fill="FFFFFF"/>
            <w:hideMark/>
          </w:tcPr>
          <w:p w14:paraId="78A70930" w14:textId="77777777" w:rsidR="003A0A8C" w:rsidRPr="00274DBE" w:rsidRDefault="003A0A8C" w:rsidP="004653E2">
            <w:pPr>
              <w:spacing w:after="0" w:line="240" w:lineRule="auto"/>
              <w:rPr>
                <w:rFonts w:ascii="Arial" w:eastAsia="Times New Roman" w:hAnsi="Arial" w:cs="Arial"/>
                <w:sz w:val="20"/>
                <w:szCs w:val="20"/>
              </w:rPr>
            </w:pPr>
            <w:r w:rsidRPr="00274DBE">
              <w:rPr>
                <w:rFonts w:ascii="Arial" w:eastAsia="Times New Roman" w:hAnsi="Arial" w:cs="Arial"/>
                <w:sz w:val="20"/>
                <w:szCs w:val="20"/>
              </w:rPr>
              <w:t>Determinar la información que se debe revelar en relación con los activos no generadores de efectivo.</w:t>
            </w:r>
          </w:p>
        </w:tc>
        <w:tc>
          <w:tcPr>
            <w:tcW w:w="1310" w:type="dxa"/>
            <w:tcBorders>
              <w:top w:val="nil"/>
              <w:left w:val="nil"/>
              <w:bottom w:val="single" w:sz="4" w:space="0" w:color="auto"/>
              <w:right w:val="single" w:sz="8" w:space="0" w:color="auto"/>
            </w:tcBorders>
            <w:shd w:val="clear" w:color="000000" w:fill="FFFFFF"/>
            <w:noWrap/>
            <w:vAlign w:val="center"/>
            <w:hideMark/>
          </w:tcPr>
          <w:p w14:paraId="3B187A89" w14:textId="77777777" w:rsidR="003A0A8C" w:rsidRPr="00274DBE" w:rsidRDefault="003A0A8C" w:rsidP="004653E2">
            <w:pPr>
              <w:spacing w:after="0" w:line="240" w:lineRule="auto"/>
              <w:jc w:val="center"/>
              <w:rPr>
                <w:rFonts w:ascii="Arial" w:eastAsia="Times New Roman" w:hAnsi="Arial" w:cs="Arial"/>
                <w:sz w:val="20"/>
                <w:szCs w:val="20"/>
                <w:lang w:val="en-US"/>
              </w:rPr>
            </w:pPr>
            <w:r w:rsidRPr="00274DBE">
              <w:rPr>
                <w:rFonts w:ascii="Arial" w:eastAsia="Times New Roman" w:hAnsi="Arial" w:cs="Arial"/>
                <w:sz w:val="20"/>
                <w:szCs w:val="20"/>
                <w:lang w:val="en-US"/>
              </w:rPr>
              <w:t>31/12/24</w:t>
            </w:r>
          </w:p>
        </w:tc>
      </w:tr>
      <w:tr w:rsidR="003A0A8C" w:rsidRPr="00274DBE" w14:paraId="198135FB" w14:textId="77777777" w:rsidTr="004653E2">
        <w:trPr>
          <w:trHeight w:val="500"/>
        </w:trPr>
        <w:tc>
          <w:tcPr>
            <w:tcW w:w="7503" w:type="dxa"/>
            <w:tcBorders>
              <w:top w:val="nil"/>
              <w:left w:val="single" w:sz="8" w:space="0" w:color="auto"/>
              <w:bottom w:val="single" w:sz="4" w:space="0" w:color="auto"/>
              <w:right w:val="single" w:sz="4" w:space="0" w:color="auto"/>
            </w:tcBorders>
            <w:shd w:val="clear" w:color="000000" w:fill="FFFFFF"/>
            <w:hideMark/>
          </w:tcPr>
          <w:p w14:paraId="6A4D29D3" w14:textId="77777777" w:rsidR="003A0A8C" w:rsidRPr="00274DBE" w:rsidRDefault="003A0A8C" w:rsidP="004653E2">
            <w:pPr>
              <w:spacing w:after="0" w:line="240" w:lineRule="auto"/>
              <w:rPr>
                <w:rFonts w:ascii="Arial" w:eastAsia="Times New Roman" w:hAnsi="Arial" w:cs="Arial"/>
                <w:sz w:val="20"/>
                <w:szCs w:val="20"/>
              </w:rPr>
            </w:pPr>
            <w:r w:rsidRPr="00274DBE">
              <w:rPr>
                <w:rFonts w:ascii="Arial" w:eastAsia="Times New Roman" w:hAnsi="Arial" w:cs="Arial"/>
                <w:sz w:val="20"/>
                <w:szCs w:val="20"/>
              </w:rPr>
              <w:t>Realizar las revelaciones correspondientes sobre los activos no generadores de efectivo, según lo establecido por la norma</w:t>
            </w:r>
          </w:p>
        </w:tc>
        <w:tc>
          <w:tcPr>
            <w:tcW w:w="1310" w:type="dxa"/>
            <w:tcBorders>
              <w:top w:val="nil"/>
              <w:left w:val="nil"/>
              <w:bottom w:val="single" w:sz="4" w:space="0" w:color="auto"/>
              <w:right w:val="single" w:sz="8" w:space="0" w:color="auto"/>
            </w:tcBorders>
            <w:shd w:val="clear" w:color="000000" w:fill="FFFFFF"/>
            <w:noWrap/>
            <w:vAlign w:val="center"/>
            <w:hideMark/>
          </w:tcPr>
          <w:p w14:paraId="2D4A613D" w14:textId="77777777" w:rsidR="003A0A8C" w:rsidRPr="00274DBE" w:rsidRDefault="003A0A8C" w:rsidP="004653E2">
            <w:pPr>
              <w:spacing w:after="0" w:line="240" w:lineRule="auto"/>
              <w:jc w:val="center"/>
              <w:rPr>
                <w:rFonts w:ascii="Arial" w:eastAsia="Times New Roman" w:hAnsi="Arial" w:cs="Arial"/>
                <w:sz w:val="20"/>
                <w:szCs w:val="20"/>
                <w:lang w:val="en-US"/>
              </w:rPr>
            </w:pPr>
            <w:r w:rsidRPr="00274DBE">
              <w:rPr>
                <w:rFonts w:ascii="Arial" w:eastAsia="Times New Roman" w:hAnsi="Arial" w:cs="Arial"/>
                <w:sz w:val="20"/>
                <w:szCs w:val="20"/>
                <w:lang w:val="en-US"/>
              </w:rPr>
              <w:t>31/12/24</w:t>
            </w:r>
          </w:p>
        </w:tc>
      </w:tr>
      <w:tr w:rsidR="003A0A8C" w:rsidRPr="00274DBE" w14:paraId="0FD26505" w14:textId="77777777" w:rsidTr="004653E2">
        <w:trPr>
          <w:trHeight w:val="290"/>
        </w:trPr>
        <w:tc>
          <w:tcPr>
            <w:tcW w:w="7503" w:type="dxa"/>
            <w:tcBorders>
              <w:top w:val="nil"/>
              <w:left w:val="single" w:sz="8" w:space="0" w:color="auto"/>
              <w:bottom w:val="single" w:sz="4" w:space="0" w:color="auto"/>
              <w:right w:val="single" w:sz="4" w:space="0" w:color="auto"/>
            </w:tcBorders>
            <w:shd w:val="clear" w:color="000000" w:fill="FFFFFF"/>
            <w:hideMark/>
          </w:tcPr>
          <w:p w14:paraId="0D00A957" w14:textId="77777777" w:rsidR="003A0A8C" w:rsidRPr="00274DBE" w:rsidRDefault="003A0A8C" w:rsidP="004653E2">
            <w:pPr>
              <w:spacing w:after="0" w:line="240" w:lineRule="auto"/>
              <w:rPr>
                <w:rFonts w:ascii="Arial" w:eastAsia="Times New Roman" w:hAnsi="Arial" w:cs="Arial"/>
                <w:sz w:val="20"/>
                <w:szCs w:val="20"/>
              </w:rPr>
            </w:pPr>
            <w:r w:rsidRPr="00274DBE">
              <w:rPr>
                <w:rFonts w:ascii="Arial" w:eastAsia="Times New Roman" w:hAnsi="Arial" w:cs="Arial"/>
                <w:sz w:val="20"/>
                <w:szCs w:val="20"/>
              </w:rPr>
              <w:t>Adecuación e inclusión del catálogo de cuentas con los respectivos auxiliares</w:t>
            </w:r>
          </w:p>
        </w:tc>
        <w:tc>
          <w:tcPr>
            <w:tcW w:w="1310" w:type="dxa"/>
            <w:tcBorders>
              <w:top w:val="nil"/>
              <w:left w:val="nil"/>
              <w:bottom w:val="single" w:sz="4" w:space="0" w:color="auto"/>
              <w:right w:val="single" w:sz="8" w:space="0" w:color="auto"/>
            </w:tcBorders>
            <w:shd w:val="clear" w:color="000000" w:fill="FFFFFF"/>
            <w:noWrap/>
            <w:vAlign w:val="center"/>
            <w:hideMark/>
          </w:tcPr>
          <w:p w14:paraId="6D6D2932" w14:textId="77777777" w:rsidR="003A0A8C" w:rsidRPr="00274DBE" w:rsidRDefault="003A0A8C" w:rsidP="004653E2">
            <w:pPr>
              <w:spacing w:after="0" w:line="240" w:lineRule="auto"/>
              <w:jc w:val="center"/>
              <w:rPr>
                <w:rFonts w:ascii="Arial" w:eastAsia="Times New Roman" w:hAnsi="Arial" w:cs="Arial"/>
                <w:sz w:val="20"/>
                <w:szCs w:val="20"/>
                <w:lang w:val="en-US"/>
              </w:rPr>
            </w:pPr>
            <w:r w:rsidRPr="00274DBE">
              <w:rPr>
                <w:rFonts w:ascii="Arial" w:eastAsia="Times New Roman" w:hAnsi="Arial" w:cs="Arial"/>
                <w:sz w:val="20"/>
                <w:szCs w:val="20"/>
                <w:lang w:val="en-US"/>
              </w:rPr>
              <w:t>31/12/24</w:t>
            </w:r>
          </w:p>
        </w:tc>
      </w:tr>
      <w:tr w:rsidR="003A0A8C" w:rsidRPr="00274DBE" w14:paraId="0839EACB" w14:textId="77777777" w:rsidTr="004653E2">
        <w:trPr>
          <w:trHeight w:val="300"/>
        </w:trPr>
        <w:tc>
          <w:tcPr>
            <w:tcW w:w="7503" w:type="dxa"/>
            <w:tcBorders>
              <w:top w:val="nil"/>
              <w:left w:val="single" w:sz="8" w:space="0" w:color="auto"/>
              <w:bottom w:val="single" w:sz="8" w:space="0" w:color="auto"/>
              <w:right w:val="single" w:sz="4" w:space="0" w:color="auto"/>
            </w:tcBorders>
            <w:shd w:val="clear" w:color="000000" w:fill="FFFFFF"/>
            <w:hideMark/>
          </w:tcPr>
          <w:p w14:paraId="157A1C0E" w14:textId="77777777" w:rsidR="003A0A8C" w:rsidRPr="00274DBE" w:rsidRDefault="003A0A8C" w:rsidP="004653E2">
            <w:pPr>
              <w:spacing w:after="0" w:line="240" w:lineRule="auto"/>
              <w:rPr>
                <w:rFonts w:ascii="Arial" w:eastAsia="Times New Roman" w:hAnsi="Arial" w:cs="Arial"/>
                <w:sz w:val="20"/>
                <w:szCs w:val="20"/>
              </w:rPr>
            </w:pPr>
            <w:r w:rsidRPr="00274DBE">
              <w:rPr>
                <w:rFonts w:ascii="Arial" w:eastAsia="Times New Roman" w:hAnsi="Arial" w:cs="Arial"/>
                <w:sz w:val="20"/>
                <w:szCs w:val="20"/>
              </w:rPr>
              <w:t>Elaboración e inclusión en el sistema de la Balanza de Comprobación inicial</w:t>
            </w:r>
          </w:p>
        </w:tc>
        <w:tc>
          <w:tcPr>
            <w:tcW w:w="1310" w:type="dxa"/>
            <w:tcBorders>
              <w:top w:val="nil"/>
              <w:left w:val="nil"/>
              <w:bottom w:val="single" w:sz="8" w:space="0" w:color="auto"/>
              <w:right w:val="single" w:sz="8" w:space="0" w:color="auto"/>
            </w:tcBorders>
            <w:shd w:val="clear" w:color="000000" w:fill="FFFFFF"/>
            <w:noWrap/>
            <w:vAlign w:val="center"/>
            <w:hideMark/>
          </w:tcPr>
          <w:p w14:paraId="0892F126" w14:textId="77777777" w:rsidR="003A0A8C" w:rsidRPr="00274DBE" w:rsidRDefault="003A0A8C" w:rsidP="004653E2">
            <w:pPr>
              <w:spacing w:after="0" w:line="240" w:lineRule="auto"/>
              <w:jc w:val="center"/>
              <w:rPr>
                <w:rFonts w:ascii="Arial" w:eastAsia="Times New Roman" w:hAnsi="Arial" w:cs="Arial"/>
                <w:sz w:val="20"/>
                <w:szCs w:val="20"/>
                <w:lang w:val="en-US"/>
              </w:rPr>
            </w:pPr>
            <w:r w:rsidRPr="00274DBE">
              <w:rPr>
                <w:rFonts w:ascii="Arial" w:eastAsia="Times New Roman" w:hAnsi="Arial" w:cs="Arial"/>
                <w:sz w:val="20"/>
                <w:szCs w:val="20"/>
                <w:lang w:val="en-US"/>
              </w:rPr>
              <w:t>31/12/24</w:t>
            </w:r>
          </w:p>
        </w:tc>
      </w:tr>
    </w:tbl>
    <w:p w14:paraId="30F112C3" w14:textId="77777777" w:rsidR="003A0A8C" w:rsidRDefault="003A0A8C" w:rsidP="003A0A8C">
      <w:pPr>
        <w:spacing w:after="0" w:line="240" w:lineRule="auto"/>
      </w:pPr>
    </w:p>
    <w:p w14:paraId="5684947F" w14:textId="3741B051" w:rsidR="00653C92" w:rsidRDefault="00653C92" w:rsidP="000B404C"/>
    <w:p w14:paraId="168E576B" w14:textId="10C4E4F8" w:rsidR="0051719B" w:rsidRDefault="00653C92" w:rsidP="0051719B">
      <w:pPr>
        <w:pStyle w:val="Ttulo2"/>
        <w:spacing w:after="240"/>
      </w:pPr>
      <w:bookmarkStart w:id="80" w:name="_Toc82768883"/>
      <w:bookmarkStart w:id="81" w:name="_Toc173245203"/>
      <w:r w:rsidRPr="00653C92">
        <w:rPr>
          <w:rFonts w:eastAsia="Times New Roman"/>
          <w:lang w:eastAsia="es-CR"/>
        </w:rPr>
        <w:t>NICSP 22 -REVELACIÓN DE INFORMACIÓN FINANCIERA SOBRE EL SECTOR GOBIERNO CENTRAL:</w:t>
      </w:r>
      <w:bookmarkEnd w:id="80"/>
      <w:bookmarkEnd w:id="81"/>
      <w:r w:rsidR="0051719B" w:rsidRPr="00405DBC">
        <w:t xml:space="preserve"> </w:t>
      </w:r>
    </w:p>
    <w:p w14:paraId="134F96E0" w14:textId="77777777" w:rsidR="00694299" w:rsidRDefault="0051719B" w:rsidP="00653C92">
      <w:pPr>
        <w:rPr>
          <w:rFonts w:asciiTheme="minorHAnsi" w:hAnsiTheme="minorHAnsi"/>
          <w:sz w:val="22"/>
        </w:rPr>
      </w:pPr>
      <w:r w:rsidRPr="0051719B">
        <w:t>De acuerdo con la NICSP 22 - Revelación de información financiera sobre el sector Gobierno Central, indicar si este rubro afecta SI o NO a la institución, además del porcentaje de avance en la implementación que presenta</w:t>
      </w:r>
      <w:r>
        <w:t>.</w:t>
      </w:r>
      <w:r w:rsidR="005F4A6B">
        <w:fldChar w:fldCharType="begin"/>
      </w:r>
      <w:r w:rsidR="005F4A6B">
        <w:instrText xml:space="preserve"> LINK </w:instrText>
      </w:r>
      <w:r w:rsidR="00323752">
        <w:instrText xml:space="preserve">Excel.SheetMacroEnabled.12 "D:\\MORAVIA\\INSUMOS\\NOTAS 2024\\Formato_Notas_EEFF_Vinculadas_2024\\XXXXX_PXX_202X_Anexo_Estado_Notas_Contables_Vinculadas.xlsm" NICSP_22!F9C3:F10C4 </w:instrText>
      </w:r>
      <w:r w:rsidR="005F4A6B">
        <w:instrText xml:space="preserve">\a \f 4 \h </w:instrText>
      </w:r>
      <w:r w:rsidR="005F4A6B">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694299" w:rsidRPr="00694299" w14:paraId="6A24A61E" w14:textId="77777777" w:rsidTr="00694299">
        <w:trPr>
          <w:divId w:val="1477337418"/>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70416F66" w14:textId="376AB286"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B99B6"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No</w:t>
            </w:r>
          </w:p>
        </w:tc>
      </w:tr>
      <w:tr w:rsidR="00694299" w:rsidRPr="00694299" w14:paraId="2B2D243D" w14:textId="77777777" w:rsidTr="00694299">
        <w:trPr>
          <w:divId w:val="1477337418"/>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1B05C649"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47949BE3"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 </w:t>
            </w:r>
          </w:p>
        </w:tc>
      </w:tr>
    </w:tbl>
    <w:p w14:paraId="418F6F3B" w14:textId="0F40CE2A" w:rsidR="00653C92" w:rsidRDefault="005F4A6B" w:rsidP="00653C92">
      <w:r>
        <w:fldChar w:fldCharType="end"/>
      </w:r>
    </w:p>
    <w:p w14:paraId="436088E0" w14:textId="77777777" w:rsidR="00E80180" w:rsidRPr="003516A2" w:rsidRDefault="00E80180" w:rsidP="00E80180">
      <w:pPr>
        <w:spacing w:line="240" w:lineRule="auto"/>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696FC892" w14:textId="77777777" w:rsidR="00E80180" w:rsidRDefault="00E80180" w:rsidP="00E80180">
      <w:pPr>
        <w:spacing w:line="240" w:lineRule="auto"/>
        <w:rPr>
          <w:b/>
          <w:u w:val="single"/>
        </w:rPr>
      </w:pPr>
    </w:p>
    <w:p w14:paraId="006E8905" w14:textId="77777777" w:rsidR="00E80180" w:rsidRPr="003516A2" w:rsidRDefault="00E80180" w:rsidP="00E80180">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6293D82E" w14:textId="77777777" w:rsidR="00A4051D" w:rsidRPr="002007F6" w:rsidRDefault="00A4051D" w:rsidP="00A4051D">
      <w:pPr>
        <w:spacing w:line="240" w:lineRule="auto"/>
        <w:rPr>
          <w:lang w:val="es-MX"/>
        </w:rPr>
      </w:pPr>
      <w:r>
        <w:rPr>
          <w:lang w:val="es-MX"/>
        </w:rPr>
        <w:t>________________________________________________________________________________</w:t>
      </w:r>
    </w:p>
    <w:p w14:paraId="2B8B4196" w14:textId="0A25AE13" w:rsidR="00E80180" w:rsidRPr="002007F6" w:rsidRDefault="00E80180" w:rsidP="00A4051D">
      <w:pPr>
        <w:spacing w:line="240" w:lineRule="auto"/>
        <w:rPr>
          <w:lang w:val="es-MX"/>
        </w:rPr>
      </w:pPr>
      <w:r>
        <w:rPr>
          <w:lang w:val="es-MX"/>
        </w:rPr>
        <w:t>________________________________________________________________________________</w:t>
      </w:r>
    </w:p>
    <w:p w14:paraId="2E123295" w14:textId="77777777" w:rsidR="00A4051D" w:rsidRPr="002007F6" w:rsidRDefault="00A4051D" w:rsidP="00A4051D">
      <w:pPr>
        <w:spacing w:line="240" w:lineRule="auto"/>
        <w:rPr>
          <w:lang w:val="es-MX"/>
        </w:rPr>
      </w:pPr>
      <w:r>
        <w:rPr>
          <w:lang w:val="es-MX"/>
        </w:rPr>
        <w:t>________________________________________________________________________________</w:t>
      </w:r>
    </w:p>
    <w:p w14:paraId="4AE198E1" w14:textId="77777777" w:rsidR="00A4051D" w:rsidRPr="002007F6" w:rsidRDefault="00A4051D" w:rsidP="00A4051D">
      <w:pPr>
        <w:rPr>
          <w:lang w:val="es-MX"/>
        </w:rPr>
      </w:pPr>
      <w:r>
        <w:rPr>
          <w:lang w:val="es-MX"/>
        </w:rPr>
        <w:t>________________________________________________________________________________</w:t>
      </w:r>
    </w:p>
    <w:p w14:paraId="2B9FD745" w14:textId="77777777" w:rsidR="00A4051D" w:rsidRDefault="00A4051D" w:rsidP="00A4051D">
      <w:pPr>
        <w:spacing w:after="0" w:line="240" w:lineRule="auto"/>
        <w:rPr>
          <w:b/>
          <w:color w:val="FFFFFF" w:themeColor="background1"/>
          <w:highlight w:val="darkBlue"/>
          <w:u w:val="single"/>
        </w:rPr>
      </w:pPr>
    </w:p>
    <w:p w14:paraId="1B096F2A" w14:textId="349DFA80" w:rsidR="00653C92" w:rsidRPr="00653C92" w:rsidRDefault="00653C92" w:rsidP="00653C92">
      <w:pPr>
        <w:rPr>
          <w:b/>
          <w:u w:val="single"/>
          <w:lang w:val="es-MX"/>
        </w:rPr>
      </w:pPr>
      <w:r w:rsidRPr="00E80180">
        <w:rPr>
          <w:b/>
          <w:color w:val="FFFFFF" w:themeColor="background1"/>
          <w:highlight w:val="darkBlue"/>
          <w:u w:val="single"/>
        </w:rPr>
        <w:t>Revelación Suficiente:</w:t>
      </w:r>
      <w:r w:rsidRPr="00653C92">
        <w:rPr>
          <w:b/>
          <w:u w:val="single"/>
          <w:lang w:val="es-MX"/>
        </w:rPr>
        <w:t xml:space="preserve"> </w:t>
      </w:r>
      <w:r w:rsidRPr="00653C92">
        <w:rPr>
          <w:b/>
          <w:u w:val="single"/>
        </w:rPr>
        <w:t>El ente debe cumplir con lo estipulado en revelación con forme a la NICSP, también debe considerar la política general y los párrafos incluidos en la matriz de autoevaluación referente a esta NICSP y guías de aplicación</w:t>
      </w:r>
      <w:r w:rsidRPr="00653C92">
        <w:rPr>
          <w:b/>
          <w:u w:val="single"/>
          <w:lang w:val="es-MX"/>
        </w:rPr>
        <w:t xml:space="preserve"> (ver GA NICSP 22).</w:t>
      </w:r>
    </w:p>
    <w:p w14:paraId="53A447FD" w14:textId="3C9D8928" w:rsidR="0016451A" w:rsidRPr="00146807" w:rsidRDefault="0016451A" w:rsidP="0016451A">
      <w:pPr>
        <w:rPr>
          <w:szCs w:val="24"/>
        </w:rPr>
      </w:pPr>
      <w:r w:rsidRPr="00146807">
        <w:rPr>
          <w:szCs w:val="24"/>
        </w:rPr>
        <w:t>Esta NICSP no es de aplicación a</w:t>
      </w:r>
      <w:r>
        <w:rPr>
          <w:szCs w:val="24"/>
        </w:rPr>
        <w:t xml:space="preserve"> </w:t>
      </w:r>
      <w:r w:rsidRPr="00146807">
        <w:rPr>
          <w:szCs w:val="24"/>
        </w:rPr>
        <w:t>l</w:t>
      </w:r>
      <w:r>
        <w:rPr>
          <w:szCs w:val="24"/>
        </w:rPr>
        <w:t>a</w:t>
      </w:r>
      <w:r w:rsidRPr="00146807">
        <w:rPr>
          <w:szCs w:val="24"/>
        </w:rPr>
        <w:t xml:space="preserve"> Municipal de </w:t>
      </w:r>
      <w:r>
        <w:rPr>
          <w:szCs w:val="24"/>
        </w:rPr>
        <w:t>Buenos Aires</w:t>
      </w:r>
      <w:r w:rsidRPr="00146807">
        <w:rPr>
          <w:szCs w:val="24"/>
        </w:rPr>
        <w:t xml:space="preserve">. </w:t>
      </w:r>
    </w:p>
    <w:p w14:paraId="6E15E7A5" w14:textId="53FA6357" w:rsidR="00653C92" w:rsidRDefault="00653C92" w:rsidP="000B404C"/>
    <w:p w14:paraId="47C1EC94" w14:textId="51D04C5E" w:rsidR="00653C92" w:rsidRPr="00A649A4" w:rsidRDefault="00AB6161" w:rsidP="00A649A4">
      <w:pPr>
        <w:pStyle w:val="Ttulo2"/>
        <w:spacing w:after="240"/>
        <w:rPr>
          <w:rFonts w:eastAsia="Times New Roman"/>
          <w:lang w:eastAsia="es-CR"/>
        </w:rPr>
      </w:pPr>
      <w:bookmarkStart w:id="82" w:name="_Toc82768884"/>
      <w:bookmarkStart w:id="83" w:name="_Toc173245204"/>
      <w:r w:rsidRPr="00653C92">
        <w:rPr>
          <w:rFonts w:eastAsia="Times New Roman"/>
          <w:lang w:eastAsia="es-CR"/>
        </w:rPr>
        <w:t>NICSP 23- INGRESOS DE TRANSACCIONES SIN CONTRAPRESTACIÓN (IMPUESTOS Y TRANSFERENCIAS) (DE APLICACIÓN OBLIGATORIA):</w:t>
      </w:r>
      <w:bookmarkEnd w:id="82"/>
      <w:bookmarkEnd w:id="83"/>
    </w:p>
    <w:p w14:paraId="60C7EC4F" w14:textId="77777777" w:rsidR="00694299" w:rsidRDefault="00AB6161" w:rsidP="008F4061">
      <w:pPr>
        <w:rPr>
          <w:rFonts w:asciiTheme="minorHAnsi" w:hAnsiTheme="minorHAnsi"/>
          <w:sz w:val="22"/>
        </w:rPr>
      </w:pPr>
      <w:r w:rsidRPr="00FB0858">
        <w:t xml:space="preserve">De acuerdo con la </w:t>
      </w:r>
      <w:r w:rsidRPr="000B404C">
        <w:t xml:space="preserve">De acuerdo con la </w:t>
      </w:r>
      <w:r w:rsidRPr="00AB6161">
        <w:t xml:space="preserve">NICSP 23- Ingresos </w:t>
      </w:r>
      <w:r>
        <w:t>d</w:t>
      </w:r>
      <w:r w:rsidRPr="00AB6161">
        <w:t>e Transacciones Sin Contraprestación</w:t>
      </w:r>
      <w:r>
        <w:t xml:space="preserve">, indicar si este rubro afecta SI o NO a la institución, </w:t>
      </w:r>
      <w:r w:rsidRPr="00405DBC">
        <w:t>además del porcentaje de avance</w:t>
      </w:r>
      <w:r>
        <w:t xml:space="preserve"> en la implementación</w:t>
      </w:r>
      <w:r w:rsidRPr="00405DBC">
        <w:t xml:space="preserve"> que presenta</w:t>
      </w:r>
      <w:r>
        <w:t>.</w:t>
      </w:r>
      <w:r w:rsidR="001D0A81">
        <w:fldChar w:fldCharType="begin"/>
      </w:r>
      <w:r w:rsidR="001D0A81">
        <w:instrText xml:space="preserve"> LINK </w:instrText>
      </w:r>
      <w:r w:rsidR="00323752">
        <w:instrText xml:space="preserve">Excel.SheetMacroEnabled.12 "D:\\MORAVIA\\INSUMOS\\NOTAS 2024\\Formato_Notas_EEFF_Vinculadas_2024\\XXXXX_PXX_202X_Anexo_Estado_Notas_Contables_Vinculadas.xlsm" NICSP_23!F9C3:F10C4 </w:instrText>
      </w:r>
      <w:r w:rsidR="001D0A81">
        <w:instrText xml:space="preserve">\a \f 4 \h </w:instrText>
      </w:r>
      <w:r w:rsidR="001D0A81">
        <w:fldChar w:fldCharType="separate"/>
      </w:r>
    </w:p>
    <w:tbl>
      <w:tblPr>
        <w:tblW w:w="4180" w:type="dxa"/>
        <w:tblCellMar>
          <w:left w:w="70" w:type="dxa"/>
          <w:right w:w="70" w:type="dxa"/>
        </w:tblCellMar>
        <w:tblLook w:val="04A0" w:firstRow="1" w:lastRow="0" w:firstColumn="1" w:lastColumn="0" w:noHBand="0" w:noVBand="1"/>
      </w:tblPr>
      <w:tblGrid>
        <w:gridCol w:w="2540"/>
        <w:gridCol w:w="1640"/>
      </w:tblGrid>
      <w:tr w:rsidR="00694299" w:rsidRPr="00694299" w14:paraId="6091D664" w14:textId="77777777" w:rsidTr="00694299">
        <w:trPr>
          <w:divId w:val="575671666"/>
          <w:trHeight w:val="324"/>
        </w:trPr>
        <w:tc>
          <w:tcPr>
            <w:tcW w:w="25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5332F350" w14:textId="2CB96E44"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D1F2C"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Si</w:t>
            </w:r>
          </w:p>
        </w:tc>
      </w:tr>
      <w:tr w:rsidR="00694299" w:rsidRPr="00694299" w14:paraId="41BFF690" w14:textId="77777777" w:rsidTr="00694299">
        <w:trPr>
          <w:divId w:val="575671666"/>
          <w:trHeight w:val="324"/>
        </w:trPr>
        <w:tc>
          <w:tcPr>
            <w:tcW w:w="2540" w:type="dxa"/>
            <w:tcBorders>
              <w:top w:val="nil"/>
              <w:left w:val="single" w:sz="8" w:space="0" w:color="auto"/>
              <w:bottom w:val="single" w:sz="8" w:space="0" w:color="auto"/>
              <w:right w:val="single" w:sz="8" w:space="0" w:color="auto"/>
            </w:tcBorders>
            <w:shd w:val="clear" w:color="000000" w:fill="17365D"/>
            <w:vAlign w:val="center"/>
            <w:hideMark/>
          </w:tcPr>
          <w:p w14:paraId="55DA9A63"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E619C8F" w14:textId="210379E0" w:rsidR="00694299" w:rsidRPr="00694299" w:rsidRDefault="0016451A" w:rsidP="00694299">
            <w:pPr>
              <w:spacing w:after="0" w:line="240" w:lineRule="auto"/>
              <w:jc w:val="center"/>
              <w:rPr>
                <w:rFonts w:eastAsia="Times New Roman" w:cs="Calibri"/>
                <w:color w:val="000000"/>
                <w:sz w:val="22"/>
                <w:lang w:eastAsia="es-CR"/>
              </w:rPr>
            </w:pPr>
            <w:r>
              <w:rPr>
                <w:rFonts w:eastAsia="Times New Roman" w:cs="Calibri"/>
                <w:color w:val="000000"/>
                <w:sz w:val="22"/>
                <w:lang w:eastAsia="es-CR"/>
              </w:rPr>
              <w:t>100</w:t>
            </w:r>
            <w:r w:rsidR="00694299" w:rsidRPr="00694299">
              <w:rPr>
                <w:rFonts w:eastAsia="Times New Roman" w:cs="Calibri"/>
                <w:color w:val="000000"/>
                <w:sz w:val="22"/>
                <w:lang w:eastAsia="es-CR"/>
              </w:rPr>
              <w:t>,</w:t>
            </w:r>
            <w:r>
              <w:rPr>
                <w:rFonts w:eastAsia="Times New Roman" w:cs="Calibri"/>
                <w:color w:val="000000"/>
                <w:sz w:val="22"/>
                <w:lang w:eastAsia="es-CR"/>
              </w:rPr>
              <w:t>00</w:t>
            </w:r>
            <w:r w:rsidR="00694299" w:rsidRPr="00694299">
              <w:rPr>
                <w:rFonts w:eastAsia="Times New Roman" w:cs="Calibri"/>
                <w:color w:val="000000"/>
                <w:sz w:val="22"/>
                <w:lang w:eastAsia="es-CR"/>
              </w:rPr>
              <w:t>%</w:t>
            </w:r>
          </w:p>
        </w:tc>
      </w:tr>
    </w:tbl>
    <w:p w14:paraId="503BCE93" w14:textId="164AAC0A" w:rsidR="00D67331" w:rsidRPr="00A4051D" w:rsidRDefault="001D0A81" w:rsidP="008F4061">
      <w:r>
        <w:fldChar w:fldCharType="end"/>
      </w:r>
      <w:r>
        <w:t xml:space="preserve">                                 </w:t>
      </w:r>
      <w:r w:rsidR="00AB6161" w:rsidRPr="00C35565">
        <w:rPr>
          <w:b/>
          <w:sz w:val="16"/>
          <w:szCs w:val="16"/>
          <w:lang w:eastAsia="es-CR"/>
        </w:rPr>
        <w:t>-Aplicación Obligatoria-</w:t>
      </w:r>
    </w:p>
    <w:p w14:paraId="01150F17" w14:textId="77777777" w:rsidR="00A4051D" w:rsidRDefault="00A4051D" w:rsidP="00AB6161"/>
    <w:p w14:paraId="69835350" w14:textId="77777777" w:rsidR="00A4051D" w:rsidRDefault="00A4051D" w:rsidP="00AB6161"/>
    <w:p w14:paraId="2C5ED906" w14:textId="1FF0874D" w:rsidR="00AB6161" w:rsidRPr="00AB6161" w:rsidRDefault="00AB6161" w:rsidP="00AB6161">
      <w:r w:rsidRPr="00AB6161">
        <w:t>El responsable contable debe analizar el tratamiento necesario:</w:t>
      </w:r>
    </w:p>
    <w:p w14:paraId="7BEABA6D" w14:textId="1A910732" w:rsidR="00D67331" w:rsidRDefault="00AB6161" w:rsidP="000B404C">
      <w:r w:rsidRPr="00AB6161">
        <w:t>Describir los tiempos del devengo en los principales ingresos de transacciones sin contraprestación</w:t>
      </w:r>
    </w:p>
    <w:tbl>
      <w:tblPr>
        <w:tblW w:w="9280" w:type="dxa"/>
        <w:tblLook w:val="04A0" w:firstRow="1" w:lastRow="0" w:firstColumn="1" w:lastColumn="0" w:noHBand="0" w:noVBand="1"/>
      </w:tblPr>
      <w:tblGrid>
        <w:gridCol w:w="4640"/>
        <w:gridCol w:w="4640"/>
      </w:tblGrid>
      <w:tr w:rsidR="0016451A" w:rsidRPr="00C34499" w14:paraId="14E0D82A" w14:textId="77777777" w:rsidTr="004653E2">
        <w:trPr>
          <w:trHeight w:val="290"/>
        </w:trPr>
        <w:tc>
          <w:tcPr>
            <w:tcW w:w="4640" w:type="dxa"/>
            <w:tcBorders>
              <w:top w:val="single" w:sz="8" w:space="0" w:color="auto"/>
              <w:left w:val="single" w:sz="8" w:space="0" w:color="auto"/>
              <w:bottom w:val="nil"/>
              <w:right w:val="single" w:sz="8" w:space="0" w:color="auto"/>
            </w:tcBorders>
            <w:shd w:val="clear" w:color="000000" w:fill="1F3864"/>
            <w:noWrap/>
            <w:vAlign w:val="center"/>
            <w:hideMark/>
          </w:tcPr>
          <w:p w14:paraId="28118C3E" w14:textId="77777777" w:rsidR="0016451A" w:rsidRPr="00C34499" w:rsidRDefault="0016451A" w:rsidP="004653E2">
            <w:pPr>
              <w:spacing w:after="0" w:line="240" w:lineRule="auto"/>
              <w:jc w:val="center"/>
              <w:rPr>
                <w:rFonts w:eastAsia="Times New Roman" w:cs="Calibri"/>
                <w:color w:val="FFFFFF"/>
                <w:sz w:val="22"/>
                <w:lang w:val="en-US"/>
              </w:rPr>
            </w:pPr>
            <w:r w:rsidRPr="00C34499">
              <w:rPr>
                <w:rFonts w:eastAsia="Times New Roman" w:cs="Calibri"/>
                <w:color w:val="FFFFFF"/>
                <w:sz w:val="22"/>
                <w:lang w:val="en-US"/>
              </w:rPr>
              <w:t>TIPO DE INGRESO</w:t>
            </w:r>
          </w:p>
        </w:tc>
        <w:tc>
          <w:tcPr>
            <w:tcW w:w="4640" w:type="dxa"/>
            <w:tcBorders>
              <w:top w:val="single" w:sz="8" w:space="0" w:color="auto"/>
              <w:left w:val="nil"/>
              <w:bottom w:val="nil"/>
              <w:right w:val="single" w:sz="8" w:space="0" w:color="auto"/>
            </w:tcBorders>
            <w:shd w:val="clear" w:color="000000" w:fill="1F3864"/>
            <w:noWrap/>
            <w:vAlign w:val="center"/>
            <w:hideMark/>
          </w:tcPr>
          <w:p w14:paraId="443DE0AB" w14:textId="77777777" w:rsidR="0016451A" w:rsidRPr="00C34499" w:rsidRDefault="0016451A" w:rsidP="004653E2">
            <w:pPr>
              <w:spacing w:after="0" w:line="240" w:lineRule="auto"/>
              <w:jc w:val="center"/>
              <w:rPr>
                <w:rFonts w:eastAsia="Times New Roman" w:cs="Calibri"/>
                <w:color w:val="FFFFFF"/>
                <w:sz w:val="22"/>
                <w:lang w:val="en-US"/>
              </w:rPr>
            </w:pPr>
            <w:r w:rsidRPr="00C34499">
              <w:rPr>
                <w:rFonts w:eastAsia="Times New Roman" w:cs="Calibri"/>
                <w:color w:val="FFFFFF"/>
                <w:sz w:val="22"/>
                <w:lang w:val="en-US"/>
              </w:rPr>
              <w:t>TIEMPOS DEL DEVENGO:</w:t>
            </w:r>
          </w:p>
        </w:tc>
      </w:tr>
      <w:tr w:rsidR="0016451A" w:rsidRPr="00C34499" w14:paraId="4774288A" w14:textId="77777777" w:rsidTr="004653E2">
        <w:trPr>
          <w:trHeight w:val="570"/>
        </w:trPr>
        <w:tc>
          <w:tcPr>
            <w:tcW w:w="464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10D18725" w14:textId="77777777" w:rsidR="0016451A" w:rsidRPr="00C34499" w:rsidRDefault="0016451A" w:rsidP="004653E2">
            <w:pPr>
              <w:spacing w:after="0" w:line="240" w:lineRule="auto"/>
              <w:jc w:val="left"/>
              <w:rPr>
                <w:rFonts w:eastAsia="Times New Roman" w:cs="Calibri"/>
                <w:color w:val="FFFFFF"/>
                <w:sz w:val="22"/>
                <w:lang w:val="en-US"/>
              </w:rPr>
            </w:pPr>
            <w:r w:rsidRPr="00C34499">
              <w:rPr>
                <w:rFonts w:eastAsia="Times New Roman" w:cs="Calibri"/>
                <w:color w:val="FFFFFF"/>
                <w:sz w:val="22"/>
                <w:lang w:val="en-US"/>
              </w:rPr>
              <w:t>Impuesto sobre bienes inmuebles</w:t>
            </w:r>
          </w:p>
        </w:tc>
        <w:tc>
          <w:tcPr>
            <w:tcW w:w="4640" w:type="dxa"/>
            <w:tcBorders>
              <w:top w:val="single" w:sz="8" w:space="0" w:color="auto"/>
              <w:left w:val="nil"/>
              <w:bottom w:val="single" w:sz="8" w:space="0" w:color="auto"/>
              <w:right w:val="single" w:sz="8" w:space="0" w:color="auto"/>
            </w:tcBorders>
            <w:shd w:val="clear" w:color="auto" w:fill="auto"/>
            <w:vAlign w:val="center"/>
            <w:hideMark/>
          </w:tcPr>
          <w:p w14:paraId="513A5FA5" w14:textId="77777777" w:rsidR="0016451A" w:rsidRPr="00C34499" w:rsidRDefault="0016451A" w:rsidP="004653E2">
            <w:pPr>
              <w:spacing w:after="0" w:line="240" w:lineRule="auto"/>
              <w:rPr>
                <w:rFonts w:eastAsia="Times New Roman" w:cs="Calibri"/>
                <w:color w:val="000000"/>
                <w:sz w:val="22"/>
              </w:rPr>
            </w:pPr>
            <w:r w:rsidRPr="00C34499">
              <w:rPr>
                <w:rFonts w:eastAsia="Times New Roman" w:cs="Calibri"/>
                <w:color w:val="000000"/>
                <w:sz w:val="22"/>
              </w:rPr>
              <w:t>Trimestre adelantado (marzo, junio, setiembre y diciembre)</w:t>
            </w:r>
          </w:p>
        </w:tc>
      </w:tr>
      <w:tr w:rsidR="0016451A" w:rsidRPr="00C34499" w14:paraId="21BC2D90" w14:textId="77777777" w:rsidTr="004653E2">
        <w:trPr>
          <w:trHeight w:val="1130"/>
        </w:trPr>
        <w:tc>
          <w:tcPr>
            <w:tcW w:w="4640" w:type="dxa"/>
            <w:tcBorders>
              <w:top w:val="nil"/>
              <w:left w:val="single" w:sz="8" w:space="0" w:color="auto"/>
              <w:bottom w:val="single" w:sz="8" w:space="0" w:color="auto"/>
              <w:right w:val="single" w:sz="8" w:space="0" w:color="auto"/>
            </w:tcBorders>
            <w:shd w:val="clear" w:color="000000" w:fill="1F3864"/>
            <w:vAlign w:val="center"/>
            <w:hideMark/>
          </w:tcPr>
          <w:p w14:paraId="4E4409AD" w14:textId="77777777" w:rsidR="0016451A" w:rsidRPr="00C34499" w:rsidRDefault="0016451A" w:rsidP="004653E2">
            <w:pPr>
              <w:spacing w:after="0" w:line="240" w:lineRule="auto"/>
              <w:jc w:val="left"/>
              <w:rPr>
                <w:rFonts w:eastAsia="Times New Roman" w:cs="Calibri"/>
                <w:color w:val="FFFFFF"/>
                <w:sz w:val="22"/>
              </w:rPr>
            </w:pPr>
            <w:r w:rsidRPr="00C34499">
              <w:rPr>
                <w:rFonts w:eastAsia="Times New Roman" w:cs="Calibri"/>
                <w:color w:val="FFFFFF"/>
                <w:sz w:val="22"/>
              </w:rPr>
              <w:t>Impuestos específicos sobre la producción y consumo de bienes</w:t>
            </w:r>
          </w:p>
        </w:tc>
        <w:tc>
          <w:tcPr>
            <w:tcW w:w="4640" w:type="dxa"/>
            <w:tcBorders>
              <w:top w:val="nil"/>
              <w:left w:val="nil"/>
              <w:bottom w:val="single" w:sz="8" w:space="0" w:color="auto"/>
              <w:right w:val="single" w:sz="8" w:space="0" w:color="auto"/>
            </w:tcBorders>
            <w:shd w:val="clear" w:color="auto" w:fill="auto"/>
            <w:vAlign w:val="center"/>
            <w:hideMark/>
          </w:tcPr>
          <w:p w14:paraId="23341FFF" w14:textId="0E93D98D" w:rsidR="0016451A" w:rsidRPr="00C34499" w:rsidRDefault="0016451A" w:rsidP="004653E2">
            <w:pPr>
              <w:spacing w:after="0" w:line="240" w:lineRule="auto"/>
              <w:rPr>
                <w:rFonts w:eastAsia="Times New Roman" w:cs="Calibri"/>
                <w:color w:val="000000"/>
                <w:sz w:val="22"/>
              </w:rPr>
            </w:pPr>
            <w:r w:rsidRPr="00C34499">
              <w:rPr>
                <w:rFonts w:eastAsia="Times New Roman" w:cs="Calibri"/>
                <w:color w:val="000000"/>
                <w:sz w:val="22"/>
              </w:rPr>
              <w:t xml:space="preserve">Trimestre adelantado </w:t>
            </w:r>
            <w:r w:rsidR="00A4051D" w:rsidRPr="00C34499">
              <w:rPr>
                <w:rFonts w:eastAsia="Times New Roman" w:cs="Calibri"/>
                <w:color w:val="000000"/>
                <w:sz w:val="22"/>
              </w:rPr>
              <w:t>los impuestos</w:t>
            </w:r>
            <w:r w:rsidRPr="00C34499">
              <w:rPr>
                <w:rFonts w:eastAsia="Times New Roman" w:cs="Calibri"/>
                <w:color w:val="000000"/>
                <w:sz w:val="22"/>
              </w:rPr>
              <w:t xml:space="preserve"> de patentes comerciales y licores (marzo, junio, setiembre y enero)</w:t>
            </w:r>
            <w:r w:rsidRPr="00C34499">
              <w:rPr>
                <w:rFonts w:eastAsia="Times New Roman" w:cs="Calibri"/>
                <w:color w:val="000000"/>
                <w:sz w:val="22"/>
              </w:rPr>
              <w:br/>
              <w:t>Al momento de darse el hecho generador (impuesto permisos de construcción)</w:t>
            </w:r>
          </w:p>
        </w:tc>
      </w:tr>
      <w:tr w:rsidR="0016451A" w:rsidRPr="00C34499" w14:paraId="20C9A663" w14:textId="77777777" w:rsidTr="004653E2">
        <w:trPr>
          <w:trHeight w:val="290"/>
        </w:trPr>
        <w:tc>
          <w:tcPr>
            <w:tcW w:w="4640" w:type="dxa"/>
            <w:tcBorders>
              <w:top w:val="nil"/>
              <w:left w:val="single" w:sz="8" w:space="0" w:color="auto"/>
              <w:bottom w:val="single" w:sz="8" w:space="0" w:color="auto"/>
              <w:right w:val="single" w:sz="8" w:space="0" w:color="auto"/>
            </w:tcBorders>
            <w:shd w:val="clear" w:color="000000" w:fill="1F3864"/>
            <w:noWrap/>
            <w:vAlign w:val="center"/>
            <w:hideMark/>
          </w:tcPr>
          <w:p w14:paraId="4B2CC26E" w14:textId="77777777" w:rsidR="0016451A" w:rsidRPr="00C34499" w:rsidRDefault="0016451A" w:rsidP="004653E2">
            <w:pPr>
              <w:spacing w:after="0" w:line="240" w:lineRule="auto"/>
              <w:jc w:val="left"/>
              <w:rPr>
                <w:rFonts w:eastAsia="Times New Roman" w:cs="Calibri"/>
                <w:color w:val="FFFFFF"/>
                <w:sz w:val="22"/>
                <w:lang w:val="en-US"/>
              </w:rPr>
            </w:pPr>
            <w:r w:rsidRPr="00C34499">
              <w:rPr>
                <w:rFonts w:eastAsia="Times New Roman" w:cs="Calibri"/>
                <w:color w:val="FFFFFF"/>
                <w:sz w:val="22"/>
                <w:lang w:val="en-US"/>
              </w:rPr>
              <w:t>Transferencias corrientes</w:t>
            </w:r>
          </w:p>
        </w:tc>
        <w:tc>
          <w:tcPr>
            <w:tcW w:w="4640" w:type="dxa"/>
            <w:tcBorders>
              <w:top w:val="nil"/>
              <w:left w:val="nil"/>
              <w:bottom w:val="single" w:sz="8" w:space="0" w:color="auto"/>
              <w:right w:val="single" w:sz="8" w:space="0" w:color="auto"/>
            </w:tcBorders>
            <w:shd w:val="clear" w:color="auto" w:fill="auto"/>
            <w:vAlign w:val="center"/>
            <w:hideMark/>
          </w:tcPr>
          <w:p w14:paraId="0F2BDCFE" w14:textId="77777777" w:rsidR="0016451A" w:rsidRPr="00C34499" w:rsidRDefault="0016451A" w:rsidP="004653E2">
            <w:pPr>
              <w:spacing w:after="0" w:line="240" w:lineRule="auto"/>
              <w:rPr>
                <w:rFonts w:eastAsia="Times New Roman" w:cs="Calibri"/>
                <w:color w:val="000000"/>
                <w:sz w:val="22"/>
              </w:rPr>
            </w:pPr>
            <w:r w:rsidRPr="00C34499">
              <w:rPr>
                <w:rFonts w:eastAsia="Times New Roman" w:cs="Calibri"/>
                <w:color w:val="000000"/>
                <w:sz w:val="22"/>
              </w:rPr>
              <w:t>Asignación presupuestaria del ente concedente.</w:t>
            </w:r>
          </w:p>
        </w:tc>
      </w:tr>
      <w:tr w:rsidR="0016451A" w:rsidRPr="00C34499" w14:paraId="4A688101" w14:textId="77777777" w:rsidTr="004653E2">
        <w:trPr>
          <w:trHeight w:val="290"/>
        </w:trPr>
        <w:tc>
          <w:tcPr>
            <w:tcW w:w="4640" w:type="dxa"/>
            <w:tcBorders>
              <w:top w:val="nil"/>
              <w:left w:val="single" w:sz="8" w:space="0" w:color="auto"/>
              <w:bottom w:val="single" w:sz="8" w:space="0" w:color="auto"/>
              <w:right w:val="single" w:sz="8" w:space="0" w:color="auto"/>
            </w:tcBorders>
            <w:shd w:val="clear" w:color="000000" w:fill="1F3864"/>
            <w:noWrap/>
            <w:vAlign w:val="center"/>
            <w:hideMark/>
          </w:tcPr>
          <w:p w14:paraId="7300DA96" w14:textId="77777777" w:rsidR="0016451A" w:rsidRPr="00C34499" w:rsidRDefault="0016451A" w:rsidP="004653E2">
            <w:pPr>
              <w:spacing w:after="0" w:line="240" w:lineRule="auto"/>
              <w:jc w:val="left"/>
              <w:rPr>
                <w:rFonts w:eastAsia="Times New Roman" w:cs="Calibri"/>
                <w:color w:val="FFFFFF"/>
                <w:sz w:val="22"/>
                <w:lang w:val="en-US"/>
              </w:rPr>
            </w:pPr>
            <w:r w:rsidRPr="00C34499">
              <w:rPr>
                <w:rFonts w:eastAsia="Times New Roman" w:cs="Calibri"/>
                <w:color w:val="FFFFFF"/>
                <w:sz w:val="22"/>
                <w:lang w:val="en-US"/>
              </w:rPr>
              <w:t>Transferencias de capital</w:t>
            </w:r>
          </w:p>
        </w:tc>
        <w:tc>
          <w:tcPr>
            <w:tcW w:w="4640" w:type="dxa"/>
            <w:tcBorders>
              <w:top w:val="nil"/>
              <w:left w:val="nil"/>
              <w:bottom w:val="single" w:sz="8" w:space="0" w:color="auto"/>
              <w:right w:val="single" w:sz="8" w:space="0" w:color="auto"/>
            </w:tcBorders>
            <w:shd w:val="clear" w:color="auto" w:fill="auto"/>
            <w:vAlign w:val="center"/>
            <w:hideMark/>
          </w:tcPr>
          <w:p w14:paraId="02CE964C" w14:textId="77777777" w:rsidR="0016451A" w:rsidRPr="00C34499" w:rsidRDefault="0016451A" w:rsidP="004653E2">
            <w:pPr>
              <w:spacing w:after="0" w:line="240" w:lineRule="auto"/>
              <w:rPr>
                <w:rFonts w:eastAsia="Times New Roman" w:cs="Calibri"/>
                <w:color w:val="000000"/>
                <w:sz w:val="22"/>
              </w:rPr>
            </w:pPr>
            <w:r w:rsidRPr="00C34499">
              <w:rPr>
                <w:rFonts w:eastAsia="Times New Roman" w:cs="Calibri"/>
                <w:color w:val="000000"/>
                <w:sz w:val="22"/>
              </w:rPr>
              <w:t>Asignación presupuestaria del ente concedente.</w:t>
            </w:r>
          </w:p>
        </w:tc>
      </w:tr>
    </w:tbl>
    <w:p w14:paraId="13972275" w14:textId="77777777" w:rsidR="0016451A" w:rsidRDefault="0016451A" w:rsidP="000B404C"/>
    <w:p w14:paraId="31D36B0E" w14:textId="77777777" w:rsidR="00AB6161" w:rsidRPr="00AB6161" w:rsidRDefault="00AB6161" w:rsidP="00AB6161">
      <w:pPr>
        <w:rPr>
          <w:rStyle w:val="nfasis"/>
          <w:i w:val="0"/>
        </w:rPr>
      </w:pPr>
      <w:r w:rsidRPr="00AB6161">
        <w:rPr>
          <w:rStyle w:val="nfasis"/>
          <w:i w:val="0"/>
        </w:rPr>
        <w:t>Se realizará la revelación considerando lo dispuesto en el párrafo 107 de la NICSP 23.</w:t>
      </w:r>
    </w:p>
    <w:p w14:paraId="16BEC51D" w14:textId="77777777" w:rsidR="00AB6161" w:rsidRPr="00AB6161" w:rsidRDefault="00AB6161" w:rsidP="00AB6161">
      <w:pPr>
        <w:spacing w:line="240" w:lineRule="auto"/>
        <w:rPr>
          <w:rStyle w:val="nfasis"/>
        </w:rPr>
      </w:pPr>
      <w:r w:rsidRPr="00AB6161">
        <w:rPr>
          <w:rStyle w:val="nfasis"/>
        </w:rPr>
        <w:t xml:space="preserve">“107. Una entidad revelará en las notas de los estados financieros con propósito general: </w:t>
      </w:r>
    </w:p>
    <w:p w14:paraId="2F9CB8E3" w14:textId="77777777" w:rsidR="00AB6161" w:rsidRPr="00AB6161" w:rsidRDefault="00AB6161" w:rsidP="00AB6161">
      <w:pPr>
        <w:spacing w:line="240" w:lineRule="auto"/>
        <w:rPr>
          <w:rStyle w:val="nfasis"/>
        </w:rPr>
      </w:pPr>
      <w:r w:rsidRPr="00AB6161">
        <w:rPr>
          <w:rStyle w:val="nfasis"/>
        </w:rPr>
        <w:t xml:space="preserve">(a) las políticas contables adoptadas para el reconocimiento de ingresos de transacciones sin contraprestación; </w:t>
      </w:r>
    </w:p>
    <w:p w14:paraId="2A6D9DA7" w14:textId="77777777" w:rsidR="00AB6161" w:rsidRPr="00AB6161" w:rsidRDefault="00AB6161" w:rsidP="00AB6161">
      <w:pPr>
        <w:spacing w:line="240" w:lineRule="auto"/>
        <w:rPr>
          <w:rStyle w:val="nfasis"/>
        </w:rPr>
      </w:pPr>
      <w:r w:rsidRPr="00AB6161">
        <w:rPr>
          <w:rStyle w:val="nfasis"/>
        </w:rPr>
        <w:t xml:space="preserve">(b) para las principales clases de ingresos de transacciones sin contraprestación, el criterio según el cual se ha medido el valor razonable de los recursos entrantes; </w:t>
      </w:r>
    </w:p>
    <w:p w14:paraId="4A45EA8E" w14:textId="77777777" w:rsidR="00AB6161" w:rsidRPr="00AB6161" w:rsidRDefault="00AB6161" w:rsidP="00AB6161">
      <w:pPr>
        <w:spacing w:line="240" w:lineRule="auto"/>
        <w:rPr>
          <w:rStyle w:val="nfasis"/>
        </w:rPr>
      </w:pPr>
      <w:r w:rsidRPr="00AB6161">
        <w:rPr>
          <w:rStyle w:val="nfasis"/>
        </w:rPr>
        <w:t xml:space="preserve">(c) para las principales clases de ingresos por impuestos que la entidad no puede medir con fiabilidad durante el periodo en el cual el hecho imponible tiene lugar, información sobre la naturaleza del impuesto; y </w:t>
      </w:r>
    </w:p>
    <w:p w14:paraId="77443016" w14:textId="77777777" w:rsidR="00AB6161" w:rsidRPr="00AB6161" w:rsidRDefault="00AB6161" w:rsidP="00AB6161">
      <w:pPr>
        <w:spacing w:line="240" w:lineRule="auto"/>
        <w:rPr>
          <w:rStyle w:val="nfasis"/>
        </w:rPr>
      </w:pPr>
      <w:r w:rsidRPr="00AB6161">
        <w:rPr>
          <w:rStyle w:val="nfasis"/>
        </w:rPr>
        <w:t>(d) la naturaleza y tipo de las principales clases de legados, regalos y donaciones, mostrando por separado las principales clases de bienes en especie recibidos.</w:t>
      </w:r>
    </w:p>
    <w:p w14:paraId="244ABE0E" w14:textId="468D5BE4" w:rsidR="00AB6161" w:rsidRDefault="00AB6161" w:rsidP="00AB6161">
      <w:pPr>
        <w:spacing w:line="240" w:lineRule="auto"/>
        <w:rPr>
          <w:rStyle w:val="nfasis"/>
        </w:rPr>
      </w:pPr>
      <w:r w:rsidRPr="00AB6161">
        <w:rPr>
          <w:rStyle w:val="nfasis"/>
        </w:rPr>
        <w:t>De acuerdo con la NICSP 23- Ingresos de transacciones sin contraprestación (Impuestos y Transferencias). Considerar lo dispuesto en el Artículo 25º.-Destinos específicos En cumplimiento de los artículos 15 y 25 del Título IV de la Ley aquí reglamentada, para los destinos específicos que no estén expresamente dispuestos en la Constitución Política o cuyo financiamiento no provenga de una renta especial, el Ministerio de Hacienda tendrá discrecionalidad en la asignación de los recursos de acuerdo con la situación fiscal del país y con los criterios establecidos en el artículo 23 del mencionado Título.</w:t>
      </w:r>
    </w:p>
    <w:p w14:paraId="1422EB16" w14:textId="77777777" w:rsidR="00E80180" w:rsidRDefault="00E80180" w:rsidP="00AB6161">
      <w:pPr>
        <w:spacing w:line="240" w:lineRule="auto"/>
        <w:rPr>
          <w:rStyle w:val="nfasis"/>
        </w:rPr>
      </w:pPr>
    </w:p>
    <w:p w14:paraId="5D8B5EDF" w14:textId="77777777" w:rsidR="00BC21F2" w:rsidRDefault="00E80180" w:rsidP="00E80180">
      <w:pPr>
        <w:spacing w:line="240" w:lineRule="auto"/>
        <w:rPr>
          <w:b/>
          <w:color w:val="FFFFFF" w:themeColor="background1"/>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16AC92E9" w14:textId="24197FCF" w:rsidR="00E80180" w:rsidRDefault="0016451A" w:rsidP="00E80180">
      <w:pPr>
        <w:spacing w:line="240" w:lineRule="auto"/>
        <w:rPr>
          <w:lang w:val="es-MX"/>
        </w:rPr>
      </w:pPr>
      <w:r>
        <w:rPr>
          <w:lang w:val="es-MX"/>
        </w:rPr>
        <w:t>Los</w:t>
      </w:r>
      <w:r w:rsidR="00BC21F2">
        <w:rPr>
          <w:lang w:val="es-MX"/>
        </w:rPr>
        <w:t xml:space="preserve"> flujos de entrada de recursos provenientes de una transacción que no es de intercambio que satisface la definición de un activo se reconoce como un activo cuando satisface los siguientes criterios: Es probable que los beneficios económicos futuros o el potencial de servicios asociado con el activo fluirá a la Municipalidad, y el valor del activo puede ser medido confiablemente.</w:t>
      </w:r>
    </w:p>
    <w:p w14:paraId="2E33529B" w14:textId="54D02E83" w:rsidR="00BC21F2" w:rsidRDefault="00BC21F2" w:rsidP="00E80180">
      <w:pPr>
        <w:spacing w:line="240" w:lineRule="auto"/>
        <w:rPr>
          <w:lang w:val="es-MX"/>
        </w:rPr>
      </w:pPr>
      <w:r>
        <w:rPr>
          <w:lang w:val="es-MX"/>
        </w:rPr>
        <w:t>El flujo de entrada de recursos provenientes de una transacción que no es de intercambio reconocido como un activo tiene que ser reconocido como ingresos ordinarios, excepto en la extensión en que el pasivo también sea reconocido con relación al mismo flujo de entrada.</w:t>
      </w:r>
    </w:p>
    <w:p w14:paraId="25A6828D" w14:textId="1C5559AB" w:rsidR="00F95BCF" w:rsidRDefault="00F95BCF" w:rsidP="00E80180">
      <w:pPr>
        <w:spacing w:line="240" w:lineRule="auto"/>
        <w:rPr>
          <w:lang w:val="es-MX"/>
        </w:rPr>
      </w:pPr>
      <w:r>
        <w:rPr>
          <w:lang w:val="es-MX"/>
        </w:rPr>
        <w:t>Las obligaciones presentes que surgen de una transacción que no es de intercambio que satisface la definición de pasivo se reconocerán como pasivo cuando y solo cuando cumple los siguientes criterios: es probable que se de una salida de recursos que conlleva beneficios económicos futuros o potencial de servicio para liquidar la obligación, y el monto de la obligación puede ser estimarse confiablemente.</w:t>
      </w:r>
      <w:r w:rsidR="00312EFD">
        <w:rPr>
          <w:lang w:val="es-MX"/>
        </w:rPr>
        <w:t xml:space="preserve"> La obligación debe ser reconocida cuando satisfaga los criterios de reconocimiento del pasivo.</w:t>
      </w:r>
    </w:p>
    <w:p w14:paraId="125FF492" w14:textId="2D510543" w:rsidR="00312EFD" w:rsidRDefault="00312EFD" w:rsidP="00E80180">
      <w:pPr>
        <w:spacing w:line="240" w:lineRule="auto"/>
        <w:rPr>
          <w:lang w:val="es-MX"/>
        </w:rPr>
      </w:pPr>
      <w:r>
        <w:rPr>
          <w:lang w:val="es-MX"/>
        </w:rPr>
        <w:t>La Municipalidad reconoce un activo relacionado con impuestos cuando el evento sujeto a impuestos ocurre (conforme lo establece la legislación vigente) y se satisfacen los criterios de reconocimiento de activos.</w:t>
      </w:r>
    </w:p>
    <w:p w14:paraId="57EDADD0" w14:textId="02B303C2" w:rsidR="00312EFD" w:rsidRDefault="00312EFD" w:rsidP="00E80180">
      <w:pPr>
        <w:spacing w:line="240" w:lineRule="auto"/>
        <w:rPr>
          <w:lang w:val="es-MX"/>
        </w:rPr>
      </w:pPr>
      <w:r>
        <w:rPr>
          <w:lang w:val="es-MX"/>
        </w:rPr>
        <w:t xml:space="preserve">La Municipalidad </w:t>
      </w:r>
      <w:r w:rsidR="00E82B8D">
        <w:rPr>
          <w:lang w:val="es-MX"/>
        </w:rPr>
        <w:t xml:space="preserve">reconoce activos relacionados con transferencias cuando satisfacen la definición de activo y los criterios de reconocimiento de activo. </w:t>
      </w:r>
    </w:p>
    <w:p w14:paraId="758CB24F" w14:textId="77777777" w:rsidR="00E80180" w:rsidRDefault="00E80180" w:rsidP="00E80180">
      <w:pPr>
        <w:spacing w:line="240" w:lineRule="auto"/>
        <w:rPr>
          <w:b/>
          <w:u w:val="single"/>
        </w:rPr>
      </w:pPr>
    </w:p>
    <w:p w14:paraId="31A16D59" w14:textId="77777777" w:rsidR="00E80180" w:rsidRPr="003516A2" w:rsidRDefault="00E80180" w:rsidP="00E80180">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6ED9CCA9" w14:textId="77777777" w:rsidR="00BC21F2" w:rsidRDefault="00BC21F2" w:rsidP="00BC21F2">
      <w:pPr>
        <w:spacing w:line="240" w:lineRule="auto"/>
        <w:rPr>
          <w:lang w:val="es-MX"/>
        </w:rPr>
      </w:pPr>
      <w:r w:rsidRPr="00BC21F2">
        <w:rPr>
          <w:lang w:val="es-MX"/>
        </w:rPr>
        <w:t xml:space="preserve">El activo adquirido mediante una transacción que no es de intercambio inicialmente tiene que ser </w:t>
      </w:r>
      <w:r>
        <w:rPr>
          <w:lang w:val="es-MX"/>
        </w:rPr>
        <w:t>a su valor razonable a la fecha de adquisición.</w:t>
      </w:r>
    </w:p>
    <w:p w14:paraId="3EF39467" w14:textId="3D58D776" w:rsidR="00F95BCF" w:rsidRDefault="00F95BCF" w:rsidP="00BC21F2">
      <w:pPr>
        <w:spacing w:line="240" w:lineRule="auto"/>
        <w:rPr>
          <w:lang w:val="es-MX"/>
        </w:rPr>
      </w:pPr>
      <w:r>
        <w:rPr>
          <w:lang w:val="es-MX"/>
        </w:rPr>
        <w:t>Los ingresos ordinarios provenientes transacciones que no son de intercambio tienen que ser medidos a la cantidad del incremento en los activos netos reconocidos por la Municipalidad.</w:t>
      </w:r>
    </w:p>
    <w:p w14:paraId="520B3C64" w14:textId="65F4D5B2" w:rsidR="00312EFD" w:rsidRDefault="00312EFD" w:rsidP="00BC21F2">
      <w:pPr>
        <w:spacing w:line="240" w:lineRule="auto"/>
        <w:rPr>
          <w:lang w:val="es-MX"/>
        </w:rPr>
      </w:pPr>
      <w:r>
        <w:rPr>
          <w:lang w:val="es-MX"/>
        </w:rPr>
        <w:t>La cantidad reconocida como pasivo debe ser el mejor estimado de la cantidad requerida para liquidar la obligación presente a la fecha de presentación de EEFF.</w:t>
      </w:r>
    </w:p>
    <w:p w14:paraId="2A926DF3" w14:textId="1A7FF435" w:rsidR="00312EFD" w:rsidRDefault="00312EFD" w:rsidP="00312EFD">
      <w:pPr>
        <w:spacing w:line="240" w:lineRule="auto"/>
        <w:rPr>
          <w:lang w:val="es-MX"/>
        </w:rPr>
      </w:pPr>
      <w:r>
        <w:rPr>
          <w:lang w:val="es-MX"/>
        </w:rPr>
        <w:t>Los ingresos por impuestos son medidos de acuerdo con la cantidad bruta estimada anualmente por la unidad de registro primario respectiva, estos no pueden ser reducidos de los gastos.</w:t>
      </w:r>
    </w:p>
    <w:p w14:paraId="79541ABB" w14:textId="37CC9A2B" w:rsidR="00312EFD" w:rsidRPr="00BC21F2" w:rsidRDefault="00E82B8D" w:rsidP="00BC21F2">
      <w:pPr>
        <w:spacing w:line="240" w:lineRule="auto"/>
        <w:rPr>
          <w:lang w:val="es-MX"/>
        </w:rPr>
      </w:pPr>
      <w:r>
        <w:rPr>
          <w:lang w:val="es-MX"/>
        </w:rPr>
        <w:t>El importe de los recursos percibido por concepto de transferencias se mide por el valor de los recursos transferidos contenidos en leyes, regulaciones o en un acuerdo.</w:t>
      </w:r>
    </w:p>
    <w:p w14:paraId="380B214E" w14:textId="77777777" w:rsidR="00AB6161" w:rsidRPr="00BC21F2" w:rsidRDefault="00AB6161" w:rsidP="00AB6161">
      <w:pPr>
        <w:spacing w:line="240" w:lineRule="auto"/>
        <w:rPr>
          <w:iCs/>
          <w:lang w:val="es-MX"/>
        </w:rPr>
      </w:pPr>
    </w:p>
    <w:p w14:paraId="6269E6DE" w14:textId="77777777" w:rsidR="00AB6161" w:rsidRPr="00AB6161" w:rsidRDefault="00AB6161" w:rsidP="00AB6161">
      <w:pPr>
        <w:rPr>
          <w:b/>
          <w:u w:val="single"/>
          <w:lang w:eastAsia="es-CR"/>
        </w:rPr>
      </w:pPr>
      <w:r w:rsidRPr="00E80180">
        <w:rPr>
          <w:b/>
          <w:color w:val="FFFFFF" w:themeColor="background1"/>
          <w:highlight w:val="darkBlue"/>
          <w:u w:val="single"/>
        </w:rPr>
        <w:t>Revelación Suficiente:</w:t>
      </w:r>
      <w:r w:rsidRPr="00AB6161">
        <w:rPr>
          <w:b/>
          <w:u w:val="single"/>
          <w:lang w:eastAsia="es-CR"/>
        </w:rPr>
        <w:t xml:space="preserve"> El ente debe cumplir con lo estipulado en revelación con forme a la NICSP, también debe considerar la política general y los párrafos incluidos en la matriz de autoevaluación referente a esta NICSP y guías de aplicación (Ver las GA de la NICSP 23).</w:t>
      </w:r>
    </w:p>
    <w:p w14:paraId="3FB36ABA" w14:textId="77777777" w:rsidR="0016451A" w:rsidRPr="00094A22" w:rsidRDefault="0016451A" w:rsidP="0016451A">
      <w:pPr>
        <w:spacing w:after="0" w:line="240" w:lineRule="auto"/>
        <w:rPr>
          <w:b/>
          <w:bCs/>
        </w:rPr>
      </w:pPr>
      <w:r w:rsidRPr="00094A22">
        <w:rPr>
          <w:b/>
          <w:bCs/>
        </w:rPr>
        <w:t>Principales Políticas</w:t>
      </w:r>
    </w:p>
    <w:p w14:paraId="61122946" w14:textId="77777777" w:rsidR="0016451A" w:rsidRDefault="0016451A" w:rsidP="0016451A">
      <w:pPr>
        <w:spacing w:after="0" w:line="240" w:lineRule="auto"/>
      </w:pPr>
    </w:p>
    <w:p w14:paraId="10C65C1E" w14:textId="77777777" w:rsidR="0016451A" w:rsidRDefault="0016451A" w:rsidP="0016451A">
      <w:pPr>
        <w:autoSpaceDE w:val="0"/>
        <w:autoSpaceDN w:val="0"/>
        <w:adjustRightInd w:val="0"/>
        <w:spacing w:after="0" w:line="240" w:lineRule="auto"/>
        <w:rPr>
          <w:rFonts w:cs="Arial"/>
          <w:color w:val="000000"/>
          <w:szCs w:val="24"/>
        </w:rPr>
      </w:pPr>
      <w:r w:rsidRPr="00223A26">
        <w:rPr>
          <w:rFonts w:cs="Arial"/>
          <w:color w:val="000000"/>
          <w:szCs w:val="24"/>
        </w:rPr>
        <w:t xml:space="preserve">Se reconocerá un ingreso por transacciones sin contraprestación en los siguientes casos: </w:t>
      </w:r>
    </w:p>
    <w:p w14:paraId="24C89DC7" w14:textId="77777777" w:rsidR="0016451A" w:rsidRPr="00223A26" w:rsidRDefault="0016451A" w:rsidP="0016451A">
      <w:pPr>
        <w:autoSpaceDE w:val="0"/>
        <w:autoSpaceDN w:val="0"/>
        <w:adjustRightInd w:val="0"/>
        <w:spacing w:after="0" w:line="240" w:lineRule="auto"/>
        <w:rPr>
          <w:rFonts w:cs="Arial"/>
          <w:color w:val="000000"/>
          <w:szCs w:val="24"/>
        </w:rPr>
      </w:pPr>
    </w:p>
    <w:p w14:paraId="3F599B95" w14:textId="77777777" w:rsidR="0016451A" w:rsidRPr="001A7F03" w:rsidRDefault="0016451A" w:rsidP="0016451A">
      <w:pPr>
        <w:pStyle w:val="Prrafodelista"/>
        <w:numPr>
          <w:ilvl w:val="0"/>
          <w:numId w:val="39"/>
        </w:numPr>
        <w:autoSpaceDE w:val="0"/>
        <w:autoSpaceDN w:val="0"/>
        <w:adjustRightInd w:val="0"/>
        <w:spacing w:after="20" w:line="240" w:lineRule="auto"/>
        <w:ind w:left="426"/>
        <w:rPr>
          <w:rFonts w:cs="Arial"/>
          <w:color w:val="000000"/>
          <w:szCs w:val="24"/>
        </w:rPr>
      </w:pPr>
      <w:r w:rsidRPr="001A7F03">
        <w:rPr>
          <w:rFonts w:cs="Arial"/>
          <w:color w:val="000000"/>
          <w:szCs w:val="24"/>
        </w:rPr>
        <w:t xml:space="preserve">Cuando tenga lugar una entrada de recursos reconocida como un activo (o como una disminución de un pasivo), excepto en la medida en que se reconozca también un pasivo con respecto a dicha entrada (por ejemplo, para activos transferidos con condiciones o para cobros anticipados de impuestos); </w:t>
      </w:r>
    </w:p>
    <w:p w14:paraId="6BB2771F" w14:textId="77777777" w:rsidR="0016451A" w:rsidRPr="00223A26" w:rsidRDefault="0016451A" w:rsidP="0016451A">
      <w:pPr>
        <w:numPr>
          <w:ilvl w:val="0"/>
          <w:numId w:val="39"/>
        </w:numPr>
        <w:autoSpaceDE w:val="0"/>
        <w:autoSpaceDN w:val="0"/>
        <w:adjustRightInd w:val="0"/>
        <w:spacing w:after="0" w:line="240" w:lineRule="auto"/>
        <w:ind w:left="426"/>
        <w:rPr>
          <w:rFonts w:cs="Arial"/>
          <w:color w:val="000000"/>
          <w:szCs w:val="24"/>
        </w:rPr>
      </w:pPr>
      <w:r>
        <w:rPr>
          <w:rFonts w:cs="Arial"/>
          <w:color w:val="000000"/>
          <w:szCs w:val="24"/>
        </w:rPr>
        <w:t>C</w:t>
      </w:r>
      <w:r w:rsidRPr="00223A26">
        <w:rPr>
          <w:rFonts w:cs="Arial"/>
          <w:color w:val="000000"/>
          <w:szCs w:val="24"/>
        </w:rPr>
        <w:t xml:space="preserve">uando una entidad satisfaga una obligación presente reconocida como pasivo con respecto a una entrada de recursos por una transacción sin contraprestación reconocida como activo, debiéndose reducir el importe en libros del pasivo reconocido y reconocer un monto de ingresos igual a dicha reducción (por ejemplo, cuando se cumpla una condición sobre un activo transferido o cuando tenga lugar el hecho imponible para un cobro anticipado de impuestos). </w:t>
      </w:r>
    </w:p>
    <w:p w14:paraId="3890D1DB" w14:textId="77777777" w:rsidR="0016451A" w:rsidRDefault="0016451A" w:rsidP="0016451A">
      <w:pPr>
        <w:spacing w:after="0" w:line="240" w:lineRule="auto"/>
      </w:pPr>
    </w:p>
    <w:p w14:paraId="26CF801F" w14:textId="77777777" w:rsidR="0016451A" w:rsidRPr="00223A26" w:rsidRDefault="0016451A" w:rsidP="0016451A">
      <w:pPr>
        <w:pStyle w:val="Default"/>
        <w:jc w:val="both"/>
        <w:rPr>
          <w:rFonts w:ascii="Arial" w:hAnsi="Arial" w:cs="Arial"/>
          <w:sz w:val="23"/>
          <w:szCs w:val="23"/>
        </w:rPr>
      </w:pPr>
      <w:r w:rsidRPr="001A7F03">
        <w:rPr>
          <w:rFonts w:ascii="Arial Narrow" w:hAnsi="Arial Narrow"/>
        </w:rPr>
        <w:t>Los ingresos de transacciones sin contraprestación se medirán al importe del incremento en los activos netos reconocidos por la entidad. Por su parte, u</w:t>
      </w:r>
      <w:r w:rsidRPr="00223A26">
        <w:rPr>
          <w:rFonts w:ascii="Arial Narrow" w:hAnsi="Arial Narrow" w:cs="Arial"/>
        </w:rPr>
        <w:t>n pasivo procedente de una transacción sin contraprestación es una obligación presente de actuar (hacer lo estipulado) o rendir (cumplir con una condición); es decir, se requiere a la receptora: consum</w:t>
      </w:r>
      <w:r>
        <w:rPr>
          <w:rFonts w:ascii="Arial Narrow" w:hAnsi="Arial Narrow" w:cs="Arial"/>
        </w:rPr>
        <w:t>a</w:t>
      </w:r>
      <w:r w:rsidRPr="00223A26">
        <w:rPr>
          <w:rFonts w:ascii="Arial Narrow" w:hAnsi="Arial Narrow" w:cs="Arial"/>
        </w:rPr>
        <w:t xml:space="preserve"> los beneficios económicos futuros o el potencial de servicio implícito en el activo transferido, o la devolución del activo u otros beneficios económicos futuros o potencial de servicio al transferidor, teniendo en cuenta la esencia y no sólo de la forma.</w:t>
      </w:r>
      <w:r w:rsidRPr="00223A26">
        <w:rPr>
          <w:rFonts w:ascii="Arial" w:hAnsi="Arial" w:cs="Arial"/>
          <w:sz w:val="23"/>
          <w:szCs w:val="23"/>
        </w:rPr>
        <w:t xml:space="preserve"> </w:t>
      </w:r>
    </w:p>
    <w:p w14:paraId="0172FCA2" w14:textId="77777777" w:rsidR="0016451A" w:rsidRPr="00223A26" w:rsidRDefault="0016451A" w:rsidP="0016451A">
      <w:pPr>
        <w:numPr>
          <w:ilvl w:val="1"/>
          <w:numId w:val="37"/>
        </w:numPr>
        <w:autoSpaceDE w:val="0"/>
        <w:autoSpaceDN w:val="0"/>
        <w:adjustRightInd w:val="0"/>
        <w:spacing w:after="0" w:line="240" w:lineRule="auto"/>
        <w:jc w:val="left"/>
        <w:rPr>
          <w:rFonts w:ascii="Arial" w:hAnsi="Arial" w:cs="Arial"/>
          <w:sz w:val="23"/>
          <w:szCs w:val="23"/>
        </w:rPr>
      </w:pPr>
    </w:p>
    <w:p w14:paraId="33527E63" w14:textId="77777777" w:rsidR="0016451A" w:rsidRPr="00223A26" w:rsidRDefault="0016451A" w:rsidP="0016451A">
      <w:pPr>
        <w:autoSpaceDE w:val="0"/>
        <w:autoSpaceDN w:val="0"/>
        <w:adjustRightInd w:val="0"/>
        <w:spacing w:after="0" w:line="240" w:lineRule="auto"/>
        <w:rPr>
          <w:rFonts w:cs="Arial"/>
          <w:szCs w:val="24"/>
        </w:rPr>
      </w:pPr>
      <w:r w:rsidRPr="00223A26">
        <w:rPr>
          <w:rFonts w:cs="Arial"/>
          <w:szCs w:val="24"/>
        </w:rPr>
        <w:t xml:space="preserve">Cuando </w:t>
      </w:r>
      <w:r w:rsidRPr="001A7F03">
        <w:rPr>
          <w:rFonts w:cs="Arial"/>
          <w:szCs w:val="24"/>
        </w:rPr>
        <w:t>la MBA reciba</w:t>
      </w:r>
      <w:r w:rsidRPr="00223A26">
        <w:rPr>
          <w:rFonts w:cs="Arial"/>
          <w:szCs w:val="24"/>
        </w:rPr>
        <w:t xml:space="preserve"> un recurso antes de que ocurra el hecho imponible o antes de la existencia de un acuerdo de transferencia vinculante, debe reconocer un pasivo por un importe igual a lo recibido de forma anticipada, hasta que se produzca el hecho imponible o hasta el momento en que el acuerdo se convierta en vinculante. </w:t>
      </w:r>
    </w:p>
    <w:p w14:paraId="7EC763E5" w14:textId="77777777" w:rsidR="0016451A" w:rsidRDefault="0016451A" w:rsidP="0016451A">
      <w:pPr>
        <w:spacing w:after="0" w:line="240" w:lineRule="auto"/>
      </w:pPr>
    </w:p>
    <w:p w14:paraId="42503BEB" w14:textId="77777777" w:rsidR="0016451A" w:rsidRPr="001A7F03" w:rsidRDefault="0016451A" w:rsidP="0016451A">
      <w:pPr>
        <w:spacing w:after="0" w:line="240" w:lineRule="auto"/>
        <w:rPr>
          <w:szCs w:val="24"/>
        </w:rPr>
      </w:pPr>
      <w:r w:rsidRPr="001A7F03">
        <w:rPr>
          <w:szCs w:val="24"/>
        </w:rPr>
        <w:t>En los casos en que la medición fiable no pueda realizarse hasta transcurrido un tiempo (o uno o varios ejercicios) después de ocurrido el hecho imponible, el reconocimiento del ingreso y del activo relacionado tendrá lugar cuando se cumplan los criterios respectivos, pudiendo ello recién ocurrir cuando se determine en forma cierta la cuenta a cobrar o incluso cuando se reciba el pago.</w:t>
      </w:r>
    </w:p>
    <w:p w14:paraId="1B178203" w14:textId="77777777" w:rsidR="0016451A" w:rsidRDefault="0016451A" w:rsidP="0016451A">
      <w:pPr>
        <w:spacing w:after="0" w:line="240" w:lineRule="auto"/>
      </w:pPr>
    </w:p>
    <w:p w14:paraId="6FE3662F" w14:textId="77777777" w:rsidR="0016451A" w:rsidRDefault="0016451A" w:rsidP="0016451A">
      <w:pPr>
        <w:autoSpaceDE w:val="0"/>
        <w:autoSpaceDN w:val="0"/>
        <w:adjustRightInd w:val="0"/>
        <w:spacing w:after="0" w:line="240" w:lineRule="auto"/>
        <w:rPr>
          <w:rFonts w:cs="Arial"/>
          <w:color w:val="000000"/>
          <w:szCs w:val="24"/>
        </w:rPr>
      </w:pPr>
      <w:r w:rsidRPr="00223A26">
        <w:rPr>
          <w:rFonts w:cs="Arial"/>
          <w:color w:val="000000"/>
          <w:szCs w:val="24"/>
        </w:rPr>
        <w:t>Los ingresos por impuestos deberán determinarse en términos brutos, sin reducción alguna por los gastos pagados a través del sistema impositivo, es decir, que los ingresos por impuestos deberán incrementarse en la medida de los gastos pagados a través del sistema impositivo. Así, los ingresos por impuestos y los gastos pagados a través del sistema impositivo deberán reconocerse en forma separada en el ERF, no estando permitida la compensación entre ambos conceptos.</w:t>
      </w:r>
    </w:p>
    <w:p w14:paraId="01D402A7" w14:textId="77777777" w:rsidR="0016451A" w:rsidRPr="00223A26" w:rsidRDefault="0016451A" w:rsidP="0016451A">
      <w:pPr>
        <w:autoSpaceDE w:val="0"/>
        <w:autoSpaceDN w:val="0"/>
        <w:adjustRightInd w:val="0"/>
        <w:spacing w:after="0" w:line="240" w:lineRule="auto"/>
        <w:rPr>
          <w:rFonts w:cs="Arial"/>
          <w:color w:val="000000"/>
          <w:szCs w:val="24"/>
        </w:rPr>
      </w:pPr>
    </w:p>
    <w:p w14:paraId="3D767199" w14:textId="77777777" w:rsidR="0016451A" w:rsidRDefault="0016451A" w:rsidP="0016451A">
      <w:pPr>
        <w:spacing w:after="0" w:line="240" w:lineRule="auto"/>
        <w:rPr>
          <w:rFonts w:cs="Arial"/>
          <w:color w:val="000000"/>
          <w:szCs w:val="24"/>
        </w:rPr>
      </w:pPr>
      <w:r w:rsidRPr="00C17425">
        <w:rPr>
          <w:szCs w:val="24"/>
        </w:rPr>
        <w:t>Las transferencias son entradas de recursos que generan beneficios económicos o potencial de servicio futuros provenientes de transacciones sin contraprestación distintas de impuestos</w:t>
      </w:r>
      <w:r>
        <w:rPr>
          <w:szCs w:val="24"/>
        </w:rPr>
        <w:t xml:space="preserve">. </w:t>
      </w:r>
      <w:r w:rsidRPr="00855FB2">
        <w:rPr>
          <w:rFonts w:cs="Arial"/>
          <w:color w:val="000000"/>
          <w:szCs w:val="24"/>
        </w:rPr>
        <w:t>Las transferencias cumplen la definición de activo cuando:</w:t>
      </w:r>
    </w:p>
    <w:p w14:paraId="03F0C584" w14:textId="77777777" w:rsidR="0016451A" w:rsidRPr="00855FB2" w:rsidRDefault="0016451A" w:rsidP="0016451A">
      <w:pPr>
        <w:spacing w:after="0" w:line="240" w:lineRule="auto"/>
        <w:rPr>
          <w:rFonts w:cs="Arial"/>
          <w:color w:val="000000"/>
          <w:szCs w:val="24"/>
        </w:rPr>
      </w:pPr>
      <w:r w:rsidRPr="00855FB2">
        <w:rPr>
          <w:rFonts w:cs="Arial"/>
          <w:color w:val="000000"/>
          <w:szCs w:val="24"/>
        </w:rPr>
        <w:t xml:space="preserve"> </w:t>
      </w:r>
    </w:p>
    <w:p w14:paraId="46D615A5" w14:textId="77777777" w:rsidR="0016451A" w:rsidRPr="00855FB2" w:rsidRDefault="0016451A" w:rsidP="0016451A">
      <w:pPr>
        <w:numPr>
          <w:ilvl w:val="0"/>
          <w:numId w:val="40"/>
        </w:numPr>
        <w:autoSpaceDE w:val="0"/>
        <w:autoSpaceDN w:val="0"/>
        <w:adjustRightInd w:val="0"/>
        <w:spacing w:after="20" w:line="240" w:lineRule="auto"/>
        <w:ind w:left="720" w:hanging="360"/>
        <w:rPr>
          <w:rFonts w:cs="Arial"/>
          <w:color w:val="000000"/>
          <w:szCs w:val="24"/>
        </w:rPr>
      </w:pPr>
      <w:r w:rsidRPr="00C17425">
        <w:rPr>
          <w:rFonts w:cs="Arial"/>
          <w:color w:val="000000"/>
          <w:szCs w:val="24"/>
        </w:rPr>
        <w:t>L</w:t>
      </w:r>
      <w:r w:rsidRPr="00855FB2">
        <w:rPr>
          <w:rFonts w:cs="Arial"/>
          <w:color w:val="000000"/>
          <w:szCs w:val="24"/>
        </w:rPr>
        <w:t xml:space="preserve">a entidad controla los recursos como consecuencia de un suceso pasado (la transferencia) y espera recibir beneficios económicos o potencial de servicio futuros de esos recursos; y </w:t>
      </w:r>
    </w:p>
    <w:p w14:paraId="1E0939BA" w14:textId="77777777" w:rsidR="0016451A" w:rsidRPr="00855FB2" w:rsidRDefault="0016451A" w:rsidP="0016451A">
      <w:pPr>
        <w:numPr>
          <w:ilvl w:val="0"/>
          <w:numId w:val="40"/>
        </w:numPr>
        <w:autoSpaceDE w:val="0"/>
        <w:autoSpaceDN w:val="0"/>
        <w:adjustRightInd w:val="0"/>
        <w:spacing w:after="0" w:line="240" w:lineRule="auto"/>
        <w:ind w:left="720" w:hanging="360"/>
        <w:rPr>
          <w:rFonts w:cs="Arial"/>
          <w:color w:val="000000"/>
          <w:szCs w:val="24"/>
        </w:rPr>
      </w:pPr>
      <w:r w:rsidRPr="00C17425">
        <w:rPr>
          <w:rFonts w:cs="Arial"/>
          <w:color w:val="000000"/>
          <w:szCs w:val="24"/>
        </w:rPr>
        <w:t>E</w:t>
      </w:r>
      <w:r w:rsidRPr="00855FB2">
        <w:rPr>
          <w:rFonts w:cs="Arial"/>
          <w:color w:val="000000"/>
          <w:szCs w:val="24"/>
        </w:rPr>
        <w:t xml:space="preserve">s probable que la entrada de recursos ocurra y su valor razonable pueda ser medido con fiabilidad. </w:t>
      </w:r>
    </w:p>
    <w:p w14:paraId="62F865CA" w14:textId="77777777" w:rsidR="0016451A" w:rsidRPr="00855FB2" w:rsidRDefault="0016451A" w:rsidP="0016451A">
      <w:pPr>
        <w:autoSpaceDE w:val="0"/>
        <w:autoSpaceDN w:val="0"/>
        <w:adjustRightInd w:val="0"/>
        <w:spacing w:after="0" w:line="240" w:lineRule="auto"/>
        <w:jc w:val="left"/>
        <w:rPr>
          <w:rFonts w:ascii="Arial" w:hAnsi="Arial" w:cs="Arial"/>
          <w:color w:val="000000"/>
          <w:szCs w:val="24"/>
        </w:rPr>
      </w:pPr>
    </w:p>
    <w:p w14:paraId="6E65F2B0" w14:textId="77777777" w:rsidR="0016451A" w:rsidRPr="00855FB2" w:rsidRDefault="0016451A" w:rsidP="0016451A">
      <w:pPr>
        <w:autoSpaceDE w:val="0"/>
        <w:autoSpaceDN w:val="0"/>
        <w:adjustRightInd w:val="0"/>
        <w:spacing w:after="0" w:line="240" w:lineRule="auto"/>
        <w:rPr>
          <w:rFonts w:cs="Arial"/>
          <w:color w:val="000000"/>
          <w:szCs w:val="24"/>
        </w:rPr>
      </w:pPr>
      <w:r w:rsidRPr="00855FB2">
        <w:rPr>
          <w:rFonts w:cs="Arial"/>
          <w:color w:val="000000"/>
          <w:szCs w:val="24"/>
        </w:rPr>
        <w:t xml:space="preserve">Se obtiene el control de los activos transferidos cuando los recursos han sido transferidos a la entidad o ésta tiene un derecho exigible por ley contra el transferidor. La entidad evaluará si es probable que la entrada de recursos ocurra. </w:t>
      </w:r>
    </w:p>
    <w:p w14:paraId="581C30E3" w14:textId="77777777" w:rsidR="0016451A" w:rsidRPr="00C17425" w:rsidRDefault="0016451A" w:rsidP="0016451A">
      <w:pPr>
        <w:spacing w:after="0" w:line="240" w:lineRule="auto"/>
        <w:rPr>
          <w:szCs w:val="24"/>
        </w:rPr>
      </w:pPr>
    </w:p>
    <w:p w14:paraId="4C8C647B" w14:textId="77777777" w:rsidR="0016451A" w:rsidRPr="00C17425" w:rsidRDefault="0016451A" w:rsidP="0016451A">
      <w:pPr>
        <w:spacing w:after="0" w:line="240" w:lineRule="auto"/>
        <w:rPr>
          <w:szCs w:val="24"/>
        </w:rPr>
      </w:pPr>
      <w:r w:rsidRPr="00C17425">
        <w:rPr>
          <w:szCs w:val="24"/>
        </w:rPr>
        <w:t>Los ingresos procedentes de condonaciones de deudas, así como de asunciones de pasivos por terceros, se miden por el valor razonable de la deuda condonada o asumida, que será el importe en libros de la misma.</w:t>
      </w:r>
    </w:p>
    <w:p w14:paraId="40F7B1BA" w14:textId="77777777" w:rsidR="0016451A" w:rsidRPr="00C17425" w:rsidRDefault="0016451A" w:rsidP="0016451A">
      <w:pPr>
        <w:spacing w:after="0" w:line="240" w:lineRule="auto"/>
        <w:rPr>
          <w:szCs w:val="24"/>
        </w:rPr>
      </w:pPr>
    </w:p>
    <w:p w14:paraId="796A0DC0" w14:textId="77777777" w:rsidR="0016451A" w:rsidRPr="00C17425" w:rsidRDefault="0016451A" w:rsidP="0016451A">
      <w:pPr>
        <w:spacing w:after="0" w:line="240" w:lineRule="auto"/>
        <w:rPr>
          <w:szCs w:val="24"/>
        </w:rPr>
      </w:pPr>
      <w:r w:rsidRPr="00C17425">
        <w:rPr>
          <w:szCs w:val="24"/>
        </w:rPr>
        <w:t>Los activos que surgen de multas se miden por la mejor estimación de la entrada de recursos a la entidad y se reconocen como ingresos cuando la cuenta por cobrar cumple la definición de activo y satisface los criterios para su reconocimiento como tal.</w:t>
      </w:r>
    </w:p>
    <w:p w14:paraId="749E6F24" w14:textId="77777777" w:rsidR="0016451A" w:rsidRPr="00855FB2" w:rsidRDefault="0016451A" w:rsidP="0016451A">
      <w:pPr>
        <w:autoSpaceDE w:val="0"/>
        <w:autoSpaceDN w:val="0"/>
        <w:adjustRightInd w:val="0"/>
        <w:spacing w:after="0" w:line="240" w:lineRule="auto"/>
        <w:jc w:val="left"/>
        <w:rPr>
          <w:rFonts w:ascii="Arial" w:hAnsi="Arial" w:cs="Arial"/>
          <w:color w:val="000000"/>
          <w:szCs w:val="24"/>
        </w:rPr>
      </w:pPr>
    </w:p>
    <w:p w14:paraId="7D1AA399" w14:textId="77777777" w:rsidR="0016451A" w:rsidRPr="00855FB2" w:rsidRDefault="0016451A" w:rsidP="0016451A">
      <w:pPr>
        <w:autoSpaceDE w:val="0"/>
        <w:autoSpaceDN w:val="0"/>
        <w:adjustRightInd w:val="0"/>
        <w:spacing w:after="0" w:line="240" w:lineRule="auto"/>
        <w:rPr>
          <w:rFonts w:cs="Arial"/>
          <w:color w:val="000000"/>
          <w:szCs w:val="24"/>
        </w:rPr>
      </w:pPr>
      <w:r w:rsidRPr="00855FB2">
        <w:rPr>
          <w:rFonts w:cs="Arial"/>
          <w:color w:val="000000"/>
          <w:szCs w:val="24"/>
        </w:rPr>
        <w:t xml:space="preserve">Para los regalos y donaciones de efectivo u otros activos monetarios y bienes y servicios en especie, el suceso pasado que da lugar al control de recursos que incorporan beneficios económicos futuros o potencial de servicio es, normalmente, la recepción del regalo o donación. </w:t>
      </w:r>
    </w:p>
    <w:p w14:paraId="0203179A" w14:textId="77777777" w:rsidR="0016451A" w:rsidRPr="00855FB2" w:rsidRDefault="0016451A" w:rsidP="0016451A">
      <w:pPr>
        <w:autoSpaceDE w:val="0"/>
        <w:autoSpaceDN w:val="0"/>
        <w:adjustRightInd w:val="0"/>
        <w:spacing w:after="0" w:line="240" w:lineRule="auto"/>
        <w:rPr>
          <w:rFonts w:cs="Arial"/>
          <w:color w:val="000000"/>
          <w:szCs w:val="24"/>
        </w:rPr>
      </w:pPr>
    </w:p>
    <w:p w14:paraId="4BAD1B87" w14:textId="77777777" w:rsidR="0016451A" w:rsidRDefault="0016451A" w:rsidP="0016451A">
      <w:pPr>
        <w:numPr>
          <w:ilvl w:val="1"/>
          <w:numId w:val="38"/>
        </w:numPr>
        <w:autoSpaceDE w:val="0"/>
        <w:autoSpaceDN w:val="0"/>
        <w:adjustRightInd w:val="0"/>
        <w:spacing w:after="0" w:line="240" w:lineRule="auto"/>
        <w:ind w:left="1440" w:hanging="360"/>
        <w:rPr>
          <w:rFonts w:cs="Arial"/>
          <w:color w:val="000000"/>
          <w:szCs w:val="24"/>
        </w:rPr>
      </w:pPr>
      <w:r w:rsidRPr="00855FB2">
        <w:rPr>
          <w:rFonts w:cs="Arial"/>
          <w:color w:val="000000"/>
          <w:szCs w:val="24"/>
        </w:rPr>
        <w:t>Los regalos y donaciones (distintos de los servicios en especie) se reconocen como activos e ingresos cuando:</w:t>
      </w:r>
    </w:p>
    <w:p w14:paraId="4B05E6CE" w14:textId="77777777" w:rsidR="0016451A" w:rsidRDefault="0016451A" w:rsidP="0016451A">
      <w:pPr>
        <w:numPr>
          <w:ilvl w:val="1"/>
          <w:numId w:val="38"/>
        </w:numPr>
        <w:autoSpaceDE w:val="0"/>
        <w:autoSpaceDN w:val="0"/>
        <w:adjustRightInd w:val="0"/>
        <w:spacing w:after="0" w:line="240" w:lineRule="auto"/>
        <w:ind w:left="1440" w:hanging="360"/>
        <w:rPr>
          <w:rFonts w:cs="Arial"/>
          <w:color w:val="000000"/>
          <w:szCs w:val="24"/>
        </w:rPr>
      </w:pPr>
      <w:r w:rsidRPr="00855FB2">
        <w:rPr>
          <w:rFonts w:cs="Arial"/>
          <w:color w:val="000000"/>
          <w:szCs w:val="24"/>
        </w:rPr>
        <w:t xml:space="preserve"> </w:t>
      </w:r>
    </w:p>
    <w:p w14:paraId="3C7458BC" w14:textId="77777777" w:rsidR="0016451A" w:rsidRPr="00855FB2" w:rsidRDefault="0016451A" w:rsidP="0016451A">
      <w:pPr>
        <w:numPr>
          <w:ilvl w:val="1"/>
          <w:numId w:val="41"/>
        </w:numPr>
        <w:autoSpaceDE w:val="0"/>
        <w:autoSpaceDN w:val="0"/>
        <w:adjustRightInd w:val="0"/>
        <w:spacing w:after="0" w:line="240" w:lineRule="auto"/>
        <w:rPr>
          <w:rFonts w:cs="Arial"/>
          <w:color w:val="000000"/>
          <w:szCs w:val="24"/>
        </w:rPr>
      </w:pPr>
      <w:r>
        <w:rPr>
          <w:rFonts w:cs="Arial"/>
          <w:color w:val="000000"/>
          <w:szCs w:val="24"/>
        </w:rPr>
        <w:t>E</w:t>
      </w:r>
      <w:r w:rsidRPr="00855FB2">
        <w:rPr>
          <w:rFonts w:cs="Arial"/>
          <w:color w:val="000000"/>
          <w:szCs w:val="24"/>
        </w:rPr>
        <w:t xml:space="preserve">s probable que de los mismos se obtengan beneficios económicos o potencial de servicio futuros, siendo dicho momento el de recepción de los bienes o el de existencia de un acuerdo vinculante a tales efectos; y </w:t>
      </w:r>
    </w:p>
    <w:p w14:paraId="567CED5A" w14:textId="77777777" w:rsidR="0016451A" w:rsidRPr="00855FB2" w:rsidRDefault="0016451A" w:rsidP="0016451A">
      <w:pPr>
        <w:numPr>
          <w:ilvl w:val="1"/>
          <w:numId w:val="41"/>
        </w:numPr>
        <w:autoSpaceDE w:val="0"/>
        <w:autoSpaceDN w:val="0"/>
        <w:adjustRightInd w:val="0"/>
        <w:spacing w:after="0" w:line="240" w:lineRule="auto"/>
        <w:rPr>
          <w:rFonts w:cs="Arial"/>
          <w:color w:val="000000"/>
          <w:szCs w:val="24"/>
        </w:rPr>
      </w:pPr>
      <w:r>
        <w:rPr>
          <w:rFonts w:cs="Arial"/>
          <w:color w:val="000000"/>
          <w:szCs w:val="24"/>
        </w:rPr>
        <w:t>E</w:t>
      </w:r>
      <w:r w:rsidRPr="00855FB2">
        <w:rPr>
          <w:rFonts w:cs="Arial"/>
          <w:color w:val="000000"/>
          <w:szCs w:val="24"/>
        </w:rPr>
        <w:t xml:space="preserve">l valor razonable de los activos pueda ser medido de forma fiable. </w:t>
      </w:r>
    </w:p>
    <w:p w14:paraId="11AA735C" w14:textId="77777777" w:rsidR="0016451A" w:rsidRPr="00855FB2" w:rsidRDefault="0016451A" w:rsidP="0016451A">
      <w:pPr>
        <w:numPr>
          <w:ilvl w:val="1"/>
          <w:numId w:val="38"/>
        </w:numPr>
        <w:autoSpaceDE w:val="0"/>
        <w:autoSpaceDN w:val="0"/>
        <w:adjustRightInd w:val="0"/>
        <w:spacing w:after="0" w:line="240" w:lineRule="auto"/>
        <w:ind w:left="1440" w:hanging="360"/>
        <w:rPr>
          <w:rFonts w:cs="Arial"/>
          <w:color w:val="000000"/>
          <w:szCs w:val="24"/>
        </w:rPr>
      </w:pPr>
    </w:p>
    <w:p w14:paraId="531845D8" w14:textId="77777777" w:rsidR="0016451A" w:rsidRPr="00855FB2" w:rsidRDefault="0016451A" w:rsidP="0016451A">
      <w:pPr>
        <w:autoSpaceDE w:val="0"/>
        <w:autoSpaceDN w:val="0"/>
        <w:adjustRightInd w:val="0"/>
        <w:spacing w:after="0" w:line="240" w:lineRule="auto"/>
        <w:rPr>
          <w:rFonts w:cs="Arial"/>
          <w:color w:val="000000"/>
          <w:szCs w:val="24"/>
        </w:rPr>
      </w:pPr>
      <w:r w:rsidRPr="00855FB2">
        <w:rPr>
          <w:rFonts w:cs="Arial"/>
          <w:color w:val="000000"/>
          <w:szCs w:val="24"/>
        </w:rPr>
        <w:t xml:space="preserve">Cuando se reconozcan donaciones recibidas en un ejercicio posterior al de su ocurrencia, y siempre que en dicho ejercicio (el de ocurrencia) se hubieran cumplido las condiciones para el reconocimiento como un activo, las mismas se incorporarán con cargo a resultados de ejercicios anteriores, aplicando los criterios de corrección de errores estipulados en el presente PGCN. </w:t>
      </w:r>
    </w:p>
    <w:p w14:paraId="653C5CDD" w14:textId="77777777" w:rsidR="0016451A" w:rsidRDefault="0016451A" w:rsidP="0016451A">
      <w:pPr>
        <w:spacing w:after="0" w:line="240" w:lineRule="auto"/>
        <w:rPr>
          <w:rFonts w:cs="Arial"/>
          <w:color w:val="000000"/>
          <w:szCs w:val="24"/>
        </w:rPr>
      </w:pPr>
    </w:p>
    <w:p w14:paraId="57C36B9E" w14:textId="77777777" w:rsidR="0016451A" w:rsidRPr="00C17425" w:rsidRDefault="0016451A" w:rsidP="0016451A">
      <w:pPr>
        <w:spacing w:after="0" w:line="240" w:lineRule="auto"/>
        <w:rPr>
          <w:szCs w:val="24"/>
        </w:rPr>
      </w:pPr>
      <w:r w:rsidRPr="00C17425">
        <w:rPr>
          <w:rFonts w:cs="Arial"/>
          <w:color w:val="000000"/>
          <w:szCs w:val="24"/>
        </w:rPr>
        <w:t>En cambio, si el ejercicio de reconocimiento coincide con aquél en que se cumplen las referidas condiciones (aún en el caso que se trate de un ejercicio posterior al de ocurrencia), las donaciones se reconocerán como ingresos.</w:t>
      </w:r>
    </w:p>
    <w:p w14:paraId="0EF8ED99" w14:textId="77777777" w:rsidR="0016451A" w:rsidRDefault="0016451A" w:rsidP="0016451A">
      <w:pPr>
        <w:spacing w:after="0" w:line="240" w:lineRule="auto"/>
      </w:pPr>
    </w:p>
    <w:p w14:paraId="7EBFB329" w14:textId="77777777" w:rsidR="0016451A" w:rsidRPr="00C17425" w:rsidRDefault="0016451A" w:rsidP="0016451A">
      <w:pPr>
        <w:spacing w:after="0" w:line="240" w:lineRule="auto"/>
        <w:rPr>
          <w:b/>
          <w:bCs/>
        </w:rPr>
      </w:pPr>
      <w:r w:rsidRPr="00C17425">
        <w:rPr>
          <w:b/>
          <w:bCs/>
        </w:rPr>
        <w:t>Otras Revelaciones</w:t>
      </w:r>
    </w:p>
    <w:p w14:paraId="1B492F06" w14:textId="77777777" w:rsidR="0016451A" w:rsidRDefault="0016451A" w:rsidP="0016451A">
      <w:pPr>
        <w:spacing w:after="0" w:line="240" w:lineRule="auto"/>
      </w:pPr>
    </w:p>
    <w:p w14:paraId="619DA7DC" w14:textId="77777777" w:rsidR="0016451A" w:rsidRPr="005C6BF2" w:rsidRDefault="0016451A" w:rsidP="0016451A">
      <w:pPr>
        <w:spacing w:after="0" w:line="240" w:lineRule="auto"/>
      </w:pPr>
      <w:r w:rsidRPr="005C6BF2">
        <w:t>Es preciso indicar que las cifras de ingreso se están presentando bajo el método de contabilidad de devengo. Al respecto debe señalarse, que los principales ingresos por impuestos y patentes son establecidos para su medición con base en lo establecido en la normativa legal vigente; a saber: el Impuesto sobre la propiedad de bienes inmuebles con fundamento en la Ley N° 7509. Impuesto sobre Bienes Inmuebles, las patentes conforme lo establecido en la Ley 7794, Código Municipal, y las patentes municipales con base en Reglamento de Patentes Municipales de la Municipalidad de Buenos Aires.</w:t>
      </w:r>
    </w:p>
    <w:p w14:paraId="783D82FA" w14:textId="77777777" w:rsidR="0016451A" w:rsidRPr="005C6BF2" w:rsidRDefault="0016451A" w:rsidP="0016451A">
      <w:pPr>
        <w:spacing w:after="0" w:line="240" w:lineRule="auto"/>
      </w:pPr>
    </w:p>
    <w:p w14:paraId="6AD6ABC6" w14:textId="77777777" w:rsidR="0016451A" w:rsidRPr="005C6BF2" w:rsidRDefault="0016451A" w:rsidP="0016451A">
      <w:pPr>
        <w:spacing w:after="0" w:line="240" w:lineRule="auto"/>
      </w:pPr>
      <w:r w:rsidRPr="005C6BF2">
        <w:t>Por otra parte, en el caso de las transferencias, la medición y registro se fundamenta lo consignado en la Ley de Presupuesto Ordinario y Extraordinario de la República para el Ejercicio Económico 2023, siendo las cifras que se registran contablemente las incluidas en el presupuesto inicial de la Municipalidad, que corresponde a las sumas que se prevé recibir, las que provienen fundamentalmente del Sector Público. Sobre el particular, debe indicarse que en cumplimiento de lo dispuesto en el artículo 25 de la Ley de Fortalecimiento de las Finanzas Públicas, aquellos destinos específicos que no estén expresamente dispuestos en la Constitución Política o cuyo financiamiento no provengan de una renta especial, el Ministerio de Hacienda tendrá discrecionalidad en la asignación de los recursos de acuerdo con la situación fiscal del país y con los criterios establecidos en el artículo 23 de dicha ley.</w:t>
      </w:r>
    </w:p>
    <w:p w14:paraId="4888CDFB" w14:textId="77777777" w:rsidR="0016451A" w:rsidRPr="005C6BF2" w:rsidRDefault="0016451A" w:rsidP="0016451A">
      <w:pPr>
        <w:spacing w:after="0" w:line="240" w:lineRule="auto"/>
      </w:pPr>
    </w:p>
    <w:p w14:paraId="4352E42F" w14:textId="77777777" w:rsidR="0016451A" w:rsidRPr="005C6BF2" w:rsidRDefault="0016451A" w:rsidP="0016451A">
      <w:pPr>
        <w:spacing w:after="0" w:line="240" w:lineRule="auto"/>
      </w:pPr>
      <w:r w:rsidRPr="005C6BF2">
        <w:t xml:space="preserve">Finalmente, debe mencionarse que la Municipalidad registró en el </w:t>
      </w:r>
      <w:r>
        <w:t>año</w:t>
      </w:r>
      <w:r w:rsidRPr="005C6BF2">
        <w:t xml:space="preserve"> 2023 los impuestos cuyo importe por recaudar se puede medir con fiabilidad; y que en ese mismo periodo no se percibieron legados, regalos y donaciones en especie de terceros.</w:t>
      </w:r>
    </w:p>
    <w:p w14:paraId="5E08BC49" w14:textId="77777777" w:rsidR="0016451A" w:rsidRDefault="0016451A" w:rsidP="0016451A">
      <w:pPr>
        <w:spacing w:after="0" w:line="240" w:lineRule="auto"/>
      </w:pPr>
    </w:p>
    <w:p w14:paraId="102C14DD" w14:textId="34902BFE" w:rsidR="0016451A" w:rsidRDefault="0016451A" w:rsidP="0016451A">
      <w:pPr>
        <w:spacing w:line="240" w:lineRule="auto"/>
        <w:rPr>
          <w:szCs w:val="24"/>
          <w:lang w:eastAsia="es-CR"/>
        </w:rPr>
      </w:pPr>
      <w:r>
        <w:rPr>
          <w:szCs w:val="24"/>
          <w:lang w:eastAsia="es-CR"/>
        </w:rPr>
        <w:t xml:space="preserve">De acuerdo con lo consignado en la Matriz de NICSP y Plan de Acción al </w:t>
      </w:r>
      <w:r w:rsidR="00D470B6">
        <w:rPr>
          <w:szCs w:val="24"/>
          <w:lang w:eastAsia="es-CR"/>
        </w:rPr>
        <w:t>30 de junio</w:t>
      </w:r>
      <w:r>
        <w:rPr>
          <w:szCs w:val="24"/>
          <w:lang w:eastAsia="es-CR"/>
        </w:rPr>
        <w:t xml:space="preserve"> se encuentra pendiente de implementar lo siguiente:</w:t>
      </w:r>
    </w:p>
    <w:p w14:paraId="06291BAF" w14:textId="77777777" w:rsidR="0016451A" w:rsidRDefault="0016451A" w:rsidP="0016451A">
      <w:pPr>
        <w:spacing w:after="0" w:line="240" w:lineRule="auto"/>
        <w:rPr>
          <w:szCs w:val="24"/>
          <w:lang w:eastAsia="es-CR"/>
        </w:rPr>
      </w:pPr>
    </w:p>
    <w:tbl>
      <w:tblPr>
        <w:tblW w:w="8955" w:type="dxa"/>
        <w:tblLook w:val="04A0" w:firstRow="1" w:lastRow="0" w:firstColumn="1" w:lastColumn="0" w:noHBand="0" w:noVBand="1"/>
      </w:tblPr>
      <w:tblGrid>
        <w:gridCol w:w="7645"/>
        <w:gridCol w:w="1310"/>
      </w:tblGrid>
      <w:tr w:rsidR="0016451A" w:rsidRPr="008A2790" w14:paraId="2640C06E" w14:textId="77777777" w:rsidTr="004653E2">
        <w:trPr>
          <w:trHeight w:val="685"/>
        </w:trPr>
        <w:tc>
          <w:tcPr>
            <w:tcW w:w="7645"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7217C14B" w14:textId="77777777" w:rsidR="0016451A" w:rsidRPr="008A2790" w:rsidRDefault="0016451A" w:rsidP="004653E2">
            <w:pPr>
              <w:spacing w:after="0" w:line="240" w:lineRule="auto"/>
              <w:jc w:val="center"/>
              <w:rPr>
                <w:rFonts w:eastAsia="Times New Roman" w:cs="Calibri"/>
                <w:b/>
                <w:bCs/>
                <w:sz w:val="20"/>
                <w:szCs w:val="20"/>
                <w:lang w:val="en-US"/>
              </w:rPr>
            </w:pPr>
            <w:r w:rsidRPr="008A2790">
              <w:rPr>
                <w:rFonts w:eastAsia="Times New Roman" w:cs="Calibri"/>
                <w:b/>
                <w:bCs/>
                <w:sz w:val="20"/>
                <w:szCs w:val="20"/>
                <w:lang w:val="en-US"/>
              </w:rPr>
              <w:t>Actividades Pendientes de Cumplimiento</w:t>
            </w:r>
          </w:p>
        </w:tc>
        <w:tc>
          <w:tcPr>
            <w:tcW w:w="1310" w:type="dxa"/>
            <w:tcBorders>
              <w:top w:val="single" w:sz="8" w:space="0" w:color="auto"/>
              <w:left w:val="nil"/>
              <w:bottom w:val="single" w:sz="4" w:space="0" w:color="auto"/>
              <w:right w:val="single" w:sz="8" w:space="0" w:color="auto"/>
            </w:tcBorders>
            <w:shd w:val="clear" w:color="000000" w:fill="FFFFFF"/>
            <w:vAlign w:val="bottom"/>
            <w:hideMark/>
          </w:tcPr>
          <w:p w14:paraId="145F4758" w14:textId="77777777" w:rsidR="0016451A" w:rsidRPr="008A2790" w:rsidRDefault="0016451A" w:rsidP="004653E2">
            <w:pPr>
              <w:spacing w:after="0" w:line="240" w:lineRule="auto"/>
              <w:jc w:val="center"/>
              <w:rPr>
                <w:rFonts w:eastAsia="Times New Roman" w:cs="Calibri"/>
                <w:b/>
                <w:bCs/>
                <w:color w:val="000000"/>
                <w:sz w:val="20"/>
                <w:szCs w:val="20"/>
                <w:lang w:val="en-US"/>
              </w:rPr>
            </w:pPr>
            <w:r w:rsidRPr="008A2790">
              <w:rPr>
                <w:rFonts w:eastAsia="Times New Roman" w:cs="Calibri"/>
                <w:b/>
                <w:bCs/>
                <w:color w:val="000000"/>
                <w:sz w:val="20"/>
                <w:szCs w:val="20"/>
                <w:lang w:val="en-US"/>
              </w:rPr>
              <w:t>Fecha Estimada Cumplimiento</w:t>
            </w:r>
          </w:p>
        </w:tc>
      </w:tr>
      <w:tr w:rsidR="0016451A" w:rsidRPr="008A2790" w14:paraId="553AE47D" w14:textId="77777777" w:rsidTr="004653E2">
        <w:trPr>
          <w:trHeight w:val="469"/>
        </w:trPr>
        <w:tc>
          <w:tcPr>
            <w:tcW w:w="7645" w:type="dxa"/>
            <w:tcBorders>
              <w:top w:val="nil"/>
              <w:left w:val="single" w:sz="4" w:space="0" w:color="auto"/>
              <w:bottom w:val="single" w:sz="4" w:space="0" w:color="auto"/>
              <w:right w:val="single" w:sz="4" w:space="0" w:color="auto"/>
            </w:tcBorders>
            <w:shd w:val="clear" w:color="000000" w:fill="FFFFFF"/>
            <w:hideMark/>
          </w:tcPr>
          <w:p w14:paraId="1D22FE0D" w14:textId="77777777" w:rsidR="0016451A" w:rsidRPr="008A2790" w:rsidRDefault="0016451A" w:rsidP="004653E2">
            <w:pPr>
              <w:spacing w:after="0" w:line="240" w:lineRule="auto"/>
              <w:rPr>
                <w:rFonts w:ascii="Arial" w:eastAsia="Times New Roman" w:hAnsi="Arial" w:cs="Arial"/>
                <w:sz w:val="20"/>
                <w:szCs w:val="20"/>
              </w:rPr>
            </w:pPr>
            <w:r w:rsidRPr="008A2790">
              <w:rPr>
                <w:rFonts w:ascii="Arial" w:eastAsia="Times New Roman" w:hAnsi="Arial" w:cs="Arial"/>
                <w:sz w:val="20"/>
                <w:szCs w:val="20"/>
              </w:rPr>
              <w:t>Contabilizar a la fecha de balance los importes que surgen de transacciones sin contraprestación, utilizando la mejor estimación de dicho importe.</w:t>
            </w:r>
          </w:p>
        </w:tc>
        <w:tc>
          <w:tcPr>
            <w:tcW w:w="1310" w:type="dxa"/>
            <w:tcBorders>
              <w:top w:val="nil"/>
              <w:left w:val="nil"/>
              <w:bottom w:val="single" w:sz="4" w:space="0" w:color="auto"/>
              <w:right w:val="single" w:sz="4" w:space="0" w:color="auto"/>
            </w:tcBorders>
            <w:shd w:val="clear" w:color="000000" w:fill="FFFFFF"/>
            <w:noWrap/>
            <w:vAlign w:val="center"/>
            <w:hideMark/>
          </w:tcPr>
          <w:p w14:paraId="6278F424" w14:textId="6F8CB6E4" w:rsidR="0016451A" w:rsidRPr="008A2790" w:rsidRDefault="004653E2" w:rsidP="004653E2">
            <w:pPr>
              <w:spacing w:after="0" w:line="240" w:lineRule="auto"/>
              <w:jc w:val="center"/>
              <w:rPr>
                <w:rFonts w:ascii="Arial" w:eastAsia="Times New Roman" w:hAnsi="Arial" w:cs="Arial"/>
                <w:sz w:val="20"/>
                <w:szCs w:val="20"/>
                <w:lang w:val="en-US"/>
              </w:rPr>
            </w:pPr>
            <w:r>
              <w:rPr>
                <w:rFonts w:ascii="Arial" w:eastAsia="Times New Roman" w:hAnsi="Arial" w:cs="Arial"/>
                <w:sz w:val="20"/>
                <w:szCs w:val="20"/>
                <w:lang w:val="en-US"/>
              </w:rPr>
              <w:t>31/12</w:t>
            </w:r>
            <w:r w:rsidR="0016451A" w:rsidRPr="008A2790">
              <w:rPr>
                <w:rFonts w:ascii="Arial" w:eastAsia="Times New Roman" w:hAnsi="Arial" w:cs="Arial"/>
                <w:sz w:val="20"/>
                <w:szCs w:val="20"/>
                <w:lang w:val="en-US"/>
              </w:rPr>
              <w:t>/24</w:t>
            </w:r>
          </w:p>
        </w:tc>
      </w:tr>
      <w:tr w:rsidR="004653E2" w:rsidRPr="008A2790" w14:paraId="528ED673" w14:textId="77777777" w:rsidTr="004653E2">
        <w:trPr>
          <w:trHeight w:val="500"/>
        </w:trPr>
        <w:tc>
          <w:tcPr>
            <w:tcW w:w="7645" w:type="dxa"/>
            <w:tcBorders>
              <w:top w:val="nil"/>
              <w:left w:val="single" w:sz="4" w:space="0" w:color="auto"/>
              <w:bottom w:val="single" w:sz="4" w:space="0" w:color="auto"/>
              <w:right w:val="single" w:sz="4" w:space="0" w:color="auto"/>
            </w:tcBorders>
            <w:shd w:val="clear" w:color="000000" w:fill="FFFFFF"/>
            <w:hideMark/>
          </w:tcPr>
          <w:p w14:paraId="4F5C8054" w14:textId="77777777" w:rsidR="004653E2" w:rsidRPr="008A2790" w:rsidRDefault="004653E2" w:rsidP="004653E2">
            <w:pPr>
              <w:spacing w:after="0" w:line="240" w:lineRule="auto"/>
              <w:rPr>
                <w:rFonts w:ascii="Arial" w:eastAsia="Times New Roman" w:hAnsi="Arial" w:cs="Arial"/>
                <w:sz w:val="20"/>
                <w:szCs w:val="20"/>
              </w:rPr>
            </w:pPr>
            <w:r w:rsidRPr="008A2790">
              <w:rPr>
                <w:rFonts w:ascii="Arial" w:eastAsia="Times New Roman" w:hAnsi="Arial" w:cs="Arial"/>
                <w:sz w:val="20"/>
                <w:szCs w:val="20"/>
              </w:rPr>
              <w:t>Contabilizar como un pasivo a la fecha de balance los importes que surgen de impuestos recibidos por adelantado.</w:t>
            </w:r>
          </w:p>
        </w:tc>
        <w:tc>
          <w:tcPr>
            <w:tcW w:w="1310" w:type="dxa"/>
            <w:tcBorders>
              <w:top w:val="nil"/>
              <w:left w:val="nil"/>
              <w:bottom w:val="single" w:sz="4" w:space="0" w:color="auto"/>
              <w:right w:val="single" w:sz="4" w:space="0" w:color="auto"/>
            </w:tcBorders>
            <w:shd w:val="clear" w:color="000000" w:fill="FFFFFF"/>
            <w:noWrap/>
            <w:hideMark/>
          </w:tcPr>
          <w:p w14:paraId="2AB3E617" w14:textId="3F7B22E3" w:rsidR="004653E2" w:rsidRPr="008A2790" w:rsidRDefault="004653E2" w:rsidP="004653E2">
            <w:pPr>
              <w:spacing w:after="0" w:line="240" w:lineRule="auto"/>
              <w:jc w:val="center"/>
              <w:rPr>
                <w:rFonts w:ascii="Arial" w:eastAsia="Times New Roman" w:hAnsi="Arial" w:cs="Arial"/>
                <w:sz w:val="20"/>
                <w:szCs w:val="20"/>
                <w:lang w:val="en-US"/>
              </w:rPr>
            </w:pPr>
            <w:r w:rsidRPr="005863FD">
              <w:rPr>
                <w:rFonts w:ascii="Arial" w:eastAsia="Times New Roman" w:hAnsi="Arial" w:cs="Arial"/>
                <w:sz w:val="20"/>
                <w:szCs w:val="20"/>
                <w:lang w:val="en-US"/>
              </w:rPr>
              <w:t>31/12/24</w:t>
            </w:r>
          </w:p>
        </w:tc>
      </w:tr>
      <w:tr w:rsidR="004653E2" w:rsidRPr="008A2790" w14:paraId="17BCE471" w14:textId="77777777" w:rsidTr="004653E2">
        <w:trPr>
          <w:trHeight w:val="611"/>
        </w:trPr>
        <w:tc>
          <w:tcPr>
            <w:tcW w:w="7645" w:type="dxa"/>
            <w:tcBorders>
              <w:top w:val="nil"/>
              <w:left w:val="single" w:sz="4" w:space="0" w:color="auto"/>
              <w:bottom w:val="single" w:sz="4" w:space="0" w:color="auto"/>
              <w:right w:val="single" w:sz="4" w:space="0" w:color="auto"/>
            </w:tcBorders>
            <w:shd w:val="clear" w:color="000000" w:fill="FFFFFF"/>
            <w:hideMark/>
          </w:tcPr>
          <w:p w14:paraId="4CC5C84D" w14:textId="77777777" w:rsidR="004653E2" w:rsidRPr="008A2790" w:rsidRDefault="004653E2" w:rsidP="004653E2">
            <w:pPr>
              <w:spacing w:after="0" w:line="240" w:lineRule="auto"/>
              <w:rPr>
                <w:rFonts w:ascii="Arial" w:eastAsia="Times New Roman" w:hAnsi="Arial" w:cs="Arial"/>
                <w:sz w:val="20"/>
                <w:szCs w:val="20"/>
              </w:rPr>
            </w:pPr>
            <w:r w:rsidRPr="008A2790">
              <w:rPr>
                <w:rFonts w:ascii="Arial" w:eastAsia="Times New Roman" w:hAnsi="Arial" w:cs="Arial"/>
                <w:sz w:val="20"/>
                <w:szCs w:val="20"/>
              </w:rPr>
              <w:t>Establecer los criterios para el reconocimiento como un activo de los bienes en especie recibidos, según lo establecido en la NICSP 23 al momento de su recibo, o cuando exista un acuerdo vinculante que obliga a recibirlos.</w:t>
            </w:r>
          </w:p>
        </w:tc>
        <w:tc>
          <w:tcPr>
            <w:tcW w:w="1310" w:type="dxa"/>
            <w:tcBorders>
              <w:top w:val="nil"/>
              <w:left w:val="nil"/>
              <w:bottom w:val="single" w:sz="4" w:space="0" w:color="auto"/>
              <w:right w:val="single" w:sz="4" w:space="0" w:color="auto"/>
            </w:tcBorders>
            <w:shd w:val="clear" w:color="000000" w:fill="FFFFFF"/>
            <w:noWrap/>
            <w:hideMark/>
          </w:tcPr>
          <w:p w14:paraId="5AA21999" w14:textId="0FC943C4" w:rsidR="004653E2" w:rsidRPr="008A2790" w:rsidRDefault="004653E2" w:rsidP="004653E2">
            <w:pPr>
              <w:spacing w:after="0" w:line="240" w:lineRule="auto"/>
              <w:jc w:val="center"/>
              <w:rPr>
                <w:rFonts w:ascii="Arial" w:eastAsia="Times New Roman" w:hAnsi="Arial" w:cs="Arial"/>
                <w:sz w:val="20"/>
                <w:szCs w:val="20"/>
                <w:lang w:val="en-US"/>
              </w:rPr>
            </w:pPr>
            <w:r w:rsidRPr="005863FD">
              <w:rPr>
                <w:rFonts w:ascii="Arial" w:eastAsia="Times New Roman" w:hAnsi="Arial" w:cs="Arial"/>
                <w:sz w:val="20"/>
                <w:szCs w:val="20"/>
                <w:lang w:val="en-US"/>
              </w:rPr>
              <w:t>31/12/24</w:t>
            </w:r>
          </w:p>
        </w:tc>
      </w:tr>
      <w:tr w:rsidR="0016451A" w:rsidRPr="008A2790" w14:paraId="76FB6F67" w14:textId="77777777" w:rsidTr="004653E2">
        <w:trPr>
          <w:trHeight w:val="290"/>
        </w:trPr>
        <w:tc>
          <w:tcPr>
            <w:tcW w:w="7645" w:type="dxa"/>
            <w:tcBorders>
              <w:top w:val="nil"/>
              <w:left w:val="single" w:sz="4" w:space="0" w:color="auto"/>
              <w:bottom w:val="single" w:sz="4" w:space="0" w:color="auto"/>
              <w:right w:val="single" w:sz="4" w:space="0" w:color="auto"/>
            </w:tcBorders>
            <w:shd w:val="clear" w:color="000000" w:fill="FFFFFF"/>
            <w:hideMark/>
          </w:tcPr>
          <w:p w14:paraId="44947F12" w14:textId="77777777" w:rsidR="0016451A" w:rsidRPr="008A2790" w:rsidRDefault="0016451A" w:rsidP="004653E2">
            <w:pPr>
              <w:spacing w:after="0" w:line="240" w:lineRule="auto"/>
              <w:rPr>
                <w:rFonts w:ascii="Arial" w:eastAsia="Times New Roman" w:hAnsi="Arial" w:cs="Arial"/>
                <w:sz w:val="20"/>
                <w:szCs w:val="20"/>
              </w:rPr>
            </w:pPr>
            <w:r w:rsidRPr="008A2790">
              <w:rPr>
                <w:rFonts w:ascii="Arial" w:eastAsia="Times New Roman" w:hAnsi="Arial" w:cs="Arial"/>
                <w:sz w:val="20"/>
                <w:szCs w:val="20"/>
              </w:rPr>
              <w:t>Realizar las revelaciones indicadas en la norma.</w:t>
            </w:r>
          </w:p>
        </w:tc>
        <w:tc>
          <w:tcPr>
            <w:tcW w:w="1310" w:type="dxa"/>
            <w:tcBorders>
              <w:top w:val="nil"/>
              <w:left w:val="nil"/>
              <w:bottom w:val="single" w:sz="4" w:space="0" w:color="auto"/>
              <w:right w:val="single" w:sz="4" w:space="0" w:color="auto"/>
            </w:tcBorders>
            <w:shd w:val="clear" w:color="000000" w:fill="FFFFFF"/>
            <w:noWrap/>
            <w:vAlign w:val="center"/>
            <w:hideMark/>
          </w:tcPr>
          <w:p w14:paraId="0FDB9BFA" w14:textId="20A9B2F8" w:rsidR="0016451A" w:rsidRPr="008A2790" w:rsidRDefault="004653E2" w:rsidP="004653E2">
            <w:pPr>
              <w:spacing w:after="0" w:line="240" w:lineRule="auto"/>
              <w:jc w:val="center"/>
              <w:rPr>
                <w:rFonts w:ascii="Arial" w:eastAsia="Times New Roman" w:hAnsi="Arial" w:cs="Arial"/>
                <w:sz w:val="20"/>
                <w:szCs w:val="20"/>
                <w:lang w:val="en-US"/>
              </w:rPr>
            </w:pPr>
            <w:r>
              <w:rPr>
                <w:rFonts w:ascii="Arial" w:eastAsia="Times New Roman" w:hAnsi="Arial" w:cs="Arial"/>
                <w:sz w:val="20"/>
                <w:szCs w:val="20"/>
                <w:lang w:val="en-US"/>
              </w:rPr>
              <w:t>31/12</w:t>
            </w:r>
            <w:r w:rsidRPr="008A2790">
              <w:rPr>
                <w:rFonts w:ascii="Arial" w:eastAsia="Times New Roman" w:hAnsi="Arial" w:cs="Arial"/>
                <w:sz w:val="20"/>
                <w:szCs w:val="20"/>
                <w:lang w:val="en-US"/>
              </w:rPr>
              <w:t>/24</w:t>
            </w:r>
          </w:p>
        </w:tc>
      </w:tr>
    </w:tbl>
    <w:p w14:paraId="26EDBB5B" w14:textId="77777777" w:rsidR="0016451A" w:rsidRDefault="0016451A" w:rsidP="0016451A">
      <w:pPr>
        <w:spacing w:after="0" w:line="240" w:lineRule="auto"/>
      </w:pPr>
    </w:p>
    <w:p w14:paraId="0E552F2D" w14:textId="77777777" w:rsidR="00E82B8D" w:rsidRDefault="00E82B8D" w:rsidP="00AB6161"/>
    <w:p w14:paraId="7FD47FEC" w14:textId="77777777" w:rsidR="00A4051D" w:rsidRDefault="00A4051D" w:rsidP="00AB6161"/>
    <w:p w14:paraId="1DDEA62F" w14:textId="401013D9" w:rsidR="00AB6161" w:rsidRPr="00A649A4" w:rsidRDefault="00AB6161" w:rsidP="00A649A4">
      <w:pPr>
        <w:pStyle w:val="Ttulo2"/>
        <w:spacing w:after="240"/>
        <w:rPr>
          <w:rFonts w:eastAsia="Times New Roman"/>
          <w:lang w:eastAsia="es-CR"/>
        </w:rPr>
      </w:pPr>
      <w:bookmarkStart w:id="84" w:name="_Toc54961687"/>
      <w:bookmarkStart w:id="85" w:name="_Toc82768885"/>
      <w:bookmarkStart w:id="86" w:name="_Toc173245205"/>
      <w:r w:rsidRPr="00AB6161">
        <w:rPr>
          <w:rFonts w:eastAsia="Times New Roman"/>
          <w:lang w:eastAsia="es-CR"/>
        </w:rPr>
        <w:t>NICSP 24- PRESENTACIÓN DE INFORMACIÓN DEL PRESUPUESTO EN LOS ESTADOS FINANCIEROS</w:t>
      </w:r>
      <w:bookmarkEnd w:id="84"/>
      <w:r w:rsidRPr="00AB6161">
        <w:rPr>
          <w:rFonts w:eastAsia="Times New Roman"/>
          <w:lang w:eastAsia="es-CR"/>
        </w:rPr>
        <w:t xml:space="preserve"> (DE APLICACIÓN OBLIGATORIA):</w:t>
      </w:r>
      <w:bookmarkEnd w:id="85"/>
      <w:bookmarkEnd w:id="86"/>
      <w:r w:rsidRPr="00AB6161">
        <w:rPr>
          <w:rFonts w:eastAsia="Times New Roman"/>
          <w:lang w:eastAsia="es-CR"/>
        </w:rPr>
        <w:t xml:space="preserve"> </w:t>
      </w:r>
    </w:p>
    <w:p w14:paraId="28459015" w14:textId="77777777" w:rsidR="00694299" w:rsidRDefault="00AB6161" w:rsidP="00C5447D">
      <w:pPr>
        <w:rPr>
          <w:rFonts w:asciiTheme="minorHAnsi" w:hAnsiTheme="minorHAnsi"/>
          <w:sz w:val="22"/>
        </w:rPr>
      </w:pPr>
      <w:r w:rsidRPr="00FB0858">
        <w:t xml:space="preserve">De acuerdo con la </w:t>
      </w:r>
      <w:r w:rsidRPr="000B404C">
        <w:t xml:space="preserve">De acuerdo con la </w:t>
      </w:r>
      <w:r w:rsidRPr="00AB6161">
        <w:t xml:space="preserve">NICSP 24 </w:t>
      </w:r>
      <w:r>
        <w:t xml:space="preserve">- </w:t>
      </w:r>
      <w:r w:rsidRPr="00AB6161">
        <w:t>Presentación de información del presupuesto en los estados financieros</w:t>
      </w:r>
      <w:r>
        <w:t xml:space="preserve">, indicar si este rubro afecta SI o NO a la institución, </w:t>
      </w:r>
      <w:r w:rsidRPr="00405DBC">
        <w:t>además del porcentaje de avance</w:t>
      </w:r>
      <w:r>
        <w:t xml:space="preserve"> en la implementación</w:t>
      </w:r>
      <w:r w:rsidRPr="00405DBC">
        <w:t xml:space="preserve"> que presenta</w:t>
      </w:r>
      <w:r>
        <w:t>.</w:t>
      </w:r>
      <w:r w:rsidR="001D0A81">
        <w:fldChar w:fldCharType="begin"/>
      </w:r>
      <w:r w:rsidR="001D0A81">
        <w:instrText xml:space="preserve"> LINK </w:instrText>
      </w:r>
      <w:r w:rsidR="00323752">
        <w:instrText xml:space="preserve">Excel.SheetMacroEnabled.12 "D:\\MORAVIA\\INSUMOS\\NOTAS 2024\\Formato_Notas_EEFF_Vinculadas_2024\\XXXXX_PXX_202X_Anexo_Estado_Notas_Contables_Vinculadas.xlsm" NICSP_24!F9C3:F10C4 </w:instrText>
      </w:r>
      <w:r w:rsidR="001D0A81">
        <w:instrText xml:space="preserve">\a \f 4 \h </w:instrText>
      </w:r>
      <w:r w:rsidR="001D0A81">
        <w:fldChar w:fldCharType="separate"/>
      </w:r>
    </w:p>
    <w:tbl>
      <w:tblPr>
        <w:tblW w:w="3700" w:type="dxa"/>
        <w:tblCellMar>
          <w:left w:w="70" w:type="dxa"/>
          <w:right w:w="70" w:type="dxa"/>
        </w:tblCellMar>
        <w:tblLook w:val="04A0" w:firstRow="1" w:lastRow="0" w:firstColumn="1" w:lastColumn="0" w:noHBand="0" w:noVBand="1"/>
      </w:tblPr>
      <w:tblGrid>
        <w:gridCol w:w="2260"/>
        <w:gridCol w:w="1440"/>
      </w:tblGrid>
      <w:tr w:rsidR="00694299" w:rsidRPr="00694299" w14:paraId="3B151EC3" w14:textId="77777777" w:rsidTr="00694299">
        <w:trPr>
          <w:divId w:val="1145586203"/>
          <w:trHeight w:val="324"/>
        </w:trPr>
        <w:tc>
          <w:tcPr>
            <w:tcW w:w="22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232C367F" w14:textId="648A49FE"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374CF"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Si</w:t>
            </w:r>
          </w:p>
        </w:tc>
      </w:tr>
      <w:tr w:rsidR="00694299" w:rsidRPr="00694299" w14:paraId="13C66FB6" w14:textId="77777777" w:rsidTr="00694299">
        <w:trPr>
          <w:divId w:val="1145586203"/>
          <w:trHeight w:val="324"/>
        </w:trPr>
        <w:tc>
          <w:tcPr>
            <w:tcW w:w="2260" w:type="dxa"/>
            <w:tcBorders>
              <w:top w:val="nil"/>
              <w:left w:val="single" w:sz="8" w:space="0" w:color="auto"/>
              <w:bottom w:val="single" w:sz="8" w:space="0" w:color="auto"/>
              <w:right w:val="single" w:sz="8" w:space="0" w:color="auto"/>
            </w:tcBorders>
            <w:shd w:val="clear" w:color="000000" w:fill="17365D"/>
            <w:vAlign w:val="center"/>
            <w:hideMark/>
          </w:tcPr>
          <w:p w14:paraId="3449F888"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4D03D25" w14:textId="0B719E7B"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6</w:t>
            </w:r>
            <w:r w:rsidR="00E6703C">
              <w:rPr>
                <w:rFonts w:eastAsia="Times New Roman" w:cs="Calibri"/>
                <w:color w:val="000000"/>
                <w:sz w:val="22"/>
                <w:lang w:eastAsia="es-CR"/>
              </w:rPr>
              <w:t>3</w:t>
            </w:r>
            <w:r w:rsidRPr="00694299">
              <w:rPr>
                <w:rFonts w:eastAsia="Times New Roman" w:cs="Calibri"/>
                <w:color w:val="000000"/>
                <w:sz w:val="22"/>
                <w:lang w:eastAsia="es-CR"/>
              </w:rPr>
              <w:t>,</w:t>
            </w:r>
            <w:r w:rsidR="00E6703C">
              <w:rPr>
                <w:rFonts w:eastAsia="Times New Roman" w:cs="Calibri"/>
                <w:color w:val="000000"/>
                <w:sz w:val="22"/>
                <w:lang w:eastAsia="es-CR"/>
              </w:rPr>
              <w:t>0</w:t>
            </w:r>
            <w:r w:rsidRPr="00694299">
              <w:rPr>
                <w:rFonts w:eastAsia="Times New Roman" w:cs="Calibri"/>
                <w:color w:val="000000"/>
                <w:sz w:val="22"/>
                <w:lang w:eastAsia="es-CR"/>
              </w:rPr>
              <w:t>0%</w:t>
            </w:r>
          </w:p>
        </w:tc>
      </w:tr>
    </w:tbl>
    <w:p w14:paraId="4E9EC311" w14:textId="641E24AA" w:rsidR="00AB6161" w:rsidRPr="008F4061" w:rsidRDefault="001D0A81" w:rsidP="00C5447D">
      <w:pPr>
        <w:rPr>
          <w:b/>
          <w:sz w:val="16"/>
          <w:szCs w:val="16"/>
          <w:lang w:eastAsia="es-CR"/>
        </w:rPr>
      </w:pPr>
      <w:r>
        <w:fldChar w:fldCharType="end"/>
      </w:r>
      <w:r>
        <w:t xml:space="preserve">                              </w:t>
      </w:r>
      <w:r w:rsidR="00AB6161" w:rsidRPr="00C35565">
        <w:rPr>
          <w:b/>
          <w:sz w:val="16"/>
          <w:szCs w:val="16"/>
          <w:lang w:eastAsia="es-CR"/>
        </w:rPr>
        <w:t>-Aplicación Obligatoria-</w:t>
      </w:r>
    </w:p>
    <w:p w14:paraId="2BD79597" w14:textId="77777777" w:rsidR="00A4051D" w:rsidRDefault="00A4051D" w:rsidP="00E80180">
      <w:pPr>
        <w:spacing w:before="240"/>
        <w:rPr>
          <w:lang w:val="es-MX"/>
        </w:rPr>
      </w:pPr>
    </w:p>
    <w:p w14:paraId="7B51EE7F" w14:textId="77777777" w:rsidR="00A4051D" w:rsidRDefault="00A4051D" w:rsidP="00E80180">
      <w:pPr>
        <w:spacing w:before="240"/>
        <w:rPr>
          <w:lang w:val="es-MX"/>
        </w:rPr>
      </w:pPr>
    </w:p>
    <w:p w14:paraId="18B48441" w14:textId="77777777" w:rsidR="00A4051D" w:rsidRDefault="00A4051D" w:rsidP="00E80180">
      <w:pPr>
        <w:spacing w:before="240"/>
        <w:rPr>
          <w:lang w:val="es-MX"/>
        </w:rPr>
      </w:pPr>
    </w:p>
    <w:p w14:paraId="70D076A2" w14:textId="77777777" w:rsidR="00A4051D" w:rsidRDefault="00A4051D" w:rsidP="00E80180">
      <w:pPr>
        <w:spacing w:before="240"/>
        <w:rPr>
          <w:lang w:val="es-MX"/>
        </w:rPr>
      </w:pPr>
    </w:p>
    <w:p w14:paraId="50E2725B" w14:textId="08641B3E" w:rsidR="00E6703C" w:rsidRDefault="00AB6161" w:rsidP="00E80180">
      <w:pPr>
        <w:spacing w:before="240"/>
        <w:rPr>
          <w:lang w:val="es-MX"/>
        </w:rPr>
      </w:pPr>
      <w:r w:rsidRPr="00BC7C5B">
        <w:rPr>
          <w:lang w:val="es-MX"/>
        </w:rPr>
        <w:t xml:space="preserve">El responsable contable debe revelar un resumen de la </w:t>
      </w:r>
      <w:r w:rsidRPr="00DB6650">
        <w:rPr>
          <w:b/>
          <w:u w:val="single"/>
          <w:lang w:val="es-MX"/>
        </w:rPr>
        <w:t>última liquidación presupuestaria</w:t>
      </w:r>
      <w:r w:rsidRPr="00BC7C5B">
        <w:rPr>
          <w:lang w:val="es-MX"/>
        </w:rPr>
        <w:t xml:space="preserve"> presentara a la Contraloría General de la Republica.</w:t>
      </w:r>
    </w:p>
    <w:tbl>
      <w:tblPr>
        <w:tblW w:w="5519" w:type="dxa"/>
        <w:tblLook w:val="04A0" w:firstRow="1" w:lastRow="0" w:firstColumn="1" w:lastColumn="0" w:noHBand="0" w:noVBand="1"/>
      </w:tblPr>
      <w:tblGrid>
        <w:gridCol w:w="2230"/>
        <w:gridCol w:w="1572"/>
        <w:gridCol w:w="1717"/>
      </w:tblGrid>
      <w:tr w:rsidR="00E6703C" w:rsidRPr="00C34499" w14:paraId="1ED5C69E" w14:textId="77777777" w:rsidTr="004653E2">
        <w:trPr>
          <w:trHeight w:val="290"/>
        </w:trPr>
        <w:tc>
          <w:tcPr>
            <w:tcW w:w="5519" w:type="dxa"/>
            <w:gridSpan w:val="3"/>
            <w:tcBorders>
              <w:top w:val="single" w:sz="8" w:space="0" w:color="auto"/>
              <w:left w:val="single" w:sz="8" w:space="0" w:color="auto"/>
              <w:bottom w:val="nil"/>
              <w:right w:val="single" w:sz="8" w:space="0" w:color="000000"/>
            </w:tcBorders>
            <w:shd w:val="clear" w:color="000000" w:fill="1F3864"/>
            <w:noWrap/>
            <w:vAlign w:val="center"/>
            <w:hideMark/>
          </w:tcPr>
          <w:p w14:paraId="1A49DDFC" w14:textId="77777777" w:rsidR="00E6703C" w:rsidRPr="00C34499" w:rsidRDefault="00E6703C" w:rsidP="004653E2">
            <w:pPr>
              <w:spacing w:after="0" w:line="240" w:lineRule="auto"/>
              <w:jc w:val="center"/>
              <w:rPr>
                <w:rFonts w:eastAsia="Times New Roman" w:cs="Calibri"/>
                <w:b/>
                <w:bCs/>
                <w:color w:val="FFFFFF"/>
                <w:sz w:val="22"/>
                <w:lang w:val="en-US"/>
              </w:rPr>
            </w:pPr>
            <w:r w:rsidRPr="00C34499">
              <w:rPr>
                <w:rFonts w:eastAsia="Times New Roman" w:cs="Calibri"/>
                <w:b/>
                <w:bCs/>
                <w:color w:val="FFFFFF"/>
                <w:sz w:val="22"/>
                <w:lang w:val="en-US"/>
              </w:rPr>
              <w:t>LIQUIDACION PRESUPUESTARIA</w:t>
            </w:r>
          </w:p>
        </w:tc>
      </w:tr>
      <w:tr w:rsidR="00E6703C" w:rsidRPr="00C34499" w14:paraId="1D8C3D90" w14:textId="77777777" w:rsidTr="004653E2">
        <w:trPr>
          <w:trHeight w:val="280"/>
        </w:trPr>
        <w:tc>
          <w:tcPr>
            <w:tcW w:w="223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A316C79" w14:textId="77777777" w:rsidR="00E6703C" w:rsidRPr="00C34499" w:rsidRDefault="00E6703C" w:rsidP="004653E2">
            <w:pPr>
              <w:spacing w:after="0" w:line="240" w:lineRule="auto"/>
              <w:jc w:val="left"/>
              <w:rPr>
                <w:rFonts w:eastAsia="Times New Roman" w:cs="Calibri"/>
                <w:b/>
                <w:bCs/>
                <w:color w:val="000000"/>
                <w:sz w:val="22"/>
                <w:lang w:val="en-US"/>
              </w:rPr>
            </w:pPr>
            <w:r w:rsidRPr="00C34499">
              <w:rPr>
                <w:rFonts w:eastAsia="Times New Roman" w:cs="Calibri"/>
                <w:b/>
                <w:bCs/>
                <w:color w:val="000000"/>
                <w:sz w:val="22"/>
                <w:lang w:val="en-US"/>
              </w:rPr>
              <w:t>PERIODO</w:t>
            </w:r>
          </w:p>
        </w:tc>
        <w:tc>
          <w:tcPr>
            <w:tcW w:w="3289"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251B25F7" w14:textId="77777777" w:rsidR="00E6703C" w:rsidRPr="00C34499" w:rsidRDefault="00E6703C" w:rsidP="004653E2">
            <w:pPr>
              <w:spacing w:after="0" w:line="240" w:lineRule="auto"/>
              <w:jc w:val="center"/>
              <w:rPr>
                <w:rFonts w:eastAsia="Times New Roman" w:cs="Calibri"/>
                <w:b/>
                <w:bCs/>
                <w:color w:val="000000"/>
                <w:sz w:val="22"/>
                <w:lang w:val="en-US"/>
              </w:rPr>
            </w:pPr>
            <w:r w:rsidRPr="00C34499">
              <w:rPr>
                <w:rFonts w:eastAsia="Times New Roman" w:cs="Calibri"/>
                <w:b/>
                <w:bCs/>
                <w:color w:val="000000"/>
                <w:sz w:val="22"/>
                <w:lang w:val="en-US"/>
              </w:rPr>
              <w:t>2023</w:t>
            </w:r>
          </w:p>
        </w:tc>
      </w:tr>
      <w:tr w:rsidR="00E6703C" w:rsidRPr="00C34499" w14:paraId="34F7B66D" w14:textId="77777777" w:rsidTr="004653E2">
        <w:trPr>
          <w:trHeight w:val="280"/>
        </w:trPr>
        <w:tc>
          <w:tcPr>
            <w:tcW w:w="2230" w:type="dxa"/>
            <w:tcBorders>
              <w:top w:val="nil"/>
              <w:left w:val="single" w:sz="8" w:space="0" w:color="auto"/>
              <w:bottom w:val="single" w:sz="4" w:space="0" w:color="auto"/>
              <w:right w:val="single" w:sz="4" w:space="0" w:color="auto"/>
            </w:tcBorders>
            <w:shd w:val="clear" w:color="auto" w:fill="auto"/>
            <w:noWrap/>
            <w:vAlign w:val="center"/>
            <w:hideMark/>
          </w:tcPr>
          <w:p w14:paraId="28228612" w14:textId="77777777" w:rsidR="00E6703C" w:rsidRPr="00C34499" w:rsidRDefault="00E6703C" w:rsidP="004653E2">
            <w:pPr>
              <w:spacing w:after="0" w:line="240" w:lineRule="auto"/>
              <w:jc w:val="left"/>
              <w:rPr>
                <w:rFonts w:eastAsia="Times New Roman" w:cs="Calibri"/>
                <w:b/>
                <w:bCs/>
                <w:color w:val="000000"/>
                <w:sz w:val="22"/>
                <w:lang w:val="en-US"/>
              </w:rPr>
            </w:pPr>
            <w:r w:rsidRPr="00C34499">
              <w:rPr>
                <w:rFonts w:eastAsia="Times New Roman" w:cs="Calibri"/>
                <w:b/>
                <w:bCs/>
                <w:color w:val="000000"/>
                <w:sz w:val="22"/>
                <w:lang w:val="en-US"/>
              </w:rPr>
              <w:t>OFICIO ENVIO A CGR</w:t>
            </w:r>
          </w:p>
        </w:tc>
        <w:tc>
          <w:tcPr>
            <w:tcW w:w="3289"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F7E2253" w14:textId="1F5ED446" w:rsidR="00E6703C" w:rsidRPr="00C34499" w:rsidRDefault="00B456AC" w:rsidP="004653E2">
            <w:pPr>
              <w:spacing w:after="0" w:line="240" w:lineRule="auto"/>
              <w:jc w:val="center"/>
              <w:rPr>
                <w:rFonts w:eastAsia="Times New Roman" w:cs="Calibri"/>
                <w:b/>
                <w:bCs/>
                <w:color w:val="000000"/>
                <w:sz w:val="22"/>
                <w:lang w:val="en-US"/>
              </w:rPr>
            </w:pPr>
            <w:r>
              <w:rPr>
                <w:rFonts w:eastAsia="Times New Roman" w:cs="Calibri"/>
                <w:b/>
                <w:bCs/>
                <w:color w:val="000000"/>
                <w:sz w:val="22"/>
                <w:lang w:val="en-US"/>
              </w:rPr>
              <w:t>AMBA-163</w:t>
            </w:r>
            <w:r w:rsidR="00E6703C" w:rsidRPr="00C34499">
              <w:rPr>
                <w:rFonts w:eastAsia="Times New Roman" w:cs="Calibri"/>
                <w:b/>
                <w:bCs/>
                <w:color w:val="000000"/>
                <w:sz w:val="22"/>
                <w:lang w:val="en-US"/>
              </w:rPr>
              <w:t>-2024</w:t>
            </w:r>
          </w:p>
        </w:tc>
      </w:tr>
      <w:tr w:rsidR="00E6703C" w:rsidRPr="00C34499" w14:paraId="2ECB57D7" w14:textId="77777777" w:rsidTr="004653E2">
        <w:trPr>
          <w:trHeight w:val="376"/>
        </w:trPr>
        <w:tc>
          <w:tcPr>
            <w:tcW w:w="2230" w:type="dxa"/>
            <w:tcBorders>
              <w:top w:val="nil"/>
              <w:left w:val="single" w:sz="8" w:space="0" w:color="auto"/>
              <w:bottom w:val="single" w:sz="4" w:space="0" w:color="auto"/>
              <w:right w:val="single" w:sz="4" w:space="0" w:color="auto"/>
            </w:tcBorders>
            <w:shd w:val="clear" w:color="auto" w:fill="auto"/>
            <w:noWrap/>
            <w:vAlign w:val="center"/>
            <w:hideMark/>
          </w:tcPr>
          <w:p w14:paraId="1E1E3922" w14:textId="77777777" w:rsidR="00E6703C" w:rsidRPr="00C34499" w:rsidRDefault="00E6703C" w:rsidP="004653E2">
            <w:pPr>
              <w:spacing w:after="0" w:line="240" w:lineRule="auto"/>
              <w:jc w:val="left"/>
              <w:rPr>
                <w:rFonts w:eastAsia="Times New Roman" w:cs="Calibri"/>
                <w:color w:val="000000"/>
                <w:sz w:val="22"/>
                <w:lang w:val="en-US"/>
              </w:rPr>
            </w:pPr>
            <w:r w:rsidRPr="00C34499">
              <w:rPr>
                <w:rFonts w:eastAsia="Times New Roman" w:cs="Calibri"/>
                <w:color w:val="000000"/>
                <w:sz w:val="22"/>
                <w:lang w:val="en-US"/>
              </w:rPr>
              <w:t>INGRESOS</w:t>
            </w:r>
          </w:p>
        </w:tc>
        <w:tc>
          <w:tcPr>
            <w:tcW w:w="1572" w:type="dxa"/>
            <w:tcBorders>
              <w:top w:val="single" w:sz="4" w:space="0" w:color="auto"/>
              <w:left w:val="nil"/>
              <w:bottom w:val="single" w:sz="4" w:space="0" w:color="auto"/>
              <w:right w:val="single" w:sz="4" w:space="0" w:color="auto"/>
            </w:tcBorders>
            <w:shd w:val="clear" w:color="auto" w:fill="auto"/>
            <w:noWrap/>
            <w:vAlign w:val="center"/>
            <w:hideMark/>
          </w:tcPr>
          <w:p w14:paraId="08829669" w14:textId="77777777" w:rsidR="00E6703C" w:rsidRPr="00C34499" w:rsidRDefault="00E6703C" w:rsidP="004653E2">
            <w:pPr>
              <w:spacing w:after="0" w:line="240" w:lineRule="auto"/>
              <w:jc w:val="center"/>
              <w:rPr>
                <w:rFonts w:eastAsia="Times New Roman" w:cs="Calibri"/>
                <w:color w:val="000000"/>
                <w:sz w:val="22"/>
                <w:lang w:val="en-US"/>
              </w:rPr>
            </w:pPr>
            <w:r w:rsidRPr="00C34499">
              <w:rPr>
                <w:rFonts w:eastAsia="Times New Roman" w:cs="Calibri"/>
                <w:color w:val="000000"/>
                <w:sz w:val="22"/>
                <w:lang w:val="en-US"/>
              </w:rPr>
              <w:t xml:space="preserve">                         -   </w:t>
            </w:r>
          </w:p>
        </w:tc>
        <w:tc>
          <w:tcPr>
            <w:tcW w:w="1717" w:type="dxa"/>
            <w:tcBorders>
              <w:top w:val="single" w:sz="4" w:space="0" w:color="auto"/>
              <w:left w:val="nil"/>
              <w:bottom w:val="single" w:sz="4" w:space="0" w:color="auto"/>
              <w:right w:val="single" w:sz="8" w:space="0" w:color="000000"/>
            </w:tcBorders>
            <w:shd w:val="clear" w:color="auto" w:fill="auto"/>
            <w:noWrap/>
            <w:vAlign w:val="center"/>
            <w:hideMark/>
          </w:tcPr>
          <w:p w14:paraId="14D0F172" w14:textId="77777777" w:rsidR="00E6703C" w:rsidRPr="002C53CA" w:rsidRDefault="00E6703C" w:rsidP="004653E2">
            <w:pPr>
              <w:spacing w:after="0" w:line="240" w:lineRule="auto"/>
              <w:jc w:val="right"/>
              <w:rPr>
                <w:rFonts w:cs="Arial"/>
                <w:color w:val="000000"/>
                <w:sz w:val="22"/>
              </w:rPr>
            </w:pPr>
            <w:r w:rsidRPr="002C53CA">
              <w:rPr>
                <w:rFonts w:cs="Arial"/>
                <w:color w:val="000000"/>
                <w:sz w:val="22"/>
              </w:rPr>
              <w:t xml:space="preserve"> </w:t>
            </w:r>
            <w:r>
              <w:rPr>
                <w:rFonts w:cs="Arial"/>
                <w:color w:val="000000"/>
                <w:sz w:val="22"/>
              </w:rPr>
              <w:t>6 570317,62</w:t>
            </w:r>
          </w:p>
        </w:tc>
      </w:tr>
      <w:tr w:rsidR="00E6703C" w:rsidRPr="00C34499" w14:paraId="5EBA0995" w14:textId="77777777" w:rsidTr="004653E2">
        <w:trPr>
          <w:trHeight w:val="280"/>
        </w:trPr>
        <w:tc>
          <w:tcPr>
            <w:tcW w:w="2230" w:type="dxa"/>
            <w:tcBorders>
              <w:top w:val="nil"/>
              <w:left w:val="single" w:sz="8" w:space="0" w:color="auto"/>
              <w:bottom w:val="single" w:sz="4" w:space="0" w:color="auto"/>
              <w:right w:val="single" w:sz="4" w:space="0" w:color="auto"/>
            </w:tcBorders>
            <w:shd w:val="clear" w:color="auto" w:fill="auto"/>
            <w:noWrap/>
            <w:vAlign w:val="center"/>
            <w:hideMark/>
          </w:tcPr>
          <w:p w14:paraId="49F59A23" w14:textId="77777777" w:rsidR="00E6703C" w:rsidRPr="00C34499" w:rsidRDefault="00E6703C" w:rsidP="004653E2">
            <w:pPr>
              <w:spacing w:after="0" w:line="240" w:lineRule="auto"/>
              <w:jc w:val="left"/>
              <w:rPr>
                <w:rFonts w:eastAsia="Times New Roman" w:cs="Calibri"/>
                <w:color w:val="000000"/>
                <w:sz w:val="22"/>
                <w:lang w:val="en-US"/>
              </w:rPr>
            </w:pPr>
            <w:r w:rsidRPr="00C34499">
              <w:rPr>
                <w:rFonts w:eastAsia="Times New Roman" w:cs="Calibri"/>
                <w:color w:val="000000"/>
                <w:sz w:val="22"/>
                <w:lang w:val="en-US"/>
              </w:rPr>
              <w:t> </w:t>
            </w:r>
          </w:p>
        </w:tc>
        <w:tc>
          <w:tcPr>
            <w:tcW w:w="1572" w:type="dxa"/>
            <w:tcBorders>
              <w:top w:val="single" w:sz="4" w:space="0" w:color="auto"/>
              <w:left w:val="nil"/>
              <w:bottom w:val="single" w:sz="4" w:space="0" w:color="auto"/>
              <w:right w:val="single" w:sz="4" w:space="0" w:color="auto"/>
            </w:tcBorders>
            <w:shd w:val="clear" w:color="auto" w:fill="auto"/>
            <w:noWrap/>
            <w:vAlign w:val="center"/>
            <w:hideMark/>
          </w:tcPr>
          <w:p w14:paraId="6E27120B" w14:textId="77777777" w:rsidR="00E6703C" w:rsidRPr="00C34499" w:rsidRDefault="00E6703C" w:rsidP="004653E2">
            <w:pPr>
              <w:spacing w:after="0" w:line="240" w:lineRule="auto"/>
              <w:jc w:val="center"/>
              <w:rPr>
                <w:rFonts w:eastAsia="Times New Roman" w:cs="Calibri"/>
                <w:color w:val="000000"/>
                <w:sz w:val="22"/>
                <w:lang w:val="en-US"/>
              </w:rPr>
            </w:pPr>
            <w:r w:rsidRPr="00C34499">
              <w:rPr>
                <w:rFonts w:eastAsia="Times New Roman" w:cs="Calibri"/>
                <w:color w:val="000000"/>
                <w:sz w:val="22"/>
                <w:lang w:val="en-US"/>
              </w:rPr>
              <w:t xml:space="preserve">                         -   </w:t>
            </w:r>
          </w:p>
        </w:tc>
        <w:tc>
          <w:tcPr>
            <w:tcW w:w="1717" w:type="dxa"/>
            <w:tcBorders>
              <w:top w:val="single" w:sz="4" w:space="0" w:color="auto"/>
              <w:left w:val="nil"/>
              <w:bottom w:val="single" w:sz="4" w:space="0" w:color="auto"/>
              <w:right w:val="single" w:sz="8" w:space="0" w:color="000000"/>
            </w:tcBorders>
            <w:shd w:val="clear" w:color="auto" w:fill="auto"/>
            <w:noWrap/>
            <w:vAlign w:val="center"/>
            <w:hideMark/>
          </w:tcPr>
          <w:p w14:paraId="6BEC2E53" w14:textId="77777777" w:rsidR="00E6703C" w:rsidRPr="002C53CA" w:rsidRDefault="00E6703C" w:rsidP="004653E2">
            <w:pPr>
              <w:spacing w:after="0" w:line="240" w:lineRule="auto"/>
              <w:jc w:val="center"/>
              <w:rPr>
                <w:rFonts w:eastAsia="Times New Roman" w:cs="Calibri"/>
                <w:color w:val="000000"/>
                <w:szCs w:val="24"/>
                <w:lang w:val="en-US"/>
              </w:rPr>
            </w:pPr>
            <w:r w:rsidRPr="002C53CA">
              <w:rPr>
                <w:rFonts w:eastAsia="Times New Roman" w:cs="Calibri"/>
                <w:color w:val="000000"/>
                <w:szCs w:val="24"/>
                <w:lang w:val="en-US"/>
              </w:rPr>
              <w:t xml:space="preserve">                         -   </w:t>
            </w:r>
          </w:p>
        </w:tc>
      </w:tr>
      <w:tr w:rsidR="00E6703C" w:rsidRPr="00C34499" w14:paraId="6EA57E7F" w14:textId="77777777" w:rsidTr="004653E2">
        <w:trPr>
          <w:trHeight w:val="280"/>
        </w:trPr>
        <w:tc>
          <w:tcPr>
            <w:tcW w:w="2230" w:type="dxa"/>
            <w:tcBorders>
              <w:top w:val="nil"/>
              <w:left w:val="single" w:sz="8" w:space="0" w:color="auto"/>
              <w:bottom w:val="single" w:sz="4" w:space="0" w:color="auto"/>
              <w:right w:val="single" w:sz="4" w:space="0" w:color="auto"/>
            </w:tcBorders>
            <w:shd w:val="clear" w:color="auto" w:fill="auto"/>
            <w:noWrap/>
            <w:vAlign w:val="center"/>
            <w:hideMark/>
          </w:tcPr>
          <w:p w14:paraId="220E7478" w14:textId="77777777" w:rsidR="00E6703C" w:rsidRPr="00C34499" w:rsidRDefault="00E6703C" w:rsidP="004653E2">
            <w:pPr>
              <w:spacing w:after="0" w:line="240" w:lineRule="auto"/>
              <w:jc w:val="left"/>
              <w:rPr>
                <w:rFonts w:eastAsia="Times New Roman" w:cs="Calibri"/>
                <w:color w:val="000000"/>
                <w:sz w:val="22"/>
                <w:lang w:val="en-US"/>
              </w:rPr>
            </w:pPr>
            <w:r w:rsidRPr="00C34499">
              <w:rPr>
                <w:rFonts w:eastAsia="Times New Roman" w:cs="Calibri"/>
                <w:color w:val="000000"/>
                <w:sz w:val="22"/>
                <w:lang w:val="en-US"/>
              </w:rPr>
              <w:t> </w:t>
            </w:r>
          </w:p>
        </w:tc>
        <w:tc>
          <w:tcPr>
            <w:tcW w:w="1572" w:type="dxa"/>
            <w:tcBorders>
              <w:top w:val="single" w:sz="4" w:space="0" w:color="auto"/>
              <w:left w:val="nil"/>
              <w:bottom w:val="single" w:sz="4" w:space="0" w:color="auto"/>
              <w:right w:val="single" w:sz="4" w:space="0" w:color="auto"/>
            </w:tcBorders>
            <w:shd w:val="clear" w:color="auto" w:fill="auto"/>
            <w:noWrap/>
            <w:vAlign w:val="center"/>
            <w:hideMark/>
          </w:tcPr>
          <w:p w14:paraId="1F96E32E" w14:textId="77777777" w:rsidR="00E6703C" w:rsidRPr="00C34499" w:rsidRDefault="00E6703C" w:rsidP="004653E2">
            <w:pPr>
              <w:spacing w:after="0" w:line="240" w:lineRule="auto"/>
              <w:jc w:val="center"/>
              <w:rPr>
                <w:rFonts w:eastAsia="Times New Roman" w:cs="Calibri"/>
                <w:color w:val="000000"/>
                <w:sz w:val="22"/>
                <w:lang w:val="en-US"/>
              </w:rPr>
            </w:pPr>
            <w:r w:rsidRPr="00C34499">
              <w:rPr>
                <w:rFonts w:eastAsia="Times New Roman" w:cs="Calibri"/>
                <w:color w:val="000000"/>
                <w:sz w:val="22"/>
                <w:lang w:val="en-US"/>
              </w:rPr>
              <w:t xml:space="preserve">                         -   </w:t>
            </w:r>
          </w:p>
        </w:tc>
        <w:tc>
          <w:tcPr>
            <w:tcW w:w="1717" w:type="dxa"/>
            <w:tcBorders>
              <w:top w:val="single" w:sz="4" w:space="0" w:color="auto"/>
              <w:left w:val="nil"/>
              <w:bottom w:val="single" w:sz="4" w:space="0" w:color="auto"/>
              <w:right w:val="single" w:sz="8" w:space="0" w:color="000000"/>
            </w:tcBorders>
            <w:shd w:val="clear" w:color="auto" w:fill="auto"/>
            <w:noWrap/>
            <w:vAlign w:val="center"/>
            <w:hideMark/>
          </w:tcPr>
          <w:p w14:paraId="7A962F67" w14:textId="77777777" w:rsidR="00E6703C" w:rsidRPr="002C53CA" w:rsidRDefault="00E6703C" w:rsidP="004653E2">
            <w:pPr>
              <w:spacing w:after="0" w:line="240" w:lineRule="auto"/>
              <w:jc w:val="center"/>
              <w:rPr>
                <w:rFonts w:eastAsia="Times New Roman" w:cs="Calibri"/>
                <w:color w:val="000000"/>
                <w:szCs w:val="24"/>
                <w:lang w:val="en-US"/>
              </w:rPr>
            </w:pPr>
            <w:r w:rsidRPr="002C53CA">
              <w:rPr>
                <w:rFonts w:eastAsia="Times New Roman" w:cs="Calibri"/>
                <w:color w:val="000000"/>
                <w:szCs w:val="24"/>
                <w:lang w:val="en-US"/>
              </w:rPr>
              <w:t xml:space="preserve">                         -   </w:t>
            </w:r>
          </w:p>
        </w:tc>
      </w:tr>
      <w:tr w:rsidR="00E6703C" w:rsidRPr="00C34499" w14:paraId="1A1A101B" w14:textId="77777777" w:rsidTr="004653E2">
        <w:trPr>
          <w:trHeight w:val="280"/>
        </w:trPr>
        <w:tc>
          <w:tcPr>
            <w:tcW w:w="2230" w:type="dxa"/>
            <w:tcBorders>
              <w:top w:val="nil"/>
              <w:left w:val="single" w:sz="8" w:space="0" w:color="auto"/>
              <w:bottom w:val="single" w:sz="4" w:space="0" w:color="auto"/>
              <w:right w:val="single" w:sz="4" w:space="0" w:color="auto"/>
            </w:tcBorders>
            <w:shd w:val="clear" w:color="auto" w:fill="auto"/>
            <w:noWrap/>
            <w:vAlign w:val="center"/>
            <w:hideMark/>
          </w:tcPr>
          <w:p w14:paraId="5DF2C68C" w14:textId="77777777" w:rsidR="00E6703C" w:rsidRPr="00C34499" w:rsidRDefault="00E6703C" w:rsidP="004653E2">
            <w:pPr>
              <w:spacing w:after="0" w:line="240" w:lineRule="auto"/>
              <w:jc w:val="left"/>
              <w:rPr>
                <w:rFonts w:eastAsia="Times New Roman" w:cs="Calibri"/>
                <w:color w:val="000000"/>
                <w:sz w:val="22"/>
                <w:lang w:val="en-US"/>
              </w:rPr>
            </w:pPr>
            <w:r w:rsidRPr="00C34499">
              <w:rPr>
                <w:rFonts w:eastAsia="Times New Roman" w:cs="Calibri"/>
                <w:color w:val="000000"/>
                <w:sz w:val="22"/>
                <w:lang w:val="en-US"/>
              </w:rPr>
              <w:t>GASTOS</w:t>
            </w:r>
          </w:p>
        </w:tc>
        <w:tc>
          <w:tcPr>
            <w:tcW w:w="1572" w:type="dxa"/>
            <w:tcBorders>
              <w:top w:val="single" w:sz="4" w:space="0" w:color="auto"/>
              <w:left w:val="nil"/>
              <w:bottom w:val="single" w:sz="4" w:space="0" w:color="auto"/>
              <w:right w:val="single" w:sz="4" w:space="0" w:color="auto"/>
            </w:tcBorders>
            <w:shd w:val="clear" w:color="auto" w:fill="auto"/>
            <w:noWrap/>
            <w:vAlign w:val="center"/>
            <w:hideMark/>
          </w:tcPr>
          <w:p w14:paraId="45B7BECD" w14:textId="77777777" w:rsidR="00E6703C" w:rsidRPr="00C34499" w:rsidRDefault="00E6703C" w:rsidP="004653E2">
            <w:pPr>
              <w:spacing w:after="0" w:line="240" w:lineRule="auto"/>
              <w:jc w:val="center"/>
              <w:rPr>
                <w:rFonts w:eastAsia="Times New Roman" w:cs="Calibri"/>
                <w:color w:val="000000"/>
                <w:sz w:val="22"/>
                <w:lang w:val="en-US"/>
              </w:rPr>
            </w:pPr>
            <w:r w:rsidRPr="00C34499">
              <w:rPr>
                <w:rFonts w:eastAsia="Times New Roman" w:cs="Calibri"/>
                <w:color w:val="000000"/>
                <w:sz w:val="22"/>
                <w:lang w:val="en-US"/>
              </w:rPr>
              <w:t xml:space="preserve">                         -   </w:t>
            </w:r>
          </w:p>
        </w:tc>
        <w:tc>
          <w:tcPr>
            <w:tcW w:w="1717" w:type="dxa"/>
            <w:tcBorders>
              <w:top w:val="single" w:sz="4" w:space="0" w:color="auto"/>
              <w:left w:val="nil"/>
              <w:bottom w:val="single" w:sz="4" w:space="0" w:color="auto"/>
              <w:right w:val="single" w:sz="8" w:space="0" w:color="000000"/>
            </w:tcBorders>
            <w:shd w:val="clear" w:color="auto" w:fill="auto"/>
            <w:noWrap/>
            <w:vAlign w:val="center"/>
            <w:hideMark/>
          </w:tcPr>
          <w:p w14:paraId="351FA56D" w14:textId="77777777" w:rsidR="00E6703C" w:rsidRPr="00F154D6" w:rsidRDefault="00E6703C" w:rsidP="004653E2">
            <w:pPr>
              <w:spacing w:after="0" w:line="240" w:lineRule="auto"/>
              <w:jc w:val="right"/>
              <w:rPr>
                <w:rFonts w:eastAsia="Times New Roman" w:cs="Calibri"/>
                <w:color w:val="000000"/>
                <w:sz w:val="22"/>
                <w:lang w:val="en-US"/>
              </w:rPr>
            </w:pPr>
            <w:r w:rsidRPr="00F154D6">
              <w:rPr>
                <w:rFonts w:eastAsia="Times New Roman" w:cs="Calibri"/>
                <w:color w:val="000000"/>
                <w:sz w:val="22"/>
                <w:lang w:val="en-US"/>
              </w:rPr>
              <w:t xml:space="preserve">5 924 962,35                            </w:t>
            </w:r>
          </w:p>
        </w:tc>
      </w:tr>
      <w:tr w:rsidR="00E6703C" w:rsidRPr="00C34499" w14:paraId="13C15391" w14:textId="77777777" w:rsidTr="004653E2">
        <w:trPr>
          <w:trHeight w:val="280"/>
        </w:trPr>
        <w:tc>
          <w:tcPr>
            <w:tcW w:w="2230" w:type="dxa"/>
            <w:tcBorders>
              <w:top w:val="nil"/>
              <w:left w:val="single" w:sz="8" w:space="0" w:color="auto"/>
              <w:bottom w:val="single" w:sz="4" w:space="0" w:color="auto"/>
              <w:right w:val="single" w:sz="4" w:space="0" w:color="auto"/>
            </w:tcBorders>
            <w:shd w:val="clear" w:color="auto" w:fill="auto"/>
            <w:noWrap/>
            <w:vAlign w:val="center"/>
            <w:hideMark/>
          </w:tcPr>
          <w:p w14:paraId="74E8968D" w14:textId="77777777" w:rsidR="00E6703C" w:rsidRPr="00C34499" w:rsidRDefault="00E6703C" w:rsidP="004653E2">
            <w:pPr>
              <w:spacing w:after="0" w:line="240" w:lineRule="auto"/>
              <w:jc w:val="left"/>
              <w:rPr>
                <w:rFonts w:eastAsia="Times New Roman" w:cs="Calibri"/>
                <w:color w:val="000000"/>
                <w:sz w:val="22"/>
                <w:lang w:val="en-US"/>
              </w:rPr>
            </w:pPr>
            <w:r w:rsidRPr="00C34499">
              <w:rPr>
                <w:rFonts w:eastAsia="Times New Roman" w:cs="Calibri"/>
                <w:color w:val="000000"/>
                <w:sz w:val="22"/>
                <w:lang w:val="en-US"/>
              </w:rPr>
              <w:t> </w:t>
            </w:r>
          </w:p>
        </w:tc>
        <w:tc>
          <w:tcPr>
            <w:tcW w:w="1572" w:type="dxa"/>
            <w:tcBorders>
              <w:top w:val="single" w:sz="4" w:space="0" w:color="auto"/>
              <w:left w:val="nil"/>
              <w:bottom w:val="single" w:sz="4" w:space="0" w:color="auto"/>
              <w:right w:val="single" w:sz="4" w:space="0" w:color="auto"/>
            </w:tcBorders>
            <w:shd w:val="clear" w:color="auto" w:fill="auto"/>
            <w:noWrap/>
            <w:vAlign w:val="center"/>
            <w:hideMark/>
          </w:tcPr>
          <w:p w14:paraId="19E488A6" w14:textId="77777777" w:rsidR="00E6703C" w:rsidRPr="00C34499" w:rsidRDefault="00E6703C" w:rsidP="004653E2">
            <w:pPr>
              <w:spacing w:after="0" w:line="240" w:lineRule="auto"/>
              <w:jc w:val="center"/>
              <w:rPr>
                <w:rFonts w:eastAsia="Times New Roman" w:cs="Calibri"/>
                <w:color w:val="000000"/>
                <w:sz w:val="22"/>
                <w:lang w:val="en-US"/>
              </w:rPr>
            </w:pPr>
            <w:r w:rsidRPr="00C34499">
              <w:rPr>
                <w:rFonts w:eastAsia="Times New Roman" w:cs="Calibri"/>
                <w:color w:val="000000"/>
                <w:sz w:val="22"/>
                <w:lang w:val="en-US"/>
              </w:rPr>
              <w:t xml:space="preserve">                         -   </w:t>
            </w:r>
          </w:p>
        </w:tc>
        <w:tc>
          <w:tcPr>
            <w:tcW w:w="1717" w:type="dxa"/>
            <w:tcBorders>
              <w:top w:val="single" w:sz="4" w:space="0" w:color="auto"/>
              <w:left w:val="nil"/>
              <w:bottom w:val="single" w:sz="4" w:space="0" w:color="auto"/>
              <w:right w:val="single" w:sz="8" w:space="0" w:color="000000"/>
            </w:tcBorders>
            <w:shd w:val="clear" w:color="auto" w:fill="auto"/>
            <w:noWrap/>
            <w:vAlign w:val="center"/>
            <w:hideMark/>
          </w:tcPr>
          <w:p w14:paraId="6F5B11A8" w14:textId="77777777" w:rsidR="00E6703C" w:rsidRPr="00F154D6" w:rsidRDefault="00E6703C" w:rsidP="004653E2">
            <w:pPr>
              <w:spacing w:after="0" w:line="240" w:lineRule="auto"/>
              <w:jc w:val="center"/>
              <w:rPr>
                <w:rFonts w:eastAsia="Times New Roman" w:cs="Calibri"/>
                <w:color w:val="000000"/>
                <w:sz w:val="22"/>
                <w:lang w:val="en-US"/>
              </w:rPr>
            </w:pPr>
            <w:r w:rsidRPr="00F154D6">
              <w:rPr>
                <w:rFonts w:eastAsia="Times New Roman" w:cs="Calibri"/>
                <w:color w:val="000000"/>
                <w:sz w:val="22"/>
                <w:lang w:val="en-US"/>
              </w:rPr>
              <w:t xml:space="preserve">                         -   </w:t>
            </w:r>
          </w:p>
        </w:tc>
      </w:tr>
      <w:tr w:rsidR="00E6703C" w:rsidRPr="00C34499" w14:paraId="4AB09DFD" w14:textId="77777777" w:rsidTr="004653E2">
        <w:trPr>
          <w:trHeight w:val="280"/>
        </w:trPr>
        <w:tc>
          <w:tcPr>
            <w:tcW w:w="2230" w:type="dxa"/>
            <w:tcBorders>
              <w:top w:val="nil"/>
              <w:left w:val="single" w:sz="8" w:space="0" w:color="auto"/>
              <w:bottom w:val="single" w:sz="4" w:space="0" w:color="auto"/>
              <w:right w:val="single" w:sz="4" w:space="0" w:color="auto"/>
            </w:tcBorders>
            <w:shd w:val="clear" w:color="auto" w:fill="auto"/>
            <w:noWrap/>
            <w:vAlign w:val="center"/>
            <w:hideMark/>
          </w:tcPr>
          <w:p w14:paraId="7AAFAD20" w14:textId="77777777" w:rsidR="00E6703C" w:rsidRPr="00C34499" w:rsidRDefault="00E6703C" w:rsidP="004653E2">
            <w:pPr>
              <w:spacing w:after="0" w:line="240" w:lineRule="auto"/>
              <w:jc w:val="left"/>
              <w:rPr>
                <w:rFonts w:eastAsia="Times New Roman" w:cs="Calibri"/>
                <w:color w:val="000000"/>
                <w:sz w:val="22"/>
                <w:lang w:val="en-US"/>
              </w:rPr>
            </w:pPr>
            <w:r w:rsidRPr="00C34499">
              <w:rPr>
                <w:rFonts w:eastAsia="Times New Roman" w:cs="Calibri"/>
                <w:color w:val="000000"/>
                <w:sz w:val="22"/>
                <w:lang w:val="en-US"/>
              </w:rPr>
              <w:t> </w:t>
            </w:r>
          </w:p>
        </w:tc>
        <w:tc>
          <w:tcPr>
            <w:tcW w:w="1572" w:type="dxa"/>
            <w:tcBorders>
              <w:top w:val="single" w:sz="4" w:space="0" w:color="auto"/>
              <w:left w:val="nil"/>
              <w:bottom w:val="single" w:sz="4" w:space="0" w:color="auto"/>
              <w:right w:val="single" w:sz="4" w:space="0" w:color="auto"/>
            </w:tcBorders>
            <w:shd w:val="clear" w:color="auto" w:fill="auto"/>
            <w:noWrap/>
            <w:vAlign w:val="center"/>
            <w:hideMark/>
          </w:tcPr>
          <w:p w14:paraId="4091A175" w14:textId="77777777" w:rsidR="00E6703C" w:rsidRPr="00C34499" w:rsidRDefault="00E6703C" w:rsidP="004653E2">
            <w:pPr>
              <w:spacing w:after="0" w:line="240" w:lineRule="auto"/>
              <w:jc w:val="center"/>
              <w:rPr>
                <w:rFonts w:eastAsia="Times New Roman" w:cs="Calibri"/>
                <w:color w:val="000000"/>
                <w:sz w:val="22"/>
                <w:lang w:val="en-US"/>
              </w:rPr>
            </w:pPr>
            <w:r w:rsidRPr="00C34499">
              <w:rPr>
                <w:rFonts w:eastAsia="Times New Roman" w:cs="Calibri"/>
                <w:color w:val="000000"/>
                <w:sz w:val="22"/>
                <w:lang w:val="en-US"/>
              </w:rPr>
              <w:t xml:space="preserve">                         -   </w:t>
            </w:r>
          </w:p>
        </w:tc>
        <w:tc>
          <w:tcPr>
            <w:tcW w:w="1717" w:type="dxa"/>
            <w:tcBorders>
              <w:top w:val="single" w:sz="4" w:space="0" w:color="auto"/>
              <w:left w:val="nil"/>
              <w:bottom w:val="single" w:sz="4" w:space="0" w:color="auto"/>
              <w:right w:val="single" w:sz="8" w:space="0" w:color="000000"/>
            </w:tcBorders>
            <w:shd w:val="clear" w:color="auto" w:fill="auto"/>
            <w:noWrap/>
            <w:vAlign w:val="center"/>
            <w:hideMark/>
          </w:tcPr>
          <w:p w14:paraId="2DEBD0A9" w14:textId="77777777" w:rsidR="00E6703C" w:rsidRPr="00F154D6" w:rsidRDefault="00E6703C" w:rsidP="004653E2">
            <w:pPr>
              <w:spacing w:after="0" w:line="240" w:lineRule="auto"/>
              <w:jc w:val="center"/>
              <w:rPr>
                <w:rFonts w:eastAsia="Times New Roman" w:cs="Calibri"/>
                <w:color w:val="000000"/>
                <w:sz w:val="22"/>
                <w:lang w:val="en-US"/>
              </w:rPr>
            </w:pPr>
            <w:r w:rsidRPr="00F154D6">
              <w:rPr>
                <w:rFonts w:eastAsia="Times New Roman" w:cs="Calibri"/>
                <w:color w:val="000000"/>
                <w:sz w:val="22"/>
                <w:lang w:val="en-US"/>
              </w:rPr>
              <w:t xml:space="preserve">                         -   </w:t>
            </w:r>
          </w:p>
        </w:tc>
      </w:tr>
      <w:tr w:rsidR="00E6703C" w:rsidRPr="00C34499" w14:paraId="50431FCF" w14:textId="77777777" w:rsidTr="004653E2">
        <w:trPr>
          <w:trHeight w:val="280"/>
        </w:trPr>
        <w:tc>
          <w:tcPr>
            <w:tcW w:w="2230" w:type="dxa"/>
            <w:tcBorders>
              <w:top w:val="nil"/>
              <w:left w:val="single" w:sz="8" w:space="0" w:color="auto"/>
              <w:bottom w:val="single" w:sz="4" w:space="0" w:color="auto"/>
              <w:right w:val="single" w:sz="4" w:space="0" w:color="auto"/>
            </w:tcBorders>
            <w:shd w:val="clear" w:color="auto" w:fill="auto"/>
            <w:noWrap/>
            <w:vAlign w:val="center"/>
            <w:hideMark/>
          </w:tcPr>
          <w:p w14:paraId="74A9CE65" w14:textId="77777777" w:rsidR="00E6703C" w:rsidRPr="00C34499" w:rsidRDefault="00E6703C" w:rsidP="004653E2">
            <w:pPr>
              <w:spacing w:after="0" w:line="240" w:lineRule="auto"/>
              <w:jc w:val="left"/>
              <w:rPr>
                <w:rFonts w:eastAsia="Times New Roman" w:cs="Calibri"/>
                <w:color w:val="000000"/>
                <w:sz w:val="22"/>
                <w:lang w:val="en-US"/>
              </w:rPr>
            </w:pPr>
            <w:r w:rsidRPr="00C34499">
              <w:rPr>
                <w:rFonts w:eastAsia="Times New Roman" w:cs="Calibri"/>
                <w:color w:val="000000"/>
                <w:sz w:val="22"/>
                <w:lang w:val="en-US"/>
              </w:rPr>
              <w:t>SUPERAVIT/DEFICIT</w:t>
            </w:r>
          </w:p>
        </w:tc>
        <w:tc>
          <w:tcPr>
            <w:tcW w:w="1572" w:type="dxa"/>
            <w:tcBorders>
              <w:top w:val="single" w:sz="4" w:space="0" w:color="auto"/>
              <w:left w:val="nil"/>
              <w:bottom w:val="single" w:sz="4" w:space="0" w:color="auto"/>
              <w:right w:val="single" w:sz="4" w:space="0" w:color="auto"/>
            </w:tcBorders>
            <w:shd w:val="clear" w:color="auto" w:fill="auto"/>
            <w:noWrap/>
            <w:vAlign w:val="center"/>
            <w:hideMark/>
          </w:tcPr>
          <w:p w14:paraId="315FF094" w14:textId="77777777" w:rsidR="00E6703C" w:rsidRPr="00C34499" w:rsidRDefault="00E6703C" w:rsidP="004653E2">
            <w:pPr>
              <w:spacing w:after="0" w:line="240" w:lineRule="auto"/>
              <w:jc w:val="center"/>
              <w:rPr>
                <w:rFonts w:eastAsia="Times New Roman" w:cs="Calibri"/>
                <w:color w:val="000000"/>
                <w:sz w:val="22"/>
                <w:lang w:val="en-US"/>
              </w:rPr>
            </w:pPr>
            <w:r w:rsidRPr="00C34499">
              <w:rPr>
                <w:rFonts w:eastAsia="Times New Roman" w:cs="Calibri"/>
                <w:color w:val="000000"/>
                <w:sz w:val="22"/>
                <w:lang w:val="en-US"/>
              </w:rPr>
              <w:t xml:space="preserve">                         -   </w:t>
            </w:r>
          </w:p>
        </w:tc>
        <w:tc>
          <w:tcPr>
            <w:tcW w:w="1717" w:type="dxa"/>
            <w:tcBorders>
              <w:top w:val="single" w:sz="4" w:space="0" w:color="auto"/>
              <w:left w:val="nil"/>
              <w:bottom w:val="single" w:sz="4" w:space="0" w:color="auto"/>
              <w:right w:val="single" w:sz="8" w:space="0" w:color="000000"/>
            </w:tcBorders>
            <w:shd w:val="clear" w:color="auto" w:fill="auto"/>
            <w:noWrap/>
            <w:vAlign w:val="center"/>
            <w:hideMark/>
          </w:tcPr>
          <w:p w14:paraId="489D2938" w14:textId="77777777" w:rsidR="00E6703C" w:rsidRPr="00F154D6" w:rsidRDefault="00E6703C" w:rsidP="004653E2">
            <w:pPr>
              <w:spacing w:after="0" w:line="240" w:lineRule="auto"/>
              <w:jc w:val="right"/>
              <w:rPr>
                <w:rFonts w:eastAsia="Times New Roman" w:cs="Calibri"/>
                <w:color w:val="000000"/>
                <w:sz w:val="22"/>
                <w:lang w:val="en-US"/>
              </w:rPr>
            </w:pPr>
            <w:r w:rsidRPr="00F154D6">
              <w:rPr>
                <w:rFonts w:eastAsia="Times New Roman" w:cs="Calibri"/>
                <w:color w:val="000000"/>
                <w:sz w:val="22"/>
                <w:lang w:val="en-US"/>
              </w:rPr>
              <w:t xml:space="preserve">                         645 355,27  </w:t>
            </w:r>
          </w:p>
        </w:tc>
      </w:tr>
      <w:tr w:rsidR="00E6703C" w:rsidRPr="00C34499" w14:paraId="65661576" w14:textId="77777777" w:rsidTr="004653E2">
        <w:trPr>
          <w:trHeight w:val="290"/>
        </w:trPr>
        <w:tc>
          <w:tcPr>
            <w:tcW w:w="2230" w:type="dxa"/>
            <w:tcBorders>
              <w:top w:val="nil"/>
              <w:left w:val="single" w:sz="8" w:space="0" w:color="auto"/>
              <w:bottom w:val="single" w:sz="8" w:space="0" w:color="auto"/>
              <w:right w:val="single" w:sz="4" w:space="0" w:color="auto"/>
            </w:tcBorders>
            <w:shd w:val="clear" w:color="auto" w:fill="auto"/>
            <w:noWrap/>
            <w:vAlign w:val="center"/>
            <w:hideMark/>
          </w:tcPr>
          <w:p w14:paraId="3A283991" w14:textId="77777777" w:rsidR="00E6703C" w:rsidRPr="00C34499" w:rsidRDefault="00E6703C" w:rsidP="004653E2">
            <w:pPr>
              <w:spacing w:after="0" w:line="240" w:lineRule="auto"/>
              <w:jc w:val="left"/>
              <w:rPr>
                <w:rFonts w:eastAsia="Times New Roman" w:cs="Calibri"/>
                <w:color w:val="000000"/>
                <w:sz w:val="22"/>
                <w:lang w:val="en-US"/>
              </w:rPr>
            </w:pPr>
            <w:r w:rsidRPr="00C34499">
              <w:rPr>
                <w:rFonts w:eastAsia="Times New Roman" w:cs="Calibri"/>
                <w:color w:val="000000"/>
                <w:sz w:val="22"/>
                <w:lang w:val="en-US"/>
              </w:rPr>
              <w:t> </w:t>
            </w:r>
          </w:p>
        </w:tc>
        <w:tc>
          <w:tcPr>
            <w:tcW w:w="1572" w:type="dxa"/>
            <w:tcBorders>
              <w:top w:val="single" w:sz="4" w:space="0" w:color="auto"/>
              <w:left w:val="nil"/>
              <w:bottom w:val="single" w:sz="4" w:space="0" w:color="auto"/>
              <w:right w:val="single" w:sz="4" w:space="0" w:color="auto"/>
            </w:tcBorders>
            <w:shd w:val="clear" w:color="auto" w:fill="auto"/>
            <w:noWrap/>
            <w:vAlign w:val="center"/>
            <w:hideMark/>
          </w:tcPr>
          <w:p w14:paraId="343542B3" w14:textId="77777777" w:rsidR="00E6703C" w:rsidRPr="00C34499" w:rsidRDefault="00E6703C" w:rsidP="004653E2">
            <w:pPr>
              <w:spacing w:after="0" w:line="240" w:lineRule="auto"/>
              <w:jc w:val="center"/>
              <w:rPr>
                <w:rFonts w:eastAsia="Times New Roman" w:cs="Calibri"/>
                <w:color w:val="000000"/>
                <w:sz w:val="22"/>
                <w:lang w:val="en-US"/>
              </w:rPr>
            </w:pPr>
            <w:r w:rsidRPr="00C34499">
              <w:rPr>
                <w:rFonts w:eastAsia="Times New Roman" w:cs="Calibri"/>
                <w:color w:val="000000"/>
                <w:sz w:val="22"/>
                <w:lang w:val="en-US"/>
              </w:rPr>
              <w:t xml:space="preserve">                         -   </w:t>
            </w:r>
          </w:p>
        </w:tc>
        <w:tc>
          <w:tcPr>
            <w:tcW w:w="1717" w:type="dxa"/>
            <w:tcBorders>
              <w:top w:val="single" w:sz="4" w:space="0" w:color="auto"/>
              <w:left w:val="nil"/>
              <w:bottom w:val="single" w:sz="4" w:space="0" w:color="auto"/>
              <w:right w:val="single" w:sz="8" w:space="0" w:color="000000"/>
            </w:tcBorders>
            <w:shd w:val="clear" w:color="auto" w:fill="auto"/>
            <w:noWrap/>
            <w:vAlign w:val="center"/>
            <w:hideMark/>
          </w:tcPr>
          <w:p w14:paraId="7A4C8A64" w14:textId="77777777" w:rsidR="00E6703C" w:rsidRPr="00C34499" w:rsidRDefault="00E6703C" w:rsidP="004653E2">
            <w:pPr>
              <w:spacing w:after="0" w:line="240" w:lineRule="auto"/>
              <w:jc w:val="center"/>
              <w:rPr>
                <w:rFonts w:eastAsia="Times New Roman" w:cs="Calibri"/>
                <w:color w:val="000000"/>
                <w:sz w:val="22"/>
                <w:lang w:val="en-US"/>
              </w:rPr>
            </w:pPr>
            <w:r w:rsidRPr="00C34499">
              <w:rPr>
                <w:rFonts w:eastAsia="Times New Roman" w:cs="Calibri"/>
                <w:color w:val="000000"/>
                <w:sz w:val="22"/>
                <w:lang w:val="en-US"/>
              </w:rPr>
              <w:t xml:space="preserve">                         -   </w:t>
            </w:r>
          </w:p>
        </w:tc>
      </w:tr>
    </w:tbl>
    <w:p w14:paraId="20729BD1" w14:textId="627580FE" w:rsidR="00694299" w:rsidRDefault="00CD01C6" w:rsidP="00A4051D">
      <w:pPr>
        <w:spacing w:before="120" w:after="120" w:line="240" w:lineRule="auto"/>
        <w:rPr>
          <w:rFonts w:asciiTheme="minorHAnsi" w:hAnsiTheme="minorHAnsi"/>
          <w:sz w:val="22"/>
        </w:rPr>
      </w:pPr>
      <w:r>
        <w:rPr>
          <w:lang w:val="es-MX"/>
        </w:rPr>
        <w:fldChar w:fldCharType="begin"/>
      </w:r>
      <w:r>
        <w:rPr>
          <w:lang w:val="es-MX"/>
        </w:rPr>
        <w:instrText xml:space="preserve"> LINK </w:instrText>
      </w:r>
      <w:r w:rsidR="00323752">
        <w:rPr>
          <w:lang w:val="es-MX"/>
        </w:rPr>
        <w:instrText xml:space="preserve">Excel.SheetMacroEnabled.12 "D:\\MORAVIA\\INSUMOS\\NOTAS 2024\\Formato_Notas_EEFF_Vinculadas_2024\\XXXXX_PXX_202X_Anexo_Estado_Notas_Contables_Vinculadas.xlsm" NICSP_24!F12C6:F22C10 </w:instrText>
      </w:r>
      <w:r>
        <w:rPr>
          <w:lang w:val="es-MX"/>
        </w:rPr>
        <w:instrText xml:space="preserve">\a \f 4 \h </w:instrText>
      </w:r>
      <w:r>
        <w:rPr>
          <w:lang w:val="es-MX"/>
        </w:rPr>
        <w:fldChar w:fldCharType="separate"/>
      </w:r>
    </w:p>
    <w:p w14:paraId="364E56E8" w14:textId="77777777" w:rsidR="006A7DCD" w:rsidRDefault="00CD01C6" w:rsidP="006A7DCD">
      <w:pPr>
        <w:spacing w:line="240" w:lineRule="auto"/>
        <w:rPr>
          <w:b/>
          <w:color w:val="FFFFFF" w:themeColor="background1"/>
          <w:u w:val="single"/>
        </w:rPr>
      </w:pPr>
      <w:r>
        <w:rPr>
          <w:lang w:val="es-MX"/>
        </w:rPr>
        <w:fldChar w:fldCharType="end"/>
      </w:r>
      <w:r w:rsidR="00E80180" w:rsidRPr="003516A2">
        <w:rPr>
          <w:b/>
          <w:color w:val="FFFFFF" w:themeColor="background1"/>
          <w:highlight w:val="darkBlue"/>
          <w:u w:val="single"/>
        </w:rPr>
        <w:t>Reconocimiento:</w:t>
      </w:r>
      <w:r w:rsidR="00E80180">
        <w:rPr>
          <w:b/>
          <w:color w:val="FFFFFF" w:themeColor="background1"/>
          <w:highlight w:val="darkBlue"/>
          <w:u w:val="single"/>
        </w:rPr>
        <w:t xml:space="preserve"> </w:t>
      </w:r>
    </w:p>
    <w:p w14:paraId="019E73BD" w14:textId="606D8B89" w:rsidR="006A7DCD" w:rsidRDefault="006A7DCD" w:rsidP="006A7DCD">
      <w:pPr>
        <w:spacing w:line="240" w:lineRule="auto"/>
        <w:rPr>
          <w:lang w:val="es-MX"/>
        </w:rPr>
      </w:pPr>
      <w:r>
        <w:rPr>
          <w:lang w:val="es-MX"/>
        </w:rPr>
        <w:t>El Presupuesto Municipal se elabora y ejecuta utilizando el método de caja o efectivo, de acuerdo con este método los ingresos y gastos se reconocen cuando seda la entrada o salida de flujos de efectivo.</w:t>
      </w:r>
      <w:r w:rsidR="00703625">
        <w:rPr>
          <w:lang w:val="es-MX"/>
        </w:rPr>
        <w:t xml:space="preserve"> Además, el presupuesto se elabora utilizando la clasificación por objeto del gasto</w:t>
      </w:r>
      <w:r w:rsidR="00B4513E">
        <w:rPr>
          <w:lang w:val="es-MX"/>
        </w:rPr>
        <w:t xml:space="preserve"> y una vez aprobado se pone a disposición pública. </w:t>
      </w:r>
    </w:p>
    <w:p w14:paraId="4EC49417" w14:textId="0029B7DF" w:rsidR="00703625" w:rsidRDefault="00703625" w:rsidP="006A7DCD">
      <w:pPr>
        <w:spacing w:line="240" w:lineRule="auto"/>
        <w:rPr>
          <w:lang w:val="es-MX"/>
        </w:rPr>
      </w:pPr>
      <w:r>
        <w:rPr>
          <w:lang w:val="es-MX"/>
        </w:rPr>
        <w:t>Debido a que la base de preparación del presupuesto (efectivo) difiere de la base de preparación de los estados financieros (devengo),</w:t>
      </w:r>
      <w:r w:rsidR="00B4513E">
        <w:rPr>
          <w:lang w:val="es-MX"/>
        </w:rPr>
        <w:t xml:space="preserve"> estos no presentan bases comparables, </w:t>
      </w:r>
      <w:r>
        <w:rPr>
          <w:lang w:val="es-MX"/>
        </w:rPr>
        <w:t>se confeccionará una conciliación entre ambos (presupuesto y contabilidad) para identificar por separado cualesquiera diferencias de base, oportunidad y entidad, clasificados en actividades de operación, actividades de inversión y actividades de financiación.</w:t>
      </w:r>
    </w:p>
    <w:p w14:paraId="7D747AA7" w14:textId="77777777" w:rsidR="00E80180" w:rsidRDefault="00E80180" w:rsidP="00E80180">
      <w:pPr>
        <w:spacing w:line="240" w:lineRule="auto"/>
        <w:rPr>
          <w:b/>
          <w:u w:val="single"/>
        </w:rPr>
      </w:pPr>
    </w:p>
    <w:p w14:paraId="78924B3B" w14:textId="77777777" w:rsidR="00E80180" w:rsidRPr="003516A2" w:rsidRDefault="00E80180" w:rsidP="00E80180">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1F5D0C4C" w14:textId="0AA86637" w:rsidR="00E80180" w:rsidRDefault="006A7DCD" w:rsidP="006A7DCD">
      <w:pPr>
        <w:spacing w:line="240" w:lineRule="auto"/>
        <w:rPr>
          <w:lang w:val="es-MX"/>
        </w:rPr>
      </w:pPr>
      <w:r>
        <w:rPr>
          <w:lang w:val="es-MX"/>
        </w:rPr>
        <w:t>Los ingresos y gastos en e</w:t>
      </w:r>
      <w:r w:rsidR="00E6703C">
        <w:rPr>
          <w:lang w:val="es-MX"/>
        </w:rPr>
        <w:t xml:space="preserve">l Presupuesto Municipal </w:t>
      </w:r>
      <w:r>
        <w:rPr>
          <w:lang w:val="es-MX"/>
        </w:rPr>
        <w:t xml:space="preserve">se miden por el valor contenido en los presupuestos ordinarios y extraordinarios aprobados por el máximo órgano colegiado de la Municipalidad el </w:t>
      </w:r>
      <w:r w:rsidR="00703625">
        <w:rPr>
          <w:lang w:val="es-MX"/>
        </w:rPr>
        <w:t>C</w:t>
      </w:r>
      <w:r>
        <w:rPr>
          <w:lang w:val="es-MX"/>
        </w:rPr>
        <w:t>oncejo.</w:t>
      </w:r>
    </w:p>
    <w:p w14:paraId="45E3081B" w14:textId="402D7E4C" w:rsidR="00B4513E" w:rsidRDefault="00B4513E" w:rsidP="006A7DCD">
      <w:pPr>
        <w:spacing w:line="240" w:lineRule="auto"/>
        <w:rPr>
          <w:lang w:val="es-MX"/>
        </w:rPr>
      </w:pPr>
      <w:r>
        <w:rPr>
          <w:lang w:val="es-MX"/>
        </w:rPr>
        <w:t>El estado de comparación de los importes presupuestados y realizados, así como la conciliación requerida se deben presentar sobre bases comparables y revelar en las nota a los EEFF.</w:t>
      </w:r>
    </w:p>
    <w:p w14:paraId="3F450748" w14:textId="77777777" w:rsidR="006A7DCD" w:rsidRPr="002007F6" w:rsidRDefault="006A7DCD" w:rsidP="006A7DCD">
      <w:pPr>
        <w:spacing w:line="240" w:lineRule="auto"/>
        <w:rPr>
          <w:lang w:val="es-MX"/>
        </w:rPr>
      </w:pPr>
    </w:p>
    <w:p w14:paraId="04C40082" w14:textId="0C8244A9" w:rsidR="00AB6161" w:rsidRPr="00CD01C6" w:rsidRDefault="00AB6161" w:rsidP="00CD01C6">
      <w:pPr>
        <w:spacing w:before="240"/>
        <w:rPr>
          <w:lang w:val="es-MX"/>
        </w:rPr>
      </w:pPr>
      <w:r w:rsidRPr="00E80180">
        <w:rPr>
          <w:b/>
          <w:color w:val="FFFFFF" w:themeColor="background1"/>
          <w:highlight w:val="darkBlue"/>
          <w:u w:val="single"/>
        </w:rPr>
        <w:t>Revelación Suficiente:</w:t>
      </w:r>
      <w:r w:rsidRPr="00AB6161">
        <w:rPr>
          <w:b/>
          <w:u w:val="single"/>
          <w:lang w:eastAsia="es-CR"/>
        </w:rPr>
        <w:t xml:space="preserve"> El ente debe cumplir con lo estipulado en revelación con forme a la NICSP, también debe considerar la política general y los párrafos incluidos en la matriz de autoevaluación referente a esta NICSP y guías de aplicación (Ver GA de la NICSP 24).</w:t>
      </w:r>
    </w:p>
    <w:p w14:paraId="46ED98EE" w14:textId="77777777" w:rsidR="00E6703C" w:rsidRDefault="00E6703C" w:rsidP="00E6703C">
      <w:pPr>
        <w:spacing w:before="240" w:after="0" w:line="240" w:lineRule="auto"/>
        <w:rPr>
          <w:rFonts w:cs="Arial"/>
          <w:b/>
          <w:bCs/>
          <w:color w:val="202124"/>
          <w:shd w:val="clear" w:color="auto" w:fill="FFFFFF"/>
        </w:rPr>
      </w:pPr>
      <w:r w:rsidRPr="00953B93">
        <w:rPr>
          <w:rFonts w:cs="Arial"/>
          <w:b/>
          <w:bCs/>
          <w:color w:val="202124"/>
          <w:shd w:val="clear" w:color="auto" w:fill="FFFFFF"/>
        </w:rPr>
        <w:t>Principales Políticas</w:t>
      </w:r>
    </w:p>
    <w:p w14:paraId="0681B26C" w14:textId="77777777" w:rsidR="00B4513E" w:rsidRPr="00953B93" w:rsidRDefault="00B4513E" w:rsidP="00E6703C">
      <w:pPr>
        <w:spacing w:before="240" w:after="0" w:line="240" w:lineRule="auto"/>
        <w:rPr>
          <w:rFonts w:cs="Arial"/>
          <w:b/>
          <w:bCs/>
          <w:color w:val="202124"/>
          <w:shd w:val="clear" w:color="auto" w:fill="FFFFFF"/>
        </w:rPr>
      </w:pPr>
    </w:p>
    <w:p w14:paraId="2410AEBD" w14:textId="77777777" w:rsidR="00E6703C" w:rsidRPr="009E1158" w:rsidRDefault="00E6703C" w:rsidP="00E6703C">
      <w:pPr>
        <w:pStyle w:val="Default"/>
        <w:jc w:val="both"/>
        <w:rPr>
          <w:rFonts w:ascii="Arial Narrow" w:hAnsi="Arial Narrow"/>
        </w:rPr>
      </w:pPr>
      <w:r w:rsidRPr="009E1158">
        <w:rPr>
          <w:rFonts w:ascii="Arial Narrow" w:hAnsi="Arial Narrow"/>
        </w:rPr>
        <w:t xml:space="preserve">En la MBA los estados financieros y el presupuesto se preparen sobre bases no comparables, por tal razón se presentará el EEP como un estado individual, conjuntamente con los EEFF principales, y su exposición se apoyará sobre la base de los clasificadores presupuestarios vigentes. El EEP aquél a través del cual se presente el resultado financiero presupuestado y ejecutado (desagregado en sus componentes corriente y de capital), así como las fuentes y aplicaciones financieras presupuestadas y ejecutadas. A efectos de la presentación y desagregación de la información del EEP, se utilizará el clasificador económico de ingresos y de gastos. </w:t>
      </w:r>
    </w:p>
    <w:p w14:paraId="2F0C5F0E" w14:textId="77777777" w:rsidR="00E6703C" w:rsidRPr="009E1158" w:rsidRDefault="00E6703C" w:rsidP="00E6703C">
      <w:pPr>
        <w:pStyle w:val="Default"/>
        <w:jc w:val="both"/>
        <w:rPr>
          <w:rFonts w:ascii="Arial Narrow" w:hAnsi="Arial Narrow"/>
        </w:rPr>
      </w:pPr>
    </w:p>
    <w:p w14:paraId="08A76020" w14:textId="77777777" w:rsidR="00E6703C" w:rsidRDefault="00E6703C" w:rsidP="00E6703C">
      <w:pPr>
        <w:pStyle w:val="Default"/>
        <w:numPr>
          <w:ilvl w:val="1"/>
          <w:numId w:val="42"/>
        </w:numPr>
        <w:ind w:left="1440" w:hanging="360"/>
        <w:jc w:val="both"/>
        <w:rPr>
          <w:rFonts w:ascii="Arial Narrow" w:hAnsi="Arial Narrow"/>
        </w:rPr>
      </w:pPr>
      <w:r w:rsidRPr="009E1158">
        <w:rPr>
          <w:rFonts w:ascii="Arial Narrow" w:hAnsi="Arial Narrow"/>
        </w:rPr>
        <w:t xml:space="preserve">Se deberá exponerse en Notas una conciliación entre los flujos de efectivo totales y los gastos presupuestarios pagados e ingresos presupuestarios percibidos, conforme lo estipulado a continuación: </w:t>
      </w:r>
    </w:p>
    <w:p w14:paraId="110EF674" w14:textId="77777777" w:rsidR="00A4051D" w:rsidRPr="009E1158" w:rsidRDefault="00A4051D" w:rsidP="00E6703C">
      <w:pPr>
        <w:pStyle w:val="Default"/>
        <w:numPr>
          <w:ilvl w:val="1"/>
          <w:numId w:val="42"/>
        </w:numPr>
        <w:ind w:left="1440" w:hanging="360"/>
        <w:jc w:val="both"/>
        <w:rPr>
          <w:rFonts w:ascii="Arial Narrow" w:hAnsi="Arial Narrow"/>
        </w:rPr>
      </w:pPr>
    </w:p>
    <w:p w14:paraId="181F5C68" w14:textId="77777777" w:rsidR="00E6703C" w:rsidRPr="009E1158" w:rsidRDefault="00E6703C" w:rsidP="00A4051D">
      <w:pPr>
        <w:pStyle w:val="Default"/>
        <w:numPr>
          <w:ilvl w:val="1"/>
          <w:numId w:val="43"/>
        </w:numPr>
        <w:spacing w:after="120"/>
        <w:ind w:left="284" w:hanging="284"/>
        <w:jc w:val="both"/>
        <w:rPr>
          <w:rFonts w:ascii="Arial Narrow" w:hAnsi="Arial Narrow"/>
        </w:rPr>
      </w:pPr>
      <w:r>
        <w:rPr>
          <w:rFonts w:ascii="Arial Narrow" w:hAnsi="Arial Narrow"/>
        </w:rPr>
        <w:t>L</w:t>
      </w:r>
      <w:r w:rsidRPr="009E1158">
        <w:rPr>
          <w:rFonts w:ascii="Arial Narrow" w:hAnsi="Arial Narrow"/>
        </w:rPr>
        <w:t xml:space="preserve">a información se comparará a nivel de flujos de operación, de inversión y de financiamiento que surgen del EFE; </w:t>
      </w:r>
    </w:p>
    <w:p w14:paraId="0628BEC7" w14:textId="77777777" w:rsidR="00E6703C" w:rsidRPr="009E1158" w:rsidRDefault="00E6703C" w:rsidP="00A4051D">
      <w:pPr>
        <w:pStyle w:val="Default"/>
        <w:numPr>
          <w:ilvl w:val="1"/>
          <w:numId w:val="43"/>
        </w:numPr>
        <w:spacing w:after="120"/>
        <w:ind w:left="284" w:hanging="284"/>
        <w:jc w:val="both"/>
        <w:rPr>
          <w:rFonts w:ascii="Arial Narrow" w:hAnsi="Arial Narrow"/>
          <w:color w:val="auto"/>
        </w:rPr>
      </w:pPr>
      <w:r>
        <w:rPr>
          <w:rFonts w:ascii="Arial Narrow" w:hAnsi="Arial Narrow"/>
          <w:color w:val="auto"/>
        </w:rPr>
        <w:t>L</w:t>
      </w:r>
      <w:r w:rsidRPr="009E1158">
        <w:rPr>
          <w:rFonts w:ascii="Arial Narrow" w:hAnsi="Arial Narrow"/>
          <w:color w:val="auto"/>
        </w:rPr>
        <w:t xml:space="preserve">os gastos pagados e ingresos percibidos presupuestarios se reexpresarán a efectos de ser agrupados en las tres clases de flujos anteriores; </w:t>
      </w:r>
    </w:p>
    <w:p w14:paraId="642B8639" w14:textId="77777777" w:rsidR="00E6703C" w:rsidRPr="009E1158" w:rsidRDefault="00E6703C" w:rsidP="00A4051D">
      <w:pPr>
        <w:pStyle w:val="Default"/>
        <w:numPr>
          <w:ilvl w:val="1"/>
          <w:numId w:val="43"/>
        </w:numPr>
        <w:spacing w:after="120"/>
        <w:ind w:left="284" w:hanging="284"/>
        <w:jc w:val="both"/>
        <w:rPr>
          <w:rFonts w:ascii="Arial Narrow" w:hAnsi="Arial Narrow"/>
          <w:color w:val="auto"/>
        </w:rPr>
      </w:pPr>
      <w:r>
        <w:rPr>
          <w:rFonts w:ascii="Arial Narrow" w:hAnsi="Arial Narrow"/>
          <w:color w:val="auto"/>
        </w:rPr>
        <w:t>S</w:t>
      </w:r>
      <w:r w:rsidRPr="009E1158">
        <w:rPr>
          <w:rFonts w:ascii="Arial Narrow" w:hAnsi="Arial Narrow"/>
          <w:color w:val="auto"/>
        </w:rPr>
        <w:t xml:space="preserve">e identificarán las diferencias entre los flujos de fondos del EFE y los presupuestarios; </w:t>
      </w:r>
    </w:p>
    <w:p w14:paraId="74C91FCE" w14:textId="77777777" w:rsidR="00E6703C" w:rsidRDefault="00E6703C" w:rsidP="00A4051D">
      <w:pPr>
        <w:pStyle w:val="Default"/>
        <w:numPr>
          <w:ilvl w:val="0"/>
          <w:numId w:val="43"/>
        </w:numPr>
        <w:spacing w:after="120"/>
        <w:ind w:left="284" w:hanging="284"/>
        <w:jc w:val="both"/>
        <w:rPr>
          <w:rFonts w:ascii="Arial Narrow" w:hAnsi="Arial Narrow"/>
          <w:color w:val="auto"/>
        </w:rPr>
      </w:pPr>
      <w:r>
        <w:rPr>
          <w:rFonts w:ascii="Arial Narrow" w:hAnsi="Arial Narrow"/>
          <w:color w:val="auto"/>
        </w:rPr>
        <w:t>S</w:t>
      </w:r>
      <w:r w:rsidRPr="009E1158">
        <w:rPr>
          <w:rFonts w:ascii="Arial Narrow" w:hAnsi="Arial Narrow"/>
          <w:color w:val="auto"/>
        </w:rPr>
        <w:t>e clasificarán dichas diferencias, sobre la base de lo desarrollado en el apartado siguiente, en:</w:t>
      </w:r>
    </w:p>
    <w:p w14:paraId="62D61FA4" w14:textId="77777777" w:rsidR="00E6703C" w:rsidRPr="009E1158" w:rsidRDefault="00E6703C" w:rsidP="00A4051D">
      <w:pPr>
        <w:pStyle w:val="Default"/>
        <w:numPr>
          <w:ilvl w:val="0"/>
          <w:numId w:val="44"/>
        </w:numPr>
        <w:spacing w:after="120"/>
        <w:jc w:val="both"/>
        <w:rPr>
          <w:rFonts w:ascii="Arial Narrow" w:hAnsi="Arial Narrow"/>
          <w:color w:val="auto"/>
        </w:rPr>
      </w:pPr>
      <w:r w:rsidRPr="009E1158">
        <w:rPr>
          <w:rFonts w:ascii="Arial Narrow" w:hAnsi="Arial Narrow"/>
          <w:color w:val="auto"/>
        </w:rPr>
        <w:t xml:space="preserve">diferencias en las bases; </w:t>
      </w:r>
    </w:p>
    <w:p w14:paraId="4B88AF85" w14:textId="77777777" w:rsidR="00E6703C" w:rsidRPr="009E1158" w:rsidRDefault="00E6703C" w:rsidP="00A4051D">
      <w:pPr>
        <w:pStyle w:val="Default"/>
        <w:numPr>
          <w:ilvl w:val="0"/>
          <w:numId w:val="44"/>
        </w:numPr>
        <w:spacing w:after="120"/>
        <w:jc w:val="both"/>
        <w:rPr>
          <w:rFonts w:ascii="Arial Narrow" w:hAnsi="Arial Narrow"/>
          <w:color w:val="auto"/>
        </w:rPr>
      </w:pPr>
      <w:r w:rsidRPr="009E1158">
        <w:rPr>
          <w:rFonts w:ascii="Arial Narrow" w:hAnsi="Arial Narrow"/>
          <w:color w:val="auto"/>
        </w:rPr>
        <w:t xml:space="preserve">diferencias temporales; y </w:t>
      </w:r>
    </w:p>
    <w:p w14:paraId="55C24C18" w14:textId="77777777" w:rsidR="00E6703C" w:rsidRPr="009E1158" w:rsidRDefault="00E6703C" w:rsidP="00E6703C">
      <w:pPr>
        <w:pStyle w:val="Default"/>
        <w:numPr>
          <w:ilvl w:val="0"/>
          <w:numId w:val="44"/>
        </w:numPr>
        <w:jc w:val="both"/>
        <w:rPr>
          <w:rFonts w:ascii="Arial Narrow" w:hAnsi="Arial Narrow"/>
          <w:color w:val="auto"/>
        </w:rPr>
      </w:pPr>
      <w:r w:rsidRPr="009E1158">
        <w:rPr>
          <w:rFonts w:ascii="Arial Narrow" w:hAnsi="Arial Narrow"/>
          <w:color w:val="auto"/>
        </w:rPr>
        <w:t xml:space="preserve">diferencias en las entidades. </w:t>
      </w:r>
    </w:p>
    <w:p w14:paraId="19EE1933" w14:textId="77777777" w:rsidR="00E6703C" w:rsidRPr="009E1158" w:rsidRDefault="00E6703C" w:rsidP="00E6703C">
      <w:pPr>
        <w:pStyle w:val="Default"/>
        <w:ind w:left="360"/>
        <w:jc w:val="both"/>
        <w:rPr>
          <w:rFonts w:ascii="Arial Narrow" w:hAnsi="Arial Narrow"/>
          <w:color w:val="auto"/>
        </w:rPr>
      </w:pPr>
    </w:p>
    <w:p w14:paraId="5E498341" w14:textId="77777777" w:rsidR="00E6703C" w:rsidRDefault="00E6703C" w:rsidP="00E6703C">
      <w:pPr>
        <w:pStyle w:val="Default"/>
        <w:jc w:val="both"/>
        <w:rPr>
          <w:rFonts w:ascii="Arial Narrow" w:hAnsi="Arial Narrow"/>
        </w:rPr>
      </w:pPr>
      <w:r w:rsidRPr="009E1158">
        <w:rPr>
          <w:rFonts w:ascii="Arial Narrow" w:hAnsi="Arial Narrow"/>
        </w:rPr>
        <w:t>Cuando los estados financieros y el presupuesto no se preparan con una base comparable, Deberá formularse y exponerse una conciliación entre los resultados contable y presupuestario. Dicha conciliación se realizará con los cobros en efectivo totales y los pagos en efectivo totales identificando por separado cualquier diferencia en las bases, tiempo y entidad.</w:t>
      </w:r>
    </w:p>
    <w:p w14:paraId="453D4AA0" w14:textId="77777777" w:rsidR="00E6703C" w:rsidRPr="009E1158" w:rsidRDefault="00E6703C" w:rsidP="00E6703C">
      <w:pPr>
        <w:pStyle w:val="Default"/>
        <w:jc w:val="both"/>
        <w:rPr>
          <w:rFonts w:ascii="Arial Narrow" w:hAnsi="Arial Narrow"/>
        </w:rPr>
      </w:pPr>
    </w:p>
    <w:p w14:paraId="5B64B92F" w14:textId="77777777" w:rsidR="00E6703C" w:rsidRPr="00E6175D" w:rsidRDefault="00E6703C" w:rsidP="00E6703C">
      <w:pPr>
        <w:spacing w:before="240" w:after="0" w:line="240" w:lineRule="auto"/>
        <w:rPr>
          <w:rFonts w:cs="Arial"/>
          <w:b/>
          <w:bCs/>
          <w:color w:val="202124"/>
          <w:shd w:val="clear" w:color="auto" w:fill="FFFFFF"/>
        </w:rPr>
      </w:pPr>
      <w:r w:rsidRPr="00E6175D">
        <w:rPr>
          <w:rFonts w:cs="Arial"/>
          <w:b/>
          <w:bCs/>
          <w:color w:val="202124"/>
          <w:shd w:val="clear" w:color="auto" w:fill="FFFFFF"/>
        </w:rPr>
        <w:t>Otras Revelaciones</w:t>
      </w:r>
    </w:p>
    <w:p w14:paraId="422130D7" w14:textId="53DE3EFC" w:rsidR="00E6703C" w:rsidRDefault="00E6703C" w:rsidP="00E6703C">
      <w:pPr>
        <w:spacing w:before="240" w:after="0" w:line="240" w:lineRule="auto"/>
        <w:rPr>
          <w:rFonts w:cs="Arial"/>
          <w:color w:val="202124"/>
          <w:shd w:val="clear" w:color="auto" w:fill="FFFFFF"/>
        </w:rPr>
      </w:pPr>
      <w:r w:rsidRPr="00C44B29">
        <w:rPr>
          <w:rFonts w:cs="Arial"/>
          <w:color w:val="202124"/>
          <w:shd w:val="clear" w:color="auto" w:fill="FFFFFF"/>
        </w:rPr>
        <w:t>El presupuesto se aprueba según la base presupuestaria de efectivo (</w:t>
      </w:r>
      <w:r w:rsidRPr="00C44B29">
        <w:rPr>
          <w:rFonts w:eastAsia="Calibri"/>
          <w:lang w:val="es-MX"/>
        </w:rPr>
        <w:t>Según esa base las transacciones y otros hechos son reconocidos sólo cuando el efectivo es recibido o pagado),</w:t>
      </w:r>
      <w:r w:rsidRPr="00C44B29">
        <w:rPr>
          <w:rFonts w:cs="Arial"/>
          <w:color w:val="202124"/>
          <w:shd w:val="clear" w:color="auto" w:fill="FFFFFF"/>
        </w:rPr>
        <w:t xml:space="preserve"> siguiendo una clasificación por programas y por objeto del gasto el presupuesto aprobado cubre el periodo fiscal que va del 1 de enero de 202</w:t>
      </w:r>
      <w:r w:rsidR="002D3D6C">
        <w:rPr>
          <w:rFonts w:cs="Arial"/>
          <w:color w:val="202124"/>
          <w:shd w:val="clear" w:color="auto" w:fill="FFFFFF"/>
        </w:rPr>
        <w:t>4</w:t>
      </w:r>
      <w:r w:rsidRPr="00C44B29">
        <w:rPr>
          <w:rFonts w:cs="Arial"/>
          <w:color w:val="202124"/>
          <w:shd w:val="clear" w:color="auto" w:fill="FFFFFF"/>
        </w:rPr>
        <w:t xml:space="preserve"> al </w:t>
      </w:r>
      <w:r w:rsidR="00D470B6">
        <w:rPr>
          <w:rFonts w:cs="Arial"/>
          <w:color w:val="202124"/>
          <w:shd w:val="clear" w:color="auto" w:fill="FFFFFF"/>
        </w:rPr>
        <w:t>30 de junio</w:t>
      </w:r>
      <w:r>
        <w:rPr>
          <w:rFonts w:cs="Arial"/>
          <w:color w:val="202124"/>
          <w:shd w:val="clear" w:color="auto" w:fill="FFFFFF"/>
        </w:rPr>
        <w:t xml:space="preserve"> de 202</w:t>
      </w:r>
      <w:r w:rsidR="002D3D6C">
        <w:rPr>
          <w:rFonts w:cs="Arial"/>
          <w:color w:val="202124"/>
          <w:shd w:val="clear" w:color="auto" w:fill="FFFFFF"/>
        </w:rPr>
        <w:t>4</w:t>
      </w:r>
      <w:r w:rsidRPr="00C44B29">
        <w:rPr>
          <w:rFonts w:cs="Arial"/>
          <w:color w:val="202124"/>
          <w:shd w:val="clear" w:color="auto" w:fill="FFFFFF"/>
        </w:rPr>
        <w:t xml:space="preserve">. Esa base presupuestaria difiere de la base contable, ya que la Municipalidad utiliza la base contable de acumulación (Devengo) para preparar los estados financieros y se utiliza una clasificación por objeto del gasto (de acuerdo con esta base </w:t>
      </w:r>
      <w:r w:rsidRPr="00C44B29">
        <w:rPr>
          <w:rFonts w:cs="Segoe UI"/>
          <w:color w:val="212529"/>
          <w:shd w:val="clear" w:color="auto" w:fill="F6F9FC"/>
        </w:rPr>
        <w:t>las transacciones o hechos económicos se reconocen en el momento en que ocurren, con independencia de la fecha de su pago o de su cobro)</w:t>
      </w:r>
      <w:r w:rsidRPr="00C44B29">
        <w:rPr>
          <w:rFonts w:cs="Arial"/>
          <w:color w:val="202124"/>
          <w:shd w:val="clear" w:color="auto" w:fill="FFFFFF"/>
        </w:rPr>
        <w:t>.</w:t>
      </w:r>
    </w:p>
    <w:p w14:paraId="0E5B901C" w14:textId="77777777" w:rsidR="00E6703C" w:rsidRDefault="00E6703C" w:rsidP="00E6703C">
      <w:pPr>
        <w:spacing w:before="240" w:after="0" w:line="240" w:lineRule="auto"/>
        <w:rPr>
          <w:rFonts w:cs="Arial"/>
          <w:color w:val="202124"/>
          <w:shd w:val="clear" w:color="auto" w:fill="FFFFFF"/>
        </w:rPr>
      </w:pPr>
      <w:r>
        <w:rPr>
          <w:rFonts w:cs="Arial"/>
          <w:color w:val="202124"/>
          <w:shd w:val="clear" w:color="auto" w:fill="FFFFFF"/>
        </w:rPr>
        <w:t>Es pertinente señalar que como parte del proceso de implementación se tiene en proceso la implementación, lo relacionado con el cuadro comparativo de presupuesto y contabilidad y la conciliación que solicita la norma.</w:t>
      </w:r>
    </w:p>
    <w:p w14:paraId="69B43A24" w14:textId="77777777" w:rsidR="00E6703C" w:rsidRDefault="00E6703C" w:rsidP="00E6703C">
      <w:pPr>
        <w:spacing w:after="0" w:line="240" w:lineRule="auto"/>
        <w:rPr>
          <w:rFonts w:cs="Arial"/>
          <w:color w:val="202124"/>
          <w:shd w:val="clear" w:color="auto" w:fill="FFFFFF"/>
        </w:rPr>
      </w:pPr>
    </w:p>
    <w:p w14:paraId="42276B38" w14:textId="2F9B586E" w:rsidR="00E6703C" w:rsidRDefault="00E6703C" w:rsidP="00E6703C">
      <w:pPr>
        <w:spacing w:line="240" w:lineRule="auto"/>
        <w:rPr>
          <w:szCs w:val="24"/>
          <w:lang w:eastAsia="es-CR"/>
        </w:rPr>
      </w:pPr>
      <w:r>
        <w:rPr>
          <w:szCs w:val="24"/>
          <w:lang w:eastAsia="es-CR"/>
        </w:rPr>
        <w:t xml:space="preserve">De acuerdo con lo consignado en la Matriz de NICSP y Plan de Acción al </w:t>
      </w:r>
      <w:r w:rsidR="00D470B6">
        <w:rPr>
          <w:szCs w:val="24"/>
          <w:lang w:eastAsia="es-CR"/>
        </w:rPr>
        <w:t>30 de junio</w:t>
      </w:r>
      <w:r w:rsidR="00B4513E">
        <w:rPr>
          <w:szCs w:val="24"/>
          <w:lang w:eastAsia="es-CR"/>
        </w:rPr>
        <w:t xml:space="preserve"> de 2024,</w:t>
      </w:r>
      <w:r>
        <w:rPr>
          <w:szCs w:val="24"/>
          <w:lang w:eastAsia="es-CR"/>
        </w:rPr>
        <w:t xml:space="preserve"> se encuentra pendiente de implementar lo siguiente:</w:t>
      </w:r>
    </w:p>
    <w:tbl>
      <w:tblPr>
        <w:tblW w:w="8861" w:type="dxa"/>
        <w:tblLook w:val="04A0" w:firstRow="1" w:lastRow="0" w:firstColumn="1" w:lastColumn="0" w:noHBand="0" w:noVBand="1"/>
      </w:tblPr>
      <w:tblGrid>
        <w:gridCol w:w="7361"/>
        <w:gridCol w:w="1500"/>
      </w:tblGrid>
      <w:tr w:rsidR="00E6703C" w:rsidRPr="008A2790" w14:paraId="137C5F5D" w14:textId="77777777" w:rsidTr="004653E2">
        <w:trPr>
          <w:trHeight w:val="530"/>
        </w:trPr>
        <w:tc>
          <w:tcPr>
            <w:tcW w:w="7361"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7D490BA5" w14:textId="77777777" w:rsidR="00E6703C" w:rsidRPr="008A2790" w:rsidRDefault="00E6703C" w:rsidP="004653E2">
            <w:pPr>
              <w:spacing w:after="0" w:line="240" w:lineRule="auto"/>
              <w:jc w:val="center"/>
              <w:rPr>
                <w:rFonts w:eastAsia="Times New Roman" w:cs="Calibri"/>
                <w:b/>
                <w:bCs/>
                <w:sz w:val="20"/>
                <w:szCs w:val="20"/>
                <w:lang w:val="en-US"/>
              </w:rPr>
            </w:pPr>
            <w:r w:rsidRPr="008A2790">
              <w:rPr>
                <w:rFonts w:eastAsia="Times New Roman" w:cs="Calibri"/>
                <w:b/>
                <w:bCs/>
                <w:sz w:val="20"/>
                <w:szCs w:val="20"/>
                <w:lang w:val="en-US"/>
              </w:rPr>
              <w:t>Actividades Pendientes de Cumplimiento</w:t>
            </w:r>
          </w:p>
        </w:tc>
        <w:tc>
          <w:tcPr>
            <w:tcW w:w="1500" w:type="dxa"/>
            <w:tcBorders>
              <w:top w:val="single" w:sz="8" w:space="0" w:color="auto"/>
              <w:left w:val="nil"/>
              <w:bottom w:val="single" w:sz="4" w:space="0" w:color="auto"/>
              <w:right w:val="single" w:sz="8" w:space="0" w:color="auto"/>
            </w:tcBorders>
            <w:shd w:val="clear" w:color="000000" w:fill="FFFFFF"/>
            <w:vAlign w:val="bottom"/>
            <w:hideMark/>
          </w:tcPr>
          <w:p w14:paraId="7650C401" w14:textId="77777777" w:rsidR="00E6703C" w:rsidRPr="008A2790" w:rsidRDefault="00E6703C" w:rsidP="004653E2">
            <w:pPr>
              <w:spacing w:after="0" w:line="240" w:lineRule="auto"/>
              <w:jc w:val="center"/>
              <w:rPr>
                <w:rFonts w:eastAsia="Times New Roman" w:cs="Calibri"/>
                <w:b/>
                <w:bCs/>
                <w:color w:val="000000"/>
                <w:sz w:val="20"/>
                <w:szCs w:val="20"/>
                <w:lang w:val="en-US"/>
              </w:rPr>
            </w:pPr>
            <w:r w:rsidRPr="008A2790">
              <w:rPr>
                <w:rFonts w:eastAsia="Times New Roman" w:cs="Calibri"/>
                <w:b/>
                <w:bCs/>
                <w:color w:val="000000"/>
                <w:sz w:val="20"/>
                <w:szCs w:val="20"/>
                <w:lang w:val="en-US"/>
              </w:rPr>
              <w:t>Fecha Estimada Cumplimiento</w:t>
            </w:r>
          </w:p>
        </w:tc>
      </w:tr>
      <w:tr w:rsidR="00E6703C" w:rsidRPr="008A2790" w14:paraId="1139BF4E" w14:textId="77777777" w:rsidTr="004653E2">
        <w:trPr>
          <w:trHeight w:val="520"/>
        </w:trPr>
        <w:tc>
          <w:tcPr>
            <w:tcW w:w="7361" w:type="dxa"/>
            <w:tcBorders>
              <w:top w:val="nil"/>
              <w:left w:val="single" w:sz="8" w:space="0" w:color="auto"/>
              <w:bottom w:val="single" w:sz="4" w:space="0" w:color="auto"/>
              <w:right w:val="single" w:sz="4" w:space="0" w:color="auto"/>
            </w:tcBorders>
            <w:shd w:val="clear" w:color="auto" w:fill="auto"/>
            <w:hideMark/>
          </w:tcPr>
          <w:p w14:paraId="25633626" w14:textId="77777777" w:rsidR="00E6703C" w:rsidRPr="008A2790" w:rsidRDefault="00E6703C" w:rsidP="004653E2">
            <w:pPr>
              <w:spacing w:after="0" w:line="240" w:lineRule="auto"/>
              <w:rPr>
                <w:rFonts w:eastAsia="Times New Roman" w:cs="Calibri"/>
                <w:sz w:val="20"/>
                <w:szCs w:val="20"/>
              </w:rPr>
            </w:pPr>
            <w:r w:rsidRPr="008A2790">
              <w:rPr>
                <w:rFonts w:eastAsia="Times New Roman" w:cs="Calibri"/>
                <w:sz w:val="20"/>
                <w:szCs w:val="20"/>
              </w:rPr>
              <w:t>incluir en las notas a los estados financieros la conciliación requerida en la cual se revele la comparación del presupuesto y los montos reales.</w:t>
            </w:r>
          </w:p>
        </w:tc>
        <w:tc>
          <w:tcPr>
            <w:tcW w:w="1500" w:type="dxa"/>
            <w:tcBorders>
              <w:top w:val="nil"/>
              <w:left w:val="nil"/>
              <w:bottom w:val="single" w:sz="4" w:space="0" w:color="auto"/>
              <w:right w:val="single" w:sz="8" w:space="0" w:color="auto"/>
            </w:tcBorders>
            <w:shd w:val="clear" w:color="000000" w:fill="FFFFFF"/>
            <w:noWrap/>
            <w:vAlign w:val="center"/>
            <w:hideMark/>
          </w:tcPr>
          <w:p w14:paraId="6A210E98" w14:textId="707CAEC0" w:rsidR="00E6703C" w:rsidRPr="008A2790" w:rsidRDefault="004653E2" w:rsidP="004653E2">
            <w:pPr>
              <w:spacing w:after="0" w:line="240" w:lineRule="auto"/>
              <w:jc w:val="center"/>
              <w:rPr>
                <w:rFonts w:eastAsia="Times New Roman" w:cs="Calibri"/>
                <w:sz w:val="20"/>
                <w:szCs w:val="20"/>
                <w:lang w:val="en-US"/>
              </w:rPr>
            </w:pPr>
            <w:r>
              <w:rPr>
                <w:rFonts w:eastAsia="Times New Roman" w:cs="Calibri"/>
                <w:sz w:val="20"/>
                <w:szCs w:val="20"/>
                <w:lang w:val="en-US"/>
              </w:rPr>
              <w:t>31/12</w:t>
            </w:r>
            <w:r w:rsidR="00E6703C" w:rsidRPr="008A2790">
              <w:rPr>
                <w:rFonts w:eastAsia="Times New Roman" w:cs="Calibri"/>
                <w:sz w:val="20"/>
                <w:szCs w:val="20"/>
                <w:lang w:val="en-US"/>
              </w:rPr>
              <w:t>/24</w:t>
            </w:r>
          </w:p>
        </w:tc>
      </w:tr>
      <w:tr w:rsidR="004653E2" w:rsidRPr="008A2790" w14:paraId="4378FD46" w14:textId="77777777" w:rsidTr="004653E2">
        <w:trPr>
          <w:trHeight w:val="520"/>
        </w:trPr>
        <w:tc>
          <w:tcPr>
            <w:tcW w:w="7361" w:type="dxa"/>
            <w:tcBorders>
              <w:top w:val="nil"/>
              <w:left w:val="single" w:sz="8" w:space="0" w:color="auto"/>
              <w:bottom w:val="single" w:sz="4" w:space="0" w:color="auto"/>
              <w:right w:val="single" w:sz="4" w:space="0" w:color="auto"/>
            </w:tcBorders>
            <w:shd w:val="clear" w:color="auto" w:fill="auto"/>
            <w:hideMark/>
          </w:tcPr>
          <w:p w14:paraId="6F6CBDE5" w14:textId="77777777" w:rsidR="004653E2" w:rsidRPr="008A2790" w:rsidRDefault="004653E2" w:rsidP="004653E2">
            <w:pPr>
              <w:spacing w:after="0" w:line="240" w:lineRule="auto"/>
              <w:rPr>
                <w:rFonts w:eastAsia="Times New Roman" w:cs="Calibri"/>
                <w:sz w:val="20"/>
                <w:szCs w:val="20"/>
              </w:rPr>
            </w:pPr>
            <w:r w:rsidRPr="008A2790">
              <w:rPr>
                <w:rFonts w:eastAsia="Times New Roman" w:cs="Calibri"/>
                <w:sz w:val="20"/>
                <w:szCs w:val="20"/>
              </w:rPr>
              <w:t>Revelar en las notas una explicación de las diferencias materiales entre el presupuesto y los importes reales.</w:t>
            </w:r>
          </w:p>
        </w:tc>
        <w:tc>
          <w:tcPr>
            <w:tcW w:w="1500" w:type="dxa"/>
            <w:tcBorders>
              <w:top w:val="nil"/>
              <w:left w:val="nil"/>
              <w:bottom w:val="single" w:sz="4" w:space="0" w:color="auto"/>
              <w:right w:val="single" w:sz="8" w:space="0" w:color="auto"/>
            </w:tcBorders>
            <w:shd w:val="clear" w:color="000000" w:fill="FFFFFF"/>
            <w:noWrap/>
            <w:hideMark/>
          </w:tcPr>
          <w:p w14:paraId="39BDDAA0" w14:textId="3482D15D" w:rsidR="004653E2" w:rsidRPr="008A2790" w:rsidRDefault="004653E2" w:rsidP="004653E2">
            <w:pPr>
              <w:spacing w:after="0" w:line="240" w:lineRule="auto"/>
              <w:jc w:val="center"/>
              <w:rPr>
                <w:rFonts w:eastAsia="Times New Roman" w:cs="Calibri"/>
                <w:sz w:val="20"/>
                <w:szCs w:val="20"/>
                <w:lang w:val="en-US"/>
              </w:rPr>
            </w:pPr>
            <w:r w:rsidRPr="00547C96">
              <w:rPr>
                <w:rFonts w:eastAsia="Times New Roman" w:cs="Calibri"/>
                <w:sz w:val="20"/>
                <w:szCs w:val="20"/>
                <w:lang w:val="en-US"/>
              </w:rPr>
              <w:t>31/12/24</w:t>
            </w:r>
          </w:p>
        </w:tc>
      </w:tr>
      <w:tr w:rsidR="004653E2" w:rsidRPr="008A2790" w14:paraId="3433F9E8" w14:textId="77777777" w:rsidTr="004653E2">
        <w:trPr>
          <w:trHeight w:val="520"/>
        </w:trPr>
        <w:tc>
          <w:tcPr>
            <w:tcW w:w="7361" w:type="dxa"/>
            <w:tcBorders>
              <w:top w:val="nil"/>
              <w:left w:val="single" w:sz="8" w:space="0" w:color="auto"/>
              <w:bottom w:val="single" w:sz="4" w:space="0" w:color="auto"/>
              <w:right w:val="single" w:sz="4" w:space="0" w:color="auto"/>
            </w:tcBorders>
            <w:shd w:val="clear" w:color="auto" w:fill="auto"/>
            <w:hideMark/>
          </w:tcPr>
          <w:p w14:paraId="13993568" w14:textId="77777777" w:rsidR="004653E2" w:rsidRPr="008A2790" w:rsidRDefault="004653E2" w:rsidP="004653E2">
            <w:pPr>
              <w:spacing w:after="0" w:line="240" w:lineRule="auto"/>
              <w:rPr>
                <w:rFonts w:eastAsia="Times New Roman" w:cs="Calibri"/>
                <w:sz w:val="20"/>
                <w:szCs w:val="20"/>
              </w:rPr>
            </w:pPr>
            <w:r w:rsidRPr="008A2790">
              <w:rPr>
                <w:rFonts w:eastAsia="Times New Roman" w:cs="Calibri"/>
                <w:sz w:val="20"/>
                <w:szCs w:val="20"/>
              </w:rPr>
              <w:t>Incluir en las notas a los estados financieros una explicación de si los cambios entre el presupuesto inicial y final son consecuencia de redistribuciones dentro del presupuesto.</w:t>
            </w:r>
          </w:p>
        </w:tc>
        <w:tc>
          <w:tcPr>
            <w:tcW w:w="1500" w:type="dxa"/>
            <w:tcBorders>
              <w:top w:val="nil"/>
              <w:left w:val="nil"/>
              <w:bottom w:val="single" w:sz="4" w:space="0" w:color="auto"/>
              <w:right w:val="single" w:sz="8" w:space="0" w:color="auto"/>
            </w:tcBorders>
            <w:shd w:val="clear" w:color="000000" w:fill="FFFFFF"/>
            <w:noWrap/>
            <w:hideMark/>
          </w:tcPr>
          <w:p w14:paraId="77A29B7D" w14:textId="2CFDBB2F" w:rsidR="004653E2" w:rsidRPr="008A2790" w:rsidRDefault="004653E2" w:rsidP="004653E2">
            <w:pPr>
              <w:spacing w:after="0" w:line="240" w:lineRule="auto"/>
              <w:jc w:val="center"/>
              <w:rPr>
                <w:rFonts w:eastAsia="Times New Roman" w:cs="Calibri"/>
                <w:sz w:val="20"/>
                <w:szCs w:val="20"/>
                <w:lang w:val="en-US"/>
              </w:rPr>
            </w:pPr>
            <w:r w:rsidRPr="00547C96">
              <w:rPr>
                <w:rFonts w:eastAsia="Times New Roman" w:cs="Calibri"/>
                <w:sz w:val="20"/>
                <w:szCs w:val="20"/>
                <w:lang w:val="en-US"/>
              </w:rPr>
              <w:t>31/12/24</w:t>
            </w:r>
          </w:p>
        </w:tc>
      </w:tr>
      <w:tr w:rsidR="004653E2" w:rsidRPr="008A2790" w14:paraId="3F693B73" w14:textId="77777777" w:rsidTr="004653E2">
        <w:trPr>
          <w:trHeight w:val="520"/>
        </w:trPr>
        <w:tc>
          <w:tcPr>
            <w:tcW w:w="7361" w:type="dxa"/>
            <w:tcBorders>
              <w:top w:val="nil"/>
              <w:left w:val="single" w:sz="8" w:space="0" w:color="auto"/>
              <w:bottom w:val="single" w:sz="4" w:space="0" w:color="auto"/>
              <w:right w:val="single" w:sz="4" w:space="0" w:color="auto"/>
            </w:tcBorders>
            <w:shd w:val="clear" w:color="auto" w:fill="auto"/>
            <w:hideMark/>
          </w:tcPr>
          <w:p w14:paraId="4906F78C" w14:textId="77777777" w:rsidR="004653E2" w:rsidRPr="008A2790" w:rsidRDefault="004653E2" w:rsidP="004653E2">
            <w:pPr>
              <w:spacing w:after="0" w:line="240" w:lineRule="auto"/>
              <w:rPr>
                <w:rFonts w:eastAsia="Times New Roman" w:cs="Calibri"/>
                <w:sz w:val="20"/>
                <w:szCs w:val="20"/>
              </w:rPr>
            </w:pPr>
            <w:r w:rsidRPr="008A2790">
              <w:rPr>
                <w:rFonts w:eastAsia="Times New Roman" w:cs="Calibri"/>
                <w:sz w:val="20"/>
                <w:szCs w:val="20"/>
              </w:rPr>
              <w:t>Determinar las diferencias entre los saldos de contabilidad y presupuesto correspondientes a ingresos y gastos y elaborar el estado correspondiente.</w:t>
            </w:r>
          </w:p>
        </w:tc>
        <w:tc>
          <w:tcPr>
            <w:tcW w:w="1500" w:type="dxa"/>
            <w:tcBorders>
              <w:top w:val="nil"/>
              <w:left w:val="nil"/>
              <w:bottom w:val="single" w:sz="4" w:space="0" w:color="auto"/>
              <w:right w:val="single" w:sz="8" w:space="0" w:color="auto"/>
            </w:tcBorders>
            <w:shd w:val="clear" w:color="000000" w:fill="FFFFFF"/>
            <w:noWrap/>
            <w:hideMark/>
          </w:tcPr>
          <w:p w14:paraId="2B538D87" w14:textId="0FAB33A4" w:rsidR="004653E2" w:rsidRPr="008A2790" w:rsidRDefault="004653E2" w:rsidP="004653E2">
            <w:pPr>
              <w:spacing w:after="0" w:line="240" w:lineRule="auto"/>
              <w:jc w:val="center"/>
              <w:rPr>
                <w:rFonts w:eastAsia="Times New Roman" w:cs="Calibri"/>
                <w:sz w:val="20"/>
                <w:szCs w:val="20"/>
                <w:lang w:val="en-US"/>
              </w:rPr>
            </w:pPr>
            <w:r w:rsidRPr="00547C96">
              <w:rPr>
                <w:rFonts w:eastAsia="Times New Roman" w:cs="Calibri"/>
                <w:sz w:val="20"/>
                <w:szCs w:val="20"/>
                <w:lang w:val="en-US"/>
              </w:rPr>
              <w:t>31/12/24</w:t>
            </w:r>
          </w:p>
        </w:tc>
      </w:tr>
      <w:tr w:rsidR="004653E2" w:rsidRPr="008A2790" w14:paraId="76053F21" w14:textId="77777777" w:rsidTr="004653E2">
        <w:trPr>
          <w:trHeight w:val="573"/>
        </w:trPr>
        <w:tc>
          <w:tcPr>
            <w:tcW w:w="7361" w:type="dxa"/>
            <w:tcBorders>
              <w:top w:val="nil"/>
              <w:left w:val="single" w:sz="8" w:space="0" w:color="auto"/>
              <w:bottom w:val="single" w:sz="8" w:space="0" w:color="auto"/>
              <w:right w:val="single" w:sz="4" w:space="0" w:color="auto"/>
            </w:tcBorders>
            <w:shd w:val="clear" w:color="000000" w:fill="FFFFFF"/>
            <w:hideMark/>
          </w:tcPr>
          <w:p w14:paraId="431A8896" w14:textId="77777777" w:rsidR="004653E2" w:rsidRPr="008A2790" w:rsidRDefault="004653E2" w:rsidP="004653E2">
            <w:pPr>
              <w:spacing w:after="0" w:line="240" w:lineRule="auto"/>
              <w:rPr>
                <w:rFonts w:eastAsia="Times New Roman" w:cs="Calibri"/>
                <w:color w:val="000000"/>
                <w:sz w:val="20"/>
                <w:szCs w:val="20"/>
              </w:rPr>
            </w:pPr>
            <w:r w:rsidRPr="008A2790">
              <w:rPr>
                <w:rFonts w:eastAsia="Times New Roman" w:cs="Calibri"/>
                <w:color w:val="000000"/>
                <w:sz w:val="20"/>
                <w:szCs w:val="20"/>
              </w:rPr>
              <w:t>Contar con un sistema integrado  que permita el registro de las transacciones  que se realizan en la Institución  y que genere los Estados Financieros según la normativa contable.</w:t>
            </w:r>
          </w:p>
        </w:tc>
        <w:tc>
          <w:tcPr>
            <w:tcW w:w="1500" w:type="dxa"/>
            <w:tcBorders>
              <w:top w:val="nil"/>
              <w:left w:val="nil"/>
              <w:bottom w:val="single" w:sz="8" w:space="0" w:color="auto"/>
              <w:right w:val="single" w:sz="8" w:space="0" w:color="auto"/>
            </w:tcBorders>
            <w:shd w:val="clear" w:color="000000" w:fill="FFFFFF"/>
            <w:noWrap/>
            <w:hideMark/>
          </w:tcPr>
          <w:p w14:paraId="6BF6CC37" w14:textId="40B40F8F" w:rsidR="004653E2" w:rsidRPr="008A2790" w:rsidRDefault="004653E2" w:rsidP="004653E2">
            <w:pPr>
              <w:spacing w:after="0" w:line="240" w:lineRule="auto"/>
              <w:jc w:val="center"/>
              <w:rPr>
                <w:rFonts w:eastAsia="Times New Roman" w:cs="Calibri"/>
                <w:sz w:val="20"/>
                <w:szCs w:val="20"/>
                <w:lang w:val="en-US"/>
              </w:rPr>
            </w:pPr>
            <w:r w:rsidRPr="00547C96">
              <w:rPr>
                <w:rFonts w:eastAsia="Times New Roman" w:cs="Calibri"/>
                <w:sz w:val="20"/>
                <w:szCs w:val="20"/>
                <w:lang w:val="en-US"/>
              </w:rPr>
              <w:t>31/12/24</w:t>
            </w:r>
          </w:p>
        </w:tc>
      </w:tr>
    </w:tbl>
    <w:p w14:paraId="4253DD95" w14:textId="77777777" w:rsidR="00E6703C" w:rsidRDefault="00E6703C" w:rsidP="00E6703C">
      <w:pPr>
        <w:spacing w:before="240" w:after="0" w:line="240" w:lineRule="auto"/>
        <w:rPr>
          <w:rFonts w:cs="Arial"/>
          <w:color w:val="202124"/>
          <w:shd w:val="clear" w:color="auto" w:fill="FFFFFF"/>
        </w:rPr>
      </w:pPr>
    </w:p>
    <w:p w14:paraId="6D890C46" w14:textId="77777777" w:rsidR="0008638E" w:rsidRPr="00C5447D" w:rsidRDefault="0008638E" w:rsidP="00C5447D">
      <w:pPr>
        <w:spacing w:before="240"/>
        <w:rPr>
          <w:rFonts w:eastAsia="Calibri"/>
          <w:lang w:val="es-MX"/>
        </w:rPr>
      </w:pPr>
    </w:p>
    <w:p w14:paraId="2581B731" w14:textId="77777777" w:rsidR="00694299" w:rsidRPr="00694299" w:rsidRDefault="00FE51BD" w:rsidP="00694299">
      <w:pPr>
        <w:pStyle w:val="Ttulo2"/>
        <w:spacing w:after="240"/>
        <w:rPr>
          <w:rFonts w:eastAsia="Times New Roman"/>
          <w:lang w:eastAsia="es-CR"/>
        </w:rPr>
      </w:pPr>
      <w:bookmarkStart w:id="87" w:name="_Toc54961689"/>
      <w:bookmarkStart w:id="88" w:name="_Toc82768887"/>
      <w:bookmarkStart w:id="89" w:name="_Toc173245206"/>
      <w:r w:rsidRPr="003A31CC">
        <w:rPr>
          <w:rFonts w:eastAsia="Times New Roman"/>
          <w:lang w:eastAsia="es-CR"/>
        </w:rPr>
        <w:t>NICSP 26 DETERIORO DEL VALOR DE ACTIVOS GENERADORES DE EFECTIVO:</w:t>
      </w:r>
      <w:bookmarkEnd w:id="87"/>
      <w:bookmarkEnd w:id="88"/>
      <w:bookmarkEnd w:id="89"/>
      <w:r w:rsidRPr="003A31CC">
        <w:rPr>
          <w:rFonts w:eastAsia="Times New Roman"/>
          <w:lang w:eastAsia="es-CR"/>
        </w:rPr>
        <w:t xml:space="preserve"> </w:t>
      </w:r>
      <w:r w:rsidR="00982595">
        <w:rPr>
          <w:rFonts w:eastAsia="Times New Roman"/>
          <w:lang w:eastAsia="es-CR"/>
        </w:rPr>
        <w:fldChar w:fldCharType="begin"/>
      </w:r>
      <w:r w:rsidR="00982595" w:rsidRPr="003A31CC">
        <w:rPr>
          <w:rFonts w:eastAsia="Times New Roman"/>
          <w:lang w:eastAsia="es-CR"/>
        </w:rPr>
        <w:instrText xml:space="preserve"> LINK </w:instrText>
      </w:r>
      <w:r w:rsidR="00323752">
        <w:rPr>
          <w:rFonts w:eastAsia="Times New Roman"/>
          <w:lang w:eastAsia="es-CR"/>
        </w:rPr>
        <w:instrText xml:space="preserve">Excel.SheetMacroEnabled.12 "D:\\MORAVIA\\INSUMOS\\NOTAS 2024\\Formato_Notas_EEFF_Vinculadas_2024\\XXXXX_PXX_202X_Anexo_Estado_Notas_Contables_Vinculadas.xlsm" NICSP_26!F9C3:F10C4 </w:instrText>
      </w:r>
      <w:r w:rsidR="00982595" w:rsidRPr="003A31CC">
        <w:rPr>
          <w:rFonts w:eastAsia="Times New Roman"/>
          <w:lang w:eastAsia="es-CR"/>
        </w:rPr>
        <w:instrText xml:space="preserve">\a \f 4 \h </w:instrText>
      </w:r>
      <w:r w:rsidR="003A31CC">
        <w:rPr>
          <w:rFonts w:eastAsia="Times New Roman"/>
          <w:lang w:eastAsia="es-CR"/>
        </w:rPr>
        <w:instrText xml:space="preserve"> \* MERGEFORMAT </w:instrText>
      </w:r>
      <w:r w:rsidR="00982595">
        <w:rPr>
          <w:rFonts w:eastAsia="Times New Roman"/>
          <w:lang w:eastAsia="es-CR"/>
        </w:rPr>
        <w:fldChar w:fldCharType="separate"/>
      </w:r>
    </w:p>
    <w:p w14:paraId="7B4C4819" w14:textId="77777777" w:rsidR="00694299" w:rsidRDefault="00982595" w:rsidP="00AB6161">
      <w:pPr>
        <w:rPr>
          <w:rFonts w:asciiTheme="minorHAnsi" w:hAnsiTheme="minorHAnsi"/>
          <w:sz w:val="22"/>
        </w:rPr>
      </w:pPr>
      <w:r>
        <w:rPr>
          <w:lang w:eastAsia="es-CR"/>
        </w:rPr>
        <w:fldChar w:fldCharType="end"/>
      </w:r>
      <w:r w:rsidR="00FE51BD" w:rsidRPr="00405DBC">
        <w:t xml:space="preserve">De acuerdo con la </w:t>
      </w:r>
      <w:r w:rsidR="00FE51BD" w:rsidRPr="00FE51BD">
        <w:rPr>
          <w:rFonts w:eastAsia="Times New Roman"/>
          <w:lang w:val="es-MX" w:eastAsia="es-CR"/>
        </w:rPr>
        <w:t xml:space="preserve">NICSP 26 </w:t>
      </w:r>
      <w:r w:rsidR="00FE51BD">
        <w:rPr>
          <w:rFonts w:eastAsia="Times New Roman"/>
          <w:lang w:val="es-MX" w:eastAsia="es-CR"/>
        </w:rPr>
        <w:t xml:space="preserve">- </w:t>
      </w:r>
      <w:r w:rsidR="00FE51BD" w:rsidRPr="00FE51BD">
        <w:rPr>
          <w:rFonts w:eastAsia="Times New Roman"/>
          <w:lang w:val="es-MX" w:eastAsia="es-CR"/>
        </w:rPr>
        <w:t>Deterioro del Valor de Activos Generadores de Efectivo</w:t>
      </w:r>
      <w:r w:rsidR="00FE51BD">
        <w:t>, i</w:t>
      </w:r>
      <w:r w:rsidR="00FE51BD" w:rsidRPr="00405DBC">
        <w:t>ndicar si este rubro afecta SI o NO a la institución, además del porcentaje de avance</w:t>
      </w:r>
      <w:r w:rsidR="00FE51BD">
        <w:t xml:space="preserve"> en la implementación</w:t>
      </w:r>
      <w:r w:rsidR="00FE51BD" w:rsidRPr="00405DBC">
        <w:t xml:space="preserve"> que presenta</w:t>
      </w:r>
      <w:r w:rsidR="00FE51BD">
        <w:rPr>
          <w:b/>
        </w:rPr>
        <w:t>.</w:t>
      </w:r>
      <w:r w:rsidR="00C5447D">
        <w:fldChar w:fldCharType="begin"/>
      </w:r>
      <w:r w:rsidR="00C5447D">
        <w:instrText xml:space="preserve"> LINK </w:instrText>
      </w:r>
      <w:r w:rsidR="00323752">
        <w:instrText xml:space="preserve">Excel.SheetMacroEnabled.12 "D:\\MORAVIA\\INSUMOS\\NOTAS 2024\\Formato_Notas_EEFF_Vinculadas_2024\\XXXXX_PXX_202X_Anexo_Estado_Notas_Contables_Vinculadas.xlsm" NICSP_26!F9C3:F10C4 </w:instrText>
      </w:r>
      <w:r w:rsidR="00C5447D">
        <w:instrText xml:space="preserve">\a \f 4 \h </w:instrText>
      </w:r>
      <w:r w:rsidR="00C5447D">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694299" w:rsidRPr="00694299" w14:paraId="2A8F491E" w14:textId="77777777" w:rsidTr="00694299">
        <w:trPr>
          <w:divId w:val="1477457560"/>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6C0A49F2" w14:textId="2B15B84E"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3AB4B"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Si</w:t>
            </w:r>
          </w:p>
        </w:tc>
      </w:tr>
      <w:tr w:rsidR="00694299" w:rsidRPr="00694299" w14:paraId="6F140D88" w14:textId="77777777" w:rsidTr="00694299">
        <w:trPr>
          <w:divId w:val="1477457560"/>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55F4DAD0"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2D7B5261"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30,00%</w:t>
            </w:r>
          </w:p>
        </w:tc>
      </w:tr>
    </w:tbl>
    <w:p w14:paraId="3844E832" w14:textId="39880433" w:rsidR="00FE51BD" w:rsidRDefault="00C5447D" w:rsidP="00AB6161">
      <w:r>
        <w:fldChar w:fldCharType="end"/>
      </w:r>
    </w:p>
    <w:p w14:paraId="345681C0" w14:textId="40981B8B" w:rsidR="00B4513E" w:rsidRDefault="0008638E" w:rsidP="00B4513E">
      <w:pPr>
        <w:spacing w:before="240" w:line="240" w:lineRule="auto"/>
        <w:rPr>
          <w:lang w:val="es-MX"/>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3DA8C673" w14:textId="2246C11B" w:rsidR="0008638E" w:rsidRDefault="008C2B50" w:rsidP="008C2B50">
      <w:pPr>
        <w:spacing w:before="240" w:line="240" w:lineRule="auto"/>
        <w:rPr>
          <w:lang w:val="es-MX"/>
        </w:rPr>
      </w:pPr>
      <w:r>
        <w:rPr>
          <w:lang w:val="es-MX"/>
        </w:rPr>
        <w:t>La pérdida por deterioro se reconocerá inmediatamente que se determine en el superávit o déficit del periodo. Cuando la cantidad estimada para la pérdida por deterioro excede el valor en libros del activo con el cual se relaciona, la entidad tiene que reconocer un pasivo si, y solo si, es requerido por otra NICSP.</w:t>
      </w:r>
    </w:p>
    <w:p w14:paraId="13327B71" w14:textId="76BC8649" w:rsidR="008C2B50" w:rsidRPr="008C2B50" w:rsidRDefault="00CC5596" w:rsidP="008C2B50">
      <w:pPr>
        <w:spacing w:before="240" w:line="240" w:lineRule="auto"/>
        <w:rPr>
          <w:lang w:val="es-MX"/>
        </w:rPr>
      </w:pPr>
      <w:r>
        <w:rPr>
          <w:lang w:val="es-MX"/>
        </w:rPr>
        <w:t xml:space="preserve">Una pérdida por deterioro reconocida </w:t>
      </w:r>
      <w:r w:rsidR="000F1E77">
        <w:rPr>
          <w:lang w:val="es-MX"/>
        </w:rPr>
        <w:t>en periodos anteriores se debe reversar inmediatamente si y solo si, han cambiado los estimados usados para determinar la cantidad recuperable del activo desde que la pérdida por deterioro fue reconocida.</w:t>
      </w:r>
    </w:p>
    <w:p w14:paraId="0ED20EB6" w14:textId="77777777" w:rsidR="0008638E" w:rsidRDefault="0008638E" w:rsidP="0008638E">
      <w:pPr>
        <w:spacing w:line="240" w:lineRule="auto"/>
        <w:rPr>
          <w:b/>
          <w:u w:val="single"/>
        </w:rPr>
      </w:pPr>
    </w:p>
    <w:p w14:paraId="2B8B02EE" w14:textId="77777777" w:rsidR="0008638E" w:rsidRPr="003516A2" w:rsidRDefault="0008638E" w:rsidP="0008638E">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0EFC41C0" w14:textId="519A42FA" w:rsidR="0008638E" w:rsidRDefault="00B4513E" w:rsidP="00B4513E">
      <w:pPr>
        <w:spacing w:line="240" w:lineRule="auto"/>
        <w:rPr>
          <w:lang w:val="es-MX"/>
        </w:rPr>
      </w:pPr>
      <w:r>
        <w:rPr>
          <w:lang w:val="es-MX"/>
        </w:rPr>
        <w:t>La cantidad recuperable de un activo es el más alto entre su valor razonable menos los costos de venta y su valor en uso</w:t>
      </w:r>
      <w:r w:rsidR="008C2B50">
        <w:rPr>
          <w:lang w:val="es-MX"/>
        </w:rPr>
        <w:t>. La pérdida por deterioro de un activo que genera efectivo es la cantidad por la cual el valor en libros del activo excede la cantidad recuperable.</w:t>
      </w:r>
    </w:p>
    <w:p w14:paraId="6A601FA4" w14:textId="3D2C0CDB" w:rsidR="00CC5596" w:rsidRDefault="00CC5596" w:rsidP="00B4513E">
      <w:pPr>
        <w:spacing w:line="240" w:lineRule="auto"/>
        <w:rPr>
          <w:lang w:val="es-MX"/>
        </w:rPr>
      </w:pPr>
      <w:r>
        <w:rPr>
          <w:lang w:val="es-MX"/>
        </w:rPr>
        <w:t>El valor en uso de un activo generador de efectivo es el valor presente de los flujos de efectivo futuros estimados que se espera sean derivados del uso continuado de un activo, y de su disposición al final de su vida útil.</w:t>
      </w:r>
    </w:p>
    <w:p w14:paraId="79C0FE6D" w14:textId="4139E77B" w:rsidR="008C2B50" w:rsidRDefault="008C2B50" w:rsidP="00B4513E">
      <w:pPr>
        <w:spacing w:line="240" w:lineRule="auto"/>
        <w:rPr>
          <w:lang w:val="es-MX"/>
        </w:rPr>
      </w:pPr>
      <w:r>
        <w:rPr>
          <w:lang w:val="es-MX"/>
        </w:rPr>
        <w:t>Después del reconocimiento de una pérdida por deterioro el cargo por depreciación (amortización) del activo debe ser ajustado en periodos futuros</w:t>
      </w:r>
      <w:r w:rsidR="00CC5596">
        <w:rPr>
          <w:lang w:val="es-MX"/>
        </w:rPr>
        <w:t>, para asignar el valor en libros revisado del activo menos su valor residual (si hay), sobre una base sistémica durante su vida útil restante.</w:t>
      </w:r>
    </w:p>
    <w:p w14:paraId="431C1F00" w14:textId="5082DB28" w:rsidR="00CC5596" w:rsidRDefault="00CC5596" w:rsidP="00B4513E">
      <w:pPr>
        <w:spacing w:line="240" w:lineRule="auto"/>
        <w:rPr>
          <w:lang w:val="es-MX"/>
        </w:rPr>
      </w:pPr>
      <w:r>
        <w:rPr>
          <w:lang w:val="es-MX"/>
        </w:rPr>
        <w:t xml:space="preserve">Al asignar una pérdida por deterioro no se puede reducir el valor en libros del activo por debajo del más alto de: su valor razonable menos los costos de venta o su valor razonable de </w:t>
      </w:r>
      <w:r w:rsidR="000F1E77">
        <w:rPr>
          <w:lang w:val="es-MX"/>
        </w:rPr>
        <w:t>uso (</w:t>
      </w:r>
      <w:r>
        <w:rPr>
          <w:lang w:val="es-MX"/>
        </w:rPr>
        <w:t>si se puede determinar), o cero.</w:t>
      </w:r>
    </w:p>
    <w:p w14:paraId="77225A24" w14:textId="6F14999D" w:rsidR="000F1E77" w:rsidRDefault="000F1E77" w:rsidP="00B4513E">
      <w:pPr>
        <w:spacing w:line="240" w:lineRule="auto"/>
        <w:rPr>
          <w:lang w:val="es-MX"/>
        </w:rPr>
      </w:pPr>
      <w:r>
        <w:rPr>
          <w:lang w:val="es-MX"/>
        </w:rPr>
        <w:t>La reversión de una pérdida por deterioro de un activo, implica incrementar el valor en libros del activo a su cantidad recuperable. Ese incremento es una reversa de una pérdida por deterioro.</w:t>
      </w:r>
    </w:p>
    <w:p w14:paraId="61996605" w14:textId="77777777" w:rsidR="008C2B50" w:rsidRPr="002007F6" w:rsidRDefault="008C2B50" w:rsidP="00B4513E">
      <w:pPr>
        <w:spacing w:line="240" w:lineRule="auto"/>
        <w:rPr>
          <w:lang w:val="es-MX"/>
        </w:rPr>
      </w:pPr>
    </w:p>
    <w:p w14:paraId="20E309D1" w14:textId="0E303E7E" w:rsidR="00FE51BD" w:rsidRPr="00FE51BD" w:rsidRDefault="00FE51BD" w:rsidP="00FE51BD">
      <w:pPr>
        <w:rPr>
          <w:rFonts w:eastAsia="Calibri"/>
          <w:b/>
          <w:u w:val="single"/>
          <w:lang w:val="es-MX"/>
        </w:rPr>
      </w:pPr>
      <w:r w:rsidRPr="0008638E">
        <w:rPr>
          <w:b/>
          <w:color w:val="FFFFFF" w:themeColor="background1"/>
          <w:highlight w:val="darkBlue"/>
          <w:u w:val="single"/>
        </w:rPr>
        <w:t>Revelación Suficiente:</w:t>
      </w:r>
      <w:r w:rsidRPr="00FE51BD">
        <w:rPr>
          <w:rFonts w:eastAsia="Calibri"/>
          <w:b/>
          <w:u w:val="single"/>
          <w:lang w:val="es-MX"/>
        </w:rPr>
        <w:t xml:space="preserve"> </w:t>
      </w:r>
      <w:bookmarkStart w:id="90" w:name="_Hlk114041433"/>
      <w:r w:rsidRPr="00FE51BD">
        <w:rPr>
          <w:rFonts w:eastAsia="Calibri"/>
          <w:b/>
          <w:u w:val="single"/>
        </w:rPr>
        <w:t>El ente debe cumplir con lo estipulado en revelación con forme a la NICSP, también debe considerar la política general y los párrafos incluidos en la matriz de autoevaluación referente a esta NICSP guías de aplicación</w:t>
      </w:r>
      <w:bookmarkEnd w:id="90"/>
      <w:r w:rsidRPr="00FE51BD">
        <w:rPr>
          <w:rFonts w:eastAsia="Calibri"/>
          <w:b/>
          <w:u w:val="single"/>
          <w:lang w:val="es-MX"/>
        </w:rPr>
        <w:t xml:space="preserve"> (ver GA NICSP 21).</w:t>
      </w:r>
    </w:p>
    <w:p w14:paraId="351044D7" w14:textId="77777777" w:rsidR="00B4513E" w:rsidRPr="00094A22" w:rsidRDefault="00B4513E" w:rsidP="00B4513E">
      <w:pPr>
        <w:spacing w:after="0" w:line="240" w:lineRule="auto"/>
        <w:rPr>
          <w:b/>
          <w:bCs/>
          <w:sz w:val="23"/>
          <w:szCs w:val="23"/>
        </w:rPr>
      </w:pPr>
      <w:r w:rsidRPr="00094A22">
        <w:rPr>
          <w:b/>
          <w:bCs/>
          <w:sz w:val="23"/>
          <w:szCs w:val="23"/>
        </w:rPr>
        <w:t>Aprovechamiento de la exención de la NICSP 33</w:t>
      </w:r>
    </w:p>
    <w:p w14:paraId="4C2DB5FC" w14:textId="77777777" w:rsidR="00B4513E" w:rsidRDefault="00B4513E" w:rsidP="00B4513E">
      <w:pPr>
        <w:spacing w:after="0" w:line="240" w:lineRule="auto"/>
        <w:rPr>
          <w:sz w:val="23"/>
          <w:szCs w:val="23"/>
        </w:rPr>
      </w:pPr>
    </w:p>
    <w:p w14:paraId="10AB6223" w14:textId="77777777" w:rsidR="00B4513E" w:rsidRDefault="00B4513E" w:rsidP="00B4513E">
      <w:pPr>
        <w:spacing w:after="0" w:line="240" w:lineRule="auto"/>
      </w:pPr>
      <w:r>
        <w:rPr>
          <w:sz w:val="23"/>
          <w:szCs w:val="23"/>
        </w:rPr>
        <w:t>La Municipalidad aprovecha la exención del párrafo 36 de la NICSP 33, que concede un periodo de dispensa transitorio para no reconocer o medir activos de las NICSP 16, 17, 27, 31 y 32, aplicará la NICSP 21, cuando la exención que proporcionó la dispensa haya expirado o los activos correspondientes se reconozcan o midan de acuerdo con las NICSP aplicables (lo que tenga lugar primero).</w:t>
      </w:r>
    </w:p>
    <w:p w14:paraId="19E0872C" w14:textId="77777777" w:rsidR="00B4513E" w:rsidRPr="00094A22" w:rsidRDefault="00B4513E" w:rsidP="00B4513E">
      <w:pPr>
        <w:spacing w:after="0" w:line="240" w:lineRule="auto"/>
        <w:rPr>
          <w:bCs/>
          <w:szCs w:val="24"/>
        </w:rPr>
      </w:pPr>
    </w:p>
    <w:p w14:paraId="55AE6E23" w14:textId="77777777" w:rsidR="00B4513E" w:rsidRDefault="00B4513E" w:rsidP="00B4513E">
      <w:pPr>
        <w:spacing w:after="0" w:line="240" w:lineRule="auto"/>
        <w:rPr>
          <w:rFonts w:cs="Arial"/>
          <w:bCs/>
          <w:szCs w:val="24"/>
        </w:rPr>
      </w:pPr>
      <w:r>
        <w:rPr>
          <w:bCs/>
          <w:szCs w:val="24"/>
          <w:lang w:val="es-MX"/>
        </w:rPr>
        <w:t xml:space="preserve">Como </w:t>
      </w:r>
      <w:r w:rsidRPr="00E23F16">
        <w:rPr>
          <w:bCs/>
          <w:szCs w:val="24"/>
          <w:lang w:val="es-MX"/>
        </w:rPr>
        <w:t xml:space="preserve">se indica en la revelación de la norma NICSP 21, si bien la norma debe ser aplicada por la Municipalidad, tal como se indica en el Apartado II Efecto en el deterioro de acuerdo con la NICSP 21 y 26, así como en la Nota relacionada con la NICSP 21 </w:t>
      </w:r>
      <w:r w:rsidRPr="00E23F16">
        <w:rPr>
          <w:rFonts w:cs="Arial"/>
          <w:bCs/>
          <w:szCs w:val="24"/>
          <w:lang w:val="es-MX"/>
        </w:rPr>
        <w:t>l</w:t>
      </w:r>
      <w:r w:rsidRPr="00E23F16">
        <w:rPr>
          <w:rFonts w:cs="Arial"/>
          <w:bCs/>
          <w:szCs w:val="24"/>
        </w:rPr>
        <w:t>a Municipalidad de Buenos Aires, aún se encuentra realizando un proceso inventario físico de activos, el cual ha ido permitiendo realizar la actualización y valuación de los activos fijos (propiedad, planta y equipo), en cumplimiento al plan de acción para la implementación de las NICSP que fue</w:t>
      </w:r>
      <w:r>
        <w:rPr>
          <w:rFonts w:cs="Arial"/>
          <w:bCs/>
          <w:szCs w:val="24"/>
        </w:rPr>
        <w:t xml:space="preserve"> confeccionado.</w:t>
      </w:r>
    </w:p>
    <w:p w14:paraId="1FC415AD" w14:textId="77777777" w:rsidR="00B4513E" w:rsidRDefault="00B4513E" w:rsidP="00B4513E">
      <w:pPr>
        <w:spacing w:after="0" w:line="240" w:lineRule="auto"/>
        <w:rPr>
          <w:rFonts w:cs="Arial"/>
          <w:bCs/>
          <w:szCs w:val="24"/>
        </w:rPr>
      </w:pPr>
    </w:p>
    <w:p w14:paraId="408042F9" w14:textId="77777777" w:rsidR="00B4513E" w:rsidRDefault="00B4513E" w:rsidP="00B4513E">
      <w:pPr>
        <w:spacing w:after="0" w:line="240" w:lineRule="auto"/>
        <w:rPr>
          <w:bCs/>
          <w:szCs w:val="24"/>
          <w:lang w:val="es-MX"/>
        </w:rPr>
      </w:pPr>
      <w:r>
        <w:rPr>
          <w:rFonts w:cs="Arial"/>
          <w:bCs/>
          <w:szCs w:val="24"/>
        </w:rPr>
        <w:t xml:space="preserve">Como </w:t>
      </w:r>
      <w:r w:rsidRPr="00E23F16">
        <w:rPr>
          <w:rFonts w:cs="Arial"/>
          <w:bCs/>
          <w:szCs w:val="24"/>
        </w:rPr>
        <w:t xml:space="preserve">parte de dicho proceso se tiene previsto realizar la clasificación de los activos en generadores y no generadores de efectivo, Sin embargo, el levantamiento del inventario no ha concluido aún. No obstante, es pertinente indicar que en la labor realizada no se han </w:t>
      </w:r>
      <w:r w:rsidRPr="00E23F16">
        <w:rPr>
          <w:bCs/>
          <w:szCs w:val="24"/>
          <w:lang w:val="es-MX"/>
        </w:rPr>
        <w:t>identificado indicios de que alguno de los activos tenga que ser objeto de determinación del deterioro de su</w:t>
      </w:r>
      <w:r>
        <w:rPr>
          <w:bCs/>
          <w:szCs w:val="24"/>
          <w:lang w:val="es-MX"/>
        </w:rPr>
        <w:t xml:space="preserve"> valor.</w:t>
      </w:r>
    </w:p>
    <w:p w14:paraId="13961BFB" w14:textId="77777777" w:rsidR="00B4513E" w:rsidRDefault="00B4513E" w:rsidP="00B4513E">
      <w:pPr>
        <w:spacing w:after="0" w:line="240" w:lineRule="auto"/>
        <w:rPr>
          <w:bCs/>
          <w:szCs w:val="24"/>
          <w:lang w:val="es-MX"/>
        </w:rPr>
      </w:pPr>
    </w:p>
    <w:p w14:paraId="00BC37A4" w14:textId="77777777" w:rsidR="00B4513E" w:rsidRPr="005C6BF2" w:rsidRDefault="00B4513E" w:rsidP="00B4513E">
      <w:pPr>
        <w:spacing w:after="0" w:line="240" w:lineRule="auto"/>
      </w:pPr>
      <w:r>
        <w:t xml:space="preserve">Además, se está trabajando en las políticas particulares y procedimientos que se aplicarán en la Municipalidad de Buenos Aires para lo atinente al </w:t>
      </w:r>
      <w:r w:rsidRPr="00BB6A3C">
        <w:rPr>
          <w:rFonts w:eastAsia="Times New Roman"/>
          <w:lang w:val="es-MX" w:eastAsia="es-CR"/>
        </w:rPr>
        <w:t>Deterioro del Valor de Activos Generadores de Efectiv</w:t>
      </w:r>
      <w:r>
        <w:rPr>
          <w:rFonts w:eastAsia="Times New Roman"/>
          <w:lang w:val="es-MX" w:eastAsia="es-CR"/>
        </w:rPr>
        <w:t>o.</w:t>
      </w:r>
    </w:p>
    <w:p w14:paraId="4FAF3EAE" w14:textId="77777777" w:rsidR="00B4513E" w:rsidRDefault="00B4513E" w:rsidP="00B4513E">
      <w:pPr>
        <w:spacing w:after="0" w:line="240" w:lineRule="auto"/>
      </w:pPr>
    </w:p>
    <w:p w14:paraId="11048A95" w14:textId="076A4E45" w:rsidR="00B4513E" w:rsidRDefault="00B4513E" w:rsidP="00B4513E">
      <w:pPr>
        <w:spacing w:line="240" w:lineRule="auto"/>
        <w:rPr>
          <w:szCs w:val="24"/>
          <w:lang w:eastAsia="es-CR"/>
        </w:rPr>
      </w:pPr>
      <w:r>
        <w:rPr>
          <w:szCs w:val="24"/>
          <w:lang w:eastAsia="es-CR"/>
        </w:rPr>
        <w:t xml:space="preserve">De acuerdo con lo consignado en la Matriz de NICSP y Plan de Acción al </w:t>
      </w:r>
      <w:r w:rsidR="00D470B6">
        <w:rPr>
          <w:szCs w:val="24"/>
          <w:lang w:eastAsia="es-CR"/>
        </w:rPr>
        <w:t>30 de junio</w:t>
      </w:r>
      <w:r>
        <w:rPr>
          <w:szCs w:val="24"/>
          <w:lang w:eastAsia="es-CR"/>
        </w:rPr>
        <w:t xml:space="preserve"> de 2024, se encuentra pendiente de implementar lo siguiente:</w:t>
      </w:r>
    </w:p>
    <w:tbl>
      <w:tblPr>
        <w:tblW w:w="8955" w:type="dxa"/>
        <w:tblLook w:val="04A0" w:firstRow="1" w:lastRow="0" w:firstColumn="1" w:lastColumn="0" w:noHBand="0" w:noVBand="1"/>
      </w:tblPr>
      <w:tblGrid>
        <w:gridCol w:w="7645"/>
        <w:gridCol w:w="1310"/>
      </w:tblGrid>
      <w:tr w:rsidR="00B4513E" w:rsidRPr="00C36CAC" w14:paraId="088C4BCC" w14:textId="77777777" w:rsidTr="004653E2">
        <w:trPr>
          <w:trHeight w:val="790"/>
        </w:trPr>
        <w:tc>
          <w:tcPr>
            <w:tcW w:w="7645"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76452E3F" w14:textId="77777777" w:rsidR="00B4513E" w:rsidRPr="00C36CAC" w:rsidRDefault="00B4513E" w:rsidP="004653E2">
            <w:pPr>
              <w:spacing w:after="0" w:line="240" w:lineRule="auto"/>
              <w:jc w:val="center"/>
              <w:rPr>
                <w:rFonts w:eastAsia="Times New Roman" w:cs="Calibri"/>
                <w:b/>
                <w:bCs/>
                <w:sz w:val="20"/>
                <w:szCs w:val="20"/>
                <w:lang w:val="en-US"/>
              </w:rPr>
            </w:pPr>
            <w:r w:rsidRPr="00C36CAC">
              <w:rPr>
                <w:rFonts w:eastAsia="Times New Roman" w:cs="Calibri"/>
                <w:b/>
                <w:bCs/>
                <w:sz w:val="20"/>
                <w:szCs w:val="20"/>
                <w:lang w:val="en-US"/>
              </w:rPr>
              <w:t>Actividades Pendientes de Cumplimiento</w:t>
            </w:r>
          </w:p>
        </w:tc>
        <w:tc>
          <w:tcPr>
            <w:tcW w:w="1310" w:type="dxa"/>
            <w:tcBorders>
              <w:top w:val="single" w:sz="8" w:space="0" w:color="auto"/>
              <w:left w:val="nil"/>
              <w:bottom w:val="single" w:sz="4" w:space="0" w:color="auto"/>
              <w:right w:val="single" w:sz="8" w:space="0" w:color="auto"/>
            </w:tcBorders>
            <w:shd w:val="clear" w:color="000000" w:fill="FFFFFF"/>
            <w:vAlign w:val="bottom"/>
            <w:hideMark/>
          </w:tcPr>
          <w:p w14:paraId="570C28F6" w14:textId="77777777" w:rsidR="00B4513E" w:rsidRPr="00C36CAC" w:rsidRDefault="00B4513E" w:rsidP="004653E2">
            <w:pPr>
              <w:spacing w:after="0" w:line="240" w:lineRule="auto"/>
              <w:jc w:val="center"/>
              <w:rPr>
                <w:rFonts w:eastAsia="Times New Roman" w:cs="Calibri"/>
                <w:b/>
                <w:bCs/>
                <w:color w:val="000000"/>
                <w:sz w:val="20"/>
                <w:szCs w:val="20"/>
                <w:lang w:val="en-US"/>
              </w:rPr>
            </w:pPr>
            <w:r w:rsidRPr="00C36CAC">
              <w:rPr>
                <w:rFonts w:eastAsia="Times New Roman" w:cs="Calibri"/>
                <w:b/>
                <w:bCs/>
                <w:color w:val="000000"/>
                <w:sz w:val="20"/>
                <w:szCs w:val="20"/>
                <w:lang w:val="en-US"/>
              </w:rPr>
              <w:t>Fecha Estimada Cumplimiento</w:t>
            </w:r>
          </w:p>
        </w:tc>
      </w:tr>
      <w:tr w:rsidR="00B4513E" w:rsidRPr="00C36CAC" w14:paraId="510F81B3" w14:textId="77777777" w:rsidTr="004653E2">
        <w:trPr>
          <w:trHeight w:val="520"/>
        </w:trPr>
        <w:tc>
          <w:tcPr>
            <w:tcW w:w="7645" w:type="dxa"/>
            <w:tcBorders>
              <w:top w:val="nil"/>
              <w:left w:val="single" w:sz="8" w:space="0" w:color="auto"/>
              <w:bottom w:val="single" w:sz="4" w:space="0" w:color="auto"/>
              <w:right w:val="single" w:sz="4" w:space="0" w:color="auto"/>
            </w:tcBorders>
            <w:shd w:val="clear" w:color="000000" w:fill="FFFFFF"/>
            <w:hideMark/>
          </w:tcPr>
          <w:p w14:paraId="09449034" w14:textId="77777777" w:rsidR="00B4513E" w:rsidRPr="00C36CAC" w:rsidRDefault="00B4513E" w:rsidP="004653E2">
            <w:pPr>
              <w:spacing w:after="0" w:line="240" w:lineRule="auto"/>
              <w:rPr>
                <w:rFonts w:eastAsia="Times New Roman" w:cs="Calibri"/>
                <w:color w:val="000000"/>
                <w:sz w:val="20"/>
                <w:szCs w:val="20"/>
              </w:rPr>
            </w:pPr>
            <w:r w:rsidRPr="00C36CAC">
              <w:rPr>
                <w:rFonts w:eastAsia="Times New Roman" w:cs="Calibri"/>
                <w:color w:val="000000"/>
                <w:sz w:val="20"/>
                <w:szCs w:val="20"/>
              </w:rPr>
              <w:t>En caso de sufrir algún daño físico sobre un activo generador de efectivo, realizar el registro correspondiente según indica la norma.</w:t>
            </w:r>
          </w:p>
        </w:tc>
        <w:tc>
          <w:tcPr>
            <w:tcW w:w="1310" w:type="dxa"/>
            <w:tcBorders>
              <w:top w:val="nil"/>
              <w:left w:val="nil"/>
              <w:bottom w:val="single" w:sz="4" w:space="0" w:color="auto"/>
              <w:right w:val="single" w:sz="8" w:space="0" w:color="auto"/>
            </w:tcBorders>
            <w:shd w:val="clear" w:color="000000" w:fill="FFFFFF"/>
            <w:noWrap/>
            <w:vAlign w:val="center"/>
            <w:hideMark/>
          </w:tcPr>
          <w:p w14:paraId="265CCC1F" w14:textId="77777777" w:rsidR="00B4513E" w:rsidRPr="00C36CAC" w:rsidRDefault="00B4513E" w:rsidP="004653E2">
            <w:pPr>
              <w:spacing w:after="0" w:line="240" w:lineRule="auto"/>
              <w:jc w:val="center"/>
              <w:rPr>
                <w:rFonts w:eastAsia="Times New Roman" w:cs="Calibri"/>
                <w:sz w:val="20"/>
                <w:szCs w:val="20"/>
                <w:lang w:val="en-US"/>
              </w:rPr>
            </w:pPr>
            <w:r w:rsidRPr="00C36CAC">
              <w:rPr>
                <w:rFonts w:eastAsia="Times New Roman" w:cs="Calibri"/>
                <w:sz w:val="20"/>
                <w:szCs w:val="20"/>
                <w:lang w:val="en-US"/>
              </w:rPr>
              <w:t>31/12/24</w:t>
            </w:r>
          </w:p>
        </w:tc>
      </w:tr>
      <w:tr w:rsidR="00B4513E" w:rsidRPr="00C36CAC" w14:paraId="4D075E5F" w14:textId="77777777" w:rsidTr="004653E2">
        <w:trPr>
          <w:trHeight w:val="290"/>
        </w:trPr>
        <w:tc>
          <w:tcPr>
            <w:tcW w:w="7645" w:type="dxa"/>
            <w:tcBorders>
              <w:top w:val="nil"/>
              <w:left w:val="single" w:sz="8" w:space="0" w:color="auto"/>
              <w:bottom w:val="single" w:sz="4" w:space="0" w:color="auto"/>
              <w:right w:val="single" w:sz="4" w:space="0" w:color="auto"/>
            </w:tcBorders>
            <w:shd w:val="clear" w:color="000000" w:fill="FFFFFF"/>
            <w:vAlign w:val="center"/>
            <w:hideMark/>
          </w:tcPr>
          <w:p w14:paraId="5AEF91F5" w14:textId="77777777" w:rsidR="00B4513E" w:rsidRPr="00C36CAC" w:rsidRDefault="00B4513E" w:rsidP="004653E2">
            <w:pPr>
              <w:spacing w:after="0" w:line="240" w:lineRule="auto"/>
              <w:rPr>
                <w:rFonts w:eastAsia="Times New Roman" w:cs="Calibri"/>
                <w:sz w:val="20"/>
                <w:szCs w:val="20"/>
              </w:rPr>
            </w:pPr>
            <w:r w:rsidRPr="00C36CAC">
              <w:rPr>
                <w:rFonts w:eastAsia="Times New Roman" w:cs="Calibri"/>
                <w:sz w:val="20"/>
                <w:szCs w:val="20"/>
              </w:rPr>
              <w:t>Adecuación e inclusión del catálogo de cuentas con los respectivos auxiliares.</w:t>
            </w:r>
          </w:p>
        </w:tc>
        <w:tc>
          <w:tcPr>
            <w:tcW w:w="1310" w:type="dxa"/>
            <w:tcBorders>
              <w:top w:val="nil"/>
              <w:left w:val="nil"/>
              <w:bottom w:val="single" w:sz="4" w:space="0" w:color="auto"/>
              <w:right w:val="single" w:sz="8" w:space="0" w:color="auto"/>
            </w:tcBorders>
            <w:shd w:val="clear" w:color="000000" w:fill="FFFFFF"/>
            <w:noWrap/>
            <w:vAlign w:val="center"/>
            <w:hideMark/>
          </w:tcPr>
          <w:p w14:paraId="33BF4D5B" w14:textId="77777777" w:rsidR="00B4513E" w:rsidRPr="00C36CAC" w:rsidRDefault="00B4513E" w:rsidP="004653E2">
            <w:pPr>
              <w:spacing w:after="0" w:line="240" w:lineRule="auto"/>
              <w:jc w:val="center"/>
              <w:rPr>
                <w:rFonts w:eastAsia="Times New Roman" w:cs="Calibri"/>
                <w:sz w:val="20"/>
                <w:szCs w:val="20"/>
                <w:lang w:val="en-US"/>
              </w:rPr>
            </w:pPr>
            <w:r w:rsidRPr="00C36CAC">
              <w:rPr>
                <w:rFonts w:eastAsia="Times New Roman" w:cs="Calibri"/>
                <w:sz w:val="20"/>
                <w:szCs w:val="20"/>
                <w:lang w:val="en-US"/>
              </w:rPr>
              <w:t>31/12/24</w:t>
            </w:r>
          </w:p>
        </w:tc>
      </w:tr>
      <w:tr w:rsidR="00B4513E" w:rsidRPr="00C36CAC" w14:paraId="1465D96D" w14:textId="77777777" w:rsidTr="004653E2">
        <w:trPr>
          <w:trHeight w:val="290"/>
        </w:trPr>
        <w:tc>
          <w:tcPr>
            <w:tcW w:w="7645" w:type="dxa"/>
            <w:tcBorders>
              <w:top w:val="nil"/>
              <w:left w:val="single" w:sz="8" w:space="0" w:color="auto"/>
              <w:bottom w:val="single" w:sz="4" w:space="0" w:color="auto"/>
              <w:right w:val="single" w:sz="4" w:space="0" w:color="auto"/>
            </w:tcBorders>
            <w:shd w:val="clear" w:color="000000" w:fill="FFFFFF"/>
            <w:vAlign w:val="center"/>
            <w:hideMark/>
          </w:tcPr>
          <w:p w14:paraId="2EBC32D6" w14:textId="77777777" w:rsidR="00B4513E" w:rsidRPr="00C36CAC" w:rsidRDefault="00B4513E" w:rsidP="004653E2">
            <w:pPr>
              <w:spacing w:after="0" w:line="240" w:lineRule="auto"/>
              <w:rPr>
                <w:rFonts w:eastAsia="Times New Roman" w:cs="Calibri"/>
                <w:sz w:val="20"/>
                <w:szCs w:val="20"/>
              </w:rPr>
            </w:pPr>
            <w:r w:rsidRPr="00C36CAC">
              <w:rPr>
                <w:rFonts w:eastAsia="Times New Roman" w:cs="Calibri"/>
                <w:sz w:val="20"/>
                <w:szCs w:val="20"/>
              </w:rPr>
              <w:t>Elaboración e inclusión en el sistema de la Balanza de Comprobación inicial.</w:t>
            </w:r>
          </w:p>
        </w:tc>
        <w:tc>
          <w:tcPr>
            <w:tcW w:w="1310" w:type="dxa"/>
            <w:tcBorders>
              <w:top w:val="nil"/>
              <w:left w:val="nil"/>
              <w:bottom w:val="single" w:sz="4" w:space="0" w:color="auto"/>
              <w:right w:val="single" w:sz="8" w:space="0" w:color="auto"/>
            </w:tcBorders>
            <w:shd w:val="clear" w:color="000000" w:fill="FFFFFF"/>
            <w:noWrap/>
            <w:vAlign w:val="center"/>
            <w:hideMark/>
          </w:tcPr>
          <w:p w14:paraId="04F70ACC" w14:textId="77777777" w:rsidR="00B4513E" w:rsidRPr="00C36CAC" w:rsidRDefault="00B4513E" w:rsidP="004653E2">
            <w:pPr>
              <w:spacing w:after="0" w:line="240" w:lineRule="auto"/>
              <w:jc w:val="center"/>
              <w:rPr>
                <w:rFonts w:eastAsia="Times New Roman" w:cs="Calibri"/>
                <w:sz w:val="20"/>
                <w:szCs w:val="20"/>
                <w:lang w:val="en-US"/>
              </w:rPr>
            </w:pPr>
            <w:r w:rsidRPr="00C36CAC">
              <w:rPr>
                <w:rFonts w:eastAsia="Times New Roman" w:cs="Calibri"/>
                <w:sz w:val="20"/>
                <w:szCs w:val="20"/>
                <w:lang w:val="en-US"/>
              </w:rPr>
              <w:t>31/12/24</w:t>
            </w:r>
          </w:p>
        </w:tc>
      </w:tr>
      <w:tr w:rsidR="00B4513E" w:rsidRPr="00C36CAC" w14:paraId="5262BB35" w14:textId="77777777" w:rsidTr="004653E2">
        <w:trPr>
          <w:trHeight w:val="290"/>
        </w:trPr>
        <w:tc>
          <w:tcPr>
            <w:tcW w:w="7645" w:type="dxa"/>
            <w:tcBorders>
              <w:top w:val="nil"/>
              <w:left w:val="single" w:sz="8" w:space="0" w:color="auto"/>
              <w:bottom w:val="single" w:sz="4" w:space="0" w:color="auto"/>
              <w:right w:val="single" w:sz="4" w:space="0" w:color="auto"/>
            </w:tcBorders>
            <w:shd w:val="clear" w:color="000000" w:fill="FFFFFF"/>
            <w:hideMark/>
          </w:tcPr>
          <w:p w14:paraId="2252EF9C" w14:textId="77777777" w:rsidR="00B4513E" w:rsidRPr="00C36CAC" w:rsidRDefault="00B4513E" w:rsidP="004653E2">
            <w:pPr>
              <w:spacing w:after="0" w:line="240" w:lineRule="auto"/>
              <w:jc w:val="left"/>
              <w:rPr>
                <w:rFonts w:eastAsia="Times New Roman" w:cs="Calibri"/>
                <w:color w:val="000000"/>
                <w:sz w:val="20"/>
                <w:szCs w:val="20"/>
              </w:rPr>
            </w:pPr>
            <w:r w:rsidRPr="00C36CAC">
              <w:rPr>
                <w:rFonts w:eastAsia="Times New Roman" w:cs="Calibri"/>
                <w:color w:val="000000"/>
                <w:sz w:val="20"/>
                <w:szCs w:val="20"/>
              </w:rPr>
              <w:t>Identificar los activos generadores de efectivo de la institución.</w:t>
            </w:r>
          </w:p>
        </w:tc>
        <w:tc>
          <w:tcPr>
            <w:tcW w:w="1310" w:type="dxa"/>
            <w:tcBorders>
              <w:top w:val="nil"/>
              <w:left w:val="nil"/>
              <w:bottom w:val="single" w:sz="4" w:space="0" w:color="auto"/>
              <w:right w:val="single" w:sz="8" w:space="0" w:color="auto"/>
            </w:tcBorders>
            <w:shd w:val="clear" w:color="000000" w:fill="FFFFFF"/>
            <w:noWrap/>
            <w:vAlign w:val="center"/>
            <w:hideMark/>
          </w:tcPr>
          <w:p w14:paraId="62BEF24F" w14:textId="77777777" w:rsidR="00B4513E" w:rsidRPr="00C36CAC" w:rsidRDefault="00B4513E" w:rsidP="004653E2">
            <w:pPr>
              <w:spacing w:after="0" w:line="240" w:lineRule="auto"/>
              <w:jc w:val="center"/>
              <w:rPr>
                <w:rFonts w:eastAsia="Times New Roman" w:cs="Calibri"/>
                <w:sz w:val="20"/>
                <w:szCs w:val="20"/>
                <w:lang w:val="en-US"/>
              </w:rPr>
            </w:pPr>
            <w:r w:rsidRPr="00C36CAC">
              <w:rPr>
                <w:rFonts w:eastAsia="Times New Roman" w:cs="Calibri"/>
                <w:sz w:val="20"/>
                <w:szCs w:val="20"/>
                <w:lang w:val="en-US"/>
              </w:rPr>
              <w:t>31/12/24</w:t>
            </w:r>
          </w:p>
        </w:tc>
      </w:tr>
      <w:tr w:rsidR="00B4513E" w:rsidRPr="00C36CAC" w14:paraId="708CA8B3" w14:textId="77777777" w:rsidTr="004653E2">
        <w:trPr>
          <w:trHeight w:val="780"/>
        </w:trPr>
        <w:tc>
          <w:tcPr>
            <w:tcW w:w="7645" w:type="dxa"/>
            <w:tcBorders>
              <w:top w:val="nil"/>
              <w:left w:val="single" w:sz="8" w:space="0" w:color="auto"/>
              <w:bottom w:val="single" w:sz="4" w:space="0" w:color="auto"/>
              <w:right w:val="single" w:sz="4" w:space="0" w:color="auto"/>
            </w:tcBorders>
            <w:shd w:val="clear" w:color="000000" w:fill="FFFFFF"/>
            <w:vAlign w:val="center"/>
            <w:hideMark/>
          </w:tcPr>
          <w:p w14:paraId="30B4B96B" w14:textId="77777777" w:rsidR="00B4513E" w:rsidRPr="00C36CAC" w:rsidRDefault="00B4513E" w:rsidP="004653E2">
            <w:pPr>
              <w:spacing w:after="0" w:line="240" w:lineRule="auto"/>
              <w:rPr>
                <w:rFonts w:eastAsia="Times New Roman" w:cs="Calibri"/>
                <w:sz w:val="20"/>
                <w:szCs w:val="20"/>
              </w:rPr>
            </w:pPr>
            <w:r w:rsidRPr="00C36CAC">
              <w:rPr>
                <w:rFonts w:eastAsia="Times New Roman" w:cs="Calibri"/>
                <w:sz w:val="20"/>
                <w:szCs w:val="20"/>
              </w:rPr>
              <w:t>Establecer los criterios que como mínimo se deben considerar al hacer la evaluación de si existe algún indicio de que pueda haberse deteriorado el valor de un activo y actualizar el Manual de procedimientos financiero-contable.</w:t>
            </w:r>
          </w:p>
        </w:tc>
        <w:tc>
          <w:tcPr>
            <w:tcW w:w="1310" w:type="dxa"/>
            <w:tcBorders>
              <w:top w:val="nil"/>
              <w:left w:val="nil"/>
              <w:bottom w:val="single" w:sz="4" w:space="0" w:color="auto"/>
              <w:right w:val="single" w:sz="8" w:space="0" w:color="auto"/>
            </w:tcBorders>
            <w:shd w:val="clear" w:color="000000" w:fill="FFFFFF"/>
            <w:noWrap/>
            <w:vAlign w:val="center"/>
            <w:hideMark/>
          </w:tcPr>
          <w:p w14:paraId="203A1D8F" w14:textId="77777777" w:rsidR="00B4513E" w:rsidRPr="00C36CAC" w:rsidRDefault="00B4513E" w:rsidP="004653E2">
            <w:pPr>
              <w:spacing w:after="0" w:line="240" w:lineRule="auto"/>
              <w:jc w:val="center"/>
              <w:rPr>
                <w:rFonts w:eastAsia="Times New Roman" w:cs="Calibri"/>
                <w:sz w:val="20"/>
                <w:szCs w:val="20"/>
                <w:lang w:val="en-US"/>
              </w:rPr>
            </w:pPr>
            <w:r w:rsidRPr="00C36CAC">
              <w:rPr>
                <w:rFonts w:eastAsia="Times New Roman" w:cs="Calibri"/>
                <w:sz w:val="20"/>
                <w:szCs w:val="20"/>
                <w:lang w:val="en-US"/>
              </w:rPr>
              <w:t>31/12/24</w:t>
            </w:r>
          </w:p>
        </w:tc>
      </w:tr>
      <w:tr w:rsidR="00B4513E" w:rsidRPr="00C36CAC" w14:paraId="361062F0" w14:textId="77777777" w:rsidTr="004653E2">
        <w:trPr>
          <w:trHeight w:val="780"/>
        </w:trPr>
        <w:tc>
          <w:tcPr>
            <w:tcW w:w="7645" w:type="dxa"/>
            <w:tcBorders>
              <w:top w:val="nil"/>
              <w:left w:val="single" w:sz="8" w:space="0" w:color="auto"/>
              <w:bottom w:val="single" w:sz="4" w:space="0" w:color="auto"/>
              <w:right w:val="single" w:sz="4" w:space="0" w:color="auto"/>
            </w:tcBorders>
            <w:shd w:val="clear" w:color="000000" w:fill="FFFFFF"/>
            <w:vAlign w:val="center"/>
            <w:hideMark/>
          </w:tcPr>
          <w:p w14:paraId="5F30CC3E" w14:textId="77777777" w:rsidR="00B4513E" w:rsidRPr="00C36CAC" w:rsidRDefault="00B4513E" w:rsidP="004653E2">
            <w:pPr>
              <w:spacing w:after="0" w:line="240" w:lineRule="auto"/>
              <w:rPr>
                <w:rFonts w:eastAsia="Times New Roman" w:cs="Calibri"/>
                <w:sz w:val="20"/>
                <w:szCs w:val="20"/>
              </w:rPr>
            </w:pPr>
            <w:r w:rsidRPr="00C36CAC">
              <w:rPr>
                <w:rFonts w:eastAsia="Times New Roman" w:cs="Calibri"/>
                <w:sz w:val="20"/>
                <w:szCs w:val="20"/>
              </w:rPr>
              <w:t>Implementar la práctica de evaluar en cada fecha de presentación, si existen indicios de deterioro en los activos tangibles e intangibles generadoras de efectivo y en caso de que se presenten realizar el calculo para determinar el valor recuperable.</w:t>
            </w:r>
          </w:p>
        </w:tc>
        <w:tc>
          <w:tcPr>
            <w:tcW w:w="1310" w:type="dxa"/>
            <w:tcBorders>
              <w:top w:val="nil"/>
              <w:left w:val="nil"/>
              <w:bottom w:val="single" w:sz="4" w:space="0" w:color="auto"/>
              <w:right w:val="single" w:sz="8" w:space="0" w:color="auto"/>
            </w:tcBorders>
            <w:shd w:val="clear" w:color="000000" w:fill="FFFFFF"/>
            <w:noWrap/>
            <w:vAlign w:val="center"/>
            <w:hideMark/>
          </w:tcPr>
          <w:p w14:paraId="6E18520B" w14:textId="77777777" w:rsidR="00B4513E" w:rsidRPr="00C36CAC" w:rsidRDefault="00B4513E" w:rsidP="004653E2">
            <w:pPr>
              <w:spacing w:after="0" w:line="240" w:lineRule="auto"/>
              <w:jc w:val="center"/>
              <w:rPr>
                <w:rFonts w:eastAsia="Times New Roman" w:cs="Calibri"/>
                <w:sz w:val="20"/>
                <w:szCs w:val="20"/>
                <w:lang w:val="en-US"/>
              </w:rPr>
            </w:pPr>
            <w:r w:rsidRPr="00C36CAC">
              <w:rPr>
                <w:rFonts w:eastAsia="Times New Roman" w:cs="Calibri"/>
                <w:sz w:val="20"/>
                <w:szCs w:val="20"/>
                <w:lang w:val="en-US"/>
              </w:rPr>
              <w:t>31/12/24</w:t>
            </w:r>
          </w:p>
        </w:tc>
      </w:tr>
      <w:tr w:rsidR="00B4513E" w:rsidRPr="00C36CAC" w14:paraId="2EF9A47D" w14:textId="77777777" w:rsidTr="004653E2">
        <w:trPr>
          <w:trHeight w:val="520"/>
        </w:trPr>
        <w:tc>
          <w:tcPr>
            <w:tcW w:w="7645" w:type="dxa"/>
            <w:tcBorders>
              <w:top w:val="nil"/>
              <w:left w:val="single" w:sz="8" w:space="0" w:color="auto"/>
              <w:bottom w:val="single" w:sz="4" w:space="0" w:color="auto"/>
              <w:right w:val="single" w:sz="4" w:space="0" w:color="auto"/>
            </w:tcBorders>
            <w:shd w:val="clear" w:color="000000" w:fill="FFFFFF"/>
            <w:vAlign w:val="center"/>
            <w:hideMark/>
          </w:tcPr>
          <w:p w14:paraId="2DB05D3E" w14:textId="77777777" w:rsidR="00B4513E" w:rsidRPr="00C36CAC" w:rsidRDefault="00B4513E" w:rsidP="004653E2">
            <w:pPr>
              <w:spacing w:after="0" w:line="240" w:lineRule="auto"/>
              <w:rPr>
                <w:rFonts w:eastAsia="Times New Roman" w:cs="Calibri"/>
                <w:sz w:val="20"/>
                <w:szCs w:val="20"/>
              </w:rPr>
            </w:pPr>
            <w:r w:rsidRPr="00C36CAC">
              <w:rPr>
                <w:rFonts w:eastAsia="Times New Roman" w:cs="Calibri"/>
                <w:sz w:val="20"/>
                <w:szCs w:val="20"/>
              </w:rPr>
              <w:t>Implementar la práctica de evaluar en cada fecha de presentación, si algún indicio de que la pérdida por deterioro reconocida en periodos anteriores ya no existe o ha disminuido.</w:t>
            </w:r>
          </w:p>
        </w:tc>
        <w:tc>
          <w:tcPr>
            <w:tcW w:w="1310" w:type="dxa"/>
            <w:tcBorders>
              <w:top w:val="nil"/>
              <w:left w:val="nil"/>
              <w:bottom w:val="single" w:sz="4" w:space="0" w:color="auto"/>
              <w:right w:val="single" w:sz="8" w:space="0" w:color="auto"/>
            </w:tcBorders>
            <w:shd w:val="clear" w:color="000000" w:fill="FFFFFF"/>
            <w:noWrap/>
            <w:vAlign w:val="center"/>
            <w:hideMark/>
          </w:tcPr>
          <w:p w14:paraId="61F5D502" w14:textId="77777777" w:rsidR="00B4513E" w:rsidRPr="00C36CAC" w:rsidRDefault="00B4513E" w:rsidP="004653E2">
            <w:pPr>
              <w:spacing w:after="0" w:line="240" w:lineRule="auto"/>
              <w:jc w:val="center"/>
              <w:rPr>
                <w:rFonts w:eastAsia="Times New Roman" w:cs="Calibri"/>
                <w:sz w:val="20"/>
                <w:szCs w:val="20"/>
                <w:lang w:val="en-US"/>
              </w:rPr>
            </w:pPr>
            <w:r w:rsidRPr="00C36CAC">
              <w:rPr>
                <w:rFonts w:eastAsia="Times New Roman" w:cs="Calibri"/>
                <w:sz w:val="20"/>
                <w:szCs w:val="20"/>
                <w:lang w:val="en-US"/>
              </w:rPr>
              <w:t>31/12/24</w:t>
            </w:r>
          </w:p>
        </w:tc>
      </w:tr>
      <w:tr w:rsidR="00B4513E" w:rsidRPr="00C36CAC" w14:paraId="348A17B3" w14:textId="77777777" w:rsidTr="004653E2">
        <w:trPr>
          <w:trHeight w:val="780"/>
        </w:trPr>
        <w:tc>
          <w:tcPr>
            <w:tcW w:w="7645" w:type="dxa"/>
            <w:tcBorders>
              <w:top w:val="nil"/>
              <w:left w:val="single" w:sz="8" w:space="0" w:color="auto"/>
              <w:bottom w:val="single" w:sz="4" w:space="0" w:color="auto"/>
              <w:right w:val="single" w:sz="4" w:space="0" w:color="auto"/>
            </w:tcBorders>
            <w:shd w:val="clear" w:color="000000" w:fill="FFFFFF"/>
            <w:vAlign w:val="center"/>
            <w:hideMark/>
          </w:tcPr>
          <w:p w14:paraId="3A28256E" w14:textId="77777777" w:rsidR="00B4513E" w:rsidRPr="00C36CAC" w:rsidRDefault="00B4513E" w:rsidP="004653E2">
            <w:pPr>
              <w:spacing w:after="0" w:line="240" w:lineRule="auto"/>
              <w:rPr>
                <w:rFonts w:eastAsia="Times New Roman" w:cs="Calibri"/>
                <w:sz w:val="20"/>
                <w:szCs w:val="20"/>
              </w:rPr>
            </w:pPr>
            <w:r w:rsidRPr="00C36CAC">
              <w:rPr>
                <w:rFonts w:eastAsia="Times New Roman" w:cs="Calibri"/>
                <w:sz w:val="20"/>
                <w:szCs w:val="20"/>
              </w:rPr>
              <w:t>Reconocer y medir la ocurrencia de una pérdida por deterioro, o la disminución o eliminación de una pérdida reconocida anteriormente, con base en los resultados obtenidos en la evaluación realizada en cada fecha de presentación, según indica la norma.</w:t>
            </w:r>
          </w:p>
        </w:tc>
        <w:tc>
          <w:tcPr>
            <w:tcW w:w="1310" w:type="dxa"/>
            <w:tcBorders>
              <w:top w:val="nil"/>
              <w:left w:val="nil"/>
              <w:bottom w:val="single" w:sz="4" w:space="0" w:color="auto"/>
              <w:right w:val="single" w:sz="8" w:space="0" w:color="auto"/>
            </w:tcBorders>
            <w:shd w:val="clear" w:color="000000" w:fill="FFFFFF"/>
            <w:noWrap/>
            <w:vAlign w:val="center"/>
            <w:hideMark/>
          </w:tcPr>
          <w:p w14:paraId="3130B485" w14:textId="77777777" w:rsidR="00B4513E" w:rsidRPr="00C36CAC" w:rsidRDefault="00B4513E" w:rsidP="004653E2">
            <w:pPr>
              <w:spacing w:after="0" w:line="240" w:lineRule="auto"/>
              <w:jc w:val="center"/>
              <w:rPr>
                <w:rFonts w:eastAsia="Times New Roman" w:cs="Calibri"/>
                <w:sz w:val="20"/>
                <w:szCs w:val="20"/>
                <w:lang w:val="en-US"/>
              </w:rPr>
            </w:pPr>
            <w:r w:rsidRPr="00C36CAC">
              <w:rPr>
                <w:rFonts w:eastAsia="Times New Roman" w:cs="Calibri"/>
                <w:sz w:val="20"/>
                <w:szCs w:val="20"/>
                <w:lang w:val="en-US"/>
              </w:rPr>
              <w:t>31/12/24</w:t>
            </w:r>
          </w:p>
        </w:tc>
      </w:tr>
      <w:tr w:rsidR="00B4513E" w:rsidRPr="00C36CAC" w14:paraId="0FF5D108" w14:textId="77777777" w:rsidTr="004653E2">
        <w:trPr>
          <w:trHeight w:val="290"/>
        </w:trPr>
        <w:tc>
          <w:tcPr>
            <w:tcW w:w="7645" w:type="dxa"/>
            <w:tcBorders>
              <w:top w:val="nil"/>
              <w:left w:val="single" w:sz="8" w:space="0" w:color="auto"/>
              <w:bottom w:val="single" w:sz="4" w:space="0" w:color="auto"/>
              <w:right w:val="single" w:sz="4" w:space="0" w:color="auto"/>
            </w:tcBorders>
            <w:shd w:val="clear" w:color="000000" w:fill="FFFFFF"/>
            <w:vAlign w:val="center"/>
            <w:hideMark/>
          </w:tcPr>
          <w:p w14:paraId="30BC0F83" w14:textId="77777777" w:rsidR="00B4513E" w:rsidRPr="00C36CAC" w:rsidRDefault="00B4513E" w:rsidP="004653E2">
            <w:pPr>
              <w:spacing w:after="0" w:line="240" w:lineRule="auto"/>
              <w:rPr>
                <w:rFonts w:eastAsia="Times New Roman" w:cs="Calibri"/>
                <w:sz w:val="20"/>
                <w:szCs w:val="20"/>
              </w:rPr>
            </w:pPr>
            <w:r w:rsidRPr="00C36CAC">
              <w:rPr>
                <w:rFonts w:eastAsia="Times New Roman" w:cs="Calibri"/>
                <w:sz w:val="20"/>
                <w:szCs w:val="20"/>
              </w:rPr>
              <w:t>Determinar la información que se debe revelar en relación con los activos no generadores de efectivo.</w:t>
            </w:r>
          </w:p>
        </w:tc>
        <w:tc>
          <w:tcPr>
            <w:tcW w:w="1310" w:type="dxa"/>
            <w:tcBorders>
              <w:top w:val="nil"/>
              <w:left w:val="nil"/>
              <w:bottom w:val="single" w:sz="4" w:space="0" w:color="auto"/>
              <w:right w:val="single" w:sz="8" w:space="0" w:color="auto"/>
            </w:tcBorders>
            <w:shd w:val="clear" w:color="000000" w:fill="FFFFFF"/>
            <w:noWrap/>
            <w:vAlign w:val="center"/>
            <w:hideMark/>
          </w:tcPr>
          <w:p w14:paraId="39ABD421" w14:textId="77777777" w:rsidR="00B4513E" w:rsidRPr="00C36CAC" w:rsidRDefault="00B4513E" w:rsidP="004653E2">
            <w:pPr>
              <w:spacing w:after="0" w:line="240" w:lineRule="auto"/>
              <w:jc w:val="center"/>
              <w:rPr>
                <w:rFonts w:eastAsia="Times New Roman" w:cs="Calibri"/>
                <w:sz w:val="20"/>
                <w:szCs w:val="20"/>
                <w:lang w:val="en-US"/>
              </w:rPr>
            </w:pPr>
            <w:r w:rsidRPr="00C36CAC">
              <w:rPr>
                <w:rFonts w:eastAsia="Times New Roman" w:cs="Calibri"/>
                <w:sz w:val="20"/>
                <w:szCs w:val="20"/>
                <w:lang w:val="en-US"/>
              </w:rPr>
              <w:t>31/12/24</w:t>
            </w:r>
          </w:p>
        </w:tc>
      </w:tr>
    </w:tbl>
    <w:p w14:paraId="6460C79E" w14:textId="77777777" w:rsidR="00B4513E" w:rsidRPr="00506425" w:rsidRDefault="00B4513E" w:rsidP="00B4513E">
      <w:pPr>
        <w:spacing w:after="0" w:line="240" w:lineRule="auto"/>
      </w:pPr>
    </w:p>
    <w:p w14:paraId="2B70A44D" w14:textId="77777777" w:rsidR="0008638E" w:rsidRDefault="0008638E" w:rsidP="00FE51BD"/>
    <w:p w14:paraId="29549291" w14:textId="0D163859" w:rsidR="00FE51BD" w:rsidRPr="00A649A4" w:rsidRDefault="00FE51BD" w:rsidP="00A649A4">
      <w:pPr>
        <w:pStyle w:val="Ttulo2"/>
        <w:spacing w:after="240"/>
        <w:rPr>
          <w:rFonts w:eastAsia="Times New Roman"/>
          <w:lang w:eastAsia="es-CR"/>
        </w:rPr>
      </w:pPr>
      <w:bookmarkStart w:id="91" w:name="_Toc173245207"/>
      <w:r w:rsidRPr="00FE51BD">
        <w:rPr>
          <w:rFonts w:eastAsia="Times New Roman"/>
          <w:lang w:eastAsia="es-CR"/>
        </w:rPr>
        <w:t>NICSP 27 AGRICULTURA:</w:t>
      </w:r>
      <w:bookmarkEnd w:id="91"/>
      <w:r w:rsidRPr="00FE51BD">
        <w:rPr>
          <w:rFonts w:eastAsia="Times New Roman"/>
          <w:lang w:eastAsia="es-CR"/>
        </w:rPr>
        <w:t xml:space="preserve"> </w:t>
      </w:r>
    </w:p>
    <w:p w14:paraId="0BE8FEB3" w14:textId="77777777" w:rsidR="00694299" w:rsidRDefault="00FE51BD" w:rsidP="00FE51BD">
      <w:pPr>
        <w:rPr>
          <w:rFonts w:asciiTheme="minorHAnsi" w:hAnsiTheme="minorHAnsi"/>
          <w:sz w:val="22"/>
        </w:rPr>
      </w:pPr>
      <w:bookmarkStart w:id="92" w:name="_Hlk123833241"/>
      <w:r w:rsidRPr="00405DBC">
        <w:t xml:space="preserve">De acuerdo con la </w:t>
      </w:r>
      <w:r w:rsidRPr="00FE51BD">
        <w:rPr>
          <w:rFonts w:eastAsia="Times New Roman"/>
          <w:lang w:val="es-MX" w:eastAsia="es-CR"/>
        </w:rPr>
        <w:t>NICSP 27- Agricultura</w:t>
      </w:r>
      <w:r>
        <w:t>, i</w:t>
      </w:r>
      <w:r w:rsidRPr="00405DBC">
        <w:t>ndicar si este rubro afecta SI o NO a la institución, además del porcentaje de avance</w:t>
      </w:r>
      <w:r>
        <w:t xml:space="preserve"> en la implementación</w:t>
      </w:r>
      <w:r w:rsidRPr="00405DBC">
        <w:t xml:space="preserve"> que presenta</w:t>
      </w:r>
      <w:r>
        <w:rPr>
          <w:b/>
        </w:rPr>
        <w:t>.</w:t>
      </w:r>
      <w:r w:rsidR="00C5447D">
        <w:rPr>
          <w:lang w:val="es-MX"/>
        </w:rPr>
        <w:fldChar w:fldCharType="begin"/>
      </w:r>
      <w:r w:rsidR="00C5447D">
        <w:rPr>
          <w:lang w:val="es-MX"/>
        </w:rPr>
        <w:instrText xml:space="preserve"> LINK </w:instrText>
      </w:r>
      <w:r w:rsidR="00323752">
        <w:rPr>
          <w:lang w:val="es-MX"/>
        </w:rPr>
        <w:instrText xml:space="preserve">Excel.SheetMacroEnabled.12 "D:\\MORAVIA\\INSUMOS\\NOTAS 2024\\Formato_Notas_EEFF_Vinculadas_2024\\XXXXX_PXX_202X_Anexo_Estado_Notas_Contables_Vinculadas.xlsm" NICSP_27!F9C3:F10C4 </w:instrText>
      </w:r>
      <w:r w:rsidR="00C5447D">
        <w:rPr>
          <w:lang w:val="es-MX"/>
        </w:rPr>
        <w:instrText xml:space="preserve">\a \f 4 \h </w:instrText>
      </w:r>
      <w:r w:rsidR="00C5447D">
        <w:rPr>
          <w:lang w:val="es-MX"/>
        </w:rPr>
        <w:fldChar w:fldCharType="separate"/>
      </w:r>
    </w:p>
    <w:tbl>
      <w:tblPr>
        <w:tblW w:w="3740" w:type="dxa"/>
        <w:tblCellMar>
          <w:left w:w="70" w:type="dxa"/>
          <w:right w:w="70" w:type="dxa"/>
        </w:tblCellMar>
        <w:tblLook w:val="04A0" w:firstRow="1" w:lastRow="0" w:firstColumn="1" w:lastColumn="0" w:noHBand="0" w:noVBand="1"/>
      </w:tblPr>
      <w:tblGrid>
        <w:gridCol w:w="2340"/>
        <w:gridCol w:w="1400"/>
      </w:tblGrid>
      <w:tr w:rsidR="00694299" w:rsidRPr="00694299" w14:paraId="35F69C88" w14:textId="77777777" w:rsidTr="00694299">
        <w:trPr>
          <w:divId w:val="1254509059"/>
          <w:trHeight w:val="324"/>
        </w:trPr>
        <w:tc>
          <w:tcPr>
            <w:tcW w:w="23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7CA6889F" w14:textId="4B36AF1E"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42E08"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No</w:t>
            </w:r>
          </w:p>
        </w:tc>
      </w:tr>
      <w:tr w:rsidR="00694299" w:rsidRPr="00694299" w14:paraId="118979EC" w14:textId="77777777" w:rsidTr="00694299">
        <w:trPr>
          <w:divId w:val="1254509059"/>
          <w:trHeight w:val="324"/>
        </w:trPr>
        <w:tc>
          <w:tcPr>
            <w:tcW w:w="2340" w:type="dxa"/>
            <w:tcBorders>
              <w:top w:val="nil"/>
              <w:left w:val="single" w:sz="8" w:space="0" w:color="auto"/>
              <w:bottom w:val="single" w:sz="8" w:space="0" w:color="auto"/>
              <w:right w:val="single" w:sz="8" w:space="0" w:color="auto"/>
            </w:tcBorders>
            <w:shd w:val="clear" w:color="000000" w:fill="17365D"/>
            <w:vAlign w:val="center"/>
            <w:hideMark/>
          </w:tcPr>
          <w:p w14:paraId="50DFED04"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3994839A"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 </w:t>
            </w:r>
          </w:p>
        </w:tc>
      </w:tr>
    </w:tbl>
    <w:p w14:paraId="7F465231" w14:textId="30426A68" w:rsidR="00FE51BD" w:rsidRDefault="00C5447D" w:rsidP="00FE51BD">
      <w:pPr>
        <w:rPr>
          <w:lang w:val="es-MX"/>
        </w:rPr>
      </w:pPr>
      <w:r>
        <w:rPr>
          <w:lang w:val="es-MX"/>
        </w:rPr>
        <w:fldChar w:fldCharType="end"/>
      </w:r>
    </w:p>
    <w:bookmarkEnd w:id="92"/>
    <w:p w14:paraId="3CC43578" w14:textId="48BC25BD" w:rsidR="00694299" w:rsidRDefault="00FE51BD" w:rsidP="00FE51BD">
      <w:pPr>
        <w:rPr>
          <w:rFonts w:asciiTheme="minorHAnsi" w:hAnsiTheme="minorHAnsi"/>
          <w:sz w:val="22"/>
        </w:rPr>
      </w:pPr>
      <w:r w:rsidRPr="00FE51BD">
        <w:rPr>
          <w:lang w:val="es-MX"/>
        </w:rPr>
        <w:t xml:space="preserve">A continuación, un cuadro resumen, pero el detalle de los cuadros debe ser adjuntados como anexos </w:t>
      </w:r>
      <w:hyperlink w:anchor="_NICSP_27-_Agricultura" w:history="1">
        <w:r w:rsidRPr="005F2549">
          <w:rPr>
            <w:rStyle w:val="Hipervnculo"/>
            <w:lang w:val="es-MX"/>
          </w:rPr>
          <w:t xml:space="preserve">NICSP 27- </w:t>
        </w:r>
        <w:r w:rsidR="005F2549" w:rsidRPr="005F2549">
          <w:rPr>
            <w:rStyle w:val="Hipervnculo"/>
            <w:lang w:val="es-MX"/>
          </w:rPr>
          <w:t>Agricultura</w:t>
        </w:r>
      </w:hyperlink>
      <w:r w:rsidR="005F2549" w:rsidRPr="005F2549">
        <w:rPr>
          <w:lang w:val="es-MX"/>
        </w:rPr>
        <w:t>:</w:t>
      </w:r>
      <w:r w:rsidR="00C5447D">
        <w:rPr>
          <w:lang w:val="es-MX"/>
        </w:rPr>
        <w:fldChar w:fldCharType="begin"/>
      </w:r>
      <w:r w:rsidR="00C5447D">
        <w:rPr>
          <w:lang w:val="es-MX"/>
        </w:rPr>
        <w:instrText xml:space="preserve"> LINK </w:instrText>
      </w:r>
      <w:r w:rsidR="00323752">
        <w:rPr>
          <w:lang w:val="es-MX"/>
        </w:rPr>
        <w:instrText xml:space="preserve">Excel.SheetMacroEnabled.12 "D:\\MORAVIA\\INSUMOS\\NOTAS 2024\\Formato_Notas_EEFF_Vinculadas_2024\\XXXXX_PXX_202X_Anexo_Estado_Notas_Contables_Vinculadas.xlsm" NICSP_27!F12C6:F14C9 </w:instrText>
      </w:r>
      <w:r w:rsidR="00C5447D">
        <w:rPr>
          <w:lang w:val="es-MX"/>
        </w:rPr>
        <w:instrText xml:space="preserve">\a \f 4 \h </w:instrText>
      </w:r>
      <w:r w:rsidR="00C5447D">
        <w:rPr>
          <w:lang w:val="es-MX"/>
        </w:rPr>
        <w:fldChar w:fldCharType="separate"/>
      </w:r>
    </w:p>
    <w:tbl>
      <w:tblPr>
        <w:tblW w:w="7220" w:type="dxa"/>
        <w:tblCellMar>
          <w:left w:w="70" w:type="dxa"/>
          <w:right w:w="70" w:type="dxa"/>
        </w:tblCellMar>
        <w:tblLook w:val="04A0" w:firstRow="1" w:lastRow="0" w:firstColumn="1" w:lastColumn="0" w:noHBand="0" w:noVBand="1"/>
      </w:tblPr>
      <w:tblGrid>
        <w:gridCol w:w="2140"/>
        <w:gridCol w:w="1240"/>
        <w:gridCol w:w="1300"/>
        <w:gridCol w:w="2540"/>
      </w:tblGrid>
      <w:tr w:rsidR="00694299" w:rsidRPr="00694299" w14:paraId="29F52321" w14:textId="77777777" w:rsidTr="00694299">
        <w:trPr>
          <w:divId w:val="1576091370"/>
          <w:trHeight w:val="948"/>
        </w:trPr>
        <w:tc>
          <w:tcPr>
            <w:tcW w:w="2140" w:type="dxa"/>
            <w:tcBorders>
              <w:top w:val="single" w:sz="8" w:space="0" w:color="auto"/>
              <w:left w:val="single" w:sz="8" w:space="0" w:color="auto"/>
              <w:bottom w:val="single" w:sz="8" w:space="0" w:color="auto"/>
              <w:right w:val="nil"/>
            </w:tcBorders>
            <w:shd w:val="clear" w:color="000000" w:fill="1F3864"/>
            <w:vAlign w:val="center"/>
            <w:hideMark/>
          </w:tcPr>
          <w:p w14:paraId="27E758E9" w14:textId="7E3E72BA" w:rsidR="00694299" w:rsidRPr="00694299" w:rsidRDefault="00694299" w:rsidP="00694299">
            <w:pPr>
              <w:jc w:val="center"/>
              <w:rPr>
                <w:rFonts w:eastAsia="Times New Roman" w:cs="Calibri"/>
                <w:color w:val="FFFFFF"/>
                <w:szCs w:val="24"/>
                <w:lang w:eastAsia="es-CR"/>
              </w:rPr>
            </w:pPr>
            <w:r w:rsidRPr="00694299">
              <w:rPr>
                <w:rFonts w:eastAsia="Times New Roman" w:cs="Calibri"/>
                <w:color w:val="FFFFFF"/>
                <w:szCs w:val="24"/>
                <w:lang w:eastAsia="es-CR"/>
              </w:rPr>
              <w:t>Resumen</w:t>
            </w:r>
          </w:p>
        </w:tc>
        <w:tc>
          <w:tcPr>
            <w:tcW w:w="1240" w:type="dxa"/>
            <w:tcBorders>
              <w:top w:val="single" w:sz="8" w:space="0" w:color="auto"/>
              <w:left w:val="single" w:sz="8" w:space="0" w:color="auto"/>
              <w:bottom w:val="single" w:sz="8" w:space="0" w:color="auto"/>
              <w:right w:val="nil"/>
            </w:tcBorders>
            <w:shd w:val="clear" w:color="000000" w:fill="1F3864"/>
            <w:vAlign w:val="center"/>
            <w:hideMark/>
          </w:tcPr>
          <w:p w14:paraId="714AB9EF"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Activos biológicos</w:t>
            </w:r>
          </w:p>
        </w:tc>
        <w:tc>
          <w:tcPr>
            <w:tcW w:w="1300" w:type="dxa"/>
            <w:tcBorders>
              <w:top w:val="single" w:sz="8" w:space="0" w:color="auto"/>
              <w:left w:val="single" w:sz="8" w:space="0" w:color="auto"/>
              <w:bottom w:val="single" w:sz="8" w:space="0" w:color="auto"/>
              <w:right w:val="nil"/>
            </w:tcBorders>
            <w:shd w:val="clear" w:color="000000" w:fill="1F3864"/>
            <w:vAlign w:val="center"/>
            <w:hideMark/>
          </w:tcPr>
          <w:p w14:paraId="5ACBF71D"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Productos Agrícolas</w:t>
            </w:r>
          </w:p>
        </w:tc>
        <w:tc>
          <w:tcPr>
            <w:tcW w:w="2540" w:type="dxa"/>
            <w:tcBorders>
              <w:top w:val="single" w:sz="8" w:space="0" w:color="auto"/>
              <w:left w:val="single" w:sz="8" w:space="0" w:color="auto"/>
              <w:bottom w:val="single" w:sz="8" w:space="0" w:color="auto"/>
              <w:right w:val="nil"/>
            </w:tcBorders>
            <w:shd w:val="clear" w:color="000000" w:fill="1F3864"/>
            <w:vAlign w:val="center"/>
            <w:hideMark/>
          </w:tcPr>
          <w:p w14:paraId="5DD405F3"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Productos resultantes del procesamiento tras la cosecha o recolección</w:t>
            </w:r>
          </w:p>
        </w:tc>
      </w:tr>
      <w:tr w:rsidR="00694299" w:rsidRPr="00694299" w14:paraId="0BD96949" w14:textId="77777777" w:rsidTr="00694299">
        <w:trPr>
          <w:divId w:val="1576091370"/>
          <w:trHeight w:val="324"/>
        </w:trPr>
        <w:tc>
          <w:tcPr>
            <w:tcW w:w="2140" w:type="dxa"/>
            <w:tcBorders>
              <w:top w:val="nil"/>
              <w:left w:val="single" w:sz="8" w:space="0" w:color="auto"/>
              <w:bottom w:val="single" w:sz="8" w:space="0" w:color="auto"/>
              <w:right w:val="nil"/>
            </w:tcBorders>
            <w:shd w:val="clear" w:color="000000" w:fill="1F3864"/>
            <w:vAlign w:val="center"/>
            <w:hideMark/>
          </w:tcPr>
          <w:p w14:paraId="3C517963"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 xml:space="preserve">CANTIDAD </w:t>
            </w:r>
          </w:p>
        </w:tc>
        <w:tc>
          <w:tcPr>
            <w:tcW w:w="1240" w:type="dxa"/>
            <w:tcBorders>
              <w:top w:val="nil"/>
              <w:left w:val="nil"/>
              <w:bottom w:val="single" w:sz="8" w:space="0" w:color="auto"/>
              <w:right w:val="single" w:sz="8" w:space="0" w:color="auto"/>
            </w:tcBorders>
            <w:shd w:val="clear" w:color="auto" w:fill="auto"/>
            <w:noWrap/>
            <w:vAlign w:val="center"/>
            <w:hideMark/>
          </w:tcPr>
          <w:p w14:paraId="1CAAA0FC" w14:textId="77777777" w:rsidR="00694299" w:rsidRPr="00694299" w:rsidRDefault="00694299" w:rsidP="00694299">
            <w:pPr>
              <w:spacing w:after="0" w:line="240" w:lineRule="auto"/>
              <w:jc w:val="center"/>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1300" w:type="dxa"/>
            <w:tcBorders>
              <w:top w:val="nil"/>
              <w:left w:val="nil"/>
              <w:bottom w:val="single" w:sz="8" w:space="0" w:color="auto"/>
              <w:right w:val="single" w:sz="8" w:space="0" w:color="auto"/>
            </w:tcBorders>
            <w:shd w:val="clear" w:color="auto" w:fill="auto"/>
            <w:noWrap/>
            <w:vAlign w:val="center"/>
            <w:hideMark/>
          </w:tcPr>
          <w:p w14:paraId="58EEAB1A" w14:textId="77777777" w:rsidR="00694299" w:rsidRPr="00694299" w:rsidRDefault="00694299" w:rsidP="00694299">
            <w:pPr>
              <w:spacing w:after="0" w:line="240" w:lineRule="auto"/>
              <w:jc w:val="center"/>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2540" w:type="dxa"/>
            <w:tcBorders>
              <w:top w:val="nil"/>
              <w:left w:val="nil"/>
              <w:bottom w:val="single" w:sz="8" w:space="0" w:color="auto"/>
              <w:right w:val="single" w:sz="8" w:space="0" w:color="auto"/>
            </w:tcBorders>
            <w:shd w:val="clear" w:color="auto" w:fill="auto"/>
            <w:noWrap/>
            <w:vAlign w:val="center"/>
            <w:hideMark/>
          </w:tcPr>
          <w:p w14:paraId="5726F031" w14:textId="77777777" w:rsidR="00694299" w:rsidRPr="00694299" w:rsidRDefault="00694299" w:rsidP="00694299">
            <w:pPr>
              <w:spacing w:after="0" w:line="240" w:lineRule="auto"/>
              <w:jc w:val="center"/>
              <w:rPr>
                <w:rFonts w:eastAsia="Times New Roman" w:cs="Calibri"/>
                <w:color w:val="000000"/>
                <w:sz w:val="20"/>
                <w:szCs w:val="20"/>
                <w:lang w:eastAsia="es-CR"/>
              </w:rPr>
            </w:pPr>
            <w:r w:rsidRPr="00694299">
              <w:rPr>
                <w:rFonts w:eastAsia="Times New Roman" w:cs="Calibri"/>
                <w:color w:val="000000"/>
                <w:sz w:val="20"/>
                <w:szCs w:val="20"/>
                <w:lang w:eastAsia="es-CR"/>
              </w:rPr>
              <w:t> </w:t>
            </w:r>
          </w:p>
        </w:tc>
      </w:tr>
      <w:tr w:rsidR="00694299" w:rsidRPr="00694299" w14:paraId="5386724A" w14:textId="77777777" w:rsidTr="00694299">
        <w:trPr>
          <w:divId w:val="1576091370"/>
          <w:trHeight w:val="324"/>
        </w:trPr>
        <w:tc>
          <w:tcPr>
            <w:tcW w:w="2140" w:type="dxa"/>
            <w:tcBorders>
              <w:top w:val="nil"/>
              <w:left w:val="single" w:sz="8" w:space="0" w:color="auto"/>
              <w:bottom w:val="single" w:sz="8" w:space="0" w:color="auto"/>
              <w:right w:val="single" w:sz="8" w:space="0" w:color="auto"/>
            </w:tcBorders>
            <w:shd w:val="clear" w:color="000000" w:fill="1F3864"/>
            <w:vAlign w:val="center"/>
            <w:hideMark/>
          </w:tcPr>
          <w:p w14:paraId="2EA8D50F"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MONTO TOTAL</w:t>
            </w:r>
          </w:p>
        </w:tc>
        <w:tc>
          <w:tcPr>
            <w:tcW w:w="1240" w:type="dxa"/>
            <w:tcBorders>
              <w:top w:val="nil"/>
              <w:left w:val="nil"/>
              <w:bottom w:val="single" w:sz="8" w:space="0" w:color="auto"/>
              <w:right w:val="single" w:sz="8" w:space="0" w:color="auto"/>
            </w:tcBorders>
            <w:shd w:val="clear" w:color="auto" w:fill="auto"/>
            <w:noWrap/>
            <w:vAlign w:val="center"/>
            <w:hideMark/>
          </w:tcPr>
          <w:p w14:paraId="1E027B7D" w14:textId="77777777" w:rsidR="00694299" w:rsidRPr="00694299" w:rsidRDefault="00694299" w:rsidP="00694299">
            <w:pPr>
              <w:spacing w:after="0" w:line="240" w:lineRule="auto"/>
              <w:jc w:val="right"/>
              <w:rPr>
                <w:rFonts w:eastAsia="Times New Roman" w:cs="Calibri"/>
                <w:color w:val="000000"/>
                <w:sz w:val="20"/>
                <w:szCs w:val="20"/>
                <w:lang w:eastAsia="es-CR"/>
              </w:rPr>
            </w:pPr>
            <w:r w:rsidRPr="00694299">
              <w:rPr>
                <w:rFonts w:ascii="Arial" w:eastAsia="Times New Roman" w:hAnsi="Arial" w:cs="Arial"/>
                <w:color w:val="000000"/>
                <w:sz w:val="20"/>
                <w:szCs w:val="20"/>
                <w:lang w:eastAsia="es-CR"/>
              </w:rPr>
              <w:t>₡</w:t>
            </w:r>
            <w:r w:rsidRPr="00694299">
              <w:rPr>
                <w:rFonts w:eastAsia="Times New Roman" w:cs="Calibri"/>
                <w:color w:val="000000"/>
                <w:sz w:val="20"/>
                <w:szCs w:val="20"/>
                <w:lang w:eastAsia="es-CR"/>
              </w:rPr>
              <w:t>0,00</w:t>
            </w:r>
          </w:p>
        </w:tc>
        <w:tc>
          <w:tcPr>
            <w:tcW w:w="1300" w:type="dxa"/>
            <w:tcBorders>
              <w:top w:val="nil"/>
              <w:left w:val="nil"/>
              <w:bottom w:val="single" w:sz="8" w:space="0" w:color="auto"/>
              <w:right w:val="single" w:sz="8" w:space="0" w:color="auto"/>
            </w:tcBorders>
            <w:shd w:val="clear" w:color="auto" w:fill="auto"/>
            <w:noWrap/>
            <w:vAlign w:val="center"/>
            <w:hideMark/>
          </w:tcPr>
          <w:p w14:paraId="6048387C" w14:textId="77777777" w:rsidR="00694299" w:rsidRPr="00694299" w:rsidRDefault="00694299" w:rsidP="00694299">
            <w:pPr>
              <w:spacing w:after="0" w:line="240" w:lineRule="auto"/>
              <w:jc w:val="right"/>
              <w:rPr>
                <w:rFonts w:eastAsia="Times New Roman" w:cs="Calibri"/>
                <w:color w:val="000000"/>
                <w:sz w:val="20"/>
                <w:szCs w:val="20"/>
                <w:lang w:eastAsia="es-CR"/>
              </w:rPr>
            </w:pPr>
            <w:r w:rsidRPr="00694299">
              <w:rPr>
                <w:rFonts w:ascii="Arial" w:eastAsia="Times New Roman" w:hAnsi="Arial" w:cs="Arial"/>
                <w:color w:val="000000"/>
                <w:sz w:val="20"/>
                <w:szCs w:val="20"/>
                <w:lang w:eastAsia="es-CR"/>
              </w:rPr>
              <w:t>₡</w:t>
            </w:r>
            <w:r w:rsidRPr="00694299">
              <w:rPr>
                <w:rFonts w:eastAsia="Times New Roman" w:cs="Calibri"/>
                <w:color w:val="000000"/>
                <w:sz w:val="20"/>
                <w:szCs w:val="20"/>
                <w:lang w:eastAsia="es-CR"/>
              </w:rPr>
              <w:t>0,00</w:t>
            </w:r>
          </w:p>
        </w:tc>
        <w:tc>
          <w:tcPr>
            <w:tcW w:w="2540" w:type="dxa"/>
            <w:tcBorders>
              <w:top w:val="nil"/>
              <w:left w:val="nil"/>
              <w:bottom w:val="single" w:sz="8" w:space="0" w:color="auto"/>
              <w:right w:val="single" w:sz="8" w:space="0" w:color="auto"/>
            </w:tcBorders>
            <w:shd w:val="clear" w:color="auto" w:fill="auto"/>
            <w:noWrap/>
            <w:vAlign w:val="center"/>
            <w:hideMark/>
          </w:tcPr>
          <w:p w14:paraId="4DABD13A" w14:textId="77777777" w:rsidR="00694299" w:rsidRPr="00694299" w:rsidRDefault="00694299" w:rsidP="00694299">
            <w:pPr>
              <w:spacing w:after="0" w:line="240" w:lineRule="auto"/>
              <w:jc w:val="right"/>
              <w:rPr>
                <w:rFonts w:eastAsia="Times New Roman" w:cs="Calibri"/>
                <w:color w:val="000000"/>
                <w:sz w:val="20"/>
                <w:szCs w:val="20"/>
                <w:lang w:eastAsia="es-CR"/>
              </w:rPr>
            </w:pPr>
            <w:r w:rsidRPr="00694299">
              <w:rPr>
                <w:rFonts w:ascii="Arial" w:eastAsia="Times New Roman" w:hAnsi="Arial" w:cs="Arial"/>
                <w:color w:val="000000"/>
                <w:sz w:val="20"/>
                <w:szCs w:val="20"/>
                <w:lang w:eastAsia="es-CR"/>
              </w:rPr>
              <w:t>₡</w:t>
            </w:r>
            <w:r w:rsidRPr="00694299">
              <w:rPr>
                <w:rFonts w:eastAsia="Times New Roman" w:cs="Calibri"/>
                <w:color w:val="000000"/>
                <w:sz w:val="20"/>
                <w:szCs w:val="20"/>
                <w:lang w:eastAsia="es-CR"/>
              </w:rPr>
              <w:t>0,00</w:t>
            </w:r>
          </w:p>
        </w:tc>
      </w:tr>
    </w:tbl>
    <w:p w14:paraId="524652FB" w14:textId="47D0E78F" w:rsidR="00FE51BD" w:rsidRDefault="00C5447D" w:rsidP="00FE51BD">
      <w:pPr>
        <w:rPr>
          <w:lang w:val="es-MX"/>
        </w:rPr>
      </w:pPr>
      <w:r>
        <w:rPr>
          <w:lang w:val="es-MX"/>
        </w:rPr>
        <w:fldChar w:fldCharType="end"/>
      </w:r>
    </w:p>
    <w:p w14:paraId="1151F24D" w14:textId="77777777" w:rsidR="0008638E" w:rsidRPr="003516A2" w:rsidRDefault="0008638E" w:rsidP="0008638E">
      <w:pPr>
        <w:spacing w:before="240"/>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0FC92B7F" w14:textId="77777777" w:rsidR="0008638E" w:rsidRDefault="0008638E" w:rsidP="0008638E">
      <w:pPr>
        <w:spacing w:line="240" w:lineRule="auto"/>
        <w:rPr>
          <w:b/>
          <w:u w:val="single"/>
        </w:rPr>
      </w:pPr>
    </w:p>
    <w:p w14:paraId="33967177" w14:textId="77777777" w:rsidR="0008638E" w:rsidRPr="003516A2" w:rsidRDefault="0008638E" w:rsidP="0008638E">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2D8BC344" w14:textId="77777777" w:rsidR="0008638E" w:rsidRPr="002007F6" w:rsidRDefault="0008638E" w:rsidP="0008638E">
      <w:pPr>
        <w:rPr>
          <w:lang w:val="es-MX"/>
        </w:rPr>
      </w:pPr>
      <w:r>
        <w:rPr>
          <w:lang w:val="es-MX"/>
        </w:rPr>
        <w:t>________________________________________________________________________________________________________________________________________________________________</w:t>
      </w:r>
    </w:p>
    <w:p w14:paraId="6EE015CD" w14:textId="77777777" w:rsidR="00FE51BD" w:rsidRPr="00FE51BD" w:rsidRDefault="00FE51BD" w:rsidP="00FE51BD">
      <w:pPr>
        <w:rPr>
          <w:b/>
          <w:u w:val="single"/>
          <w:lang w:eastAsia="es-CR"/>
        </w:rPr>
      </w:pPr>
      <w:r w:rsidRPr="0008638E">
        <w:rPr>
          <w:b/>
          <w:color w:val="FFFFFF" w:themeColor="background1"/>
          <w:highlight w:val="darkBlue"/>
          <w:u w:val="single"/>
        </w:rPr>
        <w:t>Revelación Suficiente:</w:t>
      </w:r>
      <w:r w:rsidRPr="00FE51BD">
        <w:rPr>
          <w:b/>
          <w:u w:val="single"/>
          <w:lang w:eastAsia="es-CR"/>
        </w:rPr>
        <w:t xml:space="preserve"> El ente debe cumplir con lo estipulado en revelación con forme a la NICSP, también debe considerar la política general y los párrafos incluidos en la matriz de autoevaluación referente a esta NICSP y guías de aplicación (Ver GA NICSP 27):</w:t>
      </w:r>
    </w:p>
    <w:p w14:paraId="0634C9AE" w14:textId="3AE22740" w:rsidR="00FE51BD" w:rsidRPr="001D0A81" w:rsidRDefault="00FE51BD" w:rsidP="00FE51BD">
      <w:pPr>
        <w:rPr>
          <w:rFonts w:eastAsia="Calibri"/>
          <w:szCs w:val="24"/>
        </w:rPr>
      </w:pPr>
      <w:r w:rsidRPr="00FE51BD">
        <w:rPr>
          <w:rFonts w:eastAsia="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2FE5C9" w14:textId="77777777" w:rsidR="000F1E77" w:rsidRDefault="000F1E77" w:rsidP="00A649A4">
      <w:pPr>
        <w:pStyle w:val="Ttulo2"/>
        <w:spacing w:after="240"/>
        <w:rPr>
          <w:rFonts w:eastAsia="Times New Roman"/>
          <w:lang w:eastAsia="es-CR"/>
        </w:rPr>
      </w:pPr>
      <w:bookmarkStart w:id="93" w:name="_Hlk123832868"/>
      <w:bookmarkStart w:id="94" w:name="_Toc54961691"/>
      <w:bookmarkStart w:id="95" w:name="_Toc82768889"/>
    </w:p>
    <w:p w14:paraId="41E2F00F" w14:textId="045619FE" w:rsidR="005352E5" w:rsidRDefault="005352E5" w:rsidP="00A649A4">
      <w:pPr>
        <w:pStyle w:val="Ttulo2"/>
        <w:spacing w:after="240"/>
        <w:rPr>
          <w:rFonts w:eastAsia="Times New Roman"/>
          <w:lang w:eastAsia="es-CR"/>
        </w:rPr>
      </w:pPr>
      <w:bookmarkStart w:id="96" w:name="_Toc173245208"/>
      <w:r w:rsidRPr="005352E5">
        <w:rPr>
          <w:rFonts w:eastAsia="Times New Roman"/>
          <w:lang w:eastAsia="es-CR"/>
        </w:rPr>
        <w:t xml:space="preserve">NICSP 28-29-30 INSTRUMENTOS FINANCIEROS (PRESENTACIÓN, RECONOCIMIENTO MEDICIÓN Y </w:t>
      </w:r>
      <w:r w:rsidRPr="00680DAC">
        <w:rPr>
          <w:rFonts w:eastAsia="Times New Roman"/>
          <w:lang w:eastAsia="es-CR"/>
        </w:rPr>
        <w:t>REVELACIÓN</w:t>
      </w:r>
      <w:r w:rsidRPr="005352E5">
        <w:rPr>
          <w:rFonts w:eastAsia="Times New Roman"/>
          <w:lang w:eastAsia="es-CR"/>
        </w:rPr>
        <w:t>)</w:t>
      </w:r>
      <w:bookmarkEnd w:id="93"/>
      <w:r w:rsidRPr="005352E5">
        <w:rPr>
          <w:rFonts w:eastAsia="Times New Roman"/>
          <w:lang w:eastAsia="es-CR"/>
        </w:rPr>
        <w:t xml:space="preserve"> (DE APLICACIÓN OBLIGATORIA):</w:t>
      </w:r>
      <w:bookmarkEnd w:id="94"/>
      <w:bookmarkEnd w:id="95"/>
      <w:bookmarkEnd w:id="96"/>
      <w:r w:rsidRPr="005352E5">
        <w:rPr>
          <w:rFonts w:eastAsia="Times New Roman"/>
          <w:lang w:eastAsia="es-CR"/>
        </w:rPr>
        <w:t xml:space="preserve"> </w:t>
      </w:r>
    </w:p>
    <w:p w14:paraId="3FA290D1" w14:textId="77777777" w:rsidR="00641DCE" w:rsidRPr="00641DCE" w:rsidRDefault="00641DCE" w:rsidP="00641DCE">
      <w:pPr>
        <w:rPr>
          <w:rStyle w:val="nfasis"/>
          <w:i w:val="0"/>
        </w:rPr>
      </w:pPr>
      <w:r w:rsidRPr="00641DCE">
        <w:rPr>
          <w:rStyle w:val="nfasis"/>
          <w:i w:val="0"/>
        </w:rPr>
        <w:t xml:space="preserve">Se realizará la </w:t>
      </w:r>
      <w:r w:rsidRPr="00641DCE">
        <w:t>presentación de Estados Financieros</w:t>
      </w:r>
      <w:r w:rsidRPr="00641DCE">
        <w:rPr>
          <w:rStyle w:val="nfasis"/>
          <w:i w:val="0"/>
        </w:rPr>
        <w:t xml:space="preserve"> considerando lo dispuesto en el párrafo 128 y 129 de la NICSP 1.</w:t>
      </w:r>
    </w:p>
    <w:p w14:paraId="5A9A88CD" w14:textId="77777777" w:rsidR="00641DCE" w:rsidRPr="00641DCE" w:rsidRDefault="00641DCE" w:rsidP="00641DCE">
      <w:pPr>
        <w:spacing w:line="276" w:lineRule="auto"/>
        <w:rPr>
          <w:rStyle w:val="nfasis"/>
        </w:rPr>
      </w:pPr>
      <w:r w:rsidRPr="00641DCE">
        <w:rPr>
          <w:rStyle w:val="nfasis"/>
        </w:rPr>
        <w:t>“128. Las notas se presentarán, en la medida en que sea practicable, de una forma sistemática. Cada partida del estado de situación financiera, del estado de rendimiento financiero, estado de cambios en los activos netos/patrimonio y del estado de flujos de efectivo, se relacionará con la información correspondiente en las notas”.</w:t>
      </w:r>
    </w:p>
    <w:p w14:paraId="757F14D5" w14:textId="77777777" w:rsidR="00641DCE" w:rsidRPr="00641DCE" w:rsidRDefault="00641DCE" w:rsidP="00641DCE">
      <w:pPr>
        <w:spacing w:line="276" w:lineRule="auto"/>
        <w:rPr>
          <w:rStyle w:val="nfasis"/>
        </w:rPr>
      </w:pPr>
      <w:r w:rsidRPr="00641DCE">
        <w:rPr>
          <w:rStyle w:val="nfasis"/>
        </w:rPr>
        <w:t>“129. Normalmente, las notas se presentarán en el siguiente orden, con el fin de ayudar a los usuarios a comprender los estados financieros y compararlos con los presentados por otras entidades:</w:t>
      </w:r>
    </w:p>
    <w:p w14:paraId="274F32F4" w14:textId="77777777" w:rsidR="00641DCE" w:rsidRPr="00641DCE" w:rsidRDefault="00641DCE">
      <w:pPr>
        <w:pStyle w:val="Prrafodelista"/>
        <w:numPr>
          <w:ilvl w:val="0"/>
          <w:numId w:val="14"/>
        </w:numPr>
        <w:spacing w:line="276" w:lineRule="auto"/>
        <w:rPr>
          <w:rStyle w:val="nfasis"/>
        </w:rPr>
      </w:pPr>
      <w:r w:rsidRPr="00641DCE">
        <w:rPr>
          <w:rStyle w:val="nfasis"/>
        </w:rPr>
        <w:t>una declaración de conformidad con las NICSP (véase el párrafo 28);</w:t>
      </w:r>
    </w:p>
    <w:p w14:paraId="246292FC" w14:textId="77777777" w:rsidR="00641DCE" w:rsidRPr="00641DCE" w:rsidRDefault="00641DCE">
      <w:pPr>
        <w:pStyle w:val="Prrafodelista"/>
        <w:numPr>
          <w:ilvl w:val="0"/>
          <w:numId w:val="14"/>
        </w:numPr>
        <w:spacing w:line="276" w:lineRule="auto"/>
        <w:rPr>
          <w:rStyle w:val="nfasis"/>
        </w:rPr>
      </w:pPr>
      <w:r w:rsidRPr="00641DCE">
        <w:rPr>
          <w:rStyle w:val="nfasis"/>
        </w:rPr>
        <w:t>un resumen de las políticas contables significativas aplicadas (véase el párrafo 132);</w:t>
      </w:r>
    </w:p>
    <w:p w14:paraId="74AD86F0" w14:textId="77777777" w:rsidR="00641DCE" w:rsidRPr="00641DCE" w:rsidRDefault="00641DCE">
      <w:pPr>
        <w:pStyle w:val="Prrafodelista"/>
        <w:numPr>
          <w:ilvl w:val="0"/>
          <w:numId w:val="14"/>
        </w:numPr>
        <w:spacing w:line="276" w:lineRule="auto"/>
        <w:rPr>
          <w:rStyle w:val="nfasis"/>
        </w:rPr>
      </w:pPr>
      <w:r w:rsidRPr="00641DCE">
        <w:rPr>
          <w:rStyle w:val="nfasis"/>
        </w:rPr>
        <w:t>información de apoyo para las partidas presentadas en el estado de situación financiera, en el estado de rendimiento financiero, en el estado de cambios en los activos/patrimonio o en el estado de flujos de efectivo, en el mismo orden en que figuren cada uno de los estados y cada linea de partida; y</w:t>
      </w:r>
    </w:p>
    <w:p w14:paraId="401EAAA3" w14:textId="77777777" w:rsidR="00641DCE" w:rsidRPr="00641DCE" w:rsidRDefault="00641DCE">
      <w:pPr>
        <w:pStyle w:val="Prrafodelista"/>
        <w:numPr>
          <w:ilvl w:val="0"/>
          <w:numId w:val="14"/>
        </w:numPr>
        <w:spacing w:line="276" w:lineRule="auto"/>
        <w:rPr>
          <w:rStyle w:val="nfasis"/>
        </w:rPr>
      </w:pPr>
      <w:r w:rsidRPr="00641DCE">
        <w:rPr>
          <w:rStyle w:val="nfasis"/>
        </w:rPr>
        <w:t>otra información a revelar, que incluya:</w:t>
      </w:r>
    </w:p>
    <w:p w14:paraId="7384F605" w14:textId="77777777" w:rsidR="00641DCE" w:rsidRPr="00641DCE" w:rsidRDefault="00641DCE">
      <w:pPr>
        <w:pStyle w:val="Prrafodelista"/>
        <w:numPr>
          <w:ilvl w:val="0"/>
          <w:numId w:val="15"/>
        </w:numPr>
        <w:spacing w:line="276" w:lineRule="auto"/>
        <w:rPr>
          <w:rStyle w:val="nfasis"/>
        </w:rPr>
      </w:pPr>
      <w:r w:rsidRPr="00641DCE">
        <w:rPr>
          <w:rStyle w:val="nfasis"/>
        </w:rPr>
        <w:t xml:space="preserve">pasivos contingentes (véase la NICSP 19) y compromisos contractuales no reconocidos; y </w:t>
      </w:r>
    </w:p>
    <w:p w14:paraId="4EDF109B" w14:textId="77777777" w:rsidR="00641DCE" w:rsidRPr="00641DCE" w:rsidRDefault="00641DCE">
      <w:pPr>
        <w:pStyle w:val="Prrafodelista"/>
        <w:numPr>
          <w:ilvl w:val="0"/>
          <w:numId w:val="15"/>
        </w:numPr>
        <w:spacing w:line="276" w:lineRule="auto"/>
        <w:rPr>
          <w:rStyle w:val="nfasis"/>
        </w:rPr>
      </w:pPr>
      <w:r w:rsidRPr="00641DCE">
        <w:rPr>
          <w:rStyle w:val="nfasis"/>
        </w:rPr>
        <w:t>información a revelar no financiera, por ejemplo los objetivos y políticas de gestión del riesgo financiero (véase la NICSP 30).</w:t>
      </w:r>
    </w:p>
    <w:p w14:paraId="21649015" w14:textId="77777777" w:rsidR="00641DCE" w:rsidRPr="00641DCE" w:rsidRDefault="00641DCE" w:rsidP="00641DCE">
      <w:pPr>
        <w:rPr>
          <w:lang w:eastAsia="es-CR"/>
        </w:rPr>
      </w:pPr>
    </w:p>
    <w:p w14:paraId="24AB55CB" w14:textId="2958AB4C" w:rsidR="00C5447D" w:rsidRDefault="00680DAC" w:rsidP="00680DAC">
      <w:r w:rsidRPr="00FB0858">
        <w:t xml:space="preserve">De acuerdo con la </w:t>
      </w:r>
      <w:r w:rsidRPr="000B404C">
        <w:t xml:space="preserve">De acuerdo con la </w:t>
      </w:r>
      <w:r w:rsidRPr="00680DAC">
        <w:t xml:space="preserve">NICSP 28-29-30 Instrumentos Financieros (Presentación, Reconocimiento Medición </w:t>
      </w:r>
      <w:r>
        <w:t>y</w:t>
      </w:r>
      <w:r w:rsidRPr="00680DAC">
        <w:t xml:space="preserve"> Revelación)</w:t>
      </w:r>
      <w:r>
        <w:t xml:space="preserve">, indicar si este rubro afecta SI o NO a la institución, </w:t>
      </w:r>
      <w:r w:rsidRPr="00405DBC">
        <w:t>además del porcentaje de avance</w:t>
      </w:r>
      <w:r>
        <w:t xml:space="preserve"> en la implementación</w:t>
      </w:r>
      <w:r w:rsidRPr="00405DBC">
        <w:t xml:space="preserve"> que presenta</w:t>
      </w:r>
      <w:r>
        <w:t>.</w:t>
      </w:r>
    </w:p>
    <w:p w14:paraId="4A55A4A7" w14:textId="77777777" w:rsidR="00694299" w:rsidRDefault="00680DAC" w:rsidP="00F35854">
      <w:pPr>
        <w:rPr>
          <w:rFonts w:asciiTheme="minorHAnsi" w:hAnsiTheme="minorHAnsi"/>
          <w:sz w:val="22"/>
        </w:rPr>
      </w:pPr>
      <w:r w:rsidRPr="00680DAC">
        <w:rPr>
          <w:color w:val="1F3864"/>
        </w:rPr>
        <w:t>NICSP 28</w:t>
      </w:r>
      <w:r w:rsidR="00F35854">
        <w:fldChar w:fldCharType="begin"/>
      </w:r>
      <w:r w:rsidR="00F35854">
        <w:instrText xml:space="preserve"> LINK </w:instrText>
      </w:r>
      <w:r w:rsidR="00323752">
        <w:instrText xml:space="preserve">Excel.SheetMacroEnabled.12 "D:\\MORAVIA\\INSUMOS\\NOTAS 2024\\Formato_Notas_EEFF_Vinculadas_2024\\XXXXX_PXX_202X_Anexo_Estado_Notas_Contables_Vinculadas.xlsm" NICSP_28_29_30!F10C3:F11C4 </w:instrText>
      </w:r>
      <w:r w:rsidR="00F35854">
        <w:instrText xml:space="preserve">\a \f 4 \h </w:instrText>
      </w:r>
      <w:r w:rsidR="00F35854">
        <w:fldChar w:fldCharType="separate"/>
      </w:r>
    </w:p>
    <w:tbl>
      <w:tblPr>
        <w:tblW w:w="4260" w:type="dxa"/>
        <w:tblCellMar>
          <w:left w:w="70" w:type="dxa"/>
          <w:right w:w="70" w:type="dxa"/>
        </w:tblCellMar>
        <w:tblLook w:val="04A0" w:firstRow="1" w:lastRow="0" w:firstColumn="1" w:lastColumn="0" w:noHBand="0" w:noVBand="1"/>
      </w:tblPr>
      <w:tblGrid>
        <w:gridCol w:w="2240"/>
        <w:gridCol w:w="2020"/>
      </w:tblGrid>
      <w:tr w:rsidR="00694299" w:rsidRPr="00694299" w14:paraId="75D5F9FC" w14:textId="77777777" w:rsidTr="00694299">
        <w:trPr>
          <w:divId w:val="204871995"/>
          <w:trHeight w:val="324"/>
        </w:trPr>
        <w:tc>
          <w:tcPr>
            <w:tcW w:w="22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06187586" w14:textId="4153E3C4"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14661"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Si</w:t>
            </w:r>
          </w:p>
        </w:tc>
      </w:tr>
      <w:tr w:rsidR="00694299" w:rsidRPr="00694299" w14:paraId="693A4976" w14:textId="77777777" w:rsidTr="00694299">
        <w:trPr>
          <w:divId w:val="204871995"/>
          <w:trHeight w:val="324"/>
        </w:trPr>
        <w:tc>
          <w:tcPr>
            <w:tcW w:w="2240" w:type="dxa"/>
            <w:tcBorders>
              <w:top w:val="nil"/>
              <w:left w:val="single" w:sz="8" w:space="0" w:color="auto"/>
              <w:bottom w:val="single" w:sz="8" w:space="0" w:color="auto"/>
              <w:right w:val="single" w:sz="8" w:space="0" w:color="auto"/>
            </w:tcBorders>
            <w:shd w:val="clear" w:color="000000" w:fill="17365D"/>
            <w:vAlign w:val="center"/>
            <w:hideMark/>
          </w:tcPr>
          <w:p w14:paraId="2CE43767"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4A2E31D3"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100,00%</w:t>
            </w:r>
          </w:p>
        </w:tc>
      </w:tr>
    </w:tbl>
    <w:p w14:paraId="4A089944" w14:textId="600D46D4" w:rsidR="00680DAC" w:rsidRPr="00680DAC" w:rsidRDefault="00F35854" w:rsidP="00F35854">
      <w:pPr>
        <w:rPr>
          <w:b/>
          <w:sz w:val="16"/>
          <w:szCs w:val="16"/>
          <w:lang w:eastAsia="es-CR"/>
        </w:rPr>
      </w:pPr>
      <w:r>
        <w:rPr>
          <w:color w:val="1F3864"/>
        </w:rPr>
        <w:fldChar w:fldCharType="end"/>
      </w:r>
      <w:r>
        <w:rPr>
          <w:color w:val="1F3864"/>
        </w:rPr>
        <w:t xml:space="preserve">                            </w:t>
      </w:r>
      <w:r w:rsidR="00680DAC" w:rsidRPr="00C35565">
        <w:rPr>
          <w:b/>
          <w:sz w:val="16"/>
          <w:szCs w:val="16"/>
          <w:lang w:eastAsia="es-CR"/>
        </w:rPr>
        <w:t>-Aplicación Obligatoria-</w:t>
      </w:r>
    </w:p>
    <w:p w14:paraId="4BD9D936" w14:textId="77777777" w:rsidR="0008638E" w:rsidRDefault="0008638E" w:rsidP="00F41AFC">
      <w:pPr>
        <w:spacing w:after="0" w:line="240" w:lineRule="auto"/>
        <w:rPr>
          <w:color w:val="1F3864"/>
        </w:rPr>
      </w:pPr>
    </w:p>
    <w:p w14:paraId="7DCEF42D" w14:textId="77777777" w:rsidR="00694299" w:rsidRDefault="00680DAC" w:rsidP="00F35854">
      <w:pPr>
        <w:rPr>
          <w:rFonts w:asciiTheme="minorHAnsi" w:hAnsiTheme="minorHAnsi"/>
          <w:sz w:val="22"/>
        </w:rPr>
      </w:pPr>
      <w:r w:rsidRPr="00680DAC">
        <w:rPr>
          <w:color w:val="1F3864"/>
        </w:rPr>
        <w:t>NICSP 2</w:t>
      </w:r>
      <w:r>
        <w:rPr>
          <w:color w:val="1F3864"/>
        </w:rPr>
        <w:t>9</w:t>
      </w:r>
      <w:r w:rsidR="00F35854">
        <w:fldChar w:fldCharType="begin"/>
      </w:r>
      <w:r w:rsidR="00F35854">
        <w:instrText xml:space="preserve"> LINK </w:instrText>
      </w:r>
      <w:r w:rsidR="00323752">
        <w:instrText xml:space="preserve">Excel.SheetMacroEnabled.12 "D:\\MORAVIA\\INSUMOS\\NOTAS 2024\\Formato_Notas_EEFF_Vinculadas_2024\\XXXXX_PXX_202X_Anexo_Estado_Notas_Contables_Vinculadas.xlsm" NICSP_28_29_30!F14C3:F15C4 </w:instrText>
      </w:r>
      <w:r w:rsidR="00F35854">
        <w:instrText xml:space="preserve">\a \f 4 \h </w:instrText>
      </w:r>
      <w:r w:rsidR="00F35854">
        <w:fldChar w:fldCharType="separate"/>
      </w:r>
    </w:p>
    <w:tbl>
      <w:tblPr>
        <w:tblW w:w="4260" w:type="dxa"/>
        <w:tblCellMar>
          <w:left w:w="70" w:type="dxa"/>
          <w:right w:w="70" w:type="dxa"/>
        </w:tblCellMar>
        <w:tblLook w:val="04A0" w:firstRow="1" w:lastRow="0" w:firstColumn="1" w:lastColumn="0" w:noHBand="0" w:noVBand="1"/>
      </w:tblPr>
      <w:tblGrid>
        <w:gridCol w:w="2240"/>
        <w:gridCol w:w="2020"/>
      </w:tblGrid>
      <w:tr w:rsidR="00694299" w:rsidRPr="00694299" w14:paraId="65051DB7" w14:textId="77777777" w:rsidTr="00694299">
        <w:trPr>
          <w:divId w:val="461114403"/>
          <w:trHeight w:val="324"/>
        </w:trPr>
        <w:tc>
          <w:tcPr>
            <w:tcW w:w="22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1BB369C9" w14:textId="6338317A"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E176A"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Si</w:t>
            </w:r>
          </w:p>
        </w:tc>
      </w:tr>
      <w:tr w:rsidR="00694299" w:rsidRPr="00694299" w14:paraId="4C35D993" w14:textId="77777777" w:rsidTr="00694299">
        <w:trPr>
          <w:divId w:val="461114403"/>
          <w:trHeight w:val="324"/>
        </w:trPr>
        <w:tc>
          <w:tcPr>
            <w:tcW w:w="2240" w:type="dxa"/>
            <w:tcBorders>
              <w:top w:val="nil"/>
              <w:left w:val="single" w:sz="8" w:space="0" w:color="auto"/>
              <w:bottom w:val="single" w:sz="8" w:space="0" w:color="auto"/>
              <w:right w:val="single" w:sz="8" w:space="0" w:color="auto"/>
            </w:tcBorders>
            <w:shd w:val="clear" w:color="000000" w:fill="17365D"/>
            <w:vAlign w:val="center"/>
            <w:hideMark/>
          </w:tcPr>
          <w:p w14:paraId="1051D804"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2ED8BF76"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100,00%</w:t>
            </w:r>
          </w:p>
        </w:tc>
      </w:tr>
    </w:tbl>
    <w:p w14:paraId="3EE76EC4" w14:textId="43043017" w:rsidR="00680DAC" w:rsidRDefault="00F35854" w:rsidP="00F35854">
      <w:pPr>
        <w:rPr>
          <w:b/>
          <w:sz w:val="16"/>
          <w:szCs w:val="16"/>
          <w:lang w:eastAsia="es-CR"/>
        </w:rPr>
      </w:pPr>
      <w:r>
        <w:rPr>
          <w:color w:val="1F3864"/>
        </w:rPr>
        <w:fldChar w:fldCharType="end"/>
      </w:r>
      <w:r>
        <w:rPr>
          <w:color w:val="1F3864"/>
        </w:rPr>
        <w:t xml:space="preserve">                             </w:t>
      </w:r>
      <w:r w:rsidR="00680DAC" w:rsidRPr="00C35565">
        <w:rPr>
          <w:b/>
          <w:sz w:val="16"/>
          <w:szCs w:val="16"/>
          <w:lang w:eastAsia="es-CR"/>
        </w:rPr>
        <w:t>-Aplicación Obligatoria-</w:t>
      </w:r>
    </w:p>
    <w:p w14:paraId="280B6844" w14:textId="77777777" w:rsidR="00694299" w:rsidRDefault="00680DAC" w:rsidP="00F35854">
      <w:pPr>
        <w:rPr>
          <w:rFonts w:asciiTheme="minorHAnsi" w:hAnsiTheme="minorHAnsi"/>
          <w:sz w:val="22"/>
        </w:rPr>
      </w:pPr>
      <w:r w:rsidRPr="00680DAC">
        <w:rPr>
          <w:color w:val="1F3864"/>
        </w:rPr>
        <w:t xml:space="preserve">NICSP </w:t>
      </w:r>
      <w:r>
        <w:rPr>
          <w:color w:val="1F3864"/>
        </w:rPr>
        <w:t>30</w:t>
      </w:r>
      <w:r w:rsidR="00F35854">
        <w:fldChar w:fldCharType="begin"/>
      </w:r>
      <w:r w:rsidR="00F35854">
        <w:instrText xml:space="preserve"> LINK </w:instrText>
      </w:r>
      <w:r w:rsidR="00323752">
        <w:instrText xml:space="preserve">Excel.SheetMacroEnabled.12 "D:\\MORAVIA\\INSUMOS\\NOTAS 2024\\Formato_Notas_EEFF_Vinculadas_2024\\XXXXX_PXX_202X_Anexo_Estado_Notas_Contables_Vinculadas.xlsm" NICSP_28_29_30!F18C3:F19C4 </w:instrText>
      </w:r>
      <w:r w:rsidR="00F35854">
        <w:instrText xml:space="preserve">\a \f 4 \h </w:instrText>
      </w:r>
      <w:r w:rsidR="00F35854">
        <w:fldChar w:fldCharType="separate"/>
      </w:r>
    </w:p>
    <w:tbl>
      <w:tblPr>
        <w:tblW w:w="4260" w:type="dxa"/>
        <w:tblCellMar>
          <w:left w:w="70" w:type="dxa"/>
          <w:right w:w="70" w:type="dxa"/>
        </w:tblCellMar>
        <w:tblLook w:val="04A0" w:firstRow="1" w:lastRow="0" w:firstColumn="1" w:lastColumn="0" w:noHBand="0" w:noVBand="1"/>
      </w:tblPr>
      <w:tblGrid>
        <w:gridCol w:w="2240"/>
        <w:gridCol w:w="2020"/>
      </w:tblGrid>
      <w:tr w:rsidR="00694299" w:rsidRPr="00694299" w14:paraId="2D8BB416" w14:textId="77777777" w:rsidTr="00694299">
        <w:trPr>
          <w:divId w:val="448208544"/>
          <w:trHeight w:val="324"/>
        </w:trPr>
        <w:tc>
          <w:tcPr>
            <w:tcW w:w="22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6E42A478" w14:textId="13BF2C19"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AC7EDE"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Si</w:t>
            </w:r>
          </w:p>
        </w:tc>
      </w:tr>
      <w:tr w:rsidR="00694299" w:rsidRPr="00694299" w14:paraId="60DEF70E" w14:textId="77777777" w:rsidTr="00694299">
        <w:trPr>
          <w:divId w:val="448208544"/>
          <w:trHeight w:val="324"/>
        </w:trPr>
        <w:tc>
          <w:tcPr>
            <w:tcW w:w="2240" w:type="dxa"/>
            <w:tcBorders>
              <w:top w:val="nil"/>
              <w:left w:val="single" w:sz="8" w:space="0" w:color="auto"/>
              <w:bottom w:val="single" w:sz="8" w:space="0" w:color="auto"/>
              <w:right w:val="single" w:sz="8" w:space="0" w:color="auto"/>
            </w:tcBorders>
            <w:shd w:val="clear" w:color="000000" w:fill="17365D"/>
            <w:vAlign w:val="center"/>
            <w:hideMark/>
          </w:tcPr>
          <w:p w14:paraId="638874A0"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04EF06A7" w14:textId="5A75CDDF"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65,</w:t>
            </w:r>
            <w:r w:rsidR="000F1E77">
              <w:rPr>
                <w:rFonts w:eastAsia="Times New Roman" w:cs="Calibri"/>
                <w:color w:val="000000"/>
                <w:sz w:val="22"/>
                <w:lang w:eastAsia="es-CR"/>
              </w:rPr>
              <w:t>00</w:t>
            </w:r>
            <w:r w:rsidRPr="00694299">
              <w:rPr>
                <w:rFonts w:eastAsia="Times New Roman" w:cs="Calibri"/>
                <w:color w:val="000000"/>
                <w:sz w:val="22"/>
                <w:lang w:eastAsia="es-CR"/>
              </w:rPr>
              <w:t>%</w:t>
            </w:r>
          </w:p>
        </w:tc>
      </w:tr>
    </w:tbl>
    <w:p w14:paraId="341296B6" w14:textId="65DDB730" w:rsidR="00680DAC" w:rsidRDefault="00F35854" w:rsidP="00F35854">
      <w:pPr>
        <w:rPr>
          <w:b/>
          <w:sz w:val="16"/>
          <w:szCs w:val="16"/>
          <w:lang w:eastAsia="es-CR"/>
        </w:rPr>
      </w:pPr>
      <w:r>
        <w:rPr>
          <w:color w:val="1F3864"/>
        </w:rPr>
        <w:fldChar w:fldCharType="end"/>
      </w:r>
      <w:r>
        <w:rPr>
          <w:color w:val="1F3864"/>
        </w:rPr>
        <w:t xml:space="preserve">                            </w:t>
      </w:r>
      <w:r w:rsidR="00680DAC" w:rsidRPr="00C35565">
        <w:rPr>
          <w:b/>
          <w:sz w:val="16"/>
          <w:szCs w:val="16"/>
          <w:lang w:eastAsia="es-CR"/>
        </w:rPr>
        <w:t>-Aplicación Obligatoria-</w:t>
      </w:r>
    </w:p>
    <w:p w14:paraId="6FBCE4F5" w14:textId="3162634C" w:rsidR="00486EC5" w:rsidRDefault="00680DAC" w:rsidP="00FE51BD">
      <w:pPr>
        <w:rPr>
          <w:rStyle w:val="Hipervnculo"/>
          <w:lang w:val="es-MX"/>
        </w:rPr>
      </w:pPr>
      <w:r w:rsidRPr="007D51EA">
        <w:rPr>
          <w:lang w:val="es-MX"/>
        </w:rPr>
        <w:t>A continuación, un cuadro resumen, pero el detalle de los c</w:t>
      </w:r>
      <w:r>
        <w:rPr>
          <w:lang w:val="es-MX"/>
        </w:rPr>
        <w:t>uadro</w:t>
      </w:r>
      <w:r w:rsidRPr="007D51EA">
        <w:rPr>
          <w:lang w:val="es-MX"/>
        </w:rPr>
        <w:t>s debe ser adjuntados como</w:t>
      </w:r>
      <w:r>
        <w:rPr>
          <w:lang w:val="es-MX"/>
        </w:rPr>
        <w:t xml:space="preserve"> anexos </w:t>
      </w:r>
      <w:hyperlink w:anchor="_NICSP_28-_29-" w:history="1">
        <w:r w:rsidRPr="005F2549">
          <w:rPr>
            <w:rStyle w:val="Hipervnculo"/>
            <w:lang w:val="es-MX"/>
          </w:rPr>
          <w:t>NICSP 28- 29- 30</w:t>
        </w:r>
      </w:hyperlink>
    </w:p>
    <w:p w14:paraId="5AAC6656" w14:textId="77777777" w:rsidR="00694299" w:rsidRPr="00694299" w:rsidRDefault="004337DA" w:rsidP="00FE51BD">
      <w:pPr>
        <w:rPr>
          <w:color w:val="0000FF"/>
          <w:u w:val="single"/>
          <w:lang w:val="es-MX"/>
        </w:rPr>
      </w:pPr>
      <w:r>
        <w:fldChar w:fldCharType="begin"/>
      </w:r>
      <w:r>
        <w:instrText xml:space="preserve"> LINK </w:instrText>
      </w:r>
      <w:r w:rsidR="00323752">
        <w:instrText xml:space="preserve">Excel.SheetMacroEnabled.12 "D:\\MORAVIA\\INSUMOS\\NOTAS 2024\\Formato_Notas_EEFF_Vinculadas_2024\\XXXXX_PXX_202X_Anexo_Estado_Notas_Contables_Vinculadas.xlsm" NICSP_28_29_30!F22C5:F25C7 </w:instrText>
      </w:r>
      <w:r>
        <w:instrText xml:space="preserve">\a \f 4 \h  \* MERGEFORMAT </w:instrText>
      </w:r>
      <w:r>
        <w:fldChar w:fldCharType="separate"/>
      </w:r>
    </w:p>
    <w:tbl>
      <w:tblPr>
        <w:tblW w:w="8493" w:type="dxa"/>
        <w:jc w:val="center"/>
        <w:tblCellMar>
          <w:left w:w="70" w:type="dxa"/>
          <w:right w:w="70" w:type="dxa"/>
        </w:tblCellMar>
        <w:tblLook w:val="04A0" w:firstRow="1" w:lastRow="0" w:firstColumn="1" w:lastColumn="0" w:noHBand="0" w:noVBand="1"/>
      </w:tblPr>
      <w:tblGrid>
        <w:gridCol w:w="3843"/>
        <w:gridCol w:w="2325"/>
        <w:gridCol w:w="2325"/>
      </w:tblGrid>
      <w:tr w:rsidR="00694299" w:rsidRPr="00694299" w14:paraId="69146265" w14:textId="77777777" w:rsidTr="00694299">
        <w:trPr>
          <w:divId w:val="1134371924"/>
          <w:trHeight w:val="283"/>
          <w:jc w:val="center"/>
        </w:trPr>
        <w:tc>
          <w:tcPr>
            <w:tcW w:w="3843" w:type="dxa"/>
            <w:tcBorders>
              <w:top w:val="single" w:sz="8" w:space="0" w:color="auto"/>
              <w:left w:val="single" w:sz="8" w:space="0" w:color="auto"/>
              <w:bottom w:val="single" w:sz="8" w:space="0" w:color="auto"/>
              <w:right w:val="nil"/>
            </w:tcBorders>
            <w:shd w:val="clear" w:color="000000" w:fill="1F3864"/>
            <w:vAlign w:val="center"/>
            <w:hideMark/>
          </w:tcPr>
          <w:p w14:paraId="4C27CC5E" w14:textId="36118F1F"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Resumen</w:t>
            </w:r>
          </w:p>
        </w:tc>
        <w:tc>
          <w:tcPr>
            <w:tcW w:w="2325" w:type="dxa"/>
            <w:tcBorders>
              <w:top w:val="single" w:sz="8" w:space="0" w:color="auto"/>
              <w:left w:val="single" w:sz="8" w:space="0" w:color="auto"/>
              <w:bottom w:val="single" w:sz="8" w:space="0" w:color="auto"/>
              <w:right w:val="nil"/>
            </w:tcBorders>
            <w:shd w:val="clear" w:color="000000" w:fill="1F3864"/>
            <w:vAlign w:val="center"/>
            <w:hideMark/>
          </w:tcPr>
          <w:p w14:paraId="2DD814FB"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Activos Financiero</w:t>
            </w:r>
          </w:p>
        </w:tc>
        <w:tc>
          <w:tcPr>
            <w:tcW w:w="2325" w:type="dxa"/>
            <w:tcBorders>
              <w:top w:val="single" w:sz="8" w:space="0" w:color="auto"/>
              <w:left w:val="single" w:sz="8" w:space="0" w:color="auto"/>
              <w:bottom w:val="single" w:sz="8" w:space="0" w:color="auto"/>
              <w:right w:val="nil"/>
            </w:tcBorders>
            <w:shd w:val="clear" w:color="000000" w:fill="1F3864"/>
            <w:vAlign w:val="center"/>
            <w:hideMark/>
          </w:tcPr>
          <w:p w14:paraId="55A9AB10"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Pasivo Financiero</w:t>
            </w:r>
          </w:p>
        </w:tc>
      </w:tr>
      <w:tr w:rsidR="00694299" w:rsidRPr="00694299" w14:paraId="37D4D67D" w14:textId="77777777" w:rsidTr="00694299">
        <w:trPr>
          <w:divId w:val="1134371924"/>
          <w:trHeight w:val="283"/>
          <w:jc w:val="center"/>
        </w:trPr>
        <w:tc>
          <w:tcPr>
            <w:tcW w:w="3843" w:type="dxa"/>
            <w:tcBorders>
              <w:top w:val="nil"/>
              <w:left w:val="single" w:sz="8" w:space="0" w:color="auto"/>
              <w:bottom w:val="single" w:sz="8" w:space="0" w:color="auto"/>
              <w:right w:val="nil"/>
            </w:tcBorders>
            <w:shd w:val="clear" w:color="000000" w:fill="1F3864"/>
            <w:vAlign w:val="center"/>
            <w:hideMark/>
          </w:tcPr>
          <w:p w14:paraId="4E0FB7DF"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 xml:space="preserve">CANTIDAD </w:t>
            </w:r>
          </w:p>
        </w:tc>
        <w:tc>
          <w:tcPr>
            <w:tcW w:w="2325" w:type="dxa"/>
            <w:tcBorders>
              <w:top w:val="nil"/>
              <w:left w:val="nil"/>
              <w:bottom w:val="single" w:sz="8" w:space="0" w:color="auto"/>
              <w:right w:val="single" w:sz="8" w:space="0" w:color="auto"/>
            </w:tcBorders>
            <w:shd w:val="clear" w:color="auto" w:fill="auto"/>
            <w:noWrap/>
            <w:vAlign w:val="center"/>
            <w:hideMark/>
          </w:tcPr>
          <w:p w14:paraId="4C0DD787" w14:textId="77777777" w:rsidR="00694299" w:rsidRPr="00694299" w:rsidRDefault="00694299" w:rsidP="00694299">
            <w:pPr>
              <w:spacing w:after="0" w:line="240" w:lineRule="auto"/>
              <w:jc w:val="center"/>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2325" w:type="dxa"/>
            <w:tcBorders>
              <w:top w:val="nil"/>
              <w:left w:val="nil"/>
              <w:bottom w:val="single" w:sz="8" w:space="0" w:color="auto"/>
              <w:right w:val="single" w:sz="8" w:space="0" w:color="auto"/>
            </w:tcBorders>
            <w:shd w:val="clear" w:color="auto" w:fill="auto"/>
            <w:noWrap/>
            <w:vAlign w:val="center"/>
            <w:hideMark/>
          </w:tcPr>
          <w:p w14:paraId="4A123700" w14:textId="77777777" w:rsidR="00694299" w:rsidRPr="00694299" w:rsidRDefault="00694299" w:rsidP="00694299">
            <w:pPr>
              <w:spacing w:after="0" w:line="240" w:lineRule="auto"/>
              <w:jc w:val="center"/>
              <w:rPr>
                <w:rFonts w:eastAsia="Times New Roman" w:cs="Calibri"/>
                <w:color w:val="000000"/>
                <w:sz w:val="20"/>
                <w:szCs w:val="20"/>
                <w:lang w:eastAsia="es-CR"/>
              </w:rPr>
            </w:pPr>
            <w:r w:rsidRPr="00694299">
              <w:rPr>
                <w:rFonts w:eastAsia="Times New Roman" w:cs="Calibri"/>
                <w:color w:val="000000"/>
                <w:sz w:val="20"/>
                <w:szCs w:val="20"/>
                <w:lang w:eastAsia="es-CR"/>
              </w:rPr>
              <w:t> </w:t>
            </w:r>
          </w:p>
        </w:tc>
      </w:tr>
    </w:tbl>
    <w:tbl>
      <w:tblPr>
        <w:tblW w:w="8493" w:type="dxa"/>
        <w:jc w:val="center"/>
        <w:tblCellMar>
          <w:left w:w="70" w:type="dxa"/>
          <w:right w:w="70" w:type="dxa"/>
        </w:tblCellMar>
        <w:tblLook w:val="04A0" w:firstRow="1" w:lastRow="0" w:firstColumn="1" w:lastColumn="0" w:noHBand="0" w:noVBand="1"/>
      </w:tblPr>
      <w:tblGrid>
        <w:gridCol w:w="3843"/>
        <w:gridCol w:w="2325"/>
        <w:gridCol w:w="2325"/>
      </w:tblGrid>
      <w:tr w:rsidR="005144D0" w:rsidRPr="00694299" w14:paraId="16EDF537" w14:textId="77777777" w:rsidTr="005144D0">
        <w:trPr>
          <w:trHeight w:val="283"/>
          <w:jc w:val="center"/>
        </w:trPr>
        <w:tc>
          <w:tcPr>
            <w:tcW w:w="3843" w:type="dxa"/>
            <w:tcBorders>
              <w:top w:val="nil"/>
              <w:left w:val="single" w:sz="8" w:space="0" w:color="auto"/>
              <w:bottom w:val="single" w:sz="8" w:space="0" w:color="auto"/>
              <w:right w:val="single" w:sz="8" w:space="0" w:color="auto"/>
            </w:tcBorders>
            <w:shd w:val="clear" w:color="000000" w:fill="1F3864"/>
            <w:vAlign w:val="center"/>
            <w:hideMark/>
          </w:tcPr>
          <w:p w14:paraId="7B354AEE" w14:textId="77777777" w:rsidR="005144D0" w:rsidRPr="00694299" w:rsidRDefault="005144D0" w:rsidP="005144D0">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 xml:space="preserve">Valor Libros </w:t>
            </w:r>
          </w:p>
        </w:tc>
        <w:tc>
          <w:tcPr>
            <w:tcW w:w="2325" w:type="dxa"/>
            <w:tcBorders>
              <w:top w:val="nil"/>
              <w:left w:val="nil"/>
              <w:bottom w:val="single" w:sz="8" w:space="0" w:color="auto"/>
              <w:right w:val="single" w:sz="8" w:space="0" w:color="auto"/>
            </w:tcBorders>
            <w:shd w:val="clear" w:color="auto" w:fill="auto"/>
            <w:noWrap/>
            <w:hideMark/>
          </w:tcPr>
          <w:p w14:paraId="46887E47" w14:textId="7FAC396D" w:rsidR="005144D0" w:rsidRPr="00694299" w:rsidRDefault="005144D0" w:rsidP="005144D0">
            <w:pPr>
              <w:spacing w:after="0" w:line="240" w:lineRule="auto"/>
              <w:jc w:val="center"/>
              <w:rPr>
                <w:rFonts w:eastAsia="Times New Roman" w:cs="Calibri"/>
                <w:color w:val="000000"/>
                <w:sz w:val="20"/>
                <w:szCs w:val="20"/>
                <w:lang w:eastAsia="es-CR"/>
              </w:rPr>
            </w:pPr>
            <w:r w:rsidRPr="00DA39FE">
              <w:rPr>
                <w:rFonts w:ascii="Arial" w:hAnsi="Arial" w:cs="Arial"/>
                <w:b/>
                <w:bCs/>
                <w:color w:val="000000"/>
                <w:sz w:val="18"/>
                <w:szCs w:val="18"/>
              </w:rPr>
              <w:t>₡</w:t>
            </w:r>
            <w:r w:rsidRPr="00DA39FE">
              <w:rPr>
                <w:rFonts w:cs="Calibri"/>
                <w:b/>
                <w:bCs/>
                <w:color w:val="000000"/>
                <w:sz w:val="18"/>
                <w:szCs w:val="18"/>
              </w:rPr>
              <w:t>5 894 443,19</w:t>
            </w:r>
          </w:p>
        </w:tc>
        <w:tc>
          <w:tcPr>
            <w:tcW w:w="2325" w:type="dxa"/>
            <w:tcBorders>
              <w:top w:val="nil"/>
              <w:left w:val="nil"/>
              <w:bottom w:val="single" w:sz="8" w:space="0" w:color="auto"/>
              <w:right w:val="single" w:sz="8" w:space="0" w:color="auto"/>
            </w:tcBorders>
            <w:shd w:val="clear" w:color="auto" w:fill="auto"/>
            <w:noWrap/>
            <w:vAlign w:val="center"/>
            <w:hideMark/>
          </w:tcPr>
          <w:p w14:paraId="7D614055" w14:textId="35B66A43" w:rsidR="005144D0" w:rsidRPr="00694299" w:rsidRDefault="005144D0" w:rsidP="005144D0">
            <w:pPr>
              <w:spacing w:after="0" w:line="240" w:lineRule="auto"/>
              <w:jc w:val="center"/>
              <w:rPr>
                <w:rFonts w:eastAsia="Times New Roman" w:cs="Calibri"/>
                <w:color w:val="000000"/>
                <w:sz w:val="20"/>
                <w:szCs w:val="20"/>
                <w:lang w:eastAsia="es-CR"/>
              </w:rPr>
            </w:pPr>
            <w:r w:rsidRPr="00847698">
              <w:rPr>
                <w:rFonts w:ascii="Arial" w:hAnsi="Arial" w:cs="Arial"/>
                <w:b/>
                <w:bCs/>
                <w:color w:val="000000"/>
                <w:sz w:val="18"/>
                <w:szCs w:val="18"/>
              </w:rPr>
              <w:t>₡</w:t>
            </w:r>
            <w:r w:rsidRPr="00847698">
              <w:rPr>
                <w:rFonts w:cs="Arial"/>
                <w:b/>
                <w:bCs/>
                <w:color w:val="000000"/>
                <w:sz w:val="18"/>
                <w:szCs w:val="18"/>
              </w:rPr>
              <w:t>1 784 018,17</w:t>
            </w:r>
          </w:p>
        </w:tc>
      </w:tr>
      <w:tr w:rsidR="005144D0" w:rsidRPr="00694299" w14:paraId="0D33AA82" w14:textId="77777777" w:rsidTr="005144D0">
        <w:trPr>
          <w:trHeight w:val="283"/>
          <w:jc w:val="center"/>
        </w:trPr>
        <w:tc>
          <w:tcPr>
            <w:tcW w:w="3843" w:type="dxa"/>
            <w:tcBorders>
              <w:top w:val="nil"/>
              <w:left w:val="single" w:sz="8" w:space="0" w:color="auto"/>
              <w:bottom w:val="single" w:sz="8" w:space="0" w:color="auto"/>
              <w:right w:val="single" w:sz="8" w:space="0" w:color="auto"/>
            </w:tcBorders>
            <w:shd w:val="clear" w:color="000000" w:fill="1F3864"/>
            <w:vAlign w:val="center"/>
            <w:hideMark/>
          </w:tcPr>
          <w:p w14:paraId="41E50E08" w14:textId="77777777" w:rsidR="005144D0" w:rsidRPr="00694299" w:rsidRDefault="005144D0" w:rsidP="005144D0">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 xml:space="preserve">Valor Razonable </w:t>
            </w:r>
          </w:p>
        </w:tc>
        <w:tc>
          <w:tcPr>
            <w:tcW w:w="2325" w:type="dxa"/>
            <w:tcBorders>
              <w:top w:val="nil"/>
              <w:left w:val="nil"/>
              <w:bottom w:val="single" w:sz="8" w:space="0" w:color="auto"/>
              <w:right w:val="single" w:sz="8" w:space="0" w:color="auto"/>
            </w:tcBorders>
            <w:shd w:val="clear" w:color="auto" w:fill="auto"/>
            <w:noWrap/>
            <w:hideMark/>
          </w:tcPr>
          <w:p w14:paraId="0B581496" w14:textId="38186EBB" w:rsidR="005144D0" w:rsidRPr="00694299" w:rsidRDefault="005144D0" w:rsidP="005144D0">
            <w:pPr>
              <w:spacing w:after="0" w:line="240" w:lineRule="auto"/>
              <w:jc w:val="center"/>
              <w:rPr>
                <w:rFonts w:eastAsia="Times New Roman" w:cs="Calibri"/>
                <w:color w:val="000000"/>
                <w:sz w:val="20"/>
                <w:szCs w:val="20"/>
                <w:lang w:eastAsia="es-CR"/>
              </w:rPr>
            </w:pPr>
            <w:r w:rsidRPr="00DA39FE">
              <w:rPr>
                <w:rFonts w:ascii="Arial" w:hAnsi="Arial" w:cs="Arial"/>
                <w:b/>
                <w:bCs/>
                <w:color w:val="000000"/>
                <w:sz w:val="18"/>
                <w:szCs w:val="18"/>
              </w:rPr>
              <w:t>₡</w:t>
            </w:r>
            <w:r w:rsidRPr="00DA39FE">
              <w:rPr>
                <w:rFonts w:cs="Calibri"/>
                <w:b/>
                <w:bCs/>
                <w:color w:val="000000"/>
                <w:sz w:val="18"/>
                <w:szCs w:val="18"/>
              </w:rPr>
              <w:t>5 894 443,19</w:t>
            </w:r>
          </w:p>
        </w:tc>
        <w:tc>
          <w:tcPr>
            <w:tcW w:w="2325" w:type="dxa"/>
            <w:tcBorders>
              <w:top w:val="nil"/>
              <w:left w:val="nil"/>
              <w:bottom w:val="single" w:sz="8" w:space="0" w:color="auto"/>
              <w:right w:val="single" w:sz="8" w:space="0" w:color="auto"/>
            </w:tcBorders>
            <w:shd w:val="clear" w:color="auto" w:fill="auto"/>
            <w:noWrap/>
            <w:vAlign w:val="center"/>
            <w:hideMark/>
          </w:tcPr>
          <w:p w14:paraId="4D1A8380" w14:textId="5345D1E8" w:rsidR="005144D0" w:rsidRPr="00694299" w:rsidRDefault="005144D0" w:rsidP="005144D0">
            <w:pPr>
              <w:spacing w:after="0" w:line="240" w:lineRule="auto"/>
              <w:jc w:val="center"/>
              <w:rPr>
                <w:rFonts w:eastAsia="Times New Roman" w:cs="Calibri"/>
                <w:color w:val="000000"/>
                <w:sz w:val="20"/>
                <w:szCs w:val="20"/>
                <w:lang w:eastAsia="es-CR"/>
              </w:rPr>
            </w:pPr>
            <w:r w:rsidRPr="00847698">
              <w:rPr>
                <w:rFonts w:ascii="Arial" w:hAnsi="Arial" w:cs="Arial"/>
                <w:b/>
                <w:bCs/>
                <w:color w:val="000000"/>
                <w:sz w:val="18"/>
                <w:szCs w:val="18"/>
              </w:rPr>
              <w:t>₡</w:t>
            </w:r>
            <w:r w:rsidRPr="00847698">
              <w:rPr>
                <w:rFonts w:cs="Arial"/>
                <w:b/>
                <w:bCs/>
                <w:color w:val="000000"/>
                <w:sz w:val="18"/>
                <w:szCs w:val="18"/>
              </w:rPr>
              <w:t>1 784 018,17</w:t>
            </w:r>
          </w:p>
        </w:tc>
      </w:tr>
    </w:tbl>
    <w:p w14:paraId="744ADA6C" w14:textId="7489369F" w:rsidR="004337DA" w:rsidRDefault="004337DA" w:rsidP="00FE51BD">
      <w:r>
        <w:fldChar w:fldCharType="end"/>
      </w:r>
    </w:p>
    <w:p w14:paraId="4B819CDC" w14:textId="77777777" w:rsidR="00680DAC" w:rsidRPr="00680DAC" w:rsidRDefault="00680DAC" w:rsidP="00680DAC">
      <w:pPr>
        <w:rPr>
          <w:b/>
          <w:u w:val="single"/>
          <w:lang w:eastAsia="es-CR"/>
        </w:rPr>
      </w:pPr>
      <w:r w:rsidRPr="00680DAC">
        <w:rPr>
          <w:b/>
          <w:u w:val="single"/>
          <w:lang w:eastAsia="es-CR"/>
        </w:rPr>
        <w:t>Revelar los cambios en las condiciones de mercado que ocasionan Riesgo de Mercado (Tasas de Interés):</w:t>
      </w:r>
    </w:p>
    <w:p w14:paraId="34E8C442" w14:textId="1AF89EEF" w:rsidR="00FC48D7" w:rsidRDefault="00FC48D7" w:rsidP="00FC48D7">
      <w:pPr>
        <w:spacing w:after="0" w:line="240" w:lineRule="auto"/>
        <w:rPr>
          <w:rFonts w:cs="Arial"/>
          <w:szCs w:val="24"/>
          <w:lang w:eastAsia="es-CR"/>
        </w:rPr>
      </w:pPr>
      <w:r w:rsidRPr="00A319F3">
        <w:rPr>
          <w:rFonts w:cs="Arial"/>
          <w:szCs w:val="24"/>
          <w:lang w:eastAsia="es-CR"/>
        </w:rPr>
        <w:t xml:space="preserve">Al </w:t>
      </w:r>
      <w:r w:rsidR="00D470B6">
        <w:rPr>
          <w:rFonts w:cs="Arial"/>
          <w:szCs w:val="24"/>
          <w:lang w:eastAsia="es-CR"/>
        </w:rPr>
        <w:t>30 de junio</w:t>
      </w:r>
      <w:r>
        <w:rPr>
          <w:rFonts w:cs="Arial"/>
          <w:szCs w:val="24"/>
          <w:lang w:eastAsia="es-CR"/>
        </w:rPr>
        <w:t xml:space="preserve"> de 2024</w:t>
      </w:r>
      <w:r w:rsidRPr="00A319F3">
        <w:rPr>
          <w:rFonts w:cs="Arial"/>
          <w:szCs w:val="24"/>
          <w:lang w:eastAsia="es-CR"/>
        </w:rPr>
        <w:t xml:space="preserve"> la Municipalidad posee activos financieros constituidos por Efectivo y Equivalentes de Efectivo por la suma de </w:t>
      </w:r>
      <w:r w:rsidRPr="001A2CF8">
        <w:rPr>
          <w:rFonts w:ascii="Arial" w:hAnsi="Arial" w:cs="Arial"/>
          <w:szCs w:val="24"/>
          <w:lang w:eastAsia="es-CR"/>
        </w:rPr>
        <w:t>₡</w:t>
      </w:r>
      <w:r w:rsidR="00BF08E8">
        <w:rPr>
          <w:rFonts w:cs="Arial"/>
          <w:szCs w:val="24"/>
          <w:lang w:eastAsia="es-CR"/>
        </w:rPr>
        <w:t xml:space="preserve">1.873.754.83 </w:t>
      </w:r>
      <w:r w:rsidRPr="00A319F3">
        <w:rPr>
          <w:rFonts w:cs="Arial"/>
          <w:szCs w:val="24"/>
          <w:lang w:eastAsia="es-CR"/>
        </w:rPr>
        <w:t>miles de colones y Cuentas por Cobrar</w:t>
      </w:r>
      <w:r>
        <w:rPr>
          <w:rFonts w:cs="Arial"/>
          <w:szCs w:val="24"/>
          <w:lang w:eastAsia="es-CR"/>
        </w:rPr>
        <w:t xml:space="preserve"> a Corto Plazo</w:t>
      </w:r>
      <w:r w:rsidRPr="00A319F3">
        <w:rPr>
          <w:rFonts w:cs="Arial"/>
          <w:szCs w:val="24"/>
          <w:lang w:eastAsia="es-CR"/>
        </w:rPr>
        <w:t xml:space="preserve"> por un monto de </w:t>
      </w:r>
      <w:r w:rsidRPr="00BC5618">
        <w:rPr>
          <w:rFonts w:ascii="Arial" w:hAnsi="Arial" w:cs="Arial"/>
          <w:szCs w:val="24"/>
          <w:lang w:eastAsia="es-CR"/>
        </w:rPr>
        <w:t>₡</w:t>
      </w:r>
      <w:r w:rsidR="00BC5618" w:rsidRPr="00BC5618">
        <w:rPr>
          <w:rFonts w:cs="Arial"/>
          <w:szCs w:val="24"/>
          <w:lang w:eastAsia="es-CR"/>
        </w:rPr>
        <w:t xml:space="preserve">4 189 686 29 </w:t>
      </w:r>
      <w:r w:rsidRPr="006E194D">
        <w:rPr>
          <w:rFonts w:cs="Arial"/>
          <w:szCs w:val="24"/>
          <w:lang w:eastAsia="es-CR"/>
        </w:rPr>
        <w:t xml:space="preserve">miles </w:t>
      </w:r>
      <w:r w:rsidRPr="00A319F3">
        <w:rPr>
          <w:rFonts w:cs="Arial"/>
          <w:szCs w:val="24"/>
          <w:lang w:eastAsia="es-CR"/>
        </w:rPr>
        <w:t>de colones</w:t>
      </w:r>
      <w:r>
        <w:rPr>
          <w:rFonts w:cs="Arial"/>
          <w:szCs w:val="24"/>
          <w:lang w:eastAsia="es-CR"/>
        </w:rPr>
        <w:t xml:space="preserve"> </w:t>
      </w:r>
      <w:r w:rsidRPr="006E194D">
        <w:rPr>
          <w:rFonts w:cs="Arial"/>
          <w:szCs w:val="24"/>
          <w:lang w:eastAsia="es-CR"/>
        </w:rPr>
        <w:t>(</w:t>
      </w:r>
      <w:r>
        <w:rPr>
          <w:rFonts w:cs="Arial"/>
          <w:szCs w:val="24"/>
          <w:lang w:eastAsia="es-CR"/>
        </w:rPr>
        <w:t xml:space="preserve">sobre esas </w:t>
      </w:r>
      <w:r w:rsidRPr="006E194D">
        <w:rPr>
          <w:rFonts w:cs="Arial"/>
          <w:szCs w:val="24"/>
          <w:lang w:eastAsia="es-CR"/>
        </w:rPr>
        <w:t xml:space="preserve">Cuenta por Cobrar </w:t>
      </w:r>
      <w:r>
        <w:rPr>
          <w:rFonts w:cs="Arial"/>
          <w:szCs w:val="24"/>
          <w:lang w:eastAsia="es-CR"/>
        </w:rPr>
        <w:t xml:space="preserve">se estiman </w:t>
      </w:r>
      <w:r w:rsidRPr="006E194D">
        <w:rPr>
          <w:rFonts w:cs="Arial"/>
          <w:szCs w:val="24"/>
          <w:lang w:eastAsia="es-CR"/>
        </w:rPr>
        <w:t xml:space="preserve">Previsiones para deterioro de cuentas por cobra </w:t>
      </w:r>
      <w:r>
        <w:rPr>
          <w:rFonts w:cs="Arial"/>
          <w:szCs w:val="24"/>
          <w:lang w:eastAsia="es-CR"/>
        </w:rPr>
        <w:t xml:space="preserve">por </w:t>
      </w:r>
      <w:r w:rsidRPr="00BC5618">
        <w:rPr>
          <w:rFonts w:ascii="Arial" w:hAnsi="Arial" w:cs="Arial"/>
          <w:szCs w:val="24"/>
          <w:lang w:eastAsia="es-CR"/>
        </w:rPr>
        <w:t>₡</w:t>
      </w:r>
      <w:r w:rsidRPr="00BC5618">
        <w:rPr>
          <w:rFonts w:cs="Arial"/>
          <w:szCs w:val="24"/>
          <w:lang w:eastAsia="es-CR"/>
        </w:rPr>
        <w:t>-</w:t>
      </w:r>
      <w:r w:rsidRPr="006E194D">
        <w:rPr>
          <w:rFonts w:cs="Arial"/>
          <w:szCs w:val="24"/>
          <w:lang w:eastAsia="es-CR"/>
        </w:rPr>
        <w:t>175 377,90 miles)</w:t>
      </w:r>
      <w:r w:rsidRPr="00A319F3">
        <w:rPr>
          <w:rFonts w:cs="Arial"/>
          <w:szCs w:val="24"/>
          <w:lang w:eastAsia="es-CR"/>
        </w:rPr>
        <w:t xml:space="preserve">. Por otra parte, poseía pasivos financieros constituidos por Deudas </w:t>
      </w:r>
      <w:r w:rsidR="00BC5618">
        <w:rPr>
          <w:rFonts w:cs="Arial"/>
          <w:szCs w:val="24"/>
          <w:lang w:eastAsia="es-CR"/>
        </w:rPr>
        <w:t xml:space="preserve">comerciales, sociales y fiscales y depósitos en garantía </w:t>
      </w:r>
      <w:r w:rsidRPr="00A319F3">
        <w:rPr>
          <w:rFonts w:cs="Arial"/>
          <w:szCs w:val="24"/>
          <w:lang w:eastAsia="es-CR"/>
        </w:rPr>
        <w:t xml:space="preserve">a </w:t>
      </w:r>
      <w:r>
        <w:rPr>
          <w:rFonts w:cs="Arial"/>
          <w:szCs w:val="24"/>
          <w:lang w:eastAsia="es-CR"/>
        </w:rPr>
        <w:t>C</w:t>
      </w:r>
      <w:r w:rsidRPr="00A319F3">
        <w:rPr>
          <w:rFonts w:cs="Arial"/>
          <w:szCs w:val="24"/>
          <w:lang w:eastAsia="es-CR"/>
        </w:rPr>
        <w:t xml:space="preserve">orto Plazo por un monto de </w:t>
      </w:r>
      <w:r w:rsidRPr="00BC5618">
        <w:rPr>
          <w:rFonts w:ascii="Arial" w:hAnsi="Arial" w:cs="Arial"/>
          <w:szCs w:val="24"/>
          <w:lang w:eastAsia="es-CR"/>
        </w:rPr>
        <w:t>₡</w:t>
      </w:r>
      <w:r w:rsidR="00BC5618" w:rsidRPr="00BC5618">
        <w:rPr>
          <w:rFonts w:cs="Arial"/>
          <w:szCs w:val="24"/>
          <w:lang w:eastAsia="es-CR"/>
        </w:rPr>
        <w:t xml:space="preserve">124 344,48 </w:t>
      </w:r>
      <w:r w:rsidRPr="00A319F3">
        <w:rPr>
          <w:rFonts w:cs="Arial"/>
          <w:szCs w:val="24"/>
          <w:lang w:eastAsia="es-CR"/>
        </w:rPr>
        <w:t>miles de colones</w:t>
      </w:r>
      <w:r>
        <w:rPr>
          <w:rFonts w:cs="Arial"/>
          <w:szCs w:val="24"/>
          <w:lang w:eastAsia="es-CR"/>
        </w:rPr>
        <w:t xml:space="preserve">, </w:t>
      </w:r>
      <w:r w:rsidR="00BC5618">
        <w:rPr>
          <w:rFonts w:cs="Arial"/>
          <w:szCs w:val="24"/>
          <w:lang w:eastAsia="es-CR"/>
        </w:rPr>
        <w:t xml:space="preserve">Transferencias por pagar a CP </w:t>
      </w:r>
      <w:r w:rsidR="00BC5618" w:rsidRPr="00BC5618">
        <w:rPr>
          <w:rFonts w:ascii="Arial" w:hAnsi="Arial" w:cs="Arial"/>
          <w:szCs w:val="24"/>
          <w:lang w:eastAsia="es-CR"/>
        </w:rPr>
        <w:t>₡</w:t>
      </w:r>
      <w:r w:rsidR="00BC5618" w:rsidRPr="00BC5618">
        <w:rPr>
          <w:rFonts w:cs="Arial"/>
          <w:szCs w:val="24"/>
          <w:lang w:eastAsia="es-CR"/>
        </w:rPr>
        <w:t>26 192,49</w:t>
      </w:r>
      <w:r w:rsidR="00BC5618">
        <w:rPr>
          <w:rFonts w:cs="Arial"/>
          <w:szCs w:val="24"/>
          <w:lang w:eastAsia="es-CR"/>
        </w:rPr>
        <w:t>, Préstamos a corto plazo</w:t>
      </w:r>
      <w:r w:rsidRPr="001A2CF8">
        <w:rPr>
          <w:rFonts w:cs="Arial"/>
          <w:szCs w:val="24"/>
          <w:lang w:eastAsia="es-CR"/>
        </w:rPr>
        <w:t xml:space="preserve"> </w:t>
      </w:r>
      <w:r w:rsidRPr="00BC5618">
        <w:rPr>
          <w:rFonts w:ascii="Arial" w:hAnsi="Arial" w:cs="Arial"/>
          <w:szCs w:val="24"/>
          <w:lang w:eastAsia="es-CR"/>
        </w:rPr>
        <w:t>₡</w:t>
      </w:r>
      <w:r w:rsidR="00BC5618" w:rsidRPr="00BC5618">
        <w:rPr>
          <w:rFonts w:cs="Arial"/>
          <w:szCs w:val="24"/>
          <w:lang w:eastAsia="es-CR"/>
        </w:rPr>
        <w:t>598 499,05</w:t>
      </w:r>
      <w:r w:rsidRPr="001A2CF8">
        <w:rPr>
          <w:rFonts w:cs="Arial"/>
          <w:szCs w:val="24"/>
          <w:lang w:eastAsia="es-CR"/>
        </w:rPr>
        <w:t>miles</w:t>
      </w:r>
      <w:r>
        <w:rPr>
          <w:rFonts w:cs="Arial"/>
          <w:szCs w:val="24"/>
          <w:lang w:eastAsia="es-CR"/>
        </w:rPr>
        <w:t xml:space="preserve"> y Deudas a Largo Plazo por la suma de                        </w:t>
      </w:r>
      <w:r w:rsidRPr="00BC5618">
        <w:rPr>
          <w:rFonts w:ascii="Arial" w:hAnsi="Arial" w:cs="Arial"/>
          <w:szCs w:val="24"/>
          <w:lang w:eastAsia="es-CR"/>
        </w:rPr>
        <w:t>₡</w:t>
      </w:r>
      <w:r w:rsidR="00BC5618" w:rsidRPr="00BC5618">
        <w:rPr>
          <w:rFonts w:cs="Arial"/>
          <w:szCs w:val="24"/>
          <w:lang w:eastAsia="es-CR"/>
        </w:rPr>
        <w:t xml:space="preserve">1 034 982,15 </w:t>
      </w:r>
      <w:r w:rsidRPr="00A319F3">
        <w:rPr>
          <w:rFonts w:cs="Arial"/>
          <w:szCs w:val="24"/>
          <w:lang w:eastAsia="es-CR"/>
        </w:rPr>
        <w:t>miles de colones</w:t>
      </w:r>
      <w:r>
        <w:rPr>
          <w:rFonts w:cs="Arial"/>
          <w:szCs w:val="24"/>
          <w:lang w:eastAsia="es-CR"/>
        </w:rPr>
        <w:t xml:space="preserve"> </w:t>
      </w:r>
      <w:r w:rsidRPr="001A2CF8">
        <w:rPr>
          <w:rFonts w:cs="Arial"/>
          <w:szCs w:val="24"/>
          <w:lang w:eastAsia="es-CR"/>
        </w:rPr>
        <w:t xml:space="preserve">y Provisiones para beneficios a los empleados </w:t>
      </w:r>
      <w:r>
        <w:rPr>
          <w:rFonts w:cs="Arial"/>
          <w:szCs w:val="24"/>
          <w:lang w:eastAsia="es-CR"/>
        </w:rPr>
        <w:t>l</w:t>
      </w:r>
      <w:r w:rsidRPr="001A2CF8">
        <w:rPr>
          <w:rFonts w:cs="Arial"/>
          <w:szCs w:val="24"/>
          <w:lang w:eastAsia="es-CR"/>
        </w:rPr>
        <w:t xml:space="preserve">/p </w:t>
      </w:r>
      <w:r w:rsidRPr="00BC5618">
        <w:rPr>
          <w:rFonts w:ascii="Arial" w:hAnsi="Arial" w:cs="Arial"/>
          <w:szCs w:val="24"/>
          <w:lang w:eastAsia="es-CR"/>
        </w:rPr>
        <w:t>₡</w:t>
      </w:r>
      <w:r w:rsidRPr="00BC5618">
        <w:rPr>
          <w:rFonts w:cs="Arial"/>
          <w:szCs w:val="24"/>
          <w:lang w:eastAsia="es-CR"/>
        </w:rPr>
        <w:t>23 113,23</w:t>
      </w:r>
      <w:r w:rsidRPr="001A2CF8">
        <w:rPr>
          <w:rFonts w:cs="Arial"/>
          <w:szCs w:val="24"/>
          <w:lang w:eastAsia="es-CR"/>
        </w:rPr>
        <w:t xml:space="preserve"> miles</w:t>
      </w:r>
      <w:r>
        <w:rPr>
          <w:rFonts w:cs="Arial"/>
          <w:szCs w:val="24"/>
          <w:lang w:eastAsia="es-CR"/>
        </w:rPr>
        <w:t>.</w:t>
      </w:r>
    </w:p>
    <w:p w14:paraId="60BDE2FA" w14:textId="77777777" w:rsidR="00FC48D7" w:rsidRDefault="00FC48D7" w:rsidP="00FC48D7">
      <w:pPr>
        <w:spacing w:after="0" w:line="240" w:lineRule="auto"/>
        <w:rPr>
          <w:rFonts w:cs="Arial"/>
          <w:szCs w:val="24"/>
          <w:lang w:eastAsia="es-CR"/>
        </w:rPr>
      </w:pPr>
    </w:p>
    <w:p w14:paraId="6FB98A34" w14:textId="5E585CAA" w:rsidR="00FC48D7" w:rsidRDefault="00FC48D7" w:rsidP="00BC5618">
      <w:pPr>
        <w:spacing w:after="0" w:line="240" w:lineRule="auto"/>
        <w:rPr>
          <w:rFonts w:eastAsia="Times New Roman" w:cs="Calibri"/>
          <w:color w:val="000000"/>
          <w:sz w:val="22"/>
        </w:rPr>
      </w:pPr>
      <w:r>
        <w:rPr>
          <w:rFonts w:cs="Arial"/>
          <w:szCs w:val="24"/>
          <w:lang w:eastAsia="es-CR"/>
        </w:rPr>
        <w:t>Es pertinente indicar, que la Municipalidad de Buenos Aires</w:t>
      </w:r>
      <w:r w:rsidRPr="00A319F3">
        <w:rPr>
          <w:rFonts w:cs="Arial"/>
          <w:szCs w:val="24"/>
          <w:lang w:eastAsia="es-CR"/>
        </w:rPr>
        <w:t xml:space="preserve"> tiene suscrito con el Instituto de Fomento y Asesoría Municipal la operación Nº 6-CVL-1457-0718 para el mejoramiento de la red vial cantonal, compra de maquinaria, inventario de vías y estudios de pre-inversión para la construcción del plantel municipal y oficinas de la Unidad Técnica de Gestión Vial, según contrato de préstamo suscrito el 19 de enero de 2019. </w:t>
      </w:r>
      <w:r w:rsidRPr="00A319F3">
        <w:rPr>
          <w:rFonts w:cs="Arial"/>
          <w:szCs w:val="24"/>
        </w:rPr>
        <w:t xml:space="preserve">El contrato de préstamo es por </w:t>
      </w:r>
      <w:r w:rsidRPr="00A319F3">
        <w:rPr>
          <w:rFonts w:ascii="Arial" w:hAnsi="Arial" w:cs="Arial"/>
          <w:szCs w:val="24"/>
        </w:rPr>
        <w:t>₡</w:t>
      </w:r>
      <w:r w:rsidRPr="00A319F3">
        <w:rPr>
          <w:rFonts w:cs="Arial"/>
          <w:szCs w:val="24"/>
        </w:rPr>
        <w:t xml:space="preserve">3 563 088,50. tiene un plazo de amortización y del préstamo de 7 años; pagadero en 28 cuotas trimestrales. La tasa de interés ordinaria es del 7% anal fija sobre saldos durante toda la vida del crédito.  La cláusula sétima del contrato establece que los desembolsos se girarán en tractos, directamente a la Municipalidad a solicitud del representante legal de está. Al </w:t>
      </w:r>
      <w:r w:rsidR="00D470B6">
        <w:rPr>
          <w:rFonts w:cs="Arial"/>
          <w:szCs w:val="24"/>
        </w:rPr>
        <w:t>30 de junio</w:t>
      </w:r>
      <w:r>
        <w:rPr>
          <w:rFonts w:cs="Arial"/>
          <w:szCs w:val="24"/>
        </w:rPr>
        <w:t xml:space="preserve"> de 2024,</w:t>
      </w:r>
      <w:r w:rsidRPr="00A319F3">
        <w:rPr>
          <w:rFonts w:cs="Arial"/>
          <w:szCs w:val="24"/>
        </w:rPr>
        <w:t xml:space="preserve"> </w:t>
      </w:r>
      <w:r w:rsidRPr="00A319F3">
        <w:rPr>
          <w:rFonts w:eastAsiaTheme="minorEastAsia" w:cs="Arial Narrow"/>
          <w:color w:val="000000"/>
          <w:szCs w:val="24"/>
        </w:rPr>
        <w:t>l</w:t>
      </w:r>
      <w:r w:rsidRPr="00A319F3">
        <w:rPr>
          <w:rFonts w:cs="Arial"/>
          <w:szCs w:val="24"/>
        </w:rPr>
        <w:t xml:space="preserve">a Municipalidad adeuda </w:t>
      </w:r>
      <w:r w:rsidRPr="00BC5618">
        <w:rPr>
          <w:rFonts w:ascii="Arial" w:hAnsi="Arial" w:cs="Arial"/>
          <w:szCs w:val="24"/>
        </w:rPr>
        <w:t>₡</w:t>
      </w:r>
      <w:r w:rsidR="0068083D">
        <w:rPr>
          <w:rFonts w:cs="Arial"/>
          <w:szCs w:val="24"/>
        </w:rPr>
        <w:t>1.583.551.96</w:t>
      </w:r>
      <w:r w:rsidR="00BC5618">
        <w:rPr>
          <w:rFonts w:ascii="Arial" w:hAnsi="Arial" w:cs="Arial"/>
          <w:color w:val="000000"/>
          <w:szCs w:val="24"/>
        </w:rPr>
        <w:t xml:space="preserve"> </w:t>
      </w:r>
      <w:r w:rsidRPr="00A319F3">
        <w:rPr>
          <w:rFonts w:cs="Arial"/>
          <w:szCs w:val="24"/>
        </w:rPr>
        <w:t>miles de colones por concepto del préstamo mencionado</w:t>
      </w:r>
      <w:r>
        <w:rPr>
          <w:rFonts w:eastAsia="Times New Roman" w:cs="Calibri"/>
          <w:color w:val="000000"/>
          <w:sz w:val="22"/>
        </w:rPr>
        <w:t>.</w:t>
      </w:r>
    </w:p>
    <w:p w14:paraId="429FE15B" w14:textId="77777777" w:rsidR="00FC48D7" w:rsidRDefault="00FC48D7" w:rsidP="00FC48D7">
      <w:pPr>
        <w:spacing w:line="240" w:lineRule="auto"/>
        <w:rPr>
          <w:rFonts w:eastAsia="Times New Roman" w:cs="Calibri"/>
          <w:color w:val="000000"/>
          <w:sz w:val="22"/>
        </w:rPr>
      </w:pPr>
    </w:p>
    <w:p w14:paraId="246597C8" w14:textId="77777777" w:rsidR="00680DAC" w:rsidRPr="00680DAC" w:rsidRDefault="00680DAC" w:rsidP="00680DAC">
      <w:pPr>
        <w:rPr>
          <w:b/>
          <w:u w:val="single"/>
          <w:lang w:eastAsia="es-CR"/>
        </w:rPr>
      </w:pPr>
      <w:r w:rsidRPr="00680DAC">
        <w:rPr>
          <w:b/>
          <w:u w:val="single"/>
          <w:lang w:eastAsia="es-CR"/>
        </w:rPr>
        <w:t>Revelar reclasificaciones de Activo Financiero:</w:t>
      </w:r>
    </w:p>
    <w:p w14:paraId="33BF6BAB" w14:textId="77777777" w:rsidR="00FC48D7" w:rsidRPr="00A319F3" w:rsidRDefault="00FC48D7" w:rsidP="00FC48D7">
      <w:pPr>
        <w:ind w:right="51"/>
        <w:rPr>
          <w:szCs w:val="24"/>
        </w:rPr>
      </w:pPr>
      <w:r w:rsidRPr="00A319F3">
        <w:rPr>
          <w:szCs w:val="24"/>
        </w:rPr>
        <w:t>Durante el periodo ningún activo financiero fue objeto de reclasificación.</w:t>
      </w:r>
    </w:p>
    <w:p w14:paraId="0F69B1B9" w14:textId="77777777" w:rsidR="00680DAC" w:rsidRPr="00680DAC" w:rsidRDefault="00680DAC" w:rsidP="00680DAC">
      <w:pPr>
        <w:rPr>
          <w:b/>
          <w:u w:val="single"/>
          <w:lang w:eastAsia="es-CR"/>
        </w:rPr>
      </w:pPr>
      <w:r w:rsidRPr="00680DAC">
        <w:rPr>
          <w:b/>
          <w:u w:val="single"/>
          <w:lang w:eastAsia="es-CR"/>
        </w:rPr>
        <w:t>Revelar aspectos de Garantía Colateral:</w:t>
      </w:r>
    </w:p>
    <w:p w14:paraId="3AB4A1C2" w14:textId="77777777" w:rsidR="00FC48D7" w:rsidRPr="00A319F3" w:rsidRDefault="00FC48D7" w:rsidP="00FC48D7">
      <w:pPr>
        <w:spacing w:line="240" w:lineRule="auto"/>
        <w:ind w:right="51"/>
        <w:rPr>
          <w:szCs w:val="24"/>
        </w:rPr>
      </w:pPr>
      <w:r w:rsidRPr="00A319F3">
        <w:rPr>
          <w:szCs w:val="24"/>
        </w:rPr>
        <w:t xml:space="preserve">La Municipalidad no posee instrumentos financieros con esta </w:t>
      </w:r>
      <w:r>
        <w:rPr>
          <w:szCs w:val="24"/>
        </w:rPr>
        <w:t xml:space="preserve">característica. </w:t>
      </w:r>
      <w:r w:rsidRPr="00A319F3">
        <w:rPr>
          <w:szCs w:val="24"/>
        </w:rPr>
        <w:t>Los activos financieros (efectivo y equivalentes de efectivo; cuentas por cobrar por servicios prestados, impuestos y arrendamientos), que posee la Municipalidad no cuentan con ningún tipo de cobertura colateral</w:t>
      </w:r>
    </w:p>
    <w:p w14:paraId="2795F69F" w14:textId="77777777" w:rsidR="00680DAC" w:rsidRPr="00680DAC" w:rsidRDefault="00680DAC" w:rsidP="00680DAC">
      <w:pPr>
        <w:rPr>
          <w:b/>
          <w:u w:val="single"/>
          <w:lang w:eastAsia="es-CR"/>
        </w:rPr>
      </w:pPr>
      <w:r w:rsidRPr="00680DAC">
        <w:rPr>
          <w:b/>
          <w:u w:val="single"/>
          <w:lang w:eastAsia="es-CR"/>
        </w:rPr>
        <w:t>Revelar Instrumentos Financieros compuestos con múltiples derivados implícitos:</w:t>
      </w:r>
    </w:p>
    <w:p w14:paraId="443F817F" w14:textId="77777777" w:rsidR="00FC48D7" w:rsidRPr="00A319F3" w:rsidRDefault="00FC48D7" w:rsidP="00FC48D7">
      <w:pPr>
        <w:spacing w:line="240" w:lineRule="auto"/>
        <w:ind w:right="51"/>
        <w:rPr>
          <w:szCs w:val="24"/>
        </w:rPr>
      </w:pPr>
      <w:r w:rsidRPr="00A319F3">
        <w:rPr>
          <w:szCs w:val="24"/>
        </w:rPr>
        <w:t>La municipalidad no posee Instrumentos financieros compuestos con múltiples derivados implícitos por lo que no se revela nada al respecto.</w:t>
      </w:r>
    </w:p>
    <w:p w14:paraId="3F22FB31" w14:textId="2BF3D502" w:rsidR="00680DAC" w:rsidRPr="00680DAC" w:rsidRDefault="00680DAC" w:rsidP="00680DAC">
      <w:pPr>
        <w:rPr>
          <w:lang w:val="es-MX" w:eastAsia="es-CR"/>
        </w:rPr>
      </w:pPr>
      <w:r w:rsidRPr="00680DAC">
        <w:rPr>
          <w:rFonts w:ascii="Times New Roman" w:hAnsi="Times New Roman"/>
          <w:szCs w:val="24"/>
          <w:lang w:eastAsia="es-CR"/>
        </w:rPr>
        <w:t>_</w:t>
      </w:r>
    </w:p>
    <w:p w14:paraId="3C0B60F1" w14:textId="77777777" w:rsidR="00680DAC" w:rsidRPr="00680DAC" w:rsidRDefault="00680DAC" w:rsidP="00680DAC">
      <w:pPr>
        <w:rPr>
          <w:b/>
          <w:u w:val="single"/>
          <w:lang w:eastAsia="es-CR"/>
        </w:rPr>
      </w:pPr>
      <w:r w:rsidRPr="00680DAC">
        <w:rPr>
          <w:b/>
          <w:u w:val="single"/>
          <w:lang w:eastAsia="es-CR"/>
        </w:rPr>
        <w:t>Revelar Valor Razonable de Activos y Pasivos Financieros:</w:t>
      </w:r>
    </w:p>
    <w:p w14:paraId="02D11393" w14:textId="77777777" w:rsidR="00FC48D7" w:rsidRPr="00A319F3" w:rsidRDefault="00FC48D7" w:rsidP="00FC48D7">
      <w:pPr>
        <w:spacing w:line="240" w:lineRule="auto"/>
        <w:ind w:right="51"/>
        <w:rPr>
          <w:szCs w:val="24"/>
        </w:rPr>
      </w:pPr>
      <w:r w:rsidRPr="00A319F3">
        <w:rPr>
          <w:szCs w:val="24"/>
        </w:rPr>
        <w:t>Los activos financieros que posee la Municipalidad son originados por lo puesto al cobro por conceptos de servicios y tributos municipales establecidos por el Código Municipal, los cuales son exclusivos del quehacer municipal, por lo que no dependen de un mercado en competencia y constituyen transacciones de corto plazo y son registrados por el valor establecido por el ayuntamiento según lo establece dicha normativa.</w:t>
      </w:r>
    </w:p>
    <w:p w14:paraId="29E8A28E" w14:textId="77777777" w:rsidR="00FC48D7" w:rsidRDefault="00FC48D7" w:rsidP="00FC48D7">
      <w:pPr>
        <w:spacing w:after="0" w:line="240" w:lineRule="auto"/>
        <w:ind w:right="51"/>
        <w:rPr>
          <w:szCs w:val="24"/>
        </w:rPr>
      </w:pPr>
      <w:r w:rsidRPr="00A319F3">
        <w:rPr>
          <w:szCs w:val="24"/>
        </w:rPr>
        <w:t>Los pasivos financieros están compuestos por deudas de corto plazo, las cuales están registradas al valor razonable al momento de adquirir la obligación que en esencia son transacciones de corto plazo. Además, la Municipalidad tiene un préstamo que contrajo con el IFAM, el cual se registró al valor razonable, no obstante, se está solicitando la información respectiva al IFAM para establecer su costo amortizado a una tasa efectivo en el futuro.</w:t>
      </w:r>
    </w:p>
    <w:p w14:paraId="355B15DA" w14:textId="77777777" w:rsidR="00FC48D7" w:rsidRDefault="00FC48D7" w:rsidP="00FC48D7">
      <w:pPr>
        <w:spacing w:after="0" w:line="240" w:lineRule="auto"/>
        <w:ind w:right="51"/>
        <w:rPr>
          <w:szCs w:val="24"/>
        </w:rPr>
      </w:pPr>
    </w:p>
    <w:p w14:paraId="68922933" w14:textId="77777777" w:rsidR="00680DAC" w:rsidRPr="00680DAC" w:rsidRDefault="00680DAC" w:rsidP="00680DAC">
      <w:pPr>
        <w:rPr>
          <w:b/>
          <w:u w:val="single"/>
          <w:lang w:eastAsia="es-CR"/>
        </w:rPr>
      </w:pPr>
      <w:r w:rsidRPr="00680DAC">
        <w:rPr>
          <w:b/>
          <w:u w:val="single"/>
          <w:lang w:eastAsia="es-CR"/>
        </w:rPr>
        <w:t>Revelar naturaleza y alcance de los riesgos que surgen de los Instrumentos Financieros:</w:t>
      </w:r>
    </w:p>
    <w:p w14:paraId="008D7C0B" w14:textId="77777777" w:rsidR="00FC48D7" w:rsidRPr="009165F3" w:rsidRDefault="00FC48D7" w:rsidP="00FC48D7">
      <w:pPr>
        <w:spacing w:line="240" w:lineRule="auto"/>
        <w:ind w:right="51"/>
        <w:rPr>
          <w:szCs w:val="24"/>
        </w:rPr>
      </w:pPr>
      <w:r w:rsidRPr="009165F3">
        <w:rPr>
          <w:szCs w:val="24"/>
        </w:rPr>
        <w:t>De acuerdo con el análisis realizado de los riesgos a los que están expuestos los instrumentos financieros se estableció lo siguiente:</w:t>
      </w:r>
    </w:p>
    <w:p w14:paraId="4EDC6732" w14:textId="77777777" w:rsidR="00FC48D7" w:rsidRPr="009165F3" w:rsidRDefault="00FC48D7" w:rsidP="00FC48D7">
      <w:pPr>
        <w:spacing w:line="240" w:lineRule="auto"/>
        <w:ind w:right="51"/>
        <w:rPr>
          <w:szCs w:val="24"/>
        </w:rPr>
      </w:pPr>
      <w:r w:rsidRPr="009165F3">
        <w:rPr>
          <w:b/>
          <w:bCs/>
          <w:szCs w:val="24"/>
          <w:lang w:eastAsia="es-CR"/>
        </w:rPr>
        <w:t>Riesgo de Mercado.</w:t>
      </w:r>
      <w:r w:rsidRPr="009165F3">
        <w:rPr>
          <w:szCs w:val="24"/>
        </w:rPr>
        <w:t xml:space="preserve"> El riesgo de mercado es bajo, ya que como se indicó anteriormente los precios de los servicios e impuestos que cobra la Municipalidad no son producto de oferta y demanda de mercado. Además, porque las variaciones en el tipo de cambio de moneda extranjera y en los índices de precios no impactan los precios de las tasas y los impuestos que cobra la Municipalidad de manera importante; asimismo, la tasa de intereses es fija y está establecida en el Código Municipal.</w:t>
      </w:r>
    </w:p>
    <w:p w14:paraId="786FC1A7" w14:textId="77777777" w:rsidR="00FC48D7" w:rsidRPr="009165F3" w:rsidRDefault="00FC48D7" w:rsidP="00FC48D7">
      <w:pPr>
        <w:spacing w:line="240" w:lineRule="auto"/>
        <w:ind w:right="51"/>
        <w:rPr>
          <w:szCs w:val="24"/>
        </w:rPr>
      </w:pPr>
      <w:r w:rsidRPr="009165F3">
        <w:rPr>
          <w:szCs w:val="24"/>
        </w:rPr>
        <w:t>Por otra parte, los pasivos financieros que están constituidos por deudas de muy corto plazo (30 días) y el préstamo con el IFAM están expuestas a riesgos de variaciones de tipo de cambio, tasas de interés y variaciones de precios bajos por las condiciones en que se contraen, además en el caso del préstamo como se indicó la tasa de interés es fija del 7% por el plazo del crédito.</w:t>
      </w:r>
    </w:p>
    <w:p w14:paraId="72651CD3" w14:textId="77777777" w:rsidR="00FC48D7" w:rsidRPr="004D3EFA" w:rsidRDefault="00FC48D7" w:rsidP="00FC48D7">
      <w:pPr>
        <w:spacing w:before="240" w:after="0" w:line="240" w:lineRule="auto"/>
        <w:rPr>
          <w:rFonts w:cs="Arial"/>
          <w:color w:val="202124"/>
          <w:shd w:val="clear" w:color="auto" w:fill="FFFFFF"/>
        </w:rPr>
      </w:pPr>
      <w:r w:rsidRPr="004D3EFA">
        <w:rPr>
          <w:rFonts w:cs="Arial"/>
          <w:b/>
          <w:bCs/>
          <w:color w:val="202124"/>
          <w:shd w:val="clear" w:color="auto" w:fill="FFFFFF"/>
        </w:rPr>
        <w:t>Riesgo de Crédito.</w:t>
      </w:r>
      <w:r w:rsidRPr="004D3EFA">
        <w:rPr>
          <w:rFonts w:cs="Arial"/>
          <w:color w:val="202124"/>
          <w:shd w:val="clear" w:color="auto" w:fill="FFFFFF"/>
        </w:rPr>
        <w:t xml:space="preserve"> Este riesgo se considera bajo ya que la Municipalidad cuenta con los mecanismos legales requeridos (cobro administrativo, judicial e inclusive las deudas por tributos municipales constituirán hipoteca legal preferente), que se constituyen en una especie de garantía específica, que les posibilitan tomar las acciones pertinentes para minimizar la pérdida potencial por falta de pago de los contribuyentes.</w:t>
      </w:r>
    </w:p>
    <w:p w14:paraId="2C0FBFEB" w14:textId="77777777" w:rsidR="00FC48D7" w:rsidRPr="004D3EFA" w:rsidRDefault="00FC48D7" w:rsidP="00FC48D7">
      <w:pPr>
        <w:spacing w:before="240" w:after="240" w:line="240" w:lineRule="auto"/>
        <w:rPr>
          <w:rFonts w:cs="Arial"/>
          <w:color w:val="202124"/>
          <w:shd w:val="clear" w:color="auto" w:fill="FFFFFF"/>
        </w:rPr>
      </w:pPr>
      <w:r w:rsidRPr="004D3EFA">
        <w:rPr>
          <w:rFonts w:cs="Arial"/>
          <w:b/>
          <w:bCs/>
          <w:color w:val="202124"/>
          <w:shd w:val="clear" w:color="auto" w:fill="FFFFFF"/>
        </w:rPr>
        <w:t>Riesgo Operativo.</w:t>
      </w:r>
      <w:r w:rsidRPr="004D3EFA">
        <w:rPr>
          <w:rFonts w:cs="Arial"/>
          <w:color w:val="202124"/>
          <w:shd w:val="clear" w:color="auto" w:fill="FFFFFF"/>
        </w:rPr>
        <w:t xml:space="preserve"> La Municipalidad tiene establecidas una segregación de funciones y responsabilidades, acorde con los procesos diferentes procesos que se ejecutan, asimismo se está efectuando un proceso de revisión de los procedimientos de trabajo existentes y de implementación de los que se adolezca incluyendo los controles operativos. Además, se está implementando un sistema integrado de información computadorizado. Todo lo anterior, con el fin de minimizar a un nivel aceptable la redundancia producida por fallas o deficiencias en los sistemas de información, en los controles internos o por errores en el procesamiento de las operaciones, así como las fallas humanas, el fraude y otras situaciones que impidan continuar con las operaciones o que reduzcan la capacidad operativa.</w:t>
      </w:r>
    </w:p>
    <w:p w14:paraId="63D8456A" w14:textId="77777777" w:rsidR="00FC48D7" w:rsidRDefault="00FC48D7" w:rsidP="00FC48D7">
      <w:pPr>
        <w:spacing w:after="240" w:line="240" w:lineRule="auto"/>
        <w:rPr>
          <w:rFonts w:cs="Arial"/>
          <w:color w:val="202124"/>
          <w:shd w:val="clear" w:color="auto" w:fill="FFFFFF"/>
        </w:rPr>
      </w:pPr>
      <w:r w:rsidRPr="004D3EFA">
        <w:rPr>
          <w:rFonts w:cs="Arial"/>
          <w:b/>
          <w:bCs/>
          <w:color w:val="202124"/>
          <w:shd w:val="clear" w:color="auto" w:fill="FFFFFF"/>
        </w:rPr>
        <w:t>Riesgo Legal.</w:t>
      </w:r>
      <w:r w:rsidRPr="004D3EFA">
        <w:rPr>
          <w:rFonts w:cs="Arial"/>
          <w:color w:val="202124"/>
          <w:shd w:val="clear" w:color="auto" w:fill="FFFFFF"/>
        </w:rPr>
        <w:t xml:space="preserve"> Este riesgo se considera bajo por cuanto los actos (emisión de resoluciones administrativas y de tipo legal) que ejecuta la Municipalidad, son respaldados con el correspondiente criterio legal, emitido por la Dirección Jurídica del Ayuntamiento. También, se tiene la práctica de solicitar a la Dirección Jurídica la interpretación de las disposiciones legales previo a su aplicación y sobre todo en caso de duda para evitar dejar a la institución en una situación comprometida u ocasionar costos adicionales, por incumplimiento de alguna ley</w:t>
      </w:r>
      <w:r>
        <w:rPr>
          <w:rFonts w:cs="Arial"/>
          <w:color w:val="202124"/>
          <w:shd w:val="clear" w:color="auto" w:fill="FFFFFF"/>
        </w:rPr>
        <w:t>.</w:t>
      </w:r>
    </w:p>
    <w:p w14:paraId="1A838E11" w14:textId="60FCF88E" w:rsidR="00680DAC" w:rsidRPr="00680DAC" w:rsidRDefault="00680DAC" w:rsidP="00FC48D7">
      <w:pPr>
        <w:rPr>
          <w:b/>
          <w:u w:val="single"/>
          <w:lang w:eastAsia="es-CR"/>
        </w:rPr>
      </w:pPr>
      <w:r w:rsidRPr="00680DAC">
        <w:rPr>
          <w:b/>
          <w:u w:val="single"/>
          <w:lang w:eastAsia="es-CR"/>
        </w:rPr>
        <w:t>Revelar análisis de sensibilidad:</w:t>
      </w:r>
    </w:p>
    <w:p w14:paraId="0E1F0ECA" w14:textId="77777777" w:rsidR="00FC48D7" w:rsidRPr="004D3EFA" w:rsidRDefault="00FC48D7" w:rsidP="00FC48D7">
      <w:pPr>
        <w:spacing w:before="240" w:after="0" w:line="240" w:lineRule="auto"/>
        <w:rPr>
          <w:rFonts w:cs="Arial"/>
          <w:color w:val="202124"/>
          <w:shd w:val="clear" w:color="auto" w:fill="FFFFFF"/>
        </w:rPr>
      </w:pPr>
      <w:r w:rsidRPr="004D3EFA">
        <w:rPr>
          <w:rFonts w:cs="Arial"/>
          <w:color w:val="202124"/>
          <w:shd w:val="clear" w:color="auto" w:fill="FFFFFF"/>
        </w:rPr>
        <w:t>Periódicamente y para efectos de elaborar los presupuestos municipales se realiza un análisis de los flujos de efectivo que ingresaran y de las necesidades de liquidez que genera el cumplimiento de las obligaciones municipales (prestación de servicios de calidad y oportunos a los habitantes del Cantón), establecidas en la Constitución Política, el Código Municipal y otras leyes.</w:t>
      </w:r>
    </w:p>
    <w:p w14:paraId="657E57BF" w14:textId="77777777" w:rsidR="00FC48D7" w:rsidRDefault="00FC48D7" w:rsidP="00680DAC">
      <w:pPr>
        <w:rPr>
          <w:rFonts w:eastAsia="Calibri"/>
        </w:rPr>
      </w:pPr>
    </w:p>
    <w:p w14:paraId="0BF06A8E" w14:textId="6EB9B5BF" w:rsidR="00680DAC" w:rsidRPr="00680DAC" w:rsidRDefault="00680DAC" w:rsidP="00680DAC">
      <w:pPr>
        <w:rPr>
          <w:rFonts w:eastAsia="Calibri"/>
        </w:rPr>
      </w:pPr>
      <w:r w:rsidRPr="00680DAC">
        <w:rPr>
          <w:rFonts w:eastAsia="Calibri"/>
        </w:rPr>
        <w:t>El responsable contable deberá también revelar información considerando lo dispuesto en el párrafo 75 de la NICSP 1 referente a la NICSP 30 Instrumentos Financieros.</w:t>
      </w:r>
    </w:p>
    <w:p w14:paraId="6BBF4EB8" w14:textId="7009E63E" w:rsidR="001D0A81" w:rsidRPr="007D7231" w:rsidRDefault="00680DAC" w:rsidP="007D7231">
      <w:pPr>
        <w:spacing w:line="240" w:lineRule="auto"/>
        <w:rPr>
          <w:rFonts w:eastAsia="Calibri"/>
          <w:i/>
        </w:rPr>
      </w:pPr>
      <w:r w:rsidRPr="00680DAC">
        <w:rPr>
          <w:rFonts w:eastAsia="Calibri"/>
          <w:i/>
          <w:lang w:val="es-MX"/>
        </w:rPr>
        <w:t>“</w:t>
      </w:r>
      <w:r w:rsidRPr="00680DAC">
        <w:rPr>
          <w:rFonts w:eastAsia="Calibri"/>
          <w:i/>
        </w:rPr>
        <w:t xml:space="preserve">75. La información sobre las fechas esperadas de realización de los activos y pasivos es útil para evaluar la liquidez y la solvencia de una entidad. La NICSP 30, Instrumentos Financieros: Información a Revelar, requiere la revelación de información acerca de las fechas de vencimiento de los </w:t>
      </w:r>
      <w:r w:rsidR="00641DCE" w:rsidRPr="00680DAC">
        <w:rPr>
          <w:rFonts w:eastAsia="Calibri"/>
          <w:i/>
        </w:rPr>
        <w:t>activos y pasivos financieros</w:t>
      </w:r>
      <w:r w:rsidRPr="00680DAC">
        <w:rPr>
          <w:rFonts w:eastAsia="Calibri"/>
          <w:i/>
        </w:rPr>
        <w:t>. Los activos financieros incluyen las cuentas de deudores comerciales y otras cuentas por cobrar, y los pasivos financieros las cuentas de acreedores comerciales y otras cuentas por pagar. También será de utilidad la información sobre las fechas esperadas de recuperación y liquidación de los activos y pasivos no monetarios, tales como inventarios y provisiones, con independencia de que los activos y pasivos se clasifiquen como partidas corrientes o no corrientes.”</w:t>
      </w:r>
    </w:p>
    <w:tbl>
      <w:tblPr>
        <w:tblW w:w="9508" w:type="dxa"/>
        <w:tblInd w:w="-709" w:type="dxa"/>
        <w:tblCellMar>
          <w:left w:w="70" w:type="dxa"/>
          <w:right w:w="70" w:type="dxa"/>
        </w:tblCellMar>
        <w:tblLook w:val="04A0" w:firstRow="1" w:lastRow="0" w:firstColumn="1" w:lastColumn="0" w:noHBand="0" w:noVBand="1"/>
      </w:tblPr>
      <w:tblGrid>
        <w:gridCol w:w="779"/>
        <w:gridCol w:w="1915"/>
        <w:gridCol w:w="1150"/>
        <w:gridCol w:w="1069"/>
        <w:gridCol w:w="993"/>
        <w:gridCol w:w="1296"/>
        <w:gridCol w:w="971"/>
        <w:gridCol w:w="1321"/>
        <w:gridCol w:w="14"/>
      </w:tblGrid>
      <w:tr w:rsidR="00680DAC" w:rsidRPr="00680DAC" w14:paraId="31CA65C6" w14:textId="77777777" w:rsidTr="004F189D">
        <w:trPr>
          <w:trHeight w:val="123"/>
        </w:trPr>
        <w:tc>
          <w:tcPr>
            <w:tcW w:w="9508" w:type="dxa"/>
            <w:gridSpan w:val="9"/>
            <w:tcBorders>
              <w:top w:val="nil"/>
              <w:left w:val="nil"/>
              <w:bottom w:val="single" w:sz="8" w:space="0" w:color="auto"/>
              <w:right w:val="nil"/>
            </w:tcBorders>
            <w:shd w:val="clear" w:color="000000" w:fill="1F3864"/>
            <w:vAlign w:val="center"/>
            <w:hideMark/>
          </w:tcPr>
          <w:p w14:paraId="6524046B" w14:textId="77777777" w:rsidR="00680DAC" w:rsidRPr="00680DAC" w:rsidRDefault="00680DAC" w:rsidP="00680DAC">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ACTIVOS FINANCIEROS</w:t>
            </w:r>
          </w:p>
        </w:tc>
      </w:tr>
      <w:tr w:rsidR="00680DAC" w:rsidRPr="00680DAC" w14:paraId="114C471B" w14:textId="77777777" w:rsidTr="004F189D">
        <w:trPr>
          <w:gridAfter w:val="1"/>
          <w:wAfter w:w="14" w:type="dxa"/>
          <w:trHeight w:val="118"/>
        </w:trPr>
        <w:tc>
          <w:tcPr>
            <w:tcW w:w="779" w:type="dxa"/>
            <w:tcBorders>
              <w:top w:val="nil"/>
              <w:left w:val="single" w:sz="8" w:space="0" w:color="auto"/>
              <w:bottom w:val="single" w:sz="4" w:space="0" w:color="auto"/>
              <w:right w:val="single" w:sz="8" w:space="0" w:color="auto"/>
            </w:tcBorders>
            <w:shd w:val="clear" w:color="000000" w:fill="1F3864"/>
            <w:vAlign w:val="center"/>
            <w:hideMark/>
          </w:tcPr>
          <w:p w14:paraId="3CAF1BCC" w14:textId="77777777" w:rsidR="00680DAC" w:rsidRPr="00680DAC" w:rsidRDefault="00680DAC" w:rsidP="00680DAC">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Cuenta</w:t>
            </w:r>
          </w:p>
        </w:tc>
        <w:tc>
          <w:tcPr>
            <w:tcW w:w="1915" w:type="dxa"/>
            <w:tcBorders>
              <w:top w:val="nil"/>
              <w:left w:val="nil"/>
              <w:bottom w:val="single" w:sz="4" w:space="0" w:color="auto"/>
              <w:right w:val="single" w:sz="8" w:space="0" w:color="auto"/>
            </w:tcBorders>
            <w:shd w:val="clear" w:color="000000" w:fill="1F3864"/>
            <w:vAlign w:val="center"/>
            <w:hideMark/>
          </w:tcPr>
          <w:p w14:paraId="24CA23CC" w14:textId="77777777" w:rsidR="00680DAC" w:rsidRPr="00680DAC" w:rsidRDefault="00680DAC" w:rsidP="00680DAC">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 xml:space="preserve">Detalle </w:t>
            </w:r>
          </w:p>
        </w:tc>
        <w:tc>
          <w:tcPr>
            <w:tcW w:w="1150" w:type="dxa"/>
            <w:tcBorders>
              <w:top w:val="nil"/>
              <w:left w:val="nil"/>
              <w:bottom w:val="single" w:sz="4" w:space="0" w:color="auto"/>
              <w:right w:val="single" w:sz="8" w:space="0" w:color="auto"/>
            </w:tcBorders>
            <w:shd w:val="clear" w:color="000000" w:fill="1F3864"/>
            <w:vAlign w:val="center"/>
            <w:hideMark/>
          </w:tcPr>
          <w:p w14:paraId="79CC15E8" w14:textId="77777777" w:rsidR="00680DAC" w:rsidRPr="00680DAC" w:rsidRDefault="00680DAC" w:rsidP="00680DAC">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 xml:space="preserve"> Saldo de 1 a 30 días</w:t>
            </w:r>
          </w:p>
        </w:tc>
        <w:tc>
          <w:tcPr>
            <w:tcW w:w="1069" w:type="dxa"/>
            <w:tcBorders>
              <w:top w:val="nil"/>
              <w:left w:val="nil"/>
              <w:bottom w:val="single" w:sz="4" w:space="0" w:color="auto"/>
              <w:right w:val="single" w:sz="8" w:space="0" w:color="auto"/>
            </w:tcBorders>
            <w:shd w:val="clear" w:color="000000" w:fill="1F3864"/>
            <w:vAlign w:val="center"/>
            <w:hideMark/>
          </w:tcPr>
          <w:p w14:paraId="25716C74" w14:textId="77777777" w:rsidR="00680DAC" w:rsidRPr="00680DAC" w:rsidRDefault="00680DAC" w:rsidP="00680DAC">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Saldo de 31 a 90 días</w:t>
            </w:r>
          </w:p>
        </w:tc>
        <w:tc>
          <w:tcPr>
            <w:tcW w:w="993" w:type="dxa"/>
            <w:tcBorders>
              <w:top w:val="nil"/>
              <w:left w:val="nil"/>
              <w:bottom w:val="single" w:sz="4" w:space="0" w:color="auto"/>
              <w:right w:val="single" w:sz="8" w:space="0" w:color="auto"/>
            </w:tcBorders>
            <w:shd w:val="clear" w:color="000000" w:fill="1F3864"/>
            <w:vAlign w:val="center"/>
            <w:hideMark/>
          </w:tcPr>
          <w:p w14:paraId="0B5A6BB2" w14:textId="77777777" w:rsidR="00680DAC" w:rsidRPr="00680DAC" w:rsidRDefault="00680DAC" w:rsidP="00680DAC">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 xml:space="preserve"> Saldo de 91 a 180 días</w:t>
            </w:r>
          </w:p>
        </w:tc>
        <w:tc>
          <w:tcPr>
            <w:tcW w:w="1296" w:type="dxa"/>
            <w:tcBorders>
              <w:top w:val="nil"/>
              <w:left w:val="nil"/>
              <w:bottom w:val="single" w:sz="4" w:space="0" w:color="auto"/>
              <w:right w:val="single" w:sz="8" w:space="0" w:color="auto"/>
            </w:tcBorders>
            <w:shd w:val="clear" w:color="000000" w:fill="1F3864"/>
            <w:vAlign w:val="center"/>
            <w:hideMark/>
          </w:tcPr>
          <w:p w14:paraId="26E23F11" w14:textId="77777777" w:rsidR="00680DAC" w:rsidRPr="00680DAC" w:rsidRDefault="00680DAC" w:rsidP="00680DAC">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 xml:space="preserve"> Saldo de 181 a 365 días</w:t>
            </w:r>
          </w:p>
        </w:tc>
        <w:tc>
          <w:tcPr>
            <w:tcW w:w="971" w:type="dxa"/>
            <w:tcBorders>
              <w:top w:val="nil"/>
              <w:left w:val="nil"/>
              <w:bottom w:val="single" w:sz="4" w:space="0" w:color="auto"/>
              <w:right w:val="single" w:sz="8" w:space="0" w:color="auto"/>
            </w:tcBorders>
            <w:shd w:val="clear" w:color="000000" w:fill="1F3864"/>
            <w:vAlign w:val="center"/>
            <w:hideMark/>
          </w:tcPr>
          <w:p w14:paraId="509A39E1" w14:textId="77777777" w:rsidR="00680DAC" w:rsidRPr="00680DAC" w:rsidRDefault="00680DAC" w:rsidP="00680DAC">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Más de 365 días</w:t>
            </w:r>
          </w:p>
        </w:tc>
        <w:tc>
          <w:tcPr>
            <w:tcW w:w="1321" w:type="dxa"/>
            <w:tcBorders>
              <w:top w:val="nil"/>
              <w:left w:val="nil"/>
              <w:bottom w:val="single" w:sz="4" w:space="0" w:color="auto"/>
              <w:right w:val="single" w:sz="8" w:space="0" w:color="auto"/>
            </w:tcBorders>
            <w:shd w:val="clear" w:color="000000" w:fill="1F3864"/>
            <w:vAlign w:val="center"/>
            <w:hideMark/>
          </w:tcPr>
          <w:p w14:paraId="47AB4A40" w14:textId="77777777" w:rsidR="00680DAC" w:rsidRPr="00680DAC" w:rsidRDefault="00680DAC" w:rsidP="00680DAC">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Total</w:t>
            </w:r>
          </w:p>
        </w:tc>
      </w:tr>
      <w:tr w:rsidR="002354FB" w:rsidRPr="00680DAC" w14:paraId="78DF0C99" w14:textId="77777777" w:rsidTr="004F189D">
        <w:trPr>
          <w:gridAfter w:val="1"/>
          <w:wAfter w:w="14" w:type="dxa"/>
          <w:trHeight w:val="118"/>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07FB8" w14:textId="7E47535C" w:rsidR="002354FB" w:rsidRPr="00680DAC" w:rsidRDefault="002354FB" w:rsidP="002354FB">
            <w:pPr>
              <w:spacing w:after="0" w:line="240" w:lineRule="auto"/>
              <w:jc w:val="left"/>
              <w:rPr>
                <w:rFonts w:eastAsia="Times New Roman" w:cs="Calibri"/>
                <w:color w:val="000000"/>
                <w:sz w:val="16"/>
                <w:lang w:eastAsia="es-CR"/>
              </w:rPr>
            </w:pPr>
            <w:r w:rsidRPr="00C34499">
              <w:rPr>
                <w:rFonts w:eastAsia="Times New Roman" w:cs="Calibri"/>
                <w:color w:val="000000"/>
                <w:sz w:val="20"/>
                <w:szCs w:val="20"/>
                <w:lang w:val="en-US"/>
              </w:rPr>
              <w:t>1.1.1.01.</w:t>
            </w:r>
          </w:p>
        </w:tc>
        <w:tc>
          <w:tcPr>
            <w:tcW w:w="1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0966D" w14:textId="2B87B77B" w:rsidR="002354FB" w:rsidRPr="00680DAC" w:rsidRDefault="002354FB" w:rsidP="002354FB">
            <w:pPr>
              <w:spacing w:after="0" w:line="240" w:lineRule="auto"/>
              <w:jc w:val="left"/>
              <w:rPr>
                <w:rFonts w:eastAsia="Times New Roman" w:cs="Calibri"/>
                <w:color w:val="000000"/>
                <w:sz w:val="16"/>
                <w:lang w:eastAsia="es-CR"/>
              </w:rPr>
            </w:pPr>
            <w:r w:rsidRPr="00C34499">
              <w:rPr>
                <w:rFonts w:eastAsia="Times New Roman" w:cs="Calibri"/>
                <w:color w:val="000000"/>
                <w:sz w:val="20"/>
                <w:szCs w:val="20"/>
                <w:lang w:val="en-US"/>
              </w:rPr>
              <w:t>Efectivo</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7B29B" w14:textId="2912962A" w:rsidR="002354FB" w:rsidRPr="002354FB" w:rsidRDefault="002354FB" w:rsidP="002354FB">
            <w:pPr>
              <w:spacing w:after="0" w:line="240" w:lineRule="auto"/>
              <w:jc w:val="right"/>
              <w:rPr>
                <w:rFonts w:cs="Arial"/>
                <w:b/>
                <w:bCs/>
                <w:color w:val="000000"/>
                <w:sz w:val="18"/>
                <w:szCs w:val="18"/>
              </w:rPr>
            </w:pPr>
            <w:r w:rsidRPr="002354FB">
              <w:rPr>
                <w:rFonts w:cs="Arial"/>
                <w:b/>
                <w:bCs/>
                <w:color w:val="000000"/>
                <w:sz w:val="18"/>
                <w:szCs w:val="18"/>
              </w:rPr>
              <w:t>1 234 441,12</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BCA6F" w14:textId="18814BEB" w:rsidR="002354FB" w:rsidRPr="005144D0" w:rsidRDefault="002354FB" w:rsidP="002354FB">
            <w:pPr>
              <w:spacing w:after="0" w:line="240" w:lineRule="auto"/>
              <w:jc w:val="right"/>
              <w:rPr>
                <w:rFonts w:ascii="Arial" w:hAnsi="Arial" w:cs="Arial"/>
                <w:b/>
                <w:bCs/>
                <w:color w:val="000000"/>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1F443" w14:textId="340297EB" w:rsidR="002354FB" w:rsidRPr="005144D0" w:rsidRDefault="002354FB" w:rsidP="002354FB">
            <w:pPr>
              <w:spacing w:after="0" w:line="240" w:lineRule="auto"/>
              <w:jc w:val="right"/>
              <w:rPr>
                <w:rFonts w:ascii="Arial" w:hAnsi="Arial" w:cs="Arial"/>
                <w:b/>
                <w:bCs/>
                <w:color w:val="000000"/>
                <w:sz w:val="18"/>
                <w:szCs w:val="18"/>
              </w:rPr>
            </w:pPr>
            <w:r w:rsidRPr="005144D0">
              <w:rPr>
                <w:rFonts w:ascii="Arial" w:hAnsi="Arial" w:cs="Arial"/>
                <w:b/>
                <w:bCs/>
                <w:color w:val="000000"/>
                <w:sz w:val="18"/>
                <w:szCs w:val="18"/>
              </w:rPr>
              <w:t>-</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C4BCC7" w14:textId="334A2996" w:rsidR="002354FB" w:rsidRPr="005144D0" w:rsidRDefault="002354FB" w:rsidP="002354FB">
            <w:pPr>
              <w:spacing w:after="0" w:line="240" w:lineRule="auto"/>
              <w:jc w:val="right"/>
              <w:rPr>
                <w:rFonts w:cs="Arial"/>
                <w:b/>
                <w:bCs/>
                <w:color w:val="000000"/>
                <w:sz w:val="18"/>
                <w:szCs w:val="18"/>
              </w:rPr>
            </w:pP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B03AC" w14:textId="464C16B1" w:rsidR="002354FB" w:rsidRPr="005144D0" w:rsidRDefault="002354FB" w:rsidP="002354FB">
            <w:pPr>
              <w:spacing w:after="0" w:line="240" w:lineRule="auto"/>
              <w:jc w:val="right"/>
              <w:rPr>
                <w:rFonts w:cs="Arial"/>
                <w:b/>
                <w:bCs/>
                <w:color w:val="000000"/>
                <w:sz w:val="18"/>
                <w:szCs w:val="18"/>
              </w:rPr>
            </w:pPr>
          </w:p>
        </w:tc>
        <w:tc>
          <w:tcPr>
            <w:tcW w:w="13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18AE2F" w14:textId="34D7B0AF" w:rsidR="002354FB" w:rsidRPr="005144D0" w:rsidRDefault="002354FB" w:rsidP="002354FB">
            <w:pPr>
              <w:spacing w:after="0" w:line="240" w:lineRule="auto"/>
              <w:jc w:val="right"/>
              <w:rPr>
                <w:rFonts w:cs="Arial"/>
                <w:b/>
                <w:bCs/>
                <w:color w:val="000000"/>
                <w:sz w:val="18"/>
                <w:szCs w:val="18"/>
              </w:rPr>
            </w:pPr>
            <w:r w:rsidRPr="005144D0">
              <w:rPr>
                <w:rFonts w:ascii="Arial" w:hAnsi="Arial" w:cs="Arial"/>
                <w:b/>
                <w:bCs/>
                <w:color w:val="000000"/>
                <w:sz w:val="18"/>
                <w:szCs w:val="18"/>
              </w:rPr>
              <w:t>₡</w:t>
            </w:r>
            <w:r w:rsidRPr="005144D0">
              <w:rPr>
                <w:rFonts w:cs="Arial"/>
                <w:b/>
                <w:bCs/>
                <w:color w:val="000000"/>
                <w:sz w:val="18"/>
                <w:szCs w:val="18"/>
              </w:rPr>
              <w:t xml:space="preserve">1 </w:t>
            </w:r>
            <w:r>
              <w:rPr>
                <w:rFonts w:cs="Arial"/>
                <w:b/>
                <w:bCs/>
                <w:color w:val="000000"/>
                <w:sz w:val="18"/>
                <w:szCs w:val="18"/>
              </w:rPr>
              <w:t>234</w:t>
            </w:r>
            <w:r w:rsidRPr="005144D0">
              <w:rPr>
                <w:rFonts w:cs="Arial"/>
                <w:b/>
                <w:bCs/>
                <w:color w:val="000000"/>
                <w:sz w:val="18"/>
                <w:szCs w:val="18"/>
              </w:rPr>
              <w:t xml:space="preserve"> </w:t>
            </w:r>
            <w:r>
              <w:rPr>
                <w:rFonts w:cs="Arial"/>
                <w:b/>
                <w:bCs/>
                <w:color w:val="000000"/>
                <w:sz w:val="18"/>
                <w:szCs w:val="18"/>
              </w:rPr>
              <w:t>441</w:t>
            </w:r>
            <w:r w:rsidRPr="005144D0">
              <w:rPr>
                <w:rFonts w:cs="Arial"/>
                <w:b/>
                <w:bCs/>
                <w:color w:val="000000"/>
                <w:sz w:val="18"/>
                <w:szCs w:val="18"/>
              </w:rPr>
              <w:t>,1</w:t>
            </w:r>
            <w:r>
              <w:rPr>
                <w:rFonts w:cs="Arial"/>
                <w:b/>
                <w:bCs/>
                <w:color w:val="000000"/>
                <w:sz w:val="18"/>
                <w:szCs w:val="18"/>
              </w:rPr>
              <w:t>2</w:t>
            </w:r>
          </w:p>
        </w:tc>
      </w:tr>
      <w:tr w:rsidR="002354FB" w:rsidRPr="00680DAC" w14:paraId="2012915D" w14:textId="77777777" w:rsidTr="004F189D">
        <w:trPr>
          <w:gridAfter w:val="1"/>
          <w:wAfter w:w="14" w:type="dxa"/>
          <w:trHeight w:val="118"/>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1BF636" w14:textId="042C1AEE" w:rsidR="002354FB" w:rsidRPr="00680DAC" w:rsidRDefault="002354FB" w:rsidP="002354FB">
            <w:pPr>
              <w:spacing w:after="0" w:line="240" w:lineRule="auto"/>
              <w:jc w:val="left"/>
              <w:rPr>
                <w:rFonts w:eastAsia="Times New Roman" w:cs="Calibri"/>
                <w:color w:val="000000"/>
                <w:sz w:val="16"/>
                <w:lang w:eastAsia="es-CR"/>
              </w:rPr>
            </w:pPr>
            <w:r w:rsidRPr="00C34499">
              <w:rPr>
                <w:rFonts w:eastAsia="Times New Roman" w:cs="Calibri"/>
                <w:color w:val="000000"/>
                <w:sz w:val="20"/>
                <w:szCs w:val="20"/>
                <w:lang w:val="en-US"/>
              </w:rPr>
              <w:t>1.1.1.02.</w:t>
            </w:r>
          </w:p>
        </w:tc>
        <w:tc>
          <w:tcPr>
            <w:tcW w:w="19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C13844" w14:textId="1096C686" w:rsidR="002354FB" w:rsidRPr="00680DAC" w:rsidRDefault="002354FB" w:rsidP="002354FB">
            <w:pPr>
              <w:spacing w:after="0" w:line="240" w:lineRule="auto"/>
              <w:jc w:val="left"/>
              <w:rPr>
                <w:rFonts w:eastAsia="Times New Roman" w:cs="Calibri"/>
                <w:color w:val="000000"/>
                <w:sz w:val="16"/>
                <w:lang w:eastAsia="es-CR"/>
              </w:rPr>
            </w:pPr>
            <w:r w:rsidRPr="00C34499">
              <w:rPr>
                <w:rFonts w:eastAsia="Times New Roman" w:cs="Calibri"/>
                <w:color w:val="000000"/>
                <w:sz w:val="20"/>
                <w:szCs w:val="20"/>
                <w:lang w:val="en-US"/>
              </w:rPr>
              <w:t>Equivalentes de efectivo</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86534" w14:textId="2740F124" w:rsidR="002354FB" w:rsidRPr="002354FB" w:rsidRDefault="002354FB" w:rsidP="002354FB">
            <w:pPr>
              <w:spacing w:after="0" w:line="240" w:lineRule="auto"/>
              <w:jc w:val="right"/>
              <w:rPr>
                <w:rFonts w:cs="Arial"/>
                <w:b/>
                <w:bCs/>
                <w:color w:val="000000"/>
                <w:sz w:val="18"/>
                <w:szCs w:val="18"/>
              </w:rPr>
            </w:pPr>
            <w:r w:rsidRPr="002354FB">
              <w:rPr>
                <w:rFonts w:cs="Arial"/>
                <w:b/>
                <w:bCs/>
                <w:color w:val="000000"/>
                <w:sz w:val="18"/>
                <w:szCs w:val="18"/>
              </w:rPr>
              <w:t>639 313,71</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F4B94" w14:textId="77777777" w:rsidR="002354FB" w:rsidRPr="005144D0" w:rsidRDefault="002354FB" w:rsidP="002354FB">
            <w:pPr>
              <w:spacing w:after="0" w:line="240" w:lineRule="auto"/>
              <w:jc w:val="right"/>
              <w:rPr>
                <w:rFonts w:ascii="Arial" w:hAnsi="Arial" w:cs="Arial"/>
                <w:b/>
                <w:bCs/>
                <w:color w:val="000000"/>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B33A18" w14:textId="77777777" w:rsidR="002354FB" w:rsidRPr="005144D0" w:rsidRDefault="002354FB" w:rsidP="002354FB">
            <w:pPr>
              <w:spacing w:after="0" w:line="240" w:lineRule="auto"/>
              <w:jc w:val="right"/>
              <w:rPr>
                <w:rFonts w:ascii="Arial" w:hAnsi="Arial" w:cs="Arial"/>
                <w:b/>
                <w:bCs/>
                <w:color w:val="000000"/>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C86F93" w14:textId="77777777" w:rsidR="002354FB" w:rsidRPr="005144D0" w:rsidRDefault="002354FB" w:rsidP="002354FB">
            <w:pPr>
              <w:spacing w:after="0" w:line="240" w:lineRule="auto"/>
              <w:jc w:val="right"/>
              <w:rPr>
                <w:rFonts w:cs="Arial"/>
                <w:b/>
                <w:bCs/>
                <w:color w:val="000000"/>
                <w:sz w:val="18"/>
                <w:szCs w:val="18"/>
              </w:rPr>
            </w:pP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6D57D5" w14:textId="77777777" w:rsidR="002354FB" w:rsidRPr="005144D0" w:rsidRDefault="002354FB" w:rsidP="002354FB">
            <w:pPr>
              <w:spacing w:after="0" w:line="240" w:lineRule="auto"/>
              <w:jc w:val="right"/>
              <w:rPr>
                <w:rFonts w:cs="Arial"/>
                <w:b/>
                <w:bCs/>
                <w:color w:val="000000"/>
                <w:sz w:val="18"/>
                <w:szCs w:val="18"/>
              </w:rPr>
            </w:pPr>
          </w:p>
        </w:tc>
        <w:tc>
          <w:tcPr>
            <w:tcW w:w="13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CF62EB" w14:textId="6FA5C46A" w:rsidR="002354FB" w:rsidRPr="005144D0" w:rsidRDefault="002354FB" w:rsidP="002354FB">
            <w:pPr>
              <w:spacing w:after="0" w:line="240" w:lineRule="auto"/>
              <w:jc w:val="right"/>
              <w:rPr>
                <w:rFonts w:cs="Arial"/>
                <w:b/>
                <w:bCs/>
                <w:color w:val="000000"/>
                <w:sz w:val="18"/>
                <w:szCs w:val="18"/>
              </w:rPr>
            </w:pPr>
            <w:r w:rsidRPr="005144D0">
              <w:rPr>
                <w:rFonts w:cs="Arial"/>
                <w:b/>
                <w:bCs/>
                <w:color w:val="000000"/>
                <w:sz w:val="18"/>
                <w:szCs w:val="18"/>
              </w:rPr>
              <w:t>6</w:t>
            </w:r>
            <w:r>
              <w:rPr>
                <w:rFonts w:cs="Arial"/>
                <w:b/>
                <w:bCs/>
                <w:color w:val="000000"/>
                <w:sz w:val="18"/>
                <w:szCs w:val="18"/>
              </w:rPr>
              <w:t>39</w:t>
            </w:r>
            <w:r w:rsidRPr="005144D0">
              <w:rPr>
                <w:rFonts w:cs="Arial"/>
                <w:b/>
                <w:bCs/>
                <w:color w:val="000000"/>
                <w:sz w:val="18"/>
                <w:szCs w:val="18"/>
              </w:rPr>
              <w:t xml:space="preserve"> </w:t>
            </w:r>
            <w:r>
              <w:rPr>
                <w:rFonts w:cs="Arial"/>
                <w:b/>
                <w:bCs/>
                <w:color w:val="000000"/>
                <w:sz w:val="18"/>
                <w:szCs w:val="18"/>
              </w:rPr>
              <w:t>313</w:t>
            </w:r>
            <w:r w:rsidRPr="005144D0">
              <w:rPr>
                <w:rFonts w:cs="Arial"/>
                <w:b/>
                <w:bCs/>
                <w:color w:val="000000"/>
                <w:sz w:val="18"/>
                <w:szCs w:val="18"/>
              </w:rPr>
              <w:t>,</w:t>
            </w:r>
            <w:r>
              <w:rPr>
                <w:rFonts w:cs="Arial"/>
                <w:b/>
                <w:bCs/>
                <w:color w:val="000000"/>
                <w:sz w:val="18"/>
                <w:szCs w:val="18"/>
              </w:rPr>
              <w:t>71</w:t>
            </w:r>
          </w:p>
        </w:tc>
      </w:tr>
      <w:tr w:rsidR="002354FB" w:rsidRPr="00680DAC" w14:paraId="082176EC" w14:textId="77777777" w:rsidTr="004F189D">
        <w:trPr>
          <w:gridAfter w:val="1"/>
          <w:wAfter w:w="14" w:type="dxa"/>
          <w:trHeight w:val="118"/>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4B8576" w14:textId="49DB872D" w:rsidR="002354FB" w:rsidRPr="00680DAC" w:rsidRDefault="002354FB" w:rsidP="002354FB">
            <w:pPr>
              <w:spacing w:after="0" w:line="240" w:lineRule="auto"/>
              <w:jc w:val="left"/>
              <w:rPr>
                <w:rFonts w:eastAsia="Times New Roman" w:cs="Calibri"/>
                <w:color w:val="000000"/>
                <w:sz w:val="16"/>
                <w:lang w:eastAsia="es-CR"/>
              </w:rPr>
            </w:pPr>
            <w:r w:rsidRPr="00C34499">
              <w:rPr>
                <w:rFonts w:eastAsia="Times New Roman" w:cs="Calibri"/>
                <w:color w:val="000000"/>
                <w:sz w:val="20"/>
                <w:szCs w:val="20"/>
                <w:lang w:val="en-US"/>
              </w:rPr>
              <w:t>1.1.3.01.</w:t>
            </w:r>
          </w:p>
        </w:tc>
        <w:tc>
          <w:tcPr>
            <w:tcW w:w="19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BB60B" w14:textId="034AB82F" w:rsidR="002354FB" w:rsidRPr="00680DAC" w:rsidRDefault="002354FB" w:rsidP="002354FB">
            <w:pPr>
              <w:spacing w:after="0" w:line="240" w:lineRule="auto"/>
              <w:jc w:val="left"/>
              <w:rPr>
                <w:rFonts w:eastAsia="Times New Roman" w:cs="Calibri"/>
                <w:color w:val="000000"/>
                <w:sz w:val="16"/>
                <w:lang w:eastAsia="es-CR"/>
              </w:rPr>
            </w:pPr>
            <w:r w:rsidRPr="00C34499">
              <w:rPr>
                <w:rFonts w:eastAsia="Times New Roman" w:cs="Calibri"/>
                <w:color w:val="000000"/>
                <w:sz w:val="20"/>
                <w:szCs w:val="20"/>
              </w:rPr>
              <w:t>Impuestos a cobrar a c/p</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9383FC" w14:textId="016ACBA9" w:rsidR="002354FB" w:rsidRPr="00396EFB" w:rsidRDefault="002354FB" w:rsidP="002354FB">
            <w:pPr>
              <w:spacing w:after="0" w:line="240" w:lineRule="auto"/>
              <w:jc w:val="right"/>
              <w:rPr>
                <w:rFonts w:cs="Calibri"/>
                <w:b/>
                <w:bCs/>
                <w:color w:val="000000"/>
                <w:sz w:val="18"/>
                <w:szCs w:val="18"/>
              </w:rPr>
            </w:pP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3B3909" w14:textId="77777777" w:rsidR="002354FB" w:rsidRPr="005144D0" w:rsidRDefault="002354FB" w:rsidP="002354FB">
            <w:pPr>
              <w:spacing w:after="0" w:line="240" w:lineRule="auto"/>
              <w:jc w:val="right"/>
              <w:rPr>
                <w:rFonts w:ascii="Arial" w:hAnsi="Arial" w:cs="Arial"/>
                <w:b/>
                <w:bCs/>
                <w:color w:val="000000"/>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7DA9E" w14:textId="77777777" w:rsidR="002354FB" w:rsidRPr="005144D0" w:rsidRDefault="002354FB" w:rsidP="002354FB">
            <w:pPr>
              <w:spacing w:after="0" w:line="240" w:lineRule="auto"/>
              <w:jc w:val="right"/>
              <w:rPr>
                <w:rFonts w:ascii="Arial" w:hAnsi="Arial" w:cs="Arial"/>
                <w:b/>
                <w:bCs/>
                <w:color w:val="000000"/>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5AE31F" w14:textId="7FA52BDB" w:rsidR="002354FB" w:rsidRPr="002354FB" w:rsidRDefault="002354FB" w:rsidP="002354FB">
            <w:pPr>
              <w:spacing w:after="0" w:line="240" w:lineRule="auto"/>
              <w:jc w:val="right"/>
              <w:rPr>
                <w:rFonts w:cs="Arial"/>
                <w:b/>
                <w:bCs/>
                <w:color w:val="000000"/>
                <w:sz w:val="18"/>
                <w:szCs w:val="18"/>
              </w:rPr>
            </w:pPr>
            <w:r w:rsidRPr="002354FB">
              <w:rPr>
                <w:rFonts w:cs="Arial"/>
                <w:b/>
                <w:bCs/>
                <w:color w:val="000000"/>
                <w:sz w:val="18"/>
                <w:szCs w:val="18"/>
              </w:rPr>
              <w:t>410 847,79</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C802B0" w14:textId="77777777" w:rsidR="002354FB" w:rsidRPr="005144D0" w:rsidRDefault="002354FB" w:rsidP="002354FB">
            <w:pPr>
              <w:spacing w:after="0" w:line="240" w:lineRule="auto"/>
              <w:jc w:val="right"/>
              <w:rPr>
                <w:rFonts w:cs="Arial"/>
                <w:b/>
                <w:bCs/>
                <w:color w:val="000000"/>
                <w:sz w:val="18"/>
                <w:szCs w:val="18"/>
              </w:rPr>
            </w:pPr>
          </w:p>
        </w:tc>
        <w:tc>
          <w:tcPr>
            <w:tcW w:w="13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1BFF63" w14:textId="3A4031D4" w:rsidR="002354FB" w:rsidRPr="005144D0" w:rsidRDefault="002354FB" w:rsidP="002354FB">
            <w:pPr>
              <w:spacing w:after="0" w:line="240" w:lineRule="auto"/>
              <w:jc w:val="right"/>
              <w:rPr>
                <w:rFonts w:cs="Arial"/>
                <w:b/>
                <w:bCs/>
                <w:color w:val="000000"/>
                <w:sz w:val="18"/>
                <w:szCs w:val="18"/>
              </w:rPr>
            </w:pPr>
            <w:r w:rsidRPr="002354FB">
              <w:rPr>
                <w:rFonts w:cs="Arial"/>
                <w:b/>
                <w:bCs/>
                <w:color w:val="000000"/>
                <w:sz w:val="18"/>
                <w:szCs w:val="18"/>
              </w:rPr>
              <w:t>410 847,79</w:t>
            </w:r>
          </w:p>
        </w:tc>
      </w:tr>
      <w:tr w:rsidR="002354FB" w:rsidRPr="00680DAC" w14:paraId="76BB9D15" w14:textId="77777777" w:rsidTr="004F189D">
        <w:trPr>
          <w:gridAfter w:val="1"/>
          <w:wAfter w:w="14" w:type="dxa"/>
          <w:trHeight w:val="118"/>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CEE028" w14:textId="17BBC3AD" w:rsidR="002354FB" w:rsidRPr="00680DAC" w:rsidRDefault="002354FB" w:rsidP="002354FB">
            <w:pPr>
              <w:spacing w:after="0" w:line="240" w:lineRule="auto"/>
              <w:jc w:val="left"/>
              <w:rPr>
                <w:rFonts w:eastAsia="Times New Roman" w:cs="Calibri"/>
                <w:color w:val="000000"/>
                <w:sz w:val="16"/>
                <w:lang w:eastAsia="es-CR"/>
              </w:rPr>
            </w:pPr>
            <w:r w:rsidRPr="00C34499">
              <w:rPr>
                <w:rFonts w:eastAsia="Times New Roman" w:cs="Calibri"/>
                <w:color w:val="000000"/>
                <w:sz w:val="20"/>
                <w:szCs w:val="20"/>
                <w:lang w:val="en-US"/>
              </w:rPr>
              <w:t>1.1.3.04.</w:t>
            </w:r>
          </w:p>
        </w:tc>
        <w:tc>
          <w:tcPr>
            <w:tcW w:w="19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7A6A46" w14:textId="64888AB6" w:rsidR="002354FB" w:rsidRPr="00680DAC" w:rsidRDefault="002354FB" w:rsidP="002354FB">
            <w:pPr>
              <w:spacing w:after="0" w:line="240" w:lineRule="auto"/>
              <w:jc w:val="left"/>
              <w:rPr>
                <w:rFonts w:eastAsia="Times New Roman" w:cs="Calibri"/>
                <w:color w:val="000000"/>
                <w:sz w:val="16"/>
                <w:lang w:eastAsia="es-CR"/>
              </w:rPr>
            </w:pPr>
            <w:r w:rsidRPr="00C34499">
              <w:rPr>
                <w:rFonts w:eastAsia="Times New Roman" w:cs="Calibri"/>
                <w:color w:val="000000"/>
                <w:sz w:val="20"/>
                <w:szCs w:val="20"/>
              </w:rPr>
              <w:t>Servicios y derechos a cobrar a corto plazo</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4BD021" w14:textId="7913CA10" w:rsidR="002354FB" w:rsidRPr="00396EFB" w:rsidRDefault="002354FB" w:rsidP="002354FB">
            <w:pPr>
              <w:spacing w:after="0" w:line="240" w:lineRule="auto"/>
              <w:jc w:val="right"/>
              <w:rPr>
                <w:rFonts w:cs="Calibri"/>
                <w:b/>
                <w:bCs/>
                <w:color w:val="000000"/>
                <w:sz w:val="18"/>
                <w:szCs w:val="18"/>
              </w:rPr>
            </w:pP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7C4D84" w14:textId="77777777" w:rsidR="002354FB" w:rsidRPr="005144D0" w:rsidRDefault="002354FB" w:rsidP="002354FB">
            <w:pPr>
              <w:spacing w:after="0" w:line="240" w:lineRule="auto"/>
              <w:jc w:val="right"/>
              <w:rPr>
                <w:rFonts w:ascii="Arial" w:hAnsi="Arial" w:cs="Arial"/>
                <w:b/>
                <w:bCs/>
                <w:color w:val="000000"/>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B69E65" w14:textId="77777777" w:rsidR="002354FB" w:rsidRPr="005144D0" w:rsidRDefault="002354FB" w:rsidP="002354FB">
            <w:pPr>
              <w:spacing w:after="0" w:line="240" w:lineRule="auto"/>
              <w:jc w:val="right"/>
              <w:rPr>
                <w:rFonts w:ascii="Arial" w:hAnsi="Arial" w:cs="Arial"/>
                <w:b/>
                <w:bCs/>
                <w:color w:val="000000"/>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E72935" w14:textId="77DA2395" w:rsidR="002354FB" w:rsidRPr="002354FB" w:rsidRDefault="002354FB" w:rsidP="002354FB">
            <w:pPr>
              <w:spacing w:after="0" w:line="240" w:lineRule="auto"/>
              <w:jc w:val="right"/>
              <w:rPr>
                <w:rFonts w:cs="Arial"/>
                <w:b/>
                <w:bCs/>
                <w:color w:val="000000"/>
                <w:sz w:val="18"/>
                <w:szCs w:val="18"/>
              </w:rPr>
            </w:pPr>
            <w:r w:rsidRPr="002354FB">
              <w:rPr>
                <w:rFonts w:cs="Arial"/>
                <w:b/>
                <w:bCs/>
                <w:color w:val="000000"/>
                <w:sz w:val="18"/>
                <w:szCs w:val="18"/>
              </w:rPr>
              <w:t>242 141,70</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24D002" w14:textId="77777777" w:rsidR="002354FB" w:rsidRPr="005144D0" w:rsidRDefault="002354FB" w:rsidP="002354FB">
            <w:pPr>
              <w:spacing w:after="0" w:line="240" w:lineRule="auto"/>
              <w:jc w:val="right"/>
              <w:rPr>
                <w:rFonts w:cs="Arial"/>
                <w:b/>
                <w:bCs/>
                <w:color w:val="000000"/>
                <w:sz w:val="18"/>
                <w:szCs w:val="18"/>
              </w:rPr>
            </w:pPr>
          </w:p>
        </w:tc>
        <w:tc>
          <w:tcPr>
            <w:tcW w:w="13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4CE35F" w14:textId="57C110B1" w:rsidR="002354FB" w:rsidRPr="005144D0" w:rsidRDefault="002354FB" w:rsidP="002354FB">
            <w:pPr>
              <w:spacing w:after="0" w:line="240" w:lineRule="auto"/>
              <w:jc w:val="right"/>
              <w:rPr>
                <w:rFonts w:cs="Arial"/>
                <w:b/>
                <w:bCs/>
                <w:color w:val="000000"/>
                <w:sz w:val="18"/>
                <w:szCs w:val="18"/>
              </w:rPr>
            </w:pPr>
            <w:r w:rsidRPr="002354FB">
              <w:rPr>
                <w:rFonts w:cs="Arial"/>
                <w:b/>
                <w:bCs/>
                <w:color w:val="000000"/>
                <w:sz w:val="18"/>
                <w:szCs w:val="18"/>
              </w:rPr>
              <w:t>242 141,70</w:t>
            </w:r>
          </w:p>
        </w:tc>
      </w:tr>
      <w:tr w:rsidR="002354FB" w:rsidRPr="00680DAC" w14:paraId="31BF8DEB" w14:textId="77777777" w:rsidTr="004F189D">
        <w:trPr>
          <w:gridAfter w:val="1"/>
          <w:wAfter w:w="14" w:type="dxa"/>
          <w:trHeight w:val="118"/>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1A4537" w14:textId="7E626C6D" w:rsidR="002354FB" w:rsidRPr="00680DAC" w:rsidRDefault="002354FB" w:rsidP="002354FB">
            <w:pPr>
              <w:spacing w:after="0" w:line="240" w:lineRule="auto"/>
              <w:jc w:val="left"/>
              <w:rPr>
                <w:rFonts w:eastAsia="Times New Roman" w:cs="Calibri"/>
                <w:color w:val="000000"/>
                <w:sz w:val="16"/>
                <w:lang w:eastAsia="es-CR"/>
              </w:rPr>
            </w:pPr>
            <w:r w:rsidRPr="00C34499">
              <w:rPr>
                <w:rFonts w:eastAsia="Times New Roman" w:cs="Calibri"/>
                <w:color w:val="000000"/>
                <w:sz w:val="20"/>
                <w:szCs w:val="20"/>
                <w:lang w:val="en-US"/>
              </w:rPr>
              <w:t>1.1.3.06.</w:t>
            </w:r>
          </w:p>
        </w:tc>
        <w:tc>
          <w:tcPr>
            <w:tcW w:w="19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DE1110" w14:textId="653E4554" w:rsidR="002354FB" w:rsidRPr="00680DAC" w:rsidRDefault="002354FB" w:rsidP="002354FB">
            <w:pPr>
              <w:spacing w:after="0" w:line="240" w:lineRule="auto"/>
              <w:jc w:val="left"/>
              <w:rPr>
                <w:rFonts w:eastAsia="Times New Roman" w:cs="Calibri"/>
                <w:color w:val="000000"/>
                <w:sz w:val="16"/>
                <w:lang w:eastAsia="es-CR"/>
              </w:rPr>
            </w:pPr>
            <w:r w:rsidRPr="00C34499">
              <w:rPr>
                <w:rFonts w:eastAsia="Times New Roman" w:cs="Calibri"/>
                <w:color w:val="000000"/>
                <w:sz w:val="20"/>
                <w:szCs w:val="20"/>
              </w:rPr>
              <w:t>Transferencias a cobrar a c/p</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419AF5" w14:textId="073BC672" w:rsidR="002354FB" w:rsidRPr="00396EFB" w:rsidRDefault="002354FB" w:rsidP="002354FB">
            <w:pPr>
              <w:spacing w:after="0" w:line="240" w:lineRule="auto"/>
              <w:jc w:val="right"/>
              <w:rPr>
                <w:rFonts w:cs="Calibri"/>
                <w:b/>
                <w:bCs/>
                <w:color w:val="000000"/>
                <w:sz w:val="18"/>
                <w:szCs w:val="18"/>
              </w:rPr>
            </w:pP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2847D" w14:textId="77777777" w:rsidR="002354FB" w:rsidRPr="005144D0" w:rsidRDefault="002354FB" w:rsidP="002354FB">
            <w:pPr>
              <w:spacing w:after="0" w:line="240" w:lineRule="auto"/>
              <w:jc w:val="right"/>
              <w:rPr>
                <w:rFonts w:ascii="Arial" w:hAnsi="Arial" w:cs="Arial"/>
                <w:b/>
                <w:bCs/>
                <w:color w:val="000000"/>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1A74C" w14:textId="77777777" w:rsidR="002354FB" w:rsidRPr="005144D0" w:rsidRDefault="002354FB" w:rsidP="002354FB">
            <w:pPr>
              <w:spacing w:after="0" w:line="240" w:lineRule="auto"/>
              <w:jc w:val="right"/>
              <w:rPr>
                <w:rFonts w:ascii="Arial" w:hAnsi="Arial" w:cs="Arial"/>
                <w:b/>
                <w:bCs/>
                <w:color w:val="000000"/>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7BDA11" w14:textId="28B77F7A" w:rsidR="002354FB" w:rsidRPr="002354FB" w:rsidRDefault="002354FB" w:rsidP="002354FB">
            <w:pPr>
              <w:spacing w:after="0" w:line="240" w:lineRule="auto"/>
              <w:jc w:val="right"/>
              <w:rPr>
                <w:rFonts w:cs="Arial"/>
                <w:b/>
                <w:bCs/>
                <w:color w:val="000000"/>
                <w:sz w:val="18"/>
                <w:szCs w:val="18"/>
              </w:rPr>
            </w:pPr>
            <w:r w:rsidRPr="002354FB">
              <w:rPr>
                <w:rFonts w:cs="Arial"/>
                <w:b/>
                <w:bCs/>
                <w:color w:val="000000"/>
                <w:sz w:val="18"/>
                <w:szCs w:val="18"/>
              </w:rPr>
              <w:t>2 204 743,32</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696E47" w14:textId="77777777" w:rsidR="002354FB" w:rsidRPr="005144D0" w:rsidRDefault="002354FB" w:rsidP="002354FB">
            <w:pPr>
              <w:spacing w:after="0" w:line="240" w:lineRule="auto"/>
              <w:jc w:val="right"/>
              <w:rPr>
                <w:rFonts w:cs="Arial"/>
                <w:b/>
                <w:bCs/>
                <w:color w:val="000000"/>
                <w:sz w:val="18"/>
                <w:szCs w:val="18"/>
              </w:rPr>
            </w:pPr>
          </w:p>
        </w:tc>
        <w:tc>
          <w:tcPr>
            <w:tcW w:w="13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B88B2A" w14:textId="30282533" w:rsidR="002354FB" w:rsidRPr="005144D0" w:rsidRDefault="002354FB" w:rsidP="002354FB">
            <w:pPr>
              <w:spacing w:after="0" w:line="240" w:lineRule="auto"/>
              <w:jc w:val="right"/>
              <w:rPr>
                <w:rFonts w:cs="Arial"/>
                <w:b/>
                <w:bCs/>
                <w:color w:val="000000"/>
                <w:sz w:val="18"/>
                <w:szCs w:val="18"/>
              </w:rPr>
            </w:pPr>
            <w:r w:rsidRPr="002354FB">
              <w:rPr>
                <w:rFonts w:cs="Arial"/>
                <w:b/>
                <w:bCs/>
                <w:color w:val="000000"/>
                <w:sz w:val="18"/>
                <w:szCs w:val="18"/>
              </w:rPr>
              <w:t>2 204 743,32</w:t>
            </w:r>
          </w:p>
        </w:tc>
      </w:tr>
      <w:tr w:rsidR="002354FB" w:rsidRPr="00680DAC" w14:paraId="526CF0A6" w14:textId="77777777" w:rsidTr="004F189D">
        <w:trPr>
          <w:gridAfter w:val="1"/>
          <w:wAfter w:w="14" w:type="dxa"/>
          <w:trHeight w:val="118"/>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4DA10D" w14:textId="3E0891AD" w:rsidR="002354FB" w:rsidRPr="00680DAC" w:rsidRDefault="002354FB" w:rsidP="002354FB">
            <w:pPr>
              <w:spacing w:after="0" w:line="240" w:lineRule="auto"/>
              <w:jc w:val="left"/>
              <w:rPr>
                <w:rFonts w:eastAsia="Times New Roman" w:cs="Calibri"/>
                <w:color w:val="000000"/>
                <w:sz w:val="16"/>
                <w:lang w:eastAsia="es-CR"/>
              </w:rPr>
            </w:pPr>
            <w:r w:rsidRPr="00C34499">
              <w:rPr>
                <w:rFonts w:eastAsia="Times New Roman" w:cs="Calibri"/>
                <w:color w:val="000000"/>
                <w:sz w:val="20"/>
                <w:szCs w:val="20"/>
                <w:lang w:val="en-US"/>
              </w:rPr>
              <w:t>1.1.3.98.</w:t>
            </w:r>
          </w:p>
        </w:tc>
        <w:tc>
          <w:tcPr>
            <w:tcW w:w="19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284EBB" w14:textId="20F696DC" w:rsidR="002354FB" w:rsidRPr="00680DAC" w:rsidRDefault="002354FB" w:rsidP="002354FB">
            <w:pPr>
              <w:spacing w:after="0" w:line="240" w:lineRule="auto"/>
              <w:jc w:val="left"/>
              <w:rPr>
                <w:rFonts w:eastAsia="Times New Roman" w:cs="Calibri"/>
                <w:color w:val="000000"/>
                <w:sz w:val="16"/>
                <w:lang w:eastAsia="es-CR"/>
              </w:rPr>
            </w:pPr>
            <w:r w:rsidRPr="00C34499">
              <w:rPr>
                <w:rFonts w:eastAsia="Times New Roman" w:cs="Calibri"/>
                <w:color w:val="000000"/>
                <w:sz w:val="20"/>
                <w:szCs w:val="20"/>
              </w:rPr>
              <w:t>Otras cuentas a cobrar a corto plazo</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1420F" w14:textId="1B38C162" w:rsidR="002354FB" w:rsidRPr="00396EFB" w:rsidRDefault="002354FB" w:rsidP="002354FB">
            <w:pPr>
              <w:spacing w:after="0" w:line="240" w:lineRule="auto"/>
              <w:jc w:val="right"/>
              <w:rPr>
                <w:rFonts w:cs="Calibri"/>
                <w:b/>
                <w:bCs/>
                <w:color w:val="000000"/>
                <w:sz w:val="18"/>
                <w:szCs w:val="18"/>
              </w:rPr>
            </w:pP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302964" w14:textId="77777777" w:rsidR="002354FB" w:rsidRPr="005144D0" w:rsidRDefault="002354FB" w:rsidP="002354FB">
            <w:pPr>
              <w:spacing w:after="0" w:line="240" w:lineRule="auto"/>
              <w:jc w:val="right"/>
              <w:rPr>
                <w:rFonts w:ascii="Arial" w:hAnsi="Arial" w:cs="Arial"/>
                <w:b/>
                <w:bCs/>
                <w:color w:val="000000"/>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B0C98E" w14:textId="77777777" w:rsidR="002354FB" w:rsidRPr="005144D0" w:rsidRDefault="002354FB" w:rsidP="002354FB">
            <w:pPr>
              <w:spacing w:after="0" w:line="240" w:lineRule="auto"/>
              <w:jc w:val="right"/>
              <w:rPr>
                <w:rFonts w:ascii="Arial" w:hAnsi="Arial" w:cs="Arial"/>
                <w:b/>
                <w:bCs/>
                <w:color w:val="000000"/>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311976" w14:textId="47260084" w:rsidR="002354FB" w:rsidRPr="005144D0" w:rsidRDefault="002354FB" w:rsidP="002354FB">
            <w:pPr>
              <w:spacing w:after="0" w:line="240" w:lineRule="auto"/>
              <w:jc w:val="right"/>
              <w:rPr>
                <w:rFonts w:cs="Arial"/>
                <w:b/>
                <w:bCs/>
                <w:color w:val="000000"/>
                <w:sz w:val="18"/>
                <w:szCs w:val="18"/>
              </w:rPr>
            </w:pPr>
            <w:r w:rsidRPr="005144D0">
              <w:rPr>
                <w:rFonts w:cs="Arial"/>
                <w:b/>
                <w:bCs/>
                <w:color w:val="000000"/>
                <w:sz w:val="18"/>
                <w:szCs w:val="18"/>
              </w:rPr>
              <w:t xml:space="preserve">3 </w:t>
            </w:r>
            <w:r>
              <w:rPr>
                <w:rFonts w:cs="Arial"/>
                <w:b/>
                <w:bCs/>
                <w:color w:val="000000"/>
                <w:sz w:val="18"/>
                <w:szCs w:val="18"/>
              </w:rPr>
              <w:t>498</w:t>
            </w:r>
            <w:r w:rsidRPr="005144D0">
              <w:rPr>
                <w:rFonts w:cs="Arial"/>
                <w:b/>
                <w:bCs/>
                <w:color w:val="000000"/>
                <w:sz w:val="18"/>
                <w:szCs w:val="18"/>
              </w:rPr>
              <w:t>,</w:t>
            </w:r>
            <w:r>
              <w:rPr>
                <w:rFonts w:cs="Arial"/>
                <w:b/>
                <w:bCs/>
                <w:color w:val="000000"/>
                <w:sz w:val="18"/>
                <w:szCs w:val="18"/>
              </w:rPr>
              <w:t>62</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AABA5" w14:textId="77777777" w:rsidR="002354FB" w:rsidRPr="005144D0" w:rsidRDefault="002354FB" w:rsidP="002354FB">
            <w:pPr>
              <w:spacing w:after="0" w:line="240" w:lineRule="auto"/>
              <w:jc w:val="right"/>
              <w:rPr>
                <w:rFonts w:cs="Arial"/>
                <w:b/>
                <w:bCs/>
                <w:color w:val="000000"/>
                <w:sz w:val="18"/>
                <w:szCs w:val="18"/>
              </w:rPr>
            </w:pPr>
          </w:p>
        </w:tc>
        <w:tc>
          <w:tcPr>
            <w:tcW w:w="13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7A25F" w14:textId="085C0EBD" w:rsidR="002354FB" w:rsidRPr="005144D0" w:rsidRDefault="002354FB" w:rsidP="002354FB">
            <w:pPr>
              <w:spacing w:after="0" w:line="240" w:lineRule="auto"/>
              <w:jc w:val="right"/>
              <w:rPr>
                <w:rFonts w:cs="Arial"/>
                <w:b/>
                <w:bCs/>
                <w:color w:val="000000"/>
                <w:sz w:val="18"/>
                <w:szCs w:val="18"/>
              </w:rPr>
            </w:pPr>
            <w:r w:rsidRPr="005144D0">
              <w:rPr>
                <w:rFonts w:cs="Arial"/>
                <w:b/>
                <w:bCs/>
                <w:color w:val="000000"/>
                <w:sz w:val="18"/>
                <w:szCs w:val="18"/>
              </w:rPr>
              <w:t xml:space="preserve">3 </w:t>
            </w:r>
            <w:r>
              <w:rPr>
                <w:rFonts w:cs="Arial"/>
                <w:b/>
                <w:bCs/>
                <w:color w:val="000000"/>
                <w:sz w:val="18"/>
                <w:szCs w:val="18"/>
              </w:rPr>
              <w:t>498</w:t>
            </w:r>
            <w:r w:rsidRPr="005144D0">
              <w:rPr>
                <w:rFonts w:cs="Arial"/>
                <w:b/>
                <w:bCs/>
                <w:color w:val="000000"/>
                <w:sz w:val="18"/>
                <w:szCs w:val="18"/>
              </w:rPr>
              <w:t>,</w:t>
            </w:r>
            <w:r>
              <w:rPr>
                <w:rFonts w:cs="Arial"/>
                <w:b/>
                <w:bCs/>
                <w:color w:val="000000"/>
                <w:sz w:val="18"/>
                <w:szCs w:val="18"/>
              </w:rPr>
              <w:t>62</w:t>
            </w:r>
          </w:p>
        </w:tc>
      </w:tr>
      <w:tr w:rsidR="007D7231" w:rsidRPr="00680DAC" w14:paraId="73DCD690" w14:textId="77777777" w:rsidTr="004F189D">
        <w:trPr>
          <w:gridAfter w:val="1"/>
          <w:wAfter w:w="14" w:type="dxa"/>
          <w:trHeight w:val="118"/>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0E33C7" w14:textId="52DD88DF" w:rsidR="007D7231" w:rsidRPr="00C34499" w:rsidRDefault="007D7231" w:rsidP="007D7231">
            <w:pPr>
              <w:spacing w:after="0" w:line="240" w:lineRule="auto"/>
              <w:jc w:val="left"/>
              <w:rPr>
                <w:rFonts w:eastAsia="Times New Roman" w:cs="Calibri"/>
                <w:color w:val="000000"/>
                <w:sz w:val="20"/>
                <w:szCs w:val="20"/>
                <w:lang w:val="en-US"/>
              </w:rPr>
            </w:pPr>
            <w:r>
              <w:rPr>
                <w:rFonts w:eastAsia="Times New Roman" w:cs="Calibri"/>
                <w:color w:val="000000"/>
                <w:sz w:val="20"/>
                <w:szCs w:val="20"/>
                <w:lang w:val="en-US"/>
              </w:rPr>
              <w:t>1.1.3.99</w:t>
            </w:r>
          </w:p>
        </w:tc>
        <w:tc>
          <w:tcPr>
            <w:tcW w:w="19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E513BD" w14:textId="4E4B97BB" w:rsidR="007D7231" w:rsidRPr="00C34499" w:rsidRDefault="007D7231" w:rsidP="007D7231">
            <w:pPr>
              <w:spacing w:after="0" w:line="240" w:lineRule="auto"/>
              <w:jc w:val="left"/>
              <w:rPr>
                <w:rFonts w:eastAsia="Times New Roman" w:cs="Calibri"/>
                <w:color w:val="000000"/>
                <w:sz w:val="20"/>
                <w:szCs w:val="20"/>
              </w:rPr>
            </w:pPr>
            <w:r>
              <w:rPr>
                <w:rFonts w:eastAsia="Times New Roman" w:cs="Calibri"/>
                <w:color w:val="000000"/>
                <w:sz w:val="20"/>
                <w:szCs w:val="20"/>
              </w:rPr>
              <w:t>Previsiones para deterioro de cuentas a cobrar a C.P.</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330736" w14:textId="77777777" w:rsidR="007D7231" w:rsidRPr="00396EFB" w:rsidRDefault="007D7231" w:rsidP="007D7231">
            <w:pPr>
              <w:spacing w:after="0" w:line="240" w:lineRule="auto"/>
              <w:jc w:val="right"/>
              <w:rPr>
                <w:rFonts w:cs="Calibri"/>
                <w:b/>
                <w:bCs/>
                <w:color w:val="000000"/>
                <w:sz w:val="18"/>
                <w:szCs w:val="18"/>
              </w:rPr>
            </w:pP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A87C62" w14:textId="77777777" w:rsidR="007D7231" w:rsidRPr="005144D0" w:rsidRDefault="007D7231" w:rsidP="007D7231">
            <w:pPr>
              <w:spacing w:after="0" w:line="240" w:lineRule="auto"/>
              <w:jc w:val="right"/>
              <w:rPr>
                <w:rFonts w:ascii="Arial" w:hAnsi="Arial" w:cs="Arial"/>
                <w:b/>
                <w:bCs/>
                <w:color w:val="000000"/>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B8864F" w14:textId="77777777" w:rsidR="007D7231" w:rsidRPr="005144D0" w:rsidRDefault="007D7231" w:rsidP="007D7231">
            <w:pPr>
              <w:spacing w:after="0" w:line="240" w:lineRule="auto"/>
              <w:jc w:val="right"/>
              <w:rPr>
                <w:rFonts w:ascii="Arial" w:hAnsi="Arial" w:cs="Arial"/>
                <w:b/>
                <w:bCs/>
                <w:color w:val="000000"/>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053BD9" w14:textId="4418BE87" w:rsidR="007D7231" w:rsidRPr="005144D0" w:rsidRDefault="007D7231" w:rsidP="007D7231">
            <w:pPr>
              <w:spacing w:after="0" w:line="240" w:lineRule="auto"/>
              <w:jc w:val="right"/>
              <w:rPr>
                <w:rFonts w:cs="Arial"/>
                <w:b/>
                <w:bCs/>
                <w:color w:val="000000"/>
                <w:sz w:val="18"/>
                <w:szCs w:val="18"/>
              </w:rPr>
            </w:pPr>
            <w:r>
              <w:rPr>
                <w:rFonts w:cs="Arial"/>
                <w:b/>
                <w:bCs/>
                <w:color w:val="000000"/>
                <w:sz w:val="18"/>
                <w:szCs w:val="18"/>
              </w:rPr>
              <w:t>-175 377,90</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D5C1AE" w14:textId="77777777" w:rsidR="007D7231" w:rsidRPr="005144D0" w:rsidRDefault="007D7231" w:rsidP="007D7231">
            <w:pPr>
              <w:spacing w:after="0" w:line="240" w:lineRule="auto"/>
              <w:jc w:val="right"/>
              <w:rPr>
                <w:rFonts w:cs="Arial"/>
                <w:b/>
                <w:bCs/>
                <w:color w:val="000000"/>
                <w:sz w:val="18"/>
                <w:szCs w:val="18"/>
              </w:rPr>
            </w:pPr>
          </w:p>
        </w:tc>
        <w:tc>
          <w:tcPr>
            <w:tcW w:w="13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7425DA" w14:textId="76E7A8C5" w:rsidR="007D7231" w:rsidRPr="005144D0" w:rsidRDefault="007D7231" w:rsidP="007D7231">
            <w:pPr>
              <w:spacing w:after="0" w:line="240" w:lineRule="auto"/>
              <w:jc w:val="right"/>
              <w:rPr>
                <w:rFonts w:cs="Arial"/>
                <w:b/>
                <w:bCs/>
                <w:color w:val="000000"/>
                <w:sz w:val="18"/>
                <w:szCs w:val="18"/>
              </w:rPr>
            </w:pPr>
            <w:r>
              <w:rPr>
                <w:rFonts w:cs="Arial"/>
                <w:b/>
                <w:bCs/>
                <w:color w:val="000000"/>
                <w:sz w:val="18"/>
                <w:szCs w:val="18"/>
              </w:rPr>
              <w:t>-175 377,90</w:t>
            </w:r>
          </w:p>
        </w:tc>
      </w:tr>
      <w:tr w:rsidR="00711CB6" w:rsidRPr="00680DAC" w14:paraId="1FC7FAEC" w14:textId="77777777" w:rsidTr="004F189D">
        <w:trPr>
          <w:gridAfter w:val="1"/>
          <w:wAfter w:w="14" w:type="dxa"/>
          <w:trHeight w:val="412"/>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1470A2" w14:textId="77777777" w:rsidR="00711CB6" w:rsidRPr="00680DAC" w:rsidRDefault="00711CB6" w:rsidP="00711CB6">
            <w:pPr>
              <w:spacing w:after="0" w:line="240" w:lineRule="auto"/>
              <w:jc w:val="left"/>
              <w:rPr>
                <w:rFonts w:eastAsia="Times New Roman" w:cs="Calibri"/>
                <w:color w:val="000000"/>
                <w:sz w:val="16"/>
                <w:lang w:eastAsia="es-CR"/>
              </w:rPr>
            </w:pPr>
          </w:p>
        </w:tc>
        <w:tc>
          <w:tcPr>
            <w:tcW w:w="19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1C30D" w14:textId="136264E8" w:rsidR="00711CB6" w:rsidRPr="00013D62" w:rsidRDefault="00711CB6" w:rsidP="00711CB6">
            <w:pPr>
              <w:spacing w:after="0" w:line="240" w:lineRule="auto"/>
              <w:jc w:val="left"/>
              <w:rPr>
                <w:rFonts w:eastAsia="Times New Roman" w:cs="Calibri"/>
                <w:b/>
                <w:bCs/>
                <w:color w:val="000000"/>
                <w:sz w:val="16"/>
                <w:lang w:eastAsia="es-CR"/>
              </w:rPr>
            </w:pPr>
            <w:r w:rsidRPr="00013D62">
              <w:rPr>
                <w:rFonts w:eastAsia="Times New Roman" w:cs="Calibri"/>
                <w:b/>
                <w:bCs/>
                <w:color w:val="000000"/>
                <w:sz w:val="16"/>
                <w:lang w:eastAsia="es-CR"/>
              </w:rPr>
              <w:t>TOTALES</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14BF82" w14:textId="766569AA" w:rsidR="00711CB6" w:rsidRPr="00396EFB" w:rsidRDefault="00711CB6" w:rsidP="00711CB6">
            <w:pPr>
              <w:spacing w:after="0" w:line="240" w:lineRule="auto"/>
              <w:jc w:val="right"/>
              <w:rPr>
                <w:rFonts w:cs="Calibri"/>
                <w:b/>
                <w:bCs/>
                <w:color w:val="000000"/>
                <w:sz w:val="18"/>
                <w:szCs w:val="18"/>
              </w:rPr>
            </w:pPr>
            <w:r w:rsidRPr="00396EFB">
              <w:rPr>
                <w:rFonts w:ascii="Arial" w:hAnsi="Arial" w:cs="Arial"/>
                <w:b/>
                <w:bCs/>
                <w:color w:val="000000"/>
                <w:sz w:val="18"/>
                <w:szCs w:val="18"/>
              </w:rPr>
              <w:t>₡</w:t>
            </w:r>
            <w:r>
              <w:rPr>
                <w:rFonts w:ascii="Arial" w:hAnsi="Arial" w:cs="Arial"/>
                <w:b/>
                <w:bCs/>
                <w:color w:val="000000"/>
                <w:sz w:val="18"/>
                <w:szCs w:val="18"/>
              </w:rPr>
              <w:t>1</w:t>
            </w:r>
            <w:r w:rsidRPr="00396EFB">
              <w:rPr>
                <w:rFonts w:cs="Calibri"/>
                <w:b/>
                <w:bCs/>
                <w:color w:val="000000"/>
                <w:sz w:val="18"/>
                <w:szCs w:val="18"/>
              </w:rPr>
              <w:t> </w:t>
            </w:r>
            <w:r w:rsidR="002354FB">
              <w:rPr>
                <w:rFonts w:cs="Calibri"/>
                <w:b/>
                <w:bCs/>
                <w:color w:val="000000"/>
                <w:sz w:val="18"/>
                <w:szCs w:val="18"/>
              </w:rPr>
              <w:t>873</w:t>
            </w:r>
            <w:r w:rsidRPr="00396EFB">
              <w:rPr>
                <w:rFonts w:cs="Calibri"/>
                <w:b/>
                <w:bCs/>
                <w:color w:val="000000"/>
                <w:sz w:val="18"/>
                <w:szCs w:val="18"/>
              </w:rPr>
              <w:t> </w:t>
            </w:r>
            <w:r>
              <w:rPr>
                <w:rFonts w:cs="Calibri"/>
                <w:b/>
                <w:bCs/>
                <w:color w:val="000000"/>
                <w:sz w:val="18"/>
                <w:szCs w:val="18"/>
              </w:rPr>
              <w:t>75</w:t>
            </w:r>
            <w:r w:rsidR="002354FB">
              <w:rPr>
                <w:rFonts w:cs="Calibri"/>
                <w:b/>
                <w:bCs/>
                <w:color w:val="000000"/>
                <w:sz w:val="18"/>
                <w:szCs w:val="18"/>
              </w:rPr>
              <w:t>4</w:t>
            </w:r>
            <w:r w:rsidRPr="00396EFB">
              <w:rPr>
                <w:rFonts w:cs="Calibri"/>
                <w:b/>
                <w:bCs/>
                <w:color w:val="000000"/>
                <w:sz w:val="18"/>
                <w:szCs w:val="18"/>
              </w:rPr>
              <w:t>,</w:t>
            </w:r>
            <w:r w:rsidR="002354FB">
              <w:rPr>
                <w:rFonts w:cs="Calibri"/>
                <w:b/>
                <w:bCs/>
                <w:color w:val="000000"/>
                <w:sz w:val="18"/>
                <w:szCs w:val="18"/>
              </w:rPr>
              <w:t>83</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03CCC0" w14:textId="77777777" w:rsidR="00711CB6" w:rsidRPr="005144D0" w:rsidRDefault="00711CB6" w:rsidP="005144D0">
            <w:pPr>
              <w:spacing w:after="0" w:line="240" w:lineRule="auto"/>
              <w:jc w:val="right"/>
              <w:rPr>
                <w:rFonts w:ascii="Arial" w:hAnsi="Arial" w:cs="Arial"/>
                <w:b/>
                <w:bCs/>
                <w:color w:val="000000"/>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D29227" w14:textId="77777777" w:rsidR="00711CB6" w:rsidRPr="005144D0" w:rsidRDefault="00711CB6" w:rsidP="005144D0">
            <w:pPr>
              <w:spacing w:after="0" w:line="240" w:lineRule="auto"/>
              <w:jc w:val="right"/>
              <w:rPr>
                <w:rFonts w:ascii="Arial" w:hAnsi="Arial" w:cs="Arial"/>
                <w:b/>
                <w:bCs/>
                <w:color w:val="000000"/>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1F8F78" w14:textId="51D17EA7" w:rsidR="004300B6" w:rsidRPr="004300B6" w:rsidRDefault="00711CB6" w:rsidP="004300B6">
            <w:pPr>
              <w:spacing w:before="120" w:after="0" w:line="240" w:lineRule="auto"/>
              <w:jc w:val="right"/>
              <w:rPr>
                <w:rFonts w:cs="Arial"/>
                <w:b/>
                <w:bCs/>
                <w:color w:val="000000"/>
                <w:sz w:val="18"/>
                <w:szCs w:val="18"/>
              </w:rPr>
            </w:pPr>
            <w:r w:rsidRPr="004300B6">
              <w:rPr>
                <w:rFonts w:ascii="Arial" w:hAnsi="Arial" w:cs="Arial"/>
                <w:b/>
                <w:bCs/>
                <w:color w:val="000000"/>
                <w:sz w:val="18"/>
                <w:szCs w:val="18"/>
              </w:rPr>
              <w:t>₡</w:t>
            </w:r>
            <w:r w:rsidR="002354FB">
              <w:rPr>
                <w:rFonts w:cs="Arial"/>
                <w:b/>
                <w:bCs/>
                <w:color w:val="000000"/>
                <w:sz w:val="18"/>
                <w:szCs w:val="18"/>
              </w:rPr>
              <w:t>2</w:t>
            </w:r>
            <w:r w:rsidR="004300B6">
              <w:rPr>
                <w:rFonts w:cs="Arial"/>
                <w:b/>
                <w:bCs/>
                <w:color w:val="000000"/>
                <w:sz w:val="18"/>
                <w:szCs w:val="18"/>
              </w:rPr>
              <w:t> </w:t>
            </w:r>
            <w:r w:rsidR="002354FB">
              <w:rPr>
                <w:rFonts w:cs="Arial"/>
                <w:b/>
                <w:bCs/>
                <w:color w:val="000000"/>
                <w:sz w:val="18"/>
                <w:szCs w:val="18"/>
              </w:rPr>
              <w:t>685</w:t>
            </w:r>
            <w:r w:rsidR="004300B6">
              <w:rPr>
                <w:rFonts w:cs="Arial"/>
                <w:b/>
                <w:bCs/>
                <w:color w:val="000000"/>
                <w:sz w:val="18"/>
                <w:szCs w:val="18"/>
              </w:rPr>
              <w:t> </w:t>
            </w:r>
            <w:r w:rsidR="002354FB">
              <w:rPr>
                <w:rFonts w:cs="Arial"/>
                <w:b/>
                <w:bCs/>
                <w:color w:val="000000"/>
                <w:sz w:val="18"/>
                <w:szCs w:val="18"/>
              </w:rPr>
              <w:t>85</w:t>
            </w:r>
            <w:r w:rsidR="004300B6">
              <w:rPr>
                <w:rFonts w:cs="Arial"/>
                <w:b/>
                <w:bCs/>
                <w:color w:val="000000"/>
                <w:sz w:val="18"/>
                <w:szCs w:val="18"/>
              </w:rPr>
              <w:t>3,</w:t>
            </w:r>
            <w:r w:rsidR="002354FB">
              <w:rPr>
                <w:rFonts w:cs="Arial"/>
                <w:b/>
                <w:bCs/>
                <w:color w:val="000000"/>
                <w:sz w:val="18"/>
                <w:szCs w:val="18"/>
              </w:rPr>
              <w:t>54</w:t>
            </w:r>
            <w:r w:rsidR="004300B6" w:rsidRPr="004300B6">
              <w:rPr>
                <w:rFonts w:cs="Arial"/>
                <w:b/>
                <w:bCs/>
                <w:color w:val="000000"/>
                <w:sz w:val="18"/>
                <w:szCs w:val="18"/>
              </w:rPr>
              <w:t xml:space="preserve">                      </w:t>
            </w:r>
          </w:p>
          <w:p w14:paraId="5A3DC90B" w14:textId="3E98A4B5" w:rsidR="00711CB6" w:rsidRPr="004300B6" w:rsidRDefault="00711CB6" w:rsidP="005144D0">
            <w:pPr>
              <w:spacing w:after="0" w:line="240" w:lineRule="auto"/>
              <w:jc w:val="right"/>
              <w:rPr>
                <w:rFonts w:cs="Arial"/>
                <w:b/>
                <w:bCs/>
                <w:color w:val="000000"/>
                <w:sz w:val="18"/>
                <w:szCs w:val="18"/>
              </w:rPr>
            </w:pP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5693E6" w14:textId="77777777" w:rsidR="00711CB6" w:rsidRPr="005144D0" w:rsidRDefault="00711CB6" w:rsidP="005144D0">
            <w:pPr>
              <w:spacing w:after="0" w:line="240" w:lineRule="auto"/>
              <w:jc w:val="right"/>
              <w:rPr>
                <w:rFonts w:cs="Arial"/>
                <w:b/>
                <w:bCs/>
                <w:color w:val="000000"/>
                <w:sz w:val="18"/>
                <w:szCs w:val="18"/>
              </w:rPr>
            </w:pPr>
          </w:p>
        </w:tc>
        <w:tc>
          <w:tcPr>
            <w:tcW w:w="13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749D6C" w14:textId="51816AA9" w:rsidR="00711CB6" w:rsidRPr="005144D0" w:rsidRDefault="00711CB6" w:rsidP="005144D0">
            <w:pPr>
              <w:spacing w:after="0" w:line="240" w:lineRule="auto"/>
              <w:jc w:val="right"/>
              <w:rPr>
                <w:rFonts w:cs="Arial"/>
                <w:b/>
                <w:bCs/>
                <w:color w:val="000000"/>
                <w:sz w:val="18"/>
                <w:szCs w:val="18"/>
              </w:rPr>
            </w:pPr>
            <w:r w:rsidRPr="005144D0">
              <w:rPr>
                <w:rFonts w:ascii="Arial" w:hAnsi="Arial" w:cs="Arial"/>
                <w:b/>
                <w:bCs/>
                <w:color w:val="000000"/>
                <w:sz w:val="18"/>
                <w:szCs w:val="18"/>
              </w:rPr>
              <w:t>₡</w:t>
            </w:r>
            <w:r w:rsidR="007D7231">
              <w:rPr>
                <w:rFonts w:cs="Arial"/>
                <w:b/>
                <w:bCs/>
                <w:color w:val="000000"/>
                <w:sz w:val="18"/>
                <w:szCs w:val="18"/>
              </w:rPr>
              <w:t>4</w:t>
            </w:r>
            <w:r w:rsidRPr="005144D0">
              <w:rPr>
                <w:rFonts w:cs="Arial"/>
                <w:b/>
                <w:bCs/>
                <w:color w:val="000000"/>
                <w:sz w:val="18"/>
                <w:szCs w:val="18"/>
              </w:rPr>
              <w:t> </w:t>
            </w:r>
            <w:r w:rsidR="007D7231">
              <w:rPr>
                <w:rFonts w:cs="Arial"/>
                <w:b/>
                <w:bCs/>
                <w:color w:val="000000"/>
                <w:sz w:val="18"/>
                <w:szCs w:val="18"/>
              </w:rPr>
              <w:t>55</w:t>
            </w:r>
            <w:r w:rsidRPr="005144D0">
              <w:rPr>
                <w:rFonts w:cs="Arial"/>
                <w:b/>
                <w:bCs/>
                <w:color w:val="000000"/>
                <w:sz w:val="18"/>
                <w:szCs w:val="18"/>
              </w:rPr>
              <w:t>9 </w:t>
            </w:r>
            <w:r w:rsidR="007D7231">
              <w:rPr>
                <w:rFonts w:cs="Arial"/>
                <w:b/>
                <w:bCs/>
                <w:color w:val="000000"/>
                <w:sz w:val="18"/>
                <w:szCs w:val="18"/>
              </w:rPr>
              <w:t>6</w:t>
            </w:r>
            <w:r w:rsidR="004300B6">
              <w:rPr>
                <w:rFonts w:cs="Arial"/>
                <w:b/>
                <w:bCs/>
                <w:color w:val="000000"/>
                <w:sz w:val="18"/>
                <w:szCs w:val="18"/>
              </w:rPr>
              <w:t>0</w:t>
            </w:r>
            <w:r w:rsidR="007D7231">
              <w:rPr>
                <w:rFonts w:cs="Arial"/>
                <w:b/>
                <w:bCs/>
                <w:color w:val="000000"/>
                <w:sz w:val="18"/>
                <w:szCs w:val="18"/>
              </w:rPr>
              <w:t>8</w:t>
            </w:r>
            <w:r w:rsidRPr="005144D0">
              <w:rPr>
                <w:rFonts w:cs="Arial"/>
                <w:b/>
                <w:bCs/>
                <w:color w:val="000000"/>
                <w:sz w:val="18"/>
                <w:szCs w:val="18"/>
              </w:rPr>
              <w:t>,</w:t>
            </w:r>
            <w:r w:rsidR="007D7231">
              <w:rPr>
                <w:rFonts w:cs="Arial"/>
                <w:b/>
                <w:bCs/>
                <w:color w:val="000000"/>
                <w:sz w:val="18"/>
                <w:szCs w:val="18"/>
              </w:rPr>
              <w:t>36</w:t>
            </w:r>
          </w:p>
        </w:tc>
      </w:tr>
    </w:tbl>
    <w:p w14:paraId="3D3E3972" w14:textId="4F110EC5" w:rsidR="00422EDF" w:rsidRDefault="00422EDF" w:rsidP="00396EFB">
      <w:pPr>
        <w:jc w:val="center"/>
        <w:rPr>
          <w:b/>
          <w:u w:val="single"/>
          <w:lang w:val="es-MX" w:eastAsia="es-CR"/>
        </w:rPr>
      </w:pPr>
    </w:p>
    <w:p w14:paraId="739F8983" w14:textId="77777777" w:rsidR="004F189D" w:rsidRDefault="004F189D" w:rsidP="00396EFB">
      <w:pPr>
        <w:jc w:val="center"/>
        <w:rPr>
          <w:b/>
          <w:u w:val="single"/>
          <w:lang w:val="es-MX" w:eastAsia="es-CR"/>
        </w:rPr>
      </w:pPr>
    </w:p>
    <w:p w14:paraId="13CF3CE1" w14:textId="77777777" w:rsidR="004F189D" w:rsidRDefault="004F189D" w:rsidP="00396EFB">
      <w:pPr>
        <w:jc w:val="center"/>
        <w:rPr>
          <w:b/>
          <w:u w:val="single"/>
          <w:lang w:val="es-MX" w:eastAsia="es-CR"/>
        </w:rPr>
      </w:pPr>
    </w:p>
    <w:tbl>
      <w:tblPr>
        <w:tblW w:w="9583" w:type="dxa"/>
        <w:tblInd w:w="-709" w:type="dxa"/>
        <w:tblCellMar>
          <w:left w:w="70" w:type="dxa"/>
          <w:right w:w="70" w:type="dxa"/>
        </w:tblCellMar>
        <w:tblLook w:val="04A0" w:firstRow="1" w:lastRow="0" w:firstColumn="1" w:lastColumn="0" w:noHBand="0" w:noVBand="1"/>
      </w:tblPr>
      <w:tblGrid>
        <w:gridCol w:w="779"/>
        <w:gridCol w:w="2057"/>
        <w:gridCol w:w="1085"/>
        <w:gridCol w:w="1099"/>
        <w:gridCol w:w="1134"/>
        <w:gridCol w:w="1134"/>
        <w:gridCol w:w="1134"/>
        <w:gridCol w:w="1138"/>
        <w:gridCol w:w="23"/>
      </w:tblGrid>
      <w:tr w:rsidR="00013D62" w:rsidRPr="00680DAC" w14:paraId="06334511" w14:textId="77777777" w:rsidTr="00D95A72">
        <w:trPr>
          <w:trHeight w:val="123"/>
        </w:trPr>
        <w:tc>
          <w:tcPr>
            <w:tcW w:w="9583" w:type="dxa"/>
            <w:gridSpan w:val="9"/>
            <w:tcBorders>
              <w:top w:val="nil"/>
              <w:left w:val="nil"/>
              <w:bottom w:val="single" w:sz="8" w:space="0" w:color="auto"/>
              <w:right w:val="nil"/>
            </w:tcBorders>
            <w:shd w:val="clear" w:color="000000" w:fill="1F3864"/>
            <w:vAlign w:val="center"/>
            <w:hideMark/>
          </w:tcPr>
          <w:p w14:paraId="3BE61EAA" w14:textId="4FD86911" w:rsidR="00013D62" w:rsidRPr="00680DAC" w:rsidRDefault="00013D62" w:rsidP="004653E2">
            <w:pPr>
              <w:spacing w:after="0" w:line="240" w:lineRule="auto"/>
              <w:jc w:val="center"/>
              <w:rPr>
                <w:rFonts w:eastAsia="Times New Roman" w:cs="Calibri"/>
                <w:color w:val="FFFFFF"/>
                <w:sz w:val="16"/>
                <w:szCs w:val="20"/>
                <w:lang w:eastAsia="es-CR"/>
              </w:rPr>
            </w:pPr>
            <w:r>
              <w:rPr>
                <w:rFonts w:eastAsia="Times New Roman" w:cs="Calibri"/>
                <w:color w:val="FFFFFF"/>
                <w:sz w:val="16"/>
                <w:szCs w:val="20"/>
                <w:lang w:eastAsia="es-CR"/>
              </w:rPr>
              <w:t>PASIVOS</w:t>
            </w:r>
            <w:r w:rsidRPr="00680DAC">
              <w:rPr>
                <w:rFonts w:eastAsia="Times New Roman" w:cs="Calibri"/>
                <w:color w:val="FFFFFF"/>
                <w:sz w:val="16"/>
                <w:szCs w:val="20"/>
                <w:lang w:eastAsia="es-CR"/>
              </w:rPr>
              <w:t xml:space="preserve"> FINANCIEROS</w:t>
            </w:r>
          </w:p>
        </w:tc>
      </w:tr>
      <w:tr w:rsidR="00847698" w:rsidRPr="00680DAC" w14:paraId="412E016E" w14:textId="77777777" w:rsidTr="00D95A72">
        <w:trPr>
          <w:gridAfter w:val="1"/>
          <w:wAfter w:w="23" w:type="dxa"/>
          <w:trHeight w:val="118"/>
        </w:trPr>
        <w:tc>
          <w:tcPr>
            <w:tcW w:w="779" w:type="dxa"/>
            <w:tcBorders>
              <w:top w:val="nil"/>
              <w:left w:val="single" w:sz="8" w:space="0" w:color="auto"/>
              <w:bottom w:val="single" w:sz="4" w:space="0" w:color="auto"/>
              <w:right w:val="single" w:sz="8" w:space="0" w:color="auto"/>
            </w:tcBorders>
            <w:shd w:val="clear" w:color="000000" w:fill="1F3864"/>
            <w:vAlign w:val="center"/>
            <w:hideMark/>
          </w:tcPr>
          <w:p w14:paraId="77ED4077" w14:textId="77777777" w:rsidR="00013D62" w:rsidRPr="00680DAC" w:rsidRDefault="00013D62" w:rsidP="004653E2">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Cuenta</w:t>
            </w:r>
          </w:p>
        </w:tc>
        <w:tc>
          <w:tcPr>
            <w:tcW w:w="2057" w:type="dxa"/>
            <w:tcBorders>
              <w:top w:val="nil"/>
              <w:left w:val="nil"/>
              <w:bottom w:val="single" w:sz="4" w:space="0" w:color="auto"/>
              <w:right w:val="single" w:sz="8" w:space="0" w:color="auto"/>
            </w:tcBorders>
            <w:shd w:val="clear" w:color="000000" w:fill="1F3864"/>
            <w:vAlign w:val="center"/>
            <w:hideMark/>
          </w:tcPr>
          <w:p w14:paraId="63CF0446" w14:textId="77777777" w:rsidR="00013D62" w:rsidRPr="00680DAC" w:rsidRDefault="00013D62" w:rsidP="004653E2">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 xml:space="preserve">Detalle </w:t>
            </w:r>
          </w:p>
        </w:tc>
        <w:tc>
          <w:tcPr>
            <w:tcW w:w="1085" w:type="dxa"/>
            <w:tcBorders>
              <w:top w:val="nil"/>
              <w:left w:val="nil"/>
              <w:bottom w:val="single" w:sz="4" w:space="0" w:color="auto"/>
              <w:right w:val="single" w:sz="8" w:space="0" w:color="auto"/>
            </w:tcBorders>
            <w:shd w:val="clear" w:color="000000" w:fill="1F3864"/>
            <w:vAlign w:val="center"/>
            <w:hideMark/>
          </w:tcPr>
          <w:p w14:paraId="17E3D2C4" w14:textId="77777777" w:rsidR="00013D62" w:rsidRPr="00680DAC" w:rsidRDefault="00013D62" w:rsidP="004653E2">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 xml:space="preserve"> Saldo de 1 a 30 días</w:t>
            </w:r>
          </w:p>
        </w:tc>
        <w:tc>
          <w:tcPr>
            <w:tcW w:w="1099" w:type="dxa"/>
            <w:tcBorders>
              <w:top w:val="nil"/>
              <w:left w:val="nil"/>
              <w:bottom w:val="single" w:sz="4" w:space="0" w:color="auto"/>
              <w:right w:val="single" w:sz="8" w:space="0" w:color="auto"/>
            </w:tcBorders>
            <w:shd w:val="clear" w:color="000000" w:fill="1F3864"/>
            <w:vAlign w:val="center"/>
            <w:hideMark/>
          </w:tcPr>
          <w:p w14:paraId="1A195ACF" w14:textId="77777777" w:rsidR="00013D62" w:rsidRPr="00680DAC" w:rsidRDefault="00013D62" w:rsidP="004653E2">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Saldo de 31 a 90 días</w:t>
            </w:r>
          </w:p>
        </w:tc>
        <w:tc>
          <w:tcPr>
            <w:tcW w:w="1134" w:type="dxa"/>
            <w:tcBorders>
              <w:top w:val="nil"/>
              <w:left w:val="nil"/>
              <w:bottom w:val="single" w:sz="4" w:space="0" w:color="auto"/>
              <w:right w:val="single" w:sz="8" w:space="0" w:color="auto"/>
            </w:tcBorders>
            <w:shd w:val="clear" w:color="000000" w:fill="1F3864"/>
            <w:vAlign w:val="center"/>
            <w:hideMark/>
          </w:tcPr>
          <w:p w14:paraId="59BD741D" w14:textId="77777777" w:rsidR="00013D62" w:rsidRPr="00680DAC" w:rsidRDefault="00013D62" w:rsidP="004653E2">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 xml:space="preserve"> Saldo de 91 a 180 días</w:t>
            </w:r>
          </w:p>
        </w:tc>
        <w:tc>
          <w:tcPr>
            <w:tcW w:w="1134" w:type="dxa"/>
            <w:tcBorders>
              <w:top w:val="nil"/>
              <w:left w:val="nil"/>
              <w:bottom w:val="single" w:sz="4" w:space="0" w:color="auto"/>
              <w:right w:val="single" w:sz="8" w:space="0" w:color="auto"/>
            </w:tcBorders>
            <w:shd w:val="clear" w:color="000000" w:fill="1F3864"/>
            <w:vAlign w:val="center"/>
            <w:hideMark/>
          </w:tcPr>
          <w:p w14:paraId="541C7039" w14:textId="77777777" w:rsidR="00013D62" w:rsidRPr="00680DAC" w:rsidRDefault="00013D62" w:rsidP="004653E2">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 xml:space="preserve"> Saldo de 181 a 365 días</w:t>
            </w:r>
          </w:p>
        </w:tc>
        <w:tc>
          <w:tcPr>
            <w:tcW w:w="1134" w:type="dxa"/>
            <w:tcBorders>
              <w:top w:val="nil"/>
              <w:left w:val="nil"/>
              <w:bottom w:val="single" w:sz="4" w:space="0" w:color="auto"/>
              <w:right w:val="single" w:sz="8" w:space="0" w:color="auto"/>
            </w:tcBorders>
            <w:shd w:val="clear" w:color="000000" w:fill="1F3864"/>
            <w:vAlign w:val="center"/>
            <w:hideMark/>
          </w:tcPr>
          <w:p w14:paraId="620A25ED" w14:textId="77777777" w:rsidR="00013D62" w:rsidRPr="00680DAC" w:rsidRDefault="00013D62" w:rsidP="004653E2">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Más de 365 días</w:t>
            </w:r>
          </w:p>
        </w:tc>
        <w:tc>
          <w:tcPr>
            <w:tcW w:w="1138" w:type="dxa"/>
            <w:tcBorders>
              <w:top w:val="nil"/>
              <w:left w:val="nil"/>
              <w:bottom w:val="single" w:sz="4" w:space="0" w:color="auto"/>
              <w:right w:val="single" w:sz="8" w:space="0" w:color="auto"/>
            </w:tcBorders>
            <w:shd w:val="clear" w:color="000000" w:fill="1F3864"/>
            <w:vAlign w:val="center"/>
            <w:hideMark/>
          </w:tcPr>
          <w:p w14:paraId="3A5DF287" w14:textId="77777777" w:rsidR="00013D62" w:rsidRPr="00680DAC" w:rsidRDefault="00013D62" w:rsidP="004653E2">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Total</w:t>
            </w:r>
          </w:p>
        </w:tc>
      </w:tr>
      <w:tr w:rsidR="00D95A72" w:rsidRPr="00680DAC" w14:paraId="03512145" w14:textId="77777777" w:rsidTr="00D95A72">
        <w:trPr>
          <w:gridAfter w:val="1"/>
          <w:wAfter w:w="23" w:type="dxa"/>
          <w:trHeight w:val="118"/>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9B161" w14:textId="5925CBF8" w:rsidR="00D95A72" w:rsidRPr="00680DAC" w:rsidRDefault="00D95A72" w:rsidP="00D95A72">
            <w:pPr>
              <w:spacing w:after="0" w:line="240" w:lineRule="auto"/>
              <w:jc w:val="left"/>
              <w:rPr>
                <w:rFonts w:eastAsia="Times New Roman" w:cs="Calibri"/>
                <w:color w:val="000000"/>
                <w:sz w:val="16"/>
                <w:lang w:eastAsia="es-CR"/>
              </w:rPr>
            </w:pPr>
            <w:r w:rsidRPr="00C34499">
              <w:rPr>
                <w:rFonts w:eastAsia="Times New Roman" w:cs="Calibri"/>
                <w:color w:val="000000"/>
                <w:sz w:val="18"/>
                <w:szCs w:val="18"/>
                <w:lang w:val="en-US"/>
              </w:rPr>
              <w:t>2.1.1.01.</w:t>
            </w:r>
          </w:p>
        </w:tc>
        <w:tc>
          <w:tcPr>
            <w:tcW w:w="20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6969A" w14:textId="7C0CB92F" w:rsidR="00D95A72" w:rsidRPr="00680DAC" w:rsidRDefault="00D95A72" w:rsidP="00D95A72">
            <w:pPr>
              <w:spacing w:after="0" w:line="240" w:lineRule="auto"/>
              <w:jc w:val="left"/>
              <w:rPr>
                <w:rFonts w:eastAsia="Times New Roman" w:cs="Calibri"/>
                <w:color w:val="000000"/>
                <w:sz w:val="16"/>
                <w:lang w:eastAsia="es-CR"/>
              </w:rPr>
            </w:pPr>
            <w:r w:rsidRPr="00C34499">
              <w:rPr>
                <w:rFonts w:eastAsia="Times New Roman" w:cs="Calibri"/>
                <w:color w:val="000000"/>
                <w:sz w:val="18"/>
                <w:szCs w:val="18"/>
              </w:rPr>
              <w:t>Deudas comerciales a corto plazo</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C6CE9" w14:textId="25660836" w:rsidR="00D95A72" w:rsidRPr="00847698" w:rsidRDefault="00D95A72" w:rsidP="00D95A72">
            <w:pPr>
              <w:spacing w:after="0" w:line="240" w:lineRule="auto"/>
              <w:jc w:val="right"/>
              <w:rPr>
                <w:rFonts w:eastAsia="Times New Roman" w:cs="Arial"/>
                <w:color w:val="000000"/>
                <w:sz w:val="18"/>
                <w:szCs w:val="18"/>
                <w:lang w:eastAsia="es-CR"/>
              </w:rPr>
            </w:pPr>
            <w:r w:rsidRPr="00847698">
              <w:rPr>
                <w:rFonts w:ascii="Arial" w:hAnsi="Arial" w:cs="Arial"/>
                <w:color w:val="000000"/>
                <w:sz w:val="18"/>
                <w:szCs w:val="18"/>
              </w:rPr>
              <w:t>₡</w:t>
            </w:r>
            <w:r>
              <w:rPr>
                <w:rFonts w:cs="Arial"/>
                <w:color w:val="000000"/>
                <w:sz w:val="18"/>
                <w:szCs w:val="18"/>
              </w:rPr>
              <w:t>92</w:t>
            </w:r>
            <w:r w:rsidRPr="00847698">
              <w:rPr>
                <w:rFonts w:cs="Arial"/>
                <w:color w:val="000000"/>
                <w:sz w:val="18"/>
                <w:szCs w:val="18"/>
              </w:rPr>
              <w:t xml:space="preserve"> </w:t>
            </w:r>
            <w:r>
              <w:rPr>
                <w:rFonts w:cs="Arial"/>
                <w:color w:val="000000"/>
                <w:sz w:val="18"/>
                <w:szCs w:val="18"/>
              </w:rPr>
              <w:t>831</w:t>
            </w:r>
            <w:r w:rsidRPr="00847698">
              <w:rPr>
                <w:rFonts w:cs="Arial"/>
                <w:color w:val="000000"/>
                <w:sz w:val="18"/>
                <w:szCs w:val="18"/>
              </w:rPr>
              <w:t>,8</w:t>
            </w:r>
            <w:r>
              <w:rPr>
                <w:rFonts w:cs="Arial"/>
                <w:color w:val="000000"/>
                <w:sz w:val="18"/>
                <w:szCs w:val="18"/>
              </w:rPr>
              <w:t>5</w:t>
            </w:r>
          </w:p>
        </w:tc>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AEDC1" w14:textId="563313CE" w:rsidR="00D95A72" w:rsidRPr="00847698" w:rsidRDefault="00D95A72" w:rsidP="00D95A72">
            <w:pPr>
              <w:spacing w:after="0" w:line="240" w:lineRule="auto"/>
              <w:jc w:val="center"/>
              <w:rPr>
                <w:rFonts w:eastAsia="Times New Roman" w:cs="Calibri"/>
                <w:color w:val="000000"/>
                <w:sz w:val="18"/>
                <w:szCs w:val="18"/>
                <w:lang w:eastAsia="es-CR"/>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FC70D" w14:textId="77777777" w:rsidR="00D95A72" w:rsidRPr="00847698" w:rsidRDefault="00D95A72" w:rsidP="00D95A72">
            <w:pPr>
              <w:spacing w:after="0" w:line="240" w:lineRule="auto"/>
              <w:jc w:val="center"/>
              <w:rPr>
                <w:rFonts w:eastAsia="Times New Roman" w:cs="Calibri"/>
                <w:color w:val="000000"/>
                <w:sz w:val="18"/>
                <w:szCs w:val="18"/>
                <w:lang w:eastAsia="es-CR"/>
              </w:rPr>
            </w:pPr>
            <w:r w:rsidRPr="00847698">
              <w:rPr>
                <w:rFonts w:eastAsia="Times New Roman" w:cs="Calibri"/>
                <w:color w:val="000000"/>
                <w:sz w:val="18"/>
                <w:szCs w:val="18"/>
                <w:lang w:eastAsia="es-CR"/>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41191" w14:textId="008BB0D6" w:rsidR="00D95A72" w:rsidRPr="00847698" w:rsidRDefault="00D95A72" w:rsidP="00D95A72">
            <w:pPr>
              <w:spacing w:after="0" w:line="240" w:lineRule="auto"/>
              <w:jc w:val="center"/>
              <w:rPr>
                <w:rFonts w:eastAsia="Times New Roman" w:cs="Calibri"/>
                <w:color w:val="000000"/>
                <w:sz w:val="18"/>
                <w:szCs w:val="18"/>
                <w:lang w:eastAsia="es-CR"/>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2CB54" w14:textId="77777777" w:rsidR="00D95A72" w:rsidRPr="00847698" w:rsidRDefault="00D95A72" w:rsidP="00D95A72">
            <w:pPr>
              <w:spacing w:after="0" w:line="240" w:lineRule="auto"/>
              <w:jc w:val="center"/>
              <w:rPr>
                <w:rFonts w:eastAsia="Times New Roman" w:cs="Calibri"/>
                <w:color w:val="000000"/>
                <w:sz w:val="18"/>
                <w:szCs w:val="18"/>
                <w:lang w:eastAsia="es-CR"/>
              </w:rPr>
            </w:pPr>
            <w:r w:rsidRPr="00847698">
              <w:rPr>
                <w:rFonts w:eastAsia="Times New Roman" w:cs="Calibri"/>
                <w:color w:val="000000"/>
                <w:sz w:val="18"/>
                <w:szCs w:val="18"/>
                <w:lang w:eastAsia="es-CR"/>
              </w:rPr>
              <w:t>-</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F45AE" w14:textId="0CC8B8BC" w:rsidR="00D95A72" w:rsidRPr="00D95A72" w:rsidRDefault="00D95A72" w:rsidP="00D95A72">
            <w:pPr>
              <w:spacing w:after="0" w:line="240" w:lineRule="auto"/>
              <w:jc w:val="right"/>
              <w:rPr>
                <w:rFonts w:cs="Arial"/>
                <w:color w:val="000000"/>
                <w:sz w:val="18"/>
                <w:szCs w:val="18"/>
              </w:rPr>
            </w:pPr>
            <w:r w:rsidRPr="00D95A72">
              <w:rPr>
                <w:rFonts w:cs="Arial"/>
                <w:color w:val="000000"/>
                <w:sz w:val="18"/>
                <w:szCs w:val="18"/>
              </w:rPr>
              <w:t xml:space="preserve">                               </w:t>
            </w:r>
            <w:r w:rsidRPr="00847698">
              <w:rPr>
                <w:rFonts w:ascii="Arial" w:hAnsi="Arial" w:cs="Arial"/>
                <w:color w:val="000000"/>
                <w:sz w:val="18"/>
                <w:szCs w:val="18"/>
              </w:rPr>
              <w:t>₡</w:t>
            </w:r>
            <w:r w:rsidRPr="00D95A72">
              <w:rPr>
                <w:rFonts w:cs="Arial"/>
                <w:color w:val="000000"/>
                <w:sz w:val="18"/>
                <w:szCs w:val="18"/>
              </w:rPr>
              <w:t xml:space="preserve">92 831,85 </w:t>
            </w:r>
          </w:p>
        </w:tc>
      </w:tr>
      <w:tr w:rsidR="00D95A72" w:rsidRPr="00680DAC" w14:paraId="55665B92" w14:textId="77777777" w:rsidTr="004653E2">
        <w:trPr>
          <w:gridAfter w:val="1"/>
          <w:wAfter w:w="23" w:type="dxa"/>
          <w:trHeight w:val="118"/>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760DAF" w14:textId="1B9BE175" w:rsidR="00D95A72" w:rsidRPr="00680DAC" w:rsidRDefault="00D95A72" w:rsidP="00D95A72">
            <w:pPr>
              <w:spacing w:after="0" w:line="240" w:lineRule="auto"/>
              <w:jc w:val="left"/>
              <w:rPr>
                <w:rFonts w:eastAsia="Times New Roman" w:cs="Calibri"/>
                <w:color w:val="000000"/>
                <w:sz w:val="16"/>
                <w:lang w:eastAsia="es-CR"/>
              </w:rPr>
            </w:pPr>
            <w:r w:rsidRPr="00C34499">
              <w:rPr>
                <w:rFonts w:eastAsia="Times New Roman" w:cs="Calibri"/>
                <w:color w:val="000000"/>
                <w:sz w:val="18"/>
                <w:szCs w:val="18"/>
                <w:lang w:val="en-US"/>
              </w:rPr>
              <w:t>2.1.1.02.</w:t>
            </w:r>
          </w:p>
        </w:tc>
        <w:tc>
          <w:tcPr>
            <w:tcW w:w="20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F7E690" w14:textId="3B350551" w:rsidR="00D95A72" w:rsidRPr="00680DAC" w:rsidRDefault="00D95A72" w:rsidP="00D95A72">
            <w:pPr>
              <w:spacing w:after="0" w:line="240" w:lineRule="auto"/>
              <w:jc w:val="left"/>
              <w:rPr>
                <w:rFonts w:eastAsia="Times New Roman" w:cs="Calibri"/>
                <w:color w:val="000000"/>
                <w:sz w:val="16"/>
                <w:lang w:eastAsia="es-CR"/>
              </w:rPr>
            </w:pPr>
            <w:r w:rsidRPr="00C34499">
              <w:rPr>
                <w:rFonts w:eastAsia="Times New Roman" w:cs="Calibri"/>
                <w:color w:val="000000"/>
                <w:sz w:val="18"/>
                <w:szCs w:val="18"/>
              </w:rPr>
              <w:t>Deudas sociales y fiscales a corto plazo</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551A0D" w14:textId="6B09EDF5" w:rsidR="00D95A72" w:rsidRPr="00847698" w:rsidRDefault="00D95A72" w:rsidP="00D95A72">
            <w:pPr>
              <w:spacing w:after="0" w:line="240" w:lineRule="auto"/>
              <w:jc w:val="right"/>
              <w:rPr>
                <w:rFonts w:cs="Arial"/>
                <w:color w:val="000000"/>
                <w:sz w:val="18"/>
                <w:szCs w:val="18"/>
              </w:rPr>
            </w:pPr>
            <w:r>
              <w:rPr>
                <w:rFonts w:cs="Arial"/>
                <w:color w:val="000000"/>
                <w:sz w:val="18"/>
                <w:szCs w:val="18"/>
              </w:rPr>
              <w:t>118</w:t>
            </w:r>
            <w:r w:rsidRPr="00847698">
              <w:rPr>
                <w:rFonts w:cs="Arial"/>
                <w:color w:val="000000"/>
                <w:sz w:val="18"/>
                <w:szCs w:val="18"/>
              </w:rPr>
              <w:t xml:space="preserve"> 85</w:t>
            </w:r>
            <w:r>
              <w:rPr>
                <w:rFonts w:cs="Arial"/>
                <w:color w:val="000000"/>
                <w:sz w:val="18"/>
                <w:szCs w:val="18"/>
              </w:rPr>
              <w:t>3</w:t>
            </w:r>
            <w:r w:rsidRPr="00847698">
              <w:rPr>
                <w:rFonts w:cs="Arial"/>
                <w:color w:val="000000"/>
                <w:sz w:val="18"/>
                <w:szCs w:val="18"/>
              </w:rPr>
              <w:t>,1</w:t>
            </w:r>
            <w:r>
              <w:rPr>
                <w:rFonts w:cs="Arial"/>
                <w:color w:val="000000"/>
                <w:sz w:val="18"/>
                <w:szCs w:val="18"/>
              </w:rPr>
              <w:t>2</w:t>
            </w:r>
          </w:p>
        </w:tc>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D52264" w14:textId="77777777" w:rsidR="00D95A72" w:rsidRPr="00847698" w:rsidRDefault="00D95A72" w:rsidP="00D95A72">
            <w:pPr>
              <w:spacing w:after="0" w:line="240" w:lineRule="auto"/>
              <w:jc w:val="center"/>
              <w:rPr>
                <w:rFonts w:eastAsia="Times New Roman" w:cs="Calibri"/>
                <w:color w:val="000000"/>
                <w:sz w:val="18"/>
                <w:szCs w:val="18"/>
                <w:lang w:eastAsia="es-CR"/>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951C9D" w14:textId="77777777" w:rsidR="00D95A72" w:rsidRPr="00847698" w:rsidRDefault="00D95A72" w:rsidP="00D95A72">
            <w:pPr>
              <w:spacing w:after="0" w:line="240" w:lineRule="auto"/>
              <w:jc w:val="center"/>
              <w:rPr>
                <w:rFonts w:eastAsia="Times New Roman" w:cs="Calibri"/>
                <w:color w:val="000000"/>
                <w:sz w:val="18"/>
                <w:szCs w:val="18"/>
                <w:lang w:eastAsia="es-CR"/>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7750C" w14:textId="77777777" w:rsidR="00D95A72" w:rsidRPr="00847698" w:rsidRDefault="00D95A72" w:rsidP="00D95A72">
            <w:pPr>
              <w:spacing w:after="0" w:line="240" w:lineRule="auto"/>
              <w:jc w:val="center"/>
              <w:rPr>
                <w:rFonts w:eastAsia="Times New Roman" w:cs="Calibri"/>
                <w:color w:val="000000"/>
                <w:sz w:val="18"/>
                <w:szCs w:val="18"/>
                <w:lang w:eastAsia="es-CR"/>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2282B" w14:textId="77777777" w:rsidR="00D95A72" w:rsidRPr="00847698" w:rsidRDefault="00D95A72" w:rsidP="00D95A72">
            <w:pPr>
              <w:spacing w:after="0" w:line="240" w:lineRule="auto"/>
              <w:jc w:val="center"/>
              <w:rPr>
                <w:rFonts w:eastAsia="Times New Roman" w:cs="Calibri"/>
                <w:color w:val="000000"/>
                <w:sz w:val="18"/>
                <w:szCs w:val="18"/>
                <w:lang w:eastAsia="es-CR"/>
              </w:rPr>
            </w:pP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BFF85" w14:textId="3C476550" w:rsidR="00D95A72" w:rsidRPr="00D95A72" w:rsidRDefault="00D95A72" w:rsidP="00D95A72">
            <w:pPr>
              <w:spacing w:after="0" w:line="240" w:lineRule="auto"/>
              <w:jc w:val="right"/>
              <w:rPr>
                <w:rFonts w:cs="Arial"/>
                <w:color w:val="000000"/>
                <w:sz w:val="18"/>
                <w:szCs w:val="18"/>
              </w:rPr>
            </w:pPr>
            <w:r w:rsidRPr="00D95A72">
              <w:rPr>
                <w:rFonts w:cs="Arial"/>
                <w:color w:val="000000"/>
                <w:sz w:val="18"/>
                <w:szCs w:val="18"/>
              </w:rPr>
              <w:t xml:space="preserve">                             118 853,12 </w:t>
            </w:r>
          </w:p>
        </w:tc>
      </w:tr>
      <w:tr w:rsidR="00D95A72" w:rsidRPr="00680DAC" w14:paraId="6EE24465" w14:textId="77777777" w:rsidTr="004653E2">
        <w:trPr>
          <w:gridAfter w:val="1"/>
          <w:wAfter w:w="23" w:type="dxa"/>
          <w:trHeight w:val="118"/>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3CA1A" w14:textId="1461FBFF" w:rsidR="00D95A72" w:rsidRPr="00680DAC" w:rsidRDefault="00D95A72" w:rsidP="00D95A72">
            <w:pPr>
              <w:spacing w:after="0" w:line="240" w:lineRule="auto"/>
              <w:jc w:val="left"/>
              <w:rPr>
                <w:rFonts w:eastAsia="Times New Roman" w:cs="Calibri"/>
                <w:color w:val="000000"/>
                <w:sz w:val="16"/>
                <w:lang w:eastAsia="es-CR"/>
              </w:rPr>
            </w:pPr>
            <w:r w:rsidRPr="00C34499">
              <w:rPr>
                <w:rFonts w:eastAsia="Times New Roman" w:cs="Calibri"/>
                <w:color w:val="000000"/>
                <w:sz w:val="18"/>
                <w:szCs w:val="18"/>
                <w:lang w:val="en-US"/>
              </w:rPr>
              <w:t>2.1.1.03.</w:t>
            </w:r>
          </w:p>
        </w:tc>
        <w:tc>
          <w:tcPr>
            <w:tcW w:w="20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FD2E06" w14:textId="06A02625" w:rsidR="00D95A72" w:rsidRPr="00680DAC" w:rsidRDefault="00D95A72" w:rsidP="00D95A72">
            <w:pPr>
              <w:spacing w:after="0" w:line="240" w:lineRule="auto"/>
              <w:jc w:val="left"/>
              <w:rPr>
                <w:rFonts w:eastAsia="Times New Roman" w:cs="Calibri"/>
                <w:color w:val="000000"/>
                <w:sz w:val="16"/>
                <w:lang w:eastAsia="es-CR"/>
              </w:rPr>
            </w:pPr>
            <w:r w:rsidRPr="00C34499">
              <w:rPr>
                <w:rFonts w:eastAsia="Times New Roman" w:cs="Calibri"/>
                <w:color w:val="000000"/>
                <w:sz w:val="18"/>
                <w:szCs w:val="18"/>
              </w:rPr>
              <w:t>Transferencias a pagar a corto plazo</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DB6936" w14:textId="53FCC26D" w:rsidR="00D95A72" w:rsidRPr="00847698" w:rsidRDefault="00D95A72" w:rsidP="00D95A72">
            <w:pPr>
              <w:spacing w:after="0" w:line="240" w:lineRule="auto"/>
              <w:jc w:val="right"/>
              <w:rPr>
                <w:rFonts w:cs="Arial"/>
                <w:color w:val="000000"/>
                <w:sz w:val="18"/>
                <w:szCs w:val="18"/>
              </w:rPr>
            </w:pPr>
            <w:r>
              <w:rPr>
                <w:rFonts w:cs="Arial"/>
                <w:color w:val="000000"/>
                <w:sz w:val="18"/>
                <w:szCs w:val="18"/>
              </w:rPr>
              <w:t>-</w:t>
            </w:r>
          </w:p>
        </w:tc>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5FE59A" w14:textId="77777777" w:rsidR="00D95A72" w:rsidRPr="00847698" w:rsidRDefault="00D95A72" w:rsidP="00D95A72">
            <w:pPr>
              <w:spacing w:after="0" w:line="240" w:lineRule="auto"/>
              <w:jc w:val="center"/>
              <w:rPr>
                <w:rFonts w:eastAsia="Times New Roman" w:cs="Calibri"/>
                <w:color w:val="000000"/>
                <w:sz w:val="18"/>
                <w:szCs w:val="18"/>
                <w:lang w:eastAsia="es-CR"/>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F82C7F" w14:textId="15B8B9D1" w:rsidR="00D95A72" w:rsidRPr="00847698" w:rsidRDefault="00D95A72" w:rsidP="00D95A72">
            <w:pPr>
              <w:spacing w:after="0" w:line="240" w:lineRule="auto"/>
              <w:jc w:val="center"/>
              <w:rPr>
                <w:rFonts w:eastAsia="Times New Roman" w:cs="Calibri"/>
                <w:color w:val="000000"/>
                <w:sz w:val="18"/>
                <w:szCs w:val="18"/>
                <w:lang w:eastAsia="es-CR"/>
              </w:rPr>
            </w:pPr>
            <w:r>
              <w:rPr>
                <w:rFonts w:cs="Arial"/>
                <w:color w:val="000000"/>
                <w:sz w:val="18"/>
                <w:szCs w:val="18"/>
              </w:rPr>
              <w:t>39</w:t>
            </w:r>
            <w:r w:rsidRPr="00847698">
              <w:rPr>
                <w:rFonts w:cs="Arial"/>
                <w:color w:val="000000"/>
                <w:sz w:val="18"/>
                <w:szCs w:val="18"/>
              </w:rPr>
              <w:t xml:space="preserve"> </w:t>
            </w:r>
            <w:r>
              <w:rPr>
                <w:rFonts w:cs="Arial"/>
                <w:color w:val="000000"/>
                <w:sz w:val="18"/>
                <w:szCs w:val="18"/>
              </w:rPr>
              <w:t>365</w:t>
            </w:r>
            <w:r w:rsidRPr="00847698">
              <w:rPr>
                <w:rFonts w:cs="Arial"/>
                <w:color w:val="000000"/>
                <w:sz w:val="18"/>
                <w:szCs w:val="18"/>
              </w:rPr>
              <w:t>,9</w:t>
            </w:r>
            <w:r>
              <w:rPr>
                <w:rFonts w:cs="Arial"/>
                <w:color w:val="000000"/>
                <w:sz w:val="18"/>
                <w:szCs w:val="18"/>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CFDF06" w14:textId="63E9A701" w:rsidR="00D95A72" w:rsidRPr="00847698" w:rsidRDefault="00D95A72" w:rsidP="00D95A72">
            <w:pPr>
              <w:spacing w:after="0" w:line="240" w:lineRule="auto"/>
              <w:jc w:val="right"/>
              <w:rPr>
                <w:rFonts w:eastAsia="Times New Roman" w:cs="Calibri"/>
                <w:color w:val="000000"/>
                <w:sz w:val="18"/>
                <w:szCs w:val="18"/>
                <w:lang w:eastAsia="es-CR"/>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BCFAE" w14:textId="77777777" w:rsidR="00D95A72" w:rsidRPr="00847698" w:rsidRDefault="00D95A72" w:rsidP="00D95A72">
            <w:pPr>
              <w:spacing w:after="0" w:line="240" w:lineRule="auto"/>
              <w:jc w:val="center"/>
              <w:rPr>
                <w:rFonts w:eastAsia="Times New Roman" w:cs="Calibri"/>
                <w:color w:val="000000"/>
                <w:sz w:val="18"/>
                <w:szCs w:val="18"/>
                <w:lang w:eastAsia="es-CR"/>
              </w:rPr>
            </w:pP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4B32A1" w14:textId="0451205B" w:rsidR="00D95A72" w:rsidRPr="00D95A72" w:rsidRDefault="00D95A72" w:rsidP="00D95A72">
            <w:pPr>
              <w:spacing w:after="0" w:line="240" w:lineRule="auto"/>
              <w:jc w:val="right"/>
              <w:rPr>
                <w:rFonts w:cs="Arial"/>
                <w:color w:val="000000"/>
                <w:sz w:val="18"/>
                <w:szCs w:val="18"/>
              </w:rPr>
            </w:pPr>
            <w:r w:rsidRPr="00D95A72">
              <w:rPr>
                <w:rFonts w:cs="Arial"/>
                <w:color w:val="000000"/>
                <w:sz w:val="18"/>
                <w:szCs w:val="18"/>
              </w:rPr>
              <w:t xml:space="preserve">                               39 365,96 </w:t>
            </w:r>
          </w:p>
        </w:tc>
      </w:tr>
      <w:tr w:rsidR="00D95A72" w:rsidRPr="00680DAC" w14:paraId="67CC2A26" w14:textId="77777777" w:rsidTr="00D95A72">
        <w:trPr>
          <w:gridAfter w:val="1"/>
          <w:wAfter w:w="23" w:type="dxa"/>
          <w:trHeight w:val="118"/>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66C4D5" w14:textId="27558189" w:rsidR="00D95A72" w:rsidRPr="00680DAC" w:rsidRDefault="00D95A72" w:rsidP="00D95A72">
            <w:pPr>
              <w:spacing w:after="0" w:line="240" w:lineRule="auto"/>
              <w:jc w:val="left"/>
              <w:rPr>
                <w:rFonts w:eastAsia="Times New Roman" w:cs="Calibri"/>
                <w:color w:val="000000"/>
                <w:sz w:val="16"/>
                <w:lang w:eastAsia="es-CR"/>
              </w:rPr>
            </w:pPr>
            <w:r w:rsidRPr="00C34499">
              <w:rPr>
                <w:rFonts w:eastAsia="Times New Roman" w:cs="Calibri"/>
                <w:color w:val="000000"/>
                <w:sz w:val="18"/>
                <w:szCs w:val="18"/>
                <w:lang w:val="en-US"/>
              </w:rPr>
              <w:t>2.1.2.02.</w:t>
            </w:r>
          </w:p>
        </w:tc>
        <w:tc>
          <w:tcPr>
            <w:tcW w:w="20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A202D" w14:textId="6EEA6F63" w:rsidR="00D95A72" w:rsidRPr="00680DAC" w:rsidRDefault="00D95A72" w:rsidP="00D95A72">
            <w:pPr>
              <w:spacing w:after="0" w:line="240" w:lineRule="auto"/>
              <w:jc w:val="left"/>
              <w:rPr>
                <w:rFonts w:eastAsia="Times New Roman" w:cs="Calibri"/>
                <w:color w:val="000000"/>
                <w:sz w:val="16"/>
                <w:lang w:eastAsia="es-CR"/>
              </w:rPr>
            </w:pPr>
            <w:r w:rsidRPr="00C34499">
              <w:rPr>
                <w:rFonts w:eastAsia="Times New Roman" w:cs="Calibri"/>
                <w:color w:val="000000"/>
                <w:sz w:val="18"/>
                <w:szCs w:val="18"/>
              </w:rPr>
              <w:t>Préstamos a pagar a corto plazo</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D167D8" w14:textId="2E099805" w:rsidR="00D95A72" w:rsidRPr="00847698" w:rsidRDefault="00D95A72" w:rsidP="00D95A72">
            <w:pPr>
              <w:spacing w:after="0" w:line="240" w:lineRule="auto"/>
              <w:jc w:val="right"/>
              <w:rPr>
                <w:rFonts w:cs="Arial"/>
                <w:color w:val="000000"/>
                <w:sz w:val="18"/>
                <w:szCs w:val="18"/>
              </w:rPr>
            </w:pPr>
            <w:r>
              <w:rPr>
                <w:rFonts w:cs="Arial"/>
                <w:color w:val="000000"/>
                <w:sz w:val="18"/>
                <w:szCs w:val="18"/>
              </w:rPr>
              <w:t>-</w:t>
            </w:r>
          </w:p>
        </w:tc>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8988EF" w14:textId="77777777" w:rsidR="00D95A72" w:rsidRPr="00847698" w:rsidRDefault="00D95A72" w:rsidP="00D95A72">
            <w:pPr>
              <w:spacing w:after="0" w:line="240" w:lineRule="auto"/>
              <w:jc w:val="center"/>
              <w:rPr>
                <w:rFonts w:eastAsia="Times New Roman" w:cs="Calibri"/>
                <w:color w:val="000000"/>
                <w:sz w:val="18"/>
                <w:szCs w:val="18"/>
                <w:lang w:eastAsia="es-CR"/>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570CE5" w14:textId="03389296" w:rsidR="00D95A72" w:rsidRPr="00847698" w:rsidRDefault="00D95A72" w:rsidP="00D95A72">
            <w:pPr>
              <w:spacing w:after="0" w:line="240" w:lineRule="auto"/>
              <w:jc w:val="center"/>
              <w:rPr>
                <w:rFonts w:eastAsia="Times New Roman" w:cs="Calibri"/>
                <w:color w:val="000000"/>
                <w:sz w:val="18"/>
                <w:szCs w:val="18"/>
                <w:lang w:eastAsia="es-CR"/>
              </w:rPr>
            </w:pPr>
            <w:r>
              <w:rPr>
                <w:rFonts w:eastAsia="Times New Roman" w:cs="Calibri"/>
                <w:color w:val="000000"/>
                <w:sz w:val="18"/>
                <w:szCs w:val="18"/>
                <w:lang w:eastAsia="es-CR"/>
              </w:rPr>
              <w:t>485 546,60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67F63" w14:textId="2C5C3AF7" w:rsidR="00D95A72" w:rsidRPr="00847698" w:rsidRDefault="00D95A72" w:rsidP="00D95A72">
            <w:pPr>
              <w:spacing w:after="0" w:line="240" w:lineRule="auto"/>
              <w:jc w:val="right"/>
              <w:rPr>
                <w:rFonts w:eastAsia="Times New Roman" w:cs="Calibri"/>
                <w:color w:val="000000"/>
                <w:sz w:val="18"/>
                <w:szCs w:val="18"/>
                <w:lang w:eastAsia="es-CR"/>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A1DCC4" w14:textId="77777777" w:rsidR="00D95A72" w:rsidRPr="00847698" w:rsidRDefault="00D95A72" w:rsidP="00D95A72">
            <w:pPr>
              <w:spacing w:after="0" w:line="240" w:lineRule="auto"/>
              <w:jc w:val="center"/>
              <w:rPr>
                <w:rFonts w:eastAsia="Times New Roman" w:cs="Calibri"/>
                <w:color w:val="000000"/>
                <w:sz w:val="18"/>
                <w:szCs w:val="18"/>
                <w:lang w:eastAsia="es-CR"/>
              </w:rPr>
            </w:pP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9F494F" w14:textId="06D3DFE8" w:rsidR="00D95A72" w:rsidRPr="00D95A72" w:rsidRDefault="00D95A72" w:rsidP="00D95A72">
            <w:pPr>
              <w:spacing w:after="0" w:line="240" w:lineRule="auto"/>
              <w:jc w:val="right"/>
              <w:rPr>
                <w:rFonts w:cs="Arial"/>
                <w:color w:val="000000"/>
                <w:sz w:val="18"/>
                <w:szCs w:val="18"/>
              </w:rPr>
            </w:pPr>
            <w:r w:rsidRPr="00D95A72">
              <w:rPr>
                <w:rFonts w:cs="Arial"/>
                <w:color w:val="000000"/>
                <w:sz w:val="18"/>
                <w:szCs w:val="18"/>
              </w:rPr>
              <w:t xml:space="preserve">                             485 546,60 </w:t>
            </w:r>
          </w:p>
        </w:tc>
      </w:tr>
      <w:tr w:rsidR="00D95A72" w:rsidRPr="00680DAC" w14:paraId="072960F2" w14:textId="77777777" w:rsidTr="00D95A72">
        <w:trPr>
          <w:gridAfter w:val="1"/>
          <w:wAfter w:w="23" w:type="dxa"/>
          <w:trHeight w:val="118"/>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79D477" w14:textId="2B96BD85" w:rsidR="00D95A72" w:rsidRPr="00680DAC" w:rsidRDefault="00D95A72" w:rsidP="00D95A72">
            <w:pPr>
              <w:spacing w:after="0" w:line="240" w:lineRule="auto"/>
              <w:jc w:val="left"/>
              <w:rPr>
                <w:rFonts w:eastAsia="Times New Roman" w:cs="Calibri"/>
                <w:color w:val="000000"/>
                <w:sz w:val="16"/>
                <w:lang w:eastAsia="es-CR"/>
              </w:rPr>
            </w:pPr>
            <w:r w:rsidRPr="00C34499">
              <w:rPr>
                <w:rFonts w:eastAsia="Times New Roman" w:cs="Calibri"/>
                <w:color w:val="000000"/>
                <w:sz w:val="18"/>
                <w:szCs w:val="18"/>
                <w:lang w:val="en-US"/>
              </w:rPr>
              <w:t>2.1.3.03.</w:t>
            </w:r>
          </w:p>
        </w:tc>
        <w:tc>
          <w:tcPr>
            <w:tcW w:w="20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D898D8" w14:textId="0E91040C" w:rsidR="00D95A72" w:rsidRPr="00680DAC" w:rsidRDefault="00D95A72" w:rsidP="00D95A72">
            <w:pPr>
              <w:spacing w:after="0" w:line="240" w:lineRule="auto"/>
              <w:jc w:val="left"/>
              <w:rPr>
                <w:rFonts w:eastAsia="Times New Roman" w:cs="Calibri"/>
                <w:color w:val="000000"/>
                <w:sz w:val="16"/>
                <w:lang w:eastAsia="es-CR"/>
              </w:rPr>
            </w:pPr>
            <w:r w:rsidRPr="00C34499">
              <w:rPr>
                <w:rFonts w:eastAsia="Times New Roman" w:cs="Calibri"/>
                <w:color w:val="000000"/>
                <w:sz w:val="18"/>
                <w:szCs w:val="18"/>
                <w:lang w:val="en-US"/>
              </w:rPr>
              <w:t>Depósitos en garantía</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6C787B" w14:textId="7C314B61" w:rsidR="00D95A72" w:rsidRPr="00847698" w:rsidRDefault="00D95A72" w:rsidP="00D95A72">
            <w:pPr>
              <w:spacing w:after="0" w:line="240" w:lineRule="auto"/>
              <w:jc w:val="right"/>
              <w:rPr>
                <w:rFonts w:cs="Arial"/>
                <w:color w:val="000000"/>
                <w:sz w:val="18"/>
                <w:szCs w:val="18"/>
              </w:rPr>
            </w:pPr>
            <w:r w:rsidRPr="00847698">
              <w:rPr>
                <w:rFonts w:cs="Arial"/>
                <w:color w:val="000000"/>
                <w:sz w:val="18"/>
                <w:szCs w:val="18"/>
              </w:rPr>
              <w:t>5</w:t>
            </w:r>
            <w:r>
              <w:rPr>
                <w:rFonts w:cs="Arial"/>
                <w:color w:val="000000"/>
                <w:sz w:val="18"/>
                <w:szCs w:val="18"/>
              </w:rPr>
              <w:t>8</w:t>
            </w:r>
            <w:r w:rsidRPr="00847698">
              <w:rPr>
                <w:rFonts w:cs="Arial"/>
                <w:color w:val="000000"/>
                <w:sz w:val="18"/>
                <w:szCs w:val="18"/>
              </w:rPr>
              <w:t xml:space="preserve"> </w:t>
            </w:r>
            <w:r>
              <w:rPr>
                <w:rFonts w:cs="Arial"/>
                <w:color w:val="000000"/>
                <w:sz w:val="18"/>
                <w:szCs w:val="18"/>
              </w:rPr>
              <w:t>7</w:t>
            </w:r>
            <w:r w:rsidRPr="00847698">
              <w:rPr>
                <w:rFonts w:cs="Arial"/>
                <w:color w:val="000000"/>
                <w:sz w:val="18"/>
                <w:szCs w:val="18"/>
              </w:rPr>
              <w:t>2</w:t>
            </w:r>
            <w:r>
              <w:rPr>
                <w:rFonts w:cs="Arial"/>
                <w:color w:val="000000"/>
                <w:sz w:val="18"/>
                <w:szCs w:val="18"/>
              </w:rPr>
              <w:t>4</w:t>
            </w:r>
            <w:r w:rsidRPr="00847698">
              <w:rPr>
                <w:rFonts w:cs="Arial"/>
                <w:color w:val="000000"/>
                <w:sz w:val="18"/>
                <w:szCs w:val="18"/>
              </w:rPr>
              <w:t>,</w:t>
            </w:r>
            <w:r>
              <w:rPr>
                <w:rFonts w:cs="Arial"/>
                <w:color w:val="000000"/>
                <w:sz w:val="18"/>
                <w:szCs w:val="18"/>
              </w:rPr>
              <w:t>40</w:t>
            </w:r>
          </w:p>
        </w:tc>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56AA45" w14:textId="77777777" w:rsidR="00D95A72" w:rsidRPr="00847698" w:rsidRDefault="00D95A72" w:rsidP="00D95A72">
            <w:pPr>
              <w:spacing w:after="0" w:line="240" w:lineRule="auto"/>
              <w:jc w:val="center"/>
              <w:rPr>
                <w:rFonts w:eastAsia="Times New Roman" w:cs="Calibri"/>
                <w:color w:val="000000"/>
                <w:sz w:val="18"/>
                <w:szCs w:val="18"/>
                <w:lang w:eastAsia="es-CR"/>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CF23FB" w14:textId="77777777" w:rsidR="00D95A72" w:rsidRPr="00847698" w:rsidRDefault="00D95A72" w:rsidP="00D95A72">
            <w:pPr>
              <w:spacing w:after="0" w:line="240" w:lineRule="auto"/>
              <w:jc w:val="center"/>
              <w:rPr>
                <w:rFonts w:eastAsia="Times New Roman" w:cs="Calibri"/>
                <w:color w:val="000000"/>
                <w:sz w:val="18"/>
                <w:szCs w:val="18"/>
                <w:lang w:eastAsia="es-CR"/>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44B64" w14:textId="77777777" w:rsidR="00D95A72" w:rsidRPr="00847698" w:rsidRDefault="00D95A72" w:rsidP="00D95A72">
            <w:pPr>
              <w:spacing w:after="0" w:line="240" w:lineRule="auto"/>
              <w:jc w:val="center"/>
              <w:rPr>
                <w:rFonts w:eastAsia="Times New Roman" w:cs="Calibri"/>
                <w:color w:val="000000"/>
                <w:sz w:val="18"/>
                <w:szCs w:val="18"/>
                <w:lang w:eastAsia="es-CR"/>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ED3B28" w14:textId="77777777" w:rsidR="00D95A72" w:rsidRPr="00847698" w:rsidRDefault="00D95A72" w:rsidP="00D95A72">
            <w:pPr>
              <w:spacing w:after="0" w:line="240" w:lineRule="auto"/>
              <w:jc w:val="center"/>
              <w:rPr>
                <w:rFonts w:eastAsia="Times New Roman" w:cs="Calibri"/>
                <w:color w:val="000000"/>
                <w:sz w:val="18"/>
                <w:szCs w:val="18"/>
                <w:lang w:eastAsia="es-CR"/>
              </w:rPr>
            </w:pP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0342E0" w14:textId="3293192E" w:rsidR="00D95A72" w:rsidRPr="00D95A72" w:rsidRDefault="00D95A72" w:rsidP="00D95A72">
            <w:pPr>
              <w:spacing w:after="0" w:line="240" w:lineRule="auto"/>
              <w:jc w:val="right"/>
              <w:rPr>
                <w:rFonts w:cs="Arial"/>
                <w:color w:val="000000"/>
                <w:sz w:val="18"/>
                <w:szCs w:val="18"/>
              </w:rPr>
            </w:pPr>
            <w:r w:rsidRPr="00D95A72">
              <w:rPr>
                <w:rFonts w:cs="Arial"/>
                <w:color w:val="000000"/>
                <w:sz w:val="18"/>
                <w:szCs w:val="18"/>
              </w:rPr>
              <w:t xml:space="preserve">                               58 724,40 </w:t>
            </w:r>
          </w:p>
        </w:tc>
      </w:tr>
      <w:tr w:rsidR="00D95A72" w:rsidRPr="00680DAC" w14:paraId="134B1700" w14:textId="77777777" w:rsidTr="00D95A72">
        <w:trPr>
          <w:gridAfter w:val="1"/>
          <w:wAfter w:w="23" w:type="dxa"/>
          <w:trHeight w:val="118"/>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5CAA57" w14:textId="311718CB" w:rsidR="00D95A72" w:rsidRPr="00680DAC" w:rsidRDefault="00D95A72" w:rsidP="00D95A72">
            <w:pPr>
              <w:spacing w:after="0" w:line="240" w:lineRule="auto"/>
              <w:jc w:val="left"/>
              <w:rPr>
                <w:rFonts w:eastAsia="Times New Roman" w:cs="Calibri"/>
                <w:color w:val="000000"/>
                <w:sz w:val="16"/>
                <w:lang w:eastAsia="es-CR"/>
              </w:rPr>
            </w:pPr>
            <w:r w:rsidRPr="00C34499">
              <w:rPr>
                <w:rFonts w:eastAsia="Times New Roman" w:cs="Calibri"/>
                <w:color w:val="000000"/>
                <w:sz w:val="18"/>
                <w:szCs w:val="18"/>
                <w:lang w:val="en-US"/>
              </w:rPr>
              <w:t>2.2.2.02.</w:t>
            </w:r>
          </w:p>
        </w:tc>
        <w:tc>
          <w:tcPr>
            <w:tcW w:w="20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FFBAA6" w14:textId="1B7E7F1E" w:rsidR="00D95A72" w:rsidRPr="00680DAC" w:rsidRDefault="00D95A72" w:rsidP="00D95A72">
            <w:pPr>
              <w:spacing w:after="0" w:line="240" w:lineRule="auto"/>
              <w:jc w:val="left"/>
              <w:rPr>
                <w:rFonts w:eastAsia="Times New Roman" w:cs="Calibri"/>
                <w:color w:val="000000"/>
                <w:sz w:val="16"/>
                <w:lang w:eastAsia="es-CR"/>
              </w:rPr>
            </w:pPr>
            <w:r w:rsidRPr="00C34499">
              <w:rPr>
                <w:rFonts w:eastAsia="Times New Roman" w:cs="Calibri"/>
                <w:color w:val="000000"/>
                <w:sz w:val="18"/>
                <w:szCs w:val="18"/>
              </w:rPr>
              <w:t>Préstamos a pagar a largo plazo</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A8537C" w14:textId="22BBB31B" w:rsidR="00D95A72" w:rsidRPr="00847698" w:rsidRDefault="00D95A72" w:rsidP="00D95A72">
            <w:pPr>
              <w:spacing w:after="0" w:line="240" w:lineRule="auto"/>
              <w:jc w:val="right"/>
              <w:rPr>
                <w:rFonts w:cs="Arial"/>
                <w:color w:val="000000"/>
                <w:sz w:val="18"/>
                <w:szCs w:val="18"/>
              </w:rPr>
            </w:pPr>
            <w:r>
              <w:rPr>
                <w:rFonts w:cs="Arial"/>
                <w:color w:val="000000"/>
                <w:sz w:val="18"/>
                <w:szCs w:val="18"/>
              </w:rPr>
              <w:t>-</w:t>
            </w:r>
          </w:p>
        </w:tc>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97AC71" w14:textId="77777777" w:rsidR="00D95A72" w:rsidRPr="00847698" w:rsidRDefault="00D95A72" w:rsidP="00D95A72">
            <w:pPr>
              <w:spacing w:after="0" w:line="240" w:lineRule="auto"/>
              <w:jc w:val="center"/>
              <w:rPr>
                <w:rFonts w:eastAsia="Times New Roman" w:cs="Calibri"/>
                <w:color w:val="000000"/>
                <w:sz w:val="18"/>
                <w:szCs w:val="18"/>
                <w:lang w:eastAsia="es-CR"/>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F3036" w14:textId="77777777" w:rsidR="00D95A72" w:rsidRPr="00847698" w:rsidRDefault="00D95A72" w:rsidP="00D95A72">
            <w:pPr>
              <w:spacing w:after="0" w:line="240" w:lineRule="auto"/>
              <w:jc w:val="center"/>
              <w:rPr>
                <w:rFonts w:eastAsia="Times New Roman" w:cs="Calibri"/>
                <w:color w:val="000000"/>
                <w:sz w:val="18"/>
                <w:szCs w:val="18"/>
                <w:lang w:eastAsia="es-CR"/>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A95432" w14:textId="77777777" w:rsidR="00D95A72" w:rsidRPr="00847698" w:rsidRDefault="00D95A72" w:rsidP="00D95A72">
            <w:pPr>
              <w:spacing w:after="0" w:line="240" w:lineRule="auto"/>
              <w:jc w:val="center"/>
              <w:rPr>
                <w:rFonts w:eastAsia="Times New Roman" w:cs="Calibri"/>
                <w:color w:val="000000"/>
                <w:sz w:val="18"/>
                <w:szCs w:val="18"/>
                <w:lang w:eastAsia="es-CR"/>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0FCE10" w14:textId="4DD8A51C" w:rsidR="00D95A72" w:rsidRPr="00847698" w:rsidRDefault="00D95A72" w:rsidP="00D95A72">
            <w:pPr>
              <w:spacing w:after="0" w:line="240" w:lineRule="auto"/>
              <w:jc w:val="right"/>
              <w:rPr>
                <w:rFonts w:eastAsia="Times New Roman" w:cs="Calibri"/>
                <w:color w:val="000000"/>
                <w:sz w:val="18"/>
                <w:szCs w:val="18"/>
                <w:lang w:eastAsia="es-CR"/>
              </w:rPr>
            </w:pPr>
            <w:r w:rsidRPr="00847698">
              <w:rPr>
                <w:rFonts w:cs="Arial"/>
                <w:color w:val="000000"/>
                <w:sz w:val="18"/>
                <w:szCs w:val="18"/>
              </w:rPr>
              <w:t>1 0</w:t>
            </w:r>
            <w:r>
              <w:rPr>
                <w:rFonts w:cs="Arial"/>
                <w:color w:val="000000"/>
                <w:sz w:val="18"/>
                <w:szCs w:val="18"/>
              </w:rPr>
              <w:t>98 005,36</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13C18" w14:textId="55085ECF" w:rsidR="00D95A72" w:rsidRPr="00D95A72" w:rsidRDefault="00D95A72" w:rsidP="00D95A72">
            <w:pPr>
              <w:spacing w:after="0" w:line="240" w:lineRule="auto"/>
              <w:jc w:val="right"/>
              <w:rPr>
                <w:rFonts w:cs="Arial"/>
                <w:color w:val="000000"/>
                <w:sz w:val="18"/>
                <w:szCs w:val="18"/>
              </w:rPr>
            </w:pPr>
            <w:r w:rsidRPr="00D95A72">
              <w:rPr>
                <w:rFonts w:cs="Arial"/>
                <w:color w:val="000000"/>
                <w:sz w:val="18"/>
                <w:szCs w:val="18"/>
              </w:rPr>
              <w:t xml:space="preserve">                          1 098 005,36 </w:t>
            </w:r>
          </w:p>
        </w:tc>
      </w:tr>
      <w:tr w:rsidR="00847698" w:rsidRPr="00680DAC" w14:paraId="2F7876EA" w14:textId="77777777" w:rsidTr="00D95A72">
        <w:trPr>
          <w:gridAfter w:val="1"/>
          <w:wAfter w:w="23" w:type="dxa"/>
          <w:trHeight w:val="413"/>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F8FADD" w14:textId="77777777" w:rsidR="00847698" w:rsidRPr="00847698" w:rsidRDefault="00847698" w:rsidP="00847698">
            <w:pPr>
              <w:spacing w:after="0" w:line="240" w:lineRule="auto"/>
              <w:jc w:val="left"/>
              <w:rPr>
                <w:rFonts w:eastAsia="Times New Roman" w:cs="Calibri"/>
                <w:color w:val="000000"/>
                <w:sz w:val="18"/>
                <w:szCs w:val="18"/>
                <w:lang w:val="en-US"/>
              </w:rPr>
            </w:pPr>
          </w:p>
        </w:tc>
        <w:tc>
          <w:tcPr>
            <w:tcW w:w="20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CAA5B" w14:textId="28CA1211" w:rsidR="00847698" w:rsidRPr="00847698" w:rsidRDefault="00847698" w:rsidP="00847698">
            <w:pPr>
              <w:spacing w:after="0" w:line="240" w:lineRule="auto"/>
              <w:jc w:val="center"/>
              <w:rPr>
                <w:rFonts w:eastAsia="Times New Roman" w:cs="Calibri"/>
                <w:b/>
                <w:bCs/>
                <w:color w:val="000000"/>
                <w:sz w:val="18"/>
                <w:szCs w:val="18"/>
              </w:rPr>
            </w:pPr>
            <w:r w:rsidRPr="00847698">
              <w:rPr>
                <w:rFonts w:eastAsia="Times New Roman" w:cs="Calibri"/>
                <w:b/>
                <w:bCs/>
                <w:color w:val="000000"/>
                <w:sz w:val="18"/>
                <w:szCs w:val="18"/>
              </w:rPr>
              <w:t>TOTALES</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E03623" w14:textId="677E0BB8" w:rsidR="00847698" w:rsidRPr="00847698" w:rsidRDefault="00847698" w:rsidP="00847698">
            <w:pPr>
              <w:spacing w:after="0" w:line="240" w:lineRule="auto"/>
              <w:jc w:val="right"/>
              <w:rPr>
                <w:rFonts w:cs="Arial"/>
                <w:b/>
                <w:bCs/>
                <w:color w:val="000000"/>
                <w:sz w:val="18"/>
                <w:szCs w:val="18"/>
              </w:rPr>
            </w:pPr>
            <w:r w:rsidRPr="00847698">
              <w:rPr>
                <w:rFonts w:ascii="Arial" w:hAnsi="Arial" w:cs="Arial"/>
                <w:b/>
                <w:bCs/>
                <w:color w:val="000000"/>
                <w:sz w:val="18"/>
                <w:szCs w:val="18"/>
              </w:rPr>
              <w:t>₡</w:t>
            </w:r>
            <w:r w:rsidRPr="00847698">
              <w:rPr>
                <w:rFonts w:cs="Arial"/>
                <w:b/>
                <w:bCs/>
                <w:color w:val="000000"/>
                <w:sz w:val="18"/>
                <w:szCs w:val="18"/>
              </w:rPr>
              <w:t>2</w:t>
            </w:r>
            <w:r w:rsidR="00FC0998">
              <w:rPr>
                <w:rFonts w:cs="Arial"/>
                <w:b/>
                <w:bCs/>
                <w:color w:val="000000"/>
                <w:sz w:val="18"/>
                <w:szCs w:val="18"/>
              </w:rPr>
              <w:t>70</w:t>
            </w:r>
            <w:r w:rsidRPr="00847698">
              <w:rPr>
                <w:rFonts w:cs="Arial"/>
                <w:b/>
                <w:bCs/>
                <w:color w:val="000000"/>
                <w:sz w:val="18"/>
                <w:szCs w:val="18"/>
              </w:rPr>
              <w:t> 4</w:t>
            </w:r>
            <w:r w:rsidR="00FC0998">
              <w:rPr>
                <w:rFonts w:cs="Arial"/>
                <w:b/>
                <w:bCs/>
                <w:color w:val="000000"/>
                <w:sz w:val="18"/>
                <w:szCs w:val="18"/>
              </w:rPr>
              <w:t>09</w:t>
            </w:r>
            <w:r w:rsidRPr="00847698">
              <w:rPr>
                <w:rFonts w:cs="Arial"/>
                <w:b/>
                <w:bCs/>
                <w:color w:val="000000"/>
                <w:sz w:val="18"/>
                <w:szCs w:val="18"/>
              </w:rPr>
              <w:t>,</w:t>
            </w:r>
            <w:r w:rsidR="00FC0998">
              <w:rPr>
                <w:rFonts w:cs="Arial"/>
                <w:b/>
                <w:bCs/>
                <w:color w:val="000000"/>
                <w:sz w:val="18"/>
                <w:szCs w:val="18"/>
              </w:rPr>
              <w:t>37</w:t>
            </w:r>
          </w:p>
        </w:tc>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89955C" w14:textId="77777777" w:rsidR="00847698" w:rsidRPr="00847698" w:rsidRDefault="00847698" w:rsidP="00847698">
            <w:pPr>
              <w:spacing w:after="0" w:line="240" w:lineRule="auto"/>
              <w:jc w:val="center"/>
              <w:rPr>
                <w:rFonts w:eastAsia="Times New Roman" w:cs="Calibri"/>
                <w:color w:val="000000"/>
                <w:sz w:val="18"/>
                <w:szCs w:val="18"/>
                <w:lang w:eastAsia="es-CR"/>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33D08C" w14:textId="391BB14D" w:rsidR="00847698" w:rsidRPr="00847698" w:rsidRDefault="00FC0998" w:rsidP="00847698">
            <w:pPr>
              <w:spacing w:after="0" w:line="240" w:lineRule="auto"/>
              <w:jc w:val="center"/>
              <w:rPr>
                <w:rFonts w:eastAsia="Times New Roman" w:cs="Calibri"/>
                <w:color w:val="000000"/>
                <w:sz w:val="18"/>
                <w:szCs w:val="18"/>
                <w:lang w:eastAsia="es-CR"/>
              </w:rPr>
            </w:pPr>
            <w:r w:rsidRPr="00847698">
              <w:rPr>
                <w:rFonts w:ascii="Arial" w:hAnsi="Arial" w:cs="Arial"/>
                <w:b/>
                <w:bCs/>
                <w:color w:val="000000"/>
                <w:sz w:val="18"/>
                <w:szCs w:val="18"/>
              </w:rPr>
              <w:t>₡</w:t>
            </w:r>
            <w:r>
              <w:rPr>
                <w:rFonts w:cs="Arial"/>
                <w:b/>
                <w:bCs/>
                <w:color w:val="000000"/>
                <w:sz w:val="18"/>
                <w:szCs w:val="18"/>
              </w:rPr>
              <w:t>5</w:t>
            </w:r>
            <w:r w:rsidRPr="00847698">
              <w:rPr>
                <w:rFonts w:cs="Arial"/>
                <w:b/>
                <w:bCs/>
                <w:color w:val="000000"/>
                <w:sz w:val="18"/>
                <w:szCs w:val="18"/>
              </w:rPr>
              <w:t>24 91</w:t>
            </w:r>
            <w:r>
              <w:rPr>
                <w:rFonts w:cs="Arial"/>
                <w:b/>
                <w:bCs/>
                <w:color w:val="000000"/>
                <w:sz w:val="18"/>
                <w:szCs w:val="18"/>
              </w:rPr>
              <w:t>2</w:t>
            </w:r>
            <w:r w:rsidRPr="00847698">
              <w:rPr>
                <w:rFonts w:cs="Arial"/>
                <w:b/>
                <w:bCs/>
                <w:color w:val="000000"/>
                <w:sz w:val="18"/>
                <w:szCs w:val="18"/>
              </w:rPr>
              <w:t>,5</w:t>
            </w:r>
            <w:r>
              <w:rPr>
                <w:rFonts w:cs="Arial"/>
                <w:b/>
                <w:bCs/>
                <w:color w:val="000000"/>
                <w:sz w:val="18"/>
                <w:szCs w:val="18"/>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D47ACD" w14:textId="7F7518EA" w:rsidR="00847698" w:rsidRPr="00847698" w:rsidRDefault="00847698" w:rsidP="00847698">
            <w:pPr>
              <w:spacing w:after="0" w:line="240" w:lineRule="auto"/>
              <w:jc w:val="right"/>
              <w:rPr>
                <w:rFonts w:cs="Arial"/>
                <w:b/>
                <w:bCs/>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77F28C" w14:textId="27EB5C2F" w:rsidR="00847698" w:rsidRPr="00847698" w:rsidRDefault="00847698" w:rsidP="00847698">
            <w:pPr>
              <w:spacing w:after="0" w:line="240" w:lineRule="auto"/>
              <w:jc w:val="right"/>
              <w:rPr>
                <w:rFonts w:cs="Arial"/>
                <w:b/>
                <w:bCs/>
                <w:color w:val="000000"/>
                <w:sz w:val="18"/>
                <w:szCs w:val="18"/>
              </w:rPr>
            </w:pPr>
            <w:r w:rsidRPr="00847698">
              <w:rPr>
                <w:rFonts w:ascii="Arial" w:hAnsi="Arial" w:cs="Arial"/>
                <w:b/>
                <w:bCs/>
                <w:color w:val="000000"/>
                <w:sz w:val="18"/>
                <w:szCs w:val="18"/>
              </w:rPr>
              <w:t>₡</w:t>
            </w:r>
            <w:r w:rsidRPr="00847698">
              <w:rPr>
                <w:rFonts w:cs="Arial"/>
                <w:b/>
                <w:bCs/>
                <w:color w:val="000000"/>
                <w:sz w:val="18"/>
                <w:szCs w:val="18"/>
              </w:rPr>
              <w:t>1 0</w:t>
            </w:r>
            <w:r w:rsidR="00FC0998">
              <w:rPr>
                <w:rFonts w:cs="Arial"/>
                <w:b/>
                <w:bCs/>
                <w:color w:val="000000"/>
                <w:sz w:val="18"/>
                <w:szCs w:val="18"/>
              </w:rPr>
              <w:t>98</w:t>
            </w:r>
            <w:r w:rsidRPr="00847698">
              <w:rPr>
                <w:rFonts w:cs="Arial"/>
                <w:b/>
                <w:bCs/>
                <w:color w:val="000000"/>
                <w:sz w:val="18"/>
                <w:szCs w:val="18"/>
              </w:rPr>
              <w:t> </w:t>
            </w:r>
            <w:r w:rsidR="00FC0998">
              <w:rPr>
                <w:rFonts w:cs="Arial"/>
                <w:b/>
                <w:bCs/>
                <w:color w:val="000000"/>
                <w:sz w:val="18"/>
                <w:szCs w:val="18"/>
              </w:rPr>
              <w:t>005</w:t>
            </w:r>
            <w:r w:rsidRPr="00847698">
              <w:rPr>
                <w:rFonts w:cs="Arial"/>
                <w:b/>
                <w:bCs/>
                <w:color w:val="000000"/>
                <w:sz w:val="18"/>
                <w:szCs w:val="18"/>
              </w:rPr>
              <w:t>,</w:t>
            </w:r>
            <w:r w:rsidR="00FC0998">
              <w:rPr>
                <w:rFonts w:cs="Arial"/>
                <w:b/>
                <w:bCs/>
                <w:color w:val="000000"/>
                <w:sz w:val="18"/>
                <w:szCs w:val="18"/>
              </w:rPr>
              <w:t>36</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0CA2A" w14:textId="51300455" w:rsidR="00847698" w:rsidRPr="00847698" w:rsidRDefault="00847698" w:rsidP="00D95A72">
            <w:pPr>
              <w:spacing w:after="0" w:line="240" w:lineRule="auto"/>
              <w:rPr>
                <w:rFonts w:cs="Arial"/>
                <w:b/>
                <w:bCs/>
                <w:color w:val="000000"/>
                <w:sz w:val="18"/>
                <w:szCs w:val="18"/>
              </w:rPr>
            </w:pPr>
            <w:r w:rsidRPr="00847698">
              <w:rPr>
                <w:rFonts w:ascii="Arial" w:hAnsi="Arial" w:cs="Arial"/>
                <w:b/>
                <w:bCs/>
                <w:color w:val="000000"/>
                <w:sz w:val="18"/>
                <w:szCs w:val="18"/>
              </w:rPr>
              <w:t>₡</w:t>
            </w:r>
            <w:r w:rsidR="00FC0998">
              <w:rPr>
                <w:rFonts w:ascii="Arial" w:hAnsi="Arial" w:cs="Arial"/>
                <w:b/>
                <w:bCs/>
                <w:color w:val="000000"/>
                <w:sz w:val="18"/>
                <w:szCs w:val="18"/>
              </w:rPr>
              <w:t>1</w:t>
            </w:r>
            <w:r w:rsidRPr="00847698">
              <w:rPr>
                <w:rFonts w:cs="Arial"/>
                <w:b/>
                <w:bCs/>
                <w:color w:val="000000"/>
                <w:sz w:val="18"/>
                <w:szCs w:val="18"/>
              </w:rPr>
              <w:t xml:space="preserve"> </w:t>
            </w:r>
            <w:r w:rsidR="00FC0998">
              <w:rPr>
                <w:rFonts w:cs="Arial"/>
                <w:b/>
                <w:bCs/>
                <w:color w:val="000000"/>
                <w:sz w:val="18"/>
                <w:szCs w:val="18"/>
              </w:rPr>
              <w:t>893</w:t>
            </w:r>
            <w:r w:rsidRPr="00847698">
              <w:rPr>
                <w:rFonts w:cs="Arial"/>
                <w:b/>
                <w:bCs/>
                <w:color w:val="000000"/>
                <w:sz w:val="18"/>
                <w:szCs w:val="18"/>
              </w:rPr>
              <w:t xml:space="preserve"> </w:t>
            </w:r>
            <w:r w:rsidR="00D95A72">
              <w:rPr>
                <w:rFonts w:cs="Arial"/>
                <w:b/>
                <w:bCs/>
                <w:color w:val="000000"/>
                <w:sz w:val="18"/>
                <w:szCs w:val="18"/>
              </w:rPr>
              <w:t>327</w:t>
            </w:r>
            <w:r w:rsidRPr="00847698">
              <w:rPr>
                <w:rFonts w:cs="Arial"/>
                <w:b/>
                <w:bCs/>
                <w:color w:val="000000"/>
                <w:sz w:val="18"/>
                <w:szCs w:val="18"/>
              </w:rPr>
              <w:t>,</w:t>
            </w:r>
            <w:r w:rsidR="00D95A72">
              <w:rPr>
                <w:rFonts w:cs="Arial"/>
                <w:b/>
                <w:bCs/>
                <w:color w:val="000000"/>
                <w:sz w:val="18"/>
                <w:szCs w:val="18"/>
              </w:rPr>
              <w:t>29</w:t>
            </w:r>
          </w:p>
        </w:tc>
      </w:tr>
    </w:tbl>
    <w:p w14:paraId="5C707F98" w14:textId="77777777" w:rsidR="001D0A81" w:rsidRPr="00013D62" w:rsidRDefault="001D0A81" w:rsidP="00680DAC">
      <w:pPr>
        <w:rPr>
          <w:b/>
          <w:u w:val="single"/>
          <w:lang w:eastAsia="es-CR"/>
        </w:rPr>
      </w:pPr>
    </w:p>
    <w:p w14:paraId="69ABE955" w14:textId="77777777" w:rsidR="00BF7966" w:rsidRDefault="0008638E" w:rsidP="0008638E">
      <w:pPr>
        <w:spacing w:before="240"/>
        <w:rPr>
          <w:b/>
          <w:color w:val="FFFFFF" w:themeColor="background1"/>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76ABF095" w14:textId="0E56D923" w:rsidR="0008638E" w:rsidRDefault="00BF7966" w:rsidP="00BF7966">
      <w:pPr>
        <w:spacing w:before="240" w:line="240" w:lineRule="auto"/>
        <w:rPr>
          <w:lang w:val="es-MX"/>
        </w:rPr>
      </w:pPr>
      <w:r>
        <w:rPr>
          <w:lang w:val="es-MX"/>
        </w:rPr>
        <w:t>Los intereses relacionados con un instrumento financiero se reconocen como activo o pasivo y como ingresos o gastos, según lo que corresponda en el momento apropiado.</w:t>
      </w:r>
    </w:p>
    <w:p w14:paraId="62C20AC5" w14:textId="5C7CF78D" w:rsidR="00BF7966" w:rsidRDefault="00BF7966" w:rsidP="00BF7966">
      <w:pPr>
        <w:spacing w:before="240" w:line="240" w:lineRule="auto"/>
        <w:rPr>
          <w:lang w:val="es-MX"/>
        </w:rPr>
      </w:pPr>
      <w:r>
        <w:rPr>
          <w:lang w:val="es-MX"/>
        </w:rPr>
        <w:t xml:space="preserve">Los activos y </w:t>
      </w:r>
      <w:r w:rsidR="00EB119C">
        <w:rPr>
          <w:lang w:val="es-MX"/>
        </w:rPr>
        <w:t>pasivos financieros</w:t>
      </w:r>
      <w:r>
        <w:rPr>
          <w:lang w:val="es-MX"/>
        </w:rPr>
        <w:t xml:space="preserve"> se reconocen en el estado de situación financiera</w:t>
      </w:r>
      <w:r w:rsidR="00EB119C">
        <w:rPr>
          <w:lang w:val="es-MX"/>
        </w:rPr>
        <w:t xml:space="preserve"> en la fecha que se negocian</w:t>
      </w:r>
      <w:r>
        <w:rPr>
          <w:lang w:val="es-MX"/>
        </w:rPr>
        <w:t>.</w:t>
      </w:r>
    </w:p>
    <w:p w14:paraId="2BB505E5" w14:textId="3AC01814" w:rsidR="00EB119C" w:rsidRDefault="00EB119C" w:rsidP="00BF7966">
      <w:pPr>
        <w:spacing w:before="240" w:line="240" w:lineRule="auto"/>
        <w:rPr>
          <w:lang w:val="es-MX"/>
        </w:rPr>
      </w:pPr>
      <w:r>
        <w:rPr>
          <w:lang w:val="es-MX"/>
        </w:rPr>
        <w:t>Los préstamos recibidos por la Municipalidad con condiciones favorables por debajo del mercado se reconocen la diferencia de acuerdo con la NICSP 23.</w:t>
      </w:r>
    </w:p>
    <w:p w14:paraId="554B00AD" w14:textId="77777777" w:rsidR="00607E08" w:rsidRDefault="00607E08" w:rsidP="00607E08">
      <w:pPr>
        <w:spacing w:line="240" w:lineRule="auto"/>
        <w:rPr>
          <w:lang w:val="es-MX"/>
        </w:rPr>
      </w:pPr>
      <w:r>
        <w:rPr>
          <w:lang w:val="es-MX"/>
        </w:rPr>
        <w:t>Posterior al reconocimiento inicial los activos financieros se clasifican en: cuentas por cobrar, ya que la cuentas por cobrar que posee la Municipalidad son activos financieros no derivados con pagos fijos o determinables no cotizado en un mercado activo; los activos financieros medidos a valor razonable a través de superávit o déficit, en los cuales se incluyen los activos financieros tenidos para negociación (efectivo y equivalentes de efectivo).</w:t>
      </w:r>
    </w:p>
    <w:p w14:paraId="5CE37BC1" w14:textId="1C70C400" w:rsidR="00607E08" w:rsidRDefault="00607E08" w:rsidP="00BF7966">
      <w:pPr>
        <w:spacing w:before="240" w:line="240" w:lineRule="auto"/>
        <w:rPr>
          <w:lang w:val="es-MX"/>
        </w:rPr>
      </w:pPr>
      <w:r>
        <w:rPr>
          <w:lang w:val="es-MX"/>
        </w:rPr>
        <w:t xml:space="preserve">La cancelación o des-reconocimiento de un activo o pasivo financiero </w:t>
      </w:r>
      <w:r w:rsidR="00F41AFC">
        <w:rPr>
          <w:lang w:val="es-MX"/>
        </w:rPr>
        <w:t>se da cuando se haya percibido el beneficio económico o cancelado la obligación originada.</w:t>
      </w:r>
    </w:p>
    <w:p w14:paraId="3D397891" w14:textId="77777777" w:rsidR="0008638E" w:rsidRDefault="0008638E" w:rsidP="0008638E">
      <w:pPr>
        <w:spacing w:line="240" w:lineRule="auto"/>
        <w:rPr>
          <w:b/>
          <w:u w:val="single"/>
        </w:rPr>
      </w:pPr>
    </w:p>
    <w:p w14:paraId="60D33701" w14:textId="77777777" w:rsidR="0008638E" w:rsidRPr="003516A2" w:rsidRDefault="0008638E" w:rsidP="0008638E">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58E57AFC" w14:textId="7CDD2FA6" w:rsidR="0008638E" w:rsidRDefault="00BF7966" w:rsidP="00BF7966">
      <w:pPr>
        <w:spacing w:line="240" w:lineRule="auto"/>
        <w:rPr>
          <w:lang w:val="es-MX"/>
        </w:rPr>
      </w:pPr>
      <w:r>
        <w:rPr>
          <w:lang w:val="es-MX"/>
        </w:rPr>
        <w:t>Los instrumentos financieros inicialmente se miden al valor razonable (el cual generalmente es el mismo que el costo), en la fecha de adquisición.</w:t>
      </w:r>
    </w:p>
    <w:p w14:paraId="49A478AB" w14:textId="244C70D2" w:rsidR="00607E08" w:rsidRPr="003516A2" w:rsidRDefault="00607E08" w:rsidP="00607E08">
      <w:pPr>
        <w:spacing w:before="240" w:line="240" w:lineRule="auto"/>
        <w:rPr>
          <w:b/>
          <w:color w:val="FFFFFF" w:themeColor="background1"/>
          <w:highlight w:val="darkBlue"/>
          <w:u w:val="single"/>
        </w:rPr>
      </w:pPr>
      <w:r>
        <w:rPr>
          <w:lang w:val="es-MX"/>
        </w:rPr>
        <w:t>Subsiguiente al reconocimiento inicial las cuentas por cobrar se miden al costo amortizado sujetos a prueba de deterioro y los activos financieros medidos a valor razonable a través de superávit o déficit, se miden a valor razonable, con los cambios en el valor reconocidos en superávit o déficit del periodo.</w:t>
      </w:r>
      <w:r w:rsidR="00F41AFC">
        <w:rPr>
          <w:lang w:val="es-MX"/>
        </w:rPr>
        <w:t xml:space="preserve"> </w:t>
      </w:r>
      <w:r>
        <w:rPr>
          <w:lang w:val="es-MX"/>
        </w:rPr>
        <w:t>Posterior a la adquisición los préstamos se miden al costo amortizado</w:t>
      </w:r>
    </w:p>
    <w:p w14:paraId="35F29A76" w14:textId="77777777" w:rsidR="00FE657D" w:rsidRPr="00607E08" w:rsidRDefault="00FE657D" w:rsidP="00F41AFC">
      <w:pPr>
        <w:spacing w:after="0" w:line="240" w:lineRule="auto"/>
      </w:pPr>
    </w:p>
    <w:p w14:paraId="56559AD3" w14:textId="7F6ECE18" w:rsidR="00680DAC" w:rsidRPr="00680DAC" w:rsidRDefault="00680DAC" w:rsidP="00680DAC">
      <w:pPr>
        <w:rPr>
          <w:b/>
          <w:u w:val="single"/>
          <w:lang w:val="es-MX" w:eastAsia="es-CR"/>
        </w:rPr>
      </w:pPr>
      <w:r w:rsidRPr="0008638E">
        <w:rPr>
          <w:b/>
          <w:color w:val="FFFFFF" w:themeColor="background1"/>
          <w:highlight w:val="darkBlue"/>
          <w:u w:val="single"/>
        </w:rPr>
        <w:t>Revelación Suficiente:</w:t>
      </w:r>
      <w:r w:rsidRPr="00680DAC">
        <w:rPr>
          <w:b/>
          <w:u w:val="single"/>
          <w:lang w:val="es-MX" w:eastAsia="es-CR"/>
        </w:rPr>
        <w:t xml:space="preserve"> </w:t>
      </w:r>
      <w:r w:rsidRPr="00680DAC">
        <w:rPr>
          <w:b/>
          <w:u w:val="single"/>
          <w:lang w:eastAsia="es-CR"/>
        </w:rPr>
        <w:t>El ente debe cumplir con lo estipulado en revelación con forme a la NICSP, también debe considerar la política general y los párrafos incluidos en la matriz de autoevaluación referente a esta NICSP guías de aplicación</w:t>
      </w:r>
      <w:r w:rsidRPr="00680DAC">
        <w:rPr>
          <w:b/>
          <w:szCs w:val="24"/>
          <w:u w:val="single"/>
          <w:lang w:val="es-ES_tradnl" w:eastAsia="es-CR"/>
        </w:rPr>
        <w:t xml:space="preserve"> </w:t>
      </w:r>
      <w:r w:rsidRPr="00680DAC">
        <w:rPr>
          <w:b/>
          <w:u w:val="single"/>
          <w:lang w:val="es-MX" w:eastAsia="es-CR"/>
        </w:rPr>
        <w:t>(Ver GA NICSP 28/29/30/38 o la NICSP aplicable):</w:t>
      </w:r>
    </w:p>
    <w:p w14:paraId="7999562D" w14:textId="77777777" w:rsidR="00013D62" w:rsidRPr="00E6175D" w:rsidRDefault="00013D62" w:rsidP="00013D62">
      <w:pPr>
        <w:spacing w:after="0" w:line="240" w:lineRule="auto"/>
        <w:rPr>
          <w:rFonts w:eastAsia="Times New Roman"/>
          <w:b/>
          <w:bCs/>
          <w:lang w:eastAsia="es-CR"/>
        </w:rPr>
      </w:pPr>
      <w:r w:rsidRPr="00E6175D">
        <w:rPr>
          <w:rFonts w:eastAsia="Times New Roman"/>
          <w:b/>
          <w:bCs/>
          <w:lang w:eastAsia="es-CR"/>
        </w:rPr>
        <w:t>Principales Políticas</w:t>
      </w:r>
    </w:p>
    <w:p w14:paraId="0A8BF6B6" w14:textId="77777777" w:rsidR="00013D62" w:rsidRDefault="00013D62" w:rsidP="00013D62">
      <w:pPr>
        <w:spacing w:after="0" w:line="240" w:lineRule="auto"/>
        <w:rPr>
          <w:rFonts w:eastAsia="Times New Roman"/>
          <w:lang w:eastAsia="es-CR"/>
        </w:rPr>
      </w:pPr>
    </w:p>
    <w:p w14:paraId="36845FFC" w14:textId="77777777" w:rsidR="00013D62" w:rsidRDefault="00013D62" w:rsidP="00013D62">
      <w:pPr>
        <w:autoSpaceDE w:val="0"/>
        <w:autoSpaceDN w:val="0"/>
        <w:adjustRightInd w:val="0"/>
        <w:spacing w:after="0" w:line="240" w:lineRule="auto"/>
        <w:rPr>
          <w:rFonts w:ascii="Arial" w:hAnsi="Arial" w:cs="Arial"/>
          <w:color w:val="000000"/>
          <w:sz w:val="22"/>
        </w:rPr>
      </w:pPr>
      <w:r>
        <w:rPr>
          <w:rFonts w:ascii="Arial" w:hAnsi="Arial" w:cs="Arial"/>
          <w:color w:val="000000"/>
          <w:sz w:val="22"/>
        </w:rPr>
        <w:t xml:space="preserve">En la MBA un activo financiero distinto de efectivo y equivalentes de efectivo es un derecho de recibir efectivo u otro activo financiero en el futuro; y un pasivo financiero es una </w:t>
      </w:r>
      <w:r w:rsidRPr="00E6175D">
        <w:rPr>
          <w:rFonts w:ascii="Arial" w:hAnsi="Arial" w:cs="Arial"/>
          <w:color w:val="000000"/>
          <w:sz w:val="22"/>
        </w:rPr>
        <w:t>obligación contractual de entregar efectivo u otro activo financiero en el futuro, producto de los siguientes conceptos:</w:t>
      </w:r>
    </w:p>
    <w:p w14:paraId="0F632569" w14:textId="77777777" w:rsidR="00013D62" w:rsidRPr="00E6175D" w:rsidRDefault="00013D62" w:rsidP="00013D62">
      <w:pPr>
        <w:autoSpaceDE w:val="0"/>
        <w:autoSpaceDN w:val="0"/>
        <w:adjustRightInd w:val="0"/>
        <w:spacing w:after="0" w:line="240" w:lineRule="auto"/>
        <w:rPr>
          <w:rFonts w:ascii="Arial" w:hAnsi="Arial" w:cs="Arial"/>
          <w:color w:val="000000"/>
          <w:sz w:val="22"/>
        </w:rPr>
      </w:pPr>
    </w:p>
    <w:p w14:paraId="699EDEF8" w14:textId="77777777" w:rsidR="00013D62" w:rsidRPr="00516D2F" w:rsidRDefault="00013D62" w:rsidP="00013D62">
      <w:pPr>
        <w:pStyle w:val="Prrafodelista"/>
        <w:numPr>
          <w:ilvl w:val="2"/>
          <w:numId w:val="45"/>
        </w:numPr>
        <w:autoSpaceDE w:val="0"/>
        <w:autoSpaceDN w:val="0"/>
        <w:adjustRightInd w:val="0"/>
        <w:spacing w:after="0" w:line="240" w:lineRule="auto"/>
        <w:ind w:left="426"/>
        <w:rPr>
          <w:rFonts w:ascii="Arial" w:hAnsi="Arial" w:cs="Arial"/>
          <w:color w:val="000000"/>
          <w:sz w:val="22"/>
        </w:rPr>
      </w:pPr>
      <w:r w:rsidRPr="00516D2F">
        <w:rPr>
          <w:rFonts w:ascii="Arial" w:hAnsi="Arial" w:cs="Arial"/>
          <w:color w:val="000000"/>
          <w:sz w:val="22"/>
        </w:rPr>
        <w:t>cuentas por cobrar</w:t>
      </w:r>
    </w:p>
    <w:p w14:paraId="0EDCC848" w14:textId="77777777" w:rsidR="00013D62" w:rsidRDefault="00013D62" w:rsidP="00013D62">
      <w:pPr>
        <w:pStyle w:val="Prrafodelista"/>
        <w:numPr>
          <w:ilvl w:val="2"/>
          <w:numId w:val="45"/>
        </w:numPr>
        <w:autoSpaceDE w:val="0"/>
        <w:autoSpaceDN w:val="0"/>
        <w:adjustRightInd w:val="0"/>
        <w:spacing w:after="0" w:line="240" w:lineRule="auto"/>
        <w:ind w:left="426"/>
        <w:rPr>
          <w:rFonts w:ascii="Arial" w:hAnsi="Arial" w:cs="Arial"/>
          <w:color w:val="000000"/>
          <w:sz w:val="22"/>
        </w:rPr>
      </w:pPr>
      <w:r>
        <w:rPr>
          <w:rFonts w:ascii="Arial" w:hAnsi="Arial" w:cs="Arial"/>
          <w:color w:val="000000"/>
          <w:sz w:val="22"/>
        </w:rPr>
        <w:t>Transferencias</w:t>
      </w:r>
    </w:p>
    <w:p w14:paraId="46FC331E" w14:textId="77777777" w:rsidR="00013D62" w:rsidRDefault="00013D62" w:rsidP="00013D62">
      <w:pPr>
        <w:pStyle w:val="Prrafodelista"/>
        <w:numPr>
          <w:ilvl w:val="2"/>
          <w:numId w:val="45"/>
        </w:numPr>
        <w:autoSpaceDE w:val="0"/>
        <w:autoSpaceDN w:val="0"/>
        <w:adjustRightInd w:val="0"/>
        <w:spacing w:after="0" w:line="240" w:lineRule="auto"/>
        <w:ind w:left="426"/>
        <w:rPr>
          <w:rFonts w:ascii="Arial" w:hAnsi="Arial" w:cs="Arial"/>
          <w:color w:val="000000"/>
          <w:sz w:val="22"/>
        </w:rPr>
      </w:pPr>
      <w:r w:rsidRPr="00516D2F">
        <w:rPr>
          <w:rFonts w:ascii="Arial" w:hAnsi="Arial" w:cs="Arial"/>
          <w:color w:val="000000"/>
          <w:sz w:val="22"/>
        </w:rPr>
        <w:t xml:space="preserve">cuentas por pagar; </w:t>
      </w:r>
    </w:p>
    <w:p w14:paraId="5441F23E" w14:textId="77777777" w:rsidR="00013D62" w:rsidRDefault="00013D62" w:rsidP="00013D62">
      <w:pPr>
        <w:pStyle w:val="Prrafodelista"/>
        <w:numPr>
          <w:ilvl w:val="2"/>
          <w:numId w:val="45"/>
        </w:numPr>
        <w:autoSpaceDE w:val="0"/>
        <w:autoSpaceDN w:val="0"/>
        <w:adjustRightInd w:val="0"/>
        <w:spacing w:after="0" w:line="240" w:lineRule="auto"/>
        <w:ind w:left="426"/>
        <w:rPr>
          <w:rFonts w:ascii="Arial" w:hAnsi="Arial" w:cs="Arial"/>
          <w:color w:val="000000"/>
          <w:sz w:val="22"/>
        </w:rPr>
      </w:pPr>
      <w:r w:rsidRPr="00E6175D">
        <w:rPr>
          <w:rFonts w:ascii="Arial" w:hAnsi="Arial" w:cs="Arial"/>
          <w:color w:val="000000"/>
          <w:sz w:val="22"/>
        </w:rPr>
        <w:t xml:space="preserve">(b) pagarés por pagar; </w:t>
      </w:r>
    </w:p>
    <w:p w14:paraId="00F72765" w14:textId="77777777" w:rsidR="00013D62" w:rsidRPr="00E6175D" w:rsidRDefault="00013D62" w:rsidP="00013D62">
      <w:pPr>
        <w:pStyle w:val="Prrafodelista"/>
        <w:numPr>
          <w:ilvl w:val="2"/>
          <w:numId w:val="45"/>
        </w:numPr>
        <w:autoSpaceDE w:val="0"/>
        <w:autoSpaceDN w:val="0"/>
        <w:adjustRightInd w:val="0"/>
        <w:spacing w:after="0" w:line="240" w:lineRule="auto"/>
        <w:ind w:left="426"/>
        <w:rPr>
          <w:rFonts w:ascii="Arial" w:hAnsi="Arial" w:cs="Arial"/>
          <w:color w:val="000000"/>
          <w:sz w:val="22"/>
        </w:rPr>
      </w:pPr>
      <w:r w:rsidRPr="00E6175D">
        <w:rPr>
          <w:rFonts w:ascii="Arial" w:hAnsi="Arial" w:cs="Arial"/>
          <w:color w:val="000000"/>
          <w:sz w:val="22"/>
        </w:rPr>
        <w:t xml:space="preserve">(c) préstamos por pagar; y </w:t>
      </w:r>
    </w:p>
    <w:p w14:paraId="7B2D15FF" w14:textId="77777777" w:rsidR="00F41AFC" w:rsidRDefault="00F41AFC" w:rsidP="00013D62">
      <w:pPr>
        <w:pStyle w:val="Default"/>
        <w:spacing w:after="18"/>
        <w:jc w:val="both"/>
        <w:rPr>
          <w:rFonts w:ascii="Arial Narrow" w:hAnsi="Arial Narrow"/>
        </w:rPr>
      </w:pPr>
    </w:p>
    <w:p w14:paraId="3D456C5F" w14:textId="77777777" w:rsidR="00F41AFC" w:rsidRDefault="00013D62" w:rsidP="00013D62">
      <w:pPr>
        <w:pStyle w:val="Default"/>
        <w:spacing w:after="18"/>
        <w:jc w:val="both"/>
        <w:rPr>
          <w:rFonts w:ascii="Arial Narrow" w:hAnsi="Arial Narrow"/>
        </w:rPr>
      </w:pPr>
      <w:r w:rsidRPr="00232D3F">
        <w:rPr>
          <w:rFonts w:ascii="Arial Narrow" w:hAnsi="Arial Narrow"/>
        </w:rPr>
        <w:t>No será procedente la compensación, cuando:</w:t>
      </w:r>
    </w:p>
    <w:p w14:paraId="24AEEC44" w14:textId="0BB1C0FD" w:rsidR="00013D62" w:rsidRPr="00232D3F" w:rsidRDefault="00013D62" w:rsidP="00013D62">
      <w:pPr>
        <w:pStyle w:val="Default"/>
        <w:spacing w:after="18"/>
        <w:jc w:val="both"/>
        <w:rPr>
          <w:rFonts w:ascii="Arial Narrow" w:hAnsi="Arial Narrow"/>
        </w:rPr>
      </w:pPr>
      <w:r w:rsidRPr="00232D3F">
        <w:rPr>
          <w:rFonts w:ascii="Arial Narrow" w:hAnsi="Arial Narrow"/>
        </w:rPr>
        <w:t xml:space="preserve"> </w:t>
      </w:r>
    </w:p>
    <w:p w14:paraId="65AAA460" w14:textId="77777777" w:rsidR="00013D62" w:rsidRPr="00232D3F" w:rsidRDefault="00013D62" w:rsidP="00013D62">
      <w:pPr>
        <w:pStyle w:val="Default"/>
        <w:numPr>
          <w:ilvl w:val="0"/>
          <w:numId w:val="46"/>
        </w:numPr>
        <w:spacing w:after="18"/>
        <w:ind w:left="426"/>
        <w:jc w:val="both"/>
        <w:rPr>
          <w:rFonts w:ascii="Arial Narrow" w:hAnsi="Arial Narrow"/>
        </w:rPr>
      </w:pPr>
      <w:r w:rsidRPr="00232D3F">
        <w:rPr>
          <w:rFonts w:ascii="Arial Narrow" w:hAnsi="Arial Narrow"/>
        </w:rPr>
        <w:t xml:space="preserve">Se empleen varios instrumentos financieros diferentes para emular las características de un único instrumento financiero (dando lugar a un “instrumento sintético”); </w:t>
      </w:r>
    </w:p>
    <w:p w14:paraId="5E70DAA4" w14:textId="77777777" w:rsidR="00013D62" w:rsidRPr="00232D3F" w:rsidRDefault="00013D62" w:rsidP="00013D62">
      <w:pPr>
        <w:pStyle w:val="Default"/>
        <w:numPr>
          <w:ilvl w:val="0"/>
          <w:numId w:val="46"/>
        </w:numPr>
        <w:spacing w:after="18"/>
        <w:ind w:left="426"/>
        <w:jc w:val="both"/>
        <w:rPr>
          <w:rFonts w:ascii="Arial Narrow" w:hAnsi="Arial Narrow"/>
        </w:rPr>
      </w:pPr>
      <w:r w:rsidRPr="00232D3F">
        <w:rPr>
          <w:rFonts w:ascii="Arial Narrow" w:hAnsi="Arial Narrow"/>
        </w:rPr>
        <w:t xml:space="preserve">Los activos y los pasivos financieros surjan de instrumentos financieros que tengan, básicamente, la misma exposición al riesgo (por ejemplo, activos y pasivos dentro de una misma cartera de contratos a término u otros instrumentos derivados) pero involucren a diferentes contrapartes; </w:t>
      </w:r>
    </w:p>
    <w:p w14:paraId="2A80ACFB" w14:textId="77777777" w:rsidR="00013D62" w:rsidRPr="00232D3F" w:rsidRDefault="00013D62" w:rsidP="00013D62">
      <w:pPr>
        <w:pStyle w:val="Default"/>
        <w:numPr>
          <w:ilvl w:val="0"/>
          <w:numId w:val="46"/>
        </w:numPr>
        <w:spacing w:after="18"/>
        <w:ind w:left="426"/>
        <w:jc w:val="both"/>
        <w:rPr>
          <w:rFonts w:ascii="Arial Narrow" w:hAnsi="Arial Narrow"/>
        </w:rPr>
      </w:pPr>
      <w:r w:rsidRPr="00232D3F">
        <w:rPr>
          <w:rFonts w:ascii="Arial Narrow" w:hAnsi="Arial Narrow"/>
        </w:rPr>
        <w:t xml:space="preserve">Los activos, financieros u otros, se hubieren pignorados como garantías otorgadas de pasivos financieros que son obligaciones sin recurso; </w:t>
      </w:r>
    </w:p>
    <w:p w14:paraId="2578E623" w14:textId="77777777" w:rsidR="00013D62" w:rsidRPr="00232D3F" w:rsidRDefault="00013D62" w:rsidP="00013D62">
      <w:pPr>
        <w:pStyle w:val="Default"/>
        <w:numPr>
          <w:ilvl w:val="0"/>
          <w:numId w:val="46"/>
        </w:numPr>
        <w:spacing w:after="18"/>
        <w:ind w:left="426"/>
        <w:jc w:val="both"/>
        <w:rPr>
          <w:rFonts w:ascii="Arial Narrow" w:hAnsi="Arial Narrow"/>
        </w:rPr>
      </w:pPr>
      <w:r w:rsidRPr="00232D3F">
        <w:rPr>
          <w:rFonts w:ascii="Arial Narrow" w:hAnsi="Arial Narrow"/>
        </w:rPr>
        <w:t xml:space="preserve">Los activos financieros hayan sido asignados por el deudor a un fideicomiso para liberarse de una obligación, pero aún no hayan sido aceptados por el acreedor en cancelación de la misma (por ejemplo, un fondo de amortización); </w:t>
      </w:r>
    </w:p>
    <w:p w14:paraId="2A219519" w14:textId="77777777" w:rsidR="00013D62" w:rsidRPr="00232D3F" w:rsidRDefault="00013D62" w:rsidP="00013D62">
      <w:pPr>
        <w:pStyle w:val="Default"/>
        <w:numPr>
          <w:ilvl w:val="0"/>
          <w:numId w:val="46"/>
        </w:numPr>
        <w:ind w:left="426"/>
        <w:jc w:val="both"/>
        <w:rPr>
          <w:rFonts w:ascii="Arial Narrow" w:hAnsi="Arial Narrow"/>
        </w:rPr>
      </w:pPr>
      <w:r w:rsidRPr="00232D3F">
        <w:rPr>
          <w:rFonts w:ascii="Arial Narrow" w:hAnsi="Arial Narrow"/>
        </w:rPr>
        <w:t xml:space="preserve">Sean obligaciones incurridas como resultado de eventos que han dado lugar a pérdidas, cuyos importes se esperen recuperar de un tercero, como consecuencia de una reclamación hecha en virtud de una póliza de seguro. o </w:t>
      </w:r>
    </w:p>
    <w:p w14:paraId="6561A564" w14:textId="77777777" w:rsidR="00013D62" w:rsidRPr="00232D3F" w:rsidRDefault="00013D62" w:rsidP="00013D62">
      <w:pPr>
        <w:pStyle w:val="Default"/>
        <w:numPr>
          <w:ilvl w:val="0"/>
          <w:numId w:val="46"/>
        </w:numPr>
        <w:ind w:left="426"/>
        <w:jc w:val="both"/>
        <w:rPr>
          <w:rFonts w:ascii="Arial Narrow" w:hAnsi="Arial Narrow"/>
          <w:color w:val="auto"/>
        </w:rPr>
      </w:pPr>
      <w:r w:rsidRPr="00232D3F">
        <w:rPr>
          <w:rFonts w:ascii="Arial Narrow" w:hAnsi="Arial Narrow"/>
          <w:color w:val="auto"/>
        </w:rPr>
        <w:t xml:space="preserve">Se suscriban acuerdos maestros de compensación contractual con una contraparte para protegerse de pérdidas, ya sea en caso de quiebra o en otras situaciones concursales, o en situaciones no esperadas dentro del curso ordinario de las operaciones, que imposibiliten a esa otra parte el cumplimiento de sus obligaciones. </w:t>
      </w:r>
    </w:p>
    <w:p w14:paraId="6E12C7D7" w14:textId="77777777" w:rsidR="00013D62" w:rsidRDefault="00013D62" w:rsidP="00013D62">
      <w:pPr>
        <w:spacing w:after="0" w:line="240" w:lineRule="auto"/>
        <w:rPr>
          <w:rFonts w:eastAsia="Times New Roman"/>
          <w:lang w:eastAsia="es-CR"/>
        </w:rPr>
      </w:pPr>
    </w:p>
    <w:p w14:paraId="61896D21" w14:textId="77777777" w:rsidR="00013D62" w:rsidRPr="00232D3F" w:rsidRDefault="00013D62" w:rsidP="00013D62">
      <w:pPr>
        <w:pStyle w:val="Default"/>
        <w:jc w:val="both"/>
        <w:rPr>
          <w:rFonts w:ascii="Arial Narrow" w:hAnsi="Arial Narrow"/>
          <w:b/>
          <w:bCs/>
        </w:rPr>
      </w:pPr>
      <w:r w:rsidRPr="00232D3F">
        <w:rPr>
          <w:rFonts w:ascii="Arial Narrow" w:hAnsi="Arial Narrow"/>
        </w:rPr>
        <w:t>La baja en cuentas de un pasivo financiero (o una parte del mismo) tendrá lugar cuando, y sólo cuando, el mismo se haya extinguido, es decir, cuando la obligación especificada en el correspondiente contrato haya sido pagada, renunciada o cancelada, o bien haya expirado.</w:t>
      </w:r>
    </w:p>
    <w:p w14:paraId="702C65B9" w14:textId="77777777" w:rsidR="00013D62" w:rsidRPr="00232D3F" w:rsidRDefault="00013D62" w:rsidP="00013D62">
      <w:pPr>
        <w:pStyle w:val="Default"/>
        <w:jc w:val="both"/>
        <w:rPr>
          <w:rFonts w:ascii="Arial Narrow" w:hAnsi="Arial Narrow"/>
        </w:rPr>
      </w:pPr>
    </w:p>
    <w:p w14:paraId="72476922" w14:textId="77777777" w:rsidR="00013D62" w:rsidRPr="00232D3F" w:rsidRDefault="00013D62" w:rsidP="00013D62">
      <w:pPr>
        <w:pStyle w:val="Default"/>
        <w:jc w:val="both"/>
        <w:rPr>
          <w:rFonts w:ascii="Arial Narrow" w:hAnsi="Arial Narrow"/>
        </w:rPr>
      </w:pPr>
      <w:r w:rsidRPr="00232D3F">
        <w:rPr>
          <w:rFonts w:ascii="Arial Narrow" w:hAnsi="Arial Narrow"/>
        </w:rPr>
        <w:t xml:space="preserve">La diferencia entre el importe en libros del pasivo financiero objeto de la baja en cuentas y la contraprestación pagada para que proceda su baja (la cual incluirá pasivos asumidos y activos transferidos diferentes del efectivo), se reconocerá en el resultado del ejercicio. </w:t>
      </w:r>
    </w:p>
    <w:p w14:paraId="3899322A" w14:textId="77777777" w:rsidR="00013D62" w:rsidRDefault="00013D62" w:rsidP="00013D62">
      <w:pPr>
        <w:spacing w:after="0" w:line="240" w:lineRule="auto"/>
        <w:rPr>
          <w:rFonts w:eastAsia="Times New Roman"/>
          <w:lang w:eastAsia="es-CR"/>
        </w:rPr>
      </w:pPr>
    </w:p>
    <w:p w14:paraId="682655FD" w14:textId="4000BAD6" w:rsidR="00013D62" w:rsidRDefault="00013D62" w:rsidP="00013D62">
      <w:pPr>
        <w:spacing w:line="240" w:lineRule="auto"/>
        <w:rPr>
          <w:szCs w:val="24"/>
          <w:lang w:eastAsia="es-CR"/>
        </w:rPr>
      </w:pPr>
      <w:r>
        <w:rPr>
          <w:szCs w:val="24"/>
          <w:lang w:eastAsia="es-CR"/>
        </w:rPr>
        <w:t xml:space="preserve">De acuerdo con lo consignado en la Matriz de NICSP y Plan de Acción al </w:t>
      </w:r>
      <w:r w:rsidR="00D470B6">
        <w:rPr>
          <w:szCs w:val="24"/>
          <w:lang w:eastAsia="es-CR"/>
        </w:rPr>
        <w:t>30 de junio</w:t>
      </w:r>
      <w:r w:rsidR="00F41AFC">
        <w:rPr>
          <w:szCs w:val="24"/>
          <w:lang w:eastAsia="es-CR"/>
        </w:rPr>
        <w:t xml:space="preserve"> de 2024</w:t>
      </w:r>
      <w:r>
        <w:rPr>
          <w:szCs w:val="24"/>
          <w:lang w:eastAsia="es-CR"/>
        </w:rPr>
        <w:t xml:space="preserve"> se encuentra pendiente de implementar lo siguiente:</w:t>
      </w:r>
    </w:p>
    <w:tbl>
      <w:tblPr>
        <w:tblW w:w="8960" w:type="dxa"/>
        <w:tblLook w:val="04A0" w:firstRow="1" w:lastRow="0" w:firstColumn="1" w:lastColumn="0" w:noHBand="0" w:noVBand="1"/>
      </w:tblPr>
      <w:tblGrid>
        <w:gridCol w:w="7560"/>
        <w:gridCol w:w="1400"/>
      </w:tblGrid>
      <w:tr w:rsidR="00013D62" w:rsidRPr="00C36CAC" w14:paraId="59C021BE" w14:textId="77777777" w:rsidTr="004653E2">
        <w:trPr>
          <w:trHeight w:val="530"/>
        </w:trPr>
        <w:tc>
          <w:tcPr>
            <w:tcW w:w="7560"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21BDB7DC" w14:textId="77777777" w:rsidR="00013D62" w:rsidRPr="00C36CAC" w:rsidRDefault="00013D62" w:rsidP="004653E2">
            <w:pPr>
              <w:spacing w:after="0" w:line="240" w:lineRule="auto"/>
              <w:jc w:val="center"/>
              <w:rPr>
                <w:rFonts w:eastAsia="Times New Roman" w:cs="Calibri"/>
                <w:b/>
                <w:bCs/>
                <w:sz w:val="20"/>
                <w:szCs w:val="20"/>
                <w:lang w:val="en-US"/>
              </w:rPr>
            </w:pPr>
            <w:r w:rsidRPr="00C36CAC">
              <w:rPr>
                <w:rFonts w:eastAsia="Times New Roman" w:cs="Calibri"/>
                <w:b/>
                <w:bCs/>
                <w:sz w:val="20"/>
                <w:szCs w:val="20"/>
                <w:lang w:val="en-US"/>
              </w:rPr>
              <w:t>Actividades Pendientes de Cumplimiento</w:t>
            </w:r>
          </w:p>
        </w:tc>
        <w:tc>
          <w:tcPr>
            <w:tcW w:w="1400" w:type="dxa"/>
            <w:tcBorders>
              <w:top w:val="single" w:sz="8" w:space="0" w:color="auto"/>
              <w:left w:val="nil"/>
              <w:bottom w:val="single" w:sz="4" w:space="0" w:color="auto"/>
              <w:right w:val="single" w:sz="8" w:space="0" w:color="auto"/>
            </w:tcBorders>
            <w:shd w:val="clear" w:color="000000" w:fill="FFFFFF"/>
            <w:vAlign w:val="bottom"/>
            <w:hideMark/>
          </w:tcPr>
          <w:p w14:paraId="06432A73" w14:textId="77777777" w:rsidR="00013D62" w:rsidRPr="00C36CAC" w:rsidRDefault="00013D62" w:rsidP="004653E2">
            <w:pPr>
              <w:spacing w:after="0" w:line="240" w:lineRule="auto"/>
              <w:jc w:val="center"/>
              <w:rPr>
                <w:rFonts w:eastAsia="Times New Roman" w:cs="Calibri"/>
                <w:b/>
                <w:bCs/>
                <w:color w:val="000000"/>
                <w:sz w:val="20"/>
                <w:szCs w:val="20"/>
                <w:lang w:val="en-US"/>
              </w:rPr>
            </w:pPr>
            <w:r w:rsidRPr="00C36CAC">
              <w:rPr>
                <w:rFonts w:eastAsia="Times New Roman" w:cs="Calibri"/>
                <w:b/>
                <w:bCs/>
                <w:color w:val="000000"/>
                <w:sz w:val="20"/>
                <w:szCs w:val="20"/>
                <w:lang w:val="en-US"/>
              </w:rPr>
              <w:t>Fecha Estimada Cumplimiento</w:t>
            </w:r>
          </w:p>
        </w:tc>
      </w:tr>
      <w:tr w:rsidR="00013D62" w:rsidRPr="00C36CAC" w14:paraId="37471FE6" w14:textId="77777777" w:rsidTr="004653E2">
        <w:trPr>
          <w:trHeight w:val="500"/>
        </w:trPr>
        <w:tc>
          <w:tcPr>
            <w:tcW w:w="7560" w:type="dxa"/>
            <w:tcBorders>
              <w:top w:val="nil"/>
              <w:left w:val="single" w:sz="8" w:space="0" w:color="auto"/>
              <w:bottom w:val="single" w:sz="4" w:space="0" w:color="auto"/>
              <w:right w:val="single" w:sz="4" w:space="0" w:color="auto"/>
            </w:tcBorders>
            <w:shd w:val="clear" w:color="000000" w:fill="FFFFFF"/>
            <w:hideMark/>
          </w:tcPr>
          <w:p w14:paraId="3ADB570E" w14:textId="77777777" w:rsidR="00013D62" w:rsidRPr="00C36CAC" w:rsidRDefault="00013D62" w:rsidP="004653E2">
            <w:pPr>
              <w:spacing w:after="0" w:line="240" w:lineRule="auto"/>
              <w:rPr>
                <w:rFonts w:ascii="Arial" w:eastAsia="Times New Roman" w:hAnsi="Arial" w:cs="Arial"/>
                <w:sz w:val="20"/>
                <w:szCs w:val="20"/>
              </w:rPr>
            </w:pPr>
            <w:r w:rsidRPr="00C36CAC">
              <w:rPr>
                <w:rFonts w:ascii="Arial" w:eastAsia="Times New Roman" w:hAnsi="Arial" w:cs="Arial"/>
                <w:sz w:val="20"/>
                <w:szCs w:val="20"/>
              </w:rPr>
              <w:t>Revisar y ajustar el registro inicial del préstamo con el IFAM que posee la Municipalidad.</w:t>
            </w:r>
          </w:p>
        </w:tc>
        <w:tc>
          <w:tcPr>
            <w:tcW w:w="1400" w:type="dxa"/>
            <w:tcBorders>
              <w:top w:val="nil"/>
              <w:left w:val="nil"/>
              <w:bottom w:val="single" w:sz="4" w:space="0" w:color="auto"/>
              <w:right w:val="single" w:sz="8" w:space="0" w:color="auto"/>
            </w:tcBorders>
            <w:shd w:val="clear" w:color="000000" w:fill="FFFFFF"/>
            <w:noWrap/>
            <w:vAlign w:val="center"/>
            <w:hideMark/>
          </w:tcPr>
          <w:p w14:paraId="0BA7968C" w14:textId="29D98E1B" w:rsidR="00013D62" w:rsidRPr="00C36CAC" w:rsidRDefault="004653E2" w:rsidP="004653E2">
            <w:pPr>
              <w:spacing w:after="0" w:line="240" w:lineRule="auto"/>
              <w:jc w:val="center"/>
              <w:rPr>
                <w:rFonts w:ascii="Arial" w:eastAsia="Times New Roman" w:hAnsi="Arial" w:cs="Arial"/>
                <w:sz w:val="20"/>
                <w:szCs w:val="20"/>
                <w:lang w:val="en-US"/>
              </w:rPr>
            </w:pPr>
            <w:r>
              <w:rPr>
                <w:rFonts w:ascii="Arial" w:eastAsia="Times New Roman" w:hAnsi="Arial" w:cs="Arial"/>
                <w:sz w:val="20"/>
                <w:szCs w:val="20"/>
                <w:lang w:val="en-US"/>
              </w:rPr>
              <w:t>31/12</w:t>
            </w:r>
            <w:r w:rsidR="00013D62" w:rsidRPr="00C36CAC">
              <w:rPr>
                <w:rFonts w:ascii="Arial" w:eastAsia="Times New Roman" w:hAnsi="Arial" w:cs="Arial"/>
                <w:sz w:val="20"/>
                <w:szCs w:val="20"/>
                <w:lang w:val="en-US"/>
              </w:rPr>
              <w:t>/24</w:t>
            </w:r>
          </w:p>
        </w:tc>
      </w:tr>
      <w:tr w:rsidR="00013D62" w:rsidRPr="00C36CAC" w14:paraId="749A479E" w14:textId="77777777" w:rsidTr="004653E2">
        <w:trPr>
          <w:trHeight w:val="500"/>
        </w:trPr>
        <w:tc>
          <w:tcPr>
            <w:tcW w:w="7560" w:type="dxa"/>
            <w:tcBorders>
              <w:top w:val="nil"/>
              <w:left w:val="single" w:sz="8" w:space="0" w:color="auto"/>
              <w:bottom w:val="single" w:sz="4" w:space="0" w:color="auto"/>
              <w:right w:val="single" w:sz="4" w:space="0" w:color="auto"/>
            </w:tcBorders>
            <w:shd w:val="clear" w:color="000000" w:fill="FFFFFF"/>
            <w:hideMark/>
          </w:tcPr>
          <w:p w14:paraId="3E9F8662" w14:textId="77777777" w:rsidR="00013D62" w:rsidRPr="00C36CAC" w:rsidRDefault="00013D62" w:rsidP="004653E2">
            <w:pPr>
              <w:spacing w:after="0" w:line="240" w:lineRule="auto"/>
              <w:rPr>
                <w:rFonts w:ascii="Arial" w:eastAsia="Times New Roman" w:hAnsi="Arial" w:cs="Arial"/>
                <w:sz w:val="20"/>
                <w:szCs w:val="20"/>
              </w:rPr>
            </w:pPr>
            <w:r w:rsidRPr="00C36CAC">
              <w:rPr>
                <w:rFonts w:ascii="Arial" w:eastAsia="Times New Roman" w:hAnsi="Arial" w:cs="Arial"/>
                <w:sz w:val="20"/>
                <w:szCs w:val="20"/>
              </w:rPr>
              <w:t>Complementar la información que se debe revelar en relación con Instrumentos Financieros (Inversiones, Cuentas por cobrar, Préstamo del IFAM).</w:t>
            </w:r>
          </w:p>
        </w:tc>
        <w:tc>
          <w:tcPr>
            <w:tcW w:w="1400" w:type="dxa"/>
            <w:tcBorders>
              <w:top w:val="nil"/>
              <w:left w:val="nil"/>
              <w:bottom w:val="single" w:sz="4" w:space="0" w:color="auto"/>
              <w:right w:val="single" w:sz="8" w:space="0" w:color="auto"/>
            </w:tcBorders>
            <w:shd w:val="clear" w:color="000000" w:fill="FFFFFF"/>
            <w:noWrap/>
            <w:vAlign w:val="center"/>
            <w:hideMark/>
          </w:tcPr>
          <w:p w14:paraId="08F3308D" w14:textId="154EEA51" w:rsidR="00013D62" w:rsidRPr="00C36CAC" w:rsidRDefault="004653E2" w:rsidP="004653E2">
            <w:pPr>
              <w:spacing w:after="0" w:line="240" w:lineRule="auto"/>
              <w:jc w:val="center"/>
              <w:rPr>
                <w:rFonts w:ascii="Arial" w:eastAsia="Times New Roman" w:hAnsi="Arial" w:cs="Arial"/>
                <w:sz w:val="20"/>
                <w:szCs w:val="20"/>
                <w:lang w:val="en-US"/>
              </w:rPr>
            </w:pPr>
            <w:r>
              <w:rPr>
                <w:rFonts w:ascii="Arial" w:eastAsia="Times New Roman" w:hAnsi="Arial" w:cs="Arial"/>
                <w:sz w:val="20"/>
                <w:szCs w:val="20"/>
                <w:lang w:val="en-US"/>
              </w:rPr>
              <w:t>31/12</w:t>
            </w:r>
            <w:r w:rsidR="00013D62" w:rsidRPr="00C36CAC">
              <w:rPr>
                <w:rFonts w:ascii="Arial" w:eastAsia="Times New Roman" w:hAnsi="Arial" w:cs="Arial"/>
                <w:sz w:val="20"/>
                <w:szCs w:val="20"/>
                <w:lang w:val="en-US"/>
              </w:rPr>
              <w:t>/24</w:t>
            </w:r>
          </w:p>
        </w:tc>
      </w:tr>
      <w:tr w:rsidR="00013D62" w:rsidRPr="00C36CAC" w14:paraId="270882E0" w14:textId="77777777" w:rsidTr="004653E2">
        <w:trPr>
          <w:trHeight w:val="760"/>
        </w:trPr>
        <w:tc>
          <w:tcPr>
            <w:tcW w:w="7560" w:type="dxa"/>
            <w:tcBorders>
              <w:top w:val="nil"/>
              <w:left w:val="single" w:sz="8" w:space="0" w:color="auto"/>
              <w:bottom w:val="single" w:sz="8" w:space="0" w:color="auto"/>
              <w:right w:val="single" w:sz="4" w:space="0" w:color="auto"/>
            </w:tcBorders>
            <w:shd w:val="clear" w:color="000000" w:fill="FFFFFF"/>
            <w:hideMark/>
          </w:tcPr>
          <w:p w14:paraId="5DBA73A7" w14:textId="77777777" w:rsidR="00013D62" w:rsidRPr="00C36CAC" w:rsidRDefault="00013D62" w:rsidP="004653E2">
            <w:pPr>
              <w:spacing w:after="0" w:line="240" w:lineRule="auto"/>
              <w:rPr>
                <w:rFonts w:ascii="Arial" w:eastAsia="Times New Roman" w:hAnsi="Arial" w:cs="Arial"/>
                <w:sz w:val="20"/>
                <w:szCs w:val="20"/>
              </w:rPr>
            </w:pPr>
            <w:r w:rsidRPr="00C36CAC">
              <w:rPr>
                <w:rFonts w:ascii="Arial" w:eastAsia="Times New Roman" w:hAnsi="Arial" w:cs="Arial"/>
                <w:sz w:val="20"/>
                <w:szCs w:val="20"/>
              </w:rPr>
              <w:t>Realizar las revelaciones correspondientes sobre  Instrumentos Financieros (Inversiones, Cuentas por cobrar, Préstamo del IFAM), según lo establecido por la norma.</w:t>
            </w:r>
          </w:p>
        </w:tc>
        <w:tc>
          <w:tcPr>
            <w:tcW w:w="1400" w:type="dxa"/>
            <w:tcBorders>
              <w:top w:val="nil"/>
              <w:left w:val="nil"/>
              <w:bottom w:val="single" w:sz="8" w:space="0" w:color="auto"/>
              <w:right w:val="single" w:sz="8" w:space="0" w:color="auto"/>
            </w:tcBorders>
            <w:shd w:val="clear" w:color="000000" w:fill="FFFFFF"/>
            <w:noWrap/>
            <w:vAlign w:val="center"/>
            <w:hideMark/>
          </w:tcPr>
          <w:p w14:paraId="54F3C63A" w14:textId="563D499A" w:rsidR="00013D62" w:rsidRPr="00C36CAC" w:rsidRDefault="004653E2" w:rsidP="004653E2">
            <w:pPr>
              <w:spacing w:after="0" w:line="240" w:lineRule="auto"/>
              <w:jc w:val="center"/>
              <w:rPr>
                <w:rFonts w:ascii="Arial" w:eastAsia="Times New Roman" w:hAnsi="Arial" w:cs="Arial"/>
                <w:sz w:val="20"/>
                <w:szCs w:val="20"/>
                <w:lang w:val="en-US"/>
              </w:rPr>
            </w:pPr>
            <w:r>
              <w:rPr>
                <w:rFonts w:ascii="Arial" w:eastAsia="Times New Roman" w:hAnsi="Arial" w:cs="Arial"/>
                <w:sz w:val="20"/>
                <w:szCs w:val="20"/>
                <w:lang w:val="en-US"/>
              </w:rPr>
              <w:t>31/12</w:t>
            </w:r>
            <w:r w:rsidR="00013D62" w:rsidRPr="00C36CAC">
              <w:rPr>
                <w:rFonts w:ascii="Arial" w:eastAsia="Times New Roman" w:hAnsi="Arial" w:cs="Arial"/>
                <w:sz w:val="20"/>
                <w:szCs w:val="20"/>
                <w:lang w:val="en-US"/>
              </w:rPr>
              <w:t>/24</w:t>
            </w:r>
          </w:p>
        </w:tc>
      </w:tr>
    </w:tbl>
    <w:p w14:paraId="073F993C" w14:textId="77777777" w:rsidR="003A31CC" w:rsidRDefault="003A31CC" w:rsidP="0074522C">
      <w:pPr>
        <w:rPr>
          <w:lang w:eastAsia="es-CR"/>
        </w:rPr>
      </w:pPr>
      <w:bookmarkStart w:id="97" w:name="_Toc82768890"/>
    </w:p>
    <w:p w14:paraId="27F0211D" w14:textId="3873D945" w:rsidR="00224CE2" w:rsidRPr="00A649A4" w:rsidRDefault="00224CE2" w:rsidP="00A649A4">
      <w:pPr>
        <w:pStyle w:val="Ttulo2"/>
        <w:spacing w:after="240"/>
        <w:rPr>
          <w:rFonts w:eastAsia="Times New Roman"/>
          <w:lang w:eastAsia="es-CR"/>
        </w:rPr>
      </w:pPr>
      <w:bookmarkStart w:id="98" w:name="_Toc173245209"/>
      <w:r w:rsidRPr="00224CE2">
        <w:rPr>
          <w:rFonts w:eastAsia="Times New Roman"/>
          <w:lang w:eastAsia="es-CR"/>
        </w:rPr>
        <w:t>FIDEICOMISOS</w:t>
      </w:r>
      <w:bookmarkEnd w:id="97"/>
      <w:bookmarkEnd w:id="98"/>
      <w:r w:rsidRPr="00224CE2">
        <w:rPr>
          <w:rFonts w:eastAsia="Times New Roman"/>
          <w:lang w:eastAsia="es-CR"/>
        </w:rPr>
        <w:t xml:space="preserve"> </w:t>
      </w:r>
    </w:p>
    <w:p w14:paraId="722D87A9" w14:textId="77777777" w:rsidR="00694299" w:rsidRDefault="00224CE2" w:rsidP="00224CE2">
      <w:pPr>
        <w:rPr>
          <w:rFonts w:asciiTheme="minorHAnsi" w:hAnsiTheme="minorHAnsi"/>
          <w:sz w:val="22"/>
        </w:rPr>
      </w:pPr>
      <w:r>
        <w:t xml:space="preserve">Indicar si este rubro afecta SI o NO a la institución. </w:t>
      </w:r>
      <w:r w:rsidR="00A606BF">
        <w:rPr>
          <w:lang w:val="es-MX"/>
        </w:rPr>
        <w:fldChar w:fldCharType="begin"/>
      </w:r>
      <w:r w:rsidR="00A606BF">
        <w:rPr>
          <w:lang w:val="es-MX"/>
        </w:rPr>
        <w:instrText xml:space="preserve"> LINK </w:instrText>
      </w:r>
      <w:r w:rsidR="00323752">
        <w:rPr>
          <w:lang w:val="es-MX"/>
        </w:rPr>
        <w:instrText xml:space="preserve">Excel.SheetMacroEnabled.12 "D:\\MORAVIA\\INSUMOS\\NOTAS 2024\\Formato_Notas_EEFF_Vinculadas_2024\\XXXXX_PXX_202X_Anexo_Estado_Notas_Contables_Vinculadas.xlsm" FIDEICOMISOS!F9C3:F9C4 </w:instrText>
      </w:r>
      <w:r w:rsidR="00A606BF">
        <w:rPr>
          <w:lang w:val="es-MX"/>
        </w:rPr>
        <w:instrText xml:space="preserve">\a \f 4 \h </w:instrText>
      </w:r>
      <w:r w:rsidR="00A606BF">
        <w:rPr>
          <w:lang w:val="es-MX"/>
        </w:rPr>
        <w:fldChar w:fldCharType="separate"/>
      </w:r>
    </w:p>
    <w:tbl>
      <w:tblPr>
        <w:tblW w:w="4000" w:type="dxa"/>
        <w:tblCellMar>
          <w:left w:w="70" w:type="dxa"/>
          <w:right w:w="70" w:type="dxa"/>
        </w:tblCellMar>
        <w:tblLook w:val="04A0" w:firstRow="1" w:lastRow="0" w:firstColumn="1" w:lastColumn="0" w:noHBand="0" w:noVBand="1"/>
      </w:tblPr>
      <w:tblGrid>
        <w:gridCol w:w="2120"/>
        <w:gridCol w:w="1880"/>
      </w:tblGrid>
      <w:tr w:rsidR="00694299" w:rsidRPr="00694299" w14:paraId="6FA7547D" w14:textId="77777777" w:rsidTr="00694299">
        <w:trPr>
          <w:divId w:val="2059083391"/>
          <w:trHeight w:val="324"/>
        </w:trPr>
        <w:tc>
          <w:tcPr>
            <w:tcW w:w="212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08B2A5EC" w14:textId="54418F91"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3F83F"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NO</w:t>
            </w:r>
          </w:p>
        </w:tc>
      </w:tr>
    </w:tbl>
    <w:p w14:paraId="1FE8C1BC" w14:textId="6967EA25" w:rsidR="00224CE2" w:rsidRDefault="00A606BF" w:rsidP="00224CE2">
      <w:pPr>
        <w:rPr>
          <w:lang w:val="es-MX"/>
        </w:rPr>
      </w:pPr>
      <w:r>
        <w:rPr>
          <w:lang w:val="es-MX"/>
        </w:rPr>
        <w:fldChar w:fldCharType="end"/>
      </w:r>
    </w:p>
    <w:p w14:paraId="0AF7938A" w14:textId="50850624" w:rsidR="00694299" w:rsidRDefault="00224CE2" w:rsidP="00224CE2">
      <w:pPr>
        <w:rPr>
          <w:rFonts w:asciiTheme="minorHAnsi" w:hAnsiTheme="minorHAnsi"/>
          <w:sz w:val="22"/>
        </w:rPr>
      </w:pPr>
      <w:r w:rsidRPr="00224CE2">
        <w:rPr>
          <w:lang w:val="es-MX" w:eastAsia="es-CR"/>
        </w:rPr>
        <w:t xml:space="preserve">A continuación, un cuadro resumen, pero el detalle de los cuadros debe ser adjuntados como anexos </w:t>
      </w:r>
      <w:hyperlink w:anchor="_Fideicomisos" w:history="1">
        <w:r w:rsidRPr="005F2549">
          <w:rPr>
            <w:rStyle w:val="Hipervnculo"/>
            <w:lang w:val="es-MX" w:eastAsia="es-CR"/>
          </w:rPr>
          <w:t>Fideicomisos</w:t>
        </w:r>
      </w:hyperlink>
      <w:r w:rsidR="00A606BF">
        <w:rPr>
          <w:lang w:val="es-MX" w:eastAsia="es-CR"/>
        </w:rPr>
        <w:fldChar w:fldCharType="begin"/>
      </w:r>
      <w:r w:rsidR="00A606BF">
        <w:rPr>
          <w:lang w:val="es-MX" w:eastAsia="es-CR"/>
        </w:rPr>
        <w:instrText xml:space="preserve"> LINK </w:instrText>
      </w:r>
      <w:r w:rsidR="00323752">
        <w:rPr>
          <w:lang w:val="es-MX" w:eastAsia="es-CR"/>
        </w:rPr>
        <w:instrText xml:space="preserve">Excel.SheetMacroEnabled.12 "D:\\MORAVIA\\INSUMOS\\NOTAS 2024\\Formato_Notas_EEFF_Vinculadas_2024\\XXXXX_PXX_202X_Anexo_Estado_Notas_Contables_Vinculadas.xlsm" FIDEICOMISOS!F12C3:F13C4 </w:instrText>
      </w:r>
      <w:r w:rsidR="00A606BF">
        <w:rPr>
          <w:lang w:val="es-MX" w:eastAsia="es-CR"/>
        </w:rPr>
        <w:instrText xml:space="preserve">\a \f 4 \h </w:instrText>
      </w:r>
      <w:r w:rsidR="00A606BF">
        <w:rPr>
          <w:lang w:val="es-MX" w:eastAsia="es-CR"/>
        </w:rPr>
        <w:fldChar w:fldCharType="separate"/>
      </w:r>
    </w:p>
    <w:tbl>
      <w:tblPr>
        <w:tblW w:w="4000" w:type="dxa"/>
        <w:tblCellMar>
          <w:left w:w="70" w:type="dxa"/>
          <w:right w:w="70" w:type="dxa"/>
        </w:tblCellMar>
        <w:tblLook w:val="04A0" w:firstRow="1" w:lastRow="0" w:firstColumn="1" w:lastColumn="0" w:noHBand="0" w:noVBand="1"/>
      </w:tblPr>
      <w:tblGrid>
        <w:gridCol w:w="2120"/>
        <w:gridCol w:w="1880"/>
      </w:tblGrid>
      <w:tr w:rsidR="00694299" w:rsidRPr="00694299" w14:paraId="14291811" w14:textId="77777777" w:rsidTr="00694299">
        <w:trPr>
          <w:divId w:val="1083994274"/>
          <w:trHeight w:val="324"/>
        </w:trPr>
        <w:tc>
          <w:tcPr>
            <w:tcW w:w="2120" w:type="dxa"/>
            <w:tcBorders>
              <w:top w:val="single" w:sz="8" w:space="0" w:color="auto"/>
              <w:left w:val="single" w:sz="8" w:space="0" w:color="auto"/>
              <w:bottom w:val="single" w:sz="8" w:space="0" w:color="auto"/>
              <w:right w:val="nil"/>
            </w:tcBorders>
            <w:shd w:val="clear" w:color="000000" w:fill="1F3864"/>
            <w:vAlign w:val="center"/>
            <w:hideMark/>
          </w:tcPr>
          <w:p w14:paraId="18337915" w14:textId="250D5160" w:rsidR="00694299" w:rsidRPr="00694299" w:rsidRDefault="00694299" w:rsidP="00694299">
            <w:pPr>
              <w:jc w:val="center"/>
              <w:rPr>
                <w:rFonts w:eastAsia="Times New Roman" w:cs="Calibri"/>
                <w:color w:val="FFFFFF"/>
                <w:szCs w:val="24"/>
                <w:lang w:eastAsia="es-CR"/>
              </w:rPr>
            </w:pPr>
            <w:r w:rsidRPr="00694299">
              <w:rPr>
                <w:rFonts w:eastAsia="Times New Roman" w:cs="Calibri"/>
                <w:color w:val="FFFFFF"/>
                <w:szCs w:val="24"/>
                <w:lang w:eastAsia="es-CR"/>
              </w:rPr>
              <w:t>Resumen</w:t>
            </w:r>
          </w:p>
        </w:tc>
        <w:tc>
          <w:tcPr>
            <w:tcW w:w="1880" w:type="dxa"/>
            <w:tcBorders>
              <w:top w:val="single" w:sz="8" w:space="0" w:color="auto"/>
              <w:left w:val="single" w:sz="8" w:space="0" w:color="auto"/>
              <w:bottom w:val="single" w:sz="8" w:space="0" w:color="auto"/>
              <w:right w:val="nil"/>
            </w:tcBorders>
            <w:shd w:val="clear" w:color="000000" w:fill="1F3864"/>
            <w:vAlign w:val="center"/>
            <w:hideMark/>
          </w:tcPr>
          <w:p w14:paraId="09B8DDFE"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Fideicomisos</w:t>
            </w:r>
          </w:p>
        </w:tc>
      </w:tr>
      <w:tr w:rsidR="00694299" w:rsidRPr="00694299" w14:paraId="4133C9F8" w14:textId="77777777" w:rsidTr="00694299">
        <w:trPr>
          <w:divId w:val="1083994274"/>
          <w:trHeight w:val="324"/>
        </w:trPr>
        <w:tc>
          <w:tcPr>
            <w:tcW w:w="2120" w:type="dxa"/>
            <w:tcBorders>
              <w:top w:val="nil"/>
              <w:left w:val="single" w:sz="8" w:space="0" w:color="auto"/>
              <w:bottom w:val="single" w:sz="8" w:space="0" w:color="auto"/>
              <w:right w:val="nil"/>
            </w:tcBorders>
            <w:shd w:val="clear" w:color="000000" w:fill="1F3864"/>
            <w:vAlign w:val="center"/>
            <w:hideMark/>
          </w:tcPr>
          <w:p w14:paraId="078CFFE6"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 xml:space="preserve">CANTIDAD </w:t>
            </w:r>
          </w:p>
        </w:tc>
        <w:tc>
          <w:tcPr>
            <w:tcW w:w="1880" w:type="dxa"/>
            <w:tcBorders>
              <w:top w:val="nil"/>
              <w:left w:val="nil"/>
              <w:bottom w:val="single" w:sz="8" w:space="0" w:color="auto"/>
              <w:right w:val="single" w:sz="8" w:space="0" w:color="auto"/>
            </w:tcBorders>
            <w:shd w:val="clear" w:color="auto" w:fill="auto"/>
            <w:noWrap/>
            <w:vAlign w:val="center"/>
            <w:hideMark/>
          </w:tcPr>
          <w:p w14:paraId="4741C51D" w14:textId="77777777" w:rsidR="00694299" w:rsidRPr="00694299" w:rsidRDefault="00694299" w:rsidP="00694299">
            <w:pPr>
              <w:spacing w:after="0" w:line="240" w:lineRule="auto"/>
              <w:jc w:val="center"/>
              <w:rPr>
                <w:rFonts w:eastAsia="Times New Roman" w:cs="Calibri"/>
                <w:color w:val="000000"/>
                <w:sz w:val="20"/>
                <w:szCs w:val="20"/>
                <w:lang w:eastAsia="es-CR"/>
              </w:rPr>
            </w:pPr>
            <w:r w:rsidRPr="00694299">
              <w:rPr>
                <w:rFonts w:eastAsia="Times New Roman" w:cs="Calibri"/>
                <w:color w:val="000000"/>
                <w:sz w:val="20"/>
                <w:szCs w:val="20"/>
                <w:lang w:eastAsia="es-CR"/>
              </w:rPr>
              <w:t> </w:t>
            </w:r>
          </w:p>
        </w:tc>
      </w:tr>
    </w:tbl>
    <w:p w14:paraId="6DA9D18F" w14:textId="036A3861" w:rsidR="00A606BF" w:rsidRPr="00224CE2" w:rsidRDefault="00A606BF" w:rsidP="00224CE2">
      <w:pPr>
        <w:rPr>
          <w:lang w:val="es-MX" w:eastAsia="es-CR"/>
        </w:rPr>
      </w:pPr>
      <w:r>
        <w:rPr>
          <w:lang w:val="es-MX" w:eastAsia="es-CR"/>
        </w:rPr>
        <w:fldChar w:fldCharType="end"/>
      </w:r>
    </w:p>
    <w:p w14:paraId="7B26DE7F" w14:textId="77777777" w:rsidR="00224CE2" w:rsidRPr="00224CE2" w:rsidRDefault="00224CE2" w:rsidP="00224CE2">
      <w:pPr>
        <w:rPr>
          <w:b/>
          <w:sz w:val="22"/>
          <w:u w:val="single"/>
          <w:lang w:val="es-MX" w:eastAsia="es-CR"/>
        </w:rPr>
      </w:pPr>
      <w:r w:rsidRPr="00224CE2">
        <w:rPr>
          <w:b/>
          <w:sz w:val="22"/>
          <w:u w:val="single"/>
          <w:lang w:val="es-MX" w:eastAsia="es-CR"/>
        </w:rPr>
        <w:t>Revelación Suficiente:</w:t>
      </w:r>
    </w:p>
    <w:p w14:paraId="3AE721E8" w14:textId="172EA2FB" w:rsidR="00224CE2" w:rsidRPr="00422EDF" w:rsidRDefault="00224CE2" w:rsidP="00224CE2">
      <w:pPr>
        <w:rPr>
          <w:rFonts w:eastAsia="Calibri"/>
          <w:lang w:val="es-MX"/>
        </w:rPr>
      </w:pPr>
      <w:r w:rsidRPr="00224CE2">
        <w:rPr>
          <w:rFonts w:eastAsia="Calibri"/>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92F489" w14:textId="43149DBC" w:rsidR="000E540F" w:rsidRPr="00A649A4" w:rsidRDefault="000E540F" w:rsidP="00A649A4">
      <w:pPr>
        <w:pStyle w:val="Ttulo2"/>
        <w:spacing w:after="240"/>
        <w:rPr>
          <w:rFonts w:eastAsia="Times New Roman"/>
          <w:lang w:eastAsia="es-CR"/>
        </w:rPr>
      </w:pPr>
      <w:bookmarkStart w:id="99" w:name="_Toc54961692"/>
      <w:bookmarkStart w:id="100" w:name="_Toc82768891"/>
      <w:bookmarkStart w:id="101" w:name="_Toc173245210"/>
      <w:r w:rsidRPr="000E540F">
        <w:rPr>
          <w:rFonts w:eastAsia="Times New Roman"/>
          <w:lang w:eastAsia="es-CR"/>
        </w:rPr>
        <w:t>NICSP 31- ACTIVOS INTANGIBLES:</w:t>
      </w:r>
      <w:bookmarkEnd w:id="99"/>
      <w:bookmarkEnd w:id="100"/>
      <w:bookmarkEnd w:id="101"/>
    </w:p>
    <w:p w14:paraId="2F09991E" w14:textId="77777777" w:rsidR="00694299" w:rsidRDefault="000E540F" w:rsidP="000E540F">
      <w:pPr>
        <w:rPr>
          <w:rFonts w:asciiTheme="minorHAnsi" w:hAnsiTheme="minorHAnsi"/>
          <w:sz w:val="22"/>
        </w:rPr>
      </w:pPr>
      <w:r w:rsidRPr="00405DBC">
        <w:t xml:space="preserve">De acuerdo con la </w:t>
      </w:r>
      <w:r w:rsidRPr="000E540F">
        <w:rPr>
          <w:rFonts w:eastAsia="Times New Roman"/>
          <w:lang w:val="es-MX" w:eastAsia="es-CR"/>
        </w:rPr>
        <w:t>NICSP 31- Activos Intangibles</w:t>
      </w:r>
      <w:r>
        <w:t>, i</w:t>
      </w:r>
      <w:r w:rsidRPr="00405DBC">
        <w:t>ndicar si este rubro afecta SI o NO a la institución, además del porcentaje de avance</w:t>
      </w:r>
      <w:r>
        <w:t xml:space="preserve"> en la implementación</w:t>
      </w:r>
      <w:r w:rsidRPr="00405DBC">
        <w:t xml:space="preserve"> que presenta</w:t>
      </w:r>
      <w:r>
        <w:rPr>
          <w:b/>
        </w:rPr>
        <w:t>.</w:t>
      </w:r>
      <w:r w:rsidR="00A606BF">
        <w:rPr>
          <w:lang w:val="es-MX"/>
        </w:rPr>
        <w:fldChar w:fldCharType="begin"/>
      </w:r>
      <w:r w:rsidR="00A606BF">
        <w:rPr>
          <w:lang w:val="es-MX"/>
        </w:rPr>
        <w:instrText xml:space="preserve"> LINK </w:instrText>
      </w:r>
      <w:r w:rsidR="00323752">
        <w:rPr>
          <w:lang w:val="es-MX"/>
        </w:rPr>
        <w:instrText xml:space="preserve">Excel.SheetMacroEnabled.12 "D:\\MORAVIA\\INSUMOS\\NOTAS 2024\\Formato_Notas_EEFF_Vinculadas_2024\\XXXXX_PXX_202X_Anexo_Estado_Notas_Contables_Vinculadas.xlsm" NICSP_31!F9C3:F10C4 </w:instrText>
      </w:r>
      <w:r w:rsidR="00A606BF">
        <w:rPr>
          <w:lang w:val="es-MX"/>
        </w:rPr>
        <w:instrText xml:space="preserve">\a \f 4 \h </w:instrText>
      </w:r>
      <w:r w:rsidR="00A606BF">
        <w:rPr>
          <w:lang w:val="es-MX"/>
        </w:rPr>
        <w:fldChar w:fldCharType="separate"/>
      </w:r>
    </w:p>
    <w:tbl>
      <w:tblPr>
        <w:tblW w:w="4980" w:type="dxa"/>
        <w:tblCellMar>
          <w:left w:w="70" w:type="dxa"/>
          <w:right w:w="70" w:type="dxa"/>
        </w:tblCellMar>
        <w:tblLook w:val="04A0" w:firstRow="1" w:lastRow="0" w:firstColumn="1" w:lastColumn="0" w:noHBand="0" w:noVBand="1"/>
      </w:tblPr>
      <w:tblGrid>
        <w:gridCol w:w="3500"/>
        <w:gridCol w:w="1480"/>
      </w:tblGrid>
      <w:tr w:rsidR="00694299" w:rsidRPr="00694299" w14:paraId="520963C6" w14:textId="77777777" w:rsidTr="00694299">
        <w:trPr>
          <w:divId w:val="571280741"/>
          <w:trHeight w:val="324"/>
        </w:trPr>
        <w:tc>
          <w:tcPr>
            <w:tcW w:w="35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6E00D1F8" w14:textId="67D9F144"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3F98D"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Si</w:t>
            </w:r>
          </w:p>
        </w:tc>
      </w:tr>
      <w:tr w:rsidR="00694299" w:rsidRPr="00694299" w14:paraId="50358AA9" w14:textId="77777777" w:rsidTr="00694299">
        <w:trPr>
          <w:divId w:val="571280741"/>
          <w:trHeight w:val="324"/>
        </w:trPr>
        <w:tc>
          <w:tcPr>
            <w:tcW w:w="3500" w:type="dxa"/>
            <w:tcBorders>
              <w:top w:val="nil"/>
              <w:left w:val="single" w:sz="8" w:space="0" w:color="auto"/>
              <w:bottom w:val="single" w:sz="8" w:space="0" w:color="auto"/>
              <w:right w:val="single" w:sz="8" w:space="0" w:color="auto"/>
            </w:tcBorders>
            <w:shd w:val="clear" w:color="000000" w:fill="17365D"/>
            <w:vAlign w:val="center"/>
            <w:hideMark/>
          </w:tcPr>
          <w:p w14:paraId="4D457CB1"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7DCD835D" w14:textId="65D2BDD3"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53,</w:t>
            </w:r>
            <w:r w:rsidR="005144D0">
              <w:rPr>
                <w:rFonts w:eastAsia="Times New Roman" w:cs="Calibri"/>
                <w:color w:val="000000"/>
                <w:sz w:val="22"/>
                <w:lang w:eastAsia="es-CR"/>
              </w:rPr>
              <w:t>00</w:t>
            </w:r>
            <w:r w:rsidRPr="00694299">
              <w:rPr>
                <w:rFonts w:eastAsia="Times New Roman" w:cs="Calibri"/>
                <w:color w:val="000000"/>
                <w:sz w:val="22"/>
                <w:lang w:eastAsia="es-CR"/>
              </w:rPr>
              <w:t>%</w:t>
            </w:r>
          </w:p>
        </w:tc>
      </w:tr>
    </w:tbl>
    <w:p w14:paraId="70E2901E" w14:textId="58F84150" w:rsidR="000E540F" w:rsidRDefault="00A606BF" w:rsidP="000E540F">
      <w:pPr>
        <w:rPr>
          <w:lang w:val="es-MX"/>
        </w:rPr>
      </w:pPr>
      <w:r>
        <w:rPr>
          <w:lang w:val="es-MX"/>
        </w:rPr>
        <w:fldChar w:fldCharType="end"/>
      </w:r>
    </w:p>
    <w:p w14:paraId="5301B048" w14:textId="77777777" w:rsidR="000E540F" w:rsidRPr="000E540F" w:rsidRDefault="000E540F" w:rsidP="000E540F">
      <w:pPr>
        <w:rPr>
          <w:lang w:val="es-MX" w:eastAsia="es-CR"/>
        </w:rPr>
      </w:pPr>
      <w:r w:rsidRPr="000E540F">
        <w:rPr>
          <w:lang w:val="es-MX" w:eastAsia="es-CR"/>
        </w:rPr>
        <w:t>El responsable contable debe analizar el tratamiento contable a utilizar:</w:t>
      </w:r>
    </w:p>
    <w:p w14:paraId="6B8025EE" w14:textId="0EE6F968" w:rsidR="00982595" w:rsidRDefault="000E540F" w:rsidP="001D0A81">
      <w:pPr>
        <w:spacing w:before="240"/>
        <w:rPr>
          <w:rStyle w:val="Hipervnculo"/>
          <w:rFonts w:eastAsia="Calibri"/>
          <w:lang w:val="es-MX"/>
        </w:rPr>
      </w:pPr>
      <w:r w:rsidRPr="000E540F">
        <w:rPr>
          <w:rFonts w:eastAsia="Calibri"/>
          <w:lang w:val="es-MX"/>
        </w:rPr>
        <w:t xml:space="preserve">A continuación, un cuadro resumen, pero el detalle de los cuadros debe ser adjuntados como anexos </w:t>
      </w:r>
      <w:hyperlink w:anchor="_NICSP_31" w:history="1">
        <w:r w:rsidRPr="005F2549">
          <w:rPr>
            <w:rStyle w:val="Hipervnculo"/>
            <w:rFonts w:eastAsia="Calibri"/>
            <w:lang w:val="es-MX"/>
          </w:rPr>
          <w:t>NICSP 31</w:t>
        </w:r>
      </w:hyperlink>
    </w:p>
    <w:tbl>
      <w:tblPr>
        <w:tblW w:w="5100" w:type="dxa"/>
        <w:tblLook w:val="04A0" w:firstRow="1" w:lastRow="0" w:firstColumn="1" w:lastColumn="0" w:noHBand="0" w:noVBand="1"/>
      </w:tblPr>
      <w:tblGrid>
        <w:gridCol w:w="3580"/>
        <w:gridCol w:w="1520"/>
      </w:tblGrid>
      <w:tr w:rsidR="000F565D" w:rsidRPr="000F565D" w14:paraId="334486CC" w14:textId="77777777" w:rsidTr="000F565D">
        <w:trPr>
          <w:trHeight w:val="505"/>
        </w:trPr>
        <w:tc>
          <w:tcPr>
            <w:tcW w:w="3580" w:type="dxa"/>
            <w:tcBorders>
              <w:top w:val="single" w:sz="4" w:space="0" w:color="auto"/>
              <w:left w:val="single" w:sz="4" w:space="0" w:color="auto"/>
              <w:bottom w:val="single" w:sz="4" w:space="0" w:color="auto"/>
              <w:right w:val="single" w:sz="4" w:space="0" w:color="auto"/>
            </w:tcBorders>
            <w:shd w:val="clear" w:color="000000" w:fill="1F3864"/>
            <w:vAlign w:val="center"/>
            <w:hideMark/>
          </w:tcPr>
          <w:p w14:paraId="289FCA93" w14:textId="77777777" w:rsidR="000F565D" w:rsidRPr="000F565D" w:rsidRDefault="000F565D" w:rsidP="000F565D">
            <w:pPr>
              <w:spacing w:after="0" w:line="240" w:lineRule="auto"/>
              <w:jc w:val="left"/>
              <w:rPr>
                <w:rFonts w:eastAsia="Times New Roman" w:cs="Calibri"/>
                <w:color w:val="FFFFFF"/>
                <w:szCs w:val="24"/>
                <w:lang w:val="en-US"/>
              </w:rPr>
            </w:pPr>
            <w:r w:rsidRPr="000F565D">
              <w:rPr>
                <w:rFonts w:eastAsia="Times New Roman" w:cs="Calibri"/>
                <w:color w:val="FFFFFF"/>
                <w:szCs w:val="24"/>
                <w:lang w:val="en-US"/>
              </w:rPr>
              <w:t>Resumen</w:t>
            </w:r>
          </w:p>
        </w:tc>
        <w:tc>
          <w:tcPr>
            <w:tcW w:w="1520" w:type="dxa"/>
            <w:tcBorders>
              <w:top w:val="single" w:sz="4" w:space="0" w:color="auto"/>
              <w:left w:val="nil"/>
              <w:bottom w:val="single" w:sz="4" w:space="0" w:color="auto"/>
              <w:right w:val="single" w:sz="4" w:space="0" w:color="auto"/>
            </w:tcBorders>
            <w:shd w:val="clear" w:color="000000" w:fill="1F3864"/>
            <w:vAlign w:val="center"/>
            <w:hideMark/>
          </w:tcPr>
          <w:p w14:paraId="152B2559" w14:textId="77777777" w:rsidR="000F565D" w:rsidRPr="000F565D" w:rsidRDefault="000F565D" w:rsidP="000F565D">
            <w:pPr>
              <w:spacing w:after="0" w:line="240" w:lineRule="auto"/>
              <w:jc w:val="left"/>
              <w:rPr>
                <w:rFonts w:eastAsia="Times New Roman" w:cs="Calibri"/>
                <w:color w:val="FFFFFF"/>
                <w:szCs w:val="24"/>
                <w:lang w:val="en-US"/>
              </w:rPr>
            </w:pPr>
            <w:r w:rsidRPr="000F565D">
              <w:rPr>
                <w:rFonts w:eastAsia="Times New Roman" w:cs="Calibri"/>
                <w:color w:val="FFFFFF"/>
                <w:szCs w:val="24"/>
                <w:lang w:val="en-US"/>
              </w:rPr>
              <w:t>Intangibles</w:t>
            </w:r>
          </w:p>
        </w:tc>
      </w:tr>
      <w:tr w:rsidR="000F565D" w:rsidRPr="000F565D" w14:paraId="52C47A16" w14:textId="77777777" w:rsidTr="000F565D">
        <w:trPr>
          <w:trHeight w:val="505"/>
        </w:trPr>
        <w:tc>
          <w:tcPr>
            <w:tcW w:w="3580" w:type="dxa"/>
            <w:tcBorders>
              <w:top w:val="nil"/>
              <w:left w:val="single" w:sz="4" w:space="0" w:color="auto"/>
              <w:bottom w:val="single" w:sz="4" w:space="0" w:color="auto"/>
              <w:right w:val="single" w:sz="4" w:space="0" w:color="auto"/>
            </w:tcBorders>
            <w:shd w:val="clear" w:color="000000" w:fill="1F3864"/>
            <w:vAlign w:val="center"/>
            <w:hideMark/>
          </w:tcPr>
          <w:p w14:paraId="66F4142D" w14:textId="77777777" w:rsidR="000F565D" w:rsidRPr="000F565D" w:rsidRDefault="000F565D" w:rsidP="000F565D">
            <w:pPr>
              <w:spacing w:after="0" w:line="240" w:lineRule="auto"/>
              <w:jc w:val="left"/>
              <w:rPr>
                <w:rFonts w:eastAsia="Times New Roman" w:cs="Calibri"/>
                <w:color w:val="FFFFFF"/>
                <w:szCs w:val="24"/>
                <w:lang w:val="en-US"/>
              </w:rPr>
            </w:pPr>
            <w:r w:rsidRPr="000F565D">
              <w:rPr>
                <w:rFonts w:eastAsia="Times New Roman" w:cs="Calibri"/>
                <w:color w:val="FFFFFF"/>
                <w:szCs w:val="24"/>
                <w:lang w:val="en-US"/>
              </w:rPr>
              <w:t xml:space="preserve">CANTIDAD </w:t>
            </w:r>
          </w:p>
        </w:tc>
        <w:tc>
          <w:tcPr>
            <w:tcW w:w="1520" w:type="dxa"/>
            <w:tcBorders>
              <w:top w:val="nil"/>
              <w:left w:val="nil"/>
              <w:bottom w:val="single" w:sz="4" w:space="0" w:color="auto"/>
              <w:right w:val="single" w:sz="4" w:space="0" w:color="auto"/>
            </w:tcBorders>
            <w:shd w:val="clear" w:color="auto" w:fill="auto"/>
            <w:noWrap/>
            <w:vAlign w:val="center"/>
            <w:hideMark/>
          </w:tcPr>
          <w:p w14:paraId="3CB6FAE8" w14:textId="77777777" w:rsidR="000F565D" w:rsidRPr="000F565D" w:rsidRDefault="000F565D" w:rsidP="000F565D">
            <w:pPr>
              <w:spacing w:after="0" w:line="240" w:lineRule="auto"/>
              <w:jc w:val="center"/>
              <w:rPr>
                <w:rFonts w:eastAsia="Times New Roman" w:cs="Calibri"/>
                <w:color w:val="000000"/>
                <w:sz w:val="20"/>
                <w:szCs w:val="20"/>
                <w:lang w:val="en-US"/>
              </w:rPr>
            </w:pPr>
            <w:r w:rsidRPr="000F565D">
              <w:rPr>
                <w:rFonts w:eastAsia="Times New Roman" w:cs="Calibri"/>
                <w:color w:val="000000"/>
                <w:sz w:val="20"/>
                <w:szCs w:val="20"/>
                <w:lang w:val="en-US"/>
              </w:rPr>
              <w:t>7</w:t>
            </w:r>
          </w:p>
        </w:tc>
      </w:tr>
      <w:tr w:rsidR="000F565D" w:rsidRPr="000F565D" w14:paraId="7FCE4F2C" w14:textId="77777777" w:rsidTr="000F565D">
        <w:trPr>
          <w:trHeight w:val="505"/>
        </w:trPr>
        <w:tc>
          <w:tcPr>
            <w:tcW w:w="3580" w:type="dxa"/>
            <w:tcBorders>
              <w:top w:val="nil"/>
              <w:left w:val="single" w:sz="4" w:space="0" w:color="auto"/>
              <w:bottom w:val="single" w:sz="4" w:space="0" w:color="auto"/>
              <w:right w:val="single" w:sz="4" w:space="0" w:color="auto"/>
            </w:tcBorders>
            <w:shd w:val="clear" w:color="000000" w:fill="1F3864"/>
            <w:vAlign w:val="center"/>
            <w:hideMark/>
          </w:tcPr>
          <w:p w14:paraId="568C75BB" w14:textId="77777777" w:rsidR="000F565D" w:rsidRPr="000F565D" w:rsidRDefault="000F565D" w:rsidP="000F565D">
            <w:pPr>
              <w:spacing w:after="0" w:line="240" w:lineRule="auto"/>
              <w:jc w:val="left"/>
              <w:rPr>
                <w:rFonts w:eastAsia="Times New Roman" w:cs="Calibri"/>
                <w:color w:val="FFFFFF"/>
                <w:sz w:val="22"/>
                <w:lang w:val="en-US"/>
              </w:rPr>
            </w:pPr>
            <w:r w:rsidRPr="000F565D">
              <w:rPr>
                <w:rFonts w:eastAsia="Times New Roman" w:cs="Calibri"/>
                <w:color w:val="FFFFFF"/>
                <w:sz w:val="22"/>
                <w:lang w:val="en-US"/>
              </w:rPr>
              <w:t xml:space="preserve">Valor  Inicio </w:t>
            </w:r>
          </w:p>
        </w:tc>
        <w:tc>
          <w:tcPr>
            <w:tcW w:w="1520" w:type="dxa"/>
            <w:tcBorders>
              <w:top w:val="nil"/>
              <w:left w:val="nil"/>
              <w:bottom w:val="single" w:sz="4" w:space="0" w:color="auto"/>
              <w:right w:val="single" w:sz="4" w:space="0" w:color="auto"/>
            </w:tcBorders>
            <w:shd w:val="clear" w:color="auto" w:fill="auto"/>
            <w:noWrap/>
            <w:vAlign w:val="bottom"/>
            <w:hideMark/>
          </w:tcPr>
          <w:p w14:paraId="658D7BAB" w14:textId="77777777" w:rsidR="000F565D" w:rsidRPr="000F565D" w:rsidRDefault="000F565D" w:rsidP="000F565D">
            <w:pPr>
              <w:spacing w:after="0" w:line="240" w:lineRule="auto"/>
              <w:jc w:val="left"/>
              <w:rPr>
                <w:rFonts w:eastAsia="Times New Roman" w:cs="Calibri"/>
                <w:color w:val="000000"/>
                <w:sz w:val="22"/>
                <w:lang w:val="en-US"/>
              </w:rPr>
            </w:pPr>
            <w:r w:rsidRPr="000F565D">
              <w:rPr>
                <w:rFonts w:eastAsia="Times New Roman" w:cs="Calibri"/>
                <w:color w:val="000000"/>
                <w:sz w:val="22"/>
                <w:lang w:val="en-US"/>
              </w:rPr>
              <w:t>3474,77</w:t>
            </w:r>
          </w:p>
        </w:tc>
      </w:tr>
      <w:tr w:rsidR="000F565D" w:rsidRPr="000F565D" w14:paraId="41FDFFD1" w14:textId="77777777" w:rsidTr="000F565D">
        <w:trPr>
          <w:trHeight w:val="505"/>
        </w:trPr>
        <w:tc>
          <w:tcPr>
            <w:tcW w:w="3580" w:type="dxa"/>
            <w:tcBorders>
              <w:top w:val="nil"/>
              <w:left w:val="single" w:sz="4" w:space="0" w:color="auto"/>
              <w:bottom w:val="single" w:sz="4" w:space="0" w:color="auto"/>
              <w:right w:val="single" w:sz="4" w:space="0" w:color="auto"/>
            </w:tcBorders>
            <w:shd w:val="clear" w:color="000000" w:fill="1F3864"/>
            <w:vAlign w:val="center"/>
            <w:hideMark/>
          </w:tcPr>
          <w:p w14:paraId="28C03516" w14:textId="77777777" w:rsidR="000F565D" w:rsidRPr="000F565D" w:rsidRDefault="000F565D" w:rsidP="000F565D">
            <w:pPr>
              <w:spacing w:after="0" w:line="240" w:lineRule="auto"/>
              <w:jc w:val="left"/>
              <w:rPr>
                <w:rFonts w:eastAsia="Times New Roman" w:cs="Calibri"/>
                <w:color w:val="FFFFFF"/>
                <w:sz w:val="22"/>
                <w:lang w:val="en-US"/>
              </w:rPr>
            </w:pPr>
            <w:r w:rsidRPr="000F565D">
              <w:rPr>
                <w:rFonts w:eastAsia="Times New Roman" w:cs="Calibri"/>
                <w:color w:val="FFFFFF"/>
                <w:sz w:val="22"/>
                <w:lang w:val="en-US"/>
              </w:rPr>
              <w:t>Altas</w:t>
            </w:r>
          </w:p>
        </w:tc>
        <w:tc>
          <w:tcPr>
            <w:tcW w:w="1520" w:type="dxa"/>
            <w:tcBorders>
              <w:top w:val="nil"/>
              <w:left w:val="nil"/>
              <w:bottom w:val="single" w:sz="4" w:space="0" w:color="auto"/>
              <w:right w:val="single" w:sz="4" w:space="0" w:color="auto"/>
            </w:tcBorders>
            <w:shd w:val="clear" w:color="auto" w:fill="auto"/>
            <w:noWrap/>
            <w:vAlign w:val="bottom"/>
            <w:hideMark/>
          </w:tcPr>
          <w:p w14:paraId="70C14842" w14:textId="77777777" w:rsidR="000F565D" w:rsidRPr="000F565D" w:rsidRDefault="000F565D" w:rsidP="000F565D">
            <w:pPr>
              <w:spacing w:after="0" w:line="240" w:lineRule="auto"/>
              <w:jc w:val="left"/>
              <w:rPr>
                <w:rFonts w:eastAsia="Times New Roman" w:cs="Calibri"/>
                <w:color w:val="000000"/>
                <w:sz w:val="22"/>
                <w:lang w:val="en-US"/>
              </w:rPr>
            </w:pPr>
            <w:r w:rsidRPr="000F565D">
              <w:rPr>
                <w:rFonts w:eastAsia="Times New Roman" w:cs="Calibri"/>
                <w:color w:val="000000"/>
                <w:sz w:val="22"/>
                <w:lang w:val="en-US"/>
              </w:rPr>
              <w:t>10147,99</w:t>
            </w:r>
          </w:p>
        </w:tc>
      </w:tr>
      <w:tr w:rsidR="000F565D" w:rsidRPr="000F565D" w14:paraId="07EE8AD4" w14:textId="77777777" w:rsidTr="000F565D">
        <w:trPr>
          <w:trHeight w:val="505"/>
        </w:trPr>
        <w:tc>
          <w:tcPr>
            <w:tcW w:w="3580" w:type="dxa"/>
            <w:tcBorders>
              <w:top w:val="nil"/>
              <w:left w:val="single" w:sz="4" w:space="0" w:color="auto"/>
              <w:bottom w:val="single" w:sz="4" w:space="0" w:color="auto"/>
              <w:right w:val="single" w:sz="4" w:space="0" w:color="auto"/>
            </w:tcBorders>
            <w:shd w:val="clear" w:color="000000" w:fill="1F3864"/>
            <w:vAlign w:val="center"/>
            <w:hideMark/>
          </w:tcPr>
          <w:p w14:paraId="484BC7DF" w14:textId="77777777" w:rsidR="000F565D" w:rsidRPr="000F565D" w:rsidRDefault="000F565D" w:rsidP="000F565D">
            <w:pPr>
              <w:spacing w:after="0" w:line="240" w:lineRule="auto"/>
              <w:jc w:val="left"/>
              <w:rPr>
                <w:rFonts w:eastAsia="Times New Roman" w:cs="Calibri"/>
                <w:color w:val="FFFFFF"/>
                <w:sz w:val="22"/>
                <w:lang w:val="en-US"/>
              </w:rPr>
            </w:pPr>
            <w:r w:rsidRPr="000F565D">
              <w:rPr>
                <w:rFonts w:eastAsia="Times New Roman" w:cs="Calibri"/>
                <w:color w:val="FFFFFF"/>
                <w:sz w:val="22"/>
                <w:lang w:val="en-US"/>
              </w:rPr>
              <w:t xml:space="preserve"> Bajas</w:t>
            </w:r>
          </w:p>
        </w:tc>
        <w:tc>
          <w:tcPr>
            <w:tcW w:w="1520" w:type="dxa"/>
            <w:tcBorders>
              <w:top w:val="nil"/>
              <w:left w:val="nil"/>
              <w:bottom w:val="single" w:sz="4" w:space="0" w:color="auto"/>
              <w:right w:val="single" w:sz="4" w:space="0" w:color="auto"/>
            </w:tcBorders>
            <w:shd w:val="clear" w:color="auto" w:fill="auto"/>
            <w:noWrap/>
            <w:vAlign w:val="bottom"/>
            <w:hideMark/>
          </w:tcPr>
          <w:p w14:paraId="1E3F92C6" w14:textId="77777777" w:rsidR="000F565D" w:rsidRPr="000F565D" w:rsidRDefault="000F565D" w:rsidP="000F565D">
            <w:pPr>
              <w:spacing w:after="0" w:line="240" w:lineRule="auto"/>
              <w:jc w:val="left"/>
              <w:rPr>
                <w:rFonts w:eastAsia="Times New Roman" w:cs="Calibri"/>
                <w:color w:val="000000"/>
                <w:sz w:val="22"/>
                <w:lang w:val="en-US"/>
              </w:rPr>
            </w:pPr>
            <w:r w:rsidRPr="000F565D">
              <w:rPr>
                <w:rFonts w:eastAsia="Times New Roman" w:cs="Calibri"/>
                <w:color w:val="000000"/>
                <w:sz w:val="22"/>
                <w:lang w:val="en-US"/>
              </w:rPr>
              <w:t>-10087,76</w:t>
            </w:r>
          </w:p>
        </w:tc>
      </w:tr>
      <w:tr w:rsidR="000F565D" w:rsidRPr="000F565D" w14:paraId="3FDA4511" w14:textId="77777777" w:rsidTr="000F565D">
        <w:trPr>
          <w:trHeight w:val="505"/>
        </w:trPr>
        <w:tc>
          <w:tcPr>
            <w:tcW w:w="3580" w:type="dxa"/>
            <w:tcBorders>
              <w:top w:val="nil"/>
              <w:left w:val="single" w:sz="4" w:space="0" w:color="auto"/>
              <w:bottom w:val="single" w:sz="4" w:space="0" w:color="auto"/>
              <w:right w:val="single" w:sz="4" w:space="0" w:color="auto"/>
            </w:tcBorders>
            <w:shd w:val="clear" w:color="000000" w:fill="1F3864"/>
            <w:vAlign w:val="center"/>
            <w:hideMark/>
          </w:tcPr>
          <w:p w14:paraId="655092C6" w14:textId="77777777" w:rsidR="000F565D" w:rsidRPr="000F565D" w:rsidRDefault="000F565D" w:rsidP="000F565D">
            <w:pPr>
              <w:spacing w:after="0" w:line="240" w:lineRule="auto"/>
              <w:jc w:val="left"/>
              <w:rPr>
                <w:rFonts w:eastAsia="Times New Roman" w:cs="Calibri"/>
                <w:color w:val="FFFFFF"/>
                <w:sz w:val="22"/>
                <w:lang w:val="en-US"/>
              </w:rPr>
            </w:pPr>
            <w:r w:rsidRPr="000F565D">
              <w:rPr>
                <w:rFonts w:eastAsia="Times New Roman" w:cs="Calibri"/>
                <w:color w:val="FFFFFF"/>
                <w:sz w:val="22"/>
                <w:lang w:val="en-US"/>
              </w:rPr>
              <w:t>Amortización</w:t>
            </w:r>
          </w:p>
        </w:tc>
        <w:tc>
          <w:tcPr>
            <w:tcW w:w="1520" w:type="dxa"/>
            <w:tcBorders>
              <w:top w:val="nil"/>
              <w:left w:val="nil"/>
              <w:bottom w:val="single" w:sz="4" w:space="0" w:color="auto"/>
              <w:right w:val="single" w:sz="4" w:space="0" w:color="auto"/>
            </w:tcBorders>
            <w:shd w:val="clear" w:color="auto" w:fill="auto"/>
            <w:noWrap/>
            <w:vAlign w:val="bottom"/>
            <w:hideMark/>
          </w:tcPr>
          <w:p w14:paraId="5F1B92C4" w14:textId="77777777" w:rsidR="000F565D" w:rsidRPr="000F565D" w:rsidRDefault="000F565D" w:rsidP="000F565D">
            <w:pPr>
              <w:spacing w:after="0" w:line="240" w:lineRule="auto"/>
              <w:jc w:val="left"/>
              <w:rPr>
                <w:rFonts w:eastAsia="Times New Roman" w:cs="Calibri"/>
                <w:color w:val="000000"/>
                <w:sz w:val="22"/>
                <w:lang w:val="en-US"/>
              </w:rPr>
            </w:pPr>
            <w:r w:rsidRPr="000F565D">
              <w:rPr>
                <w:rFonts w:eastAsia="Times New Roman" w:cs="Calibri"/>
                <w:color w:val="000000"/>
                <w:sz w:val="22"/>
                <w:lang w:val="en-US"/>
              </w:rPr>
              <w:t>0,00</w:t>
            </w:r>
          </w:p>
        </w:tc>
      </w:tr>
      <w:tr w:rsidR="000F565D" w:rsidRPr="000F565D" w14:paraId="38EE984A" w14:textId="77777777" w:rsidTr="000F565D">
        <w:trPr>
          <w:trHeight w:val="505"/>
        </w:trPr>
        <w:tc>
          <w:tcPr>
            <w:tcW w:w="3580" w:type="dxa"/>
            <w:tcBorders>
              <w:top w:val="nil"/>
              <w:left w:val="single" w:sz="4" w:space="0" w:color="auto"/>
              <w:bottom w:val="single" w:sz="4" w:space="0" w:color="auto"/>
              <w:right w:val="single" w:sz="4" w:space="0" w:color="auto"/>
            </w:tcBorders>
            <w:shd w:val="clear" w:color="000000" w:fill="1F3864"/>
            <w:vAlign w:val="center"/>
            <w:hideMark/>
          </w:tcPr>
          <w:p w14:paraId="33986B2D" w14:textId="77777777" w:rsidR="000F565D" w:rsidRPr="000F565D" w:rsidRDefault="000F565D" w:rsidP="000F565D">
            <w:pPr>
              <w:spacing w:after="0" w:line="240" w:lineRule="auto"/>
              <w:jc w:val="left"/>
              <w:rPr>
                <w:rFonts w:eastAsia="Times New Roman" w:cs="Calibri"/>
                <w:color w:val="FFFFFF"/>
                <w:sz w:val="22"/>
                <w:lang w:val="en-US"/>
              </w:rPr>
            </w:pPr>
            <w:r w:rsidRPr="000F565D">
              <w:rPr>
                <w:rFonts w:eastAsia="Times New Roman" w:cs="Calibri"/>
                <w:color w:val="FFFFFF"/>
                <w:sz w:val="22"/>
                <w:lang w:val="en-US"/>
              </w:rPr>
              <w:t>Deterioro</w:t>
            </w:r>
          </w:p>
        </w:tc>
        <w:tc>
          <w:tcPr>
            <w:tcW w:w="1520" w:type="dxa"/>
            <w:tcBorders>
              <w:top w:val="nil"/>
              <w:left w:val="nil"/>
              <w:bottom w:val="single" w:sz="4" w:space="0" w:color="auto"/>
              <w:right w:val="single" w:sz="4" w:space="0" w:color="auto"/>
            </w:tcBorders>
            <w:shd w:val="clear" w:color="auto" w:fill="auto"/>
            <w:noWrap/>
            <w:vAlign w:val="bottom"/>
            <w:hideMark/>
          </w:tcPr>
          <w:p w14:paraId="79547A8E" w14:textId="77777777" w:rsidR="000F565D" w:rsidRPr="000F565D" w:rsidRDefault="000F565D" w:rsidP="000F565D">
            <w:pPr>
              <w:spacing w:after="0" w:line="240" w:lineRule="auto"/>
              <w:jc w:val="left"/>
              <w:rPr>
                <w:rFonts w:eastAsia="Times New Roman" w:cs="Calibri"/>
                <w:color w:val="000000"/>
                <w:sz w:val="22"/>
                <w:lang w:val="en-US"/>
              </w:rPr>
            </w:pPr>
            <w:r w:rsidRPr="000F565D">
              <w:rPr>
                <w:rFonts w:eastAsia="Times New Roman" w:cs="Calibri"/>
                <w:color w:val="000000"/>
                <w:sz w:val="22"/>
                <w:lang w:val="en-US"/>
              </w:rPr>
              <w:t>0,00</w:t>
            </w:r>
          </w:p>
        </w:tc>
      </w:tr>
      <w:tr w:rsidR="000F565D" w:rsidRPr="000F565D" w14:paraId="40CA3262" w14:textId="77777777" w:rsidTr="000F565D">
        <w:trPr>
          <w:trHeight w:val="505"/>
        </w:trPr>
        <w:tc>
          <w:tcPr>
            <w:tcW w:w="3580" w:type="dxa"/>
            <w:tcBorders>
              <w:top w:val="nil"/>
              <w:left w:val="single" w:sz="4" w:space="0" w:color="auto"/>
              <w:bottom w:val="single" w:sz="4" w:space="0" w:color="auto"/>
              <w:right w:val="single" w:sz="4" w:space="0" w:color="auto"/>
            </w:tcBorders>
            <w:shd w:val="clear" w:color="000000" w:fill="1F3864"/>
            <w:vAlign w:val="center"/>
            <w:hideMark/>
          </w:tcPr>
          <w:p w14:paraId="34552EB8" w14:textId="77777777" w:rsidR="000F565D" w:rsidRPr="000F565D" w:rsidRDefault="000F565D" w:rsidP="000F565D">
            <w:pPr>
              <w:spacing w:after="0" w:line="240" w:lineRule="auto"/>
              <w:jc w:val="left"/>
              <w:rPr>
                <w:rFonts w:eastAsia="Times New Roman" w:cs="Calibri"/>
                <w:color w:val="FFFFFF"/>
                <w:sz w:val="22"/>
              </w:rPr>
            </w:pPr>
            <w:r w:rsidRPr="000F565D">
              <w:rPr>
                <w:rFonts w:eastAsia="Times New Roman" w:cs="Calibri"/>
                <w:color w:val="FFFFFF"/>
                <w:sz w:val="22"/>
              </w:rPr>
              <w:t xml:space="preserve">Ajustes por reversión de Deterioro </w:t>
            </w:r>
          </w:p>
        </w:tc>
        <w:tc>
          <w:tcPr>
            <w:tcW w:w="1520" w:type="dxa"/>
            <w:tcBorders>
              <w:top w:val="nil"/>
              <w:left w:val="nil"/>
              <w:bottom w:val="single" w:sz="4" w:space="0" w:color="auto"/>
              <w:right w:val="single" w:sz="4" w:space="0" w:color="auto"/>
            </w:tcBorders>
            <w:shd w:val="clear" w:color="auto" w:fill="auto"/>
            <w:noWrap/>
            <w:vAlign w:val="bottom"/>
            <w:hideMark/>
          </w:tcPr>
          <w:p w14:paraId="42EE0888" w14:textId="77777777" w:rsidR="000F565D" w:rsidRPr="000F565D" w:rsidRDefault="000F565D" w:rsidP="000F565D">
            <w:pPr>
              <w:spacing w:after="0" w:line="240" w:lineRule="auto"/>
              <w:jc w:val="left"/>
              <w:rPr>
                <w:rFonts w:eastAsia="Times New Roman" w:cs="Calibri"/>
                <w:color w:val="000000"/>
                <w:sz w:val="22"/>
                <w:lang w:val="en-US"/>
              </w:rPr>
            </w:pPr>
            <w:r w:rsidRPr="000F565D">
              <w:rPr>
                <w:rFonts w:eastAsia="Times New Roman" w:cs="Calibri"/>
                <w:color w:val="000000"/>
                <w:sz w:val="22"/>
                <w:lang w:val="en-US"/>
              </w:rPr>
              <w:t>0,00</w:t>
            </w:r>
          </w:p>
        </w:tc>
      </w:tr>
      <w:tr w:rsidR="000F565D" w:rsidRPr="000F565D" w14:paraId="20CD6CCB" w14:textId="77777777" w:rsidTr="000F565D">
        <w:trPr>
          <w:trHeight w:val="505"/>
        </w:trPr>
        <w:tc>
          <w:tcPr>
            <w:tcW w:w="3580" w:type="dxa"/>
            <w:tcBorders>
              <w:top w:val="nil"/>
              <w:left w:val="single" w:sz="4" w:space="0" w:color="auto"/>
              <w:bottom w:val="single" w:sz="4" w:space="0" w:color="auto"/>
              <w:right w:val="single" w:sz="4" w:space="0" w:color="auto"/>
            </w:tcBorders>
            <w:shd w:val="clear" w:color="000000" w:fill="1F3864"/>
            <w:vAlign w:val="center"/>
            <w:hideMark/>
          </w:tcPr>
          <w:p w14:paraId="27FB9F70" w14:textId="77777777" w:rsidR="000F565D" w:rsidRPr="000F565D" w:rsidRDefault="000F565D" w:rsidP="000F565D">
            <w:pPr>
              <w:spacing w:after="0" w:line="240" w:lineRule="auto"/>
              <w:jc w:val="left"/>
              <w:rPr>
                <w:rFonts w:eastAsia="Times New Roman" w:cs="Calibri"/>
                <w:color w:val="FFFFFF"/>
                <w:sz w:val="22"/>
              </w:rPr>
            </w:pPr>
            <w:r w:rsidRPr="000F565D">
              <w:rPr>
                <w:rFonts w:eastAsia="Times New Roman" w:cs="Calibri"/>
                <w:color w:val="FFFFFF"/>
                <w:sz w:val="22"/>
              </w:rPr>
              <w:t>Ajustes por diferencias derivadas T.C.</w:t>
            </w:r>
          </w:p>
        </w:tc>
        <w:tc>
          <w:tcPr>
            <w:tcW w:w="1520" w:type="dxa"/>
            <w:tcBorders>
              <w:top w:val="nil"/>
              <w:left w:val="nil"/>
              <w:bottom w:val="single" w:sz="4" w:space="0" w:color="auto"/>
              <w:right w:val="single" w:sz="4" w:space="0" w:color="auto"/>
            </w:tcBorders>
            <w:shd w:val="clear" w:color="auto" w:fill="auto"/>
            <w:noWrap/>
            <w:vAlign w:val="bottom"/>
            <w:hideMark/>
          </w:tcPr>
          <w:p w14:paraId="7B204A40" w14:textId="77777777" w:rsidR="000F565D" w:rsidRPr="000F565D" w:rsidRDefault="000F565D" w:rsidP="000F565D">
            <w:pPr>
              <w:spacing w:after="0" w:line="240" w:lineRule="auto"/>
              <w:jc w:val="left"/>
              <w:rPr>
                <w:rFonts w:eastAsia="Times New Roman" w:cs="Calibri"/>
                <w:color w:val="000000"/>
                <w:sz w:val="22"/>
                <w:lang w:val="en-US"/>
              </w:rPr>
            </w:pPr>
            <w:r w:rsidRPr="000F565D">
              <w:rPr>
                <w:rFonts w:eastAsia="Times New Roman" w:cs="Calibri"/>
                <w:color w:val="000000"/>
                <w:sz w:val="22"/>
                <w:lang w:val="en-US"/>
              </w:rPr>
              <w:t>0,00</w:t>
            </w:r>
          </w:p>
        </w:tc>
      </w:tr>
      <w:tr w:rsidR="000F565D" w:rsidRPr="000F565D" w14:paraId="3ADB1C61" w14:textId="77777777" w:rsidTr="000F565D">
        <w:trPr>
          <w:trHeight w:val="505"/>
        </w:trPr>
        <w:tc>
          <w:tcPr>
            <w:tcW w:w="3580" w:type="dxa"/>
            <w:tcBorders>
              <w:top w:val="nil"/>
              <w:left w:val="single" w:sz="4" w:space="0" w:color="auto"/>
              <w:bottom w:val="single" w:sz="4" w:space="0" w:color="auto"/>
              <w:right w:val="single" w:sz="4" w:space="0" w:color="auto"/>
            </w:tcBorders>
            <w:shd w:val="clear" w:color="000000" w:fill="1F3864"/>
            <w:vAlign w:val="center"/>
            <w:hideMark/>
          </w:tcPr>
          <w:p w14:paraId="03D35ED3" w14:textId="77777777" w:rsidR="000F565D" w:rsidRPr="000F565D" w:rsidRDefault="000F565D" w:rsidP="000F565D">
            <w:pPr>
              <w:spacing w:after="0" w:line="240" w:lineRule="auto"/>
              <w:jc w:val="left"/>
              <w:rPr>
                <w:rFonts w:eastAsia="Times New Roman" w:cs="Calibri"/>
                <w:color w:val="FFFFFF"/>
                <w:sz w:val="22"/>
                <w:lang w:val="en-US"/>
              </w:rPr>
            </w:pPr>
            <w:r w:rsidRPr="000F565D">
              <w:rPr>
                <w:rFonts w:eastAsia="Times New Roman" w:cs="Calibri"/>
                <w:color w:val="FFFFFF"/>
                <w:sz w:val="22"/>
                <w:lang w:val="en-US"/>
              </w:rPr>
              <w:t>Valor al Cierre</w:t>
            </w:r>
          </w:p>
        </w:tc>
        <w:tc>
          <w:tcPr>
            <w:tcW w:w="1520" w:type="dxa"/>
            <w:tcBorders>
              <w:top w:val="nil"/>
              <w:left w:val="nil"/>
              <w:bottom w:val="single" w:sz="4" w:space="0" w:color="auto"/>
              <w:right w:val="single" w:sz="4" w:space="0" w:color="auto"/>
            </w:tcBorders>
            <w:shd w:val="clear" w:color="auto" w:fill="auto"/>
            <w:noWrap/>
            <w:vAlign w:val="bottom"/>
            <w:hideMark/>
          </w:tcPr>
          <w:p w14:paraId="5EE9652B" w14:textId="77777777" w:rsidR="000F565D" w:rsidRPr="000F565D" w:rsidRDefault="000F565D" w:rsidP="000F565D">
            <w:pPr>
              <w:spacing w:after="0" w:line="240" w:lineRule="auto"/>
              <w:jc w:val="left"/>
              <w:rPr>
                <w:rFonts w:eastAsia="Times New Roman" w:cs="Calibri"/>
                <w:color w:val="000000"/>
                <w:sz w:val="22"/>
                <w:lang w:val="en-US"/>
              </w:rPr>
            </w:pPr>
            <w:r w:rsidRPr="000F565D">
              <w:rPr>
                <w:rFonts w:eastAsia="Times New Roman" w:cs="Calibri"/>
                <w:color w:val="000000"/>
                <w:sz w:val="22"/>
                <w:lang w:val="en-US"/>
              </w:rPr>
              <w:t>3474,77</w:t>
            </w:r>
          </w:p>
        </w:tc>
      </w:tr>
    </w:tbl>
    <w:p w14:paraId="241D409F" w14:textId="13682C5A" w:rsidR="00694299" w:rsidRDefault="00A606BF" w:rsidP="000F565D">
      <w:pPr>
        <w:spacing w:after="0" w:line="240" w:lineRule="auto"/>
        <w:rPr>
          <w:rFonts w:asciiTheme="minorHAnsi" w:hAnsiTheme="minorHAnsi"/>
          <w:sz w:val="22"/>
        </w:rPr>
      </w:pPr>
      <w:r>
        <w:rPr>
          <w:highlight w:val="yellow"/>
          <w:lang w:val="es-MX"/>
        </w:rPr>
        <w:fldChar w:fldCharType="begin"/>
      </w:r>
      <w:r>
        <w:rPr>
          <w:highlight w:val="yellow"/>
          <w:lang w:val="es-MX"/>
        </w:rPr>
        <w:instrText xml:space="preserve"> LINK </w:instrText>
      </w:r>
      <w:r w:rsidR="00323752">
        <w:rPr>
          <w:highlight w:val="yellow"/>
          <w:lang w:val="es-MX"/>
        </w:rPr>
        <w:instrText xml:space="preserve">Excel.SheetMacroEnabled.12 "D:\\MORAVIA\\INSUMOS\\NOTAS 2024\\Formato_Notas_EEFF_Vinculadas_2024\\XXXXX_PXX_202X_Anexo_Estado_Notas_Contables_Vinculadas.xlsm" NICSP_31!F12C3:F21C4 </w:instrText>
      </w:r>
      <w:r>
        <w:rPr>
          <w:highlight w:val="yellow"/>
          <w:lang w:val="es-MX"/>
        </w:rPr>
        <w:instrText xml:space="preserve">\a \f 4 \h </w:instrText>
      </w:r>
      <w:r w:rsidR="005144D0">
        <w:rPr>
          <w:highlight w:val="yellow"/>
          <w:lang w:val="es-MX"/>
        </w:rPr>
        <w:instrText xml:space="preserve"> \* MERGEFORMAT </w:instrText>
      </w:r>
      <w:r>
        <w:rPr>
          <w:highlight w:val="yellow"/>
          <w:lang w:val="es-MX"/>
        </w:rPr>
        <w:fldChar w:fldCharType="separate"/>
      </w:r>
    </w:p>
    <w:p w14:paraId="319B1840" w14:textId="421DAF6F" w:rsidR="00E45870" w:rsidRPr="00E45870" w:rsidRDefault="00A606BF" w:rsidP="001D0A81">
      <w:pPr>
        <w:spacing w:before="240"/>
      </w:pPr>
      <w:r>
        <w:rPr>
          <w:rFonts w:eastAsia="Calibri"/>
          <w:color w:val="0000FF"/>
          <w:highlight w:val="yellow"/>
          <w:u w:val="single"/>
          <w:lang w:val="es-MX"/>
        </w:rPr>
        <w:fldChar w:fldCharType="end"/>
      </w:r>
      <w:r w:rsidR="00E45870" w:rsidRPr="00E45870">
        <w:rPr>
          <w:lang w:eastAsia="es-CR"/>
        </w:rPr>
        <w:t>El responsable contable debe analizar y revelar lo dispuesto en el párrafo 117 de la NICSP 31.</w:t>
      </w:r>
    </w:p>
    <w:p w14:paraId="25FE2771" w14:textId="77777777" w:rsidR="00E45870" w:rsidRPr="00E45870" w:rsidRDefault="00E45870" w:rsidP="00E45870">
      <w:pPr>
        <w:spacing w:line="240" w:lineRule="auto"/>
        <w:rPr>
          <w:i/>
          <w:lang w:val="es-ES" w:eastAsia="es-ES" w:bidi="es-ES"/>
        </w:rPr>
      </w:pPr>
      <w:r w:rsidRPr="00E45870">
        <w:rPr>
          <w:i/>
          <w:lang w:val="es-ES" w:eastAsia="es-ES" w:bidi="es-ES"/>
        </w:rPr>
        <w:t>“117. La entidad revelará la siguiente información para cada una de las clases de activos intangibles, distinguiendo entre los que se hayan generado internamente y el resto de activos intangibles:</w:t>
      </w:r>
    </w:p>
    <w:p w14:paraId="223BEBE0" w14:textId="77777777" w:rsidR="00E45870" w:rsidRPr="00E45870" w:rsidRDefault="00E45870" w:rsidP="00E45870">
      <w:pPr>
        <w:spacing w:line="240" w:lineRule="auto"/>
        <w:rPr>
          <w:i/>
          <w:lang w:val="es-ES" w:eastAsia="es-ES" w:bidi="es-ES"/>
        </w:rPr>
      </w:pPr>
      <w:r w:rsidRPr="00E45870">
        <w:rPr>
          <w:i/>
          <w:lang w:val="es-ES" w:eastAsia="es-ES" w:bidi="es-ES"/>
        </w:rPr>
        <w:t xml:space="preserve"> (a) si las vidas útiles son indefinidas o finitas y, en este caso, las vidas útiles o las tasas de amortización utilizadas; </w:t>
      </w:r>
    </w:p>
    <w:p w14:paraId="6FD4B156" w14:textId="77777777" w:rsidR="00E45870" w:rsidRPr="00E45870" w:rsidRDefault="00E45870" w:rsidP="00E45870">
      <w:pPr>
        <w:spacing w:line="240" w:lineRule="auto"/>
        <w:rPr>
          <w:i/>
          <w:lang w:val="es-ES" w:eastAsia="es-ES" w:bidi="es-ES"/>
        </w:rPr>
      </w:pPr>
      <w:r w:rsidRPr="00E45870">
        <w:rPr>
          <w:i/>
          <w:lang w:val="es-ES" w:eastAsia="es-ES" w:bidi="es-ES"/>
        </w:rPr>
        <w:t xml:space="preserve">(b) los métodos de amortización utilizados para los activos intangibles con vidas útiles finitas; </w:t>
      </w:r>
    </w:p>
    <w:p w14:paraId="4DA41C97" w14:textId="77777777" w:rsidR="00E45870" w:rsidRPr="00E45870" w:rsidRDefault="00E45870" w:rsidP="00E45870">
      <w:pPr>
        <w:spacing w:line="240" w:lineRule="auto"/>
        <w:rPr>
          <w:i/>
          <w:lang w:val="es-ES" w:eastAsia="es-ES" w:bidi="es-ES"/>
        </w:rPr>
      </w:pPr>
      <w:r w:rsidRPr="00E45870">
        <w:rPr>
          <w:i/>
          <w:lang w:val="es-ES" w:eastAsia="es-ES" w:bidi="es-ES"/>
        </w:rPr>
        <w:t xml:space="preserve">(c) el importe en libros bruto y la amortización acumulada (junto con el importe acumulado de las pérdidas por deterioro del valor), tanto al principio como al final de cada periodo; </w:t>
      </w:r>
    </w:p>
    <w:p w14:paraId="2BE99982" w14:textId="77777777" w:rsidR="00E45870" w:rsidRPr="00E45870" w:rsidRDefault="00E45870" w:rsidP="00E45870">
      <w:pPr>
        <w:spacing w:line="240" w:lineRule="auto"/>
        <w:rPr>
          <w:i/>
          <w:lang w:val="es-ES" w:eastAsia="es-ES" w:bidi="es-ES"/>
        </w:rPr>
      </w:pPr>
      <w:r w:rsidRPr="00E45870">
        <w:rPr>
          <w:i/>
          <w:lang w:val="es-ES" w:eastAsia="es-ES" w:bidi="es-ES"/>
        </w:rPr>
        <w:t xml:space="preserve">(d) la partida o partidas del estado de rendimiento financiero en las que esté incluida la amortización de los activos intangibles; </w:t>
      </w:r>
    </w:p>
    <w:p w14:paraId="3BB2E319" w14:textId="77777777" w:rsidR="00E45870" w:rsidRPr="00E45870" w:rsidRDefault="00E45870" w:rsidP="00E45870">
      <w:pPr>
        <w:spacing w:line="240" w:lineRule="auto"/>
        <w:rPr>
          <w:i/>
          <w:lang w:val="es-ES" w:eastAsia="es-ES" w:bidi="es-ES"/>
        </w:rPr>
      </w:pPr>
      <w:r w:rsidRPr="00E45870">
        <w:rPr>
          <w:i/>
          <w:lang w:val="es-ES" w:eastAsia="es-ES" w:bidi="es-ES"/>
        </w:rPr>
        <w:t>(e) una conciliación entre los valores en libros al principio y al final del periodo, mostrando:</w:t>
      </w:r>
    </w:p>
    <w:p w14:paraId="58BF0BE0" w14:textId="77777777" w:rsidR="00E45870" w:rsidRPr="00E45870" w:rsidRDefault="00E45870" w:rsidP="00E45870">
      <w:pPr>
        <w:spacing w:line="240" w:lineRule="auto"/>
        <w:rPr>
          <w:i/>
          <w:lang w:val="es-ES" w:eastAsia="es-ES" w:bidi="es-ES"/>
        </w:rPr>
      </w:pPr>
      <w:r w:rsidRPr="00E45870">
        <w:rPr>
          <w:i/>
          <w:lang w:val="es-ES" w:eastAsia="es-ES" w:bidi="es-ES"/>
        </w:rPr>
        <w:tab/>
        <w:t xml:space="preserve">(i) los incrementos, con indicación separada de los que procedan de desarrollos internos, </w:t>
      </w:r>
      <w:r w:rsidRPr="00E45870">
        <w:rPr>
          <w:i/>
          <w:lang w:val="es-ES" w:eastAsia="es-ES" w:bidi="es-ES"/>
        </w:rPr>
        <w:tab/>
        <w:t xml:space="preserve">aquellos adquiridos por separado y los adquiridos a través de adquisiciones; </w:t>
      </w:r>
    </w:p>
    <w:p w14:paraId="34376964" w14:textId="77777777" w:rsidR="00E45870" w:rsidRPr="00E45870" w:rsidRDefault="00E45870" w:rsidP="00E45870">
      <w:pPr>
        <w:spacing w:line="240" w:lineRule="auto"/>
        <w:rPr>
          <w:i/>
          <w:lang w:val="es-ES" w:eastAsia="es-ES" w:bidi="es-ES"/>
        </w:rPr>
      </w:pPr>
      <w:r w:rsidRPr="00E45870">
        <w:rPr>
          <w:i/>
          <w:lang w:val="es-ES" w:eastAsia="es-ES" w:bidi="es-ES"/>
        </w:rPr>
        <w:tab/>
        <w:t xml:space="preserve">(ii) las disposiciones; </w:t>
      </w:r>
    </w:p>
    <w:p w14:paraId="4CD2F313" w14:textId="77777777" w:rsidR="00E45870" w:rsidRPr="00E45870" w:rsidRDefault="00E45870" w:rsidP="00E45870">
      <w:pPr>
        <w:spacing w:line="240" w:lineRule="auto"/>
        <w:rPr>
          <w:i/>
          <w:lang w:val="es-ES" w:eastAsia="es-ES" w:bidi="es-ES"/>
        </w:rPr>
      </w:pPr>
      <w:r w:rsidRPr="00E45870">
        <w:rPr>
          <w:i/>
          <w:lang w:val="es-ES" w:eastAsia="es-ES" w:bidi="es-ES"/>
        </w:rPr>
        <w:tab/>
        <w:t xml:space="preserve">(iii) los incrementos o disminuciones, durante el periodo, procedentes de revaluaciones </w:t>
      </w:r>
      <w:r w:rsidRPr="00E45870">
        <w:rPr>
          <w:i/>
          <w:lang w:val="es-ES" w:eastAsia="es-ES" w:bidi="es-ES"/>
        </w:rPr>
        <w:tab/>
        <w:t xml:space="preserve">efectuadas según se indica en los párrafos 74, 84 y 85 (si las hubiere); </w:t>
      </w:r>
    </w:p>
    <w:p w14:paraId="53C40042" w14:textId="77777777" w:rsidR="00E45870" w:rsidRPr="00E45870" w:rsidRDefault="00E45870" w:rsidP="00E45870">
      <w:pPr>
        <w:spacing w:line="240" w:lineRule="auto"/>
        <w:rPr>
          <w:i/>
          <w:lang w:val="es-ES" w:eastAsia="es-ES" w:bidi="es-ES"/>
        </w:rPr>
      </w:pPr>
      <w:r w:rsidRPr="00E45870">
        <w:rPr>
          <w:i/>
          <w:lang w:val="es-ES" w:eastAsia="es-ES" w:bidi="es-ES"/>
        </w:rPr>
        <w:tab/>
        <w:t xml:space="preserve">(iv) las pérdidas por deterioro del valor reconocidas durante el periodo en el resultado (ahorro </w:t>
      </w:r>
      <w:r w:rsidRPr="00E45870">
        <w:rPr>
          <w:i/>
          <w:lang w:val="es-ES" w:eastAsia="es-ES" w:bidi="es-ES"/>
        </w:rPr>
        <w:tab/>
        <w:t xml:space="preserve">o desahorro), de acuerdo con lo establecido en la NICSP 21 o en la NICSP 26 (si las hubiere); </w:t>
      </w:r>
      <w:r w:rsidRPr="00E45870">
        <w:rPr>
          <w:i/>
          <w:lang w:val="es-ES" w:eastAsia="es-ES" w:bidi="es-ES"/>
        </w:rPr>
        <w:tab/>
        <w:t xml:space="preserve">(v) las reversiones de pérdidas por deterioro del valor reconocidas durante el periodo en el </w:t>
      </w:r>
      <w:r w:rsidRPr="00E45870">
        <w:rPr>
          <w:i/>
          <w:lang w:val="es-ES" w:eastAsia="es-ES" w:bidi="es-ES"/>
        </w:rPr>
        <w:tab/>
        <w:t xml:space="preserve">resultado (ahorro o desahorro), de acuerdo con la NICSP 21 o la NICSP 26 (si las hubiere); </w:t>
      </w:r>
      <w:r w:rsidRPr="00E45870">
        <w:rPr>
          <w:i/>
          <w:lang w:val="es-ES" w:eastAsia="es-ES" w:bidi="es-ES"/>
        </w:rPr>
        <w:tab/>
        <w:t xml:space="preserve">(vi) el importe de la amortización reconocida durante el periodo; </w:t>
      </w:r>
    </w:p>
    <w:p w14:paraId="214AD472" w14:textId="77777777" w:rsidR="00E45870" w:rsidRPr="00E45870" w:rsidRDefault="00E45870" w:rsidP="00E45870">
      <w:pPr>
        <w:spacing w:line="240" w:lineRule="auto"/>
        <w:rPr>
          <w:i/>
          <w:lang w:val="es-ES" w:eastAsia="es-ES" w:bidi="es-ES"/>
        </w:rPr>
      </w:pPr>
      <w:r w:rsidRPr="00E45870">
        <w:rPr>
          <w:i/>
          <w:lang w:val="es-ES" w:eastAsia="es-ES" w:bidi="es-ES"/>
        </w:rPr>
        <w:tab/>
        <w:t xml:space="preserve">(vii) las diferencias de cambio netas derivadas de la conversión de los estados financieros a </w:t>
      </w:r>
      <w:r w:rsidRPr="00E45870">
        <w:rPr>
          <w:i/>
          <w:lang w:val="es-ES" w:eastAsia="es-ES" w:bidi="es-ES"/>
        </w:rPr>
        <w:tab/>
        <w:t xml:space="preserve">la moneda de presentación, y de la conversión de un negocio en el extranjero a la moneda de </w:t>
      </w:r>
      <w:r w:rsidRPr="00E45870">
        <w:rPr>
          <w:i/>
          <w:lang w:val="es-ES" w:eastAsia="es-ES" w:bidi="es-ES"/>
        </w:rPr>
        <w:tab/>
        <w:t xml:space="preserve">presentación de la entidad; y </w:t>
      </w:r>
    </w:p>
    <w:p w14:paraId="0437D5EC" w14:textId="12380B81" w:rsidR="00E45870" w:rsidRDefault="00E45870" w:rsidP="005F2549">
      <w:pPr>
        <w:spacing w:line="240" w:lineRule="auto"/>
        <w:rPr>
          <w:i/>
          <w:lang w:val="es-ES" w:eastAsia="es-ES" w:bidi="es-ES"/>
        </w:rPr>
      </w:pPr>
      <w:r w:rsidRPr="00E45870">
        <w:rPr>
          <w:i/>
          <w:lang w:val="es-ES" w:eastAsia="es-ES" w:bidi="es-ES"/>
        </w:rPr>
        <w:tab/>
        <w:t>(viii) otros cambios en el importe en libros durante el periodo.”</w:t>
      </w:r>
    </w:p>
    <w:p w14:paraId="4AFD1A31" w14:textId="77777777" w:rsidR="00EF2A13" w:rsidRDefault="00EF2A13" w:rsidP="005F2549">
      <w:pPr>
        <w:spacing w:line="240" w:lineRule="auto"/>
        <w:rPr>
          <w:i/>
          <w:lang w:val="es-ES" w:eastAsia="es-ES" w:bidi="es-ES"/>
        </w:rPr>
      </w:pPr>
    </w:p>
    <w:p w14:paraId="15F701DF" w14:textId="77777777" w:rsidR="00EF2A13" w:rsidRDefault="0008638E" w:rsidP="0008638E">
      <w:pPr>
        <w:spacing w:before="240"/>
        <w:rPr>
          <w:b/>
          <w:color w:val="FFFFFF" w:themeColor="background1"/>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3BBF4ABC" w14:textId="6AE2B2EC" w:rsidR="0008638E" w:rsidRDefault="00EF2A13" w:rsidP="00EF2A13">
      <w:pPr>
        <w:spacing w:before="240" w:line="240" w:lineRule="auto"/>
        <w:rPr>
          <w:lang w:val="es-MX"/>
        </w:rPr>
      </w:pPr>
      <w:r>
        <w:rPr>
          <w:lang w:val="es-MX"/>
        </w:rPr>
        <w:t>Un activo intangible se reconoce si: es probable que los beneficios económicos futuros o el potencial de servicio que sean atribuibles al activo fluirán para la Municipalidad, y el costo o valor razonable pueda ser medido confiablemente.</w:t>
      </w:r>
    </w:p>
    <w:p w14:paraId="0C270E23" w14:textId="535F0D14" w:rsidR="00EF2A13" w:rsidRDefault="00EF2A13" w:rsidP="00EF2A13">
      <w:pPr>
        <w:spacing w:before="240" w:line="240" w:lineRule="auto"/>
        <w:rPr>
          <w:lang w:val="es-MX"/>
        </w:rPr>
      </w:pPr>
      <w:r>
        <w:rPr>
          <w:lang w:val="es-MX"/>
        </w:rPr>
        <w:t>Si un elemento de intangible no satisface tanto la definición como los criterios de reconocimiento para un activo intangible, el desembolso se reconoce como un gasto cuando se incurre en él</w:t>
      </w:r>
      <w:r w:rsidR="00BD3C40">
        <w:rPr>
          <w:lang w:val="es-MX"/>
        </w:rPr>
        <w:t>.</w:t>
      </w:r>
    </w:p>
    <w:p w14:paraId="211A5246" w14:textId="4E60E24D" w:rsidR="00BD3C40" w:rsidRDefault="00BD3C40" w:rsidP="00EF2A13">
      <w:pPr>
        <w:spacing w:before="240" w:line="240" w:lineRule="auto"/>
        <w:rPr>
          <w:lang w:val="es-MX"/>
        </w:rPr>
      </w:pPr>
      <w:r>
        <w:rPr>
          <w:lang w:val="es-MX"/>
        </w:rPr>
        <w:t>Una pérdida por deterioro de un activo intangible se determina aplicando las NICSP 21 o NICSP 26 según sea lo apropiado.</w:t>
      </w:r>
    </w:p>
    <w:p w14:paraId="6EA7D342" w14:textId="692D736E" w:rsidR="00077D18" w:rsidRPr="003516A2" w:rsidRDefault="00077D18" w:rsidP="00EF2A13">
      <w:pPr>
        <w:spacing w:before="240" w:line="240" w:lineRule="auto"/>
        <w:rPr>
          <w:b/>
          <w:color w:val="FFFFFF" w:themeColor="background1"/>
          <w:highlight w:val="darkBlue"/>
          <w:u w:val="single"/>
        </w:rPr>
      </w:pPr>
      <w:r>
        <w:rPr>
          <w:lang w:val="es-MX"/>
        </w:rPr>
        <w:t>Los activos intangibles con vidas útiles</w:t>
      </w:r>
      <w:r w:rsidR="00C74177">
        <w:rPr>
          <w:lang w:val="es-MX"/>
        </w:rPr>
        <w:t xml:space="preserve"> definidas se amortizan sistemáticamente en forma lineal durante su vida útil, los activos con vidas indefinidas</w:t>
      </w:r>
      <w:r>
        <w:rPr>
          <w:lang w:val="es-MX"/>
        </w:rPr>
        <w:t xml:space="preserve"> no se amortizan, pero si son probados por deterioro sobre una base anual</w:t>
      </w:r>
      <w:r w:rsidR="00C74177">
        <w:rPr>
          <w:lang w:val="es-MX"/>
        </w:rPr>
        <w:t>.</w:t>
      </w:r>
    </w:p>
    <w:p w14:paraId="34A2E404" w14:textId="77777777" w:rsidR="0008638E" w:rsidRDefault="0008638E" w:rsidP="0008638E">
      <w:pPr>
        <w:spacing w:line="240" w:lineRule="auto"/>
        <w:rPr>
          <w:b/>
          <w:u w:val="single"/>
        </w:rPr>
      </w:pPr>
    </w:p>
    <w:p w14:paraId="68123F7F" w14:textId="77777777" w:rsidR="0008638E" w:rsidRDefault="0008638E" w:rsidP="0008638E">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682BD172" w14:textId="14AD5DFF" w:rsidR="00EF2A13" w:rsidRDefault="00EF2A13" w:rsidP="0008638E">
      <w:pPr>
        <w:spacing w:line="240" w:lineRule="auto"/>
        <w:rPr>
          <w:lang w:val="es-MX"/>
        </w:rPr>
      </w:pPr>
      <w:r w:rsidRPr="00EF2A13">
        <w:rPr>
          <w:lang w:val="es-MX"/>
        </w:rPr>
        <w:t xml:space="preserve">Los activos intangibles se contabilizan utilizando el método </w:t>
      </w:r>
      <w:r w:rsidR="00BD3C40">
        <w:rPr>
          <w:lang w:val="es-MX"/>
        </w:rPr>
        <w:t>del costo. Según este método los activos son medidos al costo menos cualquier amortización acumulada y cualesquiera pérdidas por deterioro acumuladas.</w:t>
      </w:r>
    </w:p>
    <w:p w14:paraId="7F98163E" w14:textId="77777777" w:rsidR="00077D18" w:rsidRDefault="00BD3C40" w:rsidP="0008638E">
      <w:pPr>
        <w:spacing w:line="240" w:lineRule="auto"/>
        <w:rPr>
          <w:lang w:val="es-MX"/>
        </w:rPr>
      </w:pPr>
      <w:r>
        <w:rPr>
          <w:lang w:val="es-MX"/>
        </w:rPr>
        <w:t xml:space="preserve">La pérdida por deterioro de un activo intangible que genera efectivo se determina comparando el valor en libros con </w:t>
      </w:r>
      <w:r w:rsidR="00077D18">
        <w:rPr>
          <w:lang w:val="es-MX"/>
        </w:rPr>
        <w:t>el monto</w:t>
      </w:r>
      <w:r>
        <w:rPr>
          <w:lang w:val="es-MX"/>
        </w:rPr>
        <w:t xml:space="preserve"> recuperable </w:t>
      </w:r>
      <w:r w:rsidR="00077D18">
        <w:rPr>
          <w:lang w:val="es-MX"/>
        </w:rPr>
        <w:t xml:space="preserve">del activo (el más alto entre el valor razonable menos los costos de venta del activo que genera efectivo y su valor en uso) </w:t>
      </w:r>
      <w:r>
        <w:rPr>
          <w:lang w:val="es-MX"/>
        </w:rPr>
        <w:t>y es el exceso del segundo sobre el primero</w:t>
      </w:r>
      <w:r w:rsidR="00077D18">
        <w:rPr>
          <w:lang w:val="es-MX"/>
        </w:rPr>
        <w:t>.</w:t>
      </w:r>
    </w:p>
    <w:p w14:paraId="1F35D827" w14:textId="6C088EB2" w:rsidR="00077D18" w:rsidRDefault="00077D18" w:rsidP="0008638E">
      <w:pPr>
        <w:spacing w:line="240" w:lineRule="auto"/>
        <w:rPr>
          <w:lang w:val="es-MX"/>
        </w:rPr>
      </w:pPr>
      <w:r>
        <w:rPr>
          <w:lang w:val="es-MX"/>
        </w:rPr>
        <w:t>Una pérdida por deterioro de un activo que no general efectivo es la cantidad por la cual el valor en libros de activo excede su cantidad de servicios recuperable, la cual es el más alto entre el valor razonable menos los costos de venta del activo que genera efectivo y su valor en uso.</w:t>
      </w:r>
    </w:p>
    <w:p w14:paraId="2C3DA13B" w14:textId="0FB23022" w:rsidR="00BD3C40" w:rsidRPr="00EF2A13" w:rsidRDefault="00BD3C40" w:rsidP="0008638E">
      <w:pPr>
        <w:spacing w:line="240" w:lineRule="auto"/>
        <w:rPr>
          <w:lang w:val="es-MX"/>
        </w:rPr>
      </w:pPr>
      <w:r>
        <w:rPr>
          <w:lang w:val="es-MX"/>
        </w:rPr>
        <w:t xml:space="preserve"> </w:t>
      </w:r>
    </w:p>
    <w:p w14:paraId="6D166EE9" w14:textId="77777777" w:rsidR="00E45870" w:rsidRPr="00E45870" w:rsidRDefault="00E45870" w:rsidP="00E45870">
      <w:pPr>
        <w:rPr>
          <w:rFonts w:eastAsia="Times New Roman"/>
          <w:b/>
          <w:u w:val="single"/>
          <w:lang w:val="es-ES_tradnl" w:eastAsia="es-CR"/>
        </w:rPr>
      </w:pPr>
      <w:r w:rsidRPr="0008638E">
        <w:rPr>
          <w:b/>
          <w:color w:val="FFFFFF" w:themeColor="background1"/>
          <w:highlight w:val="darkBlue"/>
          <w:u w:val="single"/>
        </w:rPr>
        <w:t xml:space="preserve">Revelación Suficiente: </w:t>
      </w:r>
      <w:r w:rsidRPr="00E45870">
        <w:rPr>
          <w:b/>
          <w:bCs/>
          <w:u w:val="single"/>
        </w:rPr>
        <w:t>El ente debe cumplir con lo estipulado en revelación con forme a la NICSP, también debe considerar la política general y los párrafos incluidos en la matriz de autoevaluación referente a esta NICSP y guías de aplicación</w:t>
      </w:r>
      <w:r w:rsidRPr="00E45870">
        <w:rPr>
          <w:rFonts w:eastAsia="Times New Roman"/>
          <w:b/>
          <w:u w:val="single"/>
          <w:lang w:val="es-ES_tradnl" w:eastAsia="es-CR"/>
        </w:rPr>
        <w:t xml:space="preserve"> (Ver GA de la NICSP 31):</w:t>
      </w:r>
    </w:p>
    <w:p w14:paraId="0C569A13" w14:textId="77777777" w:rsidR="00EF2A13" w:rsidRPr="002D6330" w:rsidRDefault="00EF2A13" w:rsidP="00EF2A13">
      <w:pPr>
        <w:spacing w:after="0" w:line="240" w:lineRule="auto"/>
        <w:rPr>
          <w:b/>
          <w:bCs/>
          <w:lang w:eastAsia="es-CR"/>
        </w:rPr>
      </w:pPr>
      <w:bookmarkStart w:id="102" w:name="_Toc33601188"/>
      <w:bookmarkStart w:id="103" w:name="_Toc54961693"/>
      <w:bookmarkStart w:id="104" w:name="_Toc82768892"/>
      <w:r w:rsidRPr="002D6330">
        <w:rPr>
          <w:b/>
          <w:bCs/>
          <w:lang w:eastAsia="es-CR"/>
        </w:rPr>
        <w:t>Adopción de la dispensa de tres años concedida en la NICSP 33</w:t>
      </w:r>
    </w:p>
    <w:p w14:paraId="71618CB0" w14:textId="77777777" w:rsidR="00EF2A13" w:rsidRDefault="00EF2A13" w:rsidP="00EF2A13">
      <w:pPr>
        <w:spacing w:after="0" w:line="240" w:lineRule="auto"/>
        <w:rPr>
          <w:lang w:eastAsia="es-CR"/>
        </w:rPr>
      </w:pPr>
    </w:p>
    <w:p w14:paraId="465F2835" w14:textId="77777777" w:rsidR="00EF2A13" w:rsidRDefault="00EF2A13" w:rsidP="00EF2A13">
      <w:pPr>
        <w:spacing w:after="0" w:line="240" w:lineRule="auto"/>
        <w:rPr>
          <w:lang w:eastAsia="es-CR"/>
        </w:rPr>
      </w:pPr>
      <w:r>
        <w:rPr>
          <w:lang w:eastAsia="es-CR"/>
        </w:rPr>
        <w:t>La Municipalidad se acogió al periodo de dispensa transitorio de tres años para el reconocimiento o medición de activos o pasivos que proporciona la NICSP 33 en los párrafos 36 a 62, el cual finaliza el 31 de diciembre de 2024. Durante este periodo la Municipalidad se encuentra realizando un proceso de cierre de brechas, con el fin de lograr cumplir con los requerimientos exigidos por la NICSP 31 y lograr presentar información razonable sobre los inventarios que posee.</w:t>
      </w:r>
    </w:p>
    <w:p w14:paraId="4B96653A" w14:textId="77777777" w:rsidR="00EF2A13" w:rsidRPr="00A7067D" w:rsidRDefault="00EF2A13" w:rsidP="00EF2A13">
      <w:pPr>
        <w:spacing w:after="0" w:line="240" w:lineRule="auto"/>
        <w:rPr>
          <w:szCs w:val="24"/>
          <w:lang w:val="es-MX" w:eastAsia="es-CR"/>
        </w:rPr>
      </w:pPr>
    </w:p>
    <w:p w14:paraId="63B63218" w14:textId="77777777" w:rsidR="00EF2A13" w:rsidRDefault="00EF2A13" w:rsidP="00EF2A13">
      <w:pPr>
        <w:spacing w:after="0" w:line="240" w:lineRule="auto"/>
        <w:rPr>
          <w:szCs w:val="24"/>
          <w:lang w:val="es-MX" w:eastAsia="es-CR"/>
        </w:rPr>
      </w:pPr>
      <w:r w:rsidRPr="00A7067D">
        <w:rPr>
          <w:szCs w:val="24"/>
          <w:lang w:val="es-MX" w:eastAsia="es-CR"/>
        </w:rPr>
        <w:t>La Municipalidad se encuentra llevando a cabo un proceso de levantamiento de inventario con base en el cual, se efectúa la identificación, depuración y actualización del registro que mantenía la Proveeduría Municipal de sus bienes de propiedad, planta y equipo, procediéndose con base en dicho levantamiento a establecer los valores correctos de cada uno de sus activos, determinar la depreciación acumulada y los criterios de deterioro que pueden afectar alguno o algunos de sus activos, tanto los generadores como los no generadores de efectivo, según lo establecido en las NICSP 21 y NICSP 26.</w:t>
      </w:r>
    </w:p>
    <w:p w14:paraId="5FAC9C42" w14:textId="77777777" w:rsidR="00EF2A13" w:rsidRPr="00A7067D" w:rsidRDefault="00EF2A13" w:rsidP="00EF2A13">
      <w:pPr>
        <w:spacing w:after="0" w:line="240" w:lineRule="auto"/>
        <w:rPr>
          <w:szCs w:val="24"/>
          <w:lang w:val="es-MX" w:eastAsia="es-CR"/>
        </w:rPr>
      </w:pPr>
    </w:p>
    <w:p w14:paraId="7BF36C23" w14:textId="77777777" w:rsidR="00EF2A13" w:rsidRDefault="00EF2A13" w:rsidP="00EF2A13">
      <w:pPr>
        <w:spacing w:after="0" w:line="240" w:lineRule="auto"/>
        <w:rPr>
          <w:szCs w:val="24"/>
          <w:lang w:val="es-ES" w:eastAsia="es-CR"/>
        </w:rPr>
      </w:pPr>
      <w:r>
        <w:rPr>
          <w:szCs w:val="24"/>
          <w:lang w:val="es-ES" w:eastAsia="es-CR"/>
        </w:rPr>
        <w:t>De acuerdo con lo consignado en el Plan de Acción para implementación de las NICSP, se está realizando un inventario físico de cada una de las clases de activos que posee la Municipalidad, luego se procede a valorar los bienes identificados y su posterior registro y a hacer las revelaciones respectivas. Conforme lo indicado en el citado Plan de Acción la totalidad de los requerimientos de esta norma se estima cumplirlos a más tardar el 31 de diciembre de 2024.</w:t>
      </w:r>
    </w:p>
    <w:p w14:paraId="44886497" w14:textId="77777777" w:rsidR="00EF2A13" w:rsidRDefault="00EF2A13" w:rsidP="00EF2A13">
      <w:pPr>
        <w:spacing w:after="0" w:line="240" w:lineRule="auto"/>
        <w:rPr>
          <w:szCs w:val="24"/>
          <w:lang w:val="es-ES" w:eastAsia="es-CR"/>
        </w:rPr>
      </w:pPr>
    </w:p>
    <w:p w14:paraId="3F87C1A8" w14:textId="77777777" w:rsidR="00EF2A13" w:rsidRDefault="00EF2A13" w:rsidP="00EF2A13">
      <w:pPr>
        <w:spacing w:after="0" w:line="240" w:lineRule="auto"/>
        <w:rPr>
          <w:szCs w:val="24"/>
          <w:lang w:val="es-ES" w:eastAsia="es-CR"/>
        </w:rPr>
      </w:pPr>
      <w:r>
        <w:rPr>
          <w:szCs w:val="24"/>
          <w:lang w:val="es-ES" w:eastAsia="es-CR"/>
        </w:rPr>
        <w:t>Cabe señalar, que debido a que antes de iniciar la implementación de las NICSP la Municipalidad no llevaba una contabilidad patrimonial, por lo tanto, desde un inicio los activos intangibles se reconocen y miden con base en lo establecido en las NICSP.</w:t>
      </w:r>
    </w:p>
    <w:p w14:paraId="561D2AD6" w14:textId="77777777" w:rsidR="00EF2A13" w:rsidRPr="0095599B" w:rsidRDefault="00EF2A13" w:rsidP="00EF2A13">
      <w:pPr>
        <w:spacing w:after="0" w:line="240" w:lineRule="auto"/>
        <w:rPr>
          <w:lang w:val="es-ES" w:eastAsia="es-CR"/>
        </w:rPr>
      </w:pPr>
    </w:p>
    <w:p w14:paraId="380147A8" w14:textId="77777777" w:rsidR="00EF2A13" w:rsidRDefault="00EF2A13" w:rsidP="00EF2A13">
      <w:pPr>
        <w:spacing w:after="0" w:line="240" w:lineRule="auto"/>
        <w:rPr>
          <w:lang w:eastAsia="es-CR"/>
        </w:rPr>
      </w:pPr>
      <w:r>
        <w:rPr>
          <w:lang w:eastAsia="es-CR"/>
        </w:rPr>
        <w:t>En relación con los activos intangibles es pertinente indicar que como parte del proceso de implementación se está efectuando un inventario de este tipo de bienes el cual permitirá establecer la cantidad real de intangibles, si son de vida definida e indefinida y la amortización que corresponde registrar mensualmente.</w:t>
      </w:r>
    </w:p>
    <w:p w14:paraId="2426D1CC" w14:textId="77777777" w:rsidR="00EF2A13" w:rsidRDefault="00EF2A13" w:rsidP="00EF2A13">
      <w:pPr>
        <w:spacing w:after="0" w:line="240" w:lineRule="auto"/>
        <w:rPr>
          <w:lang w:eastAsia="es-CR"/>
        </w:rPr>
      </w:pPr>
    </w:p>
    <w:p w14:paraId="004B49D1" w14:textId="345A58E4" w:rsidR="00EF2A13" w:rsidRDefault="00EF2A13" w:rsidP="00EF2A13">
      <w:pPr>
        <w:spacing w:line="240" w:lineRule="auto"/>
        <w:rPr>
          <w:szCs w:val="24"/>
          <w:lang w:eastAsia="es-CR"/>
        </w:rPr>
      </w:pPr>
      <w:r>
        <w:rPr>
          <w:szCs w:val="24"/>
          <w:lang w:eastAsia="es-CR"/>
        </w:rPr>
        <w:t xml:space="preserve">De acuerdo con lo consignado en la Matriz de NICSP y Plan de Acción al </w:t>
      </w:r>
      <w:r w:rsidR="00D470B6">
        <w:rPr>
          <w:szCs w:val="24"/>
          <w:lang w:eastAsia="es-CR"/>
        </w:rPr>
        <w:t>30 de junio</w:t>
      </w:r>
      <w:r w:rsidR="00C74177">
        <w:rPr>
          <w:szCs w:val="24"/>
          <w:lang w:eastAsia="es-CR"/>
        </w:rPr>
        <w:t xml:space="preserve"> de 2024</w:t>
      </w:r>
      <w:r>
        <w:rPr>
          <w:szCs w:val="24"/>
          <w:lang w:eastAsia="es-CR"/>
        </w:rPr>
        <w:t xml:space="preserve"> se encuentra pendiente de implementar lo siguiente:</w:t>
      </w:r>
    </w:p>
    <w:p w14:paraId="635B8E12" w14:textId="77777777" w:rsidR="00EF2A13" w:rsidRDefault="00EF2A13" w:rsidP="00EF2A13">
      <w:pPr>
        <w:spacing w:after="0" w:line="240" w:lineRule="auto"/>
        <w:rPr>
          <w:szCs w:val="24"/>
          <w:lang w:eastAsia="es-CR"/>
        </w:rPr>
      </w:pPr>
    </w:p>
    <w:tbl>
      <w:tblPr>
        <w:tblW w:w="8881" w:type="dxa"/>
        <w:tblLook w:val="04A0" w:firstRow="1" w:lastRow="0" w:firstColumn="1" w:lastColumn="0" w:noHBand="0" w:noVBand="1"/>
      </w:tblPr>
      <w:tblGrid>
        <w:gridCol w:w="7361"/>
        <w:gridCol w:w="1520"/>
      </w:tblGrid>
      <w:tr w:rsidR="00EF2A13" w:rsidRPr="00C36CAC" w14:paraId="55BFA8B7" w14:textId="77777777" w:rsidTr="004653E2">
        <w:trPr>
          <w:trHeight w:val="530"/>
        </w:trPr>
        <w:tc>
          <w:tcPr>
            <w:tcW w:w="7361"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4A663CC1" w14:textId="77777777" w:rsidR="00EF2A13" w:rsidRPr="00C36CAC" w:rsidRDefault="00EF2A13" w:rsidP="004653E2">
            <w:pPr>
              <w:spacing w:after="0" w:line="240" w:lineRule="auto"/>
              <w:jc w:val="center"/>
              <w:rPr>
                <w:rFonts w:eastAsia="Times New Roman" w:cs="Calibri"/>
                <w:b/>
                <w:bCs/>
                <w:sz w:val="20"/>
                <w:szCs w:val="20"/>
                <w:lang w:val="en-US"/>
              </w:rPr>
            </w:pPr>
            <w:r w:rsidRPr="00C36CAC">
              <w:rPr>
                <w:rFonts w:eastAsia="Times New Roman" w:cs="Calibri"/>
                <w:b/>
                <w:bCs/>
                <w:sz w:val="20"/>
                <w:szCs w:val="20"/>
                <w:lang w:val="en-US"/>
              </w:rPr>
              <w:t>Actividades Pendientes de Cumplimiento</w:t>
            </w:r>
          </w:p>
        </w:tc>
        <w:tc>
          <w:tcPr>
            <w:tcW w:w="1520" w:type="dxa"/>
            <w:tcBorders>
              <w:top w:val="single" w:sz="8" w:space="0" w:color="auto"/>
              <w:left w:val="nil"/>
              <w:bottom w:val="single" w:sz="4" w:space="0" w:color="auto"/>
              <w:right w:val="single" w:sz="8" w:space="0" w:color="auto"/>
            </w:tcBorders>
            <w:shd w:val="clear" w:color="000000" w:fill="FFFFFF"/>
            <w:vAlign w:val="bottom"/>
            <w:hideMark/>
          </w:tcPr>
          <w:p w14:paraId="4F3595C6" w14:textId="77777777" w:rsidR="00EF2A13" w:rsidRPr="00C36CAC" w:rsidRDefault="00EF2A13" w:rsidP="004653E2">
            <w:pPr>
              <w:spacing w:after="0" w:line="240" w:lineRule="auto"/>
              <w:jc w:val="center"/>
              <w:rPr>
                <w:rFonts w:eastAsia="Times New Roman" w:cs="Calibri"/>
                <w:b/>
                <w:bCs/>
                <w:color w:val="000000"/>
                <w:sz w:val="20"/>
                <w:szCs w:val="20"/>
                <w:lang w:val="en-US"/>
              </w:rPr>
            </w:pPr>
            <w:r w:rsidRPr="00C36CAC">
              <w:rPr>
                <w:rFonts w:eastAsia="Times New Roman" w:cs="Calibri"/>
                <w:b/>
                <w:bCs/>
                <w:color w:val="000000"/>
                <w:sz w:val="20"/>
                <w:szCs w:val="20"/>
                <w:lang w:val="en-US"/>
              </w:rPr>
              <w:t>Fecha Estimada Cumplimiento</w:t>
            </w:r>
          </w:p>
        </w:tc>
      </w:tr>
      <w:tr w:rsidR="00EF2A13" w:rsidRPr="00C36CAC" w14:paraId="43548AB8" w14:textId="77777777" w:rsidTr="004653E2">
        <w:trPr>
          <w:trHeight w:val="274"/>
        </w:trPr>
        <w:tc>
          <w:tcPr>
            <w:tcW w:w="7361" w:type="dxa"/>
            <w:tcBorders>
              <w:top w:val="nil"/>
              <w:left w:val="single" w:sz="8" w:space="0" w:color="auto"/>
              <w:bottom w:val="single" w:sz="4" w:space="0" w:color="auto"/>
              <w:right w:val="single" w:sz="4" w:space="0" w:color="auto"/>
            </w:tcBorders>
            <w:shd w:val="clear" w:color="000000" w:fill="FFFFFF"/>
            <w:hideMark/>
          </w:tcPr>
          <w:p w14:paraId="34B861E0" w14:textId="77777777" w:rsidR="00EF2A13" w:rsidRPr="00C36CAC" w:rsidRDefault="00EF2A13" w:rsidP="004653E2">
            <w:pPr>
              <w:spacing w:after="0" w:line="240" w:lineRule="auto"/>
              <w:rPr>
                <w:rFonts w:eastAsia="Times New Roman" w:cs="Calibri"/>
                <w:color w:val="000000"/>
                <w:sz w:val="20"/>
                <w:szCs w:val="20"/>
              </w:rPr>
            </w:pPr>
            <w:r w:rsidRPr="00C36CAC">
              <w:rPr>
                <w:rFonts w:eastAsia="Times New Roman" w:cs="Calibri"/>
                <w:color w:val="000000"/>
                <w:sz w:val="20"/>
                <w:szCs w:val="20"/>
              </w:rPr>
              <w:t>Realizar el registro de los activos intangibles de acuerdo con lo indicado en la norma contable.</w:t>
            </w:r>
          </w:p>
        </w:tc>
        <w:tc>
          <w:tcPr>
            <w:tcW w:w="1520" w:type="dxa"/>
            <w:tcBorders>
              <w:top w:val="nil"/>
              <w:left w:val="nil"/>
              <w:bottom w:val="single" w:sz="4" w:space="0" w:color="auto"/>
              <w:right w:val="single" w:sz="8" w:space="0" w:color="auto"/>
            </w:tcBorders>
            <w:shd w:val="clear" w:color="000000" w:fill="FFFFFF"/>
            <w:noWrap/>
            <w:vAlign w:val="center"/>
            <w:hideMark/>
          </w:tcPr>
          <w:p w14:paraId="208FAFB6" w14:textId="7A6889BD" w:rsidR="00EF2A13" w:rsidRPr="00C36CAC" w:rsidRDefault="004653E2" w:rsidP="004653E2">
            <w:pPr>
              <w:spacing w:after="0" w:line="240" w:lineRule="auto"/>
              <w:jc w:val="center"/>
              <w:rPr>
                <w:rFonts w:eastAsia="Times New Roman" w:cs="Calibri"/>
                <w:sz w:val="20"/>
                <w:szCs w:val="20"/>
                <w:lang w:val="en-US"/>
              </w:rPr>
            </w:pPr>
            <w:r>
              <w:rPr>
                <w:rFonts w:eastAsia="Times New Roman" w:cs="Calibri"/>
                <w:sz w:val="20"/>
                <w:szCs w:val="20"/>
                <w:lang w:val="en-US"/>
              </w:rPr>
              <w:t>31/12</w:t>
            </w:r>
            <w:r w:rsidR="00EF2A13" w:rsidRPr="00C36CAC">
              <w:rPr>
                <w:rFonts w:eastAsia="Times New Roman" w:cs="Calibri"/>
                <w:sz w:val="20"/>
                <w:szCs w:val="20"/>
                <w:lang w:val="en-US"/>
              </w:rPr>
              <w:t>/24</w:t>
            </w:r>
          </w:p>
        </w:tc>
      </w:tr>
      <w:tr w:rsidR="004653E2" w:rsidRPr="00C36CAC" w14:paraId="637EE57F" w14:textId="77777777" w:rsidTr="004653E2">
        <w:trPr>
          <w:trHeight w:val="520"/>
        </w:trPr>
        <w:tc>
          <w:tcPr>
            <w:tcW w:w="7361" w:type="dxa"/>
            <w:tcBorders>
              <w:top w:val="nil"/>
              <w:left w:val="single" w:sz="8" w:space="0" w:color="auto"/>
              <w:bottom w:val="single" w:sz="4" w:space="0" w:color="auto"/>
              <w:right w:val="single" w:sz="4" w:space="0" w:color="auto"/>
            </w:tcBorders>
            <w:shd w:val="clear" w:color="000000" w:fill="FFFFFF"/>
            <w:hideMark/>
          </w:tcPr>
          <w:p w14:paraId="1D5A9820" w14:textId="77777777" w:rsidR="004653E2" w:rsidRPr="00C36CAC" w:rsidRDefault="004653E2" w:rsidP="004653E2">
            <w:pPr>
              <w:spacing w:after="0" w:line="240" w:lineRule="auto"/>
              <w:rPr>
                <w:rFonts w:eastAsia="Times New Roman" w:cs="Calibri"/>
                <w:color w:val="000000"/>
                <w:sz w:val="20"/>
                <w:szCs w:val="20"/>
              </w:rPr>
            </w:pPr>
            <w:r w:rsidRPr="00C36CAC">
              <w:rPr>
                <w:rFonts w:eastAsia="Times New Roman" w:cs="Calibri"/>
                <w:color w:val="000000"/>
                <w:sz w:val="20"/>
                <w:szCs w:val="20"/>
              </w:rPr>
              <w:t>Aplicar la amortización a los activos intangibles, para su correspondiente registro y revelación en los estados financieros.</w:t>
            </w:r>
          </w:p>
        </w:tc>
        <w:tc>
          <w:tcPr>
            <w:tcW w:w="1520" w:type="dxa"/>
            <w:tcBorders>
              <w:top w:val="nil"/>
              <w:left w:val="nil"/>
              <w:bottom w:val="single" w:sz="4" w:space="0" w:color="auto"/>
              <w:right w:val="single" w:sz="8" w:space="0" w:color="auto"/>
            </w:tcBorders>
            <w:shd w:val="clear" w:color="000000" w:fill="FFFFFF"/>
            <w:noWrap/>
            <w:hideMark/>
          </w:tcPr>
          <w:p w14:paraId="378AD0F4" w14:textId="0036F6B1" w:rsidR="004653E2" w:rsidRPr="00C36CAC" w:rsidRDefault="004653E2" w:rsidP="004653E2">
            <w:pPr>
              <w:spacing w:after="0" w:line="240" w:lineRule="auto"/>
              <w:jc w:val="center"/>
              <w:rPr>
                <w:rFonts w:eastAsia="Times New Roman" w:cs="Calibri"/>
                <w:sz w:val="20"/>
                <w:szCs w:val="20"/>
                <w:lang w:val="en-US"/>
              </w:rPr>
            </w:pPr>
            <w:r w:rsidRPr="0083547A">
              <w:rPr>
                <w:rFonts w:eastAsia="Times New Roman" w:cs="Calibri"/>
                <w:sz w:val="20"/>
                <w:szCs w:val="20"/>
                <w:lang w:val="en-US"/>
              </w:rPr>
              <w:t>31/12/24</w:t>
            </w:r>
          </w:p>
        </w:tc>
      </w:tr>
      <w:tr w:rsidR="004653E2" w:rsidRPr="00C36CAC" w14:paraId="17417F3B" w14:textId="77777777" w:rsidTr="004653E2">
        <w:trPr>
          <w:trHeight w:val="520"/>
        </w:trPr>
        <w:tc>
          <w:tcPr>
            <w:tcW w:w="7361" w:type="dxa"/>
            <w:tcBorders>
              <w:top w:val="nil"/>
              <w:left w:val="single" w:sz="8" w:space="0" w:color="auto"/>
              <w:bottom w:val="single" w:sz="4" w:space="0" w:color="auto"/>
              <w:right w:val="single" w:sz="4" w:space="0" w:color="auto"/>
            </w:tcBorders>
            <w:shd w:val="clear" w:color="000000" w:fill="FFFFFF"/>
            <w:hideMark/>
          </w:tcPr>
          <w:p w14:paraId="16373692" w14:textId="77777777" w:rsidR="004653E2" w:rsidRPr="00582DE9" w:rsidRDefault="004653E2" w:rsidP="004653E2">
            <w:pPr>
              <w:spacing w:after="0" w:line="240" w:lineRule="auto"/>
              <w:rPr>
                <w:rFonts w:eastAsia="Times New Roman" w:cs="Calibri"/>
                <w:color w:val="000000"/>
                <w:sz w:val="20"/>
                <w:szCs w:val="20"/>
              </w:rPr>
            </w:pPr>
            <w:r w:rsidRPr="00C36CAC">
              <w:rPr>
                <w:rFonts w:eastAsia="Times New Roman" w:cs="Calibri"/>
                <w:color w:val="000000"/>
                <w:sz w:val="20"/>
                <w:szCs w:val="20"/>
              </w:rPr>
              <w:t>Determinar la información que se debe revelar en relación con los diferentes elementos de los estados financieros.</w:t>
            </w:r>
          </w:p>
        </w:tc>
        <w:tc>
          <w:tcPr>
            <w:tcW w:w="1520" w:type="dxa"/>
            <w:tcBorders>
              <w:top w:val="nil"/>
              <w:left w:val="nil"/>
              <w:bottom w:val="single" w:sz="4" w:space="0" w:color="auto"/>
              <w:right w:val="single" w:sz="8" w:space="0" w:color="auto"/>
            </w:tcBorders>
            <w:shd w:val="clear" w:color="000000" w:fill="FFFFFF"/>
            <w:noWrap/>
            <w:hideMark/>
          </w:tcPr>
          <w:p w14:paraId="5F353510" w14:textId="14D63143" w:rsidR="004653E2" w:rsidRPr="00C36CAC" w:rsidRDefault="004653E2" w:rsidP="004653E2">
            <w:pPr>
              <w:spacing w:after="0" w:line="240" w:lineRule="auto"/>
              <w:jc w:val="center"/>
              <w:rPr>
                <w:rFonts w:eastAsia="Times New Roman" w:cs="Calibri"/>
                <w:sz w:val="20"/>
                <w:szCs w:val="20"/>
                <w:lang w:val="en-US"/>
              </w:rPr>
            </w:pPr>
            <w:r w:rsidRPr="0083547A">
              <w:rPr>
                <w:rFonts w:eastAsia="Times New Roman" w:cs="Calibri"/>
                <w:sz w:val="20"/>
                <w:szCs w:val="20"/>
                <w:lang w:val="en-US"/>
              </w:rPr>
              <w:t>31/12/24</w:t>
            </w:r>
          </w:p>
        </w:tc>
      </w:tr>
      <w:tr w:rsidR="004653E2" w:rsidRPr="00C36CAC" w14:paraId="15F24303" w14:textId="77777777" w:rsidTr="004653E2">
        <w:trPr>
          <w:trHeight w:val="349"/>
        </w:trPr>
        <w:tc>
          <w:tcPr>
            <w:tcW w:w="7361" w:type="dxa"/>
            <w:tcBorders>
              <w:top w:val="nil"/>
              <w:left w:val="single" w:sz="8" w:space="0" w:color="auto"/>
              <w:bottom w:val="single" w:sz="8" w:space="0" w:color="auto"/>
              <w:right w:val="single" w:sz="4" w:space="0" w:color="auto"/>
            </w:tcBorders>
            <w:shd w:val="clear" w:color="000000" w:fill="FFFFFF"/>
            <w:hideMark/>
          </w:tcPr>
          <w:p w14:paraId="46BABACC" w14:textId="77777777" w:rsidR="004653E2" w:rsidRPr="00C36CAC" w:rsidRDefault="004653E2" w:rsidP="004653E2">
            <w:pPr>
              <w:spacing w:after="0" w:line="240" w:lineRule="auto"/>
              <w:rPr>
                <w:rFonts w:eastAsia="Times New Roman" w:cs="Calibri"/>
                <w:color w:val="000000"/>
                <w:sz w:val="20"/>
                <w:szCs w:val="20"/>
              </w:rPr>
            </w:pPr>
            <w:r w:rsidRPr="00C36CAC">
              <w:rPr>
                <w:rFonts w:eastAsia="Times New Roman" w:cs="Calibri"/>
                <w:color w:val="000000"/>
                <w:sz w:val="20"/>
                <w:szCs w:val="20"/>
              </w:rPr>
              <w:t>Realizar las revelaciones correspondientes sobre los diferentes elementos de los estados financieros.</w:t>
            </w:r>
          </w:p>
        </w:tc>
        <w:tc>
          <w:tcPr>
            <w:tcW w:w="1520" w:type="dxa"/>
            <w:tcBorders>
              <w:top w:val="nil"/>
              <w:left w:val="nil"/>
              <w:bottom w:val="single" w:sz="8" w:space="0" w:color="auto"/>
              <w:right w:val="single" w:sz="8" w:space="0" w:color="auto"/>
            </w:tcBorders>
            <w:shd w:val="clear" w:color="000000" w:fill="FFFFFF"/>
            <w:noWrap/>
            <w:hideMark/>
          </w:tcPr>
          <w:p w14:paraId="049CFF14" w14:textId="5FB3C726" w:rsidR="004653E2" w:rsidRPr="00C36CAC" w:rsidRDefault="004653E2" w:rsidP="004653E2">
            <w:pPr>
              <w:spacing w:after="0" w:line="240" w:lineRule="auto"/>
              <w:jc w:val="center"/>
              <w:rPr>
                <w:rFonts w:eastAsia="Times New Roman" w:cs="Calibri"/>
                <w:sz w:val="20"/>
                <w:szCs w:val="20"/>
                <w:lang w:val="en-US"/>
              </w:rPr>
            </w:pPr>
            <w:r w:rsidRPr="0083547A">
              <w:rPr>
                <w:rFonts w:eastAsia="Times New Roman" w:cs="Calibri"/>
                <w:sz w:val="20"/>
                <w:szCs w:val="20"/>
                <w:lang w:val="en-US"/>
              </w:rPr>
              <w:t>31/12/24</w:t>
            </w:r>
          </w:p>
        </w:tc>
      </w:tr>
    </w:tbl>
    <w:p w14:paraId="00DE46C0" w14:textId="77777777" w:rsidR="001D0A81" w:rsidRDefault="001D0A81" w:rsidP="001D0A81">
      <w:pPr>
        <w:rPr>
          <w:lang w:eastAsia="es-CR"/>
        </w:rPr>
      </w:pPr>
    </w:p>
    <w:p w14:paraId="09BF13D6" w14:textId="77777777" w:rsidR="00C74177" w:rsidRDefault="00C74177" w:rsidP="001D0A81">
      <w:pPr>
        <w:rPr>
          <w:lang w:eastAsia="es-CR"/>
        </w:rPr>
      </w:pPr>
    </w:p>
    <w:p w14:paraId="06EC784A" w14:textId="0AB946D0" w:rsidR="0096643F" w:rsidRPr="00A649A4" w:rsidRDefault="0096643F" w:rsidP="00A649A4">
      <w:pPr>
        <w:pStyle w:val="Ttulo2"/>
        <w:spacing w:after="240"/>
        <w:rPr>
          <w:rFonts w:eastAsia="Times New Roman"/>
          <w:lang w:eastAsia="es-CR"/>
        </w:rPr>
      </w:pPr>
      <w:bookmarkStart w:id="105" w:name="_Toc173245211"/>
      <w:r w:rsidRPr="0096643F">
        <w:rPr>
          <w:rFonts w:eastAsia="Times New Roman"/>
          <w:lang w:eastAsia="es-CR"/>
        </w:rPr>
        <w:t xml:space="preserve">NICSP 32 </w:t>
      </w:r>
      <w:r w:rsidR="00A649A4">
        <w:rPr>
          <w:rFonts w:eastAsia="Times New Roman"/>
          <w:lang w:eastAsia="es-CR"/>
        </w:rPr>
        <w:t xml:space="preserve">- </w:t>
      </w:r>
      <w:r w:rsidRPr="0096643F">
        <w:rPr>
          <w:rFonts w:eastAsia="Times New Roman"/>
          <w:lang w:eastAsia="es-CR"/>
        </w:rPr>
        <w:t>ACUERDOS DE CONCESIÓN DE SERVICIOS: LA CONCE</w:t>
      </w:r>
      <w:bookmarkEnd w:id="102"/>
      <w:bookmarkEnd w:id="103"/>
      <w:r w:rsidRPr="0096643F">
        <w:rPr>
          <w:rFonts w:eastAsia="Times New Roman"/>
          <w:lang w:eastAsia="es-CR"/>
        </w:rPr>
        <w:t>DENTE:</w:t>
      </w:r>
      <w:bookmarkEnd w:id="104"/>
      <w:bookmarkEnd w:id="105"/>
      <w:r w:rsidRPr="0096643F">
        <w:rPr>
          <w:rFonts w:eastAsia="Times New Roman"/>
          <w:lang w:eastAsia="es-CR"/>
        </w:rPr>
        <w:t xml:space="preserve"> </w:t>
      </w:r>
    </w:p>
    <w:p w14:paraId="17943968" w14:textId="77777777" w:rsidR="00694299" w:rsidRDefault="0096643F" w:rsidP="0096643F">
      <w:pPr>
        <w:rPr>
          <w:rFonts w:asciiTheme="minorHAnsi" w:hAnsiTheme="minorHAnsi"/>
          <w:sz w:val="22"/>
        </w:rPr>
      </w:pPr>
      <w:r w:rsidRPr="00405DBC">
        <w:t xml:space="preserve">De acuerdo con la </w:t>
      </w:r>
      <w:r w:rsidRPr="0096643F">
        <w:rPr>
          <w:rFonts w:eastAsia="Times New Roman"/>
          <w:lang w:val="es-MX" w:eastAsia="es-CR"/>
        </w:rPr>
        <w:t xml:space="preserve">NICSP 32 </w:t>
      </w:r>
      <w:r>
        <w:rPr>
          <w:rFonts w:eastAsia="Times New Roman"/>
          <w:lang w:val="es-MX" w:eastAsia="es-CR"/>
        </w:rPr>
        <w:t xml:space="preserve">- </w:t>
      </w:r>
      <w:r w:rsidRPr="0096643F">
        <w:rPr>
          <w:rFonts w:eastAsia="Times New Roman"/>
          <w:lang w:val="es-MX" w:eastAsia="es-CR"/>
        </w:rPr>
        <w:t>Acuerdos de concesión de Servicios: La Concedente</w:t>
      </w:r>
      <w:r>
        <w:t>, i</w:t>
      </w:r>
      <w:r w:rsidRPr="00405DBC">
        <w:t>ndicar si este rubro afecta SI o NO a la institución, además del porcentaje de avance</w:t>
      </w:r>
      <w:r>
        <w:t xml:space="preserve"> en la implementación</w:t>
      </w:r>
      <w:r w:rsidRPr="00405DBC">
        <w:t xml:space="preserve"> que presenta</w:t>
      </w:r>
      <w:r>
        <w:rPr>
          <w:b/>
        </w:rPr>
        <w:t>.</w:t>
      </w:r>
      <w:r w:rsidR="00A606BF">
        <w:rPr>
          <w:lang w:val="es-MX"/>
        </w:rPr>
        <w:fldChar w:fldCharType="begin"/>
      </w:r>
      <w:r w:rsidR="00A606BF">
        <w:rPr>
          <w:lang w:val="es-MX"/>
        </w:rPr>
        <w:instrText xml:space="preserve"> LINK </w:instrText>
      </w:r>
      <w:r w:rsidR="00323752">
        <w:rPr>
          <w:lang w:val="es-MX"/>
        </w:rPr>
        <w:instrText xml:space="preserve">Excel.SheetMacroEnabled.12 "D:\\MORAVIA\\INSUMOS\\NOTAS 2024\\Formato_Notas_EEFF_Vinculadas_2024\\XXXXX_PXX_202X_Anexo_Estado_Notas_Contables_Vinculadas.xlsm" NICSP_32!F9C3:F10C4 </w:instrText>
      </w:r>
      <w:r w:rsidR="00A606BF">
        <w:rPr>
          <w:lang w:val="es-MX"/>
        </w:rPr>
        <w:instrText xml:space="preserve">\a \f 4 \h </w:instrText>
      </w:r>
      <w:r w:rsidR="00A606BF">
        <w:rPr>
          <w:lang w:val="es-MX"/>
        </w:rPr>
        <w:fldChar w:fldCharType="separate"/>
      </w:r>
    </w:p>
    <w:tbl>
      <w:tblPr>
        <w:tblW w:w="4180" w:type="dxa"/>
        <w:tblCellMar>
          <w:left w:w="70" w:type="dxa"/>
          <w:right w:w="70" w:type="dxa"/>
        </w:tblCellMar>
        <w:tblLook w:val="04A0" w:firstRow="1" w:lastRow="0" w:firstColumn="1" w:lastColumn="0" w:noHBand="0" w:noVBand="1"/>
      </w:tblPr>
      <w:tblGrid>
        <w:gridCol w:w="2300"/>
        <w:gridCol w:w="1880"/>
      </w:tblGrid>
      <w:tr w:rsidR="00694299" w:rsidRPr="00694299" w14:paraId="02FE0AEA" w14:textId="77777777" w:rsidTr="00694299">
        <w:trPr>
          <w:divId w:val="802620702"/>
          <w:trHeight w:val="324"/>
        </w:trPr>
        <w:tc>
          <w:tcPr>
            <w:tcW w:w="23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54E09DF8" w14:textId="2758DFF3"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905BD"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No</w:t>
            </w:r>
          </w:p>
        </w:tc>
      </w:tr>
      <w:tr w:rsidR="00694299" w:rsidRPr="00694299" w14:paraId="120B5A67" w14:textId="77777777" w:rsidTr="00694299">
        <w:trPr>
          <w:divId w:val="802620702"/>
          <w:trHeight w:val="324"/>
        </w:trPr>
        <w:tc>
          <w:tcPr>
            <w:tcW w:w="2300" w:type="dxa"/>
            <w:tcBorders>
              <w:top w:val="nil"/>
              <w:left w:val="single" w:sz="8" w:space="0" w:color="auto"/>
              <w:bottom w:val="single" w:sz="8" w:space="0" w:color="auto"/>
              <w:right w:val="single" w:sz="8" w:space="0" w:color="auto"/>
            </w:tcBorders>
            <w:shd w:val="clear" w:color="000000" w:fill="17365D"/>
            <w:vAlign w:val="center"/>
            <w:hideMark/>
          </w:tcPr>
          <w:p w14:paraId="66F57205"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712420CD"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 </w:t>
            </w:r>
          </w:p>
        </w:tc>
      </w:tr>
    </w:tbl>
    <w:p w14:paraId="2B35B146" w14:textId="2DCC99C0" w:rsidR="0096643F" w:rsidRDefault="00A606BF" w:rsidP="0096643F">
      <w:pPr>
        <w:rPr>
          <w:lang w:val="es-MX"/>
        </w:rPr>
      </w:pPr>
      <w:r>
        <w:rPr>
          <w:lang w:val="es-MX"/>
        </w:rPr>
        <w:fldChar w:fldCharType="end"/>
      </w:r>
    </w:p>
    <w:p w14:paraId="4AA00431" w14:textId="77777777" w:rsidR="00694299" w:rsidRDefault="0096643F" w:rsidP="0096643F">
      <w:pPr>
        <w:rPr>
          <w:rFonts w:asciiTheme="minorHAnsi" w:hAnsiTheme="minorHAnsi"/>
          <w:sz w:val="22"/>
        </w:rPr>
      </w:pPr>
      <w:r w:rsidRPr="00BC7C5B">
        <w:rPr>
          <w:lang w:val="es-MX"/>
        </w:rPr>
        <w:t>El responsable contable debe analizar el tratamiento contable a seguir:</w:t>
      </w:r>
      <w:r w:rsidR="00A606BF">
        <w:rPr>
          <w:lang w:val="es-MX"/>
        </w:rPr>
        <w:fldChar w:fldCharType="begin"/>
      </w:r>
      <w:r w:rsidR="00A606BF">
        <w:rPr>
          <w:lang w:val="es-MX"/>
        </w:rPr>
        <w:instrText xml:space="preserve"> LINK </w:instrText>
      </w:r>
      <w:r w:rsidR="00323752">
        <w:rPr>
          <w:lang w:val="es-MX"/>
        </w:rPr>
        <w:instrText xml:space="preserve">Excel.SheetMacroEnabled.12 "D:\\MORAVIA\\INSUMOS\\NOTAS 2024\\Formato_Notas_EEFF_Vinculadas_2024\\XXXXX_PXX_202X_Anexo_Estado_Notas_Contables_Vinculadas.xlsm" NICSP_32!F12C6:F19C10 </w:instrText>
      </w:r>
      <w:r w:rsidR="00A606BF">
        <w:rPr>
          <w:lang w:val="es-MX"/>
        </w:rPr>
        <w:instrText xml:space="preserve">\a \f 4 \h </w:instrText>
      </w:r>
      <w:r w:rsidR="00A606BF">
        <w:rPr>
          <w:lang w:val="es-MX"/>
        </w:rPr>
        <w:fldChar w:fldCharType="separate"/>
      </w:r>
    </w:p>
    <w:tbl>
      <w:tblPr>
        <w:tblW w:w="9320" w:type="dxa"/>
        <w:tblCellMar>
          <w:left w:w="70" w:type="dxa"/>
          <w:right w:w="70" w:type="dxa"/>
        </w:tblCellMar>
        <w:tblLook w:val="04A0" w:firstRow="1" w:lastRow="0" w:firstColumn="1" w:lastColumn="0" w:noHBand="0" w:noVBand="1"/>
      </w:tblPr>
      <w:tblGrid>
        <w:gridCol w:w="2403"/>
        <w:gridCol w:w="2851"/>
        <w:gridCol w:w="1181"/>
        <w:gridCol w:w="1413"/>
        <w:gridCol w:w="1472"/>
      </w:tblGrid>
      <w:tr w:rsidR="00694299" w:rsidRPr="00694299" w14:paraId="2EB31B63" w14:textId="77777777" w:rsidTr="00694299">
        <w:trPr>
          <w:divId w:val="38238953"/>
          <w:trHeight w:val="564"/>
        </w:trPr>
        <w:tc>
          <w:tcPr>
            <w:tcW w:w="2403" w:type="dxa"/>
            <w:tcBorders>
              <w:top w:val="single" w:sz="8" w:space="0" w:color="000000"/>
              <w:left w:val="single" w:sz="8" w:space="0" w:color="000000"/>
              <w:bottom w:val="single" w:sz="8" w:space="0" w:color="000000"/>
              <w:right w:val="single" w:sz="8" w:space="0" w:color="000000"/>
            </w:tcBorders>
            <w:shd w:val="clear" w:color="000000" w:fill="1F3864"/>
            <w:vAlign w:val="center"/>
            <w:hideMark/>
          </w:tcPr>
          <w:p w14:paraId="5B9D6293" w14:textId="4FECCDCD" w:rsidR="00694299" w:rsidRPr="00694299" w:rsidRDefault="00694299" w:rsidP="00694299">
            <w:pPr>
              <w:jc w:val="center"/>
              <w:rPr>
                <w:rFonts w:eastAsia="Times New Roman" w:cs="Calibri"/>
                <w:color w:val="FFFFFF"/>
                <w:sz w:val="22"/>
                <w:lang w:eastAsia="es-CR"/>
              </w:rPr>
            </w:pPr>
            <w:r w:rsidRPr="00694299">
              <w:rPr>
                <w:rFonts w:eastAsia="Times New Roman" w:cs="Calibri"/>
                <w:color w:val="FFFFFF"/>
                <w:sz w:val="22"/>
                <w:lang w:eastAsia="es-CR"/>
              </w:rPr>
              <w:t>Categoría</w:t>
            </w:r>
          </w:p>
        </w:tc>
        <w:tc>
          <w:tcPr>
            <w:tcW w:w="2851" w:type="dxa"/>
            <w:tcBorders>
              <w:top w:val="single" w:sz="8" w:space="0" w:color="000000"/>
              <w:left w:val="nil"/>
              <w:bottom w:val="single" w:sz="8" w:space="0" w:color="000000"/>
              <w:right w:val="single" w:sz="8" w:space="0" w:color="000000"/>
            </w:tcBorders>
            <w:shd w:val="clear" w:color="000000" w:fill="1F3864"/>
            <w:vAlign w:val="center"/>
            <w:hideMark/>
          </w:tcPr>
          <w:p w14:paraId="3FDB7D7D" w14:textId="77777777"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Arrendatario</w:t>
            </w:r>
          </w:p>
        </w:tc>
        <w:tc>
          <w:tcPr>
            <w:tcW w:w="1181" w:type="dxa"/>
            <w:tcBorders>
              <w:top w:val="single" w:sz="8" w:space="0" w:color="000000"/>
              <w:left w:val="nil"/>
              <w:bottom w:val="single" w:sz="8" w:space="0" w:color="000000"/>
              <w:right w:val="single" w:sz="8" w:space="0" w:color="000000"/>
            </w:tcBorders>
            <w:shd w:val="clear" w:color="000000" w:fill="1F3864"/>
            <w:vAlign w:val="center"/>
            <w:hideMark/>
          </w:tcPr>
          <w:p w14:paraId="626A0750" w14:textId="77777777"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Tipo</w:t>
            </w:r>
          </w:p>
        </w:tc>
        <w:tc>
          <w:tcPr>
            <w:tcW w:w="1413" w:type="dxa"/>
            <w:tcBorders>
              <w:top w:val="single" w:sz="8" w:space="0" w:color="000000"/>
              <w:left w:val="nil"/>
              <w:bottom w:val="single" w:sz="8" w:space="0" w:color="000000"/>
              <w:right w:val="single" w:sz="8" w:space="0" w:color="000000"/>
            </w:tcBorders>
            <w:shd w:val="clear" w:color="000000" w:fill="1F3864"/>
            <w:vAlign w:val="center"/>
            <w:hideMark/>
          </w:tcPr>
          <w:p w14:paraId="18A77F47" w14:textId="77777777"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Propietario</w:t>
            </w:r>
            <w:r w:rsidRPr="00694299">
              <w:rPr>
                <w:rFonts w:eastAsia="Times New Roman" w:cs="Calibri"/>
                <w:color w:val="FFFFFF"/>
                <w:sz w:val="22"/>
                <w:lang w:eastAsia="es-CR"/>
              </w:rPr>
              <w:br/>
              <w:t>% Participación</w:t>
            </w:r>
          </w:p>
        </w:tc>
        <w:tc>
          <w:tcPr>
            <w:tcW w:w="1472" w:type="dxa"/>
            <w:tcBorders>
              <w:top w:val="single" w:sz="8" w:space="0" w:color="000000"/>
              <w:left w:val="nil"/>
              <w:bottom w:val="single" w:sz="8" w:space="0" w:color="000000"/>
              <w:right w:val="single" w:sz="8" w:space="0" w:color="000000"/>
            </w:tcBorders>
            <w:shd w:val="clear" w:color="000000" w:fill="1F3864"/>
            <w:vAlign w:val="center"/>
            <w:hideMark/>
          </w:tcPr>
          <w:p w14:paraId="6CCA79E4" w14:textId="77777777"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Observaciones</w:t>
            </w:r>
          </w:p>
        </w:tc>
      </w:tr>
      <w:tr w:rsidR="00694299" w:rsidRPr="00694299" w14:paraId="42DF626F" w14:textId="77777777" w:rsidTr="00694299">
        <w:trPr>
          <w:divId w:val="38238953"/>
          <w:trHeight w:val="288"/>
        </w:trPr>
        <w:tc>
          <w:tcPr>
            <w:tcW w:w="2403" w:type="dxa"/>
            <w:tcBorders>
              <w:top w:val="nil"/>
              <w:left w:val="single" w:sz="8" w:space="0" w:color="000000"/>
              <w:bottom w:val="single" w:sz="8" w:space="0" w:color="000000"/>
              <w:right w:val="single" w:sz="8" w:space="0" w:color="000000"/>
            </w:tcBorders>
            <w:shd w:val="clear" w:color="auto" w:fill="auto"/>
            <w:vAlign w:val="center"/>
            <w:hideMark/>
          </w:tcPr>
          <w:p w14:paraId="282E6CAC"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Tipos de acuerdos</w:t>
            </w:r>
          </w:p>
        </w:tc>
        <w:tc>
          <w:tcPr>
            <w:tcW w:w="2851" w:type="dxa"/>
            <w:tcBorders>
              <w:top w:val="nil"/>
              <w:left w:val="nil"/>
              <w:bottom w:val="single" w:sz="8" w:space="0" w:color="auto"/>
              <w:right w:val="single" w:sz="8" w:space="0" w:color="000000"/>
            </w:tcBorders>
            <w:shd w:val="clear" w:color="auto" w:fill="auto"/>
            <w:vAlign w:val="center"/>
            <w:hideMark/>
          </w:tcPr>
          <w:p w14:paraId="180BD5CF"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1181" w:type="dxa"/>
            <w:tcBorders>
              <w:top w:val="nil"/>
              <w:left w:val="nil"/>
              <w:bottom w:val="single" w:sz="8" w:space="0" w:color="auto"/>
              <w:right w:val="single" w:sz="8" w:space="0" w:color="000000"/>
            </w:tcBorders>
            <w:shd w:val="clear" w:color="auto" w:fill="auto"/>
            <w:vAlign w:val="center"/>
            <w:hideMark/>
          </w:tcPr>
          <w:p w14:paraId="19161914"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1413" w:type="dxa"/>
            <w:tcBorders>
              <w:top w:val="nil"/>
              <w:left w:val="nil"/>
              <w:bottom w:val="single" w:sz="8" w:space="0" w:color="000000"/>
              <w:right w:val="single" w:sz="8" w:space="0" w:color="000000"/>
            </w:tcBorders>
            <w:shd w:val="clear" w:color="auto" w:fill="auto"/>
            <w:vAlign w:val="center"/>
            <w:hideMark/>
          </w:tcPr>
          <w:p w14:paraId="7FCCD48D"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 </w:t>
            </w:r>
          </w:p>
        </w:tc>
        <w:tc>
          <w:tcPr>
            <w:tcW w:w="1472" w:type="dxa"/>
            <w:tcBorders>
              <w:top w:val="nil"/>
              <w:left w:val="nil"/>
              <w:bottom w:val="single" w:sz="8" w:space="0" w:color="000000"/>
              <w:right w:val="single" w:sz="8" w:space="0" w:color="000000"/>
            </w:tcBorders>
            <w:shd w:val="clear" w:color="auto" w:fill="auto"/>
            <w:vAlign w:val="center"/>
            <w:hideMark/>
          </w:tcPr>
          <w:p w14:paraId="70031F94"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 </w:t>
            </w:r>
          </w:p>
        </w:tc>
      </w:tr>
      <w:tr w:rsidR="00694299" w:rsidRPr="00694299" w14:paraId="12F3357C" w14:textId="77777777" w:rsidTr="00694299">
        <w:trPr>
          <w:divId w:val="38238953"/>
          <w:trHeight w:val="288"/>
        </w:trPr>
        <w:tc>
          <w:tcPr>
            <w:tcW w:w="2403" w:type="dxa"/>
            <w:tcBorders>
              <w:top w:val="nil"/>
              <w:left w:val="single" w:sz="8" w:space="0" w:color="000000"/>
              <w:bottom w:val="single" w:sz="8" w:space="0" w:color="000000"/>
              <w:right w:val="single" w:sz="8" w:space="0" w:color="auto"/>
            </w:tcBorders>
            <w:shd w:val="clear" w:color="auto" w:fill="auto"/>
            <w:vAlign w:val="center"/>
            <w:hideMark/>
          </w:tcPr>
          <w:p w14:paraId="0ED004EF"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Propiedad del activo</w:t>
            </w:r>
          </w:p>
        </w:tc>
        <w:tc>
          <w:tcPr>
            <w:tcW w:w="2851" w:type="dxa"/>
            <w:tcBorders>
              <w:top w:val="nil"/>
              <w:left w:val="nil"/>
              <w:bottom w:val="single" w:sz="8" w:space="0" w:color="auto"/>
              <w:right w:val="single" w:sz="8" w:space="0" w:color="auto"/>
            </w:tcBorders>
            <w:shd w:val="clear" w:color="auto" w:fill="auto"/>
            <w:vAlign w:val="center"/>
            <w:hideMark/>
          </w:tcPr>
          <w:p w14:paraId="5D59F8AC"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181" w:type="dxa"/>
            <w:tcBorders>
              <w:top w:val="nil"/>
              <w:left w:val="nil"/>
              <w:bottom w:val="single" w:sz="8" w:space="0" w:color="auto"/>
              <w:right w:val="single" w:sz="8" w:space="0" w:color="auto"/>
            </w:tcBorders>
            <w:shd w:val="clear" w:color="auto" w:fill="auto"/>
            <w:vAlign w:val="center"/>
            <w:hideMark/>
          </w:tcPr>
          <w:p w14:paraId="5FA5D2FF"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413" w:type="dxa"/>
            <w:tcBorders>
              <w:top w:val="nil"/>
              <w:left w:val="nil"/>
              <w:bottom w:val="single" w:sz="8" w:space="0" w:color="000000"/>
              <w:right w:val="single" w:sz="8" w:space="0" w:color="000000"/>
            </w:tcBorders>
            <w:shd w:val="clear" w:color="auto" w:fill="auto"/>
            <w:vAlign w:val="center"/>
            <w:hideMark/>
          </w:tcPr>
          <w:p w14:paraId="779C6BC8"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472" w:type="dxa"/>
            <w:tcBorders>
              <w:top w:val="nil"/>
              <w:left w:val="nil"/>
              <w:bottom w:val="single" w:sz="8" w:space="0" w:color="000000"/>
              <w:right w:val="single" w:sz="8" w:space="0" w:color="000000"/>
            </w:tcBorders>
            <w:shd w:val="clear" w:color="auto" w:fill="auto"/>
            <w:vAlign w:val="center"/>
            <w:hideMark/>
          </w:tcPr>
          <w:p w14:paraId="46DFCE1E"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r w:rsidR="00694299" w:rsidRPr="00694299" w14:paraId="4508B69B" w14:textId="77777777" w:rsidTr="00694299">
        <w:trPr>
          <w:divId w:val="38238953"/>
          <w:trHeight w:val="288"/>
        </w:trPr>
        <w:tc>
          <w:tcPr>
            <w:tcW w:w="2403" w:type="dxa"/>
            <w:tcBorders>
              <w:top w:val="nil"/>
              <w:left w:val="single" w:sz="8" w:space="0" w:color="000000"/>
              <w:bottom w:val="single" w:sz="8" w:space="0" w:color="000000"/>
              <w:right w:val="single" w:sz="8" w:space="0" w:color="000000"/>
            </w:tcBorders>
            <w:shd w:val="clear" w:color="auto" w:fill="auto"/>
            <w:vAlign w:val="center"/>
            <w:hideMark/>
          </w:tcPr>
          <w:p w14:paraId="17578EB2"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Inversión de capital</w:t>
            </w:r>
          </w:p>
        </w:tc>
        <w:tc>
          <w:tcPr>
            <w:tcW w:w="2851" w:type="dxa"/>
            <w:tcBorders>
              <w:top w:val="nil"/>
              <w:left w:val="nil"/>
              <w:bottom w:val="single" w:sz="8" w:space="0" w:color="000000"/>
              <w:right w:val="single" w:sz="8" w:space="0" w:color="000000"/>
            </w:tcBorders>
            <w:shd w:val="clear" w:color="auto" w:fill="auto"/>
            <w:vAlign w:val="center"/>
            <w:hideMark/>
          </w:tcPr>
          <w:p w14:paraId="150A026E"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181" w:type="dxa"/>
            <w:tcBorders>
              <w:top w:val="nil"/>
              <w:left w:val="nil"/>
              <w:bottom w:val="single" w:sz="8" w:space="0" w:color="000000"/>
              <w:right w:val="single" w:sz="8" w:space="0" w:color="auto"/>
            </w:tcBorders>
            <w:shd w:val="clear" w:color="auto" w:fill="auto"/>
            <w:vAlign w:val="center"/>
            <w:hideMark/>
          </w:tcPr>
          <w:p w14:paraId="3C0BFF8B"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413" w:type="dxa"/>
            <w:tcBorders>
              <w:top w:val="nil"/>
              <w:left w:val="nil"/>
              <w:bottom w:val="single" w:sz="8" w:space="0" w:color="auto"/>
              <w:right w:val="single" w:sz="8" w:space="0" w:color="auto"/>
            </w:tcBorders>
            <w:shd w:val="clear" w:color="auto" w:fill="auto"/>
            <w:vAlign w:val="center"/>
            <w:hideMark/>
          </w:tcPr>
          <w:p w14:paraId="33573936"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472" w:type="dxa"/>
            <w:tcBorders>
              <w:top w:val="nil"/>
              <w:left w:val="nil"/>
              <w:bottom w:val="single" w:sz="8" w:space="0" w:color="auto"/>
              <w:right w:val="single" w:sz="8" w:space="0" w:color="auto"/>
            </w:tcBorders>
            <w:shd w:val="clear" w:color="auto" w:fill="auto"/>
            <w:vAlign w:val="center"/>
            <w:hideMark/>
          </w:tcPr>
          <w:p w14:paraId="343A8B8F"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r w:rsidR="00694299" w:rsidRPr="00694299" w14:paraId="73EEC0CF" w14:textId="77777777" w:rsidTr="00694299">
        <w:trPr>
          <w:divId w:val="38238953"/>
          <w:trHeight w:val="288"/>
        </w:trPr>
        <w:tc>
          <w:tcPr>
            <w:tcW w:w="2403" w:type="dxa"/>
            <w:tcBorders>
              <w:top w:val="nil"/>
              <w:left w:val="single" w:sz="8" w:space="0" w:color="000000"/>
              <w:bottom w:val="nil"/>
              <w:right w:val="single" w:sz="8" w:space="0" w:color="000000"/>
            </w:tcBorders>
            <w:shd w:val="clear" w:color="auto" w:fill="auto"/>
            <w:vAlign w:val="center"/>
            <w:hideMark/>
          </w:tcPr>
          <w:p w14:paraId="7A5220FC"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Riesgo de demanda</w:t>
            </w:r>
          </w:p>
        </w:tc>
        <w:tc>
          <w:tcPr>
            <w:tcW w:w="2851" w:type="dxa"/>
            <w:tcBorders>
              <w:top w:val="nil"/>
              <w:left w:val="nil"/>
              <w:bottom w:val="nil"/>
              <w:right w:val="single" w:sz="8" w:space="0" w:color="000000"/>
            </w:tcBorders>
            <w:shd w:val="clear" w:color="auto" w:fill="auto"/>
            <w:vAlign w:val="center"/>
            <w:hideMark/>
          </w:tcPr>
          <w:p w14:paraId="3BC86B18"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181" w:type="dxa"/>
            <w:tcBorders>
              <w:top w:val="nil"/>
              <w:left w:val="nil"/>
              <w:bottom w:val="nil"/>
              <w:right w:val="single" w:sz="8" w:space="0" w:color="000000"/>
            </w:tcBorders>
            <w:shd w:val="clear" w:color="auto" w:fill="auto"/>
            <w:vAlign w:val="center"/>
            <w:hideMark/>
          </w:tcPr>
          <w:p w14:paraId="12C141D3"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413" w:type="dxa"/>
            <w:tcBorders>
              <w:top w:val="nil"/>
              <w:left w:val="nil"/>
              <w:bottom w:val="nil"/>
              <w:right w:val="single" w:sz="8" w:space="0" w:color="000000"/>
            </w:tcBorders>
            <w:shd w:val="clear" w:color="auto" w:fill="auto"/>
            <w:vAlign w:val="center"/>
            <w:hideMark/>
          </w:tcPr>
          <w:p w14:paraId="1B0707C8"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472" w:type="dxa"/>
            <w:tcBorders>
              <w:top w:val="nil"/>
              <w:left w:val="nil"/>
              <w:bottom w:val="nil"/>
              <w:right w:val="single" w:sz="8" w:space="0" w:color="000000"/>
            </w:tcBorders>
            <w:shd w:val="clear" w:color="auto" w:fill="auto"/>
            <w:vAlign w:val="center"/>
            <w:hideMark/>
          </w:tcPr>
          <w:p w14:paraId="77C24C1C"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r w:rsidR="00694299" w:rsidRPr="00694299" w14:paraId="4F74B0D8" w14:textId="77777777" w:rsidTr="00694299">
        <w:trPr>
          <w:divId w:val="38238953"/>
          <w:trHeight w:val="288"/>
        </w:trPr>
        <w:tc>
          <w:tcPr>
            <w:tcW w:w="240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967C21B"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Duración habitual</w:t>
            </w:r>
          </w:p>
        </w:tc>
        <w:tc>
          <w:tcPr>
            <w:tcW w:w="2851" w:type="dxa"/>
            <w:tcBorders>
              <w:top w:val="single" w:sz="8" w:space="0" w:color="auto"/>
              <w:left w:val="nil"/>
              <w:bottom w:val="single" w:sz="8" w:space="0" w:color="auto"/>
              <w:right w:val="single" w:sz="8" w:space="0" w:color="auto"/>
            </w:tcBorders>
            <w:shd w:val="clear" w:color="auto" w:fill="auto"/>
            <w:vAlign w:val="center"/>
            <w:hideMark/>
          </w:tcPr>
          <w:p w14:paraId="0C8E57DC"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181" w:type="dxa"/>
            <w:tcBorders>
              <w:top w:val="single" w:sz="8" w:space="0" w:color="auto"/>
              <w:left w:val="nil"/>
              <w:bottom w:val="single" w:sz="8" w:space="0" w:color="auto"/>
              <w:right w:val="single" w:sz="8" w:space="0" w:color="auto"/>
            </w:tcBorders>
            <w:shd w:val="clear" w:color="auto" w:fill="auto"/>
            <w:vAlign w:val="center"/>
            <w:hideMark/>
          </w:tcPr>
          <w:p w14:paraId="4BCD426D"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413" w:type="dxa"/>
            <w:tcBorders>
              <w:top w:val="single" w:sz="8" w:space="0" w:color="auto"/>
              <w:left w:val="nil"/>
              <w:bottom w:val="single" w:sz="8" w:space="0" w:color="auto"/>
              <w:right w:val="single" w:sz="8" w:space="0" w:color="000000"/>
            </w:tcBorders>
            <w:shd w:val="clear" w:color="auto" w:fill="auto"/>
            <w:vAlign w:val="center"/>
            <w:hideMark/>
          </w:tcPr>
          <w:p w14:paraId="1C7A2F95"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472" w:type="dxa"/>
            <w:tcBorders>
              <w:top w:val="single" w:sz="8" w:space="0" w:color="auto"/>
              <w:left w:val="nil"/>
              <w:bottom w:val="single" w:sz="8" w:space="0" w:color="auto"/>
              <w:right w:val="single" w:sz="8" w:space="0" w:color="auto"/>
            </w:tcBorders>
            <w:shd w:val="clear" w:color="auto" w:fill="auto"/>
            <w:vAlign w:val="center"/>
            <w:hideMark/>
          </w:tcPr>
          <w:p w14:paraId="168034C2"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r w:rsidR="00694299" w:rsidRPr="00694299" w14:paraId="2F86EF49" w14:textId="77777777" w:rsidTr="00694299">
        <w:trPr>
          <w:divId w:val="38238953"/>
          <w:trHeight w:val="288"/>
        </w:trPr>
        <w:tc>
          <w:tcPr>
            <w:tcW w:w="2403" w:type="dxa"/>
            <w:tcBorders>
              <w:top w:val="nil"/>
              <w:left w:val="single" w:sz="8" w:space="0" w:color="000000"/>
              <w:bottom w:val="nil"/>
              <w:right w:val="single" w:sz="8" w:space="0" w:color="auto"/>
            </w:tcBorders>
            <w:shd w:val="clear" w:color="auto" w:fill="auto"/>
            <w:vAlign w:val="center"/>
            <w:hideMark/>
          </w:tcPr>
          <w:p w14:paraId="4AB13B6A"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Interés residual</w:t>
            </w:r>
          </w:p>
        </w:tc>
        <w:tc>
          <w:tcPr>
            <w:tcW w:w="2851" w:type="dxa"/>
            <w:tcBorders>
              <w:top w:val="nil"/>
              <w:left w:val="nil"/>
              <w:bottom w:val="nil"/>
              <w:right w:val="single" w:sz="8" w:space="0" w:color="auto"/>
            </w:tcBorders>
            <w:shd w:val="clear" w:color="auto" w:fill="auto"/>
            <w:vAlign w:val="center"/>
            <w:hideMark/>
          </w:tcPr>
          <w:p w14:paraId="0C412F65" w14:textId="77777777" w:rsidR="00694299" w:rsidRPr="00694299" w:rsidRDefault="00694299" w:rsidP="00694299">
            <w:pPr>
              <w:spacing w:after="0" w:line="240" w:lineRule="auto"/>
              <w:ind w:firstLineChars="700" w:firstLine="1540"/>
              <w:jc w:val="left"/>
              <w:rPr>
                <w:rFonts w:eastAsia="Times New Roman" w:cs="Calibri"/>
                <w:color w:val="000000"/>
                <w:sz w:val="22"/>
                <w:lang w:eastAsia="es-CR"/>
              </w:rPr>
            </w:pPr>
            <w:r w:rsidRPr="00694299">
              <w:rPr>
                <w:rFonts w:eastAsia="Times New Roman" w:cs="Calibri"/>
                <w:color w:val="000000"/>
                <w:sz w:val="22"/>
                <w:lang w:eastAsia="es-CR"/>
              </w:rPr>
              <w:t> </w:t>
            </w:r>
          </w:p>
        </w:tc>
        <w:tc>
          <w:tcPr>
            <w:tcW w:w="1181" w:type="dxa"/>
            <w:tcBorders>
              <w:top w:val="nil"/>
              <w:left w:val="nil"/>
              <w:bottom w:val="nil"/>
              <w:right w:val="single" w:sz="8" w:space="0" w:color="auto"/>
            </w:tcBorders>
            <w:shd w:val="clear" w:color="auto" w:fill="auto"/>
            <w:vAlign w:val="center"/>
            <w:hideMark/>
          </w:tcPr>
          <w:p w14:paraId="3BC40005"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413" w:type="dxa"/>
            <w:tcBorders>
              <w:top w:val="nil"/>
              <w:left w:val="nil"/>
              <w:bottom w:val="nil"/>
              <w:right w:val="single" w:sz="8" w:space="0" w:color="000000"/>
            </w:tcBorders>
            <w:shd w:val="clear" w:color="auto" w:fill="auto"/>
            <w:vAlign w:val="center"/>
            <w:hideMark/>
          </w:tcPr>
          <w:p w14:paraId="6941A0D9"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472" w:type="dxa"/>
            <w:tcBorders>
              <w:top w:val="nil"/>
              <w:left w:val="nil"/>
              <w:bottom w:val="nil"/>
              <w:right w:val="single" w:sz="8" w:space="0" w:color="000000"/>
            </w:tcBorders>
            <w:shd w:val="clear" w:color="auto" w:fill="auto"/>
            <w:vAlign w:val="center"/>
            <w:hideMark/>
          </w:tcPr>
          <w:p w14:paraId="15C4874A"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r w:rsidR="00694299" w:rsidRPr="00694299" w14:paraId="603053AC" w14:textId="77777777" w:rsidTr="00694299">
        <w:trPr>
          <w:divId w:val="38238953"/>
          <w:trHeight w:val="288"/>
        </w:trPr>
        <w:tc>
          <w:tcPr>
            <w:tcW w:w="2403"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6968F58"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NICSP correspondiente</w:t>
            </w:r>
          </w:p>
        </w:tc>
        <w:tc>
          <w:tcPr>
            <w:tcW w:w="2851" w:type="dxa"/>
            <w:tcBorders>
              <w:top w:val="single" w:sz="8" w:space="0" w:color="auto"/>
              <w:left w:val="nil"/>
              <w:bottom w:val="single" w:sz="8" w:space="0" w:color="auto"/>
              <w:right w:val="single" w:sz="8" w:space="0" w:color="000000"/>
            </w:tcBorders>
            <w:shd w:val="clear" w:color="auto" w:fill="auto"/>
            <w:vAlign w:val="center"/>
            <w:hideMark/>
          </w:tcPr>
          <w:p w14:paraId="39061C47" w14:textId="77777777" w:rsidR="00694299" w:rsidRPr="00694299" w:rsidRDefault="00694299" w:rsidP="00694299">
            <w:pPr>
              <w:spacing w:after="0" w:line="240" w:lineRule="auto"/>
              <w:ind w:firstLineChars="100" w:firstLine="220"/>
              <w:jc w:val="left"/>
              <w:rPr>
                <w:rFonts w:eastAsia="Times New Roman" w:cs="Calibri"/>
                <w:color w:val="000000"/>
                <w:sz w:val="22"/>
                <w:lang w:eastAsia="es-CR"/>
              </w:rPr>
            </w:pPr>
            <w:r w:rsidRPr="00694299">
              <w:rPr>
                <w:rFonts w:eastAsia="Times New Roman" w:cs="Calibri"/>
                <w:color w:val="000000"/>
                <w:sz w:val="22"/>
                <w:lang w:eastAsia="es-CR"/>
              </w:rPr>
              <w:t> </w:t>
            </w:r>
          </w:p>
        </w:tc>
        <w:tc>
          <w:tcPr>
            <w:tcW w:w="1181" w:type="dxa"/>
            <w:tcBorders>
              <w:top w:val="single" w:sz="8" w:space="0" w:color="auto"/>
              <w:left w:val="nil"/>
              <w:bottom w:val="single" w:sz="8" w:space="0" w:color="auto"/>
              <w:right w:val="single" w:sz="8" w:space="0" w:color="000000"/>
            </w:tcBorders>
            <w:shd w:val="clear" w:color="auto" w:fill="auto"/>
            <w:vAlign w:val="center"/>
            <w:hideMark/>
          </w:tcPr>
          <w:p w14:paraId="3A77AC8E"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413" w:type="dxa"/>
            <w:tcBorders>
              <w:top w:val="single" w:sz="8" w:space="0" w:color="auto"/>
              <w:left w:val="nil"/>
              <w:bottom w:val="single" w:sz="8" w:space="0" w:color="auto"/>
              <w:right w:val="single" w:sz="8" w:space="0" w:color="000000"/>
            </w:tcBorders>
            <w:shd w:val="clear" w:color="auto" w:fill="auto"/>
            <w:vAlign w:val="center"/>
            <w:hideMark/>
          </w:tcPr>
          <w:p w14:paraId="1C23987B" w14:textId="77777777" w:rsidR="00694299" w:rsidRPr="00694299" w:rsidRDefault="00694299" w:rsidP="00694299">
            <w:pPr>
              <w:spacing w:after="0" w:line="240" w:lineRule="auto"/>
              <w:ind w:firstLineChars="100" w:firstLine="220"/>
              <w:jc w:val="left"/>
              <w:rPr>
                <w:rFonts w:eastAsia="Times New Roman" w:cs="Calibri"/>
                <w:color w:val="000000"/>
                <w:sz w:val="22"/>
                <w:lang w:eastAsia="es-CR"/>
              </w:rPr>
            </w:pPr>
            <w:r w:rsidRPr="00694299">
              <w:rPr>
                <w:rFonts w:eastAsia="Times New Roman" w:cs="Calibri"/>
                <w:color w:val="000000"/>
                <w:sz w:val="22"/>
                <w:lang w:eastAsia="es-CR"/>
              </w:rPr>
              <w:t> </w:t>
            </w:r>
          </w:p>
        </w:tc>
        <w:tc>
          <w:tcPr>
            <w:tcW w:w="1472" w:type="dxa"/>
            <w:tcBorders>
              <w:top w:val="single" w:sz="8" w:space="0" w:color="auto"/>
              <w:left w:val="nil"/>
              <w:bottom w:val="single" w:sz="8" w:space="0" w:color="auto"/>
              <w:right w:val="single" w:sz="8" w:space="0" w:color="auto"/>
            </w:tcBorders>
            <w:shd w:val="clear" w:color="auto" w:fill="auto"/>
            <w:vAlign w:val="center"/>
            <w:hideMark/>
          </w:tcPr>
          <w:p w14:paraId="1C9D78CF" w14:textId="77777777" w:rsidR="00694299" w:rsidRPr="00694299" w:rsidRDefault="00694299" w:rsidP="00694299">
            <w:pPr>
              <w:spacing w:after="0" w:line="240" w:lineRule="auto"/>
              <w:ind w:firstLineChars="100" w:firstLine="220"/>
              <w:jc w:val="left"/>
              <w:rPr>
                <w:rFonts w:eastAsia="Times New Roman" w:cs="Calibri"/>
                <w:color w:val="000000"/>
                <w:sz w:val="22"/>
                <w:lang w:eastAsia="es-CR"/>
              </w:rPr>
            </w:pPr>
            <w:r w:rsidRPr="00694299">
              <w:rPr>
                <w:rFonts w:eastAsia="Times New Roman" w:cs="Calibri"/>
                <w:color w:val="000000"/>
                <w:sz w:val="22"/>
                <w:lang w:eastAsia="es-CR"/>
              </w:rPr>
              <w:t> </w:t>
            </w:r>
          </w:p>
        </w:tc>
      </w:tr>
    </w:tbl>
    <w:p w14:paraId="2C72EC3C" w14:textId="7971826D" w:rsidR="00A606BF" w:rsidRDefault="00A606BF" w:rsidP="0096643F">
      <w:pPr>
        <w:rPr>
          <w:lang w:val="es-MX"/>
        </w:rPr>
      </w:pPr>
      <w:r>
        <w:rPr>
          <w:lang w:val="es-MX"/>
        </w:rPr>
        <w:fldChar w:fldCharType="end"/>
      </w:r>
    </w:p>
    <w:p w14:paraId="23509457" w14:textId="77777777" w:rsidR="0008638E" w:rsidRPr="003516A2" w:rsidRDefault="0008638E" w:rsidP="0008638E">
      <w:pPr>
        <w:spacing w:before="240"/>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655798E8" w14:textId="77777777" w:rsidR="0008638E" w:rsidRDefault="0008638E" w:rsidP="0008638E">
      <w:pPr>
        <w:spacing w:line="240" w:lineRule="auto"/>
        <w:rPr>
          <w:b/>
          <w:u w:val="single"/>
        </w:rPr>
      </w:pPr>
    </w:p>
    <w:p w14:paraId="6C91EB2C" w14:textId="77777777" w:rsidR="0008638E" w:rsidRPr="003516A2" w:rsidRDefault="0008638E" w:rsidP="0008638E">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34F7F098" w14:textId="77777777" w:rsidR="0008638E" w:rsidRPr="0008638E" w:rsidRDefault="0008638E" w:rsidP="0008638E">
      <w:pPr>
        <w:rPr>
          <w:lang w:val="es-MX"/>
        </w:rPr>
      </w:pPr>
      <w:r>
        <w:rPr>
          <w:lang w:val="es-MX"/>
        </w:rPr>
        <w:t>________________________________________________________________________________________________________________________________________________________________</w:t>
      </w:r>
    </w:p>
    <w:p w14:paraId="1DF52CEA" w14:textId="77777777" w:rsidR="0096643F" w:rsidRPr="0096643F" w:rsidRDefault="0096643F" w:rsidP="0096643F">
      <w:pPr>
        <w:rPr>
          <w:rFonts w:eastAsia="Times New Roman"/>
          <w:b/>
          <w:u w:val="single"/>
          <w:lang w:val="es-ES_tradnl" w:eastAsia="es-CR"/>
        </w:rPr>
      </w:pPr>
      <w:r w:rsidRPr="00A6037A">
        <w:rPr>
          <w:b/>
          <w:color w:val="FFFFFF" w:themeColor="background1"/>
          <w:highlight w:val="darkBlue"/>
          <w:u w:val="single"/>
        </w:rPr>
        <w:t>Revelación Suficiente:</w:t>
      </w:r>
      <w:r w:rsidRPr="0096643F">
        <w:rPr>
          <w:rFonts w:eastAsia="Times New Roman"/>
          <w:b/>
          <w:u w:val="single"/>
          <w:lang w:val="es-ES_tradnl" w:eastAsia="es-CR"/>
        </w:rPr>
        <w:t xml:space="preserve"> </w:t>
      </w:r>
      <w:r w:rsidRPr="0096643F">
        <w:rPr>
          <w:b/>
          <w:u w:val="single"/>
        </w:rPr>
        <w:t>El ente debe cumplir con lo estipulado en revelación con forme a la NICSP, también debe considerar la política general y los párrafos incluidos en la matriz de autoevaluación referente a esta NICSP guías de aplicación</w:t>
      </w:r>
      <w:r w:rsidRPr="0096643F">
        <w:rPr>
          <w:rFonts w:eastAsia="Times New Roman"/>
          <w:b/>
          <w:u w:val="single"/>
          <w:lang w:val="es-ES_tradnl" w:eastAsia="es-CR"/>
        </w:rPr>
        <w:t xml:space="preserve"> (Ver GA de la NICSP 32):</w:t>
      </w:r>
    </w:p>
    <w:p w14:paraId="61C8CB46" w14:textId="77777777" w:rsidR="0096643F" w:rsidRPr="0096643F" w:rsidRDefault="0096643F" w:rsidP="0096643F">
      <w:pPr>
        <w:rPr>
          <w:lang w:val="es-MX"/>
        </w:rPr>
      </w:pPr>
      <w:r w:rsidRPr="0096643F">
        <w:rPr>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1430CB" w14:textId="77777777" w:rsidR="00A649A4" w:rsidRPr="00A649A4" w:rsidRDefault="00A649A4" w:rsidP="00A649A4">
      <w:pPr>
        <w:rPr>
          <w:highlight w:val="green"/>
          <w:lang w:eastAsia="es-CR"/>
        </w:rPr>
      </w:pPr>
    </w:p>
    <w:p w14:paraId="28FE0065" w14:textId="6788C4E9" w:rsidR="00A649A4" w:rsidRPr="00A649A4" w:rsidRDefault="00A649A4" w:rsidP="00A649A4">
      <w:pPr>
        <w:pStyle w:val="Ttulo2"/>
        <w:spacing w:after="240"/>
        <w:rPr>
          <w:rFonts w:eastAsia="Times New Roman"/>
          <w:lang w:eastAsia="es-CR"/>
        </w:rPr>
      </w:pPr>
      <w:bookmarkStart w:id="106" w:name="_Toc173245212"/>
      <w:r w:rsidRPr="00A649A4">
        <w:rPr>
          <w:rFonts w:eastAsia="Times New Roman"/>
          <w:lang w:eastAsia="es-CR"/>
        </w:rPr>
        <w:t>NICSP 33</w:t>
      </w:r>
      <w:r>
        <w:rPr>
          <w:rFonts w:eastAsia="Times New Roman"/>
          <w:lang w:eastAsia="es-CR"/>
        </w:rPr>
        <w:t xml:space="preserve"> - </w:t>
      </w:r>
      <w:r w:rsidRPr="00A649A4">
        <w:rPr>
          <w:rFonts w:eastAsia="Times New Roman"/>
          <w:lang w:eastAsia="es-CR"/>
        </w:rPr>
        <w:t>ADOPCIÓN POR PRIMERA VEZ DE LAS NICSP DE BASE DE ACUMULACIÓN (O DEVENGO) (DE APLICACIÓN OBLIGATORIA):</w:t>
      </w:r>
      <w:bookmarkEnd w:id="106"/>
      <w:r w:rsidRPr="00A649A4">
        <w:rPr>
          <w:rFonts w:eastAsia="Times New Roman"/>
          <w:lang w:eastAsia="es-CR"/>
        </w:rPr>
        <w:t xml:space="preserve"> </w:t>
      </w:r>
    </w:p>
    <w:p w14:paraId="31A5B238" w14:textId="77777777" w:rsidR="00694299" w:rsidRDefault="00A649A4" w:rsidP="00A649A4">
      <w:pPr>
        <w:rPr>
          <w:rFonts w:asciiTheme="minorHAnsi" w:hAnsiTheme="minorHAnsi"/>
          <w:sz w:val="22"/>
        </w:rPr>
      </w:pPr>
      <w:r w:rsidRPr="00FB0858">
        <w:t xml:space="preserve">De acuerdo con la </w:t>
      </w:r>
      <w:r w:rsidRPr="000B404C">
        <w:t xml:space="preserve">De acuerdo con la </w:t>
      </w:r>
      <w:r w:rsidRPr="00A649A4">
        <w:t xml:space="preserve">NICSP 33 </w:t>
      </w:r>
      <w:r>
        <w:t xml:space="preserve">- </w:t>
      </w:r>
      <w:r w:rsidRPr="00A649A4">
        <w:t>Adopción por primera vez de las NICSP de base de acumulación (o devengo)</w:t>
      </w:r>
      <w:r>
        <w:t xml:space="preserve">, indicar si este rubro afecta SI o NO a la institución, </w:t>
      </w:r>
      <w:r w:rsidRPr="00405DBC">
        <w:t>además del porcentaje de avance</w:t>
      </w:r>
      <w:r>
        <w:t xml:space="preserve"> en la implementación</w:t>
      </w:r>
      <w:r w:rsidRPr="00405DBC">
        <w:t xml:space="preserve"> que presenta</w:t>
      </w:r>
      <w:r>
        <w:t>.</w:t>
      </w:r>
      <w:r w:rsidR="00982595">
        <w:fldChar w:fldCharType="begin"/>
      </w:r>
      <w:r w:rsidR="00982595">
        <w:instrText xml:space="preserve"> LINK </w:instrText>
      </w:r>
      <w:r w:rsidR="00323752">
        <w:instrText xml:space="preserve">Excel.SheetMacroEnabled.12 "D:\\MORAVIA\\INSUMOS\\NOTAS 2024\\Formato_Notas_EEFF_Vinculadas_2024\\XXXXX_PXX_202X_Anexo_Estado_Notas_Contables_Vinculadas.xlsm" NICSP_33!F9C3:F10C4 </w:instrText>
      </w:r>
      <w:r w:rsidR="00982595">
        <w:instrText xml:space="preserve">\a \f 4 \h </w:instrText>
      </w:r>
      <w:r w:rsidR="00982595">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694299" w:rsidRPr="00694299" w14:paraId="242B9493" w14:textId="77777777" w:rsidTr="00694299">
        <w:trPr>
          <w:divId w:val="117377889"/>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1506D9C2" w14:textId="0D8B3CBC"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C9ACD"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Si</w:t>
            </w:r>
          </w:p>
        </w:tc>
      </w:tr>
      <w:tr w:rsidR="00694299" w:rsidRPr="00694299" w14:paraId="24054D2A" w14:textId="77777777" w:rsidTr="00694299">
        <w:trPr>
          <w:divId w:val="117377889"/>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36EF86AC"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1E0E41F6"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75,00%</w:t>
            </w:r>
          </w:p>
        </w:tc>
      </w:tr>
    </w:tbl>
    <w:p w14:paraId="4BDE2276" w14:textId="7E40CA17" w:rsidR="00A649A4" w:rsidRPr="00982595" w:rsidRDefault="00982595" w:rsidP="00A649A4">
      <w:pPr>
        <w:rPr>
          <w:b/>
          <w:sz w:val="16"/>
          <w:szCs w:val="16"/>
          <w:lang w:eastAsia="es-CR"/>
        </w:rPr>
      </w:pPr>
      <w:r>
        <w:fldChar w:fldCharType="end"/>
      </w:r>
      <w:r>
        <w:t xml:space="preserve">                                   </w:t>
      </w:r>
      <w:r w:rsidR="00A649A4" w:rsidRPr="00C35565">
        <w:rPr>
          <w:b/>
          <w:sz w:val="16"/>
          <w:szCs w:val="16"/>
          <w:lang w:eastAsia="es-CR"/>
        </w:rPr>
        <w:t>-Aplicación Obligatoria-</w:t>
      </w:r>
    </w:p>
    <w:p w14:paraId="23DCDF69" w14:textId="77777777" w:rsidR="00A649A4" w:rsidRPr="00A649A4" w:rsidRDefault="00A649A4" w:rsidP="00A606BF">
      <w:pPr>
        <w:jc w:val="center"/>
        <w:rPr>
          <w:szCs w:val="24"/>
        </w:rPr>
      </w:pPr>
      <w:r w:rsidRPr="00A649A4">
        <w:rPr>
          <w:noProof/>
          <w:lang w:eastAsia="es-CR"/>
        </w:rPr>
        <w:drawing>
          <wp:inline distT="0" distB="0" distL="0" distR="0" wp14:anchorId="610B2E54" wp14:editId="04FD3379">
            <wp:extent cx="4191000" cy="1524000"/>
            <wp:effectExtent l="0" t="0" r="0" b="0"/>
            <wp:docPr id="5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1000" cy="1524000"/>
                    </a:xfrm>
                    <a:prstGeom prst="rect">
                      <a:avLst/>
                    </a:prstGeom>
                    <a:noFill/>
                    <a:ln>
                      <a:noFill/>
                    </a:ln>
                  </pic:spPr>
                </pic:pic>
              </a:graphicData>
            </a:graphic>
          </wp:inline>
        </w:drawing>
      </w:r>
    </w:p>
    <w:p w14:paraId="4B92FACC" w14:textId="1364F030" w:rsidR="00A649A4" w:rsidRPr="00A606BF" w:rsidRDefault="00A649A4" w:rsidP="00A649A4">
      <w:r w:rsidRPr="00A649A4">
        <w:t>Los primeros estados financieros de una entidad conforme a las NICSP son los primeros estados financieros anuales en los cuales la entidad que adopta por primera vez las NICSP puede hacer una declaración, explícita y sin reservas, contenida en tales estados financieros, de conformidad con las NICSP de base de acumulación (o devengo).</w:t>
      </w:r>
    </w:p>
    <w:p w14:paraId="4C5E131A" w14:textId="225F124B" w:rsidR="00A649A4" w:rsidRPr="00A606BF" w:rsidRDefault="00A649A4" w:rsidP="00A606BF">
      <w:pPr>
        <w:jc w:val="center"/>
        <w:rPr>
          <w:szCs w:val="24"/>
          <w:highlight w:val="yellow"/>
        </w:rPr>
      </w:pPr>
      <w:r w:rsidRPr="00A649A4">
        <w:rPr>
          <w:noProof/>
          <w:lang w:eastAsia="es-CR"/>
        </w:rPr>
        <w:drawing>
          <wp:inline distT="0" distB="0" distL="0" distR="0" wp14:anchorId="00AC4C1A" wp14:editId="6CF03C30">
            <wp:extent cx="4183380" cy="1729740"/>
            <wp:effectExtent l="0" t="0" r="0" b="0"/>
            <wp:docPr id="5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83380" cy="1729740"/>
                    </a:xfrm>
                    <a:prstGeom prst="rect">
                      <a:avLst/>
                    </a:prstGeom>
                    <a:noFill/>
                    <a:ln>
                      <a:noFill/>
                    </a:ln>
                  </pic:spPr>
                </pic:pic>
              </a:graphicData>
            </a:graphic>
          </wp:inline>
        </w:drawing>
      </w:r>
    </w:p>
    <w:p w14:paraId="500FAC94" w14:textId="77777777" w:rsidR="00A649A4" w:rsidRPr="00A649A4" w:rsidRDefault="00A649A4" w:rsidP="00A649A4">
      <w:pPr>
        <w:jc w:val="center"/>
        <w:rPr>
          <w:szCs w:val="24"/>
          <w:highlight w:val="yellow"/>
        </w:rPr>
      </w:pPr>
      <w:r w:rsidRPr="00A649A4">
        <w:rPr>
          <w:noProof/>
          <w:lang w:eastAsia="es-CR"/>
        </w:rPr>
        <w:drawing>
          <wp:inline distT="0" distB="0" distL="0" distR="0" wp14:anchorId="5741E6DD" wp14:editId="1642812F">
            <wp:extent cx="4160520" cy="1295400"/>
            <wp:effectExtent l="0" t="0" r="0" b="0"/>
            <wp:docPr id="5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60520" cy="1295400"/>
                    </a:xfrm>
                    <a:prstGeom prst="rect">
                      <a:avLst/>
                    </a:prstGeom>
                    <a:noFill/>
                    <a:ln>
                      <a:noFill/>
                    </a:ln>
                  </pic:spPr>
                </pic:pic>
              </a:graphicData>
            </a:graphic>
          </wp:inline>
        </w:drawing>
      </w:r>
    </w:p>
    <w:p w14:paraId="045C8555" w14:textId="77777777" w:rsidR="00A649A4" w:rsidRPr="00A649A4" w:rsidRDefault="00A649A4" w:rsidP="00A649A4">
      <w:r w:rsidRPr="00A649A4">
        <w:t>1.</w:t>
      </w:r>
      <w:r w:rsidRPr="00A649A4">
        <w:tab/>
        <w:t>En la medida en que una entidad que adopta por primera vez las NICSP haya aprovechado las exenciones y disposiciones transitorias de esta NICSP que afectan la presentación razonable y conformidad con las NICSP de base de acumulación (o devengo) en relación con activos, pasivos, ingresos o gastos, revelará:</w:t>
      </w:r>
    </w:p>
    <w:p w14:paraId="6C73C001" w14:textId="77777777" w:rsidR="00A649A4" w:rsidRPr="00A649A4" w:rsidRDefault="00A649A4" w:rsidP="00A649A4">
      <w:r w:rsidRPr="00A649A4">
        <w:t>(a)</w:t>
      </w:r>
      <w:r w:rsidRPr="00A649A4">
        <w:tab/>
        <w:t>el progreso realizado hacia el reconocimiento, medición, presentación o revelación de activos, pasivos, ingresos o gastos de acuerdo con los requerimientos de las NICSP aplicables;</w:t>
      </w:r>
    </w:p>
    <w:p w14:paraId="2F99D40F" w14:textId="77777777" w:rsidR="00A649A4" w:rsidRPr="00A649A4" w:rsidRDefault="00A649A4" w:rsidP="00A649A4">
      <w:r w:rsidRPr="00A649A4">
        <w:t>(b)</w:t>
      </w:r>
      <w:r w:rsidRPr="00A649A4">
        <w:tab/>
        <w:t>los activos, pasivos, ingresos o gastos que hayan sido reconocidos y medidos según una política contable que no es congruente con los requerimientos de las NICSP aplicables;</w:t>
      </w:r>
    </w:p>
    <w:p w14:paraId="3B691A4B" w14:textId="77777777" w:rsidR="00A649A4" w:rsidRPr="00A649A4" w:rsidRDefault="00A649A4" w:rsidP="00A649A4">
      <w:r w:rsidRPr="00A649A4">
        <w:t>(c)</w:t>
      </w:r>
      <w:r w:rsidRPr="00A649A4">
        <w:tab/>
        <w:t>los activos, pasivos, ingresos o gastos que no hayan sido medidos, presentados o revelados en el periodo sobre el que se informa anterior, pero que ahora se reconocen o miden, o presentan o revelan;</w:t>
      </w:r>
    </w:p>
    <w:p w14:paraId="4A2276BA" w14:textId="77777777" w:rsidR="00A649A4" w:rsidRPr="00A649A4" w:rsidRDefault="00A649A4" w:rsidP="00A649A4">
      <w:r w:rsidRPr="00A649A4">
        <w:t>(d)</w:t>
      </w:r>
      <w:r w:rsidRPr="00A649A4">
        <w:tab/>
        <w:t>la naturaleza e importe de cualquier ajuste reconocido durante el periodo sobre el que se informa; y</w:t>
      </w:r>
    </w:p>
    <w:p w14:paraId="362E15F0" w14:textId="036C4655" w:rsidR="00A649A4" w:rsidRPr="00136480" w:rsidRDefault="00A649A4" w:rsidP="00A649A4">
      <w:r w:rsidRPr="00A649A4">
        <w:t>(e)</w:t>
      </w:r>
      <w:r w:rsidRPr="00A649A4">
        <w:tab/>
        <w:t>una indicación de cómo y cuándo tiene intención de cumplir en su totalidad con los requerimientos de las NICSP aplicables.</w:t>
      </w:r>
    </w:p>
    <w:p w14:paraId="717FF641" w14:textId="2B96DF19" w:rsidR="00A649A4" w:rsidRDefault="00246876" w:rsidP="00136480">
      <w:pPr>
        <w:jc w:val="center"/>
        <w:rPr>
          <w:szCs w:val="24"/>
        </w:rPr>
      </w:pPr>
      <w:r w:rsidRPr="00246876">
        <w:rPr>
          <w:noProof/>
          <w:lang w:eastAsia="es-CR"/>
        </w:rPr>
        <w:drawing>
          <wp:inline distT="0" distB="0" distL="0" distR="0" wp14:anchorId="32FBA55E" wp14:editId="56883BD7">
            <wp:extent cx="6078530" cy="6520375"/>
            <wp:effectExtent l="0" t="0" r="0" b="0"/>
            <wp:docPr id="5078602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83040" cy="6525213"/>
                    </a:xfrm>
                    <a:prstGeom prst="rect">
                      <a:avLst/>
                    </a:prstGeom>
                    <a:noFill/>
                    <a:ln>
                      <a:noFill/>
                    </a:ln>
                  </pic:spPr>
                </pic:pic>
              </a:graphicData>
            </a:graphic>
          </wp:inline>
        </w:drawing>
      </w:r>
    </w:p>
    <w:p w14:paraId="43A31DE6" w14:textId="77777777" w:rsidR="007173EC" w:rsidRDefault="009131F0" w:rsidP="007173EC">
      <w:pPr>
        <w:spacing w:before="240"/>
        <w:rPr>
          <w:b/>
          <w:color w:val="FFFFFF" w:themeColor="background1"/>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6560CD1F" w14:textId="0E26BD88" w:rsidR="005B4B63" w:rsidRDefault="007173EC" w:rsidP="005B4B63">
      <w:pPr>
        <w:spacing w:before="120" w:line="240" w:lineRule="auto"/>
        <w:rPr>
          <w:bCs/>
        </w:rPr>
      </w:pPr>
      <w:r w:rsidRPr="007173EC">
        <w:rPr>
          <w:bCs/>
        </w:rPr>
        <w:t>La Municipalidad</w:t>
      </w:r>
      <w:r w:rsidR="005B4B63">
        <w:rPr>
          <w:bCs/>
        </w:rPr>
        <w:t xml:space="preserve"> tomó las exenciones que afectan la presentación razonable y el cumplimiento con las NICSP por lo tanto se informa en la presentación de los EEFF:</w:t>
      </w:r>
    </w:p>
    <w:p w14:paraId="3B58FAB0" w14:textId="4DAA024A" w:rsidR="007173EC" w:rsidRPr="00422FFA" w:rsidRDefault="007173EC" w:rsidP="005B4B63">
      <w:pPr>
        <w:spacing w:before="120" w:line="240" w:lineRule="auto"/>
        <w:ind w:left="284" w:hanging="284"/>
        <w:rPr>
          <w:bCs/>
        </w:rPr>
      </w:pPr>
      <w:r w:rsidRPr="00422FFA">
        <w:rPr>
          <w:bCs/>
        </w:rPr>
        <w:t xml:space="preserve">(a) la medida en que </w:t>
      </w:r>
      <w:r>
        <w:rPr>
          <w:bCs/>
        </w:rPr>
        <w:t xml:space="preserve">se </w:t>
      </w:r>
      <w:r w:rsidRPr="00422FFA">
        <w:rPr>
          <w:bCs/>
        </w:rPr>
        <w:t xml:space="preserve">ha aprovechado las exenciones transitorias que afectan la presentación razonable de los </w:t>
      </w:r>
      <w:r>
        <w:rPr>
          <w:bCs/>
        </w:rPr>
        <w:t>EEFF</w:t>
      </w:r>
      <w:r w:rsidRPr="00422FFA">
        <w:rPr>
          <w:bCs/>
        </w:rPr>
        <w:t xml:space="preserve"> y su capacidad para afirmar la conformidad con las NICSP de base de acumulación (o devengo); o </w:t>
      </w:r>
    </w:p>
    <w:p w14:paraId="5F95FF56" w14:textId="77777777" w:rsidR="007173EC" w:rsidRPr="00422FFA" w:rsidRDefault="007173EC" w:rsidP="005B4B63">
      <w:pPr>
        <w:spacing w:before="120" w:line="240" w:lineRule="auto"/>
        <w:ind w:left="284" w:hanging="284"/>
        <w:rPr>
          <w:bCs/>
        </w:rPr>
      </w:pPr>
      <w:r w:rsidRPr="00422FFA">
        <w:rPr>
          <w:bCs/>
        </w:rPr>
        <w:t xml:space="preserve">(b) la medida en que ha aprovechado las exenciones transitorias que no afectan la presentación razonable de los </w:t>
      </w:r>
      <w:r>
        <w:rPr>
          <w:bCs/>
        </w:rPr>
        <w:t>EEFF</w:t>
      </w:r>
      <w:r w:rsidRPr="00422FFA">
        <w:rPr>
          <w:bCs/>
        </w:rPr>
        <w:t xml:space="preserve"> y su capacidad para afirmar la conformidad con las NICSP de base de acumulación (o devengo). </w:t>
      </w:r>
    </w:p>
    <w:p w14:paraId="18717870" w14:textId="77777777" w:rsidR="007173EC" w:rsidRPr="00422FFA" w:rsidRDefault="007173EC" w:rsidP="005B4B63">
      <w:pPr>
        <w:spacing w:before="120" w:line="240" w:lineRule="auto"/>
        <w:rPr>
          <w:bCs/>
        </w:rPr>
      </w:pPr>
      <w:r>
        <w:rPr>
          <w:bCs/>
        </w:rPr>
        <w:t>Se ha controlado e</w:t>
      </w:r>
      <w:r w:rsidRPr="00422FFA">
        <w:rPr>
          <w:bCs/>
        </w:rPr>
        <w:t xml:space="preserve">l progreso realizado hacia el reconocimiento, medición, presentación o revelación de activos, pasivos, ingresos o gastos de acuerdo con los requerimientos de las NICSP aplicables; </w:t>
      </w:r>
    </w:p>
    <w:p w14:paraId="2BCE221A" w14:textId="77777777" w:rsidR="009131F0" w:rsidRDefault="009131F0" w:rsidP="009131F0">
      <w:pPr>
        <w:spacing w:line="240" w:lineRule="auto"/>
        <w:rPr>
          <w:b/>
          <w:u w:val="single"/>
        </w:rPr>
      </w:pPr>
    </w:p>
    <w:p w14:paraId="1DFF0954" w14:textId="77777777" w:rsidR="009131F0" w:rsidRPr="003516A2" w:rsidRDefault="009131F0" w:rsidP="009131F0">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1F672A6F" w14:textId="4F36A142" w:rsidR="005B4B63" w:rsidRPr="00422FFA" w:rsidRDefault="005B4B63" w:rsidP="005B4B63">
      <w:pPr>
        <w:spacing w:before="120" w:after="120" w:line="240" w:lineRule="auto"/>
        <w:rPr>
          <w:bCs/>
        </w:rPr>
      </w:pPr>
      <w:r>
        <w:rPr>
          <w:bCs/>
        </w:rPr>
        <w:t>L</w:t>
      </w:r>
      <w:r w:rsidRPr="00422FFA">
        <w:rPr>
          <w:bCs/>
        </w:rPr>
        <w:t>a naturaleza e importe de cualquier ajuste reconocido durante el periodo sobre el que se informa; y</w:t>
      </w:r>
      <w:r>
        <w:rPr>
          <w:bCs/>
        </w:rPr>
        <w:t xml:space="preserve"> </w:t>
      </w:r>
      <w:r w:rsidRPr="00422FFA">
        <w:rPr>
          <w:bCs/>
        </w:rPr>
        <w:t xml:space="preserve">una indicación de cómo y cuándo tiene intención de cumplir en su totalidad con los requerimientos de las NICSP aplicables. </w:t>
      </w:r>
      <w:r>
        <w:rPr>
          <w:bCs/>
        </w:rPr>
        <w:t>L</w:t>
      </w:r>
      <w:r w:rsidRPr="00422FFA">
        <w:rPr>
          <w:bCs/>
        </w:rPr>
        <w:t xml:space="preserve">a fecha de adopción de las NICSP; y </w:t>
      </w:r>
    </w:p>
    <w:p w14:paraId="53D3B313" w14:textId="77777777" w:rsidR="005B4B63" w:rsidRPr="00422FFA" w:rsidRDefault="005B4B63" w:rsidP="005B4B63">
      <w:pPr>
        <w:spacing w:before="120" w:after="120" w:line="240" w:lineRule="auto"/>
        <w:rPr>
          <w:bCs/>
        </w:rPr>
      </w:pPr>
      <w:r>
        <w:rPr>
          <w:bCs/>
        </w:rPr>
        <w:t xml:space="preserve">Se </w:t>
      </w:r>
      <w:r w:rsidRPr="00422FFA">
        <w:rPr>
          <w:bCs/>
        </w:rPr>
        <w:t xml:space="preserve">hace una referencia cruzada a las explicaciones narrativas que se incluyen en otros documentos públicos emitidos junto con los </w:t>
      </w:r>
      <w:r>
        <w:rPr>
          <w:bCs/>
        </w:rPr>
        <w:t>EEFF.</w:t>
      </w:r>
    </w:p>
    <w:p w14:paraId="7B89B611" w14:textId="75BAC323" w:rsidR="005B4B63" w:rsidRDefault="005B4B63" w:rsidP="005B4B63">
      <w:pPr>
        <w:spacing w:before="120" w:after="120" w:line="240" w:lineRule="auto"/>
        <w:rPr>
          <w:bCs/>
        </w:rPr>
      </w:pPr>
      <w:r>
        <w:rPr>
          <w:bCs/>
        </w:rPr>
        <w:t>De corresponder, l</w:t>
      </w:r>
      <w:r w:rsidRPr="00422FFA">
        <w:rPr>
          <w:bCs/>
        </w:rPr>
        <w:t>os errores corregidos hechos en base anterior a la contabilidad se distinguen por las conciliaciones requeridas de los cambios en la contabilidad'</w:t>
      </w:r>
      <w:r>
        <w:rPr>
          <w:bCs/>
        </w:rPr>
        <w:t>.</w:t>
      </w:r>
    </w:p>
    <w:p w14:paraId="7874D323" w14:textId="77777777" w:rsidR="005B4B63" w:rsidRDefault="005B4B63" w:rsidP="005B4B63">
      <w:pPr>
        <w:spacing w:before="120" w:after="120" w:line="240" w:lineRule="auto"/>
        <w:rPr>
          <w:bCs/>
        </w:rPr>
      </w:pPr>
    </w:p>
    <w:p w14:paraId="6E2665A0" w14:textId="25CDCBCD" w:rsidR="00A649A4" w:rsidRPr="00136480" w:rsidRDefault="00A649A4" w:rsidP="00A649A4">
      <w:pPr>
        <w:rPr>
          <w:rFonts w:eastAsia="Calibri" w:cs="Times New Roman"/>
          <w:szCs w:val="24"/>
        </w:rPr>
      </w:pPr>
      <w:r w:rsidRPr="009131F0">
        <w:rPr>
          <w:b/>
          <w:color w:val="FFFFFF" w:themeColor="background1"/>
          <w:highlight w:val="darkBlue"/>
          <w:u w:val="single"/>
        </w:rPr>
        <w:t>Revelación Suficiente:</w:t>
      </w:r>
      <w:r w:rsidRPr="00A649A4">
        <w:rPr>
          <w:rFonts w:eastAsia="Times New Roman" w:cs="Times New Roman"/>
          <w:b/>
          <w:u w:val="single"/>
          <w:lang w:val="es-ES_tradnl" w:eastAsia="es-CR"/>
        </w:rPr>
        <w:t xml:space="preserve"> </w:t>
      </w:r>
      <w:r w:rsidRPr="00A649A4">
        <w:rPr>
          <w:rFonts w:eastAsia="Calibri" w:cs="Times New Roman"/>
          <w:b/>
          <w:bCs/>
          <w:u w:val="single"/>
        </w:rPr>
        <w:t>El ente debe cumplir con lo estipulado en revelación con forme a la NICSP, también debe considerar la política general y los párrafos incluidos en la matriz de autoevaluación referente a esta NICSP y guías de aplicación</w:t>
      </w:r>
      <w:r w:rsidRPr="00A649A4">
        <w:rPr>
          <w:rFonts w:eastAsia="Times New Roman" w:cs="Times New Roman"/>
          <w:b/>
          <w:u w:val="single"/>
          <w:lang w:val="es-ES_tradnl" w:eastAsia="es-CR"/>
        </w:rPr>
        <w:t xml:space="preserve"> (Ver GA de la NICSP 33): La entidad debe revelar el impacto que tienen las brechas pendientes en los EEFF según su materialidad y el efecto que tienen las nuevas normas la implementación</w:t>
      </w:r>
    </w:p>
    <w:p w14:paraId="1BD48748" w14:textId="77777777" w:rsidR="002C7DB9" w:rsidRDefault="002C7DB9" w:rsidP="002C7DB9">
      <w:pPr>
        <w:spacing w:after="0" w:line="240" w:lineRule="auto"/>
        <w:rPr>
          <w:lang w:eastAsia="es-CR"/>
        </w:rPr>
      </w:pPr>
      <w:bookmarkStart w:id="107" w:name="_Toc82768894"/>
      <w:r>
        <w:rPr>
          <w:lang w:eastAsia="es-CR"/>
        </w:rPr>
        <w:t>La Municipalidad se acogió al periodo de dispensa transitorio de tres años para el reconocimiento o medición de activos o pasivos que proporciona la NICSP 33 en los párrafos 36 a 62, el cual finaliza el 31 de diciembre de 2024. Durante este periodo la Municipalidad se encuentra realizando un proceso de cierre de brechas, con el fin de lograr cumplir con los requerimientos exigidos por la NICSP y lograr presentar información razonable sobre los inventarios que posee.</w:t>
      </w:r>
    </w:p>
    <w:p w14:paraId="43569525" w14:textId="77777777" w:rsidR="002C7DB9" w:rsidRDefault="002C7DB9" w:rsidP="002C7DB9">
      <w:pPr>
        <w:spacing w:after="0" w:line="240" w:lineRule="auto"/>
        <w:rPr>
          <w:szCs w:val="24"/>
          <w:lang w:eastAsia="es-CR"/>
        </w:rPr>
      </w:pPr>
    </w:p>
    <w:p w14:paraId="6BA48AEC" w14:textId="77777777" w:rsidR="002C7DB9" w:rsidRDefault="002C7DB9" w:rsidP="002C7DB9">
      <w:pPr>
        <w:spacing w:after="0" w:line="240" w:lineRule="auto"/>
        <w:rPr>
          <w:szCs w:val="24"/>
        </w:rPr>
      </w:pPr>
      <w:r>
        <w:rPr>
          <w:szCs w:val="24"/>
          <w:lang w:eastAsia="es-CR"/>
        </w:rPr>
        <w:t xml:space="preserve">Con el propósito de lograr la implementación al 100% de las NICSP, la Municipalidad elaboró un plan de acción, el cual es objeto de seguimiento y control permanente, lo cual ha permitido </w:t>
      </w:r>
      <w:r w:rsidRPr="009165F3">
        <w:rPr>
          <w:szCs w:val="24"/>
          <w:lang w:eastAsia="es-CR"/>
        </w:rPr>
        <w:t>alcanza</w:t>
      </w:r>
      <w:r>
        <w:rPr>
          <w:szCs w:val="24"/>
          <w:lang w:eastAsia="es-CR"/>
        </w:rPr>
        <w:t xml:space="preserve">r un avance importante </w:t>
      </w:r>
      <w:r w:rsidRPr="009165F3">
        <w:rPr>
          <w:szCs w:val="24"/>
          <w:lang w:eastAsia="es-CR"/>
        </w:rPr>
        <w:t>en el proceso de reconocimiento, medición, presentación o revelación de los diferentes componentes de los estados financieros (</w:t>
      </w:r>
      <w:r w:rsidRPr="009165F3">
        <w:rPr>
          <w:szCs w:val="24"/>
        </w:rPr>
        <w:t>activos, pasivos, patrimonio, ingresos y gastos)</w:t>
      </w:r>
      <w:r>
        <w:rPr>
          <w:szCs w:val="24"/>
        </w:rPr>
        <w:t xml:space="preserve">siendo este </w:t>
      </w:r>
      <w:r w:rsidRPr="009165F3">
        <w:rPr>
          <w:szCs w:val="24"/>
        </w:rPr>
        <w:t>considera</w:t>
      </w:r>
      <w:r>
        <w:rPr>
          <w:szCs w:val="24"/>
        </w:rPr>
        <w:t>do</w:t>
      </w:r>
      <w:r w:rsidRPr="009165F3">
        <w:rPr>
          <w:szCs w:val="24"/>
        </w:rPr>
        <w:t xml:space="preserve"> satisfactorio y acorde con lo planteado en el plan de implementación de las NICSP elaborado.</w:t>
      </w:r>
    </w:p>
    <w:p w14:paraId="227281D0" w14:textId="77777777" w:rsidR="002C7DB9" w:rsidRPr="009165F3" w:rsidRDefault="002C7DB9" w:rsidP="002C7DB9">
      <w:pPr>
        <w:spacing w:after="0" w:line="240" w:lineRule="auto"/>
        <w:rPr>
          <w:szCs w:val="24"/>
        </w:rPr>
      </w:pPr>
    </w:p>
    <w:p w14:paraId="1DEAC8A1" w14:textId="77777777" w:rsidR="002C7DB9" w:rsidRPr="009165F3" w:rsidRDefault="002C7DB9" w:rsidP="002C7DB9">
      <w:pPr>
        <w:spacing w:after="0" w:line="240" w:lineRule="auto"/>
        <w:rPr>
          <w:szCs w:val="24"/>
          <w:lang w:eastAsia="es-CR"/>
        </w:rPr>
      </w:pPr>
      <w:r w:rsidRPr="009165F3">
        <w:rPr>
          <w:szCs w:val="24"/>
        </w:rPr>
        <w:t>Hasta la fecha todos los activos, pasivos, ingresos o gastos se han reconocido y medido según los requerimientos de las NICSP aplicables y con base en lo establecido en la NICSP 33.</w:t>
      </w:r>
      <w:r>
        <w:rPr>
          <w:szCs w:val="24"/>
        </w:rPr>
        <w:t xml:space="preserve"> </w:t>
      </w:r>
      <w:r w:rsidRPr="009165F3">
        <w:rPr>
          <w:szCs w:val="24"/>
        </w:rPr>
        <w:t xml:space="preserve">Durante este año han sido presentados y revelados activos, pasivos, ingresos o gastos que no habían sido medidos en el periodo anterior. </w:t>
      </w:r>
    </w:p>
    <w:p w14:paraId="531F8794" w14:textId="77777777" w:rsidR="002C7DB9" w:rsidRDefault="002C7DB9" w:rsidP="002C7DB9">
      <w:pPr>
        <w:spacing w:after="0" w:line="240" w:lineRule="auto"/>
        <w:rPr>
          <w:szCs w:val="24"/>
          <w:lang w:eastAsia="es-CR"/>
        </w:rPr>
      </w:pPr>
    </w:p>
    <w:p w14:paraId="7BA1105A" w14:textId="77777777" w:rsidR="002C7DB9" w:rsidRPr="009165F3" w:rsidRDefault="002C7DB9" w:rsidP="002C7DB9">
      <w:pPr>
        <w:spacing w:after="0" w:line="240" w:lineRule="auto"/>
        <w:rPr>
          <w:szCs w:val="24"/>
          <w:lang w:eastAsia="es-CR"/>
        </w:rPr>
      </w:pPr>
      <w:r w:rsidRPr="009165F3">
        <w:rPr>
          <w:szCs w:val="24"/>
          <w:lang w:eastAsia="es-CR"/>
        </w:rPr>
        <w:t xml:space="preserve">La Municipalidad de Buenos Aires inicio el proceso de implementación de las NICSP en el primer trimestre de 2021 encontrándose por tanto en el periodo de transición de la información hacia la aplicación de los requerimientos establecidos en el citado marco, el cual finaliza en su totalidad el </w:t>
      </w:r>
      <w:r>
        <w:rPr>
          <w:szCs w:val="24"/>
          <w:lang w:eastAsia="es-CR"/>
        </w:rPr>
        <w:t>31 de diciembre de 2024</w:t>
      </w:r>
      <w:r w:rsidRPr="009165F3">
        <w:rPr>
          <w:szCs w:val="24"/>
          <w:lang w:eastAsia="es-CR"/>
        </w:rPr>
        <w:t xml:space="preserve"> de acuerdo con lo establecido en la Ley 9635 “Ley de Fortalecimiento de las Finanzas Públicas y la Resolución Nº DNC-0002-2021. Por lo anterior, la Municipalidad </w:t>
      </w:r>
      <w:r w:rsidRPr="009165F3">
        <w:rPr>
          <w:szCs w:val="24"/>
        </w:rPr>
        <w:t xml:space="preserve">tiene </w:t>
      </w:r>
      <w:r>
        <w:rPr>
          <w:szCs w:val="24"/>
        </w:rPr>
        <w:t>previsto</w:t>
      </w:r>
      <w:r w:rsidRPr="009165F3">
        <w:rPr>
          <w:szCs w:val="24"/>
        </w:rPr>
        <w:t xml:space="preserve"> de cumplir en su totalidad con los requerimientos de las NICSP aplicables antes de la fecha establecida en dicha Ley y Decreto, para lo cual se estableció un Plan de Implementación que se constituye en la principal herramienta para el desarrollo del proceso de implementación</w:t>
      </w:r>
      <w:r w:rsidRPr="009165F3">
        <w:rPr>
          <w:szCs w:val="24"/>
          <w:lang w:eastAsia="es-CR"/>
        </w:rPr>
        <w:t xml:space="preserve">. </w:t>
      </w:r>
    </w:p>
    <w:p w14:paraId="6CFD59DC" w14:textId="77777777" w:rsidR="002C7DB9" w:rsidRDefault="002C7DB9" w:rsidP="002C7DB9">
      <w:pPr>
        <w:spacing w:after="0" w:line="240" w:lineRule="auto"/>
        <w:rPr>
          <w:lang w:eastAsia="es-CR"/>
        </w:rPr>
      </w:pPr>
    </w:p>
    <w:p w14:paraId="4E6D2EDA" w14:textId="6816A7B1" w:rsidR="002C7DB9" w:rsidRDefault="002C7DB9" w:rsidP="002C7DB9">
      <w:pPr>
        <w:spacing w:line="240" w:lineRule="auto"/>
        <w:rPr>
          <w:szCs w:val="24"/>
          <w:lang w:eastAsia="es-CR"/>
        </w:rPr>
      </w:pPr>
      <w:r>
        <w:rPr>
          <w:szCs w:val="24"/>
          <w:lang w:eastAsia="es-CR"/>
        </w:rPr>
        <w:t xml:space="preserve">De acuerdo con lo consignado en la Matriz de NICSP y Plan de Acción al </w:t>
      </w:r>
      <w:r w:rsidR="00D470B6">
        <w:rPr>
          <w:szCs w:val="24"/>
          <w:lang w:eastAsia="es-CR"/>
        </w:rPr>
        <w:t>30 de junio</w:t>
      </w:r>
      <w:r>
        <w:rPr>
          <w:szCs w:val="24"/>
          <w:lang w:eastAsia="es-CR"/>
        </w:rPr>
        <w:t xml:space="preserve"> de 2024, se encuentra pendiente de implementar lo siguiente:</w:t>
      </w:r>
    </w:p>
    <w:p w14:paraId="4DAB4A9E" w14:textId="77777777" w:rsidR="002C7DB9" w:rsidRDefault="002C7DB9" w:rsidP="002C7DB9">
      <w:pPr>
        <w:spacing w:after="0" w:line="240" w:lineRule="auto"/>
        <w:rPr>
          <w:lang w:eastAsia="es-CR"/>
        </w:rPr>
      </w:pPr>
    </w:p>
    <w:tbl>
      <w:tblPr>
        <w:tblW w:w="8861" w:type="dxa"/>
        <w:tblLook w:val="04A0" w:firstRow="1" w:lastRow="0" w:firstColumn="1" w:lastColumn="0" w:noHBand="0" w:noVBand="1"/>
      </w:tblPr>
      <w:tblGrid>
        <w:gridCol w:w="7361"/>
        <w:gridCol w:w="1500"/>
      </w:tblGrid>
      <w:tr w:rsidR="002C7DB9" w:rsidRPr="00C1398A" w14:paraId="631094F3" w14:textId="77777777" w:rsidTr="004653E2">
        <w:trPr>
          <w:trHeight w:val="530"/>
        </w:trPr>
        <w:tc>
          <w:tcPr>
            <w:tcW w:w="7361"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3F5A7F0B" w14:textId="77777777" w:rsidR="002C7DB9" w:rsidRPr="00C1398A" w:rsidRDefault="002C7DB9" w:rsidP="004653E2">
            <w:pPr>
              <w:spacing w:after="0" w:line="240" w:lineRule="auto"/>
              <w:jc w:val="center"/>
              <w:rPr>
                <w:rFonts w:eastAsia="Times New Roman" w:cs="Calibri"/>
                <w:b/>
                <w:bCs/>
                <w:sz w:val="20"/>
                <w:szCs w:val="20"/>
                <w:lang w:val="en-US"/>
              </w:rPr>
            </w:pPr>
            <w:r w:rsidRPr="00C1398A">
              <w:rPr>
                <w:rFonts w:eastAsia="Times New Roman" w:cs="Calibri"/>
                <w:b/>
                <w:bCs/>
                <w:sz w:val="20"/>
                <w:szCs w:val="20"/>
                <w:lang w:val="en-US"/>
              </w:rPr>
              <w:t>Actividades Pendientes de Cumplimiento</w:t>
            </w:r>
          </w:p>
        </w:tc>
        <w:tc>
          <w:tcPr>
            <w:tcW w:w="1500" w:type="dxa"/>
            <w:tcBorders>
              <w:top w:val="single" w:sz="8" w:space="0" w:color="auto"/>
              <w:left w:val="nil"/>
              <w:bottom w:val="single" w:sz="4" w:space="0" w:color="auto"/>
              <w:right w:val="single" w:sz="8" w:space="0" w:color="auto"/>
            </w:tcBorders>
            <w:shd w:val="clear" w:color="000000" w:fill="FFFFFF"/>
            <w:vAlign w:val="bottom"/>
            <w:hideMark/>
          </w:tcPr>
          <w:p w14:paraId="0DC89534" w14:textId="77777777" w:rsidR="002C7DB9" w:rsidRPr="00C1398A" w:rsidRDefault="002C7DB9" w:rsidP="004653E2">
            <w:pPr>
              <w:spacing w:after="0" w:line="240" w:lineRule="auto"/>
              <w:jc w:val="center"/>
              <w:rPr>
                <w:rFonts w:eastAsia="Times New Roman" w:cs="Calibri"/>
                <w:b/>
                <w:bCs/>
                <w:color w:val="000000"/>
                <w:sz w:val="20"/>
                <w:szCs w:val="20"/>
                <w:lang w:val="en-US"/>
              </w:rPr>
            </w:pPr>
            <w:r w:rsidRPr="00C1398A">
              <w:rPr>
                <w:rFonts w:eastAsia="Times New Roman" w:cs="Calibri"/>
                <w:b/>
                <w:bCs/>
                <w:color w:val="000000"/>
                <w:sz w:val="20"/>
                <w:szCs w:val="20"/>
                <w:lang w:val="en-US"/>
              </w:rPr>
              <w:t>Fecha Estimada Cumplimiento</w:t>
            </w:r>
          </w:p>
        </w:tc>
      </w:tr>
      <w:tr w:rsidR="002C7DB9" w:rsidRPr="00C1398A" w14:paraId="3A0C3C41" w14:textId="77777777" w:rsidTr="004653E2">
        <w:trPr>
          <w:trHeight w:val="500"/>
        </w:trPr>
        <w:tc>
          <w:tcPr>
            <w:tcW w:w="7361" w:type="dxa"/>
            <w:tcBorders>
              <w:top w:val="nil"/>
              <w:left w:val="single" w:sz="8" w:space="0" w:color="auto"/>
              <w:bottom w:val="single" w:sz="4" w:space="0" w:color="auto"/>
              <w:right w:val="single" w:sz="4" w:space="0" w:color="auto"/>
            </w:tcBorders>
            <w:shd w:val="clear" w:color="000000" w:fill="FFFFFF"/>
            <w:hideMark/>
          </w:tcPr>
          <w:p w14:paraId="0E2F1CCD" w14:textId="77777777" w:rsidR="002C7DB9" w:rsidRPr="00C1398A" w:rsidRDefault="002C7DB9" w:rsidP="004653E2">
            <w:pPr>
              <w:spacing w:after="0" w:line="240" w:lineRule="auto"/>
              <w:rPr>
                <w:rFonts w:ascii="Arial" w:eastAsia="Times New Roman" w:hAnsi="Arial" w:cs="Arial"/>
                <w:color w:val="000000"/>
                <w:sz w:val="20"/>
                <w:szCs w:val="20"/>
              </w:rPr>
            </w:pPr>
            <w:r w:rsidRPr="00C1398A">
              <w:rPr>
                <w:rFonts w:ascii="Arial" w:eastAsia="Times New Roman" w:hAnsi="Arial" w:cs="Arial"/>
                <w:color w:val="000000"/>
                <w:sz w:val="20"/>
                <w:szCs w:val="20"/>
              </w:rPr>
              <w:t>Completar la información que se debe revelar en relación con los diferentes elementos de los estados financieros.</w:t>
            </w:r>
          </w:p>
        </w:tc>
        <w:tc>
          <w:tcPr>
            <w:tcW w:w="1500" w:type="dxa"/>
            <w:tcBorders>
              <w:top w:val="nil"/>
              <w:left w:val="nil"/>
              <w:bottom w:val="single" w:sz="4" w:space="0" w:color="auto"/>
              <w:right w:val="single" w:sz="8" w:space="0" w:color="auto"/>
            </w:tcBorders>
            <w:shd w:val="clear" w:color="000000" w:fill="FFFFFF"/>
            <w:noWrap/>
            <w:vAlign w:val="center"/>
            <w:hideMark/>
          </w:tcPr>
          <w:p w14:paraId="407094E0" w14:textId="68853450" w:rsidR="002C7DB9" w:rsidRPr="00C1398A" w:rsidRDefault="004653E2" w:rsidP="004653E2">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31/12</w:t>
            </w:r>
            <w:r w:rsidR="002C7DB9" w:rsidRPr="00C1398A">
              <w:rPr>
                <w:rFonts w:eastAsia="Times New Roman" w:cs="Calibri"/>
                <w:color w:val="000000"/>
                <w:sz w:val="20"/>
                <w:szCs w:val="20"/>
                <w:lang w:val="en-US"/>
              </w:rPr>
              <w:t>/24</w:t>
            </w:r>
          </w:p>
        </w:tc>
      </w:tr>
      <w:tr w:rsidR="002C7DB9" w:rsidRPr="00C1398A" w14:paraId="3980A2F5" w14:textId="77777777" w:rsidTr="004653E2">
        <w:trPr>
          <w:trHeight w:val="510"/>
        </w:trPr>
        <w:tc>
          <w:tcPr>
            <w:tcW w:w="7361" w:type="dxa"/>
            <w:tcBorders>
              <w:top w:val="nil"/>
              <w:left w:val="single" w:sz="8" w:space="0" w:color="auto"/>
              <w:bottom w:val="single" w:sz="8" w:space="0" w:color="auto"/>
              <w:right w:val="single" w:sz="4" w:space="0" w:color="auto"/>
            </w:tcBorders>
            <w:shd w:val="clear" w:color="000000" w:fill="FFFFFF"/>
            <w:hideMark/>
          </w:tcPr>
          <w:p w14:paraId="02704C27" w14:textId="77777777" w:rsidR="002C7DB9" w:rsidRPr="00C1398A" w:rsidRDefault="002C7DB9" w:rsidP="004653E2">
            <w:pPr>
              <w:spacing w:after="0" w:line="240" w:lineRule="auto"/>
              <w:rPr>
                <w:rFonts w:ascii="Arial" w:eastAsia="Times New Roman" w:hAnsi="Arial" w:cs="Arial"/>
                <w:color w:val="000000"/>
                <w:sz w:val="20"/>
                <w:szCs w:val="20"/>
              </w:rPr>
            </w:pPr>
            <w:r w:rsidRPr="00C1398A">
              <w:rPr>
                <w:rFonts w:ascii="Arial" w:eastAsia="Times New Roman" w:hAnsi="Arial" w:cs="Arial"/>
                <w:color w:val="000000"/>
                <w:sz w:val="20"/>
                <w:szCs w:val="20"/>
              </w:rPr>
              <w:t>Realizar las revelaciones correspondientes sobre los diferentes elementos de los estados financieros.</w:t>
            </w:r>
          </w:p>
        </w:tc>
        <w:tc>
          <w:tcPr>
            <w:tcW w:w="1500" w:type="dxa"/>
            <w:tcBorders>
              <w:top w:val="nil"/>
              <w:left w:val="nil"/>
              <w:bottom w:val="single" w:sz="8" w:space="0" w:color="auto"/>
              <w:right w:val="single" w:sz="8" w:space="0" w:color="auto"/>
            </w:tcBorders>
            <w:shd w:val="clear" w:color="000000" w:fill="FFFFFF"/>
            <w:noWrap/>
            <w:vAlign w:val="center"/>
            <w:hideMark/>
          </w:tcPr>
          <w:p w14:paraId="29263309" w14:textId="2103C31C" w:rsidR="002C7DB9" w:rsidRPr="00C1398A" w:rsidRDefault="004653E2" w:rsidP="004653E2">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31/12</w:t>
            </w:r>
            <w:r w:rsidR="002C7DB9" w:rsidRPr="00C1398A">
              <w:rPr>
                <w:rFonts w:eastAsia="Times New Roman" w:cs="Calibri"/>
                <w:color w:val="000000"/>
                <w:sz w:val="20"/>
                <w:szCs w:val="20"/>
                <w:lang w:val="en-US"/>
              </w:rPr>
              <w:t>/24</w:t>
            </w:r>
          </w:p>
        </w:tc>
      </w:tr>
    </w:tbl>
    <w:p w14:paraId="16F874D0" w14:textId="77777777" w:rsidR="002C7DB9" w:rsidRDefault="002C7DB9" w:rsidP="002C7DB9">
      <w:pPr>
        <w:spacing w:after="0" w:line="240" w:lineRule="auto"/>
        <w:rPr>
          <w:lang w:eastAsia="es-CR"/>
        </w:rPr>
      </w:pPr>
    </w:p>
    <w:p w14:paraId="54A600F0" w14:textId="77777777" w:rsidR="002C7DB9" w:rsidRDefault="002C7DB9" w:rsidP="002C7DB9">
      <w:pPr>
        <w:spacing w:after="0" w:line="240" w:lineRule="auto"/>
        <w:rPr>
          <w:lang w:eastAsia="es-CR"/>
        </w:rPr>
      </w:pPr>
    </w:p>
    <w:p w14:paraId="7DC3B94F" w14:textId="77777777" w:rsidR="00A649A4" w:rsidRDefault="00A649A4" w:rsidP="00A649A4">
      <w:pPr>
        <w:rPr>
          <w:lang w:eastAsia="es-CR"/>
        </w:rPr>
      </w:pPr>
    </w:p>
    <w:p w14:paraId="09C3C942" w14:textId="2FDFE1DE" w:rsidR="00982595" w:rsidRPr="00982595" w:rsidRDefault="00A649A4" w:rsidP="00982595">
      <w:pPr>
        <w:pStyle w:val="Ttulo2"/>
        <w:spacing w:after="240"/>
        <w:rPr>
          <w:rFonts w:eastAsia="Times New Roman"/>
          <w:lang w:eastAsia="es-CR"/>
        </w:rPr>
      </w:pPr>
      <w:bookmarkStart w:id="108" w:name="_Toc173245213"/>
      <w:r w:rsidRPr="00A649A4">
        <w:rPr>
          <w:rFonts w:eastAsia="Times New Roman"/>
          <w:lang w:eastAsia="es-CR"/>
        </w:rPr>
        <w:t xml:space="preserve">NICSP 34 </w:t>
      </w:r>
      <w:r>
        <w:rPr>
          <w:rFonts w:eastAsia="Times New Roman"/>
          <w:lang w:eastAsia="es-CR"/>
        </w:rPr>
        <w:t xml:space="preserve">- </w:t>
      </w:r>
      <w:r w:rsidRPr="00A649A4">
        <w:rPr>
          <w:rFonts w:eastAsia="Times New Roman"/>
          <w:lang w:eastAsia="es-CR"/>
        </w:rPr>
        <w:t>ESTADOS FINANCIEROS SEPARADOS:</w:t>
      </w:r>
      <w:bookmarkEnd w:id="107"/>
      <w:bookmarkEnd w:id="108"/>
      <w:r w:rsidRPr="00A649A4">
        <w:rPr>
          <w:rFonts w:eastAsia="Times New Roman"/>
          <w:lang w:eastAsia="es-CR"/>
        </w:rPr>
        <w:t xml:space="preserve"> </w:t>
      </w:r>
    </w:p>
    <w:p w14:paraId="290F2460" w14:textId="77777777" w:rsidR="00694299" w:rsidRDefault="00A649A4" w:rsidP="00A649A4">
      <w:pPr>
        <w:rPr>
          <w:rFonts w:asciiTheme="minorHAnsi" w:hAnsiTheme="minorHAnsi"/>
          <w:sz w:val="22"/>
        </w:rPr>
      </w:pPr>
      <w:r w:rsidRPr="00405DBC">
        <w:t xml:space="preserve">De acuerdo con la </w:t>
      </w:r>
      <w:r w:rsidRPr="00A649A4">
        <w:rPr>
          <w:rFonts w:eastAsia="Times New Roman"/>
          <w:lang w:val="es-MX" w:eastAsia="es-CR"/>
        </w:rPr>
        <w:t>NICSP 34 Estados financieros separados</w:t>
      </w:r>
      <w:r>
        <w:t>, i</w:t>
      </w:r>
      <w:r w:rsidRPr="00405DBC">
        <w:t>ndicar si este rubro afecta SI o NO a la institución, además del porcentaje de avance</w:t>
      </w:r>
      <w:r>
        <w:t xml:space="preserve"> en la implementación</w:t>
      </w:r>
      <w:r w:rsidRPr="00405DBC">
        <w:t xml:space="preserve"> que presenta</w:t>
      </w:r>
      <w:r>
        <w:rPr>
          <w:b/>
        </w:rPr>
        <w:t>.</w:t>
      </w:r>
      <w:r w:rsidR="001D0A81" w:rsidRPr="00136480">
        <w:rPr>
          <w:lang w:val="es-MX" w:eastAsia="es-CR"/>
        </w:rPr>
        <w:t xml:space="preserve"> </w:t>
      </w:r>
      <w:r w:rsidR="00982595">
        <w:rPr>
          <w:lang w:val="es-MX" w:eastAsia="es-CR"/>
        </w:rPr>
        <w:fldChar w:fldCharType="begin"/>
      </w:r>
      <w:r w:rsidR="00982595">
        <w:rPr>
          <w:lang w:val="es-MX" w:eastAsia="es-CR"/>
        </w:rPr>
        <w:instrText xml:space="preserve"> LINK </w:instrText>
      </w:r>
      <w:r w:rsidR="00323752">
        <w:rPr>
          <w:lang w:val="es-MX" w:eastAsia="es-CR"/>
        </w:rPr>
        <w:instrText xml:space="preserve">Excel.SheetMacroEnabled.12 "D:\\MORAVIA\\INSUMOS\\NOTAS 2024\\Formato_Notas_EEFF_Vinculadas_2024\\XXXXX_PXX_202X_Anexo_Estado_Notas_Contables_Vinculadas.xlsm" NICSP_34!F9C3:F10C4 </w:instrText>
      </w:r>
      <w:r w:rsidR="00982595">
        <w:rPr>
          <w:lang w:val="es-MX" w:eastAsia="es-CR"/>
        </w:rPr>
        <w:instrText xml:space="preserve">\a \f 4 \h </w:instrText>
      </w:r>
      <w:r w:rsidR="00982595">
        <w:rPr>
          <w:lang w:val="es-MX" w:eastAsia="es-CR"/>
        </w:rPr>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694299" w:rsidRPr="00694299" w14:paraId="2A236AA9" w14:textId="77777777" w:rsidTr="00694299">
        <w:trPr>
          <w:divId w:val="1556894006"/>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21DF34FC" w14:textId="5F966E37"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06B5C"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No</w:t>
            </w:r>
          </w:p>
        </w:tc>
      </w:tr>
      <w:tr w:rsidR="00694299" w:rsidRPr="00694299" w14:paraId="58F56F09" w14:textId="77777777" w:rsidTr="00694299">
        <w:trPr>
          <w:divId w:val="1556894006"/>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2BBF9EC0"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7139FEEB"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 </w:t>
            </w:r>
          </w:p>
        </w:tc>
      </w:tr>
    </w:tbl>
    <w:p w14:paraId="7348BBB0" w14:textId="14EBA9DB" w:rsidR="00CD01C6" w:rsidRPr="00136480" w:rsidRDefault="00982595" w:rsidP="00A649A4">
      <w:pPr>
        <w:rPr>
          <w:lang w:val="es-MX" w:eastAsia="es-CR"/>
        </w:rPr>
      </w:pPr>
      <w:r>
        <w:rPr>
          <w:lang w:val="es-MX" w:eastAsia="es-CR"/>
        </w:rPr>
        <w:fldChar w:fldCharType="end"/>
      </w:r>
    </w:p>
    <w:p w14:paraId="0259AB6A" w14:textId="069E480B" w:rsidR="00A649A4" w:rsidRPr="00A649A4" w:rsidRDefault="00A649A4" w:rsidP="00A649A4">
      <w:pPr>
        <w:jc w:val="center"/>
        <w:rPr>
          <w:szCs w:val="24"/>
        </w:rPr>
      </w:pPr>
      <w:r w:rsidRPr="00A649A4">
        <w:rPr>
          <w:noProof/>
          <w:lang w:eastAsia="es-CR"/>
        </w:rPr>
        <w:drawing>
          <wp:inline distT="0" distB="0" distL="0" distR="0" wp14:anchorId="70F62CD7" wp14:editId="2F232878">
            <wp:extent cx="4602480" cy="1325880"/>
            <wp:effectExtent l="0" t="0" r="0" b="0"/>
            <wp:docPr id="5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02480" cy="1325880"/>
                    </a:xfrm>
                    <a:prstGeom prst="rect">
                      <a:avLst/>
                    </a:prstGeom>
                    <a:noFill/>
                    <a:ln>
                      <a:noFill/>
                    </a:ln>
                  </pic:spPr>
                </pic:pic>
              </a:graphicData>
            </a:graphic>
          </wp:inline>
        </w:drawing>
      </w:r>
    </w:p>
    <w:p w14:paraId="4511BD60" w14:textId="77777777" w:rsidR="00A649A4" w:rsidRPr="00A649A4" w:rsidRDefault="00A649A4" w:rsidP="00A649A4">
      <w:r w:rsidRPr="00A649A4">
        <w:t>Preparación de estados financieros separados</w:t>
      </w:r>
    </w:p>
    <w:p w14:paraId="549AEABC" w14:textId="77777777" w:rsidR="00A649A4" w:rsidRPr="00A649A4" w:rsidRDefault="00A649A4" w:rsidP="00A649A4">
      <w:r w:rsidRPr="00A649A4">
        <w:t>Los estados financieros separados se elaborarán de acuerdo con todas las NICSP aplicables, excepto por lo previsto en el párrafo 12, en el cual se indica lo siguiente:</w:t>
      </w:r>
    </w:p>
    <w:p w14:paraId="562C1D7D" w14:textId="77777777" w:rsidR="00A649A4" w:rsidRPr="00A649A4" w:rsidRDefault="00A649A4" w:rsidP="00A649A4">
      <w:r w:rsidRPr="00A649A4">
        <w:t>Cuando una entidad elabore estados financieros separados, contabilizará las inversiones similares en entidades controladas, negocios conjuntos y asociadas:</w:t>
      </w:r>
    </w:p>
    <w:p w14:paraId="75743387" w14:textId="77777777" w:rsidR="00A649A4" w:rsidRPr="00A649A4" w:rsidRDefault="00A649A4" w:rsidP="00A649A4">
      <w:r w:rsidRPr="00A649A4">
        <w:t>(a) al costo;</w:t>
      </w:r>
    </w:p>
    <w:p w14:paraId="05E9AA32" w14:textId="77777777" w:rsidR="00A649A4" w:rsidRPr="00A649A4" w:rsidRDefault="00A649A4" w:rsidP="00A649A4">
      <w:r w:rsidRPr="00A649A4">
        <w:t>(b) de acuerdo con la NICSP 29; o</w:t>
      </w:r>
    </w:p>
    <w:p w14:paraId="70828C2D" w14:textId="266ACD22" w:rsidR="00A649A4" w:rsidRDefault="00A649A4" w:rsidP="00A649A4">
      <w:r w:rsidRPr="00A649A4">
        <w:t>(c) utilizando el método de la participación como se describe en la NICSP 36.</w:t>
      </w:r>
    </w:p>
    <w:p w14:paraId="79571B65" w14:textId="77777777" w:rsidR="009131F0" w:rsidRPr="003516A2" w:rsidRDefault="009131F0" w:rsidP="009131F0">
      <w:pPr>
        <w:spacing w:before="240"/>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1DC2D799" w14:textId="77777777" w:rsidR="009131F0" w:rsidRDefault="009131F0" w:rsidP="009131F0">
      <w:pPr>
        <w:spacing w:line="240" w:lineRule="auto"/>
        <w:rPr>
          <w:b/>
          <w:u w:val="single"/>
        </w:rPr>
      </w:pPr>
    </w:p>
    <w:p w14:paraId="56D5BD41" w14:textId="77777777" w:rsidR="009131F0" w:rsidRPr="003516A2" w:rsidRDefault="009131F0" w:rsidP="009131F0">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60CA5B0D" w14:textId="77777777" w:rsidR="009131F0" w:rsidRPr="0008638E" w:rsidRDefault="009131F0" w:rsidP="009131F0">
      <w:pPr>
        <w:rPr>
          <w:lang w:val="es-MX"/>
        </w:rPr>
      </w:pPr>
      <w:r>
        <w:rPr>
          <w:lang w:val="es-MX"/>
        </w:rPr>
        <w:t>________________________________________________________________________________________________________________________________________________________________</w:t>
      </w:r>
    </w:p>
    <w:p w14:paraId="5586D5CD" w14:textId="06A9D6F1" w:rsidR="00A649A4" w:rsidRPr="00A649A4" w:rsidRDefault="00A649A4" w:rsidP="00A649A4">
      <w:pPr>
        <w:rPr>
          <w:rFonts w:eastAsia="Times New Roman"/>
          <w:b/>
          <w:u w:val="single"/>
          <w:lang w:val="es-ES_tradnl" w:eastAsia="es-CR"/>
        </w:rPr>
      </w:pPr>
      <w:r w:rsidRPr="009131F0">
        <w:rPr>
          <w:b/>
          <w:color w:val="FFFFFF" w:themeColor="background1"/>
          <w:highlight w:val="darkBlue"/>
          <w:u w:val="single"/>
        </w:rPr>
        <w:t>Revelación Suficiente:</w:t>
      </w:r>
      <w:r w:rsidRPr="00A649A4">
        <w:rPr>
          <w:rFonts w:eastAsia="Times New Roman"/>
          <w:b/>
          <w:u w:val="single"/>
          <w:lang w:val="es-ES_tradnl" w:eastAsia="es-CR"/>
        </w:rPr>
        <w:t xml:space="preserve"> </w:t>
      </w:r>
      <w:r w:rsidRPr="00A649A4">
        <w:rPr>
          <w:b/>
          <w:u w:val="single"/>
        </w:rPr>
        <w:t>El ente debe cumplir con lo estipulado en revelación con forme a la NICSP, también debe considerar la política general y los párrafos incluidos en la matriz de autoevaluación referente a esta NICSP guías de aplicación</w:t>
      </w:r>
      <w:r w:rsidRPr="00A649A4">
        <w:rPr>
          <w:rFonts w:eastAsia="Times New Roman"/>
          <w:b/>
          <w:u w:val="single"/>
          <w:lang w:val="es-ES_tradnl" w:eastAsia="es-CR"/>
        </w:rPr>
        <w:t xml:space="preserve"> (Ver GA de la NICSP 34):</w:t>
      </w:r>
    </w:p>
    <w:p w14:paraId="07A38FE9" w14:textId="77777777" w:rsidR="00A649A4" w:rsidRPr="00A649A4" w:rsidRDefault="00A649A4" w:rsidP="00A649A4">
      <w:pPr>
        <w:rPr>
          <w:lang w:val="es-MX"/>
        </w:rPr>
      </w:pPr>
      <w:r w:rsidRPr="00A649A4">
        <w:rPr>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EAA7F9" w14:textId="77777777" w:rsidR="00A649A4" w:rsidRPr="00A649A4" w:rsidRDefault="00A649A4" w:rsidP="00A649A4">
      <w:pPr>
        <w:rPr>
          <w:lang w:eastAsia="es-CR"/>
        </w:rPr>
      </w:pPr>
      <w:bookmarkStart w:id="109" w:name="_Toc82768895"/>
    </w:p>
    <w:p w14:paraId="643ABFA4" w14:textId="6387ED8F" w:rsidR="00A649A4" w:rsidRPr="00A649A4" w:rsidRDefault="00B5023C" w:rsidP="00B5023C">
      <w:pPr>
        <w:pStyle w:val="Ttulo2"/>
        <w:spacing w:after="240"/>
        <w:rPr>
          <w:rFonts w:eastAsia="Times New Roman"/>
          <w:lang w:eastAsia="es-CR"/>
        </w:rPr>
      </w:pPr>
      <w:bookmarkStart w:id="110" w:name="_Toc173245214"/>
      <w:r w:rsidRPr="00A649A4">
        <w:rPr>
          <w:rFonts w:eastAsia="Times New Roman"/>
          <w:lang w:eastAsia="es-CR"/>
        </w:rPr>
        <w:t xml:space="preserve">NICSP 35 </w:t>
      </w:r>
      <w:r w:rsidR="00986512">
        <w:rPr>
          <w:rFonts w:eastAsia="Times New Roman"/>
          <w:lang w:eastAsia="es-CR"/>
        </w:rPr>
        <w:t xml:space="preserve">- </w:t>
      </w:r>
      <w:r w:rsidRPr="00A649A4">
        <w:rPr>
          <w:rFonts w:eastAsia="Times New Roman"/>
          <w:lang w:eastAsia="es-CR"/>
        </w:rPr>
        <w:t>ESTADOS FINANCIEROS CONSOLIDADOS:</w:t>
      </w:r>
      <w:bookmarkEnd w:id="109"/>
      <w:bookmarkEnd w:id="110"/>
      <w:r w:rsidRPr="00A649A4">
        <w:rPr>
          <w:rFonts w:eastAsia="Times New Roman"/>
          <w:lang w:eastAsia="es-CR"/>
        </w:rPr>
        <w:t xml:space="preserve"> </w:t>
      </w:r>
    </w:p>
    <w:p w14:paraId="6219C155" w14:textId="77777777" w:rsidR="00694299" w:rsidRDefault="00B5023C" w:rsidP="0021402F">
      <w:pPr>
        <w:rPr>
          <w:rFonts w:asciiTheme="minorHAnsi" w:hAnsiTheme="minorHAnsi"/>
          <w:sz w:val="22"/>
        </w:rPr>
      </w:pPr>
      <w:r w:rsidRPr="00405DBC">
        <w:t xml:space="preserve">De acuerdo con la </w:t>
      </w:r>
      <w:r w:rsidRPr="00A649A4">
        <w:rPr>
          <w:rFonts w:eastAsia="Calibri" w:cs="Times New Roman"/>
          <w:lang w:val="es-MX"/>
        </w:rPr>
        <w:t>NICSP 35</w:t>
      </w:r>
      <w:r>
        <w:rPr>
          <w:rFonts w:eastAsia="Calibri" w:cs="Times New Roman"/>
          <w:lang w:val="es-MX"/>
        </w:rPr>
        <w:t xml:space="preserve"> -</w:t>
      </w:r>
      <w:r w:rsidRPr="00A649A4">
        <w:rPr>
          <w:rFonts w:eastAsia="Calibri" w:cs="Times New Roman"/>
          <w:lang w:val="es-MX"/>
        </w:rPr>
        <w:t xml:space="preserve"> Estados financieros consolidados</w:t>
      </w:r>
      <w:r>
        <w:t>, i</w:t>
      </w:r>
      <w:r w:rsidRPr="00405DBC">
        <w:t>ndicar si este rubro afecta SI o NO a la institución, además del porcentaje de avance</w:t>
      </w:r>
      <w:r>
        <w:t xml:space="preserve"> en la implementación</w:t>
      </w:r>
      <w:r w:rsidRPr="00405DBC">
        <w:t xml:space="preserve"> que presenta</w:t>
      </w:r>
      <w:r>
        <w:rPr>
          <w:b/>
        </w:rPr>
        <w:t>.</w:t>
      </w:r>
      <w:r w:rsidR="0021402F">
        <w:fldChar w:fldCharType="begin"/>
      </w:r>
      <w:r w:rsidR="0021402F">
        <w:instrText xml:space="preserve"> LINK </w:instrText>
      </w:r>
      <w:r w:rsidR="00323752">
        <w:instrText xml:space="preserve">Excel.SheetMacroEnabled.12 "D:\\MORAVIA\\INSUMOS\\NOTAS 2024\\Formato_Notas_EEFF_Vinculadas_2024\\XXXXX_PXX_202X_Anexo_Estado_Notas_Contables_Vinculadas.xlsm" NICSP_35!F9C3:F10C4 </w:instrText>
      </w:r>
      <w:r w:rsidR="0021402F">
        <w:instrText xml:space="preserve">\a \f 4 \h </w:instrText>
      </w:r>
      <w:r w:rsidR="0021402F">
        <w:fldChar w:fldCharType="separate"/>
      </w:r>
    </w:p>
    <w:tbl>
      <w:tblPr>
        <w:tblW w:w="4260" w:type="dxa"/>
        <w:tblCellMar>
          <w:left w:w="70" w:type="dxa"/>
          <w:right w:w="70" w:type="dxa"/>
        </w:tblCellMar>
        <w:tblLook w:val="04A0" w:firstRow="1" w:lastRow="0" w:firstColumn="1" w:lastColumn="0" w:noHBand="0" w:noVBand="1"/>
      </w:tblPr>
      <w:tblGrid>
        <w:gridCol w:w="2820"/>
        <w:gridCol w:w="1440"/>
      </w:tblGrid>
      <w:tr w:rsidR="00694299" w:rsidRPr="00694299" w14:paraId="66FB617A" w14:textId="77777777" w:rsidTr="00694299">
        <w:trPr>
          <w:divId w:val="760222681"/>
          <w:trHeight w:val="324"/>
        </w:trPr>
        <w:tc>
          <w:tcPr>
            <w:tcW w:w="282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00265D91" w14:textId="5AE36EAD"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03919"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Si</w:t>
            </w:r>
          </w:p>
        </w:tc>
      </w:tr>
      <w:tr w:rsidR="00694299" w:rsidRPr="00694299" w14:paraId="09175124" w14:textId="77777777" w:rsidTr="00694299">
        <w:trPr>
          <w:divId w:val="760222681"/>
          <w:trHeight w:val="324"/>
        </w:trPr>
        <w:tc>
          <w:tcPr>
            <w:tcW w:w="2820" w:type="dxa"/>
            <w:tcBorders>
              <w:top w:val="nil"/>
              <w:left w:val="single" w:sz="8" w:space="0" w:color="auto"/>
              <w:bottom w:val="single" w:sz="8" w:space="0" w:color="auto"/>
              <w:right w:val="single" w:sz="8" w:space="0" w:color="auto"/>
            </w:tcBorders>
            <w:shd w:val="clear" w:color="000000" w:fill="17365D"/>
            <w:vAlign w:val="center"/>
            <w:hideMark/>
          </w:tcPr>
          <w:p w14:paraId="54D7750A"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8B1D3CD"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40,00%</w:t>
            </w:r>
          </w:p>
        </w:tc>
      </w:tr>
    </w:tbl>
    <w:p w14:paraId="6D355E83" w14:textId="633C64C4" w:rsidR="00A649A4" w:rsidRPr="0021402F" w:rsidRDefault="0021402F" w:rsidP="0021402F">
      <w:pPr>
        <w:rPr>
          <w:b/>
        </w:rPr>
      </w:pPr>
      <w:r>
        <w:rPr>
          <w:b/>
        </w:rPr>
        <w:fldChar w:fldCharType="end"/>
      </w:r>
    </w:p>
    <w:p w14:paraId="148C1041" w14:textId="6B71AB7A" w:rsidR="00A649A4" w:rsidRPr="00B5023C" w:rsidRDefault="00A649A4" w:rsidP="00B5023C">
      <w:pPr>
        <w:jc w:val="center"/>
        <w:rPr>
          <w:sz w:val="22"/>
          <w:lang w:val="es-MX" w:eastAsia="es-CR"/>
        </w:rPr>
      </w:pPr>
      <w:r w:rsidRPr="00A649A4">
        <w:rPr>
          <w:noProof/>
          <w:lang w:eastAsia="es-CR"/>
        </w:rPr>
        <w:drawing>
          <wp:inline distT="0" distB="0" distL="0" distR="0" wp14:anchorId="72D460E0" wp14:editId="5895770C">
            <wp:extent cx="4305300" cy="1562100"/>
            <wp:effectExtent l="0" t="0" r="0" b="0"/>
            <wp:docPr id="5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05300" cy="1562100"/>
                    </a:xfrm>
                    <a:prstGeom prst="rect">
                      <a:avLst/>
                    </a:prstGeom>
                    <a:noFill/>
                    <a:ln>
                      <a:noFill/>
                    </a:ln>
                  </pic:spPr>
                </pic:pic>
              </a:graphicData>
            </a:graphic>
          </wp:inline>
        </w:drawing>
      </w:r>
    </w:p>
    <w:p w14:paraId="5C5858B1" w14:textId="77777777" w:rsidR="00A649A4" w:rsidRPr="00A649A4" w:rsidRDefault="00A649A4" w:rsidP="00B5023C">
      <w:pPr>
        <w:rPr>
          <w:lang w:val="es-MX" w:eastAsia="es-CR"/>
        </w:rPr>
      </w:pPr>
      <w:r w:rsidRPr="00A649A4">
        <w:rPr>
          <w:lang w:val="es-MX" w:eastAsia="es-CR"/>
        </w:rPr>
        <w:t>La DGCN y los otros CCs, al elaborar los EEFFC, combinarán los EFPIG de la entidad controladora y sus controladas77, línea a línea, agregando las partidas que representen activos, pasivos, patrimonio, ingresos y gastos de contenido similar.</w:t>
      </w:r>
    </w:p>
    <w:p w14:paraId="444F584A" w14:textId="77777777" w:rsidR="00A649A4" w:rsidRPr="00A649A4" w:rsidRDefault="00A649A4" w:rsidP="00B5023C">
      <w:pPr>
        <w:rPr>
          <w:lang w:val="es-MX" w:eastAsia="es-CR"/>
        </w:rPr>
      </w:pPr>
      <w:r w:rsidRPr="00A649A4">
        <w:rPr>
          <w:lang w:val="es-MX" w:eastAsia="es-CR"/>
        </w:rPr>
        <w:t>Los ingresos y gastos de una entidad controlada se incluirán en los EEFFC desde la fecha de adquisición, hasta la fecha en la que la entidad controladora cesa de controlar a la entidad controlada.</w:t>
      </w:r>
    </w:p>
    <w:p w14:paraId="32FAEE7E" w14:textId="77777777" w:rsidR="00A649A4" w:rsidRPr="00A649A4" w:rsidRDefault="00A649A4" w:rsidP="00B5023C">
      <w:pPr>
        <w:rPr>
          <w:lang w:val="es-MX" w:eastAsia="es-CR"/>
        </w:rPr>
      </w:pPr>
      <w:r w:rsidRPr="00A649A4">
        <w:rPr>
          <w:lang w:val="es-MX" w:eastAsia="es-CR"/>
        </w:rPr>
        <w:t>Los estados financieros consolidados:</w:t>
      </w:r>
    </w:p>
    <w:p w14:paraId="5F9C28EB" w14:textId="77777777" w:rsidR="00A649A4" w:rsidRPr="00A649A4" w:rsidRDefault="00A649A4" w:rsidP="00B5023C">
      <w:pPr>
        <w:rPr>
          <w:lang w:val="es-MX" w:eastAsia="es-CR"/>
        </w:rPr>
      </w:pPr>
      <w:r w:rsidRPr="00A649A4">
        <w:rPr>
          <w:lang w:val="es-MX" w:eastAsia="es-CR"/>
        </w:rPr>
        <w:t>(a) Combinan partidas similares de activos, pasivos, activos netos/patrimonio, ingresos, gastos y flujos de efectivo de la entidad controladora con los de sus entidades controladas.</w:t>
      </w:r>
    </w:p>
    <w:p w14:paraId="04DAB4B6" w14:textId="77777777" w:rsidR="00A649A4" w:rsidRPr="00A649A4" w:rsidRDefault="00A649A4" w:rsidP="00B5023C">
      <w:pPr>
        <w:rPr>
          <w:lang w:val="es-MX" w:eastAsia="es-CR"/>
        </w:rPr>
      </w:pPr>
      <w:r w:rsidRPr="00A649A4">
        <w:rPr>
          <w:lang w:val="es-MX" w:eastAsia="es-CR"/>
        </w:rPr>
        <w:t>(b) Compensan (eliminan) el importe en libros de la inversión de la entidad controladora en cada entidad controlada, así como la parte de los activos netos/patrimonio de cada una de dichas entidades controladas que pertenece a la controladora, (la NICSP 40 explica cómo contabilizar la plusvalía resultante).</w:t>
      </w:r>
    </w:p>
    <w:p w14:paraId="7CCF8424" w14:textId="51934C20" w:rsidR="00A649A4" w:rsidRPr="00B5023C" w:rsidRDefault="00A649A4" w:rsidP="00B5023C">
      <w:pPr>
        <w:rPr>
          <w:lang w:val="es-MX" w:eastAsia="es-CR"/>
        </w:rPr>
      </w:pPr>
      <w:r w:rsidRPr="00A649A4">
        <w:rPr>
          <w:lang w:val="es-MX" w:eastAsia="es-CR"/>
        </w:rPr>
        <w:t xml:space="preserve">Eliminan en su totalidad los activos, pasivos, activos netos/patrimonio, ingresos, gastos y flujos de efectivo internos de la entidad económica relacionados con transacciones entre las entidades de la entidad económica [los resultados (ahorro o desahorro) del periodo procedentes de transacciones internas de la entidad económica que están reconocidos en activos, tales como inventarios y activos fijos, se eliminan totalmente]. </w:t>
      </w:r>
    </w:p>
    <w:p w14:paraId="5CC4DE47" w14:textId="3ADF78C8" w:rsidR="00A649A4" w:rsidRPr="00B5023C" w:rsidRDefault="00A649A4" w:rsidP="00B5023C">
      <w:pPr>
        <w:jc w:val="center"/>
        <w:rPr>
          <w:sz w:val="22"/>
          <w:highlight w:val="yellow"/>
          <w:lang w:val="es-MX" w:eastAsia="es-CR"/>
        </w:rPr>
      </w:pPr>
      <w:r w:rsidRPr="00A649A4">
        <w:rPr>
          <w:noProof/>
          <w:lang w:eastAsia="es-CR"/>
        </w:rPr>
        <w:drawing>
          <wp:inline distT="0" distB="0" distL="0" distR="0" wp14:anchorId="7904E2FE" wp14:editId="4B853018">
            <wp:extent cx="4061460" cy="1775460"/>
            <wp:effectExtent l="0" t="0" r="0" b="0"/>
            <wp:docPr id="5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61460" cy="1775460"/>
                    </a:xfrm>
                    <a:prstGeom prst="rect">
                      <a:avLst/>
                    </a:prstGeom>
                    <a:noFill/>
                    <a:ln>
                      <a:noFill/>
                    </a:ln>
                  </pic:spPr>
                </pic:pic>
              </a:graphicData>
            </a:graphic>
          </wp:inline>
        </w:drawing>
      </w:r>
      <w:r w:rsidRPr="00A649A4">
        <w:rPr>
          <w:noProof/>
          <w:lang w:eastAsia="es-CR"/>
        </w:rPr>
        <w:drawing>
          <wp:inline distT="0" distB="0" distL="0" distR="0" wp14:anchorId="4F92F271" wp14:editId="536BBE34">
            <wp:extent cx="4099560" cy="1287780"/>
            <wp:effectExtent l="0" t="0" r="0" b="0"/>
            <wp:docPr id="5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9560" cy="1287780"/>
                    </a:xfrm>
                    <a:prstGeom prst="rect">
                      <a:avLst/>
                    </a:prstGeom>
                    <a:noFill/>
                    <a:ln>
                      <a:noFill/>
                    </a:ln>
                  </pic:spPr>
                </pic:pic>
              </a:graphicData>
            </a:graphic>
          </wp:inline>
        </w:drawing>
      </w:r>
    </w:p>
    <w:p w14:paraId="07903E89" w14:textId="77777777" w:rsidR="00A649A4" w:rsidRPr="00A649A4" w:rsidRDefault="00A649A4" w:rsidP="00B5023C">
      <w:pPr>
        <w:rPr>
          <w:lang w:val="es-MX" w:eastAsia="es-CR"/>
        </w:rPr>
      </w:pPr>
      <w:r w:rsidRPr="00A649A4">
        <w:rPr>
          <w:lang w:val="es-MX" w:eastAsia="es-CR"/>
        </w:rPr>
        <w:t>Las pérdidas internas de la entidad económica podrían indicar un deterioro de valor de los activos que requiere reconocimiento en los estados financieros consolidados.</w:t>
      </w:r>
    </w:p>
    <w:p w14:paraId="14EB9FD2" w14:textId="56D88619" w:rsidR="00A649A4" w:rsidRPr="00A649A4" w:rsidRDefault="00A649A4" w:rsidP="00B5023C">
      <w:pPr>
        <w:rPr>
          <w:lang w:val="es-MX" w:eastAsia="es-CR"/>
        </w:rPr>
      </w:pPr>
      <w:r w:rsidRPr="00A649A4">
        <w:rPr>
          <w:lang w:val="es-MX" w:eastAsia="es-CR"/>
        </w:rPr>
        <w:t>Previo a la fecha de presentación, las instituciones deberán realizar el proceso de confirmación de saldos contables entre los entes relacionados con el fin de proveer información para las eliminaciones de acuerdo a la técnica de consolidación.</w:t>
      </w:r>
    </w:p>
    <w:p w14:paraId="6CCD49A1" w14:textId="39081A0E" w:rsidR="00694299" w:rsidRDefault="00A649A4" w:rsidP="00B5023C">
      <w:pPr>
        <w:rPr>
          <w:rFonts w:asciiTheme="minorHAnsi" w:hAnsiTheme="minorHAnsi"/>
          <w:sz w:val="22"/>
        </w:rPr>
      </w:pPr>
      <w:r w:rsidRPr="00A649A4">
        <w:rPr>
          <w:lang w:eastAsia="es-CR"/>
        </w:rPr>
        <w:t>Lista de Entidades Controladas Significativamente</w:t>
      </w:r>
      <w:r w:rsidR="0021402F">
        <w:rPr>
          <w:lang w:eastAsia="es-CR"/>
        </w:rPr>
        <w:fldChar w:fldCharType="begin"/>
      </w:r>
      <w:r w:rsidR="0021402F">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NICSP_35!F13C6:F19C9 </w:instrText>
      </w:r>
      <w:r w:rsidR="0021402F">
        <w:rPr>
          <w:lang w:eastAsia="es-CR"/>
        </w:rPr>
        <w:instrText xml:space="preserve">\a \f 4 \h </w:instrText>
      </w:r>
      <w:r w:rsidR="00EB24D2">
        <w:rPr>
          <w:lang w:eastAsia="es-CR"/>
        </w:rPr>
        <w:instrText xml:space="preserve"> \* MERGEFORMAT </w:instrText>
      </w:r>
      <w:r w:rsidR="0021402F">
        <w:rPr>
          <w:lang w:eastAsia="es-CR"/>
        </w:rPr>
        <w:fldChar w:fldCharType="separate"/>
      </w:r>
    </w:p>
    <w:tbl>
      <w:tblPr>
        <w:tblW w:w="7726" w:type="dxa"/>
        <w:tblCellMar>
          <w:left w:w="70" w:type="dxa"/>
          <w:right w:w="70" w:type="dxa"/>
        </w:tblCellMar>
        <w:tblLook w:val="04A0" w:firstRow="1" w:lastRow="0" w:firstColumn="1" w:lastColumn="0" w:noHBand="0" w:noVBand="1"/>
      </w:tblPr>
      <w:tblGrid>
        <w:gridCol w:w="2241"/>
        <w:gridCol w:w="3986"/>
        <w:gridCol w:w="592"/>
        <w:gridCol w:w="907"/>
      </w:tblGrid>
      <w:tr w:rsidR="00694299" w:rsidRPr="00694299" w14:paraId="19BC4BAB" w14:textId="77777777" w:rsidTr="00EB24D2">
        <w:trPr>
          <w:divId w:val="545485780"/>
          <w:trHeight w:val="324"/>
        </w:trPr>
        <w:tc>
          <w:tcPr>
            <w:tcW w:w="2241"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36F183F1" w14:textId="01170FFF" w:rsidR="00694299" w:rsidRPr="00694299" w:rsidRDefault="00694299" w:rsidP="00694299">
            <w:pPr>
              <w:jc w:val="center"/>
              <w:rPr>
                <w:rFonts w:eastAsia="Times New Roman" w:cs="Calibri"/>
                <w:color w:val="FFFFFF"/>
                <w:szCs w:val="24"/>
                <w:lang w:eastAsia="es-CR"/>
              </w:rPr>
            </w:pPr>
            <w:r w:rsidRPr="00694299">
              <w:rPr>
                <w:rFonts w:eastAsia="Times New Roman" w:cs="Calibri"/>
                <w:color w:val="FFFFFF"/>
                <w:szCs w:val="24"/>
                <w:lang w:eastAsia="es-CR"/>
              </w:rPr>
              <w:t>Código Institución</w:t>
            </w:r>
          </w:p>
        </w:tc>
        <w:tc>
          <w:tcPr>
            <w:tcW w:w="3986"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6A5F8758"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Nombre institución</w:t>
            </w:r>
          </w:p>
        </w:tc>
        <w:tc>
          <w:tcPr>
            <w:tcW w:w="1499" w:type="dxa"/>
            <w:gridSpan w:val="2"/>
            <w:tcBorders>
              <w:top w:val="single" w:sz="8" w:space="0" w:color="auto"/>
              <w:left w:val="nil"/>
              <w:bottom w:val="single" w:sz="8" w:space="0" w:color="auto"/>
              <w:right w:val="single" w:sz="8" w:space="0" w:color="000000"/>
            </w:tcBorders>
            <w:shd w:val="clear" w:color="000000" w:fill="1F3864"/>
            <w:vAlign w:val="center"/>
            <w:hideMark/>
          </w:tcPr>
          <w:p w14:paraId="6DD83027"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Consolida</w:t>
            </w:r>
          </w:p>
        </w:tc>
      </w:tr>
      <w:tr w:rsidR="00694299" w:rsidRPr="00694299" w14:paraId="3D971035" w14:textId="77777777" w:rsidTr="00EB24D2">
        <w:trPr>
          <w:divId w:val="545485780"/>
          <w:trHeight w:val="324"/>
        </w:trPr>
        <w:tc>
          <w:tcPr>
            <w:tcW w:w="2241" w:type="dxa"/>
            <w:vMerge/>
            <w:tcBorders>
              <w:top w:val="single" w:sz="8" w:space="0" w:color="auto"/>
              <w:left w:val="single" w:sz="8" w:space="0" w:color="auto"/>
              <w:bottom w:val="single" w:sz="8" w:space="0" w:color="000000"/>
              <w:right w:val="single" w:sz="8" w:space="0" w:color="auto"/>
            </w:tcBorders>
            <w:vAlign w:val="center"/>
            <w:hideMark/>
          </w:tcPr>
          <w:p w14:paraId="67AFB091" w14:textId="77777777" w:rsidR="00694299" w:rsidRPr="00694299" w:rsidRDefault="00694299" w:rsidP="00694299">
            <w:pPr>
              <w:spacing w:after="0" w:line="240" w:lineRule="auto"/>
              <w:jc w:val="left"/>
              <w:rPr>
                <w:rFonts w:eastAsia="Times New Roman" w:cs="Calibri"/>
                <w:color w:val="FFFFFF"/>
                <w:szCs w:val="24"/>
                <w:lang w:eastAsia="es-CR"/>
              </w:rPr>
            </w:pPr>
          </w:p>
        </w:tc>
        <w:tc>
          <w:tcPr>
            <w:tcW w:w="3986" w:type="dxa"/>
            <w:vMerge/>
            <w:tcBorders>
              <w:top w:val="single" w:sz="8" w:space="0" w:color="auto"/>
              <w:left w:val="single" w:sz="8" w:space="0" w:color="auto"/>
              <w:bottom w:val="single" w:sz="8" w:space="0" w:color="000000"/>
              <w:right w:val="single" w:sz="8" w:space="0" w:color="auto"/>
            </w:tcBorders>
            <w:vAlign w:val="center"/>
            <w:hideMark/>
          </w:tcPr>
          <w:p w14:paraId="5A159586" w14:textId="77777777" w:rsidR="00694299" w:rsidRPr="00694299" w:rsidRDefault="00694299" w:rsidP="00694299">
            <w:pPr>
              <w:spacing w:after="0" w:line="240" w:lineRule="auto"/>
              <w:jc w:val="left"/>
              <w:rPr>
                <w:rFonts w:eastAsia="Times New Roman" w:cs="Calibri"/>
                <w:color w:val="FFFFFF"/>
                <w:szCs w:val="24"/>
                <w:lang w:eastAsia="es-CR"/>
              </w:rPr>
            </w:pPr>
          </w:p>
        </w:tc>
        <w:tc>
          <w:tcPr>
            <w:tcW w:w="592" w:type="dxa"/>
            <w:tcBorders>
              <w:top w:val="nil"/>
              <w:left w:val="nil"/>
              <w:bottom w:val="single" w:sz="8" w:space="0" w:color="auto"/>
              <w:right w:val="single" w:sz="8" w:space="0" w:color="auto"/>
            </w:tcBorders>
            <w:shd w:val="clear" w:color="000000" w:fill="1F3864"/>
            <w:noWrap/>
            <w:vAlign w:val="center"/>
            <w:hideMark/>
          </w:tcPr>
          <w:p w14:paraId="09161046"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SI</w:t>
            </w:r>
          </w:p>
        </w:tc>
        <w:tc>
          <w:tcPr>
            <w:tcW w:w="907" w:type="dxa"/>
            <w:tcBorders>
              <w:top w:val="nil"/>
              <w:left w:val="nil"/>
              <w:bottom w:val="single" w:sz="8" w:space="0" w:color="auto"/>
              <w:right w:val="single" w:sz="8" w:space="0" w:color="auto"/>
            </w:tcBorders>
            <w:shd w:val="clear" w:color="000000" w:fill="1F3864"/>
            <w:noWrap/>
            <w:vAlign w:val="center"/>
            <w:hideMark/>
          </w:tcPr>
          <w:p w14:paraId="2E7AF1B2"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NO</w:t>
            </w:r>
          </w:p>
        </w:tc>
      </w:tr>
      <w:tr w:rsidR="00EB24D2" w:rsidRPr="00694299" w14:paraId="65A63F8C" w14:textId="77777777" w:rsidTr="00EB24D2">
        <w:trPr>
          <w:divId w:val="545485780"/>
          <w:trHeight w:val="288"/>
        </w:trPr>
        <w:tc>
          <w:tcPr>
            <w:tcW w:w="2241" w:type="dxa"/>
            <w:tcBorders>
              <w:top w:val="nil"/>
              <w:left w:val="single" w:sz="8" w:space="0" w:color="auto"/>
              <w:bottom w:val="single" w:sz="8" w:space="0" w:color="auto"/>
              <w:right w:val="single" w:sz="8" w:space="0" w:color="auto"/>
            </w:tcBorders>
            <w:shd w:val="clear" w:color="auto" w:fill="auto"/>
            <w:noWrap/>
            <w:vAlign w:val="center"/>
            <w:hideMark/>
          </w:tcPr>
          <w:p w14:paraId="67559339" w14:textId="26FBE5B8" w:rsidR="00EB24D2" w:rsidRPr="00694299" w:rsidRDefault="00EB24D2" w:rsidP="00EB24D2">
            <w:pPr>
              <w:spacing w:after="0" w:line="240" w:lineRule="auto"/>
              <w:jc w:val="center"/>
              <w:rPr>
                <w:rFonts w:eastAsia="Times New Roman" w:cs="Calibri"/>
                <w:color w:val="000000"/>
                <w:sz w:val="22"/>
                <w:lang w:eastAsia="es-CR"/>
              </w:rPr>
            </w:pPr>
            <w:r w:rsidRPr="00C34499">
              <w:rPr>
                <w:rFonts w:eastAsia="Times New Roman" w:cs="Calibri"/>
                <w:color w:val="000000"/>
                <w:sz w:val="22"/>
                <w:lang w:val="en-US"/>
              </w:rPr>
              <w:t>15910</w:t>
            </w:r>
          </w:p>
        </w:tc>
        <w:tc>
          <w:tcPr>
            <w:tcW w:w="3986" w:type="dxa"/>
            <w:tcBorders>
              <w:top w:val="nil"/>
              <w:left w:val="nil"/>
              <w:bottom w:val="single" w:sz="8" w:space="0" w:color="auto"/>
              <w:right w:val="single" w:sz="8" w:space="0" w:color="auto"/>
            </w:tcBorders>
            <w:shd w:val="clear" w:color="auto" w:fill="auto"/>
            <w:noWrap/>
            <w:vAlign w:val="center"/>
            <w:hideMark/>
          </w:tcPr>
          <w:p w14:paraId="58FDE6F8" w14:textId="633847F9" w:rsidR="00EB24D2" w:rsidRPr="00694299" w:rsidRDefault="00EB24D2" w:rsidP="00EB24D2">
            <w:pPr>
              <w:spacing w:after="0" w:line="240" w:lineRule="auto"/>
              <w:jc w:val="left"/>
              <w:rPr>
                <w:rFonts w:eastAsia="Times New Roman" w:cs="Calibri"/>
                <w:color w:val="000000"/>
                <w:sz w:val="22"/>
                <w:lang w:eastAsia="es-CR"/>
              </w:rPr>
            </w:pPr>
            <w:r w:rsidRPr="00C34499">
              <w:rPr>
                <w:rFonts w:eastAsia="Times New Roman" w:cs="Calibri"/>
                <w:color w:val="000000"/>
                <w:sz w:val="22"/>
              </w:rPr>
              <w:t>Comités Cantonales de Deportes y Recreación</w:t>
            </w:r>
          </w:p>
        </w:tc>
        <w:tc>
          <w:tcPr>
            <w:tcW w:w="592" w:type="dxa"/>
            <w:tcBorders>
              <w:top w:val="nil"/>
              <w:left w:val="nil"/>
              <w:bottom w:val="single" w:sz="8" w:space="0" w:color="auto"/>
              <w:right w:val="single" w:sz="8" w:space="0" w:color="auto"/>
            </w:tcBorders>
            <w:shd w:val="clear" w:color="auto" w:fill="auto"/>
            <w:noWrap/>
            <w:vAlign w:val="center"/>
            <w:hideMark/>
          </w:tcPr>
          <w:p w14:paraId="1F929C33" w14:textId="60A8B6E9" w:rsidR="00EB24D2" w:rsidRPr="00694299" w:rsidRDefault="00EB24D2" w:rsidP="00EB24D2">
            <w:pPr>
              <w:spacing w:after="0" w:line="240" w:lineRule="auto"/>
              <w:jc w:val="left"/>
              <w:rPr>
                <w:rFonts w:eastAsia="Times New Roman" w:cs="Calibri"/>
                <w:color w:val="000000"/>
                <w:sz w:val="22"/>
                <w:lang w:eastAsia="es-CR"/>
              </w:rPr>
            </w:pPr>
            <w:r w:rsidRPr="00C34499">
              <w:rPr>
                <w:rFonts w:eastAsia="Times New Roman" w:cs="Calibri"/>
                <w:color w:val="000000"/>
                <w:sz w:val="22"/>
              </w:rPr>
              <w:t> </w:t>
            </w:r>
          </w:p>
        </w:tc>
        <w:tc>
          <w:tcPr>
            <w:tcW w:w="907" w:type="dxa"/>
            <w:tcBorders>
              <w:top w:val="nil"/>
              <w:left w:val="nil"/>
              <w:bottom w:val="single" w:sz="8" w:space="0" w:color="auto"/>
              <w:right w:val="single" w:sz="8" w:space="0" w:color="auto"/>
            </w:tcBorders>
            <w:shd w:val="clear" w:color="auto" w:fill="auto"/>
            <w:noWrap/>
            <w:vAlign w:val="center"/>
            <w:hideMark/>
          </w:tcPr>
          <w:p w14:paraId="567F1DC7" w14:textId="2A30CEB3" w:rsidR="00EB24D2" w:rsidRPr="00694299" w:rsidRDefault="000F565D" w:rsidP="00EB24D2">
            <w:pPr>
              <w:spacing w:after="0" w:line="240" w:lineRule="auto"/>
              <w:jc w:val="center"/>
              <w:rPr>
                <w:rFonts w:eastAsia="Times New Roman" w:cs="Calibri"/>
                <w:color w:val="000000"/>
                <w:sz w:val="22"/>
                <w:lang w:eastAsia="es-CR"/>
              </w:rPr>
            </w:pPr>
            <w:r>
              <w:rPr>
                <w:rFonts w:eastAsia="Times New Roman" w:cs="Calibri"/>
                <w:color w:val="000000"/>
                <w:sz w:val="22"/>
                <w:lang w:val="en-US"/>
              </w:rPr>
              <w:t>1</w:t>
            </w:r>
          </w:p>
        </w:tc>
      </w:tr>
      <w:tr w:rsidR="00694299" w:rsidRPr="00694299" w14:paraId="15E2717B" w14:textId="77777777" w:rsidTr="00EB24D2">
        <w:trPr>
          <w:divId w:val="545485780"/>
          <w:trHeight w:val="288"/>
        </w:trPr>
        <w:tc>
          <w:tcPr>
            <w:tcW w:w="2241" w:type="dxa"/>
            <w:tcBorders>
              <w:top w:val="nil"/>
              <w:left w:val="single" w:sz="8" w:space="0" w:color="auto"/>
              <w:bottom w:val="single" w:sz="8" w:space="0" w:color="auto"/>
              <w:right w:val="single" w:sz="8" w:space="0" w:color="auto"/>
            </w:tcBorders>
            <w:shd w:val="clear" w:color="auto" w:fill="auto"/>
            <w:noWrap/>
            <w:vAlign w:val="center"/>
            <w:hideMark/>
          </w:tcPr>
          <w:p w14:paraId="35E0B90C"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3986" w:type="dxa"/>
            <w:tcBorders>
              <w:top w:val="nil"/>
              <w:left w:val="nil"/>
              <w:bottom w:val="single" w:sz="8" w:space="0" w:color="auto"/>
              <w:right w:val="single" w:sz="8" w:space="0" w:color="auto"/>
            </w:tcBorders>
            <w:shd w:val="clear" w:color="auto" w:fill="auto"/>
            <w:noWrap/>
            <w:vAlign w:val="center"/>
            <w:hideMark/>
          </w:tcPr>
          <w:p w14:paraId="0927DD60"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592" w:type="dxa"/>
            <w:tcBorders>
              <w:top w:val="nil"/>
              <w:left w:val="nil"/>
              <w:bottom w:val="single" w:sz="8" w:space="0" w:color="auto"/>
              <w:right w:val="single" w:sz="8" w:space="0" w:color="auto"/>
            </w:tcBorders>
            <w:shd w:val="clear" w:color="auto" w:fill="auto"/>
            <w:noWrap/>
            <w:vAlign w:val="center"/>
            <w:hideMark/>
          </w:tcPr>
          <w:p w14:paraId="59646173"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907" w:type="dxa"/>
            <w:tcBorders>
              <w:top w:val="nil"/>
              <w:left w:val="nil"/>
              <w:bottom w:val="single" w:sz="8" w:space="0" w:color="auto"/>
              <w:right w:val="single" w:sz="8" w:space="0" w:color="auto"/>
            </w:tcBorders>
            <w:shd w:val="clear" w:color="auto" w:fill="auto"/>
            <w:noWrap/>
            <w:vAlign w:val="center"/>
            <w:hideMark/>
          </w:tcPr>
          <w:p w14:paraId="7AFB4DBE"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r w:rsidR="00694299" w:rsidRPr="00694299" w14:paraId="7BF08700" w14:textId="77777777" w:rsidTr="00EB24D2">
        <w:trPr>
          <w:divId w:val="545485780"/>
          <w:trHeight w:val="288"/>
        </w:trPr>
        <w:tc>
          <w:tcPr>
            <w:tcW w:w="2241" w:type="dxa"/>
            <w:tcBorders>
              <w:top w:val="nil"/>
              <w:left w:val="single" w:sz="8" w:space="0" w:color="auto"/>
              <w:bottom w:val="single" w:sz="8" w:space="0" w:color="auto"/>
              <w:right w:val="single" w:sz="8" w:space="0" w:color="auto"/>
            </w:tcBorders>
            <w:shd w:val="clear" w:color="auto" w:fill="auto"/>
            <w:noWrap/>
            <w:vAlign w:val="center"/>
            <w:hideMark/>
          </w:tcPr>
          <w:p w14:paraId="2B282E1D"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3986" w:type="dxa"/>
            <w:tcBorders>
              <w:top w:val="nil"/>
              <w:left w:val="nil"/>
              <w:bottom w:val="single" w:sz="8" w:space="0" w:color="auto"/>
              <w:right w:val="single" w:sz="8" w:space="0" w:color="auto"/>
            </w:tcBorders>
            <w:shd w:val="clear" w:color="auto" w:fill="auto"/>
            <w:noWrap/>
            <w:vAlign w:val="center"/>
            <w:hideMark/>
          </w:tcPr>
          <w:p w14:paraId="3F7DCB61"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592" w:type="dxa"/>
            <w:tcBorders>
              <w:top w:val="nil"/>
              <w:left w:val="nil"/>
              <w:bottom w:val="single" w:sz="8" w:space="0" w:color="auto"/>
              <w:right w:val="single" w:sz="8" w:space="0" w:color="auto"/>
            </w:tcBorders>
            <w:shd w:val="clear" w:color="auto" w:fill="auto"/>
            <w:noWrap/>
            <w:vAlign w:val="center"/>
            <w:hideMark/>
          </w:tcPr>
          <w:p w14:paraId="57F00E98"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907" w:type="dxa"/>
            <w:tcBorders>
              <w:top w:val="nil"/>
              <w:left w:val="nil"/>
              <w:bottom w:val="single" w:sz="8" w:space="0" w:color="auto"/>
              <w:right w:val="single" w:sz="8" w:space="0" w:color="auto"/>
            </w:tcBorders>
            <w:shd w:val="clear" w:color="auto" w:fill="auto"/>
            <w:noWrap/>
            <w:vAlign w:val="center"/>
            <w:hideMark/>
          </w:tcPr>
          <w:p w14:paraId="2F6CCC90"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r w:rsidR="00694299" w:rsidRPr="00694299" w14:paraId="2D4144C8" w14:textId="77777777" w:rsidTr="00EB24D2">
        <w:trPr>
          <w:divId w:val="545485780"/>
          <w:trHeight w:val="288"/>
        </w:trPr>
        <w:tc>
          <w:tcPr>
            <w:tcW w:w="2241" w:type="dxa"/>
            <w:tcBorders>
              <w:top w:val="nil"/>
              <w:left w:val="single" w:sz="8" w:space="0" w:color="auto"/>
              <w:bottom w:val="single" w:sz="8" w:space="0" w:color="auto"/>
              <w:right w:val="single" w:sz="8" w:space="0" w:color="auto"/>
            </w:tcBorders>
            <w:shd w:val="clear" w:color="auto" w:fill="auto"/>
            <w:noWrap/>
            <w:vAlign w:val="center"/>
            <w:hideMark/>
          </w:tcPr>
          <w:p w14:paraId="55781145"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3986" w:type="dxa"/>
            <w:tcBorders>
              <w:top w:val="nil"/>
              <w:left w:val="nil"/>
              <w:bottom w:val="single" w:sz="8" w:space="0" w:color="auto"/>
              <w:right w:val="single" w:sz="8" w:space="0" w:color="auto"/>
            </w:tcBorders>
            <w:shd w:val="clear" w:color="auto" w:fill="auto"/>
            <w:noWrap/>
            <w:vAlign w:val="center"/>
            <w:hideMark/>
          </w:tcPr>
          <w:p w14:paraId="7A3B7115"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592" w:type="dxa"/>
            <w:tcBorders>
              <w:top w:val="nil"/>
              <w:left w:val="nil"/>
              <w:bottom w:val="single" w:sz="8" w:space="0" w:color="auto"/>
              <w:right w:val="single" w:sz="8" w:space="0" w:color="auto"/>
            </w:tcBorders>
            <w:shd w:val="clear" w:color="auto" w:fill="auto"/>
            <w:noWrap/>
            <w:vAlign w:val="center"/>
            <w:hideMark/>
          </w:tcPr>
          <w:p w14:paraId="556E3DD8"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907" w:type="dxa"/>
            <w:tcBorders>
              <w:top w:val="nil"/>
              <w:left w:val="nil"/>
              <w:bottom w:val="single" w:sz="8" w:space="0" w:color="auto"/>
              <w:right w:val="single" w:sz="8" w:space="0" w:color="auto"/>
            </w:tcBorders>
            <w:shd w:val="clear" w:color="auto" w:fill="auto"/>
            <w:noWrap/>
            <w:vAlign w:val="center"/>
            <w:hideMark/>
          </w:tcPr>
          <w:p w14:paraId="01477432"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r w:rsidR="00694299" w:rsidRPr="00694299" w14:paraId="0E79F9D9" w14:textId="77777777" w:rsidTr="00EB24D2">
        <w:trPr>
          <w:divId w:val="545485780"/>
          <w:trHeight w:val="324"/>
        </w:trPr>
        <w:tc>
          <w:tcPr>
            <w:tcW w:w="6227" w:type="dxa"/>
            <w:gridSpan w:val="2"/>
            <w:tcBorders>
              <w:top w:val="single" w:sz="8" w:space="0" w:color="auto"/>
              <w:left w:val="single" w:sz="8" w:space="0" w:color="auto"/>
              <w:bottom w:val="single" w:sz="8" w:space="0" w:color="auto"/>
              <w:right w:val="single" w:sz="8" w:space="0" w:color="000000"/>
            </w:tcBorders>
            <w:shd w:val="clear" w:color="000000" w:fill="1F3864"/>
            <w:vAlign w:val="center"/>
            <w:hideMark/>
          </w:tcPr>
          <w:p w14:paraId="3BF8835A"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Total</w:t>
            </w:r>
          </w:p>
        </w:tc>
        <w:tc>
          <w:tcPr>
            <w:tcW w:w="592" w:type="dxa"/>
            <w:tcBorders>
              <w:top w:val="nil"/>
              <w:left w:val="nil"/>
              <w:bottom w:val="single" w:sz="8" w:space="0" w:color="auto"/>
              <w:right w:val="single" w:sz="8" w:space="0" w:color="auto"/>
            </w:tcBorders>
            <w:shd w:val="clear" w:color="auto" w:fill="auto"/>
            <w:noWrap/>
            <w:vAlign w:val="center"/>
            <w:hideMark/>
          </w:tcPr>
          <w:p w14:paraId="47D3D8BE"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907" w:type="dxa"/>
            <w:tcBorders>
              <w:top w:val="nil"/>
              <w:left w:val="nil"/>
              <w:bottom w:val="single" w:sz="8" w:space="0" w:color="auto"/>
              <w:right w:val="single" w:sz="8" w:space="0" w:color="auto"/>
            </w:tcBorders>
            <w:shd w:val="clear" w:color="auto" w:fill="auto"/>
            <w:noWrap/>
            <w:vAlign w:val="center"/>
            <w:hideMark/>
          </w:tcPr>
          <w:p w14:paraId="252EC64B" w14:textId="3766B6FE" w:rsidR="00694299" w:rsidRPr="00694299" w:rsidRDefault="00C21533" w:rsidP="00C21533">
            <w:pPr>
              <w:spacing w:after="0" w:line="240" w:lineRule="auto"/>
              <w:jc w:val="center"/>
              <w:rPr>
                <w:rFonts w:eastAsia="Times New Roman" w:cs="Calibri"/>
                <w:color w:val="000000"/>
                <w:sz w:val="22"/>
                <w:lang w:eastAsia="es-CR"/>
              </w:rPr>
            </w:pPr>
            <w:r>
              <w:rPr>
                <w:rFonts w:eastAsia="Times New Roman" w:cs="Calibri"/>
                <w:color w:val="000000"/>
                <w:sz w:val="22"/>
                <w:lang w:eastAsia="es-CR"/>
              </w:rPr>
              <w:t>1</w:t>
            </w:r>
          </w:p>
        </w:tc>
      </w:tr>
    </w:tbl>
    <w:p w14:paraId="6A658C4B" w14:textId="741F0263" w:rsidR="00427680" w:rsidRDefault="0021402F" w:rsidP="00B5023C">
      <w:pPr>
        <w:rPr>
          <w:lang w:eastAsia="es-CR"/>
        </w:rPr>
      </w:pPr>
      <w:r>
        <w:rPr>
          <w:lang w:eastAsia="es-CR"/>
        </w:rPr>
        <w:fldChar w:fldCharType="end"/>
      </w:r>
    </w:p>
    <w:p w14:paraId="17E02C30" w14:textId="77777777" w:rsidR="00EB24D2" w:rsidRDefault="009131F0" w:rsidP="00EB24D2">
      <w:pPr>
        <w:spacing w:before="240"/>
        <w:rPr>
          <w:b/>
          <w:color w:val="FFFFFF" w:themeColor="background1"/>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0F3BE296" w14:textId="1D07CB95" w:rsidR="009131F0" w:rsidRDefault="00EB24D2" w:rsidP="00EB24D2">
      <w:pPr>
        <w:spacing w:before="240" w:line="240" w:lineRule="auto"/>
        <w:rPr>
          <w:bCs/>
        </w:rPr>
      </w:pPr>
      <w:r w:rsidRPr="00EB24D2">
        <w:rPr>
          <w:bCs/>
        </w:rPr>
        <w:t xml:space="preserve">A la </w:t>
      </w:r>
      <w:r>
        <w:rPr>
          <w:bCs/>
        </w:rPr>
        <w:t xml:space="preserve">fecha de presentación de los EEFF </w:t>
      </w:r>
      <w:r w:rsidRPr="00E83953">
        <w:rPr>
          <w:bCs/>
        </w:rPr>
        <w:t>la Municipalidad</w:t>
      </w:r>
      <w:r>
        <w:rPr>
          <w:bCs/>
        </w:rPr>
        <w:t xml:space="preserve"> de Buenos Aires está realizando</w:t>
      </w:r>
      <w:r w:rsidRPr="00E83953">
        <w:rPr>
          <w:bCs/>
        </w:rPr>
        <w:t xml:space="preserve"> las gestiones con el Comité </w:t>
      </w:r>
      <w:r>
        <w:rPr>
          <w:bCs/>
        </w:rPr>
        <w:t xml:space="preserve">Cantonal </w:t>
      </w:r>
      <w:r w:rsidRPr="00E83953">
        <w:rPr>
          <w:bCs/>
        </w:rPr>
        <w:t xml:space="preserve">de Deportes </w:t>
      </w:r>
      <w:r>
        <w:rPr>
          <w:bCs/>
        </w:rPr>
        <w:t xml:space="preserve">y Recreación </w:t>
      </w:r>
      <w:r w:rsidRPr="00E83953">
        <w:rPr>
          <w:bCs/>
        </w:rPr>
        <w:t>para la remisión de la información pertinente.</w:t>
      </w:r>
      <w:r>
        <w:rPr>
          <w:bCs/>
        </w:rPr>
        <w:t xml:space="preserve"> Asimismo, se está desarrollando la normativa pertinente para regular lo atinente a la consolidación y la elaboración de los estados financieros consolidados.</w:t>
      </w:r>
    </w:p>
    <w:p w14:paraId="2D54BDEB" w14:textId="77777777" w:rsidR="00EB24D2" w:rsidRDefault="00EB24D2" w:rsidP="00EB24D2">
      <w:pPr>
        <w:spacing w:before="240" w:line="240" w:lineRule="auto"/>
        <w:rPr>
          <w:b/>
          <w:u w:val="single"/>
        </w:rPr>
      </w:pPr>
    </w:p>
    <w:p w14:paraId="07704E0A" w14:textId="77777777" w:rsidR="009131F0" w:rsidRPr="003516A2" w:rsidRDefault="009131F0" w:rsidP="009131F0">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7A6E9C49" w14:textId="4D1E869A" w:rsidR="009131F0" w:rsidRDefault="00EB24D2" w:rsidP="00EB24D2">
      <w:pPr>
        <w:spacing w:line="240" w:lineRule="auto"/>
        <w:rPr>
          <w:lang w:val="es-MX"/>
        </w:rPr>
      </w:pPr>
      <w:r w:rsidRPr="00EB24D2">
        <w:rPr>
          <w:bCs/>
        </w:rPr>
        <w:t xml:space="preserve">A la </w:t>
      </w:r>
      <w:r>
        <w:rPr>
          <w:bCs/>
        </w:rPr>
        <w:t xml:space="preserve">fecha de presentación de los EEFF </w:t>
      </w:r>
      <w:r w:rsidRPr="00E83953">
        <w:rPr>
          <w:bCs/>
        </w:rPr>
        <w:t>la Municipalidad</w:t>
      </w:r>
      <w:r>
        <w:rPr>
          <w:bCs/>
        </w:rPr>
        <w:t xml:space="preserve"> de Buenos Aires está desarrollando la normativa pertinente para regular lo atinente a la consolidación y la elaboración de los estados financieros consolidados.</w:t>
      </w:r>
    </w:p>
    <w:p w14:paraId="7D5C8EDB" w14:textId="77777777" w:rsidR="005B4B63" w:rsidRPr="0008638E" w:rsidRDefault="005B4B63" w:rsidP="009131F0">
      <w:pPr>
        <w:rPr>
          <w:lang w:val="es-MX"/>
        </w:rPr>
      </w:pPr>
    </w:p>
    <w:p w14:paraId="5486D8C7" w14:textId="77777777" w:rsidR="00864B5A" w:rsidRDefault="00864B5A" w:rsidP="00B5023C">
      <w:pPr>
        <w:rPr>
          <w:b/>
          <w:u w:val="single"/>
        </w:rPr>
      </w:pPr>
      <w:bookmarkStart w:id="111" w:name="_Toc82768896"/>
      <w:r w:rsidRPr="009131F0">
        <w:rPr>
          <w:b/>
          <w:color w:val="FFFFFF" w:themeColor="background1"/>
          <w:highlight w:val="darkBlue"/>
          <w:u w:val="single"/>
        </w:rPr>
        <w:t>Revelación Suficiente:</w:t>
      </w:r>
      <w:r w:rsidRPr="00864B5A">
        <w:rPr>
          <w:b/>
          <w:u w:val="single"/>
        </w:rPr>
        <w:t xml:space="preserve"> El ente debe cumplir con lo estipulado en revelación con forme a la NICSP, también debe considerar la política general y los párrafos incluidos en la matriz de autoevaluación referente a esta NICSP y guías de aplicación (Ver GA de la NICSP 35):</w:t>
      </w:r>
    </w:p>
    <w:p w14:paraId="789799E8" w14:textId="77777777" w:rsidR="005B4B63" w:rsidRPr="00CA2578" w:rsidRDefault="005B4B63" w:rsidP="005B4B63">
      <w:pPr>
        <w:spacing w:after="0" w:line="240" w:lineRule="auto"/>
        <w:rPr>
          <w:szCs w:val="24"/>
        </w:rPr>
      </w:pPr>
      <w:r w:rsidRPr="00CA2578">
        <w:rPr>
          <w:szCs w:val="24"/>
        </w:rPr>
        <w:t>Los estados financieros de la controladora y de sus entidades controladas, utilizados para la elaboración de los estados financieros consolidados, deben referirse a la misma fecha de presentación. Cuando las fechas de presentación de la controladora y de la controlada sean diferentes, ésta última elaborará, a efectos de la consolidación, estados financieros adicionales a la misma fecha que los de la controladora, a menos que sea impracticable hacerlo.</w:t>
      </w:r>
    </w:p>
    <w:p w14:paraId="6AF845A0" w14:textId="77777777" w:rsidR="005B4B63" w:rsidRPr="00CA2578" w:rsidRDefault="005B4B63" w:rsidP="005B4B63">
      <w:pPr>
        <w:spacing w:after="0" w:line="240" w:lineRule="auto"/>
        <w:rPr>
          <w:szCs w:val="24"/>
        </w:rPr>
      </w:pPr>
    </w:p>
    <w:p w14:paraId="5193FE24" w14:textId="77777777" w:rsidR="005B4B63" w:rsidRDefault="005B4B63" w:rsidP="005B4B63">
      <w:pPr>
        <w:spacing w:after="120" w:line="240" w:lineRule="auto"/>
        <w:rPr>
          <w:szCs w:val="24"/>
        </w:rPr>
      </w:pPr>
      <w:r>
        <w:rPr>
          <w:szCs w:val="24"/>
        </w:rPr>
        <w:t>El proceso de consolidación implica la realización de las siguientes actividades:</w:t>
      </w:r>
    </w:p>
    <w:p w14:paraId="35897E06" w14:textId="77777777" w:rsidR="005B4B63" w:rsidRPr="005C561B" w:rsidRDefault="005B4B63" w:rsidP="005B4B63">
      <w:pPr>
        <w:pStyle w:val="Prrafodelista"/>
        <w:numPr>
          <w:ilvl w:val="0"/>
          <w:numId w:val="47"/>
        </w:numPr>
        <w:spacing w:after="120" w:line="240" w:lineRule="auto"/>
        <w:ind w:left="284" w:hanging="357"/>
        <w:contextualSpacing w:val="0"/>
        <w:rPr>
          <w:szCs w:val="24"/>
        </w:rPr>
      </w:pPr>
      <w:r w:rsidRPr="005C561B">
        <w:rPr>
          <w:szCs w:val="24"/>
        </w:rPr>
        <w:t>Los estados consolidados deben elaborarse utilizando políticas contables uniformes para transacciones y otros eventos que, siendo similares, se hayan producido en circunstancias parecidas.</w:t>
      </w:r>
    </w:p>
    <w:p w14:paraId="76B488F0" w14:textId="77777777" w:rsidR="005B4B63" w:rsidRPr="005C561B" w:rsidRDefault="005B4B63" w:rsidP="005B4B63">
      <w:pPr>
        <w:pStyle w:val="Prrafodelista"/>
        <w:numPr>
          <w:ilvl w:val="0"/>
          <w:numId w:val="47"/>
        </w:numPr>
        <w:autoSpaceDE w:val="0"/>
        <w:autoSpaceDN w:val="0"/>
        <w:adjustRightInd w:val="0"/>
        <w:spacing w:after="120" w:line="240" w:lineRule="auto"/>
        <w:ind w:left="284" w:hanging="357"/>
        <w:contextualSpacing w:val="0"/>
        <w:rPr>
          <w:rFonts w:cs="Times New Roman"/>
          <w:color w:val="000000"/>
          <w:szCs w:val="24"/>
        </w:rPr>
      </w:pPr>
      <w:r w:rsidRPr="005C561B">
        <w:rPr>
          <w:rFonts w:cs="Arial"/>
          <w:color w:val="000000"/>
          <w:szCs w:val="24"/>
        </w:rPr>
        <w:t xml:space="preserve">Se combinan partidas similares de activos, pasivos, activos netos/patrimonio, ingresos, gastos y flujos de efectivo de la entidad controladora con los de sus entidades controladas. </w:t>
      </w:r>
    </w:p>
    <w:p w14:paraId="06F65A73" w14:textId="77777777" w:rsidR="005B4B63" w:rsidRPr="005C561B" w:rsidRDefault="005B4B63" w:rsidP="005B4B63">
      <w:pPr>
        <w:pStyle w:val="Prrafodelista"/>
        <w:numPr>
          <w:ilvl w:val="0"/>
          <w:numId w:val="47"/>
        </w:numPr>
        <w:spacing w:after="120" w:line="240" w:lineRule="auto"/>
        <w:ind w:left="284" w:hanging="357"/>
        <w:contextualSpacing w:val="0"/>
        <w:rPr>
          <w:rFonts w:cs="Arial"/>
          <w:color w:val="000000"/>
          <w:szCs w:val="24"/>
        </w:rPr>
      </w:pPr>
      <w:r w:rsidRPr="005C561B">
        <w:rPr>
          <w:rFonts w:cs="Arial"/>
          <w:color w:val="000000"/>
          <w:szCs w:val="24"/>
        </w:rPr>
        <w:t>Se eliminan en su totalidad los activos, pasivos, activos netos/patrimonio, ingresos, gastos y flujos de efectivo internos de la entidad económica relacionados con transacciones entre las entidades de la entidad económica [los resultados (ahorro o desahorro) del periodo procedentes de transacciones internas de la entidad económica que están reconocidos en activos, tales como inventarios y activos fijos, se eliminan totalmente]. Las pérdidas internas de la entidad económica podrían indicar un deterioro de valor de los activos que requiere reconocimiento en los estados financieros consolidados.</w:t>
      </w:r>
    </w:p>
    <w:p w14:paraId="33F8999D" w14:textId="77777777" w:rsidR="005B4B63" w:rsidRPr="005C561B" w:rsidRDefault="005B4B63" w:rsidP="005B4B63">
      <w:pPr>
        <w:pStyle w:val="Prrafodelista"/>
        <w:numPr>
          <w:ilvl w:val="0"/>
          <w:numId w:val="47"/>
        </w:numPr>
        <w:spacing w:after="0" w:line="240" w:lineRule="auto"/>
        <w:ind w:left="284" w:hanging="357"/>
        <w:contextualSpacing w:val="0"/>
        <w:rPr>
          <w:rFonts w:cs="Arial"/>
          <w:color w:val="000000"/>
          <w:szCs w:val="24"/>
        </w:rPr>
      </w:pPr>
      <w:r w:rsidRPr="005C561B">
        <w:rPr>
          <w:szCs w:val="24"/>
        </w:rPr>
        <w:t>Previo a la fecha de presentación, las instituciones deberán realizar el proceso de confirmación de saldos contables entre los entes relacionados con el fin de proveer información para las eliminaciones de acuerdo a la técnica de consolidación.</w:t>
      </w:r>
    </w:p>
    <w:p w14:paraId="6329D979" w14:textId="77777777" w:rsidR="005B4B63" w:rsidRDefault="005B4B63" w:rsidP="005B4B63">
      <w:pPr>
        <w:spacing w:after="0" w:line="240" w:lineRule="auto"/>
        <w:rPr>
          <w:szCs w:val="24"/>
        </w:rPr>
      </w:pPr>
    </w:p>
    <w:p w14:paraId="5788F50F" w14:textId="6143413E" w:rsidR="005B4B63" w:rsidRDefault="005B4B63" w:rsidP="005B4B63">
      <w:pPr>
        <w:spacing w:after="0" w:line="240" w:lineRule="auto"/>
        <w:rPr>
          <w:szCs w:val="24"/>
        </w:rPr>
      </w:pPr>
      <w:r>
        <w:rPr>
          <w:szCs w:val="24"/>
        </w:rPr>
        <w:t>Al</w:t>
      </w:r>
      <w:r w:rsidRPr="005C561B">
        <w:rPr>
          <w:szCs w:val="24"/>
        </w:rPr>
        <w:t xml:space="preserve"> </w:t>
      </w:r>
      <w:r w:rsidR="00D470B6">
        <w:rPr>
          <w:szCs w:val="24"/>
        </w:rPr>
        <w:t>30 de junio</w:t>
      </w:r>
      <w:r w:rsidR="00BD0CA2">
        <w:rPr>
          <w:szCs w:val="24"/>
        </w:rPr>
        <w:t xml:space="preserve"> de</w:t>
      </w:r>
      <w:r w:rsidRPr="005C561B">
        <w:rPr>
          <w:szCs w:val="24"/>
        </w:rPr>
        <w:t xml:space="preserve"> 202</w:t>
      </w:r>
      <w:r w:rsidR="00BD0CA2">
        <w:rPr>
          <w:szCs w:val="24"/>
        </w:rPr>
        <w:t>4</w:t>
      </w:r>
      <w:r w:rsidRPr="005C561B">
        <w:rPr>
          <w:szCs w:val="24"/>
        </w:rPr>
        <w:t>, no se tiene consolidada la información con el Comité Cantonal de Deportes y Recreación (CCDR) de Buenos Aires, que es el único órgano con el que corresponde consolidar estados financieros. Esto por cuanto dicho Comité se encuentra también en proceso de implementación y aplicación de las NICSP y la Municipalidad se encuentra coordinando lo pertinente para definir y consensuar alguna información propia del Comité y su registro contable, para su posterior consolidación.</w:t>
      </w:r>
    </w:p>
    <w:p w14:paraId="3C2E3530" w14:textId="77777777" w:rsidR="005B4B63" w:rsidRDefault="005B4B63" w:rsidP="005B4B63">
      <w:pPr>
        <w:spacing w:after="0" w:line="240" w:lineRule="auto"/>
        <w:rPr>
          <w:szCs w:val="24"/>
        </w:rPr>
      </w:pPr>
    </w:p>
    <w:p w14:paraId="53BB4C20" w14:textId="4170C5A0" w:rsidR="005B4B63" w:rsidRDefault="005B4B63" w:rsidP="005B4B63">
      <w:pPr>
        <w:spacing w:line="240" w:lineRule="auto"/>
        <w:rPr>
          <w:szCs w:val="24"/>
          <w:lang w:eastAsia="es-CR"/>
        </w:rPr>
      </w:pPr>
      <w:r>
        <w:rPr>
          <w:szCs w:val="24"/>
          <w:lang w:eastAsia="es-CR"/>
        </w:rPr>
        <w:t xml:space="preserve">De acuerdo con lo consignado en la Matriz de NICSP y Plan de Acción al </w:t>
      </w:r>
      <w:r w:rsidR="00D470B6">
        <w:rPr>
          <w:szCs w:val="24"/>
          <w:lang w:eastAsia="es-CR"/>
        </w:rPr>
        <w:t>30 de junio</w:t>
      </w:r>
      <w:r>
        <w:rPr>
          <w:szCs w:val="24"/>
          <w:lang w:eastAsia="es-CR"/>
        </w:rPr>
        <w:t xml:space="preserve"> de 2024, se encuentra pendiente de implementar lo siguiente:</w:t>
      </w:r>
    </w:p>
    <w:p w14:paraId="536451B9" w14:textId="77777777" w:rsidR="005B4B63" w:rsidRDefault="005B4B63" w:rsidP="005B4B63">
      <w:pPr>
        <w:spacing w:after="0" w:line="240" w:lineRule="auto"/>
        <w:rPr>
          <w:szCs w:val="24"/>
          <w:lang w:eastAsia="es-CR"/>
        </w:rPr>
      </w:pPr>
    </w:p>
    <w:tbl>
      <w:tblPr>
        <w:tblW w:w="8860" w:type="dxa"/>
        <w:tblLook w:val="04A0" w:firstRow="1" w:lastRow="0" w:firstColumn="1" w:lastColumn="0" w:noHBand="0" w:noVBand="1"/>
      </w:tblPr>
      <w:tblGrid>
        <w:gridCol w:w="7360"/>
        <w:gridCol w:w="1500"/>
      </w:tblGrid>
      <w:tr w:rsidR="005B4B63" w:rsidRPr="00C1398A" w14:paraId="1F0C76ED" w14:textId="77777777" w:rsidTr="004653E2">
        <w:trPr>
          <w:trHeight w:val="530"/>
        </w:trPr>
        <w:tc>
          <w:tcPr>
            <w:tcW w:w="7360"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4AA007D7" w14:textId="77777777" w:rsidR="005B4B63" w:rsidRPr="00C1398A" w:rsidRDefault="005B4B63" w:rsidP="004653E2">
            <w:pPr>
              <w:spacing w:after="0" w:line="240" w:lineRule="auto"/>
              <w:jc w:val="center"/>
              <w:rPr>
                <w:rFonts w:eastAsia="Times New Roman" w:cs="Calibri"/>
                <w:b/>
                <w:bCs/>
                <w:sz w:val="20"/>
                <w:szCs w:val="20"/>
                <w:lang w:val="en-US"/>
              </w:rPr>
            </w:pPr>
            <w:r w:rsidRPr="00C1398A">
              <w:rPr>
                <w:rFonts w:eastAsia="Times New Roman" w:cs="Calibri"/>
                <w:b/>
                <w:bCs/>
                <w:sz w:val="20"/>
                <w:szCs w:val="20"/>
                <w:lang w:val="en-US"/>
              </w:rPr>
              <w:t>Actividades Pendientes de Cumplimiento</w:t>
            </w:r>
          </w:p>
        </w:tc>
        <w:tc>
          <w:tcPr>
            <w:tcW w:w="1500" w:type="dxa"/>
            <w:tcBorders>
              <w:top w:val="single" w:sz="8" w:space="0" w:color="auto"/>
              <w:left w:val="nil"/>
              <w:bottom w:val="single" w:sz="4" w:space="0" w:color="auto"/>
              <w:right w:val="single" w:sz="8" w:space="0" w:color="auto"/>
            </w:tcBorders>
            <w:shd w:val="clear" w:color="000000" w:fill="FFFFFF"/>
            <w:vAlign w:val="bottom"/>
            <w:hideMark/>
          </w:tcPr>
          <w:p w14:paraId="78599094" w14:textId="77777777" w:rsidR="005B4B63" w:rsidRPr="00C1398A" w:rsidRDefault="005B4B63" w:rsidP="004653E2">
            <w:pPr>
              <w:spacing w:after="0" w:line="240" w:lineRule="auto"/>
              <w:jc w:val="center"/>
              <w:rPr>
                <w:rFonts w:eastAsia="Times New Roman" w:cs="Calibri"/>
                <w:b/>
                <w:bCs/>
                <w:color w:val="000000"/>
                <w:sz w:val="20"/>
                <w:szCs w:val="20"/>
                <w:lang w:val="en-US"/>
              </w:rPr>
            </w:pPr>
            <w:r w:rsidRPr="00C1398A">
              <w:rPr>
                <w:rFonts w:eastAsia="Times New Roman" w:cs="Calibri"/>
                <w:b/>
                <w:bCs/>
                <w:color w:val="000000"/>
                <w:sz w:val="20"/>
                <w:szCs w:val="20"/>
                <w:lang w:val="en-US"/>
              </w:rPr>
              <w:t>Fecha Estimada Cumplimiento</w:t>
            </w:r>
          </w:p>
        </w:tc>
      </w:tr>
      <w:tr w:rsidR="005B4B63" w:rsidRPr="00C1398A" w14:paraId="5F7E6846" w14:textId="77777777" w:rsidTr="004653E2">
        <w:trPr>
          <w:trHeight w:val="520"/>
        </w:trPr>
        <w:tc>
          <w:tcPr>
            <w:tcW w:w="7360" w:type="dxa"/>
            <w:tcBorders>
              <w:top w:val="nil"/>
              <w:left w:val="single" w:sz="8" w:space="0" w:color="auto"/>
              <w:bottom w:val="single" w:sz="4" w:space="0" w:color="auto"/>
              <w:right w:val="single" w:sz="4" w:space="0" w:color="auto"/>
            </w:tcBorders>
            <w:shd w:val="clear" w:color="000000" w:fill="FFFFFF"/>
            <w:hideMark/>
          </w:tcPr>
          <w:p w14:paraId="3C3B30FF" w14:textId="77777777" w:rsidR="005B4B63" w:rsidRPr="00C1398A" w:rsidRDefault="005B4B63" w:rsidP="004653E2">
            <w:pPr>
              <w:spacing w:after="0" w:line="240" w:lineRule="auto"/>
              <w:rPr>
                <w:rFonts w:eastAsia="Times New Roman" w:cs="Calibri"/>
                <w:color w:val="000000"/>
                <w:sz w:val="20"/>
                <w:szCs w:val="20"/>
              </w:rPr>
            </w:pPr>
            <w:r w:rsidRPr="00C1398A">
              <w:rPr>
                <w:rFonts w:eastAsia="Times New Roman" w:cs="Calibri"/>
                <w:color w:val="000000"/>
                <w:sz w:val="20"/>
                <w:szCs w:val="20"/>
              </w:rPr>
              <w:t>Suministrar la información y solicitar el registro contable del Comité de Deportes, con base en las NICSP y catálogo de cuentas de CN.</w:t>
            </w:r>
          </w:p>
        </w:tc>
        <w:tc>
          <w:tcPr>
            <w:tcW w:w="1500" w:type="dxa"/>
            <w:tcBorders>
              <w:top w:val="nil"/>
              <w:left w:val="nil"/>
              <w:bottom w:val="single" w:sz="4" w:space="0" w:color="auto"/>
              <w:right w:val="single" w:sz="8" w:space="0" w:color="auto"/>
            </w:tcBorders>
            <w:shd w:val="clear" w:color="000000" w:fill="FFFFFF"/>
            <w:noWrap/>
            <w:vAlign w:val="center"/>
            <w:hideMark/>
          </w:tcPr>
          <w:p w14:paraId="45D38ABE" w14:textId="6D4BF589" w:rsidR="005B4B63" w:rsidRPr="00C1398A" w:rsidRDefault="00E547CB" w:rsidP="004653E2">
            <w:pPr>
              <w:spacing w:after="0" w:line="240" w:lineRule="auto"/>
              <w:jc w:val="center"/>
              <w:rPr>
                <w:rFonts w:eastAsia="Times New Roman" w:cs="Calibri"/>
                <w:sz w:val="20"/>
                <w:szCs w:val="20"/>
                <w:lang w:val="en-US"/>
              </w:rPr>
            </w:pPr>
            <w:r>
              <w:rPr>
                <w:rFonts w:eastAsia="Times New Roman" w:cs="Calibri"/>
                <w:sz w:val="20"/>
                <w:szCs w:val="20"/>
                <w:lang w:val="en-US"/>
              </w:rPr>
              <w:t>31/12</w:t>
            </w:r>
            <w:r w:rsidR="005B4B63" w:rsidRPr="00C1398A">
              <w:rPr>
                <w:rFonts w:eastAsia="Times New Roman" w:cs="Calibri"/>
                <w:sz w:val="20"/>
                <w:szCs w:val="20"/>
                <w:lang w:val="en-US"/>
              </w:rPr>
              <w:t>/24</w:t>
            </w:r>
          </w:p>
        </w:tc>
      </w:tr>
      <w:tr w:rsidR="00E547CB" w:rsidRPr="00C1398A" w14:paraId="030489DB" w14:textId="77777777" w:rsidTr="00764935">
        <w:trPr>
          <w:trHeight w:val="520"/>
        </w:trPr>
        <w:tc>
          <w:tcPr>
            <w:tcW w:w="7360" w:type="dxa"/>
            <w:tcBorders>
              <w:top w:val="nil"/>
              <w:left w:val="single" w:sz="8" w:space="0" w:color="auto"/>
              <w:bottom w:val="single" w:sz="4" w:space="0" w:color="auto"/>
              <w:right w:val="single" w:sz="4" w:space="0" w:color="auto"/>
            </w:tcBorders>
            <w:shd w:val="clear" w:color="000000" w:fill="FFFFFF"/>
            <w:hideMark/>
          </w:tcPr>
          <w:p w14:paraId="0F7329B0" w14:textId="77777777" w:rsidR="00E547CB" w:rsidRPr="00C1398A" w:rsidRDefault="00E547CB" w:rsidP="00E547CB">
            <w:pPr>
              <w:spacing w:after="0" w:line="240" w:lineRule="auto"/>
              <w:rPr>
                <w:rFonts w:eastAsia="Times New Roman" w:cs="Calibri"/>
                <w:color w:val="000000"/>
                <w:sz w:val="20"/>
                <w:szCs w:val="20"/>
              </w:rPr>
            </w:pPr>
            <w:r w:rsidRPr="00C1398A">
              <w:rPr>
                <w:rFonts w:eastAsia="Times New Roman" w:cs="Calibri"/>
                <w:color w:val="000000"/>
                <w:sz w:val="20"/>
                <w:szCs w:val="20"/>
              </w:rPr>
              <w:t>Solicitar al Comité de Deportes la conciliación de saldos, sobre las cuentas relacionadas con la transferencia municipal.</w:t>
            </w:r>
          </w:p>
        </w:tc>
        <w:tc>
          <w:tcPr>
            <w:tcW w:w="1500" w:type="dxa"/>
            <w:tcBorders>
              <w:top w:val="nil"/>
              <w:left w:val="nil"/>
              <w:bottom w:val="single" w:sz="4" w:space="0" w:color="auto"/>
              <w:right w:val="single" w:sz="8" w:space="0" w:color="auto"/>
            </w:tcBorders>
            <w:shd w:val="clear" w:color="000000" w:fill="FFFFFF"/>
            <w:noWrap/>
            <w:hideMark/>
          </w:tcPr>
          <w:p w14:paraId="5012F9C3" w14:textId="187A68EA" w:rsidR="00E547CB" w:rsidRPr="00C1398A" w:rsidRDefault="00E547CB" w:rsidP="00E547CB">
            <w:pPr>
              <w:spacing w:after="0" w:line="240" w:lineRule="auto"/>
              <w:jc w:val="center"/>
              <w:rPr>
                <w:rFonts w:eastAsia="Times New Roman" w:cs="Calibri"/>
                <w:sz w:val="20"/>
                <w:szCs w:val="20"/>
                <w:lang w:val="en-US"/>
              </w:rPr>
            </w:pPr>
            <w:r w:rsidRPr="00791B06">
              <w:rPr>
                <w:rFonts w:eastAsia="Times New Roman" w:cs="Calibri"/>
                <w:sz w:val="20"/>
                <w:szCs w:val="20"/>
                <w:lang w:val="en-US"/>
              </w:rPr>
              <w:t>31/12/24</w:t>
            </w:r>
          </w:p>
        </w:tc>
      </w:tr>
      <w:tr w:rsidR="00E547CB" w:rsidRPr="00C1398A" w14:paraId="4B52FEE2" w14:textId="77777777" w:rsidTr="00764935">
        <w:trPr>
          <w:trHeight w:val="520"/>
        </w:trPr>
        <w:tc>
          <w:tcPr>
            <w:tcW w:w="7360" w:type="dxa"/>
            <w:tcBorders>
              <w:top w:val="nil"/>
              <w:left w:val="single" w:sz="8" w:space="0" w:color="auto"/>
              <w:bottom w:val="single" w:sz="4" w:space="0" w:color="auto"/>
              <w:right w:val="single" w:sz="4" w:space="0" w:color="auto"/>
            </w:tcBorders>
            <w:shd w:val="clear" w:color="000000" w:fill="FFFFFF"/>
            <w:hideMark/>
          </w:tcPr>
          <w:p w14:paraId="60294C21" w14:textId="77777777" w:rsidR="00E547CB" w:rsidRPr="00C1398A" w:rsidRDefault="00E547CB" w:rsidP="00E547CB">
            <w:pPr>
              <w:spacing w:after="0" w:line="240" w:lineRule="auto"/>
              <w:rPr>
                <w:rFonts w:eastAsia="Times New Roman" w:cs="Calibri"/>
                <w:color w:val="000000"/>
                <w:sz w:val="20"/>
                <w:szCs w:val="20"/>
              </w:rPr>
            </w:pPr>
            <w:r w:rsidRPr="00C1398A">
              <w:rPr>
                <w:rFonts w:eastAsia="Times New Roman" w:cs="Calibri"/>
                <w:color w:val="000000"/>
                <w:sz w:val="20"/>
                <w:szCs w:val="20"/>
              </w:rPr>
              <w:t>Revisar y comparar los Estados Financieros, e identificar cuáles cuentas deberán eliminarse para evitar duplicidad de registro en la consolidación.</w:t>
            </w:r>
          </w:p>
        </w:tc>
        <w:tc>
          <w:tcPr>
            <w:tcW w:w="1500" w:type="dxa"/>
            <w:tcBorders>
              <w:top w:val="nil"/>
              <w:left w:val="nil"/>
              <w:bottom w:val="single" w:sz="4" w:space="0" w:color="auto"/>
              <w:right w:val="single" w:sz="8" w:space="0" w:color="auto"/>
            </w:tcBorders>
            <w:shd w:val="clear" w:color="000000" w:fill="FFFFFF"/>
            <w:noWrap/>
            <w:hideMark/>
          </w:tcPr>
          <w:p w14:paraId="2B5A8953" w14:textId="453277A7" w:rsidR="00E547CB" w:rsidRPr="00C1398A" w:rsidRDefault="00E547CB" w:rsidP="00E547CB">
            <w:pPr>
              <w:spacing w:after="0" w:line="240" w:lineRule="auto"/>
              <w:jc w:val="center"/>
              <w:rPr>
                <w:rFonts w:eastAsia="Times New Roman" w:cs="Calibri"/>
                <w:sz w:val="20"/>
                <w:szCs w:val="20"/>
                <w:lang w:val="en-US"/>
              </w:rPr>
            </w:pPr>
            <w:r w:rsidRPr="00791B06">
              <w:rPr>
                <w:rFonts w:eastAsia="Times New Roman" w:cs="Calibri"/>
                <w:sz w:val="20"/>
                <w:szCs w:val="20"/>
                <w:lang w:val="en-US"/>
              </w:rPr>
              <w:t>31/12/24</w:t>
            </w:r>
          </w:p>
        </w:tc>
      </w:tr>
      <w:tr w:rsidR="00E547CB" w:rsidRPr="00C1398A" w14:paraId="30C59AF8" w14:textId="77777777" w:rsidTr="00764935">
        <w:trPr>
          <w:trHeight w:val="520"/>
        </w:trPr>
        <w:tc>
          <w:tcPr>
            <w:tcW w:w="7360" w:type="dxa"/>
            <w:tcBorders>
              <w:top w:val="nil"/>
              <w:left w:val="single" w:sz="8" w:space="0" w:color="auto"/>
              <w:bottom w:val="single" w:sz="4" w:space="0" w:color="auto"/>
              <w:right w:val="single" w:sz="4" w:space="0" w:color="auto"/>
            </w:tcBorders>
            <w:shd w:val="clear" w:color="000000" w:fill="FFFFFF"/>
            <w:hideMark/>
          </w:tcPr>
          <w:p w14:paraId="4A08F3C0" w14:textId="77777777" w:rsidR="00E547CB" w:rsidRPr="00C1398A" w:rsidRDefault="00E547CB" w:rsidP="00E547CB">
            <w:pPr>
              <w:spacing w:after="0" w:line="240" w:lineRule="auto"/>
              <w:rPr>
                <w:rFonts w:eastAsia="Times New Roman" w:cs="Calibri"/>
                <w:color w:val="000000"/>
                <w:sz w:val="20"/>
                <w:szCs w:val="20"/>
              </w:rPr>
            </w:pPr>
            <w:r w:rsidRPr="00C1398A">
              <w:rPr>
                <w:rFonts w:eastAsia="Times New Roman" w:cs="Calibri"/>
                <w:color w:val="000000"/>
                <w:sz w:val="20"/>
                <w:szCs w:val="20"/>
              </w:rPr>
              <w:t>Realizar los ajustes correspondientes de acuerdo con el resultado de la revisión de los saldos y movimientos, por efecto de la transferencia</w:t>
            </w:r>
          </w:p>
        </w:tc>
        <w:tc>
          <w:tcPr>
            <w:tcW w:w="1500" w:type="dxa"/>
            <w:tcBorders>
              <w:top w:val="nil"/>
              <w:left w:val="nil"/>
              <w:bottom w:val="single" w:sz="4" w:space="0" w:color="auto"/>
              <w:right w:val="single" w:sz="8" w:space="0" w:color="auto"/>
            </w:tcBorders>
            <w:shd w:val="clear" w:color="000000" w:fill="FFFFFF"/>
            <w:noWrap/>
            <w:hideMark/>
          </w:tcPr>
          <w:p w14:paraId="547BE9CF" w14:textId="77DC2D8A" w:rsidR="00E547CB" w:rsidRPr="00C1398A" w:rsidRDefault="00E547CB" w:rsidP="00E547CB">
            <w:pPr>
              <w:spacing w:after="0" w:line="240" w:lineRule="auto"/>
              <w:jc w:val="center"/>
              <w:rPr>
                <w:rFonts w:eastAsia="Times New Roman" w:cs="Calibri"/>
                <w:sz w:val="20"/>
                <w:szCs w:val="20"/>
                <w:lang w:val="en-US"/>
              </w:rPr>
            </w:pPr>
            <w:r w:rsidRPr="00791B06">
              <w:rPr>
                <w:rFonts w:eastAsia="Times New Roman" w:cs="Calibri"/>
                <w:sz w:val="20"/>
                <w:szCs w:val="20"/>
                <w:lang w:val="en-US"/>
              </w:rPr>
              <w:t>31/12/24</w:t>
            </w:r>
          </w:p>
        </w:tc>
      </w:tr>
      <w:tr w:rsidR="00E547CB" w:rsidRPr="00C1398A" w14:paraId="56A67DD7" w14:textId="77777777" w:rsidTr="00764935">
        <w:trPr>
          <w:trHeight w:val="520"/>
        </w:trPr>
        <w:tc>
          <w:tcPr>
            <w:tcW w:w="7360" w:type="dxa"/>
            <w:tcBorders>
              <w:top w:val="nil"/>
              <w:left w:val="single" w:sz="8" w:space="0" w:color="auto"/>
              <w:bottom w:val="single" w:sz="4" w:space="0" w:color="auto"/>
              <w:right w:val="single" w:sz="4" w:space="0" w:color="auto"/>
            </w:tcBorders>
            <w:shd w:val="clear" w:color="000000" w:fill="FFFFFF"/>
            <w:hideMark/>
          </w:tcPr>
          <w:p w14:paraId="27D6DDBC" w14:textId="77777777" w:rsidR="00E547CB" w:rsidRPr="00C1398A" w:rsidRDefault="00E547CB" w:rsidP="00E547CB">
            <w:pPr>
              <w:spacing w:after="0" w:line="240" w:lineRule="auto"/>
              <w:rPr>
                <w:rFonts w:eastAsia="Times New Roman" w:cs="Calibri"/>
                <w:color w:val="000000"/>
                <w:sz w:val="20"/>
                <w:szCs w:val="20"/>
              </w:rPr>
            </w:pPr>
            <w:r w:rsidRPr="00C1398A">
              <w:rPr>
                <w:rFonts w:eastAsia="Times New Roman" w:cs="Calibri"/>
                <w:color w:val="000000"/>
                <w:sz w:val="20"/>
                <w:szCs w:val="20"/>
              </w:rPr>
              <w:t>Realizar las operaciones aritméticas de agregación de saldos, para obtener los estados financieros consolidados</w:t>
            </w:r>
          </w:p>
        </w:tc>
        <w:tc>
          <w:tcPr>
            <w:tcW w:w="1500" w:type="dxa"/>
            <w:tcBorders>
              <w:top w:val="nil"/>
              <w:left w:val="nil"/>
              <w:bottom w:val="single" w:sz="4" w:space="0" w:color="auto"/>
              <w:right w:val="single" w:sz="8" w:space="0" w:color="auto"/>
            </w:tcBorders>
            <w:shd w:val="clear" w:color="000000" w:fill="FFFFFF"/>
            <w:noWrap/>
            <w:hideMark/>
          </w:tcPr>
          <w:p w14:paraId="79052D44" w14:textId="32A11BA6" w:rsidR="00E547CB" w:rsidRPr="00C1398A" w:rsidRDefault="00E547CB" w:rsidP="00E547CB">
            <w:pPr>
              <w:spacing w:after="0" w:line="240" w:lineRule="auto"/>
              <w:jc w:val="center"/>
              <w:rPr>
                <w:rFonts w:eastAsia="Times New Roman" w:cs="Calibri"/>
                <w:sz w:val="20"/>
                <w:szCs w:val="20"/>
                <w:lang w:val="en-US"/>
              </w:rPr>
            </w:pPr>
            <w:r w:rsidRPr="00791B06">
              <w:rPr>
                <w:rFonts w:eastAsia="Times New Roman" w:cs="Calibri"/>
                <w:sz w:val="20"/>
                <w:szCs w:val="20"/>
                <w:lang w:val="en-US"/>
              </w:rPr>
              <w:t>31/12/24</w:t>
            </w:r>
          </w:p>
        </w:tc>
      </w:tr>
      <w:tr w:rsidR="00E547CB" w:rsidRPr="00C1398A" w14:paraId="76F19044" w14:textId="77777777" w:rsidTr="00764935">
        <w:trPr>
          <w:trHeight w:val="300"/>
        </w:trPr>
        <w:tc>
          <w:tcPr>
            <w:tcW w:w="7360" w:type="dxa"/>
            <w:tcBorders>
              <w:top w:val="nil"/>
              <w:left w:val="single" w:sz="8" w:space="0" w:color="auto"/>
              <w:bottom w:val="single" w:sz="8" w:space="0" w:color="auto"/>
              <w:right w:val="single" w:sz="4" w:space="0" w:color="auto"/>
            </w:tcBorders>
            <w:shd w:val="clear" w:color="000000" w:fill="FFFFFF"/>
            <w:hideMark/>
          </w:tcPr>
          <w:p w14:paraId="4C368FED" w14:textId="77777777" w:rsidR="00E547CB" w:rsidRPr="00C1398A" w:rsidRDefault="00E547CB" w:rsidP="00E547CB">
            <w:pPr>
              <w:spacing w:after="0" w:line="240" w:lineRule="auto"/>
              <w:rPr>
                <w:rFonts w:eastAsia="Times New Roman" w:cs="Calibri"/>
                <w:color w:val="000000"/>
                <w:sz w:val="20"/>
                <w:szCs w:val="20"/>
              </w:rPr>
            </w:pPr>
            <w:r w:rsidRPr="00C1398A">
              <w:rPr>
                <w:rFonts w:eastAsia="Times New Roman" w:cs="Calibri"/>
                <w:color w:val="000000"/>
                <w:sz w:val="20"/>
                <w:szCs w:val="20"/>
              </w:rPr>
              <w:t>Realizar las revelaciones relacionadas con la consolidación, según la norma</w:t>
            </w:r>
          </w:p>
        </w:tc>
        <w:tc>
          <w:tcPr>
            <w:tcW w:w="1500" w:type="dxa"/>
            <w:tcBorders>
              <w:top w:val="nil"/>
              <w:left w:val="nil"/>
              <w:bottom w:val="single" w:sz="8" w:space="0" w:color="auto"/>
              <w:right w:val="single" w:sz="8" w:space="0" w:color="auto"/>
            </w:tcBorders>
            <w:shd w:val="clear" w:color="000000" w:fill="FFFFFF"/>
            <w:noWrap/>
            <w:hideMark/>
          </w:tcPr>
          <w:p w14:paraId="643C435F" w14:textId="649CE6F8" w:rsidR="00E547CB" w:rsidRPr="00C1398A" w:rsidRDefault="00E547CB" w:rsidP="00E547CB">
            <w:pPr>
              <w:spacing w:after="0" w:line="240" w:lineRule="auto"/>
              <w:jc w:val="center"/>
              <w:rPr>
                <w:rFonts w:eastAsia="Times New Roman" w:cs="Calibri"/>
                <w:sz w:val="20"/>
                <w:szCs w:val="20"/>
                <w:lang w:val="en-US"/>
              </w:rPr>
            </w:pPr>
            <w:r w:rsidRPr="00791B06">
              <w:rPr>
                <w:rFonts w:eastAsia="Times New Roman" w:cs="Calibri"/>
                <w:sz w:val="20"/>
                <w:szCs w:val="20"/>
                <w:lang w:val="en-US"/>
              </w:rPr>
              <w:t>31/12/24</w:t>
            </w:r>
          </w:p>
        </w:tc>
      </w:tr>
    </w:tbl>
    <w:p w14:paraId="2C386B1A" w14:textId="77777777" w:rsidR="005B4B63" w:rsidRDefault="005B4B63" w:rsidP="005B4B63">
      <w:pPr>
        <w:spacing w:after="0" w:line="240" w:lineRule="auto"/>
        <w:rPr>
          <w:szCs w:val="24"/>
        </w:rPr>
      </w:pPr>
    </w:p>
    <w:p w14:paraId="0B719B97" w14:textId="77777777" w:rsidR="005B4B63" w:rsidRPr="005C561B" w:rsidRDefault="005B4B63" w:rsidP="005B4B63">
      <w:pPr>
        <w:spacing w:after="0" w:line="240" w:lineRule="auto"/>
        <w:rPr>
          <w:szCs w:val="24"/>
        </w:rPr>
      </w:pPr>
    </w:p>
    <w:p w14:paraId="143B18BE" w14:textId="77777777" w:rsidR="00A649A4" w:rsidRPr="00A649A4" w:rsidRDefault="00A649A4" w:rsidP="00B5023C">
      <w:pPr>
        <w:rPr>
          <w:rFonts w:eastAsia="Times New Roman"/>
          <w:smallCaps/>
          <w:color w:val="002060"/>
          <w:szCs w:val="24"/>
          <w:lang w:eastAsia="es-CR"/>
        </w:rPr>
      </w:pPr>
    </w:p>
    <w:p w14:paraId="3A30DF41" w14:textId="60D22BEE" w:rsidR="00A649A4" w:rsidRPr="00A649A4" w:rsidRDefault="00AA3177" w:rsidP="00AA3177">
      <w:pPr>
        <w:pStyle w:val="Ttulo2"/>
        <w:spacing w:after="240"/>
        <w:rPr>
          <w:rFonts w:eastAsia="Times New Roman"/>
          <w:lang w:eastAsia="es-CR"/>
        </w:rPr>
      </w:pPr>
      <w:bookmarkStart w:id="112" w:name="_Toc173245215"/>
      <w:r w:rsidRPr="00A649A4">
        <w:rPr>
          <w:rFonts w:eastAsia="Times New Roman"/>
          <w:lang w:eastAsia="es-CR"/>
        </w:rPr>
        <w:t xml:space="preserve">NICSP 36 </w:t>
      </w:r>
      <w:r w:rsidR="00986512">
        <w:rPr>
          <w:rFonts w:eastAsia="Times New Roman"/>
          <w:lang w:eastAsia="es-CR"/>
        </w:rPr>
        <w:t xml:space="preserve">- </w:t>
      </w:r>
      <w:r w:rsidRPr="00A649A4">
        <w:rPr>
          <w:rFonts w:eastAsia="Times New Roman"/>
          <w:lang w:eastAsia="es-CR"/>
        </w:rPr>
        <w:t>INVERSIONES EN ASOCIADAS Y NEGOCIOS CONJUNTOS:</w:t>
      </w:r>
      <w:bookmarkEnd w:id="111"/>
      <w:bookmarkEnd w:id="112"/>
      <w:r w:rsidRPr="00A649A4">
        <w:rPr>
          <w:rFonts w:eastAsia="Times New Roman"/>
          <w:lang w:eastAsia="es-CR"/>
        </w:rPr>
        <w:t xml:space="preserve"> </w:t>
      </w:r>
    </w:p>
    <w:p w14:paraId="4981BDDA" w14:textId="77777777" w:rsidR="00694299" w:rsidRDefault="00AA3177" w:rsidP="0021402F">
      <w:pPr>
        <w:rPr>
          <w:rFonts w:asciiTheme="minorHAnsi" w:hAnsiTheme="minorHAnsi"/>
          <w:sz w:val="22"/>
        </w:rPr>
      </w:pPr>
      <w:r w:rsidRPr="00405DBC">
        <w:t xml:space="preserve">De acuerdo con la </w:t>
      </w:r>
      <w:r w:rsidRPr="00A649A4">
        <w:rPr>
          <w:lang w:val="es-MX"/>
        </w:rPr>
        <w:t>NICSP 36</w:t>
      </w:r>
      <w:r>
        <w:rPr>
          <w:lang w:val="es-MX"/>
        </w:rPr>
        <w:t xml:space="preserve"> -</w:t>
      </w:r>
      <w:r w:rsidRPr="00A649A4">
        <w:rPr>
          <w:lang w:val="es-MX"/>
        </w:rPr>
        <w:t xml:space="preserve"> Inversiones en asociadas y negocios conjuntos</w:t>
      </w:r>
      <w:r>
        <w:t>, i</w:t>
      </w:r>
      <w:r w:rsidRPr="00405DBC">
        <w:t>ndicar si este rubro afecta SI o NO a la institución, además del porcentaje de avance</w:t>
      </w:r>
      <w:r>
        <w:t xml:space="preserve"> en la implementación</w:t>
      </w:r>
      <w:r w:rsidRPr="00405DBC">
        <w:t xml:space="preserve"> que presenta</w:t>
      </w:r>
      <w:r>
        <w:rPr>
          <w:b/>
        </w:rPr>
        <w:t>.</w:t>
      </w:r>
      <w:r w:rsidR="0021402F">
        <w:fldChar w:fldCharType="begin"/>
      </w:r>
      <w:r w:rsidR="0021402F">
        <w:instrText xml:space="preserve"> LINK </w:instrText>
      </w:r>
      <w:r w:rsidR="00323752">
        <w:instrText xml:space="preserve">Excel.SheetMacroEnabled.12 "D:\\MORAVIA\\INSUMOS\\NOTAS 2024\\Formato_Notas_EEFF_Vinculadas_2024\\XXXXX_PXX_202X_Anexo_Estado_Notas_Contables_Vinculadas.xlsm" NICSP_36!F9C3:F10C4 </w:instrText>
      </w:r>
      <w:r w:rsidR="0021402F">
        <w:instrText xml:space="preserve">\a \f 4 \h </w:instrText>
      </w:r>
      <w:r w:rsidR="0021402F">
        <w:fldChar w:fldCharType="separate"/>
      </w:r>
    </w:p>
    <w:tbl>
      <w:tblPr>
        <w:tblW w:w="4100" w:type="dxa"/>
        <w:tblCellMar>
          <w:left w:w="70" w:type="dxa"/>
          <w:right w:w="70" w:type="dxa"/>
        </w:tblCellMar>
        <w:tblLook w:val="04A0" w:firstRow="1" w:lastRow="0" w:firstColumn="1" w:lastColumn="0" w:noHBand="0" w:noVBand="1"/>
      </w:tblPr>
      <w:tblGrid>
        <w:gridCol w:w="2420"/>
        <w:gridCol w:w="1680"/>
      </w:tblGrid>
      <w:tr w:rsidR="00694299" w:rsidRPr="00694299" w14:paraId="3C8BE290" w14:textId="77777777" w:rsidTr="00694299">
        <w:trPr>
          <w:divId w:val="842358076"/>
          <w:trHeight w:val="324"/>
        </w:trPr>
        <w:tc>
          <w:tcPr>
            <w:tcW w:w="242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59213C5E" w14:textId="58BC43CC"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5C0A1"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No</w:t>
            </w:r>
          </w:p>
        </w:tc>
      </w:tr>
      <w:tr w:rsidR="00694299" w:rsidRPr="00694299" w14:paraId="1CC9BC21" w14:textId="77777777" w:rsidTr="00694299">
        <w:trPr>
          <w:divId w:val="842358076"/>
          <w:trHeight w:val="324"/>
        </w:trPr>
        <w:tc>
          <w:tcPr>
            <w:tcW w:w="2420" w:type="dxa"/>
            <w:tcBorders>
              <w:top w:val="nil"/>
              <w:left w:val="single" w:sz="8" w:space="0" w:color="auto"/>
              <w:bottom w:val="single" w:sz="8" w:space="0" w:color="auto"/>
              <w:right w:val="single" w:sz="8" w:space="0" w:color="auto"/>
            </w:tcBorders>
            <w:shd w:val="clear" w:color="000000" w:fill="17365D"/>
            <w:vAlign w:val="center"/>
            <w:hideMark/>
          </w:tcPr>
          <w:p w14:paraId="5D7F94BD"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0279FC1E"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 </w:t>
            </w:r>
          </w:p>
        </w:tc>
      </w:tr>
    </w:tbl>
    <w:p w14:paraId="0B67FF8A" w14:textId="77E5BE9F" w:rsidR="0021402F" w:rsidRPr="0021402F" w:rsidRDefault="0021402F" w:rsidP="0021402F">
      <w:pPr>
        <w:rPr>
          <w:b/>
        </w:rPr>
      </w:pPr>
      <w:r>
        <w:rPr>
          <w:b/>
        </w:rPr>
        <w:fldChar w:fldCharType="end"/>
      </w:r>
    </w:p>
    <w:p w14:paraId="1A688555" w14:textId="77777777" w:rsidR="00A649A4" w:rsidRPr="00A649A4" w:rsidRDefault="00A649A4" w:rsidP="00AA3177">
      <w:pPr>
        <w:jc w:val="center"/>
        <w:rPr>
          <w:szCs w:val="24"/>
        </w:rPr>
      </w:pPr>
      <w:r w:rsidRPr="00A649A4">
        <w:rPr>
          <w:noProof/>
          <w:lang w:eastAsia="es-CR"/>
        </w:rPr>
        <w:drawing>
          <wp:inline distT="0" distB="0" distL="0" distR="0" wp14:anchorId="676CB2F8" wp14:editId="501ACB61">
            <wp:extent cx="4221480" cy="1363980"/>
            <wp:effectExtent l="0" t="0" r="0" b="0"/>
            <wp:docPr id="5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21480" cy="1363980"/>
                    </a:xfrm>
                    <a:prstGeom prst="rect">
                      <a:avLst/>
                    </a:prstGeom>
                    <a:noFill/>
                    <a:ln>
                      <a:noFill/>
                    </a:ln>
                  </pic:spPr>
                </pic:pic>
              </a:graphicData>
            </a:graphic>
          </wp:inline>
        </w:drawing>
      </w:r>
    </w:p>
    <w:p w14:paraId="36CFDFED" w14:textId="77777777" w:rsidR="00A649A4" w:rsidRPr="00A649A4" w:rsidRDefault="00A649A4" w:rsidP="00AA3177">
      <w:r w:rsidRPr="00A649A4">
        <w:t>Son inversiones en una asociada y negocios conjuntos, las realizadas por una entidad del sector público en su carácter de inversionista que le confieren los riesgos y ventajas inherentes a la participación. Esta política contable aplica cuando el inversionista tiene una influencia significativa o control conjunto sobre una participada y se trata de participaciones cuantificables en la propiedad. Esto incluye participaciones que surgen de inversiones en la estructura de patrimonio formal de otra entidad, equivalente de capital, tal como unidades en un fideicomiso de propiedades.</w:t>
      </w:r>
    </w:p>
    <w:p w14:paraId="0AD14FB8" w14:textId="61E7431A" w:rsidR="00A649A4" w:rsidRPr="00AA3177" w:rsidRDefault="00A649A4" w:rsidP="00AA3177">
      <w:pPr>
        <w:rPr>
          <w:szCs w:val="24"/>
        </w:rPr>
      </w:pPr>
      <w:r w:rsidRPr="00A649A4">
        <w:t>Una inversión en una asociada o negocio conjunto en donde el inversor tiene control conjunto o influencia significativa sobre la participada se contabilizará utilizando el método de la participación y se clasificará como un activo no corriente. Al aplicar el método de participación, se utilizarán los estados financieros más recientes disponibles de la asociada o negocio conjunto</w:t>
      </w:r>
      <w:r w:rsidRPr="00A649A4">
        <w:rPr>
          <w:szCs w:val="24"/>
        </w:rPr>
        <w:t>.</w:t>
      </w:r>
    </w:p>
    <w:p w14:paraId="22BABEBE" w14:textId="77777777" w:rsidR="00694299" w:rsidRDefault="00A649A4" w:rsidP="00AA3177">
      <w:pPr>
        <w:rPr>
          <w:rFonts w:asciiTheme="minorHAnsi" w:hAnsiTheme="minorHAnsi"/>
          <w:sz w:val="22"/>
        </w:rPr>
      </w:pPr>
      <w:r w:rsidRPr="00A649A4">
        <w:rPr>
          <w:rFonts w:eastAsia="Times New Roman"/>
          <w:color w:val="000000"/>
          <w:lang w:val="es-ES_tradnl" w:eastAsia="es-ES"/>
        </w:rPr>
        <w:t>A continuación, se indica las entidades asociadas:</w:t>
      </w:r>
      <w:r w:rsidR="00AA3177">
        <w:rPr>
          <w:lang w:val="es-ES_tradnl" w:eastAsia="es-ES"/>
        </w:rPr>
        <w:t xml:space="preserve"> </w:t>
      </w:r>
      <w:r w:rsidR="0021402F">
        <w:rPr>
          <w:lang w:val="es-ES_tradnl" w:eastAsia="es-ES"/>
        </w:rPr>
        <w:fldChar w:fldCharType="begin"/>
      </w:r>
      <w:r w:rsidR="0021402F">
        <w:rPr>
          <w:lang w:val="es-ES_tradnl" w:eastAsia="es-ES"/>
        </w:rPr>
        <w:instrText xml:space="preserve"> LINK </w:instrText>
      </w:r>
      <w:r w:rsidR="00323752">
        <w:rPr>
          <w:lang w:val="es-ES_tradnl" w:eastAsia="es-ES"/>
        </w:rPr>
        <w:instrText xml:space="preserve">Excel.SheetMacroEnabled.12 "D:\\MORAVIA\\INSUMOS\\NOTAS 2024\\Formato_Notas_EEFF_Vinculadas_2024\\XXXXX_PXX_202X_Anexo_Estado_Notas_Contables_Vinculadas.xlsm" NICSP_36!F13C6:F19C8 </w:instrText>
      </w:r>
      <w:r w:rsidR="0021402F">
        <w:rPr>
          <w:lang w:val="es-ES_tradnl" w:eastAsia="es-ES"/>
        </w:rPr>
        <w:instrText xml:space="preserve">\a \f 4 \h </w:instrText>
      </w:r>
      <w:r w:rsidR="0021402F">
        <w:rPr>
          <w:lang w:val="es-ES_tradnl" w:eastAsia="es-ES"/>
        </w:rPr>
        <w:fldChar w:fldCharType="separate"/>
      </w:r>
    </w:p>
    <w:tbl>
      <w:tblPr>
        <w:tblW w:w="6940" w:type="dxa"/>
        <w:tblCellMar>
          <w:left w:w="70" w:type="dxa"/>
          <w:right w:w="70" w:type="dxa"/>
        </w:tblCellMar>
        <w:tblLook w:val="04A0" w:firstRow="1" w:lastRow="0" w:firstColumn="1" w:lastColumn="0" w:noHBand="0" w:noVBand="1"/>
      </w:tblPr>
      <w:tblGrid>
        <w:gridCol w:w="1877"/>
        <w:gridCol w:w="3190"/>
        <w:gridCol w:w="1857"/>
        <w:gridCol w:w="146"/>
      </w:tblGrid>
      <w:tr w:rsidR="00694299" w:rsidRPr="00694299" w14:paraId="127F5987" w14:textId="77777777" w:rsidTr="00694299">
        <w:trPr>
          <w:gridAfter w:val="1"/>
          <w:divId w:val="1479494504"/>
          <w:wAfter w:w="16" w:type="dxa"/>
          <w:trHeight w:val="573"/>
        </w:trPr>
        <w:tc>
          <w:tcPr>
            <w:tcW w:w="1877"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6A3900A8" w14:textId="6FF19A56" w:rsidR="00694299" w:rsidRPr="00694299" w:rsidRDefault="00694299" w:rsidP="00694299">
            <w:pPr>
              <w:jc w:val="center"/>
              <w:rPr>
                <w:rFonts w:eastAsia="Times New Roman" w:cs="Calibri"/>
                <w:color w:val="FFFFFF"/>
                <w:szCs w:val="24"/>
                <w:lang w:eastAsia="es-CR"/>
              </w:rPr>
            </w:pPr>
            <w:r w:rsidRPr="00694299">
              <w:rPr>
                <w:rFonts w:eastAsia="Times New Roman" w:cs="Calibri"/>
                <w:color w:val="FFFFFF"/>
                <w:szCs w:val="24"/>
                <w:lang w:eastAsia="es-CR"/>
              </w:rPr>
              <w:t>Código Institución</w:t>
            </w:r>
          </w:p>
        </w:tc>
        <w:tc>
          <w:tcPr>
            <w:tcW w:w="3190"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27DB2345"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Nombre institución</w:t>
            </w:r>
          </w:p>
        </w:tc>
        <w:tc>
          <w:tcPr>
            <w:tcW w:w="1857"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1CE4D9AC"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 Participación</w:t>
            </w:r>
          </w:p>
        </w:tc>
      </w:tr>
      <w:tr w:rsidR="00694299" w:rsidRPr="00694299" w14:paraId="7CBB908D" w14:textId="77777777" w:rsidTr="00694299">
        <w:trPr>
          <w:divId w:val="1479494504"/>
          <w:trHeight w:val="288"/>
        </w:trPr>
        <w:tc>
          <w:tcPr>
            <w:tcW w:w="1877" w:type="dxa"/>
            <w:vMerge/>
            <w:tcBorders>
              <w:top w:val="single" w:sz="8" w:space="0" w:color="auto"/>
              <w:left w:val="single" w:sz="8" w:space="0" w:color="auto"/>
              <w:bottom w:val="single" w:sz="8" w:space="0" w:color="000000"/>
              <w:right w:val="single" w:sz="8" w:space="0" w:color="auto"/>
            </w:tcBorders>
            <w:vAlign w:val="center"/>
            <w:hideMark/>
          </w:tcPr>
          <w:p w14:paraId="3A9A52CE" w14:textId="77777777" w:rsidR="00694299" w:rsidRPr="00694299" w:rsidRDefault="00694299" w:rsidP="00694299">
            <w:pPr>
              <w:spacing w:after="0" w:line="240" w:lineRule="auto"/>
              <w:jc w:val="left"/>
              <w:rPr>
                <w:rFonts w:eastAsia="Times New Roman" w:cs="Calibri"/>
                <w:color w:val="FFFFFF"/>
                <w:szCs w:val="24"/>
                <w:lang w:eastAsia="es-CR"/>
              </w:rPr>
            </w:pPr>
          </w:p>
        </w:tc>
        <w:tc>
          <w:tcPr>
            <w:tcW w:w="3190" w:type="dxa"/>
            <w:vMerge/>
            <w:tcBorders>
              <w:top w:val="single" w:sz="8" w:space="0" w:color="auto"/>
              <w:left w:val="single" w:sz="8" w:space="0" w:color="auto"/>
              <w:bottom w:val="single" w:sz="8" w:space="0" w:color="000000"/>
              <w:right w:val="single" w:sz="8" w:space="0" w:color="auto"/>
            </w:tcBorders>
            <w:vAlign w:val="center"/>
            <w:hideMark/>
          </w:tcPr>
          <w:p w14:paraId="4D677C9B" w14:textId="77777777" w:rsidR="00694299" w:rsidRPr="00694299" w:rsidRDefault="00694299" w:rsidP="00694299">
            <w:pPr>
              <w:spacing w:after="0" w:line="240" w:lineRule="auto"/>
              <w:jc w:val="left"/>
              <w:rPr>
                <w:rFonts w:eastAsia="Times New Roman" w:cs="Calibri"/>
                <w:color w:val="FFFFFF"/>
                <w:szCs w:val="24"/>
                <w:lang w:eastAsia="es-CR"/>
              </w:rPr>
            </w:pPr>
          </w:p>
        </w:tc>
        <w:tc>
          <w:tcPr>
            <w:tcW w:w="1857" w:type="dxa"/>
            <w:vMerge/>
            <w:tcBorders>
              <w:top w:val="single" w:sz="8" w:space="0" w:color="auto"/>
              <w:left w:val="single" w:sz="8" w:space="0" w:color="auto"/>
              <w:bottom w:val="single" w:sz="8" w:space="0" w:color="000000"/>
              <w:right w:val="single" w:sz="8" w:space="0" w:color="auto"/>
            </w:tcBorders>
            <w:vAlign w:val="center"/>
            <w:hideMark/>
          </w:tcPr>
          <w:p w14:paraId="162422FF" w14:textId="77777777" w:rsidR="00694299" w:rsidRPr="00694299" w:rsidRDefault="00694299" w:rsidP="00694299">
            <w:pPr>
              <w:spacing w:after="0" w:line="240" w:lineRule="auto"/>
              <w:jc w:val="left"/>
              <w:rPr>
                <w:rFonts w:eastAsia="Times New Roman" w:cs="Calibri"/>
                <w:color w:val="FFFFFF"/>
                <w:szCs w:val="24"/>
                <w:lang w:eastAsia="es-CR"/>
              </w:rPr>
            </w:pPr>
          </w:p>
        </w:tc>
        <w:tc>
          <w:tcPr>
            <w:tcW w:w="16" w:type="dxa"/>
            <w:tcBorders>
              <w:top w:val="nil"/>
              <w:left w:val="nil"/>
              <w:bottom w:val="nil"/>
              <w:right w:val="nil"/>
            </w:tcBorders>
            <w:shd w:val="clear" w:color="auto" w:fill="auto"/>
            <w:noWrap/>
            <w:vAlign w:val="bottom"/>
            <w:hideMark/>
          </w:tcPr>
          <w:p w14:paraId="035F5E91" w14:textId="77777777" w:rsidR="00694299" w:rsidRPr="00694299" w:rsidRDefault="00694299" w:rsidP="00694299">
            <w:pPr>
              <w:spacing w:after="0" w:line="240" w:lineRule="auto"/>
              <w:jc w:val="center"/>
              <w:rPr>
                <w:rFonts w:eastAsia="Times New Roman" w:cs="Calibri"/>
                <w:color w:val="FFFFFF"/>
                <w:szCs w:val="24"/>
                <w:lang w:eastAsia="es-CR"/>
              </w:rPr>
            </w:pPr>
          </w:p>
        </w:tc>
      </w:tr>
      <w:tr w:rsidR="00694299" w:rsidRPr="00694299" w14:paraId="24BED602" w14:textId="77777777" w:rsidTr="00694299">
        <w:trPr>
          <w:divId w:val="1479494504"/>
          <w:trHeight w:val="288"/>
        </w:trPr>
        <w:tc>
          <w:tcPr>
            <w:tcW w:w="1877" w:type="dxa"/>
            <w:tcBorders>
              <w:top w:val="nil"/>
              <w:left w:val="single" w:sz="8" w:space="0" w:color="auto"/>
              <w:bottom w:val="single" w:sz="8" w:space="0" w:color="auto"/>
              <w:right w:val="single" w:sz="8" w:space="0" w:color="auto"/>
            </w:tcBorders>
            <w:shd w:val="clear" w:color="auto" w:fill="auto"/>
            <w:noWrap/>
            <w:vAlign w:val="center"/>
            <w:hideMark/>
          </w:tcPr>
          <w:p w14:paraId="42A5740C"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3190" w:type="dxa"/>
            <w:tcBorders>
              <w:top w:val="nil"/>
              <w:left w:val="nil"/>
              <w:bottom w:val="single" w:sz="8" w:space="0" w:color="auto"/>
              <w:right w:val="single" w:sz="8" w:space="0" w:color="auto"/>
            </w:tcBorders>
            <w:shd w:val="clear" w:color="auto" w:fill="auto"/>
            <w:noWrap/>
            <w:vAlign w:val="center"/>
            <w:hideMark/>
          </w:tcPr>
          <w:p w14:paraId="6061CFE4"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857" w:type="dxa"/>
            <w:tcBorders>
              <w:top w:val="nil"/>
              <w:left w:val="nil"/>
              <w:bottom w:val="single" w:sz="8" w:space="0" w:color="auto"/>
              <w:right w:val="single" w:sz="8" w:space="0" w:color="auto"/>
            </w:tcBorders>
            <w:shd w:val="clear" w:color="auto" w:fill="auto"/>
            <w:noWrap/>
            <w:vAlign w:val="center"/>
            <w:hideMark/>
          </w:tcPr>
          <w:p w14:paraId="23714E5F"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6" w:type="dxa"/>
            <w:vAlign w:val="center"/>
            <w:hideMark/>
          </w:tcPr>
          <w:p w14:paraId="4CD8659B" w14:textId="77777777" w:rsidR="00694299" w:rsidRPr="00694299" w:rsidRDefault="00694299" w:rsidP="00694299">
            <w:pPr>
              <w:spacing w:after="0" w:line="240" w:lineRule="auto"/>
              <w:jc w:val="left"/>
              <w:rPr>
                <w:rFonts w:ascii="Times New Roman" w:eastAsia="Times New Roman" w:hAnsi="Times New Roman" w:cs="Times New Roman"/>
                <w:sz w:val="20"/>
                <w:szCs w:val="20"/>
                <w:lang w:eastAsia="es-CR"/>
              </w:rPr>
            </w:pPr>
          </w:p>
        </w:tc>
      </w:tr>
      <w:tr w:rsidR="00694299" w:rsidRPr="00694299" w14:paraId="42752F22" w14:textId="77777777" w:rsidTr="00694299">
        <w:trPr>
          <w:divId w:val="1479494504"/>
          <w:trHeight w:val="288"/>
        </w:trPr>
        <w:tc>
          <w:tcPr>
            <w:tcW w:w="1877" w:type="dxa"/>
            <w:tcBorders>
              <w:top w:val="nil"/>
              <w:left w:val="single" w:sz="8" w:space="0" w:color="auto"/>
              <w:bottom w:val="single" w:sz="8" w:space="0" w:color="auto"/>
              <w:right w:val="single" w:sz="8" w:space="0" w:color="auto"/>
            </w:tcBorders>
            <w:shd w:val="clear" w:color="auto" w:fill="auto"/>
            <w:noWrap/>
            <w:vAlign w:val="center"/>
            <w:hideMark/>
          </w:tcPr>
          <w:p w14:paraId="4824D761"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3190" w:type="dxa"/>
            <w:tcBorders>
              <w:top w:val="nil"/>
              <w:left w:val="nil"/>
              <w:bottom w:val="single" w:sz="8" w:space="0" w:color="auto"/>
              <w:right w:val="single" w:sz="8" w:space="0" w:color="auto"/>
            </w:tcBorders>
            <w:shd w:val="clear" w:color="auto" w:fill="auto"/>
            <w:noWrap/>
            <w:vAlign w:val="center"/>
            <w:hideMark/>
          </w:tcPr>
          <w:p w14:paraId="4867771C"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857" w:type="dxa"/>
            <w:tcBorders>
              <w:top w:val="nil"/>
              <w:left w:val="nil"/>
              <w:bottom w:val="single" w:sz="8" w:space="0" w:color="auto"/>
              <w:right w:val="single" w:sz="8" w:space="0" w:color="auto"/>
            </w:tcBorders>
            <w:shd w:val="clear" w:color="auto" w:fill="auto"/>
            <w:noWrap/>
            <w:vAlign w:val="center"/>
            <w:hideMark/>
          </w:tcPr>
          <w:p w14:paraId="445142F7"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6" w:type="dxa"/>
            <w:vAlign w:val="center"/>
            <w:hideMark/>
          </w:tcPr>
          <w:p w14:paraId="7C82D6BE" w14:textId="77777777" w:rsidR="00694299" w:rsidRPr="00694299" w:rsidRDefault="00694299" w:rsidP="00694299">
            <w:pPr>
              <w:spacing w:after="0" w:line="240" w:lineRule="auto"/>
              <w:jc w:val="left"/>
              <w:rPr>
                <w:rFonts w:ascii="Times New Roman" w:eastAsia="Times New Roman" w:hAnsi="Times New Roman" w:cs="Times New Roman"/>
                <w:sz w:val="20"/>
                <w:szCs w:val="20"/>
                <w:lang w:eastAsia="es-CR"/>
              </w:rPr>
            </w:pPr>
          </w:p>
        </w:tc>
      </w:tr>
      <w:tr w:rsidR="00694299" w:rsidRPr="00694299" w14:paraId="37574B2D" w14:textId="77777777" w:rsidTr="00694299">
        <w:trPr>
          <w:divId w:val="1479494504"/>
          <w:trHeight w:val="288"/>
        </w:trPr>
        <w:tc>
          <w:tcPr>
            <w:tcW w:w="1877" w:type="dxa"/>
            <w:tcBorders>
              <w:top w:val="nil"/>
              <w:left w:val="single" w:sz="8" w:space="0" w:color="auto"/>
              <w:bottom w:val="single" w:sz="8" w:space="0" w:color="auto"/>
              <w:right w:val="single" w:sz="8" w:space="0" w:color="auto"/>
            </w:tcBorders>
            <w:shd w:val="clear" w:color="auto" w:fill="auto"/>
            <w:noWrap/>
            <w:vAlign w:val="center"/>
            <w:hideMark/>
          </w:tcPr>
          <w:p w14:paraId="249E0BC9"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3190" w:type="dxa"/>
            <w:tcBorders>
              <w:top w:val="nil"/>
              <w:left w:val="nil"/>
              <w:bottom w:val="single" w:sz="8" w:space="0" w:color="auto"/>
              <w:right w:val="single" w:sz="8" w:space="0" w:color="auto"/>
            </w:tcBorders>
            <w:shd w:val="clear" w:color="auto" w:fill="auto"/>
            <w:noWrap/>
            <w:vAlign w:val="center"/>
            <w:hideMark/>
          </w:tcPr>
          <w:p w14:paraId="5E36EF17"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857" w:type="dxa"/>
            <w:tcBorders>
              <w:top w:val="nil"/>
              <w:left w:val="nil"/>
              <w:bottom w:val="single" w:sz="8" w:space="0" w:color="auto"/>
              <w:right w:val="single" w:sz="8" w:space="0" w:color="auto"/>
            </w:tcBorders>
            <w:shd w:val="clear" w:color="auto" w:fill="auto"/>
            <w:noWrap/>
            <w:vAlign w:val="center"/>
            <w:hideMark/>
          </w:tcPr>
          <w:p w14:paraId="7C7F33B9"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6" w:type="dxa"/>
            <w:vAlign w:val="center"/>
            <w:hideMark/>
          </w:tcPr>
          <w:p w14:paraId="36F02F67" w14:textId="77777777" w:rsidR="00694299" w:rsidRPr="00694299" w:rsidRDefault="00694299" w:rsidP="00694299">
            <w:pPr>
              <w:spacing w:after="0" w:line="240" w:lineRule="auto"/>
              <w:jc w:val="left"/>
              <w:rPr>
                <w:rFonts w:ascii="Times New Roman" w:eastAsia="Times New Roman" w:hAnsi="Times New Roman" w:cs="Times New Roman"/>
                <w:sz w:val="20"/>
                <w:szCs w:val="20"/>
                <w:lang w:eastAsia="es-CR"/>
              </w:rPr>
            </w:pPr>
          </w:p>
        </w:tc>
      </w:tr>
      <w:tr w:rsidR="00694299" w:rsidRPr="00694299" w14:paraId="3CC53F70" w14:textId="77777777" w:rsidTr="00694299">
        <w:trPr>
          <w:divId w:val="1479494504"/>
          <w:trHeight w:val="288"/>
        </w:trPr>
        <w:tc>
          <w:tcPr>
            <w:tcW w:w="1877" w:type="dxa"/>
            <w:tcBorders>
              <w:top w:val="nil"/>
              <w:left w:val="single" w:sz="8" w:space="0" w:color="auto"/>
              <w:bottom w:val="single" w:sz="8" w:space="0" w:color="auto"/>
              <w:right w:val="single" w:sz="8" w:space="0" w:color="auto"/>
            </w:tcBorders>
            <w:shd w:val="clear" w:color="auto" w:fill="auto"/>
            <w:noWrap/>
            <w:vAlign w:val="center"/>
            <w:hideMark/>
          </w:tcPr>
          <w:p w14:paraId="2AEBBF23"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3190" w:type="dxa"/>
            <w:tcBorders>
              <w:top w:val="nil"/>
              <w:left w:val="nil"/>
              <w:bottom w:val="single" w:sz="8" w:space="0" w:color="auto"/>
              <w:right w:val="single" w:sz="8" w:space="0" w:color="auto"/>
            </w:tcBorders>
            <w:shd w:val="clear" w:color="auto" w:fill="auto"/>
            <w:noWrap/>
            <w:vAlign w:val="center"/>
            <w:hideMark/>
          </w:tcPr>
          <w:p w14:paraId="311067A0"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857" w:type="dxa"/>
            <w:tcBorders>
              <w:top w:val="nil"/>
              <w:left w:val="nil"/>
              <w:bottom w:val="single" w:sz="8" w:space="0" w:color="auto"/>
              <w:right w:val="single" w:sz="8" w:space="0" w:color="auto"/>
            </w:tcBorders>
            <w:shd w:val="clear" w:color="auto" w:fill="auto"/>
            <w:noWrap/>
            <w:vAlign w:val="center"/>
            <w:hideMark/>
          </w:tcPr>
          <w:p w14:paraId="5D642AA8"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6" w:type="dxa"/>
            <w:vAlign w:val="center"/>
            <w:hideMark/>
          </w:tcPr>
          <w:p w14:paraId="66C55E73" w14:textId="77777777" w:rsidR="00694299" w:rsidRPr="00694299" w:rsidRDefault="00694299" w:rsidP="00694299">
            <w:pPr>
              <w:spacing w:after="0" w:line="240" w:lineRule="auto"/>
              <w:jc w:val="left"/>
              <w:rPr>
                <w:rFonts w:ascii="Times New Roman" w:eastAsia="Times New Roman" w:hAnsi="Times New Roman" w:cs="Times New Roman"/>
                <w:sz w:val="20"/>
                <w:szCs w:val="20"/>
                <w:lang w:eastAsia="es-CR"/>
              </w:rPr>
            </w:pPr>
          </w:p>
        </w:tc>
      </w:tr>
      <w:tr w:rsidR="00694299" w:rsidRPr="00694299" w14:paraId="7D217481" w14:textId="77777777" w:rsidTr="00694299">
        <w:trPr>
          <w:divId w:val="1479494504"/>
          <w:trHeight w:val="324"/>
        </w:trPr>
        <w:tc>
          <w:tcPr>
            <w:tcW w:w="5067" w:type="dxa"/>
            <w:gridSpan w:val="2"/>
            <w:tcBorders>
              <w:top w:val="single" w:sz="8" w:space="0" w:color="auto"/>
              <w:left w:val="single" w:sz="8" w:space="0" w:color="auto"/>
              <w:bottom w:val="single" w:sz="8" w:space="0" w:color="auto"/>
              <w:right w:val="single" w:sz="8" w:space="0" w:color="000000"/>
            </w:tcBorders>
            <w:shd w:val="clear" w:color="000000" w:fill="1F3864"/>
            <w:vAlign w:val="center"/>
            <w:hideMark/>
          </w:tcPr>
          <w:p w14:paraId="761F8779"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Total, instituciones</w:t>
            </w:r>
          </w:p>
        </w:tc>
        <w:tc>
          <w:tcPr>
            <w:tcW w:w="1857" w:type="dxa"/>
            <w:tcBorders>
              <w:top w:val="nil"/>
              <w:left w:val="nil"/>
              <w:bottom w:val="single" w:sz="8" w:space="0" w:color="auto"/>
              <w:right w:val="single" w:sz="8" w:space="0" w:color="auto"/>
            </w:tcBorders>
            <w:shd w:val="clear" w:color="auto" w:fill="auto"/>
            <w:noWrap/>
            <w:vAlign w:val="center"/>
            <w:hideMark/>
          </w:tcPr>
          <w:p w14:paraId="329D1A5A"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6" w:type="dxa"/>
            <w:vAlign w:val="center"/>
            <w:hideMark/>
          </w:tcPr>
          <w:p w14:paraId="5008D007" w14:textId="77777777" w:rsidR="00694299" w:rsidRPr="00694299" w:rsidRDefault="00694299" w:rsidP="00694299">
            <w:pPr>
              <w:spacing w:after="0" w:line="240" w:lineRule="auto"/>
              <w:jc w:val="left"/>
              <w:rPr>
                <w:rFonts w:ascii="Times New Roman" w:eastAsia="Times New Roman" w:hAnsi="Times New Roman" w:cs="Times New Roman"/>
                <w:sz w:val="20"/>
                <w:szCs w:val="20"/>
                <w:lang w:eastAsia="es-CR"/>
              </w:rPr>
            </w:pPr>
          </w:p>
        </w:tc>
      </w:tr>
    </w:tbl>
    <w:p w14:paraId="30CA6C20" w14:textId="0E90B36A" w:rsidR="00AA3177" w:rsidRDefault="0021402F" w:rsidP="00AA3177">
      <w:pPr>
        <w:rPr>
          <w:lang w:val="es-ES_tradnl" w:eastAsia="es-ES"/>
        </w:rPr>
      </w:pPr>
      <w:r>
        <w:rPr>
          <w:lang w:val="es-ES_tradnl" w:eastAsia="es-ES"/>
        </w:rPr>
        <w:fldChar w:fldCharType="end"/>
      </w:r>
    </w:p>
    <w:p w14:paraId="4981680C" w14:textId="77777777" w:rsidR="009131F0" w:rsidRPr="003516A2" w:rsidRDefault="009131F0" w:rsidP="009131F0">
      <w:pPr>
        <w:spacing w:before="240"/>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04817792" w14:textId="77777777" w:rsidR="009131F0" w:rsidRDefault="009131F0" w:rsidP="009131F0">
      <w:pPr>
        <w:spacing w:line="240" w:lineRule="auto"/>
        <w:rPr>
          <w:b/>
          <w:u w:val="single"/>
        </w:rPr>
      </w:pPr>
    </w:p>
    <w:p w14:paraId="75D4BC08" w14:textId="77777777" w:rsidR="009131F0" w:rsidRPr="003516A2" w:rsidRDefault="009131F0" w:rsidP="009131F0">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7D3E6E3F" w14:textId="77777777" w:rsidR="009131F0" w:rsidRPr="0008638E" w:rsidRDefault="009131F0" w:rsidP="009131F0">
      <w:pPr>
        <w:rPr>
          <w:lang w:val="es-MX"/>
        </w:rPr>
      </w:pPr>
      <w:r>
        <w:rPr>
          <w:lang w:val="es-MX"/>
        </w:rPr>
        <w:t>________________________________________________________________________________________________________________________________________________________________</w:t>
      </w:r>
    </w:p>
    <w:p w14:paraId="49C526E3" w14:textId="77777777" w:rsidR="00A649A4" w:rsidRPr="00A649A4" w:rsidRDefault="00A649A4" w:rsidP="00AA3177">
      <w:pPr>
        <w:rPr>
          <w:b/>
          <w:u w:val="single"/>
          <w:lang w:val="es-ES_tradnl" w:eastAsia="es-CR"/>
        </w:rPr>
      </w:pPr>
      <w:r w:rsidRPr="009131F0">
        <w:rPr>
          <w:b/>
          <w:color w:val="FFFFFF" w:themeColor="background1"/>
          <w:highlight w:val="darkBlue"/>
          <w:u w:val="single"/>
        </w:rPr>
        <w:t>Revelación Suficiente:</w:t>
      </w:r>
      <w:r w:rsidRPr="00A649A4">
        <w:rPr>
          <w:b/>
          <w:u w:val="single"/>
          <w:lang w:val="es-ES_tradnl" w:eastAsia="es-CR"/>
        </w:rPr>
        <w:t xml:space="preserve"> </w:t>
      </w:r>
      <w:r w:rsidRPr="00A649A4">
        <w:rPr>
          <w:rFonts w:eastAsia="Calibri"/>
          <w:b/>
          <w:bCs/>
          <w:u w:val="single"/>
        </w:rPr>
        <w:t>El ente debe cumplir con lo estipulado en revelación con forme a la NICSP, también debe considerar la política general y los párrafos incluidos en la matriz de autoevaluación referente a esta NICSP guías de aplicación</w:t>
      </w:r>
      <w:r w:rsidRPr="00A649A4">
        <w:rPr>
          <w:b/>
          <w:u w:val="single"/>
          <w:lang w:val="es-ES_tradnl" w:eastAsia="es-CR"/>
        </w:rPr>
        <w:t xml:space="preserve"> (Ver GA de la NICSP 36):</w:t>
      </w:r>
    </w:p>
    <w:p w14:paraId="4564618E" w14:textId="6F566F85" w:rsidR="00A649A4" w:rsidRPr="001D0A81" w:rsidRDefault="00A649A4" w:rsidP="00AA3177">
      <w:pPr>
        <w:rPr>
          <w:rFonts w:eastAsia="Calibri"/>
          <w:lang w:val="es-MX"/>
        </w:rPr>
      </w:pPr>
      <w:r w:rsidRPr="00A649A4">
        <w:rPr>
          <w:rFonts w:eastAsia="Calibri"/>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8B59BCF" w14:textId="77777777" w:rsidR="005F2549" w:rsidRPr="00A649A4" w:rsidRDefault="005F2549" w:rsidP="00AA3177"/>
    <w:p w14:paraId="36FF6C10" w14:textId="7762E0FB" w:rsidR="00A649A4" w:rsidRPr="00A649A4" w:rsidRDefault="00AA3177" w:rsidP="00AA3177">
      <w:pPr>
        <w:pStyle w:val="Ttulo2"/>
        <w:spacing w:after="240"/>
        <w:rPr>
          <w:rFonts w:eastAsia="Times New Roman"/>
          <w:lang w:eastAsia="es-CR"/>
        </w:rPr>
      </w:pPr>
      <w:bookmarkStart w:id="113" w:name="_Toc82768897"/>
      <w:bookmarkStart w:id="114" w:name="_Toc173245216"/>
      <w:r w:rsidRPr="00A649A4">
        <w:rPr>
          <w:rFonts w:eastAsia="Times New Roman"/>
          <w:lang w:eastAsia="es-CR"/>
        </w:rPr>
        <w:t>NICSP 37</w:t>
      </w:r>
      <w:r w:rsidR="00986512">
        <w:rPr>
          <w:rFonts w:eastAsia="Times New Roman"/>
          <w:lang w:eastAsia="es-CR"/>
        </w:rPr>
        <w:t xml:space="preserve"> -</w:t>
      </w:r>
      <w:r w:rsidRPr="00A649A4">
        <w:rPr>
          <w:rFonts w:eastAsia="Times New Roman"/>
          <w:lang w:eastAsia="es-CR"/>
        </w:rPr>
        <w:t xml:space="preserve"> ACUERDOS CONJUNTOS:</w:t>
      </w:r>
      <w:bookmarkEnd w:id="113"/>
      <w:bookmarkEnd w:id="114"/>
      <w:r w:rsidRPr="00A649A4">
        <w:rPr>
          <w:rFonts w:eastAsia="Times New Roman"/>
          <w:lang w:eastAsia="es-CR"/>
        </w:rPr>
        <w:t xml:space="preserve"> </w:t>
      </w:r>
    </w:p>
    <w:p w14:paraId="22813AD1" w14:textId="77777777" w:rsidR="00694299" w:rsidRDefault="00AA3177" w:rsidP="00AA3177">
      <w:pPr>
        <w:rPr>
          <w:rFonts w:asciiTheme="minorHAnsi" w:hAnsiTheme="minorHAnsi"/>
          <w:sz w:val="22"/>
        </w:rPr>
      </w:pPr>
      <w:r w:rsidRPr="00405DBC">
        <w:t xml:space="preserve">De acuerdo con la </w:t>
      </w:r>
      <w:r w:rsidRPr="00AA3177">
        <w:rPr>
          <w:lang w:val="es-MX"/>
        </w:rPr>
        <w:t>NICSP 37</w:t>
      </w:r>
      <w:r>
        <w:rPr>
          <w:lang w:val="es-MX"/>
        </w:rPr>
        <w:t xml:space="preserve"> -</w:t>
      </w:r>
      <w:r w:rsidRPr="00AA3177">
        <w:rPr>
          <w:lang w:val="es-MX"/>
        </w:rPr>
        <w:t xml:space="preserve"> Acuerdos conjuntos</w:t>
      </w:r>
      <w:r>
        <w:t>, i</w:t>
      </w:r>
      <w:r w:rsidRPr="00405DBC">
        <w:t>ndicar si este rubro afecta SI o NO a la institución, además del porcentaje de avance</w:t>
      </w:r>
      <w:r>
        <w:t xml:space="preserve"> en la implementación</w:t>
      </w:r>
      <w:r w:rsidRPr="00405DBC">
        <w:t xml:space="preserve"> que presenta</w:t>
      </w:r>
      <w:r w:rsidR="001D0A81">
        <w:rPr>
          <w:b/>
        </w:rPr>
        <w:t>.</w:t>
      </w:r>
      <w:r w:rsidR="001D0A81" w:rsidRPr="00A649A4">
        <w:rPr>
          <w:szCs w:val="24"/>
          <w:lang w:val="es-MX" w:eastAsia="es-CR"/>
        </w:rPr>
        <w:t xml:space="preserve"> </w:t>
      </w:r>
      <w:r w:rsidR="00982595">
        <w:rPr>
          <w:lang w:val="es-MX" w:eastAsia="es-CR"/>
        </w:rPr>
        <w:fldChar w:fldCharType="begin"/>
      </w:r>
      <w:r w:rsidR="00982595">
        <w:rPr>
          <w:lang w:val="es-MX" w:eastAsia="es-CR"/>
        </w:rPr>
        <w:instrText xml:space="preserve"> LINK </w:instrText>
      </w:r>
      <w:r w:rsidR="00323752">
        <w:rPr>
          <w:lang w:val="es-MX" w:eastAsia="es-CR"/>
        </w:rPr>
        <w:instrText xml:space="preserve">Excel.SheetMacroEnabled.12 "D:\\MORAVIA\\INSUMOS\\NOTAS 2024\\Formato_Notas_EEFF_Vinculadas_2024\\XXXXX_PXX_202X_Anexo_Estado_Notas_Contables_Vinculadas.xlsm" NICSP_37!F9C3:F10C4 </w:instrText>
      </w:r>
      <w:r w:rsidR="00982595">
        <w:rPr>
          <w:lang w:val="es-MX" w:eastAsia="es-CR"/>
        </w:rPr>
        <w:instrText xml:space="preserve">\a \f 4 \h </w:instrText>
      </w:r>
      <w:r w:rsidR="00982595">
        <w:rPr>
          <w:lang w:val="es-MX" w:eastAsia="es-CR"/>
        </w:rPr>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694299" w:rsidRPr="00694299" w14:paraId="1BCA7C38" w14:textId="77777777" w:rsidTr="00694299">
        <w:trPr>
          <w:divId w:val="253898175"/>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02E2FC83" w14:textId="1D7EBF65"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DCDBC"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No</w:t>
            </w:r>
          </w:p>
        </w:tc>
      </w:tr>
      <w:tr w:rsidR="00694299" w:rsidRPr="00694299" w14:paraId="401ED3CF" w14:textId="77777777" w:rsidTr="00694299">
        <w:trPr>
          <w:divId w:val="253898175"/>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420C2F6F"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68848CEA"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 </w:t>
            </w:r>
          </w:p>
        </w:tc>
      </w:tr>
    </w:tbl>
    <w:p w14:paraId="14BC9A7D" w14:textId="6F334347" w:rsidR="001D0A81" w:rsidRPr="00A649A4" w:rsidRDefault="00982595" w:rsidP="00AA3177">
      <w:pPr>
        <w:rPr>
          <w:szCs w:val="24"/>
          <w:lang w:val="es-MX" w:eastAsia="es-CR"/>
        </w:rPr>
      </w:pPr>
      <w:r>
        <w:rPr>
          <w:szCs w:val="24"/>
          <w:lang w:val="es-MX" w:eastAsia="es-CR"/>
        </w:rPr>
        <w:fldChar w:fldCharType="end"/>
      </w:r>
    </w:p>
    <w:p w14:paraId="25BF7345" w14:textId="77777777" w:rsidR="00A649A4" w:rsidRPr="00A649A4" w:rsidRDefault="00A649A4" w:rsidP="00AA3177">
      <w:pPr>
        <w:jc w:val="center"/>
        <w:rPr>
          <w:szCs w:val="24"/>
        </w:rPr>
      </w:pPr>
      <w:r w:rsidRPr="00A649A4">
        <w:rPr>
          <w:noProof/>
          <w:lang w:eastAsia="es-CR"/>
        </w:rPr>
        <w:drawing>
          <wp:inline distT="0" distB="0" distL="0" distR="0" wp14:anchorId="2EF928AC" wp14:editId="279A1F8F">
            <wp:extent cx="4312920" cy="1249680"/>
            <wp:effectExtent l="0" t="0" r="0" b="0"/>
            <wp:docPr id="5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12920" cy="1249680"/>
                    </a:xfrm>
                    <a:prstGeom prst="rect">
                      <a:avLst/>
                    </a:prstGeom>
                    <a:noFill/>
                    <a:ln>
                      <a:noFill/>
                    </a:ln>
                  </pic:spPr>
                </pic:pic>
              </a:graphicData>
            </a:graphic>
          </wp:inline>
        </w:drawing>
      </w:r>
    </w:p>
    <w:p w14:paraId="3CB5E4F3" w14:textId="77777777" w:rsidR="00A649A4" w:rsidRPr="00A649A4" w:rsidRDefault="00A649A4" w:rsidP="00AA3177">
      <w:r w:rsidRPr="00A649A4">
        <w:t>Un acuerdo conjunto es una operación conjunta o un negocio conjunto, mediante el cual dos o más partes mantienen control conjunto, tiene las siguientes características:</w:t>
      </w:r>
    </w:p>
    <w:p w14:paraId="291D11AD" w14:textId="77777777" w:rsidR="00A649A4" w:rsidRPr="00A649A4" w:rsidRDefault="00A649A4" w:rsidP="00AA3177">
      <w:r w:rsidRPr="00A649A4">
        <w:t>a) Las partes están obligadas por un acuerdo vinculante; y</w:t>
      </w:r>
    </w:p>
    <w:p w14:paraId="5B3BD3B1" w14:textId="77777777" w:rsidR="00A649A4" w:rsidRPr="00A649A4" w:rsidRDefault="00A649A4" w:rsidP="00AA3177">
      <w:r w:rsidRPr="00A649A4">
        <w:t>b) El acuerdo vinculante otorga a dos o más de esas partes control conjunto sobre el acuerdo.</w:t>
      </w:r>
    </w:p>
    <w:p w14:paraId="21350FD5" w14:textId="77777777" w:rsidR="00A649A4" w:rsidRPr="00A649A4" w:rsidRDefault="00A649A4" w:rsidP="00AA3177">
      <w:r w:rsidRPr="00A649A4">
        <w:t>Una entidad que prepara y presenta estados financieros según la base contable de acumulación (o devengo) aplicará esta política contable para determinar el tipo de acuerdo conjunto en el cual está involucrada y para contabilizar los derechos y obligaciones del acuerdo conjunto.</w:t>
      </w:r>
    </w:p>
    <w:p w14:paraId="1CA8ED83" w14:textId="77777777" w:rsidR="009131F0" w:rsidRPr="003516A2" w:rsidRDefault="009131F0" w:rsidP="009131F0">
      <w:pPr>
        <w:spacing w:before="240"/>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17AC71AA" w14:textId="77777777" w:rsidR="009131F0" w:rsidRDefault="009131F0" w:rsidP="009131F0">
      <w:pPr>
        <w:spacing w:line="240" w:lineRule="auto"/>
        <w:rPr>
          <w:b/>
          <w:u w:val="single"/>
        </w:rPr>
      </w:pPr>
    </w:p>
    <w:p w14:paraId="4D914DA4" w14:textId="77777777" w:rsidR="009131F0" w:rsidRPr="003516A2" w:rsidRDefault="009131F0" w:rsidP="009131F0">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5A5C5FF9" w14:textId="77777777" w:rsidR="009131F0" w:rsidRPr="0008638E" w:rsidRDefault="009131F0" w:rsidP="009131F0">
      <w:pPr>
        <w:rPr>
          <w:lang w:val="es-MX"/>
        </w:rPr>
      </w:pPr>
      <w:r>
        <w:rPr>
          <w:lang w:val="es-MX"/>
        </w:rPr>
        <w:t>________________________________________________________________________________________________________________________________________________________________</w:t>
      </w:r>
    </w:p>
    <w:p w14:paraId="0E80B776" w14:textId="77777777" w:rsidR="00A649A4" w:rsidRPr="00A649A4" w:rsidRDefault="00A649A4" w:rsidP="00AA3177">
      <w:pPr>
        <w:rPr>
          <w:rFonts w:eastAsia="Times New Roman"/>
          <w:b/>
          <w:u w:val="single"/>
          <w:lang w:val="es-ES_tradnl" w:eastAsia="es-CR"/>
        </w:rPr>
      </w:pPr>
      <w:r w:rsidRPr="009131F0">
        <w:rPr>
          <w:b/>
          <w:color w:val="FFFFFF" w:themeColor="background1"/>
          <w:highlight w:val="darkBlue"/>
          <w:u w:val="single"/>
        </w:rPr>
        <w:t xml:space="preserve">Revelación Suficiente: </w:t>
      </w:r>
      <w:r w:rsidRPr="00A649A4">
        <w:rPr>
          <w:b/>
          <w:bCs/>
          <w:u w:val="single"/>
        </w:rPr>
        <w:t>El ente debe cumplir con lo estipulado en revelación con forme a la NICSP, también debe considerar la política general y los párrafos incluidos en la matriz de autoevaluación referente a esta NICSP y guías de aplicación</w:t>
      </w:r>
      <w:r w:rsidRPr="00A649A4">
        <w:rPr>
          <w:rFonts w:eastAsia="Times New Roman"/>
          <w:b/>
          <w:u w:val="single"/>
          <w:lang w:val="es-ES_tradnl" w:eastAsia="es-CR"/>
        </w:rPr>
        <w:t xml:space="preserve"> (Ver GA de la NICSP 37):</w:t>
      </w:r>
    </w:p>
    <w:p w14:paraId="7B0AD6D2" w14:textId="77777777" w:rsidR="00A649A4" w:rsidRPr="00A649A4" w:rsidRDefault="00A649A4" w:rsidP="00AA3177">
      <w:pPr>
        <w:rPr>
          <w:lang w:val="es-MX"/>
        </w:rPr>
      </w:pPr>
      <w:r w:rsidRPr="00A649A4">
        <w:rPr>
          <w:lang w:val="es-MX"/>
        </w:rPr>
        <w:t>________________________________________________________________________________________________________________________________________________________________</w:t>
      </w:r>
    </w:p>
    <w:p w14:paraId="69E035E4" w14:textId="77777777" w:rsidR="00A649A4" w:rsidRPr="00A649A4" w:rsidRDefault="00A649A4" w:rsidP="00AA3177"/>
    <w:p w14:paraId="5980528E" w14:textId="5A5321C8" w:rsidR="00A649A4" w:rsidRPr="00A649A4" w:rsidRDefault="00AA3177" w:rsidP="00986512">
      <w:pPr>
        <w:pStyle w:val="Ttulo2"/>
        <w:spacing w:after="240"/>
        <w:rPr>
          <w:rFonts w:eastAsia="Times New Roman"/>
          <w:lang w:eastAsia="es-CR"/>
        </w:rPr>
      </w:pPr>
      <w:bookmarkStart w:id="115" w:name="_Toc82768898"/>
      <w:bookmarkStart w:id="116" w:name="_Toc173245217"/>
      <w:r w:rsidRPr="00A649A4">
        <w:rPr>
          <w:rFonts w:eastAsia="Times New Roman"/>
          <w:lang w:eastAsia="es-CR"/>
        </w:rPr>
        <w:t xml:space="preserve">NICSP 38 </w:t>
      </w:r>
      <w:r w:rsidR="00986512">
        <w:rPr>
          <w:rFonts w:eastAsia="Times New Roman"/>
          <w:lang w:eastAsia="es-CR"/>
        </w:rPr>
        <w:t xml:space="preserve">- </w:t>
      </w:r>
      <w:r w:rsidRPr="00A649A4">
        <w:rPr>
          <w:rFonts w:eastAsia="Times New Roman"/>
          <w:lang w:eastAsia="es-CR"/>
        </w:rPr>
        <w:t>INFORMACIÓN A REVELAR SOBRE PARTICIPACIONES EN OTRAS ENTIDADES:</w:t>
      </w:r>
      <w:bookmarkEnd w:id="115"/>
      <w:bookmarkEnd w:id="116"/>
      <w:r w:rsidRPr="00A649A4">
        <w:rPr>
          <w:rFonts w:eastAsia="Times New Roman"/>
          <w:lang w:eastAsia="es-CR"/>
        </w:rPr>
        <w:t xml:space="preserve"> </w:t>
      </w:r>
    </w:p>
    <w:p w14:paraId="653DECC5" w14:textId="77777777" w:rsidR="00694299" w:rsidRDefault="00986512" w:rsidP="00986512">
      <w:pPr>
        <w:rPr>
          <w:rFonts w:asciiTheme="minorHAnsi" w:hAnsiTheme="minorHAnsi"/>
          <w:sz w:val="22"/>
        </w:rPr>
      </w:pPr>
      <w:r w:rsidRPr="00405DBC">
        <w:t xml:space="preserve">De acuerdo con la </w:t>
      </w:r>
      <w:r w:rsidRPr="00A649A4">
        <w:rPr>
          <w:rFonts w:eastAsia="Calibri" w:cs="Times New Roman"/>
          <w:lang w:val="es-MX"/>
        </w:rPr>
        <w:t>NICSP 38</w:t>
      </w:r>
      <w:r>
        <w:rPr>
          <w:rFonts w:eastAsia="Calibri" w:cs="Times New Roman"/>
          <w:lang w:val="es-MX"/>
        </w:rPr>
        <w:t xml:space="preserve"> -</w:t>
      </w:r>
      <w:r w:rsidRPr="00A649A4">
        <w:rPr>
          <w:rFonts w:eastAsia="Calibri" w:cs="Times New Roman"/>
          <w:lang w:val="es-MX"/>
        </w:rPr>
        <w:t xml:space="preserve"> Información a revelar sobre participaciones en otras entidades</w:t>
      </w:r>
      <w:r>
        <w:t>, i</w:t>
      </w:r>
      <w:r w:rsidRPr="00405DBC">
        <w:t>ndicar si este rubro afecta SI o NO a la institución, además del porcentaje de avance</w:t>
      </w:r>
      <w:r>
        <w:t xml:space="preserve"> en la implementación</w:t>
      </w:r>
      <w:r w:rsidRPr="00405DBC">
        <w:t xml:space="preserve"> que presenta</w:t>
      </w:r>
      <w:r>
        <w:rPr>
          <w:b/>
        </w:rPr>
        <w:t>.</w:t>
      </w:r>
      <w:r w:rsidR="00982595">
        <w:rPr>
          <w:lang w:val="es-MX" w:eastAsia="es-CR"/>
        </w:rPr>
        <w:fldChar w:fldCharType="begin"/>
      </w:r>
      <w:r w:rsidR="00982595">
        <w:rPr>
          <w:lang w:val="es-MX" w:eastAsia="es-CR"/>
        </w:rPr>
        <w:instrText xml:space="preserve"> LINK </w:instrText>
      </w:r>
      <w:r w:rsidR="00323752">
        <w:rPr>
          <w:lang w:val="es-MX" w:eastAsia="es-CR"/>
        </w:rPr>
        <w:instrText xml:space="preserve">Excel.SheetMacroEnabled.12 "D:\\MORAVIA\\INSUMOS\\NOTAS 2024\\Formato_Notas_EEFF_Vinculadas_2024\\XXXXX_PXX_202X_Anexo_Estado_Notas_Contables_Vinculadas.xlsm" NICSP_38!F9C3:F10C4 </w:instrText>
      </w:r>
      <w:r w:rsidR="00982595">
        <w:rPr>
          <w:lang w:val="es-MX" w:eastAsia="es-CR"/>
        </w:rPr>
        <w:instrText xml:space="preserve">\a \f 4 \h </w:instrText>
      </w:r>
      <w:r w:rsidR="00982595">
        <w:rPr>
          <w:lang w:val="es-MX" w:eastAsia="es-CR"/>
        </w:rPr>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694299" w:rsidRPr="00694299" w14:paraId="4B0A7E70" w14:textId="77777777" w:rsidTr="00694299">
        <w:trPr>
          <w:divId w:val="2064012923"/>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3E255935" w14:textId="18969E27"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C147B"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No</w:t>
            </w:r>
          </w:p>
        </w:tc>
      </w:tr>
      <w:tr w:rsidR="00694299" w:rsidRPr="00694299" w14:paraId="3991C42C" w14:textId="77777777" w:rsidTr="00694299">
        <w:trPr>
          <w:divId w:val="2064012923"/>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6CA15AAA"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05200CA5"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 </w:t>
            </w:r>
          </w:p>
        </w:tc>
      </w:tr>
    </w:tbl>
    <w:p w14:paraId="0E99F5BA" w14:textId="77777777" w:rsidR="00694299" w:rsidRDefault="00982595" w:rsidP="00986512">
      <w:pPr>
        <w:rPr>
          <w:rFonts w:asciiTheme="minorHAnsi" w:hAnsiTheme="minorHAnsi"/>
          <w:sz w:val="22"/>
        </w:rPr>
      </w:pPr>
      <w:r>
        <w:rPr>
          <w:lang w:val="es-MX" w:eastAsia="es-CR"/>
        </w:rPr>
        <w:fldChar w:fldCharType="end"/>
      </w:r>
      <w:r w:rsidR="0021402F">
        <w:rPr>
          <w:lang w:val="es-MX" w:eastAsia="es-CR"/>
        </w:rPr>
        <w:fldChar w:fldCharType="begin"/>
      </w:r>
      <w:r w:rsidR="0021402F">
        <w:rPr>
          <w:lang w:val="es-MX" w:eastAsia="es-CR"/>
        </w:rPr>
        <w:instrText xml:space="preserve"> LINK </w:instrText>
      </w:r>
      <w:r w:rsidR="00323752">
        <w:rPr>
          <w:lang w:val="es-MX" w:eastAsia="es-CR"/>
        </w:rPr>
        <w:instrText xml:space="preserve">Excel.SheetMacroEnabled.12 "D:\\MORAVIA\\INSUMOS\\NOTAS 2024\\Formato_Notas_EEFF_Vinculadas_2024\\XXXXX_PXX_202X_Anexo_Estado_Notas_Contables_Vinculadas.xlsm" NICSP_38!F9C3:F10C4 </w:instrText>
      </w:r>
      <w:r w:rsidR="0021402F">
        <w:rPr>
          <w:lang w:val="es-MX" w:eastAsia="es-CR"/>
        </w:rPr>
        <w:instrText xml:space="preserve">\a \f 4 \h </w:instrText>
      </w:r>
      <w:r w:rsidR="0021402F">
        <w:rPr>
          <w:lang w:val="es-MX" w:eastAsia="es-CR"/>
        </w:rPr>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694299" w:rsidRPr="00694299" w14:paraId="66489D5B" w14:textId="77777777" w:rsidTr="00694299">
        <w:trPr>
          <w:divId w:val="1981492138"/>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24DF5F7E" w14:textId="766EAAC3"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F2CDB"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No</w:t>
            </w:r>
          </w:p>
        </w:tc>
      </w:tr>
      <w:tr w:rsidR="00694299" w:rsidRPr="00694299" w14:paraId="1F80356D" w14:textId="77777777" w:rsidTr="00694299">
        <w:trPr>
          <w:divId w:val="1981492138"/>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0AC9970F"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72B4DC9C"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 </w:t>
            </w:r>
          </w:p>
        </w:tc>
      </w:tr>
    </w:tbl>
    <w:p w14:paraId="43748EF2" w14:textId="62EEA618" w:rsidR="00986512" w:rsidRPr="00A649A4" w:rsidRDefault="0021402F" w:rsidP="00986512">
      <w:pPr>
        <w:rPr>
          <w:szCs w:val="24"/>
          <w:lang w:val="es-MX" w:eastAsia="es-CR"/>
        </w:rPr>
      </w:pPr>
      <w:r>
        <w:rPr>
          <w:szCs w:val="24"/>
          <w:lang w:val="es-MX" w:eastAsia="es-CR"/>
        </w:rPr>
        <w:fldChar w:fldCharType="end"/>
      </w:r>
    </w:p>
    <w:p w14:paraId="53311187" w14:textId="77777777" w:rsidR="00A649A4" w:rsidRPr="00A649A4" w:rsidRDefault="00A649A4" w:rsidP="00986512">
      <w:pPr>
        <w:rPr>
          <w:szCs w:val="24"/>
        </w:rPr>
      </w:pPr>
      <w:r w:rsidRPr="00A649A4">
        <w:rPr>
          <w:noProof/>
          <w:lang w:eastAsia="es-CR"/>
        </w:rPr>
        <w:drawing>
          <wp:inline distT="0" distB="0" distL="0" distR="0" wp14:anchorId="5EB978F4" wp14:editId="0C6217D6">
            <wp:extent cx="4297680" cy="1348740"/>
            <wp:effectExtent l="0" t="0" r="0" b="0"/>
            <wp:docPr id="5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97680" cy="1348740"/>
                    </a:xfrm>
                    <a:prstGeom prst="rect">
                      <a:avLst/>
                    </a:prstGeom>
                    <a:noFill/>
                    <a:ln>
                      <a:noFill/>
                    </a:ln>
                  </pic:spPr>
                </pic:pic>
              </a:graphicData>
            </a:graphic>
          </wp:inline>
        </w:drawing>
      </w:r>
    </w:p>
    <w:p w14:paraId="1C7A48EE" w14:textId="77777777" w:rsidR="00A649A4" w:rsidRPr="00A649A4" w:rsidRDefault="00A649A4" w:rsidP="00986512">
      <w:pPr>
        <w:rPr>
          <w:rFonts w:eastAsia="Calibri" w:cs="Times New Roman"/>
        </w:rPr>
      </w:pPr>
      <w:r w:rsidRPr="00A649A4">
        <w:rPr>
          <w:rFonts w:eastAsia="Calibri" w:cs="Times New Roman"/>
        </w:rPr>
        <w:t>a) La metodología usada para determinar:</w:t>
      </w:r>
    </w:p>
    <w:p w14:paraId="1A4C809F" w14:textId="77777777" w:rsidR="00A649A4" w:rsidRPr="00A649A4" w:rsidRDefault="00A649A4" w:rsidP="00986512">
      <w:pPr>
        <w:rPr>
          <w:rFonts w:eastAsia="Calibri" w:cs="Times New Roman"/>
        </w:rPr>
      </w:pPr>
      <w:r w:rsidRPr="00A649A4">
        <w:rPr>
          <w:rFonts w:eastAsia="Calibri" w:cs="Times New Roman"/>
        </w:rPr>
        <w:t>1. que tiene el control de otra entidad como se describe en la norma;</w:t>
      </w:r>
    </w:p>
    <w:p w14:paraId="03EF030C" w14:textId="77777777" w:rsidR="00A649A4" w:rsidRPr="00A649A4" w:rsidRDefault="00A649A4" w:rsidP="00986512">
      <w:pPr>
        <w:rPr>
          <w:rFonts w:eastAsia="Calibri" w:cs="Times New Roman"/>
        </w:rPr>
      </w:pPr>
      <w:r w:rsidRPr="00A649A4">
        <w:rPr>
          <w:rFonts w:eastAsia="Calibri" w:cs="Times New Roman"/>
        </w:rPr>
        <w:t>2. que tiene el control conjunto de un acuerdo sobre otra entidad; y</w:t>
      </w:r>
    </w:p>
    <w:p w14:paraId="5CF51AE4" w14:textId="12647E8D" w:rsidR="00A649A4" w:rsidRDefault="00A649A4" w:rsidP="00986512">
      <w:pPr>
        <w:rPr>
          <w:rFonts w:eastAsia="Calibri" w:cs="Times New Roman"/>
        </w:rPr>
      </w:pPr>
      <w:r w:rsidRPr="00A649A4">
        <w:rPr>
          <w:rFonts w:eastAsia="Calibri" w:cs="Times New Roman"/>
        </w:rPr>
        <w:t>3. el tipo de acuerdo conjunto, es decir, operación conjunta o negocio conjunto cuando el acuerdo ha sido estructurado a través de un vehículo separado;</w:t>
      </w:r>
    </w:p>
    <w:p w14:paraId="7FA56270" w14:textId="77777777" w:rsidR="009131F0" w:rsidRPr="003516A2" w:rsidRDefault="009131F0" w:rsidP="009131F0">
      <w:pPr>
        <w:spacing w:before="240"/>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06BE63F1" w14:textId="77777777" w:rsidR="009131F0" w:rsidRDefault="009131F0" w:rsidP="009131F0">
      <w:pPr>
        <w:spacing w:line="240" w:lineRule="auto"/>
        <w:rPr>
          <w:b/>
          <w:u w:val="single"/>
        </w:rPr>
      </w:pPr>
    </w:p>
    <w:p w14:paraId="510CD4C3" w14:textId="77777777" w:rsidR="009131F0" w:rsidRPr="003516A2" w:rsidRDefault="009131F0" w:rsidP="009131F0">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56687034" w14:textId="744B303A" w:rsidR="009131F0" w:rsidRPr="0021402F" w:rsidRDefault="009131F0" w:rsidP="009131F0">
      <w:pPr>
        <w:rPr>
          <w:rFonts w:eastAsia="Calibri" w:cs="Times New Roman"/>
        </w:rPr>
      </w:pPr>
      <w:r>
        <w:rPr>
          <w:lang w:val="es-MX"/>
        </w:rPr>
        <w:t>________________________________________________________________________________________________________________________________________________________________</w:t>
      </w:r>
    </w:p>
    <w:p w14:paraId="42157C70" w14:textId="77777777" w:rsidR="00A649A4" w:rsidRPr="00A649A4" w:rsidRDefault="00A649A4" w:rsidP="00986512">
      <w:pPr>
        <w:rPr>
          <w:rFonts w:eastAsia="Times New Roman" w:cs="Times New Roman"/>
          <w:b/>
          <w:u w:val="single"/>
          <w:lang w:val="es-ES_tradnl" w:eastAsia="es-CR"/>
        </w:rPr>
      </w:pPr>
      <w:r w:rsidRPr="009131F0">
        <w:rPr>
          <w:b/>
          <w:color w:val="FFFFFF" w:themeColor="background1"/>
          <w:highlight w:val="darkBlue"/>
          <w:u w:val="single"/>
        </w:rPr>
        <w:t>Revelación Suficiente:</w:t>
      </w:r>
      <w:r w:rsidRPr="00A649A4">
        <w:rPr>
          <w:rFonts w:eastAsia="Calibri" w:cs="Times New Roman"/>
          <w:b/>
          <w:bCs/>
          <w:u w:val="single"/>
        </w:rPr>
        <w:t xml:space="preserve"> El ente debe cumplir con lo estipulado en revelación con forme a la NICSP, también debe considerar la política general y los párrafos incluidos en la matriz de autoevaluación referente a esta NICSP guías de aplicación</w:t>
      </w:r>
      <w:r w:rsidRPr="00A649A4">
        <w:rPr>
          <w:rFonts w:eastAsia="Times New Roman" w:cs="Times New Roman"/>
          <w:b/>
          <w:u w:val="single"/>
          <w:lang w:val="es-ES_tradnl" w:eastAsia="es-CR"/>
        </w:rPr>
        <w:t xml:space="preserve"> (Ver GA de la NICSP 38):</w:t>
      </w:r>
    </w:p>
    <w:p w14:paraId="6B277BFE" w14:textId="6C8F5AFA" w:rsidR="00A649A4" w:rsidRDefault="00A649A4" w:rsidP="00986512">
      <w:pPr>
        <w:rPr>
          <w:rFonts w:eastAsia="Calibri" w:cs="Times New Roman"/>
          <w:lang w:val="es-MX"/>
        </w:rPr>
      </w:pPr>
      <w:r w:rsidRPr="00A649A4">
        <w:rPr>
          <w:rFonts w:eastAsia="Calibri" w:cs="Times New Roman"/>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117" w:name="_Toc54961688"/>
    </w:p>
    <w:p w14:paraId="52A20E33" w14:textId="77777777" w:rsidR="00986512" w:rsidRPr="00986512" w:rsidRDefault="00986512" w:rsidP="00986512">
      <w:pPr>
        <w:rPr>
          <w:rFonts w:eastAsia="Calibri" w:cs="Times New Roman"/>
          <w:lang w:val="es-MX"/>
        </w:rPr>
      </w:pPr>
    </w:p>
    <w:p w14:paraId="1D0B8662" w14:textId="407E95A9" w:rsidR="00A649A4" w:rsidRPr="00986512" w:rsidRDefault="00986512" w:rsidP="00986512">
      <w:pPr>
        <w:pStyle w:val="Ttulo2"/>
        <w:spacing w:after="240"/>
        <w:rPr>
          <w:rFonts w:eastAsia="Times New Roman"/>
          <w:lang w:eastAsia="es-CR"/>
        </w:rPr>
      </w:pPr>
      <w:bookmarkStart w:id="118" w:name="_Toc82768899"/>
      <w:bookmarkStart w:id="119" w:name="_Toc173245218"/>
      <w:r w:rsidRPr="00A649A4">
        <w:rPr>
          <w:rFonts w:eastAsia="Times New Roman"/>
          <w:lang w:eastAsia="es-CR"/>
        </w:rPr>
        <w:t xml:space="preserve">NICSP 39 </w:t>
      </w:r>
      <w:r>
        <w:rPr>
          <w:rFonts w:eastAsia="Times New Roman"/>
          <w:lang w:eastAsia="es-CR"/>
        </w:rPr>
        <w:t xml:space="preserve">- </w:t>
      </w:r>
      <w:r w:rsidRPr="00A649A4">
        <w:rPr>
          <w:rFonts w:eastAsia="Times New Roman"/>
          <w:lang w:eastAsia="es-CR"/>
        </w:rPr>
        <w:t>BENEFICIOS A LOS EMPLEADOS (DE APLICACIÓN OBLIGATORIA):</w:t>
      </w:r>
      <w:bookmarkEnd w:id="117"/>
      <w:bookmarkEnd w:id="118"/>
      <w:bookmarkEnd w:id="119"/>
      <w:r w:rsidRPr="00A649A4">
        <w:rPr>
          <w:rFonts w:eastAsia="Times New Roman"/>
          <w:lang w:eastAsia="es-CR"/>
        </w:rPr>
        <w:t xml:space="preserve"> </w:t>
      </w:r>
    </w:p>
    <w:p w14:paraId="499648EA" w14:textId="77777777" w:rsidR="00694299" w:rsidRDefault="00986512" w:rsidP="00986512">
      <w:pPr>
        <w:rPr>
          <w:rFonts w:asciiTheme="minorHAnsi" w:hAnsiTheme="minorHAnsi"/>
          <w:sz w:val="22"/>
        </w:rPr>
      </w:pPr>
      <w:r w:rsidRPr="00FB0858">
        <w:t xml:space="preserve">De acuerdo con la </w:t>
      </w:r>
      <w:r w:rsidRPr="000B404C">
        <w:t xml:space="preserve">De acuerdo con la </w:t>
      </w:r>
      <w:r w:rsidRPr="00986512">
        <w:t>NICSP 39 Beneficios a los empleados</w:t>
      </w:r>
      <w:r>
        <w:t xml:space="preserve">, indicar si este rubro afecta SI o NO a la institución, </w:t>
      </w:r>
      <w:r w:rsidRPr="00405DBC">
        <w:t>además del porcentaje de avance</w:t>
      </w:r>
      <w:r>
        <w:t xml:space="preserve"> en la implementación</w:t>
      </w:r>
      <w:r w:rsidRPr="00405DBC">
        <w:t xml:space="preserve"> que presenta</w:t>
      </w:r>
      <w:r>
        <w:t>.</w:t>
      </w:r>
      <w:r w:rsidR="0021402F">
        <w:fldChar w:fldCharType="begin"/>
      </w:r>
      <w:r w:rsidR="0021402F">
        <w:instrText xml:space="preserve"> LINK </w:instrText>
      </w:r>
      <w:r w:rsidR="00323752">
        <w:instrText xml:space="preserve">Excel.SheetMacroEnabled.12 "D:\\MORAVIA\\INSUMOS\\NOTAS 2024\\Formato_Notas_EEFF_Vinculadas_2024\\XXXXX_PXX_202X_Anexo_Estado_Notas_Contables_Vinculadas.xlsm" NICSP_39!F9C3:F10C4 </w:instrText>
      </w:r>
      <w:r w:rsidR="0021402F">
        <w:instrText xml:space="preserve">\a \f 4 \h </w:instrText>
      </w:r>
      <w:r w:rsidR="0021402F">
        <w:fldChar w:fldCharType="separate"/>
      </w:r>
    </w:p>
    <w:tbl>
      <w:tblPr>
        <w:tblW w:w="3840" w:type="dxa"/>
        <w:tblCellMar>
          <w:left w:w="70" w:type="dxa"/>
          <w:right w:w="70" w:type="dxa"/>
        </w:tblCellMar>
        <w:tblLook w:val="04A0" w:firstRow="1" w:lastRow="0" w:firstColumn="1" w:lastColumn="0" w:noHBand="0" w:noVBand="1"/>
      </w:tblPr>
      <w:tblGrid>
        <w:gridCol w:w="2260"/>
        <w:gridCol w:w="1580"/>
      </w:tblGrid>
      <w:tr w:rsidR="00694299" w:rsidRPr="00694299" w14:paraId="17DFEF6B" w14:textId="77777777" w:rsidTr="00694299">
        <w:trPr>
          <w:divId w:val="137454274"/>
          <w:trHeight w:val="324"/>
        </w:trPr>
        <w:tc>
          <w:tcPr>
            <w:tcW w:w="22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4F1FBB4B" w14:textId="20F7481D"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103EA"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Si</w:t>
            </w:r>
          </w:p>
        </w:tc>
      </w:tr>
      <w:tr w:rsidR="00694299" w:rsidRPr="00694299" w14:paraId="5584BAF5" w14:textId="77777777" w:rsidTr="00694299">
        <w:trPr>
          <w:divId w:val="137454274"/>
          <w:trHeight w:val="324"/>
        </w:trPr>
        <w:tc>
          <w:tcPr>
            <w:tcW w:w="2260" w:type="dxa"/>
            <w:tcBorders>
              <w:top w:val="nil"/>
              <w:left w:val="single" w:sz="8" w:space="0" w:color="auto"/>
              <w:bottom w:val="single" w:sz="8" w:space="0" w:color="auto"/>
              <w:right w:val="single" w:sz="8" w:space="0" w:color="auto"/>
            </w:tcBorders>
            <w:shd w:val="clear" w:color="000000" w:fill="17365D"/>
            <w:vAlign w:val="center"/>
            <w:hideMark/>
          </w:tcPr>
          <w:p w14:paraId="04F09352"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C507427"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70,00%</w:t>
            </w:r>
          </w:p>
        </w:tc>
      </w:tr>
    </w:tbl>
    <w:p w14:paraId="778978C4" w14:textId="6926EA2C" w:rsidR="00422EDF" w:rsidRDefault="0021402F" w:rsidP="00986512">
      <w:pPr>
        <w:rPr>
          <w:b/>
          <w:sz w:val="16"/>
          <w:szCs w:val="16"/>
          <w:lang w:eastAsia="es-CR"/>
        </w:rPr>
      </w:pPr>
      <w:r>
        <w:fldChar w:fldCharType="end"/>
      </w:r>
      <w:r w:rsidR="00A649A4" w:rsidRPr="00986512">
        <w:rPr>
          <w:b/>
          <w:sz w:val="16"/>
          <w:szCs w:val="16"/>
          <w:lang w:eastAsia="es-CR"/>
        </w:rPr>
        <w:t xml:space="preserve"> -Si la respuesta es NO la entidad debe presentar una justificación-</w:t>
      </w:r>
    </w:p>
    <w:p w14:paraId="22C416DF" w14:textId="77777777" w:rsidR="00C21533" w:rsidRDefault="00C21533" w:rsidP="00986512">
      <w:pPr>
        <w:rPr>
          <w:b/>
          <w:sz w:val="16"/>
          <w:szCs w:val="16"/>
          <w:lang w:eastAsia="es-CR"/>
        </w:rPr>
      </w:pPr>
    </w:p>
    <w:tbl>
      <w:tblPr>
        <w:tblW w:w="7960" w:type="dxa"/>
        <w:tblLook w:val="04A0" w:firstRow="1" w:lastRow="0" w:firstColumn="1" w:lastColumn="0" w:noHBand="0" w:noVBand="1"/>
      </w:tblPr>
      <w:tblGrid>
        <w:gridCol w:w="2640"/>
        <w:gridCol w:w="1960"/>
        <w:gridCol w:w="1680"/>
        <w:gridCol w:w="1680"/>
      </w:tblGrid>
      <w:tr w:rsidR="00C21533" w:rsidRPr="00C21533" w14:paraId="6E2986F5" w14:textId="77777777" w:rsidTr="00C21533">
        <w:trPr>
          <w:trHeight w:val="320"/>
        </w:trPr>
        <w:tc>
          <w:tcPr>
            <w:tcW w:w="2640" w:type="dxa"/>
            <w:tcBorders>
              <w:top w:val="nil"/>
              <w:left w:val="nil"/>
              <w:bottom w:val="nil"/>
              <w:right w:val="nil"/>
            </w:tcBorders>
            <w:shd w:val="clear" w:color="auto" w:fill="auto"/>
            <w:noWrap/>
            <w:vAlign w:val="bottom"/>
            <w:hideMark/>
          </w:tcPr>
          <w:p w14:paraId="1410E12F" w14:textId="77777777" w:rsidR="00C21533" w:rsidRPr="00C21533" w:rsidRDefault="00C21533" w:rsidP="00C21533">
            <w:pPr>
              <w:spacing w:after="0" w:line="240" w:lineRule="auto"/>
              <w:jc w:val="left"/>
              <w:rPr>
                <w:rFonts w:ascii="Times New Roman" w:eastAsia="Times New Roman" w:hAnsi="Times New Roman" w:cs="Times New Roman"/>
                <w:sz w:val="20"/>
                <w:szCs w:val="24"/>
              </w:rPr>
            </w:pPr>
          </w:p>
        </w:tc>
        <w:tc>
          <w:tcPr>
            <w:tcW w:w="1960" w:type="dxa"/>
            <w:tcBorders>
              <w:top w:val="single" w:sz="8" w:space="0" w:color="auto"/>
              <w:left w:val="single" w:sz="8" w:space="0" w:color="auto"/>
              <w:bottom w:val="single" w:sz="8" w:space="0" w:color="auto"/>
              <w:right w:val="nil"/>
            </w:tcBorders>
            <w:shd w:val="clear" w:color="000000" w:fill="17365D"/>
            <w:vAlign w:val="center"/>
            <w:hideMark/>
          </w:tcPr>
          <w:p w14:paraId="669B96BF" w14:textId="2870BB58" w:rsidR="00C21533" w:rsidRPr="00C21533" w:rsidRDefault="00C21533" w:rsidP="00C21533">
            <w:pPr>
              <w:spacing w:after="0" w:line="240" w:lineRule="auto"/>
              <w:jc w:val="center"/>
              <w:rPr>
                <w:rFonts w:eastAsia="Times New Roman" w:cs="Calibri"/>
                <w:color w:val="FFFFFF"/>
                <w:szCs w:val="24"/>
                <w:lang w:val="en-US"/>
              </w:rPr>
            </w:pPr>
            <w:r w:rsidRPr="00C21533">
              <w:rPr>
                <w:rFonts w:eastAsia="Times New Roman" w:cs="Calibri"/>
                <w:color w:val="FFFFFF"/>
                <w:szCs w:val="24"/>
                <w:lang w:val="en-US"/>
              </w:rPr>
              <w:t xml:space="preserve">Montos Pago </w:t>
            </w:r>
          </w:p>
        </w:tc>
        <w:tc>
          <w:tcPr>
            <w:tcW w:w="1680" w:type="dxa"/>
            <w:tcBorders>
              <w:top w:val="single" w:sz="8" w:space="0" w:color="auto"/>
              <w:left w:val="nil"/>
              <w:bottom w:val="nil"/>
              <w:right w:val="single" w:sz="8" w:space="0" w:color="auto"/>
            </w:tcBorders>
            <w:shd w:val="clear" w:color="000000" w:fill="17365D"/>
            <w:vAlign w:val="center"/>
            <w:hideMark/>
          </w:tcPr>
          <w:p w14:paraId="79F312F2" w14:textId="77777777" w:rsidR="00C21533" w:rsidRPr="00C21533" w:rsidRDefault="00C21533" w:rsidP="00C21533">
            <w:pPr>
              <w:spacing w:after="0" w:line="240" w:lineRule="auto"/>
              <w:jc w:val="center"/>
              <w:rPr>
                <w:rFonts w:eastAsia="Times New Roman" w:cs="Calibri"/>
                <w:color w:val="FFFFFF"/>
                <w:szCs w:val="24"/>
                <w:lang w:val="en-US"/>
              </w:rPr>
            </w:pPr>
            <w:r w:rsidRPr="00C21533">
              <w:rPr>
                <w:rFonts w:eastAsia="Times New Roman" w:cs="Calibri"/>
                <w:color w:val="FFFFFF"/>
                <w:szCs w:val="24"/>
                <w:lang w:val="en-US"/>
              </w:rPr>
              <w:t xml:space="preserve">Días sin disfrute </w:t>
            </w:r>
          </w:p>
        </w:tc>
        <w:tc>
          <w:tcPr>
            <w:tcW w:w="1680" w:type="dxa"/>
            <w:tcBorders>
              <w:top w:val="single" w:sz="8" w:space="0" w:color="auto"/>
              <w:left w:val="nil"/>
              <w:bottom w:val="nil"/>
              <w:right w:val="single" w:sz="8" w:space="0" w:color="auto"/>
            </w:tcBorders>
            <w:shd w:val="clear" w:color="000000" w:fill="17365D"/>
            <w:vAlign w:val="center"/>
            <w:hideMark/>
          </w:tcPr>
          <w:p w14:paraId="7D2ACDE3" w14:textId="77777777" w:rsidR="00C21533" w:rsidRPr="00C21533" w:rsidRDefault="00C21533" w:rsidP="00C21533">
            <w:pPr>
              <w:spacing w:after="0" w:line="240" w:lineRule="auto"/>
              <w:jc w:val="center"/>
              <w:rPr>
                <w:rFonts w:eastAsia="Times New Roman" w:cs="Calibri"/>
                <w:color w:val="FFFFFF"/>
                <w:szCs w:val="24"/>
                <w:lang w:val="en-US"/>
              </w:rPr>
            </w:pPr>
            <w:r w:rsidRPr="00C21533">
              <w:rPr>
                <w:rFonts w:eastAsia="Times New Roman" w:cs="Calibri"/>
                <w:color w:val="FFFFFF"/>
                <w:szCs w:val="24"/>
                <w:lang w:val="en-US"/>
              </w:rPr>
              <w:t xml:space="preserve">Cantidad </w:t>
            </w:r>
          </w:p>
        </w:tc>
      </w:tr>
      <w:tr w:rsidR="00C21533" w:rsidRPr="00C21533" w14:paraId="42C43006" w14:textId="77777777" w:rsidTr="00C21533">
        <w:trPr>
          <w:trHeight w:val="320"/>
        </w:trPr>
        <w:tc>
          <w:tcPr>
            <w:tcW w:w="26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4A2B4AD5" w14:textId="77777777" w:rsidR="00C21533" w:rsidRPr="00C21533" w:rsidRDefault="00C21533" w:rsidP="00C21533">
            <w:pPr>
              <w:spacing w:after="0" w:line="240" w:lineRule="auto"/>
              <w:jc w:val="left"/>
              <w:rPr>
                <w:rFonts w:eastAsia="Times New Roman" w:cs="Calibri"/>
                <w:color w:val="FFFFFF"/>
                <w:szCs w:val="24"/>
                <w:lang w:val="en-US"/>
              </w:rPr>
            </w:pPr>
            <w:r w:rsidRPr="00C21533">
              <w:rPr>
                <w:rFonts w:eastAsia="Times New Roman" w:cs="Calibri"/>
                <w:color w:val="FFFFFF"/>
                <w:szCs w:val="24"/>
                <w:lang w:val="en-US"/>
              </w:rPr>
              <w:t>Vacaciones</w:t>
            </w:r>
          </w:p>
        </w:tc>
        <w:tc>
          <w:tcPr>
            <w:tcW w:w="1960" w:type="dxa"/>
            <w:tcBorders>
              <w:top w:val="nil"/>
              <w:left w:val="nil"/>
              <w:bottom w:val="single" w:sz="8" w:space="0" w:color="auto"/>
              <w:right w:val="single" w:sz="8" w:space="0" w:color="auto"/>
            </w:tcBorders>
            <w:shd w:val="clear" w:color="auto" w:fill="auto"/>
            <w:noWrap/>
            <w:vAlign w:val="center"/>
            <w:hideMark/>
          </w:tcPr>
          <w:p w14:paraId="79E2A185" w14:textId="77777777" w:rsidR="00C21533" w:rsidRPr="00C21533" w:rsidRDefault="00C21533" w:rsidP="00C21533">
            <w:pPr>
              <w:spacing w:after="0" w:line="240" w:lineRule="auto"/>
              <w:jc w:val="center"/>
              <w:rPr>
                <w:rFonts w:eastAsia="Times New Roman" w:cs="Calibri"/>
                <w:b/>
                <w:bCs/>
                <w:color w:val="000000"/>
                <w:sz w:val="22"/>
                <w:lang w:val="en-US"/>
              </w:rPr>
            </w:pPr>
            <w:r w:rsidRPr="00C21533">
              <w:rPr>
                <w:rFonts w:ascii="Arial" w:eastAsia="Times New Roman" w:hAnsi="Arial" w:cs="Arial"/>
                <w:b/>
                <w:bCs/>
                <w:color w:val="000000"/>
                <w:sz w:val="22"/>
                <w:lang w:val="en-US"/>
              </w:rPr>
              <w:t>₡</w:t>
            </w:r>
            <w:r w:rsidRPr="00C21533">
              <w:rPr>
                <w:rFonts w:eastAsia="Times New Roman" w:cs="Calibri"/>
                <w:b/>
                <w:bCs/>
                <w:color w:val="000000"/>
                <w:sz w:val="22"/>
                <w:lang w:val="en-US"/>
              </w:rPr>
              <w:t>1 307 993,87</w:t>
            </w:r>
          </w:p>
        </w:tc>
        <w:tc>
          <w:tcPr>
            <w:tcW w:w="1680" w:type="dxa"/>
            <w:tcBorders>
              <w:top w:val="single" w:sz="8" w:space="0" w:color="auto"/>
              <w:left w:val="nil"/>
              <w:bottom w:val="single" w:sz="8" w:space="0" w:color="auto"/>
              <w:right w:val="single" w:sz="8" w:space="0" w:color="auto"/>
            </w:tcBorders>
            <w:shd w:val="clear" w:color="auto" w:fill="auto"/>
            <w:noWrap/>
            <w:vAlign w:val="center"/>
            <w:hideMark/>
          </w:tcPr>
          <w:p w14:paraId="065B6AD9" w14:textId="77777777" w:rsidR="00C21533" w:rsidRPr="00C21533" w:rsidRDefault="00C21533" w:rsidP="00C21533">
            <w:pPr>
              <w:spacing w:after="0" w:line="240" w:lineRule="auto"/>
              <w:jc w:val="center"/>
              <w:rPr>
                <w:rFonts w:eastAsia="Times New Roman" w:cs="Calibri"/>
                <w:color w:val="000000"/>
                <w:sz w:val="22"/>
                <w:lang w:val="en-US"/>
              </w:rPr>
            </w:pPr>
            <w:r w:rsidRPr="00C21533">
              <w:rPr>
                <w:rFonts w:eastAsia="Times New Roman" w:cs="Calibri"/>
                <w:color w:val="000000"/>
                <w:sz w:val="22"/>
                <w:lang w:val="en-US"/>
              </w:rPr>
              <w:t>1527</w:t>
            </w:r>
          </w:p>
        </w:tc>
        <w:tc>
          <w:tcPr>
            <w:tcW w:w="1680" w:type="dxa"/>
            <w:tcBorders>
              <w:top w:val="single" w:sz="8" w:space="0" w:color="auto"/>
              <w:left w:val="nil"/>
              <w:bottom w:val="nil"/>
              <w:right w:val="nil"/>
            </w:tcBorders>
            <w:shd w:val="clear" w:color="000000" w:fill="17365D"/>
            <w:vAlign w:val="center"/>
            <w:hideMark/>
          </w:tcPr>
          <w:p w14:paraId="7C1EC04C" w14:textId="77777777" w:rsidR="00C21533" w:rsidRPr="00C21533" w:rsidRDefault="00C21533" w:rsidP="00C21533">
            <w:pPr>
              <w:spacing w:after="0" w:line="240" w:lineRule="auto"/>
              <w:jc w:val="left"/>
              <w:rPr>
                <w:rFonts w:eastAsia="Times New Roman" w:cs="Calibri"/>
                <w:color w:val="FFFFFF"/>
                <w:sz w:val="22"/>
                <w:lang w:val="en-US"/>
              </w:rPr>
            </w:pPr>
            <w:r w:rsidRPr="00C21533">
              <w:rPr>
                <w:rFonts w:eastAsia="Times New Roman" w:cs="Calibri"/>
                <w:color w:val="FFFFFF"/>
                <w:sz w:val="22"/>
                <w:lang w:val="en-US"/>
              </w:rPr>
              <w:t> </w:t>
            </w:r>
          </w:p>
        </w:tc>
      </w:tr>
      <w:tr w:rsidR="00C21533" w:rsidRPr="00C21533" w14:paraId="6188F8D6" w14:textId="77777777" w:rsidTr="00C21533">
        <w:trPr>
          <w:trHeight w:val="320"/>
        </w:trPr>
        <w:tc>
          <w:tcPr>
            <w:tcW w:w="2640" w:type="dxa"/>
            <w:tcBorders>
              <w:top w:val="nil"/>
              <w:left w:val="single" w:sz="8" w:space="0" w:color="auto"/>
              <w:bottom w:val="single" w:sz="8" w:space="0" w:color="auto"/>
              <w:right w:val="single" w:sz="8" w:space="0" w:color="auto"/>
            </w:tcBorders>
            <w:shd w:val="clear" w:color="000000" w:fill="17365D"/>
            <w:vAlign w:val="center"/>
            <w:hideMark/>
          </w:tcPr>
          <w:p w14:paraId="7B733F4D" w14:textId="77777777" w:rsidR="00C21533" w:rsidRPr="00C21533" w:rsidRDefault="00C21533" w:rsidP="00C21533">
            <w:pPr>
              <w:spacing w:after="0" w:line="240" w:lineRule="auto"/>
              <w:jc w:val="left"/>
              <w:rPr>
                <w:rFonts w:eastAsia="Times New Roman" w:cs="Calibri"/>
                <w:color w:val="FFFFFF"/>
                <w:szCs w:val="24"/>
                <w:lang w:val="en-US"/>
              </w:rPr>
            </w:pPr>
            <w:r w:rsidRPr="00C21533">
              <w:rPr>
                <w:rFonts w:eastAsia="Times New Roman" w:cs="Calibri"/>
                <w:color w:val="FFFFFF"/>
                <w:szCs w:val="24"/>
                <w:lang w:val="en-US"/>
              </w:rPr>
              <w:t>Convención colectiva</w:t>
            </w:r>
          </w:p>
        </w:tc>
        <w:tc>
          <w:tcPr>
            <w:tcW w:w="1960" w:type="dxa"/>
            <w:tcBorders>
              <w:top w:val="nil"/>
              <w:left w:val="nil"/>
              <w:bottom w:val="single" w:sz="8" w:space="0" w:color="auto"/>
              <w:right w:val="single" w:sz="8" w:space="0" w:color="auto"/>
            </w:tcBorders>
            <w:shd w:val="clear" w:color="auto" w:fill="auto"/>
            <w:noWrap/>
            <w:vAlign w:val="center"/>
            <w:hideMark/>
          </w:tcPr>
          <w:p w14:paraId="0F50671C" w14:textId="77777777" w:rsidR="00C21533" w:rsidRPr="00C21533" w:rsidRDefault="00C21533" w:rsidP="00C21533">
            <w:pPr>
              <w:spacing w:after="0" w:line="240" w:lineRule="auto"/>
              <w:jc w:val="center"/>
              <w:rPr>
                <w:rFonts w:eastAsia="Times New Roman" w:cs="Calibri"/>
                <w:b/>
                <w:bCs/>
                <w:color w:val="000000"/>
                <w:sz w:val="22"/>
                <w:lang w:val="en-US"/>
              </w:rPr>
            </w:pPr>
            <w:r w:rsidRPr="00C21533">
              <w:rPr>
                <w:rFonts w:ascii="Arial" w:eastAsia="Times New Roman" w:hAnsi="Arial" w:cs="Arial"/>
                <w:b/>
                <w:bCs/>
                <w:color w:val="000000"/>
                <w:sz w:val="22"/>
                <w:lang w:val="en-US"/>
              </w:rPr>
              <w:t>₡</w:t>
            </w:r>
            <w:r w:rsidRPr="00C21533">
              <w:rPr>
                <w:rFonts w:eastAsia="Times New Roman" w:cs="Calibri"/>
                <w:b/>
                <w:bCs/>
                <w:color w:val="000000"/>
                <w:sz w:val="22"/>
                <w:lang w:val="en-US"/>
              </w:rPr>
              <w:t>0,00</w:t>
            </w:r>
          </w:p>
        </w:tc>
        <w:tc>
          <w:tcPr>
            <w:tcW w:w="1680" w:type="dxa"/>
            <w:vMerge w:val="restart"/>
            <w:tcBorders>
              <w:top w:val="nil"/>
              <w:left w:val="single" w:sz="8" w:space="0" w:color="auto"/>
              <w:bottom w:val="single" w:sz="8" w:space="0" w:color="000000"/>
              <w:right w:val="nil"/>
            </w:tcBorders>
            <w:shd w:val="clear" w:color="000000" w:fill="17365D"/>
            <w:vAlign w:val="center"/>
            <w:hideMark/>
          </w:tcPr>
          <w:p w14:paraId="1A9053A6" w14:textId="77777777" w:rsidR="00C21533" w:rsidRPr="00C21533" w:rsidRDefault="00C21533" w:rsidP="00C21533">
            <w:pPr>
              <w:spacing w:after="0" w:line="240" w:lineRule="auto"/>
              <w:jc w:val="center"/>
              <w:rPr>
                <w:rFonts w:eastAsia="Times New Roman" w:cs="Calibri"/>
                <w:color w:val="FFFFFF"/>
                <w:sz w:val="22"/>
                <w:lang w:val="en-US"/>
              </w:rPr>
            </w:pPr>
            <w:r w:rsidRPr="00C21533">
              <w:rPr>
                <w:rFonts w:eastAsia="Times New Roman" w:cs="Calibri"/>
                <w:color w:val="FFFFFF"/>
                <w:sz w:val="22"/>
                <w:lang w:val="en-US"/>
              </w:rPr>
              <w:t> </w:t>
            </w:r>
          </w:p>
        </w:tc>
        <w:tc>
          <w:tcPr>
            <w:tcW w:w="16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E5BCCE" w14:textId="77777777" w:rsidR="00C21533" w:rsidRPr="00C21533" w:rsidRDefault="00C21533" w:rsidP="00C21533">
            <w:pPr>
              <w:spacing w:after="0" w:line="240" w:lineRule="auto"/>
              <w:jc w:val="center"/>
              <w:rPr>
                <w:rFonts w:eastAsia="Times New Roman" w:cs="Calibri"/>
                <w:color w:val="000000"/>
                <w:sz w:val="22"/>
                <w:lang w:val="en-US"/>
              </w:rPr>
            </w:pPr>
            <w:r w:rsidRPr="00C21533">
              <w:rPr>
                <w:rFonts w:eastAsia="Times New Roman" w:cs="Calibri"/>
                <w:color w:val="000000"/>
                <w:sz w:val="22"/>
                <w:lang w:val="en-US"/>
              </w:rPr>
              <w:t> </w:t>
            </w:r>
          </w:p>
        </w:tc>
      </w:tr>
      <w:tr w:rsidR="00C21533" w:rsidRPr="00C21533" w14:paraId="341D09F3" w14:textId="77777777" w:rsidTr="00C21533">
        <w:trPr>
          <w:trHeight w:val="288"/>
        </w:trPr>
        <w:tc>
          <w:tcPr>
            <w:tcW w:w="2640" w:type="dxa"/>
            <w:tcBorders>
              <w:top w:val="nil"/>
              <w:left w:val="single" w:sz="8" w:space="0" w:color="auto"/>
              <w:bottom w:val="single" w:sz="8" w:space="0" w:color="auto"/>
              <w:right w:val="single" w:sz="8" w:space="0" w:color="auto"/>
            </w:tcBorders>
            <w:shd w:val="clear" w:color="000000" w:fill="17365D"/>
            <w:vAlign w:val="center"/>
            <w:hideMark/>
          </w:tcPr>
          <w:p w14:paraId="5EBF06F4" w14:textId="77777777" w:rsidR="00C21533" w:rsidRPr="00C21533" w:rsidRDefault="00C21533" w:rsidP="00C21533">
            <w:pPr>
              <w:spacing w:after="0" w:line="240" w:lineRule="auto"/>
              <w:jc w:val="left"/>
              <w:rPr>
                <w:rFonts w:eastAsia="Times New Roman" w:cs="Calibri"/>
                <w:color w:val="FFFFFF"/>
                <w:szCs w:val="24"/>
                <w:lang w:val="en-US"/>
              </w:rPr>
            </w:pPr>
            <w:r w:rsidRPr="00C21533">
              <w:rPr>
                <w:rFonts w:eastAsia="Times New Roman" w:cs="Calibri"/>
                <w:color w:val="FFFFFF"/>
                <w:szCs w:val="24"/>
                <w:lang w:val="en-US"/>
              </w:rPr>
              <w:t>Cesantía</w:t>
            </w:r>
          </w:p>
        </w:tc>
        <w:tc>
          <w:tcPr>
            <w:tcW w:w="1960" w:type="dxa"/>
            <w:tcBorders>
              <w:top w:val="nil"/>
              <w:left w:val="nil"/>
              <w:bottom w:val="single" w:sz="8" w:space="0" w:color="auto"/>
              <w:right w:val="single" w:sz="8" w:space="0" w:color="auto"/>
            </w:tcBorders>
            <w:shd w:val="clear" w:color="auto" w:fill="auto"/>
            <w:noWrap/>
            <w:vAlign w:val="center"/>
            <w:hideMark/>
          </w:tcPr>
          <w:p w14:paraId="617A96FB" w14:textId="77777777" w:rsidR="00C21533" w:rsidRPr="00C21533" w:rsidRDefault="00C21533" w:rsidP="00C21533">
            <w:pPr>
              <w:spacing w:after="0" w:line="240" w:lineRule="auto"/>
              <w:jc w:val="center"/>
              <w:rPr>
                <w:rFonts w:eastAsia="Times New Roman" w:cs="Calibri"/>
                <w:b/>
                <w:bCs/>
                <w:color w:val="000000"/>
                <w:sz w:val="22"/>
                <w:lang w:val="en-US"/>
              </w:rPr>
            </w:pPr>
            <w:r w:rsidRPr="00C21533">
              <w:rPr>
                <w:rFonts w:ascii="Arial" w:eastAsia="Times New Roman" w:hAnsi="Arial" w:cs="Arial"/>
                <w:b/>
                <w:bCs/>
                <w:color w:val="000000"/>
                <w:sz w:val="22"/>
                <w:lang w:val="en-US"/>
              </w:rPr>
              <w:t>₡</w:t>
            </w:r>
            <w:r w:rsidRPr="00C21533">
              <w:rPr>
                <w:rFonts w:eastAsia="Times New Roman" w:cs="Calibri"/>
                <w:b/>
                <w:bCs/>
                <w:color w:val="000000"/>
                <w:sz w:val="22"/>
                <w:lang w:val="en-US"/>
              </w:rPr>
              <w:t>4 650 644,89</w:t>
            </w:r>
          </w:p>
        </w:tc>
        <w:tc>
          <w:tcPr>
            <w:tcW w:w="1680" w:type="dxa"/>
            <w:vMerge/>
            <w:tcBorders>
              <w:top w:val="nil"/>
              <w:left w:val="single" w:sz="8" w:space="0" w:color="auto"/>
              <w:bottom w:val="single" w:sz="8" w:space="0" w:color="000000"/>
              <w:right w:val="nil"/>
            </w:tcBorders>
            <w:vAlign w:val="center"/>
            <w:hideMark/>
          </w:tcPr>
          <w:p w14:paraId="36FEFAF1" w14:textId="77777777" w:rsidR="00C21533" w:rsidRPr="00C21533" w:rsidRDefault="00C21533" w:rsidP="00C21533">
            <w:pPr>
              <w:spacing w:after="0" w:line="240" w:lineRule="auto"/>
              <w:jc w:val="left"/>
              <w:rPr>
                <w:rFonts w:eastAsia="Times New Roman" w:cs="Calibri"/>
                <w:color w:val="FFFFFF"/>
                <w:sz w:val="22"/>
                <w:lang w:val="en-US"/>
              </w:rPr>
            </w:pPr>
          </w:p>
        </w:tc>
        <w:tc>
          <w:tcPr>
            <w:tcW w:w="1680" w:type="dxa"/>
            <w:vMerge w:val="restart"/>
            <w:tcBorders>
              <w:top w:val="nil"/>
              <w:left w:val="nil"/>
              <w:bottom w:val="single" w:sz="8" w:space="0" w:color="000000"/>
              <w:right w:val="single" w:sz="8" w:space="0" w:color="auto"/>
            </w:tcBorders>
            <w:shd w:val="clear" w:color="000000" w:fill="17365D"/>
            <w:vAlign w:val="center"/>
            <w:hideMark/>
          </w:tcPr>
          <w:p w14:paraId="6EEDCEA2" w14:textId="77777777" w:rsidR="00C21533" w:rsidRPr="00C21533" w:rsidRDefault="00C21533" w:rsidP="00C21533">
            <w:pPr>
              <w:spacing w:after="0" w:line="240" w:lineRule="auto"/>
              <w:jc w:val="center"/>
              <w:rPr>
                <w:rFonts w:eastAsia="Times New Roman" w:cs="Calibri"/>
                <w:color w:val="FFFFFF"/>
                <w:sz w:val="22"/>
                <w:lang w:val="en-US"/>
              </w:rPr>
            </w:pPr>
            <w:r w:rsidRPr="00C21533">
              <w:rPr>
                <w:rFonts w:eastAsia="Times New Roman" w:cs="Calibri"/>
                <w:color w:val="FFFFFF"/>
                <w:sz w:val="22"/>
                <w:lang w:val="en-US"/>
              </w:rPr>
              <w:t> </w:t>
            </w:r>
          </w:p>
        </w:tc>
      </w:tr>
      <w:tr w:rsidR="00C21533" w:rsidRPr="00C21533" w14:paraId="2D4D7DD3" w14:textId="77777777" w:rsidTr="00C21533">
        <w:trPr>
          <w:trHeight w:val="320"/>
        </w:trPr>
        <w:tc>
          <w:tcPr>
            <w:tcW w:w="2640" w:type="dxa"/>
            <w:tcBorders>
              <w:top w:val="nil"/>
              <w:left w:val="single" w:sz="8" w:space="0" w:color="auto"/>
              <w:bottom w:val="single" w:sz="8" w:space="0" w:color="auto"/>
              <w:right w:val="single" w:sz="8" w:space="0" w:color="auto"/>
            </w:tcBorders>
            <w:shd w:val="clear" w:color="000000" w:fill="17365D"/>
            <w:vAlign w:val="center"/>
            <w:hideMark/>
          </w:tcPr>
          <w:p w14:paraId="591374BC" w14:textId="77777777" w:rsidR="00C21533" w:rsidRPr="00C21533" w:rsidRDefault="00C21533" w:rsidP="00C21533">
            <w:pPr>
              <w:spacing w:after="0" w:line="240" w:lineRule="auto"/>
              <w:jc w:val="left"/>
              <w:rPr>
                <w:rFonts w:eastAsia="Times New Roman" w:cs="Calibri"/>
                <w:color w:val="FFFFFF"/>
                <w:szCs w:val="24"/>
                <w:lang w:val="en-US"/>
              </w:rPr>
            </w:pPr>
            <w:r w:rsidRPr="00C21533">
              <w:rPr>
                <w:rFonts w:eastAsia="Times New Roman" w:cs="Calibri"/>
                <w:color w:val="FFFFFF"/>
                <w:szCs w:val="24"/>
                <w:lang w:val="en-US"/>
              </w:rPr>
              <w:t>Preaviso</w:t>
            </w:r>
          </w:p>
        </w:tc>
        <w:tc>
          <w:tcPr>
            <w:tcW w:w="1960" w:type="dxa"/>
            <w:tcBorders>
              <w:top w:val="nil"/>
              <w:left w:val="nil"/>
              <w:bottom w:val="single" w:sz="8" w:space="0" w:color="auto"/>
              <w:right w:val="single" w:sz="8" w:space="0" w:color="auto"/>
            </w:tcBorders>
            <w:shd w:val="clear" w:color="auto" w:fill="auto"/>
            <w:noWrap/>
            <w:vAlign w:val="center"/>
            <w:hideMark/>
          </w:tcPr>
          <w:p w14:paraId="5A7238BF" w14:textId="77777777" w:rsidR="00C21533" w:rsidRPr="00C21533" w:rsidRDefault="00C21533" w:rsidP="00C21533">
            <w:pPr>
              <w:spacing w:after="0" w:line="240" w:lineRule="auto"/>
              <w:jc w:val="center"/>
              <w:rPr>
                <w:rFonts w:eastAsia="Times New Roman" w:cs="Calibri"/>
                <w:b/>
                <w:bCs/>
                <w:color w:val="000000"/>
                <w:sz w:val="22"/>
                <w:lang w:val="en-US"/>
              </w:rPr>
            </w:pPr>
            <w:r w:rsidRPr="00C21533">
              <w:rPr>
                <w:rFonts w:ascii="Arial" w:eastAsia="Times New Roman" w:hAnsi="Arial" w:cs="Arial"/>
                <w:b/>
                <w:bCs/>
                <w:color w:val="000000"/>
                <w:sz w:val="22"/>
                <w:lang w:val="en-US"/>
              </w:rPr>
              <w:t>₡</w:t>
            </w:r>
            <w:r w:rsidRPr="00C21533">
              <w:rPr>
                <w:rFonts w:eastAsia="Times New Roman" w:cs="Calibri"/>
                <w:b/>
                <w:bCs/>
                <w:color w:val="000000"/>
                <w:sz w:val="22"/>
                <w:lang w:val="en-US"/>
              </w:rPr>
              <w:t>0,00</w:t>
            </w:r>
          </w:p>
        </w:tc>
        <w:tc>
          <w:tcPr>
            <w:tcW w:w="1680" w:type="dxa"/>
            <w:vMerge/>
            <w:tcBorders>
              <w:top w:val="nil"/>
              <w:left w:val="single" w:sz="8" w:space="0" w:color="auto"/>
              <w:bottom w:val="single" w:sz="8" w:space="0" w:color="000000"/>
              <w:right w:val="nil"/>
            </w:tcBorders>
            <w:vAlign w:val="center"/>
            <w:hideMark/>
          </w:tcPr>
          <w:p w14:paraId="6AF7D92A" w14:textId="77777777" w:rsidR="00C21533" w:rsidRPr="00C21533" w:rsidRDefault="00C21533" w:rsidP="00C21533">
            <w:pPr>
              <w:spacing w:after="0" w:line="240" w:lineRule="auto"/>
              <w:jc w:val="left"/>
              <w:rPr>
                <w:rFonts w:eastAsia="Times New Roman" w:cs="Calibri"/>
                <w:color w:val="FFFFFF"/>
                <w:sz w:val="22"/>
                <w:lang w:val="en-US"/>
              </w:rPr>
            </w:pPr>
          </w:p>
        </w:tc>
        <w:tc>
          <w:tcPr>
            <w:tcW w:w="1680" w:type="dxa"/>
            <w:vMerge/>
            <w:tcBorders>
              <w:top w:val="nil"/>
              <w:left w:val="nil"/>
              <w:bottom w:val="single" w:sz="8" w:space="0" w:color="000000"/>
              <w:right w:val="single" w:sz="8" w:space="0" w:color="auto"/>
            </w:tcBorders>
            <w:vAlign w:val="center"/>
            <w:hideMark/>
          </w:tcPr>
          <w:p w14:paraId="41532209" w14:textId="77777777" w:rsidR="00C21533" w:rsidRPr="00C21533" w:rsidRDefault="00C21533" w:rsidP="00C21533">
            <w:pPr>
              <w:spacing w:after="0" w:line="240" w:lineRule="auto"/>
              <w:jc w:val="left"/>
              <w:rPr>
                <w:rFonts w:eastAsia="Times New Roman" w:cs="Calibri"/>
                <w:color w:val="FFFFFF"/>
                <w:sz w:val="22"/>
                <w:lang w:val="en-US"/>
              </w:rPr>
            </w:pPr>
          </w:p>
        </w:tc>
      </w:tr>
    </w:tbl>
    <w:p w14:paraId="3EC2C70C" w14:textId="77777777" w:rsidR="00694299" w:rsidRDefault="0021402F" w:rsidP="00986512">
      <w:pPr>
        <w:rPr>
          <w:rFonts w:asciiTheme="minorHAnsi" w:hAnsiTheme="minorHAnsi"/>
          <w:sz w:val="22"/>
        </w:rPr>
      </w:pPr>
      <w:r>
        <w:rPr>
          <w:lang w:eastAsia="es-CR"/>
        </w:rPr>
        <w:fldChar w:fldCharType="begin"/>
      </w:r>
      <w:r>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NICSP_39!F12C7:F16C10 </w:instrText>
      </w:r>
      <w:r>
        <w:rPr>
          <w:lang w:eastAsia="es-CR"/>
        </w:rPr>
        <w:instrText xml:space="preserve">\a \f 4 \h </w:instrText>
      </w:r>
      <w:r>
        <w:rPr>
          <w:lang w:eastAsia="es-CR"/>
        </w:rPr>
        <w:fldChar w:fldCharType="separate"/>
      </w:r>
    </w:p>
    <w:p w14:paraId="5E25C5A0" w14:textId="07F5AB8E" w:rsidR="00694299" w:rsidRDefault="0021402F" w:rsidP="00311AE2">
      <w:pPr>
        <w:rPr>
          <w:rFonts w:asciiTheme="minorHAnsi" w:hAnsiTheme="minorHAnsi"/>
          <w:sz w:val="22"/>
        </w:rPr>
      </w:pPr>
      <w:r>
        <w:rPr>
          <w:b/>
          <w:sz w:val="16"/>
          <w:szCs w:val="16"/>
          <w:lang w:eastAsia="es-CR"/>
        </w:rPr>
        <w:fldChar w:fldCharType="end"/>
      </w:r>
      <w:r w:rsidR="00A649A4" w:rsidRPr="00A649A4">
        <w:rPr>
          <w:lang w:val="es-MX" w:eastAsia="es-CR"/>
        </w:rPr>
        <w:t>La entidad brinda Servicios médicos</w:t>
      </w:r>
      <w:r w:rsidRPr="00311AE2">
        <w:rPr>
          <w:lang w:val="es-MX" w:eastAsia="es-CR"/>
        </w:rPr>
        <w:fldChar w:fldCharType="begin"/>
      </w:r>
      <w:r w:rsidRPr="00311AE2">
        <w:rPr>
          <w:lang w:val="es-MX" w:eastAsia="es-CR"/>
        </w:rPr>
        <w:instrText xml:space="preserve"> LINK </w:instrText>
      </w:r>
      <w:r w:rsidR="00323752">
        <w:rPr>
          <w:lang w:val="es-MX" w:eastAsia="es-CR"/>
        </w:rPr>
        <w:instrText xml:space="preserve">Excel.SheetMacroEnabled.12 "D:\\MORAVIA\\INSUMOS\\NOTAS 2024\\Formato_Notas_EEFF_Vinculadas_2024\\XXXXX_PXX_202X_Anexo_Estado_Notas_Contables_Vinculadas.xlsm" NICSP_39!F20C7:F21C9 </w:instrText>
      </w:r>
      <w:r w:rsidRPr="00311AE2">
        <w:rPr>
          <w:lang w:val="es-MX" w:eastAsia="es-CR"/>
        </w:rPr>
        <w:instrText xml:space="preserve">\a \f 4 \h </w:instrText>
      </w:r>
      <w:r w:rsidRPr="00311AE2">
        <w:rPr>
          <w:lang w:val="es-MX" w:eastAsia="es-CR"/>
        </w:rPr>
        <w:fldChar w:fldCharType="separate"/>
      </w:r>
    </w:p>
    <w:tbl>
      <w:tblPr>
        <w:tblW w:w="6160" w:type="dxa"/>
        <w:tblCellMar>
          <w:left w:w="70" w:type="dxa"/>
          <w:right w:w="70" w:type="dxa"/>
        </w:tblCellMar>
        <w:tblLook w:val="04A0" w:firstRow="1" w:lastRow="0" w:firstColumn="1" w:lastColumn="0" w:noHBand="0" w:noVBand="1"/>
      </w:tblPr>
      <w:tblGrid>
        <w:gridCol w:w="2608"/>
        <w:gridCol w:w="1915"/>
        <w:gridCol w:w="1637"/>
      </w:tblGrid>
      <w:tr w:rsidR="00694299" w:rsidRPr="00694299" w14:paraId="527BE410" w14:textId="77777777" w:rsidTr="00282E2D">
        <w:trPr>
          <w:divId w:val="1389955162"/>
          <w:trHeight w:val="288"/>
        </w:trPr>
        <w:tc>
          <w:tcPr>
            <w:tcW w:w="2608" w:type="dxa"/>
            <w:tcBorders>
              <w:top w:val="nil"/>
              <w:left w:val="nil"/>
              <w:bottom w:val="nil"/>
              <w:right w:val="nil"/>
            </w:tcBorders>
            <w:shd w:val="clear" w:color="auto" w:fill="auto"/>
            <w:noWrap/>
            <w:vAlign w:val="bottom"/>
            <w:hideMark/>
          </w:tcPr>
          <w:p w14:paraId="7F741CD3" w14:textId="5350CF19" w:rsidR="00694299" w:rsidRPr="00694299" w:rsidRDefault="00694299" w:rsidP="00694299">
            <w:pPr>
              <w:rPr>
                <w:rFonts w:ascii="Times New Roman" w:eastAsia="Times New Roman" w:hAnsi="Times New Roman" w:cs="Times New Roman"/>
                <w:szCs w:val="24"/>
                <w:lang w:eastAsia="es-CR"/>
              </w:rPr>
            </w:pPr>
          </w:p>
        </w:tc>
        <w:tc>
          <w:tcPr>
            <w:tcW w:w="1915" w:type="dxa"/>
            <w:tcBorders>
              <w:top w:val="single" w:sz="8" w:space="0" w:color="auto"/>
              <w:left w:val="single" w:sz="8" w:space="0" w:color="auto"/>
              <w:bottom w:val="single" w:sz="4" w:space="0" w:color="auto"/>
              <w:right w:val="nil"/>
            </w:tcBorders>
            <w:shd w:val="clear" w:color="000000" w:fill="17365D"/>
            <w:vAlign w:val="center"/>
            <w:hideMark/>
          </w:tcPr>
          <w:p w14:paraId="2482BE45"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 xml:space="preserve">SI </w:t>
            </w:r>
          </w:p>
        </w:tc>
        <w:tc>
          <w:tcPr>
            <w:tcW w:w="1637" w:type="dxa"/>
            <w:tcBorders>
              <w:top w:val="single" w:sz="8" w:space="0" w:color="auto"/>
              <w:left w:val="nil"/>
              <w:bottom w:val="single" w:sz="4" w:space="0" w:color="auto"/>
              <w:right w:val="single" w:sz="8" w:space="0" w:color="auto"/>
            </w:tcBorders>
            <w:shd w:val="clear" w:color="000000" w:fill="17365D"/>
            <w:vAlign w:val="center"/>
            <w:hideMark/>
          </w:tcPr>
          <w:p w14:paraId="46CA1B08"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NO</w:t>
            </w:r>
          </w:p>
        </w:tc>
      </w:tr>
      <w:tr w:rsidR="00694299" w:rsidRPr="00694299" w14:paraId="6BF9F096" w14:textId="77777777" w:rsidTr="00282E2D">
        <w:trPr>
          <w:divId w:val="1389955162"/>
          <w:trHeight w:val="324"/>
        </w:trPr>
        <w:tc>
          <w:tcPr>
            <w:tcW w:w="2608" w:type="dxa"/>
            <w:tcBorders>
              <w:top w:val="single" w:sz="8" w:space="0" w:color="auto"/>
              <w:left w:val="single" w:sz="8" w:space="0" w:color="auto"/>
              <w:bottom w:val="single" w:sz="8" w:space="0" w:color="auto"/>
              <w:right w:val="single" w:sz="4" w:space="0" w:color="auto"/>
            </w:tcBorders>
            <w:shd w:val="clear" w:color="000000" w:fill="17365D"/>
            <w:vAlign w:val="center"/>
            <w:hideMark/>
          </w:tcPr>
          <w:p w14:paraId="75E911B3"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Servicios Médicos</w:t>
            </w:r>
          </w:p>
        </w:tc>
        <w:tc>
          <w:tcPr>
            <w:tcW w:w="1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902B5"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 </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984D7" w14:textId="22ADABED"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 </w:t>
            </w:r>
            <w:r w:rsidR="00EB24D2">
              <w:rPr>
                <w:rFonts w:eastAsia="Times New Roman" w:cs="Calibri"/>
                <w:color w:val="000000"/>
                <w:sz w:val="22"/>
                <w:lang w:eastAsia="es-CR"/>
              </w:rPr>
              <w:t>1</w:t>
            </w:r>
          </w:p>
        </w:tc>
      </w:tr>
    </w:tbl>
    <w:p w14:paraId="561E5141" w14:textId="77777777" w:rsidR="00EB24D2" w:rsidRDefault="0021402F" w:rsidP="00311AE2">
      <w:pPr>
        <w:rPr>
          <w:lang w:eastAsia="es-CR"/>
        </w:rPr>
      </w:pPr>
      <w:r w:rsidRPr="00311AE2">
        <w:rPr>
          <w:lang w:val="es-MX" w:eastAsia="es-CR"/>
        </w:rPr>
        <w:fldChar w:fldCharType="end"/>
      </w:r>
      <w:r w:rsidR="00311AE2" w:rsidRPr="00311AE2">
        <w:rPr>
          <w:lang w:eastAsia="es-CR"/>
        </w:rPr>
        <w:t xml:space="preserve"> </w:t>
      </w:r>
    </w:p>
    <w:p w14:paraId="20A7DC95" w14:textId="76026D0C" w:rsidR="00311AE2" w:rsidRPr="00311AE2" w:rsidRDefault="00311AE2" w:rsidP="00311AE2">
      <w:pPr>
        <w:rPr>
          <w:lang w:eastAsia="es-CR"/>
        </w:rPr>
      </w:pPr>
      <w:r w:rsidRPr="00311AE2">
        <w:rPr>
          <w:lang w:eastAsia="es-CR"/>
        </w:rPr>
        <w:t>El responsable contable debe analizar y revelar lo dispuesto en el párrafo 5 de la NICSP 39.</w:t>
      </w:r>
    </w:p>
    <w:p w14:paraId="62C5FF84" w14:textId="77777777" w:rsidR="00311AE2" w:rsidRPr="00311AE2" w:rsidRDefault="00311AE2" w:rsidP="00311AE2">
      <w:pPr>
        <w:rPr>
          <w:lang w:eastAsia="es-CR"/>
        </w:rPr>
      </w:pPr>
      <w:r w:rsidRPr="00311AE2">
        <w:rPr>
          <w:lang w:eastAsia="es-CR"/>
        </w:rPr>
        <w:t xml:space="preserve">Los beneficios a los empleados comprenden: </w:t>
      </w:r>
    </w:p>
    <w:p w14:paraId="60E85E6A" w14:textId="77777777" w:rsidR="00311AE2" w:rsidRPr="00311AE2" w:rsidRDefault="00311AE2">
      <w:pPr>
        <w:pStyle w:val="Prrafodelista"/>
        <w:numPr>
          <w:ilvl w:val="0"/>
          <w:numId w:val="16"/>
        </w:numPr>
        <w:rPr>
          <w:lang w:eastAsia="es-CR"/>
        </w:rPr>
      </w:pPr>
      <w:r w:rsidRPr="00311AE2">
        <w:rPr>
          <w:lang w:eastAsia="es-CR"/>
        </w:rPr>
        <w:t>los beneficios a los empleados a corto plazo, tales como los siguientes, si se esperan liquidar totalmente antes de los doce meses posteriores al final del periodo sobre el que se informa en el que los empleados presten los servicios relacionados:</w:t>
      </w:r>
    </w:p>
    <w:p w14:paraId="4D7B0530" w14:textId="77777777" w:rsidR="00311AE2" w:rsidRPr="00311AE2" w:rsidRDefault="00311AE2">
      <w:pPr>
        <w:pStyle w:val="Prrafodelista"/>
        <w:numPr>
          <w:ilvl w:val="0"/>
          <w:numId w:val="17"/>
        </w:numPr>
        <w:rPr>
          <w:lang w:eastAsia="es-CR"/>
        </w:rPr>
      </w:pPr>
      <w:r w:rsidRPr="00311AE2">
        <w:rPr>
          <w:lang w:eastAsia="es-CR"/>
        </w:rPr>
        <w:t>sueldos, salarios y contribuciones a la seguridad social;</w:t>
      </w:r>
    </w:p>
    <w:p w14:paraId="0382E5DF" w14:textId="77777777" w:rsidR="00311AE2" w:rsidRPr="00311AE2" w:rsidRDefault="00311AE2">
      <w:pPr>
        <w:pStyle w:val="Prrafodelista"/>
        <w:numPr>
          <w:ilvl w:val="0"/>
          <w:numId w:val="17"/>
        </w:numPr>
        <w:rPr>
          <w:lang w:eastAsia="es-CR"/>
        </w:rPr>
      </w:pPr>
      <w:r w:rsidRPr="00311AE2">
        <w:rPr>
          <w:lang w:eastAsia="es-CR"/>
        </w:rPr>
        <w:t>ausencias remuneradas anuales, ausencias remuneradas por enfermedad;</w:t>
      </w:r>
    </w:p>
    <w:p w14:paraId="4FB950E9" w14:textId="77777777" w:rsidR="00311AE2" w:rsidRPr="00311AE2" w:rsidRDefault="00311AE2">
      <w:pPr>
        <w:pStyle w:val="Prrafodelista"/>
        <w:numPr>
          <w:ilvl w:val="0"/>
          <w:numId w:val="17"/>
        </w:numPr>
        <w:rPr>
          <w:lang w:eastAsia="es-CR"/>
        </w:rPr>
      </w:pPr>
      <w:r w:rsidRPr="00311AE2">
        <w:rPr>
          <w:lang w:eastAsia="es-CR"/>
        </w:rPr>
        <w:t>participación en ganancias e incentivos; y</w:t>
      </w:r>
    </w:p>
    <w:p w14:paraId="1361DDA1" w14:textId="77777777" w:rsidR="00311AE2" w:rsidRPr="00311AE2" w:rsidRDefault="00311AE2">
      <w:pPr>
        <w:pStyle w:val="Prrafodelista"/>
        <w:numPr>
          <w:ilvl w:val="0"/>
          <w:numId w:val="17"/>
        </w:numPr>
        <w:rPr>
          <w:lang w:eastAsia="es-CR"/>
        </w:rPr>
      </w:pPr>
      <w:r w:rsidRPr="00311AE2">
        <w:rPr>
          <w:lang w:eastAsia="es-CR"/>
        </w:rPr>
        <w:t>beneficios no monetarios a los empleados actuales (tales como atenciones médicas, alojamiento, automóviles y entrega de bienes y servicios gratuitos o parcialmente subvencionados);</w:t>
      </w:r>
    </w:p>
    <w:p w14:paraId="2C801AF1" w14:textId="77777777" w:rsidR="00311AE2" w:rsidRPr="00311AE2" w:rsidRDefault="00311AE2">
      <w:pPr>
        <w:pStyle w:val="Prrafodelista"/>
        <w:numPr>
          <w:ilvl w:val="0"/>
          <w:numId w:val="16"/>
        </w:numPr>
        <w:rPr>
          <w:lang w:eastAsia="es-CR"/>
        </w:rPr>
      </w:pPr>
      <w:r w:rsidRPr="00311AE2">
        <w:rPr>
          <w:lang w:eastAsia="es-CR"/>
        </w:rPr>
        <w:t>beneficios post-empleo tales como los siguientes:</w:t>
      </w:r>
    </w:p>
    <w:p w14:paraId="499664E5" w14:textId="77777777" w:rsidR="00311AE2" w:rsidRPr="00311AE2" w:rsidRDefault="00311AE2">
      <w:pPr>
        <w:pStyle w:val="Prrafodelista"/>
        <w:numPr>
          <w:ilvl w:val="0"/>
          <w:numId w:val="18"/>
        </w:numPr>
        <w:rPr>
          <w:lang w:eastAsia="es-CR"/>
        </w:rPr>
      </w:pPr>
      <w:r w:rsidRPr="00311AE2">
        <w:rPr>
          <w:lang w:eastAsia="es-CR"/>
        </w:rPr>
        <w:t xml:space="preserve">beneficios por retiro (por ejemplo, pensiones y pagos únicos por retiro); y </w:t>
      </w:r>
    </w:p>
    <w:p w14:paraId="29A97AC3" w14:textId="77777777" w:rsidR="00311AE2" w:rsidRPr="00311AE2" w:rsidRDefault="00311AE2">
      <w:pPr>
        <w:pStyle w:val="Prrafodelista"/>
        <w:numPr>
          <w:ilvl w:val="0"/>
          <w:numId w:val="18"/>
        </w:numPr>
        <w:rPr>
          <w:lang w:eastAsia="es-CR"/>
        </w:rPr>
      </w:pPr>
      <w:r w:rsidRPr="00311AE2">
        <w:rPr>
          <w:lang w:eastAsia="es-CR"/>
        </w:rPr>
        <w:t>otros beneficios post-empleo, tales como los seguros de vida y los beneficios de atención médica posteriores al empleo;</w:t>
      </w:r>
    </w:p>
    <w:p w14:paraId="65D74EF3" w14:textId="77777777" w:rsidR="00311AE2" w:rsidRPr="00311AE2" w:rsidRDefault="00311AE2">
      <w:pPr>
        <w:pStyle w:val="Prrafodelista"/>
        <w:numPr>
          <w:ilvl w:val="0"/>
          <w:numId w:val="16"/>
        </w:numPr>
        <w:rPr>
          <w:lang w:eastAsia="es-CR"/>
        </w:rPr>
      </w:pPr>
      <w:r w:rsidRPr="00311AE2">
        <w:rPr>
          <w:lang w:eastAsia="es-CR"/>
        </w:rPr>
        <w:t xml:space="preserve">otros beneficios a los empleados a largo plazo, tales como los siguientes: </w:t>
      </w:r>
    </w:p>
    <w:p w14:paraId="0FFC9E64" w14:textId="77777777" w:rsidR="00311AE2" w:rsidRPr="00311AE2" w:rsidRDefault="00311AE2">
      <w:pPr>
        <w:pStyle w:val="Prrafodelista"/>
        <w:numPr>
          <w:ilvl w:val="0"/>
          <w:numId w:val="19"/>
        </w:numPr>
        <w:rPr>
          <w:lang w:eastAsia="es-CR"/>
        </w:rPr>
      </w:pPr>
      <w:r w:rsidRPr="00311AE2">
        <w:rPr>
          <w:lang w:eastAsia="es-CR"/>
        </w:rPr>
        <w:t>las ausencias retribuidas a largo plazo, tales como vacaciones tras largos periodos de servicio o años sabáticos;</w:t>
      </w:r>
    </w:p>
    <w:p w14:paraId="69551B32" w14:textId="77777777" w:rsidR="00311AE2" w:rsidRPr="00311AE2" w:rsidRDefault="00311AE2">
      <w:pPr>
        <w:pStyle w:val="Prrafodelista"/>
        <w:numPr>
          <w:ilvl w:val="0"/>
          <w:numId w:val="19"/>
        </w:numPr>
        <w:rPr>
          <w:lang w:eastAsia="es-CR"/>
        </w:rPr>
      </w:pPr>
      <w:r w:rsidRPr="00311AE2">
        <w:rPr>
          <w:lang w:eastAsia="es-CR"/>
        </w:rPr>
        <w:t xml:space="preserve">los beneficios por antigüedad o por largo tiempo de servicio; y </w:t>
      </w:r>
    </w:p>
    <w:p w14:paraId="01014833" w14:textId="77777777" w:rsidR="00311AE2" w:rsidRPr="00311AE2" w:rsidRDefault="00311AE2">
      <w:pPr>
        <w:pStyle w:val="Prrafodelista"/>
        <w:numPr>
          <w:ilvl w:val="0"/>
          <w:numId w:val="19"/>
        </w:numPr>
        <w:rPr>
          <w:lang w:eastAsia="es-CR"/>
        </w:rPr>
      </w:pPr>
      <w:r w:rsidRPr="00311AE2">
        <w:rPr>
          <w:lang w:eastAsia="es-CR"/>
        </w:rPr>
        <w:t xml:space="preserve">los beneficios por incapacidad a largo plazo; y </w:t>
      </w:r>
    </w:p>
    <w:p w14:paraId="293B89BF" w14:textId="77777777" w:rsidR="00311AE2" w:rsidRPr="00311AE2" w:rsidRDefault="00311AE2">
      <w:pPr>
        <w:pStyle w:val="Prrafodelista"/>
        <w:numPr>
          <w:ilvl w:val="0"/>
          <w:numId w:val="16"/>
        </w:numPr>
        <w:rPr>
          <w:lang w:eastAsia="es-CR"/>
        </w:rPr>
      </w:pPr>
      <w:r w:rsidRPr="00311AE2">
        <w:rPr>
          <w:lang w:eastAsia="es-CR"/>
        </w:rPr>
        <w:t>indemnizaciones por cese.</w:t>
      </w:r>
    </w:p>
    <w:p w14:paraId="45B8FAAF" w14:textId="5EDE6FD7" w:rsidR="00A649A4" w:rsidRDefault="00A649A4" w:rsidP="00986512">
      <w:pPr>
        <w:rPr>
          <w:rFonts w:eastAsia="Calibri"/>
          <w:lang w:val="es-MX"/>
        </w:rPr>
      </w:pPr>
      <w:r w:rsidRPr="00A649A4">
        <w:rPr>
          <w:rFonts w:eastAsia="Calibri"/>
          <w:lang w:val="es-MX"/>
        </w:rPr>
        <w:t>La NICSP 39 párrafo 59 describe los pasos necesarios para la contabilidad de los planes de beneficios definidos."</w:t>
      </w:r>
    </w:p>
    <w:p w14:paraId="144CB3A4" w14:textId="77777777" w:rsidR="00282E2D" w:rsidRDefault="009131F0" w:rsidP="009131F0">
      <w:pPr>
        <w:spacing w:before="240"/>
        <w:rPr>
          <w:b/>
          <w:color w:val="FFFFFF" w:themeColor="background1"/>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702A6AA5" w14:textId="1078B4A6" w:rsidR="009131F0" w:rsidRDefault="00282E2D" w:rsidP="00981622">
      <w:pPr>
        <w:spacing w:before="240" w:line="240" w:lineRule="auto"/>
        <w:rPr>
          <w:lang w:val="es-MX"/>
        </w:rPr>
      </w:pPr>
      <w:r>
        <w:rPr>
          <w:lang w:val="es-MX"/>
        </w:rPr>
        <w:t xml:space="preserve">Los beneficios a empleados de corto plazo </w:t>
      </w:r>
      <w:r w:rsidR="00981622">
        <w:rPr>
          <w:lang w:val="es-MX"/>
        </w:rPr>
        <w:t>se reconocen como un gasto en el periodo en el cual el empleado presta el servicio.</w:t>
      </w:r>
    </w:p>
    <w:p w14:paraId="64943695" w14:textId="051E5094" w:rsidR="00981622" w:rsidRDefault="00981622" w:rsidP="00981622">
      <w:pPr>
        <w:spacing w:before="240" w:line="240" w:lineRule="auto"/>
        <w:rPr>
          <w:lang w:val="es-MX"/>
        </w:rPr>
      </w:pPr>
      <w:r>
        <w:rPr>
          <w:lang w:val="es-MX"/>
        </w:rPr>
        <w:t>Los planes de contribución definida (seguro de invalidez, vejes muerte cancelados a la CCSS) son reconocidos en el periodo en el cual la contribución se convierte en una obligación por pagar</w:t>
      </w:r>
      <w:r w:rsidR="0016687D">
        <w:rPr>
          <w:lang w:val="es-MX"/>
        </w:rPr>
        <w:t>, como un pasivo /Gasto acumulado o devengado) después de deducir cualquier importe ya satisfecho</w:t>
      </w:r>
      <w:r>
        <w:rPr>
          <w:lang w:val="es-MX"/>
        </w:rPr>
        <w:t>.</w:t>
      </w:r>
      <w:r w:rsidR="0016687D">
        <w:rPr>
          <w:lang w:val="es-MX"/>
        </w:rPr>
        <w:t xml:space="preserve"> Si la contribución pagada es superior a las adeudadas al final del periodo se reconocerá el exceso como</w:t>
      </w:r>
      <w:r w:rsidR="0032093B">
        <w:rPr>
          <w:lang w:val="es-MX"/>
        </w:rPr>
        <w:t>:</w:t>
      </w:r>
      <w:r w:rsidR="0016687D">
        <w:rPr>
          <w:lang w:val="es-MX"/>
        </w:rPr>
        <w:t xml:space="preserve"> un activo (pago anticipado)</w:t>
      </w:r>
      <w:r w:rsidR="0032093B">
        <w:rPr>
          <w:lang w:val="es-MX"/>
        </w:rPr>
        <w:t xml:space="preserve"> si este originará una reducción de pagos futuros o reembolso del efectivo; como un gasto del periodo, a menos que otra norma permita la inclusión en el costo de un activo.</w:t>
      </w:r>
    </w:p>
    <w:p w14:paraId="7CB6ADBE" w14:textId="1AECB8CD" w:rsidR="00981622" w:rsidRDefault="00981622" w:rsidP="00981622">
      <w:pPr>
        <w:spacing w:before="240" w:line="240" w:lineRule="auto"/>
        <w:rPr>
          <w:lang w:val="es-MX"/>
        </w:rPr>
      </w:pPr>
      <w:r>
        <w:rPr>
          <w:lang w:val="es-MX"/>
        </w:rPr>
        <w:t xml:space="preserve">Los beneficios a empleados por </w:t>
      </w:r>
      <w:r w:rsidR="009E0ED7">
        <w:rPr>
          <w:lang w:val="es-MX"/>
        </w:rPr>
        <w:t>ausencias retribuidas acumulativas a corto plazo (vacaciones, incapacidades), se reconocerán como un pasivo y como un gasto en el momento que se genere el derecho de los empleados a estas. Las ausencias retribuidas no acumulativas se reconocen cuando las mismas se producen en consecuencia la Municipalidad no reconocerá pasivos o gastos hasta el momento que se del permiso</w:t>
      </w:r>
      <w:r w:rsidR="0016687D">
        <w:rPr>
          <w:lang w:val="es-MX"/>
        </w:rPr>
        <w:t>.</w:t>
      </w:r>
    </w:p>
    <w:p w14:paraId="376F86F1" w14:textId="44552261" w:rsidR="0032093B" w:rsidRPr="003516A2" w:rsidRDefault="0032093B" w:rsidP="00981622">
      <w:pPr>
        <w:spacing w:before="240" w:line="240" w:lineRule="auto"/>
        <w:rPr>
          <w:b/>
          <w:color w:val="FFFFFF" w:themeColor="background1"/>
          <w:highlight w:val="darkBlue"/>
          <w:u w:val="single"/>
        </w:rPr>
      </w:pPr>
      <w:r>
        <w:rPr>
          <w:lang w:val="es-MX"/>
        </w:rPr>
        <w:t>Se reconocerá un pasivo y un gasto por indemnizaciones por cese en la primera de las siguientes fechas: cuando la Municipalidad ya no puede retirar la oferta de esos beneficios (conforme lo establecido en el Código de Trabajo); cuando se produzca una reestructuración dentro del alcance de la NICSP 19 e involucre el pago de indemnizaciones por cese.</w:t>
      </w:r>
    </w:p>
    <w:p w14:paraId="264A3CF8" w14:textId="77777777" w:rsidR="009131F0" w:rsidRDefault="009131F0" w:rsidP="009131F0">
      <w:pPr>
        <w:spacing w:line="240" w:lineRule="auto"/>
        <w:rPr>
          <w:b/>
          <w:u w:val="single"/>
        </w:rPr>
      </w:pPr>
    </w:p>
    <w:p w14:paraId="0911C7D8" w14:textId="77777777" w:rsidR="009131F0" w:rsidRPr="003516A2" w:rsidRDefault="009131F0" w:rsidP="009131F0">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3226FE30" w14:textId="77777777" w:rsidR="00951C06" w:rsidRDefault="00981622" w:rsidP="00986512">
      <w:pPr>
        <w:rPr>
          <w:lang w:val="es-MX"/>
        </w:rPr>
      </w:pPr>
      <w:r>
        <w:rPr>
          <w:lang w:val="es-MX"/>
        </w:rPr>
        <w:t>El pasivo por beneficios no pagados es medido</w:t>
      </w:r>
      <w:r w:rsidR="0016687D">
        <w:rPr>
          <w:lang w:val="es-MX"/>
        </w:rPr>
        <w:t xml:space="preserve"> a una cantidad (al valor razonable),</w:t>
      </w:r>
      <w:r>
        <w:rPr>
          <w:lang w:val="es-MX"/>
        </w:rPr>
        <w:t xml:space="preserve"> sin descuento.</w:t>
      </w:r>
    </w:p>
    <w:p w14:paraId="2A7F4D29" w14:textId="26F59411" w:rsidR="00951C06" w:rsidRDefault="00951C06" w:rsidP="00951C06">
      <w:pPr>
        <w:spacing w:line="240" w:lineRule="auto"/>
        <w:rPr>
          <w:lang w:val="es-MX"/>
        </w:rPr>
      </w:pPr>
      <w:r>
        <w:rPr>
          <w:lang w:val="es-MX"/>
        </w:rPr>
        <w:t>La Municipalidad medirá inicialmente las indemnizaciones por cese de acuerdo con la naturaleza del beneficio a los empleados que se trate al valor razonable y reconocerá los cambios posteriores que se presenten.</w:t>
      </w:r>
    </w:p>
    <w:p w14:paraId="13C68944" w14:textId="77777777" w:rsidR="00951C06" w:rsidRDefault="00951C06" w:rsidP="00986512">
      <w:pPr>
        <w:rPr>
          <w:rFonts w:eastAsia="Calibri" w:cs="Times New Roman"/>
        </w:rPr>
      </w:pPr>
    </w:p>
    <w:p w14:paraId="6475F752" w14:textId="77FFFA01" w:rsidR="00A649A4" w:rsidRPr="00A649A4" w:rsidRDefault="00A649A4" w:rsidP="00986512">
      <w:pPr>
        <w:rPr>
          <w:b/>
          <w:u w:val="single"/>
          <w:lang w:eastAsia="es-CR"/>
        </w:rPr>
      </w:pPr>
      <w:r w:rsidRPr="009131F0">
        <w:rPr>
          <w:b/>
          <w:color w:val="FFFFFF" w:themeColor="background1"/>
          <w:highlight w:val="darkBlue"/>
          <w:u w:val="single"/>
        </w:rPr>
        <w:t>Revelación Suficiente:</w:t>
      </w:r>
      <w:r w:rsidRPr="00A649A4">
        <w:rPr>
          <w:b/>
          <w:u w:val="single"/>
          <w:lang w:eastAsia="es-CR"/>
        </w:rPr>
        <w:t xml:space="preserve"> </w:t>
      </w:r>
      <w:r w:rsidRPr="00A649A4">
        <w:rPr>
          <w:b/>
          <w:bCs/>
          <w:u w:val="single"/>
          <w:lang w:eastAsia="es-CR"/>
        </w:rPr>
        <w:t>El ente debe cumplir con lo estipulado en revelación con forme a la NICSP, también debe considerar la política general y los párrafos incluidos en la matriz de autoevaluación referente a esta NICSP y guías de aplicación</w:t>
      </w:r>
      <w:r w:rsidRPr="00A649A4">
        <w:rPr>
          <w:b/>
          <w:u w:val="single"/>
          <w:lang w:eastAsia="es-CR"/>
        </w:rPr>
        <w:t xml:space="preserve"> (Ver GA NICSP 39).</w:t>
      </w:r>
    </w:p>
    <w:p w14:paraId="069FF281" w14:textId="77777777" w:rsidR="00951C06" w:rsidRDefault="00951C06" w:rsidP="00282E2D">
      <w:pPr>
        <w:spacing w:after="0" w:line="240" w:lineRule="auto"/>
        <w:rPr>
          <w:b/>
          <w:bCs/>
        </w:rPr>
      </w:pPr>
    </w:p>
    <w:p w14:paraId="0E5CA315" w14:textId="77777777" w:rsidR="00951C06" w:rsidRDefault="00951C06" w:rsidP="00282E2D">
      <w:pPr>
        <w:spacing w:after="0" w:line="240" w:lineRule="auto"/>
        <w:rPr>
          <w:b/>
          <w:bCs/>
        </w:rPr>
      </w:pPr>
    </w:p>
    <w:p w14:paraId="2C7E1A50" w14:textId="4126F39D" w:rsidR="00282E2D" w:rsidRPr="005C561B" w:rsidRDefault="00282E2D" w:rsidP="00282E2D">
      <w:pPr>
        <w:spacing w:after="0" w:line="240" w:lineRule="auto"/>
        <w:rPr>
          <w:b/>
          <w:bCs/>
        </w:rPr>
      </w:pPr>
      <w:r w:rsidRPr="005C561B">
        <w:rPr>
          <w:b/>
          <w:bCs/>
        </w:rPr>
        <w:t>Principales Políticas</w:t>
      </w:r>
    </w:p>
    <w:p w14:paraId="7CC44647" w14:textId="77777777" w:rsidR="00282E2D" w:rsidRDefault="00282E2D" w:rsidP="00282E2D">
      <w:pPr>
        <w:spacing w:after="0" w:line="240" w:lineRule="auto"/>
      </w:pPr>
    </w:p>
    <w:p w14:paraId="10C8FC1F" w14:textId="77777777" w:rsidR="00282E2D" w:rsidRPr="00846369" w:rsidRDefault="00282E2D" w:rsidP="00282E2D">
      <w:pPr>
        <w:autoSpaceDE w:val="0"/>
        <w:autoSpaceDN w:val="0"/>
        <w:adjustRightInd w:val="0"/>
        <w:spacing w:after="0" w:line="240" w:lineRule="auto"/>
        <w:rPr>
          <w:rFonts w:cs="Arial"/>
          <w:color w:val="000000"/>
          <w:szCs w:val="24"/>
        </w:rPr>
      </w:pPr>
      <w:r w:rsidRPr="00846369">
        <w:rPr>
          <w:rFonts w:cs="Arial"/>
          <w:color w:val="000000"/>
          <w:szCs w:val="24"/>
        </w:rPr>
        <w:t>Los beneficios a los empleados comprenden todos los tipos de retribuciones que la Municipalidad proporciona a sus trabajadores a cambio de sus servicios, incluyendo los requerimientos legalmente establecidos, o cuando las entidades están obligadas a contribuir a un programa combinado de la seguridad social</w:t>
      </w:r>
      <w:r>
        <w:rPr>
          <w:rFonts w:cs="Arial"/>
          <w:color w:val="000000"/>
          <w:szCs w:val="24"/>
        </w:rPr>
        <w:t>.</w:t>
      </w:r>
      <w:r w:rsidRPr="00846369">
        <w:rPr>
          <w:rFonts w:cs="Arial"/>
          <w:color w:val="000000"/>
          <w:szCs w:val="24"/>
        </w:rPr>
        <w:t xml:space="preserve"> </w:t>
      </w:r>
    </w:p>
    <w:p w14:paraId="097CDB26" w14:textId="77777777" w:rsidR="00282E2D" w:rsidRDefault="00282E2D" w:rsidP="00282E2D">
      <w:pPr>
        <w:autoSpaceDE w:val="0"/>
        <w:autoSpaceDN w:val="0"/>
        <w:adjustRightInd w:val="0"/>
        <w:spacing w:after="0" w:line="240" w:lineRule="auto"/>
        <w:jc w:val="left"/>
        <w:rPr>
          <w:rFonts w:ascii="Arial" w:hAnsi="Arial" w:cs="Arial"/>
          <w:color w:val="000000"/>
          <w:sz w:val="23"/>
          <w:szCs w:val="23"/>
        </w:rPr>
      </w:pPr>
    </w:p>
    <w:p w14:paraId="15F008E3" w14:textId="77777777" w:rsidR="00282E2D" w:rsidRPr="00846369" w:rsidRDefault="00282E2D" w:rsidP="00282E2D">
      <w:pPr>
        <w:pStyle w:val="Default"/>
        <w:rPr>
          <w:rFonts w:ascii="Arial Narrow" w:eastAsiaTheme="minorHAnsi" w:hAnsi="Arial Narrow" w:cs="Arial"/>
          <w:lang w:eastAsia="en-US"/>
        </w:rPr>
      </w:pPr>
      <w:r w:rsidRPr="00846369">
        <w:rPr>
          <w:rFonts w:ascii="Arial Narrow" w:hAnsi="Arial Narrow" w:cs="Arial"/>
        </w:rPr>
        <w:t xml:space="preserve"> </w:t>
      </w:r>
      <w:r w:rsidRPr="00846369">
        <w:rPr>
          <w:rFonts w:ascii="Arial Narrow" w:eastAsiaTheme="minorHAnsi" w:hAnsi="Arial Narrow" w:cs="Arial"/>
          <w:lang w:eastAsia="en-US"/>
        </w:rPr>
        <w:t xml:space="preserve">Se reconocerá un pasivo o gasto </w:t>
      </w:r>
      <w:r>
        <w:rPr>
          <w:rFonts w:ascii="Arial Narrow" w:eastAsiaTheme="minorHAnsi" w:hAnsi="Arial Narrow" w:cs="Arial"/>
          <w:lang w:eastAsia="en-US"/>
        </w:rPr>
        <w:t xml:space="preserve">por concepto de Beneficios a Empleados </w:t>
      </w:r>
      <w:r w:rsidRPr="00846369">
        <w:rPr>
          <w:rFonts w:ascii="Arial Narrow" w:eastAsiaTheme="minorHAnsi" w:hAnsi="Arial Narrow" w:cs="Arial"/>
          <w:lang w:eastAsia="en-US"/>
        </w:rPr>
        <w:t xml:space="preserve">en los siguientes casos: </w:t>
      </w:r>
    </w:p>
    <w:p w14:paraId="3491BC44" w14:textId="77777777" w:rsidR="00282E2D" w:rsidRPr="00846369" w:rsidRDefault="00282E2D" w:rsidP="00282E2D">
      <w:pPr>
        <w:numPr>
          <w:ilvl w:val="0"/>
          <w:numId w:val="48"/>
        </w:numPr>
        <w:autoSpaceDE w:val="0"/>
        <w:autoSpaceDN w:val="0"/>
        <w:adjustRightInd w:val="0"/>
        <w:spacing w:after="20" w:line="240" w:lineRule="auto"/>
        <w:ind w:left="720" w:hanging="360"/>
        <w:rPr>
          <w:rFonts w:cs="Arial"/>
          <w:color w:val="000000"/>
          <w:szCs w:val="24"/>
        </w:rPr>
      </w:pPr>
      <w:r w:rsidRPr="00846369">
        <w:rPr>
          <w:rFonts w:cs="Arial"/>
          <w:color w:val="000000"/>
          <w:szCs w:val="24"/>
        </w:rPr>
        <w:t xml:space="preserve">Un pasivo cuando el empleado ha prestado servicios a cambio de beneficios a los empleados que deban pagarse en el futuro; y </w:t>
      </w:r>
    </w:p>
    <w:p w14:paraId="55F04156" w14:textId="77777777" w:rsidR="00282E2D" w:rsidRPr="00846369" w:rsidRDefault="00282E2D" w:rsidP="00282E2D">
      <w:pPr>
        <w:numPr>
          <w:ilvl w:val="0"/>
          <w:numId w:val="48"/>
        </w:numPr>
        <w:autoSpaceDE w:val="0"/>
        <w:autoSpaceDN w:val="0"/>
        <w:adjustRightInd w:val="0"/>
        <w:spacing w:after="0" w:line="240" w:lineRule="auto"/>
        <w:ind w:left="720" w:hanging="360"/>
        <w:rPr>
          <w:rFonts w:cs="Arial"/>
          <w:color w:val="000000"/>
          <w:szCs w:val="24"/>
        </w:rPr>
      </w:pPr>
      <w:r w:rsidRPr="00846369">
        <w:rPr>
          <w:rFonts w:cs="Arial"/>
          <w:color w:val="000000"/>
          <w:szCs w:val="24"/>
        </w:rPr>
        <w:t>Un gasto cuando la entidad consuma los beneficios económicos o el servicio potencial procedente del servicio prestado por un empleado a cambio de los beneficios a los empleados</w:t>
      </w:r>
      <w:r>
        <w:rPr>
          <w:rFonts w:cs="Arial"/>
          <w:color w:val="000000"/>
          <w:szCs w:val="24"/>
        </w:rPr>
        <w:t>.</w:t>
      </w:r>
    </w:p>
    <w:p w14:paraId="7D0768C4" w14:textId="77777777" w:rsidR="00282E2D" w:rsidRPr="00846369" w:rsidRDefault="00282E2D" w:rsidP="00282E2D">
      <w:pPr>
        <w:autoSpaceDE w:val="0"/>
        <w:autoSpaceDN w:val="0"/>
        <w:adjustRightInd w:val="0"/>
        <w:spacing w:after="0" w:line="240" w:lineRule="auto"/>
        <w:jc w:val="left"/>
        <w:rPr>
          <w:rFonts w:ascii="Arial" w:hAnsi="Arial" w:cs="Arial"/>
          <w:color w:val="000000"/>
          <w:sz w:val="23"/>
          <w:szCs w:val="23"/>
        </w:rPr>
      </w:pPr>
    </w:p>
    <w:p w14:paraId="204B0FF5" w14:textId="77777777" w:rsidR="00282E2D" w:rsidRPr="00846369" w:rsidRDefault="00282E2D" w:rsidP="00282E2D">
      <w:pPr>
        <w:autoSpaceDE w:val="0"/>
        <w:autoSpaceDN w:val="0"/>
        <w:adjustRightInd w:val="0"/>
        <w:spacing w:after="0" w:line="240" w:lineRule="auto"/>
        <w:rPr>
          <w:rFonts w:cs="Arial"/>
          <w:color w:val="000000"/>
          <w:szCs w:val="24"/>
        </w:rPr>
      </w:pPr>
      <w:r w:rsidRPr="00846369">
        <w:rPr>
          <w:rFonts w:cs="Arial"/>
          <w:color w:val="000000"/>
          <w:szCs w:val="24"/>
        </w:rPr>
        <w:t xml:space="preserve">Los beneficios a los empleados comprenden las siguientes categorías: </w:t>
      </w:r>
    </w:p>
    <w:p w14:paraId="7AAFDB14" w14:textId="77777777" w:rsidR="00282E2D" w:rsidRPr="00846369" w:rsidRDefault="00282E2D" w:rsidP="00282E2D">
      <w:pPr>
        <w:numPr>
          <w:ilvl w:val="0"/>
          <w:numId w:val="49"/>
        </w:numPr>
        <w:autoSpaceDE w:val="0"/>
        <w:autoSpaceDN w:val="0"/>
        <w:adjustRightInd w:val="0"/>
        <w:spacing w:after="18" w:line="240" w:lineRule="auto"/>
        <w:ind w:left="720" w:hanging="360"/>
        <w:rPr>
          <w:rFonts w:cs="Arial"/>
          <w:color w:val="000000"/>
          <w:szCs w:val="24"/>
        </w:rPr>
      </w:pPr>
      <w:r w:rsidRPr="00846369">
        <w:rPr>
          <w:rFonts w:cs="Arial"/>
          <w:color w:val="000000"/>
          <w:szCs w:val="24"/>
        </w:rPr>
        <w:t xml:space="preserve">a) </w:t>
      </w:r>
      <w:r w:rsidRPr="00846369">
        <w:rPr>
          <w:rFonts w:cs="Arial"/>
          <w:b/>
          <w:bCs/>
          <w:color w:val="000000"/>
          <w:szCs w:val="24"/>
        </w:rPr>
        <w:t>Beneficios a los empleados a corto plazo</w:t>
      </w:r>
      <w:r w:rsidRPr="00846369">
        <w:rPr>
          <w:rFonts w:cs="Arial"/>
          <w:color w:val="000000"/>
          <w:szCs w:val="24"/>
        </w:rPr>
        <w:t xml:space="preserve">: si se esperan liquidar totalmente antes de los doce meses posteriores al final del periodo sobre el que se informa en el que los empleados presten los servicios relacionados: </w:t>
      </w:r>
    </w:p>
    <w:p w14:paraId="47748D7E" w14:textId="77777777" w:rsidR="00282E2D" w:rsidRPr="00846369" w:rsidRDefault="00282E2D" w:rsidP="00282E2D">
      <w:pPr>
        <w:numPr>
          <w:ilvl w:val="0"/>
          <w:numId w:val="49"/>
        </w:numPr>
        <w:autoSpaceDE w:val="0"/>
        <w:autoSpaceDN w:val="0"/>
        <w:adjustRightInd w:val="0"/>
        <w:spacing w:after="18" w:line="240" w:lineRule="auto"/>
        <w:ind w:left="720" w:hanging="360"/>
        <w:rPr>
          <w:rFonts w:cs="Arial"/>
          <w:color w:val="000000"/>
          <w:szCs w:val="24"/>
        </w:rPr>
      </w:pPr>
      <w:r w:rsidRPr="00846369">
        <w:rPr>
          <w:rFonts w:cs="Arial"/>
          <w:color w:val="000000"/>
          <w:szCs w:val="24"/>
        </w:rPr>
        <w:t xml:space="preserve">b) sueldos, salarios y contribuciones a la seguridad social; </w:t>
      </w:r>
    </w:p>
    <w:p w14:paraId="5D650518" w14:textId="77777777" w:rsidR="00282E2D" w:rsidRPr="00CD76C0" w:rsidRDefault="00282E2D" w:rsidP="00282E2D">
      <w:pPr>
        <w:numPr>
          <w:ilvl w:val="0"/>
          <w:numId w:val="50"/>
        </w:numPr>
        <w:autoSpaceDE w:val="0"/>
        <w:autoSpaceDN w:val="0"/>
        <w:adjustRightInd w:val="0"/>
        <w:spacing w:after="0" w:line="240" w:lineRule="auto"/>
        <w:ind w:left="720" w:hanging="360"/>
        <w:rPr>
          <w:rFonts w:cs="Arial"/>
          <w:color w:val="000000"/>
          <w:szCs w:val="24"/>
        </w:rPr>
      </w:pPr>
      <w:r w:rsidRPr="00846369">
        <w:rPr>
          <w:rFonts w:cs="Arial"/>
          <w:color w:val="000000"/>
          <w:szCs w:val="24"/>
        </w:rPr>
        <w:t>c) ausencias remuneradas anuales</w:t>
      </w:r>
      <w:r w:rsidRPr="00CD76C0">
        <w:rPr>
          <w:rFonts w:cs="Arial"/>
          <w:color w:val="000000"/>
          <w:szCs w:val="24"/>
        </w:rPr>
        <w:t xml:space="preserve"> (Vacaciones)</w:t>
      </w:r>
      <w:r w:rsidRPr="00846369">
        <w:rPr>
          <w:rFonts w:cs="Arial"/>
          <w:color w:val="000000"/>
          <w:szCs w:val="24"/>
        </w:rPr>
        <w:t xml:space="preserve">, </w:t>
      </w:r>
    </w:p>
    <w:p w14:paraId="07816042" w14:textId="77777777" w:rsidR="00282E2D" w:rsidRPr="00846369" w:rsidRDefault="00282E2D" w:rsidP="00282E2D">
      <w:pPr>
        <w:numPr>
          <w:ilvl w:val="0"/>
          <w:numId w:val="50"/>
        </w:numPr>
        <w:autoSpaceDE w:val="0"/>
        <w:autoSpaceDN w:val="0"/>
        <w:adjustRightInd w:val="0"/>
        <w:spacing w:after="0" w:line="240" w:lineRule="auto"/>
        <w:ind w:left="720" w:hanging="360"/>
        <w:rPr>
          <w:rFonts w:cs="Arial"/>
          <w:color w:val="000000"/>
          <w:szCs w:val="24"/>
        </w:rPr>
      </w:pPr>
      <w:r>
        <w:rPr>
          <w:rFonts w:cs="Arial"/>
          <w:color w:val="000000"/>
          <w:szCs w:val="24"/>
        </w:rPr>
        <w:t>L</w:t>
      </w:r>
      <w:r w:rsidRPr="00846369">
        <w:rPr>
          <w:rFonts w:cs="Arial"/>
          <w:color w:val="000000"/>
          <w:szCs w:val="24"/>
        </w:rPr>
        <w:t xml:space="preserve">as indemnizaciones por cese: indemnizaciones por despido y compensaciones por retiro voluntario (en el marco de una oferta para incentivar la rescisión del vínculo laboral por parte de los trabajadores). </w:t>
      </w:r>
    </w:p>
    <w:p w14:paraId="09568518" w14:textId="77777777" w:rsidR="00282E2D" w:rsidRPr="00CD76C0" w:rsidRDefault="00282E2D" w:rsidP="00282E2D">
      <w:pPr>
        <w:spacing w:after="0" w:line="240" w:lineRule="auto"/>
        <w:rPr>
          <w:szCs w:val="24"/>
        </w:rPr>
      </w:pPr>
    </w:p>
    <w:p w14:paraId="573C9746" w14:textId="77777777" w:rsidR="00282E2D" w:rsidRPr="00431D15" w:rsidRDefault="00282E2D" w:rsidP="00282E2D">
      <w:pPr>
        <w:autoSpaceDE w:val="0"/>
        <w:autoSpaceDN w:val="0"/>
        <w:adjustRightInd w:val="0"/>
        <w:spacing w:after="0" w:line="240" w:lineRule="auto"/>
        <w:rPr>
          <w:rFonts w:cs="Arial"/>
          <w:color w:val="000000"/>
          <w:szCs w:val="24"/>
        </w:rPr>
      </w:pPr>
      <w:r w:rsidRPr="00431D15">
        <w:rPr>
          <w:rFonts w:cs="Arial"/>
          <w:color w:val="000000"/>
          <w:szCs w:val="24"/>
        </w:rPr>
        <w:t xml:space="preserve">Deberá reconocerse una cuenta por pagar cuando la entidad consuma los beneficios económicos o el potencial de servicio procedentes de la prestación de servicios por parte de un empleado a cambio de los cuales se le crea el derecho de recibir pagos en el futuro. </w:t>
      </w:r>
    </w:p>
    <w:p w14:paraId="4A84430D" w14:textId="77777777" w:rsidR="00282E2D" w:rsidRPr="00CD76C0" w:rsidRDefault="00282E2D" w:rsidP="00282E2D">
      <w:pPr>
        <w:spacing w:after="0" w:line="240" w:lineRule="auto"/>
        <w:rPr>
          <w:szCs w:val="24"/>
        </w:rPr>
      </w:pPr>
      <w:r w:rsidRPr="00CD76C0">
        <w:rPr>
          <w:rFonts w:cs="Arial"/>
          <w:color w:val="000000"/>
          <w:szCs w:val="24"/>
        </w:rPr>
        <w:t xml:space="preserve">Cuando un funcionario ofrece sus servicios a una entidad mediante un contrato celebrado indefinido, o definido y el mismo se rompe por traslado de ese funcionario a otra entidad del sector público se </w:t>
      </w:r>
      <w:r>
        <w:rPr>
          <w:rFonts w:cs="Arial"/>
          <w:color w:val="000000"/>
          <w:szCs w:val="24"/>
        </w:rPr>
        <w:t xml:space="preserve">le </w:t>
      </w:r>
      <w:r w:rsidRPr="00CD76C0">
        <w:rPr>
          <w:rFonts w:cs="Arial"/>
          <w:color w:val="000000"/>
          <w:szCs w:val="24"/>
        </w:rPr>
        <w:t>deberá cancelar lo correspondiente a la finalización de contrato.</w:t>
      </w:r>
    </w:p>
    <w:p w14:paraId="4F0D35C5" w14:textId="77777777" w:rsidR="00282E2D" w:rsidRPr="00CD76C0" w:rsidRDefault="00282E2D" w:rsidP="00282E2D">
      <w:pPr>
        <w:spacing w:after="0" w:line="240" w:lineRule="auto"/>
        <w:rPr>
          <w:szCs w:val="24"/>
        </w:rPr>
      </w:pPr>
    </w:p>
    <w:p w14:paraId="48D49D8F" w14:textId="77777777" w:rsidR="00282E2D" w:rsidRPr="00431D15" w:rsidRDefault="00282E2D" w:rsidP="00282E2D">
      <w:pPr>
        <w:autoSpaceDE w:val="0"/>
        <w:autoSpaceDN w:val="0"/>
        <w:adjustRightInd w:val="0"/>
        <w:spacing w:after="0" w:line="240" w:lineRule="auto"/>
        <w:rPr>
          <w:rFonts w:cs="Arial"/>
          <w:color w:val="000000"/>
          <w:szCs w:val="24"/>
        </w:rPr>
      </w:pPr>
      <w:r w:rsidRPr="00CD76C0">
        <w:rPr>
          <w:rFonts w:cs="Arial"/>
          <w:color w:val="000000"/>
          <w:szCs w:val="24"/>
        </w:rPr>
        <w:t xml:space="preserve">Se debe reconocer un beneficio </w:t>
      </w:r>
      <w:r w:rsidRPr="00431D15">
        <w:rPr>
          <w:rFonts w:cs="Arial"/>
          <w:color w:val="000000"/>
          <w:szCs w:val="24"/>
        </w:rPr>
        <w:t>quincenal, mensual y/o conforme lo tenga establecido la institución para el pago de salarios. Est</w:t>
      </w:r>
      <w:r w:rsidRPr="00CD76C0">
        <w:rPr>
          <w:rFonts w:cs="Arial"/>
          <w:color w:val="000000"/>
          <w:szCs w:val="24"/>
        </w:rPr>
        <w:t xml:space="preserve">e incentivo </w:t>
      </w:r>
      <w:r w:rsidRPr="00431D15">
        <w:rPr>
          <w:rFonts w:cs="Arial"/>
          <w:color w:val="000000"/>
          <w:szCs w:val="24"/>
        </w:rPr>
        <w:t xml:space="preserve">salarial </w:t>
      </w:r>
      <w:r w:rsidRPr="00CD76C0">
        <w:rPr>
          <w:rFonts w:cs="Arial"/>
          <w:color w:val="000000"/>
          <w:szCs w:val="24"/>
        </w:rPr>
        <w:t>se conoce como</w:t>
      </w:r>
      <w:r w:rsidRPr="00431D15">
        <w:rPr>
          <w:rFonts w:cs="Arial"/>
          <w:color w:val="000000"/>
          <w:szCs w:val="24"/>
        </w:rPr>
        <w:t xml:space="preserve"> décimo tercer mes, el cual corresponde a un 8,33% del salario total bruto de los funcionarios, según </w:t>
      </w:r>
      <w:r w:rsidRPr="00CD76C0">
        <w:rPr>
          <w:rFonts w:cs="Arial"/>
          <w:color w:val="000000"/>
          <w:szCs w:val="24"/>
        </w:rPr>
        <w:t xml:space="preserve">lo establecido en </w:t>
      </w:r>
      <w:r w:rsidRPr="00431D15">
        <w:rPr>
          <w:rFonts w:cs="Arial"/>
          <w:color w:val="000000"/>
          <w:szCs w:val="24"/>
        </w:rPr>
        <w:t>la Le</w:t>
      </w:r>
      <w:r w:rsidRPr="00CD76C0">
        <w:rPr>
          <w:rFonts w:cs="Arial"/>
          <w:color w:val="000000"/>
          <w:szCs w:val="24"/>
        </w:rPr>
        <w:t>gislación vigente,</w:t>
      </w:r>
      <w:r w:rsidRPr="00431D15">
        <w:rPr>
          <w:rFonts w:cs="Arial"/>
          <w:color w:val="000000"/>
          <w:szCs w:val="24"/>
        </w:rPr>
        <w:t xml:space="preserve"> para los servidores</w:t>
      </w:r>
      <w:r w:rsidRPr="00CD76C0">
        <w:rPr>
          <w:rFonts w:cs="Arial"/>
          <w:color w:val="000000"/>
          <w:szCs w:val="24"/>
        </w:rPr>
        <w:t xml:space="preserve"> municipales</w:t>
      </w:r>
      <w:r>
        <w:rPr>
          <w:rFonts w:cs="Arial"/>
          <w:color w:val="000000"/>
          <w:szCs w:val="24"/>
        </w:rPr>
        <w:t>.</w:t>
      </w:r>
    </w:p>
    <w:p w14:paraId="1FAD4C5F" w14:textId="77777777" w:rsidR="00282E2D" w:rsidRDefault="00282E2D" w:rsidP="00282E2D">
      <w:pPr>
        <w:spacing w:after="0" w:line="240" w:lineRule="auto"/>
      </w:pPr>
    </w:p>
    <w:p w14:paraId="56578EAF" w14:textId="77777777" w:rsidR="00282E2D" w:rsidRPr="004D3EFA" w:rsidRDefault="00282E2D" w:rsidP="00282E2D">
      <w:pPr>
        <w:spacing w:after="0" w:line="240" w:lineRule="auto"/>
      </w:pPr>
      <w:r w:rsidRPr="004D3EFA">
        <w:t>Debe señalarse que los montos pagados por concepto de Vacaciones, Cesantía se consignan con base en la información recibida de la unidad primaria de registro, la relacionada con preaviso no se incluyó ni se realizó ninguna observación al respecto debido a que la Unidad Primaria de Registro no la remitió.</w:t>
      </w:r>
    </w:p>
    <w:p w14:paraId="7809B5EC" w14:textId="77777777" w:rsidR="00282E2D" w:rsidRPr="004D3EFA" w:rsidRDefault="00282E2D" w:rsidP="00282E2D">
      <w:pPr>
        <w:spacing w:after="0" w:line="240" w:lineRule="auto"/>
      </w:pPr>
      <w:r w:rsidRPr="004D3EFA">
        <w:t xml:space="preserve"> </w:t>
      </w:r>
    </w:p>
    <w:p w14:paraId="27952396" w14:textId="77777777" w:rsidR="00282E2D" w:rsidRPr="004D3EFA" w:rsidRDefault="00282E2D" w:rsidP="00282E2D">
      <w:pPr>
        <w:spacing w:after="0" w:line="240" w:lineRule="auto"/>
      </w:pPr>
      <w:r w:rsidRPr="004D3EFA">
        <w:t>La Municipalidad con base en lo establecido por la Legislación Nacional que regula las relaciones laborales, no paga vacaciones a los funcionarios, por lo que estos deben disfrutar de sus vacaciones, tal como lo establece dicha legislación. Además, el ayuntamiento no tiene en operación ninguna Convención Colectiva de Trabajo. Tampoco ha incurrido en el pago de Prestaciones Laborables u otros beneficios por terminación de relaciones laborales con responsabilidad patronal.</w:t>
      </w:r>
    </w:p>
    <w:p w14:paraId="1F82E6EB" w14:textId="77777777" w:rsidR="00282E2D" w:rsidRPr="004D3EFA" w:rsidRDefault="00282E2D" w:rsidP="00282E2D">
      <w:pPr>
        <w:spacing w:after="0" w:line="240" w:lineRule="auto"/>
      </w:pPr>
    </w:p>
    <w:p w14:paraId="7BE18C66" w14:textId="77777777" w:rsidR="00282E2D" w:rsidRPr="004D3EFA" w:rsidRDefault="00282E2D" w:rsidP="00282E2D">
      <w:pPr>
        <w:spacing w:after="0" w:line="240" w:lineRule="auto"/>
      </w:pPr>
      <w:r w:rsidRPr="004D3EFA">
        <w:t xml:space="preserve">Por otra parte, debe indicarse que la Municipalidad de Buenos Aires dispone de una planilla de 132 funcionarios (98 son funcionarios nombrados en propiedad y 21 son funcionarios interinos, el Alcalde y Vicealcaldesa no se incluyen en las clases anteriores; el resto de los funcionarios (13) está contratado bajo la modalidad de suplencia, servicios especiales o jornales ocasionales), cuya remuneración base es con fundamento en el Manual Descriptivo de Puestos que se tiene en operación, los beneficios que se otorgan a los funcionarios son el pago de aguinaldo, pago de anualidades del 4%, prohibición y dedicación exclusiva, los cuales están establecidos y se hace conforme el marco jurídico aplicable.  </w:t>
      </w:r>
    </w:p>
    <w:p w14:paraId="16D42CC1" w14:textId="77777777" w:rsidR="00282E2D" w:rsidRDefault="00282E2D" w:rsidP="00282E2D">
      <w:pPr>
        <w:spacing w:after="0" w:line="240" w:lineRule="auto"/>
        <w:rPr>
          <w:rFonts w:eastAsia="Calibri"/>
          <w:szCs w:val="24"/>
        </w:rPr>
      </w:pPr>
    </w:p>
    <w:p w14:paraId="64C599CA" w14:textId="0EFC9118" w:rsidR="00282E2D" w:rsidRDefault="00282E2D" w:rsidP="00282E2D">
      <w:pPr>
        <w:spacing w:line="240" w:lineRule="auto"/>
        <w:rPr>
          <w:szCs w:val="24"/>
          <w:lang w:eastAsia="es-CR"/>
        </w:rPr>
      </w:pPr>
      <w:r>
        <w:rPr>
          <w:szCs w:val="24"/>
          <w:lang w:eastAsia="es-CR"/>
        </w:rPr>
        <w:t xml:space="preserve">De acuerdo con lo consignado en la Matriz de NICSP y Plan de Acción al </w:t>
      </w:r>
      <w:r w:rsidR="00D470B6">
        <w:rPr>
          <w:szCs w:val="24"/>
          <w:lang w:eastAsia="es-CR"/>
        </w:rPr>
        <w:t>30 de junio</w:t>
      </w:r>
      <w:r>
        <w:rPr>
          <w:szCs w:val="24"/>
          <w:lang w:eastAsia="es-CR"/>
        </w:rPr>
        <w:t xml:space="preserve"> se encuentra pendiente de implementar lo siguiente:</w:t>
      </w:r>
    </w:p>
    <w:p w14:paraId="0BA9C4A2" w14:textId="77777777" w:rsidR="00282E2D" w:rsidRDefault="00282E2D" w:rsidP="00282E2D">
      <w:pPr>
        <w:spacing w:after="0" w:line="240" w:lineRule="auto"/>
        <w:rPr>
          <w:szCs w:val="24"/>
          <w:lang w:eastAsia="es-CR"/>
        </w:rPr>
      </w:pPr>
    </w:p>
    <w:tbl>
      <w:tblPr>
        <w:tblW w:w="8920" w:type="dxa"/>
        <w:tblLook w:val="04A0" w:firstRow="1" w:lastRow="0" w:firstColumn="1" w:lastColumn="0" w:noHBand="0" w:noVBand="1"/>
      </w:tblPr>
      <w:tblGrid>
        <w:gridCol w:w="7560"/>
        <w:gridCol w:w="1360"/>
      </w:tblGrid>
      <w:tr w:rsidR="00282E2D" w:rsidRPr="00C1398A" w14:paraId="2E8DE51F" w14:textId="77777777" w:rsidTr="004653E2">
        <w:trPr>
          <w:trHeight w:val="530"/>
        </w:trPr>
        <w:tc>
          <w:tcPr>
            <w:tcW w:w="7560"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0AE9440F" w14:textId="77777777" w:rsidR="00282E2D" w:rsidRPr="00C1398A" w:rsidRDefault="00282E2D" w:rsidP="004653E2">
            <w:pPr>
              <w:spacing w:after="0" w:line="240" w:lineRule="auto"/>
              <w:jc w:val="center"/>
              <w:rPr>
                <w:rFonts w:eastAsia="Times New Roman" w:cs="Calibri"/>
                <w:b/>
                <w:bCs/>
                <w:sz w:val="20"/>
                <w:szCs w:val="20"/>
                <w:lang w:val="en-US"/>
              </w:rPr>
            </w:pPr>
            <w:r w:rsidRPr="00C1398A">
              <w:rPr>
                <w:rFonts w:eastAsia="Times New Roman" w:cs="Calibri"/>
                <w:b/>
                <w:bCs/>
                <w:sz w:val="20"/>
                <w:szCs w:val="20"/>
                <w:lang w:val="en-US"/>
              </w:rPr>
              <w:t>Actividades Pendientes de Cumplimiento</w:t>
            </w:r>
          </w:p>
        </w:tc>
        <w:tc>
          <w:tcPr>
            <w:tcW w:w="1360" w:type="dxa"/>
            <w:tcBorders>
              <w:top w:val="single" w:sz="8" w:space="0" w:color="auto"/>
              <w:left w:val="nil"/>
              <w:bottom w:val="single" w:sz="4" w:space="0" w:color="auto"/>
              <w:right w:val="single" w:sz="8" w:space="0" w:color="auto"/>
            </w:tcBorders>
            <w:shd w:val="clear" w:color="000000" w:fill="FFFFFF"/>
            <w:vAlign w:val="bottom"/>
            <w:hideMark/>
          </w:tcPr>
          <w:p w14:paraId="31E4B8AF" w14:textId="77777777" w:rsidR="00282E2D" w:rsidRPr="00C1398A" w:rsidRDefault="00282E2D" w:rsidP="004653E2">
            <w:pPr>
              <w:spacing w:after="0" w:line="240" w:lineRule="auto"/>
              <w:jc w:val="center"/>
              <w:rPr>
                <w:rFonts w:eastAsia="Times New Roman" w:cs="Calibri"/>
                <w:b/>
                <w:bCs/>
                <w:color w:val="000000"/>
                <w:sz w:val="20"/>
                <w:szCs w:val="20"/>
                <w:lang w:val="en-US"/>
              </w:rPr>
            </w:pPr>
            <w:r w:rsidRPr="00C1398A">
              <w:rPr>
                <w:rFonts w:eastAsia="Times New Roman" w:cs="Calibri"/>
                <w:b/>
                <w:bCs/>
                <w:color w:val="000000"/>
                <w:sz w:val="20"/>
                <w:szCs w:val="20"/>
                <w:lang w:val="en-US"/>
              </w:rPr>
              <w:t>Fecha Estimada Cumplimiento</w:t>
            </w:r>
          </w:p>
        </w:tc>
      </w:tr>
      <w:tr w:rsidR="00282E2D" w:rsidRPr="00C1398A" w14:paraId="0A3153A4" w14:textId="77777777" w:rsidTr="004653E2">
        <w:trPr>
          <w:trHeight w:val="780"/>
        </w:trPr>
        <w:tc>
          <w:tcPr>
            <w:tcW w:w="7560" w:type="dxa"/>
            <w:tcBorders>
              <w:top w:val="nil"/>
              <w:left w:val="single" w:sz="8" w:space="0" w:color="auto"/>
              <w:bottom w:val="single" w:sz="4" w:space="0" w:color="auto"/>
              <w:right w:val="single" w:sz="4" w:space="0" w:color="auto"/>
            </w:tcBorders>
            <w:shd w:val="clear" w:color="000000" w:fill="FFFFFF"/>
            <w:hideMark/>
          </w:tcPr>
          <w:p w14:paraId="149B9E0C" w14:textId="2FED54C2" w:rsidR="00282E2D" w:rsidRPr="00C1398A" w:rsidRDefault="00282E2D" w:rsidP="004653E2">
            <w:pPr>
              <w:spacing w:after="0" w:line="240" w:lineRule="auto"/>
              <w:rPr>
                <w:rFonts w:eastAsia="Times New Roman" w:cs="Calibri"/>
                <w:color w:val="000000"/>
                <w:sz w:val="20"/>
                <w:szCs w:val="20"/>
              </w:rPr>
            </w:pPr>
            <w:r w:rsidRPr="00C1398A">
              <w:rPr>
                <w:rFonts w:eastAsia="Times New Roman" w:cs="Calibri"/>
                <w:color w:val="000000"/>
                <w:sz w:val="20"/>
                <w:szCs w:val="20"/>
              </w:rPr>
              <w:t xml:space="preserve">Realizar el registro (reconocimiento y medición) correspondiente de los beneficios a los trabajadores de la Municipalidad de todo tipo (Corto Plazo, Planes de Contribuciones definidas y por </w:t>
            </w:r>
            <w:r w:rsidR="00E547CB" w:rsidRPr="00C1398A">
              <w:rPr>
                <w:rFonts w:eastAsia="Times New Roman" w:cs="Calibri"/>
                <w:color w:val="000000"/>
                <w:sz w:val="20"/>
                <w:szCs w:val="20"/>
              </w:rPr>
              <w:t>indemnizaciones</w:t>
            </w:r>
            <w:r w:rsidRPr="00C1398A">
              <w:rPr>
                <w:rFonts w:eastAsia="Times New Roman" w:cs="Calibri"/>
                <w:color w:val="000000"/>
                <w:sz w:val="20"/>
                <w:szCs w:val="20"/>
              </w:rPr>
              <w:t xml:space="preserve"> por cese).</w:t>
            </w:r>
          </w:p>
        </w:tc>
        <w:tc>
          <w:tcPr>
            <w:tcW w:w="1360" w:type="dxa"/>
            <w:tcBorders>
              <w:top w:val="nil"/>
              <w:left w:val="nil"/>
              <w:bottom w:val="single" w:sz="4" w:space="0" w:color="auto"/>
              <w:right w:val="single" w:sz="8" w:space="0" w:color="auto"/>
            </w:tcBorders>
            <w:shd w:val="clear" w:color="000000" w:fill="FFFFFF"/>
            <w:noWrap/>
            <w:vAlign w:val="center"/>
            <w:hideMark/>
          </w:tcPr>
          <w:p w14:paraId="310AE649" w14:textId="2DB5E992" w:rsidR="00282E2D" w:rsidRPr="00C1398A" w:rsidRDefault="00E547CB" w:rsidP="004653E2">
            <w:pPr>
              <w:spacing w:after="0" w:line="240" w:lineRule="auto"/>
              <w:jc w:val="center"/>
              <w:rPr>
                <w:rFonts w:eastAsia="Times New Roman" w:cs="Calibri"/>
                <w:sz w:val="20"/>
                <w:szCs w:val="20"/>
                <w:lang w:val="en-US"/>
              </w:rPr>
            </w:pPr>
            <w:r>
              <w:rPr>
                <w:rFonts w:eastAsia="Times New Roman" w:cs="Calibri"/>
                <w:sz w:val="20"/>
                <w:szCs w:val="20"/>
                <w:lang w:val="en-US"/>
              </w:rPr>
              <w:t>31/12</w:t>
            </w:r>
            <w:r w:rsidR="00282E2D" w:rsidRPr="00C1398A">
              <w:rPr>
                <w:rFonts w:eastAsia="Times New Roman" w:cs="Calibri"/>
                <w:sz w:val="20"/>
                <w:szCs w:val="20"/>
                <w:lang w:val="en-US"/>
              </w:rPr>
              <w:t>/24</w:t>
            </w:r>
          </w:p>
        </w:tc>
      </w:tr>
      <w:tr w:rsidR="00E547CB" w:rsidRPr="00C1398A" w14:paraId="6A38189F" w14:textId="77777777" w:rsidTr="00764935">
        <w:trPr>
          <w:trHeight w:val="520"/>
        </w:trPr>
        <w:tc>
          <w:tcPr>
            <w:tcW w:w="7560" w:type="dxa"/>
            <w:tcBorders>
              <w:top w:val="nil"/>
              <w:left w:val="single" w:sz="8" w:space="0" w:color="auto"/>
              <w:bottom w:val="single" w:sz="4" w:space="0" w:color="auto"/>
              <w:right w:val="single" w:sz="4" w:space="0" w:color="auto"/>
            </w:tcBorders>
            <w:shd w:val="clear" w:color="000000" w:fill="FFFFFF"/>
            <w:hideMark/>
          </w:tcPr>
          <w:p w14:paraId="21627B3E" w14:textId="77777777" w:rsidR="00E547CB" w:rsidRPr="00C1398A" w:rsidRDefault="00E547CB" w:rsidP="00E547CB">
            <w:pPr>
              <w:spacing w:after="0" w:line="240" w:lineRule="auto"/>
              <w:rPr>
                <w:rFonts w:eastAsia="Times New Roman" w:cs="Calibri"/>
                <w:sz w:val="20"/>
                <w:szCs w:val="20"/>
              </w:rPr>
            </w:pPr>
            <w:r w:rsidRPr="00C1398A">
              <w:rPr>
                <w:rFonts w:eastAsia="Times New Roman" w:cs="Calibri"/>
                <w:sz w:val="20"/>
                <w:szCs w:val="20"/>
              </w:rPr>
              <w:t>Realizar las revelaciones pertinentes sobre los beneficios a empleados en las notas a los estados financieros según lo estable la NICSP 39.</w:t>
            </w:r>
          </w:p>
        </w:tc>
        <w:tc>
          <w:tcPr>
            <w:tcW w:w="1360" w:type="dxa"/>
            <w:tcBorders>
              <w:top w:val="nil"/>
              <w:left w:val="nil"/>
              <w:bottom w:val="single" w:sz="4" w:space="0" w:color="auto"/>
              <w:right w:val="single" w:sz="8" w:space="0" w:color="auto"/>
            </w:tcBorders>
            <w:shd w:val="clear" w:color="000000" w:fill="FFFFFF"/>
            <w:noWrap/>
            <w:hideMark/>
          </w:tcPr>
          <w:p w14:paraId="5A1EC9FF" w14:textId="0B347C3D" w:rsidR="00E547CB" w:rsidRPr="00C1398A" w:rsidRDefault="00E547CB" w:rsidP="00E547CB">
            <w:pPr>
              <w:spacing w:after="0" w:line="240" w:lineRule="auto"/>
              <w:jc w:val="center"/>
              <w:rPr>
                <w:rFonts w:eastAsia="Times New Roman" w:cs="Calibri"/>
                <w:sz w:val="20"/>
                <w:szCs w:val="20"/>
                <w:lang w:val="en-US"/>
              </w:rPr>
            </w:pPr>
            <w:r w:rsidRPr="00CC6BF7">
              <w:rPr>
                <w:rFonts w:eastAsia="Times New Roman" w:cs="Calibri"/>
                <w:sz w:val="20"/>
                <w:szCs w:val="20"/>
                <w:lang w:val="en-US"/>
              </w:rPr>
              <w:t>31/12/24</w:t>
            </w:r>
          </w:p>
        </w:tc>
      </w:tr>
      <w:tr w:rsidR="00E547CB" w:rsidRPr="00C1398A" w14:paraId="30201F80" w14:textId="77777777" w:rsidTr="00764935">
        <w:trPr>
          <w:trHeight w:val="300"/>
        </w:trPr>
        <w:tc>
          <w:tcPr>
            <w:tcW w:w="7560" w:type="dxa"/>
            <w:tcBorders>
              <w:top w:val="nil"/>
              <w:left w:val="single" w:sz="8" w:space="0" w:color="auto"/>
              <w:bottom w:val="single" w:sz="8" w:space="0" w:color="auto"/>
              <w:right w:val="single" w:sz="4" w:space="0" w:color="auto"/>
            </w:tcBorders>
            <w:shd w:val="clear" w:color="000000" w:fill="FFFFFF"/>
            <w:vAlign w:val="center"/>
            <w:hideMark/>
          </w:tcPr>
          <w:p w14:paraId="05157590" w14:textId="77777777" w:rsidR="00E547CB" w:rsidRPr="00C1398A" w:rsidRDefault="00E547CB" w:rsidP="00E547CB">
            <w:pPr>
              <w:spacing w:after="0" w:line="240" w:lineRule="auto"/>
              <w:rPr>
                <w:rFonts w:eastAsia="Times New Roman" w:cs="Calibri"/>
                <w:sz w:val="20"/>
                <w:szCs w:val="20"/>
              </w:rPr>
            </w:pPr>
            <w:r w:rsidRPr="00C1398A">
              <w:rPr>
                <w:rFonts w:eastAsia="Times New Roman" w:cs="Calibri"/>
                <w:sz w:val="20"/>
                <w:szCs w:val="20"/>
              </w:rPr>
              <w:t>Adecuación e inclusión del catálogo de cuentas con los respectivos auxiliares.</w:t>
            </w:r>
          </w:p>
        </w:tc>
        <w:tc>
          <w:tcPr>
            <w:tcW w:w="1360" w:type="dxa"/>
            <w:tcBorders>
              <w:top w:val="nil"/>
              <w:left w:val="nil"/>
              <w:bottom w:val="single" w:sz="8" w:space="0" w:color="auto"/>
              <w:right w:val="single" w:sz="8" w:space="0" w:color="auto"/>
            </w:tcBorders>
            <w:shd w:val="clear" w:color="000000" w:fill="FFFFFF"/>
            <w:noWrap/>
            <w:hideMark/>
          </w:tcPr>
          <w:p w14:paraId="234BDB13" w14:textId="41E1DD51" w:rsidR="00E547CB" w:rsidRPr="00C1398A" w:rsidRDefault="00E547CB" w:rsidP="00E547CB">
            <w:pPr>
              <w:spacing w:after="0" w:line="240" w:lineRule="auto"/>
              <w:jc w:val="center"/>
              <w:rPr>
                <w:rFonts w:eastAsia="Times New Roman" w:cs="Calibri"/>
                <w:sz w:val="20"/>
                <w:szCs w:val="20"/>
                <w:lang w:val="en-US"/>
              </w:rPr>
            </w:pPr>
            <w:r w:rsidRPr="00CC6BF7">
              <w:rPr>
                <w:rFonts w:eastAsia="Times New Roman" w:cs="Calibri"/>
                <w:sz w:val="20"/>
                <w:szCs w:val="20"/>
                <w:lang w:val="en-US"/>
              </w:rPr>
              <w:t>31/12/24</w:t>
            </w:r>
          </w:p>
        </w:tc>
      </w:tr>
    </w:tbl>
    <w:p w14:paraId="5B6542CC" w14:textId="77777777" w:rsidR="00282E2D" w:rsidRDefault="00282E2D" w:rsidP="00282E2D">
      <w:pPr>
        <w:spacing w:line="240" w:lineRule="auto"/>
        <w:rPr>
          <w:szCs w:val="24"/>
          <w:lang w:eastAsia="es-CR"/>
        </w:rPr>
      </w:pPr>
    </w:p>
    <w:p w14:paraId="17CA413E" w14:textId="2EE4E1E8" w:rsidR="00311AE2" w:rsidRPr="00311AE2" w:rsidRDefault="00311AE2" w:rsidP="00311AE2">
      <w:pPr>
        <w:rPr>
          <w:szCs w:val="24"/>
        </w:rPr>
      </w:pPr>
      <w:r w:rsidRPr="00311AE2">
        <w:rPr>
          <w:szCs w:val="24"/>
        </w:rPr>
        <w:t xml:space="preserve">Razonamiento técnico en caso de existir una adquisición: (impacto contable) </w:t>
      </w:r>
    </w:p>
    <w:p w14:paraId="4535B2E7" w14:textId="33E930DF" w:rsidR="00311AE2" w:rsidRPr="00311AE2" w:rsidRDefault="00311AE2" w:rsidP="00311AE2">
      <w:pPr>
        <w:rPr>
          <w:szCs w:val="24"/>
        </w:rPr>
      </w:pPr>
      <w:r w:rsidRPr="00311AE2">
        <w:rPr>
          <w:szCs w:val="24"/>
        </w:rPr>
        <w:t>Razonamiento técnico en caso de existir una fusión: (impacto contable)</w:t>
      </w:r>
    </w:p>
    <w:p w14:paraId="0A526723" w14:textId="77777777" w:rsidR="00A649A4" w:rsidRPr="00A649A4" w:rsidRDefault="00A649A4" w:rsidP="00986512">
      <w:pPr>
        <w:rPr>
          <w:rFonts w:eastAsia="Calibri"/>
          <w:szCs w:val="24"/>
        </w:rPr>
      </w:pPr>
    </w:p>
    <w:p w14:paraId="164B5181" w14:textId="63A49560" w:rsidR="00A649A4" w:rsidRPr="00A649A4" w:rsidRDefault="00986512" w:rsidP="00986512">
      <w:pPr>
        <w:pStyle w:val="Ttulo2"/>
        <w:spacing w:after="240"/>
        <w:rPr>
          <w:rFonts w:eastAsia="Times New Roman"/>
          <w:lang w:eastAsia="es-CR"/>
        </w:rPr>
      </w:pPr>
      <w:bookmarkStart w:id="120" w:name="_Toc82768900"/>
      <w:bookmarkStart w:id="121" w:name="_Toc173245219"/>
      <w:r w:rsidRPr="00A649A4">
        <w:rPr>
          <w:rFonts w:eastAsia="Times New Roman"/>
          <w:lang w:eastAsia="es-CR"/>
        </w:rPr>
        <w:t xml:space="preserve">NICSP 40 </w:t>
      </w:r>
      <w:r>
        <w:rPr>
          <w:rFonts w:eastAsia="Times New Roman"/>
          <w:lang w:eastAsia="es-CR"/>
        </w:rPr>
        <w:t xml:space="preserve">- </w:t>
      </w:r>
      <w:r w:rsidRPr="00A649A4">
        <w:rPr>
          <w:rFonts w:eastAsia="Times New Roman"/>
          <w:lang w:eastAsia="es-CR"/>
        </w:rPr>
        <w:t>COMBINACIONES EN EL SECTOR PÚBLICO:</w:t>
      </w:r>
      <w:bookmarkEnd w:id="120"/>
      <w:bookmarkEnd w:id="121"/>
      <w:r w:rsidRPr="00A649A4">
        <w:rPr>
          <w:rFonts w:eastAsia="Times New Roman"/>
          <w:lang w:eastAsia="es-CR"/>
        </w:rPr>
        <w:t xml:space="preserve"> </w:t>
      </w:r>
    </w:p>
    <w:p w14:paraId="1F14D38E" w14:textId="77777777" w:rsidR="00694299" w:rsidRDefault="00986512" w:rsidP="00986512">
      <w:pPr>
        <w:rPr>
          <w:rFonts w:asciiTheme="minorHAnsi" w:hAnsiTheme="minorHAnsi"/>
          <w:sz w:val="22"/>
        </w:rPr>
      </w:pPr>
      <w:r w:rsidRPr="00FB0858">
        <w:t xml:space="preserve">De acuerdo con la </w:t>
      </w:r>
      <w:r w:rsidRPr="000B404C">
        <w:t xml:space="preserve">De acuerdo con la </w:t>
      </w:r>
      <w:r w:rsidRPr="00986512">
        <w:t>NICSP 39 Beneficios a los empleados</w:t>
      </w:r>
      <w:r>
        <w:t xml:space="preserve">, indicar si este rubro afecta SI o NO a la institución, </w:t>
      </w:r>
      <w:r w:rsidRPr="00405DBC">
        <w:t>además del porcentaje de avance</w:t>
      </w:r>
      <w:r>
        <w:t xml:space="preserve"> en la implementación</w:t>
      </w:r>
      <w:r w:rsidRPr="00405DBC">
        <w:t xml:space="preserve"> que presenta</w:t>
      </w:r>
      <w:r>
        <w:t>.</w:t>
      </w:r>
      <w:r w:rsidR="00982595">
        <w:rPr>
          <w:lang w:eastAsia="es-CR"/>
        </w:rPr>
        <w:fldChar w:fldCharType="begin"/>
      </w:r>
      <w:r w:rsidR="00982595">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NICSP_40!F9C3:F10C4 </w:instrText>
      </w:r>
      <w:r w:rsidR="00982595">
        <w:rPr>
          <w:lang w:eastAsia="es-CR"/>
        </w:rPr>
        <w:instrText xml:space="preserve">\a \f 4 \h </w:instrText>
      </w:r>
      <w:r w:rsidR="00982595">
        <w:rPr>
          <w:lang w:eastAsia="es-CR"/>
        </w:rPr>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694299" w:rsidRPr="00694299" w14:paraId="4E14F164" w14:textId="77777777" w:rsidTr="00694299">
        <w:trPr>
          <w:divId w:val="315688922"/>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369D22E8" w14:textId="04D29E70"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0F6B2"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No</w:t>
            </w:r>
          </w:p>
        </w:tc>
      </w:tr>
      <w:tr w:rsidR="00694299" w:rsidRPr="00694299" w14:paraId="48B35CFF" w14:textId="77777777" w:rsidTr="00694299">
        <w:trPr>
          <w:divId w:val="315688922"/>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147D644B"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297D585B"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 </w:t>
            </w:r>
          </w:p>
        </w:tc>
      </w:tr>
    </w:tbl>
    <w:p w14:paraId="4155A8FC" w14:textId="08233F6D" w:rsidR="00986512" w:rsidRDefault="00982595" w:rsidP="00986512">
      <w:pPr>
        <w:rPr>
          <w:b/>
          <w:sz w:val="16"/>
          <w:szCs w:val="16"/>
          <w:lang w:eastAsia="es-CR"/>
        </w:rPr>
      </w:pPr>
      <w:r>
        <w:rPr>
          <w:b/>
          <w:sz w:val="16"/>
          <w:szCs w:val="16"/>
          <w:lang w:eastAsia="es-CR"/>
        </w:rPr>
        <w:fldChar w:fldCharType="end"/>
      </w:r>
      <w:r w:rsidR="00986512" w:rsidRPr="00986512">
        <w:rPr>
          <w:b/>
          <w:sz w:val="16"/>
          <w:szCs w:val="16"/>
          <w:lang w:eastAsia="es-CR"/>
        </w:rPr>
        <w:t>-Si la respuesta es NO la entidad debe presentar una justificación-</w:t>
      </w:r>
    </w:p>
    <w:p w14:paraId="56DBDE4C" w14:textId="0F2B2DC3" w:rsidR="00A649A4" w:rsidRPr="00986512" w:rsidRDefault="00A649A4" w:rsidP="00986512">
      <w:pPr>
        <w:jc w:val="center"/>
        <w:rPr>
          <w:szCs w:val="24"/>
        </w:rPr>
      </w:pPr>
      <w:r w:rsidRPr="00A649A4">
        <w:rPr>
          <w:noProof/>
          <w:lang w:eastAsia="es-CR"/>
        </w:rPr>
        <w:drawing>
          <wp:inline distT="0" distB="0" distL="0" distR="0" wp14:anchorId="2A393580" wp14:editId="6FC63149">
            <wp:extent cx="4152900" cy="1257300"/>
            <wp:effectExtent l="0" t="0" r="0" b="0"/>
            <wp:docPr id="5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52900" cy="1257300"/>
                    </a:xfrm>
                    <a:prstGeom prst="rect">
                      <a:avLst/>
                    </a:prstGeom>
                    <a:noFill/>
                    <a:ln>
                      <a:noFill/>
                    </a:ln>
                  </pic:spPr>
                </pic:pic>
              </a:graphicData>
            </a:graphic>
          </wp:inline>
        </w:drawing>
      </w:r>
    </w:p>
    <w:p w14:paraId="4BEBFEB9" w14:textId="77777777" w:rsidR="00A649A4" w:rsidRPr="00A649A4" w:rsidRDefault="00A649A4" w:rsidP="00986512">
      <w:pPr>
        <w:rPr>
          <w:rFonts w:eastAsia="Calibri" w:cs="Times New Roman"/>
        </w:rPr>
      </w:pPr>
      <w:r w:rsidRPr="00A649A4">
        <w:rPr>
          <w:rFonts w:eastAsia="Calibri" w:cs="Times New Roman"/>
        </w:rPr>
        <w:t>El párrafo 5 de esta Norma define una combinación del sector público como "la unión de operaciones separadas en una única entidad del sector público." La referencia a una entidad del sector público puede ser a una sola entidad o a una entidad económica. Algunas reorganizaciones del sector público pueden implicar más de una combinación del sector público. Las circunstancias en las que puede tener lugar una combinación del sector público incluyen:</w:t>
      </w:r>
    </w:p>
    <w:p w14:paraId="3797D560" w14:textId="77777777" w:rsidR="00A649A4" w:rsidRPr="00A649A4" w:rsidRDefault="00A649A4" w:rsidP="00986512">
      <w:pPr>
        <w:rPr>
          <w:rFonts w:eastAsia="Calibri" w:cs="Times New Roman"/>
        </w:rPr>
      </w:pPr>
      <w:r w:rsidRPr="00A649A4">
        <w:rPr>
          <w:rFonts w:eastAsia="Calibri" w:cs="Times New Roman"/>
        </w:rPr>
        <w:t>(a) por acuerdo mutuo; y</w:t>
      </w:r>
    </w:p>
    <w:p w14:paraId="56E1995E" w14:textId="77777777" w:rsidR="00A649A4" w:rsidRPr="00A649A4" w:rsidRDefault="00A649A4" w:rsidP="00986512">
      <w:pPr>
        <w:rPr>
          <w:rFonts w:eastAsia="Calibri" w:cs="Times New Roman"/>
        </w:rPr>
      </w:pPr>
      <w:r w:rsidRPr="00A649A4">
        <w:rPr>
          <w:rFonts w:eastAsia="Calibri" w:cs="Times New Roman"/>
        </w:rPr>
        <w:t>(b) por obligación (por ejemplo, por legislación).</w:t>
      </w:r>
    </w:p>
    <w:p w14:paraId="27C58EA8" w14:textId="77777777" w:rsidR="00A649A4" w:rsidRPr="00A649A4" w:rsidRDefault="00A649A4" w:rsidP="00986512">
      <w:pPr>
        <w:rPr>
          <w:rFonts w:eastAsia="Calibri" w:cs="Times New Roman"/>
        </w:rPr>
      </w:pPr>
      <w:r w:rsidRPr="00A649A4">
        <w:rPr>
          <w:rFonts w:eastAsia="Calibri" w:cs="Times New Roman"/>
        </w:rPr>
        <w:t>Una operación es un conjunto integrado de actividades y activos o pasivos relacionados susceptibles de ser dirigidos y gestionados con el propósito de lograr los objetivos de una entidad, proporcionando bienes o servicios.</w:t>
      </w:r>
    </w:p>
    <w:p w14:paraId="60FE7EE6" w14:textId="77777777" w:rsidR="00A649A4" w:rsidRPr="00A649A4" w:rsidRDefault="00A649A4" w:rsidP="00986512">
      <w:pPr>
        <w:rPr>
          <w:rFonts w:eastAsia="Calibri" w:cs="Times New Roman"/>
        </w:rPr>
      </w:pPr>
      <w:r w:rsidRPr="00A649A4">
        <w:rPr>
          <w:rFonts w:eastAsia="Calibri" w:cs="Times New Roman"/>
        </w:rPr>
        <w:t>Una fusión da lugar a una entidad resultante y es:</w:t>
      </w:r>
    </w:p>
    <w:p w14:paraId="1E571C6B" w14:textId="77777777" w:rsidR="00A649A4" w:rsidRPr="00A649A4" w:rsidRDefault="00A649A4" w:rsidP="00986512">
      <w:pPr>
        <w:rPr>
          <w:rFonts w:eastAsia="Calibri" w:cs="Times New Roman"/>
        </w:rPr>
      </w:pPr>
      <w:r w:rsidRPr="00A649A4">
        <w:rPr>
          <w:rFonts w:eastAsia="Calibri" w:cs="Times New Roman"/>
        </w:rPr>
        <w:t>(a) una combinación del sector público en la cual ninguna parte de la combinación obtiene el control de una o más operaciones; o</w:t>
      </w:r>
    </w:p>
    <w:p w14:paraId="3E4432D9" w14:textId="25F44783" w:rsidR="00A649A4" w:rsidRDefault="00A649A4" w:rsidP="00986512">
      <w:pPr>
        <w:rPr>
          <w:rFonts w:eastAsia="Calibri" w:cs="Times New Roman"/>
        </w:rPr>
      </w:pPr>
      <w:r w:rsidRPr="00A649A4">
        <w:rPr>
          <w:rFonts w:eastAsia="Calibri" w:cs="Times New Roman"/>
        </w:rPr>
        <w:t>(b) una combinación del sector público en la que una parte de la combinación obtiene el control de una o más operaciones, y en la que existe evidencia de que la combinación tiene la esencia económica de una fusión.</w:t>
      </w:r>
    </w:p>
    <w:p w14:paraId="33099F4A" w14:textId="77777777" w:rsidR="009131F0" w:rsidRPr="003516A2" w:rsidRDefault="009131F0" w:rsidP="009131F0">
      <w:pPr>
        <w:spacing w:before="240"/>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1330B4D9" w14:textId="77777777" w:rsidR="009131F0" w:rsidRDefault="009131F0" w:rsidP="009131F0">
      <w:pPr>
        <w:spacing w:line="240" w:lineRule="auto"/>
        <w:rPr>
          <w:b/>
          <w:u w:val="single"/>
        </w:rPr>
      </w:pPr>
    </w:p>
    <w:p w14:paraId="4E96AFF0" w14:textId="77777777" w:rsidR="009131F0" w:rsidRPr="003516A2" w:rsidRDefault="009131F0" w:rsidP="009131F0">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05E8727E" w14:textId="77777777" w:rsidR="009131F0" w:rsidRPr="0021402F" w:rsidRDefault="009131F0" w:rsidP="009131F0">
      <w:pPr>
        <w:rPr>
          <w:rFonts w:eastAsia="Calibri" w:cs="Times New Roman"/>
        </w:rPr>
      </w:pPr>
      <w:r>
        <w:rPr>
          <w:lang w:val="es-MX"/>
        </w:rPr>
        <w:t>________________________________________________________________________________________________________________________________________________________________</w:t>
      </w:r>
    </w:p>
    <w:p w14:paraId="431068E1" w14:textId="6B790424" w:rsidR="00A649A4" w:rsidRPr="00A649A4" w:rsidRDefault="00A649A4" w:rsidP="00986512">
      <w:pPr>
        <w:rPr>
          <w:rFonts w:eastAsia="Times New Roman" w:cs="Times New Roman"/>
          <w:b/>
          <w:u w:val="single"/>
          <w:lang w:val="es-ES_tradnl" w:eastAsia="es-CR"/>
        </w:rPr>
      </w:pPr>
      <w:r w:rsidRPr="009131F0">
        <w:rPr>
          <w:b/>
          <w:color w:val="FFFFFF" w:themeColor="background1"/>
          <w:highlight w:val="darkBlue"/>
          <w:u w:val="single"/>
        </w:rPr>
        <w:t xml:space="preserve">Revelación Suficiente: </w:t>
      </w:r>
      <w:r w:rsidRPr="00A649A4">
        <w:rPr>
          <w:rFonts w:eastAsia="Calibri" w:cs="Times New Roman"/>
          <w:b/>
          <w:bCs/>
          <w:u w:val="single"/>
        </w:rPr>
        <w:t>El ente debe cumplir con lo estipulado en revelación con forme a la NICSP, también debe considerar la política general y los párrafos incluidos en la matriz de autoevaluación referente a esta NICSP y guías de aplicación</w:t>
      </w:r>
      <w:r w:rsidRPr="00A649A4">
        <w:rPr>
          <w:rFonts w:eastAsia="Times New Roman" w:cs="Times New Roman"/>
          <w:b/>
          <w:u w:val="single"/>
          <w:lang w:val="es-ES_tradnl" w:eastAsia="es-CR"/>
        </w:rPr>
        <w:t xml:space="preserve"> (Ver GA de la NICSP 40):</w:t>
      </w:r>
    </w:p>
    <w:p w14:paraId="67944C3D" w14:textId="299538E0" w:rsidR="00A649A4" w:rsidRPr="00A649A4" w:rsidRDefault="00A649A4" w:rsidP="00986512">
      <w:pPr>
        <w:rPr>
          <w:rFonts w:eastAsia="Calibri" w:cs="Times New Roman"/>
          <w:lang w:val="es-MX"/>
        </w:rPr>
      </w:pPr>
      <w:r w:rsidRPr="00A649A4">
        <w:rPr>
          <w:rFonts w:eastAsia="Calibri" w:cs="Times New Roman"/>
          <w:lang w:val="es-MX"/>
        </w:rPr>
        <w:t>________________________________________________________________________________________________________________________________________________________________________________________________________________________________________________</w:t>
      </w:r>
    </w:p>
    <w:p w14:paraId="3BE7858A" w14:textId="77777777" w:rsidR="00A649A4" w:rsidRPr="00A649A4" w:rsidRDefault="00A649A4" w:rsidP="00986512"/>
    <w:p w14:paraId="3BFAD766" w14:textId="746F74F8" w:rsidR="00A649A4" w:rsidRDefault="00A649A4" w:rsidP="00080C49">
      <w:pPr>
        <w:pStyle w:val="Ttulo1"/>
        <w:rPr>
          <w:rFonts w:eastAsia="Times New Roman"/>
        </w:rPr>
      </w:pPr>
      <w:r w:rsidRPr="00A649A4">
        <w:rPr>
          <w:rFonts w:eastAsia="Times New Roman"/>
        </w:rPr>
        <w:br w:type="page"/>
      </w:r>
      <w:bookmarkStart w:id="122" w:name="_Toc82768901"/>
      <w:bookmarkStart w:id="123" w:name="_Toc173245220"/>
      <w:bookmarkStart w:id="124" w:name="_Hlk162955129"/>
      <w:r w:rsidRPr="00A649A4">
        <w:rPr>
          <w:rFonts w:eastAsia="Times New Roman"/>
        </w:rPr>
        <w:t>REVELACIONES PARTICULARES</w:t>
      </w:r>
      <w:bookmarkEnd w:id="122"/>
      <w:bookmarkEnd w:id="123"/>
    </w:p>
    <w:p w14:paraId="72E73C16" w14:textId="77777777" w:rsidR="00142555" w:rsidRPr="00142555" w:rsidRDefault="00142555" w:rsidP="00142555"/>
    <w:p w14:paraId="320C50C9" w14:textId="57613CBB" w:rsidR="003A77F3" w:rsidRPr="00A649A4" w:rsidRDefault="003A77F3" w:rsidP="003A77F3">
      <w:pPr>
        <w:spacing w:before="240"/>
        <w:rPr>
          <w:lang w:val="es-MX" w:eastAsia="es-CR"/>
        </w:rPr>
      </w:pPr>
      <w:r>
        <w:rPr>
          <w:lang w:val="es-MX" w:eastAsia="es-CR"/>
        </w:rPr>
        <w:t xml:space="preserve">Para cada una de las interrogantes planteadas, </w:t>
      </w:r>
      <w:r w:rsidRPr="003A77F3">
        <w:rPr>
          <w:lang w:val="es-MX" w:eastAsia="es-CR"/>
        </w:rPr>
        <w:t>indicar si este rubro afecta SI o NO a la institución</w:t>
      </w:r>
      <w:r>
        <w:rPr>
          <w:lang w:val="es-MX" w:eastAsia="es-CR"/>
        </w:rPr>
        <w:t>.</w:t>
      </w:r>
    </w:p>
    <w:p w14:paraId="378E6C35" w14:textId="1C4571BF" w:rsidR="00A649A4" w:rsidRPr="003A77F3" w:rsidRDefault="00A649A4" w:rsidP="003A77F3">
      <w:pPr>
        <w:spacing w:before="240"/>
        <w:rPr>
          <w:b/>
          <w:lang w:val="es-MX" w:eastAsia="es-CR"/>
        </w:rPr>
      </w:pPr>
      <w:r w:rsidRPr="003A77F3">
        <w:rPr>
          <w:b/>
          <w:lang w:val="es-MX" w:eastAsia="es-CR"/>
        </w:rPr>
        <w:t>Eventos conocidos por la opinión pública:</w:t>
      </w:r>
    </w:p>
    <w:p w14:paraId="599F2FB2" w14:textId="4472128B" w:rsidR="00323752" w:rsidRPr="00323752" w:rsidRDefault="00A649A4" w:rsidP="00323752">
      <w:pPr>
        <w:pStyle w:val="Prrafodelista"/>
        <w:numPr>
          <w:ilvl w:val="0"/>
          <w:numId w:val="5"/>
        </w:numPr>
        <w:rPr>
          <w:bCs/>
          <w:lang w:val="es-MX" w:eastAsia="es-CR"/>
        </w:rPr>
      </w:pPr>
      <w:r w:rsidRPr="007473D3">
        <w:rPr>
          <w:bCs/>
          <w:lang w:val="es-MX" w:eastAsia="es-CR"/>
        </w:rPr>
        <w:t>¿La entidad aplica la Ley</w:t>
      </w:r>
      <w:r w:rsidRPr="003A77F3">
        <w:rPr>
          <w:bCs/>
          <w:lang w:val="es-MX" w:eastAsia="es-CR"/>
        </w:rPr>
        <w:t xml:space="preserve"> de reducción de la deuda pública por medio de la venta de activos ociosos o subutilizados del sector público (10092), en su artículo 3: “…Declaratoria de ociosidad? Cada órgano y entidad de la Administración Pública tendrá la obligación de realizar un inventario anual de todos sus bienes muebles e inmuebles y remitir un informe al Ministerio de Hacienda, a más tardar el </w:t>
      </w:r>
      <w:r w:rsidR="00D470B6">
        <w:rPr>
          <w:bCs/>
          <w:lang w:val="es-MX" w:eastAsia="es-CR"/>
        </w:rPr>
        <w:t>30 de junio</w:t>
      </w:r>
      <w:r w:rsidRPr="003A77F3">
        <w:rPr>
          <w:bCs/>
          <w:lang w:val="es-MX" w:eastAsia="es-CR"/>
        </w:rPr>
        <w:t xml:space="preserve"> de cada año, en el cual identificará, además, los bienes que catalogarían como ociosos. En caso de no existir bienes de este tipo, el jerarca deberá hacerlo constar en el respectivo informe. Corresponderá al máximo jerarca del órgano o ente emitir la resolución razonada por la cual declara el bien como ocioso, así como acreditar que desprenderse de este no generará afectación al servicio público ni a derechos de terceras personas sobre estos. “tiene eventos financieros y contables que salieron a la luz pública en este periodo contable?  </w:t>
      </w:r>
      <w:r w:rsidR="00222CE0">
        <w:rPr>
          <w:lang w:val="es-MX" w:eastAsia="es-CR"/>
        </w:rPr>
        <w:fldChar w:fldCharType="begin"/>
      </w:r>
      <w:r w:rsidR="00222CE0" w:rsidRPr="00222CE0">
        <w:rPr>
          <w:lang w:val="es-MX" w:eastAsia="es-CR"/>
        </w:rPr>
        <w:instrText xml:space="preserve"> LINK </w:instrText>
      </w:r>
      <w:r w:rsidR="00323752">
        <w:rPr>
          <w:lang w:val="es-MX" w:eastAsia="es-CR"/>
        </w:rPr>
        <w:instrText xml:space="preserve">Excel.SheetMacroEnabled.12 "D:\\MORAVIA\\INSUMOS\\NOTAS 2024\\Formato_Notas_EEFF_Vinculadas_2024\\XXXXX_PXX_202X_Anexo_Estado_Notas_Contables_Vinculadas.xlsm" NOTAS_PARTICULAR!F8C3:F8C4 </w:instrText>
      </w:r>
      <w:r w:rsidR="00222CE0" w:rsidRPr="00222CE0">
        <w:rPr>
          <w:lang w:val="es-MX" w:eastAsia="es-CR"/>
        </w:rPr>
        <w:instrText xml:space="preserve">\a \f 4 \h </w:instrText>
      </w:r>
      <w:r w:rsidR="00222CE0">
        <w:rPr>
          <w:lang w:val="es-MX" w:eastAsia="es-CR"/>
        </w:rPr>
        <w:instrText xml:space="preserve"> \* MERGEFORMAT </w:instrText>
      </w:r>
      <w:r w:rsidR="00222CE0">
        <w:rPr>
          <w:lang w:val="es-MX" w:eastAsia="es-CR"/>
        </w:rPr>
        <w:fldChar w:fldCharType="separate"/>
      </w:r>
    </w:p>
    <w:tbl>
      <w:tblPr>
        <w:tblW w:w="2240" w:type="dxa"/>
        <w:tblCellMar>
          <w:left w:w="70" w:type="dxa"/>
          <w:right w:w="70" w:type="dxa"/>
        </w:tblCellMar>
        <w:tblLook w:val="04A0" w:firstRow="1" w:lastRow="0" w:firstColumn="1" w:lastColumn="0" w:noHBand="0" w:noVBand="1"/>
      </w:tblPr>
      <w:tblGrid>
        <w:gridCol w:w="1344"/>
        <w:gridCol w:w="896"/>
      </w:tblGrid>
      <w:tr w:rsidR="00323752" w:rsidRPr="00323752" w14:paraId="1B235E27" w14:textId="77777777" w:rsidTr="00323752">
        <w:trPr>
          <w:divId w:val="94447515"/>
          <w:trHeight w:val="288"/>
        </w:trPr>
        <w:tc>
          <w:tcPr>
            <w:tcW w:w="1344" w:type="dxa"/>
            <w:tcBorders>
              <w:top w:val="single" w:sz="4" w:space="0" w:color="auto"/>
              <w:left w:val="single" w:sz="8" w:space="0" w:color="auto"/>
              <w:bottom w:val="single" w:sz="8" w:space="0" w:color="auto"/>
              <w:right w:val="single" w:sz="8" w:space="0" w:color="auto"/>
            </w:tcBorders>
            <w:shd w:val="clear" w:color="000000" w:fill="17365D"/>
            <w:vAlign w:val="center"/>
            <w:hideMark/>
          </w:tcPr>
          <w:p w14:paraId="66575CA8" w14:textId="7F5ACE09" w:rsidR="00323752" w:rsidRPr="00323752" w:rsidRDefault="00323752" w:rsidP="00323752">
            <w:pPr>
              <w:rPr>
                <w:rFonts w:eastAsia="Times New Roman" w:cs="Calibri"/>
                <w:color w:val="FFFFFF"/>
                <w:sz w:val="18"/>
                <w:szCs w:val="18"/>
                <w:lang w:eastAsia="es-CR"/>
              </w:rPr>
            </w:pPr>
            <w:r w:rsidRPr="00323752">
              <w:rPr>
                <w:rFonts w:eastAsia="Times New Roman" w:cs="Calibri"/>
                <w:color w:val="FFFFFF"/>
                <w:sz w:val="18"/>
                <w:szCs w:val="18"/>
                <w:lang w:eastAsia="es-CR"/>
              </w:rPr>
              <w:t>APLICACIÓN</w:t>
            </w:r>
          </w:p>
        </w:tc>
        <w:tc>
          <w:tcPr>
            <w:tcW w:w="89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8A77D1" w14:textId="654EA4F5" w:rsidR="00323752" w:rsidRPr="00323752" w:rsidRDefault="00951C06" w:rsidP="00323752">
            <w:pPr>
              <w:spacing w:after="0" w:line="240" w:lineRule="auto"/>
              <w:jc w:val="center"/>
              <w:rPr>
                <w:rFonts w:eastAsia="Times New Roman" w:cs="Calibri"/>
                <w:b/>
                <w:bCs/>
                <w:i/>
                <w:iCs/>
                <w:color w:val="000000"/>
                <w:sz w:val="18"/>
                <w:szCs w:val="18"/>
                <w:lang w:eastAsia="es-CR"/>
              </w:rPr>
            </w:pPr>
            <w:r>
              <w:rPr>
                <w:rFonts w:eastAsia="Times New Roman" w:cs="Calibri"/>
                <w:b/>
                <w:bCs/>
                <w:i/>
                <w:iCs/>
                <w:color w:val="000000"/>
                <w:sz w:val="18"/>
                <w:szCs w:val="18"/>
                <w:lang w:eastAsia="es-CR"/>
              </w:rPr>
              <w:t>SI</w:t>
            </w:r>
          </w:p>
        </w:tc>
      </w:tr>
    </w:tbl>
    <w:p w14:paraId="72F96B3D" w14:textId="2654F802" w:rsidR="00A649A4" w:rsidRPr="00222CE0" w:rsidRDefault="00222CE0" w:rsidP="00222CE0">
      <w:pPr>
        <w:spacing w:before="240"/>
        <w:rPr>
          <w:bCs/>
          <w:lang w:val="es-MX" w:eastAsia="es-CR"/>
        </w:rPr>
      </w:pPr>
      <w:r>
        <w:rPr>
          <w:bCs/>
          <w:lang w:val="es-MX" w:eastAsia="es-CR"/>
        </w:rPr>
        <w:fldChar w:fldCharType="end"/>
      </w:r>
      <w:r w:rsidR="00A649A4" w:rsidRPr="003A77F3">
        <w:rPr>
          <w:b/>
          <w:sz w:val="22"/>
          <w:lang w:val="es-ES_tradnl" w:eastAsia="es-CR"/>
        </w:rPr>
        <w:t>*Revelación</w:t>
      </w:r>
      <w:r w:rsidR="00A649A4" w:rsidRPr="003A77F3">
        <w:rPr>
          <w:b/>
          <w:bCs/>
          <w:color w:val="000000"/>
          <w:sz w:val="22"/>
          <w:lang w:eastAsia="es-CR"/>
        </w:rPr>
        <w:t xml:space="preserve"> nota complementaria “Cumplimiento de la Ley 10092”</w:t>
      </w:r>
      <w:r w:rsidR="00A649A4" w:rsidRPr="003A77F3">
        <w:rPr>
          <w:rFonts w:eastAsia="Calibri"/>
          <w:b/>
          <w:sz w:val="22"/>
        </w:rPr>
        <w:t xml:space="preserve"> </w:t>
      </w:r>
      <w:r w:rsidR="00A649A4" w:rsidRPr="003A77F3">
        <w:rPr>
          <w:b/>
          <w:bCs/>
          <w:color w:val="000000"/>
          <w:sz w:val="22"/>
          <w:lang w:eastAsia="es-CR"/>
        </w:rPr>
        <w:t>e incluir el plan de acción para cumplir con el inventario y el procedimiento para emitir la certificación correspondiente</w:t>
      </w:r>
      <w:r w:rsidR="00A649A4" w:rsidRPr="003A77F3">
        <w:rPr>
          <w:b/>
          <w:color w:val="000000"/>
          <w:sz w:val="22"/>
          <w:lang w:eastAsia="es-CR"/>
        </w:rPr>
        <w:t>:</w:t>
      </w:r>
    </w:p>
    <w:p w14:paraId="4D75633C" w14:textId="5B2BF415" w:rsidR="00951C06" w:rsidRDefault="00951C06" w:rsidP="00951C06">
      <w:pPr>
        <w:spacing w:after="0" w:line="240" w:lineRule="auto"/>
        <w:ind w:right="51"/>
        <w:rPr>
          <w:szCs w:val="24"/>
        </w:rPr>
      </w:pPr>
      <w:r w:rsidRPr="0075209A">
        <w:rPr>
          <w:szCs w:val="24"/>
        </w:rPr>
        <w:t xml:space="preserve">En relación con el cumplimiento de lo estipulado en el Artículo 3 de la Ley Nº </w:t>
      </w:r>
      <w:r w:rsidRPr="0075209A">
        <w:rPr>
          <w:szCs w:val="24"/>
          <w:lang w:val="es-MX"/>
        </w:rPr>
        <w:t>10092</w:t>
      </w:r>
      <w:r w:rsidRPr="0075209A">
        <w:rPr>
          <w:szCs w:val="24"/>
        </w:rPr>
        <w:t xml:space="preserve"> “Reducción de la deuda pública por medio de la venta de activos ociosos o subutilizados del Sector Público”, en el cual se obliga a las entidades del Sector Público a realizar un inventario anual, con el fin de identificar la existencia de activos ociosos, los cuales deben informarse al Ministerio de Hacienda a más tardar el </w:t>
      </w:r>
      <w:r w:rsidR="00D470B6">
        <w:rPr>
          <w:szCs w:val="24"/>
        </w:rPr>
        <w:t>30 de junio</w:t>
      </w:r>
      <w:r w:rsidRPr="0075209A">
        <w:rPr>
          <w:szCs w:val="24"/>
        </w:rPr>
        <w:t xml:space="preserve"> de cada año</w:t>
      </w:r>
      <w:r>
        <w:rPr>
          <w:szCs w:val="24"/>
        </w:rPr>
        <w:t xml:space="preserve">. </w:t>
      </w:r>
      <w:r>
        <w:rPr>
          <w:rFonts w:cs="Calibri"/>
        </w:rPr>
        <w:t>Ver al respecto anexo adjunto a estas notas en nota complementaria</w:t>
      </w:r>
      <w:r w:rsidRPr="0075209A">
        <w:rPr>
          <w:szCs w:val="24"/>
        </w:rPr>
        <w:t>.</w:t>
      </w:r>
    </w:p>
    <w:p w14:paraId="65EE323F" w14:textId="77777777" w:rsidR="00AA7229" w:rsidRPr="00AA7229" w:rsidRDefault="00AA7229" w:rsidP="00AA7229">
      <w:pPr>
        <w:rPr>
          <w:rFonts w:eastAsia="Calibri"/>
          <w:szCs w:val="24"/>
        </w:rPr>
      </w:pPr>
    </w:p>
    <w:p w14:paraId="70E2D48F" w14:textId="52CBDFF4" w:rsidR="00323752" w:rsidRPr="00951C06" w:rsidRDefault="00A649A4" w:rsidP="00323752">
      <w:pPr>
        <w:pStyle w:val="Prrafodelista"/>
        <w:numPr>
          <w:ilvl w:val="0"/>
          <w:numId w:val="5"/>
        </w:numPr>
        <w:spacing w:before="240"/>
        <w:rPr>
          <w:color w:val="000000"/>
          <w:lang w:eastAsia="es-CR"/>
        </w:rPr>
      </w:pPr>
      <w:r w:rsidRPr="007473D3">
        <w:rPr>
          <w:color w:val="000000"/>
          <w:lang w:eastAsia="es-CR"/>
        </w:rPr>
        <w:t>¿La Entidad está registrando sus</w:t>
      </w:r>
      <w:r w:rsidRPr="003A77F3">
        <w:rPr>
          <w:color w:val="000000"/>
          <w:lang w:eastAsia="es-CR"/>
        </w:rPr>
        <w:t xml:space="preserve"> asientos contables a partir del 01 de enero de 2017, basado en el Plan de Cuentas NICSP, en la última versión?</w:t>
      </w:r>
      <w:r w:rsidR="00222CE0">
        <w:rPr>
          <w:lang w:eastAsia="es-CR"/>
        </w:rPr>
        <w:fldChar w:fldCharType="begin"/>
      </w:r>
      <w:r w:rsidR="00222CE0">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NOTAS_PARTICULAR!F9C3:F9C4 </w:instrText>
      </w:r>
      <w:r w:rsidR="00222CE0">
        <w:rPr>
          <w:lang w:eastAsia="es-CR"/>
        </w:rPr>
        <w:instrText xml:space="preserve">\a \f 4 \h  \* MERGEFORMAT </w:instrText>
      </w:r>
      <w:r w:rsidR="00222CE0">
        <w:rPr>
          <w:lang w:eastAsia="es-CR"/>
        </w:rPr>
        <w:fldChar w:fldCharType="separate"/>
      </w:r>
    </w:p>
    <w:tbl>
      <w:tblPr>
        <w:tblW w:w="2340" w:type="dxa"/>
        <w:tblCellMar>
          <w:left w:w="70" w:type="dxa"/>
          <w:right w:w="70" w:type="dxa"/>
        </w:tblCellMar>
        <w:tblLook w:val="04A0" w:firstRow="1" w:lastRow="0" w:firstColumn="1" w:lastColumn="0" w:noHBand="0" w:noVBand="1"/>
      </w:tblPr>
      <w:tblGrid>
        <w:gridCol w:w="1160"/>
        <w:gridCol w:w="1180"/>
      </w:tblGrid>
      <w:tr w:rsidR="00323752" w:rsidRPr="00323752" w14:paraId="2BC819CE" w14:textId="77777777" w:rsidTr="00323752">
        <w:trPr>
          <w:divId w:val="1524123777"/>
          <w:trHeight w:val="288"/>
        </w:trPr>
        <w:tc>
          <w:tcPr>
            <w:tcW w:w="11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10C32CA8" w14:textId="55D53F1B" w:rsidR="00323752" w:rsidRPr="00323752" w:rsidRDefault="00323752" w:rsidP="00323752">
            <w:pPr>
              <w:jc w:val="center"/>
              <w:rPr>
                <w:rFonts w:eastAsia="Times New Roman" w:cs="Calibri"/>
                <w:color w:val="FFFFFF"/>
                <w:sz w:val="18"/>
                <w:szCs w:val="18"/>
                <w:lang w:eastAsia="es-CR"/>
              </w:rPr>
            </w:pPr>
            <w:r w:rsidRPr="00323752">
              <w:rPr>
                <w:rFonts w:eastAsia="Times New Roman" w:cs="Calibri"/>
                <w:color w:val="FFFFFF"/>
                <w:sz w:val="18"/>
                <w:szCs w:val="18"/>
                <w:lang w:eastAsia="es-CR"/>
              </w:rPr>
              <w:t>APLICACIÓN</w:t>
            </w:r>
          </w:p>
        </w:tc>
        <w:tc>
          <w:tcPr>
            <w:tcW w:w="1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94DBFC" w14:textId="536B6318" w:rsidR="00323752" w:rsidRPr="00323752" w:rsidRDefault="00323752" w:rsidP="00323752">
            <w:pPr>
              <w:spacing w:after="0" w:line="240" w:lineRule="auto"/>
              <w:jc w:val="center"/>
              <w:rPr>
                <w:rFonts w:eastAsia="Times New Roman" w:cs="Calibri"/>
                <w:b/>
                <w:bCs/>
                <w:i/>
                <w:iCs/>
                <w:color w:val="000000"/>
                <w:sz w:val="18"/>
                <w:szCs w:val="18"/>
                <w:lang w:eastAsia="es-CR"/>
              </w:rPr>
            </w:pPr>
            <w:r w:rsidRPr="00323752">
              <w:rPr>
                <w:rFonts w:eastAsia="Times New Roman" w:cs="Calibri"/>
                <w:b/>
                <w:bCs/>
                <w:i/>
                <w:iCs/>
                <w:color w:val="000000"/>
                <w:sz w:val="18"/>
                <w:szCs w:val="18"/>
                <w:lang w:eastAsia="es-CR"/>
              </w:rPr>
              <w:t> </w:t>
            </w:r>
            <w:r w:rsidR="00951C06">
              <w:rPr>
                <w:rFonts w:eastAsia="Times New Roman" w:cs="Calibri"/>
                <w:b/>
                <w:bCs/>
                <w:i/>
                <w:iCs/>
                <w:color w:val="000000"/>
                <w:sz w:val="18"/>
                <w:szCs w:val="18"/>
                <w:lang w:eastAsia="es-CR"/>
              </w:rPr>
              <w:t>NO</w:t>
            </w:r>
          </w:p>
        </w:tc>
      </w:tr>
    </w:tbl>
    <w:p w14:paraId="3BD992F2" w14:textId="77777777" w:rsidR="00951C06" w:rsidRDefault="00222CE0" w:rsidP="00AA7229">
      <w:pPr>
        <w:rPr>
          <w:lang w:eastAsia="es-CR"/>
        </w:rPr>
      </w:pPr>
      <w:r>
        <w:rPr>
          <w:lang w:eastAsia="es-CR"/>
        </w:rPr>
        <w:fldChar w:fldCharType="end"/>
      </w:r>
      <w:bookmarkStart w:id="125" w:name="_Hlk41917856"/>
    </w:p>
    <w:p w14:paraId="122F38F1" w14:textId="725B83BB" w:rsidR="00A649A4" w:rsidRPr="009A4467" w:rsidRDefault="00A649A4" w:rsidP="00AA7229">
      <w:pPr>
        <w:rPr>
          <w:rFonts w:eastAsia="Calibri"/>
          <w:b/>
          <w:bCs/>
        </w:rPr>
      </w:pPr>
      <w:r w:rsidRPr="009A4467">
        <w:rPr>
          <w:rFonts w:eastAsia="Calibri"/>
          <w:b/>
          <w:bCs/>
        </w:rPr>
        <w:t>Revelación:</w:t>
      </w:r>
    </w:p>
    <w:p w14:paraId="564F6E80" w14:textId="77777777" w:rsidR="00951C06" w:rsidRPr="00EB11D5" w:rsidRDefault="00951C06" w:rsidP="00951C06">
      <w:pPr>
        <w:spacing w:before="240" w:after="0" w:line="240" w:lineRule="auto"/>
        <w:ind w:right="51"/>
        <w:rPr>
          <w:szCs w:val="24"/>
        </w:rPr>
      </w:pPr>
      <w:r w:rsidRPr="00EB11D5">
        <w:rPr>
          <w:szCs w:val="24"/>
          <w:lang w:val="es-ES"/>
        </w:rPr>
        <w:t xml:space="preserve">Hay que reiterar que la Municipalidad de Buenos Aires inicio la implementación de las NICSP en el año 2021 fecha a partir de la cual, se están realizando los asientos contables con base </w:t>
      </w:r>
      <w:r w:rsidRPr="00EB11D5">
        <w:rPr>
          <w:color w:val="000000"/>
          <w:szCs w:val="24"/>
          <w:lang w:eastAsia="es-CR"/>
        </w:rPr>
        <w:t>en la última versión</w:t>
      </w:r>
      <w:r w:rsidRPr="00EB11D5">
        <w:rPr>
          <w:szCs w:val="24"/>
          <w:lang w:val="es-ES"/>
        </w:rPr>
        <w:t xml:space="preserve"> el Plan de Cuentas NICSP, según corresponde.</w:t>
      </w:r>
    </w:p>
    <w:bookmarkEnd w:id="125"/>
    <w:p w14:paraId="4371DF81" w14:textId="77777777" w:rsidR="00142555" w:rsidRDefault="00142555" w:rsidP="00142555">
      <w:pPr>
        <w:pStyle w:val="Prrafodelista"/>
        <w:spacing w:before="240"/>
        <w:rPr>
          <w:color w:val="000000"/>
          <w:lang w:eastAsia="es-CR"/>
        </w:rPr>
      </w:pPr>
    </w:p>
    <w:p w14:paraId="0531264D" w14:textId="77777777" w:rsidR="00661490" w:rsidRDefault="00A649A4">
      <w:pPr>
        <w:pStyle w:val="Prrafodelista"/>
        <w:numPr>
          <w:ilvl w:val="0"/>
          <w:numId w:val="5"/>
        </w:numPr>
        <w:rPr>
          <w:color w:val="000000"/>
          <w:lang w:eastAsia="es-CR"/>
        </w:rPr>
      </w:pPr>
      <w:r w:rsidRPr="009A4467">
        <w:rPr>
          <w:color w:val="000000"/>
          <w:lang w:eastAsia="es-CR"/>
        </w:rPr>
        <w:t>¿Su institución realizó reclasificaciones de cuentas, en el periodo actual?</w:t>
      </w:r>
    </w:p>
    <w:p w14:paraId="072CBFB8" w14:textId="77777777" w:rsidR="00323752" w:rsidRDefault="0011353D" w:rsidP="00A43C71">
      <w:pPr>
        <w:rPr>
          <w:rFonts w:asciiTheme="minorHAnsi" w:hAnsiTheme="minorHAnsi"/>
          <w:sz w:val="22"/>
        </w:rPr>
      </w:pPr>
      <w:r>
        <w:rPr>
          <w:lang w:eastAsia="es-CR"/>
        </w:rPr>
        <w:fldChar w:fldCharType="begin"/>
      </w:r>
      <w:r>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NOTAS_PARTICULAR!F10C3:F10C4 </w:instrText>
      </w:r>
      <w:r>
        <w:rPr>
          <w:lang w:eastAsia="es-CR"/>
        </w:rPr>
        <w:instrText xml:space="preserve">\a \f 4 \h </w:instrText>
      </w:r>
      <w:r>
        <w:rPr>
          <w:lang w:eastAsia="es-CR"/>
        </w:rPr>
        <w:fldChar w:fldCharType="separate"/>
      </w:r>
    </w:p>
    <w:tbl>
      <w:tblPr>
        <w:tblW w:w="2340" w:type="dxa"/>
        <w:tblCellMar>
          <w:left w:w="70" w:type="dxa"/>
          <w:right w:w="70" w:type="dxa"/>
        </w:tblCellMar>
        <w:tblLook w:val="04A0" w:firstRow="1" w:lastRow="0" w:firstColumn="1" w:lastColumn="0" w:noHBand="0" w:noVBand="1"/>
      </w:tblPr>
      <w:tblGrid>
        <w:gridCol w:w="1160"/>
        <w:gridCol w:w="1180"/>
      </w:tblGrid>
      <w:tr w:rsidR="00323752" w:rsidRPr="00323752" w14:paraId="6933A3E6" w14:textId="77777777" w:rsidTr="00323752">
        <w:trPr>
          <w:divId w:val="1942181599"/>
          <w:trHeight w:val="288"/>
        </w:trPr>
        <w:tc>
          <w:tcPr>
            <w:tcW w:w="11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41C68EDA" w14:textId="662A7DE6" w:rsidR="00323752" w:rsidRPr="00323752" w:rsidRDefault="00323752" w:rsidP="00323752">
            <w:pPr>
              <w:spacing w:after="0" w:line="240" w:lineRule="auto"/>
              <w:jc w:val="center"/>
              <w:rPr>
                <w:rFonts w:eastAsia="Times New Roman" w:cs="Calibri"/>
                <w:color w:val="FFFFFF"/>
                <w:sz w:val="18"/>
                <w:szCs w:val="18"/>
                <w:lang w:eastAsia="es-CR"/>
              </w:rPr>
            </w:pPr>
            <w:r w:rsidRPr="00323752">
              <w:rPr>
                <w:rFonts w:eastAsia="Times New Roman" w:cs="Calibri"/>
                <w:color w:val="FFFFFF"/>
                <w:sz w:val="18"/>
                <w:szCs w:val="18"/>
                <w:lang w:eastAsia="es-CR"/>
              </w:rPr>
              <w:t>APLICACIÓN</w:t>
            </w:r>
          </w:p>
        </w:tc>
        <w:tc>
          <w:tcPr>
            <w:tcW w:w="1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631543" w14:textId="6E3B2616" w:rsidR="00323752" w:rsidRPr="00323752" w:rsidRDefault="00951C06" w:rsidP="00323752">
            <w:pPr>
              <w:spacing w:after="0" w:line="240" w:lineRule="auto"/>
              <w:jc w:val="center"/>
              <w:rPr>
                <w:rFonts w:eastAsia="Times New Roman" w:cs="Calibri"/>
                <w:b/>
                <w:bCs/>
                <w:i/>
                <w:iCs/>
                <w:color w:val="000000"/>
                <w:sz w:val="18"/>
                <w:szCs w:val="18"/>
                <w:lang w:eastAsia="es-CR"/>
              </w:rPr>
            </w:pPr>
            <w:r>
              <w:rPr>
                <w:rFonts w:eastAsia="Times New Roman" w:cs="Calibri"/>
                <w:b/>
                <w:bCs/>
                <w:i/>
                <w:iCs/>
                <w:color w:val="000000"/>
                <w:sz w:val="18"/>
                <w:szCs w:val="18"/>
                <w:lang w:eastAsia="es-CR"/>
              </w:rPr>
              <w:t>NO</w:t>
            </w:r>
          </w:p>
        </w:tc>
      </w:tr>
    </w:tbl>
    <w:p w14:paraId="4E6680E6" w14:textId="77777777" w:rsidR="00A43C71" w:rsidRDefault="0011353D" w:rsidP="00A43C71">
      <w:pPr>
        <w:rPr>
          <w:lang w:eastAsia="es-CR"/>
        </w:rPr>
      </w:pPr>
      <w:r>
        <w:rPr>
          <w:lang w:eastAsia="es-CR"/>
        </w:rPr>
        <w:fldChar w:fldCharType="end"/>
      </w:r>
    </w:p>
    <w:p w14:paraId="54D3EFCD" w14:textId="6EFF2CCC" w:rsidR="00080C49" w:rsidRDefault="00A649A4" w:rsidP="00A43C71">
      <w:pPr>
        <w:rPr>
          <w:color w:val="000000"/>
          <w:lang w:eastAsia="es-CR"/>
        </w:rPr>
      </w:pPr>
      <w:r w:rsidRPr="00A649A4">
        <w:rPr>
          <w:color w:val="000000"/>
          <w:lang w:eastAsia="es-CR"/>
        </w:rPr>
        <w:t xml:space="preserve">Si su respuesta fue positiva, indicar en cuales cuentas se realizó las reclasificaciones. </w:t>
      </w:r>
    </w:p>
    <w:p w14:paraId="024CCCE4" w14:textId="6DF11588" w:rsidR="00A649A4" w:rsidRPr="00080C49" w:rsidRDefault="00A649A4" w:rsidP="00080C49">
      <w:pPr>
        <w:spacing w:before="240"/>
        <w:rPr>
          <w:color w:val="000000"/>
          <w:lang w:eastAsia="es-CR"/>
        </w:rPr>
      </w:pPr>
      <w:r w:rsidRPr="009A4467">
        <w:rPr>
          <w:b/>
          <w:bCs/>
          <w:color w:val="000000"/>
          <w:lang w:eastAsia="es-CR"/>
        </w:rPr>
        <w:t>Revelación</w:t>
      </w:r>
      <w:r w:rsidRPr="009A4467">
        <w:rPr>
          <w:b/>
          <w:color w:val="000000"/>
          <w:lang w:eastAsia="es-CR"/>
        </w:rPr>
        <w:t xml:space="preserve">: </w:t>
      </w:r>
    </w:p>
    <w:p w14:paraId="24CA7636" w14:textId="1A050594" w:rsidR="00A649A4" w:rsidRPr="00142555" w:rsidRDefault="00A649A4" w:rsidP="008648FD">
      <w:pPr>
        <w:rPr>
          <w:rFonts w:eastAsia="Calibri"/>
          <w:szCs w:val="24"/>
        </w:rPr>
      </w:pPr>
      <w:r w:rsidRPr="00A649A4">
        <w:rPr>
          <w:rFonts w:eastAsia="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F1AC77" w14:textId="77777777" w:rsidR="00CE551A" w:rsidRDefault="00CE551A" w:rsidP="00142555">
      <w:pPr>
        <w:pStyle w:val="Prrafodelista"/>
        <w:spacing w:before="240"/>
        <w:rPr>
          <w:color w:val="000000"/>
          <w:lang w:eastAsia="es-CR"/>
        </w:rPr>
      </w:pPr>
    </w:p>
    <w:p w14:paraId="07363245" w14:textId="77777777" w:rsidR="00661490" w:rsidRPr="00661490" w:rsidRDefault="00A649A4">
      <w:pPr>
        <w:pStyle w:val="Prrafodelista"/>
        <w:numPr>
          <w:ilvl w:val="0"/>
          <w:numId w:val="5"/>
        </w:numPr>
        <w:rPr>
          <w:color w:val="000000"/>
          <w:lang w:eastAsia="es-CR"/>
        </w:rPr>
      </w:pPr>
      <w:r w:rsidRPr="00142555">
        <w:rPr>
          <w:color w:val="000000"/>
          <w:lang w:eastAsia="es-CR"/>
        </w:rPr>
        <w:t xml:space="preserve">¿Su institución realiza </w:t>
      </w:r>
      <w:r w:rsidRPr="00142555">
        <w:rPr>
          <w:color w:val="000000"/>
          <w:lang w:val="es-ES" w:eastAsia="es-CR"/>
        </w:rPr>
        <w:t>depuración de cuentas, en el periodo actual?</w:t>
      </w:r>
    </w:p>
    <w:p w14:paraId="475C54AF" w14:textId="77777777" w:rsidR="00323752" w:rsidRDefault="0011353D" w:rsidP="00951C06">
      <w:pPr>
        <w:spacing w:after="0" w:line="240" w:lineRule="auto"/>
        <w:rPr>
          <w:rFonts w:asciiTheme="minorHAnsi" w:hAnsiTheme="minorHAnsi"/>
          <w:sz w:val="22"/>
        </w:rPr>
      </w:pPr>
      <w:r>
        <w:rPr>
          <w:lang w:eastAsia="es-CR"/>
        </w:rPr>
        <w:fldChar w:fldCharType="begin"/>
      </w:r>
      <w:r>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NOTAS_PARTICULAR!F11C3:F11C4 </w:instrText>
      </w:r>
      <w:r>
        <w:rPr>
          <w:lang w:eastAsia="es-CR"/>
        </w:rPr>
        <w:instrText xml:space="preserve">\a \f 4 \h </w:instrText>
      </w:r>
      <w:r>
        <w:rPr>
          <w:lang w:eastAsia="es-CR"/>
        </w:rPr>
        <w:fldChar w:fldCharType="separate"/>
      </w:r>
    </w:p>
    <w:tbl>
      <w:tblPr>
        <w:tblW w:w="2340" w:type="dxa"/>
        <w:tblCellMar>
          <w:left w:w="70" w:type="dxa"/>
          <w:right w:w="70" w:type="dxa"/>
        </w:tblCellMar>
        <w:tblLook w:val="04A0" w:firstRow="1" w:lastRow="0" w:firstColumn="1" w:lastColumn="0" w:noHBand="0" w:noVBand="1"/>
      </w:tblPr>
      <w:tblGrid>
        <w:gridCol w:w="1160"/>
        <w:gridCol w:w="1180"/>
      </w:tblGrid>
      <w:tr w:rsidR="00323752" w:rsidRPr="00323752" w14:paraId="01250C85" w14:textId="77777777" w:rsidTr="00323752">
        <w:trPr>
          <w:divId w:val="735932153"/>
          <w:trHeight w:val="288"/>
        </w:trPr>
        <w:tc>
          <w:tcPr>
            <w:tcW w:w="11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7851F196" w14:textId="2ABD9DD2" w:rsidR="00323752" w:rsidRPr="00323752" w:rsidRDefault="00323752" w:rsidP="00323752">
            <w:pPr>
              <w:spacing w:after="0" w:line="240" w:lineRule="auto"/>
              <w:jc w:val="center"/>
              <w:rPr>
                <w:rFonts w:eastAsia="Times New Roman" w:cs="Calibri"/>
                <w:color w:val="FFFFFF"/>
                <w:sz w:val="18"/>
                <w:szCs w:val="18"/>
                <w:lang w:eastAsia="es-CR"/>
              </w:rPr>
            </w:pPr>
            <w:r w:rsidRPr="00323752">
              <w:rPr>
                <w:rFonts w:eastAsia="Times New Roman" w:cs="Calibri"/>
                <w:color w:val="FFFFFF"/>
                <w:sz w:val="18"/>
                <w:szCs w:val="18"/>
                <w:lang w:eastAsia="es-CR"/>
              </w:rPr>
              <w:t>APLICACIÓN</w:t>
            </w:r>
          </w:p>
        </w:tc>
        <w:tc>
          <w:tcPr>
            <w:tcW w:w="1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AE05E5" w14:textId="503152B3" w:rsidR="00323752" w:rsidRPr="00323752" w:rsidRDefault="00323752" w:rsidP="00323752">
            <w:pPr>
              <w:spacing w:after="0" w:line="240" w:lineRule="auto"/>
              <w:jc w:val="center"/>
              <w:rPr>
                <w:rFonts w:eastAsia="Times New Roman" w:cs="Calibri"/>
                <w:b/>
                <w:bCs/>
                <w:i/>
                <w:iCs/>
                <w:color w:val="000000"/>
                <w:sz w:val="18"/>
                <w:szCs w:val="18"/>
                <w:lang w:eastAsia="es-CR"/>
              </w:rPr>
            </w:pPr>
            <w:r w:rsidRPr="00323752">
              <w:rPr>
                <w:rFonts w:eastAsia="Times New Roman" w:cs="Calibri"/>
                <w:b/>
                <w:bCs/>
                <w:i/>
                <w:iCs/>
                <w:color w:val="000000"/>
                <w:sz w:val="18"/>
                <w:szCs w:val="18"/>
                <w:lang w:eastAsia="es-CR"/>
              </w:rPr>
              <w:t> </w:t>
            </w:r>
            <w:r w:rsidR="007913B3">
              <w:rPr>
                <w:rFonts w:eastAsia="Times New Roman" w:cs="Calibri"/>
                <w:b/>
                <w:bCs/>
                <w:i/>
                <w:iCs/>
                <w:color w:val="000000"/>
                <w:sz w:val="18"/>
                <w:szCs w:val="18"/>
                <w:lang w:eastAsia="es-CR"/>
              </w:rPr>
              <w:t>NO</w:t>
            </w:r>
          </w:p>
        </w:tc>
      </w:tr>
    </w:tbl>
    <w:p w14:paraId="037AA4A8" w14:textId="3DDF4F42" w:rsidR="00A43C71" w:rsidRPr="00A43C71" w:rsidRDefault="0011353D" w:rsidP="00A43C71">
      <w:pPr>
        <w:rPr>
          <w:color w:val="000000"/>
          <w:lang w:eastAsia="es-CR"/>
        </w:rPr>
      </w:pPr>
      <w:r>
        <w:rPr>
          <w:lang w:eastAsia="es-CR"/>
        </w:rPr>
        <w:fldChar w:fldCharType="end"/>
      </w:r>
    </w:p>
    <w:p w14:paraId="260A3A57" w14:textId="4D6BDBE2" w:rsidR="00A649A4" w:rsidRPr="00A649A4" w:rsidRDefault="00A649A4" w:rsidP="00080C49">
      <w:pPr>
        <w:spacing w:before="240"/>
        <w:rPr>
          <w:color w:val="000000"/>
          <w:lang w:eastAsia="es-CR"/>
        </w:rPr>
      </w:pPr>
      <w:r w:rsidRPr="00A649A4">
        <w:rPr>
          <w:color w:val="000000"/>
          <w:lang w:eastAsia="es-CR"/>
        </w:rPr>
        <w:t xml:space="preserve">Si su respuesta fue positiva, indicar en cuales cuentas se realizó las depuraciones. </w:t>
      </w:r>
    </w:p>
    <w:p w14:paraId="7670C8E0" w14:textId="77777777" w:rsidR="00A649A4" w:rsidRPr="009A4467" w:rsidRDefault="00A649A4" w:rsidP="00080C49">
      <w:pPr>
        <w:spacing w:before="240"/>
        <w:rPr>
          <w:b/>
          <w:color w:val="000000"/>
          <w:sz w:val="22"/>
          <w:lang w:eastAsia="es-CR"/>
        </w:rPr>
      </w:pPr>
      <w:r w:rsidRPr="009A4467">
        <w:rPr>
          <w:b/>
          <w:bCs/>
          <w:color w:val="000000"/>
          <w:sz w:val="22"/>
          <w:lang w:eastAsia="es-CR"/>
        </w:rPr>
        <w:t>*Revelación nota complementaria “Depuración de Cuentas Contables”</w:t>
      </w:r>
      <w:r w:rsidRPr="009A4467">
        <w:rPr>
          <w:rFonts w:eastAsia="Calibri"/>
          <w:b/>
          <w:sz w:val="22"/>
        </w:rPr>
        <w:t xml:space="preserve"> </w:t>
      </w:r>
      <w:r w:rsidRPr="009A4467">
        <w:rPr>
          <w:b/>
          <w:bCs/>
          <w:color w:val="000000"/>
          <w:sz w:val="22"/>
          <w:lang w:eastAsia="es-CR"/>
        </w:rPr>
        <w:t xml:space="preserve">e incluir el plan de acción que esta lleva a cabo la entidad para obtener estados financieros con cuentas contables depuradas y a un valor razonable </w:t>
      </w:r>
      <w:r w:rsidRPr="009A4467">
        <w:rPr>
          <w:rFonts w:eastAsia="Calibri" w:cs="Arial"/>
          <w:b/>
          <w:sz w:val="22"/>
        </w:rPr>
        <w:t>(En caso de enviar anexo hacer referencia en este apartado al número de anexo)</w:t>
      </w:r>
      <w:r w:rsidRPr="009A4467">
        <w:rPr>
          <w:b/>
          <w:color w:val="000000"/>
          <w:sz w:val="22"/>
          <w:lang w:eastAsia="es-CR"/>
        </w:rPr>
        <w:t xml:space="preserve">: </w:t>
      </w:r>
    </w:p>
    <w:p w14:paraId="2BF82D8F" w14:textId="06362E6C" w:rsidR="00A649A4" w:rsidRPr="00142555" w:rsidRDefault="00A649A4" w:rsidP="008648FD">
      <w:pPr>
        <w:rPr>
          <w:rFonts w:eastAsia="Calibri"/>
          <w:szCs w:val="24"/>
        </w:rPr>
      </w:pPr>
      <w:r w:rsidRPr="00A649A4">
        <w:rPr>
          <w:rFonts w:eastAsia="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AD7B18" w14:textId="77777777" w:rsidR="00142555" w:rsidRDefault="00142555" w:rsidP="00142555">
      <w:pPr>
        <w:pStyle w:val="Prrafodelista"/>
        <w:spacing w:before="240"/>
        <w:rPr>
          <w:color w:val="000000"/>
          <w:lang w:eastAsia="es-CR"/>
        </w:rPr>
      </w:pPr>
    </w:p>
    <w:p w14:paraId="298828EB" w14:textId="2D74839A" w:rsidR="007473D3" w:rsidRDefault="00A649A4">
      <w:pPr>
        <w:pStyle w:val="Prrafodelista"/>
        <w:numPr>
          <w:ilvl w:val="0"/>
          <w:numId w:val="5"/>
        </w:numPr>
        <w:rPr>
          <w:color w:val="000000"/>
          <w:lang w:eastAsia="es-CR"/>
        </w:rPr>
      </w:pPr>
      <w:r w:rsidRPr="009A4467">
        <w:rPr>
          <w:color w:val="000000"/>
          <w:lang w:eastAsia="es-CR"/>
        </w:rPr>
        <w:t xml:space="preserve">¿Su institución realizó </w:t>
      </w:r>
      <w:r w:rsidR="004414C1">
        <w:rPr>
          <w:color w:val="000000"/>
          <w:lang w:eastAsia="es-CR"/>
        </w:rPr>
        <w:t xml:space="preserve">confirmaciones y </w:t>
      </w:r>
      <w:r w:rsidRPr="009A4467">
        <w:rPr>
          <w:color w:val="000000"/>
          <w:lang w:val="es-ES" w:eastAsia="es-CR"/>
        </w:rPr>
        <w:t>conciliaciones</w:t>
      </w:r>
      <w:r w:rsidRPr="009A4467">
        <w:rPr>
          <w:color w:val="000000"/>
          <w:lang w:eastAsia="es-CR"/>
        </w:rPr>
        <w:t xml:space="preserve"> de </w:t>
      </w:r>
      <w:r w:rsidR="004414C1">
        <w:rPr>
          <w:color w:val="000000"/>
          <w:lang w:eastAsia="es-CR"/>
        </w:rPr>
        <w:t xml:space="preserve">saldos de </w:t>
      </w:r>
      <w:r w:rsidRPr="009A4467">
        <w:rPr>
          <w:color w:val="000000"/>
          <w:lang w:eastAsia="es-CR"/>
        </w:rPr>
        <w:t>cuentas con otr</w:t>
      </w:r>
      <w:r w:rsidR="004414C1">
        <w:rPr>
          <w:color w:val="000000"/>
          <w:lang w:eastAsia="es-CR"/>
        </w:rPr>
        <w:t>os</w:t>
      </w:r>
      <w:r w:rsidRPr="009A4467">
        <w:rPr>
          <w:color w:val="000000"/>
          <w:lang w:eastAsia="es-CR"/>
        </w:rPr>
        <w:t xml:space="preserve"> </w:t>
      </w:r>
      <w:r w:rsidR="004414C1">
        <w:rPr>
          <w:color w:val="000000"/>
          <w:lang w:eastAsia="es-CR"/>
        </w:rPr>
        <w:t>entes</w:t>
      </w:r>
      <w:r w:rsidRPr="009A4467">
        <w:rPr>
          <w:color w:val="000000"/>
          <w:lang w:eastAsia="es-CR"/>
        </w:rPr>
        <w:t xml:space="preserve"> </w:t>
      </w:r>
      <w:r w:rsidR="004414C1">
        <w:rPr>
          <w:color w:val="000000"/>
          <w:lang w:eastAsia="es-CR"/>
        </w:rPr>
        <w:t>contables</w:t>
      </w:r>
      <w:r w:rsidRPr="009A4467">
        <w:rPr>
          <w:color w:val="000000"/>
          <w:lang w:eastAsia="es-CR"/>
        </w:rPr>
        <w:t>?</w:t>
      </w:r>
    </w:p>
    <w:p w14:paraId="3AFFC05B" w14:textId="77777777" w:rsidR="00323752" w:rsidRDefault="007473D3" w:rsidP="007913B3">
      <w:pPr>
        <w:spacing w:after="0" w:line="240" w:lineRule="auto"/>
        <w:rPr>
          <w:rFonts w:asciiTheme="minorHAnsi" w:hAnsiTheme="minorHAnsi"/>
          <w:sz w:val="22"/>
        </w:rPr>
      </w:pPr>
      <w:r>
        <w:rPr>
          <w:lang w:eastAsia="es-CR"/>
        </w:rPr>
        <w:fldChar w:fldCharType="begin"/>
      </w:r>
      <w:r>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NOTAS_PARTICULAR!F12C3:F12C4 </w:instrText>
      </w:r>
      <w:r>
        <w:rPr>
          <w:lang w:eastAsia="es-CR"/>
        </w:rPr>
        <w:instrText xml:space="preserve">\a \f 4 \h </w:instrText>
      </w:r>
      <w:r>
        <w:rPr>
          <w:lang w:eastAsia="es-CR"/>
        </w:rPr>
        <w:fldChar w:fldCharType="separate"/>
      </w:r>
    </w:p>
    <w:tbl>
      <w:tblPr>
        <w:tblW w:w="2340" w:type="dxa"/>
        <w:tblCellMar>
          <w:left w:w="70" w:type="dxa"/>
          <w:right w:w="70" w:type="dxa"/>
        </w:tblCellMar>
        <w:tblLook w:val="04A0" w:firstRow="1" w:lastRow="0" w:firstColumn="1" w:lastColumn="0" w:noHBand="0" w:noVBand="1"/>
      </w:tblPr>
      <w:tblGrid>
        <w:gridCol w:w="1160"/>
        <w:gridCol w:w="1180"/>
      </w:tblGrid>
      <w:tr w:rsidR="00323752" w:rsidRPr="00323752" w14:paraId="0A09C4A5" w14:textId="77777777" w:rsidTr="00323752">
        <w:trPr>
          <w:divId w:val="2031174949"/>
          <w:trHeight w:val="288"/>
        </w:trPr>
        <w:tc>
          <w:tcPr>
            <w:tcW w:w="11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3D9409D8" w14:textId="19AA72B8" w:rsidR="00323752" w:rsidRPr="00323752" w:rsidRDefault="00323752" w:rsidP="00323752">
            <w:pPr>
              <w:spacing w:after="0" w:line="240" w:lineRule="auto"/>
              <w:jc w:val="center"/>
              <w:rPr>
                <w:rFonts w:eastAsia="Times New Roman" w:cs="Calibri"/>
                <w:color w:val="FFFFFF"/>
                <w:sz w:val="18"/>
                <w:szCs w:val="18"/>
                <w:lang w:eastAsia="es-CR"/>
              </w:rPr>
            </w:pPr>
            <w:r w:rsidRPr="00323752">
              <w:rPr>
                <w:rFonts w:eastAsia="Times New Roman" w:cs="Calibri"/>
                <w:color w:val="FFFFFF"/>
                <w:sz w:val="18"/>
                <w:szCs w:val="18"/>
                <w:lang w:eastAsia="es-CR"/>
              </w:rPr>
              <w:t>APLICACIÓN</w:t>
            </w:r>
          </w:p>
        </w:tc>
        <w:tc>
          <w:tcPr>
            <w:tcW w:w="1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4A7224" w14:textId="3C30579F" w:rsidR="00323752" w:rsidRPr="00323752" w:rsidRDefault="00323752" w:rsidP="00323752">
            <w:pPr>
              <w:spacing w:after="0" w:line="240" w:lineRule="auto"/>
              <w:jc w:val="center"/>
              <w:rPr>
                <w:rFonts w:eastAsia="Times New Roman" w:cs="Calibri"/>
                <w:b/>
                <w:bCs/>
                <w:i/>
                <w:iCs/>
                <w:color w:val="000000"/>
                <w:sz w:val="18"/>
                <w:szCs w:val="18"/>
                <w:lang w:eastAsia="es-CR"/>
              </w:rPr>
            </w:pPr>
            <w:r w:rsidRPr="00323752">
              <w:rPr>
                <w:rFonts w:eastAsia="Times New Roman" w:cs="Calibri"/>
                <w:b/>
                <w:bCs/>
                <w:i/>
                <w:iCs/>
                <w:color w:val="000000"/>
                <w:sz w:val="18"/>
                <w:szCs w:val="18"/>
                <w:lang w:eastAsia="es-CR"/>
              </w:rPr>
              <w:t> </w:t>
            </w:r>
            <w:r w:rsidR="007913B3">
              <w:rPr>
                <w:rFonts w:eastAsia="Times New Roman" w:cs="Calibri"/>
                <w:b/>
                <w:bCs/>
                <w:i/>
                <w:iCs/>
                <w:color w:val="000000"/>
                <w:sz w:val="18"/>
                <w:szCs w:val="18"/>
                <w:lang w:eastAsia="es-CR"/>
              </w:rPr>
              <w:t>SI</w:t>
            </w:r>
          </w:p>
        </w:tc>
      </w:tr>
    </w:tbl>
    <w:p w14:paraId="5CA88D84" w14:textId="34DA16F6" w:rsidR="00A43C71" w:rsidRPr="00A43C71" w:rsidRDefault="007473D3" w:rsidP="00A43C71">
      <w:pPr>
        <w:rPr>
          <w:color w:val="000000"/>
          <w:lang w:eastAsia="es-CR"/>
        </w:rPr>
      </w:pPr>
      <w:r>
        <w:rPr>
          <w:color w:val="000000"/>
          <w:lang w:eastAsia="es-CR"/>
        </w:rPr>
        <w:fldChar w:fldCharType="end"/>
      </w:r>
    </w:p>
    <w:p w14:paraId="10C9C4DE" w14:textId="3AF06EDE" w:rsidR="00A649A4" w:rsidRPr="009A4467" w:rsidRDefault="00A649A4" w:rsidP="00080C49">
      <w:pPr>
        <w:spacing w:before="240"/>
        <w:rPr>
          <w:color w:val="000000"/>
          <w:sz w:val="22"/>
          <w:lang w:eastAsia="es-CR"/>
        </w:rPr>
      </w:pPr>
      <w:r w:rsidRPr="00A649A4">
        <w:rPr>
          <w:color w:val="000000"/>
          <w:sz w:val="22"/>
          <w:lang w:eastAsia="es-CR"/>
        </w:rPr>
        <w:t xml:space="preserve">Si su respuesta fue positiva, indicar en cuales cuentas se realizó las conciliaciones. </w:t>
      </w:r>
    </w:p>
    <w:p w14:paraId="5D649D4B" w14:textId="77777777" w:rsidR="004414C1" w:rsidRDefault="004414C1" w:rsidP="004414C1">
      <w:pPr>
        <w:spacing w:after="0"/>
        <w:rPr>
          <w:b/>
          <w:bCs/>
          <w:color w:val="000000"/>
          <w:sz w:val="22"/>
          <w:lang w:val="es-ES" w:eastAsia="es-CR"/>
        </w:rPr>
      </w:pPr>
      <w:r w:rsidRPr="004414C1">
        <w:rPr>
          <w:b/>
          <w:bCs/>
          <w:color w:val="000000"/>
          <w:sz w:val="22"/>
          <w:u w:val="single"/>
          <w:lang w:val="es-ES_tradnl" w:eastAsia="es-CR"/>
        </w:rPr>
        <w:t>*Realizar Revelación en el apartado</w:t>
      </w:r>
      <w:r w:rsidRPr="004414C1">
        <w:rPr>
          <w:b/>
          <w:bCs/>
          <w:color w:val="000000"/>
          <w:sz w:val="22"/>
          <w:u w:val="single"/>
          <w:lang w:eastAsia="es-CR"/>
        </w:rPr>
        <w:t xml:space="preserve"> Nota complementaria</w:t>
      </w:r>
      <w:r w:rsidRPr="004414C1">
        <w:rPr>
          <w:b/>
          <w:bCs/>
          <w:color w:val="000000"/>
          <w:sz w:val="22"/>
          <w:lang w:eastAsia="es-CR"/>
        </w:rPr>
        <w:t xml:space="preserve"> *Revelación nota complementaria “Confirmación de Saldos de Cuentas Reciprocas”:</w:t>
      </w:r>
      <w:r w:rsidRPr="004414C1">
        <w:rPr>
          <w:b/>
          <w:bCs/>
          <w:color w:val="000000"/>
          <w:sz w:val="22"/>
          <w:lang w:val="es-ES" w:eastAsia="es-CR"/>
        </w:rPr>
        <w:t xml:space="preserve"> Cuentas Reciprocas revelará en la Nota complementaria el procedimiento interno para cumplir con el proceso de confirmación de saldos de cuentas reciprocas y del cronograma establecido, además justificar las diferencias que no se pudieron conciliar con otros entes contables.</w:t>
      </w:r>
    </w:p>
    <w:p w14:paraId="465098BE" w14:textId="77777777" w:rsidR="004414C1" w:rsidRPr="004414C1" w:rsidRDefault="004414C1" w:rsidP="004414C1">
      <w:pPr>
        <w:spacing w:after="0" w:line="240" w:lineRule="auto"/>
        <w:rPr>
          <w:b/>
          <w:bCs/>
          <w:color w:val="000000"/>
          <w:sz w:val="22"/>
          <w:lang w:eastAsia="es-CR"/>
        </w:rPr>
      </w:pPr>
    </w:p>
    <w:p w14:paraId="07908279" w14:textId="7EBEA265" w:rsidR="007913B3" w:rsidRDefault="007913B3" w:rsidP="007913B3">
      <w:pPr>
        <w:spacing w:after="0" w:line="240" w:lineRule="auto"/>
      </w:pPr>
      <w:r w:rsidRPr="004D3EFA">
        <w:t>Como parte del proceso de cierre contable se realizaron conciliaciones de las diferentes cuentas de efectivo y equivalentes, tales como la cuenta corriente bancaria y saldos en Caja Única del Estado, constituyendo estas últimas las cuentas recíprocas entre la Municipalidad, el Estado y otras instituciones. Además, se efectuó “Confirmación de saldos de Cuenta Recíprocas”, con motivo del cierre del I</w:t>
      </w:r>
      <w:r w:rsidR="00E547CB">
        <w:t>I Trimestre de 2024</w:t>
      </w:r>
      <w:r w:rsidRPr="004D3EFA">
        <w:t>. Ver al respecto anexo adjunto a estas notas en nota complementaria.</w:t>
      </w:r>
    </w:p>
    <w:p w14:paraId="0ABCE685" w14:textId="77777777" w:rsidR="007913B3" w:rsidRDefault="007913B3" w:rsidP="007913B3">
      <w:pPr>
        <w:spacing w:after="0" w:line="240" w:lineRule="auto"/>
      </w:pPr>
    </w:p>
    <w:p w14:paraId="01494F2C" w14:textId="77777777" w:rsidR="004414C1" w:rsidRPr="004D3EFA" w:rsidRDefault="004414C1" w:rsidP="007913B3">
      <w:pPr>
        <w:spacing w:after="0" w:line="240" w:lineRule="auto"/>
      </w:pPr>
    </w:p>
    <w:p w14:paraId="55985F50" w14:textId="7BFD998A" w:rsidR="00323752" w:rsidRPr="00323752" w:rsidRDefault="00642574" w:rsidP="00323752">
      <w:pPr>
        <w:pStyle w:val="Prrafodelista"/>
        <w:numPr>
          <w:ilvl w:val="0"/>
          <w:numId w:val="5"/>
        </w:numPr>
        <w:rPr>
          <w:color w:val="000000"/>
          <w:lang w:eastAsia="es-CR"/>
        </w:rPr>
      </w:pPr>
      <w:r w:rsidRPr="007473D3">
        <w:rPr>
          <w:color w:val="000000"/>
          <w:lang w:eastAsia="es-CR"/>
        </w:rPr>
        <w:t>¿</w:t>
      </w:r>
      <w:r w:rsidR="00AA7229">
        <w:rPr>
          <w:color w:val="000000"/>
          <w:lang w:eastAsia="es-CR"/>
        </w:rPr>
        <w:t xml:space="preserve">La </w:t>
      </w:r>
      <w:r w:rsidRPr="007473D3">
        <w:rPr>
          <w:color w:val="000000"/>
          <w:lang w:eastAsia="es-CR"/>
        </w:rPr>
        <w:t>institución realizó</w:t>
      </w:r>
      <w:r w:rsidRPr="009A4467">
        <w:rPr>
          <w:color w:val="000000"/>
          <w:lang w:eastAsia="es-CR"/>
        </w:rPr>
        <w:t xml:space="preserve"> </w:t>
      </w:r>
      <w:r w:rsidR="004414C1">
        <w:rPr>
          <w:color w:val="000000"/>
          <w:lang w:eastAsia="es-CR"/>
        </w:rPr>
        <w:t>C</w:t>
      </w:r>
      <w:r w:rsidR="00E547CB" w:rsidRPr="009A4467">
        <w:rPr>
          <w:color w:val="000000"/>
          <w:lang w:val="es-ES" w:eastAsia="es-CR"/>
        </w:rPr>
        <w:t>conciliaciones</w:t>
      </w:r>
      <w:r w:rsidRPr="009A4467">
        <w:rPr>
          <w:color w:val="000000"/>
          <w:lang w:eastAsia="es-CR"/>
        </w:rPr>
        <w:t xml:space="preserve"> </w:t>
      </w:r>
      <w:r>
        <w:rPr>
          <w:color w:val="000000"/>
          <w:lang w:eastAsia="es-CR"/>
        </w:rPr>
        <w:t>Bancaria “Caja Única</w:t>
      </w:r>
      <w:r w:rsidR="004414C1">
        <w:rPr>
          <w:color w:val="000000"/>
          <w:lang w:eastAsia="es-CR"/>
        </w:rPr>
        <w:t>”</w:t>
      </w:r>
      <w:r w:rsidRPr="009A4467">
        <w:rPr>
          <w:color w:val="000000"/>
          <w:lang w:eastAsia="es-CR"/>
        </w:rPr>
        <w:t>?</w:t>
      </w:r>
      <w:r>
        <w:rPr>
          <w:lang w:eastAsia="es-CR"/>
        </w:rPr>
        <w:fldChar w:fldCharType="begin"/>
      </w:r>
      <w:r>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NOTAS_PARTICULAR!F13C3:F13C4 </w:instrText>
      </w:r>
      <w:r>
        <w:rPr>
          <w:lang w:eastAsia="es-CR"/>
        </w:rPr>
        <w:instrText xml:space="preserve">\a \f 4 \h  \* MERGEFORMAT </w:instrText>
      </w:r>
      <w:r>
        <w:rPr>
          <w:lang w:eastAsia="es-CR"/>
        </w:rPr>
        <w:fldChar w:fldCharType="separate"/>
      </w:r>
    </w:p>
    <w:tbl>
      <w:tblPr>
        <w:tblW w:w="2117" w:type="dxa"/>
        <w:tblCellMar>
          <w:left w:w="70" w:type="dxa"/>
          <w:right w:w="70" w:type="dxa"/>
        </w:tblCellMar>
        <w:tblLook w:val="04A0" w:firstRow="1" w:lastRow="0" w:firstColumn="1" w:lastColumn="0" w:noHBand="0" w:noVBand="1"/>
      </w:tblPr>
      <w:tblGrid>
        <w:gridCol w:w="1550"/>
        <w:gridCol w:w="567"/>
      </w:tblGrid>
      <w:tr w:rsidR="00323752" w:rsidRPr="00323752" w14:paraId="552A1B4E" w14:textId="77777777" w:rsidTr="00323752">
        <w:trPr>
          <w:divId w:val="1813256970"/>
          <w:trHeight w:val="288"/>
        </w:trPr>
        <w:tc>
          <w:tcPr>
            <w:tcW w:w="155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53E8A843" w14:textId="67E4F503" w:rsidR="00323752" w:rsidRPr="00323752" w:rsidRDefault="00323752" w:rsidP="00323752">
            <w:pPr>
              <w:rPr>
                <w:rFonts w:eastAsia="Times New Roman" w:cs="Calibri"/>
                <w:color w:val="FFFFFF"/>
                <w:sz w:val="18"/>
                <w:szCs w:val="18"/>
                <w:lang w:eastAsia="es-CR"/>
              </w:rPr>
            </w:pPr>
            <w:r w:rsidRPr="00323752">
              <w:rPr>
                <w:rFonts w:eastAsia="Times New Roman" w:cs="Calibri"/>
                <w:color w:val="FFFFFF"/>
                <w:sz w:val="18"/>
                <w:szCs w:val="18"/>
                <w:lang w:eastAsia="es-CR"/>
              </w:rPr>
              <w:t>APLICACIÓN</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8BE703" w14:textId="4611B093" w:rsidR="00323752" w:rsidRPr="00323752" w:rsidRDefault="007913B3" w:rsidP="00323752">
            <w:pPr>
              <w:spacing w:after="0" w:line="240" w:lineRule="auto"/>
              <w:jc w:val="center"/>
              <w:rPr>
                <w:rFonts w:eastAsia="Times New Roman" w:cs="Calibri"/>
                <w:b/>
                <w:bCs/>
                <w:i/>
                <w:iCs/>
                <w:color w:val="000000"/>
                <w:sz w:val="18"/>
                <w:szCs w:val="18"/>
                <w:lang w:eastAsia="es-CR"/>
              </w:rPr>
            </w:pPr>
            <w:r>
              <w:rPr>
                <w:rFonts w:eastAsia="Times New Roman" w:cs="Calibri"/>
                <w:b/>
                <w:bCs/>
                <w:i/>
                <w:iCs/>
                <w:color w:val="000000"/>
                <w:sz w:val="18"/>
                <w:szCs w:val="18"/>
                <w:lang w:eastAsia="es-CR"/>
              </w:rPr>
              <w:t>SI</w:t>
            </w:r>
            <w:r w:rsidR="00323752" w:rsidRPr="00323752">
              <w:rPr>
                <w:rFonts w:eastAsia="Times New Roman" w:cs="Calibri"/>
                <w:b/>
                <w:bCs/>
                <w:i/>
                <w:iCs/>
                <w:color w:val="000000"/>
                <w:sz w:val="18"/>
                <w:szCs w:val="18"/>
                <w:lang w:eastAsia="es-CR"/>
              </w:rPr>
              <w:t> </w:t>
            </w:r>
          </w:p>
        </w:tc>
      </w:tr>
    </w:tbl>
    <w:p w14:paraId="47EA7918" w14:textId="54053B72" w:rsidR="00642574" w:rsidRPr="009A4467" w:rsidRDefault="00642574" w:rsidP="00AA7229">
      <w:pPr>
        <w:spacing w:before="240"/>
        <w:rPr>
          <w:b/>
          <w:strike/>
          <w:sz w:val="22"/>
          <w:lang w:eastAsia="es-CR"/>
        </w:rPr>
      </w:pPr>
      <w:r>
        <w:rPr>
          <w:color w:val="000000"/>
          <w:sz w:val="22"/>
          <w:lang w:eastAsia="es-CR"/>
        </w:rPr>
        <w:fldChar w:fldCharType="end"/>
      </w:r>
      <w:r w:rsidRPr="00A649A4">
        <w:rPr>
          <w:color w:val="000000"/>
          <w:sz w:val="22"/>
          <w:lang w:eastAsia="es-CR"/>
        </w:rPr>
        <w:t xml:space="preserve"> </w:t>
      </w:r>
      <w:r w:rsidR="004414C1" w:rsidRPr="004414C1">
        <w:rPr>
          <w:b/>
          <w:bCs/>
          <w:color w:val="000000"/>
          <w:sz w:val="22"/>
          <w:u w:val="single"/>
          <w:lang w:val="es-ES_tradnl" w:eastAsia="es-CR"/>
        </w:rPr>
        <w:t>*Realizar Revelación en el apartado</w:t>
      </w:r>
      <w:r w:rsidR="004414C1" w:rsidRPr="004414C1">
        <w:rPr>
          <w:b/>
          <w:bCs/>
          <w:color w:val="000000"/>
          <w:sz w:val="22"/>
          <w:u w:val="single"/>
          <w:lang w:eastAsia="es-CR"/>
        </w:rPr>
        <w:t xml:space="preserve"> Nota complementaria</w:t>
      </w:r>
      <w:r w:rsidR="004414C1" w:rsidRPr="004414C1">
        <w:rPr>
          <w:b/>
          <w:bCs/>
          <w:color w:val="000000"/>
          <w:sz w:val="22"/>
          <w:lang w:eastAsia="es-CR"/>
        </w:rPr>
        <w:t xml:space="preserve"> *Revelación nota complementaria “Conciliaciones Bancarias “Caja Única”:</w:t>
      </w:r>
      <w:r w:rsidR="004414C1" w:rsidRPr="004414C1">
        <w:rPr>
          <w:b/>
          <w:bCs/>
          <w:color w:val="000000"/>
          <w:sz w:val="22"/>
          <w:lang w:val="es-ES" w:eastAsia="es-CR"/>
        </w:rPr>
        <w:t xml:space="preserve"> revelará en la Nota complementaria el proceso que realiza con respecto a Conciliaciones Bancarias y el detalle de las diferencias encontradas</w:t>
      </w:r>
    </w:p>
    <w:p w14:paraId="09346DC8" w14:textId="77777777" w:rsidR="00642574" w:rsidRPr="00A649A4" w:rsidRDefault="00642574" w:rsidP="00642574">
      <w:pPr>
        <w:rPr>
          <w:rFonts w:eastAsia="Calibri"/>
          <w:szCs w:val="24"/>
        </w:rPr>
      </w:pPr>
      <w:r w:rsidRPr="00A649A4">
        <w:rPr>
          <w:rFonts w:eastAsia="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2B9E10" w14:textId="77777777" w:rsidR="00CE551A" w:rsidRDefault="00CE551A" w:rsidP="00142555">
      <w:pPr>
        <w:pStyle w:val="Prrafodelista"/>
        <w:spacing w:before="240"/>
        <w:rPr>
          <w:sz w:val="22"/>
          <w:lang w:eastAsia="es-CR"/>
        </w:rPr>
      </w:pPr>
    </w:p>
    <w:p w14:paraId="475565AC" w14:textId="77777777" w:rsidR="00323752" w:rsidRPr="00323752" w:rsidRDefault="00A649A4" w:rsidP="00323752">
      <w:pPr>
        <w:pStyle w:val="Prrafodelista"/>
        <w:numPr>
          <w:ilvl w:val="0"/>
          <w:numId w:val="5"/>
        </w:numPr>
        <w:rPr>
          <w:sz w:val="22"/>
          <w:lang w:eastAsia="es-CR"/>
        </w:rPr>
      </w:pPr>
      <w:r w:rsidRPr="007473D3">
        <w:rPr>
          <w:sz w:val="22"/>
          <w:lang w:eastAsia="es-CR"/>
        </w:rPr>
        <w:t>¿La institución cuenta</w:t>
      </w:r>
      <w:r w:rsidRPr="009A4467">
        <w:rPr>
          <w:sz w:val="22"/>
          <w:lang w:eastAsia="es-CR"/>
        </w:rPr>
        <w:t xml:space="preserve"> con </w:t>
      </w:r>
      <w:r w:rsidRPr="009A4467">
        <w:rPr>
          <w:sz w:val="22"/>
          <w:u w:val="single"/>
          <w:lang w:eastAsia="es-CR"/>
        </w:rPr>
        <w:t>sistema de información integrado</w:t>
      </w:r>
      <w:r w:rsidRPr="009A4467">
        <w:rPr>
          <w:sz w:val="22"/>
          <w:lang w:eastAsia="es-CR"/>
        </w:rPr>
        <w:t xml:space="preserve"> para elaborar los Estados Financieros y la reportería?</w:t>
      </w:r>
      <w:r w:rsidR="00CE551A">
        <w:fldChar w:fldCharType="begin"/>
      </w:r>
      <w:r w:rsidR="00CE551A">
        <w:instrText xml:space="preserve"> LINK </w:instrText>
      </w:r>
      <w:r w:rsidR="00323752">
        <w:instrText xml:space="preserve">Excel.SheetMacroEnabled.12 "D:\\MORAVIA\\INSUMOS\\NOTAS 2024\\Formato_Notas_EEFF_Vinculadas_2024\\XXXXX_PXX_202X_Anexo_Estado_Notas_Contables_Vinculadas.xlsm" NOTAS_PARTICULAR!F14C3:F14C4 </w:instrText>
      </w:r>
      <w:r w:rsidR="00CE551A">
        <w:instrText xml:space="preserve">\a \f 4 \h  \* MERGEFORMAT </w:instrText>
      </w:r>
      <w:r w:rsidR="00CE551A">
        <w:fldChar w:fldCharType="separate"/>
      </w:r>
    </w:p>
    <w:tbl>
      <w:tblPr>
        <w:tblW w:w="2240" w:type="dxa"/>
        <w:tblCellMar>
          <w:left w:w="70" w:type="dxa"/>
          <w:right w:w="70" w:type="dxa"/>
        </w:tblCellMar>
        <w:tblLook w:val="04A0" w:firstRow="1" w:lastRow="0" w:firstColumn="1" w:lastColumn="0" w:noHBand="0" w:noVBand="1"/>
      </w:tblPr>
      <w:tblGrid>
        <w:gridCol w:w="1797"/>
        <w:gridCol w:w="443"/>
      </w:tblGrid>
      <w:tr w:rsidR="00323752" w:rsidRPr="00323752" w14:paraId="69826ED7" w14:textId="77777777" w:rsidTr="00323752">
        <w:trPr>
          <w:divId w:val="1987541679"/>
          <w:trHeight w:val="288"/>
        </w:trPr>
        <w:tc>
          <w:tcPr>
            <w:tcW w:w="1797"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4285B825" w14:textId="45E6EE6B" w:rsidR="00323752" w:rsidRPr="00323752" w:rsidRDefault="00323752" w:rsidP="00323752">
            <w:pPr>
              <w:rPr>
                <w:rFonts w:eastAsia="Times New Roman" w:cs="Calibri"/>
                <w:color w:val="FFFFFF"/>
                <w:sz w:val="18"/>
                <w:szCs w:val="18"/>
                <w:lang w:eastAsia="es-CR"/>
              </w:rPr>
            </w:pPr>
            <w:r w:rsidRPr="00323752">
              <w:rPr>
                <w:rFonts w:eastAsia="Times New Roman" w:cs="Calibri"/>
                <w:color w:val="FFFFFF"/>
                <w:sz w:val="18"/>
                <w:szCs w:val="18"/>
                <w:lang w:eastAsia="es-CR"/>
              </w:rPr>
              <w:t>APLICACIÓN</w:t>
            </w:r>
          </w:p>
        </w:tc>
        <w:tc>
          <w:tcPr>
            <w:tcW w:w="4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F64A05" w14:textId="4077B6E0" w:rsidR="00323752" w:rsidRPr="00323752" w:rsidRDefault="007913B3" w:rsidP="00323752">
            <w:pPr>
              <w:spacing w:after="0" w:line="240" w:lineRule="auto"/>
              <w:jc w:val="center"/>
              <w:rPr>
                <w:rFonts w:eastAsia="Times New Roman" w:cs="Calibri"/>
                <w:b/>
                <w:bCs/>
                <w:i/>
                <w:iCs/>
                <w:color w:val="000000"/>
                <w:sz w:val="18"/>
                <w:szCs w:val="18"/>
                <w:lang w:eastAsia="es-CR"/>
              </w:rPr>
            </w:pPr>
            <w:r>
              <w:rPr>
                <w:rFonts w:eastAsia="Times New Roman" w:cs="Calibri"/>
                <w:b/>
                <w:bCs/>
                <w:i/>
                <w:iCs/>
                <w:color w:val="000000"/>
                <w:sz w:val="18"/>
                <w:szCs w:val="18"/>
                <w:lang w:eastAsia="es-CR"/>
              </w:rPr>
              <w:t>NO</w:t>
            </w:r>
          </w:p>
        </w:tc>
      </w:tr>
    </w:tbl>
    <w:p w14:paraId="02FC12A4" w14:textId="40A31969" w:rsidR="00A649A4" w:rsidRPr="009A4467" w:rsidRDefault="00CE551A" w:rsidP="00080C49">
      <w:pPr>
        <w:spacing w:before="240"/>
        <w:rPr>
          <w:rFonts w:eastAsia="Calibri"/>
          <w:b/>
          <w:bCs/>
        </w:rPr>
      </w:pPr>
      <w:r>
        <w:rPr>
          <w:rFonts w:eastAsia="Calibri"/>
          <w:b/>
          <w:bCs/>
        </w:rPr>
        <w:fldChar w:fldCharType="end"/>
      </w:r>
      <w:r w:rsidR="00A649A4" w:rsidRPr="009A4467">
        <w:rPr>
          <w:rFonts w:eastAsia="Calibri"/>
          <w:b/>
          <w:bCs/>
        </w:rPr>
        <w:t>Revelación:</w:t>
      </w:r>
    </w:p>
    <w:p w14:paraId="299FC41A" w14:textId="6685AC35" w:rsidR="007913B3" w:rsidRPr="00B03069" w:rsidRDefault="007913B3" w:rsidP="007913B3">
      <w:pPr>
        <w:spacing w:before="120" w:after="0" w:line="240" w:lineRule="auto"/>
        <w:rPr>
          <w:szCs w:val="24"/>
        </w:rPr>
      </w:pPr>
      <w:r w:rsidRPr="00B03069">
        <w:rPr>
          <w:szCs w:val="24"/>
        </w:rPr>
        <w:t xml:space="preserve">La Municipalidad de Buenos Aires se encuentra actualmente en el proceso de implementación de un sistema de información integrado, que permitirá realización de la Contabilidad, el manejo del Presupuesto, y los módulos facilitarán el manejo de auxiliares de cuentas de Activos y Pasivo, la elaboración de los Estados Financieros y la reportería.  Los estados financieros al </w:t>
      </w:r>
      <w:r w:rsidR="00D470B6">
        <w:rPr>
          <w:szCs w:val="24"/>
        </w:rPr>
        <w:t>30 de junio</w:t>
      </w:r>
      <w:r>
        <w:rPr>
          <w:szCs w:val="24"/>
        </w:rPr>
        <w:t xml:space="preserve"> de 2024</w:t>
      </w:r>
      <w:r w:rsidRPr="00B03069">
        <w:rPr>
          <w:szCs w:val="24"/>
        </w:rPr>
        <w:t xml:space="preserve"> se prepararon de forma parcial bajo ese sistema y manualmente con la ayuda del software Microsoft Excel.</w:t>
      </w:r>
    </w:p>
    <w:p w14:paraId="4825BD7A" w14:textId="77777777" w:rsidR="00142555" w:rsidRDefault="00142555" w:rsidP="00142555">
      <w:pPr>
        <w:pStyle w:val="Prrafodelista"/>
        <w:rPr>
          <w:sz w:val="22"/>
          <w:lang w:eastAsia="es-CR"/>
        </w:rPr>
      </w:pPr>
    </w:p>
    <w:p w14:paraId="4878B71D" w14:textId="77777777" w:rsidR="00323752" w:rsidRPr="00323752" w:rsidRDefault="00A649A4" w:rsidP="00323752">
      <w:pPr>
        <w:pStyle w:val="Prrafodelista"/>
        <w:numPr>
          <w:ilvl w:val="0"/>
          <w:numId w:val="5"/>
        </w:numPr>
        <w:rPr>
          <w:sz w:val="22"/>
          <w:lang w:eastAsia="es-CR"/>
        </w:rPr>
      </w:pPr>
      <w:r w:rsidRPr="007473D3">
        <w:rPr>
          <w:sz w:val="22"/>
          <w:lang w:eastAsia="es-CR"/>
        </w:rPr>
        <w:t>¿La Institución elabora</w:t>
      </w:r>
      <w:r w:rsidRPr="009A4467">
        <w:rPr>
          <w:sz w:val="22"/>
          <w:lang w:eastAsia="es-CR"/>
        </w:rPr>
        <w:t xml:space="preserve"> los Estados Financieros de manera manual, es decir, el sistema utilizado no facilita balanzas de comprobación sino solo saldos de cuentas?</w:t>
      </w:r>
      <w:r w:rsidR="00CE551A">
        <w:fldChar w:fldCharType="begin"/>
      </w:r>
      <w:r w:rsidR="00CE551A">
        <w:instrText xml:space="preserve"> LINK </w:instrText>
      </w:r>
      <w:r w:rsidR="00323752">
        <w:instrText xml:space="preserve">Excel.SheetMacroEnabled.12 "D:\\MORAVIA\\INSUMOS\\NOTAS 2024\\Formato_Notas_EEFF_Vinculadas_2024\\XXXXX_PXX_202X_Anexo_Estado_Notas_Contables_Vinculadas.xlsm" NOTAS_PARTICULAR!F15C3:F15C4 </w:instrText>
      </w:r>
      <w:r w:rsidR="00CE551A">
        <w:instrText xml:space="preserve">\a \f 4 \h  \* MERGEFORMAT </w:instrText>
      </w:r>
      <w:r w:rsidR="00CE551A">
        <w:fldChar w:fldCharType="separate"/>
      </w:r>
    </w:p>
    <w:tbl>
      <w:tblPr>
        <w:tblW w:w="2240" w:type="dxa"/>
        <w:tblCellMar>
          <w:left w:w="70" w:type="dxa"/>
          <w:right w:w="70" w:type="dxa"/>
        </w:tblCellMar>
        <w:tblLook w:val="04A0" w:firstRow="1" w:lastRow="0" w:firstColumn="1" w:lastColumn="0" w:noHBand="0" w:noVBand="1"/>
      </w:tblPr>
      <w:tblGrid>
        <w:gridCol w:w="1647"/>
        <w:gridCol w:w="593"/>
      </w:tblGrid>
      <w:tr w:rsidR="00323752" w:rsidRPr="00323752" w14:paraId="240D91FC" w14:textId="77777777" w:rsidTr="00323752">
        <w:trPr>
          <w:divId w:val="1187988712"/>
          <w:trHeight w:val="288"/>
        </w:trPr>
        <w:tc>
          <w:tcPr>
            <w:tcW w:w="1647"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259E80EA" w14:textId="7DCD4FBB" w:rsidR="00323752" w:rsidRPr="00323752" w:rsidRDefault="00323752" w:rsidP="00323752">
            <w:pPr>
              <w:rPr>
                <w:rFonts w:eastAsia="Times New Roman" w:cs="Calibri"/>
                <w:color w:val="FFFFFF"/>
                <w:sz w:val="18"/>
                <w:szCs w:val="18"/>
                <w:lang w:eastAsia="es-CR"/>
              </w:rPr>
            </w:pPr>
            <w:r w:rsidRPr="00323752">
              <w:rPr>
                <w:rFonts w:eastAsia="Times New Roman" w:cs="Calibri"/>
                <w:color w:val="FFFFFF"/>
                <w:sz w:val="18"/>
                <w:szCs w:val="18"/>
                <w:lang w:eastAsia="es-CR"/>
              </w:rPr>
              <w:t>APLICACIÓN</w:t>
            </w:r>
          </w:p>
        </w:tc>
        <w:tc>
          <w:tcPr>
            <w:tcW w:w="5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C45C16" w14:textId="21981E79" w:rsidR="00323752" w:rsidRPr="00323752" w:rsidRDefault="007913B3" w:rsidP="00323752">
            <w:pPr>
              <w:spacing w:after="0" w:line="240" w:lineRule="auto"/>
              <w:jc w:val="center"/>
              <w:rPr>
                <w:rFonts w:eastAsia="Times New Roman" w:cs="Calibri"/>
                <w:b/>
                <w:bCs/>
                <w:i/>
                <w:iCs/>
                <w:color w:val="000000"/>
                <w:sz w:val="18"/>
                <w:szCs w:val="18"/>
                <w:lang w:eastAsia="es-CR"/>
              </w:rPr>
            </w:pPr>
            <w:r>
              <w:rPr>
                <w:rFonts w:eastAsia="Times New Roman" w:cs="Calibri"/>
                <w:b/>
                <w:bCs/>
                <w:i/>
                <w:iCs/>
                <w:color w:val="000000"/>
                <w:sz w:val="18"/>
                <w:szCs w:val="18"/>
                <w:lang w:eastAsia="es-CR"/>
              </w:rPr>
              <w:t>NO</w:t>
            </w:r>
            <w:r w:rsidR="00323752" w:rsidRPr="00323752">
              <w:rPr>
                <w:rFonts w:eastAsia="Times New Roman" w:cs="Calibri"/>
                <w:b/>
                <w:bCs/>
                <w:i/>
                <w:iCs/>
                <w:color w:val="000000"/>
                <w:sz w:val="18"/>
                <w:szCs w:val="18"/>
                <w:lang w:eastAsia="es-CR"/>
              </w:rPr>
              <w:t> </w:t>
            </w:r>
          </w:p>
        </w:tc>
      </w:tr>
    </w:tbl>
    <w:p w14:paraId="09391573" w14:textId="20B15F1E" w:rsidR="00A649A4" w:rsidRPr="009A4467" w:rsidRDefault="00CE551A" w:rsidP="00080C49">
      <w:pPr>
        <w:spacing w:before="240"/>
        <w:rPr>
          <w:rFonts w:eastAsia="Calibri"/>
          <w:b/>
          <w:bCs/>
        </w:rPr>
      </w:pPr>
      <w:r>
        <w:rPr>
          <w:rFonts w:eastAsia="Calibri"/>
          <w:b/>
          <w:bCs/>
        </w:rPr>
        <w:fldChar w:fldCharType="end"/>
      </w:r>
      <w:r w:rsidR="00A649A4" w:rsidRPr="009A4467">
        <w:rPr>
          <w:rFonts w:eastAsia="Calibri"/>
          <w:b/>
          <w:bCs/>
        </w:rPr>
        <w:t>Revelación:</w:t>
      </w:r>
    </w:p>
    <w:p w14:paraId="63D5D249" w14:textId="53E0BBD4" w:rsidR="007913B3" w:rsidRPr="00B03069" w:rsidRDefault="007913B3" w:rsidP="007913B3">
      <w:pPr>
        <w:spacing w:before="120" w:after="0" w:line="240" w:lineRule="auto"/>
        <w:rPr>
          <w:szCs w:val="24"/>
        </w:rPr>
      </w:pPr>
      <w:r>
        <w:rPr>
          <w:szCs w:val="24"/>
        </w:rPr>
        <w:t>Reiterar que l</w:t>
      </w:r>
      <w:r w:rsidRPr="00B03069">
        <w:rPr>
          <w:szCs w:val="24"/>
        </w:rPr>
        <w:t xml:space="preserve">a Municipalidad de Buenos Aires se encuentra actualmente en el proceso de implementación de un sistema de información integrado, </w:t>
      </w:r>
      <w:r>
        <w:rPr>
          <w:szCs w:val="24"/>
        </w:rPr>
        <w:t>el cual si facilita balanzas de comprobación que permiten elaborar los estados financieros.</w:t>
      </w:r>
    </w:p>
    <w:p w14:paraId="63FAC671" w14:textId="77777777" w:rsidR="00142555" w:rsidRPr="00142555" w:rsidRDefault="00142555" w:rsidP="00142555">
      <w:pPr>
        <w:pStyle w:val="Prrafodelista"/>
        <w:spacing w:before="240"/>
        <w:rPr>
          <w:color w:val="000000"/>
          <w:sz w:val="22"/>
          <w:lang w:eastAsia="es-CR"/>
        </w:rPr>
      </w:pPr>
    </w:p>
    <w:p w14:paraId="02913FC2" w14:textId="77777777" w:rsidR="00323752" w:rsidRPr="00323752" w:rsidRDefault="00A649A4" w:rsidP="00323752">
      <w:pPr>
        <w:pStyle w:val="Prrafodelista"/>
        <w:numPr>
          <w:ilvl w:val="0"/>
          <w:numId w:val="5"/>
        </w:numPr>
        <w:rPr>
          <w:color w:val="000000"/>
          <w:sz w:val="22"/>
          <w:lang w:eastAsia="es-CR"/>
        </w:rPr>
      </w:pPr>
      <w:r w:rsidRPr="007473D3">
        <w:rPr>
          <w:sz w:val="22"/>
          <w:lang w:eastAsia="es-CR"/>
        </w:rPr>
        <w:t>¿La entidad realiza</w:t>
      </w:r>
      <w:r w:rsidRPr="009A4467">
        <w:rPr>
          <w:sz w:val="22"/>
          <w:lang w:eastAsia="es-CR"/>
        </w:rPr>
        <w:t xml:space="preserve"> </w:t>
      </w:r>
      <w:r w:rsidRPr="009A4467">
        <w:rPr>
          <w:color w:val="000000"/>
          <w:sz w:val="22"/>
          <w:lang w:eastAsia="es-CR"/>
        </w:rPr>
        <w:t>la conversión de cifras de moneda extranjera a moneda nacional?</w:t>
      </w:r>
      <w:r w:rsidR="00CE551A">
        <w:fldChar w:fldCharType="begin"/>
      </w:r>
      <w:r w:rsidR="00CE551A">
        <w:instrText xml:space="preserve"> LINK </w:instrText>
      </w:r>
      <w:r w:rsidR="00323752">
        <w:instrText xml:space="preserve">Excel.SheetMacroEnabled.12 "D:\\MORAVIA\\INSUMOS\\NOTAS 2024\\Formato_Notas_EEFF_Vinculadas_2024\\XXXXX_PXX_202X_Anexo_Estado_Notas_Contables_Vinculadas.xlsm" NOTAS_PARTICULAR!F16C3:F16C4 </w:instrText>
      </w:r>
      <w:r w:rsidR="00CE551A">
        <w:instrText xml:space="preserve">\a \f 4 \h  \* MERGEFORMAT </w:instrText>
      </w:r>
      <w:r w:rsidR="00CE551A">
        <w:fldChar w:fldCharType="separate"/>
      </w:r>
    </w:p>
    <w:tbl>
      <w:tblPr>
        <w:tblW w:w="2240" w:type="dxa"/>
        <w:tblCellMar>
          <w:left w:w="70" w:type="dxa"/>
          <w:right w:w="70" w:type="dxa"/>
        </w:tblCellMar>
        <w:tblLook w:val="04A0" w:firstRow="1" w:lastRow="0" w:firstColumn="1" w:lastColumn="0" w:noHBand="0" w:noVBand="1"/>
      </w:tblPr>
      <w:tblGrid>
        <w:gridCol w:w="1687"/>
        <w:gridCol w:w="553"/>
      </w:tblGrid>
      <w:tr w:rsidR="00323752" w:rsidRPr="00323752" w14:paraId="6B8779EA" w14:textId="77777777" w:rsidTr="00323752">
        <w:trPr>
          <w:divId w:val="1845972690"/>
          <w:trHeight w:val="288"/>
        </w:trPr>
        <w:tc>
          <w:tcPr>
            <w:tcW w:w="1687"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668B7EF8" w14:textId="130D5C0E" w:rsidR="00323752" w:rsidRPr="00323752" w:rsidRDefault="00323752" w:rsidP="00323752">
            <w:pPr>
              <w:rPr>
                <w:rFonts w:eastAsia="Times New Roman" w:cs="Calibri"/>
                <w:color w:val="FFFFFF"/>
                <w:sz w:val="18"/>
                <w:szCs w:val="18"/>
                <w:lang w:eastAsia="es-CR"/>
              </w:rPr>
            </w:pPr>
            <w:r w:rsidRPr="00323752">
              <w:rPr>
                <w:rFonts w:eastAsia="Times New Roman" w:cs="Calibri"/>
                <w:color w:val="FFFFFF"/>
                <w:sz w:val="18"/>
                <w:szCs w:val="18"/>
                <w:lang w:eastAsia="es-CR"/>
              </w:rPr>
              <w:t>APLICACIÓN</w:t>
            </w:r>
          </w:p>
        </w:tc>
        <w:tc>
          <w:tcPr>
            <w:tcW w:w="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92D1CE" w14:textId="67F16C90" w:rsidR="00323752" w:rsidRPr="00323752" w:rsidRDefault="007913B3" w:rsidP="00323752">
            <w:pPr>
              <w:spacing w:after="0" w:line="240" w:lineRule="auto"/>
              <w:jc w:val="center"/>
              <w:rPr>
                <w:rFonts w:eastAsia="Times New Roman" w:cs="Calibri"/>
                <w:b/>
                <w:bCs/>
                <w:i/>
                <w:iCs/>
                <w:color w:val="000000"/>
                <w:sz w:val="18"/>
                <w:szCs w:val="18"/>
                <w:lang w:eastAsia="es-CR"/>
              </w:rPr>
            </w:pPr>
            <w:r>
              <w:rPr>
                <w:rFonts w:eastAsia="Times New Roman" w:cs="Calibri"/>
                <w:b/>
                <w:bCs/>
                <w:i/>
                <w:iCs/>
                <w:color w:val="000000"/>
                <w:sz w:val="18"/>
                <w:szCs w:val="18"/>
                <w:lang w:eastAsia="es-CR"/>
              </w:rPr>
              <w:t>NO</w:t>
            </w:r>
            <w:r w:rsidR="00323752" w:rsidRPr="00323752">
              <w:rPr>
                <w:rFonts w:eastAsia="Times New Roman" w:cs="Calibri"/>
                <w:b/>
                <w:bCs/>
                <w:i/>
                <w:iCs/>
                <w:color w:val="000000"/>
                <w:sz w:val="18"/>
                <w:szCs w:val="18"/>
                <w:lang w:eastAsia="es-CR"/>
              </w:rPr>
              <w:t> </w:t>
            </w:r>
          </w:p>
        </w:tc>
      </w:tr>
    </w:tbl>
    <w:p w14:paraId="4BEB7371" w14:textId="7F8AA618" w:rsidR="00A649A4" w:rsidRPr="009A4467" w:rsidRDefault="00CE551A" w:rsidP="00080C49">
      <w:pPr>
        <w:spacing w:before="240"/>
        <w:rPr>
          <w:rFonts w:eastAsia="Calibri"/>
          <w:b/>
          <w:bCs/>
        </w:rPr>
      </w:pPr>
      <w:r>
        <w:rPr>
          <w:rFonts w:eastAsia="Calibri"/>
          <w:b/>
          <w:bCs/>
        </w:rPr>
        <w:fldChar w:fldCharType="end"/>
      </w:r>
      <w:r w:rsidR="00A649A4" w:rsidRPr="009A4467">
        <w:rPr>
          <w:rFonts w:eastAsia="Calibri"/>
          <w:b/>
          <w:bCs/>
        </w:rPr>
        <w:t>Revelación:</w:t>
      </w:r>
    </w:p>
    <w:p w14:paraId="2658B6F7" w14:textId="2F4586A5" w:rsidR="007913B3" w:rsidRPr="00B03069" w:rsidRDefault="007913B3" w:rsidP="007913B3">
      <w:pPr>
        <w:spacing w:after="0" w:line="240" w:lineRule="auto"/>
      </w:pPr>
      <w:r>
        <w:rPr>
          <w:rFonts w:eastAsia="Calibri"/>
        </w:rPr>
        <w:t xml:space="preserve">En el periodo de presentación de los estados financieros no se ha tenido que realizar conversión de cifras de moneda extranjera a moneda nacional. </w:t>
      </w:r>
      <w:r>
        <w:t>Además, l</w:t>
      </w:r>
      <w:r w:rsidRPr="00B03069">
        <w:t>a Municipalidad en su giro normal, no posee cuentas de efectivo y equivalentes de efectivo en moneda extranjera.</w:t>
      </w:r>
    </w:p>
    <w:p w14:paraId="7677D999" w14:textId="77777777" w:rsidR="00142555" w:rsidRDefault="00142555" w:rsidP="00142555">
      <w:pPr>
        <w:pStyle w:val="Prrafodelista"/>
        <w:spacing w:before="240"/>
        <w:rPr>
          <w:rFonts w:eastAsia="Calibri"/>
        </w:rPr>
      </w:pPr>
    </w:p>
    <w:p w14:paraId="6382BA49" w14:textId="77777777" w:rsidR="00323752" w:rsidRPr="00323752" w:rsidRDefault="00A649A4" w:rsidP="00323752">
      <w:pPr>
        <w:pStyle w:val="Prrafodelista"/>
        <w:numPr>
          <w:ilvl w:val="0"/>
          <w:numId w:val="5"/>
        </w:numPr>
        <w:rPr>
          <w:rFonts w:eastAsia="Calibri"/>
        </w:rPr>
      </w:pPr>
      <w:r w:rsidRPr="007473D3">
        <w:rPr>
          <w:rFonts w:eastAsia="Calibri"/>
        </w:rPr>
        <w:t>¿El</w:t>
      </w:r>
      <w:r w:rsidRPr="007473D3">
        <w:rPr>
          <w:color w:val="000000"/>
          <w:lang w:eastAsia="es-CR"/>
        </w:rPr>
        <w:t xml:space="preserve"> </w:t>
      </w:r>
      <w:r w:rsidRPr="007473D3">
        <w:rPr>
          <w:lang w:eastAsia="es-CR"/>
        </w:rPr>
        <w:t>método</w:t>
      </w:r>
      <w:r w:rsidRPr="007473D3">
        <w:rPr>
          <w:color w:val="000000"/>
          <w:lang w:eastAsia="es-CR"/>
        </w:rPr>
        <w:t xml:space="preserve"> de evaluación</w:t>
      </w:r>
      <w:r w:rsidRPr="00142555">
        <w:rPr>
          <w:color w:val="000000"/>
          <w:lang w:eastAsia="es-CR"/>
        </w:rPr>
        <w:t xml:space="preserve"> para inventarios utilizado por la institución es PEPS?</w:t>
      </w:r>
      <w:r w:rsidR="00CE551A">
        <w:rPr>
          <w:lang w:eastAsia="es-CR"/>
        </w:rPr>
        <w:fldChar w:fldCharType="begin"/>
      </w:r>
      <w:r w:rsidR="00CE551A">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NOTAS_PARTICULAR!F17C3:F17C4 </w:instrText>
      </w:r>
      <w:r w:rsidR="00CE551A">
        <w:rPr>
          <w:lang w:eastAsia="es-CR"/>
        </w:rPr>
        <w:instrText xml:space="preserve">\a \f 4 \h  \* MERGEFORMAT </w:instrText>
      </w:r>
      <w:r w:rsidR="00CE551A">
        <w:rPr>
          <w:lang w:eastAsia="es-CR"/>
        </w:rPr>
        <w:fldChar w:fldCharType="separate"/>
      </w:r>
    </w:p>
    <w:tbl>
      <w:tblPr>
        <w:tblW w:w="2240" w:type="dxa"/>
        <w:tblCellMar>
          <w:left w:w="70" w:type="dxa"/>
          <w:right w:w="70" w:type="dxa"/>
        </w:tblCellMar>
        <w:tblLook w:val="04A0" w:firstRow="1" w:lastRow="0" w:firstColumn="1" w:lastColumn="0" w:noHBand="0" w:noVBand="1"/>
      </w:tblPr>
      <w:tblGrid>
        <w:gridCol w:w="1549"/>
        <w:gridCol w:w="691"/>
      </w:tblGrid>
      <w:tr w:rsidR="00323752" w:rsidRPr="00323752" w14:paraId="3C2917E0" w14:textId="77777777" w:rsidTr="00323752">
        <w:trPr>
          <w:divId w:val="391856804"/>
          <w:trHeight w:val="288"/>
        </w:trPr>
        <w:tc>
          <w:tcPr>
            <w:tcW w:w="1549"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2EB64E99" w14:textId="48EDBD44" w:rsidR="00323752" w:rsidRPr="00323752" w:rsidRDefault="00323752" w:rsidP="00323752">
            <w:pPr>
              <w:rPr>
                <w:rFonts w:eastAsia="Times New Roman" w:cs="Calibri"/>
                <w:color w:val="FFFFFF"/>
                <w:sz w:val="18"/>
                <w:szCs w:val="18"/>
                <w:lang w:eastAsia="es-CR"/>
              </w:rPr>
            </w:pPr>
            <w:r w:rsidRPr="00323752">
              <w:rPr>
                <w:rFonts w:eastAsia="Times New Roman" w:cs="Calibri"/>
                <w:color w:val="FFFFFF"/>
                <w:sz w:val="18"/>
                <w:szCs w:val="18"/>
                <w:lang w:eastAsia="es-CR"/>
              </w:rPr>
              <w:t>APLICACIÓN</w:t>
            </w:r>
          </w:p>
        </w:tc>
        <w:tc>
          <w:tcPr>
            <w:tcW w:w="69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F21555" w14:textId="77AD7116" w:rsidR="00323752" w:rsidRPr="00323752" w:rsidRDefault="006379CB" w:rsidP="00323752">
            <w:pPr>
              <w:spacing w:after="0" w:line="240" w:lineRule="auto"/>
              <w:jc w:val="center"/>
              <w:rPr>
                <w:rFonts w:eastAsia="Times New Roman" w:cs="Calibri"/>
                <w:b/>
                <w:bCs/>
                <w:i/>
                <w:iCs/>
                <w:color w:val="000000"/>
                <w:sz w:val="18"/>
                <w:szCs w:val="18"/>
                <w:lang w:eastAsia="es-CR"/>
              </w:rPr>
            </w:pPr>
            <w:r>
              <w:rPr>
                <w:rFonts w:eastAsia="Times New Roman" w:cs="Calibri"/>
                <w:b/>
                <w:bCs/>
                <w:i/>
                <w:iCs/>
                <w:color w:val="000000"/>
                <w:sz w:val="18"/>
                <w:szCs w:val="18"/>
                <w:lang w:eastAsia="es-CR"/>
              </w:rPr>
              <w:t>SI</w:t>
            </w:r>
          </w:p>
        </w:tc>
      </w:tr>
    </w:tbl>
    <w:p w14:paraId="70548932" w14:textId="0F12C2C5" w:rsidR="00A649A4" w:rsidRPr="009A4467" w:rsidRDefault="00CE551A" w:rsidP="00080C49">
      <w:pPr>
        <w:spacing w:before="240"/>
        <w:rPr>
          <w:b/>
          <w:bCs/>
          <w:sz w:val="22"/>
          <w:lang w:eastAsia="es-CR"/>
        </w:rPr>
      </w:pPr>
      <w:r>
        <w:rPr>
          <w:b/>
          <w:bCs/>
          <w:sz w:val="22"/>
          <w:lang w:eastAsia="es-CR"/>
        </w:rPr>
        <w:fldChar w:fldCharType="end"/>
      </w:r>
      <w:r w:rsidR="00A649A4" w:rsidRPr="009A4467">
        <w:rPr>
          <w:b/>
          <w:bCs/>
          <w:sz w:val="22"/>
          <w:lang w:eastAsia="es-CR"/>
        </w:rPr>
        <w:t>Revelación:</w:t>
      </w:r>
    </w:p>
    <w:p w14:paraId="2A47EE80" w14:textId="77777777" w:rsidR="006379CB" w:rsidRPr="00B03069" w:rsidRDefault="006379CB" w:rsidP="006379CB">
      <w:pPr>
        <w:spacing w:after="0" w:line="240" w:lineRule="auto"/>
      </w:pPr>
      <w:r w:rsidRPr="00B03069">
        <w:t>La Municipalidad de Buenos Aires tiene como política para efectos de valuación de sus inventarios usar el método PEPS, el cual es el recomendado por la Contabilidad Nacional</w:t>
      </w:r>
      <w:r>
        <w:t xml:space="preserve"> como parte de las Políticas Generales</w:t>
      </w:r>
      <w:r w:rsidRPr="00B03069">
        <w:t>.</w:t>
      </w:r>
    </w:p>
    <w:p w14:paraId="233929D7" w14:textId="77777777" w:rsidR="00142555" w:rsidRPr="00142555" w:rsidRDefault="00142555" w:rsidP="00142555">
      <w:pPr>
        <w:rPr>
          <w:color w:val="000000"/>
          <w:sz w:val="22"/>
          <w:lang w:eastAsia="es-CR"/>
        </w:rPr>
      </w:pPr>
    </w:p>
    <w:p w14:paraId="1A87F6FE" w14:textId="77777777" w:rsidR="00323752" w:rsidRPr="00323752" w:rsidRDefault="00A649A4" w:rsidP="00323752">
      <w:pPr>
        <w:pStyle w:val="Prrafodelista"/>
        <w:numPr>
          <w:ilvl w:val="0"/>
          <w:numId w:val="5"/>
        </w:numPr>
        <w:rPr>
          <w:color w:val="000000"/>
          <w:sz w:val="22"/>
          <w:lang w:eastAsia="es-CR"/>
        </w:rPr>
      </w:pPr>
      <w:r w:rsidRPr="009A4467">
        <w:rPr>
          <w:color w:val="000000"/>
          <w:sz w:val="22"/>
          <w:lang w:eastAsia="es-CR"/>
        </w:rPr>
        <w:t>¿</w:t>
      </w:r>
      <w:r w:rsidRPr="007473D3">
        <w:rPr>
          <w:color w:val="000000"/>
          <w:sz w:val="22"/>
          <w:lang w:eastAsia="es-CR"/>
        </w:rPr>
        <w:t>El método de utilizado por</w:t>
      </w:r>
      <w:r w:rsidRPr="009A4467">
        <w:rPr>
          <w:color w:val="000000"/>
          <w:sz w:val="22"/>
          <w:lang w:eastAsia="es-CR"/>
        </w:rPr>
        <w:t xml:space="preserve"> la Institución es Estimación por Incobrables (ANTIGÜEDAD DE SALDOS)?</w:t>
      </w:r>
      <w:r w:rsidR="00821CA9">
        <w:fldChar w:fldCharType="begin"/>
      </w:r>
      <w:r w:rsidR="00821CA9">
        <w:instrText xml:space="preserve"> LINK </w:instrText>
      </w:r>
      <w:r w:rsidR="00323752">
        <w:instrText xml:space="preserve">Excel.SheetMacroEnabled.12 "D:\\MORAVIA\\INSUMOS\\NOTAS 2024\\Formato_Notas_EEFF_Vinculadas_2024\\XXXXX_PXX_202X_Anexo_Estado_Notas_Contables_Vinculadas.xlsm" NOTAS_PARTICULAR!F18C3:F18C4 </w:instrText>
      </w:r>
      <w:r w:rsidR="00821CA9">
        <w:instrText xml:space="preserve">\a \f 4 \h  \* MERGEFORMAT </w:instrText>
      </w:r>
      <w:r w:rsidR="00821CA9">
        <w:fldChar w:fldCharType="separate"/>
      </w:r>
    </w:p>
    <w:tbl>
      <w:tblPr>
        <w:tblW w:w="2240" w:type="dxa"/>
        <w:tblCellMar>
          <w:left w:w="70" w:type="dxa"/>
          <w:right w:w="70" w:type="dxa"/>
        </w:tblCellMar>
        <w:tblLook w:val="04A0" w:firstRow="1" w:lastRow="0" w:firstColumn="1" w:lastColumn="0" w:noHBand="0" w:noVBand="1"/>
      </w:tblPr>
      <w:tblGrid>
        <w:gridCol w:w="1807"/>
        <w:gridCol w:w="433"/>
      </w:tblGrid>
      <w:tr w:rsidR="00323752" w:rsidRPr="00323752" w14:paraId="7D412A66" w14:textId="77777777" w:rsidTr="00323752">
        <w:trPr>
          <w:divId w:val="1710834964"/>
          <w:trHeight w:val="288"/>
        </w:trPr>
        <w:tc>
          <w:tcPr>
            <w:tcW w:w="1807"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1BB6C0A6" w14:textId="4CA2BF0B" w:rsidR="00323752" w:rsidRPr="00323752" w:rsidRDefault="00323752" w:rsidP="00323752">
            <w:pPr>
              <w:rPr>
                <w:rFonts w:eastAsia="Times New Roman" w:cs="Calibri"/>
                <w:color w:val="FFFFFF"/>
                <w:sz w:val="18"/>
                <w:szCs w:val="18"/>
                <w:lang w:eastAsia="es-CR"/>
              </w:rPr>
            </w:pPr>
            <w:r w:rsidRPr="00323752">
              <w:rPr>
                <w:rFonts w:eastAsia="Times New Roman" w:cs="Calibri"/>
                <w:color w:val="FFFFFF"/>
                <w:sz w:val="18"/>
                <w:szCs w:val="18"/>
                <w:lang w:eastAsia="es-CR"/>
              </w:rPr>
              <w:t>APLICACIÓN</w:t>
            </w:r>
          </w:p>
        </w:tc>
        <w:tc>
          <w:tcPr>
            <w:tcW w:w="43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096A55" w14:textId="2640A88E" w:rsidR="00323752" w:rsidRPr="00323752" w:rsidRDefault="006379CB" w:rsidP="00323752">
            <w:pPr>
              <w:spacing w:after="0" w:line="240" w:lineRule="auto"/>
              <w:jc w:val="center"/>
              <w:rPr>
                <w:rFonts w:eastAsia="Times New Roman" w:cs="Calibri"/>
                <w:b/>
                <w:bCs/>
                <w:i/>
                <w:iCs/>
                <w:color w:val="000000"/>
                <w:sz w:val="18"/>
                <w:szCs w:val="18"/>
                <w:lang w:eastAsia="es-CR"/>
              </w:rPr>
            </w:pPr>
            <w:r>
              <w:rPr>
                <w:rFonts w:eastAsia="Times New Roman" w:cs="Calibri"/>
                <w:b/>
                <w:bCs/>
                <w:i/>
                <w:iCs/>
                <w:color w:val="000000"/>
                <w:sz w:val="18"/>
                <w:szCs w:val="18"/>
                <w:lang w:eastAsia="es-CR"/>
              </w:rPr>
              <w:t>SI</w:t>
            </w:r>
          </w:p>
        </w:tc>
      </w:tr>
    </w:tbl>
    <w:p w14:paraId="797AD390" w14:textId="3BF6FF67" w:rsidR="00A649A4" w:rsidRPr="009A4467" w:rsidRDefault="00821CA9" w:rsidP="00080C49">
      <w:pPr>
        <w:spacing w:before="240"/>
        <w:rPr>
          <w:rFonts w:eastAsia="Calibri"/>
          <w:b/>
          <w:bCs/>
        </w:rPr>
      </w:pPr>
      <w:r>
        <w:rPr>
          <w:rFonts w:eastAsia="Calibri"/>
          <w:b/>
          <w:bCs/>
        </w:rPr>
        <w:fldChar w:fldCharType="end"/>
      </w:r>
      <w:r w:rsidR="00A649A4" w:rsidRPr="009A4467">
        <w:rPr>
          <w:rFonts w:eastAsia="Calibri"/>
          <w:b/>
          <w:bCs/>
        </w:rPr>
        <w:t>Revelación:</w:t>
      </w:r>
    </w:p>
    <w:p w14:paraId="0CBC4B54" w14:textId="19302585" w:rsidR="006379CB" w:rsidRDefault="006379CB" w:rsidP="006379CB">
      <w:pPr>
        <w:spacing w:after="0" w:line="240" w:lineRule="auto"/>
      </w:pPr>
      <w:r w:rsidRPr="00B03069">
        <w:t>La Municipalidad de Buenos Aires utiliza el método de Antigüedad de Saldos para efectos de estimar el deterioro de las Cuantas por Cobrar (Estimación por Incobrables), para lo cual se considerará el grado de morosidad que presenten las cuentas por cobrar.</w:t>
      </w:r>
    </w:p>
    <w:p w14:paraId="3F4623D1" w14:textId="77777777" w:rsidR="006379CB" w:rsidRDefault="006379CB" w:rsidP="006379CB">
      <w:pPr>
        <w:spacing w:after="0" w:line="240" w:lineRule="auto"/>
      </w:pPr>
    </w:p>
    <w:p w14:paraId="3BB64B29" w14:textId="77777777" w:rsidR="006379CB" w:rsidRPr="00B03069" w:rsidRDefault="006379CB" w:rsidP="006379CB">
      <w:pPr>
        <w:spacing w:after="0" w:line="240" w:lineRule="auto"/>
      </w:pPr>
    </w:p>
    <w:p w14:paraId="7D55608F" w14:textId="77777777" w:rsidR="00323752" w:rsidRPr="00323752" w:rsidRDefault="00A649A4" w:rsidP="00323752">
      <w:pPr>
        <w:pStyle w:val="Prrafodelista"/>
        <w:numPr>
          <w:ilvl w:val="0"/>
          <w:numId w:val="5"/>
        </w:numPr>
        <w:rPr>
          <w:sz w:val="22"/>
          <w:lang w:eastAsia="es-CR"/>
        </w:rPr>
      </w:pPr>
      <w:r w:rsidRPr="009A4467">
        <w:rPr>
          <w:color w:val="000000"/>
          <w:sz w:val="22"/>
          <w:lang w:eastAsia="es-CR"/>
        </w:rPr>
        <w:t>¿</w:t>
      </w:r>
      <w:r w:rsidRPr="007473D3">
        <w:rPr>
          <w:color w:val="000000"/>
          <w:sz w:val="22"/>
          <w:lang w:eastAsia="es-CR"/>
        </w:rPr>
        <w:t>El método utilizado</w:t>
      </w:r>
      <w:r w:rsidRPr="009A4467">
        <w:rPr>
          <w:color w:val="000000"/>
          <w:sz w:val="22"/>
          <w:lang w:eastAsia="es-CR"/>
        </w:rPr>
        <w:t xml:space="preserve"> en la Institución para la Depreciación o agotamiento es Línea Recta?</w:t>
      </w:r>
      <w:r w:rsidR="00821CA9">
        <w:fldChar w:fldCharType="begin"/>
      </w:r>
      <w:r w:rsidR="00821CA9">
        <w:instrText xml:space="preserve"> LINK </w:instrText>
      </w:r>
      <w:r w:rsidR="00323752">
        <w:instrText xml:space="preserve">Excel.SheetMacroEnabled.12 "D:\\MORAVIA\\INSUMOS\\NOTAS 2024\\Formato_Notas_EEFF_Vinculadas_2024\\XXXXX_PXX_202X_Anexo_Estado_Notas_Contables_Vinculadas.xlsm" NOTAS_PARTICULAR!F19C3:F19C4 </w:instrText>
      </w:r>
      <w:r w:rsidR="00821CA9">
        <w:instrText xml:space="preserve">\a \f 4 \h  \* MERGEFORMAT </w:instrText>
      </w:r>
      <w:r w:rsidR="00821CA9">
        <w:fldChar w:fldCharType="separate"/>
      </w:r>
    </w:p>
    <w:tbl>
      <w:tblPr>
        <w:tblW w:w="2240" w:type="dxa"/>
        <w:tblCellMar>
          <w:left w:w="70" w:type="dxa"/>
          <w:right w:w="70" w:type="dxa"/>
        </w:tblCellMar>
        <w:tblLook w:val="04A0" w:firstRow="1" w:lastRow="0" w:firstColumn="1" w:lastColumn="0" w:noHBand="0" w:noVBand="1"/>
      </w:tblPr>
      <w:tblGrid>
        <w:gridCol w:w="1486"/>
        <w:gridCol w:w="754"/>
      </w:tblGrid>
      <w:tr w:rsidR="00323752" w:rsidRPr="00323752" w14:paraId="3BA0DCEC" w14:textId="77777777" w:rsidTr="00323752">
        <w:trPr>
          <w:divId w:val="1744793693"/>
          <w:trHeight w:val="288"/>
        </w:trPr>
        <w:tc>
          <w:tcPr>
            <w:tcW w:w="1486"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3C4D9AD8" w14:textId="3C82B48D" w:rsidR="00323752" w:rsidRPr="00323752" w:rsidRDefault="00323752" w:rsidP="00323752">
            <w:pPr>
              <w:rPr>
                <w:rFonts w:eastAsia="Times New Roman" w:cs="Calibri"/>
                <w:color w:val="FFFFFF"/>
                <w:sz w:val="18"/>
                <w:szCs w:val="18"/>
                <w:lang w:eastAsia="es-CR"/>
              </w:rPr>
            </w:pPr>
            <w:r w:rsidRPr="00323752">
              <w:rPr>
                <w:rFonts w:eastAsia="Times New Roman" w:cs="Calibri"/>
                <w:color w:val="FFFFFF"/>
                <w:sz w:val="18"/>
                <w:szCs w:val="18"/>
                <w:lang w:eastAsia="es-CR"/>
              </w:rPr>
              <w:t>APLICACIÓN</w:t>
            </w:r>
          </w:p>
        </w:tc>
        <w:tc>
          <w:tcPr>
            <w:tcW w:w="7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3A321B" w14:textId="7180AFBF" w:rsidR="00323752" w:rsidRPr="00323752" w:rsidRDefault="006379CB" w:rsidP="00323752">
            <w:pPr>
              <w:spacing w:after="0" w:line="240" w:lineRule="auto"/>
              <w:jc w:val="center"/>
              <w:rPr>
                <w:rFonts w:eastAsia="Times New Roman" w:cs="Calibri"/>
                <w:b/>
                <w:bCs/>
                <w:i/>
                <w:iCs/>
                <w:color w:val="000000"/>
                <w:sz w:val="18"/>
                <w:szCs w:val="18"/>
                <w:lang w:eastAsia="es-CR"/>
              </w:rPr>
            </w:pPr>
            <w:r>
              <w:rPr>
                <w:rFonts w:eastAsia="Times New Roman" w:cs="Calibri"/>
                <w:b/>
                <w:bCs/>
                <w:i/>
                <w:iCs/>
                <w:color w:val="000000"/>
                <w:sz w:val="18"/>
                <w:szCs w:val="18"/>
                <w:lang w:eastAsia="es-CR"/>
              </w:rPr>
              <w:t>SI</w:t>
            </w:r>
          </w:p>
        </w:tc>
      </w:tr>
    </w:tbl>
    <w:p w14:paraId="4FD7A836" w14:textId="549FFECF" w:rsidR="00A649A4" w:rsidRPr="00080C49" w:rsidRDefault="00821CA9" w:rsidP="00080C49">
      <w:pPr>
        <w:spacing w:before="240"/>
        <w:rPr>
          <w:rFonts w:eastAsia="Calibri"/>
          <w:b/>
          <w:bCs/>
        </w:rPr>
      </w:pPr>
      <w:r>
        <w:rPr>
          <w:rFonts w:eastAsia="Calibri"/>
          <w:b/>
          <w:bCs/>
        </w:rPr>
        <w:fldChar w:fldCharType="end"/>
      </w:r>
      <w:r w:rsidR="00A649A4" w:rsidRPr="009A4467">
        <w:rPr>
          <w:rFonts w:eastAsia="Calibri"/>
          <w:b/>
          <w:bCs/>
        </w:rPr>
        <w:t>Revelación:</w:t>
      </w:r>
    </w:p>
    <w:p w14:paraId="3C8BD358" w14:textId="77777777" w:rsidR="006379CB" w:rsidRPr="00B03069" w:rsidRDefault="006379CB" w:rsidP="006379CB">
      <w:pPr>
        <w:spacing w:after="0" w:line="240" w:lineRule="auto"/>
      </w:pPr>
      <w:r w:rsidRPr="00B03069">
        <w:t>La Municipalidad adoptó el método de Línea Recta para la depreciación de los activos Propiedad, planta y equipo y la depreciación se inicia a partir del mes siguiente a que el mismo es puesto en operación. Sobre el particular, se debe indicar que como parte del proceso de implementación de las NICSP, se está llevando a cabo un proceso de fortalecimiento de la administración y control de los activos de dicha clasificación que posee la Municipalidad</w:t>
      </w:r>
      <w:r>
        <w:t xml:space="preserve">. Al respecto, se emitió el reglamento para la administración de los bienes de la Municipalidad de Buenos Aires. Además, </w:t>
      </w:r>
      <w:r w:rsidRPr="00B03069">
        <w:t>como parte de ese proceso se está revisando lo concerniente a las vidas útiles de aquellos activos que se tienen en uso y que ya sobrepasaron la vida útil estimada definida por la Dirección General de Contabilidad en la Directriz Nº CN-001-2009 del 23 de noviembre de 2009.</w:t>
      </w:r>
    </w:p>
    <w:p w14:paraId="6F457159" w14:textId="77777777" w:rsidR="00821CA9" w:rsidRDefault="00821CA9" w:rsidP="00142555">
      <w:pPr>
        <w:pStyle w:val="Prrafodelista"/>
        <w:spacing w:before="240"/>
        <w:rPr>
          <w:color w:val="000000"/>
          <w:sz w:val="22"/>
          <w:lang w:eastAsia="es-CR"/>
        </w:rPr>
      </w:pPr>
    </w:p>
    <w:p w14:paraId="1E53074B" w14:textId="77777777" w:rsidR="004414C1" w:rsidRPr="004414C1" w:rsidRDefault="004414C1" w:rsidP="004414C1">
      <w:pPr>
        <w:pStyle w:val="Prrafodelista"/>
        <w:numPr>
          <w:ilvl w:val="0"/>
          <w:numId w:val="5"/>
        </w:numPr>
        <w:rPr>
          <w:color w:val="000000"/>
          <w:sz w:val="22"/>
          <w:lang w:eastAsia="es-CR"/>
        </w:rPr>
      </w:pPr>
      <w:r w:rsidRPr="004414C1">
        <w:rPr>
          <w:color w:val="000000"/>
          <w:sz w:val="22"/>
          <w:lang w:eastAsia="es-CR"/>
        </w:rPr>
        <w:t>¿</w:t>
      </w:r>
      <w:bookmarkStart w:id="126" w:name="_Hlk169162030"/>
      <w:r w:rsidRPr="004414C1">
        <w:rPr>
          <w:color w:val="000000"/>
          <w:sz w:val="22"/>
          <w:lang w:eastAsia="es-CR"/>
        </w:rPr>
        <w:t>La entidad lleva los libros contables en formato digital?</w:t>
      </w:r>
      <w:bookmarkEnd w:id="126"/>
      <w:r w:rsidRPr="004414C1">
        <w:rPr>
          <w:color w:val="000000"/>
          <w:sz w:val="22"/>
          <w:lang w:eastAsia="es-CR"/>
        </w:rPr>
        <w:fldChar w:fldCharType="begin"/>
      </w:r>
      <w:r w:rsidRPr="004414C1">
        <w:rPr>
          <w:color w:val="000000"/>
          <w:sz w:val="22"/>
          <w:lang w:eastAsia="es-CR"/>
        </w:rPr>
        <w:instrText xml:space="preserve"> LINK Excel.SheetMacroEnabled.12 "C:\\Users\\calderonoj\\Downloads\\Formato_Notas_EEFF_Vinculadas_2024 (1)\\Formato_Notas_EEFF_Vinculadas_2024\\Formato_Notas_EEFF_Vinculadas_2024\\XXXXX_PXX_202X_Anexo_Estado_Notas_Contables_Vinculadas.xlsm" NOTAS_PARTICULAR!F21C3:F21C4 \a \f 4 \h  \* MERGEFORMAT </w:instrText>
      </w:r>
      <w:r w:rsidRPr="004414C1">
        <w:rPr>
          <w:color w:val="000000"/>
          <w:sz w:val="22"/>
          <w:lang w:eastAsia="es-CR"/>
        </w:rPr>
        <w:fldChar w:fldCharType="separate"/>
      </w:r>
    </w:p>
    <w:tbl>
      <w:tblPr>
        <w:tblW w:w="2240" w:type="dxa"/>
        <w:tblCellMar>
          <w:left w:w="70" w:type="dxa"/>
          <w:right w:w="70" w:type="dxa"/>
        </w:tblCellMar>
        <w:tblLook w:val="04A0" w:firstRow="1" w:lastRow="0" w:firstColumn="1" w:lastColumn="0" w:noHBand="0" w:noVBand="1"/>
      </w:tblPr>
      <w:tblGrid>
        <w:gridCol w:w="1593"/>
        <w:gridCol w:w="771"/>
      </w:tblGrid>
      <w:tr w:rsidR="004414C1" w:rsidRPr="004414C1" w14:paraId="03ED2C7C" w14:textId="77777777" w:rsidTr="004414C1">
        <w:trPr>
          <w:trHeight w:val="288"/>
        </w:trPr>
        <w:tc>
          <w:tcPr>
            <w:tcW w:w="1486" w:type="dxa"/>
            <w:tcBorders>
              <w:top w:val="single" w:sz="8" w:space="0" w:color="auto"/>
              <w:left w:val="single" w:sz="8" w:space="0" w:color="auto"/>
              <w:bottom w:val="single" w:sz="8" w:space="0" w:color="auto"/>
              <w:right w:val="single" w:sz="8" w:space="0" w:color="auto"/>
            </w:tcBorders>
            <w:shd w:val="clear" w:color="auto" w:fill="17365D"/>
            <w:vAlign w:val="center"/>
            <w:hideMark/>
          </w:tcPr>
          <w:p w14:paraId="724B8A8E" w14:textId="77777777" w:rsidR="004414C1" w:rsidRPr="004414C1" w:rsidRDefault="004414C1" w:rsidP="004414C1">
            <w:pPr>
              <w:ind w:left="360"/>
              <w:rPr>
                <w:color w:val="000000"/>
                <w:sz w:val="22"/>
                <w:lang w:eastAsia="es-CR"/>
              </w:rPr>
            </w:pPr>
            <w:r w:rsidRPr="00D03594">
              <w:rPr>
                <w:color w:val="FFFFFF" w:themeColor="background1"/>
                <w:sz w:val="22"/>
                <w:lang w:eastAsia="es-CR"/>
              </w:rPr>
              <w:t>APLICACIÓN</w:t>
            </w:r>
          </w:p>
        </w:tc>
        <w:tc>
          <w:tcPr>
            <w:tcW w:w="75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0F6045" w14:textId="47D6FC60" w:rsidR="004414C1" w:rsidRPr="004414C1" w:rsidRDefault="00D03594" w:rsidP="00D03594">
            <w:pPr>
              <w:ind w:left="360"/>
              <w:jc w:val="center"/>
              <w:rPr>
                <w:color w:val="000000"/>
                <w:sz w:val="22"/>
                <w:lang w:eastAsia="es-CR"/>
              </w:rPr>
            </w:pPr>
            <w:r>
              <w:rPr>
                <w:color w:val="000000"/>
                <w:sz w:val="22"/>
                <w:lang w:eastAsia="es-CR"/>
              </w:rPr>
              <w:t>NO</w:t>
            </w:r>
          </w:p>
        </w:tc>
      </w:tr>
    </w:tbl>
    <w:p w14:paraId="6468F015" w14:textId="77777777" w:rsidR="004414C1" w:rsidRDefault="004414C1" w:rsidP="004414C1">
      <w:pPr>
        <w:pStyle w:val="Prrafodelista"/>
        <w:rPr>
          <w:color w:val="000000"/>
          <w:sz w:val="22"/>
          <w:lang w:eastAsia="es-CR"/>
        </w:rPr>
      </w:pPr>
      <w:r w:rsidRPr="004414C1">
        <w:rPr>
          <w:color w:val="000000"/>
          <w:sz w:val="22"/>
          <w:lang w:eastAsia="es-CR"/>
        </w:rPr>
        <w:fldChar w:fldCharType="end"/>
      </w:r>
    </w:p>
    <w:p w14:paraId="19737853" w14:textId="3B73CC14" w:rsidR="00142555" w:rsidRDefault="00A649A4" w:rsidP="00D03594">
      <w:pPr>
        <w:pStyle w:val="Prrafodelista"/>
        <w:ind w:left="0"/>
        <w:rPr>
          <w:b/>
          <w:szCs w:val="24"/>
          <w:lang w:eastAsia="es-CR"/>
        </w:rPr>
      </w:pPr>
      <w:r w:rsidRPr="009A4467">
        <w:rPr>
          <w:b/>
          <w:szCs w:val="24"/>
          <w:lang w:eastAsia="es-CR"/>
        </w:rPr>
        <w:t>Revelación:</w:t>
      </w:r>
    </w:p>
    <w:p w14:paraId="6A50DC99" w14:textId="77777777" w:rsidR="00D03594" w:rsidRPr="004E1BAE" w:rsidRDefault="00D03594" w:rsidP="00D03594">
      <w:pPr>
        <w:spacing w:before="240" w:after="0" w:line="240" w:lineRule="auto"/>
        <w:ind w:right="51"/>
        <w:rPr>
          <w:szCs w:val="24"/>
        </w:rPr>
      </w:pPr>
      <w:r w:rsidRPr="004E1BAE">
        <w:rPr>
          <w:szCs w:val="24"/>
        </w:rPr>
        <w:t>La Municipalidad de Buenos Aires lleva sus libros legales mediante hojas de Excel observando en todos sus aspectos lo establecido por la normativa legal y técnica vigente. En adición, la Administración se encuentra en conversaciones con la empresa encargada de desarrollar el sistema de información financiero, con el fin de desarrollar un módulo de libros digitales.</w:t>
      </w:r>
    </w:p>
    <w:p w14:paraId="3E5F551C" w14:textId="77777777" w:rsidR="00D03594" w:rsidRPr="009A4467" w:rsidRDefault="00D03594" w:rsidP="004414C1">
      <w:pPr>
        <w:pStyle w:val="Prrafodelista"/>
        <w:rPr>
          <w:b/>
          <w:szCs w:val="24"/>
          <w:lang w:eastAsia="es-CR"/>
        </w:rPr>
      </w:pPr>
    </w:p>
    <w:p w14:paraId="0C4D638A" w14:textId="414B2D67" w:rsidR="00323752" w:rsidRPr="00323752" w:rsidRDefault="00A649A4" w:rsidP="00323752">
      <w:pPr>
        <w:pStyle w:val="Prrafodelista"/>
        <w:numPr>
          <w:ilvl w:val="0"/>
          <w:numId w:val="5"/>
        </w:numPr>
        <w:rPr>
          <w:color w:val="000000"/>
          <w:sz w:val="22"/>
          <w:lang w:eastAsia="es-CR"/>
        </w:rPr>
      </w:pPr>
      <w:r w:rsidRPr="009A4467">
        <w:rPr>
          <w:color w:val="000000"/>
          <w:sz w:val="22"/>
          <w:lang w:eastAsia="es-CR"/>
        </w:rPr>
        <w:t>¿</w:t>
      </w:r>
      <w:bookmarkStart w:id="127" w:name="_Hlk169162037"/>
      <w:r w:rsidR="00D03594" w:rsidRPr="00D03594">
        <w:rPr>
          <w:color w:val="000000"/>
          <w:sz w:val="22"/>
          <w:lang w:eastAsia="es-CR"/>
        </w:rPr>
        <w:t>Los libros contables se encuentran actualizados</w:t>
      </w:r>
      <w:bookmarkEnd w:id="127"/>
      <w:r w:rsidRPr="009A4467">
        <w:rPr>
          <w:color w:val="000000"/>
          <w:sz w:val="22"/>
          <w:lang w:eastAsia="es-CR"/>
        </w:rPr>
        <w:t>?</w:t>
      </w:r>
      <w:r w:rsidR="00821CA9">
        <w:fldChar w:fldCharType="begin"/>
      </w:r>
      <w:r w:rsidR="00821CA9">
        <w:instrText xml:space="preserve"> LINK </w:instrText>
      </w:r>
      <w:r w:rsidR="00323752">
        <w:instrText xml:space="preserve">Excel.SheetMacroEnabled.12 "D:\\MORAVIA\\INSUMOS\\NOTAS 2024\\Formato_Notas_EEFF_Vinculadas_2024\\XXXXX_PXX_202X_Anexo_Estado_Notas_Contables_Vinculadas.xlsm" NOTAS_PARTICULAR!F21C3:F21C4 </w:instrText>
      </w:r>
      <w:r w:rsidR="00821CA9">
        <w:instrText xml:space="preserve">\a \f 4 \h  \* MERGEFORMAT </w:instrText>
      </w:r>
      <w:r w:rsidR="00821CA9">
        <w:fldChar w:fldCharType="separate"/>
      </w:r>
    </w:p>
    <w:tbl>
      <w:tblPr>
        <w:tblW w:w="2240" w:type="dxa"/>
        <w:tblCellMar>
          <w:left w:w="70" w:type="dxa"/>
          <w:right w:w="70" w:type="dxa"/>
        </w:tblCellMar>
        <w:tblLook w:val="04A0" w:firstRow="1" w:lastRow="0" w:firstColumn="1" w:lastColumn="0" w:noHBand="0" w:noVBand="1"/>
      </w:tblPr>
      <w:tblGrid>
        <w:gridCol w:w="1486"/>
        <w:gridCol w:w="754"/>
      </w:tblGrid>
      <w:tr w:rsidR="00323752" w:rsidRPr="00323752" w14:paraId="032676B5" w14:textId="77777777" w:rsidTr="00323752">
        <w:trPr>
          <w:divId w:val="488133914"/>
          <w:trHeight w:val="288"/>
        </w:trPr>
        <w:tc>
          <w:tcPr>
            <w:tcW w:w="1486"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56CEBE75" w14:textId="73CFF741" w:rsidR="00323752" w:rsidRPr="00323752" w:rsidRDefault="00323752" w:rsidP="00323752">
            <w:pPr>
              <w:rPr>
                <w:rFonts w:eastAsia="Times New Roman" w:cs="Calibri"/>
                <w:color w:val="FFFFFF"/>
                <w:sz w:val="18"/>
                <w:szCs w:val="18"/>
                <w:lang w:eastAsia="es-CR"/>
              </w:rPr>
            </w:pPr>
            <w:r w:rsidRPr="00323752">
              <w:rPr>
                <w:rFonts w:eastAsia="Times New Roman" w:cs="Calibri"/>
                <w:color w:val="FFFFFF"/>
                <w:sz w:val="18"/>
                <w:szCs w:val="18"/>
                <w:lang w:eastAsia="es-CR"/>
              </w:rPr>
              <w:t>APLICACIÓN</w:t>
            </w:r>
          </w:p>
        </w:tc>
        <w:tc>
          <w:tcPr>
            <w:tcW w:w="7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6D60C6" w14:textId="107F2B95" w:rsidR="00323752" w:rsidRPr="00323752" w:rsidRDefault="006379CB" w:rsidP="00323752">
            <w:pPr>
              <w:spacing w:after="0" w:line="240" w:lineRule="auto"/>
              <w:jc w:val="center"/>
              <w:rPr>
                <w:rFonts w:eastAsia="Times New Roman" w:cs="Calibri"/>
                <w:b/>
                <w:bCs/>
                <w:i/>
                <w:iCs/>
                <w:color w:val="000000"/>
                <w:sz w:val="18"/>
                <w:szCs w:val="18"/>
                <w:lang w:eastAsia="es-CR"/>
              </w:rPr>
            </w:pPr>
            <w:r>
              <w:rPr>
                <w:rFonts w:eastAsia="Times New Roman" w:cs="Calibri"/>
                <w:b/>
                <w:bCs/>
                <w:i/>
                <w:iCs/>
                <w:color w:val="000000"/>
                <w:sz w:val="18"/>
                <w:szCs w:val="18"/>
                <w:lang w:eastAsia="es-CR"/>
              </w:rPr>
              <w:t>NO</w:t>
            </w:r>
          </w:p>
        </w:tc>
      </w:tr>
    </w:tbl>
    <w:p w14:paraId="76F3A27D" w14:textId="403DDB8D" w:rsidR="00A649A4" w:rsidRDefault="00821CA9" w:rsidP="00080C49">
      <w:pPr>
        <w:spacing w:before="240"/>
        <w:rPr>
          <w:rFonts w:eastAsia="Calibri"/>
          <w:b/>
          <w:bCs/>
        </w:rPr>
      </w:pPr>
      <w:r>
        <w:rPr>
          <w:rFonts w:eastAsia="Calibri"/>
          <w:b/>
          <w:bCs/>
        </w:rPr>
        <w:fldChar w:fldCharType="end"/>
      </w:r>
      <w:r w:rsidR="00A649A4" w:rsidRPr="009A4467">
        <w:rPr>
          <w:rFonts w:eastAsia="Calibri"/>
          <w:b/>
          <w:bCs/>
        </w:rPr>
        <w:t>Revelación:</w:t>
      </w:r>
    </w:p>
    <w:p w14:paraId="7D6FA092" w14:textId="77777777" w:rsidR="00D03594" w:rsidRPr="004E1BAE" w:rsidRDefault="00D03594" w:rsidP="00D03594">
      <w:pPr>
        <w:spacing w:before="240" w:after="0" w:line="240" w:lineRule="auto"/>
        <w:ind w:right="51"/>
        <w:rPr>
          <w:szCs w:val="24"/>
        </w:rPr>
      </w:pPr>
      <w:r w:rsidRPr="004E1BAE">
        <w:rPr>
          <w:szCs w:val="24"/>
        </w:rPr>
        <w:t xml:space="preserve">Los libros legales se encuentran </w:t>
      </w:r>
      <w:r>
        <w:rPr>
          <w:szCs w:val="24"/>
        </w:rPr>
        <w:t>desac</w:t>
      </w:r>
      <w:r w:rsidRPr="004E1BAE">
        <w:rPr>
          <w:szCs w:val="24"/>
        </w:rPr>
        <w:t xml:space="preserve">tualizados </w:t>
      </w:r>
      <w:r>
        <w:rPr>
          <w:szCs w:val="24"/>
        </w:rPr>
        <w:t>por lo que la Contabilidad Municipal se encuentra efectuando un esfuerzo para ponerlos al día tal como</w:t>
      </w:r>
      <w:r w:rsidRPr="004E1BAE">
        <w:rPr>
          <w:szCs w:val="24"/>
        </w:rPr>
        <w:t xml:space="preserve"> lo establece la normativa legal y técnica vigente.</w:t>
      </w:r>
      <w:r>
        <w:rPr>
          <w:szCs w:val="24"/>
        </w:rPr>
        <w:t xml:space="preserve"> </w:t>
      </w:r>
    </w:p>
    <w:p w14:paraId="5481682E" w14:textId="77777777" w:rsidR="00142555" w:rsidRDefault="00142555" w:rsidP="00142555">
      <w:pPr>
        <w:pStyle w:val="Prrafodelista"/>
        <w:spacing w:before="240"/>
        <w:rPr>
          <w:color w:val="000000"/>
          <w:sz w:val="22"/>
          <w:lang w:eastAsia="es-CR"/>
        </w:rPr>
      </w:pPr>
    </w:p>
    <w:p w14:paraId="07A91CA6" w14:textId="5B27E0B0" w:rsidR="00323752" w:rsidRPr="00323752" w:rsidRDefault="00A649A4" w:rsidP="00323752">
      <w:pPr>
        <w:pStyle w:val="Prrafodelista"/>
        <w:numPr>
          <w:ilvl w:val="0"/>
          <w:numId w:val="5"/>
        </w:numPr>
        <w:rPr>
          <w:color w:val="000000"/>
          <w:sz w:val="22"/>
          <w:lang w:eastAsia="es-CR"/>
        </w:rPr>
      </w:pPr>
      <w:r w:rsidRPr="007473D3">
        <w:rPr>
          <w:color w:val="000000"/>
          <w:sz w:val="22"/>
          <w:lang w:eastAsia="es-CR"/>
        </w:rPr>
        <w:t>¿</w:t>
      </w:r>
      <w:r w:rsidR="00D03594" w:rsidRPr="00D03594">
        <w:rPr>
          <w:color w:val="000000"/>
          <w:sz w:val="22"/>
          <w:lang w:eastAsia="es-CR"/>
        </w:rPr>
        <w:t xml:space="preserve"> La Entidad audita de manera externa los Estados Financieros</w:t>
      </w:r>
      <w:r w:rsidRPr="009A4467">
        <w:rPr>
          <w:color w:val="000000"/>
          <w:sz w:val="22"/>
          <w:lang w:eastAsia="es-CR"/>
        </w:rPr>
        <w:t>?</w:t>
      </w:r>
      <w:r w:rsidR="00821CA9">
        <w:fldChar w:fldCharType="begin"/>
      </w:r>
      <w:r w:rsidR="00821CA9">
        <w:instrText xml:space="preserve"> LINK </w:instrText>
      </w:r>
      <w:r w:rsidR="00323752">
        <w:instrText xml:space="preserve">Excel.SheetMacroEnabled.12 "D:\\MORAVIA\\INSUMOS\\NOTAS 2024\\Formato_Notas_EEFF_Vinculadas_2024\\XXXXX_PXX_202X_Anexo_Estado_Notas_Contables_Vinculadas.xlsm" NOTAS_PARTICULAR!F22C3:F22C4 </w:instrText>
      </w:r>
      <w:r w:rsidR="00821CA9">
        <w:instrText xml:space="preserve">\a \f 4 \h  \* MERGEFORMAT </w:instrText>
      </w:r>
      <w:r w:rsidR="00821CA9">
        <w:fldChar w:fldCharType="separate"/>
      </w:r>
    </w:p>
    <w:tbl>
      <w:tblPr>
        <w:tblW w:w="2117" w:type="dxa"/>
        <w:tblCellMar>
          <w:left w:w="70" w:type="dxa"/>
          <w:right w:w="70" w:type="dxa"/>
        </w:tblCellMar>
        <w:tblLook w:val="04A0" w:firstRow="1" w:lastRow="0" w:firstColumn="1" w:lastColumn="0" w:noHBand="0" w:noVBand="1"/>
      </w:tblPr>
      <w:tblGrid>
        <w:gridCol w:w="1550"/>
        <w:gridCol w:w="567"/>
      </w:tblGrid>
      <w:tr w:rsidR="00323752" w:rsidRPr="00323752" w14:paraId="3C154A4A" w14:textId="77777777" w:rsidTr="00323752">
        <w:trPr>
          <w:divId w:val="1602378692"/>
          <w:trHeight w:val="288"/>
        </w:trPr>
        <w:tc>
          <w:tcPr>
            <w:tcW w:w="155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1C5DD635" w14:textId="4CB2EFDF" w:rsidR="00323752" w:rsidRPr="00323752" w:rsidRDefault="00323752" w:rsidP="00323752">
            <w:pPr>
              <w:rPr>
                <w:rFonts w:eastAsia="Times New Roman" w:cs="Calibri"/>
                <w:color w:val="FFFFFF"/>
                <w:sz w:val="18"/>
                <w:szCs w:val="18"/>
                <w:lang w:eastAsia="es-CR"/>
              </w:rPr>
            </w:pPr>
            <w:r w:rsidRPr="00323752">
              <w:rPr>
                <w:rFonts w:eastAsia="Times New Roman" w:cs="Calibri"/>
                <w:color w:val="FFFFFF"/>
                <w:sz w:val="18"/>
                <w:szCs w:val="18"/>
                <w:lang w:eastAsia="es-CR"/>
              </w:rPr>
              <w:t>APLICACIÓN</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EF7982" w14:textId="6FA4111D" w:rsidR="00323752" w:rsidRPr="00323752" w:rsidRDefault="006379CB" w:rsidP="00323752">
            <w:pPr>
              <w:spacing w:after="0" w:line="240" w:lineRule="auto"/>
              <w:jc w:val="center"/>
              <w:rPr>
                <w:rFonts w:eastAsia="Times New Roman" w:cs="Calibri"/>
                <w:b/>
                <w:bCs/>
                <w:i/>
                <w:iCs/>
                <w:color w:val="000000"/>
                <w:sz w:val="18"/>
                <w:szCs w:val="18"/>
                <w:lang w:eastAsia="es-CR"/>
              </w:rPr>
            </w:pPr>
            <w:r>
              <w:rPr>
                <w:rFonts w:eastAsia="Times New Roman" w:cs="Calibri"/>
                <w:b/>
                <w:bCs/>
                <w:i/>
                <w:iCs/>
                <w:color w:val="000000"/>
                <w:sz w:val="18"/>
                <w:szCs w:val="18"/>
                <w:lang w:eastAsia="es-CR"/>
              </w:rPr>
              <w:t>NO</w:t>
            </w:r>
          </w:p>
        </w:tc>
      </w:tr>
    </w:tbl>
    <w:p w14:paraId="7EF5CFF8" w14:textId="77777777" w:rsidR="00D03594" w:rsidRDefault="00821CA9" w:rsidP="00080C49">
      <w:pPr>
        <w:spacing w:before="240"/>
        <w:rPr>
          <w:rFonts w:eastAsia="Calibri"/>
          <w:b/>
          <w:bCs/>
        </w:rPr>
      </w:pPr>
      <w:r>
        <w:rPr>
          <w:rFonts w:eastAsia="Calibri"/>
          <w:b/>
          <w:bCs/>
        </w:rPr>
        <w:fldChar w:fldCharType="end"/>
      </w:r>
      <w:r w:rsidR="00A649A4" w:rsidRPr="009A4467">
        <w:rPr>
          <w:rFonts w:eastAsia="Calibri"/>
          <w:b/>
          <w:bCs/>
        </w:rPr>
        <w:t>Revelación</w:t>
      </w:r>
    </w:p>
    <w:tbl>
      <w:tblPr>
        <w:tblW w:w="9387" w:type="dxa"/>
        <w:tblInd w:w="-10" w:type="dxa"/>
        <w:tblCellMar>
          <w:left w:w="70" w:type="dxa"/>
          <w:right w:w="70" w:type="dxa"/>
        </w:tblCellMar>
        <w:tblLook w:val="04A0" w:firstRow="1" w:lastRow="0" w:firstColumn="1" w:lastColumn="0" w:noHBand="0" w:noVBand="1"/>
      </w:tblPr>
      <w:tblGrid>
        <w:gridCol w:w="3686"/>
        <w:gridCol w:w="1900"/>
        <w:gridCol w:w="3801"/>
      </w:tblGrid>
      <w:tr w:rsidR="00D03594" w:rsidRPr="000E036F" w14:paraId="06C7E51B" w14:textId="77777777" w:rsidTr="004653E2">
        <w:trPr>
          <w:trHeight w:val="324"/>
        </w:trPr>
        <w:tc>
          <w:tcPr>
            <w:tcW w:w="9387"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0CCAAF9" w14:textId="77777777" w:rsidR="00D03594" w:rsidRPr="000E036F" w:rsidRDefault="00D03594" w:rsidP="004653E2">
            <w:pPr>
              <w:spacing w:after="0" w:line="240" w:lineRule="auto"/>
              <w:jc w:val="center"/>
              <w:rPr>
                <w:rFonts w:eastAsia="Times New Roman" w:cs="Calibri"/>
                <w:color w:val="000000"/>
                <w:szCs w:val="24"/>
                <w:lang w:eastAsia="es-CR"/>
              </w:rPr>
            </w:pPr>
            <w:r w:rsidRPr="000E036F">
              <w:rPr>
                <w:rFonts w:eastAsia="Times New Roman" w:cs="Calibri"/>
                <w:color w:val="000000"/>
                <w:szCs w:val="24"/>
                <w:lang w:eastAsia="es-CR"/>
              </w:rPr>
              <w:t>Indique los últimos periodos contables en donde se auditaron Estados Financieros:</w:t>
            </w:r>
          </w:p>
        </w:tc>
      </w:tr>
      <w:tr w:rsidR="00D03594" w:rsidRPr="000E036F" w14:paraId="6CCE0952" w14:textId="77777777" w:rsidTr="004653E2">
        <w:trPr>
          <w:trHeight w:val="552"/>
        </w:trPr>
        <w:tc>
          <w:tcPr>
            <w:tcW w:w="3686" w:type="dxa"/>
            <w:tcBorders>
              <w:top w:val="nil"/>
              <w:left w:val="single" w:sz="8" w:space="0" w:color="auto"/>
              <w:bottom w:val="single" w:sz="8" w:space="0" w:color="auto"/>
              <w:right w:val="single" w:sz="8" w:space="0" w:color="000000"/>
            </w:tcBorders>
            <w:shd w:val="clear" w:color="000000" w:fill="1F3864"/>
            <w:noWrap/>
            <w:vAlign w:val="center"/>
            <w:hideMark/>
          </w:tcPr>
          <w:p w14:paraId="3DACFDB2" w14:textId="77777777" w:rsidR="00D03594" w:rsidRPr="000E036F" w:rsidRDefault="00D03594" w:rsidP="004653E2">
            <w:pPr>
              <w:spacing w:after="0" w:line="240" w:lineRule="auto"/>
              <w:jc w:val="center"/>
              <w:rPr>
                <w:rFonts w:eastAsia="Times New Roman" w:cs="Calibri"/>
                <w:color w:val="FFFFFF"/>
                <w:szCs w:val="24"/>
                <w:lang w:eastAsia="es-CR"/>
              </w:rPr>
            </w:pPr>
            <w:r w:rsidRPr="000E036F">
              <w:rPr>
                <w:rFonts w:eastAsia="Times New Roman" w:cs="Calibri"/>
                <w:color w:val="FFFFFF"/>
                <w:szCs w:val="24"/>
                <w:lang w:eastAsia="es-CR"/>
              </w:rPr>
              <w:t>Principales Hallazgos:</w:t>
            </w:r>
          </w:p>
        </w:tc>
        <w:tc>
          <w:tcPr>
            <w:tcW w:w="1900" w:type="dxa"/>
            <w:tcBorders>
              <w:top w:val="nil"/>
              <w:left w:val="nil"/>
              <w:bottom w:val="single" w:sz="8" w:space="0" w:color="auto"/>
              <w:right w:val="single" w:sz="8" w:space="0" w:color="auto"/>
            </w:tcBorders>
            <w:shd w:val="clear" w:color="000000" w:fill="1F3864"/>
            <w:vAlign w:val="center"/>
            <w:hideMark/>
          </w:tcPr>
          <w:p w14:paraId="308D7B0B" w14:textId="77777777" w:rsidR="00D03594" w:rsidRPr="000E036F" w:rsidRDefault="00D03594" w:rsidP="004653E2">
            <w:pPr>
              <w:spacing w:after="0" w:line="240" w:lineRule="auto"/>
              <w:jc w:val="center"/>
              <w:rPr>
                <w:rFonts w:eastAsia="Times New Roman" w:cs="Calibri"/>
                <w:color w:val="FFFFFF"/>
                <w:szCs w:val="24"/>
                <w:lang w:eastAsia="es-CR"/>
              </w:rPr>
            </w:pPr>
            <w:r w:rsidRPr="000E036F">
              <w:rPr>
                <w:rFonts w:eastAsia="Times New Roman" w:cs="Calibri"/>
                <w:color w:val="FFFFFF"/>
                <w:szCs w:val="24"/>
                <w:lang w:eastAsia="es-CR"/>
              </w:rPr>
              <w:t>Período Contable</w:t>
            </w:r>
          </w:p>
        </w:tc>
        <w:tc>
          <w:tcPr>
            <w:tcW w:w="3800" w:type="dxa"/>
            <w:tcBorders>
              <w:top w:val="single" w:sz="8" w:space="0" w:color="auto"/>
              <w:left w:val="nil"/>
              <w:bottom w:val="single" w:sz="8" w:space="0" w:color="auto"/>
              <w:right w:val="single" w:sz="8" w:space="0" w:color="000000"/>
            </w:tcBorders>
            <w:shd w:val="clear" w:color="000000" w:fill="1F3864"/>
            <w:vAlign w:val="center"/>
            <w:hideMark/>
          </w:tcPr>
          <w:p w14:paraId="3EB6259F" w14:textId="77777777" w:rsidR="00D03594" w:rsidRPr="000E036F" w:rsidRDefault="00D03594" w:rsidP="004653E2">
            <w:pPr>
              <w:spacing w:after="0" w:line="240" w:lineRule="auto"/>
              <w:jc w:val="center"/>
              <w:rPr>
                <w:rFonts w:eastAsia="Times New Roman" w:cs="Calibri"/>
                <w:color w:val="FFFFFF"/>
                <w:szCs w:val="24"/>
                <w:lang w:eastAsia="es-CR"/>
              </w:rPr>
            </w:pPr>
            <w:r w:rsidRPr="000E036F">
              <w:rPr>
                <w:rFonts w:eastAsia="Times New Roman" w:cs="Calibri"/>
                <w:color w:val="FFFFFF"/>
                <w:szCs w:val="24"/>
                <w:lang w:eastAsia="es-CR"/>
              </w:rPr>
              <w:t>Se hicieron ajustes a los EEFF (Indique sí o no)</w:t>
            </w:r>
          </w:p>
        </w:tc>
      </w:tr>
      <w:tr w:rsidR="00D03594" w:rsidRPr="000E036F" w14:paraId="7549278F" w14:textId="77777777" w:rsidTr="004653E2">
        <w:trPr>
          <w:trHeight w:val="324"/>
        </w:trPr>
        <w:tc>
          <w:tcPr>
            <w:tcW w:w="3686" w:type="dxa"/>
            <w:tcBorders>
              <w:top w:val="nil"/>
              <w:left w:val="single" w:sz="8" w:space="0" w:color="auto"/>
              <w:bottom w:val="single" w:sz="8" w:space="0" w:color="auto"/>
              <w:right w:val="single" w:sz="8" w:space="0" w:color="000000"/>
            </w:tcBorders>
            <w:shd w:val="clear" w:color="auto" w:fill="auto"/>
            <w:noWrap/>
            <w:vAlign w:val="center"/>
            <w:hideMark/>
          </w:tcPr>
          <w:p w14:paraId="37487059" w14:textId="77777777" w:rsidR="00D03594" w:rsidRPr="000E036F" w:rsidRDefault="00D03594" w:rsidP="004653E2">
            <w:pPr>
              <w:spacing w:after="0" w:line="240" w:lineRule="auto"/>
              <w:jc w:val="center"/>
              <w:rPr>
                <w:rFonts w:eastAsia="Times New Roman" w:cs="Calibri"/>
                <w:color w:val="000000"/>
                <w:szCs w:val="24"/>
                <w:lang w:eastAsia="es-CR"/>
              </w:rPr>
            </w:pPr>
            <w:r w:rsidRPr="000E036F">
              <w:rPr>
                <w:rFonts w:eastAsia="Times New Roman" w:cs="Calibri"/>
                <w:color w:val="000000"/>
                <w:szCs w:val="24"/>
                <w:lang w:eastAsia="es-CR"/>
              </w:rPr>
              <w:t>AÑO 1</w:t>
            </w:r>
          </w:p>
        </w:tc>
        <w:tc>
          <w:tcPr>
            <w:tcW w:w="1900" w:type="dxa"/>
            <w:tcBorders>
              <w:top w:val="nil"/>
              <w:left w:val="nil"/>
              <w:bottom w:val="single" w:sz="8" w:space="0" w:color="auto"/>
              <w:right w:val="single" w:sz="8" w:space="0" w:color="auto"/>
            </w:tcBorders>
            <w:shd w:val="clear" w:color="auto" w:fill="auto"/>
            <w:vAlign w:val="center"/>
            <w:hideMark/>
          </w:tcPr>
          <w:p w14:paraId="710ACCFD" w14:textId="77777777" w:rsidR="00D03594" w:rsidRPr="000E036F" w:rsidRDefault="00D03594" w:rsidP="004653E2">
            <w:pPr>
              <w:spacing w:after="0" w:line="240" w:lineRule="auto"/>
              <w:jc w:val="left"/>
              <w:rPr>
                <w:rFonts w:ascii="Calibri" w:eastAsia="Times New Roman" w:hAnsi="Calibri" w:cs="Calibri"/>
                <w:color w:val="000000"/>
                <w:sz w:val="22"/>
                <w:lang w:eastAsia="es-CR"/>
              </w:rPr>
            </w:pPr>
            <w:r w:rsidRPr="000E036F">
              <w:rPr>
                <w:rFonts w:ascii="Calibri" w:eastAsia="Times New Roman" w:hAnsi="Calibri" w:cs="Calibri"/>
                <w:color w:val="000000"/>
                <w:sz w:val="22"/>
                <w:lang w:eastAsia="es-CR"/>
              </w:rPr>
              <w:t> </w:t>
            </w:r>
          </w:p>
        </w:tc>
        <w:tc>
          <w:tcPr>
            <w:tcW w:w="3800" w:type="dxa"/>
            <w:tcBorders>
              <w:top w:val="single" w:sz="8" w:space="0" w:color="auto"/>
              <w:left w:val="nil"/>
              <w:bottom w:val="single" w:sz="8" w:space="0" w:color="auto"/>
              <w:right w:val="single" w:sz="8" w:space="0" w:color="000000"/>
            </w:tcBorders>
            <w:shd w:val="clear" w:color="auto" w:fill="auto"/>
            <w:vAlign w:val="center"/>
            <w:hideMark/>
          </w:tcPr>
          <w:p w14:paraId="4666EAC3" w14:textId="77777777" w:rsidR="00D03594" w:rsidRPr="000E036F" w:rsidRDefault="00D03594" w:rsidP="004653E2">
            <w:pPr>
              <w:spacing w:after="0" w:line="240" w:lineRule="auto"/>
              <w:jc w:val="left"/>
              <w:rPr>
                <w:rFonts w:ascii="Calibri" w:eastAsia="Times New Roman" w:hAnsi="Calibri" w:cs="Calibri"/>
                <w:color w:val="000000"/>
                <w:sz w:val="22"/>
                <w:lang w:eastAsia="es-CR"/>
              </w:rPr>
            </w:pPr>
            <w:r w:rsidRPr="000E036F">
              <w:rPr>
                <w:rFonts w:ascii="Calibri" w:eastAsia="Times New Roman" w:hAnsi="Calibri" w:cs="Calibri"/>
                <w:color w:val="000000"/>
                <w:sz w:val="22"/>
                <w:lang w:eastAsia="es-CR"/>
              </w:rPr>
              <w:t> </w:t>
            </w:r>
          </w:p>
        </w:tc>
      </w:tr>
      <w:tr w:rsidR="00D03594" w:rsidRPr="000E036F" w14:paraId="67F10785" w14:textId="77777777" w:rsidTr="004653E2">
        <w:trPr>
          <w:trHeight w:val="324"/>
        </w:trPr>
        <w:tc>
          <w:tcPr>
            <w:tcW w:w="3686" w:type="dxa"/>
            <w:tcBorders>
              <w:top w:val="nil"/>
              <w:left w:val="single" w:sz="8" w:space="0" w:color="auto"/>
              <w:bottom w:val="single" w:sz="8" w:space="0" w:color="auto"/>
              <w:right w:val="single" w:sz="8" w:space="0" w:color="000000"/>
            </w:tcBorders>
            <w:shd w:val="clear" w:color="auto" w:fill="auto"/>
            <w:noWrap/>
            <w:vAlign w:val="center"/>
            <w:hideMark/>
          </w:tcPr>
          <w:p w14:paraId="127F884C" w14:textId="77777777" w:rsidR="00D03594" w:rsidRPr="000E036F" w:rsidRDefault="00D03594" w:rsidP="004653E2">
            <w:pPr>
              <w:spacing w:after="0" w:line="240" w:lineRule="auto"/>
              <w:jc w:val="center"/>
              <w:rPr>
                <w:rFonts w:eastAsia="Times New Roman" w:cs="Calibri"/>
                <w:color w:val="000000"/>
                <w:szCs w:val="24"/>
                <w:lang w:eastAsia="es-CR"/>
              </w:rPr>
            </w:pPr>
            <w:r w:rsidRPr="000E036F">
              <w:rPr>
                <w:rFonts w:eastAsia="Times New Roman" w:cs="Calibri"/>
                <w:color w:val="000000"/>
                <w:szCs w:val="24"/>
                <w:lang w:eastAsia="es-CR"/>
              </w:rPr>
              <w:t>AÑO 2</w:t>
            </w:r>
          </w:p>
        </w:tc>
        <w:tc>
          <w:tcPr>
            <w:tcW w:w="1900" w:type="dxa"/>
            <w:tcBorders>
              <w:top w:val="nil"/>
              <w:left w:val="nil"/>
              <w:bottom w:val="single" w:sz="8" w:space="0" w:color="auto"/>
              <w:right w:val="single" w:sz="8" w:space="0" w:color="auto"/>
            </w:tcBorders>
            <w:shd w:val="clear" w:color="auto" w:fill="auto"/>
            <w:vAlign w:val="center"/>
            <w:hideMark/>
          </w:tcPr>
          <w:p w14:paraId="419C7C17" w14:textId="77777777" w:rsidR="00D03594" w:rsidRPr="000E036F" w:rsidRDefault="00D03594" w:rsidP="004653E2">
            <w:pPr>
              <w:spacing w:after="0" w:line="240" w:lineRule="auto"/>
              <w:jc w:val="left"/>
              <w:rPr>
                <w:rFonts w:ascii="Calibri" w:eastAsia="Times New Roman" w:hAnsi="Calibri" w:cs="Calibri"/>
                <w:color w:val="000000"/>
                <w:sz w:val="22"/>
                <w:lang w:eastAsia="es-CR"/>
              </w:rPr>
            </w:pPr>
            <w:r w:rsidRPr="000E036F">
              <w:rPr>
                <w:rFonts w:ascii="Calibri" w:eastAsia="Times New Roman" w:hAnsi="Calibri" w:cs="Calibri"/>
                <w:color w:val="000000"/>
                <w:sz w:val="22"/>
                <w:lang w:eastAsia="es-CR"/>
              </w:rPr>
              <w:t> </w:t>
            </w:r>
          </w:p>
        </w:tc>
        <w:tc>
          <w:tcPr>
            <w:tcW w:w="3800" w:type="dxa"/>
            <w:tcBorders>
              <w:top w:val="single" w:sz="8" w:space="0" w:color="auto"/>
              <w:left w:val="nil"/>
              <w:bottom w:val="single" w:sz="8" w:space="0" w:color="auto"/>
              <w:right w:val="single" w:sz="8" w:space="0" w:color="000000"/>
            </w:tcBorders>
            <w:shd w:val="clear" w:color="auto" w:fill="auto"/>
            <w:vAlign w:val="center"/>
            <w:hideMark/>
          </w:tcPr>
          <w:p w14:paraId="2B5145D7" w14:textId="77777777" w:rsidR="00D03594" w:rsidRPr="000E036F" w:rsidRDefault="00D03594" w:rsidP="004653E2">
            <w:pPr>
              <w:spacing w:after="0" w:line="240" w:lineRule="auto"/>
              <w:jc w:val="left"/>
              <w:rPr>
                <w:rFonts w:ascii="Calibri" w:eastAsia="Times New Roman" w:hAnsi="Calibri" w:cs="Calibri"/>
                <w:color w:val="000000"/>
                <w:sz w:val="22"/>
                <w:lang w:eastAsia="es-CR"/>
              </w:rPr>
            </w:pPr>
            <w:r w:rsidRPr="000E036F">
              <w:rPr>
                <w:rFonts w:ascii="Calibri" w:eastAsia="Times New Roman" w:hAnsi="Calibri" w:cs="Calibri"/>
                <w:color w:val="000000"/>
                <w:sz w:val="22"/>
                <w:lang w:eastAsia="es-CR"/>
              </w:rPr>
              <w:t> </w:t>
            </w:r>
          </w:p>
        </w:tc>
      </w:tr>
      <w:tr w:rsidR="00D03594" w:rsidRPr="000E036F" w14:paraId="0E8D4B38" w14:textId="77777777" w:rsidTr="004653E2">
        <w:trPr>
          <w:trHeight w:val="324"/>
        </w:trPr>
        <w:tc>
          <w:tcPr>
            <w:tcW w:w="3686" w:type="dxa"/>
            <w:tcBorders>
              <w:top w:val="nil"/>
              <w:left w:val="single" w:sz="8" w:space="0" w:color="auto"/>
              <w:bottom w:val="single" w:sz="8" w:space="0" w:color="auto"/>
              <w:right w:val="single" w:sz="8" w:space="0" w:color="000000"/>
            </w:tcBorders>
            <w:shd w:val="clear" w:color="auto" w:fill="auto"/>
            <w:noWrap/>
            <w:vAlign w:val="center"/>
            <w:hideMark/>
          </w:tcPr>
          <w:p w14:paraId="24BA5EEC" w14:textId="77777777" w:rsidR="00D03594" w:rsidRPr="000E036F" w:rsidRDefault="00D03594" w:rsidP="004653E2">
            <w:pPr>
              <w:spacing w:after="0" w:line="240" w:lineRule="auto"/>
              <w:jc w:val="center"/>
              <w:rPr>
                <w:rFonts w:eastAsia="Times New Roman" w:cs="Calibri"/>
                <w:color w:val="000000"/>
                <w:szCs w:val="24"/>
                <w:lang w:eastAsia="es-CR"/>
              </w:rPr>
            </w:pPr>
            <w:r w:rsidRPr="000E036F">
              <w:rPr>
                <w:rFonts w:eastAsia="Times New Roman" w:cs="Calibri"/>
                <w:color w:val="000000"/>
                <w:szCs w:val="24"/>
                <w:lang w:eastAsia="es-CR"/>
              </w:rPr>
              <w:t>AÑO 3</w:t>
            </w:r>
          </w:p>
        </w:tc>
        <w:tc>
          <w:tcPr>
            <w:tcW w:w="1900" w:type="dxa"/>
            <w:tcBorders>
              <w:top w:val="nil"/>
              <w:left w:val="nil"/>
              <w:bottom w:val="single" w:sz="8" w:space="0" w:color="auto"/>
              <w:right w:val="single" w:sz="8" w:space="0" w:color="auto"/>
            </w:tcBorders>
            <w:shd w:val="clear" w:color="auto" w:fill="auto"/>
            <w:vAlign w:val="center"/>
            <w:hideMark/>
          </w:tcPr>
          <w:p w14:paraId="1CD842E7" w14:textId="77777777" w:rsidR="00D03594" w:rsidRPr="000E036F" w:rsidRDefault="00D03594" w:rsidP="004653E2">
            <w:pPr>
              <w:spacing w:after="0" w:line="240" w:lineRule="auto"/>
              <w:jc w:val="left"/>
              <w:rPr>
                <w:rFonts w:ascii="Calibri" w:eastAsia="Times New Roman" w:hAnsi="Calibri" w:cs="Calibri"/>
                <w:color w:val="000000"/>
                <w:sz w:val="22"/>
                <w:lang w:eastAsia="es-CR"/>
              </w:rPr>
            </w:pPr>
            <w:r w:rsidRPr="000E036F">
              <w:rPr>
                <w:rFonts w:ascii="Calibri" w:eastAsia="Times New Roman" w:hAnsi="Calibri" w:cs="Calibri"/>
                <w:color w:val="000000"/>
                <w:sz w:val="22"/>
                <w:lang w:eastAsia="es-CR"/>
              </w:rPr>
              <w:t> </w:t>
            </w:r>
          </w:p>
        </w:tc>
        <w:tc>
          <w:tcPr>
            <w:tcW w:w="3800" w:type="dxa"/>
            <w:tcBorders>
              <w:top w:val="single" w:sz="8" w:space="0" w:color="auto"/>
              <w:left w:val="nil"/>
              <w:bottom w:val="single" w:sz="8" w:space="0" w:color="auto"/>
              <w:right w:val="single" w:sz="8" w:space="0" w:color="000000"/>
            </w:tcBorders>
            <w:shd w:val="clear" w:color="auto" w:fill="auto"/>
            <w:vAlign w:val="center"/>
            <w:hideMark/>
          </w:tcPr>
          <w:p w14:paraId="2F8B501E" w14:textId="77777777" w:rsidR="00D03594" w:rsidRPr="000E036F" w:rsidRDefault="00D03594" w:rsidP="004653E2">
            <w:pPr>
              <w:spacing w:after="0" w:line="240" w:lineRule="auto"/>
              <w:jc w:val="left"/>
              <w:rPr>
                <w:rFonts w:ascii="Calibri" w:eastAsia="Times New Roman" w:hAnsi="Calibri" w:cs="Calibri"/>
                <w:color w:val="000000"/>
                <w:sz w:val="22"/>
                <w:lang w:eastAsia="es-CR"/>
              </w:rPr>
            </w:pPr>
            <w:r w:rsidRPr="000E036F">
              <w:rPr>
                <w:rFonts w:ascii="Calibri" w:eastAsia="Times New Roman" w:hAnsi="Calibri" w:cs="Calibri"/>
                <w:color w:val="000000"/>
                <w:sz w:val="22"/>
                <w:lang w:eastAsia="es-CR"/>
              </w:rPr>
              <w:t> </w:t>
            </w:r>
          </w:p>
        </w:tc>
      </w:tr>
      <w:tr w:rsidR="00D03594" w:rsidRPr="000E036F" w14:paraId="617F649D" w14:textId="77777777" w:rsidTr="004653E2">
        <w:trPr>
          <w:trHeight w:val="324"/>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5D8B5F49" w14:textId="77777777" w:rsidR="00D03594" w:rsidRPr="000E036F" w:rsidRDefault="00D03594" w:rsidP="004653E2">
            <w:pPr>
              <w:spacing w:after="0" w:line="240" w:lineRule="auto"/>
              <w:jc w:val="center"/>
              <w:rPr>
                <w:rFonts w:eastAsia="Times New Roman" w:cs="Calibri"/>
                <w:color w:val="000000"/>
                <w:szCs w:val="24"/>
                <w:lang w:eastAsia="es-CR"/>
              </w:rPr>
            </w:pPr>
            <w:r w:rsidRPr="000E036F">
              <w:rPr>
                <w:rFonts w:eastAsia="Times New Roman" w:cs="Calibri"/>
                <w:color w:val="000000"/>
                <w:szCs w:val="24"/>
                <w:lang w:eastAsia="es-CR"/>
              </w:rPr>
              <w:t>AÑO 4</w:t>
            </w:r>
          </w:p>
        </w:tc>
        <w:tc>
          <w:tcPr>
            <w:tcW w:w="1900" w:type="dxa"/>
            <w:tcBorders>
              <w:top w:val="nil"/>
              <w:left w:val="nil"/>
              <w:bottom w:val="single" w:sz="8" w:space="0" w:color="auto"/>
              <w:right w:val="single" w:sz="8" w:space="0" w:color="auto"/>
            </w:tcBorders>
            <w:shd w:val="clear" w:color="auto" w:fill="auto"/>
            <w:vAlign w:val="center"/>
            <w:hideMark/>
          </w:tcPr>
          <w:p w14:paraId="46D35959" w14:textId="77777777" w:rsidR="00D03594" w:rsidRPr="000E036F" w:rsidRDefault="00D03594" w:rsidP="004653E2">
            <w:pPr>
              <w:spacing w:after="0" w:line="240" w:lineRule="auto"/>
              <w:jc w:val="left"/>
              <w:rPr>
                <w:rFonts w:ascii="Calibri" w:eastAsia="Times New Roman" w:hAnsi="Calibri" w:cs="Calibri"/>
                <w:color w:val="000000"/>
                <w:sz w:val="22"/>
                <w:lang w:eastAsia="es-CR"/>
              </w:rPr>
            </w:pPr>
            <w:r w:rsidRPr="000E036F">
              <w:rPr>
                <w:rFonts w:ascii="Calibri" w:eastAsia="Times New Roman" w:hAnsi="Calibri" w:cs="Calibri"/>
                <w:color w:val="000000"/>
                <w:sz w:val="22"/>
                <w:lang w:eastAsia="es-CR"/>
              </w:rPr>
              <w:t> </w:t>
            </w:r>
          </w:p>
        </w:tc>
        <w:tc>
          <w:tcPr>
            <w:tcW w:w="3800" w:type="dxa"/>
            <w:tcBorders>
              <w:top w:val="single" w:sz="8" w:space="0" w:color="auto"/>
              <w:left w:val="nil"/>
              <w:bottom w:val="single" w:sz="8" w:space="0" w:color="auto"/>
              <w:right w:val="single" w:sz="8" w:space="0" w:color="000000"/>
            </w:tcBorders>
            <w:shd w:val="clear" w:color="auto" w:fill="auto"/>
            <w:vAlign w:val="center"/>
            <w:hideMark/>
          </w:tcPr>
          <w:p w14:paraId="35177F67" w14:textId="77777777" w:rsidR="00D03594" w:rsidRPr="000E036F" w:rsidRDefault="00D03594" w:rsidP="004653E2">
            <w:pPr>
              <w:spacing w:after="0" w:line="240" w:lineRule="auto"/>
              <w:jc w:val="left"/>
              <w:rPr>
                <w:rFonts w:ascii="Calibri" w:eastAsia="Times New Roman" w:hAnsi="Calibri" w:cs="Calibri"/>
                <w:color w:val="000000"/>
                <w:sz w:val="22"/>
                <w:lang w:eastAsia="es-CR"/>
              </w:rPr>
            </w:pPr>
            <w:r w:rsidRPr="000E036F">
              <w:rPr>
                <w:rFonts w:ascii="Calibri" w:eastAsia="Times New Roman" w:hAnsi="Calibri" w:cs="Calibri"/>
                <w:color w:val="000000"/>
                <w:sz w:val="22"/>
                <w:lang w:eastAsia="es-CR"/>
              </w:rPr>
              <w:t> </w:t>
            </w:r>
          </w:p>
        </w:tc>
      </w:tr>
      <w:tr w:rsidR="00D03594" w:rsidRPr="000E036F" w14:paraId="33174ED1" w14:textId="77777777" w:rsidTr="004653E2">
        <w:trPr>
          <w:trHeight w:val="324"/>
        </w:trPr>
        <w:tc>
          <w:tcPr>
            <w:tcW w:w="3686" w:type="dxa"/>
            <w:tcBorders>
              <w:top w:val="nil"/>
              <w:left w:val="single" w:sz="8" w:space="0" w:color="auto"/>
              <w:bottom w:val="single" w:sz="8" w:space="0" w:color="auto"/>
              <w:right w:val="single" w:sz="8" w:space="0" w:color="000000"/>
            </w:tcBorders>
            <w:shd w:val="clear" w:color="auto" w:fill="auto"/>
            <w:noWrap/>
            <w:vAlign w:val="center"/>
            <w:hideMark/>
          </w:tcPr>
          <w:p w14:paraId="6F43BED6" w14:textId="77777777" w:rsidR="00D03594" w:rsidRPr="000E036F" w:rsidRDefault="00D03594" w:rsidP="004653E2">
            <w:pPr>
              <w:spacing w:after="0" w:line="240" w:lineRule="auto"/>
              <w:jc w:val="center"/>
              <w:rPr>
                <w:rFonts w:eastAsia="Times New Roman" w:cs="Calibri"/>
                <w:color w:val="000000"/>
                <w:szCs w:val="24"/>
                <w:lang w:eastAsia="es-CR"/>
              </w:rPr>
            </w:pPr>
            <w:r w:rsidRPr="000E036F">
              <w:rPr>
                <w:rFonts w:eastAsia="Times New Roman" w:cs="Calibri"/>
                <w:color w:val="000000"/>
                <w:szCs w:val="24"/>
                <w:lang w:eastAsia="es-CR"/>
              </w:rPr>
              <w:t>AÑO 5</w:t>
            </w:r>
          </w:p>
        </w:tc>
        <w:tc>
          <w:tcPr>
            <w:tcW w:w="1900" w:type="dxa"/>
            <w:tcBorders>
              <w:top w:val="nil"/>
              <w:left w:val="nil"/>
              <w:bottom w:val="single" w:sz="8" w:space="0" w:color="auto"/>
              <w:right w:val="single" w:sz="8" w:space="0" w:color="auto"/>
            </w:tcBorders>
            <w:shd w:val="clear" w:color="auto" w:fill="auto"/>
            <w:vAlign w:val="center"/>
            <w:hideMark/>
          </w:tcPr>
          <w:p w14:paraId="14FD15D9" w14:textId="77777777" w:rsidR="00D03594" w:rsidRPr="000E036F" w:rsidRDefault="00D03594" w:rsidP="004653E2">
            <w:pPr>
              <w:spacing w:after="0" w:line="240" w:lineRule="auto"/>
              <w:jc w:val="center"/>
              <w:rPr>
                <w:rFonts w:eastAsia="Times New Roman" w:cs="Calibri"/>
                <w:color w:val="000000"/>
                <w:szCs w:val="24"/>
                <w:lang w:eastAsia="es-CR"/>
              </w:rPr>
            </w:pPr>
            <w:r w:rsidRPr="000E036F">
              <w:rPr>
                <w:rFonts w:eastAsia="Times New Roman" w:cs="Calibri"/>
                <w:color w:val="000000"/>
                <w:szCs w:val="24"/>
                <w:lang w:eastAsia="es-CR"/>
              </w:rPr>
              <w:t> </w:t>
            </w:r>
          </w:p>
        </w:tc>
        <w:tc>
          <w:tcPr>
            <w:tcW w:w="3800" w:type="dxa"/>
            <w:tcBorders>
              <w:top w:val="single" w:sz="8" w:space="0" w:color="auto"/>
              <w:left w:val="nil"/>
              <w:bottom w:val="single" w:sz="8" w:space="0" w:color="auto"/>
              <w:right w:val="single" w:sz="8" w:space="0" w:color="000000"/>
            </w:tcBorders>
            <w:shd w:val="clear" w:color="auto" w:fill="auto"/>
            <w:vAlign w:val="center"/>
            <w:hideMark/>
          </w:tcPr>
          <w:p w14:paraId="4C3BF448" w14:textId="77777777" w:rsidR="00D03594" w:rsidRPr="000E036F" w:rsidRDefault="00D03594" w:rsidP="004653E2">
            <w:pPr>
              <w:spacing w:after="0" w:line="240" w:lineRule="auto"/>
              <w:jc w:val="center"/>
              <w:rPr>
                <w:rFonts w:eastAsia="Times New Roman" w:cs="Calibri"/>
                <w:color w:val="000000"/>
                <w:szCs w:val="24"/>
                <w:lang w:eastAsia="es-CR"/>
              </w:rPr>
            </w:pPr>
            <w:r w:rsidRPr="000E036F">
              <w:rPr>
                <w:rFonts w:eastAsia="Times New Roman" w:cs="Calibri"/>
                <w:color w:val="000000"/>
                <w:szCs w:val="24"/>
                <w:lang w:eastAsia="es-CR"/>
              </w:rPr>
              <w:t> </w:t>
            </w:r>
          </w:p>
        </w:tc>
      </w:tr>
    </w:tbl>
    <w:p w14:paraId="2037678B" w14:textId="77777777" w:rsidR="00D03594" w:rsidRDefault="00D03594" w:rsidP="00D03594">
      <w:pPr>
        <w:rPr>
          <w:sz w:val="22"/>
          <w:lang w:eastAsia="es-CR"/>
        </w:rPr>
      </w:pPr>
    </w:p>
    <w:p w14:paraId="088BFB25" w14:textId="77777777" w:rsidR="00D03594" w:rsidRDefault="00D03594" w:rsidP="00D03594">
      <w:pPr>
        <w:spacing w:after="0" w:line="240" w:lineRule="auto"/>
      </w:pPr>
      <w:r w:rsidRPr="004D3EFA">
        <w:t>Reiterar, que la Municipalidad de Buenos Aires se encuentra en el periodo de transición en el cumplimiento de las NICSP de forma tal que, se debe concluir la implementación de este marco normativo, para posteriormente proceder a contratar una auditoría externa de los estados financieros conforme lo establece la normativa técnica y legal aplicable.</w:t>
      </w:r>
    </w:p>
    <w:p w14:paraId="7D2E5E07" w14:textId="77777777" w:rsidR="00D03594" w:rsidRPr="004D3EFA" w:rsidRDefault="00D03594" w:rsidP="00D03594">
      <w:pPr>
        <w:spacing w:after="0" w:line="240" w:lineRule="auto"/>
      </w:pPr>
    </w:p>
    <w:p w14:paraId="76DA3D75" w14:textId="77777777" w:rsidR="00D03594" w:rsidRDefault="00D03594" w:rsidP="00D03594">
      <w:pPr>
        <w:spacing w:after="0" w:line="240" w:lineRule="auto"/>
      </w:pPr>
      <w:r w:rsidRPr="004D3EFA">
        <w:t xml:space="preserve">En complemento a los anterior, se debe señalar que el proceso de implementación que lleva a cabo la Municipalidad fue objeto de auditoría en el año 2019 por parte de la Contraloría General de la República y producto de esa auditoría ese órgano contralor emitió el informe Nº </w:t>
      </w:r>
      <w:r w:rsidRPr="004E1BAE">
        <w:t xml:space="preserve">Nº DFOE-DL-IF-00006-2019, el cual contiene </w:t>
      </w:r>
      <w:r w:rsidRPr="004D3EFA">
        <w:t>varias disposiciones dirigidas al señor Alcalde Municipal, las cuales ya fueron cumplidas.</w:t>
      </w:r>
    </w:p>
    <w:p w14:paraId="2D74A8B7" w14:textId="77777777" w:rsidR="00D03594" w:rsidRPr="004D3EFA" w:rsidRDefault="00D03594" w:rsidP="00D03594">
      <w:pPr>
        <w:spacing w:after="0" w:line="240" w:lineRule="auto"/>
      </w:pPr>
    </w:p>
    <w:p w14:paraId="6F794E04" w14:textId="77777777" w:rsidR="00D03594" w:rsidRDefault="00D03594" w:rsidP="00D03594">
      <w:pPr>
        <w:spacing w:after="0" w:line="240" w:lineRule="auto"/>
      </w:pPr>
      <w:r w:rsidRPr="004D3EFA">
        <w:t xml:space="preserve">Además, en el año 2021 la Auditoría interna de la Municipalidad llevó a cabo una auditoría de Carácter Especial y como resultado de esta, emitió </w:t>
      </w:r>
      <w:r w:rsidRPr="004E1BAE">
        <w:t xml:space="preserve">el informe </w:t>
      </w:r>
      <w:r w:rsidRPr="004D3EFA">
        <w:t>AI/MBA/199-2021, que contenía varias observaciones y recomendaciones al señor Alcalde Municipal sobre aspectos susceptibles de mejora en los cuales la Administración se encuentra trabajando.</w:t>
      </w:r>
    </w:p>
    <w:p w14:paraId="1BB2F1FB" w14:textId="77777777" w:rsidR="00D03594" w:rsidRPr="004D3EFA" w:rsidRDefault="00D03594" w:rsidP="00D03594">
      <w:pPr>
        <w:spacing w:after="0" w:line="240" w:lineRule="auto"/>
      </w:pPr>
    </w:p>
    <w:p w14:paraId="3AF9EDD8" w14:textId="77777777" w:rsidR="00D03594" w:rsidRPr="004D3EFA" w:rsidRDefault="00D03594" w:rsidP="00D03594">
      <w:pPr>
        <w:spacing w:after="0" w:line="240" w:lineRule="auto"/>
      </w:pPr>
      <w:r w:rsidRPr="004D3EFA">
        <w:t>Ver nota complementaria en la que se detalla lo concerniente a los estudios de auditoría que han realizado sobre el proceso de implementación por parte de la Auditoría Interna y la Contraloría General de la República Oficio AMBA-444-2022 del 14 de setiembre de 2022 sobre informe de la CGR. Ver al respecto anexo adjunto a estas notas en nota complementaria.</w:t>
      </w:r>
    </w:p>
    <w:p w14:paraId="089F3B84" w14:textId="77777777" w:rsidR="00D03594" w:rsidRDefault="00D03594" w:rsidP="00D03594">
      <w:pPr>
        <w:spacing w:before="240" w:line="240" w:lineRule="auto"/>
        <w:rPr>
          <w:rFonts w:eastAsia="Calibri"/>
          <w:b/>
          <w:bCs/>
        </w:rPr>
      </w:pPr>
    </w:p>
    <w:p w14:paraId="5A4FAF2A" w14:textId="77777777" w:rsidR="00976677" w:rsidRDefault="00A649A4">
      <w:pPr>
        <w:pStyle w:val="Prrafodelista"/>
        <w:numPr>
          <w:ilvl w:val="0"/>
          <w:numId w:val="5"/>
        </w:numPr>
        <w:rPr>
          <w:color w:val="000000"/>
          <w:sz w:val="22"/>
          <w:lang w:eastAsia="es-CR"/>
        </w:rPr>
      </w:pPr>
      <w:r w:rsidRPr="00080C49">
        <w:rPr>
          <w:color w:val="000000"/>
          <w:sz w:val="22"/>
          <w:lang w:eastAsia="es-CR"/>
        </w:rPr>
        <w:t xml:space="preserve">¿Incluye Informes de Auditorias y CGR? </w:t>
      </w:r>
    </w:p>
    <w:p w14:paraId="16473C4D" w14:textId="77777777" w:rsidR="00323752" w:rsidRDefault="007473D3" w:rsidP="006379CB">
      <w:pPr>
        <w:spacing w:after="0" w:line="240" w:lineRule="auto"/>
        <w:rPr>
          <w:rFonts w:asciiTheme="minorHAnsi" w:hAnsiTheme="minorHAnsi"/>
          <w:sz w:val="22"/>
        </w:rPr>
      </w:pPr>
      <w:r>
        <w:rPr>
          <w:lang w:eastAsia="es-CR"/>
        </w:rPr>
        <w:fldChar w:fldCharType="begin"/>
      </w:r>
      <w:r>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NOTAS_PARTICULAR!F23C3:F23C4 </w:instrText>
      </w:r>
      <w:r>
        <w:rPr>
          <w:lang w:eastAsia="es-CR"/>
        </w:rPr>
        <w:instrText xml:space="preserve">\a \f 4 \h </w:instrText>
      </w:r>
      <w:r>
        <w:rPr>
          <w:lang w:eastAsia="es-CR"/>
        </w:rPr>
        <w:fldChar w:fldCharType="separate"/>
      </w:r>
    </w:p>
    <w:tbl>
      <w:tblPr>
        <w:tblW w:w="2340" w:type="dxa"/>
        <w:tblCellMar>
          <w:left w:w="70" w:type="dxa"/>
          <w:right w:w="70" w:type="dxa"/>
        </w:tblCellMar>
        <w:tblLook w:val="04A0" w:firstRow="1" w:lastRow="0" w:firstColumn="1" w:lastColumn="0" w:noHBand="0" w:noVBand="1"/>
      </w:tblPr>
      <w:tblGrid>
        <w:gridCol w:w="1160"/>
        <w:gridCol w:w="1180"/>
      </w:tblGrid>
      <w:tr w:rsidR="00323752" w:rsidRPr="00323752" w14:paraId="19F7EEA5" w14:textId="77777777" w:rsidTr="00323752">
        <w:trPr>
          <w:divId w:val="863324855"/>
          <w:trHeight w:val="288"/>
        </w:trPr>
        <w:tc>
          <w:tcPr>
            <w:tcW w:w="11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7BEC6A7D" w14:textId="0DF8A10E" w:rsidR="00323752" w:rsidRPr="00323752" w:rsidRDefault="00323752" w:rsidP="00323752">
            <w:pPr>
              <w:spacing w:after="0" w:line="240" w:lineRule="auto"/>
              <w:jc w:val="center"/>
              <w:rPr>
                <w:rFonts w:eastAsia="Times New Roman" w:cs="Calibri"/>
                <w:color w:val="FFFFFF"/>
                <w:sz w:val="18"/>
                <w:szCs w:val="18"/>
                <w:lang w:eastAsia="es-CR"/>
              </w:rPr>
            </w:pPr>
            <w:r w:rsidRPr="00323752">
              <w:rPr>
                <w:rFonts w:eastAsia="Times New Roman" w:cs="Calibri"/>
                <w:color w:val="FFFFFF"/>
                <w:sz w:val="18"/>
                <w:szCs w:val="18"/>
                <w:lang w:eastAsia="es-CR"/>
              </w:rPr>
              <w:t>APLICACIÓN</w:t>
            </w:r>
          </w:p>
        </w:tc>
        <w:tc>
          <w:tcPr>
            <w:tcW w:w="1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BE48B4" w14:textId="4C1AF3E9" w:rsidR="006379CB" w:rsidRPr="00323752" w:rsidRDefault="006379CB" w:rsidP="006379CB">
            <w:pPr>
              <w:spacing w:after="0" w:line="240" w:lineRule="auto"/>
              <w:jc w:val="center"/>
              <w:rPr>
                <w:rFonts w:eastAsia="Times New Roman" w:cs="Calibri"/>
                <w:b/>
                <w:bCs/>
                <w:i/>
                <w:iCs/>
                <w:color w:val="000000"/>
                <w:sz w:val="18"/>
                <w:szCs w:val="18"/>
                <w:lang w:eastAsia="es-CR"/>
              </w:rPr>
            </w:pPr>
            <w:r>
              <w:rPr>
                <w:rFonts w:eastAsia="Times New Roman" w:cs="Calibri"/>
                <w:b/>
                <w:bCs/>
                <w:i/>
                <w:iCs/>
                <w:color w:val="000000"/>
                <w:sz w:val="18"/>
                <w:szCs w:val="18"/>
                <w:lang w:eastAsia="es-CR"/>
              </w:rPr>
              <w:t>SI</w:t>
            </w:r>
          </w:p>
        </w:tc>
      </w:tr>
    </w:tbl>
    <w:p w14:paraId="154B0632" w14:textId="717158A3" w:rsidR="00A43C71" w:rsidRPr="00A43C71" w:rsidRDefault="007473D3" w:rsidP="00A43C71">
      <w:pPr>
        <w:rPr>
          <w:color w:val="000000"/>
          <w:sz w:val="22"/>
          <w:lang w:eastAsia="es-CR"/>
        </w:rPr>
      </w:pPr>
      <w:r>
        <w:rPr>
          <w:lang w:eastAsia="es-CR"/>
        </w:rPr>
        <w:fldChar w:fldCharType="end"/>
      </w:r>
    </w:p>
    <w:p w14:paraId="57CBF854" w14:textId="657916EC" w:rsidR="00A649A4" w:rsidRPr="00821CA9" w:rsidRDefault="00A649A4" w:rsidP="00821CA9">
      <w:pPr>
        <w:spacing w:before="240"/>
        <w:rPr>
          <w:color w:val="000000"/>
          <w:sz w:val="22"/>
          <w:lang w:eastAsia="es-CR"/>
        </w:rPr>
      </w:pPr>
      <w:r w:rsidRPr="00080C49">
        <w:rPr>
          <w:rFonts w:eastAsia="Calibri" w:cs="Arial"/>
          <w:b/>
          <w:color w:val="000000"/>
          <w:sz w:val="22"/>
        </w:rPr>
        <w:t xml:space="preserve">*Revelación nota complementaria Informes de Auditorias y CGR: </w:t>
      </w:r>
    </w:p>
    <w:p w14:paraId="4A7D36F8" w14:textId="7C34361C" w:rsidR="00A649A4" w:rsidRPr="00A649A4" w:rsidRDefault="00A649A4" w:rsidP="008648FD">
      <w:pPr>
        <w:rPr>
          <w:rFonts w:eastAsia="Calibri" w:cs="Arial"/>
          <w:color w:val="000000"/>
          <w:sz w:val="22"/>
        </w:rPr>
      </w:pPr>
      <w:r w:rsidRPr="00A649A4">
        <w:rPr>
          <w:rFonts w:eastAsia="Calibri"/>
          <w:color w:val="000000"/>
          <w:szCs w:val="24"/>
          <w:lang w:val="es-ES" w:eastAsia="es-CR"/>
        </w:rPr>
        <w:t>Incluir</w:t>
      </w:r>
      <w:r w:rsidRPr="00A649A4">
        <w:rPr>
          <w:rFonts w:ascii="Times New Roman" w:eastAsia="Calibri" w:hAnsi="Times New Roman"/>
          <w:color w:val="000000"/>
          <w:szCs w:val="24"/>
          <w:lang w:eastAsia="es-CR"/>
        </w:rPr>
        <w:t xml:space="preserve"> </w:t>
      </w:r>
      <w:r w:rsidRPr="00A649A4">
        <w:rPr>
          <w:rFonts w:eastAsia="Calibri"/>
          <w:color w:val="000000"/>
          <w:szCs w:val="24"/>
          <w:lang w:val="es-ES" w:eastAsia="es-CR"/>
        </w:rPr>
        <w:t xml:space="preserve">el resumen de los Informes de Auditorías Externas, su cumplimiento de disposiciones, a su vez un informe de los estudios especiales realizados por su </w:t>
      </w:r>
      <w:r w:rsidR="00661954" w:rsidRPr="00A649A4">
        <w:rPr>
          <w:rFonts w:eastAsia="Calibri"/>
          <w:color w:val="000000"/>
          <w:szCs w:val="24"/>
          <w:lang w:val="es-ES" w:eastAsia="es-CR"/>
        </w:rPr>
        <w:t>auditoría</w:t>
      </w:r>
      <w:r w:rsidRPr="00A649A4">
        <w:rPr>
          <w:rFonts w:eastAsia="Calibri"/>
          <w:color w:val="000000"/>
          <w:szCs w:val="24"/>
          <w:lang w:val="es-ES" w:eastAsia="es-CR"/>
        </w:rPr>
        <w:t xml:space="preserve"> interna, el cumplimiento de disposiciones y también un informe de los estudios especiales o auditorias financieras realizadas por la Contraloría General de la </w:t>
      </w:r>
      <w:r w:rsidR="00661954" w:rsidRPr="00A649A4">
        <w:rPr>
          <w:rFonts w:eastAsia="Calibri"/>
          <w:color w:val="000000"/>
          <w:szCs w:val="24"/>
          <w:lang w:val="es-ES" w:eastAsia="es-CR"/>
        </w:rPr>
        <w:t>República</w:t>
      </w:r>
      <w:r w:rsidRPr="00A649A4">
        <w:rPr>
          <w:rFonts w:eastAsia="Calibri"/>
          <w:color w:val="000000"/>
          <w:szCs w:val="24"/>
          <w:lang w:val="es-ES" w:eastAsia="es-CR"/>
        </w:rPr>
        <w:t>, y el cumplimiento de sus disposiciones.</w:t>
      </w:r>
      <w:r w:rsidRPr="00080C49">
        <w:rPr>
          <w:rFonts w:eastAsia="Calibri"/>
          <w:b/>
          <w:color w:val="000000"/>
          <w:szCs w:val="24"/>
          <w:lang w:val="es-ES" w:eastAsia="es-CR"/>
        </w:rPr>
        <w:t xml:space="preserve"> </w:t>
      </w:r>
      <w:r w:rsidRPr="00080C49">
        <w:rPr>
          <w:rFonts w:eastAsia="Calibri" w:cs="Arial"/>
          <w:b/>
          <w:color w:val="000000"/>
          <w:sz w:val="22"/>
        </w:rPr>
        <w:t>(En caso de enviar anexo hacer referencia en este apartado al número de anexo)</w:t>
      </w:r>
    </w:p>
    <w:p w14:paraId="5FCBF5A2" w14:textId="07469888" w:rsidR="00821CA9" w:rsidRDefault="006379CB" w:rsidP="006379CB">
      <w:pPr>
        <w:spacing w:before="240"/>
        <w:rPr>
          <w:b/>
          <w:bCs/>
        </w:rPr>
      </w:pPr>
      <w:r w:rsidRPr="006379CB">
        <w:rPr>
          <w:rFonts w:cs="Calibri"/>
        </w:rPr>
        <w:t>Ver al respecto anexo adjunto a estas notas en nota complementaria</w:t>
      </w:r>
      <w:r w:rsidRPr="006379CB">
        <w:rPr>
          <w:rFonts w:eastAsia="Calibri"/>
        </w:rPr>
        <w:t xml:space="preserve"> y se adjuntan oficios </w:t>
      </w:r>
      <w:r w:rsidRPr="006379CB">
        <w:rPr>
          <w:rFonts w:eastAsia="Times New Roman" w:cs="Times New Roman"/>
          <w:b/>
          <w:szCs w:val="24"/>
          <w:lang w:eastAsia="es-CR"/>
        </w:rPr>
        <w:t xml:space="preserve">AMBA-444-2022 y </w:t>
      </w:r>
      <w:r w:rsidRPr="006379CB">
        <w:rPr>
          <w:b/>
        </w:rPr>
        <w:t>AI</w:t>
      </w:r>
      <w:r w:rsidRPr="006379CB">
        <w:rPr>
          <w:b/>
          <w:bCs/>
        </w:rPr>
        <w:t>/MBA/199-2021.</w:t>
      </w:r>
    </w:p>
    <w:p w14:paraId="237D4FB8" w14:textId="77777777" w:rsidR="006379CB" w:rsidRPr="006379CB" w:rsidRDefault="006379CB" w:rsidP="006379CB">
      <w:pPr>
        <w:spacing w:before="240"/>
        <w:rPr>
          <w:color w:val="000000"/>
          <w:sz w:val="22"/>
          <w:lang w:eastAsia="es-CR"/>
        </w:rPr>
      </w:pPr>
    </w:p>
    <w:p w14:paraId="37708CDC" w14:textId="4C90B504" w:rsidR="00A43C71" w:rsidRPr="00A43C71" w:rsidRDefault="00A649A4">
      <w:pPr>
        <w:pStyle w:val="Prrafodelista"/>
        <w:numPr>
          <w:ilvl w:val="0"/>
          <w:numId w:val="5"/>
        </w:numPr>
        <w:rPr>
          <w:color w:val="000000"/>
          <w:sz w:val="22"/>
          <w:lang w:eastAsia="es-CR"/>
        </w:rPr>
      </w:pPr>
      <w:r w:rsidRPr="00080C49">
        <w:rPr>
          <w:color w:val="000000"/>
          <w:sz w:val="22"/>
          <w:lang w:eastAsia="es-CR"/>
        </w:rPr>
        <w:t xml:space="preserve">¿Incluye resultados de Oficios o correo de Observaciones </w:t>
      </w:r>
      <w:r w:rsidR="00D03594" w:rsidRPr="00D03594">
        <w:rPr>
          <w:color w:val="000000"/>
          <w:sz w:val="22"/>
          <w:lang w:eastAsia="es-CR"/>
        </w:rPr>
        <w:t>Contabilidad Naciona</w:t>
      </w:r>
      <w:r w:rsidR="00D03594">
        <w:rPr>
          <w:color w:val="000000"/>
          <w:sz w:val="22"/>
          <w:lang w:eastAsia="es-CR"/>
        </w:rPr>
        <w:t>l</w:t>
      </w:r>
      <w:r w:rsidRPr="00080C49">
        <w:rPr>
          <w:color w:val="000000"/>
          <w:sz w:val="22"/>
          <w:lang w:eastAsia="es-CR"/>
        </w:rPr>
        <w:t xml:space="preserve">? </w:t>
      </w:r>
    </w:p>
    <w:p w14:paraId="0D9DD23C" w14:textId="77777777" w:rsidR="00323752" w:rsidRDefault="007473D3" w:rsidP="006379CB">
      <w:pPr>
        <w:spacing w:after="0" w:line="240" w:lineRule="auto"/>
        <w:rPr>
          <w:rFonts w:asciiTheme="minorHAnsi" w:hAnsiTheme="minorHAnsi"/>
          <w:sz w:val="22"/>
        </w:rPr>
      </w:pPr>
      <w:r>
        <w:fldChar w:fldCharType="begin"/>
      </w:r>
      <w:r>
        <w:instrText xml:space="preserve"> LINK </w:instrText>
      </w:r>
      <w:r w:rsidR="00323752">
        <w:instrText xml:space="preserve">Excel.SheetMacroEnabled.12 "D:\\MORAVIA\\INSUMOS\\NOTAS 2024\\Formato_Notas_EEFF_Vinculadas_2024\\XXXXX_PXX_202X_Anexo_Estado_Notas_Contables_Vinculadas.xlsm" NOTAS_PARTICULAR!F24C3:F24C4 </w:instrText>
      </w:r>
      <w:r>
        <w:instrText xml:space="preserve">\a \f 4 \h </w:instrText>
      </w:r>
      <w:r>
        <w:fldChar w:fldCharType="separate"/>
      </w:r>
    </w:p>
    <w:tbl>
      <w:tblPr>
        <w:tblW w:w="2340" w:type="dxa"/>
        <w:tblCellMar>
          <w:left w:w="70" w:type="dxa"/>
          <w:right w:w="70" w:type="dxa"/>
        </w:tblCellMar>
        <w:tblLook w:val="04A0" w:firstRow="1" w:lastRow="0" w:firstColumn="1" w:lastColumn="0" w:noHBand="0" w:noVBand="1"/>
      </w:tblPr>
      <w:tblGrid>
        <w:gridCol w:w="1160"/>
        <w:gridCol w:w="1180"/>
      </w:tblGrid>
      <w:tr w:rsidR="00323752" w:rsidRPr="00323752" w14:paraId="2DB39CD0" w14:textId="77777777" w:rsidTr="00323752">
        <w:trPr>
          <w:divId w:val="587538342"/>
          <w:trHeight w:val="288"/>
        </w:trPr>
        <w:tc>
          <w:tcPr>
            <w:tcW w:w="11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41C6A5C5" w14:textId="666D63E2" w:rsidR="00323752" w:rsidRPr="00323752" w:rsidRDefault="00323752" w:rsidP="00323752">
            <w:pPr>
              <w:spacing w:after="0" w:line="240" w:lineRule="auto"/>
              <w:jc w:val="center"/>
              <w:rPr>
                <w:rFonts w:eastAsia="Times New Roman" w:cs="Calibri"/>
                <w:color w:val="FFFFFF"/>
                <w:sz w:val="18"/>
                <w:szCs w:val="18"/>
                <w:lang w:eastAsia="es-CR"/>
              </w:rPr>
            </w:pPr>
            <w:r w:rsidRPr="00323752">
              <w:rPr>
                <w:rFonts w:eastAsia="Times New Roman" w:cs="Calibri"/>
                <w:color w:val="FFFFFF"/>
                <w:sz w:val="18"/>
                <w:szCs w:val="18"/>
                <w:lang w:eastAsia="es-CR"/>
              </w:rPr>
              <w:t>APLICACIÓN</w:t>
            </w:r>
          </w:p>
        </w:tc>
        <w:tc>
          <w:tcPr>
            <w:tcW w:w="1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D25FD6" w14:textId="72DB18D0" w:rsidR="00323752" w:rsidRPr="00323752" w:rsidRDefault="006379CB" w:rsidP="00323752">
            <w:pPr>
              <w:spacing w:after="0" w:line="240" w:lineRule="auto"/>
              <w:jc w:val="center"/>
              <w:rPr>
                <w:rFonts w:eastAsia="Times New Roman" w:cs="Calibri"/>
                <w:b/>
                <w:bCs/>
                <w:i/>
                <w:iCs/>
                <w:color w:val="000000"/>
                <w:sz w:val="18"/>
                <w:szCs w:val="18"/>
                <w:lang w:eastAsia="es-CR"/>
              </w:rPr>
            </w:pPr>
            <w:r>
              <w:rPr>
                <w:rFonts w:eastAsia="Times New Roman" w:cs="Calibri"/>
                <w:b/>
                <w:bCs/>
                <w:i/>
                <w:iCs/>
                <w:color w:val="000000"/>
                <w:sz w:val="18"/>
                <w:szCs w:val="18"/>
                <w:lang w:eastAsia="es-CR"/>
              </w:rPr>
              <w:t>SI</w:t>
            </w:r>
          </w:p>
        </w:tc>
      </w:tr>
    </w:tbl>
    <w:p w14:paraId="4FDC9FBE" w14:textId="68E404CB" w:rsidR="00A649A4" w:rsidRPr="00080C49" w:rsidRDefault="007473D3" w:rsidP="00142555">
      <w:pPr>
        <w:spacing w:before="240"/>
        <w:rPr>
          <w:rFonts w:eastAsia="Calibri" w:cs="Arial"/>
          <w:b/>
          <w:color w:val="000000"/>
          <w:sz w:val="22"/>
        </w:rPr>
      </w:pPr>
      <w:r>
        <w:rPr>
          <w:rFonts w:eastAsia="Calibri" w:cs="Arial"/>
          <w:b/>
          <w:color w:val="000000"/>
          <w:sz w:val="22"/>
        </w:rPr>
        <w:fldChar w:fldCharType="end"/>
      </w:r>
      <w:r w:rsidR="00A649A4" w:rsidRPr="00080C49">
        <w:rPr>
          <w:rFonts w:eastAsia="Calibri" w:cs="Arial"/>
          <w:b/>
          <w:color w:val="000000"/>
          <w:sz w:val="22"/>
        </w:rPr>
        <w:t xml:space="preserve">*Revelación nota complementaria Resultados de Oficios o correo de Observaciones CN:  </w:t>
      </w:r>
    </w:p>
    <w:p w14:paraId="5DE913B0" w14:textId="77777777" w:rsidR="00A649A4" w:rsidRPr="00A649A4" w:rsidRDefault="00A649A4" w:rsidP="008648FD">
      <w:pPr>
        <w:rPr>
          <w:rFonts w:eastAsia="Calibri"/>
          <w:color w:val="000000"/>
          <w:szCs w:val="24"/>
          <w:lang w:val="es-ES" w:eastAsia="es-CR"/>
        </w:rPr>
      </w:pPr>
      <w:r w:rsidRPr="00A649A4">
        <w:rPr>
          <w:rFonts w:eastAsia="Calibri"/>
          <w:color w:val="000000"/>
          <w:szCs w:val="24"/>
          <w:lang w:val="es-ES" w:eastAsia="es-CR"/>
        </w:rPr>
        <w:t xml:space="preserve">Incluir un informe y planes de acción remedial para cumplir con las observaciones emitidas por el analista asignado </w:t>
      </w:r>
      <w:r w:rsidRPr="00080C49">
        <w:rPr>
          <w:rFonts w:eastAsia="Calibri" w:cs="Arial"/>
          <w:b/>
          <w:color w:val="000000"/>
          <w:sz w:val="22"/>
        </w:rPr>
        <w:t>(En caso de enviar anexo hacer referencia en este apartado al número de anexo)</w:t>
      </w:r>
      <w:r w:rsidRPr="00080C49">
        <w:rPr>
          <w:rFonts w:eastAsia="Calibri"/>
          <w:b/>
          <w:color w:val="000000"/>
          <w:szCs w:val="24"/>
          <w:lang w:val="es-ES" w:eastAsia="es-CR"/>
        </w:rPr>
        <w:t>.</w:t>
      </w:r>
    </w:p>
    <w:p w14:paraId="36E350FD" w14:textId="77777777" w:rsidR="006379CB" w:rsidRPr="00A649A4" w:rsidRDefault="006379CB" w:rsidP="006379CB">
      <w:pPr>
        <w:spacing w:line="240" w:lineRule="auto"/>
        <w:rPr>
          <w:rFonts w:eastAsia="Calibri"/>
        </w:rPr>
      </w:pPr>
      <w:r>
        <w:rPr>
          <w:rFonts w:cs="Calibri"/>
        </w:rPr>
        <w:t>Ver al respecto anexo adjunto a estas notas en nota complementaria</w:t>
      </w:r>
      <w:r>
        <w:rPr>
          <w:rFonts w:eastAsia="Calibri"/>
        </w:rPr>
        <w:t xml:space="preserve"> al que se incluye oficios remitidos a la Contabilidad Nacional sobre las acciones adoptadas para atender las observaciones realizadas por la CN.</w:t>
      </w:r>
    </w:p>
    <w:p w14:paraId="2E66C96B" w14:textId="77777777" w:rsidR="00142555" w:rsidRDefault="00142555" w:rsidP="00142555">
      <w:pPr>
        <w:pStyle w:val="Prrafodelista"/>
        <w:spacing w:before="240"/>
        <w:rPr>
          <w:color w:val="000000"/>
          <w:sz w:val="22"/>
          <w:lang w:eastAsia="es-CR"/>
        </w:rPr>
      </w:pPr>
    </w:p>
    <w:p w14:paraId="078F0E04" w14:textId="08C5BD56" w:rsidR="00A43C71" w:rsidRPr="00A43C71" w:rsidRDefault="00A649A4">
      <w:pPr>
        <w:pStyle w:val="Prrafodelista"/>
        <w:numPr>
          <w:ilvl w:val="0"/>
          <w:numId w:val="5"/>
        </w:numPr>
        <w:rPr>
          <w:color w:val="000000"/>
          <w:sz w:val="22"/>
          <w:lang w:eastAsia="es-CR"/>
        </w:rPr>
      </w:pPr>
      <w:r w:rsidRPr="00142555">
        <w:rPr>
          <w:color w:val="000000"/>
          <w:sz w:val="22"/>
          <w:lang w:eastAsia="es-CR"/>
        </w:rPr>
        <w:t>¿Incluye nota particular denominada “</w:t>
      </w:r>
      <w:r w:rsidR="002407A4">
        <w:rPr>
          <w:color w:val="000000"/>
          <w:sz w:val="22"/>
          <w:lang w:eastAsia="es-CR"/>
        </w:rPr>
        <w:t>Plan General de Contabilidad</w:t>
      </w:r>
      <w:r w:rsidRPr="00142555">
        <w:rPr>
          <w:color w:val="000000"/>
          <w:sz w:val="22"/>
          <w:lang w:eastAsia="es-CR"/>
        </w:rPr>
        <w:t xml:space="preserve">”? </w:t>
      </w:r>
    </w:p>
    <w:p w14:paraId="54267316" w14:textId="343657BC" w:rsidR="00323752" w:rsidRDefault="007473D3" w:rsidP="006379CB">
      <w:pPr>
        <w:spacing w:after="0" w:line="240" w:lineRule="auto"/>
        <w:rPr>
          <w:rFonts w:asciiTheme="minorHAnsi" w:hAnsiTheme="minorHAnsi"/>
          <w:sz w:val="22"/>
        </w:rPr>
      </w:pPr>
      <w:r>
        <w:fldChar w:fldCharType="begin"/>
      </w:r>
      <w:r>
        <w:instrText xml:space="preserve"> LINK </w:instrText>
      </w:r>
      <w:r w:rsidR="00323752">
        <w:instrText xml:space="preserve">Excel.SheetMacroEnabled.12 "D:\\MORAVIA\\INSUMOS\\NOTAS 2024\\Formato_Notas_EEFF_Vinculadas_2024\\XXXXX_PXX_202X_Anexo_Estado_Notas_Contables_Vinculadas.xlsm" NOTAS_PARTICULAR!F25C3:F25C4 </w:instrText>
      </w:r>
      <w:r>
        <w:instrText xml:space="preserve">\a \f 4 \h </w:instrText>
      </w:r>
      <w:r>
        <w:fldChar w:fldCharType="separate"/>
      </w:r>
    </w:p>
    <w:tbl>
      <w:tblPr>
        <w:tblW w:w="2340" w:type="dxa"/>
        <w:tblCellMar>
          <w:left w:w="70" w:type="dxa"/>
          <w:right w:w="70" w:type="dxa"/>
        </w:tblCellMar>
        <w:tblLook w:val="04A0" w:firstRow="1" w:lastRow="0" w:firstColumn="1" w:lastColumn="0" w:noHBand="0" w:noVBand="1"/>
      </w:tblPr>
      <w:tblGrid>
        <w:gridCol w:w="1160"/>
        <w:gridCol w:w="1180"/>
      </w:tblGrid>
      <w:tr w:rsidR="00323752" w:rsidRPr="00323752" w14:paraId="66A75CCA" w14:textId="77777777" w:rsidTr="00323752">
        <w:trPr>
          <w:divId w:val="12536883"/>
          <w:trHeight w:val="288"/>
        </w:trPr>
        <w:tc>
          <w:tcPr>
            <w:tcW w:w="11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5D84ECC5" w14:textId="6E0F185C" w:rsidR="00323752" w:rsidRPr="00323752" w:rsidRDefault="00323752" w:rsidP="00323752">
            <w:pPr>
              <w:spacing w:after="0" w:line="240" w:lineRule="auto"/>
              <w:jc w:val="center"/>
              <w:rPr>
                <w:rFonts w:eastAsia="Times New Roman" w:cs="Calibri"/>
                <w:color w:val="FFFFFF"/>
                <w:sz w:val="18"/>
                <w:szCs w:val="18"/>
                <w:lang w:eastAsia="es-CR"/>
              </w:rPr>
            </w:pPr>
            <w:r w:rsidRPr="00323752">
              <w:rPr>
                <w:rFonts w:eastAsia="Times New Roman" w:cs="Calibri"/>
                <w:color w:val="FFFFFF"/>
                <w:sz w:val="18"/>
                <w:szCs w:val="18"/>
                <w:lang w:eastAsia="es-CR"/>
              </w:rPr>
              <w:t>APLICACIÓN</w:t>
            </w:r>
          </w:p>
        </w:tc>
        <w:tc>
          <w:tcPr>
            <w:tcW w:w="1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7C17BC" w14:textId="116CFF4F" w:rsidR="00323752" w:rsidRPr="00323752" w:rsidRDefault="00323752" w:rsidP="00323752">
            <w:pPr>
              <w:spacing w:after="0" w:line="240" w:lineRule="auto"/>
              <w:jc w:val="center"/>
              <w:rPr>
                <w:rFonts w:eastAsia="Times New Roman" w:cs="Calibri"/>
                <w:b/>
                <w:bCs/>
                <w:i/>
                <w:iCs/>
                <w:color w:val="000000"/>
                <w:sz w:val="18"/>
                <w:szCs w:val="18"/>
                <w:lang w:eastAsia="es-CR"/>
              </w:rPr>
            </w:pPr>
            <w:r w:rsidRPr="00323752">
              <w:rPr>
                <w:rFonts w:eastAsia="Times New Roman" w:cs="Calibri"/>
                <w:b/>
                <w:bCs/>
                <w:i/>
                <w:iCs/>
                <w:color w:val="000000"/>
                <w:sz w:val="18"/>
                <w:szCs w:val="18"/>
                <w:lang w:eastAsia="es-CR"/>
              </w:rPr>
              <w:t> </w:t>
            </w:r>
            <w:r w:rsidR="006379CB">
              <w:rPr>
                <w:rFonts w:eastAsia="Times New Roman" w:cs="Calibri"/>
                <w:b/>
                <w:bCs/>
                <w:i/>
                <w:iCs/>
                <w:color w:val="000000"/>
                <w:sz w:val="18"/>
                <w:szCs w:val="18"/>
                <w:lang w:eastAsia="es-CR"/>
              </w:rPr>
              <w:t>SI</w:t>
            </w:r>
          </w:p>
        </w:tc>
      </w:tr>
    </w:tbl>
    <w:p w14:paraId="17DA2376" w14:textId="75F44421" w:rsidR="00D03594" w:rsidRPr="00D03594" w:rsidRDefault="007473D3" w:rsidP="00D03594">
      <w:pPr>
        <w:spacing w:before="240"/>
        <w:rPr>
          <w:rFonts w:eastAsia="Calibri" w:cs="Arial"/>
          <w:b/>
          <w:color w:val="000000"/>
          <w:sz w:val="22"/>
        </w:rPr>
      </w:pPr>
      <w:r>
        <w:rPr>
          <w:rFonts w:eastAsia="Calibri" w:cs="Arial"/>
          <w:b/>
          <w:color w:val="000000"/>
          <w:sz w:val="22"/>
        </w:rPr>
        <w:fldChar w:fldCharType="end"/>
      </w:r>
      <w:r w:rsidR="00A649A4" w:rsidRPr="00080C49">
        <w:rPr>
          <w:rFonts w:eastAsia="Calibri" w:cs="Arial"/>
          <w:b/>
          <w:color w:val="000000"/>
          <w:sz w:val="22"/>
        </w:rPr>
        <w:t>*</w:t>
      </w:r>
      <w:r w:rsidR="00D03594" w:rsidRPr="00D03594">
        <w:rPr>
          <w:b/>
          <w:sz w:val="22"/>
          <w:u w:val="single"/>
          <w:lang w:val="es-ES_tradnl" w:eastAsia="es-CR"/>
        </w:rPr>
        <w:t xml:space="preserve"> </w:t>
      </w:r>
      <w:r w:rsidR="00D03594" w:rsidRPr="00D03594">
        <w:rPr>
          <w:rFonts w:eastAsia="Calibri" w:cs="Arial"/>
          <w:b/>
          <w:color w:val="000000"/>
          <w:sz w:val="22"/>
          <w:u w:val="single"/>
          <w:lang w:val="es-ES_tradnl"/>
        </w:rPr>
        <w:t>*Realizar Revelación en el apartado</w:t>
      </w:r>
      <w:r w:rsidR="00D03594" w:rsidRPr="00D03594">
        <w:rPr>
          <w:rFonts w:eastAsia="Calibri" w:cs="Arial"/>
          <w:b/>
          <w:bCs/>
          <w:color w:val="000000"/>
          <w:sz w:val="22"/>
          <w:u w:val="single"/>
        </w:rPr>
        <w:t xml:space="preserve"> Nota complementaria</w:t>
      </w:r>
      <w:r w:rsidR="00D03594" w:rsidRPr="00D03594">
        <w:rPr>
          <w:rFonts w:eastAsia="Calibri" w:cs="Arial"/>
          <w:b/>
          <w:bCs/>
          <w:color w:val="000000"/>
          <w:sz w:val="22"/>
        </w:rPr>
        <w:t xml:space="preserve"> </w:t>
      </w:r>
      <w:r w:rsidR="00D03594" w:rsidRPr="00D03594">
        <w:rPr>
          <w:rFonts w:eastAsia="Calibri" w:cs="Arial"/>
          <w:b/>
          <w:color w:val="000000"/>
          <w:sz w:val="22"/>
        </w:rPr>
        <w:t xml:space="preserve">*Revelación nota complementaria Estados Financieros y Plan General de Contabilidad:  </w:t>
      </w:r>
    </w:p>
    <w:p w14:paraId="268F2F99" w14:textId="77777777" w:rsidR="00D03594" w:rsidRPr="00D03594" w:rsidRDefault="00D03594" w:rsidP="00D03594">
      <w:pPr>
        <w:spacing w:before="240"/>
        <w:rPr>
          <w:rFonts w:eastAsia="Calibri" w:cs="Arial"/>
          <w:b/>
          <w:color w:val="000000"/>
          <w:sz w:val="22"/>
          <w:lang w:val="es-ES"/>
        </w:rPr>
      </w:pPr>
      <w:r w:rsidRPr="00D03594">
        <w:rPr>
          <w:rFonts w:eastAsia="Calibri" w:cs="Arial"/>
          <w:b/>
          <w:color w:val="000000"/>
          <w:sz w:val="22"/>
          <w:lang w:val="es-ES"/>
        </w:rPr>
        <w:t xml:space="preserve">Incluir una Nota particular del Plan General de Contabilidad la misma esta derivada del proceso de implementación de las Normas Internacionales de Contabilidad del Sector Publico (NICSP), </w:t>
      </w:r>
    </w:p>
    <w:p w14:paraId="5E21D03B" w14:textId="77777777" w:rsidR="00D03594" w:rsidRPr="00D03594" w:rsidRDefault="00D03594" w:rsidP="00D03594">
      <w:pPr>
        <w:spacing w:before="240"/>
        <w:rPr>
          <w:rFonts w:eastAsia="Calibri" w:cs="Arial"/>
          <w:b/>
          <w:color w:val="000000"/>
          <w:sz w:val="22"/>
          <w:lang w:val="es-ES"/>
        </w:rPr>
      </w:pPr>
      <w:r w:rsidRPr="00D03594">
        <w:rPr>
          <w:rFonts w:eastAsia="Calibri" w:cs="Arial"/>
          <w:b/>
          <w:color w:val="000000"/>
          <w:sz w:val="22"/>
          <w:lang w:val="es-ES"/>
        </w:rPr>
        <w:t>Además, una Certificación o Constancia del avance que se tiene en el Plan General Contable con copia a auditoría interna.</w:t>
      </w:r>
    </w:p>
    <w:p w14:paraId="523E447E" w14:textId="77777777" w:rsidR="00D03594" w:rsidRPr="00D03594" w:rsidRDefault="00D03594" w:rsidP="00D03594">
      <w:pPr>
        <w:spacing w:before="240"/>
        <w:rPr>
          <w:rFonts w:eastAsia="Calibri" w:cs="Arial"/>
          <w:b/>
          <w:color w:val="000000"/>
          <w:sz w:val="22"/>
          <w:lang w:val="es-ES"/>
        </w:rPr>
      </w:pPr>
      <w:r w:rsidRPr="00D03594">
        <w:rPr>
          <w:rFonts w:eastAsia="Calibri" w:cs="Arial"/>
          <w:b/>
          <w:bCs/>
          <w:color w:val="000000"/>
          <w:sz w:val="22"/>
          <w:lang w:val="es-ES"/>
        </w:rPr>
        <w:t>(Informe debe enviarse aparte y en carpeta con todos los anexos).</w:t>
      </w:r>
      <w:r w:rsidRPr="00D03594">
        <w:rPr>
          <w:rFonts w:eastAsia="Calibri" w:cs="Arial"/>
          <w:b/>
          <w:color w:val="000000"/>
          <w:sz w:val="22"/>
          <w:lang w:val="es-ES"/>
        </w:rPr>
        <w:t xml:space="preserve"> </w:t>
      </w:r>
    </w:p>
    <w:p w14:paraId="43817CFF" w14:textId="3B2A7A27" w:rsidR="00D5406E" w:rsidRDefault="00D03594" w:rsidP="00D03594">
      <w:pPr>
        <w:spacing w:before="240"/>
        <w:rPr>
          <w:rFonts w:eastAsia="Calibri"/>
          <w:color w:val="000000"/>
          <w:szCs w:val="24"/>
          <w:lang w:val="es-ES" w:eastAsia="es-CR"/>
        </w:rPr>
      </w:pPr>
      <w:r w:rsidRPr="00D03594">
        <w:rPr>
          <w:rFonts w:eastAsia="Calibri"/>
          <w:color w:val="000000"/>
          <w:szCs w:val="24"/>
          <w:lang w:val="es-ES" w:eastAsia="es-CR"/>
        </w:rPr>
        <w:t>La construcción de esta nota particular será progresiva desde este cierre contable hasta el cierre diciembre 2024 y la emisión de la Afirmación Explicita e Incondicional sobre el cumplimiento de las NICSP conforme a la Resolución DCN-0003-2022.</w:t>
      </w:r>
    </w:p>
    <w:p w14:paraId="4CFA25A0" w14:textId="77777777" w:rsidR="00B86404" w:rsidRDefault="00B86404" w:rsidP="008648FD">
      <w:pPr>
        <w:rPr>
          <w:rFonts w:eastAsia="Calibri"/>
          <w:color w:val="000000"/>
          <w:szCs w:val="24"/>
          <w:lang w:val="es-ES" w:eastAsia="es-CR"/>
        </w:rPr>
      </w:pPr>
    </w:p>
    <w:p w14:paraId="7B21087A" w14:textId="77777777" w:rsidR="00AB619E" w:rsidRPr="00AB619E" w:rsidRDefault="00AB619E" w:rsidP="00AB619E">
      <w:pPr>
        <w:rPr>
          <w:rFonts w:eastAsia="Calibri"/>
          <w:color w:val="000000"/>
          <w:szCs w:val="24"/>
          <w:lang w:eastAsia="es-CR"/>
        </w:rPr>
      </w:pPr>
      <w:bookmarkStart w:id="128" w:name="_Toc169692018"/>
      <w:bookmarkEnd w:id="124"/>
      <w:r w:rsidRPr="00AB619E">
        <w:rPr>
          <w:rFonts w:eastAsia="Calibri"/>
          <w:color w:val="000000"/>
          <w:szCs w:val="24"/>
          <w:lang w:eastAsia="es-CR"/>
        </w:rPr>
        <w:t>CERTIFICACIÓN AVANCE INFORMACIÓN PLAN GENERAL CONTABLE:</w:t>
      </w:r>
      <w:bookmarkEnd w:id="128"/>
    </w:p>
    <w:p w14:paraId="3D4F3B63" w14:textId="77777777" w:rsidR="00AB619E" w:rsidRPr="00AB619E" w:rsidRDefault="00AB619E" w:rsidP="00AB619E">
      <w:pPr>
        <w:spacing w:after="0" w:line="240" w:lineRule="auto"/>
        <w:rPr>
          <w:rFonts w:eastAsia="Calibri"/>
          <w:b/>
          <w:bCs/>
          <w:color w:val="000000"/>
          <w:szCs w:val="24"/>
          <w:lang w:eastAsia="es-CR"/>
        </w:rPr>
      </w:pPr>
    </w:p>
    <w:p w14:paraId="0F719133" w14:textId="77777777" w:rsidR="00AB619E" w:rsidRDefault="00AB619E" w:rsidP="00AB619E">
      <w:pPr>
        <w:pBdr>
          <w:top w:val="single" w:sz="8" w:space="1" w:color="auto"/>
          <w:left w:val="single" w:sz="8" w:space="4" w:color="auto"/>
          <w:bottom w:val="single" w:sz="8" w:space="1" w:color="auto"/>
          <w:right w:val="single" w:sz="8" w:space="4" w:color="auto"/>
        </w:pBdr>
        <w:jc w:val="center"/>
        <w:rPr>
          <w:rFonts w:eastAsia="Calibri"/>
          <w:b/>
          <w:bCs/>
          <w:color w:val="000000"/>
          <w:szCs w:val="24"/>
          <w:lang w:eastAsia="es-CR"/>
        </w:rPr>
      </w:pPr>
    </w:p>
    <w:p w14:paraId="23A6239A" w14:textId="36E1CC90" w:rsidR="00AB619E" w:rsidRPr="00AB619E" w:rsidRDefault="00AB619E" w:rsidP="00AB619E">
      <w:pPr>
        <w:pBdr>
          <w:top w:val="single" w:sz="8" w:space="1" w:color="auto"/>
          <w:left w:val="single" w:sz="8" w:space="4" w:color="auto"/>
          <w:bottom w:val="single" w:sz="8" w:space="1" w:color="auto"/>
          <w:right w:val="single" w:sz="8" w:space="4" w:color="auto"/>
        </w:pBdr>
        <w:jc w:val="center"/>
        <w:rPr>
          <w:rFonts w:eastAsia="Calibri"/>
          <w:b/>
          <w:bCs/>
          <w:color w:val="000000"/>
          <w:szCs w:val="24"/>
          <w:lang w:eastAsia="es-CR"/>
        </w:rPr>
      </w:pPr>
      <w:r w:rsidRPr="00AB619E">
        <w:rPr>
          <w:rFonts w:eastAsia="Calibri"/>
          <w:b/>
          <w:bCs/>
          <w:color w:val="000000"/>
          <w:szCs w:val="24"/>
          <w:lang w:eastAsia="es-CR"/>
        </w:rPr>
        <w:t>Certificación o Constancia:</w:t>
      </w:r>
    </w:p>
    <w:p w14:paraId="37B08E3B" w14:textId="37150BAF" w:rsidR="00AB619E" w:rsidRPr="00AB619E" w:rsidRDefault="00AB619E" w:rsidP="00AB619E">
      <w:pPr>
        <w:pBdr>
          <w:top w:val="single" w:sz="8" w:space="1" w:color="auto"/>
          <w:left w:val="single" w:sz="8" w:space="4" w:color="auto"/>
          <w:bottom w:val="single" w:sz="8" w:space="1" w:color="auto"/>
          <w:right w:val="single" w:sz="8" w:space="4" w:color="auto"/>
        </w:pBdr>
        <w:rPr>
          <w:rFonts w:eastAsia="Calibri"/>
          <w:color w:val="000000"/>
          <w:szCs w:val="24"/>
          <w:lang w:eastAsia="es-CR"/>
        </w:rPr>
      </w:pPr>
      <w:r w:rsidRPr="00AB619E">
        <w:rPr>
          <w:rFonts w:eastAsia="Calibri"/>
          <w:color w:val="000000"/>
          <w:szCs w:val="24"/>
          <w:lang w:eastAsia="es-CR"/>
        </w:rPr>
        <w:t xml:space="preserve">La </w:t>
      </w:r>
      <w:r>
        <w:rPr>
          <w:rFonts w:eastAsia="Calibri"/>
          <w:color w:val="000000"/>
          <w:szCs w:val="24"/>
          <w:lang w:eastAsia="es-CR"/>
        </w:rPr>
        <w:t>Municipalidad de Buenos Aires</w:t>
      </w:r>
      <w:r w:rsidRPr="00AB619E">
        <w:rPr>
          <w:rFonts w:eastAsia="Calibri"/>
          <w:color w:val="000000"/>
          <w:szCs w:val="24"/>
          <w:lang w:eastAsia="es-CR"/>
        </w:rPr>
        <w:t xml:space="preserve">, cedula jurídica </w:t>
      </w:r>
      <w:r w:rsidR="00651C90" w:rsidRPr="00651C90">
        <w:rPr>
          <w:rFonts w:eastAsia="Calibri"/>
          <w:color w:val="000000"/>
          <w:szCs w:val="24"/>
          <w:lang w:eastAsia="es-CR"/>
        </w:rPr>
        <w:t>3-014-042112</w:t>
      </w:r>
      <w:r w:rsidRPr="00AB619E">
        <w:rPr>
          <w:rFonts w:eastAsia="Calibri"/>
          <w:color w:val="000000"/>
          <w:szCs w:val="24"/>
          <w:lang w:eastAsia="es-CR"/>
        </w:rPr>
        <w:t>, y cuyo Representante Legal es</w:t>
      </w:r>
      <w:r w:rsidR="00651C90" w:rsidRPr="00651C90">
        <w:t xml:space="preserve"> </w:t>
      </w:r>
      <w:r w:rsidR="00651C90">
        <w:t xml:space="preserve">Ana Margoth Mora Navarro </w:t>
      </w:r>
      <w:r w:rsidR="00651C90">
        <w:rPr>
          <w:lang w:val="es-ES"/>
        </w:rPr>
        <w:t>CÉDULA</w:t>
      </w:r>
      <w:r w:rsidRPr="00AB619E">
        <w:rPr>
          <w:rFonts w:eastAsia="Calibri"/>
          <w:color w:val="000000"/>
          <w:szCs w:val="24"/>
          <w:lang w:eastAsia="es-CR"/>
        </w:rPr>
        <w:t xml:space="preserve">, portadora de la cedula de identidad </w:t>
      </w:r>
      <w:r w:rsidR="00651C90">
        <w:t>1-0820-0849</w:t>
      </w:r>
      <w:r w:rsidRPr="00AB619E">
        <w:rPr>
          <w:rFonts w:eastAsia="Calibri"/>
          <w:color w:val="000000"/>
          <w:szCs w:val="24"/>
          <w:lang w:eastAsia="es-CR"/>
        </w:rPr>
        <w:t>,</w:t>
      </w:r>
    </w:p>
    <w:p w14:paraId="0B4D4B9F" w14:textId="77777777" w:rsidR="00AB619E" w:rsidRDefault="00AB619E" w:rsidP="00AB619E">
      <w:pPr>
        <w:pBdr>
          <w:top w:val="single" w:sz="8" w:space="1" w:color="auto"/>
          <w:left w:val="single" w:sz="8" w:space="4" w:color="auto"/>
          <w:bottom w:val="single" w:sz="8" w:space="1" w:color="auto"/>
          <w:right w:val="single" w:sz="8" w:space="4" w:color="auto"/>
        </w:pBdr>
        <w:rPr>
          <w:rFonts w:eastAsia="Calibri"/>
          <w:color w:val="000000"/>
          <w:szCs w:val="24"/>
          <w:u w:val="single"/>
          <w:lang w:eastAsia="es-CR"/>
        </w:rPr>
      </w:pPr>
      <w:r w:rsidRPr="00AB619E">
        <w:rPr>
          <w:rFonts w:eastAsia="Calibri"/>
          <w:color w:val="000000"/>
          <w:szCs w:val="24"/>
          <w:lang w:eastAsia="es-CR"/>
        </w:rPr>
        <w:t xml:space="preserve">CERTIFICA QUE: </w:t>
      </w:r>
      <w:r w:rsidRPr="00AB619E">
        <w:rPr>
          <w:rFonts w:eastAsia="Calibri"/>
          <w:color w:val="000000"/>
          <w:szCs w:val="24"/>
          <w:u w:val="single"/>
          <w:lang w:eastAsia="es-CR"/>
        </w:rPr>
        <w:t>la entidad cuenta con el siguiente avance con relación a la información al Plan General Contable:</w:t>
      </w:r>
    </w:p>
    <w:p w14:paraId="08A4CF46" w14:textId="64A62238" w:rsidR="007C44D9" w:rsidRPr="00651C90" w:rsidRDefault="007C44D9" w:rsidP="007C44D9">
      <w:pPr>
        <w:pBdr>
          <w:top w:val="single" w:sz="8" w:space="1" w:color="auto"/>
          <w:left w:val="single" w:sz="8" w:space="4" w:color="auto"/>
          <w:bottom w:val="single" w:sz="8" w:space="1" w:color="auto"/>
          <w:right w:val="single" w:sz="8" w:space="4" w:color="auto"/>
        </w:pBdr>
        <w:rPr>
          <w:rFonts w:eastAsia="Calibri"/>
          <w:color w:val="000000"/>
          <w:szCs w:val="24"/>
          <w:lang w:eastAsia="es-CR"/>
        </w:rPr>
      </w:pPr>
      <w:r w:rsidRPr="00651C90">
        <w:rPr>
          <w:rFonts w:eastAsia="Calibri"/>
          <w:color w:val="000000"/>
          <w:szCs w:val="24"/>
          <w:lang w:val="es-MX" w:eastAsia="es-CR"/>
        </w:rPr>
        <w:t>Se</w:t>
      </w:r>
      <w:r>
        <w:rPr>
          <w:rFonts w:eastAsia="Calibri"/>
          <w:color w:val="000000"/>
          <w:szCs w:val="24"/>
          <w:lang w:val="es-MX" w:eastAsia="es-CR"/>
        </w:rPr>
        <w:t xml:space="preserve"> identificaron las NICSP que aplican a la Municipalidad, así como las cuentas del </w:t>
      </w:r>
      <w:r w:rsidR="00E547CB">
        <w:rPr>
          <w:rFonts w:eastAsia="Calibri"/>
          <w:color w:val="000000"/>
          <w:szCs w:val="24"/>
          <w:lang w:val="es-MX" w:eastAsia="es-CR"/>
        </w:rPr>
        <w:t>Catálogo</w:t>
      </w:r>
      <w:r>
        <w:rPr>
          <w:rFonts w:eastAsia="Calibri"/>
          <w:color w:val="000000"/>
          <w:szCs w:val="24"/>
          <w:lang w:val="es-MX" w:eastAsia="es-CR"/>
        </w:rPr>
        <w:t xml:space="preserve"> de cuentas elaborado por la Contabilidad Nacional, asimismo, se</w:t>
      </w:r>
      <w:r w:rsidRPr="00651C90">
        <w:rPr>
          <w:rFonts w:eastAsia="Calibri"/>
          <w:color w:val="000000"/>
          <w:szCs w:val="24"/>
          <w:lang w:val="es-MX" w:eastAsia="es-CR"/>
        </w:rPr>
        <w:t xml:space="preserve"> elaboró una </w:t>
      </w:r>
      <w:r>
        <w:rPr>
          <w:rFonts w:eastAsia="Calibri"/>
          <w:color w:val="000000"/>
          <w:szCs w:val="24"/>
          <w:lang w:val="es-MX" w:eastAsia="es-CR"/>
        </w:rPr>
        <w:t xml:space="preserve">primer </w:t>
      </w:r>
      <w:r w:rsidRPr="00651C90">
        <w:rPr>
          <w:rFonts w:eastAsia="Calibri"/>
          <w:color w:val="000000"/>
          <w:szCs w:val="24"/>
          <w:lang w:val="es-MX" w:eastAsia="es-CR"/>
        </w:rPr>
        <w:t>versión en borrador de las Políticas Generales que le aplican a la Municipalidad de Buenos Aires, con base en las Políticas Contables Generales emitidas por la DGCN, contenidas en el Plan General de Contabilidad Nacional versión 2021 (sustentadas en NICSP versión 2018); y de acuerdo con el quehacer municipal por temas específicos que atañen a cada NICSP.</w:t>
      </w:r>
      <w:r>
        <w:rPr>
          <w:rFonts w:eastAsia="Calibri"/>
          <w:color w:val="000000"/>
          <w:szCs w:val="24"/>
          <w:lang w:val="es-MX" w:eastAsia="es-CR"/>
        </w:rPr>
        <w:t xml:space="preserve"> Además, en abril de 2024 se aprobó una versión actualizada del Manual de Procedimientos Municipal que contiene los procedimientos contables.</w:t>
      </w:r>
    </w:p>
    <w:p w14:paraId="345A7BBB" w14:textId="77777777" w:rsidR="00AB619E" w:rsidRPr="00AB619E" w:rsidRDefault="00AB619E" w:rsidP="00AB619E">
      <w:pPr>
        <w:pBdr>
          <w:top w:val="single" w:sz="8" w:space="1" w:color="auto"/>
          <w:left w:val="single" w:sz="8" w:space="4" w:color="auto"/>
          <w:bottom w:val="single" w:sz="8" w:space="1" w:color="auto"/>
          <w:right w:val="single" w:sz="8" w:space="4" w:color="auto"/>
        </w:pBdr>
        <w:rPr>
          <w:rFonts w:eastAsia="Calibri"/>
          <w:color w:val="000000"/>
          <w:szCs w:val="24"/>
          <w:lang w:eastAsia="es-CR"/>
        </w:rPr>
      </w:pPr>
      <w:r w:rsidRPr="00AB619E">
        <w:rPr>
          <w:rFonts w:eastAsia="Calibri"/>
          <w:b/>
          <w:bCs/>
          <w:color w:val="000000"/>
          <w:szCs w:val="24"/>
          <w:lang w:eastAsia="es-CR"/>
        </w:rPr>
        <w:t>Observaciones:</w:t>
      </w:r>
      <w:r w:rsidRPr="00AB619E">
        <w:rPr>
          <w:rFonts w:eastAsia="Calibri"/>
          <w:color w:val="000000"/>
          <w:szCs w:val="24"/>
          <w:lang w:eastAsia="es-CR"/>
        </w:rPr>
        <w:t xml:space="preserve"> </w:t>
      </w:r>
    </w:p>
    <w:p w14:paraId="71B00151" w14:textId="2A380F1C" w:rsidR="00651C90" w:rsidRPr="00651C90" w:rsidRDefault="007C44D9" w:rsidP="00651C90">
      <w:pPr>
        <w:pBdr>
          <w:top w:val="single" w:sz="8" w:space="1" w:color="auto"/>
          <w:left w:val="single" w:sz="8" w:space="4" w:color="auto"/>
          <w:bottom w:val="single" w:sz="8" w:space="1" w:color="auto"/>
          <w:right w:val="single" w:sz="8" w:space="4" w:color="auto"/>
        </w:pBdr>
        <w:rPr>
          <w:rFonts w:eastAsia="Calibri"/>
          <w:color w:val="000000"/>
          <w:szCs w:val="24"/>
          <w:lang w:eastAsia="es-CR"/>
        </w:rPr>
      </w:pPr>
      <w:r>
        <w:rPr>
          <w:rFonts w:eastAsia="Calibri"/>
          <w:color w:val="000000"/>
          <w:szCs w:val="24"/>
          <w:lang w:eastAsia="es-CR"/>
        </w:rPr>
        <w:t>Cabe señalar que se continua con la identificación de políticas particulares y la revisión permanente de los procedimientos en vista de que se está implementando un sistema integrado de información institucional.</w:t>
      </w:r>
    </w:p>
    <w:p w14:paraId="32FD8162" w14:textId="77777777" w:rsidR="00AB619E" w:rsidRPr="007C44D9" w:rsidRDefault="00AB619E" w:rsidP="00AB619E">
      <w:pPr>
        <w:rPr>
          <w:rFonts w:eastAsia="Calibri"/>
          <w:color w:val="000000"/>
          <w:szCs w:val="24"/>
          <w:lang w:eastAsia="es-CR"/>
        </w:rPr>
      </w:pPr>
    </w:p>
    <w:p w14:paraId="5164D5D2" w14:textId="77777777" w:rsidR="00AB619E" w:rsidRDefault="00AB619E" w:rsidP="00AB619E">
      <w:pPr>
        <w:rPr>
          <w:rFonts w:eastAsia="Calibri"/>
          <w:color w:val="000000"/>
          <w:szCs w:val="24"/>
          <w:lang w:eastAsia="es-CR"/>
        </w:rPr>
      </w:pPr>
    </w:p>
    <w:p w14:paraId="23BE3B88" w14:textId="77777777" w:rsidR="00AB619E" w:rsidRPr="00AB619E" w:rsidRDefault="00AB619E" w:rsidP="00AB619E">
      <w:pPr>
        <w:pStyle w:val="Ttulo1"/>
        <w:rPr>
          <w:rFonts w:eastAsia="Times New Roman"/>
          <w:lang w:val="es-ES"/>
        </w:rPr>
      </w:pPr>
      <w:bookmarkStart w:id="129" w:name="_Toc169692019"/>
      <w:bookmarkStart w:id="130" w:name="_Toc173245221"/>
      <w:r w:rsidRPr="00AB619E">
        <w:rPr>
          <w:rFonts w:eastAsia="Times New Roman"/>
          <w:lang w:val="es-ES"/>
        </w:rPr>
        <w:t>NOTAS COMPLEMENTARIAS</w:t>
      </w:r>
      <w:bookmarkEnd w:id="129"/>
      <w:bookmarkEnd w:id="130"/>
    </w:p>
    <w:p w14:paraId="53FE9D6F" w14:textId="77777777" w:rsidR="00AB619E" w:rsidRPr="00AB619E" w:rsidRDefault="00AB619E" w:rsidP="00AB619E">
      <w:pPr>
        <w:rPr>
          <w:rFonts w:eastAsia="Calibri"/>
          <w:b/>
          <w:color w:val="000000"/>
          <w:szCs w:val="24"/>
          <w:u w:val="single"/>
          <w:lang w:eastAsia="es-CR"/>
        </w:rPr>
      </w:pPr>
    </w:p>
    <w:p w14:paraId="4D3805B3" w14:textId="06A705A1" w:rsidR="00AB619E" w:rsidRDefault="00AB619E" w:rsidP="00AB619E">
      <w:pPr>
        <w:pStyle w:val="Prrafodelista"/>
        <w:numPr>
          <w:ilvl w:val="0"/>
          <w:numId w:val="60"/>
        </w:numPr>
        <w:spacing w:line="254" w:lineRule="auto"/>
        <w:rPr>
          <w:rFonts w:eastAsia="Times New Roman" w:cstheme="majorBidi"/>
          <w:b/>
          <w:color w:val="1F3864"/>
          <w:sz w:val="26"/>
          <w:szCs w:val="32"/>
          <w:u w:val="single"/>
        </w:rPr>
      </w:pPr>
      <w:r w:rsidRPr="00AB619E">
        <w:rPr>
          <w:rFonts w:eastAsia="Times New Roman" w:cstheme="majorBidi"/>
          <w:b/>
          <w:color w:val="1F3864"/>
          <w:sz w:val="26"/>
          <w:szCs w:val="32"/>
          <w:u w:val="single"/>
        </w:rPr>
        <w:t>Nota complementaria denominada “Informes de Auditoría Interna, Externa, o especial de la CGR en EEFF, obtener los resultados y disposiciones”</w:t>
      </w:r>
    </w:p>
    <w:p w14:paraId="0E71631B" w14:textId="77777777" w:rsidR="00AB619E" w:rsidRPr="00AB619E" w:rsidRDefault="00AB619E" w:rsidP="00AB619E">
      <w:pPr>
        <w:pStyle w:val="Prrafodelista"/>
        <w:spacing w:line="254" w:lineRule="auto"/>
        <w:rPr>
          <w:rFonts w:eastAsia="Times New Roman" w:cstheme="majorBidi"/>
          <w:b/>
          <w:color w:val="1F3864"/>
          <w:sz w:val="26"/>
          <w:szCs w:val="32"/>
          <w:u w:val="single"/>
        </w:rPr>
      </w:pPr>
    </w:p>
    <w:tbl>
      <w:tblPr>
        <w:tblStyle w:val="Tablaconcuadrcula"/>
        <w:tblW w:w="10485" w:type="dxa"/>
        <w:jc w:val="center"/>
        <w:tblLayout w:type="fixed"/>
        <w:tblLook w:val="04A0" w:firstRow="1" w:lastRow="0" w:firstColumn="1" w:lastColumn="0" w:noHBand="0" w:noVBand="1"/>
      </w:tblPr>
      <w:tblGrid>
        <w:gridCol w:w="1246"/>
        <w:gridCol w:w="1247"/>
        <w:gridCol w:w="1247"/>
        <w:gridCol w:w="1358"/>
        <w:gridCol w:w="1276"/>
        <w:gridCol w:w="1418"/>
        <w:gridCol w:w="992"/>
        <w:gridCol w:w="1701"/>
      </w:tblGrid>
      <w:tr w:rsidR="00AB619E" w14:paraId="3A26C82B" w14:textId="77777777" w:rsidTr="00AB619E">
        <w:trPr>
          <w:jc w:val="center"/>
        </w:trPr>
        <w:tc>
          <w:tcPr>
            <w:tcW w:w="1246"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793F8090" w14:textId="77777777" w:rsidR="00AB619E" w:rsidRDefault="00AB619E">
            <w:pPr>
              <w:jc w:val="center"/>
              <w:rPr>
                <w:rFonts w:ascii="HendersonSansW00-BasicLight" w:hAnsi="HendersonSansW00-BasicLight"/>
                <w:color w:val="FFFFFF" w:themeColor="background1"/>
                <w:sz w:val="20"/>
              </w:rPr>
            </w:pPr>
            <w:r>
              <w:rPr>
                <w:rFonts w:ascii="HendersonSansW00-BasicLight" w:hAnsi="HendersonSansW00-BasicLight"/>
                <w:color w:val="FFFFFF" w:themeColor="background1"/>
                <w:sz w:val="20"/>
              </w:rPr>
              <w:t>Número de Informe de auditoria</w:t>
            </w:r>
          </w:p>
        </w:tc>
        <w:tc>
          <w:tcPr>
            <w:tcW w:w="1247"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1433FAAB" w14:textId="77777777" w:rsidR="00AB619E" w:rsidRDefault="00AB619E">
            <w:pPr>
              <w:jc w:val="center"/>
              <w:rPr>
                <w:rFonts w:ascii="HendersonSansW00-BasicLight" w:hAnsi="HendersonSansW00-BasicLight"/>
                <w:color w:val="FFFFFF" w:themeColor="background1"/>
                <w:sz w:val="20"/>
              </w:rPr>
            </w:pPr>
            <w:r>
              <w:rPr>
                <w:rFonts w:ascii="HendersonSansW00-BasicLight" w:hAnsi="HendersonSansW00-BasicLight"/>
                <w:color w:val="FFFFFF" w:themeColor="background1"/>
                <w:sz w:val="20"/>
              </w:rPr>
              <w:t>Fecha de auditoría</w:t>
            </w:r>
          </w:p>
        </w:tc>
        <w:tc>
          <w:tcPr>
            <w:tcW w:w="1247"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29242A65" w14:textId="77777777" w:rsidR="00AB619E" w:rsidRDefault="00AB619E">
            <w:pPr>
              <w:jc w:val="center"/>
              <w:rPr>
                <w:rFonts w:ascii="HendersonSansW00-BasicLight" w:hAnsi="HendersonSansW00-BasicLight"/>
                <w:color w:val="FFFFFF" w:themeColor="background1"/>
                <w:sz w:val="20"/>
              </w:rPr>
            </w:pPr>
            <w:r>
              <w:rPr>
                <w:rFonts w:ascii="HendersonSansW00-BasicLight" w:hAnsi="HendersonSansW00-BasicLight"/>
                <w:color w:val="FFFFFF" w:themeColor="background1"/>
                <w:sz w:val="20"/>
              </w:rPr>
              <w:t>Tipo de auditoría</w:t>
            </w:r>
          </w:p>
        </w:tc>
        <w:tc>
          <w:tcPr>
            <w:tcW w:w="1358"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6B7B27FA" w14:textId="77777777" w:rsidR="00AB619E" w:rsidRDefault="00AB619E">
            <w:pPr>
              <w:jc w:val="center"/>
              <w:rPr>
                <w:rFonts w:ascii="HendersonSansW00-BasicLight" w:hAnsi="HendersonSansW00-BasicLight"/>
                <w:color w:val="FFFFFF" w:themeColor="background1"/>
                <w:sz w:val="20"/>
              </w:rPr>
            </w:pPr>
            <w:r>
              <w:rPr>
                <w:rFonts w:ascii="HendersonSansW00-BasicLight" w:hAnsi="HendersonSansW00-BasicLight"/>
                <w:color w:val="FFFFFF" w:themeColor="background1"/>
                <w:sz w:val="20"/>
              </w:rPr>
              <w:t>Periodo Auditado</w:t>
            </w:r>
          </w:p>
        </w:tc>
        <w:tc>
          <w:tcPr>
            <w:tcW w:w="1276"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6EB98001" w14:textId="77777777" w:rsidR="00AB619E" w:rsidRDefault="00AB619E">
            <w:pPr>
              <w:jc w:val="center"/>
              <w:rPr>
                <w:rFonts w:ascii="HendersonSansW00-BasicLight" w:hAnsi="HendersonSansW00-BasicLight"/>
                <w:color w:val="FFFFFF" w:themeColor="background1"/>
                <w:sz w:val="20"/>
              </w:rPr>
            </w:pPr>
            <w:r>
              <w:rPr>
                <w:rFonts w:ascii="HendersonSansW00-BasicLight" w:hAnsi="HendersonSansW00-BasicLight"/>
                <w:color w:val="FFFFFF" w:themeColor="background1"/>
                <w:sz w:val="20"/>
              </w:rPr>
              <w:t>Auditoría Interna o externa</w:t>
            </w:r>
          </w:p>
        </w:tc>
        <w:tc>
          <w:tcPr>
            <w:tcW w:w="1418"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5D708CA4" w14:textId="77777777" w:rsidR="00AB619E" w:rsidRDefault="00AB619E">
            <w:pPr>
              <w:jc w:val="center"/>
              <w:rPr>
                <w:rFonts w:ascii="HendersonSansW00-BasicLight" w:hAnsi="HendersonSansW00-BasicLight"/>
                <w:color w:val="FFFFFF" w:themeColor="background1"/>
                <w:sz w:val="20"/>
              </w:rPr>
            </w:pPr>
            <w:r>
              <w:rPr>
                <w:rFonts w:ascii="HendersonSansW00-BasicLight" w:hAnsi="HendersonSansW00-BasicLight"/>
                <w:color w:val="FFFFFF" w:themeColor="background1"/>
                <w:sz w:val="20"/>
              </w:rPr>
              <w:t>Hallazgos</w:t>
            </w:r>
          </w:p>
        </w:tc>
        <w:tc>
          <w:tcPr>
            <w:tcW w:w="992"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41D0472B" w14:textId="77777777" w:rsidR="00AB619E" w:rsidRDefault="00AB619E">
            <w:pPr>
              <w:jc w:val="center"/>
              <w:rPr>
                <w:rFonts w:ascii="HendersonSansW00-BasicLight" w:hAnsi="HendersonSansW00-BasicLight"/>
                <w:color w:val="FFFFFF" w:themeColor="background1"/>
                <w:sz w:val="20"/>
              </w:rPr>
            </w:pPr>
            <w:r>
              <w:rPr>
                <w:rFonts w:ascii="HendersonSansW00-BasicLight" w:hAnsi="HendersonSansW00-BasicLight"/>
                <w:color w:val="FFFFFF" w:themeColor="background1"/>
                <w:sz w:val="20"/>
              </w:rPr>
              <w:t>Plan de acción</w:t>
            </w:r>
          </w:p>
        </w:tc>
        <w:tc>
          <w:tcPr>
            <w:tcW w:w="1701"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6E47236C" w14:textId="77777777" w:rsidR="00AB619E" w:rsidRDefault="00AB619E">
            <w:pPr>
              <w:jc w:val="center"/>
              <w:rPr>
                <w:rFonts w:ascii="HendersonSansW00-BasicLight" w:hAnsi="HendersonSansW00-BasicLight"/>
                <w:color w:val="FFFFFF" w:themeColor="background1"/>
                <w:sz w:val="20"/>
              </w:rPr>
            </w:pPr>
            <w:r>
              <w:rPr>
                <w:rFonts w:ascii="HendersonSansW00-BasicLight" w:hAnsi="HendersonSansW00-BasicLight"/>
                <w:color w:val="FFFFFF" w:themeColor="background1"/>
                <w:sz w:val="20"/>
              </w:rPr>
              <w:t>Seguimiento</w:t>
            </w:r>
          </w:p>
        </w:tc>
      </w:tr>
      <w:tr w:rsidR="00AB619E" w14:paraId="4E69EF46" w14:textId="77777777" w:rsidTr="00AB619E">
        <w:trPr>
          <w:jc w:val="center"/>
        </w:trPr>
        <w:tc>
          <w:tcPr>
            <w:tcW w:w="1246" w:type="dxa"/>
            <w:tcBorders>
              <w:top w:val="single" w:sz="4" w:space="0" w:color="auto"/>
              <w:left w:val="single" w:sz="4" w:space="0" w:color="auto"/>
              <w:bottom w:val="single" w:sz="4" w:space="0" w:color="auto"/>
              <w:right w:val="single" w:sz="4" w:space="0" w:color="auto"/>
            </w:tcBorders>
          </w:tcPr>
          <w:p w14:paraId="7CD9DCAE" w14:textId="77777777" w:rsidR="00AB619E" w:rsidRDefault="00AB619E">
            <w:pPr>
              <w:jc w:val="center"/>
              <w:rPr>
                <w:rFonts w:ascii="HendersonSansW00-BasicLight" w:hAnsi="HendersonSansW00-BasicLight"/>
                <w:sz w:val="20"/>
              </w:rPr>
            </w:pPr>
          </w:p>
        </w:tc>
        <w:tc>
          <w:tcPr>
            <w:tcW w:w="1247" w:type="dxa"/>
            <w:tcBorders>
              <w:top w:val="single" w:sz="4" w:space="0" w:color="auto"/>
              <w:left w:val="single" w:sz="4" w:space="0" w:color="auto"/>
              <w:bottom w:val="single" w:sz="4" w:space="0" w:color="auto"/>
              <w:right w:val="single" w:sz="4" w:space="0" w:color="auto"/>
            </w:tcBorders>
          </w:tcPr>
          <w:p w14:paraId="4CF3EEDB" w14:textId="77777777" w:rsidR="00AB619E" w:rsidRDefault="00AB619E">
            <w:pPr>
              <w:jc w:val="center"/>
              <w:rPr>
                <w:rFonts w:ascii="HendersonSansW00-BasicLight" w:hAnsi="HendersonSansW00-BasicLight"/>
                <w:sz w:val="20"/>
              </w:rPr>
            </w:pPr>
          </w:p>
        </w:tc>
        <w:tc>
          <w:tcPr>
            <w:tcW w:w="1247" w:type="dxa"/>
            <w:tcBorders>
              <w:top w:val="single" w:sz="4" w:space="0" w:color="auto"/>
              <w:left w:val="single" w:sz="4" w:space="0" w:color="auto"/>
              <w:bottom w:val="single" w:sz="4" w:space="0" w:color="auto"/>
              <w:right w:val="single" w:sz="4" w:space="0" w:color="auto"/>
            </w:tcBorders>
          </w:tcPr>
          <w:p w14:paraId="451F13E9" w14:textId="77777777" w:rsidR="00AB619E" w:rsidRDefault="00AB619E">
            <w:pPr>
              <w:jc w:val="center"/>
              <w:rPr>
                <w:rFonts w:ascii="HendersonSansW00-BasicLight" w:hAnsi="HendersonSansW00-BasicLight"/>
                <w:sz w:val="20"/>
              </w:rPr>
            </w:pPr>
          </w:p>
        </w:tc>
        <w:tc>
          <w:tcPr>
            <w:tcW w:w="1358" w:type="dxa"/>
            <w:tcBorders>
              <w:top w:val="single" w:sz="4" w:space="0" w:color="auto"/>
              <w:left w:val="single" w:sz="4" w:space="0" w:color="auto"/>
              <w:bottom w:val="single" w:sz="4" w:space="0" w:color="auto"/>
              <w:right w:val="single" w:sz="4" w:space="0" w:color="auto"/>
            </w:tcBorders>
          </w:tcPr>
          <w:p w14:paraId="544BAF01" w14:textId="77777777" w:rsidR="00AB619E" w:rsidRDefault="00AB619E">
            <w:pPr>
              <w:jc w:val="center"/>
              <w:rPr>
                <w:rFonts w:ascii="HendersonSansW00-BasicLight" w:hAnsi="HendersonSansW00-BasicLight"/>
                <w:sz w:val="20"/>
              </w:rPr>
            </w:pPr>
          </w:p>
        </w:tc>
        <w:tc>
          <w:tcPr>
            <w:tcW w:w="1276" w:type="dxa"/>
            <w:tcBorders>
              <w:top w:val="single" w:sz="4" w:space="0" w:color="auto"/>
              <w:left w:val="single" w:sz="4" w:space="0" w:color="auto"/>
              <w:bottom w:val="single" w:sz="4" w:space="0" w:color="auto"/>
              <w:right w:val="single" w:sz="4" w:space="0" w:color="auto"/>
            </w:tcBorders>
          </w:tcPr>
          <w:p w14:paraId="76859FA3" w14:textId="77777777" w:rsidR="00AB619E" w:rsidRDefault="00AB619E">
            <w:pPr>
              <w:jc w:val="center"/>
              <w:rPr>
                <w:rFonts w:ascii="HendersonSansW00-BasicLight" w:hAnsi="HendersonSansW00-BasicLight"/>
                <w:sz w:val="20"/>
              </w:rPr>
            </w:pPr>
          </w:p>
        </w:tc>
        <w:tc>
          <w:tcPr>
            <w:tcW w:w="1418" w:type="dxa"/>
            <w:tcBorders>
              <w:top w:val="single" w:sz="4" w:space="0" w:color="auto"/>
              <w:left w:val="single" w:sz="4" w:space="0" w:color="auto"/>
              <w:bottom w:val="single" w:sz="4" w:space="0" w:color="auto"/>
              <w:right w:val="single" w:sz="4" w:space="0" w:color="auto"/>
            </w:tcBorders>
          </w:tcPr>
          <w:p w14:paraId="7F4A2E17" w14:textId="77777777" w:rsidR="00AB619E" w:rsidRDefault="00AB619E">
            <w:pPr>
              <w:jc w:val="center"/>
              <w:rPr>
                <w:rFonts w:ascii="HendersonSansW00-BasicLight" w:hAnsi="HendersonSansW00-BasicLight"/>
                <w:sz w:val="20"/>
              </w:rPr>
            </w:pPr>
          </w:p>
        </w:tc>
        <w:tc>
          <w:tcPr>
            <w:tcW w:w="992" w:type="dxa"/>
            <w:tcBorders>
              <w:top w:val="single" w:sz="4" w:space="0" w:color="auto"/>
              <w:left w:val="single" w:sz="4" w:space="0" w:color="auto"/>
              <w:bottom w:val="single" w:sz="4" w:space="0" w:color="auto"/>
              <w:right w:val="single" w:sz="4" w:space="0" w:color="auto"/>
            </w:tcBorders>
          </w:tcPr>
          <w:p w14:paraId="5BD72E8D" w14:textId="77777777" w:rsidR="00AB619E" w:rsidRDefault="00AB619E">
            <w:pPr>
              <w:jc w:val="center"/>
              <w:rPr>
                <w:rFonts w:ascii="HendersonSansW00-BasicLight" w:hAnsi="HendersonSansW00-BasicLight"/>
                <w:sz w:val="20"/>
              </w:rPr>
            </w:pPr>
          </w:p>
        </w:tc>
        <w:tc>
          <w:tcPr>
            <w:tcW w:w="1701" w:type="dxa"/>
            <w:tcBorders>
              <w:top w:val="single" w:sz="4" w:space="0" w:color="auto"/>
              <w:left w:val="single" w:sz="4" w:space="0" w:color="auto"/>
              <w:bottom w:val="single" w:sz="4" w:space="0" w:color="auto"/>
              <w:right w:val="single" w:sz="4" w:space="0" w:color="auto"/>
            </w:tcBorders>
          </w:tcPr>
          <w:p w14:paraId="6921BD59" w14:textId="77777777" w:rsidR="00AB619E" w:rsidRDefault="00AB619E">
            <w:pPr>
              <w:jc w:val="center"/>
              <w:rPr>
                <w:rFonts w:ascii="HendersonSansW00-BasicLight" w:hAnsi="HendersonSansW00-BasicLight"/>
                <w:sz w:val="20"/>
              </w:rPr>
            </w:pPr>
          </w:p>
        </w:tc>
      </w:tr>
      <w:tr w:rsidR="00AB619E" w14:paraId="1E6F3D0F" w14:textId="77777777" w:rsidTr="00AB619E">
        <w:trPr>
          <w:jc w:val="center"/>
        </w:trPr>
        <w:tc>
          <w:tcPr>
            <w:tcW w:w="1246" w:type="dxa"/>
            <w:tcBorders>
              <w:top w:val="single" w:sz="4" w:space="0" w:color="auto"/>
              <w:left w:val="single" w:sz="4" w:space="0" w:color="auto"/>
              <w:bottom w:val="single" w:sz="4" w:space="0" w:color="auto"/>
              <w:right w:val="single" w:sz="4" w:space="0" w:color="auto"/>
            </w:tcBorders>
          </w:tcPr>
          <w:p w14:paraId="510D3881" w14:textId="77777777" w:rsidR="00AB619E" w:rsidRDefault="00AB619E">
            <w:pPr>
              <w:jc w:val="center"/>
              <w:rPr>
                <w:rFonts w:ascii="HendersonSansW00-BasicLight" w:hAnsi="HendersonSansW00-BasicLight"/>
                <w:sz w:val="20"/>
              </w:rPr>
            </w:pPr>
          </w:p>
        </w:tc>
        <w:tc>
          <w:tcPr>
            <w:tcW w:w="1247" w:type="dxa"/>
            <w:tcBorders>
              <w:top w:val="single" w:sz="4" w:space="0" w:color="auto"/>
              <w:left w:val="single" w:sz="4" w:space="0" w:color="auto"/>
              <w:bottom w:val="single" w:sz="4" w:space="0" w:color="auto"/>
              <w:right w:val="single" w:sz="4" w:space="0" w:color="auto"/>
            </w:tcBorders>
          </w:tcPr>
          <w:p w14:paraId="033D922C" w14:textId="77777777" w:rsidR="00AB619E" w:rsidRDefault="00AB619E">
            <w:pPr>
              <w:jc w:val="center"/>
              <w:rPr>
                <w:rFonts w:ascii="HendersonSansW00-BasicLight" w:hAnsi="HendersonSansW00-BasicLight"/>
                <w:sz w:val="20"/>
              </w:rPr>
            </w:pPr>
          </w:p>
        </w:tc>
        <w:tc>
          <w:tcPr>
            <w:tcW w:w="1247" w:type="dxa"/>
            <w:tcBorders>
              <w:top w:val="single" w:sz="4" w:space="0" w:color="auto"/>
              <w:left w:val="single" w:sz="4" w:space="0" w:color="auto"/>
              <w:bottom w:val="single" w:sz="4" w:space="0" w:color="auto"/>
              <w:right w:val="single" w:sz="4" w:space="0" w:color="auto"/>
            </w:tcBorders>
          </w:tcPr>
          <w:p w14:paraId="6C1D4546" w14:textId="77777777" w:rsidR="00AB619E" w:rsidRDefault="00AB619E">
            <w:pPr>
              <w:jc w:val="center"/>
              <w:rPr>
                <w:rFonts w:ascii="HendersonSansW00-BasicLight" w:hAnsi="HendersonSansW00-BasicLight"/>
                <w:sz w:val="20"/>
              </w:rPr>
            </w:pPr>
          </w:p>
        </w:tc>
        <w:tc>
          <w:tcPr>
            <w:tcW w:w="1358" w:type="dxa"/>
            <w:tcBorders>
              <w:top w:val="single" w:sz="4" w:space="0" w:color="auto"/>
              <w:left w:val="single" w:sz="4" w:space="0" w:color="auto"/>
              <w:bottom w:val="single" w:sz="4" w:space="0" w:color="auto"/>
              <w:right w:val="single" w:sz="4" w:space="0" w:color="auto"/>
            </w:tcBorders>
          </w:tcPr>
          <w:p w14:paraId="39F77D7A" w14:textId="77777777" w:rsidR="00AB619E" w:rsidRDefault="00AB619E">
            <w:pPr>
              <w:jc w:val="center"/>
              <w:rPr>
                <w:rFonts w:ascii="HendersonSansW00-BasicLight" w:hAnsi="HendersonSansW00-BasicLight"/>
                <w:sz w:val="20"/>
              </w:rPr>
            </w:pPr>
          </w:p>
        </w:tc>
        <w:tc>
          <w:tcPr>
            <w:tcW w:w="1276" w:type="dxa"/>
            <w:tcBorders>
              <w:top w:val="single" w:sz="4" w:space="0" w:color="auto"/>
              <w:left w:val="single" w:sz="4" w:space="0" w:color="auto"/>
              <w:bottom w:val="single" w:sz="4" w:space="0" w:color="auto"/>
              <w:right w:val="single" w:sz="4" w:space="0" w:color="auto"/>
            </w:tcBorders>
          </w:tcPr>
          <w:p w14:paraId="66958337" w14:textId="77777777" w:rsidR="00AB619E" w:rsidRDefault="00AB619E">
            <w:pPr>
              <w:jc w:val="center"/>
              <w:rPr>
                <w:rFonts w:ascii="HendersonSansW00-BasicLight" w:hAnsi="HendersonSansW00-BasicLight"/>
                <w:sz w:val="20"/>
              </w:rPr>
            </w:pPr>
          </w:p>
        </w:tc>
        <w:tc>
          <w:tcPr>
            <w:tcW w:w="1418" w:type="dxa"/>
            <w:tcBorders>
              <w:top w:val="single" w:sz="4" w:space="0" w:color="auto"/>
              <w:left w:val="single" w:sz="4" w:space="0" w:color="auto"/>
              <w:bottom w:val="single" w:sz="4" w:space="0" w:color="auto"/>
              <w:right w:val="single" w:sz="4" w:space="0" w:color="auto"/>
            </w:tcBorders>
          </w:tcPr>
          <w:p w14:paraId="10D7C347" w14:textId="77777777" w:rsidR="00AB619E" w:rsidRDefault="00AB619E">
            <w:pPr>
              <w:jc w:val="center"/>
              <w:rPr>
                <w:rFonts w:ascii="HendersonSansW00-BasicLight" w:hAnsi="HendersonSansW00-BasicLight"/>
                <w:sz w:val="20"/>
              </w:rPr>
            </w:pPr>
          </w:p>
        </w:tc>
        <w:tc>
          <w:tcPr>
            <w:tcW w:w="992" w:type="dxa"/>
            <w:tcBorders>
              <w:top w:val="single" w:sz="4" w:space="0" w:color="auto"/>
              <w:left w:val="single" w:sz="4" w:space="0" w:color="auto"/>
              <w:bottom w:val="single" w:sz="4" w:space="0" w:color="auto"/>
              <w:right w:val="single" w:sz="4" w:space="0" w:color="auto"/>
            </w:tcBorders>
          </w:tcPr>
          <w:p w14:paraId="406B3CA8" w14:textId="77777777" w:rsidR="00AB619E" w:rsidRDefault="00AB619E">
            <w:pPr>
              <w:jc w:val="center"/>
              <w:rPr>
                <w:rFonts w:ascii="HendersonSansW00-BasicLight" w:hAnsi="HendersonSansW00-BasicLight"/>
                <w:sz w:val="20"/>
              </w:rPr>
            </w:pPr>
          </w:p>
        </w:tc>
        <w:tc>
          <w:tcPr>
            <w:tcW w:w="1701" w:type="dxa"/>
            <w:tcBorders>
              <w:top w:val="single" w:sz="4" w:space="0" w:color="auto"/>
              <w:left w:val="single" w:sz="4" w:space="0" w:color="auto"/>
              <w:bottom w:val="single" w:sz="4" w:space="0" w:color="auto"/>
              <w:right w:val="single" w:sz="4" w:space="0" w:color="auto"/>
            </w:tcBorders>
          </w:tcPr>
          <w:p w14:paraId="6D02C5E8" w14:textId="77777777" w:rsidR="00AB619E" w:rsidRDefault="00AB619E">
            <w:pPr>
              <w:jc w:val="center"/>
              <w:rPr>
                <w:rFonts w:ascii="HendersonSansW00-BasicLight" w:hAnsi="HendersonSansW00-BasicLight"/>
                <w:sz w:val="20"/>
              </w:rPr>
            </w:pPr>
          </w:p>
        </w:tc>
      </w:tr>
      <w:tr w:rsidR="00AB619E" w14:paraId="79073509" w14:textId="77777777" w:rsidTr="00AB619E">
        <w:trPr>
          <w:jc w:val="center"/>
        </w:trPr>
        <w:tc>
          <w:tcPr>
            <w:tcW w:w="1246" w:type="dxa"/>
            <w:tcBorders>
              <w:top w:val="single" w:sz="4" w:space="0" w:color="auto"/>
              <w:left w:val="single" w:sz="4" w:space="0" w:color="auto"/>
              <w:bottom w:val="single" w:sz="4" w:space="0" w:color="auto"/>
              <w:right w:val="single" w:sz="4" w:space="0" w:color="auto"/>
            </w:tcBorders>
          </w:tcPr>
          <w:p w14:paraId="2C8631F5" w14:textId="77777777" w:rsidR="00AB619E" w:rsidRDefault="00AB619E">
            <w:pPr>
              <w:jc w:val="center"/>
              <w:rPr>
                <w:rFonts w:ascii="HendersonSansW00-BasicLight" w:hAnsi="HendersonSansW00-BasicLight"/>
                <w:sz w:val="20"/>
              </w:rPr>
            </w:pPr>
          </w:p>
        </w:tc>
        <w:tc>
          <w:tcPr>
            <w:tcW w:w="1247" w:type="dxa"/>
            <w:tcBorders>
              <w:top w:val="single" w:sz="4" w:space="0" w:color="auto"/>
              <w:left w:val="single" w:sz="4" w:space="0" w:color="auto"/>
              <w:bottom w:val="single" w:sz="4" w:space="0" w:color="auto"/>
              <w:right w:val="single" w:sz="4" w:space="0" w:color="auto"/>
            </w:tcBorders>
          </w:tcPr>
          <w:p w14:paraId="33373EC0" w14:textId="77777777" w:rsidR="00AB619E" w:rsidRDefault="00AB619E">
            <w:pPr>
              <w:jc w:val="center"/>
              <w:rPr>
                <w:rFonts w:ascii="HendersonSansW00-BasicLight" w:hAnsi="HendersonSansW00-BasicLight"/>
                <w:sz w:val="20"/>
              </w:rPr>
            </w:pPr>
          </w:p>
        </w:tc>
        <w:tc>
          <w:tcPr>
            <w:tcW w:w="1247" w:type="dxa"/>
            <w:tcBorders>
              <w:top w:val="single" w:sz="4" w:space="0" w:color="auto"/>
              <w:left w:val="single" w:sz="4" w:space="0" w:color="auto"/>
              <w:bottom w:val="single" w:sz="4" w:space="0" w:color="auto"/>
              <w:right w:val="single" w:sz="4" w:space="0" w:color="auto"/>
            </w:tcBorders>
          </w:tcPr>
          <w:p w14:paraId="696F0ECF" w14:textId="77777777" w:rsidR="00AB619E" w:rsidRDefault="00AB619E">
            <w:pPr>
              <w:jc w:val="center"/>
              <w:rPr>
                <w:rFonts w:ascii="HendersonSansW00-BasicLight" w:hAnsi="HendersonSansW00-BasicLight"/>
                <w:sz w:val="20"/>
              </w:rPr>
            </w:pPr>
          </w:p>
        </w:tc>
        <w:tc>
          <w:tcPr>
            <w:tcW w:w="1358" w:type="dxa"/>
            <w:tcBorders>
              <w:top w:val="single" w:sz="4" w:space="0" w:color="auto"/>
              <w:left w:val="single" w:sz="4" w:space="0" w:color="auto"/>
              <w:bottom w:val="single" w:sz="4" w:space="0" w:color="auto"/>
              <w:right w:val="single" w:sz="4" w:space="0" w:color="auto"/>
            </w:tcBorders>
          </w:tcPr>
          <w:p w14:paraId="64980AD7" w14:textId="77777777" w:rsidR="00AB619E" w:rsidRDefault="00AB619E">
            <w:pPr>
              <w:jc w:val="center"/>
              <w:rPr>
                <w:rFonts w:ascii="HendersonSansW00-BasicLight" w:hAnsi="HendersonSansW00-BasicLight"/>
                <w:sz w:val="20"/>
              </w:rPr>
            </w:pPr>
          </w:p>
        </w:tc>
        <w:tc>
          <w:tcPr>
            <w:tcW w:w="1276" w:type="dxa"/>
            <w:tcBorders>
              <w:top w:val="single" w:sz="4" w:space="0" w:color="auto"/>
              <w:left w:val="single" w:sz="4" w:space="0" w:color="auto"/>
              <w:bottom w:val="single" w:sz="4" w:space="0" w:color="auto"/>
              <w:right w:val="single" w:sz="4" w:space="0" w:color="auto"/>
            </w:tcBorders>
          </w:tcPr>
          <w:p w14:paraId="37E4CCAC" w14:textId="77777777" w:rsidR="00AB619E" w:rsidRDefault="00AB619E">
            <w:pPr>
              <w:jc w:val="center"/>
              <w:rPr>
                <w:rFonts w:ascii="HendersonSansW00-BasicLight" w:hAnsi="HendersonSansW00-BasicLight"/>
                <w:sz w:val="20"/>
              </w:rPr>
            </w:pPr>
          </w:p>
        </w:tc>
        <w:tc>
          <w:tcPr>
            <w:tcW w:w="1418" w:type="dxa"/>
            <w:tcBorders>
              <w:top w:val="single" w:sz="4" w:space="0" w:color="auto"/>
              <w:left w:val="single" w:sz="4" w:space="0" w:color="auto"/>
              <w:bottom w:val="single" w:sz="4" w:space="0" w:color="auto"/>
              <w:right w:val="single" w:sz="4" w:space="0" w:color="auto"/>
            </w:tcBorders>
          </w:tcPr>
          <w:p w14:paraId="5F8CB1E8" w14:textId="77777777" w:rsidR="00AB619E" w:rsidRDefault="00AB619E">
            <w:pPr>
              <w:jc w:val="center"/>
              <w:rPr>
                <w:rFonts w:ascii="HendersonSansW00-BasicLight" w:hAnsi="HendersonSansW00-BasicLight"/>
                <w:sz w:val="20"/>
              </w:rPr>
            </w:pPr>
          </w:p>
        </w:tc>
        <w:tc>
          <w:tcPr>
            <w:tcW w:w="992" w:type="dxa"/>
            <w:tcBorders>
              <w:top w:val="single" w:sz="4" w:space="0" w:color="auto"/>
              <w:left w:val="single" w:sz="4" w:space="0" w:color="auto"/>
              <w:bottom w:val="single" w:sz="4" w:space="0" w:color="auto"/>
              <w:right w:val="single" w:sz="4" w:space="0" w:color="auto"/>
            </w:tcBorders>
          </w:tcPr>
          <w:p w14:paraId="3391FFCD" w14:textId="77777777" w:rsidR="00AB619E" w:rsidRDefault="00AB619E">
            <w:pPr>
              <w:jc w:val="center"/>
              <w:rPr>
                <w:rFonts w:ascii="HendersonSansW00-BasicLight" w:hAnsi="HendersonSansW00-BasicLight"/>
                <w:sz w:val="20"/>
              </w:rPr>
            </w:pPr>
          </w:p>
        </w:tc>
        <w:tc>
          <w:tcPr>
            <w:tcW w:w="1701" w:type="dxa"/>
            <w:tcBorders>
              <w:top w:val="single" w:sz="4" w:space="0" w:color="auto"/>
              <w:left w:val="single" w:sz="4" w:space="0" w:color="auto"/>
              <w:bottom w:val="single" w:sz="4" w:space="0" w:color="auto"/>
              <w:right w:val="single" w:sz="4" w:space="0" w:color="auto"/>
            </w:tcBorders>
          </w:tcPr>
          <w:p w14:paraId="030F323E" w14:textId="77777777" w:rsidR="00AB619E" w:rsidRDefault="00AB619E">
            <w:pPr>
              <w:jc w:val="center"/>
              <w:rPr>
                <w:rFonts w:ascii="HendersonSansW00-BasicLight" w:hAnsi="HendersonSansW00-BasicLight"/>
                <w:sz w:val="20"/>
              </w:rPr>
            </w:pPr>
          </w:p>
        </w:tc>
      </w:tr>
    </w:tbl>
    <w:p w14:paraId="18CE9F2B" w14:textId="77777777" w:rsidR="00AB619E" w:rsidRDefault="00AB619E" w:rsidP="00AB619E">
      <w:pPr>
        <w:rPr>
          <w:rFonts w:eastAsia="Calibri"/>
          <w:color w:val="000000"/>
          <w:szCs w:val="24"/>
          <w:lang w:val="es-ES" w:eastAsia="es-CR"/>
        </w:rPr>
      </w:pPr>
    </w:p>
    <w:p w14:paraId="04F394FF" w14:textId="768E7BCC" w:rsidR="0068177A" w:rsidRDefault="0068177A" w:rsidP="002E2C5B">
      <w:pPr>
        <w:ind w:left="851"/>
        <w:rPr>
          <w:rFonts w:eastAsia="Calibri"/>
          <w:b/>
          <w:bCs/>
          <w:color w:val="000000"/>
          <w:szCs w:val="24"/>
          <w:lang w:val="es-ES" w:eastAsia="es-CR"/>
        </w:rPr>
      </w:pPr>
      <w:r w:rsidRPr="0068177A">
        <w:rPr>
          <w:rFonts w:eastAsia="Calibri"/>
          <w:b/>
          <w:bCs/>
          <w:color w:val="000000"/>
          <w:szCs w:val="24"/>
          <w:lang w:val="es-ES" w:eastAsia="es-CR"/>
        </w:rPr>
        <w:t>Ver al respecto nota complementaria adjunta.</w:t>
      </w:r>
    </w:p>
    <w:p w14:paraId="090AA336" w14:textId="77777777" w:rsidR="0068177A" w:rsidRPr="0068177A" w:rsidRDefault="0068177A" w:rsidP="00AB619E">
      <w:pPr>
        <w:rPr>
          <w:rFonts w:eastAsia="Calibri"/>
          <w:b/>
          <w:bCs/>
          <w:color w:val="000000"/>
          <w:szCs w:val="24"/>
          <w:lang w:val="es-ES" w:eastAsia="es-CR"/>
        </w:rPr>
      </w:pPr>
    </w:p>
    <w:p w14:paraId="49BCFC41" w14:textId="77777777" w:rsidR="00AB619E" w:rsidRDefault="00AB619E" w:rsidP="00AB619E">
      <w:pPr>
        <w:pStyle w:val="Prrafodelista"/>
        <w:numPr>
          <w:ilvl w:val="0"/>
          <w:numId w:val="60"/>
        </w:numPr>
        <w:spacing w:line="254" w:lineRule="auto"/>
        <w:rPr>
          <w:rFonts w:eastAsia="Times New Roman" w:cstheme="majorBidi"/>
          <w:b/>
          <w:color w:val="1F3864"/>
          <w:sz w:val="26"/>
          <w:szCs w:val="32"/>
          <w:u w:val="single"/>
        </w:rPr>
      </w:pPr>
      <w:r>
        <w:rPr>
          <w:rFonts w:eastAsia="Times New Roman" w:cstheme="majorBidi"/>
          <w:b/>
          <w:color w:val="1F3864"/>
          <w:sz w:val="26"/>
          <w:szCs w:val="32"/>
          <w:u w:val="single"/>
        </w:rPr>
        <w:t>Nota complementaria denominada “Cumplimiento de la Ley 10092”</w:t>
      </w:r>
    </w:p>
    <w:p w14:paraId="722615F6" w14:textId="77777777" w:rsidR="00AB619E" w:rsidRDefault="00AB619E" w:rsidP="00AB619E">
      <w:pPr>
        <w:rPr>
          <w:rFonts w:eastAsia="Calibri"/>
          <w:color w:val="000000"/>
          <w:szCs w:val="24"/>
          <w:lang w:val="es-ES" w:eastAsia="es-CR"/>
        </w:rPr>
      </w:pPr>
    </w:p>
    <w:p w14:paraId="78240430" w14:textId="0B724C08" w:rsidR="0068177A" w:rsidRPr="0068177A" w:rsidRDefault="0068177A" w:rsidP="0068177A">
      <w:pPr>
        <w:ind w:left="851"/>
        <w:rPr>
          <w:rFonts w:eastAsia="Calibri"/>
          <w:b/>
          <w:bCs/>
          <w:color w:val="000000"/>
          <w:szCs w:val="24"/>
          <w:lang w:val="es-ES" w:eastAsia="es-CR"/>
        </w:rPr>
      </w:pPr>
      <w:r w:rsidRPr="0068177A">
        <w:rPr>
          <w:rFonts w:eastAsia="Calibri"/>
          <w:b/>
          <w:bCs/>
          <w:color w:val="000000"/>
          <w:szCs w:val="24"/>
          <w:lang w:val="es-ES" w:eastAsia="es-CR"/>
        </w:rPr>
        <w:t>Ver al respecto nota complementaria adjunta</w:t>
      </w:r>
      <w:r w:rsidR="00E547CB">
        <w:rPr>
          <w:rFonts w:eastAsia="Calibri"/>
          <w:b/>
          <w:bCs/>
          <w:color w:val="000000"/>
          <w:szCs w:val="24"/>
          <w:lang w:val="es-ES" w:eastAsia="es-CR"/>
        </w:rPr>
        <w:t xml:space="preserve"> AMBA-339-2024</w:t>
      </w:r>
      <w:r w:rsidRPr="0068177A">
        <w:rPr>
          <w:rFonts w:eastAsia="Calibri"/>
          <w:b/>
          <w:bCs/>
          <w:color w:val="000000"/>
          <w:szCs w:val="24"/>
          <w:lang w:val="es-ES" w:eastAsia="es-CR"/>
        </w:rPr>
        <w:t>.</w:t>
      </w:r>
    </w:p>
    <w:p w14:paraId="4BFC92C8" w14:textId="77777777" w:rsidR="00AB619E" w:rsidRDefault="00AB619E" w:rsidP="00AB619E">
      <w:pPr>
        <w:rPr>
          <w:rFonts w:eastAsia="Calibri"/>
          <w:color w:val="000000"/>
          <w:szCs w:val="24"/>
          <w:lang w:val="es-ES" w:eastAsia="es-CR"/>
        </w:rPr>
      </w:pPr>
    </w:p>
    <w:p w14:paraId="3397E81C" w14:textId="77777777" w:rsidR="00AB619E" w:rsidRDefault="00AB619E" w:rsidP="00AB619E">
      <w:pPr>
        <w:pStyle w:val="Prrafodelista"/>
        <w:numPr>
          <w:ilvl w:val="0"/>
          <w:numId w:val="60"/>
        </w:numPr>
        <w:spacing w:line="254" w:lineRule="auto"/>
        <w:rPr>
          <w:rFonts w:eastAsia="Times New Roman" w:cstheme="majorBidi"/>
          <w:b/>
          <w:color w:val="1F3864"/>
          <w:sz w:val="26"/>
          <w:szCs w:val="32"/>
          <w:u w:val="single"/>
        </w:rPr>
      </w:pPr>
      <w:r>
        <w:rPr>
          <w:rFonts w:eastAsia="Times New Roman" w:cstheme="majorBidi"/>
          <w:b/>
          <w:color w:val="1F3864"/>
          <w:sz w:val="26"/>
          <w:szCs w:val="32"/>
          <w:u w:val="single"/>
        </w:rPr>
        <w:t>Nota complementaria denominada “Depuración de Cuentas Contables”</w:t>
      </w:r>
    </w:p>
    <w:p w14:paraId="13336457" w14:textId="74244386" w:rsidR="0068177A" w:rsidRPr="0068177A" w:rsidRDefault="0068177A" w:rsidP="0068177A">
      <w:pPr>
        <w:pStyle w:val="Prrafodelista"/>
        <w:numPr>
          <w:ilvl w:val="0"/>
          <w:numId w:val="60"/>
        </w:numPr>
        <w:rPr>
          <w:rFonts w:eastAsia="Calibri"/>
          <w:b/>
          <w:bCs/>
          <w:color w:val="000000"/>
          <w:szCs w:val="24"/>
          <w:lang w:val="es-ES" w:eastAsia="es-CR"/>
        </w:rPr>
      </w:pPr>
      <w:r w:rsidRPr="0068177A">
        <w:rPr>
          <w:rFonts w:eastAsia="Calibri"/>
          <w:b/>
          <w:bCs/>
          <w:color w:val="000000"/>
          <w:szCs w:val="24"/>
          <w:lang w:val="es-ES" w:eastAsia="es-CR"/>
        </w:rPr>
        <w:t>Ver al respecto nota complementaria adjunta</w:t>
      </w:r>
      <w:r w:rsidR="00E547CB">
        <w:rPr>
          <w:rFonts w:eastAsia="Calibri"/>
          <w:b/>
          <w:bCs/>
          <w:color w:val="000000"/>
          <w:szCs w:val="24"/>
          <w:lang w:val="es-ES" w:eastAsia="es-CR"/>
        </w:rPr>
        <w:t xml:space="preserve"> AMBA-339-2024</w:t>
      </w:r>
      <w:r w:rsidRPr="0068177A">
        <w:rPr>
          <w:rFonts w:eastAsia="Calibri"/>
          <w:b/>
          <w:bCs/>
          <w:color w:val="000000"/>
          <w:szCs w:val="24"/>
          <w:lang w:val="es-ES" w:eastAsia="es-CR"/>
        </w:rPr>
        <w:t>.</w:t>
      </w:r>
    </w:p>
    <w:p w14:paraId="65B051C3" w14:textId="77777777" w:rsidR="00AB619E" w:rsidRDefault="00AB619E" w:rsidP="00AB619E">
      <w:pPr>
        <w:rPr>
          <w:rFonts w:eastAsia="Calibri"/>
          <w:color w:val="000000"/>
          <w:szCs w:val="24"/>
          <w:lang w:val="es-ES" w:eastAsia="es-CR"/>
        </w:rPr>
      </w:pPr>
    </w:p>
    <w:p w14:paraId="383D8CA4" w14:textId="77777777" w:rsidR="00AB619E" w:rsidRDefault="00AB619E" w:rsidP="00AB619E">
      <w:pPr>
        <w:rPr>
          <w:rFonts w:eastAsia="Calibri"/>
          <w:color w:val="000000"/>
          <w:szCs w:val="24"/>
          <w:lang w:val="es-ES" w:eastAsia="es-CR"/>
        </w:rPr>
      </w:pPr>
    </w:p>
    <w:p w14:paraId="2C495183" w14:textId="77777777" w:rsidR="00AB619E" w:rsidRDefault="00AB619E" w:rsidP="00AB619E">
      <w:pPr>
        <w:pStyle w:val="Prrafodelista"/>
        <w:numPr>
          <w:ilvl w:val="0"/>
          <w:numId w:val="60"/>
        </w:numPr>
        <w:spacing w:line="254" w:lineRule="auto"/>
        <w:rPr>
          <w:rFonts w:eastAsia="Times New Roman" w:cstheme="majorBidi"/>
          <w:b/>
          <w:color w:val="1F3864"/>
          <w:sz w:val="26"/>
          <w:szCs w:val="32"/>
          <w:u w:val="single"/>
        </w:rPr>
      </w:pPr>
      <w:r>
        <w:rPr>
          <w:rFonts w:eastAsia="Times New Roman" w:cstheme="majorBidi"/>
          <w:b/>
          <w:color w:val="1F3864"/>
          <w:sz w:val="26"/>
          <w:szCs w:val="32"/>
          <w:u w:val="single"/>
        </w:rPr>
        <w:t>Nota complementaria denominada “Confirmación de Saldos”</w:t>
      </w:r>
    </w:p>
    <w:p w14:paraId="13C8D194" w14:textId="77777777" w:rsidR="00AB619E" w:rsidRDefault="00AB619E" w:rsidP="00AB619E">
      <w:pPr>
        <w:rPr>
          <w:rFonts w:eastAsia="Times New Roman" w:cstheme="majorBidi"/>
          <w:b/>
          <w:color w:val="1F3864"/>
          <w:sz w:val="26"/>
          <w:szCs w:val="32"/>
          <w:u w:val="single"/>
        </w:rPr>
      </w:pPr>
    </w:p>
    <w:p w14:paraId="4E8B8DF4" w14:textId="763919B7" w:rsidR="0068177A" w:rsidRPr="0068177A" w:rsidRDefault="0068177A" w:rsidP="0068177A">
      <w:pPr>
        <w:ind w:left="851"/>
        <w:rPr>
          <w:rFonts w:eastAsia="Calibri"/>
          <w:b/>
          <w:bCs/>
          <w:color w:val="000000"/>
          <w:szCs w:val="24"/>
          <w:lang w:val="es-ES" w:eastAsia="es-CR"/>
        </w:rPr>
      </w:pPr>
      <w:r w:rsidRPr="0068177A">
        <w:rPr>
          <w:rFonts w:eastAsia="Calibri"/>
          <w:b/>
          <w:bCs/>
          <w:color w:val="000000"/>
          <w:szCs w:val="24"/>
          <w:lang w:val="es-ES" w:eastAsia="es-CR"/>
        </w:rPr>
        <w:t>Ver al respecto nota complementaria adjunta</w:t>
      </w:r>
      <w:r w:rsidR="00E547CB">
        <w:rPr>
          <w:rFonts w:eastAsia="Calibri"/>
          <w:b/>
          <w:bCs/>
          <w:color w:val="000000"/>
          <w:szCs w:val="24"/>
          <w:lang w:val="es-ES" w:eastAsia="es-CR"/>
        </w:rPr>
        <w:t xml:space="preserve"> AMBA-339-2024</w:t>
      </w:r>
      <w:r w:rsidRPr="0068177A">
        <w:rPr>
          <w:rFonts w:eastAsia="Calibri"/>
          <w:b/>
          <w:bCs/>
          <w:color w:val="000000"/>
          <w:szCs w:val="24"/>
          <w:lang w:val="es-ES" w:eastAsia="es-CR"/>
        </w:rPr>
        <w:t>.</w:t>
      </w:r>
    </w:p>
    <w:p w14:paraId="1A1CDD14" w14:textId="77777777" w:rsidR="00AB619E" w:rsidRPr="0068177A" w:rsidRDefault="00AB619E" w:rsidP="00AB619E">
      <w:pPr>
        <w:rPr>
          <w:rFonts w:eastAsia="Times New Roman" w:cstheme="majorBidi"/>
          <w:b/>
          <w:color w:val="1F3864"/>
          <w:sz w:val="26"/>
          <w:szCs w:val="32"/>
          <w:u w:val="single"/>
          <w:lang w:val="es-ES"/>
        </w:rPr>
      </w:pPr>
    </w:p>
    <w:p w14:paraId="605A1896" w14:textId="77777777" w:rsidR="00AB619E" w:rsidRDefault="00AB619E" w:rsidP="00AB619E">
      <w:pPr>
        <w:pStyle w:val="Prrafodelista"/>
        <w:numPr>
          <w:ilvl w:val="0"/>
          <w:numId w:val="60"/>
        </w:numPr>
        <w:spacing w:line="254" w:lineRule="auto"/>
        <w:rPr>
          <w:rFonts w:eastAsia="Times New Roman" w:cstheme="majorBidi"/>
          <w:b/>
          <w:color w:val="1F3864"/>
          <w:sz w:val="26"/>
          <w:szCs w:val="32"/>
          <w:u w:val="single"/>
        </w:rPr>
      </w:pPr>
      <w:r>
        <w:rPr>
          <w:rFonts w:eastAsia="Times New Roman" w:cstheme="majorBidi"/>
          <w:b/>
          <w:color w:val="1F3864"/>
          <w:sz w:val="26"/>
          <w:szCs w:val="32"/>
          <w:u w:val="single"/>
        </w:rPr>
        <w:t>Nota complementaria denominada “Conciliaciones Bancaria “Caja Única”</w:t>
      </w:r>
    </w:p>
    <w:p w14:paraId="7B6E27E7" w14:textId="77777777" w:rsidR="00AB619E" w:rsidRDefault="00AB619E" w:rsidP="00AB619E">
      <w:pPr>
        <w:rPr>
          <w:rFonts w:eastAsia="Times New Roman" w:cstheme="majorBidi"/>
          <w:b/>
          <w:color w:val="1F3864"/>
          <w:sz w:val="26"/>
          <w:szCs w:val="32"/>
          <w:u w:val="single"/>
        </w:rPr>
      </w:pPr>
    </w:p>
    <w:p w14:paraId="5AD1AAD2" w14:textId="1C75C2A7" w:rsidR="0068177A" w:rsidRPr="0068177A" w:rsidRDefault="0068177A" w:rsidP="0068177A">
      <w:pPr>
        <w:ind w:left="851"/>
        <w:rPr>
          <w:rFonts w:eastAsia="Calibri"/>
          <w:b/>
          <w:bCs/>
          <w:color w:val="000000"/>
          <w:szCs w:val="24"/>
          <w:lang w:val="es-ES" w:eastAsia="es-CR"/>
        </w:rPr>
      </w:pPr>
      <w:r w:rsidRPr="0068177A">
        <w:rPr>
          <w:rFonts w:eastAsia="Calibri"/>
          <w:b/>
          <w:bCs/>
          <w:color w:val="000000"/>
          <w:szCs w:val="24"/>
          <w:lang w:val="es-ES" w:eastAsia="es-CR"/>
        </w:rPr>
        <w:t>Ver al respecto nota complementaria adjunta</w:t>
      </w:r>
      <w:r w:rsidR="00E547CB">
        <w:rPr>
          <w:rFonts w:eastAsia="Calibri"/>
          <w:b/>
          <w:bCs/>
          <w:color w:val="000000"/>
          <w:szCs w:val="24"/>
          <w:lang w:val="es-ES" w:eastAsia="es-CR"/>
        </w:rPr>
        <w:t xml:space="preserve"> AMBA-339-2024</w:t>
      </w:r>
      <w:r w:rsidRPr="0068177A">
        <w:rPr>
          <w:rFonts w:eastAsia="Calibri"/>
          <w:b/>
          <w:bCs/>
          <w:color w:val="000000"/>
          <w:szCs w:val="24"/>
          <w:lang w:val="es-ES" w:eastAsia="es-CR"/>
        </w:rPr>
        <w:t>.</w:t>
      </w:r>
      <w:r w:rsidR="00F560B5">
        <w:rPr>
          <w:rFonts w:eastAsia="Calibri"/>
          <w:b/>
          <w:bCs/>
          <w:color w:val="000000"/>
          <w:szCs w:val="24"/>
          <w:lang w:val="es-ES" w:eastAsia="es-CR"/>
        </w:rPr>
        <w:t>Ademas Ajunto Conciliaciones de Caja Única y Estados de cuenta Caja Única como anexos en el Gestor Contable</w:t>
      </w:r>
    </w:p>
    <w:p w14:paraId="4BFDBAF5" w14:textId="77777777" w:rsidR="00AB619E" w:rsidRPr="0068177A" w:rsidRDefault="00AB619E" w:rsidP="00AB619E">
      <w:pPr>
        <w:rPr>
          <w:rFonts w:eastAsia="Times New Roman" w:cstheme="majorBidi"/>
          <w:b/>
          <w:color w:val="1F3864"/>
          <w:sz w:val="26"/>
          <w:szCs w:val="32"/>
          <w:u w:val="single"/>
          <w:lang w:val="es-ES"/>
        </w:rPr>
      </w:pPr>
    </w:p>
    <w:p w14:paraId="5FFA3486" w14:textId="77777777" w:rsidR="00AB619E" w:rsidRDefault="00AB619E" w:rsidP="00AB619E">
      <w:pPr>
        <w:pStyle w:val="Prrafodelista"/>
        <w:numPr>
          <w:ilvl w:val="0"/>
          <w:numId w:val="60"/>
        </w:numPr>
        <w:spacing w:line="254" w:lineRule="auto"/>
        <w:rPr>
          <w:rFonts w:eastAsia="Times New Roman" w:cstheme="majorBidi"/>
          <w:b/>
          <w:color w:val="1F3864"/>
          <w:sz w:val="26"/>
          <w:szCs w:val="32"/>
          <w:u w:val="single"/>
        </w:rPr>
      </w:pPr>
      <w:r>
        <w:rPr>
          <w:rFonts w:eastAsia="Times New Roman" w:cstheme="majorBidi"/>
          <w:b/>
          <w:color w:val="1F3864"/>
          <w:sz w:val="26"/>
          <w:szCs w:val="32"/>
          <w:u w:val="single"/>
        </w:rPr>
        <w:t>Nota complementaria denominada “Resultados de Oficios de Observaciones de la Contabilidad Nacional”</w:t>
      </w:r>
    </w:p>
    <w:p w14:paraId="1CBDEB9F" w14:textId="77777777" w:rsidR="00AB619E" w:rsidRDefault="00AB619E" w:rsidP="00AB619E">
      <w:pPr>
        <w:rPr>
          <w:rFonts w:eastAsia="Calibri"/>
          <w:color w:val="000000"/>
          <w:szCs w:val="24"/>
          <w:lang w:eastAsia="es-CR"/>
        </w:rPr>
      </w:pPr>
    </w:p>
    <w:p w14:paraId="38932AAF" w14:textId="6027D0A3" w:rsidR="0068177A" w:rsidRPr="0068177A" w:rsidRDefault="0068177A" w:rsidP="0068177A">
      <w:pPr>
        <w:ind w:left="851"/>
        <w:rPr>
          <w:rFonts w:eastAsia="Calibri"/>
          <w:b/>
          <w:bCs/>
          <w:color w:val="000000"/>
          <w:szCs w:val="24"/>
          <w:lang w:val="es-ES" w:eastAsia="es-CR"/>
        </w:rPr>
      </w:pPr>
      <w:r w:rsidRPr="0068177A">
        <w:rPr>
          <w:rFonts w:eastAsia="Calibri"/>
          <w:b/>
          <w:bCs/>
          <w:color w:val="000000"/>
          <w:szCs w:val="24"/>
          <w:lang w:val="es-ES" w:eastAsia="es-CR"/>
        </w:rPr>
        <w:t xml:space="preserve">Ver al respecto </w:t>
      </w:r>
      <w:r w:rsidR="00E547CB" w:rsidRPr="00E547CB">
        <w:rPr>
          <w:rFonts w:eastAsia="Calibri"/>
          <w:b/>
          <w:bCs/>
          <w:color w:val="000000"/>
          <w:szCs w:val="24"/>
          <w:lang w:val="es-ES" w:eastAsia="es-CR"/>
        </w:rPr>
        <w:t>CUADRO DE RESULTADO DE OFICIOS DE OBSERVACIONES</w:t>
      </w:r>
      <w:r w:rsidRPr="0068177A">
        <w:rPr>
          <w:rFonts w:eastAsia="Calibri"/>
          <w:b/>
          <w:bCs/>
          <w:color w:val="000000"/>
          <w:szCs w:val="24"/>
          <w:lang w:val="es-ES" w:eastAsia="es-CR"/>
        </w:rPr>
        <w:t>.</w:t>
      </w:r>
    </w:p>
    <w:p w14:paraId="6D0E2585" w14:textId="77777777" w:rsidR="00AB619E" w:rsidRPr="0068177A" w:rsidRDefault="00AB619E" w:rsidP="00AB619E">
      <w:pPr>
        <w:rPr>
          <w:rFonts w:eastAsia="Calibri"/>
          <w:color w:val="000000"/>
          <w:szCs w:val="24"/>
          <w:lang w:val="es-ES" w:eastAsia="es-CR"/>
        </w:rPr>
      </w:pPr>
    </w:p>
    <w:p w14:paraId="2A290C0C" w14:textId="77777777" w:rsidR="00B86404" w:rsidRDefault="00B86404" w:rsidP="008648FD">
      <w:pPr>
        <w:rPr>
          <w:rFonts w:eastAsia="Calibri"/>
          <w:color w:val="000000"/>
          <w:szCs w:val="24"/>
          <w:lang w:val="es-ES" w:eastAsia="es-CR"/>
        </w:rPr>
      </w:pPr>
    </w:p>
    <w:p w14:paraId="2976DD97" w14:textId="77777777" w:rsidR="00264609" w:rsidRDefault="00264609" w:rsidP="008648FD">
      <w:pPr>
        <w:rPr>
          <w:rFonts w:eastAsia="Calibri"/>
          <w:color w:val="000000"/>
          <w:szCs w:val="24"/>
          <w:lang w:val="es-ES" w:eastAsia="es-CR"/>
        </w:rPr>
      </w:pPr>
    </w:p>
    <w:p w14:paraId="75D9AA73" w14:textId="77777777" w:rsidR="00B86404" w:rsidRDefault="00B86404" w:rsidP="008648FD">
      <w:pPr>
        <w:rPr>
          <w:rFonts w:eastAsia="Calibri"/>
          <w:color w:val="000000"/>
          <w:szCs w:val="24"/>
          <w:lang w:val="es-ES" w:eastAsia="es-CR"/>
        </w:rPr>
      </w:pPr>
    </w:p>
    <w:p w14:paraId="15157C42" w14:textId="298E0708" w:rsidR="00A649A4" w:rsidRPr="00A649A4" w:rsidRDefault="00A649A4" w:rsidP="003A77F3">
      <w:pPr>
        <w:pStyle w:val="Ttulo1"/>
        <w:rPr>
          <w:rFonts w:eastAsia="Times New Roman"/>
          <w:lang w:val="es-ES"/>
        </w:rPr>
      </w:pPr>
      <w:bookmarkStart w:id="131" w:name="_Toc82768902"/>
      <w:bookmarkStart w:id="132" w:name="_Toc173245222"/>
      <w:r w:rsidRPr="00A649A4">
        <w:rPr>
          <w:rFonts w:eastAsia="Times New Roman"/>
          <w:lang w:val="es-ES"/>
        </w:rPr>
        <w:t>NOTAS CONTABLES</w:t>
      </w:r>
      <w:r w:rsidR="00AB619E">
        <w:rPr>
          <w:rFonts w:eastAsia="Times New Roman"/>
          <w:lang w:val="es-ES"/>
        </w:rPr>
        <w:t xml:space="preserve"> PARTIDAS</w:t>
      </w:r>
      <w:r w:rsidRPr="00A649A4">
        <w:rPr>
          <w:rFonts w:eastAsia="Times New Roman"/>
          <w:lang w:val="es-ES"/>
        </w:rPr>
        <w:t xml:space="preserve"> A ESTADOS FINANCIEROS</w:t>
      </w:r>
      <w:bookmarkEnd w:id="131"/>
      <w:bookmarkEnd w:id="132"/>
    </w:p>
    <w:p w14:paraId="744CACE4" w14:textId="77777777" w:rsidR="00A649A4" w:rsidRPr="00B14FAD" w:rsidRDefault="00A649A4" w:rsidP="003A77F3">
      <w:pPr>
        <w:rPr>
          <w:lang w:val="es-ES" w:eastAsia="es-CR"/>
        </w:rPr>
      </w:pPr>
    </w:p>
    <w:p w14:paraId="38E1A52D" w14:textId="06FA3577" w:rsidR="00A649A4" w:rsidRPr="00A649A4" w:rsidRDefault="00A649A4" w:rsidP="000B065E">
      <w:pPr>
        <w:jc w:val="center"/>
        <w:rPr>
          <w:noProof/>
          <w:lang w:eastAsia="es-CR"/>
        </w:rPr>
      </w:pPr>
      <w:r w:rsidRPr="00A649A4">
        <w:rPr>
          <w:noProof/>
          <w:lang w:eastAsia="es-CR"/>
        </w:rPr>
        <w:drawing>
          <wp:inline distT="0" distB="0" distL="0" distR="0" wp14:anchorId="215DA9CB" wp14:editId="2147965B">
            <wp:extent cx="4137660" cy="1165860"/>
            <wp:effectExtent l="0" t="0" r="0" b="0"/>
            <wp:docPr id="5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37660" cy="1165860"/>
                    </a:xfrm>
                    <a:prstGeom prst="rect">
                      <a:avLst/>
                    </a:prstGeom>
                    <a:noFill/>
                    <a:ln>
                      <a:noFill/>
                    </a:ln>
                  </pic:spPr>
                </pic:pic>
              </a:graphicData>
            </a:graphic>
          </wp:inline>
        </w:drawing>
      </w:r>
    </w:p>
    <w:p w14:paraId="438A866A" w14:textId="77777777" w:rsidR="00A649A4" w:rsidRPr="00A649A4" w:rsidRDefault="00A649A4" w:rsidP="003A77F3">
      <w:pPr>
        <w:rPr>
          <w:rFonts w:eastAsia="Calibri" w:cs="Arial"/>
          <w:color w:val="000000"/>
        </w:rPr>
      </w:pPr>
      <w:r w:rsidRPr="00A649A4">
        <w:rPr>
          <w:rFonts w:eastAsia="Calibri" w:cs="Arial"/>
          <w:color w:val="000000"/>
          <w:lang w:val="es-ES_tradnl"/>
        </w:rPr>
        <w:t xml:space="preserve">Deben contener información adicional en los estados principales y complementarios. </w:t>
      </w:r>
      <w:r w:rsidRPr="00A649A4">
        <w:rPr>
          <w:rFonts w:eastAsia="Calibri" w:cs="Arial"/>
          <w:color w:val="000000"/>
        </w:rPr>
        <w:t>Éstas proporcionan descripciones narrativas o desagregaciones de partidas reveladas en dichos estados y contienen información sobre las que no cumplen las condiciones para ser reconocidas en los estados. La estructura de las notas deberá:</w:t>
      </w:r>
    </w:p>
    <w:p w14:paraId="474FFC6F" w14:textId="77777777" w:rsidR="000B065E" w:rsidRDefault="00A649A4">
      <w:pPr>
        <w:pStyle w:val="Prrafodelista"/>
        <w:numPr>
          <w:ilvl w:val="0"/>
          <w:numId w:val="6"/>
        </w:numPr>
        <w:rPr>
          <w:color w:val="000000"/>
        </w:rPr>
      </w:pPr>
      <w:r w:rsidRPr="00A649A4">
        <w:t>presentar información acerca de las bases para la preparación de los EEFF y sobre las políticas contables</w:t>
      </w:r>
      <w:r w:rsidRPr="000B065E">
        <w:rPr>
          <w:color w:val="000000"/>
        </w:rPr>
        <w:t xml:space="preserve"> específicas utilizadas</w:t>
      </w:r>
    </w:p>
    <w:p w14:paraId="5470D532" w14:textId="77777777" w:rsidR="000B065E" w:rsidRPr="000B065E" w:rsidRDefault="00A649A4">
      <w:pPr>
        <w:pStyle w:val="Prrafodelista"/>
        <w:numPr>
          <w:ilvl w:val="0"/>
          <w:numId w:val="6"/>
        </w:numPr>
        <w:rPr>
          <w:color w:val="000000"/>
        </w:rPr>
      </w:pPr>
      <w:r w:rsidRPr="00A649A4">
        <w:t>revelar la información requerida por las NICSP que no se presenta en los estados principales y complementarios de los EEFF; y</w:t>
      </w:r>
    </w:p>
    <w:p w14:paraId="3B97D209" w14:textId="6EB5EDCD" w:rsidR="00A649A4" w:rsidRPr="000B065E" w:rsidRDefault="00A649A4">
      <w:pPr>
        <w:pStyle w:val="Prrafodelista"/>
        <w:numPr>
          <w:ilvl w:val="0"/>
          <w:numId w:val="6"/>
        </w:numPr>
        <w:rPr>
          <w:color w:val="000000"/>
        </w:rPr>
      </w:pPr>
      <w:r w:rsidRPr="00A649A4">
        <w:t>suministrar la información adicional que, no presentándose en los estados principales y complementarios de los EEFF, sea relevante para la comprensión de alguno de ellos.</w:t>
      </w:r>
    </w:p>
    <w:p w14:paraId="4A617E4F" w14:textId="77777777" w:rsidR="00A649A4" w:rsidRPr="00A649A4" w:rsidRDefault="00A649A4" w:rsidP="003A77F3">
      <w:pPr>
        <w:rPr>
          <w:rFonts w:cs="Times New Roman"/>
          <w:color w:val="000000"/>
        </w:rPr>
      </w:pPr>
      <w:r w:rsidRPr="00A649A4">
        <w:rPr>
          <w:rFonts w:cs="Times New Roman"/>
          <w:i/>
          <w:color w:val="365F91"/>
          <w:lang w:val="es-ES_tradnl"/>
        </w:rPr>
        <w:t>Indicación 1:</w:t>
      </w:r>
      <w:r w:rsidRPr="00A649A4">
        <w:rPr>
          <w:rFonts w:cs="Times New Roman"/>
          <w:color w:val="000000"/>
          <w:lang w:val="es-ES_tradnl"/>
        </w:rPr>
        <w:t xml:space="preserve"> </w:t>
      </w:r>
      <w:r w:rsidRPr="00A649A4">
        <w:rPr>
          <w:rFonts w:cs="Times New Roman"/>
          <w:color w:val="000000"/>
        </w:rPr>
        <w:t>Para determinar la variación relativa (en porcentaje) de un periodo respecto a otro, se debe aplicar la siguiente formula:(Periodo actual-Periodo anterior = Diferencia), (Diferencia/</w:t>
      </w:r>
      <w:r w:rsidRPr="00A649A4">
        <w:rPr>
          <w:rFonts w:cs="Times New Roman"/>
          <w:b/>
          <w:color w:val="000000"/>
          <w:u w:val="single"/>
        </w:rPr>
        <w:t>Periodo Anterior=</w:t>
      </w:r>
      <w:r w:rsidRPr="00A649A4">
        <w:rPr>
          <w:rFonts w:cs="Times New Roman"/>
          <w:color w:val="000000"/>
        </w:rPr>
        <w:t>Variación Decimal * 100) = Variación Porcentual.</w:t>
      </w:r>
    </w:p>
    <w:p w14:paraId="19376AC7" w14:textId="77777777" w:rsidR="00A649A4" w:rsidRDefault="00A649A4" w:rsidP="003A77F3">
      <w:pPr>
        <w:rPr>
          <w:rFonts w:cs="Times New Roman"/>
          <w:color w:val="000000"/>
        </w:rPr>
      </w:pPr>
      <w:r w:rsidRPr="00A649A4">
        <w:rPr>
          <w:rFonts w:cs="Times New Roman"/>
          <w:i/>
          <w:color w:val="365F91"/>
        </w:rPr>
        <w:t xml:space="preserve">Indicación </w:t>
      </w:r>
      <w:r w:rsidRPr="00A649A4">
        <w:rPr>
          <w:rFonts w:cs="Times New Roman"/>
          <w:i/>
          <w:color w:val="365F91"/>
          <w:lang w:val="es-ES_tradnl"/>
        </w:rPr>
        <w:t>2:</w:t>
      </w:r>
      <w:r w:rsidRPr="00A649A4">
        <w:rPr>
          <w:rFonts w:cs="Times New Roman"/>
          <w:color w:val="000000"/>
        </w:rPr>
        <w:t xml:space="preserve"> La Entidad debe revelar toda aquella información que considere pertinente y justifique los registros en los Estados Financieros. Considerando la variación porcentual la entidad debe ser concisa al justificar dicha diferencia.</w:t>
      </w:r>
    </w:p>
    <w:p w14:paraId="7A8DD3F2" w14:textId="77777777" w:rsidR="00C95739" w:rsidRPr="00A649A4" w:rsidRDefault="00C95739" w:rsidP="003A77F3">
      <w:pPr>
        <w:rPr>
          <w:rFonts w:cs="Times New Roman"/>
          <w:color w:val="000000"/>
        </w:rPr>
      </w:pPr>
    </w:p>
    <w:p w14:paraId="0F89EF7B" w14:textId="77777777" w:rsidR="00982595" w:rsidRPr="00A649A4" w:rsidRDefault="00982595" w:rsidP="003A77F3"/>
    <w:p w14:paraId="5DFB28FE" w14:textId="77777777" w:rsidR="00A649A4" w:rsidRPr="000B065E" w:rsidRDefault="00A649A4" w:rsidP="000B065E">
      <w:pPr>
        <w:pStyle w:val="Ttulo2"/>
        <w:jc w:val="center"/>
        <w:rPr>
          <w:rFonts w:eastAsia="Times New Roman"/>
          <w:b/>
        </w:rPr>
      </w:pPr>
      <w:bookmarkStart w:id="133" w:name="_Toc33601202"/>
      <w:bookmarkStart w:id="134" w:name="_Toc82768903"/>
      <w:bookmarkStart w:id="135" w:name="_Toc173245223"/>
      <w:r w:rsidRPr="000B065E">
        <w:rPr>
          <w:rFonts w:eastAsia="Times New Roman"/>
          <w:b/>
        </w:rPr>
        <w:t>NOTAS ESTADO DE SITUACION FINANCIERA</w:t>
      </w:r>
      <w:bookmarkStart w:id="136" w:name="_Toc13041023"/>
      <w:bookmarkStart w:id="137" w:name="_Toc14345022"/>
      <w:bookmarkStart w:id="138" w:name="_Toc33601205"/>
      <w:bookmarkEnd w:id="133"/>
      <w:bookmarkEnd w:id="134"/>
      <w:bookmarkEnd w:id="135"/>
    </w:p>
    <w:p w14:paraId="07607723" w14:textId="77777777" w:rsidR="00A649A4" w:rsidRPr="00A649A4" w:rsidRDefault="00A649A4" w:rsidP="003A77F3"/>
    <w:p w14:paraId="1AC72B8B" w14:textId="41179A0E" w:rsidR="00A649A4" w:rsidRPr="000B065E" w:rsidRDefault="000B065E" w:rsidP="00B65CDC">
      <w:pPr>
        <w:pStyle w:val="Ttulo3"/>
        <w:spacing w:after="240"/>
        <w:rPr>
          <w:rFonts w:eastAsia="Times New Roman"/>
          <w:lang w:eastAsia="es-CR"/>
        </w:rPr>
      </w:pPr>
      <w:bookmarkStart w:id="139" w:name="_Toc82768904"/>
      <w:bookmarkStart w:id="140" w:name="_Toc173245224"/>
      <w:r w:rsidRPr="000B065E">
        <w:rPr>
          <w:rFonts w:eastAsia="Times New Roman"/>
          <w:lang w:eastAsia="es-CR"/>
        </w:rPr>
        <w:t xml:space="preserve">1.1. </w:t>
      </w:r>
      <w:r w:rsidR="00A649A4" w:rsidRPr="000B065E">
        <w:rPr>
          <w:rFonts w:eastAsia="Times New Roman"/>
          <w:lang w:eastAsia="es-CR"/>
        </w:rPr>
        <w:t>ACTIVO</w:t>
      </w:r>
      <w:bookmarkEnd w:id="139"/>
      <w:bookmarkEnd w:id="140"/>
      <w:r w:rsidR="00A649A4" w:rsidRPr="000B065E">
        <w:rPr>
          <w:rFonts w:eastAsia="Times New Roman"/>
          <w:lang w:eastAsia="es-CR"/>
        </w:rPr>
        <w:t xml:space="preserve"> </w:t>
      </w:r>
    </w:p>
    <w:p w14:paraId="65DE4551" w14:textId="77777777" w:rsidR="00A649A4" w:rsidRPr="00A649A4" w:rsidRDefault="00A649A4" w:rsidP="00B65CDC">
      <w:pPr>
        <w:pStyle w:val="Ttulo3"/>
        <w:spacing w:after="240"/>
        <w:rPr>
          <w:rFonts w:eastAsia="Calibri"/>
          <w:lang w:eastAsia="es-CR"/>
        </w:rPr>
      </w:pPr>
      <w:bookmarkStart w:id="141" w:name="_Toc82768905"/>
      <w:bookmarkStart w:id="142" w:name="_Toc173245225"/>
      <w:r w:rsidRPr="00A649A4">
        <w:rPr>
          <w:rFonts w:eastAsia="Calibri"/>
          <w:lang w:eastAsia="es-CR"/>
        </w:rPr>
        <w:t>1.1 ACTIVO CORRIENTE</w:t>
      </w:r>
      <w:bookmarkEnd w:id="141"/>
      <w:bookmarkEnd w:id="142"/>
    </w:p>
    <w:p w14:paraId="1B161BC1" w14:textId="77777777" w:rsidR="00A649A4" w:rsidRPr="00A649A4" w:rsidRDefault="00A649A4" w:rsidP="00B65CDC">
      <w:pPr>
        <w:pStyle w:val="Ttulo4"/>
        <w:spacing w:after="240"/>
        <w:rPr>
          <w:rFonts w:eastAsia="Times New Roman"/>
          <w:lang w:eastAsia="es-CR"/>
        </w:rPr>
      </w:pPr>
      <w:bookmarkStart w:id="143" w:name="_Toc82768906"/>
      <w:bookmarkStart w:id="144" w:name="_Toc173245226"/>
      <w:r w:rsidRPr="00A649A4">
        <w:rPr>
          <w:rFonts w:eastAsia="Times New Roman"/>
          <w:lang w:eastAsia="es-CR"/>
        </w:rPr>
        <w:t>NOTA N° 3</w:t>
      </w:r>
      <w:bookmarkEnd w:id="136"/>
      <w:bookmarkEnd w:id="137"/>
      <w:bookmarkEnd w:id="138"/>
      <w:bookmarkEnd w:id="143"/>
      <w:bookmarkEnd w:id="144"/>
    </w:p>
    <w:p w14:paraId="0C282723" w14:textId="77777777" w:rsidR="00694299" w:rsidRDefault="00D57597" w:rsidP="00C95739">
      <w:pPr>
        <w:spacing w:after="120" w:line="240" w:lineRule="auto"/>
        <w:rPr>
          <w:rFonts w:asciiTheme="minorHAnsi" w:hAnsiTheme="minorHAnsi"/>
          <w:sz w:val="22"/>
        </w:rPr>
      </w:pPr>
      <w:bookmarkStart w:id="145" w:name="_Toc13041024"/>
      <w:bookmarkStart w:id="146" w:name="_Toc14345023"/>
      <w:bookmarkStart w:id="147" w:name="_Toc33601206"/>
      <w:bookmarkStart w:id="148" w:name="_Toc82768907"/>
      <w:r w:rsidRPr="00A649A4">
        <w:rPr>
          <w:rFonts w:eastAsia="Times New Roman"/>
          <w:lang w:eastAsia="es-CR"/>
        </w:rPr>
        <w:t xml:space="preserve">Efectivo </w:t>
      </w:r>
      <w:r>
        <w:rPr>
          <w:rFonts w:eastAsia="Times New Roman"/>
          <w:lang w:eastAsia="es-CR"/>
        </w:rPr>
        <w:t>y</w:t>
      </w:r>
      <w:r w:rsidRPr="00A649A4">
        <w:rPr>
          <w:rFonts w:eastAsia="Times New Roman"/>
          <w:lang w:eastAsia="es-CR"/>
        </w:rPr>
        <w:t xml:space="preserve"> Equivalente De Efectivo</w:t>
      </w:r>
      <w:bookmarkEnd w:id="145"/>
      <w:bookmarkEnd w:id="146"/>
      <w:bookmarkEnd w:id="147"/>
      <w:bookmarkEnd w:id="148"/>
      <w:r w:rsidR="00844DFE">
        <w:rPr>
          <w:rFonts w:eastAsiaTheme="majorEastAsia" w:cstheme="majorBidi"/>
          <w:b/>
          <w:iCs/>
          <w:lang w:eastAsia="es-CR"/>
        </w:rPr>
        <w:fldChar w:fldCharType="begin"/>
      </w:r>
      <w:r w:rsidR="00844DFE">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NOTAS_POR_CUENTA!F4C1:F6C6 </w:instrText>
      </w:r>
      <w:r w:rsidR="00844DFE">
        <w:rPr>
          <w:lang w:eastAsia="es-CR"/>
        </w:rPr>
        <w:instrText xml:space="preserve">\a \f 4 \h </w:instrText>
      </w:r>
      <w:r w:rsidR="00305662">
        <w:rPr>
          <w:lang w:eastAsia="es-CR"/>
        </w:rPr>
        <w:instrText xml:space="preserve"> \* MERGEFORMAT </w:instrText>
      </w:r>
      <w:r w:rsidR="00844DFE">
        <w:rPr>
          <w:lang w:eastAsia="es-CR"/>
        </w:rPr>
        <w:fldChar w:fldCharType="separate"/>
      </w:r>
    </w:p>
    <w:p w14:paraId="0EF807AA" w14:textId="096E83D3" w:rsidR="00C572A3" w:rsidRDefault="00844DFE" w:rsidP="00963B85">
      <w:pPr>
        <w:spacing w:after="0" w:line="240" w:lineRule="auto"/>
        <w:rPr>
          <w:rFonts w:asciiTheme="minorHAnsi" w:hAnsiTheme="minorHAnsi"/>
          <w:sz w:val="22"/>
        </w:rPr>
      </w:pPr>
      <w:r>
        <w:rPr>
          <w:lang w:eastAsia="es-CR"/>
        </w:rPr>
        <w:fldChar w:fldCharType="end"/>
      </w:r>
      <w:r w:rsidR="0001456F">
        <w:rPr>
          <w:lang w:eastAsia="es-CR"/>
        </w:rPr>
        <w:fldChar w:fldCharType="begin"/>
      </w:r>
      <w:r w:rsidR="0001456F">
        <w:rPr>
          <w:lang w:eastAsia="es-CR"/>
        </w:rPr>
        <w:instrText xml:space="preserve"> LINK </w:instrText>
      </w:r>
      <w:r w:rsidR="0068177A">
        <w:rPr>
          <w:lang w:eastAsia="es-CR"/>
        </w:rPr>
        <w:instrText xml:space="preserve">Excel.SheetMacroEnabled.12 "C:\\Users\\arges\\OneDrive\\Desktop\\Municipalidades\\Buenos Aires\\Cierre Junio 2024\\Notas Contables\\15603_T02_2024_Anexo_Estado_Notas_Contables_Vinculadas.xlsm" NOTAS_POR_CUENTA!R4C1:R6C6 </w:instrText>
      </w:r>
      <w:r w:rsidR="0001456F">
        <w:rPr>
          <w:lang w:eastAsia="es-CR"/>
        </w:rPr>
        <w:instrText xml:space="preserve">\a \f 4 \h </w:instrText>
      </w:r>
      <w:r w:rsidR="0001456F">
        <w:rPr>
          <w:lang w:eastAsia="es-CR"/>
        </w:rPr>
        <w:fldChar w:fldCharType="separate"/>
      </w:r>
    </w:p>
    <w:tbl>
      <w:tblPr>
        <w:tblW w:w="10080" w:type="dxa"/>
        <w:tblLook w:val="04A0" w:firstRow="1" w:lastRow="0" w:firstColumn="1" w:lastColumn="0" w:noHBand="0" w:noVBand="1"/>
      </w:tblPr>
      <w:tblGrid>
        <w:gridCol w:w="717"/>
        <w:gridCol w:w="3339"/>
        <w:gridCol w:w="544"/>
        <w:gridCol w:w="2200"/>
        <w:gridCol w:w="2200"/>
        <w:gridCol w:w="1080"/>
      </w:tblGrid>
      <w:tr w:rsidR="00C572A3" w:rsidRPr="00C572A3" w14:paraId="63D5A00A" w14:textId="77777777" w:rsidTr="00C572A3">
        <w:trPr>
          <w:divId w:val="638923333"/>
          <w:trHeight w:val="320"/>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FF49DE4" w14:textId="35FEE731" w:rsidR="00C572A3" w:rsidRPr="00C572A3" w:rsidRDefault="00C572A3" w:rsidP="00C572A3">
            <w:pP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659EC40"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Descripción</w:t>
            </w:r>
          </w:p>
        </w:tc>
        <w:tc>
          <w:tcPr>
            <w:tcW w:w="5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2C92479"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Nota</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9890BE6"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Actual </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99A5D82"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Anterior </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42020DBB"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Diferencia </w:t>
            </w:r>
          </w:p>
        </w:tc>
      </w:tr>
      <w:tr w:rsidR="00C572A3" w:rsidRPr="00C572A3" w14:paraId="7E8B5530" w14:textId="77777777" w:rsidTr="00C572A3">
        <w:trPr>
          <w:divId w:val="638923333"/>
          <w:trHeight w:val="320"/>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1569890F"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0CBBCDBC"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14:paraId="1BD04B23"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20DF4D24"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319F263C"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1080" w:type="dxa"/>
            <w:tcBorders>
              <w:top w:val="nil"/>
              <w:left w:val="nil"/>
              <w:bottom w:val="single" w:sz="8" w:space="0" w:color="auto"/>
              <w:right w:val="single" w:sz="8" w:space="0" w:color="auto"/>
            </w:tcBorders>
            <w:shd w:val="clear" w:color="000000" w:fill="366092"/>
            <w:noWrap/>
            <w:vAlign w:val="center"/>
            <w:hideMark/>
          </w:tcPr>
          <w:p w14:paraId="418AA290" w14:textId="77777777" w:rsidR="00C572A3" w:rsidRPr="00C572A3" w:rsidRDefault="00C572A3" w:rsidP="00C572A3">
            <w:pPr>
              <w:spacing w:after="0" w:line="240" w:lineRule="auto"/>
              <w:jc w:val="center"/>
              <w:rPr>
                <w:rFonts w:eastAsia="Times New Roman" w:cs="Calibri"/>
                <w:color w:val="FFFFFF"/>
                <w:sz w:val="18"/>
                <w:szCs w:val="18"/>
                <w:lang w:val="en-US"/>
              </w:rPr>
            </w:pPr>
            <w:r w:rsidRPr="00C572A3">
              <w:rPr>
                <w:rFonts w:eastAsia="Times New Roman" w:cs="Calibri"/>
                <w:color w:val="FFFFFF"/>
                <w:sz w:val="18"/>
                <w:szCs w:val="18"/>
                <w:lang w:val="en-US"/>
              </w:rPr>
              <w:t>%</w:t>
            </w:r>
          </w:p>
        </w:tc>
      </w:tr>
      <w:tr w:rsidR="00C572A3" w:rsidRPr="00C572A3" w14:paraId="0DC8AA4E" w14:textId="77777777" w:rsidTr="00C572A3">
        <w:trPr>
          <w:divId w:val="638923333"/>
          <w:trHeight w:val="320"/>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424FFB56" w14:textId="77777777" w:rsidR="00C572A3" w:rsidRPr="00C572A3" w:rsidRDefault="00C572A3" w:rsidP="00C572A3">
            <w:pPr>
              <w:spacing w:after="0" w:line="240" w:lineRule="auto"/>
              <w:jc w:val="left"/>
              <w:rPr>
                <w:rFonts w:eastAsia="Times New Roman" w:cs="Calibri"/>
                <w:b/>
                <w:bCs/>
                <w:color w:val="000000"/>
                <w:sz w:val="18"/>
                <w:szCs w:val="18"/>
                <w:lang w:val="en-US"/>
              </w:rPr>
            </w:pPr>
            <w:r w:rsidRPr="00C572A3">
              <w:rPr>
                <w:rFonts w:eastAsia="Times New Roman" w:cs="Calibri"/>
                <w:b/>
                <w:bCs/>
                <w:color w:val="000000"/>
                <w:sz w:val="18"/>
                <w:szCs w:val="18"/>
                <w:lang w:val="en-US"/>
              </w:rPr>
              <w:t>1.1.1.</w:t>
            </w:r>
          </w:p>
        </w:tc>
        <w:tc>
          <w:tcPr>
            <w:tcW w:w="3380" w:type="dxa"/>
            <w:tcBorders>
              <w:top w:val="nil"/>
              <w:left w:val="nil"/>
              <w:bottom w:val="single" w:sz="8" w:space="0" w:color="auto"/>
              <w:right w:val="single" w:sz="8" w:space="0" w:color="auto"/>
            </w:tcBorders>
            <w:shd w:val="clear" w:color="auto" w:fill="auto"/>
            <w:vAlign w:val="center"/>
            <w:hideMark/>
          </w:tcPr>
          <w:p w14:paraId="1169F779" w14:textId="77777777" w:rsidR="00C572A3" w:rsidRPr="00C572A3" w:rsidRDefault="00C572A3" w:rsidP="00C572A3">
            <w:pPr>
              <w:spacing w:after="0" w:line="240" w:lineRule="auto"/>
              <w:jc w:val="left"/>
              <w:rPr>
                <w:rFonts w:eastAsia="Times New Roman" w:cs="Calibri"/>
                <w:b/>
                <w:bCs/>
                <w:color w:val="000000"/>
                <w:sz w:val="18"/>
                <w:szCs w:val="18"/>
              </w:rPr>
            </w:pPr>
            <w:r w:rsidRPr="00C572A3">
              <w:rPr>
                <w:rFonts w:eastAsia="Times New Roman" w:cs="Calibri"/>
                <w:b/>
                <w:bCs/>
                <w:color w:val="000000"/>
                <w:sz w:val="18"/>
                <w:szCs w:val="18"/>
              </w:rPr>
              <w:t>Efectivo y equivalentes de efectivo</w:t>
            </w:r>
          </w:p>
        </w:tc>
        <w:tc>
          <w:tcPr>
            <w:tcW w:w="520" w:type="dxa"/>
            <w:tcBorders>
              <w:top w:val="nil"/>
              <w:left w:val="nil"/>
              <w:bottom w:val="single" w:sz="8" w:space="0" w:color="auto"/>
              <w:right w:val="single" w:sz="8" w:space="0" w:color="auto"/>
            </w:tcBorders>
            <w:shd w:val="clear" w:color="auto" w:fill="auto"/>
            <w:noWrap/>
            <w:vAlign w:val="center"/>
            <w:hideMark/>
          </w:tcPr>
          <w:p w14:paraId="29479FA5"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03</w:t>
            </w:r>
          </w:p>
        </w:tc>
        <w:tc>
          <w:tcPr>
            <w:tcW w:w="2200" w:type="dxa"/>
            <w:tcBorders>
              <w:top w:val="nil"/>
              <w:left w:val="nil"/>
              <w:bottom w:val="single" w:sz="8" w:space="0" w:color="auto"/>
              <w:right w:val="single" w:sz="8" w:space="0" w:color="auto"/>
            </w:tcBorders>
            <w:shd w:val="clear" w:color="auto" w:fill="auto"/>
            <w:noWrap/>
            <w:vAlign w:val="center"/>
            <w:hideMark/>
          </w:tcPr>
          <w:p w14:paraId="3BC449BE"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1 873 754,83 </w:t>
            </w:r>
          </w:p>
        </w:tc>
        <w:tc>
          <w:tcPr>
            <w:tcW w:w="2200" w:type="dxa"/>
            <w:tcBorders>
              <w:top w:val="nil"/>
              <w:left w:val="nil"/>
              <w:bottom w:val="single" w:sz="8" w:space="0" w:color="auto"/>
              <w:right w:val="single" w:sz="8" w:space="0" w:color="auto"/>
            </w:tcBorders>
            <w:shd w:val="clear" w:color="auto" w:fill="auto"/>
            <w:noWrap/>
            <w:vAlign w:val="center"/>
            <w:hideMark/>
          </w:tcPr>
          <w:p w14:paraId="744DDED4"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2 221 962,60 </w:t>
            </w:r>
          </w:p>
        </w:tc>
        <w:tc>
          <w:tcPr>
            <w:tcW w:w="1080" w:type="dxa"/>
            <w:tcBorders>
              <w:top w:val="nil"/>
              <w:left w:val="nil"/>
              <w:bottom w:val="single" w:sz="8" w:space="0" w:color="auto"/>
              <w:right w:val="single" w:sz="8" w:space="0" w:color="auto"/>
            </w:tcBorders>
            <w:shd w:val="clear" w:color="auto" w:fill="auto"/>
            <w:noWrap/>
            <w:vAlign w:val="center"/>
            <w:hideMark/>
          </w:tcPr>
          <w:p w14:paraId="6A6A5EED"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-15,67%</w:t>
            </w:r>
          </w:p>
        </w:tc>
      </w:tr>
    </w:tbl>
    <w:p w14:paraId="0F92611D" w14:textId="71B8C34C" w:rsidR="00963B85" w:rsidRDefault="0001456F" w:rsidP="00963B85">
      <w:pPr>
        <w:spacing w:after="0" w:line="240" w:lineRule="auto"/>
        <w:rPr>
          <w:lang w:eastAsia="es-CR"/>
        </w:rPr>
      </w:pPr>
      <w:r>
        <w:rPr>
          <w:lang w:eastAsia="es-CR"/>
        </w:rPr>
        <w:fldChar w:fldCharType="end"/>
      </w:r>
    </w:p>
    <w:p w14:paraId="39D37085" w14:textId="2117227A" w:rsidR="00692DC8" w:rsidRPr="00844DFE" w:rsidRDefault="00692DC8" w:rsidP="00305662">
      <w:pPr>
        <w:rPr>
          <w:lang w:eastAsia="es-CR"/>
        </w:rPr>
      </w:pPr>
      <w:r w:rsidRPr="00692DC8">
        <w:rPr>
          <w:lang w:val="es-ES" w:eastAsia="es-ES"/>
        </w:rPr>
        <w:t>Detalle</w:t>
      </w:r>
      <w:r w:rsidRPr="00692DC8">
        <w:rPr>
          <w:rFonts w:ascii="Times New Roman" w:hAnsi="Times New Roman"/>
          <w:lang w:eastAsia="es-CR"/>
        </w:rPr>
        <w:t xml:space="preserve"> </w:t>
      </w:r>
      <w:r w:rsidRPr="00692DC8">
        <w:rPr>
          <w:lang w:val="es-ES" w:eastAsia="es-ES"/>
        </w:rPr>
        <w:t>cuentas corrientes en el sector privado interno</w:t>
      </w:r>
    </w:p>
    <w:tbl>
      <w:tblPr>
        <w:tblW w:w="4678" w:type="dxa"/>
        <w:tblInd w:w="-10" w:type="dxa"/>
        <w:tblCellMar>
          <w:left w:w="70" w:type="dxa"/>
          <w:right w:w="70" w:type="dxa"/>
        </w:tblCellMar>
        <w:tblLook w:val="04A0" w:firstRow="1" w:lastRow="0" w:firstColumn="1" w:lastColumn="0" w:noHBand="0" w:noVBand="1"/>
      </w:tblPr>
      <w:tblGrid>
        <w:gridCol w:w="1249"/>
        <w:gridCol w:w="3429"/>
      </w:tblGrid>
      <w:tr w:rsidR="00844DFE" w:rsidRPr="00844DFE" w14:paraId="088389B4" w14:textId="77777777" w:rsidTr="002A3882">
        <w:trPr>
          <w:trHeight w:val="288"/>
        </w:trPr>
        <w:tc>
          <w:tcPr>
            <w:tcW w:w="1249" w:type="dxa"/>
            <w:tcBorders>
              <w:top w:val="single" w:sz="8" w:space="0" w:color="auto"/>
              <w:left w:val="single" w:sz="8" w:space="0" w:color="auto"/>
              <w:bottom w:val="nil"/>
              <w:right w:val="single" w:sz="8" w:space="0" w:color="auto"/>
            </w:tcBorders>
            <w:shd w:val="clear" w:color="000000" w:fill="366092"/>
            <w:noWrap/>
            <w:vAlign w:val="center"/>
            <w:hideMark/>
          </w:tcPr>
          <w:p w14:paraId="4DA7C032" w14:textId="77777777" w:rsidR="00844DFE" w:rsidRPr="00844DFE" w:rsidRDefault="00844DFE" w:rsidP="00844DFE">
            <w:pPr>
              <w:spacing w:after="0" w:line="240" w:lineRule="auto"/>
              <w:rPr>
                <w:rFonts w:eastAsia="Times New Roman" w:cs="Calibri"/>
                <w:b/>
                <w:bCs/>
                <w:color w:val="FFFFFF"/>
                <w:sz w:val="18"/>
                <w:szCs w:val="18"/>
                <w:lang w:eastAsia="es-CR"/>
              </w:rPr>
            </w:pPr>
            <w:r w:rsidRPr="00844DFE">
              <w:rPr>
                <w:rFonts w:eastAsia="Times New Roman" w:cs="Calibri"/>
                <w:b/>
                <w:bCs/>
                <w:color w:val="FFFFFF"/>
                <w:sz w:val="18"/>
                <w:szCs w:val="18"/>
                <w:lang w:eastAsia="es-CR"/>
              </w:rPr>
              <w:t xml:space="preserve">Cuenta </w:t>
            </w:r>
          </w:p>
        </w:tc>
        <w:tc>
          <w:tcPr>
            <w:tcW w:w="3429" w:type="dxa"/>
            <w:tcBorders>
              <w:top w:val="single" w:sz="8" w:space="0" w:color="auto"/>
              <w:left w:val="nil"/>
              <w:bottom w:val="nil"/>
              <w:right w:val="single" w:sz="8" w:space="0" w:color="auto"/>
            </w:tcBorders>
            <w:shd w:val="clear" w:color="000000" w:fill="366092"/>
            <w:vAlign w:val="center"/>
            <w:hideMark/>
          </w:tcPr>
          <w:p w14:paraId="37851BAD" w14:textId="77777777" w:rsidR="00844DFE" w:rsidRPr="00844DFE" w:rsidRDefault="00844DFE" w:rsidP="00844DFE">
            <w:pPr>
              <w:spacing w:after="0" w:line="240" w:lineRule="auto"/>
              <w:jc w:val="center"/>
              <w:rPr>
                <w:rFonts w:eastAsia="Times New Roman" w:cs="Calibri"/>
                <w:b/>
                <w:bCs/>
                <w:color w:val="FFFFFF"/>
                <w:sz w:val="18"/>
                <w:szCs w:val="18"/>
                <w:lang w:eastAsia="es-CR"/>
              </w:rPr>
            </w:pPr>
            <w:r w:rsidRPr="00844DFE">
              <w:rPr>
                <w:rFonts w:eastAsia="Times New Roman" w:cs="Calibri"/>
                <w:b/>
                <w:bCs/>
                <w:color w:val="FFFFFF"/>
                <w:sz w:val="18"/>
                <w:szCs w:val="18"/>
                <w:lang w:eastAsia="es-CR"/>
              </w:rPr>
              <w:t xml:space="preserve">Descripción </w:t>
            </w:r>
          </w:p>
        </w:tc>
      </w:tr>
      <w:tr w:rsidR="00844DFE" w:rsidRPr="00844DFE" w14:paraId="5E0E8798" w14:textId="77777777" w:rsidTr="002A3882">
        <w:trPr>
          <w:trHeight w:val="540"/>
        </w:trPr>
        <w:tc>
          <w:tcPr>
            <w:tcW w:w="1249" w:type="dxa"/>
            <w:tcBorders>
              <w:top w:val="nil"/>
              <w:left w:val="single" w:sz="8" w:space="0" w:color="auto"/>
              <w:bottom w:val="single" w:sz="8" w:space="0" w:color="auto"/>
              <w:right w:val="single" w:sz="8" w:space="0" w:color="auto"/>
            </w:tcBorders>
            <w:shd w:val="clear" w:color="auto" w:fill="auto"/>
            <w:noWrap/>
            <w:vAlign w:val="center"/>
            <w:hideMark/>
          </w:tcPr>
          <w:p w14:paraId="3946674D"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1.1.1.01.02.01.2.</w:t>
            </w:r>
          </w:p>
        </w:tc>
        <w:tc>
          <w:tcPr>
            <w:tcW w:w="3429" w:type="dxa"/>
            <w:tcBorders>
              <w:top w:val="nil"/>
              <w:left w:val="nil"/>
              <w:bottom w:val="single" w:sz="8" w:space="0" w:color="auto"/>
              <w:right w:val="single" w:sz="8" w:space="0" w:color="auto"/>
            </w:tcBorders>
            <w:shd w:val="clear" w:color="auto" w:fill="auto"/>
            <w:vAlign w:val="center"/>
            <w:hideMark/>
          </w:tcPr>
          <w:p w14:paraId="5CF5D58E"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Cuentas corrientes en el sector privado interno</w:t>
            </w:r>
          </w:p>
        </w:tc>
      </w:tr>
    </w:tbl>
    <w:p w14:paraId="3494799E" w14:textId="1B0C90DA" w:rsidR="00692DC8" w:rsidRDefault="00692DC8" w:rsidP="001A6E5E">
      <w:pPr>
        <w:spacing w:after="0" w:line="240" w:lineRule="auto"/>
        <w:rPr>
          <w:lang w:val="es-ES" w:eastAsia="es-CR"/>
        </w:rPr>
      </w:pPr>
    </w:p>
    <w:tbl>
      <w:tblPr>
        <w:tblW w:w="4960" w:type="dxa"/>
        <w:tblInd w:w="-10" w:type="dxa"/>
        <w:tblCellMar>
          <w:left w:w="70" w:type="dxa"/>
          <w:right w:w="70" w:type="dxa"/>
        </w:tblCellMar>
        <w:tblLook w:val="04A0" w:firstRow="1" w:lastRow="0" w:firstColumn="1" w:lastColumn="0" w:noHBand="0" w:noVBand="1"/>
      </w:tblPr>
      <w:tblGrid>
        <w:gridCol w:w="1240"/>
        <w:gridCol w:w="1240"/>
        <w:gridCol w:w="1240"/>
        <w:gridCol w:w="1240"/>
      </w:tblGrid>
      <w:tr w:rsidR="00844DFE" w:rsidRPr="00844DFE" w14:paraId="44B5F3E3" w14:textId="77777777" w:rsidTr="00747D23">
        <w:trPr>
          <w:trHeight w:val="300"/>
        </w:trPr>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C5B951E" w14:textId="77777777" w:rsidR="00844DFE" w:rsidRPr="00844DFE" w:rsidRDefault="00844DFE" w:rsidP="00844DFE">
            <w:pPr>
              <w:spacing w:after="0" w:line="240" w:lineRule="auto"/>
              <w:jc w:val="center"/>
              <w:rPr>
                <w:rFonts w:eastAsia="Times New Roman" w:cs="Calibri"/>
                <w:b/>
                <w:bCs/>
                <w:color w:val="FFFFFF"/>
                <w:sz w:val="18"/>
                <w:szCs w:val="18"/>
                <w:lang w:eastAsia="es-CR"/>
              </w:rPr>
            </w:pPr>
            <w:bookmarkStart w:id="149" w:name="_Hlk123996124"/>
            <w:r w:rsidRPr="00844DFE">
              <w:rPr>
                <w:rFonts w:eastAsia="Times New Roman" w:cs="Calibri"/>
                <w:b/>
                <w:bCs/>
                <w:color w:val="FFFFFF"/>
                <w:sz w:val="18"/>
                <w:szCs w:val="18"/>
                <w:lang w:eastAsia="es-CR"/>
              </w:rPr>
              <w:t xml:space="preserve">Entidad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0748B6B" w14:textId="77777777" w:rsidR="00844DFE" w:rsidRPr="00844DFE" w:rsidRDefault="00844DFE" w:rsidP="00844DFE">
            <w:pPr>
              <w:spacing w:after="0" w:line="240" w:lineRule="auto"/>
              <w:jc w:val="center"/>
              <w:rPr>
                <w:rFonts w:eastAsia="Times New Roman" w:cs="Calibri"/>
                <w:b/>
                <w:bCs/>
                <w:color w:val="FFFFFF"/>
                <w:sz w:val="18"/>
                <w:szCs w:val="18"/>
                <w:lang w:eastAsia="es-CR"/>
              </w:rPr>
            </w:pPr>
            <w:r w:rsidRPr="00844DFE">
              <w:rPr>
                <w:rFonts w:eastAsia="Times New Roman"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2157AD0" w14:textId="77777777" w:rsidR="00844DFE" w:rsidRPr="00844DFE" w:rsidRDefault="00844DFE" w:rsidP="00844DFE">
            <w:pPr>
              <w:spacing w:after="0" w:line="240" w:lineRule="auto"/>
              <w:jc w:val="center"/>
              <w:rPr>
                <w:rFonts w:eastAsia="Times New Roman" w:cs="Calibri"/>
                <w:b/>
                <w:bCs/>
                <w:color w:val="FFFFFF"/>
                <w:sz w:val="18"/>
                <w:szCs w:val="18"/>
                <w:lang w:eastAsia="es-CR"/>
              </w:rPr>
            </w:pPr>
            <w:r w:rsidRPr="00844DFE">
              <w:rPr>
                <w:rFonts w:eastAsia="Times New Roman"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4D15499D" w14:textId="77777777" w:rsidR="00844DFE" w:rsidRPr="00844DFE" w:rsidRDefault="00844DFE" w:rsidP="00844DFE">
            <w:pPr>
              <w:spacing w:after="0" w:line="240" w:lineRule="auto"/>
              <w:jc w:val="center"/>
              <w:rPr>
                <w:rFonts w:eastAsia="Times New Roman" w:cs="Calibri"/>
                <w:b/>
                <w:bCs/>
                <w:color w:val="FFFFFF"/>
                <w:sz w:val="18"/>
                <w:szCs w:val="18"/>
                <w:lang w:eastAsia="es-CR"/>
              </w:rPr>
            </w:pPr>
            <w:r w:rsidRPr="00844DFE">
              <w:rPr>
                <w:rFonts w:eastAsia="Times New Roman" w:cs="Calibri"/>
                <w:b/>
                <w:bCs/>
                <w:color w:val="FFFFFF"/>
                <w:sz w:val="18"/>
                <w:szCs w:val="18"/>
                <w:lang w:eastAsia="es-CR"/>
              </w:rPr>
              <w:t xml:space="preserve">Diferencia </w:t>
            </w:r>
          </w:p>
        </w:tc>
      </w:tr>
      <w:tr w:rsidR="00844DFE" w:rsidRPr="00844DFE" w14:paraId="0F853BE4" w14:textId="77777777" w:rsidTr="00747D23">
        <w:trPr>
          <w:trHeight w:val="300"/>
        </w:trPr>
        <w:tc>
          <w:tcPr>
            <w:tcW w:w="1240" w:type="dxa"/>
            <w:vMerge/>
            <w:tcBorders>
              <w:top w:val="single" w:sz="8" w:space="0" w:color="auto"/>
              <w:left w:val="single" w:sz="8" w:space="0" w:color="auto"/>
              <w:bottom w:val="single" w:sz="8" w:space="0" w:color="000000"/>
              <w:right w:val="single" w:sz="8" w:space="0" w:color="auto"/>
            </w:tcBorders>
            <w:vAlign w:val="center"/>
            <w:hideMark/>
          </w:tcPr>
          <w:p w14:paraId="135A1BDE" w14:textId="77777777" w:rsidR="00844DFE" w:rsidRPr="00844DFE" w:rsidRDefault="00844DFE" w:rsidP="00844DFE">
            <w:pPr>
              <w:spacing w:after="0" w:line="240" w:lineRule="auto"/>
              <w:jc w:val="left"/>
              <w:rPr>
                <w:rFonts w:eastAsia="Times New Roman"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2EBC34F" w14:textId="77777777" w:rsidR="00844DFE" w:rsidRPr="00844DFE" w:rsidRDefault="00844DFE" w:rsidP="00844DFE">
            <w:pPr>
              <w:spacing w:after="0" w:line="240" w:lineRule="auto"/>
              <w:jc w:val="left"/>
              <w:rPr>
                <w:rFonts w:eastAsia="Times New Roman"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9B04EE5" w14:textId="77777777" w:rsidR="00844DFE" w:rsidRPr="00844DFE" w:rsidRDefault="00844DFE" w:rsidP="00844DFE">
            <w:pPr>
              <w:spacing w:after="0" w:line="240" w:lineRule="auto"/>
              <w:jc w:val="left"/>
              <w:rPr>
                <w:rFonts w:eastAsia="Times New Roman"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6BCF6C93" w14:textId="77777777" w:rsidR="00844DFE" w:rsidRPr="00844DFE" w:rsidRDefault="00844DFE" w:rsidP="00844DFE">
            <w:pPr>
              <w:spacing w:after="0" w:line="240" w:lineRule="auto"/>
              <w:jc w:val="center"/>
              <w:rPr>
                <w:rFonts w:eastAsia="Times New Roman" w:cs="Calibri"/>
                <w:color w:val="FFFFFF"/>
                <w:sz w:val="18"/>
                <w:szCs w:val="18"/>
                <w:lang w:eastAsia="es-CR"/>
              </w:rPr>
            </w:pPr>
            <w:r w:rsidRPr="00844DFE">
              <w:rPr>
                <w:rFonts w:eastAsia="Times New Roman" w:cs="Calibri"/>
                <w:color w:val="FFFFFF"/>
                <w:sz w:val="18"/>
                <w:szCs w:val="18"/>
                <w:lang w:eastAsia="es-CR"/>
              </w:rPr>
              <w:t>%</w:t>
            </w:r>
          </w:p>
        </w:tc>
      </w:tr>
      <w:tr w:rsidR="00844DFE" w:rsidRPr="00844DFE" w14:paraId="46968B24" w14:textId="77777777" w:rsidTr="00747D23">
        <w:trPr>
          <w:trHeight w:val="300"/>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0557504E"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01B075D7"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69A560BE"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087D363E"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 </w:t>
            </w:r>
          </w:p>
        </w:tc>
      </w:tr>
      <w:tr w:rsidR="00844DFE" w:rsidRPr="00844DFE" w14:paraId="377C72ED" w14:textId="77777777" w:rsidTr="00747D23">
        <w:trPr>
          <w:trHeight w:val="324"/>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1864BAC6"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6B5DF779"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0EEBC9FB"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06B060C1" w14:textId="77777777" w:rsidR="00844DFE" w:rsidRPr="00844DFE" w:rsidRDefault="00844DFE" w:rsidP="00844DFE">
            <w:pPr>
              <w:spacing w:after="0" w:line="240" w:lineRule="auto"/>
              <w:rPr>
                <w:rFonts w:eastAsia="Times New Roman" w:cs="Calibri"/>
                <w:color w:val="000000"/>
                <w:szCs w:val="24"/>
                <w:lang w:eastAsia="es-CR"/>
              </w:rPr>
            </w:pPr>
            <w:r w:rsidRPr="00844DFE">
              <w:rPr>
                <w:rFonts w:eastAsia="Times New Roman" w:cs="Calibri"/>
                <w:color w:val="000000"/>
                <w:szCs w:val="24"/>
                <w:lang w:eastAsia="es-CR"/>
              </w:rPr>
              <w:t> </w:t>
            </w:r>
          </w:p>
        </w:tc>
      </w:tr>
      <w:tr w:rsidR="00844DFE" w:rsidRPr="00844DFE" w14:paraId="6D70CC9B" w14:textId="77777777" w:rsidTr="00747D23">
        <w:trPr>
          <w:trHeight w:val="324"/>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3C51CB62" w14:textId="77777777" w:rsidR="00844DFE" w:rsidRPr="00844DFE" w:rsidRDefault="00844DFE" w:rsidP="00844DFE">
            <w:pPr>
              <w:spacing w:after="0" w:line="240" w:lineRule="auto"/>
              <w:rPr>
                <w:rFonts w:eastAsia="Times New Roman" w:cs="Calibri"/>
                <w:color w:val="000000"/>
                <w:szCs w:val="24"/>
                <w:lang w:eastAsia="es-CR"/>
              </w:rPr>
            </w:pPr>
            <w:r w:rsidRPr="00844DFE">
              <w:rPr>
                <w:rFonts w:eastAsia="Times New Roman" w:cs="Calibri"/>
                <w:color w:val="000000"/>
                <w:szCs w:val="24"/>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28F44DE9" w14:textId="77777777" w:rsidR="00844DFE" w:rsidRPr="00844DFE" w:rsidRDefault="00844DFE" w:rsidP="00844DFE">
            <w:pPr>
              <w:spacing w:after="0" w:line="240" w:lineRule="auto"/>
              <w:rPr>
                <w:rFonts w:eastAsia="Times New Roman" w:cs="Calibri"/>
                <w:color w:val="000000"/>
                <w:szCs w:val="24"/>
                <w:lang w:eastAsia="es-CR"/>
              </w:rPr>
            </w:pPr>
            <w:r w:rsidRPr="00844DFE">
              <w:rPr>
                <w:rFonts w:eastAsia="Times New Roman" w:cs="Calibri"/>
                <w:color w:val="000000"/>
                <w:szCs w:val="24"/>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3F5DBF48" w14:textId="77777777" w:rsidR="00844DFE" w:rsidRPr="00844DFE" w:rsidRDefault="00844DFE" w:rsidP="00844DFE">
            <w:pPr>
              <w:spacing w:after="0" w:line="240" w:lineRule="auto"/>
              <w:rPr>
                <w:rFonts w:eastAsia="Times New Roman" w:cs="Calibri"/>
                <w:color w:val="000000"/>
                <w:szCs w:val="24"/>
                <w:lang w:eastAsia="es-CR"/>
              </w:rPr>
            </w:pPr>
            <w:r w:rsidRPr="00844DFE">
              <w:rPr>
                <w:rFonts w:eastAsia="Times New Roman" w:cs="Calibri"/>
                <w:color w:val="000000"/>
                <w:szCs w:val="24"/>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0A800C9E" w14:textId="77777777" w:rsidR="00844DFE" w:rsidRPr="00844DFE" w:rsidRDefault="00844DFE" w:rsidP="00844DFE">
            <w:pPr>
              <w:spacing w:after="0" w:line="240" w:lineRule="auto"/>
              <w:rPr>
                <w:rFonts w:eastAsia="Times New Roman" w:cs="Calibri"/>
                <w:color w:val="000000"/>
                <w:szCs w:val="24"/>
                <w:lang w:eastAsia="es-CR"/>
              </w:rPr>
            </w:pPr>
            <w:r w:rsidRPr="00844DFE">
              <w:rPr>
                <w:rFonts w:eastAsia="Times New Roman" w:cs="Calibri"/>
                <w:color w:val="000000"/>
                <w:szCs w:val="24"/>
                <w:lang w:eastAsia="es-CR"/>
              </w:rPr>
              <w:t> </w:t>
            </w:r>
          </w:p>
        </w:tc>
      </w:tr>
      <w:tr w:rsidR="00844DFE" w:rsidRPr="00844DFE" w14:paraId="1D9232CF" w14:textId="77777777" w:rsidTr="00747D23">
        <w:trPr>
          <w:trHeight w:val="324"/>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1B6653E4" w14:textId="77777777" w:rsidR="00844DFE" w:rsidRPr="00844DFE" w:rsidRDefault="00844DFE" w:rsidP="00844DFE">
            <w:pPr>
              <w:spacing w:after="0" w:line="240" w:lineRule="auto"/>
              <w:rPr>
                <w:rFonts w:eastAsia="Times New Roman" w:cs="Calibri"/>
                <w:color w:val="000000"/>
                <w:szCs w:val="24"/>
                <w:lang w:eastAsia="es-CR"/>
              </w:rPr>
            </w:pPr>
            <w:r w:rsidRPr="00844DFE">
              <w:rPr>
                <w:rFonts w:eastAsia="Times New Roman" w:cs="Calibri"/>
                <w:color w:val="000000"/>
                <w:szCs w:val="24"/>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3FAD15CA" w14:textId="77777777" w:rsidR="00844DFE" w:rsidRPr="00844DFE" w:rsidRDefault="00844DFE" w:rsidP="00844DFE">
            <w:pPr>
              <w:spacing w:after="0" w:line="240" w:lineRule="auto"/>
              <w:rPr>
                <w:rFonts w:eastAsia="Times New Roman" w:cs="Calibri"/>
                <w:color w:val="000000"/>
                <w:szCs w:val="24"/>
                <w:lang w:eastAsia="es-CR"/>
              </w:rPr>
            </w:pPr>
            <w:r w:rsidRPr="00844DFE">
              <w:rPr>
                <w:rFonts w:eastAsia="Times New Roman" w:cs="Calibri"/>
                <w:color w:val="000000"/>
                <w:szCs w:val="24"/>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6E29B68E" w14:textId="77777777" w:rsidR="00844DFE" w:rsidRPr="00844DFE" w:rsidRDefault="00844DFE" w:rsidP="00844DFE">
            <w:pPr>
              <w:spacing w:after="0" w:line="240" w:lineRule="auto"/>
              <w:rPr>
                <w:rFonts w:eastAsia="Times New Roman" w:cs="Calibri"/>
                <w:color w:val="000000"/>
                <w:szCs w:val="24"/>
                <w:lang w:eastAsia="es-CR"/>
              </w:rPr>
            </w:pPr>
            <w:r w:rsidRPr="00844DFE">
              <w:rPr>
                <w:rFonts w:eastAsia="Times New Roman" w:cs="Calibri"/>
                <w:color w:val="000000"/>
                <w:szCs w:val="24"/>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514D4D10" w14:textId="77777777" w:rsidR="00844DFE" w:rsidRPr="00844DFE" w:rsidRDefault="00844DFE" w:rsidP="00844DFE">
            <w:pPr>
              <w:spacing w:after="0" w:line="240" w:lineRule="auto"/>
              <w:rPr>
                <w:rFonts w:eastAsia="Times New Roman" w:cs="Calibri"/>
                <w:color w:val="000000"/>
                <w:szCs w:val="24"/>
                <w:lang w:eastAsia="es-CR"/>
              </w:rPr>
            </w:pPr>
            <w:r w:rsidRPr="00844DFE">
              <w:rPr>
                <w:rFonts w:eastAsia="Times New Roman" w:cs="Calibri"/>
                <w:color w:val="000000"/>
                <w:szCs w:val="24"/>
                <w:lang w:eastAsia="es-CR"/>
              </w:rPr>
              <w:t> </w:t>
            </w:r>
          </w:p>
        </w:tc>
      </w:tr>
    </w:tbl>
    <w:bookmarkEnd w:id="149"/>
    <w:p w14:paraId="3BCF3900" w14:textId="49C51CE4" w:rsidR="00692DC8" w:rsidRPr="00B65CDC" w:rsidRDefault="00692DC8" w:rsidP="0011777B">
      <w:pPr>
        <w:spacing w:before="240"/>
        <w:rPr>
          <w:rFonts w:eastAsia="Times New Roman" w:cs="Times New Roman"/>
          <w:color w:val="000000"/>
          <w:szCs w:val="24"/>
          <w:lang w:val="es-ES" w:eastAsia="es-ES"/>
        </w:rPr>
      </w:pPr>
      <w:r w:rsidRPr="00692DC8">
        <w:rPr>
          <w:rFonts w:eastAsia="Times New Roman" w:cs="Times New Roman"/>
          <w:color w:val="000000"/>
          <w:szCs w:val="24"/>
          <w:lang w:val="es-ES" w:eastAsia="es-ES"/>
        </w:rPr>
        <w:t>Detalle</w:t>
      </w:r>
      <w:r w:rsidRPr="00692DC8">
        <w:rPr>
          <w:rFonts w:ascii="Times New Roman" w:eastAsia="Times New Roman" w:hAnsi="Times New Roman" w:cs="Times New Roman"/>
          <w:szCs w:val="24"/>
          <w:lang w:eastAsia="es-CR"/>
        </w:rPr>
        <w:t xml:space="preserve"> </w:t>
      </w:r>
      <w:r w:rsidRPr="00692DC8">
        <w:rPr>
          <w:rFonts w:eastAsia="Times New Roman" w:cs="Times New Roman"/>
          <w:color w:val="000000"/>
          <w:szCs w:val="24"/>
          <w:lang w:val="es-ES" w:eastAsia="es-ES"/>
        </w:rPr>
        <w:t>cuentas corrientes en el sector público interno</w:t>
      </w:r>
    </w:p>
    <w:tbl>
      <w:tblPr>
        <w:tblW w:w="4678" w:type="dxa"/>
        <w:tblInd w:w="-10" w:type="dxa"/>
        <w:tblCellMar>
          <w:left w:w="70" w:type="dxa"/>
          <w:right w:w="70" w:type="dxa"/>
        </w:tblCellMar>
        <w:tblLook w:val="04A0" w:firstRow="1" w:lastRow="0" w:firstColumn="1" w:lastColumn="0" w:noHBand="0" w:noVBand="1"/>
      </w:tblPr>
      <w:tblGrid>
        <w:gridCol w:w="1249"/>
        <w:gridCol w:w="3429"/>
      </w:tblGrid>
      <w:tr w:rsidR="00844DFE" w:rsidRPr="00844DFE" w14:paraId="3D49D256" w14:textId="77777777" w:rsidTr="002A3882">
        <w:trPr>
          <w:trHeight w:val="288"/>
        </w:trPr>
        <w:tc>
          <w:tcPr>
            <w:tcW w:w="1249" w:type="dxa"/>
            <w:tcBorders>
              <w:top w:val="single" w:sz="8" w:space="0" w:color="auto"/>
              <w:left w:val="single" w:sz="8" w:space="0" w:color="auto"/>
              <w:bottom w:val="nil"/>
              <w:right w:val="single" w:sz="8" w:space="0" w:color="auto"/>
            </w:tcBorders>
            <w:shd w:val="clear" w:color="000000" w:fill="366092"/>
            <w:noWrap/>
            <w:vAlign w:val="center"/>
            <w:hideMark/>
          </w:tcPr>
          <w:p w14:paraId="5863BBD8" w14:textId="77777777" w:rsidR="00844DFE" w:rsidRPr="00844DFE" w:rsidRDefault="00844DFE" w:rsidP="00844DFE">
            <w:pPr>
              <w:spacing w:after="0" w:line="240" w:lineRule="auto"/>
              <w:rPr>
                <w:rFonts w:eastAsia="Times New Roman" w:cs="Calibri"/>
                <w:b/>
                <w:bCs/>
                <w:color w:val="FFFFFF"/>
                <w:sz w:val="18"/>
                <w:szCs w:val="18"/>
                <w:lang w:eastAsia="es-CR"/>
              </w:rPr>
            </w:pPr>
            <w:r w:rsidRPr="00844DFE">
              <w:rPr>
                <w:rFonts w:eastAsia="Times New Roman" w:cs="Calibri"/>
                <w:b/>
                <w:bCs/>
                <w:color w:val="FFFFFF"/>
                <w:sz w:val="18"/>
                <w:szCs w:val="18"/>
                <w:lang w:eastAsia="es-CR"/>
              </w:rPr>
              <w:t xml:space="preserve">Cuenta </w:t>
            </w:r>
          </w:p>
        </w:tc>
        <w:tc>
          <w:tcPr>
            <w:tcW w:w="3429" w:type="dxa"/>
            <w:tcBorders>
              <w:top w:val="single" w:sz="8" w:space="0" w:color="auto"/>
              <w:left w:val="nil"/>
              <w:bottom w:val="nil"/>
              <w:right w:val="single" w:sz="8" w:space="0" w:color="auto"/>
            </w:tcBorders>
            <w:shd w:val="clear" w:color="000000" w:fill="366092"/>
            <w:vAlign w:val="center"/>
            <w:hideMark/>
          </w:tcPr>
          <w:p w14:paraId="052A27E9" w14:textId="77777777" w:rsidR="00844DFE" w:rsidRPr="00844DFE" w:rsidRDefault="00844DFE" w:rsidP="00844DFE">
            <w:pPr>
              <w:spacing w:after="0" w:line="240" w:lineRule="auto"/>
              <w:jc w:val="center"/>
              <w:rPr>
                <w:rFonts w:eastAsia="Times New Roman" w:cs="Calibri"/>
                <w:b/>
                <w:bCs/>
                <w:color w:val="FFFFFF"/>
                <w:sz w:val="18"/>
                <w:szCs w:val="18"/>
                <w:lang w:eastAsia="es-CR"/>
              </w:rPr>
            </w:pPr>
            <w:r w:rsidRPr="00844DFE">
              <w:rPr>
                <w:rFonts w:eastAsia="Times New Roman" w:cs="Calibri"/>
                <w:b/>
                <w:bCs/>
                <w:color w:val="FFFFFF"/>
                <w:sz w:val="18"/>
                <w:szCs w:val="18"/>
                <w:lang w:eastAsia="es-CR"/>
              </w:rPr>
              <w:t xml:space="preserve">Descripción </w:t>
            </w:r>
          </w:p>
        </w:tc>
      </w:tr>
      <w:tr w:rsidR="00844DFE" w:rsidRPr="00844DFE" w14:paraId="7BF5EA24" w14:textId="77777777" w:rsidTr="001A6E5E">
        <w:trPr>
          <w:trHeight w:val="249"/>
        </w:trPr>
        <w:tc>
          <w:tcPr>
            <w:tcW w:w="1249" w:type="dxa"/>
            <w:tcBorders>
              <w:top w:val="nil"/>
              <w:left w:val="single" w:sz="8" w:space="0" w:color="auto"/>
              <w:bottom w:val="single" w:sz="8" w:space="0" w:color="auto"/>
              <w:right w:val="single" w:sz="8" w:space="0" w:color="auto"/>
            </w:tcBorders>
            <w:shd w:val="clear" w:color="auto" w:fill="auto"/>
            <w:noWrap/>
            <w:vAlign w:val="center"/>
            <w:hideMark/>
          </w:tcPr>
          <w:p w14:paraId="54170C07"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1.1.1.01.02.02.2.</w:t>
            </w:r>
          </w:p>
        </w:tc>
        <w:tc>
          <w:tcPr>
            <w:tcW w:w="3429" w:type="dxa"/>
            <w:tcBorders>
              <w:top w:val="nil"/>
              <w:left w:val="nil"/>
              <w:bottom w:val="single" w:sz="8" w:space="0" w:color="auto"/>
              <w:right w:val="single" w:sz="8" w:space="0" w:color="auto"/>
            </w:tcBorders>
            <w:shd w:val="clear" w:color="auto" w:fill="auto"/>
            <w:vAlign w:val="center"/>
            <w:hideMark/>
          </w:tcPr>
          <w:p w14:paraId="133539C5"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Cuentas corrientes en el sector público interno</w:t>
            </w:r>
          </w:p>
        </w:tc>
      </w:tr>
    </w:tbl>
    <w:p w14:paraId="14889CDC" w14:textId="77777777" w:rsidR="00844DFE" w:rsidRDefault="00844DFE" w:rsidP="001A6E5E">
      <w:pPr>
        <w:spacing w:after="0" w:line="240" w:lineRule="auto"/>
        <w:rPr>
          <w:lang w:val="es-ES" w:eastAsia="es-CR"/>
        </w:rPr>
      </w:pPr>
    </w:p>
    <w:tbl>
      <w:tblPr>
        <w:tblW w:w="9340" w:type="dxa"/>
        <w:tblLook w:val="04A0" w:firstRow="1" w:lastRow="0" w:firstColumn="1" w:lastColumn="0" w:noHBand="0" w:noVBand="1"/>
      </w:tblPr>
      <w:tblGrid>
        <w:gridCol w:w="4400"/>
        <w:gridCol w:w="1280"/>
        <w:gridCol w:w="1280"/>
        <w:gridCol w:w="1180"/>
        <w:gridCol w:w="1200"/>
      </w:tblGrid>
      <w:tr w:rsidR="00F241F4" w:rsidRPr="00F241F4" w14:paraId="4AC24648" w14:textId="77777777" w:rsidTr="00F241F4">
        <w:trPr>
          <w:trHeight w:val="470"/>
        </w:trPr>
        <w:tc>
          <w:tcPr>
            <w:tcW w:w="4400" w:type="dxa"/>
            <w:tcBorders>
              <w:top w:val="single" w:sz="8" w:space="0" w:color="auto"/>
              <w:left w:val="single" w:sz="8" w:space="0" w:color="auto"/>
              <w:bottom w:val="nil"/>
              <w:right w:val="single" w:sz="8" w:space="0" w:color="auto"/>
            </w:tcBorders>
            <w:shd w:val="clear" w:color="000000" w:fill="366092"/>
            <w:vAlign w:val="center"/>
            <w:hideMark/>
          </w:tcPr>
          <w:p w14:paraId="130297D1" w14:textId="77777777" w:rsidR="00F241F4" w:rsidRPr="00F241F4" w:rsidRDefault="00F241F4" w:rsidP="00F241F4">
            <w:pPr>
              <w:spacing w:after="0" w:line="240" w:lineRule="auto"/>
              <w:jc w:val="center"/>
              <w:rPr>
                <w:rFonts w:eastAsia="Times New Roman" w:cs="Calibri"/>
                <w:b/>
                <w:bCs/>
                <w:color w:val="FFFFFF"/>
                <w:sz w:val="18"/>
                <w:szCs w:val="18"/>
                <w:lang w:val="en-US"/>
              </w:rPr>
            </w:pPr>
            <w:r w:rsidRPr="00F241F4">
              <w:rPr>
                <w:rFonts w:eastAsia="Times New Roman" w:cs="Calibri"/>
                <w:b/>
                <w:bCs/>
                <w:color w:val="FFFFFF"/>
                <w:sz w:val="18"/>
                <w:szCs w:val="18"/>
                <w:lang w:val="en-US"/>
              </w:rPr>
              <w:t xml:space="preserve">Cuenta </w:t>
            </w:r>
          </w:p>
        </w:tc>
        <w:tc>
          <w:tcPr>
            <w:tcW w:w="1280" w:type="dxa"/>
            <w:tcBorders>
              <w:top w:val="single" w:sz="8" w:space="0" w:color="auto"/>
              <w:left w:val="nil"/>
              <w:bottom w:val="nil"/>
              <w:right w:val="single" w:sz="8" w:space="0" w:color="auto"/>
            </w:tcBorders>
            <w:shd w:val="clear" w:color="000000" w:fill="366092"/>
            <w:vAlign w:val="center"/>
            <w:hideMark/>
          </w:tcPr>
          <w:p w14:paraId="6586F7DA" w14:textId="77777777" w:rsidR="00F241F4" w:rsidRPr="00F241F4" w:rsidRDefault="00F241F4" w:rsidP="00F241F4">
            <w:pPr>
              <w:spacing w:after="0" w:line="240" w:lineRule="auto"/>
              <w:jc w:val="center"/>
              <w:rPr>
                <w:rFonts w:eastAsia="Times New Roman" w:cs="Calibri"/>
                <w:b/>
                <w:bCs/>
                <w:color w:val="FFFFFF"/>
                <w:sz w:val="18"/>
                <w:szCs w:val="18"/>
                <w:lang w:val="en-US"/>
              </w:rPr>
            </w:pPr>
            <w:r w:rsidRPr="00F241F4">
              <w:rPr>
                <w:rFonts w:eastAsia="Times New Roman" w:cs="Calibri"/>
                <w:b/>
                <w:bCs/>
                <w:color w:val="FFFFFF"/>
                <w:sz w:val="18"/>
                <w:szCs w:val="18"/>
                <w:lang w:val="en-US"/>
              </w:rPr>
              <w:t>Periodo Actual</w:t>
            </w:r>
          </w:p>
        </w:tc>
        <w:tc>
          <w:tcPr>
            <w:tcW w:w="1280" w:type="dxa"/>
            <w:tcBorders>
              <w:top w:val="single" w:sz="8" w:space="0" w:color="auto"/>
              <w:left w:val="nil"/>
              <w:bottom w:val="nil"/>
              <w:right w:val="single" w:sz="8" w:space="0" w:color="auto"/>
            </w:tcBorders>
            <w:shd w:val="clear" w:color="000000" w:fill="366092"/>
            <w:vAlign w:val="center"/>
            <w:hideMark/>
          </w:tcPr>
          <w:p w14:paraId="05DF589D" w14:textId="77777777" w:rsidR="00F241F4" w:rsidRPr="00F241F4" w:rsidRDefault="00F241F4" w:rsidP="00F241F4">
            <w:pPr>
              <w:spacing w:after="0" w:line="240" w:lineRule="auto"/>
              <w:jc w:val="center"/>
              <w:rPr>
                <w:rFonts w:eastAsia="Times New Roman" w:cs="Calibri"/>
                <w:b/>
                <w:bCs/>
                <w:color w:val="FFFFFF"/>
                <w:sz w:val="18"/>
                <w:szCs w:val="18"/>
                <w:lang w:val="en-US"/>
              </w:rPr>
            </w:pPr>
            <w:r w:rsidRPr="00F241F4">
              <w:rPr>
                <w:rFonts w:eastAsia="Times New Roman" w:cs="Calibri"/>
                <w:b/>
                <w:bCs/>
                <w:color w:val="FFFFFF"/>
                <w:sz w:val="18"/>
                <w:szCs w:val="18"/>
                <w:lang w:val="en-US"/>
              </w:rPr>
              <w:t>Periodo Anterior</w:t>
            </w:r>
          </w:p>
        </w:tc>
        <w:tc>
          <w:tcPr>
            <w:tcW w:w="1180" w:type="dxa"/>
            <w:tcBorders>
              <w:top w:val="single" w:sz="8" w:space="0" w:color="auto"/>
              <w:left w:val="nil"/>
              <w:bottom w:val="nil"/>
              <w:right w:val="single" w:sz="8" w:space="0" w:color="auto"/>
            </w:tcBorders>
            <w:shd w:val="clear" w:color="000000" w:fill="366092"/>
            <w:vAlign w:val="center"/>
            <w:hideMark/>
          </w:tcPr>
          <w:p w14:paraId="64574085" w14:textId="77777777" w:rsidR="00F241F4" w:rsidRPr="00F241F4" w:rsidRDefault="00F241F4" w:rsidP="00F241F4">
            <w:pPr>
              <w:spacing w:after="0" w:line="240" w:lineRule="auto"/>
              <w:jc w:val="center"/>
              <w:rPr>
                <w:rFonts w:eastAsia="Times New Roman" w:cs="Calibri"/>
                <w:b/>
                <w:bCs/>
                <w:color w:val="FFFFFF"/>
                <w:sz w:val="18"/>
                <w:szCs w:val="18"/>
                <w:lang w:val="en-US"/>
              </w:rPr>
            </w:pPr>
            <w:r w:rsidRPr="00F241F4">
              <w:rPr>
                <w:rFonts w:eastAsia="Times New Roman" w:cs="Calibri"/>
                <w:b/>
                <w:bCs/>
                <w:color w:val="FFFFFF"/>
                <w:sz w:val="18"/>
                <w:szCs w:val="18"/>
                <w:lang w:val="en-US"/>
              </w:rPr>
              <w:t>Variación Absoluta</w:t>
            </w:r>
          </w:p>
        </w:tc>
        <w:tc>
          <w:tcPr>
            <w:tcW w:w="1200" w:type="dxa"/>
            <w:tcBorders>
              <w:top w:val="single" w:sz="8" w:space="0" w:color="auto"/>
              <w:left w:val="nil"/>
              <w:bottom w:val="nil"/>
              <w:right w:val="single" w:sz="8" w:space="0" w:color="auto"/>
            </w:tcBorders>
            <w:shd w:val="clear" w:color="000000" w:fill="366092"/>
            <w:vAlign w:val="center"/>
            <w:hideMark/>
          </w:tcPr>
          <w:p w14:paraId="02532515" w14:textId="77777777" w:rsidR="00F241F4" w:rsidRPr="00F241F4" w:rsidRDefault="00F241F4" w:rsidP="00F241F4">
            <w:pPr>
              <w:spacing w:after="0" w:line="240" w:lineRule="auto"/>
              <w:jc w:val="center"/>
              <w:rPr>
                <w:rFonts w:eastAsia="Times New Roman" w:cs="Calibri"/>
                <w:b/>
                <w:bCs/>
                <w:color w:val="FFFFFF"/>
                <w:sz w:val="18"/>
                <w:szCs w:val="18"/>
                <w:lang w:val="en-US"/>
              </w:rPr>
            </w:pPr>
            <w:r w:rsidRPr="00F241F4">
              <w:rPr>
                <w:rFonts w:eastAsia="Times New Roman" w:cs="Calibri"/>
                <w:b/>
                <w:bCs/>
                <w:color w:val="FFFFFF"/>
                <w:sz w:val="18"/>
                <w:szCs w:val="18"/>
                <w:lang w:val="en-US"/>
              </w:rPr>
              <w:t>Variación %</w:t>
            </w:r>
          </w:p>
        </w:tc>
      </w:tr>
      <w:tr w:rsidR="00F241F4" w:rsidRPr="00F241F4" w14:paraId="46C93349" w14:textId="77777777" w:rsidTr="00F241F4">
        <w:trPr>
          <w:trHeight w:val="290"/>
        </w:trPr>
        <w:tc>
          <w:tcPr>
            <w:tcW w:w="4400"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1A0F2615" w14:textId="77777777" w:rsidR="00F241F4" w:rsidRPr="00F241F4" w:rsidRDefault="00F241F4" w:rsidP="00F241F4">
            <w:pPr>
              <w:spacing w:after="0" w:line="240" w:lineRule="auto"/>
              <w:jc w:val="left"/>
              <w:rPr>
                <w:rFonts w:eastAsia="Times New Roman" w:cs="Calibri"/>
                <w:color w:val="000000"/>
                <w:sz w:val="20"/>
                <w:szCs w:val="20"/>
              </w:rPr>
            </w:pPr>
            <w:r w:rsidRPr="00F241F4">
              <w:rPr>
                <w:rFonts w:eastAsia="Times New Roman" w:cs="Calibri"/>
                <w:color w:val="000000"/>
                <w:sz w:val="20"/>
                <w:szCs w:val="20"/>
              </w:rPr>
              <w:t>460-0000975-0 B.C.R. (Timbres Municipales)</w:t>
            </w:r>
          </w:p>
        </w:tc>
        <w:tc>
          <w:tcPr>
            <w:tcW w:w="1280" w:type="dxa"/>
            <w:tcBorders>
              <w:top w:val="single" w:sz="8" w:space="0" w:color="auto"/>
              <w:left w:val="nil"/>
              <w:bottom w:val="single" w:sz="4" w:space="0" w:color="auto"/>
              <w:right w:val="single" w:sz="4" w:space="0" w:color="auto"/>
            </w:tcBorders>
            <w:shd w:val="clear" w:color="000000" w:fill="FFFFFF"/>
            <w:vAlign w:val="bottom"/>
            <w:hideMark/>
          </w:tcPr>
          <w:p w14:paraId="5234A9A7"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ascii="Arial" w:eastAsia="Times New Roman" w:hAnsi="Arial" w:cs="Arial"/>
                <w:color w:val="000000"/>
                <w:sz w:val="20"/>
                <w:szCs w:val="20"/>
                <w:lang w:val="en-US"/>
              </w:rPr>
              <w:t>₡</w:t>
            </w:r>
            <w:r w:rsidRPr="00F241F4">
              <w:rPr>
                <w:rFonts w:eastAsia="Times New Roman" w:cs="Calibri"/>
                <w:color w:val="000000"/>
                <w:sz w:val="20"/>
                <w:szCs w:val="20"/>
                <w:lang w:val="en-US"/>
              </w:rPr>
              <w:t>4 570,45</w:t>
            </w:r>
          </w:p>
        </w:tc>
        <w:tc>
          <w:tcPr>
            <w:tcW w:w="1280" w:type="dxa"/>
            <w:tcBorders>
              <w:top w:val="single" w:sz="8" w:space="0" w:color="auto"/>
              <w:left w:val="nil"/>
              <w:bottom w:val="single" w:sz="4" w:space="0" w:color="auto"/>
              <w:right w:val="single" w:sz="4" w:space="0" w:color="auto"/>
            </w:tcBorders>
            <w:shd w:val="clear" w:color="000000" w:fill="FFFFFF"/>
            <w:vAlign w:val="bottom"/>
            <w:hideMark/>
          </w:tcPr>
          <w:p w14:paraId="495D4415"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ascii="Arial" w:eastAsia="Times New Roman" w:hAnsi="Arial" w:cs="Arial"/>
                <w:color w:val="000000"/>
                <w:sz w:val="20"/>
                <w:szCs w:val="20"/>
                <w:lang w:val="en-US"/>
              </w:rPr>
              <w:t>₡</w:t>
            </w:r>
            <w:r w:rsidRPr="00F241F4">
              <w:rPr>
                <w:rFonts w:eastAsia="Times New Roman" w:cs="Calibri"/>
                <w:color w:val="000000"/>
                <w:sz w:val="20"/>
                <w:szCs w:val="20"/>
                <w:lang w:val="en-US"/>
              </w:rPr>
              <w:t>16 570,59</w:t>
            </w:r>
          </w:p>
        </w:tc>
        <w:tc>
          <w:tcPr>
            <w:tcW w:w="1180" w:type="dxa"/>
            <w:tcBorders>
              <w:top w:val="single" w:sz="8" w:space="0" w:color="auto"/>
              <w:left w:val="nil"/>
              <w:bottom w:val="single" w:sz="4" w:space="0" w:color="auto"/>
              <w:right w:val="single" w:sz="4" w:space="0" w:color="auto"/>
            </w:tcBorders>
            <w:shd w:val="clear" w:color="000000" w:fill="FFFFFF"/>
            <w:vAlign w:val="center"/>
            <w:hideMark/>
          </w:tcPr>
          <w:p w14:paraId="1A09C05C"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w:t>
            </w:r>
            <w:r w:rsidRPr="00F241F4">
              <w:rPr>
                <w:rFonts w:ascii="Arial" w:eastAsia="Times New Roman" w:hAnsi="Arial" w:cs="Arial"/>
                <w:color w:val="000000"/>
                <w:sz w:val="20"/>
                <w:szCs w:val="20"/>
                <w:lang w:val="en-US"/>
              </w:rPr>
              <w:t>₡</w:t>
            </w:r>
            <w:r w:rsidRPr="00F241F4">
              <w:rPr>
                <w:rFonts w:eastAsia="Times New Roman" w:cs="Calibri"/>
                <w:color w:val="000000"/>
                <w:sz w:val="20"/>
                <w:szCs w:val="20"/>
                <w:lang w:val="en-US"/>
              </w:rPr>
              <w:t>12 000,15</w:t>
            </w:r>
          </w:p>
        </w:tc>
        <w:tc>
          <w:tcPr>
            <w:tcW w:w="1200" w:type="dxa"/>
            <w:tcBorders>
              <w:top w:val="single" w:sz="8" w:space="0" w:color="auto"/>
              <w:left w:val="nil"/>
              <w:bottom w:val="single" w:sz="4" w:space="0" w:color="auto"/>
              <w:right w:val="single" w:sz="8" w:space="0" w:color="auto"/>
            </w:tcBorders>
            <w:shd w:val="clear" w:color="000000" w:fill="FFFFFF"/>
            <w:vAlign w:val="center"/>
            <w:hideMark/>
          </w:tcPr>
          <w:p w14:paraId="03253E07"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-72,42%</w:t>
            </w:r>
          </w:p>
        </w:tc>
      </w:tr>
      <w:tr w:rsidR="00F241F4" w:rsidRPr="00F241F4" w14:paraId="3B968E67" w14:textId="77777777" w:rsidTr="00F241F4">
        <w:trPr>
          <w:trHeight w:val="290"/>
        </w:trPr>
        <w:tc>
          <w:tcPr>
            <w:tcW w:w="4400" w:type="dxa"/>
            <w:tcBorders>
              <w:top w:val="nil"/>
              <w:left w:val="single" w:sz="8" w:space="0" w:color="auto"/>
              <w:bottom w:val="single" w:sz="4" w:space="0" w:color="auto"/>
              <w:right w:val="single" w:sz="4" w:space="0" w:color="auto"/>
            </w:tcBorders>
            <w:shd w:val="clear" w:color="000000" w:fill="FFFFFF"/>
            <w:vAlign w:val="center"/>
            <w:hideMark/>
          </w:tcPr>
          <w:p w14:paraId="2FC15FD3" w14:textId="77777777" w:rsidR="00F241F4" w:rsidRPr="00F241F4" w:rsidRDefault="00F241F4" w:rsidP="00F241F4">
            <w:pPr>
              <w:spacing w:after="0" w:line="240" w:lineRule="auto"/>
              <w:jc w:val="left"/>
              <w:rPr>
                <w:rFonts w:eastAsia="Times New Roman" w:cs="Calibri"/>
                <w:color w:val="000000"/>
                <w:sz w:val="20"/>
                <w:szCs w:val="20"/>
              </w:rPr>
            </w:pPr>
            <w:r w:rsidRPr="00F241F4">
              <w:rPr>
                <w:rFonts w:eastAsia="Times New Roman" w:cs="Calibri"/>
                <w:color w:val="000000"/>
                <w:sz w:val="20"/>
                <w:szCs w:val="20"/>
              </w:rPr>
              <w:t>001-03630617 B.C.R. Cuenta General</w:t>
            </w:r>
          </w:p>
        </w:tc>
        <w:tc>
          <w:tcPr>
            <w:tcW w:w="128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85E623"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31 808,89</w:t>
            </w:r>
          </w:p>
        </w:tc>
        <w:tc>
          <w:tcPr>
            <w:tcW w:w="1280" w:type="dxa"/>
            <w:tcBorders>
              <w:top w:val="single" w:sz="4" w:space="0" w:color="auto"/>
              <w:left w:val="nil"/>
              <w:bottom w:val="single" w:sz="4" w:space="0" w:color="auto"/>
              <w:right w:val="single" w:sz="4" w:space="0" w:color="auto"/>
            </w:tcBorders>
            <w:shd w:val="clear" w:color="000000" w:fill="FFFFFF"/>
            <w:vAlign w:val="bottom"/>
            <w:hideMark/>
          </w:tcPr>
          <w:p w14:paraId="33DAA74E"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46 458,92</w:t>
            </w:r>
          </w:p>
        </w:tc>
        <w:tc>
          <w:tcPr>
            <w:tcW w:w="1180" w:type="dxa"/>
            <w:tcBorders>
              <w:top w:val="single" w:sz="4" w:space="0" w:color="auto"/>
              <w:left w:val="nil"/>
              <w:bottom w:val="single" w:sz="4" w:space="0" w:color="auto"/>
              <w:right w:val="single" w:sz="4" w:space="0" w:color="auto"/>
            </w:tcBorders>
            <w:shd w:val="clear" w:color="000000" w:fill="FFFFFF"/>
            <w:vAlign w:val="center"/>
            <w:hideMark/>
          </w:tcPr>
          <w:p w14:paraId="665125F6"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-14 650,03</w:t>
            </w:r>
          </w:p>
        </w:tc>
        <w:tc>
          <w:tcPr>
            <w:tcW w:w="1200" w:type="dxa"/>
            <w:tcBorders>
              <w:top w:val="nil"/>
              <w:left w:val="single" w:sz="4" w:space="0" w:color="auto"/>
              <w:bottom w:val="single" w:sz="4" w:space="0" w:color="auto"/>
              <w:right w:val="single" w:sz="8" w:space="0" w:color="auto"/>
            </w:tcBorders>
            <w:shd w:val="clear" w:color="000000" w:fill="FFFFFF"/>
            <w:vAlign w:val="center"/>
            <w:hideMark/>
          </w:tcPr>
          <w:p w14:paraId="522A4B46"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-31,53%</w:t>
            </w:r>
          </w:p>
        </w:tc>
      </w:tr>
      <w:tr w:rsidR="00F241F4" w:rsidRPr="00F241F4" w14:paraId="69F5F4C3" w14:textId="77777777" w:rsidTr="00F241F4">
        <w:trPr>
          <w:trHeight w:val="290"/>
        </w:trPr>
        <w:tc>
          <w:tcPr>
            <w:tcW w:w="4400" w:type="dxa"/>
            <w:tcBorders>
              <w:top w:val="nil"/>
              <w:left w:val="single" w:sz="8" w:space="0" w:color="auto"/>
              <w:bottom w:val="single" w:sz="4" w:space="0" w:color="auto"/>
              <w:right w:val="single" w:sz="4" w:space="0" w:color="auto"/>
            </w:tcBorders>
            <w:shd w:val="clear" w:color="000000" w:fill="FFFFFF"/>
            <w:vAlign w:val="center"/>
            <w:hideMark/>
          </w:tcPr>
          <w:p w14:paraId="19E1D452" w14:textId="77777777" w:rsidR="00F241F4" w:rsidRPr="00F241F4" w:rsidRDefault="00F241F4" w:rsidP="00F241F4">
            <w:pPr>
              <w:spacing w:after="0" w:line="240" w:lineRule="auto"/>
              <w:jc w:val="left"/>
              <w:rPr>
                <w:rFonts w:eastAsia="Times New Roman" w:cs="Calibri"/>
                <w:color w:val="000000"/>
                <w:sz w:val="20"/>
                <w:szCs w:val="20"/>
              </w:rPr>
            </w:pPr>
            <w:r w:rsidRPr="00F241F4">
              <w:rPr>
                <w:rFonts w:eastAsia="Times New Roman" w:cs="Calibri"/>
                <w:color w:val="000000"/>
                <w:sz w:val="20"/>
                <w:szCs w:val="20"/>
              </w:rPr>
              <w:t>100-01-038-000023-8 B.N.C.R (GENENAL)</w:t>
            </w:r>
          </w:p>
        </w:tc>
        <w:tc>
          <w:tcPr>
            <w:tcW w:w="1280" w:type="dxa"/>
            <w:tcBorders>
              <w:top w:val="nil"/>
              <w:left w:val="single" w:sz="4" w:space="0" w:color="auto"/>
              <w:bottom w:val="single" w:sz="4" w:space="0" w:color="auto"/>
              <w:right w:val="single" w:sz="4" w:space="0" w:color="auto"/>
            </w:tcBorders>
            <w:shd w:val="clear" w:color="000000" w:fill="FFFFFF"/>
            <w:vAlign w:val="center"/>
            <w:hideMark/>
          </w:tcPr>
          <w:p w14:paraId="079B0B89"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28 744,15</w:t>
            </w:r>
          </w:p>
        </w:tc>
        <w:tc>
          <w:tcPr>
            <w:tcW w:w="1280" w:type="dxa"/>
            <w:tcBorders>
              <w:top w:val="nil"/>
              <w:left w:val="nil"/>
              <w:bottom w:val="single" w:sz="4" w:space="0" w:color="auto"/>
              <w:right w:val="single" w:sz="4" w:space="0" w:color="auto"/>
            </w:tcBorders>
            <w:shd w:val="clear" w:color="000000" w:fill="FFFFFF"/>
            <w:vAlign w:val="center"/>
            <w:hideMark/>
          </w:tcPr>
          <w:p w14:paraId="62162DA8"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91 610,97</w:t>
            </w:r>
          </w:p>
        </w:tc>
        <w:tc>
          <w:tcPr>
            <w:tcW w:w="1180" w:type="dxa"/>
            <w:tcBorders>
              <w:top w:val="nil"/>
              <w:left w:val="nil"/>
              <w:bottom w:val="single" w:sz="4" w:space="0" w:color="auto"/>
              <w:right w:val="single" w:sz="4" w:space="0" w:color="auto"/>
            </w:tcBorders>
            <w:shd w:val="clear" w:color="000000" w:fill="FFFFFF"/>
            <w:vAlign w:val="center"/>
            <w:hideMark/>
          </w:tcPr>
          <w:p w14:paraId="07E26A4A"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-62 866,82</w:t>
            </w:r>
          </w:p>
        </w:tc>
        <w:tc>
          <w:tcPr>
            <w:tcW w:w="1200" w:type="dxa"/>
            <w:tcBorders>
              <w:top w:val="nil"/>
              <w:left w:val="single" w:sz="4" w:space="0" w:color="auto"/>
              <w:bottom w:val="single" w:sz="4" w:space="0" w:color="auto"/>
              <w:right w:val="single" w:sz="8" w:space="0" w:color="auto"/>
            </w:tcBorders>
            <w:shd w:val="clear" w:color="000000" w:fill="FFFFFF"/>
            <w:vAlign w:val="center"/>
            <w:hideMark/>
          </w:tcPr>
          <w:p w14:paraId="14144DB6"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-68,62%</w:t>
            </w:r>
          </w:p>
        </w:tc>
      </w:tr>
      <w:tr w:rsidR="00F241F4" w:rsidRPr="00F241F4" w14:paraId="74450908" w14:textId="77777777" w:rsidTr="00F241F4">
        <w:trPr>
          <w:trHeight w:val="290"/>
        </w:trPr>
        <w:tc>
          <w:tcPr>
            <w:tcW w:w="4400" w:type="dxa"/>
            <w:tcBorders>
              <w:top w:val="nil"/>
              <w:left w:val="single" w:sz="8" w:space="0" w:color="auto"/>
              <w:bottom w:val="single" w:sz="4" w:space="0" w:color="auto"/>
              <w:right w:val="single" w:sz="4" w:space="0" w:color="auto"/>
            </w:tcBorders>
            <w:shd w:val="clear" w:color="000000" w:fill="FFFFFF"/>
            <w:vAlign w:val="center"/>
            <w:hideMark/>
          </w:tcPr>
          <w:p w14:paraId="1BBBDF25" w14:textId="77777777" w:rsidR="00F241F4" w:rsidRPr="00B27058" w:rsidRDefault="00F241F4" w:rsidP="00F241F4">
            <w:pPr>
              <w:spacing w:after="0" w:line="240" w:lineRule="auto"/>
              <w:jc w:val="left"/>
              <w:rPr>
                <w:rFonts w:eastAsia="Times New Roman" w:cs="Calibri"/>
                <w:color w:val="000000"/>
                <w:sz w:val="20"/>
                <w:szCs w:val="20"/>
              </w:rPr>
            </w:pPr>
            <w:r w:rsidRPr="00B27058">
              <w:rPr>
                <w:rFonts w:eastAsia="Times New Roman" w:cs="Calibri"/>
                <w:color w:val="000000"/>
                <w:sz w:val="20"/>
                <w:szCs w:val="20"/>
              </w:rPr>
              <w:t>100-01-038-001203-5 B.N.C.R (FODESAF)</w:t>
            </w:r>
          </w:p>
        </w:tc>
        <w:tc>
          <w:tcPr>
            <w:tcW w:w="1280" w:type="dxa"/>
            <w:tcBorders>
              <w:top w:val="nil"/>
              <w:left w:val="single" w:sz="4" w:space="0" w:color="auto"/>
              <w:bottom w:val="single" w:sz="4" w:space="0" w:color="auto"/>
              <w:right w:val="single" w:sz="4" w:space="0" w:color="auto"/>
            </w:tcBorders>
            <w:shd w:val="clear" w:color="000000" w:fill="FFFFFF"/>
            <w:vAlign w:val="center"/>
            <w:hideMark/>
          </w:tcPr>
          <w:p w14:paraId="116C3D0D"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5 122,85</w:t>
            </w:r>
          </w:p>
        </w:tc>
        <w:tc>
          <w:tcPr>
            <w:tcW w:w="1280" w:type="dxa"/>
            <w:tcBorders>
              <w:top w:val="nil"/>
              <w:left w:val="nil"/>
              <w:bottom w:val="single" w:sz="4" w:space="0" w:color="auto"/>
              <w:right w:val="single" w:sz="4" w:space="0" w:color="auto"/>
            </w:tcBorders>
            <w:shd w:val="clear" w:color="000000" w:fill="FFFFFF"/>
            <w:vAlign w:val="center"/>
            <w:hideMark/>
          </w:tcPr>
          <w:p w14:paraId="006ECE74"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5 122,85</w:t>
            </w:r>
          </w:p>
        </w:tc>
        <w:tc>
          <w:tcPr>
            <w:tcW w:w="1180" w:type="dxa"/>
            <w:tcBorders>
              <w:top w:val="nil"/>
              <w:left w:val="nil"/>
              <w:bottom w:val="single" w:sz="4" w:space="0" w:color="auto"/>
              <w:right w:val="single" w:sz="4" w:space="0" w:color="auto"/>
            </w:tcBorders>
            <w:shd w:val="clear" w:color="000000" w:fill="FFFFFF"/>
            <w:vAlign w:val="center"/>
            <w:hideMark/>
          </w:tcPr>
          <w:p w14:paraId="35F2EA7E"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0,00</w:t>
            </w:r>
          </w:p>
        </w:tc>
        <w:tc>
          <w:tcPr>
            <w:tcW w:w="1200" w:type="dxa"/>
            <w:tcBorders>
              <w:top w:val="nil"/>
              <w:left w:val="single" w:sz="4" w:space="0" w:color="auto"/>
              <w:bottom w:val="single" w:sz="4" w:space="0" w:color="auto"/>
              <w:right w:val="single" w:sz="8" w:space="0" w:color="auto"/>
            </w:tcBorders>
            <w:shd w:val="clear" w:color="000000" w:fill="FFFFFF"/>
            <w:vAlign w:val="center"/>
            <w:hideMark/>
          </w:tcPr>
          <w:p w14:paraId="431AC003"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0,00%</w:t>
            </w:r>
          </w:p>
        </w:tc>
      </w:tr>
      <w:tr w:rsidR="00F241F4" w:rsidRPr="00F241F4" w14:paraId="6A5025F9" w14:textId="77777777" w:rsidTr="00F241F4">
        <w:trPr>
          <w:trHeight w:val="290"/>
        </w:trPr>
        <w:tc>
          <w:tcPr>
            <w:tcW w:w="4400" w:type="dxa"/>
            <w:tcBorders>
              <w:top w:val="nil"/>
              <w:left w:val="single" w:sz="8" w:space="0" w:color="auto"/>
              <w:bottom w:val="single" w:sz="4" w:space="0" w:color="auto"/>
              <w:right w:val="single" w:sz="4" w:space="0" w:color="auto"/>
            </w:tcBorders>
            <w:shd w:val="clear" w:color="000000" w:fill="FFFFFF"/>
            <w:vAlign w:val="center"/>
            <w:hideMark/>
          </w:tcPr>
          <w:p w14:paraId="17785EDC" w14:textId="77777777" w:rsidR="00F241F4" w:rsidRPr="00F241F4" w:rsidRDefault="00F241F4" w:rsidP="00F241F4">
            <w:pPr>
              <w:spacing w:after="0" w:line="240" w:lineRule="auto"/>
              <w:jc w:val="left"/>
              <w:rPr>
                <w:rFonts w:eastAsia="Times New Roman" w:cs="Calibri"/>
                <w:color w:val="000000"/>
                <w:sz w:val="20"/>
                <w:szCs w:val="20"/>
              </w:rPr>
            </w:pPr>
            <w:r w:rsidRPr="00F241F4">
              <w:rPr>
                <w:rFonts w:eastAsia="Times New Roman" w:cs="Calibri"/>
                <w:color w:val="000000"/>
                <w:sz w:val="20"/>
                <w:szCs w:val="20"/>
              </w:rPr>
              <w:t>100-01-038-001185-4 B.N.C.R (JUDESUR)</w:t>
            </w:r>
          </w:p>
        </w:tc>
        <w:tc>
          <w:tcPr>
            <w:tcW w:w="1280" w:type="dxa"/>
            <w:tcBorders>
              <w:top w:val="nil"/>
              <w:left w:val="single" w:sz="4" w:space="0" w:color="auto"/>
              <w:bottom w:val="single" w:sz="4" w:space="0" w:color="auto"/>
              <w:right w:val="single" w:sz="4" w:space="0" w:color="auto"/>
            </w:tcBorders>
            <w:shd w:val="clear" w:color="000000" w:fill="FFFFFF"/>
            <w:vAlign w:val="center"/>
            <w:hideMark/>
          </w:tcPr>
          <w:p w14:paraId="7FDBE793"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1,22</w:t>
            </w:r>
          </w:p>
        </w:tc>
        <w:tc>
          <w:tcPr>
            <w:tcW w:w="1280" w:type="dxa"/>
            <w:tcBorders>
              <w:top w:val="nil"/>
              <w:left w:val="nil"/>
              <w:bottom w:val="single" w:sz="4" w:space="0" w:color="auto"/>
              <w:right w:val="single" w:sz="4" w:space="0" w:color="auto"/>
            </w:tcBorders>
            <w:shd w:val="clear" w:color="000000" w:fill="FFFFFF"/>
            <w:vAlign w:val="center"/>
            <w:hideMark/>
          </w:tcPr>
          <w:p w14:paraId="324FE172"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1,22</w:t>
            </w:r>
          </w:p>
        </w:tc>
        <w:tc>
          <w:tcPr>
            <w:tcW w:w="1180" w:type="dxa"/>
            <w:tcBorders>
              <w:top w:val="nil"/>
              <w:left w:val="nil"/>
              <w:bottom w:val="single" w:sz="4" w:space="0" w:color="auto"/>
              <w:right w:val="single" w:sz="4" w:space="0" w:color="auto"/>
            </w:tcBorders>
            <w:shd w:val="clear" w:color="000000" w:fill="FFFFFF"/>
            <w:vAlign w:val="center"/>
            <w:hideMark/>
          </w:tcPr>
          <w:p w14:paraId="3D88B3BF"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0,00</w:t>
            </w:r>
          </w:p>
        </w:tc>
        <w:tc>
          <w:tcPr>
            <w:tcW w:w="1200" w:type="dxa"/>
            <w:tcBorders>
              <w:top w:val="nil"/>
              <w:left w:val="single" w:sz="4" w:space="0" w:color="auto"/>
              <w:bottom w:val="single" w:sz="4" w:space="0" w:color="auto"/>
              <w:right w:val="single" w:sz="8" w:space="0" w:color="auto"/>
            </w:tcBorders>
            <w:shd w:val="clear" w:color="000000" w:fill="FFFFFF"/>
            <w:vAlign w:val="center"/>
            <w:hideMark/>
          </w:tcPr>
          <w:p w14:paraId="40647E5A"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0,00%</w:t>
            </w:r>
          </w:p>
        </w:tc>
      </w:tr>
      <w:tr w:rsidR="00F241F4" w:rsidRPr="00F241F4" w14:paraId="3838B516" w14:textId="77777777" w:rsidTr="00F241F4">
        <w:trPr>
          <w:trHeight w:val="290"/>
        </w:trPr>
        <w:tc>
          <w:tcPr>
            <w:tcW w:w="4400" w:type="dxa"/>
            <w:tcBorders>
              <w:top w:val="nil"/>
              <w:left w:val="single" w:sz="8" w:space="0" w:color="auto"/>
              <w:bottom w:val="single" w:sz="4" w:space="0" w:color="auto"/>
              <w:right w:val="single" w:sz="4" w:space="0" w:color="auto"/>
            </w:tcBorders>
            <w:shd w:val="clear" w:color="000000" w:fill="FFFFFF"/>
            <w:vAlign w:val="center"/>
            <w:hideMark/>
          </w:tcPr>
          <w:p w14:paraId="1FCDB526" w14:textId="77777777" w:rsidR="00F241F4" w:rsidRPr="00F241F4" w:rsidRDefault="00F241F4" w:rsidP="00F241F4">
            <w:pPr>
              <w:spacing w:after="0" w:line="240" w:lineRule="auto"/>
              <w:jc w:val="left"/>
              <w:rPr>
                <w:rFonts w:eastAsia="Times New Roman" w:cs="Calibri"/>
                <w:color w:val="000000"/>
                <w:sz w:val="20"/>
                <w:szCs w:val="20"/>
                <w:lang w:val="en-US"/>
              </w:rPr>
            </w:pPr>
            <w:r w:rsidRPr="00F241F4">
              <w:rPr>
                <w:rFonts w:eastAsia="Times New Roman" w:cs="Calibri"/>
                <w:color w:val="000000"/>
                <w:sz w:val="20"/>
                <w:szCs w:val="20"/>
                <w:lang w:val="en-US"/>
              </w:rPr>
              <w:t>100-01-038-001296-9 B.N.C.R (LEY 8114)</w:t>
            </w:r>
          </w:p>
        </w:tc>
        <w:tc>
          <w:tcPr>
            <w:tcW w:w="1280" w:type="dxa"/>
            <w:tcBorders>
              <w:top w:val="nil"/>
              <w:left w:val="single" w:sz="4" w:space="0" w:color="auto"/>
              <w:bottom w:val="single" w:sz="4" w:space="0" w:color="auto"/>
              <w:right w:val="single" w:sz="4" w:space="0" w:color="auto"/>
            </w:tcBorders>
            <w:shd w:val="clear" w:color="000000" w:fill="FFFFFF"/>
            <w:vAlign w:val="center"/>
            <w:hideMark/>
          </w:tcPr>
          <w:p w14:paraId="31AB37AA"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3 170,78</w:t>
            </w:r>
          </w:p>
        </w:tc>
        <w:tc>
          <w:tcPr>
            <w:tcW w:w="1280" w:type="dxa"/>
            <w:tcBorders>
              <w:top w:val="nil"/>
              <w:left w:val="nil"/>
              <w:bottom w:val="single" w:sz="4" w:space="0" w:color="auto"/>
              <w:right w:val="single" w:sz="4" w:space="0" w:color="auto"/>
            </w:tcBorders>
            <w:shd w:val="clear" w:color="000000" w:fill="FFFFFF"/>
            <w:vAlign w:val="center"/>
            <w:hideMark/>
          </w:tcPr>
          <w:p w14:paraId="10834BD4"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9 093,47</w:t>
            </w:r>
          </w:p>
        </w:tc>
        <w:tc>
          <w:tcPr>
            <w:tcW w:w="1180" w:type="dxa"/>
            <w:tcBorders>
              <w:top w:val="nil"/>
              <w:left w:val="nil"/>
              <w:bottom w:val="single" w:sz="4" w:space="0" w:color="auto"/>
              <w:right w:val="single" w:sz="4" w:space="0" w:color="auto"/>
            </w:tcBorders>
            <w:shd w:val="clear" w:color="000000" w:fill="FFFFFF"/>
            <w:vAlign w:val="center"/>
            <w:hideMark/>
          </w:tcPr>
          <w:p w14:paraId="1800BA0B"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-5 922,69</w:t>
            </w:r>
          </w:p>
        </w:tc>
        <w:tc>
          <w:tcPr>
            <w:tcW w:w="1200" w:type="dxa"/>
            <w:tcBorders>
              <w:top w:val="nil"/>
              <w:left w:val="single" w:sz="4" w:space="0" w:color="auto"/>
              <w:bottom w:val="single" w:sz="4" w:space="0" w:color="auto"/>
              <w:right w:val="single" w:sz="8" w:space="0" w:color="auto"/>
            </w:tcBorders>
            <w:shd w:val="clear" w:color="000000" w:fill="FFFFFF"/>
            <w:vAlign w:val="center"/>
            <w:hideMark/>
          </w:tcPr>
          <w:p w14:paraId="6EEDEA0C"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-65,13%</w:t>
            </w:r>
          </w:p>
        </w:tc>
      </w:tr>
      <w:tr w:rsidR="00F241F4" w:rsidRPr="00F241F4" w14:paraId="3973E31B" w14:textId="77777777" w:rsidTr="00F241F4">
        <w:trPr>
          <w:trHeight w:val="300"/>
        </w:trPr>
        <w:tc>
          <w:tcPr>
            <w:tcW w:w="4400" w:type="dxa"/>
            <w:tcBorders>
              <w:top w:val="nil"/>
              <w:left w:val="single" w:sz="8" w:space="0" w:color="auto"/>
              <w:bottom w:val="single" w:sz="8" w:space="0" w:color="auto"/>
              <w:right w:val="single" w:sz="4" w:space="0" w:color="auto"/>
            </w:tcBorders>
            <w:shd w:val="clear" w:color="000000" w:fill="FFFFFF"/>
            <w:vAlign w:val="center"/>
            <w:hideMark/>
          </w:tcPr>
          <w:p w14:paraId="7287E807" w14:textId="77777777" w:rsidR="00F241F4" w:rsidRPr="00F241F4" w:rsidRDefault="00F241F4" w:rsidP="00F241F4">
            <w:pPr>
              <w:spacing w:after="0" w:line="240" w:lineRule="auto"/>
              <w:jc w:val="left"/>
              <w:rPr>
                <w:rFonts w:eastAsia="Times New Roman" w:cs="Calibri"/>
                <w:color w:val="000000"/>
                <w:sz w:val="20"/>
                <w:szCs w:val="20"/>
              </w:rPr>
            </w:pPr>
            <w:r w:rsidRPr="00F241F4">
              <w:rPr>
                <w:rFonts w:eastAsia="Times New Roman" w:cs="Calibri"/>
                <w:color w:val="000000"/>
                <w:sz w:val="20"/>
                <w:szCs w:val="20"/>
              </w:rPr>
              <w:t>Cuenta 1640-3 B.N.C.R. GARANTIAS</w:t>
            </w:r>
          </w:p>
        </w:tc>
        <w:tc>
          <w:tcPr>
            <w:tcW w:w="1280" w:type="dxa"/>
            <w:tcBorders>
              <w:top w:val="single" w:sz="4" w:space="0" w:color="auto"/>
              <w:left w:val="nil"/>
              <w:bottom w:val="single" w:sz="8" w:space="0" w:color="auto"/>
              <w:right w:val="single" w:sz="4" w:space="0" w:color="auto"/>
            </w:tcBorders>
            <w:shd w:val="clear" w:color="000000" w:fill="FFFFFF"/>
            <w:vAlign w:val="center"/>
            <w:hideMark/>
          </w:tcPr>
          <w:p w14:paraId="62DD48FB"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58 724,40</w:t>
            </w:r>
          </w:p>
        </w:tc>
        <w:tc>
          <w:tcPr>
            <w:tcW w:w="1280" w:type="dxa"/>
            <w:tcBorders>
              <w:top w:val="single" w:sz="4" w:space="0" w:color="auto"/>
              <w:left w:val="nil"/>
              <w:bottom w:val="single" w:sz="8" w:space="0" w:color="auto"/>
              <w:right w:val="single" w:sz="4" w:space="0" w:color="auto"/>
            </w:tcBorders>
            <w:shd w:val="clear" w:color="000000" w:fill="FFFFFF"/>
            <w:vAlign w:val="center"/>
            <w:hideMark/>
          </w:tcPr>
          <w:p w14:paraId="5E45A983"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67 537,73</w:t>
            </w:r>
          </w:p>
        </w:tc>
        <w:tc>
          <w:tcPr>
            <w:tcW w:w="1180" w:type="dxa"/>
            <w:tcBorders>
              <w:top w:val="single" w:sz="4" w:space="0" w:color="auto"/>
              <w:left w:val="nil"/>
              <w:bottom w:val="single" w:sz="8" w:space="0" w:color="auto"/>
              <w:right w:val="single" w:sz="4" w:space="0" w:color="auto"/>
            </w:tcBorders>
            <w:shd w:val="clear" w:color="000000" w:fill="FFFFFF"/>
            <w:vAlign w:val="center"/>
            <w:hideMark/>
          </w:tcPr>
          <w:p w14:paraId="3184E8BF"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-8 813,33</w:t>
            </w:r>
          </w:p>
        </w:tc>
        <w:tc>
          <w:tcPr>
            <w:tcW w:w="1200" w:type="dxa"/>
            <w:tcBorders>
              <w:top w:val="nil"/>
              <w:left w:val="nil"/>
              <w:bottom w:val="single" w:sz="8" w:space="0" w:color="auto"/>
              <w:right w:val="single" w:sz="8" w:space="0" w:color="auto"/>
            </w:tcBorders>
            <w:shd w:val="clear" w:color="000000" w:fill="FFFFFF"/>
            <w:vAlign w:val="center"/>
            <w:hideMark/>
          </w:tcPr>
          <w:p w14:paraId="52E1BF47"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-13,05%</w:t>
            </w:r>
          </w:p>
        </w:tc>
      </w:tr>
      <w:tr w:rsidR="00F241F4" w:rsidRPr="00F241F4" w14:paraId="06C4C70F" w14:textId="77777777" w:rsidTr="00F241F4">
        <w:trPr>
          <w:trHeight w:val="290"/>
        </w:trPr>
        <w:tc>
          <w:tcPr>
            <w:tcW w:w="4400" w:type="dxa"/>
            <w:tcBorders>
              <w:top w:val="nil"/>
              <w:left w:val="single" w:sz="8" w:space="0" w:color="auto"/>
              <w:bottom w:val="single" w:sz="8" w:space="0" w:color="auto"/>
              <w:right w:val="nil"/>
            </w:tcBorders>
            <w:shd w:val="clear" w:color="auto" w:fill="auto"/>
            <w:noWrap/>
            <w:vAlign w:val="center"/>
            <w:hideMark/>
          </w:tcPr>
          <w:p w14:paraId="2DDC5442" w14:textId="77777777" w:rsidR="00F241F4" w:rsidRPr="00F241F4" w:rsidRDefault="00F241F4" w:rsidP="00F241F4">
            <w:pPr>
              <w:spacing w:after="0" w:line="240" w:lineRule="auto"/>
              <w:jc w:val="center"/>
              <w:rPr>
                <w:rFonts w:eastAsia="Times New Roman" w:cs="Calibri"/>
                <w:b/>
                <w:bCs/>
                <w:color w:val="000000"/>
                <w:sz w:val="22"/>
                <w:lang w:val="en-US"/>
              </w:rPr>
            </w:pPr>
            <w:r w:rsidRPr="00F241F4">
              <w:rPr>
                <w:rFonts w:eastAsia="Times New Roman" w:cs="Calibri"/>
                <w:b/>
                <w:bCs/>
                <w:color w:val="000000"/>
                <w:sz w:val="22"/>
                <w:lang w:val="en-US"/>
              </w:rPr>
              <w:t>TOTALES</w:t>
            </w:r>
          </w:p>
        </w:tc>
        <w:tc>
          <w:tcPr>
            <w:tcW w:w="1280" w:type="dxa"/>
            <w:tcBorders>
              <w:top w:val="nil"/>
              <w:left w:val="single" w:sz="8" w:space="0" w:color="auto"/>
              <w:bottom w:val="single" w:sz="8" w:space="0" w:color="auto"/>
              <w:right w:val="single" w:sz="8" w:space="0" w:color="auto"/>
            </w:tcBorders>
            <w:shd w:val="clear" w:color="000000" w:fill="FFFFFF"/>
            <w:vAlign w:val="center"/>
            <w:hideMark/>
          </w:tcPr>
          <w:p w14:paraId="78992C75" w14:textId="77777777" w:rsidR="00F241F4" w:rsidRPr="00F241F4" w:rsidRDefault="00F241F4" w:rsidP="00F241F4">
            <w:pPr>
              <w:spacing w:after="0" w:line="240" w:lineRule="auto"/>
              <w:jc w:val="right"/>
              <w:rPr>
                <w:rFonts w:eastAsia="Times New Roman" w:cs="Calibri"/>
                <w:b/>
                <w:bCs/>
                <w:color w:val="000000"/>
                <w:sz w:val="18"/>
                <w:szCs w:val="18"/>
                <w:lang w:val="en-US"/>
              </w:rPr>
            </w:pPr>
            <w:r w:rsidRPr="00F241F4">
              <w:rPr>
                <w:rFonts w:ascii="Arial" w:eastAsia="Times New Roman" w:hAnsi="Arial" w:cs="Arial"/>
                <w:b/>
                <w:bCs/>
                <w:color w:val="000000"/>
                <w:sz w:val="18"/>
                <w:szCs w:val="18"/>
                <w:lang w:val="en-US"/>
              </w:rPr>
              <w:t>₡</w:t>
            </w:r>
            <w:r w:rsidRPr="00F241F4">
              <w:rPr>
                <w:rFonts w:eastAsia="Times New Roman" w:cs="Calibri"/>
                <w:b/>
                <w:bCs/>
                <w:color w:val="000000"/>
                <w:sz w:val="18"/>
                <w:szCs w:val="18"/>
                <w:lang w:val="en-US"/>
              </w:rPr>
              <w:t>132 142,73</w:t>
            </w:r>
          </w:p>
        </w:tc>
        <w:tc>
          <w:tcPr>
            <w:tcW w:w="1280" w:type="dxa"/>
            <w:tcBorders>
              <w:top w:val="nil"/>
              <w:left w:val="nil"/>
              <w:bottom w:val="single" w:sz="8" w:space="0" w:color="auto"/>
              <w:right w:val="single" w:sz="8" w:space="0" w:color="auto"/>
            </w:tcBorders>
            <w:shd w:val="clear" w:color="000000" w:fill="FFFFFF"/>
            <w:vAlign w:val="center"/>
            <w:hideMark/>
          </w:tcPr>
          <w:p w14:paraId="274B8575" w14:textId="77777777" w:rsidR="00F241F4" w:rsidRPr="00F241F4" w:rsidRDefault="00F241F4" w:rsidP="00F241F4">
            <w:pPr>
              <w:spacing w:after="0" w:line="240" w:lineRule="auto"/>
              <w:jc w:val="right"/>
              <w:rPr>
                <w:rFonts w:eastAsia="Times New Roman" w:cs="Calibri"/>
                <w:b/>
                <w:bCs/>
                <w:color w:val="000000"/>
                <w:sz w:val="18"/>
                <w:szCs w:val="18"/>
                <w:lang w:val="en-US"/>
              </w:rPr>
            </w:pPr>
            <w:r w:rsidRPr="00F241F4">
              <w:rPr>
                <w:rFonts w:ascii="Arial" w:eastAsia="Times New Roman" w:hAnsi="Arial" w:cs="Arial"/>
                <w:b/>
                <w:bCs/>
                <w:color w:val="000000"/>
                <w:sz w:val="18"/>
                <w:szCs w:val="18"/>
                <w:lang w:val="en-US"/>
              </w:rPr>
              <w:t>₡</w:t>
            </w:r>
            <w:r w:rsidRPr="00F241F4">
              <w:rPr>
                <w:rFonts w:eastAsia="Times New Roman" w:cs="Calibri"/>
                <w:b/>
                <w:bCs/>
                <w:color w:val="000000"/>
                <w:sz w:val="18"/>
                <w:szCs w:val="18"/>
                <w:lang w:val="en-US"/>
              </w:rPr>
              <w:t>236 395,75</w:t>
            </w:r>
          </w:p>
        </w:tc>
        <w:tc>
          <w:tcPr>
            <w:tcW w:w="1180" w:type="dxa"/>
            <w:tcBorders>
              <w:top w:val="nil"/>
              <w:left w:val="nil"/>
              <w:bottom w:val="single" w:sz="8" w:space="0" w:color="auto"/>
              <w:right w:val="single" w:sz="8" w:space="0" w:color="auto"/>
            </w:tcBorders>
            <w:shd w:val="clear" w:color="000000" w:fill="FFFFFF"/>
            <w:vAlign w:val="center"/>
            <w:hideMark/>
          </w:tcPr>
          <w:p w14:paraId="174BA436" w14:textId="77777777" w:rsidR="00F241F4" w:rsidRPr="00F241F4" w:rsidRDefault="00F241F4" w:rsidP="00F241F4">
            <w:pPr>
              <w:spacing w:after="0" w:line="240" w:lineRule="auto"/>
              <w:jc w:val="right"/>
              <w:rPr>
                <w:rFonts w:eastAsia="Times New Roman" w:cs="Calibri"/>
                <w:b/>
                <w:bCs/>
                <w:color w:val="000000"/>
                <w:sz w:val="18"/>
                <w:szCs w:val="18"/>
                <w:lang w:val="en-US"/>
              </w:rPr>
            </w:pPr>
            <w:r w:rsidRPr="00F241F4">
              <w:rPr>
                <w:rFonts w:eastAsia="Times New Roman" w:cs="Calibri"/>
                <w:b/>
                <w:bCs/>
                <w:color w:val="000000"/>
                <w:sz w:val="18"/>
                <w:szCs w:val="18"/>
                <w:lang w:val="en-US"/>
              </w:rPr>
              <w:t>-</w:t>
            </w:r>
            <w:r w:rsidRPr="00F241F4">
              <w:rPr>
                <w:rFonts w:ascii="Arial" w:eastAsia="Times New Roman" w:hAnsi="Arial" w:cs="Arial"/>
                <w:b/>
                <w:bCs/>
                <w:color w:val="000000"/>
                <w:sz w:val="18"/>
                <w:szCs w:val="18"/>
                <w:lang w:val="en-US"/>
              </w:rPr>
              <w:t>₡</w:t>
            </w:r>
            <w:r w:rsidRPr="00F241F4">
              <w:rPr>
                <w:rFonts w:eastAsia="Times New Roman" w:cs="Calibri"/>
                <w:b/>
                <w:bCs/>
                <w:color w:val="000000"/>
                <w:sz w:val="18"/>
                <w:szCs w:val="18"/>
                <w:lang w:val="en-US"/>
              </w:rPr>
              <w:t>104 253,02</w:t>
            </w:r>
          </w:p>
        </w:tc>
        <w:tc>
          <w:tcPr>
            <w:tcW w:w="1200" w:type="dxa"/>
            <w:tcBorders>
              <w:top w:val="nil"/>
              <w:left w:val="nil"/>
              <w:bottom w:val="single" w:sz="8" w:space="0" w:color="auto"/>
              <w:right w:val="single" w:sz="8" w:space="0" w:color="auto"/>
            </w:tcBorders>
            <w:shd w:val="clear" w:color="000000" w:fill="FFFFFF"/>
            <w:vAlign w:val="center"/>
            <w:hideMark/>
          </w:tcPr>
          <w:p w14:paraId="4BE762C4" w14:textId="77777777" w:rsidR="00F241F4" w:rsidRPr="00F241F4" w:rsidRDefault="00F241F4" w:rsidP="00F241F4">
            <w:pPr>
              <w:spacing w:after="0" w:line="240" w:lineRule="auto"/>
              <w:jc w:val="right"/>
              <w:rPr>
                <w:rFonts w:eastAsia="Times New Roman" w:cs="Calibri"/>
                <w:b/>
                <w:bCs/>
                <w:color w:val="000000"/>
                <w:sz w:val="20"/>
                <w:szCs w:val="20"/>
                <w:lang w:val="en-US"/>
              </w:rPr>
            </w:pPr>
            <w:r w:rsidRPr="00F241F4">
              <w:rPr>
                <w:rFonts w:eastAsia="Times New Roman" w:cs="Calibri"/>
                <w:b/>
                <w:bCs/>
                <w:color w:val="000000"/>
                <w:sz w:val="20"/>
                <w:szCs w:val="20"/>
                <w:lang w:val="en-US"/>
              </w:rPr>
              <w:t>-44,10%</w:t>
            </w:r>
          </w:p>
        </w:tc>
      </w:tr>
    </w:tbl>
    <w:p w14:paraId="1A9DC800" w14:textId="77777777" w:rsidR="002A3882" w:rsidRPr="00692DC8" w:rsidRDefault="002A3882" w:rsidP="001A6E5E">
      <w:pPr>
        <w:spacing w:after="0" w:line="240" w:lineRule="auto"/>
        <w:rPr>
          <w:lang w:val="es-ES" w:eastAsia="es-CR"/>
        </w:rPr>
      </w:pPr>
    </w:p>
    <w:p w14:paraId="23A1BBA4" w14:textId="3A75916F" w:rsidR="00692DC8" w:rsidRPr="00B65CDC" w:rsidRDefault="00692DC8" w:rsidP="00F241F4">
      <w:pPr>
        <w:spacing w:after="240" w:line="240" w:lineRule="auto"/>
        <w:rPr>
          <w:lang w:val="es-ES" w:eastAsia="es-ES"/>
        </w:rPr>
      </w:pPr>
      <w:r w:rsidRPr="00692DC8">
        <w:rPr>
          <w:lang w:val="es-ES" w:eastAsia="es-ES"/>
        </w:rPr>
        <w:t>Detalle de Caja Única</w:t>
      </w:r>
    </w:p>
    <w:tbl>
      <w:tblPr>
        <w:tblW w:w="4380" w:type="dxa"/>
        <w:tblInd w:w="-10" w:type="dxa"/>
        <w:tblCellMar>
          <w:left w:w="70" w:type="dxa"/>
          <w:right w:w="70" w:type="dxa"/>
        </w:tblCellMar>
        <w:tblLook w:val="04A0" w:firstRow="1" w:lastRow="0" w:firstColumn="1" w:lastColumn="0" w:noHBand="0" w:noVBand="1"/>
      </w:tblPr>
      <w:tblGrid>
        <w:gridCol w:w="1249"/>
        <w:gridCol w:w="3131"/>
      </w:tblGrid>
      <w:tr w:rsidR="00844DFE" w:rsidRPr="00844DFE" w14:paraId="38C12312" w14:textId="77777777" w:rsidTr="00844DFE">
        <w:trPr>
          <w:trHeight w:val="288"/>
        </w:trPr>
        <w:tc>
          <w:tcPr>
            <w:tcW w:w="1240" w:type="dxa"/>
            <w:tcBorders>
              <w:top w:val="single" w:sz="8" w:space="0" w:color="auto"/>
              <w:left w:val="single" w:sz="8" w:space="0" w:color="auto"/>
              <w:bottom w:val="nil"/>
              <w:right w:val="single" w:sz="8" w:space="0" w:color="auto"/>
            </w:tcBorders>
            <w:shd w:val="clear" w:color="000000" w:fill="366092"/>
            <w:noWrap/>
            <w:vAlign w:val="center"/>
            <w:hideMark/>
          </w:tcPr>
          <w:p w14:paraId="31DD37D9" w14:textId="77777777" w:rsidR="00844DFE" w:rsidRPr="00844DFE" w:rsidRDefault="00844DFE" w:rsidP="00844DFE">
            <w:pPr>
              <w:spacing w:after="0" w:line="240" w:lineRule="auto"/>
              <w:rPr>
                <w:rFonts w:eastAsia="Times New Roman" w:cs="Calibri"/>
                <w:b/>
                <w:bCs/>
                <w:color w:val="FFFFFF"/>
                <w:sz w:val="18"/>
                <w:szCs w:val="18"/>
                <w:lang w:eastAsia="es-CR"/>
              </w:rPr>
            </w:pPr>
            <w:r w:rsidRPr="00844DFE">
              <w:rPr>
                <w:rFonts w:eastAsia="Times New Roman" w:cs="Calibri"/>
                <w:b/>
                <w:bCs/>
                <w:color w:val="FFFFFF"/>
                <w:sz w:val="18"/>
                <w:szCs w:val="18"/>
                <w:lang w:eastAsia="es-CR"/>
              </w:rPr>
              <w:t xml:space="preserve">Cuenta </w:t>
            </w:r>
          </w:p>
        </w:tc>
        <w:tc>
          <w:tcPr>
            <w:tcW w:w="3140" w:type="dxa"/>
            <w:tcBorders>
              <w:top w:val="single" w:sz="8" w:space="0" w:color="auto"/>
              <w:left w:val="nil"/>
              <w:bottom w:val="nil"/>
              <w:right w:val="single" w:sz="8" w:space="0" w:color="auto"/>
            </w:tcBorders>
            <w:shd w:val="clear" w:color="000000" w:fill="366092"/>
            <w:vAlign w:val="center"/>
            <w:hideMark/>
          </w:tcPr>
          <w:p w14:paraId="0EB45F85" w14:textId="77777777" w:rsidR="00844DFE" w:rsidRPr="00844DFE" w:rsidRDefault="00844DFE" w:rsidP="00844DFE">
            <w:pPr>
              <w:spacing w:after="0" w:line="240" w:lineRule="auto"/>
              <w:jc w:val="center"/>
              <w:rPr>
                <w:rFonts w:eastAsia="Times New Roman" w:cs="Calibri"/>
                <w:b/>
                <w:bCs/>
                <w:color w:val="FFFFFF"/>
                <w:sz w:val="18"/>
                <w:szCs w:val="18"/>
                <w:lang w:eastAsia="es-CR"/>
              </w:rPr>
            </w:pPr>
            <w:r w:rsidRPr="00844DFE">
              <w:rPr>
                <w:rFonts w:eastAsia="Times New Roman" w:cs="Calibri"/>
                <w:b/>
                <w:bCs/>
                <w:color w:val="FFFFFF"/>
                <w:sz w:val="18"/>
                <w:szCs w:val="18"/>
                <w:lang w:eastAsia="es-CR"/>
              </w:rPr>
              <w:t xml:space="preserve">Descripción </w:t>
            </w:r>
          </w:p>
        </w:tc>
      </w:tr>
      <w:tr w:rsidR="00844DFE" w:rsidRPr="00844DFE" w14:paraId="622756E6" w14:textId="77777777" w:rsidTr="00844DFE">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646B3464"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1.1.1.01.02.02.3.</w:t>
            </w:r>
          </w:p>
        </w:tc>
        <w:tc>
          <w:tcPr>
            <w:tcW w:w="3140" w:type="dxa"/>
            <w:tcBorders>
              <w:top w:val="nil"/>
              <w:left w:val="nil"/>
              <w:bottom w:val="single" w:sz="8" w:space="0" w:color="auto"/>
              <w:right w:val="single" w:sz="8" w:space="0" w:color="auto"/>
            </w:tcBorders>
            <w:shd w:val="clear" w:color="auto" w:fill="auto"/>
            <w:vAlign w:val="center"/>
            <w:hideMark/>
          </w:tcPr>
          <w:p w14:paraId="7FC5CBC6"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Caja Única</w:t>
            </w:r>
          </w:p>
        </w:tc>
      </w:tr>
    </w:tbl>
    <w:p w14:paraId="75C03587" w14:textId="27F73B25" w:rsidR="00692DC8" w:rsidRDefault="00692DC8" w:rsidP="001A6E5E">
      <w:pPr>
        <w:spacing w:after="0" w:line="240" w:lineRule="auto"/>
        <w:rPr>
          <w:lang w:val="es-ES" w:eastAsia="es-CR"/>
        </w:rPr>
      </w:pPr>
    </w:p>
    <w:tbl>
      <w:tblPr>
        <w:tblW w:w="9340" w:type="dxa"/>
        <w:tblLook w:val="04A0" w:firstRow="1" w:lastRow="0" w:firstColumn="1" w:lastColumn="0" w:noHBand="0" w:noVBand="1"/>
      </w:tblPr>
      <w:tblGrid>
        <w:gridCol w:w="4400"/>
        <w:gridCol w:w="1280"/>
        <w:gridCol w:w="1280"/>
        <w:gridCol w:w="1180"/>
        <w:gridCol w:w="1200"/>
      </w:tblGrid>
      <w:tr w:rsidR="00F241F4" w:rsidRPr="00F241F4" w14:paraId="5F4176AF" w14:textId="77777777" w:rsidTr="00F241F4">
        <w:trPr>
          <w:trHeight w:val="470"/>
        </w:trPr>
        <w:tc>
          <w:tcPr>
            <w:tcW w:w="4400" w:type="dxa"/>
            <w:tcBorders>
              <w:top w:val="single" w:sz="8" w:space="0" w:color="auto"/>
              <w:left w:val="single" w:sz="8" w:space="0" w:color="auto"/>
              <w:bottom w:val="nil"/>
              <w:right w:val="single" w:sz="8" w:space="0" w:color="auto"/>
            </w:tcBorders>
            <w:shd w:val="clear" w:color="000000" w:fill="366092"/>
            <w:vAlign w:val="center"/>
            <w:hideMark/>
          </w:tcPr>
          <w:p w14:paraId="77A363F3" w14:textId="77777777" w:rsidR="00F241F4" w:rsidRPr="00F241F4" w:rsidRDefault="00F241F4" w:rsidP="00F241F4">
            <w:pPr>
              <w:spacing w:after="0" w:line="240" w:lineRule="auto"/>
              <w:jc w:val="center"/>
              <w:rPr>
                <w:rFonts w:eastAsia="Times New Roman" w:cs="Calibri"/>
                <w:b/>
                <w:bCs/>
                <w:color w:val="FFFFFF"/>
                <w:sz w:val="18"/>
                <w:szCs w:val="18"/>
                <w:lang w:val="en-US"/>
              </w:rPr>
            </w:pPr>
            <w:r w:rsidRPr="00F241F4">
              <w:rPr>
                <w:rFonts w:eastAsia="Times New Roman" w:cs="Calibri"/>
                <w:b/>
                <w:bCs/>
                <w:color w:val="FFFFFF"/>
                <w:sz w:val="18"/>
                <w:szCs w:val="18"/>
                <w:lang w:val="en-US"/>
              </w:rPr>
              <w:t xml:space="preserve">Cuenta </w:t>
            </w:r>
          </w:p>
        </w:tc>
        <w:tc>
          <w:tcPr>
            <w:tcW w:w="1280" w:type="dxa"/>
            <w:tcBorders>
              <w:top w:val="single" w:sz="8" w:space="0" w:color="auto"/>
              <w:left w:val="nil"/>
              <w:bottom w:val="nil"/>
              <w:right w:val="single" w:sz="8" w:space="0" w:color="auto"/>
            </w:tcBorders>
            <w:shd w:val="clear" w:color="000000" w:fill="366092"/>
            <w:vAlign w:val="center"/>
            <w:hideMark/>
          </w:tcPr>
          <w:p w14:paraId="523E5484" w14:textId="77777777" w:rsidR="00F241F4" w:rsidRPr="00F241F4" w:rsidRDefault="00F241F4" w:rsidP="00F241F4">
            <w:pPr>
              <w:spacing w:after="0" w:line="240" w:lineRule="auto"/>
              <w:jc w:val="center"/>
              <w:rPr>
                <w:rFonts w:eastAsia="Times New Roman" w:cs="Calibri"/>
                <w:b/>
                <w:bCs/>
                <w:color w:val="FFFFFF"/>
                <w:sz w:val="18"/>
                <w:szCs w:val="18"/>
                <w:lang w:val="en-US"/>
              </w:rPr>
            </w:pPr>
            <w:r w:rsidRPr="00F241F4">
              <w:rPr>
                <w:rFonts w:eastAsia="Times New Roman" w:cs="Calibri"/>
                <w:b/>
                <w:bCs/>
                <w:color w:val="FFFFFF"/>
                <w:sz w:val="18"/>
                <w:szCs w:val="18"/>
                <w:lang w:val="en-US"/>
              </w:rPr>
              <w:t>Periodo Actual</w:t>
            </w:r>
          </w:p>
        </w:tc>
        <w:tc>
          <w:tcPr>
            <w:tcW w:w="1280" w:type="dxa"/>
            <w:tcBorders>
              <w:top w:val="single" w:sz="8" w:space="0" w:color="auto"/>
              <w:left w:val="nil"/>
              <w:bottom w:val="nil"/>
              <w:right w:val="single" w:sz="8" w:space="0" w:color="auto"/>
            </w:tcBorders>
            <w:shd w:val="clear" w:color="000000" w:fill="366092"/>
            <w:vAlign w:val="center"/>
            <w:hideMark/>
          </w:tcPr>
          <w:p w14:paraId="3C3D33E1" w14:textId="77777777" w:rsidR="00F241F4" w:rsidRPr="00F241F4" w:rsidRDefault="00F241F4" w:rsidP="00F241F4">
            <w:pPr>
              <w:spacing w:after="0" w:line="240" w:lineRule="auto"/>
              <w:jc w:val="center"/>
              <w:rPr>
                <w:rFonts w:eastAsia="Times New Roman" w:cs="Calibri"/>
                <w:b/>
                <w:bCs/>
                <w:color w:val="FFFFFF"/>
                <w:sz w:val="18"/>
                <w:szCs w:val="18"/>
                <w:lang w:val="en-US"/>
              </w:rPr>
            </w:pPr>
            <w:r w:rsidRPr="00F241F4">
              <w:rPr>
                <w:rFonts w:eastAsia="Times New Roman" w:cs="Calibri"/>
                <w:b/>
                <w:bCs/>
                <w:color w:val="FFFFFF"/>
                <w:sz w:val="18"/>
                <w:szCs w:val="18"/>
                <w:lang w:val="en-US"/>
              </w:rPr>
              <w:t>Periodo Anterior</w:t>
            </w:r>
          </w:p>
        </w:tc>
        <w:tc>
          <w:tcPr>
            <w:tcW w:w="1180" w:type="dxa"/>
            <w:tcBorders>
              <w:top w:val="single" w:sz="8" w:space="0" w:color="auto"/>
              <w:left w:val="nil"/>
              <w:bottom w:val="nil"/>
              <w:right w:val="single" w:sz="8" w:space="0" w:color="auto"/>
            </w:tcBorders>
            <w:shd w:val="clear" w:color="000000" w:fill="366092"/>
            <w:vAlign w:val="center"/>
            <w:hideMark/>
          </w:tcPr>
          <w:p w14:paraId="12FC161C" w14:textId="77777777" w:rsidR="00F241F4" w:rsidRPr="00F241F4" w:rsidRDefault="00F241F4" w:rsidP="00F241F4">
            <w:pPr>
              <w:spacing w:after="0" w:line="240" w:lineRule="auto"/>
              <w:jc w:val="center"/>
              <w:rPr>
                <w:rFonts w:eastAsia="Times New Roman" w:cs="Calibri"/>
                <w:b/>
                <w:bCs/>
                <w:color w:val="FFFFFF"/>
                <w:sz w:val="18"/>
                <w:szCs w:val="18"/>
                <w:lang w:val="en-US"/>
              </w:rPr>
            </w:pPr>
            <w:r w:rsidRPr="00F241F4">
              <w:rPr>
                <w:rFonts w:eastAsia="Times New Roman" w:cs="Calibri"/>
                <w:b/>
                <w:bCs/>
                <w:color w:val="FFFFFF"/>
                <w:sz w:val="18"/>
                <w:szCs w:val="18"/>
                <w:lang w:val="en-US"/>
              </w:rPr>
              <w:t>Variación Absoluta</w:t>
            </w:r>
          </w:p>
        </w:tc>
        <w:tc>
          <w:tcPr>
            <w:tcW w:w="1200" w:type="dxa"/>
            <w:tcBorders>
              <w:top w:val="single" w:sz="8" w:space="0" w:color="auto"/>
              <w:left w:val="nil"/>
              <w:bottom w:val="nil"/>
              <w:right w:val="single" w:sz="8" w:space="0" w:color="auto"/>
            </w:tcBorders>
            <w:shd w:val="clear" w:color="000000" w:fill="366092"/>
            <w:vAlign w:val="center"/>
            <w:hideMark/>
          </w:tcPr>
          <w:p w14:paraId="6BE8DBB4" w14:textId="77777777" w:rsidR="00F241F4" w:rsidRPr="00F241F4" w:rsidRDefault="00F241F4" w:rsidP="00F241F4">
            <w:pPr>
              <w:spacing w:after="0" w:line="240" w:lineRule="auto"/>
              <w:jc w:val="center"/>
              <w:rPr>
                <w:rFonts w:eastAsia="Times New Roman" w:cs="Calibri"/>
                <w:b/>
                <w:bCs/>
                <w:color w:val="FFFFFF"/>
                <w:sz w:val="18"/>
                <w:szCs w:val="18"/>
                <w:lang w:val="en-US"/>
              </w:rPr>
            </w:pPr>
            <w:r w:rsidRPr="00F241F4">
              <w:rPr>
                <w:rFonts w:eastAsia="Times New Roman" w:cs="Calibri"/>
                <w:b/>
                <w:bCs/>
                <w:color w:val="FFFFFF"/>
                <w:sz w:val="18"/>
                <w:szCs w:val="18"/>
                <w:lang w:val="en-US"/>
              </w:rPr>
              <w:t>Variación %</w:t>
            </w:r>
          </w:p>
        </w:tc>
      </w:tr>
      <w:tr w:rsidR="00F241F4" w:rsidRPr="00F241F4" w14:paraId="5BAC8478" w14:textId="77777777" w:rsidTr="00F241F4">
        <w:trPr>
          <w:trHeight w:val="520"/>
        </w:trPr>
        <w:tc>
          <w:tcPr>
            <w:tcW w:w="4400"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6D72FFCC" w14:textId="77777777" w:rsidR="00F241F4" w:rsidRPr="00F241F4" w:rsidRDefault="00F241F4" w:rsidP="00F241F4">
            <w:pPr>
              <w:spacing w:after="0" w:line="240" w:lineRule="auto"/>
              <w:jc w:val="left"/>
              <w:rPr>
                <w:rFonts w:eastAsia="Times New Roman" w:cs="Calibri"/>
                <w:color w:val="000000"/>
                <w:sz w:val="20"/>
                <w:szCs w:val="20"/>
              </w:rPr>
            </w:pPr>
            <w:r w:rsidRPr="00F241F4">
              <w:rPr>
                <w:rFonts w:eastAsia="Times New Roman" w:cs="Calibri"/>
                <w:color w:val="000000"/>
                <w:sz w:val="20"/>
                <w:szCs w:val="20"/>
              </w:rPr>
              <w:t>73900011460301024(LEY 7755 PART.ESP CTA CAJA UNICA ESTADO)</w:t>
            </w:r>
          </w:p>
        </w:tc>
        <w:tc>
          <w:tcPr>
            <w:tcW w:w="1280" w:type="dxa"/>
            <w:tcBorders>
              <w:top w:val="single" w:sz="8" w:space="0" w:color="auto"/>
              <w:left w:val="nil"/>
              <w:bottom w:val="single" w:sz="4" w:space="0" w:color="auto"/>
              <w:right w:val="single" w:sz="4" w:space="0" w:color="auto"/>
            </w:tcBorders>
            <w:shd w:val="clear" w:color="000000" w:fill="FFFFFF"/>
            <w:vAlign w:val="center"/>
            <w:hideMark/>
          </w:tcPr>
          <w:p w14:paraId="6FCC2859" w14:textId="77777777" w:rsidR="00F241F4" w:rsidRPr="00F241F4" w:rsidRDefault="00F241F4" w:rsidP="00F241F4">
            <w:pPr>
              <w:spacing w:after="0" w:line="240" w:lineRule="auto"/>
              <w:jc w:val="right"/>
              <w:rPr>
                <w:rFonts w:eastAsia="Times New Roman" w:cs="Calibri"/>
                <w:color w:val="000000"/>
                <w:sz w:val="18"/>
                <w:szCs w:val="18"/>
                <w:lang w:val="en-US"/>
              </w:rPr>
            </w:pPr>
            <w:r w:rsidRPr="00F241F4">
              <w:rPr>
                <w:rFonts w:ascii="Arial" w:eastAsia="Times New Roman" w:hAnsi="Arial" w:cs="Arial"/>
                <w:color w:val="000000"/>
                <w:sz w:val="18"/>
                <w:szCs w:val="18"/>
                <w:lang w:val="en-US"/>
              </w:rPr>
              <w:t>₡</w:t>
            </w:r>
            <w:r w:rsidRPr="00F241F4">
              <w:rPr>
                <w:rFonts w:eastAsia="Times New Roman" w:cs="Calibri"/>
                <w:color w:val="000000"/>
                <w:sz w:val="18"/>
                <w:szCs w:val="18"/>
                <w:lang w:val="en-US"/>
              </w:rPr>
              <w:t>51 444,27</w:t>
            </w:r>
          </w:p>
        </w:tc>
        <w:tc>
          <w:tcPr>
            <w:tcW w:w="1280" w:type="dxa"/>
            <w:tcBorders>
              <w:top w:val="single" w:sz="8" w:space="0" w:color="auto"/>
              <w:left w:val="nil"/>
              <w:bottom w:val="single" w:sz="4" w:space="0" w:color="auto"/>
              <w:right w:val="single" w:sz="4" w:space="0" w:color="auto"/>
            </w:tcBorders>
            <w:shd w:val="clear" w:color="000000" w:fill="FFFFFF"/>
            <w:vAlign w:val="center"/>
            <w:hideMark/>
          </w:tcPr>
          <w:p w14:paraId="0634C643" w14:textId="77777777" w:rsidR="00F241F4" w:rsidRPr="00F241F4" w:rsidRDefault="00F241F4" w:rsidP="00F241F4">
            <w:pPr>
              <w:spacing w:after="0" w:line="240" w:lineRule="auto"/>
              <w:jc w:val="right"/>
              <w:rPr>
                <w:rFonts w:eastAsia="Times New Roman" w:cs="Calibri"/>
                <w:color w:val="000000"/>
                <w:sz w:val="18"/>
                <w:szCs w:val="18"/>
                <w:lang w:val="en-US"/>
              </w:rPr>
            </w:pPr>
            <w:r w:rsidRPr="00F241F4">
              <w:rPr>
                <w:rFonts w:ascii="Arial" w:eastAsia="Times New Roman" w:hAnsi="Arial" w:cs="Arial"/>
                <w:color w:val="000000"/>
                <w:sz w:val="18"/>
                <w:szCs w:val="18"/>
                <w:lang w:val="en-US"/>
              </w:rPr>
              <w:t>₡</w:t>
            </w:r>
            <w:r w:rsidRPr="00F241F4">
              <w:rPr>
                <w:rFonts w:eastAsia="Times New Roman" w:cs="Calibri"/>
                <w:color w:val="000000"/>
                <w:sz w:val="18"/>
                <w:szCs w:val="18"/>
                <w:lang w:val="en-US"/>
              </w:rPr>
              <w:t>56 493,65</w:t>
            </w:r>
          </w:p>
        </w:tc>
        <w:tc>
          <w:tcPr>
            <w:tcW w:w="1180" w:type="dxa"/>
            <w:tcBorders>
              <w:top w:val="single" w:sz="8" w:space="0" w:color="auto"/>
              <w:left w:val="nil"/>
              <w:bottom w:val="single" w:sz="4" w:space="0" w:color="auto"/>
              <w:right w:val="single" w:sz="4" w:space="0" w:color="auto"/>
            </w:tcBorders>
            <w:shd w:val="clear" w:color="000000" w:fill="FFFFFF"/>
            <w:vAlign w:val="center"/>
            <w:hideMark/>
          </w:tcPr>
          <w:p w14:paraId="31A6A96B" w14:textId="77777777" w:rsidR="00F241F4" w:rsidRPr="00F241F4" w:rsidRDefault="00F241F4" w:rsidP="00F241F4">
            <w:pPr>
              <w:spacing w:after="0" w:line="240" w:lineRule="auto"/>
              <w:jc w:val="right"/>
              <w:rPr>
                <w:rFonts w:eastAsia="Times New Roman" w:cs="Calibri"/>
                <w:color w:val="000000"/>
                <w:sz w:val="18"/>
                <w:szCs w:val="18"/>
                <w:lang w:val="en-US"/>
              </w:rPr>
            </w:pPr>
            <w:r w:rsidRPr="00F241F4">
              <w:rPr>
                <w:rFonts w:eastAsia="Times New Roman" w:cs="Calibri"/>
                <w:color w:val="000000"/>
                <w:sz w:val="18"/>
                <w:szCs w:val="18"/>
                <w:lang w:val="en-US"/>
              </w:rPr>
              <w:t>-</w:t>
            </w:r>
            <w:r w:rsidRPr="00F241F4">
              <w:rPr>
                <w:rFonts w:ascii="Arial" w:eastAsia="Times New Roman" w:hAnsi="Arial" w:cs="Arial"/>
                <w:color w:val="000000"/>
                <w:sz w:val="18"/>
                <w:szCs w:val="18"/>
                <w:lang w:val="en-US"/>
              </w:rPr>
              <w:t>₡</w:t>
            </w:r>
            <w:r w:rsidRPr="00F241F4">
              <w:rPr>
                <w:rFonts w:eastAsia="Times New Roman" w:cs="Calibri"/>
                <w:color w:val="000000"/>
                <w:sz w:val="18"/>
                <w:szCs w:val="18"/>
                <w:lang w:val="en-US"/>
              </w:rPr>
              <w:t>5 049,38</w:t>
            </w:r>
          </w:p>
        </w:tc>
        <w:tc>
          <w:tcPr>
            <w:tcW w:w="1200" w:type="dxa"/>
            <w:tcBorders>
              <w:top w:val="single" w:sz="8" w:space="0" w:color="auto"/>
              <w:left w:val="nil"/>
              <w:bottom w:val="single" w:sz="4" w:space="0" w:color="auto"/>
              <w:right w:val="single" w:sz="8" w:space="0" w:color="auto"/>
            </w:tcBorders>
            <w:shd w:val="clear" w:color="000000" w:fill="FFFFFF"/>
            <w:vAlign w:val="center"/>
            <w:hideMark/>
          </w:tcPr>
          <w:p w14:paraId="61BE46BC" w14:textId="77777777" w:rsidR="00F241F4" w:rsidRPr="00F241F4" w:rsidRDefault="00F241F4" w:rsidP="00F241F4">
            <w:pPr>
              <w:spacing w:after="0" w:line="240" w:lineRule="auto"/>
              <w:jc w:val="right"/>
              <w:rPr>
                <w:rFonts w:eastAsia="Times New Roman" w:cs="Calibri"/>
                <w:color w:val="000000"/>
                <w:sz w:val="18"/>
                <w:szCs w:val="18"/>
                <w:lang w:val="en-US"/>
              </w:rPr>
            </w:pPr>
            <w:r w:rsidRPr="00F241F4">
              <w:rPr>
                <w:rFonts w:eastAsia="Times New Roman" w:cs="Calibri"/>
                <w:color w:val="000000"/>
                <w:sz w:val="18"/>
                <w:szCs w:val="18"/>
                <w:lang w:val="en-US"/>
              </w:rPr>
              <w:t>-8,94%</w:t>
            </w:r>
          </w:p>
        </w:tc>
      </w:tr>
      <w:tr w:rsidR="00F241F4" w:rsidRPr="00F241F4" w14:paraId="47E17156" w14:textId="77777777" w:rsidTr="00F241F4">
        <w:trPr>
          <w:trHeight w:val="290"/>
        </w:trPr>
        <w:tc>
          <w:tcPr>
            <w:tcW w:w="4400" w:type="dxa"/>
            <w:tcBorders>
              <w:top w:val="nil"/>
              <w:left w:val="single" w:sz="8" w:space="0" w:color="auto"/>
              <w:bottom w:val="single" w:sz="4" w:space="0" w:color="auto"/>
              <w:right w:val="single" w:sz="4" w:space="0" w:color="auto"/>
            </w:tcBorders>
            <w:shd w:val="clear" w:color="000000" w:fill="FFFFFF"/>
            <w:vAlign w:val="center"/>
            <w:hideMark/>
          </w:tcPr>
          <w:p w14:paraId="0462D833" w14:textId="77777777" w:rsidR="00F241F4" w:rsidRPr="00F241F4" w:rsidRDefault="00F241F4" w:rsidP="00F241F4">
            <w:pPr>
              <w:spacing w:after="0" w:line="240" w:lineRule="auto"/>
              <w:jc w:val="left"/>
              <w:rPr>
                <w:rFonts w:eastAsia="Times New Roman" w:cs="Calibri"/>
                <w:color w:val="000000"/>
                <w:sz w:val="20"/>
                <w:szCs w:val="20"/>
                <w:lang w:val="en-US"/>
              </w:rPr>
            </w:pPr>
            <w:r w:rsidRPr="00F241F4">
              <w:rPr>
                <w:rFonts w:eastAsia="Times New Roman" w:cs="Calibri"/>
                <w:color w:val="000000"/>
                <w:sz w:val="20"/>
                <w:szCs w:val="20"/>
                <w:lang w:val="en-US"/>
              </w:rPr>
              <w:t>73900011460301018 (8114 CTA CAJA UNICA ESTADO)</w:t>
            </w:r>
          </w:p>
        </w:tc>
        <w:tc>
          <w:tcPr>
            <w:tcW w:w="1280" w:type="dxa"/>
            <w:tcBorders>
              <w:top w:val="nil"/>
              <w:left w:val="nil"/>
              <w:bottom w:val="single" w:sz="4" w:space="0" w:color="auto"/>
              <w:right w:val="single" w:sz="4" w:space="0" w:color="auto"/>
            </w:tcBorders>
            <w:shd w:val="clear" w:color="000000" w:fill="FFFFFF"/>
            <w:vAlign w:val="center"/>
            <w:hideMark/>
          </w:tcPr>
          <w:p w14:paraId="5F0CBF84"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852 115,02</w:t>
            </w:r>
          </w:p>
        </w:tc>
        <w:tc>
          <w:tcPr>
            <w:tcW w:w="1280" w:type="dxa"/>
            <w:tcBorders>
              <w:top w:val="nil"/>
              <w:left w:val="nil"/>
              <w:bottom w:val="single" w:sz="4" w:space="0" w:color="auto"/>
              <w:right w:val="single" w:sz="4" w:space="0" w:color="auto"/>
            </w:tcBorders>
            <w:shd w:val="clear" w:color="000000" w:fill="FFFFFF"/>
            <w:vAlign w:val="center"/>
            <w:hideMark/>
          </w:tcPr>
          <w:p w14:paraId="071C247E"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1 384 119,97</w:t>
            </w:r>
          </w:p>
        </w:tc>
        <w:tc>
          <w:tcPr>
            <w:tcW w:w="1180" w:type="dxa"/>
            <w:tcBorders>
              <w:top w:val="nil"/>
              <w:left w:val="nil"/>
              <w:bottom w:val="single" w:sz="4" w:space="0" w:color="auto"/>
              <w:right w:val="single" w:sz="4" w:space="0" w:color="auto"/>
            </w:tcBorders>
            <w:shd w:val="clear" w:color="000000" w:fill="FFFFFF"/>
            <w:vAlign w:val="center"/>
            <w:hideMark/>
          </w:tcPr>
          <w:p w14:paraId="5DB09AB6"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-532 004,94</w:t>
            </w:r>
          </w:p>
        </w:tc>
        <w:tc>
          <w:tcPr>
            <w:tcW w:w="1200" w:type="dxa"/>
            <w:tcBorders>
              <w:top w:val="nil"/>
              <w:left w:val="nil"/>
              <w:bottom w:val="single" w:sz="4" w:space="0" w:color="auto"/>
              <w:right w:val="single" w:sz="8" w:space="0" w:color="auto"/>
            </w:tcBorders>
            <w:shd w:val="clear" w:color="000000" w:fill="FFFFFF"/>
            <w:vAlign w:val="center"/>
            <w:hideMark/>
          </w:tcPr>
          <w:p w14:paraId="5B2C2702" w14:textId="77777777" w:rsidR="00F241F4" w:rsidRPr="00F241F4" w:rsidRDefault="00F241F4" w:rsidP="00F241F4">
            <w:pPr>
              <w:spacing w:after="0" w:line="240" w:lineRule="auto"/>
              <w:jc w:val="right"/>
              <w:rPr>
                <w:rFonts w:eastAsia="Times New Roman" w:cs="Calibri"/>
                <w:color w:val="000000"/>
                <w:sz w:val="18"/>
                <w:szCs w:val="18"/>
                <w:lang w:val="en-US"/>
              </w:rPr>
            </w:pPr>
            <w:r w:rsidRPr="00F241F4">
              <w:rPr>
                <w:rFonts w:eastAsia="Times New Roman" w:cs="Calibri"/>
                <w:color w:val="000000"/>
                <w:sz w:val="18"/>
                <w:szCs w:val="18"/>
                <w:lang w:val="en-US"/>
              </w:rPr>
              <w:t>-38,44%</w:t>
            </w:r>
          </w:p>
        </w:tc>
      </w:tr>
      <w:tr w:rsidR="00F241F4" w:rsidRPr="00F241F4" w14:paraId="09CD10E6" w14:textId="77777777" w:rsidTr="00F241F4">
        <w:trPr>
          <w:trHeight w:val="520"/>
        </w:trPr>
        <w:tc>
          <w:tcPr>
            <w:tcW w:w="4400" w:type="dxa"/>
            <w:tcBorders>
              <w:top w:val="nil"/>
              <w:left w:val="single" w:sz="8" w:space="0" w:color="auto"/>
              <w:bottom w:val="single" w:sz="4" w:space="0" w:color="auto"/>
              <w:right w:val="single" w:sz="4" w:space="0" w:color="auto"/>
            </w:tcBorders>
            <w:shd w:val="clear" w:color="000000" w:fill="FFFFFF"/>
            <w:vAlign w:val="center"/>
            <w:hideMark/>
          </w:tcPr>
          <w:p w14:paraId="2EC5C284" w14:textId="77777777" w:rsidR="00F241F4" w:rsidRPr="00F241F4" w:rsidRDefault="00F241F4" w:rsidP="00F241F4">
            <w:pPr>
              <w:spacing w:after="0" w:line="240" w:lineRule="auto"/>
              <w:jc w:val="left"/>
              <w:rPr>
                <w:rFonts w:eastAsia="Times New Roman" w:cs="Calibri"/>
                <w:color w:val="000000"/>
                <w:sz w:val="20"/>
                <w:szCs w:val="20"/>
              </w:rPr>
            </w:pPr>
            <w:r w:rsidRPr="00F241F4">
              <w:rPr>
                <w:rFonts w:eastAsia="Times New Roman" w:cs="Calibri"/>
                <w:color w:val="000000"/>
                <w:sz w:val="20"/>
                <w:szCs w:val="20"/>
              </w:rPr>
              <w:t>73900011460301030 (CTA GRAL CAJA UNICA DEL ESTADO)</w:t>
            </w:r>
          </w:p>
        </w:tc>
        <w:tc>
          <w:tcPr>
            <w:tcW w:w="1280" w:type="dxa"/>
            <w:tcBorders>
              <w:top w:val="nil"/>
              <w:left w:val="nil"/>
              <w:bottom w:val="single" w:sz="4" w:space="0" w:color="auto"/>
              <w:right w:val="single" w:sz="4" w:space="0" w:color="auto"/>
            </w:tcBorders>
            <w:shd w:val="clear" w:color="000000" w:fill="FFFFFF"/>
            <w:vAlign w:val="center"/>
            <w:hideMark/>
          </w:tcPr>
          <w:p w14:paraId="73C4065C"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24 163,48</w:t>
            </w:r>
          </w:p>
        </w:tc>
        <w:tc>
          <w:tcPr>
            <w:tcW w:w="1280" w:type="dxa"/>
            <w:tcBorders>
              <w:top w:val="nil"/>
              <w:left w:val="nil"/>
              <w:bottom w:val="single" w:sz="4" w:space="0" w:color="auto"/>
              <w:right w:val="single" w:sz="4" w:space="0" w:color="auto"/>
            </w:tcBorders>
            <w:shd w:val="clear" w:color="000000" w:fill="FFFFFF"/>
            <w:vAlign w:val="center"/>
            <w:hideMark/>
          </w:tcPr>
          <w:p w14:paraId="4234F168"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38 489,47</w:t>
            </w:r>
          </w:p>
        </w:tc>
        <w:tc>
          <w:tcPr>
            <w:tcW w:w="1180" w:type="dxa"/>
            <w:tcBorders>
              <w:top w:val="nil"/>
              <w:left w:val="nil"/>
              <w:bottom w:val="single" w:sz="4" w:space="0" w:color="auto"/>
              <w:right w:val="single" w:sz="4" w:space="0" w:color="auto"/>
            </w:tcBorders>
            <w:shd w:val="clear" w:color="000000" w:fill="FFFFFF"/>
            <w:vAlign w:val="center"/>
            <w:hideMark/>
          </w:tcPr>
          <w:p w14:paraId="041DF189"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-14 325,99</w:t>
            </w:r>
          </w:p>
        </w:tc>
        <w:tc>
          <w:tcPr>
            <w:tcW w:w="1200" w:type="dxa"/>
            <w:tcBorders>
              <w:top w:val="nil"/>
              <w:left w:val="nil"/>
              <w:bottom w:val="single" w:sz="4" w:space="0" w:color="auto"/>
              <w:right w:val="single" w:sz="8" w:space="0" w:color="auto"/>
            </w:tcBorders>
            <w:shd w:val="clear" w:color="000000" w:fill="FFFFFF"/>
            <w:vAlign w:val="center"/>
            <w:hideMark/>
          </w:tcPr>
          <w:p w14:paraId="0BC7C494" w14:textId="77777777" w:rsidR="00F241F4" w:rsidRPr="00F241F4" w:rsidRDefault="00F241F4" w:rsidP="00F241F4">
            <w:pPr>
              <w:spacing w:after="0" w:line="240" w:lineRule="auto"/>
              <w:jc w:val="right"/>
              <w:rPr>
                <w:rFonts w:eastAsia="Times New Roman" w:cs="Calibri"/>
                <w:color w:val="000000"/>
                <w:sz w:val="18"/>
                <w:szCs w:val="18"/>
                <w:lang w:val="en-US"/>
              </w:rPr>
            </w:pPr>
            <w:r w:rsidRPr="00F241F4">
              <w:rPr>
                <w:rFonts w:eastAsia="Times New Roman" w:cs="Calibri"/>
                <w:color w:val="000000"/>
                <w:sz w:val="18"/>
                <w:szCs w:val="18"/>
                <w:lang w:val="en-US"/>
              </w:rPr>
              <w:t>-37,22%</w:t>
            </w:r>
          </w:p>
        </w:tc>
      </w:tr>
      <w:tr w:rsidR="00F241F4" w:rsidRPr="00F241F4" w14:paraId="509EF257" w14:textId="77777777" w:rsidTr="00F241F4">
        <w:trPr>
          <w:trHeight w:val="290"/>
        </w:trPr>
        <w:tc>
          <w:tcPr>
            <w:tcW w:w="4400" w:type="dxa"/>
            <w:tcBorders>
              <w:top w:val="nil"/>
              <w:left w:val="single" w:sz="8" w:space="0" w:color="auto"/>
              <w:bottom w:val="single" w:sz="4" w:space="0" w:color="auto"/>
              <w:right w:val="single" w:sz="4" w:space="0" w:color="auto"/>
            </w:tcBorders>
            <w:shd w:val="clear" w:color="000000" w:fill="FFFFFF"/>
            <w:vAlign w:val="center"/>
            <w:hideMark/>
          </w:tcPr>
          <w:p w14:paraId="1B0E04B3" w14:textId="77777777" w:rsidR="00F241F4" w:rsidRPr="00F241F4" w:rsidRDefault="00F241F4" w:rsidP="00F241F4">
            <w:pPr>
              <w:spacing w:after="0" w:line="240" w:lineRule="auto"/>
              <w:jc w:val="left"/>
              <w:rPr>
                <w:rFonts w:eastAsia="Times New Roman" w:cs="Calibri"/>
                <w:color w:val="000000"/>
                <w:sz w:val="20"/>
                <w:szCs w:val="20"/>
                <w:lang w:val="en-US"/>
              </w:rPr>
            </w:pPr>
            <w:r w:rsidRPr="00F241F4">
              <w:rPr>
                <w:rFonts w:eastAsia="Times New Roman" w:cs="Calibri"/>
                <w:color w:val="000000"/>
                <w:sz w:val="20"/>
                <w:szCs w:val="20"/>
                <w:lang w:val="en-US"/>
              </w:rPr>
              <w:t>73911360300019081 (RED DE CUIDO - FODESAF)</w:t>
            </w:r>
          </w:p>
        </w:tc>
        <w:tc>
          <w:tcPr>
            <w:tcW w:w="1280" w:type="dxa"/>
            <w:tcBorders>
              <w:top w:val="nil"/>
              <w:left w:val="nil"/>
              <w:bottom w:val="single" w:sz="4" w:space="0" w:color="auto"/>
              <w:right w:val="single" w:sz="4" w:space="0" w:color="auto"/>
            </w:tcBorders>
            <w:shd w:val="clear" w:color="000000" w:fill="FFFFFF"/>
            <w:vAlign w:val="center"/>
            <w:hideMark/>
          </w:tcPr>
          <w:p w14:paraId="03D702E6"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0,00</w:t>
            </w:r>
          </w:p>
        </w:tc>
        <w:tc>
          <w:tcPr>
            <w:tcW w:w="1280" w:type="dxa"/>
            <w:tcBorders>
              <w:top w:val="nil"/>
              <w:left w:val="nil"/>
              <w:bottom w:val="single" w:sz="4" w:space="0" w:color="auto"/>
              <w:right w:val="single" w:sz="4" w:space="0" w:color="auto"/>
            </w:tcBorders>
            <w:shd w:val="clear" w:color="000000" w:fill="FFFFFF"/>
            <w:vAlign w:val="center"/>
            <w:hideMark/>
          </w:tcPr>
          <w:p w14:paraId="6A96EA0C"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0,00</w:t>
            </w:r>
          </w:p>
        </w:tc>
        <w:tc>
          <w:tcPr>
            <w:tcW w:w="1180" w:type="dxa"/>
            <w:tcBorders>
              <w:top w:val="nil"/>
              <w:left w:val="nil"/>
              <w:bottom w:val="single" w:sz="4" w:space="0" w:color="auto"/>
              <w:right w:val="single" w:sz="4" w:space="0" w:color="auto"/>
            </w:tcBorders>
            <w:shd w:val="clear" w:color="000000" w:fill="FFFFFF"/>
            <w:vAlign w:val="center"/>
            <w:hideMark/>
          </w:tcPr>
          <w:p w14:paraId="3A9DCCEA"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0,00</w:t>
            </w:r>
          </w:p>
        </w:tc>
        <w:tc>
          <w:tcPr>
            <w:tcW w:w="1200" w:type="dxa"/>
            <w:tcBorders>
              <w:top w:val="nil"/>
              <w:left w:val="nil"/>
              <w:bottom w:val="single" w:sz="4" w:space="0" w:color="auto"/>
              <w:right w:val="single" w:sz="8" w:space="0" w:color="auto"/>
            </w:tcBorders>
            <w:shd w:val="clear" w:color="000000" w:fill="FFFFFF"/>
            <w:vAlign w:val="center"/>
            <w:hideMark/>
          </w:tcPr>
          <w:p w14:paraId="52CAFED4" w14:textId="77777777" w:rsidR="00F241F4" w:rsidRPr="00F241F4" w:rsidRDefault="00F241F4" w:rsidP="00F241F4">
            <w:pPr>
              <w:spacing w:after="0" w:line="240" w:lineRule="auto"/>
              <w:jc w:val="right"/>
              <w:rPr>
                <w:rFonts w:eastAsia="Times New Roman" w:cs="Calibri"/>
                <w:color w:val="000000"/>
                <w:sz w:val="18"/>
                <w:szCs w:val="18"/>
                <w:lang w:val="en-US"/>
              </w:rPr>
            </w:pPr>
            <w:r w:rsidRPr="00F241F4">
              <w:rPr>
                <w:rFonts w:eastAsia="Times New Roman" w:cs="Calibri"/>
                <w:color w:val="000000"/>
                <w:sz w:val="18"/>
                <w:szCs w:val="18"/>
                <w:lang w:val="en-US"/>
              </w:rPr>
              <w:t>#DIV/0!</w:t>
            </w:r>
          </w:p>
        </w:tc>
      </w:tr>
      <w:tr w:rsidR="00F241F4" w:rsidRPr="00F241F4" w14:paraId="1EAB89DA" w14:textId="77777777" w:rsidTr="00F241F4">
        <w:trPr>
          <w:trHeight w:val="520"/>
        </w:trPr>
        <w:tc>
          <w:tcPr>
            <w:tcW w:w="4400" w:type="dxa"/>
            <w:tcBorders>
              <w:top w:val="nil"/>
              <w:left w:val="single" w:sz="8" w:space="0" w:color="auto"/>
              <w:bottom w:val="single" w:sz="4" w:space="0" w:color="auto"/>
              <w:right w:val="single" w:sz="4" w:space="0" w:color="auto"/>
            </w:tcBorders>
            <w:shd w:val="clear" w:color="000000" w:fill="FFFFFF"/>
            <w:vAlign w:val="center"/>
            <w:hideMark/>
          </w:tcPr>
          <w:p w14:paraId="7CC3DFF3" w14:textId="77777777" w:rsidR="00F241F4" w:rsidRPr="00F241F4" w:rsidRDefault="00F241F4" w:rsidP="00F241F4">
            <w:pPr>
              <w:spacing w:after="0" w:line="240" w:lineRule="auto"/>
              <w:jc w:val="left"/>
              <w:rPr>
                <w:rFonts w:eastAsia="Times New Roman" w:cs="Calibri"/>
                <w:color w:val="000000"/>
                <w:sz w:val="20"/>
                <w:szCs w:val="20"/>
              </w:rPr>
            </w:pPr>
            <w:r w:rsidRPr="00F241F4">
              <w:rPr>
                <w:rFonts w:eastAsia="Times New Roman" w:cs="Calibri"/>
                <w:color w:val="000000"/>
                <w:sz w:val="20"/>
                <w:szCs w:val="20"/>
              </w:rPr>
              <w:t>73911360300039236 CTA CAJA UNICA ESTADO (RECURSOS PROPIOS)</w:t>
            </w:r>
          </w:p>
        </w:tc>
        <w:tc>
          <w:tcPr>
            <w:tcW w:w="1280" w:type="dxa"/>
            <w:tcBorders>
              <w:top w:val="nil"/>
              <w:left w:val="nil"/>
              <w:bottom w:val="single" w:sz="4" w:space="0" w:color="auto"/>
              <w:right w:val="single" w:sz="4" w:space="0" w:color="auto"/>
            </w:tcBorders>
            <w:shd w:val="clear" w:color="000000" w:fill="FFFFFF"/>
            <w:vAlign w:val="center"/>
            <w:hideMark/>
          </w:tcPr>
          <w:p w14:paraId="01736026"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910,44</w:t>
            </w:r>
          </w:p>
        </w:tc>
        <w:tc>
          <w:tcPr>
            <w:tcW w:w="1280" w:type="dxa"/>
            <w:tcBorders>
              <w:top w:val="nil"/>
              <w:left w:val="nil"/>
              <w:bottom w:val="single" w:sz="4" w:space="0" w:color="auto"/>
              <w:right w:val="single" w:sz="4" w:space="0" w:color="auto"/>
            </w:tcBorders>
            <w:shd w:val="clear" w:color="000000" w:fill="FFFFFF"/>
            <w:vAlign w:val="center"/>
            <w:hideMark/>
          </w:tcPr>
          <w:p w14:paraId="423C3073"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258,56</w:t>
            </w:r>
          </w:p>
        </w:tc>
        <w:tc>
          <w:tcPr>
            <w:tcW w:w="1180" w:type="dxa"/>
            <w:tcBorders>
              <w:top w:val="nil"/>
              <w:left w:val="nil"/>
              <w:bottom w:val="single" w:sz="4" w:space="0" w:color="auto"/>
              <w:right w:val="single" w:sz="4" w:space="0" w:color="auto"/>
            </w:tcBorders>
            <w:shd w:val="clear" w:color="000000" w:fill="FFFFFF"/>
            <w:vAlign w:val="center"/>
            <w:hideMark/>
          </w:tcPr>
          <w:p w14:paraId="1A1B90C9"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651,88</w:t>
            </w:r>
          </w:p>
        </w:tc>
        <w:tc>
          <w:tcPr>
            <w:tcW w:w="1200" w:type="dxa"/>
            <w:tcBorders>
              <w:top w:val="nil"/>
              <w:left w:val="nil"/>
              <w:bottom w:val="single" w:sz="4" w:space="0" w:color="auto"/>
              <w:right w:val="single" w:sz="8" w:space="0" w:color="auto"/>
            </w:tcBorders>
            <w:shd w:val="clear" w:color="000000" w:fill="FFFFFF"/>
            <w:vAlign w:val="center"/>
            <w:hideMark/>
          </w:tcPr>
          <w:p w14:paraId="2E8E2844" w14:textId="77777777" w:rsidR="00F241F4" w:rsidRPr="00F241F4" w:rsidRDefault="00F241F4" w:rsidP="00F241F4">
            <w:pPr>
              <w:spacing w:after="0" w:line="240" w:lineRule="auto"/>
              <w:jc w:val="right"/>
              <w:rPr>
                <w:rFonts w:eastAsia="Times New Roman" w:cs="Calibri"/>
                <w:color w:val="000000"/>
                <w:sz w:val="18"/>
                <w:szCs w:val="18"/>
                <w:lang w:val="en-US"/>
              </w:rPr>
            </w:pPr>
            <w:r w:rsidRPr="00F241F4">
              <w:rPr>
                <w:rFonts w:eastAsia="Times New Roman" w:cs="Calibri"/>
                <w:color w:val="000000"/>
                <w:sz w:val="18"/>
                <w:szCs w:val="18"/>
                <w:lang w:val="en-US"/>
              </w:rPr>
              <w:t>252,12%</w:t>
            </w:r>
          </w:p>
        </w:tc>
      </w:tr>
      <w:tr w:rsidR="00F241F4" w:rsidRPr="00F241F4" w14:paraId="327535E7" w14:textId="77777777" w:rsidTr="00F241F4">
        <w:trPr>
          <w:trHeight w:val="520"/>
        </w:trPr>
        <w:tc>
          <w:tcPr>
            <w:tcW w:w="4400" w:type="dxa"/>
            <w:tcBorders>
              <w:top w:val="nil"/>
              <w:left w:val="single" w:sz="8" w:space="0" w:color="auto"/>
              <w:bottom w:val="single" w:sz="4" w:space="0" w:color="auto"/>
              <w:right w:val="single" w:sz="4" w:space="0" w:color="auto"/>
            </w:tcBorders>
            <w:shd w:val="clear" w:color="000000" w:fill="FFFFFF"/>
            <w:vAlign w:val="center"/>
            <w:hideMark/>
          </w:tcPr>
          <w:p w14:paraId="35D43F2C" w14:textId="77777777" w:rsidR="00F241F4" w:rsidRPr="00F241F4" w:rsidRDefault="00F241F4" w:rsidP="00F241F4">
            <w:pPr>
              <w:spacing w:after="0" w:line="240" w:lineRule="auto"/>
              <w:jc w:val="left"/>
              <w:rPr>
                <w:rFonts w:eastAsia="Times New Roman" w:cs="Calibri"/>
                <w:color w:val="000000"/>
                <w:sz w:val="20"/>
                <w:szCs w:val="20"/>
              </w:rPr>
            </w:pPr>
            <w:r w:rsidRPr="00F241F4">
              <w:rPr>
                <w:rFonts w:eastAsia="Times New Roman" w:cs="Calibri"/>
                <w:color w:val="000000"/>
                <w:sz w:val="20"/>
                <w:szCs w:val="20"/>
              </w:rPr>
              <w:t>Cuenta Caja Única del Estado CR 4073911360300078288 Préstamo I</w:t>
            </w:r>
          </w:p>
        </w:tc>
        <w:tc>
          <w:tcPr>
            <w:tcW w:w="1280" w:type="dxa"/>
            <w:tcBorders>
              <w:top w:val="nil"/>
              <w:left w:val="nil"/>
              <w:bottom w:val="single" w:sz="4" w:space="0" w:color="auto"/>
              <w:right w:val="single" w:sz="4" w:space="0" w:color="auto"/>
            </w:tcBorders>
            <w:shd w:val="clear" w:color="000000" w:fill="FFFFFF"/>
            <w:vAlign w:val="center"/>
            <w:hideMark/>
          </w:tcPr>
          <w:p w14:paraId="2A883FB2"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71 345,30</w:t>
            </w:r>
          </w:p>
        </w:tc>
        <w:tc>
          <w:tcPr>
            <w:tcW w:w="1280" w:type="dxa"/>
            <w:tcBorders>
              <w:top w:val="nil"/>
              <w:left w:val="nil"/>
              <w:bottom w:val="single" w:sz="4" w:space="0" w:color="auto"/>
              <w:right w:val="single" w:sz="4" w:space="0" w:color="auto"/>
            </w:tcBorders>
            <w:shd w:val="clear" w:color="000000" w:fill="FFFFFF"/>
            <w:vAlign w:val="center"/>
            <w:hideMark/>
          </w:tcPr>
          <w:p w14:paraId="480058CB"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9 715,94</w:t>
            </w:r>
          </w:p>
        </w:tc>
        <w:tc>
          <w:tcPr>
            <w:tcW w:w="1180" w:type="dxa"/>
            <w:tcBorders>
              <w:top w:val="nil"/>
              <w:left w:val="nil"/>
              <w:bottom w:val="single" w:sz="4" w:space="0" w:color="auto"/>
              <w:right w:val="single" w:sz="4" w:space="0" w:color="auto"/>
            </w:tcBorders>
            <w:shd w:val="clear" w:color="000000" w:fill="FFFFFF"/>
            <w:vAlign w:val="center"/>
            <w:hideMark/>
          </w:tcPr>
          <w:p w14:paraId="505B4860"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61 629,36</w:t>
            </w:r>
          </w:p>
        </w:tc>
        <w:tc>
          <w:tcPr>
            <w:tcW w:w="1200" w:type="dxa"/>
            <w:tcBorders>
              <w:top w:val="nil"/>
              <w:left w:val="nil"/>
              <w:bottom w:val="single" w:sz="4" w:space="0" w:color="auto"/>
              <w:right w:val="single" w:sz="8" w:space="0" w:color="auto"/>
            </w:tcBorders>
            <w:shd w:val="clear" w:color="000000" w:fill="FFFFFF"/>
            <w:vAlign w:val="center"/>
            <w:hideMark/>
          </w:tcPr>
          <w:p w14:paraId="58F4628A" w14:textId="77777777" w:rsidR="00F241F4" w:rsidRPr="00F241F4" w:rsidRDefault="00F241F4" w:rsidP="00F241F4">
            <w:pPr>
              <w:spacing w:after="0" w:line="240" w:lineRule="auto"/>
              <w:jc w:val="right"/>
              <w:rPr>
                <w:rFonts w:eastAsia="Times New Roman" w:cs="Calibri"/>
                <w:color w:val="000000"/>
                <w:sz w:val="18"/>
                <w:szCs w:val="18"/>
                <w:lang w:val="en-US"/>
              </w:rPr>
            </w:pPr>
            <w:r w:rsidRPr="00F241F4">
              <w:rPr>
                <w:rFonts w:eastAsia="Times New Roman" w:cs="Calibri"/>
                <w:color w:val="000000"/>
                <w:sz w:val="18"/>
                <w:szCs w:val="18"/>
                <w:lang w:val="en-US"/>
              </w:rPr>
              <w:t>634,31%</w:t>
            </w:r>
          </w:p>
        </w:tc>
      </w:tr>
      <w:tr w:rsidR="00F241F4" w:rsidRPr="00F241F4" w14:paraId="3ACD3285" w14:textId="77777777" w:rsidTr="00F241F4">
        <w:trPr>
          <w:trHeight w:val="530"/>
        </w:trPr>
        <w:tc>
          <w:tcPr>
            <w:tcW w:w="4400" w:type="dxa"/>
            <w:tcBorders>
              <w:top w:val="single" w:sz="4" w:space="0" w:color="auto"/>
              <w:left w:val="single" w:sz="8" w:space="0" w:color="auto"/>
              <w:bottom w:val="nil"/>
              <w:right w:val="single" w:sz="4" w:space="0" w:color="auto"/>
            </w:tcBorders>
            <w:shd w:val="clear" w:color="000000" w:fill="FFFFFF"/>
            <w:vAlign w:val="center"/>
            <w:hideMark/>
          </w:tcPr>
          <w:p w14:paraId="55A1BCBA" w14:textId="77777777" w:rsidR="00F241F4" w:rsidRPr="00F241F4" w:rsidRDefault="00F241F4" w:rsidP="00F241F4">
            <w:pPr>
              <w:spacing w:after="0" w:line="240" w:lineRule="auto"/>
              <w:jc w:val="left"/>
              <w:rPr>
                <w:rFonts w:eastAsia="Times New Roman" w:cs="Calibri"/>
                <w:color w:val="000000"/>
                <w:sz w:val="20"/>
                <w:szCs w:val="20"/>
              </w:rPr>
            </w:pPr>
            <w:r w:rsidRPr="00F241F4">
              <w:rPr>
                <w:rFonts w:eastAsia="Times New Roman" w:cs="Calibri"/>
                <w:color w:val="000000"/>
                <w:sz w:val="20"/>
                <w:szCs w:val="20"/>
              </w:rPr>
              <w:t>Cuenta Caja Única CR88073930603000032221 Impuesto al Cemento</w:t>
            </w:r>
          </w:p>
        </w:tc>
        <w:tc>
          <w:tcPr>
            <w:tcW w:w="1280" w:type="dxa"/>
            <w:tcBorders>
              <w:top w:val="nil"/>
              <w:left w:val="single" w:sz="4" w:space="0" w:color="auto"/>
              <w:bottom w:val="nil"/>
              <w:right w:val="single" w:sz="4" w:space="0" w:color="auto"/>
            </w:tcBorders>
            <w:shd w:val="clear" w:color="000000" w:fill="FFFFFF"/>
            <w:vAlign w:val="center"/>
            <w:hideMark/>
          </w:tcPr>
          <w:p w14:paraId="38D2154B"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99 069,87</w:t>
            </w:r>
          </w:p>
        </w:tc>
        <w:tc>
          <w:tcPr>
            <w:tcW w:w="1280" w:type="dxa"/>
            <w:tcBorders>
              <w:top w:val="nil"/>
              <w:left w:val="nil"/>
              <w:bottom w:val="nil"/>
              <w:right w:val="single" w:sz="4" w:space="0" w:color="auto"/>
            </w:tcBorders>
            <w:shd w:val="clear" w:color="000000" w:fill="FFFFFF"/>
            <w:vAlign w:val="center"/>
            <w:hideMark/>
          </w:tcPr>
          <w:p w14:paraId="6E87C366"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30 881,94</w:t>
            </w:r>
          </w:p>
        </w:tc>
        <w:tc>
          <w:tcPr>
            <w:tcW w:w="1180" w:type="dxa"/>
            <w:tcBorders>
              <w:top w:val="nil"/>
              <w:left w:val="nil"/>
              <w:bottom w:val="nil"/>
              <w:right w:val="single" w:sz="4" w:space="0" w:color="auto"/>
            </w:tcBorders>
            <w:shd w:val="clear" w:color="000000" w:fill="FFFFFF"/>
            <w:vAlign w:val="center"/>
            <w:hideMark/>
          </w:tcPr>
          <w:p w14:paraId="69600222"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68 187,92</w:t>
            </w:r>
          </w:p>
        </w:tc>
        <w:tc>
          <w:tcPr>
            <w:tcW w:w="1200" w:type="dxa"/>
            <w:tcBorders>
              <w:top w:val="single" w:sz="4" w:space="0" w:color="auto"/>
              <w:left w:val="single" w:sz="4" w:space="0" w:color="auto"/>
              <w:bottom w:val="nil"/>
              <w:right w:val="single" w:sz="8" w:space="0" w:color="auto"/>
            </w:tcBorders>
            <w:shd w:val="clear" w:color="000000" w:fill="FFFFFF"/>
            <w:vAlign w:val="center"/>
            <w:hideMark/>
          </w:tcPr>
          <w:p w14:paraId="233EC9B7" w14:textId="77777777" w:rsidR="00F241F4" w:rsidRPr="00F241F4" w:rsidRDefault="00F241F4" w:rsidP="00F241F4">
            <w:pPr>
              <w:spacing w:after="0" w:line="240" w:lineRule="auto"/>
              <w:jc w:val="right"/>
              <w:rPr>
                <w:rFonts w:eastAsia="Times New Roman" w:cs="Calibri"/>
                <w:color w:val="000000"/>
                <w:sz w:val="18"/>
                <w:szCs w:val="18"/>
                <w:lang w:val="en-US"/>
              </w:rPr>
            </w:pPr>
            <w:r w:rsidRPr="00F241F4">
              <w:rPr>
                <w:rFonts w:eastAsia="Times New Roman" w:cs="Calibri"/>
                <w:color w:val="000000"/>
                <w:sz w:val="18"/>
                <w:szCs w:val="18"/>
                <w:lang w:val="en-US"/>
              </w:rPr>
              <w:t>220,80%</w:t>
            </w:r>
          </w:p>
        </w:tc>
      </w:tr>
      <w:tr w:rsidR="00F241F4" w:rsidRPr="00F241F4" w14:paraId="1370309D" w14:textId="77777777" w:rsidTr="00F241F4">
        <w:trPr>
          <w:trHeight w:val="300"/>
        </w:trPr>
        <w:tc>
          <w:tcPr>
            <w:tcW w:w="4400" w:type="dxa"/>
            <w:tcBorders>
              <w:top w:val="single" w:sz="8" w:space="0" w:color="auto"/>
              <w:left w:val="single" w:sz="8" w:space="0" w:color="auto"/>
              <w:bottom w:val="single" w:sz="8" w:space="0" w:color="auto"/>
              <w:right w:val="single" w:sz="4" w:space="0" w:color="auto"/>
            </w:tcBorders>
            <w:shd w:val="clear" w:color="000000" w:fill="FFFFFF"/>
            <w:vAlign w:val="center"/>
            <w:hideMark/>
          </w:tcPr>
          <w:p w14:paraId="6D17E544" w14:textId="77777777" w:rsidR="00F241F4" w:rsidRPr="00F241F4" w:rsidRDefault="00F241F4" w:rsidP="00F241F4">
            <w:pPr>
              <w:spacing w:after="0" w:line="240" w:lineRule="auto"/>
              <w:jc w:val="center"/>
              <w:rPr>
                <w:rFonts w:eastAsia="Times New Roman" w:cs="Calibri"/>
                <w:b/>
                <w:bCs/>
                <w:color w:val="000000"/>
                <w:sz w:val="20"/>
                <w:szCs w:val="20"/>
                <w:lang w:val="en-US"/>
              </w:rPr>
            </w:pPr>
            <w:r w:rsidRPr="00F241F4">
              <w:rPr>
                <w:rFonts w:eastAsia="Times New Roman" w:cs="Calibri"/>
                <w:b/>
                <w:bCs/>
                <w:color w:val="000000"/>
                <w:sz w:val="20"/>
                <w:szCs w:val="20"/>
                <w:lang w:val="en-US"/>
              </w:rPr>
              <w:t>TOTALES</w:t>
            </w:r>
          </w:p>
        </w:tc>
        <w:tc>
          <w:tcPr>
            <w:tcW w:w="1280" w:type="dxa"/>
            <w:tcBorders>
              <w:top w:val="single" w:sz="8" w:space="0" w:color="auto"/>
              <w:left w:val="single" w:sz="4" w:space="0" w:color="auto"/>
              <w:bottom w:val="single" w:sz="8" w:space="0" w:color="auto"/>
              <w:right w:val="single" w:sz="4" w:space="0" w:color="auto"/>
            </w:tcBorders>
            <w:shd w:val="clear" w:color="000000" w:fill="FFFFFF"/>
            <w:vAlign w:val="center"/>
            <w:hideMark/>
          </w:tcPr>
          <w:p w14:paraId="48C35072" w14:textId="77777777" w:rsidR="00F241F4" w:rsidRPr="00F241F4" w:rsidRDefault="00F241F4" w:rsidP="00F241F4">
            <w:pPr>
              <w:spacing w:after="0" w:line="240" w:lineRule="auto"/>
              <w:jc w:val="right"/>
              <w:rPr>
                <w:rFonts w:eastAsia="Times New Roman" w:cs="Calibri"/>
                <w:b/>
                <w:bCs/>
                <w:color w:val="000000"/>
                <w:sz w:val="18"/>
                <w:szCs w:val="18"/>
                <w:lang w:val="en-US"/>
              </w:rPr>
            </w:pPr>
            <w:r w:rsidRPr="00F241F4">
              <w:rPr>
                <w:rFonts w:ascii="Arial" w:eastAsia="Times New Roman" w:hAnsi="Arial" w:cs="Arial"/>
                <w:b/>
                <w:bCs/>
                <w:color w:val="000000"/>
                <w:sz w:val="18"/>
                <w:szCs w:val="18"/>
                <w:lang w:val="en-US"/>
              </w:rPr>
              <w:t>₡</w:t>
            </w:r>
            <w:r w:rsidRPr="00F241F4">
              <w:rPr>
                <w:rFonts w:eastAsia="Times New Roman" w:cs="Calibri"/>
                <w:b/>
                <w:bCs/>
                <w:color w:val="000000"/>
                <w:sz w:val="18"/>
                <w:szCs w:val="18"/>
                <w:lang w:val="en-US"/>
              </w:rPr>
              <w:t>1 099 048,38</w:t>
            </w:r>
          </w:p>
        </w:tc>
        <w:tc>
          <w:tcPr>
            <w:tcW w:w="1280" w:type="dxa"/>
            <w:tcBorders>
              <w:top w:val="single" w:sz="8" w:space="0" w:color="auto"/>
              <w:left w:val="nil"/>
              <w:bottom w:val="single" w:sz="8" w:space="0" w:color="auto"/>
              <w:right w:val="single" w:sz="4" w:space="0" w:color="auto"/>
            </w:tcBorders>
            <w:shd w:val="clear" w:color="000000" w:fill="FFFFFF"/>
            <w:vAlign w:val="center"/>
            <w:hideMark/>
          </w:tcPr>
          <w:p w14:paraId="07F2113D" w14:textId="77777777" w:rsidR="00F241F4" w:rsidRPr="00F241F4" w:rsidRDefault="00F241F4" w:rsidP="00F241F4">
            <w:pPr>
              <w:spacing w:after="0" w:line="240" w:lineRule="auto"/>
              <w:jc w:val="right"/>
              <w:rPr>
                <w:rFonts w:eastAsia="Times New Roman" w:cs="Calibri"/>
                <w:b/>
                <w:bCs/>
                <w:color w:val="000000"/>
                <w:sz w:val="18"/>
                <w:szCs w:val="18"/>
                <w:lang w:val="en-US"/>
              </w:rPr>
            </w:pPr>
            <w:r w:rsidRPr="00F241F4">
              <w:rPr>
                <w:rFonts w:ascii="Arial" w:eastAsia="Times New Roman" w:hAnsi="Arial" w:cs="Arial"/>
                <w:b/>
                <w:bCs/>
                <w:color w:val="000000"/>
                <w:sz w:val="18"/>
                <w:szCs w:val="18"/>
                <w:lang w:val="en-US"/>
              </w:rPr>
              <w:t>₡</w:t>
            </w:r>
            <w:r w:rsidRPr="00F241F4">
              <w:rPr>
                <w:rFonts w:eastAsia="Times New Roman" w:cs="Calibri"/>
                <w:b/>
                <w:bCs/>
                <w:color w:val="000000"/>
                <w:sz w:val="18"/>
                <w:szCs w:val="18"/>
                <w:lang w:val="en-US"/>
              </w:rPr>
              <w:t>1 519 959,53</w:t>
            </w:r>
          </w:p>
        </w:tc>
        <w:tc>
          <w:tcPr>
            <w:tcW w:w="1180" w:type="dxa"/>
            <w:tcBorders>
              <w:top w:val="single" w:sz="8" w:space="0" w:color="auto"/>
              <w:left w:val="nil"/>
              <w:bottom w:val="single" w:sz="8" w:space="0" w:color="auto"/>
              <w:right w:val="single" w:sz="4" w:space="0" w:color="auto"/>
            </w:tcBorders>
            <w:shd w:val="clear" w:color="000000" w:fill="FFFFFF"/>
            <w:vAlign w:val="center"/>
            <w:hideMark/>
          </w:tcPr>
          <w:p w14:paraId="6C8C133F" w14:textId="77777777" w:rsidR="00F241F4" w:rsidRPr="00F241F4" w:rsidRDefault="00F241F4" w:rsidP="00F241F4">
            <w:pPr>
              <w:spacing w:after="0" w:line="240" w:lineRule="auto"/>
              <w:jc w:val="right"/>
              <w:rPr>
                <w:rFonts w:eastAsia="Times New Roman" w:cs="Calibri"/>
                <w:b/>
                <w:bCs/>
                <w:color w:val="000000"/>
                <w:sz w:val="18"/>
                <w:szCs w:val="18"/>
                <w:lang w:val="en-US"/>
              </w:rPr>
            </w:pPr>
            <w:r w:rsidRPr="00F241F4">
              <w:rPr>
                <w:rFonts w:eastAsia="Times New Roman" w:cs="Calibri"/>
                <w:b/>
                <w:bCs/>
                <w:color w:val="000000"/>
                <w:sz w:val="18"/>
                <w:szCs w:val="18"/>
                <w:lang w:val="en-US"/>
              </w:rPr>
              <w:t>-</w:t>
            </w:r>
            <w:r w:rsidRPr="00F241F4">
              <w:rPr>
                <w:rFonts w:ascii="Arial" w:eastAsia="Times New Roman" w:hAnsi="Arial" w:cs="Arial"/>
                <w:b/>
                <w:bCs/>
                <w:color w:val="000000"/>
                <w:sz w:val="18"/>
                <w:szCs w:val="18"/>
                <w:lang w:val="en-US"/>
              </w:rPr>
              <w:t>₡</w:t>
            </w:r>
            <w:r w:rsidRPr="00F241F4">
              <w:rPr>
                <w:rFonts w:eastAsia="Times New Roman" w:cs="Calibri"/>
                <w:b/>
                <w:bCs/>
                <w:color w:val="000000"/>
                <w:sz w:val="18"/>
                <w:szCs w:val="18"/>
                <w:lang w:val="en-US"/>
              </w:rPr>
              <w:t>420 911,15</w:t>
            </w:r>
          </w:p>
        </w:tc>
        <w:tc>
          <w:tcPr>
            <w:tcW w:w="1200" w:type="dxa"/>
            <w:tcBorders>
              <w:top w:val="single" w:sz="8" w:space="0" w:color="auto"/>
              <w:left w:val="nil"/>
              <w:bottom w:val="single" w:sz="8" w:space="0" w:color="auto"/>
              <w:right w:val="single" w:sz="8" w:space="0" w:color="auto"/>
            </w:tcBorders>
            <w:shd w:val="clear" w:color="000000" w:fill="FFFFFF"/>
            <w:vAlign w:val="center"/>
            <w:hideMark/>
          </w:tcPr>
          <w:p w14:paraId="54CB39AB" w14:textId="77777777" w:rsidR="00F241F4" w:rsidRPr="00F241F4" w:rsidRDefault="00F241F4" w:rsidP="00F241F4">
            <w:pPr>
              <w:spacing w:after="0" w:line="240" w:lineRule="auto"/>
              <w:jc w:val="right"/>
              <w:rPr>
                <w:rFonts w:eastAsia="Times New Roman" w:cs="Calibri"/>
                <w:b/>
                <w:bCs/>
                <w:color w:val="000000"/>
                <w:sz w:val="18"/>
                <w:szCs w:val="18"/>
                <w:lang w:val="en-US"/>
              </w:rPr>
            </w:pPr>
            <w:r w:rsidRPr="00F241F4">
              <w:rPr>
                <w:rFonts w:eastAsia="Times New Roman" w:cs="Calibri"/>
                <w:b/>
                <w:bCs/>
                <w:color w:val="000000"/>
                <w:sz w:val="18"/>
                <w:szCs w:val="18"/>
                <w:lang w:val="en-US"/>
              </w:rPr>
              <w:t>-27,69%</w:t>
            </w:r>
          </w:p>
        </w:tc>
      </w:tr>
    </w:tbl>
    <w:p w14:paraId="76063DEE" w14:textId="77777777" w:rsidR="001A6E5E" w:rsidRDefault="001A6E5E" w:rsidP="001A6E5E">
      <w:pPr>
        <w:spacing w:after="0" w:line="240" w:lineRule="auto"/>
        <w:rPr>
          <w:lang w:val="es-ES" w:eastAsia="es-ES"/>
        </w:rPr>
      </w:pPr>
    </w:p>
    <w:p w14:paraId="0482F748" w14:textId="218492F3" w:rsidR="002A3882" w:rsidRPr="00A91674" w:rsidRDefault="002A3882" w:rsidP="002A3882">
      <w:pPr>
        <w:rPr>
          <w:lang w:val="es-ES" w:eastAsia="es-ES"/>
        </w:rPr>
      </w:pPr>
      <w:r w:rsidRPr="00A91674">
        <w:rPr>
          <w:lang w:val="es-ES" w:eastAsia="es-ES"/>
        </w:rPr>
        <w:t>Detalle de Cajas Chicas:</w:t>
      </w:r>
    </w:p>
    <w:tbl>
      <w:tblPr>
        <w:tblW w:w="5812" w:type="dxa"/>
        <w:tblInd w:w="-10" w:type="dxa"/>
        <w:tblCellMar>
          <w:left w:w="70" w:type="dxa"/>
          <w:right w:w="70" w:type="dxa"/>
        </w:tblCellMar>
        <w:tblLook w:val="04A0" w:firstRow="1" w:lastRow="0" w:firstColumn="1" w:lastColumn="0" w:noHBand="0" w:noVBand="1"/>
      </w:tblPr>
      <w:tblGrid>
        <w:gridCol w:w="1497"/>
        <w:gridCol w:w="4315"/>
      </w:tblGrid>
      <w:tr w:rsidR="002A3882" w:rsidRPr="00A91674" w14:paraId="1E0B04A7" w14:textId="77777777" w:rsidTr="004653E2">
        <w:trPr>
          <w:trHeight w:val="288"/>
        </w:trPr>
        <w:tc>
          <w:tcPr>
            <w:tcW w:w="1497" w:type="dxa"/>
            <w:tcBorders>
              <w:top w:val="single" w:sz="8" w:space="0" w:color="auto"/>
              <w:left w:val="single" w:sz="8" w:space="0" w:color="auto"/>
              <w:bottom w:val="single" w:sz="6" w:space="0" w:color="auto"/>
              <w:right w:val="single" w:sz="8" w:space="0" w:color="auto"/>
            </w:tcBorders>
            <w:shd w:val="clear" w:color="000000" w:fill="366092"/>
            <w:noWrap/>
            <w:vAlign w:val="center"/>
            <w:hideMark/>
          </w:tcPr>
          <w:p w14:paraId="2F553856" w14:textId="77777777" w:rsidR="002A3882" w:rsidRPr="00A91674" w:rsidRDefault="002A3882" w:rsidP="001A6E5E">
            <w:pPr>
              <w:spacing w:after="0" w:line="240" w:lineRule="auto"/>
              <w:rPr>
                <w:rFonts w:cs="Calibri"/>
                <w:b/>
                <w:bCs/>
                <w:color w:val="FFFFFF"/>
                <w:sz w:val="18"/>
                <w:szCs w:val="18"/>
                <w:lang w:eastAsia="es-CR"/>
              </w:rPr>
            </w:pPr>
            <w:r w:rsidRPr="00A91674">
              <w:rPr>
                <w:rFonts w:cs="Calibri"/>
                <w:b/>
                <w:bCs/>
                <w:color w:val="FFFFFF"/>
                <w:sz w:val="18"/>
                <w:szCs w:val="18"/>
                <w:lang w:eastAsia="es-CR"/>
              </w:rPr>
              <w:t xml:space="preserve">Cuentas </w:t>
            </w:r>
          </w:p>
        </w:tc>
        <w:tc>
          <w:tcPr>
            <w:tcW w:w="4315" w:type="dxa"/>
            <w:tcBorders>
              <w:top w:val="single" w:sz="8" w:space="0" w:color="auto"/>
              <w:left w:val="nil"/>
              <w:bottom w:val="single" w:sz="6" w:space="0" w:color="auto"/>
              <w:right w:val="single" w:sz="8" w:space="0" w:color="auto"/>
            </w:tcBorders>
            <w:shd w:val="clear" w:color="000000" w:fill="366092"/>
            <w:vAlign w:val="center"/>
            <w:hideMark/>
          </w:tcPr>
          <w:p w14:paraId="735EFC89" w14:textId="77777777" w:rsidR="002A3882" w:rsidRPr="00A91674" w:rsidRDefault="002A3882" w:rsidP="001A6E5E">
            <w:pPr>
              <w:spacing w:after="0" w:line="240" w:lineRule="auto"/>
              <w:jc w:val="center"/>
              <w:rPr>
                <w:rFonts w:cs="Calibri"/>
                <w:b/>
                <w:bCs/>
                <w:color w:val="FFFFFF"/>
                <w:sz w:val="18"/>
                <w:szCs w:val="18"/>
                <w:lang w:eastAsia="es-CR"/>
              </w:rPr>
            </w:pPr>
            <w:r w:rsidRPr="00A91674">
              <w:rPr>
                <w:rFonts w:cs="Calibri"/>
                <w:b/>
                <w:bCs/>
                <w:color w:val="FFFFFF"/>
                <w:sz w:val="18"/>
                <w:szCs w:val="18"/>
                <w:lang w:eastAsia="es-CR"/>
              </w:rPr>
              <w:t xml:space="preserve">Descripción </w:t>
            </w:r>
          </w:p>
        </w:tc>
      </w:tr>
      <w:tr w:rsidR="002A3882" w:rsidRPr="00A91674" w14:paraId="792DB4D5" w14:textId="77777777" w:rsidTr="004653E2">
        <w:trPr>
          <w:trHeight w:val="300"/>
        </w:trPr>
        <w:tc>
          <w:tcPr>
            <w:tcW w:w="14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7BE33B1" w14:textId="77777777" w:rsidR="002A3882" w:rsidRPr="00A91674" w:rsidRDefault="002A3882" w:rsidP="001A6E5E">
            <w:pPr>
              <w:spacing w:after="0" w:line="240" w:lineRule="auto"/>
              <w:rPr>
                <w:rFonts w:cs="Calibri"/>
                <w:b/>
                <w:bCs/>
                <w:color w:val="000000"/>
                <w:sz w:val="22"/>
              </w:rPr>
            </w:pPr>
            <w:r w:rsidRPr="00A91674">
              <w:rPr>
                <w:rFonts w:cs="Calibri"/>
                <w:b/>
                <w:bCs/>
                <w:color w:val="000000"/>
                <w:sz w:val="22"/>
              </w:rPr>
              <w:t>1.1.1.01.03.01.</w:t>
            </w:r>
          </w:p>
        </w:tc>
        <w:tc>
          <w:tcPr>
            <w:tcW w:w="43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D1C98B" w14:textId="77777777" w:rsidR="002A3882" w:rsidRPr="00A91674" w:rsidRDefault="002A3882" w:rsidP="001A6E5E">
            <w:pPr>
              <w:spacing w:after="0" w:line="240" w:lineRule="auto"/>
              <w:rPr>
                <w:rFonts w:cs="Calibri"/>
                <w:b/>
                <w:bCs/>
                <w:color w:val="000000"/>
                <w:sz w:val="22"/>
                <w:lang w:eastAsia="es-CR"/>
              </w:rPr>
            </w:pPr>
            <w:r w:rsidRPr="00A91674">
              <w:rPr>
                <w:rFonts w:cs="Calibri"/>
                <w:b/>
                <w:bCs/>
                <w:color w:val="000000"/>
                <w:sz w:val="22"/>
                <w:lang w:eastAsia="es-CR"/>
              </w:rPr>
              <w:t>Cajas Chicas</w:t>
            </w:r>
          </w:p>
        </w:tc>
      </w:tr>
    </w:tbl>
    <w:p w14:paraId="697F3953" w14:textId="77777777" w:rsidR="002A3882" w:rsidRDefault="002A3882" w:rsidP="001A6E5E">
      <w:pPr>
        <w:spacing w:after="0" w:line="240" w:lineRule="auto"/>
        <w:rPr>
          <w:lang w:val="es-ES" w:eastAsia="es-ES"/>
        </w:rPr>
      </w:pPr>
    </w:p>
    <w:p w14:paraId="68F9B025" w14:textId="77777777" w:rsidR="001A6E5E" w:rsidRDefault="001A6E5E" w:rsidP="001A6E5E">
      <w:pPr>
        <w:spacing w:after="0" w:line="240" w:lineRule="auto"/>
        <w:rPr>
          <w:lang w:val="es-ES" w:eastAsia="es-ES"/>
        </w:rPr>
      </w:pPr>
    </w:p>
    <w:p w14:paraId="5BBAB327" w14:textId="77777777" w:rsidR="00F241F4" w:rsidRDefault="00F241F4" w:rsidP="001A6E5E">
      <w:pPr>
        <w:spacing w:after="0" w:line="240" w:lineRule="auto"/>
        <w:rPr>
          <w:lang w:val="es-ES" w:eastAsia="es-ES"/>
        </w:rPr>
      </w:pPr>
    </w:p>
    <w:tbl>
      <w:tblPr>
        <w:tblW w:w="9340" w:type="dxa"/>
        <w:tblLook w:val="04A0" w:firstRow="1" w:lastRow="0" w:firstColumn="1" w:lastColumn="0" w:noHBand="0" w:noVBand="1"/>
      </w:tblPr>
      <w:tblGrid>
        <w:gridCol w:w="4400"/>
        <w:gridCol w:w="1280"/>
        <w:gridCol w:w="1280"/>
        <w:gridCol w:w="1180"/>
        <w:gridCol w:w="1200"/>
      </w:tblGrid>
      <w:tr w:rsidR="00F241F4" w:rsidRPr="00F241F4" w14:paraId="60E33476" w14:textId="77777777" w:rsidTr="00F241F4">
        <w:trPr>
          <w:trHeight w:val="470"/>
        </w:trPr>
        <w:tc>
          <w:tcPr>
            <w:tcW w:w="4400" w:type="dxa"/>
            <w:tcBorders>
              <w:top w:val="single" w:sz="8" w:space="0" w:color="auto"/>
              <w:left w:val="single" w:sz="8" w:space="0" w:color="auto"/>
              <w:bottom w:val="nil"/>
              <w:right w:val="single" w:sz="8" w:space="0" w:color="auto"/>
            </w:tcBorders>
            <w:shd w:val="clear" w:color="000000" w:fill="366092"/>
            <w:vAlign w:val="center"/>
            <w:hideMark/>
          </w:tcPr>
          <w:p w14:paraId="1EE25578" w14:textId="77777777" w:rsidR="00F241F4" w:rsidRPr="00F241F4" w:rsidRDefault="00F241F4" w:rsidP="00F241F4">
            <w:pPr>
              <w:spacing w:after="0" w:line="240" w:lineRule="auto"/>
              <w:jc w:val="center"/>
              <w:rPr>
                <w:rFonts w:eastAsia="Times New Roman" w:cs="Calibri"/>
                <w:b/>
                <w:bCs/>
                <w:color w:val="FFFFFF"/>
                <w:sz w:val="18"/>
                <w:szCs w:val="18"/>
                <w:lang w:val="en-US"/>
              </w:rPr>
            </w:pPr>
            <w:r w:rsidRPr="00F241F4">
              <w:rPr>
                <w:rFonts w:eastAsia="Times New Roman" w:cs="Calibri"/>
                <w:b/>
                <w:bCs/>
                <w:color w:val="FFFFFF"/>
                <w:sz w:val="18"/>
                <w:szCs w:val="18"/>
                <w:lang w:val="en-US"/>
              </w:rPr>
              <w:t xml:space="preserve">Cuenta </w:t>
            </w:r>
          </w:p>
        </w:tc>
        <w:tc>
          <w:tcPr>
            <w:tcW w:w="1280" w:type="dxa"/>
            <w:tcBorders>
              <w:top w:val="single" w:sz="8" w:space="0" w:color="auto"/>
              <w:left w:val="nil"/>
              <w:bottom w:val="single" w:sz="8" w:space="0" w:color="auto"/>
              <w:right w:val="single" w:sz="8" w:space="0" w:color="auto"/>
            </w:tcBorders>
            <w:shd w:val="clear" w:color="000000" w:fill="366092"/>
            <w:vAlign w:val="center"/>
            <w:hideMark/>
          </w:tcPr>
          <w:p w14:paraId="6BF59AA2" w14:textId="77777777" w:rsidR="00F241F4" w:rsidRPr="00F241F4" w:rsidRDefault="00F241F4" w:rsidP="00F241F4">
            <w:pPr>
              <w:spacing w:after="0" w:line="240" w:lineRule="auto"/>
              <w:jc w:val="center"/>
              <w:rPr>
                <w:rFonts w:eastAsia="Times New Roman" w:cs="Calibri"/>
                <w:b/>
                <w:bCs/>
                <w:color w:val="FFFFFF"/>
                <w:sz w:val="18"/>
                <w:szCs w:val="18"/>
                <w:lang w:val="en-US"/>
              </w:rPr>
            </w:pPr>
            <w:r w:rsidRPr="00F241F4">
              <w:rPr>
                <w:rFonts w:eastAsia="Times New Roman" w:cs="Calibri"/>
                <w:b/>
                <w:bCs/>
                <w:color w:val="FFFFFF"/>
                <w:sz w:val="18"/>
                <w:szCs w:val="18"/>
                <w:lang w:val="en-US"/>
              </w:rPr>
              <w:t>Periodo Actual</w:t>
            </w:r>
          </w:p>
        </w:tc>
        <w:tc>
          <w:tcPr>
            <w:tcW w:w="1280" w:type="dxa"/>
            <w:tcBorders>
              <w:top w:val="single" w:sz="8" w:space="0" w:color="auto"/>
              <w:left w:val="nil"/>
              <w:bottom w:val="single" w:sz="8" w:space="0" w:color="auto"/>
              <w:right w:val="single" w:sz="8" w:space="0" w:color="auto"/>
            </w:tcBorders>
            <w:shd w:val="clear" w:color="000000" w:fill="366092"/>
            <w:vAlign w:val="center"/>
            <w:hideMark/>
          </w:tcPr>
          <w:p w14:paraId="483A21FA" w14:textId="77777777" w:rsidR="00F241F4" w:rsidRPr="00F241F4" w:rsidRDefault="00F241F4" w:rsidP="00F241F4">
            <w:pPr>
              <w:spacing w:after="0" w:line="240" w:lineRule="auto"/>
              <w:jc w:val="center"/>
              <w:rPr>
                <w:rFonts w:eastAsia="Times New Roman" w:cs="Calibri"/>
                <w:b/>
                <w:bCs/>
                <w:color w:val="FFFFFF"/>
                <w:sz w:val="18"/>
                <w:szCs w:val="18"/>
                <w:lang w:val="en-US"/>
              </w:rPr>
            </w:pPr>
            <w:r w:rsidRPr="00F241F4">
              <w:rPr>
                <w:rFonts w:eastAsia="Times New Roman" w:cs="Calibri"/>
                <w:b/>
                <w:bCs/>
                <w:color w:val="FFFFFF"/>
                <w:sz w:val="18"/>
                <w:szCs w:val="18"/>
                <w:lang w:val="en-US"/>
              </w:rPr>
              <w:t>Periodo Anterior</w:t>
            </w:r>
          </w:p>
        </w:tc>
        <w:tc>
          <w:tcPr>
            <w:tcW w:w="1180" w:type="dxa"/>
            <w:tcBorders>
              <w:top w:val="single" w:sz="8" w:space="0" w:color="auto"/>
              <w:left w:val="nil"/>
              <w:bottom w:val="single" w:sz="8" w:space="0" w:color="auto"/>
              <w:right w:val="single" w:sz="8" w:space="0" w:color="auto"/>
            </w:tcBorders>
            <w:shd w:val="clear" w:color="000000" w:fill="366092"/>
            <w:vAlign w:val="center"/>
            <w:hideMark/>
          </w:tcPr>
          <w:p w14:paraId="793647A9" w14:textId="77777777" w:rsidR="00F241F4" w:rsidRPr="00F241F4" w:rsidRDefault="00F241F4" w:rsidP="00F241F4">
            <w:pPr>
              <w:spacing w:after="0" w:line="240" w:lineRule="auto"/>
              <w:jc w:val="center"/>
              <w:rPr>
                <w:rFonts w:eastAsia="Times New Roman" w:cs="Calibri"/>
                <w:b/>
                <w:bCs/>
                <w:color w:val="FFFFFF"/>
                <w:sz w:val="18"/>
                <w:szCs w:val="18"/>
                <w:lang w:val="en-US"/>
              </w:rPr>
            </w:pPr>
            <w:r w:rsidRPr="00F241F4">
              <w:rPr>
                <w:rFonts w:eastAsia="Times New Roman" w:cs="Calibri"/>
                <w:b/>
                <w:bCs/>
                <w:color w:val="FFFFFF"/>
                <w:sz w:val="18"/>
                <w:szCs w:val="18"/>
                <w:lang w:val="en-US"/>
              </w:rPr>
              <w:t>Variación Absoluta</w:t>
            </w:r>
          </w:p>
        </w:tc>
        <w:tc>
          <w:tcPr>
            <w:tcW w:w="1200" w:type="dxa"/>
            <w:tcBorders>
              <w:top w:val="single" w:sz="8" w:space="0" w:color="auto"/>
              <w:left w:val="nil"/>
              <w:bottom w:val="single" w:sz="8" w:space="0" w:color="auto"/>
              <w:right w:val="single" w:sz="8" w:space="0" w:color="auto"/>
            </w:tcBorders>
            <w:shd w:val="clear" w:color="000000" w:fill="366092"/>
            <w:vAlign w:val="center"/>
            <w:hideMark/>
          </w:tcPr>
          <w:p w14:paraId="3268286A" w14:textId="77777777" w:rsidR="00F241F4" w:rsidRPr="00F241F4" w:rsidRDefault="00F241F4" w:rsidP="00F241F4">
            <w:pPr>
              <w:spacing w:after="0" w:line="240" w:lineRule="auto"/>
              <w:jc w:val="center"/>
              <w:rPr>
                <w:rFonts w:eastAsia="Times New Roman" w:cs="Calibri"/>
                <w:b/>
                <w:bCs/>
                <w:color w:val="FFFFFF"/>
                <w:sz w:val="18"/>
                <w:szCs w:val="18"/>
                <w:lang w:val="en-US"/>
              </w:rPr>
            </w:pPr>
            <w:r w:rsidRPr="00F241F4">
              <w:rPr>
                <w:rFonts w:eastAsia="Times New Roman" w:cs="Calibri"/>
                <w:b/>
                <w:bCs/>
                <w:color w:val="FFFFFF"/>
                <w:sz w:val="18"/>
                <w:szCs w:val="18"/>
                <w:lang w:val="en-US"/>
              </w:rPr>
              <w:t>Variación %</w:t>
            </w:r>
          </w:p>
        </w:tc>
      </w:tr>
      <w:tr w:rsidR="00F241F4" w:rsidRPr="00F241F4" w14:paraId="4A9AE431" w14:textId="77777777" w:rsidTr="00F241F4">
        <w:trPr>
          <w:trHeight w:val="300"/>
        </w:trPr>
        <w:tc>
          <w:tcPr>
            <w:tcW w:w="440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760776D" w14:textId="77777777" w:rsidR="00F241F4" w:rsidRPr="00F241F4" w:rsidRDefault="00F241F4" w:rsidP="00F241F4">
            <w:pPr>
              <w:spacing w:after="0" w:line="240" w:lineRule="auto"/>
              <w:jc w:val="left"/>
              <w:rPr>
                <w:rFonts w:eastAsia="Times New Roman" w:cs="Calibri"/>
                <w:color w:val="000000"/>
                <w:sz w:val="20"/>
                <w:szCs w:val="20"/>
              </w:rPr>
            </w:pPr>
            <w:r w:rsidRPr="00F241F4">
              <w:rPr>
                <w:rFonts w:eastAsia="Times New Roman" w:cs="Calibri"/>
                <w:color w:val="000000"/>
                <w:sz w:val="20"/>
                <w:szCs w:val="20"/>
              </w:rPr>
              <w:t>Cajas Chicas en el País</w:t>
            </w:r>
          </w:p>
        </w:tc>
        <w:tc>
          <w:tcPr>
            <w:tcW w:w="1280" w:type="dxa"/>
            <w:tcBorders>
              <w:top w:val="nil"/>
              <w:left w:val="nil"/>
              <w:bottom w:val="single" w:sz="8" w:space="0" w:color="auto"/>
              <w:right w:val="single" w:sz="8" w:space="0" w:color="auto"/>
            </w:tcBorders>
            <w:shd w:val="clear" w:color="000000" w:fill="FFFFFF"/>
            <w:vAlign w:val="center"/>
            <w:hideMark/>
          </w:tcPr>
          <w:p w14:paraId="1AD23AEF"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ascii="Arial" w:eastAsia="Times New Roman" w:hAnsi="Arial" w:cs="Arial"/>
                <w:color w:val="000000"/>
                <w:sz w:val="20"/>
                <w:szCs w:val="20"/>
                <w:lang w:val="en-US"/>
              </w:rPr>
              <w:t>₡</w:t>
            </w:r>
            <w:r w:rsidRPr="00F241F4">
              <w:rPr>
                <w:rFonts w:eastAsia="Times New Roman" w:cs="Calibri"/>
                <w:color w:val="000000"/>
                <w:sz w:val="20"/>
                <w:szCs w:val="20"/>
                <w:lang w:val="en-US"/>
              </w:rPr>
              <w:t>2 250,00</w:t>
            </w:r>
          </w:p>
        </w:tc>
        <w:tc>
          <w:tcPr>
            <w:tcW w:w="1280" w:type="dxa"/>
            <w:tcBorders>
              <w:top w:val="nil"/>
              <w:left w:val="nil"/>
              <w:bottom w:val="single" w:sz="8" w:space="0" w:color="auto"/>
              <w:right w:val="single" w:sz="8" w:space="0" w:color="auto"/>
            </w:tcBorders>
            <w:shd w:val="clear" w:color="000000" w:fill="FFFFFF"/>
            <w:vAlign w:val="center"/>
            <w:hideMark/>
          </w:tcPr>
          <w:p w14:paraId="0E2BAE5B"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ascii="Arial" w:eastAsia="Times New Roman" w:hAnsi="Arial" w:cs="Arial"/>
                <w:color w:val="000000"/>
                <w:sz w:val="20"/>
                <w:szCs w:val="20"/>
                <w:lang w:val="en-US"/>
              </w:rPr>
              <w:t>₡</w:t>
            </w:r>
            <w:r w:rsidRPr="00F241F4">
              <w:rPr>
                <w:rFonts w:eastAsia="Times New Roman" w:cs="Calibri"/>
                <w:color w:val="000000"/>
                <w:sz w:val="20"/>
                <w:szCs w:val="20"/>
                <w:lang w:val="en-US"/>
              </w:rPr>
              <w:t>2 250,00</w:t>
            </w:r>
          </w:p>
        </w:tc>
        <w:tc>
          <w:tcPr>
            <w:tcW w:w="1180" w:type="dxa"/>
            <w:tcBorders>
              <w:top w:val="nil"/>
              <w:left w:val="nil"/>
              <w:bottom w:val="single" w:sz="8" w:space="0" w:color="auto"/>
              <w:right w:val="single" w:sz="8" w:space="0" w:color="auto"/>
            </w:tcBorders>
            <w:shd w:val="clear" w:color="000000" w:fill="FFFFFF"/>
            <w:vAlign w:val="center"/>
            <w:hideMark/>
          </w:tcPr>
          <w:p w14:paraId="3CCC9022"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ascii="Arial" w:eastAsia="Times New Roman" w:hAnsi="Arial" w:cs="Arial"/>
                <w:color w:val="000000"/>
                <w:sz w:val="20"/>
                <w:szCs w:val="20"/>
                <w:lang w:val="en-US"/>
              </w:rPr>
              <w:t>₡</w:t>
            </w:r>
            <w:r w:rsidRPr="00F241F4">
              <w:rPr>
                <w:rFonts w:eastAsia="Times New Roman" w:cs="Calibri"/>
                <w:color w:val="000000"/>
                <w:sz w:val="20"/>
                <w:szCs w:val="20"/>
                <w:lang w:val="en-US"/>
              </w:rPr>
              <w:t>0,00</w:t>
            </w:r>
          </w:p>
        </w:tc>
        <w:tc>
          <w:tcPr>
            <w:tcW w:w="1200" w:type="dxa"/>
            <w:tcBorders>
              <w:top w:val="nil"/>
              <w:left w:val="nil"/>
              <w:bottom w:val="single" w:sz="8" w:space="0" w:color="auto"/>
              <w:right w:val="single" w:sz="8" w:space="0" w:color="auto"/>
            </w:tcBorders>
            <w:shd w:val="clear" w:color="000000" w:fill="FFFFFF"/>
            <w:vAlign w:val="center"/>
            <w:hideMark/>
          </w:tcPr>
          <w:p w14:paraId="0EC22F3D"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0,00%</w:t>
            </w:r>
          </w:p>
        </w:tc>
      </w:tr>
      <w:tr w:rsidR="00F241F4" w:rsidRPr="00F241F4" w14:paraId="21DBA8AA" w14:textId="77777777" w:rsidTr="00F241F4">
        <w:trPr>
          <w:trHeight w:val="300"/>
        </w:trPr>
        <w:tc>
          <w:tcPr>
            <w:tcW w:w="4400" w:type="dxa"/>
            <w:tcBorders>
              <w:top w:val="nil"/>
              <w:left w:val="single" w:sz="8" w:space="0" w:color="auto"/>
              <w:bottom w:val="single" w:sz="8" w:space="0" w:color="auto"/>
              <w:right w:val="single" w:sz="8" w:space="0" w:color="auto"/>
            </w:tcBorders>
            <w:shd w:val="clear" w:color="000000" w:fill="FFFFFF"/>
            <w:vAlign w:val="center"/>
            <w:hideMark/>
          </w:tcPr>
          <w:p w14:paraId="33310C03" w14:textId="77777777" w:rsidR="00F241F4" w:rsidRPr="00F241F4" w:rsidRDefault="00F241F4" w:rsidP="00F241F4">
            <w:pPr>
              <w:spacing w:after="0" w:line="240" w:lineRule="auto"/>
              <w:jc w:val="left"/>
              <w:rPr>
                <w:rFonts w:eastAsia="Times New Roman" w:cs="Calibri"/>
                <w:color w:val="000000"/>
                <w:sz w:val="20"/>
                <w:szCs w:val="20"/>
              </w:rPr>
            </w:pPr>
            <w:r w:rsidRPr="00F241F4">
              <w:rPr>
                <w:rFonts w:eastAsia="Times New Roman" w:cs="Calibri"/>
                <w:color w:val="000000"/>
                <w:sz w:val="20"/>
                <w:szCs w:val="20"/>
              </w:rPr>
              <w:t>Fondos Rotatorios en el Sector Público</w:t>
            </w:r>
          </w:p>
        </w:tc>
        <w:tc>
          <w:tcPr>
            <w:tcW w:w="1280" w:type="dxa"/>
            <w:tcBorders>
              <w:top w:val="nil"/>
              <w:left w:val="nil"/>
              <w:bottom w:val="single" w:sz="8" w:space="0" w:color="auto"/>
              <w:right w:val="single" w:sz="8" w:space="0" w:color="auto"/>
            </w:tcBorders>
            <w:shd w:val="clear" w:color="000000" w:fill="FFFFFF"/>
            <w:vAlign w:val="center"/>
            <w:hideMark/>
          </w:tcPr>
          <w:p w14:paraId="7BA68B41"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1 000,00</w:t>
            </w:r>
          </w:p>
        </w:tc>
        <w:tc>
          <w:tcPr>
            <w:tcW w:w="1280" w:type="dxa"/>
            <w:tcBorders>
              <w:top w:val="nil"/>
              <w:left w:val="nil"/>
              <w:bottom w:val="single" w:sz="8" w:space="0" w:color="auto"/>
              <w:right w:val="single" w:sz="8" w:space="0" w:color="auto"/>
            </w:tcBorders>
            <w:shd w:val="clear" w:color="000000" w:fill="FFFFFF"/>
            <w:vAlign w:val="center"/>
            <w:hideMark/>
          </w:tcPr>
          <w:p w14:paraId="3F393759"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1 000,00</w:t>
            </w:r>
          </w:p>
        </w:tc>
        <w:tc>
          <w:tcPr>
            <w:tcW w:w="1180" w:type="dxa"/>
            <w:tcBorders>
              <w:top w:val="nil"/>
              <w:left w:val="nil"/>
              <w:bottom w:val="single" w:sz="8" w:space="0" w:color="auto"/>
              <w:right w:val="single" w:sz="8" w:space="0" w:color="auto"/>
            </w:tcBorders>
            <w:shd w:val="clear" w:color="000000" w:fill="FFFFFF"/>
            <w:vAlign w:val="center"/>
            <w:hideMark/>
          </w:tcPr>
          <w:p w14:paraId="110D1931"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0,00</w:t>
            </w:r>
          </w:p>
        </w:tc>
        <w:tc>
          <w:tcPr>
            <w:tcW w:w="1200" w:type="dxa"/>
            <w:tcBorders>
              <w:top w:val="nil"/>
              <w:left w:val="nil"/>
              <w:bottom w:val="single" w:sz="8" w:space="0" w:color="auto"/>
              <w:right w:val="single" w:sz="8" w:space="0" w:color="auto"/>
            </w:tcBorders>
            <w:shd w:val="clear" w:color="000000" w:fill="FFFFFF"/>
            <w:vAlign w:val="center"/>
            <w:hideMark/>
          </w:tcPr>
          <w:p w14:paraId="3E8C27B2"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0,00%</w:t>
            </w:r>
          </w:p>
        </w:tc>
      </w:tr>
      <w:tr w:rsidR="00F241F4" w:rsidRPr="00F241F4" w14:paraId="0165980E" w14:textId="77777777" w:rsidTr="00F241F4">
        <w:trPr>
          <w:trHeight w:val="300"/>
        </w:trPr>
        <w:tc>
          <w:tcPr>
            <w:tcW w:w="4400" w:type="dxa"/>
            <w:tcBorders>
              <w:top w:val="nil"/>
              <w:left w:val="single" w:sz="8" w:space="0" w:color="auto"/>
              <w:bottom w:val="single" w:sz="12" w:space="0" w:color="auto"/>
              <w:right w:val="single" w:sz="8" w:space="0" w:color="auto"/>
            </w:tcBorders>
            <w:shd w:val="clear" w:color="000000" w:fill="FFFFFF"/>
            <w:vAlign w:val="center"/>
            <w:hideMark/>
          </w:tcPr>
          <w:p w14:paraId="02E242CD" w14:textId="77777777" w:rsidR="00F241F4" w:rsidRPr="00F241F4" w:rsidRDefault="00F241F4" w:rsidP="00F241F4">
            <w:pPr>
              <w:spacing w:after="0" w:line="240" w:lineRule="auto"/>
              <w:jc w:val="center"/>
              <w:rPr>
                <w:rFonts w:eastAsia="Times New Roman" w:cs="Calibri"/>
                <w:b/>
                <w:bCs/>
                <w:color w:val="000000"/>
                <w:sz w:val="20"/>
                <w:szCs w:val="20"/>
                <w:lang w:val="en-US"/>
              </w:rPr>
            </w:pPr>
            <w:r w:rsidRPr="00F241F4">
              <w:rPr>
                <w:rFonts w:eastAsia="Times New Roman" w:cs="Calibri"/>
                <w:b/>
                <w:bCs/>
                <w:color w:val="000000"/>
                <w:sz w:val="20"/>
                <w:szCs w:val="20"/>
                <w:lang w:val="en-US"/>
              </w:rPr>
              <w:t>TOTAL</w:t>
            </w:r>
          </w:p>
        </w:tc>
        <w:tc>
          <w:tcPr>
            <w:tcW w:w="1280" w:type="dxa"/>
            <w:tcBorders>
              <w:top w:val="nil"/>
              <w:left w:val="nil"/>
              <w:bottom w:val="single" w:sz="12" w:space="0" w:color="auto"/>
              <w:right w:val="single" w:sz="8" w:space="0" w:color="auto"/>
            </w:tcBorders>
            <w:shd w:val="clear" w:color="000000" w:fill="FFFFFF"/>
            <w:vAlign w:val="center"/>
            <w:hideMark/>
          </w:tcPr>
          <w:p w14:paraId="3D295910" w14:textId="77777777" w:rsidR="00F241F4" w:rsidRPr="00F241F4" w:rsidRDefault="00F241F4" w:rsidP="00F241F4">
            <w:pPr>
              <w:spacing w:after="0" w:line="240" w:lineRule="auto"/>
              <w:jc w:val="right"/>
              <w:rPr>
                <w:rFonts w:eastAsia="Times New Roman" w:cs="Calibri"/>
                <w:b/>
                <w:bCs/>
                <w:color w:val="000000"/>
                <w:sz w:val="18"/>
                <w:szCs w:val="18"/>
                <w:lang w:val="en-US"/>
              </w:rPr>
            </w:pPr>
            <w:r w:rsidRPr="00F241F4">
              <w:rPr>
                <w:rFonts w:ascii="Arial" w:eastAsia="Times New Roman" w:hAnsi="Arial" w:cs="Arial"/>
                <w:b/>
                <w:bCs/>
                <w:color w:val="000000"/>
                <w:sz w:val="18"/>
                <w:szCs w:val="18"/>
                <w:lang w:val="en-US"/>
              </w:rPr>
              <w:t>₡</w:t>
            </w:r>
            <w:r w:rsidRPr="00F241F4">
              <w:rPr>
                <w:rFonts w:eastAsia="Times New Roman" w:cs="Calibri"/>
                <w:b/>
                <w:bCs/>
                <w:color w:val="000000"/>
                <w:sz w:val="18"/>
                <w:szCs w:val="18"/>
                <w:lang w:val="en-US"/>
              </w:rPr>
              <w:t>3 250,00</w:t>
            </w:r>
          </w:p>
        </w:tc>
        <w:tc>
          <w:tcPr>
            <w:tcW w:w="1280" w:type="dxa"/>
            <w:tcBorders>
              <w:top w:val="nil"/>
              <w:left w:val="nil"/>
              <w:bottom w:val="single" w:sz="12" w:space="0" w:color="auto"/>
              <w:right w:val="single" w:sz="8" w:space="0" w:color="auto"/>
            </w:tcBorders>
            <w:shd w:val="clear" w:color="000000" w:fill="FFFFFF"/>
            <w:vAlign w:val="center"/>
            <w:hideMark/>
          </w:tcPr>
          <w:p w14:paraId="764A8331" w14:textId="77777777" w:rsidR="00F241F4" w:rsidRPr="00F241F4" w:rsidRDefault="00F241F4" w:rsidP="00F241F4">
            <w:pPr>
              <w:spacing w:after="0" w:line="240" w:lineRule="auto"/>
              <w:jc w:val="right"/>
              <w:rPr>
                <w:rFonts w:eastAsia="Times New Roman" w:cs="Calibri"/>
                <w:b/>
                <w:bCs/>
                <w:color w:val="000000"/>
                <w:sz w:val="18"/>
                <w:szCs w:val="18"/>
                <w:lang w:val="en-US"/>
              </w:rPr>
            </w:pPr>
            <w:r w:rsidRPr="00F241F4">
              <w:rPr>
                <w:rFonts w:ascii="Arial" w:eastAsia="Times New Roman" w:hAnsi="Arial" w:cs="Arial"/>
                <w:b/>
                <w:bCs/>
                <w:color w:val="000000"/>
                <w:sz w:val="18"/>
                <w:szCs w:val="18"/>
                <w:lang w:val="en-US"/>
              </w:rPr>
              <w:t>₡</w:t>
            </w:r>
            <w:r w:rsidRPr="00F241F4">
              <w:rPr>
                <w:rFonts w:eastAsia="Times New Roman" w:cs="Calibri"/>
                <w:b/>
                <w:bCs/>
                <w:color w:val="000000"/>
                <w:sz w:val="18"/>
                <w:szCs w:val="18"/>
                <w:lang w:val="en-US"/>
              </w:rPr>
              <w:t>3 250,00</w:t>
            </w:r>
          </w:p>
        </w:tc>
        <w:tc>
          <w:tcPr>
            <w:tcW w:w="1180" w:type="dxa"/>
            <w:tcBorders>
              <w:top w:val="nil"/>
              <w:left w:val="nil"/>
              <w:bottom w:val="single" w:sz="12" w:space="0" w:color="auto"/>
              <w:right w:val="single" w:sz="8" w:space="0" w:color="auto"/>
            </w:tcBorders>
            <w:shd w:val="clear" w:color="000000" w:fill="FFFFFF"/>
            <w:vAlign w:val="center"/>
            <w:hideMark/>
          </w:tcPr>
          <w:p w14:paraId="2397F17A" w14:textId="77777777" w:rsidR="00F241F4" w:rsidRPr="00F241F4" w:rsidRDefault="00F241F4" w:rsidP="00F241F4">
            <w:pPr>
              <w:spacing w:after="0" w:line="240" w:lineRule="auto"/>
              <w:jc w:val="right"/>
              <w:rPr>
                <w:rFonts w:eastAsia="Times New Roman" w:cs="Calibri"/>
                <w:b/>
                <w:bCs/>
                <w:color w:val="000000"/>
                <w:sz w:val="18"/>
                <w:szCs w:val="18"/>
                <w:lang w:val="en-US"/>
              </w:rPr>
            </w:pPr>
            <w:r w:rsidRPr="00F241F4">
              <w:rPr>
                <w:rFonts w:ascii="Arial" w:eastAsia="Times New Roman" w:hAnsi="Arial" w:cs="Arial"/>
                <w:b/>
                <w:bCs/>
                <w:color w:val="000000"/>
                <w:sz w:val="18"/>
                <w:szCs w:val="18"/>
                <w:lang w:val="en-US"/>
              </w:rPr>
              <w:t>₡</w:t>
            </w:r>
            <w:r w:rsidRPr="00F241F4">
              <w:rPr>
                <w:rFonts w:eastAsia="Times New Roman" w:cs="Calibri"/>
                <w:b/>
                <w:bCs/>
                <w:color w:val="000000"/>
                <w:sz w:val="18"/>
                <w:szCs w:val="18"/>
                <w:lang w:val="en-US"/>
              </w:rPr>
              <w:t>0,00</w:t>
            </w:r>
          </w:p>
        </w:tc>
        <w:tc>
          <w:tcPr>
            <w:tcW w:w="1200" w:type="dxa"/>
            <w:tcBorders>
              <w:top w:val="nil"/>
              <w:left w:val="nil"/>
              <w:bottom w:val="single" w:sz="12" w:space="0" w:color="auto"/>
              <w:right w:val="single" w:sz="8" w:space="0" w:color="auto"/>
            </w:tcBorders>
            <w:shd w:val="clear" w:color="000000" w:fill="FFFFFF"/>
            <w:vAlign w:val="center"/>
            <w:hideMark/>
          </w:tcPr>
          <w:p w14:paraId="1717A6C5" w14:textId="77777777" w:rsidR="00F241F4" w:rsidRPr="00F241F4" w:rsidRDefault="00F241F4" w:rsidP="00F241F4">
            <w:pPr>
              <w:spacing w:after="0" w:line="240" w:lineRule="auto"/>
              <w:jc w:val="right"/>
              <w:rPr>
                <w:rFonts w:eastAsia="Times New Roman" w:cs="Calibri"/>
                <w:b/>
                <w:bCs/>
                <w:color w:val="000000"/>
                <w:sz w:val="18"/>
                <w:szCs w:val="18"/>
                <w:lang w:val="en-US"/>
              </w:rPr>
            </w:pPr>
            <w:r w:rsidRPr="00F241F4">
              <w:rPr>
                <w:rFonts w:eastAsia="Times New Roman" w:cs="Calibri"/>
                <w:b/>
                <w:bCs/>
                <w:color w:val="000000"/>
                <w:sz w:val="18"/>
                <w:szCs w:val="18"/>
                <w:lang w:val="en-US"/>
              </w:rPr>
              <w:t>0,00%</w:t>
            </w:r>
          </w:p>
        </w:tc>
      </w:tr>
    </w:tbl>
    <w:p w14:paraId="1638B5ED" w14:textId="05F61CA9" w:rsidR="0010459C" w:rsidRDefault="0010459C" w:rsidP="0010459C">
      <w:pPr>
        <w:spacing w:before="240"/>
        <w:rPr>
          <w:lang w:val="es-ES" w:eastAsia="es-ES"/>
        </w:rPr>
      </w:pPr>
      <w:r w:rsidRPr="00A91674">
        <w:rPr>
          <w:lang w:val="es-ES" w:eastAsia="es-ES"/>
        </w:rPr>
        <w:t>Detalle de Fondos de Inversión:</w:t>
      </w:r>
    </w:p>
    <w:tbl>
      <w:tblPr>
        <w:tblW w:w="6663" w:type="dxa"/>
        <w:tblInd w:w="-10" w:type="dxa"/>
        <w:tblCellMar>
          <w:left w:w="70" w:type="dxa"/>
          <w:right w:w="70" w:type="dxa"/>
        </w:tblCellMar>
        <w:tblLook w:val="04A0" w:firstRow="1" w:lastRow="0" w:firstColumn="1" w:lastColumn="0" w:noHBand="0" w:noVBand="1"/>
      </w:tblPr>
      <w:tblGrid>
        <w:gridCol w:w="1497"/>
        <w:gridCol w:w="5166"/>
      </w:tblGrid>
      <w:tr w:rsidR="0010459C" w:rsidRPr="00A91674" w14:paraId="63AD4C1D" w14:textId="77777777" w:rsidTr="004653E2">
        <w:trPr>
          <w:trHeight w:val="288"/>
        </w:trPr>
        <w:tc>
          <w:tcPr>
            <w:tcW w:w="1497" w:type="dxa"/>
            <w:tcBorders>
              <w:top w:val="single" w:sz="8" w:space="0" w:color="auto"/>
              <w:left w:val="single" w:sz="8" w:space="0" w:color="auto"/>
              <w:bottom w:val="single" w:sz="6" w:space="0" w:color="auto"/>
              <w:right w:val="single" w:sz="8" w:space="0" w:color="auto"/>
            </w:tcBorders>
            <w:shd w:val="clear" w:color="000000" w:fill="366092"/>
            <w:noWrap/>
            <w:vAlign w:val="center"/>
            <w:hideMark/>
          </w:tcPr>
          <w:p w14:paraId="18A7F129" w14:textId="77777777" w:rsidR="0010459C" w:rsidRPr="00A91674" w:rsidRDefault="0010459C" w:rsidP="004653E2">
            <w:pPr>
              <w:rPr>
                <w:rFonts w:cs="Calibri"/>
                <w:b/>
                <w:bCs/>
                <w:color w:val="FFFFFF"/>
                <w:sz w:val="18"/>
                <w:szCs w:val="18"/>
                <w:lang w:eastAsia="es-CR"/>
              </w:rPr>
            </w:pPr>
            <w:r w:rsidRPr="00A91674">
              <w:rPr>
                <w:rFonts w:cs="Calibri"/>
                <w:b/>
                <w:bCs/>
                <w:color w:val="FFFFFF"/>
                <w:sz w:val="18"/>
                <w:szCs w:val="18"/>
                <w:lang w:eastAsia="es-CR"/>
              </w:rPr>
              <w:t xml:space="preserve">Cuentas </w:t>
            </w:r>
          </w:p>
        </w:tc>
        <w:tc>
          <w:tcPr>
            <w:tcW w:w="5166" w:type="dxa"/>
            <w:tcBorders>
              <w:top w:val="single" w:sz="8" w:space="0" w:color="auto"/>
              <w:left w:val="nil"/>
              <w:bottom w:val="single" w:sz="6" w:space="0" w:color="auto"/>
              <w:right w:val="single" w:sz="8" w:space="0" w:color="auto"/>
            </w:tcBorders>
            <w:shd w:val="clear" w:color="000000" w:fill="366092"/>
            <w:vAlign w:val="center"/>
            <w:hideMark/>
          </w:tcPr>
          <w:p w14:paraId="7DDB5DE0" w14:textId="77777777" w:rsidR="0010459C" w:rsidRPr="00A91674" w:rsidRDefault="0010459C" w:rsidP="004653E2">
            <w:pPr>
              <w:jc w:val="center"/>
              <w:rPr>
                <w:rFonts w:cs="Calibri"/>
                <w:b/>
                <w:bCs/>
                <w:color w:val="FFFFFF"/>
                <w:sz w:val="18"/>
                <w:szCs w:val="18"/>
                <w:lang w:eastAsia="es-CR"/>
              </w:rPr>
            </w:pPr>
            <w:r w:rsidRPr="00A91674">
              <w:rPr>
                <w:rFonts w:cs="Calibri"/>
                <w:b/>
                <w:bCs/>
                <w:color w:val="FFFFFF"/>
                <w:sz w:val="18"/>
                <w:szCs w:val="18"/>
                <w:lang w:eastAsia="es-CR"/>
              </w:rPr>
              <w:t xml:space="preserve">Descripción </w:t>
            </w:r>
          </w:p>
        </w:tc>
      </w:tr>
      <w:tr w:rsidR="0010459C" w:rsidRPr="00C20218" w14:paraId="2F53FD24" w14:textId="77777777" w:rsidTr="004653E2">
        <w:trPr>
          <w:trHeight w:val="288"/>
        </w:trPr>
        <w:tc>
          <w:tcPr>
            <w:tcW w:w="1497" w:type="dxa"/>
            <w:tcBorders>
              <w:top w:val="single" w:sz="8" w:space="0" w:color="auto"/>
              <w:left w:val="single" w:sz="8" w:space="0" w:color="auto"/>
              <w:bottom w:val="single" w:sz="6" w:space="0" w:color="auto"/>
              <w:right w:val="single" w:sz="8" w:space="0" w:color="auto"/>
            </w:tcBorders>
            <w:shd w:val="clear" w:color="auto" w:fill="auto"/>
            <w:noWrap/>
            <w:vAlign w:val="center"/>
            <w:hideMark/>
          </w:tcPr>
          <w:p w14:paraId="0A4DEA8D" w14:textId="77777777" w:rsidR="0010459C" w:rsidRPr="00E87C63" w:rsidRDefault="0010459C" w:rsidP="004653E2">
            <w:pPr>
              <w:rPr>
                <w:rFonts w:cs="Calibri"/>
                <w:b/>
                <w:bCs/>
                <w:color w:val="000000"/>
                <w:sz w:val="22"/>
              </w:rPr>
            </w:pPr>
            <w:r w:rsidRPr="00E87C63">
              <w:rPr>
                <w:rFonts w:cs="Calibri"/>
                <w:b/>
                <w:bCs/>
                <w:color w:val="000000"/>
                <w:sz w:val="22"/>
              </w:rPr>
              <w:t>1.1.1.02.99.02.</w:t>
            </w:r>
          </w:p>
        </w:tc>
        <w:tc>
          <w:tcPr>
            <w:tcW w:w="5166" w:type="dxa"/>
            <w:tcBorders>
              <w:top w:val="single" w:sz="8" w:space="0" w:color="auto"/>
              <w:left w:val="nil"/>
              <w:bottom w:val="single" w:sz="6" w:space="0" w:color="auto"/>
              <w:right w:val="single" w:sz="8" w:space="0" w:color="auto"/>
            </w:tcBorders>
            <w:shd w:val="clear" w:color="auto" w:fill="auto"/>
            <w:vAlign w:val="center"/>
            <w:hideMark/>
          </w:tcPr>
          <w:p w14:paraId="6A2BD9EB" w14:textId="77777777" w:rsidR="0010459C" w:rsidRPr="00E87C63" w:rsidRDefault="0010459C" w:rsidP="004653E2">
            <w:pPr>
              <w:rPr>
                <w:rFonts w:cs="Calibri"/>
                <w:b/>
                <w:bCs/>
                <w:color w:val="000000"/>
                <w:sz w:val="22"/>
              </w:rPr>
            </w:pPr>
            <w:r w:rsidRPr="00E87C63">
              <w:rPr>
                <w:rFonts w:cs="Calibri"/>
                <w:b/>
                <w:bCs/>
                <w:color w:val="000000"/>
                <w:sz w:val="22"/>
              </w:rPr>
              <w:t>Otros equivalentes de efectivo en el sector público interno</w:t>
            </w:r>
          </w:p>
        </w:tc>
      </w:tr>
    </w:tbl>
    <w:p w14:paraId="0952AE15" w14:textId="77777777" w:rsidR="002A3882" w:rsidRPr="0010459C" w:rsidRDefault="002A3882" w:rsidP="001A6E5E">
      <w:pPr>
        <w:spacing w:after="0" w:line="240" w:lineRule="auto"/>
        <w:rPr>
          <w:lang w:eastAsia="es-CR"/>
        </w:rPr>
      </w:pPr>
    </w:p>
    <w:tbl>
      <w:tblPr>
        <w:tblW w:w="9255" w:type="dxa"/>
        <w:tblLook w:val="04A0" w:firstRow="1" w:lastRow="0" w:firstColumn="1" w:lastColumn="0" w:noHBand="0" w:noVBand="1"/>
      </w:tblPr>
      <w:tblGrid>
        <w:gridCol w:w="4243"/>
        <w:gridCol w:w="1280"/>
        <w:gridCol w:w="1280"/>
        <w:gridCol w:w="1252"/>
        <w:gridCol w:w="1200"/>
      </w:tblGrid>
      <w:tr w:rsidR="00F241F4" w:rsidRPr="00F241F4" w14:paraId="3EAFADF0" w14:textId="77777777" w:rsidTr="00F241F4">
        <w:trPr>
          <w:trHeight w:val="470"/>
        </w:trPr>
        <w:tc>
          <w:tcPr>
            <w:tcW w:w="4243" w:type="dxa"/>
            <w:tcBorders>
              <w:top w:val="nil"/>
              <w:left w:val="single" w:sz="8" w:space="0" w:color="auto"/>
              <w:bottom w:val="nil"/>
              <w:right w:val="single" w:sz="8" w:space="0" w:color="auto"/>
            </w:tcBorders>
            <w:shd w:val="clear" w:color="000000" w:fill="366092"/>
            <w:vAlign w:val="center"/>
            <w:hideMark/>
          </w:tcPr>
          <w:p w14:paraId="1A9CC5C4" w14:textId="77777777" w:rsidR="00F241F4" w:rsidRPr="00F241F4" w:rsidRDefault="00F241F4" w:rsidP="00F241F4">
            <w:pPr>
              <w:spacing w:after="0" w:line="240" w:lineRule="auto"/>
              <w:jc w:val="center"/>
              <w:rPr>
                <w:rFonts w:eastAsia="Times New Roman" w:cs="Calibri"/>
                <w:b/>
                <w:bCs/>
                <w:color w:val="FFFFFF"/>
                <w:sz w:val="18"/>
                <w:szCs w:val="18"/>
                <w:lang w:val="en-US"/>
              </w:rPr>
            </w:pPr>
            <w:r w:rsidRPr="00F241F4">
              <w:rPr>
                <w:rFonts w:eastAsia="Times New Roman" w:cs="Calibri"/>
                <w:b/>
                <w:bCs/>
                <w:color w:val="FFFFFF"/>
                <w:sz w:val="18"/>
                <w:szCs w:val="18"/>
                <w:lang w:val="en-US"/>
              </w:rPr>
              <w:t xml:space="preserve">Cuenta </w:t>
            </w:r>
          </w:p>
        </w:tc>
        <w:tc>
          <w:tcPr>
            <w:tcW w:w="1280" w:type="dxa"/>
            <w:tcBorders>
              <w:top w:val="nil"/>
              <w:left w:val="nil"/>
              <w:bottom w:val="single" w:sz="8" w:space="0" w:color="auto"/>
              <w:right w:val="single" w:sz="8" w:space="0" w:color="auto"/>
            </w:tcBorders>
            <w:shd w:val="clear" w:color="000000" w:fill="366092"/>
            <w:vAlign w:val="center"/>
            <w:hideMark/>
          </w:tcPr>
          <w:p w14:paraId="0B5BBBE2" w14:textId="77777777" w:rsidR="00F241F4" w:rsidRPr="00F241F4" w:rsidRDefault="00F241F4" w:rsidP="00F241F4">
            <w:pPr>
              <w:spacing w:after="0" w:line="240" w:lineRule="auto"/>
              <w:jc w:val="center"/>
              <w:rPr>
                <w:rFonts w:eastAsia="Times New Roman" w:cs="Calibri"/>
                <w:b/>
                <w:bCs/>
                <w:color w:val="FFFFFF"/>
                <w:sz w:val="18"/>
                <w:szCs w:val="18"/>
                <w:lang w:val="en-US"/>
              </w:rPr>
            </w:pPr>
            <w:r w:rsidRPr="00F241F4">
              <w:rPr>
                <w:rFonts w:eastAsia="Times New Roman" w:cs="Calibri"/>
                <w:b/>
                <w:bCs/>
                <w:color w:val="FFFFFF"/>
                <w:sz w:val="18"/>
                <w:szCs w:val="18"/>
                <w:lang w:val="en-US"/>
              </w:rPr>
              <w:t>Periodo Actual</w:t>
            </w:r>
          </w:p>
        </w:tc>
        <w:tc>
          <w:tcPr>
            <w:tcW w:w="1280" w:type="dxa"/>
            <w:tcBorders>
              <w:top w:val="nil"/>
              <w:left w:val="nil"/>
              <w:bottom w:val="single" w:sz="8" w:space="0" w:color="auto"/>
              <w:right w:val="single" w:sz="8" w:space="0" w:color="auto"/>
            </w:tcBorders>
            <w:shd w:val="clear" w:color="000000" w:fill="366092"/>
            <w:vAlign w:val="center"/>
            <w:hideMark/>
          </w:tcPr>
          <w:p w14:paraId="5943921C" w14:textId="77777777" w:rsidR="00F241F4" w:rsidRPr="00F241F4" w:rsidRDefault="00F241F4" w:rsidP="00F241F4">
            <w:pPr>
              <w:spacing w:after="0" w:line="240" w:lineRule="auto"/>
              <w:jc w:val="center"/>
              <w:rPr>
                <w:rFonts w:eastAsia="Times New Roman" w:cs="Calibri"/>
                <w:b/>
                <w:bCs/>
                <w:color w:val="FFFFFF"/>
                <w:sz w:val="18"/>
                <w:szCs w:val="18"/>
                <w:lang w:val="en-US"/>
              </w:rPr>
            </w:pPr>
            <w:r w:rsidRPr="00F241F4">
              <w:rPr>
                <w:rFonts w:eastAsia="Times New Roman" w:cs="Calibri"/>
                <w:b/>
                <w:bCs/>
                <w:color w:val="FFFFFF"/>
                <w:sz w:val="18"/>
                <w:szCs w:val="18"/>
                <w:lang w:val="en-US"/>
              </w:rPr>
              <w:t>Periodo Anterior</w:t>
            </w:r>
          </w:p>
        </w:tc>
        <w:tc>
          <w:tcPr>
            <w:tcW w:w="1252" w:type="dxa"/>
            <w:tcBorders>
              <w:top w:val="nil"/>
              <w:left w:val="nil"/>
              <w:bottom w:val="single" w:sz="8" w:space="0" w:color="auto"/>
              <w:right w:val="single" w:sz="8" w:space="0" w:color="auto"/>
            </w:tcBorders>
            <w:shd w:val="clear" w:color="000000" w:fill="366092"/>
            <w:vAlign w:val="center"/>
            <w:hideMark/>
          </w:tcPr>
          <w:p w14:paraId="1049212E" w14:textId="77777777" w:rsidR="00F241F4" w:rsidRPr="00F241F4" w:rsidRDefault="00F241F4" w:rsidP="00F241F4">
            <w:pPr>
              <w:spacing w:after="0" w:line="240" w:lineRule="auto"/>
              <w:jc w:val="center"/>
              <w:rPr>
                <w:rFonts w:eastAsia="Times New Roman" w:cs="Calibri"/>
                <w:b/>
                <w:bCs/>
                <w:color w:val="FFFFFF"/>
                <w:sz w:val="18"/>
                <w:szCs w:val="18"/>
                <w:lang w:val="en-US"/>
              </w:rPr>
            </w:pPr>
            <w:r w:rsidRPr="00F241F4">
              <w:rPr>
                <w:rFonts w:eastAsia="Times New Roman" w:cs="Calibri"/>
                <w:b/>
                <w:bCs/>
                <w:color w:val="FFFFFF"/>
                <w:sz w:val="18"/>
                <w:szCs w:val="18"/>
                <w:lang w:val="en-US"/>
              </w:rPr>
              <w:t>Variación Absoluta</w:t>
            </w:r>
          </w:p>
        </w:tc>
        <w:tc>
          <w:tcPr>
            <w:tcW w:w="1200" w:type="dxa"/>
            <w:tcBorders>
              <w:top w:val="nil"/>
              <w:left w:val="nil"/>
              <w:bottom w:val="single" w:sz="8" w:space="0" w:color="auto"/>
              <w:right w:val="single" w:sz="8" w:space="0" w:color="auto"/>
            </w:tcBorders>
            <w:shd w:val="clear" w:color="000000" w:fill="366092"/>
            <w:vAlign w:val="center"/>
            <w:hideMark/>
          </w:tcPr>
          <w:p w14:paraId="608A8F7E" w14:textId="77777777" w:rsidR="00F241F4" w:rsidRPr="00F241F4" w:rsidRDefault="00F241F4" w:rsidP="00F241F4">
            <w:pPr>
              <w:spacing w:after="0" w:line="240" w:lineRule="auto"/>
              <w:jc w:val="center"/>
              <w:rPr>
                <w:rFonts w:eastAsia="Times New Roman" w:cs="Calibri"/>
                <w:b/>
                <w:bCs/>
                <w:color w:val="FFFFFF"/>
                <w:sz w:val="18"/>
                <w:szCs w:val="18"/>
                <w:lang w:val="en-US"/>
              </w:rPr>
            </w:pPr>
            <w:r w:rsidRPr="00F241F4">
              <w:rPr>
                <w:rFonts w:eastAsia="Times New Roman" w:cs="Calibri"/>
                <w:b/>
                <w:bCs/>
                <w:color w:val="FFFFFF"/>
                <w:sz w:val="18"/>
                <w:szCs w:val="18"/>
                <w:lang w:val="en-US"/>
              </w:rPr>
              <w:t>Variación %</w:t>
            </w:r>
          </w:p>
        </w:tc>
      </w:tr>
      <w:tr w:rsidR="00F241F4" w:rsidRPr="00F241F4" w14:paraId="08B6A3EF" w14:textId="77777777" w:rsidTr="00F241F4">
        <w:trPr>
          <w:trHeight w:val="300"/>
        </w:trPr>
        <w:tc>
          <w:tcPr>
            <w:tcW w:w="4243" w:type="dxa"/>
            <w:tcBorders>
              <w:top w:val="nil"/>
              <w:left w:val="single" w:sz="8" w:space="0" w:color="auto"/>
              <w:bottom w:val="single" w:sz="8" w:space="0" w:color="auto"/>
              <w:right w:val="single" w:sz="8" w:space="0" w:color="auto"/>
            </w:tcBorders>
            <w:shd w:val="clear" w:color="000000" w:fill="FFFFFF"/>
            <w:vAlign w:val="center"/>
            <w:hideMark/>
          </w:tcPr>
          <w:p w14:paraId="74B0AFDE" w14:textId="77777777" w:rsidR="00F241F4" w:rsidRPr="00F241F4" w:rsidRDefault="00F241F4" w:rsidP="00F241F4">
            <w:pPr>
              <w:spacing w:after="0" w:line="240" w:lineRule="auto"/>
              <w:jc w:val="left"/>
              <w:rPr>
                <w:rFonts w:eastAsia="Times New Roman" w:cs="Calibri"/>
                <w:color w:val="000000"/>
                <w:sz w:val="20"/>
                <w:szCs w:val="20"/>
              </w:rPr>
            </w:pPr>
            <w:r w:rsidRPr="00F241F4">
              <w:rPr>
                <w:rFonts w:eastAsia="Times New Roman" w:cs="Calibri"/>
                <w:color w:val="000000"/>
                <w:sz w:val="20"/>
                <w:szCs w:val="20"/>
              </w:rPr>
              <w:t>Fondo Inversión Banco de Costa Rica</w:t>
            </w:r>
          </w:p>
        </w:tc>
        <w:tc>
          <w:tcPr>
            <w:tcW w:w="1280" w:type="dxa"/>
            <w:tcBorders>
              <w:top w:val="nil"/>
              <w:left w:val="nil"/>
              <w:bottom w:val="single" w:sz="8" w:space="0" w:color="auto"/>
              <w:right w:val="single" w:sz="8" w:space="0" w:color="auto"/>
            </w:tcBorders>
            <w:shd w:val="clear" w:color="000000" w:fill="FFFFFF"/>
            <w:vAlign w:val="center"/>
            <w:hideMark/>
          </w:tcPr>
          <w:p w14:paraId="3957D621"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ascii="Arial" w:eastAsia="Times New Roman" w:hAnsi="Arial" w:cs="Arial"/>
                <w:color w:val="000000"/>
                <w:sz w:val="20"/>
                <w:szCs w:val="20"/>
                <w:lang w:val="en-US"/>
              </w:rPr>
              <w:t>₡</w:t>
            </w:r>
            <w:r w:rsidRPr="00F241F4">
              <w:rPr>
                <w:rFonts w:eastAsia="Times New Roman" w:cs="Calibri"/>
                <w:color w:val="000000"/>
                <w:sz w:val="20"/>
                <w:szCs w:val="20"/>
                <w:lang w:val="en-US"/>
              </w:rPr>
              <w:t>319 652,01</w:t>
            </w:r>
          </w:p>
        </w:tc>
        <w:tc>
          <w:tcPr>
            <w:tcW w:w="1280" w:type="dxa"/>
            <w:tcBorders>
              <w:top w:val="nil"/>
              <w:left w:val="nil"/>
              <w:bottom w:val="single" w:sz="8" w:space="0" w:color="auto"/>
              <w:right w:val="single" w:sz="8" w:space="0" w:color="auto"/>
            </w:tcBorders>
            <w:shd w:val="clear" w:color="000000" w:fill="FFFFFF"/>
            <w:vAlign w:val="center"/>
            <w:hideMark/>
          </w:tcPr>
          <w:p w14:paraId="79BE7AD7"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ascii="Arial" w:eastAsia="Times New Roman" w:hAnsi="Arial" w:cs="Arial"/>
                <w:color w:val="000000"/>
                <w:sz w:val="20"/>
                <w:szCs w:val="20"/>
                <w:lang w:val="en-US"/>
              </w:rPr>
              <w:t>₡</w:t>
            </w:r>
            <w:r w:rsidRPr="00F241F4">
              <w:rPr>
                <w:rFonts w:eastAsia="Times New Roman" w:cs="Calibri"/>
                <w:color w:val="000000"/>
                <w:sz w:val="20"/>
                <w:szCs w:val="20"/>
                <w:lang w:val="en-US"/>
              </w:rPr>
              <w:t>231 308,25</w:t>
            </w:r>
          </w:p>
        </w:tc>
        <w:tc>
          <w:tcPr>
            <w:tcW w:w="1252" w:type="dxa"/>
            <w:tcBorders>
              <w:top w:val="nil"/>
              <w:left w:val="nil"/>
              <w:bottom w:val="single" w:sz="8" w:space="0" w:color="auto"/>
              <w:right w:val="single" w:sz="8" w:space="0" w:color="auto"/>
            </w:tcBorders>
            <w:shd w:val="clear" w:color="000000" w:fill="FFFFFF"/>
            <w:vAlign w:val="center"/>
            <w:hideMark/>
          </w:tcPr>
          <w:p w14:paraId="1B7B758E"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ascii="Arial" w:eastAsia="Times New Roman" w:hAnsi="Arial" w:cs="Arial"/>
                <w:color w:val="000000"/>
                <w:sz w:val="20"/>
                <w:szCs w:val="20"/>
                <w:lang w:val="en-US"/>
              </w:rPr>
              <w:t>₡</w:t>
            </w:r>
            <w:r w:rsidRPr="00F241F4">
              <w:rPr>
                <w:rFonts w:eastAsia="Times New Roman" w:cs="Calibri"/>
                <w:color w:val="000000"/>
                <w:sz w:val="20"/>
                <w:szCs w:val="20"/>
                <w:lang w:val="en-US"/>
              </w:rPr>
              <w:t>88 343,76</w:t>
            </w:r>
          </w:p>
        </w:tc>
        <w:tc>
          <w:tcPr>
            <w:tcW w:w="1200" w:type="dxa"/>
            <w:tcBorders>
              <w:top w:val="nil"/>
              <w:left w:val="nil"/>
              <w:bottom w:val="single" w:sz="8" w:space="0" w:color="auto"/>
              <w:right w:val="single" w:sz="8" w:space="0" w:color="auto"/>
            </w:tcBorders>
            <w:shd w:val="clear" w:color="000000" w:fill="FFFFFF"/>
            <w:vAlign w:val="center"/>
            <w:hideMark/>
          </w:tcPr>
          <w:p w14:paraId="6A598E58"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38,19%</w:t>
            </w:r>
          </w:p>
        </w:tc>
      </w:tr>
      <w:tr w:rsidR="00F241F4" w:rsidRPr="00F241F4" w14:paraId="41C785FF" w14:textId="77777777" w:rsidTr="00F241F4">
        <w:trPr>
          <w:trHeight w:val="300"/>
        </w:trPr>
        <w:tc>
          <w:tcPr>
            <w:tcW w:w="4243" w:type="dxa"/>
            <w:tcBorders>
              <w:top w:val="nil"/>
              <w:left w:val="single" w:sz="8" w:space="0" w:color="auto"/>
              <w:bottom w:val="single" w:sz="8" w:space="0" w:color="auto"/>
              <w:right w:val="single" w:sz="8" w:space="0" w:color="auto"/>
            </w:tcBorders>
            <w:shd w:val="clear" w:color="000000" w:fill="FFFFFF"/>
            <w:vAlign w:val="center"/>
            <w:hideMark/>
          </w:tcPr>
          <w:p w14:paraId="61BBB2C2" w14:textId="77777777" w:rsidR="00F241F4" w:rsidRPr="00F241F4" w:rsidRDefault="00F241F4" w:rsidP="00F241F4">
            <w:pPr>
              <w:spacing w:after="0" w:line="240" w:lineRule="auto"/>
              <w:jc w:val="left"/>
              <w:rPr>
                <w:rFonts w:eastAsia="Times New Roman" w:cs="Calibri"/>
                <w:color w:val="000000"/>
                <w:sz w:val="20"/>
                <w:szCs w:val="20"/>
              </w:rPr>
            </w:pPr>
            <w:r w:rsidRPr="00F241F4">
              <w:rPr>
                <w:rFonts w:eastAsia="Times New Roman" w:cs="Calibri"/>
                <w:color w:val="000000"/>
                <w:sz w:val="20"/>
                <w:szCs w:val="20"/>
              </w:rPr>
              <w:t>Fondo Inversión Banco Nacional de Costa Rica</w:t>
            </w:r>
          </w:p>
        </w:tc>
        <w:tc>
          <w:tcPr>
            <w:tcW w:w="1280" w:type="dxa"/>
            <w:tcBorders>
              <w:top w:val="nil"/>
              <w:left w:val="nil"/>
              <w:bottom w:val="single" w:sz="8" w:space="0" w:color="auto"/>
              <w:right w:val="single" w:sz="8" w:space="0" w:color="auto"/>
            </w:tcBorders>
            <w:shd w:val="clear" w:color="000000" w:fill="FFFFFF"/>
            <w:vAlign w:val="center"/>
            <w:hideMark/>
          </w:tcPr>
          <w:p w14:paraId="78C59962"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319 661,70</w:t>
            </w:r>
          </w:p>
        </w:tc>
        <w:tc>
          <w:tcPr>
            <w:tcW w:w="1280" w:type="dxa"/>
            <w:tcBorders>
              <w:top w:val="nil"/>
              <w:left w:val="nil"/>
              <w:bottom w:val="single" w:sz="8" w:space="0" w:color="auto"/>
              <w:right w:val="single" w:sz="8" w:space="0" w:color="auto"/>
            </w:tcBorders>
            <w:shd w:val="clear" w:color="000000" w:fill="FFFFFF"/>
            <w:vAlign w:val="center"/>
            <w:hideMark/>
          </w:tcPr>
          <w:p w14:paraId="4F9A4DCB"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231 049,07</w:t>
            </w:r>
          </w:p>
        </w:tc>
        <w:tc>
          <w:tcPr>
            <w:tcW w:w="1252" w:type="dxa"/>
            <w:tcBorders>
              <w:top w:val="nil"/>
              <w:left w:val="nil"/>
              <w:bottom w:val="single" w:sz="8" w:space="0" w:color="auto"/>
              <w:right w:val="single" w:sz="8" w:space="0" w:color="auto"/>
            </w:tcBorders>
            <w:shd w:val="clear" w:color="000000" w:fill="FFFFFF"/>
            <w:vAlign w:val="center"/>
            <w:hideMark/>
          </w:tcPr>
          <w:p w14:paraId="6DA75510"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88 612,63</w:t>
            </w:r>
          </w:p>
        </w:tc>
        <w:tc>
          <w:tcPr>
            <w:tcW w:w="1200" w:type="dxa"/>
            <w:tcBorders>
              <w:top w:val="nil"/>
              <w:left w:val="nil"/>
              <w:bottom w:val="single" w:sz="8" w:space="0" w:color="auto"/>
              <w:right w:val="single" w:sz="8" w:space="0" w:color="auto"/>
            </w:tcBorders>
            <w:shd w:val="clear" w:color="000000" w:fill="FFFFFF"/>
            <w:vAlign w:val="center"/>
            <w:hideMark/>
          </w:tcPr>
          <w:p w14:paraId="47772B5E"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38,35%</w:t>
            </w:r>
          </w:p>
        </w:tc>
      </w:tr>
      <w:tr w:rsidR="00F241F4" w:rsidRPr="00F241F4" w14:paraId="70347C6A" w14:textId="77777777" w:rsidTr="00F241F4">
        <w:trPr>
          <w:trHeight w:val="300"/>
        </w:trPr>
        <w:tc>
          <w:tcPr>
            <w:tcW w:w="4243" w:type="dxa"/>
            <w:tcBorders>
              <w:top w:val="nil"/>
              <w:left w:val="single" w:sz="8" w:space="0" w:color="auto"/>
              <w:bottom w:val="single" w:sz="12" w:space="0" w:color="auto"/>
              <w:right w:val="single" w:sz="8" w:space="0" w:color="auto"/>
            </w:tcBorders>
            <w:shd w:val="clear" w:color="000000" w:fill="FFFFFF"/>
            <w:vAlign w:val="center"/>
            <w:hideMark/>
          </w:tcPr>
          <w:p w14:paraId="1E6C611A" w14:textId="77777777" w:rsidR="00F241F4" w:rsidRPr="00F241F4" w:rsidRDefault="00F241F4" w:rsidP="00F241F4">
            <w:pPr>
              <w:spacing w:after="0" w:line="240" w:lineRule="auto"/>
              <w:jc w:val="center"/>
              <w:rPr>
                <w:rFonts w:eastAsia="Times New Roman" w:cs="Calibri"/>
                <w:b/>
                <w:bCs/>
                <w:color w:val="000000"/>
                <w:sz w:val="20"/>
                <w:szCs w:val="20"/>
                <w:lang w:val="en-US"/>
              </w:rPr>
            </w:pPr>
            <w:r w:rsidRPr="00F241F4">
              <w:rPr>
                <w:rFonts w:eastAsia="Times New Roman" w:cs="Calibri"/>
                <w:b/>
                <w:bCs/>
                <w:color w:val="000000"/>
                <w:sz w:val="20"/>
                <w:szCs w:val="20"/>
                <w:lang w:val="en-US"/>
              </w:rPr>
              <w:t>TOTAL</w:t>
            </w:r>
          </w:p>
        </w:tc>
        <w:tc>
          <w:tcPr>
            <w:tcW w:w="1280" w:type="dxa"/>
            <w:tcBorders>
              <w:top w:val="nil"/>
              <w:left w:val="nil"/>
              <w:bottom w:val="single" w:sz="12" w:space="0" w:color="auto"/>
              <w:right w:val="single" w:sz="8" w:space="0" w:color="auto"/>
            </w:tcBorders>
            <w:shd w:val="clear" w:color="000000" w:fill="FFFFFF"/>
            <w:vAlign w:val="center"/>
            <w:hideMark/>
          </w:tcPr>
          <w:p w14:paraId="3ED5F7A4" w14:textId="77777777" w:rsidR="00F241F4" w:rsidRPr="00F241F4" w:rsidRDefault="00F241F4" w:rsidP="00F241F4">
            <w:pPr>
              <w:spacing w:after="0" w:line="240" w:lineRule="auto"/>
              <w:jc w:val="right"/>
              <w:rPr>
                <w:rFonts w:eastAsia="Times New Roman" w:cs="Calibri"/>
                <w:b/>
                <w:bCs/>
                <w:color w:val="000000"/>
                <w:sz w:val="20"/>
                <w:szCs w:val="20"/>
                <w:lang w:val="en-US"/>
              </w:rPr>
            </w:pPr>
            <w:r w:rsidRPr="00F241F4">
              <w:rPr>
                <w:rFonts w:ascii="Arial" w:eastAsia="Times New Roman" w:hAnsi="Arial" w:cs="Arial"/>
                <w:b/>
                <w:bCs/>
                <w:color w:val="000000"/>
                <w:sz w:val="20"/>
                <w:szCs w:val="20"/>
                <w:lang w:val="en-US"/>
              </w:rPr>
              <w:t>₡</w:t>
            </w:r>
            <w:r w:rsidRPr="00F241F4">
              <w:rPr>
                <w:rFonts w:eastAsia="Times New Roman" w:cs="Calibri"/>
                <w:b/>
                <w:bCs/>
                <w:color w:val="000000"/>
                <w:sz w:val="20"/>
                <w:szCs w:val="20"/>
                <w:lang w:val="en-US"/>
              </w:rPr>
              <w:t>639 313,71</w:t>
            </w:r>
          </w:p>
        </w:tc>
        <w:tc>
          <w:tcPr>
            <w:tcW w:w="1280" w:type="dxa"/>
            <w:tcBorders>
              <w:top w:val="nil"/>
              <w:left w:val="nil"/>
              <w:bottom w:val="single" w:sz="12" w:space="0" w:color="auto"/>
              <w:right w:val="single" w:sz="8" w:space="0" w:color="auto"/>
            </w:tcBorders>
            <w:shd w:val="clear" w:color="000000" w:fill="FFFFFF"/>
            <w:vAlign w:val="center"/>
            <w:hideMark/>
          </w:tcPr>
          <w:p w14:paraId="318A1636" w14:textId="77777777" w:rsidR="00F241F4" w:rsidRPr="00F241F4" w:rsidRDefault="00F241F4" w:rsidP="00F241F4">
            <w:pPr>
              <w:spacing w:after="0" w:line="240" w:lineRule="auto"/>
              <w:jc w:val="right"/>
              <w:rPr>
                <w:rFonts w:eastAsia="Times New Roman" w:cs="Calibri"/>
                <w:b/>
                <w:bCs/>
                <w:color w:val="000000"/>
                <w:sz w:val="20"/>
                <w:szCs w:val="20"/>
                <w:lang w:val="en-US"/>
              </w:rPr>
            </w:pPr>
            <w:r w:rsidRPr="00F241F4">
              <w:rPr>
                <w:rFonts w:ascii="Arial" w:eastAsia="Times New Roman" w:hAnsi="Arial" w:cs="Arial"/>
                <w:b/>
                <w:bCs/>
                <w:color w:val="000000"/>
                <w:sz w:val="20"/>
                <w:szCs w:val="20"/>
                <w:lang w:val="en-US"/>
              </w:rPr>
              <w:t>₡</w:t>
            </w:r>
            <w:r w:rsidRPr="00F241F4">
              <w:rPr>
                <w:rFonts w:eastAsia="Times New Roman" w:cs="Calibri"/>
                <w:b/>
                <w:bCs/>
                <w:color w:val="000000"/>
                <w:sz w:val="20"/>
                <w:szCs w:val="20"/>
                <w:lang w:val="en-US"/>
              </w:rPr>
              <w:t>462 357,32</w:t>
            </w:r>
          </w:p>
        </w:tc>
        <w:tc>
          <w:tcPr>
            <w:tcW w:w="1252" w:type="dxa"/>
            <w:tcBorders>
              <w:top w:val="nil"/>
              <w:left w:val="nil"/>
              <w:bottom w:val="single" w:sz="12" w:space="0" w:color="auto"/>
              <w:right w:val="single" w:sz="8" w:space="0" w:color="auto"/>
            </w:tcBorders>
            <w:shd w:val="clear" w:color="000000" w:fill="FFFFFF"/>
            <w:vAlign w:val="center"/>
            <w:hideMark/>
          </w:tcPr>
          <w:p w14:paraId="1982E1F9" w14:textId="77777777" w:rsidR="00F241F4" w:rsidRPr="00F241F4" w:rsidRDefault="00F241F4" w:rsidP="00F241F4">
            <w:pPr>
              <w:spacing w:after="0" w:line="240" w:lineRule="auto"/>
              <w:jc w:val="right"/>
              <w:rPr>
                <w:rFonts w:eastAsia="Times New Roman" w:cs="Calibri"/>
                <w:b/>
                <w:bCs/>
                <w:color w:val="000000"/>
                <w:sz w:val="20"/>
                <w:szCs w:val="20"/>
                <w:lang w:val="en-US"/>
              </w:rPr>
            </w:pPr>
            <w:r w:rsidRPr="00F241F4">
              <w:rPr>
                <w:rFonts w:ascii="Arial" w:eastAsia="Times New Roman" w:hAnsi="Arial" w:cs="Arial"/>
                <w:b/>
                <w:bCs/>
                <w:color w:val="000000"/>
                <w:sz w:val="20"/>
                <w:szCs w:val="20"/>
                <w:lang w:val="en-US"/>
              </w:rPr>
              <w:t>₡</w:t>
            </w:r>
            <w:r w:rsidRPr="00F241F4">
              <w:rPr>
                <w:rFonts w:eastAsia="Times New Roman" w:cs="Calibri"/>
                <w:b/>
                <w:bCs/>
                <w:color w:val="000000"/>
                <w:sz w:val="20"/>
                <w:szCs w:val="20"/>
                <w:lang w:val="en-US"/>
              </w:rPr>
              <w:t>176 956,39</w:t>
            </w:r>
          </w:p>
        </w:tc>
        <w:tc>
          <w:tcPr>
            <w:tcW w:w="1200" w:type="dxa"/>
            <w:tcBorders>
              <w:top w:val="nil"/>
              <w:left w:val="nil"/>
              <w:bottom w:val="single" w:sz="12" w:space="0" w:color="auto"/>
              <w:right w:val="single" w:sz="8" w:space="0" w:color="auto"/>
            </w:tcBorders>
            <w:shd w:val="clear" w:color="000000" w:fill="FFFFFF"/>
            <w:vAlign w:val="center"/>
            <w:hideMark/>
          </w:tcPr>
          <w:p w14:paraId="4D23C474" w14:textId="77777777" w:rsidR="00F241F4" w:rsidRPr="00F241F4" w:rsidRDefault="00F241F4" w:rsidP="00F241F4">
            <w:pPr>
              <w:spacing w:after="0" w:line="240" w:lineRule="auto"/>
              <w:jc w:val="right"/>
              <w:rPr>
                <w:rFonts w:eastAsia="Times New Roman" w:cs="Calibri"/>
                <w:b/>
                <w:bCs/>
                <w:color w:val="000000"/>
                <w:sz w:val="20"/>
                <w:szCs w:val="20"/>
                <w:lang w:val="en-US"/>
              </w:rPr>
            </w:pPr>
            <w:r w:rsidRPr="00F241F4">
              <w:rPr>
                <w:rFonts w:eastAsia="Times New Roman" w:cs="Calibri"/>
                <w:b/>
                <w:bCs/>
                <w:color w:val="000000"/>
                <w:sz w:val="20"/>
                <w:szCs w:val="20"/>
                <w:lang w:val="en-US"/>
              </w:rPr>
              <w:t>38,27%</w:t>
            </w:r>
          </w:p>
        </w:tc>
      </w:tr>
    </w:tbl>
    <w:p w14:paraId="6D1197D3" w14:textId="77777777" w:rsidR="00694299" w:rsidRPr="00D1213D" w:rsidRDefault="00692DC8" w:rsidP="004526F3">
      <w:pPr>
        <w:spacing w:before="240"/>
        <w:rPr>
          <w:sz w:val="22"/>
          <w:lang w:eastAsia="es-CR"/>
        </w:rPr>
      </w:pPr>
      <w:r w:rsidRPr="00464861">
        <w:rPr>
          <w:b/>
          <w:lang w:val="es-ES" w:eastAsia="es-CR"/>
        </w:rPr>
        <w:t xml:space="preserve">Revelación: </w:t>
      </w:r>
      <w:bookmarkStart w:id="150" w:name="_Hlk99368797"/>
      <w:r w:rsidR="004526F3">
        <w:rPr>
          <w:sz w:val="22"/>
          <w:lang w:eastAsia="es-CR"/>
        </w:rPr>
        <w:fldChar w:fldCharType="begin"/>
      </w:r>
      <w:r w:rsidR="004526F3">
        <w:rPr>
          <w:sz w:val="22"/>
          <w:lang w:eastAsia="es-CR"/>
        </w:rPr>
        <w:instrText xml:space="preserve"> LINK </w:instrText>
      </w:r>
      <w:r w:rsidR="00323752">
        <w:rPr>
          <w:sz w:val="22"/>
          <w:lang w:eastAsia="es-CR"/>
        </w:rPr>
        <w:instrText xml:space="preserve">Excel.SheetMacroEnabled.12 "D:\\MORAVIA\\INSUMOS\\NOTAS 2024\\Formato_Notas_EEFF_Vinculadas_2024\\XXXXX_PXX_202X_Anexo_Estado_Notas_Contables_Vinculadas.xlsm" NOTAS_POR_CUENTA!F6C8 </w:instrText>
      </w:r>
      <w:r w:rsidR="004526F3">
        <w:rPr>
          <w:sz w:val="22"/>
          <w:lang w:eastAsia="es-CR"/>
        </w:rPr>
        <w:instrText xml:space="preserve">\a \f 5 \h  \* MERGEFORMAT </w:instrText>
      </w:r>
      <w:r w:rsidR="004526F3">
        <w:rPr>
          <w:sz w:val="22"/>
          <w:lang w:eastAsia="es-CR"/>
        </w:rPr>
        <w:fldChar w:fldCharType="separate"/>
      </w:r>
    </w:p>
    <w:p w14:paraId="66CF5A67" w14:textId="21CE1350" w:rsidR="00694299" w:rsidRPr="00D1213D" w:rsidRDefault="00694299" w:rsidP="00D1213D">
      <w:pPr>
        <w:spacing w:after="0" w:line="240" w:lineRule="auto"/>
        <w:rPr>
          <w:rFonts w:eastAsia="Times New Roman" w:cs="Calibri"/>
          <w:sz w:val="20"/>
          <w:szCs w:val="20"/>
        </w:rPr>
      </w:pPr>
      <w:r w:rsidRPr="00694299">
        <w:rPr>
          <w:sz w:val="22"/>
          <w:lang w:eastAsia="es-CR"/>
        </w:rPr>
        <w:t>La cuenta Efectivo y equivalentes de efectivo, representa el 1,1</w:t>
      </w:r>
      <w:r w:rsidR="00D1213D">
        <w:rPr>
          <w:sz w:val="22"/>
          <w:lang w:eastAsia="es-CR"/>
        </w:rPr>
        <w:t>2</w:t>
      </w:r>
      <w:r w:rsidRPr="00694299">
        <w:rPr>
          <w:sz w:val="22"/>
          <w:lang w:eastAsia="es-CR"/>
        </w:rPr>
        <w:t xml:space="preserve">% del total del Activo, que comparado al periodo anterior genera una variación absoluta de </w:t>
      </w:r>
      <w:r w:rsidR="00D1213D" w:rsidRPr="00D1213D">
        <w:rPr>
          <w:sz w:val="22"/>
          <w:lang w:eastAsia="es-CR"/>
        </w:rPr>
        <w:t>-348 207,78</w:t>
      </w:r>
      <w:r w:rsidRPr="00694299">
        <w:rPr>
          <w:sz w:val="22"/>
          <w:lang w:eastAsia="es-CR"/>
        </w:rPr>
        <w:t xml:space="preserve"> que corresponde a un Disminución del -</w:t>
      </w:r>
      <w:r w:rsidR="00D1213D">
        <w:rPr>
          <w:sz w:val="22"/>
          <w:lang w:eastAsia="es-CR"/>
        </w:rPr>
        <w:t>15</w:t>
      </w:r>
      <w:r w:rsidRPr="00694299">
        <w:rPr>
          <w:sz w:val="22"/>
          <w:lang w:eastAsia="es-CR"/>
        </w:rPr>
        <w:t>,</w:t>
      </w:r>
      <w:r w:rsidR="00D1213D">
        <w:rPr>
          <w:sz w:val="22"/>
          <w:lang w:eastAsia="es-CR"/>
        </w:rPr>
        <w:t>67</w:t>
      </w:r>
      <w:r w:rsidRPr="00694299">
        <w:rPr>
          <w:sz w:val="22"/>
          <w:lang w:eastAsia="es-CR"/>
        </w:rPr>
        <w:t>% de recursos disponibles.</w:t>
      </w:r>
    </w:p>
    <w:p w14:paraId="32098005" w14:textId="4D246B02" w:rsidR="00692DC8" w:rsidRPr="004526F3" w:rsidRDefault="004526F3" w:rsidP="004526F3">
      <w:pPr>
        <w:spacing w:before="240"/>
        <w:rPr>
          <w:sz w:val="22"/>
          <w:lang w:eastAsia="es-CR"/>
        </w:rPr>
      </w:pPr>
      <w:r>
        <w:rPr>
          <w:sz w:val="22"/>
          <w:lang w:eastAsia="es-CR"/>
        </w:rPr>
        <w:fldChar w:fldCharType="end"/>
      </w:r>
      <w:r w:rsidR="00692DC8" w:rsidRPr="00692DC8">
        <w:rPr>
          <w:sz w:val="22"/>
          <w:highlight w:val="lightGray"/>
          <w:lang w:eastAsia="es-CR"/>
        </w:rPr>
        <w:t>Las variaciones de la cuenta son producto de (Indicar la razón de las variaciones de un periodo a otro</w:t>
      </w:r>
      <w:r w:rsidR="00692DC8" w:rsidRPr="00692DC8">
        <w:rPr>
          <w:highlight w:val="lightGray"/>
          <w:lang w:eastAsia="es-CR"/>
        </w:rPr>
        <w:t>):</w:t>
      </w:r>
      <w:r w:rsidR="00692DC8" w:rsidRPr="00692DC8">
        <w:rPr>
          <w:lang w:eastAsia="es-CR"/>
        </w:rPr>
        <w:t xml:space="preserve"> </w:t>
      </w:r>
      <w:bookmarkStart w:id="151" w:name="_Toc13041027"/>
      <w:bookmarkStart w:id="152" w:name="_Toc14345026"/>
    </w:p>
    <w:bookmarkEnd w:id="150"/>
    <w:p w14:paraId="2AEEC441" w14:textId="77777777" w:rsidR="0010459C" w:rsidRDefault="0010459C" w:rsidP="001A6E5E">
      <w:pPr>
        <w:spacing w:after="0" w:line="240" w:lineRule="auto"/>
      </w:pPr>
      <w:r w:rsidRPr="00A91674">
        <w:t>Las variaciones de la cuenta son producto de (Indicar la razón de las variaciones de un periodo a otro):</w:t>
      </w:r>
    </w:p>
    <w:p w14:paraId="4B07A1E6" w14:textId="77777777" w:rsidR="001A6E5E" w:rsidRDefault="001A6E5E" w:rsidP="001A6E5E">
      <w:pPr>
        <w:spacing w:after="0" w:line="240" w:lineRule="auto"/>
      </w:pPr>
    </w:p>
    <w:tbl>
      <w:tblPr>
        <w:tblW w:w="9204" w:type="dxa"/>
        <w:tblLook w:val="04A0" w:firstRow="1" w:lastRow="0" w:firstColumn="1" w:lastColumn="0" w:noHBand="0" w:noVBand="1"/>
      </w:tblPr>
      <w:tblGrid>
        <w:gridCol w:w="1325"/>
        <w:gridCol w:w="3343"/>
        <w:gridCol w:w="1227"/>
        <w:gridCol w:w="1230"/>
        <w:gridCol w:w="1150"/>
        <w:gridCol w:w="929"/>
      </w:tblGrid>
      <w:tr w:rsidR="00F241F4" w:rsidRPr="00F241F4" w14:paraId="13403919" w14:textId="77777777" w:rsidTr="00F241F4">
        <w:trPr>
          <w:trHeight w:val="470"/>
        </w:trPr>
        <w:tc>
          <w:tcPr>
            <w:tcW w:w="1325" w:type="dxa"/>
            <w:tcBorders>
              <w:top w:val="single" w:sz="8" w:space="0" w:color="auto"/>
              <w:left w:val="single" w:sz="8" w:space="0" w:color="auto"/>
              <w:bottom w:val="nil"/>
              <w:right w:val="single" w:sz="8" w:space="0" w:color="auto"/>
            </w:tcBorders>
            <w:shd w:val="clear" w:color="000000" w:fill="366092"/>
            <w:vAlign w:val="center"/>
            <w:hideMark/>
          </w:tcPr>
          <w:p w14:paraId="56BD884A" w14:textId="77777777" w:rsidR="00F241F4" w:rsidRPr="00F241F4" w:rsidRDefault="00F241F4" w:rsidP="00F241F4">
            <w:pPr>
              <w:spacing w:after="0" w:line="240" w:lineRule="auto"/>
              <w:jc w:val="center"/>
              <w:rPr>
                <w:rFonts w:eastAsia="Times New Roman" w:cs="Calibri"/>
                <w:b/>
                <w:bCs/>
                <w:color w:val="FFFFFF"/>
                <w:sz w:val="18"/>
                <w:szCs w:val="18"/>
                <w:lang w:val="en-US"/>
              </w:rPr>
            </w:pPr>
            <w:r w:rsidRPr="00F241F4">
              <w:rPr>
                <w:rFonts w:eastAsia="Times New Roman" w:cs="Calibri"/>
                <w:b/>
                <w:bCs/>
                <w:color w:val="FFFFFF"/>
                <w:sz w:val="18"/>
                <w:szCs w:val="18"/>
                <w:lang w:val="en-US"/>
              </w:rPr>
              <w:t>Cuenta</w:t>
            </w:r>
          </w:p>
        </w:tc>
        <w:tc>
          <w:tcPr>
            <w:tcW w:w="3343" w:type="dxa"/>
            <w:tcBorders>
              <w:top w:val="single" w:sz="8" w:space="0" w:color="auto"/>
              <w:left w:val="nil"/>
              <w:bottom w:val="nil"/>
              <w:right w:val="single" w:sz="8" w:space="0" w:color="auto"/>
            </w:tcBorders>
            <w:shd w:val="clear" w:color="000000" w:fill="366092"/>
            <w:vAlign w:val="center"/>
            <w:hideMark/>
          </w:tcPr>
          <w:p w14:paraId="402274E5" w14:textId="77777777" w:rsidR="00F241F4" w:rsidRPr="00F241F4" w:rsidRDefault="00F241F4" w:rsidP="00F241F4">
            <w:pPr>
              <w:spacing w:after="0" w:line="240" w:lineRule="auto"/>
              <w:jc w:val="center"/>
              <w:rPr>
                <w:rFonts w:eastAsia="Times New Roman" w:cs="Calibri"/>
                <w:b/>
                <w:bCs/>
                <w:color w:val="FFFFFF"/>
                <w:sz w:val="18"/>
                <w:szCs w:val="18"/>
                <w:lang w:val="en-US"/>
              </w:rPr>
            </w:pPr>
            <w:r w:rsidRPr="00F241F4">
              <w:rPr>
                <w:rFonts w:eastAsia="Times New Roman" w:cs="Calibri"/>
                <w:b/>
                <w:bCs/>
                <w:color w:val="FFFFFF"/>
                <w:sz w:val="18"/>
                <w:szCs w:val="18"/>
                <w:lang w:val="en-US"/>
              </w:rPr>
              <w:t>Descripción</w:t>
            </w:r>
          </w:p>
        </w:tc>
        <w:tc>
          <w:tcPr>
            <w:tcW w:w="1227" w:type="dxa"/>
            <w:tcBorders>
              <w:top w:val="single" w:sz="8" w:space="0" w:color="auto"/>
              <w:left w:val="nil"/>
              <w:bottom w:val="nil"/>
              <w:right w:val="single" w:sz="8" w:space="0" w:color="auto"/>
            </w:tcBorders>
            <w:shd w:val="clear" w:color="000000" w:fill="366092"/>
            <w:vAlign w:val="center"/>
            <w:hideMark/>
          </w:tcPr>
          <w:p w14:paraId="04EB5242" w14:textId="77777777" w:rsidR="00F241F4" w:rsidRPr="00F241F4" w:rsidRDefault="00F241F4" w:rsidP="00F241F4">
            <w:pPr>
              <w:spacing w:after="0" w:line="240" w:lineRule="auto"/>
              <w:jc w:val="center"/>
              <w:rPr>
                <w:rFonts w:eastAsia="Times New Roman" w:cs="Calibri"/>
                <w:b/>
                <w:bCs/>
                <w:color w:val="FFFFFF"/>
                <w:sz w:val="18"/>
                <w:szCs w:val="18"/>
                <w:lang w:val="en-US"/>
              </w:rPr>
            </w:pPr>
            <w:r w:rsidRPr="00F241F4">
              <w:rPr>
                <w:rFonts w:eastAsia="Times New Roman" w:cs="Calibri"/>
                <w:b/>
                <w:bCs/>
                <w:color w:val="FFFFFF"/>
                <w:sz w:val="18"/>
                <w:szCs w:val="18"/>
                <w:lang w:val="en-US"/>
              </w:rPr>
              <w:t>Periodo Actual</w:t>
            </w:r>
          </w:p>
        </w:tc>
        <w:tc>
          <w:tcPr>
            <w:tcW w:w="1230" w:type="dxa"/>
            <w:tcBorders>
              <w:top w:val="single" w:sz="8" w:space="0" w:color="auto"/>
              <w:left w:val="nil"/>
              <w:bottom w:val="nil"/>
              <w:right w:val="single" w:sz="8" w:space="0" w:color="auto"/>
            </w:tcBorders>
            <w:shd w:val="clear" w:color="000000" w:fill="366092"/>
            <w:vAlign w:val="center"/>
            <w:hideMark/>
          </w:tcPr>
          <w:p w14:paraId="52BF5204" w14:textId="77777777" w:rsidR="00F241F4" w:rsidRPr="00F241F4" w:rsidRDefault="00F241F4" w:rsidP="00F241F4">
            <w:pPr>
              <w:spacing w:after="0" w:line="240" w:lineRule="auto"/>
              <w:jc w:val="center"/>
              <w:rPr>
                <w:rFonts w:eastAsia="Times New Roman" w:cs="Calibri"/>
                <w:b/>
                <w:bCs/>
                <w:color w:val="FFFFFF"/>
                <w:sz w:val="18"/>
                <w:szCs w:val="18"/>
                <w:lang w:val="en-US"/>
              </w:rPr>
            </w:pPr>
            <w:r w:rsidRPr="00F241F4">
              <w:rPr>
                <w:rFonts w:eastAsia="Times New Roman" w:cs="Calibri"/>
                <w:b/>
                <w:bCs/>
                <w:color w:val="FFFFFF"/>
                <w:sz w:val="18"/>
                <w:szCs w:val="18"/>
                <w:lang w:val="en-US"/>
              </w:rPr>
              <w:t>Periodo Anterior</w:t>
            </w:r>
          </w:p>
        </w:tc>
        <w:tc>
          <w:tcPr>
            <w:tcW w:w="1150" w:type="dxa"/>
            <w:tcBorders>
              <w:top w:val="single" w:sz="8" w:space="0" w:color="auto"/>
              <w:left w:val="nil"/>
              <w:bottom w:val="nil"/>
              <w:right w:val="single" w:sz="8" w:space="0" w:color="auto"/>
            </w:tcBorders>
            <w:shd w:val="clear" w:color="000000" w:fill="366092"/>
            <w:vAlign w:val="center"/>
            <w:hideMark/>
          </w:tcPr>
          <w:p w14:paraId="10BA4B75" w14:textId="77777777" w:rsidR="00F241F4" w:rsidRPr="00F241F4" w:rsidRDefault="00F241F4" w:rsidP="00F241F4">
            <w:pPr>
              <w:spacing w:after="0" w:line="240" w:lineRule="auto"/>
              <w:jc w:val="center"/>
              <w:rPr>
                <w:rFonts w:eastAsia="Times New Roman" w:cs="Calibri"/>
                <w:b/>
                <w:bCs/>
                <w:color w:val="FFFFFF"/>
                <w:sz w:val="18"/>
                <w:szCs w:val="18"/>
                <w:lang w:val="en-US"/>
              </w:rPr>
            </w:pPr>
            <w:r w:rsidRPr="00F241F4">
              <w:rPr>
                <w:rFonts w:eastAsia="Times New Roman" w:cs="Calibri"/>
                <w:b/>
                <w:bCs/>
                <w:color w:val="FFFFFF"/>
                <w:sz w:val="18"/>
                <w:szCs w:val="18"/>
                <w:lang w:val="en-US"/>
              </w:rPr>
              <w:t>Variación Absoluta</w:t>
            </w:r>
          </w:p>
        </w:tc>
        <w:tc>
          <w:tcPr>
            <w:tcW w:w="929" w:type="dxa"/>
            <w:tcBorders>
              <w:top w:val="single" w:sz="8" w:space="0" w:color="auto"/>
              <w:left w:val="nil"/>
              <w:bottom w:val="nil"/>
              <w:right w:val="single" w:sz="8" w:space="0" w:color="auto"/>
            </w:tcBorders>
            <w:shd w:val="clear" w:color="000000" w:fill="366092"/>
            <w:vAlign w:val="center"/>
            <w:hideMark/>
          </w:tcPr>
          <w:p w14:paraId="55ED7F79" w14:textId="77777777" w:rsidR="00F241F4" w:rsidRPr="00F241F4" w:rsidRDefault="00F241F4" w:rsidP="00F241F4">
            <w:pPr>
              <w:spacing w:after="0" w:line="240" w:lineRule="auto"/>
              <w:jc w:val="center"/>
              <w:rPr>
                <w:rFonts w:eastAsia="Times New Roman" w:cs="Calibri"/>
                <w:b/>
                <w:bCs/>
                <w:color w:val="FFFFFF"/>
                <w:sz w:val="18"/>
                <w:szCs w:val="18"/>
                <w:lang w:val="en-US"/>
              </w:rPr>
            </w:pPr>
            <w:r w:rsidRPr="00F241F4">
              <w:rPr>
                <w:rFonts w:eastAsia="Times New Roman" w:cs="Calibri"/>
                <w:b/>
                <w:bCs/>
                <w:color w:val="FFFFFF"/>
                <w:sz w:val="18"/>
                <w:szCs w:val="18"/>
                <w:lang w:val="en-US"/>
              </w:rPr>
              <w:t>Variación %</w:t>
            </w:r>
          </w:p>
        </w:tc>
      </w:tr>
      <w:tr w:rsidR="00F241F4" w:rsidRPr="00F241F4" w14:paraId="377E105A" w14:textId="77777777" w:rsidTr="00F241F4">
        <w:trPr>
          <w:trHeight w:val="310"/>
        </w:trPr>
        <w:tc>
          <w:tcPr>
            <w:tcW w:w="13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1DB3C64" w14:textId="77777777" w:rsidR="00F241F4" w:rsidRPr="00F241F4" w:rsidRDefault="00F241F4" w:rsidP="00F241F4">
            <w:pPr>
              <w:spacing w:after="0" w:line="240" w:lineRule="auto"/>
              <w:jc w:val="left"/>
              <w:rPr>
                <w:rFonts w:eastAsia="Times New Roman" w:cs="Calibri"/>
                <w:b/>
                <w:bCs/>
                <w:color w:val="000000"/>
                <w:sz w:val="18"/>
                <w:szCs w:val="18"/>
                <w:lang w:val="en-US"/>
              </w:rPr>
            </w:pPr>
            <w:r w:rsidRPr="00F241F4">
              <w:rPr>
                <w:rFonts w:eastAsia="Times New Roman" w:cs="Calibri"/>
                <w:b/>
                <w:bCs/>
                <w:color w:val="000000"/>
                <w:sz w:val="18"/>
                <w:szCs w:val="18"/>
                <w:lang w:val="en-US"/>
              </w:rPr>
              <w:t>1.1.1.01.02.</w:t>
            </w:r>
          </w:p>
        </w:tc>
        <w:tc>
          <w:tcPr>
            <w:tcW w:w="3343" w:type="dxa"/>
            <w:tcBorders>
              <w:top w:val="single" w:sz="8" w:space="0" w:color="auto"/>
              <w:left w:val="nil"/>
              <w:bottom w:val="single" w:sz="8" w:space="0" w:color="auto"/>
              <w:right w:val="nil"/>
            </w:tcBorders>
            <w:shd w:val="clear" w:color="auto" w:fill="auto"/>
            <w:noWrap/>
            <w:vAlign w:val="bottom"/>
            <w:hideMark/>
          </w:tcPr>
          <w:p w14:paraId="72A886AA" w14:textId="77777777" w:rsidR="00F241F4" w:rsidRPr="00F241F4" w:rsidRDefault="00F241F4" w:rsidP="00F241F4">
            <w:pPr>
              <w:spacing w:after="0" w:line="240" w:lineRule="auto"/>
              <w:jc w:val="left"/>
              <w:rPr>
                <w:rFonts w:eastAsia="Times New Roman" w:cs="Calibri"/>
                <w:b/>
                <w:bCs/>
                <w:color w:val="000000"/>
                <w:sz w:val="20"/>
                <w:szCs w:val="20"/>
                <w:lang w:val="en-US"/>
              </w:rPr>
            </w:pPr>
            <w:r w:rsidRPr="00F241F4">
              <w:rPr>
                <w:rFonts w:eastAsia="Times New Roman" w:cs="Calibri"/>
                <w:b/>
                <w:bCs/>
                <w:color w:val="000000"/>
                <w:sz w:val="20"/>
                <w:szCs w:val="20"/>
                <w:lang w:val="en-US"/>
              </w:rPr>
              <w:t>Depósitos bancarios</w:t>
            </w:r>
          </w:p>
        </w:tc>
        <w:tc>
          <w:tcPr>
            <w:tcW w:w="1227"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6432CC1" w14:textId="77777777" w:rsidR="00F241F4" w:rsidRPr="00F241F4" w:rsidRDefault="00F241F4" w:rsidP="00F241F4">
            <w:pPr>
              <w:spacing w:after="0" w:line="240" w:lineRule="auto"/>
              <w:jc w:val="right"/>
              <w:rPr>
                <w:rFonts w:eastAsia="Times New Roman" w:cs="Calibri"/>
                <w:b/>
                <w:bCs/>
                <w:color w:val="000000"/>
                <w:sz w:val="18"/>
                <w:szCs w:val="18"/>
                <w:lang w:val="en-US"/>
              </w:rPr>
            </w:pPr>
            <w:r w:rsidRPr="00F241F4">
              <w:rPr>
                <w:rFonts w:ascii="Arial" w:eastAsia="Times New Roman" w:hAnsi="Arial" w:cs="Arial"/>
                <w:b/>
                <w:bCs/>
                <w:color w:val="000000"/>
                <w:sz w:val="18"/>
                <w:szCs w:val="18"/>
                <w:lang w:val="en-US"/>
              </w:rPr>
              <w:t>₡</w:t>
            </w:r>
            <w:r w:rsidRPr="00F241F4">
              <w:rPr>
                <w:rFonts w:eastAsia="Times New Roman" w:cs="Calibri"/>
                <w:b/>
                <w:bCs/>
                <w:color w:val="000000"/>
                <w:sz w:val="18"/>
                <w:szCs w:val="18"/>
                <w:lang w:val="en-US"/>
              </w:rPr>
              <w:t>1 231 191,12</w:t>
            </w:r>
          </w:p>
        </w:tc>
        <w:tc>
          <w:tcPr>
            <w:tcW w:w="1230" w:type="dxa"/>
            <w:tcBorders>
              <w:top w:val="single" w:sz="8" w:space="0" w:color="auto"/>
              <w:left w:val="nil"/>
              <w:bottom w:val="single" w:sz="8" w:space="0" w:color="auto"/>
              <w:right w:val="single" w:sz="8" w:space="0" w:color="auto"/>
            </w:tcBorders>
            <w:shd w:val="clear" w:color="000000" w:fill="FFFFFF"/>
            <w:vAlign w:val="center"/>
            <w:hideMark/>
          </w:tcPr>
          <w:p w14:paraId="1A18D1D7" w14:textId="77777777" w:rsidR="00F241F4" w:rsidRPr="00F241F4" w:rsidRDefault="00F241F4" w:rsidP="00F241F4">
            <w:pPr>
              <w:spacing w:after="0" w:line="240" w:lineRule="auto"/>
              <w:jc w:val="right"/>
              <w:rPr>
                <w:rFonts w:eastAsia="Times New Roman" w:cs="Calibri"/>
                <w:b/>
                <w:bCs/>
                <w:color w:val="000000"/>
                <w:sz w:val="18"/>
                <w:szCs w:val="18"/>
                <w:lang w:val="en-US"/>
              </w:rPr>
            </w:pPr>
            <w:r w:rsidRPr="00F241F4">
              <w:rPr>
                <w:rFonts w:ascii="Arial" w:eastAsia="Times New Roman" w:hAnsi="Arial" w:cs="Arial"/>
                <w:b/>
                <w:bCs/>
                <w:color w:val="000000"/>
                <w:sz w:val="18"/>
                <w:szCs w:val="18"/>
                <w:lang w:val="en-US"/>
              </w:rPr>
              <w:t>₡</w:t>
            </w:r>
            <w:r w:rsidRPr="00F241F4">
              <w:rPr>
                <w:rFonts w:eastAsia="Times New Roman" w:cs="Calibri"/>
                <w:b/>
                <w:bCs/>
                <w:color w:val="000000"/>
                <w:sz w:val="18"/>
                <w:szCs w:val="18"/>
                <w:lang w:val="en-US"/>
              </w:rPr>
              <w:t>1 756 355,28</w:t>
            </w:r>
          </w:p>
        </w:tc>
        <w:tc>
          <w:tcPr>
            <w:tcW w:w="1150" w:type="dxa"/>
            <w:tcBorders>
              <w:top w:val="single" w:sz="8" w:space="0" w:color="auto"/>
              <w:left w:val="nil"/>
              <w:bottom w:val="single" w:sz="8" w:space="0" w:color="auto"/>
              <w:right w:val="single" w:sz="8" w:space="0" w:color="auto"/>
            </w:tcBorders>
            <w:shd w:val="clear" w:color="000000" w:fill="FFFFFF"/>
            <w:vAlign w:val="center"/>
            <w:hideMark/>
          </w:tcPr>
          <w:p w14:paraId="4536E3E5" w14:textId="77777777" w:rsidR="00F241F4" w:rsidRPr="00F241F4" w:rsidRDefault="00F241F4" w:rsidP="00F241F4">
            <w:pPr>
              <w:spacing w:after="0" w:line="240" w:lineRule="auto"/>
              <w:jc w:val="right"/>
              <w:rPr>
                <w:rFonts w:eastAsia="Times New Roman" w:cs="Calibri"/>
                <w:b/>
                <w:bCs/>
                <w:color w:val="000000"/>
                <w:sz w:val="18"/>
                <w:szCs w:val="18"/>
                <w:lang w:val="en-US"/>
              </w:rPr>
            </w:pPr>
            <w:r w:rsidRPr="00F241F4">
              <w:rPr>
                <w:rFonts w:eastAsia="Times New Roman" w:cs="Calibri"/>
                <w:b/>
                <w:bCs/>
                <w:color w:val="000000"/>
                <w:sz w:val="18"/>
                <w:szCs w:val="18"/>
                <w:lang w:val="en-US"/>
              </w:rPr>
              <w:t>-</w:t>
            </w:r>
            <w:r w:rsidRPr="00F241F4">
              <w:rPr>
                <w:rFonts w:ascii="Arial" w:eastAsia="Times New Roman" w:hAnsi="Arial" w:cs="Arial"/>
                <w:b/>
                <w:bCs/>
                <w:color w:val="000000"/>
                <w:sz w:val="18"/>
                <w:szCs w:val="18"/>
                <w:lang w:val="en-US"/>
              </w:rPr>
              <w:t>₡</w:t>
            </w:r>
            <w:r w:rsidRPr="00F241F4">
              <w:rPr>
                <w:rFonts w:eastAsia="Times New Roman" w:cs="Calibri"/>
                <w:b/>
                <w:bCs/>
                <w:color w:val="000000"/>
                <w:sz w:val="18"/>
                <w:szCs w:val="18"/>
                <w:lang w:val="en-US"/>
              </w:rPr>
              <w:t>525 164,16</w:t>
            </w:r>
          </w:p>
        </w:tc>
        <w:tc>
          <w:tcPr>
            <w:tcW w:w="929" w:type="dxa"/>
            <w:tcBorders>
              <w:top w:val="single" w:sz="8" w:space="0" w:color="auto"/>
              <w:left w:val="nil"/>
              <w:bottom w:val="single" w:sz="8" w:space="0" w:color="auto"/>
              <w:right w:val="single" w:sz="8" w:space="0" w:color="auto"/>
            </w:tcBorders>
            <w:shd w:val="clear" w:color="000000" w:fill="FFFFFF"/>
            <w:vAlign w:val="center"/>
            <w:hideMark/>
          </w:tcPr>
          <w:p w14:paraId="65D1AA45" w14:textId="77777777" w:rsidR="00F241F4" w:rsidRPr="00F241F4" w:rsidRDefault="00F241F4" w:rsidP="00F241F4">
            <w:pPr>
              <w:spacing w:after="0" w:line="240" w:lineRule="auto"/>
              <w:jc w:val="right"/>
              <w:rPr>
                <w:rFonts w:eastAsia="Times New Roman" w:cs="Calibri"/>
                <w:b/>
                <w:bCs/>
                <w:color w:val="000000"/>
                <w:sz w:val="20"/>
                <w:szCs w:val="20"/>
                <w:lang w:val="en-US"/>
              </w:rPr>
            </w:pPr>
            <w:r w:rsidRPr="00F241F4">
              <w:rPr>
                <w:rFonts w:eastAsia="Times New Roman" w:cs="Calibri"/>
                <w:b/>
                <w:bCs/>
                <w:color w:val="000000"/>
                <w:sz w:val="20"/>
                <w:szCs w:val="20"/>
                <w:lang w:val="en-US"/>
              </w:rPr>
              <w:t>-29,90%</w:t>
            </w:r>
          </w:p>
        </w:tc>
      </w:tr>
      <w:tr w:rsidR="00F241F4" w:rsidRPr="00F241F4" w14:paraId="1B1F920D" w14:textId="77777777" w:rsidTr="00F241F4">
        <w:trPr>
          <w:trHeight w:val="290"/>
        </w:trPr>
        <w:tc>
          <w:tcPr>
            <w:tcW w:w="1325" w:type="dxa"/>
            <w:tcBorders>
              <w:top w:val="nil"/>
              <w:left w:val="single" w:sz="8" w:space="0" w:color="auto"/>
              <w:bottom w:val="nil"/>
              <w:right w:val="single" w:sz="8" w:space="0" w:color="auto"/>
            </w:tcBorders>
            <w:shd w:val="clear" w:color="auto" w:fill="auto"/>
            <w:noWrap/>
            <w:vAlign w:val="bottom"/>
            <w:hideMark/>
          </w:tcPr>
          <w:p w14:paraId="7A462D20" w14:textId="77777777" w:rsidR="00F241F4" w:rsidRPr="00F241F4" w:rsidRDefault="00F241F4" w:rsidP="00F241F4">
            <w:pPr>
              <w:spacing w:after="0" w:line="240" w:lineRule="auto"/>
              <w:jc w:val="left"/>
              <w:rPr>
                <w:rFonts w:eastAsia="Times New Roman" w:cs="Calibri"/>
                <w:color w:val="000000"/>
                <w:sz w:val="18"/>
                <w:szCs w:val="18"/>
                <w:lang w:val="en-US"/>
              </w:rPr>
            </w:pPr>
            <w:r w:rsidRPr="00F241F4">
              <w:rPr>
                <w:rFonts w:eastAsia="Times New Roman" w:cs="Calibri"/>
                <w:color w:val="000000"/>
                <w:sz w:val="18"/>
                <w:szCs w:val="18"/>
                <w:lang w:val="en-US"/>
              </w:rPr>
              <w:t>1.1.1.01.02.02.2.</w:t>
            </w:r>
          </w:p>
        </w:tc>
        <w:tc>
          <w:tcPr>
            <w:tcW w:w="3343" w:type="dxa"/>
            <w:tcBorders>
              <w:top w:val="nil"/>
              <w:left w:val="nil"/>
              <w:bottom w:val="nil"/>
              <w:right w:val="nil"/>
            </w:tcBorders>
            <w:shd w:val="clear" w:color="auto" w:fill="auto"/>
            <w:noWrap/>
            <w:vAlign w:val="bottom"/>
            <w:hideMark/>
          </w:tcPr>
          <w:p w14:paraId="713E1C0F" w14:textId="77777777" w:rsidR="00F241F4" w:rsidRPr="00F241F4" w:rsidRDefault="00F241F4" w:rsidP="00F241F4">
            <w:pPr>
              <w:spacing w:after="0" w:line="240" w:lineRule="auto"/>
              <w:jc w:val="left"/>
              <w:rPr>
                <w:rFonts w:eastAsia="Times New Roman" w:cs="Calibri"/>
                <w:color w:val="000000"/>
                <w:sz w:val="20"/>
                <w:szCs w:val="20"/>
              </w:rPr>
            </w:pPr>
            <w:r w:rsidRPr="00F241F4">
              <w:rPr>
                <w:rFonts w:eastAsia="Times New Roman" w:cs="Calibri"/>
                <w:color w:val="000000"/>
                <w:sz w:val="20"/>
                <w:szCs w:val="20"/>
              </w:rPr>
              <w:t>Cuentas corrientes en el sector público interno</w:t>
            </w:r>
          </w:p>
        </w:tc>
        <w:tc>
          <w:tcPr>
            <w:tcW w:w="1227" w:type="dxa"/>
            <w:tcBorders>
              <w:top w:val="nil"/>
              <w:left w:val="single" w:sz="8" w:space="0" w:color="auto"/>
              <w:bottom w:val="nil"/>
              <w:right w:val="single" w:sz="8" w:space="0" w:color="auto"/>
            </w:tcBorders>
            <w:shd w:val="clear" w:color="000000" w:fill="FFFFFF"/>
            <w:vAlign w:val="center"/>
            <w:hideMark/>
          </w:tcPr>
          <w:p w14:paraId="76C759F7" w14:textId="77777777" w:rsidR="00F241F4" w:rsidRPr="00F241F4" w:rsidRDefault="00F241F4" w:rsidP="00F241F4">
            <w:pPr>
              <w:spacing w:after="0" w:line="240" w:lineRule="auto"/>
              <w:jc w:val="right"/>
              <w:rPr>
                <w:rFonts w:eastAsia="Times New Roman" w:cs="Calibri"/>
                <w:color w:val="000000"/>
                <w:sz w:val="18"/>
                <w:szCs w:val="18"/>
                <w:lang w:val="en-US"/>
              </w:rPr>
            </w:pPr>
            <w:r w:rsidRPr="00F241F4">
              <w:rPr>
                <w:rFonts w:eastAsia="Times New Roman" w:cs="Calibri"/>
                <w:color w:val="000000"/>
                <w:sz w:val="18"/>
                <w:szCs w:val="18"/>
                <w:lang w:val="en-US"/>
              </w:rPr>
              <w:t xml:space="preserve">132 142,73 </w:t>
            </w:r>
          </w:p>
        </w:tc>
        <w:tc>
          <w:tcPr>
            <w:tcW w:w="1230" w:type="dxa"/>
            <w:tcBorders>
              <w:top w:val="nil"/>
              <w:left w:val="nil"/>
              <w:bottom w:val="nil"/>
              <w:right w:val="single" w:sz="8" w:space="0" w:color="auto"/>
            </w:tcBorders>
            <w:shd w:val="clear" w:color="000000" w:fill="FFFFFF"/>
            <w:vAlign w:val="center"/>
            <w:hideMark/>
          </w:tcPr>
          <w:p w14:paraId="58D355EF" w14:textId="77777777" w:rsidR="00F241F4" w:rsidRPr="00F241F4" w:rsidRDefault="00F241F4" w:rsidP="00F241F4">
            <w:pPr>
              <w:spacing w:after="0" w:line="240" w:lineRule="auto"/>
              <w:jc w:val="right"/>
              <w:rPr>
                <w:rFonts w:eastAsia="Times New Roman" w:cs="Calibri"/>
                <w:color w:val="000000"/>
                <w:sz w:val="18"/>
                <w:szCs w:val="18"/>
                <w:lang w:val="en-US"/>
              </w:rPr>
            </w:pPr>
            <w:r w:rsidRPr="00F241F4">
              <w:rPr>
                <w:rFonts w:eastAsia="Times New Roman" w:cs="Calibri"/>
                <w:color w:val="000000"/>
                <w:sz w:val="18"/>
                <w:szCs w:val="18"/>
                <w:lang w:val="en-US"/>
              </w:rPr>
              <w:t xml:space="preserve">236 395,75 </w:t>
            </w:r>
          </w:p>
        </w:tc>
        <w:tc>
          <w:tcPr>
            <w:tcW w:w="1150" w:type="dxa"/>
            <w:tcBorders>
              <w:top w:val="nil"/>
              <w:left w:val="nil"/>
              <w:bottom w:val="nil"/>
              <w:right w:val="single" w:sz="8" w:space="0" w:color="auto"/>
            </w:tcBorders>
            <w:shd w:val="clear" w:color="000000" w:fill="FFFFFF"/>
            <w:vAlign w:val="center"/>
            <w:hideMark/>
          </w:tcPr>
          <w:p w14:paraId="3E949FBF" w14:textId="77777777" w:rsidR="00F241F4" w:rsidRPr="00F241F4" w:rsidRDefault="00F241F4" w:rsidP="00F241F4">
            <w:pPr>
              <w:spacing w:after="0" w:line="240" w:lineRule="auto"/>
              <w:jc w:val="right"/>
              <w:rPr>
                <w:rFonts w:eastAsia="Times New Roman" w:cs="Calibri"/>
                <w:color w:val="000000"/>
                <w:sz w:val="18"/>
                <w:szCs w:val="18"/>
                <w:lang w:val="en-US"/>
              </w:rPr>
            </w:pPr>
            <w:r w:rsidRPr="00F241F4">
              <w:rPr>
                <w:rFonts w:eastAsia="Times New Roman" w:cs="Calibri"/>
                <w:color w:val="000000"/>
                <w:sz w:val="18"/>
                <w:szCs w:val="18"/>
                <w:lang w:val="en-US"/>
              </w:rPr>
              <w:t>-</w:t>
            </w:r>
            <w:r w:rsidRPr="00F241F4">
              <w:rPr>
                <w:rFonts w:ascii="Arial" w:eastAsia="Times New Roman" w:hAnsi="Arial" w:cs="Arial"/>
                <w:color w:val="000000"/>
                <w:sz w:val="18"/>
                <w:szCs w:val="18"/>
                <w:lang w:val="en-US"/>
              </w:rPr>
              <w:t>₡</w:t>
            </w:r>
            <w:r w:rsidRPr="00F241F4">
              <w:rPr>
                <w:rFonts w:eastAsia="Times New Roman" w:cs="Calibri"/>
                <w:color w:val="000000"/>
                <w:sz w:val="18"/>
                <w:szCs w:val="18"/>
                <w:lang w:val="en-US"/>
              </w:rPr>
              <w:t>104 253,02</w:t>
            </w:r>
          </w:p>
        </w:tc>
        <w:tc>
          <w:tcPr>
            <w:tcW w:w="929" w:type="dxa"/>
            <w:tcBorders>
              <w:top w:val="nil"/>
              <w:left w:val="nil"/>
              <w:bottom w:val="nil"/>
              <w:right w:val="single" w:sz="8" w:space="0" w:color="auto"/>
            </w:tcBorders>
            <w:shd w:val="clear" w:color="000000" w:fill="FFFFFF"/>
            <w:vAlign w:val="center"/>
            <w:hideMark/>
          </w:tcPr>
          <w:p w14:paraId="66C127C5"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-44,10%</w:t>
            </w:r>
          </w:p>
        </w:tc>
      </w:tr>
      <w:tr w:rsidR="00F241F4" w:rsidRPr="00F241F4" w14:paraId="137B862C" w14:textId="77777777" w:rsidTr="00F241F4">
        <w:trPr>
          <w:trHeight w:val="300"/>
        </w:trPr>
        <w:tc>
          <w:tcPr>
            <w:tcW w:w="1325" w:type="dxa"/>
            <w:tcBorders>
              <w:top w:val="nil"/>
              <w:left w:val="single" w:sz="8" w:space="0" w:color="auto"/>
              <w:bottom w:val="nil"/>
              <w:right w:val="single" w:sz="8" w:space="0" w:color="auto"/>
            </w:tcBorders>
            <w:shd w:val="clear" w:color="auto" w:fill="auto"/>
            <w:noWrap/>
            <w:vAlign w:val="bottom"/>
            <w:hideMark/>
          </w:tcPr>
          <w:p w14:paraId="2532BC44" w14:textId="77777777" w:rsidR="00F241F4" w:rsidRPr="00F241F4" w:rsidRDefault="00F241F4" w:rsidP="00F241F4">
            <w:pPr>
              <w:spacing w:after="0" w:line="240" w:lineRule="auto"/>
              <w:jc w:val="left"/>
              <w:rPr>
                <w:rFonts w:eastAsia="Times New Roman" w:cs="Calibri"/>
                <w:color w:val="000000"/>
                <w:sz w:val="18"/>
                <w:szCs w:val="18"/>
                <w:lang w:val="en-US"/>
              </w:rPr>
            </w:pPr>
            <w:r w:rsidRPr="00F241F4">
              <w:rPr>
                <w:rFonts w:eastAsia="Times New Roman" w:cs="Calibri"/>
                <w:color w:val="000000"/>
                <w:sz w:val="18"/>
                <w:szCs w:val="18"/>
                <w:lang w:val="en-US"/>
              </w:rPr>
              <w:t>1.1.1.01.02.02.3.</w:t>
            </w:r>
          </w:p>
        </w:tc>
        <w:tc>
          <w:tcPr>
            <w:tcW w:w="3343" w:type="dxa"/>
            <w:tcBorders>
              <w:top w:val="nil"/>
              <w:left w:val="nil"/>
              <w:bottom w:val="nil"/>
              <w:right w:val="nil"/>
            </w:tcBorders>
            <w:shd w:val="clear" w:color="auto" w:fill="auto"/>
            <w:noWrap/>
            <w:vAlign w:val="bottom"/>
            <w:hideMark/>
          </w:tcPr>
          <w:p w14:paraId="266D3161" w14:textId="77777777" w:rsidR="00F241F4" w:rsidRPr="00F241F4" w:rsidRDefault="00F241F4" w:rsidP="00F241F4">
            <w:pPr>
              <w:spacing w:after="0" w:line="240" w:lineRule="auto"/>
              <w:jc w:val="left"/>
              <w:rPr>
                <w:rFonts w:eastAsia="Times New Roman" w:cs="Calibri"/>
                <w:color w:val="000000"/>
                <w:sz w:val="20"/>
                <w:szCs w:val="20"/>
                <w:lang w:val="en-US"/>
              </w:rPr>
            </w:pPr>
            <w:r w:rsidRPr="00F241F4">
              <w:rPr>
                <w:rFonts w:eastAsia="Times New Roman" w:cs="Calibri"/>
                <w:color w:val="000000"/>
                <w:sz w:val="20"/>
                <w:szCs w:val="20"/>
                <w:lang w:val="en-US"/>
              </w:rPr>
              <w:t>Caja Única</w:t>
            </w:r>
          </w:p>
        </w:tc>
        <w:tc>
          <w:tcPr>
            <w:tcW w:w="1227" w:type="dxa"/>
            <w:tcBorders>
              <w:top w:val="nil"/>
              <w:left w:val="single" w:sz="8" w:space="0" w:color="auto"/>
              <w:bottom w:val="nil"/>
              <w:right w:val="single" w:sz="8" w:space="0" w:color="auto"/>
            </w:tcBorders>
            <w:shd w:val="clear" w:color="000000" w:fill="FFFFFF"/>
            <w:vAlign w:val="center"/>
            <w:hideMark/>
          </w:tcPr>
          <w:p w14:paraId="460C2450" w14:textId="77777777" w:rsidR="00F241F4" w:rsidRPr="00F241F4" w:rsidRDefault="00F241F4" w:rsidP="00F241F4">
            <w:pPr>
              <w:spacing w:after="0" w:line="240" w:lineRule="auto"/>
              <w:jc w:val="right"/>
              <w:rPr>
                <w:rFonts w:eastAsia="Times New Roman" w:cs="Calibri"/>
                <w:color w:val="000000"/>
                <w:sz w:val="18"/>
                <w:szCs w:val="18"/>
                <w:lang w:val="en-US"/>
              </w:rPr>
            </w:pPr>
            <w:r w:rsidRPr="00F241F4">
              <w:rPr>
                <w:rFonts w:eastAsia="Times New Roman" w:cs="Calibri"/>
                <w:color w:val="000000"/>
                <w:sz w:val="18"/>
                <w:szCs w:val="18"/>
                <w:lang w:val="en-US"/>
              </w:rPr>
              <w:t>1 099 048,38</w:t>
            </w:r>
          </w:p>
        </w:tc>
        <w:tc>
          <w:tcPr>
            <w:tcW w:w="1230" w:type="dxa"/>
            <w:tcBorders>
              <w:top w:val="nil"/>
              <w:left w:val="nil"/>
              <w:bottom w:val="nil"/>
              <w:right w:val="single" w:sz="8" w:space="0" w:color="auto"/>
            </w:tcBorders>
            <w:shd w:val="clear" w:color="000000" w:fill="FFFFFF"/>
            <w:vAlign w:val="center"/>
            <w:hideMark/>
          </w:tcPr>
          <w:p w14:paraId="5AD9F53E" w14:textId="77777777" w:rsidR="00F241F4" w:rsidRPr="00F241F4" w:rsidRDefault="00F241F4" w:rsidP="00F241F4">
            <w:pPr>
              <w:spacing w:after="0" w:line="240" w:lineRule="auto"/>
              <w:jc w:val="right"/>
              <w:rPr>
                <w:rFonts w:eastAsia="Times New Roman" w:cs="Calibri"/>
                <w:color w:val="000000"/>
                <w:sz w:val="18"/>
                <w:szCs w:val="18"/>
                <w:lang w:val="en-US"/>
              </w:rPr>
            </w:pPr>
            <w:r w:rsidRPr="00F241F4">
              <w:rPr>
                <w:rFonts w:eastAsia="Times New Roman" w:cs="Calibri"/>
                <w:color w:val="000000"/>
                <w:sz w:val="18"/>
                <w:szCs w:val="18"/>
                <w:lang w:val="en-US"/>
              </w:rPr>
              <w:t>1 519 959,53</w:t>
            </w:r>
          </w:p>
        </w:tc>
        <w:tc>
          <w:tcPr>
            <w:tcW w:w="1150" w:type="dxa"/>
            <w:tcBorders>
              <w:top w:val="nil"/>
              <w:left w:val="nil"/>
              <w:bottom w:val="nil"/>
              <w:right w:val="single" w:sz="8" w:space="0" w:color="auto"/>
            </w:tcBorders>
            <w:shd w:val="clear" w:color="000000" w:fill="FFFFFF"/>
            <w:vAlign w:val="center"/>
            <w:hideMark/>
          </w:tcPr>
          <w:p w14:paraId="76A21FBD" w14:textId="77777777" w:rsidR="00F241F4" w:rsidRPr="00F241F4" w:rsidRDefault="00F241F4" w:rsidP="00F241F4">
            <w:pPr>
              <w:spacing w:after="0" w:line="240" w:lineRule="auto"/>
              <w:jc w:val="right"/>
              <w:rPr>
                <w:rFonts w:eastAsia="Times New Roman" w:cs="Calibri"/>
                <w:color w:val="000000"/>
                <w:sz w:val="18"/>
                <w:szCs w:val="18"/>
                <w:lang w:val="en-US"/>
              </w:rPr>
            </w:pPr>
            <w:r w:rsidRPr="00F241F4">
              <w:rPr>
                <w:rFonts w:eastAsia="Times New Roman" w:cs="Calibri"/>
                <w:color w:val="000000"/>
                <w:sz w:val="18"/>
                <w:szCs w:val="18"/>
                <w:lang w:val="en-US"/>
              </w:rPr>
              <w:t>-420 911,15</w:t>
            </w:r>
          </w:p>
        </w:tc>
        <w:tc>
          <w:tcPr>
            <w:tcW w:w="929" w:type="dxa"/>
            <w:tcBorders>
              <w:top w:val="nil"/>
              <w:left w:val="nil"/>
              <w:bottom w:val="nil"/>
              <w:right w:val="single" w:sz="8" w:space="0" w:color="auto"/>
            </w:tcBorders>
            <w:shd w:val="clear" w:color="000000" w:fill="FFFFFF"/>
            <w:vAlign w:val="center"/>
            <w:hideMark/>
          </w:tcPr>
          <w:p w14:paraId="44A89C28"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-27,69%</w:t>
            </w:r>
          </w:p>
        </w:tc>
      </w:tr>
      <w:tr w:rsidR="00F241F4" w:rsidRPr="00F241F4" w14:paraId="00E9502C" w14:textId="77777777" w:rsidTr="00F241F4">
        <w:trPr>
          <w:trHeight w:val="300"/>
        </w:trPr>
        <w:tc>
          <w:tcPr>
            <w:tcW w:w="13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4D6FF15" w14:textId="77777777" w:rsidR="00F241F4" w:rsidRPr="00F241F4" w:rsidRDefault="00F241F4" w:rsidP="00F241F4">
            <w:pPr>
              <w:spacing w:after="0" w:line="240" w:lineRule="auto"/>
              <w:jc w:val="left"/>
              <w:rPr>
                <w:rFonts w:eastAsia="Times New Roman" w:cs="Calibri"/>
                <w:b/>
                <w:bCs/>
                <w:color w:val="000000"/>
                <w:sz w:val="18"/>
                <w:szCs w:val="18"/>
                <w:lang w:val="en-US"/>
              </w:rPr>
            </w:pPr>
            <w:r w:rsidRPr="00F241F4">
              <w:rPr>
                <w:rFonts w:eastAsia="Times New Roman" w:cs="Calibri"/>
                <w:b/>
                <w:bCs/>
                <w:color w:val="000000"/>
                <w:sz w:val="18"/>
                <w:szCs w:val="18"/>
                <w:lang w:val="en-US"/>
              </w:rPr>
              <w:t>1.1.1.01.03.</w:t>
            </w:r>
          </w:p>
        </w:tc>
        <w:tc>
          <w:tcPr>
            <w:tcW w:w="3343" w:type="dxa"/>
            <w:tcBorders>
              <w:top w:val="single" w:sz="8" w:space="0" w:color="auto"/>
              <w:left w:val="nil"/>
              <w:bottom w:val="single" w:sz="8" w:space="0" w:color="auto"/>
              <w:right w:val="nil"/>
            </w:tcBorders>
            <w:shd w:val="clear" w:color="auto" w:fill="auto"/>
            <w:noWrap/>
            <w:vAlign w:val="bottom"/>
            <w:hideMark/>
          </w:tcPr>
          <w:p w14:paraId="47048BD7" w14:textId="77777777" w:rsidR="00F241F4" w:rsidRPr="00F241F4" w:rsidRDefault="00F241F4" w:rsidP="00F241F4">
            <w:pPr>
              <w:spacing w:after="0" w:line="240" w:lineRule="auto"/>
              <w:jc w:val="left"/>
              <w:rPr>
                <w:rFonts w:eastAsia="Times New Roman" w:cs="Calibri"/>
                <w:b/>
                <w:bCs/>
                <w:color w:val="000000"/>
                <w:sz w:val="20"/>
                <w:szCs w:val="20"/>
                <w:lang w:val="en-US"/>
              </w:rPr>
            </w:pPr>
            <w:r w:rsidRPr="00F241F4">
              <w:rPr>
                <w:rFonts w:eastAsia="Times New Roman" w:cs="Calibri"/>
                <w:b/>
                <w:bCs/>
                <w:color w:val="000000"/>
                <w:sz w:val="20"/>
                <w:szCs w:val="20"/>
                <w:lang w:val="en-US"/>
              </w:rPr>
              <w:t>Cajas chicas  fondos rotatorios</w:t>
            </w:r>
          </w:p>
        </w:tc>
        <w:tc>
          <w:tcPr>
            <w:tcW w:w="1227"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4758E53" w14:textId="77777777" w:rsidR="00F241F4" w:rsidRPr="00F241F4" w:rsidRDefault="00F241F4" w:rsidP="00F241F4">
            <w:pPr>
              <w:spacing w:after="0" w:line="240" w:lineRule="auto"/>
              <w:jc w:val="right"/>
              <w:rPr>
                <w:rFonts w:eastAsia="Times New Roman" w:cs="Calibri"/>
                <w:b/>
                <w:bCs/>
                <w:color w:val="000000"/>
                <w:sz w:val="18"/>
                <w:szCs w:val="18"/>
                <w:lang w:val="en-US"/>
              </w:rPr>
            </w:pPr>
            <w:r w:rsidRPr="00F241F4">
              <w:rPr>
                <w:rFonts w:eastAsia="Times New Roman" w:cs="Calibri"/>
                <w:b/>
                <w:bCs/>
                <w:color w:val="000000"/>
                <w:sz w:val="18"/>
                <w:szCs w:val="18"/>
                <w:lang w:val="en-US"/>
              </w:rPr>
              <w:t>3 250,00</w:t>
            </w:r>
          </w:p>
        </w:tc>
        <w:tc>
          <w:tcPr>
            <w:tcW w:w="1230" w:type="dxa"/>
            <w:tcBorders>
              <w:top w:val="single" w:sz="8" w:space="0" w:color="auto"/>
              <w:left w:val="nil"/>
              <w:bottom w:val="single" w:sz="8" w:space="0" w:color="auto"/>
              <w:right w:val="single" w:sz="8" w:space="0" w:color="auto"/>
            </w:tcBorders>
            <w:shd w:val="clear" w:color="000000" w:fill="FFFFFF"/>
            <w:vAlign w:val="center"/>
            <w:hideMark/>
          </w:tcPr>
          <w:p w14:paraId="7CE1CA1C" w14:textId="77777777" w:rsidR="00F241F4" w:rsidRPr="00F241F4" w:rsidRDefault="00F241F4" w:rsidP="00F241F4">
            <w:pPr>
              <w:spacing w:after="0" w:line="240" w:lineRule="auto"/>
              <w:jc w:val="right"/>
              <w:rPr>
                <w:rFonts w:eastAsia="Times New Roman" w:cs="Calibri"/>
                <w:b/>
                <w:bCs/>
                <w:color w:val="000000"/>
                <w:sz w:val="18"/>
                <w:szCs w:val="18"/>
                <w:lang w:val="en-US"/>
              </w:rPr>
            </w:pPr>
            <w:r w:rsidRPr="00F241F4">
              <w:rPr>
                <w:rFonts w:eastAsia="Times New Roman" w:cs="Calibri"/>
                <w:b/>
                <w:bCs/>
                <w:color w:val="000000"/>
                <w:sz w:val="18"/>
                <w:szCs w:val="18"/>
                <w:lang w:val="en-US"/>
              </w:rPr>
              <w:t>3 250,00</w:t>
            </w:r>
          </w:p>
        </w:tc>
        <w:tc>
          <w:tcPr>
            <w:tcW w:w="1150" w:type="dxa"/>
            <w:tcBorders>
              <w:top w:val="single" w:sz="8" w:space="0" w:color="auto"/>
              <w:left w:val="nil"/>
              <w:bottom w:val="single" w:sz="8" w:space="0" w:color="auto"/>
              <w:right w:val="single" w:sz="8" w:space="0" w:color="auto"/>
            </w:tcBorders>
            <w:shd w:val="clear" w:color="000000" w:fill="FFFFFF"/>
            <w:vAlign w:val="center"/>
            <w:hideMark/>
          </w:tcPr>
          <w:p w14:paraId="7D138AB4" w14:textId="77777777" w:rsidR="00F241F4" w:rsidRPr="00F241F4" w:rsidRDefault="00F241F4" w:rsidP="00F241F4">
            <w:pPr>
              <w:spacing w:after="0" w:line="240" w:lineRule="auto"/>
              <w:jc w:val="right"/>
              <w:rPr>
                <w:rFonts w:eastAsia="Times New Roman" w:cs="Calibri"/>
                <w:b/>
                <w:bCs/>
                <w:color w:val="000000"/>
                <w:sz w:val="18"/>
                <w:szCs w:val="18"/>
                <w:lang w:val="en-US"/>
              </w:rPr>
            </w:pPr>
            <w:r w:rsidRPr="00F241F4">
              <w:rPr>
                <w:rFonts w:eastAsia="Times New Roman" w:cs="Calibri"/>
                <w:b/>
                <w:bCs/>
                <w:color w:val="000000"/>
                <w:sz w:val="18"/>
                <w:szCs w:val="18"/>
                <w:lang w:val="en-US"/>
              </w:rPr>
              <w:t>0,00</w:t>
            </w:r>
          </w:p>
        </w:tc>
        <w:tc>
          <w:tcPr>
            <w:tcW w:w="929" w:type="dxa"/>
            <w:tcBorders>
              <w:top w:val="single" w:sz="8" w:space="0" w:color="auto"/>
              <w:left w:val="nil"/>
              <w:bottom w:val="single" w:sz="8" w:space="0" w:color="auto"/>
              <w:right w:val="single" w:sz="8" w:space="0" w:color="auto"/>
            </w:tcBorders>
            <w:shd w:val="clear" w:color="000000" w:fill="FFFFFF"/>
            <w:vAlign w:val="center"/>
            <w:hideMark/>
          </w:tcPr>
          <w:p w14:paraId="71BD2961" w14:textId="77777777" w:rsidR="00F241F4" w:rsidRPr="00F241F4" w:rsidRDefault="00F241F4" w:rsidP="00F241F4">
            <w:pPr>
              <w:spacing w:after="0" w:line="240" w:lineRule="auto"/>
              <w:jc w:val="right"/>
              <w:rPr>
                <w:rFonts w:eastAsia="Times New Roman" w:cs="Calibri"/>
                <w:b/>
                <w:bCs/>
                <w:color w:val="000000"/>
                <w:sz w:val="20"/>
                <w:szCs w:val="20"/>
                <w:lang w:val="en-US"/>
              </w:rPr>
            </w:pPr>
            <w:r w:rsidRPr="00F241F4">
              <w:rPr>
                <w:rFonts w:eastAsia="Times New Roman" w:cs="Calibri"/>
                <w:b/>
                <w:bCs/>
                <w:color w:val="000000"/>
                <w:sz w:val="20"/>
                <w:szCs w:val="20"/>
                <w:lang w:val="en-US"/>
              </w:rPr>
              <w:t>0,00%</w:t>
            </w:r>
          </w:p>
        </w:tc>
      </w:tr>
      <w:tr w:rsidR="00F241F4" w:rsidRPr="00F241F4" w14:paraId="0C669258" w14:textId="77777777" w:rsidTr="00F241F4">
        <w:trPr>
          <w:trHeight w:val="290"/>
        </w:trPr>
        <w:tc>
          <w:tcPr>
            <w:tcW w:w="1325" w:type="dxa"/>
            <w:tcBorders>
              <w:top w:val="nil"/>
              <w:left w:val="single" w:sz="8" w:space="0" w:color="auto"/>
              <w:bottom w:val="nil"/>
              <w:right w:val="single" w:sz="8" w:space="0" w:color="auto"/>
            </w:tcBorders>
            <w:shd w:val="clear" w:color="auto" w:fill="auto"/>
            <w:noWrap/>
            <w:vAlign w:val="bottom"/>
            <w:hideMark/>
          </w:tcPr>
          <w:p w14:paraId="11B56B0C" w14:textId="77777777" w:rsidR="00F241F4" w:rsidRPr="00F241F4" w:rsidRDefault="00F241F4" w:rsidP="00F241F4">
            <w:pPr>
              <w:spacing w:after="0" w:line="240" w:lineRule="auto"/>
              <w:jc w:val="left"/>
              <w:rPr>
                <w:rFonts w:eastAsia="Times New Roman" w:cs="Calibri"/>
                <w:color w:val="000000"/>
                <w:sz w:val="18"/>
                <w:szCs w:val="18"/>
                <w:lang w:val="en-US"/>
              </w:rPr>
            </w:pPr>
            <w:r w:rsidRPr="00F241F4">
              <w:rPr>
                <w:rFonts w:eastAsia="Times New Roman" w:cs="Calibri"/>
                <w:color w:val="000000"/>
                <w:sz w:val="18"/>
                <w:szCs w:val="18"/>
                <w:lang w:val="en-US"/>
              </w:rPr>
              <w:t>1.1.1.01.03.01.</w:t>
            </w:r>
          </w:p>
        </w:tc>
        <w:tc>
          <w:tcPr>
            <w:tcW w:w="3343" w:type="dxa"/>
            <w:tcBorders>
              <w:top w:val="nil"/>
              <w:left w:val="nil"/>
              <w:bottom w:val="nil"/>
              <w:right w:val="nil"/>
            </w:tcBorders>
            <w:shd w:val="clear" w:color="auto" w:fill="auto"/>
            <w:noWrap/>
            <w:vAlign w:val="bottom"/>
            <w:hideMark/>
          </w:tcPr>
          <w:p w14:paraId="77D874A3" w14:textId="77777777" w:rsidR="00F241F4" w:rsidRPr="00F241F4" w:rsidRDefault="00F241F4" w:rsidP="00F241F4">
            <w:pPr>
              <w:spacing w:after="0" w:line="240" w:lineRule="auto"/>
              <w:jc w:val="left"/>
              <w:rPr>
                <w:rFonts w:eastAsia="Times New Roman" w:cs="Calibri"/>
                <w:color w:val="000000"/>
                <w:sz w:val="20"/>
                <w:szCs w:val="20"/>
                <w:lang w:val="en-US"/>
              </w:rPr>
            </w:pPr>
            <w:r w:rsidRPr="00F241F4">
              <w:rPr>
                <w:rFonts w:eastAsia="Times New Roman" w:cs="Calibri"/>
                <w:color w:val="000000"/>
                <w:sz w:val="20"/>
                <w:szCs w:val="20"/>
                <w:lang w:val="en-US"/>
              </w:rPr>
              <w:t>Cajas chicas</w:t>
            </w:r>
          </w:p>
        </w:tc>
        <w:tc>
          <w:tcPr>
            <w:tcW w:w="1227" w:type="dxa"/>
            <w:tcBorders>
              <w:top w:val="nil"/>
              <w:left w:val="single" w:sz="8" w:space="0" w:color="auto"/>
              <w:bottom w:val="nil"/>
              <w:right w:val="single" w:sz="8" w:space="0" w:color="auto"/>
            </w:tcBorders>
            <w:shd w:val="clear" w:color="000000" w:fill="FFFFFF"/>
            <w:vAlign w:val="center"/>
            <w:hideMark/>
          </w:tcPr>
          <w:p w14:paraId="45FF8F48" w14:textId="77777777" w:rsidR="00F241F4" w:rsidRPr="00F241F4" w:rsidRDefault="00F241F4" w:rsidP="00F241F4">
            <w:pPr>
              <w:spacing w:after="0" w:line="240" w:lineRule="auto"/>
              <w:jc w:val="right"/>
              <w:rPr>
                <w:rFonts w:eastAsia="Times New Roman" w:cs="Calibri"/>
                <w:color w:val="000000"/>
                <w:sz w:val="18"/>
                <w:szCs w:val="18"/>
                <w:lang w:val="en-US"/>
              </w:rPr>
            </w:pPr>
            <w:r w:rsidRPr="00F241F4">
              <w:rPr>
                <w:rFonts w:eastAsia="Times New Roman" w:cs="Calibri"/>
                <w:color w:val="000000"/>
                <w:sz w:val="18"/>
                <w:szCs w:val="18"/>
                <w:lang w:val="en-US"/>
              </w:rPr>
              <w:t>2 250,00</w:t>
            </w:r>
          </w:p>
        </w:tc>
        <w:tc>
          <w:tcPr>
            <w:tcW w:w="1230" w:type="dxa"/>
            <w:tcBorders>
              <w:top w:val="nil"/>
              <w:left w:val="nil"/>
              <w:bottom w:val="nil"/>
              <w:right w:val="single" w:sz="8" w:space="0" w:color="auto"/>
            </w:tcBorders>
            <w:shd w:val="clear" w:color="000000" w:fill="FFFFFF"/>
            <w:vAlign w:val="center"/>
            <w:hideMark/>
          </w:tcPr>
          <w:p w14:paraId="78289B57" w14:textId="77777777" w:rsidR="00F241F4" w:rsidRPr="00F241F4" w:rsidRDefault="00F241F4" w:rsidP="00F241F4">
            <w:pPr>
              <w:spacing w:after="0" w:line="240" w:lineRule="auto"/>
              <w:jc w:val="right"/>
              <w:rPr>
                <w:rFonts w:eastAsia="Times New Roman" w:cs="Calibri"/>
                <w:color w:val="000000"/>
                <w:sz w:val="18"/>
                <w:szCs w:val="18"/>
                <w:lang w:val="en-US"/>
              </w:rPr>
            </w:pPr>
            <w:r w:rsidRPr="00F241F4">
              <w:rPr>
                <w:rFonts w:eastAsia="Times New Roman" w:cs="Calibri"/>
                <w:color w:val="000000"/>
                <w:sz w:val="18"/>
                <w:szCs w:val="18"/>
                <w:lang w:val="en-US"/>
              </w:rPr>
              <w:t>2 250,00</w:t>
            </w:r>
          </w:p>
        </w:tc>
        <w:tc>
          <w:tcPr>
            <w:tcW w:w="1150" w:type="dxa"/>
            <w:tcBorders>
              <w:top w:val="nil"/>
              <w:left w:val="nil"/>
              <w:bottom w:val="nil"/>
              <w:right w:val="single" w:sz="8" w:space="0" w:color="auto"/>
            </w:tcBorders>
            <w:shd w:val="clear" w:color="000000" w:fill="FFFFFF"/>
            <w:vAlign w:val="center"/>
            <w:hideMark/>
          </w:tcPr>
          <w:p w14:paraId="48DC3ECF" w14:textId="77777777" w:rsidR="00F241F4" w:rsidRPr="00F241F4" w:rsidRDefault="00F241F4" w:rsidP="00F241F4">
            <w:pPr>
              <w:spacing w:after="0" w:line="240" w:lineRule="auto"/>
              <w:jc w:val="right"/>
              <w:rPr>
                <w:rFonts w:eastAsia="Times New Roman" w:cs="Calibri"/>
                <w:color w:val="000000"/>
                <w:sz w:val="18"/>
                <w:szCs w:val="18"/>
                <w:lang w:val="en-US"/>
              </w:rPr>
            </w:pPr>
            <w:r w:rsidRPr="00F241F4">
              <w:rPr>
                <w:rFonts w:eastAsia="Times New Roman" w:cs="Calibri"/>
                <w:color w:val="000000"/>
                <w:sz w:val="18"/>
                <w:szCs w:val="18"/>
                <w:lang w:val="en-US"/>
              </w:rPr>
              <w:t>0,00</w:t>
            </w:r>
          </w:p>
        </w:tc>
        <w:tc>
          <w:tcPr>
            <w:tcW w:w="929" w:type="dxa"/>
            <w:tcBorders>
              <w:top w:val="nil"/>
              <w:left w:val="nil"/>
              <w:bottom w:val="nil"/>
              <w:right w:val="single" w:sz="8" w:space="0" w:color="auto"/>
            </w:tcBorders>
            <w:shd w:val="clear" w:color="000000" w:fill="FFFFFF"/>
            <w:vAlign w:val="center"/>
            <w:hideMark/>
          </w:tcPr>
          <w:p w14:paraId="44625BBF"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0,00%</w:t>
            </w:r>
          </w:p>
        </w:tc>
      </w:tr>
      <w:tr w:rsidR="00F241F4" w:rsidRPr="00F241F4" w14:paraId="5B344490" w14:textId="77777777" w:rsidTr="00F241F4">
        <w:trPr>
          <w:trHeight w:val="300"/>
        </w:trPr>
        <w:tc>
          <w:tcPr>
            <w:tcW w:w="1325" w:type="dxa"/>
            <w:tcBorders>
              <w:top w:val="nil"/>
              <w:left w:val="single" w:sz="8" w:space="0" w:color="auto"/>
              <w:bottom w:val="nil"/>
              <w:right w:val="single" w:sz="8" w:space="0" w:color="auto"/>
            </w:tcBorders>
            <w:shd w:val="clear" w:color="auto" w:fill="auto"/>
            <w:noWrap/>
            <w:vAlign w:val="bottom"/>
            <w:hideMark/>
          </w:tcPr>
          <w:p w14:paraId="5608F948" w14:textId="77777777" w:rsidR="00F241F4" w:rsidRPr="00F241F4" w:rsidRDefault="00F241F4" w:rsidP="00F241F4">
            <w:pPr>
              <w:spacing w:after="0" w:line="240" w:lineRule="auto"/>
              <w:jc w:val="left"/>
              <w:rPr>
                <w:rFonts w:eastAsia="Times New Roman" w:cs="Calibri"/>
                <w:color w:val="000000"/>
                <w:sz w:val="18"/>
                <w:szCs w:val="18"/>
                <w:lang w:val="en-US"/>
              </w:rPr>
            </w:pPr>
            <w:r w:rsidRPr="00F241F4">
              <w:rPr>
                <w:rFonts w:eastAsia="Times New Roman" w:cs="Calibri"/>
                <w:color w:val="000000"/>
                <w:sz w:val="18"/>
                <w:szCs w:val="18"/>
                <w:lang w:val="en-US"/>
              </w:rPr>
              <w:t>1.1.1.01.03.02.</w:t>
            </w:r>
          </w:p>
        </w:tc>
        <w:tc>
          <w:tcPr>
            <w:tcW w:w="3343" w:type="dxa"/>
            <w:tcBorders>
              <w:top w:val="nil"/>
              <w:left w:val="nil"/>
              <w:bottom w:val="nil"/>
              <w:right w:val="nil"/>
            </w:tcBorders>
            <w:shd w:val="clear" w:color="auto" w:fill="auto"/>
            <w:noWrap/>
            <w:vAlign w:val="bottom"/>
            <w:hideMark/>
          </w:tcPr>
          <w:p w14:paraId="31502BA7" w14:textId="77777777" w:rsidR="00F241F4" w:rsidRPr="00F241F4" w:rsidRDefault="00F241F4" w:rsidP="00F241F4">
            <w:pPr>
              <w:spacing w:after="0" w:line="240" w:lineRule="auto"/>
              <w:jc w:val="left"/>
              <w:rPr>
                <w:rFonts w:eastAsia="Times New Roman" w:cs="Calibri"/>
                <w:color w:val="000000"/>
                <w:sz w:val="20"/>
                <w:szCs w:val="20"/>
                <w:lang w:val="en-US"/>
              </w:rPr>
            </w:pPr>
            <w:r w:rsidRPr="00F241F4">
              <w:rPr>
                <w:rFonts w:eastAsia="Times New Roman" w:cs="Calibri"/>
                <w:color w:val="000000"/>
                <w:sz w:val="20"/>
                <w:szCs w:val="20"/>
                <w:lang w:val="en-US"/>
              </w:rPr>
              <w:t>Fondos rotatorios</w:t>
            </w:r>
          </w:p>
        </w:tc>
        <w:tc>
          <w:tcPr>
            <w:tcW w:w="1227" w:type="dxa"/>
            <w:tcBorders>
              <w:top w:val="nil"/>
              <w:left w:val="single" w:sz="8" w:space="0" w:color="auto"/>
              <w:bottom w:val="nil"/>
              <w:right w:val="single" w:sz="8" w:space="0" w:color="auto"/>
            </w:tcBorders>
            <w:shd w:val="clear" w:color="000000" w:fill="FFFFFF"/>
            <w:vAlign w:val="center"/>
            <w:hideMark/>
          </w:tcPr>
          <w:p w14:paraId="6BA7801B" w14:textId="77777777" w:rsidR="00F241F4" w:rsidRPr="00F241F4" w:rsidRDefault="00F241F4" w:rsidP="00F241F4">
            <w:pPr>
              <w:spacing w:after="0" w:line="240" w:lineRule="auto"/>
              <w:jc w:val="right"/>
              <w:rPr>
                <w:rFonts w:eastAsia="Times New Roman" w:cs="Calibri"/>
                <w:color w:val="000000"/>
                <w:sz w:val="18"/>
                <w:szCs w:val="18"/>
                <w:lang w:val="en-US"/>
              </w:rPr>
            </w:pPr>
            <w:r w:rsidRPr="00F241F4">
              <w:rPr>
                <w:rFonts w:eastAsia="Times New Roman" w:cs="Calibri"/>
                <w:color w:val="000000"/>
                <w:sz w:val="18"/>
                <w:szCs w:val="18"/>
                <w:lang w:val="en-US"/>
              </w:rPr>
              <w:t>1 000,00</w:t>
            </w:r>
          </w:p>
        </w:tc>
        <w:tc>
          <w:tcPr>
            <w:tcW w:w="1230" w:type="dxa"/>
            <w:tcBorders>
              <w:top w:val="nil"/>
              <w:left w:val="nil"/>
              <w:bottom w:val="nil"/>
              <w:right w:val="single" w:sz="8" w:space="0" w:color="auto"/>
            </w:tcBorders>
            <w:shd w:val="clear" w:color="000000" w:fill="FFFFFF"/>
            <w:vAlign w:val="center"/>
            <w:hideMark/>
          </w:tcPr>
          <w:p w14:paraId="13EA6EDE" w14:textId="77777777" w:rsidR="00F241F4" w:rsidRPr="00F241F4" w:rsidRDefault="00F241F4" w:rsidP="00F241F4">
            <w:pPr>
              <w:spacing w:after="0" w:line="240" w:lineRule="auto"/>
              <w:jc w:val="right"/>
              <w:rPr>
                <w:rFonts w:eastAsia="Times New Roman" w:cs="Calibri"/>
                <w:color w:val="000000"/>
                <w:sz w:val="18"/>
                <w:szCs w:val="18"/>
                <w:lang w:val="en-US"/>
              </w:rPr>
            </w:pPr>
            <w:r w:rsidRPr="00F241F4">
              <w:rPr>
                <w:rFonts w:eastAsia="Times New Roman" w:cs="Calibri"/>
                <w:color w:val="000000"/>
                <w:sz w:val="18"/>
                <w:szCs w:val="18"/>
                <w:lang w:val="en-US"/>
              </w:rPr>
              <w:t>1 000,00</w:t>
            </w:r>
          </w:p>
        </w:tc>
        <w:tc>
          <w:tcPr>
            <w:tcW w:w="1150" w:type="dxa"/>
            <w:tcBorders>
              <w:top w:val="nil"/>
              <w:left w:val="nil"/>
              <w:bottom w:val="nil"/>
              <w:right w:val="single" w:sz="8" w:space="0" w:color="auto"/>
            </w:tcBorders>
            <w:shd w:val="clear" w:color="000000" w:fill="FFFFFF"/>
            <w:vAlign w:val="center"/>
            <w:hideMark/>
          </w:tcPr>
          <w:p w14:paraId="23ABF339" w14:textId="77777777" w:rsidR="00F241F4" w:rsidRPr="00F241F4" w:rsidRDefault="00F241F4" w:rsidP="00F241F4">
            <w:pPr>
              <w:spacing w:after="0" w:line="240" w:lineRule="auto"/>
              <w:jc w:val="right"/>
              <w:rPr>
                <w:rFonts w:eastAsia="Times New Roman" w:cs="Calibri"/>
                <w:color w:val="000000"/>
                <w:sz w:val="18"/>
                <w:szCs w:val="18"/>
                <w:lang w:val="en-US"/>
              </w:rPr>
            </w:pPr>
            <w:r w:rsidRPr="00F241F4">
              <w:rPr>
                <w:rFonts w:eastAsia="Times New Roman" w:cs="Calibri"/>
                <w:color w:val="000000"/>
                <w:sz w:val="18"/>
                <w:szCs w:val="18"/>
                <w:lang w:val="en-US"/>
              </w:rPr>
              <w:t>0,00</w:t>
            </w:r>
          </w:p>
        </w:tc>
        <w:tc>
          <w:tcPr>
            <w:tcW w:w="929" w:type="dxa"/>
            <w:tcBorders>
              <w:top w:val="nil"/>
              <w:left w:val="nil"/>
              <w:bottom w:val="nil"/>
              <w:right w:val="single" w:sz="8" w:space="0" w:color="auto"/>
            </w:tcBorders>
            <w:shd w:val="clear" w:color="000000" w:fill="FFFFFF"/>
            <w:vAlign w:val="center"/>
            <w:hideMark/>
          </w:tcPr>
          <w:p w14:paraId="169E8A81"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0,00%</w:t>
            </w:r>
          </w:p>
        </w:tc>
      </w:tr>
      <w:tr w:rsidR="00F241F4" w:rsidRPr="00F241F4" w14:paraId="6D48BE6E" w14:textId="77777777" w:rsidTr="00F241F4">
        <w:trPr>
          <w:trHeight w:val="300"/>
        </w:trPr>
        <w:tc>
          <w:tcPr>
            <w:tcW w:w="13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F373002" w14:textId="77777777" w:rsidR="00F241F4" w:rsidRPr="00F241F4" w:rsidRDefault="00F241F4" w:rsidP="00F241F4">
            <w:pPr>
              <w:spacing w:after="0" w:line="240" w:lineRule="auto"/>
              <w:jc w:val="left"/>
              <w:rPr>
                <w:rFonts w:eastAsia="Times New Roman" w:cs="Calibri"/>
                <w:b/>
                <w:bCs/>
                <w:color w:val="000000"/>
                <w:sz w:val="18"/>
                <w:szCs w:val="18"/>
                <w:lang w:val="en-US"/>
              </w:rPr>
            </w:pPr>
            <w:r w:rsidRPr="00F241F4">
              <w:rPr>
                <w:rFonts w:eastAsia="Times New Roman" w:cs="Calibri"/>
                <w:b/>
                <w:bCs/>
                <w:color w:val="000000"/>
                <w:sz w:val="18"/>
                <w:szCs w:val="18"/>
                <w:lang w:val="en-US"/>
              </w:rPr>
              <w:t>1.1.1.02.</w:t>
            </w:r>
          </w:p>
        </w:tc>
        <w:tc>
          <w:tcPr>
            <w:tcW w:w="3343" w:type="dxa"/>
            <w:tcBorders>
              <w:top w:val="single" w:sz="8" w:space="0" w:color="auto"/>
              <w:left w:val="nil"/>
              <w:bottom w:val="single" w:sz="8" w:space="0" w:color="auto"/>
              <w:right w:val="nil"/>
            </w:tcBorders>
            <w:shd w:val="clear" w:color="auto" w:fill="auto"/>
            <w:vAlign w:val="bottom"/>
            <w:hideMark/>
          </w:tcPr>
          <w:p w14:paraId="0339CBEB" w14:textId="77777777" w:rsidR="00F241F4" w:rsidRPr="00F241F4" w:rsidRDefault="00F241F4" w:rsidP="00F241F4">
            <w:pPr>
              <w:spacing w:after="0" w:line="240" w:lineRule="auto"/>
              <w:jc w:val="left"/>
              <w:rPr>
                <w:rFonts w:eastAsia="Times New Roman" w:cs="Calibri"/>
                <w:b/>
                <w:bCs/>
                <w:color w:val="000000"/>
                <w:sz w:val="20"/>
                <w:szCs w:val="20"/>
                <w:lang w:val="en-US"/>
              </w:rPr>
            </w:pPr>
            <w:r w:rsidRPr="00F241F4">
              <w:rPr>
                <w:rFonts w:eastAsia="Times New Roman" w:cs="Calibri"/>
                <w:b/>
                <w:bCs/>
                <w:color w:val="000000"/>
                <w:sz w:val="20"/>
                <w:szCs w:val="20"/>
                <w:lang w:val="en-US"/>
              </w:rPr>
              <w:t>Equivalentes de efectivo</w:t>
            </w:r>
          </w:p>
        </w:tc>
        <w:tc>
          <w:tcPr>
            <w:tcW w:w="1227"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B50AE57" w14:textId="77777777" w:rsidR="00F241F4" w:rsidRPr="00F241F4" w:rsidRDefault="00F241F4" w:rsidP="00F241F4">
            <w:pPr>
              <w:spacing w:after="0" w:line="240" w:lineRule="auto"/>
              <w:jc w:val="right"/>
              <w:rPr>
                <w:rFonts w:eastAsia="Times New Roman" w:cs="Calibri"/>
                <w:b/>
                <w:bCs/>
                <w:color w:val="000000"/>
                <w:sz w:val="18"/>
                <w:szCs w:val="18"/>
                <w:lang w:val="en-US"/>
              </w:rPr>
            </w:pPr>
            <w:r w:rsidRPr="00F241F4">
              <w:rPr>
                <w:rFonts w:eastAsia="Times New Roman" w:cs="Calibri"/>
                <w:b/>
                <w:bCs/>
                <w:color w:val="000000"/>
                <w:sz w:val="18"/>
                <w:szCs w:val="18"/>
                <w:lang w:val="en-US"/>
              </w:rPr>
              <w:t>639 313,71</w:t>
            </w:r>
          </w:p>
        </w:tc>
        <w:tc>
          <w:tcPr>
            <w:tcW w:w="1230" w:type="dxa"/>
            <w:tcBorders>
              <w:top w:val="single" w:sz="8" w:space="0" w:color="auto"/>
              <w:left w:val="nil"/>
              <w:bottom w:val="single" w:sz="8" w:space="0" w:color="auto"/>
              <w:right w:val="single" w:sz="8" w:space="0" w:color="auto"/>
            </w:tcBorders>
            <w:shd w:val="clear" w:color="000000" w:fill="FFFFFF"/>
            <w:vAlign w:val="center"/>
            <w:hideMark/>
          </w:tcPr>
          <w:p w14:paraId="413D33BF" w14:textId="77777777" w:rsidR="00F241F4" w:rsidRPr="00F241F4" w:rsidRDefault="00F241F4" w:rsidP="00F241F4">
            <w:pPr>
              <w:spacing w:after="0" w:line="240" w:lineRule="auto"/>
              <w:jc w:val="right"/>
              <w:rPr>
                <w:rFonts w:eastAsia="Times New Roman" w:cs="Calibri"/>
                <w:b/>
                <w:bCs/>
                <w:color w:val="000000"/>
                <w:sz w:val="18"/>
                <w:szCs w:val="18"/>
                <w:lang w:val="en-US"/>
              </w:rPr>
            </w:pPr>
            <w:r w:rsidRPr="00F241F4">
              <w:rPr>
                <w:rFonts w:eastAsia="Times New Roman" w:cs="Calibri"/>
                <w:b/>
                <w:bCs/>
                <w:color w:val="000000"/>
                <w:sz w:val="18"/>
                <w:szCs w:val="18"/>
                <w:lang w:val="en-US"/>
              </w:rPr>
              <w:t>462 357,32</w:t>
            </w:r>
          </w:p>
        </w:tc>
        <w:tc>
          <w:tcPr>
            <w:tcW w:w="1150" w:type="dxa"/>
            <w:tcBorders>
              <w:top w:val="single" w:sz="8" w:space="0" w:color="auto"/>
              <w:left w:val="nil"/>
              <w:bottom w:val="single" w:sz="8" w:space="0" w:color="auto"/>
              <w:right w:val="single" w:sz="8" w:space="0" w:color="auto"/>
            </w:tcBorders>
            <w:shd w:val="clear" w:color="000000" w:fill="FFFFFF"/>
            <w:vAlign w:val="center"/>
            <w:hideMark/>
          </w:tcPr>
          <w:p w14:paraId="63F705B2" w14:textId="77777777" w:rsidR="00F241F4" w:rsidRPr="00F241F4" w:rsidRDefault="00F241F4" w:rsidP="00F241F4">
            <w:pPr>
              <w:spacing w:after="0" w:line="240" w:lineRule="auto"/>
              <w:jc w:val="right"/>
              <w:rPr>
                <w:rFonts w:eastAsia="Times New Roman" w:cs="Calibri"/>
                <w:b/>
                <w:bCs/>
                <w:color w:val="000000"/>
                <w:sz w:val="18"/>
                <w:szCs w:val="18"/>
                <w:lang w:val="en-US"/>
              </w:rPr>
            </w:pPr>
            <w:r w:rsidRPr="00F241F4">
              <w:rPr>
                <w:rFonts w:eastAsia="Times New Roman" w:cs="Calibri"/>
                <w:b/>
                <w:bCs/>
                <w:color w:val="000000"/>
                <w:sz w:val="18"/>
                <w:szCs w:val="18"/>
                <w:lang w:val="en-US"/>
              </w:rPr>
              <w:t>176 956,39</w:t>
            </w:r>
          </w:p>
        </w:tc>
        <w:tc>
          <w:tcPr>
            <w:tcW w:w="929" w:type="dxa"/>
            <w:tcBorders>
              <w:top w:val="single" w:sz="8" w:space="0" w:color="auto"/>
              <w:left w:val="nil"/>
              <w:bottom w:val="single" w:sz="8" w:space="0" w:color="auto"/>
              <w:right w:val="single" w:sz="8" w:space="0" w:color="auto"/>
            </w:tcBorders>
            <w:shd w:val="clear" w:color="000000" w:fill="FFFFFF"/>
            <w:vAlign w:val="center"/>
            <w:hideMark/>
          </w:tcPr>
          <w:p w14:paraId="16A2594E" w14:textId="77777777" w:rsidR="00F241F4" w:rsidRPr="00F241F4" w:rsidRDefault="00F241F4" w:rsidP="00F241F4">
            <w:pPr>
              <w:spacing w:after="0" w:line="240" w:lineRule="auto"/>
              <w:jc w:val="right"/>
              <w:rPr>
                <w:rFonts w:eastAsia="Times New Roman" w:cs="Calibri"/>
                <w:b/>
                <w:bCs/>
                <w:color w:val="000000"/>
                <w:sz w:val="20"/>
                <w:szCs w:val="20"/>
                <w:lang w:val="en-US"/>
              </w:rPr>
            </w:pPr>
            <w:r w:rsidRPr="00F241F4">
              <w:rPr>
                <w:rFonts w:eastAsia="Times New Roman" w:cs="Calibri"/>
                <w:b/>
                <w:bCs/>
                <w:color w:val="000000"/>
                <w:sz w:val="20"/>
                <w:szCs w:val="20"/>
                <w:lang w:val="en-US"/>
              </w:rPr>
              <w:t>38,27%</w:t>
            </w:r>
          </w:p>
        </w:tc>
      </w:tr>
      <w:tr w:rsidR="00F241F4" w:rsidRPr="00F241F4" w14:paraId="3FF33259" w14:textId="77777777" w:rsidTr="00F241F4">
        <w:trPr>
          <w:trHeight w:val="300"/>
        </w:trPr>
        <w:tc>
          <w:tcPr>
            <w:tcW w:w="1325" w:type="dxa"/>
            <w:tcBorders>
              <w:top w:val="nil"/>
              <w:left w:val="single" w:sz="8" w:space="0" w:color="auto"/>
              <w:bottom w:val="single" w:sz="8" w:space="0" w:color="auto"/>
              <w:right w:val="single" w:sz="8" w:space="0" w:color="auto"/>
            </w:tcBorders>
            <w:shd w:val="clear" w:color="auto" w:fill="auto"/>
            <w:noWrap/>
            <w:vAlign w:val="bottom"/>
            <w:hideMark/>
          </w:tcPr>
          <w:p w14:paraId="1ABE6B8A" w14:textId="77777777" w:rsidR="00F241F4" w:rsidRPr="00F241F4" w:rsidRDefault="00F241F4" w:rsidP="00F241F4">
            <w:pPr>
              <w:spacing w:after="0" w:line="240" w:lineRule="auto"/>
              <w:jc w:val="left"/>
              <w:rPr>
                <w:rFonts w:eastAsia="Times New Roman" w:cs="Calibri"/>
                <w:color w:val="000000"/>
                <w:sz w:val="18"/>
                <w:szCs w:val="18"/>
                <w:lang w:val="en-US"/>
              </w:rPr>
            </w:pPr>
            <w:r w:rsidRPr="00F241F4">
              <w:rPr>
                <w:rFonts w:eastAsia="Times New Roman" w:cs="Calibri"/>
                <w:color w:val="000000"/>
                <w:sz w:val="18"/>
                <w:szCs w:val="18"/>
                <w:lang w:val="en-US"/>
              </w:rPr>
              <w:t>1.1.1.02.99.02.</w:t>
            </w:r>
          </w:p>
        </w:tc>
        <w:tc>
          <w:tcPr>
            <w:tcW w:w="3343" w:type="dxa"/>
            <w:tcBorders>
              <w:top w:val="nil"/>
              <w:left w:val="nil"/>
              <w:bottom w:val="single" w:sz="8" w:space="0" w:color="auto"/>
              <w:right w:val="nil"/>
            </w:tcBorders>
            <w:shd w:val="clear" w:color="auto" w:fill="auto"/>
            <w:vAlign w:val="bottom"/>
            <w:hideMark/>
          </w:tcPr>
          <w:p w14:paraId="16303E10" w14:textId="77777777" w:rsidR="00F241F4" w:rsidRPr="00F241F4" w:rsidRDefault="00F241F4" w:rsidP="00F241F4">
            <w:pPr>
              <w:spacing w:after="0" w:line="240" w:lineRule="auto"/>
              <w:jc w:val="left"/>
              <w:rPr>
                <w:rFonts w:eastAsia="Times New Roman" w:cs="Calibri"/>
                <w:color w:val="000000"/>
                <w:sz w:val="20"/>
                <w:szCs w:val="20"/>
              </w:rPr>
            </w:pPr>
            <w:r w:rsidRPr="00F241F4">
              <w:rPr>
                <w:rFonts w:eastAsia="Times New Roman" w:cs="Calibri"/>
                <w:color w:val="000000"/>
                <w:sz w:val="20"/>
                <w:szCs w:val="20"/>
              </w:rPr>
              <w:t>Otros equivalentes de efectivo en el sector público interno</w:t>
            </w:r>
          </w:p>
        </w:tc>
        <w:tc>
          <w:tcPr>
            <w:tcW w:w="1227" w:type="dxa"/>
            <w:tcBorders>
              <w:top w:val="nil"/>
              <w:left w:val="single" w:sz="8" w:space="0" w:color="auto"/>
              <w:bottom w:val="single" w:sz="8" w:space="0" w:color="auto"/>
              <w:right w:val="single" w:sz="8" w:space="0" w:color="auto"/>
            </w:tcBorders>
            <w:shd w:val="clear" w:color="000000" w:fill="FFFFFF"/>
            <w:vAlign w:val="center"/>
            <w:hideMark/>
          </w:tcPr>
          <w:p w14:paraId="53C9B6BD" w14:textId="77777777" w:rsidR="00F241F4" w:rsidRPr="00F241F4" w:rsidRDefault="00F241F4" w:rsidP="00F241F4">
            <w:pPr>
              <w:spacing w:after="0" w:line="240" w:lineRule="auto"/>
              <w:jc w:val="right"/>
              <w:rPr>
                <w:rFonts w:eastAsia="Times New Roman" w:cs="Calibri"/>
                <w:color w:val="000000"/>
                <w:sz w:val="18"/>
                <w:szCs w:val="18"/>
                <w:lang w:val="en-US"/>
              </w:rPr>
            </w:pPr>
            <w:r w:rsidRPr="00F241F4">
              <w:rPr>
                <w:rFonts w:eastAsia="Times New Roman" w:cs="Calibri"/>
                <w:color w:val="000000"/>
                <w:sz w:val="18"/>
                <w:szCs w:val="18"/>
                <w:lang w:val="en-US"/>
              </w:rPr>
              <w:t>639 313,71</w:t>
            </w:r>
          </w:p>
        </w:tc>
        <w:tc>
          <w:tcPr>
            <w:tcW w:w="1230" w:type="dxa"/>
            <w:tcBorders>
              <w:top w:val="nil"/>
              <w:left w:val="nil"/>
              <w:bottom w:val="single" w:sz="8" w:space="0" w:color="auto"/>
              <w:right w:val="single" w:sz="8" w:space="0" w:color="auto"/>
            </w:tcBorders>
            <w:shd w:val="clear" w:color="000000" w:fill="FFFFFF"/>
            <w:vAlign w:val="center"/>
            <w:hideMark/>
          </w:tcPr>
          <w:p w14:paraId="7C746313" w14:textId="77777777" w:rsidR="00F241F4" w:rsidRPr="00F241F4" w:rsidRDefault="00F241F4" w:rsidP="00F241F4">
            <w:pPr>
              <w:spacing w:after="0" w:line="240" w:lineRule="auto"/>
              <w:jc w:val="right"/>
              <w:rPr>
                <w:rFonts w:eastAsia="Times New Roman" w:cs="Calibri"/>
                <w:color w:val="000000"/>
                <w:sz w:val="18"/>
                <w:szCs w:val="18"/>
                <w:lang w:val="en-US"/>
              </w:rPr>
            </w:pPr>
            <w:r w:rsidRPr="00F241F4">
              <w:rPr>
                <w:rFonts w:eastAsia="Times New Roman" w:cs="Calibri"/>
                <w:color w:val="000000"/>
                <w:sz w:val="18"/>
                <w:szCs w:val="18"/>
                <w:lang w:val="en-US"/>
              </w:rPr>
              <w:t>462 357,32</w:t>
            </w:r>
          </w:p>
        </w:tc>
        <w:tc>
          <w:tcPr>
            <w:tcW w:w="1150" w:type="dxa"/>
            <w:tcBorders>
              <w:top w:val="nil"/>
              <w:left w:val="nil"/>
              <w:bottom w:val="single" w:sz="8" w:space="0" w:color="auto"/>
              <w:right w:val="single" w:sz="8" w:space="0" w:color="auto"/>
            </w:tcBorders>
            <w:shd w:val="clear" w:color="000000" w:fill="FFFFFF"/>
            <w:vAlign w:val="center"/>
            <w:hideMark/>
          </w:tcPr>
          <w:p w14:paraId="1809B7C1" w14:textId="77777777" w:rsidR="00F241F4" w:rsidRPr="00F241F4" w:rsidRDefault="00F241F4" w:rsidP="00F241F4">
            <w:pPr>
              <w:spacing w:after="0" w:line="240" w:lineRule="auto"/>
              <w:jc w:val="right"/>
              <w:rPr>
                <w:rFonts w:eastAsia="Times New Roman" w:cs="Calibri"/>
                <w:color w:val="000000"/>
                <w:sz w:val="18"/>
                <w:szCs w:val="18"/>
                <w:lang w:val="en-US"/>
              </w:rPr>
            </w:pPr>
            <w:r w:rsidRPr="00F241F4">
              <w:rPr>
                <w:rFonts w:eastAsia="Times New Roman" w:cs="Calibri"/>
                <w:color w:val="000000"/>
                <w:sz w:val="18"/>
                <w:szCs w:val="18"/>
                <w:lang w:val="en-US"/>
              </w:rPr>
              <w:t>176 956,39</w:t>
            </w:r>
          </w:p>
        </w:tc>
        <w:tc>
          <w:tcPr>
            <w:tcW w:w="929" w:type="dxa"/>
            <w:tcBorders>
              <w:top w:val="nil"/>
              <w:left w:val="nil"/>
              <w:bottom w:val="single" w:sz="8" w:space="0" w:color="auto"/>
              <w:right w:val="single" w:sz="8" w:space="0" w:color="auto"/>
            </w:tcBorders>
            <w:shd w:val="clear" w:color="000000" w:fill="FFFFFF"/>
            <w:vAlign w:val="center"/>
            <w:hideMark/>
          </w:tcPr>
          <w:p w14:paraId="47DB37A9" w14:textId="77777777" w:rsidR="00F241F4" w:rsidRPr="00F241F4" w:rsidRDefault="00F241F4" w:rsidP="00F241F4">
            <w:pPr>
              <w:spacing w:after="0" w:line="240" w:lineRule="auto"/>
              <w:jc w:val="right"/>
              <w:rPr>
                <w:rFonts w:eastAsia="Times New Roman" w:cs="Calibri"/>
                <w:color w:val="000000"/>
                <w:sz w:val="20"/>
                <w:szCs w:val="20"/>
                <w:lang w:val="en-US"/>
              </w:rPr>
            </w:pPr>
            <w:r w:rsidRPr="00F241F4">
              <w:rPr>
                <w:rFonts w:eastAsia="Times New Roman" w:cs="Calibri"/>
                <w:color w:val="000000"/>
                <w:sz w:val="20"/>
                <w:szCs w:val="20"/>
                <w:lang w:val="en-US"/>
              </w:rPr>
              <w:t>38,27%</w:t>
            </w:r>
          </w:p>
        </w:tc>
      </w:tr>
      <w:tr w:rsidR="00F241F4" w:rsidRPr="00F241F4" w14:paraId="1A600B09" w14:textId="77777777" w:rsidTr="00F241F4">
        <w:trPr>
          <w:trHeight w:val="300"/>
        </w:trPr>
        <w:tc>
          <w:tcPr>
            <w:tcW w:w="4668" w:type="dxa"/>
            <w:gridSpan w:val="2"/>
            <w:tcBorders>
              <w:top w:val="single" w:sz="8" w:space="0" w:color="auto"/>
              <w:left w:val="single" w:sz="8" w:space="0" w:color="auto"/>
              <w:bottom w:val="single" w:sz="8" w:space="0" w:color="auto"/>
              <w:right w:val="nil"/>
            </w:tcBorders>
            <w:shd w:val="clear" w:color="auto" w:fill="auto"/>
            <w:noWrap/>
            <w:vAlign w:val="bottom"/>
            <w:hideMark/>
          </w:tcPr>
          <w:p w14:paraId="6FDF6602" w14:textId="77777777" w:rsidR="00F241F4" w:rsidRPr="00F241F4" w:rsidRDefault="00F241F4" w:rsidP="00F241F4">
            <w:pPr>
              <w:spacing w:after="0" w:line="240" w:lineRule="auto"/>
              <w:jc w:val="center"/>
              <w:rPr>
                <w:rFonts w:eastAsia="Times New Roman" w:cs="Calibri"/>
                <w:b/>
                <w:bCs/>
                <w:color w:val="000000"/>
                <w:sz w:val="20"/>
                <w:szCs w:val="20"/>
                <w:lang w:val="en-US"/>
              </w:rPr>
            </w:pPr>
            <w:r w:rsidRPr="00F241F4">
              <w:rPr>
                <w:rFonts w:eastAsia="Times New Roman" w:cs="Calibri"/>
                <w:b/>
                <w:bCs/>
                <w:color w:val="000000"/>
                <w:sz w:val="20"/>
                <w:szCs w:val="20"/>
                <w:lang w:val="en-US"/>
              </w:rPr>
              <w:t>TOTALES</w:t>
            </w:r>
          </w:p>
        </w:tc>
        <w:tc>
          <w:tcPr>
            <w:tcW w:w="1227" w:type="dxa"/>
            <w:tcBorders>
              <w:top w:val="nil"/>
              <w:left w:val="single" w:sz="8" w:space="0" w:color="auto"/>
              <w:bottom w:val="single" w:sz="8" w:space="0" w:color="auto"/>
              <w:right w:val="single" w:sz="8" w:space="0" w:color="auto"/>
            </w:tcBorders>
            <w:shd w:val="clear" w:color="000000" w:fill="FFFFFF"/>
            <w:vAlign w:val="center"/>
            <w:hideMark/>
          </w:tcPr>
          <w:p w14:paraId="68594738" w14:textId="77777777" w:rsidR="00F241F4" w:rsidRPr="00F241F4" w:rsidRDefault="00F241F4" w:rsidP="00F241F4">
            <w:pPr>
              <w:spacing w:after="0" w:line="240" w:lineRule="auto"/>
              <w:jc w:val="right"/>
              <w:rPr>
                <w:rFonts w:eastAsia="Times New Roman" w:cs="Calibri"/>
                <w:b/>
                <w:bCs/>
                <w:color w:val="000000"/>
                <w:sz w:val="18"/>
                <w:szCs w:val="18"/>
                <w:lang w:val="en-US"/>
              </w:rPr>
            </w:pPr>
            <w:r w:rsidRPr="00F241F4">
              <w:rPr>
                <w:rFonts w:ascii="Arial" w:eastAsia="Times New Roman" w:hAnsi="Arial" w:cs="Arial"/>
                <w:b/>
                <w:bCs/>
                <w:color w:val="000000"/>
                <w:sz w:val="18"/>
                <w:szCs w:val="18"/>
                <w:lang w:val="en-US"/>
              </w:rPr>
              <w:t>₡</w:t>
            </w:r>
            <w:r w:rsidRPr="00F241F4">
              <w:rPr>
                <w:rFonts w:eastAsia="Times New Roman" w:cs="Calibri"/>
                <w:b/>
                <w:bCs/>
                <w:color w:val="000000"/>
                <w:sz w:val="18"/>
                <w:szCs w:val="18"/>
                <w:lang w:val="en-US"/>
              </w:rPr>
              <w:t>1 873 754,83</w:t>
            </w:r>
          </w:p>
        </w:tc>
        <w:tc>
          <w:tcPr>
            <w:tcW w:w="1230" w:type="dxa"/>
            <w:tcBorders>
              <w:top w:val="nil"/>
              <w:left w:val="nil"/>
              <w:bottom w:val="single" w:sz="8" w:space="0" w:color="auto"/>
              <w:right w:val="single" w:sz="8" w:space="0" w:color="auto"/>
            </w:tcBorders>
            <w:shd w:val="clear" w:color="000000" w:fill="FFFFFF"/>
            <w:vAlign w:val="center"/>
            <w:hideMark/>
          </w:tcPr>
          <w:p w14:paraId="440E3025" w14:textId="77777777" w:rsidR="00F241F4" w:rsidRPr="00F241F4" w:rsidRDefault="00F241F4" w:rsidP="00F241F4">
            <w:pPr>
              <w:spacing w:after="0" w:line="240" w:lineRule="auto"/>
              <w:jc w:val="right"/>
              <w:rPr>
                <w:rFonts w:eastAsia="Times New Roman" w:cs="Calibri"/>
                <w:b/>
                <w:bCs/>
                <w:color w:val="000000"/>
                <w:sz w:val="18"/>
                <w:szCs w:val="18"/>
                <w:lang w:val="en-US"/>
              </w:rPr>
            </w:pPr>
            <w:r w:rsidRPr="00F241F4">
              <w:rPr>
                <w:rFonts w:ascii="Arial" w:eastAsia="Times New Roman" w:hAnsi="Arial" w:cs="Arial"/>
                <w:b/>
                <w:bCs/>
                <w:color w:val="000000"/>
                <w:sz w:val="18"/>
                <w:szCs w:val="18"/>
                <w:lang w:val="en-US"/>
              </w:rPr>
              <w:t>₡</w:t>
            </w:r>
            <w:r w:rsidRPr="00F241F4">
              <w:rPr>
                <w:rFonts w:eastAsia="Times New Roman" w:cs="Calibri"/>
                <w:b/>
                <w:bCs/>
                <w:color w:val="000000"/>
                <w:sz w:val="18"/>
                <w:szCs w:val="18"/>
                <w:lang w:val="en-US"/>
              </w:rPr>
              <w:t>2 221 962,60</w:t>
            </w:r>
          </w:p>
        </w:tc>
        <w:tc>
          <w:tcPr>
            <w:tcW w:w="1150" w:type="dxa"/>
            <w:tcBorders>
              <w:top w:val="nil"/>
              <w:left w:val="nil"/>
              <w:bottom w:val="single" w:sz="8" w:space="0" w:color="auto"/>
              <w:right w:val="single" w:sz="8" w:space="0" w:color="auto"/>
            </w:tcBorders>
            <w:shd w:val="clear" w:color="000000" w:fill="FFFFFF"/>
            <w:vAlign w:val="center"/>
            <w:hideMark/>
          </w:tcPr>
          <w:p w14:paraId="6F59DE7E" w14:textId="77777777" w:rsidR="00F241F4" w:rsidRPr="00F241F4" w:rsidRDefault="00F241F4" w:rsidP="00F241F4">
            <w:pPr>
              <w:spacing w:after="0" w:line="240" w:lineRule="auto"/>
              <w:jc w:val="right"/>
              <w:rPr>
                <w:rFonts w:eastAsia="Times New Roman" w:cs="Calibri"/>
                <w:b/>
                <w:bCs/>
                <w:color w:val="000000"/>
                <w:sz w:val="18"/>
                <w:szCs w:val="18"/>
                <w:lang w:val="en-US"/>
              </w:rPr>
            </w:pPr>
            <w:r w:rsidRPr="00F241F4">
              <w:rPr>
                <w:rFonts w:eastAsia="Times New Roman" w:cs="Calibri"/>
                <w:b/>
                <w:bCs/>
                <w:color w:val="000000"/>
                <w:sz w:val="18"/>
                <w:szCs w:val="18"/>
                <w:lang w:val="en-US"/>
              </w:rPr>
              <w:t>-</w:t>
            </w:r>
            <w:r w:rsidRPr="00F241F4">
              <w:rPr>
                <w:rFonts w:ascii="Arial" w:eastAsia="Times New Roman" w:hAnsi="Arial" w:cs="Arial"/>
                <w:b/>
                <w:bCs/>
                <w:color w:val="000000"/>
                <w:sz w:val="18"/>
                <w:szCs w:val="18"/>
                <w:lang w:val="en-US"/>
              </w:rPr>
              <w:t>₡</w:t>
            </w:r>
            <w:r w:rsidRPr="00F241F4">
              <w:rPr>
                <w:rFonts w:eastAsia="Times New Roman" w:cs="Calibri"/>
                <w:b/>
                <w:bCs/>
                <w:color w:val="000000"/>
                <w:sz w:val="18"/>
                <w:szCs w:val="18"/>
                <w:lang w:val="en-US"/>
              </w:rPr>
              <w:t>348 207,78</w:t>
            </w:r>
          </w:p>
        </w:tc>
        <w:tc>
          <w:tcPr>
            <w:tcW w:w="929" w:type="dxa"/>
            <w:tcBorders>
              <w:top w:val="nil"/>
              <w:left w:val="nil"/>
              <w:bottom w:val="single" w:sz="8" w:space="0" w:color="auto"/>
              <w:right w:val="single" w:sz="8" w:space="0" w:color="auto"/>
            </w:tcBorders>
            <w:shd w:val="clear" w:color="000000" w:fill="FFFFFF"/>
            <w:vAlign w:val="center"/>
            <w:hideMark/>
          </w:tcPr>
          <w:p w14:paraId="65B98CEB" w14:textId="77777777" w:rsidR="00F241F4" w:rsidRPr="00F241F4" w:rsidRDefault="00F241F4" w:rsidP="00F241F4">
            <w:pPr>
              <w:spacing w:after="0" w:line="240" w:lineRule="auto"/>
              <w:jc w:val="right"/>
              <w:rPr>
                <w:rFonts w:eastAsia="Times New Roman" w:cs="Calibri"/>
                <w:b/>
                <w:bCs/>
                <w:color w:val="000000"/>
                <w:sz w:val="20"/>
                <w:szCs w:val="20"/>
                <w:lang w:val="en-US"/>
              </w:rPr>
            </w:pPr>
            <w:r w:rsidRPr="00F241F4">
              <w:rPr>
                <w:rFonts w:eastAsia="Times New Roman" w:cs="Calibri"/>
                <w:b/>
                <w:bCs/>
                <w:color w:val="000000"/>
                <w:sz w:val="20"/>
                <w:szCs w:val="20"/>
                <w:lang w:val="en-US"/>
              </w:rPr>
              <w:t>-15,67%</w:t>
            </w:r>
          </w:p>
        </w:tc>
      </w:tr>
    </w:tbl>
    <w:p w14:paraId="3D04DEC5" w14:textId="77777777" w:rsidR="00692DC8" w:rsidRDefault="00692DC8" w:rsidP="0010459C">
      <w:pPr>
        <w:spacing w:line="240" w:lineRule="auto"/>
        <w:rPr>
          <w:lang w:eastAsia="es-CR"/>
        </w:rPr>
      </w:pPr>
    </w:p>
    <w:p w14:paraId="20B69889" w14:textId="51154C79" w:rsidR="0010459C" w:rsidRDefault="0010459C" w:rsidP="0010459C">
      <w:pPr>
        <w:spacing w:line="240" w:lineRule="auto"/>
        <w:rPr>
          <w:lang w:eastAsia="es-CR"/>
        </w:rPr>
      </w:pPr>
      <w:r>
        <w:rPr>
          <w:lang w:eastAsia="es-CR"/>
        </w:rPr>
        <w:t>Como se observa en el cuadro anterior, la variación de -</w:t>
      </w:r>
      <w:r w:rsidRPr="00A1665E">
        <w:rPr>
          <w:rFonts w:ascii="Arial" w:hAnsi="Arial" w:cs="Arial"/>
          <w:lang w:eastAsia="es-CR"/>
        </w:rPr>
        <w:t>₡</w:t>
      </w:r>
      <w:r>
        <w:rPr>
          <w:lang w:eastAsia="es-CR"/>
        </w:rPr>
        <w:t>3</w:t>
      </w:r>
      <w:r w:rsidR="00F241F4">
        <w:rPr>
          <w:lang w:eastAsia="es-CR"/>
        </w:rPr>
        <w:t>48</w:t>
      </w:r>
      <w:r w:rsidRPr="00A1665E">
        <w:rPr>
          <w:lang w:eastAsia="es-CR"/>
        </w:rPr>
        <w:t xml:space="preserve"> </w:t>
      </w:r>
      <w:r w:rsidR="00F241F4">
        <w:rPr>
          <w:lang w:eastAsia="es-CR"/>
        </w:rPr>
        <w:t>207</w:t>
      </w:r>
      <w:r w:rsidRPr="00A1665E">
        <w:rPr>
          <w:lang w:eastAsia="es-CR"/>
        </w:rPr>
        <w:t>,</w:t>
      </w:r>
      <w:r w:rsidR="00F241F4">
        <w:rPr>
          <w:lang w:eastAsia="es-CR"/>
        </w:rPr>
        <w:t>78</w:t>
      </w:r>
      <w:r w:rsidRPr="00A1665E">
        <w:rPr>
          <w:lang w:eastAsia="es-CR"/>
        </w:rPr>
        <w:t xml:space="preserve"> miles,</w:t>
      </w:r>
      <w:r>
        <w:rPr>
          <w:lang w:eastAsia="es-CR"/>
        </w:rPr>
        <w:t xml:space="preserve"> se origina producto de un efecto neto, ya que el Efectivo en Cuentas Corrientes </w:t>
      </w:r>
      <w:r w:rsidR="00FD02DE">
        <w:rPr>
          <w:lang w:eastAsia="es-CR"/>
        </w:rPr>
        <w:t xml:space="preserve">y Caja Única </w:t>
      </w:r>
      <w:r>
        <w:rPr>
          <w:lang w:eastAsia="es-CR"/>
        </w:rPr>
        <w:t>presenta</w:t>
      </w:r>
      <w:r w:rsidR="00FD02DE">
        <w:rPr>
          <w:lang w:eastAsia="es-CR"/>
        </w:rPr>
        <w:t>n una</w:t>
      </w:r>
      <w:r>
        <w:rPr>
          <w:lang w:eastAsia="es-CR"/>
        </w:rPr>
        <w:t xml:space="preserve"> disminuci</w:t>
      </w:r>
      <w:r w:rsidR="00FD02DE">
        <w:rPr>
          <w:lang w:eastAsia="es-CR"/>
        </w:rPr>
        <w:t>ó</w:t>
      </w:r>
      <w:r>
        <w:rPr>
          <w:lang w:eastAsia="es-CR"/>
        </w:rPr>
        <w:t>n de -</w:t>
      </w:r>
      <w:r w:rsidRPr="00DC2265">
        <w:rPr>
          <w:rFonts w:ascii="Arial" w:hAnsi="Arial" w:cs="Arial"/>
          <w:lang w:eastAsia="es-CR"/>
        </w:rPr>
        <w:t>₡</w:t>
      </w:r>
      <w:r w:rsidR="00FD02DE">
        <w:rPr>
          <w:lang w:eastAsia="es-CR"/>
        </w:rPr>
        <w:t>525</w:t>
      </w:r>
      <w:r>
        <w:rPr>
          <w:lang w:eastAsia="es-CR"/>
        </w:rPr>
        <w:t> </w:t>
      </w:r>
      <w:r w:rsidR="00FD02DE">
        <w:rPr>
          <w:lang w:eastAsia="es-CR"/>
        </w:rPr>
        <w:t>16</w:t>
      </w:r>
      <w:r>
        <w:rPr>
          <w:lang w:eastAsia="es-CR"/>
        </w:rPr>
        <w:t>4,</w:t>
      </w:r>
      <w:r w:rsidR="00FD02DE">
        <w:rPr>
          <w:lang w:eastAsia="es-CR"/>
        </w:rPr>
        <w:t>16</w:t>
      </w:r>
      <w:r>
        <w:rPr>
          <w:lang w:eastAsia="es-CR"/>
        </w:rPr>
        <w:t xml:space="preserve"> </w:t>
      </w:r>
      <w:r w:rsidRPr="006673E8">
        <w:rPr>
          <w:lang w:eastAsia="es-CR"/>
        </w:rPr>
        <w:t>miles</w:t>
      </w:r>
      <w:r>
        <w:rPr>
          <w:lang w:eastAsia="es-CR"/>
        </w:rPr>
        <w:t xml:space="preserve"> y </w:t>
      </w:r>
      <w:r w:rsidR="00FD02DE">
        <w:rPr>
          <w:lang w:eastAsia="es-CR"/>
        </w:rPr>
        <w:t xml:space="preserve">la cuenta </w:t>
      </w:r>
      <w:r w:rsidRPr="002E7BD6">
        <w:rPr>
          <w:lang w:eastAsia="es-CR"/>
        </w:rPr>
        <w:t xml:space="preserve">Otros </w:t>
      </w:r>
      <w:r>
        <w:rPr>
          <w:lang w:eastAsia="es-CR"/>
        </w:rPr>
        <w:t>E</w:t>
      </w:r>
      <w:r w:rsidRPr="002E7BD6">
        <w:rPr>
          <w:lang w:eastAsia="es-CR"/>
        </w:rPr>
        <w:t xml:space="preserve">quivalentes de </w:t>
      </w:r>
      <w:r>
        <w:rPr>
          <w:lang w:eastAsia="es-CR"/>
        </w:rPr>
        <w:t>E</w:t>
      </w:r>
      <w:r w:rsidRPr="002E7BD6">
        <w:rPr>
          <w:lang w:eastAsia="es-CR"/>
        </w:rPr>
        <w:t xml:space="preserve">fectivo en el </w:t>
      </w:r>
      <w:r>
        <w:rPr>
          <w:lang w:eastAsia="es-CR"/>
        </w:rPr>
        <w:t>S</w:t>
      </w:r>
      <w:r w:rsidRPr="002E7BD6">
        <w:rPr>
          <w:lang w:eastAsia="es-CR"/>
        </w:rPr>
        <w:t xml:space="preserve">ector </w:t>
      </w:r>
      <w:r>
        <w:rPr>
          <w:lang w:eastAsia="es-CR"/>
        </w:rPr>
        <w:t>P</w:t>
      </w:r>
      <w:r w:rsidRPr="002E7BD6">
        <w:rPr>
          <w:lang w:eastAsia="es-CR"/>
        </w:rPr>
        <w:t xml:space="preserve">úblico </w:t>
      </w:r>
      <w:r>
        <w:rPr>
          <w:lang w:eastAsia="es-CR"/>
        </w:rPr>
        <w:t>I</w:t>
      </w:r>
      <w:r w:rsidRPr="002E7BD6">
        <w:rPr>
          <w:lang w:eastAsia="es-CR"/>
        </w:rPr>
        <w:t>nterno</w:t>
      </w:r>
      <w:r>
        <w:rPr>
          <w:lang w:eastAsia="es-CR"/>
        </w:rPr>
        <w:t xml:space="preserve"> </w:t>
      </w:r>
      <w:r w:rsidR="00FD02DE">
        <w:rPr>
          <w:lang w:eastAsia="es-CR"/>
        </w:rPr>
        <w:t xml:space="preserve">presenta un aumento </w:t>
      </w:r>
      <w:r>
        <w:rPr>
          <w:lang w:eastAsia="es-CR"/>
        </w:rPr>
        <w:t xml:space="preserve">de </w:t>
      </w:r>
      <w:r w:rsidRPr="004701B6">
        <w:rPr>
          <w:rFonts w:ascii="Arial" w:hAnsi="Arial" w:cs="Arial"/>
          <w:lang w:eastAsia="es-CR"/>
        </w:rPr>
        <w:t>₡</w:t>
      </w:r>
      <w:r>
        <w:rPr>
          <w:lang w:eastAsia="es-CR"/>
        </w:rPr>
        <w:t>1</w:t>
      </w:r>
      <w:r w:rsidR="00FD02DE">
        <w:rPr>
          <w:lang w:eastAsia="es-CR"/>
        </w:rPr>
        <w:t>76</w:t>
      </w:r>
      <w:r>
        <w:rPr>
          <w:lang w:eastAsia="es-CR"/>
        </w:rPr>
        <w:t> </w:t>
      </w:r>
      <w:r w:rsidR="00FD02DE">
        <w:rPr>
          <w:lang w:eastAsia="es-CR"/>
        </w:rPr>
        <w:t>956</w:t>
      </w:r>
      <w:r>
        <w:rPr>
          <w:lang w:eastAsia="es-CR"/>
        </w:rPr>
        <w:t>,</w:t>
      </w:r>
      <w:r w:rsidR="00FD02DE">
        <w:rPr>
          <w:lang w:eastAsia="es-CR"/>
        </w:rPr>
        <w:t>3</w:t>
      </w:r>
      <w:r w:rsidR="005A2A3B">
        <w:rPr>
          <w:lang w:eastAsia="es-CR"/>
        </w:rPr>
        <w:t>9</w:t>
      </w:r>
      <w:r>
        <w:rPr>
          <w:lang w:eastAsia="es-CR"/>
        </w:rPr>
        <w:t xml:space="preserve"> </w:t>
      </w:r>
      <w:r w:rsidRPr="006673E8">
        <w:rPr>
          <w:lang w:eastAsia="es-CR"/>
        </w:rPr>
        <w:t>miles</w:t>
      </w:r>
      <w:r>
        <w:rPr>
          <w:lang w:eastAsia="es-CR"/>
        </w:rPr>
        <w:t>.</w:t>
      </w:r>
    </w:p>
    <w:p w14:paraId="4CADB078" w14:textId="79BC1A78" w:rsidR="0010459C" w:rsidRDefault="0010459C" w:rsidP="0010459C">
      <w:pPr>
        <w:pStyle w:val="Prrafodelista"/>
        <w:numPr>
          <w:ilvl w:val="0"/>
          <w:numId w:val="52"/>
        </w:numPr>
        <w:spacing w:after="0" w:line="240" w:lineRule="auto"/>
        <w:ind w:left="426" w:hanging="426"/>
        <w:rPr>
          <w:lang w:eastAsia="es-CR"/>
        </w:rPr>
      </w:pPr>
      <w:r w:rsidRPr="0038446E">
        <w:rPr>
          <w:lang w:eastAsia="es-CR"/>
        </w:rPr>
        <w:t xml:space="preserve">En relación con la variación (Disminución) de </w:t>
      </w:r>
      <w:r>
        <w:rPr>
          <w:lang w:eastAsia="es-CR"/>
        </w:rPr>
        <w:t>-</w:t>
      </w:r>
      <w:r w:rsidRPr="00DC2265">
        <w:rPr>
          <w:rFonts w:ascii="Arial" w:hAnsi="Arial" w:cs="Arial"/>
          <w:lang w:eastAsia="es-CR"/>
        </w:rPr>
        <w:t>₡</w:t>
      </w:r>
      <w:r w:rsidR="00FD02DE">
        <w:rPr>
          <w:lang w:eastAsia="es-CR"/>
        </w:rPr>
        <w:t>104</w:t>
      </w:r>
      <w:r w:rsidR="005A2A3B">
        <w:rPr>
          <w:lang w:eastAsia="es-CR"/>
        </w:rPr>
        <w:t xml:space="preserve"> </w:t>
      </w:r>
      <w:r w:rsidR="00FD02DE">
        <w:rPr>
          <w:lang w:eastAsia="es-CR"/>
        </w:rPr>
        <w:t>253</w:t>
      </w:r>
      <w:r>
        <w:rPr>
          <w:lang w:eastAsia="es-CR"/>
        </w:rPr>
        <w:t>,</w:t>
      </w:r>
      <w:r w:rsidR="004F7350">
        <w:rPr>
          <w:lang w:eastAsia="es-CR"/>
        </w:rPr>
        <w:t>02</w:t>
      </w:r>
      <w:r>
        <w:rPr>
          <w:lang w:eastAsia="es-CR"/>
        </w:rPr>
        <w:t xml:space="preserve"> </w:t>
      </w:r>
      <w:r w:rsidRPr="006673E8">
        <w:rPr>
          <w:lang w:eastAsia="es-CR"/>
        </w:rPr>
        <w:t>miles</w:t>
      </w:r>
      <w:r>
        <w:rPr>
          <w:lang w:eastAsia="es-CR"/>
        </w:rPr>
        <w:t xml:space="preserve"> </w:t>
      </w:r>
      <w:r w:rsidRPr="0038446E">
        <w:rPr>
          <w:lang w:eastAsia="es-CR"/>
        </w:rPr>
        <w:t>que se presenta en el Efectivo en Cuentas Corrientes, debe señalarse que</w:t>
      </w:r>
      <w:r>
        <w:rPr>
          <w:lang w:eastAsia="es-CR"/>
        </w:rPr>
        <w:t>,</w:t>
      </w:r>
      <w:r w:rsidRPr="0038446E">
        <w:rPr>
          <w:lang w:eastAsia="es-CR"/>
        </w:rPr>
        <w:t xml:space="preserve"> esta principalmente es producto de las variaciones negativas en las cuentas: </w:t>
      </w:r>
      <w:r w:rsidRPr="00386551">
        <w:rPr>
          <w:lang w:eastAsia="es-CR"/>
        </w:rPr>
        <w:t xml:space="preserve">460-0000975-0 B.C.R. (Timbres Municipales) </w:t>
      </w:r>
      <w:r>
        <w:rPr>
          <w:lang w:eastAsia="es-CR"/>
        </w:rPr>
        <w:t>de -</w:t>
      </w:r>
      <w:r w:rsidRPr="0038446E">
        <w:rPr>
          <w:rFonts w:ascii="Arial" w:hAnsi="Arial" w:cs="Arial"/>
          <w:lang w:eastAsia="es-CR"/>
        </w:rPr>
        <w:t>₡</w:t>
      </w:r>
      <w:r w:rsidR="00FD02DE">
        <w:rPr>
          <w:lang w:eastAsia="es-CR"/>
        </w:rPr>
        <w:t>12</w:t>
      </w:r>
      <w:r w:rsidR="005A2A3B">
        <w:rPr>
          <w:lang w:eastAsia="es-CR"/>
        </w:rPr>
        <w:t xml:space="preserve"> </w:t>
      </w:r>
      <w:r w:rsidR="00FD02DE">
        <w:rPr>
          <w:lang w:eastAsia="es-CR"/>
        </w:rPr>
        <w:t>0</w:t>
      </w:r>
      <w:r w:rsidR="005A2A3B">
        <w:rPr>
          <w:lang w:eastAsia="es-CR"/>
        </w:rPr>
        <w:t>0</w:t>
      </w:r>
      <w:r w:rsidR="00FD02DE">
        <w:rPr>
          <w:lang w:eastAsia="es-CR"/>
        </w:rPr>
        <w:t>0</w:t>
      </w:r>
      <w:r>
        <w:rPr>
          <w:lang w:eastAsia="es-CR"/>
        </w:rPr>
        <w:t>,</w:t>
      </w:r>
      <w:r w:rsidR="00FD02DE">
        <w:rPr>
          <w:lang w:eastAsia="es-CR"/>
        </w:rPr>
        <w:t>15</w:t>
      </w:r>
      <w:r>
        <w:rPr>
          <w:lang w:eastAsia="es-CR"/>
        </w:rPr>
        <w:t xml:space="preserve"> miles, </w:t>
      </w:r>
      <w:r w:rsidRPr="0038446E">
        <w:rPr>
          <w:lang w:eastAsia="es-CR"/>
        </w:rPr>
        <w:t>001-03630617 B.C.R. Cuenta General de -</w:t>
      </w:r>
      <w:r w:rsidRPr="0038446E">
        <w:rPr>
          <w:rFonts w:ascii="Arial" w:hAnsi="Arial" w:cs="Arial"/>
          <w:lang w:eastAsia="es-CR"/>
        </w:rPr>
        <w:t>₡</w:t>
      </w:r>
      <w:r w:rsidR="00FD02DE">
        <w:rPr>
          <w:lang w:eastAsia="es-CR"/>
        </w:rPr>
        <w:t>14</w:t>
      </w:r>
      <w:r w:rsidRPr="0038446E">
        <w:rPr>
          <w:lang w:eastAsia="es-CR"/>
        </w:rPr>
        <w:t> </w:t>
      </w:r>
      <w:r w:rsidR="005A2A3B">
        <w:rPr>
          <w:lang w:eastAsia="es-CR"/>
        </w:rPr>
        <w:t>6</w:t>
      </w:r>
      <w:r w:rsidR="00FD02DE">
        <w:rPr>
          <w:lang w:eastAsia="es-CR"/>
        </w:rPr>
        <w:t>50</w:t>
      </w:r>
      <w:r w:rsidRPr="0038446E">
        <w:rPr>
          <w:lang w:eastAsia="es-CR"/>
        </w:rPr>
        <w:t>,</w:t>
      </w:r>
      <w:r w:rsidR="00FD02DE">
        <w:rPr>
          <w:lang w:eastAsia="es-CR"/>
        </w:rPr>
        <w:t>03</w:t>
      </w:r>
      <w:r w:rsidRPr="0038446E">
        <w:rPr>
          <w:lang w:eastAsia="es-CR"/>
        </w:rPr>
        <w:t xml:space="preserve"> miles; 100-01-038-000023-8 B.N.C.R (GENENAL) de</w:t>
      </w:r>
      <w:r>
        <w:rPr>
          <w:lang w:eastAsia="es-CR"/>
        </w:rPr>
        <w:t xml:space="preserve"> -</w:t>
      </w:r>
      <w:r w:rsidRPr="0038446E">
        <w:rPr>
          <w:rFonts w:ascii="Arial" w:hAnsi="Arial" w:cs="Arial"/>
          <w:lang w:eastAsia="es-CR"/>
        </w:rPr>
        <w:t>₡</w:t>
      </w:r>
      <w:r w:rsidR="00FD02DE">
        <w:rPr>
          <w:rFonts w:ascii="Arial" w:hAnsi="Arial" w:cs="Arial"/>
          <w:lang w:eastAsia="es-CR"/>
        </w:rPr>
        <w:t>62</w:t>
      </w:r>
      <w:r w:rsidR="005A2A3B">
        <w:rPr>
          <w:lang w:eastAsia="es-CR"/>
        </w:rPr>
        <w:t xml:space="preserve"> </w:t>
      </w:r>
      <w:r w:rsidR="00FD02DE">
        <w:rPr>
          <w:lang w:eastAsia="es-CR"/>
        </w:rPr>
        <w:t>8</w:t>
      </w:r>
      <w:r w:rsidR="005A2A3B">
        <w:rPr>
          <w:lang w:eastAsia="es-CR"/>
        </w:rPr>
        <w:t>6</w:t>
      </w:r>
      <w:r w:rsidR="00FD02DE">
        <w:rPr>
          <w:lang w:eastAsia="es-CR"/>
        </w:rPr>
        <w:t>6</w:t>
      </w:r>
      <w:r w:rsidRPr="0038446E">
        <w:rPr>
          <w:lang w:eastAsia="es-CR"/>
        </w:rPr>
        <w:t>,</w:t>
      </w:r>
      <w:r w:rsidR="005A2A3B">
        <w:rPr>
          <w:lang w:eastAsia="es-CR"/>
        </w:rPr>
        <w:t>8</w:t>
      </w:r>
      <w:r w:rsidR="00FD02DE">
        <w:rPr>
          <w:lang w:eastAsia="es-CR"/>
        </w:rPr>
        <w:t>2</w:t>
      </w:r>
      <w:r w:rsidRPr="0038446E">
        <w:rPr>
          <w:lang w:eastAsia="es-CR"/>
        </w:rPr>
        <w:t xml:space="preserve"> miles</w:t>
      </w:r>
      <w:r>
        <w:rPr>
          <w:lang w:eastAsia="es-CR"/>
        </w:rPr>
        <w:t xml:space="preserve">; </w:t>
      </w:r>
      <w:r w:rsidRPr="0038446E">
        <w:rPr>
          <w:lang w:eastAsia="es-CR"/>
        </w:rPr>
        <w:t>100-01-038-001296-9 B.N.C.R (LEY 8114) de -</w:t>
      </w:r>
      <w:r w:rsidRPr="0038446E">
        <w:rPr>
          <w:rFonts w:ascii="Arial" w:hAnsi="Arial" w:cs="Arial"/>
          <w:lang w:eastAsia="es-CR"/>
        </w:rPr>
        <w:t>₡</w:t>
      </w:r>
      <w:r w:rsidR="00FD02DE">
        <w:rPr>
          <w:lang w:eastAsia="es-CR"/>
        </w:rPr>
        <w:t>5</w:t>
      </w:r>
      <w:r>
        <w:rPr>
          <w:lang w:eastAsia="es-CR"/>
        </w:rPr>
        <w:t> </w:t>
      </w:r>
      <w:r w:rsidR="00FD02DE">
        <w:rPr>
          <w:lang w:eastAsia="es-CR"/>
        </w:rPr>
        <w:t>922</w:t>
      </w:r>
      <w:r>
        <w:rPr>
          <w:lang w:eastAsia="es-CR"/>
        </w:rPr>
        <w:t>,</w:t>
      </w:r>
      <w:r w:rsidR="00FD02DE">
        <w:rPr>
          <w:lang w:eastAsia="es-CR"/>
        </w:rPr>
        <w:t>69</w:t>
      </w:r>
      <w:r w:rsidRPr="0038446E">
        <w:rPr>
          <w:lang w:eastAsia="es-CR"/>
        </w:rPr>
        <w:t xml:space="preserve"> miles y 1640-3 B.N.C.R. GARANTIAS por -</w:t>
      </w:r>
      <w:r w:rsidRPr="00386551">
        <w:rPr>
          <w:rFonts w:ascii="Arial" w:hAnsi="Arial" w:cs="Arial"/>
          <w:lang w:eastAsia="es-CR"/>
        </w:rPr>
        <w:t>₡</w:t>
      </w:r>
      <w:r w:rsidR="00FD02DE">
        <w:rPr>
          <w:lang w:eastAsia="es-CR"/>
        </w:rPr>
        <w:t>8</w:t>
      </w:r>
      <w:r w:rsidRPr="0038446E">
        <w:rPr>
          <w:lang w:eastAsia="es-CR"/>
        </w:rPr>
        <w:t xml:space="preserve"> </w:t>
      </w:r>
      <w:r w:rsidR="00FD02DE">
        <w:rPr>
          <w:lang w:eastAsia="es-CR"/>
        </w:rPr>
        <w:t>813</w:t>
      </w:r>
      <w:r w:rsidRPr="0038446E">
        <w:rPr>
          <w:lang w:eastAsia="es-CR"/>
        </w:rPr>
        <w:t>,</w:t>
      </w:r>
      <w:r w:rsidR="00FD02DE">
        <w:rPr>
          <w:lang w:eastAsia="es-CR"/>
        </w:rPr>
        <w:t>33</w:t>
      </w:r>
      <w:r w:rsidRPr="0038446E">
        <w:rPr>
          <w:lang w:eastAsia="es-CR"/>
        </w:rPr>
        <w:t xml:space="preserve"> miles</w:t>
      </w:r>
      <w:r>
        <w:rPr>
          <w:lang w:eastAsia="es-CR"/>
        </w:rPr>
        <w:t xml:space="preserve">. </w:t>
      </w:r>
      <w:r w:rsidRPr="0038446E">
        <w:rPr>
          <w:lang w:eastAsia="es-CR"/>
        </w:rPr>
        <w:t>Es pertinente indicar</w:t>
      </w:r>
      <w:r>
        <w:rPr>
          <w:lang w:eastAsia="es-CR"/>
        </w:rPr>
        <w:t>,</w:t>
      </w:r>
      <w:r w:rsidRPr="0038446E">
        <w:rPr>
          <w:lang w:eastAsia="es-CR"/>
        </w:rPr>
        <w:t xml:space="preserve"> que a excepción del efectivo mantenidos en la Cuenta 1640-3 B.N.C.R. GARANTIAS, no existe ninguna restricción para su uso del efectivo en bancos</w:t>
      </w:r>
      <w:r>
        <w:rPr>
          <w:lang w:eastAsia="es-CR"/>
        </w:rPr>
        <w:t>.</w:t>
      </w:r>
    </w:p>
    <w:p w14:paraId="0CB49734" w14:textId="77777777" w:rsidR="0010459C" w:rsidRPr="0038446E" w:rsidRDefault="0010459C" w:rsidP="0010459C">
      <w:pPr>
        <w:pStyle w:val="Prrafodelista"/>
        <w:spacing w:after="0" w:line="240" w:lineRule="auto"/>
        <w:ind w:left="426"/>
        <w:rPr>
          <w:lang w:eastAsia="es-CR"/>
        </w:rPr>
      </w:pPr>
    </w:p>
    <w:p w14:paraId="09479E2F" w14:textId="5C9C1626" w:rsidR="0010459C" w:rsidRDefault="0010459C" w:rsidP="00FD02DE">
      <w:pPr>
        <w:spacing w:line="240" w:lineRule="auto"/>
        <w:ind w:left="426"/>
        <w:rPr>
          <w:lang w:eastAsia="es-CR"/>
        </w:rPr>
      </w:pPr>
      <w:r w:rsidRPr="00C53D8E">
        <w:rPr>
          <w:lang w:eastAsia="es-CR"/>
        </w:rPr>
        <w:t>Por otra parte,</w:t>
      </w:r>
      <w:r w:rsidR="00FD02DE">
        <w:rPr>
          <w:lang w:eastAsia="es-CR"/>
        </w:rPr>
        <w:t xml:space="preserve"> la </w:t>
      </w:r>
      <w:r>
        <w:rPr>
          <w:lang w:eastAsia="es-CR"/>
        </w:rPr>
        <w:t xml:space="preserve">variación (Negativa) </w:t>
      </w:r>
      <w:r w:rsidR="004F7350">
        <w:rPr>
          <w:lang w:eastAsia="es-CR"/>
        </w:rPr>
        <w:t xml:space="preserve">de </w:t>
      </w:r>
      <w:r w:rsidR="004F7350" w:rsidRPr="003C2792">
        <w:rPr>
          <w:lang w:eastAsia="es-CR"/>
        </w:rPr>
        <w:t>-</w:t>
      </w:r>
      <w:r w:rsidR="004F7350" w:rsidRPr="004F7350">
        <w:rPr>
          <w:rFonts w:ascii="Arial" w:hAnsi="Arial" w:cs="Arial"/>
          <w:lang w:eastAsia="es-CR"/>
        </w:rPr>
        <w:t>₡</w:t>
      </w:r>
      <w:r w:rsidR="004F7350" w:rsidRPr="004F7350">
        <w:rPr>
          <w:lang w:eastAsia="es-CR"/>
        </w:rPr>
        <w:t xml:space="preserve">420 911,15 miles </w:t>
      </w:r>
      <w:r w:rsidR="004F7350">
        <w:rPr>
          <w:lang w:eastAsia="es-CR"/>
        </w:rPr>
        <w:t>s</w:t>
      </w:r>
      <w:r w:rsidR="004F7350" w:rsidRPr="007E72CE">
        <w:rPr>
          <w:lang w:eastAsia="es-CR"/>
        </w:rPr>
        <w:t xml:space="preserve">e </w:t>
      </w:r>
      <w:r w:rsidR="004F7350">
        <w:rPr>
          <w:lang w:eastAsia="es-CR"/>
        </w:rPr>
        <w:t xml:space="preserve">debe principalmente a las disminuciones </w:t>
      </w:r>
      <w:r>
        <w:rPr>
          <w:lang w:eastAsia="es-CR"/>
        </w:rPr>
        <w:t>de</w:t>
      </w:r>
      <w:r w:rsidR="004F7350">
        <w:rPr>
          <w:lang w:eastAsia="es-CR"/>
        </w:rPr>
        <w:t xml:space="preserve"> </w:t>
      </w:r>
      <w:r w:rsidR="004F7350" w:rsidRPr="003C2792">
        <w:rPr>
          <w:lang w:eastAsia="es-CR"/>
        </w:rPr>
        <w:t>-</w:t>
      </w:r>
      <w:r w:rsidR="004F7350" w:rsidRPr="00F641C1">
        <w:rPr>
          <w:rFonts w:ascii="Arial" w:hAnsi="Arial" w:cs="Arial"/>
          <w:lang w:eastAsia="es-CR"/>
        </w:rPr>
        <w:t>₡</w:t>
      </w:r>
      <w:r w:rsidR="004F7350" w:rsidRPr="004F7350">
        <w:rPr>
          <w:lang w:eastAsia="es-CR"/>
        </w:rPr>
        <w:t>5</w:t>
      </w:r>
      <w:r w:rsidR="004F7350">
        <w:rPr>
          <w:lang w:eastAsia="es-CR"/>
        </w:rPr>
        <w:t> 049,38 miles en la cuenta</w:t>
      </w:r>
      <w:r>
        <w:rPr>
          <w:lang w:eastAsia="es-CR"/>
        </w:rPr>
        <w:t xml:space="preserve"> </w:t>
      </w:r>
      <w:r w:rsidR="004F7350" w:rsidRPr="004F7350">
        <w:rPr>
          <w:lang w:eastAsia="es-CR"/>
        </w:rPr>
        <w:t>73900011460301024(LEY 7755 PART.ESP CTA CAJA UNICA ESTADO)</w:t>
      </w:r>
      <w:r w:rsidR="004F7350">
        <w:rPr>
          <w:lang w:eastAsia="es-CR"/>
        </w:rPr>
        <w:t xml:space="preserve">; de </w:t>
      </w:r>
      <w:r w:rsidRPr="003C2792">
        <w:rPr>
          <w:lang w:eastAsia="es-CR"/>
        </w:rPr>
        <w:t>-</w:t>
      </w:r>
      <w:r w:rsidRPr="00F641C1">
        <w:rPr>
          <w:rFonts w:ascii="Arial" w:hAnsi="Arial" w:cs="Arial"/>
          <w:lang w:eastAsia="es-CR"/>
        </w:rPr>
        <w:t>₡</w:t>
      </w:r>
      <w:r w:rsidR="005A2A3B">
        <w:rPr>
          <w:lang w:eastAsia="es-CR"/>
        </w:rPr>
        <w:t>4</w:t>
      </w:r>
      <w:r w:rsidR="004F7350">
        <w:rPr>
          <w:lang w:eastAsia="es-CR"/>
        </w:rPr>
        <w:t>20 911,15</w:t>
      </w:r>
      <w:r w:rsidRPr="00BB32EB">
        <w:rPr>
          <w:lang w:eastAsia="es-CR"/>
        </w:rPr>
        <w:t xml:space="preserve"> </w:t>
      </w:r>
      <w:r>
        <w:rPr>
          <w:lang w:eastAsia="es-CR"/>
        </w:rPr>
        <w:t xml:space="preserve">miles </w:t>
      </w:r>
      <w:r w:rsidRPr="007E72CE">
        <w:rPr>
          <w:lang w:eastAsia="es-CR"/>
        </w:rPr>
        <w:t>en</w:t>
      </w:r>
      <w:r>
        <w:rPr>
          <w:lang w:eastAsia="es-CR"/>
        </w:rPr>
        <w:t xml:space="preserve"> los recursos en</w:t>
      </w:r>
      <w:r w:rsidR="004F7350">
        <w:rPr>
          <w:lang w:eastAsia="es-CR"/>
        </w:rPr>
        <w:t xml:space="preserve"> Caja Única del Estado</w:t>
      </w:r>
      <w:r w:rsidR="00427CB3">
        <w:rPr>
          <w:lang w:eastAsia="es-CR"/>
        </w:rPr>
        <w:t>;</w:t>
      </w:r>
      <w:r>
        <w:rPr>
          <w:lang w:eastAsia="es-CR"/>
        </w:rPr>
        <w:t xml:space="preserve"> de</w:t>
      </w:r>
      <w:r w:rsidRPr="00DB1FCD">
        <w:rPr>
          <w:lang w:eastAsia="es-CR"/>
        </w:rPr>
        <w:t xml:space="preserve"> </w:t>
      </w:r>
      <w:r w:rsidRPr="003C2792">
        <w:rPr>
          <w:lang w:eastAsia="es-CR"/>
        </w:rPr>
        <w:t>-</w:t>
      </w:r>
      <w:r w:rsidRPr="00F641C1">
        <w:rPr>
          <w:rFonts w:ascii="Arial" w:hAnsi="Arial" w:cs="Arial"/>
          <w:lang w:eastAsia="es-CR"/>
        </w:rPr>
        <w:t>₡</w:t>
      </w:r>
      <w:r w:rsidR="004F7350" w:rsidRPr="004F7350">
        <w:rPr>
          <w:lang w:eastAsia="es-CR"/>
        </w:rPr>
        <w:t>5</w:t>
      </w:r>
      <w:r w:rsidR="005A2A3B">
        <w:rPr>
          <w:lang w:eastAsia="es-CR"/>
        </w:rPr>
        <w:t>3</w:t>
      </w:r>
      <w:r w:rsidR="004F7350">
        <w:rPr>
          <w:lang w:eastAsia="es-CR"/>
        </w:rPr>
        <w:t>2</w:t>
      </w:r>
      <w:r w:rsidR="005A2A3B">
        <w:rPr>
          <w:lang w:eastAsia="es-CR"/>
        </w:rPr>
        <w:t> </w:t>
      </w:r>
      <w:r w:rsidR="004F7350">
        <w:rPr>
          <w:lang w:eastAsia="es-CR"/>
        </w:rPr>
        <w:t>00</w:t>
      </w:r>
      <w:r w:rsidR="005A2A3B">
        <w:rPr>
          <w:lang w:eastAsia="es-CR"/>
        </w:rPr>
        <w:t>4,</w:t>
      </w:r>
      <w:r w:rsidR="004F7350">
        <w:rPr>
          <w:lang w:eastAsia="es-CR"/>
        </w:rPr>
        <w:t>9</w:t>
      </w:r>
      <w:r w:rsidR="005A2A3B">
        <w:rPr>
          <w:lang w:eastAsia="es-CR"/>
        </w:rPr>
        <w:t xml:space="preserve">4 </w:t>
      </w:r>
      <w:r>
        <w:rPr>
          <w:lang w:eastAsia="es-CR"/>
        </w:rPr>
        <w:t xml:space="preserve">miles que se da en la cuenta </w:t>
      </w:r>
      <w:r w:rsidRPr="003C2792">
        <w:rPr>
          <w:lang w:eastAsia="es-CR"/>
        </w:rPr>
        <w:t>73900011460301018 (8114 CTA CAJA UNICA ESTADO)</w:t>
      </w:r>
      <w:r w:rsidR="00427CB3">
        <w:rPr>
          <w:lang w:eastAsia="es-CR"/>
        </w:rPr>
        <w:t>;</w:t>
      </w:r>
      <w:r w:rsidR="00F641C1">
        <w:rPr>
          <w:lang w:eastAsia="es-CR"/>
        </w:rPr>
        <w:t xml:space="preserve"> de </w:t>
      </w:r>
      <w:r w:rsidR="00F641C1" w:rsidRPr="00F641C1">
        <w:rPr>
          <w:lang w:eastAsia="es-CR"/>
        </w:rPr>
        <w:t>-</w:t>
      </w:r>
      <w:r w:rsidR="00F641C1" w:rsidRPr="00F641C1">
        <w:rPr>
          <w:rFonts w:ascii="Arial" w:hAnsi="Arial" w:cs="Arial"/>
          <w:lang w:eastAsia="es-CR"/>
        </w:rPr>
        <w:t>₡</w:t>
      </w:r>
      <w:r w:rsidR="00F641C1" w:rsidRPr="00F641C1">
        <w:rPr>
          <w:lang w:eastAsia="es-CR"/>
        </w:rPr>
        <w:t>1</w:t>
      </w:r>
      <w:r w:rsidR="004F7350">
        <w:rPr>
          <w:lang w:eastAsia="es-CR"/>
        </w:rPr>
        <w:t>4</w:t>
      </w:r>
      <w:r w:rsidR="00F641C1" w:rsidRPr="00F641C1">
        <w:rPr>
          <w:lang w:eastAsia="es-CR"/>
        </w:rPr>
        <w:t xml:space="preserve"> </w:t>
      </w:r>
      <w:r w:rsidR="004F7350">
        <w:rPr>
          <w:lang w:eastAsia="es-CR"/>
        </w:rPr>
        <w:t>325</w:t>
      </w:r>
      <w:r w:rsidR="00F641C1" w:rsidRPr="00F641C1">
        <w:rPr>
          <w:lang w:eastAsia="es-CR"/>
        </w:rPr>
        <w:t>,</w:t>
      </w:r>
      <w:r w:rsidR="004F7350">
        <w:rPr>
          <w:lang w:eastAsia="es-CR"/>
        </w:rPr>
        <w:t>99</w:t>
      </w:r>
      <w:r w:rsidR="00F641C1" w:rsidRPr="00F641C1">
        <w:rPr>
          <w:lang w:eastAsia="es-CR"/>
        </w:rPr>
        <w:t xml:space="preserve"> en la cuenta 73900011460301030 (CTA GRAL CAJA UNICA DEL ESTADO)</w:t>
      </w:r>
      <w:r w:rsidR="00427CB3">
        <w:rPr>
          <w:lang w:eastAsia="es-CR"/>
        </w:rPr>
        <w:t>;</w:t>
      </w:r>
      <w:r w:rsidR="00F641C1" w:rsidRPr="00F641C1">
        <w:rPr>
          <w:lang w:eastAsia="es-CR"/>
        </w:rPr>
        <w:t xml:space="preserve"> </w:t>
      </w:r>
      <w:r w:rsidRPr="00BB32EB">
        <w:rPr>
          <w:lang w:eastAsia="es-CR"/>
        </w:rPr>
        <w:t>y</w:t>
      </w:r>
      <w:r w:rsidR="00427CB3">
        <w:rPr>
          <w:lang w:eastAsia="es-CR"/>
        </w:rPr>
        <w:t xml:space="preserve"> a</w:t>
      </w:r>
      <w:r w:rsidRPr="00BB32EB">
        <w:rPr>
          <w:lang w:eastAsia="es-CR"/>
        </w:rPr>
        <w:t xml:space="preserve"> </w:t>
      </w:r>
      <w:r>
        <w:rPr>
          <w:lang w:eastAsia="es-CR"/>
        </w:rPr>
        <w:t xml:space="preserve">las variaciones positivas (Aumentos) en las cuentas </w:t>
      </w:r>
      <w:r w:rsidR="004F7350" w:rsidRPr="004F7350">
        <w:rPr>
          <w:lang w:eastAsia="es-CR"/>
        </w:rPr>
        <w:t xml:space="preserve">Cuenta Caja Única del Estado CR 4073911360300078288 Préstamo I </w:t>
      </w:r>
      <w:r w:rsidR="00F641C1">
        <w:rPr>
          <w:lang w:eastAsia="es-CR"/>
        </w:rPr>
        <w:t xml:space="preserve">de </w:t>
      </w:r>
      <w:r w:rsidR="004F7350" w:rsidRPr="00751166">
        <w:rPr>
          <w:rFonts w:ascii="Arial" w:hAnsi="Arial" w:cs="Arial"/>
          <w:lang w:eastAsia="es-CR"/>
        </w:rPr>
        <w:t>₡</w:t>
      </w:r>
      <w:r w:rsidR="004F7350">
        <w:rPr>
          <w:lang w:eastAsia="es-CR"/>
        </w:rPr>
        <w:t>61</w:t>
      </w:r>
      <w:r w:rsidR="00F641C1">
        <w:rPr>
          <w:lang w:eastAsia="es-CR"/>
        </w:rPr>
        <w:t> 6</w:t>
      </w:r>
      <w:r w:rsidR="004F7350">
        <w:rPr>
          <w:lang w:eastAsia="es-CR"/>
        </w:rPr>
        <w:t>29</w:t>
      </w:r>
      <w:r w:rsidR="00F641C1">
        <w:rPr>
          <w:lang w:eastAsia="es-CR"/>
        </w:rPr>
        <w:t>,</w:t>
      </w:r>
      <w:r w:rsidR="004F7350">
        <w:rPr>
          <w:lang w:eastAsia="es-CR"/>
        </w:rPr>
        <w:t>3</w:t>
      </w:r>
      <w:r w:rsidR="00F641C1">
        <w:rPr>
          <w:lang w:eastAsia="es-CR"/>
        </w:rPr>
        <w:t xml:space="preserve">6 </w:t>
      </w:r>
      <w:r>
        <w:rPr>
          <w:lang w:eastAsia="es-CR"/>
        </w:rPr>
        <w:t xml:space="preserve">y </w:t>
      </w:r>
      <w:r w:rsidR="004F7350">
        <w:rPr>
          <w:lang w:eastAsia="es-CR"/>
        </w:rPr>
        <w:t xml:space="preserve">en </w:t>
      </w:r>
      <w:r w:rsidRPr="003D1165">
        <w:rPr>
          <w:lang w:eastAsia="es-CR"/>
        </w:rPr>
        <w:t>Caja Única CR88073930603000032221 Impuesto al Cemento</w:t>
      </w:r>
      <w:r>
        <w:rPr>
          <w:lang w:eastAsia="es-CR"/>
        </w:rPr>
        <w:t xml:space="preserve"> de </w:t>
      </w:r>
      <w:r w:rsidRPr="00F641C1">
        <w:rPr>
          <w:rFonts w:ascii="Arial" w:hAnsi="Arial" w:cs="Arial"/>
          <w:lang w:eastAsia="es-CR"/>
        </w:rPr>
        <w:t>₡</w:t>
      </w:r>
      <w:r>
        <w:rPr>
          <w:lang w:eastAsia="es-CR"/>
        </w:rPr>
        <w:t>68 187,92 miles</w:t>
      </w:r>
      <w:r w:rsidRPr="009F1B34">
        <w:rPr>
          <w:lang w:eastAsia="es-CR"/>
        </w:rPr>
        <w:t>.</w:t>
      </w:r>
      <w:r w:rsidR="00F641C1">
        <w:rPr>
          <w:lang w:eastAsia="es-CR"/>
        </w:rPr>
        <w:t xml:space="preserve"> </w:t>
      </w:r>
      <w:r>
        <w:rPr>
          <w:lang w:eastAsia="es-CR"/>
        </w:rPr>
        <w:t>Sobre los recursos en Caja Única del Estado la Municipalidad puede disponer de los mismos conforme a la programación para su utilización existente.</w:t>
      </w:r>
    </w:p>
    <w:p w14:paraId="5437F6AB" w14:textId="15FF1BD4" w:rsidR="0010459C" w:rsidRDefault="0010459C" w:rsidP="0010459C">
      <w:pPr>
        <w:pStyle w:val="Prrafodelista"/>
        <w:numPr>
          <w:ilvl w:val="0"/>
          <w:numId w:val="52"/>
        </w:numPr>
        <w:spacing w:after="0" w:line="240" w:lineRule="auto"/>
        <w:ind w:left="426" w:hanging="426"/>
        <w:rPr>
          <w:lang w:eastAsia="es-CR"/>
        </w:rPr>
      </w:pPr>
      <w:r>
        <w:rPr>
          <w:lang w:eastAsia="es-CR"/>
        </w:rPr>
        <w:t xml:space="preserve">En relación con el aumento de </w:t>
      </w:r>
      <w:r w:rsidRPr="00751166">
        <w:rPr>
          <w:rFonts w:ascii="Arial" w:hAnsi="Arial" w:cs="Arial"/>
          <w:lang w:eastAsia="es-CR"/>
        </w:rPr>
        <w:t>₡</w:t>
      </w:r>
      <w:r w:rsidRPr="00751166">
        <w:rPr>
          <w:lang w:eastAsia="es-CR"/>
        </w:rPr>
        <w:t>1</w:t>
      </w:r>
      <w:r w:rsidR="00427CB3">
        <w:rPr>
          <w:lang w:eastAsia="es-CR"/>
        </w:rPr>
        <w:t>76</w:t>
      </w:r>
      <w:r w:rsidRPr="00751166">
        <w:rPr>
          <w:lang w:eastAsia="es-CR"/>
        </w:rPr>
        <w:t xml:space="preserve"> </w:t>
      </w:r>
      <w:r w:rsidR="00427CB3">
        <w:rPr>
          <w:lang w:eastAsia="es-CR"/>
        </w:rPr>
        <w:t>956</w:t>
      </w:r>
      <w:r w:rsidRPr="00751166">
        <w:rPr>
          <w:lang w:eastAsia="es-CR"/>
        </w:rPr>
        <w:t>,</w:t>
      </w:r>
      <w:r w:rsidR="00427CB3">
        <w:rPr>
          <w:lang w:eastAsia="es-CR"/>
        </w:rPr>
        <w:t>3</w:t>
      </w:r>
      <w:r w:rsidR="00F641C1">
        <w:rPr>
          <w:lang w:eastAsia="es-CR"/>
        </w:rPr>
        <w:t>9</w:t>
      </w:r>
      <w:r w:rsidRPr="00751166">
        <w:rPr>
          <w:rFonts w:cs="Calibri"/>
          <w:b/>
          <w:bCs/>
          <w:color w:val="000000"/>
          <w:sz w:val="18"/>
          <w:szCs w:val="18"/>
        </w:rPr>
        <w:t xml:space="preserve"> </w:t>
      </w:r>
      <w:r w:rsidRPr="00407AA3">
        <w:rPr>
          <w:lang w:eastAsia="es-CR"/>
        </w:rPr>
        <w:t xml:space="preserve">miles en </w:t>
      </w:r>
      <w:r>
        <w:rPr>
          <w:lang w:eastAsia="es-CR"/>
        </w:rPr>
        <w:t>los Fondos de inversión, se debe señalar que esta se debe a lo siguiente:</w:t>
      </w:r>
    </w:p>
    <w:p w14:paraId="01FECFDF" w14:textId="77777777" w:rsidR="0010459C" w:rsidRDefault="0010459C" w:rsidP="00F641C1">
      <w:pPr>
        <w:spacing w:after="0" w:line="240" w:lineRule="auto"/>
        <w:rPr>
          <w:lang w:eastAsia="es-CR"/>
        </w:rPr>
      </w:pPr>
    </w:p>
    <w:p w14:paraId="7A3CD780" w14:textId="35293C03" w:rsidR="00427CB3" w:rsidRPr="00C10882" w:rsidRDefault="00427CB3" w:rsidP="00427CB3">
      <w:pPr>
        <w:pStyle w:val="Prrafodelista"/>
        <w:numPr>
          <w:ilvl w:val="0"/>
          <w:numId w:val="51"/>
        </w:numPr>
        <w:spacing w:after="120" w:line="240" w:lineRule="auto"/>
        <w:ind w:left="709" w:hanging="142"/>
        <w:contextualSpacing w:val="0"/>
        <w:rPr>
          <w:lang w:eastAsia="es-CR"/>
        </w:rPr>
      </w:pPr>
      <w:r w:rsidRPr="00C10882">
        <w:rPr>
          <w:lang w:eastAsia="es-CR"/>
        </w:rPr>
        <w:t xml:space="preserve">El 15 de enero de 2024 la Municipalidad invirtió en la Sociedad Administradora de Fondos de Inversión S. A del BCR la suma de </w:t>
      </w:r>
      <w:r w:rsidRPr="00C10882">
        <w:rPr>
          <w:rFonts w:ascii="Arial" w:hAnsi="Arial" w:cs="Arial"/>
          <w:lang w:eastAsia="es-CR"/>
        </w:rPr>
        <w:t>₡</w:t>
      </w:r>
      <w:r w:rsidRPr="00C10882">
        <w:rPr>
          <w:lang w:eastAsia="es-CR"/>
        </w:rPr>
        <w:t>300 000,00 miles</w:t>
      </w:r>
      <w:r>
        <w:rPr>
          <w:lang w:eastAsia="es-CR"/>
        </w:rPr>
        <w:t xml:space="preserve">. Posteriormente el 26 de abril de 2024 dicha suma se incrementó a </w:t>
      </w:r>
      <w:r w:rsidRPr="00427CB3">
        <w:rPr>
          <w:rFonts w:ascii="Arial" w:hAnsi="Arial" w:cs="Arial"/>
          <w:lang w:eastAsia="es-CR"/>
        </w:rPr>
        <w:t>₡</w:t>
      </w:r>
      <w:r>
        <w:rPr>
          <w:lang w:eastAsia="es-CR"/>
        </w:rPr>
        <w:t>330 000,00 miles.</w:t>
      </w:r>
      <w:r w:rsidRPr="00C10882">
        <w:rPr>
          <w:lang w:eastAsia="es-CR"/>
        </w:rPr>
        <w:t xml:space="preserve"> </w:t>
      </w:r>
      <w:r>
        <w:rPr>
          <w:lang w:eastAsia="es-CR"/>
        </w:rPr>
        <w:t xml:space="preserve">El 6 de junio se retiraron </w:t>
      </w:r>
      <w:r w:rsidRPr="00427CB3">
        <w:rPr>
          <w:rFonts w:ascii="Arial" w:hAnsi="Arial" w:cs="Arial"/>
          <w:lang w:eastAsia="es-CR"/>
        </w:rPr>
        <w:t>₡</w:t>
      </w:r>
      <w:r>
        <w:rPr>
          <w:lang w:eastAsia="es-CR"/>
        </w:rPr>
        <w:t xml:space="preserve">15 000,00 miles quedando invertidos </w:t>
      </w:r>
      <w:r w:rsidRPr="00427CB3">
        <w:rPr>
          <w:rFonts w:ascii="Arial" w:hAnsi="Arial" w:cs="Arial"/>
          <w:lang w:eastAsia="es-CR"/>
        </w:rPr>
        <w:t>₡</w:t>
      </w:r>
      <w:r w:rsidRPr="00427CB3">
        <w:rPr>
          <w:lang w:eastAsia="es-CR"/>
        </w:rPr>
        <w:t>315 000,00</w:t>
      </w:r>
      <w:r>
        <w:rPr>
          <w:lang w:eastAsia="es-CR"/>
        </w:rPr>
        <w:t xml:space="preserve"> miles. Estos</w:t>
      </w:r>
      <w:r w:rsidRPr="00C10882">
        <w:rPr>
          <w:lang w:eastAsia="es-CR"/>
        </w:rPr>
        <w:t xml:space="preserve"> recursos al </w:t>
      </w:r>
      <w:r>
        <w:rPr>
          <w:lang w:eastAsia="es-CR"/>
        </w:rPr>
        <w:t>30 de junio generaron</w:t>
      </w:r>
      <w:r w:rsidRPr="00C10882">
        <w:rPr>
          <w:lang w:eastAsia="es-CR"/>
        </w:rPr>
        <w:t xml:space="preserve"> rendimientos por la suma de </w:t>
      </w:r>
      <w:r w:rsidRPr="00C10882">
        <w:rPr>
          <w:rFonts w:ascii="Arial" w:hAnsi="Arial" w:cs="Arial"/>
          <w:lang w:eastAsia="es-CR"/>
        </w:rPr>
        <w:t>₡</w:t>
      </w:r>
      <w:r>
        <w:rPr>
          <w:rFonts w:ascii="Arial" w:hAnsi="Arial" w:cs="Arial"/>
          <w:lang w:eastAsia="es-CR"/>
        </w:rPr>
        <w:t>4</w:t>
      </w:r>
      <w:r>
        <w:rPr>
          <w:lang w:eastAsia="es-CR"/>
        </w:rPr>
        <w:t> 652,01</w:t>
      </w:r>
      <w:r w:rsidRPr="00C10882">
        <w:rPr>
          <w:lang w:eastAsia="es-CR"/>
        </w:rPr>
        <w:t xml:space="preserve"> mile</w:t>
      </w:r>
      <w:r>
        <w:rPr>
          <w:lang w:eastAsia="es-CR"/>
        </w:rPr>
        <w:t>s</w:t>
      </w:r>
      <w:r w:rsidRPr="00C10882">
        <w:rPr>
          <w:lang w:eastAsia="es-CR"/>
        </w:rPr>
        <w:t xml:space="preserve">, para un monto total </w:t>
      </w:r>
      <w:r>
        <w:rPr>
          <w:lang w:eastAsia="es-CR"/>
        </w:rPr>
        <w:t xml:space="preserve">invertido </w:t>
      </w:r>
      <w:r w:rsidR="004B3330">
        <w:rPr>
          <w:lang w:eastAsia="es-CR"/>
        </w:rPr>
        <w:t xml:space="preserve">a esa fecha </w:t>
      </w:r>
      <w:r w:rsidRPr="00C10882">
        <w:rPr>
          <w:lang w:eastAsia="es-CR"/>
        </w:rPr>
        <w:t xml:space="preserve">de </w:t>
      </w:r>
      <w:r w:rsidRPr="00C10882">
        <w:rPr>
          <w:rFonts w:ascii="Arial" w:hAnsi="Arial" w:cs="Arial"/>
          <w:lang w:eastAsia="es-CR"/>
        </w:rPr>
        <w:t>₡</w:t>
      </w:r>
      <w:r w:rsidRPr="00C10882">
        <w:rPr>
          <w:lang w:eastAsia="es-CR"/>
        </w:rPr>
        <w:t>3</w:t>
      </w:r>
      <w:r w:rsidR="004B3330">
        <w:rPr>
          <w:lang w:eastAsia="es-CR"/>
        </w:rPr>
        <w:t>19</w:t>
      </w:r>
      <w:r>
        <w:rPr>
          <w:lang w:eastAsia="es-CR"/>
        </w:rPr>
        <w:t xml:space="preserve"> </w:t>
      </w:r>
      <w:r w:rsidR="004B3330">
        <w:rPr>
          <w:lang w:eastAsia="es-CR"/>
        </w:rPr>
        <w:t>652</w:t>
      </w:r>
      <w:r w:rsidRPr="00C10882">
        <w:rPr>
          <w:lang w:eastAsia="es-CR"/>
        </w:rPr>
        <w:t>,</w:t>
      </w:r>
      <w:r>
        <w:rPr>
          <w:lang w:eastAsia="es-CR"/>
        </w:rPr>
        <w:t>0</w:t>
      </w:r>
      <w:r w:rsidR="004B3330">
        <w:rPr>
          <w:lang w:eastAsia="es-CR"/>
        </w:rPr>
        <w:t>1</w:t>
      </w:r>
      <w:r w:rsidRPr="00C10882">
        <w:rPr>
          <w:lang w:eastAsia="es-CR"/>
        </w:rPr>
        <w:t xml:space="preserve"> miles, mientras que al 3</w:t>
      </w:r>
      <w:r w:rsidR="004B3330">
        <w:rPr>
          <w:lang w:eastAsia="es-CR"/>
        </w:rPr>
        <w:t>0</w:t>
      </w:r>
      <w:r w:rsidRPr="00C10882">
        <w:rPr>
          <w:lang w:eastAsia="es-CR"/>
        </w:rPr>
        <w:t xml:space="preserve"> de </w:t>
      </w:r>
      <w:r w:rsidR="004B3330">
        <w:rPr>
          <w:lang w:eastAsia="es-CR"/>
        </w:rPr>
        <w:t>junio</w:t>
      </w:r>
      <w:r w:rsidRPr="00C10882">
        <w:rPr>
          <w:lang w:eastAsia="es-CR"/>
        </w:rPr>
        <w:t xml:space="preserve"> de 202</w:t>
      </w:r>
      <w:r>
        <w:rPr>
          <w:lang w:eastAsia="es-CR"/>
        </w:rPr>
        <w:t xml:space="preserve">3 </w:t>
      </w:r>
      <w:r w:rsidRPr="00C10882">
        <w:rPr>
          <w:lang w:eastAsia="es-CR"/>
        </w:rPr>
        <w:t xml:space="preserve">se mantenía un fondo de inversión por la suma total de </w:t>
      </w:r>
      <w:r w:rsidRPr="00C10882">
        <w:rPr>
          <w:rFonts w:ascii="Arial" w:hAnsi="Arial" w:cs="Arial"/>
          <w:lang w:eastAsia="es-CR"/>
        </w:rPr>
        <w:t>₡</w:t>
      </w:r>
      <w:r w:rsidRPr="00C10882">
        <w:rPr>
          <w:lang w:eastAsia="es-CR"/>
        </w:rPr>
        <w:t xml:space="preserve">225 000,00 miles sobre los cuales se había ganado una rentabilidad de </w:t>
      </w:r>
      <w:r w:rsidRPr="00C10882">
        <w:rPr>
          <w:rFonts w:ascii="Arial" w:hAnsi="Arial" w:cs="Arial"/>
          <w:lang w:eastAsia="es-CR"/>
        </w:rPr>
        <w:t>₡</w:t>
      </w:r>
      <w:r w:rsidR="004B3330">
        <w:rPr>
          <w:lang w:eastAsia="es-CR"/>
        </w:rPr>
        <w:t>6</w:t>
      </w:r>
      <w:r w:rsidRPr="00C10882">
        <w:rPr>
          <w:lang w:eastAsia="es-CR"/>
        </w:rPr>
        <w:t xml:space="preserve"> </w:t>
      </w:r>
      <w:r w:rsidR="004B3330">
        <w:rPr>
          <w:lang w:eastAsia="es-CR"/>
        </w:rPr>
        <w:t>308</w:t>
      </w:r>
      <w:r w:rsidRPr="00C10882">
        <w:rPr>
          <w:lang w:eastAsia="es-CR"/>
        </w:rPr>
        <w:t>,</w:t>
      </w:r>
      <w:r w:rsidR="004B3330">
        <w:rPr>
          <w:lang w:eastAsia="es-CR"/>
        </w:rPr>
        <w:t>25</w:t>
      </w:r>
      <w:r w:rsidRPr="00C10882">
        <w:rPr>
          <w:lang w:eastAsia="es-CR"/>
        </w:rPr>
        <w:t xml:space="preserve"> miles (</w:t>
      </w:r>
      <w:r w:rsidRPr="00C10882">
        <w:rPr>
          <w:rFonts w:ascii="Arial" w:hAnsi="Arial" w:cs="Arial"/>
          <w:lang w:eastAsia="es-CR"/>
        </w:rPr>
        <w:t>₡</w:t>
      </w:r>
      <w:r w:rsidRPr="00C10882">
        <w:rPr>
          <w:lang w:eastAsia="es-CR"/>
        </w:rPr>
        <w:t>2</w:t>
      </w:r>
      <w:r>
        <w:rPr>
          <w:lang w:eastAsia="es-CR"/>
        </w:rPr>
        <w:t>3</w:t>
      </w:r>
      <w:r w:rsidR="004B3330">
        <w:rPr>
          <w:lang w:eastAsia="es-CR"/>
        </w:rPr>
        <w:t>1</w:t>
      </w:r>
      <w:r w:rsidRPr="00C10882">
        <w:rPr>
          <w:lang w:eastAsia="es-CR"/>
        </w:rPr>
        <w:t> </w:t>
      </w:r>
      <w:r w:rsidR="004B3330">
        <w:rPr>
          <w:lang w:eastAsia="es-CR"/>
        </w:rPr>
        <w:t>30</w:t>
      </w:r>
      <w:r>
        <w:rPr>
          <w:lang w:eastAsia="es-CR"/>
        </w:rPr>
        <w:t>8</w:t>
      </w:r>
      <w:r w:rsidRPr="00C10882">
        <w:rPr>
          <w:lang w:eastAsia="es-CR"/>
        </w:rPr>
        <w:t>,</w:t>
      </w:r>
      <w:r w:rsidR="004B3330">
        <w:rPr>
          <w:lang w:eastAsia="es-CR"/>
        </w:rPr>
        <w:t>25</w:t>
      </w:r>
      <w:r w:rsidRPr="00C10882">
        <w:rPr>
          <w:lang w:eastAsia="es-CR"/>
        </w:rPr>
        <w:t xml:space="preserve"> miles principal e intereses).</w:t>
      </w:r>
    </w:p>
    <w:p w14:paraId="0B24473C" w14:textId="59459B74" w:rsidR="00427CB3" w:rsidRPr="00C10882" w:rsidRDefault="00427CB3" w:rsidP="00427CB3">
      <w:pPr>
        <w:pStyle w:val="Prrafodelista"/>
        <w:numPr>
          <w:ilvl w:val="0"/>
          <w:numId w:val="51"/>
        </w:numPr>
        <w:spacing w:after="0" w:line="240" w:lineRule="auto"/>
        <w:ind w:left="709" w:hanging="142"/>
        <w:rPr>
          <w:lang w:eastAsia="es-CR"/>
        </w:rPr>
      </w:pPr>
      <w:r w:rsidRPr="00C10882">
        <w:rPr>
          <w:lang w:eastAsia="es-CR"/>
        </w:rPr>
        <w:t xml:space="preserve">Por otra parte, el 15 de enero de 2024 la Municipalidad invirtió en el Fondo de Inversión en Sociedad Administradora de Fondos de Inversión del BNCR, la suma de </w:t>
      </w:r>
      <w:r w:rsidRPr="00C10882">
        <w:rPr>
          <w:rFonts w:ascii="Arial" w:hAnsi="Arial" w:cs="Arial"/>
          <w:lang w:eastAsia="es-CR"/>
        </w:rPr>
        <w:t>₡</w:t>
      </w:r>
      <w:r w:rsidRPr="00C10882">
        <w:rPr>
          <w:lang w:eastAsia="es-CR"/>
        </w:rPr>
        <w:t>300 000,00 miles</w:t>
      </w:r>
      <w:r>
        <w:rPr>
          <w:lang w:eastAsia="es-CR"/>
        </w:rPr>
        <w:t xml:space="preserve">. Posteriormente el 26 de abril de 2024 dicha suma se incrementó a </w:t>
      </w:r>
      <w:r w:rsidRPr="00C10882">
        <w:rPr>
          <w:rFonts w:ascii="Arial" w:hAnsi="Arial" w:cs="Arial"/>
          <w:lang w:eastAsia="es-CR"/>
        </w:rPr>
        <w:t>₡</w:t>
      </w:r>
      <w:r>
        <w:rPr>
          <w:lang w:eastAsia="es-CR"/>
        </w:rPr>
        <w:t>330 000,00 miles.</w:t>
      </w:r>
      <w:r w:rsidRPr="00C10882">
        <w:rPr>
          <w:lang w:eastAsia="es-CR"/>
        </w:rPr>
        <w:t xml:space="preserve"> </w:t>
      </w:r>
      <w:r w:rsidR="004B3330">
        <w:rPr>
          <w:lang w:eastAsia="es-CR"/>
        </w:rPr>
        <w:t xml:space="preserve">El 6 de junio se retiraron </w:t>
      </w:r>
      <w:r w:rsidR="004B3330" w:rsidRPr="00427CB3">
        <w:rPr>
          <w:rFonts w:ascii="Arial" w:hAnsi="Arial" w:cs="Arial"/>
          <w:lang w:eastAsia="es-CR"/>
        </w:rPr>
        <w:t>₡</w:t>
      </w:r>
      <w:r w:rsidR="004B3330">
        <w:rPr>
          <w:lang w:eastAsia="es-CR"/>
        </w:rPr>
        <w:t xml:space="preserve">15 000,00 miles quedando invertidos </w:t>
      </w:r>
      <w:r w:rsidR="004B3330" w:rsidRPr="00427CB3">
        <w:rPr>
          <w:rFonts w:ascii="Arial" w:hAnsi="Arial" w:cs="Arial"/>
          <w:lang w:eastAsia="es-CR"/>
        </w:rPr>
        <w:t>₡</w:t>
      </w:r>
      <w:r w:rsidR="004B3330" w:rsidRPr="00427CB3">
        <w:rPr>
          <w:lang w:eastAsia="es-CR"/>
        </w:rPr>
        <w:t>315 000,00</w:t>
      </w:r>
      <w:r w:rsidR="004B3330">
        <w:rPr>
          <w:lang w:eastAsia="es-CR"/>
        </w:rPr>
        <w:t xml:space="preserve"> miles. </w:t>
      </w:r>
      <w:r>
        <w:rPr>
          <w:lang w:eastAsia="es-CR"/>
        </w:rPr>
        <w:t xml:space="preserve">Estos recursos </w:t>
      </w:r>
      <w:r w:rsidRPr="00C10882">
        <w:rPr>
          <w:lang w:eastAsia="es-CR"/>
        </w:rPr>
        <w:t xml:space="preserve">al </w:t>
      </w:r>
      <w:r>
        <w:rPr>
          <w:lang w:eastAsia="es-CR"/>
        </w:rPr>
        <w:t>3</w:t>
      </w:r>
      <w:r w:rsidR="004B3330">
        <w:rPr>
          <w:lang w:eastAsia="es-CR"/>
        </w:rPr>
        <w:t>0</w:t>
      </w:r>
      <w:r>
        <w:rPr>
          <w:lang w:eastAsia="es-CR"/>
        </w:rPr>
        <w:t xml:space="preserve"> de </w:t>
      </w:r>
      <w:r w:rsidR="004B3330">
        <w:rPr>
          <w:lang w:eastAsia="es-CR"/>
        </w:rPr>
        <w:t>junio</w:t>
      </w:r>
      <w:r w:rsidRPr="00C10882">
        <w:rPr>
          <w:lang w:eastAsia="es-CR"/>
        </w:rPr>
        <w:t xml:space="preserve"> de 2024 obtuvieron rendimientos de </w:t>
      </w:r>
      <w:r w:rsidRPr="00C10882">
        <w:rPr>
          <w:rFonts w:ascii="Arial" w:hAnsi="Arial" w:cs="Arial"/>
          <w:lang w:eastAsia="es-CR"/>
        </w:rPr>
        <w:t>₡</w:t>
      </w:r>
      <w:r>
        <w:rPr>
          <w:lang w:eastAsia="es-CR"/>
        </w:rPr>
        <w:t>4</w:t>
      </w:r>
      <w:r w:rsidR="004B3330">
        <w:rPr>
          <w:lang w:eastAsia="es-CR"/>
        </w:rPr>
        <w:t xml:space="preserve"> 661</w:t>
      </w:r>
      <w:r w:rsidRPr="00C10882">
        <w:rPr>
          <w:lang w:eastAsia="es-CR"/>
        </w:rPr>
        <w:t>,</w:t>
      </w:r>
      <w:r w:rsidR="004B3330">
        <w:rPr>
          <w:lang w:eastAsia="es-CR"/>
        </w:rPr>
        <w:t>70</w:t>
      </w:r>
      <w:r w:rsidRPr="00C10882">
        <w:rPr>
          <w:lang w:eastAsia="es-CR"/>
        </w:rPr>
        <w:t xml:space="preserve"> miles, para un total de </w:t>
      </w:r>
      <w:r w:rsidRPr="00C10882">
        <w:rPr>
          <w:rFonts w:ascii="Arial" w:hAnsi="Arial" w:cs="Arial"/>
          <w:lang w:eastAsia="es-CR"/>
        </w:rPr>
        <w:t>₡</w:t>
      </w:r>
      <w:r w:rsidRPr="00C10882">
        <w:rPr>
          <w:lang w:eastAsia="es-CR"/>
        </w:rPr>
        <w:t>3</w:t>
      </w:r>
      <w:r w:rsidR="004B3330">
        <w:rPr>
          <w:lang w:eastAsia="es-CR"/>
        </w:rPr>
        <w:t>19</w:t>
      </w:r>
      <w:r w:rsidRPr="00C10882">
        <w:rPr>
          <w:lang w:eastAsia="es-CR"/>
        </w:rPr>
        <w:t xml:space="preserve"> </w:t>
      </w:r>
      <w:r w:rsidR="004B3330">
        <w:rPr>
          <w:lang w:eastAsia="es-CR"/>
        </w:rPr>
        <w:t>661</w:t>
      </w:r>
      <w:r w:rsidRPr="00C10882">
        <w:rPr>
          <w:lang w:eastAsia="es-CR"/>
        </w:rPr>
        <w:t>,</w:t>
      </w:r>
      <w:r w:rsidR="004B3330">
        <w:rPr>
          <w:lang w:eastAsia="es-CR"/>
        </w:rPr>
        <w:t>70</w:t>
      </w:r>
      <w:r w:rsidRPr="00C10882">
        <w:rPr>
          <w:lang w:eastAsia="es-CR"/>
        </w:rPr>
        <w:t xml:space="preserve"> miles; mientras que al </w:t>
      </w:r>
      <w:r>
        <w:rPr>
          <w:lang w:eastAsia="es-CR"/>
        </w:rPr>
        <w:t>3</w:t>
      </w:r>
      <w:r w:rsidR="004B3330">
        <w:rPr>
          <w:lang w:eastAsia="es-CR"/>
        </w:rPr>
        <w:t>0</w:t>
      </w:r>
      <w:r>
        <w:rPr>
          <w:lang w:eastAsia="es-CR"/>
        </w:rPr>
        <w:t xml:space="preserve"> de </w:t>
      </w:r>
      <w:r w:rsidR="004B3330">
        <w:rPr>
          <w:lang w:eastAsia="es-CR"/>
        </w:rPr>
        <w:t>junio</w:t>
      </w:r>
      <w:r w:rsidRPr="00C10882">
        <w:rPr>
          <w:lang w:eastAsia="es-CR"/>
        </w:rPr>
        <w:t xml:space="preserve"> de 202</w:t>
      </w:r>
      <w:r>
        <w:rPr>
          <w:lang w:eastAsia="es-CR"/>
        </w:rPr>
        <w:t xml:space="preserve">3 </w:t>
      </w:r>
      <w:r w:rsidRPr="00C10882">
        <w:rPr>
          <w:lang w:eastAsia="es-CR"/>
        </w:rPr>
        <w:t xml:space="preserve">se mantenía un fondo de inversión en ese mismo ente bancario por </w:t>
      </w:r>
      <w:r w:rsidRPr="00C10882">
        <w:rPr>
          <w:rFonts w:ascii="Arial" w:hAnsi="Arial" w:cs="Arial"/>
          <w:lang w:eastAsia="es-CR"/>
        </w:rPr>
        <w:t>₡</w:t>
      </w:r>
      <w:r w:rsidRPr="00C10882">
        <w:rPr>
          <w:lang w:eastAsia="es-CR"/>
        </w:rPr>
        <w:t xml:space="preserve">225 000,00 miles sobre el que se había ganado la suma de </w:t>
      </w:r>
      <w:r w:rsidRPr="00C10882">
        <w:rPr>
          <w:rFonts w:ascii="Arial" w:hAnsi="Arial" w:cs="Arial"/>
          <w:lang w:eastAsia="es-CR"/>
        </w:rPr>
        <w:t>₡</w:t>
      </w:r>
      <w:r w:rsidR="004B3330">
        <w:rPr>
          <w:lang w:eastAsia="es-CR"/>
        </w:rPr>
        <w:t>6</w:t>
      </w:r>
      <w:r w:rsidRPr="00C10882">
        <w:rPr>
          <w:lang w:eastAsia="es-CR"/>
        </w:rPr>
        <w:t xml:space="preserve"> </w:t>
      </w:r>
      <w:r>
        <w:rPr>
          <w:lang w:eastAsia="es-CR"/>
        </w:rPr>
        <w:t>0</w:t>
      </w:r>
      <w:r w:rsidR="004B3330">
        <w:rPr>
          <w:lang w:eastAsia="es-CR"/>
        </w:rPr>
        <w:t>49</w:t>
      </w:r>
      <w:r w:rsidRPr="00C10882">
        <w:rPr>
          <w:lang w:eastAsia="es-CR"/>
        </w:rPr>
        <w:t>,</w:t>
      </w:r>
      <w:r w:rsidR="004B3330">
        <w:rPr>
          <w:lang w:eastAsia="es-CR"/>
        </w:rPr>
        <w:t>07</w:t>
      </w:r>
      <w:r w:rsidRPr="00C10882">
        <w:rPr>
          <w:lang w:eastAsia="es-CR"/>
        </w:rPr>
        <w:t xml:space="preserve"> miles de rendimientos para un total de </w:t>
      </w:r>
      <w:r w:rsidRPr="00C10882">
        <w:rPr>
          <w:rFonts w:ascii="Arial" w:hAnsi="Arial" w:cs="Arial"/>
          <w:lang w:eastAsia="es-CR"/>
        </w:rPr>
        <w:t>₡</w:t>
      </w:r>
      <w:r w:rsidRPr="00C10882">
        <w:rPr>
          <w:lang w:eastAsia="es-CR"/>
        </w:rPr>
        <w:t>2</w:t>
      </w:r>
      <w:r>
        <w:rPr>
          <w:lang w:eastAsia="es-CR"/>
        </w:rPr>
        <w:t>3</w:t>
      </w:r>
      <w:r w:rsidR="004B3330">
        <w:rPr>
          <w:lang w:eastAsia="es-CR"/>
        </w:rPr>
        <w:t>1</w:t>
      </w:r>
      <w:r w:rsidRPr="00C10882">
        <w:rPr>
          <w:lang w:eastAsia="es-CR"/>
        </w:rPr>
        <w:t> </w:t>
      </w:r>
      <w:r>
        <w:rPr>
          <w:lang w:eastAsia="es-CR"/>
        </w:rPr>
        <w:t>0</w:t>
      </w:r>
      <w:r w:rsidR="004B3330">
        <w:rPr>
          <w:lang w:eastAsia="es-CR"/>
        </w:rPr>
        <w:t>49</w:t>
      </w:r>
      <w:r w:rsidRPr="00C10882">
        <w:rPr>
          <w:lang w:eastAsia="es-CR"/>
        </w:rPr>
        <w:t>,</w:t>
      </w:r>
      <w:r w:rsidR="004B3330">
        <w:rPr>
          <w:lang w:eastAsia="es-CR"/>
        </w:rPr>
        <w:t>07</w:t>
      </w:r>
      <w:r w:rsidRPr="00C10882">
        <w:rPr>
          <w:lang w:eastAsia="es-CR"/>
        </w:rPr>
        <w:t xml:space="preserve"> miles (principal e intereses).</w:t>
      </w:r>
    </w:p>
    <w:p w14:paraId="307CD455" w14:textId="77777777" w:rsidR="00564BDD" w:rsidRDefault="00564BDD" w:rsidP="00564BDD">
      <w:pPr>
        <w:spacing w:after="0" w:line="240" w:lineRule="auto"/>
        <w:ind w:left="425"/>
        <w:rPr>
          <w:lang w:eastAsia="es-CR"/>
        </w:rPr>
      </w:pPr>
    </w:p>
    <w:p w14:paraId="0B9E350F" w14:textId="59627058" w:rsidR="0010459C" w:rsidRDefault="0010459C" w:rsidP="00731FA0">
      <w:pPr>
        <w:spacing w:line="240" w:lineRule="auto"/>
        <w:ind w:left="425"/>
        <w:rPr>
          <w:lang w:eastAsia="es-CR"/>
        </w:rPr>
      </w:pPr>
      <w:r>
        <w:rPr>
          <w:lang w:eastAsia="es-CR"/>
        </w:rPr>
        <w:t>En relación con el efectivo en Fondos de Inversión es pertinente señalar que estos pueden ser utilizado en el momento que la Municipalidad lo disponga avisando a la Sociedad Administradora que corresponda BCR o BNCR con 24 horas de antelación.</w:t>
      </w:r>
    </w:p>
    <w:p w14:paraId="0296DE74" w14:textId="77777777" w:rsidR="0010459C" w:rsidRDefault="0010459C" w:rsidP="00464861">
      <w:pPr>
        <w:rPr>
          <w:lang w:eastAsia="es-CR"/>
        </w:rPr>
      </w:pPr>
    </w:p>
    <w:p w14:paraId="7EE2FC30" w14:textId="77777777" w:rsidR="00692DC8" w:rsidRPr="00692DC8" w:rsidRDefault="00692DC8" w:rsidP="00464861">
      <w:pPr>
        <w:pStyle w:val="Ttulo4"/>
        <w:spacing w:after="240"/>
        <w:rPr>
          <w:rFonts w:eastAsia="Times New Roman"/>
          <w:lang w:eastAsia="es-CR"/>
        </w:rPr>
      </w:pPr>
      <w:bookmarkStart w:id="153" w:name="_Toc33601207"/>
      <w:bookmarkStart w:id="154" w:name="_Toc82768908"/>
      <w:bookmarkStart w:id="155" w:name="_Toc173245227"/>
      <w:r w:rsidRPr="00692DC8">
        <w:rPr>
          <w:rFonts w:eastAsia="Times New Roman"/>
          <w:lang w:eastAsia="es-CR"/>
        </w:rPr>
        <w:t>NOTA N° 4</w:t>
      </w:r>
      <w:bookmarkEnd w:id="151"/>
      <w:bookmarkEnd w:id="152"/>
      <w:bookmarkEnd w:id="153"/>
      <w:bookmarkEnd w:id="154"/>
      <w:bookmarkEnd w:id="155"/>
    </w:p>
    <w:p w14:paraId="6E0B66C8" w14:textId="77777777" w:rsidR="00694299" w:rsidRDefault="00D57597" w:rsidP="004526F3">
      <w:pPr>
        <w:spacing w:before="240"/>
        <w:rPr>
          <w:rFonts w:asciiTheme="minorHAnsi" w:hAnsiTheme="minorHAnsi"/>
          <w:sz w:val="22"/>
        </w:rPr>
      </w:pPr>
      <w:bookmarkStart w:id="156" w:name="_Toc13041028"/>
      <w:bookmarkStart w:id="157" w:name="_Toc14345027"/>
      <w:bookmarkStart w:id="158" w:name="_Toc33601208"/>
      <w:bookmarkStart w:id="159" w:name="_Toc54546697"/>
      <w:bookmarkStart w:id="160" w:name="_Toc82768909"/>
      <w:r w:rsidRPr="00692DC8">
        <w:rPr>
          <w:rFonts w:eastAsia="Times New Roman"/>
          <w:lang w:eastAsia="es-CR"/>
        </w:rPr>
        <w:t xml:space="preserve">Inversiones </w:t>
      </w:r>
      <w:r>
        <w:rPr>
          <w:rFonts w:eastAsia="Times New Roman"/>
          <w:lang w:eastAsia="es-CR"/>
        </w:rPr>
        <w:t>a</w:t>
      </w:r>
      <w:r w:rsidRPr="00692DC8">
        <w:rPr>
          <w:rFonts w:eastAsia="Times New Roman"/>
          <w:lang w:eastAsia="es-CR"/>
        </w:rPr>
        <w:t xml:space="preserve"> Corto Plazo</w:t>
      </w:r>
      <w:bookmarkStart w:id="161" w:name="_Hlk54705329"/>
      <w:bookmarkStart w:id="162" w:name="_Toc13041034"/>
      <w:bookmarkStart w:id="163" w:name="_Toc14345033"/>
      <w:bookmarkEnd w:id="156"/>
      <w:bookmarkEnd w:id="157"/>
      <w:bookmarkEnd w:id="158"/>
      <w:bookmarkEnd w:id="159"/>
      <w:bookmarkEnd w:id="160"/>
      <w:r w:rsidR="004526F3">
        <w:rPr>
          <w:rFonts w:eastAsiaTheme="majorEastAsia" w:cstheme="majorBidi"/>
          <w:b/>
          <w:iCs/>
          <w:lang w:eastAsia="es-CR"/>
        </w:rPr>
        <w:fldChar w:fldCharType="begin"/>
      </w:r>
      <w:r w:rsidR="004526F3">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NOTAS_POR_CUENTA!F8C1:F10C6 </w:instrText>
      </w:r>
      <w:r w:rsidR="004526F3">
        <w:rPr>
          <w:lang w:eastAsia="es-CR"/>
        </w:rPr>
        <w:instrText xml:space="preserve">\a \f 4 \h </w:instrText>
      </w:r>
      <w:r w:rsidR="004526F3">
        <w:rPr>
          <w:lang w:eastAsia="es-CR"/>
        </w:rPr>
        <w:fldChar w:fldCharType="separate"/>
      </w:r>
    </w:p>
    <w:tbl>
      <w:tblPr>
        <w:tblW w:w="8847" w:type="dxa"/>
        <w:tblCellMar>
          <w:left w:w="70" w:type="dxa"/>
          <w:right w:w="70" w:type="dxa"/>
        </w:tblCellMar>
        <w:tblLook w:val="04A0" w:firstRow="1" w:lastRow="0" w:firstColumn="1" w:lastColumn="0" w:noHBand="0" w:noVBand="1"/>
      </w:tblPr>
      <w:tblGrid>
        <w:gridCol w:w="1027"/>
        <w:gridCol w:w="2973"/>
        <w:gridCol w:w="500"/>
        <w:gridCol w:w="1586"/>
        <w:gridCol w:w="1701"/>
        <w:gridCol w:w="1060"/>
      </w:tblGrid>
      <w:tr w:rsidR="00694299" w:rsidRPr="00694299" w14:paraId="16BF44D1" w14:textId="77777777" w:rsidTr="00C95739">
        <w:trPr>
          <w:divId w:val="1902329853"/>
          <w:trHeight w:val="324"/>
        </w:trPr>
        <w:tc>
          <w:tcPr>
            <w:tcW w:w="1027"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02C4105" w14:textId="1529576B"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973"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CC74F2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534926A"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5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CE1C106"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BB6FF30"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26689F98"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717B56B3" w14:textId="77777777" w:rsidTr="00C95739">
        <w:trPr>
          <w:divId w:val="1902329853"/>
          <w:trHeight w:val="324"/>
        </w:trPr>
        <w:tc>
          <w:tcPr>
            <w:tcW w:w="1027" w:type="dxa"/>
            <w:vMerge/>
            <w:tcBorders>
              <w:top w:val="single" w:sz="8" w:space="0" w:color="auto"/>
              <w:left w:val="single" w:sz="8" w:space="0" w:color="auto"/>
              <w:bottom w:val="single" w:sz="8" w:space="0" w:color="000000"/>
              <w:right w:val="single" w:sz="8" w:space="0" w:color="auto"/>
            </w:tcBorders>
            <w:vAlign w:val="center"/>
            <w:hideMark/>
          </w:tcPr>
          <w:p w14:paraId="42BFBB0D"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973" w:type="dxa"/>
            <w:vMerge/>
            <w:tcBorders>
              <w:top w:val="single" w:sz="8" w:space="0" w:color="auto"/>
              <w:left w:val="single" w:sz="8" w:space="0" w:color="auto"/>
              <w:bottom w:val="single" w:sz="8" w:space="0" w:color="000000"/>
              <w:right w:val="single" w:sz="8" w:space="0" w:color="auto"/>
            </w:tcBorders>
            <w:vAlign w:val="center"/>
            <w:hideMark/>
          </w:tcPr>
          <w:p w14:paraId="5077B33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B24435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59383712"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5CA59EE7"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58CDFD4D"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32A35A22" w14:textId="77777777" w:rsidTr="00C95739">
        <w:trPr>
          <w:divId w:val="1902329853"/>
          <w:trHeight w:val="324"/>
        </w:trPr>
        <w:tc>
          <w:tcPr>
            <w:tcW w:w="1027" w:type="dxa"/>
            <w:tcBorders>
              <w:top w:val="nil"/>
              <w:left w:val="single" w:sz="8" w:space="0" w:color="auto"/>
              <w:bottom w:val="single" w:sz="8" w:space="0" w:color="auto"/>
              <w:right w:val="single" w:sz="8" w:space="0" w:color="auto"/>
            </w:tcBorders>
            <w:shd w:val="clear" w:color="auto" w:fill="auto"/>
            <w:noWrap/>
            <w:vAlign w:val="center"/>
            <w:hideMark/>
          </w:tcPr>
          <w:p w14:paraId="23BA082A"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1.1.2.</w:t>
            </w:r>
          </w:p>
        </w:tc>
        <w:tc>
          <w:tcPr>
            <w:tcW w:w="2973" w:type="dxa"/>
            <w:tcBorders>
              <w:top w:val="nil"/>
              <w:left w:val="nil"/>
              <w:bottom w:val="single" w:sz="8" w:space="0" w:color="auto"/>
              <w:right w:val="single" w:sz="8" w:space="0" w:color="auto"/>
            </w:tcBorders>
            <w:shd w:val="clear" w:color="auto" w:fill="auto"/>
            <w:vAlign w:val="center"/>
            <w:hideMark/>
          </w:tcPr>
          <w:p w14:paraId="32D805E8"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Inversiones a corto plazo</w:t>
            </w:r>
          </w:p>
        </w:tc>
        <w:tc>
          <w:tcPr>
            <w:tcW w:w="500" w:type="dxa"/>
            <w:tcBorders>
              <w:top w:val="nil"/>
              <w:left w:val="nil"/>
              <w:bottom w:val="single" w:sz="8" w:space="0" w:color="auto"/>
              <w:right w:val="single" w:sz="8" w:space="0" w:color="auto"/>
            </w:tcBorders>
            <w:shd w:val="clear" w:color="auto" w:fill="auto"/>
            <w:noWrap/>
            <w:vAlign w:val="center"/>
            <w:hideMark/>
          </w:tcPr>
          <w:p w14:paraId="2467562C"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04</w:t>
            </w:r>
          </w:p>
        </w:tc>
        <w:tc>
          <w:tcPr>
            <w:tcW w:w="1586" w:type="dxa"/>
            <w:tcBorders>
              <w:top w:val="nil"/>
              <w:left w:val="nil"/>
              <w:bottom w:val="single" w:sz="8" w:space="0" w:color="auto"/>
              <w:right w:val="single" w:sz="8" w:space="0" w:color="auto"/>
            </w:tcBorders>
            <w:shd w:val="clear" w:color="auto" w:fill="auto"/>
            <w:noWrap/>
            <w:vAlign w:val="center"/>
            <w:hideMark/>
          </w:tcPr>
          <w:p w14:paraId="2B619500"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701" w:type="dxa"/>
            <w:tcBorders>
              <w:top w:val="nil"/>
              <w:left w:val="nil"/>
              <w:bottom w:val="single" w:sz="8" w:space="0" w:color="auto"/>
              <w:right w:val="single" w:sz="8" w:space="0" w:color="auto"/>
            </w:tcBorders>
            <w:shd w:val="clear" w:color="auto" w:fill="auto"/>
            <w:noWrap/>
            <w:vAlign w:val="center"/>
            <w:hideMark/>
          </w:tcPr>
          <w:p w14:paraId="599DF19F"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1B4B4BB0"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69F118D2" w14:textId="77777777" w:rsidR="00694299" w:rsidRPr="00694299" w:rsidRDefault="004526F3" w:rsidP="004526F3">
      <w:pPr>
        <w:spacing w:before="240"/>
        <w:rPr>
          <w:b/>
          <w:lang w:val="es-ES" w:eastAsia="es-CR"/>
        </w:rPr>
      </w:pPr>
      <w:r>
        <w:rPr>
          <w:lang w:eastAsia="es-CR"/>
        </w:rPr>
        <w:fldChar w:fldCharType="end"/>
      </w:r>
      <w:r w:rsidR="00692DC8" w:rsidRPr="00464861">
        <w:rPr>
          <w:b/>
          <w:lang w:val="es-ES" w:eastAsia="es-CR"/>
        </w:rPr>
        <w:t xml:space="preserve">Revelación: </w:t>
      </w:r>
      <w:r>
        <w:rPr>
          <w:lang w:eastAsia="es-CR"/>
        </w:rPr>
        <w:fldChar w:fldCharType="begin"/>
      </w:r>
      <w:r>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NOTAS_POR_CUENTA!F10C8 </w:instrText>
      </w:r>
      <w:r>
        <w:rPr>
          <w:lang w:eastAsia="es-CR"/>
        </w:rPr>
        <w:instrText xml:space="preserve">\a \f 5 \h  \* MERGEFORMAT </w:instrText>
      </w:r>
      <w:r>
        <w:rPr>
          <w:lang w:eastAsia="es-CR"/>
        </w:rPr>
        <w:fldChar w:fldCharType="separate"/>
      </w:r>
    </w:p>
    <w:p w14:paraId="519F7BC5" w14:textId="77777777" w:rsidR="00694299" w:rsidRPr="00694299" w:rsidRDefault="00694299" w:rsidP="00694299">
      <w:pPr>
        <w:spacing w:before="240"/>
        <w:rPr>
          <w:lang w:eastAsia="es-CR"/>
        </w:rPr>
      </w:pPr>
      <w:r w:rsidRPr="00694299">
        <w:rPr>
          <w:lang w:eastAsia="es-CR"/>
        </w:rPr>
        <w:t>La cuenta Inversiones a corto plazo, representa el 0,00% del total del Activo, que comparado al periodo anterior genera una variación absoluta de 0 000,00 que corresponde a un Aumento del 0,00% de recursos disponibles.</w:t>
      </w:r>
    </w:p>
    <w:p w14:paraId="74117F13" w14:textId="6EE7D2BA" w:rsidR="00D57597" w:rsidRPr="004526F3" w:rsidRDefault="004526F3" w:rsidP="004526F3">
      <w:pPr>
        <w:spacing w:before="240"/>
        <w:rPr>
          <w:lang w:eastAsia="es-CR"/>
        </w:rPr>
      </w:pPr>
      <w:r>
        <w:rPr>
          <w:lang w:eastAsia="es-CR"/>
        </w:rPr>
        <w:fldChar w:fldCharType="end"/>
      </w:r>
      <w:bookmarkStart w:id="164" w:name="_Hlk99304439"/>
      <w:r w:rsidR="00692DC8" w:rsidRPr="00692DC8">
        <w:rPr>
          <w:szCs w:val="24"/>
          <w:highlight w:val="lightGray"/>
          <w:lang w:eastAsia="es-CR"/>
        </w:rPr>
        <w:t>Las variaciones de la cuenta son producto de (Indicar la razón de las variaciones de un periodo a otro):</w:t>
      </w:r>
      <w:r w:rsidR="00692DC8" w:rsidRPr="00692DC8">
        <w:rPr>
          <w:szCs w:val="24"/>
          <w:lang w:eastAsia="es-CR"/>
        </w:rPr>
        <w:t xml:space="preserve"> </w:t>
      </w:r>
      <w:bookmarkEnd w:id="161"/>
      <w:bookmarkEnd w:id="164"/>
    </w:p>
    <w:p w14:paraId="6B64E308" w14:textId="77777777" w:rsidR="00692DC8" w:rsidRPr="00464861" w:rsidRDefault="00692DC8" w:rsidP="00464861">
      <w:pPr>
        <w:pStyle w:val="Ttulo4"/>
        <w:spacing w:after="240"/>
      </w:pPr>
      <w:bookmarkStart w:id="165" w:name="_Toc33601209"/>
      <w:bookmarkStart w:id="166" w:name="_Toc82768910"/>
      <w:bookmarkStart w:id="167" w:name="_Toc173245228"/>
      <w:r w:rsidRPr="00464861">
        <w:t>NOTA N° 5</w:t>
      </w:r>
      <w:bookmarkEnd w:id="162"/>
      <w:bookmarkEnd w:id="163"/>
      <w:bookmarkEnd w:id="165"/>
      <w:bookmarkEnd w:id="166"/>
      <w:bookmarkEnd w:id="167"/>
    </w:p>
    <w:p w14:paraId="5701D7DE" w14:textId="77777777" w:rsidR="00694299" w:rsidRDefault="00D57597" w:rsidP="00CD760D">
      <w:pPr>
        <w:spacing w:after="120" w:line="240" w:lineRule="auto"/>
        <w:rPr>
          <w:rFonts w:asciiTheme="minorHAnsi" w:hAnsiTheme="minorHAnsi"/>
          <w:sz w:val="22"/>
        </w:rPr>
      </w:pPr>
      <w:bookmarkStart w:id="168" w:name="_Toc13041035"/>
      <w:bookmarkStart w:id="169" w:name="_Toc14345034"/>
      <w:bookmarkStart w:id="170" w:name="_Toc33601210"/>
      <w:bookmarkStart w:id="171" w:name="_Toc54546700"/>
      <w:bookmarkStart w:id="172" w:name="_Toc82768911"/>
      <w:r w:rsidRPr="00464861">
        <w:t xml:space="preserve">Cuentas </w:t>
      </w:r>
      <w:r>
        <w:t>a</w:t>
      </w:r>
      <w:r w:rsidRPr="00464861">
        <w:t xml:space="preserve"> Cobrar Corto Plazo</w:t>
      </w:r>
      <w:bookmarkEnd w:id="168"/>
      <w:bookmarkEnd w:id="169"/>
      <w:bookmarkEnd w:id="170"/>
      <w:bookmarkEnd w:id="171"/>
      <w:bookmarkEnd w:id="172"/>
      <w:r w:rsidR="00FF374B">
        <w:rPr>
          <w:rFonts w:eastAsiaTheme="majorEastAsia" w:cstheme="majorBidi"/>
          <w:b/>
          <w:iCs/>
        </w:rPr>
        <w:fldChar w:fldCharType="begin"/>
      </w:r>
      <w:r w:rsidR="00FF374B">
        <w:instrText xml:space="preserve"> LINK </w:instrText>
      </w:r>
      <w:r w:rsidR="00323752">
        <w:instrText xml:space="preserve">Excel.SheetMacroEnabled.12 "D:\\MORAVIA\\INSUMOS\\NOTAS 2024\\Formato_Notas_EEFF_Vinculadas_2024\\XXXXX_PXX_202X_Anexo_Estado_Notas_Contables_Vinculadas.xlsm" NOTAS_POR_CUENTA!F12C1:F14C6 </w:instrText>
      </w:r>
      <w:r w:rsidR="00FF374B">
        <w:instrText xml:space="preserve">\a \f 4 \h </w:instrText>
      </w:r>
      <w:r w:rsidR="00FF374B">
        <w:fldChar w:fldCharType="separate"/>
      </w:r>
    </w:p>
    <w:p w14:paraId="5BF00882" w14:textId="61C6D31F" w:rsidR="00C572A3" w:rsidRDefault="00FF374B" w:rsidP="00FF374B">
      <w:pPr>
        <w:spacing w:before="240"/>
        <w:rPr>
          <w:rFonts w:asciiTheme="minorHAnsi" w:hAnsiTheme="minorHAnsi"/>
          <w:sz w:val="22"/>
        </w:rPr>
      </w:pPr>
      <w:r>
        <w:fldChar w:fldCharType="end"/>
      </w:r>
      <w:r w:rsidR="00CD760D">
        <w:fldChar w:fldCharType="begin"/>
      </w:r>
      <w:r w:rsidR="00CD760D">
        <w:instrText xml:space="preserve"> LINK </w:instrText>
      </w:r>
      <w:r w:rsidR="0068177A">
        <w:instrText xml:space="preserve">Excel.SheetMacroEnabled.12 "C:\\Users\\arges\\OneDrive\\Desktop\\Municipalidades\\Buenos Aires\\Cierre Junio 2024\\Notas Contables\\15603_T02_2024_Anexo_Estado_Notas_Contables_Vinculadas.xlsm" NOTAS_POR_CUENTA!R12C1:R14C6 </w:instrText>
      </w:r>
      <w:r w:rsidR="00CD760D">
        <w:instrText xml:space="preserve">\a \f 4 \h </w:instrText>
      </w:r>
      <w:r w:rsidR="00CD760D">
        <w:fldChar w:fldCharType="separate"/>
      </w:r>
    </w:p>
    <w:tbl>
      <w:tblPr>
        <w:tblW w:w="10080" w:type="dxa"/>
        <w:tblLook w:val="04A0" w:firstRow="1" w:lastRow="0" w:firstColumn="1" w:lastColumn="0" w:noHBand="0" w:noVBand="1"/>
      </w:tblPr>
      <w:tblGrid>
        <w:gridCol w:w="717"/>
        <w:gridCol w:w="3339"/>
        <w:gridCol w:w="544"/>
        <w:gridCol w:w="2200"/>
        <w:gridCol w:w="2200"/>
        <w:gridCol w:w="1080"/>
      </w:tblGrid>
      <w:tr w:rsidR="00C572A3" w:rsidRPr="00C572A3" w14:paraId="3C37EDA4" w14:textId="77777777" w:rsidTr="00C572A3">
        <w:trPr>
          <w:divId w:val="1537691626"/>
          <w:trHeight w:val="320"/>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0CD5C61" w14:textId="6CD25411" w:rsidR="00C572A3" w:rsidRPr="00C572A3" w:rsidRDefault="00C572A3" w:rsidP="00C572A3">
            <w:pP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15DF238"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Descripción</w:t>
            </w:r>
          </w:p>
        </w:tc>
        <w:tc>
          <w:tcPr>
            <w:tcW w:w="5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C222749"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Nota</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549E64C"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Actual </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F14D617"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Anterior </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2D65FA16"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Diferencia </w:t>
            </w:r>
          </w:p>
        </w:tc>
      </w:tr>
      <w:tr w:rsidR="00C572A3" w:rsidRPr="00C572A3" w14:paraId="372E5F56" w14:textId="77777777" w:rsidTr="00C572A3">
        <w:trPr>
          <w:divId w:val="1537691626"/>
          <w:trHeight w:val="320"/>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48A489A4"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6B4122FB"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14:paraId="3CE7DF2F"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2669EC69"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489F45EB"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1080" w:type="dxa"/>
            <w:tcBorders>
              <w:top w:val="nil"/>
              <w:left w:val="nil"/>
              <w:bottom w:val="single" w:sz="8" w:space="0" w:color="auto"/>
              <w:right w:val="single" w:sz="8" w:space="0" w:color="auto"/>
            </w:tcBorders>
            <w:shd w:val="clear" w:color="000000" w:fill="366092"/>
            <w:noWrap/>
            <w:vAlign w:val="center"/>
            <w:hideMark/>
          </w:tcPr>
          <w:p w14:paraId="214A370B" w14:textId="77777777" w:rsidR="00C572A3" w:rsidRPr="00C572A3" w:rsidRDefault="00C572A3" w:rsidP="00C572A3">
            <w:pPr>
              <w:spacing w:after="0" w:line="240" w:lineRule="auto"/>
              <w:jc w:val="center"/>
              <w:rPr>
                <w:rFonts w:eastAsia="Times New Roman" w:cs="Calibri"/>
                <w:color w:val="FFFFFF"/>
                <w:sz w:val="18"/>
                <w:szCs w:val="18"/>
                <w:lang w:val="en-US"/>
              </w:rPr>
            </w:pPr>
            <w:r w:rsidRPr="00C572A3">
              <w:rPr>
                <w:rFonts w:eastAsia="Times New Roman" w:cs="Calibri"/>
                <w:color w:val="FFFFFF"/>
                <w:sz w:val="18"/>
                <w:szCs w:val="18"/>
                <w:lang w:val="en-US"/>
              </w:rPr>
              <w:t>%</w:t>
            </w:r>
          </w:p>
        </w:tc>
      </w:tr>
      <w:tr w:rsidR="00C572A3" w:rsidRPr="00C572A3" w14:paraId="4E2F642E" w14:textId="77777777" w:rsidTr="00C572A3">
        <w:trPr>
          <w:divId w:val="1537691626"/>
          <w:trHeight w:val="320"/>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090C44E1" w14:textId="77777777" w:rsidR="00C572A3" w:rsidRPr="00C572A3" w:rsidRDefault="00C572A3" w:rsidP="00C572A3">
            <w:pPr>
              <w:spacing w:after="0" w:line="240" w:lineRule="auto"/>
              <w:jc w:val="left"/>
              <w:rPr>
                <w:rFonts w:eastAsia="Times New Roman" w:cs="Calibri"/>
                <w:b/>
                <w:bCs/>
                <w:color w:val="000000"/>
                <w:sz w:val="18"/>
                <w:szCs w:val="18"/>
                <w:lang w:val="en-US"/>
              </w:rPr>
            </w:pPr>
            <w:r w:rsidRPr="00C572A3">
              <w:rPr>
                <w:rFonts w:eastAsia="Times New Roman" w:cs="Calibri"/>
                <w:b/>
                <w:bCs/>
                <w:color w:val="000000"/>
                <w:sz w:val="18"/>
                <w:szCs w:val="18"/>
                <w:lang w:val="en-US"/>
              </w:rPr>
              <w:t>1.1.3.</w:t>
            </w:r>
          </w:p>
        </w:tc>
        <w:tc>
          <w:tcPr>
            <w:tcW w:w="3380" w:type="dxa"/>
            <w:tcBorders>
              <w:top w:val="nil"/>
              <w:left w:val="nil"/>
              <w:bottom w:val="single" w:sz="8" w:space="0" w:color="auto"/>
              <w:right w:val="single" w:sz="8" w:space="0" w:color="auto"/>
            </w:tcBorders>
            <w:shd w:val="clear" w:color="auto" w:fill="auto"/>
            <w:vAlign w:val="center"/>
            <w:hideMark/>
          </w:tcPr>
          <w:p w14:paraId="36BB2F06" w14:textId="77777777" w:rsidR="00C572A3" w:rsidRPr="00C572A3" w:rsidRDefault="00C572A3" w:rsidP="00C572A3">
            <w:pPr>
              <w:spacing w:after="0" w:line="240" w:lineRule="auto"/>
              <w:jc w:val="left"/>
              <w:rPr>
                <w:rFonts w:eastAsia="Times New Roman" w:cs="Calibri"/>
                <w:b/>
                <w:bCs/>
                <w:color w:val="000000"/>
                <w:sz w:val="18"/>
                <w:szCs w:val="18"/>
              </w:rPr>
            </w:pPr>
            <w:r w:rsidRPr="00C572A3">
              <w:rPr>
                <w:rFonts w:eastAsia="Times New Roman" w:cs="Calibri"/>
                <w:b/>
                <w:bCs/>
                <w:color w:val="000000"/>
                <w:sz w:val="18"/>
                <w:szCs w:val="18"/>
              </w:rPr>
              <w:t>Cuentas a cobrar a corto plazo</w:t>
            </w:r>
          </w:p>
        </w:tc>
        <w:tc>
          <w:tcPr>
            <w:tcW w:w="520" w:type="dxa"/>
            <w:tcBorders>
              <w:top w:val="nil"/>
              <w:left w:val="nil"/>
              <w:bottom w:val="single" w:sz="8" w:space="0" w:color="auto"/>
              <w:right w:val="single" w:sz="8" w:space="0" w:color="auto"/>
            </w:tcBorders>
            <w:shd w:val="clear" w:color="auto" w:fill="auto"/>
            <w:noWrap/>
            <w:vAlign w:val="center"/>
            <w:hideMark/>
          </w:tcPr>
          <w:p w14:paraId="4607D75D"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05</w:t>
            </w:r>
          </w:p>
        </w:tc>
        <w:tc>
          <w:tcPr>
            <w:tcW w:w="2200" w:type="dxa"/>
            <w:tcBorders>
              <w:top w:val="nil"/>
              <w:left w:val="nil"/>
              <w:bottom w:val="single" w:sz="8" w:space="0" w:color="auto"/>
              <w:right w:val="single" w:sz="8" w:space="0" w:color="auto"/>
            </w:tcBorders>
            <w:shd w:val="clear" w:color="auto" w:fill="auto"/>
            <w:noWrap/>
            <w:vAlign w:val="center"/>
            <w:hideMark/>
          </w:tcPr>
          <w:p w14:paraId="35DDF0FD"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2 685 853,54 </w:t>
            </w:r>
          </w:p>
        </w:tc>
        <w:tc>
          <w:tcPr>
            <w:tcW w:w="2200" w:type="dxa"/>
            <w:tcBorders>
              <w:top w:val="nil"/>
              <w:left w:val="nil"/>
              <w:bottom w:val="single" w:sz="8" w:space="0" w:color="auto"/>
              <w:right w:val="single" w:sz="8" w:space="0" w:color="auto"/>
            </w:tcBorders>
            <w:shd w:val="clear" w:color="auto" w:fill="auto"/>
            <w:noWrap/>
            <w:vAlign w:val="center"/>
            <w:hideMark/>
          </w:tcPr>
          <w:p w14:paraId="1E72EA76"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2 661 314,93 </w:t>
            </w:r>
          </w:p>
        </w:tc>
        <w:tc>
          <w:tcPr>
            <w:tcW w:w="1080" w:type="dxa"/>
            <w:tcBorders>
              <w:top w:val="nil"/>
              <w:left w:val="nil"/>
              <w:bottom w:val="single" w:sz="8" w:space="0" w:color="auto"/>
              <w:right w:val="single" w:sz="8" w:space="0" w:color="auto"/>
            </w:tcBorders>
            <w:shd w:val="clear" w:color="auto" w:fill="auto"/>
            <w:noWrap/>
            <w:vAlign w:val="center"/>
            <w:hideMark/>
          </w:tcPr>
          <w:p w14:paraId="39996E75"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0,92%</w:t>
            </w:r>
          </w:p>
        </w:tc>
      </w:tr>
    </w:tbl>
    <w:p w14:paraId="4ECCA20D" w14:textId="7E11EDE1" w:rsidR="00692DC8" w:rsidRPr="00FF374B" w:rsidRDefault="00CD760D" w:rsidP="00FF374B">
      <w:pPr>
        <w:spacing w:before="240"/>
      </w:pPr>
      <w:r>
        <w:fldChar w:fldCharType="end"/>
      </w:r>
      <w:r w:rsidR="00692DC8" w:rsidRPr="00692DC8">
        <w:rPr>
          <w:rFonts w:eastAsia="Times New Roman"/>
          <w:color w:val="000000"/>
          <w:szCs w:val="24"/>
          <w:lang w:val="es-ES" w:eastAsia="es-ES"/>
        </w:rPr>
        <w:t>Detalle</w:t>
      </w:r>
      <w:r w:rsidR="00692DC8" w:rsidRPr="00692DC8">
        <w:rPr>
          <w:rFonts w:ascii="Times New Roman" w:eastAsia="Times New Roman" w:hAnsi="Times New Roman"/>
          <w:szCs w:val="24"/>
          <w:lang w:eastAsia="es-CR"/>
        </w:rPr>
        <w:t xml:space="preserve"> </w:t>
      </w:r>
      <w:r w:rsidR="00692DC8" w:rsidRPr="00692DC8">
        <w:rPr>
          <w:rFonts w:eastAsia="Times New Roman"/>
          <w:color w:val="000000"/>
          <w:szCs w:val="24"/>
          <w:lang w:val="es-ES" w:eastAsia="es-ES"/>
        </w:rPr>
        <w:t>cuentas Transferencias del sector público interno a cobrar c/p</w:t>
      </w:r>
    </w:p>
    <w:tbl>
      <w:tblPr>
        <w:tblW w:w="4380" w:type="dxa"/>
        <w:tblInd w:w="-10" w:type="dxa"/>
        <w:tblCellMar>
          <w:left w:w="70" w:type="dxa"/>
          <w:right w:w="70" w:type="dxa"/>
        </w:tblCellMar>
        <w:tblLook w:val="04A0" w:firstRow="1" w:lastRow="0" w:firstColumn="1" w:lastColumn="0" w:noHBand="0" w:noVBand="1"/>
      </w:tblPr>
      <w:tblGrid>
        <w:gridCol w:w="1240"/>
        <w:gridCol w:w="3140"/>
      </w:tblGrid>
      <w:tr w:rsidR="00FF374B" w:rsidRPr="00FF374B" w14:paraId="1B757839" w14:textId="77777777" w:rsidTr="00FF374B">
        <w:trPr>
          <w:trHeight w:val="288"/>
        </w:trPr>
        <w:tc>
          <w:tcPr>
            <w:tcW w:w="1240" w:type="dxa"/>
            <w:tcBorders>
              <w:top w:val="single" w:sz="8" w:space="0" w:color="auto"/>
              <w:left w:val="single" w:sz="8" w:space="0" w:color="auto"/>
              <w:bottom w:val="nil"/>
              <w:right w:val="single" w:sz="8" w:space="0" w:color="auto"/>
            </w:tcBorders>
            <w:shd w:val="clear" w:color="000000" w:fill="366092"/>
            <w:noWrap/>
            <w:vAlign w:val="center"/>
            <w:hideMark/>
          </w:tcPr>
          <w:p w14:paraId="7C3B5AD3" w14:textId="77777777" w:rsidR="00FF374B" w:rsidRPr="00FF374B" w:rsidRDefault="00FF374B" w:rsidP="00FF374B">
            <w:pPr>
              <w:spacing w:after="0" w:line="240" w:lineRule="auto"/>
              <w:rPr>
                <w:rFonts w:eastAsia="Times New Roman" w:cs="Calibri"/>
                <w:b/>
                <w:bCs/>
                <w:color w:val="FFFFFF"/>
                <w:sz w:val="18"/>
                <w:szCs w:val="18"/>
                <w:lang w:eastAsia="es-CR"/>
              </w:rPr>
            </w:pPr>
            <w:r w:rsidRPr="00FF374B">
              <w:rPr>
                <w:rFonts w:eastAsia="Times New Roman" w:cs="Calibri"/>
                <w:b/>
                <w:bCs/>
                <w:color w:val="FFFFFF"/>
                <w:sz w:val="18"/>
                <w:szCs w:val="18"/>
                <w:lang w:eastAsia="es-CR"/>
              </w:rPr>
              <w:t xml:space="preserve">Cuenta </w:t>
            </w:r>
          </w:p>
        </w:tc>
        <w:tc>
          <w:tcPr>
            <w:tcW w:w="3140" w:type="dxa"/>
            <w:tcBorders>
              <w:top w:val="single" w:sz="8" w:space="0" w:color="auto"/>
              <w:left w:val="nil"/>
              <w:bottom w:val="nil"/>
              <w:right w:val="single" w:sz="8" w:space="0" w:color="auto"/>
            </w:tcBorders>
            <w:shd w:val="clear" w:color="000000" w:fill="366092"/>
            <w:vAlign w:val="center"/>
            <w:hideMark/>
          </w:tcPr>
          <w:p w14:paraId="0C184E03" w14:textId="77777777" w:rsidR="00FF374B" w:rsidRPr="00FF374B" w:rsidRDefault="00FF374B" w:rsidP="00FF374B">
            <w:pPr>
              <w:spacing w:after="0" w:line="240" w:lineRule="auto"/>
              <w:jc w:val="center"/>
              <w:rPr>
                <w:rFonts w:eastAsia="Times New Roman" w:cs="Calibri"/>
                <w:b/>
                <w:bCs/>
                <w:color w:val="FFFFFF"/>
                <w:sz w:val="18"/>
                <w:szCs w:val="18"/>
                <w:lang w:eastAsia="es-CR"/>
              </w:rPr>
            </w:pPr>
            <w:r w:rsidRPr="00FF374B">
              <w:rPr>
                <w:rFonts w:eastAsia="Times New Roman" w:cs="Calibri"/>
                <w:b/>
                <w:bCs/>
                <w:color w:val="FFFFFF"/>
                <w:sz w:val="18"/>
                <w:szCs w:val="18"/>
                <w:lang w:eastAsia="es-CR"/>
              </w:rPr>
              <w:t xml:space="preserve">Descripción </w:t>
            </w:r>
          </w:p>
        </w:tc>
      </w:tr>
      <w:tr w:rsidR="00FF374B" w:rsidRPr="00FF374B" w14:paraId="6102C6AC" w14:textId="77777777" w:rsidTr="00FF374B">
        <w:trPr>
          <w:trHeight w:val="54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0491DFDA" w14:textId="77777777" w:rsidR="00FF374B" w:rsidRPr="00FF374B" w:rsidRDefault="00FF374B" w:rsidP="00FF374B">
            <w:pPr>
              <w:spacing w:after="0" w:line="240" w:lineRule="auto"/>
              <w:rPr>
                <w:rFonts w:eastAsia="Times New Roman" w:cs="Calibri"/>
                <w:b/>
                <w:bCs/>
                <w:color w:val="000000"/>
                <w:sz w:val="18"/>
                <w:szCs w:val="18"/>
                <w:lang w:eastAsia="es-CR"/>
              </w:rPr>
            </w:pPr>
            <w:r w:rsidRPr="00FF374B">
              <w:rPr>
                <w:rFonts w:eastAsia="Times New Roman" w:cs="Calibri"/>
                <w:b/>
                <w:bCs/>
                <w:color w:val="000000"/>
                <w:sz w:val="18"/>
                <w:szCs w:val="18"/>
                <w:lang w:eastAsia="es-CR"/>
              </w:rPr>
              <w:t>1.1.3.06.02.</w:t>
            </w:r>
          </w:p>
        </w:tc>
        <w:tc>
          <w:tcPr>
            <w:tcW w:w="3140" w:type="dxa"/>
            <w:tcBorders>
              <w:top w:val="nil"/>
              <w:left w:val="nil"/>
              <w:bottom w:val="single" w:sz="8" w:space="0" w:color="auto"/>
              <w:right w:val="single" w:sz="8" w:space="0" w:color="auto"/>
            </w:tcBorders>
            <w:shd w:val="clear" w:color="auto" w:fill="auto"/>
            <w:vAlign w:val="center"/>
            <w:hideMark/>
          </w:tcPr>
          <w:p w14:paraId="6B456A10" w14:textId="77777777" w:rsidR="00FF374B" w:rsidRPr="00FF374B" w:rsidRDefault="00FF374B" w:rsidP="00FF374B">
            <w:pPr>
              <w:spacing w:after="0" w:line="240" w:lineRule="auto"/>
              <w:rPr>
                <w:rFonts w:eastAsia="Times New Roman" w:cs="Calibri"/>
                <w:b/>
                <w:bCs/>
                <w:color w:val="000000"/>
                <w:sz w:val="18"/>
                <w:szCs w:val="18"/>
                <w:lang w:eastAsia="es-CR"/>
              </w:rPr>
            </w:pPr>
            <w:r w:rsidRPr="00FF374B">
              <w:rPr>
                <w:rFonts w:eastAsia="Times New Roman" w:cs="Calibri"/>
                <w:b/>
                <w:bCs/>
                <w:color w:val="000000"/>
                <w:sz w:val="18"/>
                <w:szCs w:val="18"/>
                <w:lang w:eastAsia="es-CR"/>
              </w:rPr>
              <w:t>Transferencias del sector público interno a cobrar c/p</w:t>
            </w:r>
          </w:p>
        </w:tc>
      </w:tr>
    </w:tbl>
    <w:p w14:paraId="69AB5D38" w14:textId="77777777" w:rsidR="00130141" w:rsidRDefault="00130141" w:rsidP="004B3330">
      <w:pPr>
        <w:spacing w:after="120" w:line="240" w:lineRule="auto"/>
        <w:rPr>
          <w:lang w:eastAsia="es-CR"/>
        </w:rPr>
      </w:pPr>
    </w:p>
    <w:tbl>
      <w:tblPr>
        <w:tblW w:w="8988" w:type="dxa"/>
        <w:tblLook w:val="04A0" w:firstRow="1" w:lastRow="0" w:firstColumn="1" w:lastColumn="0" w:noHBand="0" w:noVBand="1"/>
      </w:tblPr>
      <w:tblGrid>
        <w:gridCol w:w="1356"/>
        <w:gridCol w:w="2983"/>
        <w:gridCol w:w="1321"/>
        <w:gridCol w:w="1210"/>
        <w:gridCol w:w="1193"/>
        <w:gridCol w:w="930"/>
      </w:tblGrid>
      <w:tr w:rsidR="004B3330" w:rsidRPr="004B3330" w14:paraId="578F0140" w14:textId="77777777" w:rsidTr="004B3330">
        <w:trPr>
          <w:trHeight w:val="700"/>
        </w:trPr>
        <w:tc>
          <w:tcPr>
            <w:tcW w:w="1349" w:type="dxa"/>
            <w:tcBorders>
              <w:top w:val="single" w:sz="8" w:space="0" w:color="auto"/>
              <w:left w:val="single" w:sz="8" w:space="0" w:color="auto"/>
              <w:bottom w:val="nil"/>
              <w:right w:val="nil"/>
            </w:tcBorders>
            <w:shd w:val="clear" w:color="000000" w:fill="365F91"/>
            <w:vAlign w:val="center"/>
            <w:hideMark/>
          </w:tcPr>
          <w:p w14:paraId="3255E25E" w14:textId="77777777" w:rsidR="004B3330" w:rsidRPr="004B3330" w:rsidRDefault="004B3330" w:rsidP="004B3330">
            <w:pPr>
              <w:spacing w:after="0" w:line="240" w:lineRule="auto"/>
              <w:jc w:val="center"/>
              <w:rPr>
                <w:rFonts w:eastAsia="Times New Roman" w:cs="Calibri"/>
                <w:b/>
                <w:bCs/>
                <w:color w:val="FFFFFF"/>
                <w:sz w:val="18"/>
                <w:szCs w:val="18"/>
                <w:lang w:val="en-US"/>
              </w:rPr>
            </w:pPr>
            <w:r w:rsidRPr="004B3330">
              <w:rPr>
                <w:rFonts w:eastAsia="Times New Roman" w:cs="Calibri"/>
                <w:b/>
                <w:bCs/>
                <w:color w:val="FFFFFF"/>
                <w:sz w:val="18"/>
                <w:szCs w:val="18"/>
                <w:lang w:val="en-US"/>
              </w:rPr>
              <w:t>CODIGO INSTITUCIONAL</w:t>
            </w:r>
          </w:p>
        </w:tc>
        <w:tc>
          <w:tcPr>
            <w:tcW w:w="2990" w:type="dxa"/>
            <w:tcBorders>
              <w:top w:val="single" w:sz="8" w:space="0" w:color="auto"/>
              <w:left w:val="nil"/>
              <w:bottom w:val="nil"/>
              <w:right w:val="single" w:sz="8" w:space="0" w:color="auto"/>
            </w:tcBorders>
            <w:shd w:val="clear" w:color="000000" w:fill="365F91"/>
            <w:vAlign w:val="center"/>
            <w:hideMark/>
          </w:tcPr>
          <w:p w14:paraId="23DA0DE3" w14:textId="77777777" w:rsidR="004B3330" w:rsidRPr="004B3330" w:rsidRDefault="004B3330" w:rsidP="004B3330">
            <w:pPr>
              <w:spacing w:after="0" w:line="240" w:lineRule="auto"/>
              <w:jc w:val="center"/>
              <w:rPr>
                <w:rFonts w:eastAsia="Times New Roman" w:cs="Calibri"/>
                <w:b/>
                <w:bCs/>
                <w:color w:val="FFFFFF"/>
                <w:sz w:val="18"/>
                <w:szCs w:val="18"/>
                <w:lang w:val="en-US"/>
              </w:rPr>
            </w:pPr>
            <w:r w:rsidRPr="004B3330">
              <w:rPr>
                <w:rFonts w:eastAsia="Times New Roman" w:cs="Calibri"/>
                <w:b/>
                <w:bCs/>
                <w:color w:val="FFFFFF"/>
                <w:sz w:val="18"/>
                <w:szCs w:val="18"/>
                <w:lang w:val="en-US"/>
              </w:rPr>
              <w:t>Nombre Entidad</w:t>
            </w:r>
          </w:p>
        </w:tc>
        <w:tc>
          <w:tcPr>
            <w:tcW w:w="1321" w:type="dxa"/>
            <w:tcBorders>
              <w:top w:val="single" w:sz="8" w:space="0" w:color="auto"/>
              <w:left w:val="nil"/>
              <w:bottom w:val="nil"/>
              <w:right w:val="single" w:sz="8" w:space="0" w:color="auto"/>
            </w:tcBorders>
            <w:shd w:val="clear" w:color="000000" w:fill="365F91"/>
            <w:vAlign w:val="center"/>
            <w:hideMark/>
          </w:tcPr>
          <w:p w14:paraId="7F5379DA" w14:textId="77777777" w:rsidR="004B3330" w:rsidRPr="004B3330" w:rsidRDefault="004B3330" w:rsidP="004B3330">
            <w:pPr>
              <w:spacing w:after="0" w:line="240" w:lineRule="auto"/>
              <w:jc w:val="center"/>
              <w:rPr>
                <w:rFonts w:eastAsia="Times New Roman" w:cs="Calibri"/>
                <w:b/>
                <w:bCs/>
                <w:color w:val="FFFFFF"/>
                <w:sz w:val="18"/>
                <w:szCs w:val="18"/>
                <w:lang w:val="en-US"/>
              </w:rPr>
            </w:pPr>
            <w:r w:rsidRPr="004B3330">
              <w:rPr>
                <w:rFonts w:eastAsia="Times New Roman" w:cs="Calibri"/>
                <w:b/>
                <w:bCs/>
                <w:color w:val="FFFFFF"/>
                <w:sz w:val="18"/>
                <w:szCs w:val="18"/>
                <w:lang w:val="en-US"/>
              </w:rPr>
              <w:t>Periodo Actual</w:t>
            </w:r>
          </w:p>
        </w:tc>
        <w:tc>
          <w:tcPr>
            <w:tcW w:w="1210" w:type="dxa"/>
            <w:tcBorders>
              <w:top w:val="single" w:sz="8" w:space="0" w:color="auto"/>
              <w:left w:val="nil"/>
              <w:bottom w:val="nil"/>
              <w:right w:val="single" w:sz="8" w:space="0" w:color="auto"/>
            </w:tcBorders>
            <w:shd w:val="clear" w:color="000000" w:fill="365F91"/>
            <w:vAlign w:val="center"/>
            <w:hideMark/>
          </w:tcPr>
          <w:p w14:paraId="4076AFD5" w14:textId="77777777" w:rsidR="004B3330" w:rsidRPr="004B3330" w:rsidRDefault="004B3330" w:rsidP="004B3330">
            <w:pPr>
              <w:spacing w:after="0" w:line="240" w:lineRule="auto"/>
              <w:jc w:val="center"/>
              <w:rPr>
                <w:rFonts w:eastAsia="Times New Roman" w:cs="Calibri"/>
                <w:b/>
                <w:bCs/>
                <w:color w:val="FFFFFF"/>
                <w:sz w:val="18"/>
                <w:szCs w:val="18"/>
                <w:lang w:val="en-US"/>
              </w:rPr>
            </w:pPr>
            <w:r w:rsidRPr="004B3330">
              <w:rPr>
                <w:rFonts w:eastAsia="Times New Roman" w:cs="Calibri"/>
                <w:b/>
                <w:bCs/>
                <w:color w:val="FFFFFF"/>
                <w:sz w:val="18"/>
                <w:szCs w:val="18"/>
                <w:lang w:val="en-US"/>
              </w:rPr>
              <w:t>Periodo Anterior</w:t>
            </w:r>
          </w:p>
        </w:tc>
        <w:tc>
          <w:tcPr>
            <w:tcW w:w="1193" w:type="dxa"/>
            <w:tcBorders>
              <w:top w:val="single" w:sz="8" w:space="0" w:color="auto"/>
              <w:left w:val="nil"/>
              <w:bottom w:val="nil"/>
              <w:right w:val="single" w:sz="8" w:space="0" w:color="auto"/>
            </w:tcBorders>
            <w:shd w:val="clear" w:color="000000" w:fill="365F91"/>
            <w:vAlign w:val="center"/>
            <w:hideMark/>
          </w:tcPr>
          <w:p w14:paraId="2444602A" w14:textId="77777777" w:rsidR="004B3330" w:rsidRPr="004B3330" w:rsidRDefault="004B3330" w:rsidP="004B3330">
            <w:pPr>
              <w:spacing w:after="0" w:line="240" w:lineRule="auto"/>
              <w:jc w:val="center"/>
              <w:rPr>
                <w:rFonts w:eastAsia="Times New Roman" w:cs="Calibri"/>
                <w:b/>
                <w:bCs/>
                <w:color w:val="FFFFFF"/>
                <w:sz w:val="18"/>
                <w:szCs w:val="18"/>
                <w:lang w:val="en-US"/>
              </w:rPr>
            </w:pPr>
            <w:r w:rsidRPr="004B3330">
              <w:rPr>
                <w:rFonts w:eastAsia="Times New Roman" w:cs="Calibri"/>
                <w:b/>
                <w:bCs/>
                <w:color w:val="FFFFFF"/>
                <w:sz w:val="18"/>
                <w:szCs w:val="18"/>
                <w:lang w:val="en-US"/>
              </w:rPr>
              <w:t>Diferencia Absoluta</w:t>
            </w:r>
          </w:p>
        </w:tc>
        <w:tc>
          <w:tcPr>
            <w:tcW w:w="925" w:type="dxa"/>
            <w:tcBorders>
              <w:top w:val="single" w:sz="8" w:space="0" w:color="auto"/>
              <w:left w:val="nil"/>
              <w:bottom w:val="nil"/>
              <w:right w:val="single" w:sz="8" w:space="0" w:color="auto"/>
            </w:tcBorders>
            <w:shd w:val="clear" w:color="000000" w:fill="365F91"/>
            <w:vAlign w:val="center"/>
            <w:hideMark/>
          </w:tcPr>
          <w:p w14:paraId="6E29E04E" w14:textId="77777777" w:rsidR="004B3330" w:rsidRPr="004B3330" w:rsidRDefault="004B3330" w:rsidP="004B3330">
            <w:pPr>
              <w:spacing w:after="0" w:line="240" w:lineRule="auto"/>
              <w:jc w:val="center"/>
              <w:rPr>
                <w:rFonts w:eastAsia="Times New Roman" w:cs="Calibri"/>
                <w:b/>
                <w:bCs/>
                <w:color w:val="FFFFFF"/>
                <w:sz w:val="18"/>
                <w:szCs w:val="18"/>
                <w:lang w:val="en-US"/>
              </w:rPr>
            </w:pPr>
            <w:r w:rsidRPr="004B3330">
              <w:rPr>
                <w:rFonts w:eastAsia="Times New Roman" w:cs="Calibri"/>
                <w:b/>
                <w:bCs/>
                <w:color w:val="FFFFFF"/>
                <w:sz w:val="18"/>
                <w:szCs w:val="18"/>
                <w:lang w:val="en-US"/>
              </w:rPr>
              <w:t>Diferencia %</w:t>
            </w:r>
          </w:p>
        </w:tc>
      </w:tr>
      <w:tr w:rsidR="004B3330" w:rsidRPr="004B3330" w14:paraId="385E1291" w14:textId="77777777" w:rsidTr="004B3330">
        <w:trPr>
          <w:trHeight w:val="290"/>
        </w:trPr>
        <w:tc>
          <w:tcPr>
            <w:tcW w:w="134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42FEA44" w14:textId="77777777" w:rsidR="004B3330" w:rsidRPr="004B3330" w:rsidRDefault="004B3330" w:rsidP="004B3330">
            <w:pPr>
              <w:spacing w:after="0" w:line="240" w:lineRule="auto"/>
              <w:jc w:val="center"/>
              <w:rPr>
                <w:rFonts w:eastAsia="Times New Roman" w:cs="Calibri"/>
                <w:color w:val="000000"/>
                <w:sz w:val="20"/>
                <w:szCs w:val="20"/>
                <w:lang w:val="en-US"/>
              </w:rPr>
            </w:pPr>
            <w:r w:rsidRPr="004B3330">
              <w:rPr>
                <w:rFonts w:eastAsia="Times New Roman" w:cs="Calibri"/>
                <w:color w:val="000000"/>
                <w:sz w:val="20"/>
                <w:szCs w:val="20"/>
                <w:lang w:val="en-US"/>
              </w:rPr>
              <w:t>11206</w:t>
            </w:r>
          </w:p>
        </w:tc>
        <w:tc>
          <w:tcPr>
            <w:tcW w:w="2990" w:type="dxa"/>
            <w:tcBorders>
              <w:top w:val="single" w:sz="8" w:space="0" w:color="auto"/>
              <w:left w:val="nil"/>
              <w:bottom w:val="single" w:sz="4" w:space="0" w:color="auto"/>
              <w:right w:val="single" w:sz="4" w:space="0" w:color="auto"/>
            </w:tcBorders>
            <w:shd w:val="clear" w:color="auto" w:fill="auto"/>
            <w:vAlign w:val="center"/>
            <w:hideMark/>
          </w:tcPr>
          <w:p w14:paraId="5D3AE966" w14:textId="77777777" w:rsidR="004B3330" w:rsidRPr="004B3330" w:rsidRDefault="004B3330" w:rsidP="004B3330">
            <w:pPr>
              <w:spacing w:after="0" w:line="240" w:lineRule="auto"/>
              <w:rPr>
                <w:rFonts w:eastAsia="Times New Roman" w:cs="Calibri"/>
                <w:color w:val="000000"/>
                <w:sz w:val="20"/>
                <w:szCs w:val="20"/>
                <w:lang w:val="en-US"/>
              </w:rPr>
            </w:pPr>
            <w:r w:rsidRPr="004B3330">
              <w:rPr>
                <w:rFonts w:eastAsia="Times New Roman" w:cs="Calibri"/>
                <w:color w:val="000000"/>
                <w:sz w:val="20"/>
                <w:szCs w:val="20"/>
                <w:lang w:val="en-US"/>
              </w:rPr>
              <w:t>Ministerio de Hacienda</w:t>
            </w:r>
          </w:p>
        </w:tc>
        <w:tc>
          <w:tcPr>
            <w:tcW w:w="1321" w:type="dxa"/>
            <w:tcBorders>
              <w:top w:val="single" w:sz="8" w:space="0" w:color="auto"/>
              <w:left w:val="nil"/>
              <w:bottom w:val="single" w:sz="4" w:space="0" w:color="auto"/>
              <w:right w:val="single" w:sz="4" w:space="0" w:color="auto"/>
            </w:tcBorders>
            <w:shd w:val="clear" w:color="auto" w:fill="auto"/>
            <w:noWrap/>
            <w:vAlign w:val="center"/>
            <w:hideMark/>
          </w:tcPr>
          <w:p w14:paraId="3818DED3" w14:textId="77777777" w:rsidR="004B3330" w:rsidRPr="004B3330" w:rsidRDefault="004B3330" w:rsidP="004B3330">
            <w:pPr>
              <w:spacing w:after="0" w:line="240" w:lineRule="auto"/>
              <w:jc w:val="right"/>
              <w:rPr>
                <w:rFonts w:eastAsia="Times New Roman" w:cs="Calibri"/>
                <w:color w:val="000000"/>
                <w:sz w:val="18"/>
                <w:szCs w:val="18"/>
                <w:lang w:val="en-US"/>
              </w:rPr>
            </w:pPr>
            <w:r w:rsidRPr="004B3330">
              <w:rPr>
                <w:rFonts w:ascii="Arial" w:eastAsia="Times New Roman" w:hAnsi="Arial" w:cs="Arial"/>
                <w:color w:val="000000"/>
                <w:sz w:val="18"/>
                <w:szCs w:val="18"/>
                <w:lang w:val="en-US"/>
              </w:rPr>
              <w:t>₡</w:t>
            </w:r>
            <w:r w:rsidRPr="004B3330">
              <w:rPr>
                <w:rFonts w:eastAsia="Times New Roman" w:cs="Calibri"/>
                <w:color w:val="000000"/>
                <w:sz w:val="18"/>
                <w:szCs w:val="18"/>
                <w:lang w:val="en-US"/>
              </w:rPr>
              <w:t>2 200 809,75</w:t>
            </w:r>
          </w:p>
        </w:tc>
        <w:tc>
          <w:tcPr>
            <w:tcW w:w="1210" w:type="dxa"/>
            <w:tcBorders>
              <w:top w:val="single" w:sz="8" w:space="0" w:color="auto"/>
              <w:left w:val="nil"/>
              <w:bottom w:val="single" w:sz="4" w:space="0" w:color="auto"/>
              <w:right w:val="single" w:sz="4" w:space="0" w:color="auto"/>
            </w:tcBorders>
            <w:shd w:val="clear" w:color="auto" w:fill="auto"/>
            <w:noWrap/>
            <w:vAlign w:val="center"/>
            <w:hideMark/>
          </w:tcPr>
          <w:p w14:paraId="2D29064A" w14:textId="77777777" w:rsidR="004B3330" w:rsidRPr="004B3330" w:rsidRDefault="004B3330" w:rsidP="004B3330">
            <w:pPr>
              <w:spacing w:after="0" w:line="240" w:lineRule="auto"/>
              <w:jc w:val="right"/>
              <w:rPr>
                <w:rFonts w:eastAsia="Times New Roman" w:cs="Calibri"/>
                <w:color w:val="000000"/>
                <w:sz w:val="18"/>
                <w:szCs w:val="18"/>
                <w:lang w:val="en-US"/>
              </w:rPr>
            </w:pPr>
            <w:r w:rsidRPr="004B3330">
              <w:rPr>
                <w:rFonts w:ascii="Arial" w:eastAsia="Times New Roman" w:hAnsi="Arial" w:cs="Arial"/>
                <w:color w:val="000000"/>
                <w:sz w:val="18"/>
                <w:szCs w:val="18"/>
                <w:lang w:val="en-US"/>
              </w:rPr>
              <w:t>₡</w:t>
            </w:r>
            <w:r w:rsidRPr="004B3330">
              <w:rPr>
                <w:rFonts w:eastAsia="Times New Roman" w:cs="Calibri"/>
                <w:color w:val="000000"/>
                <w:sz w:val="18"/>
                <w:szCs w:val="18"/>
                <w:lang w:val="en-US"/>
              </w:rPr>
              <w:t>2 216 469,34</w:t>
            </w:r>
          </w:p>
        </w:tc>
        <w:tc>
          <w:tcPr>
            <w:tcW w:w="1193" w:type="dxa"/>
            <w:tcBorders>
              <w:top w:val="single" w:sz="8" w:space="0" w:color="auto"/>
              <w:left w:val="nil"/>
              <w:bottom w:val="single" w:sz="4" w:space="0" w:color="auto"/>
              <w:right w:val="single" w:sz="4" w:space="0" w:color="auto"/>
            </w:tcBorders>
            <w:shd w:val="clear" w:color="auto" w:fill="auto"/>
            <w:noWrap/>
            <w:vAlign w:val="center"/>
            <w:hideMark/>
          </w:tcPr>
          <w:p w14:paraId="19E32338" w14:textId="77777777" w:rsidR="004B3330" w:rsidRPr="004B3330" w:rsidRDefault="004B3330" w:rsidP="004B3330">
            <w:pPr>
              <w:spacing w:after="0" w:line="240" w:lineRule="auto"/>
              <w:jc w:val="right"/>
              <w:rPr>
                <w:rFonts w:eastAsia="Times New Roman" w:cs="Calibri"/>
                <w:color w:val="000000"/>
                <w:sz w:val="18"/>
                <w:szCs w:val="18"/>
                <w:lang w:val="en-US"/>
              </w:rPr>
            </w:pPr>
            <w:r w:rsidRPr="004B3330">
              <w:rPr>
                <w:rFonts w:eastAsia="Times New Roman" w:cs="Calibri"/>
                <w:color w:val="000000"/>
                <w:sz w:val="18"/>
                <w:szCs w:val="18"/>
                <w:lang w:val="en-US"/>
              </w:rPr>
              <w:t>-</w:t>
            </w:r>
            <w:r w:rsidRPr="004B3330">
              <w:rPr>
                <w:rFonts w:ascii="Arial" w:eastAsia="Times New Roman" w:hAnsi="Arial" w:cs="Arial"/>
                <w:color w:val="000000"/>
                <w:sz w:val="18"/>
                <w:szCs w:val="18"/>
                <w:lang w:val="en-US"/>
              </w:rPr>
              <w:t>₡</w:t>
            </w:r>
            <w:r w:rsidRPr="004B3330">
              <w:rPr>
                <w:rFonts w:eastAsia="Times New Roman" w:cs="Calibri"/>
                <w:color w:val="000000"/>
                <w:sz w:val="18"/>
                <w:szCs w:val="18"/>
                <w:lang w:val="en-US"/>
              </w:rPr>
              <w:t>15 659,59</w:t>
            </w:r>
          </w:p>
        </w:tc>
        <w:tc>
          <w:tcPr>
            <w:tcW w:w="925" w:type="dxa"/>
            <w:tcBorders>
              <w:top w:val="single" w:sz="8" w:space="0" w:color="auto"/>
              <w:left w:val="nil"/>
              <w:bottom w:val="single" w:sz="4" w:space="0" w:color="auto"/>
              <w:right w:val="single" w:sz="8" w:space="0" w:color="auto"/>
            </w:tcBorders>
            <w:shd w:val="clear" w:color="auto" w:fill="auto"/>
            <w:noWrap/>
            <w:vAlign w:val="bottom"/>
            <w:hideMark/>
          </w:tcPr>
          <w:p w14:paraId="39CAE91F" w14:textId="77777777" w:rsidR="004B3330" w:rsidRPr="004B3330" w:rsidRDefault="004B3330" w:rsidP="004B3330">
            <w:pPr>
              <w:spacing w:after="0" w:line="240" w:lineRule="auto"/>
              <w:jc w:val="right"/>
              <w:rPr>
                <w:rFonts w:eastAsia="Times New Roman" w:cs="Calibri"/>
                <w:color w:val="000000"/>
                <w:sz w:val="18"/>
                <w:szCs w:val="18"/>
                <w:lang w:val="en-US"/>
              </w:rPr>
            </w:pPr>
            <w:r w:rsidRPr="004B3330">
              <w:rPr>
                <w:rFonts w:eastAsia="Times New Roman" w:cs="Calibri"/>
                <w:color w:val="000000"/>
                <w:sz w:val="18"/>
                <w:szCs w:val="18"/>
                <w:lang w:val="en-US"/>
              </w:rPr>
              <w:t>-0,71%</w:t>
            </w:r>
          </w:p>
        </w:tc>
      </w:tr>
      <w:tr w:rsidR="004B3330" w:rsidRPr="004B3330" w14:paraId="0FC2634C" w14:textId="77777777" w:rsidTr="004B3330">
        <w:trPr>
          <w:trHeight w:val="300"/>
        </w:trPr>
        <w:tc>
          <w:tcPr>
            <w:tcW w:w="1349" w:type="dxa"/>
            <w:tcBorders>
              <w:top w:val="nil"/>
              <w:left w:val="single" w:sz="8" w:space="0" w:color="auto"/>
              <w:bottom w:val="single" w:sz="8" w:space="0" w:color="auto"/>
              <w:right w:val="single" w:sz="4" w:space="0" w:color="auto"/>
            </w:tcBorders>
            <w:shd w:val="clear" w:color="auto" w:fill="auto"/>
            <w:noWrap/>
            <w:vAlign w:val="center"/>
            <w:hideMark/>
          </w:tcPr>
          <w:p w14:paraId="0BFB2962" w14:textId="77777777" w:rsidR="004B3330" w:rsidRPr="004B3330" w:rsidRDefault="004B3330" w:rsidP="004B3330">
            <w:pPr>
              <w:spacing w:after="0" w:line="240" w:lineRule="auto"/>
              <w:jc w:val="center"/>
              <w:rPr>
                <w:rFonts w:eastAsia="Times New Roman" w:cs="Calibri"/>
                <w:color w:val="000000"/>
                <w:sz w:val="20"/>
                <w:szCs w:val="20"/>
                <w:lang w:val="en-US"/>
              </w:rPr>
            </w:pPr>
            <w:r w:rsidRPr="004B3330">
              <w:rPr>
                <w:rFonts w:eastAsia="Times New Roman" w:cs="Calibri"/>
                <w:color w:val="000000"/>
                <w:sz w:val="20"/>
                <w:szCs w:val="20"/>
                <w:lang w:val="en-US"/>
              </w:rPr>
              <w:t>14226</w:t>
            </w:r>
          </w:p>
        </w:tc>
        <w:tc>
          <w:tcPr>
            <w:tcW w:w="2990" w:type="dxa"/>
            <w:tcBorders>
              <w:top w:val="nil"/>
              <w:left w:val="nil"/>
              <w:bottom w:val="single" w:sz="8" w:space="0" w:color="auto"/>
              <w:right w:val="single" w:sz="4" w:space="0" w:color="auto"/>
            </w:tcBorders>
            <w:shd w:val="clear" w:color="auto" w:fill="auto"/>
            <w:vAlign w:val="center"/>
            <w:hideMark/>
          </w:tcPr>
          <w:p w14:paraId="3D6F4CE0" w14:textId="77777777" w:rsidR="004B3330" w:rsidRPr="004B3330" w:rsidRDefault="004B3330" w:rsidP="004B3330">
            <w:pPr>
              <w:spacing w:after="0" w:line="240" w:lineRule="auto"/>
              <w:rPr>
                <w:rFonts w:eastAsia="Times New Roman" w:cs="Calibri"/>
                <w:color w:val="000000"/>
                <w:sz w:val="20"/>
                <w:szCs w:val="20"/>
              </w:rPr>
            </w:pPr>
            <w:r w:rsidRPr="004B3330">
              <w:rPr>
                <w:rFonts w:eastAsia="Times New Roman" w:cs="Calibri"/>
                <w:color w:val="000000"/>
                <w:sz w:val="20"/>
                <w:szCs w:val="20"/>
              </w:rPr>
              <w:t>Aporte IFAM Licores Nacionales y Extranjeros</w:t>
            </w:r>
          </w:p>
        </w:tc>
        <w:tc>
          <w:tcPr>
            <w:tcW w:w="1321" w:type="dxa"/>
            <w:tcBorders>
              <w:top w:val="nil"/>
              <w:left w:val="nil"/>
              <w:bottom w:val="single" w:sz="8" w:space="0" w:color="auto"/>
              <w:right w:val="single" w:sz="4" w:space="0" w:color="auto"/>
            </w:tcBorders>
            <w:shd w:val="clear" w:color="auto" w:fill="auto"/>
            <w:noWrap/>
            <w:vAlign w:val="center"/>
            <w:hideMark/>
          </w:tcPr>
          <w:p w14:paraId="71E4F0A8" w14:textId="77777777" w:rsidR="004B3330" w:rsidRPr="004B3330" w:rsidRDefault="004B3330" w:rsidP="004B3330">
            <w:pPr>
              <w:spacing w:after="0" w:line="240" w:lineRule="auto"/>
              <w:jc w:val="right"/>
              <w:rPr>
                <w:rFonts w:eastAsia="Times New Roman" w:cs="Calibri"/>
                <w:color w:val="000000"/>
                <w:sz w:val="18"/>
                <w:szCs w:val="18"/>
                <w:lang w:val="en-US"/>
              </w:rPr>
            </w:pPr>
            <w:r w:rsidRPr="004B3330">
              <w:rPr>
                <w:rFonts w:eastAsia="Times New Roman" w:cs="Calibri"/>
                <w:color w:val="000000"/>
                <w:sz w:val="18"/>
                <w:szCs w:val="18"/>
                <w:lang w:val="en-US"/>
              </w:rPr>
              <w:t xml:space="preserve">3 933,57 </w:t>
            </w:r>
          </w:p>
        </w:tc>
        <w:tc>
          <w:tcPr>
            <w:tcW w:w="1210" w:type="dxa"/>
            <w:tcBorders>
              <w:top w:val="nil"/>
              <w:left w:val="nil"/>
              <w:bottom w:val="single" w:sz="8" w:space="0" w:color="auto"/>
              <w:right w:val="single" w:sz="4" w:space="0" w:color="auto"/>
            </w:tcBorders>
            <w:shd w:val="clear" w:color="auto" w:fill="auto"/>
            <w:noWrap/>
            <w:vAlign w:val="center"/>
            <w:hideMark/>
          </w:tcPr>
          <w:p w14:paraId="76F16194" w14:textId="77777777" w:rsidR="004B3330" w:rsidRPr="004B3330" w:rsidRDefault="004B3330" w:rsidP="004B3330">
            <w:pPr>
              <w:spacing w:after="0" w:line="240" w:lineRule="auto"/>
              <w:jc w:val="right"/>
              <w:rPr>
                <w:rFonts w:eastAsia="Times New Roman" w:cs="Calibri"/>
                <w:color w:val="000000"/>
                <w:sz w:val="18"/>
                <w:szCs w:val="18"/>
                <w:lang w:val="en-US"/>
              </w:rPr>
            </w:pPr>
            <w:r w:rsidRPr="004B3330">
              <w:rPr>
                <w:rFonts w:eastAsia="Times New Roman" w:cs="Calibri"/>
                <w:color w:val="000000"/>
                <w:sz w:val="18"/>
                <w:szCs w:val="18"/>
                <w:lang w:val="en-US"/>
              </w:rPr>
              <w:t xml:space="preserve">8 822,93 </w:t>
            </w:r>
          </w:p>
        </w:tc>
        <w:tc>
          <w:tcPr>
            <w:tcW w:w="1193" w:type="dxa"/>
            <w:tcBorders>
              <w:top w:val="nil"/>
              <w:left w:val="nil"/>
              <w:bottom w:val="single" w:sz="8" w:space="0" w:color="auto"/>
              <w:right w:val="single" w:sz="4" w:space="0" w:color="auto"/>
            </w:tcBorders>
            <w:shd w:val="clear" w:color="auto" w:fill="auto"/>
            <w:noWrap/>
            <w:vAlign w:val="center"/>
            <w:hideMark/>
          </w:tcPr>
          <w:p w14:paraId="2539510B" w14:textId="77777777" w:rsidR="004B3330" w:rsidRPr="004B3330" w:rsidRDefault="004B3330" w:rsidP="004B3330">
            <w:pPr>
              <w:spacing w:after="0" w:line="240" w:lineRule="auto"/>
              <w:jc w:val="right"/>
              <w:rPr>
                <w:rFonts w:eastAsia="Times New Roman" w:cs="Calibri"/>
                <w:color w:val="000000"/>
                <w:sz w:val="18"/>
                <w:szCs w:val="18"/>
                <w:lang w:val="en-US"/>
              </w:rPr>
            </w:pPr>
            <w:r w:rsidRPr="004B3330">
              <w:rPr>
                <w:rFonts w:eastAsia="Times New Roman" w:cs="Calibri"/>
                <w:color w:val="000000"/>
                <w:sz w:val="18"/>
                <w:szCs w:val="18"/>
                <w:lang w:val="en-US"/>
              </w:rPr>
              <w:t>-4 889,36</w:t>
            </w:r>
          </w:p>
        </w:tc>
        <w:tc>
          <w:tcPr>
            <w:tcW w:w="925" w:type="dxa"/>
            <w:tcBorders>
              <w:top w:val="nil"/>
              <w:left w:val="nil"/>
              <w:bottom w:val="single" w:sz="8" w:space="0" w:color="auto"/>
              <w:right w:val="single" w:sz="8" w:space="0" w:color="auto"/>
            </w:tcBorders>
            <w:shd w:val="clear" w:color="auto" w:fill="auto"/>
            <w:noWrap/>
            <w:vAlign w:val="bottom"/>
            <w:hideMark/>
          </w:tcPr>
          <w:p w14:paraId="22E6EA97" w14:textId="77777777" w:rsidR="004B3330" w:rsidRPr="004B3330" w:rsidRDefault="004B3330" w:rsidP="004B3330">
            <w:pPr>
              <w:spacing w:after="0" w:line="240" w:lineRule="auto"/>
              <w:jc w:val="right"/>
              <w:rPr>
                <w:rFonts w:eastAsia="Times New Roman" w:cs="Calibri"/>
                <w:color w:val="000000"/>
                <w:sz w:val="18"/>
                <w:szCs w:val="18"/>
                <w:lang w:val="en-US"/>
              </w:rPr>
            </w:pPr>
            <w:r w:rsidRPr="004B3330">
              <w:rPr>
                <w:rFonts w:eastAsia="Times New Roman" w:cs="Calibri"/>
                <w:color w:val="000000"/>
                <w:sz w:val="18"/>
                <w:szCs w:val="18"/>
                <w:lang w:val="en-US"/>
              </w:rPr>
              <w:t>-55,42%</w:t>
            </w:r>
          </w:p>
        </w:tc>
      </w:tr>
      <w:tr w:rsidR="004B3330" w:rsidRPr="004B3330" w14:paraId="5F216144" w14:textId="77777777" w:rsidTr="004B3330">
        <w:trPr>
          <w:trHeight w:val="300"/>
        </w:trPr>
        <w:tc>
          <w:tcPr>
            <w:tcW w:w="433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F68162E" w14:textId="77777777" w:rsidR="004B3330" w:rsidRPr="004B3330" w:rsidRDefault="004B3330" w:rsidP="004B3330">
            <w:pPr>
              <w:spacing w:after="0" w:line="240" w:lineRule="auto"/>
              <w:jc w:val="center"/>
              <w:rPr>
                <w:rFonts w:eastAsia="Times New Roman" w:cs="Calibri"/>
                <w:b/>
                <w:bCs/>
                <w:color w:val="000000"/>
                <w:sz w:val="20"/>
                <w:szCs w:val="20"/>
                <w:lang w:val="en-US"/>
              </w:rPr>
            </w:pPr>
            <w:r w:rsidRPr="004B3330">
              <w:rPr>
                <w:rFonts w:eastAsia="Times New Roman" w:cs="Calibri"/>
                <w:b/>
                <w:bCs/>
                <w:color w:val="000000"/>
                <w:sz w:val="20"/>
                <w:szCs w:val="20"/>
                <w:lang w:val="en-US"/>
              </w:rPr>
              <w:t>TOTAL </w:t>
            </w:r>
          </w:p>
        </w:tc>
        <w:tc>
          <w:tcPr>
            <w:tcW w:w="1321" w:type="dxa"/>
            <w:tcBorders>
              <w:top w:val="nil"/>
              <w:left w:val="nil"/>
              <w:bottom w:val="single" w:sz="8" w:space="0" w:color="auto"/>
              <w:right w:val="single" w:sz="8" w:space="0" w:color="auto"/>
            </w:tcBorders>
            <w:shd w:val="clear" w:color="auto" w:fill="auto"/>
            <w:noWrap/>
            <w:vAlign w:val="center"/>
            <w:hideMark/>
          </w:tcPr>
          <w:p w14:paraId="4727A5B2" w14:textId="77777777" w:rsidR="004B3330" w:rsidRPr="004B3330" w:rsidRDefault="004B3330" w:rsidP="004B3330">
            <w:pPr>
              <w:spacing w:after="0" w:line="240" w:lineRule="auto"/>
              <w:jc w:val="right"/>
              <w:rPr>
                <w:rFonts w:eastAsia="Times New Roman" w:cs="Calibri"/>
                <w:b/>
                <w:bCs/>
                <w:color w:val="000000"/>
                <w:sz w:val="18"/>
                <w:szCs w:val="18"/>
                <w:lang w:val="en-US"/>
              </w:rPr>
            </w:pPr>
            <w:r w:rsidRPr="004B3330">
              <w:rPr>
                <w:rFonts w:ascii="Arial" w:eastAsia="Times New Roman" w:hAnsi="Arial" w:cs="Arial"/>
                <w:b/>
                <w:bCs/>
                <w:color w:val="000000"/>
                <w:sz w:val="18"/>
                <w:szCs w:val="18"/>
                <w:lang w:val="en-US"/>
              </w:rPr>
              <w:t>₡</w:t>
            </w:r>
            <w:r w:rsidRPr="004B3330">
              <w:rPr>
                <w:rFonts w:eastAsia="Times New Roman" w:cs="Calibri"/>
                <w:b/>
                <w:bCs/>
                <w:color w:val="000000"/>
                <w:sz w:val="18"/>
                <w:szCs w:val="18"/>
                <w:lang w:val="en-US"/>
              </w:rPr>
              <w:t>2 204 743,32</w:t>
            </w:r>
          </w:p>
        </w:tc>
        <w:tc>
          <w:tcPr>
            <w:tcW w:w="1210" w:type="dxa"/>
            <w:tcBorders>
              <w:top w:val="nil"/>
              <w:left w:val="nil"/>
              <w:bottom w:val="single" w:sz="8" w:space="0" w:color="auto"/>
              <w:right w:val="single" w:sz="8" w:space="0" w:color="auto"/>
            </w:tcBorders>
            <w:shd w:val="clear" w:color="auto" w:fill="auto"/>
            <w:noWrap/>
            <w:vAlign w:val="center"/>
            <w:hideMark/>
          </w:tcPr>
          <w:p w14:paraId="570C8656" w14:textId="77777777" w:rsidR="004B3330" w:rsidRPr="004B3330" w:rsidRDefault="004B3330" w:rsidP="004B3330">
            <w:pPr>
              <w:spacing w:after="0" w:line="240" w:lineRule="auto"/>
              <w:jc w:val="right"/>
              <w:rPr>
                <w:rFonts w:eastAsia="Times New Roman" w:cs="Calibri"/>
                <w:b/>
                <w:bCs/>
                <w:color w:val="000000"/>
                <w:sz w:val="18"/>
                <w:szCs w:val="18"/>
                <w:lang w:val="en-US"/>
              </w:rPr>
            </w:pPr>
            <w:r w:rsidRPr="004B3330">
              <w:rPr>
                <w:rFonts w:ascii="Arial" w:eastAsia="Times New Roman" w:hAnsi="Arial" w:cs="Arial"/>
                <w:b/>
                <w:bCs/>
                <w:color w:val="000000"/>
                <w:sz w:val="18"/>
                <w:szCs w:val="18"/>
                <w:lang w:val="en-US"/>
              </w:rPr>
              <w:t>₡</w:t>
            </w:r>
            <w:r w:rsidRPr="004B3330">
              <w:rPr>
                <w:rFonts w:eastAsia="Times New Roman" w:cs="Calibri"/>
                <w:b/>
                <w:bCs/>
                <w:color w:val="000000"/>
                <w:sz w:val="18"/>
                <w:szCs w:val="18"/>
                <w:lang w:val="en-US"/>
              </w:rPr>
              <w:t>2 225 292,27</w:t>
            </w:r>
          </w:p>
        </w:tc>
        <w:tc>
          <w:tcPr>
            <w:tcW w:w="1193" w:type="dxa"/>
            <w:tcBorders>
              <w:top w:val="nil"/>
              <w:left w:val="nil"/>
              <w:bottom w:val="single" w:sz="8" w:space="0" w:color="auto"/>
              <w:right w:val="single" w:sz="8" w:space="0" w:color="auto"/>
            </w:tcBorders>
            <w:shd w:val="clear" w:color="auto" w:fill="auto"/>
            <w:noWrap/>
            <w:vAlign w:val="center"/>
            <w:hideMark/>
          </w:tcPr>
          <w:p w14:paraId="168A87EE" w14:textId="77777777" w:rsidR="004B3330" w:rsidRPr="004B3330" w:rsidRDefault="004B3330" w:rsidP="004B3330">
            <w:pPr>
              <w:spacing w:after="0" w:line="240" w:lineRule="auto"/>
              <w:jc w:val="right"/>
              <w:rPr>
                <w:rFonts w:eastAsia="Times New Roman" w:cs="Calibri"/>
                <w:b/>
                <w:bCs/>
                <w:color w:val="000000"/>
                <w:sz w:val="18"/>
                <w:szCs w:val="18"/>
                <w:lang w:val="en-US"/>
              </w:rPr>
            </w:pPr>
            <w:r w:rsidRPr="004B3330">
              <w:rPr>
                <w:rFonts w:eastAsia="Times New Roman" w:cs="Calibri"/>
                <w:b/>
                <w:bCs/>
                <w:color w:val="000000"/>
                <w:sz w:val="18"/>
                <w:szCs w:val="18"/>
                <w:lang w:val="en-US"/>
              </w:rPr>
              <w:t>-</w:t>
            </w:r>
            <w:r w:rsidRPr="004B3330">
              <w:rPr>
                <w:rFonts w:ascii="Arial" w:eastAsia="Times New Roman" w:hAnsi="Arial" w:cs="Arial"/>
                <w:b/>
                <w:bCs/>
                <w:color w:val="000000"/>
                <w:sz w:val="18"/>
                <w:szCs w:val="18"/>
                <w:lang w:val="en-US"/>
              </w:rPr>
              <w:t>₡</w:t>
            </w:r>
            <w:r w:rsidRPr="004B3330">
              <w:rPr>
                <w:rFonts w:eastAsia="Times New Roman" w:cs="Calibri"/>
                <w:b/>
                <w:bCs/>
                <w:color w:val="000000"/>
                <w:sz w:val="18"/>
                <w:szCs w:val="18"/>
                <w:lang w:val="en-US"/>
              </w:rPr>
              <w:t>20 548,95</w:t>
            </w:r>
          </w:p>
        </w:tc>
        <w:tc>
          <w:tcPr>
            <w:tcW w:w="925" w:type="dxa"/>
            <w:tcBorders>
              <w:top w:val="nil"/>
              <w:left w:val="nil"/>
              <w:bottom w:val="single" w:sz="8" w:space="0" w:color="auto"/>
              <w:right w:val="single" w:sz="8" w:space="0" w:color="auto"/>
            </w:tcBorders>
            <w:shd w:val="clear" w:color="auto" w:fill="auto"/>
            <w:noWrap/>
            <w:vAlign w:val="bottom"/>
            <w:hideMark/>
          </w:tcPr>
          <w:p w14:paraId="5B8D8482" w14:textId="77777777" w:rsidR="004B3330" w:rsidRPr="004B3330" w:rsidRDefault="004B3330" w:rsidP="004B3330">
            <w:pPr>
              <w:spacing w:after="0" w:line="240" w:lineRule="auto"/>
              <w:jc w:val="right"/>
              <w:rPr>
                <w:rFonts w:eastAsia="Times New Roman" w:cs="Calibri"/>
                <w:b/>
                <w:bCs/>
                <w:color w:val="000000"/>
                <w:sz w:val="18"/>
                <w:szCs w:val="18"/>
                <w:lang w:val="en-US"/>
              </w:rPr>
            </w:pPr>
            <w:r w:rsidRPr="004B3330">
              <w:rPr>
                <w:rFonts w:eastAsia="Times New Roman" w:cs="Calibri"/>
                <w:b/>
                <w:bCs/>
                <w:color w:val="000000"/>
                <w:sz w:val="18"/>
                <w:szCs w:val="18"/>
                <w:lang w:val="en-US"/>
              </w:rPr>
              <w:t>-0,92%</w:t>
            </w:r>
          </w:p>
        </w:tc>
      </w:tr>
    </w:tbl>
    <w:p w14:paraId="54DC102E" w14:textId="77777777" w:rsidR="00E33184" w:rsidRPr="00A91674" w:rsidRDefault="00E33184" w:rsidP="00E33184">
      <w:pPr>
        <w:rPr>
          <w:b/>
          <w:color w:val="000000"/>
          <w:lang w:val="es-ES" w:eastAsia="es-ES"/>
        </w:rPr>
      </w:pPr>
      <w:r w:rsidRPr="00A91674">
        <w:rPr>
          <w:b/>
          <w:color w:val="000000"/>
          <w:lang w:val="es-ES" w:eastAsia="es-ES"/>
        </w:rPr>
        <w:t>Indicar el Método Utilizando:</w:t>
      </w:r>
    </w:p>
    <w:p w14:paraId="19658676" w14:textId="77777777" w:rsidR="00E33184" w:rsidRPr="00A91674" w:rsidRDefault="00E33184" w:rsidP="0023780A">
      <w:pPr>
        <w:spacing w:after="0" w:line="240" w:lineRule="auto"/>
        <w:rPr>
          <w:b/>
          <w:color w:val="000000"/>
          <w:lang w:val="es-ES" w:eastAsia="es-ES"/>
        </w:rPr>
      </w:pPr>
    </w:p>
    <w:p w14:paraId="574DE663" w14:textId="137A5EB0" w:rsidR="00E33184" w:rsidRPr="00A91674" w:rsidRDefault="00E33184" w:rsidP="0023780A">
      <w:pPr>
        <w:rPr>
          <w:color w:val="000000"/>
          <w:lang w:val="es-ES" w:eastAsia="es-ES"/>
        </w:rPr>
      </w:pPr>
      <w:r w:rsidRPr="00A91674">
        <w:rPr>
          <w:color w:val="000000"/>
          <w:lang w:val="es-ES" w:eastAsia="es-ES"/>
        </w:rPr>
        <w:t>Método de estimación por incobrable.</w:t>
      </w:r>
    </w:p>
    <w:p w14:paraId="628C5674" w14:textId="77777777" w:rsidR="00E33184" w:rsidRPr="009B10A1" w:rsidRDefault="00E33184" w:rsidP="0023780A">
      <w:pPr>
        <w:spacing w:after="120" w:line="240" w:lineRule="auto"/>
        <w:rPr>
          <w:rFonts w:eastAsia="Batang" w:cs="Arial"/>
          <w:lang w:val="es-ES"/>
        </w:rPr>
      </w:pPr>
      <w:r w:rsidRPr="009B10A1">
        <w:rPr>
          <w:color w:val="000000"/>
          <w:lang w:val="es-ES" w:eastAsia="es-ES"/>
        </w:rPr>
        <w:t xml:space="preserve">La Municipalidad </w:t>
      </w:r>
      <w:r>
        <w:rPr>
          <w:color w:val="000000"/>
          <w:lang w:val="es-ES" w:eastAsia="es-ES"/>
        </w:rPr>
        <w:t>adoptó</w:t>
      </w:r>
      <w:r w:rsidRPr="009B10A1">
        <w:rPr>
          <w:color w:val="000000"/>
          <w:lang w:val="es-ES" w:eastAsia="es-ES"/>
        </w:rPr>
        <w:t xml:space="preserve"> el método de Estimación por Incobrable con base en </w:t>
      </w:r>
      <w:r>
        <w:rPr>
          <w:color w:val="000000"/>
          <w:lang w:val="es-ES" w:eastAsia="es-ES"/>
        </w:rPr>
        <w:t>A</w:t>
      </w:r>
      <w:r w:rsidRPr="009B10A1">
        <w:rPr>
          <w:color w:val="000000"/>
          <w:lang w:val="es-ES" w:eastAsia="es-ES"/>
        </w:rPr>
        <w:t xml:space="preserve">nálisis de antigüedad de saldos recomendado en la Directriz nro. CN-002-2013 de la DGCN, denominada “Generación de la previsión de incobrabilidad sobre cuentas a cobrar”. </w:t>
      </w:r>
      <w:r w:rsidRPr="009B10A1">
        <w:rPr>
          <w:rFonts w:eastAsia="Batang" w:cs="Arial"/>
          <w:lang w:val="es-ES"/>
        </w:rPr>
        <w:t xml:space="preserve">En cumplimiento de lo normado en el </w:t>
      </w:r>
      <w:r>
        <w:rPr>
          <w:rFonts w:eastAsia="Batang" w:cs="Arial"/>
          <w:lang w:val="es-ES"/>
        </w:rPr>
        <w:t>A</w:t>
      </w:r>
      <w:r w:rsidRPr="009B10A1">
        <w:rPr>
          <w:rFonts w:eastAsia="Batang" w:cs="Arial"/>
          <w:lang w:val="es-ES"/>
        </w:rPr>
        <w:t xml:space="preserve">rtículo </w:t>
      </w:r>
      <w:r>
        <w:rPr>
          <w:rFonts w:eastAsia="Batang" w:cs="Arial"/>
          <w:lang w:val="es-ES"/>
        </w:rPr>
        <w:t>N</w:t>
      </w:r>
      <w:r w:rsidRPr="009B10A1">
        <w:rPr>
          <w:rFonts w:eastAsia="Batang" w:cs="Arial"/>
          <w:lang w:val="es-ES"/>
        </w:rPr>
        <w:t>ro. 8 de esa misma Directriz, el cálculo de la pérdida de valor de las cuentas por cobrar deberá realizarse con la misma periodicidad con que la DGCN solicite los Estados Financieros institucionales, de manera que estos revelen el valor actualizado de la previsión en comentario</w:t>
      </w:r>
      <w:r>
        <w:rPr>
          <w:rFonts w:eastAsia="Batang" w:cs="Arial"/>
          <w:lang w:val="es-ES"/>
        </w:rPr>
        <w:t>, en el caso de este ayuntamiento se hará al menos para el cierre cada 31de diciembre</w:t>
      </w:r>
      <w:r w:rsidRPr="009B10A1">
        <w:rPr>
          <w:rFonts w:eastAsia="Batang" w:cs="Arial"/>
          <w:lang w:val="es-ES"/>
        </w:rPr>
        <w:t>.</w:t>
      </w:r>
    </w:p>
    <w:p w14:paraId="3CDD8EF6" w14:textId="77777777" w:rsidR="00E33184" w:rsidRDefault="00E33184" w:rsidP="0023780A">
      <w:pPr>
        <w:spacing w:after="120" w:line="240" w:lineRule="auto"/>
        <w:rPr>
          <w:color w:val="000000"/>
          <w:lang w:val="es-ES" w:eastAsia="es-ES"/>
        </w:rPr>
      </w:pPr>
      <w:r w:rsidRPr="009B10A1">
        <w:rPr>
          <w:color w:val="000000"/>
          <w:lang w:val="es-ES" w:eastAsia="es-ES"/>
        </w:rPr>
        <w:t>Para el análisis del pendiente de cobro y para el cálculo de la pérdida de valor de las cuentas por cobrar, se utilizan los siguientes parámetros de riesgo:</w:t>
      </w:r>
    </w:p>
    <w:p w14:paraId="1AC23FA6" w14:textId="77777777" w:rsidR="00E33184" w:rsidRPr="009B10A1" w:rsidRDefault="00E33184" w:rsidP="00E33184">
      <w:pPr>
        <w:rPr>
          <w:color w:val="000000"/>
          <w:lang w:val="es-ES" w:eastAsia="es-ES"/>
        </w:rPr>
      </w:pPr>
    </w:p>
    <w:tbl>
      <w:tblPr>
        <w:tblStyle w:val="Tablaconcuadrcula"/>
        <w:tblW w:w="0" w:type="auto"/>
        <w:tblLook w:val="04A0" w:firstRow="1" w:lastRow="0" w:firstColumn="1" w:lastColumn="0" w:noHBand="0" w:noVBand="1"/>
      </w:tblPr>
      <w:tblGrid>
        <w:gridCol w:w="1525"/>
        <w:gridCol w:w="2936"/>
        <w:gridCol w:w="4318"/>
      </w:tblGrid>
      <w:tr w:rsidR="00E33184" w:rsidRPr="00BD3C6B" w14:paraId="2F6D6441" w14:textId="77777777" w:rsidTr="004653E2">
        <w:tc>
          <w:tcPr>
            <w:tcW w:w="1555" w:type="dxa"/>
            <w:shd w:val="clear" w:color="auto" w:fill="BFBFBF" w:themeFill="background1" w:themeFillShade="BF"/>
          </w:tcPr>
          <w:p w14:paraId="29107356" w14:textId="77777777" w:rsidR="00E33184" w:rsidRPr="00F54075" w:rsidRDefault="00E33184" w:rsidP="004653E2">
            <w:pPr>
              <w:spacing w:after="100" w:afterAutospacing="1"/>
              <w:jc w:val="center"/>
              <w:rPr>
                <w:rFonts w:ascii="Arial" w:eastAsia="Batang" w:hAnsi="Arial" w:cs="Arial"/>
                <w:b/>
                <w:bCs/>
                <w:sz w:val="18"/>
                <w:szCs w:val="18"/>
                <w:lang w:val="es-ES"/>
              </w:rPr>
            </w:pPr>
            <w:r w:rsidRPr="00F54075">
              <w:rPr>
                <w:rFonts w:ascii="Arial" w:eastAsia="Batang" w:hAnsi="Arial" w:cs="Arial"/>
                <w:b/>
                <w:bCs/>
                <w:sz w:val="18"/>
                <w:szCs w:val="18"/>
                <w:lang w:val="es-ES"/>
              </w:rPr>
              <w:t>CATEGORÍA DEL RIESGO</w:t>
            </w:r>
          </w:p>
        </w:tc>
        <w:tc>
          <w:tcPr>
            <w:tcW w:w="3118" w:type="dxa"/>
            <w:shd w:val="clear" w:color="auto" w:fill="BFBFBF" w:themeFill="background1" w:themeFillShade="BF"/>
          </w:tcPr>
          <w:p w14:paraId="77256E46" w14:textId="77777777" w:rsidR="00E33184" w:rsidRPr="00F54075" w:rsidRDefault="00E33184" w:rsidP="004653E2">
            <w:pPr>
              <w:spacing w:after="100" w:afterAutospacing="1"/>
              <w:jc w:val="center"/>
              <w:rPr>
                <w:rFonts w:ascii="Arial" w:eastAsia="Batang" w:hAnsi="Arial" w:cs="Arial"/>
                <w:b/>
                <w:bCs/>
                <w:sz w:val="18"/>
                <w:szCs w:val="18"/>
                <w:lang w:val="es-ES"/>
              </w:rPr>
            </w:pPr>
            <w:r w:rsidRPr="00F54075">
              <w:rPr>
                <w:rFonts w:ascii="Arial" w:eastAsia="Batang" w:hAnsi="Arial" w:cs="Arial"/>
                <w:b/>
                <w:bCs/>
                <w:sz w:val="18"/>
                <w:szCs w:val="18"/>
                <w:lang w:val="es-ES"/>
              </w:rPr>
              <w:t>CALIFICACIÓN</w:t>
            </w:r>
          </w:p>
        </w:tc>
        <w:tc>
          <w:tcPr>
            <w:tcW w:w="4677" w:type="dxa"/>
            <w:shd w:val="clear" w:color="auto" w:fill="BFBFBF" w:themeFill="background1" w:themeFillShade="BF"/>
          </w:tcPr>
          <w:p w14:paraId="720470EF" w14:textId="77777777" w:rsidR="00E33184" w:rsidRPr="00F54075" w:rsidRDefault="00E33184" w:rsidP="004653E2">
            <w:pPr>
              <w:spacing w:after="100" w:afterAutospacing="1"/>
              <w:jc w:val="center"/>
              <w:rPr>
                <w:rFonts w:ascii="Arial" w:eastAsia="Batang" w:hAnsi="Arial" w:cs="Arial"/>
                <w:b/>
                <w:bCs/>
                <w:sz w:val="18"/>
                <w:szCs w:val="18"/>
                <w:lang w:val="es-ES"/>
              </w:rPr>
            </w:pPr>
            <w:r w:rsidRPr="00F54075">
              <w:rPr>
                <w:rFonts w:ascii="Arial" w:eastAsia="Batang" w:hAnsi="Arial" w:cs="Arial"/>
                <w:b/>
                <w:bCs/>
                <w:sz w:val="18"/>
                <w:szCs w:val="18"/>
                <w:lang w:val="es-ES"/>
              </w:rPr>
              <w:t>PARÁMETROS</w:t>
            </w:r>
          </w:p>
        </w:tc>
      </w:tr>
      <w:tr w:rsidR="00E33184" w:rsidRPr="00BD3C6B" w14:paraId="460DB8EC" w14:textId="77777777" w:rsidTr="004653E2">
        <w:tc>
          <w:tcPr>
            <w:tcW w:w="1555" w:type="dxa"/>
          </w:tcPr>
          <w:p w14:paraId="12ABECF4" w14:textId="77777777" w:rsidR="00E33184" w:rsidRPr="00F54075" w:rsidRDefault="00E33184" w:rsidP="004653E2">
            <w:pPr>
              <w:spacing w:after="100" w:afterAutospacing="1"/>
              <w:jc w:val="center"/>
              <w:rPr>
                <w:rFonts w:ascii="Arial" w:eastAsia="Batang" w:hAnsi="Arial" w:cs="Arial"/>
                <w:b/>
                <w:bCs/>
                <w:sz w:val="20"/>
                <w:lang w:val="es-ES"/>
              </w:rPr>
            </w:pPr>
            <w:r>
              <w:rPr>
                <w:rFonts w:ascii="Arial" w:eastAsia="Batang" w:hAnsi="Arial" w:cs="Arial"/>
                <w:b/>
                <w:bCs/>
                <w:sz w:val="20"/>
                <w:lang w:val="es-ES"/>
              </w:rPr>
              <w:t>A</w:t>
            </w:r>
          </w:p>
        </w:tc>
        <w:tc>
          <w:tcPr>
            <w:tcW w:w="3118" w:type="dxa"/>
          </w:tcPr>
          <w:p w14:paraId="68AE1039" w14:textId="77777777" w:rsidR="00E33184" w:rsidRPr="00F54075" w:rsidRDefault="00E33184" w:rsidP="004653E2">
            <w:pPr>
              <w:spacing w:after="100" w:afterAutospacing="1"/>
              <w:rPr>
                <w:rFonts w:ascii="Arial" w:eastAsia="Batang" w:hAnsi="Arial" w:cs="Arial"/>
                <w:b/>
                <w:bCs/>
                <w:sz w:val="18"/>
                <w:szCs w:val="18"/>
                <w:lang w:val="es-ES"/>
              </w:rPr>
            </w:pPr>
            <w:r>
              <w:rPr>
                <w:rFonts w:ascii="Arial" w:eastAsia="Batang" w:hAnsi="Arial" w:cs="Arial"/>
                <w:b/>
                <w:bCs/>
                <w:sz w:val="18"/>
                <w:szCs w:val="18"/>
                <w:lang w:val="es-ES"/>
              </w:rPr>
              <w:t>RIESGO BAJO</w:t>
            </w:r>
          </w:p>
        </w:tc>
        <w:tc>
          <w:tcPr>
            <w:tcW w:w="4677" w:type="dxa"/>
          </w:tcPr>
          <w:p w14:paraId="78B154C3" w14:textId="77777777" w:rsidR="00E33184" w:rsidRPr="00BD3C6B" w:rsidRDefault="00E33184" w:rsidP="004653E2">
            <w:pPr>
              <w:spacing w:after="100" w:afterAutospacing="1"/>
              <w:rPr>
                <w:rFonts w:ascii="Arial" w:eastAsia="Batang" w:hAnsi="Arial" w:cs="Arial"/>
                <w:sz w:val="20"/>
                <w:lang w:val="es-ES"/>
              </w:rPr>
            </w:pPr>
            <w:r w:rsidRPr="005E41FF">
              <w:rPr>
                <w:rFonts w:ascii="Arial" w:eastAsia="Batang" w:hAnsi="Arial" w:cs="Arial"/>
                <w:sz w:val="18"/>
                <w:szCs w:val="18"/>
                <w:lang w:val="es-ES"/>
              </w:rPr>
              <w:t>La categoría A) se reserva para los deudores al día en sus operaciones, y/o con una morosidad</w:t>
            </w:r>
            <w:r>
              <w:rPr>
                <w:rFonts w:ascii="Arial" w:eastAsia="Batang" w:hAnsi="Arial" w:cs="Arial"/>
                <w:sz w:val="18"/>
                <w:szCs w:val="18"/>
                <w:lang w:val="es-ES"/>
              </w:rPr>
              <w:t xml:space="preserve"> de uno</w:t>
            </w:r>
            <w:r w:rsidRPr="005E41FF">
              <w:rPr>
                <w:rFonts w:ascii="Arial" w:eastAsia="Batang" w:hAnsi="Arial" w:cs="Arial"/>
                <w:sz w:val="18"/>
                <w:szCs w:val="18"/>
                <w:lang w:val="es-ES"/>
              </w:rPr>
              <w:t xml:space="preserve"> a dos trimestres.</w:t>
            </w:r>
            <w:r>
              <w:rPr>
                <w:rFonts w:ascii="Arial" w:eastAsia="Batang" w:hAnsi="Arial" w:cs="Arial"/>
                <w:sz w:val="18"/>
                <w:szCs w:val="18"/>
                <w:lang w:val="es-ES"/>
              </w:rPr>
              <w:t xml:space="preserve"> No se esperan pérdidas significativas.</w:t>
            </w:r>
          </w:p>
        </w:tc>
      </w:tr>
      <w:tr w:rsidR="00E33184" w:rsidRPr="00BD3C6B" w14:paraId="1AECCC63" w14:textId="77777777" w:rsidTr="004653E2">
        <w:tc>
          <w:tcPr>
            <w:tcW w:w="1555" w:type="dxa"/>
          </w:tcPr>
          <w:p w14:paraId="177C07C9" w14:textId="77777777" w:rsidR="00E33184" w:rsidRPr="00F54075" w:rsidRDefault="00E33184" w:rsidP="004653E2">
            <w:pPr>
              <w:spacing w:after="100" w:afterAutospacing="1"/>
              <w:jc w:val="center"/>
              <w:rPr>
                <w:rFonts w:ascii="Arial" w:eastAsia="Batang" w:hAnsi="Arial" w:cs="Arial"/>
                <w:b/>
                <w:bCs/>
                <w:sz w:val="20"/>
                <w:lang w:val="es-ES"/>
              </w:rPr>
            </w:pPr>
            <w:r>
              <w:rPr>
                <w:rFonts w:ascii="Arial" w:eastAsia="Batang" w:hAnsi="Arial" w:cs="Arial"/>
                <w:b/>
                <w:bCs/>
                <w:sz w:val="20"/>
                <w:lang w:val="es-ES"/>
              </w:rPr>
              <w:t>B</w:t>
            </w:r>
          </w:p>
        </w:tc>
        <w:tc>
          <w:tcPr>
            <w:tcW w:w="3118" w:type="dxa"/>
          </w:tcPr>
          <w:p w14:paraId="0C435987" w14:textId="77777777" w:rsidR="00E33184" w:rsidRPr="00F54075" w:rsidRDefault="00E33184" w:rsidP="004653E2">
            <w:pPr>
              <w:spacing w:after="100" w:afterAutospacing="1"/>
              <w:rPr>
                <w:rFonts w:ascii="Arial" w:eastAsia="Batang" w:hAnsi="Arial" w:cs="Arial"/>
                <w:b/>
                <w:bCs/>
                <w:sz w:val="18"/>
                <w:szCs w:val="18"/>
                <w:lang w:val="es-ES"/>
              </w:rPr>
            </w:pPr>
            <w:r>
              <w:rPr>
                <w:rFonts w:ascii="Arial" w:eastAsia="Batang" w:hAnsi="Arial" w:cs="Arial"/>
                <w:b/>
                <w:bCs/>
                <w:sz w:val="18"/>
                <w:szCs w:val="18"/>
                <w:lang w:val="es-ES"/>
              </w:rPr>
              <w:t>RIESGO MEDIO</w:t>
            </w:r>
          </w:p>
        </w:tc>
        <w:tc>
          <w:tcPr>
            <w:tcW w:w="4677" w:type="dxa"/>
          </w:tcPr>
          <w:p w14:paraId="0ECE49AB" w14:textId="77777777" w:rsidR="00E33184" w:rsidRPr="00BD3C6B" w:rsidRDefault="00E33184" w:rsidP="004653E2">
            <w:pPr>
              <w:spacing w:after="100" w:afterAutospacing="1"/>
              <w:rPr>
                <w:rFonts w:ascii="Arial" w:eastAsia="Batang" w:hAnsi="Arial" w:cs="Arial"/>
                <w:sz w:val="20"/>
                <w:lang w:val="es-ES"/>
              </w:rPr>
            </w:pPr>
            <w:r w:rsidRPr="005E41FF">
              <w:rPr>
                <w:rFonts w:ascii="Arial" w:eastAsia="Batang" w:hAnsi="Arial" w:cs="Arial"/>
                <w:sz w:val="18"/>
                <w:szCs w:val="18"/>
                <w:lang w:val="es-ES"/>
              </w:rPr>
              <w:t xml:space="preserve">La categoría B) </w:t>
            </w:r>
            <w:r>
              <w:rPr>
                <w:rFonts w:ascii="Arial" w:eastAsia="Batang" w:hAnsi="Arial" w:cs="Arial"/>
                <w:sz w:val="18"/>
                <w:szCs w:val="18"/>
                <w:lang w:val="es-ES"/>
              </w:rPr>
              <w:t>se aplica a</w:t>
            </w:r>
            <w:r w:rsidRPr="005E41FF">
              <w:rPr>
                <w:rFonts w:ascii="Arial" w:eastAsia="Batang" w:hAnsi="Arial" w:cs="Arial"/>
                <w:sz w:val="18"/>
                <w:szCs w:val="18"/>
                <w:lang w:val="es-ES"/>
              </w:rPr>
              <w:t xml:space="preserve"> deudores con moras entre tres y cuatro trimestres.</w:t>
            </w:r>
            <w:r>
              <w:rPr>
                <w:rFonts w:ascii="Arial" w:eastAsia="Batang" w:hAnsi="Arial" w:cs="Arial"/>
                <w:sz w:val="18"/>
                <w:szCs w:val="18"/>
                <w:lang w:val="es-ES"/>
              </w:rPr>
              <w:t xml:space="preserve"> No se esperan pérdidas significativas.</w:t>
            </w:r>
          </w:p>
        </w:tc>
      </w:tr>
      <w:tr w:rsidR="00E33184" w:rsidRPr="00C20218" w14:paraId="660D9176" w14:textId="77777777" w:rsidTr="004653E2">
        <w:tc>
          <w:tcPr>
            <w:tcW w:w="1555" w:type="dxa"/>
          </w:tcPr>
          <w:p w14:paraId="0969AC56" w14:textId="77777777" w:rsidR="00E33184" w:rsidRDefault="00E33184" w:rsidP="004653E2">
            <w:pPr>
              <w:spacing w:after="100" w:afterAutospacing="1"/>
              <w:jc w:val="center"/>
              <w:rPr>
                <w:rFonts w:ascii="Arial" w:eastAsia="Batang" w:hAnsi="Arial" w:cs="Arial"/>
                <w:b/>
                <w:bCs/>
                <w:sz w:val="20"/>
                <w:lang w:val="es-ES"/>
              </w:rPr>
            </w:pPr>
            <w:r>
              <w:rPr>
                <w:rFonts w:ascii="Arial" w:eastAsia="Batang" w:hAnsi="Arial" w:cs="Arial"/>
                <w:b/>
                <w:bCs/>
                <w:sz w:val="20"/>
                <w:lang w:val="es-ES"/>
              </w:rPr>
              <w:t>C</w:t>
            </w:r>
          </w:p>
        </w:tc>
        <w:tc>
          <w:tcPr>
            <w:tcW w:w="3118" w:type="dxa"/>
          </w:tcPr>
          <w:p w14:paraId="360525D3" w14:textId="77777777" w:rsidR="00E33184" w:rsidRDefault="00E33184" w:rsidP="004653E2">
            <w:pPr>
              <w:spacing w:after="100" w:afterAutospacing="1"/>
              <w:rPr>
                <w:rFonts w:ascii="Arial" w:eastAsia="Batang" w:hAnsi="Arial" w:cs="Arial"/>
                <w:b/>
                <w:bCs/>
                <w:sz w:val="18"/>
                <w:szCs w:val="18"/>
                <w:lang w:val="es-ES"/>
              </w:rPr>
            </w:pPr>
            <w:r>
              <w:rPr>
                <w:rFonts w:ascii="Arial" w:eastAsia="Batang" w:hAnsi="Arial" w:cs="Arial"/>
                <w:b/>
                <w:bCs/>
                <w:sz w:val="18"/>
                <w:szCs w:val="18"/>
                <w:lang w:val="es-ES"/>
              </w:rPr>
              <w:t>RIESGO ALTO – NIVEL 1</w:t>
            </w:r>
          </w:p>
        </w:tc>
        <w:tc>
          <w:tcPr>
            <w:tcW w:w="4677" w:type="dxa"/>
          </w:tcPr>
          <w:p w14:paraId="7E88ED89" w14:textId="77777777" w:rsidR="00E33184" w:rsidRPr="00BA170E" w:rsidRDefault="00E33184" w:rsidP="004653E2">
            <w:pPr>
              <w:spacing w:after="100" w:afterAutospacing="1"/>
              <w:rPr>
                <w:rFonts w:ascii="Arial" w:eastAsia="Batang" w:hAnsi="Arial" w:cs="Arial"/>
                <w:sz w:val="18"/>
                <w:szCs w:val="18"/>
                <w:lang w:val="es-ES"/>
              </w:rPr>
            </w:pPr>
            <w:r>
              <w:rPr>
                <w:rFonts w:ascii="Arial" w:eastAsia="Batang" w:hAnsi="Arial" w:cs="Arial"/>
                <w:sz w:val="18"/>
                <w:szCs w:val="18"/>
                <w:lang w:val="es-ES"/>
              </w:rPr>
              <w:t xml:space="preserve">Esta categoría </w:t>
            </w:r>
            <w:r w:rsidRPr="00BA170E">
              <w:rPr>
                <w:rFonts w:ascii="Arial" w:eastAsia="Batang" w:hAnsi="Arial" w:cs="Arial"/>
                <w:sz w:val="18"/>
                <w:szCs w:val="18"/>
                <w:lang w:val="es-ES"/>
              </w:rPr>
              <w:t xml:space="preserve">clasifica a los deudores con moras entre cinco y </w:t>
            </w:r>
            <w:r>
              <w:rPr>
                <w:rFonts w:ascii="Arial" w:eastAsia="Batang" w:hAnsi="Arial" w:cs="Arial"/>
                <w:sz w:val="18"/>
                <w:szCs w:val="18"/>
                <w:lang w:val="es-ES"/>
              </w:rPr>
              <w:t>ocho</w:t>
            </w:r>
            <w:r w:rsidRPr="00BA170E">
              <w:rPr>
                <w:rFonts w:ascii="Arial" w:eastAsia="Batang" w:hAnsi="Arial" w:cs="Arial"/>
                <w:sz w:val="18"/>
                <w:szCs w:val="18"/>
                <w:lang w:val="es-ES"/>
              </w:rPr>
              <w:t xml:space="preserve"> trimestres.</w:t>
            </w:r>
            <w:r>
              <w:rPr>
                <w:rFonts w:ascii="Arial" w:eastAsia="Batang" w:hAnsi="Arial" w:cs="Arial"/>
                <w:sz w:val="18"/>
                <w:szCs w:val="18"/>
                <w:lang w:val="es-ES"/>
              </w:rPr>
              <w:t xml:space="preserve"> Se estima que se podría materializar una pérdida del 30% del monto de la cartera que presente este nivel de morosidad.</w:t>
            </w:r>
          </w:p>
        </w:tc>
      </w:tr>
      <w:tr w:rsidR="00E33184" w:rsidRPr="00C20218" w14:paraId="04CAC39B" w14:textId="77777777" w:rsidTr="004653E2">
        <w:tc>
          <w:tcPr>
            <w:tcW w:w="1555" w:type="dxa"/>
          </w:tcPr>
          <w:p w14:paraId="31923CE7" w14:textId="77777777" w:rsidR="00E33184" w:rsidRPr="00F54075" w:rsidRDefault="00E33184" w:rsidP="004653E2">
            <w:pPr>
              <w:spacing w:after="100" w:afterAutospacing="1"/>
              <w:jc w:val="center"/>
              <w:rPr>
                <w:rFonts w:ascii="Arial" w:eastAsia="Batang" w:hAnsi="Arial" w:cs="Arial"/>
                <w:b/>
                <w:bCs/>
                <w:sz w:val="20"/>
                <w:lang w:val="es-ES"/>
              </w:rPr>
            </w:pPr>
            <w:r>
              <w:rPr>
                <w:rFonts w:ascii="Arial" w:eastAsia="Batang" w:hAnsi="Arial" w:cs="Arial"/>
                <w:b/>
                <w:bCs/>
                <w:sz w:val="20"/>
                <w:lang w:val="es-ES"/>
              </w:rPr>
              <w:t>D</w:t>
            </w:r>
          </w:p>
        </w:tc>
        <w:tc>
          <w:tcPr>
            <w:tcW w:w="3118" w:type="dxa"/>
          </w:tcPr>
          <w:p w14:paraId="52372602" w14:textId="77777777" w:rsidR="00E33184" w:rsidRPr="00F54075" w:rsidRDefault="00E33184" w:rsidP="004653E2">
            <w:pPr>
              <w:spacing w:after="100" w:afterAutospacing="1"/>
              <w:rPr>
                <w:rFonts w:ascii="Arial" w:eastAsia="Batang" w:hAnsi="Arial" w:cs="Arial"/>
                <w:b/>
                <w:bCs/>
                <w:sz w:val="18"/>
                <w:szCs w:val="18"/>
                <w:lang w:val="es-ES"/>
              </w:rPr>
            </w:pPr>
            <w:r>
              <w:rPr>
                <w:rFonts w:ascii="Arial" w:eastAsia="Batang" w:hAnsi="Arial" w:cs="Arial"/>
                <w:b/>
                <w:bCs/>
                <w:sz w:val="18"/>
                <w:szCs w:val="18"/>
                <w:lang w:val="es-ES"/>
              </w:rPr>
              <w:t xml:space="preserve">RIESGO ALTO – NIVEL 2 </w:t>
            </w:r>
          </w:p>
        </w:tc>
        <w:tc>
          <w:tcPr>
            <w:tcW w:w="4677" w:type="dxa"/>
          </w:tcPr>
          <w:p w14:paraId="28BA0E7E" w14:textId="77777777" w:rsidR="00E33184" w:rsidRPr="00AE65BE" w:rsidRDefault="00E33184" w:rsidP="004653E2">
            <w:pPr>
              <w:spacing w:after="100" w:afterAutospacing="1"/>
              <w:rPr>
                <w:rFonts w:ascii="Arial" w:eastAsia="Batang" w:hAnsi="Arial" w:cs="Arial"/>
                <w:sz w:val="18"/>
                <w:szCs w:val="18"/>
                <w:lang w:val="es-ES"/>
              </w:rPr>
            </w:pPr>
            <w:r w:rsidRPr="00AE65BE">
              <w:rPr>
                <w:rFonts w:ascii="Arial" w:eastAsia="Batang" w:hAnsi="Arial" w:cs="Arial"/>
                <w:sz w:val="18"/>
                <w:szCs w:val="18"/>
                <w:lang w:val="es-ES"/>
              </w:rPr>
              <w:t xml:space="preserve">Esta categoría se aplica </w:t>
            </w:r>
            <w:r>
              <w:rPr>
                <w:rFonts w:ascii="Arial" w:eastAsia="Batang" w:hAnsi="Arial" w:cs="Arial"/>
                <w:sz w:val="18"/>
                <w:szCs w:val="18"/>
                <w:lang w:val="es-ES"/>
              </w:rPr>
              <w:t>a deudores que presentan entre nueve</w:t>
            </w:r>
            <w:r w:rsidRPr="00AE65BE">
              <w:rPr>
                <w:rFonts w:ascii="Arial" w:eastAsia="Batang" w:hAnsi="Arial" w:cs="Arial"/>
                <w:sz w:val="18"/>
                <w:szCs w:val="18"/>
                <w:lang w:val="es-ES"/>
              </w:rPr>
              <w:t xml:space="preserve"> </w:t>
            </w:r>
            <w:r>
              <w:rPr>
                <w:rFonts w:ascii="Arial" w:eastAsia="Batang" w:hAnsi="Arial" w:cs="Arial"/>
                <w:sz w:val="18"/>
                <w:szCs w:val="18"/>
                <w:lang w:val="es-ES"/>
              </w:rPr>
              <w:t>y</w:t>
            </w:r>
            <w:r w:rsidRPr="00AE65BE">
              <w:rPr>
                <w:rFonts w:ascii="Arial" w:eastAsia="Batang" w:hAnsi="Arial" w:cs="Arial"/>
                <w:sz w:val="18"/>
                <w:szCs w:val="18"/>
                <w:lang w:val="es-ES"/>
              </w:rPr>
              <w:t xml:space="preserve"> </w:t>
            </w:r>
            <w:r>
              <w:rPr>
                <w:rFonts w:ascii="Arial" w:eastAsia="Batang" w:hAnsi="Arial" w:cs="Arial"/>
                <w:sz w:val="18"/>
                <w:szCs w:val="18"/>
                <w:lang w:val="es-ES"/>
              </w:rPr>
              <w:t xml:space="preserve">doce </w:t>
            </w:r>
            <w:r w:rsidRPr="00AE65BE">
              <w:rPr>
                <w:rFonts w:ascii="Arial" w:eastAsia="Batang" w:hAnsi="Arial" w:cs="Arial"/>
                <w:sz w:val="18"/>
                <w:szCs w:val="18"/>
                <w:lang w:val="es-ES"/>
              </w:rPr>
              <w:t>trimestres</w:t>
            </w:r>
            <w:r>
              <w:rPr>
                <w:rFonts w:ascii="Arial" w:eastAsia="Batang" w:hAnsi="Arial" w:cs="Arial"/>
                <w:sz w:val="18"/>
                <w:szCs w:val="18"/>
                <w:lang w:val="es-ES"/>
              </w:rPr>
              <w:t xml:space="preserve"> de atraso en el pago de sus obligaciones.  Se estima que se podría materializar una pérdida del 50% del monto de la cartera que presente este nivel de morosidad.</w:t>
            </w:r>
          </w:p>
        </w:tc>
      </w:tr>
      <w:tr w:rsidR="00E33184" w:rsidRPr="00C20218" w14:paraId="06E8089E" w14:textId="77777777" w:rsidTr="004653E2">
        <w:tc>
          <w:tcPr>
            <w:tcW w:w="1555" w:type="dxa"/>
          </w:tcPr>
          <w:p w14:paraId="71BEBDE3" w14:textId="77777777" w:rsidR="00E33184" w:rsidRPr="00F54075" w:rsidRDefault="00E33184" w:rsidP="004653E2">
            <w:pPr>
              <w:spacing w:after="100" w:afterAutospacing="1"/>
              <w:jc w:val="center"/>
              <w:rPr>
                <w:rFonts w:ascii="Arial" w:eastAsia="Batang" w:hAnsi="Arial" w:cs="Arial"/>
                <w:b/>
                <w:bCs/>
                <w:sz w:val="20"/>
                <w:lang w:val="es-ES"/>
              </w:rPr>
            </w:pPr>
            <w:r>
              <w:rPr>
                <w:rFonts w:ascii="Arial" w:eastAsia="Batang" w:hAnsi="Arial" w:cs="Arial"/>
                <w:b/>
                <w:bCs/>
                <w:sz w:val="20"/>
                <w:lang w:val="es-ES"/>
              </w:rPr>
              <w:t>E</w:t>
            </w:r>
          </w:p>
        </w:tc>
        <w:tc>
          <w:tcPr>
            <w:tcW w:w="3118" w:type="dxa"/>
          </w:tcPr>
          <w:p w14:paraId="3D87B097" w14:textId="77777777" w:rsidR="00E33184" w:rsidRPr="00F54075" w:rsidRDefault="00E33184" w:rsidP="004653E2">
            <w:pPr>
              <w:spacing w:after="100" w:afterAutospacing="1"/>
              <w:rPr>
                <w:rFonts w:ascii="Arial" w:eastAsia="Batang" w:hAnsi="Arial" w:cs="Arial"/>
                <w:b/>
                <w:bCs/>
                <w:sz w:val="18"/>
                <w:szCs w:val="18"/>
                <w:lang w:val="es-ES"/>
              </w:rPr>
            </w:pPr>
            <w:r>
              <w:rPr>
                <w:rFonts w:ascii="Arial" w:eastAsia="Batang" w:hAnsi="Arial" w:cs="Arial"/>
                <w:b/>
                <w:bCs/>
                <w:sz w:val="18"/>
                <w:szCs w:val="18"/>
                <w:lang w:val="es-ES"/>
              </w:rPr>
              <w:t>RIESGO ALTO – NIVEL 3</w:t>
            </w:r>
          </w:p>
        </w:tc>
        <w:tc>
          <w:tcPr>
            <w:tcW w:w="4677" w:type="dxa"/>
          </w:tcPr>
          <w:p w14:paraId="198E65E7" w14:textId="77777777" w:rsidR="00E33184" w:rsidRPr="00BD3C6B" w:rsidRDefault="00E33184" w:rsidP="004653E2">
            <w:pPr>
              <w:spacing w:after="100" w:afterAutospacing="1"/>
              <w:rPr>
                <w:rFonts w:ascii="Arial" w:eastAsia="Batang" w:hAnsi="Arial" w:cs="Arial"/>
                <w:sz w:val="20"/>
                <w:lang w:val="es-ES"/>
              </w:rPr>
            </w:pPr>
            <w:r w:rsidRPr="00AE65BE">
              <w:rPr>
                <w:rFonts w:ascii="Arial" w:eastAsia="Batang" w:hAnsi="Arial" w:cs="Arial"/>
                <w:sz w:val="18"/>
                <w:szCs w:val="18"/>
                <w:lang w:val="es-ES"/>
              </w:rPr>
              <w:t xml:space="preserve">Esta categoría se aplica </w:t>
            </w:r>
            <w:r>
              <w:rPr>
                <w:rFonts w:ascii="Arial" w:eastAsia="Batang" w:hAnsi="Arial" w:cs="Arial"/>
                <w:sz w:val="18"/>
                <w:szCs w:val="18"/>
                <w:lang w:val="es-ES"/>
              </w:rPr>
              <w:t>a deudores que presentan entre trece</w:t>
            </w:r>
            <w:r w:rsidRPr="00AE65BE">
              <w:rPr>
                <w:rFonts w:ascii="Arial" w:eastAsia="Batang" w:hAnsi="Arial" w:cs="Arial"/>
                <w:sz w:val="18"/>
                <w:szCs w:val="18"/>
                <w:lang w:val="es-ES"/>
              </w:rPr>
              <w:t xml:space="preserve"> </w:t>
            </w:r>
            <w:r>
              <w:rPr>
                <w:rFonts w:ascii="Arial" w:eastAsia="Batang" w:hAnsi="Arial" w:cs="Arial"/>
                <w:sz w:val="18"/>
                <w:szCs w:val="18"/>
                <w:lang w:val="es-ES"/>
              </w:rPr>
              <w:t>y</w:t>
            </w:r>
            <w:r w:rsidRPr="00AE65BE">
              <w:rPr>
                <w:rFonts w:ascii="Arial" w:eastAsia="Batang" w:hAnsi="Arial" w:cs="Arial"/>
                <w:sz w:val="18"/>
                <w:szCs w:val="18"/>
                <w:lang w:val="es-ES"/>
              </w:rPr>
              <w:t xml:space="preserve"> </w:t>
            </w:r>
            <w:r>
              <w:rPr>
                <w:rFonts w:ascii="Arial" w:eastAsia="Batang" w:hAnsi="Arial" w:cs="Arial"/>
                <w:sz w:val="18"/>
                <w:szCs w:val="18"/>
                <w:lang w:val="es-ES"/>
              </w:rPr>
              <w:t xml:space="preserve">dieciséis </w:t>
            </w:r>
            <w:r w:rsidRPr="00AE65BE">
              <w:rPr>
                <w:rFonts w:ascii="Arial" w:eastAsia="Batang" w:hAnsi="Arial" w:cs="Arial"/>
                <w:sz w:val="18"/>
                <w:szCs w:val="18"/>
                <w:lang w:val="es-ES"/>
              </w:rPr>
              <w:t>trimestres</w:t>
            </w:r>
            <w:r>
              <w:rPr>
                <w:rFonts w:ascii="Arial" w:eastAsia="Batang" w:hAnsi="Arial" w:cs="Arial"/>
                <w:sz w:val="18"/>
                <w:szCs w:val="18"/>
                <w:lang w:val="es-ES"/>
              </w:rPr>
              <w:t xml:space="preserve"> de atraso en el pago de sus obligaciones.  Se estima que se podría materializar una pérdida del 65% del monto de la cartera que presente este nivel de morosidad.</w:t>
            </w:r>
          </w:p>
        </w:tc>
      </w:tr>
      <w:tr w:rsidR="00E33184" w:rsidRPr="00C20218" w14:paraId="39FAB9C8" w14:textId="77777777" w:rsidTr="004653E2">
        <w:tc>
          <w:tcPr>
            <w:tcW w:w="1555" w:type="dxa"/>
          </w:tcPr>
          <w:p w14:paraId="0E9F43A2" w14:textId="77777777" w:rsidR="00E33184" w:rsidRPr="00F54075" w:rsidRDefault="00E33184" w:rsidP="004653E2">
            <w:pPr>
              <w:spacing w:after="100" w:afterAutospacing="1"/>
              <w:jc w:val="center"/>
              <w:rPr>
                <w:rFonts w:ascii="Arial" w:eastAsia="Batang" w:hAnsi="Arial" w:cs="Arial"/>
                <w:b/>
                <w:bCs/>
                <w:sz w:val="20"/>
                <w:lang w:val="es-ES"/>
              </w:rPr>
            </w:pPr>
            <w:r>
              <w:rPr>
                <w:rFonts w:ascii="Arial" w:eastAsia="Batang" w:hAnsi="Arial" w:cs="Arial"/>
                <w:b/>
                <w:bCs/>
                <w:sz w:val="20"/>
                <w:lang w:val="es-ES"/>
              </w:rPr>
              <w:t>F</w:t>
            </w:r>
          </w:p>
        </w:tc>
        <w:tc>
          <w:tcPr>
            <w:tcW w:w="3118" w:type="dxa"/>
          </w:tcPr>
          <w:p w14:paraId="0EF2541A" w14:textId="77777777" w:rsidR="00E33184" w:rsidRPr="00F54075" w:rsidRDefault="00E33184" w:rsidP="004653E2">
            <w:pPr>
              <w:spacing w:after="100" w:afterAutospacing="1"/>
              <w:rPr>
                <w:rFonts w:ascii="Arial" w:eastAsia="Batang" w:hAnsi="Arial" w:cs="Arial"/>
                <w:b/>
                <w:bCs/>
                <w:sz w:val="18"/>
                <w:szCs w:val="18"/>
                <w:lang w:val="es-ES"/>
              </w:rPr>
            </w:pPr>
            <w:r>
              <w:rPr>
                <w:rFonts w:ascii="Arial" w:eastAsia="Batang" w:hAnsi="Arial" w:cs="Arial"/>
                <w:b/>
                <w:bCs/>
                <w:sz w:val="18"/>
                <w:szCs w:val="18"/>
                <w:lang w:val="es-ES"/>
              </w:rPr>
              <w:t>RIESGO ALTO – NIVEL 4</w:t>
            </w:r>
          </w:p>
        </w:tc>
        <w:tc>
          <w:tcPr>
            <w:tcW w:w="4677" w:type="dxa"/>
          </w:tcPr>
          <w:p w14:paraId="01913068" w14:textId="77777777" w:rsidR="00E33184" w:rsidRPr="00BD3C6B" w:rsidRDefault="00E33184" w:rsidP="004653E2">
            <w:pPr>
              <w:spacing w:after="100" w:afterAutospacing="1"/>
              <w:rPr>
                <w:rFonts w:ascii="Arial" w:eastAsia="Batang" w:hAnsi="Arial" w:cs="Arial"/>
                <w:sz w:val="20"/>
                <w:lang w:val="es-ES"/>
              </w:rPr>
            </w:pPr>
            <w:r w:rsidRPr="00AE65BE">
              <w:rPr>
                <w:rFonts w:ascii="Arial" w:eastAsia="Batang" w:hAnsi="Arial" w:cs="Arial"/>
                <w:sz w:val="18"/>
                <w:szCs w:val="18"/>
                <w:lang w:val="es-ES"/>
              </w:rPr>
              <w:t xml:space="preserve">Esta categoría se aplica </w:t>
            </w:r>
            <w:r>
              <w:rPr>
                <w:rFonts w:ascii="Arial" w:eastAsia="Batang" w:hAnsi="Arial" w:cs="Arial"/>
                <w:sz w:val="18"/>
                <w:szCs w:val="18"/>
                <w:lang w:val="es-ES"/>
              </w:rPr>
              <w:t xml:space="preserve">a deudores que presentan más de dieciséis </w:t>
            </w:r>
            <w:r w:rsidRPr="00AE65BE">
              <w:rPr>
                <w:rFonts w:ascii="Arial" w:eastAsia="Batang" w:hAnsi="Arial" w:cs="Arial"/>
                <w:sz w:val="18"/>
                <w:szCs w:val="18"/>
                <w:lang w:val="es-ES"/>
              </w:rPr>
              <w:t>trimestres</w:t>
            </w:r>
            <w:r>
              <w:rPr>
                <w:rFonts w:ascii="Arial" w:eastAsia="Batang" w:hAnsi="Arial" w:cs="Arial"/>
                <w:sz w:val="18"/>
                <w:szCs w:val="18"/>
                <w:lang w:val="es-ES"/>
              </w:rPr>
              <w:t xml:space="preserve"> de atraso en el pago de sus obligaciones.  Se estima que se podría materializar una pérdida del 85% del monto de la cartera que presente este nivel de morosidad.</w:t>
            </w:r>
          </w:p>
        </w:tc>
      </w:tr>
    </w:tbl>
    <w:p w14:paraId="62B609BE" w14:textId="77777777" w:rsidR="00E33184" w:rsidRDefault="00E33184" w:rsidP="00E33184">
      <w:pPr>
        <w:spacing w:after="120" w:line="240" w:lineRule="auto"/>
        <w:rPr>
          <w:color w:val="000000"/>
          <w:lang w:eastAsia="es-ES"/>
        </w:rPr>
      </w:pPr>
    </w:p>
    <w:p w14:paraId="664A486F" w14:textId="77777777" w:rsidR="00E33184" w:rsidRPr="00A91674" w:rsidRDefault="00E33184" w:rsidP="00E33184">
      <w:pPr>
        <w:spacing w:after="120" w:line="240" w:lineRule="auto"/>
        <w:rPr>
          <w:color w:val="000000"/>
          <w:lang w:val="es-ES" w:eastAsia="es-ES"/>
        </w:rPr>
      </w:pPr>
      <w:r w:rsidRPr="00A91674">
        <w:rPr>
          <w:color w:val="000000"/>
          <w:lang w:val="es-ES" w:eastAsia="es-ES"/>
        </w:rPr>
        <w:t>Indicar los procedimientos utilizados para la determinación de los valores razonables para cada clase de activo financiero:</w:t>
      </w:r>
    </w:p>
    <w:p w14:paraId="4AC9B279" w14:textId="77777777" w:rsidR="00E33184" w:rsidRPr="00A91674" w:rsidRDefault="00E33184" w:rsidP="0023780A">
      <w:pPr>
        <w:spacing w:after="0" w:line="240" w:lineRule="auto"/>
        <w:rPr>
          <w:color w:val="000000"/>
          <w:lang w:val="es-ES" w:eastAsia="es-ES"/>
        </w:rPr>
      </w:pPr>
    </w:p>
    <w:p w14:paraId="36D0B83B" w14:textId="77777777" w:rsidR="00E33184" w:rsidRDefault="00E33184" w:rsidP="00E33184">
      <w:pPr>
        <w:spacing w:after="120" w:line="240" w:lineRule="auto"/>
        <w:rPr>
          <w:rFonts w:cs="Calibri"/>
        </w:rPr>
      </w:pPr>
      <w:r>
        <w:rPr>
          <w:rFonts w:cs="Calibri"/>
          <w:lang w:val="es-ES"/>
        </w:rPr>
        <w:t xml:space="preserve">De acuerdo con lo establecido en la normativa contable </w:t>
      </w:r>
      <w:r w:rsidRPr="00A91674">
        <w:rPr>
          <w:rFonts w:cs="Calibri"/>
        </w:rPr>
        <w:t xml:space="preserve">las cuentas por cobrar </w:t>
      </w:r>
      <w:r>
        <w:rPr>
          <w:rFonts w:cs="Calibri"/>
        </w:rPr>
        <w:t xml:space="preserve">son activos financieros no-derivados con pagos fijos o determinables que no son cotizados en un mercado activo. Estas cuentas se reconocen a valor razonable a través de superávit o déficit. </w:t>
      </w:r>
    </w:p>
    <w:p w14:paraId="003874F9" w14:textId="77777777" w:rsidR="00E33184" w:rsidRDefault="00E33184" w:rsidP="0023780A">
      <w:pPr>
        <w:spacing w:after="0" w:line="240" w:lineRule="auto"/>
        <w:rPr>
          <w:rFonts w:cs="Calibri"/>
        </w:rPr>
      </w:pPr>
      <w:r w:rsidRPr="00A91674">
        <w:rPr>
          <w:rFonts w:cs="Calibri"/>
        </w:rPr>
        <w:t xml:space="preserve"> </w:t>
      </w:r>
    </w:p>
    <w:p w14:paraId="10EC1727" w14:textId="661A9D69" w:rsidR="00E33184" w:rsidRDefault="00E33184" w:rsidP="00E33184">
      <w:pPr>
        <w:spacing w:after="120" w:line="240" w:lineRule="auto"/>
        <w:rPr>
          <w:rFonts w:cs="Calibri"/>
        </w:rPr>
      </w:pPr>
      <w:r>
        <w:rPr>
          <w:rFonts w:cs="Calibri"/>
        </w:rPr>
        <w:t xml:space="preserve">Las cuentas por cobrar se contabilizan </w:t>
      </w:r>
      <w:r w:rsidRPr="00A91674">
        <w:rPr>
          <w:rFonts w:cs="Calibri"/>
        </w:rPr>
        <w:t xml:space="preserve">bajo el método de </w:t>
      </w:r>
      <w:r>
        <w:rPr>
          <w:rFonts w:cs="Calibri"/>
        </w:rPr>
        <w:t>d</w:t>
      </w:r>
      <w:r w:rsidRPr="00A91674">
        <w:rPr>
          <w:rFonts w:cs="Calibri"/>
        </w:rPr>
        <w:t>evengo</w:t>
      </w:r>
      <w:r>
        <w:rPr>
          <w:rFonts w:cs="Calibri"/>
        </w:rPr>
        <w:t xml:space="preserve">, es decir, contra ingresos considerando los momentos definidos en el Código Municipal en que la Municipalidad tiene derecho al cobro de las tasas y tributos; a saber, los montos de las tasas por trimestre vencido y los impuestos y patentes por trimestre adelantado. El saldo al </w:t>
      </w:r>
      <w:r w:rsidR="00D470B6">
        <w:rPr>
          <w:rFonts w:cs="Calibri"/>
        </w:rPr>
        <w:t>30 de junio</w:t>
      </w:r>
      <w:r>
        <w:rPr>
          <w:rFonts w:cs="Calibri"/>
        </w:rPr>
        <w:t xml:space="preserve"> está conformado por los montos puestos al cobro en el año 2023 que aún se encuentran pendientes de cobro, los montos de tasas por servicios correspondientes al primer trimestre 2024 y los impuestos y patentes correspondientes al tercer trimestre del año 2023, que aún se encontraban pendientes de cobrar.</w:t>
      </w:r>
    </w:p>
    <w:p w14:paraId="4C40EA77" w14:textId="77777777" w:rsidR="00E33184" w:rsidRDefault="00E33184" w:rsidP="00E33184">
      <w:pPr>
        <w:spacing w:after="120" w:line="240" w:lineRule="auto"/>
        <w:rPr>
          <w:rFonts w:cs="Calibri"/>
        </w:rPr>
      </w:pPr>
    </w:p>
    <w:p w14:paraId="716FC162" w14:textId="77777777" w:rsidR="00E33184" w:rsidRPr="00A91674" w:rsidRDefault="00E33184" w:rsidP="00E33184">
      <w:pPr>
        <w:spacing w:after="120" w:line="240" w:lineRule="auto"/>
        <w:rPr>
          <w:color w:val="000000"/>
          <w:lang w:val="es-ES" w:eastAsia="es-ES"/>
        </w:rPr>
      </w:pPr>
      <w:r w:rsidRPr="00A91674">
        <w:rPr>
          <w:color w:val="000000"/>
          <w:lang w:val="es-ES" w:eastAsia="es-ES"/>
        </w:rPr>
        <w:t xml:space="preserve">Los montos </w:t>
      </w:r>
      <w:r>
        <w:rPr>
          <w:color w:val="000000"/>
          <w:lang w:val="es-ES" w:eastAsia="es-ES"/>
        </w:rPr>
        <w:t>que se reconocen por conceto de tasa e impuestos son establecidos por la Municipalidad y aprobados por el Concejo o la Asamblea legislativa según corresponda de acuerdo con lo dictado por los artículos números 77, 81, 83 del Código Municipal. Asimismo, se consideran centro de las cuentas por cobrar los</w:t>
      </w:r>
      <w:r w:rsidRPr="00A91674">
        <w:rPr>
          <w:color w:val="000000"/>
          <w:lang w:val="es-ES" w:eastAsia="es-ES"/>
        </w:rPr>
        <w:t xml:space="preserve"> derecho</w:t>
      </w:r>
      <w:r>
        <w:rPr>
          <w:color w:val="000000"/>
          <w:lang w:val="es-ES" w:eastAsia="es-ES"/>
        </w:rPr>
        <w:t>s</w:t>
      </w:r>
      <w:r w:rsidRPr="00A91674">
        <w:rPr>
          <w:color w:val="000000"/>
          <w:lang w:val="es-ES" w:eastAsia="es-ES"/>
        </w:rPr>
        <w:t xml:space="preserve"> adquirido</w:t>
      </w:r>
      <w:r>
        <w:rPr>
          <w:color w:val="000000"/>
          <w:lang w:val="es-ES" w:eastAsia="es-ES"/>
        </w:rPr>
        <w:t>s</w:t>
      </w:r>
      <w:r w:rsidRPr="00A91674">
        <w:rPr>
          <w:color w:val="000000"/>
          <w:lang w:val="es-ES" w:eastAsia="es-ES"/>
        </w:rPr>
        <w:t xml:space="preserve"> de recibir recursos externos </w:t>
      </w:r>
      <w:r>
        <w:rPr>
          <w:color w:val="000000"/>
          <w:lang w:val="es-ES" w:eastAsia="es-ES"/>
        </w:rPr>
        <w:t xml:space="preserve">provenientes de las </w:t>
      </w:r>
      <w:r w:rsidRPr="00A91674">
        <w:rPr>
          <w:color w:val="000000"/>
          <w:lang w:val="es-ES" w:eastAsia="es-ES"/>
        </w:rPr>
        <w:t>leyes de Presupuesto ordinario y extraordinario de la República de Costa Rica</w:t>
      </w:r>
      <w:r>
        <w:rPr>
          <w:color w:val="000000"/>
          <w:lang w:val="es-ES" w:eastAsia="es-ES"/>
        </w:rPr>
        <w:t>. En el caso de las cuentas por cobrar relacionadas con arreglos de pago</w:t>
      </w:r>
      <w:r w:rsidRPr="00A91674">
        <w:rPr>
          <w:color w:val="000000"/>
          <w:lang w:val="es-ES" w:eastAsia="es-ES"/>
        </w:rPr>
        <w:t>,</w:t>
      </w:r>
      <w:r>
        <w:rPr>
          <w:color w:val="000000"/>
          <w:lang w:val="es-ES" w:eastAsia="es-ES"/>
        </w:rPr>
        <w:t xml:space="preserve"> se constituirán en documentos por cobrar que se registrarán por el valor del principal más las sumas por intereses y multas acumuladas que se hayan generado, </w:t>
      </w:r>
      <w:r w:rsidRPr="00A91674">
        <w:rPr>
          <w:color w:val="000000"/>
          <w:lang w:val="es-ES" w:eastAsia="es-ES"/>
        </w:rPr>
        <w:t xml:space="preserve">más </w:t>
      </w:r>
      <w:r>
        <w:rPr>
          <w:color w:val="000000"/>
          <w:lang w:val="es-ES" w:eastAsia="es-ES"/>
        </w:rPr>
        <w:t>cualquier otro c</w:t>
      </w:r>
      <w:r w:rsidRPr="00A91674">
        <w:rPr>
          <w:color w:val="000000"/>
          <w:lang w:val="es-ES" w:eastAsia="es-ES"/>
        </w:rPr>
        <w:t xml:space="preserve">osto </w:t>
      </w:r>
      <w:r>
        <w:rPr>
          <w:color w:val="000000"/>
          <w:lang w:val="es-ES" w:eastAsia="es-ES"/>
        </w:rPr>
        <w:t xml:space="preserve">en el que se incurra </w:t>
      </w:r>
      <w:r w:rsidRPr="00A91674">
        <w:rPr>
          <w:color w:val="000000"/>
          <w:lang w:val="es-ES" w:eastAsia="es-ES"/>
        </w:rPr>
        <w:t>e</w:t>
      </w:r>
      <w:r>
        <w:rPr>
          <w:color w:val="000000"/>
          <w:lang w:val="es-ES" w:eastAsia="es-ES"/>
        </w:rPr>
        <w:t>n la</w:t>
      </w:r>
      <w:r w:rsidRPr="00A91674">
        <w:rPr>
          <w:color w:val="000000"/>
          <w:lang w:val="es-ES" w:eastAsia="es-ES"/>
        </w:rPr>
        <w:t xml:space="preserve"> </w:t>
      </w:r>
      <w:r>
        <w:rPr>
          <w:color w:val="000000"/>
          <w:lang w:val="es-ES" w:eastAsia="es-ES"/>
        </w:rPr>
        <w:t>t</w:t>
      </w:r>
      <w:r w:rsidRPr="00A91674">
        <w:rPr>
          <w:color w:val="000000"/>
          <w:lang w:val="es-ES" w:eastAsia="es-ES"/>
        </w:rPr>
        <w:t>ransacción que sean directamente atribuibles a la emisión de este. La medición posterior al reconocimiento inicial que se empleará será el método de costo amortizado</w:t>
      </w:r>
      <w:r>
        <w:rPr>
          <w:color w:val="000000"/>
          <w:lang w:val="es-ES" w:eastAsia="es-ES"/>
        </w:rPr>
        <w:t xml:space="preserve"> para aquellas cuentas que se consideren de largo plazo.</w:t>
      </w:r>
    </w:p>
    <w:p w14:paraId="366A76C2" w14:textId="4FD90D32" w:rsidR="00692DC8" w:rsidRPr="00E33184" w:rsidRDefault="00692DC8" w:rsidP="00464861">
      <w:pPr>
        <w:rPr>
          <w:lang w:val="es-ES" w:eastAsia="es-CR"/>
        </w:rPr>
      </w:pPr>
    </w:p>
    <w:p w14:paraId="28B5E3BC" w14:textId="77777777" w:rsidR="00694299" w:rsidRPr="00694299" w:rsidRDefault="00692DC8" w:rsidP="00464861">
      <w:pPr>
        <w:rPr>
          <w:rFonts w:ascii="Calibri" w:eastAsia="Calibri" w:hAnsi="Calibri"/>
          <w:b/>
          <w:sz w:val="20"/>
          <w:szCs w:val="20"/>
          <w:lang w:eastAsia="es-CR"/>
        </w:rPr>
      </w:pPr>
      <w:r w:rsidRPr="00464861">
        <w:rPr>
          <w:b/>
          <w:lang w:val="es-ES" w:eastAsia="es-CR"/>
        </w:rPr>
        <w:t xml:space="preserve">Revelación: </w:t>
      </w:r>
      <w:bookmarkStart w:id="173" w:name="_Hlk99359439"/>
      <w:bookmarkStart w:id="174" w:name="_Toc13041051"/>
      <w:bookmarkStart w:id="175" w:name="_Toc14345050"/>
      <w:r w:rsidR="00FF374B">
        <w:rPr>
          <w:rFonts w:cs="Calibri"/>
          <w:color w:val="000000"/>
          <w:lang w:eastAsia="es-CR"/>
        </w:rPr>
        <w:fldChar w:fldCharType="begin"/>
      </w:r>
      <w:r w:rsidR="00FF374B">
        <w:rPr>
          <w:rFonts w:cs="Calibri"/>
          <w:color w:val="000000"/>
          <w:lang w:eastAsia="es-CR"/>
        </w:rPr>
        <w:instrText xml:space="preserve"> LINK </w:instrText>
      </w:r>
      <w:r w:rsidR="00323752">
        <w:rPr>
          <w:rFonts w:cs="Calibri"/>
          <w:color w:val="000000"/>
          <w:lang w:eastAsia="es-CR"/>
        </w:rPr>
        <w:instrText xml:space="preserve">Excel.SheetMacroEnabled.12 "D:\\MORAVIA\\INSUMOS\\NOTAS 2024\\Formato_Notas_EEFF_Vinculadas_2024\\XXXXX_PXX_202X_Anexo_Estado_Notas_Contables_Vinculadas.xlsm" NOTAS_POR_CUENTA!F14C8 </w:instrText>
      </w:r>
      <w:r w:rsidR="00FF374B">
        <w:rPr>
          <w:rFonts w:cs="Calibri"/>
          <w:color w:val="000000"/>
          <w:lang w:eastAsia="es-CR"/>
        </w:rPr>
        <w:instrText xml:space="preserve">\a \f 5 \h  \* MERGEFORMAT </w:instrText>
      </w:r>
      <w:r w:rsidR="00FF374B">
        <w:rPr>
          <w:rFonts w:cs="Calibri"/>
          <w:color w:val="000000"/>
          <w:lang w:eastAsia="es-CR"/>
        </w:rPr>
        <w:fldChar w:fldCharType="separate"/>
      </w:r>
    </w:p>
    <w:p w14:paraId="2EBDC404" w14:textId="28C2958F" w:rsidR="00694299" w:rsidRDefault="00694299" w:rsidP="00986DC9">
      <w:pPr>
        <w:spacing w:after="0" w:line="240" w:lineRule="auto"/>
        <w:rPr>
          <w:rFonts w:cs="Calibri"/>
          <w:color w:val="000000"/>
          <w:lang w:eastAsia="es-CR"/>
        </w:rPr>
      </w:pPr>
      <w:r w:rsidRPr="00694299">
        <w:rPr>
          <w:rFonts w:cs="Calibri"/>
          <w:color w:val="000000"/>
          <w:lang w:eastAsia="es-CR"/>
        </w:rPr>
        <w:t xml:space="preserve">La cuenta Cuentas a cobrar a corto plazo, representa el </w:t>
      </w:r>
      <w:r w:rsidR="00C95739">
        <w:rPr>
          <w:rFonts w:cs="Calibri"/>
          <w:color w:val="000000"/>
          <w:lang w:eastAsia="es-CR"/>
        </w:rPr>
        <w:t>1</w:t>
      </w:r>
      <w:r w:rsidRPr="00694299">
        <w:rPr>
          <w:rFonts w:cs="Calibri"/>
          <w:color w:val="000000"/>
          <w:lang w:eastAsia="es-CR"/>
        </w:rPr>
        <w:t>,</w:t>
      </w:r>
      <w:r w:rsidR="00C95739">
        <w:rPr>
          <w:rFonts w:cs="Calibri"/>
          <w:color w:val="000000"/>
          <w:lang w:eastAsia="es-CR"/>
        </w:rPr>
        <w:t>60</w:t>
      </w:r>
      <w:r w:rsidRPr="00694299">
        <w:rPr>
          <w:rFonts w:cs="Calibri"/>
          <w:color w:val="000000"/>
          <w:lang w:eastAsia="es-CR"/>
        </w:rPr>
        <w:t xml:space="preserve">% del total del Activo, que comparado al periodo anterior genera una variación absoluta de </w:t>
      </w:r>
      <w:r w:rsidR="00986DC9" w:rsidRPr="00986DC9">
        <w:rPr>
          <w:rFonts w:cs="Calibri"/>
          <w:color w:val="000000"/>
          <w:lang w:eastAsia="es-CR"/>
        </w:rPr>
        <w:t xml:space="preserve">24 538,61 </w:t>
      </w:r>
      <w:r w:rsidR="00986DC9" w:rsidRPr="00694299">
        <w:rPr>
          <w:rFonts w:cs="Calibri"/>
          <w:color w:val="000000"/>
          <w:lang w:eastAsia="es-CR"/>
        </w:rPr>
        <w:t>que</w:t>
      </w:r>
      <w:r w:rsidRPr="00694299">
        <w:rPr>
          <w:rFonts w:cs="Calibri"/>
          <w:color w:val="000000"/>
          <w:lang w:eastAsia="es-CR"/>
        </w:rPr>
        <w:t xml:space="preserve"> corresponde a un Aumento del </w:t>
      </w:r>
      <w:r w:rsidR="00C95739">
        <w:rPr>
          <w:rFonts w:cs="Calibri"/>
          <w:color w:val="000000"/>
          <w:lang w:eastAsia="es-CR"/>
        </w:rPr>
        <w:t>0</w:t>
      </w:r>
      <w:r w:rsidRPr="00694299">
        <w:rPr>
          <w:rFonts w:cs="Calibri"/>
          <w:color w:val="000000"/>
          <w:lang w:eastAsia="es-CR"/>
        </w:rPr>
        <w:t>,</w:t>
      </w:r>
      <w:r w:rsidR="00C95739">
        <w:rPr>
          <w:rFonts w:cs="Calibri"/>
          <w:color w:val="000000"/>
          <w:lang w:eastAsia="es-CR"/>
        </w:rPr>
        <w:t>92</w:t>
      </w:r>
      <w:r w:rsidRPr="00694299">
        <w:rPr>
          <w:rFonts w:cs="Calibri"/>
          <w:color w:val="000000"/>
          <w:lang w:eastAsia="es-CR"/>
        </w:rPr>
        <w:t>% de recursos disponibles.</w:t>
      </w:r>
    </w:p>
    <w:p w14:paraId="5F3BF2B6" w14:textId="77777777" w:rsidR="00986DC9" w:rsidRPr="00694299" w:rsidRDefault="00986DC9" w:rsidP="00986DC9">
      <w:pPr>
        <w:spacing w:after="0" w:line="240" w:lineRule="auto"/>
        <w:rPr>
          <w:rFonts w:cs="Calibri"/>
          <w:color w:val="000000"/>
          <w:lang w:eastAsia="es-CR"/>
        </w:rPr>
      </w:pPr>
    </w:p>
    <w:p w14:paraId="26D93EE6" w14:textId="3EED9A5D" w:rsidR="00D57597" w:rsidRDefault="00FF374B" w:rsidP="00986DC9">
      <w:pPr>
        <w:spacing w:after="0" w:line="240" w:lineRule="auto"/>
        <w:rPr>
          <w:szCs w:val="24"/>
          <w:lang w:eastAsia="es-CR"/>
        </w:rPr>
      </w:pPr>
      <w:r>
        <w:rPr>
          <w:rFonts w:cs="Calibri"/>
          <w:color w:val="000000"/>
          <w:lang w:eastAsia="es-CR"/>
        </w:rPr>
        <w:fldChar w:fldCharType="end"/>
      </w:r>
      <w:r w:rsidR="00692DC8" w:rsidRPr="00692DC8">
        <w:rPr>
          <w:szCs w:val="24"/>
          <w:highlight w:val="lightGray"/>
          <w:lang w:eastAsia="es-CR"/>
        </w:rPr>
        <w:t>Las variaciones de la cuenta son producto de (Indicar la razón de las variaciones de un periodo a otro):</w:t>
      </w:r>
      <w:r w:rsidR="00692DC8" w:rsidRPr="00692DC8">
        <w:rPr>
          <w:szCs w:val="24"/>
          <w:lang w:eastAsia="es-CR"/>
        </w:rPr>
        <w:t xml:space="preserve"> </w:t>
      </w:r>
      <w:bookmarkEnd w:id="173"/>
    </w:p>
    <w:p w14:paraId="0CE19987" w14:textId="77777777" w:rsidR="00986DC9" w:rsidRDefault="00986DC9" w:rsidP="00986DC9">
      <w:pPr>
        <w:spacing w:after="0" w:line="240" w:lineRule="auto"/>
      </w:pPr>
      <w:bookmarkStart w:id="176" w:name="_Hlk128340648"/>
    </w:p>
    <w:p w14:paraId="77C49C46" w14:textId="2D045CDC" w:rsidR="0023780A" w:rsidRDefault="0023780A" w:rsidP="0023780A">
      <w:pPr>
        <w:spacing w:after="120" w:line="240" w:lineRule="auto"/>
      </w:pPr>
      <w:r>
        <w:t>Como se puede observar en e</w:t>
      </w:r>
      <w:r w:rsidRPr="00A91674">
        <w:t xml:space="preserve">l detalle de las cuentas por cobrar al </w:t>
      </w:r>
      <w:r w:rsidR="00D470B6">
        <w:t>30 de junio</w:t>
      </w:r>
      <w:r w:rsidRPr="00A91674">
        <w:t xml:space="preserve"> de </w:t>
      </w:r>
      <w:r>
        <w:t xml:space="preserve">2024, que se incluye a continuación la variación </w:t>
      </w:r>
      <w:r w:rsidR="00F27D37">
        <w:t>positiva</w:t>
      </w:r>
      <w:r>
        <w:t xml:space="preserve"> de </w:t>
      </w:r>
      <w:r w:rsidRPr="00F27D37">
        <w:rPr>
          <w:rFonts w:ascii="Arial" w:hAnsi="Arial" w:cs="Arial"/>
        </w:rPr>
        <w:t>₡</w:t>
      </w:r>
      <w:r w:rsidR="00D079B9">
        <w:t>24</w:t>
      </w:r>
      <w:r w:rsidR="00F27D37">
        <w:t> </w:t>
      </w:r>
      <w:r w:rsidR="00D079B9" w:rsidRPr="00986DC9">
        <w:rPr>
          <w:rFonts w:cs="Calibri"/>
          <w:color w:val="000000"/>
          <w:lang w:eastAsia="es-CR"/>
        </w:rPr>
        <w:t>538,61</w:t>
      </w:r>
      <w:r w:rsidRPr="00F8553B">
        <w:t>miles</w:t>
      </w:r>
      <w:r>
        <w:t xml:space="preserve"> que se presenta en las cuentas por cobrar entre los meses de </w:t>
      </w:r>
      <w:r w:rsidR="00D079B9">
        <w:t>junio</w:t>
      </w:r>
      <w:r>
        <w:t xml:space="preserve"> de 2023 y 2024, corresponde principalmente a que los Impuestos a cobrar a corto plazo </w:t>
      </w:r>
      <w:r w:rsidR="00F27D37">
        <w:t xml:space="preserve">presentan una variación de </w:t>
      </w:r>
      <w:r w:rsidR="00D079B9">
        <w:t>-</w:t>
      </w:r>
      <w:r w:rsidR="00F27D37" w:rsidRPr="00F27D37">
        <w:rPr>
          <w:rFonts w:ascii="Arial" w:hAnsi="Arial" w:cs="Arial"/>
        </w:rPr>
        <w:t>₡</w:t>
      </w:r>
      <w:r w:rsidR="00D079B9">
        <w:t>26</w:t>
      </w:r>
      <w:r w:rsidR="00F27D37" w:rsidRPr="00F27D37">
        <w:t xml:space="preserve"> </w:t>
      </w:r>
      <w:r w:rsidR="00D079B9">
        <w:t>408</w:t>
      </w:r>
      <w:r w:rsidR="00F27D37" w:rsidRPr="00F27D37">
        <w:t>,</w:t>
      </w:r>
      <w:r w:rsidR="00D079B9">
        <w:t>6</w:t>
      </w:r>
      <w:r w:rsidR="00F27D37" w:rsidRPr="00F27D37">
        <w:t xml:space="preserve">4, las </w:t>
      </w:r>
      <w:r>
        <w:t>Transferencias a cobrar a corto plazo presenta una variación de</w:t>
      </w:r>
      <w:r w:rsidR="00F27D37">
        <w:t xml:space="preserve"> </w:t>
      </w:r>
      <w:r w:rsidR="00D079B9">
        <w:t>-</w:t>
      </w:r>
      <w:r w:rsidRPr="00F27D37">
        <w:rPr>
          <w:rFonts w:ascii="Arial" w:hAnsi="Arial" w:cs="Arial"/>
        </w:rPr>
        <w:t>₡</w:t>
      </w:r>
      <w:r w:rsidR="00D079B9">
        <w:t>2</w:t>
      </w:r>
      <w:r w:rsidR="00F27D37" w:rsidRPr="00F27D37">
        <w:t>0</w:t>
      </w:r>
      <w:r w:rsidR="00D079B9">
        <w:t xml:space="preserve"> 548</w:t>
      </w:r>
      <w:r w:rsidR="00F27D37" w:rsidRPr="00F27D37">
        <w:t>,</w:t>
      </w:r>
      <w:r w:rsidR="00D079B9">
        <w:t>9</w:t>
      </w:r>
      <w:r w:rsidR="00F27D37" w:rsidRPr="00F27D37">
        <w:t xml:space="preserve">5 </w:t>
      </w:r>
      <w:r>
        <w:t>miles</w:t>
      </w:r>
      <w:r w:rsidR="00D079B9">
        <w:t>, y las Otras cuentas por cuentas a cobrar a corto plazo presentan aumentos de  -</w:t>
      </w:r>
      <w:r w:rsidR="00D079B9" w:rsidRPr="00F27D37">
        <w:rPr>
          <w:rFonts w:ascii="Arial" w:hAnsi="Arial" w:cs="Arial"/>
        </w:rPr>
        <w:t>₡</w:t>
      </w:r>
      <w:r w:rsidR="00D079B9">
        <w:t>789,80 miles; mientras que los</w:t>
      </w:r>
      <w:r>
        <w:t xml:space="preserve"> </w:t>
      </w:r>
      <w:r w:rsidR="00D079B9" w:rsidRPr="00813F29">
        <w:t>Servicios y derechos a cobrar a corto plazo</w:t>
      </w:r>
      <w:r w:rsidR="00D079B9">
        <w:t xml:space="preserve"> una variación positiva de </w:t>
      </w:r>
      <w:r w:rsidR="00D079B9" w:rsidRPr="00D079B9">
        <w:rPr>
          <w:rFonts w:ascii="Arial" w:hAnsi="Arial" w:cs="Arial"/>
        </w:rPr>
        <w:t>₡</w:t>
      </w:r>
      <w:r w:rsidR="00D079B9" w:rsidRPr="00D079B9">
        <w:t>72</w:t>
      </w:r>
      <w:r w:rsidR="00D079B9" w:rsidRPr="00F27D37">
        <w:t xml:space="preserve"> </w:t>
      </w:r>
      <w:r w:rsidR="00D079B9">
        <w:t>285</w:t>
      </w:r>
      <w:r w:rsidR="00D079B9" w:rsidRPr="00F27D37">
        <w:t>,</w:t>
      </w:r>
      <w:r w:rsidR="00D079B9">
        <w:t>99</w:t>
      </w:r>
      <w:r w:rsidR="00D079B9" w:rsidRPr="00F27D37">
        <w:t xml:space="preserve">, </w:t>
      </w:r>
    </w:p>
    <w:p w14:paraId="03431471" w14:textId="77777777" w:rsidR="00512371" w:rsidRDefault="00512371" w:rsidP="00512371">
      <w:pPr>
        <w:spacing w:after="0" w:line="240" w:lineRule="auto"/>
      </w:pPr>
    </w:p>
    <w:tbl>
      <w:tblPr>
        <w:tblW w:w="8680" w:type="dxa"/>
        <w:tblLook w:val="04A0" w:firstRow="1" w:lastRow="0" w:firstColumn="1" w:lastColumn="0" w:noHBand="0" w:noVBand="1"/>
      </w:tblPr>
      <w:tblGrid>
        <w:gridCol w:w="852"/>
        <w:gridCol w:w="3412"/>
        <w:gridCol w:w="1116"/>
        <w:gridCol w:w="1236"/>
        <w:gridCol w:w="1236"/>
        <w:gridCol w:w="927"/>
      </w:tblGrid>
      <w:tr w:rsidR="00AD7990" w:rsidRPr="00AD7990" w14:paraId="071D9F47" w14:textId="77777777" w:rsidTr="00AD7990">
        <w:trPr>
          <w:trHeight w:val="470"/>
        </w:trPr>
        <w:tc>
          <w:tcPr>
            <w:tcW w:w="780" w:type="dxa"/>
            <w:tcBorders>
              <w:top w:val="single" w:sz="8" w:space="0" w:color="auto"/>
              <w:left w:val="nil"/>
              <w:bottom w:val="nil"/>
              <w:right w:val="single" w:sz="8" w:space="0" w:color="auto"/>
            </w:tcBorders>
            <w:shd w:val="clear" w:color="000000" w:fill="365F91"/>
            <w:vAlign w:val="center"/>
            <w:hideMark/>
          </w:tcPr>
          <w:bookmarkEnd w:id="176"/>
          <w:p w14:paraId="566FA2B1" w14:textId="77777777" w:rsidR="00AD7990" w:rsidRPr="00AD7990" w:rsidRDefault="00AD7990" w:rsidP="00AD7990">
            <w:pPr>
              <w:spacing w:after="0" w:line="240" w:lineRule="auto"/>
              <w:jc w:val="center"/>
              <w:rPr>
                <w:rFonts w:eastAsia="Times New Roman" w:cs="Calibri"/>
                <w:b/>
                <w:bCs/>
                <w:color w:val="FFFFFF"/>
                <w:sz w:val="18"/>
                <w:szCs w:val="18"/>
                <w:lang w:val="en-US"/>
              </w:rPr>
            </w:pPr>
            <w:r w:rsidRPr="00AD7990">
              <w:rPr>
                <w:rFonts w:eastAsia="Times New Roman" w:cs="Calibri"/>
                <w:b/>
                <w:bCs/>
                <w:color w:val="FFFFFF"/>
                <w:sz w:val="18"/>
                <w:szCs w:val="18"/>
                <w:lang w:val="en-US"/>
              </w:rPr>
              <w:t>Cuenta</w:t>
            </w:r>
          </w:p>
        </w:tc>
        <w:tc>
          <w:tcPr>
            <w:tcW w:w="3500" w:type="dxa"/>
            <w:tcBorders>
              <w:top w:val="single" w:sz="8" w:space="0" w:color="auto"/>
              <w:left w:val="nil"/>
              <w:bottom w:val="nil"/>
              <w:right w:val="single" w:sz="8" w:space="0" w:color="auto"/>
            </w:tcBorders>
            <w:shd w:val="clear" w:color="000000" w:fill="365F91"/>
            <w:vAlign w:val="center"/>
            <w:hideMark/>
          </w:tcPr>
          <w:p w14:paraId="13C13798" w14:textId="77777777" w:rsidR="00AD7990" w:rsidRPr="00AD7990" w:rsidRDefault="00AD7990" w:rsidP="00AD7990">
            <w:pPr>
              <w:spacing w:after="0" w:line="240" w:lineRule="auto"/>
              <w:jc w:val="center"/>
              <w:rPr>
                <w:rFonts w:eastAsia="Times New Roman" w:cs="Calibri"/>
                <w:b/>
                <w:bCs/>
                <w:color w:val="FFFFFF"/>
                <w:sz w:val="18"/>
                <w:szCs w:val="18"/>
                <w:lang w:val="en-US"/>
              </w:rPr>
            </w:pPr>
            <w:r w:rsidRPr="00AD7990">
              <w:rPr>
                <w:rFonts w:eastAsia="Times New Roman" w:cs="Calibri"/>
                <w:b/>
                <w:bCs/>
                <w:color w:val="FFFFFF"/>
                <w:sz w:val="18"/>
                <w:szCs w:val="18"/>
                <w:lang w:val="en-US"/>
              </w:rPr>
              <w:t>Nombre</w:t>
            </w:r>
          </w:p>
        </w:tc>
        <w:tc>
          <w:tcPr>
            <w:tcW w:w="1120" w:type="dxa"/>
            <w:tcBorders>
              <w:top w:val="single" w:sz="8" w:space="0" w:color="auto"/>
              <w:left w:val="nil"/>
              <w:bottom w:val="nil"/>
              <w:right w:val="single" w:sz="8" w:space="0" w:color="auto"/>
            </w:tcBorders>
            <w:shd w:val="clear" w:color="000000" w:fill="365F91"/>
            <w:vAlign w:val="center"/>
            <w:hideMark/>
          </w:tcPr>
          <w:p w14:paraId="767E8D25" w14:textId="77777777" w:rsidR="00AD7990" w:rsidRPr="00AD7990" w:rsidRDefault="00AD7990" w:rsidP="00AD7990">
            <w:pPr>
              <w:spacing w:after="0" w:line="240" w:lineRule="auto"/>
              <w:jc w:val="center"/>
              <w:rPr>
                <w:rFonts w:eastAsia="Times New Roman" w:cs="Calibri"/>
                <w:b/>
                <w:bCs/>
                <w:color w:val="FFFFFF"/>
                <w:sz w:val="18"/>
                <w:szCs w:val="18"/>
                <w:lang w:val="en-US"/>
              </w:rPr>
            </w:pPr>
            <w:r w:rsidRPr="00AD7990">
              <w:rPr>
                <w:rFonts w:eastAsia="Times New Roman" w:cs="Calibri"/>
                <w:b/>
                <w:bCs/>
                <w:color w:val="FFFFFF"/>
                <w:sz w:val="18"/>
                <w:szCs w:val="18"/>
                <w:lang w:val="en-US"/>
              </w:rPr>
              <w:t>Periodo Actual</w:t>
            </w:r>
          </w:p>
        </w:tc>
        <w:tc>
          <w:tcPr>
            <w:tcW w:w="1240" w:type="dxa"/>
            <w:tcBorders>
              <w:top w:val="single" w:sz="8" w:space="0" w:color="auto"/>
              <w:left w:val="nil"/>
              <w:bottom w:val="nil"/>
              <w:right w:val="single" w:sz="8" w:space="0" w:color="auto"/>
            </w:tcBorders>
            <w:shd w:val="clear" w:color="000000" w:fill="365F91"/>
            <w:vAlign w:val="center"/>
            <w:hideMark/>
          </w:tcPr>
          <w:p w14:paraId="6FF9B6DB" w14:textId="77777777" w:rsidR="00AD7990" w:rsidRPr="00AD7990" w:rsidRDefault="00AD7990" w:rsidP="00AD7990">
            <w:pPr>
              <w:spacing w:after="0" w:line="240" w:lineRule="auto"/>
              <w:jc w:val="center"/>
              <w:rPr>
                <w:rFonts w:eastAsia="Times New Roman" w:cs="Calibri"/>
                <w:b/>
                <w:bCs/>
                <w:color w:val="FFFFFF"/>
                <w:sz w:val="18"/>
                <w:szCs w:val="18"/>
                <w:lang w:val="en-US"/>
              </w:rPr>
            </w:pPr>
            <w:r w:rsidRPr="00AD7990">
              <w:rPr>
                <w:rFonts w:eastAsia="Times New Roman" w:cs="Calibri"/>
                <w:b/>
                <w:bCs/>
                <w:color w:val="FFFFFF"/>
                <w:sz w:val="18"/>
                <w:szCs w:val="18"/>
                <w:lang w:val="en-US"/>
              </w:rPr>
              <w:t>Periodo Anterior</w:t>
            </w:r>
          </w:p>
        </w:tc>
        <w:tc>
          <w:tcPr>
            <w:tcW w:w="1240" w:type="dxa"/>
            <w:tcBorders>
              <w:top w:val="single" w:sz="8" w:space="0" w:color="auto"/>
              <w:left w:val="nil"/>
              <w:bottom w:val="nil"/>
              <w:right w:val="single" w:sz="8" w:space="0" w:color="auto"/>
            </w:tcBorders>
            <w:shd w:val="clear" w:color="000000" w:fill="365F91"/>
            <w:vAlign w:val="center"/>
            <w:hideMark/>
          </w:tcPr>
          <w:p w14:paraId="59E8D77C" w14:textId="77777777" w:rsidR="00AD7990" w:rsidRPr="00AD7990" w:rsidRDefault="00AD7990" w:rsidP="00AD7990">
            <w:pPr>
              <w:spacing w:after="0" w:line="240" w:lineRule="auto"/>
              <w:jc w:val="center"/>
              <w:rPr>
                <w:rFonts w:eastAsia="Times New Roman" w:cs="Calibri"/>
                <w:b/>
                <w:bCs/>
                <w:color w:val="FFFFFF"/>
                <w:sz w:val="18"/>
                <w:szCs w:val="18"/>
                <w:lang w:val="en-US"/>
              </w:rPr>
            </w:pPr>
            <w:r w:rsidRPr="00AD7990">
              <w:rPr>
                <w:rFonts w:eastAsia="Times New Roman" w:cs="Calibri"/>
                <w:b/>
                <w:bCs/>
                <w:color w:val="FFFFFF"/>
                <w:sz w:val="18"/>
                <w:szCs w:val="18"/>
                <w:lang w:val="en-US"/>
              </w:rPr>
              <w:t>Diferencia Absoluta</w:t>
            </w:r>
          </w:p>
        </w:tc>
        <w:tc>
          <w:tcPr>
            <w:tcW w:w="800" w:type="dxa"/>
            <w:tcBorders>
              <w:top w:val="single" w:sz="8" w:space="0" w:color="auto"/>
              <w:left w:val="nil"/>
              <w:bottom w:val="nil"/>
              <w:right w:val="single" w:sz="8" w:space="0" w:color="auto"/>
            </w:tcBorders>
            <w:shd w:val="clear" w:color="000000" w:fill="365F91"/>
            <w:vAlign w:val="center"/>
            <w:hideMark/>
          </w:tcPr>
          <w:p w14:paraId="549F877D" w14:textId="77777777" w:rsidR="00AD7990" w:rsidRPr="00AD7990" w:rsidRDefault="00AD7990" w:rsidP="00AD7990">
            <w:pPr>
              <w:spacing w:after="0" w:line="240" w:lineRule="auto"/>
              <w:jc w:val="center"/>
              <w:rPr>
                <w:rFonts w:eastAsia="Times New Roman" w:cs="Calibri"/>
                <w:b/>
                <w:bCs/>
                <w:color w:val="FFFFFF"/>
                <w:sz w:val="18"/>
                <w:szCs w:val="18"/>
                <w:lang w:val="en-US"/>
              </w:rPr>
            </w:pPr>
            <w:r w:rsidRPr="00AD7990">
              <w:rPr>
                <w:rFonts w:eastAsia="Times New Roman" w:cs="Calibri"/>
                <w:b/>
                <w:bCs/>
                <w:color w:val="FFFFFF"/>
                <w:sz w:val="18"/>
                <w:szCs w:val="18"/>
                <w:lang w:val="en-US"/>
              </w:rPr>
              <w:t>Diferencia %</w:t>
            </w:r>
          </w:p>
        </w:tc>
      </w:tr>
      <w:tr w:rsidR="00AD7990" w:rsidRPr="00AD7990" w14:paraId="433EC8DF" w14:textId="77777777" w:rsidTr="00AD7990">
        <w:trPr>
          <w:trHeight w:val="290"/>
        </w:trPr>
        <w:tc>
          <w:tcPr>
            <w:tcW w:w="7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6742A9B" w14:textId="77777777" w:rsidR="00AD7990" w:rsidRPr="00AD7990" w:rsidRDefault="00AD7990" w:rsidP="00AD7990">
            <w:pPr>
              <w:spacing w:after="0" w:line="240" w:lineRule="auto"/>
              <w:jc w:val="left"/>
              <w:rPr>
                <w:rFonts w:eastAsia="Times New Roman" w:cs="Calibri"/>
                <w:color w:val="000000"/>
                <w:sz w:val="20"/>
                <w:szCs w:val="20"/>
                <w:lang w:val="en-US"/>
              </w:rPr>
            </w:pPr>
            <w:r w:rsidRPr="00AD7990">
              <w:rPr>
                <w:rFonts w:eastAsia="Times New Roman" w:cs="Calibri"/>
                <w:color w:val="000000"/>
                <w:sz w:val="20"/>
                <w:szCs w:val="20"/>
                <w:lang w:val="en-US"/>
              </w:rPr>
              <w:t>1.1.3.01</w:t>
            </w:r>
          </w:p>
        </w:tc>
        <w:tc>
          <w:tcPr>
            <w:tcW w:w="3500" w:type="dxa"/>
            <w:tcBorders>
              <w:top w:val="single" w:sz="8" w:space="0" w:color="auto"/>
              <w:left w:val="nil"/>
              <w:bottom w:val="single" w:sz="4" w:space="0" w:color="auto"/>
              <w:right w:val="single" w:sz="4" w:space="0" w:color="auto"/>
            </w:tcBorders>
            <w:shd w:val="clear" w:color="auto" w:fill="auto"/>
            <w:vAlign w:val="center"/>
            <w:hideMark/>
          </w:tcPr>
          <w:p w14:paraId="01933E8D" w14:textId="77777777" w:rsidR="00AD7990" w:rsidRPr="00AD7990" w:rsidRDefault="00AD7990" w:rsidP="00AD7990">
            <w:pPr>
              <w:spacing w:after="0" w:line="240" w:lineRule="auto"/>
              <w:jc w:val="left"/>
              <w:rPr>
                <w:rFonts w:eastAsia="Times New Roman" w:cs="Calibri"/>
                <w:color w:val="000000"/>
                <w:sz w:val="20"/>
                <w:szCs w:val="20"/>
              </w:rPr>
            </w:pPr>
            <w:r w:rsidRPr="00AD7990">
              <w:rPr>
                <w:rFonts w:eastAsia="Times New Roman" w:cs="Calibri"/>
                <w:color w:val="000000"/>
                <w:sz w:val="20"/>
                <w:szCs w:val="20"/>
              </w:rPr>
              <w:t>Impuestos a cobrar a corto plazo</w:t>
            </w:r>
          </w:p>
        </w:tc>
        <w:tc>
          <w:tcPr>
            <w:tcW w:w="1120" w:type="dxa"/>
            <w:tcBorders>
              <w:top w:val="single" w:sz="8" w:space="0" w:color="auto"/>
              <w:left w:val="nil"/>
              <w:bottom w:val="single" w:sz="4" w:space="0" w:color="auto"/>
              <w:right w:val="single" w:sz="4" w:space="0" w:color="auto"/>
            </w:tcBorders>
            <w:shd w:val="clear" w:color="FFFFFF" w:fill="FFFFFF"/>
            <w:noWrap/>
            <w:vAlign w:val="center"/>
            <w:hideMark/>
          </w:tcPr>
          <w:p w14:paraId="08D34A38" w14:textId="77777777" w:rsidR="00AD7990" w:rsidRPr="00AD7990" w:rsidRDefault="00AD7990" w:rsidP="00AD7990">
            <w:pPr>
              <w:spacing w:after="0" w:line="240" w:lineRule="auto"/>
              <w:jc w:val="right"/>
              <w:rPr>
                <w:rFonts w:eastAsia="Times New Roman" w:cs="Calibri"/>
                <w:color w:val="000000"/>
                <w:sz w:val="18"/>
                <w:szCs w:val="18"/>
                <w:lang w:val="en-US"/>
              </w:rPr>
            </w:pPr>
            <w:r w:rsidRPr="00AD7990">
              <w:rPr>
                <w:rFonts w:ascii="Arial" w:eastAsia="Times New Roman" w:hAnsi="Arial" w:cs="Arial"/>
                <w:color w:val="000000"/>
                <w:sz w:val="18"/>
                <w:szCs w:val="18"/>
                <w:lang w:val="en-US"/>
              </w:rPr>
              <w:t>₡</w:t>
            </w:r>
            <w:r w:rsidRPr="00AD7990">
              <w:rPr>
                <w:rFonts w:eastAsia="Times New Roman" w:cs="Calibri"/>
                <w:color w:val="000000"/>
                <w:sz w:val="18"/>
                <w:szCs w:val="18"/>
                <w:lang w:val="en-US"/>
              </w:rPr>
              <w:t>410 847,79</w:t>
            </w:r>
          </w:p>
        </w:tc>
        <w:tc>
          <w:tcPr>
            <w:tcW w:w="1240" w:type="dxa"/>
            <w:tcBorders>
              <w:top w:val="single" w:sz="8" w:space="0" w:color="auto"/>
              <w:left w:val="nil"/>
              <w:bottom w:val="single" w:sz="4" w:space="0" w:color="auto"/>
              <w:right w:val="single" w:sz="4" w:space="0" w:color="auto"/>
            </w:tcBorders>
            <w:shd w:val="clear" w:color="FFFFFF" w:fill="FFFFFF"/>
            <w:noWrap/>
            <w:vAlign w:val="center"/>
            <w:hideMark/>
          </w:tcPr>
          <w:p w14:paraId="2CD2F327" w14:textId="77777777" w:rsidR="00AD7990" w:rsidRPr="00AD7990" w:rsidRDefault="00AD7990" w:rsidP="00AD7990">
            <w:pPr>
              <w:spacing w:after="0" w:line="240" w:lineRule="auto"/>
              <w:jc w:val="right"/>
              <w:rPr>
                <w:rFonts w:eastAsia="Times New Roman" w:cs="Calibri"/>
                <w:color w:val="000000"/>
                <w:sz w:val="18"/>
                <w:szCs w:val="18"/>
                <w:lang w:val="en-US"/>
              </w:rPr>
            </w:pPr>
            <w:r w:rsidRPr="00AD7990">
              <w:rPr>
                <w:rFonts w:ascii="Arial" w:eastAsia="Times New Roman" w:hAnsi="Arial" w:cs="Arial"/>
                <w:color w:val="000000"/>
                <w:sz w:val="18"/>
                <w:szCs w:val="18"/>
                <w:lang w:val="en-US"/>
              </w:rPr>
              <w:t>₡</w:t>
            </w:r>
            <w:r w:rsidRPr="00AD7990">
              <w:rPr>
                <w:rFonts w:eastAsia="Times New Roman" w:cs="Calibri"/>
                <w:color w:val="000000"/>
                <w:sz w:val="18"/>
                <w:szCs w:val="18"/>
                <w:lang w:val="en-US"/>
              </w:rPr>
              <w:t>437 256,43</w:t>
            </w:r>
          </w:p>
        </w:tc>
        <w:tc>
          <w:tcPr>
            <w:tcW w:w="1240" w:type="dxa"/>
            <w:tcBorders>
              <w:top w:val="single" w:sz="8" w:space="0" w:color="auto"/>
              <w:left w:val="nil"/>
              <w:bottom w:val="single" w:sz="4" w:space="0" w:color="auto"/>
              <w:right w:val="single" w:sz="4" w:space="0" w:color="auto"/>
            </w:tcBorders>
            <w:shd w:val="clear" w:color="auto" w:fill="auto"/>
            <w:noWrap/>
            <w:vAlign w:val="center"/>
            <w:hideMark/>
          </w:tcPr>
          <w:p w14:paraId="33C6F5F9" w14:textId="77777777" w:rsidR="00AD7990" w:rsidRPr="00AD7990" w:rsidRDefault="00AD7990" w:rsidP="00AD7990">
            <w:pPr>
              <w:spacing w:after="0" w:line="240" w:lineRule="auto"/>
              <w:jc w:val="right"/>
              <w:rPr>
                <w:rFonts w:eastAsia="Times New Roman" w:cs="Calibri"/>
                <w:color w:val="000000"/>
                <w:sz w:val="18"/>
                <w:szCs w:val="18"/>
                <w:lang w:val="en-US"/>
              </w:rPr>
            </w:pPr>
            <w:r w:rsidRPr="00AD7990">
              <w:rPr>
                <w:rFonts w:eastAsia="Times New Roman" w:cs="Calibri"/>
                <w:color w:val="000000"/>
                <w:sz w:val="18"/>
                <w:szCs w:val="18"/>
                <w:lang w:val="en-US"/>
              </w:rPr>
              <w:t>-</w:t>
            </w:r>
            <w:r w:rsidRPr="00AD7990">
              <w:rPr>
                <w:rFonts w:ascii="Arial" w:eastAsia="Times New Roman" w:hAnsi="Arial" w:cs="Arial"/>
                <w:color w:val="000000"/>
                <w:sz w:val="18"/>
                <w:szCs w:val="18"/>
                <w:lang w:val="en-US"/>
              </w:rPr>
              <w:t>₡</w:t>
            </w:r>
            <w:r w:rsidRPr="00AD7990">
              <w:rPr>
                <w:rFonts w:eastAsia="Times New Roman" w:cs="Calibri"/>
                <w:color w:val="000000"/>
                <w:sz w:val="18"/>
                <w:szCs w:val="18"/>
                <w:lang w:val="en-US"/>
              </w:rPr>
              <w:t>26 408,64</w:t>
            </w:r>
          </w:p>
        </w:tc>
        <w:tc>
          <w:tcPr>
            <w:tcW w:w="800" w:type="dxa"/>
            <w:tcBorders>
              <w:top w:val="single" w:sz="8" w:space="0" w:color="auto"/>
              <w:left w:val="nil"/>
              <w:bottom w:val="single" w:sz="4" w:space="0" w:color="auto"/>
              <w:right w:val="single" w:sz="8" w:space="0" w:color="auto"/>
            </w:tcBorders>
            <w:shd w:val="clear" w:color="auto" w:fill="auto"/>
            <w:noWrap/>
            <w:vAlign w:val="center"/>
            <w:hideMark/>
          </w:tcPr>
          <w:p w14:paraId="72D728A2" w14:textId="77777777" w:rsidR="00AD7990" w:rsidRPr="00AD7990" w:rsidRDefault="00AD7990" w:rsidP="00AD7990">
            <w:pPr>
              <w:spacing w:after="0" w:line="240" w:lineRule="auto"/>
              <w:jc w:val="center"/>
              <w:rPr>
                <w:rFonts w:eastAsia="Times New Roman" w:cs="Calibri"/>
                <w:color w:val="000000"/>
                <w:sz w:val="18"/>
                <w:szCs w:val="18"/>
                <w:lang w:val="en-US"/>
              </w:rPr>
            </w:pPr>
            <w:r w:rsidRPr="00AD7990">
              <w:rPr>
                <w:rFonts w:eastAsia="Times New Roman" w:cs="Calibri"/>
                <w:color w:val="000000"/>
                <w:sz w:val="18"/>
                <w:szCs w:val="18"/>
                <w:lang w:val="en-US"/>
              </w:rPr>
              <w:t>-6,04%</w:t>
            </w:r>
          </w:p>
        </w:tc>
      </w:tr>
      <w:tr w:rsidR="00AD7990" w:rsidRPr="00AD7990" w14:paraId="4D0E61A1" w14:textId="77777777" w:rsidTr="00AD7990">
        <w:trPr>
          <w:trHeight w:val="29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14:paraId="5AACF88A" w14:textId="77777777" w:rsidR="00AD7990" w:rsidRPr="00AD7990" w:rsidRDefault="00AD7990" w:rsidP="00AD7990">
            <w:pPr>
              <w:spacing w:after="0" w:line="240" w:lineRule="auto"/>
              <w:jc w:val="left"/>
              <w:rPr>
                <w:rFonts w:eastAsia="Times New Roman" w:cs="Calibri"/>
                <w:color w:val="000000"/>
                <w:sz w:val="20"/>
                <w:szCs w:val="20"/>
                <w:lang w:val="en-US"/>
              </w:rPr>
            </w:pPr>
            <w:r w:rsidRPr="00AD7990">
              <w:rPr>
                <w:rFonts w:eastAsia="Times New Roman" w:cs="Calibri"/>
                <w:color w:val="000000"/>
                <w:sz w:val="20"/>
                <w:szCs w:val="20"/>
                <w:lang w:val="en-US"/>
              </w:rPr>
              <w:t>1.1.3.04</w:t>
            </w:r>
          </w:p>
        </w:tc>
        <w:tc>
          <w:tcPr>
            <w:tcW w:w="3500" w:type="dxa"/>
            <w:tcBorders>
              <w:top w:val="nil"/>
              <w:left w:val="nil"/>
              <w:bottom w:val="single" w:sz="4" w:space="0" w:color="auto"/>
              <w:right w:val="single" w:sz="4" w:space="0" w:color="auto"/>
            </w:tcBorders>
            <w:shd w:val="clear" w:color="auto" w:fill="auto"/>
            <w:vAlign w:val="center"/>
            <w:hideMark/>
          </w:tcPr>
          <w:p w14:paraId="38C7A4B1" w14:textId="77777777" w:rsidR="00AD7990" w:rsidRPr="00AD7990" w:rsidRDefault="00AD7990" w:rsidP="00AD7990">
            <w:pPr>
              <w:spacing w:after="0" w:line="240" w:lineRule="auto"/>
              <w:jc w:val="left"/>
              <w:rPr>
                <w:rFonts w:eastAsia="Times New Roman" w:cs="Calibri"/>
                <w:color w:val="000000"/>
                <w:sz w:val="20"/>
                <w:szCs w:val="20"/>
              </w:rPr>
            </w:pPr>
            <w:r w:rsidRPr="00AD7990">
              <w:rPr>
                <w:rFonts w:eastAsia="Times New Roman" w:cs="Calibri"/>
                <w:color w:val="000000"/>
                <w:sz w:val="20"/>
                <w:szCs w:val="20"/>
              </w:rPr>
              <w:t>Servicios y derechos a cobrar a corto plazo</w:t>
            </w:r>
          </w:p>
        </w:tc>
        <w:tc>
          <w:tcPr>
            <w:tcW w:w="1120" w:type="dxa"/>
            <w:tcBorders>
              <w:top w:val="nil"/>
              <w:left w:val="nil"/>
              <w:bottom w:val="single" w:sz="4" w:space="0" w:color="auto"/>
              <w:right w:val="single" w:sz="4" w:space="0" w:color="auto"/>
            </w:tcBorders>
            <w:shd w:val="clear" w:color="FFFFFF" w:fill="FFFFFF"/>
            <w:noWrap/>
            <w:vAlign w:val="center"/>
            <w:hideMark/>
          </w:tcPr>
          <w:p w14:paraId="5E05FCFB" w14:textId="77777777" w:rsidR="00AD7990" w:rsidRPr="00AD7990" w:rsidRDefault="00AD7990" w:rsidP="00AD7990">
            <w:pPr>
              <w:spacing w:after="0" w:line="240" w:lineRule="auto"/>
              <w:jc w:val="right"/>
              <w:rPr>
                <w:rFonts w:eastAsia="Times New Roman" w:cs="Calibri"/>
                <w:color w:val="000000"/>
                <w:sz w:val="18"/>
                <w:szCs w:val="18"/>
                <w:lang w:val="en-US"/>
              </w:rPr>
            </w:pPr>
            <w:r w:rsidRPr="00AD7990">
              <w:rPr>
                <w:rFonts w:eastAsia="Times New Roman" w:cs="Calibri"/>
                <w:color w:val="000000"/>
                <w:sz w:val="18"/>
                <w:szCs w:val="18"/>
                <w:lang w:val="en-US"/>
              </w:rPr>
              <w:t>242 141,70</w:t>
            </w:r>
          </w:p>
        </w:tc>
        <w:tc>
          <w:tcPr>
            <w:tcW w:w="1240" w:type="dxa"/>
            <w:tcBorders>
              <w:top w:val="nil"/>
              <w:left w:val="nil"/>
              <w:bottom w:val="single" w:sz="4" w:space="0" w:color="auto"/>
              <w:right w:val="single" w:sz="4" w:space="0" w:color="auto"/>
            </w:tcBorders>
            <w:shd w:val="clear" w:color="FFFFFF" w:fill="FFFFFF"/>
            <w:noWrap/>
            <w:vAlign w:val="center"/>
            <w:hideMark/>
          </w:tcPr>
          <w:p w14:paraId="26C70B7E" w14:textId="77777777" w:rsidR="00AD7990" w:rsidRPr="00AD7990" w:rsidRDefault="00AD7990" w:rsidP="00AD7990">
            <w:pPr>
              <w:spacing w:after="0" w:line="240" w:lineRule="auto"/>
              <w:jc w:val="right"/>
              <w:rPr>
                <w:rFonts w:eastAsia="Times New Roman" w:cs="Calibri"/>
                <w:color w:val="000000"/>
                <w:sz w:val="18"/>
                <w:szCs w:val="18"/>
                <w:lang w:val="en-US"/>
              </w:rPr>
            </w:pPr>
            <w:r w:rsidRPr="00AD7990">
              <w:rPr>
                <w:rFonts w:eastAsia="Times New Roman" w:cs="Calibri"/>
                <w:color w:val="000000"/>
                <w:sz w:val="18"/>
                <w:szCs w:val="18"/>
                <w:lang w:val="en-US"/>
              </w:rPr>
              <w:t>169 855,71</w:t>
            </w:r>
          </w:p>
        </w:tc>
        <w:tc>
          <w:tcPr>
            <w:tcW w:w="1240" w:type="dxa"/>
            <w:tcBorders>
              <w:top w:val="nil"/>
              <w:left w:val="nil"/>
              <w:bottom w:val="single" w:sz="4" w:space="0" w:color="auto"/>
              <w:right w:val="single" w:sz="4" w:space="0" w:color="auto"/>
            </w:tcBorders>
            <w:shd w:val="clear" w:color="auto" w:fill="auto"/>
            <w:noWrap/>
            <w:vAlign w:val="center"/>
            <w:hideMark/>
          </w:tcPr>
          <w:p w14:paraId="3D10A03D" w14:textId="77777777" w:rsidR="00AD7990" w:rsidRPr="00AD7990" w:rsidRDefault="00AD7990" w:rsidP="00AD7990">
            <w:pPr>
              <w:spacing w:after="0" w:line="240" w:lineRule="auto"/>
              <w:jc w:val="right"/>
              <w:rPr>
                <w:rFonts w:eastAsia="Times New Roman" w:cs="Calibri"/>
                <w:color w:val="000000"/>
                <w:sz w:val="18"/>
                <w:szCs w:val="18"/>
                <w:lang w:val="en-US"/>
              </w:rPr>
            </w:pPr>
            <w:r w:rsidRPr="00AD7990">
              <w:rPr>
                <w:rFonts w:eastAsia="Times New Roman" w:cs="Calibri"/>
                <w:color w:val="000000"/>
                <w:sz w:val="18"/>
                <w:szCs w:val="18"/>
                <w:lang w:val="en-US"/>
              </w:rPr>
              <w:t>72 285,99</w:t>
            </w:r>
          </w:p>
        </w:tc>
        <w:tc>
          <w:tcPr>
            <w:tcW w:w="800" w:type="dxa"/>
            <w:tcBorders>
              <w:top w:val="nil"/>
              <w:left w:val="nil"/>
              <w:bottom w:val="single" w:sz="4" w:space="0" w:color="auto"/>
              <w:right w:val="single" w:sz="8" w:space="0" w:color="auto"/>
            </w:tcBorders>
            <w:shd w:val="clear" w:color="auto" w:fill="auto"/>
            <w:noWrap/>
            <w:vAlign w:val="center"/>
            <w:hideMark/>
          </w:tcPr>
          <w:p w14:paraId="41E0183B" w14:textId="77777777" w:rsidR="00AD7990" w:rsidRPr="00AD7990" w:rsidRDefault="00AD7990" w:rsidP="00AD7990">
            <w:pPr>
              <w:spacing w:after="0" w:line="240" w:lineRule="auto"/>
              <w:jc w:val="center"/>
              <w:rPr>
                <w:rFonts w:eastAsia="Times New Roman" w:cs="Calibri"/>
                <w:color w:val="000000"/>
                <w:sz w:val="18"/>
                <w:szCs w:val="18"/>
                <w:lang w:val="en-US"/>
              </w:rPr>
            </w:pPr>
            <w:r w:rsidRPr="00AD7990">
              <w:rPr>
                <w:rFonts w:eastAsia="Times New Roman" w:cs="Calibri"/>
                <w:color w:val="000000"/>
                <w:sz w:val="18"/>
                <w:szCs w:val="18"/>
                <w:lang w:val="en-US"/>
              </w:rPr>
              <w:t>42,56%</w:t>
            </w:r>
          </w:p>
        </w:tc>
      </w:tr>
      <w:tr w:rsidR="00AD7990" w:rsidRPr="00AD7990" w14:paraId="15F52466" w14:textId="77777777" w:rsidTr="00AD7990">
        <w:trPr>
          <w:trHeight w:val="29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14:paraId="3BC4414B" w14:textId="77777777" w:rsidR="00AD7990" w:rsidRPr="00AD7990" w:rsidRDefault="00AD7990" w:rsidP="00AD7990">
            <w:pPr>
              <w:spacing w:after="0" w:line="240" w:lineRule="auto"/>
              <w:jc w:val="left"/>
              <w:rPr>
                <w:rFonts w:eastAsia="Times New Roman" w:cs="Calibri"/>
                <w:color w:val="000000"/>
                <w:sz w:val="20"/>
                <w:szCs w:val="20"/>
                <w:lang w:val="en-US"/>
              </w:rPr>
            </w:pPr>
            <w:r w:rsidRPr="00AD7990">
              <w:rPr>
                <w:rFonts w:eastAsia="Times New Roman" w:cs="Calibri"/>
                <w:color w:val="000000"/>
                <w:sz w:val="20"/>
                <w:szCs w:val="20"/>
                <w:lang w:val="en-US"/>
              </w:rPr>
              <w:t>1.1.3.06</w:t>
            </w:r>
          </w:p>
        </w:tc>
        <w:tc>
          <w:tcPr>
            <w:tcW w:w="3500" w:type="dxa"/>
            <w:tcBorders>
              <w:top w:val="nil"/>
              <w:left w:val="nil"/>
              <w:bottom w:val="single" w:sz="4" w:space="0" w:color="auto"/>
              <w:right w:val="single" w:sz="4" w:space="0" w:color="auto"/>
            </w:tcBorders>
            <w:shd w:val="clear" w:color="auto" w:fill="auto"/>
            <w:vAlign w:val="center"/>
            <w:hideMark/>
          </w:tcPr>
          <w:p w14:paraId="7309B1FC" w14:textId="77777777" w:rsidR="00AD7990" w:rsidRPr="00AD7990" w:rsidRDefault="00AD7990" w:rsidP="00AD7990">
            <w:pPr>
              <w:spacing w:after="0" w:line="240" w:lineRule="auto"/>
              <w:jc w:val="left"/>
              <w:rPr>
                <w:rFonts w:eastAsia="Times New Roman" w:cs="Calibri"/>
                <w:color w:val="000000"/>
                <w:sz w:val="20"/>
                <w:szCs w:val="20"/>
              </w:rPr>
            </w:pPr>
            <w:r w:rsidRPr="00AD7990">
              <w:rPr>
                <w:rFonts w:eastAsia="Times New Roman" w:cs="Calibri"/>
                <w:color w:val="000000"/>
                <w:sz w:val="20"/>
                <w:szCs w:val="20"/>
              </w:rPr>
              <w:t>Transferencias a cobrar a corto plazo</w:t>
            </w:r>
          </w:p>
        </w:tc>
        <w:tc>
          <w:tcPr>
            <w:tcW w:w="1120" w:type="dxa"/>
            <w:tcBorders>
              <w:top w:val="nil"/>
              <w:left w:val="nil"/>
              <w:bottom w:val="single" w:sz="4" w:space="0" w:color="auto"/>
              <w:right w:val="single" w:sz="4" w:space="0" w:color="auto"/>
            </w:tcBorders>
            <w:shd w:val="clear" w:color="FFFFFF" w:fill="FFFFFF"/>
            <w:noWrap/>
            <w:vAlign w:val="center"/>
            <w:hideMark/>
          </w:tcPr>
          <w:p w14:paraId="55FE0549" w14:textId="77777777" w:rsidR="00AD7990" w:rsidRPr="00AD7990" w:rsidRDefault="00AD7990" w:rsidP="00AD7990">
            <w:pPr>
              <w:spacing w:after="0" w:line="240" w:lineRule="auto"/>
              <w:jc w:val="right"/>
              <w:rPr>
                <w:rFonts w:eastAsia="Times New Roman" w:cs="Calibri"/>
                <w:color w:val="000000"/>
                <w:sz w:val="18"/>
                <w:szCs w:val="18"/>
                <w:lang w:val="en-US"/>
              </w:rPr>
            </w:pPr>
            <w:r w:rsidRPr="00AD7990">
              <w:rPr>
                <w:rFonts w:eastAsia="Times New Roman" w:cs="Calibri"/>
                <w:color w:val="000000"/>
                <w:sz w:val="18"/>
                <w:szCs w:val="18"/>
                <w:lang w:val="en-US"/>
              </w:rPr>
              <w:t>2 204 743,32</w:t>
            </w:r>
          </w:p>
        </w:tc>
        <w:tc>
          <w:tcPr>
            <w:tcW w:w="1240" w:type="dxa"/>
            <w:tcBorders>
              <w:top w:val="nil"/>
              <w:left w:val="nil"/>
              <w:bottom w:val="single" w:sz="4" w:space="0" w:color="auto"/>
              <w:right w:val="single" w:sz="4" w:space="0" w:color="auto"/>
            </w:tcBorders>
            <w:shd w:val="clear" w:color="FFFFFF" w:fill="FFFFFF"/>
            <w:noWrap/>
            <w:vAlign w:val="center"/>
            <w:hideMark/>
          </w:tcPr>
          <w:p w14:paraId="0D1D9B5D" w14:textId="77777777" w:rsidR="00AD7990" w:rsidRPr="00AD7990" w:rsidRDefault="00AD7990" w:rsidP="00AD7990">
            <w:pPr>
              <w:spacing w:after="0" w:line="240" w:lineRule="auto"/>
              <w:jc w:val="right"/>
              <w:rPr>
                <w:rFonts w:eastAsia="Times New Roman" w:cs="Calibri"/>
                <w:color w:val="000000"/>
                <w:sz w:val="18"/>
                <w:szCs w:val="18"/>
                <w:lang w:val="en-US"/>
              </w:rPr>
            </w:pPr>
            <w:r w:rsidRPr="00AD7990">
              <w:rPr>
                <w:rFonts w:eastAsia="Times New Roman" w:cs="Calibri"/>
                <w:color w:val="000000"/>
                <w:sz w:val="18"/>
                <w:szCs w:val="18"/>
                <w:lang w:val="en-US"/>
              </w:rPr>
              <w:t>2 225 292,27</w:t>
            </w:r>
          </w:p>
        </w:tc>
        <w:tc>
          <w:tcPr>
            <w:tcW w:w="1240" w:type="dxa"/>
            <w:tcBorders>
              <w:top w:val="nil"/>
              <w:left w:val="nil"/>
              <w:bottom w:val="single" w:sz="4" w:space="0" w:color="auto"/>
              <w:right w:val="single" w:sz="4" w:space="0" w:color="auto"/>
            </w:tcBorders>
            <w:shd w:val="clear" w:color="auto" w:fill="auto"/>
            <w:noWrap/>
            <w:vAlign w:val="center"/>
            <w:hideMark/>
          </w:tcPr>
          <w:p w14:paraId="43DDEA18" w14:textId="77777777" w:rsidR="00AD7990" w:rsidRPr="00AD7990" w:rsidRDefault="00AD7990" w:rsidP="00AD7990">
            <w:pPr>
              <w:spacing w:after="0" w:line="240" w:lineRule="auto"/>
              <w:jc w:val="right"/>
              <w:rPr>
                <w:rFonts w:eastAsia="Times New Roman" w:cs="Calibri"/>
                <w:color w:val="000000"/>
                <w:sz w:val="18"/>
                <w:szCs w:val="18"/>
                <w:lang w:val="en-US"/>
              </w:rPr>
            </w:pPr>
            <w:r w:rsidRPr="00AD7990">
              <w:rPr>
                <w:rFonts w:eastAsia="Times New Roman" w:cs="Calibri"/>
                <w:color w:val="000000"/>
                <w:sz w:val="18"/>
                <w:szCs w:val="18"/>
                <w:lang w:val="en-US"/>
              </w:rPr>
              <w:t>-20 548,95</w:t>
            </w:r>
          </w:p>
        </w:tc>
        <w:tc>
          <w:tcPr>
            <w:tcW w:w="800" w:type="dxa"/>
            <w:tcBorders>
              <w:top w:val="nil"/>
              <w:left w:val="nil"/>
              <w:bottom w:val="single" w:sz="4" w:space="0" w:color="auto"/>
              <w:right w:val="single" w:sz="8" w:space="0" w:color="auto"/>
            </w:tcBorders>
            <w:shd w:val="clear" w:color="auto" w:fill="auto"/>
            <w:noWrap/>
            <w:vAlign w:val="center"/>
            <w:hideMark/>
          </w:tcPr>
          <w:p w14:paraId="336A741C" w14:textId="77777777" w:rsidR="00AD7990" w:rsidRPr="00AD7990" w:rsidRDefault="00AD7990" w:rsidP="00AD7990">
            <w:pPr>
              <w:spacing w:after="0" w:line="240" w:lineRule="auto"/>
              <w:jc w:val="center"/>
              <w:rPr>
                <w:rFonts w:eastAsia="Times New Roman" w:cs="Calibri"/>
                <w:color w:val="000000"/>
                <w:sz w:val="18"/>
                <w:szCs w:val="18"/>
                <w:lang w:val="en-US"/>
              </w:rPr>
            </w:pPr>
            <w:r w:rsidRPr="00AD7990">
              <w:rPr>
                <w:rFonts w:eastAsia="Times New Roman" w:cs="Calibri"/>
                <w:color w:val="000000"/>
                <w:sz w:val="18"/>
                <w:szCs w:val="18"/>
                <w:lang w:val="en-US"/>
              </w:rPr>
              <w:t>-0,92%</w:t>
            </w:r>
          </w:p>
        </w:tc>
      </w:tr>
      <w:tr w:rsidR="00AD7990" w:rsidRPr="00AD7990" w14:paraId="6824E62D" w14:textId="77777777" w:rsidTr="00AD7990">
        <w:trPr>
          <w:trHeight w:val="30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14:paraId="788228CE" w14:textId="77777777" w:rsidR="00AD7990" w:rsidRPr="00AD7990" w:rsidRDefault="00AD7990" w:rsidP="00AD7990">
            <w:pPr>
              <w:spacing w:after="0" w:line="240" w:lineRule="auto"/>
              <w:jc w:val="left"/>
              <w:rPr>
                <w:rFonts w:eastAsia="Times New Roman" w:cs="Calibri"/>
                <w:color w:val="000000"/>
                <w:sz w:val="20"/>
                <w:szCs w:val="20"/>
                <w:lang w:val="en-US"/>
              </w:rPr>
            </w:pPr>
            <w:r w:rsidRPr="00AD7990">
              <w:rPr>
                <w:rFonts w:eastAsia="Times New Roman" w:cs="Calibri"/>
                <w:color w:val="000000"/>
                <w:sz w:val="20"/>
                <w:szCs w:val="20"/>
                <w:lang w:val="en-US"/>
              </w:rPr>
              <w:t>1.1.3.98</w:t>
            </w:r>
          </w:p>
        </w:tc>
        <w:tc>
          <w:tcPr>
            <w:tcW w:w="3500" w:type="dxa"/>
            <w:tcBorders>
              <w:top w:val="nil"/>
              <w:left w:val="nil"/>
              <w:bottom w:val="single" w:sz="4" w:space="0" w:color="auto"/>
              <w:right w:val="single" w:sz="4" w:space="0" w:color="auto"/>
            </w:tcBorders>
            <w:shd w:val="clear" w:color="auto" w:fill="auto"/>
            <w:vAlign w:val="center"/>
            <w:hideMark/>
          </w:tcPr>
          <w:p w14:paraId="3464592D" w14:textId="77777777" w:rsidR="00AD7990" w:rsidRPr="00AD7990" w:rsidRDefault="00AD7990" w:rsidP="00AD7990">
            <w:pPr>
              <w:spacing w:after="0" w:line="240" w:lineRule="auto"/>
              <w:jc w:val="left"/>
              <w:rPr>
                <w:rFonts w:eastAsia="Times New Roman" w:cs="Calibri"/>
                <w:color w:val="000000"/>
                <w:sz w:val="20"/>
                <w:szCs w:val="20"/>
              </w:rPr>
            </w:pPr>
            <w:r w:rsidRPr="00AD7990">
              <w:rPr>
                <w:rFonts w:eastAsia="Times New Roman" w:cs="Calibri"/>
                <w:color w:val="000000"/>
                <w:sz w:val="20"/>
                <w:szCs w:val="20"/>
              </w:rPr>
              <w:t>Otras cuentas a cobrar a corto plazo</w:t>
            </w:r>
          </w:p>
        </w:tc>
        <w:tc>
          <w:tcPr>
            <w:tcW w:w="1120" w:type="dxa"/>
            <w:tcBorders>
              <w:top w:val="nil"/>
              <w:left w:val="nil"/>
              <w:bottom w:val="single" w:sz="4" w:space="0" w:color="auto"/>
              <w:right w:val="single" w:sz="4" w:space="0" w:color="auto"/>
            </w:tcBorders>
            <w:shd w:val="clear" w:color="FFFFFF" w:fill="FFFFFF"/>
            <w:noWrap/>
            <w:vAlign w:val="center"/>
            <w:hideMark/>
          </w:tcPr>
          <w:p w14:paraId="08BDF462" w14:textId="77777777" w:rsidR="00AD7990" w:rsidRPr="00AD7990" w:rsidRDefault="00AD7990" w:rsidP="00AD7990">
            <w:pPr>
              <w:spacing w:after="0" w:line="240" w:lineRule="auto"/>
              <w:jc w:val="right"/>
              <w:rPr>
                <w:rFonts w:eastAsia="Times New Roman" w:cs="Calibri"/>
                <w:color w:val="000000"/>
                <w:sz w:val="18"/>
                <w:szCs w:val="18"/>
                <w:lang w:val="en-US"/>
              </w:rPr>
            </w:pPr>
            <w:r w:rsidRPr="00AD7990">
              <w:rPr>
                <w:rFonts w:eastAsia="Times New Roman" w:cs="Calibri"/>
                <w:color w:val="000000"/>
                <w:sz w:val="18"/>
                <w:szCs w:val="18"/>
                <w:lang w:val="en-US"/>
              </w:rPr>
              <w:t>3 498,62</w:t>
            </w:r>
          </w:p>
        </w:tc>
        <w:tc>
          <w:tcPr>
            <w:tcW w:w="1240" w:type="dxa"/>
            <w:tcBorders>
              <w:top w:val="nil"/>
              <w:left w:val="nil"/>
              <w:bottom w:val="single" w:sz="4" w:space="0" w:color="auto"/>
              <w:right w:val="single" w:sz="4" w:space="0" w:color="auto"/>
            </w:tcBorders>
            <w:shd w:val="clear" w:color="FFFFFF" w:fill="FFFFFF"/>
            <w:noWrap/>
            <w:vAlign w:val="center"/>
            <w:hideMark/>
          </w:tcPr>
          <w:p w14:paraId="7A550FB1" w14:textId="77777777" w:rsidR="00AD7990" w:rsidRPr="00AD7990" w:rsidRDefault="00AD7990" w:rsidP="00AD7990">
            <w:pPr>
              <w:spacing w:after="0" w:line="240" w:lineRule="auto"/>
              <w:jc w:val="right"/>
              <w:rPr>
                <w:rFonts w:eastAsia="Times New Roman" w:cs="Calibri"/>
                <w:color w:val="000000"/>
                <w:sz w:val="18"/>
                <w:szCs w:val="18"/>
                <w:lang w:val="en-US"/>
              </w:rPr>
            </w:pPr>
            <w:r w:rsidRPr="00AD7990">
              <w:rPr>
                <w:rFonts w:eastAsia="Times New Roman" w:cs="Calibri"/>
                <w:color w:val="000000"/>
                <w:sz w:val="18"/>
                <w:szCs w:val="18"/>
                <w:lang w:val="en-US"/>
              </w:rPr>
              <w:t>4 288,42</w:t>
            </w:r>
          </w:p>
        </w:tc>
        <w:tc>
          <w:tcPr>
            <w:tcW w:w="1240" w:type="dxa"/>
            <w:tcBorders>
              <w:top w:val="nil"/>
              <w:left w:val="nil"/>
              <w:bottom w:val="single" w:sz="4" w:space="0" w:color="auto"/>
              <w:right w:val="single" w:sz="4" w:space="0" w:color="auto"/>
            </w:tcBorders>
            <w:shd w:val="clear" w:color="auto" w:fill="auto"/>
            <w:noWrap/>
            <w:vAlign w:val="center"/>
            <w:hideMark/>
          </w:tcPr>
          <w:p w14:paraId="2C47ED11" w14:textId="77777777" w:rsidR="00AD7990" w:rsidRPr="00AD7990" w:rsidRDefault="00AD7990" w:rsidP="00AD7990">
            <w:pPr>
              <w:spacing w:after="0" w:line="240" w:lineRule="auto"/>
              <w:jc w:val="right"/>
              <w:rPr>
                <w:rFonts w:eastAsia="Times New Roman" w:cs="Calibri"/>
                <w:color w:val="000000"/>
                <w:sz w:val="18"/>
                <w:szCs w:val="18"/>
                <w:lang w:val="en-US"/>
              </w:rPr>
            </w:pPr>
            <w:r w:rsidRPr="00AD7990">
              <w:rPr>
                <w:rFonts w:eastAsia="Times New Roman" w:cs="Calibri"/>
                <w:color w:val="000000"/>
                <w:sz w:val="18"/>
                <w:szCs w:val="18"/>
                <w:lang w:val="en-US"/>
              </w:rPr>
              <w:t>-789,80</w:t>
            </w:r>
          </w:p>
        </w:tc>
        <w:tc>
          <w:tcPr>
            <w:tcW w:w="800" w:type="dxa"/>
            <w:tcBorders>
              <w:top w:val="nil"/>
              <w:left w:val="nil"/>
              <w:bottom w:val="single" w:sz="4" w:space="0" w:color="auto"/>
              <w:right w:val="single" w:sz="8" w:space="0" w:color="auto"/>
            </w:tcBorders>
            <w:shd w:val="clear" w:color="auto" w:fill="auto"/>
            <w:noWrap/>
            <w:vAlign w:val="center"/>
            <w:hideMark/>
          </w:tcPr>
          <w:p w14:paraId="5E5E7114" w14:textId="77777777" w:rsidR="00AD7990" w:rsidRPr="00AD7990" w:rsidRDefault="00AD7990" w:rsidP="00AD7990">
            <w:pPr>
              <w:spacing w:after="0" w:line="240" w:lineRule="auto"/>
              <w:jc w:val="center"/>
              <w:rPr>
                <w:rFonts w:eastAsia="Times New Roman" w:cs="Calibri"/>
                <w:color w:val="000000"/>
                <w:sz w:val="18"/>
                <w:szCs w:val="18"/>
                <w:lang w:val="en-US"/>
              </w:rPr>
            </w:pPr>
            <w:r w:rsidRPr="00AD7990">
              <w:rPr>
                <w:rFonts w:eastAsia="Times New Roman" w:cs="Calibri"/>
                <w:color w:val="000000"/>
                <w:sz w:val="18"/>
                <w:szCs w:val="18"/>
                <w:lang w:val="en-US"/>
              </w:rPr>
              <w:t>-18,42%</w:t>
            </w:r>
          </w:p>
        </w:tc>
      </w:tr>
      <w:tr w:rsidR="00AD7990" w:rsidRPr="00AD7990" w14:paraId="4BC59AED" w14:textId="77777777" w:rsidTr="00AD7990">
        <w:trPr>
          <w:trHeight w:val="300"/>
        </w:trPr>
        <w:tc>
          <w:tcPr>
            <w:tcW w:w="428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A9F4B59" w14:textId="77777777" w:rsidR="00AD7990" w:rsidRPr="00AD7990" w:rsidRDefault="00AD7990" w:rsidP="00AD7990">
            <w:pPr>
              <w:spacing w:after="0" w:line="240" w:lineRule="auto"/>
              <w:jc w:val="center"/>
              <w:rPr>
                <w:rFonts w:eastAsia="Times New Roman" w:cs="Calibri"/>
                <w:b/>
                <w:bCs/>
                <w:color w:val="000000"/>
                <w:sz w:val="20"/>
                <w:szCs w:val="20"/>
                <w:lang w:val="en-US"/>
              </w:rPr>
            </w:pPr>
            <w:r w:rsidRPr="00AD7990">
              <w:rPr>
                <w:rFonts w:eastAsia="Times New Roman" w:cs="Calibri"/>
                <w:b/>
                <w:bCs/>
                <w:color w:val="000000"/>
                <w:sz w:val="20"/>
                <w:szCs w:val="20"/>
                <w:lang w:val="en-US"/>
              </w:rPr>
              <w:t>SUBTOTALES</w:t>
            </w:r>
          </w:p>
        </w:tc>
        <w:tc>
          <w:tcPr>
            <w:tcW w:w="1120" w:type="dxa"/>
            <w:tcBorders>
              <w:top w:val="single" w:sz="8" w:space="0" w:color="auto"/>
              <w:left w:val="nil"/>
              <w:bottom w:val="single" w:sz="8" w:space="0" w:color="auto"/>
              <w:right w:val="single" w:sz="8" w:space="0" w:color="auto"/>
            </w:tcBorders>
            <w:shd w:val="clear" w:color="auto" w:fill="auto"/>
            <w:noWrap/>
            <w:vAlign w:val="center"/>
            <w:hideMark/>
          </w:tcPr>
          <w:p w14:paraId="7C1A90F6" w14:textId="77777777" w:rsidR="00AD7990" w:rsidRPr="00AD7990" w:rsidRDefault="00AD7990" w:rsidP="00512371">
            <w:pPr>
              <w:spacing w:after="0" w:line="240" w:lineRule="auto"/>
              <w:ind w:left="-122"/>
              <w:jc w:val="right"/>
              <w:rPr>
                <w:rFonts w:eastAsia="Times New Roman" w:cs="Calibri"/>
                <w:b/>
                <w:bCs/>
                <w:color w:val="000000"/>
                <w:sz w:val="18"/>
                <w:szCs w:val="18"/>
                <w:lang w:val="en-US"/>
              </w:rPr>
            </w:pPr>
            <w:r w:rsidRPr="00AD7990">
              <w:rPr>
                <w:rFonts w:ascii="Arial" w:eastAsia="Times New Roman" w:hAnsi="Arial" w:cs="Arial"/>
                <w:b/>
                <w:bCs/>
                <w:color w:val="000000"/>
                <w:sz w:val="18"/>
                <w:szCs w:val="18"/>
                <w:lang w:val="en-US"/>
              </w:rPr>
              <w:t>₡</w:t>
            </w:r>
            <w:r w:rsidRPr="00AD7990">
              <w:rPr>
                <w:rFonts w:eastAsia="Times New Roman" w:cs="Calibri"/>
                <w:b/>
                <w:bCs/>
                <w:color w:val="000000"/>
                <w:sz w:val="18"/>
                <w:szCs w:val="18"/>
                <w:lang w:val="en-US"/>
              </w:rPr>
              <w:t>2 861 231,43</w:t>
            </w:r>
          </w:p>
        </w:tc>
        <w:tc>
          <w:tcPr>
            <w:tcW w:w="1240" w:type="dxa"/>
            <w:tcBorders>
              <w:top w:val="single" w:sz="8" w:space="0" w:color="auto"/>
              <w:left w:val="nil"/>
              <w:bottom w:val="single" w:sz="8" w:space="0" w:color="auto"/>
              <w:right w:val="single" w:sz="8" w:space="0" w:color="auto"/>
            </w:tcBorders>
            <w:shd w:val="clear" w:color="auto" w:fill="auto"/>
            <w:noWrap/>
            <w:vAlign w:val="center"/>
            <w:hideMark/>
          </w:tcPr>
          <w:p w14:paraId="22382255" w14:textId="77777777" w:rsidR="00AD7990" w:rsidRPr="00AD7990" w:rsidRDefault="00AD7990" w:rsidP="00AD7990">
            <w:pPr>
              <w:spacing w:after="0" w:line="240" w:lineRule="auto"/>
              <w:jc w:val="right"/>
              <w:rPr>
                <w:rFonts w:eastAsia="Times New Roman" w:cs="Calibri"/>
                <w:b/>
                <w:bCs/>
                <w:color w:val="000000"/>
                <w:sz w:val="18"/>
                <w:szCs w:val="18"/>
                <w:lang w:val="en-US"/>
              </w:rPr>
            </w:pPr>
            <w:r w:rsidRPr="00AD7990">
              <w:rPr>
                <w:rFonts w:ascii="Arial" w:eastAsia="Times New Roman" w:hAnsi="Arial" w:cs="Arial"/>
                <w:b/>
                <w:bCs/>
                <w:color w:val="000000"/>
                <w:sz w:val="18"/>
                <w:szCs w:val="18"/>
                <w:lang w:val="en-US"/>
              </w:rPr>
              <w:t>₡</w:t>
            </w:r>
            <w:r w:rsidRPr="00AD7990">
              <w:rPr>
                <w:rFonts w:eastAsia="Times New Roman" w:cs="Calibri"/>
                <w:b/>
                <w:bCs/>
                <w:color w:val="000000"/>
                <w:sz w:val="18"/>
                <w:szCs w:val="18"/>
                <w:lang w:val="en-US"/>
              </w:rPr>
              <w:t>2 836 692,83</w:t>
            </w:r>
          </w:p>
        </w:tc>
        <w:tc>
          <w:tcPr>
            <w:tcW w:w="1240" w:type="dxa"/>
            <w:tcBorders>
              <w:top w:val="single" w:sz="8" w:space="0" w:color="auto"/>
              <w:left w:val="nil"/>
              <w:bottom w:val="single" w:sz="8" w:space="0" w:color="auto"/>
              <w:right w:val="single" w:sz="8" w:space="0" w:color="auto"/>
            </w:tcBorders>
            <w:shd w:val="clear" w:color="auto" w:fill="auto"/>
            <w:noWrap/>
            <w:vAlign w:val="center"/>
            <w:hideMark/>
          </w:tcPr>
          <w:p w14:paraId="5E89DF2F" w14:textId="77777777" w:rsidR="00AD7990" w:rsidRPr="00AD7990" w:rsidRDefault="00AD7990" w:rsidP="00AD7990">
            <w:pPr>
              <w:spacing w:after="0" w:line="240" w:lineRule="auto"/>
              <w:jc w:val="right"/>
              <w:rPr>
                <w:rFonts w:eastAsia="Times New Roman" w:cs="Calibri"/>
                <w:b/>
                <w:bCs/>
                <w:color w:val="000000"/>
                <w:sz w:val="18"/>
                <w:szCs w:val="18"/>
                <w:lang w:val="en-US"/>
              </w:rPr>
            </w:pPr>
            <w:r w:rsidRPr="00AD7990">
              <w:rPr>
                <w:rFonts w:ascii="Arial" w:eastAsia="Times New Roman" w:hAnsi="Arial" w:cs="Arial"/>
                <w:b/>
                <w:bCs/>
                <w:color w:val="000000"/>
                <w:sz w:val="18"/>
                <w:szCs w:val="18"/>
                <w:lang w:val="en-US"/>
              </w:rPr>
              <w:t>₡</w:t>
            </w:r>
            <w:r w:rsidRPr="00AD7990">
              <w:rPr>
                <w:rFonts w:eastAsia="Times New Roman" w:cs="Calibri"/>
                <w:b/>
                <w:bCs/>
                <w:color w:val="000000"/>
                <w:sz w:val="18"/>
                <w:szCs w:val="18"/>
                <w:lang w:val="en-US"/>
              </w:rPr>
              <w:t>24 538,61</w:t>
            </w:r>
          </w:p>
        </w:tc>
        <w:tc>
          <w:tcPr>
            <w:tcW w:w="8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A43F2C7" w14:textId="77777777" w:rsidR="00AD7990" w:rsidRPr="00AD7990" w:rsidRDefault="00AD7990" w:rsidP="00AD7990">
            <w:pPr>
              <w:spacing w:after="0" w:line="240" w:lineRule="auto"/>
              <w:jc w:val="center"/>
              <w:rPr>
                <w:rFonts w:eastAsia="Times New Roman" w:cs="Calibri"/>
                <w:b/>
                <w:bCs/>
                <w:color w:val="000000"/>
                <w:sz w:val="18"/>
                <w:szCs w:val="18"/>
                <w:lang w:val="en-US"/>
              </w:rPr>
            </w:pPr>
            <w:r w:rsidRPr="00AD7990">
              <w:rPr>
                <w:rFonts w:eastAsia="Times New Roman" w:cs="Calibri"/>
                <w:b/>
                <w:bCs/>
                <w:color w:val="000000"/>
                <w:sz w:val="18"/>
                <w:szCs w:val="18"/>
                <w:lang w:val="en-US"/>
              </w:rPr>
              <w:t>0,87%</w:t>
            </w:r>
          </w:p>
        </w:tc>
      </w:tr>
      <w:tr w:rsidR="00AD7990" w:rsidRPr="00AD7990" w14:paraId="5B525ED8" w14:textId="77777777" w:rsidTr="00AD7990">
        <w:trPr>
          <w:trHeight w:val="530"/>
        </w:trPr>
        <w:tc>
          <w:tcPr>
            <w:tcW w:w="780" w:type="dxa"/>
            <w:tcBorders>
              <w:top w:val="nil"/>
              <w:left w:val="single" w:sz="8" w:space="0" w:color="auto"/>
              <w:bottom w:val="single" w:sz="8" w:space="0" w:color="auto"/>
              <w:right w:val="single" w:sz="4" w:space="0" w:color="auto"/>
            </w:tcBorders>
            <w:shd w:val="clear" w:color="auto" w:fill="auto"/>
            <w:noWrap/>
            <w:vAlign w:val="center"/>
            <w:hideMark/>
          </w:tcPr>
          <w:p w14:paraId="76D55FBE" w14:textId="77777777" w:rsidR="00AD7990" w:rsidRPr="00AD7990" w:rsidRDefault="00AD7990" w:rsidP="00AD7990">
            <w:pPr>
              <w:spacing w:after="0" w:line="240" w:lineRule="auto"/>
              <w:jc w:val="left"/>
              <w:rPr>
                <w:rFonts w:eastAsia="Times New Roman" w:cs="Calibri"/>
                <w:color w:val="000000"/>
                <w:sz w:val="20"/>
                <w:szCs w:val="20"/>
                <w:lang w:val="en-US"/>
              </w:rPr>
            </w:pPr>
            <w:r w:rsidRPr="00AD7990">
              <w:rPr>
                <w:rFonts w:eastAsia="Times New Roman" w:cs="Calibri"/>
                <w:color w:val="000000"/>
                <w:sz w:val="20"/>
                <w:szCs w:val="20"/>
                <w:lang w:val="en-US"/>
              </w:rPr>
              <w:t>1.1.3.99.</w:t>
            </w:r>
          </w:p>
        </w:tc>
        <w:tc>
          <w:tcPr>
            <w:tcW w:w="3500" w:type="dxa"/>
            <w:tcBorders>
              <w:top w:val="nil"/>
              <w:left w:val="single" w:sz="4" w:space="0" w:color="auto"/>
              <w:bottom w:val="single" w:sz="8" w:space="0" w:color="auto"/>
              <w:right w:val="single" w:sz="4" w:space="0" w:color="auto"/>
            </w:tcBorders>
            <w:shd w:val="clear" w:color="auto" w:fill="auto"/>
            <w:vAlign w:val="center"/>
            <w:hideMark/>
          </w:tcPr>
          <w:p w14:paraId="72C70092" w14:textId="77777777" w:rsidR="00AD7990" w:rsidRPr="00AD7990" w:rsidRDefault="00AD7990" w:rsidP="00AD7990">
            <w:pPr>
              <w:spacing w:after="0" w:line="240" w:lineRule="auto"/>
              <w:jc w:val="left"/>
              <w:rPr>
                <w:rFonts w:eastAsia="Times New Roman" w:cs="Calibri"/>
                <w:color w:val="000000"/>
                <w:sz w:val="20"/>
                <w:szCs w:val="20"/>
              </w:rPr>
            </w:pPr>
            <w:r w:rsidRPr="00AD7990">
              <w:rPr>
                <w:rFonts w:eastAsia="Times New Roman" w:cs="Calibri"/>
                <w:color w:val="000000"/>
                <w:sz w:val="20"/>
                <w:szCs w:val="20"/>
              </w:rPr>
              <w:t>Previsiones para deterioro de cuentas a cobrar a corto plazo *</w:t>
            </w:r>
          </w:p>
        </w:tc>
        <w:tc>
          <w:tcPr>
            <w:tcW w:w="1120" w:type="dxa"/>
            <w:tcBorders>
              <w:top w:val="nil"/>
              <w:left w:val="nil"/>
              <w:bottom w:val="single" w:sz="8" w:space="0" w:color="auto"/>
              <w:right w:val="single" w:sz="4" w:space="0" w:color="auto"/>
            </w:tcBorders>
            <w:shd w:val="clear" w:color="auto" w:fill="auto"/>
            <w:noWrap/>
            <w:vAlign w:val="center"/>
            <w:hideMark/>
          </w:tcPr>
          <w:p w14:paraId="576DC751" w14:textId="77777777" w:rsidR="00AD7990" w:rsidRPr="00AD7990" w:rsidRDefault="00AD7990" w:rsidP="00512371">
            <w:pPr>
              <w:spacing w:after="0" w:line="240" w:lineRule="auto"/>
              <w:ind w:left="-122"/>
              <w:jc w:val="right"/>
              <w:rPr>
                <w:rFonts w:eastAsia="Times New Roman" w:cs="Calibri"/>
                <w:color w:val="000000"/>
                <w:sz w:val="18"/>
                <w:szCs w:val="18"/>
                <w:lang w:val="en-US"/>
              </w:rPr>
            </w:pPr>
            <w:r w:rsidRPr="00AD7990">
              <w:rPr>
                <w:rFonts w:eastAsia="Times New Roman" w:cs="Calibri"/>
                <w:color w:val="000000"/>
                <w:sz w:val="18"/>
                <w:szCs w:val="18"/>
                <w:lang w:val="en-US"/>
              </w:rPr>
              <w:t>-</w:t>
            </w:r>
            <w:r w:rsidRPr="00AD7990">
              <w:rPr>
                <w:rFonts w:ascii="Arial" w:eastAsia="Times New Roman" w:hAnsi="Arial" w:cs="Arial"/>
                <w:color w:val="000000"/>
                <w:sz w:val="18"/>
                <w:szCs w:val="18"/>
                <w:lang w:val="en-US"/>
              </w:rPr>
              <w:t>₡</w:t>
            </w:r>
            <w:r w:rsidRPr="00AD7990">
              <w:rPr>
                <w:rFonts w:eastAsia="Times New Roman" w:cs="Calibri"/>
                <w:color w:val="000000"/>
                <w:sz w:val="18"/>
                <w:szCs w:val="18"/>
                <w:lang w:val="en-US"/>
              </w:rPr>
              <w:t>175 377,90</w:t>
            </w:r>
          </w:p>
        </w:tc>
        <w:tc>
          <w:tcPr>
            <w:tcW w:w="1240" w:type="dxa"/>
            <w:tcBorders>
              <w:top w:val="nil"/>
              <w:left w:val="nil"/>
              <w:bottom w:val="single" w:sz="8" w:space="0" w:color="auto"/>
              <w:right w:val="single" w:sz="4" w:space="0" w:color="auto"/>
            </w:tcBorders>
            <w:shd w:val="clear" w:color="auto" w:fill="auto"/>
            <w:noWrap/>
            <w:vAlign w:val="center"/>
            <w:hideMark/>
          </w:tcPr>
          <w:p w14:paraId="29844605" w14:textId="77777777" w:rsidR="00AD7990" w:rsidRPr="00AD7990" w:rsidRDefault="00AD7990" w:rsidP="00AD7990">
            <w:pPr>
              <w:spacing w:after="0" w:line="240" w:lineRule="auto"/>
              <w:jc w:val="right"/>
              <w:rPr>
                <w:rFonts w:eastAsia="Times New Roman" w:cs="Calibri"/>
                <w:color w:val="000000"/>
                <w:sz w:val="18"/>
                <w:szCs w:val="18"/>
                <w:lang w:val="en-US"/>
              </w:rPr>
            </w:pPr>
            <w:r w:rsidRPr="00AD7990">
              <w:rPr>
                <w:rFonts w:eastAsia="Times New Roman" w:cs="Calibri"/>
                <w:color w:val="000000"/>
                <w:sz w:val="18"/>
                <w:szCs w:val="18"/>
                <w:lang w:val="en-US"/>
              </w:rPr>
              <w:t>-</w:t>
            </w:r>
            <w:r w:rsidRPr="00AD7990">
              <w:rPr>
                <w:rFonts w:ascii="Arial" w:eastAsia="Times New Roman" w:hAnsi="Arial" w:cs="Arial"/>
                <w:color w:val="000000"/>
                <w:sz w:val="18"/>
                <w:szCs w:val="18"/>
                <w:lang w:val="en-US"/>
              </w:rPr>
              <w:t>₡</w:t>
            </w:r>
            <w:r w:rsidRPr="00AD7990">
              <w:rPr>
                <w:rFonts w:eastAsia="Times New Roman" w:cs="Calibri"/>
                <w:color w:val="000000"/>
                <w:sz w:val="18"/>
                <w:szCs w:val="18"/>
                <w:lang w:val="en-US"/>
              </w:rPr>
              <w:t>175 377,90</w:t>
            </w:r>
          </w:p>
        </w:tc>
        <w:tc>
          <w:tcPr>
            <w:tcW w:w="1240" w:type="dxa"/>
            <w:tcBorders>
              <w:top w:val="nil"/>
              <w:left w:val="nil"/>
              <w:bottom w:val="single" w:sz="8" w:space="0" w:color="auto"/>
              <w:right w:val="single" w:sz="4" w:space="0" w:color="auto"/>
            </w:tcBorders>
            <w:shd w:val="clear" w:color="auto" w:fill="auto"/>
            <w:noWrap/>
            <w:vAlign w:val="center"/>
            <w:hideMark/>
          </w:tcPr>
          <w:p w14:paraId="527EEE41" w14:textId="77777777" w:rsidR="00AD7990" w:rsidRPr="00AD7990" w:rsidRDefault="00AD7990" w:rsidP="00AD7990">
            <w:pPr>
              <w:spacing w:after="0" w:line="240" w:lineRule="auto"/>
              <w:jc w:val="right"/>
              <w:rPr>
                <w:rFonts w:eastAsia="Times New Roman" w:cs="Calibri"/>
                <w:color w:val="000000"/>
                <w:sz w:val="18"/>
                <w:szCs w:val="18"/>
                <w:lang w:val="en-US"/>
              </w:rPr>
            </w:pPr>
            <w:r w:rsidRPr="00AD7990">
              <w:rPr>
                <w:rFonts w:ascii="Arial" w:eastAsia="Times New Roman" w:hAnsi="Arial" w:cs="Arial"/>
                <w:color w:val="000000"/>
                <w:sz w:val="18"/>
                <w:szCs w:val="18"/>
                <w:lang w:val="en-US"/>
              </w:rPr>
              <w:t>₡</w:t>
            </w:r>
            <w:r w:rsidRPr="00AD7990">
              <w:rPr>
                <w:rFonts w:eastAsia="Times New Roman" w:cs="Calibri"/>
                <w:color w:val="000000"/>
                <w:sz w:val="18"/>
                <w:szCs w:val="18"/>
                <w:lang w:val="en-US"/>
              </w:rPr>
              <w:t>0,00</w:t>
            </w:r>
          </w:p>
        </w:tc>
        <w:tc>
          <w:tcPr>
            <w:tcW w:w="800" w:type="dxa"/>
            <w:tcBorders>
              <w:top w:val="nil"/>
              <w:left w:val="nil"/>
              <w:bottom w:val="single" w:sz="8" w:space="0" w:color="auto"/>
              <w:right w:val="single" w:sz="8" w:space="0" w:color="auto"/>
            </w:tcBorders>
            <w:shd w:val="clear" w:color="auto" w:fill="auto"/>
            <w:noWrap/>
            <w:vAlign w:val="center"/>
            <w:hideMark/>
          </w:tcPr>
          <w:p w14:paraId="6A87158B" w14:textId="77777777" w:rsidR="00AD7990" w:rsidRPr="00AD7990" w:rsidRDefault="00AD7990" w:rsidP="00AD7990">
            <w:pPr>
              <w:spacing w:after="0" w:line="240" w:lineRule="auto"/>
              <w:jc w:val="center"/>
              <w:rPr>
                <w:rFonts w:eastAsia="Times New Roman" w:cs="Calibri"/>
                <w:color w:val="000000"/>
                <w:sz w:val="18"/>
                <w:szCs w:val="18"/>
                <w:lang w:val="en-US"/>
              </w:rPr>
            </w:pPr>
            <w:r w:rsidRPr="00AD7990">
              <w:rPr>
                <w:rFonts w:eastAsia="Times New Roman" w:cs="Calibri"/>
                <w:color w:val="000000"/>
                <w:sz w:val="18"/>
                <w:szCs w:val="18"/>
                <w:lang w:val="en-US"/>
              </w:rPr>
              <w:t>0,00%</w:t>
            </w:r>
          </w:p>
        </w:tc>
      </w:tr>
      <w:tr w:rsidR="00AD7990" w:rsidRPr="00AD7990" w14:paraId="7B39040C" w14:textId="77777777" w:rsidTr="00AD7990">
        <w:trPr>
          <w:trHeight w:val="300"/>
        </w:trPr>
        <w:tc>
          <w:tcPr>
            <w:tcW w:w="4280" w:type="dxa"/>
            <w:gridSpan w:val="2"/>
            <w:tcBorders>
              <w:top w:val="nil"/>
              <w:left w:val="single" w:sz="8" w:space="0" w:color="auto"/>
              <w:bottom w:val="single" w:sz="8" w:space="0" w:color="auto"/>
              <w:right w:val="single" w:sz="8" w:space="0" w:color="000000"/>
            </w:tcBorders>
            <w:shd w:val="clear" w:color="auto" w:fill="auto"/>
            <w:noWrap/>
            <w:vAlign w:val="center"/>
            <w:hideMark/>
          </w:tcPr>
          <w:p w14:paraId="020D6D26" w14:textId="77777777" w:rsidR="00AD7990" w:rsidRPr="00AD7990" w:rsidRDefault="00AD7990" w:rsidP="00AD7990">
            <w:pPr>
              <w:spacing w:after="0" w:line="240" w:lineRule="auto"/>
              <w:jc w:val="center"/>
              <w:rPr>
                <w:rFonts w:eastAsia="Times New Roman" w:cs="Calibri"/>
                <w:b/>
                <w:bCs/>
                <w:color w:val="000000"/>
                <w:sz w:val="20"/>
                <w:szCs w:val="20"/>
                <w:lang w:val="en-US"/>
              </w:rPr>
            </w:pPr>
            <w:r w:rsidRPr="00AD7990">
              <w:rPr>
                <w:rFonts w:eastAsia="Times New Roman" w:cs="Calibri"/>
                <w:b/>
                <w:bCs/>
                <w:color w:val="000000"/>
                <w:sz w:val="20"/>
                <w:szCs w:val="20"/>
                <w:lang w:val="en-US"/>
              </w:rPr>
              <w:t>TOTALES</w:t>
            </w:r>
          </w:p>
        </w:tc>
        <w:tc>
          <w:tcPr>
            <w:tcW w:w="1120" w:type="dxa"/>
            <w:tcBorders>
              <w:top w:val="nil"/>
              <w:left w:val="nil"/>
              <w:bottom w:val="single" w:sz="8" w:space="0" w:color="auto"/>
              <w:right w:val="single" w:sz="8" w:space="0" w:color="auto"/>
            </w:tcBorders>
            <w:shd w:val="clear" w:color="auto" w:fill="auto"/>
            <w:noWrap/>
            <w:vAlign w:val="center"/>
            <w:hideMark/>
          </w:tcPr>
          <w:p w14:paraId="5820F4C3" w14:textId="77777777" w:rsidR="00AD7990" w:rsidRPr="00AD7990" w:rsidRDefault="00AD7990" w:rsidP="00512371">
            <w:pPr>
              <w:spacing w:after="0" w:line="240" w:lineRule="auto"/>
              <w:ind w:left="-122"/>
              <w:jc w:val="right"/>
              <w:rPr>
                <w:rFonts w:eastAsia="Times New Roman" w:cs="Calibri"/>
                <w:b/>
                <w:bCs/>
                <w:color w:val="000000"/>
                <w:sz w:val="18"/>
                <w:szCs w:val="18"/>
                <w:lang w:val="en-US"/>
              </w:rPr>
            </w:pPr>
            <w:r w:rsidRPr="00AD7990">
              <w:rPr>
                <w:rFonts w:ascii="Arial" w:eastAsia="Times New Roman" w:hAnsi="Arial" w:cs="Arial"/>
                <w:b/>
                <w:bCs/>
                <w:color w:val="000000"/>
                <w:sz w:val="18"/>
                <w:szCs w:val="18"/>
                <w:lang w:val="en-US"/>
              </w:rPr>
              <w:t>₡</w:t>
            </w:r>
            <w:r w:rsidRPr="00AD7990">
              <w:rPr>
                <w:rFonts w:eastAsia="Times New Roman" w:cs="Calibri"/>
                <w:b/>
                <w:bCs/>
                <w:color w:val="000000"/>
                <w:sz w:val="18"/>
                <w:szCs w:val="18"/>
                <w:lang w:val="en-US"/>
              </w:rPr>
              <w:t>2 685 853,54</w:t>
            </w:r>
          </w:p>
        </w:tc>
        <w:tc>
          <w:tcPr>
            <w:tcW w:w="1240" w:type="dxa"/>
            <w:tcBorders>
              <w:top w:val="nil"/>
              <w:left w:val="nil"/>
              <w:bottom w:val="single" w:sz="8" w:space="0" w:color="auto"/>
              <w:right w:val="single" w:sz="8" w:space="0" w:color="auto"/>
            </w:tcBorders>
            <w:shd w:val="clear" w:color="auto" w:fill="auto"/>
            <w:noWrap/>
            <w:vAlign w:val="center"/>
            <w:hideMark/>
          </w:tcPr>
          <w:p w14:paraId="035AD242" w14:textId="77777777" w:rsidR="00AD7990" w:rsidRPr="00AD7990" w:rsidRDefault="00AD7990" w:rsidP="00AD7990">
            <w:pPr>
              <w:spacing w:after="0" w:line="240" w:lineRule="auto"/>
              <w:jc w:val="right"/>
              <w:rPr>
                <w:rFonts w:eastAsia="Times New Roman" w:cs="Calibri"/>
                <w:b/>
                <w:bCs/>
                <w:color w:val="000000"/>
                <w:sz w:val="18"/>
                <w:szCs w:val="18"/>
                <w:lang w:val="en-US"/>
              </w:rPr>
            </w:pPr>
            <w:r w:rsidRPr="00AD7990">
              <w:rPr>
                <w:rFonts w:ascii="Arial" w:eastAsia="Times New Roman" w:hAnsi="Arial" w:cs="Arial"/>
                <w:b/>
                <w:bCs/>
                <w:color w:val="000000"/>
                <w:sz w:val="18"/>
                <w:szCs w:val="18"/>
                <w:lang w:val="en-US"/>
              </w:rPr>
              <w:t>₡</w:t>
            </w:r>
            <w:r w:rsidRPr="00AD7990">
              <w:rPr>
                <w:rFonts w:eastAsia="Times New Roman" w:cs="Calibri"/>
                <w:b/>
                <w:bCs/>
                <w:color w:val="000000"/>
                <w:sz w:val="18"/>
                <w:szCs w:val="18"/>
                <w:lang w:val="en-US"/>
              </w:rPr>
              <w:t>2 661 314,93</w:t>
            </w:r>
          </w:p>
        </w:tc>
        <w:tc>
          <w:tcPr>
            <w:tcW w:w="1240" w:type="dxa"/>
            <w:tcBorders>
              <w:top w:val="nil"/>
              <w:left w:val="nil"/>
              <w:bottom w:val="single" w:sz="8" w:space="0" w:color="auto"/>
              <w:right w:val="single" w:sz="8" w:space="0" w:color="auto"/>
            </w:tcBorders>
            <w:shd w:val="clear" w:color="auto" w:fill="auto"/>
            <w:noWrap/>
            <w:vAlign w:val="center"/>
            <w:hideMark/>
          </w:tcPr>
          <w:p w14:paraId="4E40EA4B" w14:textId="77777777" w:rsidR="00AD7990" w:rsidRPr="00AD7990" w:rsidRDefault="00AD7990" w:rsidP="00AD7990">
            <w:pPr>
              <w:spacing w:after="0" w:line="240" w:lineRule="auto"/>
              <w:jc w:val="right"/>
              <w:rPr>
                <w:rFonts w:eastAsia="Times New Roman" w:cs="Calibri"/>
                <w:b/>
                <w:bCs/>
                <w:color w:val="000000"/>
                <w:sz w:val="18"/>
                <w:szCs w:val="18"/>
                <w:lang w:val="en-US"/>
              </w:rPr>
            </w:pPr>
            <w:r w:rsidRPr="00AD7990">
              <w:rPr>
                <w:rFonts w:ascii="Arial" w:eastAsia="Times New Roman" w:hAnsi="Arial" w:cs="Arial"/>
                <w:b/>
                <w:bCs/>
                <w:color w:val="000000"/>
                <w:sz w:val="18"/>
                <w:szCs w:val="18"/>
                <w:lang w:val="en-US"/>
              </w:rPr>
              <w:t>₡</w:t>
            </w:r>
            <w:r w:rsidRPr="00AD7990">
              <w:rPr>
                <w:rFonts w:eastAsia="Times New Roman" w:cs="Calibri"/>
                <w:b/>
                <w:bCs/>
                <w:color w:val="000000"/>
                <w:sz w:val="18"/>
                <w:szCs w:val="18"/>
                <w:lang w:val="en-US"/>
              </w:rPr>
              <w:t>24 538,61</w:t>
            </w:r>
          </w:p>
        </w:tc>
        <w:tc>
          <w:tcPr>
            <w:tcW w:w="800" w:type="dxa"/>
            <w:tcBorders>
              <w:top w:val="nil"/>
              <w:left w:val="single" w:sz="4" w:space="0" w:color="auto"/>
              <w:bottom w:val="single" w:sz="8" w:space="0" w:color="auto"/>
              <w:right w:val="single" w:sz="8" w:space="0" w:color="auto"/>
            </w:tcBorders>
            <w:shd w:val="clear" w:color="auto" w:fill="auto"/>
            <w:noWrap/>
            <w:vAlign w:val="center"/>
            <w:hideMark/>
          </w:tcPr>
          <w:p w14:paraId="2B69218E" w14:textId="77777777" w:rsidR="00AD7990" w:rsidRPr="00AD7990" w:rsidRDefault="00AD7990" w:rsidP="00AD7990">
            <w:pPr>
              <w:spacing w:after="0" w:line="240" w:lineRule="auto"/>
              <w:jc w:val="center"/>
              <w:rPr>
                <w:rFonts w:eastAsia="Times New Roman" w:cs="Calibri"/>
                <w:b/>
                <w:bCs/>
                <w:color w:val="000000"/>
                <w:sz w:val="18"/>
                <w:szCs w:val="18"/>
                <w:lang w:val="en-US"/>
              </w:rPr>
            </w:pPr>
            <w:r w:rsidRPr="00AD7990">
              <w:rPr>
                <w:rFonts w:eastAsia="Times New Roman" w:cs="Calibri"/>
                <w:b/>
                <w:bCs/>
                <w:color w:val="000000"/>
                <w:sz w:val="18"/>
                <w:szCs w:val="18"/>
                <w:lang w:val="en-US"/>
              </w:rPr>
              <w:t>0,92%</w:t>
            </w:r>
          </w:p>
        </w:tc>
      </w:tr>
    </w:tbl>
    <w:p w14:paraId="19FEB97F" w14:textId="77777777" w:rsidR="0023780A" w:rsidRDefault="0023780A" w:rsidP="00F27D37">
      <w:pPr>
        <w:spacing w:after="120" w:line="240" w:lineRule="auto"/>
        <w:rPr>
          <w:lang w:eastAsia="es-CR"/>
        </w:rPr>
      </w:pPr>
    </w:p>
    <w:p w14:paraId="29FBC8F8" w14:textId="454D85B2" w:rsidR="0023780A" w:rsidRDefault="0023780A" w:rsidP="00F27D37">
      <w:pPr>
        <w:spacing w:after="120" w:line="240" w:lineRule="auto"/>
        <w:rPr>
          <w:lang w:eastAsia="es-CR"/>
        </w:rPr>
      </w:pPr>
      <w:r>
        <w:rPr>
          <w:lang w:eastAsia="es-CR"/>
        </w:rPr>
        <w:t>En relación con el saldo que se presenta en la cuenta de “Previsiones para deterioro de cuentas por cobrar a corto plazo”, es pertinente indicar, que el mismo corresponde al ajuste realizado el 31 de diciembre de 2022, el cual fue realizado con base a los montos pendientes de pago a esa fecha, con forme al siguiente cuadro, suma que no ha sido actualizada debido a que la Unidad Primaria de Registro no remitió la información pertinente para hacer la actualización correspondiente.</w:t>
      </w:r>
    </w:p>
    <w:p w14:paraId="68E11F42" w14:textId="77777777" w:rsidR="00F27D37" w:rsidRPr="00A91674" w:rsidRDefault="00F27D37" w:rsidP="00F27D37">
      <w:pPr>
        <w:spacing w:after="120" w:line="240" w:lineRule="auto"/>
        <w:rPr>
          <w:lang w:eastAsia="es-CR"/>
        </w:rPr>
      </w:pPr>
    </w:p>
    <w:tbl>
      <w:tblPr>
        <w:tblW w:w="9209" w:type="dxa"/>
        <w:tblLook w:val="04A0" w:firstRow="1" w:lastRow="0" w:firstColumn="1" w:lastColumn="0" w:noHBand="0" w:noVBand="1"/>
      </w:tblPr>
      <w:tblGrid>
        <w:gridCol w:w="651"/>
        <w:gridCol w:w="904"/>
        <w:gridCol w:w="5244"/>
        <w:gridCol w:w="1276"/>
        <w:gridCol w:w="1134"/>
      </w:tblGrid>
      <w:tr w:rsidR="0023780A" w:rsidRPr="00FE0A75" w14:paraId="40616D54" w14:textId="77777777" w:rsidTr="004653E2">
        <w:trPr>
          <w:trHeight w:val="490"/>
        </w:trPr>
        <w:tc>
          <w:tcPr>
            <w:tcW w:w="651" w:type="dxa"/>
            <w:tcBorders>
              <w:top w:val="single" w:sz="8" w:space="0" w:color="auto"/>
              <w:left w:val="single" w:sz="4" w:space="0" w:color="auto"/>
              <w:bottom w:val="single" w:sz="8" w:space="0" w:color="auto"/>
              <w:right w:val="single" w:sz="4" w:space="0" w:color="auto"/>
            </w:tcBorders>
            <w:shd w:val="clear" w:color="000000" w:fill="203764"/>
            <w:vAlign w:val="center"/>
            <w:hideMark/>
          </w:tcPr>
          <w:p w14:paraId="3B598D5D" w14:textId="77777777" w:rsidR="0023780A" w:rsidRPr="00FE0A75" w:rsidRDefault="0023780A" w:rsidP="004653E2">
            <w:pPr>
              <w:spacing w:before="120" w:after="120"/>
              <w:jc w:val="center"/>
              <w:rPr>
                <w:rFonts w:ascii="Calibri" w:hAnsi="Calibri" w:cs="Calibri"/>
                <w:b/>
                <w:bCs/>
                <w:color w:val="FFFFFF"/>
                <w:sz w:val="20"/>
                <w:szCs w:val="20"/>
              </w:rPr>
            </w:pPr>
            <w:r w:rsidRPr="00FE0A75">
              <w:rPr>
                <w:rFonts w:ascii="Calibri" w:hAnsi="Calibri" w:cs="Calibri"/>
                <w:b/>
                <w:bCs/>
                <w:color w:val="FFFFFF"/>
                <w:sz w:val="20"/>
                <w:szCs w:val="20"/>
              </w:rPr>
              <w:t>Clase</w:t>
            </w:r>
          </w:p>
        </w:tc>
        <w:tc>
          <w:tcPr>
            <w:tcW w:w="904" w:type="dxa"/>
            <w:tcBorders>
              <w:top w:val="single" w:sz="8" w:space="0" w:color="auto"/>
              <w:left w:val="nil"/>
              <w:bottom w:val="single" w:sz="8" w:space="0" w:color="auto"/>
              <w:right w:val="single" w:sz="4" w:space="0" w:color="auto"/>
            </w:tcBorders>
            <w:shd w:val="clear" w:color="000000" w:fill="203764"/>
            <w:vAlign w:val="center"/>
            <w:hideMark/>
          </w:tcPr>
          <w:p w14:paraId="7590F642" w14:textId="77777777" w:rsidR="0023780A" w:rsidRPr="00FE0A75" w:rsidRDefault="0023780A" w:rsidP="004653E2">
            <w:pPr>
              <w:spacing w:before="120" w:after="120"/>
              <w:jc w:val="center"/>
              <w:rPr>
                <w:rFonts w:ascii="Calibri" w:hAnsi="Calibri" w:cs="Calibri"/>
                <w:b/>
                <w:bCs/>
                <w:color w:val="FFFFFF"/>
                <w:sz w:val="20"/>
                <w:szCs w:val="20"/>
              </w:rPr>
            </w:pPr>
            <w:r w:rsidRPr="00FE0A75">
              <w:rPr>
                <w:rFonts w:ascii="Calibri" w:hAnsi="Calibri" w:cs="Calibri"/>
                <w:b/>
                <w:bCs/>
                <w:color w:val="FFFFFF"/>
                <w:sz w:val="20"/>
                <w:szCs w:val="20"/>
              </w:rPr>
              <w:t>Nivel de Riesgo</w:t>
            </w:r>
          </w:p>
        </w:tc>
        <w:tc>
          <w:tcPr>
            <w:tcW w:w="5244" w:type="dxa"/>
            <w:tcBorders>
              <w:top w:val="single" w:sz="8" w:space="0" w:color="auto"/>
              <w:left w:val="nil"/>
              <w:bottom w:val="single" w:sz="8" w:space="0" w:color="auto"/>
              <w:right w:val="single" w:sz="4" w:space="0" w:color="auto"/>
            </w:tcBorders>
            <w:shd w:val="clear" w:color="000000" w:fill="203764"/>
            <w:vAlign w:val="center"/>
            <w:hideMark/>
          </w:tcPr>
          <w:p w14:paraId="55443B22" w14:textId="77777777" w:rsidR="0023780A" w:rsidRPr="00FE0A75" w:rsidRDefault="0023780A" w:rsidP="004653E2">
            <w:pPr>
              <w:spacing w:before="120" w:after="120"/>
              <w:jc w:val="center"/>
              <w:rPr>
                <w:rFonts w:ascii="Calibri" w:hAnsi="Calibri" w:cs="Calibri"/>
                <w:b/>
                <w:bCs/>
                <w:color w:val="FFFFFF"/>
                <w:sz w:val="20"/>
                <w:szCs w:val="20"/>
              </w:rPr>
            </w:pPr>
            <w:r w:rsidRPr="00FE0A75">
              <w:rPr>
                <w:rFonts w:ascii="Calibri" w:hAnsi="Calibri" w:cs="Calibri"/>
                <w:b/>
                <w:bCs/>
                <w:color w:val="FFFFFF"/>
                <w:sz w:val="20"/>
                <w:szCs w:val="20"/>
              </w:rPr>
              <w:t>Descripción</w:t>
            </w:r>
          </w:p>
        </w:tc>
        <w:tc>
          <w:tcPr>
            <w:tcW w:w="1276" w:type="dxa"/>
            <w:tcBorders>
              <w:top w:val="single" w:sz="8" w:space="0" w:color="auto"/>
              <w:left w:val="nil"/>
              <w:bottom w:val="single" w:sz="8" w:space="0" w:color="auto"/>
              <w:right w:val="single" w:sz="4" w:space="0" w:color="auto"/>
            </w:tcBorders>
            <w:shd w:val="clear" w:color="000000" w:fill="203764"/>
            <w:vAlign w:val="center"/>
            <w:hideMark/>
          </w:tcPr>
          <w:p w14:paraId="359D7C9E" w14:textId="77777777" w:rsidR="0023780A" w:rsidRPr="00FE0A75" w:rsidRDefault="0023780A" w:rsidP="004653E2">
            <w:pPr>
              <w:spacing w:before="120" w:after="120"/>
              <w:jc w:val="center"/>
              <w:rPr>
                <w:rFonts w:ascii="Calibri" w:hAnsi="Calibri" w:cs="Calibri"/>
                <w:b/>
                <w:bCs/>
                <w:color w:val="FFFFFF"/>
                <w:sz w:val="20"/>
                <w:szCs w:val="20"/>
              </w:rPr>
            </w:pPr>
            <w:r w:rsidRPr="00FE0A75">
              <w:rPr>
                <w:rFonts w:ascii="Calibri" w:hAnsi="Calibri" w:cs="Calibri"/>
                <w:b/>
                <w:bCs/>
                <w:color w:val="FFFFFF"/>
                <w:sz w:val="20"/>
                <w:szCs w:val="20"/>
              </w:rPr>
              <w:t>Monto por cobrar</w:t>
            </w:r>
          </w:p>
        </w:tc>
        <w:tc>
          <w:tcPr>
            <w:tcW w:w="1134" w:type="dxa"/>
            <w:tcBorders>
              <w:top w:val="single" w:sz="8" w:space="0" w:color="auto"/>
              <w:left w:val="nil"/>
              <w:bottom w:val="single" w:sz="8" w:space="0" w:color="auto"/>
              <w:right w:val="single" w:sz="4" w:space="0" w:color="auto"/>
            </w:tcBorders>
            <w:shd w:val="clear" w:color="000000" w:fill="203764"/>
            <w:vAlign w:val="center"/>
            <w:hideMark/>
          </w:tcPr>
          <w:p w14:paraId="75C27723" w14:textId="77777777" w:rsidR="0023780A" w:rsidRPr="00FE0A75" w:rsidRDefault="0023780A" w:rsidP="004653E2">
            <w:pPr>
              <w:spacing w:before="120" w:after="120"/>
              <w:jc w:val="center"/>
              <w:rPr>
                <w:rFonts w:ascii="Calibri" w:hAnsi="Calibri" w:cs="Calibri"/>
                <w:b/>
                <w:bCs/>
                <w:color w:val="FFFFFF"/>
                <w:sz w:val="20"/>
                <w:szCs w:val="20"/>
              </w:rPr>
            </w:pPr>
            <w:r w:rsidRPr="00FE0A75">
              <w:rPr>
                <w:rFonts w:ascii="Calibri" w:hAnsi="Calibri" w:cs="Calibri"/>
                <w:b/>
                <w:bCs/>
                <w:color w:val="FFFFFF"/>
                <w:sz w:val="20"/>
                <w:szCs w:val="20"/>
              </w:rPr>
              <w:t>Estimación</w:t>
            </w:r>
          </w:p>
        </w:tc>
      </w:tr>
      <w:tr w:rsidR="0023780A" w:rsidRPr="00FE0A75" w14:paraId="4CDEA98F" w14:textId="77777777" w:rsidTr="004653E2">
        <w:trPr>
          <w:trHeight w:val="470"/>
        </w:trPr>
        <w:tc>
          <w:tcPr>
            <w:tcW w:w="651" w:type="dxa"/>
            <w:tcBorders>
              <w:top w:val="nil"/>
              <w:left w:val="single" w:sz="8" w:space="0" w:color="auto"/>
              <w:bottom w:val="single" w:sz="8" w:space="0" w:color="auto"/>
              <w:right w:val="single" w:sz="8" w:space="0" w:color="auto"/>
            </w:tcBorders>
            <w:shd w:val="clear" w:color="auto" w:fill="auto"/>
            <w:hideMark/>
          </w:tcPr>
          <w:p w14:paraId="74AC13D7" w14:textId="77777777" w:rsidR="0023780A" w:rsidRPr="00FE0A75" w:rsidRDefault="0023780A" w:rsidP="004653E2">
            <w:pPr>
              <w:jc w:val="center"/>
              <w:rPr>
                <w:rFonts w:cs="Arial"/>
                <w:b/>
                <w:bCs/>
                <w:color w:val="000000"/>
                <w:sz w:val="18"/>
                <w:szCs w:val="18"/>
              </w:rPr>
            </w:pPr>
            <w:r w:rsidRPr="00FE0A75">
              <w:rPr>
                <w:rFonts w:cs="Arial"/>
                <w:b/>
                <w:bCs/>
                <w:color w:val="000000"/>
                <w:sz w:val="18"/>
                <w:szCs w:val="18"/>
              </w:rPr>
              <w:t>B</w:t>
            </w:r>
          </w:p>
        </w:tc>
        <w:tc>
          <w:tcPr>
            <w:tcW w:w="904" w:type="dxa"/>
            <w:tcBorders>
              <w:top w:val="nil"/>
              <w:left w:val="nil"/>
              <w:bottom w:val="single" w:sz="8" w:space="0" w:color="auto"/>
              <w:right w:val="single" w:sz="8" w:space="0" w:color="auto"/>
            </w:tcBorders>
            <w:shd w:val="clear" w:color="auto" w:fill="auto"/>
            <w:hideMark/>
          </w:tcPr>
          <w:p w14:paraId="088227A1" w14:textId="77777777" w:rsidR="0023780A" w:rsidRPr="00FE0A75" w:rsidRDefault="0023780A" w:rsidP="004653E2">
            <w:pPr>
              <w:jc w:val="center"/>
              <w:rPr>
                <w:rFonts w:cs="Arial"/>
                <w:b/>
                <w:bCs/>
                <w:color w:val="000000"/>
                <w:sz w:val="18"/>
                <w:szCs w:val="18"/>
              </w:rPr>
            </w:pPr>
            <w:r w:rsidRPr="00FE0A75">
              <w:rPr>
                <w:rFonts w:cs="Arial"/>
                <w:b/>
                <w:bCs/>
                <w:color w:val="000000"/>
                <w:sz w:val="18"/>
                <w:szCs w:val="18"/>
              </w:rPr>
              <w:t>RIESGO MEDIO</w:t>
            </w:r>
          </w:p>
        </w:tc>
        <w:tc>
          <w:tcPr>
            <w:tcW w:w="5244" w:type="dxa"/>
            <w:tcBorders>
              <w:top w:val="nil"/>
              <w:left w:val="nil"/>
              <w:bottom w:val="single" w:sz="8" w:space="0" w:color="auto"/>
              <w:right w:val="nil"/>
            </w:tcBorders>
            <w:shd w:val="clear" w:color="auto" w:fill="auto"/>
            <w:hideMark/>
          </w:tcPr>
          <w:p w14:paraId="0436FD2B" w14:textId="77777777" w:rsidR="0023780A" w:rsidRPr="00FE0A75" w:rsidRDefault="0023780A" w:rsidP="004653E2">
            <w:pPr>
              <w:rPr>
                <w:rFonts w:cs="Arial"/>
                <w:color w:val="000000"/>
                <w:sz w:val="18"/>
                <w:szCs w:val="18"/>
              </w:rPr>
            </w:pPr>
            <w:r w:rsidRPr="00FE0A75">
              <w:rPr>
                <w:rFonts w:cs="Arial"/>
                <w:color w:val="000000"/>
                <w:sz w:val="18"/>
                <w:szCs w:val="18"/>
              </w:rPr>
              <w:t>La categoría B) se aplica a deudores con moras entre tres y cuatro trimestres. No se esperan pérdidas significativas.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B1E81" w14:textId="77777777" w:rsidR="0023780A" w:rsidRPr="00FE0A75" w:rsidRDefault="0023780A" w:rsidP="004653E2">
            <w:pPr>
              <w:rPr>
                <w:rFonts w:cs="Calibri"/>
                <w:color w:val="000000"/>
                <w:sz w:val="18"/>
                <w:szCs w:val="18"/>
              </w:rPr>
            </w:pPr>
            <w:r w:rsidRPr="00FE0A75">
              <w:rPr>
                <w:rFonts w:cs="Calibri"/>
                <w:color w:val="000000"/>
                <w:sz w:val="18"/>
                <w:szCs w:val="18"/>
              </w:rPr>
              <w:t xml:space="preserve">      </w:t>
            </w:r>
            <w:r w:rsidRPr="00CB5B6E">
              <w:rPr>
                <w:rFonts w:ascii="Arial" w:hAnsi="Arial" w:cs="Arial"/>
                <w:color w:val="000000"/>
                <w:sz w:val="18"/>
                <w:szCs w:val="18"/>
              </w:rPr>
              <w:t>₡</w:t>
            </w:r>
            <w:r w:rsidRPr="00FE0A75">
              <w:rPr>
                <w:rFonts w:cs="Calibri"/>
                <w:color w:val="000000"/>
                <w:sz w:val="18"/>
                <w:szCs w:val="18"/>
              </w:rPr>
              <w:t xml:space="preserve">80 179,18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5EE2A6E" w14:textId="77777777" w:rsidR="0023780A" w:rsidRPr="00FE0A75" w:rsidRDefault="0023780A" w:rsidP="004653E2">
            <w:pPr>
              <w:jc w:val="center"/>
              <w:rPr>
                <w:rFonts w:cs="Calibri"/>
                <w:color w:val="000000"/>
                <w:sz w:val="18"/>
                <w:szCs w:val="18"/>
              </w:rPr>
            </w:pPr>
            <w:r w:rsidRPr="00FE0A75">
              <w:rPr>
                <w:rFonts w:cs="Calibri"/>
                <w:color w:val="000000"/>
                <w:sz w:val="18"/>
                <w:szCs w:val="18"/>
              </w:rPr>
              <w:t xml:space="preserve"> N/A </w:t>
            </w:r>
          </w:p>
        </w:tc>
      </w:tr>
      <w:tr w:rsidR="0023780A" w:rsidRPr="00FE0A75" w14:paraId="349D4FDF" w14:textId="77777777" w:rsidTr="004653E2">
        <w:trPr>
          <w:trHeight w:val="574"/>
        </w:trPr>
        <w:tc>
          <w:tcPr>
            <w:tcW w:w="651" w:type="dxa"/>
            <w:tcBorders>
              <w:top w:val="nil"/>
              <w:left w:val="single" w:sz="8" w:space="0" w:color="auto"/>
              <w:bottom w:val="single" w:sz="8" w:space="0" w:color="auto"/>
              <w:right w:val="single" w:sz="8" w:space="0" w:color="auto"/>
            </w:tcBorders>
            <w:shd w:val="clear" w:color="auto" w:fill="auto"/>
            <w:hideMark/>
          </w:tcPr>
          <w:p w14:paraId="151BA67F" w14:textId="77777777" w:rsidR="0023780A" w:rsidRPr="00FE0A75" w:rsidRDefault="0023780A" w:rsidP="004653E2">
            <w:pPr>
              <w:jc w:val="center"/>
              <w:rPr>
                <w:rFonts w:cs="Arial"/>
                <w:b/>
                <w:bCs/>
                <w:color w:val="000000"/>
                <w:sz w:val="18"/>
                <w:szCs w:val="18"/>
              </w:rPr>
            </w:pPr>
            <w:r w:rsidRPr="00FE0A75">
              <w:rPr>
                <w:rFonts w:cs="Arial"/>
                <w:b/>
                <w:bCs/>
                <w:color w:val="000000"/>
                <w:sz w:val="18"/>
                <w:szCs w:val="18"/>
              </w:rPr>
              <w:t>C</w:t>
            </w:r>
          </w:p>
        </w:tc>
        <w:tc>
          <w:tcPr>
            <w:tcW w:w="904" w:type="dxa"/>
            <w:tcBorders>
              <w:top w:val="nil"/>
              <w:left w:val="nil"/>
              <w:bottom w:val="single" w:sz="8" w:space="0" w:color="auto"/>
              <w:right w:val="single" w:sz="8" w:space="0" w:color="auto"/>
            </w:tcBorders>
            <w:shd w:val="clear" w:color="auto" w:fill="auto"/>
            <w:hideMark/>
          </w:tcPr>
          <w:p w14:paraId="60CF1DEB" w14:textId="77777777" w:rsidR="0023780A" w:rsidRPr="00FE0A75" w:rsidRDefault="0023780A" w:rsidP="004653E2">
            <w:pPr>
              <w:jc w:val="center"/>
              <w:rPr>
                <w:rFonts w:cs="Arial"/>
                <w:b/>
                <w:bCs/>
                <w:color w:val="000000"/>
                <w:sz w:val="18"/>
                <w:szCs w:val="18"/>
              </w:rPr>
            </w:pPr>
            <w:r w:rsidRPr="00FE0A75">
              <w:rPr>
                <w:rFonts w:cs="Arial"/>
                <w:b/>
                <w:bCs/>
                <w:color w:val="000000"/>
                <w:sz w:val="18"/>
                <w:szCs w:val="18"/>
              </w:rPr>
              <w:t>RIESGO ALTO – NIVEL 1</w:t>
            </w:r>
          </w:p>
        </w:tc>
        <w:tc>
          <w:tcPr>
            <w:tcW w:w="5244" w:type="dxa"/>
            <w:tcBorders>
              <w:top w:val="nil"/>
              <w:left w:val="nil"/>
              <w:bottom w:val="single" w:sz="8" w:space="0" w:color="auto"/>
              <w:right w:val="nil"/>
            </w:tcBorders>
            <w:shd w:val="clear" w:color="auto" w:fill="auto"/>
            <w:hideMark/>
          </w:tcPr>
          <w:p w14:paraId="04BB9AAA" w14:textId="77777777" w:rsidR="0023780A" w:rsidRPr="00FE0A75" w:rsidRDefault="0023780A" w:rsidP="004653E2">
            <w:pPr>
              <w:rPr>
                <w:rFonts w:cs="Arial"/>
                <w:color w:val="000000"/>
                <w:sz w:val="18"/>
                <w:szCs w:val="18"/>
              </w:rPr>
            </w:pPr>
            <w:r w:rsidRPr="00FE0A75">
              <w:rPr>
                <w:rFonts w:cs="Arial"/>
                <w:color w:val="000000"/>
                <w:sz w:val="18"/>
                <w:szCs w:val="18"/>
              </w:rPr>
              <w:t>Esta categoría clasifica a los deudores con moras entre cinco y ocho trimestres. Se estima que se podría materializar una pérdida del 30% del monto de la cartera que presente este nivel de morosidad.</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C291A84" w14:textId="77777777" w:rsidR="0023780A" w:rsidRPr="00FE0A75" w:rsidRDefault="0023780A" w:rsidP="004653E2">
            <w:pPr>
              <w:rPr>
                <w:rFonts w:cs="Calibri"/>
                <w:color w:val="000000"/>
                <w:sz w:val="18"/>
                <w:szCs w:val="18"/>
              </w:rPr>
            </w:pPr>
            <w:r w:rsidRPr="00FE0A75">
              <w:rPr>
                <w:rFonts w:cs="Calibri"/>
                <w:color w:val="000000"/>
                <w:sz w:val="18"/>
                <w:szCs w:val="18"/>
              </w:rPr>
              <w:t xml:space="preserve">      </w:t>
            </w:r>
            <w:r w:rsidRPr="00FE42E3">
              <w:rPr>
                <w:rFonts w:cs="Calibri"/>
                <w:color w:val="000000"/>
                <w:sz w:val="18"/>
                <w:szCs w:val="18"/>
              </w:rPr>
              <w:t xml:space="preserve"> </w:t>
            </w:r>
            <w:r w:rsidRPr="00FE0A75">
              <w:rPr>
                <w:rFonts w:cs="Calibri"/>
                <w:color w:val="000000"/>
                <w:sz w:val="18"/>
                <w:szCs w:val="18"/>
              </w:rPr>
              <w:t xml:space="preserve">58 369,87 </w:t>
            </w:r>
          </w:p>
        </w:tc>
        <w:tc>
          <w:tcPr>
            <w:tcW w:w="1134" w:type="dxa"/>
            <w:tcBorders>
              <w:top w:val="nil"/>
              <w:left w:val="nil"/>
              <w:bottom w:val="single" w:sz="4" w:space="0" w:color="auto"/>
              <w:right w:val="single" w:sz="4" w:space="0" w:color="auto"/>
            </w:tcBorders>
            <w:shd w:val="clear" w:color="auto" w:fill="auto"/>
            <w:noWrap/>
            <w:vAlign w:val="bottom"/>
            <w:hideMark/>
          </w:tcPr>
          <w:p w14:paraId="3FEAFA9E" w14:textId="77777777" w:rsidR="0023780A" w:rsidRPr="00FE0A75" w:rsidRDefault="0023780A" w:rsidP="004653E2">
            <w:pPr>
              <w:ind w:left="-110"/>
              <w:rPr>
                <w:rFonts w:cs="Calibri"/>
                <w:color w:val="000000"/>
                <w:sz w:val="18"/>
                <w:szCs w:val="18"/>
              </w:rPr>
            </w:pPr>
            <w:r w:rsidRPr="00FE0A75">
              <w:rPr>
                <w:rFonts w:cs="Calibri"/>
                <w:color w:val="000000"/>
                <w:sz w:val="18"/>
                <w:szCs w:val="18"/>
              </w:rPr>
              <w:t xml:space="preserve">     </w:t>
            </w:r>
            <w:r w:rsidRPr="00CB5B6E">
              <w:rPr>
                <w:rFonts w:ascii="Arial" w:hAnsi="Arial" w:cs="Arial"/>
                <w:color w:val="000000"/>
                <w:sz w:val="18"/>
                <w:szCs w:val="18"/>
              </w:rPr>
              <w:t>₡</w:t>
            </w:r>
            <w:r w:rsidRPr="00FE0A75">
              <w:rPr>
                <w:rFonts w:cs="Calibri"/>
                <w:color w:val="000000"/>
                <w:sz w:val="18"/>
                <w:szCs w:val="18"/>
              </w:rPr>
              <w:t xml:space="preserve">17 510,96 </w:t>
            </w:r>
          </w:p>
        </w:tc>
      </w:tr>
      <w:tr w:rsidR="0023780A" w:rsidRPr="00FE0A75" w14:paraId="07417BE6" w14:textId="77777777" w:rsidTr="004653E2">
        <w:trPr>
          <w:trHeight w:val="795"/>
        </w:trPr>
        <w:tc>
          <w:tcPr>
            <w:tcW w:w="651" w:type="dxa"/>
            <w:tcBorders>
              <w:top w:val="nil"/>
              <w:left w:val="single" w:sz="8" w:space="0" w:color="auto"/>
              <w:bottom w:val="single" w:sz="8" w:space="0" w:color="auto"/>
              <w:right w:val="single" w:sz="8" w:space="0" w:color="auto"/>
            </w:tcBorders>
            <w:shd w:val="clear" w:color="auto" w:fill="auto"/>
            <w:hideMark/>
          </w:tcPr>
          <w:p w14:paraId="120DFB00" w14:textId="77777777" w:rsidR="0023780A" w:rsidRPr="00FE0A75" w:rsidRDefault="0023780A" w:rsidP="004653E2">
            <w:pPr>
              <w:jc w:val="center"/>
              <w:rPr>
                <w:rFonts w:cs="Arial"/>
                <w:b/>
                <w:bCs/>
                <w:color w:val="000000"/>
                <w:sz w:val="18"/>
                <w:szCs w:val="18"/>
              </w:rPr>
            </w:pPr>
            <w:r w:rsidRPr="00FE0A75">
              <w:rPr>
                <w:rFonts w:cs="Arial"/>
                <w:b/>
                <w:bCs/>
                <w:color w:val="000000"/>
                <w:sz w:val="18"/>
                <w:szCs w:val="18"/>
              </w:rPr>
              <w:t>D</w:t>
            </w:r>
          </w:p>
        </w:tc>
        <w:tc>
          <w:tcPr>
            <w:tcW w:w="904" w:type="dxa"/>
            <w:tcBorders>
              <w:top w:val="nil"/>
              <w:left w:val="nil"/>
              <w:bottom w:val="single" w:sz="8" w:space="0" w:color="auto"/>
              <w:right w:val="single" w:sz="8" w:space="0" w:color="auto"/>
            </w:tcBorders>
            <w:shd w:val="clear" w:color="auto" w:fill="auto"/>
            <w:hideMark/>
          </w:tcPr>
          <w:p w14:paraId="3D62F270" w14:textId="77777777" w:rsidR="0023780A" w:rsidRPr="00FE0A75" w:rsidRDefault="0023780A" w:rsidP="004653E2">
            <w:pPr>
              <w:jc w:val="center"/>
              <w:rPr>
                <w:rFonts w:cs="Arial"/>
                <w:b/>
                <w:bCs/>
                <w:color w:val="000000"/>
                <w:sz w:val="18"/>
                <w:szCs w:val="18"/>
              </w:rPr>
            </w:pPr>
            <w:r w:rsidRPr="00FE0A75">
              <w:rPr>
                <w:rFonts w:cs="Arial"/>
                <w:b/>
                <w:bCs/>
                <w:color w:val="000000"/>
                <w:sz w:val="18"/>
                <w:szCs w:val="18"/>
              </w:rPr>
              <w:t xml:space="preserve">RIESGO ALTO – NIVEL 2 </w:t>
            </w:r>
          </w:p>
        </w:tc>
        <w:tc>
          <w:tcPr>
            <w:tcW w:w="5244" w:type="dxa"/>
            <w:tcBorders>
              <w:top w:val="nil"/>
              <w:left w:val="nil"/>
              <w:bottom w:val="single" w:sz="8" w:space="0" w:color="auto"/>
              <w:right w:val="nil"/>
            </w:tcBorders>
            <w:shd w:val="clear" w:color="auto" w:fill="auto"/>
            <w:hideMark/>
          </w:tcPr>
          <w:p w14:paraId="17FB7873" w14:textId="77777777" w:rsidR="0023780A" w:rsidRPr="00FE0A75" w:rsidRDefault="0023780A" w:rsidP="004653E2">
            <w:pPr>
              <w:rPr>
                <w:rFonts w:cs="Arial"/>
                <w:color w:val="000000"/>
                <w:sz w:val="18"/>
                <w:szCs w:val="18"/>
              </w:rPr>
            </w:pPr>
            <w:r w:rsidRPr="00FE0A75">
              <w:rPr>
                <w:rFonts w:cs="Arial"/>
                <w:color w:val="000000"/>
                <w:sz w:val="18"/>
                <w:szCs w:val="18"/>
              </w:rPr>
              <w:t>Esta categoría se aplica a deudores que presentan entre nueve y doce trimestres de atraso en el pago de sus obligaciones.  Se estima que se podría materializar una pérdida del 50% del monto de la cartera que presente este nivel de morosidad.</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5488B60" w14:textId="77777777" w:rsidR="0023780A" w:rsidRPr="00FE0A75" w:rsidRDefault="0023780A" w:rsidP="004653E2">
            <w:pPr>
              <w:rPr>
                <w:rFonts w:cs="Calibri"/>
                <w:color w:val="000000"/>
                <w:sz w:val="18"/>
                <w:szCs w:val="18"/>
              </w:rPr>
            </w:pPr>
            <w:r w:rsidRPr="00FE0A75">
              <w:rPr>
                <w:rFonts w:cs="Calibri"/>
                <w:color w:val="000000"/>
                <w:sz w:val="18"/>
                <w:szCs w:val="18"/>
              </w:rPr>
              <w:t xml:space="preserve">      33 347,74 </w:t>
            </w:r>
          </w:p>
        </w:tc>
        <w:tc>
          <w:tcPr>
            <w:tcW w:w="1134" w:type="dxa"/>
            <w:tcBorders>
              <w:top w:val="nil"/>
              <w:left w:val="nil"/>
              <w:bottom w:val="single" w:sz="4" w:space="0" w:color="auto"/>
              <w:right w:val="single" w:sz="4" w:space="0" w:color="auto"/>
            </w:tcBorders>
            <w:shd w:val="clear" w:color="auto" w:fill="auto"/>
            <w:noWrap/>
            <w:vAlign w:val="bottom"/>
            <w:hideMark/>
          </w:tcPr>
          <w:p w14:paraId="6B17B32B" w14:textId="77777777" w:rsidR="0023780A" w:rsidRPr="00FE0A75" w:rsidRDefault="0023780A" w:rsidP="004653E2">
            <w:pPr>
              <w:rPr>
                <w:rFonts w:cs="Calibri"/>
                <w:color w:val="000000"/>
                <w:sz w:val="18"/>
                <w:szCs w:val="18"/>
              </w:rPr>
            </w:pPr>
            <w:r w:rsidRPr="00FE0A75">
              <w:rPr>
                <w:rFonts w:cs="Calibri"/>
                <w:color w:val="000000"/>
                <w:sz w:val="18"/>
                <w:szCs w:val="18"/>
              </w:rPr>
              <w:t xml:space="preserve">      16 673,87 </w:t>
            </w:r>
          </w:p>
        </w:tc>
      </w:tr>
      <w:tr w:rsidR="0023780A" w:rsidRPr="00FE0A75" w14:paraId="39EDAB97" w14:textId="77777777" w:rsidTr="004653E2">
        <w:trPr>
          <w:trHeight w:val="807"/>
        </w:trPr>
        <w:tc>
          <w:tcPr>
            <w:tcW w:w="651" w:type="dxa"/>
            <w:tcBorders>
              <w:top w:val="nil"/>
              <w:left w:val="single" w:sz="8" w:space="0" w:color="auto"/>
              <w:bottom w:val="single" w:sz="8" w:space="0" w:color="auto"/>
              <w:right w:val="single" w:sz="8" w:space="0" w:color="auto"/>
            </w:tcBorders>
            <w:shd w:val="clear" w:color="auto" w:fill="auto"/>
            <w:hideMark/>
          </w:tcPr>
          <w:p w14:paraId="763AE305" w14:textId="77777777" w:rsidR="0023780A" w:rsidRPr="00FE0A75" w:rsidRDefault="0023780A" w:rsidP="004653E2">
            <w:pPr>
              <w:jc w:val="center"/>
              <w:rPr>
                <w:rFonts w:cs="Arial"/>
                <w:b/>
                <w:bCs/>
                <w:color w:val="000000"/>
                <w:sz w:val="18"/>
                <w:szCs w:val="18"/>
              </w:rPr>
            </w:pPr>
            <w:r w:rsidRPr="00FE0A75">
              <w:rPr>
                <w:rFonts w:cs="Arial"/>
                <w:b/>
                <w:bCs/>
                <w:color w:val="000000"/>
                <w:sz w:val="18"/>
                <w:szCs w:val="18"/>
              </w:rPr>
              <w:t>E</w:t>
            </w:r>
          </w:p>
        </w:tc>
        <w:tc>
          <w:tcPr>
            <w:tcW w:w="904" w:type="dxa"/>
            <w:tcBorders>
              <w:top w:val="nil"/>
              <w:left w:val="nil"/>
              <w:bottom w:val="single" w:sz="8" w:space="0" w:color="auto"/>
              <w:right w:val="single" w:sz="8" w:space="0" w:color="auto"/>
            </w:tcBorders>
            <w:shd w:val="clear" w:color="auto" w:fill="auto"/>
            <w:hideMark/>
          </w:tcPr>
          <w:p w14:paraId="4C24270F" w14:textId="77777777" w:rsidR="0023780A" w:rsidRPr="00FE0A75" w:rsidRDefault="0023780A" w:rsidP="004653E2">
            <w:pPr>
              <w:jc w:val="center"/>
              <w:rPr>
                <w:rFonts w:cs="Arial"/>
                <w:b/>
                <w:bCs/>
                <w:color w:val="000000"/>
                <w:sz w:val="18"/>
                <w:szCs w:val="18"/>
              </w:rPr>
            </w:pPr>
            <w:r w:rsidRPr="00FE0A75">
              <w:rPr>
                <w:rFonts w:cs="Arial"/>
                <w:b/>
                <w:bCs/>
                <w:color w:val="000000"/>
                <w:sz w:val="18"/>
                <w:szCs w:val="18"/>
              </w:rPr>
              <w:t>RIESGO ALTO – NIVEL 3</w:t>
            </w:r>
          </w:p>
        </w:tc>
        <w:tc>
          <w:tcPr>
            <w:tcW w:w="5244" w:type="dxa"/>
            <w:tcBorders>
              <w:top w:val="nil"/>
              <w:left w:val="nil"/>
              <w:bottom w:val="single" w:sz="8" w:space="0" w:color="auto"/>
              <w:right w:val="nil"/>
            </w:tcBorders>
            <w:shd w:val="clear" w:color="auto" w:fill="auto"/>
            <w:hideMark/>
          </w:tcPr>
          <w:p w14:paraId="21FB4830" w14:textId="77777777" w:rsidR="0023780A" w:rsidRPr="00FE0A75" w:rsidRDefault="0023780A" w:rsidP="004653E2">
            <w:pPr>
              <w:rPr>
                <w:rFonts w:cs="Arial"/>
                <w:color w:val="000000"/>
                <w:sz w:val="18"/>
                <w:szCs w:val="18"/>
              </w:rPr>
            </w:pPr>
            <w:r w:rsidRPr="00FE0A75">
              <w:rPr>
                <w:rFonts w:cs="Arial"/>
                <w:color w:val="000000"/>
                <w:sz w:val="18"/>
                <w:szCs w:val="18"/>
              </w:rPr>
              <w:t>Esta categoría se aplica a deudores que presentan entre trece y dieciséis trimestres de atraso en el pago de sus obligaciones.  Se estima que se podría materializar una pérdida del 65% del monto de la cartera que presente este nivel de morosidad.</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00D15D4" w14:textId="77777777" w:rsidR="0023780A" w:rsidRPr="00FE0A75" w:rsidRDefault="0023780A" w:rsidP="004653E2">
            <w:pPr>
              <w:rPr>
                <w:rFonts w:cs="Calibri"/>
                <w:color w:val="000000"/>
                <w:sz w:val="18"/>
                <w:szCs w:val="18"/>
              </w:rPr>
            </w:pPr>
            <w:r w:rsidRPr="00FE0A75">
              <w:rPr>
                <w:rFonts w:cs="Calibri"/>
                <w:color w:val="000000"/>
                <w:sz w:val="18"/>
                <w:szCs w:val="18"/>
              </w:rPr>
              <w:t xml:space="preserve">      44 969,61 </w:t>
            </w:r>
          </w:p>
        </w:tc>
        <w:tc>
          <w:tcPr>
            <w:tcW w:w="1134" w:type="dxa"/>
            <w:tcBorders>
              <w:top w:val="nil"/>
              <w:left w:val="nil"/>
              <w:bottom w:val="single" w:sz="4" w:space="0" w:color="auto"/>
              <w:right w:val="single" w:sz="4" w:space="0" w:color="auto"/>
            </w:tcBorders>
            <w:shd w:val="clear" w:color="auto" w:fill="auto"/>
            <w:noWrap/>
            <w:vAlign w:val="bottom"/>
            <w:hideMark/>
          </w:tcPr>
          <w:p w14:paraId="510B4F4A" w14:textId="77777777" w:rsidR="0023780A" w:rsidRPr="00FE0A75" w:rsidRDefault="0023780A" w:rsidP="004653E2">
            <w:pPr>
              <w:rPr>
                <w:rFonts w:cs="Calibri"/>
                <w:color w:val="000000"/>
                <w:sz w:val="18"/>
                <w:szCs w:val="18"/>
              </w:rPr>
            </w:pPr>
            <w:r w:rsidRPr="00FE0A75">
              <w:rPr>
                <w:rFonts w:cs="Calibri"/>
                <w:color w:val="000000"/>
                <w:sz w:val="18"/>
                <w:szCs w:val="18"/>
              </w:rPr>
              <w:t xml:space="preserve">      29 230,24 </w:t>
            </w:r>
          </w:p>
        </w:tc>
      </w:tr>
      <w:tr w:rsidR="0023780A" w:rsidRPr="00FE0A75" w14:paraId="6646C602" w14:textId="77777777" w:rsidTr="004653E2">
        <w:trPr>
          <w:trHeight w:val="805"/>
        </w:trPr>
        <w:tc>
          <w:tcPr>
            <w:tcW w:w="651" w:type="dxa"/>
            <w:tcBorders>
              <w:top w:val="nil"/>
              <w:left w:val="single" w:sz="8" w:space="0" w:color="auto"/>
              <w:bottom w:val="single" w:sz="8" w:space="0" w:color="auto"/>
              <w:right w:val="single" w:sz="8" w:space="0" w:color="auto"/>
            </w:tcBorders>
            <w:shd w:val="clear" w:color="auto" w:fill="auto"/>
            <w:hideMark/>
          </w:tcPr>
          <w:p w14:paraId="6DDC944C" w14:textId="77777777" w:rsidR="0023780A" w:rsidRPr="00FE0A75" w:rsidRDefault="0023780A" w:rsidP="004653E2">
            <w:pPr>
              <w:jc w:val="center"/>
              <w:rPr>
                <w:rFonts w:cs="Arial"/>
                <w:b/>
                <w:bCs/>
                <w:color w:val="000000"/>
                <w:sz w:val="18"/>
                <w:szCs w:val="18"/>
              </w:rPr>
            </w:pPr>
            <w:r w:rsidRPr="00FE0A75">
              <w:rPr>
                <w:rFonts w:cs="Arial"/>
                <w:b/>
                <w:bCs/>
                <w:color w:val="000000"/>
                <w:sz w:val="18"/>
                <w:szCs w:val="18"/>
              </w:rPr>
              <w:t>F</w:t>
            </w:r>
          </w:p>
        </w:tc>
        <w:tc>
          <w:tcPr>
            <w:tcW w:w="904" w:type="dxa"/>
            <w:tcBorders>
              <w:top w:val="nil"/>
              <w:left w:val="nil"/>
              <w:bottom w:val="single" w:sz="8" w:space="0" w:color="auto"/>
              <w:right w:val="single" w:sz="8" w:space="0" w:color="auto"/>
            </w:tcBorders>
            <w:shd w:val="clear" w:color="auto" w:fill="auto"/>
            <w:hideMark/>
          </w:tcPr>
          <w:p w14:paraId="42321CA6" w14:textId="77777777" w:rsidR="0023780A" w:rsidRPr="00FE0A75" w:rsidRDefault="0023780A" w:rsidP="004653E2">
            <w:pPr>
              <w:jc w:val="center"/>
              <w:rPr>
                <w:rFonts w:cs="Arial"/>
                <w:b/>
                <w:bCs/>
                <w:color w:val="000000"/>
                <w:sz w:val="18"/>
                <w:szCs w:val="18"/>
              </w:rPr>
            </w:pPr>
            <w:r w:rsidRPr="00FE0A75">
              <w:rPr>
                <w:rFonts w:cs="Arial"/>
                <w:b/>
                <w:bCs/>
                <w:color w:val="000000"/>
                <w:sz w:val="18"/>
                <w:szCs w:val="18"/>
              </w:rPr>
              <w:t>RIESGO ALTO – NIVEL 4</w:t>
            </w:r>
          </w:p>
        </w:tc>
        <w:tc>
          <w:tcPr>
            <w:tcW w:w="5244" w:type="dxa"/>
            <w:tcBorders>
              <w:top w:val="nil"/>
              <w:left w:val="nil"/>
              <w:bottom w:val="single" w:sz="8" w:space="0" w:color="auto"/>
              <w:right w:val="nil"/>
            </w:tcBorders>
            <w:shd w:val="clear" w:color="auto" w:fill="auto"/>
            <w:hideMark/>
          </w:tcPr>
          <w:p w14:paraId="1781DBA8" w14:textId="77777777" w:rsidR="0023780A" w:rsidRPr="00FE0A75" w:rsidRDefault="0023780A" w:rsidP="004653E2">
            <w:pPr>
              <w:rPr>
                <w:rFonts w:cs="Arial"/>
                <w:color w:val="000000"/>
                <w:sz w:val="18"/>
                <w:szCs w:val="18"/>
              </w:rPr>
            </w:pPr>
            <w:r w:rsidRPr="00FE0A75">
              <w:rPr>
                <w:rFonts w:cs="Arial"/>
                <w:color w:val="000000"/>
                <w:sz w:val="18"/>
                <w:szCs w:val="18"/>
              </w:rPr>
              <w:t>Esta categoría se aplica a deudores que presentan más de dieciséis trimestres de atraso en el pago de sus obligaciones.  Se estima que se podría materializar una pérdida del 85% del monto de la cartera que presente este nivel de morosidad.</w:t>
            </w:r>
          </w:p>
        </w:tc>
        <w:tc>
          <w:tcPr>
            <w:tcW w:w="1276" w:type="dxa"/>
            <w:tcBorders>
              <w:top w:val="nil"/>
              <w:left w:val="single" w:sz="4" w:space="0" w:color="auto"/>
              <w:bottom w:val="nil"/>
              <w:right w:val="single" w:sz="4" w:space="0" w:color="auto"/>
            </w:tcBorders>
            <w:shd w:val="clear" w:color="auto" w:fill="auto"/>
            <w:noWrap/>
            <w:vAlign w:val="bottom"/>
            <w:hideMark/>
          </w:tcPr>
          <w:p w14:paraId="6BD47D37" w14:textId="77777777" w:rsidR="0023780A" w:rsidRPr="00FE0A75" w:rsidRDefault="0023780A" w:rsidP="004653E2">
            <w:pPr>
              <w:rPr>
                <w:rFonts w:cs="Calibri"/>
                <w:color w:val="000000"/>
                <w:sz w:val="18"/>
                <w:szCs w:val="18"/>
              </w:rPr>
            </w:pPr>
            <w:r w:rsidRPr="00FE0A75">
              <w:rPr>
                <w:rFonts w:cs="Calibri"/>
                <w:color w:val="000000"/>
                <w:sz w:val="18"/>
                <w:szCs w:val="18"/>
              </w:rPr>
              <w:t xml:space="preserve">    131 720,97 </w:t>
            </w:r>
          </w:p>
        </w:tc>
        <w:tc>
          <w:tcPr>
            <w:tcW w:w="1134" w:type="dxa"/>
            <w:tcBorders>
              <w:top w:val="nil"/>
              <w:left w:val="nil"/>
              <w:bottom w:val="nil"/>
              <w:right w:val="single" w:sz="4" w:space="0" w:color="auto"/>
            </w:tcBorders>
            <w:shd w:val="clear" w:color="auto" w:fill="auto"/>
            <w:noWrap/>
            <w:vAlign w:val="bottom"/>
            <w:hideMark/>
          </w:tcPr>
          <w:p w14:paraId="51D4A83B" w14:textId="77777777" w:rsidR="0023780A" w:rsidRPr="00FE0A75" w:rsidRDefault="0023780A" w:rsidP="004653E2">
            <w:pPr>
              <w:rPr>
                <w:rFonts w:cs="Calibri"/>
                <w:color w:val="000000"/>
                <w:sz w:val="18"/>
                <w:szCs w:val="18"/>
              </w:rPr>
            </w:pPr>
            <w:r w:rsidRPr="00FE0A75">
              <w:rPr>
                <w:rFonts w:cs="Calibri"/>
                <w:color w:val="000000"/>
                <w:sz w:val="18"/>
                <w:szCs w:val="18"/>
              </w:rPr>
              <w:t xml:space="preserve">    111 962,82 </w:t>
            </w:r>
          </w:p>
        </w:tc>
      </w:tr>
      <w:tr w:rsidR="0023780A" w:rsidRPr="00FE0A75" w14:paraId="64699A56" w14:textId="77777777" w:rsidTr="004653E2">
        <w:trPr>
          <w:trHeight w:val="300"/>
        </w:trPr>
        <w:tc>
          <w:tcPr>
            <w:tcW w:w="651" w:type="dxa"/>
            <w:tcBorders>
              <w:top w:val="nil"/>
              <w:left w:val="single" w:sz="8" w:space="0" w:color="auto"/>
              <w:bottom w:val="single" w:sz="8" w:space="0" w:color="auto"/>
              <w:right w:val="single" w:sz="8" w:space="0" w:color="auto"/>
            </w:tcBorders>
            <w:shd w:val="clear" w:color="000000" w:fill="BFBFBF"/>
            <w:hideMark/>
          </w:tcPr>
          <w:p w14:paraId="44272E1E" w14:textId="77777777" w:rsidR="0023780A" w:rsidRPr="00FE0A75" w:rsidRDefault="0023780A" w:rsidP="004653E2">
            <w:pPr>
              <w:spacing w:before="120" w:after="120"/>
              <w:jc w:val="center"/>
              <w:rPr>
                <w:rFonts w:cs="Arial"/>
                <w:b/>
                <w:bCs/>
                <w:color w:val="000000"/>
                <w:sz w:val="18"/>
                <w:szCs w:val="18"/>
              </w:rPr>
            </w:pPr>
            <w:r w:rsidRPr="00FE0A75">
              <w:rPr>
                <w:rFonts w:cs="Arial"/>
                <w:b/>
                <w:bCs/>
                <w:color w:val="000000"/>
                <w:sz w:val="18"/>
                <w:szCs w:val="18"/>
              </w:rPr>
              <w:t> </w:t>
            </w:r>
          </w:p>
        </w:tc>
        <w:tc>
          <w:tcPr>
            <w:tcW w:w="904" w:type="dxa"/>
            <w:tcBorders>
              <w:top w:val="nil"/>
              <w:left w:val="nil"/>
              <w:bottom w:val="single" w:sz="8" w:space="0" w:color="auto"/>
              <w:right w:val="single" w:sz="8" w:space="0" w:color="auto"/>
            </w:tcBorders>
            <w:shd w:val="clear" w:color="000000" w:fill="BFBFBF"/>
            <w:hideMark/>
          </w:tcPr>
          <w:p w14:paraId="2E210440" w14:textId="77777777" w:rsidR="0023780A" w:rsidRPr="00FE0A75" w:rsidRDefault="0023780A" w:rsidP="004653E2">
            <w:pPr>
              <w:spacing w:before="120" w:after="120"/>
              <w:rPr>
                <w:rFonts w:cs="Arial"/>
                <w:b/>
                <w:bCs/>
                <w:color w:val="000000"/>
                <w:sz w:val="18"/>
                <w:szCs w:val="18"/>
              </w:rPr>
            </w:pPr>
            <w:r w:rsidRPr="00FE0A75">
              <w:rPr>
                <w:rFonts w:cs="Arial"/>
                <w:b/>
                <w:bCs/>
                <w:color w:val="000000"/>
                <w:sz w:val="18"/>
                <w:szCs w:val="18"/>
              </w:rPr>
              <w:t> </w:t>
            </w:r>
          </w:p>
        </w:tc>
        <w:tc>
          <w:tcPr>
            <w:tcW w:w="5244" w:type="dxa"/>
            <w:tcBorders>
              <w:top w:val="nil"/>
              <w:left w:val="nil"/>
              <w:bottom w:val="single" w:sz="8" w:space="0" w:color="auto"/>
              <w:right w:val="nil"/>
            </w:tcBorders>
            <w:shd w:val="clear" w:color="000000" w:fill="BFBFBF"/>
            <w:hideMark/>
          </w:tcPr>
          <w:p w14:paraId="43ACCC70" w14:textId="77777777" w:rsidR="0023780A" w:rsidRPr="00FE0A75" w:rsidRDefault="0023780A" w:rsidP="004653E2">
            <w:pPr>
              <w:spacing w:before="120" w:after="120"/>
              <w:jc w:val="center"/>
              <w:rPr>
                <w:rFonts w:cs="Arial"/>
                <w:b/>
                <w:bCs/>
                <w:color w:val="000000"/>
                <w:sz w:val="18"/>
                <w:szCs w:val="18"/>
              </w:rPr>
            </w:pPr>
            <w:r w:rsidRPr="00FE0A75">
              <w:rPr>
                <w:rFonts w:cs="Arial"/>
                <w:b/>
                <w:bCs/>
                <w:color w:val="000000"/>
                <w:sz w:val="18"/>
                <w:szCs w:val="18"/>
              </w:rPr>
              <w:t>TOTALES</w:t>
            </w:r>
          </w:p>
        </w:tc>
        <w:tc>
          <w:tcPr>
            <w:tcW w:w="1276" w:type="dxa"/>
            <w:tcBorders>
              <w:top w:val="single" w:sz="8" w:space="0" w:color="auto"/>
              <w:left w:val="single" w:sz="8" w:space="0" w:color="auto"/>
              <w:bottom w:val="single" w:sz="8" w:space="0" w:color="auto"/>
              <w:right w:val="single" w:sz="4" w:space="0" w:color="auto"/>
            </w:tcBorders>
            <w:shd w:val="clear" w:color="000000" w:fill="BFBFBF"/>
            <w:hideMark/>
          </w:tcPr>
          <w:p w14:paraId="572BBF93" w14:textId="77777777" w:rsidR="0023780A" w:rsidRPr="00FE0A75" w:rsidRDefault="0023780A" w:rsidP="004653E2">
            <w:pPr>
              <w:spacing w:before="120" w:after="120"/>
              <w:rPr>
                <w:rFonts w:cs="Arial"/>
                <w:b/>
                <w:bCs/>
                <w:color w:val="000000"/>
                <w:sz w:val="18"/>
                <w:szCs w:val="18"/>
              </w:rPr>
            </w:pPr>
            <w:r w:rsidRPr="00FE0A75">
              <w:rPr>
                <w:rFonts w:cs="Arial"/>
                <w:b/>
                <w:bCs/>
                <w:color w:val="000000"/>
                <w:sz w:val="18"/>
                <w:szCs w:val="18"/>
              </w:rPr>
              <w:t xml:space="preserve"> </w:t>
            </w:r>
            <w:r w:rsidRPr="00FE0A75">
              <w:rPr>
                <w:rFonts w:ascii="Arial" w:hAnsi="Arial" w:cs="Arial"/>
                <w:b/>
                <w:bCs/>
                <w:color w:val="000000"/>
                <w:sz w:val="18"/>
                <w:szCs w:val="18"/>
              </w:rPr>
              <w:t>₡</w:t>
            </w:r>
            <w:r w:rsidRPr="00FE0A75">
              <w:rPr>
                <w:rFonts w:cs="Arial"/>
                <w:b/>
                <w:bCs/>
                <w:color w:val="000000"/>
                <w:sz w:val="18"/>
                <w:szCs w:val="18"/>
              </w:rPr>
              <w:t xml:space="preserve">348 587,36 </w:t>
            </w:r>
          </w:p>
        </w:tc>
        <w:tc>
          <w:tcPr>
            <w:tcW w:w="1134" w:type="dxa"/>
            <w:tcBorders>
              <w:top w:val="single" w:sz="8" w:space="0" w:color="auto"/>
              <w:left w:val="nil"/>
              <w:bottom w:val="single" w:sz="8" w:space="0" w:color="auto"/>
              <w:right w:val="single" w:sz="8" w:space="0" w:color="auto"/>
            </w:tcBorders>
            <w:shd w:val="clear" w:color="000000" w:fill="BFBFBF"/>
            <w:hideMark/>
          </w:tcPr>
          <w:p w14:paraId="446150E8" w14:textId="77777777" w:rsidR="0023780A" w:rsidRPr="00FE0A75" w:rsidRDefault="0023780A" w:rsidP="004653E2">
            <w:pPr>
              <w:spacing w:before="120" w:after="120"/>
              <w:rPr>
                <w:rFonts w:cs="Arial"/>
                <w:b/>
                <w:bCs/>
                <w:color w:val="000000"/>
                <w:sz w:val="18"/>
                <w:szCs w:val="18"/>
              </w:rPr>
            </w:pPr>
            <w:r w:rsidRPr="00FE0A75">
              <w:rPr>
                <w:rFonts w:cs="Arial"/>
                <w:b/>
                <w:bCs/>
                <w:color w:val="000000"/>
                <w:sz w:val="18"/>
                <w:szCs w:val="18"/>
              </w:rPr>
              <w:t xml:space="preserve"> </w:t>
            </w:r>
            <w:r w:rsidRPr="00FE0A75">
              <w:rPr>
                <w:rFonts w:ascii="Arial" w:hAnsi="Arial" w:cs="Arial"/>
                <w:b/>
                <w:bCs/>
                <w:color w:val="000000"/>
                <w:sz w:val="18"/>
                <w:szCs w:val="18"/>
              </w:rPr>
              <w:t>₡</w:t>
            </w:r>
            <w:r w:rsidRPr="00FE0A75">
              <w:rPr>
                <w:rFonts w:cs="Arial"/>
                <w:b/>
                <w:bCs/>
                <w:color w:val="000000"/>
                <w:sz w:val="18"/>
                <w:szCs w:val="18"/>
              </w:rPr>
              <w:t xml:space="preserve">175 377,90 </w:t>
            </w:r>
          </w:p>
        </w:tc>
      </w:tr>
    </w:tbl>
    <w:p w14:paraId="167E4F16" w14:textId="77777777" w:rsidR="0023780A" w:rsidRDefault="0023780A" w:rsidP="00464861">
      <w:pPr>
        <w:rPr>
          <w:szCs w:val="24"/>
          <w:lang w:eastAsia="es-CR"/>
        </w:rPr>
      </w:pPr>
    </w:p>
    <w:p w14:paraId="633249D6" w14:textId="77777777" w:rsidR="00692DC8" w:rsidRPr="00692DC8" w:rsidRDefault="00692DC8" w:rsidP="00D57597">
      <w:pPr>
        <w:pStyle w:val="Ttulo4"/>
        <w:spacing w:after="240"/>
        <w:rPr>
          <w:rFonts w:eastAsia="Times New Roman"/>
          <w:lang w:eastAsia="es-CR"/>
        </w:rPr>
      </w:pPr>
      <w:bookmarkStart w:id="177" w:name="_Toc33601211"/>
      <w:bookmarkStart w:id="178" w:name="_Toc82768912"/>
      <w:bookmarkStart w:id="179" w:name="_Toc173245229"/>
      <w:r w:rsidRPr="00692DC8">
        <w:rPr>
          <w:rFonts w:eastAsia="Times New Roman"/>
          <w:lang w:eastAsia="es-CR"/>
        </w:rPr>
        <w:t>NOTA N° 6</w:t>
      </w:r>
      <w:bookmarkEnd w:id="174"/>
      <w:bookmarkEnd w:id="175"/>
      <w:bookmarkEnd w:id="177"/>
      <w:bookmarkEnd w:id="178"/>
      <w:bookmarkEnd w:id="179"/>
    </w:p>
    <w:p w14:paraId="19EF20D6" w14:textId="77777777" w:rsidR="00694299" w:rsidRDefault="00D57597" w:rsidP="00CD760D">
      <w:pPr>
        <w:spacing w:after="120" w:line="240" w:lineRule="auto"/>
        <w:rPr>
          <w:rFonts w:asciiTheme="minorHAnsi" w:hAnsiTheme="minorHAnsi"/>
          <w:sz w:val="22"/>
        </w:rPr>
      </w:pPr>
      <w:bookmarkStart w:id="180" w:name="_Toc13041052"/>
      <w:bookmarkStart w:id="181" w:name="_Toc14345051"/>
      <w:bookmarkStart w:id="182" w:name="_Toc33601212"/>
      <w:bookmarkStart w:id="183" w:name="_Toc54546704"/>
      <w:bookmarkStart w:id="184" w:name="_Toc82768913"/>
      <w:r w:rsidRPr="00692DC8">
        <w:rPr>
          <w:rFonts w:eastAsia="Times New Roman"/>
          <w:lang w:eastAsia="es-CR"/>
        </w:rPr>
        <w:t>Inventarios</w:t>
      </w:r>
      <w:bookmarkEnd w:id="180"/>
      <w:bookmarkEnd w:id="181"/>
      <w:bookmarkEnd w:id="182"/>
      <w:bookmarkEnd w:id="183"/>
      <w:bookmarkEnd w:id="184"/>
      <w:r w:rsidRPr="00692DC8">
        <w:rPr>
          <w:rFonts w:eastAsia="Times New Roman"/>
          <w:lang w:eastAsia="es-CR"/>
        </w:rPr>
        <w:t xml:space="preserve"> </w:t>
      </w:r>
      <w:r w:rsidR="00C77D21">
        <w:rPr>
          <w:rFonts w:eastAsiaTheme="majorEastAsia" w:cstheme="majorBidi"/>
          <w:b/>
          <w:iCs/>
          <w:lang w:eastAsia="es-CR"/>
        </w:rPr>
        <w:fldChar w:fldCharType="begin"/>
      </w:r>
      <w:r w:rsidR="00C77D21">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NOTAS_POR_CUENTA!F16C1:F18C6 </w:instrText>
      </w:r>
      <w:r w:rsidR="00C77D21">
        <w:rPr>
          <w:lang w:eastAsia="es-CR"/>
        </w:rPr>
        <w:instrText xml:space="preserve">\a \f 4 \h </w:instrText>
      </w:r>
      <w:r w:rsidR="00C77D21">
        <w:rPr>
          <w:lang w:eastAsia="es-CR"/>
        </w:rPr>
        <w:fldChar w:fldCharType="separate"/>
      </w:r>
    </w:p>
    <w:p w14:paraId="7893E41D" w14:textId="60A02353" w:rsidR="00C572A3" w:rsidRDefault="00C77D21" w:rsidP="007826DE">
      <w:pPr>
        <w:spacing w:after="0" w:line="240" w:lineRule="auto"/>
        <w:rPr>
          <w:rFonts w:asciiTheme="minorHAnsi" w:hAnsiTheme="minorHAnsi"/>
          <w:sz w:val="22"/>
        </w:rPr>
      </w:pPr>
      <w:r>
        <w:rPr>
          <w:lang w:eastAsia="es-CR"/>
        </w:rPr>
        <w:fldChar w:fldCharType="end"/>
      </w:r>
      <w:r w:rsidR="00CD760D">
        <w:rPr>
          <w:lang w:eastAsia="es-CR"/>
        </w:rPr>
        <w:fldChar w:fldCharType="begin"/>
      </w:r>
      <w:r w:rsidR="00CD760D">
        <w:rPr>
          <w:lang w:eastAsia="es-CR"/>
        </w:rPr>
        <w:instrText xml:space="preserve"> LINK </w:instrText>
      </w:r>
      <w:r w:rsidR="0068177A">
        <w:rPr>
          <w:lang w:eastAsia="es-CR"/>
        </w:rPr>
        <w:instrText xml:space="preserve">Excel.SheetMacroEnabled.12 "C:\\Users\\arges\\OneDrive\\Desktop\\Municipalidades\\Buenos Aires\\Cierre Junio 2024\\Notas Contables\\15603_T02_2024_Anexo_Estado_Notas_Contables_Vinculadas.xlsm" NOTAS_POR_CUENTA!R16C1:R18C6 </w:instrText>
      </w:r>
      <w:r w:rsidR="00CD760D">
        <w:rPr>
          <w:lang w:eastAsia="es-CR"/>
        </w:rPr>
        <w:instrText xml:space="preserve">\a \f 4 \h </w:instrText>
      </w:r>
      <w:r w:rsidR="00CD760D">
        <w:rPr>
          <w:lang w:eastAsia="es-CR"/>
        </w:rPr>
        <w:fldChar w:fldCharType="separate"/>
      </w:r>
    </w:p>
    <w:tbl>
      <w:tblPr>
        <w:tblW w:w="10080" w:type="dxa"/>
        <w:tblLook w:val="04A0" w:firstRow="1" w:lastRow="0" w:firstColumn="1" w:lastColumn="0" w:noHBand="0" w:noVBand="1"/>
      </w:tblPr>
      <w:tblGrid>
        <w:gridCol w:w="717"/>
        <w:gridCol w:w="3339"/>
        <w:gridCol w:w="544"/>
        <w:gridCol w:w="2200"/>
        <w:gridCol w:w="2200"/>
        <w:gridCol w:w="1080"/>
      </w:tblGrid>
      <w:tr w:rsidR="00C572A3" w:rsidRPr="00C572A3" w14:paraId="6B24B78C" w14:textId="77777777" w:rsidTr="00C572A3">
        <w:trPr>
          <w:divId w:val="1452551566"/>
          <w:trHeight w:val="320"/>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5E62CEE" w14:textId="5906E534" w:rsidR="00C572A3" w:rsidRPr="00C572A3" w:rsidRDefault="00C572A3" w:rsidP="00C572A3">
            <w:pP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A566C11"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Descripción</w:t>
            </w:r>
          </w:p>
        </w:tc>
        <w:tc>
          <w:tcPr>
            <w:tcW w:w="5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07CBE90"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Nota</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CA773DB"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Actual </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F144E5C"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Anterior </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190EE2EF"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Diferencia </w:t>
            </w:r>
          </w:p>
        </w:tc>
      </w:tr>
      <w:tr w:rsidR="00C572A3" w:rsidRPr="00C572A3" w14:paraId="67817DDD" w14:textId="77777777" w:rsidTr="00C572A3">
        <w:trPr>
          <w:divId w:val="1452551566"/>
          <w:trHeight w:val="320"/>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7AA2760F"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4598158F"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14:paraId="767FEF61"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250F53AD"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5809DC01"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1080" w:type="dxa"/>
            <w:tcBorders>
              <w:top w:val="nil"/>
              <w:left w:val="nil"/>
              <w:bottom w:val="single" w:sz="8" w:space="0" w:color="auto"/>
              <w:right w:val="single" w:sz="8" w:space="0" w:color="auto"/>
            </w:tcBorders>
            <w:shd w:val="clear" w:color="000000" w:fill="366092"/>
            <w:noWrap/>
            <w:vAlign w:val="center"/>
            <w:hideMark/>
          </w:tcPr>
          <w:p w14:paraId="0D49E922" w14:textId="77777777" w:rsidR="00C572A3" w:rsidRPr="00C572A3" w:rsidRDefault="00C572A3" w:rsidP="00C572A3">
            <w:pPr>
              <w:spacing w:after="0" w:line="240" w:lineRule="auto"/>
              <w:jc w:val="center"/>
              <w:rPr>
                <w:rFonts w:eastAsia="Times New Roman" w:cs="Calibri"/>
                <w:color w:val="FFFFFF"/>
                <w:sz w:val="18"/>
                <w:szCs w:val="18"/>
                <w:lang w:val="en-US"/>
              </w:rPr>
            </w:pPr>
            <w:r w:rsidRPr="00C572A3">
              <w:rPr>
                <w:rFonts w:eastAsia="Times New Roman" w:cs="Calibri"/>
                <w:color w:val="FFFFFF"/>
                <w:sz w:val="18"/>
                <w:szCs w:val="18"/>
                <w:lang w:val="en-US"/>
              </w:rPr>
              <w:t>%</w:t>
            </w:r>
          </w:p>
        </w:tc>
      </w:tr>
      <w:tr w:rsidR="00C572A3" w:rsidRPr="00C572A3" w14:paraId="35F48AFD" w14:textId="77777777" w:rsidTr="00C572A3">
        <w:trPr>
          <w:divId w:val="1452551566"/>
          <w:trHeight w:val="320"/>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6DC6702F" w14:textId="77777777" w:rsidR="00C572A3" w:rsidRPr="00C572A3" w:rsidRDefault="00C572A3" w:rsidP="00C572A3">
            <w:pPr>
              <w:spacing w:after="0" w:line="240" w:lineRule="auto"/>
              <w:jc w:val="left"/>
              <w:rPr>
                <w:rFonts w:eastAsia="Times New Roman" w:cs="Calibri"/>
                <w:b/>
                <w:bCs/>
                <w:color w:val="000000"/>
                <w:sz w:val="18"/>
                <w:szCs w:val="18"/>
                <w:lang w:val="en-US"/>
              </w:rPr>
            </w:pPr>
            <w:r w:rsidRPr="00C572A3">
              <w:rPr>
                <w:rFonts w:eastAsia="Times New Roman" w:cs="Calibri"/>
                <w:b/>
                <w:bCs/>
                <w:color w:val="000000"/>
                <w:sz w:val="18"/>
                <w:szCs w:val="18"/>
                <w:lang w:val="en-US"/>
              </w:rPr>
              <w:t>1.1.4.</w:t>
            </w:r>
          </w:p>
        </w:tc>
        <w:tc>
          <w:tcPr>
            <w:tcW w:w="3380" w:type="dxa"/>
            <w:tcBorders>
              <w:top w:val="nil"/>
              <w:left w:val="nil"/>
              <w:bottom w:val="single" w:sz="8" w:space="0" w:color="auto"/>
              <w:right w:val="single" w:sz="8" w:space="0" w:color="auto"/>
            </w:tcBorders>
            <w:shd w:val="clear" w:color="auto" w:fill="auto"/>
            <w:vAlign w:val="center"/>
            <w:hideMark/>
          </w:tcPr>
          <w:p w14:paraId="70CAA04D" w14:textId="77777777" w:rsidR="00C572A3" w:rsidRPr="00C572A3" w:rsidRDefault="00C572A3" w:rsidP="00C572A3">
            <w:pPr>
              <w:spacing w:after="0" w:line="240" w:lineRule="auto"/>
              <w:jc w:val="left"/>
              <w:rPr>
                <w:rFonts w:eastAsia="Times New Roman" w:cs="Calibri"/>
                <w:b/>
                <w:bCs/>
                <w:color w:val="000000"/>
                <w:sz w:val="18"/>
                <w:szCs w:val="18"/>
                <w:lang w:val="en-US"/>
              </w:rPr>
            </w:pPr>
            <w:r w:rsidRPr="00C572A3">
              <w:rPr>
                <w:rFonts w:eastAsia="Times New Roman" w:cs="Calibri"/>
                <w:b/>
                <w:bCs/>
                <w:color w:val="000000"/>
                <w:sz w:val="18"/>
                <w:szCs w:val="18"/>
                <w:lang w:val="en-US"/>
              </w:rPr>
              <w:t>Inventarios</w:t>
            </w:r>
          </w:p>
        </w:tc>
        <w:tc>
          <w:tcPr>
            <w:tcW w:w="520" w:type="dxa"/>
            <w:tcBorders>
              <w:top w:val="nil"/>
              <w:left w:val="nil"/>
              <w:bottom w:val="single" w:sz="8" w:space="0" w:color="auto"/>
              <w:right w:val="single" w:sz="8" w:space="0" w:color="auto"/>
            </w:tcBorders>
            <w:shd w:val="clear" w:color="auto" w:fill="auto"/>
            <w:noWrap/>
            <w:vAlign w:val="center"/>
            <w:hideMark/>
          </w:tcPr>
          <w:p w14:paraId="28749319"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06</w:t>
            </w:r>
          </w:p>
        </w:tc>
        <w:tc>
          <w:tcPr>
            <w:tcW w:w="2200" w:type="dxa"/>
            <w:tcBorders>
              <w:top w:val="nil"/>
              <w:left w:val="nil"/>
              <w:bottom w:val="single" w:sz="8" w:space="0" w:color="auto"/>
              <w:right w:val="single" w:sz="8" w:space="0" w:color="auto"/>
            </w:tcBorders>
            <w:shd w:val="clear" w:color="auto" w:fill="auto"/>
            <w:noWrap/>
            <w:vAlign w:val="center"/>
            <w:hideMark/>
          </w:tcPr>
          <w:p w14:paraId="1B3BF9EE"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194 362,53 </w:t>
            </w:r>
          </w:p>
        </w:tc>
        <w:tc>
          <w:tcPr>
            <w:tcW w:w="2200" w:type="dxa"/>
            <w:tcBorders>
              <w:top w:val="nil"/>
              <w:left w:val="nil"/>
              <w:bottom w:val="single" w:sz="8" w:space="0" w:color="auto"/>
              <w:right w:val="single" w:sz="8" w:space="0" w:color="auto"/>
            </w:tcBorders>
            <w:shd w:val="clear" w:color="auto" w:fill="auto"/>
            <w:noWrap/>
            <w:vAlign w:val="center"/>
            <w:hideMark/>
          </w:tcPr>
          <w:p w14:paraId="66EFDCC0"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177 192,02 </w:t>
            </w:r>
          </w:p>
        </w:tc>
        <w:tc>
          <w:tcPr>
            <w:tcW w:w="1080" w:type="dxa"/>
            <w:tcBorders>
              <w:top w:val="nil"/>
              <w:left w:val="nil"/>
              <w:bottom w:val="single" w:sz="8" w:space="0" w:color="auto"/>
              <w:right w:val="single" w:sz="8" w:space="0" w:color="auto"/>
            </w:tcBorders>
            <w:shd w:val="clear" w:color="auto" w:fill="auto"/>
            <w:noWrap/>
            <w:vAlign w:val="center"/>
            <w:hideMark/>
          </w:tcPr>
          <w:p w14:paraId="1AF4A1EC"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9,69%</w:t>
            </w:r>
          </w:p>
        </w:tc>
      </w:tr>
    </w:tbl>
    <w:p w14:paraId="55B48715" w14:textId="3BFEF4F5" w:rsidR="00F27D37" w:rsidRDefault="00CD760D" w:rsidP="007826DE">
      <w:pPr>
        <w:spacing w:after="0" w:line="240" w:lineRule="auto"/>
        <w:rPr>
          <w:lang w:eastAsia="es-CR"/>
        </w:rPr>
      </w:pPr>
      <w:r>
        <w:rPr>
          <w:lang w:eastAsia="es-CR"/>
        </w:rPr>
        <w:fldChar w:fldCharType="end"/>
      </w:r>
    </w:p>
    <w:p w14:paraId="590A2AB1" w14:textId="77777777" w:rsidR="00F27D37" w:rsidRPr="00A91674" w:rsidRDefault="00F27D37" w:rsidP="00F27D37">
      <w:pPr>
        <w:spacing w:after="0" w:line="240" w:lineRule="auto"/>
        <w:rPr>
          <w:b/>
          <w:color w:val="000000"/>
          <w:lang w:val="es-ES" w:eastAsia="es-ES"/>
        </w:rPr>
      </w:pPr>
      <w:r w:rsidRPr="00A91674">
        <w:rPr>
          <w:b/>
          <w:color w:val="000000"/>
          <w:lang w:val="es-ES" w:eastAsia="es-ES"/>
        </w:rPr>
        <w:t>Método de Valuación de Inventario</w:t>
      </w:r>
    </w:p>
    <w:p w14:paraId="7614B684" w14:textId="77777777" w:rsidR="00F27D37" w:rsidRPr="00A91674" w:rsidRDefault="00F27D37" w:rsidP="00F27D37">
      <w:pPr>
        <w:spacing w:after="0" w:line="240" w:lineRule="auto"/>
        <w:rPr>
          <w:b/>
          <w:color w:val="000000"/>
          <w:lang w:val="es-ES" w:eastAsia="es-ES"/>
        </w:rPr>
      </w:pPr>
    </w:p>
    <w:p w14:paraId="13AAED94" w14:textId="77777777" w:rsidR="00F27D37" w:rsidRPr="00A91674" w:rsidRDefault="00F27D37" w:rsidP="00F27D37">
      <w:pPr>
        <w:spacing w:after="0" w:line="240" w:lineRule="auto"/>
        <w:rPr>
          <w:lang w:val="es-ES" w:eastAsia="es-ES"/>
        </w:rPr>
      </w:pPr>
      <w:r w:rsidRPr="00A91674">
        <w:rPr>
          <w:color w:val="000000"/>
          <w:lang w:val="es-ES" w:eastAsia="es-ES"/>
        </w:rPr>
        <w:t xml:space="preserve">Indique si su institución está utilizando </w:t>
      </w:r>
      <w:r w:rsidRPr="00A91674">
        <w:rPr>
          <w:lang w:val="es-ES" w:eastAsia="es-ES"/>
        </w:rPr>
        <w:t>Primeras en entrar, Primeras en salir (PEPS), sino es así, indique cual método se utiliza y la razón que aún no utilizan el PEPS.</w:t>
      </w:r>
    </w:p>
    <w:p w14:paraId="1F68F18D" w14:textId="77777777" w:rsidR="00F27D37" w:rsidRPr="00A91674" w:rsidRDefault="00F27D37" w:rsidP="00F27D37">
      <w:pPr>
        <w:spacing w:after="0" w:line="240" w:lineRule="auto"/>
        <w:rPr>
          <w:lang w:val="es-ES" w:eastAsia="es-ES"/>
        </w:rPr>
      </w:pPr>
    </w:p>
    <w:p w14:paraId="2140374B" w14:textId="24B9EF7C" w:rsidR="00F27D37" w:rsidRDefault="00F27D37" w:rsidP="007826DE">
      <w:pPr>
        <w:spacing w:after="0" w:line="240" w:lineRule="auto"/>
        <w:rPr>
          <w:color w:val="000000"/>
          <w:lang w:val="es-ES" w:eastAsia="es-ES"/>
        </w:rPr>
      </w:pPr>
      <w:r w:rsidRPr="00A91674">
        <w:rPr>
          <w:color w:val="000000"/>
          <w:lang w:val="es-ES" w:eastAsia="es-ES"/>
        </w:rPr>
        <w:t xml:space="preserve">La Municipalidad se encuentra utilizando </w:t>
      </w:r>
      <w:r>
        <w:rPr>
          <w:color w:val="000000"/>
          <w:lang w:val="es-ES" w:eastAsia="es-ES"/>
        </w:rPr>
        <w:t xml:space="preserve">la fórmula de costo denominada </w:t>
      </w:r>
      <w:r w:rsidRPr="00A91674">
        <w:rPr>
          <w:color w:val="000000"/>
          <w:lang w:val="es-ES" w:eastAsia="es-ES"/>
        </w:rPr>
        <w:t>Método de Primeras en entrar, Primeras en Salir</w:t>
      </w:r>
      <w:r>
        <w:rPr>
          <w:color w:val="000000"/>
          <w:lang w:val="es-ES" w:eastAsia="es-ES"/>
        </w:rPr>
        <w:t xml:space="preserve"> (PEPS) para todos los elementos que conforman el inventario</w:t>
      </w:r>
      <w:r w:rsidRPr="00A91674">
        <w:rPr>
          <w:color w:val="000000"/>
          <w:lang w:val="es-ES" w:eastAsia="es-ES"/>
        </w:rPr>
        <w:t>.</w:t>
      </w:r>
      <w:r w:rsidR="007826DE">
        <w:rPr>
          <w:color w:val="000000"/>
          <w:lang w:val="es-ES" w:eastAsia="es-ES"/>
        </w:rPr>
        <w:t xml:space="preserve"> </w:t>
      </w:r>
      <w:r>
        <w:rPr>
          <w:color w:val="000000"/>
          <w:lang w:val="es-ES" w:eastAsia="es-ES"/>
        </w:rPr>
        <w:t>Además, debe indicarse que los inventarios son medidos al costo o valor realizable el menor en la fecha de su adquisición, y se incluye como parte del costo el valor de compra y los otros costos necesarios para llevar los bienes a la localización y condición requerida, asimismo se reducen del costo de los inventarios en caso de que se presenten, los descuentos comerciales, rebajas u otros elementos similares.</w:t>
      </w:r>
    </w:p>
    <w:p w14:paraId="3795F683" w14:textId="77777777" w:rsidR="00F27D37" w:rsidRDefault="00F27D37" w:rsidP="00F27D37">
      <w:pPr>
        <w:spacing w:after="0" w:line="240" w:lineRule="auto"/>
        <w:rPr>
          <w:b/>
          <w:color w:val="000000"/>
          <w:lang w:val="es-ES" w:eastAsia="es-ES"/>
        </w:rPr>
      </w:pPr>
    </w:p>
    <w:p w14:paraId="0F1ED742" w14:textId="77777777" w:rsidR="00F27D37" w:rsidRPr="00A91674" w:rsidRDefault="00F27D37" w:rsidP="00F27D37">
      <w:pPr>
        <w:spacing w:after="0" w:line="240" w:lineRule="auto"/>
        <w:rPr>
          <w:b/>
          <w:color w:val="000000"/>
          <w:lang w:val="es-ES" w:eastAsia="es-ES"/>
        </w:rPr>
      </w:pPr>
      <w:r w:rsidRPr="00A91674">
        <w:rPr>
          <w:b/>
          <w:color w:val="000000"/>
          <w:lang w:val="es-ES" w:eastAsia="es-ES"/>
        </w:rPr>
        <w:t xml:space="preserve">Cual sistema de inventario utiliza su institución Periódico o Permanente: </w:t>
      </w:r>
    </w:p>
    <w:p w14:paraId="2D34C662" w14:textId="77777777" w:rsidR="00F27D37" w:rsidRPr="00A91674" w:rsidRDefault="00F27D37" w:rsidP="00F27D37">
      <w:pPr>
        <w:spacing w:after="0" w:line="240" w:lineRule="auto"/>
        <w:rPr>
          <w:color w:val="000000"/>
          <w:lang w:val="es-ES" w:eastAsia="es-ES"/>
        </w:rPr>
      </w:pPr>
    </w:p>
    <w:p w14:paraId="5CAB7B69" w14:textId="1C6CB237" w:rsidR="00F27D37" w:rsidRDefault="00F27D37" w:rsidP="00F27D37">
      <w:pPr>
        <w:spacing w:after="0" w:line="240" w:lineRule="auto"/>
        <w:rPr>
          <w:color w:val="000000"/>
          <w:lang w:val="es-ES" w:eastAsia="es-ES"/>
        </w:rPr>
      </w:pPr>
      <w:r w:rsidRPr="00A91674">
        <w:rPr>
          <w:color w:val="000000"/>
          <w:lang w:val="es-ES" w:eastAsia="es-ES"/>
        </w:rPr>
        <w:t xml:space="preserve">La Municipalidad utiliza actualmente el sistema de inventario Periódico, mediante este se realizan cada trimestre inventarios físicos y se procede a realizar el ajuste correspondiente. Sin embargo, como parte del proceso de implementación se contrató el desarrollo de un nuevo sistema integrado de información, el cual incluye un módulo de inventarios que operará con base en el método de inventario Permanente, el cual </w:t>
      </w:r>
      <w:r w:rsidR="00520325">
        <w:rPr>
          <w:color w:val="000000"/>
          <w:lang w:val="es-ES" w:eastAsia="es-ES"/>
        </w:rPr>
        <w:t xml:space="preserve">está en proceso de generación de la información y prueba y se </w:t>
      </w:r>
      <w:r w:rsidRPr="00A91674">
        <w:rPr>
          <w:color w:val="000000"/>
          <w:lang w:val="es-ES" w:eastAsia="es-ES"/>
        </w:rPr>
        <w:t xml:space="preserve">espera poner en funcionamiento en el transcurso del </w:t>
      </w:r>
      <w:r w:rsidR="00520325">
        <w:rPr>
          <w:color w:val="000000"/>
          <w:lang w:val="es-ES" w:eastAsia="es-ES"/>
        </w:rPr>
        <w:t>VI</w:t>
      </w:r>
      <w:r w:rsidRPr="00A91674">
        <w:rPr>
          <w:color w:val="000000"/>
          <w:lang w:val="es-ES" w:eastAsia="es-ES"/>
        </w:rPr>
        <w:t xml:space="preserve"> trimestre </w:t>
      </w:r>
      <w:r>
        <w:rPr>
          <w:color w:val="000000"/>
          <w:lang w:val="es-ES" w:eastAsia="es-ES"/>
        </w:rPr>
        <w:t>2024</w:t>
      </w:r>
      <w:r w:rsidRPr="00A91674">
        <w:rPr>
          <w:color w:val="000000"/>
          <w:lang w:val="es-ES" w:eastAsia="es-ES"/>
        </w:rPr>
        <w:t>.</w:t>
      </w:r>
    </w:p>
    <w:p w14:paraId="39AA54DE" w14:textId="77777777" w:rsidR="00F27D37" w:rsidRPr="00A91674" w:rsidRDefault="00F27D37" w:rsidP="007826DE">
      <w:pPr>
        <w:spacing w:after="0" w:line="240" w:lineRule="auto"/>
        <w:rPr>
          <w:color w:val="000000"/>
          <w:lang w:val="es-ES" w:eastAsia="es-ES"/>
        </w:rPr>
      </w:pPr>
    </w:p>
    <w:p w14:paraId="5686ADCD" w14:textId="77777777" w:rsidR="00F27D37" w:rsidRDefault="00F27D37" w:rsidP="007826DE">
      <w:pPr>
        <w:spacing w:after="0" w:line="240" w:lineRule="auto"/>
        <w:rPr>
          <w:b/>
          <w:color w:val="000000"/>
          <w:lang w:val="es-ES" w:eastAsia="es-ES"/>
        </w:rPr>
      </w:pPr>
      <w:r w:rsidRPr="00B84A78">
        <w:rPr>
          <w:b/>
          <w:color w:val="000000"/>
          <w:lang w:val="es-ES" w:eastAsia="es-ES"/>
        </w:rPr>
        <w:t>Bajas de Inventario</w:t>
      </w:r>
    </w:p>
    <w:p w14:paraId="07C6738F" w14:textId="77777777" w:rsidR="00F27D37" w:rsidRPr="00B84A78" w:rsidRDefault="00F27D37" w:rsidP="00397338">
      <w:pPr>
        <w:spacing w:after="0" w:line="240" w:lineRule="auto"/>
        <w:rPr>
          <w:b/>
          <w:color w:val="000000"/>
          <w:lang w:val="es-ES" w:eastAsia="es-ES"/>
        </w:rPr>
      </w:pPr>
    </w:p>
    <w:p w14:paraId="634BDF82" w14:textId="6A939DE5" w:rsidR="00F27D37" w:rsidRDefault="00F27D37" w:rsidP="00397338">
      <w:pPr>
        <w:spacing w:after="0" w:line="240" w:lineRule="auto"/>
        <w:rPr>
          <w:b/>
          <w:color w:val="000000"/>
          <w:lang w:val="es-ES" w:eastAsia="es-ES"/>
        </w:rPr>
      </w:pPr>
      <w:r w:rsidRPr="00246711">
        <w:rPr>
          <w:color w:val="000000"/>
          <w:lang w:val="es-ES" w:eastAsia="es-ES"/>
        </w:rPr>
        <w:t>Los inventarios utilizados en la prestación de servicios son reconocidos como un gasto en el mes que se prestan los servicios relacionados</w:t>
      </w:r>
      <w:r>
        <w:rPr>
          <w:color w:val="000000"/>
          <w:lang w:val="es-ES" w:eastAsia="es-ES"/>
        </w:rPr>
        <w:t>.</w:t>
      </w:r>
      <w:r w:rsidRPr="00D57E73">
        <w:rPr>
          <w:b/>
          <w:color w:val="000000"/>
          <w:lang w:val="es-ES" w:eastAsia="es-ES"/>
        </w:rPr>
        <w:t xml:space="preserve"> </w:t>
      </w:r>
      <w:r w:rsidRPr="00D57E73">
        <w:rPr>
          <w:color w:val="000000"/>
          <w:lang w:val="es-ES" w:eastAsia="es-ES"/>
        </w:rPr>
        <w:t>Por otra parte, las rebajas en los inventarios originadas por pérdidas se reconocen como gasto en el mes que ocurren</w:t>
      </w:r>
      <w:r>
        <w:rPr>
          <w:color w:val="000000"/>
          <w:lang w:val="es-ES" w:eastAsia="es-ES"/>
        </w:rPr>
        <w:t xml:space="preserve"> tan pronto se identifiquen.</w:t>
      </w:r>
    </w:p>
    <w:p w14:paraId="495BD1D1" w14:textId="77777777" w:rsidR="00397338" w:rsidRDefault="00397338" w:rsidP="007826DE">
      <w:pPr>
        <w:spacing w:after="0" w:line="240" w:lineRule="auto"/>
        <w:rPr>
          <w:b/>
          <w:color w:val="000000"/>
          <w:lang w:val="es-ES" w:eastAsia="es-ES"/>
        </w:rPr>
      </w:pPr>
    </w:p>
    <w:p w14:paraId="565FA10C" w14:textId="77777777" w:rsidR="00694299" w:rsidRPr="007826DE" w:rsidRDefault="00692DC8" w:rsidP="00986DC9">
      <w:pPr>
        <w:spacing w:line="240" w:lineRule="auto"/>
        <w:rPr>
          <w:szCs w:val="24"/>
        </w:rPr>
      </w:pPr>
      <w:r w:rsidRPr="007826DE">
        <w:rPr>
          <w:rFonts w:eastAsia="Times New Roman"/>
          <w:b/>
          <w:szCs w:val="24"/>
          <w:lang w:val="es-ES" w:eastAsia="es-CR"/>
        </w:rPr>
        <w:t xml:space="preserve">Revelación: </w:t>
      </w:r>
      <w:r w:rsidR="00C77D21" w:rsidRPr="007826DE">
        <w:rPr>
          <w:szCs w:val="24"/>
        </w:rPr>
        <w:fldChar w:fldCharType="begin"/>
      </w:r>
      <w:r w:rsidR="00C77D21" w:rsidRPr="007826DE">
        <w:rPr>
          <w:szCs w:val="24"/>
        </w:rPr>
        <w:instrText xml:space="preserve"> LINK </w:instrText>
      </w:r>
      <w:r w:rsidR="00323752" w:rsidRPr="007826DE">
        <w:rPr>
          <w:szCs w:val="24"/>
        </w:rPr>
        <w:instrText xml:space="preserve">Excel.SheetMacroEnabled.12 "D:\\MORAVIA\\INSUMOS\\NOTAS 2024\\Formato_Notas_EEFF_Vinculadas_2024\\XXXXX_PXX_202X_Anexo_Estado_Notas_Contables_Vinculadas.xlsm" NOTAS_POR_CUENTA!F18C8 </w:instrText>
      </w:r>
      <w:r w:rsidR="00C77D21" w:rsidRPr="007826DE">
        <w:rPr>
          <w:szCs w:val="24"/>
        </w:rPr>
        <w:instrText xml:space="preserve">\a \f 5 \h  \* MERGEFORMAT </w:instrText>
      </w:r>
      <w:r w:rsidR="00C77D21" w:rsidRPr="007826DE">
        <w:rPr>
          <w:szCs w:val="24"/>
        </w:rPr>
        <w:fldChar w:fldCharType="separate"/>
      </w:r>
    </w:p>
    <w:p w14:paraId="4C497D21" w14:textId="12D0231A" w:rsidR="00694299" w:rsidRPr="007826DE" w:rsidRDefault="00694299" w:rsidP="007826DE">
      <w:pPr>
        <w:spacing w:after="120" w:line="240" w:lineRule="auto"/>
        <w:rPr>
          <w:rFonts w:eastAsia="Times New Roman" w:cs="Calibri"/>
          <w:szCs w:val="24"/>
        </w:rPr>
      </w:pPr>
      <w:r w:rsidRPr="007826DE">
        <w:rPr>
          <w:szCs w:val="24"/>
        </w:rPr>
        <w:t>La cuenta Inventarios, representa el 0,1</w:t>
      </w:r>
      <w:r w:rsidR="00986DC9" w:rsidRPr="007826DE">
        <w:rPr>
          <w:szCs w:val="24"/>
        </w:rPr>
        <w:t>2</w:t>
      </w:r>
      <w:r w:rsidRPr="007826DE">
        <w:rPr>
          <w:szCs w:val="24"/>
        </w:rPr>
        <w:t xml:space="preserve">% del total del Activo, que comparado al periodo anterior genera una variación absoluta de </w:t>
      </w:r>
      <w:r w:rsidR="00986DC9" w:rsidRPr="007826DE">
        <w:rPr>
          <w:szCs w:val="24"/>
        </w:rPr>
        <w:t xml:space="preserve">17 170,51 </w:t>
      </w:r>
      <w:r w:rsidRPr="007826DE">
        <w:rPr>
          <w:szCs w:val="24"/>
        </w:rPr>
        <w:t xml:space="preserve">que corresponde a un Aumento del </w:t>
      </w:r>
      <w:r w:rsidR="00986DC9" w:rsidRPr="007826DE">
        <w:rPr>
          <w:szCs w:val="24"/>
        </w:rPr>
        <w:t>9,69</w:t>
      </w:r>
      <w:r w:rsidRPr="007826DE">
        <w:rPr>
          <w:szCs w:val="24"/>
        </w:rPr>
        <w:t>% de recursos disponibles.</w:t>
      </w:r>
    </w:p>
    <w:p w14:paraId="5A4ABF93" w14:textId="79D10CF4" w:rsidR="00692DC8" w:rsidRDefault="00C77D21" w:rsidP="007826DE">
      <w:pPr>
        <w:spacing w:after="0" w:line="240" w:lineRule="auto"/>
      </w:pPr>
      <w:r w:rsidRPr="007826DE">
        <w:rPr>
          <w:szCs w:val="24"/>
        </w:rPr>
        <w:fldChar w:fldCharType="end"/>
      </w:r>
      <w:r w:rsidR="00692DC8" w:rsidRPr="00986DC9">
        <w:t>Las variaciones de la cuenta son producto de (Indicar la razón de las variaciones de un periodo a otro):</w:t>
      </w:r>
      <w:bookmarkStart w:id="185" w:name="_Toc13041058"/>
      <w:bookmarkStart w:id="186" w:name="_Toc14345057"/>
    </w:p>
    <w:p w14:paraId="4567B968" w14:textId="77777777" w:rsidR="006B70FF" w:rsidRPr="00986DC9" w:rsidRDefault="006B70FF" w:rsidP="007826DE">
      <w:pPr>
        <w:spacing w:after="0" w:line="240" w:lineRule="auto"/>
      </w:pPr>
    </w:p>
    <w:p w14:paraId="1BE77BB1" w14:textId="78C16932" w:rsidR="00D57597" w:rsidRPr="007826DE" w:rsidRDefault="006B70FF" w:rsidP="007826DE">
      <w:pPr>
        <w:spacing w:line="240" w:lineRule="auto"/>
        <w:rPr>
          <w:lang w:eastAsia="es-CR"/>
        </w:rPr>
      </w:pPr>
      <w:r>
        <w:rPr>
          <w:lang w:eastAsia="es-CR"/>
        </w:rPr>
        <w:t xml:space="preserve">Un efecto neto debido a que algunas cuentas presentan un aumento mientras que otras disminuyeron como se </w:t>
      </w:r>
      <w:r w:rsidR="00AA5221">
        <w:rPr>
          <w:lang w:eastAsia="es-CR"/>
        </w:rPr>
        <w:t xml:space="preserve">puede </w:t>
      </w:r>
      <w:r>
        <w:rPr>
          <w:lang w:eastAsia="es-CR"/>
        </w:rPr>
        <w:t>observa</w:t>
      </w:r>
      <w:r w:rsidR="00AA5221">
        <w:rPr>
          <w:lang w:eastAsia="es-CR"/>
        </w:rPr>
        <w:t>r</w:t>
      </w:r>
      <w:r>
        <w:rPr>
          <w:lang w:eastAsia="es-CR"/>
        </w:rPr>
        <w:t xml:space="preserve"> en el siguiente</w:t>
      </w:r>
      <w:r w:rsidR="00397338" w:rsidRPr="00397338">
        <w:rPr>
          <w:lang w:eastAsia="es-CR"/>
        </w:rPr>
        <w:t xml:space="preserve"> detalle de los inventarios al </w:t>
      </w:r>
      <w:r w:rsidR="00D470B6">
        <w:rPr>
          <w:lang w:eastAsia="es-CR"/>
        </w:rPr>
        <w:t>30 de junio</w:t>
      </w:r>
      <w:r w:rsidR="00397338" w:rsidRPr="00397338">
        <w:rPr>
          <w:lang w:eastAsia="es-CR"/>
        </w:rPr>
        <w:t xml:space="preserve"> de 2024</w:t>
      </w:r>
      <w:r w:rsidR="00AA5221">
        <w:rPr>
          <w:lang w:eastAsia="es-CR"/>
        </w:rPr>
        <w:t>:</w:t>
      </w:r>
    </w:p>
    <w:tbl>
      <w:tblPr>
        <w:tblW w:w="9207" w:type="dxa"/>
        <w:tblLook w:val="04A0" w:firstRow="1" w:lastRow="0" w:firstColumn="1" w:lastColumn="0" w:noHBand="0" w:noVBand="1"/>
      </w:tblPr>
      <w:tblGrid>
        <w:gridCol w:w="1202"/>
        <w:gridCol w:w="3466"/>
        <w:gridCol w:w="1275"/>
        <w:gridCol w:w="1144"/>
        <w:gridCol w:w="1104"/>
        <w:gridCol w:w="1000"/>
        <w:gridCol w:w="16"/>
      </w:tblGrid>
      <w:tr w:rsidR="007826DE" w:rsidRPr="007826DE" w14:paraId="7F07D164" w14:textId="77777777" w:rsidTr="007826DE">
        <w:trPr>
          <w:trHeight w:val="500"/>
        </w:trPr>
        <w:tc>
          <w:tcPr>
            <w:tcW w:w="9207" w:type="dxa"/>
            <w:gridSpan w:val="7"/>
            <w:tcBorders>
              <w:top w:val="single" w:sz="8" w:space="0" w:color="auto"/>
              <w:left w:val="single" w:sz="8" w:space="0" w:color="auto"/>
              <w:bottom w:val="nil"/>
              <w:right w:val="single" w:sz="8" w:space="0" w:color="000000"/>
            </w:tcBorders>
            <w:shd w:val="clear" w:color="000000" w:fill="B8CCE4"/>
            <w:vAlign w:val="center"/>
            <w:hideMark/>
          </w:tcPr>
          <w:p w14:paraId="6ED1BB35" w14:textId="77777777" w:rsidR="007826DE" w:rsidRPr="007826DE" w:rsidRDefault="007826DE" w:rsidP="007826DE">
            <w:pPr>
              <w:spacing w:after="0" w:line="240" w:lineRule="auto"/>
              <w:jc w:val="center"/>
              <w:rPr>
                <w:rFonts w:eastAsia="Times New Roman" w:cs="Calibri"/>
                <w:b/>
                <w:bCs/>
                <w:color w:val="000000"/>
                <w:sz w:val="22"/>
              </w:rPr>
            </w:pPr>
            <w:r w:rsidRPr="007826DE">
              <w:rPr>
                <w:rFonts w:eastAsia="Times New Roman" w:cs="Calibri"/>
                <w:b/>
                <w:bCs/>
                <w:color w:val="000000"/>
                <w:sz w:val="22"/>
              </w:rPr>
              <w:t xml:space="preserve">DETALLE DE INVENTARIOS </w:t>
            </w:r>
            <w:r w:rsidRPr="007826DE">
              <w:rPr>
                <w:rFonts w:eastAsia="Times New Roman" w:cs="Calibri"/>
                <w:b/>
                <w:bCs/>
                <w:color w:val="000000"/>
                <w:sz w:val="22"/>
              </w:rPr>
              <w:br/>
              <w:t>COMPARATIVO AL 30/06/2024-30/06/2023</w:t>
            </w:r>
          </w:p>
        </w:tc>
      </w:tr>
      <w:tr w:rsidR="007826DE" w:rsidRPr="007826DE" w14:paraId="0EC1C589" w14:textId="77777777" w:rsidTr="007826DE">
        <w:trPr>
          <w:trHeight w:val="300"/>
        </w:trPr>
        <w:tc>
          <w:tcPr>
            <w:tcW w:w="9207" w:type="dxa"/>
            <w:gridSpan w:val="7"/>
            <w:tcBorders>
              <w:top w:val="nil"/>
              <w:left w:val="single" w:sz="8" w:space="0" w:color="auto"/>
              <w:bottom w:val="single" w:sz="8" w:space="0" w:color="auto"/>
              <w:right w:val="single" w:sz="8" w:space="0" w:color="000000"/>
            </w:tcBorders>
            <w:shd w:val="clear" w:color="000000" w:fill="B8CCE4"/>
            <w:noWrap/>
            <w:vAlign w:val="center"/>
            <w:hideMark/>
          </w:tcPr>
          <w:p w14:paraId="69F8F451" w14:textId="77777777" w:rsidR="007826DE" w:rsidRPr="007826DE" w:rsidRDefault="007826DE" w:rsidP="007826DE">
            <w:pPr>
              <w:spacing w:after="0" w:line="240" w:lineRule="auto"/>
              <w:jc w:val="center"/>
              <w:rPr>
                <w:rFonts w:eastAsia="Times New Roman" w:cs="Calibri"/>
                <w:b/>
                <w:bCs/>
                <w:color w:val="000000"/>
                <w:sz w:val="22"/>
                <w:lang w:val="en-US"/>
              </w:rPr>
            </w:pPr>
            <w:r w:rsidRPr="007826DE">
              <w:rPr>
                <w:rFonts w:eastAsia="Times New Roman" w:cs="Calibri"/>
                <w:b/>
                <w:bCs/>
                <w:color w:val="000000"/>
                <w:sz w:val="22"/>
                <w:lang w:val="en-US"/>
              </w:rPr>
              <w:t>En miles de colones</w:t>
            </w:r>
          </w:p>
        </w:tc>
      </w:tr>
      <w:tr w:rsidR="007826DE" w:rsidRPr="007826DE" w14:paraId="7EAA4F32" w14:textId="77777777" w:rsidTr="007826DE">
        <w:trPr>
          <w:gridAfter w:val="1"/>
          <w:wAfter w:w="16" w:type="dxa"/>
          <w:trHeight w:val="530"/>
        </w:trPr>
        <w:tc>
          <w:tcPr>
            <w:tcW w:w="1202" w:type="dxa"/>
            <w:tcBorders>
              <w:top w:val="nil"/>
              <w:left w:val="single" w:sz="8" w:space="0" w:color="auto"/>
              <w:bottom w:val="single" w:sz="8" w:space="0" w:color="auto"/>
              <w:right w:val="single" w:sz="8" w:space="0" w:color="auto"/>
            </w:tcBorders>
            <w:shd w:val="clear" w:color="000000" w:fill="002060"/>
            <w:noWrap/>
            <w:vAlign w:val="center"/>
            <w:hideMark/>
          </w:tcPr>
          <w:p w14:paraId="3AC3C0C8" w14:textId="77777777" w:rsidR="007826DE" w:rsidRPr="007826DE" w:rsidRDefault="007826DE" w:rsidP="007826DE">
            <w:pPr>
              <w:spacing w:after="0" w:line="240" w:lineRule="auto"/>
              <w:jc w:val="center"/>
              <w:rPr>
                <w:rFonts w:ascii="Calibri" w:eastAsia="Times New Roman" w:hAnsi="Calibri" w:cs="Calibri"/>
                <w:b/>
                <w:bCs/>
                <w:color w:val="FFFFFF"/>
                <w:sz w:val="20"/>
                <w:szCs w:val="20"/>
                <w:lang w:val="en-US"/>
              </w:rPr>
            </w:pPr>
            <w:r w:rsidRPr="007826DE">
              <w:rPr>
                <w:rFonts w:ascii="Calibri" w:eastAsia="Times New Roman" w:hAnsi="Calibri" w:cs="Calibri"/>
                <w:b/>
                <w:bCs/>
                <w:color w:val="FFFFFF"/>
                <w:sz w:val="20"/>
                <w:szCs w:val="20"/>
                <w:lang w:val="en-US"/>
              </w:rPr>
              <w:t>Código</w:t>
            </w:r>
          </w:p>
        </w:tc>
        <w:tc>
          <w:tcPr>
            <w:tcW w:w="3466" w:type="dxa"/>
            <w:tcBorders>
              <w:top w:val="nil"/>
              <w:left w:val="nil"/>
              <w:bottom w:val="single" w:sz="8" w:space="0" w:color="auto"/>
              <w:right w:val="single" w:sz="8" w:space="0" w:color="auto"/>
            </w:tcBorders>
            <w:shd w:val="clear" w:color="000000" w:fill="002060"/>
            <w:noWrap/>
            <w:vAlign w:val="center"/>
            <w:hideMark/>
          </w:tcPr>
          <w:p w14:paraId="02C79259" w14:textId="77777777" w:rsidR="007826DE" w:rsidRPr="007826DE" w:rsidRDefault="007826DE" w:rsidP="007826DE">
            <w:pPr>
              <w:spacing w:after="0" w:line="240" w:lineRule="auto"/>
              <w:jc w:val="center"/>
              <w:rPr>
                <w:rFonts w:ascii="Calibri" w:eastAsia="Times New Roman" w:hAnsi="Calibri" w:cs="Calibri"/>
                <w:b/>
                <w:bCs/>
                <w:color w:val="FFFFFF"/>
                <w:sz w:val="20"/>
                <w:szCs w:val="20"/>
                <w:lang w:val="en-US"/>
              </w:rPr>
            </w:pPr>
            <w:r w:rsidRPr="007826DE">
              <w:rPr>
                <w:rFonts w:ascii="Calibri" w:eastAsia="Times New Roman" w:hAnsi="Calibri" w:cs="Calibri"/>
                <w:b/>
                <w:bCs/>
                <w:color w:val="FFFFFF"/>
                <w:sz w:val="20"/>
                <w:szCs w:val="20"/>
                <w:lang w:val="en-US"/>
              </w:rPr>
              <w:t>Descripción</w:t>
            </w:r>
          </w:p>
        </w:tc>
        <w:tc>
          <w:tcPr>
            <w:tcW w:w="1275" w:type="dxa"/>
            <w:tcBorders>
              <w:top w:val="nil"/>
              <w:left w:val="nil"/>
              <w:bottom w:val="single" w:sz="8" w:space="0" w:color="auto"/>
              <w:right w:val="single" w:sz="8" w:space="0" w:color="auto"/>
            </w:tcBorders>
            <w:shd w:val="clear" w:color="000000" w:fill="002060"/>
            <w:vAlign w:val="center"/>
            <w:hideMark/>
          </w:tcPr>
          <w:p w14:paraId="3D462411" w14:textId="77777777" w:rsidR="007826DE" w:rsidRPr="007826DE" w:rsidRDefault="007826DE" w:rsidP="007826DE">
            <w:pPr>
              <w:spacing w:after="0" w:line="240" w:lineRule="auto"/>
              <w:jc w:val="center"/>
              <w:rPr>
                <w:rFonts w:ascii="Calibri" w:eastAsia="Times New Roman" w:hAnsi="Calibri" w:cs="Calibri"/>
                <w:b/>
                <w:bCs/>
                <w:color w:val="FFFFFF"/>
                <w:sz w:val="20"/>
                <w:szCs w:val="20"/>
                <w:lang w:val="en-US"/>
              </w:rPr>
            </w:pPr>
            <w:r w:rsidRPr="007826DE">
              <w:rPr>
                <w:rFonts w:ascii="Calibri" w:eastAsia="Times New Roman" w:hAnsi="Calibri" w:cs="Calibri"/>
                <w:b/>
                <w:bCs/>
                <w:color w:val="FFFFFF"/>
                <w:sz w:val="20"/>
                <w:szCs w:val="20"/>
                <w:lang w:val="en-US"/>
              </w:rPr>
              <w:t>Saldo Año Actual</w:t>
            </w:r>
          </w:p>
        </w:tc>
        <w:tc>
          <w:tcPr>
            <w:tcW w:w="1144" w:type="dxa"/>
            <w:tcBorders>
              <w:top w:val="nil"/>
              <w:left w:val="nil"/>
              <w:bottom w:val="single" w:sz="8" w:space="0" w:color="auto"/>
              <w:right w:val="single" w:sz="8" w:space="0" w:color="auto"/>
            </w:tcBorders>
            <w:shd w:val="clear" w:color="000000" w:fill="002060"/>
            <w:vAlign w:val="center"/>
            <w:hideMark/>
          </w:tcPr>
          <w:p w14:paraId="46E281CF" w14:textId="77777777" w:rsidR="007826DE" w:rsidRPr="007826DE" w:rsidRDefault="007826DE" w:rsidP="007826DE">
            <w:pPr>
              <w:spacing w:after="0" w:line="240" w:lineRule="auto"/>
              <w:jc w:val="center"/>
              <w:rPr>
                <w:rFonts w:ascii="Calibri" w:eastAsia="Times New Roman" w:hAnsi="Calibri" w:cs="Calibri"/>
                <w:b/>
                <w:bCs/>
                <w:color w:val="FFFFFF"/>
                <w:sz w:val="20"/>
                <w:szCs w:val="20"/>
                <w:lang w:val="en-US"/>
              </w:rPr>
            </w:pPr>
            <w:r w:rsidRPr="007826DE">
              <w:rPr>
                <w:rFonts w:ascii="Calibri" w:eastAsia="Times New Roman" w:hAnsi="Calibri" w:cs="Calibri"/>
                <w:b/>
                <w:bCs/>
                <w:color w:val="FFFFFF"/>
                <w:sz w:val="20"/>
                <w:szCs w:val="20"/>
                <w:lang w:val="en-US"/>
              </w:rPr>
              <w:t>Saldo Año Anterior</w:t>
            </w:r>
          </w:p>
        </w:tc>
        <w:tc>
          <w:tcPr>
            <w:tcW w:w="1104" w:type="dxa"/>
            <w:tcBorders>
              <w:top w:val="nil"/>
              <w:left w:val="nil"/>
              <w:bottom w:val="single" w:sz="8" w:space="0" w:color="auto"/>
              <w:right w:val="single" w:sz="8" w:space="0" w:color="auto"/>
            </w:tcBorders>
            <w:shd w:val="clear" w:color="000000" w:fill="002060"/>
            <w:vAlign w:val="center"/>
            <w:hideMark/>
          </w:tcPr>
          <w:p w14:paraId="7A9AC6AD" w14:textId="77777777" w:rsidR="007826DE" w:rsidRPr="007826DE" w:rsidRDefault="007826DE" w:rsidP="007826DE">
            <w:pPr>
              <w:spacing w:after="0" w:line="240" w:lineRule="auto"/>
              <w:jc w:val="center"/>
              <w:rPr>
                <w:rFonts w:ascii="Calibri" w:eastAsia="Times New Roman" w:hAnsi="Calibri" w:cs="Calibri"/>
                <w:b/>
                <w:bCs/>
                <w:color w:val="FFFFFF"/>
                <w:sz w:val="20"/>
                <w:szCs w:val="20"/>
                <w:lang w:val="en-US"/>
              </w:rPr>
            </w:pPr>
            <w:r w:rsidRPr="007826DE">
              <w:rPr>
                <w:rFonts w:ascii="Calibri" w:eastAsia="Times New Roman" w:hAnsi="Calibri" w:cs="Calibri"/>
                <w:b/>
                <w:bCs/>
                <w:color w:val="FFFFFF"/>
                <w:sz w:val="20"/>
                <w:szCs w:val="20"/>
                <w:lang w:val="en-US"/>
              </w:rPr>
              <w:t>Variación Absoluta</w:t>
            </w:r>
          </w:p>
        </w:tc>
        <w:tc>
          <w:tcPr>
            <w:tcW w:w="1000" w:type="dxa"/>
            <w:tcBorders>
              <w:top w:val="nil"/>
              <w:left w:val="nil"/>
              <w:bottom w:val="single" w:sz="8" w:space="0" w:color="auto"/>
              <w:right w:val="single" w:sz="8" w:space="0" w:color="auto"/>
            </w:tcBorders>
            <w:shd w:val="clear" w:color="000000" w:fill="002060"/>
            <w:vAlign w:val="center"/>
            <w:hideMark/>
          </w:tcPr>
          <w:p w14:paraId="1EC4CAF1" w14:textId="77777777" w:rsidR="007826DE" w:rsidRPr="007826DE" w:rsidRDefault="007826DE" w:rsidP="007826DE">
            <w:pPr>
              <w:spacing w:after="0" w:line="240" w:lineRule="auto"/>
              <w:jc w:val="center"/>
              <w:rPr>
                <w:rFonts w:ascii="Calibri" w:eastAsia="Times New Roman" w:hAnsi="Calibri" w:cs="Calibri"/>
                <w:b/>
                <w:bCs/>
                <w:color w:val="FFFFFF"/>
                <w:sz w:val="20"/>
                <w:szCs w:val="20"/>
                <w:lang w:val="en-US"/>
              </w:rPr>
            </w:pPr>
            <w:r w:rsidRPr="007826DE">
              <w:rPr>
                <w:rFonts w:ascii="Calibri" w:eastAsia="Times New Roman" w:hAnsi="Calibri" w:cs="Calibri"/>
                <w:b/>
                <w:bCs/>
                <w:color w:val="FFFFFF"/>
                <w:sz w:val="20"/>
                <w:szCs w:val="20"/>
                <w:lang w:val="en-US"/>
              </w:rPr>
              <w:t>Variación %</w:t>
            </w:r>
          </w:p>
        </w:tc>
      </w:tr>
      <w:tr w:rsidR="007826DE" w:rsidRPr="007826DE" w14:paraId="396A7F54" w14:textId="77777777" w:rsidTr="007826DE">
        <w:trPr>
          <w:gridAfter w:val="1"/>
          <w:wAfter w:w="16" w:type="dxa"/>
          <w:trHeight w:val="240"/>
        </w:trPr>
        <w:tc>
          <w:tcPr>
            <w:tcW w:w="1202" w:type="dxa"/>
            <w:tcBorders>
              <w:top w:val="nil"/>
              <w:left w:val="single" w:sz="8" w:space="0" w:color="auto"/>
              <w:bottom w:val="single" w:sz="8" w:space="0" w:color="auto"/>
              <w:right w:val="single" w:sz="8" w:space="0" w:color="auto"/>
            </w:tcBorders>
            <w:shd w:val="clear" w:color="000000" w:fill="DBDBDB"/>
            <w:noWrap/>
            <w:vAlign w:val="bottom"/>
            <w:hideMark/>
          </w:tcPr>
          <w:p w14:paraId="66AD3496" w14:textId="77777777" w:rsidR="007826DE" w:rsidRPr="007826DE" w:rsidRDefault="007826DE" w:rsidP="007826DE">
            <w:pPr>
              <w:spacing w:after="0" w:line="240" w:lineRule="auto"/>
              <w:jc w:val="left"/>
              <w:rPr>
                <w:rFonts w:eastAsia="Times New Roman" w:cs="Calibri"/>
                <w:b/>
                <w:bCs/>
                <w:color w:val="000000"/>
                <w:sz w:val="18"/>
                <w:szCs w:val="18"/>
                <w:lang w:val="en-US"/>
              </w:rPr>
            </w:pPr>
            <w:r w:rsidRPr="007826DE">
              <w:rPr>
                <w:rFonts w:eastAsia="Times New Roman" w:cs="Calibri"/>
                <w:b/>
                <w:bCs/>
                <w:color w:val="000000"/>
                <w:sz w:val="18"/>
                <w:szCs w:val="18"/>
                <w:lang w:val="en-US"/>
              </w:rPr>
              <w:t>1.1.4.01.01.</w:t>
            </w:r>
          </w:p>
        </w:tc>
        <w:tc>
          <w:tcPr>
            <w:tcW w:w="3466" w:type="dxa"/>
            <w:tcBorders>
              <w:top w:val="nil"/>
              <w:left w:val="nil"/>
              <w:bottom w:val="single" w:sz="8" w:space="0" w:color="auto"/>
              <w:right w:val="single" w:sz="8" w:space="0" w:color="auto"/>
            </w:tcBorders>
            <w:shd w:val="clear" w:color="000000" w:fill="DBDBDB"/>
            <w:vAlign w:val="bottom"/>
            <w:hideMark/>
          </w:tcPr>
          <w:p w14:paraId="1DC74F69" w14:textId="77777777" w:rsidR="007826DE" w:rsidRPr="007826DE" w:rsidRDefault="007826DE" w:rsidP="007826DE">
            <w:pPr>
              <w:spacing w:after="0" w:line="240" w:lineRule="auto"/>
              <w:jc w:val="left"/>
              <w:rPr>
                <w:rFonts w:eastAsia="Times New Roman" w:cs="Calibri"/>
                <w:b/>
                <w:bCs/>
                <w:color w:val="000000"/>
                <w:sz w:val="18"/>
                <w:szCs w:val="18"/>
                <w:lang w:val="en-US"/>
              </w:rPr>
            </w:pPr>
            <w:r w:rsidRPr="007826DE">
              <w:rPr>
                <w:rFonts w:eastAsia="Times New Roman" w:cs="Calibri"/>
                <w:b/>
                <w:bCs/>
                <w:color w:val="000000"/>
                <w:sz w:val="18"/>
                <w:szCs w:val="18"/>
                <w:lang w:val="en-US"/>
              </w:rPr>
              <w:t>Productos químicos y conexos</w:t>
            </w:r>
          </w:p>
        </w:tc>
        <w:tc>
          <w:tcPr>
            <w:tcW w:w="1275" w:type="dxa"/>
            <w:tcBorders>
              <w:top w:val="nil"/>
              <w:left w:val="nil"/>
              <w:bottom w:val="single" w:sz="8" w:space="0" w:color="auto"/>
              <w:right w:val="single" w:sz="8" w:space="0" w:color="auto"/>
            </w:tcBorders>
            <w:shd w:val="clear" w:color="000000" w:fill="DBDBDB"/>
            <w:noWrap/>
            <w:vAlign w:val="bottom"/>
            <w:hideMark/>
          </w:tcPr>
          <w:p w14:paraId="023E3EB9" w14:textId="77777777" w:rsidR="007826DE" w:rsidRPr="007826DE" w:rsidRDefault="007826DE" w:rsidP="007826DE">
            <w:pPr>
              <w:spacing w:after="0" w:line="240" w:lineRule="auto"/>
              <w:jc w:val="right"/>
              <w:rPr>
                <w:rFonts w:eastAsia="Times New Roman" w:cs="Calibri"/>
                <w:b/>
                <w:bCs/>
                <w:color w:val="000000"/>
                <w:sz w:val="18"/>
                <w:szCs w:val="18"/>
                <w:lang w:val="en-US"/>
              </w:rPr>
            </w:pPr>
            <w:r w:rsidRPr="007826DE">
              <w:rPr>
                <w:rFonts w:ascii="Arial" w:eastAsia="Times New Roman" w:hAnsi="Arial" w:cs="Arial"/>
                <w:b/>
                <w:bCs/>
                <w:color w:val="000000"/>
                <w:sz w:val="18"/>
                <w:szCs w:val="18"/>
                <w:lang w:val="en-US"/>
              </w:rPr>
              <w:t>₡</w:t>
            </w:r>
            <w:r w:rsidRPr="007826DE">
              <w:rPr>
                <w:rFonts w:eastAsia="Times New Roman" w:cs="Calibri"/>
                <w:b/>
                <w:bCs/>
                <w:color w:val="000000"/>
                <w:sz w:val="18"/>
                <w:szCs w:val="18"/>
                <w:lang w:val="en-US"/>
              </w:rPr>
              <w:t>16 476,96</w:t>
            </w:r>
          </w:p>
        </w:tc>
        <w:tc>
          <w:tcPr>
            <w:tcW w:w="1144" w:type="dxa"/>
            <w:tcBorders>
              <w:top w:val="nil"/>
              <w:left w:val="nil"/>
              <w:bottom w:val="single" w:sz="8" w:space="0" w:color="auto"/>
              <w:right w:val="single" w:sz="8" w:space="0" w:color="auto"/>
            </w:tcBorders>
            <w:shd w:val="clear" w:color="000000" w:fill="DBDBDB"/>
            <w:noWrap/>
            <w:vAlign w:val="bottom"/>
            <w:hideMark/>
          </w:tcPr>
          <w:p w14:paraId="28F8EEF0" w14:textId="77777777" w:rsidR="007826DE" w:rsidRPr="007826DE" w:rsidRDefault="007826DE" w:rsidP="007826DE">
            <w:pPr>
              <w:spacing w:after="0" w:line="240" w:lineRule="auto"/>
              <w:jc w:val="right"/>
              <w:rPr>
                <w:rFonts w:eastAsia="Times New Roman" w:cs="Calibri"/>
                <w:b/>
                <w:bCs/>
                <w:color w:val="000000"/>
                <w:sz w:val="18"/>
                <w:szCs w:val="18"/>
                <w:lang w:val="en-US"/>
              </w:rPr>
            </w:pPr>
            <w:r w:rsidRPr="007826DE">
              <w:rPr>
                <w:rFonts w:ascii="Arial" w:eastAsia="Times New Roman" w:hAnsi="Arial" w:cs="Arial"/>
                <w:b/>
                <w:bCs/>
                <w:color w:val="000000"/>
                <w:sz w:val="18"/>
                <w:szCs w:val="18"/>
                <w:lang w:val="en-US"/>
              </w:rPr>
              <w:t>₡</w:t>
            </w:r>
            <w:r w:rsidRPr="007826DE">
              <w:rPr>
                <w:rFonts w:eastAsia="Times New Roman" w:cs="Calibri"/>
                <w:b/>
                <w:bCs/>
                <w:color w:val="000000"/>
                <w:sz w:val="18"/>
                <w:szCs w:val="18"/>
                <w:lang w:val="en-US"/>
              </w:rPr>
              <w:t>13 518,84</w:t>
            </w:r>
          </w:p>
        </w:tc>
        <w:tc>
          <w:tcPr>
            <w:tcW w:w="1104" w:type="dxa"/>
            <w:tcBorders>
              <w:top w:val="nil"/>
              <w:left w:val="nil"/>
              <w:bottom w:val="single" w:sz="8" w:space="0" w:color="auto"/>
              <w:right w:val="single" w:sz="8" w:space="0" w:color="auto"/>
            </w:tcBorders>
            <w:shd w:val="clear" w:color="000000" w:fill="DBDBDB"/>
            <w:noWrap/>
            <w:vAlign w:val="bottom"/>
            <w:hideMark/>
          </w:tcPr>
          <w:p w14:paraId="70F33BB6" w14:textId="77777777" w:rsidR="007826DE" w:rsidRPr="007826DE" w:rsidRDefault="007826DE" w:rsidP="007826DE">
            <w:pPr>
              <w:spacing w:after="0" w:line="240" w:lineRule="auto"/>
              <w:jc w:val="right"/>
              <w:rPr>
                <w:rFonts w:eastAsia="Times New Roman" w:cs="Calibri"/>
                <w:b/>
                <w:bCs/>
                <w:color w:val="000000"/>
                <w:sz w:val="18"/>
                <w:szCs w:val="18"/>
                <w:lang w:val="en-US"/>
              </w:rPr>
            </w:pPr>
            <w:r w:rsidRPr="007826DE">
              <w:rPr>
                <w:rFonts w:ascii="Arial" w:eastAsia="Times New Roman" w:hAnsi="Arial" w:cs="Arial"/>
                <w:b/>
                <w:bCs/>
                <w:color w:val="000000"/>
                <w:sz w:val="18"/>
                <w:szCs w:val="18"/>
                <w:lang w:val="en-US"/>
              </w:rPr>
              <w:t>₡</w:t>
            </w:r>
            <w:r w:rsidRPr="007826DE">
              <w:rPr>
                <w:rFonts w:eastAsia="Times New Roman" w:cs="Calibri"/>
                <w:b/>
                <w:bCs/>
                <w:color w:val="000000"/>
                <w:sz w:val="18"/>
                <w:szCs w:val="18"/>
                <w:lang w:val="en-US"/>
              </w:rPr>
              <w:t>2 958,12</w:t>
            </w:r>
          </w:p>
        </w:tc>
        <w:tc>
          <w:tcPr>
            <w:tcW w:w="1000" w:type="dxa"/>
            <w:tcBorders>
              <w:top w:val="nil"/>
              <w:left w:val="nil"/>
              <w:bottom w:val="nil"/>
              <w:right w:val="single" w:sz="8" w:space="0" w:color="auto"/>
            </w:tcBorders>
            <w:shd w:val="clear" w:color="000000" w:fill="DBDBDB"/>
            <w:noWrap/>
            <w:vAlign w:val="bottom"/>
            <w:hideMark/>
          </w:tcPr>
          <w:p w14:paraId="3E46B3BF" w14:textId="77777777" w:rsidR="007826DE" w:rsidRPr="007826DE" w:rsidRDefault="007826DE" w:rsidP="007826DE">
            <w:pPr>
              <w:spacing w:after="0" w:line="240" w:lineRule="auto"/>
              <w:jc w:val="center"/>
              <w:rPr>
                <w:rFonts w:eastAsia="Times New Roman" w:cs="Calibri"/>
                <w:b/>
                <w:bCs/>
                <w:color w:val="000000"/>
                <w:sz w:val="18"/>
                <w:szCs w:val="18"/>
                <w:lang w:val="en-US"/>
              </w:rPr>
            </w:pPr>
            <w:r w:rsidRPr="007826DE">
              <w:rPr>
                <w:rFonts w:eastAsia="Times New Roman" w:cs="Calibri"/>
                <w:b/>
                <w:bCs/>
                <w:color w:val="000000"/>
                <w:sz w:val="18"/>
                <w:szCs w:val="18"/>
                <w:lang w:val="en-US"/>
              </w:rPr>
              <w:t>21,88%</w:t>
            </w:r>
          </w:p>
        </w:tc>
      </w:tr>
      <w:tr w:rsidR="007826DE" w:rsidRPr="007826DE" w14:paraId="4F827D16" w14:textId="77777777" w:rsidTr="007826DE">
        <w:trPr>
          <w:gridAfter w:val="1"/>
          <w:wAfter w:w="16" w:type="dxa"/>
          <w:trHeight w:val="230"/>
        </w:trPr>
        <w:tc>
          <w:tcPr>
            <w:tcW w:w="1202" w:type="dxa"/>
            <w:tcBorders>
              <w:top w:val="nil"/>
              <w:left w:val="single" w:sz="8" w:space="0" w:color="auto"/>
              <w:bottom w:val="nil"/>
              <w:right w:val="single" w:sz="8" w:space="0" w:color="auto"/>
            </w:tcBorders>
            <w:shd w:val="clear" w:color="auto" w:fill="auto"/>
            <w:noWrap/>
            <w:vAlign w:val="bottom"/>
            <w:hideMark/>
          </w:tcPr>
          <w:p w14:paraId="45A3844B" w14:textId="77777777" w:rsidR="007826DE" w:rsidRPr="007826DE" w:rsidRDefault="007826DE" w:rsidP="007826DE">
            <w:pPr>
              <w:spacing w:after="0" w:line="240" w:lineRule="auto"/>
              <w:jc w:val="left"/>
              <w:rPr>
                <w:rFonts w:eastAsia="Times New Roman" w:cs="Calibri"/>
                <w:color w:val="000000"/>
                <w:sz w:val="18"/>
                <w:szCs w:val="18"/>
                <w:lang w:val="en-US"/>
              </w:rPr>
            </w:pPr>
            <w:r w:rsidRPr="007826DE">
              <w:rPr>
                <w:rFonts w:eastAsia="Times New Roman" w:cs="Calibri"/>
                <w:color w:val="000000"/>
                <w:sz w:val="18"/>
                <w:szCs w:val="18"/>
                <w:lang w:val="en-US"/>
              </w:rPr>
              <w:t>1.1.4.01.01.01.</w:t>
            </w:r>
          </w:p>
        </w:tc>
        <w:tc>
          <w:tcPr>
            <w:tcW w:w="3466" w:type="dxa"/>
            <w:tcBorders>
              <w:top w:val="nil"/>
              <w:left w:val="nil"/>
              <w:bottom w:val="nil"/>
              <w:right w:val="single" w:sz="8" w:space="0" w:color="auto"/>
            </w:tcBorders>
            <w:shd w:val="clear" w:color="auto" w:fill="auto"/>
            <w:vAlign w:val="bottom"/>
            <w:hideMark/>
          </w:tcPr>
          <w:p w14:paraId="2D1715BA" w14:textId="77777777" w:rsidR="007826DE" w:rsidRPr="007826DE" w:rsidRDefault="007826DE" w:rsidP="007826DE">
            <w:pPr>
              <w:spacing w:after="0" w:line="240" w:lineRule="auto"/>
              <w:jc w:val="left"/>
              <w:rPr>
                <w:rFonts w:eastAsia="Times New Roman" w:cs="Calibri"/>
                <w:color w:val="000000"/>
                <w:sz w:val="18"/>
                <w:szCs w:val="18"/>
                <w:lang w:val="en-US"/>
              </w:rPr>
            </w:pPr>
            <w:r w:rsidRPr="007826DE">
              <w:rPr>
                <w:rFonts w:eastAsia="Times New Roman" w:cs="Calibri"/>
                <w:color w:val="000000"/>
                <w:sz w:val="18"/>
                <w:szCs w:val="18"/>
                <w:lang w:val="en-US"/>
              </w:rPr>
              <w:t>Combustibles y lubricantes</w:t>
            </w:r>
          </w:p>
        </w:tc>
        <w:tc>
          <w:tcPr>
            <w:tcW w:w="1275" w:type="dxa"/>
            <w:tcBorders>
              <w:top w:val="nil"/>
              <w:left w:val="nil"/>
              <w:bottom w:val="nil"/>
              <w:right w:val="single" w:sz="8" w:space="0" w:color="auto"/>
            </w:tcBorders>
            <w:shd w:val="clear" w:color="000000" w:fill="FFFFFF"/>
            <w:noWrap/>
            <w:vAlign w:val="bottom"/>
            <w:hideMark/>
          </w:tcPr>
          <w:p w14:paraId="69A94A4C"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12 497,55</w:t>
            </w:r>
          </w:p>
        </w:tc>
        <w:tc>
          <w:tcPr>
            <w:tcW w:w="1144" w:type="dxa"/>
            <w:tcBorders>
              <w:top w:val="nil"/>
              <w:left w:val="nil"/>
              <w:bottom w:val="nil"/>
              <w:right w:val="single" w:sz="8" w:space="0" w:color="auto"/>
            </w:tcBorders>
            <w:shd w:val="clear" w:color="000000" w:fill="FFFFFF"/>
            <w:noWrap/>
            <w:vAlign w:val="bottom"/>
            <w:hideMark/>
          </w:tcPr>
          <w:p w14:paraId="1E943BA0"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11 148,28</w:t>
            </w:r>
          </w:p>
        </w:tc>
        <w:tc>
          <w:tcPr>
            <w:tcW w:w="1104" w:type="dxa"/>
            <w:tcBorders>
              <w:top w:val="nil"/>
              <w:left w:val="nil"/>
              <w:bottom w:val="nil"/>
              <w:right w:val="nil"/>
            </w:tcBorders>
            <w:shd w:val="clear" w:color="auto" w:fill="auto"/>
            <w:noWrap/>
            <w:vAlign w:val="bottom"/>
            <w:hideMark/>
          </w:tcPr>
          <w:p w14:paraId="37C01FD3"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1 349,27</w:t>
            </w:r>
          </w:p>
        </w:tc>
        <w:tc>
          <w:tcPr>
            <w:tcW w:w="1000" w:type="dxa"/>
            <w:tcBorders>
              <w:top w:val="single" w:sz="8" w:space="0" w:color="auto"/>
              <w:left w:val="single" w:sz="8" w:space="0" w:color="auto"/>
              <w:bottom w:val="nil"/>
              <w:right w:val="single" w:sz="8" w:space="0" w:color="auto"/>
            </w:tcBorders>
            <w:shd w:val="clear" w:color="auto" w:fill="auto"/>
            <w:noWrap/>
            <w:vAlign w:val="bottom"/>
            <w:hideMark/>
          </w:tcPr>
          <w:p w14:paraId="6091AC0E"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12,10%</w:t>
            </w:r>
          </w:p>
        </w:tc>
      </w:tr>
      <w:tr w:rsidR="007826DE" w:rsidRPr="007826DE" w14:paraId="75F3F42E" w14:textId="77777777" w:rsidTr="007826DE">
        <w:trPr>
          <w:gridAfter w:val="1"/>
          <w:wAfter w:w="16" w:type="dxa"/>
          <w:trHeight w:val="230"/>
        </w:trPr>
        <w:tc>
          <w:tcPr>
            <w:tcW w:w="1202" w:type="dxa"/>
            <w:tcBorders>
              <w:top w:val="nil"/>
              <w:left w:val="single" w:sz="8" w:space="0" w:color="auto"/>
              <w:bottom w:val="nil"/>
              <w:right w:val="single" w:sz="8" w:space="0" w:color="auto"/>
            </w:tcBorders>
            <w:shd w:val="clear" w:color="auto" w:fill="auto"/>
            <w:noWrap/>
            <w:vAlign w:val="bottom"/>
            <w:hideMark/>
          </w:tcPr>
          <w:p w14:paraId="5C059353" w14:textId="77777777" w:rsidR="007826DE" w:rsidRPr="007826DE" w:rsidRDefault="007826DE" w:rsidP="007826DE">
            <w:pPr>
              <w:spacing w:after="0" w:line="240" w:lineRule="auto"/>
              <w:jc w:val="left"/>
              <w:rPr>
                <w:rFonts w:eastAsia="Times New Roman" w:cs="Calibri"/>
                <w:color w:val="000000"/>
                <w:sz w:val="18"/>
                <w:szCs w:val="18"/>
                <w:lang w:val="en-US"/>
              </w:rPr>
            </w:pPr>
            <w:r w:rsidRPr="007826DE">
              <w:rPr>
                <w:rFonts w:eastAsia="Times New Roman" w:cs="Calibri"/>
                <w:color w:val="000000"/>
                <w:sz w:val="18"/>
                <w:szCs w:val="18"/>
                <w:lang w:val="en-US"/>
              </w:rPr>
              <w:t>1.1.4.01.01.02.</w:t>
            </w:r>
          </w:p>
        </w:tc>
        <w:tc>
          <w:tcPr>
            <w:tcW w:w="3466" w:type="dxa"/>
            <w:tcBorders>
              <w:top w:val="nil"/>
              <w:left w:val="nil"/>
              <w:bottom w:val="nil"/>
              <w:right w:val="single" w:sz="8" w:space="0" w:color="auto"/>
            </w:tcBorders>
            <w:shd w:val="clear" w:color="auto" w:fill="auto"/>
            <w:vAlign w:val="bottom"/>
            <w:hideMark/>
          </w:tcPr>
          <w:p w14:paraId="5CF1CB4A" w14:textId="77777777" w:rsidR="007826DE" w:rsidRPr="007826DE" w:rsidRDefault="007826DE" w:rsidP="007826DE">
            <w:pPr>
              <w:spacing w:after="0" w:line="240" w:lineRule="auto"/>
              <w:jc w:val="left"/>
              <w:rPr>
                <w:rFonts w:eastAsia="Times New Roman" w:cs="Calibri"/>
                <w:color w:val="000000"/>
                <w:sz w:val="18"/>
                <w:szCs w:val="18"/>
                <w:lang w:val="en-US"/>
              </w:rPr>
            </w:pPr>
            <w:r w:rsidRPr="007826DE">
              <w:rPr>
                <w:rFonts w:eastAsia="Times New Roman" w:cs="Calibri"/>
                <w:color w:val="000000"/>
                <w:sz w:val="18"/>
                <w:szCs w:val="18"/>
                <w:lang w:val="en-US"/>
              </w:rPr>
              <w:t>Productos farmacéuticos y medicinales</w:t>
            </w:r>
          </w:p>
        </w:tc>
        <w:tc>
          <w:tcPr>
            <w:tcW w:w="1275" w:type="dxa"/>
            <w:tcBorders>
              <w:top w:val="nil"/>
              <w:left w:val="nil"/>
              <w:bottom w:val="nil"/>
              <w:right w:val="single" w:sz="8" w:space="0" w:color="auto"/>
            </w:tcBorders>
            <w:shd w:val="clear" w:color="000000" w:fill="FFFFFF"/>
            <w:noWrap/>
            <w:vAlign w:val="bottom"/>
            <w:hideMark/>
          </w:tcPr>
          <w:p w14:paraId="4310C48D"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0,00</w:t>
            </w:r>
          </w:p>
        </w:tc>
        <w:tc>
          <w:tcPr>
            <w:tcW w:w="1144" w:type="dxa"/>
            <w:tcBorders>
              <w:top w:val="nil"/>
              <w:left w:val="nil"/>
              <w:bottom w:val="nil"/>
              <w:right w:val="single" w:sz="8" w:space="0" w:color="auto"/>
            </w:tcBorders>
            <w:shd w:val="clear" w:color="000000" w:fill="FFFFFF"/>
            <w:noWrap/>
            <w:vAlign w:val="bottom"/>
            <w:hideMark/>
          </w:tcPr>
          <w:p w14:paraId="755139EC"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0,00</w:t>
            </w:r>
          </w:p>
        </w:tc>
        <w:tc>
          <w:tcPr>
            <w:tcW w:w="1104" w:type="dxa"/>
            <w:tcBorders>
              <w:top w:val="nil"/>
              <w:left w:val="nil"/>
              <w:bottom w:val="nil"/>
              <w:right w:val="nil"/>
            </w:tcBorders>
            <w:shd w:val="clear" w:color="auto" w:fill="auto"/>
            <w:noWrap/>
            <w:vAlign w:val="bottom"/>
            <w:hideMark/>
          </w:tcPr>
          <w:p w14:paraId="482817BB"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0,00</w:t>
            </w:r>
          </w:p>
        </w:tc>
        <w:tc>
          <w:tcPr>
            <w:tcW w:w="1000" w:type="dxa"/>
            <w:tcBorders>
              <w:top w:val="nil"/>
              <w:left w:val="single" w:sz="8" w:space="0" w:color="auto"/>
              <w:bottom w:val="nil"/>
              <w:right w:val="single" w:sz="8" w:space="0" w:color="auto"/>
            </w:tcBorders>
            <w:shd w:val="clear" w:color="auto" w:fill="auto"/>
            <w:noWrap/>
            <w:vAlign w:val="bottom"/>
            <w:hideMark/>
          </w:tcPr>
          <w:p w14:paraId="45234AA8" w14:textId="77777777" w:rsidR="007826DE" w:rsidRPr="007826DE" w:rsidRDefault="007826DE" w:rsidP="007826DE">
            <w:pPr>
              <w:spacing w:after="0" w:line="240" w:lineRule="auto"/>
              <w:jc w:val="center"/>
              <w:rPr>
                <w:rFonts w:eastAsia="Times New Roman" w:cs="Calibri"/>
                <w:color w:val="000000"/>
                <w:sz w:val="18"/>
                <w:szCs w:val="18"/>
                <w:lang w:val="en-US"/>
              </w:rPr>
            </w:pPr>
            <w:r w:rsidRPr="007826DE">
              <w:rPr>
                <w:rFonts w:eastAsia="Times New Roman" w:cs="Calibri"/>
                <w:color w:val="000000"/>
                <w:sz w:val="18"/>
                <w:szCs w:val="18"/>
                <w:lang w:val="en-US"/>
              </w:rPr>
              <w:t>#DIV/0!</w:t>
            </w:r>
          </w:p>
        </w:tc>
      </w:tr>
      <w:tr w:rsidR="007826DE" w:rsidRPr="007826DE" w14:paraId="00F45AFF" w14:textId="77777777" w:rsidTr="007826DE">
        <w:trPr>
          <w:gridAfter w:val="1"/>
          <w:wAfter w:w="16" w:type="dxa"/>
          <w:trHeight w:val="230"/>
        </w:trPr>
        <w:tc>
          <w:tcPr>
            <w:tcW w:w="1202" w:type="dxa"/>
            <w:tcBorders>
              <w:top w:val="nil"/>
              <w:left w:val="single" w:sz="8" w:space="0" w:color="auto"/>
              <w:bottom w:val="nil"/>
              <w:right w:val="single" w:sz="8" w:space="0" w:color="auto"/>
            </w:tcBorders>
            <w:shd w:val="clear" w:color="auto" w:fill="auto"/>
            <w:noWrap/>
            <w:vAlign w:val="bottom"/>
            <w:hideMark/>
          </w:tcPr>
          <w:p w14:paraId="2AEB9128" w14:textId="77777777" w:rsidR="007826DE" w:rsidRPr="007826DE" w:rsidRDefault="007826DE" w:rsidP="007826DE">
            <w:pPr>
              <w:spacing w:after="0" w:line="240" w:lineRule="auto"/>
              <w:jc w:val="left"/>
              <w:rPr>
                <w:rFonts w:eastAsia="Times New Roman" w:cs="Calibri"/>
                <w:color w:val="000000"/>
                <w:sz w:val="18"/>
                <w:szCs w:val="18"/>
                <w:lang w:val="en-US"/>
              </w:rPr>
            </w:pPr>
            <w:r w:rsidRPr="007826DE">
              <w:rPr>
                <w:rFonts w:eastAsia="Times New Roman" w:cs="Calibri"/>
                <w:color w:val="000000"/>
                <w:sz w:val="18"/>
                <w:szCs w:val="18"/>
                <w:lang w:val="en-US"/>
              </w:rPr>
              <w:t>1.1.4.01.01.04.</w:t>
            </w:r>
          </w:p>
        </w:tc>
        <w:tc>
          <w:tcPr>
            <w:tcW w:w="3466" w:type="dxa"/>
            <w:tcBorders>
              <w:top w:val="nil"/>
              <w:left w:val="nil"/>
              <w:bottom w:val="nil"/>
              <w:right w:val="single" w:sz="8" w:space="0" w:color="auto"/>
            </w:tcBorders>
            <w:shd w:val="clear" w:color="auto" w:fill="auto"/>
            <w:vAlign w:val="bottom"/>
            <w:hideMark/>
          </w:tcPr>
          <w:p w14:paraId="2A2C7C88" w14:textId="77777777" w:rsidR="007826DE" w:rsidRPr="007826DE" w:rsidRDefault="007826DE" w:rsidP="007826DE">
            <w:pPr>
              <w:spacing w:after="0" w:line="240" w:lineRule="auto"/>
              <w:jc w:val="left"/>
              <w:rPr>
                <w:rFonts w:eastAsia="Times New Roman" w:cs="Calibri"/>
                <w:color w:val="000000"/>
                <w:sz w:val="18"/>
                <w:szCs w:val="18"/>
                <w:lang w:val="en-US"/>
              </w:rPr>
            </w:pPr>
            <w:r w:rsidRPr="007826DE">
              <w:rPr>
                <w:rFonts w:eastAsia="Times New Roman" w:cs="Calibri"/>
                <w:color w:val="000000"/>
                <w:sz w:val="18"/>
                <w:szCs w:val="18"/>
                <w:lang w:val="en-US"/>
              </w:rPr>
              <w:t>Tintas, pinturas y diluyentes</w:t>
            </w:r>
          </w:p>
        </w:tc>
        <w:tc>
          <w:tcPr>
            <w:tcW w:w="1275" w:type="dxa"/>
            <w:tcBorders>
              <w:top w:val="nil"/>
              <w:left w:val="nil"/>
              <w:bottom w:val="nil"/>
              <w:right w:val="single" w:sz="8" w:space="0" w:color="auto"/>
            </w:tcBorders>
            <w:shd w:val="clear" w:color="000000" w:fill="FFFFFF"/>
            <w:noWrap/>
            <w:vAlign w:val="bottom"/>
            <w:hideMark/>
          </w:tcPr>
          <w:p w14:paraId="07B22E73"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3 454,64</w:t>
            </w:r>
          </w:p>
        </w:tc>
        <w:tc>
          <w:tcPr>
            <w:tcW w:w="1144" w:type="dxa"/>
            <w:tcBorders>
              <w:top w:val="nil"/>
              <w:left w:val="nil"/>
              <w:bottom w:val="nil"/>
              <w:right w:val="single" w:sz="8" w:space="0" w:color="auto"/>
            </w:tcBorders>
            <w:shd w:val="clear" w:color="000000" w:fill="FFFFFF"/>
            <w:noWrap/>
            <w:vAlign w:val="bottom"/>
            <w:hideMark/>
          </w:tcPr>
          <w:p w14:paraId="59AC985D"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1 964,87</w:t>
            </w:r>
          </w:p>
        </w:tc>
        <w:tc>
          <w:tcPr>
            <w:tcW w:w="1104" w:type="dxa"/>
            <w:tcBorders>
              <w:top w:val="nil"/>
              <w:left w:val="nil"/>
              <w:bottom w:val="nil"/>
              <w:right w:val="nil"/>
            </w:tcBorders>
            <w:shd w:val="clear" w:color="auto" w:fill="auto"/>
            <w:noWrap/>
            <w:vAlign w:val="bottom"/>
            <w:hideMark/>
          </w:tcPr>
          <w:p w14:paraId="4D5E1687"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1 489,77</w:t>
            </w:r>
          </w:p>
        </w:tc>
        <w:tc>
          <w:tcPr>
            <w:tcW w:w="1000" w:type="dxa"/>
            <w:tcBorders>
              <w:top w:val="nil"/>
              <w:left w:val="single" w:sz="8" w:space="0" w:color="auto"/>
              <w:bottom w:val="nil"/>
              <w:right w:val="single" w:sz="8" w:space="0" w:color="auto"/>
            </w:tcBorders>
            <w:shd w:val="clear" w:color="auto" w:fill="auto"/>
            <w:noWrap/>
            <w:vAlign w:val="bottom"/>
            <w:hideMark/>
          </w:tcPr>
          <w:p w14:paraId="2D9324B7" w14:textId="77777777" w:rsidR="007826DE" w:rsidRPr="007826DE" w:rsidRDefault="007826DE" w:rsidP="007826DE">
            <w:pPr>
              <w:spacing w:after="0" w:line="240" w:lineRule="auto"/>
              <w:jc w:val="center"/>
              <w:rPr>
                <w:rFonts w:eastAsia="Times New Roman" w:cs="Calibri"/>
                <w:color w:val="000000"/>
                <w:sz w:val="18"/>
                <w:szCs w:val="18"/>
                <w:lang w:val="en-US"/>
              </w:rPr>
            </w:pPr>
            <w:r w:rsidRPr="007826DE">
              <w:rPr>
                <w:rFonts w:eastAsia="Times New Roman" w:cs="Calibri"/>
                <w:color w:val="000000"/>
                <w:sz w:val="18"/>
                <w:szCs w:val="18"/>
                <w:lang w:val="en-US"/>
              </w:rPr>
              <w:t>75,82%</w:t>
            </w:r>
          </w:p>
        </w:tc>
      </w:tr>
      <w:tr w:rsidR="007826DE" w:rsidRPr="007826DE" w14:paraId="3A88AFE6" w14:textId="77777777" w:rsidTr="007826DE">
        <w:trPr>
          <w:gridAfter w:val="1"/>
          <w:wAfter w:w="16" w:type="dxa"/>
          <w:trHeight w:val="240"/>
        </w:trPr>
        <w:tc>
          <w:tcPr>
            <w:tcW w:w="1202" w:type="dxa"/>
            <w:tcBorders>
              <w:top w:val="nil"/>
              <w:left w:val="single" w:sz="8" w:space="0" w:color="auto"/>
              <w:bottom w:val="nil"/>
              <w:right w:val="single" w:sz="8" w:space="0" w:color="auto"/>
            </w:tcBorders>
            <w:shd w:val="clear" w:color="auto" w:fill="auto"/>
            <w:noWrap/>
            <w:vAlign w:val="bottom"/>
            <w:hideMark/>
          </w:tcPr>
          <w:p w14:paraId="3953AC4C" w14:textId="77777777" w:rsidR="007826DE" w:rsidRPr="007826DE" w:rsidRDefault="007826DE" w:rsidP="007826DE">
            <w:pPr>
              <w:spacing w:after="0" w:line="240" w:lineRule="auto"/>
              <w:jc w:val="left"/>
              <w:rPr>
                <w:rFonts w:eastAsia="Times New Roman" w:cs="Calibri"/>
                <w:color w:val="000000"/>
                <w:sz w:val="18"/>
                <w:szCs w:val="18"/>
                <w:lang w:val="en-US"/>
              </w:rPr>
            </w:pPr>
            <w:r w:rsidRPr="007826DE">
              <w:rPr>
                <w:rFonts w:eastAsia="Times New Roman" w:cs="Calibri"/>
                <w:color w:val="000000"/>
                <w:sz w:val="18"/>
                <w:szCs w:val="18"/>
                <w:lang w:val="en-US"/>
              </w:rPr>
              <w:t>1.1.4.01.01.99.</w:t>
            </w:r>
          </w:p>
        </w:tc>
        <w:tc>
          <w:tcPr>
            <w:tcW w:w="3466" w:type="dxa"/>
            <w:tcBorders>
              <w:top w:val="nil"/>
              <w:left w:val="nil"/>
              <w:bottom w:val="nil"/>
              <w:right w:val="single" w:sz="8" w:space="0" w:color="auto"/>
            </w:tcBorders>
            <w:shd w:val="clear" w:color="auto" w:fill="auto"/>
            <w:vAlign w:val="bottom"/>
            <w:hideMark/>
          </w:tcPr>
          <w:p w14:paraId="5A05BA46" w14:textId="77777777" w:rsidR="007826DE" w:rsidRPr="007826DE" w:rsidRDefault="007826DE" w:rsidP="007826DE">
            <w:pPr>
              <w:spacing w:after="0" w:line="240" w:lineRule="auto"/>
              <w:jc w:val="left"/>
              <w:rPr>
                <w:rFonts w:eastAsia="Times New Roman" w:cs="Calibri"/>
                <w:color w:val="000000"/>
                <w:sz w:val="18"/>
                <w:szCs w:val="18"/>
              </w:rPr>
            </w:pPr>
            <w:r w:rsidRPr="007826DE">
              <w:rPr>
                <w:rFonts w:eastAsia="Times New Roman" w:cs="Calibri"/>
                <w:color w:val="000000"/>
                <w:sz w:val="18"/>
                <w:szCs w:val="18"/>
              </w:rPr>
              <w:t>Otros productos químicos y conexos</w:t>
            </w:r>
          </w:p>
        </w:tc>
        <w:tc>
          <w:tcPr>
            <w:tcW w:w="1275" w:type="dxa"/>
            <w:tcBorders>
              <w:top w:val="nil"/>
              <w:left w:val="nil"/>
              <w:bottom w:val="nil"/>
              <w:right w:val="single" w:sz="8" w:space="0" w:color="auto"/>
            </w:tcBorders>
            <w:shd w:val="clear" w:color="000000" w:fill="FFFFFF"/>
            <w:noWrap/>
            <w:vAlign w:val="bottom"/>
            <w:hideMark/>
          </w:tcPr>
          <w:p w14:paraId="28C7EC7E"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524,77</w:t>
            </w:r>
          </w:p>
        </w:tc>
        <w:tc>
          <w:tcPr>
            <w:tcW w:w="1144" w:type="dxa"/>
            <w:tcBorders>
              <w:top w:val="nil"/>
              <w:left w:val="nil"/>
              <w:bottom w:val="nil"/>
              <w:right w:val="single" w:sz="8" w:space="0" w:color="auto"/>
            </w:tcBorders>
            <w:shd w:val="clear" w:color="auto" w:fill="auto"/>
            <w:noWrap/>
            <w:vAlign w:val="bottom"/>
            <w:hideMark/>
          </w:tcPr>
          <w:p w14:paraId="18C8682E"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405,69</w:t>
            </w:r>
          </w:p>
        </w:tc>
        <w:tc>
          <w:tcPr>
            <w:tcW w:w="1104" w:type="dxa"/>
            <w:tcBorders>
              <w:top w:val="nil"/>
              <w:left w:val="nil"/>
              <w:bottom w:val="nil"/>
              <w:right w:val="nil"/>
            </w:tcBorders>
            <w:shd w:val="clear" w:color="auto" w:fill="auto"/>
            <w:noWrap/>
            <w:vAlign w:val="bottom"/>
            <w:hideMark/>
          </w:tcPr>
          <w:p w14:paraId="5B516E59"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119,08</w:t>
            </w:r>
          </w:p>
        </w:tc>
        <w:tc>
          <w:tcPr>
            <w:tcW w:w="1000" w:type="dxa"/>
            <w:tcBorders>
              <w:top w:val="nil"/>
              <w:left w:val="single" w:sz="8" w:space="0" w:color="auto"/>
              <w:bottom w:val="single" w:sz="8" w:space="0" w:color="auto"/>
              <w:right w:val="single" w:sz="8" w:space="0" w:color="auto"/>
            </w:tcBorders>
            <w:shd w:val="clear" w:color="auto" w:fill="auto"/>
            <w:noWrap/>
            <w:vAlign w:val="bottom"/>
            <w:hideMark/>
          </w:tcPr>
          <w:p w14:paraId="5E032AAA"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29,35%</w:t>
            </w:r>
          </w:p>
        </w:tc>
      </w:tr>
      <w:tr w:rsidR="007826DE" w:rsidRPr="007826DE" w14:paraId="0899122C" w14:textId="77777777" w:rsidTr="007826DE">
        <w:trPr>
          <w:gridAfter w:val="1"/>
          <w:wAfter w:w="16" w:type="dxa"/>
          <w:trHeight w:val="470"/>
        </w:trPr>
        <w:tc>
          <w:tcPr>
            <w:tcW w:w="1202" w:type="dxa"/>
            <w:tcBorders>
              <w:top w:val="single" w:sz="8" w:space="0" w:color="auto"/>
              <w:left w:val="single" w:sz="8" w:space="0" w:color="auto"/>
              <w:bottom w:val="single" w:sz="8" w:space="0" w:color="auto"/>
              <w:right w:val="single" w:sz="8" w:space="0" w:color="auto"/>
            </w:tcBorders>
            <w:shd w:val="clear" w:color="000000" w:fill="DBDBDB"/>
            <w:noWrap/>
            <w:vAlign w:val="bottom"/>
            <w:hideMark/>
          </w:tcPr>
          <w:p w14:paraId="28D0D2DD" w14:textId="77777777" w:rsidR="007826DE" w:rsidRPr="007826DE" w:rsidRDefault="007826DE" w:rsidP="007826DE">
            <w:pPr>
              <w:spacing w:after="0" w:line="240" w:lineRule="auto"/>
              <w:jc w:val="left"/>
              <w:rPr>
                <w:rFonts w:eastAsia="Times New Roman" w:cs="Calibri"/>
                <w:b/>
                <w:bCs/>
                <w:color w:val="000000"/>
                <w:sz w:val="18"/>
                <w:szCs w:val="18"/>
                <w:lang w:val="en-US"/>
              </w:rPr>
            </w:pPr>
            <w:r w:rsidRPr="007826DE">
              <w:rPr>
                <w:rFonts w:eastAsia="Times New Roman" w:cs="Calibri"/>
                <w:b/>
                <w:bCs/>
                <w:color w:val="000000"/>
                <w:sz w:val="18"/>
                <w:szCs w:val="18"/>
                <w:lang w:val="en-US"/>
              </w:rPr>
              <w:t>1.1.4.01.03.</w:t>
            </w:r>
          </w:p>
        </w:tc>
        <w:tc>
          <w:tcPr>
            <w:tcW w:w="3466" w:type="dxa"/>
            <w:tcBorders>
              <w:top w:val="single" w:sz="8" w:space="0" w:color="auto"/>
              <w:left w:val="nil"/>
              <w:bottom w:val="single" w:sz="8" w:space="0" w:color="auto"/>
              <w:right w:val="single" w:sz="8" w:space="0" w:color="auto"/>
            </w:tcBorders>
            <w:shd w:val="clear" w:color="000000" w:fill="DBDBDB"/>
            <w:vAlign w:val="bottom"/>
            <w:hideMark/>
          </w:tcPr>
          <w:p w14:paraId="6E36269F" w14:textId="77777777" w:rsidR="007826DE" w:rsidRPr="007826DE" w:rsidRDefault="007826DE" w:rsidP="007826DE">
            <w:pPr>
              <w:spacing w:after="0" w:line="240" w:lineRule="auto"/>
              <w:jc w:val="left"/>
              <w:rPr>
                <w:rFonts w:eastAsia="Times New Roman" w:cs="Calibri"/>
                <w:b/>
                <w:bCs/>
                <w:color w:val="000000"/>
                <w:sz w:val="18"/>
                <w:szCs w:val="18"/>
              </w:rPr>
            </w:pPr>
            <w:r w:rsidRPr="007826DE">
              <w:rPr>
                <w:rFonts w:eastAsia="Times New Roman" w:cs="Calibri"/>
                <w:b/>
                <w:bCs/>
                <w:color w:val="000000"/>
                <w:sz w:val="18"/>
                <w:szCs w:val="18"/>
              </w:rPr>
              <w:t>Materiales y productos de uso en la construcción y mantenimiento</w:t>
            </w:r>
          </w:p>
        </w:tc>
        <w:tc>
          <w:tcPr>
            <w:tcW w:w="1275" w:type="dxa"/>
            <w:tcBorders>
              <w:top w:val="single" w:sz="8" w:space="0" w:color="auto"/>
              <w:left w:val="nil"/>
              <w:bottom w:val="single" w:sz="8" w:space="0" w:color="auto"/>
              <w:right w:val="single" w:sz="8" w:space="0" w:color="auto"/>
            </w:tcBorders>
            <w:shd w:val="clear" w:color="000000" w:fill="DBDBDB"/>
            <w:noWrap/>
            <w:vAlign w:val="bottom"/>
            <w:hideMark/>
          </w:tcPr>
          <w:p w14:paraId="2E74A6C3" w14:textId="77777777" w:rsidR="007826DE" w:rsidRPr="007826DE" w:rsidRDefault="007826DE" w:rsidP="007826DE">
            <w:pPr>
              <w:spacing w:after="0" w:line="240" w:lineRule="auto"/>
              <w:jc w:val="right"/>
              <w:rPr>
                <w:rFonts w:eastAsia="Times New Roman" w:cs="Calibri"/>
                <w:b/>
                <w:bCs/>
                <w:color w:val="000000"/>
                <w:sz w:val="18"/>
                <w:szCs w:val="18"/>
                <w:lang w:val="en-US"/>
              </w:rPr>
            </w:pPr>
            <w:r w:rsidRPr="007826DE">
              <w:rPr>
                <w:rFonts w:ascii="Arial" w:eastAsia="Times New Roman" w:hAnsi="Arial" w:cs="Arial"/>
                <w:b/>
                <w:bCs/>
                <w:color w:val="000000"/>
                <w:sz w:val="18"/>
                <w:szCs w:val="18"/>
                <w:lang w:val="en-US"/>
              </w:rPr>
              <w:t>₡</w:t>
            </w:r>
            <w:r w:rsidRPr="007826DE">
              <w:rPr>
                <w:rFonts w:eastAsia="Times New Roman" w:cs="Calibri"/>
                <w:b/>
                <w:bCs/>
                <w:color w:val="000000"/>
                <w:sz w:val="18"/>
                <w:szCs w:val="18"/>
                <w:lang w:val="en-US"/>
              </w:rPr>
              <w:t>23 898,82</w:t>
            </w:r>
          </w:p>
        </w:tc>
        <w:tc>
          <w:tcPr>
            <w:tcW w:w="1144" w:type="dxa"/>
            <w:tcBorders>
              <w:top w:val="single" w:sz="8" w:space="0" w:color="auto"/>
              <w:left w:val="nil"/>
              <w:bottom w:val="single" w:sz="8" w:space="0" w:color="auto"/>
              <w:right w:val="single" w:sz="8" w:space="0" w:color="auto"/>
            </w:tcBorders>
            <w:shd w:val="clear" w:color="000000" w:fill="DBDBDB"/>
            <w:noWrap/>
            <w:vAlign w:val="bottom"/>
            <w:hideMark/>
          </w:tcPr>
          <w:p w14:paraId="4C2E4A33" w14:textId="77777777" w:rsidR="007826DE" w:rsidRPr="007826DE" w:rsidRDefault="007826DE" w:rsidP="007826DE">
            <w:pPr>
              <w:spacing w:after="0" w:line="240" w:lineRule="auto"/>
              <w:jc w:val="right"/>
              <w:rPr>
                <w:rFonts w:eastAsia="Times New Roman" w:cs="Calibri"/>
                <w:b/>
                <w:bCs/>
                <w:color w:val="000000"/>
                <w:sz w:val="18"/>
                <w:szCs w:val="18"/>
                <w:lang w:val="en-US"/>
              </w:rPr>
            </w:pPr>
            <w:r w:rsidRPr="007826DE">
              <w:rPr>
                <w:rFonts w:ascii="Arial" w:eastAsia="Times New Roman" w:hAnsi="Arial" w:cs="Arial"/>
                <w:b/>
                <w:bCs/>
                <w:color w:val="000000"/>
                <w:sz w:val="18"/>
                <w:szCs w:val="18"/>
                <w:lang w:val="en-US"/>
              </w:rPr>
              <w:t>₡</w:t>
            </w:r>
            <w:r w:rsidRPr="007826DE">
              <w:rPr>
                <w:rFonts w:eastAsia="Times New Roman" w:cs="Calibri"/>
                <w:b/>
                <w:bCs/>
                <w:color w:val="000000"/>
                <w:sz w:val="18"/>
                <w:szCs w:val="18"/>
                <w:lang w:val="en-US"/>
              </w:rPr>
              <w:t>30 113,00</w:t>
            </w:r>
          </w:p>
        </w:tc>
        <w:tc>
          <w:tcPr>
            <w:tcW w:w="1104" w:type="dxa"/>
            <w:tcBorders>
              <w:top w:val="single" w:sz="8" w:space="0" w:color="auto"/>
              <w:left w:val="nil"/>
              <w:bottom w:val="single" w:sz="8" w:space="0" w:color="auto"/>
              <w:right w:val="single" w:sz="8" w:space="0" w:color="auto"/>
            </w:tcBorders>
            <w:shd w:val="clear" w:color="000000" w:fill="DBDBDB"/>
            <w:noWrap/>
            <w:vAlign w:val="bottom"/>
            <w:hideMark/>
          </w:tcPr>
          <w:p w14:paraId="26E16BAF" w14:textId="77777777" w:rsidR="007826DE" w:rsidRPr="007826DE" w:rsidRDefault="007826DE" w:rsidP="007826DE">
            <w:pPr>
              <w:spacing w:after="0" w:line="240" w:lineRule="auto"/>
              <w:jc w:val="right"/>
              <w:rPr>
                <w:rFonts w:eastAsia="Times New Roman" w:cs="Calibri"/>
                <w:b/>
                <w:bCs/>
                <w:color w:val="000000"/>
                <w:sz w:val="18"/>
                <w:szCs w:val="18"/>
                <w:lang w:val="en-US"/>
              </w:rPr>
            </w:pPr>
            <w:r w:rsidRPr="007826DE">
              <w:rPr>
                <w:rFonts w:eastAsia="Times New Roman" w:cs="Calibri"/>
                <w:b/>
                <w:bCs/>
                <w:color w:val="000000"/>
                <w:sz w:val="18"/>
                <w:szCs w:val="18"/>
                <w:lang w:val="en-US"/>
              </w:rPr>
              <w:t>-</w:t>
            </w:r>
            <w:r w:rsidRPr="007826DE">
              <w:rPr>
                <w:rFonts w:ascii="Arial" w:eastAsia="Times New Roman" w:hAnsi="Arial" w:cs="Arial"/>
                <w:b/>
                <w:bCs/>
                <w:color w:val="000000"/>
                <w:sz w:val="18"/>
                <w:szCs w:val="18"/>
                <w:lang w:val="en-US"/>
              </w:rPr>
              <w:t>₡</w:t>
            </w:r>
            <w:r w:rsidRPr="007826DE">
              <w:rPr>
                <w:rFonts w:eastAsia="Times New Roman" w:cs="Calibri"/>
                <w:b/>
                <w:bCs/>
                <w:color w:val="000000"/>
                <w:sz w:val="18"/>
                <w:szCs w:val="18"/>
                <w:lang w:val="en-US"/>
              </w:rPr>
              <w:t>6 214,18</w:t>
            </w:r>
          </w:p>
        </w:tc>
        <w:tc>
          <w:tcPr>
            <w:tcW w:w="1000" w:type="dxa"/>
            <w:tcBorders>
              <w:top w:val="nil"/>
              <w:left w:val="nil"/>
              <w:bottom w:val="nil"/>
              <w:right w:val="single" w:sz="8" w:space="0" w:color="auto"/>
            </w:tcBorders>
            <w:shd w:val="clear" w:color="000000" w:fill="DBDBDB"/>
            <w:noWrap/>
            <w:vAlign w:val="bottom"/>
            <w:hideMark/>
          </w:tcPr>
          <w:p w14:paraId="30ECD44B" w14:textId="77777777" w:rsidR="007826DE" w:rsidRPr="007826DE" w:rsidRDefault="007826DE" w:rsidP="007826DE">
            <w:pPr>
              <w:spacing w:after="0" w:line="240" w:lineRule="auto"/>
              <w:jc w:val="right"/>
              <w:rPr>
                <w:rFonts w:eastAsia="Times New Roman" w:cs="Calibri"/>
                <w:b/>
                <w:bCs/>
                <w:color w:val="000000"/>
                <w:sz w:val="18"/>
                <w:szCs w:val="18"/>
                <w:lang w:val="en-US"/>
              </w:rPr>
            </w:pPr>
            <w:r w:rsidRPr="007826DE">
              <w:rPr>
                <w:rFonts w:eastAsia="Times New Roman" w:cs="Calibri"/>
                <w:b/>
                <w:bCs/>
                <w:color w:val="000000"/>
                <w:sz w:val="18"/>
                <w:szCs w:val="18"/>
                <w:lang w:val="en-US"/>
              </w:rPr>
              <w:t>-20,64%</w:t>
            </w:r>
          </w:p>
        </w:tc>
      </w:tr>
      <w:tr w:rsidR="007826DE" w:rsidRPr="007826DE" w14:paraId="79663757" w14:textId="77777777" w:rsidTr="007826DE">
        <w:trPr>
          <w:gridAfter w:val="1"/>
          <w:wAfter w:w="16" w:type="dxa"/>
          <w:trHeight w:val="240"/>
        </w:trPr>
        <w:tc>
          <w:tcPr>
            <w:tcW w:w="1202" w:type="dxa"/>
            <w:tcBorders>
              <w:top w:val="nil"/>
              <w:left w:val="single" w:sz="8" w:space="0" w:color="auto"/>
              <w:bottom w:val="nil"/>
              <w:right w:val="single" w:sz="8" w:space="0" w:color="auto"/>
            </w:tcBorders>
            <w:shd w:val="clear" w:color="auto" w:fill="auto"/>
            <w:noWrap/>
            <w:vAlign w:val="bottom"/>
            <w:hideMark/>
          </w:tcPr>
          <w:p w14:paraId="735ADC0D" w14:textId="77777777" w:rsidR="007826DE" w:rsidRPr="007826DE" w:rsidRDefault="007826DE" w:rsidP="007826DE">
            <w:pPr>
              <w:spacing w:after="0" w:line="240" w:lineRule="auto"/>
              <w:jc w:val="left"/>
              <w:rPr>
                <w:rFonts w:eastAsia="Times New Roman" w:cs="Calibri"/>
                <w:color w:val="000000"/>
                <w:sz w:val="18"/>
                <w:szCs w:val="18"/>
                <w:lang w:val="en-US"/>
              </w:rPr>
            </w:pPr>
            <w:r w:rsidRPr="007826DE">
              <w:rPr>
                <w:rFonts w:eastAsia="Times New Roman" w:cs="Calibri"/>
                <w:color w:val="000000"/>
                <w:sz w:val="18"/>
                <w:szCs w:val="18"/>
                <w:lang w:val="en-US"/>
              </w:rPr>
              <w:t>1.1.4.01.03.01.</w:t>
            </w:r>
          </w:p>
        </w:tc>
        <w:tc>
          <w:tcPr>
            <w:tcW w:w="3466" w:type="dxa"/>
            <w:tcBorders>
              <w:top w:val="nil"/>
              <w:left w:val="nil"/>
              <w:bottom w:val="nil"/>
              <w:right w:val="single" w:sz="8" w:space="0" w:color="auto"/>
            </w:tcBorders>
            <w:shd w:val="clear" w:color="auto" w:fill="auto"/>
            <w:vAlign w:val="bottom"/>
            <w:hideMark/>
          </w:tcPr>
          <w:p w14:paraId="7FB8D628" w14:textId="77777777" w:rsidR="007826DE" w:rsidRPr="007826DE" w:rsidRDefault="007826DE" w:rsidP="007826DE">
            <w:pPr>
              <w:spacing w:after="0" w:line="240" w:lineRule="auto"/>
              <w:jc w:val="left"/>
              <w:rPr>
                <w:rFonts w:eastAsia="Times New Roman" w:cs="Calibri"/>
                <w:color w:val="000000"/>
                <w:sz w:val="18"/>
                <w:szCs w:val="18"/>
                <w:lang w:val="en-US"/>
              </w:rPr>
            </w:pPr>
            <w:r w:rsidRPr="007826DE">
              <w:rPr>
                <w:rFonts w:eastAsia="Times New Roman" w:cs="Calibri"/>
                <w:color w:val="000000"/>
                <w:sz w:val="18"/>
                <w:szCs w:val="18"/>
                <w:lang w:val="en-US"/>
              </w:rPr>
              <w:t>Materiales y productos metálicos</w:t>
            </w:r>
          </w:p>
        </w:tc>
        <w:tc>
          <w:tcPr>
            <w:tcW w:w="1275" w:type="dxa"/>
            <w:tcBorders>
              <w:top w:val="nil"/>
              <w:left w:val="nil"/>
              <w:bottom w:val="nil"/>
              <w:right w:val="single" w:sz="8" w:space="0" w:color="auto"/>
            </w:tcBorders>
            <w:shd w:val="clear" w:color="000000" w:fill="FFFFFF"/>
            <w:noWrap/>
            <w:vAlign w:val="bottom"/>
            <w:hideMark/>
          </w:tcPr>
          <w:p w14:paraId="70FCAB0C"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21 340,16</w:t>
            </w:r>
          </w:p>
        </w:tc>
        <w:tc>
          <w:tcPr>
            <w:tcW w:w="1144" w:type="dxa"/>
            <w:tcBorders>
              <w:top w:val="nil"/>
              <w:left w:val="nil"/>
              <w:bottom w:val="nil"/>
              <w:right w:val="single" w:sz="8" w:space="0" w:color="auto"/>
            </w:tcBorders>
            <w:shd w:val="clear" w:color="auto" w:fill="auto"/>
            <w:noWrap/>
            <w:vAlign w:val="bottom"/>
            <w:hideMark/>
          </w:tcPr>
          <w:p w14:paraId="283AE891"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26 370,52</w:t>
            </w:r>
          </w:p>
        </w:tc>
        <w:tc>
          <w:tcPr>
            <w:tcW w:w="1104" w:type="dxa"/>
            <w:tcBorders>
              <w:top w:val="nil"/>
              <w:left w:val="nil"/>
              <w:bottom w:val="nil"/>
              <w:right w:val="nil"/>
            </w:tcBorders>
            <w:shd w:val="clear" w:color="auto" w:fill="auto"/>
            <w:noWrap/>
            <w:vAlign w:val="bottom"/>
            <w:hideMark/>
          </w:tcPr>
          <w:p w14:paraId="76F8CA3B"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-5 030,35</w:t>
            </w:r>
          </w:p>
        </w:tc>
        <w:tc>
          <w:tcPr>
            <w:tcW w:w="1000" w:type="dxa"/>
            <w:tcBorders>
              <w:top w:val="single" w:sz="8" w:space="0" w:color="auto"/>
              <w:left w:val="single" w:sz="8" w:space="0" w:color="auto"/>
              <w:bottom w:val="nil"/>
              <w:right w:val="single" w:sz="8" w:space="0" w:color="auto"/>
            </w:tcBorders>
            <w:shd w:val="clear" w:color="auto" w:fill="auto"/>
            <w:noWrap/>
            <w:vAlign w:val="bottom"/>
            <w:hideMark/>
          </w:tcPr>
          <w:p w14:paraId="4173252E"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-19,08%</w:t>
            </w:r>
          </w:p>
        </w:tc>
      </w:tr>
      <w:tr w:rsidR="007826DE" w:rsidRPr="007826DE" w14:paraId="42A95CCA" w14:textId="77777777" w:rsidTr="007826DE">
        <w:trPr>
          <w:gridAfter w:val="1"/>
          <w:wAfter w:w="16" w:type="dxa"/>
          <w:trHeight w:val="230"/>
        </w:trPr>
        <w:tc>
          <w:tcPr>
            <w:tcW w:w="1202" w:type="dxa"/>
            <w:tcBorders>
              <w:top w:val="nil"/>
              <w:left w:val="single" w:sz="8" w:space="0" w:color="auto"/>
              <w:bottom w:val="nil"/>
              <w:right w:val="single" w:sz="8" w:space="0" w:color="auto"/>
            </w:tcBorders>
            <w:shd w:val="clear" w:color="auto" w:fill="auto"/>
            <w:noWrap/>
            <w:vAlign w:val="bottom"/>
            <w:hideMark/>
          </w:tcPr>
          <w:p w14:paraId="6165F871" w14:textId="77777777" w:rsidR="007826DE" w:rsidRPr="007826DE" w:rsidRDefault="007826DE" w:rsidP="007826DE">
            <w:pPr>
              <w:spacing w:after="0" w:line="240" w:lineRule="auto"/>
              <w:jc w:val="left"/>
              <w:rPr>
                <w:rFonts w:eastAsia="Times New Roman" w:cs="Calibri"/>
                <w:color w:val="000000"/>
                <w:sz w:val="18"/>
                <w:szCs w:val="18"/>
                <w:lang w:val="en-US"/>
              </w:rPr>
            </w:pPr>
            <w:r w:rsidRPr="007826DE">
              <w:rPr>
                <w:rFonts w:eastAsia="Times New Roman" w:cs="Calibri"/>
                <w:color w:val="000000"/>
                <w:sz w:val="18"/>
                <w:szCs w:val="18"/>
                <w:lang w:val="en-US"/>
              </w:rPr>
              <w:t>1.1.4.01.03.02.</w:t>
            </w:r>
          </w:p>
        </w:tc>
        <w:tc>
          <w:tcPr>
            <w:tcW w:w="3466" w:type="dxa"/>
            <w:tcBorders>
              <w:top w:val="nil"/>
              <w:left w:val="nil"/>
              <w:bottom w:val="nil"/>
              <w:right w:val="single" w:sz="8" w:space="0" w:color="auto"/>
            </w:tcBorders>
            <w:shd w:val="clear" w:color="auto" w:fill="auto"/>
            <w:vAlign w:val="bottom"/>
            <w:hideMark/>
          </w:tcPr>
          <w:p w14:paraId="1FF9005D" w14:textId="77777777" w:rsidR="007826DE" w:rsidRPr="007826DE" w:rsidRDefault="007826DE" w:rsidP="007826DE">
            <w:pPr>
              <w:spacing w:after="0" w:line="240" w:lineRule="auto"/>
              <w:jc w:val="left"/>
              <w:rPr>
                <w:rFonts w:eastAsia="Times New Roman" w:cs="Calibri"/>
                <w:color w:val="000000"/>
                <w:sz w:val="18"/>
                <w:szCs w:val="18"/>
              </w:rPr>
            </w:pPr>
            <w:r w:rsidRPr="007826DE">
              <w:rPr>
                <w:rFonts w:eastAsia="Times New Roman" w:cs="Calibri"/>
                <w:color w:val="000000"/>
                <w:sz w:val="18"/>
                <w:szCs w:val="18"/>
              </w:rPr>
              <w:t>Materiales y productos minerales y asfálticos</w:t>
            </w:r>
          </w:p>
        </w:tc>
        <w:tc>
          <w:tcPr>
            <w:tcW w:w="1275" w:type="dxa"/>
            <w:tcBorders>
              <w:top w:val="nil"/>
              <w:left w:val="nil"/>
              <w:bottom w:val="nil"/>
              <w:right w:val="single" w:sz="8" w:space="0" w:color="auto"/>
            </w:tcBorders>
            <w:shd w:val="clear" w:color="000000" w:fill="FFFFFF"/>
            <w:noWrap/>
            <w:vAlign w:val="bottom"/>
            <w:hideMark/>
          </w:tcPr>
          <w:p w14:paraId="2E8FA62F"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2 223,77</w:t>
            </w:r>
          </w:p>
        </w:tc>
        <w:tc>
          <w:tcPr>
            <w:tcW w:w="1144" w:type="dxa"/>
            <w:tcBorders>
              <w:top w:val="nil"/>
              <w:left w:val="nil"/>
              <w:bottom w:val="nil"/>
              <w:right w:val="single" w:sz="8" w:space="0" w:color="auto"/>
            </w:tcBorders>
            <w:shd w:val="clear" w:color="auto" w:fill="auto"/>
            <w:noWrap/>
            <w:vAlign w:val="bottom"/>
            <w:hideMark/>
          </w:tcPr>
          <w:p w14:paraId="57E72DF8"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2 356,96</w:t>
            </w:r>
          </w:p>
        </w:tc>
        <w:tc>
          <w:tcPr>
            <w:tcW w:w="1104" w:type="dxa"/>
            <w:tcBorders>
              <w:top w:val="nil"/>
              <w:left w:val="nil"/>
              <w:bottom w:val="nil"/>
              <w:right w:val="nil"/>
            </w:tcBorders>
            <w:shd w:val="clear" w:color="auto" w:fill="auto"/>
            <w:noWrap/>
            <w:vAlign w:val="bottom"/>
            <w:hideMark/>
          </w:tcPr>
          <w:p w14:paraId="5ADB5537"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-133,20</w:t>
            </w:r>
          </w:p>
        </w:tc>
        <w:tc>
          <w:tcPr>
            <w:tcW w:w="1000" w:type="dxa"/>
            <w:tcBorders>
              <w:top w:val="nil"/>
              <w:left w:val="single" w:sz="8" w:space="0" w:color="auto"/>
              <w:bottom w:val="nil"/>
              <w:right w:val="single" w:sz="8" w:space="0" w:color="auto"/>
            </w:tcBorders>
            <w:shd w:val="clear" w:color="auto" w:fill="auto"/>
            <w:noWrap/>
            <w:vAlign w:val="bottom"/>
            <w:hideMark/>
          </w:tcPr>
          <w:p w14:paraId="2B60FBD1"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-5,65%</w:t>
            </w:r>
          </w:p>
        </w:tc>
      </w:tr>
      <w:tr w:rsidR="007826DE" w:rsidRPr="007826DE" w14:paraId="45813847" w14:textId="77777777" w:rsidTr="007826DE">
        <w:trPr>
          <w:gridAfter w:val="1"/>
          <w:wAfter w:w="16" w:type="dxa"/>
          <w:trHeight w:val="230"/>
        </w:trPr>
        <w:tc>
          <w:tcPr>
            <w:tcW w:w="1202" w:type="dxa"/>
            <w:tcBorders>
              <w:top w:val="nil"/>
              <w:left w:val="single" w:sz="8" w:space="0" w:color="auto"/>
              <w:bottom w:val="nil"/>
              <w:right w:val="single" w:sz="8" w:space="0" w:color="auto"/>
            </w:tcBorders>
            <w:shd w:val="clear" w:color="auto" w:fill="auto"/>
            <w:noWrap/>
            <w:vAlign w:val="bottom"/>
            <w:hideMark/>
          </w:tcPr>
          <w:p w14:paraId="76597F61" w14:textId="77777777" w:rsidR="007826DE" w:rsidRPr="007826DE" w:rsidRDefault="007826DE" w:rsidP="007826DE">
            <w:pPr>
              <w:spacing w:after="0" w:line="240" w:lineRule="auto"/>
              <w:jc w:val="left"/>
              <w:rPr>
                <w:rFonts w:eastAsia="Times New Roman" w:cs="Calibri"/>
                <w:color w:val="000000"/>
                <w:sz w:val="18"/>
                <w:szCs w:val="18"/>
                <w:lang w:val="en-US"/>
              </w:rPr>
            </w:pPr>
            <w:r w:rsidRPr="007826DE">
              <w:rPr>
                <w:rFonts w:eastAsia="Times New Roman" w:cs="Calibri"/>
                <w:color w:val="000000"/>
                <w:sz w:val="18"/>
                <w:szCs w:val="18"/>
                <w:lang w:val="en-US"/>
              </w:rPr>
              <w:t>1.1.4.01.03.03.</w:t>
            </w:r>
          </w:p>
        </w:tc>
        <w:tc>
          <w:tcPr>
            <w:tcW w:w="3466" w:type="dxa"/>
            <w:tcBorders>
              <w:top w:val="nil"/>
              <w:left w:val="nil"/>
              <w:bottom w:val="nil"/>
              <w:right w:val="single" w:sz="8" w:space="0" w:color="auto"/>
            </w:tcBorders>
            <w:shd w:val="clear" w:color="auto" w:fill="auto"/>
            <w:vAlign w:val="bottom"/>
            <w:hideMark/>
          </w:tcPr>
          <w:p w14:paraId="6278AFD0" w14:textId="77777777" w:rsidR="007826DE" w:rsidRPr="007826DE" w:rsidRDefault="007826DE" w:rsidP="007826DE">
            <w:pPr>
              <w:spacing w:after="0" w:line="240" w:lineRule="auto"/>
              <w:jc w:val="left"/>
              <w:rPr>
                <w:rFonts w:eastAsia="Times New Roman" w:cs="Calibri"/>
                <w:color w:val="000000"/>
                <w:sz w:val="18"/>
                <w:szCs w:val="18"/>
                <w:lang w:val="en-US"/>
              </w:rPr>
            </w:pPr>
            <w:r w:rsidRPr="007826DE">
              <w:rPr>
                <w:rFonts w:eastAsia="Times New Roman" w:cs="Calibri"/>
                <w:color w:val="000000"/>
                <w:sz w:val="18"/>
                <w:szCs w:val="18"/>
                <w:lang w:val="en-US"/>
              </w:rPr>
              <w:t>Madera y sus derivados</w:t>
            </w:r>
          </w:p>
        </w:tc>
        <w:tc>
          <w:tcPr>
            <w:tcW w:w="1275" w:type="dxa"/>
            <w:tcBorders>
              <w:top w:val="nil"/>
              <w:left w:val="nil"/>
              <w:bottom w:val="nil"/>
              <w:right w:val="single" w:sz="8" w:space="0" w:color="auto"/>
            </w:tcBorders>
            <w:shd w:val="clear" w:color="000000" w:fill="FFFFFF"/>
            <w:noWrap/>
            <w:vAlign w:val="bottom"/>
            <w:hideMark/>
          </w:tcPr>
          <w:p w14:paraId="4AFD96E7"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65,25</w:t>
            </w:r>
          </w:p>
        </w:tc>
        <w:tc>
          <w:tcPr>
            <w:tcW w:w="1144" w:type="dxa"/>
            <w:tcBorders>
              <w:top w:val="nil"/>
              <w:left w:val="nil"/>
              <w:bottom w:val="nil"/>
              <w:right w:val="single" w:sz="8" w:space="0" w:color="auto"/>
            </w:tcBorders>
            <w:shd w:val="clear" w:color="auto" w:fill="auto"/>
            <w:noWrap/>
            <w:vAlign w:val="bottom"/>
            <w:hideMark/>
          </w:tcPr>
          <w:p w14:paraId="7D92FBAC"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1 036,75</w:t>
            </w:r>
          </w:p>
        </w:tc>
        <w:tc>
          <w:tcPr>
            <w:tcW w:w="1104" w:type="dxa"/>
            <w:tcBorders>
              <w:top w:val="nil"/>
              <w:left w:val="nil"/>
              <w:bottom w:val="nil"/>
              <w:right w:val="nil"/>
            </w:tcBorders>
            <w:shd w:val="clear" w:color="auto" w:fill="auto"/>
            <w:noWrap/>
            <w:vAlign w:val="bottom"/>
            <w:hideMark/>
          </w:tcPr>
          <w:p w14:paraId="0ACDFAEF"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-971,50</w:t>
            </w:r>
          </w:p>
        </w:tc>
        <w:tc>
          <w:tcPr>
            <w:tcW w:w="1000" w:type="dxa"/>
            <w:tcBorders>
              <w:top w:val="nil"/>
              <w:left w:val="single" w:sz="8" w:space="0" w:color="auto"/>
              <w:bottom w:val="nil"/>
              <w:right w:val="single" w:sz="8" w:space="0" w:color="auto"/>
            </w:tcBorders>
            <w:shd w:val="clear" w:color="auto" w:fill="auto"/>
            <w:noWrap/>
            <w:vAlign w:val="bottom"/>
            <w:hideMark/>
          </w:tcPr>
          <w:p w14:paraId="1B2069A2"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-93,71%</w:t>
            </w:r>
          </w:p>
        </w:tc>
      </w:tr>
      <w:tr w:rsidR="007826DE" w:rsidRPr="007826DE" w14:paraId="27969AB1" w14:textId="77777777" w:rsidTr="007826DE">
        <w:trPr>
          <w:gridAfter w:val="1"/>
          <w:wAfter w:w="16" w:type="dxa"/>
          <w:trHeight w:val="230"/>
        </w:trPr>
        <w:tc>
          <w:tcPr>
            <w:tcW w:w="1202" w:type="dxa"/>
            <w:tcBorders>
              <w:top w:val="nil"/>
              <w:left w:val="single" w:sz="8" w:space="0" w:color="auto"/>
              <w:bottom w:val="nil"/>
              <w:right w:val="single" w:sz="8" w:space="0" w:color="auto"/>
            </w:tcBorders>
            <w:shd w:val="clear" w:color="auto" w:fill="auto"/>
            <w:noWrap/>
            <w:vAlign w:val="bottom"/>
            <w:hideMark/>
          </w:tcPr>
          <w:p w14:paraId="0958E020" w14:textId="77777777" w:rsidR="007826DE" w:rsidRPr="007826DE" w:rsidRDefault="007826DE" w:rsidP="007826DE">
            <w:pPr>
              <w:spacing w:after="0" w:line="240" w:lineRule="auto"/>
              <w:jc w:val="left"/>
              <w:rPr>
                <w:rFonts w:eastAsia="Times New Roman" w:cs="Calibri"/>
                <w:color w:val="000000"/>
                <w:sz w:val="18"/>
                <w:szCs w:val="18"/>
                <w:lang w:val="en-US"/>
              </w:rPr>
            </w:pPr>
            <w:r w:rsidRPr="007826DE">
              <w:rPr>
                <w:rFonts w:eastAsia="Times New Roman" w:cs="Calibri"/>
                <w:color w:val="000000"/>
                <w:sz w:val="18"/>
                <w:szCs w:val="18"/>
                <w:lang w:val="en-US"/>
              </w:rPr>
              <w:t>1.1.4.01.03.04.</w:t>
            </w:r>
          </w:p>
        </w:tc>
        <w:tc>
          <w:tcPr>
            <w:tcW w:w="3466" w:type="dxa"/>
            <w:tcBorders>
              <w:top w:val="nil"/>
              <w:left w:val="nil"/>
              <w:bottom w:val="nil"/>
              <w:right w:val="single" w:sz="8" w:space="0" w:color="auto"/>
            </w:tcBorders>
            <w:shd w:val="clear" w:color="auto" w:fill="auto"/>
            <w:vAlign w:val="bottom"/>
            <w:hideMark/>
          </w:tcPr>
          <w:p w14:paraId="319AE76B" w14:textId="77777777" w:rsidR="007826DE" w:rsidRPr="007826DE" w:rsidRDefault="007826DE" w:rsidP="007826DE">
            <w:pPr>
              <w:spacing w:after="0" w:line="240" w:lineRule="auto"/>
              <w:jc w:val="left"/>
              <w:rPr>
                <w:rFonts w:eastAsia="Times New Roman" w:cs="Calibri"/>
                <w:color w:val="000000"/>
                <w:sz w:val="18"/>
                <w:szCs w:val="18"/>
              </w:rPr>
            </w:pPr>
            <w:r w:rsidRPr="007826DE">
              <w:rPr>
                <w:rFonts w:eastAsia="Times New Roman" w:cs="Calibri"/>
                <w:color w:val="000000"/>
                <w:sz w:val="18"/>
                <w:szCs w:val="18"/>
              </w:rPr>
              <w:t>Materiales y productos eléctricos, telefónicos y de cómputo</w:t>
            </w:r>
          </w:p>
        </w:tc>
        <w:tc>
          <w:tcPr>
            <w:tcW w:w="1275" w:type="dxa"/>
            <w:tcBorders>
              <w:top w:val="nil"/>
              <w:left w:val="nil"/>
              <w:bottom w:val="nil"/>
              <w:right w:val="single" w:sz="8" w:space="0" w:color="auto"/>
            </w:tcBorders>
            <w:shd w:val="clear" w:color="000000" w:fill="FFFFFF"/>
            <w:noWrap/>
            <w:vAlign w:val="bottom"/>
            <w:hideMark/>
          </w:tcPr>
          <w:p w14:paraId="1EACCBC4"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120,92</w:t>
            </w:r>
          </w:p>
        </w:tc>
        <w:tc>
          <w:tcPr>
            <w:tcW w:w="1144" w:type="dxa"/>
            <w:tcBorders>
              <w:top w:val="nil"/>
              <w:left w:val="nil"/>
              <w:bottom w:val="nil"/>
              <w:right w:val="single" w:sz="8" w:space="0" w:color="auto"/>
            </w:tcBorders>
            <w:shd w:val="clear" w:color="auto" w:fill="auto"/>
            <w:noWrap/>
            <w:vAlign w:val="bottom"/>
            <w:hideMark/>
          </w:tcPr>
          <w:p w14:paraId="6611D426"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163,22</w:t>
            </w:r>
          </w:p>
        </w:tc>
        <w:tc>
          <w:tcPr>
            <w:tcW w:w="1104" w:type="dxa"/>
            <w:tcBorders>
              <w:top w:val="nil"/>
              <w:left w:val="nil"/>
              <w:bottom w:val="nil"/>
              <w:right w:val="nil"/>
            </w:tcBorders>
            <w:shd w:val="clear" w:color="auto" w:fill="auto"/>
            <w:noWrap/>
            <w:vAlign w:val="bottom"/>
            <w:hideMark/>
          </w:tcPr>
          <w:p w14:paraId="5504AD9D"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-42,30</w:t>
            </w:r>
          </w:p>
        </w:tc>
        <w:tc>
          <w:tcPr>
            <w:tcW w:w="1000" w:type="dxa"/>
            <w:tcBorders>
              <w:top w:val="nil"/>
              <w:left w:val="single" w:sz="8" w:space="0" w:color="auto"/>
              <w:bottom w:val="nil"/>
              <w:right w:val="single" w:sz="8" w:space="0" w:color="auto"/>
            </w:tcBorders>
            <w:shd w:val="clear" w:color="auto" w:fill="auto"/>
            <w:noWrap/>
            <w:vAlign w:val="bottom"/>
            <w:hideMark/>
          </w:tcPr>
          <w:p w14:paraId="2F854AE2"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-25,92%</w:t>
            </w:r>
          </w:p>
        </w:tc>
      </w:tr>
      <w:tr w:rsidR="007826DE" w:rsidRPr="007826DE" w14:paraId="19818ED1" w14:textId="77777777" w:rsidTr="007826DE">
        <w:trPr>
          <w:gridAfter w:val="1"/>
          <w:wAfter w:w="16" w:type="dxa"/>
          <w:trHeight w:val="240"/>
        </w:trPr>
        <w:tc>
          <w:tcPr>
            <w:tcW w:w="1202" w:type="dxa"/>
            <w:tcBorders>
              <w:top w:val="nil"/>
              <w:left w:val="single" w:sz="8" w:space="0" w:color="auto"/>
              <w:bottom w:val="nil"/>
              <w:right w:val="single" w:sz="8" w:space="0" w:color="auto"/>
            </w:tcBorders>
            <w:shd w:val="clear" w:color="auto" w:fill="auto"/>
            <w:noWrap/>
            <w:vAlign w:val="bottom"/>
            <w:hideMark/>
          </w:tcPr>
          <w:p w14:paraId="57B942EE" w14:textId="77777777" w:rsidR="007826DE" w:rsidRPr="007826DE" w:rsidRDefault="007826DE" w:rsidP="007826DE">
            <w:pPr>
              <w:spacing w:after="0" w:line="240" w:lineRule="auto"/>
              <w:jc w:val="left"/>
              <w:rPr>
                <w:rFonts w:eastAsia="Times New Roman" w:cs="Calibri"/>
                <w:color w:val="000000"/>
                <w:sz w:val="18"/>
                <w:szCs w:val="18"/>
                <w:lang w:val="en-US"/>
              </w:rPr>
            </w:pPr>
            <w:r w:rsidRPr="007826DE">
              <w:rPr>
                <w:rFonts w:eastAsia="Times New Roman" w:cs="Calibri"/>
                <w:color w:val="000000"/>
                <w:sz w:val="18"/>
                <w:szCs w:val="18"/>
                <w:lang w:val="en-US"/>
              </w:rPr>
              <w:t>1.1.4.01.03.06.</w:t>
            </w:r>
          </w:p>
        </w:tc>
        <w:tc>
          <w:tcPr>
            <w:tcW w:w="3466" w:type="dxa"/>
            <w:tcBorders>
              <w:top w:val="nil"/>
              <w:left w:val="nil"/>
              <w:bottom w:val="nil"/>
              <w:right w:val="single" w:sz="8" w:space="0" w:color="auto"/>
            </w:tcBorders>
            <w:shd w:val="clear" w:color="auto" w:fill="auto"/>
            <w:vAlign w:val="bottom"/>
            <w:hideMark/>
          </w:tcPr>
          <w:p w14:paraId="79497B00" w14:textId="77777777" w:rsidR="007826DE" w:rsidRPr="007826DE" w:rsidRDefault="007826DE" w:rsidP="007826DE">
            <w:pPr>
              <w:spacing w:after="0" w:line="240" w:lineRule="auto"/>
              <w:jc w:val="left"/>
              <w:rPr>
                <w:rFonts w:eastAsia="Times New Roman" w:cs="Calibri"/>
                <w:color w:val="000000"/>
                <w:sz w:val="18"/>
                <w:szCs w:val="18"/>
              </w:rPr>
            </w:pPr>
            <w:r w:rsidRPr="007826DE">
              <w:rPr>
                <w:rFonts w:eastAsia="Times New Roman" w:cs="Calibri"/>
                <w:color w:val="000000"/>
                <w:sz w:val="18"/>
                <w:szCs w:val="18"/>
              </w:rPr>
              <w:t>Materiales y productos de plástico</w:t>
            </w:r>
          </w:p>
        </w:tc>
        <w:tc>
          <w:tcPr>
            <w:tcW w:w="1275" w:type="dxa"/>
            <w:tcBorders>
              <w:top w:val="nil"/>
              <w:left w:val="nil"/>
              <w:bottom w:val="nil"/>
              <w:right w:val="single" w:sz="8" w:space="0" w:color="auto"/>
            </w:tcBorders>
            <w:shd w:val="clear" w:color="000000" w:fill="FFFFFF"/>
            <w:noWrap/>
            <w:vAlign w:val="bottom"/>
            <w:hideMark/>
          </w:tcPr>
          <w:p w14:paraId="1300A757"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148,72</w:t>
            </w:r>
          </w:p>
        </w:tc>
        <w:tc>
          <w:tcPr>
            <w:tcW w:w="1144" w:type="dxa"/>
            <w:tcBorders>
              <w:top w:val="nil"/>
              <w:left w:val="nil"/>
              <w:bottom w:val="nil"/>
              <w:right w:val="single" w:sz="8" w:space="0" w:color="auto"/>
            </w:tcBorders>
            <w:shd w:val="clear" w:color="auto" w:fill="auto"/>
            <w:noWrap/>
            <w:vAlign w:val="bottom"/>
            <w:hideMark/>
          </w:tcPr>
          <w:p w14:paraId="1B205D4B"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185,54</w:t>
            </w:r>
          </w:p>
        </w:tc>
        <w:tc>
          <w:tcPr>
            <w:tcW w:w="1104" w:type="dxa"/>
            <w:tcBorders>
              <w:top w:val="nil"/>
              <w:left w:val="nil"/>
              <w:bottom w:val="nil"/>
              <w:right w:val="nil"/>
            </w:tcBorders>
            <w:shd w:val="clear" w:color="auto" w:fill="auto"/>
            <w:noWrap/>
            <w:vAlign w:val="bottom"/>
            <w:hideMark/>
          </w:tcPr>
          <w:p w14:paraId="43A7D1EC"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-36,82</w:t>
            </w:r>
          </w:p>
        </w:tc>
        <w:tc>
          <w:tcPr>
            <w:tcW w:w="1000" w:type="dxa"/>
            <w:tcBorders>
              <w:top w:val="nil"/>
              <w:left w:val="single" w:sz="8" w:space="0" w:color="auto"/>
              <w:bottom w:val="single" w:sz="8" w:space="0" w:color="auto"/>
              <w:right w:val="single" w:sz="8" w:space="0" w:color="auto"/>
            </w:tcBorders>
            <w:shd w:val="clear" w:color="auto" w:fill="auto"/>
            <w:noWrap/>
            <w:vAlign w:val="bottom"/>
            <w:hideMark/>
          </w:tcPr>
          <w:p w14:paraId="182D361C"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-19,85%</w:t>
            </w:r>
          </w:p>
        </w:tc>
      </w:tr>
      <w:tr w:rsidR="007826DE" w:rsidRPr="007826DE" w14:paraId="024FD992" w14:textId="77777777" w:rsidTr="007826DE">
        <w:trPr>
          <w:gridAfter w:val="1"/>
          <w:wAfter w:w="16" w:type="dxa"/>
          <w:trHeight w:val="240"/>
        </w:trPr>
        <w:tc>
          <w:tcPr>
            <w:tcW w:w="1202" w:type="dxa"/>
            <w:tcBorders>
              <w:top w:val="single" w:sz="8" w:space="0" w:color="auto"/>
              <w:left w:val="single" w:sz="8" w:space="0" w:color="auto"/>
              <w:bottom w:val="single" w:sz="8" w:space="0" w:color="auto"/>
              <w:right w:val="single" w:sz="8" w:space="0" w:color="auto"/>
            </w:tcBorders>
            <w:shd w:val="clear" w:color="000000" w:fill="DBDBDB"/>
            <w:noWrap/>
            <w:vAlign w:val="bottom"/>
            <w:hideMark/>
          </w:tcPr>
          <w:p w14:paraId="1A5095B6" w14:textId="77777777" w:rsidR="007826DE" w:rsidRPr="007826DE" w:rsidRDefault="007826DE" w:rsidP="007826DE">
            <w:pPr>
              <w:spacing w:after="0" w:line="240" w:lineRule="auto"/>
              <w:jc w:val="left"/>
              <w:rPr>
                <w:rFonts w:eastAsia="Times New Roman" w:cs="Calibri"/>
                <w:b/>
                <w:bCs/>
                <w:color w:val="000000"/>
                <w:sz w:val="18"/>
                <w:szCs w:val="18"/>
                <w:lang w:val="en-US"/>
              </w:rPr>
            </w:pPr>
            <w:r w:rsidRPr="007826DE">
              <w:rPr>
                <w:rFonts w:eastAsia="Times New Roman" w:cs="Calibri"/>
                <w:b/>
                <w:bCs/>
                <w:color w:val="000000"/>
                <w:sz w:val="18"/>
                <w:szCs w:val="18"/>
                <w:lang w:val="en-US"/>
              </w:rPr>
              <w:t>1.1.4.01.04.</w:t>
            </w:r>
          </w:p>
        </w:tc>
        <w:tc>
          <w:tcPr>
            <w:tcW w:w="3466" w:type="dxa"/>
            <w:tcBorders>
              <w:top w:val="single" w:sz="8" w:space="0" w:color="auto"/>
              <w:left w:val="nil"/>
              <w:bottom w:val="single" w:sz="8" w:space="0" w:color="auto"/>
              <w:right w:val="single" w:sz="8" w:space="0" w:color="auto"/>
            </w:tcBorders>
            <w:shd w:val="clear" w:color="000000" w:fill="DBDBDB"/>
            <w:vAlign w:val="bottom"/>
            <w:hideMark/>
          </w:tcPr>
          <w:p w14:paraId="208C19EC" w14:textId="77777777" w:rsidR="007826DE" w:rsidRPr="007826DE" w:rsidRDefault="007826DE" w:rsidP="007826DE">
            <w:pPr>
              <w:spacing w:after="0" w:line="240" w:lineRule="auto"/>
              <w:jc w:val="left"/>
              <w:rPr>
                <w:rFonts w:eastAsia="Times New Roman" w:cs="Calibri"/>
                <w:b/>
                <w:bCs/>
                <w:color w:val="000000"/>
                <w:sz w:val="18"/>
                <w:szCs w:val="18"/>
                <w:lang w:val="en-US"/>
              </w:rPr>
            </w:pPr>
            <w:r w:rsidRPr="007826DE">
              <w:rPr>
                <w:rFonts w:eastAsia="Times New Roman" w:cs="Calibri"/>
                <w:b/>
                <w:bCs/>
                <w:color w:val="000000"/>
                <w:sz w:val="18"/>
                <w:szCs w:val="18"/>
                <w:lang w:val="en-US"/>
              </w:rPr>
              <w:t>Herramientas, repuestos y accesorios</w:t>
            </w:r>
          </w:p>
        </w:tc>
        <w:tc>
          <w:tcPr>
            <w:tcW w:w="1275" w:type="dxa"/>
            <w:tcBorders>
              <w:top w:val="single" w:sz="8" w:space="0" w:color="auto"/>
              <w:left w:val="nil"/>
              <w:bottom w:val="single" w:sz="8" w:space="0" w:color="auto"/>
              <w:right w:val="single" w:sz="8" w:space="0" w:color="auto"/>
            </w:tcBorders>
            <w:shd w:val="clear" w:color="000000" w:fill="DBDBDB"/>
            <w:noWrap/>
            <w:vAlign w:val="bottom"/>
            <w:hideMark/>
          </w:tcPr>
          <w:p w14:paraId="39CB2C0E" w14:textId="77777777" w:rsidR="007826DE" w:rsidRPr="007826DE" w:rsidRDefault="007826DE" w:rsidP="007826DE">
            <w:pPr>
              <w:spacing w:after="0" w:line="240" w:lineRule="auto"/>
              <w:jc w:val="right"/>
              <w:rPr>
                <w:rFonts w:eastAsia="Times New Roman" w:cs="Calibri"/>
                <w:b/>
                <w:bCs/>
                <w:color w:val="000000"/>
                <w:sz w:val="18"/>
                <w:szCs w:val="18"/>
                <w:lang w:val="en-US"/>
              </w:rPr>
            </w:pPr>
            <w:r w:rsidRPr="007826DE">
              <w:rPr>
                <w:rFonts w:ascii="Arial" w:eastAsia="Times New Roman" w:hAnsi="Arial" w:cs="Arial"/>
                <w:b/>
                <w:bCs/>
                <w:color w:val="000000"/>
                <w:sz w:val="18"/>
                <w:szCs w:val="18"/>
                <w:lang w:val="en-US"/>
              </w:rPr>
              <w:t>₡</w:t>
            </w:r>
            <w:r w:rsidRPr="007826DE">
              <w:rPr>
                <w:rFonts w:eastAsia="Times New Roman" w:cs="Calibri"/>
                <w:b/>
                <w:bCs/>
                <w:color w:val="000000"/>
                <w:sz w:val="18"/>
                <w:szCs w:val="18"/>
                <w:lang w:val="en-US"/>
              </w:rPr>
              <w:t>141 715,25</w:t>
            </w:r>
          </w:p>
        </w:tc>
        <w:tc>
          <w:tcPr>
            <w:tcW w:w="1144" w:type="dxa"/>
            <w:tcBorders>
              <w:top w:val="single" w:sz="8" w:space="0" w:color="auto"/>
              <w:left w:val="nil"/>
              <w:bottom w:val="single" w:sz="8" w:space="0" w:color="auto"/>
              <w:right w:val="single" w:sz="8" w:space="0" w:color="auto"/>
            </w:tcBorders>
            <w:shd w:val="clear" w:color="000000" w:fill="DBDBDB"/>
            <w:noWrap/>
            <w:vAlign w:val="bottom"/>
            <w:hideMark/>
          </w:tcPr>
          <w:p w14:paraId="4265ED34" w14:textId="77777777" w:rsidR="007826DE" w:rsidRPr="007826DE" w:rsidRDefault="007826DE" w:rsidP="007826DE">
            <w:pPr>
              <w:spacing w:after="0" w:line="240" w:lineRule="auto"/>
              <w:jc w:val="right"/>
              <w:rPr>
                <w:rFonts w:eastAsia="Times New Roman" w:cs="Calibri"/>
                <w:b/>
                <w:bCs/>
                <w:color w:val="000000"/>
                <w:sz w:val="18"/>
                <w:szCs w:val="18"/>
                <w:lang w:val="en-US"/>
              </w:rPr>
            </w:pPr>
            <w:r w:rsidRPr="007826DE">
              <w:rPr>
                <w:rFonts w:ascii="Arial" w:eastAsia="Times New Roman" w:hAnsi="Arial" w:cs="Arial"/>
                <w:b/>
                <w:bCs/>
                <w:color w:val="000000"/>
                <w:sz w:val="18"/>
                <w:szCs w:val="18"/>
                <w:lang w:val="en-US"/>
              </w:rPr>
              <w:t>₡</w:t>
            </w:r>
            <w:r w:rsidRPr="007826DE">
              <w:rPr>
                <w:rFonts w:eastAsia="Times New Roman" w:cs="Calibri"/>
                <w:b/>
                <w:bCs/>
                <w:color w:val="000000"/>
                <w:sz w:val="18"/>
                <w:szCs w:val="18"/>
                <w:lang w:val="en-US"/>
              </w:rPr>
              <w:t>127 456,95</w:t>
            </w:r>
          </w:p>
        </w:tc>
        <w:tc>
          <w:tcPr>
            <w:tcW w:w="1104" w:type="dxa"/>
            <w:tcBorders>
              <w:top w:val="single" w:sz="8" w:space="0" w:color="auto"/>
              <w:left w:val="nil"/>
              <w:bottom w:val="single" w:sz="8" w:space="0" w:color="auto"/>
              <w:right w:val="single" w:sz="8" w:space="0" w:color="auto"/>
            </w:tcBorders>
            <w:shd w:val="clear" w:color="000000" w:fill="DBDBDB"/>
            <w:noWrap/>
            <w:vAlign w:val="bottom"/>
            <w:hideMark/>
          </w:tcPr>
          <w:p w14:paraId="5B49AEBE" w14:textId="77777777" w:rsidR="007826DE" w:rsidRPr="007826DE" w:rsidRDefault="007826DE" w:rsidP="007826DE">
            <w:pPr>
              <w:spacing w:after="0" w:line="240" w:lineRule="auto"/>
              <w:jc w:val="right"/>
              <w:rPr>
                <w:rFonts w:eastAsia="Times New Roman" w:cs="Calibri"/>
                <w:b/>
                <w:bCs/>
                <w:color w:val="000000"/>
                <w:sz w:val="18"/>
                <w:szCs w:val="18"/>
                <w:lang w:val="en-US"/>
              </w:rPr>
            </w:pPr>
            <w:r w:rsidRPr="007826DE">
              <w:rPr>
                <w:rFonts w:ascii="Arial" w:eastAsia="Times New Roman" w:hAnsi="Arial" w:cs="Arial"/>
                <w:b/>
                <w:bCs/>
                <w:color w:val="000000"/>
                <w:sz w:val="18"/>
                <w:szCs w:val="18"/>
                <w:lang w:val="en-US"/>
              </w:rPr>
              <w:t>₡</w:t>
            </w:r>
            <w:r w:rsidRPr="007826DE">
              <w:rPr>
                <w:rFonts w:eastAsia="Times New Roman" w:cs="Calibri"/>
                <w:b/>
                <w:bCs/>
                <w:color w:val="000000"/>
                <w:sz w:val="18"/>
                <w:szCs w:val="18"/>
                <w:lang w:val="en-US"/>
              </w:rPr>
              <w:t>14 258,30</w:t>
            </w:r>
          </w:p>
        </w:tc>
        <w:tc>
          <w:tcPr>
            <w:tcW w:w="1000" w:type="dxa"/>
            <w:tcBorders>
              <w:top w:val="nil"/>
              <w:left w:val="nil"/>
              <w:bottom w:val="nil"/>
              <w:right w:val="single" w:sz="8" w:space="0" w:color="auto"/>
            </w:tcBorders>
            <w:shd w:val="clear" w:color="000000" w:fill="DBDBDB"/>
            <w:noWrap/>
            <w:vAlign w:val="bottom"/>
            <w:hideMark/>
          </w:tcPr>
          <w:p w14:paraId="34C19A79" w14:textId="77777777" w:rsidR="007826DE" w:rsidRPr="007826DE" w:rsidRDefault="007826DE" w:rsidP="007826DE">
            <w:pPr>
              <w:spacing w:after="0" w:line="240" w:lineRule="auto"/>
              <w:jc w:val="right"/>
              <w:rPr>
                <w:rFonts w:eastAsia="Times New Roman" w:cs="Calibri"/>
                <w:b/>
                <w:bCs/>
                <w:color w:val="000000"/>
                <w:sz w:val="18"/>
                <w:szCs w:val="18"/>
                <w:lang w:val="en-US"/>
              </w:rPr>
            </w:pPr>
            <w:r w:rsidRPr="007826DE">
              <w:rPr>
                <w:rFonts w:eastAsia="Times New Roman" w:cs="Calibri"/>
                <w:b/>
                <w:bCs/>
                <w:color w:val="000000"/>
                <w:sz w:val="18"/>
                <w:szCs w:val="18"/>
                <w:lang w:val="en-US"/>
              </w:rPr>
              <w:t>11,19%</w:t>
            </w:r>
          </w:p>
        </w:tc>
      </w:tr>
      <w:tr w:rsidR="007826DE" w:rsidRPr="007826DE" w14:paraId="0F3D680F" w14:textId="77777777" w:rsidTr="007826DE">
        <w:trPr>
          <w:gridAfter w:val="1"/>
          <w:wAfter w:w="16" w:type="dxa"/>
          <w:trHeight w:val="290"/>
        </w:trPr>
        <w:tc>
          <w:tcPr>
            <w:tcW w:w="1202" w:type="dxa"/>
            <w:tcBorders>
              <w:top w:val="nil"/>
              <w:left w:val="single" w:sz="8" w:space="0" w:color="auto"/>
              <w:bottom w:val="nil"/>
              <w:right w:val="single" w:sz="8" w:space="0" w:color="auto"/>
            </w:tcBorders>
            <w:shd w:val="clear" w:color="auto" w:fill="auto"/>
            <w:noWrap/>
            <w:vAlign w:val="bottom"/>
            <w:hideMark/>
          </w:tcPr>
          <w:p w14:paraId="4C5A5FB3" w14:textId="77777777" w:rsidR="007826DE" w:rsidRPr="007826DE" w:rsidRDefault="007826DE" w:rsidP="007826DE">
            <w:pPr>
              <w:spacing w:after="0" w:line="240" w:lineRule="auto"/>
              <w:jc w:val="left"/>
              <w:rPr>
                <w:rFonts w:eastAsia="Times New Roman" w:cs="Calibri"/>
                <w:color w:val="000000"/>
                <w:sz w:val="18"/>
                <w:szCs w:val="18"/>
                <w:lang w:val="en-US"/>
              </w:rPr>
            </w:pPr>
            <w:r w:rsidRPr="007826DE">
              <w:rPr>
                <w:rFonts w:eastAsia="Times New Roman" w:cs="Calibri"/>
                <w:color w:val="000000"/>
                <w:sz w:val="18"/>
                <w:szCs w:val="18"/>
                <w:lang w:val="en-US"/>
              </w:rPr>
              <w:t>1.1.4.01.04.01.</w:t>
            </w:r>
          </w:p>
        </w:tc>
        <w:tc>
          <w:tcPr>
            <w:tcW w:w="3466" w:type="dxa"/>
            <w:tcBorders>
              <w:top w:val="nil"/>
              <w:left w:val="nil"/>
              <w:bottom w:val="nil"/>
              <w:right w:val="single" w:sz="8" w:space="0" w:color="auto"/>
            </w:tcBorders>
            <w:shd w:val="clear" w:color="auto" w:fill="auto"/>
            <w:vAlign w:val="bottom"/>
            <w:hideMark/>
          </w:tcPr>
          <w:p w14:paraId="42162F92" w14:textId="77777777" w:rsidR="007826DE" w:rsidRPr="007826DE" w:rsidRDefault="007826DE" w:rsidP="007826DE">
            <w:pPr>
              <w:spacing w:after="0" w:line="240" w:lineRule="auto"/>
              <w:jc w:val="left"/>
              <w:rPr>
                <w:rFonts w:eastAsia="Times New Roman" w:cs="Calibri"/>
                <w:color w:val="000000"/>
                <w:sz w:val="18"/>
                <w:szCs w:val="18"/>
                <w:lang w:val="en-US"/>
              </w:rPr>
            </w:pPr>
            <w:r w:rsidRPr="007826DE">
              <w:rPr>
                <w:rFonts w:eastAsia="Times New Roman" w:cs="Calibri"/>
                <w:color w:val="000000"/>
                <w:sz w:val="18"/>
                <w:szCs w:val="18"/>
                <w:lang w:val="en-US"/>
              </w:rPr>
              <w:t>Herramientas e instrumentos</w:t>
            </w:r>
          </w:p>
        </w:tc>
        <w:tc>
          <w:tcPr>
            <w:tcW w:w="1275" w:type="dxa"/>
            <w:tcBorders>
              <w:top w:val="nil"/>
              <w:left w:val="nil"/>
              <w:bottom w:val="nil"/>
              <w:right w:val="single" w:sz="8" w:space="0" w:color="auto"/>
            </w:tcBorders>
            <w:shd w:val="clear" w:color="000000" w:fill="FFFFFF"/>
            <w:noWrap/>
            <w:vAlign w:val="bottom"/>
            <w:hideMark/>
          </w:tcPr>
          <w:p w14:paraId="682BC0D7"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1 258,29</w:t>
            </w:r>
          </w:p>
        </w:tc>
        <w:tc>
          <w:tcPr>
            <w:tcW w:w="1144" w:type="dxa"/>
            <w:tcBorders>
              <w:top w:val="nil"/>
              <w:left w:val="nil"/>
              <w:bottom w:val="nil"/>
              <w:right w:val="single" w:sz="8" w:space="0" w:color="auto"/>
            </w:tcBorders>
            <w:shd w:val="clear" w:color="000000" w:fill="FFFFFF"/>
            <w:noWrap/>
            <w:vAlign w:val="bottom"/>
            <w:hideMark/>
          </w:tcPr>
          <w:p w14:paraId="7191D8E9"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1 255,84</w:t>
            </w:r>
          </w:p>
        </w:tc>
        <w:tc>
          <w:tcPr>
            <w:tcW w:w="1104" w:type="dxa"/>
            <w:tcBorders>
              <w:top w:val="nil"/>
              <w:left w:val="nil"/>
              <w:bottom w:val="nil"/>
              <w:right w:val="nil"/>
            </w:tcBorders>
            <w:shd w:val="clear" w:color="000000" w:fill="FFFFFF"/>
            <w:noWrap/>
            <w:vAlign w:val="bottom"/>
            <w:hideMark/>
          </w:tcPr>
          <w:p w14:paraId="033B5690"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2,45</w:t>
            </w:r>
          </w:p>
        </w:tc>
        <w:tc>
          <w:tcPr>
            <w:tcW w:w="1000" w:type="dxa"/>
            <w:tcBorders>
              <w:top w:val="single" w:sz="8" w:space="0" w:color="auto"/>
              <w:left w:val="single" w:sz="8" w:space="0" w:color="auto"/>
              <w:bottom w:val="nil"/>
              <w:right w:val="single" w:sz="8" w:space="0" w:color="auto"/>
            </w:tcBorders>
            <w:shd w:val="clear" w:color="auto" w:fill="auto"/>
            <w:noWrap/>
            <w:vAlign w:val="bottom"/>
            <w:hideMark/>
          </w:tcPr>
          <w:p w14:paraId="167485CB"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0,20%</w:t>
            </w:r>
          </w:p>
        </w:tc>
      </w:tr>
      <w:tr w:rsidR="007826DE" w:rsidRPr="007826DE" w14:paraId="7151C7F4" w14:textId="77777777" w:rsidTr="007826DE">
        <w:trPr>
          <w:gridAfter w:val="1"/>
          <w:wAfter w:w="16" w:type="dxa"/>
          <w:trHeight w:val="300"/>
        </w:trPr>
        <w:tc>
          <w:tcPr>
            <w:tcW w:w="1202" w:type="dxa"/>
            <w:tcBorders>
              <w:top w:val="nil"/>
              <w:left w:val="single" w:sz="8" w:space="0" w:color="auto"/>
              <w:bottom w:val="nil"/>
              <w:right w:val="single" w:sz="8" w:space="0" w:color="auto"/>
            </w:tcBorders>
            <w:shd w:val="clear" w:color="auto" w:fill="auto"/>
            <w:noWrap/>
            <w:vAlign w:val="bottom"/>
            <w:hideMark/>
          </w:tcPr>
          <w:p w14:paraId="41CDD17B" w14:textId="77777777" w:rsidR="007826DE" w:rsidRPr="007826DE" w:rsidRDefault="007826DE" w:rsidP="007826DE">
            <w:pPr>
              <w:spacing w:after="0" w:line="240" w:lineRule="auto"/>
              <w:jc w:val="left"/>
              <w:rPr>
                <w:rFonts w:eastAsia="Times New Roman" w:cs="Calibri"/>
                <w:color w:val="000000"/>
                <w:sz w:val="18"/>
                <w:szCs w:val="18"/>
                <w:lang w:val="en-US"/>
              </w:rPr>
            </w:pPr>
            <w:r w:rsidRPr="007826DE">
              <w:rPr>
                <w:rFonts w:eastAsia="Times New Roman" w:cs="Calibri"/>
                <w:color w:val="000000"/>
                <w:sz w:val="18"/>
                <w:szCs w:val="18"/>
                <w:lang w:val="en-US"/>
              </w:rPr>
              <w:t>1.1.4.01.04.02.</w:t>
            </w:r>
          </w:p>
        </w:tc>
        <w:tc>
          <w:tcPr>
            <w:tcW w:w="3466" w:type="dxa"/>
            <w:tcBorders>
              <w:top w:val="nil"/>
              <w:left w:val="nil"/>
              <w:bottom w:val="nil"/>
              <w:right w:val="single" w:sz="8" w:space="0" w:color="auto"/>
            </w:tcBorders>
            <w:shd w:val="clear" w:color="auto" w:fill="auto"/>
            <w:vAlign w:val="bottom"/>
            <w:hideMark/>
          </w:tcPr>
          <w:p w14:paraId="0FEA20D8" w14:textId="77777777" w:rsidR="007826DE" w:rsidRPr="007826DE" w:rsidRDefault="007826DE" w:rsidP="007826DE">
            <w:pPr>
              <w:spacing w:after="0" w:line="240" w:lineRule="auto"/>
              <w:jc w:val="left"/>
              <w:rPr>
                <w:rFonts w:eastAsia="Times New Roman" w:cs="Calibri"/>
                <w:color w:val="000000"/>
                <w:sz w:val="18"/>
                <w:szCs w:val="18"/>
                <w:lang w:val="en-US"/>
              </w:rPr>
            </w:pPr>
            <w:r w:rsidRPr="007826DE">
              <w:rPr>
                <w:rFonts w:eastAsia="Times New Roman" w:cs="Calibri"/>
                <w:color w:val="000000"/>
                <w:sz w:val="18"/>
                <w:szCs w:val="18"/>
                <w:lang w:val="en-US"/>
              </w:rPr>
              <w:t>Repuestos y accesorios Nuevos</w:t>
            </w:r>
          </w:p>
        </w:tc>
        <w:tc>
          <w:tcPr>
            <w:tcW w:w="1275" w:type="dxa"/>
            <w:tcBorders>
              <w:top w:val="nil"/>
              <w:left w:val="nil"/>
              <w:bottom w:val="nil"/>
              <w:right w:val="single" w:sz="8" w:space="0" w:color="auto"/>
            </w:tcBorders>
            <w:shd w:val="clear" w:color="000000" w:fill="FFFFFF"/>
            <w:noWrap/>
            <w:vAlign w:val="bottom"/>
            <w:hideMark/>
          </w:tcPr>
          <w:p w14:paraId="23FACB0C"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140 456,96</w:t>
            </w:r>
          </w:p>
        </w:tc>
        <w:tc>
          <w:tcPr>
            <w:tcW w:w="1144" w:type="dxa"/>
            <w:tcBorders>
              <w:top w:val="nil"/>
              <w:left w:val="nil"/>
              <w:bottom w:val="nil"/>
              <w:right w:val="single" w:sz="8" w:space="0" w:color="auto"/>
            </w:tcBorders>
            <w:shd w:val="clear" w:color="000000" w:fill="FFFFFF"/>
            <w:noWrap/>
            <w:vAlign w:val="bottom"/>
            <w:hideMark/>
          </w:tcPr>
          <w:p w14:paraId="674C5742"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126 201,11</w:t>
            </w:r>
          </w:p>
        </w:tc>
        <w:tc>
          <w:tcPr>
            <w:tcW w:w="1104" w:type="dxa"/>
            <w:tcBorders>
              <w:top w:val="nil"/>
              <w:left w:val="nil"/>
              <w:bottom w:val="nil"/>
              <w:right w:val="nil"/>
            </w:tcBorders>
            <w:shd w:val="clear" w:color="000000" w:fill="FFFFFF"/>
            <w:noWrap/>
            <w:vAlign w:val="bottom"/>
            <w:hideMark/>
          </w:tcPr>
          <w:p w14:paraId="76BC7F40"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14 255,85</w:t>
            </w:r>
          </w:p>
        </w:tc>
        <w:tc>
          <w:tcPr>
            <w:tcW w:w="1000" w:type="dxa"/>
            <w:tcBorders>
              <w:top w:val="nil"/>
              <w:left w:val="single" w:sz="8" w:space="0" w:color="auto"/>
              <w:bottom w:val="single" w:sz="8" w:space="0" w:color="auto"/>
              <w:right w:val="single" w:sz="8" w:space="0" w:color="auto"/>
            </w:tcBorders>
            <w:shd w:val="clear" w:color="auto" w:fill="auto"/>
            <w:noWrap/>
            <w:vAlign w:val="bottom"/>
            <w:hideMark/>
          </w:tcPr>
          <w:p w14:paraId="386AB941"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11,30%</w:t>
            </w:r>
          </w:p>
        </w:tc>
      </w:tr>
      <w:tr w:rsidR="007826DE" w:rsidRPr="007826DE" w14:paraId="2ADDBD5A" w14:textId="77777777" w:rsidTr="007826DE">
        <w:trPr>
          <w:gridAfter w:val="1"/>
          <w:wAfter w:w="16" w:type="dxa"/>
          <w:trHeight w:val="300"/>
        </w:trPr>
        <w:tc>
          <w:tcPr>
            <w:tcW w:w="1202" w:type="dxa"/>
            <w:tcBorders>
              <w:top w:val="single" w:sz="8" w:space="0" w:color="auto"/>
              <w:left w:val="single" w:sz="8" w:space="0" w:color="auto"/>
              <w:bottom w:val="single" w:sz="8" w:space="0" w:color="auto"/>
              <w:right w:val="single" w:sz="8" w:space="0" w:color="auto"/>
            </w:tcBorders>
            <w:shd w:val="clear" w:color="000000" w:fill="DBDBDB"/>
            <w:noWrap/>
            <w:vAlign w:val="bottom"/>
            <w:hideMark/>
          </w:tcPr>
          <w:p w14:paraId="6970D792" w14:textId="77777777" w:rsidR="007826DE" w:rsidRPr="007826DE" w:rsidRDefault="007826DE" w:rsidP="007826DE">
            <w:pPr>
              <w:spacing w:after="0" w:line="240" w:lineRule="auto"/>
              <w:jc w:val="left"/>
              <w:rPr>
                <w:rFonts w:eastAsia="Times New Roman" w:cs="Calibri"/>
                <w:b/>
                <w:bCs/>
                <w:color w:val="000000"/>
                <w:sz w:val="18"/>
                <w:szCs w:val="18"/>
                <w:lang w:val="en-US"/>
              </w:rPr>
            </w:pPr>
            <w:r w:rsidRPr="007826DE">
              <w:rPr>
                <w:rFonts w:eastAsia="Times New Roman" w:cs="Calibri"/>
                <w:b/>
                <w:bCs/>
                <w:color w:val="000000"/>
                <w:sz w:val="18"/>
                <w:szCs w:val="18"/>
                <w:lang w:val="en-US"/>
              </w:rPr>
              <w:t>1.1.4.01.99.</w:t>
            </w:r>
          </w:p>
        </w:tc>
        <w:tc>
          <w:tcPr>
            <w:tcW w:w="3466" w:type="dxa"/>
            <w:tcBorders>
              <w:top w:val="single" w:sz="8" w:space="0" w:color="auto"/>
              <w:left w:val="nil"/>
              <w:bottom w:val="single" w:sz="8" w:space="0" w:color="auto"/>
              <w:right w:val="single" w:sz="8" w:space="0" w:color="auto"/>
            </w:tcBorders>
            <w:shd w:val="clear" w:color="000000" w:fill="DBDBDB"/>
            <w:vAlign w:val="bottom"/>
            <w:hideMark/>
          </w:tcPr>
          <w:p w14:paraId="290AE6AA" w14:textId="77777777" w:rsidR="007826DE" w:rsidRPr="007826DE" w:rsidRDefault="007826DE" w:rsidP="007826DE">
            <w:pPr>
              <w:spacing w:after="0" w:line="240" w:lineRule="auto"/>
              <w:jc w:val="left"/>
              <w:rPr>
                <w:rFonts w:eastAsia="Times New Roman" w:cs="Calibri"/>
                <w:b/>
                <w:bCs/>
                <w:color w:val="000000"/>
                <w:sz w:val="18"/>
                <w:szCs w:val="18"/>
              </w:rPr>
            </w:pPr>
            <w:r w:rsidRPr="007826DE">
              <w:rPr>
                <w:rFonts w:eastAsia="Times New Roman" w:cs="Calibri"/>
                <w:b/>
                <w:bCs/>
                <w:color w:val="000000"/>
                <w:sz w:val="18"/>
                <w:szCs w:val="18"/>
              </w:rPr>
              <w:t>Útiles, materiales y suministros diversos</w:t>
            </w:r>
          </w:p>
        </w:tc>
        <w:tc>
          <w:tcPr>
            <w:tcW w:w="1275" w:type="dxa"/>
            <w:tcBorders>
              <w:top w:val="single" w:sz="8" w:space="0" w:color="auto"/>
              <w:left w:val="nil"/>
              <w:bottom w:val="single" w:sz="8" w:space="0" w:color="auto"/>
              <w:right w:val="single" w:sz="8" w:space="0" w:color="auto"/>
            </w:tcBorders>
            <w:shd w:val="clear" w:color="000000" w:fill="DBDBDB"/>
            <w:noWrap/>
            <w:vAlign w:val="bottom"/>
            <w:hideMark/>
          </w:tcPr>
          <w:p w14:paraId="223FCD71" w14:textId="77777777" w:rsidR="007826DE" w:rsidRPr="007826DE" w:rsidRDefault="007826DE" w:rsidP="007826DE">
            <w:pPr>
              <w:spacing w:after="0" w:line="240" w:lineRule="auto"/>
              <w:jc w:val="right"/>
              <w:rPr>
                <w:rFonts w:eastAsia="Times New Roman" w:cs="Calibri"/>
                <w:b/>
                <w:bCs/>
                <w:color w:val="000000"/>
                <w:sz w:val="18"/>
                <w:szCs w:val="18"/>
                <w:lang w:val="en-US"/>
              </w:rPr>
            </w:pPr>
            <w:r w:rsidRPr="007826DE">
              <w:rPr>
                <w:rFonts w:ascii="Arial" w:eastAsia="Times New Roman" w:hAnsi="Arial" w:cs="Arial"/>
                <w:b/>
                <w:bCs/>
                <w:color w:val="000000"/>
                <w:sz w:val="18"/>
                <w:szCs w:val="18"/>
                <w:lang w:val="en-US"/>
              </w:rPr>
              <w:t>₡</w:t>
            </w:r>
            <w:r w:rsidRPr="007826DE">
              <w:rPr>
                <w:rFonts w:eastAsia="Times New Roman" w:cs="Calibri"/>
                <w:b/>
                <w:bCs/>
                <w:color w:val="000000"/>
                <w:sz w:val="18"/>
                <w:szCs w:val="18"/>
                <w:lang w:val="en-US"/>
              </w:rPr>
              <w:t>12 271,49</w:t>
            </w:r>
          </w:p>
        </w:tc>
        <w:tc>
          <w:tcPr>
            <w:tcW w:w="1144" w:type="dxa"/>
            <w:tcBorders>
              <w:top w:val="single" w:sz="8" w:space="0" w:color="auto"/>
              <w:left w:val="nil"/>
              <w:bottom w:val="single" w:sz="8" w:space="0" w:color="auto"/>
              <w:right w:val="single" w:sz="8" w:space="0" w:color="auto"/>
            </w:tcBorders>
            <w:shd w:val="clear" w:color="000000" w:fill="DBDBDB"/>
            <w:noWrap/>
            <w:vAlign w:val="bottom"/>
            <w:hideMark/>
          </w:tcPr>
          <w:p w14:paraId="04B93F0C" w14:textId="77777777" w:rsidR="007826DE" w:rsidRPr="007826DE" w:rsidRDefault="007826DE" w:rsidP="007826DE">
            <w:pPr>
              <w:spacing w:after="0" w:line="240" w:lineRule="auto"/>
              <w:jc w:val="right"/>
              <w:rPr>
                <w:rFonts w:eastAsia="Times New Roman" w:cs="Calibri"/>
                <w:b/>
                <w:bCs/>
                <w:color w:val="000000"/>
                <w:sz w:val="18"/>
                <w:szCs w:val="18"/>
                <w:lang w:val="en-US"/>
              </w:rPr>
            </w:pPr>
            <w:r w:rsidRPr="007826DE">
              <w:rPr>
                <w:rFonts w:ascii="Arial" w:eastAsia="Times New Roman" w:hAnsi="Arial" w:cs="Arial"/>
                <w:b/>
                <w:bCs/>
                <w:color w:val="000000"/>
                <w:sz w:val="18"/>
                <w:szCs w:val="18"/>
                <w:lang w:val="en-US"/>
              </w:rPr>
              <w:t>₡</w:t>
            </w:r>
            <w:r w:rsidRPr="007826DE">
              <w:rPr>
                <w:rFonts w:eastAsia="Times New Roman" w:cs="Calibri"/>
                <w:b/>
                <w:bCs/>
                <w:color w:val="000000"/>
                <w:sz w:val="18"/>
                <w:szCs w:val="18"/>
                <w:lang w:val="en-US"/>
              </w:rPr>
              <w:t>6 103,23</w:t>
            </w:r>
          </w:p>
        </w:tc>
        <w:tc>
          <w:tcPr>
            <w:tcW w:w="1104" w:type="dxa"/>
            <w:tcBorders>
              <w:top w:val="single" w:sz="8" w:space="0" w:color="auto"/>
              <w:left w:val="nil"/>
              <w:bottom w:val="single" w:sz="8" w:space="0" w:color="auto"/>
              <w:right w:val="single" w:sz="8" w:space="0" w:color="auto"/>
            </w:tcBorders>
            <w:shd w:val="clear" w:color="000000" w:fill="DBDBDB"/>
            <w:noWrap/>
            <w:vAlign w:val="bottom"/>
            <w:hideMark/>
          </w:tcPr>
          <w:p w14:paraId="51B45E6A" w14:textId="77777777" w:rsidR="007826DE" w:rsidRPr="007826DE" w:rsidRDefault="007826DE" w:rsidP="007826DE">
            <w:pPr>
              <w:spacing w:after="0" w:line="240" w:lineRule="auto"/>
              <w:jc w:val="right"/>
              <w:rPr>
                <w:rFonts w:eastAsia="Times New Roman" w:cs="Calibri"/>
                <w:b/>
                <w:bCs/>
                <w:color w:val="000000"/>
                <w:sz w:val="18"/>
                <w:szCs w:val="18"/>
                <w:lang w:val="en-US"/>
              </w:rPr>
            </w:pPr>
            <w:r w:rsidRPr="007826DE">
              <w:rPr>
                <w:rFonts w:ascii="Arial" w:eastAsia="Times New Roman" w:hAnsi="Arial" w:cs="Arial"/>
                <w:b/>
                <w:bCs/>
                <w:color w:val="000000"/>
                <w:sz w:val="18"/>
                <w:szCs w:val="18"/>
                <w:lang w:val="en-US"/>
              </w:rPr>
              <w:t>₡</w:t>
            </w:r>
            <w:r w:rsidRPr="007826DE">
              <w:rPr>
                <w:rFonts w:eastAsia="Times New Roman" w:cs="Calibri"/>
                <w:b/>
                <w:bCs/>
                <w:color w:val="000000"/>
                <w:sz w:val="18"/>
                <w:szCs w:val="18"/>
                <w:lang w:val="en-US"/>
              </w:rPr>
              <w:t>6 168,26</w:t>
            </w:r>
          </w:p>
        </w:tc>
        <w:tc>
          <w:tcPr>
            <w:tcW w:w="1000" w:type="dxa"/>
            <w:tcBorders>
              <w:top w:val="nil"/>
              <w:left w:val="nil"/>
              <w:bottom w:val="single" w:sz="8" w:space="0" w:color="auto"/>
              <w:right w:val="single" w:sz="8" w:space="0" w:color="auto"/>
            </w:tcBorders>
            <w:shd w:val="clear" w:color="000000" w:fill="DBDBDB"/>
            <w:noWrap/>
            <w:vAlign w:val="bottom"/>
            <w:hideMark/>
          </w:tcPr>
          <w:p w14:paraId="0F96E50C" w14:textId="77777777" w:rsidR="007826DE" w:rsidRPr="007826DE" w:rsidRDefault="007826DE" w:rsidP="007826DE">
            <w:pPr>
              <w:spacing w:after="0" w:line="240" w:lineRule="auto"/>
              <w:jc w:val="center"/>
              <w:rPr>
                <w:rFonts w:eastAsia="Times New Roman" w:cs="Calibri"/>
                <w:b/>
                <w:bCs/>
                <w:color w:val="000000"/>
                <w:sz w:val="18"/>
                <w:szCs w:val="18"/>
                <w:lang w:val="en-US"/>
              </w:rPr>
            </w:pPr>
            <w:r w:rsidRPr="007826DE">
              <w:rPr>
                <w:rFonts w:ascii="Arial" w:eastAsia="Times New Roman" w:hAnsi="Arial" w:cs="Arial"/>
                <w:b/>
                <w:bCs/>
                <w:color w:val="000000"/>
                <w:sz w:val="18"/>
                <w:szCs w:val="18"/>
                <w:lang w:val="en-US"/>
              </w:rPr>
              <w:t>₡</w:t>
            </w:r>
            <w:r w:rsidRPr="007826DE">
              <w:rPr>
                <w:rFonts w:eastAsia="Times New Roman" w:cs="Calibri"/>
                <w:b/>
                <w:bCs/>
                <w:color w:val="000000"/>
                <w:sz w:val="18"/>
                <w:szCs w:val="18"/>
                <w:lang w:val="en-US"/>
              </w:rPr>
              <w:t>1,01</w:t>
            </w:r>
          </w:p>
        </w:tc>
      </w:tr>
      <w:tr w:rsidR="007826DE" w:rsidRPr="007826DE" w14:paraId="6FEB871E" w14:textId="77777777" w:rsidTr="007826DE">
        <w:trPr>
          <w:gridAfter w:val="1"/>
          <w:wAfter w:w="16" w:type="dxa"/>
          <w:trHeight w:val="290"/>
        </w:trPr>
        <w:tc>
          <w:tcPr>
            <w:tcW w:w="1202" w:type="dxa"/>
            <w:tcBorders>
              <w:top w:val="nil"/>
              <w:left w:val="single" w:sz="8" w:space="0" w:color="auto"/>
              <w:bottom w:val="nil"/>
              <w:right w:val="single" w:sz="8" w:space="0" w:color="auto"/>
            </w:tcBorders>
            <w:shd w:val="clear" w:color="auto" w:fill="auto"/>
            <w:noWrap/>
            <w:vAlign w:val="bottom"/>
            <w:hideMark/>
          </w:tcPr>
          <w:p w14:paraId="17B5DDD2" w14:textId="77777777" w:rsidR="007826DE" w:rsidRPr="007826DE" w:rsidRDefault="007826DE" w:rsidP="007826DE">
            <w:pPr>
              <w:spacing w:after="0" w:line="240" w:lineRule="auto"/>
              <w:jc w:val="left"/>
              <w:rPr>
                <w:rFonts w:eastAsia="Times New Roman" w:cs="Calibri"/>
                <w:color w:val="000000"/>
                <w:sz w:val="18"/>
                <w:szCs w:val="18"/>
                <w:lang w:val="en-US"/>
              </w:rPr>
            </w:pPr>
            <w:r w:rsidRPr="007826DE">
              <w:rPr>
                <w:rFonts w:eastAsia="Times New Roman" w:cs="Calibri"/>
                <w:color w:val="000000"/>
                <w:sz w:val="18"/>
                <w:szCs w:val="18"/>
                <w:lang w:val="en-US"/>
              </w:rPr>
              <w:t>1.1.4.01.99.01.</w:t>
            </w:r>
          </w:p>
        </w:tc>
        <w:tc>
          <w:tcPr>
            <w:tcW w:w="3466" w:type="dxa"/>
            <w:tcBorders>
              <w:top w:val="nil"/>
              <w:left w:val="nil"/>
              <w:bottom w:val="nil"/>
              <w:right w:val="single" w:sz="8" w:space="0" w:color="auto"/>
            </w:tcBorders>
            <w:shd w:val="clear" w:color="auto" w:fill="auto"/>
            <w:vAlign w:val="bottom"/>
            <w:hideMark/>
          </w:tcPr>
          <w:p w14:paraId="370B76A4" w14:textId="77777777" w:rsidR="007826DE" w:rsidRPr="007826DE" w:rsidRDefault="007826DE" w:rsidP="007826DE">
            <w:pPr>
              <w:spacing w:after="0" w:line="240" w:lineRule="auto"/>
              <w:jc w:val="left"/>
              <w:rPr>
                <w:rFonts w:eastAsia="Times New Roman" w:cs="Calibri"/>
                <w:color w:val="000000"/>
                <w:sz w:val="18"/>
                <w:szCs w:val="18"/>
              </w:rPr>
            </w:pPr>
            <w:r w:rsidRPr="007826DE">
              <w:rPr>
                <w:rFonts w:eastAsia="Times New Roman" w:cs="Calibri"/>
                <w:color w:val="000000"/>
                <w:sz w:val="18"/>
                <w:szCs w:val="18"/>
              </w:rPr>
              <w:t>Útiles y materiales de oficina y cómputo</w:t>
            </w:r>
          </w:p>
        </w:tc>
        <w:tc>
          <w:tcPr>
            <w:tcW w:w="1275" w:type="dxa"/>
            <w:tcBorders>
              <w:top w:val="nil"/>
              <w:left w:val="nil"/>
              <w:bottom w:val="nil"/>
              <w:right w:val="single" w:sz="8" w:space="0" w:color="auto"/>
            </w:tcBorders>
            <w:shd w:val="clear" w:color="000000" w:fill="FFFFFF"/>
            <w:noWrap/>
            <w:vAlign w:val="bottom"/>
            <w:hideMark/>
          </w:tcPr>
          <w:p w14:paraId="4DD331A4"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1 847,00</w:t>
            </w:r>
          </w:p>
        </w:tc>
        <w:tc>
          <w:tcPr>
            <w:tcW w:w="1144" w:type="dxa"/>
            <w:tcBorders>
              <w:top w:val="nil"/>
              <w:left w:val="nil"/>
              <w:bottom w:val="nil"/>
              <w:right w:val="single" w:sz="8" w:space="0" w:color="auto"/>
            </w:tcBorders>
            <w:shd w:val="clear" w:color="000000" w:fill="FFFFFF"/>
            <w:noWrap/>
            <w:vAlign w:val="bottom"/>
            <w:hideMark/>
          </w:tcPr>
          <w:p w14:paraId="3A244608"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516,44</w:t>
            </w:r>
          </w:p>
        </w:tc>
        <w:tc>
          <w:tcPr>
            <w:tcW w:w="1104" w:type="dxa"/>
            <w:tcBorders>
              <w:top w:val="nil"/>
              <w:left w:val="nil"/>
              <w:bottom w:val="nil"/>
              <w:right w:val="nil"/>
            </w:tcBorders>
            <w:shd w:val="clear" w:color="000000" w:fill="FFFFFF"/>
            <w:noWrap/>
            <w:vAlign w:val="bottom"/>
            <w:hideMark/>
          </w:tcPr>
          <w:p w14:paraId="1C9F7880"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1 330,56</w:t>
            </w:r>
          </w:p>
        </w:tc>
        <w:tc>
          <w:tcPr>
            <w:tcW w:w="1000" w:type="dxa"/>
            <w:tcBorders>
              <w:top w:val="nil"/>
              <w:left w:val="single" w:sz="8" w:space="0" w:color="auto"/>
              <w:bottom w:val="nil"/>
              <w:right w:val="single" w:sz="8" w:space="0" w:color="auto"/>
            </w:tcBorders>
            <w:shd w:val="clear" w:color="auto" w:fill="auto"/>
            <w:noWrap/>
            <w:vAlign w:val="bottom"/>
            <w:hideMark/>
          </w:tcPr>
          <w:p w14:paraId="2CDE86F1" w14:textId="77777777" w:rsidR="007826DE" w:rsidRPr="007826DE" w:rsidRDefault="007826DE" w:rsidP="007826DE">
            <w:pPr>
              <w:spacing w:after="0" w:line="240" w:lineRule="auto"/>
              <w:jc w:val="center"/>
              <w:rPr>
                <w:rFonts w:eastAsia="Times New Roman" w:cs="Calibri"/>
                <w:color w:val="000000"/>
                <w:sz w:val="18"/>
                <w:szCs w:val="18"/>
                <w:lang w:val="en-US"/>
              </w:rPr>
            </w:pPr>
            <w:r w:rsidRPr="007826DE">
              <w:rPr>
                <w:rFonts w:eastAsia="Times New Roman" w:cs="Calibri"/>
                <w:color w:val="000000"/>
                <w:sz w:val="18"/>
                <w:szCs w:val="18"/>
                <w:lang w:val="en-US"/>
              </w:rPr>
              <w:t>257,64%</w:t>
            </w:r>
          </w:p>
        </w:tc>
      </w:tr>
      <w:tr w:rsidR="007826DE" w:rsidRPr="007826DE" w14:paraId="57033869" w14:textId="77777777" w:rsidTr="007826DE">
        <w:trPr>
          <w:gridAfter w:val="1"/>
          <w:wAfter w:w="16" w:type="dxa"/>
          <w:trHeight w:val="290"/>
        </w:trPr>
        <w:tc>
          <w:tcPr>
            <w:tcW w:w="1202" w:type="dxa"/>
            <w:tcBorders>
              <w:top w:val="nil"/>
              <w:left w:val="single" w:sz="8" w:space="0" w:color="auto"/>
              <w:bottom w:val="nil"/>
              <w:right w:val="single" w:sz="8" w:space="0" w:color="auto"/>
            </w:tcBorders>
            <w:shd w:val="clear" w:color="auto" w:fill="auto"/>
            <w:noWrap/>
            <w:vAlign w:val="bottom"/>
            <w:hideMark/>
          </w:tcPr>
          <w:p w14:paraId="39AB7340" w14:textId="77777777" w:rsidR="007826DE" w:rsidRPr="007826DE" w:rsidRDefault="007826DE" w:rsidP="007826DE">
            <w:pPr>
              <w:spacing w:after="0" w:line="240" w:lineRule="auto"/>
              <w:jc w:val="left"/>
              <w:rPr>
                <w:rFonts w:eastAsia="Times New Roman" w:cs="Calibri"/>
                <w:color w:val="000000"/>
                <w:sz w:val="18"/>
                <w:szCs w:val="18"/>
                <w:lang w:val="en-US"/>
              </w:rPr>
            </w:pPr>
            <w:r w:rsidRPr="007826DE">
              <w:rPr>
                <w:rFonts w:eastAsia="Times New Roman" w:cs="Calibri"/>
                <w:color w:val="000000"/>
                <w:sz w:val="18"/>
                <w:szCs w:val="18"/>
                <w:lang w:val="en-US"/>
              </w:rPr>
              <w:t>1.1.4.01.99.02.</w:t>
            </w:r>
          </w:p>
        </w:tc>
        <w:tc>
          <w:tcPr>
            <w:tcW w:w="3466" w:type="dxa"/>
            <w:tcBorders>
              <w:top w:val="nil"/>
              <w:left w:val="nil"/>
              <w:bottom w:val="nil"/>
              <w:right w:val="single" w:sz="8" w:space="0" w:color="auto"/>
            </w:tcBorders>
            <w:shd w:val="clear" w:color="auto" w:fill="auto"/>
            <w:vAlign w:val="bottom"/>
            <w:hideMark/>
          </w:tcPr>
          <w:p w14:paraId="017120B7" w14:textId="77777777" w:rsidR="007826DE" w:rsidRPr="007826DE" w:rsidRDefault="007826DE" w:rsidP="007826DE">
            <w:pPr>
              <w:spacing w:after="0" w:line="240" w:lineRule="auto"/>
              <w:jc w:val="left"/>
              <w:rPr>
                <w:rFonts w:eastAsia="Times New Roman" w:cs="Calibri"/>
                <w:color w:val="000000"/>
                <w:sz w:val="18"/>
                <w:szCs w:val="18"/>
              </w:rPr>
            </w:pPr>
            <w:r w:rsidRPr="007826DE">
              <w:rPr>
                <w:rFonts w:eastAsia="Times New Roman" w:cs="Calibri"/>
                <w:color w:val="000000"/>
                <w:sz w:val="18"/>
                <w:szCs w:val="18"/>
              </w:rPr>
              <w:t>Útiles y materiales médico, hospitalario y de investigación</w:t>
            </w:r>
          </w:p>
        </w:tc>
        <w:tc>
          <w:tcPr>
            <w:tcW w:w="1275" w:type="dxa"/>
            <w:tcBorders>
              <w:top w:val="nil"/>
              <w:left w:val="nil"/>
              <w:bottom w:val="nil"/>
              <w:right w:val="single" w:sz="8" w:space="0" w:color="auto"/>
            </w:tcBorders>
            <w:shd w:val="clear" w:color="000000" w:fill="FFFFFF"/>
            <w:noWrap/>
            <w:vAlign w:val="bottom"/>
            <w:hideMark/>
          </w:tcPr>
          <w:p w14:paraId="6C00C460"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189,00</w:t>
            </w:r>
          </w:p>
        </w:tc>
        <w:tc>
          <w:tcPr>
            <w:tcW w:w="1144" w:type="dxa"/>
            <w:tcBorders>
              <w:top w:val="nil"/>
              <w:left w:val="nil"/>
              <w:bottom w:val="nil"/>
              <w:right w:val="single" w:sz="8" w:space="0" w:color="auto"/>
            </w:tcBorders>
            <w:shd w:val="clear" w:color="000000" w:fill="FFFFFF"/>
            <w:noWrap/>
            <w:vAlign w:val="bottom"/>
            <w:hideMark/>
          </w:tcPr>
          <w:p w14:paraId="747A840B"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0,00</w:t>
            </w:r>
          </w:p>
        </w:tc>
        <w:tc>
          <w:tcPr>
            <w:tcW w:w="1104" w:type="dxa"/>
            <w:tcBorders>
              <w:top w:val="nil"/>
              <w:left w:val="nil"/>
              <w:bottom w:val="nil"/>
              <w:right w:val="nil"/>
            </w:tcBorders>
            <w:shd w:val="clear" w:color="000000" w:fill="FFFFFF"/>
            <w:noWrap/>
            <w:vAlign w:val="bottom"/>
            <w:hideMark/>
          </w:tcPr>
          <w:p w14:paraId="1B289867"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189,00</w:t>
            </w:r>
          </w:p>
        </w:tc>
        <w:tc>
          <w:tcPr>
            <w:tcW w:w="1000" w:type="dxa"/>
            <w:tcBorders>
              <w:top w:val="nil"/>
              <w:left w:val="single" w:sz="8" w:space="0" w:color="auto"/>
              <w:bottom w:val="nil"/>
              <w:right w:val="single" w:sz="8" w:space="0" w:color="auto"/>
            </w:tcBorders>
            <w:shd w:val="clear" w:color="auto" w:fill="auto"/>
            <w:noWrap/>
            <w:vAlign w:val="bottom"/>
            <w:hideMark/>
          </w:tcPr>
          <w:p w14:paraId="7F6B6B60" w14:textId="77777777" w:rsidR="007826DE" w:rsidRPr="007826DE" w:rsidRDefault="007826DE" w:rsidP="007826DE">
            <w:pPr>
              <w:spacing w:after="0" w:line="240" w:lineRule="auto"/>
              <w:jc w:val="center"/>
              <w:rPr>
                <w:rFonts w:eastAsia="Times New Roman" w:cs="Calibri"/>
                <w:color w:val="000000"/>
                <w:sz w:val="18"/>
                <w:szCs w:val="18"/>
                <w:lang w:val="en-US"/>
              </w:rPr>
            </w:pPr>
            <w:r w:rsidRPr="007826DE">
              <w:rPr>
                <w:rFonts w:eastAsia="Times New Roman" w:cs="Calibri"/>
                <w:color w:val="000000"/>
                <w:sz w:val="18"/>
                <w:szCs w:val="18"/>
                <w:lang w:val="en-US"/>
              </w:rPr>
              <w:t>#DIV/0!</w:t>
            </w:r>
          </w:p>
        </w:tc>
      </w:tr>
      <w:tr w:rsidR="007826DE" w:rsidRPr="007826DE" w14:paraId="5FDC2246" w14:textId="77777777" w:rsidTr="007826DE">
        <w:trPr>
          <w:gridAfter w:val="1"/>
          <w:wAfter w:w="16" w:type="dxa"/>
          <w:trHeight w:val="290"/>
        </w:trPr>
        <w:tc>
          <w:tcPr>
            <w:tcW w:w="1202" w:type="dxa"/>
            <w:tcBorders>
              <w:top w:val="nil"/>
              <w:left w:val="single" w:sz="8" w:space="0" w:color="auto"/>
              <w:bottom w:val="nil"/>
              <w:right w:val="single" w:sz="8" w:space="0" w:color="auto"/>
            </w:tcBorders>
            <w:shd w:val="clear" w:color="auto" w:fill="auto"/>
            <w:noWrap/>
            <w:vAlign w:val="bottom"/>
            <w:hideMark/>
          </w:tcPr>
          <w:p w14:paraId="3197FBC6" w14:textId="77777777" w:rsidR="007826DE" w:rsidRPr="007826DE" w:rsidRDefault="007826DE" w:rsidP="007826DE">
            <w:pPr>
              <w:spacing w:after="0" w:line="240" w:lineRule="auto"/>
              <w:jc w:val="left"/>
              <w:rPr>
                <w:rFonts w:eastAsia="Times New Roman" w:cs="Calibri"/>
                <w:color w:val="000000"/>
                <w:sz w:val="18"/>
                <w:szCs w:val="18"/>
                <w:lang w:val="en-US"/>
              </w:rPr>
            </w:pPr>
            <w:r w:rsidRPr="007826DE">
              <w:rPr>
                <w:rFonts w:eastAsia="Times New Roman" w:cs="Calibri"/>
                <w:color w:val="000000"/>
                <w:sz w:val="18"/>
                <w:szCs w:val="18"/>
                <w:lang w:val="en-US"/>
              </w:rPr>
              <w:t>1.1.4.01.99.03.</w:t>
            </w:r>
          </w:p>
        </w:tc>
        <w:tc>
          <w:tcPr>
            <w:tcW w:w="3466" w:type="dxa"/>
            <w:tcBorders>
              <w:top w:val="nil"/>
              <w:left w:val="nil"/>
              <w:bottom w:val="nil"/>
              <w:right w:val="single" w:sz="8" w:space="0" w:color="auto"/>
            </w:tcBorders>
            <w:shd w:val="clear" w:color="auto" w:fill="auto"/>
            <w:vAlign w:val="bottom"/>
            <w:hideMark/>
          </w:tcPr>
          <w:p w14:paraId="2EA2966D" w14:textId="77777777" w:rsidR="007826DE" w:rsidRPr="007826DE" w:rsidRDefault="007826DE" w:rsidP="007826DE">
            <w:pPr>
              <w:spacing w:after="0" w:line="240" w:lineRule="auto"/>
              <w:jc w:val="left"/>
              <w:rPr>
                <w:rFonts w:eastAsia="Times New Roman" w:cs="Calibri"/>
                <w:color w:val="000000"/>
                <w:sz w:val="18"/>
                <w:szCs w:val="18"/>
              </w:rPr>
            </w:pPr>
            <w:r w:rsidRPr="007826DE">
              <w:rPr>
                <w:rFonts w:eastAsia="Times New Roman" w:cs="Calibri"/>
                <w:color w:val="000000"/>
                <w:sz w:val="18"/>
                <w:szCs w:val="18"/>
              </w:rPr>
              <w:t>Productos de papel, cartón e impresos</w:t>
            </w:r>
          </w:p>
        </w:tc>
        <w:tc>
          <w:tcPr>
            <w:tcW w:w="1275" w:type="dxa"/>
            <w:tcBorders>
              <w:top w:val="nil"/>
              <w:left w:val="nil"/>
              <w:bottom w:val="nil"/>
              <w:right w:val="single" w:sz="8" w:space="0" w:color="auto"/>
            </w:tcBorders>
            <w:shd w:val="clear" w:color="000000" w:fill="FFFFFF"/>
            <w:noWrap/>
            <w:vAlign w:val="bottom"/>
            <w:hideMark/>
          </w:tcPr>
          <w:p w14:paraId="2E718F9E"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2 721,16</w:t>
            </w:r>
          </w:p>
        </w:tc>
        <w:tc>
          <w:tcPr>
            <w:tcW w:w="1144" w:type="dxa"/>
            <w:tcBorders>
              <w:top w:val="nil"/>
              <w:left w:val="nil"/>
              <w:bottom w:val="nil"/>
              <w:right w:val="single" w:sz="8" w:space="0" w:color="auto"/>
            </w:tcBorders>
            <w:shd w:val="clear" w:color="000000" w:fill="FFFFFF"/>
            <w:noWrap/>
            <w:vAlign w:val="bottom"/>
            <w:hideMark/>
          </w:tcPr>
          <w:p w14:paraId="559F66D4"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1 709,51</w:t>
            </w:r>
          </w:p>
        </w:tc>
        <w:tc>
          <w:tcPr>
            <w:tcW w:w="1104" w:type="dxa"/>
            <w:tcBorders>
              <w:top w:val="nil"/>
              <w:left w:val="nil"/>
              <w:bottom w:val="nil"/>
              <w:right w:val="nil"/>
            </w:tcBorders>
            <w:shd w:val="clear" w:color="000000" w:fill="FFFFFF"/>
            <w:noWrap/>
            <w:vAlign w:val="bottom"/>
            <w:hideMark/>
          </w:tcPr>
          <w:p w14:paraId="5F38C953"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1 011,65</w:t>
            </w:r>
          </w:p>
        </w:tc>
        <w:tc>
          <w:tcPr>
            <w:tcW w:w="1000" w:type="dxa"/>
            <w:tcBorders>
              <w:top w:val="nil"/>
              <w:left w:val="single" w:sz="8" w:space="0" w:color="auto"/>
              <w:bottom w:val="nil"/>
              <w:right w:val="single" w:sz="8" w:space="0" w:color="auto"/>
            </w:tcBorders>
            <w:shd w:val="clear" w:color="auto" w:fill="auto"/>
            <w:noWrap/>
            <w:vAlign w:val="bottom"/>
            <w:hideMark/>
          </w:tcPr>
          <w:p w14:paraId="20906E17" w14:textId="77777777" w:rsidR="007826DE" w:rsidRPr="007826DE" w:rsidRDefault="007826DE" w:rsidP="007826DE">
            <w:pPr>
              <w:spacing w:after="0" w:line="240" w:lineRule="auto"/>
              <w:jc w:val="center"/>
              <w:rPr>
                <w:rFonts w:eastAsia="Times New Roman" w:cs="Calibri"/>
                <w:color w:val="000000"/>
                <w:sz w:val="18"/>
                <w:szCs w:val="18"/>
                <w:lang w:val="en-US"/>
              </w:rPr>
            </w:pPr>
            <w:r w:rsidRPr="007826DE">
              <w:rPr>
                <w:rFonts w:eastAsia="Times New Roman" w:cs="Calibri"/>
                <w:color w:val="000000"/>
                <w:sz w:val="18"/>
                <w:szCs w:val="18"/>
                <w:lang w:val="en-US"/>
              </w:rPr>
              <w:t>59,18%</w:t>
            </w:r>
          </w:p>
        </w:tc>
      </w:tr>
      <w:tr w:rsidR="007826DE" w:rsidRPr="007826DE" w14:paraId="62594843" w14:textId="77777777" w:rsidTr="007826DE">
        <w:trPr>
          <w:gridAfter w:val="1"/>
          <w:wAfter w:w="16" w:type="dxa"/>
          <w:trHeight w:val="290"/>
        </w:trPr>
        <w:tc>
          <w:tcPr>
            <w:tcW w:w="1202" w:type="dxa"/>
            <w:tcBorders>
              <w:top w:val="nil"/>
              <w:left w:val="single" w:sz="8" w:space="0" w:color="auto"/>
              <w:bottom w:val="nil"/>
              <w:right w:val="single" w:sz="8" w:space="0" w:color="auto"/>
            </w:tcBorders>
            <w:shd w:val="clear" w:color="auto" w:fill="auto"/>
            <w:noWrap/>
            <w:vAlign w:val="bottom"/>
            <w:hideMark/>
          </w:tcPr>
          <w:p w14:paraId="1B1BC0EE" w14:textId="77777777" w:rsidR="007826DE" w:rsidRPr="007826DE" w:rsidRDefault="007826DE" w:rsidP="007826DE">
            <w:pPr>
              <w:spacing w:after="0" w:line="240" w:lineRule="auto"/>
              <w:jc w:val="left"/>
              <w:rPr>
                <w:rFonts w:eastAsia="Times New Roman" w:cs="Calibri"/>
                <w:color w:val="000000"/>
                <w:sz w:val="18"/>
                <w:szCs w:val="18"/>
                <w:lang w:val="en-US"/>
              </w:rPr>
            </w:pPr>
            <w:r w:rsidRPr="007826DE">
              <w:rPr>
                <w:rFonts w:eastAsia="Times New Roman" w:cs="Calibri"/>
                <w:color w:val="000000"/>
                <w:sz w:val="18"/>
                <w:szCs w:val="18"/>
                <w:lang w:val="en-US"/>
              </w:rPr>
              <w:t>1.1.4.01.99.04.</w:t>
            </w:r>
          </w:p>
        </w:tc>
        <w:tc>
          <w:tcPr>
            <w:tcW w:w="3466" w:type="dxa"/>
            <w:tcBorders>
              <w:top w:val="nil"/>
              <w:left w:val="nil"/>
              <w:bottom w:val="nil"/>
              <w:right w:val="single" w:sz="8" w:space="0" w:color="auto"/>
            </w:tcBorders>
            <w:shd w:val="clear" w:color="auto" w:fill="auto"/>
            <w:vAlign w:val="bottom"/>
            <w:hideMark/>
          </w:tcPr>
          <w:p w14:paraId="12C53AB6" w14:textId="77777777" w:rsidR="007826DE" w:rsidRPr="007826DE" w:rsidRDefault="007826DE" w:rsidP="007826DE">
            <w:pPr>
              <w:spacing w:after="0" w:line="240" w:lineRule="auto"/>
              <w:jc w:val="left"/>
              <w:rPr>
                <w:rFonts w:eastAsia="Times New Roman" w:cs="Calibri"/>
                <w:color w:val="000000"/>
                <w:sz w:val="18"/>
                <w:szCs w:val="18"/>
                <w:lang w:val="en-US"/>
              </w:rPr>
            </w:pPr>
            <w:r w:rsidRPr="007826DE">
              <w:rPr>
                <w:rFonts w:eastAsia="Times New Roman" w:cs="Calibri"/>
                <w:color w:val="000000"/>
                <w:sz w:val="18"/>
                <w:szCs w:val="18"/>
                <w:lang w:val="en-US"/>
              </w:rPr>
              <w:t>Textiles y vestuario</w:t>
            </w:r>
          </w:p>
        </w:tc>
        <w:tc>
          <w:tcPr>
            <w:tcW w:w="1275" w:type="dxa"/>
            <w:tcBorders>
              <w:top w:val="nil"/>
              <w:left w:val="nil"/>
              <w:bottom w:val="nil"/>
              <w:right w:val="single" w:sz="8" w:space="0" w:color="auto"/>
            </w:tcBorders>
            <w:shd w:val="clear" w:color="000000" w:fill="FFFFFF"/>
            <w:noWrap/>
            <w:vAlign w:val="bottom"/>
            <w:hideMark/>
          </w:tcPr>
          <w:p w14:paraId="336A2033"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402,74</w:t>
            </w:r>
          </w:p>
        </w:tc>
        <w:tc>
          <w:tcPr>
            <w:tcW w:w="1144" w:type="dxa"/>
            <w:tcBorders>
              <w:top w:val="nil"/>
              <w:left w:val="nil"/>
              <w:bottom w:val="nil"/>
              <w:right w:val="single" w:sz="8" w:space="0" w:color="auto"/>
            </w:tcBorders>
            <w:shd w:val="clear" w:color="000000" w:fill="FFFFFF"/>
            <w:noWrap/>
            <w:vAlign w:val="bottom"/>
            <w:hideMark/>
          </w:tcPr>
          <w:p w14:paraId="09621454"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764,45</w:t>
            </w:r>
          </w:p>
        </w:tc>
        <w:tc>
          <w:tcPr>
            <w:tcW w:w="1104" w:type="dxa"/>
            <w:tcBorders>
              <w:top w:val="nil"/>
              <w:left w:val="nil"/>
              <w:bottom w:val="nil"/>
              <w:right w:val="nil"/>
            </w:tcBorders>
            <w:shd w:val="clear" w:color="000000" w:fill="FFFFFF"/>
            <w:noWrap/>
            <w:vAlign w:val="bottom"/>
            <w:hideMark/>
          </w:tcPr>
          <w:p w14:paraId="12B29F27"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-361,71</w:t>
            </w:r>
          </w:p>
        </w:tc>
        <w:tc>
          <w:tcPr>
            <w:tcW w:w="1000" w:type="dxa"/>
            <w:tcBorders>
              <w:top w:val="nil"/>
              <w:left w:val="single" w:sz="8" w:space="0" w:color="auto"/>
              <w:bottom w:val="nil"/>
              <w:right w:val="single" w:sz="8" w:space="0" w:color="auto"/>
            </w:tcBorders>
            <w:shd w:val="clear" w:color="auto" w:fill="auto"/>
            <w:noWrap/>
            <w:vAlign w:val="bottom"/>
            <w:hideMark/>
          </w:tcPr>
          <w:p w14:paraId="69905D54"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-47,32%</w:t>
            </w:r>
          </w:p>
        </w:tc>
      </w:tr>
      <w:tr w:rsidR="007826DE" w:rsidRPr="007826DE" w14:paraId="0DA46292" w14:textId="77777777" w:rsidTr="007826DE">
        <w:trPr>
          <w:gridAfter w:val="1"/>
          <w:wAfter w:w="16" w:type="dxa"/>
          <w:trHeight w:val="290"/>
        </w:trPr>
        <w:tc>
          <w:tcPr>
            <w:tcW w:w="1202" w:type="dxa"/>
            <w:tcBorders>
              <w:top w:val="nil"/>
              <w:left w:val="single" w:sz="8" w:space="0" w:color="auto"/>
              <w:bottom w:val="nil"/>
              <w:right w:val="single" w:sz="8" w:space="0" w:color="auto"/>
            </w:tcBorders>
            <w:shd w:val="clear" w:color="auto" w:fill="auto"/>
            <w:noWrap/>
            <w:vAlign w:val="bottom"/>
            <w:hideMark/>
          </w:tcPr>
          <w:p w14:paraId="16362FFF" w14:textId="77777777" w:rsidR="007826DE" w:rsidRPr="007826DE" w:rsidRDefault="007826DE" w:rsidP="007826DE">
            <w:pPr>
              <w:spacing w:after="0" w:line="240" w:lineRule="auto"/>
              <w:jc w:val="left"/>
              <w:rPr>
                <w:rFonts w:eastAsia="Times New Roman" w:cs="Calibri"/>
                <w:color w:val="000000"/>
                <w:sz w:val="18"/>
                <w:szCs w:val="18"/>
                <w:lang w:val="en-US"/>
              </w:rPr>
            </w:pPr>
            <w:r w:rsidRPr="007826DE">
              <w:rPr>
                <w:rFonts w:eastAsia="Times New Roman" w:cs="Calibri"/>
                <w:color w:val="000000"/>
                <w:sz w:val="18"/>
                <w:szCs w:val="18"/>
                <w:lang w:val="en-US"/>
              </w:rPr>
              <w:t>1.1.4.01.99.05.</w:t>
            </w:r>
          </w:p>
        </w:tc>
        <w:tc>
          <w:tcPr>
            <w:tcW w:w="3466" w:type="dxa"/>
            <w:tcBorders>
              <w:top w:val="nil"/>
              <w:left w:val="nil"/>
              <w:bottom w:val="nil"/>
              <w:right w:val="single" w:sz="8" w:space="0" w:color="auto"/>
            </w:tcBorders>
            <w:shd w:val="clear" w:color="auto" w:fill="auto"/>
            <w:vAlign w:val="bottom"/>
            <w:hideMark/>
          </w:tcPr>
          <w:p w14:paraId="37DC1491" w14:textId="77777777" w:rsidR="007826DE" w:rsidRPr="007826DE" w:rsidRDefault="007826DE" w:rsidP="007826DE">
            <w:pPr>
              <w:spacing w:after="0" w:line="240" w:lineRule="auto"/>
              <w:jc w:val="left"/>
              <w:rPr>
                <w:rFonts w:eastAsia="Times New Roman" w:cs="Calibri"/>
                <w:color w:val="000000"/>
                <w:sz w:val="18"/>
                <w:szCs w:val="18"/>
              </w:rPr>
            </w:pPr>
            <w:r w:rsidRPr="007826DE">
              <w:rPr>
                <w:rFonts w:eastAsia="Times New Roman" w:cs="Calibri"/>
                <w:color w:val="000000"/>
                <w:sz w:val="18"/>
                <w:szCs w:val="18"/>
              </w:rPr>
              <w:t>Útiles y materiales de limpieza</w:t>
            </w:r>
          </w:p>
        </w:tc>
        <w:tc>
          <w:tcPr>
            <w:tcW w:w="1275" w:type="dxa"/>
            <w:tcBorders>
              <w:top w:val="nil"/>
              <w:left w:val="nil"/>
              <w:bottom w:val="nil"/>
              <w:right w:val="single" w:sz="8" w:space="0" w:color="auto"/>
            </w:tcBorders>
            <w:shd w:val="clear" w:color="000000" w:fill="FFFFFF"/>
            <w:noWrap/>
            <w:vAlign w:val="bottom"/>
            <w:hideMark/>
          </w:tcPr>
          <w:p w14:paraId="110DCABB"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2 924,25</w:t>
            </w:r>
          </w:p>
        </w:tc>
        <w:tc>
          <w:tcPr>
            <w:tcW w:w="1144" w:type="dxa"/>
            <w:tcBorders>
              <w:top w:val="nil"/>
              <w:left w:val="nil"/>
              <w:bottom w:val="nil"/>
              <w:right w:val="single" w:sz="8" w:space="0" w:color="auto"/>
            </w:tcBorders>
            <w:shd w:val="clear" w:color="000000" w:fill="FFFFFF"/>
            <w:noWrap/>
            <w:vAlign w:val="bottom"/>
            <w:hideMark/>
          </w:tcPr>
          <w:p w14:paraId="5927296B"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433,59</w:t>
            </w:r>
          </w:p>
        </w:tc>
        <w:tc>
          <w:tcPr>
            <w:tcW w:w="1104" w:type="dxa"/>
            <w:tcBorders>
              <w:top w:val="nil"/>
              <w:left w:val="nil"/>
              <w:bottom w:val="nil"/>
              <w:right w:val="nil"/>
            </w:tcBorders>
            <w:shd w:val="clear" w:color="000000" w:fill="FFFFFF"/>
            <w:noWrap/>
            <w:vAlign w:val="bottom"/>
            <w:hideMark/>
          </w:tcPr>
          <w:p w14:paraId="4E6CE4A2"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2 490,66</w:t>
            </w:r>
          </w:p>
        </w:tc>
        <w:tc>
          <w:tcPr>
            <w:tcW w:w="1000" w:type="dxa"/>
            <w:tcBorders>
              <w:top w:val="nil"/>
              <w:left w:val="single" w:sz="8" w:space="0" w:color="auto"/>
              <w:bottom w:val="nil"/>
              <w:right w:val="single" w:sz="8" w:space="0" w:color="auto"/>
            </w:tcBorders>
            <w:shd w:val="clear" w:color="auto" w:fill="auto"/>
            <w:noWrap/>
            <w:vAlign w:val="bottom"/>
            <w:hideMark/>
          </w:tcPr>
          <w:p w14:paraId="428BF0DF"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574,42%</w:t>
            </w:r>
          </w:p>
        </w:tc>
      </w:tr>
      <w:tr w:rsidR="007826DE" w:rsidRPr="007826DE" w14:paraId="0B2D0F93" w14:textId="77777777" w:rsidTr="007826DE">
        <w:trPr>
          <w:gridAfter w:val="1"/>
          <w:wAfter w:w="16" w:type="dxa"/>
          <w:trHeight w:val="290"/>
        </w:trPr>
        <w:tc>
          <w:tcPr>
            <w:tcW w:w="1202" w:type="dxa"/>
            <w:tcBorders>
              <w:top w:val="nil"/>
              <w:left w:val="single" w:sz="8" w:space="0" w:color="auto"/>
              <w:bottom w:val="nil"/>
              <w:right w:val="single" w:sz="8" w:space="0" w:color="auto"/>
            </w:tcBorders>
            <w:shd w:val="clear" w:color="auto" w:fill="auto"/>
            <w:noWrap/>
            <w:vAlign w:val="bottom"/>
            <w:hideMark/>
          </w:tcPr>
          <w:p w14:paraId="7666406B" w14:textId="77777777" w:rsidR="007826DE" w:rsidRPr="007826DE" w:rsidRDefault="007826DE" w:rsidP="007826DE">
            <w:pPr>
              <w:spacing w:after="0" w:line="240" w:lineRule="auto"/>
              <w:jc w:val="left"/>
              <w:rPr>
                <w:rFonts w:eastAsia="Times New Roman" w:cs="Calibri"/>
                <w:color w:val="000000"/>
                <w:sz w:val="18"/>
                <w:szCs w:val="18"/>
                <w:lang w:val="en-US"/>
              </w:rPr>
            </w:pPr>
            <w:r w:rsidRPr="007826DE">
              <w:rPr>
                <w:rFonts w:eastAsia="Times New Roman" w:cs="Calibri"/>
                <w:color w:val="000000"/>
                <w:sz w:val="18"/>
                <w:szCs w:val="18"/>
                <w:lang w:val="en-US"/>
              </w:rPr>
              <w:t>1.1.4.01.99.06.</w:t>
            </w:r>
          </w:p>
        </w:tc>
        <w:tc>
          <w:tcPr>
            <w:tcW w:w="3466" w:type="dxa"/>
            <w:tcBorders>
              <w:top w:val="nil"/>
              <w:left w:val="nil"/>
              <w:bottom w:val="nil"/>
              <w:right w:val="single" w:sz="8" w:space="0" w:color="auto"/>
            </w:tcBorders>
            <w:shd w:val="clear" w:color="auto" w:fill="auto"/>
            <w:vAlign w:val="bottom"/>
            <w:hideMark/>
          </w:tcPr>
          <w:p w14:paraId="4BC250B7" w14:textId="77777777" w:rsidR="007826DE" w:rsidRPr="007826DE" w:rsidRDefault="007826DE" w:rsidP="007826DE">
            <w:pPr>
              <w:spacing w:after="0" w:line="240" w:lineRule="auto"/>
              <w:jc w:val="left"/>
              <w:rPr>
                <w:rFonts w:eastAsia="Times New Roman" w:cs="Calibri"/>
                <w:color w:val="000000"/>
                <w:sz w:val="18"/>
                <w:szCs w:val="18"/>
              </w:rPr>
            </w:pPr>
            <w:r w:rsidRPr="007826DE">
              <w:rPr>
                <w:rFonts w:eastAsia="Times New Roman" w:cs="Calibri"/>
                <w:color w:val="000000"/>
                <w:sz w:val="18"/>
                <w:szCs w:val="18"/>
              </w:rPr>
              <w:t>Útiles y materiales de resguardo y seguridad</w:t>
            </w:r>
          </w:p>
        </w:tc>
        <w:tc>
          <w:tcPr>
            <w:tcW w:w="1275" w:type="dxa"/>
            <w:tcBorders>
              <w:top w:val="nil"/>
              <w:left w:val="nil"/>
              <w:bottom w:val="nil"/>
              <w:right w:val="single" w:sz="8" w:space="0" w:color="auto"/>
            </w:tcBorders>
            <w:shd w:val="clear" w:color="000000" w:fill="FFFFFF"/>
            <w:noWrap/>
            <w:vAlign w:val="bottom"/>
            <w:hideMark/>
          </w:tcPr>
          <w:p w14:paraId="789F6274"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3 471,71</w:t>
            </w:r>
          </w:p>
        </w:tc>
        <w:tc>
          <w:tcPr>
            <w:tcW w:w="1144" w:type="dxa"/>
            <w:tcBorders>
              <w:top w:val="nil"/>
              <w:left w:val="nil"/>
              <w:bottom w:val="nil"/>
              <w:right w:val="single" w:sz="8" w:space="0" w:color="auto"/>
            </w:tcBorders>
            <w:shd w:val="clear" w:color="000000" w:fill="FFFFFF"/>
            <w:noWrap/>
            <w:vAlign w:val="bottom"/>
            <w:hideMark/>
          </w:tcPr>
          <w:p w14:paraId="15910483"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2 184,57</w:t>
            </w:r>
          </w:p>
        </w:tc>
        <w:tc>
          <w:tcPr>
            <w:tcW w:w="1104" w:type="dxa"/>
            <w:tcBorders>
              <w:top w:val="nil"/>
              <w:left w:val="nil"/>
              <w:bottom w:val="nil"/>
              <w:right w:val="nil"/>
            </w:tcBorders>
            <w:shd w:val="clear" w:color="000000" w:fill="FFFFFF"/>
            <w:noWrap/>
            <w:vAlign w:val="bottom"/>
            <w:hideMark/>
          </w:tcPr>
          <w:p w14:paraId="7766DF8A"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1 287,15</w:t>
            </w:r>
          </w:p>
        </w:tc>
        <w:tc>
          <w:tcPr>
            <w:tcW w:w="1000" w:type="dxa"/>
            <w:tcBorders>
              <w:top w:val="nil"/>
              <w:left w:val="single" w:sz="8" w:space="0" w:color="auto"/>
              <w:bottom w:val="nil"/>
              <w:right w:val="single" w:sz="8" w:space="0" w:color="auto"/>
            </w:tcBorders>
            <w:shd w:val="clear" w:color="auto" w:fill="auto"/>
            <w:noWrap/>
            <w:vAlign w:val="bottom"/>
            <w:hideMark/>
          </w:tcPr>
          <w:p w14:paraId="409ABC0D"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58,92%</w:t>
            </w:r>
          </w:p>
        </w:tc>
      </w:tr>
      <w:tr w:rsidR="007826DE" w:rsidRPr="007826DE" w14:paraId="57DE9272" w14:textId="77777777" w:rsidTr="007826DE">
        <w:trPr>
          <w:gridAfter w:val="1"/>
          <w:wAfter w:w="16" w:type="dxa"/>
          <w:trHeight w:val="300"/>
        </w:trPr>
        <w:tc>
          <w:tcPr>
            <w:tcW w:w="1202" w:type="dxa"/>
            <w:tcBorders>
              <w:top w:val="nil"/>
              <w:left w:val="single" w:sz="8" w:space="0" w:color="auto"/>
              <w:bottom w:val="nil"/>
              <w:right w:val="single" w:sz="8" w:space="0" w:color="auto"/>
            </w:tcBorders>
            <w:shd w:val="clear" w:color="auto" w:fill="auto"/>
            <w:noWrap/>
            <w:vAlign w:val="bottom"/>
            <w:hideMark/>
          </w:tcPr>
          <w:p w14:paraId="5ABB2D81" w14:textId="77777777" w:rsidR="007826DE" w:rsidRPr="007826DE" w:rsidRDefault="007826DE" w:rsidP="007826DE">
            <w:pPr>
              <w:spacing w:after="0" w:line="240" w:lineRule="auto"/>
              <w:jc w:val="left"/>
              <w:rPr>
                <w:rFonts w:eastAsia="Times New Roman" w:cs="Calibri"/>
                <w:color w:val="000000"/>
                <w:sz w:val="18"/>
                <w:szCs w:val="18"/>
                <w:lang w:val="en-US"/>
              </w:rPr>
            </w:pPr>
            <w:r w:rsidRPr="007826DE">
              <w:rPr>
                <w:rFonts w:eastAsia="Times New Roman" w:cs="Calibri"/>
                <w:color w:val="000000"/>
                <w:sz w:val="18"/>
                <w:szCs w:val="18"/>
                <w:lang w:val="en-US"/>
              </w:rPr>
              <w:t>1.1.4.01.99.99.</w:t>
            </w:r>
          </w:p>
        </w:tc>
        <w:tc>
          <w:tcPr>
            <w:tcW w:w="3466" w:type="dxa"/>
            <w:tcBorders>
              <w:top w:val="nil"/>
              <w:left w:val="nil"/>
              <w:bottom w:val="nil"/>
              <w:right w:val="single" w:sz="8" w:space="0" w:color="auto"/>
            </w:tcBorders>
            <w:shd w:val="clear" w:color="auto" w:fill="auto"/>
            <w:vAlign w:val="bottom"/>
            <w:hideMark/>
          </w:tcPr>
          <w:p w14:paraId="59CD830E" w14:textId="77777777" w:rsidR="007826DE" w:rsidRPr="007826DE" w:rsidRDefault="007826DE" w:rsidP="007826DE">
            <w:pPr>
              <w:spacing w:after="0" w:line="240" w:lineRule="auto"/>
              <w:jc w:val="left"/>
              <w:rPr>
                <w:rFonts w:eastAsia="Times New Roman" w:cs="Calibri"/>
                <w:color w:val="000000"/>
                <w:sz w:val="18"/>
                <w:szCs w:val="18"/>
              </w:rPr>
            </w:pPr>
            <w:r w:rsidRPr="007826DE">
              <w:rPr>
                <w:rFonts w:eastAsia="Times New Roman" w:cs="Calibri"/>
                <w:color w:val="000000"/>
                <w:sz w:val="18"/>
                <w:szCs w:val="18"/>
              </w:rPr>
              <w:t>Otros útiles, materiales y suministros diversos</w:t>
            </w:r>
          </w:p>
        </w:tc>
        <w:tc>
          <w:tcPr>
            <w:tcW w:w="1275" w:type="dxa"/>
            <w:tcBorders>
              <w:top w:val="nil"/>
              <w:left w:val="nil"/>
              <w:bottom w:val="nil"/>
              <w:right w:val="single" w:sz="8" w:space="0" w:color="auto"/>
            </w:tcBorders>
            <w:shd w:val="clear" w:color="000000" w:fill="FFFFFF"/>
            <w:noWrap/>
            <w:vAlign w:val="bottom"/>
            <w:hideMark/>
          </w:tcPr>
          <w:p w14:paraId="3C299E15"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715,62</w:t>
            </w:r>
          </w:p>
        </w:tc>
        <w:tc>
          <w:tcPr>
            <w:tcW w:w="1144" w:type="dxa"/>
            <w:tcBorders>
              <w:top w:val="nil"/>
              <w:left w:val="nil"/>
              <w:bottom w:val="nil"/>
              <w:right w:val="single" w:sz="8" w:space="0" w:color="auto"/>
            </w:tcBorders>
            <w:shd w:val="clear" w:color="000000" w:fill="FFFFFF"/>
            <w:noWrap/>
            <w:vAlign w:val="bottom"/>
            <w:hideMark/>
          </w:tcPr>
          <w:p w14:paraId="23A257FC"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494,67</w:t>
            </w:r>
          </w:p>
        </w:tc>
        <w:tc>
          <w:tcPr>
            <w:tcW w:w="1104" w:type="dxa"/>
            <w:tcBorders>
              <w:top w:val="nil"/>
              <w:left w:val="nil"/>
              <w:bottom w:val="nil"/>
              <w:right w:val="nil"/>
            </w:tcBorders>
            <w:shd w:val="clear" w:color="000000" w:fill="FFFFFF"/>
            <w:noWrap/>
            <w:vAlign w:val="bottom"/>
            <w:hideMark/>
          </w:tcPr>
          <w:p w14:paraId="2616158C" w14:textId="77777777" w:rsidR="007826DE" w:rsidRPr="007826DE" w:rsidRDefault="007826DE" w:rsidP="007826DE">
            <w:pPr>
              <w:spacing w:after="0" w:line="240" w:lineRule="auto"/>
              <w:jc w:val="right"/>
              <w:rPr>
                <w:rFonts w:eastAsia="Times New Roman" w:cs="Calibri"/>
                <w:color w:val="000000"/>
                <w:sz w:val="18"/>
                <w:szCs w:val="18"/>
                <w:lang w:val="en-US"/>
              </w:rPr>
            </w:pPr>
            <w:r w:rsidRPr="007826DE">
              <w:rPr>
                <w:rFonts w:eastAsia="Times New Roman" w:cs="Calibri"/>
                <w:color w:val="000000"/>
                <w:sz w:val="18"/>
                <w:szCs w:val="18"/>
                <w:lang w:val="en-US"/>
              </w:rPr>
              <w:t>220,95</w:t>
            </w:r>
          </w:p>
        </w:tc>
        <w:tc>
          <w:tcPr>
            <w:tcW w:w="1000" w:type="dxa"/>
            <w:tcBorders>
              <w:top w:val="nil"/>
              <w:left w:val="single" w:sz="8" w:space="0" w:color="auto"/>
              <w:bottom w:val="single" w:sz="8" w:space="0" w:color="auto"/>
              <w:right w:val="single" w:sz="8" w:space="0" w:color="auto"/>
            </w:tcBorders>
            <w:shd w:val="clear" w:color="auto" w:fill="auto"/>
            <w:noWrap/>
            <w:vAlign w:val="bottom"/>
            <w:hideMark/>
          </w:tcPr>
          <w:p w14:paraId="38455BC6" w14:textId="77777777" w:rsidR="007826DE" w:rsidRPr="007826DE" w:rsidRDefault="007826DE" w:rsidP="007826DE">
            <w:pPr>
              <w:spacing w:after="0" w:line="240" w:lineRule="auto"/>
              <w:jc w:val="center"/>
              <w:rPr>
                <w:rFonts w:eastAsia="Times New Roman" w:cs="Calibri"/>
                <w:color w:val="000000"/>
                <w:sz w:val="18"/>
                <w:szCs w:val="18"/>
                <w:lang w:val="en-US"/>
              </w:rPr>
            </w:pPr>
            <w:r w:rsidRPr="007826DE">
              <w:rPr>
                <w:rFonts w:eastAsia="Times New Roman" w:cs="Calibri"/>
                <w:color w:val="000000"/>
                <w:sz w:val="18"/>
                <w:szCs w:val="18"/>
                <w:lang w:val="en-US"/>
              </w:rPr>
              <w:t>44,67%</w:t>
            </w:r>
          </w:p>
        </w:tc>
      </w:tr>
      <w:tr w:rsidR="007826DE" w:rsidRPr="007826DE" w14:paraId="17B53BF4" w14:textId="77777777" w:rsidTr="007826DE">
        <w:trPr>
          <w:gridAfter w:val="1"/>
          <w:wAfter w:w="16" w:type="dxa"/>
          <w:trHeight w:val="300"/>
        </w:trPr>
        <w:tc>
          <w:tcPr>
            <w:tcW w:w="1202" w:type="dxa"/>
            <w:tcBorders>
              <w:top w:val="single" w:sz="8" w:space="0" w:color="auto"/>
              <w:left w:val="single" w:sz="8" w:space="0" w:color="auto"/>
              <w:bottom w:val="nil"/>
              <w:right w:val="single" w:sz="8" w:space="0" w:color="auto"/>
            </w:tcBorders>
            <w:shd w:val="clear" w:color="000000" w:fill="1F4E78"/>
            <w:noWrap/>
            <w:vAlign w:val="bottom"/>
            <w:hideMark/>
          </w:tcPr>
          <w:p w14:paraId="10A4FF40" w14:textId="77777777" w:rsidR="007826DE" w:rsidRPr="007826DE" w:rsidRDefault="007826DE" w:rsidP="007826DE">
            <w:pPr>
              <w:spacing w:after="0" w:line="240" w:lineRule="auto"/>
              <w:jc w:val="left"/>
              <w:rPr>
                <w:rFonts w:ascii="Calibri" w:eastAsia="Times New Roman" w:hAnsi="Calibri" w:cs="Calibri"/>
                <w:b/>
                <w:bCs/>
                <w:color w:val="FFFFFF"/>
                <w:sz w:val="22"/>
                <w:lang w:val="en-US"/>
              </w:rPr>
            </w:pPr>
            <w:r w:rsidRPr="007826DE">
              <w:rPr>
                <w:rFonts w:ascii="Calibri" w:eastAsia="Times New Roman" w:hAnsi="Calibri" w:cs="Calibri"/>
                <w:b/>
                <w:bCs/>
                <w:color w:val="FFFFFF"/>
                <w:sz w:val="22"/>
                <w:lang w:val="en-US"/>
              </w:rPr>
              <w:t xml:space="preserve"> </w:t>
            </w:r>
          </w:p>
        </w:tc>
        <w:tc>
          <w:tcPr>
            <w:tcW w:w="3466" w:type="dxa"/>
            <w:tcBorders>
              <w:top w:val="single" w:sz="8" w:space="0" w:color="auto"/>
              <w:left w:val="nil"/>
              <w:bottom w:val="nil"/>
              <w:right w:val="nil"/>
            </w:tcBorders>
            <w:shd w:val="clear" w:color="000000" w:fill="1F4E78"/>
            <w:noWrap/>
            <w:vAlign w:val="bottom"/>
            <w:hideMark/>
          </w:tcPr>
          <w:p w14:paraId="24E0F9F1" w14:textId="77777777" w:rsidR="007826DE" w:rsidRPr="007826DE" w:rsidRDefault="007826DE" w:rsidP="007826DE">
            <w:pPr>
              <w:spacing w:after="0" w:line="240" w:lineRule="auto"/>
              <w:jc w:val="center"/>
              <w:rPr>
                <w:rFonts w:ascii="Calibri" w:eastAsia="Times New Roman" w:hAnsi="Calibri" w:cs="Calibri"/>
                <w:b/>
                <w:bCs/>
                <w:color w:val="FFFFFF"/>
                <w:sz w:val="22"/>
                <w:lang w:val="en-US"/>
              </w:rPr>
            </w:pPr>
            <w:r w:rsidRPr="007826DE">
              <w:rPr>
                <w:rFonts w:ascii="Calibri" w:eastAsia="Times New Roman" w:hAnsi="Calibri" w:cs="Calibri"/>
                <w:b/>
                <w:bCs/>
                <w:color w:val="FFFFFF"/>
                <w:sz w:val="22"/>
                <w:lang w:val="en-US"/>
              </w:rPr>
              <w:t>TOTALES</w:t>
            </w:r>
          </w:p>
        </w:tc>
        <w:tc>
          <w:tcPr>
            <w:tcW w:w="1275" w:type="dxa"/>
            <w:tcBorders>
              <w:top w:val="single" w:sz="8" w:space="0" w:color="auto"/>
              <w:left w:val="single" w:sz="8" w:space="0" w:color="auto"/>
              <w:bottom w:val="single" w:sz="8" w:space="0" w:color="auto"/>
              <w:right w:val="single" w:sz="8" w:space="0" w:color="auto"/>
            </w:tcBorders>
            <w:shd w:val="clear" w:color="000000" w:fill="1F4E78"/>
            <w:noWrap/>
            <w:vAlign w:val="bottom"/>
            <w:hideMark/>
          </w:tcPr>
          <w:p w14:paraId="65E15529" w14:textId="77777777" w:rsidR="007826DE" w:rsidRPr="007826DE" w:rsidRDefault="007826DE" w:rsidP="007826DE">
            <w:pPr>
              <w:spacing w:after="0" w:line="240" w:lineRule="auto"/>
              <w:ind w:left="-91"/>
              <w:jc w:val="right"/>
              <w:rPr>
                <w:rFonts w:ascii="Calibri" w:eastAsia="Times New Roman" w:hAnsi="Calibri" w:cs="Calibri"/>
                <w:b/>
                <w:bCs/>
                <w:color w:val="FFFFFF"/>
                <w:sz w:val="20"/>
                <w:szCs w:val="20"/>
                <w:lang w:val="en-US"/>
              </w:rPr>
            </w:pPr>
            <w:r w:rsidRPr="007826DE">
              <w:rPr>
                <w:rFonts w:ascii="Calibri" w:eastAsia="Times New Roman" w:hAnsi="Calibri" w:cs="Calibri"/>
                <w:b/>
                <w:bCs/>
                <w:color w:val="FFFFFF"/>
                <w:sz w:val="20"/>
                <w:szCs w:val="20"/>
                <w:lang w:val="en-US"/>
              </w:rPr>
              <w:t>₡194 362,53</w:t>
            </w:r>
          </w:p>
        </w:tc>
        <w:tc>
          <w:tcPr>
            <w:tcW w:w="1144" w:type="dxa"/>
            <w:tcBorders>
              <w:top w:val="single" w:sz="8" w:space="0" w:color="auto"/>
              <w:left w:val="nil"/>
              <w:bottom w:val="single" w:sz="8" w:space="0" w:color="auto"/>
              <w:right w:val="single" w:sz="8" w:space="0" w:color="auto"/>
            </w:tcBorders>
            <w:shd w:val="clear" w:color="000000" w:fill="1F4E78"/>
            <w:noWrap/>
            <w:vAlign w:val="bottom"/>
            <w:hideMark/>
          </w:tcPr>
          <w:p w14:paraId="108CF218" w14:textId="77777777" w:rsidR="007826DE" w:rsidRPr="007826DE" w:rsidRDefault="007826DE" w:rsidP="007826DE">
            <w:pPr>
              <w:spacing w:after="0" w:line="240" w:lineRule="auto"/>
              <w:ind w:left="-206"/>
              <w:jc w:val="right"/>
              <w:rPr>
                <w:rFonts w:ascii="Calibri" w:eastAsia="Times New Roman" w:hAnsi="Calibri" w:cs="Calibri"/>
                <w:b/>
                <w:bCs/>
                <w:color w:val="FFFFFF"/>
                <w:sz w:val="20"/>
                <w:szCs w:val="20"/>
                <w:lang w:val="en-US"/>
              </w:rPr>
            </w:pPr>
            <w:r w:rsidRPr="007826DE">
              <w:rPr>
                <w:rFonts w:ascii="Calibri" w:eastAsia="Times New Roman" w:hAnsi="Calibri" w:cs="Calibri"/>
                <w:b/>
                <w:bCs/>
                <w:color w:val="FFFFFF"/>
                <w:sz w:val="20"/>
                <w:szCs w:val="20"/>
                <w:lang w:val="en-US"/>
              </w:rPr>
              <w:t>₡177 192,02</w:t>
            </w:r>
          </w:p>
        </w:tc>
        <w:tc>
          <w:tcPr>
            <w:tcW w:w="1104" w:type="dxa"/>
            <w:tcBorders>
              <w:top w:val="single" w:sz="8" w:space="0" w:color="auto"/>
              <w:left w:val="nil"/>
              <w:bottom w:val="single" w:sz="8" w:space="0" w:color="auto"/>
              <w:right w:val="single" w:sz="8" w:space="0" w:color="auto"/>
            </w:tcBorders>
            <w:shd w:val="clear" w:color="000000" w:fill="1F4E78"/>
            <w:noWrap/>
            <w:vAlign w:val="bottom"/>
            <w:hideMark/>
          </w:tcPr>
          <w:p w14:paraId="0A30414A" w14:textId="77777777" w:rsidR="007826DE" w:rsidRPr="007826DE" w:rsidRDefault="007826DE" w:rsidP="007826DE">
            <w:pPr>
              <w:spacing w:after="0" w:line="240" w:lineRule="auto"/>
              <w:ind w:left="-111"/>
              <w:jc w:val="right"/>
              <w:rPr>
                <w:rFonts w:ascii="Calibri" w:eastAsia="Times New Roman" w:hAnsi="Calibri" w:cs="Calibri"/>
                <w:b/>
                <w:bCs/>
                <w:color w:val="FFFFFF"/>
                <w:sz w:val="20"/>
                <w:szCs w:val="20"/>
                <w:lang w:val="en-US"/>
              </w:rPr>
            </w:pPr>
            <w:r w:rsidRPr="007826DE">
              <w:rPr>
                <w:rFonts w:ascii="Calibri" w:eastAsia="Times New Roman" w:hAnsi="Calibri" w:cs="Calibri"/>
                <w:b/>
                <w:bCs/>
                <w:color w:val="FFFFFF"/>
                <w:sz w:val="20"/>
                <w:szCs w:val="20"/>
                <w:lang w:val="en-US"/>
              </w:rPr>
              <w:t>₡17 170,51</w:t>
            </w:r>
          </w:p>
        </w:tc>
        <w:tc>
          <w:tcPr>
            <w:tcW w:w="1000" w:type="dxa"/>
            <w:tcBorders>
              <w:top w:val="nil"/>
              <w:left w:val="nil"/>
              <w:bottom w:val="single" w:sz="4" w:space="0" w:color="auto"/>
              <w:right w:val="single" w:sz="8" w:space="0" w:color="auto"/>
            </w:tcBorders>
            <w:shd w:val="clear" w:color="000000" w:fill="1F4E78"/>
            <w:noWrap/>
            <w:vAlign w:val="bottom"/>
            <w:hideMark/>
          </w:tcPr>
          <w:p w14:paraId="78455AB1" w14:textId="77777777" w:rsidR="007826DE" w:rsidRPr="007826DE" w:rsidRDefault="007826DE" w:rsidP="007826DE">
            <w:pPr>
              <w:spacing w:after="0" w:line="240" w:lineRule="auto"/>
              <w:jc w:val="right"/>
              <w:rPr>
                <w:rFonts w:ascii="Calibri" w:eastAsia="Times New Roman" w:hAnsi="Calibri" w:cs="Calibri"/>
                <w:b/>
                <w:bCs/>
                <w:color w:val="FFFFFF"/>
                <w:sz w:val="20"/>
                <w:szCs w:val="20"/>
                <w:lang w:val="en-US"/>
              </w:rPr>
            </w:pPr>
            <w:r w:rsidRPr="007826DE">
              <w:rPr>
                <w:rFonts w:ascii="Calibri" w:eastAsia="Times New Roman" w:hAnsi="Calibri" w:cs="Calibri"/>
                <w:b/>
                <w:bCs/>
                <w:color w:val="FFFFFF"/>
                <w:sz w:val="20"/>
                <w:szCs w:val="20"/>
                <w:lang w:val="en-US"/>
              </w:rPr>
              <w:t>9,69%</w:t>
            </w:r>
          </w:p>
        </w:tc>
      </w:tr>
    </w:tbl>
    <w:p w14:paraId="016ED2F4" w14:textId="6FEAE56C" w:rsidR="00C77D21" w:rsidRDefault="00C77D21" w:rsidP="00397338">
      <w:pPr>
        <w:spacing w:after="120" w:line="240" w:lineRule="auto"/>
        <w:rPr>
          <w:rFonts w:eastAsia="Times New Roman"/>
          <w:szCs w:val="24"/>
          <w:lang w:eastAsia="es-CR"/>
        </w:rPr>
      </w:pPr>
    </w:p>
    <w:p w14:paraId="22B17BC6" w14:textId="5DDAEC96" w:rsidR="00397338" w:rsidRDefault="00397338" w:rsidP="00397338">
      <w:pPr>
        <w:spacing w:after="0" w:line="240" w:lineRule="auto"/>
      </w:pPr>
      <w:r w:rsidRPr="00A91674">
        <w:t xml:space="preserve">Como se observa en el cuadro anterior, </w:t>
      </w:r>
      <w:r>
        <w:t xml:space="preserve">la variación (aumento) que presenta el saldo de la cuenta de </w:t>
      </w:r>
      <w:r w:rsidRPr="00A91674">
        <w:t xml:space="preserve">inventarios </w:t>
      </w:r>
      <w:r w:rsidR="007826DE">
        <w:t>a</w:t>
      </w:r>
      <w:r w:rsidRPr="00A91674">
        <w:t xml:space="preserve">l </w:t>
      </w:r>
      <w:r w:rsidR="00D470B6">
        <w:t>30 de junio</w:t>
      </w:r>
      <w:r w:rsidRPr="00A91674">
        <w:t xml:space="preserve"> de </w:t>
      </w:r>
      <w:r>
        <w:t xml:space="preserve">2024 con respecto al mismo mes del año 2023 de </w:t>
      </w:r>
      <w:r w:rsidRPr="00EE7BD1">
        <w:rPr>
          <w:rFonts w:ascii="Arial" w:hAnsi="Arial" w:cs="Arial"/>
        </w:rPr>
        <w:t>₡</w:t>
      </w:r>
      <w:r w:rsidRPr="00EE7BD1">
        <w:t>1</w:t>
      </w:r>
      <w:r w:rsidR="007826DE">
        <w:t>7</w:t>
      </w:r>
      <w:r w:rsidRPr="00EE7BD1">
        <w:t xml:space="preserve"> </w:t>
      </w:r>
      <w:r w:rsidR="007826DE">
        <w:t>170</w:t>
      </w:r>
      <w:r w:rsidRPr="00EE7BD1">
        <w:t>,</w:t>
      </w:r>
      <w:r>
        <w:t>5</w:t>
      </w:r>
      <w:r w:rsidR="007826DE">
        <w:t>1</w:t>
      </w:r>
      <w:r>
        <w:t xml:space="preserve"> </w:t>
      </w:r>
      <w:r w:rsidRPr="00763896">
        <w:t>miles</w:t>
      </w:r>
      <w:r w:rsidRPr="00A91674">
        <w:t xml:space="preserve">, </w:t>
      </w:r>
      <w:r>
        <w:t xml:space="preserve">obedece fundamentalmente al aumento en </w:t>
      </w:r>
      <w:r w:rsidR="006B70FF">
        <w:t xml:space="preserve">las </w:t>
      </w:r>
      <w:r>
        <w:t xml:space="preserve">Combustibles y lubricantes de </w:t>
      </w:r>
      <w:r w:rsidRPr="00EE7BD1">
        <w:rPr>
          <w:rFonts w:ascii="Arial" w:hAnsi="Arial" w:cs="Arial"/>
        </w:rPr>
        <w:t>₡</w:t>
      </w:r>
      <w:r w:rsidRPr="00EE7BD1">
        <w:t>1</w:t>
      </w:r>
      <w:r w:rsidR="00B10830">
        <w:t xml:space="preserve"> 349</w:t>
      </w:r>
      <w:r w:rsidRPr="00EE7BD1">
        <w:t>,</w:t>
      </w:r>
      <w:r w:rsidR="00B10830">
        <w:t>27</w:t>
      </w:r>
      <w:r w:rsidRPr="00EE7BD1">
        <w:t xml:space="preserve"> </w:t>
      </w:r>
      <w:r w:rsidRPr="003024ED">
        <w:t>miles</w:t>
      </w:r>
      <w:r>
        <w:t xml:space="preserve">, en </w:t>
      </w:r>
      <w:r w:rsidRPr="00EE7BD1">
        <w:t xml:space="preserve">Tintas, pinturas y diluyentes de </w:t>
      </w:r>
      <w:r w:rsidRPr="00EE7BD1">
        <w:rPr>
          <w:rFonts w:ascii="Arial" w:hAnsi="Arial" w:cs="Arial"/>
        </w:rPr>
        <w:t>₡</w:t>
      </w:r>
      <w:r w:rsidRPr="00EE7BD1">
        <w:t xml:space="preserve">1 </w:t>
      </w:r>
      <w:r w:rsidR="00B10830">
        <w:t>48</w:t>
      </w:r>
      <w:r w:rsidRPr="00EE7BD1">
        <w:t>9,</w:t>
      </w:r>
      <w:r w:rsidR="00B10830">
        <w:t>7</w:t>
      </w:r>
      <w:r w:rsidRPr="00EE7BD1">
        <w:t xml:space="preserve">7, </w:t>
      </w:r>
      <w:r>
        <w:t xml:space="preserve">en Repuestos y accesorios nuevos por </w:t>
      </w:r>
      <w:r w:rsidRPr="00CD7EF5">
        <w:rPr>
          <w:rFonts w:ascii="Arial" w:hAnsi="Arial" w:cs="Arial"/>
        </w:rPr>
        <w:t>₡</w:t>
      </w:r>
      <w:r w:rsidRPr="00EE7BD1">
        <w:t>1</w:t>
      </w:r>
      <w:r>
        <w:t>4</w:t>
      </w:r>
      <w:r w:rsidR="00B10830">
        <w:t xml:space="preserve"> 255</w:t>
      </w:r>
      <w:r w:rsidRPr="00EE7BD1">
        <w:t>,</w:t>
      </w:r>
      <w:r w:rsidR="00B10830">
        <w:t>85</w:t>
      </w:r>
      <w:r w:rsidRPr="00EE7BD1">
        <w:t xml:space="preserve"> </w:t>
      </w:r>
      <w:r w:rsidRPr="00F967AD">
        <w:t>miles</w:t>
      </w:r>
      <w:r w:rsidRPr="00CA23EA">
        <w:t>,</w:t>
      </w:r>
      <w:r>
        <w:t xml:space="preserve"> en Útiles y materiales de oficina y cómputo </w:t>
      </w:r>
      <w:r w:rsidRPr="00CD7EF5">
        <w:rPr>
          <w:rFonts w:ascii="Arial" w:hAnsi="Arial" w:cs="Arial"/>
        </w:rPr>
        <w:t>₡</w:t>
      </w:r>
      <w:r>
        <w:t>1 </w:t>
      </w:r>
      <w:r w:rsidR="00B10830">
        <w:t>330</w:t>
      </w:r>
      <w:r>
        <w:t>,</w:t>
      </w:r>
      <w:r w:rsidR="00B10830">
        <w:t>56</w:t>
      </w:r>
      <w:r>
        <w:t xml:space="preserve"> miles, en </w:t>
      </w:r>
      <w:r w:rsidR="00B10830" w:rsidRPr="00B10830">
        <w:t xml:space="preserve">Productos de papel, cartón e impresos </w:t>
      </w:r>
      <w:r w:rsidRPr="00CD7EF5">
        <w:t xml:space="preserve">de </w:t>
      </w:r>
      <w:r w:rsidRPr="00B10830">
        <w:rPr>
          <w:rFonts w:ascii="Arial" w:hAnsi="Arial" w:cs="Arial"/>
        </w:rPr>
        <w:t>₡</w:t>
      </w:r>
      <w:r w:rsidRPr="00CD7EF5">
        <w:t xml:space="preserve">1 </w:t>
      </w:r>
      <w:r>
        <w:t>0</w:t>
      </w:r>
      <w:r w:rsidR="00B10830">
        <w:t>11</w:t>
      </w:r>
      <w:r w:rsidRPr="00CD7EF5">
        <w:t>,</w:t>
      </w:r>
      <w:r>
        <w:t>6</w:t>
      </w:r>
      <w:r w:rsidR="00B10830">
        <w:t>5</w:t>
      </w:r>
      <w:r w:rsidRPr="00CD7EF5">
        <w:t xml:space="preserve"> </w:t>
      </w:r>
      <w:r w:rsidRPr="00F967AD">
        <w:t>miles</w:t>
      </w:r>
      <w:r w:rsidRPr="00CD7EF5">
        <w:t xml:space="preserve">, en Útiles y materiales de limpieza de </w:t>
      </w:r>
      <w:r w:rsidRPr="00B10830">
        <w:rPr>
          <w:rFonts w:ascii="Arial" w:hAnsi="Arial" w:cs="Arial"/>
        </w:rPr>
        <w:t>₡</w:t>
      </w:r>
      <w:r w:rsidR="00B10830" w:rsidRPr="00B10830">
        <w:t xml:space="preserve">2 490,66 </w:t>
      </w:r>
      <w:r w:rsidRPr="00F967AD">
        <w:t>miles</w:t>
      </w:r>
      <w:r w:rsidRPr="00CD7EF5">
        <w:t>; en Útiles y materiales de resguardo y seguridad por</w:t>
      </w:r>
      <w:r>
        <w:t xml:space="preserve"> </w:t>
      </w:r>
      <w:r w:rsidRPr="00CD7EF5">
        <w:rPr>
          <w:rFonts w:ascii="Arial" w:hAnsi="Arial" w:cs="Arial"/>
        </w:rPr>
        <w:t>₡</w:t>
      </w:r>
      <w:r w:rsidR="00B10830">
        <w:rPr>
          <w:rFonts w:ascii="Arial" w:hAnsi="Arial" w:cs="Arial"/>
        </w:rPr>
        <w:t xml:space="preserve">1 </w:t>
      </w:r>
      <w:r w:rsidR="00B10830" w:rsidRPr="00CD7EF5">
        <w:t>2</w:t>
      </w:r>
      <w:r w:rsidR="00B10830">
        <w:t>87</w:t>
      </w:r>
      <w:r w:rsidR="00B10830" w:rsidRPr="00CD7EF5">
        <w:t>,</w:t>
      </w:r>
      <w:r w:rsidR="00B10830">
        <w:t>15</w:t>
      </w:r>
      <w:r w:rsidR="00B10830" w:rsidRPr="00CD7EF5">
        <w:t xml:space="preserve"> </w:t>
      </w:r>
      <w:r w:rsidRPr="00F967AD">
        <w:t>miles</w:t>
      </w:r>
      <w:r w:rsidR="006B70FF">
        <w:t xml:space="preserve">; y la disminución en </w:t>
      </w:r>
      <w:r w:rsidR="006B70FF" w:rsidRPr="006B70FF">
        <w:t>Materiales y productos metálicos</w:t>
      </w:r>
      <w:r w:rsidR="006B70FF">
        <w:t xml:space="preserve"> de -</w:t>
      </w:r>
      <w:r w:rsidR="006B70FF" w:rsidRPr="00CD7EF5">
        <w:rPr>
          <w:rFonts w:ascii="Arial" w:hAnsi="Arial" w:cs="Arial"/>
        </w:rPr>
        <w:t>₡</w:t>
      </w:r>
      <w:r w:rsidR="006B70FF">
        <w:t>5 030,35</w:t>
      </w:r>
      <w:r w:rsidR="006B70FF" w:rsidRPr="00CD7EF5">
        <w:t xml:space="preserve"> </w:t>
      </w:r>
      <w:r w:rsidR="006B70FF" w:rsidRPr="00F967AD">
        <w:t>miles</w:t>
      </w:r>
      <w:r w:rsidR="006B70FF">
        <w:t>.</w:t>
      </w:r>
    </w:p>
    <w:p w14:paraId="0DE61095" w14:textId="77777777" w:rsidR="00397338" w:rsidRDefault="00397338" w:rsidP="00397338">
      <w:pPr>
        <w:spacing w:after="0" w:line="240" w:lineRule="auto"/>
      </w:pPr>
    </w:p>
    <w:p w14:paraId="4E16D9B4" w14:textId="77777777" w:rsidR="00397338" w:rsidRDefault="00397338" w:rsidP="00397338">
      <w:pPr>
        <w:spacing w:after="0" w:line="240" w:lineRule="auto"/>
      </w:pPr>
      <w:r>
        <w:t>Finalmente, en relación con los inventarios</w:t>
      </w:r>
      <w:r w:rsidRPr="00A91674">
        <w:t xml:space="preserve">, es preciso señalar que la Municipalidad se encuentra realizando un esfuerzo por fortalecer administración de los inventarios de materiales y suministros, </w:t>
      </w:r>
      <w:r>
        <w:t>y como parte del trabajo que se está desarrollando, está el establecimiento de</w:t>
      </w:r>
      <w:r w:rsidRPr="00A91674">
        <w:t xml:space="preserve"> las políticas para </w:t>
      </w:r>
      <w:r>
        <w:t>la</w:t>
      </w:r>
      <w:r w:rsidRPr="00A91674">
        <w:t xml:space="preserve"> medición y valuación</w:t>
      </w:r>
      <w:r>
        <w:t xml:space="preserve"> de los inventarios</w:t>
      </w:r>
      <w:r w:rsidRPr="00A91674">
        <w:t xml:space="preserve">, </w:t>
      </w:r>
      <w:r>
        <w:t xml:space="preserve">el </w:t>
      </w:r>
      <w:r w:rsidRPr="00A91674">
        <w:t>trata</w:t>
      </w:r>
      <w:r>
        <w:t>miento de</w:t>
      </w:r>
      <w:r w:rsidRPr="00A91674">
        <w:t xml:space="preserve"> las bajas de inventario sustentados en métodos de aceptación general</w:t>
      </w:r>
      <w:r>
        <w:t>, la correcta aplicación</w:t>
      </w:r>
      <w:r w:rsidRPr="00A91674">
        <w:t xml:space="preserve"> </w:t>
      </w:r>
      <w:r>
        <w:t>d</w:t>
      </w:r>
      <w:r w:rsidRPr="00A91674">
        <w:t>el método de valuación “Primero en entrar primero en salir”</w:t>
      </w:r>
      <w:r>
        <w:t xml:space="preserve"> que se adoptó</w:t>
      </w:r>
      <w:r w:rsidRPr="00A91674">
        <w:t>.</w:t>
      </w:r>
    </w:p>
    <w:p w14:paraId="5DAAA35C" w14:textId="77777777" w:rsidR="00397338" w:rsidRDefault="00397338" w:rsidP="00397338">
      <w:pPr>
        <w:spacing w:after="0" w:line="240" w:lineRule="auto"/>
      </w:pPr>
    </w:p>
    <w:p w14:paraId="7649D982" w14:textId="77777777" w:rsidR="00397338" w:rsidRPr="00A91674" w:rsidRDefault="00397338" w:rsidP="00397338">
      <w:pPr>
        <w:spacing w:after="120" w:line="240" w:lineRule="auto"/>
        <w:rPr>
          <w:lang w:eastAsia="es-CR"/>
        </w:rPr>
      </w:pPr>
      <w:r w:rsidRPr="00A91674">
        <w:t xml:space="preserve">Asimismo, </w:t>
      </w:r>
      <w:r>
        <w:t xml:space="preserve">se espera que en el corto plazo se ponga en funcionamiento el módulo de inventarios del sistema que está desarrollando la </w:t>
      </w:r>
      <w:r w:rsidRPr="000F305B">
        <w:t>empresa NETSOFT DE COSTA RICA S.A</w:t>
      </w:r>
      <w:r>
        <w:t xml:space="preserve">., el cual está desarrollado y actualmente se le está cargando el inventario existente con los códigos de los diferentes materiales, para lo cual se utilizarán los existentes en el SICOP. Además, </w:t>
      </w:r>
      <w:r w:rsidRPr="00A91674">
        <w:t>se implementarán los procedimientos de control considerando lo normado en la Ley General de Control Interno y las Normas de control interno para el sector público</w:t>
      </w:r>
      <w:r>
        <w:t xml:space="preserve"> emitidas por la Contraloría general de la República</w:t>
      </w:r>
      <w:r w:rsidRPr="00A91674">
        <w:t>, entre otros.</w:t>
      </w:r>
    </w:p>
    <w:p w14:paraId="21704192" w14:textId="77777777" w:rsidR="00422EDF" w:rsidRPr="00D57597" w:rsidRDefault="00422EDF" w:rsidP="00D57597">
      <w:pPr>
        <w:rPr>
          <w:rFonts w:eastAsia="Times New Roman"/>
          <w:szCs w:val="24"/>
          <w:lang w:eastAsia="es-CR"/>
        </w:rPr>
      </w:pPr>
    </w:p>
    <w:p w14:paraId="00A44645" w14:textId="77777777" w:rsidR="00692DC8" w:rsidRPr="00692DC8" w:rsidRDefault="00692DC8" w:rsidP="00D57597">
      <w:pPr>
        <w:pStyle w:val="Ttulo4"/>
        <w:spacing w:after="240"/>
        <w:rPr>
          <w:rFonts w:eastAsia="Times New Roman"/>
        </w:rPr>
      </w:pPr>
      <w:bookmarkStart w:id="187" w:name="_Toc33601213"/>
      <w:bookmarkStart w:id="188" w:name="_Toc82768914"/>
      <w:bookmarkStart w:id="189" w:name="_Toc173245230"/>
      <w:r w:rsidRPr="00692DC8">
        <w:rPr>
          <w:rFonts w:eastAsia="Times New Roman"/>
        </w:rPr>
        <w:t>NOTA N° 7</w:t>
      </w:r>
      <w:bookmarkEnd w:id="185"/>
      <w:bookmarkEnd w:id="186"/>
      <w:bookmarkEnd w:id="187"/>
      <w:bookmarkEnd w:id="188"/>
      <w:bookmarkEnd w:id="189"/>
    </w:p>
    <w:p w14:paraId="3BEBDD27" w14:textId="77777777" w:rsidR="00694299" w:rsidRDefault="00692DC8" w:rsidP="00AD5F9A">
      <w:pPr>
        <w:spacing w:after="0" w:line="240" w:lineRule="auto"/>
        <w:rPr>
          <w:rFonts w:asciiTheme="minorHAnsi" w:hAnsiTheme="minorHAnsi"/>
          <w:sz w:val="22"/>
        </w:rPr>
      </w:pPr>
      <w:bookmarkStart w:id="190" w:name="_Toc13041059"/>
      <w:bookmarkStart w:id="191" w:name="_Toc14345058"/>
      <w:bookmarkStart w:id="192" w:name="_Toc33601214"/>
      <w:bookmarkStart w:id="193" w:name="_Toc82768915"/>
      <w:r w:rsidRPr="00692DC8">
        <w:rPr>
          <w:rFonts w:eastAsia="Times New Roman"/>
        </w:rPr>
        <w:t>Otros activos a corto plazo</w:t>
      </w:r>
      <w:bookmarkEnd w:id="190"/>
      <w:bookmarkEnd w:id="191"/>
      <w:bookmarkEnd w:id="192"/>
      <w:bookmarkEnd w:id="193"/>
      <w:r w:rsidR="00C77D21">
        <w:rPr>
          <w:rFonts w:eastAsiaTheme="majorEastAsia" w:cstheme="majorBidi"/>
          <w:b/>
          <w:iCs/>
        </w:rPr>
        <w:fldChar w:fldCharType="begin"/>
      </w:r>
      <w:r w:rsidR="00C77D21">
        <w:instrText xml:space="preserve"> LINK </w:instrText>
      </w:r>
      <w:r w:rsidR="00323752">
        <w:instrText xml:space="preserve">Excel.SheetMacroEnabled.12 "D:\\MORAVIA\\INSUMOS\\NOTAS 2024\\Formato_Notas_EEFF_Vinculadas_2024\\XXXXX_PXX_202X_Anexo_Estado_Notas_Contables_Vinculadas.xlsm" NOTAS_POR_CUENTA!F20C1:F22C6 </w:instrText>
      </w:r>
      <w:r w:rsidR="00C77D21">
        <w:instrText xml:space="preserve">\a \f 4 \h </w:instrText>
      </w:r>
      <w:r w:rsidR="00C77D21">
        <w:fldChar w:fldCharType="separate"/>
      </w:r>
    </w:p>
    <w:p w14:paraId="690C7B2F" w14:textId="4DA24972" w:rsidR="00C572A3" w:rsidRDefault="00C77D21" w:rsidP="00B10830">
      <w:pPr>
        <w:spacing w:after="0" w:line="240" w:lineRule="auto"/>
        <w:rPr>
          <w:rFonts w:asciiTheme="minorHAnsi" w:hAnsiTheme="minorHAnsi"/>
          <w:sz w:val="22"/>
        </w:rPr>
      </w:pPr>
      <w:r>
        <w:fldChar w:fldCharType="end"/>
      </w:r>
      <w:r w:rsidR="00CD760D">
        <w:fldChar w:fldCharType="begin"/>
      </w:r>
      <w:r w:rsidR="00CD760D">
        <w:instrText xml:space="preserve"> LINK </w:instrText>
      </w:r>
      <w:r w:rsidR="0068177A">
        <w:instrText xml:space="preserve">Excel.SheetMacroEnabled.12 "C:\\Users\\arges\\OneDrive\\Desktop\\Municipalidades\\Buenos Aires\\Cierre Junio 2024\\Notas Contables\\15603_T02_2024_Anexo_Estado_Notas_Contables_Vinculadas.xlsm" NOTAS_POR_CUENTA!R20C1:R22C6 </w:instrText>
      </w:r>
      <w:r w:rsidR="00CD760D">
        <w:instrText xml:space="preserve">\a \f 4 \h </w:instrText>
      </w:r>
      <w:r w:rsidR="00CD760D">
        <w:fldChar w:fldCharType="separate"/>
      </w:r>
    </w:p>
    <w:tbl>
      <w:tblPr>
        <w:tblW w:w="10080" w:type="dxa"/>
        <w:tblLook w:val="04A0" w:firstRow="1" w:lastRow="0" w:firstColumn="1" w:lastColumn="0" w:noHBand="0" w:noVBand="1"/>
      </w:tblPr>
      <w:tblGrid>
        <w:gridCol w:w="717"/>
        <w:gridCol w:w="3339"/>
        <w:gridCol w:w="544"/>
        <w:gridCol w:w="2200"/>
        <w:gridCol w:w="2200"/>
        <w:gridCol w:w="1080"/>
      </w:tblGrid>
      <w:tr w:rsidR="00C572A3" w:rsidRPr="00C572A3" w14:paraId="62510F1A" w14:textId="77777777" w:rsidTr="00C572A3">
        <w:trPr>
          <w:divId w:val="402720220"/>
          <w:trHeight w:val="320"/>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3D6315B" w14:textId="544EAB3F" w:rsidR="00C572A3" w:rsidRPr="00C572A3" w:rsidRDefault="00C572A3" w:rsidP="00C572A3">
            <w:pP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B305DE7"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Descripción</w:t>
            </w:r>
          </w:p>
        </w:tc>
        <w:tc>
          <w:tcPr>
            <w:tcW w:w="5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98F4BB2"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Nota</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957D144"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Actual </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904033A"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Anterior </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29FCCCFF"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Diferencia </w:t>
            </w:r>
          </w:p>
        </w:tc>
      </w:tr>
      <w:tr w:rsidR="00C572A3" w:rsidRPr="00C572A3" w14:paraId="507996BA" w14:textId="77777777" w:rsidTr="00AD5F9A">
        <w:trPr>
          <w:divId w:val="402720220"/>
          <w:trHeight w:val="118"/>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5ABD48B0"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2A9A6586"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14:paraId="00359A81"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2374EBA8"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578146A0"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1080" w:type="dxa"/>
            <w:tcBorders>
              <w:top w:val="nil"/>
              <w:left w:val="nil"/>
              <w:bottom w:val="single" w:sz="8" w:space="0" w:color="auto"/>
              <w:right w:val="single" w:sz="8" w:space="0" w:color="auto"/>
            </w:tcBorders>
            <w:shd w:val="clear" w:color="000000" w:fill="366092"/>
            <w:noWrap/>
            <w:vAlign w:val="center"/>
            <w:hideMark/>
          </w:tcPr>
          <w:p w14:paraId="157F5200" w14:textId="77777777" w:rsidR="00C572A3" w:rsidRPr="00C572A3" w:rsidRDefault="00C572A3" w:rsidP="00C572A3">
            <w:pPr>
              <w:spacing w:after="0" w:line="240" w:lineRule="auto"/>
              <w:jc w:val="center"/>
              <w:rPr>
                <w:rFonts w:eastAsia="Times New Roman" w:cs="Calibri"/>
                <w:color w:val="FFFFFF"/>
                <w:sz w:val="18"/>
                <w:szCs w:val="18"/>
                <w:lang w:val="en-US"/>
              </w:rPr>
            </w:pPr>
            <w:r w:rsidRPr="00C572A3">
              <w:rPr>
                <w:rFonts w:eastAsia="Times New Roman" w:cs="Calibri"/>
                <w:color w:val="FFFFFF"/>
                <w:sz w:val="18"/>
                <w:szCs w:val="18"/>
                <w:lang w:val="en-US"/>
              </w:rPr>
              <w:t>%</w:t>
            </w:r>
          </w:p>
        </w:tc>
      </w:tr>
      <w:tr w:rsidR="00C572A3" w:rsidRPr="00C572A3" w14:paraId="0842C181" w14:textId="77777777" w:rsidTr="00C572A3">
        <w:trPr>
          <w:divId w:val="402720220"/>
          <w:trHeight w:val="320"/>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63983768" w14:textId="77777777" w:rsidR="00C572A3" w:rsidRPr="00C572A3" w:rsidRDefault="00C572A3" w:rsidP="00C572A3">
            <w:pPr>
              <w:spacing w:after="0" w:line="240" w:lineRule="auto"/>
              <w:jc w:val="left"/>
              <w:rPr>
                <w:rFonts w:eastAsia="Times New Roman" w:cs="Calibri"/>
                <w:b/>
                <w:bCs/>
                <w:color w:val="000000"/>
                <w:sz w:val="18"/>
                <w:szCs w:val="18"/>
                <w:lang w:val="en-US"/>
              </w:rPr>
            </w:pPr>
            <w:r w:rsidRPr="00C572A3">
              <w:rPr>
                <w:rFonts w:eastAsia="Times New Roman" w:cs="Calibri"/>
                <w:b/>
                <w:bCs/>
                <w:color w:val="000000"/>
                <w:sz w:val="18"/>
                <w:szCs w:val="18"/>
                <w:lang w:val="en-US"/>
              </w:rPr>
              <w:t>1.1.9.</w:t>
            </w:r>
          </w:p>
        </w:tc>
        <w:tc>
          <w:tcPr>
            <w:tcW w:w="3380" w:type="dxa"/>
            <w:tcBorders>
              <w:top w:val="nil"/>
              <w:left w:val="nil"/>
              <w:bottom w:val="single" w:sz="8" w:space="0" w:color="auto"/>
              <w:right w:val="single" w:sz="8" w:space="0" w:color="auto"/>
            </w:tcBorders>
            <w:shd w:val="clear" w:color="auto" w:fill="auto"/>
            <w:vAlign w:val="center"/>
            <w:hideMark/>
          </w:tcPr>
          <w:p w14:paraId="619288D1" w14:textId="77777777" w:rsidR="00C572A3" w:rsidRPr="00C572A3" w:rsidRDefault="00C572A3" w:rsidP="00C572A3">
            <w:pPr>
              <w:spacing w:after="0" w:line="240" w:lineRule="auto"/>
              <w:jc w:val="left"/>
              <w:rPr>
                <w:rFonts w:eastAsia="Times New Roman" w:cs="Calibri"/>
                <w:b/>
                <w:bCs/>
                <w:color w:val="000000"/>
                <w:sz w:val="18"/>
                <w:szCs w:val="18"/>
              </w:rPr>
            </w:pPr>
            <w:r w:rsidRPr="00C572A3">
              <w:rPr>
                <w:rFonts w:eastAsia="Times New Roman" w:cs="Calibri"/>
                <w:b/>
                <w:bCs/>
                <w:color w:val="000000"/>
                <w:sz w:val="18"/>
                <w:szCs w:val="18"/>
              </w:rPr>
              <w:t>Otros activos a corto plazo</w:t>
            </w:r>
          </w:p>
        </w:tc>
        <w:tc>
          <w:tcPr>
            <w:tcW w:w="520" w:type="dxa"/>
            <w:tcBorders>
              <w:top w:val="nil"/>
              <w:left w:val="nil"/>
              <w:bottom w:val="single" w:sz="8" w:space="0" w:color="auto"/>
              <w:right w:val="single" w:sz="8" w:space="0" w:color="auto"/>
            </w:tcBorders>
            <w:shd w:val="clear" w:color="auto" w:fill="auto"/>
            <w:noWrap/>
            <w:vAlign w:val="center"/>
            <w:hideMark/>
          </w:tcPr>
          <w:p w14:paraId="4D979351"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07</w:t>
            </w:r>
          </w:p>
        </w:tc>
        <w:tc>
          <w:tcPr>
            <w:tcW w:w="2200" w:type="dxa"/>
            <w:tcBorders>
              <w:top w:val="nil"/>
              <w:left w:val="nil"/>
              <w:bottom w:val="single" w:sz="8" w:space="0" w:color="auto"/>
              <w:right w:val="single" w:sz="8" w:space="0" w:color="auto"/>
            </w:tcBorders>
            <w:shd w:val="clear" w:color="auto" w:fill="auto"/>
            <w:noWrap/>
            <w:vAlign w:val="center"/>
            <w:hideMark/>
          </w:tcPr>
          <w:p w14:paraId="4AFB58A7"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16 571,76 </w:t>
            </w:r>
          </w:p>
        </w:tc>
        <w:tc>
          <w:tcPr>
            <w:tcW w:w="2200" w:type="dxa"/>
            <w:tcBorders>
              <w:top w:val="nil"/>
              <w:left w:val="nil"/>
              <w:bottom w:val="single" w:sz="8" w:space="0" w:color="auto"/>
              <w:right w:val="single" w:sz="8" w:space="0" w:color="auto"/>
            </w:tcBorders>
            <w:shd w:val="clear" w:color="auto" w:fill="auto"/>
            <w:noWrap/>
            <w:vAlign w:val="center"/>
            <w:hideMark/>
          </w:tcPr>
          <w:p w14:paraId="2784CA6C"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20 674,10 </w:t>
            </w:r>
          </w:p>
        </w:tc>
        <w:tc>
          <w:tcPr>
            <w:tcW w:w="1080" w:type="dxa"/>
            <w:tcBorders>
              <w:top w:val="nil"/>
              <w:left w:val="nil"/>
              <w:bottom w:val="single" w:sz="8" w:space="0" w:color="auto"/>
              <w:right w:val="single" w:sz="8" w:space="0" w:color="auto"/>
            </w:tcBorders>
            <w:shd w:val="clear" w:color="auto" w:fill="auto"/>
            <w:noWrap/>
            <w:vAlign w:val="center"/>
            <w:hideMark/>
          </w:tcPr>
          <w:p w14:paraId="2C565D37"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-19,84%</w:t>
            </w:r>
          </w:p>
        </w:tc>
      </w:tr>
    </w:tbl>
    <w:p w14:paraId="720CC5AF" w14:textId="3B333599" w:rsidR="00692DC8" w:rsidRDefault="00CD760D" w:rsidP="000B4CDA">
      <w:pPr>
        <w:spacing w:before="240"/>
        <w:rPr>
          <w:rFonts w:eastAsia="Times New Roman"/>
          <w:color w:val="000000"/>
          <w:szCs w:val="24"/>
          <w:lang w:val="es-ES" w:eastAsia="es-ES"/>
        </w:rPr>
      </w:pPr>
      <w:r>
        <w:fldChar w:fldCharType="end"/>
      </w:r>
      <w:r w:rsidR="00692DC8" w:rsidRPr="00692DC8">
        <w:rPr>
          <w:rFonts w:eastAsia="Times New Roman"/>
          <w:color w:val="000000"/>
          <w:szCs w:val="24"/>
          <w:lang w:val="es-ES" w:eastAsia="es-ES"/>
        </w:rPr>
        <w:t>Detalle</w:t>
      </w:r>
      <w:r w:rsidR="00692DC8" w:rsidRPr="00692DC8">
        <w:rPr>
          <w:rFonts w:ascii="Times New Roman" w:eastAsia="Times New Roman" w:hAnsi="Times New Roman"/>
          <w:szCs w:val="24"/>
          <w:lang w:eastAsia="es-CR"/>
        </w:rPr>
        <w:t xml:space="preserve"> </w:t>
      </w:r>
      <w:r w:rsidR="00586DC5">
        <w:rPr>
          <w:rFonts w:eastAsia="Times New Roman"/>
          <w:color w:val="000000"/>
          <w:szCs w:val="24"/>
          <w:lang w:val="es-ES" w:eastAsia="es-ES"/>
        </w:rPr>
        <w:t>de</w:t>
      </w:r>
      <w:r w:rsidR="00692DC8" w:rsidRPr="00692DC8">
        <w:rPr>
          <w:rFonts w:eastAsia="Times New Roman"/>
          <w:color w:val="000000"/>
          <w:szCs w:val="24"/>
          <w:lang w:val="es-ES" w:eastAsia="es-ES"/>
        </w:rPr>
        <w:t xml:space="preserve"> </w:t>
      </w:r>
      <w:r w:rsidR="00586DC5" w:rsidRPr="00586DC5">
        <w:rPr>
          <w:rFonts w:eastAsia="Times New Roman"/>
          <w:color w:val="000000"/>
          <w:szCs w:val="24"/>
          <w:lang w:val="es-ES" w:eastAsia="es-ES"/>
        </w:rPr>
        <w:t>Primas y gastos de seguros a devengar c/p</w:t>
      </w:r>
    </w:p>
    <w:tbl>
      <w:tblPr>
        <w:tblW w:w="4380" w:type="dxa"/>
        <w:tblInd w:w="-10" w:type="dxa"/>
        <w:tblCellMar>
          <w:left w:w="70" w:type="dxa"/>
          <w:right w:w="70" w:type="dxa"/>
        </w:tblCellMar>
        <w:tblLook w:val="04A0" w:firstRow="1" w:lastRow="0" w:firstColumn="1" w:lastColumn="0" w:noHBand="0" w:noVBand="1"/>
      </w:tblPr>
      <w:tblGrid>
        <w:gridCol w:w="1240"/>
        <w:gridCol w:w="3140"/>
      </w:tblGrid>
      <w:tr w:rsidR="00C77D21" w:rsidRPr="00C77D21" w14:paraId="37593FE5" w14:textId="77777777" w:rsidTr="00C77D21">
        <w:trPr>
          <w:trHeight w:val="288"/>
        </w:trPr>
        <w:tc>
          <w:tcPr>
            <w:tcW w:w="1240" w:type="dxa"/>
            <w:tcBorders>
              <w:top w:val="single" w:sz="8" w:space="0" w:color="auto"/>
              <w:left w:val="single" w:sz="8" w:space="0" w:color="auto"/>
              <w:bottom w:val="nil"/>
              <w:right w:val="single" w:sz="8" w:space="0" w:color="auto"/>
            </w:tcBorders>
            <w:shd w:val="clear" w:color="000000" w:fill="366092"/>
            <w:noWrap/>
            <w:vAlign w:val="center"/>
            <w:hideMark/>
          </w:tcPr>
          <w:p w14:paraId="7E19DEFA" w14:textId="77777777" w:rsidR="00C77D21" w:rsidRPr="00C77D21" w:rsidRDefault="00C77D21" w:rsidP="00C77D21">
            <w:pPr>
              <w:spacing w:after="0" w:line="240" w:lineRule="auto"/>
              <w:rPr>
                <w:rFonts w:eastAsia="Times New Roman" w:cs="Calibri"/>
                <w:b/>
                <w:bCs/>
                <w:color w:val="FFFFFF"/>
                <w:sz w:val="18"/>
                <w:szCs w:val="18"/>
                <w:lang w:eastAsia="es-CR"/>
              </w:rPr>
            </w:pPr>
            <w:r w:rsidRPr="00C77D21">
              <w:rPr>
                <w:rFonts w:eastAsia="Times New Roman" w:cs="Calibri"/>
                <w:b/>
                <w:bCs/>
                <w:color w:val="FFFFFF"/>
                <w:sz w:val="18"/>
                <w:szCs w:val="18"/>
                <w:lang w:eastAsia="es-CR"/>
              </w:rPr>
              <w:t xml:space="preserve">Cuenta </w:t>
            </w:r>
          </w:p>
        </w:tc>
        <w:tc>
          <w:tcPr>
            <w:tcW w:w="3140" w:type="dxa"/>
            <w:tcBorders>
              <w:top w:val="single" w:sz="8" w:space="0" w:color="auto"/>
              <w:left w:val="nil"/>
              <w:bottom w:val="nil"/>
              <w:right w:val="single" w:sz="8" w:space="0" w:color="auto"/>
            </w:tcBorders>
            <w:shd w:val="clear" w:color="000000" w:fill="366092"/>
            <w:vAlign w:val="center"/>
            <w:hideMark/>
          </w:tcPr>
          <w:p w14:paraId="418C1D9F" w14:textId="77777777" w:rsidR="00C77D21" w:rsidRPr="00C77D21" w:rsidRDefault="00C77D21" w:rsidP="00C77D21">
            <w:pPr>
              <w:spacing w:after="0" w:line="240" w:lineRule="auto"/>
              <w:jc w:val="center"/>
              <w:rPr>
                <w:rFonts w:eastAsia="Times New Roman" w:cs="Calibri"/>
                <w:b/>
                <w:bCs/>
                <w:color w:val="FFFFFF"/>
                <w:sz w:val="18"/>
                <w:szCs w:val="18"/>
                <w:lang w:eastAsia="es-CR"/>
              </w:rPr>
            </w:pPr>
            <w:r w:rsidRPr="00C77D21">
              <w:rPr>
                <w:rFonts w:eastAsia="Times New Roman" w:cs="Calibri"/>
                <w:b/>
                <w:bCs/>
                <w:color w:val="FFFFFF"/>
                <w:sz w:val="18"/>
                <w:szCs w:val="18"/>
                <w:lang w:eastAsia="es-CR"/>
              </w:rPr>
              <w:t xml:space="preserve">Descripción </w:t>
            </w:r>
          </w:p>
        </w:tc>
      </w:tr>
      <w:tr w:rsidR="00C77D21" w:rsidRPr="00C77D21" w14:paraId="6F7875D3" w14:textId="77777777" w:rsidTr="00C77D21">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75F4F394" w14:textId="77777777" w:rsidR="00C77D21" w:rsidRPr="00C77D21" w:rsidRDefault="00C77D21" w:rsidP="00C77D21">
            <w:pPr>
              <w:spacing w:after="0" w:line="240" w:lineRule="auto"/>
              <w:rPr>
                <w:rFonts w:eastAsia="Times New Roman" w:cs="Calibri"/>
                <w:b/>
                <w:bCs/>
                <w:color w:val="000000"/>
                <w:sz w:val="18"/>
                <w:szCs w:val="18"/>
                <w:lang w:eastAsia="es-CR"/>
              </w:rPr>
            </w:pPr>
            <w:r w:rsidRPr="00C77D21">
              <w:rPr>
                <w:rFonts w:eastAsia="Times New Roman" w:cs="Calibri"/>
                <w:b/>
                <w:bCs/>
                <w:color w:val="000000"/>
                <w:sz w:val="18"/>
                <w:szCs w:val="18"/>
                <w:lang w:eastAsia="es-CR"/>
              </w:rPr>
              <w:t>1.1.9.01.</w:t>
            </w:r>
          </w:p>
        </w:tc>
        <w:tc>
          <w:tcPr>
            <w:tcW w:w="3140" w:type="dxa"/>
            <w:tcBorders>
              <w:top w:val="nil"/>
              <w:left w:val="nil"/>
              <w:bottom w:val="single" w:sz="8" w:space="0" w:color="auto"/>
              <w:right w:val="single" w:sz="8" w:space="0" w:color="auto"/>
            </w:tcBorders>
            <w:shd w:val="clear" w:color="auto" w:fill="auto"/>
            <w:vAlign w:val="center"/>
            <w:hideMark/>
          </w:tcPr>
          <w:p w14:paraId="5131683B" w14:textId="77777777" w:rsidR="00C77D21" w:rsidRPr="00C77D21" w:rsidRDefault="00C77D21" w:rsidP="00C77D21">
            <w:pPr>
              <w:spacing w:after="0" w:line="240" w:lineRule="auto"/>
              <w:rPr>
                <w:rFonts w:eastAsia="Times New Roman" w:cs="Calibri"/>
                <w:b/>
                <w:bCs/>
                <w:color w:val="000000"/>
                <w:sz w:val="18"/>
                <w:szCs w:val="18"/>
                <w:lang w:eastAsia="es-CR"/>
              </w:rPr>
            </w:pPr>
            <w:r w:rsidRPr="00C77D21">
              <w:rPr>
                <w:rFonts w:eastAsia="Times New Roman" w:cs="Calibri"/>
                <w:b/>
                <w:bCs/>
                <w:color w:val="000000"/>
                <w:sz w:val="18"/>
                <w:szCs w:val="18"/>
                <w:lang w:eastAsia="es-CR"/>
              </w:rPr>
              <w:t>Gastos a devengar a corto plazo</w:t>
            </w:r>
          </w:p>
        </w:tc>
      </w:tr>
    </w:tbl>
    <w:p w14:paraId="0697BD61" w14:textId="282E5556" w:rsidR="00692DC8" w:rsidRDefault="00692DC8" w:rsidP="00B10830">
      <w:pPr>
        <w:spacing w:after="0" w:line="240" w:lineRule="auto"/>
      </w:pPr>
    </w:p>
    <w:tbl>
      <w:tblPr>
        <w:tblW w:w="8856" w:type="dxa"/>
        <w:tblInd w:w="-10" w:type="dxa"/>
        <w:tblCellMar>
          <w:left w:w="70" w:type="dxa"/>
          <w:right w:w="70" w:type="dxa"/>
        </w:tblCellMar>
        <w:tblLook w:val="04A0" w:firstRow="1" w:lastRow="0" w:firstColumn="1" w:lastColumn="0" w:noHBand="0" w:noVBand="1"/>
      </w:tblPr>
      <w:tblGrid>
        <w:gridCol w:w="4536"/>
        <w:gridCol w:w="3328"/>
        <w:gridCol w:w="992"/>
      </w:tblGrid>
      <w:tr w:rsidR="00C77D21" w:rsidRPr="00C77D21" w14:paraId="622A8BE3" w14:textId="77777777" w:rsidTr="00B10830">
        <w:trPr>
          <w:trHeight w:val="300"/>
        </w:trPr>
        <w:tc>
          <w:tcPr>
            <w:tcW w:w="4536" w:type="dxa"/>
            <w:tcBorders>
              <w:top w:val="single" w:sz="8" w:space="0" w:color="auto"/>
              <w:left w:val="single" w:sz="8" w:space="0" w:color="auto"/>
              <w:bottom w:val="nil"/>
              <w:right w:val="single" w:sz="8" w:space="0" w:color="auto"/>
            </w:tcBorders>
            <w:shd w:val="clear" w:color="000000" w:fill="366092"/>
            <w:vAlign w:val="center"/>
            <w:hideMark/>
          </w:tcPr>
          <w:p w14:paraId="2F816192" w14:textId="77777777" w:rsidR="00C77D21" w:rsidRPr="00C77D21" w:rsidRDefault="00C77D21" w:rsidP="00C77D21">
            <w:pPr>
              <w:spacing w:after="0" w:line="240" w:lineRule="auto"/>
              <w:jc w:val="center"/>
              <w:rPr>
                <w:rFonts w:eastAsia="Times New Roman" w:cs="Calibri"/>
                <w:b/>
                <w:bCs/>
                <w:color w:val="FFFFFF"/>
                <w:sz w:val="18"/>
                <w:szCs w:val="18"/>
                <w:lang w:eastAsia="es-CR"/>
              </w:rPr>
            </w:pPr>
            <w:r w:rsidRPr="00C77D21">
              <w:rPr>
                <w:rFonts w:eastAsia="Times New Roman" w:cs="Calibri"/>
                <w:b/>
                <w:bCs/>
                <w:color w:val="FFFFFF"/>
                <w:sz w:val="18"/>
                <w:szCs w:val="18"/>
                <w:lang w:eastAsia="es-CR"/>
              </w:rPr>
              <w:t>Cuenta</w:t>
            </w:r>
          </w:p>
        </w:tc>
        <w:tc>
          <w:tcPr>
            <w:tcW w:w="3328" w:type="dxa"/>
            <w:tcBorders>
              <w:top w:val="single" w:sz="8" w:space="0" w:color="auto"/>
              <w:left w:val="nil"/>
              <w:bottom w:val="nil"/>
              <w:right w:val="single" w:sz="8" w:space="0" w:color="auto"/>
            </w:tcBorders>
            <w:shd w:val="clear" w:color="000000" w:fill="366092"/>
            <w:noWrap/>
            <w:vAlign w:val="center"/>
            <w:hideMark/>
          </w:tcPr>
          <w:p w14:paraId="1188EF6A" w14:textId="77777777" w:rsidR="00C77D21" w:rsidRPr="00C77D21" w:rsidRDefault="00C77D21" w:rsidP="00C77D21">
            <w:pPr>
              <w:spacing w:after="0" w:line="240" w:lineRule="auto"/>
              <w:jc w:val="center"/>
              <w:rPr>
                <w:rFonts w:eastAsia="Times New Roman" w:cs="Calibri"/>
                <w:b/>
                <w:bCs/>
                <w:color w:val="FFFFFF"/>
                <w:sz w:val="18"/>
                <w:szCs w:val="18"/>
                <w:lang w:eastAsia="es-CR"/>
              </w:rPr>
            </w:pPr>
            <w:r w:rsidRPr="00C77D21">
              <w:rPr>
                <w:rFonts w:eastAsia="Times New Roman" w:cs="Calibri"/>
                <w:b/>
                <w:bCs/>
                <w:color w:val="FFFFFF"/>
                <w:sz w:val="18"/>
                <w:szCs w:val="18"/>
                <w:lang w:eastAsia="es-CR"/>
              </w:rPr>
              <w:t>Detalle</w:t>
            </w:r>
          </w:p>
        </w:tc>
        <w:tc>
          <w:tcPr>
            <w:tcW w:w="992" w:type="dxa"/>
            <w:tcBorders>
              <w:top w:val="single" w:sz="8" w:space="0" w:color="auto"/>
              <w:left w:val="nil"/>
              <w:bottom w:val="nil"/>
              <w:right w:val="single" w:sz="8" w:space="0" w:color="auto"/>
            </w:tcBorders>
            <w:shd w:val="clear" w:color="000000" w:fill="366092"/>
            <w:noWrap/>
            <w:vAlign w:val="center"/>
            <w:hideMark/>
          </w:tcPr>
          <w:p w14:paraId="4D557306" w14:textId="77777777" w:rsidR="00C77D21" w:rsidRPr="00C77D21" w:rsidRDefault="00C77D21" w:rsidP="00C77D21">
            <w:pPr>
              <w:spacing w:after="0" w:line="240" w:lineRule="auto"/>
              <w:jc w:val="center"/>
              <w:rPr>
                <w:rFonts w:eastAsia="Times New Roman" w:cs="Calibri"/>
                <w:b/>
                <w:bCs/>
                <w:color w:val="FFFFFF"/>
                <w:sz w:val="18"/>
                <w:szCs w:val="18"/>
                <w:lang w:eastAsia="es-CR"/>
              </w:rPr>
            </w:pPr>
            <w:r w:rsidRPr="00C77D21">
              <w:rPr>
                <w:rFonts w:eastAsia="Times New Roman" w:cs="Calibri"/>
                <w:b/>
                <w:bCs/>
                <w:color w:val="FFFFFF"/>
                <w:sz w:val="18"/>
                <w:szCs w:val="18"/>
                <w:lang w:eastAsia="es-CR"/>
              </w:rPr>
              <w:t>Monto</w:t>
            </w:r>
          </w:p>
        </w:tc>
      </w:tr>
      <w:tr w:rsidR="00C77D21" w:rsidRPr="00C77D21" w14:paraId="6B563BC3" w14:textId="77777777" w:rsidTr="00B10830">
        <w:trPr>
          <w:trHeight w:val="253"/>
        </w:trPr>
        <w:tc>
          <w:tcPr>
            <w:tcW w:w="4536" w:type="dxa"/>
            <w:tcBorders>
              <w:top w:val="nil"/>
              <w:left w:val="single" w:sz="8" w:space="0" w:color="auto"/>
              <w:bottom w:val="single" w:sz="8" w:space="0" w:color="auto"/>
              <w:right w:val="single" w:sz="8" w:space="0" w:color="auto"/>
            </w:tcBorders>
            <w:shd w:val="clear" w:color="auto" w:fill="auto"/>
            <w:vAlign w:val="center"/>
            <w:hideMark/>
          </w:tcPr>
          <w:p w14:paraId="15457416" w14:textId="77777777" w:rsidR="00C77D21" w:rsidRPr="00C77D21" w:rsidRDefault="00C77D21" w:rsidP="00C77D21">
            <w:pPr>
              <w:spacing w:after="0" w:line="240" w:lineRule="auto"/>
              <w:rPr>
                <w:rFonts w:eastAsia="Times New Roman" w:cs="Calibri"/>
                <w:b/>
                <w:bCs/>
                <w:color w:val="000000"/>
                <w:sz w:val="18"/>
                <w:szCs w:val="18"/>
                <w:lang w:eastAsia="es-CR"/>
              </w:rPr>
            </w:pPr>
            <w:r w:rsidRPr="00C77D21">
              <w:rPr>
                <w:rFonts w:eastAsia="Times New Roman" w:cs="Calibri"/>
                <w:b/>
                <w:bCs/>
                <w:color w:val="000000"/>
                <w:sz w:val="18"/>
                <w:szCs w:val="18"/>
                <w:lang w:eastAsia="es-CR"/>
              </w:rPr>
              <w:t> 1.1.9.01.01.01.0. Primas y gastos de seguros a devengar c/p</w:t>
            </w:r>
          </w:p>
        </w:tc>
        <w:tc>
          <w:tcPr>
            <w:tcW w:w="3328" w:type="dxa"/>
            <w:tcBorders>
              <w:top w:val="nil"/>
              <w:left w:val="nil"/>
              <w:bottom w:val="single" w:sz="8" w:space="0" w:color="auto"/>
              <w:right w:val="single" w:sz="8" w:space="0" w:color="auto"/>
            </w:tcBorders>
            <w:shd w:val="clear" w:color="auto" w:fill="auto"/>
            <w:noWrap/>
            <w:vAlign w:val="center"/>
            <w:hideMark/>
          </w:tcPr>
          <w:p w14:paraId="248323B2" w14:textId="52E12C2E" w:rsidR="00C77D21" w:rsidRPr="00C77D21" w:rsidRDefault="00586DC5" w:rsidP="00B10830">
            <w:pPr>
              <w:spacing w:after="0" w:line="240" w:lineRule="auto"/>
              <w:ind w:left="563" w:hanging="563"/>
              <w:rPr>
                <w:rFonts w:eastAsia="Times New Roman" w:cs="Calibri"/>
                <w:b/>
                <w:bCs/>
                <w:color w:val="000000"/>
                <w:sz w:val="18"/>
                <w:szCs w:val="18"/>
                <w:lang w:eastAsia="es-CR"/>
              </w:rPr>
            </w:pPr>
            <w:r>
              <w:rPr>
                <w:rFonts w:eastAsia="Times New Roman" w:cs="Calibri"/>
                <w:b/>
                <w:bCs/>
                <w:color w:val="000000"/>
                <w:sz w:val="18"/>
                <w:szCs w:val="18"/>
                <w:lang w:eastAsia="es-CR"/>
              </w:rPr>
              <w:t>Pólizas de vehículos y Riesgos Profesionales</w:t>
            </w:r>
          </w:p>
        </w:tc>
        <w:tc>
          <w:tcPr>
            <w:tcW w:w="992" w:type="dxa"/>
            <w:tcBorders>
              <w:top w:val="nil"/>
              <w:left w:val="nil"/>
              <w:bottom w:val="single" w:sz="8" w:space="0" w:color="auto"/>
              <w:right w:val="single" w:sz="8" w:space="0" w:color="auto"/>
            </w:tcBorders>
            <w:shd w:val="clear" w:color="auto" w:fill="auto"/>
            <w:noWrap/>
            <w:vAlign w:val="center"/>
            <w:hideMark/>
          </w:tcPr>
          <w:p w14:paraId="55FD23E0" w14:textId="4EFD2975" w:rsidR="00C77D21" w:rsidRPr="00C77D21" w:rsidRDefault="00586DC5" w:rsidP="00586DC5">
            <w:pPr>
              <w:spacing w:after="0" w:line="240" w:lineRule="auto"/>
              <w:jc w:val="center"/>
              <w:rPr>
                <w:rFonts w:eastAsia="Times New Roman" w:cs="Calibri"/>
                <w:b/>
                <w:bCs/>
                <w:color w:val="000000"/>
                <w:sz w:val="18"/>
                <w:szCs w:val="18"/>
                <w:lang w:eastAsia="es-CR"/>
              </w:rPr>
            </w:pPr>
            <w:r w:rsidRPr="00586DC5">
              <w:rPr>
                <w:rFonts w:ascii="Arial" w:eastAsia="Times New Roman" w:hAnsi="Arial" w:cs="Arial"/>
                <w:b/>
                <w:bCs/>
                <w:color w:val="000000"/>
                <w:sz w:val="18"/>
                <w:szCs w:val="18"/>
                <w:lang w:eastAsia="es-CR"/>
              </w:rPr>
              <w:t>₡</w:t>
            </w:r>
            <w:r w:rsidR="00B10830" w:rsidRPr="00C572A3">
              <w:rPr>
                <w:rFonts w:eastAsia="Times New Roman" w:cs="Calibri"/>
                <w:b/>
                <w:bCs/>
                <w:color w:val="000000"/>
                <w:sz w:val="16"/>
                <w:szCs w:val="16"/>
                <w:lang w:val="en-US"/>
              </w:rPr>
              <w:t>16 571,76</w:t>
            </w:r>
          </w:p>
        </w:tc>
      </w:tr>
      <w:tr w:rsidR="00C77D21" w:rsidRPr="00C77D21" w14:paraId="364FA952" w14:textId="77777777" w:rsidTr="00AD5F9A">
        <w:trPr>
          <w:trHeight w:val="387"/>
        </w:trPr>
        <w:tc>
          <w:tcPr>
            <w:tcW w:w="4536" w:type="dxa"/>
            <w:tcBorders>
              <w:top w:val="nil"/>
              <w:left w:val="single" w:sz="8" w:space="0" w:color="auto"/>
              <w:bottom w:val="single" w:sz="8" w:space="0" w:color="auto"/>
              <w:right w:val="single" w:sz="8" w:space="0" w:color="auto"/>
            </w:tcBorders>
            <w:shd w:val="clear" w:color="auto" w:fill="auto"/>
            <w:noWrap/>
            <w:vAlign w:val="center"/>
            <w:hideMark/>
          </w:tcPr>
          <w:p w14:paraId="663F9D8D" w14:textId="77777777" w:rsidR="00C77D21" w:rsidRPr="00C77D21" w:rsidRDefault="00C77D21" w:rsidP="00C77D21">
            <w:pPr>
              <w:spacing w:after="0" w:line="240" w:lineRule="auto"/>
              <w:rPr>
                <w:rFonts w:eastAsia="Times New Roman" w:cs="Calibri"/>
                <w:b/>
                <w:bCs/>
                <w:color w:val="000000"/>
                <w:sz w:val="18"/>
                <w:szCs w:val="18"/>
                <w:lang w:eastAsia="es-CR"/>
              </w:rPr>
            </w:pPr>
            <w:r w:rsidRPr="00C77D21">
              <w:rPr>
                <w:rFonts w:eastAsia="Times New Roman" w:cs="Calibri"/>
                <w:b/>
                <w:bCs/>
                <w:color w:val="000000"/>
                <w:sz w:val="18"/>
                <w:szCs w:val="18"/>
                <w:lang w:eastAsia="es-CR"/>
              </w:rPr>
              <w:t> 1.1.9.01.01.02.0. Alquileres y derechos sobre bienes a devengar c/p</w:t>
            </w:r>
          </w:p>
        </w:tc>
        <w:tc>
          <w:tcPr>
            <w:tcW w:w="3328" w:type="dxa"/>
            <w:tcBorders>
              <w:top w:val="nil"/>
              <w:left w:val="nil"/>
              <w:bottom w:val="single" w:sz="8" w:space="0" w:color="auto"/>
              <w:right w:val="single" w:sz="8" w:space="0" w:color="auto"/>
            </w:tcBorders>
            <w:shd w:val="clear" w:color="auto" w:fill="auto"/>
            <w:noWrap/>
            <w:vAlign w:val="center"/>
            <w:hideMark/>
          </w:tcPr>
          <w:p w14:paraId="318C11DA" w14:textId="77777777" w:rsidR="00C77D21" w:rsidRPr="00C77D21" w:rsidRDefault="00C77D21" w:rsidP="00C77D21">
            <w:pPr>
              <w:spacing w:after="0" w:line="240" w:lineRule="auto"/>
              <w:rPr>
                <w:rFonts w:eastAsia="Times New Roman" w:cs="Calibri"/>
                <w:b/>
                <w:bCs/>
                <w:color w:val="000000"/>
                <w:sz w:val="18"/>
                <w:szCs w:val="18"/>
                <w:lang w:eastAsia="es-CR"/>
              </w:rPr>
            </w:pPr>
            <w:r w:rsidRPr="00C77D21">
              <w:rPr>
                <w:rFonts w:eastAsia="Times New Roman" w:cs="Calibri"/>
                <w:b/>
                <w:bCs/>
                <w:color w:val="000000"/>
                <w:sz w:val="18"/>
                <w:szCs w:val="18"/>
                <w:lang w:eastAsia="es-CR"/>
              </w:rPr>
              <w:t> </w:t>
            </w:r>
          </w:p>
        </w:tc>
        <w:tc>
          <w:tcPr>
            <w:tcW w:w="992" w:type="dxa"/>
            <w:tcBorders>
              <w:top w:val="nil"/>
              <w:left w:val="nil"/>
              <w:bottom w:val="single" w:sz="8" w:space="0" w:color="auto"/>
              <w:right w:val="single" w:sz="8" w:space="0" w:color="auto"/>
            </w:tcBorders>
            <w:shd w:val="clear" w:color="auto" w:fill="auto"/>
            <w:noWrap/>
            <w:vAlign w:val="center"/>
            <w:hideMark/>
          </w:tcPr>
          <w:p w14:paraId="659593B0" w14:textId="77777777" w:rsidR="00C77D21" w:rsidRPr="00C77D21" w:rsidRDefault="00C77D21" w:rsidP="00C77D21">
            <w:pPr>
              <w:spacing w:after="0" w:line="240" w:lineRule="auto"/>
              <w:rPr>
                <w:rFonts w:eastAsia="Times New Roman" w:cs="Calibri"/>
                <w:b/>
                <w:bCs/>
                <w:color w:val="000000"/>
                <w:sz w:val="18"/>
                <w:szCs w:val="18"/>
                <w:lang w:eastAsia="es-CR"/>
              </w:rPr>
            </w:pPr>
            <w:r w:rsidRPr="00C77D21">
              <w:rPr>
                <w:rFonts w:eastAsia="Times New Roman" w:cs="Calibri"/>
                <w:b/>
                <w:bCs/>
                <w:color w:val="000000"/>
                <w:sz w:val="18"/>
                <w:szCs w:val="18"/>
                <w:lang w:eastAsia="es-CR"/>
              </w:rPr>
              <w:t> </w:t>
            </w:r>
          </w:p>
        </w:tc>
      </w:tr>
      <w:tr w:rsidR="00C77D21" w:rsidRPr="00C77D21" w14:paraId="19068A3B" w14:textId="77777777" w:rsidTr="00AD5F9A">
        <w:trPr>
          <w:trHeight w:val="395"/>
        </w:trPr>
        <w:tc>
          <w:tcPr>
            <w:tcW w:w="4536" w:type="dxa"/>
            <w:tcBorders>
              <w:top w:val="nil"/>
              <w:left w:val="single" w:sz="8" w:space="0" w:color="auto"/>
              <w:bottom w:val="single" w:sz="8" w:space="0" w:color="auto"/>
              <w:right w:val="single" w:sz="8" w:space="0" w:color="auto"/>
            </w:tcBorders>
            <w:shd w:val="clear" w:color="auto" w:fill="auto"/>
            <w:noWrap/>
            <w:vAlign w:val="center"/>
            <w:hideMark/>
          </w:tcPr>
          <w:p w14:paraId="291F7539" w14:textId="77777777" w:rsidR="00C77D21" w:rsidRPr="00C77D21" w:rsidRDefault="00C77D21" w:rsidP="00C77D21">
            <w:pPr>
              <w:spacing w:after="0" w:line="240" w:lineRule="auto"/>
              <w:rPr>
                <w:rFonts w:eastAsia="Times New Roman" w:cs="Calibri"/>
                <w:b/>
                <w:bCs/>
                <w:color w:val="000000"/>
                <w:sz w:val="18"/>
                <w:szCs w:val="18"/>
                <w:lang w:eastAsia="es-CR"/>
              </w:rPr>
            </w:pPr>
            <w:r w:rsidRPr="00C77D21">
              <w:rPr>
                <w:rFonts w:eastAsia="Times New Roman" w:cs="Calibri"/>
                <w:b/>
                <w:bCs/>
                <w:color w:val="000000"/>
                <w:sz w:val="18"/>
                <w:szCs w:val="18"/>
                <w:lang w:eastAsia="es-CR"/>
              </w:rPr>
              <w:t> 1.1.9.01.01.03.0. Reparaciones y mejoras sobre inmuebles de terceros arrendados c/p</w:t>
            </w:r>
          </w:p>
        </w:tc>
        <w:tc>
          <w:tcPr>
            <w:tcW w:w="3328" w:type="dxa"/>
            <w:tcBorders>
              <w:top w:val="nil"/>
              <w:left w:val="nil"/>
              <w:bottom w:val="single" w:sz="8" w:space="0" w:color="auto"/>
              <w:right w:val="single" w:sz="8" w:space="0" w:color="auto"/>
            </w:tcBorders>
            <w:shd w:val="clear" w:color="auto" w:fill="auto"/>
            <w:noWrap/>
            <w:vAlign w:val="center"/>
            <w:hideMark/>
          </w:tcPr>
          <w:p w14:paraId="36E0DBA8" w14:textId="77777777" w:rsidR="00C77D21" w:rsidRPr="00C77D21" w:rsidRDefault="00C77D21" w:rsidP="00C77D21">
            <w:pPr>
              <w:spacing w:after="0" w:line="240" w:lineRule="auto"/>
              <w:rPr>
                <w:rFonts w:eastAsia="Times New Roman" w:cs="Calibri"/>
                <w:color w:val="000000"/>
                <w:szCs w:val="24"/>
                <w:lang w:eastAsia="es-CR"/>
              </w:rPr>
            </w:pPr>
            <w:r w:rsidRPr="00C77D21">
              <w:rPr>
                <w:rFonts w:eastAsia="Times New Roman" w:cs="Calibri"/>
                <w:color w:val="000000"/>
                <w:szCs w:val="24"/>
                <w:lang w:eastAsia="es-CR"/>
              </w:rPr>
              <w:t> </w:t>
            </w:r>
          </w:p>
        </w:tc>
        <w:tc>
          <w:tcPr>
            <w:tcW w:w="992" w:type="dxa"/>
            <w:tcBorders>
              <w:top w:val="nil"/>
              <w:left w:val="nil"/>
              <w:bottom w:val="single" w:sz="8" w:space="0" w:color="auto"/>
              <w:right w:val="single" w:sz="8" w:space="0" w:color="auto"/>
            </w:tcBorders>
            <w:shd w:val="clear" w:color="auto" w:fill="auto"/>
            <w:noWrap/>
            <w:vAlign w:val="center"/>
            <w:hideMark/>
          </w:tcPr>
          <w:p w14:paraId="6B578E9A" w14:textId="77777777" w:rsidR="00C77D21" w:rsidRPr="00C77D21" w:rsidRDefault="00C77D21" w:rsidP="00C77D21">
            <w:pPr>
              <w:spacing w:after="0" w:line="240" w:lineRule="auto"/>
              <w:rPr>
                <w:rFonts w:eastAsia="Times New Roman" w:cs="Calibri"/>
                <w:color w:val="000000"/>
                <w:szCs w:val="24"/>
                <w:lang w:eastAsia="es-CR"/>
              </w:rPr>
            </w:pPr>
            <w:r w:rsidRPr="00C77D21">
              <w:rPr>
                <w:rFonts w:eastAsia="Times New Roman" w:cs="Calibri"/>
                <w:color w:val="000000"/>
                <w:szCs w:val="24"/>
                <w:lang w:eastAsia="es-CR"/>
              </w:rPr>
              <w:t> </w:t>
            </w:r>
          </w:p>
        </w:tc>
      </w:tr>
      <w:tr w:rsidR="00C77D21" w:rsidRPr="00C77D21" w14:paraId="20A06EBC" w14:textId="77777777" w:rsidTr="00AD5F9A">
        <w:trPr>
          <w:trHeight w:val="180"/>
        </w:trPr>
        <w:tc>
          <w:tcPr>
            <w:tcW w:w="4536" w:type="dxa"/>
            <w:tcBorders>
              <w:top w:val="nil"/>
              <w:left w:val="single" w:sz="8" w:space="0" w:color="auto"/>
              <w:bottom w:val="single" w:sz="8" w:space="0" w:color="auto"/>
              <w:right w:val="single" w:sz="8" w:space="0" w:color="auto"/>
            </w:tcBorders>
            <w:shd w:val="clear" w:color="auto" w:fill="auto"/>
            <w:noWrap/>
            <w:vAlign w:val="center"/>
            <w:hideMark/>
          </w:tcPr>
          <w:p w14:paraId="2AF1BCA5" w14:textId="77777777" w:rsidR="00C77D21" w:rsidRPr="00C77D21" w:rsidRDefault="00C77D21" w:rsidP="00C77D21">
            <w:pPr>
              <w:spacing w:after="0" w:line="240" w:lineRule="auto"/>
              <w:rPr>
                <w:rFonts w:eastAsia="Times New Roman" w:cs="Calibri"/>
                <w:b/>
                <w:bCs/>
                <w:color w:val="000000"/>
                <w:sz w:val="18"/>
                <w:szCs w:val="18"/>
                <w:lang w:eastAsia="es-CR"/>
              </w:rPr>
            </w:pPr>
            <w:r w:rsidRPr="00C77D21">
              <w:rPr>
                <w:rFonts w:eastAsia="Times New Roman" w:cs="Calibri"/>
                <w:b/>
                <w:bCs/>
                <w:color w:val="000000"/>
                <w:sz w:val="18"/>
                <w:szCs w:val="18"/>
                <w:lang w:eastAsia="es-CR"/>
              </w:rPr>
              <w:t> 1.1.9.01.01.99.0. Otros servicios a devengar c/p</w:t>
            </w:r>
          </w:p>
        </w:tc>
        <w:tc>
          <w:tcPr>
            <w:tcW w:w="3328" w:type="dxa"/>
            <w:tcBorders>
              <w:top w:val="nil"/>
              <w:left w:val="nil"/>
              <w:bottom w:val="single" w:sz="8" w:space="0" w:color="auto"/>
              <w:right w:val="single" w:sz="8" w:space="0" w:color="auto"/>
            </w:tcBorders>
            <w:shd w:val="clear" w:color="auto" w:fill="auto"/>
            <w:noWrap/>
            <w:vAlign w:val="center"/>
            <w:hideMark/>
          </w:tcPr>
          <w:p w14:paraId="16DEDD29" w14:textId="77777777" w:rsidR="00C77D21" w:rsidRPr="00C77D21" w:rsidRDefault="00C77D21" w:rsidP="00C77D21">
            <w:pPr>
              <w:spacing w:after="0" w:line="240" w:lineRule="auto"/>
              <w:rPr>
                <w:rFonts w:eastAsia="Times New Roman" w:cs="Calibri"/>
                <w:color w:val="000000"/>
                <w:szCs w:val="24"/>
                <w:lang w:eastAsia="es-CR"/>
              </w:rPr>
            </w:pPr>
            <w:r w:rsidRPr="00C77D21">
              <w:rPr>
                <w:rFonts w:eastAsia="Times New Roman" w:cs="Calibri"/>
                <w:color w:val="000000"/>
                <w:szCs w:val="24"/>
                <w:lang w:eastAsia="es-CR"/>
              </w:rPr>
              <w:t> </w:t>
            </w:r>
          </w:p>
        </w:tc>
        <w:tc>
          <w:tcPr>
            <w:tcW w:w="992" w:type="dxa"/>
            <w:tcBorders>
              <w:top w:val="nil"/>
              <w:left w:val="nil"/>
              <w:bottom w:val="single" w:sz="8" w:space="0" w:color="auto"/>
              <w:right w:val="single" w:sz="8" w:space="0" w:color="auto"/>
            </w:tcBorders>
            <w:shd w:val="clear" w:color="auto" w:fill="auto"/>
            <w:noWrap/>
            <w:vAlign w:val="center"/>
            <w:hideMark/>
          </w:tcPr>
          <w:p w14:paraId="7ED731DA" w14:textId="77777777" w:rsidR="00C77D21" w:rsidRPr="00C77D21" w:rsidRDefault="00C77D21" w:rsidP="00C77D21">
            <w:pPr>
              <w:spacing w:after="0" w:line="240" w:lineRule="auto"/>
              <w:rPr>
                <w:rFonts w:eastAsia="Times New Roman" w:cs="Calibri"/>
                <w:color w:val="000000"/>
                <w:szCs w:val="24"/>
                <w:lang w:eastAsia="es-CR"/>
              </w:rPr>
            </w:pPr>
            <w:r w:rsidRPr="00C77D21">
              <w:rPr>
                <w:rFonts w:eastAsia="Times New Roman" w:cs="Calibri"/>
                <w:color w:val="000000"/>
                <w:szCs w:val="24"/>
                <w:lang w:eastAsia="es-CR"/>
              </w:rPr>
              <w:t> </w:t>
            </w:r>
          </w:p>
        </w:tc>
      </w:tr>
    </w:tbl>
    <w:p w14:paraId="72C252E4" w14:textId="77777777" w:rsidR="00AD5F9A" w:rsidRDefault="00AD5F9A" w:rsidP="00986DC9">
      <w:pPr>
        <w:spacing w:after="0" w:line="240" w:lineRule="auto"/>
        <w:rPr>
          <w:rFonts w:eastAsia="Times New Roman"/>
          <w:b/>
          <w:bCs/>
          <w:sz w:val="22"/>
          <w:lang w:val="es-ES" w:eastAsia="es-CR"/>
        </w:rPr>
      </w:pPr>
      <w:bookmarkStart w:id="194" w:name="_Hlk99359479"/>
      <w:bookmarkStart w:id="195" w:name="_Hlk99369201"/>
    </w:p>
    <w:p w14:paraId="3A478A4F" w14:textId="77777777" w:rsidR="00AD5F9A" w:rsidRDefault="000B4CDA" w:rsidP="00986DC9">
      <w:pPr>
        <w:spacing w:after="0" w:line="240" w:lineRule="auto"/>
        <w:rPr>
          <w:rFonts w:eastAsia="Times New Roman"/>
          <w:sz w:val="22"/>
          <w:lang w:val="es-ES" w:eastAsia="es-CR"/>
        </w:rPr>
      </w:pPr>
      <w:r w:rsidRPr="00692DC8">
        <w:rPr>
          <w:rFonts w:eastAsia="Times New Roman"/>
          <w:b/>
          <w:bCs/>
          <w:sz w:val="22"/>
          <w:lang w:val="es-ES" w:eastAsia="es-CR"/>
        </w:rPr>
        <w:t>Revelación</w:t>
      </w:r>
      <w:r w:rsidRPr="00692DC8">
        <w:rPr>
          <w:rFonts w:eastAsia="Times New Roman"/>
          <w:sz w:val="22"/>
          <w:lang w:val="es-ES" w:eastAsia="es-CR"/>
        </w:rPr>
        <w:t xml:space="preserve">: </w:t>
      </w:r>
    </w:p>
    <w:p w14:paraId="09190298" w14:textId="23F2F256" w:rsidR="000B4CDA" w:rsidRPr="00986DC9" w:rsidRDefault="000B4CDA" w:rsidP="00986DC9">
      <w:pPr>
        <w:spacing w:after="0" w:line="240" w:lineRule="auto"/>
        <w:rPr>
          <w:rFonts w:eastAsia="Times New Roman" w:cs="Calibri"/>
          <w:color w:val="000000"/>
          <w:lang w:eastAsia="es-CR"/>
        </w:rPr>
      </w:pPr>
      <w:r>
        <w:rPr>
          <w:rFonts w:eastAsia="Times New Roman" w:cs="Calibri"/>
          <w:color w:val="000000"/>
          <w:lang w:eastAsia="es-CR"/>
        </w:rPr>
        <w:fldChar w:fldCharType="begin"/>
      </w:r>
      <w:r>
        <w:rPr>
          <w:rFonts w:eastAsia="Times New Roman" w:cs="Calibri"/>
          <w:color w:val="000000"/>
          <w:lang w:eastAsia="es-CR"/>
        </w:rPr>
        <w:instrText xml:space="preserve"> LINK Excel.SheetMacroEnabled.12 "D:\\MORAVIA\\INSUMOS\\NOTAS 2024\\Formato_Notas_EEFF_Vinculadas_2024\\XXXXX_PXX_202X_Anexo_Estado_Notas_Contables_Vinculadas.xlsm" NOTAS_POR_CUENTA!F22C8 \a \f 5 \h  \* MERGEFORMAT </w:instrText>
      </w:r>
      <w:r>
        <w:rPr>
          <w:rFonts w:eastAsia="Times New Roman" w:cs="Calibri"/>
          <w:color w:val="000000"/>
          <w:lang w:eastAsia="es-CR"/>
        </w:rPr>
        <w:fldChar w:fldCharType="separate"/>
      </w:r>
    </w:p>
    <w:p w14:paraId="1F852D47" w14:textId="445E4F94" w:rsidR="000B4CDA" w:rsidRDefault="000B4CDA" w:rsidP="00986DC9">
      <w:pPr>
        <w:spacing w:after="0" w:line="240" w:lineRule="auto"/>
        <w:rPr>
          <w:rFonts w:eastAsia="Times New Roman" w:cs="Calibri"/>
          <w:color w:val="000000"/>
          <w:lang w:eastAsia="es-CR"/>
        </w:rPr>
      </w:pPr>
      <w:r w:rsidRPr="00694299">
        <w:rPr>
          <w:rFonts w:eastAsia="Times New Roman" w:cs="Calibri"/>
          <w:color w:val="000000"/>
          <w:lang w:eastAsia="es-CR"/>
        </w:rPr>
        <w:t xml:space="preserve">La cuenta Otros activos a corto plazo, representa el 0,01% del total del Activo, que comparado al periodo anterior genera una variación absoluta de </w:t>
      </w:r>
      <w:r w:rsidR="00AD5F9A">
        <w:rPr>
          <w:rFonts w:eastAsia="Times New Roman" w:cs="Calibri"/>
          <w:color w:val="000000"/>
          <w:lang w:eastAsia="es-CR"/>
        </w:rPr>
        <w:t>4</w:t>
      </w:r>
      <w:r w:rsidRPr="00694299">
        <w:rPr>
          <w:rFonts w:eastAsia="Times New Roman" w:cs="Calibri"/>
          <w:color w:val="000000"/>
          <w:lang w:eastAsia="es-CR"/>
        </w:rPr>
        <w:t xml:space="preserve"> </w:t>
      </w:r>
      <w:r w:rsidR="00AD5F9A">
        <w:rPr>
          <w:rFonts w:eastAsia="Times New Roman" w:cs="Calibri"/>
          <w:color w:val="000000"/>
          <w:lang w:eastAsia="es-CR"/>
        </w:rPr>
        <w:t>102</w:t>
      </w:r>
      <w:r w:rsidRPr="00694299">
        <w:rPr>
          <w:rFonts w:eastAsia="Times New Roman" w:cs="Calibri"/>
          <w:color w:val="000000"/>
          <w:lang w:eastAsia="es-CR"/>
        </w:rPr>
        <w:t>,</w:t>
      </w:r>
      <w:r w:rsidR="00AD5F9A">
        <w:rPr>
          <w:rFonts w:eastAsia="Times New Roman" w:cs="Calibri"/>
          <w:color w:val="000000"/>
          <w:lang w:eastAsia="es-CR"/>
        </w:rPr>
        <w:t>40</w:t>
      </w:r>
      <w:r w:rsidRPr="00694299">
        <w:rPr>
          <w:rFonts w:eastAsia="Times New Roman" w:cs="Calibri"/>
          <w:color w:val="000000"/>
          <w:lang w:eastAsia="es-CR"/>
        </w:rPr>
        <w:t xml:space="preserve"> que corresponde a un Aumento del </w:t>
      </w:r>
      <w:r w:rsidR="00986DC9">
        <w:rPr>
          <w:rFonts w:eastAsia="Times New Roman" w:cs="Calibri"/>
          <w:color w:val="000000"/>
          <w:lang w:eastAsia="es-CR"/>
        </w:rPr>
        <w:t>19,84</w:t>
      </w:r>
      <w:r w:rsidRPr="00694299">
        <w:rPr>
          <w:rFonts w:eastAsia="Times New Roman" w:cs="Calibri"/>
          <w:color w:val="000000"/>
          <w:lang w:eastAsia="es-CR"/>
        </w:rPr>
        <w:t>% de recursos disponibles.</w:t>
      </w:r>
    </w:p>
    <w:p w14:paraId="3A00CD87" w14:textId="77777777" w:rsidR="00986DC9" w:rsidRPr="00694299" w:rsidRDefault="00986DC9" w:rsidP="00986DC9">
      <w:pPr>
        <w:spacing w:after="0" w:line="240" w:lineRule="auto"/>
        <w:rPr>
          <w:rFonts w:eastAsia="Times New Roman" w:cs="Calibri"/>
          <w:color w:val="000000"/>
          <w:lang w:eastAsia="es-CR"/>
        </w:rPr>
      </w:pPr>
    </w:p>
    <w:p w14:paraId="5326CF23" w14:textId="77777777" w:rsidR="000B4CDA" w:rsidRDefault="000B4CDA" w:rsidP="00986DC9">
      <w:pPr>
        <w:spacing w:after="0" w:line="240" w:lineRule="auto"/>
        <w:rPr>
          <w:rFonts w:eastAsia="Times New Roman" w:cs="Calibri"/>
          <w:color w:val="000000"/>
          <w:lang w:eastAsia="es-CR"/>
        </w:rPr>
      </w:pPr>
      <w:r>
        <w:rPr>
          <w:rFonts w:eastAsia="Times New Roman" w:cs="Calibri"/>
          <w:color w:val="000000"/>
          <w:lang w:eastAsia="es-CR"/>
        </w:rPr>
        <w:fldChar w:fldCharType="end"/>
      </w:r>
      <w:r w:rsidRPr="00986DC9">
        <w:rPr>
          <w:rFonts w:eastAsia="Times New Roman" w:cs="Calibri"/>
          <w:color w:val="000000"/>
          <w:lang w:eastAsia="es-CR"/>
        </w:rPr>
        <w:t xml:space="preserve">Las variaciones de la cuenta son producto de (Indicar la razón de las variaciones de un periodo a otro): </w:t>
      </w:r>
    </w:p>
    <w:p w14:paraId="61D3313C" w14:textId="77777777" w:rsidR="00986DC9" w:rsidRPr="00986DC9" w:rsidRDefault="00986DC9" w:rsidP="00986DC9">
      <w:pPr>
        <w:spacing w:after="0" w:line="240" w:lineRule="auto"/>
        <w:rPr>
          <w:rFonts w:eastAsia="Times New Roman" w:cs="Calibri"/>
          <w:color w:val="000000"/>
          <w:lang w:eastAsia="es-CR"/>
        </w:rPr>
      </w:pPr>
    </w:p>
    <w:p w14:paraId="12E56376" w14:textId="77777777" w:rsidR="000B4CDA" w:rsidRDefault="000B4CDA" w:rsidP="000B4CDA">
      <w:pPr>
        <w:spacing w:after="0" w:line="240" w:lineRule="auto"/>
        <w:rPr>
          <w:bCs/>
          <w:lang w:eastAsia="es-CR"/>
        </w:rPr>
      </w:pPr>
      <w:r>
        <w:rPr>
          <w:bCs/>
          <w:lang w:eastAsia="es-CR"/>
        </w:rPr>
        <w:t>La cuenta presenta el saldo de los seguros pagados por anticipado y la variación es producto del hecho de que se adquirieron pólizas por las cuales se han cancelado nuevas primas, sobre las que se ha</w:t>
      </w:r>
      <w:r w:rsidRPr="00641B94">
        <w:rPr>
          <w:bCs/>
          <w:lang w:eastAsia="es-CR"/>
        </w:rPr>
        <w:t xml:space="preserve"> registr</w:t>
      </w:r>
      <w:r>
        <w:rPr>
          <w:bCs/>
          <w:lang w:eastAsia="es-CR"/>
        </w:rPr>
        <w:t>ad</w:t>
      </w:r>
      <w:r w:rsidRPr="00641B94">
        <w:rPr>
          <w:bCs/>
          <w:lang w:eastAsia="es-CR"/>
        </w:rPr>
        <w:t>o el gasto mensual de las primas de seguros pagadas por anticipado, como parte de uso del método del devengo según las NICSP.</w:t>
      </w:r>
      <w:r>
        <w:rPr>
          <w:bCs/>
          <w:lang w:eastAsia="es-CR"/>
        </w:rPr>
        <w:t xml:space="preserve"> El detalle de las pólizas que posee la Municipalidad de Buenos Aires y los respectivos gastos reconocidos se detalla en el siguiente cuadro:</w:t>
      </w:r>
    </w:p>
    <w:p w14:paraId="0354A87E" w14:textId="77777777" w:rsidR="000B4CDA" w:rsidRPr="00641B94" w:rsidRDefault="000B4CDA" w:rsidP="000B4CDA">
      <w:pPr>
        <w:spacing w:after="0" w:line="240" w:lineRule="auto"/>
        <w:rPr>
          <w:bCs/>
          <w:lang w:eastAsia="es-CR"/>
        </w:rPr>
      </w:pPr>
    </w:p>
    <w:tbl>
      <w:tblPr>
        <w:tblW w:w="9062" w:type="dxa"/>
        <w:tblLook w:val="04A0" w:firstRow="1" w:lastRow="0" w:firstColumn="1" w:lastColumn="0" w:noHBand="0" w:noVBand="1"/>
      </w:tblPr>
      <w:tblGrid>
        <w:gridCol w:w="1484"/>
        <w:gridCol w:w="1465"/>
        <w:gridCol w:w="931"/>
        <w:gridCol w:w="1188"/>
        <w:gridCol w:w="955"/>
        <w:gridCol w:w="971"/>
        <w:gridCol w:w="971"/>
        <w:gridCol w:w="1106"/>
      </w:tblGrid>
      <w:tr w:rsidR="00965562" w:rsidRPr="00965562" w14:paraId="5D0007DC" w14:textId="77777777" w:rsidTr="00965562">
        <w:trPr>
          <w:trHeight w:val="470"/>
        </w:trPr>
        <w:tc>
          <w:tcPr>
            <w:tcW w:w="1484" w:type="dxa"/>
            <w:tcBorders>
              <w:top w:val="single" w:sz="8" w:space="0" w:color="auto"/>
              <w:left w:val="single" w:sz="8" w:space="0" w:color="auto"/>
              <w:bottom w:val="nil"/>
              <w:right w:val="single" w:sz="8" w:space="0" w:color="auto"/>
            </w:tcBorders>
            <w:shd w:val="clear" w:color="000000" w:fill="B4C6E7"/>
            <w:vAlign w:val="center"/>
            <w:hideMark/>
          </w:tcPr>
          <w:p w14:paraId="387896DC" w14:textId="77777777" w:rsidR="00965562" w:rsidRPr="00965562" w:rsidRDefault="00965562" w:rsidP="00965562">
            <w:pPr>
              <w:spacing w:after="0" w:line="240" w:lineRule="auto"/>
              <w:jc w:val="center"/>
              <w:rPr>
                <w:rFonts w:eastAsia="Times New Roman" w:cs="Calibri"/>
                <w:b/>
                <w:bCs/>
                <w:color w:val="000000"/>
                <w:sz w:val="16"/>
                <w:szCs w:val="16"/>
                <w:lang w:val="en-US"/>
              </w:rPr>
            </w:pPr>
            <w:r w:rsidRPr="00965562">
              <w:rPr>
                <w:rFonts w:eastAsia="Times New Roman" w:cs="Calibri"/>
                <w:b/>
                <w:bCs/>
                <w:color w:val="000000"/>
                <w:sz w:val="16"/>
                <w:szCs w:val="16"/>
                <w:lang w:val="en-US"/>
              </w:rPr>
              <w:t>Número de Póliza</w:t>
            </w:r>
          </w:p>
        </w:tc>
        <w:tc>
          <w:tcPr>
            <w:tcW w:w="1465" w:type="dxa"/>
            <w:tcBorders>
              <w:top w:val="single" w:sz="8" w:space="0" w:color="auto"/>
              <w:left w:val="nil"/>
              <w:bottom w:val="nil"/>
              <w:right w:val="single" w:sz="8" w:space="0" w:color="auto"/>
            </w:tcBorders>
            <w:shd w:val="clear" w:color="000000" w:fill="B4C6E7"/>
            <w:vAlign w:val="center"/>
            <w:hideMark/>
          </w:tcPr>
          <w:p w14:paraId="05404593" w14:textId="77777777" w:rsidR="00965562" w:rsidRPr="00965562" w:rsidRDefault="00965562" w:rsidP="00965562">
            <w:pPr>
              <w:spacing w:after="0" w:line="240" w:lineRule="auto"/>
              <w:jc w:val="center"/>
              <w:rPr>
                <w:rFonts w:eastAsia="Times New Roman" w:cs="Calibri"/>
                <w:b/>
                <w:bCs/>
                <w:color w:val="000000"/>
                <w:sz w:val="18"/>
                <w:szCs w:val="18"/>
                <w:lang w:val="en-US"/>
              </w:rPr>
            </w:pPr>
            <w:r w:rsidRPr="00965562">
              <w:rPr>
                <w:rFonts w:eastAsia="Times New Roman" w:cs="Calibri"/>
                <w:b/>
                <w:bCs/>
                <w:color w:val="000000"/>
                <w:sz w:val="18"/>
                <w:szCs w:val="18"/>
                <w:lang w:val="en-US"/>
              </w:rPr>
              <w:t>Tipo de Póliza</w:t>
            </w:r>
          </w:p>
        </w:tc>
        <w:tc>
          <w:tcPr>
            <w:tcW w:w="931" w:type="dxa"/>
            <w:tcBorders>
              <w:top w:val="single" w:sz="8" w:space="0" w:color="auto"/>
              <w:left w:val="nil"/>
              <w:bottom w:val="nil"/>
              <w:right w:val="single" w:sz="8" w:space="0" w:color="auto"/>
            </w:tcBorders>
            <w:shd w:val="clear" w:color="000000" w:fill="B4C6E7"/>
            <w:vAlign w:val="center"/>
            <w:hideMark/>
          </w:tcPr>
          <w:p w14:paraId="0DB9CF1A" w14:textId="77777777" w:rsidR="00965562" w:rsidRPr="00965562" w:rsidRDefault="00965562" w:rsidP="00965562">
            <w:pPr>
              <w:spacing w:after="0" w:line="240" w:lineRule="auto"/>
              <w:jc w:val="center"/>
              <w:rPr>
                <w:rFonts w:eastAsia="Times New Roman" w:cs="Calibri"/>
                <w:b/>
                <w:bCs/>
                <w:color w:val="000000"/>
                <w:sz w:val="18"/>
                <w:szCs w:val="18"/>
                <w:lang w:val="en-US"/>
              </w:rPr>
            </w:pPr>
            <w:r w:rsidRPr="00965562">
              <w:rPr>
                <w:rFonts w:eastAsia="Times New Roman" w:cs="Calibri"/>
                <w:b/>
                <w:bCs/>
                <w:color w:val="000000"/>
                <w:sz w:val="18"/>
                <w:szCs w:val="18"/>
                <w:lang w:val="en-US"/>
              </w:rPr>
              <w:t>Plazo de la Póliza</w:t>
            </w:r>
          </w:p>
        </w:tc>
        <w:tc>
          <w:tcPr>
            <w:tcW w:w="1188" w:type="dxa"/>
            <w:tcBorders>
              <w:top w:val="single" w:sz="8" w:space="0" w:color="auto"/>
              <w:left w:val="nil"/>
              <w:bottom w:val="nil"/>
              <w:right w:val="single" w:sz="8" w:space="0" w:color="auto"/>
            </w:tcBorders>
            <w:shd w:val="clear" w:color="000000" w:fill="B4C6E7"/>
            <w:vAlign w:val="center"/>
            <w:hideMark/>
          </w:tcPr>
          <w:p w14:paraId="2C4AE2DA" w14:textId="77777777" w:rsidR="00965562" w:rsidRPr="00965562" w:rsidRDefault="00965562" w:rsidP="00965562">
            <w:pPr>
              <w:spacing w:after="0" w:line="240" w:lineRule="auto"/>
              <w:jc w:val="center"/>
              <w:rPr>
                <w:rFonts w:eastAsia="Times New Roman" w:cs="Calibri"/>
                <w:b/>
                <w:bCs/>
                <w:color w:val="000000"/>
                <w:sz w:val="18"/>
                <w:szCs w:val="18"/>
                <w:lang w:val="en-US"/>
              </w:rPr>
            </w:pPr>
            <w:r w:rsidRPr="00965562">
              <w:rPr>
                <w:rFonts w:eastAsia="Times New Roman" w:cs="Calibri"/>
                <w:b/>
                <w:bCs/>
                <w:color w:val="000000"/>
                <w:sz w:val="18"/>
                <w:szCs w:val="18"/>
                <w:lang w:val="en-US"/>
              </w:rPr>
              <w:t>Monto de Prima</w:t>
            </w:r>
          </w:p>
        </w:tc>
        <w:tc>
          <w:tcPr>
            <w:tcW w:w="946" w:type="dxa"/>
            <w:tcBorders>
              <w:top w:val="single" w:sz="8" w:space="0" w:color="auto"/>
              <w:left w:val="nil"/>
              <w:bottom w:val="nil"/>
              <w:right w:val="single" w:sz="8" w:space="0" w:color="auto"/>
            </w:tcBorders>
            <w:shd w:val="clear" w:color="000000" w:fill="B4C6E7"/>
            <w:vAlign w:val="center"/>
            <w:hideMark/>
          </w:tcPr>
          <w:p w14:paraId="4FED86D5" w14:textId="77777777" w:rsidR="00965562" w:rsidRPr="00965562" w:rsidRDefault="00965562" w:rsidP="00965562">
            <w:pPr>
              <w:spacing w:after="0" w:line="240" w:lineRule="auto"/>
              <w:jc w:val="center"/>
              <w:rPr>
                <w:rFonts w:eastAsia="Times New Roman" w:cs="Calibri"/>
                <w:b/>
                <w:bCs/>
                <w:color w:val="000000"/>
                <w:sz w:val="18"/>
                <w:szCs w:val="18"/>
                <w:lang w:val="en-US"/>
              </w:rPr>
            </w:pPr>
            <w:r w:rsidRPr="00965562">
              <w:rPr>
                <w:rFonts w:eastAsia="Times New Roman" w:cs="Calibri"/>
                <w:b/>
                <w:bCs/>
                <w:color w:val="000000"/>
                <w:sz w:val="18"/>
                <w:szCs w:val="18"/>
                <w:lang w:val="en-US"/>
              </w:rPr>
              <w:t>Vigencia desde</w:t>
            </w:r>
          </w:p>
        </w:tc>
        <w:tc>
          <w:tcPr>
            <w:tcW w:w="971" w:type="dxa"/>
            <w:tcBorders>
              <w:top w:val="single" w:sz="8" w:space="0" w:color="auto"/>
              <w:left w:val="nil"/>
              <w:bottom w:val="nil"/>
              <w:right w:val="single" w:sz="8" w:space="0" w:color="auto"/>
            </w:tcBorders>
            <w:shd w:val="clear" w:color="000000" w:fill="B4C6E7"/>
            <w:vAlign w:val="center"/>
            <w:hideMark/>
          </w:tcPr>
          <w:p w14:paraId="665A77B6" w14:textId="77777777" w:rsidR="00965562" w:rsidRPr="00965562" w:rsidRDefault="00965562" w:rsidP="00965562">
            <w:pPr>
              <w:spacing w:after="0" w:line="240" w:lineRule="auto"/>
              <w:jc w:val="center"/>
              <w:rPr>
                <w:rFonts w:eastAsia="Times New Roman" w:cs="Calibri"/>
                <w:b/>
                <w:bCs/>
                <w:color w:val="000000"/>
                <w:sz w:val="18"/>
                <w:szCs w:val="18"/>
                <w:lang w:val="en-US"/>
              </w:rPr>
            </w:pPr>
            <w:r w:rsidRPr="00965562">
              <w:rPr>
                <w:rFonts w:eastAsia="Times New Roman" w:cs="Calibri"/>
                <w:b/>
                <w:bCs/>
                <w:color w:val="000000"/>
                <w:sz w:val="18"/>
                <w:szCs w:val="18"/>
                <w:lang w:val="en-US"/>
              </w:rPr>
              <w:t>Hasta</w:t>
            </w:r>
          </w:p>
        </w:tc>
        <w:tc>
          <w:tcPr>
            <w:tcW w:w="971" w:type="dxa"/>
            <w:tcBorders>
              <w:top w:val="single" w:sz="8" w:space="0" w:color="auto"/>
              <w:left w:val="nil"/>
              <w:bottom w:val="nil"/>
              <w:right w:val="single" w:sz="8" w:space="0" w:color="auto"/>
            </w:tcBorders>
            <w:shd w:val="clear" w:color="000000" w:fill="B4C6E7"/>
            <w:vAlign w:val="center"/>
            <w:hideMark/>
          </w:tcPr>
          <w:p w14:paraId="37AF7542" w14:textId="77777777" w:rsidR="00965562" w:rsidRPr="00965562" w:rsidRDefault="00965562" w:rsidP="00965562">
            <w:pPr>
              <w:spacing w:after="0" w:line="240" w:lineRule="auto"/>
              <w:jc w:val="center"/>
              <w:rPr>
                <w:rFonts w:eastAsia="Times New Roman" w:cs="Calibri"/>
                <w:b/>
                <w:bCs/>
                <w:color w:val="000000"/>
                <w:sz w:val="18"/>
                <w:szCs w:val="18"/>
                <w:lang w:val="en-US"/>
              </w:rPr>
            </w:pPr>
            <w:r w:rsidRPr="00965562">
              <w:rPr>
                <w:rFonts w:eastAsia="Times New Roman" w:cs="Calibri"/>
                <w:b/>
                <w:bCs/>
                <w:color w:val="000000"/>
                <w:sz w:val="18"/>
                <w:szCs w:val="18"/>
                <w:lang w:val="en-US"/>
              </w:rPr>
              <w:t>Gasto Mensual</w:t>
            </w:r>
          </w:p>
        </w:tc>
        <w:tc>
          <w:tcPr>
            <w:tcW w:w="1106" w:type="dxa"/>
            <w:tcBorders>
              <w:top w:val="single" w:sz="8" w:space="0" w:color="auto"/>
              <w:left w:val="nil"/>
              <w:bottom w:val="nil"/>
              <w:right w:val="single" w:sz="8" w:space="0" w:color="auto"/>
            </w:tcBorders>
            <w:shd w:val="clear" w:color="000000" w:fill="B4C6E7"/>
            <w:vAlign w:val="center"/>
            <w:hideMark/>
          </w:tcPr>
          <w:p w14:paraId="61322D48" w14:textId="77777777" w:rsidR="00965562" w:rsidRPr="00965562" w:rsidRDefault="00965562" w:rsidP="00965562">
            <w:pPr>
              <w:spacing w:after="0" w:line="240" w:lineRule="auto"/>
              <w:jc w:val="center"/>
              <w:rPr>
                <w:rFonts w:eastAsia="Times New Roman" w:cs="Calibri"/>
                <w:b/>
                <w:bCs/>
                <w:color w:val="000000"/>
                <w:sz w:val="18"/>
                <w:szCs w:val="18"/>
                <w:lang w:val="en-US"/>
              </w:rPr>
            </w:pPr>
            <w:r w:rsidRPr="00965562">
              <w:rPr>
                <w:rFonts w:eastAsia="Times New Roman" w:cs="Calibri"/>
                <w:b/>
                <w:bCs/>
                <w:color w:val="000000"/>
                <w:sz w:val="18"/>
                <w:szCs w:val="18"/>
                <w:lang w:val="en-US"/>
              </w:rPr>
              <w:t>Saldo de Prima</w:t>
            </w:r>
          </w:p>
        </w:tc>
      </w:tr>
      <w:tr w:rsidR="00965562" w:rsidRPr="00965562" w14:paraId="4A08161F" w14:textId="77777777" w:rsidTr="00965562">
        <w:trPr>
          <w:trHeight w:val="132"/>
        </w:trPr>
        <w:tc>
          <w:tcPr>
            <w:tcW w:w="148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53A618E" w14:textId="77777777" w:rsidR="00965562" w:rsidRPr="00965562" w:rsidRDefault="00965562" w:rsidP="00965562">
            <w:pPr>
              <w:spacing w:after="0" w:line="240" w:lineRule="auto"/>
              <w:jc w:val="left"/>
              <w:rPr>
                <w:rFonts w:eastAsia="Times New Roman" w:cs="Calibri"/>
                <w:color w:val="000000"/>
                <w:sz w:val="16"/>
                <w:szCs w:val="16"/>
                <w:lang w:val="en-US"/>
              </w:rPr>
            </w:pPr>
            <w:r w:rsidRPr="00965562">
              <w:rPr>
                <w:rFonts w:eastAsia="Times New Roman" w:cs="Calibri"/>
                <w:color w:val="000000"/>
                <w:sz w:val="16"/>
                <w:szCs w:val="16"/>
                <w:lang w:val="en-US"/>
              </w:rPr>
              <w:t>01-01-RT-8801352-</w:t>
            </w:r>
          </w:p>
        </w:tc>
        <w:tc>
          <w:tcPr>
            <w:tcW w:w="1465" w:type="dxa"/>
            <w:tcBorders>
              <w:top w:val="single" w:sz="8" w:space="0" w:color="auto"/>
              <w:left w:val="nil"/>
              <w:bottom w:val="single" w:sz="4" w:space="0" w:color="auto"/>
              <w:right w:val="single" w:sz="4" w:space="0" w:color="auto"/>
            </w:tcBorders>
            <w:shd w:val="clear" w:color="auto" w:fill="auto"/>
            <w:noWrap/>
            <w:vAlign w:val="bottom"/>
            <w:hideMark/>
          </w:tcPr>
          <w:p w14:paraId="0BBD6E3D" w14:textId="77777777" w:rsidR="00965562" w:rsidRPr="00965562" w:rsidRDefault="00965562" w:rsidP="00965562">
            <w:pPr>
              <w:spacing w:after="0" w:line="240" w:lineRule="auto"/>
              <w:ind w:left="-45"/>
              <w:rPr>
                <w:rFonts w:eastAsia="Times New Roman" w:cs="Calibri"/>
                <w:color w:val="000000"/>
                <w:sz w:val="18"/>
                <w:szCs w:val="18"/>
                <w:lang w:val="en-US"/>
              </w:rPr>
            </w:pPr>
            <w:r w:rsidRPr="00965562">
              <w:rPr>
                <w:rFonts w:eastAsia="Times New Roman" w:cs="Calibri"/>
                <w:color w:val="000000"/>
                <w:sz w:val="18"/>
                <w:szCs w:val="18"/>
                <w:lang w:val="en-US"/>
              </w:rPr>
              <w:t>Riesgos del Trabajo</w:t>
            </w:r>
          </w:p>
        </w:tc>
        <w:tc>
          <w:tcPr>
            <w:tcW w:w="931" w:type="dxa"/>
            <w:tcBorders>
              <w:top w:val="single" w:sz="8" w:space="0" w:color="auto"/>
              <w:left w:val="nil"/>
              <w:bottom w:val="single" w:sz="4" w:space="0" w:color="auto"/>
              <w:right w:val="single" w:sz="4" w:space="0" w:color="auto"/>
            </w:tcBorders>
            <w:shd w:val="clear" w:color="auto" w:fill="auto"/>
            <w:noWrap/>
            <w:vAlign w:val="bottom"/>
            <w:hideMark/>
          </w:tcPr>
          <w:p w14:paraId="7D3AD1FA" w14:textId="77777777" w:rsidR="00965562" w:rsidRPr="00965562" w:rsidRDefault="00965562" w:rsidP="00965562">
            <w:pPr>
              <w:spacing w:after="0" w:line="240" w:lineRule="auto"/>
              <w:jc w:val="center"/>
              <w:rPr>
                <w:rFonts w:eastAsia="Times New Roman" w:cs="Calibri"/>
                <w:color w:val="000000"/>
                <w:sz w:val="18"/>
                <w:szCs w:val="18"/>
                <w:lang w:val="en-US"/>
              </w:rPr>
            </w:pPr>
            <w:r w:rsidRPr="00965562">
              <w:rPr>
                <w:rFonts w:eastAsia="Times New Roman" w:cs="Calibri"/>
                <w:color w:val="000000"/>
                <w:sz w:val="18"/>
                <w:szCs w:val="18"/>
                <w:lang w:val="en-US"/>
              </w:rPr>
              <w:t>1 Año</w:t>
            </w:r>
          </w:p>
        </w:tc>
        <w:tc>
          <w:tcPr>
            <w:tcW w:w="1188" w:type="dxa"/>
            <w:tcBorders>
              <w:top w:val="single" w:sz="8" w:space="0" w:color="auto"/>
              <w:left w:val="nil"/>
              <w:bottom w:val="single" w:sz="4" w:space="0" w:color="auto"/>
              <w:right w:val="single" w:sz="4" w:space="0" w:color="auto"/>
            </w:tcBorders>
            <w:shd w:val="clear" w:color="auto" w:fill="auto"/>
            <w:noWrap/>
            <w:vAlign w:val="bottom"/>
            <w:hideMark/>
          </w:tcPr>
          <w:p w14:paraId="54967063" w14:textId="37623549" w:rsidR="00965562" w:rsidRPr="00965562" w:rsidRDefault="00965562" w:rsidP="00965562">
            <w:pPr>
              <w:spacing w:after="0" w:line="240" w:lineRule="auto"/>
              <w:ind w:left="-170"/>
              <w:jc w:val="right"/>
              <w:rPr>
                <w:rFonts w:eastAsia="Times New Roman" w:cs="Calibri"/>
                <w:color w:val="000000"/>
                <w:sz w:val="18"/>
                <w:szCs w:val="18"/>
                <w:lang w:val="en-US"/>
              </w:rPr>
            </w:pPr>
            <w:r w:rsidRPr="00965562">
              <w:rPr>
                <w:rFonts w:eastAsia="Times New Roman" w:cs="Calibri"/>
                <w:color w:val="000000"/>
                <w:sz w:val="18"/>
                <w:szCs w:val="18"/>
                <w:lang w:val="en-US"/>
              </w:rPr>
              <w:t xml:space="preserve">        </w:t>
            </w:r>
            <w:r w:rsidRPr="00965562">
              <w:rPr>
                <w:rFonts w:ascii="Calibri" w:eastAsia="Times New Roman" w:hAnsi="Calibri" w:cs="Calibri"/>
                <w:color w:val="000000"/>
                <w:sz w:val="20"/>
                <w:szCs w:val="20"/>
                <w:lang w:val="en-US"/>
              </w:rPr>
              <w:t>₡</w:t>
            </w:r>
            <w:r w:rsidRPr="00965562">
              <w:rPr>
                <w:rFonts w:eastAsia="Times New Roman" w:cs="Calibri"/>
                <w:color w:val="000000"/>
                <w:sz w:val="18"/>
                <w:szCs w:val="18"/>
                <w:lang w:val="en-US"/>
              </w:rPr>
              <w:t xml:space="preserve">14 168,79 </w:t>
            </w:r>
          </w:p>
        </w:tc>
        <w:tc>
          <w:tcPr>
            <w:tcW w:w="946" w:type="dxa"/>
            <w:tcBorders>
              <w:top w:val="single" w:sz="8" w:space="0" w:color="auto"/>
              <w:left w:val="nil"/>
              <w:bottom w:val="single" w:sz="4" w:space="0" w:color="auto"/>
              <w:right w:val="single" w:sz="4" w:space="0" w:color="auto"/>
            </w:tcBorders>
            <w:shd w:val="clear" w:color="auto" w:fill="auto"/>
            <w:noWrap/>
            <w:vAlign w:val="bottom"/>
            <w:hideMark/>
          </w:tcPr>
          <w:p w14:paraId="2A625684" w14:textId="77777777" w:rsidR="00965562" w:rsidRPr="00965562" w:rsidRDefault="00965562" w:rsidP="00965562">
            <w:pPr>
              <w:spacing w:after="0" w:line="240" w:lineRule="auto"/>
              <w:jc w:val="center"/>
              <w:rPr>
                <w:rFonts w:eastAsia="Times New Roman" w:cs="Calibri"/>
                <w:sz w:val="18"/>
                <w:szCs w:val="18"/>
                <w:lang w:val="en-US"/>
              </w:rPr>
            </w:pPr>
            <w:r w:rsidRPr="00965562">
              <w:rPr>
                <w:rFonts w:eastAsia="Times New Roman" w:cs="Calibri"/>
                <w:sz w:val="18"/>
                <w:szCs w:val="18"/>
                <w:lang w:val="en-US"/>
              </w:rPr>
              <w:t>1/1/2023</w:t>
            </w:r>
          </w:p>
        </w:tc>
        <w:tc>
          <w:tcPr>
            <w:tcW w:w="971" w:type="dxa"/>
            <w:tcBorders>
              <w:top w:val="single" w:sz="8" w:space="0" w:color="auto"/>
              <w:left w:val="single" w:sz="4" w:space="0" w:color="auto"/>
              <w:bottom w:val="single" w:sz="4" w:space="0" w:color="auto"/>
              <w:right w:val="nil"/>
            </w:tcBorders>
            <w:shd w:val="clear" w:color="auto" w:fill="auto"/>
            <w:noWrap/>
            <w:vAlign w:val="bottom"/>
            <w:hideMark/>
          </w:tcPr>
          <w:p w14:paraId="199DC38C" w14:textId="77777777" w:rsidR="00965562" w:rsidRPr="00965562" w:rsidRDefault="00965562" w:rsidP="00965562">
            <w:pPr>
              <w:spacing w:after="0" w:line="240" w:lineRule="auto"/>
              <w:jc w:val="center"/>
              <w:rPr>
                <w:rFonts w:eastAsia="Times New Roman" w:cs="Calibri"/>
                <w:sz w:val="18"/>
                <w:szCs w:val="18"/>
                <w:lang w:val="en-US"/>
              </w:rPr>
            </w:pPr>
            <w:r w:rsidRPr="00965562">
              <w:rPr>
                <w:rFonts w:eastAsia="Times New Roman" w:cs="Calibri"/>
                <w:sz w:val="18"/>
                <w:szCs w:val="18"/>
                <w:lang w:val="en-US"/>
              </w:rPr>
              <w:t>31/12/2023</w:t>
            </w:r>
          </w:p>
        </w:tc>
        <w:tc>
          <w:tcPr>
            <w:tcW w:w="971"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5463912C" w14:textId="3161D2C7" w:rsidR="00965562" w:rsidRPr="00965562" w:rsidRDefault="00965562" w:rsidP="00965562">
            <w:pPr>
              <w:spacing w:after="0" w:line="240" w:lineRule="auto"/>
              <w:jc w:val="right"/>
              <w:rPr>
                <w:rFonts w:eastAsia="Times New Roman" w:cs="Calibri"/>
                <w:color w:val="000000"/>
                <w:sz w:val="18"/>
                <w:szCs w:val="18"/>
                <w:lang w:val="en-US"/>
              </w:rPr>
            </w:pPr>
            <w:r w:rsidRPr="00965562">
              <w:rPr>
                <w:rFonts w:eastAsia="Times New Roman" w:cs="Calibri"/>
                <w:color w:val="000000"/>
                <w:sz w:val="18"/>
                <w:szCs w:val="18"/>
                <w:lang w:val="en-US"/>
              </w:rPr>
              <w:t xml:space="preserve"> </w:t>
            </w:r>
            <w:r w:rsidRPr="000B4CDA">
              <w:rPr>
                <w:rFonts w:ascii="Calibri" w:eastAsia="Times New Roman" w:hAnsi="Calibri" w:cs="Calibri"/>
                <w:b/>
                <w:bCs/>
                <w:color w:val="000000"/>
                <w:sz w:val="20"/>
                <w:szCs w:val="20"/>
                <w:lang w:val="en-US"/>
              </w:rPr>
              <w:t>₡</w:t>
            </w:r>
            <w:r w:rsidRPr="00965562">
              <w:rPr>
                <w:rFonts w:eastAsia="Times New Roman" w:cs="Calibri"/>
                <w:color w:val="000000"/>
                <w:sz w:val="18"/>
                <w:szCs w:val="18"/>
                <w:lang w:val="en-US"/>
              </w:rPr>
              <w:t xml:space="preserve">1 180,73 </w:t>
            </w:r>
          </w:p>
        </w:tc>
        <w:tc>
          <w:tcPr>
            <w:tcW w:w="1106" w:type="dxa"/>
            <w:tcBorders>
              <w:top w:val="single" w:sz="8" w:space="0" w:color="auto"/>
              <w:left w:val="nil"/>
              <w:bottom w:val="single" w:sz="4" w:space="0" w:color="auto"/>
              <w:right w:val="single" w:sz="8" w:space="0" w:color="auto"/>
            </w:tcBorders>
            <w:shd w:val="clear" w:color="auto" w:fill="auto"/>
            <w:noWrap/>
            <w:vAlign w:val="bottom"/>
            <w:hideMark/>
          </w:tcPr>
          <w:p w14:paraId="0AC5317C" w14:textId="6A5BC787" w:rsidR="00965562" w:rsidRPr="00965562" w:rsidRDefault="00965562" w:rsidP="00965562">
            <w:pPr>
              <w:spacing w:after="0" w:line="240" w:lineRule="auto"/>
              <w:jc w:val="right"/>
              <w:rPr>
                <w:rFonts w:eastAsia="Times New Roman" w:cs="Calibri"/>
                <w:color w:val="000000"/>
                <w:sz w:val="18"/>
                <w:szCs w:val="18"/>
                <w:lang w:val="en-US"/>
              </w:rPr>
            </w:pPr>
            <w:r w:rsidRPr="00965562">
              <w:rPr>
                <w:rFonts w:eastAsia="Times New Roman" w:cs="Calibri"/>
                <w:color w:val="000000"/>
                <w:sz w:val="18"/>
                <w:szCs w:val="18"/>
                <w:lang w:val="en-US"/>
              </w:rPr>
              <w:t xml:space="preserve">      </w:t>
            </w:r>
            <w:r w:rsidRPr="000B4CDA">
              <w:rPr>
                <w:rFonts w:ascii="Calibri" w:eastAsia="Times New Roman" w:hAnsi="Calibri" w:cs="Calibri"/>
                <w:b/>
                <w:bCs/>
                <w:color w:val="000000"/>
                <w:sz w:val="20"/>
                <w:szCs w:val="20"/>
                <w:lang w:val="en-US"/>
              </w:rPr>
              <w:t>₡</w:t>
            </w:r>
            <w:r w:rsidRPr="00965562">
              <w:rPr>
                <w:rFonts w:eastAsia="Times New Roman" w:cs="Calibri"/>
                <w:color w:val="000000"/>
                <w:sz w:val="18"/>
                <w:szCs w:val="18"/>
                <w:lang w:val="en-US"/>
              </w:rPr>
              <w:t xml:space="preserve">0,02 </w:t>
            </w:r>
          </w:p>
        </w:tc>
      </w:tr>
      <w:tr w:rsidR="00965562" w:rsidRPr="00965562" w14:paraId="26F8CAFC" w14:textId="77777777" w:rsidTr="00965562">
        <w:trPr>
          <w:trHeight w:val="93"/>
        </w:trPr>
        <w:tc>
          <w:tcPr>
            <w:tcW w:w="148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3458651" w14:textId="77777777" w:rsidR="00965562" w:rsidRPr="00965562" w:rsidRDefault="00965562" w:rsidP="00965562">
            <w:pPr>
              <w:spacing w:after="0" w:line="240" w:lineRule="auto"/>
              <w:jc w:val="left"/>
              <w:rPr>
                <w:rFonts w:eastAsia="Times New Roman" w:cs="Calibri"/>
                <w:sz w:val="16"/>
                <w:szCs w:val="16"/>
                <w:lang w:val="en-US"/>
              </w:rPr>
            </w:pPr>
            <w:r w:rsidRPr="00965562">
              <w:rPr>
                <w:rFonts w:eastAsia="Times New Roman" w:cs="Calibri"/>
                <w:sz w:val="16"/>
                <w:szCs w:val="16"/>
                <w:lang w:val="en-US"/>
              </w:rPr>
              <w:t>01-01-RT-8801352-</w:t>
            </w:r>
          </w:p>
        </w:tc>
        <w:tc>
          <w:tcPr>
            <w:tcW w:w="1465" w:type="dxa"/>
            <w:tcBorders>
              <w:top w:val="single" w:sz="8" w:space="0" w:color="auto"/>
              <w:left w:val="nil"/>
              <w:bottom w:val="single" w:sz="4" w:space="0" w:color="auto"/>
              <w:right w:val="single" w:sz="4" w:space="0" w:color="auto"/>
            </w:tcBorders>
            <w:shd w:val="clear" w:color="auto" w:fill="auto"/>
            <w:noWrap/>
            <w:vAlign w:val="bottom"/>
            <w:hideMark/>
          </w:tcPr>
          <w:p w14:paraId="0D3EB037" w14:textId="77777777" w:rsidR="00965562" w:rsidRPr="00965562" w:rsidRDefault="00965562" w:rsidP="00965562">
            <w:pPr>
              <w:spacing w:after="0" w:line="240" w:lineRule="auto"/>
              <w:ind w:left="-45"/>
              <w:rPr>
                <w:rFonts w:eastAsia="Times New Roman" w:cs="Calibri"/>
                <w:sz w:val="18"/>
                <w:szCs w:val="18"/>
                <w:lang w:val="en-US"/>
              </w:rPr>
            </w:pPr>
            <w:r w:rsidRPr="00965562">
              <w:rPr>
                <w:rFonts w:eastAsia="Times New Roman" w:cs="Calibri"/>
                <w:sz w:val="18"/>
                <w:szCs w:val="18"/>
                <w:lang w:val="en-US"/>
              </w:rPr>
              <w:t>Riesgos del Trabajo</w:t>
            </w:r>
          </w:p>
        </w:tc>
        <w:tc>
          <w:tcPr>
            <w:tcW w:w="931" w:type="dxa"/>
            <w:tcBorders>
              <w:top w:val="single" w:sz="8" w:space="0" w:color="auto"/>
              <w:left w:val="nil"/>
              <w:bottom w:val="single" w:sz="4" w:space="0" w:color="auto"/>
              <w:right w:val="single" w:sz="4" w:space="0" w:color="auto"/>
            </w:tcBorders>
            <w:shd w:val="clear" w:color="auto" w:fill="auto"/>
            <w:noWrap/>
            <w:vAlign w:val="bottom"/>
            <w:hideMark/>
          </w:tcPr>
          <w:p w14:paraId="38FAD8D7" w14:textId="77777777" w:rsidR="00965562" w:rsidRPr="00965562" w:rsidRDefault="00965562" w:rsidP="00965562">
            <w:pPr>
              <w:spacing w:after="0" w:line="240" w:lineRule="auto"/>
              <w:jc w:val="center"/>
              <w:rPr>
                <w:rFonts w:eastAsia="Times New Roman" w:cs="Calibri"/>
                <w:sz w:val="18"/>
                <w:szCs w:val="18"/>
                <w:lang w:val="en-US"/>
              </w:rPr>
            </w:pPr>
            <w:r w:rsidRPr="00965562">
              <w:rPr>
                <w:rFonts w:eastAsia="Times New Roman" w:cs="Calibri"/>
                <w:sz w:val="18"/>
                <w:szCs w:val="18"/>
                <w:lang w:val="en-US"/>
              </w:rPr>
              <w:t>1 Año</w:t>
            </w:r>
          </w:p>
        </w:tc>
        <w:tc>
          <w:tcPr>
            <w:tcW w:w="1188" w:type="dxa"/>
            <w:tcBorders>
              <w:top w:val="nil"/>
              <w:left w:val="single" w:sz="4" w:space="0" w:color="auto"/>
              <w:bottom w:val="single" w:sz="4" w:space="0" w:color="auto"/>
              <w:right w:val="single" w:sz="4" w:space="0" w:color="auto"/>
            </w:tcBorders>
            <w:shd w:val="clear" w:color="auto" w:fill="auto"/>
            <w:noWrap/>
            <w:vAlign w:val="bottom"/>
            <w:hideMark/>
          </w:tcPr>
          <w:p w14:paraId="0A5D860D" w14:textId="77777777" w:rsidR="00965562" w:rsidRPr="00965562" w:rsidRDefault="00965562" w:rsidP="00965562">
            <w:pPr>
              <w:spacing w:after="0" w:line="240" w:lineRule="auto"/>
              <w:ind w:left="-170"/>
              <w:jc w:val="right"/>
              <w:rPr>
                <w:rFonts w:eastAsia="Times New Roman" w:cs="Calibri"/>
                <w:color w:val="000000"/>
                <w:sz w:val="18"/>
                <w:szCs w:val="18"/>
                <w:lang w:val="en-US"/>
              </w:rPr>
            </w:pPr>
            <w:r w:rsidRPr="00965562">
              <w:rPr>
                <w:rFonts w:eastAsia="Times New Roman" w:cs="Calibri"/>
                <w:color w:val="000000"/>
                <w:sz w:val="18"/>
                <w:szCs w:val="18"/>
                <w:lang w:val="en-US"/>
              </w:rPr>
              <w:t xml:space="preserve">           16 018,95 </w:t>
            </w:r>
          </w:p>
        </w:tc>
        <w:tc>
          <w:tcPr>
            <w:tcW w:w="946" w:type="dxa"/>
            <w:tcBorders>
              <w:top w:val="nil"/>
              <w:left w:val="nil"/>
              <w:bottom w:val="single" w:sz="4" w:space="0" w:color="auto"/>
              <w:right w:val="single" w:sz="4" w:space="0" w:color="auto"/>
            </w:tcBorders>
            <w:shd w:val="clear" w:color="auto" w:fill="auto"/>
            <w:noWrap/>
            <w:vAlign w:val="bottom"/>
            <w:hideMark/>
          </w:tcPr>
          <w:p w14:paraId="40EC6150" w14:textId="77777777" w:rsidR="00965562" w:rsidRPr="00965562" w:rsidRDefault="00965562" w:rsidP="00965562">
            <w:pPr>
              <w:spacing w:after="0" w:line="240" w:lineRule="auto"/>
              <w:jc w:val="center"/>
              <w:rPr>
                <w:rFonts w:eastAsia="Times New Roman" w:cs="Calibri"/>
                <w:sz w:val="18"/>
                <w:szCs w:val="18"/>
                <w:lang w:val="en-US"/>
              </w:rPr>
            </w:pPr>
            <w:r w:rsidRPr="00965562">
              <w:rPr>
                <w:rFonts w:eastAsia="Times New Roman" w:cs="Calibri"/>
                <w:sz w:val="18"/>
                <w:szCs w:val="18"/>
                <w:lang w:val="en-US"/>
              </w:rPr>
              <w:t>1/1/2024</w:t>
            </w:r>
          </w:p>
        </w:tc>
        <w:tc>
          <w:tcPr>
            <w:tcW w:w="971" w:type="dxa"/>
            <w:tcBorders>
              <w:top w:val="nil"/>
              <w:left w:val="single" w:sz="4" w:space="0" w:color="auto"/>
              <w:bottom w:val="single" w:sz="4" w:space="0" w:color="auto"/>
              <w:right w:val="nil"/>
            </w:tcBorders>
            <w:shd w:val="clear" w:color="auto" w:fill="auto"/>
            <w:noWrap/>
            <w:vAlign w:val="bottom"/>
            <w:hideMark/>
          </w:tcPr>
          <w:p w14:paraId="475E0391" w14:textId="77777777" w:rsidR="00965562" w:rsidRPr="00965562" w:rsidRDefault="00965562" w:rsidP="00965562">
            <w:pPr>
              <w:spacing w:after="0" w:line="240" w:lineRule="auto"/>
              <w:jc w:val="center"/>
              <w:rPr>
                <w:rFonts w:eastAsia="Times New Roman" w:cs="Calibri"/>
                <w:sz w:val="18"/>
                <w:szCs w:val="18"/>
                <w:lang w:val="en-US"/>
              </w:rPr>
            </w:pPr>
            <w:r w:rsidRPr="00965562">
              <w:rPr>
                <w:rFonts w:eastAsia="Times New Roman" w:cs="Calibri"/>
                <w:sz w:val="18"/>
                <w:szCs w:val="18"/>
                <w:lang w:val="en-US"/>
              </w:rPr>
              <w:t>31/12/2024</w:t>
            </w:r>
          </w:p>
        </w:tc>
        <w:tc>
          <w:tcPr>
            <w:tcW w:w="971" w:type="dxa"/>
            <w:tcBorders>
              <w:top w:val="nil"/>
              <w:left w:val="single" w:sz="4" w:space="0" w:color="auto"/>
              <w:bottom w:val="single" w:sz="4" w:space="0" w:color="auto"/>
              <w:right w:val="single" w:sz="4" w:space="0" w:color="auto"/>
            </w:tcBorders>
            <w:shd w:val="clear" w:color="auto" w:fill="auto"/>
            <w:noWrap/>
            <w:vAlign w:val="bottom"/>
            <w:hideMark/>
          </w:tcPr>
          <w:p w14:paraId="7CBBB2C8" w14:textId="397CC005" w:rsidR="00965562" w:rsidRPr="00965562" w:rsidRDefault="00965562" w:rsidP="00965562">
            <w:pPr>
              <w:spacing w:after="0" w:line="240" w:lineRule="auto"/>
              <w:jc w:val="right"/>
              <w:rPr>
                <w:rFonts w:eastAsia="Times New Roman" w:cs="Calibri"/>
                <w:color w:val="000000"/>
                <w:sz w:val="18"/>
                <w:szCs w:val="18"/>
                <w:lang w:val="en-US"/>
              </w:rPr>
            </w:pPr>
            <w:r w:rsidRPr="00965562">
              <w:rPr>
                <w:rFonts w:eastAsia="Times New Roman" w:cs="Calibri"/>
                <w:color w:val="000000"/>
                <w:sz w:val="18"/>
                <w:szCs w:val="18"/>
                <w:lang w:val="en-US"/>
              </w:rPr>
              <w:t xml:space="preserve">    1 334,91 </w:t>
            </w:r>
          </w:p>
        </w:tc>
        <w:tc>
          <w:tcPr>
            <w:tcW w:w="1106" w:type="dxa"/>
            <w:tcBorders>
              <w:top w:val="nil"/>
              <w:left w:val="nil"/>
              <w:bottom w:val="single" w:sz="4" w:space="0" w:color="auto"/>
              <w:right w:val="single" w:sz="8" w:space="0" w:color="auto"/>
            </w:tcBorders>
            <w:shd w:val="clear" w:color="auto" w:fill="auto"/>
            <w:noWrap/>
            <w:vAlign w:val="bottom"/>
            <w:hideMark/>
          </w:tcPr>
          <w:p w14:paraId="47C68C15" w14:textId="77777777" w:rsidR="00965562" w:rsidRPr="00965562" w:rsidRDefault="00965562" w:rsidP="00965562">
            <w:pPr>
              <w:spacing w:after="0" w:line="240" w:lineRule="auto"/>
              <w:jc w:val="right"/>
              <w:rPr>
                <w:rFonts w:eastAsia="Times New Roman" w:cs="Calibri"/>
                <w:color w:val="000000"/>
                <w:sz w:val="18"/>
                <w:szCs w:val="18"/>
                <w:lang w:val="en-US"/>
              </w:rPr>
            </w:pPr>
            <w:r w:rsidRPr="00965562">
              <w:rPr>
                <w:rFonts w:eastAsia="Times New Roman" w:cs="Calibri"/>
                <w:color w:val="000000"/>
                <w:sz w:val="18"/>
                <w:szCs w:val="18"/>
                <w:lang w:val="en-US"/>
              </w:rPr>
              <w:t xml:space="preserve">  12 014,21 </w:t>
            </w:r>
          </w:p>
        </w:tc>
      </w:tr>
      <w:tr w:rsidR="00965562" w:rsidRPr="00965562" w14:paraId="673505AD" w14:textId="77777777" w:rsidTr="00965562">
        <w:trPr>
          <w:trHeight w:val="208"/>
        </w:trPr>
        <w:tc>
          <w:tcPr>
            <w:tcW w:w="1484" w:type="dxa"/>
            <w:tcBorders>
              <w:top w:val="nil"/>
              <w:left w:val="single" w:sz="8" w:space="0" w:color="auto"/>
              <w:bottom w:val="single" w:sz="4" w:space="0" w:color="auto"/>
              <w:right w:val="nil"/>
            </w:tcBorders>
            <w:shd w:val="clear" w:color="auto" w:fill="auto"/>
            <w:noWrap/>
            <w:vAlign w:val="bottom"/>
            <w:hideMark/>
          </w:tcPr>
          <w:p w14:paraId="318FF8B8" w14:textId="77777777" w:rsidR="00965562" w:rsidRPr="00965562" w:rsidRDefault="00965562" w:rsidP="00965562">
            <w:pPr>
              <w:spacing w:after="0" w:line="240" w:lineRule="auto"/>
              <w:jc w:val="left"/>
              <w:rPr>
                <w:rFonts w:eastAsia="Times New Roman" w:cs="Calibri"/>
                <w:sz w:val="16"/>
                <w:szCs w:val="16"/>
                <w:lang w:val="en-US"/>
              </w:rPr>
            </w:pPr>
            <w:r w:rsidRPr="00965562">
              <w:rPr>
                <w:rFonts w:eastAsia="Times New Roman" w:cs="Calibri"/>
                <w:sz w:val="16"/>
                <w:szCs w:val="16"/>
                <w:lang w:val="en-US"/>
              </w:rPr>
              <w:t>01-18-AUM-306-27</w:t>
            </w:r>
          </w:p>
        </w:tc>
        <w:tc>
          <w:tcPr>
            <w:tcW w:w="1465" w:type="dxa"/>
            <w:tcBorders>
              <w:top w:val="nil"/>
              <w:left w:val="single" w:sz="4" w:space="0" w:color="auto"/>
              <w:bottom w:val="single" w:sz="4" w:space="0" w:color="auto"/>
              <w:right w:val="single" w:sz="4" w:space="0" w:color="auto"/>
            </w:tcBorders>
            <w:shd w:val="clear" w:color="auto" w:fill="auto"/>
            <w:noWrap/>
            <w:vAlign w:val="bottom"/>
            <w:hideMark/>
          </w:tcPr>
          <w:p w14:paraId="7B457625" w14:textId="77777777" w:rsidR="00965562" w:rsidRPr="00965562" w:rsidRDefault="00965562" w:rsidP="00965562">
            <w:pPr>
              <w:spacing w:after="0" w:line="240" w:lineRule="auto"/>
              <w:jc w:val="center"/>
              <w:rPr>
                <w:rFonts w:eastAsia="Times New Roman" w:cs="Calibri"/>
                <w:color w:val="000000"/>
                <w:sz w:val="18"/>
                <w:szCs w:val="18"/>
                <w:lang w:val="en-US"/>
              </w:rPr>
            </w:pPr>
            <w:r w:rsidRPr="00965562">
              <w:rPr>
                <w:rFonts w:eastAsia="Times New Roman" w:cs="Calibri"/>
                <w:color w:val="000000"/>
                <w:sz w:val="18"/>
                <w:szCs w:val="18"/>
                <w:lang w:val="en-US"/>
              </w:rPr>
              <w:t>Vehículos</w:t>
            </w:r>
          </w:p>
        </w:tc>
        <w:tc>
          <w:tcPr>
            <w:tcW w:w="931" w:type="dxa"/>
            <w:tcBorders>
              <w:top w:val="nil"/>
              <w:left w:val="nil"/>
              <w:bottom w:val="single" w:sz="4" w:space="0" w:color="auto"/>
              <w:right w:val="single" w:sz="4" w:space="0" w:color="auto"/>
            </w:tcBorders>
            <w:shd w:val="clear" w:color="auto" w:fill="auto"/>
            <w:noWrap/>
            <w:vAlign w:val="bottom"/>
            <w:hideMark/>
          </w:tcPr>
          <w:p w14:paraId="32D25856" w14:textId="77777777" w:rsidR="00965562" w:rsidRPr="00965562" w:rsidRDefault="00965562" w:rsidP="00965562">
            <w:pPr>
              <w:spacing w:after="0" w:line="240" w:lineRule="auto"/>
              <w:jc w:val="center"/>
              <w:rPr>
                <w:rFonts w:eastAsia="Times New Roman" w:cs="Calibri"/>
                <w:color w:val="000000"/>
                <w:sz w:val="18"/>
                <w:szCs w:val="18"/>
                <w:lang w:val="en-US"/>
              </w:rPr>
            </w:pPr>
            <w:r w:rsidRPr="00965562">
              <w:rPr>
                <w:rFonts w:eastAsia="Times New Roman" w:cs="Calibri"/>
                <w:color w:val="000000"/>
                <w:sz w:val="18"/>
                <w:szCs w:val="18"/>
                <w:lang w:val="en-US"/>
              </w:rPr>
              <w:t>6 meses</w:t>
            </w:r>
          </w:p>
        </w:tc>
        <w:tc>
          <w:tcPr>
            <w:tcW w:w="1188" w:type="dxa"/>
            <w:tcBorders>
              <w:top w:val="nil"/>
              <w:left w:val="single" w:sz="4" w:space="0" w:color="auto"/>
              <w:bottom w:val="single" w:sz="4" w:space="0" w:color="auto"/>
              <w:right w:val="single" w:sz="4" w:space="0" w:color="auto"/>
            </w:tcBorders>
            <w:shd w:val="clear" w:color="auto" w:fill="auto"/>
            <w:noWrap/>
            <w:vAlign w:val="bottom"/>
            <w:hideMark/>
          </w:tcPr>
          <w:p w14:paraId="4A93AE7D" w14:textId="4A96E372" w:rsidR="00965562" w:rsidRPr="00965562" w:rsidRDefault="00965562" w:rsidP="00965562">
            <w:pPr>
              <w:spacing w:after="0" w:line="240" w:lineRule="auto"/>
              <w:ind w:left="-170"/>
              <w:jc w:val="right"/>
              <w:rPr>
                <w:rFonts w:eastAsia="Times New Roman" w:cs="Calibri"/>
                <w:color w:val="000000"/>
                <w:sz w:val="18"/>
                <w:szCs w:val="18"/>
                <w:lang w:val="en-US"/>
              </w:rPr>
            </w:pPr>
            <w:r w:rsidRPr="00965562">
              <w:rPr>
                <w:rFonts w:eastAsia="Times New Roman" w:cs="Calibri"/>
                <w:color w:val="000000"/>
                <w:sz w:val="18"/>
                <w:szCs w:val="18"/>
                <w:lang w:val="en-US"/>
              </w:rPr>
              <w:t xml:space="preserve">              425,35 </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99C3AF" w14:textId="77777777" w:rsidR="00965562" w:rsidRPr="00965562" w:rsidRDefault="00965562" w:rsidP="00965562">
            <w:pPr>
              <w:spacing w:after="0" w:line="240" w:lineRule="auto"/>
              <w:jc w:val="center"/>
              <w:rPr>
                <w:rFonts w:eastAsia="Times New Roman" w:cs="Calibri"/>
                <w:sz w:val="18"/>
                <w:szCs w:val="18"/>
                <w:lang w:val="en-US"/>
              </w:rPr>
            </w:pPr>
            <w:r w:rsidRPr="00965562">
              <w:rPr>
                <w:rFonts w:eastAsia="Times New Roman" w:cs="Calibri"/>
                <w:sz w:val="18"/>
                <w:szCs w:val="18"/>
                <w:lang w:val="en-US"/>
              </w:rPr>
              <w:t>16/6/2023</w:t>
            </w:r>
          </w:p>
        </w:tc>
        <w:tc>
          <w:tcPr>
            <w:tcW w:w="971" w:type="dxa"/>
            <w:tcBorders>
              <w:top w:val="nil"/>
              <w:left w:val="nil"/>
              <w:bottom w:val="single" w:sz="4" w:space="0" w:color="auto"/>
              <w:right w:val="nil"/>
            </w:tcBorders>
            <w:shd w:val="clear" w:color="auto" w:fill="auto"/>
            <w:noWrap/>
            <w:vAlign w:val="bottom"/>
            <w:hideMark/>
          </w:tcPr>
          <w:p w14:paraId="0BF4D4FD" w14:textId="77777777" w:rsidR="00965562" w:rsidRPr="00965562" w:rsidRDefault="00965562" w:rsidP="00965562">
            <w:pPr>
              <w:spacing w:after="0" w:line="240" w:lineRule="auto"/>
              <w:jc w:val="center"/>
              <w:rPr>
                <w:rFonts w:eastAsia="Times New Roman" w:cs="Calibri"/>
                <w:sz w:val="18"/>
                <w:szCs w:val="18"/>
                <w:lang w:val="en-US"/>
              </w:rPr>
            </w:pPr>
            <w:r w:rsidRPr="00965562">
              <w:rPr>
                <w:rFonts w:eastAsia="Times New Roman" w:cs="Calibri"/>
                <w:sz w:val="18"/>
                <w:szCs w:val="18"/>
                <w:lang w:val="en-US"/>
              </w:rPr>
              <w:t>11/11/2023</w:t>
            </w:r>
          </w:p>
        </w:tc>
        <w:tc>
          <w:tcPr>
            <w:tcW w:w="971" w:type="dxa"/>
            <w:tcBorders>
              <w:top w:val="nil"/>
              <w:left w:val="single" w:sz="4" w:space="0" w:color="auto"/>
              <w:bottom w:val="single" w:sz="4" w:space="0" w:color="auto"/>
              <w:right w:val="single" w:sz="4" w:space="0" w:color="auto"/>
            </w:tcBorders>
            <w:shd w:val="clear" w:color="auto" w:fill="auto"/>
            <w:noWrap/>
            <w:vAlign w:val="bottom"/>
            <w:hideMark/>
          </w:tcPr>
          <w:p w14:paraId="4A9B9B2B" w14:textId="0E7D67A3" w:rsidR="00965562" w:rsidRPr="00965562" w:rsidRDefault="00965562" w:rsidP="00965562">
            <w:pPr>
              <w:spacing w:after="0" w:line="240" w:lineRule="auto"/>
              <w:jc w:val="right"/>
              <w:rPr>
                <w:rFonts w:eastAsia="Times New Roman" w:cs="Calibri"/>
                <w:color w:val="000000"/>
                <w:sz w:val="18"/>
                <w:szCs w:val="18"/>
                <w:lang w:val="en-US"/>
              </w:rPr>
            </w:pPr>
            <w:r w:rsidRPr="00965562">
              <w:rPr>
                <w:rFonts w:eastAsia="Times New Roman" w:cs="Calibri"/>
                <w:color w:val="000000"/>
                <w:sz w:val="18"/>
                <w:szCs w:val="18"/>
                <w:lang w:val="en-US"/>
              </w:rPr>
              <w:t xml:space="preserve">70,89 </w:t>
            </w:r>
          </w:p>
        </w:tc>
        <w:tc>
          <w:tcPr>
            <w:tcW w:w="1106" w:type="dxa"/>
            <w:tcBorders>
              <w:top w:val="nil"/>
              <w:left w:val="nil"/>
              <w:bottom w:val="single" w:sz="4" w:space="0" w:color="auto"/>
              <w:right w:val="single" w:sz="8" w:space="0" w:color="auto"/>
            </w:tcBorders>
            <w:shd w:val="clear" w:color="auto" w:fill="auto"/>
            <w:noWrap/>
            <w:vAlign w:val="bottom"/>
            <w:hideMark/>
          </w:tcPr>
          <w:p w14:paraId="4E9C8F5F" w14:textId="164830D0" w:rsidR="00965562" w:rsidRPr="00965562" w:rsidRDefault="00965562" w:rsidP="00965562">
            <w:pPr>
              <w:spacing w:after="0" w:line="240" w:lineRule="auto"/>
              <w:jc w:val="right"/>
              <w:rPr>
                <w:rFonts w:eastAsia="Times New Roman" w:cs="Calibri"/>
                <w:b/>
                <w:bCs/>
                <w:color w:val="FF0000"/>
                <w:sz w:val="18"/>
                <w:szCs w:val="18"/>
                <w:lang w:val="en-US"/>
              </w:rPr>
            </w:pPr>
            <w:r w:rsidRPr="00965562">
              <w:rPr>
                <w:rFonts w:eastAsia="Times New Roman" w:cs="Calibri"/>
                <w:b/>
                <w:bCs/>
                <w:color w:val="FF0000"/>
                <w:sz w:val="18"/>
                <w:szCs w:val="18"/>
                <w:lang w:val="en-US"/>
              </w:rPr>
              <w:t xml:space="preserve">- 35,24 </w:t>
            </w:r>
          </w:p>
        </w:tc>
      </w:tr>
      <w:tr w:rsidR="00965562" w:rsidRPr="00965562" w14:paraId="27DD3254" w14:textId="77777777" w:rsidTr="00965562">
        <w:trPr>
          <w:trHeight w:val="138"/>
        </w:trPr>
        <w:tc>
          <w:tcPr>
            <w:tcW w:w="1484" w:type="dxa"/>
            <w:tcBorders>
              <w:top w:val="nil"/>
              <w:left w:val="single" w:sz="8" w:space="0" w:color="auto"/>
              <w:bottom w:val="nil"/>
              <w:right w:val="single" w:sz="4" w:space="0" w:color="auto"/>
            </w:tcBorders>
            <w:shd w:val="clear" w:color="auto" w:fill="auto"/>
            <w:noWrap/>
            <w:vAlign w:val="bottom"/>
            <w:hideMark/>
          </w:tcPr>
          <w:p w14:paraId="7827B9B3" w14:textId="77777777" w:rsidR="00965562" w:rsidRPr="00965562" w:rsidRDefault="00965562" w:rsidP="00965562">
            <w:pPr>
              <w:spacing w:after="0" w:line="240" w:lineRule="auto"/>
              <w:jc w:val="left"/>
              <w:rPr>
                <w:rFonts w:eastAsia="Times New Roman" w:cs="Calibri"/>
                <w:color w:val="000000"/>
                <w:sz w:val="16"/>
                <w:szCs w:val="16"/>
                <w:lang w:val="en-US"/>
              </w:rPr>
            </w:pPr>
            <w:r w:rsidRPr="00965562">
              <w:rPr>
                <w:rFonts w:eastAsia="Times New Roman" w:cs="Calibri"/>
                <w:color w:val="000000"/>
                <w:sz w:val="16"/>
                <w:szCs w:val="16"/>
                <w:lang w:val="en-US"/>
              </w:rPr>
              <w:t>01-18-AUM-306-28</w:t>
            </w:r>
          </w:p>
        </w:tc>
        <w:tc>
          <w:tcPr>
            <w:tcW w:w="1465" w:type="dxa"/>
            <w:tcBorders>
              <w:top w:val="nil"/>
              <w:left w:val="single" w:sz="4" w:space="0" w:color="auto"/>
              <w:bottom w:val="nil"/>
              <w:right w:val="single" w:sz="4" w:space="0" w:color="auto"/>
            </w:tcBorders>
            <w:shd w:val="clear" w:color="auto" w:fill="auto"/>
            <w:noWrap/>
            <w:vAlign w:val="bottom"/>
            <w:hideMark/>
          </w:tcPr>
          <w:p w14:paraId="270C11E6" w14:textId="77777777" w:rsidR="00965562" w:rsidRPr="00965562" w:rsidRDefault="00965562" w:rsidP="00965562">
            <w:pPr>
              <w:spacing w:after="0" w:line="240" w:lineRule="auto"/>
              <w:jc w:val="center"/>
              <w:rPr>
                <w:rFonts w:eastAsia="Times New Roman" w:cs="Calibri"/>
                <w:color w:val="000000"/>
                <w:sz w:val="18"/>
                <w:szCs w:val="18"/>
                <w:lang w:val="en-US"/>
              </w:rPr>
            </w:pPr>
            <w:r w:rsidRPr="00965562">
              <w:rPr>
                <w:rFonts w:eastAsia="Times New Roman" w:cs="Calibri"/>
                <w:color w:val="000000"/>
                <w:sz w:val="18"/>
                <w:szCs w:val="18"/>
                <w:lang w:val="en-US"/>
              </w:rPr>
              <w:t>Vehículos</w:t>
            </w:r>
          </w:p>
        </w:tc>
        <w:tc>
          <w:tcPr>
            <w:tcW w:w="931" w:type="dxa"/>
            <w:tcBorders>
              <w:top w:val="nil"/>
              <w:left w:val="nil"/>
              <w:bottom w:val="single" w:sz="4" w:space="0" w:color="auto"/>
              <w:right w:val="single" w:sz="4" w:space="0" w:color="auto"/>
            </w:tcBorders>
            <w:shd w:val="clear" w:color="auto" w:fill="auto"/>
            <w:noWrap/>
            <w:vAlign w:val="bottom"/>
            <w:hideMark/>
          </w:tcPr>
          <w:p w14:paraId="1517606D" w14:textId="77777777" w:rsidR="00965562" w:rsidRPr="00965562" w:rsidRDefault="00965562" w:rsidP="00965562">
            <w:pPr>
              <w:spacing w:after="0" w:line="240" w:lineRule="auto"/>
              <w:jc w:val="center"/>
              <w:rPr>
                <w:rFonts w:eastAsia="Times New Roman" w:cs="Calibri"/>
                <w:color w:val="000000"/>
                <w:sz w:val="18"/>
                <w:szCs w:val="18"/>
                <w:lang w:val="en-US"/>
              </w:rPr>
            </w:pPr>
            <w:r w:rsidRPr="00965562">
              <w:rPr>
                <w:rFonts w:eastAsia="Times New Roman" w:cs="Calibri"/>
                <w:color w:val="000000"/>
                <w:sz w:val="18"/>
                <w:szCs w:val="18"/>
                <w:lang w:val="en-US"/>
              </w:rPr>
              <w:t>6 meses</w:t>
            </w:r>
          </w:p>
        </w:tc>
        <w:tc>
          <w:tcPr>
            <w:tcW w:w="1188" w:type="dxa"/>
            <w:tcBorders>
              <w:top w:val="nil"/>
              <w:left w:val="single" w:sz="4" w:space="0" w:color="auto"/>
              <w:bottom w:val="single" w:sz="4" w:space="0" w:color="auto"/>
              <w:right w:val="single" w:sz="4" w:space="0" w:color="auto"/>
            </w:tcBorders>
            <w:shd w:val="clear" w:color="auto" w:fill="auto"/>
            <w:noWrap/>
            <w:vAlign w:val="bottom"/>
            <w:hideMark/>
          </w:tcPr>
          <w:p w14:paraId="3CDAEE18" w14:textId="77777777" w:rsidR="00965562" w:rsidRPr="00965562" w:rsidRDefault="00965562" w:rsidP="00965562">
            <w:pPr>
              <w:spacing w:after="0" w:line="240" w:lineRule="auto"/>
              <w:ind w:left="-170"/>
              <w:jc w:val="right"/>
              <w:rPr>
                <w:rFonts w:eastAsia="Times New Roman" w:cs="Calibri"/>
                <w:color w:val="000000"/>
                <w:sz w:val="18"/>
                <w:szCs w:val="18"/>
                <w:lang w:val="en-US"/>
              </w:rPr>
            </w:pPr>
            <w:r w:rsidRPr="00965562">
              <w:rPr>
                <w:rFonts w:eastAsia="Times New Roman" w:cs="Calibri"/>
                <w:color w:val="000000"/>
                <w:sz w:val="18"/>
                <w:szCs w:val="18"/>
                <w:lang w:val="en-US"/>
              </w:rPr>
              <w:t xml:space="preserve">             3 329,93 </w:t>
            </w:r>
          </w:p>
        </w:tc>
        <w:tc>
          <w:tcPr>
            <w:tcW w:w="946" w:type="dxa"/>
            <w:tcBorders>
              <w:top w:val="nil"/>
              <w:left w:val="single" w:sz="4" w:space="0" w:color="auto"/>
              <w:bottom w:val="single" w:sz="4" w:space="0" w:color="auto"/>
              <w:right w:val="single" w:sz="4" w:space="0" w:color="auto"/>
            </w:tcBorders>
            <w:shd w:val="clear" w:color="auto" w:fill="auto"/>
            <w:noWrap/>
            <w:vAlign w:val="bottom"/>
            <w:hideMark/>
          </w:tcPr>
          <w:p w14:paraId="35ECE6E9" w14:textId="77777777" w:rsidR="00965562" w:rsidRPr="00965562" w:rsidRDefault="00965562" w:rsidP="00965562">
            <w:pPr>
              <w:spacing w:after="0" w:line="240" w:lineRule="auto"/>
              <w:jc w:val="center"/>
              <w:rPr>
                <w:rFonts w:eastAsia="Times New Roman" w:cs="Calibri"/>
                <w:sz w:val="18"/>
                <w:szCs w:val="18"/>
                <w:lang w:val="en-US"/>
              </w:rPr>
            </w:pPr>
            <w:r w:rsidRPr="00965562">
              <w:rPr>
                <w:rFonts w:eastAsia="Times New Roman" w:cs="Calibri"/>
                <w:sz w:val="18"/>
                <w:szCs w:val="18"/>
                <w:lang w:val="en-US"/>
              </w:rPr>
              <w:t>11/11/2023</w:t>
            </w:r>
          </w:p>
        </w:tc>
        <w:tc>
          <w:tcPr>
            <w:tcW w:w="971" w:type="dxa"/>
            <w:tcBorders>
              <w:top w:val="nil"/>
              <w:left w:val="single" w:sz="4" w:space="0" w:color="auto"/>
              <w:bottom w:val="nil"/>
              <w:right w:val="nil"/>
            </w:tcBorders>
            <w:shd w:val="clear" w:color="auto" w:fill="auto"/>
            <w:noWrap/>
            <w:vAlign w:val="bottom"/>
            <w:hideMark/>
          </w:tcPr>
          <w:p w14:paraId="5C634A77" w14:textId="77777777" w:rsidR="00965562" w:rsidRPr="00965562" w:rsidRDefault="00965562" w:rsidP="00965562">
            <w:pPr>
              <w:spacing w:after="0" w:line="240" w:lineRule="auto"/>
              <w:jc w:val="center"/>
              <w:rPr>
                <w:rFonts w:eastAsia="Times New Roman" w:cs="Calibri"/>
                <w:sz w:val="18"/>
                <w:szCs w:val="18"/>
                <w:lang w:val="en-US"/>
              </w:rPr>
            </w:pPr>
            <w:r w:rsidRPr="00965562">
              <w:rPr>
                <w:rFonts w:eastAsia="Times New Roman" w:cs="Calibri"/>
                <w:sz w:val="18"/>
                <w:szCs w:val="18"/>
                <w:lang w:val="en-US"/>
              </w:rPr>
              <w:t>11/5/2024</w:t>
            </w:r>
          </w:p>
        </w:tc>
        <w:tc>
          <w:tcPr>
            <w:tcW w:w="971" w:type="dxa"/>
            <w:tcBorders>
              <w:top w:val="nil"/>
              <w:left w:val="single" w:sz="4" w:space="0" w:color="auto"/>
              <w:bottom w:val="single" w:sz="4" w:space="0" w:color="auto"/>
              <w:right w:val="single" w:sz="4" w:space="0" w:color="auto"/>
            </w:tcBorders>
            <w:shd w:val="clear" w:color="auto" w:fill="auto"/>
            <w:noWrap/>
            <w:vAlign w:val="bottom"/>
            <w:hideMark/>
          </w:tcPr>
          <w:p w14:paraId="682C9E8E" w14:textId="77777777" w:rsidR="00965562" w:rsidRPr="00965562" w:rsidRDefault="00965562" w:rsidP="00965562">
            <w:pPr>
              <w:spacing w:after="0" w:line="240" w:lineRule="auto"/>
              <w:jc w:val="right"/>
              <w:rPr>
                <w:rFonts w:eastAsia="Times New Roman" w:cs="Calibri"/>
                <w:color w:val="000000"/>
                <w:sz w:val="18"/>
                <w:szCs w:val="18"/>
                <w:lang w:val="en-US"/>
              </w:rPr>
            </w:pPr>
            <w:r w:rsidRPr="00965562">
              <w:rPr>
                <w:rFonts w:eastAsia="Times New Roman" w:cs="Calibri"/>
                <w:color w:val="000000"/>
                <w:sz w:val="18"/>
                <w:szCs w:val="18"/>
                <w:lang w:val="en-US"/>
              </w:rPr>
              <w:t>554,989</w:t>
            </w:r>
          </w:p>
        </w:tc>
        <w:tc>
          <w:tcPr>
            <w:tcW w:w="1106" w:type="dxa"/>
            <w:tcBorders>
              <w:top w:val="nil"/>
              <w:left w:val="nil"/>
              <w:bottom w:val="single" w:sz="4" w:space="0" w:color="auto"/>
              <w:right w:val="single" w:sz="8" w:space="0" w:color="auto"/>
            </w:tcBorders>
            <w:shd w:val="clear" w:color="auto" w:fill="auto"/>
            <w:noWrap/>
            <w:vAlign w:val="bottom"/>
            <w:hideMark/>
          </w:tcPr>
          <w:p w14:paraId="12CB99EF" w14:textId="77777777" w:rsidR="00965562" w:rsidRPr="00965562" w:rsidRDefault="00965562" w:rsidP="00965562">
            <w:pPr>
              <w:spacing w:after="0" w:line="240" w:lineRule="auto"/>
              <w:jc w:val="right"/>
              <w:rPr>
                <w:rFonts w:eastAsia="Times New Roman" w:cs="Calibri"/>
                <w:b/>
                <w:bCs/>
                <w:color w:val="FF0000"/>
                <w:sz w:val="18"/>
                <w:szCs w:val="18"/>
                <w:lang w:val="en-US"/>
              </w:rPr>
            </w:pPr>
            <w:r w:rsidRPr="00965562">
              <w:rPr>
                <w:rFonts w:eastAsia="Times New Roman" w:cs="Calibri"/>
                <w:b/>
                <w:bCs/>
                <w:color w:val="FF0000"/>
                <w:sz w:val="18"/>
                <w:szCs w:val="18"/>
                <w:lang w:val="en-US"/>
              </w:rPr>
              <w:t xml:space="preserve">       277,50 </w:t>
            </w:r>
          </w:p>
        </w:tc>
      </w:tr>
      <w:tr w:rsidR="00965562" w:rsidRPr="00965562" w14:paraId="6501EE37" w14:textId="77777777" w:rsidTr="00965562">
        <w:trPr>
          <w:trHeight w:val="55"/>
        </w:trPr>
        <w:tc>
          <w:tcPr>
            <w:tcW w:w="148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BE08573" w14:textId="77777777" w:rsidR="00965562" w:rsidRPr="00965562" w:rsidRDefault="00965562" w:rsidP="00965562">
            <w:pPr>
              <w:spacing w:after="0" w:line="240" w:lineRule="auto"/>
              <w:jc w:val="left"/>
              <w:rPr>
                <w:rFonts w:eastAsia="Times New Roman" w:cs="Calibri"/>
                <w:color w:val="000000"/>
                <w:sz w:val="16"/>
                <w:szCs w:val="16"/>
                <w:lang w:val="en-US"/>
              </w:rPr>
            </w:pPr>
            <w:r w:rsidRPr="00965562">
              <w:rPr>
                <w:rFonts w:eastAsia="Times New Roman" w:cs="Calibri"/>
                <w:color w:val="000000"/>
                <w:sz w:val="16"/>
                <w:szCs w:val="16"/>
                <w:lang w:val="en-US"/>
              </w:rPr>
              <w:t>01-01-AUM-4437-08</w:t>
            </w:r>
          </w:p>
        </w:tc>
        <w:tc>
          <w:tcPr>
            <w:tcW w:w="1465" w:type="dxa"/>
            <w:tcBorders>
              <w:top w:val="single" w:sz="4" w:space="0" w:color="auto"/>
              <w:left w:val="nil"/>
              <w:bottom w:val="single" w:sz="4" w:space="0" w:color="auto"/>
              <w:right w:val="single" w:sz="4" w:space="0" w:color="auto"/>
            </w:tcBorders>
            <w:shd w:val="clear" w:color="auto" w:fill="auto"/>
            <w:noWrap/>
            <w:vAlign w:val="bottom"/>
            <w:hideMark/>
          </w:tcPr>
          <w:p w14:paraId="1F6C6AD1" w14:textId="77777777" w:rsidR="00965562" w:rsidRPr="00965562" w:rsidRDefault="00965562" w:rsidP="00965562">
            <w:pPr>
              <w:spacing w:after="0" w:line="240" w:lineRule="auto"/>
              <w:jc w:val="center"/>
              <w:rPr>
                <w:rFonts w:eastAsia="Times New Roman" w:cs="Calibri"/>
                <w:color w:val="000000"/>
                <w:sz w:val="18"/>
                <w:szCs w:val="18"/>
                <w:lang w:val="en-US"/>
              </w:rPr>
            </w:pPr>
            <w:r w:rsidRPr="00965562">
              <w:rPr>
                <w:rFonts w:eastAsia="Times New Roman" w:cs="Calibri"/>
                <w:color w:val="000000"/>
                <w:sz w:val="18"/>
                <w:szCs w:val="18"/>
                <w:lang w:val="en-US"/>
              </w:rPr>
              <w:t>Vehículos</w:t>
            </w:r>
          </w:p>
        </w:tc>
        <w:tc>
          <w:tcPr>
            <w:tcW w:w="931" w:type="dxa"/>
            <w:tcBorders>
              <w:top w:val="nil"/>
              <w:left w:val="nil"/>
              <w:bottom w:val="single" w:sz="4" w:space="0" w:color="auto"/>
              <w:right w:val="single" w:sz="4" w:space="0" w:color="auto"/>
            </w:tcBorders>
            <w:shd w:val="clear" w:color="auto" w:fill="auto"/>
            <w:noWrap/>
            <w:vAlign w:val="bottom"/>
            <w:hideMark/>
          </w:tcPr>
          <w:p w14:paraId="1D4A85E8" w14:textId="77777777" w:rsidR="00965562" w:rsidRPr="00965562" w:rsidRDefault="00965562" w:rsidP="00965562">
            <w:pPr>
              <w:spacing w:after="0" w:line="240" w:lineRule="auto"/>
              <w:jc w:val="center"/>
              <w:rPr>
                <w:rFonts w:eastAsia="Times New Roman" w:cs="Calibri"/>
                <w:color w:val="000000"/>
                <w:sz w:val="18"/>
                <w:szCs w:val="18"/>
                <w:lang w:val="en-US"/>
              </w:rPr>
            </w:pPr>
            <w:r w:rsidRPr="00965562">
              <w:rPr>
                <w:rFonts w:eastAsia="Times New Roman" w:cs="Calibri"/>
                <w:color w:val="000000"/>
                <w:sz w:val="18"/>
                <w:szCs w:val="18"/>
                <w:lang w:val="en-US"/>
              </w:rPr>
              <w:t>6 meses</w:t>
            </w:r>
          </w:p>
        </w:tc>
        <w:tc>
          <w:tcPr>
            <w:tcW w:w="1188" w:type="dxa"/>
            <w:tcBorders>
              <w:top w:val="nil"/>
              <w:left w:val="single" w:sz="4" w:space="0" w:color="auto"/>
              <w:bottom w:val="single" w:sz="4" w:space="0" w:color="auto"/>
              <w:right w:val="single" w:sz="4" w:space="0" w:color="auto"/>
            </w:tcBorders>
            <w:shd w:val="clear" w:color="auto" w:fill="auto"/>
            <w:noWrap/>
            <w:vAlign w:val="bottom"/>
            <w:hideMark/>
          </w:tcPr>
          <w:p w14:paraId="4EFFCEAD" w14:textId="77777777" w:rsidR="00965562" w:rsidRPr="00965562" w:rsidRDefault="00965562" w:rsidP="00965562">
            <w:pPr>
              <w:spacing w:after="0" w:line="240" w:lineRule="auto"/>
              <w:ind w:left="-170"/>
              <w:jc w:val="right"/>
              <w:rPr>
                <w:rFonts w:eastAsia="Times New Roman" w:cs="Calibri"/>
                <w:color w:val="000000"/>
                <w:sz w:val="18"/>
                <w:szCs w:val="18"/>
                <w:lang w:val="en-US"/>
              </w:rPr>
            </w:pPr>
            <w:r w:rsidRPr="00965562">
              <w:rPr>
                <w:rFonts w:eastAsia="Times New Roman" w:cs="Calibri"/>
                <w:color w:val="000000"/>
                <w:sz w:val="18"/>
                <w:szCs w:val="18"/>
                <w:lang w:val="en-US"/>
              </w:rPr>
              <w:t xml:space="preserve">             4 446,75 </w:t>
            </w:r>
          </w:p>
        </w:tc>
        <w:tc>
          <w:tcPr>
            <w:tcW w:w="946" w:type="dxa"/>
            <w:tcBorders>
              <w:top w:val="nil"/>
              <w:left w:val="single" w:sz="4" w:space="0" w:color="auto"/>
              <w:bottom w:val="single" w:sz="4" w:space="0" w:color="auto"/>
              <w:right w:val="single" w:sz="4" w:space="0" w:color="auto"/>
            </w:tcBorders>
            <w:shd w:val="clear" w:color="auto" w:fill="auto"/>
            <w:noWrap/>
            <w:vAlign w:val="bottom"/>
            <w:hideMark/>
          </w:tcPr>
          <w:p w14:paraId="46A8A1EE" w14:textId="77777777" w:rsidR="00965562" w:rsidRPr="00965562" w:rsidRDefault="00965562" w:rsidP="00965562">
            <w:pPr>
              <w:spacing w:after="0" w:line="240" w:lineRule="auto"/>
              <w:jc w:val="center"/>
              <w:rPr>
                <w:rFonts w:eastAsia="Times New Roman" w:cs="Calibri"/>
                <w:sz w:val="18"/>
                <w:szCs w:val="18"/>
                <w:lang w:val="en-US"/>
              </w:rPr>
            </w:pPr>
            <w:r w:rsidRPr="00965562">
              <w:rPr>
                <w:rFonts w:eastAsia="Times New Roman" w:cs="Calibri"/>
                <w:sz w:val="18"/>
                <w:szCs w:val="18"/>
                <w:lang w:val="en-US"/>
              </w:rPr>
              <w:t>11/5/2024</w:t>
            </w:r>
          </w:p>
        </w:tc>
        <w:tc>
          <w:tcPr>
            <w:tcW w:w="971" w:type="dxa"/>
            <w:tcBorders>
              <w:top w:val="single" w:sz="4" w:space="0" w:color="auto"/>
              <w:left w:val="nil"/>
              <w:bottom w:val="single" w:sz="4" w:space="0" w:color="auto"/>
              <w:right w:val="nil"/>
            </w:tcBorders>
            <w:shd w:val="clear" w:color="auto" w:fill="auto"/>
            <w:noWrap/>
            <w:vAlign w:val="bottom"/>
            <w:hideMark/>
          </w:tcPr>
          <w:p w14:paraId="4E59148E" w14:textId="77777777" w:rsidR="00965562" w:rsidRPr="00965562" w:rsidRDefault="00965562" w:rsidP="00965562">
            <w:pPr>
              <w:spacing w:after="0" w:line="240" w:lineRule="auto"/>
              <w:jc w:val="center"/>
              <w:rPr>
                <w:rFonts w:eastAsia="Times New Roman" w:cs="Calibri"/>
                <w:sz w:val="18"/>
                <w:szCs w:val="18"/>
                <w:lang w:val="en-US"/>
              </w:rPr>
            </w:pPr>
            <w:r w:rsidRPr="00965562">
              <w:rPr>
                <w:rFonts w:eastAsia="Times New Roman" w:cs="Calibri"/>
                <w:sz w:val="18"/>
                <w:szCs w:val="18"/>
                <w:lang w:val="en-US"/>
              </w:rPr>
              <w:t>11/11/2024</w:t>
            </w:r>
          </w:p>
        </w:tc>
        <w:tc>
          <w:tcPr>
            <w:tcW w:w="971" w:type="dxa"/>
            <w:tcBorders>
              <w:top w:val="nil"/>
              <w:left w:val="single" w:sz="4" w:space="0" w:color="auto"/>
              <w:bottom w:val="single" w:sz="4" w:space="0" w:color="auto"/>
              <w:right w:val="single" w:sz="4" w:space="0" w:color="auto"/>
            </w:tcBorders>
            <w:shd w:val="clear" w:color="auto" w:fill="auto"/>
            <w:noWrap/>
            <w:vAlign w:val="bottom"/>
            <w:hideMark/>
          </w:tcPr>
          <w:p w14:paraId="4A767768" w14:textId="77777777" w:rsidR="00965562" w:rsidRPr="00965562" w:rsidRDefault="00965562" w:rsidP="00965562">
            <w:pPr>
              <w:spacing w:after="0" w:line="240" w:lineRule="auto"/>
              <w:jc w:val="right"/>
              <w:rPr>
                <w:rFonts w:eastAsia="Times New Roman" w:cs="Calibri"/>
                <w:color w:val="000000"/>
                <w:sz w:val="18"/>
                <w:szCs w:val="18"/>
                <w:lang w:val="en-US"/>
              </w:rPr>
            </w:pPr>
            <w:r w:rsidRPr="00965562">
              <w:rPr>
                <w:rFonts w:eastAsia="Times New Roman" w:cs="Calibri"/>
                <w:color w:val="000000"/>
                <w:sz w:val="18"/>
                <w:szCs w:val="18"/>
                <w:lang w:val="en-US"/>
              </w:rPr>
              <w:t>741,1245</w:t>
            </w:r>
          </w:p>
        </w:tc>
        <w:tc>
          <w:tcPr>
            <w:tcW w:w="1106" w:type="dxa"/>
            <w:tcBorders>
              <w:top w:val="nil"/>
              <w:left w:val="nil"/>
              <w:bottom w:val="single" w:sz="4" w:space="0" w:color="auto"/>
              <w:right w:val="single" w:sz="8" w:space="0" w:color="auto"/>
            </w:tcBorders>
            <w:shd w:val="clear" w:color="auto" w:fill="auto"/>
            <w:noWrap/>
            <w:vAlign w:val="bottom"/>
            <w:hideMark/>
          </w:tcPr>
          <w:p w14:paraId="3DCFB93B" w14:textId="77777777" w:rsidR="00965562" w:rsidRPr="00965562" w:rsidRDefault="00965562" w:rsidP="00965562">
            <w:pPr>
              <w:spacing w:after="0" w:line="240" w:lineRule="auto"/>
              <w:jc w:val="right"/>
              <w:rPr>
                <w:rFonts w:eastAsia="Times New Roman" w:cs="Calibri"/>
                <w:color w:val="000000"/>
                <w:sz w:val="18"/>
                <w:szCs w:val="18"/>
                <w:lang w:val="en-US"/>
              </w:rPr>
            </w:pPr>
            <w:r w:rsidRPr="00965562">
              <w:rPr>
                <w:rFonts w:eastAsia="Times New Roman" w:cs="Calibri"/>
                <w:color w:val="000000"/>
                <w:sz w:val="18"/>
                <w:szCs w:val="18"/>
                <w:lang w:val="en-US"/>
              </w:rPr>
              <w:t xml:space="preserve">    3 335,06 </w:t>
            </w:r>
          </w:p>
        </w:tc>
      </w:tr>
      <w:tr w:rsidR="00965562" w:rsidRPr="00965562" w14:paraId="294FBEFE" w14:textId="77777777" w:rsidTr="00965562">
        <w:trPr>
          <w:trHeight w:val="130"/>
        </w:trPr>
        <w:tc>
          <w:tcPr>
            <w:tcW w:w="1484" w:type="dxa"/>
            <w:tcBorders>
              <w:top w:val="nil"/>
              <w:left w:val="single" w:sz="8" w:space="0" w:color="auto"/>
              <w:bottom w:val="single" w:sz="4" w:space="0" w:color="auto"/>
              <w:right w:val="single" w:sz="4" w:space="0" w:color="auto"/>
            </w:tcBorders>
            <w:shd w:val="clear" w:color="auto" w:fill="auto"/>
            <w:noWrap/>
            <w:vAlign w:val="bottom"/>
            <w:hideMark/>
          </w:tcPr>
          <w:p w14:paraId="161C8F65" w14:textId="77777777" w:rsidR="00965562" w:rsidRPr="00965562" w:rsidRDefault="00965562" w:rsidP="00965562">
            <w:pPr>
              <w:spacing w:after="0" w:line="240" w:lineRule="auto"/>
              <w:jc w:val="left"/>
              <w:rPr>
                <w:rFonts w:eastAsia="Times New Roman" w:cs="Calibri"/>
                <w:color w:val="000000"/>
                <w:sz w:val="16"/>
                <w:szCs w:val="16"/>
                <w:lang w:val="en-US"/>
              </w:rPr>
            </w:pPr>
            <w:r w:rsidRPr="00965562">
              <w:rPr>
                <w:rFonts w:eastAsia="Times New Roman" w:cs="Calibri"/>
                <w:color w:val="000000"/>
                <w:sz w:val="16"/>
                <w:szCs w:val="16"/>
                <w:lang w:val="en-US"/>
              </w:rPr>
              <w:t>01-18-AUM-1081-12</w:t>
            </w:r>
          </w:p>
        </w:tc>
        <w:tc>
          <w:tcPr>
            <w:tcW w:w="1465" w:type="dxa"/>
            <w:tcBorders>
              <w:top w:val="nil"/>
              <w:left w:val="nil"/>
              <w:bottom w:val="single" w:sz="4" w:space="0" w:color="auto"/>
              <w:right w:val="single" w:sz="4" w:space="0" w:color="auto"/>
            </w:tcBorders>
            <w:shd w:val="clear" w:color="auto" w:fill="auto"/>
            <w:noWrap/>
            <w:vAlign w:val="bottom"/>
            <w:hideMark/>
          </w:tcPr>
          <w:p w14:paraId="60B5E03E" w14:textId="77777777" w:rsidR="00965562" w:rsidRPr="00965562" w:rsidRDefault="00965562" w:rsidP="00965562">
            <w:pPr>
              <w:spacing w:after="0" w:line="240" w:lineRule="auto"/>
              <w:jc w:val="center"/>
              <w:rPr>
                <w:rFonts w:eastAsia="Times New Roman" w:cs="Calibri"/>
                <w:color w:val="000000"/>
                <w:sz w:val="18"/>
                <w:szCs w:val="18"/>
                <w:lang w:val="en-US"/>
              </w:rPr>
            </w:pPr>
            <w:r w:rsidRPr="00965562">
              <w:rPr>
                <w:rFonts w:eastAsia="Times New Roman" w:cs="Calibri"/>
                <w:color w:val="000000"/>
                <w:sz w:val="18"/>
                <w:szCs w:val="18"/>
                <w:lang w:val="en-US"/>
              </w:rPr>
              <w:t>Vehículos</w:t>
            </w:r>
          </w:p>
        </w:tc>
        <w:tc>
          <w:tcPr>
            <w:tcW w:w="931" w:type="dxa"/>
            <w:tcBorders>
              <w:top w:val="nil"/>
              <w:left w:val="nil"/>
              <w:bottom w:val="single" w:sz="4" w:space="0" w:color="auto"/>
              <w:right w:val="single" w:sz="4" w:space="0" w:color="auto"/>
            </w:tcBorders>
            <w:shd w:val="clear" w:color="auto" w:fill="auto"/>
            <w:noWrap/>
            <w:vAlign w:val="bottom"/>
            <w:hideMark/>
          </w:tcPr>
          <w:p w14:paraId="3C68A076" w14:textId="77777777" w:rsidR="00965562" w:rsidRPr="00965562" w:rsidRDefault="00965562" w:rsidP="00965562">
            <w:pPr>
              <w:spacing w:after="0" w:line="240" w:lineRule="auto"/>
              <w:jc w:val="center"/>
              <w:rPr>
                <w:rFonts w:eastAsia="Times New Roman" w:cs="Calibri"/>
                <w:color w:val="000000"/>
                <w:sz w:val="18"/>
                <w:szCs w:val="18"/>
                <w:lang w:val="en-US"/>
              </w:rPr>
            </w:pPr>
            <w:r w:rsidRPr="00965562">
              <w:rPr>
                <w:rFonts w:eastAsia="Times New Roman" w:cs="Calibri"/>
                <w:color w:val="000000"/>
                <w:sz w:val="18"/>
                <w:szCs w:val="18"/>
                <w:lang w:val="en-US"/>
              </w:rPr>
              <w:t>6 meses</w:t>
            </w:r>
          </w:p>
        </w:tc>
        <w:tc>
          <w:tcPr>
            <w:tcW w:w="1188" w:type="dxa"/>
            <w:tcBorders>
              <w:top w:val="nil"/>
              <w:left w:val="single" w:sz="4" w:space="0" w:color="auto"/>
              <w:bottom w:val="single" w:sz="4" w:space="0" w:color="auto"/>
              <w:right w:val="single" w:sz="4" w:space="0" w:color="auto"/>
            </w:tcBorders>
            <w:shd w:val="clear" w:color="auto" w:fill="auto"/>
            <w:noWrap/>
            <w:vAlign w:val="bottom"/>
            <w:hideMark/>
          </w:tcPr>
          <w:p w14:paraId="14E0A4F6" w14:textId="77777777" w:rsidR="00965562" w:rsidRPr="00965562" w:rsidRDefault="00965562" w:rsidP="00965562">
            <w:pPr>
              <w:spacing w:after="0" w:line="240" w:lineRule="auto"/>
              <w:ind w:left="-170"/>
              <w:jc w:val="right"/>
              <w:rPr>
                <w:rFonts w:eastAsia="Times New Roman" w:cs="Calibri"/>
                <w:color w:val="000000"/>
                <w:sz w:val="18"/>
                <w:szCs w:val="18"/>
                <w:lang w:val="en-US"/>
              </w:rPr>
            </w:pPr>
            <w:r w:rsidRPr="00965562">
              <w:rPr>
                <w:rFonts w:eastAsia="Times New Roman" w:cs="Calibri"/>
                <w:color w:val="000000"/>
                <w:sz w:val="18"/>
                <w:szCs w:val="18"/>
                <w:lang w:val="en-US"/>
              </w:rPr>
              <w:t xml:space="preserve">                662,22 </w:t>
            </w:r>
          </w:p>
        </w:tc>
        <w:tc>
          <w:tcPr>
            <w:tcW w:w="946" w:type="dxa"/>
            <w:tcBorders>
              <w:top w:val="nil"/>
              <w:left w:val="single" w:sz="4" w:space="0" w:color="auto"/>
              <w:bottom w:val="single" w:sz="4" w:space="0" w:color="auto"/>
              <w:right w:val="single" w:sz="4" w:space="0" w:color="auto"/>
            </w:tcBorders>
            <w:shd w:val="clear" w:color="auto" w:fill="auto"/>
            <w:noWrap/>
            <w:vAlign w:val="bottom"/>
            <w:hideMark/>
          </w:tcPr>
          <w:p w14:paraId="09253FE5" w14:textId="77777777" w:rsidR="00965562" w:rsidRPr="00965562" w:rsidRDefault="00965562" w:rsidP="00965562">
            <w:pPr>
              <w:spacing w:after="0" w:line="240" w:lineRule="auto"/>
              <w:jc w:val="center"/>
              <w:rPr>
                <w:rFonts w:eastAsia="Times New Roman" w:cs="Calibri"/>
                <w:sz w:val="18"/>
                <w:szCs w:val="18"/>
                <w:lang w:val="en-US"/>
              </w:rPr>
            </w:pPr>
            <w:r w:rsidRPr="00965562">
              <w:rPr>
                <w:rFonts w:eastAsia="Times New Roman" w:cs="Calibri"/>
                <w:sz w:val="18"/>
                <w:szCs w:val="18"/>
                <w:lang w:val="en-US"/>
              </w:rPr>
              <w:t>11/5/2024</w:t>
            </w:r>
          </w:p>
        </w:tc>
        <w:tc>
          <w:tcPr>
            <w:tcW w:w="971" w:type="dxa"/>
            <w:tcBorders>
              <w:top w:val="nil"/>
              <w:left w:val="nil"/>
              <w:bottom w:val="single" w:sz="4" w:space="0" w:color="auto"/>
              <w:right w:val="nil"/>
            </w:tcBorders>
            <w:shd w:val="clear" w:color="auto" w:fill="auto"/>
            <w:noWrap/>
            <w:vAlign w:val="bottom"/>
            <w:hideMark/>
          </w:tcPr>
          <w:p w14:paraId="7510F573" w14:textId="77777777" w:rsidR="00965562" w:rsidRPr="00965562" w:rsidRDefault="00965562" w:rsidP="00965562">
            <w:pPr>
              <w:spacing w:after="0" w:line="240" w:lineRule="auto"/>
              <w:jc w:val="center"/>
              <w:rPr>
                <w:rFonts w:eastAsia="Times New Roman" w:cs="Calibri"/>
                <w:sz w:val="18"/>
                <w:szCs w:val="18"/>
                <w:lang w:val="en-US"/>
              </w:rPr>
            </w:pPr>
            <w:r w:rsidRPr="00965562">
              <w:rPr>
                <w:rFonts w:eastAsia="Times New Roman" w:cs="Calibri"/>
                <w:sz w:val="18"/>
                <w:szCs w:val="18"/>
                <w:lang w:val="en-US"/>
              </w:rPr>
              <w:t>11/11/2024</w:t>
            </w:r>
          </w:p>
        </w:tc>
        <w:tc>
          <w:tcPr>
            <w:tcW w:w="971" w:type="dxa"/>
            <w:tcBorders>
              <w:top w:val="nil"/>
              <w:left w:val="single" w:sz="4" w:space="0" w:color="auto"/>
              <w:bottom w:val="single" w:sz="4" w:space="0" w:color="auto"/>
              <w:right w:val="single" w:sz="4" w:space="0" w:color="auto"/>
            </w:tcBorders>
            <w:shd w:val="clear" w:color="auto" w:fill="auto"/>
            <w:noWrap/>
            <w:vAlign w:val="bottom"/>
            <w:hideMark/>
          </w:tcPr>
          <w:p w14:paraId="26A54500" w14:textId="77777777" w:rsidR="00965562" w:rsidRPr="00965562" w:rsidRDefault="00965562" w:rsidP="00965562">
            <w:pPr>
              <w:spacing w:after="0" w:line="240" w:lineRule="auto"/>
              <w:jc w:val="right"/>
              <w:rPr>
                <w:rFonts w:eastAsia="Times New Roman" w:cs="Calibri"/>
                <w:color w:val="000000"/>
                <w:sz w:val="18"/>
                <w:szCs w:val="18"/>
                <w:lang w:val="en-US"/>
              </w:rPr>
            </w:pPr>
            <w:r w:rsidRPr="00965562">
              <w:rPr>
                <w:rFonts w:eastAsia="Times New Roman" w:cs="Calibri"/>
                <w:color w:val="000000"/>
                <w:sz w:val="18"/>
                <w:szCs w:val="18"/>
                <w:lang w:val="en-US"/>
              </w:rPr>
              <w:t>110,3695</w:t>
            </w:r>
          </w:p>
        </w:tc>
        <w:tc>
          <w:tcPr>
            <w:tcW w:w="1106" w:type="dxa"/>
            <w:tcBorders>
              <w:top w:val="nil"/>
              <w:left w:val="nil"/>
              <w:bottom w:val="single" w:sz="4" w:space="0" w:color="auto"/>
              <w:right w:val="single" w:sz="8" w:space="0" w:color="auto"/>
            </w:tcBorders>
            <w:shd w:val="clear" w:color="auto" w:fill="auto"/>
            <w:noWrap/>
            <w:vAlign w:val="bottom"/>
            <w:hideMark/>
          </w:tcPr>
          <w:p w14:paraId="2D54CD2B" w14:textId="77777777" w:rsidR="00965562" w:rsidRPr="00965562" w:rsidRDefault="00965562" w:rsidP="00965562">
            <w:pPr>
              <w:spacing w:after="0" w:line="240" w:lineRule="auto"/>
              <w:jc w:val="right"/>
              <w:rPr>
                <w:rFonts w:eastAsia="Times New Roman" w:cs="Calibri"/>
                <w:color w:val="000000"/>
                <w:sz w:val="18"/>
                <w:szCs w:val="18"/>
                <w:lang w:val="en-US"/>
              </w:rPr>
            </w:pPr>
            <w:r w:rsidRPr="00965562">
              <w:rPr>
                <w:rFonts w:eastAsia="Times New Roman" w:cs="Calibri"/>
                <w:color w:val="000000"/>
                <w:sz w:val="18"/>
                <w:szCs w:val="18"/>
                <w:lang w:val="en-US"/>
              </w:rPr>
              <w:t xml:space="preserve">       496,67 </w:t>
            </w:r>
          </w:p>
        </w:tc>
      </w:tr>
      <w:tr w:rsidR="00965562" w:rsidRPr="00965562" w14:paraId="19DDB254" w14:textId="77777777" w:rsidTr="00965562">
        <w:trPr>
          <w:trHeight w:val="54"/>
        </w:trPr>
        <w:tc>
          <w:tcPr>
            <w:tcW w:w="1484" w:type="dxa"/>
            <w:tcBorders>
              <w:top w:val="nil"/>
              <w:left w:val="single" w:sz="8" w:space="0" w:color="auto"/>
              <w:bottom w:val="single" w:sz="8" w:space="0" w:color="auto"/>
              <w:right w:val="single" w:sz="4" w:space="0" w:color="auto"/>
            </w:tcBorders>
            <w:shd w:val="clear" w:color="auto" w:fill="auto"/>
            <w:noWrap/>
            <w:vAlign w:val="bottom"/>
            <w:hideMark/>
          </w:tcPr>
          <w:p w14:paraId="735EDDFA" w14:textId="77777777" w:rsidR="00965562" w:rsidRPr="00965562" w:rsidRDefault="00965562" w:rsidP="00965562">
            <w:pPr>
              <w:spacing w:after="0" w:line="240" w:lineRule="auto"/>
              <w:jc w:val="left"/>
              <w:rPr>
                <w:rFonts w:eastAsia="Times New Roman" w:cs="Calibri"/>
                <w:color w:val="000000"/>
                <w:sz w:val="16"/>
                <w:szCs w:val="16"/>
                <w:lang w:val="en-US"/>
              </w:rPr>
            </w:pPr>
            <w:r w:rsidRPr="00965562">
              <w:rPr>
                <w:rFonts w:eastAsia="Times New Roman" w:cs="Calibri"/>
                <w:color w:val="000000"/>
                <w:sz w:val="16"/>
                <w:szCs w:val="16"/>
                <w:lang w:val="en-US"/>
              </w:rPr>
              <w:t>01-18-AUM-1079-12</w:t>
            </w:r>
          </w:p>
        </w:tc>
        <w:tc>
          <w:tcPr>
            <w:tcW w:w="1465" w:type="dxa"/>
            <w:tcBorders>
              <w:top w:val="nil"/>
              <w:left w:val="nil"/>
              <w:bottom w:val="single" w:sz="8" w:space="0" w:color="auto"/>
              <w:right w:val="single" w:sz="4" w:space="0" w:color="auto"/>
            </w:tcBorders>
            <w:shd w:val="clear" w:color="auto" w:fill="auto"/>
            <w:noWrap/>
            <w:vAlign w:val="bottom"/>
            <w:hideMark/>
          </w:tcPr>
          <w:p w14:paraId="1976B982" w14:textId="77777777" w:rsidR="00965562" w:rsidRPr="00965562" w:rsidRDefault="00965562" w:rsidP="00965562">
            <w:pPr>
              <w:spacing w:after="0" w:line="240" w:lineRule="auto"/>
              <w:jc w:val="center"/>
              <w:rPr>
                <w:rFonts w:eastAsia="Times New Roman" w:cs="Calibri"/>
                <w:color w:val="000000"/>
                <w:sz w:val="18"/>
                <w:szCs w:val="18"/>
                <w:lang w:val="en-US"/>
              </w:rPr>
            </w:pPr>
            <w:r w:rsidRPr="00965562">
              <w:rPr>
                <w:rFonts w:eastAsia="Times New Roman" w:cs="Calibri"/>
                <w:color w:val="000000"/>
                <w:sz w:val="18"/>
                <w:szCs w:val="18"/>
                <w:lang w:val="en-US"/>
              </w:rPr>
              <w:t>Vehículos</w:t>
            </w:r>
          </w:p>
        </w:tc>
        <w:tc>
          <w:tcPr>
            <w:tcW w:w="931" w:type="dxa"/>
            <w:tcBorders>
              <w:top w:val="nil"/>
              <w:left w:val="nil"/>
              <w:bottom w:val="single" w:sz="8" w:space="0" w:color="auto"/>
              <w:right w:val="single" w:sz="4" w:space="0" w:color="auto"/>
            </w:tcBorders>
            <w:shd w:val="clear" w:color="auto" w:fill="auto"/>
            <w:noWrap/>
            <w:vAlign w:val="bottom"/>
            <w:hideMark/>
          </w:tcPr>
          <w:p w14:paraId="7AB7631A" w14:textId="77777777" w:rsidR="00965562" w:rsidRPr="00965562" w:rsidRDefault="00965562" w:rsidP="00965562">
            <w:pPr>
              <w:spacing w:after="0" w:line="240" w:lineRule="auto"/>
              <w:jc w:val="center"/>
              <w:rPr>
                <w:rFonts w:eastAsia="Times New Roman" w:cs="Calibri"/>
                <w:color w:val="000000"/>
                <w:sz w:val="18"/>
                <w:szCs w:val="18"/>
                <w:lang w:val="en-US"/>
              </w:rPr>
            </w:pPr>
            <w:r w:rsidRPr="00965562">
              <w:rPr>
                <w:rFonts w:eastAsia="Times New Roman" w:cs="Calibri"/>
                <w:color w:val="000000"/>
                <w:sz w:val="18"/>
                <w:szCs w:val="18"/>
                <w:lang w:val="en-US"/>
              </w:rPr>
              <w:t>6 meses</w:t>
            </w:r>
          </w:p>
        </w:tc>
        <w:tc>
          <w:tcPr>
            <w:tcW w:w="1188" w:type="dxa"/>
            <w:tcBorders>
              <w:top w:val="nil"/>
              <w:left w:val="single" w:sz="4" w:space="0" w:color="auto"/>
              <w:bottom w:val="single" w:sz="4" w:space="0" w:color="auto"/>
              <w:right w:val="single" w:sz="4" w:space="0" w:color="auto"/>
            </w:tcBorders>
            <w:shd w:val="clear" w:color="auto" w:fill="auto"/>
            <w:noWrap/>
            <w:vAlign w:val="bottom"/>
            <w:hideMark/>
          </w:tcPr>
          <w:p w14:paraId="6861C318" w14:textId="77777777" w:rsidR="00965562" w:rsidRPr="00965562" w:rsidRDefault="00965562" w:rsidP="00965562">
            <w:pPr>
              <w:spacing w:after="0" w:line="240" w:lineRule="auto"/>
              <w:ind w:left="-170"/>
              <w:jc w:val="right"/>
              <w:rPr>
                <w:rFonts w:eastAsia="Times New Roman" w:cs="Calibri"/>
                <w:color w:val="000000"/>
                <w:sz w:val="18"/>
                <w:szCs w:val="18"/>
                <w:lang w:val="en-US"/>
              </w:rPr>
            </w:pPr>
            <w:r w:rsidRPr="00965562">
              <w:rPr>
                <w:rFonts w:eastAsia="Times New Roman" w:cs="Calibri"/>
                <w:color w:val="000000"/>
                <w:sz w:val="18"/>
                <w:szCs w:val="18"/>
                <w:lang w:val="en-US"/>
              </w:rPr>
              <w:t xml:space="preserve">                644,69 </w:t>
            </w:r>
          </w:p>
        </w:tc>
        <w:tc>
          <w:tcPr>
            <w:tcW w:w="946" w:type="dxa"/>
            <w:tcBorders>
              <w:top w:val="nil"/>
              <w:left w:val="single" w:sz="4" w:space="0" w:color="auto"/>
              <w:bottom w:val="single" w:sz="8" w:space="0" w:color="auto"/>
              <w:right w:val="single" w:sz="4" w:space="0" w:color="auto"/>
            </w:tcBorders>
            <w:shd w:val="clear" w:color="auto" w:fill="auto"/>
            <w:noWrap/>
            <w:vAlign w:val="bottom"/>
            <w:hideMark/>
          </w:tcPr>
          <w:p w14:paraId="09866A3B" w14:textId="77777777" w:rsidR="00965562" w:rsidRPr="00965562" w:rsidRDefault="00965562" w:rsidP="00965562">
            <w:pPr>
              <w:spacing w:after="0" w:line="240" w:lineRule="auto"/>
              <w:jc w:val="center"/>
              <w:rPr>
                <w:rFonts w:eastAsia="Times New Roman" w:cs="Calibri"/>
                <w:sz w:val="18"/>
                <w:szCs w:val="18"/>
                <w:lang w:val="en-US"/>
              </w:rPr>
            </w:pPr>
            <w:r w:rsidRPr="00965562">
              <w:rPr>
                <w:rFonts w:eastAsia="Times New Roman" w:cs="Calibri"/>
                <w:sz w:val="18"/>
                <w:szCs w:val="18"/>
                <w:lang w:val="en-US"/>
              </w:rPr>
              <w:t>11/5/2024</w:t>
            </w:r>
          </w:p>
        </w:tc>
        <w:tc>
          <w:tcPr>
            <w:tcW w:w="971" w:type="dxa"/>
            <w:tcBorders>
              <w:top w:val="nil"/>
              <w:left w:val="nil"/>
              <w:bottom w:val="single" w:sz="8" w:space="0" w:color="auto"/>
              <w:right w:val="nil"/>
            </w:tcBorders>
            <w:shd w:val="clear" w:color="auto" w:fill="auto"/>
            <w:noWrap/>
            <w:vAlign w:val="bottom"/>
            <w:hideMark/>
          </w:tcPr>
          <w:p w14:paraId="04A60C3D" w14:textId="77777777" w:rsidR="00965562" w:rsidRPr="00965562" w:rsidRDefault="00965562" w:rsidP="00965562">
            <w:pPr>
              <w:spacing w:after="0" w:line="240" w:lineRule="auto"/>
              <w:jc w:val="center"/>
              <w:rPr>
                <w:rFonts w:eastAsia="Times New Roman" w:cs="Calibri"/>
                <w:sz w:val="18"/>
                <w:szCs w:val="18"/>
                <w:lang w:val="en-US"/>
              </w:rPr>
            </w:pPr>
            <w:r w:rsidRPr="00965562">
              <w:rPr>
                <w:rFonts w:eastAsia="Times New Roman" w:cs="Calibri"/>
                <w:sz w:val="18"/>
                <w:szCs w:val="18"/>
                <w:lang w:val="en-US"/>
              </w:rPr>
              <w:t>11/11/2024</w:t>
            </w:r>
          </w:p>
        </w:tc>
        <w:tc>
          <w:tcPr>
            <w:tcW w:w="971" w:type="dxa"/>
            <w:tcBorders>
              <w:top w:val="nil"/>
              <w:left w:val="single" w:sz="4" w:space="0" w:color="auto"/>
              <w:bottom w:val="single" w:sz="8" w:space="0" w:color="auto"/>
              <w:right w:val="single" w:sz="4" w:space="0" w:color="auto"/>
            </w:tcBorders>
            <w:shd w:val="clear" w:color="auto" w:fill="auto"/>
            <w:noWrap/>
            <w:vAlign w:val="bottom"/>
            <w:hideMark/>
          </w:tcPr>
          <w:p w14:paraId="7130397A" w14:textId="77777777" w:rsidR="00965562" w:rsidRPr="00965562" w:rsidRDefault="00965562" w:rsidP="00965562">
            <w:pPr>
              <w:spacing w:after="0" w:line="240" w:lineRule="auto"/>
              <w:jc w:val="right"/>
              <w:rPr>
                <w:rFonts w:eastAsia="Times New Roman" w:cs="Calibri"/>
                <w:color w:val="000000"/>
                <w:sz w:val="18"/>
                <w:szCs w:val="18"/>
                <w:lang w:val="en-US"/>
              </w:rPr>
            </w:pPr>
            <w:r w:rsidRPr="00965562">
              <w:rPr>
                <w:rFonts w:eastAsia="Times New Roman" w:cs="Calibri"/>
                <w:color w:val="000000"/>
                <w:sz w:val="18"/>
                <w:szCs w:val="18"/>
                <w:lang w:val="en-US"/>
              </w:rPr>
              <w:t>107,449</w:t>
            </w:r>
          </w:p>
        </w:tc>
        <w:tc>
          <w:tcPr>
            <w:tcW w:w="1106" w:type="dxa"/>
            <w:tcBorders>
              <w:top w:val="nil"/>
              <w:left w:val="nil"/>
              <w:bottom w:val="single" w:sz="4" w:space="0" w:color="auto"/>
              <w:right w:val="single" w:sz="8" w:space="0" w:color="auto"/>
            </w:tcBorders>
            <w:shd w:val="clear" w:color="auto" w:fill="auto"/>
            <w:noWrap/>
            <w:vAlign w:val="bottom"/>
            <w:hideMark/>
          </w:tcPr>
          <w:p w14:paraId="6219FBCC" w14:textId="77777777" w:rsidR="00965562" w:rsidRPr="00965562" w:rsidRDefault="00965562" w:rsidP="00965562">
            <w:pPr>
              <w:spacing w:after="0" w:line="240" w:lineRule="auto"/>
              <w:jc w:val="right"/>
              <w:rPr>
                <w:rFonts w:eastAsia="Times New Roman" w:cs="Calibri"/>
                <w:color w:val="000000"/>
                <w:sz w:val="18"/>
                <w:szCs w:val="18"/>
                <w:lang w:val="en-US"/>
              </w:rPr>
            </w:pPr>
            <w:r w:rsidRPr="00965562">
              <w:rPr>
                <w:rFonts w:eastAsia="Times New Roman" w:cs="Calibri"/>
                <w:color w:val="000000"/>
                <w:sz w:val="18"/>
                <w:szCs w:val="18"/>
                <w:lang w:val="en-US"/>
              </w:rPr>
              <w:t xml:space="preserve">       483,53 </w:t>
            </w:r>
          </w:p>
        </w:tc>
      </w:tr>
      <w:tr w:rsidR="00965562" w:rsidRPr="00965562" w14:paraId="68B1DEB6" w14:textId="77777777" w:rsidTr="00965562">
        <w:trPr>
          <w:trHeight w:val="300"/>
        </w:trPr>
        <w:tc>
          <w:tcPr>
            <w:tcW w:w="1484" w:type="dxa"/>
            <w:tcBorders>
              <w:top w:val="nil"/>
              <w:left w:val="single" w:sz="8" w:space="0" w:color="auto"/>
              <w:bottom w:val="single" w:sz="8" w:space="0" w:color="auto"/>
              <w:right w:val="nil"/>
            </w:tcBorders>
            <w:shd w:val="clear" w:color="auto" w:fill="auto"/>
            <w:noWrap/>
            <w:vAlign w:val="bottom"/>
            <w:hideMark/>
          </w:tcPr>
          <w:p w14:paraId="690F0599" w14:textId="77777777" w:rsidR="00965562" w:rsidRPr="00965562" w:rsidRDefault="00965562" w:rsidP="00965562">
            <w:pPr>
              <w:spacing w:after="0" w:line="240" w:lineRule="auto"/>
              <w:jc w:val="left"/>
              <w:rPr>
                <w:rFonts w:eastAsia="Times New Roman" w:cs="Calibri"/>
                <w:color w:val="000000"/>
                <w:sz w:val="16"/>
                <w:szCs w:val="16"/>
                <w:lang w:val="en-US"/>
              </w:rPr>
            </w:pPr>
            <w:r w:rsidRPr="00965562">
              <w:rPr>
                <w:rFonts w:eastAsia="Times New Roman" w:cs="Calibri"/>
                <w:color w:val="000000"/>
                <w:sz w:val="16"/>
                <w:szCs w:val="16"/>
                <w:lang w:val="en-US"/>
              </w:rPr>
              <w:t> </w:t>
            </w:r>
          </w:p>
        </w:tc>
        <w:tc>
          <w:tcPr>
            <w:tcW w:w="1465" w:type="dxa"/>
            <w:tcBorders>
              <w:top w:val="nil"/>
              <w:left w:val="nil"/>
              <w:bottom w:val="single" w:sz="8" w:space="0" w:color="auto"/>
              <w:right w:val="nil"/>
            </w:tcBorders>
            <w:shd w:val="clear" w:color="auto" w:fill="auto"/>
            <w:noWrap/>
            <w:vAlign w:val="bottom"/>
            <w:hideMark/>
          </w:tcPr>
          <w:p w14:paraId="0056AA8F" w14:textId="77777777" w:rsidR="00965562" w:rsidRPr="00965562" w:rsidRDefault="00965562" w:rsidP="00965562">
            <w:pPr>
              <w:spacing w:after="0" w:line="240" w:lineRule="auto"/>
              <w:jc w:val="left"/>
              <w:rPr>
                <w:rFonts w:eastAsia="Times New Roman" w:cs="Calibri"/>
                <w:color w:val="000000"/>
                <w:sz w:val="18"/>
                <w:szCs w:val="18"/>
                <w:lang w:val="en-US"/>
              </w:rPr>
            </w:pPr>
            <w:r w:rsidRPr="00965562">
              <w:rPr>
                <w:rFonts w:eastAsia="Times New Roman" w:cs="Calibri"/>
                <w:color w:val="000000"/>
                <w:sz w:val="18"/>
                <w:szCs w:val="18"/>
                <w:lang w:val="en-US"/>
              </w:rPr>
              <w:t> </w:t>
            </w:r>
          </w:p>
        </w:tc>
        <w:tc>
          <w:tcPr>
            <w:tcW w:w="931" w:type="dxa"/>
            <w:tcBorders>
              <w:top w:val="nil"/>
              <w:left w:val="nil"/>
              <w:bottom w:val="single" w:sz="8" w:space="0" w:color="auto"/>
              <w:right w:val="single" w:sz="4" w:space="0" w:color="auto"/>
            </w:tcBorders>
            <w:shd w:val="clear" w:color="auto" w:fill="auto"/>
            <w:noWrap/>
            <w:vAlign w:val="bottom"/>
            <w:hideMark/>
          </w:tcPr>
          <w:p w14:paraId="17D9D99D" w14:textId="77777777" w:rsidR="00965562" w:rsidRPr="00965562" w:rsidRDefault="00965562" w:rsidP="00965562">
            <w:pPr>
              <w:spacing w:after="0" w:line="240" w:lineRule="auto"/>
              <w:jc w:val="left"/>
              <w:rPr>
                <w:rFonts w:eastAsia="Times New Roman" w:cs="Calibri"/>
                <w:color w:val="000000"/>
                <w:sz w:val="18"/>
                <w:szCs w:val="18"/>
                <w:lang w:val="en-US"/>
              </w:rPr>
            </w:pPr>
            <w:r w:rsidRPr="00965562">
              <w:rPr>
                <w:rFonts w:eastAsia="Times New Roman" w:cs="Calibri"/>
                <w:color w:val="000000"/>
                <w:sz w:val="18"/>
                <w:szCs w:val="18"/>
                <w:lang w:val="en-US"/>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E0F37" w14:textId="7D1125C4" w:rsidR="00965562" w:rsidRPr="00965562" w:rsidRDefault="00965562" w:rsidP="00965562">
            <w:pPr>
              <w:spacing w:after="0" w:line="240" w:lineRule="auto"/>
              <w:jc w:val="right"/>
              <w:rPr>
                <w:rFonts w:eastAsia="Times New Roman" w:cs="Calibri"/>
                <w:b/>
                <w:bCs/>
                <w:color w:val="000000"/>
                <w:sz w:val="18"/>
                <w:szCs w:val="18"/>
                <w:lang w:val="en-US"/>
              </w:rPr>
            </w:pPr>
            <w:r w:rsidRPr="000B4CDA">
              <w:rPr>
                <w:rFonts w:ascii="Calibri" w:eastAsia="Times New Roman" w:hAnsi="Calibri" w:cs="Calibri"/>
                <w:b/>
                <w:bCs/>
                <w:color w:val="000000"/>
                <w:sz w:val="20"/>
                <w:szCs w:val="20"/>
                <w:lang w:val="en-US"/>
              </w:rPr>
              <w:t>₡</w:t>
            </w:r>
            <w:r w:rsidRPr="00965562">
              <w:rPr>
                <w:rFonts w:eastAsia="Times New Roman" w:cs="Calibri"/>
                <w:b/>
                <w:bCs/>
                <w:color w:val="000000"/>
                <w:sz w:val="18"/>
                <w:szCs w:val="18"/>
                <w:lang w:val="en-US"/>
              </w:rPr>
              <w:t xml:space="preserve">39 696,68 </w:t>
            </w:r>
          </w:p>
        </w:tc>
        <w:tc>
          <w:tcPr>
            <w:tcW w:w="946" w:type="dxa"/>
            <w:tcBorders>
              <w:top w:val="nil"/>
              <w:left w:val="single" w:sz="4" w:space="0" w:color="auto"/>
              <w:bottom w:val="single" w:sz="8" w:space="0" w:color="auto"/>
              <w:right w:val="nil"/>
            </w:tcBorders>
            <w:shd w:val="clear" w:color="auto" w:fill="auto"/>
            <w:noWrap/>
            <w:vAlign w:val="bottom"/>
            <w:hideMark/>
          </w:tcPr>
          <w:p w14:paraId="4E1A7525" w14:textId="77777777" w:rsidR="00965562" w:rsidRPr="00965562" w:rsidRDefault="00965562" w:rsidP="00965562">
            <w:pPr>
              <w:spacing w:after="0" w:line="240" w:lineRule="auto"/>
              <w:jc w:val="left"/>
              <w:rPr>
                <w:rFonts w:eastAsia="Times New Roman" w:cs="Calibri"/>
                <w:color w:val="000000"/>
                <w:sz w:val="18"/>
                <w:szCs w:val="18"/>
                <w:lang w:val="en-US"/>
              </w:rPr>
            </w:pPr>
            <w:r w:rsidRPr="00965562">
              <w:rPr>
                <w:rFonts w:eastAsia="Times New Roman" w:cs="Calibri"/>
                <w:color w:val="000000"/>
                <w:sz w:val="18"/>
                <w:szCs w:val="18"/>
                <w:lang w:val="en-US"/>
              </w:rPr>
              <w:t> </w:t>
            </w:r>
          </w:p>
        </w:tc>
        <w:tc>
          <w:tcPr>
            <w:tcW w:w="971" w:type="dxa"/>
            <w:tcBorders>
              <w:top w:val="nil"/>
              <w:left w:val="nil"/>
              <w:bottom w:val="single" w:sz="8" w:space="0" w:color="auto"/>
              <w:right w:val="nil"/>
            </w:tcBorders>
            <w:shd w:val="clear" w:color="auto" w:fill="auto"/>
            <w:noWrap/>
            <w:vAlign w:val="bottom"/>
            <w:hideMark/>
          </w:tcPr>
          <w:p w14:paraId="680CF963" w14:textId="77777777" w:rsidR="00965562" w:rsidRPr="00965562" w:rsidRDefault="00965562" w:rsidP="00965562">
            <w:pPr>
              <w:spacing w:after="0" w:line="240" w:lineRule="auto"/>
              <w:jc w:val="left"/>
              <w:rPr>
                <w:rFonts w:eastAsia="Times New Roman" w:cs="Calibri"/>
                <w:color w:val="000000"/>
                <w:sz w:val="18"/>
                <w:szCs w:val="18"/>
                <w:lang w:val="en-US"/>
              </w:rPr>
            </w:pPr>
            <w:r w:rsidRPr="00965562">
              <w:rPr>
                <w:rFonts w:eastAsia="Times New Roman" w:cs="Calibri"/>
                <w:color w:val="000000"/>
                <w:sz w:val="18"/>
                <w:szCs w:val="18"/>
                <w:lang w:val="en-US"/>
              </w:rPr>
              <w:t> </w:t>
            </w:r>
          </w:p>
        </w:tc>
        <w:tc>
          <w:tcPr>
            <w:tcW w:w="971" w:type="dxa"/>
            <w:tcBorders>
              <w:top w:val="nil"/>
              <w:left w:val="nil"/>
              <w:bottom w:val="single" w:sz="8" w:space="0" w:color="auto"/>
              <w:right w:val="single" w:sz="4" w:space="0" w:color="auto"/>
            </w:tcBorders>
            <w:shd w:val="clear" w:color="auto" w:fill="auto"/>
            <w:noWrap/>
            <w:vAlign w:val="bottom"/>
            <w:hideMark/>
          </w:tcPr>
          <w:p w14:paraId="54C828D9" w14:textId="77777777" w:rsidR="00965562" w:rsidRPr="00965562" w:rsidRDefault="00965562" w:rsidP="00965562">
            <w:pPr>
              <w:spacing w:after="0" w:line="240" w:lineRule="auto"/>
              <w:jc w:val="left"/>
              <w:rPr>
                <w:rFonts w:eastAsia="Times New Roman" w:cs="Calibri"/>
                <w:color w:val="000000"/>
                <w:sz w:val="18"/>
                <w:szCs w:val="18"/>
                <w:lang w:val="en-US"/>
              </w:rPr>
            </w:pPr>
            <w:r w:rsidRPr="00965562">
              <w:rPr>
                <w:rFonts w:eastAsia="Times New Roman" w:cs="Calibri"/>
                <w:color w:val="000000"/>
                <w:sz w:val="18"/>
                <w:szCs w:val="18"/>
                <w:lang w:val="en-US"/>
              </w:rPr>
              <w:t> </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3FD87" w14:textId="3803474E" w:rsidR="00965562" w:rsidRPr="00965562" w:rsidRDefault="00965562" w:rsidP="00965562">
            <w:pPr>
              <w:spacing w:after="0" w:line="240" w:lineRule="auto"/>
              <w:jc w:val="right"/>
              <w:rPr>
                <w:rFonts w:eastAsia="Times New Roman" w:cs="Calibri"/>
                <w:b/>
                <w:bCs/>
                <w:color w:val="000000"/>
                <w:sz w:val="18"/>
                <w:szCs w:val="18"/>
                <w:lang w:val="en-US"/>
              </w:rPr>
            </w:pPr>
            <w:r w:rsidRPr="000B4CDA">
              <w:rPr>
                <w:rFonts w:ascii="Calibri" w:eastAsia="Times New Roman" w:hAnsi="Calibri" w:cs="Calibri"/>
                <w:b/>
                <w:bCs/>
                <w:color w:val="000000"/>
                <w:sz w:val="20"/>
                <w:szCs w:val="20"/>
                <w:lang w:val="en-US"/>
              </w:rPr>
              <w:t>₡</w:t>
            </w:r>
            <w:r w:rsidRPr="00965562">
              <w:rPr>
                <w:rFonts w:eastAsia="Times New Roman" w:cs="Calibri"/>
                <w:b/>
                <w:bCs/>
                <w:color w:val="000000"/>
                <w:sz w:val="18"/>
                <w:szCs w:val="18"/>
                <w:lang w:val="en-US"/>
              </w:rPr>
              <w:t xml:space="preserve">16 571,76 </w:t>
            </w:r>
          </w:p>
        </w:tc>
      </w:tr>
    </w:tbl>
    <w:p w14:paraId="7DB5DE1D" w14:textId="77777777" w:rsidR="000B4CDA" w:rsidRDefault="000B4CDA" w:rsidP="00D57597">
      <w:pPr>
        <w:rPr>
          <w:szCs w:val="24"/>
          <w:lang w:eastAsia="es-CR"/>
        </w:rPr>
      </w:pPr>
    </w:p>
    <w:p w14:paraId="711BE247" w14:textId="77777777" w:rsidR="000A5666" w:rsidRDefault="000A5666" w:rsidP="000A5666">
      <w:pPr>
        <w:spacing w:after="120" w:line="240" w:lineRule="auto"/>
        <w:rPr>
          <w:szCs w:val="24"/>
          <w:lang w:eastAsia="es-CR"/>
        </w:rPr>
      </w:pPr>
    </w:p>
    <w:p w14:paraId="7FC8680D" w14:textId="77777777" w:rsidR="00692DC8" w:rsidRPr="00692DC8" w:rsidRDefault="00692DC8" w:rsidP="00D57597">
      <w:pPr>
        <w:pStyle w:val="Ttulo3"/>
        <w:spacing w:after="240"/>
        <w:rPr>
          <w:rFonts w:eastAsia="Calibri"/>
          <w:lang w:eastAsia="es-CR"/>
        </w:rPr>
      </w:pPr>
      <w:bookmarkStart w:id="196" w:name="_Toc82768916"/>
      <w:bookmarkStart w:id="197" w:name="_Toc173245231"/>
      <w:bookmarkStart w:id="198" w:name="_Toc13041064"/>
      <w:bookmarkStart w:id="199" w:name="_Toc14345063"/>
      <w:bookmarkStart w:id="200" w:name="_Toc33601216"/>
      <w:bookmarkEnd w:id="194"/>
      <w:bookmarkEnd w:id="195"/>
      <w:r w:rsidRPr="00692DC8">
        <w:rPr>
          <w:rFonts w:eastAsia="Calibri"/>
          <w:lang w:eastAsia="es-CR"/>
        </w:rPr>
        <w:t>1.2 ACTIVO NO CORRIENTE</w:t>
      </w:r>
      <w:bookmarkEnd w:id="196"/>
      <w:bookmarkEnd w:id="197"/>
    </w:p>
    <w:p w14:paraId="464CC33E" w14:textId="77777777" w:rsidR="00692DC8" w:rsidRPr="00692DC8" w:rsidRDefault="00692DC8" w:rsidP="00D57597">
      <w:pPr>
        <w:pStyle w:val="Ttulo4"/>
        <w:spacing w:after="240"/>
        <w:rPr>
          <w:rFonts w:eastAsia="Times New Roman"/>
        </w:rPr>
      </w:pPr>
      <w:bookmarkStart w:id="201" w:name="_Toc82768917"/>
      <w:bookmarkStart w:id="202" w:name="_Toc173245232"/>
      <w:r w:rsidRPr="00692DC8">
        <w:rPr>
          <w:rFonts w:eastAsia="Times New Roman"/>
        </w:rPr>
        <w:t>NOTA N° 8</w:t>
      </w:r>
      <w:bookmarkEnd w:id="198"/>
      <w:bookmarkEnd w:id="199"/>
      <w:bookmarkEnd w:id="200"/>
      <w:bookmarkEnd w:id="201"/>
      <w:bookmarkEnd w:id="202"/>
    </w:p>
    <w:p w14:paraId="79F08D73" w14:textId="77777777" w:rsidR="00694299" w:rsidRDefault="00692DC8" w:rsidP="00D34864">
      <w:pPr>
        <w:spacing w:before="240"/>
        <w:rPr>
          <w:rFonts w:asciiTheme="minorHAnsi" w:hAnsiTheme="minorHAnsi"/>
          <w:sz w:val="22"/>
        </w:rPr>
      </w:pPr>
      <w:bookmarkStart w:id="203" w:name="_Toc13041065"/>
      <w:bookmarkStart w:id="204" w:name="_Toc14345064"/>
      <w:bookmarkStart w:id="205" w:name="_Toc33601217"/>
      <w:bookmarkStart w:id="206" w:name="_Toc54546710"/>
      <w:bookmarkStart w:id="207" w:name="_Toc82768918"/>
      <w:r w:rsidRPr="00692DC8">
        <w:rPr>
          <w:rFonts w:eastAsia="Times New Roman"/>
        </w:rPr>
        <w:t>Inversiones a largo plazo</w:t>
      </w:r>
      <w:bookmarkEnd w:id="203"/>
      <w:bookmarkEnd w:id="204"/>
      <w:bookmarkEnd w:id="205"/>
      <w:bookmarkEnd w:id="206"/>
      <w:bookmarkEnd w:id="207"/>
      <w:r w:rsidR="00D34864">
        <w:rPr>
          <w:rFonts w:eastAsiaTheme="majorEastAsia" w:cstheme="majorBidi"/>
          <w:b/>
          <w:iCs/>
        </w:rPr>
        <w:fldChar w:fldCharType="begin"/>
      </w:r>
      <w:r w:rsidR="00D34864">
        <w:instrText xml:space="preserve"> LINK </w:instrText>
      </w:r>
      <w:r w:rsidR="00323752">
        <w:instrText xml:space="preserve">Excel.SheetMacroEnabled.12 "D:\\MORAVIA\\INSUMOS\\NOTAS 2024\\Formato_Notas_EEFF_Vinculadas_2024\\XXXXX_PXX_202X_Anexo_Estado_Notas_Contables_Vinculadas.xlsm" NOTAS_POR_CUENTA!F24C1:F26C6 </w:instrText>
      </w:r>
      <w:r w:rsidR="00D34864">
        <w:instrText xml:space="preserve">\a \f 4 \h </w:instrText>
      </w:r>
      <w:r w:rsidR="00D34864">
        <w:fldChar w:fldCharType="separate"/>
      </w:r>
    </w:p>
    <w:tbl>
      <w:tblPr>
        <w:tblW w:w="9880" w:type="dxa"/>
        <w:tblCellMar>
          <w:left w:w="70" w:type="dxa"/>
          <w:right w:w="70" w:type="dxa"/>
        </w:tblCellMar>
        <w:tblLook w:val="04A0" w:firstRow="1" w:lastRow="0" w:firstColumn="1" w:lastColumn="0" w:noHBand="0" w:noVBand="1"/>
      </w:tblPr>
      <w:tblGrid>
        <w:gridCol w:w="1027"/>
        <w:gridCol w:w="2973"/>
        <w:gridCol w:w="500"/>
        <w:gridCol w:w="2160"/>
        <w:gridCol w:w="2160"/>
        <w:gridCol w:w="1060"/>
      </w:tblGrid>
      <w:tr w:rsidR="00694299" w:rsidRPr="00694299" w14:paraId="0663FCFE" w14:textId="77777777" w:rsidTr="00694299">
        <w:trPr>
          <w:divId w:val="362873015"/>
          <w:trHeight w:val="324"/>
        </w:trPr>
        <w:tc>
          <w:tcPr>
            <w:tcW w:w="1027"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F692167" w14:textId="7FD06CF2"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973"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F3368A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24293D3"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F2DF898"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1A6AB20"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41FF9E2D"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529A0893" w14:textId="77777777" w:rsidTr="00694299">
        <w:trPr>
          <w:divId w:val="362873015"/>
          <w:trHeight w:val="324"/>
        </w:trPr>
        <w:tc>
          <w:tcPr>
            <w:tcW w:w="1027" w:type="dxa"/>
            <w:vMerge/>
            <w:tcBorders>
              <w:top w:val="single" w:sz="8" w:space="0" w:color="auto"/>
              <w:left w:val="single" w:sz="8" w:space="0" w:color="auto"/>
              <w:bottom w:val="single" w:sz="8" w:space="0" w:color="000000"/>
              <w:right w:val="single" w:sz="8" w:space="0" w:color="auto"/>
            </w:tcBorders>
            <w:vAlign w:val="center"/>
            <w:hideMark/>
          </w:tcPr>
          <w:p w14:paraId="44ED4B2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973" w:type="dxa"/>
            <w:vMerge/>
            <w:tcBorders>
              <w:top w:val="single" w:sz="8" w:space="0" w:color="auto"/>
              <w:left w:val="single" w:sz="8" w:space="0" w:color="auto"/>
              <w:bottom w:val="single" w:sz="8" w:space="0" w:color="000000"/>
              <w:right w:val="single" w:sz="8" w:space="0" w:color="auto"/>
            </w:tcBorders>
            <w:vAlign w:val="center"/>
            <w:hideMark/>
          </w:tcPr>
          <w:p w14:paraId="5E69F24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181AF4C"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72EADFC"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4D558F1"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27C1D877"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54F9B2EB" w14:textId="77777777" w:rsidTr="00694299">
        <w:trPr>
          <w:divId w:val="362873015"/>
          <w:trHeight w:val="324"/>
        </w:trPr>
        <w:tc>
          <w:tcPr>
            <w:tcW w:w="1027" w:type="dxa"/>
            <w:tcBorders>
              <w:top w:val="nil"/>
              <w:left w:val="single" w:sz="8" w:space="0" w:color="auto"/>
              <w:bottom w:val="single" w:sz="8" w:space="0" w:color="auto"/>
              <w:right w:val="single" w:sz="8" w:space="0" w:color="auto"/>
            </w:tcBorders>
            <w:shd w:val="clear" w:color="auto" w:fill="auto"/>
            <w:noWrap/>
            <w:vAlign w:val="center"/>
            <w:hideMark/>
          </w:tcPr>
          <w:p w14:paraId="7A47C3D8"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1.2.2.</w:t>
            </w:r>
          </w:p>
        </w:tc>
        <w:tc>
          <w:tcPr>
            <w:tcW w:w="2973" w:type="dxa"/>
            <w:tcBorders>
              <w:top w:val="nil"/>
              <w:left w:val="nil"/>
              <w:bottom w:val="single" w:sz="8" w:space="0" w:color="auto"/>
              <w:right w:val="single" w:sz="8" w:space="0" w:color="auto"/>
            </w:tcBorders>
            <w:shd w:val="clear" w:color="auto" w:fill="auto"/>
            <w:vAlign w:val="center"/>
            <w:hideMark/>
          </w:tcPr>
          <w:p w14:paraId="2E312A82"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Inversiones a largo plazo</w:t>
            </w:r>
          </w:p>
        </w:tc>
        <w:tc>
          <w:tcPr>
            <w:tcW w:w="500" w:type="dxa"/>
            <w:tcBorders>
              <w:top w:val="nil"/>
              <w:left w:val="nil"/>
              <w:bottom w:val="single" w:sz="8" w:space="0" w:color="auto"/>
              <w:right w:val="single" w:sz="8" w:space="0" w:color="auto"/>
            </w:tcBorders>
            <w:shd w:val="clear" w:color="auto" w:fill="auto"/>
            <w:noWrap/>
            <w:vAlign w:val="center"/>
            <w:hideMark/>
          </w:tcPr>
          <w:p w14:paraId="2F388C94"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08</w:t>
            </w:r>
          </w:p>
        </w:tc>
        <w:tc>
          <w:tcPr>
            <w:tcW w:w="2160" w:type="dxa"/>
            <w:tcBorders>
              <w:top w:val="nil"/>
              <w:left w:val="nil"/>
              <w:bottom w:val="single" w:sz="8" w:space="0" w:color="auto"/>
              <w:right w:val="single" w:sz="8" w:space="0" w:color="auto"/>
            </w:tcBorders>
            <w:shd w:val="clear" w:color="auto" w:fill="auto"/>
            <w:noWrap/>
            <w:vAlign w:val="center"/>
            <w:hideMark/>
          </w:tcPr>
          <w:p w14:paraId="2775CAF4"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6CF7CD87"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79949A8B"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2F7E4E25" w14:textId="77777777" w:rsidR="00694299" w:rsidRPr="00694299" w:rsidRDefault="00D34864" w:rsidP="00D34864">
      <w:pPr>
        <w:spacing w:before="240"/>
        <w:rPr>
          <w:b/>
          <w:lang w:val="es-ES" w:eastAsia="es-CR"/>
        </w:rPr>
      </w:pPr>
      <w:r>
        <w:fldChar w:fldCharType="end"/>
      </w:r>
      <w:r w:rsidR="00692DC8" w:rsidRPr="00194EB6">
        <w:rPr>
          <w:b/>
          <w:lang w:val="es-ES" w:eastAsia="es-CR"/>
        </w:rPr>
        <w:t xml:space="preserve">Revelación: </w:t>
      </w:r>
      <w:r>
        <w:rPr>
          <w:b/>
          <w:lang w:val="es-ES" w:eastAsia="es-CR"/>
        </w:rPr>
        <w:fldChar w:fldCharType="begin"/>
      </w:r>
      <w:r>
        <w:rPr>
          <w:b/>
          <w:lang w:val="es-ES" w:eastAsia="es-CR"/>
        </w:rPr>
        <w:instrText xml:space="preserve"> LINK </w:instrText>
      </w:r>
      <w:r w:rsidR="00323752">
        <w:rPr>
          <w:b/>
          <w:lang w:val="es-ES" w:eastAsia="es-CR"/>
        </w:rPr>
        <w:instrText xml:space="preserve">Excel.SheetMacroEnabled.12 "D:\\MORAVIA\\INSUMOS\\NOTAS 2024\\Formato_Notas_EEFF_Vinculadas_2024\\XXXXX_PXX_202X_Anexo_Estado_Notas_Contables_Vinculadas.xlsm" NOTAS_POR_CUENTA!F26C8 </w:instrText>
      </w:r>
      <w:r>
        <w:rPr>
          <w:b/>
          <w:lang w:val="es-ES" w:eastAsia="es-CR"/>
        </w:rPr>
        <w:instrText xml:space="preserve">\a \f 5 \h  \* MERGEFORMAT </w:instrText>
      </w:r>
      <w:r>
        <w:rPr>
          <w:b/>
          <w:lang w:val="es-ES" w:eastAsia="es-CR"/>
        </w:rPr>
        <w:fldChar w:fldCharType="separate"/>
      </w:r>
    </w:p>
    <w:p w14:paraId="2E339BB5" w14:textId="77777777" w:rsidR="00694299" w:rsidRPr="00694299" w:rsidRDefault="00694299" w:rsidP="00694299">
      <w:pPr>
        <w:spacing w:before="240"/>
        <w:rPr>
          <w:lang w:eastAsia="es-CR"/>
        </w:rPr>
      </w:pPr>
      <w:r w:rsidRPr="00694299">
        <w:rPr>
          <w:lang w:eastAsia="es-CR"/>
        </w:rPr>
        <w:t>La cuenta Inversiones a largo plazo, representa el 0,00% del total del Activo, que comparado al periodo anterior genera una variación absoluta de 0 000,00 que corresponde a un Aumento del 0,00% de recursos disponibles.</w:t>
      </w:r>
    </w:p>
    <w:p w14:paraId="52EA4BFB" w14:textId="6AB77AD3" w:rsidR="00692DC8" w:rsidRPr="00D34864" w:rsidRDefault="00D34864" w:rsidP="00D34864">
      <w:pPr>
        <w:spacing w:before="240"/>
        <w:rPr>
          <w:b/>
          <w:lang w:val="es-ES" w:eastAsia="es-CR"/>
        </w:rPr>
      </w:pPr>
      <w:r>
        <w:rPr>
          <w:b/>
          <w:lang w:val="es-ES" w:eastAsia="es-CR"/>
        </w:rPr>
        <w:fldChar w:fldCharType="end"/>
      </w:r>
      <w:r w:rsidR="00692DC8" w:rsidRPr="00692DC8">
        <w:rPr>
          <w:szCs w:val="24"/>
          <w:highlight w:val="lightGray"/>
          <w:lang w:eastAsia="es-CR"/>
        </w:rPr>
        <w:t>Las variaciones de la cuenta son producto de (Indicar la razón de las variaciones de un periodo a otro):</w:t>
      </w:r>
      <w:r w:rsidR="00692DC8" w:rsidRPr="00692DC8">
        <w:rPr>
          <w:szCs w:val="24"/>
          <w:lang w:eastAsia="es-CR"/>
        </w:rPr>
        <w:t xml:space="preserve"> </w:t>
      </w:r>
    </w:p>
    <w:p w14:paraId="0171C29D" w14:textId="77777777" w:rsidR="00692DC8" w:rsidRPr="00194EB6" w:rsidRDefault="00692DC8" w:rsidP="00194EB6"/>
    <w:p w14:paraId="0443C021" w14:textId="77777777" w:rsidR="00692DC8" w:rsidRPr="00692DC8" w:rsidRDefault="00692DC8" w:rsidP="00194EB6">
      <w:pPr>
        <w:pStyle w:val="Ttulo4"/>
        <w:spacing w:after="240"/>
        <w:rPr>
          <w:rFonts w:eastAsia="Times New Roman" w:cs="Times New Roman"/>
          <w:bCs/>
        </w:rPr>
      </w:pPr>
      <w:bookmarkStart w:id="208" w:name="_Toc13041071"/>
      <w:bookmarkStart w:id="209" w:name="_Toc14345070"/>
      <w:bookmarkStart w:id="210" w:name="_Toc33601218"/>
      <w:bookmarkStart w:id="211" w:name="_Toc82768919"/>
      <w:bookmarkStart w:id="212" w:name="_Toc173245233"/>
      <w:r w:rsidRPr="00692DC8">
        <w:rPr>
          <w:rFonts w:eastAsia="Times New Roman" w:cs="Times New Roman"/>
          <w:bCs/>
        </w:rPr>
        <w:t>NOTA N° 9</w:t>
      </w:r>
      <w:bookmarkEnd w:id="208"/>
      <w:bookmarkEnd w:id="209"/>
      <w:bookmarkEnd w:id="210"/>
      <w:bookmarkEnd w:id="211"/>
      <w:bookmarkEnd w:id="212"/>
    </w:p>
    <w:p w14:paraId="05446B46" w14:textId="77777777" w:rsidR="00694299" w:rsidRDefault="00692DC8" w:rsidP="00694299">
      <w:pPr>
        <w:spacing w:before="240"/>
        <w:rPr>
          <w:rFonts w:asciiTheme="minorHAnsi" w:hAnsiTheme="minorHAnsi"/>
          <w:sz w:val="22"/>
        </w:rPr>
      </w:pPr>
      <w:bookmarkStart w:id="213" w:name="_Toc13041072"/>
      <w:bookmarkStart w:id="214" w:name="_Toc14345071"/>
      <w:bookmarkStart w:id="215" w:name="_Toc33601219"/>
      <w:bookmarkStart w:id="216" w:name="_Toc82768920"/>
      <w:r w:rsidRPr="00692DC8">
        <w:rPr>
          <w:rFonts w:eastAsia="Times New Roman" w:cs="Times New Roman"/>
          <w:bCs/>
        </w:rPr>
        <w:t>Cuentas a cobrar a largo plazo</w:t>
      </w:r>
      <w:bookmarkEnd w:id="213"/>
      <w:bookmarkEnd w:id="214"/>
      <w:bookmarkEnd w:id="215"/>
      <w:bookmarkEnd w:id="216"/>
      <w:r w:rsidR="001A4EC0">
        <w:rPr>
          <w:rFonts w:eastAsiaTheme="majorEastAsia" w:cstheme="majorBidi"/>
          <w:b/>
          <w:iCs/>
        </w:rPr>
        <w:fldChar w:fldCharType="begin"/>
      </w:r>
      <w:r w:rsidR="001A4EC0">
        <w:instrText xml:space="preserve"> LINK </w:instrText>
      </w:r>
      <w:r w:rsidR="00323752">
        <w:instrText xml:space="preserve">Excel.SheetMacroEnabled.12 "D:\\MORAVIA\\INSUMOS\\NOTAS 2024\\Formato_Notas_EEFF_Vinculadas_2024\\XXXXX_PXX_202X_Anexo_Estado_Notas_Contables_Vinculadas.xlsm" NOTAS_POR_CUENTA!F28C1:F30C6 </w:instrText>
      </w:r>
      <w:r w:rsidR="001A4EC0">
        <w:instrText xml:space="preserve">\a \f 4 \h </w:instrText>
      </w:r>
      <w:r w:rsidR="001A4EC0">
        <w:fldChar w:fldCharType="separate"/>
      </w:r>
    </w:p>
    <w:tbl>
      <w:tblPr>
        <w:tblW w:w="9880" w:type="dxa"/>
        <w:tblCellMar>
          <w:left w:w="70" w:type="dxa"/>
          <w:right w:w="70" w:type="dxa"/>
        </w:tblCellMar>
        <w:tblLook w:val="04A0" w:firstRow="1" w:lastRow="0" w:firstColumn="1" w:lastColumn="0" w:noHBand="0" w:noVBand="1"/>
      </w:tblPr>
      <w:tblGrid>
        <w:gridCol w:w="991"/>
        <w:gridCol w:w="3009"/>
        <w:gridCol w:w="500"/>
        <w:gridCol w:w="2160"/>
        <w:gridCol w:w="2160"/>
        <w:gridCol w:w="1060"/>
      </w:tblGrid>
      <w:tr w:rsidR="00694299" w:rsidRPr="00694299" w14:paraId="0D646F75" w14:textId="77777777" w:rsidTr="00694299">
        <w:trPr>
          <w:divId w:val="178617691"/>
          <w:trHeight w:val="324"/>
        </w:trPr>
        <w:tc>
          <w:tcPr>
            <w:tcW w:w="99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25E35C3" w14:textId="4130B960"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300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3414E9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B7094AD"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90495EE"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FF8803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4B5B6CA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0307BF9E" w14:textId="77777777" w:rsidTr="00694299">
        <w:trPr>
          <w:divId w:val="178617691"/>
          <w:trHeight w:val="324"/>
        </w:trPr>
        <w:tc>
          <w:tcPr>
            <w:tcW w:w="991" w:type="dxa"/>
            <w:vMerge/>
            <w:tcBorders>
              <w:top w:val="single" w:sz="8" w:space="0" w:color="auto"/>
              <w:left w:val="single" w:sz="8" w:space="0" w:color="auto"/>
              <w:bottom w:val="single" w:sz="8" w:space="0" w:color="000000"/>
              <w:right w:val="single" w:sz="8" w:space="0" w:color="auto"/>
            </w:tcBorders>
            <w:vAlign w:val="center"/>
            <w:hideMark/>
          </w:tcPr>
          <w:p w14:paraId="611489BC"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3009" w:type="dxa"/>
            <w:vMerge/>
            <w:tcBorders>
              <w:top w:val="single" w:sz="8" w:space="0" w:color="auto"/>
              <w:left w:val="single" w:sz="8" w:space="0" w:color="auto"/>
              <w:bottom w:val="single" w:sz="8" w:space="0" w:color="000000"/>
              <w:right w:val="single" w:sz="8" w:space="0" w:color="auto"/>
            </w:tcBorders>
            <w:vAlign w:val="center"/>
            <w:hideMark/>
          </w:tcPr>
          <w:p w14:paraId="6BF4CDE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98C2A9A"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14B306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C8C02A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624EC5D1"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5D55670B" w14:textId="77777777" w:rsidTr="00694299">
        <w:trPr>
          <w:divId w:val="178617691"/>
          <w:trHeight w:val="324"/>
        </w:trPr>
        <w:tc>
          <w:tcPr>
            <w:tcW w:w="991" w:type="dxa"/>
            <w:tcBorders>
              <w:top w:val="nil"/>
              <w:left w:val="single" w:sz="8" w:space="0" w:color="auto"/>
              <w:bottom w:val="single" w:sz="8" w:space="0" w:color="auto"/>
              <w:right w:val="single" w:sz="8" w:space="0" w:color="auto"/>
            </w:tcBorders>
            <w:shd w:val="clear" w:color="auto" w:fill="auto"/>
            <w:noWrap/>
            <w:vAlign w:val="center"/>
            <w:hideMark/>
          </w:tcPr>
          <w:p w14:paraId="5B4EB7F6"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1.2.3.</w:t>
            </w:r>
          </w:p>
        </w:tc>
        <w:tc>
          <w:tcPr>
            <w:tcW w:w="3009" w:type="dxa"/>
            <w:tcBorders>
              <w:top w:val="nil"/>
              <w:left w:val="nil"/>
              <w:bottom w:val="single" w:sz="8" w:space="0" w:color="auto"/>
              <w:right w:val="single" w:sz="8" w:space="0" w:color="auto"/>
            </w:tcBorders>
            <w:shd w:val="clear" w:color="auto" w:fill="auto"/>
            <w:vAlign w:val="center"/>
            <w:hideMark/>
          </w:tcPr>
          <w:p w14:paraId="75F42E9C"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Cuentas a cobrar a largo plazo</w:t>
            </w:r>
          </w:p>
        </w:tc>
        <w:tc>
          <w:tcPr>
            <w:tcW w:w="500" w:type="dxa"/>
            <w:tcBorders>
              <w:top w:val="nil"/>
              <w:left w:val="nil"/>
              <w:bottom w:val="single" w:sz="8" w:space="0" w:color="auto"/>
              <w:right w:val="single" w:sz="8" w:space="0" w:color="auto"/>
            </w:tcBorders>
            <w:shd w:val="clear" w:color="auto" w:fill="auto"/>
            <w:noWrap/>
            <w:vAlign w:val="center"/>
            <w:hideMark/>
          </w:tcPr>
          <w:p w14:paraId="33AD0A23"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09</w:t>
            </w:r>
          </w:p>
        </w:tc>
        <w:tc>
          <w:tcPr>
            <w:tcW w:w="2160" w:type="dxa"/>
            <w:tcBorders>
              <w:top w:val="nil"/>
              <w:left w:val="nil"/>
              <w:bottom w:val="single" w:sz="8" w:space="0" w:color="auto"/>
              <w:right w:val="single" w:sz="8" w:space="0" w:color="auto"/>
            </w:tcBorders>
            <w:shd w:val="clear" w:color="auto" w:fill="auto"/>
            <w:noWrap/>
            <w:vAlign w:val="center"/>
            <w:hideMark/>
          </w:tcPr>
          <w:p w14:paraId="106AB71C"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68FF7134"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2AA6D566"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73C923EF" w14:textId="77777777" w:rsidR="00694299" w:rsidRPr="00694299" w:rsidRDefault="001A4EC0" w:rsidP="00694299">
      <w:pPr>
        <w:spacing w:before="240"/>
      </w:pPr>
      <w:r>
        <w:fldChar w:fldCharType="end"/>
      </w:r>
      <w:r w:rsidR="00692DC8" w:rsidRPr="00194EB6">
        <w:rPr>
          <w:b/>
          <w:lang w:val="es-ES"/>
        </w:rPr>
        <w:t xml:space="preserve">Revelación: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NOTAS_POR_CUENTA!F30C8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61FA1C96"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Cuentas a cobrar a largo plazo, representa el 0,00% del total del Activo, que comparado al periodo anterior genera una variación absoluta de 0 000,00 que corresponde a un Aumento del 0,00% de recursos disponibles.</w:t>
      </w:r>
    </w:p>
    <w:p w14:paraId="21924EA0" w14:textId="2D37D901" w:rsidR="00692DC8" w:rsidRDefault="001A4EC0" w:rsidP="001A4EC0">
      <w:pPr>
        <w:rPr>
          <w:rFonts w:eastAsia="Times New Roman"/>
          <w:szCs w:val="24"/>
          <w:lang w:eastAsia="es-CR"/>
        </w:rPr>
      </w:pPr>
      <w:r>
        <w:rPr>
          <w:rFonts w:eastAsia="Times New Roman" w:cs="Calibri"/>
          <w:color w:val="000000"/>
          <w:lang w:eastAsia="es-CR"/>
        </w:rPr>
        <w:fldChar w:fldCharType="end"/>
      </w:r>
      <w:r w:rsidR="00692DC8" w:rsidRPr="00692DC8">
        <w:rPr>
          <w:rFonts w:eastAsia="Times New Roman"/>
          <w:sz w:val="22"/>
          <w:szCs w:val="24"/>
          <w:highlight w:val="lightGray"/>
          <w:lang w:eastAsia="es-CR"/>
        </w:rPr>
        <w:t xml:space="preserve"> Las variaciones de la cuenta son producto de (Indicar la razón de las variaciones de un periodo a otro</w:t>
      </w:r>
      <w:r w:rsidR="00692DC8" w:rsidRPr="00692DC8">
        <w:rPr>
          <w:rFonts w:eastAsia="Times New Roman"/>
          <w:szCs w:val="24"/>
          <w:highlight w:val="lightGray"/>
          <w:lang w:eastAsia="es-CR"/>
        </w:rPr>
        <w:t>):</w:t>
      </w:r>
      <w:r w:rsidR="00692DC8" w:rsidRPr="00692DC8">
        <w:rPr>
          <w:rFonts w:eastAsia="Times New Roman"/>
          <w:szCs w:val="24"/>
          <w:lang w:eastAsia="es-CR"/>
        </w:rPr>
        <w:t xml:space="preserve"> </w:t>
      </w:r>
    </w:p>
    <w:p w14:paraId="350E4D06" w14:textId="77777777" w:rsidR="00194EB6" w:rsidRPr="00194EB6" w:rsidRDefault="00194EB6" w:rsidP="00194EB6">
      <w:pPr>
        <w:rPr>
          <w:rFonts w:eastAsia="Times New Roman"/>
          <w:szCs w:val="24"/>
          <w:lang w:eastAsia="es-CR"/>
        </w:rPr>
      </w:pPr>
    </w:p>
    <w:p w14:paraId="04DF16DC" w14:textId="77777777" w:rsidR="00692DC8" w:rsidRPr="00692DC8" w:rsidRDefault="00692DC8" w:rsidP="00CD760D">
      <w:pPr>
        <w:pStyle w:val="Ttulo4"/>
        <w:spacing w:before="0" w:after="120" w:line="240" w:lineRule="auto"/>
        <w:rPr>
          <w:rFonts w:eastAsia="Times New Roman"/>
        </w:rPr>
      </w:pPr>
      <w:bookmarkStart w:id="217" w:name="_Toc13041080"/>
      <w:bookmarkStart w:id="218" w:name="_Toc14345079"/>
      <w:bookmarkStart w:id="219" w:name="_Toc33601220"/>
      <w:bookmarkStart w:id="220" w:name="_Toc82768921"/>
      <w:bookmarkStart w:id="221" w:name="_Toc173245234"/>
      <w:r w:rsidRPr="00692DC8">
        <w:rPr>
          <w:rFonts w:eastAsia="Times New Roman"/>
        </w:rPr>
        <w:t>NOTA N° 10</w:t>
      </w:r>
      <w:bookmarkStart w:id="222" w:name="_Toc13041081"/>
      <w:bookmarkStart w:id="223" w:name="_Toc14345080"/>
      <w:bookmarkEnd w:id="217"/>
      <w:bookmarkEnd w:id="218"/>
      <w:bookmarkEnd w:id="219"/>
      <w:bookmarkEnd w:id="220"/>
      <w:bookmarkEnd w:id="221"/>
    </w:p>
    <w:bookmarkStart w:id="224" w:name="_Toc33601221"/>
    <w:bookmarkStart w:id="225" w:name="_Toc82768922"/>
    <w:p w14:paraId="68F55FA6" w14:textId="077AEC86" w:rsidR="00C572A3" w:rsidRDefault="00CD760D" w:rsidP="00CD760D">
      <w:pPr>
        <w:spacing w:after="0" w:line="240" w:lineRule="auto"/>
        <w:rPr>
          <w:rFonts w:asciiTheme="minorHAnsi" w:hAnsiTheme="minorHAnsi"/>
          <w:sz w:val="22"/>
        </w:rPr>
      </w:pPr>
      <w:r>
        <w:fldChar w:fldCharType="begin"/>
      </w:r>
      <w:r>
        <w:instrText xml:space="preserve"> LINK </w:instrText>
      </w:r>
      <w:r w:rsidR="0068177A">
        <w:instrText xml:space="preserve">Excel.SheetMacroEnabled.12 "C:\\Users\\arges\\OneDrive\\Desktop\\Municipalidades\\Buenos Aires\\Cierre Junio 2024\\Notas Contables\\15603_T02_2024_Anexo_Estado_Notas_Contables_Vinculadas.xlsm" NOTAS_POR_CUENTA!R32C1:R34C6 </w:instrText>
      </w:r>
      <w:r>
        <w:instrText xml:space="preserve">\a \f 4 \h </w:instrText>
      </w:r>
      <w:r>
        <w:fldChar w:fldCharType="separate"/>
      </w:r>
    </w:p>
    <w:tbl>
      <w:tblPr>
        <w:tblW w:w="10080" w:type="dxa"/>
        <w:tblLook w:val="04A0" w:firstRow="1" w:lastRow="0" w:firstColumn="1" w:lastColumn="0" w:noHBand="0" w:noVBand="1"/>
      </w:tblPr>
      <w:tblGrid>
        <w:gridCol w:w="717"/>
        <w:gridCol w:w="3339"/>
        <w:gridCol w:w="544"/>
        <w:gridCol w:w="2200"/>
        <w:gridCol w:w="2200"/>
        <w:gridCol w:w="1080"/>
      </w:tblGrid>
      <w:tr w:rsidR="00C572A3" w:rsidRPr="00C572A3" w14:paraId="559F2608" w14:textId="77777777" w:rsidTr="00C572A3">
        <w:trPr>
          <w:divId w:val="1519075020"/>
          <w:trHeight w:val="320"/>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BE30FED" w14:textId="312B6603" w:rsidR="00C572A3" w:rsidRPr="00C572A3" w:rsidRDefault="00C572A3" w:rsidP="00C572A3">
            <w:pPr>
              <w:spacing w:after="0" w:line="240" w:lineRule="auto"/>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0E6CF10"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Descripción</w:t>
            </w:r>
          </w:p>
        </w:tc>
        <w:tc>
          <w:tcPr>
            <w:tcW w:w="5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1A27C17"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Nota</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17F720D"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Actual </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146FB39"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Anterior </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6B206A69"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Diferencia </w:t>
            </w:r>
          </w:p>
        </w:tc>
      </w:tr>
      <w:tr w:rsidR="00C572A3" w:rsidRPr="00C572A3" w14:paraId="44FE3064" w14:textId="77777777" w:rsidTr="00C572A3">
        <w:trPr>
          <w:divId w:val="1519075020"/>
          <w:trHeight w:val="320"/>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5582E815"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1A0E4C0B"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14:paraId="3187F061"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471D7D6C"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51617D50"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1080" w:type="dxa"/>
            <w:tcBorders>
              <w:top w:val="nil"/>
              <w:left w:val="nil"/>
              <w:bottom w:val="single" w:sz="8" w:space="0" w:color="auto"/>
              <w:right w:val="single" w:sz="8" w:space="0" w:color="auto"/>
            </w:tcBorders>
            <w:shd w:val="clear" w:color="000000" w:fill="366092"/>
            <w:noWrap/>
            <w:vAlign w:val="center"/>
            <w:hideMark/>
          </w:tcPr>
          <w:p w14:paraId="2411412D" w14:textId="77777777" w:rsidR="00C572A3" w:rsidRPr="00C572A3" w:rsidRDefault="00C572A3" w:rsidP="00C572A3">
            <w:pPr>
              <w:spacing w:after="0" w:line="240" w:lineRule="auto"/>
              <w:jc w:val="center"/>
              <w:rPr>
                <w:rFonts w:eastAsia="Times New Roman" w:cs="Calibri"/>
                <w:color w:val="FFFFFF"/>
                <w:sz w:val="18"/>
                <w:szCs w:val="18"/>
                <w:lang w:val="en-US"/>
              </w:rPr>
            </w:pPr>
            <w:r w:rsidRPr="00C572A3">
              <w:rPr>
                <w:rFonts w:eastAsia="Times New Roman" w:cs="Calibri"/>
                <w:color w:val="FFFFFF"/>
                <w:sz w:val="18"/>
                <w:szCs w:val="18"/>
                <w:lang w:val="en-US"/>
              </w:rPr>
              <w:t>%</w:t>
            </w:r>
          </w:p>
        </w:tc>
      </w:tr>
      <w:tr w:rsidR="00C572A3" w:rsidRPr="00C572A3" w14:paraId="79491F43" w14:textId="77777777" w:rsidTr="00C572A3">
        <w:trPr>
          <w:divId w:val="1519075020"/>
          <w:trHeight w:val="320"/>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66934C62" w14:textId="77777777" w:rsidR="00C572A3" w:rsidRPr="00C572A3" w:rsidRDefault="00C572A3" w:rsidP="00C572A3">
            <w:pPr>
              <w:spacing w:after="0" w:line="240" w:lineRule="auto"/>
              <w:jc w:val="left"/>
              <w:rPr>
                <w:rFonts w:eastAsia="Times New Roman" w:cs="Calibri"/>
                <w:b/>
                <w:bCs/>
                <w:color w:val="000000"/>
                <w:sz w:val="18"/>
                <w:szCs w:val="18"/>
                <w:lang w:val="en-US"/>
              </w:rPr>
            </w:pPr>
            <w:r w:rsidRPr="00C572A3">
              <w:rPr>
                <w:rFonts w:eastAsia="Times New Roman" w:cs="Calibri"/>
                <w:b/>
                <w:bCs/>
                <w:color w:val="000000"/>
                <w:sz w:val="18"/>
                <w:szCs w:val="18"/>
                <w:lang w:val="en-US"/>
              </w:rPr>
              <w:t>1.2.5.</w:t>
            </w:r>
          </w:p>
        </w:tc>
        <w:tc>
          <w:tcPr>
            <w:tcW w:w="3380" w:type="dxa"/>
            <w:tcBorders>
              <w:top w:val="nil"/>
              <w:left w:val="nil"/>
              <w:bottom w:val="single" w:sz="8" w:space="0" w:color="auto"/>
              <w:right w:val="single" w:sz="8" w:space="0" w:color="auto"/>
            </w:tcBorders>
            <w:shd w:val="clear" w:color="auto" w:fill="auto"/>
            <w:vAlign w:val="center"/>
            <w:hideMark/>
          </w:tcPr>
          <w:p w14:paraId="3BE6468F" w14:textId="77777777" w:rsidR="00C572A3" w:rsidRPr="00C572A3" w:rsidRDefault="00C572A3" w:rsidP="00C572A3">
            <w:pPr>
              <w:spacing w:after="0" w:line="240" w:lineRule="auto"/>
              <w:jc w:val="left"/>
              <w:rPr>
                <w:rFonts w:eastAsia="Times New Roman" w:cs="Calibri"/>
                <w:b/>
                <w:bCs/>
                <w:color w:val="000000"/>
                <w:sz w:val="18"/>
                <w:szCs w:val="18"/>
                <w:lang w:val="en-US"/>
              </w:rPr>
            </w:pPr>
            <w:r w:rsidRPr="00C572A3">
              <w:rPr>
                <w:rFonts w:eastAsia="Times New Roman" w:cs="Calibri"/>
                <w:b/>
                <w:bCs/>
                <w:color w:val="000000"/>
                <w:sz w:val="18"/>
                <w:szCs w:val="18"/>
                <w:lang w:val="en-US"/>
              </w:rPr>
              <w:t>Bienes no concesionados</w:t>
            </w:r>
          </w:p>
        </w:tc>
        <w:tc>
          <w:tcPr>
            <w:tcW w:w="520" w:type="dxa"/>
            <w:tcBorders>
              <w:top w:val="nil"/>
              <w:left w:val="nil"/>
              <w:bottom w:val="single" w:sz="8" w:space="0" w:color="auto"/>
              <w:right w:val="single" w:sz="8" w:space="0" w:color="auto"/>
            </w:tcBorders>
            <w:shd w:val="clear" w:color="auto" w:fill="auto"/>
            <w:noWrap/>
            <w:vAlign w:val="center"/>
            <w:hideMark/>
          </w:tcPr>
          <w:p w14:paraId="0C2DB890"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10</w:t>
            </w:r>
          </w:p>
        </w:tc>
        <w:tc>
          <w:tcPr>
            <w:tcW w:w="2200" w:type="dxa"/>
            <w:tcBorders>
              <w:top w:val="nil"/>
              <w:left w:val="nil"/>
              <w:bottom w:val="single" w:sz="8" w:space="0" w:color="auto"/>
              <w:right w:val="single" w:sz="8" w:space="0" w:color="auto"/>
            </w:tcBorders>
            <w:shd w:val="clear" w:color="auto" w:fill="auto"/>
            <w:noWrap/>
            <w:vAlign w:val="center"/>
            <w:hideMark/>
          </w:tcPr>
          <w:p w14:paraId="510E3345"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163 213 351,64 </w:t>
            </w:r>
          </w:p>
        </w:tc>
        <w:tc>
          <w:tcPr>
            <w:tcW w:w="2200" w:type="dxa"/>
            <w:tcBorders>
              <w:top w:val="nil"/>
              <w:left w:val="nil"/>
              <w:bottom w:val="single" w:sz="8" w:space="0" w:color="auto"/>
              <w:right w:val="single" w:sz="8" w:space="0" w:color="auto"/>
            </w:tcBorders>
            <w:shd w:val="clear" w:color="auto" w:fill="auto"/>
            <w:noWrap/>
            <w:vAlign w:val="center"/>
            <w:hideMark/>
          </w:tcPr>
          <w:p w14:paraId="28D1B86F"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162 699 631,67 </w:t>
            </w:r>
          </w:p>
        </w:tc>
        <w:tc>
          <w:tcPr>
            <w:tcW w:w="1080" w:type="dxa"/>
            <w:tcBorders>
              <w:top w:val="nil"/>
              <w:left w:val="nil"/>
              <w:bottom w:val="single" w:sz="8" w:space="0" w:color="auto"/>
              <w:right w:val="single" w:sz="8" w:space="0" w:color="auto"/>
            </w:tcBorders>
            <w:shd w:val="clear" w:color="auto" w:fill="auto"/>
            <w:noWrap/>
            <w:vAlign w:val="center"/>
            <w:hideMark/>
          </w:tcPr>
          <w:p w14:paraId="109D300D"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0,32%</w:t>
            </w:r>
          </w:p>
        </w:tc>
      </w:tr>
    </w:tbl>
    <w:p w14:paraId="532F5DE8" w14:textId="77777777" w:rsidR="00CD760D" w:rsidRDefault="00CD760D" w:rsidP="00CD760D">
      <w:pPr>
        <w:spacing w:after="0" w:line="240" w:lineRule="auto"/>
        <w:rPr>
          <w:rFonts w:eastAsia="Times New Roman"/>
        </w:rPr>
      </w:pPr>
      <w:r>
        <w:rPr>
          <w:rFonts w:eastAsia="Times New Roman"/>
        </w:rPr>
        <w:fldChar w:fldCharType="end"/>
      </w:r>
    </w:p>
    <w:p w14:paraId="0EA0EFBE" w14:textId="32C1E307" w:rsidR="00694299" w:rsidRDefault="00692DC8" w:rsidP="000A5666">
      <w:pPr>
        <w:spacing w:before="240" w:after="120" w:line="240" w:lineRule="auto"/>
        <w:rPr>
          <w:rFonts w:asciiTheme="minorHAnsi" w:hAnsiTheme="minorHAnsi"/>
          <w:sz w:val="22"/>
        </w:rPr>
      </w:pPr>
      <w:r w:rsidRPr="00692DC8">
        <w:rPr>
          <w:rFonts w:eastAsia="Times New Roman"/>
        </w:rPr>
        <w:t>Bienes no concesionados</w:t>
      </w:r>
      <w:bookmarkEnd w:id="222"/>
      <w:bookmarkEnd w:id="223"/>
      <w:bookmarkEnd w:id="224"/>
      <w:bookmarkEnd w:id="225"/>
      <w:r w:rsidRPr="00692DC8">
        <w:rPr>
          <w:rFonts w:eastAsia="Times New Roman"/>
        </w:rPr>
        <w:t xml:space="preserve"> </w:t>
      </w:r>
      <w:r w:rsidR="001A4EC0">
        <w:rPr>
          <w:rFonts w:eastAsiaTheme="majorEastAsia" w:cstheme="majorBidi"/>
          <w:b/>
          <w:iCs/>
        </w:rPr>
        <w:fldChar w:fldCharType="begin"/>
      </w:r>
      <w:r w:rsidR="001A4EC0">
        <w:instrText xml:space="preserve"> LINK </w:instrText>
      </w:r>
      <w:r w:rsidR="00323752">
        <w:instrText xml:space="preserve">Excel.SheetMacroEnabled.12 "D:\\MORAVIA\\INSUMOS\\NOTAS 2024\\Formato_Notas_EEFF_Vinculadas_2024\\XXXXX_PXX_202X_Anexo_Estado_Notas_Contables_Vinculadas.xlsm" NOTAS_POR_CUENTA!F32C1:F34C6 </w:instrText>
      </w:r>
      <w:r w:rsidR="001A4EC0">
        <w:instrText xml:space="preserve">\a \f 4 \h </w:instrText>
      </w:r>
      <w:r w:rsidR="001A4EC0">
        <w:fldChar w:fldCharType="separate"/>
      </w:r>
    </w:p>
    <w:p w14:paraId="78321D0C" w14:textId="77777777" w:rsidR="000A5666" w:rsidRDefault="001A4EC0" w:rsidP="000A5666">
      <w:pPr>
        <w:spacing w:after="0" w:line="240" w:lineRule="auto"/>
      </w:pPr>
      <w:r>
        <w:fldChar w:fldCharType="end"/>
      </w:r>
    </w:p>
    <w:p w14:paraId="7684A941" w14:textId="77777777" w:rsidR="000A5666" w:rsidRDefault="00692DC8" w:rsidP="000A5666">
      <w:pPr>
        <w:spacing w:before="120" w:after="120" w:line="240" w:lineRule="auto"/>
        <w:rPr>
          <w:b/>
          <w:lang w:val="es-ES" w:eastAsia="es-CR"/>
        </w:rPr>
      </w:pPr>
      <w:r w:rsidRPr="0011777B">
        <w:rPr>
          <w:b/>
          <w:lang w:val="es-ES" w:eastAsia="es-CR"/>
        </w:rPr>
        <w:t>Revelación:</w:t>
      </w:r>
    </w:p>
    <w:p w14:paraId="263013AD" w14:textId="243A9577" w:rsidR="00694299" w:rsidRPr="00694299" w:rsidRDefault="00654C21" w:rsidP="000A5666">
      <w:pPr>
        <w:spacing w:after="0" w:line="240" w:lineRule="auto"/>
      </w:pPr>
      <w:r>
        <w:rPr>
          <w:rFonts w:cs="Calibri"/>
          <w:color w:val="000000"/>
          <w:lang w:eastAsia="es-CR"/>
        </w:rPr>
        <w:fldChar w:fldCharType="begin"/>
      </w:r>
      <w:r>
        <w:rPr>
          <w:rFonts w:cs="Calibri"/>
          <w:color w:val="000000"/>
          <w:lang w:eastAsia="es-CR"/>
        </w:rPr>
        <w:instrText xml:space="preserve"> LINK </w:instrText>
      </w:r>
      <w:r w:rsidR="00323752">
        <w:rPr>
          <w:rFonts w:cs="Calibri"/>
          <w:color w:val="000000"/>
          <w:lang w:eastAsia="es-CR"/>
        </w:rPr>
        <w:instrText xml:space="preserve">Excel.SheetMacroEnabled.12 "D:\\MORAVIA\\INSUMOS\\NOTAS 2024\\Formato_Notas_EEFF_Vinculadas_2024\\XXXXX_PXX_202X_Anexo_Estado_Notas_Contables_Vinculadas.xlsm" NOTAS_POR_CUENTA!F34C8 </w:instrText>
      </w:r>
      <w:r>
        <w:rPr>
          <w:rFonts w:cs="Calibri"/>
          <w:color w:val="000000"/>
          <w:lang w:eastAsia="es-CR"/>
        </w:rPr>
        <w:instrText xml:space="preserve">\a \f 5 \h  \* MERGEFORMAT </w:instrText>
      </w:r>
      <w:r>
        <w:rPr>
          <w:rFonts w:cs="Calibri"/>
          <w:color w:val="000000"/>
          <w:lang w:eastAsia="es-CR"/>
        </w:rPr>
        <w:fldChar w:fldCharType="separate"/>
      </w:r>
    </w:p>
    <w:p w14:paraId="0BFBD9CF" w14:textId="22CC643C" w:rsidR="00694299" w:rsidRDefault="00694299" w:rsidP="00986DC9">
      <w:pPr>
        <w:spacing w:after="0" w:line="240" w:lineRule="auto"/>
        <w:rPr>
          <w:rFonts w:cs="Calibri"/>
          <w:color w:val="000000"/>
          <w:lang w:eastAsia="es-CR"/>
        </w:rPr>
      </w:pPr>
      <w:r w:rsidRPr="00694299">
        <w:rPr>
          <w:rFonts w:cs="Calibri"/>
          <w:color w:val="000000"/>
          <w:lang w:eastAsia="es-CR"/>
        </w:rPr>
        <w:t>La cuenta Bienes no concesionados, representa el 9</w:t>
      </w:r>
      <w:r w:rsidR="00986DC9">
        <w:rPr>
          <w:rFonts w:cs="Calibri"/>
          <w:color w:val="000000"/>
          <w:lang w:eastAsia="es-CR"/>
        </w:rPr>
        <w:t>7</w:t>
      </w:r>
      <w:r w:rsidRPr="00694299">
        <w:rPr>
          <w:rFonts w:cs="Calibri"/>
          <w:color w:val="000000"/>
          <w:lang w:eastAsia="es-CR"/>
        </w:rPr>
        <w:t>,</w:t>
      </w:r>
      <w:r w:rsidR="00986DC9">
        <w:rPr>
          <w:rFonts w:cs="Calibri"/>
          <w:color w:val="000000"/>
          <w:lang w:eastAsia="es-CR"/>
        </w:rPr>
        <w:t>16</w:t>
      </w:r>
      <w:r w:rsidRPr="00694299">
        <w:rPr>
          <w:rFonts w:cs="Calibri"/>
          <w:color w:val="000000"/>
          <w:lang w:eastAsia="es-CR"/>
        </w:rPr>
        <w:t xml:space="preserve">% del total del Activo, que comparado al periodo anterior genera una variación absoluta de </w:t>
      </w:r>
      <w:r w:rsidR="00986DC9" w:rsidRPr="00986DC9">
        <w:rPr>
          <w:rFonts w:cs="Calibri"/>
          <w:color w:val="000000"/>
          <w:lang w:eastAsia="es-CR"/>
        </w:rPr>
        <w:t>513 719,97</w:t>
      </w:r>
      <w:r w:rsidRPr="00694299">
        <w:rPr>
          <w:rFonts w:cs="Calibri"/>
          <w:color w:val="000000"/>
          <w:lang w:eastAsia="es-CR"/>
        </w:rPr>
        <w:t xml:space="preserve"> que corresponde a un Aumento del 0,</w:t>
      </w:r>
      <w:r w:rsidR="00986DC9">
        <w:rPr>
          <w:rFonts w:cs="Calibri"/>
          <w:color w:val="000000"/>
          <w:lang w:eastAsia="es-CR"/>
        </w:rPr>
        <w:t>32</w:t>
      </w:r>
      <w:r w:rsidRPr="00694299">
        <w:rPr>
          <w:rFonts w:cs="Calibri"/>
          <w:color w:val="000000"/>
          <w:lang w:eastAsia="es-CR"/>
        </w:rPr>
        <w:t>% de recursos disponibles.</w:t>
      </w:r>
    </w:p>
    <w:p w14:paraId="53A3C7FF" w14:textId="77777777" w:rsidR="00986DC9" w:rsidRPr="00986DC9" w:rsidRDefault="00986DC9" w:rsidP="00986DC9">
      <w:pPr>
        <w:spacing w:after="0" w:line="240" w:lineRule="auto"/>
        <w:rPr>
          <w:rFonts w:eastAsia="Times New Roman" w:cs="Calibri"/>
          <w:sz w:val="20"/>
          <w:szCs w:val="20"/>
        </w:rPr>
      </w:pPr>
    </w:p>
    <w:p w14:paraId="60DCD810" w14:textId="393AE2B9" w:rsidR="00692DC8" w:rsidRDefault="00654C21" w:rsidP="00986DC9">
      <w:pPr>
        <w:spacing w:line="240" w:lineRule="auto"/>
        <w:rPr>
          <w:szCs w:val="24"/>
          <w:lang w:eastAsia="es-CR"/>
        </w:rPr>
      </w:pPr>
      <w:r>
        <w:rPr>
          <w:rFonts w:cs="Calibri"/>
          <w:color w:val="000000"/>
          <w:lang w:eastAsia="es-CR"/>
        </w:rPr>
        <w:fldChar w:fldCharType="end"/>
      </w:r>
      <w:r w:rsidR="00692DC8" w:rsidRPr="00692DC8">
        <w:rPr>
          <w:szCs w:val="24"/>
          <w:highlight w:val="lightGray"/>
          <w:lang w:eastAsia="es-CR"/>
        </w:rPr>
        <w:t>Las variaciones de la cuenta son producto de (Indicar la razón de las variaciones de un periodo a otro):</w:t>
      </w:r>
      <w:r w:rsidR="00692DC8" w:rsidRPr="00692DC8">
        <w:rPr>
          <w:szCs w:val="24"/>
          <w:lang w:eastAsia="es-CR"/>
        </w:rPr>
        <w:t xml:space="preserve"> </w:t>
      </w:r>
    </w:p>
    <w:p w14:paraId="0DB15A8D" w14:textId="77777777" w:rsidR="00986DC9" w:rsidRDefault="00986DC9" w:rsidP="00986DC9">
      <w:pPr>
        <w:spacing w:after="0" w:line="240" w:lineRule="auto"/>
        <w:rPr>
          <w:szCs w:val="24"/>
          <w:lang w:eastAsia="es-CR"/>
        </w:rPr>
      </w:pPr>
    </w:p>
    <w:tbl>
      <w:tblPr>
        <w:tblW w:w="8784" w:type="dxa"/>
        <w:tblLayout w:type="fixed"/>
        <w:tblLook w:val="04A0" w:firstRow="1" w:lastRow="0" w:firstColumn="1" w:lastColumn="0" w:noHBand="0" w:noVBand="1"/>
      </w:tblPr>
      <w:tblGrid>
        <w:gridCol w:w="750"/>
        <w:gridCol w:w="3640"/>
        <w:gridCol w:w="1275"/>
        <w:gridCol w:w="1276"/>
        <w:gridCol w:w="940"/>
        <w:gridCol w:w="88"/>
        <w:gridCol w:w="815"/>
      </w:tblGrid>
      <w:tr w:rsidR="00211F6D" w:rsidRPr="00211F6D" w14:paraId="291AD0E0" w14:textId="77777777" w:rsidTr="00211F6D">
        <w:trPr>
          <w:trHeight w:val="490"/>
        </w:trPr>
        <w:tc>
          <w:tcPr>
            <w:tcW w:w="750" w:type="dxa"/>
            <w:tcBorders>
              <w:top w:val="single" w:sz="4" w:space="0" w:color="auto"/>
              <w:left w:val="single" w:sz="4" w:space="0" w:color="auto"/>
              <w:bottom w:val="nil"/>
              <w:right w:val="nil"/>
            </w:tcBorders>
            <w:shd w:val="clear" w:color="000000" w:fill="002060"/>
            <w:noWrap/>
            <w:vAlign w:val="center"/>
            <w:hideMark/>
          </w:tcPr>
          <w:p w14:paraId="68C4788D" w14:textId="77777777" w:rsidR="00211F6D" w:rsidRPr="00211F6D" w:rsidRDefault="00211F6D" w:rsidP="00211F6D">
            <w:pPr>
              <w:spacing w:after="0" w:line="240" w:lineRule="auto"/>
              <w:jc w:val="center"/>
              <w:rPr>
                <w:rFonts w:ascii="Calibri" w:eastAsia="Times New Roman" w:hAnsi="Calibri" w:cs="Calibri"/>
                <w:b/>
                <w:bCs/>
                <w:color w:val="FFFFFF"/>
                <w:sz w:val="18"/>
                <w:szCs w:val="18"/>
                <w:lang w:val="en-US"/>
              </w:rPr>
            </w:pPr>
            <w:r w:rsidRPr="00211F6D">
              <w:rPr>
                <w:rFonts w:ascii="Calibri" w:eastAsia="Times New Roman" w:hAnsi="Calibri" w:cs="Calibri"/>
                <w:b/>
                <w:bCs/>
                <w:color w:val="FFFFFF"/>
                <w:sz w:val="18"/>
                <w:szCs w:val="18"/>
                <w:lang w:val="en-US"/>
              </w:rPr>
              <w:t>Código</w:t>
            </w:r>
          </w:p>
        </w:tc>
        <w:tc>
          <w:tcPr>
            <w:tcW w:w="3640" w:type="dxa"/>
            <w:tcBorders>
              <w:top w:val="single" w:sz="4" w:space="0" w:color="FFFFFF"/>
              <w:left w:val="single" w:sz="4" w:space="0" w:color="FFFFFF"/>
              <w:bottom w:val="nil"/>
              <w:right w:val="nil"/>
            </w:tcBorders>
            <w:shd w:val="clear" w:color="000000" w:fill="002060"/>
            <w:noWrap/>
            <w:vAlign w:val="center"/>
            <w:hideMark/>
          </w:tcPr>
          <w:p w14:paraId="5451B574" w14:textId="77777777" w:rsidR="00211F6D" w:rsidRPr="00211F6D" w:rsidRDefault="00211F6D" w:rsidP="00211F6D">
            <w:pPr>
              <w:spacing w:after="0" w:line="240" w:lineRule="auto"/>
              <w:jc w:val="center"/>
              <w:rPr>
                <w:rFonts w:ascii="Calibri" w:eastAsia="Times New Roman" w:hAnsi="Calibri" w:cs="Calibri"/>
                <w:b/>
                <w:bCs/>
                <w:color w:val="FFFFFF"/>
                <w:sz w:val="18"/>
                <w:szCs w:val="18"/>
                <w:lang w:val="en-US"/>
              </w:rPr>
            </w:pPr>
            <w:r w:rsidRPr="00211F6D">
              <w:rPr>
                <w:rFonts w:ascii="Calibri" w:eastAsia="Times New Roman" w:hAnsi="Calibri" w:cs="Calibri"/>
                <w:b/>
                <w:bCs/>
                <w:color w:val="FFFFFF"/>
                <w:sz w:val="18"/>
                <w:szCs w:val="18"/>
                <w:lang w:val="en-US"/>
              </w:rPr>
              <w:t>Descripción</w:t>
            </w:r>
          </w:p>
        </w:tc>
        <w:tc>
          <w:tcPr>
            <w:tcW w:w="1275" w:type="dxa"/>
            <w:tcBorders>
              <w:top w:val="single" w:sz="4" w:space="0" w:color="auto"/>
              <w:left w:val="single" w:sz="4" w:space="0" w:color="FFFFFF"/>
              <w:bottom w:val="nil"/>
              <w:right w:val="single" w:sz="4" w:space="0" w:color="FFFFFF"/>
            </w:tcBorders>
            <w:shd w:val="clear" w:color="000000" w:fill="002060"/>
            <w:vAlign w:val="center"/>
            <w:hideMark/>
          </w:tcPr>
          <w:p w14:paraId="5DAB031F" w14:textId="77777777" w:rsidR="00211F6D" w:rsidRPr="00211F6D" w:rsidRDefault="00211F6D" w:rsidP="00211F6D">
            <w:pPr>
              <w:spacing w:after="0" w:line="240" w:lineRule="auto"/>
              <w:jc w:val="center"/>
              <w:rPr>
                <w:rFonts w:ascii="Calibri" w:eastAsia="Times New Roman" w:hAnsi="Calibri" w:cs="Calibri"/>
                <w:b/>
                <w:bCs/>
                <w:color w:val="FFFFFF"/>
                <w:sz w:val="18"/>
                <w:szCs w:val="18"/>
                <w:lang w:val="en-US"/>
              </w:rPr>
            </w:pPr>
            <w:r w:rsidRPr="00211F6D">
              <w:rPr>
                <w:rFonts w:ascii="Calibri" w:eastAsia="Times New Roman" w:hAnsi="Calibri" w:cs="Calibri"/>
                <w:b/>
                <w:bCs/>
                <w:color w:val="FFFFFF"/>
                <w:sz w:val="18"/>
                <w:szCs w:val="18"/>
                <w:lang w:val="en-US"/>
              </w:rPr>
              <w:t>Saldo Año Actual</w:t>
            </w:r>
          </w:p>
        </w:tc>
        <w:tc>
          <w:tcPr>
            <w:tcW w:w="1276" w:type="dxa"/>
            <w:tcBorders>
              <w:top w:val="single" w:sz="4" w:space="0" w:color="auto"/>
              <w:left w:val="nil"/>
              <w:bottom w:val="nil"/>
              <w:right w:val="single" w:sz="4" w:space="0" w:color="FFFFFF"/>
            </w:tcBorders>
            <w:shd w:val="clear" w:color="000000" w:fill="002060"/>
            <w:vAlign w:val="center"/>
            <w:hideMark/>
          </w:tcPr>
          <w:p w14:paraId="04A3B041" w14:textId="77777777" w:rsidR="00211F6D" w:rsidRPr="00211F6D" w:rsidRDefault="00211F6D" w:rsidP="00211F6D">
            <w:pPr>
              <w:spacing w:after="0" w:line="240" w:lineRule="auto"/>
              <w:jc w:val="center"/>
              <w:rPr>
                <w:rFonts w:ascii="Calibri" w:eastAsia="Times New Roman" w:hAnsi="Calibri" w:cs="Calibri"/>
                <w:b/>
                <w:bCs/>
                <w:color w:val="FFFFFF"/>
                <w:sz w:val="18"/>
                <w:szCs w:val="18"/>
                <w:lang w:val="en-US"/>
              </w:rPr>
            </w:pPr>
            <w:r w:rsidRPr="00211F6D">
              <w:rPr>
                <w:rFonts w:ascii="Calibri" w:eastAsia="Times New Roman" w:hAnsi="Calibri" w:cs="Calibri"/>
                <w:b/>
                <w:bCs/>
                <w:color w:val="FFFFFF"/>
                <w:sz w:val="18"/>
                <w:szCs w:val="18"/>
                <w:lang w:val="en-US"/>
              </w:rPr>
              <w:t>Saldo Año Anterior</w:t>
            </w:r>
          </w:p>
        </w:tc>
        <w:tc>
          <w:tcPr>
            <w:tcW w:w="940" w:type="dxa"/>
            <w:tcBorders>
              <w:top w:val="single" w:sz="4" w:space="0" w:color="auto"/>
              <w:left w:val="nil"/>
              <w:bottom w:val="nil"/>
              <w:right w:val="single" w:sz="4" w:space="0" w:color="FFFFFF"/>
            </w:tcBorders>
            <w:shd w:val="clear" w:color="000000" w:fill="002060"/>
            <w:vAlign w:val="center"/>
            <w:hideMark/>
          </w:tcPr>
          <w:p w14:paraId="16AD67FC" w14:textId="77777777" w:rsidR="00211F6D" w:rsidRPr="00211F6D" w:rsidRDefault="00211F6D" w:rsidP="00211F6D">
            <w:pPr>
              <w:spacing w:after="0" w:line="240" w:lineRule="auto"/>
              <w:jc w:val="center"/>
              <w:rPr>
                <w:rFonts w:ascii="Calibri" w:eastAsia="Times New Roman" w:hAnsi="Calibri" w:cs="Calibri"/>
                <w:b/>
                <w:bCs/>
                <w:color w:val="FFFFFF"/>
                <w:sz w:val="18"/>
                <w:szCs w:val="18"/>
                <w:lang w:val="en-US"/>
              </w:rPr>
            </w:pPr>
            <w:r w:rsidRPr="00211F6D">
              <w:rPr>
                <w:rFonts w:ascii="Calibri" w:eastAsia="Times New Roman" w:hAnsi="Calibri" w:cs="Calibri"/>
                <w:b/>
                <w:bCs/>
                <w:color w:val="FFFFFF"/>
                <w:sz w:val="18"/>
                <w:szCs w:val="18"/>
                <w:lang w:val="en-US"/>
              </w:rPr>
              <w:t>Variación Absoluta</w:t>
            </w:r>
          </w:p>
        </w:tc>
        <w:tc>
          <w:tcPr>
            <w:tcW w:w="903" w:type="dxa"/>
            <w:gridSpan w:val="2"/>
            <w:tcBorders>
              <w:top w:val="single" w:sz="4" w:space="0" w:color="auto"/>
              <w:left w:val="nil"/>
              <w:bottom w:val="nil"/>
              <w:right w:val="single" w:sz="4" w:space="0" w:color="auto"/>
            </w:tcBorders>
            <w:shd w:val="clear" w:color="000000" w:fill="002060"/>
            <w:vAlign w:val="center"/>
            <w:hideMark/>
          </w:tcPr>
          <w:p w14:paraId="157AF522" w14:textId="77777777" w:rsidR="00211F6D" w:rsidRPr="00211F6D" w:rsidRDefault="00211F6D" w:rsidP="00211F6D">
            <w:pPr>
              <w:spacing w:after="0" w:line="240" w:lineRule="auto"/>
              <w:jc w:val="center"/>
              <w:rPr>
                <w:rFonts w:ascii="Calibri" w:eastAsia="Times New Roman" w:hAnsi="Calibri" w:cs="Calibri"/>
                <w:b/>
                <w:bCs/>
                <w:color w:val="FFFFFF"/>
                <w:sz w:val="18"/>
                <w:szCs w:val="18"/>
                <w:lang w:val="en-US"/>
              </w:rPr>
            </w:pPr>
            <w:r w:rsidRPr="00211F6D">
              <w:rPr>
                <w:rFonts w:ascii="Calibri" w:eastAsia="Times New Roman" w:hAnsi="Calibri" w:cs="Calibri"/>
                <w:b/>
                <w:bCs/>
                <w:color w:val="FFFFFF"/>
                <w:sz w:val="18"/>
                <w:szCs w:val="18"/>
                <w:lang w:val="en-US"/>
              </w:rPr>
              <w:t>Variación %</w:t>
            </w:r>
          </w:p>
        </w:tc>
      </w:tr>
      <w:tr w:rsidR="00211F6D" w:rsidRPr="00211F6D" w14:paraId="31A6E0B8" w14:textId="77777777" w:rsidTr="00211F6D">
        <w:trPr>
          <w:trHeight w:val="290"/>
        </w:trPr>
        <w:tc>
          <w:tcPr>
            <w:tcW w:w="750"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04CBEBB5" w14:textId="77777777" w:rsidR="00211F6D" w:rsidRPr="00211F6D" w:rsidRDefault="00211F6D" w:rsidP="00211F6D">
            <w:pPr>
              <w:spacing w:after="0" w:line="240" w:lineRule="auto"/>
              <w:jc w:val="left"/>
              <w:rPr>
                <w:rFonts w:eastAsia="Times New Roman" w:cs="Calibri"/>
                <w:color w:val="000000"/>
                <w:sz w:val="18"/>
                <w:szCs w:val="18"/>
                <w:lang w:val="en-US"/>
              </w:rPr>
            </w:pPr>
            <w:r w:rsidRPr="00211F6D">
              <w:rPr>
                <w:rFonts w:eastAsia="Times New Roman" w:cs="Calibri"/>
                <w:color w:val="000000"/>
                <w:sz w:val="18"/>
                <w:szCs w:val="18"/>
                <w:lang w:val="en-US"/>
              </w:rPr>
              <w:t>1.2.5.01</w:t>
            </w:r>
          </w:p>
        </w:tc>
        <w:tc>
          <w:tcPr>
            <w:tcW w:w="3640" w:type="dxa"/>
            <w:tcBorders>
              <w:top w:val="single" w:sz="8" w:space="0" w:color="auto"/>
              <w:left w:val="nil"/>
              <w:bottom w:val="single" w:sz="4" w:space="0" w:color="auto"/>
              <w:right w:val="single" w:sz="8" w:space="0" w:color="auto"/>
            </w:tcBorders>
            <w:shd w:val="clear" w:color="000000" w:fill="FFFFFF"/>
            <w:vAlign w:val="center"/>
            <w:hideMark/>
          </w:tcPr>
          <w:p w14:paraId="1E1E396D" w14:textId="77777777" w:rsidR="00211F6D" w:rsidRPr="00211F6D" w:rsidRDefault="00211F6D" w:rsidP="00211F6D">
            <w:pPr>
              <w:spacing w:after="0" w:line="240" w:lineRule="auto"/>
              <w:jc w:val="left"/>
              <w:rPr>
                <w:rFonts w:eastAsia="Times New Roman" w:cs="Calibri"/>
                <w:color w:val="000000"/>
                <w:sz w:val="18"/>
                <w:szCs w:val="18"/>
              </w:rPr>
            </w:pPr>
            <w:r w:rsidRPr="00211F6D">
              <w:rPr>
                <w:rFonts w:eastAsia="Times New Roman" w:cs="Calibri"/>
                <w:color w:val="000000"/>
                <w:sz w:val="18"/>
                <w:szCs w:val="18"/>
              </w:rPr>
              <w:t xml:space="preserve">Propiedades, planta y equipos explotados </w:t>
            </w:r>
          </w:p>
        </w:tc>
        <w:tc>
          <w:tcPr>
            <w:tcW w:w="1275" w:type="dxa"/>
            <w:tcBorders>
              <w:top w:val="single" w:sz="8" w:space="0" w:color="auto"/>
              <w:left w:val="nil"/>
              <w:bottom w:val="single" w:sz="4" w:space="0" w:color="auto"/>
              <w:right w:val="single" w:sz="4" w:space="0" w:color="auto"/>
            </w:tcBorders>
            <w:shd w:val="clear" w:color="000000" w:fill="FFFFFF"/>
            <w:vAlign w:val="center"/>
            <w:hideMark/>
          </w:tcPr>
          <w:p w14:paraId="088DC6B2" w14:textId="77777777" w:rsidR="00211F6D" w:rsidRPr="00211F6D" w:rsidRDefault="00211F6D" w:rsidP="00211F6D">
            <w:pPr>
              <w:spacing w:after="0" w:line="240" w:lineRule="auto"/>
              <w:ind w:left="-106"/>
              <w:jc w:val="right"/>
              <w:rPr>
                <w:rFonts w:eastAsia="Times New Roman" w:cs="Calibri"/>
                <w:color w:val="000000"/>
                <w:sz w:val="18"/>
                <w:szCs w:val="18"/>
                <w:lang w:val="en-US"/>
              </w:rPr>
            </w:pPr>
            <w:r w:rsidRPr="00211F6D">
              <w:rPr>
                <w:rFonts w:ascii="Arial" w:eastAsia="Times New Roman" w:hAnsi="Arial" w:cs="Arial"/>
                <w:color w:val="000000"/>
                <w:sz w:val="18"/>
                <w:szCs w:val="18"/>
                <w:lang w:val="en-US"/>
              </w:rPr>
              <w:t>₡</w:t>
            </w:r>
            <w:r w:rsidRPr="00211F6D">
              <w:rPr>
                <w:rFonts w:eastAsia="Times New Roman" w:cs="Calibri"/>
                <w:color w:val="000000"/>
                <w:sz w:val="18"/>
                <w:szCs w:val="18"/>
                <w:lang w:val="en-US"/>
              </w:rPr>
              <w:t>2 346 799,64</w:t>
            </w:r>
          </w:p>
        </w:tc>
        <w:tc>
          <w:tcPr>
            <w:tcW w:w="1276"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420C41B4" w14:textId="77777777" w:rsidR="00211F6D" w:rsidRPr="00211F6D" w:rsidRDefault="00211F6D" w:rsidP="00211F6D">
            <w:pPr>
              <w:spacing w:after="0" w:line="240" w:lineRule="auto"/>
              <w:ind w:left="-169"/>
              <w:jc w:val="right"/>
              <w:rPr>
                <w:rFonts w:eastAsia="Times New Roman" w:cs="Calibri"/>
                <w:color w:val="000000"/>
                <w:sz w:val="18"/>
                <w:szCs w:val="18"/>
                <w:lang w:val="en-US"/>
              </w:rPr>
            </w:pPr>
            <w:r w:rsidRPr="00211F6D">
              <w:rPr>
                <w:rFonts w:ascii="Arial" w:eastAsia="Times New Roman" w:hAnsi="Arial" w:cs="Arial"/>
                <w:color w:val="000000"/>
                <w:sz w:val="18"/>
                <w:szCs w:val="18"/>
                <w:lang w:val="en-US"/>
              </w:rPr>
              <w:t>₡</w:t>
            </w:r>
            <w:r w:rsidRPr="00211F6D">
              <w:rPr>
                <w:rFonts w:eastAsia="Times New Roman" w:cs="Calibri"/>
                <w:color w:val="000000"/>
                <w:sz w:val="18"/>
                <w:szCs w:val="18"/>
                <w:lang w:val="en-US"/>
              </w:rPr>
              <w:t>1 848 565,33</w:t>
            </w:r>
          </w:p>
        </w:tc>
        <w:tc>
          <w:tcPr>
            <w:tcW w:w="1028" w:type="dxa"/>
            <w:gridSpan w:val="2"/>
            <w:tcBorders>
              <w:top w:val="single" w:sz="8" w:space="0" w:color="auto"/>
              <w:left w:val="single" w:sz="4" w:space="0" w:color="auto"/>
              <w:bottom w:val="single" w:sz="4" w:space="0" w:color="auto"/>
              <w:right w:val="single" w:sz="4" w:space="0" w:color="auto"/>
            </w:tcBorders>
            <w:shd w:val="clear" w:color="000000" w:fill="FFFFFF"/>
            <w:noWrap/>
            <w:vAlign w:val="center"/>
            <w:hideMark/>
          </w:tcPr>
          <w:p w14:paraId="6B416237" w14:textId="77777777" w:rsidR="00211F6D" w:rsidRPr="00211F6D" w:rsidRDefault="00211F6D" w:rsidP="00211F6D">
            <w:pPr>
              <w:spacing w:after="0" w:line="240" w:lineRule="auto"/>
              <w:ind w:left="-133"/>
              <w:jc w:val="right"/>
              <w:rPr>
                <w:rFonts w:eastAsia="Times New Roman" w:cs="Calibri"/>
                <w:sz w:val="18"/>
                <w:szCs w:val="18"/>
                <w:lang w:val="en-US"/>
              </w:rPr>
            </w:pPr>
            <w:r w:rsidRPr="00211F6D">
              <w:rPr>
                <w:rFonts w:ascii="Arial" w:eastAsia="Times New Roman" w:hAnsi="Arial" w:cs="Arial"/>
                <w:sz w:val="18"/>
                <w:szCs w:val="18"/>
                <w:lang w:val="en-US"/>
              </w:rPr>
              <w:t>₡</w:t>
            </w:r>
            <w:r w:rsidRPr="00211F6D">
              <w:rPr>
                <w:rFonts w:eastAsia="Times New Roman" w:cs="Calibri"/>
                <w:sz w:val="18"/>
                <w:szCs w:val="18"/>
                <w:lang w:val="en-US"/>
              </w:rPr>
              <w:t>498 234,30</w:t>
            </w:r>
          </w:p>
        </w:tc>
        <w:tc>
          <w:tcPr>
            <w:tcW w:w="815" w:type="dxa"/>
            <w:tcBorders>
              <w:top w:val="single" w:sz="8" w:space="0" w:color="auto"/>
              <w:left w:val="nil"/>
              <w:bottom w:val="single" w:sz="4" w:space="0" w:color="auto"/>
              <w:right w:val="single" w:sz="8" w:space="0" w:color="auto"/>
            </w:tcBorders>
            <w:shd w:val="clear" w:color="auto" w:fill="auto"/>
            <w:noWrap/>
            <w:vAlign w:val="bottom"/>
            <w:hideMark/>
          </w:tcPr>
          <w:p w14:paraId="4661D14A" w14:textId="77777777" w:rsidR="00211F6D" w:rsidRPr="00211F6D" w:rsidRDefault="00211F6D" w:rsidP="00211F6D">
            <w:pPr>
              <w:spacing w:after="0" w:line="240" w:lineRule="auto"/>
              <w:jc w:val="right"/>
              <w:rPr>
                <w:rFonts w:eastAsia="Times New Roman" w:cs="Calibri"/>
                <w:color w:val="000000"/>
                <w:sz w:val="18"/>
                <w:szCs w:val="18"/>
                <w:lang w:val="en-US"/>
              </w:rPr>
            </w:pPr>
            <w:r w:rsidRPr="00211F6D">
              <w:rPr>
                <w:rFonts w:eastAsia="Times New Roman" w:cs="Calibri"/>
                <w:color w:val="000000"/>
                <w:sz w:val="18"/>
                <w:szCs w:val="18"/>
                <w:lang w:val="en-US"/>
              </w:rPr>
              <w:t>26,95%</w:t>
            </w:r>
          </w:p>
        </w:tc>
      </w:tr>
      <w:tr w:rsidR="00211F6D" w:rsidRPr="00211F6D" w14:paraId="22FF7982" w14:textId="77777777" w:rsidTr="00211F6D">
        <w:trPr>
          <w:trHeight w:val="290"/>
        </w:trPr>
        <w:tc>
          <w:tcPr>
            <w:tcW w:w="750" w:type="dxa"/>
            <w:tcBorders>
              <w:top w:val="nil"/>
              <w:left w:val="single" w:sz="8" w:space="0" w:color="auto"/>
              <w:bottom w:val="single" w:sz="4" w:space="0" w:color="auto"/>
              <w:right w:val="single" w:sz="8" w:space="0" w:color="auto"/>
            </w:tcBorders>
            <w:shd w:val="clear" w:color="000000" w:fill="FFFFFF"/>
            <w:noWrap/>
            <w:vAlign w:val="center"/>
            <w:hideMark/>
          </w:tcPr>
          <w:p w14:paraId="6A07CEB4" w14:textId="77777777" w:rsidR="00211F6D" w:rsidRPr="00211F6D" w:rsidRDefault="00211F6D" w:rsidP="00211F6D">
            <w:pPr>
              <w:spacing w:after="0" w:line="240" w:lineRule="auto"/>
              <w:jc w:val="left"/>
              <w:rPr>
                <w:rFonts w:eastAsia="Times New Roman" w:cs="Calibri"/>
                <w:color w:val="000000"/>
                <w:sz w:val="18"/>
                <w:szCs w:val="18"/>
                <w:lang w:val="en-US"/>
              </w:rPr>
            </w:pPr>
            <w:r w:rsidRPr="00211F6D">
              <w:rPr>
                <w:rFonts w:eastAsia="Times New Roman" w:cs="Calibri"/>
                <w:color w:val="000000"/>
                <w:sz w:val="18"/>
                <w:szCs w:val="18"/>
                <w:lang w:val="en-US"/>
              </w:rPr>
              <w:t>1.2.5.04</w:t>
            </w:r>
          </w:p>
        </w:tc>
        <w:tc>
          <w:tcPr>
            <w:tcW w:w="3640" w:type="dxa"/>
            <w:tcBorders>
              <w:top w:val="nil"/>
              <w:left w:val="nil"/>
              <w:bottom w:val="single" w:sz="4" w:space="0" w:color="auto"/>
              <w:right w:val="single" w:sz="8" w:space="0" w:color="auto"/>
            </w:tcBorders>
            <w:shd w:val="clear" w:color="000000" w:fill="FFFFFF"/>
            <w:vAlign w:val="center"/>
            <w:hideMark/>
          </w:tcPr>
          <w:p w14:paraId="4891C3C1" w14:textId="77777777" w:rsidR="00211F6D" w:rsidRPr="00211F6D" w:rsidRDefault="00211F6D" w:rsidP="00211F6D">
            <w:pPr>
              <w:spacing w:after="0" w:line="240" w:lineRule="auto"/>
              <w:jc w:val="left"/>
              <w:rPr>
                <w:rFonts w:eastAsia="Times New Roman" w:cs="Calibri"/>
                <w:color w:val="000000"/>
                <w:sz w:val="18"/>
                <w:szCs w:val="18"/>
              </w:rPr>
            </w:pPr>
            <w:r w:rsidRPr="00211F6D">
              <w:rPr>
                <w:rFonts w:eastAsia="Times New Roman" w:cs="Calibri"/>
                <w:color w:val="000000"/>
                <w:sz w:val="18"/>
                <w:szCs w:val="18"/>
              </w:rPr>
              <w:t>Bienes de infraestructura y de beneficio y uso público en servicio</w:t>
            </w:r>
          </w:p>
        </w:tc>
        <w:tc>
          <w:tcPr>
            <w:tcW w:w="1275" w:type="dxa"/>
            <w:tcBorders>
              <w:top w:val="nil"/>
              <w:left w:val="nil"/>
              <w:bottom w:val="single" w:sz="4" w:space="0" w:color="auto"/>
              <w:right w:val="single" w:sz="4" w:space="0" w:color="auto"/>
            </w:tcBorders>
            <w:shd w:val="clear" w:color="000000" w:fill="FFFFFF"/>
            <w:vAlign w:val="center"/>
            <w:hideMark/>
          </w:tcPr>
          <w:p w14:paraId="1B0FA054" w14:textId="77777777" w:rsidR="00211F6D" w:rsidRPr="00211F6D" w:rsidRDefault="00211F6D" w:rsidP="00211F6D">
            <w:pPr>
              <w:spacing w:after="0" w:line="240" w:lineRule="auto"/>
              <w:ind w:left="-106"/>
              <w:jc w:val="right"/>
              <w:rPr>
                <w:rFonts w:eastAsia="Times New Roman" w:cs="Calibri"/>
                <w:color w:val="000000"/>
                <w:sz w:val="18"/>
                <w:szCs w:val="18"/>
                <w:lang w:val="en-US"/>
              </w:rPr>
            </w:pPr>
            <w:r w:rsidRPr="00211F6D">
              <w:rPr>
                <w:rFonts w:eastAsia="Times New Roman" w:cs="Calibri"/>
                <w:color w:val="000000"/>
                <w:sz w:val="18"/>
                <w:szCs w:val="18"/>
                <w:lang w:val="en-US"/>
              </w:rPr>
              <w:t>160 765 498,08</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4186687E" w14:textId="77777777" w:rsidR="00211F6D" w:rsidRPr="00211F6D" w:rsidRDefault="00211F6D" w:rsidP="00211F6D">
            <w:pPr>
              <w:spacing w:after="0" w:line="240" w:lineRule="auto"/>
              <w:ind w:left="-169"/>
              <w:jc w:val="right"/>
              <w:rPr>
                <w:rFonts w:eastAsia="Times New Roman" w:cs="Calibri"/>
                <w:sz w:val="18"/>
                <w:szCs w:val="18"/>
                <w:lang w:val="en-US"/>
              </w:rPr>
            </w:pPr>
            <w:r w:rsidRPr="00211F6D">
              <w:rPr>
                <w:rFonts w:eastAsia="Times New Roman" w:cs="Calibri"/>
                <w:sz w:val="18"/>
                <w:szCs w:val="18"/>
                <w:lang w:val="en-US"/>
              </w:rPr>
              <w:t>160 765 498,08</w:t>
            </w:r>
          </w:p>
        </w:tc>
        <w:tc>
          <w:tcPr>
            <w:tcW w:w="102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5C638988" w14:textId="77777777" w:rsidR="00211F6D" w:rsidRPr="00211F6D" w:rsidRDefault="00211F6D" w:rsidP="00211F6D">
            <w:pPr>
              <w:spacing w:after="0" w:line="240" w:lineRule="auto"/>
              <w:ind w:left="-133"/>
              <w:jc w:val="right"/>
              <w:rPr>
                <w:rFonts w:eastAsia="Times New Roman" w:cs="Calibri"/>
                <w:sz w:val="18"/>
                <w:szCs w:val="18"/>
                <w:lang w:val="en-US"/>
              </w:rPr>
            </w:pPr>
            <w:r w:rsidRPr="00211F6D">
              <w:rPr>
                <w:rFonts w:eastAsia="Times New Roman" w:cs="Calibri"/>
                <w:sz w:val="18"/>
                <w:szCs w:val="18"/>
                <w:lang w:val="en-US"/>
              </w:rPr>
              <w:t>0,00</w:t>
            </w:r>
          </w:p>
        </w:tc>
        <w:tc>
          <w:tcPr>
            <w:tcW w:w="815" w:type="dxa"/>
            <w:tcBorders>
              <w:top w:val="nil"/>
              <w:left w:val="single" w:sz="4" w:space="0" w:color="auto"/>
              <w:bottom w:val="single" w:sz="4" w:space="0" w:color="auto"/>
              <w:right w:val="single" w:sz="8" w:space="0" w:color="auto"/>
            </w:tcBorders>
            <w:shd w:val="clear" w:color="auto" w:fill="auto"/>
            <w:noWrap/>
            <w:vAlign w:val="bottom"/>
            <w:hideMark/>
          </w:tcPr>
          <w:p w14:paraId="71A0057D" w14:textId="77777777" w:rsidR="00211F6D" w:rsidRPr="00211F6D" w:rsidRDefault="00211F6D" w:rsidP="00211F6D">
            <w:pPr>
              <w:spacing w:after="0" w:line="240" w:lineRule="auto"/>
              <w:jc w:val="right"/>
              <w:rPr>
                <w:rFonts w:eastAsia="Times New Roman" w:cs="Calibri"/>
                <w:color w:val="000000"/>
                <w:sz w:val="18"/>
                <w:szCs w:val="18"/>
                <w:lang w:val="en-US"/>
              </w:rPr>
            </w:pPr>
            <w:r w:rsidRPr="00211F6D">
              <w:rPr>
                <w:rFonts w:eastAsia="Times New Roman" w:cs="Calibri"/>
                <w:color w:val="000000"/>
                <w:sz w:val="18"/>
                <w:szCs w:val="18"/>
                <w:lang w:val="en-US"/>
              </w:rPr>
              <w:t>0,00%</w:t>
            </w:r>
          </w:p>
        </w:tc>
      </w:tr>
      <w:tr w:rsidR="00211F6D" w:rsidRPr="00211F6D" w14:paraId="442DE9E5" w14:textId="77777777" w:rsidTr="00211F6D">
        <w:trPr>
          <w:trHeight w:val="290"/>
        </w:trPr>
        <w:tc>
          <w:tcPr>
            <w:tcW w:w="750" w:type="dxa"/>
            <w:tcBorders>
              <w:top w:val="nil"/>
              <w:left w:val="single" w:sz="8" w:space="0" w:color="auto"/>
              <w:bottom w:val="single" w:sz="4" w:space="0" w:color="auto"/>
              <w:right w:val="single" w:sz="8" w:space="0" w:color="auto"/>
            </w:tcBorders>
            <w:shd w:val="clear" w:color="000000" w:fill="FFFFFF"/>
            <w:noWrap/>
            <w:vAlign w:val="center"/>
            <w:hideMark/>
          </w:tcPr>
          <w:p w14:paraId="3DE535AF" w14:textId="77777777" w:rsidR="00211F6D" w:rsidRPr="00211F6D" w:rsidRDefault="00211F6D" w:rsidP="00211F6D">
            <w:pPr>
              <w:spacing w:after="0" w:line="240" w:lineRule="auto"/>
              <w:jc w:val="left"/>
              <w:rPr>
                <w:rFonts w:eastAsia="Times New Roman" w:cs="Calibri"/>
                <w:color w:val="000000"/>
                <w:sz w:val="18"/>
                <w:szCs w:val="18"/>
                <w:lang w:val="en-US"/>
              </w:rPr>
            </w:pPr>
            <w:r w:rsidRPr="00211F6D">
              <w:rPr>
                <w:rFonts w:eastAsia="Times New Roman" w:cs="Calibri"/>
                <w:color w:val="000000"/>
                <w:sz w:val="18"/>
                <w:szCs w:val="18"/>
                <w:lang w:val="en-US"/>
              </w:rPr>
              <w:t>1.2.5.08</w:t>
            </w:r>
          </w:p>
        </w:tc>
        <w:tc>
          <w:tcPr>
            <w:tcW w:w="3640" w:type="dxa"/>
            <w:tcBorders>
              <w:top w:val="nil"/>
              <w:left w:val="nil"/>
              <w:bottom w:val="single" w:sz="4" w:space="0" w:color="auto"/>
              <w:right w:val="single" w:sz="8" w:space="0" w:color="auto"/>
            </w:tcBorders>
            <w:shd w:val="clear" w:color="000000" w:fill="FFFFFF"/>
            <w:vAlign w:val="center"/>
            <w:hideMark/>
          </w:tcPr>
          <w:p w14:paraId="1D496307" w14:textId="77777777" w:rsidR="00211F6D" w:rsidRPr="00211F6D" w:rsidRDefault="00211F6D" w:rsidP="00211F6D">
            <w:pPr>
              <w:spacing w:after="0" w:line="240" w:lineRule="auto"/>
              <w:jc w:val="left"/>
              <w:rPr>
                <w:rFonts w:eastAsia="Times New Roman" w:cs="Calibri"/>
                <w:color w:val="000000"/>
                <w:sz w:val="18"/>
                <w:szCs w:val="18"/>
                <w:lang w:val="en-US"/>
              </w:rPr>
            </w:pPr>
            <w:r w:rsidRPr="00211F6D">
              <w:rPr>
                <w:rFonts w:eastAsia="Times New Roman" w:cs="Calibri"/>
                <w:color w:val="000000"/>
                <w:sz w:val="18"/>
                <w:szCs w:val="18"/>
                <w:lang w:val="en-US"/>
              </w:rPr>
              <w:t>Bienes intangibles</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68BEF7" w14:textId="77777777" w:rsidR="00211F6D" w:rsidRPr="00211F6D" w:rsidRDefault="00211F6D" w:rsidP="00211F6D">
            <w:pPr>
              <w:spacing w:after="0" w:line="240" w:lineRule="auto"/>
              <w:ind w:left="-106"/>
              <w:jc w:val="right"/>
              <w:rPr>
                <w:rFonts w:eastAsia="Times New Roman" w:cs="Calibri"/>
                <w:sz w:val="18"/>
                <w:szCs w:val="18"/>
                <w:lang w:val="en-US"/>
              </w:rPr>
            </w:pPr>
            <w:r w:rsidRPr="00211F6D">
              <w:rPr>
                <w:rFonts w:eastAsia="Times New Roman" w:cs="Calibri"/>
                <w:sz w:val="18"/>
                <w:szCs w:val="18"/>
                <w:lang w:val="en-US"/>
              </w:rPr>
              <w:t>3 474,77</w:t>
            </w:r>
          </w:p>
        </w:tc>
        <w:tc>
          <w:tcPr>
            <w:tcW w:w="1276" w:type="dxa"/>
            <w:tcBorders>
              <w:top w:val="nil"/>
              <w:left w:val="nil"/>
              <w:bottom w:val="single" w:sz="4" w:space="0" w:color="auto"/>
              <w:right w:val="single" w:sz="4" w:space="0" w:color="auto"/>
            </w:tcBorders>
            <w:shd w:val="clear" w:color="000000" w:fill="FFFFFF"/>
            <w:noWrap/>
            <w:vAlign w:val="center"/>
            <w:hideMark/>
          </w:tcPr>
          <w:p w14:paraId="0472BEC9" w14:textId="77777777" w:rsidR="00211F6D" w:rsidRPr="00211F6D" w:rsidRDefault="00211F6D" w:rsidP="00211F6D">
            <w:pPr>
              <w:spacing w:after="0" w:line="240" w:lineRule="auto"/>
              <w:ind w:left="-169"/>
              <w:jc w:val="right"/>
              <w:rPr>
                <w:rFonts w:eastAsia="Times New Roman" w:cs="Calibri"/>
                <w:sz w:val="18"/>
                <w:szCs w:val="18"/>
                <w:lang w:val="en-US"/>
              </w:rPr>
            </w:pPr>
            <w:r w:rsidRPr="00211F6D">
              <w:rPr>
                <w:rFonts w:eastAsia="Times New Roman" w:cs="Calibri"/>
                <w:sz w:val="18"/>
                <w:szCs w:val="18"/>
                <w:lang w:val="en-US"/>
              </w:rPr>
              <w:t>7 987,29</w:t>
            </w:r>
          </w:p>
        </w:tc>
        <w:tc>
          <w:tcPr>
            <w:tcW w:w="1028" w:type="dxa"/>
            <w:gridSpan w:val="2"/>
            <w:tcBorders>
              <w:top w:val="nil"/>
              <w:left w:val="nil"/>
              <w:bottom w:val="single" w:sz="4" w:space="0" w:color="auto"/>
              <w:right w:val="single" w:sz="4" w:space="0" w:color="auto"/>
            </w:tcBorders>
            <w:shd w:val="clear" w:color="000000" w:fill="FFFFFF"/>
            <w:noWrap/>
            <w:vAlign w:val="center"/>
            <w:hideMark/>
          </w:tcPr>
          <w:p w14:paraId="410DC936" w14:textId="77777777" w:rsidR="00211F6D" w:rsidRPr="00211F6D" w:rsidRDefault="00211F6D" w:rsidP="00211F6D">
            <w:pPr>
              <w:spacing w:after="0" w:line="240" w:lineRule="auto"/>
              <w:ind w:left="-133"/>
              <w:jc w:val="right"/>
              <w:rPr>
                <w:rFonts w:eastAsia="Times New Roman" w:cs="Calibri"/>
                <w:sz w:val="18"/>
                <w:szCs w:val="18"/>
                <w:lang w:val="en-US"/>
              </w:rPr>
            </w:pPr>
            <w:r w:rsidRPr="00211F6D">
              <w:rPr>
                <w:rFonts w:eastAsia="Times New Roman" w:cs="Calibri"/>
                <w:sz w:val="18"/>
                <w:szCs w:val="18"/>
                <w:lang w:val="en-US"/>
              </w:rPr>
              <w:t>-4 512,52</w:t>
            </w:r>
          </w:p>
        </w:tc>
        <w:tc>
          <w:tcPr>
            <w:tcW w:w="815" w:type="dxa"/>
            <w:tcBorders>
              <w:top w:val="nil"/>
              <w:left w:val="single" w:sz="4" w:space="0" w:color="auto"/>
              <w:bottom w:val="single" w:sz="4" w:space="0" w:color="auto"/>
              <w:right w:val="single" w:sz="8" w:space="0" w:color="auto"/>
            </w:tcBorders>
            <w:shd w:val="clear" w:color="auto" w:fill="auto"/>
            <w:noWrap/>
            <w:vAlign w:val="bottom"/>
            <w:hideMark/>
          </w:tcPr>
          <w:p w14:paraId="48ECEC31" w14:textId="77777777" w:rsidR="00211F6D" w:rsidRPr="00211F6D" w:rsidRDefault="00211F6D" w:rsidP="00211F6D">
            <w:pPr>
              <w:spacing w:after="0" w:line="240" w:lineRule="auto"/>
              <w:jc w:val="right"/>
              <w:rPr>
                <w:rFonts w:eastAsia="Times New Roman" w:cs="Calibri"/>
                <w:color w:val="000000"/>
                <w:sz w:val="18"/>
                <w:szCs w:val="18"/>
                <w:lang w:val="en-US"/>
              </w:rPr>
            </w:pPr>
            <w:r w:rsidRPr="00211F6D">
              <w:rPr>
                <w:rFonts w:eastAsia="Times New Roman" w:cs="Calibri"/>
                <w:color w:val="000000"/>
                <w:sz w:val="18"/>
                <w:szCs w:val="18"/>
                <w:lang w:val="en-US"/>
              </w:rPr>
              <w:t>-56,50%</w:t>
            </w:r>
          </w:p>
        </w:tc>
      </w:tr>
      <w:tr w:rsidR="00211F6D" w:rsidRPr="00211F6D" w14:paraId="7940EB97" w14:textId="77777777" w:rsidTr="00211F6D">
        <w:trPr>
          <w:trHeight w:val="300"/>
        </w:trPr>
        <w:tc>
          <w:tcPr>
            <w:tcW w:w="750" w:type="dxa"/>
            <w:tcBorders>
              <w:top w:val="nil"/>
              <w:left w:val="single" w:sz="8" w:space="0" w:color="auto"/>
              <w:bottom w:val="single" w:sz="8" w:space="0" w:color="auto"/>
              <w:right w:val="single" w:sz="8" w:space="0" w:color="auto"/>
            </w:tcBorders>
            <w:shd w:val="clear" w:color="000000" w:fill="FFFFFF"/>
            <w:noWrap/>
            <w:vAlign w:val="center"/>
            <w:hideMark/>
          </w:tcPr>
          <w:p w14:paraId="3072C4B8" w14:textId="77777777" w:rsidR="00211F6D" w:rsidRPr="00211F6D" w:rsidRDefault="00211F6D" w:rsidP="00211F6D">
            <w:pPr>
              <w:spacing w:after="0" w:line="240" w:lineRule="auto"/>
              <w:jc w:val="left"/>
              <w:rPr>
                <w:rFonts w:eastAsia="Times New Roman" w:cs="Calibri"/>
                <w:color w:val="000000"/>
                <w:sz w:val="18"/>
                <w:szCs w:val="18"/>
                <w:lang w:val="en-US"/>
              </w:rPr>
            </w:pPr>
            <w:r w:rsidRPr="00211F6D">
              <w:rPr>
                <w:rFonts w:eastAsia="Times New Roman" w:cs="Calibri"/>
                <w:color w:val="000000"/>
                <w:sz w:val="18"/>
                <w:szCs w:val="18"/>
                <w:lang w:val="en-US"/>
              </w:rPr>
              <w:t>1.2.5.99</w:t>
            </w:r>
          </w:p>
        </w:tc>
        <w:tc>
          <w:tcPr>
            <w:tcW w:w="3640" w:type="dxa"/>
            <w:tcBorders>
              <w:top w:val="nil"/>
              <w:left w:val="nil"/>
              <w:bottom w:val="single" w:sz="8" w:space="0" w:color="auto"/>
              <w:right w:val="single" w:sz="8" w:space="0" w:color="auto"/>
            </w:tcBorders>
            <w:shd w:val="clear" w:color="000000" w:fill="FFFFFF"/>
            <w:vAlign w:val="center"/>
            <w:hideMark/>
          </w:tcPr>
          <w:p w14:paraId="3DF1881B" w14:textId="77777777" w:rsidR="00211F6D" w:rsidRPr="00211F6D" w:rsidRDefault="00211F6D" w:rsidP="00211F6D">
            <w:pPr>
              <w:spacing w:after="0" w:line="240" w:lineRule="auto"/>
              <w:jc w:val="left"/>
              <w:rPr>
                <w:rFonts w:eastAsia="Times New Roman" w:cs="Calibri"/>
                <w:color w:val="000000"/>
                <w:sz w:val="18"/>
                <w:szCs w:val="18"/>
              </w:rPr>
            </w:pPr>
            <w:r w:rsidRPr="00211F6D">
              <w:rPr>
                <w:rFonts w:eastAsia="Times New Roman" w:cs="Calibri"/>
                <w:color w:val="000000"/>
                <w:sz w:val="18"/>
                <w:szCs w:val="18"/>
              </w:rPr>
              <w:t>Bienes no concesionados en proceso de producción</w:t>
            </w:r>
          </w:p>
        </w:tc>
        <w:tc>
          <w:tcPr>
            <w:tcW w:w="1275" w:type="dxa"/>
            <w:tcBorders>
              <w:top w:val="single" w:sz="4" w:space="0" w:color="auto"/>
              <w:left w:val="nil"/>
              <w:bottom w:val="single" w:sz="8" w:space="0" w:color="auto"/>
              <w:right w:val="single" w:sz="4" w:space="0" w:color="auto"/>
            </w:tcBorders>
            <w:shd w:val="clear" w:color="000000" w:fill="FFFFFF"/>
            <w:vAlign w:val="center"/>
            <w:hideMark/>
          </w:tcPr>
          <w:p w14:paraId="75FF55A9" w14:textId="77777777" w:rsidR="00211F6D" w:rsidRPr="00211F6D" w:rsidRDefault="00211F6D" w:rsidP="00211F6D">
            <w:pPr>
              <w:spacing w:after="0" w:line="240" w:lineRule="auto"/>
              <w:ind w:left="-106"/>
              <w:jc w:val="right"/>
              <w:rPr>
                <w:rFonts w:eastAsia="Times New Roman" w:cs="Calibri"/>
                <w:color w:val="000000"/>
                <w:sz w:val="18"/>
                <w:szCs w:val="18"/>
                <w:lang w:val="en-US"/>
              </w:rPr>
            </w:pPr>
            <w:r w:rsidRPr="00211F6D">
              <w:rPr>
                <w:rFonts w:eastAsia="Times New Roman" w:cs="Calibri"/>
                <w:color w:val="000000"/>
                <w:sz w:val="18"/>
                <w:szCs w:val="18"/>
                <w:lang w:val="en-US"/>
              </w:rPr>
              <w:t>97 579,15</w:t>
            </w:r>
          </w:p>
        </w:tc>
        <w:tc>
          <w:tcPr>
            <w:tcW w:w="1276" w:type="dxa"/>
            <w:tcBorders>
              <w:top w:val="nil"/>
              <w:left w:val="nil"/>
              <w:bottom w:val="single" w:sz="8" w:space="0" w:color="auto"/>
              <w:right w:val="nil"/>
            </w:tcBorders>
            <w:shd w:val="clear" w:color="000000" w:fill="FFFFFF"/>
            <w:noWrap/>
            <w:vAlign w:val="center"/>
            <w:hideMark/>
          </w:tcPr>
          <w:p w14:paraId="5F863D23" w14:textId="77777777" w:rsidR="00211F6D" w:rsidRPr="00211F6D" w:rsidRDefault="00211F6D" w:rsidP="00211F6D">
            <w:pPr>
              <w:spacing w:after="0" w:line="240" w:lineRule="auto"/>
              <w:ind w:left="-169"/>
              <w:jc w:val="right"/>
              <w:rPr>
                <w:rFonts w:eastAsia="Times New Roman" w:cs="Calibri"/>
                <w:sz w:val="18"/>
                <w:szCs w:val="18"/>
                <w:lang w:val="en-US"/>
              </w:rPr>
            </w:pPr>
            <w:r w:rsidRPr="00211F6D">
              <w:rPr>
                <w:rFonts w:eastAsia="Times New Roman" w:cs="Calibri"/>
                <w:sz w:val="18"/>
                <w:szCs w:val="18"/>
                <w:lang w:val="en-US"/>
              </w:rPr>
              <w:t>77 580,96</w:t>
            </w:r>
          </w:p>
        </w:tc>
        <w:tc>
          <w:tcPr>
            <w:tcW w:w="1028" w:type="dxa"/>
            <w:gridSpan w:val="2"/>
            <w:tcBorders>
              <w:top w:val="single" w:sz="4" w:space="0" w:color="auto"/>
              <w:left w:val="single" w:sz="4" w:space="0" w:color="auto"/>
              <w:bottom w:val="single" w:sz="8" w:space="0" w:color="auto"/>
              <w:right w:val="single" w:sz="4" w:space="0" w:color="auto"/>
            </w:tcBorders>
            <w:shd w:val="clear" w:color="000000" w:fill="FFFFFF"/>
            <w:noWrap/>
            <w:vAlign w:val="center"/>
            <w:hideMark/>
          </w:tcPr>
          <w:p w14:paraId="3BE45496" w14:textId="77777777" w:rsidR="00211F6D" w:rsidRPr="00211F6D" w:rsidRDefault="00211F6D" w:rsidP="00211F6D">
            <w:pPr>
              <w:spacing w:after="0" w:line="240" w:lineRule="auto"/>
              <w:ind w:left="-133"/>
              <w:jc w:val="right"/>
              <w:rPr>
                <w:rFonts w:eastAsia="Times New Roman" w:cs="Calibri"/>
                <w:sz w:val="18"/>
                <w:szCs w:val="18"/>
                <w:lang w:val="en-US"/>
              </w:rPr>
            </w:pPr>
            <w:r w:rsidRPr="00211F6D">
              <w:rPr>
                <w:rFonts w:eastAsia="Times New Roman" w:cs="Calibri"/>
                <w:sz w:val="18"/>
                <w:szCs w:val="18"/>
                <w:lang w:val="en-US"/>
              </w:rPr>
              <w:t>19 998,19</w:t>
            </w:r>
          </w:p>
        </w:tc>
        <w:tc>
          <w:tcPr>
            <w:tcW w:w="815" w:type="dxa"/>
            <w:tcBorders>
              <w:top w:val="nil"/>
              <w:left w:val="nil"/>
              <w:bottom w:val="single" w:sz="4" w:space="0" w:color="auto"/>
              <w:right w:val="single" w:sz="8" w:space="0" w:color="auto"/>
            </w:tcBorders>
            <w:shd w:val="clear" w:color="auto" w:fill="auto"/>
            <w:noWrap/>
            <w:vAlign w:val="bottom"/>
            <w:hideMark/>
          </w:tcPr>
          <w:p w14:paraId="418DD569" w14:textId="77777777" w:rsidR="00211F6D" w:rsidRPr="00211F6D" w:rsidRDefault="00211F6D" w:rsidP="00211F6D">
            <w:pPr>
              <w:spacing w:after="0" w:line="240" w:lineRule="auto"/>
              <w:jc w:val="right"/>
              <w:rPr>
                <w:rFonts w:eastAsia="Times New Roman" w:cs="Calibri"/>
                <w:color w:val="000000"/>
                <w:sz w:val="18"/>
                <w:szCs w:val="18"/>
                <w:lang w:val="en-US"/>
              </w:rPr>
            </w:pPr>
            <w:r w:rsidRPr="00211F6D">
              <w:rPr>
                <w:rFonts w:eastAsia="Times New Roman" w:cs="Calibri"/>
                <w:color w:val="000000"/>
                <w:sz w:val="18"/>
                <w:szCs w:val="18"/>
                <w:lang w:val="en-US"/>
              </w:rPr>
              <w:t>25,78%</w:t>
            </w:r>
          </w:p>
        </w:tc>
      </w:tr>
      <w:tr w:rsidR="00211F6D" w:rsidRPr="00211F6D" w14:paraId="31FA0D94" w14:textId="77777777" w:rsidTr="00211F6D">
        <w:trPr>
          <w:trHeight w:val="300"/>
        </w:trPr>
        <w:tc>
          <w:tcPr>
            <w:tcW w:w="750" w:type="dxa"/>
            <w:tcBorders>
              <w:top w:val="nil"/>
              <w:left w:val="single" w:sz="8" w:space="0" w:color="auto"/>
              <w:bottom w:val="single" w:sz="8" w:space="0" w:color="auto"/>
              <w:right w:val="nil"/>
            </w:tcBorders>
            <w:shd w:val="clear" w:color="auto" w:fill="auto"/>
            <w:noWrap/>
            <w:vAlign w:val="bottom"/>
            <w:hideMark/>
          </w:tcPr>
          <w:p w14:paraId="4A9B06E0" w14:textId="77777777" w:rsidR="00211F6D" w:rsidRPr="00211F6D" w:rsidRDefault="00211F6D" w:rsidP="00211F6D">
            <w:pPr>
              <w:spacing w:after="0" w:line="240" w:lineRule="auto"/>
              <w:jc w:val="left"/>
              <w:rPr>
                <w:rFonts w:ascii="Calibri" w:eastAsia="Times New Roman" w:hAnsi="Calibri" w:cs="Calibri"/>
                <w:color w:val="000000"/>
                <w:sz w:val="18"/>
                <w:szCs w:val="18"/>
                <w:lang w:val="en-US"/>
              </w:rPr>
            </w:pPr>
            <w:r w:rsidRPr="00211F6D">
              <w:rPr>
                <w:rFonts w:ascii="Calibri" w:eastAsia="Times New Roman" w:hAnsi="Calibri" w:cs="Calibri"/>
                <w:color w:val="000000"/>
                <w:sz w:val="18"/>
                <w:szCs w:val="18"/>
                <w:lang w:val="en-US"/>
              </w:rPr>
              <w:t> </w:t>
            </w:r>
          </w:p>
        </w:tc>
        <w:tc>
          <w:tcPr>
            <w:tcW w:w="3640" w:type="dxa"/>
            <w:tcBorders>
              <w:top w:val="nil"/>
              <w:left w:val="nil"/>
              <w:bottom w:val="single" w:sz="8" w:space="0" w:color="auto"/>
              <w:right w:val="nil"/>
            </w:tcBorders>
            <w:shd w:val="clear" w:color="000000" w:fill="FFFFFF"/>
            <w:vAlign w:val="center"/>
            <w:hideMark/>
          </w:tcPr>
          <w:p w14:paraId="3863A581" w14:textId="77777777" w:rsidR="00211F6D" w:rsidRPr="00211F6D" w:rsidRDefault="00211F6D" w:rsidP="00211F6D">
            <w:pPr>
              <w:spacing w:after="0" w:line="240" w:lineRule="auto"/>
              <w:jc w:val="center"/>
              <w:rPr>
                <w:rFonts w:eastAsia="Times New Roman" w:cs="Calibri"/>
                <w:b/>
                <w:bCs/>
                <w:color w:val="000000"/>
                <w:sz w:val="18"/>
                <w:szCs w:val="18"/>
                <w:lang w:val="en-US"/>
              </w:rPr>
            </w:pPr>
            <w:r w:rsidRPr="00211F6D">
              <w:rPr>
                <w:rFonts w:eastAsia="Times New Roman" w:cs="Calibri"/>
                <w:b/>
                <w:bCs/>
                <w:color w:val="000000"/>
                <w:sz w:val="18"/>
                <w:szCs w:val="18"/>
                <w:lang w:val="en-US"/>
              </w:rPr>
              <w:t>TOTALES</w:t>
            </w:r>
          </w:p>
        </w:tc>
        <w:tc>
          <w:tcPr>
            <w:tcW w:w="1275" w:type="dxa"/>
            <w:tcBorders>
              <w:top w:val="nil"/>
              <w:left w:val="single" w:sz="4" w:space="0" w:color="auto"/>
              <w:bottom w:val="single" w:sz="8" w:space="0" w:color="auto"/>
              <w:right w:val="single" w:sz="4" w:space="0" w:color="auto"/>
            </w:tcBorders>
            <w:shd w:val="clear" w:color="000000" w:fill="FFFFFF"/>
            <w:vAlign w:val="center"/>
            <w:hideMark/>
          </w:tcPr>
          <w:p w14:paraId="61D10F71" w14:textId="77777777" w:rsidR="00211F6D" w:rsidRPr="00211F6D" w:rsidRDefault="00211F6D" w:rsidP="00211F6D">
            <w:pPr>
              <w:spacing w:after="0" w:line="240" w:lineRule="auto"/>
              <w:ind w:left="-106"/>
              <w:jc w:val="right"/>
              <w:rPr>
                <w:rFonts w:eastAsia="Times New Roman" w:cs="Calibri"/>
                <w:b/>
                <w:bCs/>
                <w:color w:val="000000"/>
                <w:sz w:val="18"/>
                <w:szCs w:val="18"/>
                <w:lang w:val="en-US"/>
              </w:rPr>
            </w:pPr>
            <w:r w:rsidRPr="00211F6D">
              <w:rPr>
                <w:rFonts w:ascii="Arial" w:eastAsia="Times New Roman" w:hAnsi="Arial" w:cs="Arial"/>
                <w:b/>
                <w:bCs/>
                <w:color w:val="000000"/>
                <w:sz w:val="18"/>
                <w:szCs w:val="18"/>
                <w:lang w:val="en-US"/>
              </w:rPr>
              <w:t>₡</w:t>
            </w:r>
            <w:r w:rsidRPr="00211F6D">
              <w:rPr>
                <w:rFonts w:eastAsia="Times New Roman" w:cs="Calibri"/>
                <w:b/>
                <w:bCs/>
                <w:color w:val="000000"/>
                <w:sz w:val="18"/>
                <w:szCs w:val="18"/>
                <w:lang w:val="en-US"/>
              </w:rPr>
              <w:t>163 213 351,64</w:t>
            </w:r>
          </w:p>
        </w:tc>
        <w:tc>
          <w:tcPr>
            <w:tcW w:w="1276" w:type="dxa"/>
            <w:tcBorders>
              <w:top w:val="nil"/>
              <w:left w:val="nil"/>
              <w:bottom w:val="single" w:sz="8" w:space="0" w:color="auto"/>
              <w:right w:val="single" w:sz="4" w:space="0" w:color="auto"/>
            </w:tcBorders>
            <w:shd w:val="clear" w:color="000000" w:fill="FFFFFF"/>
            <w:vAlign w:val="center"/>
            <w:hideMark/>
          </w:tcPr>
          <w:p w14:paraId="2C4A4A21" w14:textId="77777777" w:rsidR="00211F6D" w:rsidRPr="00211F6D" w:rsidRDefault="00211F6D" w:rsidP="00211F6D">
            <w:pPr>
              <w:spacing w:after="0" w:line="240" w:lineRule="auto"/>
              <w:ind w:left="-111"/>
              <w:jc w:val="right"/>
              <w:rPr>
                <w:rFonts w:eastAsia="Times New Roman" w:cs="Calibri"/>
                <w:b/>
                <w:bCs/>
                <w:color w:val="000000"/>
                <w:sz w:val="18"/>
                <w:szCs w:val="18"/>
                <w:lang w:val="en-US"/>
              </w:rPr>
            </w:pPr>
            <w:r w:rsidRPr="00211F6D">
              <w:rPr>
                <w:rFonts w:ascii="Arial" w:eastAsia="Times New Roman" w:hAnsi="Arial" w:cs="Arial"/>
                <w:b/>
                <w:bCs/>
                <w:color w:val="000000"/>
                <w:sz w:val="18"/>
                <w:szCs w:val="18"/>
                <w:lang w:val="en-US"/>
              </w:rPr>
              <w:t>₡</w:t>
            </w:r>
            <w:r w:rsidRPr="00211F6D">
              <w:rPr>
                <w:rFonts w:eastAsia="Times New Roman" w:cs="Calibri"/>
                <w:b/>
                <w:bCs/>
                <w:color w:val="000000"/>
                <w:sz w:val="18"/>
                <w:szCs w:val="18"/>
                <w:lang w:val="en-US"/>
              </w:rPr>
              <w:t>162 699 631,67</w:t>
            </w:r>
          </w:p>
        </w:tc>
        <w:tc>
          <w:tcPr>
            <w:tcW w:w="1028" w:type="dxa"/>
            <w:gridSpan w:val="2"/>
            <w:tcBorders>
              <w:top w:val="nil"/>
              <w:left w:val="nil"/>
              <w:bottom w:val="single" w:sz="8" w:space="0" w:color="auto"/>
              <w:right w:val="single" w:sz="4" w:space="0" w:color="auto"/>
            </w:tcBorders>
            <w:shd w:val="clear" w:color="000000" w:fill="FFFFFF"/>
            <w:vAlign w:val="center"/>
            <w:hideMark/>
          </w:tcPr>
          <w:p w14:paraId="390A92EE" w14:textId="77777777" w:rsidR="00211F6D" w:rsidRPr="00211F6D" w:rsidRDefault="00211F6D" w:rsidP="00211F6D">
            <w:pPr>
              <w:spacing w:after="0" w:line="240" w:lineRule="auto"/>
              <w:ind w:left="-133"/>
              <w:jc w:val="right"/>
              <w:rPr>
                <w:rFonts w:eastAsia="Times New Roman" w:cs="Calibri"/>
                <w:b/>
                <w:bCs/>
                <w:color w:val="000000"/>
                <w:sz w:val="18"/>
                <w:szCs w:val="18"/>
                <w:lang w:val="en-US"/>
              </w:rPr>
            </w:pPr>
            <w:r w:rsidRPr="00211F6D">
              <w:rPr>
                <w:rFonts w:ascii="Arial" w:eastAsia="Times New Roman" w:hAnsi="Arial" w:cs="Arial"/>
                <w:b/>
                <w:bCs/>
                <w:color w:val="000000"/>
                <w:sz w:val="18"/>
                <w:szCs w:val="18"/>
                <w:lang w:val="en-US"/>
              </w:rPr>
              <w:t>₡</w:t>
            </w:r>
            <w:r w:rsidRPr="00211F6D">
              <w:rPr>
                <w:rFonts w:eastAsia="Times New Roman" w:cs="Calibri"/>
                <w:b/>
                <w:bCs/>
                <w:color w:val="000000"/>
                <w:sz w:val="18"/>
                <w:szCs w:val="18"/>
                <w:lang w:val="en-US"/>
              </w:rPr>
              <w:t>513 719,97</w:t>
            </w:r>
          </w:p>
        </w:tc>
        <w:tc>
          <w:tcPr>
            <w:tcW w:w="815" w:type="dxa"/>
            <w:tcBorders>
              <w:top w:val="single" w:sz="8" w:space="0" w:color="auto"/>
              <w:left w:val="nil"/>
              <w:bottom w:val="single" w:sz="8" w:space="0" w:color="auto"/>
              <w:right w:val="single" w:sz="8" w:space="0" w:color="auto"/>
            </w:tcBorders>
            <w:shd w:val="clear" w:color="auto" w:fill="auto"/>
            <w:noWrap/>
            <w:vAlign w:val="bottom"/>
            <w:hideMark/>
          </w:tcPr>
          <w:p w14:paraId="65B37E1D" w14:textId="77777777" w:rsidR="00211F6D" w:rsidRPr="00211F6D" w:rsidRDefault="00211F6D" w:rsidP="00211F6D">
            <w:pPr>
              <w:spacing w:after="0" w:line="240" w:lineRule="auto"/>
              <w:jc w:val="right"/>
              <w:rPr>
                <w:rFonts w:eastAsia="Times New Roman" w:cs="Calibri"/>
                <w:b/>
                <w:bCs/>
                <w:color w:val="000000"/>
                <w:sz w:val="18"/>
                <w:szCs w:val="18"/>
                <w:lang w:val="en-US"/>
              </w:rPr>
            </w:pPr>
            <w:r w:rsidRPr="00211F6D">
              <w:rPr>
                <w:rFonts w:eastAsia="Times New Roman" w:cs="Calibri"/>
                <w:b/>
                <w:bCs/>
                <w:color w:val="000000"/>
                <w:sz w:val="18"/>
                <w:szCs w:val="18"/>
                <w:lang w:val="en-US"/>
              </w:rPr>
              <w:t>0,32%</w:t>
            </w:r>
          </w:p>
        </w:tc>
      </w:tr>
    </w:tbl>
    <w:p w14:paraId="59C79D38" w14:textId="77777777" w:rsidR="00266FF7" w:rsidRDefault="00266FF7" w:rsidP="00266FF7">
      <w:pPr>
        <w:spacing w:after="0" w:line="240" w:lineRule="auto"/>
        <w:rPr>
          <w:lang w:eastAsia="es-CR"/>
        </w:rPr>
      </w:pPr>
    </w:p>
    <w:p w14:paraId="1A6E930E" w14:textId="50C5B420" w:rsidR="00266FF7" w:rsidRDefault="00266FF7" w:rsidP="00266FF7">
      <w:pPr>
        <w:spacing w:after="0" w:line="240" w:lineRule="auto"/>
        <w:rPr>
          <w:rFonts w:cs="Arial"/>
          <w:lang w:val="es-ES" w:eastAsia="es-CR"/>
        </w:rPr>
      </w:pPr>
      <w:r w:rsidRPr="00B02E88">
        <w:rPr>
          <w:rFonts w:cs="Arial"/>
          <w:lang w:val="es-ES" w:eastAsia="es-CR"/>
        </w:rPr>
        <w:t xml:space="preserve">Como se observa en el detalle anterior, la variación (aumento) en la cuenta Bienes </w:t>
      </w:r>
      <w:r>
        <w:rPr>
          <w:rFonts w:cs="Arial"/>
          <w:lang w:val="es-ES" w:eastAsia="es-CR"/>
        </w:rPr>
        <w:t xml:space="preserve">no </w:t>
      </w:r>
      <w:r w:rsidRPr="00B02E88">
        <w:rPr>
          <w:rFonts w:cs="Arial"/>
          <w:lang w:val="es-ES" w:eastAsia="es-CR"/>
        </w:rPr>
        <w:t xml:space="preserve">Concesionados de </w:t>
      </w:r>
      <w:r w:rsidRPr="0096573A">
        <w:rPr>
          <w:rFonts w:ascii="Arial" w:hAnsi="Arial" w:cs="Arial"/>
          <w:lang w:val="es-ES" w:eastAsia="es-CR"/>
        </w:rPr>
        <w:t>₡</w:t>
      </w:r>
      <w:r w:rsidR="0096573A" w:rsidRPr="0096573A">
        <w:rPr>
          <w:rFonts w:cs="Arial"/>
          <w:lang w:val="es-ES" w:eastAsia="es-CR"/>
        </w:rPr>
        <w:t>5</w:t>
      </w:r>
      <w:r w:rsidRPr="00B02E88">
        <w:rPr>
          <w:rFonts w:cs="Arial"/>
          <w:lang w:val="es-ES" w:eastAsia="es-CR"/>
        </w:rPr>
        <w:t>1</w:t>
      </w:r>
      <w:r w:rsidR="0096573A">
        <w:rPr>
          <w:rFonts w:cs="Arial"/>
          <w:lang w:val="es-ES" w:eastAsia="es-CR"/>
        </w:rPr>
        <w:t>3</w:t>
      </w:r>
      <w:r w:rsidRPr="00B02E88">
        <w:rPr>
          <w:rFonts w:cs="Arial"/>
          <w:lang w:val="es-ES" w:eastAsia="es-CR"/>
        </w:rPr>
        <w:t> </w:t>
      </w:r>
      <w:r w:rsidR="0096573A">
        <w:rPr>
          <w:rFonts w:cs="Arial"/>
          <w:lang w:val="es-ES" w:eastAsia="es-CR"/>
        </w:rPr>
        <w:t>719</w:t>
      </w:r>
      <w:r w:rsidRPr="00B02E88">
        <w:rPr>
          <w:rFonts w:cs="Arial"/>
          <w:lang w:val="es-ES" w:eastAsia="es-CR"/>
        </w:rPr>
        <w:t>,</w:t>
      </w:r>
      <w:r w:rsidR="0096573A">
        <w:rPr>
          <w:rFonts w:cs="Arial"/>
          <w:lang w:val="es-ES" w:eastAsia="es-CR"/>
        </w:rPr>
        <w:t>97</w:t>
      </w:r>
      <w:r w:rsidRPr="00B02E88">
        <w:rPr>
          <w:rFonts w:cs="Arial"/>
          <w:lang w:val="es-ES" w:eastAsia="es-CR"/>
        </w:rPr>
        <w:t xml:space="preserve"> miles está compuesta por los aumentos de </w:t>
      </w:r>
      <w:r w:rsidRPr="00B02E88">
        <w:rPr>
          <w:rFonts w:ascii="Arial" w:hAnsi="Arial" w:cs="Arial"/>
          <w:lang w:val="es-ES" w:eastAsia="es-CR"/>
        </w:rPr>
        <w:t>₡</w:t>
      </w:r>
      <w:r w:rsidR="0096573A">
        <w:rPr>
          <w:rFonts w:cs="Arial"/>
          <w:lang w:val="es-ES" w:eastAsia="es-CR"/>
        </w:rPr>
        <w:t>49</w:t>
      </w:r>
      <w:r>
        <w:rPr>
          <w:rFonts w:cs="Arial"/>
          <w:lang w:val="es-ES" w:eastAsia="es-CR"/>
        </w:rPr>
        <w:t>8</w:t>
      </w:r>
      <w:r w:rsidR="0096573A">
        <w:rPr>
          <w:rFonts w:cs="Arial"/>
          <w:lang w:val="es-ES" w:eastAsia="es-CR"/>
        </w:rPr>
        <w:t xml:space="preserve"> </w:t>
      </w:r>
      <w:r w:rsidR="00F43AAC">
        <w:rPr>
          <w:rFonts w:cs="Arial"/>
          <w:lang w:val="es-ES" w:eastAsia="es-CR"/>
        </w:rPr>
        <w:t>2</w:t>
      </w:r>
      <w:r w:rsidR="0096573A">
        <w:rPr>
          <w:rFonts w:cs="Arial"/>
          <w:lang w:val="es-ES" w:eastAsia="es-CR"/>
        </w:rPr>
        <w:t>34</w:t>
      </w:r>
      <w:r w:rsidRPr="00B02E88">
        <w:rPr>
          <w:rFonts w:cs="Arial"/>
          <w:lang w:val="es-ES" w:eastAsia="es-CR"/>
        </w:rPr>
        <w:t>,</w:t>
      </w:r>
      <w:r w:rsidR="0096573A">
        <w:rPr>
          <w:rFonts w:cs="Arial"/>
          <w:lang w:val="es-ES" w:eastAsia="es-CR"/>
        </w:rPr>
        <w:t>30</w:t>
      </w:r>
      <w:r w:rsidRPr="00B02E88">
        <w:rPr>
          <w:rFonts w:cs="Arial"/>
          <w:lang w:val="es-ES" w:eastAsia="es-CR"/>
        </w:rPr>
        <w:t xml:space="preserve"> miles y </w:t>
      </w:r>
      <w:r w:rsidRPr="00B02E88">
        <w:rPr>
          <w:rFonts w:ascii="Arial" w:hAnsi="Arial" w:cs="Arial"/>
          <w:lang w:val="es-ES" w:eastAsia="es-CR"/>
        </w:rPr>
        <w:t>₡</w:t>
      </w:r>
      <w:r w:rsidR="0096573A" w:rsidRPr="0096573A">
        <w:rPr>
          <w:rFonts w:cs="Arial"/>
          <w:lang w:val="es-ES" w:eastAsia="es-CR"/>
        </w:rPr>
        <w:t>19</w:t>
      </w:r>
      <w:r w:rsidRPr="00B02E88">
        <w:rPr>
          <w:rFonts w:cs="Arial"/>
          <w:lang w:val="es-ES" w:eastAsia="es-CR"/>
        </w:rPr>
        <w:t> </w:t>
      </w:r>
      <w:r w:rsidR="0096573A">
        <w:rPr>
          <w:rFonts w:cs="Arial"/>
          <w:lang w:val="es-ES" w:eastAsia="es-CR"/>
        </w:rPr>
        <w:t>99</w:t>
      </w:r>
      <w:r w:rsidR="00F43AAC">
        <w:rPr>
          <w:rFonts w:cs="Arial"/>
          <w:lang w:val="es-ES" w:eastAsia="es-CR"/>
        </w:rPr>
        <w:t>8</w:t>
      </w:r>
      <w:r w:rsidRPr="00B02E88">
        <w:rPr>
          <w:rFonts w:cs="Arial"/>
          <w:lang w:val="es-ES" w:eastAsia="es-CR"/>
        </w:rPr>
        <w:t>,</w:t>
      </w:r>
      <w:r w:rsidR="0096573A">
        <w:rPr>
          <w:rFonts w:cs="Arial"/>
          <w:lang w:val="es-ES" w:eastAsia="es-CR"/>
        </w:rPr>
        <w:t>1</w:t>
      </w:r>
      <w:r w:rsidRPr="00B02E88">
        <w:rPr>
          <w:rFonts w:cs="Arial"/>
          <w:lang w:val="es-ES" w:eastAsia="es-CR"/>
        </w:rPr>
        <w:t>9 miles en los saldos de las cuentas Propiedades, planta y equipos explotados y Bienes no concesionados en proceso de producción respectivamente y la disminución de -</w:t>
      </w:r>
      <w:r w:rsidRPr="00B02E88">
        <w:rPr>
          <w:rFonts w:ascii="Arial" w:hAnsi="Arial" w:cs="Arial"/>
          <w:lang w:val="es-ES" w:eastAsia="es-CR"/>
        </w:rPr>
        <w:t>₡</w:t>
      </w:r>
      <w:r w:rsidR="0096573A" w:rsidRPr="0096573A">
        <w:rPr>
          <w:rFonts w:cs="Arial"/>
          <w:lang w:val="es-ES" w:eastAsia="es-CR"/>
        </w:rPr>
        <w:t>4</w:t>
      </w:r>
      <w:r w:rsidR="00F43AAC">
        <w:rPr>
          <w:rFonts w:cs="Arial"/>
          <w:lang w:val="es-ES" w:eastAsia="es-CR"/>
        </w:rPr>
        <w:t xml:space="preserve"> 5</w:t>
      </w:r>
      <w:r w:rsidR="0096573A">
        <w:rPr>
          <w:rFonts w:cs="Arial"/>
          <w:lang w:val="es-ES" w:eastAsia="es-CR"/>
        </w:rPr>
        <w:t>12</w:t>
      </w:r>
      <w:r w:rsidRPr="00B02E88">
        <w:rPr>
          <w:rFonts w:cs="Arial"/>
          <w:lang w:val="es-ES" w:eastAsia="es-CR"/>
        </w:rPr>
        <w:t>,</w:t>
      </w:r>
      <w:r w:rsidR="0096573A">
        <w:rPr>
          <w:rFonts w:cs="Arial"/>
          <w:lang w:val="es-ES" w:eastAsia="es-CR"/>
        </w:rPr>
        <w:t>52</w:t>
      </w:r>
      <w:r w:rsidRPr="00B02E88">
        <w:rPr>
          <w:rFonts w:cs="Arial"/>
          <w:lang w:val="es-ES" w:eastAsia="es-CR"/>
        </w:rPr>
        <w:t xml:space="preserve"> miles en la cuenta Bienes Intangibles no explotados. Esta variación se origina </w:t>
      </w:r>
      <w:bookmarkStart w:id="226" w:name="_Hlk138408656"/>
      <w:r w:rsidRPr="00B02E88">
        <w:rPr>
          <w:rFonts w:cs="Arial"/>
          <w:lang w:val="es-ES" w:eastAsia="es-CR"/>
        </w:rPr>
        <w:t xml:space="preserve">debido a que durante el periodo comprendido entre </w:t>
      </w:r>
      <w:r w:rsidR="0096573A">
        <w:rPr>
          <w:rFonts w:cs="Arial"/>
          <w:lang w:val="es-ES" w:eastAsia="es-CR"/>
        </w:rPr>
        <w:t>junio</w:t>
      </w:r>
      <w:r w:rsidRPr="00B02E88">
        <w:rPr>
          <w:rFonts w:cs="Arial"/>
          <w:lang w:val="es-ES" w:eastAsia="es-CR"/>
        </w:rPr>
        <w:t xml:space="preserve"> de 2023 y </w:t>
      </w:r>
      <w:r w:rsidR="0096573A">
        <w:rPr>
          <w:rFonts w:cs="Arial"/>
          <w:lang w:val="es-ES" w:eastAsia="es-CR"/>
        </w:rPr>
        <w:t>junio</w:t>
      </w:r>
      <w:r w:rsidRPr="00B02E88">
        <w:rPr>
          <w:rFonts w:cs="Arial"/>
          <w:lang w:val="es-ES" w:eastAsia="es-CR"/>
        </w:rPr>
        <w:t xml:space="preserve"> de 2024, se han realizado varios movimientos de activos correspondientes a compras, inclusión de activos identificados como parte del proceso de inventario físico que se está realizando, se ha registrado la depreciación de los activos sujetos a depreciación y se han efectuado algunos ajustes a los registros realizados con el fin de ir ajustando el valor de los activos registrados a un valor razonable.</w:t>
      </w:r>
    </w:p>
    <w:p w14:paraId="363FCE25" w14:textId="77777777" w:rsidR="007F7997" w:rsidRDefault="007F7997" w:rsidP="00266FF7">
      <w:pPr>
        <w:spacing w:after="0" w:line="240" w:lineRule="auto"/>
        <w:rPr>
          <w:rFonts w:cs="Arial"/>
          <w:lang w:val="es-ES" w:eastAsia="es-CR"/>
        </w:rPr>
      </w:pPr>
    </w:p>
    <w:bookmarkEnd w:id="226"/>
    <w:p w14:paraId="1F0C5249" w14:textId="77777777" w:rsidR="00266FF7" w:rsidRPr="00291EF8" w:rsidRDefault="00266FF7" w:rsidP="00266FF7">
      <w:pPr>
        <w:spacing w:after="0" w:line="240" w:lineRule="auto"/>
        <w:rPr>
          <w:rFonts w:cs="Arial"/>
        </w:rPr>
      </w:pPr>
      <w:r w:rsidRPr="00291EF8">
        <w:rPr>
          <w:rFonts w:cs="Arial"/>
        </w:rPr>
        <w:t>Es pertinente reiterar que</w:t>
      </w:r>
      <w:r>
        <w:rPr>
          <w:rFonts w:cs="Arial"/>
        </w:rPr>
        <w:t>,</w:t>
      </w:r>
      <w:r w:rsidRPr="00291EF8">
        <w:rPr>
          <w:rFonts w:cs="Arial"/>
        </w:rPr>
        <w:t xml:space="preserve"> a la fecha de cierre de estos estados financieros aún se </w:t>
      </w:r>
      <w:r>
        <w:rPr>
          <w:rFonts w:cs="Arial"/>
        </w:rPr>
        <w:t>está</w:t>
      </w:r>
      <w:r w:rsidRPr="00291EF8">
        <w:rPr>
          <w:rFonts w:cs="Arial"/>
        </w:rPr>
        <w:t xml:space="preserve"> realizando el inventario físico de algunas clases de activos (propiedades e infraestructura vial) y estableciendo la medición de estos para su correspondiente actualización y registros respectivos.</w:t>
      </w:r>
    </w:p>
    <w:p w14:paraId="7E8549F9" w14:textId="77777777" w:rsidR="00266FF7" w:rsidRDefault="00266FF7" w:rsidP="0096573A">
      <w:pPr>
        <w:spacing w:after="0" w:line="240" w:lineRule="auto"/>
        <w:rPr>
          <w:szCs w:val="24"/>
          <w:lang w:eastAsia="es-CR"/>
        </w:rPr>
      </w:pPr>
    </w:p>
    <w:p w14:paraId="210C68CF" w14:textId="77777777" w:rsidR="00266FF7" w:rsidRPr="00D03FEC" w:rsidRDefault="00266FF7" w:rsidP="00266FF7">
      <w:pPr>
        <w:spacing w:after="0" w:line="240" w:lineRule="auto"/>
        <w:rPr>
          <w:b/>
          <w:bCs/>
          <w:lang w:val="es-MX" w:eastAsia="es-CR"/>
        </w:rPr>
      </w:pPr>
      <w:r w:rsidRPr="00D03FEC">
        <w:rPr>
          <w:b/>
          <w:bCs/>
          <w:lang w:val="es-MX" w:eastAsia="es-CR"/>
        </w:rPr>
        <w:t>MEDICIÓN DE PROPIEDAD PLANTA Y EQUIPO</w:t>
      </w:r>
    </w:p>
    <w:p w14:paraId="741D9D4B" w14:textId="77777777" w:rsidR="00266FF7" w:rsidRPr="00D03FEC" w:rsidRDefault="00266FF7" w:rsidP="00266FF7">
      <w:pPr>
        <w:spacing w:after="0" w:line="240" w:lineRule="auto"/>
        <w:rPr>
          <w:b/>
          <w:bCs/>
          <w:lang w:val="es-MX" w:eastAsia="es-CR"/>
        </w:rPr>
      </w:pPr>
    </w:p>
    <w:p w14:paraId="2F284D1E" w14:textId="77777777" w:rsidR="00266FF7" w:rsidRPr="00D03FEC" w:rsidRDefault="00266FF7" w:rsidP="00266FF7">
      <w:pPr>
        <w:spacing w:after="120" w:line="240" w:lineRule="auto"/>
        <w:rPr>
          <w:lang w:val="es-ES"/>
        </w:rPr>
      </w:pPr>
      <w:r w:rsidRPr="00D03FEC">
        <w:rPr>
          <w:lang w:val="es-ES"/>
        </w:rPr>
        <w:t>La Municipalidad utiliza el Método de Costo, por lo que aquellos activos para los cuales se cuenta con información confiable sobre su costo histórico se registran por ese valor; y para aquellos activos que no se cuente con información fiable del costo histórico, se utiliza un valor sustituto o sea se le da un valor atribuido, el cual es determinado con una base técnica apropiada o por un experto con capacidad demostrada para ese proceso, con base en lo establecido en la NICSP 33.</w:t>
      </w:r>
    </w:p>
    <w:p w14:paraId="38234FF1" w14:textId="77777777" w:rsidR="00266FF7" w:rsidRPr="00D03FEC" w:rsidRDefault="00266FF7" w:rsidP="00266FF7">
      <w:pPr>
        <w:spacing w:after="120" w:line="240" w:lineRule="auto"/>
        <w:rPr>
          <w:rFonts w:cs="Arial"/>
          <w:lang w:val="es-ES" w:eastAsia="es-CR"/>
        </w:rPr>
      </w:pPr>
      <w:r w:rsidRPr="00D03FEC">
        <w:rPr>
          <w:rFonts w:cs="Arial"/>
          <w:lang w:val="es-ES" w:eastAsia="es-CR"/>
        </w:rPr>
        <w:t>Los activos nuevos los mismos se registran conforme lo establece la NICSP17 considerando como parte del costo el precio de adquisición (incluidos aranceles de importación e impuestos indirectos recuperables, después de deducir descuentos o rebajas), los costos atribuibles para que el bien pueda operar de la forma prevista; y los costos de desmantelamiento y retiro de elementos, así como la rehabilitación del lugar donde se asentará el bien y cualquier otra obligación en que se incurra atribuible a la adquisición del bien.</w:t>
      </w:r>
    </w:p>
    <w:p w14:paraId="3DBE9470" w14:textId="77777777" w:rsidR="00266FF7" w:rsidRPr="00D03FEC" w:rsidRDefault="00266FF7" w:rsidP="00266FF7">
      <w:pPr>
        <w:spacing w:after="0" w:line="240" w:lineRule="auto"/>
        <w:rPr>
          <w:b/>
          <w:bCs/>
          <w:lang w:val="es-MX" w:eastAsia="es-CR"/>
        </w:rPr>
      </w:pPr>
    </w:p>
    <w:p w14:paraId="535155E4" w14:textId="77777777" w:rsidR="00266FF7" w:rsidRPr="00D03FEC" w:rsidRDefault="00266FF7" w:rsidP="00266FF7">
      <w:pPr>
        <w:spacing w:after="0" w:line="240" w:lineRule="auto"/>
        <w:rPr>
          <w:b/>
          <w:bCs/>
          <w:lang w:val="es-MX" w:eastAsia="es-CR"/>
        </w:rPr>
      </w:pPr>
      <w:r w:rsidRPr="00D03FEC">
        <w:rPr>
          <w:b/>
          <w:bCs/>
          <w:lang w:val="es-MX" w:eastAsia="es-CR"/>
        </w:rPr>
        <w:t>DEPRECIACIÓN DE ACTIVOS DE PROPIEDAD PLANTA Y EQUIPO</w:t>
      </w:r>
    </w:p>
    <w:p w14:paraId="7258F76C" w14:textId="77777777" w:rsidR="00266FF7" w:rsidRPr="00D03FEC" w:rsidRDefault="00266FF7" w:rsidP="00266FF7">
      <w:pPr>
        <w:spacing w:after="0" w:line="240" w:lineRule="auto"/>
        <w:rPr>
          <w:b/>
          <w:bCs/>
          <w:lang w:val="es-MX" w:eastAsia="es-CR"/>
        </w:rPr>
      </w:pPr>
    </w:p>
    <w:p w14:paraId="5A18E424" w14:textId="77777777" w:rsidR="00266FF7" w:rsidRPr="00D03FEC" w:rsidRDefault="00266FF7" w:rsidP="00266FF7">
      <w:pPr>
        <w:spacing w:after="0" w:line="240" w:lineRule="auto"/>
        <w:rPr>
          <w:rFonts w:eastAsiaTheme="minorEastAsia" w:cs="Arial Narrow"/>
          <w:color w:val="000000"/>
          <w:lang w:eastAsia="es-CR"/>
        </w:rPr>
      </w:pPr>
      <w:r w:rsidRPr="00D03FEC">
        <w:rPr>
          <w:rFonts w:eastAsiaTheme="minorEastAsia" w:cs="Arial Narrow"/>
          <w:color w:val="000000"/>
          <w:lang w:eastAsia="es-CR"/>
        </w:rPr>
        <w:t>El método de depreciación utilizado es el de Línea recta y la determinación de las vidas útiles y los porcentajes de depreciación empleados son los establecidos en la directriz CN-001-2009 emitida por la DGCN. Al respecto debe indicarse que los bienes sujetos a depreciación se empiezan a depreciar a partir del mes siguiente al de su puesta en operación; asimismo, debe señalarse que no se calcula valor residual o de desecho sobre los activos, aspecto que está siendo considerado como parte del proceso de implementación.</w:t>
      </w:r>
    </w:p>
    <w:p w14:paraId="07F5274D" w14:textId="77777777" w:rsidR="00266FF7" w:rsidRPr="00D03FEC" w:rsidRDefault="00266FF7" w:rsidP="00266FF7">
      <w:pPr>
        <w:spacing w:after="0" w:line="240" w:lineRule="auto"/>
        <w:rPr>
          <w:rFonts w:eastAsiaTheme="minorEastAsia" w:cs="Arial Narrow"/>
          <w:color w:val="000000"/>
          <w:lang w:eastAsia="es-CR"/>
        </w:rPr>
      </w:pPr>
    </w:p>
    <w:p w14:paraId="62F16FDD" w14:textId="77777777" w:rsidR="00266FF7" w:rsidRPr="00D03FEC" w:rsidRDefault="00266FF7" w:rsidP="00266FF7">
      <w:pPr>
        <w:spacing w:after="0" w:line="240" w:lineRule="auto"/>
        <w:rPr>
          <w:rFonts w:eastAsiaTheme="minorEastAsia" w:cs="Arial Narrow"/>
          <w:b/>
          <w:bCs/>
          <w:color w:val="000000"/>
          <w:lang w:eastAsia="es-CR"/>
        </w:rPr>
      </w:pPr>
      <w:r w:rsidRPr="00D03FEC">
        <w:rPr>
          <w:rFonts w:eastAsiaTheme="minorEastAsia" w:cs="Arial Narrow"/>
          <w:b/>
          <w:bCs/>
          <w:color w:val="000000"/>
          <w:lang w:eastAsia="es-CR"/>
        </w:rPr>
        <w:t>DETERIORO DE LOS ACTIVOS</w:t>
      </w:r>
    </w:p>
    <w:p w14:paraId="635D68A5" w14:textId="77777777" w:rsidR="00266FF7" w:rsidRPr="00D03FEC" w:rsidRDefault="00266FF7" w:rsidP="00266FF7">
      <w:pPr>
        <w:spacing w:after="0" w:line="240" w:lineRule="auto"/>
        <w:rPr>
          <w:rFonts w:eastAsiaTheme="minorEastAsia" w:cs="Arial Narrow"/>
          <w:b/>
          <w:bCs/>
          <w:color w:val="000000"/>
          <w:lang w:eastAsia="es-CR"/>
        </w:rPr>
      </w:pPr>
      <w:r w:rsidRPr="00D03FEC">
        <w:rPr>
          <w:rFonts w:eastAsiaTheme="minorEastAsia" w:cs="Arial Narrow"/>
          <w:b/>
          <w:bCs/>
          <w:color w:val="000000"/>
          <w:lang w:eastAsia="es-CR"/>
        </w:rPr>
        <w:t xml:space="preserve"> </w:t>
      </w:r>
    </w:p>
    <w:p w14:paraId="11846958" w14:textId="77777777" w:rsidR="00266FF7" w:rsidRPr="00D03FEC" w:rsidRDefault="00266FF7" w:rsidP="00266FF7">
      <w:pPr>
        <w:spacing w:after="120" w:line="240" w:lineRule="auto"/>
        <w:rPr>
          <w:rFonts w:eastAsiaTheme="minorEastAsia" w:cs="Arial Narrow"/>
          <w:color w:val="000000"/>
          <w:lang w:eastAsia="es-CR"/>
        </w:rPr>
      </w:pPr>
      <w:r w:rsidRPr="00D03FEC">
        <w:rPr>
          <w:rFonts w:eastAsiaTheme="minorEastAsia" w:cs="Arial Narrow"/>
          <w:color w:val="000000"/>
          <w:lang w:eastAsia="es-CR"/>
        </w:rPr>
        <w:t>La Municipalidad revisará en cada fecha de presentación de EEFF los activos para valorar si se ha presentado cualquier deterioro en algún (nos) activo (s) y en caso de que se haya presentado deterioro estimar la cantidad de servicios recuperable (para los activos que no general efectivo), en relación con los activos generadores de efectivo en cada fecha de presentación de EEFF se revisará si el valor en libros excede el valor recuperable con base en un indicador para establecer la cantidad recuperable del activo. Asimismo, en caso de activos intangibles con vida útil indefinida o que todavía no esté disponible para uso, comparará trimestralmente el valor en libros con la cantidad recuperable.</w:t>
      </w:r>
    </w:p>
    <w:p w14:paraId="1FCA21EC" w14:textId="77777777" w:rsidR="00266FF7" w:rsidRPr="00D03FEC" w:rsidRDefault="00266FF7" w:rsidP="00266FF7">
      <w:pPr>
        <w:spacing w:after="120" w:line="240" w:lineRule="auto"/>
        <w:rPr>
          <w:rFonts w:eastAsiaTheme="minorEastAsia" w:cs="Arial Narrow"/>
          <w:color w:val="000000"/>
          <w:lang w:eastAsia="es-CR"/>
        </w:rPr>
      </w:pPr>
      <w:r w:rsidRPr="00D03FEC">
        <w:rPr>
          <w:rFonts w:eastAsiaTheme="minorEastAsia" w:cs="Arial Narrow"/>
          <w:color w:val="000000"/>
          <w:lang w:eastAsia="es-CR"/>
        </w:rPr>
        <w:t>Se reconocerá el deterioro las pérdidas por deterioro y efectuará el ajuste a la Depreciación Acumulada del activo (s) relacionado (s) inmediatamente y afectará complementariamente el superávit / déficit del periodo, asimismo se ajustará el gasto por depreciación en periodos futuros sobre la vida útil restante. Las pérdidas por deterioro en el caso de los activos generadores de efectivo se reversarán solo cuando hayan cambiado los estimados para determinar la cantidad recuperable del activo (se incrementa el valor del activo en libros y se reversa la pérdida por deterioro), en caso de activos no generadores de efectivo.</w:t>
      </w:r>
    </w:p>
    <w:p w14:paraId="2884231E" w14:textId="77777777" w:rsidR="00266FF7" w:rsidRPr="00D03FEC" w:rsidRDefault="00266FF7" w:rsidP="00266FF7">
      <w:pPr>
        <w:spacing w:after="120" w:line="240" w:lineRule="auto"/>
        <w:rPr>
          <w:rFonts w:eastAsiaTheme="minorEastAsia" w:cs="Arial Narrow"/>
          <w:color w:val="000000"/>
          <w:lang w:eastAsia="es-CR"/>
        </w:rPr>
      </w:pPr>
      <w:r w:rsidRPr="00D03FEC">
        <w:rPr>
          <w:rFonts w:eastAsiaTheme="minorEastAsia" w:cs="Arial Narrow"/>
          <w:color w:val="000000"/>
          <w:lang w:eastAsia="es-CR"/>
        </w:rPr>
        <w:t>La Municipalidad se encuentra en un proceso de depuración y actualización de su propiedad, planta y equipo para verificar los importes correctos de cada uno de sus activos, para determinar el deterioro de los activos, tanto generadores de efectivo como los no generadores, según las NICSP 21 y               NICSP 26, Además, como parte del proceso en mención se están desarrollando los criterios para distinguir los activos que generan efectivo de los que no generan efectivo.</w:t>
      </w:r>
    </w:p>
    <w:p w14:paraId="7043FB34" w14:textId="77777777" w:rsidR="00266FF7" w:rsidRPr="00D03FEC" w:rsidRDefault="00266FF7" w:rsidP="00266FF7">
      <w:pPr>
        <w:spacing w:after="0" w:line="240" w:lineRule="auto"/>
        <w:rPr>
          <w:rFonts w:eastAsiaTheme="minorEastAsia" w:cs="Arial Narrow"/>
          <w:color w:val="000000"/>
          <w:lang w:eastAsia="es-CR"/>
        </w:rPr>
      </w:pPr>
    </w:p>
    <w:p w14:paraId="7B08FAC4" w14:textId="77777777" w:rsidR="00266FF7" w:rsidRPr="00D03FEC" w:rsidRDefault="00266FF7" w:rsidP="00266FF7">
      <w:pPr>
        <w:spacing w:after="0" w:line="240" w:lineRule="auto"/>
        <w:rPr>
          <w:rFonts w:eastAsiaTheme="minorEastAsia" w:cs="Arial Narrow"/>
          <w:b/>
          <w:bCs/>
          <w:color w:val="000000"/>
          <w:lang w:eastAsia="es-CR"/>
        </w:rPr>
      </w:pPr>
      <w:r w:rsidRPr="00D03FEC">
        <w:rPr>
          <w:rFonts w:eastAsiaTheme="minorEastAsia" w:cs="Arial Narrow"/>
          <w:b/>
          <w:bCs/>
          <w:color w:val="000000"/>
          <w:lang w:eastAsia="es-CR"/>
        </w:rPr>
        <w:t>RESTRICCIONES y OTRAS SITUACIONES ESPECIALES RELACIONADAS CON ACTIVOS DE P,P y E</w:t>
      </w:r>
    </w:p>
    <w:p w14:paraId="22891B3B" w14:textId="77777777" w:rsidR="00266FF7" w:rsidRPr="00D03FEC" w:rsidRDefault="00266FF7" w:rsidP="00266FF7">
      <w:pPr>
        <w:spacing w:after="0" w:line="240" w:lineRule="auto"/>
        <w:rPr>
          <w:rFonts w:eastAsiaTheme="minorEastAsia" w:cs="Arial Narrow"/>
          <w:b/>
          <w:bCs/>
          <w:color w:val="000000"/>
          <w:lang w:eastAsia="es-CR"/>
        </w:rPr>
      </w:pPr>
    </w:p>
    <w:p w14:paraId="00E65AD0" w14:textId="77777777" w:rsidR="00266FF7" w:rsidRPr="00D03FEC" w:rsidRDefault="00266FF7" w:rsidP="00266FF7">
      <w:pPr>
        <w:spacing w:after="0" w:line="240" w:lineRule="auto"/>
        <w:rPr>
          <w:rFonts w:eastAsiaTheme="minorEastAsia" w:cs="Arial Narrow"/>
          <w:color w:val="000000"/>
          <w:lang w:eastAsia="es-CR"/>
        </w:rPr>
      </w:pPr>
      <w:r w:rsidRPr="00D03FEC">
        <w:rPr>
          <w:rFonts w:eastAsiaTheme="minorEastAsia" w:cs="Arial Narrow"/>
          <w:color w:val="000000"/>
          <w:lang w:eastAsia="es-CR"/>
        </w:rPr>
        <w:t>Como parte del trabajo que se está efectuando con respecto a los activos de PP y E, se está revisando la existencia y los importes correspondientes a las restricciones de titularidad, así como las propiedades, planta y equipo que están afectos a alguna condición especial, compromiso, para realizar las revelaciones conforme lo establecen la NICSP 17. Asimismo, se verifica si existen Propiedades de Inversión para proceder según lo establece la NICSP 16 y se revisa lo atinente a locales municipales que están en arriendo para proceder de acuerdo con lo establecido en al NICSP 13.</w:t>
      </w:r>
    </w:p>
    <w:p w14:paraId="5CB0397A" w14:textId="77777777" w:rsidR="001242F7" w:rsidRDefault="001242F7" w:rsidP="0096573A">
      <w:pPr>
        <w:spacing w:after="0" w:line="240" w:lineRule="auto"/>
        <w:rPr>
          <w:b/>
          <w:lang w:val="es-ES"/>
        </w:rPr>
      </w:pPr>
    </w:p>
    <w:p w14:paraId="24B697BB" w14:textId="2D061068" w:rsidR="00694299" w:rsidRDefault="00692DC8" w:rsidP="0096573A">
      <w:pPr>
        <w:spacing w:after="0" w:line="240" w:lineRule="auto"/>
        <w:rPr>
          <w:rFonts w:asciiTheme="minorHAnsi" w:hAnsiTheme="minorHAnsi"/>
          <w:sz w:val="22"/>
        </w:rPr>
      </w:pPr>
      <w:r w:rsidRPr="0011777B">
        <w:rPr>
          <w:b/>
          <w:lang w:val="es-ES"/>
        </w:rPr>
        <w:t>Detalle:</w:t>
      </w:r>
      <w:r w:rsidR="00654C21">
        <w:rPr>
          <w:lang w:eastAsia="es-CR"/>
        </w:rPr>
        <w:fldChar w:fldCharType="begin"/>
      </w:r>
      <w:r w:rsidR="00654C21">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NOTAS_POR_CUENTA!F36C1:F38C6 </w:instrText>
      </w:r>
      <w:r w:rsidR="00654C21">
        <w:rPr>
          <w:lang w:eastAsia="es-CR"/>
        </w:rPr>
        <w:instrText xml:space="preserve">\a \f 4 \h </w:instrText>
      </w:r>
      <w:r w:rsidR="00654C21">
        <w:rPr>
          <w:lang w:eastAsia="es-CR"/>
        </w:rPr>
        <w:fldChar w:fldCharType="separate"/>
      </w:r>
    </w:p>
    <w:p w14:paraId="1BB375B5" w14:textId="427BEE5B" w:rsidR="00C572A3" w:rsidRDefault="00654C21" w:rsidP="0096573A">
      <w:pPr>
        <w:spacing w:after="120" w:line="240" w:lineRule="auto"/>
        <w:rPr>
          <w:rFonts w:asciiTheme="minorHAnsi" w:hAnsiTheme="minorHAnsi"/>
          <w:sz w:val="22"/>
        </w:rPr>
      </w:pPr>
      <w:r>
        <w:rPr>
          <w:b/>
          <w:sz w:val="20"/>
          <w:szCs w:val="20"/>
          <w:lang w:eastAsia="es-CR"/>
        </w:rPr>
        <w:fldChar w:fldCharType="end"/>
      </w:r>
      <w:r w:rsidR="001242F7">
        <w:rPr>
          <w:b/>
          <w:sz w:val="20"/>
          <w:szCs w:val="20"/>
          <w:lang w:eastAsia="es-CR"/>
        </w:rPr>
        <w:fldChar w:fldCharType="begin"/>
      </w:r>
      <w:r w:rsidR="001242F7">
        <w:rPr>
          <w:b/>
          <w:sz w:val="20"/>
          <w:szCs w:val="20"/>
          <w:lang w:eastAsia="es-CR"/>
        </w:rPr>
        <w:instrText xml:space="preserve"> LINK </w:instrText>
      </w:r>
      <w:r w:rsidR="0068177A">
        <w:rPr>
          <w:b/>
          <w:sz w:val="20"/>
          <w:szCs w:val="20"/>
          <w:lang w:eastAsia="es-CR"/>
        </w:rPr>
        <w:instrText xml:space="preserve">Excel.SheetMacroEnabled.12 "C:\\Users\\arges\\OneDrive\\Desktop\\Municipalidades\\Buenos Aires\\Cierre Junio 2024\\Notas Contables\\15603_T02_2024_Anexo_Estado_Notas_Contables_Vinculadas.xlsm" NOTAS_POR_CUENTA!R36C1:R38C6 </w:instrText>
      </w:r>
      <w:r w:rsidR="001242F7">
        <w:rPr>
          <w:b/>
          <w:sz w:val="20"/>
          <w:szCs w:val="20"/>
          <w:lang w:eastAsia="es-CR"/>
        </w:rPr>
        <w:instrText xml:space="preserve">\a \f 4 \h </w:instrText>
      </w:r>
      <w:r w:rsidR="001242F7">
        <w:rPr>
          <w:b/>
          <w:sz w:val="20"/>
          <w:szCs w:val="20"/>
          <w:lang w:eastAsia="es-CR"/>
        </w:rPr>
        <w:fldChar w:fldCharType="separate"/>
      </w:r>
    </w:p>
    <w:tbl>
      <w:tblPr>
        <w:tblW w:w="10080" w:type="dxa"/>
        <w:tblLook w:val="04A0" w:firstRow="1" w:lastRow="0" w:firstColumn="1" w:lastColumn="0" w:noHBand="0" w:noVBand="1"/>
      </w:tblPr>
      <w:tblGrid>
        <w:gridCol w:w="791"/>
        <w:gridCol w:w="3265"/>
        <w:gridCol w:w="544"/>
        <w:gridCol w:w="2200"/>
        <w:gridCol w:w="2200"/>
        <w:gridCol w:w="1080"/>
      </w:tblGrid>
      <w:tr w:rsidR="00C572A3" w:rsidRPr="00C572A3" w14:paraId="41B0DFF3" w14:textId="77777777" w:rsidTr="00C572A3">
        <w:trPr>
          <w:divId w:val="1766069503"/>
          <w:trHeight w:val="320"/>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29B578C" w14:textId="04A07BA1" w:rsidR="00C572A3" w:rsidRPr="00C572A3" w:rsidRDefault="00C572A3" w:rsidP="00C572A3">
            <w:pP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C7A553F"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Descripción</w:t>
            </w:r>
          </w:p>
        </w:tc>
        <w:tc>
          <w:tcPr>
            <w:tcW w:w="5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C25455A"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Nota</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CE26417"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Actual </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4268A65"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Anterior </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5597F578"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Diferencia </w:t>
            </w:r>
          </w:p>
        </w:tc>
      </w:tr>
      <w:tr w:rsidR="00C572A3" w:rsidRPr="00C572A3" w14:paraId="0AE4CEC0" w14:textId="77777777" w:rsidTr="00C572A3">
        <w:trPr>
          <w:divId w:val="1766069503"/>
          <w:trHeight w:val="320"/>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398C4193"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54BC6524"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14:paraId="5A80ED85"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1F24E02F"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64B92EE2"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1080" w:type="dxa"/>
            <w:tcBorders>
              <w:top w:val="nil"/>
              <w:left w:val="nil"/>
              <w:bottom w:val="single" w:sz="8" w:space="0" w:color="auto"/>
              <w:right w:val="single" w:sz="8" w:space="0" w:color="auto"/>
            </w:tcBorders>
            <w:shd w:val="clear" w:color="000000" w:fill="366092"/>
            <w:noWrap/>
            <w:vAlign w:val="center"/>
            <w:hideMark/>
          </w:tcPr>
          <w:p w14:paraId="2F487CB4" w14:textId="77777777" w:rsidR="00C572A3" w:rsidRPr="00C572A3" w:rsidRDefault="00C572A3" w:rsidP="00C572A3">
            <w:pPr>
              <w:spacing w:after="0" w:line="240" w:lineRule="auto"/>
              <w:jc w:val="center"/>
              <w:rPr>
                <w:rFonts w:eastAsia="Times New Roman" w:cs="Calibri"/>
                <w:color w:val="FFFFFF"/>
                <w:sz w:val="18"/>
                <w:szCs w:val="18"/>
                <w:lang w:val="en-US"/>
              </w:rPr>
            </w:pPr>
            <w:r w:rsidRPr="00C572A3">
              <w:rPr>
                <w:rFonts w:eastAsia="Times New Roman" w:cs="Calibri"/>
                <w:color w:val="FFFFFF"/>
                <w:sz w:val="18"/>
                <w:szCs w:val="18"/>
                <w:lang w:val="en-US"/>
              </w:rPr>
              <w:t>%</w:t>
            </w:r>
          </w:p>
        </w:tc>
      </w:tr>
      <w:tr w:rsidR="00C572A3" w:rsidRPr="00C572A3" w14:paraId="6EA6D6E7" w14:textId="77777777" w:rsidTr="00C572A3">
        <w:trPr>
          <w:divId w:val="1766069503"/>
          <w:trHeight w:val="320"/>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06DC4890" w14:textId="77777777" w:rsidR="00C572A3" w:rsidRPr="00C572A3" w:rsidRDefault="00C572A3" w:rsidP="00C572A3">
            <w:pPr>
              <w:spacing w:after="0" w:line="240" w:lineRule="auto"/>
              <w:jc w:val="left"/>
              <w:rPr>
                <w:rFonts w:eastAsia="Times New Roman" w:cs="Calibri"/>
                <w:b/>
                <w:bCs/>
                <w:color w:val="000000"/>
                <w:sz w:val="18"/>
                <w:szCs w:val="18"/>
                <w:lang w:val="en-US"/>
              </w:rPr>
            </w:pPr>
            <w:r w:rsidRPr="00C572A3">
              <w:rPr>
                <w:rFonts w:eastAsia="Times New Roman" w:cs="Calibri"/>
                <w:b/>
                <w:bCs/>
                <w:color w:val="000000"/>
                <w:sz w:val="18"/>
                <w:szCs w:val="18"/>
                <w:lang w:val="en-US"/>
              </w:rPr>
              <w:t>1.2.5.01.</w:t>
            </w:r>
          </w:p>
        </w:tc>
        <w:tc>
          <w:tcPr>
            <w:tcW w:w="3380" w:type="dxa"/>
            <w:tcBorders>
              <w:top w:val="nil"/>
              <w:left w:val="nil"/>
              <w:bottom w:val="single" w:sz="8" w:space="0" w:color="auto"/>
              <w:right w:val="single" w:sz="8" w:space="0" w:color="auto"/>
            </w:tcBorders>
            <w:shd w:val="clear" w:color="auto" w:fill="auto"/>
            <w:vAlign w:val="center"/>
            <w:hideMark/>
          </w:tcPr>
          <w:p w14:paraId="4BD86140" w14:textId="77777777" w:rsidR="00C572A3" w:rsidRPr="00C572A3" w:rsidRDefault="00C572A3" w:rsidP="00C572A3">
            <w:pPr>
              <w:spacing w:after="0" w:line="240" w:lineRule="auto"/>
              <w:jc w:val="left"/>
              <w:rPr>
                <w:rFonts w:eastAsia="Times New Roman" w:cs="Calibri"/>
                <w:b/>
                <w:bCs/>
                <w:color w:val="000000"/>
                <w:sz w:val="18"/>
                <w:szCs w:val="18"/>
              </w:rPr>
            </w:pPr>
            <w:r w:rsidRPr="00C572A3">
              <w:rPr>
                <w:rFonts w:eastAsia="Times New Roman" w:cs="Calibri"/>
                <w:b/>
                <w:bCs/>
                <w:color w:val="000000"/>
                <w:sz w:val="18"/>
                <w:szCs w:val="18"/>
              </w:rPr>
              <w:t>Propiedades, planta y equipos explotados</w:t>
            </w:r>
          </w:p>
        </w:tc>
        <w:tc>
          <w:tcPr>
            <w:tcW w:w="520" w:type="dxa"/>
            <w:tcBorders>
              <w:top w:val="nil"/>
              <w:left w:val="nil"/>
              <w:bottom w:val="single" w:sz="8" w:space="0" w:color="auto"/>
              <w:right w:val="single" w:sz="8" w:space="0" w:color="auto"/>
            </w:tcBorders>
            <w:shd w:val="clear" w:color="auto" w:fill="auto"/>
            <w:noWrap/>
            <w:vAlign w:val="center"/>
            <w:hideMark/>
          </w:tcPr>
          <w:p w14:paraId="4717C325"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10</w:t>
            </w:r>
          </w:p>
        </w:tc>
        <w:tc>
          <w:tcPr>
            <w:tcW w:w="2200" w:type="dxa"/>
            <w:tcBorders>
              <w:top w:val="nil"/>
              <w:left w:val="nil"/>
              <w:bottom w:val="single" w:sz="8" w:space="0" w:color="auto"/>
              <w:right w:val="single" w:sz="8" w:space="0" w:color="auto"/>
            </w:tcBorders>
            <w:shd w:val="clear" w:color="auto" w:fill="auto"/>
            <w:noWrap/>
            <w:vAlign w:val="center"/>
            <w:hideMark/>
          </w:tcPr>
          <w:p w14:paraId="75A635AF"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2 346 799,64 </w:t>
            </w:r>
          </w:p>
        </w:tc>
        <w:tc>
          <w:tcPr>
            <w:tcW w:w="2200" w:type="dxa"/>
            <w:tcBorders>
              <w:top w:val="nil"/>
              <w:left w:val="nil"/>
              <w:bottom w:val="single" w:sz="8" w:space="0" w:color="auto"/>
              <w:right w:val="single" w:sz="8" w:space="0" w:color="auto"/>
            </w:tcBorders>
            <w:shd w:val="clear" w:color="auto" w:fill="auto"/>
            <w:noWrap/>
            <w:vAlign w:val="center"/>
            <w:hideMark/>
          </w:tcPr>
          <w:p w14:paraId="04667336"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1 848 565,33 </w:t>
            </w:r>
          </w:p>
        </w:tc>
        <w:tc>
          <w:tcPr>
            <w:tcW w:w="1080" w:type="dxa"/>
            <w:tcBorders>
              <w:top w:val="nil"/>
              <w:left w:val="nil"/>
              <w:bottom w:val="single" w:sz="8" w:space="0" w:color="auto"/>
              <w:right w:val="single" w:sz="8" w:space="0" w:color="auto"/>
            </w:tcBorders>
            <w:shd w:val="clear" w:color="auto" w:fill="auto"/>
            <w:noWrap/>
            <w:vAlign w:val="center"/>
            <w:hideMark/>
          </w:tcPr>
          <w:p w14:paraId="695EA32D"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26,95%</w:t>
            </w:r>
          </w:p>
        </w:tc>
      </w:tr>
    </w:tbl>
    <w:p w14:paraId="7B7BF9F8" w14:textId="037001A6" w:rsidR="00692DC8" w:rsidRDefault="001242F7" w:rsidP="0011777B">
      <w:pPr>
        <w:rPr>
          <w:b/>
          <w:sz w:val="20"/>
          <w:szCs w:val="20"/>
          <w:lang w:eastAsia="es-CR"/>
        </w:rPr>
      </w:pPr>
      <w:r>
        <w:rPr>
          <w:b/>
          <w:sz w:val="20"/>
          <w:szCs w:val="20"/>
          <w:lang w:eastAsia="es-CR"/>
        </w:rPr>
        <w:fldChar w:fldCharType="end"/>
      </w:r>
    </w:p>
    <w:p w14:paraId="2F34E9BE" w14:textId="06EC0CA3" w:rsidR="00692DC8" w:rsidRPr="0011777B" w:rsidRDefault="00692DC8">
      <w:pPr>
        <w:pStyle w:val="Prrafodelista"/>
        <w:numPr>
          <w:ilvl w:val="0"/>
          <w:numId w:val="13"/>
        </w:numPr>
        <w:rPr>
          <w:lang w:val="es-ES"/>
        </w:rPr>
      </w:pPr>
      <w:r w:rsidRPr="0011777B">
        <w:rPr>
          <w:lang w:val="es-ES"/>
        </w:rPr>
        <w:t>ACTIVOS EN POSESION DE TERCEROS Y NO CONCESIONADOS</w:t>
      </w:r>
    </w:p>
    <w:tbl>
      <w:tblPr>
        <w:tblW w:w="9400" w:type="dxa"/>
        <w:tblInd w:w="-10" w:type="dxa"/>
        <w:tblCellMar>
          <w:left w:w="70" w:type="dxa"/>
          <w:right w:w="70" w:type="dxa"/>
        </w:tblCellMar>
        <w:tblLook w:val="04A0" w:firstRow="1" w:lastRow="0" w:firstColumn="1" w:lastColumn="0" w:noHBand="0" w:noVBand="1"/>
      </w:tblPr>
      <w:tblGrid>
        <w:gridCol w:w="1240"/>
        <w:gridCol w:w="2280"/>
        <w:gridCol w:w="1240"/>
        <w:gridCol w:w="1240"/>
        <w:gridCol w:w="1560"/>
        <w:gridCol w:w="1840"/>
      </w:tblGrid>
      <w:tr w:rsidR="00654C21" w:rsidRPr="00654C21" w14:paraId="02D34FB8" w14:textId="77777777" w:rsidTr="00654C21">
        <w:trPr>
          <w:trHeight w:val="324"/>
        </w:trPr>
        <w:tc>
          <w:tcPr>
            <w:tcW w:w="1240" w:type="dxa"/>
            <w:tcBorders>
              <w:top w:val="single" w:sz="8" w:space="0" w:color="auto"/>
              <w:left w:val="single" w:sz="8" w:space="0" w:color="auto"/>
              <w:bottom w:val="single" w:sz="8" w:space="0" w:color="auto"/>
              <w:right w:val="single" w:sz="8" w:space="0" w:color="auto"/>
            </w:tcBorders>
            <w:shd w:val="clear" w:color="000000" w:fill="365F91"/>
            <w:noWrap/>
            <w:vAlign w:val="center"/>
            <w:hideMark/>
          </w:tcPr>
          <w:p w14:paraId="610B08E6" w14:textId="77777777" w:rsidR="00654C21" w:rsidRPr="00654C21" w:rsidRDefault="00654C21" w:rsidP="00654C21">
            <w:pPr>
              <w:spacing w:after="0" w:line="240" w:lineRule="auto"/>
              <w:jc w:val="center"/>
              <w:rPr>
                <w:rFonts w:eastAsia="Times New Roman" w:cs="Calibri"/>
                <w:color w:val="FFFFFF"/>
                <w:szCs w:val="24"/>
                <w:lang w:eastAsia="es-CR"/>
              </w:rPr>
            </w:pPr>
            <w:r w:rsidRPr="00654C21">
              <w:rPr>
                <w:rFonts w:eastAsia="Times New Roman" w:cs="Calibri"/>
                <w:color w:val="FFFFFF"/>
                <w:szCs w:val="24"/>
                <w:lang w:eastAsia="es-CR"/>
              </w:rPr>
              <w:t>Activo</w:t>
            </w:r>
          </w:p>
        </w:tc>
        <w:tc>
          <w:tcPr>
            <w:tcW w:w="2280" w:type="dxa"/>
            <w:tcBorders>
              <w:top w:val="single" w:sz="8" w:space="0" w:color="auto"/>
              <w:left w:val="nil"/>
              <w:bottom w:val="single" w:sz="8" w:space="0" w:color="auto"/>
              <w:right w:val="single" w:sz="8" w:space="0" w:color="auto"/>
            </w:tcBorders>
            <w:shd w:val="clear" w:color="000000" w:fill="365F91"/>
            <w:noWrap/>
            <w:vAlign w:val="center"/>
            <w:hideMark/>
          </w:tcPr>
          <w:p w14:paraId="7F615A49" w14:textId="77777777" w:rsidR="00654C21" w:rsidRPr="00654C21" w:rsidRDefault="00654C21" w:rsidP="00654C21">
            <w:pPr>
              <w:spacing w:after="0" w:line="240" w:lineRule="auto"/>
              <w:jc w:val="center"/>
              <w:rPr>
                <w:rFonts w:eastAsia="Times New Roman" w:cs="Calibri"/>
                <w:color w:val="FFFFFF"/>
                <w:szCs w:val="24"/>
                <w:lang w:eastAsia="es-CR"/>
              </w:rPr>
            </w:pPr>
            <w:r w:rsidRPr="00654C21">
              <w:rPr>
                <w:rFonts w:eastAsia="Times New Roman" w:cs="Calibri"/>
                <w:color w:val="FFFFFF"/>
                <w:szCs w:val="24"/>
                <w:lang w:eastAsia="es-CR"/>
              </w:rPr>
              <w:t>Placa / Identificación</w:t>
            </w:r>
          </w:p>
        </w:tc>
        <w:tc>
          <w:tcPr>
            <w:tcW w:w="1240" w:type="dxa"/>
            <w:tcBorders>
              <w:top w:val="single" w:sz="8" w:space="0" w:color="auto"/>
              <w:left w:val="nil"/>
              <w:bottom w:val="single" w:sz="8" w:space="0" w:color="auto"/>
              <w:right w:val="single" w:sz="8" w:space="0" w:color="auto"/>
            </w:tcBorders>
            <w:shd w:val="clear" w:color="000000" w:fill="365F91"/>
            <w:noWrap/>
            <w:vAlign w:val="center"/>
            <w:hideMark/>
          </w:tcPr>
          <w:p w14:paraId="54D19097" w14:textId="77777777" w:rsidR="00654C21" w:rsidRPr="00654C21" w:rsidRDefault="00654C21" w:rsidP="00654C21">
            <w:pPr>
              <w:spacing w:after="0" w:line="240" w:lineRule="auto"/>
              <w:jc w:val="center"/>
              <w:rPr>
                <w:rFonts w:eastAsia="Times New Roman" w:cs="Calibri"/>
                <w:color w:val="FFFFFF"/>
                <w:szCs w:val="24"/>
                <w:lang w:eastAsia="es-CR"/>
              </w:rPr>
            </w:pPr>
            <w:r w:rsidRPr="00654C21">
              <w:rPr>
                <w:rFonts w:eastAsia="Times New Roman" w:cs="Calibri"/>
                <w:color w:val="FFFFFF"/>
                <w:szCs w:val="24"/>
                <w:lang w:eastAsia="es-CR"/>
              </w:rPr>
              <w:t>Convenio</w:t>
            </w:r>
          </w:p>
        </w:tc>
        <w:tc>
          <w:tcPr>
            <w:tcW w:w="1240" w:type="dxa"/>
            <w:tcBorders>
              <w:top w:val="single" w:sz="8" w:space="0" w:color="auto"/>
              <w:left w:val="nil"/>
              <w:bottom w:val="single" w:sz="8" w:space="0" w:color="auto"/>
              <w:right w:val="single" w:sz="8" w:space="0" w:color="auto"/>
            </w:tcBorders>
            <w:shd w:val="clear" w:color="000000" w:fill="365F91"/>
            <w:noWrap/>
            <w:vAlign w:val="center"/>
            <w:hideMark/>
          </w:tcPr>
          <w:p w14:paraId="06A4C441" w14:textId="77777777" w:rsidR="00654C21" w:rsidRPr="00654C21" w:rsidRDefault="00654C21" w:rsidP="00654C21">
            <w:pPr>
              <w:spacing w:after="0" w:line="240" w:lineRule="auto"/>
              <w:jc w:val="center"/>
              <w:rPr>
                <w:rFonts w:eastAsia="Times New Roman" w:cs="Calibri"/>
                <w:color w:val="FFFFFF"/>
                <w:szCs w:val="24"/>
                <w:lang w:eastAsia="es-CR"/>
              </w:rPr>
            </w:pPr>
            <w:r w:rsidRPr="00654C21">
              <w:rPr>
                <w:rFonts w:eastAsia="Times New Roman" w:cs="Calibri"/>
                <w:color w:val="FFFFFF"/>
                <w:szCs w:val="24"/>
                <w:lang w:eastAsia="es-CR"/>
              </w:rPr>
              <w:t>Plazo</w:t>
            </w:r>
          </w:p>
        </w:tc>
        <w:tc>
          <w:tcPr>
            <w:tcW w:w="1560" w:type="dxa"/>
            <w:tcBorders>
              <w:top w:val="single" w:sz="8" w:space="0" w:color="auto"/>
              <w:left w:val="nil"/>
              <w:bottom w:val="single" w:sz="8" w:space="0" w:color="auto"/>
              <w:right w:val="single" w:sz="8" w:space="0" w:color="auto"/>
            </w:tcBorders>
            <w:shd w:val="clear" w:color="000000" w:fill="365F91"/>
            <w:noWrap/>
            <w:vAlign w:val="center"/>
            <w:hideMark/>
          </w:tcPr>
          <w:p w14:paraId="7A09AB74" w14:textId="77777777" w:rsidR="00654C21" w:rsidRPr="00654C21" w:rsidRDefault="00654C21" w:rsidP="00654C21">
            <w:pPr>
              <w:spacing w:after="0" w:line="240" w:lineRule="auto"/>
              <w:jc w:val="center"/>
              <w:rPr>
                <w:rFonts w:eastAsia="Times New Roman" w:cs="Calibri"/>
                <w:color w:val="FFFFFF"/>
                <w:szCs w:val="24"/>
                <w:lang w:eastAsia="es-CR"/>
              </w:rPr>
            </w:pPr>
            <w:r w:rsidRPr="00654C21">
              <w:rPr>
                <w:rFonts w:eastAsia="Times New Roman" w:cs="Calibri"/>
                <w:color w:val="FFFFFF"/>
                <w:szCs w:val="24"/>
                <w:lang w:eastAsia="es-CR"/>
              </w:rPr>
              <w:t>Valor En Libros</w:t>
            </w:r>
          </w:p>
        </w:tc>
        <w:tc>
          <w:tcPr>
            <w:tcW w:w="1840" w:type="dxa"/>
            <w:tcBorders>
              <w:top w:val="single" w:sz="8" w:space="0" w:color="auto"/>
              <w:left w:val="nil"/>
              <w:bottom w:val="single" w:sz="8" w:space="0" w:color="auto"/>
              <w:right w:val="single" w:sz="8" w:space="0" w:color="auto"/>
            </w:tcBorders>
            <w:shd w:val="clear" w:color="000000" w:fill="365F91"/>
            <w:noWrap/>
            <w:vAlign w:val="center"/>
            <w:hideMark/>
          </w:tcPr>
          <w:p w14:paraId="60038A08" w14:textId="77777777" w:rsidR="00654C21" w:rsidRPr="00654C21" w:rsidRDefault="00654C21" w:rsidP="00654C21">
            <w:pPr>
              <w:spacing w:after="0" w:line="240" w:lineRule="auto"/>
              <w:jc w:val="center"/>
              <w:rPr>
                <w:rFonts w:eastAsia="Times New Roman" w:cs="Calibri"/>
                <w:color w:val="FFFFFF"/>
                <w:szCs w:val="24"/>
                <w:lang w:eastAsia="es-CR"/>
              </w:rPr>
            </w:pPr>
            <w:r w:rsidRPr="00654C21">
              <w:rPr>
                <w:rFonts w:eastAsia="Times New Roman" w:cs="Calibri"/>
                <w:color w:val="FFFFFF"/>
                <w:szCs w:val="24"/>
                <w:lang w:eastAsia="es-CR"/>
              </w:rPr>
              <w:t>Nombre Beneficiario</w:t>
            </w:r>
          </w:p>
        </w:tc>
      </w:tr>
      <w:tr w:rsidR="00654C21" w:rsidRPr="00654C21" w14:paraId="2D065065" w14:textId="77777777" w:rsidTr="00654C21">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7FA5EE27"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c>
          <w:tcPr>
            <w:tcW w:w="2280" w:type="dxa"/>
            <w:tcBorders>
              <w:top w:val="nil"/>
              <w:left w:val="nil"/>
              <w:bottom w:val="single" w:sz="8" w:space="0" w:color="auto"/>
              <w:right w:val="single" w:sz="8" w:space="0" w:color="auto"/>
            </w:tcBorders>
            <w:shd w:val="clear" w:color="auto" w:fill="auto"/>
            <w:noWrap/>
            <w:vAlign w:val="center"/>
            <w:hideMark/>
          </w:tcPr>
          <w:p w14:paraId="1BAE43BC"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07694D8E"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6DD0F449"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c>
          <w:tcPr>
            <w:tcW w:w="1560" w:type="dxa"/>
            <w:tcBorders>
              <w:top w:val="nil"/>
              <w:left w:val="nil"/>
              <w:bottom w:val="single" w:sz="8" w:space="0" w:color="auto"/>
              <w:right w:val="single" w:sz="8" w:space="0" w:color="auto"/>
            </w:tcBorders>
            <w:shd w:val="clear" w:color="auto" w:fill="auto"/>
            <w:noWrap/>
            <w:vAlign w:val="center"/>
            <w:hideMark/>
          </w:tcPr>
          <w:p w14:paraId="04387B1A"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c>
          <w:tcPr>
            <w:tcW w:w="1840" w:type="dxa"/>
            <w:tcBorders>
              <w:top w:val="nil"/>
              <w:left w:val="nil"/>
              <w:bottom w:val="single" w:sz="8" w:space="0" w:color="auto"/>
              <w:right w:val="single" w:sz="8" w:space="0" w:color="auto"/>
            </w:tcBorders>
            <w:shd w:val="clear" w:color="auto" w:fill="auto"/>
            <w:noWrap/>
            <w:vAlign w:val="center"/>
            <w:hideMark/>
          </w:tcPr>
          <w:p w14:paraId="05D73B30"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r>
      <w:tr w:rsidR="00654C21" w:rsidRPr="00654C21" w14:paraId="26798638" w14:textId="77777777" w:rsidTr="00654C21">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6646EFC2"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c>
          <w:tcPr>
            <w:tcW w:w="2280" w:type="dxa"/>
            <w:tcBorders>
              <w:top w:val="nil"/>
              <w:left w:val="nil"/>
              <w:bottom w:val="single" w:sz="8" w:space="0" w:color="auto"/>
              <w:right w:val="single" w:sz="8" w:space="0" w:color="auto"/>
            </w:tcBorders>
            <w:shd w:val="clear" w:color="auto" w:fill="auto"/>
            <w:noWrap/>
            <w:vAlign w:val="center"/>
            <w:hideMark/>
          </w:tcPr>
          <w:p w14:paraId="4A68C0BD"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2FB6F5A4"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18FA6C66"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c>
          <w:tcPr>
            <w:tcW w:w="1560" w:type="dxa"/>
            <w:tcBorders>
              <w:top w:val="nil"/>
              <w:left w:val="nil"/>
              <w:bottom w:val="single" w:sz="8" w:space="0" w:color="auto"/>
              <w:right w:val="single" w:sz="8" w:space="0" w:color="auto"/>
            </w:tcBorders>
            <w:shd w:val="clear" w:color="auto" w:fill="auto"/>
            <w:noWrap/>
            <w:vAlign w:val="center"/>
            <w:hideMark/>
          </w:tcPr>
          <w:p w14:paraId="5A1D3409"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c>
          <w:tcPr>
            <w:tcW w:w="1840" w:type="dxa"/>
            <w:tcBorders>
              <w:top w:val="nil"/>
              <w:left w:val="nil"/>
              <w:bottom w:val="single" w:sz="8" w:space="0" w:color="auto"/>
              <w:right w:val="single" w:sz="8" w:space="0" w:color="auto"/>
            </w:tcBorders>
            <w:shd w:val="clear" w:color="auto" w:fill="auto"/>
            <w:noWrap/>
            <w:vAlign w:val="center"/>
            <w:hideMark/>
          </w:tcPr>
          <w:p w14:paraId="2D6212D7"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r>
      <w:tr w:rsidR="00654C21" w:rsidRPr="00654C21" w14:paraId="42E062F7" w14:textId="77777777" w:rsidTr="00654C21">
        <w:trPr>
          <w:trHeight w:val="324"/>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1F1ECA18" w14:textId="77777777" w:rsidR="00654C21" w:rsidRPr="00654C21" w:rsidRDefault="00654C21" w:rsidP="00654C21">
            <w:pPr>
              <w:spacing w:after="0" w:line="240" w:lineRule="auto"/>
              <w:jc w:val="center"/>
              <w:rPr>
                <w:rFonts w:eastAsia="Times New Roman" w:cs="Calibri"/>
                <w:color w:val="000000"/>
                <w:szCs w:val="24"/>
                <w:lang w:eastAsia="es-CR"/>
              </w:rPr>
            </w:pPr>
            <w:r w:rsidRPr="00654C21">
              <w:rPr>
                <w:rFonts w:eastAsia="Times New Roman" w:cs="Calibri"/>
                <w:color w:val="000000"/>
                <w:szCs w:val="24"/>
                <w:lang w:eastAsia="es-CR"/>
              </w:rPr>
              <w:t> </w:t>
            </w:r>
          </w:p>
        </w:tc>
        <w:tc>
          <w:tcPr>
            <w:tcW w:w="2280" w:type="dxa"/>
            <w:tcBorders>
              <w:top w:val="nil"/>
              <w:left w:val="nil"/>
              <w:bottom w:val="single" w:sz="8" w:space="0" w:color="auto"/>
              <w:right w:val="single" w:sz="8" w:space="0" w:color="auto"/>
            </w:tcBorders>
            <w:shd w:val="clear" w:color="auto" w:fill="auto"/>
            <w:noWrap/>
            <w:vAlign w:val="center"/>
            <w:hideMark/>
          </w:tcPr>
          <w:p w14:paraId="7B3BB396" w14:textId="77777777" w:rsidR="00654C21" w:rsidRPr="00654C21" w:rsidRDefault="00654C21" w:rsidP="00654C21">
            <w:pPr>
              <w:spacing w:after="0" w:line="240" w:lineRule="auto"/>
              <w:jc w:val="center"/>
              <w:rPr>
                <w:rFonts w:eastAsia="Times New Roman" w:cs="Calibri"/>
                <w:color w:val="000000"/>
                <w:szCs w:val="24"/>
                <w:lang w:eastAsia="es-CR"/>
              </w:rPr>
            </w:pPr>
            <w:r w:rsidRPr="00654C21">
              <w:rPr>
                <w:rFonts w:eastAsia="Times New Roman" w:cs="Calibri"/>
                <w:color w:val="000000"/>
                <w:szCs w:val="24"/>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3C657C86" w14:textId="77777777" w:rsidR="00654C21" w:rsidRPr="00654C21" w:rsidRDefault="00654C21" w:rsidP="00654C21">
            <w:pPr>
              <w:spacing w:after="0" w:line="240" w:lineRule="auto"/>
              <w:jc w:val="center"/>
              <w:rPr>
                <w:rFonts w:eastAsia="Times New Roman" w:cs="Calibri"/>
                <w:color w:val="000000"/>
                <w:szCs w:val="24"/>
                <w:lang w:eastAsia="es-CR"/>
              </w:rPr>
            </w:pPr>
            <w:r w:rsidRPr="00654C21">
              <w:rPr>
                <w:rFonts w:eastAsia="Times New Roman" w:cs="Calibri"/>
                <w:color w:val="000000"/>
                <w:szCs w:val="24"/>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1C670469" w14:textId="77777777" w:rsidR="00654C21" w:rsidRPr="00654C21" w:rsidRDefault="00654C21" w:rsidP="00654C21">
            <w:pPr>
              <w:spacing w:after="0" w:line="240" w:lineRule="auto"/>
              <w:jc w:val="center"/>
              <w:rPr>
                <w:rFonts w:eastAsia="Times New Roman" w:cs="Calibri"/>
                <w:color w:val="000000"/>
                <w:szCs w:val="24"/>
                <w:lang w:eastAsia="es-CR"/>
              </w:rPr>
            </w:pPr>
            <w:r w:rsidRPr="00654C21">
              <w:rPr>
                <w:rFonts w:eastAsia="Times New Roman" w:cs="Calibri"/>
                <w:color w:val="000000"/>
                <w:szCs w:val="24"/>
                <w:lang w:eastAsia="es-CR"/>
              </w:rPr>
              <w:t> </w:t>
            </w:r>
          </w:p>
        </w:tc>
        <w:tc>
          <w:tcPr>
            <w:tcW w:w="1560" w:type="dxa"/>
            <w:tcBorders>
              <w:top w:val="nil"/>
              <w:left w:val="nil"/>
              <w:bottom w:val="single" w:sz="8" w:space="0" w:color="auto"/>
              <w:right w:val="single" w:sz="8" w:space="0" w:color="auto"/>
            </w:tcBorders>
            <w:shd w:val="clear" w:color="auto" w:fill="auto"/>
            <w:noWrap/>
            <w:vAlign w:val="center"/>
            <w:hideMark/>
          </w:tcPr>
          <w:p w14:paraId="372100EB" w14:textId="77777777" w:rsidR="00654C21" w:rsidRPr="00654C21" w:rsidRDefault="00654C21" w:rsidP="00654C21">
            <w:pPr>
              <w:spacing w:after="0" w:line="240" w:lineRule="auto"/>
              <w:jc w:val="center"/>
              <w:rPr>
                <w:rFonts w:eastAsia="Times New Roman" w:cs="Calibri"/>
                <w:color w:val="000000"/>
                <w:szCs w:val="24"/>
                <w:lang w:eastAsia="es-CR"/>
              </w:rPr>
            </w:pPr>
            <w:r w:rsidRPr="00654C21">
              <w:rPr>
                <w:rFonts w:eastAsia="Times New Roman" w:cs="Calibri"/>
                <w:color w:val="000000"/>
                <w:szCs w:val="24"/>
                <w:lang w:eastAsia="es-CR"/>
              </w:rPr>
              <w:t> </w:t>
            </w:r>
          </w:p>
        </w:tc>
        <w:tc>
          <w:tcPr>
            <w:tcW w:w="1840" w:type="dxa"/>
            <w:tcBorders>
              <w:top w:val="nil"/>
              <w:left w:val="nil"/>
              <w:bottom w:val="single" w:sz="8" w:space="0" w:color="auto"/>
              <w:right w:val="single" w:sz="8" w:space="0" w:color="auto"/>
            </w:tcBorders>
            <w:shd w:val="clear" w:color="auto" w:fill="auto"/>
            <w:noWrap/>
            <w:vAlign w:val="center"/>
            <w:hideMark/>
          </w:tcPr>
          <w:p w14:paraId="082D09DF" w14:textId="77777777" w:rsidR="00654C21" w:rsidRPr="00654C21" w:rsidRDefault="00654C21" w:rsidP="00654C21">
            <w:pPr>
              <w:spacing w:after="0" w:line="240" w:lineRule="auto"/>
              <w:jc w:val="center"/>
              <w:rPr>
                <w:rFonts w:eastAsia="Times New Roman" w:cs="Calibri"/>
                <w:color w:val="000000"/>
                <w:szCs w:val="24"/>
                <w:lang w:eastAsia="es-CR"/>
              </w:rPr>
            </w:pPr>
            <w:r w:rsidRPr="00654C21">
              <w:rPr>
                <w:rFonts w:eastAsia="Times New Roman" w:cs="Calibri"/>
                <w:color w:val="000000"/>
                <w:szCs w:val="24"/>
                <w:lang w:eastAsia="es-CR"/>
              </w:rPr>
              <w:t> </w:t>
            </w:r>
          </w:p>
        </w:tc>
      </w:tr>
    </w:tbl>
    <w:p w14:paraId="682AABA7" w14:textId="77777777" w:rsidR="007F7997" w:rsidRDefault="007F7997" w:rsidP="007F7997">
      <w:pPr>
        <w:spacing w:after="0" w:line="240" w:lineRule="auto"/>
        <w:rPr>
          <w:b/>
          <w:bCs/>
          <w:lang w:val="es-ES"/>
        </w:rPr>
      </w:pPr>
    </w:p>
    <w:p w14:paraId="5E1CB3B7" w14:textId="4F681CEE" w:rsidR="00692DC8" w:rsidRPr="007F7997" w:rsidRDefault="00692DC8" w:rsidP="007F7997">
      <w:pPr>
        <w:spacing w:after="0" w:line="240" w:lineRule="auto"/>
        <w:rPr>
          <w:b/>
          <w:bCs/>
          <w:lang w:val="es-ES"/>
        </w:rPr>
      </w:pPr>
      <w:r w:rsidRPr="007F7997">
        <w:rPr>
          <w:b/>
          <w:bCs/>
          <w:lang w:val="es-ES"/>
        </w:rPr>
        <w:t>Explique el Proceso de Revaluación: Método de Costo:</w:t>
      </w:r>
    </w:p>
    <w:p w14:paraId="452C4BE3" w14:textId="77777777" w:rsidR="007F7997" w:rsidRDefault="007F7997" w:rsidP="007F7997">
      <w:pPr>
        <w:spacing w:after="0" w:line="240" w:lineRule="auto"/>
      </w:pPr>
    </w:p>
    <w:p w14:paraId="0D5178CB" w14:textId="5F226291" w:rsidR="007F7997" w:rsidRDefault="007F7997" w:rsidP="007F7997">
      <w:pPr>
        <w:spacing w:after="0" w:line="240" w:lineRule="auto"/>
      </w:pPr>
      <w:r w:rsidRPr="00154852">
        <w:t>Como se indicó anteriormente la Municipalidad utiliza el Método de Costo. En ese sentido emplea el costo histórico en aquellos casos que se cuente con información fiable, y en los casos que no se cuente con información confiable se les atribuye un valor a los activos establecido por un experto en la materia con capacidad para establecer el valor utilizado, esto con base en lo establecido en la NICSP 17 y NICSP33.</w:t>
      </w:r>
    </w:p>
    <w:p w14:paraId="0993CAC8" w14:textId="77777777" w:rsidR="007F7997" w:rsidRPr="00154852" w:rsidRDefault="007F7997" w:rsidP="007F7997">
      <w:pPr>
        <w:spacing w:after="0" w:line="240" w:lineRule="auto"/>
      </w:pPr>
    </w:p>
    <w:p w14:paraId="05D715A1" w14:textId="77777777" w:rsidR="007F7997" w:rsidRDefault="007F7997" w:rsidP="007F7997">
      <w:pPr>
        <w:spacing w:after="0" w:line="240" w:lineRule="auto"/>
      </w:pPr>
      <w:r w:rsidRPr="00154852">
        <w:t>Los activos nuevos los mismos se registran conforme lo establece la NICSP17 considerando como parte del costo el precio de adquisición (incluidos aranceles de importación e impuestos indirectos recuperables, después de deducir descuentos o rebajas), los costos atribuibles para que el bien pueda operar de la forma prevista; y los costos de desmantelamiento y retiro de elementos, así como la rehabilitación del lugar donde se asentará el bien y cualquier otra obligación en que se incurra atribuible a la adquisición del bien.</w:t>
      </w:r>
    </w:p>
    <w:p w14:paraId="25490FD6" w14:textId="77777777" w:rsidR="007F7997" w:rsidRPr="00154852" w:rsidRDefault="007F7997" w:rsidP="007F7997">
      <w:pPr>
        <w:spacing w:after="0" w:line="240" w:lineRule="auto"/>
      </w:pPr>
    </w:p>
    <w:p w14:paraId="2BDC899A" w14:textId="77777777" w:rsidR="00694299" w:rsidRPr="00694299" w:rsidRDefault="00692DC8" w:rsidP="0011777B">
      <w:pPr>
        <w:rPr>
          <w:b/>
          <w:lang w:val="es-ES" w:eastAsia="es-CR"/>
        </w:rPr>
      </w:pPr>
      <w:r w:rsidRPr="0011777B">
        <w:rPr>
          <w:b/>
          <w:lang w:val="es-ES" w:eastAsia="es-CR"/>
        </w:rPr>
        <w:t xml:space="preserve">Revelación: </w:t>
      </w:r>
      <w:r w:rsidR="00654C21">
        <w:rPr>
          <w:rFonts w:cs="Calibri"/>
          <w:color w:val="000000"/>
          <w:lang w:eastAsia="es-CR"/>
        </w:rPr>
        <w:fldChar w:fldCharType="begin"/>
      </w:r>
      <w:r w:rsidR="00654C21">
        <w:rPr>
          <w:rFonts w:cs="Calibri"/>
          <w:color w:val="000000"/>
          <w:lang w:eastAsia="es-CR"/>
        </w:rPr>
        <w:instrText xml:space="preserve"> LINK </w:instrText>
      </w:r>
      <w:r w:rsidR="00323752">
        <w:rPr>
          <w:rFonts w:cs="Calibri"/>
          <w:color w:val="000000"/>
          <w:lang w:eastAsia="es-CR"/>
        </w:rPr>
        <w:instrText xml:space="preserve">Excel.SheetMacroEnabled.12 "D:\\MORAVIA\\INSUMOS\\NOTAS 2024\\Formato_Notas_EEFF_Vinculadas_2024\\XXXXX_PXX_202X_Anexo_Estado_Notas_Contables_Vinculadas.xlsm" NOTAS_POR_CUENTA!F38C8 </w:instrText>
      </w:r>
      <w:r w:rsidR="00654C21">
        <w:rPr>
          <w:rFonts w:cs="Calibri"/>
          <w:color w:val="000000"/>
          <w:lang w:eastAsia="es-CR"/>
        </w:rPr>
        <w:instrText xml:space="preserve">\a \f 5 \h  \* MERGEFORMAT </w:instrText>
      </w:r>
      <w:r w:rsidR="00654C21">
        <w:rPr>
          <w:rFonts w:cs="Calibri"/>
          <w:color w:val="000000"/>
          <w:lang w:eastAsia="es-CR"/>
        </w:rPr>
        <w:fldChar w:fldCharType="separate"/>
      </w:r>
    </w:p>
    <w:p w14:paraId="534C7121" w14:textId="3CA8EA48" w:rsidR="00694299" w:rsidRDefault="00694299" w:rsidP="00E4611E">
      <w:pPr>
        <w:spacing w:after="0" w:line="240" w:lineRule="auto"/>
        <w:rPr>
          <w:rFonts w:cs="Calibri"/>
          <w:color w:val="000000"/>
          <w:lang w:eastAsia="es-CR"/>
        </w:rPr>
      </w:pPr>
      <w:r w:rsidRPr="00694299">
        <w:rPr>
          <w:rFonts w:cs="Calibri"/>
          <w:color w:val="000000"/>
          <w:lang w:eastAsia="es-CR"/>
        </w:rPr>
        <w:t>La cuenta Propiedades, planta y equipos explotados, representa el 1,</w:t>
      </w:r>
      <w:r w:rsidR="00986DC9">
        <w:rPr>
          <w:rFonts w:cs="Calibri"/>
          <w:color w:val="000000"/>
          <w:lang w:eastAsia="es-CR"/>
        </w:rPr>
        <w:t>40</w:t>
      </w:r>
      <w:r w:rsidRPr="00694299">
        <w:rPr>
          <w:rFonts w:cs="Calibri"/>
          <w:color w:val="000000"/>
          <w:lang w:eastAsia="es-CR"/>
        </w:rPr>
        <w:t xml:space="preserve">% del total del Activo, que comparado al periodo anterior genera una variación absoluta de </w:t>
      </w:r>
      <w:r w:rsidR="00E4611E" w:rsidRPr="00E4611E">
        <w:rPr>
          <w:rFonts w:cs="Calibri"/>
          <w:color w:val="000000"/>
          <w:lang w:eastAsia="es-CR"/>
        </w:rPr>
        <w:t>498 234,30</w:t>
      </w:r>
      <w:r w:rsidRPr="00694299">
        <w:rPr>
          <w:rFonts w:cs="Calibri"/>
          <w:color w:val="000000"/>
          <w:lang w:eastAsia="es-CR"/>
        </w:rPr>
        <w:t xml:space="preserve"> que corresponde a un Aumento del </w:t>
      </w:r>
      <w:r w:rsidR="00E4611E">
        <w:rPr>
          <w:rFonts w:cs="Calibri"/>
          <w:color w:val="000000"/>
          <w:lang w:eastAsia="es-CR"/>
        </w:rPr>
        <w:t>2</w:t>
      </w:r>
      <w:r w:rsidRPr="00694299">
        <w:rPr>
          <w:rFonts w:cs="Calibri"/>
          <w:color w:val="000000"/>
          <w:lang w:eastAsia="es-CR"/>
        </w:rPr>
        <w:t>6,</w:t>
      </w:r>
      <w:r w:rsidR="00E4611E">
        <w:rPr>
          <w:rFonts w:cs="Calibri"/>
          <w:color w:val="000000"/>
          <w:lang w:eastAsia="es-CR"/>
        </w:rPr>
        <w:t>95</w:t>
      </w:r>
      <w:r w:rsidRPr="00694299">
        <w:rPr>
          <w:rFonts w:cs="Calibri"/>
          <w:color w:val="000000"/>
          <w:lang w:eastAsia="es-CR"/>
        </w:rPr>
        <w:t>% de recursos disponibles.</w:t>
      </w:r>
    </w:p>
    <w:p w14:paraId="600F5CCC" w14:textId="77777777" w:rsidR="00E4611E" w:rsidRPr="00E4611E" w:rsidRDefault="00E4611E" w:rsidP="00E4611E">
      <w:pPr>
        <w:spacing w:after="0" w:line="240" w:lineRule="auto"/>
        <w:rPr>
          <w:rFonts w:eastAsia="Times New Roman" w:cs="Calibri"/>
          <w:sz w:val="20"/>
          <w:szCs w:val="20"/>
        </w:rPr>
      </w:pPr>
    </w:p>
    <w:p w14:paraId="1A69B421" w14:textId="07BD0671" w:rsidR="0011777B" w:rsidRPr="00654C21" w:rsidRDefault="00654C21" w:rsidP="0011777B">
      <w:pPr>
        <w:rPr>
          <w:rFonts w:cs="Times New Roman"/>
          <w:szCs w:val="24"/>
          <w:lang w:eastAsia="es-CR"/>
        </w:rPr>
      </w:pPr>
      <w:r>
        <w:rPr>
          <w:rFonts w:cs="Calibri"/>
          <w:color w:val="000000"/>
          <w:lang w:eastAsia="es-CR"/>
        </w:rPr>
        <w:fldChar w:fldCharType="end"/>
      </w:r>
      <w:r w:rsidR="00692DC8" w:rsidRPr="00692DC8">
        <w:rPr>
          <w:rFonts w:cs="Times New Roman"/>
          <w:szCs w:val="24"/>
          <w:highlight w:val="lightGray"/>
          <w:lang w:eastAsia="es-CR"/>
        </w:rPr>
        <w:t>Las variaciones de la cuenta son producto de (Indicar la razón de las variaciones de un periodo a otro):</w:t>
      </w:r>
      <w:r w:rsidR="00692DC8" w:rsidRPr="00692DC8">
        <w:rPr>
          <w:rFonts w:cs="Times New Roman"/>
          <w:szCs w:val="24"/>
          <w:lang w:eastAsia="es-CR"/>
        </w:rPr>
        <w:t xml:space="preserve"> </w:t>
      </w:r>
    </w:p>
    <w:p w14:paraId="02F707FE" w14:textId="435DD9DF" w:rsidR="007F7997" w:rsidRDefault="007F7997" w:rsidP="007F7997">
      <w:pPr>
        <w:spacing w:line="240" w:lineRule="auto"/>
        <w:rPr>
          <w:bCs/>
          <w:lang w:val="es-ES"/>
        </w:rPr>
      </w:pPr>
      <w:r>
        <w:rPr>
          <w:bCs/>
          <w:lang w:val="es-ES"/>
        </w:rPr>
        <w:t xml:space="preserve">El detalle comparativo de los saldos que presentan los diferentes tipos de activos que componen los bienes de Propiedad, Plante y Equipo entre el </w:t>
      </w:r>
      <w:r w:rsidR="00D470B6">
        <w:rPr>
          <w:bCs/>
          <w:lang w:val="es-ES"/>
        </w:rPr>
        <w:t>30 de junio</w:t>
      </w:r>
      <w:r>
        <w:rPr>
          <w:bCs/>
          <w:lang w:val="es-ES"/>
        </w:rPr>
        <w:t xml:space="preserve"> de 2023 y el </w:t>
      </w:r>
      <w:r w:rsidR="00D470B6">
        <w:rPr>
          <w:bCs/>
          <w:lang w:val="es-ES"/>
        </w:rPr>
        <w:t>30 de junio</w:t>
      </w:r>
      <w:r>
        <w:rPr>
          <w:bCs/>
          <w:lang w:val="es-ES"/>
        </w:rPr>
        <w:t xml:space="preserve"> de 2024, en el que se aprecian las diferencias citadas es el siguiente: </w:t>
      </w:r>
    </w:p>
    <w:p w14:paraId="662525F8" w14:textId="0DDDE553" w:rsidR="007F7997" w:rsidRPr="007F7997" w:rsidRDefault="00E74834" w:rsidP="0011777B">
      <w:pPr>
        <w:rPr>
          <w:lang w:val="es-ES"/>
        </w:rPr>
      </w:pPr>
      <w:r w:rsidRPr="00E74834">
        <w:rPr>
          <w:noProof/>
          <w:lang w:eastAsia="es-CR"/>
        </w:rPr>
        <w:drawing>
          <wp:inline distT="0" distB="0" distL="0" distR="0" wp14:anchorId="31C05742" wp14:editId="65A8DF6D">
            <wp:extent cx="6028956" cy="4797083"/>
            <wp:effectExtent l="0" t="0" r="0" b="3810"/>
            <wp:docPr id="2523040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36682" cy="4803230"/>
                    </a:xfrm>
                    <a:prstGeom prst="rect">
                      <a:avLst/>
                    </a:prstGeom>
                    <a:noFill/>
                    <a:ln>
                      <a:noFill/>
                    </a:ln>
                  </pic:spPr>
                </pic:pic>
              </a:graphicData>
            </a:graphic>
          </wp:inline>
        </w:drawing>
      </w:r>
    </w:p>
    <w:p w14:paraId="38454E48" w14:textId="2D0E04A7" w:rsidR="00081442" w:rsidRPr="00E74834" w:rsidRDefault="00081442" w:rsidP="009257D4">
      <w:pPr>
        <w:spacing w:after="0" w:line="240" w:lineRule="auto"/>
        <w:rPr>
          <w:rFonts w:eastAsia="Times New Roman" w:cs="Calibri"/>
          <w:b/>
          <w:bCs/>
          <w:color w:val="000000"/>
          <w:sz w:val="20"/>
          <w:szCs w:val="20"/>
        </w:rPr>
      </w:pPr>
      <w:r w:rsidRPr="00154852">
        <w:t>Como se observa en el cuadro anterior la variación (</w:t>
      </w:r>
      <w:r>
        <w:t>aumento</w:t>
      </w:r>
      <w:r w:rsidRPr="00154852">
        <w:t xml:space="preserve">) de </w:t>
      </w:r>
      <w:r w:rsidRPr="00154852">
        <w:rPr>
          <w:rFonts w:ascii="Arial" w:hAnsi="Arial" w:cs="Arial"/>
        </w:rPr>
        <w:t>₡</w:t>
      </w:r>
      <w:r w:rsidR="00E74834" w:rsidRPr="00E4611E">
        <w:rPr>
          <w:rFonts w:cs="Calibri"/>
          <w:color w:val="000000"/>
          <w:lang w:eastAsia="es-CR"/>
        </w:rPr>
        <w:t>498 234,30</w:t>
      </w:r>
      <w:r w:rsidR="00E74834">
        <w:rPr>
          <w:rFonts w:cs="Calibri"/>
          <w:color w:val="000000"/>
          <w:lang w:eastAsia="es-CR"/>
        </w:rPr>
        <w:t xml:space="preserve"> </w:t>
      </w:r>
      <w:r>
        <w:rPr>
          <w:bCs/>
          <w:lang w:val="es-ES"/>
        </w:rPr>
        <w:t>miles</w:t>
      </w:r>
      <w:r w:rsidRPr="00154852">
        <w:t xml:space="preserve"> corresponden principalmente</w:t>
      </w:r>
      <w:r>
        <w:t xml:space="preserve"> </w:t>
      </w:r>
      <w:r w:rsidRPr="00154852">
        <w:t>a un efecto neto</w:t>
      </w:r>
      <w:r>
        <w:t>,</w:t>
      </w:r>
      <w:r w:rsidRPr="00154852">
        <w:t xml:space="preserve"> ya que el valor </w:t>
      </w:r>
      <w:r>
        <w:t xml:space="preserve">original </w:t>
      </w:r>
      <w:r w:rsidRPr="00154852">
        <w:t>aument</w:t>
      </w:r>
      <w:r>
        <w:t>ó</w:t>
      </w:r>
      <w:r w:rsidRPr="00154852">
        <w:t xml:space="preserve"> entre </w:t>
      </w:r>
      <w:r w:rsidR="0096573A">
        <w:t>junio</w:t>
      </w:r>
      <w:r w:rsidRPr="00154852">
        <w:t xml:space="preserve"> de </w:t>
      </w:r>
      <w:r>
        <w:t>2023</w:t>
      </w:r>
      <w:r w:rsidRPr="00154852">
        <w:t xml:space="preserve"> y </w:t>
      </w:r>
      <w:r w:rsidR="0096573A">
        <w:t>junio</w:t>
      </w:r>
      <w:r w:rsidRPr="00154852">
        <w:t xml:space="preserve"> de </w:t>
      </w:r>
      <w:r>
        <w:t>2024</w:t>
      </w:r>
      <w:r w:rsidRPr="00154852">
        <w:t xml:space="preserve"> </w:t>
      </w:r>
      <w:r w:rsidR="00E74834">
        <w:t>d</w:t>
      </w:r>
      <w:r w:rsidRPr="00154852">
        <w:t xml:space="preserve">e </w:t>
      </w:r>
      <w:r w:rsidRPr="00E74834">
        <w:rPr>
          <w:rFonts w:ascii="Arial" w:hAnsi="Arial" w:cs="Arial"/>
        </w:rPr>
        <w:t>₡</w:t>
      </w:r>
      <w:r w:rsidR="00E74834" w:rsidRPr="00E74834">
        <w:t>601 078,02</w:t>
      </w:r>
      <w:r w:rsidR="00E74834">
        <w:rPr>
          <w:rFonts w:eastAsia="Times New Roman" w:cs="Calibri"/>
          <w:b/>
          <w:bCs/>
          <w:color w:val="000000"/>
          <w:sz w:val="20"/>
          <w:szCs w:val="20"/>
        </w:rPr>
        <w:t xml:space="preserve"> </w:t>
      </w:r>
      <w:r w:rsidRPr="00154852">
        <w:t>miles</w:t>
      </w:r>
      <w:r>
        <w:t xml:space="preserve"> como consecuencia </w:t>
      </w:r>
      <w:r w:rsidRPr="00154852">
        <w:t>de la adquisición de nuevos activos</w:t>
      </w:r>
      <w:r w:rsidR="00E74834">
        <w:t xml:space="preserve"> y el registro de activos identificados como parte del inventario que se está llevando a cabo</w:t>
      </w:r>
      <w:r>
        <w:t xml:space="preserve">; </w:t>
      </w:r>
      <w:r w:rsidRPr="00154852">
        <w:t>mientras tanto</w:t>
      </w:r>
      <w:r>
        <w:t xml:space="preserve"> </w:t>
      </w:r>
      <w:r w:rsidRPr="00154852">
        <w:t>la Depreciación Acumulada del periodo</w:t>
      </w:r>
      <w:r>
        <w:t xml:space="preserve"> con respecto al mismo mes del periodo del año anterior se incrementó en</w:t>
      </w:r>
      <w:r w:rsidRPr="00154852">
        <w:t xml:space="preserve"> </w:t>
      </w:r>
      <w:r w:rsidRPr="00154852">
        <w:rPr>
          <w:rFonts w:ascii="Arial" w:hAnsi="Arial" w:cs="Arial"/>
        </w:rPr>
        <w:t>₡</w:t>
      </w:r>
      <w:r w:rsidR="00E74834" w:rsidRPr="00E74834">
        <w:t>102</w:t>
      </w:r>
      <w:r w:rsidR="00E74834">
        <w:t xml:space="preserve"> </w:t>
      </w:r>
      <w:r w:rsidR="00E74834" w:rsidRPr="00E74834">
        <w:t>843,7</w:t>
      </w:r>
      <w:r w:rsidR="00E74834">
        <w:t xml:space="preserve">2 </w:t>
      </w:r>
      <w:r w:rsidRPr="00154852">
        <w:t>miles</w:t>
      </w:r>
      <w:r w:rsidR="009257D4">
        <w:t>,</w:t>
      </w:r>
      <w:r w:rsidRPr="00154852">
        <w:t xml:space="preserve"> producto del registro del gasto de depreciación </w:t>
      </w:r>
      <w:r>
        <w:t xml:space="preserve">correspondiente. Además, la diferencia esta influenciada por </w:t>
      </w:r>
      <w:r w:rsidRPr="00154852">
        <w:t>varios ajustes realizados a los registros iniciales.</w:t>
      </w:r>
    </w:p>
    <w:p w14:paraId="55D90323" w14:textId="77777777" w:rsidR="00081442" w:rsidRPr="00E844AD" w:rsidRDefault="00081442" w:rsidP="00081442">
      <w:pPr>
        <w:spacing w:after="0" w:line="240" w:lineRule="auto"/>
        <w:rPr>
          <w:b/>
          <w:sz w:val="20"/>
          <w:szCs w:val="20"/>
          <w:lang w:eastAsia="es-CR"/>
        </w:rPr>
      </w:pPr>
    </w:p>
    <w:p w14:paraId="015A2D89" w14:textId="77777777" w:rsidR="00081442" w:rsidRPr="00257C63" w:rsidRDefault="00081442" w:rsidP="00081442">
      <w:pPr>
        <w:spacing w:after="0" w:line="240" w:lineRule="auto"/>
        <w:rPr>
          <w:rFonts w:cs="Calibri"/>
          <w:sz w:val="20"/>
          <w:szCs w:val="20"/>
        </w:rPr>
      </w:pPr>
      <w:r>
        <w:t>En relación con las Edificaciones y Terrenos</w:t>
      </w:r>
      <w:r w:rsidRPr="00A91674">
        <w:t xml:space="preserve">, </w:t>
      </w:r>
      <w:r>
        <w:t>mediante</w:t>
      </w:r>
      <w:r w:rsidRPr="00A91674">
        <w:t xml:space="preserve"> el Oficio DU-MA-122-2021 remitido por la Coordinadora Departamento Desarrollo Urbano al Señor Alcalde el 29 de setiembre de 2021, le indica que tenían identificadas 175 propiedades a nombre de la Municipalidad, sobre las cuales se deben efectuar las siguientes acciones:</w:t>
      </w:r>
    </w:p>
    <w:p w14:paraId="7B918FBF" w14:textId="77777777" w:rsidR="00081442" w:rsidRPr="00A91674" w:rsidRDefault="00081442" w:rsidP="00081442">
      <w:pPr>
        <w:shd w:val="clear" w:color="auto" w:fill="FFFFFF" w:themeFill="background1"/>
        <w:spacing w:after="0" w:line="240" w:lineRule="auto"/>
      </w:pPr>
    </w:p>
    <w:p w14:paraId="1A448E52" w14:textId="77777777" w:rsidR="00081442" w:rsidRPr="00A91674" w:rsidRDefault="00081442" w:rsidP="00081442">
      <w:pPr>
        <w:pStyle w:val="Prrafodelista"/>
        <w:numPr>
          <w:ilvl w:val="0"/>
          <w:numId w:val="53"/>
        </w:numPr>
        <w:shd w:val="clear" w:color="auto" w:fill="FFFFFF" w:themeFill="background1"/>
        <w:spacing w:after="0" w:line="240" w:lineRule="auto"/>
        <w:ind w:left="425" w:hanging="357"/>
        <w:contextualSpacing w:val="0"/>
      </w:pPr>
      <w:r w:rsidRPr="00A91674">
        <w:t xml:space="preserve">62 propiedades deben ser objeto de un proceso de regularización por parte del Asesor Legal municipal, debido a que no pertenecen a la Municipalidad, </w:t>
      </w:r>
    </w:p>
    <w:p w14:paraId="5314AF70" w14:textId="77777777" w:rsidR="00081442" w:rsidRPr="00A91674" w:rsidRDefault="00081442" w:rsidP="00081442">
      <w:pPr>
        <w:pStyle w:val="Prrafodelista"/>
        <w:numPr>
          <w:ilvl w:val="0"/>
          <w:numId w:val="53"/>
        </w:numPr>
        <w:shd w:val="clear" w:color="auto" w:fill="FFFFFF" w:themeFill="background1"/>
        <w:spacing w:after="0" w:line="240" w:lineRule="auto"/>
        <w:ind w:left="425" w:hanging="357"/>
        <w:contextualSpacing w:val="0"/>
      </w:pPr>
      <w:r w:rsidRPr="00A91674">
        <w:t>51 propiedades relacionadas con lotes comunales destinados a parques y plazas deben ser objeto de valoración por parte del departamento de Administración Tributaria, a través del programa de Valoración del Ministerio de Hacienda.</w:t>
      </w:r>
    </w:p>
    <w:p w14:paraId="5B9B38BF" w14:textId="77777777" w:rsidR="00081442" w:rsidRPr="00A91674" w:rsidRDefault="00081442" w:rsidP="00081442">
      <w:pPr>
        <w:pStyle w:val="Prrafodelista"/>
        <w:numPr>
          <w:ilvl w:val="0"/>
          <w:numId w:val="53"/>
        </w:numPr>
        <w:shd w:val="clear" w:color="auto" w:fill="FFFFFF" w:themeFill="background1"/>
        <w:spacing w:after="0" w:line="240" w:lineRule="auto"/>
        <w:ind w:left="426"/>
        <w:contextualSpacing w:val="0"/>
      </w:pPr>
      <w:r w:rsidRPr="00A91674">
        <w:t>Se debe obtener del Ingeniero del Departamento de Desarrollo Local, una actualización del avalúo que realizó en su momento de la Terminal, Mercado y edificios municipales.</w:t>
      </w:r>
    </w:p>
    <w:p w14:paraId="6CDCE827" w14:textId="77777777" w:rsidR="00081442" w:rsidRPr="00A91674" w:rsidRDefault="00081442" w:rsidP="00081442">
      <w:pPr>
        <w:shd w:val="clear" w:color="auto" w:fill="FFFFFF" w:themeFill="background1"/>
        <w:spacing w:after="0" w:line="240" w:lineRule="auto"/>
      </w:pPr>
    </w:p>
    <w:p w14:paraId="71C3082A" w14:textId="77777777" w:rsidR="00081442" w:rsidRPr="00A91674" w:rsidRDefault="00081442" w:rsidP="00081442">
      <w:pPr>
        <w:shd w:val="clear" w:color="auto" w:fill="FFFFFF" w:themeFill="background1"/>
        <w:spacing w:after="0" w:line="240" w:lineRule="auto"/>
      </w:pPr>
      <w:r w:rsidRPr="00A91674">
        <w:t>Con base en dicho oficio, el señor Alcalde mediante el Oficio -AMBA-057-2022 del 02 de febrero de 2022, instó al Asesor Legal, a la jefe del Departamento de Administración Tributaria y al Ingeniero del Departamento de Desarrollo Local, para que realizaran la programación de las tareas respectivas, con el fin de brindar la información requerida sobre las propiedades municipales consignada en el Oficio DU-MA-122-2021, tareas que al 30 de setiembre de 2022 aún están en desarrollo.</w:t>
      </w:r>
    </w:p>
    <w:p w14:paraId="621D37F4" w14:textId="77777777" w:rsidR="00081442" w:rsidRPr="00A91674" w:rsidRDefault="00081442" w:rsidP="00081442">
      <w:pPr>
        <w:shd w:val="clear" w:color="auto" w:fill="FFFFFF" w:themeFill="background1"/>
        <w:spacing w:after="0" w:line="240" w:lineRule="auto"/>
      </w:pPr>
    </w:p>
    <w:p w14:paraId="15F87FDB" w14:textId="77777777" w:rsidR="00081442" w:rsidRPr="00A91674" w:rsidRDefault="00081442" w:rsidP="00081442">
      <w:pPr>
        <w:shd w:val="clear" w:color="auto" w:fill="FFFFFF" w:themeFill="background1"/>
        <w:spacing w:after="0" w:line="240" w:lineRule="auto"/>
      </w:pPr>
      <w:r w:rsidRPr="00A91674">
        <w:t>Es pertinente indicar que mediante oficio Nº DU-MBA-009-</w:t>
      </w:r>
      <w:r>
        <w:t>2024</w:t>
      </w:r>
      <w:r w:rsidRPr="00A91674">
        <w:t xml:space="preserve"> del 9 de febrero de </w:t>
      </w:r>
      <w:r>
        <w:t>2024</w:t>
      </w:r>
      <w:r w:rsidRPr="00A91674">
        <w:t xml:space="preserve"> la Coordinadora del Departamento Desarrollo Urbano manifiesta que se realizado el siguiente trabajo en relación con las propiedades Municipales:</w:t>
      </w:r>
    </w:p>
    <w:p w14:paraId="794DC3D4" w14:textId="77777777" w:rsidR="00081442" w:rsidRPr="00A91674" w:rsidRDefault="00081442" w:rsidP="00081442">
      <w:pPr>
        <w:shd w:val="clear" w:color="auto" w:fill="FFFFFF" w:themeFill="background1"/>
        <w:spacing w:after="0" w:line="240" w:lineRule="auto"/>
      </w:pPr>
    </w:p>
    <w:p w14:paraId="375EA2F6" w14:textId="77777777" w:rsidR="00081442" w:rsidRPr="00A91674" w:rsidRDefault="00081442" w:rsidP="00081442">
      <w:pPr>
        <w:pStyle w:val="Prrafodelista"/>
        <w:numPr>
          <w:ilvl w:val="0"/>
          <w:numId w:val="54"/>
        </w:numPr>
        <w:shd w:val="clear" w:color="auto" w:fill="FFFFFF" w:themeFill="background1"/>
        <w:spacing w:after="0" w:line="240" w:lineRule="auto"/>
        <w:ind w:left="425" w:hanging="357"/>
        <w:contextualSpacing w:val="0"/>
      </w:pPr>
      <w:r w:rsidRPr="00A91674">
        <w:t>Se han actualizado avalúos de propiedades</w:t>
      </w:r>
    </w:p>
    <w:p w14:paraId="449E9674" w14:textId="77777777" w:rsidR="00081442" w:rsidRPr="00A91674" w:rsidRDefault="00081442" w:rsidP="00081442">
      <w:pPr>
        <w:pStyle w:val="Prrafodelista"/>
        <w:numPr>
          <w:ilvl w:val="0"/>
          <w:numId w:val="54"/>
        </w:numPr>
        <w:shd w:val="clear" w:color="auto" w:fill="FFFFFF" w:themeFill="background1"/>
        <w:spacing w:after="0" w:line="240" w:lineRule="auto"/>
        <w:ind w:left="425" w:hanging="357"/>
        <w:contextualSpacing w:val="0"/>
      </w:pPr>
      <w:r w:rsidRPr="00A91674">
        <w:t xml:space="preserve">Se solicitó apoyo a la Administración Tributaria para que </w:t>
      </w:r>
      <w:r>
        <w:t>haga</w:t>
      </w:r>
      <w:r w:rsidRPr="00A91674">
        <w:t xml:space="preserve"> uso del programa de la ONT para </w:t>
      </w:r>
      <w:r>
        <w:t xml:space="preserve">la </w:t>
      </w:r>
      <w:r w:rsidRPr="00A91674">
        <w:t>actualización y valoración</w:t>
      </w:r>
    </w:p>
    <w:p w14:paraId="12FEA6E0" w14:textId="77777777" w:rsidR="00081442" w:rsidRPr="00A91674" w:rsidRDefault="00081442" w:rsidP="00081442">
      <w:pPr>
        <w:pStyle w:val="Prrafodelista"/>
        <w:numPr>
          <w:ilvl w:val="0"/>
          <w:numId w:val="54"/>
        </w:numPr>
        <w:shd w:val="clear" w:color="auto" w:fill="FFFFFF" w:themeFill="background1"/>
        <w:spacing w:after="0" w:line="240" w:lineRule="auto"/>
        <w:ind w:left="425" w:hanging="357"/>
        <w:contextualSpacing w:val="0"/>
      </w:pPr>
      <w:r w:rsidRPr="00A91674">
        <w:t xml:space="preserve">De las 175 propiedades antes citadas ya se contrató a profesionales en topografía para la elaboración de planos de catastro de las propiedades que no cuentan con el mismo y se reservó en el Presupuesto del </w:t>
      </w:r>
      <w:r>
        <w:t>2024</w:t>
      </w:r>
      <w:r w:rsidRPr="00A91674">
        <w:t xml:space="preserve"> recurso para contratación de topógrafos. Al respecto se han contratado Cementerio, Edificio Municipal, Parque Central, propiedad donde se ubican los tanques sépticos del mercado, Parque de Urbanización las Rosas y Parque en Lotificación Filadelfia Fuentes.</w:t>
      </w:r>
    </w:p>
    <w:p w14:paraId="4E54A4D5" w14:textId="77777777" w:rsidR="00081442" w:rsidRPr="00A91674" w:rsidRDefault="00081442" w:rsidP="00081442">
      <w:pPr>
        <w:pStyle w:val="Prrafodelista"/>
        <w:numPr>
          <w:ilvl w:val="0"/>
          <w:numId w:val="54"/>
        </w:numPr>
        <w:shd w:val="clear" w:color="auto" w:fill="FFFFFF" w:themeFill="background1"/>
        <w:spacing w:after="0" w:line="240" w:lineRule="auto"/>
        <w:ind w:left="426"/>
        <w:contextualSpacing w:val="0"/>
      </w:pPr>
      <w:r w:rsidRPr="00A91674">
        <w:t>Se han aportado los avalúos de Plaza Gol en proceso de donación, Plaza las Colinas y Plaza los Ángeles de Potrero Grande.</w:t>
      </w:r>
    </w:p>
    <w:p w14:paraId="204467D5" w14:textId="77777777" w:rsidR="00081442" w:rsidRPr="00A91674" w:rsidRDefault="00081442" w:rsidP="00081442">
      <w:pPr>
        <w:shd w:val="clear" w:color="auto" w:fill="FFFFFF" w:themeFill="background1"/>
        <w:spacing w:after="0" w:line="240" w:lineRule="auto"/>
      </w:pPr>
    </w:p>
    <w:p w14:paraId="7B5011CB" w14:textId="77777777" w:rsidR="00081442" w:rsidRPr="00A91674" w:rsidRDefault="00081442" w:rsidP="00081442">
      <w:pPr>
        <w:shd w:val="clear" w:color="auto" w:fill="FFFFFF" w:themeFill="background1"/>
        <w:spacing w:after="0" w:line="240" w:lineRule="auto"/>
      </w:pPr>
      <w:r w:rsidRPr="00A91674">
        <w:t xml:space="preserve"> Además, señala que queda pendiente: </w:t>
      </w:r>
    </w:p>
    <w:p w14:paraId="49C79A86" w14:textId="77777777" w:rsidR="00081442" w:rsidRPr="00A91674" w:rsidRDefault="00081442" w:rsidP="00081442">
      <w:pPr>
        <w:shd w:val="clear" w:color="auto" w:fill="FFFFFF" w:themeFill="background1"/>
        <w:spacing w:after="0" w:line="240" w:lineRule="auto"/>
      </w:pPr>
    </w:p>
    <w:p w14:paraId="097FD13D" w14:textId="77777777" w:rsidR="00081442" w:rsidRPr="00A91674" w:rsidRDefault="00081442" w:rsidP="00081442">
      <w:pPr>
        <w:pStyle w:val="Prrafodelista"/>
        <w:numPr>
          <w:ilvl w:val="0"/>
          <w:numId w:val="55"/>
        </w:numPr>
        <w:shd w:val="clear" w:color="auto" w:fill="FFFFFF" w:themeFill="background1"/>
        <w:spacing w:after="0" w:line="240" w:lineRule="auto"/>
        <w:ind w:left="425" w:hanging="357"/>
        <w:contextualSpacing w:val="0"/>
      </w:pPr>
      <w:r w:rsidRPr="00A91674">
        <w:t>Que el Departamento de Administración Tributaria brinde una programación o tiempo necesario para poder atender solicitud.</w:t>
      </w:r>
    </w:p>
    <w:p w14:paraId="078ABA60" w14:textId="77777777" w:rsidR="00081442" w:rsidRPr="00A91674" w:rsidRDefault="00081442" w:rsidP="00081442">
      <w:pPr>
        <w:pStyle w:val="Prrafodelista"/>
        <w:numPr>
          <w:ilvl w:val="0"/>
          <w:numId w:val="55"/>
        </w:numPr>
        <w:shd w:val="clear" w:color="auto" w:fill="FFFFFF" w:themeFill="background1"/>
        <w:spacing w:after="0" w:line="240" w:lineRule="auto"/>
        <w:ind w:left="425" w:hanging="357"/>
        <w:contextualSpacing w:val="0"/>
      </w:pPr>
      <w:r w:rsidRPr="00A91674">
        <w:t>Considerando el tiempo que indique del punto anterior, valorar horas para funcionario experto en el uso del programa, el señor Feliz Saldaña, o cualquier otro compañero con dicha experiencia.</w:t>
      </w:r>
    </w:p>
    <w:p w14:paraId="701CA49A" w14:textId="77777777" w:rsidR="00081442" w:rsidRPr="00A91674" w:rsidRDefault="00081442" w:rsidP="00081442">
      <w:pPr>
        <w:pStyle w:val="Prrafodelista"/>
        <w:numPr>
          <w:ilvl w:val="0"/>
          <w:numId w:val="55"/>
        </w:numPr>
        <w:shd w:val="clear" w:color="auto" w:fill="FFFFFF" w:themeFill="background1"/>
        <w:spacing w:after="0" w:line="240" w:lineRule="auto"/>
        <w:ind w:left="426"/>
        <w:contextualSpacing w:val="0"/>
      </w:pPr>
      <w:r w:rsidRPr="00A91674">
        <w:t xml:space="preserve">Avance del Área legal en el traspaso y/o eliminación de propiedades. </w:t>
      </w:r>
    </w:p>
    <w:p w14:paraId="15E39CD6" w14:textId="77777777" w:rsidR="00081442" w:rsidRDefault="00081442" w:rsidP="00081442">
      <w:pPr>
        <w:shd w:val="clear" w:color="auto" w:fill="FFFFFF" w:themeFill="background1"/>
        <w:spacing w:after="0" w:line="240" w:lineRule="auto"/>
        <w:ind w:left="66"/>
      </w:pPr>
    </w:p>
    <w:p w14:paraId="58047F01" w14:textId="77777777" w:rsidR="00081442" w:rsidRDefault="00081442" w:rsidP="00081442">
      <w:pPr>
        <w:shd w:val="clear" w:color="auto" w:fill="FFFFFF" w:themeFill="background1"/>
        <w:spacing w:after="0" w:line="240" w:lineRule="auto"/>
        <w:ind w:left="66"/>
      </w:pPr>
      <w:r w:rsidRPr="00B21D4F">
        <w:t>Es pertinente mencionar que mediante oficio Nº DU-MBA-031-</w:t>
      </w:r>
      <w:r>
        <w:t>2024</w:t>
      </w:r>
      <w:r w:rsidRPr="00B21D4F">
        <w:t xml:space="preserve"> del 27 de abril de </w:t>
      </w:r>
      <w:r>
        <w:t>2024</w:t>
      </w:r>
      <w:r w:rsidRPr="00B21D4F">
        <w:t xml:space="preserve"> la Coordinadora Departamento Desarrollo Urbano indicó que no se contaba con nuevos avalúos.</w:t>
      </w:r>
      <w:r>
        <w:t xml:space="preserve"> </w:t>
      </w:r>
    </w:p>
    <w:p w14:paraId="3F892B38" w14:textId="77777777" w:rsidR="00081442" w:rsidRDefault="00081442" w:rsidP="00081442">
      <w:pPr>
        <w:shd w:val="clear" w:color="auto" w:fill="FFFFFF" w:themeFill="background1"/>
        <w:spacing w:after="0" w:line="240" w:lineRule="auto"/>
        <w:ind w:left="66"/>
      </w:pPr>
    </w:p>
    <w:p w14:paraId="0C4BE5BA" w14:textId="77777777" w:rsidR="00081442" w:rsidRPr="00B21D4F" w:rsidRDefault="00081442" w:rsidP="00081442">
      <w:pPr>
        <w:shd w:val="clear" w:color="auto" w:fill="FFFFFF" w:themeFill="background1"/>
        <w:spacing w:after="0" w:line="240" w:lineRule="auto"/>
        <w:ind w:left="66"/>
      </w:pPr>
      <w:r>
        <w:t>Asimismo, debe indicarse que mediante oficio AT/MBA/054-2024 del 15 de noviembre de 2024, la Encargada de la Administración Tributaria municipal informa que por falta de personal no se ha podido realizar los avalúos de las propiedades municipales, además que carecen de registros de parques infantiles, por lo que si le aprueban tiempo extraordinario para cierre de año se harán lo posible para concluir la información.</w:t>
      </w:r>
    </w:p>
    <w:p w14:paraId="56B8D700" w14:textId="77777777" w:rsidR="00081442" w:rsidRDefault="00081442" w:rsidP="00081442">
      <w:pPr>
        <w:shd w:val="clear" w:color="auto" w:fill="FFFFFF" w:themeFill="background1"/>
        <w:spacing w:after="0" w:line="240" w:lineRule="auto"/>
      </w:pPr>
    </w:p>
    <w:p w14:paraId="0C1D1151" w14:textId="77777777" w:rsidR="00081442" w:rsidRDefault="00081442" w:rsidP="00081442">
      <w:pPr>
        <w:shd w:val="clear" w:color="auto" w:fill="FFFFFF" w:themeFill="background1"/>
        <w:spacing w:after="0" w:line="240" w:lineRule="auto"/>
        <w:ind w:left="66"/>
      </w:pPr>
      <w:r w:rsidRPr="00A91674">
        <w:t>Finalmente debe señalarse que la Municipalidad está explotando cinco (5) fincas propiedad del ICE detalladas a continuación:</w:t>
      </w:r>
    </w:p>
    <w:p w14:paraId="522DFCA2" w14:textId="77777777" w:rsidR="00081442" w:rsidRPr="00A91674" w:rsidRDefault="00081442" w:rsidP="00081442">
      <w:pPr>
        <w:shd w:val="clear" w:color="auto" w:fill="FFFFFF" w:themeFill="background1"/>
        <w:spacing w:after="0" w:line="240" w:lineRule="auto"/>
        <w:ind w:left="66"/>
      </w:pPr>
    </w:p>
    <w:p w14:paraId="4941B322" w14:textId="77777777" w:rsidR="00081442" w:rsidRPr="00A91674" w:rsidRDefault="00081442" w:rsidP="00081442">
      <w:pPr>
        <w:pStyle w:val="Prrafodelista"/>
        <w:numPr>
          <w:ilvl w:val="0"/>
          <w:numId w:val="56"/>
        </w:numPr>
        <w:shd w:val="clear" w:color="auto" w:fill="FFFFFF" w:themeFill="background1"/>
        <w:spacing w:after="0" w:line="240" w:lineRule="auto"/>
        <w:ind w:left="284" w:hanging="284"/>
        <w:contextualSpacing w:val="0"/>
      </w:pPr>
      <w:r w:rsidRPr="00A91674">
        <w:t>Finca ubicada en la provincia de Puntarenas, cuyas características registrales son: inscrita en el Registro Público de la Propiedad, Sección Bienes Inmuebles, bajo matricula de Folio Real número 112845, Distrito Buenos Aires, Cantón Buenos Aires, Linda al norte: Rafaela Barrantes Santamaría, sur: Aristides Villanueva Granados y Junta Administrativa del Instituto Profesional Agropecuario de Buenos Aires, este: Agropecuario El Remolino S. A., Bonifacio Vidal Bermúdez y Patricio Fernández Mora, y al oeste: Calle Pública. Plano Catastro número P-582867-1999. del total del área del inmueble, el área a utilizar es de aproximadamente de ciento cuarenta y dos mil cuatrocientos treinta y un metros cuadrados con setenta decímetros (142.431,70 m2).</w:t>
      </w:r>
    </w:p>
    <w:p w14:paraId="788208D9" w14:textId="77777777" w:rsidR="00081442" w:rsidRPr="00A91674" w:rsidRDefault="00081442" w:rsidP="00081442">
      <w:pPr>
        <w:shd w:val="clear" w:color="auto" w:fill="FFFFFF" w:themeFill="background1"/>
        <w:spacing w:after="0" w:line="240" w:lineRule="auto"/>
        <w:ind w:left="284" w:hanging="284"/>
      </w:pPr>
    </w:p>
    <w:p w14:paraId="2F9A6372" w14:textId="77777777" w:rsidR="00081442" w:rsidRPr="00A91674" w:rsidRDefault="00081442" w:rsidP="00081442">
      <w:pPr>
        <w:pStyle w:val="Prrafodelista"/>
        <w:numPr>
          <w:ilvl w:val="0"/>
          <w:numId w:val="56"/>
        </w:numPr>
        <w:shd w:val="clear" w:color="auto" w:fill="FFFFFF" w:themeFill="background1"/>
        <w:spacing w:after="0" w:line="240" w:lineRule="auto"/>
        <w:ind w:left="284" w:hanging="284"/>
        <w:contextualSpacing w:val="0"/>
      </w:pPr>
      <w:r w:rsidRPr="00A91674">
        <w:t>Finca ubicada en la provincia de Puntarenas, cuyas características registrales son: inscrita en el Registro Público de la Propiedad, Sección Bienes Inmuebles, bajo matricula de Folio Real número 21290-A, Distrito Buenos Aires, Cantón Buenos Aires, Linda al norte: Agropecuario El Remolino S. A.; sur Junta Administrativa del Instituto Profesional Agropecuario de Buenos Aires; este Junta Administrativa del Instituto Profesional Agropecuario de Buenos Aires; y oeste Calle Pública. Plano Catastro número P-582868-1999, del total del área del inmueble, el área a utilizar es de aproximadamente de cuatro mil quinientos ochenta y seis metros cuadrados (4 586 m2).</w:t>
      </w:r>
    </w:p>
    <w:p w14:paraId="50E5D492" w14:textId="77777777" w:rsidR="00081442" w:rsidRPr="00A91674" w:rsidRDefault="00081442" w:rsidP="00081442">
      <w:pPr>
        <w:shd w:val="clear" w:color="auto" w:fill="FFFFFF" w:themeFill="background1"/>
        <w:spacing w:after="0" w:line="240" w:lineRule="auto"/>
        <w:ind w:left="284" w:hanging="284"/>
      </w:pPr>
    </w:p>
    <w:p w14:paraId="1C18BBCF" w14:textId="77777777" w:rsidR="00081442" w:rsidRPr="00A91674" w:rsidRDefault="00081442" w:rsidP="00081442">
      <w:pPr>
        <w:pStyle w:val="Prrafodelista"/>
        <w:numPr>
          <w:ilvl w:val="0"/>
          <w:numId w:val="56"/>
        </w:numPr>
        <w:shd w:val="clear" w:color="auto" w:fill="FFFFFF" w:themeFill="background1"/>
        <w:spacing w:after="0" w:line="240" w:lineRule="auto"/>
        <w:ind w:left="284" w:hanging="284"/>
        <w:contextualSpacing w:val="0"/>
      </w:pPr>
      <w:r w:rsidRPr="00A91674">
        <w:t>Finca ubicada en la provincia de Puntarenas, cuyas características registrales son: inscrita en el Registro Público de la Propiedad, Sección Bienes Inmuebles, bajo matricula de Folio Real número 170996, Distrito Buenos Aires, Cantón Buenos Aires, Linda al norte: Agropecuario El Remolino S. A. y Daysi Emilice Elizondo Beita; sur Agropecuario El Remolino S. A. y Patricia Fernández Mora; este Patricia Fernández Mora; y oeste Agropecuario El Remolino S. A., Plano Catastro número P-1370836-2009, del total del área del inmueble, el área a utilizar es de aproximadamente de setenta y nueve mil seiscientos ochenta y tres metros cuadrados (79 683 m2).</w:t>
      </w:r>
    </w:p>
    <w:p w14:paraId="7BE9B4B6" w14:textId="77777777" w:rsidR="00081442" w:rsidRPr="00A91674" w:rsidRDefault="00081442" w:rsidP="00081442">
      <w:pPr>
        <w:shd w:val="clear" w:color="auto" w:fill="FFFFFF" w:themeFill="background1"/>
        <w:spacing w:after="0" w:line="240" w:lineRule="auto"/>
        <w:ind w:left="284" w:hanging="284"/>
      </w:pPr>
    </w:p>
    <w:p w14:paraId="4FC69304" w14:textId="77777777" w:rsidR="00081442" w:rsidRPr="00A91674" w:rsidRDefault="00081442" w:rsidP="00081442">
      <w:pPr>
        <w:pStyle w:val="Prrafodelista"/>
        <w:numPr>
          <w:ilvl w:val="0"/>
          <w:numId w:val="56"/>
        </w:numPr>
        <w:shd w:val="clear" w:color="auto" w:fill="FFFFFF" w:themeFill="background1"/>
        <w:spacing w:after="0" w:line="240" w:lineRule="auto"/>
        <w:ind w:left="284" w:hanging="284"/>
        <w:contextualSpacing w:val="0"/>
      </w:pPr>
      <w:r w:rsidRPr="00A91674">
        <w:t>Finca ubicada en la provincia de Puntarenas, cuyas características registrales son: inscrita en el Registro Público de la Propiedad, Sección Bienes Inmuebles, bajo matricula de Folio Real número 58735, Distrito Buenos Aires, Cantón Buenos Aires, Linda al norte: Calle Pública; sur Patricia Fernández Mora; este Juan Félix Vásquez Calderón; y al oeste Bonifacio Vidal Bermúdez. Plano Catastro número P-550367-1984. Del total del área del inmueble, el área a utilizar es de aproximadamente doce mil setecientos sesenta metros cuadrados con cuarenta y dos centímetros (12 760,40 m2).</w:t>
      </w:r>
    </w:p>
    <w:p w14:paraId="1002E5AF" w14:textId="77777777" w:rsidR="00081442" w:rsidRPr="00A91674" w:rsidRDefault="00081442" w:rsidP="00081442">
      <w:pPr>
        <w:shd w:val="clear" w:color="auto" w:fill="FFFFFF" w:themeFill="background1"/>
        <w:spacing w:after="0" w:line="240" w:lineRule="auto"/>
        <w:ind w:left="284" w:hanging="284"/>
      </w:pPr>
    </w:p>
    <w:p w14:paraId="5A322D42" w14:textId="77777777" w:rsidR="00081442" w:rsidRPr="00A91674" w:rsidRDefault="00081442" w:rsidP="00081442">
      <w:pPr>
        <w:pStyle w:val="Prrafodelista"/>
        <w:numPr>
          <w:ilvl w:val="0"/>
          <w:numId w:val="56"/>
        </w:numPr>
        <w:shd w:val="clear" w:color="auto" w:fill="FFFFFF" w:themeFill="background1"/>
        <w:spacing w:after="0" w:line="240" w:lineRule="auto"/>
        <w:ind w:left="284" w:hanging="284"/>
        <w:contextualSpacing w:val="0"/>
      </w:pPr>
      <w:r w:rsidRPr="00A91674">
        <w:t>Finca ubicada en la provincia de Puntarenas, cuyas características registrales son: inscrita en el Registro Público de la Propiedad, Sección Bienes Inmuebles, bajo matricula de Folio Real número 170866, Distrito Buenos Aires, Cantón Buenos Aires, Linda al norte: Daysi Emilice Elizondo Beita; sur Agropecuario El Remolino S. A.; este Agropecuario El Remolino S. A.; y al oeste Calle Pública, Plano Catastro número P-1370837-2009, del total del área del inmueble, el área a utilizar es de aproximadamente diez mil veinticuatro metros cuadrados (10 024 m2).</w:t>
      </w:r>
    </w:p>
    <w:p w14:paraId="51FF3024" w14:textId="77777777" w:rsidR="00081442" w:rsidRPr="00A91674" w:rsidRDefault="00081442" w:rsidP="00081442">
      <w:pPr>
        <w:shd w:val="clear" w:color="auto" w:fill="FFFFFF" w:themeFill="background1"/>
        <w:spacing w:after="0" w:line="240" w:lineRule="auto"/>
        <w:ind w:left="66"/>
      </w:pPr>
    </w:p>
    <w:p w14:paraId="45E6B5E3" w14:textId="77777777" w:rsidR="00081442" w:rsidRDefault="00081442" w:rsidP="00081442">
      <w:pPr>
        <w:shd w:val="clear" w:color="auto" w:fill="FFFFFF" w:themeFill="background1"/>
        <w:spacing w:after="0" w:line="240" w:lineRule="auto"/>
        <w:ind w:left="66"/>
      </w:pPr>
      <w:r w:rsidRPr="00201760">
        <w:t>Dichos inmuebles fueron cedidos en calidad de préstamo gratuito, a título precario y en forma ininterrumpida durante su vigencia (la vigencia es de 1 año prorrogable hasta por 4 periodos iguales), mediante convenio CON-006-19 del 7 de marzo de 2019, para desarrollar en dichos bienes entre otros: programas de capacitación para los habitantes del Cantón de Buenos Aires, así como de la Municipalidad, actividades de recreación para la población en general, desarrollo de proyectos productivos o investigación, así como el almacenamiento, taller y custodia de maquinaria y otros activos municipales.</w:t>
      </w:r>
    </w:p>
    <w:p w14:paraId="3EDC9304" w14:textId="77777777" w:rsidR="00081442" w:rsidRPr="00201760" w:rsidRDefault="00081442" w:rsidP="00081442">
      <w:pPr>
        <w:shd w:val="clear" w:color="auto" w:fill="FFFFFF" w:themeFill="background1"/>
        <w:spacing w:after="0" w:line="240" w:lineRule="auto"/>
        <w:ind w:left="66"/>
      </w:pPr>
    </w:p>
    <w:p w14:paraId="2F00DA38" w14:textId="77777777" w:rsidR="00081442" w:rsidRDefault="00081442" w:rsidP="00081442">
      <w:pPr>
        <w:shd w:val="clear" w:color="auto" w:fill="FFFFFF" w:themeFill="background1"/>
        <w:spacing w:after="0" w:line="240" w:lineRule="auto"/>
        <w:ind w:left="66"/>
      </w:pPr>
      <w:r w:rsidRPr="00201760">
        <w:t>En relación con el convenio en comentario mediante oficio Nº AMBA-175-</w:t>
      </w:r>
      <w:r>
        <w:t>2024</w:t>
      </w:r>
      <w:r w:rsidRPr="00201760">
        <w:t xml:space="preserve"> del 14 marzo de </w:t>
      </w:r>
      <w:r>
        <w:t>2024</w:t>
      </w:r>
      <w:r w:rsidRPr="00201760">
        <w:t xml:space="preserve"> el señor Alcalde solicitó a la Presidencia Ejecutiva del ICE la donación del inmueble propiedad del ICE, ubicado en el sector conocido como “Bajo Remolino”, Buenos Aires, Puntarenas. Sobre el particular, mediante oficio Nº AMBA-393-</w:t>
      </w:r>
      <w:r>
        <w:t>2024</w:t>
      </w:r>
      <w:r w:rsidRPr="00201760">
        <w:t xml:space="preserve"> del 29</w:t>
      </w:r>
      <w:r>
        <w:t xml:space="preserve"> </w:t>
      </w:r>
      <w:r w:rsidRPr="00201760">
        <w:t xml:space="preserve">de junio de </w:t>
      </w:r>
      <w:r>
        <w:t>2024</w:t>
      </w:r>
      <w:r w:rsidRPr="00201760">
        <w:t>, el señor Alcalde informa que a esa fecha no se ha recibido respuesta del ICE y que a dicho trámite el ICE le asignó el consecutivo D-010-</w:t>
      </w:r>
      <w:r>
        <w:t>2024</w:t>
      </w:r>
      <w:r w:rsidRPr="00201760">
        <w:t>.</w:t>
      </w:r>
    </w:p>
    <w:p w14:paraId="4EC0610C" w14:textId="77777777" w:rsidR="00081442" w:rsidRPr="00201760" w:rsidRDefault="00081442" w:rsidP="00081442">
      <w:pPr>
        <w:shd w:val="clear" w:color="auto" w:fill="FFFFFF" w:themeFill="background1"/>
        <w:spacing w:after="0" w:line="240" w:lineRule="auto"/>
        <w:ind w:left="66"/>
      </w:pPr>
    </w:p>
    <w:p w14:paraId="4557E6DF" w14:textId="7E0951E3" w:rsidR="00081442" w:rsidRPr="00893EA3" w:rsidRDefault="00081442" w:rsidP="00081442">
      <w:pPr>
        <w:spacing w:after="0" w:line="240" w:lineRule="auto"/>
        <w:rPr>
          <w:rFonts w:cs="Calibri"/>
          <w:b/>
          <w:bCs/>
          <w:color w:val="000000"/>
          <w:sz w:val="20"/>
          <w:szCs w:val="20"/>
        </w:rPr>
      </w:pPr>
      <w:r w:rsidRPr="00201760">
        <w:t xml:space="preserve">Por otra parte, debe señalarse que, al </w:t>
      </w:r>
      <w:r w:rsidR="00D470B6">
        <w:t>30 de junio</w:t>
      </w:r>
      <w:r w:rsidRPr="00201760">
        <w:t xml:space="preserve"> de </w:t>
      </w:r>
      <w:r>
        <w:t>2024</w:t>
      </w:r>
      <w:r w:rsidRPr="00201760">
        <w:t xml:space="preserve"> de los </w:t>
      </w:r>
      <w:r w:rsidR="009257D4">
        <w:t>1 002</w:t>
      </w:r>
      <w:r w:rsidRPr="00201760">
        <w:t xml:space="preserve"> activos que se mantenían en uso, </w:t>
      </w:r>
      <w:r>
        <w:t>32</w:t>
      </w:r>
      <w:r w:rsidR="009257D4">
        <w:t>7</w:t>
      </w:r>
      <w:r w:rsidRPr="00201760">
        <w:t xml:space="preserve"> activos</w:t>
      </w:r>
      <w:r>
        <w:t xml:space="preserve"> con un </w:t>
      </w:r>
      <w:r w:rsidR="00397867">
        <w:t>valor original</w:t>
      </w:r>
      <w:r>
        <w:t xml:space="preserve"> total de </w:t>
      </w:r>
      <w:r w:rsidRPr="00397867">
        <w:rPr>
          <w:rFonts w:ascii="Arial" w:hAnsi="Arial" w:cs="Arial"/>
        </w:rPr>
        <w:t>₡</w:t>
      </w:r>
      <w:r w:rsidR="00397867" w:rsidRPr="009257D4">
        <w:t>1 043 479 553,75</w:t>
      </w:r>
      <w:r w:rsidR="00397867" w:rsidRPr="00397867">
        <w:t xml:space="preserve"> </w:t>
      </w:r>
      <w:r w:rsidRPr="005D1E01">
        <w:t>miles</w:t>
      </w:r>
      <w:r>
        <w:t>,</w:t>
      </w:r>
      <w:r>
        <w:rPr>
          <w:rFonts w:cs="Calibri"/>
          <w:b/>
          <w:bCs/>
          <w:color w:val="000000"/>
          <w:sz w:val="20"/>
          <w:szCs w:val="20"/>
        </w:rPr>
        <w:t xml:space="preserve"> </w:t>
      </w:r>
      <w:r w:rsidRPr="00201760">
        <w:t>ya cumplieron su vida útil</w:t>
      </w:r>
      <w:r>
        <w:t>,</w:t>
      </w:r>
      <w:r w:rsidRPr="00201760">
        <w:t xml:space="preserve"> por lo que su valor en libros es de cero, los cuales serán objeto de valoración para darles un valor atribuido según sus características, con apego a lo establecido en la NICSP 33. El </w:t>
      </w:r>
      <w:r>
        <w:t>resumen</w:t>
      </w:r>
      <w:r w:rsidRPr="00201760">
        <w:t xml:space="preserve"> de </w:t>
      </w:r>
      <w:r>
        <w:t xml:space="preserve">la cantidad de activos por clases </w:t>
      </w:r>
      <w:r w:rsidRPr="00201760">
        <w:t>se muestra en el siguiente cuadro:</w:t>
      </w:r>
    </w:p>
    <w:p w14:paraId="463A6D18" w14:textId="77777777" w:rsidR="00081442" w:rsidRDefault="00081442" w:rsidP="00081442">
      <w:pPr>
        <w:spacing w:after="0" w:line="240" w:lineRule="auto"/>
      </w:pPr>
    </w:p>
    <w:tbl>
      <w:tblPr>
        <w:tblW w:w="8865" w:type="dxa"/>
        <w:tblLook w:val="04A0" w:firstRow="1" w:lastRow="0" w:firstColumn="1" w:lastColumn="0" w:noHBand="0" w:noVBand="1"/>
      </w:tblPr>
      <w:tblGrid>
        <w:gridCol w:w="3392"/>
        <w:gridCol w:w="987"/>
        <w:gridCol w:w="1707"/>
        <w:gridCol w:w="1701"/>
        <w:gridCol w:w="1078"/>
      </w:tblGrid>
      <w:tr w:rsidR="00397867" w:rsidRPr="009257D4" w14:paraId="39592E81" w14:textId="77777777" w:rsidTr="00397867">
        <w:trPr>
          <w:trHeight w:val="700"/>
        </w:trPr>
        <w:tc>
          <w:tcPr>
            <w:tcW w:w="3392" w:type="dxa"/>
            <w:tcBorders>
              <w:top w:val="single" w:sz="8" w:space="0" w:color="auto"/>
              <w:left w:val="single" w:sz="8" w:space="0" w:color="auto"/>
              <w:bottom w:val="nil"/>
              <w:right w:val="single" w:sz="8" w:space="0" w:color="auto"/>
            </w:tcBorders>
            <w:shd w:val="clear" w:color="000000" w:fill="0B3040"/>
            <w:vAlign w:val="center"/>
            <w:hideMark/>
          </w:tcPr>
          <w:p w14:paraId="2DA455DE" w14:textId="77777777" w:rsidR="009257D4" w:rsidRPr="009257D4" w:rsidRDefault="009257D4" w:rsidP="009257D4">
            <w:pPr>
              <w:spacing w:after="0" w:line="240" w:lineRule="auto"/>
              <w:jc w:val="center"/>
              <w:rPr>
                <w:rFonts w:eastAsia="Times New Roman" w:cs="Times New Roman"/>
                <w:b/>
                <w:bCs/>
                <w:color w:val="FFFFFF"/>
                <w:sz w:val="18"/>
                <w:szCs w:val="18"/>
                <w:lang w:val="en-US"/>
              </w:rPr>
            </w:pPr>
            <w:r w:rsidRPr="009257D4">
              <w:rPr>
                <w:rFonts w:eastAsia="Times New Roman" w:cs="Times New Roman"/>
                <w:b/>
                <w:bCs/>
                <w:color w:val="FFFFFF"/>
                <w:sz w:val="18"/>
                <w:szCs w:val="18"/>
                <w:lang w:val="en-US"/>
              </w:rPr>
              <w:t>DESCRIPCIÓN DEL ACTIVO</w:t>
            </w:r>
          </w:p>
        </w:tc>
        <w:tc>
          <w:tcPr>
            <w:tcW w:w="987" w:type="dxa"/>
            <w:tcBorders>
              <w:top w:val="single" w:sz="8" w:space="0" w:color="auto"/>
              <w:left w:val="nil"/>
              <w:bottom w:val="nil"/>
              <w:right w:val="nil"/>
            </w:tcBorders>
            <w:shd w:val="clear" w:color="000000" w:fill="0B3040"/>
            <w:vAlign w:val="center"/>
            <w:hideMark/>
          </w:tcPr>
          <w:p w14:paraId="147EFAC5" w14:textId="77777777" w:rsidR="009257D4" w:rsidRPr="009257D4" w:rsidRDefault="009257D4" w:rsidP="009257D4">
            <w:pPr>
              <w:spacing w:after="0" w:line="240" w:lineRule="auto"/>
              <w:jc w:val="center"/>
              <w:rPr>
                <w:rFonts w:eastAsia="Times New Roman" w:cs="Times New Roman"/>
                <w:b/>
                <w:bCs/>
                <w:color w:val="FFFFFF"/>
                <w:sz w:val="18"/>
                <w:szCs w:val="18"/>
                <w:lang w:val="en-US"/>
              </w:rPr>
            </w:pPr>
            <w:r w:rsidRPr="009257D4">
              <w:rPr>
                <w:rFonts w:eastAsia="Times New Roman" w:cs="Times New Roman"/>
                <w:b/>
                <w:bCs/>
                <w:color w:val="FFFFFF"/>
                <w:sz w:val="18"/>
                <w:szCs w:val="18"/>
                <w:lang w:val="en-US"/>
              </w:rPr>
              <w:t>CANTIDAD</w:t>
            </w:r>
          </w:p>
        </w:tc>
        <w:tc>
          <w:tcPr>
            <w:tcW w:w="1707" w:type="dxa"/>
            <w:tcBorders>
              <w:top w:val="single" w:sz="8" w:space="0" w:color="auto"/>
              <w:left w:val="single" w:sz="8" w:space="0" w:color="auto"/>
              <w:bottom w:val="nil"/>
              <w:right w:val="single" w:sz="8" w:space="0" w:color="auto"/>
            </w:tcBorders>
            <w:shd w:val="clear" w:color="000000" w:fill="0B3040"/>
            <w:vAlign w:val="center"/>
            <w:hideMark/>
          </w:tcPr>
          <w:p w14:paraId="6667183A" w14:textId="77777777" w:rsidR="009257D4" w:rsidRPr="009257D4" w:rsidRDefault="009257D4" w:rsidP="009257D4">
            <w:pPr>
              <w:spacing w:after="0" w:line="240" w:lineRule="auto"/>
              <w:jc w:val="center"/>
              <w:rPr>
                <w:rFonts w:eastAsia="Times New Roman" w:cs="Times New Roman"/>
                <w:b/>
                <w:bCs/>
                <w:color w:val="FFFFFF"/>
                <w:sz w:val="18"/>
                <w:szCs w:val="18"/>
                <w:lang w:val="en-US"/>
              </w:rPr>
            </w:pPr>
            <w:r w:rsidRPr="009257D4">
              <w:rPr>
                <w:rFonts w:eastAsia="Times New Roman" w:cs="Times New Roman"/>
                <w:b/>
                <w:bCs/>
                <w:color w:val="FFFFFF"/>
                <w:sz w:val="18"/>
                <w:szCs w:val="18"/>
                <w:lang w:val="en-US"/>
              </w:rPr>
              <w:t>COSTO</w:t>
            </w:r>
          </w:p>
        </w:tc>
        <w:tc>
          <w:tcPr>
            <w:tcW w:w="1701" w:type="dxa"/>
            <w:tcBorders>
              <w:top w:val="single" w:sz="8" w:space="0" w:color="auto"/>
              <w:left w:val="nil"/>
              <w:bottom w:val="nil"/>
              <w:right w:val="single" w:sz="8" w:space="0" w:color="auto"/>
            </w:tcBorders>
            <w:shd w:val="clear" w:color="000000" w:fill="0B3040"/>
            <w:vAlign w:val="center"/>
            <w:hideMark/>
          </w:tcPr>
          <w:p w14:paraId="1C195FE9" w14:textId="77777777" w:rsidR="009257D4" w:rsidRPr="009257D4" w:rsidRDefault="009257D4" w:rsidP="009257D4">
            <w:pPr>
              <w:spacing w:after="0" w:line="240" w:lineRule="auto"/>
              <w:jc w:val="center"/>
              <w:rPr>
                <w:rFonts w:eastAsia="Times New Roman" w:cs="Times New Roman"/>
                <w:b/>
                <w:bCs/>
                <w:color w:val="FFFFFF"/>
                <w:sz w:val="18"/>
                <w:szCs w:val="18"/>
                <w:lang w:val="en-US"/>
              </w:rPr>
            </w:pPr>
            <w:r w:rsidRPr="009257D4">
              <w:rPr>
                <w:rFonts w:eastAsia="Times New Roman" w:cs="Times New Roman"/>
                <w:b/>
                <w:bCs/>
                <w:color w:val="FFFFFF"/>
                <w:sz w:val="18"/>
                <w:szCs w:val="18"/>
                <w:lang w:val="en-US"/>
              </w:rPr>
              <w:t>DEPRECIACIÓN</w:t>
            </w:r>
            <w:r w:rsidRPr="009257D4">
              <w:rPr>
                <w:rFonts w:eastAsia="Times New Roman" w:cs="Times New Roman"/>
                <w:b/>
                <w:bCs/>
                <w:color w:val="FFFFFF"/>
                <w:sz w:val="18"/>
                <w:szCs w:val="18"/>
                <w:lang w:val="en-US"/>
              </w:rPr>
              <w:br/>
              <w:t>ACUMULADA JUNIO 2024</w:t>
            </w:r>
          </w:p>
        </w:tc>
        <w:tc>
          <w:tcPr>
            <w:tcW w:w="1078" w:type="dxa"/>
            <w:tcBorders>
              <w:top w:val="single" w:sz="8" w:space="0" w:color="auto"/>
              <w:left w:val="nil"/>
              <w:bottom w:val="nil"/>
              <w:right w:val="single" w:sz="8" w:space="0" w:color="auto"/>
            </w:tcBorders>
            <w:shd w:val="clear" w:color="000000" w:fill="0B3040"/>
            <w:vAlign w:val="center"/>
            <w:hideMark/>
          </w:tcPr>
          <w:p w14:paraId="14812445" w14:textId="77777777" w:rsidR="009257D4" w:rsidRPr="009257D4" w:rsidRDefault="009257D4" w:rsidP="009257D4">
            <w:pPr>
              <w:spacing w:after="0" w:line="240" w:lineRule="auto"/>
              <w:jc w:val="center"/>
              <w:rPr>
                <w:rFonts w:eastAsia="Times New Roman" w:cs="Times New Roman"/>
                <w:b/>
                <w:bCs/>
                <w:color w:val="FFFFFF"/>
                <w:sz w:val="18"/>
                <w:szCs w:val="18"/>
                <w:lang w:val="en-US"/>
              </w:rPr>
            </w:pPr>
            <w:r w:rsidRPr="009257D4">
              <w:rPr>
                <w:rFonts w:eastAsia="Times New Roman" w:cs="Times New Roman"/>
                <w:b/>
                <w:bCs/>
                <w:color w:val="FFFFFF"/>
                <w:sz w:val="18"/>
                <w:szCs w:val="18"/>
                <w:lang w:val="en-US"/>
              </w:rPr>
              <w:t xml:space="preserve">VALOR EN </w:t>
            </w:r>
            <w:r w:rsidRPr="009257D4">
              <w:rPr>
                <w:rFonts w:eastAsia="Times New Roman" w:cs="Times New Roman"/>
                <w:b/>
                <w:bCs/>
                <w:color w:val="FFFFFF"/>
                <w:sz w:val="18"/>
                <w:szCs w:val="18"/>
                <w:lang w:val="en-US"/>
              </w:rPr>
              <w:br/>
              <w:t>LIBROS JUNIO 2024</w:t>
            </w:r>
          </w:p>
        </w:tc>
      </w:tr>
      <w:tr w:rsidR="00397867" w:rsidRPr="009257D4" w14:paraId="38D2D4CB" w14:textId="77777777" w:rsidTr="00397867">
        <w:trPr>
          <w:trHeight w:val="290"/>
        </w:trPr>
        <w:tc>
          <w:tcPr>
            <w:tcW w:w="3392"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2D59D09F" w14:textId="77777777" w:rsidR="009257D4" w:rsidRPr="009257D4" w:rsidRDefault="009257D4" w:rsidP="009257D4">
            <w:pPr>
              <w:spacing w:after="0" w:line="240" w:lineRule="auto"/>
              <w:jc w:val="left"/>
              <w:rPr>
                <w:rFonts w:eastAsia="Times New Roman" w:cs="Times New Roman"/>
                <w:sz w:val="20"/>
                <w:szCs w:val="20"/>
                <w:lang w:val="en-US"/>
              </w:rPr>
            </w:pPr>
            <w:r w:rsidRPr="009257D4">
              <w:rPr>
                <w:rFonts w:eastAsia="Times New Roman" w:cs="Times New Roman"/>
                <w:sz w:val="20"/>
                <w:szCs w:val="20"/>
                <w:lang w:val="en-US"/>
              </w:rPr>
              <w:t>Total Maquinaria Construcción</w:t>
            </w:r>
          </w:p>
        </w:tc>
        <w:tc>
          <w:tcPr>
            <w:tcW w:w="987" w:type="dxa"/>
            <w:tcBorders>
              <w:top w:val="single" w:sz="8" w:space="0" w:color="auto"/>
              <w:left w:val="nil"/>
              <w:bottom w:val="single" w:sz="4" w:space="0" w:color="auto"/>
              <w:right w:val="single" w:sz="4" w:space="0" w:color="auto"/>
            </w:tcBorders>
            <w:shd w:val="clear" w:color="auto" w:fill="auto"/>
            <w:noWrap/>
            <w:vAlign w:val="bottom"/>
            <w:hideMark/>
          </w:tcPr>
          <w:p w14:paraId="69A541B8" w14:textId="77777777" w:rsidR="009257D4" w:rsidRPr="009257D4" w:rsidRDefault="009257D4" w:rsidP="009257D4">
            <w:pPr>
              <w:spacing w:after="0" w:line="240" w:lineRule="auto"/>
              <w:jc w:val="center"/>
              <w:rPr>
                <w:rFonts w:ascii="Aptos Narrow" w:eastAsia="Times New Roman" w:hAnsi="Aptos Narrow" w:cs="Times New Roman"/>
                <w:color w:val="000000"/>
                <w:sz w:val="22"/>
                <w:lang w:val="en-US"/>
              </w:rPr>
            </w:pPr>
            <w:r w:rsidRPr="009257D4">
              <w:rPr>
                <w:rFonts w:ascii="Aptos Narrow" w:eastAsia="Times New Roman" w:hAnsi="Aptos Narrow" w:cs="Times New Roman"/>
                <w:color w:val="000000"/>
                <w:sz w:val="22"/>
                <w:lang w:val="en-US"/>
              </w:rPr>
              <w:t>15</w:t>
            </w:r>
          </w:p>
        </w:tc>
        <w:tc>
          <w:tcPr>
            <w:tcW w:w="1707" w:type="dxa"/>
            <w:tcBorders>
              <w:top w:val="single" w:sz="8" w:space="0" w:color="auto"/>
              <w:left w:val="nil"/>
              <w:bottom w:val="single" w:sz="4" w:space="0" w:color="auto"/>
              <w:right w:val="single" w:sz="4" w:space="0" w:color="auto"/>
            </w:tcBorders>
            <w:shd w:val="clear" w:color="000000" w:fill="FFFFFF"/>
            <w:noWrap/>
            <w:vAlign w:val="bottom"/>
            <w:hideMark/>
          </w:tcPr>
          <w:p w14:paraId="03D72782" w14:textId="0E38F75E" w:rsidR="009257D4" w:rsidRPr="009257D4" w:rsidRDefault="00397867" w:rsidP="009257D4">
            <w:pPr>
              <w:spacing w:after="0" w:line="240" w:lineRule="auto"/>
              <w:jc w:val="right"/>
              <w:rPr>
                <w:rFonts w:eastAsia="Times New Roman" w:cs="Times New Roman"/>
                <w:sz w:val="20"/>
                <w:szCs w:val="20"/>
                <w:lang w:val="en-US"/>
              </w:rPr>
            </w:pPr>
            <w:r w:rsidRPr="00397867">
              <w:rPr>
                <w:rFonts w:ascii="Arial" w:eastAsia="Times New Roman" w:hAnsi="Arial" w:cs="Arial"/>
                <w:sz w:val="20"/>
                <w:szCs w:val="20"/>
                <w:lang w:val="en-US"/>
              </w:rPr>
              <w:t>₡</w:t>
            </w:r>
            <w:r w:rsidR="009257D4" w:rsidRPr="009257D4">
              <w:rPr>
                <w:rFonts w:eastAsia="Times New Roman" w:cs="Times New Roman"/>
                <w:sz w:val="20"/>
                <w:szCs w:val="20"/>
                <w:lang w:val="en-US"/>
              </w:rPr>
              <w:t>900 274 034,90</w:t>
            </w:r>
          </w:p>
        </w:tc>
        <w:tc>
          <w:tcPr>
            <w:tcW w:w="1701" w:type="dxa"/>
            <w:tcBorders>
              <w:top w:val="single" w:sz="8" w:space="0" w:color="auto"/>
              <w:left w:val="nil"/>
              <w:bottom w:val="single" w:sz="4" w:space="0" w:color="auto"/>
              <w:right w:val="single" w:sz="4" w:space="0" w:color="auto"/>
            </w:tcBorders>
            <w:shd w:val="clear" w:color="000000" w:fill="FFFFFF"/>
            <w:noWrap/>
            <w:vAlign w:val="bottom"/>
            <w:hideMark/>
          </w:tcPr>
          <w:p w14:paraId="70135CC6" w14:textId="3A7684ED" w:rsidR="009257D4" w:rsidRPr="009257D4" w:rsidRDefault="00397867" w:rsidP="009257D4">
            <w:pPr>
              <w:spacing w:after="0" w:line="240" w:lineRule="auto"/>
              <w:jc w:val="right"/>
              <w:rPr>
                <w:rFonts w:eastAsia="Times New Roman" w:cs="Times New Roman"/>
                <w:sz w:val="20"/>
                <w:szCs w:val="20"/>
                <w:lang w:val="en-US"/>
              </w:rPr>
            </w:pPr>
            <w:r w:rsidRPr="00397867">
              <w:rPr>
                <w:rFonts w:ascii="Arial" w:eastAsia="Times New Roman" w:hAnsi="Arial" w:cs="Arial"/>
                <w:sz w:val="20"/>
                <w:szCs w:val="20"/>
                <w:lang w:val="en-US"/>
              </w:rPr>
              <w:t>₡</w:t>
            </w:r>
            <w:r w:rsidR="009257D4" w:rsidRPr="009257D4">
              <w:rPr>
                <w:rFonts w:eastAsia="Times New Roman" w:cs="Times New Roman"/>
                <w:sz w:val="20"/>
                <w:szCs w:val="20"/>
                <w:lang w:val="en-US"/>
              </w:rPr>
              <w:t>900 274 034,90</w:t>
            </w:r>
          </w:p>
        </w:tc>
        <w:tc>
          <w:tcPr>
            <w:tcW w:w="1078" w:type="dxa"/>
            <w:tcBorders>
              <w:top w:val="single" w:sz="8" w:space="0" w:color="auto"/>
              <w:left w:val="nil"/>
              <w:bottom w:val="single" w:sz="4" w:space="0" w:color="auto"/>
              <w:right w:val="single" w:sz="8" w:space="0" w:color="auto"/>
            </w:tcBorders>
            <w:shd w:val="clear" w:color="000000" w:fill="FFFFFF"/>
            <w:noWrap/>
            <w:vAlign w:val="bottom"/>
            <w:hideMark/>
          </w:tcPr>
          <w:p w14:paraId="31DAFAC3" w14:textId="6FD63F47" w:rsidR="009257D4" w:rsidRPr="009257D4" w:rsidRDefault="00397867" w:rsidP="009257D4">
            <w:pPr>
              <w:spacing w:after="0" w:line="240" w:lineRule="auto"/>
              <w:jc w:val="right"/>
              <w:rPr>
                <w:rFonts w:eastAsia="Times New Roman" w:cs="Times New Roman"/>
                <w:sz w:val="20"/>
                <w:szCs w:val="20"/>
                <w:lang w:val="en-US"/>
              </w:rPr>
            </w:pPr>
            <w:r w:rsidRPr="00397867">
              <w:rPr>
                <w:rFonts w:ascii="Arial" w:eastAsia="Times New Roman" w:hAnsi="Arial" w:cs="Arial"/>
                <w:sz w:val="20"/>
                <w:szCs w:val="20"/>
                <w:lang w:val="en-US"/>
              </w:rPr>
              <w:t>₡</w:t>
            </w:r>
            <w:r w:rsidR="009257D4" w:rsidRPr="009257D4">
              <w:rPr>
                <w:rFonts w:eastAsia="Times New Roman" w:cs="Times New Roman"/>
                <w:sz w:val="20"/>
                <w:szCs w:val="20"/>
                <w:lang w:val="en-US"/>
              </w:rPr>
              <w:t>0,00</w:t>
            </w:r>
          </w:p>
        </w:tc>
      </w:tr>
      <w:tr w:rsidR="00397867" w:rsidRPr="009257D4" w14:paraId="1B6F9C7F" w14:textId="77777777" w:rsidTr="00397867">
        <w:trPr>
          <w:trHeight w:val="290"/>
        </w:trPr>
        <w:tc>
          <w:tcPr>
            <w:tcW w:w="3392" w:type="dxa"/>
            <w:tcBorders>
              <w:top w:val="nil"/>
              <w:left w:val="single" w:sz="8" w:space="0" w:color="auto"/>
              <w:bottom w:val="single" w:sz="4" w:space="0" w:color="auto"/>
              <w:right w:val="single" w:sz="4" w:space="0" w:color="auto"/>
            </w:tcBorders>
            <w:shd w:val="clear" w:color="000000" w:fill="FFFFFF"/>
            <w:vAlign w:val="bottom"/>
            <w:hideMark/>
          </w:tcPr>
          <w:p w14:paraId="0B3A544E" w14:textId="77777777" w:rsidR="009257D4" w:rsidRPr="009257D4" w:rsidRDefault="009257D4" w:rsidP="009257D4">
            <w:pPr>
              <w:spacing w:after="0" w:line="240" w:lineRule="auto"/>
              <w:jc w:val="left"/>
              <w:rPr>
                <w:rFonts w:eastAsia="Times New Roman" w:cs="Times New Roman"/>
                <w:sz w:val="20"/>
                <w:szCs w:val="20"/>
                <w:lang w:val="en-US"/>
              </w:rPr>
            </w:pPr>
            <w:r w:rsidRPr="009257D4">
              <w:rPr>
                <w:rFonts w:eastAsia="Times New Roman" w:cs="Times New Roman"/>
                <w:sz w:val="20"/>
                <w:szCs w:val="20"/>
                <w:lang w:val="en-US"/>
              </w:rPr>
              <w:t>Total Equipo Hidraulico</w:t>
            </w:r>
          </w:p>
        </w:tc>
        <w:tc>
          <w:tcPr>
            <w:tcW w:w="987" w:type="dxa"/>
            <w:tcBorders>
              <w:top w:val="nil"/>
              <w:left w:val="nil"/>
              <w:bottom w:val="single" w:sz="4" w:space="0" w:color="auto"/>
              <w:right w:val="single" w:sz="4" w:space="0" w:color="auto"/>
            </w:tcBorders>
            <w:shd w:val="clear" w:color="auto" w:fill="auto"/>
            <w:noWrap/>
            <w:vAlign w:val="bottom"/>
            <w:hideMark/>
          </w:tcPr>
          <w:p w14:paraId="57C0DEAB" w14:textId="77777777" w:rsidR="009257D4" w:rsidRPr="009257D4" w:rsidRDefault="009257D4" w:rsidP="009257D4">
            <w:pPr>
              <w:spacing w:after="0" w:line="240" w:lineRule="auto"/>
              <w:jc w:val="center"/>
              <w:rPr>
                <w:rFonts w:ascii="Aptos Narrow" w:eastAsia="Times New Roman" w:hAnsi="Aptos Narrow" w:cs="Times New Roman"/>
                <w:color w:val="000000"/>
                <w:sz w:val="22"/>
                <w:lang w:val="en-US"/>
              </w:rPr>
            </w:pPr>
            <w:r w:rsidRPr="009257D4">
              <w:rPr>
                <w:rFonts w:ascii="Aptos Narrow" w:eastAsia="Times New Roman" w:hAnsi="Aptos Narrow" w:cs="Times New Roman"/>
                <w:color w:val="000000"/>
                <w:sz w:val="22"/>
                <w:lang w:val="en-US"/>
              </w:rPr>
              <w:t>1</w:t>
            </w:r>
          </w:p>
        </w:tc>
        <w:tc>
          <w:tcPr>
            <w:tcW w:w="1707" w:type="dxa"/>
            <w:tcBorders>
              <w:top w:val="nil"/>
              <w:left w:val="nil"/>
              <w:bottom w:val="single" w:sz="4" w:space="0" w:color="auto"/>
              <w:right w:val="single" w:sz="4" w:space="0" w:color="auto"/>
            </w:tcBorders>
            <w:shd w:val="clear" w:color="000000" w:fill="FFFFFF"/>
            <w:noWrap/>
            <w:vAlign w:val="bottom"/>
            <w:hideMark/>
          </w:tcPr>
          <w:p w14:paraId="1D2B3804"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68 445,00</w:t>
            </w:r>
          </w:p>
        </w:tc>
        <w:tc>
          <w:tcPr>
            <w:tcW w:w="1701" w:type="dxa"/>
            <w:tcBorders>
              <w:top w:val="nil"/>
              <w:left w:val="nil"/>
              <w:bottom w:val="single" w:sz="4" w:space="0" w:color="auto"/>
              <w:right w:val="single" w:sz="4" w:space="0" w:color="auto"/>
            </w:tcBorders>
            <w:shd w:val="clear" w:color="000000" w:fill="FFFFFF"/>
            <w:noWrap/>
            <w:vAlign w:val="bottom"/>
            <w:hideMark/>
          </w:tcPr>
          <w:p w14:paraId="1E10A887"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68 445,00</w:t>
            </w:r>
          </w:p>
        </w:tc>
        <w:tc>
          <w:tcPr>
            <w:tcW w:w="1078" w:type="dxa"/>
            <w:tcBorders>
              <w:top w:val="nil"/>
              <w:left w:val="nil"/>
              <w:bottom w:val="single" w:sz="4" w:space="0" w:color="auto"/>
              <w:right w:val="single" w:sz="8" w:space="0" w:color="auto"/>
            </w:tcBorders>
            <w:shd w:val="clear" w:color="000000" w:fill="FFFFFF"/>
            <w:noWrap/>
            <w:vAlign w:val="bottom"/>
            <w:hideMark/>
          </w:tcPr>
          <w:p w14:paraId="001E09EE"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0,00</w:t>
            </w:r>
          </w:p>
        </w:tc>
      </w:tr>
      <w:tr w:rsidR="00397867" w:rsidRPr="009257D4" w14:paraId="162F275C" w14:textId="77777777" w:rsidTr="00397867">
        <w:trPr>
          <w:trHeight w:val="290"/>
        </w:trPr>
        <w:tc>
          <w:tcPr>
            <w:tcW w:w="3392" w:type="dxa"/>
            <w:tcBorders>
              <w:top w:val="nil"/>
              <w:left w:val="single" w:sz="8" w:space="0" w:color="auto"/>
              <w:bottom w:val="single" w:sz="4" w:space="0" w:color="auto"/>
              <w:right w:val="single" w:sz="4" w:space="0" w:color="auto"/>
            </w:tcBorders>
            <w:shd w:val="clear" w:color="000000" w:fill="FFFFFF"/>
            <w:noWrap/>
            <w:vAlign w:val="bottom"/>
            <w:hideMark/>
          </w:tcPr>
          <w:p w14:paraId="23D36DFC" w14:textId="77777777" w:rsidR="009257D4" w:rsidRPr="009257D4" w:rsidRDefault="009257D4" w:rsidP="009257D4">
            <w:pPr>
              <w:spacing w:after="0" w:line="240" w:lineRule="auto"/>
              <w:jc w:val="left"/>
              <w:rPr>
                <w:rFonts w:eastAsia="Times New Roman" w:cs="Times New Roman"/>
                <w:sz w:val="20"/>
                <w:szCs w:val="20"/>
                <w:lang w:val="en-US"/>
              </w:rPr>
            </w:pPr>
            <w:r w:rsidRPr="009257D4">
              <w:rPr>
                <w:rFonts w:eastAsia="Times New Roman" w:cs="Times New Roman"/>
                <w:sz w:val="20"/>
                <w:szCs w:val="20"/>
                <w:lang w:val="en-US"/>
              </w:rPr>
              <w:t>Total Equipo de Medición</w:t>
            </w:r>
          </w:p>
        </w:tc>
        <w:tc>
          <w:tcPr>
            <w:tcW w:w="987" w:type="dxa"/>
            <w:tcBorders>
              <w:top w:val="nil"/>
              <w:left w:val="nil"/>
              <w:bottom w:val="single" w:sz="4" w:space="0" w:color="auto"/>
              <w:right w:val="single" w:sz="4" w:space="0" w:color="auto"/>
            </w:tcBorders>
            <w:shd w:val="clear" w:color="auto" w:fill="auto"/>
            <w:noWrap/>
            <w:vAlign w:val="bottom"/>
            <w:hideMark/>
          </w:tcPr>
          <w:p w14:paraId="012F271B" w14:textId="77777777" w:rsidR="009257D4" w:rsidRPr="009257D4" w:rsidRDefault="009257D4" w:rsidP="009257D4">
            <w:pPr>
              <w:spacing w:after="0" w:line="240" w:lineRule="auto"/>
              <w:jc w:val="center"/>
              <w:rPr>
                <w:rFonts w:ascii="Aptos Narrow" w:eastAsia="Times New Roman" w:hAnsi="Aptos Narrow" w:cs="Times New Roman"/>
                <w:color w:val="000000"/>
                <w:sz w:val="22"/>
                <w:lang w:val="en-US"/>
              </w:rPr>
            </w:pPr>
            <w:r w:rsidRPr="009257D4">
              <w:rPr>
                <w:rFonts w:ascii="Aptos Narrow" w:eastAsia="Times New Roman" w:hAnsi="Aptos Narrow" w:cs="Times New Roman"/>
                <w:color w:val="000000"/>
                <w:sz w:val="22"/>
                <w:lang w:val="en-US"/>
              </w:rPr>
              <w:t>3</w:t>
            </w:r>
          </w:p>
        </w:tc>
        <w:tc>
          <w:tcPr>
            <w:tcW w:w="1707" w:type="dxa"/>
            <w:tcBorders>
              <w:top w:val="nil"/>
              <w:left w:val="nil"/>
              <w:bottom w:val="single" w:sz="4" w:space="0" w:color="auto"/>
              <w:right w:val="single" w:sz="4" w:space="0" w:color="auto"/>
            </w:tcBorders>
            <w:shd w:val="clear" w:color="000000" w:fill="FFFFFF"/>
            <w:noWrap/>
            <w:vAlign w:val="bottom"/>
            <w:hideMark/>
          </w:tcPr>
          <w:p w14:paraId="08FBE006"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366 525,55</w:t>
            </w:r>
          </w:p>
        </w:tc>
        <w:tc>
          <w:tcPr>
            <w:tcW w:w="1701" w:type="dxa"/>
            <w:tcBorders>
              <w:top w:val="nil"/>
              <w:left w:val="nil"/>
              <w:bottom w:val="single" w:sz="4" w:space="0" w:color="auto"/>
              <w:right w:val="single" w:sz="4" w:space="0" w:color="auto"/>
            </w:tcBorders>
            <w:shd w:val="clear" w:color="000000" w:fill="FFFFFF"/>
            <w:noWrap/>
            <w:vAlign w:val="bottom"/>
            <w:hideMark/>
          </w:tcPr>
          <w:p w14:paraId="41CDF5E9"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366 525,55</w:t>
            </w:r>
          </w:p>
        </w:tc>
        <w:tc>
          <w:tcPr>
            <w:tcW w:w="1078" w:type="dxa"/>
            <w:tcBorders>
              <w:top w:val="nil"/>
              <w:left w:val="nil"/>
              <w:bottom w:val="single" w:sz="4" w:space="0" w:color="auto"/>
              <w:right w:val="single" w:sz="8" w:space="0" w:color="auto"/>
            </w:tcBorders>
            <w:shd w:val="clear" w:color="000000" w:fill="FFFFFF"/>
            <w:noWrap/>
            <w:vAlign w:val="bottom"/>
            <w:hideMark/>
          </w:tcPr>
          <w:p w14:paraId="155FC5AC"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0,00</w:t>
            </w:r>
          </w:p>
        </w:tc>
      </w:tr>
      <w:tr w:rsidR="00397867" w:rsidRPr="009257D4" w14:paraId="00DF348E" w14:textId="77777777" w:rsidTr="00397867">
        <w:trPr>
          <w:trHeight w:val="290"/>
        </w:trPr>
        <w:tc>
          <w:tcPr>
            <w:tcW w:w="3392" w:type="dxa"/>
            <w:tcBorders>
              <w:top w:val="nil"/>
              <w:left w:val="single" w:sz="8" w:space="0" w:color="auto"/>
              <w:bottom w:val="single" w:sz="4" w:space="0" w:color="auto"/>
              <w:right w:val="single" w:sz="4" w:space="0" w:color="auto"/>
            </w:tcBorders>
            <w:shd w:val="clear" w:color="000000" w:fill="FFFFFF"/>
            <w:vAlign w:val="bottom"/>
            <w:hideMark/>
          </w:tcPr>
          <w:p w14:paraId="2A05C007" w14:textId="77777777" w:rsidR="009257D4" w:rsidRPr="009257D4" w:rsidRDefault="009257D4" w:rsidP="009257D4">
            <w:pPr>
              <w:spacing w:after="0" w:line="240" w:lineRule="auto"/>
              <w:jc w:val="left"/>
              <w:rPr>
                <w:rFonts w:eastAsia="Times New Roman" w:cs="Times New Roman"/>
                <w:sz w:val="20"/>
                <w:szCs w:val="20"/>
                <w:lang w:val="en-US"/>
              </w:rPr>
            </w:pPr>
            <w:r w:rsidRPr="009257D4">
              <w:rPr>
                <w:rFonts w:eastAsia="Times New Roman" w:cs="Times New Roman"/>
                <w:sz w:val="20"/>
                <w:szCs w:val="20"/>
                <w:lang w:val="en-US"/>
              </w:rPr>
              <w:t>Total Bombas</w:t>
            </w:r>
          </w:p>
        </w:tc>
        <w:tc>
          <w:tcPr>
            <w:tcW w:w="987" w:type="dxa"/>
            <w:tcBorders>
              <w:top w:val="nil"/>
              <w:left w:val="nil"/>
              <w:bottom w:val="single" w:sz="4" w:space="0" w:color="auto"/>
              <w:right w:val="single" w:sz="4" w:space="0" w:color="auto"/>
            </w:tcBorders>
            <w:shd w:val="clear" w:color="auto" w:fill="auto"/>
            <w:noWrap/>
            <w:vAlign w:val="bottom"/>
            <w:hideMark/>
          </w:tcPr>
          <w:p w14:paraId="39A48A96" w14:textId="77777777" w:rsidR="009257D4" w:rsidRPr="009257D4" w:rsidRDefault="009257D4" w:rsidP="009257D4">
            <w:pPr>
              <w:spacing w:after="0" w:line="240" w:lineRule="auto"/>
              <w:jc w:val="center"/>
              <w:rPr>
                <w:rFonts w:ascii="Aptos Narrow" w:eastAsia="Times New Roman" w:hAnsi="Aptos Narrow" w:cs="Times New Roman"/>
                <w:color w:val="000000"/>
                <w:sz w:val="22"/>
                <w:lang w:val="en-US"/>
              </w:rPr>
            </w:pPr>
            <w:r w:rsidRPr="009257D4">
              <w:rPr>
                <w:rFonts w:ascii="Aptos Narrow" w:eastAsia="Times New Roman" w:hAnsi="Aptos Narrow" w:cs="Times New Roman"/>
                <w:color w:val="000000"/>
                <w:sz w:val="22"/>
                <w:lang w:val="en-US"/>
              </w:rPr>
              <w:t>1</w:t>
            </w:r>
          </w:p>
        </w:tc>
        <w:tc>
          <w:tcPr>
            <w:tcW w:w="1707" w:type="dxa"/>
            <w:tcBorders>
              <w:top w:val="nil"/>
              <w:left w:val="nil"/>
              <w:bottom w:val="single" w:sz="4" w:space="0" w:color="auto"/>
              <w:right w:val="single" w:sz="4" w:space="0" w:color="auto"/>
            </w:tcBorders>
            <w:shd w:val="clear" w:color="000000" w:fill="FFFFFF"/>
            <w:noWrap/>
            <w:vAlign w:val="bottom"/>
            <w:hideMark/>
          </w:tcPr>
          <w:p w14:paraId="78655F40"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353 314,50</w:t>
            </w:r>
          </w:p>
        </w:tc>
        <w:tc>
          <w:tcPr>
            <w:tcW w:w="1701" w:type="dxa"/>
            <w:tcBorders>
              <w:top w:val="nil"/>
              <w:left w:val="nil"/>
              <w:bottom w:val="single" w:sz="4" w:space="0" w:color="auto"/>
              <w:right w:val="single" w:sz="4" w:space="0" w:color="auto"/>
            </w:tcBorders>
            <w:shd w:val="clear" w:color="000000" w:fill="FFFFFF"/>
            <w:noWrap/>
            <w:vAlign w:val="bottom"/>
            <w:hideMark/>
          </w:tcPr>
          <w:p w14:paraId="64041462"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353 314,50</w:t>
            </w:r>
          </w:p>
        </w:tc>
        <w:tc>
          <w:tcPr>
            <w:tcW w:w="1078" w:type="dxa"/>
            <w:tcBorders>
              <w:top w:val="nil"/>
              <w:left w:val="nil"/>
              <w:bottom w:val="single" w:sz="4" w:space="0" w:color="auto"/>
              <w:right w:val="single" w:sz="8" w:space="0" w:color="auto"/>
            </w:tcBorders>
            <w:shd w:val="clear" w:color="000000" w:fill="FFFFFF"/>
            <w:noWrap/>
            <w:vAlign w:val="bottom"/>
            <w:hideMark/>
          </w:tcPr>
          <w:p w14:paraId="0B8ED071"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0,00</w:t>
            </w:r>
          </w:p>
        </w:tc>
      </w:tr>
      <w:tr w:rsidR="009257D4" w:rsidRPr="009257D4" w14:paraId="5B6537AB" w14:textId="77777777" w:rsidTr="00397867">
        <w:trPr>
          <w:trHeight w:val="290"/>
        </w:trPr>
        <w:tc>
          <w:tcPr>
            <w:tcW w:w="3392" w:type="dxa"/>
            <w:tcBorders>
              <w:top w:val="nil"/>
              <w:left w:val="single" w:sz="8" w:space="0" w:color="auto"/>
              <w:bottom w:val="single" w:sz="4" w:space="0" w:color="auto"/>
              <w:right w:val="single" w:sz="4" w:space="0" w:color="auto"/>
            </w:tcBorders>
            <w:shd w:val="clear" w:color="auto" w:fill="auto"/>
            <w:vAlign w:val="bottom"/>
            <w:hideMark/>
          </w:tcPr>
          <w:p w14:paraId="0DEFD33A" w14:textId="77777777" w:rsidR="009257D4" w:rsidRPr="009257D4" w:rsidRDefault="009257D4" w:rsidP="009257D4">
            <w:pPr>
              <w:spacing w:after="0" w:line="240" w:lineRule="auto"/>
              <w:jc w:val="left"/>
              <w:rPr>
                <w:rFonts w:eastAsia="Times New Roman" w:cs="Times New Roman"/>
                <w:color w:val="000000"/>
                <w:sz w:val="22"/>
              </w:rPr>
            </w:pPr>
            <w:r w:rsidRPr="009257D4">
              <w:rPr>
                <w:rFonts w:eastAsia="Times New Roman" w:cs="Times New Roman"/>
                <w:color w:val="000000"/>
                <w:sz w:val="22"/>
              </w:rPr>
              <w:t>Total Otra Maquinaria y Equipo Producción</w:t>
            </w:r>
          </w:p>
        </w:tc>
        <w:tc>
          <w:tcPr>
            <w:tcW w:w="987" w:type="dxa"/>
            <w:tcBorders>
              <w:top w:val="nil"/>
              <w:left w:val="nil"/>
              <w:bottom w:val="single" w:sz="4" w:space="0" w:color="auto"/>
              <w:right w:val="single" w:sz="4" w:space="0" w:color="auto"/>
            </w:tcBorders>
            <w:shd w:val="clear" w:color="auto" w:fill="auto"/>
            <w:noWrap/>
            <w:vAlign w:val="bottom"/>
            <w:hideMark/>
          </w:tcPr>
          <w:p w14:paraId="44870EEB" w14:textId="77777777" w:rsidR="009257D4" w:rsidRPr="009257D4" w:rsidRDefault="009257D4" w:rsidP="009257D4">
            <w:pPr>
              <w:spacing w:after="0" w:line="240" w:lineRule="auto"/>
              <w:jc w:val="center"/>
              <w:rPr>
                <w:rFonts w:ascii="Aptos Narrow" w:eastAsia="Times New Roman" w:hAnsi="Aptos Narrow" w:cs="Times New Roman"/>
                <w:color w:val="000000"/>
                <w:sz w:val="22"/>
                <w:lang w:val="en-US"/>
              </w:rPr>
            </w:pPr>
            <w:r w:rsidRPr="009257D4">
              <w:rPr>
                <w:rFonts w:ascii="Aptos Narrow" w:eastAsia="Times New Roman" w:hAnsi="Aptos Narrow" w:cs="Times New Roman"/>
                <w:color w:val="000000"/>
                <w:sz w:val="22"/>
                <w:lang w:val="en-US"/>
              </w:rPr>
              <w:t>6</w:t>
            </w:r>
          </w:p>
        </w:tc>
        <w:tc>
          <w:tcPr>
            <w:tcW w:w="1707" w:type="dxa"/>
            <w:tcBorders>
              <w:top w:val="nil"/>
              <w:left w:val="nil"/>
              <w:bottom w:val="single" w:sz="4" w:space="0" w:color="auto"/>
              <w:right w:val="single" w:sz="4" w:space="0" w:color="auto"/>
            </w:tcBorders>
            <w:shd w:val="clear" w:color="auto" w:fill="auto"/>
            <w:noWrap/>
            <w:vAlign w:val="bottom"/>
            <w:hideMark/>
          </w:tcPr>
          <w:p w14:paraId="0C543137" w14:textId="77777777" w:rsidR="009257D4" w:rsidRPr="009257D4" w:rsidRDefault="009257D4" w:rsidP="009257D4">
            <w:pPr>
              <w:spacing w:after="0" w:line="240" w:lineRule="auto"/>
              <w:jc w:val="left"/>
              <w:rPr>
                <w:rFonts w:eastAsia="Times New Roman" w:cs="Times New Roman"/>
                <w:color w:val="000000"/>
                <w:sz w:val="20"/>
                <w:szCs w:val="20"/>
                <w:lang w:val="en-US"/>
              </w:rPr>
            </w:pPr>
            <w:r w:rsidRPr="009257D4">
              <w:rPr>
                <w:rFonts w:eastAsia="Times New Roman" w:cs="Times New Roman"/>
                <w:color w:val="000000"/>
                <w:sz w:val="20"/>
                <w:szCs w:val="20"/>
                <w:lang w:val="en-US"/>
              </w:rPr>
              <w:t xml:space="preserve">     4 112 308,67 </w:t>
            </w:r>
          </w:p>
        </w:tc>
        <w:tc>
          <w:tcPr>
            <w:tcW w:w="1701" w:type="dxa"/>
            <w:tcBorders>
              <w:top w:val="nil"/>
              <w:left w:val="nil"/>
              <w:bottom w:val="single" w:sz="4" w:space="0" w:color="auto"/>
              <w:right w:val="single" w:sz="4" w:space="0" w:color="auto"/>
            </w:tcBorders>
            <w:shd w:val="clear" w:color="auto" w:fill="auto"/>
            <w:noWrap/>
            <w:vAlign w:val="bottom"/>
            <w:hideMark/>
          </w:tcPr>
          <w:p w14:paraId="14F0D310" w14:textId="77777777" w:rsidR="009257D4" w:rsidRPr="009257D4" w:rsidRDefault="009257D4" w:rsidP="009257D4">
            <w:pPr>
              <w:spacing w:after="0" w:line="240" w:lineRule="auto"/>
              <w:jc w:val="left"/>
              <w:rPr>
                <w:rFonts w:eastAsia="Times New Roman" w:cs="Times New Roman"/>
                <w:color w:val="000000"/>
                <w:sz w:val="20"/>
                <w:szCs w:val="20"/>
                <w:lang w:val="en-US"/>
              </w:rPr>
            </w:pPr>
            <w:r w:rsidRPr="009257D4">
              <w:rPr>
                <w:rFonts w:eastAsia="Times New Roman" w:cs="Times New Roman"/>
                <w:color w:val="000000"/>
                <w:sz w:val="20"/>
                <w:szCs w:val="20"/>
                <w:lang w:val="en-US"/>
              </w:rPr>
              <w:t xml:space="preserve">        4 112 308,67 </w:t>
            </w:r>
          </w:p>
        </w:tc>
        <w:tc>
          <w:tcPr>
            <w:tcW w:w="1078" w:type="dxa"/>
            <w:tcBorders>
              <w:top w:val="nil"/>
              <w:left w:val="nil"/>
              <w:bottom w:val="single" w:sz="4" w:space="0" w:color="auto"/>
              <w:right w:val="single" w:sz="8" w:space="0" w:color="auto"/>
            </w:tcBorders>
            <w:shd w:val="clear" w:color="auto" w:fill="auto"/>
            <w:noWrap/>
            <w:vAlign w:val="bottom"/>
            <w:hideMark/>
          </w:tcPr>
          <w:p w14:paraId="75DDDC9C" w14:textId="77777777" w:rsidR="009257D4" w:rsidRPr="009257D4" w:rsidRDefault="009257D4" w:rsidP="009257D4">
            <w:pPr>
              <w:spacing w:after="0" w:line="240" w:lineRule="auto"/>
              <w:jc w:val="left"/>
              <w:rPr>
                <w:rFonts w:eastAsia="Times New Roman" w:cs="Times New Roman"/>
                <w:color w:val="000000"/>
                <w:sz w:val="20"/>
                <w:szCs w:val="20"/>
                <w:lang w:val="en-US"/>
              </w:rPr>
            </w:pPr>
            <w:r w:rsidRPr="009257D4">
              <w:rPr>
                <w:rFonts w:eastAsia="Times New Roman" w:cs="Times New Roman"/>
                <w:color w:val="000000"/>
                <w:sz w:val="20"/>
                <w:szCs w:val="20"/>
                <w:lang w:val="en-US"/>
              </w:rPr>
              <w:t xml:space="preserve">                -   </w:t>
            </w:r>
          </w:p>
        </w:tc>
      </w:tr>
      <w:tr w:rsidR="00397867" w:rsidRPr="009257D4" w14:paraId="479D1E69" w14:textId="77777777" w:rsidTr="00397867">
        <w:trPr>
          <w:trHeight w:val="290"/>
        </w:trPr>
        <w:tc>
          <w:tcPr>
            <w:tcW w:w="3392" w:type="dxa"/>
            <w:tcBorders>
              <w:top w:val="nil"/>
              <w:left w:val="single" w:sz="8" w:space="0" w:color="auto"/>
              <w:bottom w:val="single" w:sz="4" w:space="0" w:color="auto"/>
              <w:right w:val="single" w:sz="4" w:space="0" w:color="auto"/>
            </w:tcBorders>
            <w:shd w:val="clear" w:color="000000" w:fill="FFFFFF"/>
            <w:vAlign w:val="bottom"/>
            <w:hideMark/>
          </w:tcPr>
          <w:p w14:paraId="551583A5" w14:textId="77777777" w:rsidR="009257D4" w:rsidRPr="009257D4" w:rsidRDefault="009257D4" w:rsidP="009257D4">
            <w:pPr>
              <w:spacing w:after="0" w:line="240" w:lineRule="auto"/>
              <w:jc w:val="left"/>
              <w:rPr>
                <w:rFonts w:eastAsia="Times New Roman" w:cs="Times New Roman"/>
                <w:sz w:val="20"/>
                <w:szCs w:val="20"/>
                <w:lang w:val="en-US"/>
              </w:rPr>
            </w:pPr>
            <w:r w:rsidRPr="009257D4">
              <w:rPr>
                <w:rFonts w:eastAsia="Times New Roman" w:cs="Times New Roman"/>
                <w:sz w:val="20"/>
                <w:szCs w:val="20"/>
                <w:lang w:val="en-US"/>
              </w:rPr>
              <w:t>Total Motocicletas</w:t>
            </w:r>
          </w:p>
        </w:tc>
        <w:tc>
          <w:tcPr>
            <w:tcW w:w="987" w:type="dxa"/>
            <w:tcBorders>
              <w:top w:val="nil"/>
              <w:left w:val="nil"/>
              <w:bottom w:val="single" w:sz="4" w:space="0" w:color="auto"/>
              <w:right w:val="single" w:sz="4" w:space="0" w:color="auto"/>
            </w:tcBorders>
            <w:shd w:val="clear" w:color="auto" w:fill="auto"/>
            <w:noWrap/>
            <w:vAlign w:val="bottom"/>
            <w:hideMark/>
          </w:tcPr>
          <w:p w14:paraId="356839B1" w14:textId="77777777" w:rsidR="009257D4" w:rsidRPr="009257D4" w:rsidRDefault="009257D4" w:rsidP="009257D4">
            <w:pPr>
              <w:spacing w:after="0" w:line="240" w:lineRule="auto"/>
              <w:jc w:val="center"/>
              <w:rPr>
                <w:rFonts w:ascii="Aptos Narrow" w:eastAsia="Times New Roman" w:hAnsi="Aptos Narrow" w:cs="Times New Roman"/>
                <w:color w:val="000000"/>
                <w:sz w:val="22"/>
                <w:lang w:val="en-US"/>
              </w:rPr>
            </w:pPr>
            <w:r w:rsidRPr="009257D4">
              <w:rPr>
                <w:rFonts w:ascii="Aptos Narrow" w:eastAsia="Times New Roman" w:hAnsi="Aptos Narrow" w:cs="Times New Roman"/>
                <w:color w:val="000000"/>
                <w:sz w:val="22"/>
                <w:lang w:val="en-US"/>
              </w:rPr>
              <w:t>2</w:t>
            </w:r>
          </w:p>
        </w:tc>
        <w:tc>
          <w:tcPr>
            <w:tcW w:w="1707" w:type="dxa"/>
            <w:tcBorders>
              <w:top w:val="nil"/>
              <w:left w:val="nil"/>
              <w:bottom w:val="single" w:sz="4" w:space="0" w:color="auto"/>
              <w:right w:val="single" w:sz="4" w:space="0" w:color="auto"/>
            </w:tcBorders>
            <w:shd w:val="clear" w:color="000000" w:fill="FFFFFF"/>
            <w:noWrap/>
            <w:vAlign w:val="bottom"/>
            <w:hideMark/>
          </w:tcPr>
          <w:p w14:paraId="7A7A1297"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7 117 294,00</w:t>
            </w:r>
          </w:p>
        </w:tc>
        <w:tc>
          <w:tcPr>
            <w:tcW w:w="1701" w:type="dxa"/>
            <w:tcBorders>
              <w:top w:val="nil"/>
              <w:left w:val="nil"/>
              <w:bottom w:val="single" w:sz="4" w:space="0" w:color="auto"/>
              <w:right w:val="single" w:sz="4" w:space="0" w:color="auto"/>
            </w:tcBorders>
            <w:shd w:val="clear" w:color="000000" w:fill="FFFFFF"/>
            <w:noWrap/>
            <w:vAlign w:val="bottom"/>
            <w:hideMark/>
          </w:tcPr>
          <w:p w14:paraId="38281C26"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7 117 294,00</w:t>
            </w:r>
          </w:p>
        </w:tc>
        <w:tc>
          <w:tcPr>
            <w:tcW w:w="1078" w:type="dxa"/>
            <w:tcBorders>
              <w:top w:val="nil"/>
              <w:left w:val="nil"/>
              <w:bottom w:val="single" w:sz="4" w:space="0" w:color="auto"/>
              <w:right w:val="single" w:sz="8" w:space="0" w:color="auto"/>
            </w:tcBorders>
            <w:shd w:val="clear" w:color="000000" w:fill="FFFFFF"/>
            <w:noWrap/>
            <w:vAlign w:val="bottom"/>
            <w:hideMark/>
          </w:tcPr>
          <w:p w14:paraId="75CCA9DB"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0,00</w:t>
            </w:r>
          </w:p>
        </w:tc>
      </w:tr>
      <w:tr w:rsidR="00397867" w:rsidRPr="009257D4" w14:paraId="14081C50" w14:textId="77777777" w:rsidTr="00397867">
        <w:trPr>
          <w:trHeight w:val="290"/>
        </w:trPr>
        <w:tc>
          <w:tcPr>
            <w:tcW w:w="3392" w:type="dxa"/>
            <w:tcBorders>
              <w:top w:val="nil"/>
              <w:left w:val="single" w:sz="8" w:space="0" w:color="auto"/>
              <w:bottom w:val="single" w:sz="4" w:space="0" w:color="auto"/>
              <w:right w:val="single" w:sz="4" w:space="0" w:color="auto"/>
            </w:tcBorders>
            <w:shd w:val="clear" w:color="000000" w:fill="FFFFFF"/>
            <w:vAlign w:val="bottom"/>
            <w:hideMark/>
          </w:tcPr>
          <w:p w14:paraId="71A472B1" w14:textId="77777777" w:rsidR="009257D4" w:rsidRPr="009257D4" w:rsidRDefault="009257D4" w:rsidP="009257D4">
            <w:pPr>
              <w:spacing w:after="0" w:line="240" w:lineRule="auto"/>
              <w:jc w:val="left"/>
              <w:rPr>
                <w:rFonts w:eastAsia="Times New Roman" w:cs="Times New Roman"/>
                <w:sz w:val="20"/>
                <w:szCs w:val="20"/>
                <w:lang w:val="en-US"/>
              </w:rPr>
            </w:pPr>
            <w:r w:rsidRPr="009257D4">
              <w:rPr>
                <w:rFonts w:eastAsia="Times New Roman" w:cs="Times New Roman"/>
                <w:sz w:val="20"/>
                <w:szCs w:val="20"/>
                <w:lang w:val="en-US"/>
              </w:rPr>
              <w:t>Total Vehículos</w:t>
            </w:r>
          </w:p>
        </w:tc>
        <w:tc>
          <w:tcPr>
            <w:tcW w:w="987" w:type="dxa"/>
            <w:tcBorders>
              <w:top w:val="nil"/>
              <w:left w:val="nil"/>
              <w:bottom w:val="single" w:sz="4" w:space="0" w:color="auto"/>
              <w:right w:val="single" w:sz="4" w:space="0" w:color="auto"/>
            </w:tcBorders>
            <w:shd w:val="clear" w:color="auto" w:fill="auto"/>
            <w:noWrap/>
            <w:vAlign w:val="bottom"/>
            <w:hideMark/>
          </w:tcPr>
          <w:p w14:paraId="4CD0D441" w14:textId="77777777" w:rsidR="009257D4" w:rsidRPr="009257D4" w:rsidRDefault="009257D4" w:rsidP="009257D4">
            <w:pPr>
              <w:spacing w:after="0" w:line="240" w:lineRule="auto"/>
              <w:jc w:val="center"/>
              <w:rPr>
                <w:rFonts w:ascii="Aptos Narrow" w:eastAsia="Times New Roman" w:hAnsi="Aptos Narrow" w:cs="Times New Roman"/>
                <w:color w:val="000000"/>
                <w:sz w:val="22"/>
                <w:lang w:val="en-US"/>
              </w:rPr>
            </w:pPr>
            <w:r w:rsidRPr="009257D4">
              <w:rPr>
                <w:rFonts w:ascii="Aptos Narrow" w:eastAsia="Times New Roman" w:hAnsi="Aptos Narrow" w:cs="Times New Roman"/>
                <w:color w:val="000000"/>
                <w:sz w:val="22"/>
                <w:lang w:val="en-US"/>
              </w:rPr>
              <w:t>5</w:t>
            </w:r>
          </w:p>
        </w:tc>
        <w:tc>
          <w:tcPr>
            <w:tcW w:w="1707" w:type="dxa"/>
            <w:tcBorders>
              <w:top w:val="nil"/>
              <w:left w:val="nil"/>
              <w:bottom w:val="single" w:sz="4" w:space="0" w:color="auto"/>
              <w:right w:val="single" w:sz="4" w:space="0" w:color="auto"/>
            </w:tcBorders>
            <w:shd w:val="clear" w:color="000000" w:fill="FFFFFF"/>
            <w:noWrap/>
            <w:vAlign w:val="bottom"/>
            <w:hideMark/>
          </w:tcPr>
          <w:p w14:paraId="026BA772"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63 445 687,00</w:t>
            </w:r>
          </w:p>
        </w:tc>
        <w:tc>
          <w:tcPr>
            <w:tcW w:w="1701" w:type="dxa"/>
            <w:tcBorders>
              <w:top w:val="nil"/>
              <w:left w:val="nil"/>
              <w:bottom w:val="single" w:sz="4" w:space="0" w:color="auto"/>
              <w:right w:val="single" w:sz="4" w:space="0" w:color="auto"/>
            </w:tcBorders>
            <w:shd w:val="clear" w:color="000000" w:fill="FFFFFF"/>
            <w:noWrap/>
            <w:vAlign w:val="bottom"/>
            <w:hideMark/>
          </w:tcPr>
          <w:p w14:paraId="77036E1E"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63 445 687,00</w:t>
            </w:r>
          </w:p>
        </w:tc>
        <w:tc>
          <w:tcPr>
            <w:tcW w:w="1078" w:type="dxa"/>
            <w:tcBorders>
              <w:top w:val="nil"/>
              <w:left w:val="nil"/>
              <w:bottom w:val="single" w:sz="4" w:space="0" w:color="auto"/>
              <w:right w:val="single" w:sz="8" w:space="0" w:color="auto"/>
            </w:tcBorders>
            <w:shd w:val="clear" w:color="000000" w:fill="FFFFFF"/>
            <w:noWrap/>
            <w:vAlign w:val="bottom"/>
            <w:hideMark/>
          </w:tcPr>
          <w:p w14:paraId="59A46D76"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0,00</w:t>
            </w:r>
          </w:p>
        </w:tc>
      </w:tr>
      <w:tr w:rsidR="00397867" w:rsidRPr="009257D4" w14:paraId="5D3737BF" w14:textId="77777777" w:rsidTr="00397867">
        <w:trPr>
          <w:trHeight w:val="290"/>
        </w:trPr>
        <w:tc>
          <w:tcPr>
            <w:tcW w:w="3392" w:type="dxa"/>
            <w:tcBorders>
              <w:top w:val="nil"/>
              <w:left w:val="single" w:sz="8" w:space="0" w:color="auto"/>
              <w:bottom w:val="single" w:sz="4" w:space="0" w:color="auto"/>
              <w:right w:val="single" w:sz="4" w:space="0" w:color="auto"/>
            </w:tcBorders>
            <w:shd w:val="clear" w:color="000000" w:fill="FFFFFF"/>
            <w:vAlign w:val="bottom"/>
            <w:hideMark/>
          </w:tcPr>
          <w:p w14:paraId="1632F7BD" w14:textId="77777777" w:rsidR="009257D4" w:rsidRPr="009257D4" w:rsidRDefault="009257D4" w:rsidP="009257D4">
            <w:pPr>
              <w:spacing w:after="0" w:line="240" w:lineRule="auto"/>
              <w:jc w:val="left"/>
              <w:rPr>
                <w:rFonts w:eastAsia="Times New Roman" w:cs="Times New Roman"/>
                <w:sz w:val="20"/>
                <w:szCs w:val="20"/>
                <w:lang w:val="en-US"/>
              </w:rPr>
            </w:pPr>
            <w:r w:rsidRPr="009257D4">
              <w:rPr>
                <w:rFonts w:eastAsia="Times New Roman" w:cs="Times New Roman"/>
                <w:sz w:val="20"/>
                <w:szCs w:val="20"/>
                <w:lang w:val="en-US"/>
              </w:rPr>
              <w:t>Total Equipo de Comunicación</w:t>
            </w:r>
          </w:p>
        </w:tc>
        <w:tc>
          <w:tcPr>
            <w:tcW w:w="987" w:type="dxa"/>
            <w:tcBorders>
              <w:top w:val="nil"/>
              <w:left w:val="nil"/>
              <w:bottom w:val="single" w:sz="4" w:space="0" w:color="auto"/>
              <w:right w:val="single" w:sz="4" w:space="0" w:color="auto"/>
            </w:tcBorders>
            <w:shd w:val="clear" w:color="auto" w:fill="auto"/>
            <w:noWrap/>
            <w:vAlign w:val="bottom"/>
            <w:hideMark/>
          </w:tcPr>
          <w:p w14:paraId="3C56DCDC" w14:textId="77777777" w:rsidR="009257D4" w:rsidRPr="009257D4" w:rsidRDefault="009257D4" w:rsidP="009257D4">
            <w:pPr>
              <w:spacing w:after="0" w:line="240" w:lineRule="auto"/>
              <w:jc w:val="center"/>
              <w:rPr>
                <w:rFonts w:ascii="Aptos Narrow" w:eastAsia="Times New Roman" w:hAnsi="Aptos Narrow" w:cs="Times New Roman"/>
                <w:color w:val="000000"/>
                <w:sz w:val="22"/>
                <w:lang w:val="en-US"/>
              </w:rPr>
            </w:pPr>
            <w:r w:rsidRPr="009257D4">
              <w:rPr>
                <w:rFonts w:ascii="Aptos Narrow" w:eastAsia="Times New Roman" w:hAnsi="Aptos Narrow" w:cs="Times New Roman"/>
                <w:color w:val="000000"/>
                <w:sz w:val="22"/>
                <w:lang w:val="en-US"/>
              </w:rPr>
              <w:t>23</w:t>
            </w:r>
          </w:p>
        </w:tc>
        <w:tc>
          <w:tcPr>
            <w:tcW w:w="1707" w:type="dxa"/>
            <w:tcBorders>
              <w:top w:val="nil"/>
              <w:left w:val="nil"/>
              <w:bottom w:val="single" w:sz="4" w:space="0" w:color="auto"/>
              <w:right w:val="single" w:sz="4" w:space="0" w:color="auto"/>
            </w:tcBorders>
            <w:shd w:val="clear" w:color="000000" w:fill="FFFFFF"/>
            <w:noWrap/>
            <w:vAlign w:val="bottom"/>
            <w:hideMark/>
          </w:tcPr>
          <w:p w14:paraId="6B63BD89"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1 630 325,30</w:t>
            </w:r>
          </w:p>
        </w:tc>
        <w:tc>
          <w:tcPr>
            <w:tcW w:w="1701" w:type="dxa"/>
            <w:tcBorders>
              <w:top w:val="nil"/>
              <w:left w:val="nil"/>
              <w:bottom w:val="single" w:sz="4" w:space="0" w:color="auto"/>
              <w:right w:val="single" w:sz="4" w:space="0" w:color="auto"/>
            </w:tcBorders>
            <w:shd w:val="clear" w:color="000000" w:fill="FFFFFF"/>
            <w:noWrap/>
            <w:vAlign w:val="bottom"/>
            <w:hideMark/>
          </w:tcPr>
          <w:p w14:paraId="6C6B13E6"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1 630 325,30</w:t>
            </w:r>
          </w:p>
        </w:tc>
        <w:tc>
          <w:tcPr>
            <w:tcW w:w="1078" w:type="dxa"/>
            <w:tcBorders>
              <w:top w:val="nil"/>
              <w:left w:val="nil"/>
              <w:bottom w:val="single" w:sz="4" w:space="0" w:color="auto"/>
              <w:right w:val="single" w:sz="8" w:space="0" w:color="auto"/>
            </w:tcBorders>
            <w:shd w:val="clear" w:color="000000" w:fill="FFFFFF"/>
            <w:noWrap/>
            <w:vAlign w:val="bottom"/>
            <w:hideMark/>
          </w:tcPr>
          <w:p w14:paraId="62E74461"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0,00</w:t>
            </w:r>
          </w:p>
        </w:tc>
      </w:tr>
      <w:tr w:rsidR="00397867" w:rsidRPr="009257D4" w14:paraId="15AFCCB2" w14:textId="77777777" w:rsidTr="00397867">
        <w:trPr>
          <w:trHeight w:val="290"/>
        </w:trPr>
        <w:tc>
          <w:tcPr>
            <w:tcW w:w="3392" w:type="dxa"/>
            <w:tcBorders>
              <w:top w:val="nil"/>
              <w:left w:val="single" w:sz="8" w:space="0" w:color="auto"/>
              <w:bottom w:val="single" w:sz="4" w:space="0" w:color="auto"/>
              <w:right w:val="single" w:sz="4" w:space="0" w:color="auto"/>
            </w:tcBorders>
            <w:shd w:val="clear" w:color="000000" w:fill="FFFFFF"/>
            <w:vAlign w:val="bottom"/>
            <w:hideMark/>
          </w:tcPr>
          <w:p w14:paraId="2A62738E" w14:textId="77777777" w:rsidR="009257D4" w:rsidRPr="009257D4" w:rsidRDefault="009257D4" w:rsidP="009257D4">
            <w:pPr>
              <w:spacing w:after="0" w:line="240" w:lineRule="auto"/>
              <w:jc w:val="left"/>
              <w:rPr>
                <w:rFonts w:eastAsia="Times New Roman" w:cs="Times New Roman"/>
                <w:sz w:val="20"/>
                <w:szCs w:val="20"/>
              </w:rPr>
            </w:pPr>
            <w:r w:rsidRPr="009257D4">
              <w:rPr>
                <w:rFonts w:eastAsia="Times New Roman" w:cs="Times New Roman"/>
                <w:sz w:val="20"/>
                <w:szCs w:val="20"/>
              </w:rPr>
              <w:t>Total Equpo Audio y Video</w:t>
            </w:r>
          </w:p>
        </w:tc>
        <w:tc>
          <w:tcPr>
            <w:tcW w:w="987" w:type="dxa"/>
            <w:tcBorders>
              <w:top w:val="nil"/>
              <w:left w:val="nil"/>
              <w:bottom w:val="single" w:sz="4" w:space="0" w:color="auto"/>
              <w:right w:val="single" w:sz="4" w:space="0" w:color="auto"/>
            </w:tcBorders>
            <w:shd w:val="clear" w:color="auto" w:fill="auto"/>
            <w:noWrap/>
            <w:vAlign w:val="bottom"/>
            <w:hideMark/>
          </w:tcPr>
          <w:p w14:paraId="1DF7C7E9" w14:textId="77777777" w:rsidR="009257D4" w:rsidRPr="009257D4" w:rsidRDefault="009257D4" w:rsidP="009257D4">
            <w:pPr>
              <w:spacing w:after="0" w:line="240" w:lineRule="auto"/>
              <w:jc w:val="center"/>
              <w:rPr>
                <w:rFonts w:ascii="Aptos Narrow" w:eastAsia="Times New Roman" w:hAnsi="Aptos Narrow" w:cs="Times New Roman"/>
                <w:color w:val="000000"/>
                <w:sz w:val="22"/>
                <w:lang w:val="en-US"/>
              </w:rPr>
            </w:pPr>
            <w:r w:rsidRPr="009257D4">
              <w:rPr>
                <w:rFonts w:ascii="Aptos Narrow" w:eastAsia="Times New Roman" w:hAnsi="Aptos Narrow" w:cs="Times New Roman"/>
                <w:color w:val="000000"/>
                <w:sz w:val="22"/>
                <w:lang w:val="en-US"/>
              </w:rPr>
              <w:t>3</w:t>
            </w:r>
          </w:p>
        </w:tc>
        <w:tc>
          <w:tcPr>
            <w:tcW w:w="1707" w:type="dxa"/>
            <w:tcBorders>
              <w:top w:val="nil"/>
              <w:left w:val="nil"/>
              <w:bottom w:val="single" w:sz="4" w:space="0" w:color="auto"/>
              <w:right w:val="single" w:sz="4" w:space="0" w:color="auto"/>
            </w:tcBorders>
            <w:shd w:val="clear" w:color="000000" w:fill="FFFFFF"/>
            <w:noWrap/>
            <w:vAlign w:val="bottom"/>
            <w:hideMark/>
          </w:tcPr>
          <w:p w14:paraId="45BCE766"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686 823,43</w:t>
            </w:r>
          </w:p>
        </w:tc>
        <w:tc>
          <w:tcPr>
            <w:tcW w:w="1701" w:type="dxa"/>
            <w:tcBorders>
              <w:top w:val="nil"/>
              <w:left w:val="nil"/>
              <w:bottom w:val="single" w:sz="4" w:space="0" w:color="auto"/>
              <w:right w:val="single" w:sz="4" w:space="0" w:color="auto"/>
            </w:tcBorders>
            <w:shd w:val="clear" w:color="000000" w:fill="FFFFFF"/>
            <w:noWrap/>
            <w:vAlign w:val="bottom"/>
            <w:hideMark/>
          </w:tcPr>
          <w:p w14:paraId="7B05FEE8"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686 823,43</w:t>
            </w:r>
          </w:p>
        </w:tc>
        <w:tc>
          <w:tcPr>
            <w:tcW w:w="1078" w:type="dxa"/>
            <w:tcBorders>
              <w:top w:val="nil"/>
              <w:left w:val="nil"/>
              <w:bottom w:val="single" w:sz="4" w:space="0" w:color="auto"/>
              <w:right w:val="single" w:sz="8" w:space="0" w:color="auto"/>
            </w:tcBorders>
            <w:shd w:val="clear" w:color="000000" w:fill="FFFFFF"/>
            <w:noWrap/>
            <w:vAlign w:val="bottom"/>
            <w:hideMark/>
          </w:tcPr>
          <w:p w14:paraId="3010F5BB"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0,00</w:t>
            </w:r>
          </w:p>
        </w:tc>
      </w:tr>
      <w:tr w:rsidR="00397867" w:rsidRPr="009257D4" w14:paraId="65C5B22F" w14:textId="77777777" w:rsidTr="00397867">
        <w:trPr>
          <w:trHeight w:val="290"/>
        </w:trPr>
        <w:tc>
          <w:tcPr>
            <w:tcW w:w="3392" w:type="dxa"/>
            <w:tcBorders>
              <w:top w:val="nil"/>
              <w:left w:val="single" w:sz="8" w:space="0" w:color="auto"/>
              <w:bottom w:val="single" w:sz="4" w:space="0" w:color="auto"/>
              <w:right w:val="single" w:sz="4" w:space="0" w:color="auto"/>
            </w:tcBorders>
            <w:shd w:val="clear" w:color="000000" w:fill="FFFFFF"/>
            <w:vAlign w:val="bottom"/>
            <w:hideMark/>
          </w:tcPr>
          <w:p w14:paraId="144C8044" w14:textId="77777777" w:rsidR="009257D4" w:rsidRPr="009257D4" w:rsidRDefault="009257D4" w:rsidP="009257D4">
            <w:pPr>
              <w:spacing w:after="0" w:line="240" w:lineRule="auto"/>
              <w:jc w:val="left"/>
              <w:rPr>
                <w:rFonts w:eastAsia="Times New Roman" w:cs="Times New Roman"/>
                <w:sz w:val="20"/>
                <w:szCs w:val="20"/>
                <w:lang w:val="en-US"/>
              </w:rPr>
            </w:pPr>
            <w:r w:rsidRPr="009257D4">
              <w:rPr>
                <w:rFonts w:eastAsia="Times New Roman" w:cs="Times New Roman"/>
                <w:sz w:val="20"/>
                <w:szCs w:val="20"/>
                <w:lang w:val="en-US"/>
              </w:rPr>
              <w:t>Total Archivadores y Estantes</w:t>
            </w:r>
          </w:p>
        </w:tc>
        <w:tc>
          <w:tcPr>
            <w:tcW w:w="987" w:type="dxa"/>
            <w:tcBorders>
              <w:top w:val="nil"/>
              <w:left w:val="nil"/>
              <w:bottom w:val="single" w:sz="4" w:space="0" w:color="auto"/>
              <w:right w:val="single" w:sz="4" w:space="0" w:color="auto"/>
            </w:tcBorders>
            <w:shd w:val="clear" w:color="auto" w:fill="auto"/>
            <w:noWrap/>
            <w:vAlign w:val="bottom"/>
            <w:hideMark/>
          </w:tcPr>
          <w:p w14:paraId="55E15BA3" w14:textId="77777777" w:rsidR="009257D4" w:rsidRPr="009257D4" w:rsidRDefault="009257D4" w:rsidP="009257D4">
            <w:pPr>
              <w:spacing w:after="0" w:line="240" w:lineRule="auto"/>
              <w:jc w:val="center"/>
              <w:rPr>
                <w:rFonts w:ascii="Aptos Narrow" w:eastAsia="Times New Roman" w:hAnsi="Aptos Narrow" w:cs="Times New Roman"/>
                <w:color w:val="000000"/>
                <w:sz w:val="22"/>
                <w:lang w:val="en-US"/>
              </w:rPr>
            </w:pPr>
            <w:r w:rsidRPr="009257D4">
              <w:rPr>
                <w:rFonts w:ascii="Aptos Narrow" w:eastAsia="Times New Roman" w:hAnsi="Aptos Narrow" w:cs="Times New Roman"/>
                <w:color w:val="000000"/>
                <w:sz w:val="22"/>
                <w:lang w:val="en-US"/>
              </w:rPr>
              <w:t>63</w:t>
            </w:r>
          </w:p>
        </w:tc>
        <w:tc>
          <w:tcPr>
            <w:tcW w:w="1707" w:type="dxa"/>
            <w:tcBorders>
              <w:top w:val="nil"/>
              <w:left w:val="nil"/>
              <w:bottom w:val="single" w:sz="4" w:space="0" w:color="auto"/>
              <w:right w:val="single" w:sz="4" w:space="0" w:color="auto"/>
            </w:tcBorders>
            <w:shd w:val="clear" w:color="000000" w:fill="FFFFFF"/>
            <w:noWrap/>
            <w:vAlign w:val="bottom"/>
            <w:hideMark/>
          </w:tcPr>
          <w:p w14:paraId="41855920"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5 241 227,87</w:t>
            </w:r>
          </w:p>
        </w:tc>
        <w:tc>
          <w:tcPr>
            <w:tcW w:w="1701" w:type="dxa"/>
            <w:tcBorders>
              <w:top w:val="nil"/>
              <w:left w:val="nil"/>
              <w:bottom w:val="single" w:sz="4" w:space="0" w:color="auto"/>
              <w:right w:val="single" w:sz="4" w:space="0" w:color="auto"/>
            </w:tcBorders>
            <w:shd w:val="clear" w:color="000000" w:fill="FFFFFF"/>
            <w:noWrap/>
            <w:vAlign w:val="bottom"/>
            <w:hideMark/>
          </w:tcPr>
          <w:p w14:paraId="33B90375"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5 241 227,87</w:t>
            </w:r>
          </w:p>
        </w:tc>
        <w:tc>
          <w:tcPr>
            <w:tcW w:w="1078" w:type="dxa"/>
            <w:tcBorders>
              <w:top w:val="nil"/>
              <w:left w:val="nil"/>
              <w:bottom w:val="single" w:sz="4" w:space="0" w:color="auto"/>
              <w:right w:val="single" w:sz="8" w:space="0" w:color="auto"/>
            </w:tcBorders>
            <w:shd w:val="clear" w:color="000000" w:fill="FFFFFF"/>
            <w:noWrap/>
            <w:vAlign w:val="bottom"/>
            <w:hideMark/>
          </w:tcPr>
          <w:p w14:paraId="5BC66962"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0,00</w:t>
            </w:r>
          </w:p>
        </w:tc>
      </w:tr>
      <w:tr w:rsidR="00397867" w:rsidRPr="009257D4" w14:paraId="73F178F2" w14:textId="77777777" w:rsidTr="00397867">
        <w:trPr>
          <w:trHeight w:val="290"/>
        </w:trPr>
        <w:tc>
          <w:tcPr>
            <w:tcW w:w="3392" w:type="dxa"/>
            <w:tcBorders>
              <w:top w:val="nil"/>
              <w:left w:val="single" w:sz="8" w:space="0" w:color="auto"/>
              <w:bottom w:val="single" w:sz="4" w:space="0" w:color="auto"/>
              <w:right w:val="single" w:sz="4" w:space="0" w:color="auto"/>
            </w:tcBorders>
            <w:shd w:val="clear" w:color="000000" w:fill="FFFFFF"/>
            <w:vAlign w:val="bottom"/>
            <w:hideMark/>
          </w:tcPr>
          <w:p w14:paraId="6C51B041" w14:textId="77777777" w:rsidR="009257D4" w:rsidRPr="009257D4" w:rsidRDefault="009257D4" w:rsidP="009257D4">
            <w:pPr>
              <w:spacing w:after="0" w:line="240" w:lineRule="auto"/>
              <w:jc w:val="left"/>
              <w:rPr>
                <w:rFonts w:eastAsia="Times New Roman" w:cs="Times New Roman"/>
                <w:sz w:val="20"/>
                <w:szCs w:val="20"/>
                <w:lang w:val="en-US"/>
              </w:rPr>
            </w:pPr>
            <w:r w:rsidRPr="009257D4">
              <w:rPr>
                <w:rFonts w:eastAsia="Times New Roman" w:cs="Times New Roman"/>
                <w:sz w:val="20"/>
                <w:szCs w:val="20"/>
                <w:lang w:val="en-US"/>
              </w:rPr>
              <w:t>Total Escritorios y Mesas</w:t>
            </w:r>
          </w:p>
        </w:tc>
        <w:tc>
          <w:tcPr>
            <w:tcW w:w="987" w:type="dxa"/>
            <w:tcBorders>
              <w:top w:val="nil"/>
              <w:left w:val="nil"/>
              <w:bottom w:val="single" w:sz="4" w:space="0" w:color="auto"/>
              <w:right w:val="single" w:sz="4" w:space="0" w:color="auto"/>
            </w:tcBorders>
            <w:shd w:val="clear" w:color="auto" w:fill="auto"/>
            <w:noWrap/>
            <w:vAlign w:val="bottom"/>
            <w:hideMark/>
          </w:tcPr>
          <w:p w14:paraId="14E39F22" w14:textId="77777777" w:rsidR="009257D4" w:rsidRPr="009257D4" w:rsidRDefault="009257D4" w:rsidP="009257D4">
            <w:pPr>
              <w:spacing w:after="0" w:line="240" w:lineRule="auto"/>
              <w:jc w:val="center"/>
              <w:rPr>
                <w:rFonts w:ascii="Aptos Narrow" w:eastAsia="Times New Roman" w:hAnsi="Aptos Narrow" w:cs="Times New Roman"/>
                <w:color w:val="000000"/>
                <w:sz w:val="22"/>
                <w:lang w:val="en-US"/>
              </w:rPr>
            </w:pPr>
            <w:r w:rsidRPr="009257D4">
              <w:rPr>
                <w:rFonts w:ascii="Aptos Narrow" w:eastAsia="Times New Roman" w:hAnsi="Aptos Narrow" w:cs="Times New Roman"/>
                <w:color w:val="000000"/>
                <w:sz w:val="22"/>
                <w:lang w:val="en-US"/>
              </w:rPr>
              <w:t>19</w:t>
            </w:r>
          </w:p>
        </w:tc>
        <w:tc>
          <w:tcPr>
            <w:tcW w:w="1707" w:type="dxa"/>
            <w:tcBorders>
              <w:top w:val="nil"/>
              <w:left w:val="nil"/>
              <w:bottom w:val="single" w:sz="4" w:space="0" w:color="auto"/>
              <w:right w:val="single" w:sz="4" w:space="0" w:color="auto"/>
            </w:tcBorders>
            <w:shd w:val="clear" w:color="000000" w:fill="FFFFFF"/>
            <w:noWrap/>
            <w:vAlign w:val="bottom"/>
            <w:hideMark/>
          </w:tcPr>
          <w:p w14:paraId="7B5C9604"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1 778 651,59</w:t>
            </w:r>
          </w:p>
        </w:tc>
        <w:tc>
          <w:tcPr>
            <w:tcW w:w="1701" w:type="dxa"/>
            <w:tcBorders>
              <w:top w:val="nil"/>
              <w:left w:val="nil"/>
              <w:bottom w:val="single" w:sz="4" w:space="0" w:color="auto"/>
              <w:right w:val="single" w:sz="4" w:space="0" w:color="auto"/>
            </w:tcBorders>
            <w:shd w:val="clear" w:color="000000" w:fill="FFFFFF"/>
            <w:noWrap/>
            <w:vAlign w:val="bottom"/>
            <w:hideMark/>
          </w:tcPr>
          <w:p w14:paraId="29F42046"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1 778 651,59</w:t>
            </w:r>
          </w:p>
        </w:tc>
        <w:tc>
          <w:tcPr>
            <w:tcW w:w="1078" w:type="dxa"/>
            <w:tcBorders>
              <w:top w:val="nil"/>
              <w:left w:val="nil"/>
              <w:bottom w:val="single" w:sz="4" w:space="0" w:color="auto"/>
              <w:right w:val="single" w:sz="8" w:space="0" w:color="auto"/>
            </w:tcBorders>
            <w:shd w:val="clear" w:color="000000" w:fill="FFFFFF"/>
            <w:noWrap/>
            <w:vAlign w:val="bottom"/>
            <w:hideMark/>
          </w:tcPr>
          <w:p w14:paraId="1586EAFC"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0,00</w:t>
            </w:r>
          </w:p>
        </w:tc>
      </w:tr>
      <w:tr w:rsidR="00397867" w:rsidRPr="009257D4" w14:paraId="6466D10B" w14:textId="77777777" w:rsidTr="00397867">
        <w:trPr>
          <w:trHeight w:val="290"/>
        </w:trPr>
        <w:tc>
          <w:tcPr>
            <w:tcW w:w="3392" w:type="dxa"/>
            <w:tcBorders>
              <w:top w:val="nil"/>
              <w:left w:val="single" w:sz="8" w:space="0" w:color="auto"/>
              <w:bottom w:val="single" w:sz="4" w:space="0" w:color="auto"/>
              <w:right w:val="single" w:sz="4" w:space="0" w:color="auto"/>
            </w:tcBorders>
            <w:shd w:val="clear" w:color="000000" w:fill="FFFFFF"/>
            <w:vAlign w:val="bottom"/>
            <w:hideMark/>
          </w:tcPr>
          <w:p w14:paraId="11B9CCFC" w14:textId="77777777" w:rsidR="009257D4" w:rsidRPr="009257D4" w:rsidRDefault="009257D4" w:rsidP="009257D4">
            <w:pPr>
              <w:spacing w:after="0" w:line="240" w:lineRule="auto"/>
              <w:jc w:val="left"/>
              <w:rPr>
                <w:rFonts w:eastAsia="Times New Roman" w:cs="Times New Roman"/>
                <w:sz w:val="20"/>
                <w:szCs w:val="20"/>
                <w:lang w:val="en-US"/>
              </w:rPr>
            </w:pPr>
            <w:r w:rsidRPr="009257D4">
              <w:rPr>
                <w:rFonts w:eastAsia="Times New Roman" w:cs="Times New Roman"/>
                <w:sz w:val="20"/>
                <w:szCs w:val="20"/>
                <w:lang w:val="en-US"/>
              </w:rPr>
              <w:t>Total Sillas y Butacas</w:t>
            </w:r>
          </w:p>
        </w:tc>
        <w:tc>
          <w:tcPr>
            <w:tcW w:w="987" w:type="dxa"/>
            <w:tcBorders>
              <w:top w:val="nil"/>
              <w:left w:val="nil"/>
              <w:bottom w:val="single" w:sz="4" w:space="0" w:color="auto"/>
              <w:right w:val="single" w:sz="4" w:space="0" w:color="auto"/>
            </w:tcBorders>
            <w:shd w:val="clear" w:color="auto" w:fill="auto"/>
            <w:noWrap/>
            <w:vAlign w:val="bottom"/>
            <w:hideMark/>
          </w:tcPr>
          <w:p w14:paraId="1FF996C5" w14:textId="77777777" w:rsidR="009257D4" w:rsidRPr="009257D4" w:rsidRDefault="009257D4" w:rsidP="009257D4">
            <w:pPr>
              <w:spacing w:after="0" w:line="240" w:lineRule="auto"/>
              <w:jc w:val="center"/>
              <w:rPr>
                <w:rFonts w:ascii="Aptos Narrow" w:eastAsia="Times New Roman" w:hAnsi="Aptos Narrow" w:cs="Times New Roman"/>
                <w:color w:val="000000"/>
                <w:sz w:val="22"/>
                <w:lang w:val="en-US"/>
              </w:rPr>
            </w:pPr>
            <w:r w:rsidRPr="009257D4">
              <w:rPr>
                <w:rFonts w:ascii="Aptos Narrow" w:eastAsia="Times New Roman" w:hAnsi="Aptos Narrow" w:cs="Times New Roman"/>
                <w:color w:val="000000"/>
                <w:sz w:val="22"/>
                <w:lang w:val="en-US"/>
              </w:rPr>
              <w:t>18</w:t>
            </w:r>
          </w:p>
        </w:tc>
        <w:tc>
          <w:tcPr>
            <w:tcW w:w="1707" w:type="dxa"/>
            <w:tcBorders>
              <w:top w:val="nil"/>
              <w:left w:val="nil"/>
              <w:bottom w:val="single" w:sz="4" w:space="0" w:color="auto"/>
              <w:right w:val="single" w:sz="4" w:space="0" w:color="auto"/>
            </w:tcBorders>
            <w:shd w:val="clear" w:color="000000" w:fill="FFFFFF"/>
            <w:noWrap/>
            <w:vAlign w:val="bottom"/>
            <w:hideMark/>
          </w:tcPr>
          <w:p w14:paraId="4519D863"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1 971 511,88</w:t>
            </w:r>
          </w:p>
        </w:tc>
        <w:tc>
          <w:tcPr>
            <w:tcW w:w="1701" w:type="dxa"/>
            <w:tcBorders>
              <w:top w:val="nil"/>
              <w:left w:val="nil"/>
              <w:bottom w:val="single" w:sz="4" w:space="0" w:color="auto"/>
              <w:right w:val="single" w:sz="4" w:space="0" w:color="auto"/>
            </w:tcBorders>
            <w:shd w:val="clear" w:color="000000" w:fill="FFFFFF"/>
            <w:noWrap/>
            <w:vAlign w:val="bottom"/>
            <w:hideMark/>
          </w:tcPr>
          <w:p w14:paraId="0B8F191F"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1 971 511,88</w:t>
            </w:r>
          </w:p>
        </w:tc>
        <w:tc>
          <w:tcPr>
            <w:tcW w:w="1078" w:type="dxa"/>
            <w:tcBorders>
              <w:top w:val="nil"/>
              <w:left w:val="nil"/>
              <w:bottom w:val="single" w:sz="4" w:space="0" w:color="auto"/>
              <w:right w:val="single" w:sz="8" w:space="0" w:color="auto"/>
            </w:tcBorders>
            <w:shd w:val="clear" w:color="000000" w:fill="FFFFFF"/>
            <w:noWrap/>
            <w:vAlign w:val="bottom"/>
            <w:hideMark/>
          </w:tcPr>
          <w:p w14:paraId="0BC374DC"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0,00</w:t>
            </w:r>
          </w:p>
        </w:tc>
      </w:tr>
      <w:tr w:rsidR="00397867" w:rsidRPr="009257D4" w14:paraId="1E26AC9B" w14:textId="77777777" w:rsidTr="00397867">
        <w:trPr>
          <w:trHeight w:val="290"/>
        </w:trPr>
        <w:tc>
          <w:tcPr>
            <w:tcW w:w="3392" w:type="dxa"/>
            <w:tcBorders>
              <w:top w:val="nil"/>
              <w:left w:val="single" w:sz="8" w:space="0" w:color="auto"/>
              <w:bottom w:val="single" w:sz="4" w:space="0" w:color="auto"/>
              <w:right w:val="single" w:sz="4" w:space="0" w:color="auto"/>
            </w:tcBorders>
            <w:shd w:val="clear" w:color="000000" w:fill="FFFFFF"/>
            <w:vAlign w:val="bottom"/>
            <w:hideMark/>
          </w:tcPr>
          <w:p w14:paraId="576E8AE1" w14:textId="77777777" w:rsidR="009257D4" w:rsidRPr="009257D4" w:rsidRDefault="009257D4" w:rsidP="009257D4">
            <w:pPr>
              <w:spacing w:after="0" w:line="240" w:lineRule="auto"/>
              <w:jc w:val="left"/>
              <w:rPr>
                <w:rFonts w:eastAsia="Times New Roman" w:cs="Times New Roman"/>
                <w:sz w:val="20"/>
                <w:szCs w:val="20"/>
                <w:lang w:val="en-US"/>
              </w:rPr>
            </w:pPr>
            <w:r w:rsidRPr="009257D4">
              <w:rPr>
                <w:rFonts w:eastAsia="Times New Roman" w:cs="Times New Roman"/>
                <w:sz w:val="20"/>
                <w:szCs w:val="20"/>
                <w:lang w:val="en-US"/>
              </w:rPr>
              <w:t>Total Equipo de ventilación</w:t>
            </w:r>
          </w:p>
        </w:tc>
        <w:tc>
          <w:tcPr>
            <w:tcW w:w="987" w:type="dxa"/>
            <w:tcBorders>
              <w:top w:val="nil"/>
              <w:left w:val="nil"/>
              <w:bottom w:val="single" w:sz="4" w:space="0" w:color="auto"/>
              <w:right w:val="single" w:sz="4" w:space="0" w:color="auto"/>
            </w:tcBorders>
            <w:shd w:val="clear" w:color="auto" w:fill="auto"/>
            <w:noWrap/>
            <w:vAlign w:val="bottom"/>
            <w:hideMark/>
          </w:tcPr>
          <w:p w14:paraId="46D2CB8E" w14:textId="77777777" w:rsidR="009257D4" w:rsidRPr="009257D4" w:rsidRDefault="009257D4" w:rsidP="009257D4">
            <w:pPr>
              <w:spacing w:after="0" w:line="240" w:lineRule="auto"/>
              <w:jc w:val="center"/>
              <w:rPr>
                <w:rFonts w:ascii="Aptos Narrow" w:eastAsia="Times New Roman" w:hAnsi="Aptos Narrow" w:cs="Times New Roman"/>
                <w:color w:val="000000"/>
                <w:sz w:val="22"/>
                <w:lang w:val="en-US"/>
              </w:rPr>
            </w:pPr>
            <w:r w:rsidRPr="009257D4">
              <w:rPr>
                <w:rFonts w:ascii="Aptos Narrow" w:eastAsia="Times New Roman" w:hAnsi="Aptos Narrow" w:cs="Times New Roman"/>
                <w:color w:val="000000"/>
                <w:sz w:val="22"/>
                <w:lang w:val="en-US"/>
              </w:rPr>
              <w:t>5</w:t>
            </w:r>
          </w:p>
        </w:tc>
        <w:tc>
          <w:tcPr>
            <w:tcW w:w="1707" w:type="dxa"/>
            <w:tcBorders>
              <w:top w:val="nil"/>
              <w:left w:val="nil"/>
              <w:bottom w:val="single" w:sz="4" w:space="0" w:color="auto"/>
              <w:right w:val="single" w:sz="4" w:space="0" w:color="auto"/>
            </w:tcBorders>
            <w:shd w:val="clear" w:color="000000" w:fill="FFFFFF"/>
            <w:noWrap/>
            <w:vAlign w:val="bottom"/>
            <w:hideMark/>
          </w:tcPr>
          <w:p w14:paraId="1FD7DD0E"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2 834 280,00</w:t>
            </w:r>
          </w:p>
        </w:tc>
        <w:tc>
          <w:tcPr>
            <w:tcW w:w="1701" w:type="dxa"/>
            <w:tcBorders>
              <w:top w:val="nil"/>
              <w:left w:val="nil"/>
              <w:bottom w:val="single" w:sz="4" w:space="0" w:color="auto"/>
              <w:right w:val="single" w:sz="4" w:space="0" w:color="auto"/>
            </w:tcBorders>
            <w:shd w:val="clear" w:color="000000" w:fill="FFFFFF"/>
            <w:noWrap/>
            <w:vAlign w:val="bottom"/>
            <w:hideMark/>
          </w:tcPr>
          <w:p w14:paraId="37482D17"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2 834 280,00</w:t>
            </w:r>
          </w:p>
        </w:tc>
        <w:tc>
          <w:tcPr>
            <w:tcW w:w="1078" w:type="dxa"/>
            <w:tcBorders>
              <w:top w:val="nil"/>
              <w:left w:val="nil"/>
              <w:bottom w:val="single" w:sz="4" w:space="0" w:color="auto"/>
              <w:right w:val="single" w:sz="8" w:space="0" w:color="auto"/>
            </w:tcBorders>
            <w:shd w:val="clear" w:color="000000" w:fill="FFFFFF"/>
            <w:noWrap/>
            <w:vAlign w:val="bottom"/>
            <w:hideMark/>
          </w:tcPr>
          <w:p w14:paraId="66F69E60"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0,00</w:t>
            </w:r>
          </w:p>
        </w:tc>
      </w:tr>
      <w:tr w:rsidR="00397867" w:rsidRPr="009257D4" w14:paraId="5593BEDF" w14:textId="77777777" w:rsidTr="00397867">
        <w:trPr>
          <w:trHeight w:val="290"/>
        </w:trPr>
        <w:tc>
          <w:tcPr>
            <w:tcW w:w="3392" w:type="dxa"/>
            <w:tcBorders>
              <w:top w:val="nil"/>
              <w:left w:val="single" w:sz="8" w:space="0" w:color="auto"/>
              <w:bottom w:val="single" w:sz="4" w:space="0" w:color="auto"/>
              <w:right w:val="single" w:sz="4" w:space="0" w:color="auto"/>
            </w:tcBorders>
            <w:shd w:val="clear" w:color="000000" w:fill="FFFFFF"/>
            <w:vAlign w:val="bottom"/>
            <w:hideMark/>
          </w:tcPr>
          <w:p w14:paraId="4CB88715" w14:textId="77777777" w:rsidR="009257D4" w:rsidRPr="009257D4" w:rsidRDefault="009257D4" w:rsidP="009257D4">
            <w:pPr>
              <w:spacing w:after="0" w:line="240" w:lineRule="auto"/>
              <w:jc w:val="left"/>
              <w:rPr>
                <w:rFonts w:eastAsia="Times New Roman" w:cs="Times New Roman"/>
                <w:sz w:val="20"/>
                <w:szCs w:val="20"/>
              </w:rPr>
            </w:pPr>
            <w:r w:rsidRPr="009257D4">
              <w:rPr>
                <w:rFonts w:eastAsia="Times New Roman" w:cs="Times New Roman"/>
                <w:sz w:val="20"/>
                <w:szCs w:val="20"/>
              </w:rPr>
              <w:t>Total Mobiliario y equipo de Oficina</w:t>
            </w:r>
          </w:p>
        </w:tc>
        <w:tc>
          <w:tcPr>
            <w:tcW w:w="987" w:type="dxa"/>
            <w:tcBorders>
              <w:top w:val="nil"/>
              <w:left w:val="nil"/>
              <w:bottom w:val="single" w:sz="4" w:space="0" w:color="auto"/>
              <w:right w:val="single" w:sz="4" w:space="0" w:color="auto"/>
            </w:tcBorders>
            <w:shd w:val="clear" w:color="auto" w:fill="auto"/>
            <w:noWrap/>
            <w:vAlign w:val="bottom"/>
            <w:hideMark/>
          </w:tcPr>
          <w:p w14:paraId="5E230320" w14:textId="77777777" w:rsidR="009257D4" w:rsidRPr="009257D4" w:rsidRDefault="009257D4" w:rsidP="009257D4">
            <w:pPr>
              <w:spacing w:after="0" w:line="240" w:lineRule="auto"/>
              <w:jc w:val="center"/>
              <w:rPr>
                <w:rFonts w:ascii="Aptos Narrow" w:eastAsia="Times New Roman" w:hAnsi="Aptos Narrow" w:cs="Times New Roman"/>
                <w:color w:val="000000"/>
                <w:sz w:val="22"/>
                <w:lang w:val="en-US"/>
              </w:rPr>
            </w:pPr>
            <w:r w:rsidRPr="009257D4">
              <w:rPr>
                <w:rFonts w:ascii="Aptos Narrow" w:eastAsia="Times New Roman" w:hAnsi="Aptos Narrow" w:cs="Times New Roman"/>
                <w:color w:val="000000"/>
                <w:sz w:val="22"/>
                <w:lang w:val="en-US"/>
              </w:rPr>
              <w:t>2</w:t>
            </w:r>
          </w:p>
        </w:tc>
        <w:tc>
          <w:tcPr>
            <w:tcW w:w="1707" w:type="dxa"/>
            <w:tcBorders>
              <w:top w:val="nil"/>
              <w:left w:val="nil"/>
              <w:bottom w:val="single" w:sz="4" w:space="0" w:color="auto"/>
              <w:right w:val="single" w:sz="4" w:space="0" w:color="auto"/>
            </w:tcBorders>
            <w:shd w:val="clear" w:color="000000" w:fill="FFFFFF"/>
            <w:noWrap/>
            <w:vAlign w:val="bottom"/>
            <w:hideMark/>
          </w:tcPr>
          <w:p w14:paraId="003BBBF2"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300 800,00</w:t>
            </w:r>
          </w:p>
        </w:tc>
        <w:tc>
          <w:tcPr>
            <w:tcW w:w="1701" w:type="dxa"/>
            <w:tcBorders>
              <w:top w:val="nil"/>
              <w:left w:val="nil"/>
              <w:bottom w:val="single" w:sz="4" w:space="0" w:color="auto"/>
              <w:right w:val="single" w:sz="4" w:space="0" w:color="auto"/>
            </w:tcBorders>
            <w:shd w:val="clear" w:color="000000" w:fill="FFFFFF"/>
            <w:noWrap/>
            <w:vAlign w:val="bottom"/>
            <w:hideMark/>
          </w:tcPr>
          <w:p w14:paraId="0EA5D3D0"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300 800,00</w:t>
            </w:r>
          </w:p>
        </w:tc>
        <w:tc>
          <w:tcPr>
            <w:tcW w:w="1078" w:type="dxa"/>
            <w:tcBorders>
              <w:top w:val="nil"/>
              <w:left w:val="nil"/>
              <w:bottom w:val="single" w:sz="4" w:space="0" w:color="auto"/>
              <w:right w:val="single" w:sz="8" w:space="0" w:color="auto"/>
            </w:tcBorders>
            <w:shd w:val="clear" w:color="000000" w:fill="FFFFFF"/>
            <w:noWrap/>
            <w:vAlign w:val="bottom"/>
            <w:hideMark/>
          </w:tcPr>
          <w:p w14:paraId="0ABB7C14"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0,00</w:t>
            </w:r>
          </w:p>
        </w:tc>
      </w:tr>
      <w:tr w:rsidR="00397867" w:rsidRPr="009257D4" w14:paraId="2C006EC9" w14:textId="77777777" w:rsidTr="00397867">
        <w:trPr>
          <w:trHeight w:val="290"/>
        </w:trPr>
        <w:tc>
          <w:tcPr>
            <w:tcW w:w="3392" w:type="dxa"/>
            <w:tcBorders>
              <w:top w:val="nil"/>
              <w:left w:val="single" w:sz="8" w:space="0" w:color="auto"/>
              <w:bottom w:val="single" w:sz="4" w:space="0" w:color="auto"/>
              <w:right w:val="single" w:sz="4" w:space="0" w:color="auto"/>
            </w:tcBorders>
            <w:shd w:val="clear" w:color="000000" w:fill="FFFFFF"/>
            <w:vAlign w:val="bottom"/>
            <w:hideMark/>
          </w:tcPr>
          <w:p w14:paraId="200E5879" w14:textId="77777777" w:rsidR="009257D4" w:rsidRPr="009257D4" w:rsidRDefault="009257D4" w:rsidP="009257D4">
            <w:pPr>
              <w:spacing w:after="0" w:line="240" w:lineRule="auto"/>
              <w:jc w:val="left"/>
              <w:rPr>
                <w:rFonts w:eastAsia="Times New Roman" w:cs="Times New Roman"/>
                <w:sz w:val="20"/>
                <w:szCs w:val="20"/>
                <w:lang w:val="en-US"/>
              </w:rPr>
            </w:pPr>
            <w:r w:rsidRPr="009257D4">
              <w:rPr>
                <w:rFonts w:eastAsia="Times New Roman" w:cs="Times New Roman"/>
                <w:sz w:val="20"/>
                <w:szCs w:val="20"/>
                <w:lang w:val="en-US"/>
              </w:rPr>
              <w:t>Total Computadoras</w:t>
            </w:r>
          </w:p>
        </w:tc>
        <w:tc>
          <w:tcPr>
            <w:tcW w:w="987" w:type="dxa"/>
            <w:tcBorders>
              <w:top w:val="nil"/>
              <w:left w:val="nil"/>
              <w:bottom w:val="single" w:sz="4" w:space="0" w:color="auto"/>
              <w:right w:val="single" w:sz="4" w:space="0" w:color="auto"/>
            </w:tcBorders>
            <w:shd w:val="clear" w:color="auto" w:fill="auto"/>
            <w:noWrap/>
            <w:vAlign w:val="bottom"/>
            <w:hideMark/>
          </w:tcPr>
          <w:p w14:paraId="6164CF61" w14:textId="77777777" w:rsidR="009257D4" w:rsidRPr="009257D4" w:rsidRDefault="009257D4" w:rsidP="009257D4">
            <w:pPr>
              <w:spacing w:after="0" w:line="240" w:lineRule="auto"/>
              <w:jc w:val="center"/>
              <w:rPr>
                <w:rFonts w:ascii="Aptos Narrow" w:eastAsia="Times New Roman" w:hAnsi="Aptos Narrow" w:cs="Times New Roman"/>
                <w:color w:val="000000"/>
                <w:sz w:val="22"/>
                <w:lang w:val="en-US"/>
              </w:rPr>
            </w:pPr>
            <w:r w:rsidRPr="009257D4">
              <w:rPr>
                <w:rFonts w:ascii="Aptos Narrow" w:eastAsia="Times New Roman" w:hAnsi="Aptos Narrow" w:cs="Times New Roman"/>
                <w:color w:val="000000"/>
                <w:sz w:val="22"/>
                <w:lang w:val="en-US"/>
              </w:rPr>
              <w:t>67</w:t>
            </w:r>
          </w:p>
        </w:tc>
        <w:tc>
          <w:tcPr>
            <w:tcW w:w="1707" w:type="dxa"/>
            <w:tcBorders>
              <w:top w:val="nil"/>
              <w:left w:val="nil"/>
              <w:bottom w:val="single" w:sz="4" w:space="0" w:color="auto"/>
              <w:right w:val="single" w:sz="4" w:space="0" w:color="auto"/>
            </w:tcBorders>
            <w:shd w:val="clear" w:color="000000" w:fill="FFFFFF"/>
            <w:noWrap/>
            <w:vAlign w:val="bottom"/>
            <w:hideMark/>
          </w:tcPr>
          <w:p w14:paraId="7374A9A1"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34 828 430,71</w:t>
            </w:r>
          </w:p>
        </w:tc>
        <w:tc>
          <w:tcPr>
            <w:tcW w:w="1701" w:type="dxa"/>
            <w:tcBorders>
              <w:top w:val="nil"/>
              <w:left w:val="nil"/>
              <w:bottom w:val="single" w:sz="4" w:space="0" w:color="auto"/>
              <w:right w:val="single" w:sz="4" w:space="0" w:color="auto"/>
            </w:tcBorders>
            <w:shd w:val="clear" w:color="000000" w:fill="FFFFFF"/>
            <w:noWrap/>
            <w:vAlign w:val="bottom"/>
            <w:hideMark/>
          </w:tcPr>
          <w:p w14:paraId="5D9C8D2F"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34 828 430,71</w:t>
            </w:r>
          </w:p>
        </w:tc>
        <w:tc>
          <w:tcPr>
            <w:tcW w:w="1078" w:type="dxa"/>
            <w:tcBorders>
              <w:top w:val="nil"/>
              <w:left w:val="nil"/>
              <w:bottom w:val="single" w:sz="4" w:space="0" w:color="auto"/>
              <w:right w:val="single" w:sz="8" w:space="0" w:color="auto"/>
            </w:tcBorders>
            <w:shd w:val="clear" w:color="000000" w:fill="FFFFFF"/>
            <w:noWrap/>
            <w:vAlign w:val="bottom"/>
            <w:hideMark/>
          </w:tcPr>
          <w:p w14:paraId="59E11C1D"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0,00</w:t>
            </w:r>
          </w:p>
        </w:tc>
      </w:tr>
      <w:tr w:rsidR="00397867" w:rsidRPr="009257D4" w14:paraId="172AA173" w14:textId="77777777" w:rsidTr="00397867">
        <w:trPr>
          <w:trHeight w:val="290"/>
        </w:trPr>
        <w:tc>
          <w:tcPr>
            <w:tcW w:w="3392" w:type="dxa"/>
            <w:tcBorders>
              <w:top w:val="nil"/>
              <w:left w:val="single" w:sz="8" w:space="0" w:color="auto"/>
              <w:bottom w:val="single" w:sz="4" w:space="0" w:color="auto"/>
              <w:right w:val="single" w:sz="4" w:space="0" w:color="auto"/>
            </w:tcBorders>
            <w:shd w:val="clear" w:color="000000" w:fill="FFFFFF"/>
            <w:vAlign w:val="bottom"/>
            <w:hideMark/>
          </w:tcPr>
          <w:p w14:paraId="27A6DE3A" w14:textId="77777777" w:rsidR="009257D4" w:rsidRPr="009257D4" w:rsidRDefault="009257D4" w:rsidP="009257D4">
            <w:pPr>
              <w:spacing w:after="0" w:line="240" w:lineRule="auto"/>
              <w:jc w:val="left"/>
              <w:rPr>
                <w:rFonts w:eastAsia="Times New Roman" w:cs="Times New Roman"/>
                <w:sz w:val="20"/>
                <w:szCs w:val="20"/>
                <w:lang w:val="en-US"/>
              </w:rPr>
            </w:pPr>
            <w:r w:rsidRPr="009257D4">
              <w:rPr>
                <w:rFonts w:eastAsia="Times New Roman" w:cs="Times New Roman"/>
                <w:sz w:val="20"/>
                <w:szCs w:val="20"/>
                <w:lang w:val="en-US"/>
              </w:rPr>
              <w:t>Total Impresoras</w:t>
            </w:r>
          </w:p>
        </w:tc>
        <w:tc>
          <w:tcPr>
            <w:tcW w:w="987" w:type="dxa"/>
            <w:tcBorders>
              <w:top w:val="nil"/>
              <w:left w:val="nil"/>
              <w:bottom w:val="single" w:sz="4" w:space="0" w:color="auto"/>
              <w:right w:val="single" w:sz="4" w:space="0" w:color="auto"/>
            </w:tcBorders>
            <w:shd w:val="clear" w:color="auto" w:fill="auto"/>
            <w:noWrap/>
            <w:vAlign w:val="bottom"/>
            <w:hideMark/>
          </w:tcPr>
          <w:p w14:paraId="47A81C4E" w14:textId="77777777" w:rsidR="009257D4" w:rsidRPr="009257D4" w:rsidRDefault="009257D4" w:rsidP="009257D4">
            <w:pPr>
              <w:spacing w:after="0" w:line="240" w:lineRule="auto"/>
              <w:jc w:val="center"/>
              <w:rPr>
                <w:rFonts w:ascii="Aptos Narrow" w:eastAsia="Times New Roman" w:hAnsi="Aptos Narrow" w:cs="Times New Roman"/>
                <w:color w:val="000000"/>
                <w:sz w:val="22"/>
                <w:lang w:val="en-US"/>
              </w:rPr>
            </w:pPr>
            <w:r w:rsidRPr="009257D4">
              <w:rPr>
                <w:rFonts w:ascii="Aptos Narrow" w:eastAsia="Times New Roman" w:hAnsi="Aptos Narrow" w:cs="Times New Roman"/>
                <w:color w:val="000000"/>
                <w:sz w:val="22"/>
                <w:lang w:val="en-US"/>
              </w:rPr>
              <w:t>22</w:t>
            </w:r>
          </w:p>
        </w:tc>
        <w:tc>
          <w:tcPr>
            <w:tcW w:w="1707" w:type="dxa"/>
            <w:tcBorders>
              <w:top w:val="nil"/>
              <w:left w:val="nil"/>
              <w:bottom w:val="single" w:sz="4" w:space="0" w:color="auto"/>
              <w:right w:val="single" w:sz="4" w:space="0" w:color="auto"/>
            </w:tcBorders>
            <w:shd w:val="clear" w:color="000000" w:fill="FFFFFF"/>
            <w:noWrap/>
            <w:vAlign w:val="bottom"/>
            <w:hideMark/>
          </w:tcPr>
          <w:p w14:paraId="1752AFE2"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10 141 010,06</w:t>
            </w:r>
          </w:p>
        </w:tc>
        <w:tc>
          <w:tcPr>
            <w:tcW w:w="1701" w:type="dxa"/>
            <w:tcBorders>
              <w:top w:val="nil"/>
              <w:left w:val="nil"/>
              <w:bottom w:val="single" w:sz="4" w:space="0" w:color="auto"/>
              <w:right w:val="single" w:sz="4" w:space="0" w:color="auto"/>
            </w:tcBorders>
            <w:shd w:val="clear" w:color="000000" w:fill="FFFFFF"/>
            <w:noWrap/>
            <w:vAlign w:val="bottom"/>
            <w:hideMark/>
          </w:tcPr>
          <w:p w14:paraId="5A3238E2"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10 141 010,06</w:t>
            </w:r>
          </w:p>
        </w:tc>
        <w:tc>
          <w:tcPr>
            <w:tcW w:w="1078" w:type="dxa"/>
            <w:tcBorders>
              <w:top w:val="nil"/>
              <w:left w:val="nil"/>
              <w:bottom w:val="single" w:sz="4" w:space="0" w:color="auto"/>
              <w:right w:val="single" w:sz="8" w:space="0" w:color="auto"/>
            </w:tcBorders>
            <w:shd w:val="clear" w:color="000000" w:fill="FFFFFF"/>
            <w:noWrap/>
            <w:vAlign w:val="bottom"/>
            <w:hideMark/>
          </w:tcPr>
          <w:p w14:paraId="53BD1064"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0,00</w:t>
            </w:r>
          </w:p>
        </w:tc>
      </w:tr>
      <w:tr w:rsidR="00397867" w:rsidRPr="009257D4" w14:paraId="643BE8C9" w14:textId="77777777" w:rsidTr="00397867">
        <w:trPr>
          <w:trHeight w:val="290"/>
        </w:trPr>
        <w:tc>
          <w:tcPr>
            <w:tcW w:w="3392" w:type="dxa"/>
            <w:tcBorders>
              <w:top w:val="nil"/>
              <w:left w:val="single" w:sz="8" w:space="0" w:color="auto"/>
              <w:bottom w:val="single" w:sz="4" w:space="0" w:color="auto"/>
              <w:right w:val="single" w:sz="4" w:space="0" w:color="auto"/>
            </w:tcBorders>
            <w:shd w:val="clear" w:color="000000" w:fill="FFFFFF"/>
            <w:vAlign w:val="bottom"/>
            <w:hideMark/>
          </w:tcPr>
          <w:p w14:paraId="59807970" w14:textId="77777777" w:rsidR="009257D4" w:rsidRPr="009257D4" w:rsidRDefault="009257D4" w:rsidP="009257D4">
            <w:pPr>
              <w:spacing w:after="0" w:line="240" w:lineRule="auto"/>
              <w:jc w:val="left"/>
              <w:rPr>
                <w:rFonts w:eastAsia="Times New Roman" w:cs="Times New Roman"/>
                <w:sz w:val="20"/>
                <w:szCs w:val="20"/>
                <w:lang w:val="en-US"/>
              </w:rPr>
            </w:pPr>
            <w:r w:rsidRPr="009257D4">
              <w:rPr>
                <w:rFonts w:eastAsia="Times New Roman" w:cs="Times New Roman"/>
                <w:sz w:val="20"/>
                <w:szCs w:val="20"/>
                <w:lang w:val="en-US"/>
              </w:rPr>
              <w:t>Total Monitores</w:t>
            </w:r>
          </w:p>
        </w:tc>
        <w:tc>
          <w:tcPr>
            <w:tcW w:w="987" w:type="dxa"/>
            <w:tcBorders>
              <w:top w:val="nil"/>
              <w:left w:val="nil"/>
              <w:bottom w:val="single" w:sz="4" w:space="0" w:color="auto"/>
              <w:right w:val="single" w:sz="4" w:space="0" w:color="auto"/>
            </w:tcBorders>
            <w:shd w:val="clear" w:color="auto" w:fill="auto"/>
            <w:noWrap/>
            <w:vAlign w:val="bottom"/>
            <w:hideMark/>
          </w:tcPr>
          <w:p w14:paraId="30BFB486" w14:textId="77777777" w:rsidR="009257D4" w:rsidRPr="009257D4" w:rsidRDefault="009257D4" w:rsidP="009257D4">
            <w:pPr>
              <w:spacing w:after="0" w:line="240" w:lineRule="auto"/>
              <w:jc w:val="center"/>
              <w:rPr>
                <w:rFonts w:ascii="Aptos Narrow" w:eastAsia="Times New Roman" w:hAnsi="Aptos Narrow" w:cs="Times New Roman"/>
                <w:color w:val="000000"/>
                <w:sz w:val="22"/>
                <w:lang w:val="en-US"/>
              </w:rPr>
            </w:pPr>
            <w:r w:rsidRPr="009257D4">
              <w:rPr>
                <w:rFonts w:ascii="Aptos Narrow" w:eastAsia="Times New Roman" w:hAnsi="Aptos Narrow" w:cs="Times New Roman"/>
                <w:color w:val="000000"/>
                <w:sz w:val="22"/>
                <w:lang w:val="en-US"/>
              </w:rPr>
              <w:t>50</w:t>
            </w:r>
          </w:p>
        </w:tc>
        <w:tc>
          <w:tcPr>
            <w:tcW w:w="1707" w:type="dxa"/>
            <w:tcBorders>
              <w:top w:val="nil"/>
              <w:left w:val="nil"/>
              <w:bottom w:val="single" w:sz="4" w:space="0" w:color="auto"/>
              <w:right w:val="single" w:sz="4" w:space="0" w:color="auto"/>
            </w:tcBorders>
            <w:shd w:val="clear" w:color="000000" w:fill="FFFFFF"/>
            <w:noWrap/>
            <w:vAlign w:val="bottom"/>
            <w:hideMark/>
          </w:tcPr>
          <w:p w14:paraId="457D55AA"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5 250 143,60</w:t>
            </w:r>
          </w:p>
        </w:tc>
        <w:tc>
          <w:tcPr>
            <w:tcW w:w="1701" w:type="dxa"/>
            <w:tcBorders>
              <w:top w:val="nil"/>
              <w:left w:val="nil"/>
              <w:bottom w:val="single" w:sz="4" w:space="0" w:color="auto"/>
              <w:right w:val="single" w:sz="4" w:space="0" w:color="auto"/>
            </w:tcBorders>
            <w:shd w:val="clear" w:color="000000" w:fill="FFFFFF"/>
            <w:noWrap/>
            <w:vAlign w:val="bottom"/>
            <w:hideMark/>
          </w:tcPr>
          <w:p w14:paraId="744C448E"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5 250 143,60</w:t>
            </w:r>
          </w:p>
        </w:tc>
        <w:tc>
          <w:tcPr>
            <w:tcW w:w="1078" w:type="dxa"/>
            <w:tcBorders>
              <w:top w:val="nil"/>
              <w:left w:val="nil"/>
              <w:bottom w:val="single" w:sz="4" w:space="0" w:color="auto"/>
              <w:right w:val="single" w:sz="8" w:space="0" w:color="auto"/>
            </w:tcBorders>
            <w:shd w:val="clear" w:color="000000" w:fill="FFFFFF"/>
            <w:noWrap/>
            <w:vAlign w:val="bottom"/>
            <w:hideMark/>
          </w:tcPr>
          <w:p w14:paraId="2CEEE7B5"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0,00</w:t>
            </w:r>
          </w:p>
        </w:tc>
      </w:tr>
      <w:tr w:rsidR="00397867" w:rsidRPr="009257D4" w14:paraId="6EE9E3BD" w14:textId="77777777" w:rsidTr="00397867">
        <w:trPr>
          <w:trHeight w:val="290"/>
        </w:trPr>
        <w:tc>
          <w:tcPr>
            <w:tcW w:w="3392" w:type="dxa"/>
            <w:tcBorders>
              <w:top w:val="nil"/>
              <w:left w:val="single" w:sz="8" w:space="0" w:color="auto"/>
              <w:bottom w:val="single" w:sz="4" w:space="0" w:color="auto"/>
              <w:right w:val="single" w:sz="4" w:space="0" w:color="auto"/>
            </w:tcBorders>
            <w:shd w:val="clear" w:color="000000" w:fill="FFFFFF"/>
            <w:vAlign w:val="bottom"/>
            <w:hideMark/>
          </w:tcPr>
          <w:p w14:paraId="695E65A5" w14:textId="77777777" w:rsidR="009257D4" w:rsidRPr="009257D4" w:rsidRDefault="009257D4" w:rsidP="009257D4">
            <w:pPr>
              <w:spacing w:after="0" w:line="240" w:lineRule="auto"/>
              <w:jc w:val="left"/>
              <w:rPr>
                <w:rFonts w:eastAsia="Times New Roman" w:cs="Times New Roman"/>
                <w:sz w:val="20"/>
                <w:szCs w:val="20"/>
                <w:lang w:val="en-US"/>
              </w:rPr>
            </w:pPr>
            <w:r w:rsidRPr="009257D4">
              <w:rPr>
                <w:rFonts w:eastAsia="Times New Roman" w:cs="Times New Roman"/>
                <w:sz w:val="20"/>
                <w:szCs w:val="20"/>
                <w:lang w:val="en-US"/>
              </w:rPr>
              <w:t>Total UPS</w:t>
            </w:r>
          </w:p>
        </w:tc>
        <w:tc>
          <w:tcPr>
            <w:tcW w:w="987" w:type="dxa"/>
            <w:tcBorders>
              <w:top w:val="nil"/>
              <w:left w:val="nil"/>
              <w:bottom w:val="single" w:sz="4" w:space="0" w:color="auto"/>
              <w:right w:val="single" w:sz="4" w:space="0" w:color="auto"/>
            </w:tcBorders>
            <w:shd w:val="clear" w:color="auto" w:fill="auto"/>
            <w:noWrap/>
            <w:vAlign w:val="bottom"/>
            <w:hideMark/>
          </w:tcPr>
          <w:p w14:paraId="656E6A18" w14:textId="77777777" w:rsidR="009257D4" w:rsidRPr="009257D4" w:rsidRDefault="009257D4" w:rsidP="009257D4">
            <w:pPr>
              <w:spacing w:after="0" w:line="240" w:lineRule="auto"/>
              <w:jc w:val="center"/>
              <w:rPr>
                <w:rFonts w:ascii="Aptos Narrow" w:eastAsia="Times New Roman" w:hAnsi="Aptos Narrow" w:cs="Times New Roman"/>
                <w:color w:val="000000"/>
                <w:sz w:val="22"/>
                <w:lang w:val="en-US"/>
              </w:rPr>
            </w:pPr>
            <w:r w:rsidRPr="009257D4">
              <w:rPr>
                <w:rFonts w:ascii="Aptos Narrow" w:eastAsia="Times New Roman" w:hAnsi="Aptos Narrow" w:cs="Times New Roman"/>
                <w:color w:val="000000"/>
                <w:sz w:val="22"/>
                <w:lang w:val="en-US"/>
              </w:rPr>
              <w:t>4</w:t>
            </w:r>
          </w:p>
        </w:tc>
        <w:tc>
          <w:tcPr>
            <w:tcW w:w="1707" w:type="dxa"/>
            <w:tcBorders>
              <w:top w:val="nil"/>
              <w:left w:val="nil"/>
              <w:bottom w:val="single" w:sz="4" w:space="0" w:color="auto"/>
              <w:right w:val="single" w:sz="4" w:space="0" w:color="auto"/>
            </w:tcBorders>
            <w:shd w:val="clear" w:color="000000" w:fill="FFFFFF"/>
            <w:noWrap/>
            <w:vAlign w:val="bottom"/>
            <w:hideMark/>
          </w:tcPr>
          <w:p w14:paraId="57E8FDEC"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749 455,75</w:t>
            </w:r>
          </w:p>
        </w:tc>
        <w:tc>
          <w:tcPr>
            <w:tcW w:w="1701" w:type="dxa"/>
            <w:tcBorders>
              <w:top w:val="nil"/>
              <w:left w:val="nil"/>
              <w:bottom w:val="single" w:sz="4" w:space="0" w:color="auto"/>
              <w:right w:val="single" w:sz="4" w:space="0" w:color="auto"/>
            </w:tcBorders>
            <w:shd w:val="clear" w:color="000000" w:fill="FFFFFF"/>
            <w:noWrap/>
            <w:vAlign w:val="bottom"/>
            <w:hideMark/>
          </w:tcPr>
          <w:p w14:paraId="20623375"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749 455,75</w:t>
            </w:r>
          </w:p>
        </w:tc>
        <w:tc>
          <w:tcPr>
            <w:tcW w:w="1078" w:type="dxa"/>
            <w:tcBorders>
              <w:top w:val="nil"/>
              <w:left w:val="nil"/>
              <w:bottom w:val="single" w:sz="4" w:space="0" w:color="auto"/>
              <w:right w:val="single" w:sz="8" w:space="0" w:color="auto"/>
            </w:tcBorders>
            <w:shd w:val="clear" w:color="000000" w:fill="FFFFFF"/>
            <w:noWrap/>
            <w:vAlign w:val="bottom"/>
            <w:hideMark/>
          </w:tcPr>
          <w:p w14:paraId="725CD87B"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0,00</w:t>
            </w:r>
          </w:p>
        </w:tc>
      </w:tr>
      <w:tr w:rsidR="00397867" w:rsidRPr="009257D4" w14:paraId="01D19835" w14:textId="77777777" w:rsidTr="00397867">
        <w:trPr>
          <w:trHeight w:val="290"/>
        </w:trPr>
        <w:tc>
          <w:tcPr>
            <w:tcW w:w="3392" w:type="dxa"/>
            <w:tcBorders>
              <w:top w:val="nil"/>
              <w:left w:val="single" w:sz="8" w:space="0" w:color="auto"/>
              <w:bottom w:val="single" w:sz="4" w:space="0" w:color="auto"/>
              <w:right w:val="single" w:sz="4" w:space="0" w:color="auto"/>
            </w:tcBorders>
            <w:shd w:val="clear" w:color="000000" w:fill="FFFFFF"/>
            <w:vAlign w:val="bottom"/>
            <w:hideMark/>
          </w:tcPr>
          <w:p w14:paraId="1DD2A9A5" w14:textId="77777777" w:rsidR="009257D4" w:rsidRPr="009257D4" w:rsidRDefault="009257D4" w:rsidP="009257D4">
            <w:pPr>
              <w:spacing w:after="0" w:line="240" w:lineRule="auto"/>
              <w:jc w:val="left"/>
              <w:rPr>
                <w:rFonts w:eastAsia="Times New Roman" w:cs="Times New Roman"/>
                <w:sz w:val="20"/>
                <w:szCs w:val="20"/>
              </w:rPr>
            </w:pPr>
            <w:r w:rsidRPr="009257D4">
              <w:rPr>
                <w:rFonts w:eastAsia="Times New Roman" w:cs="Times New Roman"/>
                <w:sz w:val="20"/>
                <w:szCs w:val="20"/>
              </w:rPr>
              <w:t>Total Otros Equipos de Computación</w:t>
            </w:r>
          </w:p>
        </w:tc>
        <w:tc>
          <w:tcPr>
            <w:tcW w:w="987" w:type="dxa"/>
            <w:tcBorders>
              <w:top w:val="nil"/>
              <w:left w:val="nil"/>
              <w:bottom w:val="single" w:sz="4" w:space="0" w:color="auto"/>
              <w:right w:val="single" w:sz="4" w:space="0" w:color="auto"/>
            </w:tcBorders>
            <w:shd w:val="clear" w:color="auto" w:fill="auto"/>
            <w:noWrap/>
            <w:vAlign w:val="bottom"/>
            <w:hideMark/>
          </w:tcPr>
          <w:p w14:paraId="35C2ECA5" w14:textId="77777777" w:rsidR="009257D4" w:rsidRPr="009257D4" w:rsidRDefault="009257D4" w:rsidP="009257D4">
            <w:pPr>
              <w:spacing w:after="0" w:line="240" w:lineRule="auto"/>
              <w:jc w:val="center"/>
              <w:rPr>
                <w:rFonts w:ascii="Aptos Narrow" w:eastAsia="Times New Roman" w:hAnsi="Aptos Narrow" w:cs="Times New Roman"/>
                <w:color w:val="000000"/>
                <w:sz w:val="22"/>
                <w:lang w:val="en-US"/>
              </w:rPr>
            </w:pPr>
            <w:r w:rsidRPr="009257D4">
              <w:rPr>
                <w:rFonts w:ascii="Aptos Narrow" w:eastAsia="Times New Roman" w:hAnsi="Aptos Narrow" w:cs="Times New Roman"/>
                <w:color w:val="000000"/>
                <w:sz w:val="22"/>
                <w:lang w:val="en-US"/>
              </w:rPr>
              <w:t>10</w:t>
            </w:r>
          </w:p>
        </w:tc>
        <w:tc>
          <w:tcPr>
            <w:tcW w:w="1707" w:type="dxa"/>
            <w:tcBorders>
              <w:top w:val="nil"/>
              <w:left w:val="nil"/>
              <w:bottom w:val="single" w:sz="4" w:space="0" w:color="auto"/>
              <w:right w:val="single" w:sz="4" w:space="0" w:color="auto"/>
            </w:tcBorders>
            <w:shd w:val="clear" w:color="000000" w:fill="FFFFFF"/>
            <w:noWrap/>
            <w:vAlign w:val="bottom"/>
            <w:hideMark/>
          </w:tcPr>
          <w:p w14:paraId="11FD3748"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1 440 761,13</w:t>
            </w:r>
          </w:p>
        </w:tc>
        <w:tc>
          <w:tcPr>
            <w:tcW w:w="1701" w:type="dxa"/>
            <w:tcBorders>
              <w:top w:val="nil"/>
              <w:left w:val="nil"/>
              <w:bottom w:val="single" w:sz="4" w:space="0" w:color="auto"/>
              <w:right w:val="single" w:sz="4" w:space="0" w:color="auto"/>
            </w:tcBorders>
            <w:shd w:val="clear" w:color="000000" w:fill="FFFFFF"/>
            <w:noWrap/>
            <w:vAlign w:val="bottom"/>
            <w:hideMark/>
          </w:tcPr>
          <w:p w14:paraId="3A3E879E"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1 440 761,13</w:t>
            </w:r>
          </w:p>
        </w:tc>
        <w:tc>
          <w:tcPr>
            <w:tcW w:w="1078" w:type="dxa"/>
            <w:tcBorders>
              <w:top w:val="nil"/>
              <w:left w:val="nil"/>
              <w:bottom w:val="single" w:sz="4" w:space="0" w:color="auto"/>
              <w:right w:val="single" w:sz="8" w:space="0" w:color="auto"/>
            </w:tcBorders>
            <w:shd w:val="clear" w:color="000000" w:fill="FFFFFF"/>
            <w:noWrap/>
            <w:vAlign w:val="bottom"/>
            <w:hideMark/>
          </w:tcPr>
          <w:p w14:paraId="0BE596A9"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0,00</w:t>
            </w:r>
          </w:p>
        </w:tc>
      </w:tr>
      <w:tr w:rsidR="00397867" w:rsidRPr="009257D4" w14:paraId="5087081F" w14:textId="77777777" w:rsidTr="00397867">
        <w:trPr>
          <w:trHeight w:val="290"/>
        </w:trPr>
        <w:tc>
          <w:tcPr>
            <w:tcW w:w="3392" w:type="dxa"/>
            <w:tcBorders>
              <w:top w:val="nil"/>
              <w:left w:val="single" w:sz="8" w:space="0" w:color="auto"/>
              <w:bottom w:val="single" w:sz="4" w:space="0" w:color="auto"/>
              <w:right w:val="single" w:sz="4" w:space="0" w:color="auto"/>
            </w:tcBorders>
            <w:shd w:val="clear" w:color="000000" w:fill="FFFFFF"/>
            <w:noWrap/>
            <w:vAlign w:val="bottom"/>
            <w:hideMark/>
          </w:tcPr>
          <w:p w14:paraId="60C8CF51" w14:textId="77777777" w:rsidR="009257D4" w:rsidRPr="009257D4" w:rsidRDefault="009257D4" w:rsidP="009257D4">
            <w:pPr>
              <w:spacing w:after="0" w:line="240" w:lineRule="auto"/>
              <w:jc w:val="left"/>
              <w:rPr>
                <w:rFonts w:eastAsia="Times New Roman" w:cs="Times New Roman"/>
                <w:sz w:val="20"/>
                <w:szCs w:val="20"/>
              </w:rPr>
            </w:pPr>
            <w:r w:rsidRPr="009257D4">
              <w:rPr>
                <w:rFonts w:eastAsia="Times New Roman" w:cs="Times New Roman"/>
                <w:sz w:val="20"/>
                <w:szCs w:val="20"/>
              </w:rPr>
              <w:t>Total Otros Equipos de Seguridad</w:t>
            </w:r>
          </w:p>
        </w:tc>
        <w:tc>
          <w:tcPr>
            <w:tcW w:w="987" w:type="dxa"/>
            <w:tcBorders>
              <w:top w:val="nil"/>
              <w:left w:val="nil"/>
              <w:bottom w:val="single" w:sz="4" w:space="0" w:color="auto"/>
              <w:right w:val="single" w:sz="4" w:space="0" w:color="auto"/>
            </w:tcBorders>
            <w:shd w:val="clear" w:color="auto" w:fill="auto"/>
            <w:noWrap/>
            <w:vAlign w:val="bottom"/>
            <w:hideMark/>
          </w:tcPr>
          <w:p w14:paraId="12C63AC3" w14:textId="77777777" w:rsidR="009257D4" w:rsidRPr="009257D4" w:rsidRDefault="009257D4" w:rsidP="009257D4">
            <w:pPr>
              <w:spacing w:after="0" w:line="240" w:lineRule="auto"/>
              <w:jc w:val="center"/>
              <w:rPr>
                <w:rFonts w:ascii="Aptos Narrow" w:eastAsia="Times New Roman" w:hAnsi="Aptos Narrow" w:cs="Times New Roman"/>
                <w:color w:val="000000"/>
                <w:sz w:val="22"/>
                <w:lang w:val="en-US"/>
              </w:rPr>
            </w:pPr>
            <w:r w:rsidRPr="009257D4">
              <w:rPr>
                <w:rFonts w:ascii="Aptos Narrow" w:eastAsia="Times New Roman" w:hAnsi="Aptos Narrow" w:cs="Times New Roman"/>
                <w:color w:val="000000"/>
                <w:sz w:val="22"/>
                <w:lang w:val="en-US"/>
              </w:rPr>
              <w:t>1</w:t>
            </w:r>
          </w:p>
        </w:tc>
        <w:tc>
          <w:tcPr>
            <w:tcW w:w="1707" w:type="dxa"/>
            <w:tcBorders>
              <w:top w:val="nil"/>
              <w:left w:val="nil"/>
              <w:bottom w:val="single" w:sz="4" w:space="0" w:color="auto"/>
              <w:right w:val="single" w:sz="4" w:space="0" w:color="auto"/>
            </w:tcBorders>
            <w:shd w:val="clear" w:color="000000" w:fill="FFFFFF"/>
            <w:noWrap/>
            <w:vAlign w:val="bottom"/>
            <w:hideMark/>
          </w:tcPr>
          <w:p w14:paraId="59C8F745"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203 400,32</w:t>
            </w:r>
          </w:p>
        </w:tc>
        <w:tc>
          <w:tcPr>
            <w:tcW w:w="1701" w:type="dxa"/>
            <w:tcBorders>
              <w:top w:val="nil"/>
              <w:left w:val="nil"/>
              <w:bottom w:val="single" w:sz="4" w:space="0" w:color="auto"/>
              <w:right w:val="single" w:sz="4" w:space="0" w:color="auto"/>
            </w:tcBorders>
            <w:shd w:val="clear" w:color="000000" w:fill="FFFFFF"/>
            <w:noWrap/>
            <w:vAlign w:val="bottom"/>
            <w:hideMark/>
          </w:tcPr>
          <w:p w14:paraId="0DC30742"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203 400,32</w:t>
            </w:r>
          </w:p>
        </w:tc>
        <w:tc>
          <w:tcPr>
            <w:tcW w:w="1078" w:type="dxa"/>
            <w:tcBorders>
              <w:top w:val="nil"/>
              <w:left w:val="nil"/>
              <w:bottom w:val="single" w:sz="4" w:space="0" w:color="auto"/>
              <w:right w:val="single" w:sz="8" w:space="0" w:color="auto"/>
            </w:tcBorders>
            <w:shd w:val="clear" w:color="000000" w:fill="FFFFFF"/>
            <w:noWrap/>
            <w:vAlign w:val="bottom"/>
            <w:hideMark/>
          </w:tcPr>
          <w:p w14:paraId="0DFA25C1"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0,00</w:t>
            </w:r>
          </w:p>
        </w:tc>
      </w:tr>
      <w:tr w:rsidR="00397867" w:rsidRPr="009257D4" w14:paraId="530EEF6E" w14:textId="77777777" w:rsidTr="00397867">
        <w:trPr>
          <w:trHeight w:val="290"/>
        </w:trPr>
        <w:tc>
          <w:tcPr>
            <w:tcW w:w="3392" w:type="dxa"/>
            <w:tcBorders>
              <w:top w:val="nil"/>
              <w:left w:val="single" w:sz="8" w:space="0" w:color="auto"/>
              <w:bottom w:val="single" w:sz="4" w:space="0" w:color="auto"/>
              <w:right w:val="single" w:sz="4" w:space="0" w:color="auto"/>
            </w:tcBorders>
            <w:shd w:val="clear" w:color="000000" w:fill="FFFFFF"/>
            <w:vAlign w:val="bottom"/>
            <w:hideMark/>
          </w:tcPr>
          <w:p w14:paraId="674F7124" w14:textId="77777777" w:rsidR="009257D4" w:rsidRPr="009257D4" w:rsidRDefault="009257D4" w:rsidP="009257D4">
            <w:pPr>
              <w:spacing w:after="0" w:line="240" w:lineRule="auto"/>
              <w:jc w:val="left"/>
              <w:rPr>
                <w:rFonts w:eastAsia="Times New Roman" w:cs="Times New Roman"/>
                <w:sz w:val="20"/>
                <w:szCs w:val="20"/>
                <w:lang w:val="en-US"/>
              </w:rPr>
            </w:pPr>
            <w:r w:rsidRPr="009257D4">
              <w:rPr>
                <w:rFonts w:eastAsia="Times New Roman" w:cs="Times New Roman"/>
                <w:sz w:val="20"/>
                <w:szCs w:val="20"/>
                <w:lang w:val="en-US"/>
              </w:rPr>
              <w:t>Total Equipo Doméstico</w:t>
            </w:r>
          </w:p>
        </w:tc>
        <w:tc>
          <w:tcPr>
            <w:tcW w:w="987" w:type="dxa"/>
            <w:tcBorders>
              <w:top w:val="nil"/>
              <w:left w:val="nil"/>
              <w:bottom w:val="single" w:sz="4" w:space="0" w:color="auto"/>
              <w:right w:val="single" w:sz="4" w:space="0" w:color="auto"/>
            </w:tcBorders>
            <w:shd w:val="clear" w:color="auto" w:fill="auto"/>
            <w:noWrap/>
            <w:vAlign w:val="bottom"/>
            <w:hideMark/>
          </w:tcPr>
          <w:p w14:paraId="6DB450C9" w14:textId="77777777" w:rsidR="009257D4" w:rsidRPr="009257D4" w:rsidRDefault="009257D4" w:rsidP="009257D4">
            <w:pPr>
              <w:spacing w:after="0" w:line="240" w:lineRule="auto"/>
              <w:jc w:val="center"/>
              <w:rPr>
                <w:rFonts w:ascii="Aptos Narrow" w:eastAsia="Times New Roman" w:hAnsi="Aptos Narrow" w:cs="Times New Roman"/>
                <w:color w:val="000000"/>
                <w:sz w:val="22"/>
                <w:lang w:val="en-US"/>
              </w:rPr>
            </w:pPr>
            <w:r w:rsidRPr="009257D4">
              <w:rPr>
                <w:rFonts w:ascii="Aptos Narrow" w:eastAsia="Times New Roman" w:hAnsi="Aptos Narrow" w:cs="Times New Roman"/>
                <w:color w:val="000000"/>
                <w:sz w:val="22"/>
                <w:lang w:val="en-US"/>
              </w:rPr>
              <w:t>3</w:t>
            </w:r>
          </w:p>
        </w:tc>
        <w:tc>
          <w:tcPr>
            <w:tcW w:w="1707" w:type="dxa"/>
            <w:tcBorders>
              <w:top w:val="nil"/>
              <w:left w:val="nil"/>
              <w:bottom w:val="single" w:sz="4" w:space="0" w:color="auto"/>
              <w:right w:val="single" w:sz="4" w:space="0" w:color="auto"/>
            </w:tcBorders>
            <w:shd w:val="clear" w:color="000000" w:fill="FFFFFF"/>
            <w:noWrap/>
            <w:vAlign w:val="bottom"/>
            <w:hideMark/>
          </w:tcPr>
          <w:p w14:paraId="398C1FA3"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243 060,00</w:t>
            </w:r>
          </w:p>
        </w:tc>
        <w:tc>
          <w:tcPr>
            <w:tcW w:w="1701" w:type="dxa"/>
            <w:tcBorders>
              <w:top w:val="nil"/>
              <w:left w:val="nil"/>
              <w:bottom w:val="single" w:sz="4" w:space="0" w:color="auto"/>
              <w:right w:val="single" w:sz="4" w:space="0" w:color="auto"/>
            </w:tcBorders>
            <w:shd w:val="clear" w:color="000000" w:fill="FFFFFF"/>
            <w:noWrap/>
            <w:vAlign w:val="bottom"/>
            <w:hideMark/>
          </w:tcPr>
          <w:p w14:paraId="4FA68A5A"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243 060,00</w:t>
            </w:r>
          </w:p>
        </w:tc>
        <w:tc>
          <w:tcPr>
            <w:tcW w:w="1078" w:type="dxa"/>
            <w:tcBorders>
              <w:top w:val="nil"/>
              <w:left w:val="nil"/>
              <w:bottom w:val="single" w:sz="4" w:space="0" w:color="auto"/>
              <w:right w:val="single" w:sz="8" w:space="0" w:color="auto"/>
            </w:tcBorders>
            <w:shd w:val="clear" w:color="000000" w:fill="FFFFFF"/>
            <w:noWrap/>
            <w:vAlign w:val="bottom"/>
            <w:hideMark/>
          </w:tcPr>
          <w:p w14:paraId="43168C3E"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0,00</w:t>
            </w:r>
          </w:p>
        </w:tc>
      </w:tr>
      <w:tr w:rsidR="00397867" w:rsidRPr="009257D4" w14:paraId="1FE70E5E" w14:textId="77777777" w:rsidTr="00397867">
        <w:trPr>
          <w:trHeight w:val="300"/>
        </w:trPr>
        <w:tc>
          <w:tcPr>
            <w:tcW w:w="3392" w:type="dxa"/>
            <w:tcBorders>
              <w:top w:val="nil"/>
              <w:left w:val="single" w:sz="8" w:space="0" w:color="auto"/>
              <w:bottom w:val="nil"/>
              <w:right w:val="single" w:sz="4" w:space="0" w:color="auto"/>
            </w:tcBorders>
            <w:shd w:val="clear" w:color="000000" w:fill="FFFFFF"/>
            <w:noWrap/>
            <w:vAlign w:val="bottom"/>
            <w:hideMark/>
          </w:tcPr>
          <w:p w14:paraId="7F041EAE" w14:textId="77777777" w:rsidR="009257D4" w:rsidRPr="009257D4" w:rsidRDefault="009257D4" w:rsidP="009257D4">
            <w:pPr>
              <w:spacing w:after="0" w:line="240" w:lineRule="auto"/>
              <w:jc w:val="left"/>
              <w:rPr>
                <w:rFonts w:eastAsia="Times New Roman" w:cs="Times New Roman"/>
                <w:sz w:val="20"/>
                <w:szCs w:val="20"/>
                <w:lang w:val="en-US"/>
              </w:rPr>
            </w:pPr>
            <w:r w:rsidRPr="009257D4">
              <w:rPr>
                <w:rFonts w:eastAsia="Times New Roman" w:cs="Times New Roman"/>
                <w:sz w:val="20"/>
                <w:szCs w:val="20"/>
                <w:lang w:val="en-US"/>
              </w:rPr>
              <w:t>Total Equipo Fotográfico</w:t>
            </w:r>
          </w:p>
        </w:tc>
        <w:tc>
          <w:tcPr>
            <w:tcW w:w="987" w:type="dxa"/>
            <w:tcBorders>
              <w:top w:val="nil"/>
              <w:left w:val="nil"/>
              <w:bottom w:val="nil"/>
              <w:right w:val="single" w:sz="4" w:space="0" w:color="auto"/>
            </w:tcBorders>
            <w:shd w:val="clear" w:color="auto" w:fill="auto"/>
            <w:noWrap/>
            <w:vAlign w:val="bottom"/>
            <w:hideMark/>
          </w:tcPr>
          <w:p w14:paraId="5C1A039A" w14:textId="77777777" w:rsidR="009257D4" w:rsidRPr="009257D4" w:rsidRDefault="009257D4" w:rsidP="009257D4">
            <w:pPr>
              <w:spacing w:after="0" w:line="240" w:lineRule="auto"/>
              <w:jc w:val="center"/>
              <w:rPr>
                <w:rFonts w:ascii="Aptos Narrow" w:eastAsia="Times New Roman" w:hAnsi="Aptos Narrow" w:cs="Times New Roman"/>
                <w:color w:val="000000"/>
                <w:sz w:val="22"/>
                <w:lang w:val="en-US"/>
              </w:rPr>
            </w:pPr>
            <w:r w:rsidRPr="009257D4">
              <w:rPr>
                <w:rFonts w:ascii="Aptos Narrow" w:eastAsia="Times New Roman" w:hAnsi="Aptos Narrow" w:cs="Times New Roman"/>
                <w:color w:val="000000"/>
                <w:sz w:val="22"/>
                <w:lang w:val="en-US"/>
              </w:rPr>
              <w:t>4</w:t>
            </w:r>
          </w:p>
        </w:tc>
        <w:tc>
          <w:tcPr>
            <w:tcW w:w="1707" w:type="dxa"/>
            <w:tcBorders>
              <w:top w:val="nil"/>
              <w:left w:val="nil"/>
              <w:bottom w:val="nil"/>
              <w:right w:val="single" w:sz="4" w:space="0" w:color="auto"/>
            </w:tcBorders>
            <w:shd w:val="clear" w:color="000000" w:fill="FFFFFF"/>
            <w:noWrap/>
            <w:vAlign w:val="bottom"/>
            <w:hideMark/>
          </w:tcPr>
          <w:p w14:paraId="6D0917AA"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442 062,50</w:t>
            </w:r>
          </w:p>
        </w:tc>
        <w:tc>
          <w:tcPr>
            <w:tcW w:w="1701" w:type="dxa"/>
            <w:tcBorders>
              <w:top w:val="nil"/>
              <w:left w:val="nil"/>
              <w:bottom w:val="nil"/>
              <w:right w:val="single" w:sz="4" w:space="0" w:color="auto"/>
            </w:tcBorders>
            <w:shd w:val="clear" w:color="000000" w:fill="FFFFFF"/>
            <w:noWrap/>
            <w:vAlign w:val="bottom"/>
            <w:hideMark/>
          </w:tcPr>
          <w:p w14:paraId="10DDC41B"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442 062,50</w:t>
            </w:r>
          </w:p>
        </w:tc>
        <w:tc>
          <w:tcPr>
            <w:tcW w:w="1078" w:type="dxa"/>
            <w:tcBorders>
              <w:top w:val="nil"/>
              <w:left w:val="nil"/>
              <w:bottom w:val="nil"/>
              <w:right w:val="single" w:sz="8" w:space="0" w:color="auto"/>
            </w:tcBorders>
            <w:shd w:val="clear" w:color="000000" w:fill="FFFFFF"/>
            <w:noWrap/>
            <w:vAlign w:val="bottom"/>
            <w:hideMark/>
          </w:tcPr>
          <w:p w14:paraId="26B8F04A" w14:textId="77777777" w:rsidR="009257D4" w:rsidRPr="009257D4" w:rsidRDefault="009257D4" w:rsidP="009257D4">
            <w:pPr>
              <w:spacing w:after="0" w:line="240" w:lineRule="auto"/>
              <w:jc w:val="right"/>
              <w:rPr>
                <w:rFonts w:eastAsia="Times New Roman" w:cs="Times New Roman"/>
                <w:sz w:val="20"/>
                <w:szCs w:val="20"/>
                <w:lang w:val="en-US"/>
              </w:rPr>
            </w:pPr>
            <w:r w:rsidRPr="009257D4">
              <w:rPr>
                <w:rFonts w:eastAsia="Times New Roman" w:cs="Times New Roman"/>
                <w:sz w:val="20"/>
                <w:szCs w:val="20"/>
                <w:lang w:val="en-US"/>
              </w:rPr>
              <w:t>0,00</w:t>
            </w:r>
          </w:p>
        </w:tc>
      </w:tr>
      <w:tr w:rsidR="00397867" w:rsidRPr="009257D4" w14:paraId="38AEC0CB" w14:textId="77777777" w:rsidTr="00397867">
        <w:trPr>
          <w:trHeight w:val="300"/>
        </w:trPr>
        <w:tc>
          <w:tcPr>
            <w:tcW w:w="3392" w:type="dxa"/>
            <w:tcBorders>
              <w:top w:val="single" w:sz="8" w:space="0" w:color="auto"/>
              <w:left w:val="single" w:sz="8" w:space="0" w:color="auto"/>
              <w:bottom w:val="single" w:sz="8" w:space="0" w:color="auto"/>
              <w:right w:val="single" w:sz="4" w:space="0" w:color="auto"/>
            </w:tcBorders>
            <w:shd w:val="clear" w:color="000000" w:fill="FFFFFF"/>
            <w:vAlign w:val="bottom"/>
            <w:hideMark/>
          </w:tcPr>
          <w:p w14:paraId="7E1EEA8F" w14:textId="77777777" w:rsidR="009257D4" w:rsidRPr="009257D4" w:rsidRDefault="009257D4" w:rsidP="009257D4">
            <w:pPr>
              <w:spacing w:after="0" w:line="240" w:lineRule="auto"/>
              <w:jc w:val="center"/>
              <w:rPr>
                <w:rFonts w:eastAsia="Times New Roman" w:cs="Times New Roman"/>
                <w:b/>
                <w:bCs/>
                <w:color w:val="000000"/>
                <w:sz w:val="20"/>
                <w:szCs w:val="20"/>
                <w:lang w:val="en-US"/>
              </w:rPr>
            </w:pPr>
            <w:r w:rsidRPr="009257D4">
              <w:rPr>
                <w:rFonts w:eastAsia="Times New Roman" w:cs="Times New Roman"/>
                <w:b/>
                <w:bCs/>
                <w:color w:val="000000"/>
                <w:sz w:val="20"/>
                <w:szCs w:val="20"/>
                <w:lang w:val="en-US"/>
              </w:rPr>
              <w:t>TOTALES</w:t>
            </w:r>
          </w:p>
        </w:tc>
        <w:tc>
          <w:tcPr>
            <w:tcW w:w="987"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03197BEB" w14:textId="77777777" w:rsidR="009257D4" w:rsidRPr="009257D4" w:rsidRDefault="009257D4" w:rsidP="009257D4">
            <w:pPr>
              <w:spacing w:after="0" w:line="240" w:lineRule="auto"/>
              <w:jc w:val="center"/>
              <w:rPr>
                <w:rFonts w:ascii="Aptos Narrow" w:eastAsia="Times New Roman" w:hAnsi="Aptos Narrow" w:cs="Times New Roman"/>
                <w:b/>
                <w:bCs/>
                <w:color w:val="000000"/>
                <w:sz w:val="22"/>
                <w:lang w:val="en-US"/>
              </w:rPr>
            </w:pPr>
            <w:r w:rsidRPr="009257D4">
              <w:rPr>
                <w:rFonts w:ascii="Aptos Narrow" w:eastAsia="Times New Roman" w:hAnsi="Aptos Narrow" w:cs="Times New Roman"/>
                <w:b/>
                <w:bCs/>
                <w:color w:val="000000"/>
                <w:sz w:val="22"/>
                <w:lang w:val="en-US"/>
              </w:rPr>
              <w:t>327</w:t>
            </w:r>
          </w:p>
        </w:tc>
        <w:tc>
          <w:tcPr>
            <w:tcW w:w="1707" w:type="dxa"/>
            <w:tcBorders>
              <w:top w:val="single" w:sz="8" w:space="0" w:color="auto"/>
              <w:left w:val="nil"/>
              <w:bottom w:val="single" w:sz="8" w:space="0" w:color="auto"/>
              <w:right w:val="single" w:sz="4" w:space="0" w:color="auto"/>
            </w:tcBorders>
            <w:shd w:val="clear" w:color="000000" w:fill="FFFFFF"/>
            <w:noWrap/>
            <w:vAlign w:val="bottom"/>
            <w:hideMark/>
          </w:tcPr>
          <w:p w14:paraId="03B3A58A" w14:textId="1D14B2F4" w:rsidR="009257D4" w:rsidRPr="009257D4" w:rsidRDefault="00397867" w:rsidP="009257D4">
            <w:pPr>
              <w:spacing w:after="0" w:line="240" w:lineRule="auto"/>
              <w:jc w:val="right"/>
              <w:rPr>
                <w:rFonts w:eastAsia="Times New Roman" w:cs="Times New Roman"/>
                <w:b/>
                <w:bCs/>
                <w:sz w:val="20"/>
                <w:szCs w:val="20"/>
                <w:lang w:val="en-US"/>
              </w:rPr>
            </w:pPr>
            <w:r w:rsidRPr="00397867">
              <w:rPr>
                <w:rFonts w:ascii="Arial" w:eastAsia="Times New Roman" w:hAnsi="Arial" w:cs="Arial"/>
                <w:b/>
                <w:bCs/>
                <w:sz w:val="20"/>
                <w:szCs w:val="20"/>
                <w:lang w:val="en-US"/>
              </w:rPr>
              <w:t>₡</w:t>
            </w:r>
            <w:r w:rsidR="009257D4" w:rsidRPr="009257D4">
              <w:rPr>
                <w:rFonts w:eastAsia="Times New Roman" w:cs="Times New Roman"/>
                <w:b/>
                <w:bCs/>
                <w:sz w:val="20"/>
                <w:szCs w:val="20"/>
                <w:lang w:val="en-US"/>
              </w:rPr>
              <w:t>1 043 479 553,75</w:t>
            </w:r>
          </w:p>
        </w:tc>
        <w:tc>
          <w:tcPr>
            <w:tcW w:w="1701" w:type="dxa"/>
            <w:tcBorders>
              <w:top w:val="single" w:sz="8" w:space="0" w:color="auto"/>
              <w:left w:val="nil"/>
              <w:bottom w:val="single" w:sz="8" w:space="0" w:color="auto"/>
              <w:right w:val="single" w:sz="4" w:space="0" w:color="auto"/>
            </w:tcBorders>
            <w:shd w:val="clear" w:color="000000" w:fill="FFFFFF"/>
            <w:noWrap/>
            <w:vAlign w:val="bottom"/>
            <w:hideMark/>
          </w:tcPr>
          <w:p w14:paraId="1DE25755" w14:textId="3E22080B" w:rsidR="009257D4" w:rsidRPr="009257D4" w:rsidRDefault="00397867" w:rsidP="009257D4">
            <w:pPr>
              <w:spacing w:after="0" w:line="240" w:lineRule="auto"/>
              <w:jc w:val="right"/>
              <w:rPr>
                <w:rFonts w:eastAsia="Times New Roman" w:cs="Times New Roman"/>
                <w:b/>
                <w:bCs/>
                <w:sz w:val="20"/>
                <w:szCs w:val="20"/>
                <w:lang w:val="en-US"/>
              </w:rPr>
            </w:pPr>
            <w:r w:rsidRPr="00397867">
              <w:rPr>
                <w:rFonts w:ascii="Arial" w:eastAsia="Times New Roman" w:hAnsi="Arial" w:cs="Arial"/>
                <w:b/>
                <w:bCs/>
                <w:sz w:val="20"/>
                <w:szCs w:val="20"/>
                <w:lang w:val="en-US"/>
              </w:rPr>
              <w:t>₡</w:t>
            </w:r>
            <w:r w:rsidR="009257D4" w:rsidRPr="009257D4">
              <w:rPr>
                <w:rFonts w:eastAsia="Times New Roman" w:cs="Times New Roman"/>
                <w:b/>
                <w:bCs/>
                <w:sz w:val="20"/>
                <w:szCs w:val="20"/>
                <w:lang w:val="en-US"/>
              </w:rPr>
              <w:t>1 043 479 553,75</w:t>
            </w:r>
          </w:p>
        </w:tc>
        <w:tc>
          <w:tcPr>
            <w:tcW w:w="1078" w:type="dxa"/>
            <w:tcBorders>
              <w:top w:val="single" w:sz="8" w:space="0" w:color="auto"/>
              <w:left w:val="nil"/>
              <w:bottom w:val="single" w:sz="8" w:space="0" w:color="auto"/>
              <w:right w:val="single" w:sz="8" w:space="0" w:color="auto"/>
            </w:tcBorders>
            <w:shd w:val="clear" w:color="000000" w:fill="FFFFFF"/>
            <w:noWrap/>
            <w:vAlign w:val="bottom"/>
            <w:hideMark/>
          </w:tcPr>
          <w:p w14:paraId="0F3D2B31" w14:textId="3A9B59D3" w:rsidR="009257D4" w:rsidRPr="009257D4" w:rsidRDefault="00397867" w:rsidP="009257D4">
            <w:pPr>
              <w:spacing w:after="0" w:line="240" w:lineRule="auto"/>
              <w:jc w:val="right"/>
              <w:rPr>
                <w:rFonts w:eastAsia="Times New Roman" w:cs="Times New Roman"/>
                <w:b/>
                <w:bCs/>
                <w:sz w:val="20"/>
                <w:szCs w:val="20"/>
                <w:lang w:val="en-US"/>
              </w:rPr>
            </w:pPr>
            <w:r w:rsidRPr="00397867">
              <w:rPr>
                <w:rFonts w:ascii="Arial" w:eastAsia="Times New Roman" w:hAnsi="Arial" w:cs="Arial"/>
                <w:b/>
                <w:bCs/>
                <w:sz w:val="20"/>
                <w:szCs w:val="20"/>
                <w:lang w:val="en-US"/>
              </w:rPr>
              <w:t>₡</w:t>
            </w:r>
            <w:r w:rsidR="009257D4" w:rsidRPr="009257D4">
              <w:rPr>
                <w:rFonts w:eastAsia="Times New Roman" w:cs="Times New Roman"/>
                <w:b/>
                <w:bCs/>
                <w:sz w:val="20"/>
                <w:szCs w:val="20"/>
                <w:lang w:val="en-US"/>
              </w:rPr>
              <w:t>0,00</w:t>
            </w:r>
          </w:p>
        </w:tc>
      </w:tr>
    </w:tbl>
    <w:p w14:paraId="0446C3C0" w14:textId="18B08065" w:rsidR="00694299" w:rsidRDefault="00654C21" w:rsidP="0011777B">
      <w:pPr>
        <w:rPr>
          <w:rFonts w:asciiTheme="minorHAnsi" w:hAnsiTheme="minorHAnsi"/>
          <w:sz w:val="22"/>
        </w:rPr>
      </w:pPr>
      <w:r>
        <w:fldChar w:fldCharType="begin"/>
      </w:r>
      <w:r>
        <w:instrText xml:space="preserve"> LINK </w:instrText>
      </w:r>
      <w:r w:rsidR="00323752">
        <w:instrText xml:space="preserve">Excel.SheetMacroEnabled.12 "D:\\MORAVIA\\INSUMOS\\NOTAS 2024\\Formato_Notas_EEFF_Vinculadas_2024\\XXXXX_PXX_202X_Anexo_Estado_Notas_Contables_Vinculadas.xlsm" NOTAS_POR_CUENTA!F40C1:F42C6 </w:instrText>
      </w:r>
      <w:r>
        <w:instrText xml:space="preserve">\a \f 4 \h </w:instrText>
      </w:r>
      <w: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694299" w:rsidRPr="00694299" w14:paraId="5989AA89" w14:textId="77777777" w:rsidTr="00694299">
        <w:trPr>
          <w:divId w:val="1051074974"/>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43AA471" w14:textId="63DF3024" w:rsidR="00694299" w:rsidRPr="00694299" w:rsidRDefault="00694299" w:rsidP="00694299">
            <w:pPr>
              <w:spacing w:after="0" w:line="240" w:lineRule="auto"/>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8C34AE8"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71D878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2E58A2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AF0FB6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9E8F84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387BE73E" w14:textId="77777777" w:rsidTr="00694299">
        <w:trPr>
          <w:divId w:val="1051074974"/>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11603572"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32EF0A91"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7752057"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3665DE9"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92D5EE2"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2C9DB029"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62A73A84" w14:textId="77777777" w:rsidTr="00694299">
        <w:trPr>
          <w:divId w:val="1051074974"/>
          <w:trHeight w:val="324"/>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046300E8"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1.2.5.02.</w:t>
            </w:r>
          </w:p>
        </w:tc>
        <w:tc>
          <w:tcPr>
            <w:tcW w:w="3320" w:type="dxa"/>
            <w:tcBorders>
              <w:top w:val="nil"/>
              <w:left w:val="nil"/>
              <w:bottom w:val="single" w:sz="8" w:space="0" w:color="auto"/>
              <w:right w:val="single" w:sz="8" w:space="0" w:color="auto"/>
            </w:tcBorders>
            <w:shd w:val="clear" w:color="auto" w:fill="auto"/>
            <w:vAlign w:val="center"/>
            <w:hideMark/>
          </w:tcPr>
          <w:p w14:paraId="65266D6A"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Propiedades de inversión</w:t>
            </w:r>
          </w:p>
        </w:tc>
        <w:tc>
          <w:tcPr>
            <w:tcW w:w="500" w:type="dxa"/>
            <w:tcBorders>
              <w:top w:val="nil"/>
              <w:left w:val="nil"/>
              <w:bottom w:val="single" w:sz="8" w:space="0" w:color="auto"/>
              <w:right w:val="single" w:sz="8" w:space="0" w:color="auto"/>
            </w:tcBorders>
            <w:shd w:val="clear" w:color="auto" w:fill="auto"/>
            <w:noWrap/>
            <w:vAlign w:val="center"/>
            <w:hideMark/>
          </w:tcPr>
          <w:p w14:paraId="0E407100"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10</w:t>
            </w:r>
          </w:p>
        </w:tc>
        <w:tc>
          <w:tcPr>
            <w:tcW w:w="2160" w:type="dxa"/>
            <w:tcBorders>
              <w:top w:val="nil"/>
              <w:left w:val="nil"/>
              <w:bottom w:val="single" w:sz="8" w:space="0" w:color="auto"/>
              <w:right w:val="single" w:sz="8" w:space="0" w:color="auto"/>
            </w:tcBorders>
            <w:shd w:val="clear" w:color="auto" w:fill="auto"/>
            <w:noWrap/>
            <w:vAlign w:val="center"/>
            <w:hideMark/>
          </w:tcPr>
          <w:p w14:paraId="593BB948"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633FE668"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25770929"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4E6C8E85" w14:textId="125D034A" w:rsidR="00692DC8" w:rsidRPr="00692DC8" w:rsidRDefault="00654C21" w:rsidP="0011777B">
      <w:r>
        <w:fldChar w:fldCharType="end"/>
      </w:r>
    </w:p>
    <w:p w14:paraId="35A45E88" w14:textId="77777777" w:rsidR="00692DC8" w:rsidRPr="00692DC8" w:rsidRDefault="00692DC8" w:rsidP="0011777B">
      <w:pPr>
        <w:spacing w:line="240" w:lineRule="auto"/>
      </w:pPr>
      <w:r w:rsidRPr="00692DC8">
        <w:t>Base Contable</w:t>
      </w:r>
    </w:p>
    <w:p w14:paraId="7C9E13BB" w14:textId="4101B6B8" w:rsidR="00692DC8" w:rsidRDefault="00692DC8" w:rsidP="0011777B">
      <w:pPr>
        <w:spacing w:line="240" w:lineRule="auto"/>
      </w:pPr>
      <w:r w:rsidRPr="00692DC8">
        <w:t xml:space="preserve">Marque con 1, si cumple </w:t>
      </w:r>
    </w:p>
    <w:tbl>
      <w:tblPr>
        <w:tblW w:w="7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00"/>
        <w:gridCol w:w="680"/>
      </w:tblGrid>
      <w:tr w:rsidR="00802DCC" w:rsidRPr="00802DCC" w14:paraId="5D76E65A" w14:textId="77777777" w:rsidTr="00802DCC">
        <w:trPr>
          <w:trHeight w:val="324"/>
        </w:trPr>
        <w:tc>
          <w:tcPr>
            <w:tcW w:w="6400" w:type="dxa"/>
            <w:shd w:val="clear" w:color="auto" w:fill="auto"/>
            <w:vAlign w:val="center"/>
            <w:hideMark/>
          </w:tcPr>
          <w:p w14:paraId="18D3E416" w14:textId="77777777" w:rsidR="00802DCC" w:rsidRPr="00802DCC" w:rsidRDefault="00802DCC" w:rsidP="00802DCC">
            <w:pPr>
              <w:spacing w:after="0" w:line="240" w:lineRule="auto"/>
              <w:rPr>
                <w:rFonts w:eastAsia="Times New Roman" w:cs="Calibri"/>
                <w:color w:val="000000"/>
                <w:szCs w:val="24"/>
                <w:lang w:eastAsia="es-CR"/>
              </w:rPr>
            </w:pPr>
            <w:r w:rsidRPr="00802DCC">
              <w:rPr>
                <w:rFonts w:eastAsia="Times New Roman" w:cs="Calibri"/>
                <w:color w:val="000000"/>
                <w:szCs w:val="24"/>
                <w:lang w:val="es-ES" w:eastAsia="es-CR"/>
              </w:rPr>
              <w:t>Propiedades están debidamente registrados en Registro Nacional</w:t>
            </w:r>
          </w:p>
        </w:tc>
        <w:tc>
          <w:tcPr>
            <w:tcW w:w="680" w:type="dxa"/>
            <w:shd w:val="clear" w:color="auto" w:fill="auto"/>
            <w:noWrap/>
            <w:vAlign w:val="center"/>
            <w:hideMark/>
          </w:tcPr>
          <w:p w14:paraId="13E1EE12" w14:textId="77777777" w:rsidR="00802DCC" w:rsidRPr="00802DCC" w:rsidRDefault="00802DCC" w:rsidP="00802DCC">
            <w:pPr>
              <w:spacing w:after="0" w:line="240" w:lineRule="auto"/>
              <w:rPr>
                <w:rFonts w:eastAsia="Times New Roman" w:cs="Calibri"/>
                <w:color w:val="000000"/>
                <w:szCs w:val="24"/>
                <w:lang w:eastAsia="es-CR"/>
              </w:rPr>
            </w:pPr>
            <w:r w:rsidRPr="00802DCC">
              <w:rPr>
                <w:rFonts w:eastAsia="Times New Roman" w:cs="Calibri"/>
                <w:color w:val="000000"/>
                <w:szCs w:val="24"/>
                <w:lang w:val="es-ES" w:eastAsia="es-CR"/>
              </w:rPr>
              <w:t> </w:t>
            </w:r>
          </w:p>
        </w:tc>
      </w:tr>
      <w:tr w:rsidR="00802DCC" w:rsidRPr="00802DCC" w14:paraId="53D1E3A9" w14:textId="77777777" w:rsidTr="00802DCC">
        <w:trPr>
          <w:trHeight w:val="324"/>
        </w:trPr>
        <w:tc>
          <w:tcPr>
            <w:tcW w:w="6400" w:type="dxa"/>
            <w:shd w:val="clear" w:color="auto" w:fill="auto"/>
            <w:noWrap/>
            <w:vAlign w:val="center"/>
            <w:hideMark/>
          </w:tcPr>
          <w:p w14:paraId="35700547" w14:textId="77777777" w:rsidR="00802DCC" w:rsidRPr="00802DCC" w:rsidRDefault="00802DCC" w:rsidP="00802DCC">
            <w:pPr>
              <w:spacing w:after="0" w:line="240" w:lineRule="auto"/>
              <w:rPr>
                <w:rFonts w:eastAsia="Times New Roman" w:cs="Calibri"/>
                <w:color w:val="000000"/>
                <w:szCs w:val="24"/>
                <w:lang w:eastAsia="es-CR"/>
              </w:rPr>
            </w:pPr>
            <w:r w:rsidRPr="00802DCC">
              <w:rPr>
                <w:rFonts w:eastAsia="Times New Roman" w:cs="Calibri"/>
                <w:color w:val="000000"/>
                <w:szCs w:val="24"/>
                <w:lang w:val="es-ES" w:eastAsia="es-CR"/>
              </w:rPr>
              <w:t>Propiedades cuentan con planos inscritos</w:t>
            </w:r>
          </w:p>
        </w:tc>
        <w:tc>
          <w:tcPr>
            <w:tcW w:w="680" w:type="dxa"/>
            <w:shd w:val="clear" w:color="auto" w:fill="auto"/>
            <w:noWrap/>
            <w:vAlign w:val="center"/>
            <w:hideMark/>
          </w:tcPr>
          <w:p w14:paraId="258754EE" w14:textId="77777777" w:rsidR="00802DCC" w:rsidRPr="00802DCC" w:rsidRDefault="00802DCC" w:rsidP="00802DCC">
            <w:pPr>
              <w:spacing w:after="0" w:line="240" w:lineRule="auto"/>
              <w:rPr>
                <w:rFonts w:eastAsia="Times New Roman" w:cs="Calibri"/>
                <w:color w:val="000000"/>
                <w:szCs w:val="24"/>
                <w:lang w:eastAsia="es-CR"/>
              </w:rPr>
            </w:pPr>
            <w:r w:rsidRPr="00802DCC">
              <w:rPr>
                <w:rFonts w:eastAsia="Times New Roman" w:cs="Calibri"/>
                <w:color w:val="000000"/>
                <w:szCs w:val="24"/>
                <w:lang w:val="es-ES" w:eastAsia="es-CR"/>
              </w:rPr>
              <w:t> </w:t>
            </w:r>
          </w:p>
        </w:tc>
      </w:tr>
      <w:tr w:rsidR="00802DCC" w:rsidRPr="00802DCC" w14:paraId="367559F4" w14:textId="77777777" w:rsidTr="00802DCC">
        <w:trPr>
          <w:trHeight w:val="324"/>
        </w:trPr>
        <w:tc>
          <w:tcPr>
            <w:tcW w:w="6400" w:type="dxa"/>
            <w:shd w:val="clear" w:color="auto" w:fill="auto"/>
            <w:noWrap/>
            <w:vAlign w:val="center"/>
            <w:hideMark/>
          </w:tcPr>
          <w:p w14:paraId="3617A2E3" w14:textId="77777777" w:rsidR="00802DCC" w:rsidRPr="00802DCC" w:rsidRDefault="00802DCC" w:rsidP="00802DCC">
            <w:pPr>
              <w:spacing w:after="0" w:line="240" w:lineRule="auto"/>
              <w:rPr>
                <w:rFonts w:eastAsia="Times New Roman" w:cs="Calibri"/>
                <w:color w:val="000000"/>
                <w:szCs w:val="24"/>
                <w:lang w:eastAsia="es-CR"/>
              </w:rPr>
            </w:pPr>
            <w:r w:rsidRPr="00802DCC">
              <w:rPr>
                <w:rFonts w:eastAsia="Times New Roman" w:cs="Calibri"/>
                <w:color w:val="000000"/>
                <w:szCs w:val="24"/>
                <w:lang w:val="es-ES" w:eastAsia="es-CR"/>
              </w:rPr>
              <w:t>Se tiene control con el uso de las Propiedades</w:t>
            </w:r>
          </w:p>
        </w:tc>
        <w:tc>
          <w:tcPr>
            <w:tcW w:w="680" w:type="dxa"/>
            <w:shd w:val="clear" w:color="auto" w:fill="auto"/>
            <w:noWrap/>
            <w:vAlign w:val="center"/>
            <w:hideMark/>
          </w:tcPr>
          <w:p w14:paraId="43D0A5CC" w14:textId="77777777" w:rsidR="00802DCC" w:rsidRPr="00802DCC" w:rsidRDefault="00802DCC" w:rsidP="00802DCC">
            <w:pPr>
              <w:spacing w:after="0" w:line="240" w:lineRule="auto"/>
              <w:rPr>
                <w:rFonts w:eastAsia="Times New Roman" w:cs="Calibri"/>
                <w:color w:val="000000"/>
                <w:szCs w:val="24"/>
                <w:lang w:eastAsia="es-CR"/>
              </w:rPr>
            </w:pPr>
            <w:r w:rsidRPr="00802DCC">
              <w:rPr>
                <w:rFonts w:eastAsia="Times New Roman" w:cs="Calibri"/>
                <w:color w:val="000000"/>
                <w:szCs w:val="24"/>
                <w:lang w:val="es-ES" w:eastAsia="es-CR"/>
              </w:rPr>
              <w:t> </w:t>
            </w:r>
          </w:p>
        </w:tc>
      </w:tr>
      <w:tr w:rsidR="00802DCC" w:rsidRPr="00802DCC" w14:paraId="13725C3D" w14:textId="77777777" w:rsidTr="00802DCC">
        <w:trPr>
          <w:trHeight w:val="324"/>
        </w:trPr>
        <w:tc>
          <w:tcPr>
            <w:tcW w:w="6400" w:type="dxa"/>
            <w:shd w:val="clear" w:color="auto" w:fill="auto"/>
            <w:noWrap/>
            <w:vAlign w:val="center"/>
            <w:hideMark/>
          </w:tcPr>
          <w:p w14:paraId="4F08AD1F" w14:textId="77777777" w:rsidR="00802DCC" w:rsidRPr="00802DCC" w:rsidRDefault="00802DCC" w:rsidP="00802DCC">
            <w:pPr>
              <w:spacing w:after="0" w:line="240" w:lineRule="auto"/>
              <w:rPr>
                <w:rFonts w:eastAsia="Times New Roman" w:cs="Calibri"/>
                <w:color w:val="000000"/>
                <w:szCs w:val="24"/>
                <w:lang w:eastAsia="es-CR"/>
              </w:rPr>
            </w:pPr>
            <w:r w:rsidRPr="00802DCC">
              <w:rPr>
                <w:rFonts w:eastAsia="Times New Roman" w:cs="Calibri"/>
                <w:color w:val="000000"/>
                <w:szCs w:val="24"/>
                <w:lang w:val="es-ES" w:eastAsia="es-CR"/>
              </w:rPr>
              <w:t>Se tiene Propiedades ocupados ilegalmente.</w:t>
            </w:r>
          </w:p>
        </w:tc>
        <w:tc>
          <w:tcPr>
            <w:tcW w:w="680" w:type="dxa"/>
            <w:shd w:val="clear" w:color="auto" w:fill="auto"/>
            <w:noWrap/>
            <w:vAlign w:val="center"/>
            <w:hideMark/>
          </w:tcPr>
          <w:p w14:paraId="1AE6630B" w14:textId="77777777" w:rsidR="00802DCC" w:rsidRPr="00802DCC" w:rsidRDefault="00802DCC" w:rsidP="00802DCC">
            <w:pPr>
              <w:spacing w:after="0" w:line="240" w:lineRule="auto"/>
              <w:rPr>
                <w:rFonts w:eastAsia="Times New Roman" w:cs="Calibri"/>
                <w:color w:val="000000"/>
                <w:szCs w:val="24"/>
                <w:lang w:eastAsia="es-CR"/>
              </w:rPr>
            </w:pPr>
            <w:r w:rsidRPr="00802DCC">
              <w:rPr>
                <w:rFonts w:eastAsia="Times New Roman" w:cs="Calibri"/>
                <w:color w:val="000000"/>
                <w:szCs w:val="24"/>
                <w:lang w:val="es-ES" w:eastAsia="es-CR"/>
              </w:rPr>
              <w:t> </w:t>
            </w:r>
          </w:p>
        </w:tc>
      </w:tr>
    </w:tbl>
    <w:p w14:paraId="109627C1" w14:textId="77777777" w:rsidR="00E4611E" w:rsidRDefault="00E4611E" w:rsidP="00E4611E">
      <w:pPr>
        <w:spacing w:after="0" w:line="240" w:lineRule="auto"/>
        <w:rPr>
          <w:b/>
          <w:lang w:val="es-ES"/>
        </w:rPr>
      </w:pPr>
    </w:p>
    <w:p w14:paraId="35E3CF75" w14:textId="77777777" w:rsidR="00E4611E" w:rsidRDefault="00692DC8" w:rsidP="00E4611E">
      <w:pPr>
        <w:spacing w:before="120" w:after="0" w:line="240" w:lineRule="auto"/>
        <w:rPr>
          <w:b/>
          <w:lang w:val="es-ES"/>
        </w:rPr>
      </w:pPr>
      <w:r w:rsidRPr="0011777B">
        <w:rPr>
          <w:b/>
          <w:lang w:val="es-ES"/>
        </w:rPr>
        <w:t>Revelación:</w:t>
      </w:r>
    </w:p>
    <w:p w14:paraId="5CD38026" w14:textId="05D77658" w:rsidR="00694299" w:rsidRPr="00E4611E" w:rsidRDefault="00654C21" w:rsidP="00E4611E">
      <w:pPr>
        <w:spacing w:after="0" w:line="240" w:lineRule="auto"/>
        <w:rPr>
          <w:b/>
          <w:szCs w:val="24"/>
          <w:lang w:val="es-ES"/>
        </w:rPr>
      </w:pPr>
      <w:r w:rsidRPr="00E4611E">
        <w:rPr>
          <w:rFonts w:eastAsia="Times New Roman" w:cs="Calibri"/>
          <w:color w:val="000000"/>
          <w:szCs w:val="24"/>
          <w:lang w:eastAsia="es-CR"/>
        </w:rPr>
        <w:fldChar w:fldCharType="begin"/>
      </w:r>
      <w:r w:rsidRPr="00E4611E">
        <w:rPr>
          <w:rFonts w:eastAsia="Times New Roman" w:cs="Calibri"/>
          <w:color w:val="000000"/>
          <w:szCs w:val="24"/>
          <w:lang w:eastAsia="es-CR"/>
        </w:rPr>
        <w:instrText xml:space="preserve"> LINK </w:instrText>
      </w:r>
      <w:r w:rsidR="00323752" w:rsidRPr="00E4611E">
        <w:rPr>
          <w:rFonts w:eastAsia="Times New Roman" w:cs="Calibri"/>
          <w:color w:val="000000"/>
          <w:szCs w:val="24"/>
          <w:lang w:eastAsia="es-CR"/>
        </w:rPr>
        <w:instrText xml:space="preserve">Excel.SheetMacroEnabled.12 "D:\\MORAVIA\\INSUMOS\\NOTAS 2024\\Formato_Notas_EEFF_Vinculadas_2024\\XXXXX_PXX_202X_Anexo_Estado_Notas_Contables_Vinculadas.xlsm" NOTAS_POR_CUENTA!F42C8 </w:instrText>
      </w:r>
      <w:r w:rsidRPr="00E4611E">
        <w:rPr>
          <w:rFonts w:eastAsia="Times New Roman" w:cs="Calibri"/>
          <w:color w:val="000000"/>
          <w:szCs w:val="24"/>
          <w:lang w:eastAsia="es-CR"/>
        </w:rPr>
        <w:instrText xml:space="preserve">\a \f 5 \h  \* MERGEFORMAT </w:instrText>
      </w:r>
      <w:r w:rsidRPr="00E4611E">
        <w:rPr>
          <w:rFonts w:eastAsia="Times New Roman" w:cs="Calibri"/>
          <w:color w:val="000000"/>
          <w:szCs w:val="24"/>
          <w:lang w:eastAsia="es-CR"/>
        </w:rPr>
        <w:fldChar w:fldCharType="separate"/>
      </w:r>
    </w:p>
    <w:p w14:paraId="4DAEA761" w14:textId="77777777" w:rsidR="00694299" w:rsidRPr="00E4611E" w:rsidRDefault="00694299" w:rsidP="00E4611E">
      <w:pPr>
        <w:spacing w:line="240" w:lineRule="auto"/>
        <w:rPr>
          <w:rFonts w:eastAsia="Times New Roman" w:cs="Calibri"/>
          <w:color w:val="000000"/>
          <w:szCs w:val="24"/>
          <w:lang w:eastAsia="es-CR"/>
        </w:rPr>
      </w:pPr>
      <w:r w:rsidRPr="00E4611E">
        <w:rPr>
          <w:rFonts w:eastAsia="Times New Roman" w:cs="Calibri"/>
          <w:color w:val="000000"/>
          <w:szCs w:val="24"/>
          <w:lang w:eastAsia="es-CR"/>
        </w:rPr>
        <w:t>La cuenta Propiedades de inversión, representa el 0,00% del total del Activo, que comparado al periodo anterior genera una variación absoluta de 0 000,00 que corresponde a un Aumento del 0,00% de recursos disponibles.</w:t>
      </w:r>
    </w:p>
    <w:p w14:paraId="0457289D" w14:textId="704417A4" w:rsidR="00692DC8" w:rsidRPr="00E4611E" w:rsidRDefault="00654C21" w:rsidP="00E4611E">
      <w:pPr>
        <w:spacing w:line="240" w:lineRule="auto"/>
        <w:rPr>
          <w:rFonts w:eastAsia="Times New Roman"/>
          <w:szCs w:val="24"/>
          <w:lang w:eastAsia="es-CR"/>
        </w:rPr>
      </w:pPr>
      <w:r w:rsidRPr="00E4611E">
        <w:rPr>
          <w:rFonts w:eastAsia="Times New Roman" w:cs="Calibri"/>
          <w:color w:val="000000"/>
          <w:szCs w:val="24"/>
          <w:lang w:eastAsia="es-CR"/>
        </w:rPr>
        <w:fldChar w:fldCharType="end"/>
      </w:r>
      <w:r w:rsidR="00692DC8" w:rsidRPr="00E4611E">
        <w:rPr>
          <w:rFonts w:eastAsia="Times New Roman"/>
          <w:szCs w:val="24"/>
          <w:highlight w:val="lightGray"/>
          <w:lang w:eastAsia="es-CR"/>
        </w:rPr>
        <w:t>Las variaciones de la cuenta son producto de (Indicar la razón de las variaciones de un periodo a otro):</w:t>
      </w:r>
      <w:r w:rsidR="00692DC8" w:rsidRPr="00E4611E">
        <w:rPr>
          <w:rFonts w:eastAsia="Times New Roman"/>
          <w:szCs w:val="24"/>
          <w:lang w:eastAsia="es-CR"/>
        </w:rPr>
        <w:t xml:space="preserve"> </w:t>
      </w:r>
    </w:p>
    <w:p w14:paraId="39478C23" w14:textId="77777777" w:rsidR="00694299" w:rsidRDefault="00654C21" w:rsidP="00E4611E">
      <w:pPr>
        <w:spacing w:after="0" w:line="240" w:lineRule="auto"/>
        <w:rPr>
          <w:rFonts w:asciiTheme="minorHAnsi" w:hAnsiTheme="minorHAnsi"/>
          <w:sz w:val="22"/>
        </w:rPr>
      </w:pPr>
      <w:r>
        <w:rPr>
          <w:lang w:val="es-ES"/>
        </w:rPr>
        <w:fldChar w:fldCharType="begin"/>
      </w:r>
      <w:r>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NOTAS_POR_CUENTA!F44C1:F46C6 </w:instrText>
      </w:r>
      <w:r>
        <w:rPr>
          <w:lang w:val="es-ES"/>
        </w:rPr>
        <w:instrText xml:space="preserve">\a \f 4 \h </w:instrText>
      </w:r>
      <w:r>
        <w:rPr>
          <w:lang w:val="es-ES"/>
        </w:rP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694299" w:rsidRPr="00694299" w14:paraId="775427A3" w14:textId="77777777" w:rsidTr="00694299">
        <w:trPr>
          <w:divId w:val="615141651"/>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21CE042" w14:textId="1A4DE499" w:rsidR="00694299" w:rsidRPr="00694299" w:rsidRDefault="00694299" w:rsidP="00694299">
            <w:pPr>
              <w:spacing w:after="0" w:line="240" w:lineRule="auto"/>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8D434D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FFB24E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0C33F6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D6446E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B0203A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44FDCA6D" w14:textId="77777777" w:rsidTr="00694299">
        <w:trPr>
          <w:divId w:val="615141651"/>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72819AF6"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7122CE3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F4E281D"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465BE6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E46FF9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64C71858"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181AA28C" w14:textId="77777777" w:rsidTr="00694299">
        <w:trPr>
          <w:divId w:val="615141651"/>
          <w:trHeight w:val="324"/>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574B84FF"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1.2.5.03.</w:t>
            </w:r>
          </w:p>
        </w:tc>
        <w:tc>
          <w:tcPr>
            <w:tcW w:w="3320" w:type="dxa"/>
            <w:tcBorders>
              <w:top w:val="nil"/>
              <w:left w:val="nil"/>
              <w:bottom w:val="single" w:sz="8" w:space="0" w:color="auto"/>
              <w:right w:val="single" w:sz="8" w:space="0" w:color="auto"/>
            </w:tcBorders>
            <w:shd w:val="clear" w:color="auto" w:fill="auto"/>
            <w:vAlign w:val="center"/>
            <w:hideMark/>
          </w:tcPr>
          <w:p w14:paraId="073A1CD5"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Activos biológicos no concesionados</w:t>
            </w:r>
          </w:p>
        </w:tc>
        <w:tc>
          <w:tcPr>
            <w:tcW w:w="500" w:type="dxa"/>
            <w:tcBorders>
              <w:top w:val="nil"/>
              <w:left w:val="nil"/>
              <w:bottom w:val="single" w:sz="8" w:space="0" w:color="auto"/>
              <w:right w:val="single" w:sz="8" w:space="0" w:color="auto"/>
            </w:tcBorders>
            <w:shd w:val="clear" w:color="auto" w:fill="auto"/>
            <w:noWrap/>
            <w:vAlign w:val="center"/>
            <w:hideMark/>
          </w:tcPr>
          <w:p w14:paraId="5B70C3F6"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10</w:t>
            </w:r>
          </w:p>
        </w:tc>
        <w:tc>
          <w:tcPr>
            <w:tcW w:w="2160" w:type="dxa"/>
            <w:tcBorders>
              <w:top w:val="nil"/>
              <w:left w:val="nil"/>
              <w:bottom w:val="single" w:sz="8" w:space="0" w:color="auto"/>
              <w:right w:val="single" w:sz="8" w:space="0" w:color="auto"/>
            </w:tcBorders>
            <w:shd w:val="clear" w:color="auto" w:fill="auto"/>
            <w:noWrap/>
            <w:vAlign w:val="center"/>
            <w:hideMark/>
          </w:tcPr>
          <w:p w14:paraId="101A9122"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663E73E1"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04F0773A"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334CC56B" w14:textId="3441D282" w:rsidR="00802DCC" w:rsidRDefault="00654C21" w:rsidP="00081442">
      <w:pPr>
        <w:spacing w:after="0" w:line="240" w:lineRule="auto"/>
        <w:rPr>
          <w:b/>
          <w:lang w:val="es-ES"/>
        </w:rPr>
      </w:pPr>
      <w:r>
        <w:rPr>
          <w:b/>
          <w:lang w:val="es-ES"/>
        </w:rPr>
        <w:fldChar w:fldCharType="end"/>
      </w:r>
    </w:p>
    <w:p w14:paraId="1357E035" w14:textId="77777777" w:rsidR="00694299" w:rsidRPr="00694299" w:rsidRDefault="00692DC8" w:rsidP="00694299">
      <w:pPr>
        <w:spacing w:before="240"/>
        <w:rPr>
          <w:b/>
          <w:sz w:val="20"/>
          <w:szCs w:val="20"/>
          <w:lang w:eastAsia="es-CR"/>
        </w:rPr>
      </w:pPr>
      <w:r w:rsidRPr="0011777B">
        <w:rPr>
          <w:b/>
          <w:lang w:val="es-ES"/>
        </w:rPr>
        <w:t xml:space="preserve">Revelación: </w:t>
      </w:r>
      <w:r w:rsidR="00654C21">
        <w:rPr>
          <w:rFonts w:eastAsia="Times New Roman" w:cs="Calibri"/>
          <w:color w:val="000000"/>
          <w:lang w:eastAsia="es-CR"/>
        </w:rPr>
        <w:fldChar w:fldCharType="begin"/>
      </w:r>
      <w:r w:rsidR="00654C21">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NOTAS_POR_CUENTA!F46C8 </w:instrText>
      </w:r>
      <w:r w:rsidR="00654C21">
        <w:rPr>
          <w:rFonts w:eastAsia="Times New Roman" w:cs="Calibri"/>
          <w:color w:val="000000"/>
          <w:lang w:eastAsia="es-CR"/>
        </w:rPr>
        <w:instrText xml:space="preserve">\a \f 5 \h  \* MERGEFORMAT </w:instrText>
      </w:r>
      <w:r w:rsidR="00654C21">
        <w:rPr>
          <w:rFonts w:eastAsia="Times New Roman" w:cs="Calibri"/>
          <w:color w:val="000000"/>
          <w:lang w:eastAsia="es-CR"/>
        </w:rPr>
        <w:fldChar w:fldCharType="separate"/>
      </w:r>
    </w:p>
    <w:p w14:paraId="54E59108"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Activos biológicos no concesionados, representa el 0,00% del total del Activo, que comparado al periodo anterior genera una variación absoluta de 0 000,00 que corresponde a un Aumento del 0,00% de recursos disponibles.</w:t>
      </w:r>
    </w:p>
    <w:p w14:paraId="071288CA" w14:textId="3DCD2E21" w:rsidR="00692DC8" w:rsidRPr="00692DC8" w:rsidRDefault="00654C21" w:rsidP="00654C21">
      <w:pPr>
        <w:rPr>
          <w:lang w:eastAsia="es-CR"/>
        </w:rPr>
      </w:pPr>
      <w:r>
        <w:rPr>
          <w:rFonts w:eastAsia="Times New Roman" w:cs="Calibri"/>
          <w:color w:val="000000"/>
          <w:lang w:eastAsia="es-CR"/>
        </w:rPr>
        <w:fldChar w:fldCharType="end"/>
      </w:r>
      <w:r w:rsidR="00692DC8" w:rsidRPr="00692DC8">
        <w:rPr>
          <w:highlight w:val="lightGray"/>
          <w:lang w:eastAsia="es-CR"/>
        </w:rPr>
        <w:t>Las variaciones de la cuenta son producto de (Indicar la razón de las variaciones de un periodo a otro):</w:t>
      </w:r>
      <w:r w:rsidR="00692DC8" w:rsidRPr="00692DC8">
        <w:rPr>
          <w:lang w:eastAsia="es-CR"/>
        </w:rPr>
        <w:t xml:space="preserve"> </w:t>
      </w:r>
    </w:p>
    <w:p w14:paraId="0FC23BC2" w14:textId="44FA9AB2" w:rsidR="00692DC8" w:rsidRPr="00692DC8" w:rsidRDefault="00692DC8" w:rsidP="0011777B">
      <w:pPr>
        <w:rPr>
          <w:rFonts w:eastAsia="Calibri" w:cs="Times New Roman"/>
          <w:sz w:val="20"/>
          <w:szCs w:val="20"/>
          <w:lang w:eastAsia="es-CR"/>
        </w:rPr>
      </w:pPr>
    </w:p>
    <w:p w14:paraId="6D0CE159" w14:textId="77777777" w:rsidR="00694299" w:rsidRDefault="00654C21" w:rsidP="00694299">
      <w:pPr>
        <w:spacing w:before="240"/>
        <w:rPr>
          <w:rFonts w:asciiTheme="minorHAnsi" w:hAnsiTheme="minorHAnsi"/>
          <w:sz w:val="22"/>
        </w:rPr>
      </w:pPr>
      <w:r>
        <w:rPr>
          <w:lang w:val="es-ES"/>
        </w:rPr>
        <w:fldChar w:fldCharType="begin"/>
      </w:r>
      <w:r>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NOTAS_POR_CUENTA!F48C1:F50C6 </w:instrText>
      </w:r>
      <w:r>
        <w:rPr>
          <w:lang w:val="es-ES"/>
        </w:rPr>
        <w:instrText xml:space="preserve">\a \f 4 \h </w:instrText>
      </w:r>
      <w:r>
        <w:rPr>
          <w:lang w:val="es-ES"/>
        </w:rPr>
        <w:fldChar w:fldCharType="separate"/>
      </w:r>
    </w:p>
    <w:p w14:paraId="39312BDE" w14:textId="36369B75" w:rsidR="00C572A3" w:rsidRDefault="00654C21" w:rsidP="001242F7">
      <w:pPr>
        <w:spacing w:after="120" w:line="240" w:lineRule="auto"/>
        <w:rPr>
          <w:rFonts w:asciiTheme="minorHAnsi" w:hAnsiTheme="minorHAnsi"/>
          <w:sz w:val="22"/>
        </w:rPr>
      </w:pPr>
      <w:r>
        <w:rPr>
          <w:b/>
          <w:bCs/>
          <w:lang w:val="es-ES"/>
        </w:rPr>
        <w:fldChar w:fldCharType="end"/>
      </w:r>
      <w:r w:rsidR="001242F7">
        <w:rPr>
          <w:b/>
          <w:bCs/>
          <w:lang w:val="es-ES"/>
        </w:rPr>
        <w:fldChar w:fldCharType="begin"/>
      </w:r>
      <w:r w:rsidR="001242F7">
        <w:rPr>
          <w:b/>
          <w:bCs/>
          <w:lang w:val="es-ES"/>
        </w:rPr>
        <w:instrText xml:space="preserve"> LINK </w:instrText>
      </w:r>
      <w:r w:rsidR="0068177A">
        <w:rPr>
          <w:b/>
          <w:bCs/>
          <w:lang w:val="es-ES"/>
        </w:rPr>
        <w:instrText xml:space="preserve">Excel.SheetMacroEnabled.12 "C:\\Users\\arges\\OneDrive\\Desktop\\Municipalidades\\Buenos Aires\\Cierre Junio 2024\\Notas Contables\\15603_T02_2024_Anexo_Estado_Notas_Contables_Vinculadas.xlsm" NOTAS_POR_CUENTA!R48C1:R50C6 </w:instrText>
      </w:r>
      <w:r w:rsidR="001242F7">
        <w:rPr>
          <w:b/>
          <w:bCs/>
          <w:lang w:val="es-ES"/>
        </w:rPr>
        <w:instrText xml:space="preserve">\a \f 4 \h </w:instrText>
      </w:r>
      <w:r w:rsidR="001242F7">
        <w:rPr>
          <w:b/>
          <w:bCs/>
          <w:lang w:val="es-ES"/>
        </w:rPr>
        <w:fldChar w:fldCharType="separate"/>
      </w:r>
    </w:p>
    <w:tbl>
      <w:tblPr>
        <w:tblW w:w="10080" w:type="dxa"/>
        <w:tblLook w:val="04A0" w:firstRow="1" w:lastRow="0" w:firstColumn="1" w:lastColumn="0" w:noHBand="0" w:noVBand="1"/>
      </w:tblPr>
      <w:tblGrid>
        <w:gridCol w:w="791"/>
        <w:gridCol w:w="3265"/>
        <w:gridCol w:w="544"/>
        <w:gridCol w:w="2200"/>
        <w:gridCol w:w="2200"/>
        <w:gridCol w:w="1080"/>
      </w:tblGrid>
      <w:tr w:rsidR="00C572A3" w:rsidRPr="00C572A3" w14:paraId="176255E7" w14:textId="77777777" w:rsidTr="00C572A3">
        <w:trPr>
          <w:divId w:val="514730144"/>
          <w:trHeight w:val="320"/>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15A6FB7" w14:textId="0DBD7B55" w:rsidR="00C572A3" w:rsidRPr="00C572A3" w:rsidRDefault="00C572A3" w:rsidP="00C572A3">
            <w:pP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57C8551"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Descripción</w:t>
            </w:r>
          </w:p>
        </w:tc>
        <w:tc>
          <w:tcPr>
            <w:tcW w:w="5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51332FE"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Nota</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C980773"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Actual </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F62A410"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Anterior </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763CD91E"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Diferencia </w:t>
            </w:r>
          </w:p>
        </w:tc>
      </w:tr>
      <w:tr w:rsidR="00C572A3" w:rsidRPr="00C572A3" w14:paraId="58820FD9" w14:textId="77777777" w:rsidTr="00C572A3">
        <w:trPr>
          <w:divId w:val="514730144"/>
          <w:trHeight w:val="320"/>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32863817"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62229488"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14:paraId="63A91EDD"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6A11EEFB"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4D0A0633"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1080" w:type="dxa"/>
            <w:tcBorders>
              <w:top w:val="nil"/>
              <w:left w:val="nil"/>
              <w:bottom w:val="single" w:sz="8" w:space="0" w:color="auto"/>
              <w:right w:val="single" w:sz="8" w:space="0" w:color="auto"/>
            </w:tcBorders>
            <w:shd w:val="clear" w:color="000000" w:fill="366092"/>
            <w:noWrap/>
            <w:vAlign w:val="center"/>
            <w:hideMark/>
          </w:tcPr>
          <w:p w14:paraId="149CA567" w14:textId="77777777" w:rsidR="00C572A3" w:rsidRPr="00C572A3" w:rsidRDefault="00C572A3" w:rsidP="00C572A3">
            <w:pPr>
              <w:spacing w:after="0" w:line="240" w:lineRule="auto"/>
              <w:jc w:val="center"/>
              <w:rPr>
                <w:rFonts w:eastAsia="Times New Roman" w:cs="Calibri"/>
                <w:color w:val="FFFFFF"/>
                <w:sz w:val="18"/>
                <w:szCs w:val="18"/>
                <w:lang w:val="en-US"/>
              </w:rPr>
            </w:pPr>
            <w:r w:rsidRPr="00C572A3">
              <w:rPr>
                <w:rFonts w:eastAsia="Times New Roman" w:cs="Calibri"/>
                <w:color w:val="FFFFFF"/>
                <w:sz w:val="18"/>
                <w:szCs w:val="18"/>
                <w:lang w:val="en-US"/>
              </w:rPr>
              <w:t>%</w:t>
            </w:r>
          </w:p>
        </w:tc>
      </w:tr>
      <w:tr w:rsidR="00C572A3" w:rsidRPr="00C572A3" w14:paraId="0AF10059" w14:textId="77777777" w:rsidTr="00C572A3">
        <w:trPr>
          <w:divId w:val="514730144"/>
          <w:trHeight w:val="470"/>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10A6D0DA" w14:textId="77777777" w:rsidR="00C572A3" w:rsidRPr="00C572A3" w:rsidRDefault="00C572A3" w:rsidP="00C572A3">
            <w:pPr>
              <w:spacing w:after="0" w:line="240" w:lineRule="auto"/>
              <w:jc w:val="left"/>
              <w:rPr>
                <w:rFonts w:eastAsia="Times New Roman" w:cs="Calibri"/>
                <w:b/>
                <w:bCs/>
                <w:color w:val="000000"/>
                <w:sz w:val="18"/>
                <w:szCs w:val="18"/>
                <w:lang w:val="en-US"/>
              </w:rPr>
            </w:pPr>
            <w:r w:rsidRPr="00C572A3">
              <w:rPr>
                <w:rFonts w:eastAsia="Times New Roman" w:cs="Calibri"/>
                <w:b/>
                <w:bCs/>
                <w:color w:val="000000"/>
                <w:sz w:val="18"/>
                <w:szCs w:val="18"/>
                <w:lang w:val="en-US"/>
              </w:rPr>
              <w:t>1.2.5.04.</w:t>
            </w:r>
          </w:p>
        </w:tc>
        <w:tc>
          <w:tcPr>
            <w:tcW w:w="3380" w:type="dxa"/>
            <w:tcBorders>
              <w:top w:val="nil"/>
              <w:left w:val="nil"/>
              <w:bottom w:val="single" w:sz="8" w:space="0" w:color="auto"/>
              <w:right w:val="single" w:sz="8" w:space="0" w:color="auto"/>
            </w:tcBorders>
            <w:shd w:val="clear" w:color="auto" w:fill="auto"/>
            <w:vAlign w:val="center"/>
            <w:hideMark/>
          </w:tcPr>
          <w:p w14:paraId="6AA6E694" w14:textId="77777777" w:rsidR="00C572A3" w:rsidRPr="00C572A3" w:rsidRDefault="00C572A3" w:rsidP="00C572A3">
            <w:pPr>
              <w:spacing w:after="0" w:line="240" w:lineRule="auto"/>
              <w:jc w:val="left"/>
              <w:rPr>
                <w:rFonts w:eastAsia="Times New Roman" w:cs="Calibri"/>
                <w:b/>
                <w:bCs/>
                <w:color w:val="000000"/>
                <w:sz w:val="18"/>
                <w:szCs w:val="18"/>
              </w:rPr>
            </w:pPr>
            <w:r w:rsidRPr="00C572A3">
              <w:rPr>
                <w:rFonts w:eastAsia="Times New Roman" w:cs="Calibri"/>
                <w:b/>
                <w:bCs/>
                <w:color w:val="000000"/>
                <w:sz w:val="18"/>
                <w:szCs w:val="18"/>
              </w:rPr>
              <w:t>Bienes de infraestructura y de beneficio y uso público en servicio</w:t>
            </w:r>
          </w:p>
        </w:tc>
        <w:tc>
          <w:tcPr>
            <w:tcW w:w="520" w:type="dxa"/>
            <w:tcBorders>
              <w:top w:val="nil"/>
              <w:left w:val="nil"/>
              <w:bottom w:val="single" w:sz="8" w:space="0" w:color="auto"/>
              <w:right w:val="single" w:sz="8" w:space="0" w:color="auto"/>
            </w:tcBorders>
            <w:shd w:val="clear" w:color="auto" w:fill="auto"/>
            <w:noWrap/>
            <w:vAlign w:val="center"/>
            <w:hideMark/>
          </w:tcPr>
          <w:p w14:paraId="1FE89C20"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10</w:t>
            </w:r>
          </w:p>
        </w:tc>
        <w:tc>
          <w:tcPr>
            <w:tcW w:w="2200" w:type="dxa"/>
            <w:tcBorders>
              <w:top w:val="nil"/>
              <w:left w:val="nil"/>
              <w:bottom w:val="single" w:sz="8" w:space="0" w:color="auto"/>
              <w:right w:val="single" w:sz="8" w:space="0" w:color="auto"/>
            </w:tcBorders>
            <w:shd w:val="clear" w:color="auto" w:fill="auto"/>
            <w:noWrap/>
            <w:vAlign w:val="center"/>
            <w:hideMark/>
          </w:tcPr>
          <w:p w14:paraId="39BA41BB"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160 765 498,08 </w:t>
            </w:r>
          </w:p>
        </w:tc>
        <w:tc>
          <w:tcPr>
            <w:tcW w:w="2200" w:type="dxa"/>
            <w:tcBorders>
              <w:top w:val="nil"/>
              <w:left w:val="nil"/>
              <w:bottom w:val="single" w:sz="8" w:space="0" w:color="auto"/>
              <w:right w:val="single" w:sz="8" w:space="0" w:color="auto"/>
            </w:tcBorders>
            <w:shd w:val="clear" w:color="auto" w:fill="auto"/>
            <w:noWrap/>
            <w:vAlign w:val="center"/>
            <w:hideMark/>
          </w:tcPr>
          <w:p w14:paraId="39786F10"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160 765 498,08 </w:t>
            </w:r>
          </w:p>
        </w:tc>
        <w:tc>
          <w:tcPr>
            <w:tcW w:w="1080" w:type="dxa"/>
            <w:tcBorders>
              <w:top w:val="nil"/>
              <w:left w:val="nil"/>
              <w:bottom w:val="single" w:sz="8" w:space="0" w:color="auto"/>
              <w:right w:val="single" w:sz="8" w:space="0" w:color="auto"/>
            </w:tcBorders>
            <w:shd w:val="clear" w:color="auto" w:fill="auto"/>
            <w:noWrap/>
            <w:vAlign w:val="center"/>
            <w:hideMark/>
          </w:tcPr>
          <w:p w14:paraId="5C498144"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0,00%</w:t>
            </w:r>
          </w:p>
        </w:tc>
      </w:tr>
    </w:tbl>
    <w:p w14:paraId="429888F5" w14:textId="19B03D95" w:rsidR="00EB34F1" w:rsidRDefault="001242F7" w:rsidP="001242F7">
      <w:pPr>
        <w:spacing w:after="120" w:line="240" w:lineRule="auto"/>
        <w:rPr>
          <w:b/>
          <w:bCs/>
          <w:lang w:val="es-ES"/>
        </w:rPr>
      </w:pPr>
      <w:r>
        <w:rPr>
          <w:b/>
          <w:bCs/>
          <w:lang w:val="es-ES"/>
        </w:rPr>
        <w:fldChar w:fldCharType="end"/>
      </w:r>
    </w:p>
    <w:p w14:paraId="218211D2" w14:textId="79FEE4B2" w:rsidR="00EB34F1" w:rsidRDefault="00EB34F1" w:rsidP="00EB34F1">
      <w:pPr>
        <w:spacing w:after="0" w:line="240" w:lineRule="auto"/>
        <w:rPr>
          <w:b/>
          <w:bCs/>
          <w:lang w:val="es-ES"/>
        </w:rPr>
      </w:pPr>
      <w:r w:rsidRPr="00EB34F1">
        <w:rPr>
          <w:b/>
          <w:bCs/>
          <w:lang w:val="es-ES"/>
        </w:rPr>
        <w:t xml:space="preserve"> </w:t>
      </w:r>
      <w:r w:rsidRPr="00257C63">
        <w:rPr>
          <w:b/>
          <w:bCs/>
          <w:lang w:val="es-ES"/>
        </w:rPr>
        <w:t>Explique el Proceso de Revaluación: Método de Costo:</w:t>
      </w:r>
    </w:p>
    <w:p w14:paraId="15F27311" w14:textId="77777777" w:rsidR="00EB34F1" w:rsidRPr="00257C63" w:rsidRDefault="00EB34F1" w:rsidP="00EB34F1">
      <w:pPr>
        <w:spacing w:after="0" w:line="240" w:lineRule="auto"/>
        <w:rPr>
          <w:b/>
          <w:bCs/>
          <w:lang w:val="es-ES"/>
        </w:rPr>
      </w:pPr>
    </w:p>
    <w:p w14:paraId="11351B7C" w14:textId="76ADDBF6" w:rsidR="00EB34F1" w:rsidRDefault="00EB34F1" w:rsidP="00EB34F1">
      <w:pPr>
        <w:spacing w:after="0" w:line="240" w:lineRule="auto"/>
        <w:rPr>
          <w:lang w:val="es-ES"/>
        </w:rPr>
      </w:pPr>
      <w:r w:rsidRPr="00D4132D">
        <w:rPr>
          <w:lang w:val="es-ES"/>
        </w:rPr>
        <w:t>Hay que reiterar que la Municipalidad utiliza el Método de Costo. Este método implica que emplea el costo histórico en aquellos casos que se cuente con información fiable, y en los casos que no se cuente con información confiable se les atribuye un valor a los activos establecido por un experto en la materia con capacidad para establecer el valor utilizado, esto con base en lo establecido en la NICSP 17 y NICSP33.</w:t>
      </w:r>
    </w:p>
    <w:p w14:paraId="4D165EA3" w14:textId="77777777" w:rsidR="00EB34F1" w:rsidRPr="00D4132D" w:rsidRDefault="00EB34F1" w:rsidP="00EB34F1">
      <w:pPr>
        <w:spacing w:after="0" w:line="240" w:lineRule="auto"/>
        <w:rPr>
          <w:lang w:val="es-ES"/>
        </w:rPr>
      </w:pPr>
    </w:p>
    <w:p w14:paraId="3D6C2263" w14:textId="77777777" w:rsidR="00EB34F1" w:rsidRDefault="00EB34F1" w:rsidP="00EB34F1">
      <w:pPr>
        <w:spacing w:after="0" w:line="240" w:lineRule="auto"/>
        <w:rPr>
          <w:rFonts w:cs="Arial"/>
          <w:lang w:val="es-ES" w:eastAsia="es-CR"/>
        </w:rPr>
      </w:pPr>
      <w:r w:rsidRPr="00D4132D">
        <w:rPr>
          <w:rFonts w:cs="Arial"/>
          <w:lang w:val="es-ES" w:eastAsia="es-CR"/>
        </w:rPr>
        <w:t>Los activos de esta clase nuevos se registran conforme lo establece la NICSP17, considerando todos los costos atribuibles para que el bien pueda operar de la forma prevista; y los costos de desmantelamiento y retiro de elementos, así como la rehabilitación del lugar donde se asentará el bien y cualquier otra obligación en que se incurra atribuible a la adquisición del bien como los intereses pagados durante el periodo de construcción, en caso de que los mismos sean financiados con un préstamo, tal como los establece la NICSP 5 “Costos por Préstamos”.</w:t>
      </w:r>
    </w:p>
    <w:p w14:paraId="2B9DE952" w14:textId="77777777" w:rsidR="00EB34F1" w:rsidRPr="00D4132D" w:rsidRDefault="00EB34F1" w:rsidP="00397867">
      <w:pPr>
        <w:spacing w:after="0" w:line="240" w:lineRule="auto"/>
        <w:rPr>
          <w:rFonts w:cs="Arial"/>
          <w:lang w:val="es-ES" w:eastAsia="es-CR"/>
        </w:rPr>
      </w:pPr>
    </w:p>
    <w:p w14:paraId="00B5AB32" w14:textId="77777777" w:rsidR="00E4611E" w:rsidRDefault="00692DC8" w:rsidP="00397867">
      <w:pPr>
        <w:spacing w:after="0" w:line="240" w:lineRule="auto"/>
        <w:rPr>
          <w:lang w:val="es-ES"/>
        </w:rPr>
      </w:pPr>
      <w:r w:rsidRPr="00692DC8">
        <w:rPr>
          <w:b/>
          <w:bCs/>
          <w:lang w:val="es-ES"/>
        </w:rPr>
        <w:t>Revelación</w:t>
      </w:r>
      <w:r w:rsidRPr="00692DC8">
        <w:rPr>
          <w:lang w:val="es-ES"/>
        </w:rPr>
        <w:t>:</w:t>
      </w:r>
    </w:p>
    <w:p w14:paraId="7BE8C684" w14:textId="2BB959C5" w:rsidR="00694299" w:rsidRPr="00694299" w:rsidRDefault="00654C21" w:rsidP="00E4611E">
      <w:pPr>
        <w:spacing w:after="0" w:line="240" w:lineRule="auto"/>
        <w:rPr>
          <w:b/>
          <w:bCs/>
          <w:lang w:val="es-ES"/>
        </w:rPr>
      </w:pP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NOTAS_POR_CUENTA!F50C8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0F4A9645" w14:textId="60C98E40" w:rsidR="00694299" w:rsidRDefault="00694299" w:rsidP="00E4611E">
      <w:pPr>
        <w:spacing w:after="0" w:line="240" w:lineRule="auto"/>
        <w:rPr>
          <w:rFonts w:eastAsia="Times New Roman" w:cs="Calibri"/>
          <w:color w:val="000000"/>
          <w:lang w:eastAsia="es-CR"/>
        </w:rPr>
      </w:pPr>
      <w:r w:rsidRPr="00694299">
        <w:rPr>
          <w:rFonts w:eastAsia="Times New Roman" w:cs="Calibri"/>
          <w:color w:val="000000"/>
          <w:lang w:eastAsia="es-CR"/>
        </w:rPr>
        <w:t>La cuenta Bienes de infraestructura y de beneficio y uso público en servicio, representa el 95,</w:t>
      </w:r>
      <w:r w:rsidR="00E4611E">
        <w:rPr>
          <w:rFonts w:eastAsia="Times New Roman" w:cs="Calibri"/>
          <w:color w:val="000000"/>
          <w:lang w:eastAsia="es-CR"/>
        </w:rPr>
        <w:t>7</w:t>
      </w:r>
      <w:r w:rsidRPr="00694299">
        <w:rPr>
          <w:rFonts w:eastAsia="Times New Roman" w:cs="Calibri"/>
          <w:color w:val="000000"/>
          <w:lang w:eastAsia="es-CR"/>
        </w:rPr>
        <w:t>0% del total del Activo, que comparado al periodo anterior genera una variación absoluta de 0 000,00 que corresponde a un Aumento del 0,00% de recursos disponibles.</w:t>
      </w:r>
    </w:p>
    <w:p w14:paraId="0D69B7B5" w14:textId="77777777" w:rsidR="00E4611E" w:rsidRPr="00694299" w:rsidRDefault="00E4611E" w:rsidP="00E4611E">
      <w:pPr>
        <w:spacing w:after="0" w:line="240" w:lineRule="auto"/>
        <w:rPr>
          <w:rFonts w:eastAsia="Times New Roman" w:cs="Calibri"/>
          <w:color w:val="000000"/>
          <w:lang w:eastAsia="es-CR"/>
        </w:rPr>
      </w:pPr>
    </w:p>
    <w:p w14:paraId="1310AAA8" w14:textId="4049A0C3" w:rsidR="00692DC8" w:rsidRDefault="00654C21" w:rsidP="00E4611E">
      <w:pPr>
        <w:spacing w:after="0" w:line="240" w:lineRule="auto"/>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p>
    <w:p w14:paraId="6D9F8828" w14:textId="77777777" w:rsidR="00397867" w:rsidRPr="00692DC8" w:rsidRDefault="00397867" w:rsidP="00E4611E">
      <w:pPr>
        <w:spacing w:after="0" w:line="240" w:lineRule="auto"/>
        <w:rPr>
          <w:rFonts w:eastAsiaTheme="minorEastAsia" w:cs="Arial Narrow"/>
          <w:color w:val="000000"/>
          <w:lang w:eastAsia="es-CR"/>
        </w:rPr>
      </w:pPr>
    </w:p>
    <w:p w14:paraId="4BEADA72" w14:textId="77777777" w:rsidR="00EB34F1" w:rsidRPr="00A91674" w:rsidRDefault="00EB34F1" w:rsidP="00EB34F1">
      <w:pPr>
        <w:spacing w:after="120" w:line="240" w:lineRule="auto"/>
        <w:rPr>
          <w:lang w:val="es-ES"/>
        </w:rPr>
      </w:pPr>
      <w:r>
        <w:rPr>
          <w:lang w:val="es-ES"/>
        </w:rPr>
        <w:t>Al respecto, debe señalarse que los bienes de infraestructura vial se registraron en setiembre de 2021, con base en los resultados del levantamiento, actualización y valoración de activos viales cantonales, realizada en el año 2020 por la empresa Ileana Aguilar Ingeniería y Administración S.A. (IAA), según informe presentado en enero 2021, por lo que se midieron y reconocieron al valor razonable atribuido según dicho informe. No obstante, dicho informe no contenía información sobre estimación de vida útil por lo que no pudo registrar la depreciación periódica de los activos en mención.</w:t>
      </w:r>
    </w:p>
    <w:p w14:paraId="0BCB2F0B" w14:textId="77777777" w:rsidR="00EB34F1" w:rsidRDefault="00EB34F1" w:rsidP="00EB34F1">
      <w:pPr>
        <w:spacing w:after="0" w:line="240" w:lineRule="auto"/>
        <w:rPr>
          <w:rFonts w:cs="Arial"/>
          <w:lang w:val="es-ES" w:eastAsia="es-CR"/>
        </w:rPr>
      </w:pPr>
    </w:p>
    <w:p w14:paraId="0CD8747E" w14:textId="13515A3B" w:rsidR="00EB34F1" w:rsidRDefault="00EB34F1" w:rsidP="00EB34F1">
      <w:pPr>
        <w:spacing w:after="120" w:line="240" w:lineRule="auto"/>
        <w:rPr>
          <w:bCs/>
          <w:lang w:val="es-ES"/>
        </w:rPr>
      </w:pPr>
      <w:r>
        <w:rPr>
          <w:bCs/>
          <w:lang w:val="es-ES"/>
        </w:rPr>
        <w:t>El detalle comparativo de los saldos que presentan los diferentes tipos de activos que componen los “</w:t>
      </w:r>
      <w:r w:rsidRPr="009E5683">
        <w:rPr>
          <w:rFonts w:cs="Calibri"/>
          <w:color w:val="000000"/>
          <w:lang w:eastAsia="es-CR"/>
        </w:rPr>
        <w:t>Bienes de infraestructura y de beneficio y uso público en servicio</w:t>
      </w:r>
      <w:r>
        <w:rPr>
          <w:rFonts w:cs="Calibri"/>
          <w:color w:val="000000"/>
          <w:lang w:eastAsia="es-CR"/>
        </w:rPr>
        <w:t>”</w:t>
      </w:r>
      <w:r>
        <w:rPr>
          <w:bCs/>
          <w:lang w:val="es-ES"/>
        </w:rPr>
        <w:t xml:space="preserve"> entre el </w:t>
      </w:r>
      <w:r w:rsidR="00D470B6">
        <w:rPr>
          <w:bCs/>
          <w:lang w:val="es-ES"/>
        </w:rPr>
        <w:t>30 de junio</w:t>
      </w:r>
      <w:r>
        <w:rPr>
          <w:bCs/>
          <w:lang w:val="es-ES"/>
        </w:rPr>
        <w:t xml:space="preserve"> de 2023 y el </w:t>
      </w:r>
      <w:r w:rsidR="00397867">
        <w:rPr>
          <w:bCs/>
          <w:lang w:val="es-ES"/>
        </w:rPr>
        <w:t xml:space="preserve">30 de junio </w:t>
      </w:r>
      <w:r>
        <w:rPr>
          <w:bCs/>
          <w:lang w:val="es-ES"/>
        </w:rPr>
        <w:t>de 2024, se presenta en el siguiente detalle:</w:t>
      </w:r>
    </w:p>
    <w:p w14:paraId="64917BF7" w14:textId="7E2C403B" w:rsidR="0011777B" w:rsidRPr="00EB34F1" w:rsidRDefault="00EB34F1" w:rsidP="00E4611E">
      <w:pPr>
        <w:spacing w:after="0"/>
        <w:rPr>
          <w:lang w:val="es-ES" w:eastAsia="es-CR"/>
        </w:rPr>
      </w:pPr>
      <w:r w:rsidRPr="00E42D44">
        <w:rPr>
          <w:noProof/>
          <w:lang w:eastAsia="es-CR"/>
        </w:rPr>
        <w:drawing>
          <wp:inline distT="0" distB="0" distL="0" distR="0" wp14:anchorId="02A92594" wp14:editId="26FFABED">
            <wp:extent cx="6407785" cy="2159391"/>
            <wp:effectExtent l="0" t="0" r="0" b="0"/>
            <wp:docPr id="274654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25699" cy="2165428"/>
                    </a:xfrm>
                    <a:prstGeom prst="rect">
                      <a:avLst/>
                    </a:prstGeom>
                    <a:noFill/>
                    <a:ln>
                      <a:noFill/>
                    </a:ln>
                  </pic:spPr>
                </pic:pic>
              </a:graphicData>
            </a:graphic>
          </wp:inline>
        </w:drawing>
      </w:r>
    </w:p>
    <w:p w14:paraId="692257C8" w14:textId="77777777" w:rsidR="00E4611E" w:rsidRDefault="00E4611E" w:rsidP="00E4611E">
      <w:pPr>
        <w:spacing w:after="0" w:line="240" w:lineRule="auto"/>
        <w:rPr>
          <w:rFonts w:cs="Calibri"/>
          <w:color w:val="000000"/>
          <w:lang w:eastAsia="es-CR"/>
        </w:rPr>
      </w:pPr>
    </w:p>
    <w:p w14:paraId="4F3CC65A" w14:textId="4FE6ED16" w:rsidR="00EB34F1" w:rsidRPr="00A91674" w:rsidRDefault="00EB34F1" w:rsidP="00E4611E">
      <w:pPr>
        <w:spacing w:after="0" w:line="240" w:lineRule="auto"/>
      </w:pPr>
      <w:r w:rsidRPr="00A91674">
        <w:rPr>
          <w:rFonts w:cs="Calibri"/>
          <w:color w:val="000000"/>
          <w:lang w:eastAsia="es-CR"/>
        </w:rPr>
        <w:t>Como se observa en el</w:t>
      </w:r>
      <w:r w:rsidRPr="00A91674">
        <w:t xml:space="preserve"> detalle presentado anteriormente los </w:t>
      </w:r>
      <w:r w:rsidRPr="00A91674">
        <w:rPr>
          <w:rFonts w:ascii="Arial" w:hAnsi="Arial" w:cs="Arial"/>
        </w:rPr>
        <w:t>₡</w:t>
      </w:r>
      <w:r w:rsidRPr="00A91674">
        <w:t>160 765 498,08 corresponden fundamentalmente a 756 carreteras, que medían</w:t>
      </w:r>
      <w:r>
        <w:t xml:space="preserve"> </w:t>
      </w:r>
      <w:r w:rsidRPr="00A91674">
        <w:t>1 943,65 Km de longitud de superficie y a 99 puentes, activos que han sido verificados mediante el inventario físico que llevó a cabo la consultora Ileana Aguilar Ingeniera y Administración S.A.</w:t>
      </w:r>
      <w:r>
        <w:t>, según su</w:t>
      </w:r>
      <w:r w:rsidRPr="00A91674">
        <w:t xml:space="preserve"> informe </w:t>
      </w:r>
      <w:r>
        <w:t>d</w:t>
      </w:r>
      <w:r w:rsidRPr="00A91674">
        <w:t xml:space="preserve">e </w:t>
      </w:r>
      <w:r>
        <w:t>enero de</w:t>
      </w:r>
      <w:r w:rsidRPr="00A91674">
        <w:t xml:space="preserve"> 2021. Además, se evidencia que los diferentes activos de infraestructura vial no han sido depreciados desde que fueron registrados. Esto debido a que </w:t>
      </w:r>
      <w:r>
        <w:t xml:space="preserve">como se indicó antes, </w:t>
      </w:r>
      <w:r w:rsidRPr="00A91674">
        <w:t>no se dispone de datos confiables sobre su vida útil.</w:t>
      </w:r>
    </w:p>
    <w:p w14:paraId="69924C66" w14:textId="77777777" w:rsidR="00EB34F1" w:rsidRPr="00A91674" w:rsidRDefault="00EB34F1" w:rsidP="00E4611E">
      <w:pPr>
        <w:spacing w:after="0" w:line="240" w:lineRule="auto"/>
      </w:pPr>
      <w:r w:rsidRPr="00A91674">
        <w:t xml:space="preserve"> </w:t>
      </w:r>
    </w:p>
    <w:p w14:paraId="2C89DFDD" w14:textId="77777777" w:rsidR="00EB34F1" w:rsidRPr="00A91674" w:rsidRDefault="00EB34F1" w:rsidP="00E4611E">
      <w:pPr>
        <w:spacing w:after="0" w:line="240" w:lineRule="auto"/>
      </w:pPr>
      <w:r w:rsidRPr="00A91674">
        <w:t xml:space="preserve">Por lo anterior, la </w:t>
      </w:r>
      <w:r>
        <w:t xml:space="preserve">Unidad Técnica de Gestión Vial de la </w:t>
      </w:r>
      <w:r w:rsidRPr="00A91674">
        <w:t xml:space="preserve">Municipalidad </w:t>
      </w:r>
      <w:r>
        <w:t>tuvo</w:t>
      </w:r>
      <w:r w:rsidRPr="00A91674">
        <w:t xml:space="preserve"> conversaciones con personeros del Laboratorio Nacional de Materiales y Modelos Estructurales (LANAMME-UCR), con el objetivo de efectuar una contratación para realizar un nuevo inventario de carreteras, puentes y otra infraestructura vial, con el fin de establecer el estado actual de estos tipos de activos, y con base en dicho inventario proceder a actualizar los saldos de las cuentas de activo de infraestructura mencionadas, establecer la vida útil de los activos y de esa manera tener la información requerida que permita registrar en el futuro los gastos de depreciación correspondientes en cada periodo.</w:t>
      </w:r>
    </w:p>
    <w:p w14:paraId="405DEFF6" w14:textId="77777777" w:rsidR="00EB34F1" w:rsidRPr="00A91674" w:rsidRDefault="00EB34F1" w:rsidP="00D24B8A">
      <w:pPr>
        <w:spacing w:after="0" w:line="240" w:lineRule="auto"/>
      </w:pPr>
    </w:p>
    <w:p w14:paraId="71123F32" w14:textId="77777777" w:rsidR="00D24B8A" w:rsidRPr="002A2B99" w:rsidRDefault="00D24B8A" w:rsidP="00D24B8A">
      <w:pPr>
        <w:spacing w:after="0" w:line="240" w:lineRule="auto"/>
        <w:rPr>
          <w:rFonts w:cs="Arial"/>
          <w:b/>
          <w:bCs/>
          <w:i/>
          <w:iCs/>
          <w:color w:val="000000"/>
          <w:sz w:val="22"/>
        </w:rPr>
      </w:pPr>
      <w:r>
        <w:t>Cabe señalar, que mediante el oficio GV-MBA-188-2023 del 11 abril de 2023 el Coordinador General de Gestión Vial informa que se encontraban revisando de la edición del convenio con formato de LANAME-UCR. Posteriormente, a</w:t>
      </w:r>
      <w:r w:rsidRPr="002A2B99">
        <w:t>l cierre del 30 de junio 2023, la Unidad de Gestión Vial indicó mediante Oficio GV-MBA-361-2023 lo siguiente:</w:t>
      </w:r>
      <w:r>
        <w:rPr>
          <w:rFonts w:ascii="Arial" w:hAnsi="Arial" w:cs="Arial"/>
          <w:color w:val="000000"/>
          <w:sz w:val="22"/>
        </w:rPr>
        <w:t xml:space="preserve"> </w:t>
      </w:r>
      <w:r w:rsidRPr="002A2B99">
        <w:rPr>
          <w:rFonts w:cs="Arial"/>
          <w:b/>
          <w:bCs/>
          <w:i/>
          <w:iCs/>
          <w:color w:val="000000"/>
          <w:sz w:val="22"/>
        </w:rPr>
        <w:t>“Respecto al tema de la Actualización del inventario de la Red Vial Cantonal, se informa que el proceso se encuentra en las mismas condiciones, esperando que se pueda avanzar lo más pronto posible y poder brindar la información requerida para el registro o revelación en las Notas de los Estados Financieros.”.</w:t>
      </w:r>
    </w:p>
    <w:p w14:paraId="640F4EB5" w14:textId="77777777" w:rsidR="00D24B8A" w:rsidRDefault="00D24B8A" w:rsidP="00D24B8A">
      <w:pPr>
        <w:spacing w:after="0" w:line="240" w:lineRule="auto"/>
        <w:rPr>
          <w:rFonts w:ascii="Arial" w:hAnsi="Arial" w:cs="Arial"/>
          <w:color w:val="000000"/>
          <w:sz w:val="22"/>
        </w:rPr>
      </w:pPr>
    </w:p>
    <w:p w14:paraId="025F50E9" w14:textId="5F96FED9" w:rsidR="00E547CB" w:rsidRPr="00E547CB" w:rsidRDefault="00D24B8A" w:rsidP="00E547CB">
      <w:pPr>
        <w:spacing w:after="0" w:line="240" w:lineRule="auto"/>
        <w:rPr>
          <w:b/>
          <w:bCs/>
          <w:i/>
          <w:iCs/>
        </w:rPr>
      </w:pPr>
      <w:r w:rsidRPr="002A2B99">
        <w:t>Final</w:t>
      </w:r>
      <w:r w:rsidR="00E547CB">
        <w:t>mente, mediante oficio GV-MBA-297-2024 del 03</w:t>
      </w:r>
      <w:r w:rsidRPr="002A2B99">
        <w:t xml:space="preserve"> de </w:t>
      </w:r>
      <w:r w:rsidR="00E547CB">
        <w:t>julio</w:t>
      </w:r>
      <w:r w:rsidRPr="002A2B99">
        <w:t xml:space="preserve"> de 2024, el Coordinador General Gestión Vial de la Municipalidad, informó lo siguiente: </w:t>
      </w:r>
      <w:r w:rsidRPr="0011715C">
        <w:rPr>
          <w:rFonts w:ascii="Arial" w:hAnsi="Arial" w:cs="Arial"/>
          <w:b/>
          <w:bCs/>
          <w:i/>
          <w:iCs/>
          <w:color w:val="000000"/>
          <w:sz w:val="22"/>
        </w:rPr>
        <w:t>“…</w:t>
      </w:r>
      <w:r w:rsidRPr="0011715C">
        <w:rPr>
          <w:b/>
          <w:bCs/>
          <w:i/>
          <w:iCs/>
        </w:rPr>
        <w:t xml:space="preserve"> </w:t>
      </w:r>
      <w:r w:rsidR="00E547CB" w:rsidRPr="00E547CB">
        <w:rPr>
          <w:b/>
          <w:bCs/>
          <w:i/>
          <w:iCs/>
        </w:rPr>
        <w:t>sobre el tema del inventario de la Red Vial Cantonal, se les indica que, en diciembre de 2023, se culminó con la revisión del inventario de la Red Vial Cantonal con la consultoría de LANAME pagada por el MOPT.</w:t>
      </w:r>
    </w:p>
    <w:p w14:paraId="3A4B652C" w14:textId="1DAFBB76" w:rsidR="00D24B8A" w:rsidRDefault="00E547CB" w:rsidP="00E547CB">
      <w:pPr>
        <w:spacing w:after="0" w:line="240" w:lineRule="auto"/>
      </w:pPr>
      <w:r w:rsidRPr="00E547CB">
        <w:rPr>
          <w:b/>
          <w:bCs/>
          <w:i/>
          <w:iCs/>
        </w:rPr>
        <w:t>De la red vial actual se deben revisar en campo 206 caminos de los 760 que la compone, esto para validar su legalidad en temas de si son o no públicos, su traza y su longitud, una vez revisados en campo, se debe hacer sesiones en las comunidades para determinar y validar los caminos, este proceso quizás nos va a llevar todo el año, esto debido a que no se cuentan con los recursos necesarios para realizar con más prontitud los trabajos necesarios.</w:t>
      </w:r>
      <w:r w:rsidR="00D24B8A" w:rsidRPr="0011715C">
        <w:rPr>
          <w:b/>
          <w:bCs/>
          <w:i/>
          <w:iCs/>
        </w:rPr>
        <w:t xml:space="preserve"> // En el momento que se cuente con mayor información, se le estará brindando de manera oportuna.”</w:t>
      </w:r>
      <w:r w:rsidR="00D24B8A">
        <w:t>. Además, debe indicarse que a la fecha de presentación de los EEFF no se recibió información sobre el estado del proceso de actualización del inventario de infraestructura vial.</w:t>
      </w:r>
    </w:p>
    <w:p w14:paraId="2B7274D6" w14:textId="77777777" w:rsidR="00694299" w:rsidRDefault="00654C21" w:rsidP="00437CCE">
      <w:pPr>
        <w:spacing w:before="240" w:after="0" w:line="240" w:lineRule="auto"/>
        <w:rPr>
          <w:rFonts w:asciiTheme="minorHAnsi" w:hAnsiTheme="minorHAnsi"/>
          <w:sz w:val="22"/>
        </w:rPr>
      </w:pPr>
      <w:r>
        <w:rPr>
          <w:lang w:val="es-ES"/>
        </w:rPr>
        <w:fldChar w:fldCharType="begin"/>
      </w:r>
      <w:r>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NOTAS_POR_CUENTA!F52C1:F54C6 </w:instrText>
      </w:r>
      <w:r>
        <w:rPr>
          <w:lang w:val="es-ES"/>
        </w:rPr>
        <w:instrText xml:space="preserve">\a \f 4 \h </w:instrText>
      </w:r>
      <w:r>
        <w:rPr>
          <w:lang w:val="es-ES"/>
        </w:rP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694299" w:rsidRPr="00694299" w14:paraId="2DFE15B5" w14:textId="77777777" w:rsidTr="00694299">
        <w:trPr>
          <w:divId w:val="1306160888"/>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1107C9F" w14:textId="726BC506" w:rsidR="00694299" w:rsidRPr="00694299" w:rsidRDefault="00694299" w:rsidP="00694299">
            <w:pPr>
              <w:spacing w:after="0" w:line="240" w:lineRule="auto"/>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089A3D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B608020"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020047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75950CE"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87DD26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0CCC82D1" w14:textId="77777777" w:rsidTr="00694299">
        <w:trPr>
          <w:divId w:val="1306160888"/>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07939B7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44C10957"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C901CE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FB1C30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192C53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56A4D6AD"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37217CC4" w14:textId="77777777" w:rsidTr="00694299">
        <w:trPr>
          <w:divId w:val="1306160888"/>
          <w:trHeight w:val="324"/>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1CC348D8"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1.2.5.05.</w:t>
            </w:r>
          </w:p>
        </w:tc>
        <w:tc>
          <w:tcPr>
            <w:tcW w:w="3320" w:type="dxa"/>
            <w:tcBorders>
              <w:top w:val="nil"/>
              <w:left w:val="nil"/>
              <w:bottom w:val="single" w:sz="8" w:space="0" w:color="auto"/>
              <w:right w:val="single" w:sz="8" w:space="0" w:color="auto"/>
            </w:tcBorders>
            <w:shd w:val="clear" w:color="auto" w:fill="auto"/>
            <w:vAlign w:val="center"/>
            <w:hideMark/>
          </w:tcPr>
          <w:p w14:paraId="0ACE53CC"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Bienes históricos y culturales</w:t>
            </w:r>
          </w:p>
        </w:tc>
        <w:tc>
          <w:tcPr>
            <w:tcW w:w="500" w:type="dxa"/>
            <w:tcBorders>
              <w:top w:val="nil"/>
              <w:left w:val="nil"/>
              <w:bottom w:val="single" w:sz="8" w:space="0" w:color="auto"/>
              <w:right w:val="single" w:sz="8" w:space="0" w:color="auto"/>
            </w:tcBorders>
            <w:shd w:val="clear" w:color="auto" w:fill="auto"/>
            <w:noWrap/>
            <w:vAlign w:val="center"/>
            <w:hideMark/>
          </w:tcPr>
          <w:p w14:paraId="28717DF8"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10</w:t>
            </w:r>
          </w:p>
        </w:tc>
        <w:tc>
          <w:tcPr>
            <w:tcW w:w="2160" w:type="dxa"/>
            <w:tcBorders>
              <w:top w:val="nil"/>
              <w:left w:val="nil"/>
              <w:bottom w:val="single" w:sz="8" w:space="0" w:color="auto"/>
              <w:right w:val="single" w:sz="8" w:space="0" w:color="auto"/>
            </w:tcBorders>
            <w:shd w:val="clear" w:color="auto" w:fill="auto"/>
            <w:noWrap/>
            <w:vAlign w:val="center"/>
            <w:hideMark/>
          </w:tcPr>
          <w:p w14:paraId="24FA6A2A"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35C78348"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42043992"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2C43D6AC" w14:textId="77777777" w:rsidR="00694299" w:rsidRPr="00694299" w:rsidRDefault="00654C21" w:rsidP="00694299">
      <w:pPr>
        <w:spacing w:before="240"/>
        <w:rPr>
          <w:b/>
          <w:lang w:val="es-ES"/>
        </w:rPr>
      </w:pPr>
      <w:r>
        <w:rPr>
          <w:b/>
          <w:lang w:val="es-ES"/>
        </w:rPr>
        <w:fldChar w:fldCharType="end"/>
      </w:r>
      <w:r w:rsidR="00692DC8" w:rsidRPr="0011777B">
        <w:rPr>
          <w:b/>
          <w:lang w:val="es-ES"/>
        </w:rPr>
        <w:t xml:space="preserve">Revelación: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NOTAS_POR_CUENTA!F54C8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6B391BE6" w14:textId="77777777" w:rsidR="00694299" w:rsidRPr="00694299" w:rsidRDefault="00694299" w:rsidP="00E4611E">
      <w:pPr>
        <w:spacing w:after="120" w:line="240" w:lineRule="auto"/>
        <w:rPr>
          <w:rFonts w:eastAsia="Times New Roman" w:cs="Calibri"/>
          <w:color w:val="000000"/>
          <w:lang w:eastAsia="es-CR"/>
        </w:rPr>
      </w:pPr>
      <w:r w:rsidRPr="00694299">
        <w:rPr>
          <w:rFonts w:eastAsia="Times New Roman" w:cs="Calibri"/>
          <w:color w:val="000000"/>
          <w:lang w:eastAsia="es-CR"/>
        </w:rPr>
        <w:t>La cuenta Bienes históricos y culturales, representa el 0,00% del total del Activo, que comparado al periodo anterior genera una variación absoluta de 0 000,00 que corresponde a un Aumento del 0,00% de recursos disponibles.</w:t>
      </w:r>
    </w:p>
    <w:p w14:paraId="10CE81E3" w14:textId="17DB9C30" w:rsidR="00692DC8" w:rsidRPr="00654C21" w:rsidRDefault="00654C21" w:rsidP="00E4611E">
      <w:pPr>
        <w:spacing w:after="0" w:line="240" w:lineRule="auto"/>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4D80829C" w14:textId="77777777" w:rsidR="00694299" w:rsidRDefault="00654C21" w:rsidP="00694299">
      <w:pPr>
        <w:spacing w:before="240"/>
        <w:rPr>
          <w:rFonts w:asciiTheme="minorHAnsi" w:hAnsiTheme="minorHAnsi"/>
          <w:sz w:val="22"/>
        </w:rPr>
      </w:pPr>
      <w:r>
        <w:rPr>
          <w:lang w:val="es-ES" w:eastAsia="es-CR"/>
        </w:rPr>
        <w:fldChar w:fldCharType="begin"/>
      </w:r>
      <w:r>
        <w:rPr>
          <w:lang w:val="es-ES" w:eastAsia="es-CR"/>
        </w:rPr>
        <w:instrText xml:space="preserve"> LINK </w:instrText>
      </w:r>
      <w:r w:rsidR="00323752">
        <w:rPr>
          <w:lang w:val="es-ES" w:eastAsia="es-CR"/>
        </w:rPr>
        <w:instrText xml:space="preserve">Excel.SheetMacroEnabled.12 "D:\\MORAVIA\\INSUMOS\\NOTAS 2024\\Formato_Notas_EEFF_Vinculadas_2024\\XXXXX_PXX_202X_Anexo_Estado_Notas_Contables_Vinculadas.xlsm" NOTAS_POR_CUENTA!F56C1:F58C6 </w:instrText>
      </w:r>
      <w:r>
        <w:rPr>
          <w:lang w:val="es-ES" w:eastAsia="es-CR"/>
        </w:rPr>
        <w:instrText xml:space="preserve">\a \f 4 \h </w:instrText>
      </w:r>
      <w:r>
        <w:rPr>
          <w:lang w:val="es-ES" w:eastAsia="es-CR"/>
        </w:rP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694299" w:rsidRPr="00694299" w14:paraId="1B24674E" w14:textId="77777777" w:rsidTr="00694299">
        <w:trPr>
          <w:divId w:val="1989936091"/>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A566A2B" w14:textId="18C80BFC" w:rsidR="00694299" w:rsidRPr="00694299" w:rsidRDefault="00694299" w:rsidP="00694299">
            <w:pPr>
              <w:spacing w:after="0" w:line="240" w:lineRule="auto"/>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033D63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FAE4A6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C6961B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1D716A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338BF43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2E46B593" w14:textId="77777777" w:rsidTr="00694299">
        <w:trPr>
          <w:divId w:val="1989936091"/>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5E9BE1D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1D33F26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CE68E6A"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3F2592A"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3538662"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6574D8C"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1A01C8DA" w14:textId="77777777" w:rsidTr="00694299">
        <w:trPr>
          <w:divId w:val="1989936091"/>
          <w:trHeight w:val="324"/>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69B08757"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1.2.5.06.</w:t>
            </w:r>
          </w:p>
        </w:tc>
        <w:tc>
          <w:tcPr>
            <w:tcW w:w="3320" w:type="dxa"/>
            <w:tcBorders>
              <w:top w:val="nil"/>
              <w:left w:val="nil"/>
              <w:bottom w:val="single" w:sz="8" w:space="0" w:color="auto"/>
              <w:right w:val="single" w:sz="8" w:space="0" w:color="auto"/>
            </w:tcBorders>
            <w:shd w:val="clear" w:color="auto" w:fill="auto"/>
            <w:vAlign w:val="center"/>
            <w:hideMark/>
          </w:tcPr>
          <w:p w14:paraId="344504A0"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Recursos naturales en explotación</w:t>
            </w:r>
          </w:p>
        </w:tc>
        <w:tc>
          <w:tcPr>
            <w:tcW w:w="500" w:type="dxa"/>
            <w:tcBorders>
              <w:top w:val="nil"/>
              <w:left w:val="nil"/>
              <w:bottom w:val="single" w:sz="8" w:space="0" w:color="auto"/>
              <w:right w:val="single" w:sz="8" w:space="0" w:color="auto"/>
            </w:tcBorders>
            <w:shd w:val="clear" w:color="auto" w:fill="auto"/>
            <w:noWrap/>
            <w:vAlign w:val="center"/>
            <w:hideMark/>
          </w:tcPr>
          <w:p w14:paraId="56CF36CE"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10</w:t>
            </w:r>
          </w:p>
        </w:tc>
        <w:tc>
          <w:tcPr>
            <w:tcW w:w="2160" w:type="dxa"/>
            <w:tcBorders>
              <w:top w:val="nil"/>
              <w:left w:val="nil"/>
              <w:bottom w:val="single" w:sz="8" w:space="0" w:color="auto"/>
              <w:right w:val="single" w:sz="8" w:space="0" w:color="auto"/>
            </w:tcBorders>
            <w:shd w:val="clear" w:color="auto" w:fill="auto"/>
            <w:noWrap/>
            <w:vAlign w:val="center"/>
            <w:hideMark/>
          </w:tcPr>
          <w:p w14:paraId="66765E04"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6601AFD8"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69C3DCFD"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0653F88A" w14:textId="77777777" w:rsidR="00694299" w:rsidRPr="00694299" w:rsidRDefault="00654C21" w:rsidP="00694299">
      <w:pPr>
        <w:spacing w:before="240"/>
        <w:rPr>
          <w:rFonts w:eastAsia="Times New Roman"/>
          <w:b/>
          <w:bCs/>
          <w:sz w:val="22"/>
          <w:lang w:val="es-ES" w:eastAsia="es-CR"/>
        </w:rPr>
      </w:pPr>
      <w:r>
        <w:rPr>
          <w:rFonts w:eastAsia="Times New Roman"/>
          <w:b/>
          <w:bCs/>
          <w:sz w:val="22"/>
          <w:lang w:val="es-ES" w:eastAsia="es-CR"/>
        </w:rPr>
        <w:fldChar w:fldCharType="end"/>
      </w:r>
      <w:r w:rsidR="00692DC8" w:rsidRPr="00692DC8">
        <w:rPr>
          <w:rFonts w:eastAsia="Times New Roman"/>
          <w:b/>
          <w:bCs/>
          <w:sz w:val="22"/>
          <w:lang w:val="es-ES" w:eastAsia="es-CR"/>
        </w:rPr>
        <w:t>Revelación</w:t>
      </w:r>
      <w:r w:rsidR="00692DC8" w:rsidRPr="00692DC8">
        <w:rPr>
          <w:rFonts w:eastAsia="Times New Roman"/>
          <w:sz w:val="22"/>
          <w:lang w:val="es-ES" w:eastAsia="es-CR"/>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NOTAS_POR_CUENTA!F58C8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1B439F21" w14:textId="77777777" w:rsidR="00694299" w:rsidRPr="00694299" w:rsidRDefault="00694299" w:rsidP="00E4611E">
      <w:pPr>
        <w:spacing w:after="120" w:line="240" w:lineRule="auto"/>
        <w:rPr>
          <w:rFonts w:eastAsia="Times New Roman" w:cs="Calibri"/>
          <w:color w:val="000000"/>
          <w:lang w:eastAsia="es-CR"/>
        </w:rPr>
      </w:pPr>
      <w:r w:rsidRPr="00694299">
        <w:rPr>
          <w:rFonts w:eastAsia="Times New Roman" w:cs="Calibri"/>
          <w:color w:val="000000"/>
          <w:lang w:eastAsia="es-CR"/>
        </w:rPr>
        <w:t>La cuenta Recursos naturales en explotación, representa el 0,00% del total del Activo, que comparado al periodo anterior genera una variación absoluta de 0 000,00 que corresponde a un Aumento del 0,00% de recursos disponibles.</w:t>
      </w:r>
    </w:p>
    <w:p w14:paraId="6F1D584B" w14:textId="61B18A7D" w:rsidR="00692DC8" w:rsidRPr="00692DC8" w:rsidRDefault="00654C21" w:rsidP="00654C21">
      <w:pPr>
        <w:rPr>
          <w:rFonts w:eastAsia="Times New Roman"/>
          <w:szCs w:val="24"/>
          <w:lang w:eastAsia="es-CR"/>
        </w:rPr>
      </w:pPr>
      <w:r>
        <w:rPr>
          <w:rFonts w:eastAsia="Times New Roman" w:cs="Calibri"/>
          <w:color w:val="000000"/>
          <w:lang w:eastAsia="es-CR"/>
        </w:rPr>
        <w:fldChar w:fldCharType="end"/>
      </w:r>
      <w:r w:rsidR="00692DC8" w:rsidRPr="00692DC8">
        <w:rPr>
          <w:rFonts w:eastAsia="Times New Roman"/>
          <w:sz w:val="22"/>
          <w:szCs w:val="24"/>
          <w:highlight w:val="lightGray"/>
          <w:lang w:eastAsia="es-CR"/>
        </w:rPr>
        <w:t>Las variaciones de la cuenta son producto de (Indicar la razón de las variaciones de un periodo a otro</w:t>
      </w:r>
      <w:r w:rsidR="00692DC8" w:rsidRPr="00692DC8">
        <w:rPr>
          <w:rFonts w:eastAsia="Times New Roman"/>
          <w:szCs w:val="24"/>
          <w:highlight w:val="lightGray"/>
          <w:lang w:eastAsia="es-CR"/>
        </w:rPr>
        <w:t>):</w:t>
      </w:r>
      <w:r w:rsidR="00692DC8" w:rsidRPr="00692DC8">
        <w:rPr>
          <w:rFonts w:eastAsia="Times New Roman"/>
          <w:szCs w:val="24"/>
          <w:lang w:eastAsia="es-CR"/>
        </w:rPr>
        <w:t xml:space="preserve"> </w:t>
      </w:r>
    </w:p>
    <w:p w14:paraId="239CFF10" w14:textId="77777777" w:rsidR="00694299" w:rsidRDefault="00654C21" w:rsidP="00694299">
      <w:pPr>
        <w:spacing w:before="240"/>
        <w:rPr>
          <w:rFonts w:asciiTheme="minorHAnsi" w:hAnsiTheme="minorHAnsi"/>
          <w:sz w:val="22"/>
        </w:rPr>
      </w:pPr>
      <w:r>
        <w:rPr>
          <w:lang w:val="es-ES"/>
        </w:rPr>
        <w:fldChar w:fldCharType="begin"/>
      </w:r>
      <w:r>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NOTAS_POR_CUENTA!F60C1:F62C6 </w:instrText>
      </w:r>
      <w:r>
        <w:rPr>
          <w:lang w:val="es-ES"/>
        </w:rPr>
        <w:instrText xml:space="preserve">\a \f 4 \h </w:instrText>
      </w:r>
      <w:r>
        <w:rPr>
          <w:lang w:val="es-ES"/>
        </w:rP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694299" w:rsidRPr="00694299" w14:paraId="5957D3E9" w14:textId="77777777" w:rsidTr="00694299">
        <w:trPr>
          <w:divId w:val="1996646019"/>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44DC3CB" w14:textId="6C0C015B" w:rsidR="00694299" w:rsidRPr="00694299" w:rsidRDefault="00694299" w:rsidP="00694299">
            <w:pPr>
              <w:spacing w:after="0" w:line="240" w:lineRule="auto"/>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65D1550"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C07A4B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C469D53"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C0E76C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1F0AE3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6FDEABF2" w14:textId="77777777" w:rsidTr="00694299">
        <w:trPr>
          <w:divId w:val="1996646019"/>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1969756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7DC8B4A5"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7C716C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BC28FDD"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215DF84"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C2C7058"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2C9AC51B" w14:textId="77777777" w:rsidTr="00694299">
        <w:trPr>
          <w:divId w:val="1996646019"/>
          <w:trHeight w:val="324"/>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4C775ACD"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1.2.5.07.</w:t>
            </w:r>
          </w:p>
        </w:tc>
        <w:tc>
          <w:tcPr>
            <w:tcW w:w="3320" w:type="dxa"/>
            <w:tcBorders>
              <w:top w:val="nil"/>
              <w:left w:val="nil"/>
              <w:bottom w:val="single" w:sz="8" w:space="0" w:color="auto"/>
              <w:right w:val="single" w:sz="8" w:space="0" w:color="auto"/>
            </w:tcBorders>
            <w:shd w:val="clear" w:color="auto" w:fill="auto"/>
            <w:vAlign w:val="center"/>
            <w:hideMark/>
          </w:tcPr>
          <w:p w14:paraId="19E335EE"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Recursos naturales en conservación</w:t>
            </w:r>
          </w:p>
        </w:tc>
        <w:tc>
          <w:tcPr>
            <w:tcW w:w="500" w:type="dxa"/>
            <w:tcBorders>
              <w:top w:val="nil"/>
              <w:left w:val="nil"/>
              <w:bottom w:val="single" w:sz="8" w:space="0" w:color="auto"/>
              <w:right w:val="single" w:sz="8" w:space="0" w:color="auto"/>
            </w:tcBorders>
            <w:shd w:val="clear" w:color="auto" w:fill="auto"/>
            <w:noWrap/>
            <w:vAlign w:val="center"/>
            <w:hideMark/>
          </w:tcPr>
          <w:p w14:paraId="3C989B91"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10</w:t>
            </w:r>
          </w:p>
        </w:tc>
        <w:tc>
          <w:tcPr>
            <w:tcW w:w="2160" w:type="dxa"/>
            <w:tcBorders>
              <w:top w:val="nil"/>
              <w:left w:val="nil"/>
              <w:bottom w:val="single" w:sz="8" w:space="0" w:color="auto"/>
              <w:right w:val="single" w:sz="8" w:space="0" w:color="auto"/>
            </w:tcBorders>
            <w:shd w:val="clear" w:color="auto" w:fill="auto"/>
            <w:noWrap/>
            <w:vAlign w:val="center"/>
            <w:hideMark/>
          </w:tcPr>
          <w:p w14:paraId="4594D4AE"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79AFEA3A"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6CB9BD29"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0AC879B3" w14:textId="77777777" w:rsidR="00694299" w:rsidRPr="00694299" w:rsidRDefault="00654C21"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NOTAS_POR_CUENTA!F62C8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0E5DE1E2" w14:textId="77777777" w:rsidR="00694299" w:rsidRPr="00694299" w:rsidRDefault="00694299" w:rsidP="00E4611E">
      <w:pPr>
        <w:spacing w:after="120" w:line="240" w:lineRule="auto"/>
        <w:rPr>
          <w:rFonts w:eastAsia="Times New Roman" w:cs="Calibri"/>
          <w:color w:val="000000"/>
          <w:lang w:eastAsia="es-CR"/>
        </w:rPr>
      </w:pPr>
      <w:r w:rsidRPr="00694299">
        <w:rPr>
          <w:rFonts w:eastAsia="Times New Roman" w:cs="Calibri"/>
          <w:color w:val="000000"/>
          <w:lang w:eastAsia="es-CR"/>
        </w:rPr>
        <w:t>La cuenta Recursos naturales en conservación, representa el 0,00% del total del Activo, que comparado al periodo anterior genera una variación absoluta de 0 000,00 que corresponde a un Aumento del 0,00% de recursos disponibles.</w:t>
      </w:r>
    </w:p>
    <w:p w14:paraId="7C0F5222" w14:textId="38303547" w:rsidR="00692DC8" w:rsidRPr="003421AB" w:rsidRDefault="00654C21" w:rsidP="00E4611E">
      <w:pPr>
        <w:spacing w:line="240" w:lineRule="auto"/>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58A620CE" w14:textId="77777777" w:rsidR="009E732C" w:rsidRDefault="009E732C" w:rsidP="004E036F">
      <w:pPr>
        <w:spacing w:after="0" w:line="240" w:lineRule="auto"/>
        <w:rPr>
          <w:lang w:val="es-ES"/>
        </w:rPr>
      </w:pPr>
    </w:p>
    <w:p w14:paraId="193681B3" w14:textId="77777777" w:rsidR="009E732C" w:rsidRDefault="009E732C" w:rsidP="004E036F">
      <w:pPr>
        <w:spacing w:after="0" w:line="240" w:lineRule="auto"/>
        <w:rPr>
          <w:lang w:val="es-ES"/>
        </w:rPr>
      </w:pPr>
    </w:p>
    <w:p w14:paraId="3DD1996A" w14:textId="3752B809" w:rsidR="00C572A3" w:rsidRDefault="001242F7" w:rsidP="004E036F">
      <w:pPr>
        <w:spacing w:after="0" w:line="240" w:lineRule="auto"/>
        <w:rPr>
          <w:rFonts w:asciiTheme="minorHAnsi" w:hAnsiTheme="minorHAnsi"/>
          <w:sz w:val="22"/>
        </w:rPr>
      </w:pPr>
      <w:r>
        <w:rPr>
          <w:lang w:val="es-ES"/>
        </w:rPr>
        <w:fldChar w:fldCharType="begin"/>
      </w:r>
      <w:r>
        <w:rPr>
          <w:lang w:val="es-ES"/>
        </w:rPr>
        <w:instrText xml:space="preserve"> LINK </w:instrText>
      </w:r>
      <w:r w:rsidR="0068177A">
        <w:rPr>
          <w:lang w:val="es-ES"/>
        </w:rPr>
        <w:instrText xml:space="preserve">Excel.SheetMacroEnabled.12 "C:\\Users\\arges\\OneDrive\\Desktop\\Municipalidades\\Buenos Aires\\Cierre Junio 2024\\Notas Contables\\15603_T02_2024_Anexo_Estado_Notas_Contables_Vinculadas.xlsm" NOTAS_POR_CUENTA!R64C1:R66C6 </w:instrText>
      </w:r>
      <w:r>
        <w:rPr>
          <w:lang w:val="es-ES"/>
        </w:rPr>
        <w:instrText xml:space="preserve">\a \f 4 \h </w:instrText>
      </w:r>
      <w:r>
        <w:rPr>
          <w:lang w:val="es-ES"/>
        </w:rPr>
        <w:fldChar w:fldCharType="separate"/>
      </w:r>
    </w:p>
    <w:tbl>
      <w:tblPr>
        <w:tblW w:w="10080" w:type="dxa"/>
        <w:tblLook w:val="04A0" w:firstRow="1" w:lastRow="0" w:firstColumn="1" w:lastColumn="0" w:noHBand="0" w:noVBand="1"/>
      </w:tblPr>
      <w:tblGrid>
        <w:gridCol w:w="791"/>
        <w:gridCol w:w="3265"/>
        <w:gridCol w:w="544"/>
        <w:gridCol w:w="2200"/>
        <w:gridCol w:w="2200"/>
        <w:gridCol w:w="1080"/>
      </w:tblGrid>
      <w:tr w:rsidR="00C572A3" w:rsidRPr="00C572A3" w14:paraId="4A781921" w14:textId="77777777" w:rsidTr="00C572A3">
        <w:trPr>
          <w:divId w:val="681593412"/>
          <w:trHeight w:val="320"/>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01957EE" w14:textId="7D36E3E4" w:rsidR="00C572A3" w:rsidRPr="00C572A3" w:rsidRDefault="00C572A3" w:rsidP="00C572A3">
            <w:pPr>
              <w:spacing w:after="0" w:line="240" w:lineRule="auto"/>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74F0C44"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Descripción</w:t>
            </w:r>
          </w:p>
        </w:tc>
        <w:tc>
          <w:tcPr>
            <w:tcW w:w="5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E967F7F"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Nota</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EA5E91A"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Actual </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DEC6C99"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Anterior </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720F27D5"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Diferencia </w:t>
            </w:r>
          </w:p>
        </w:tc>
      </w:tr>
      <w:tr w:rsidR="00C572A3" w:rsidRPr="00C572A3" w14:paraId="1F6BBA2C" w14:textId="77777777" w:rsidTr="00C572A3">
        <w:trPr>
          <w:divId w:val="681593412"/>
          <w:trHeight w:val="320"/>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7C68DF7A"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5E523904"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14:paraId="1362254C"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373D9C18"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519A0322"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1080" w:type="dxa"/>
            <w:tcBorders>
              <w:top w:val="nil"/>
              <w:left w:val="nil"/>
              <w:bottom w:val="single" w:sz="8" w:space="0" w:color="auto"/>
              <w:right w:val="single" w:sz="8" w:space="0" w:color="auto"/>
            </w:tcBorders>
            <w:shd w:val="clear" w:color="000000" w:fill="366092"/>
            <w:noWrap/>
            <w:vAlign w:val="center"/>
            <w:hideMark/>
          </w:tcPr>
          <w:p w14:paraId="1C7714F5" w14:textId="77777777" w:rsidR="00C572A3" w:rsidRPr="00C572A3" w:rsidRDefault="00C572A3" w:rsidP="00C572A3">
            <w:pPr>
              <w:spacing w:after="0" w:line="240" w:lineRule="auto"/>
              <w:jc w:val="center"/>
              <w:rPr>
                <w:rFonts w:eastAsia="Times New Roman" w:cs="Calibri"/>
                <w:color w:val="FFFFFF"/>
                <w:sz w:val="18"/>
                <w:szCs w:val="18"/>
                <w:lang w:val="en-US"/>
              </w:rPr>
            </w:pPr>
            <w:r w:rsidRPr="00C572A3">
              <w:rPr>
                <w:rFonts w:eastAsia="Times New Roman" w:cs="Calibri"/>
                <w:color w:val="FFFFFF"/>
                <w:sz w:val="18"/>
                <w:szCs w:val="18"/>
                <w:lang w:val="en-US"/>
              </w:rPr>
              <w:t>%</w:t>
            </w:r>
          </w:p>
        </w:tc>
      </w:tr>
      <w:tr w:rsidR="00C572A3" w:rsidRPr="00C572A3" w14:paraId="4B2F00C0" w14:textId="77777777" w:rsidTr="00C572A3">
        <w:trPr>
          <w:divId w:val="681593412"/>
          <w:trHeight w:val="320"/>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02D1E22F" w14:textId="77777777" w:rsidR="00C572A3" w:rsidRPr="00C572A3" w:rsidRDefault="00C572A3" w:rsidP="00C572A3">
            <w:pPr>
              <w:spacing w:after="0" w:line="240" w:lineRule="auto"/>
              <w:jc w:val="left"/>
              <w:rPr>
                <w:rFonts w:eastAsia="Times New Roman" w:cs="Calibri"/>
                <w:b/>
                <w:bCs/>
                <w:color w:val="000000"/>
                <w:sz w:val="18"/>
                <w:szCs w:val="18"/>
                <w:lang w:val="en-US"/>
              </w:rPr>
            </w:pPr>
            <w:r w:rsidRPr="00C572A3">
              <w:rPr>
                <w:rFonts w:eastAsia="Times New Roman" w:cs="Calibri"/>
                <w:b/>
                <w:bCs/>
                <w:color w:val="000000"/>
                <w:sz w:val="18"/>
                <w:szCs w:val="18"/>
                <w:lang w:val="en-US"/>
              </w:rPr>
              <w:t>1.2.5.08.</w:t>
            </w:r>
          </w:p>
        </w:tc>
        <w:tc>
          <w:tcPr>
            <w:tcW w:w="3380" w:type="dxa"/>
            <w:tcBorders>
              <w:top w:val="nil"/>
              <w:left w:val="nil"/>
              <w:bottom w:val="single" w:sz="8" w:space="0" w:color="auto"/>
              <w:right w:val="single" w:sz="8" w:space="0" w:color="auto"/>
            </w:tcBorders>
            <w:shd w:val="clear" w:color="auto" w:fill="auto"/>
            <w:vAlign w:val="center"/>
            <w:hideMark/>
          </w:tcPr>
          <w:p w14:paraId="48DEE164" w14:textId="77777777" w:rsidR="00C572A3" w:rsidRPr="00C572A3" w:rsidRDefault="00C572A3" w:rsidP="00C572A3">
            <w:pPr>
              <w:spacing w:after="0" w:line="240" w:lineRule="auto"/>
              <w:jc w:val="left"/>
              <w:rPr>
                <w:rFonts w:eastAsia="Times New Roman" w:cs="Calibri"/>
                <w:b/>
                <w:bCs/>
                <w:color w:val="000000"/>
                <w:sz w:val="18"/>
                <w:szCs w:val="18"/>
                <w:lang w:val="en-US"/>
              </w:rPr>
            </w:pPr>
            <w:r w:rsidRPr="00C572A3">
              <w:rPr>
                <w:rFonts w:eastAsia="Times New Roman" w:cs="Calibri"/>
                <w:b/>
                <w:bCs/>
                <w:color w:val="000000"/>
                <w:sz w:val="18"/>
                <w:szCs w:val="18"/>
                <w:lang w:val="en-US"/>
              </w:rPr>
              <w:t>Bienes intangibles no concesionados</w:t>
            </w:r>
          </w:p>
        </w:tc>
        <w:tc>
          <w:tcPr>
            <w:tcW w:w="520" w:type="dxa"/>
            <w:tcBorders>
              <w:top w:val="nil"/>
              <w:left w:val="nil"/>
              <w:bottom w:val="single" w:sz="8" w:space="0" w:color="auto"/>
              <w:right w:val="single" w:sz="8" w:space="0" w:color="auto"/>
            </w:tcBorders>
            <w:shd w:val="clear" w:color="auto" w:fill="auto"/>
            <w:noWrap/>
            <w:vAlign w:val="center"/>
            <w:hideMark/>
          </w:tcPr>
          <w:p w14:paraId="29799BA3"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10</w:t>
            </w:r>
          </w:p>
        </w:tc>
        <w:tc>
          <w:tcPr>
            <w:tcW w:w="2200" w:type="dxa"/>
            <w:tcBorders>
              <w:top w:val="nil"/>
              <w:left w:val="nil"/>
              <w:bottom w:val="single" w:sz="8" w:space="0" w:color="auto"/>
              <w:right w:val="single" w:sz="8" w:space="0" w:color="auto"/>
            </w:tcBorders>
            <w:shd w:val="clear" w:color="auto" w:fill="auto"/>
            <w:noWrap/>
            <w:vAlign w:val="center"/>
            <w:hideMark/>
          </w:tcPr>
          <w:p w14:paraId="395492AF"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3 474,77 </w:t>
            </w:r>
          </w:p>
        </w:tc>
        <w:tc>
          <w:tcPr>
            <w:tcW w:w="2200" w:type="dxa"/>
            <w:tcBorders>
              <w:top w:val="nil"/>
              <w:left w:val="nil"/>
              <w:bottom w:val="single" w:sz="8" w:space="0" w:color="auto"/>
              <w:right w:val="single" w:sz="8" w:space="0" w:color="auto"/>
            </w:tcBorders>
            <w:shd w:val="clear" w:color="auto" w:fill="auto"/>
            <w:noWrap/>
            <w:vAlign w:val="center"/>
            <w:hideMark/>
          </w:tcPr>
          <w:p w14:paraId="7C8C0E93"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7 987,29 </w:t>
            </w:r>
          </w:p>
        </w:tc>
        <w:tc>
          <w:tcPr>
            <w:tcW w:w="1080" w:type="dxa"/>
            <w:tcBorders>
              <w:top w:val="nil"/>
              <w:left w:val="nil"/>
              <w:bottom w:val="single" w:sz="8" w:space="0" w:color="auto"/>
              <w:right w:val="single" w:sz="8" w:space="0" w:color="auto"/>
            </w:tcBorders>
            <w:shd w:val="clear" w:color="auto" w:fill="auto"/>
            <w:noWrap/>
            <w:vAlign w:val="center"/>
            <w:hideMark/>
          </w:tcPr>
          <w:p w14:paraId="241816CA"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-56,50%</w:t>
            </w:r>
          </w:p>
        </w:tc>
      </w:tr>
    </w:tbl>
    <w:p w14:paraId="5BC4E47A" w14:textId="6C9B47F3" w:rsidR="00D24B8A" w:rsidRDefault="001242F7" w:rsidP="004E036F">
      <w:pPr>
        <w:spacing w:after="0" w:line="240" w:lineRule="auto"/>
        <w:rPr>
          <w:b/>
          <w:lang w:val="es-ES"/>
        </w:rPr>
      </w:pPr>
      <w:r>
        <w:rPr>
          <w:b/>
          <w:lang w:val="es-ES"/>
        </w:rPr>
        <w:fldChar w:fldCharType="end"/>
      </w:r>
    </w:p>
    <w:p w14:paraId="5E31BE99" w14:textId="70F40021" w:rsidR="004E036F" w:rsidRDefault="004E036F" w:rsidP="00D24B8A">
      <w:pPr>
        <w:spacing w:after="120"/>
        <w:rPr>
          <w:b/>
          <w:lang w:val="es-ES"/>
        </w:rPr>
      </w:pPr>
      <w:r>
        <w:rPr>
          <w:b/>
          <w:lang w:val="es-ES"/>
        </w:rPr>
        <w:t>Reconocimiento de los activos</w:t>
      </w:r>
    </w:p>
    <w:p w14:paraId="205C2E71" w14:textId="6F8FA1E0" w:rsidR="004E036F" w:rsidRDefault="004E036F" w:rsidP="004E036F">
      <w:pPr>
        <w:spacing w:after="120" w:line="240" w:lineRule="auto"/>
        <w:rPr>
          <w:lang w:val="es-ES"/>
        </w:rPr>
      </w:pPr>
      <w:r w:rsidRPr="004E036F">
        <w:rPr>
          <w:lang w:val="es-ES"/>
        </w:rPr>
        <w:t xml:space="preserve">Los activos que se reconocen como activos intangibles son aquellos adquiridos de los cuales se espera fluya un potencial de servicio </w:t>
      </w:r>
      <w:r>
        <w:rPr>
          <w:lang w:val="es-ES"/>
        </w:rPr>
        <w:t>en la operativa normal de</w:t>
      </w:r>
      <w:r w:rsidRPr="004E036F">
        <w:rPr>
          <w:lang w:val="es-ES"/>
        </w:rPr>
        <w:t xml:space="preserve"> la Municipalidad.</w:t>
      </w:r>
    </w:p>
    <w:p w14:paraId="50AB48C9" w14:textId="77777777" w:rsidR="004E036F" w:rsidRPr="004E036F" w:rsidRDefault="004E036F" w:rsidP="004E036F">
      <w:pPr>
        <w:spacing w:after="0" w:line="240" w:lineRule="auto"/>
        <w:rPr>
          <w:lang w:val="es-ES"/>
        </w:rPr>
      </w:pPr>
    </w:p>
    <w:p w14:paraId="494BDDEE" w14:textId="62B6F830" w:rsidR="00D24B8A" w:rsidRPr="00194908" w:rsidRDefault="00D24B8A" w:rsidP="00D24B8A">
      <w:pPr>
        <w:spacing w:after="120"/>
        <w:rPr>
          <w:b/>
          <w:bCs/>
          <w:lang w:val="es-ES"/>
        </w:rPr>
      </w:pPr>
      <w:r w:rsidRPr="00194908">
        <w:rPr>
          <w:b/>
          <w:bCs/>
          <w:lang w:val="es-ES"/>
        </w:rPr>
        <w:t>Método de Costo:</w:t>
      </w:r>
    </w:p>
    <w:p w14:paraId="4076E4D2" w14:textId="77777777" w:rsidR="00D24B8A" w:rsidRDefault="00D24B8A" w:rsidP="00D24B8A">
      <w:pPr>
        <w:spacing w:after="0" w:line="240" w:lineRule="auto"/>
        <w:rPr>
          <w:lang w:val="es-ES"/>
        </w:rPr>
      </w:pPr>
      <w:r w:rsidRPr="00194908">
        <w:rPr>
          <w:lang w:val="es-ES"/>
        </w:rPr>
        <w:t>Hay que reiterar que la Municipalidad utiliza el Método de Costo para el registro de los activos. Este método implica que emplea el costo histórico en aquellos casos que se cuente con información fiable, y en los casos que no se cuente con información confiable se les atribuye un valor a los activos establecido por un experto en la materia con capacidad para establecer el valor utilizado, esto con base en lo establecido en la NICSP 31 y NICSP 33.</w:t>
      </w:r>
    </w:p>
    <w:p w14:paraId="7E8DC295" w14:textId="1C533DCF" w:rsidR="00D24B8A" w:rsidRPr="00194908" w:rsidRDefault="00D24B8A" w:rsidP="00D24B8A">
      <w:pPr>
        <w:spacing w:after="0" w:line="240" w:lineRule="auto"/>
        <w:rPr>
          <w:lang w:val="es-ES"/>
        </w:rPr>
      </w:pPr>
      <w:r w:rsidRPr="00194908">
        <w:rPr>
          <w:lang w:val="es-ES"/>
        </w:rPr>
        <w:t xml:space="preserve"> </w:t>
      </w:r>
    </w:p>
    <w:p w14:paraId="1F6EC724" w14:textId="77777777" w:rsidR="00D24B8A" w:rsidRDefault="00D24B8A" w:rsidP="00D24B8A">
      <w:pPr>
        <w:spacing w:after="0" w:line="240" w:lineRule="auto"/>
        <w:rPr>
          <w:rFonts w:cs="Arial"/>
          <w:lang w:val="es-ES" w:eastAsia="es-CR"/>
        </w:rPr>
      </w:pPr>
      <w:r w:rsidRPr="00194908">
        <w:rPr>
          <w:rFonts w:cs="Arial"/>
          <w:lang w:val="es-ES" w:eastAsia="es-CR"/>
        </w:rPr>
        <w:t>Los activos de esta clase nuevos se registran conforme lo establece la NICSP 31, considerando todos los costos atribuibles para que el bien pueda operar de la forma prevista y cualquier otra obligación en que se incurra atribuible a la adquisición del bien como los intereses pagados durante el periodo de construcción, en caso de que los mismos sean financiados con un préstamo, tal como los establece la NICSP 5 “Costos por Préstamos”.</w:t>
      </w:r>
    </w:p>
    <w:p w14:paraId="1068D61E" w14:textId="77777777" w:rsidR="00D24B8A" w:rsidRPr="00194908" w:rsidRDefault="00D24B8A" w:rsidP="00D24B8A">
      <w:pPr>
        <w:spacing w:after="0" w:line="240" w:lineRule="auto"/>
        <w:rPr>
          <w:rFonts w:cs="Arial"/>
          <w:lang w:val="es-ES" w:eastAsia="es-CR"/>
        </w:rPr>
      </w:pPr>
    </w:p>
    <w:p w14:paraId="77DA710A" w14:textId="0A82E83D" w:rsidR="00D24B8A" w:rsidRDefault="00D24B8A" w:rsidP="00D24B8A">
      <w:pPr>
        <w:spacing w:after="0" w:line="240" w:lineRule="auto"/>
        <w:rPr>
          <w:b/>
          <w:bCs/>
          <w:lang w:val="es-ES"/>
        </w:rPr>
      </w:pPr>
      <w:r w:rsidRPr="00194908">
        <w:rPr>
          <w:b/>
          <w:bCs/>
          <w:lang w:val="es-ES"/>
        </w:rPr>
        <w:t>Método de Depreciación</w:t>
      </w:r>
    </w:p>
    <w:p w14:paraId="2F67725E" w14:textId="77777777" w:rsidR="00D24B8A" w:rsidRPr="00194908" w:rsidRDefault="00D24B8A" w:rsidP="00D24B8A">
      <w:pPr>
        <w:spacing w:after="0" w:line="240" w:lineRule="auto"/>
        <w:rPr>
          <w:b/>
          <w:bCs/>
          <w:lang w:val="es-ES"/>
        </w:rPr>
      </w:pPr>
    </w:p>
    <w:p w14:paraId="122F78FB" w14:textId="57393266" w:rsidR="00D24B8A" w:rsidRDefault="00D24B8A" w:rsidP="00D24B8A">
      <w:pPr>
        <w:spacing w:after="0" w:line="240" w:lineRule="auto"/>
        <w:rPr>
          <w:rFonts w:cs="Arial"/>
          <w:lang w:val="es-ES" w:eastAsia="es-CR"/>
        </w:rPr>
      </w:pPr>
      <w:r w:rsidRPr="00194908">
        <w:rPr>
          <w:rFonts w:cs="Arial"/>
          <w:lang w:val="es-ES" w:eastAsia="es-CR"/>
        </w:rPr>
        <w:t xml:space="preserve">Los activos intangibles se clasifican en activos de vida indefinida y activos de vida definida, los activos de vida </w:t>
      </w:r>
      <w:r>
        <w:rPr>
          <w:rFonts w:cs="Arial"/>
          <w:lang w:val="es-ES" w:eastAsia="es-CR"/>
        </w:rPr>
        <w:t xml:space="preserve">indefinida no son objeto de amortización, los de vida </w:t>
      </w:r>
      <w:r w:rsidRPr="00194908">
        <w:rPr>
          <w:rFonts w:cs="Arial"/>
          <w:lang w:val="es-ES" w:eastAsia="es-CR"/>
        </w:rPr>
        <w:t xml:space="preserve">definida se </w:t>
      </w:r>
      <w:r>
        <w:rPr>
          <w:rFonts w:cs="Arial"/>
          <w:lang w:val="es-ES" w:eastAsia="es-CR"/>
        </w:rPr>
        <w:t>amortizan</w:t>
      </w:r>
      <w:r w:rsidRPr="00194908">
        <w:rPr>
          <w:rFonts w:cs="Arial"/>
          <w:lang w:val="es-ES" w:eastAsia="es-CR"/>
        </w:rPr>
        <w:t xml:space="preserve"> por el método de Línea Recta, según lo establece la Dirección General de contabilidad Nacional (DGCN), distribuyendo su costo durante su vida útil, la cual se establece conforme lo establecido por la NICSP 31 y la DGCN.</w:t>
      </w:r>
    </w:p>
    <w:p w14:paraId="6F07A8E3" w14:textId="77777777" w:rsidR="004E036F" w:rsidRDefault="004E036F" w:rsidP="00D24B8A">
      <w:pPr>
        <w:spacing w:after="0" w:line="240" w:lineRule="auto"/>
        <w:rPr>
          <w:rFonts w:cs="Arial"/>
          <w:lang w:val="es-ES" w:eastAsia="es-CR"/>
        </w:rPr>
      </w:pPr>
    </w:p>
    <w:p w14:paraId="424101D6" w14:textId="77777777" w:rsidR="00D24B8A" w:rsidRDefault="00D24B8A" w:rsidP="00D24B8A">
      <w:pPr>
        <w:spacing w:after="0" w:line="240" w:lineRule="auto"/>
        <w:rPr>
          <w:b/>
          <w:bCs/>
          <w:lang w:val="es-ES"/>
        </w:rPr>
      </w:pPr>
      <w:r w:rsidRPr="00194908">
        <w:rPr>
          <w:b/>
          <w:bCs/>
          <w:lang w:val="es-ES"/>
        </w:rPr>
        <w:t>Deterioro de los activos</w:t>
      </w:r>
    </w:p>
    <w:p w14:paraId="1967CA1E" w14:textId="77777777" w:rsidR="00D24B8A" w:rsidRPr="00194908" w:rsidRDefault="00D24B8A" w:rsidP="00D24B8A">
      <w:pPr>
        <w:spacing w:after="0" w:line="240" w:lineRule="auto"/>
        <w:rPr>
          <w:b/>
          <w:bCs/>
          <w:lang w:val="es-ES"/>
        </w:rPr>
      </w:pPr>
    </w:p>
    <w:p w14:paraId="52F0419D" w14:textId="77777777" w:rsidR="00D24B8A" w:rsidRDefault="00D24B8A" w:rsidP="00D24B8A">
      <w:pPr>
        <w:spacing w:after="0" w:line="240" w:lineRule="auto"/>
        <w:rPr>
          <w:rFonts w:eastAsiaTheme="minorEastAsia" w:cs="Arial Narrow"/>
          <w:color w:val="000000"/>
          <w:lang w:eastAsia="es-CR"/>
        </w:rPr>
      </w:pPr>
      <w:r w:rsidRPr="00194908">
        <w:rPr>
          <w:rFonts w:eastAsiaTheme="minorEastAsia" w:cs="Arial Narrow"/>
          <w:b/>
          <w:bCs/>
          <w:color w:val="000000"/>
          <w:sz w:val="22"/>
          <w:lang w:eastAsia="es-CR"/>
        </w:rPr>
        <w:t xml:space="preserve"> </w:t>
      </w:r>
      <w:r w:rsidRPr="00194908">
        <w:rPr>
          <w:rFonts w:eastAsiaTheme="minorEastAsia" w:cs="Arial Narrow"/>
          <w:color w:val="000000"/>
          <w:lang w:eastAsia="es-CR"/>
        </w:rPr>
        <w:t>La Municipalidad revisará en cada fecha de presentación de EEFF los activos para valorar si se ha presentado cualquier deterioro en algún (nos) activo (s) y en caso de que se haya presentado deterioro estimar la cantidad de servicios recuperable (para los activos que no general efectivo), en relación con los activos generadores de efectivo en cada fecha de presentación de EEFF se revisará si el valor en libros excede el valor recuperable con base en un indicador para establecer la cantidad recuperable del activo. En caso de activos intangibles con vida útil indefinida o que todavía no esté disponible para uso, comparará trimestralmente el valor en libros con la cantidad recuperable.</w:t>
      </w:r>
    </w:p>
    <w:p w14:paraId="49F24FAE" w14:textId="77777777" w:rsidR="00D24B8A" w:rsidRDefault="00D24B8A" w:rsidP="00D24B8A">
      <w:pPr>
        <w:spacing w:after="0" w:line="240" w:lineRule="auto"/>
        <w:rPr>
          <w:rFonts w:eastAsiaTheme="minorEastAsia" w:cs="Arial Narrow"/>
          <w:color w:val="000000"/>
          <w:lang w:eastAsia="es-CR"/>
        </w:rPr>
      </w:pPr>
    </w:p>
    <w:p w14:paraId="6BA35899" w14:textId="77777777" w:rsidR="009E732C" w:rsidRDefault="00692DC8" w:rsidP="009E732C">
      <w:pPr>
        <w:spacing w:after="0" w:line="240" w:lineRule="auto"/>
        <w:rPr>
          <w:b/>
          <w:lang w:val="es-ES"/>
        </w:rPr>
      </w:pPr>
      <w:r w:rsidRPr="001E78C3">
        <w:rPr>
          <w:b/>
          <w:lang w:val="es-ES"/>
        </w:rPr>
        <w:t>Revelación:</w:t>
      </w:r>
    </w:p>
    <w:p w14:paraId="54B7416B" w14:textId="3F063170" w:rsidR="00694299" w:rsidRPr="00694299" w:rsidRDefault="00654C21" w:rsidP="009E732C">
      <w:pPr>
        <w:spacing w:after="0" w:line="240" w:lineRule="auto"/>
        <w:rPr>
          <w:b/>
          <w:lang w:val="es-ES"/>
        </w:rPr>
      </w:pP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NOTAS_POR_CUENTA!F66C8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160690A9" w14:textId="32C12975" w:rsidR="00694299" w:rsidRPr="00E4611E" w:rsidRDefault="00694299" w:rsidP="00E4611E">
      <w:pPr>
        <w:spacing w:line="240" w:lineRule="auto"/>
        <w:rPr>
          <w:rFonts w:eastAsia="Times New Roman" w:cs="Calibri"/>
          <w:sz w:val="20"/>
          <w:szCs w:val="20"/>
        </w:rPr>
      </w:pPr>
      <w:r w:rsidRPr="00694299">
        <w:rPr>
          <w:rFonts w:eastAsia="Times New Roman" w:cs="Calibri"/>
          <w:color w:val="000000"/>
          <w:lang w:eastAsia="es-CR"/>
        </w:rPr>
        <w:t xml:space="preserve">La cuenta Bienes intangibles no concesionados, representa el 0,00% del total del Activo, que comparado al periodo anterior genera una variación absoluta de </w:t>
      </w:r>
      <w:r w:rsidR="00E4611E" w:rsidRPr="00E4611E">
        <w:rPr>
          <w:rFonts w:eastAsia="Times New Roman" w:cs="Calibri"/>
          <w:color w:val="000000"/>
          <w:lang w:eastAsia="es-CR"/>
        </w:rPr>
        <w:t>-4 512,52</w:t>
      </w:r>
      <w:r w:rsidRPr="00694299">
        <w:rPr>
          <w:rFonts w:eastAsia="Times New Roman" w:cs="Calibri"/>
          <w:color w:val="000000"/>
          <w:lang w:eastAsia="es-CR"/>
        </w:rPr>
        <w:t xml:space="preserve"> que corresponde a un Disminución del </w:t>
      </w:r>
      <w:r w:rsidR="00E4611E">
        <w:rPr>
          <w:rFonts w:eastAsia="Times New Roman" w:cs="Calibri"/>
          <w:color w:val="000000"/>
          <w:lang w:eastAsia="es-CR"/>
        </w:rPr>
        <w:t>-56</w:t>
      </w:r>
      <w:r w:rsidRPr="00694299">
        <w:rPr>
          <w:rFonts w:eastAsia="Times New Roman" w:cs="Calibri"/>
          <w:color w:val="000000"/>
          <w:lang w:eastAsia="es-CR"/>
        </w:rPr>
        <w:t>,5</w:t>
      </w:r>
      <w:r w:rsidR="00E4611E">
        <w:rPr>
          <w:rFonts w:eastAsia="Times New Roman" w:cs="Calibri"/>
          <w:color w:val="000000"/>
          <w:lang w:eastAsia="es-CR"/>
        </w:rPr>
        <w:t>0</w:t>
      </w:r>
      <w:r w:rsidRPr="00694299">
        <w:rPr>
          <w:rFonts w:eastAsia="Times New Roman" w:cs="Calibri"/>
          <w:color w:val="000000"/>
          <w:lang w:eastAsia="es-CR"/>
        </w:rPr>
        <w:t>% de recursos disponibles.</w:t>
      </w:r>
    </w:p>
    <w:p w14:paraId="6B01845D" w14:textId="1A506C90" w:rsidR="00692DC8" w:rsidRDefault="00654C21" w:rsidP="00654C21">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3B9CC156" w14:textId="77777777" w:rsidR="009E732C" w:rsidRDefault="009E732C" w:rsidP="009E732C">
      <w:pPr>
        <w:spacing w:after="0" w:line="240" w:lineRule="auto"/>
      </w:pPr>
      <w:r>
        <w:t>Conforme lo indicado por la Encargada del Departamento de TIC de la Municipalidad, e</w:t>
      </w:r>
      <w:r w:rsidRPr="00194908">
        <w:t xml:space="preserve">l detalle de esos </w:t>
      </w:r>
      <w:r>
        <w:t xml:space="preserve">activos intangibles al cierre de estos estados financieros </w:t>
      </w:r>
      <w:r w:rsidRPr="00194908">
        <w:t>es el que se muestra a continuación:</w:t>
      </w:r>
    </w:p>
    <w:p w14:paraId="4E4CFAB0" w14:textId="77777777" w:rsidR="009E732C" w:rsidRDefault="009E732C" w:rsidP="009E732C">
      <w:pPr>
        <w:spacing w:after="0" w:line="240" w:lineRule="auto"/>
      </w:pPr>
    </w:p>
    <w:p w14:paraId="2D0322CE" w14:textId="78920FE2" w:rsidR="00692DC8" w:rsidRPr="00692DC8" w:rsidRDefault="00437CCE" w:rsidP="009E732C">
      <w:pPr>
        <w:spacing w:after="0" w:line="240" w:lineRule="auto"/>
        <w:rPr>
          <w:sz w:val="20"/>
          <w:szCs w:val="20"/>
          <w:lang w:eastAsia="es-CR"/>
        </w:rPr>
      </w:pPr>
      <w:r w:rsidRPr="00437CCE">
        <w:rPr>
          <w:noProof/>
          <w:lang w:eastAsia="es-CR"/>
        </w:rPr>
        <w:drawing>
          <wp:inline distT="0" distB="0" distL="0" distR="0" wp14:anchorId="79F49A10" wp14:editId="419F0D2D">
            <wp:extent cx="6172347" cy="844062"/>
            <wp:effectExtent l="0" t="0" r="0" b="0"/>
            <wp:docPr id="12526137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47425" cy="854329"/>
                    </a:xfrm>
                    <a:prstGeom prst="rect">
                      <a:avLst/>
                    </a:prstGeom>
                    <a:noFill/>
                    <a:ln>
                      <a:noFill/>
                    </a:ln>
                  </pic:spPr>
                </pic:pic>
              </a:graphicData>
            </a:graphic>
          </wp:inline>
        </w:drawing>
      </w:r>
    </w:p>
    <w:p w14:paraId="697FB105" w14:textId="77777777" w:rsidR="004E036F" w:rsidRDefault="004E036F" w:rsidP="004E036F">
      <w:pPr>
        <w:spacing w:after="0" w:line="240" w:lineRule="auto"/>
      </w:pPr>
    </w:p>
    <w:p w14:paraId="5BC85D07" w14:textId="7A3A0601" w:rsidR="00D24B8A" w:rsidRPr="00D24B8A" w:rsidRDefault="004E036F" w:rsidP="004C7B8C">
      <w:pPr>
        <w:spacing w:after="0" w:line="240" w:lineRule="auto"/>
      </w:pPr>
      <w:r>
        <w:t>Cabe señalar</w:t>
      </w:r>
      <w:r w:rsidR="009E732C">
        <w:t>,</w:t>
      </w:r>
      <w:r>
        <w:t xml:space="preserve"> que todos los anteriores activos son de vida útil indefinida por lo que no se deprecian de acuerdo con lo establecido en la NICSP 31.</w:t>
      </w:r>
    </w:p>
    <w:p w14:paraId="247EBDBE" w14:textId="77777777" w:rsidR="004E036F" w:rsidRPr="009E732C" w:rsidRDefault="004E036F" w:rsidP="004C7B8C">
      <w:pPr>
        <w:spacing w:after="0" w:line="240" w:lineRule="auto"/>
      </w:pPr>
    </w:p>
    <w:tbl>
      <w:tblPr>
        <w:tblW w:w="9049" w:type="dxa"/>
        <w:tblLook w:val="04A0" w:firstRow="1" w:lastRow="0" w:firstColumn="1" w:lastColumn="0" w:noHBand="0" w:noVBand="1"/>
      </w:tblPr>
      <w:tblGrid>
        <w:gridCol w:w="1000"/>
        <w:gridCol w:w="6646"/>
        <w:gridCol w:w="1181"/>
        <w:gridCol w:w="222"/>
      </w:tblGrid>
      <w:tr w:rsidR="004C7B8C" w:rsidRPr="004C7B8C" w14:paraId="07F8F774" w14:textId="77777777" w:rsidTr="004C7B8C">
        <w:trPr>
          <w:gridAfter w:val="1"/>
          <w:wAfter w:w="222" w:type="dxa"/>
          <w:trHeight w:val="64"/>
        </w:trPr>
        <w:tc>
          <w:tcPr>
            <w:tcW w:w="8827" w:type="dxa"/>
            <w:gridSpan w:val="3"/>
            <w:tcBorders>
              <w:top w:val="single" w:sz="4" w:space="0" w:color="auto"/>
              <w:left w:val="single" w:sz="4" w:space="0" w:color="auto"/>
              <w:bottom w:val="single" w:sz="4" w:space="0" w:color="auto"/>
              <w:right w:val="single" w:sz="4" w:space="0" w:color="auto"/>
            </w:tcBorders>
            <w:shd w:val="clear" w:color="000000" w:fill="305496"/>
            <w:vAlign w:val="center"/>
            <w:hideMark/>
          </w:tcPr>
          <w:p w14:paraId="5AC85E98" w14:textId="53E1DEBC" w:rsidR="004C7B8C" w:rsidRPr="004C7B8C" w:rsidRDefault="004C7B8C" w:rsidP="004C7B8C">
            <w:pPr>
              <w:spacing w:before="60" w:after="60" w:line="240" w:lineRule="auto"/>
              <w:jc w:val="center"/>
              <w:rPr>
                <w:rFonts w:eastAsia="Times New Roman" w:cs="Calibri"/>
                <w:b/>
                <w:bCs/>
                <w:color w:val="FFFFFF"/>
                <w:sz w:val="20"/>
                <w:szCs w:val="20"/>
              </w:rPr>
            </w:pPr>
            <w:r w:rsidRPr="004C7B8C">
              <w:rPr>
                <w:rFonts w:eastAsia="Times New Roman" w:cs="Calibri"/>
                <w:b/>
                <w:bCs/>
                <w:color w:val="FFFFFF"/>
                <w:sz w:val="20"/>
                <w:szCs w:val="20"/>
              </w:rPr>
              <w:t>DETALLE DE INTANGIBLES</w:t>
            </w:r>
          </w:p>
          <w:p w14:paraId="7B04F35C" w14:textId="0152A674" w:rsidR="004C7B8C" w:rsidRPr="004C7B8C" w:rsidRDefault="004C7B8C" w:rsidP="004C7B8C">
            <w:pPr>
              <w:spacing w:before="60" w:after="60" w:line="240" w:lineRule="auto"/>
              <w:jc w:val="center"/>
              <w:rPr>
                <w:rFonts w:eastAsia="Times New Roman" w:cs="Calibri"/>
                <w:b/>
                <w:bCs/>
                <w:color w:val="FFFFFF"/>
                <w:sz w:val="20"/>
                <w:szCs w:val="20"/>
              </w:rPr>
            </w:pPr>
            <w:r w:rsidRPr="004C7B8C">
              <w:rPr>
                <w:rFonts w:eastAsia="Times New Roman" w:cs="Calibri"/>
                <w:b/>
                <w:bCs/>
                <w:color w:val="FFFFFF"/>
                <w:sz w:val="20"/>
                <w:szCs w:val="20"/>
              </w:rPr>
              <w:t>AL 30 DE JUNIO DE 2024</w:t>
            </w:r>
          </w:p>
        </w:tc>
      </w:tr>
      <w:tr w:rsidR="004C7B8C" w:rsidRPr="004C7B8C" w14:paraId="0C92A54A" w14:textId="77777777" w:rsidTr="004C7B8C">
        <w:trPr>
          <w:gridAfter w:val="1"/>
          <w:wAfter w:w="222" w:type="dxa"/>
          <w:trHeight w:val="260"/>
        </w:trPr>
        <w:tc>
          <w:tcPr>
            <w:tcW w:w="1000" w:type="dxa"/>
            <w:tcBorders>
              <w:top w:val="single" w:sz="4" w:space="0" w:color="auto"/>
              <w:left w:val="single" w:sz="8" w:space="0" w:color="auto"/>
              <w:bottom w:val="nil"/>
              <w:right w:val="single" w:sz="8" w:space="0" w:color="auto"/>
            </w:tcBorders>
            <w:shd w:val="clear" w:color="000000" w:fill="305496"/>
            <w:vAlign w:val="center"/>
            <w:hideMark/>
          </w:tcPr>
          <w:p w14:paraId="7539C753" w14:textId="77777777" w:rsidR="004C7B8C" w:rsidRPr="004C7B8C" w:rsidRDefault="004C7B8C" w:rsidP="004C7B8C">
            <w:pPr>
              <w:spacing w:before="60" w:after="60" w:line="240" w:lineRule="auto"/>
              <w:jc w:val="center"/>
              <w:rPr>
                <w:rFonts w:eastAsia="Times New Roman" w:cs="Calibri"/>
                <w:b/>
                <w:bCs/>
                <w:color w:val="FFFFFF"/>
                <w:sz w:val="20"/>
                <w:szCs w:val="20"/>
                <w:lang w:val="en-US"/>
              </w:rPr>
            </w:pPr>
            <w:r w:rsidRPr="004C7B8C">
              <w:rPr>
                <w:rFonts w:eastAsia="Times New Roman" w:cs="Calibri"/>
                <w:b/>
                <w:bCs/>
                <w:color w:val="FFFFFF"/>
                <w:sz w:val="20"/>
                <w:szCs w:val="20"/>
                <w:lang w:val="en-US"/>
              </w:rPr>
              <w:t>Fecha Recibido</w:t>
            </w:r>
          </w:p>
        </w:tc>
        <w:tc>
          <w:tcPr>
            <w:tcW w:w="6646" w:type="dxa"/>
            <w:tcBorders>
              <w:top w:val="single" w:sz="4" w:space="0" w:color="auto"/>
              <w:left w:val="nil"/>
              <w:bottom w:val="nil"/>
              <w:right w:val="single" w:sz="8" w:space="0" w:color="auto"/>
            </w:tcBorders>
            <w:shd w:val="clear" w:color="000000" w:fill="305496"/>
            <w:noWrap/>
            <w:vAlign w:val="center"/>
            <w:hideMark/>
          </w:tcPr>
          <w:p w14:paraId="44A09F1B" w14:textId="77777777" w:rsidR="004C7B8C" w:rsidRPr="004C7B8C" w:rsidRDefault="004C7B8C" w:rsidP="004C7B8C">
            <w:pPr>
              <w:spacing w:before="60" w:after="60" w:line="240" w:lineRule="auto"/>
              <w:jc w:val="center"/>
              <w:rPr>
                <w:rFonts w:eastAsia="Times New Roman" w:cs="Calibri"/>
                <w:b/>
                <w:bCs/>
                <w:color w:val="FFFFFF"/>
                <w:sz w:val="20"/>
                <w:szCs w:val="20"/>
                <w:lang w:val="en-US"/>
              </w:rPr>
            </w:pPr>
            <w:r w:rsidRPr="004C7B8C">
              <w:rPr>
                <w:rFonts w:eastAsia="Times New Roman" w:cs="Calibri"/>
                <w:b/>
                <w:bCs/>
                <w:color w:val="FFFFFF"/>
                <w:sz w:val="20"/>
                <w:szCs w:val="20"/>
                <w:lang w:val="en-US"/>
              </w:rPr>
              <w:t>Detalle de Activo</w:t>
            </w:r>
          </w:p>
        </w:tc>
        <w:tc>
          <w:tcPr>
            <w:tcW w:w="1181" w:type="dxa"/>
            <w:tcBorders>
              <w:top w:val="single" w:sz="4" w:space="0" w:color="auto"/>
              <w:left w:val="nil"/>
              <w:bottom w:val="nil"/>
              <w:right w:val="single" w:sz="8" w:space="0" w:color="auto"/>
            </w:tcBorders>
            <w:shd w:val="clear" w:color="000000" w:fill="305496"/>
            <w:noWrap/>
            <w:vAlign w:val="center"/>
            <w:hideMark/>
          </w:tcPr>
          <w:p w14:paraId="6104B4A2" w14:textId="77777777" w:rsidR="004C7B8C" w:rsidRPr="004C7B8C" w:rsidRDefault="004C7B8C" w:rsidP="004C7B8C">
            <w:pPr>
              <w:spacing w:before="60" w:after="60" w:line="240" w:lineRule="auto"/>
              <w:jc w:val="center"/>
              <w:rPr>
                <w:rFonts w:eastAsia="Times New Roman" w:cs="Calibri"/>
                <w:b/>
                <w:bCs/>
                <w:color w:val="FFFFFF"/>
                <w:sz w:val="20"/>
                <w:szCs w:val="20"/>
                <w:lang w:val="en-US"/>
              </w:rPr>
            </w:pPr>
            <w:r w:rsidRPr="004C7B8C">
              <w:rPr>
                <w:rFonts w:eastAsia="Times New Roman" w:cs="Calibri"/>
                <w:b/>
                <w:bCs/>
                <w:color w:val="FFFFFF"/>
                <w:sz w:val="20"/>
                <w:szCs w:val="20"/>
                <w:lang w:val="en-US"/>
              </w:rPr>
              <w:t>Monto</w:t>
            </w:r>
          </w:p>
        </w:tc>
      </w:tr>
      <w:tr w:rsidR="004C7B8C" w:rsidRPr="004C7B8C" w14:paraId="2143CFB8" w14:textId="77777777" w:rsidTr="004C7B8C">
        <w:trPr>
          <w:gridAfter w:val="1"/>
          <w:wAfter w:w="222" w:type="dxa"/>
          <w:trHeight w:val="260"/>
        </w:trPr>
        <w:tc>
          <w:tcPr>
            <w:tcW w:w="1000"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70DBB3B7" w14:textId="77777777" w:rsidR="004C7B8C" w:rsidRPr="004C7B8C" w:rsidRDefault="004C7B8C" w:rsidP="004C7B8C">
            <w:pPr>
              <w:spacing w:after="0" w:line="240" w:lineRule="auto"/>
              <w:rPr>
                <w:rFonts w:eastAsia="Times New Roman" w:cs="Calibri"/>
                <w:color w:val="000000"/>
                <w:sz w:val="20"/>
                <w:szCs w:val="20"/>
                <w:lang w:val="en-US"/>
              </w:rPr>
            </w:pPr>
            <w:r w:rsidRPr="004C7B8C">
              <w:rPr>
                <w:rFonts w:eastAsia="Times New Roman" w:cs="Calibri"/>
                <w:color w:val="000000"/>
                <w:sz w:val="20"/>
                <w:szCs w:val="20"/>
                <w:lang w:val="en-US"/>
              </w:rPr>
              <w:t>17/6/2022</w:t>
            </w:r>
          </w:p>
        </w:tc>
        <w:tc>
          <w:tcPr>
            <w:tcW w:w="6646" w:type="dxa"/>
            <w:tcBorders>
              <w:top w:val="single" w:sz="8" w:space="0" w:color="auto"/>
              <w:left w:val="nil"/>
              <w:bottom w:val="single" w:sz="4" w:space="0" w:color="auto"/>
              <w:right w:val="single" w:sz="4" w:space="0" w:color="auto"/>
            </w:tcBorders>
            <w:shd w:val="clear" w:color="000000" w:fill="FFFFFF"/>
            <w:vAlign w:val="center"/>
            <w:hideMark/>
          </w:tcPr>
          <w:p w14:paraId="378A5749" w14:textId="77777777" w:rsidR="004C7B8C" w:rsidRPr="004C7B8C" w:rsidRDefault="004C7B8C" w:rsidP="004C7B8C">
            <w:pPr>
              <w:spacing w:after="0" w:line="240" w:lineRule="auto"/>
              <w:rPr>
                <w:rFonts w:eastAsia="Times New Roman" w:cs="Calibri"/>
                <w:color w:val="000000"/>
                <w:sz w:val="20"/>
                <w:szCs w:val="20"/>
              </w:rPr>
            </w:pPr>
            <w:r w:rsidRPr="004C7B8C">
              <w:rPr>
                <w:rFonts w:eastAsia="Times New Roman" w:cs="Calibri"/>
                <w:color w:val="000000"/>
                <w:sz w:val="20"/>
                <w:szCs w:val="20"/>
              </w:rPr>
              <w:t>LICENCIA DE SOFTWARE ADOBE CREATIVE CLOUD VIP, ALL APPS, VIGENCIA UN AÑO, ÚLTIMA VERSIÓN Marca Creative Cloud Modelo for Teams</w:t>
            </w:r>
          </w:p>
        </w:tc>
        <w:tc>
          <w:tcPr>
            <w:tcW w:w="1181" w:type="dxa"/>
            <w:tcBorders>
              <w:top w:val="single" w:sz="8" w:space="0" w:color="auto"/>
              <w:left w:val="nil"/>
              <w:bottom w:val="single" w:sz="4" w:space="0" w:color="auto"/>
              <w:right w:val="single" w:sz="8" w:space="0" w:color="auto"/>
            </w:tcBorders>
            <w:shd w:val="clear" w:color="auto" w:fill="auto"/>
            <w:noWrap/>
            <w:vAlign w:val="center"/>
            <w:hideMark/>
          </w:tcPr>
          <w:p w14:paraId="51436343" w14:textId="77777777" w:rsidR="004C7B8C" w:rsidRPr="004C7B8C" w:rsidRDefault="004C7B8C" w:rsidP="004C7B8C">
            <w:pPr>
              <w:spacing w:after="0" w:line="240" w:lineRule="auto"/>
              <w:jc w:val="right"/>
              <w:rPr>
                <w:rFonts w:eastAsia="Times New Roman" w:cs="Calibri"/>
                <w:color w:val="000000"/>
                <w:sz w:val="20"/>
                <w:szCs w:val="20"/>
                <w:lang w:val="en-US"/>
              </w:rPr>
            </w:pPr>
            <w:r w:rsidRPr="004C7B8C">
              <w:rPr>
                <w:rFonts w:ascii="Arial" w:eastAsia="Times New Roman" w:hAnsi="Arial" w:cs="Arial"/>
                <w:color w:val="000000"/>
                <w:sz w:val="20"/>
                <w:szCs w:val="20"/>
                <w:lang w:val="en-US"/>
              </w:rPr>
              <w:t>₡</w:t>
            </w:r>
            <w:r w:rsidRPr="004C7B8C">
              <w:rPr>
                <w:rFonts w:eastAsia="Times New Roman" w:cs="Calibri"/>
                <w:color w:val="000000"/>
                <w:sz w:val="20"/>
                <w:szCs w:val="20"/>
                <w:lang w:val="en-US"/>
              </w:rPr>
              <w:t>630,23</w:t>
            </w:r>
          </w:p>
        </w:tc>
      </w:tr>
      <w:tr w:rsidR="004C7B8C" w:rsidRPr="004C7B8C" w14:paraId="6C8909CB" w14:textId="77777777" w:rsidTr="004C7B8C">
        <w:trPr>
          <w:gridAfter w:val="1"/>
          <w:wAfter w:w="222" w:type="dxa"/>
          <w:trHeight w:val="520"/>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4184792B" w14:textId="77777777" w:rsidR="004C7B8C" w:rsidRPr="004C7B8C" w:rsidRDefault="004C7B8C" w:rsidP="004C7B8C">
            <w:pPr>
              <w:spacing w:after="0" w:line="240" w:lineRule="auto"/>
              <w:rPr>
                <w:rFonts w:eastAsia="Times New Roman" w:cs="Calibri"/>
                <w:color w:val="000000"/>
                <w:sz w:val="20"/>
                <w:szCs w:val="20"/>
                <w:lang w:val="en-US"/>
              </w:rPr>
            </w:pPr>
            <w:r w:rsidRPr="004C7B8C">
              <w:rPr>
                <w:rFonts w:eastAsia="Times New Roman" w:cs="Calibri"/>
                <w:color w:val="000000"/>
                <w:sz w:val="20"/>
                <w:szCs w:val="20"/>
                <w:lang w:val="en-US"/>
              </w:rPr>
              <w:t>24/9/2023</w:t>
            </w:r>
          </w:p>
        </w:tc>
        <w:tc>
          <w:tcPr>
            <w:tcW w:w="6646" w:type="dxa"/>
            <w:tcBorders>
              <w:top w:val="nil"/>
              <w:left w:val="nil"/>
              <w:bottom w:val="single" w:sz="4" w:space="0" w:color="auto"/>
              <w:right w:val="single" w:sz="4" w:space="0" w:color="auto"/>
            </w:tcBorders>
            <w:shd w:val="clear" w:color="000000" w:fill="FFFFFF"/>
            <w:vAlign w:val="center"/>
            <w:hideMark/>
          </w:tcPr>
          <w:p w14:paraId="122950B9" w14:textId="77777777" w:rsidR="004C7B8C" w:rsidRPr="004C7B8C" w:rsidRDefault="004C7B8C" w:rsidP="004C7B8C">
            <w:pPr>
              <w:spacing w:after="0" w:line="240" w:lineRule="auto"/>
              <w:rPr>
                <w:rFonts w:eastAsia="Times New Roman" w:cs="Calibri"/>
                <w:color w:val="000000"/>
                <w:sz w:val="20"/>
                <w:szCs w:val="20"/>
                <w:lang w:val="en-US"/>
              </w:rPr>
            </w:pPr>
            <w:r w:rsidRPr="004C7B8C">
              <w:rPr>
                <w:rFonts w:eastAsia="Times New Roman" w:cs="Calibri"/>
                <w:color w:val="000000"/>
                <w:sz w:val="20"/>
                <w:szCs w:val="20"/>
                <w:lang w:val="en-US"/>
              </w:rPr>
              <w:t>LICENCIA DE SOFTWARE ADOBE CREATIVE CLOUD VIP, ALL APPS, Marca Creative Cloud Modelo for Teams</w:t>
            </w:r>
          </w:p>
        </w:tc>
        <w:tc>
          <w:tcPr>
            <w:tcW w:w="1181" w:type="dxa"/>
            <w:tcBorders>
              <w:top w:val="nil"/>
              <w:left w:val="nil"/>
              <w:bottom w:val="single" w:sz="4" w:space="0" w:color="auto"/>
              <w:right w:val="single" w:sz="8" w:space="0" w:color="auto"/>
            </w:tcBorders>
            <w:shd w:val="clear" w:color="auto" w:fill="auto"/>
            <w:noWrap/>
            <w:vAlign w:val="center"/>
            <w:hideMark/>
          </w:tcPr>
          <w:p w14:paraId="560A8479" w14:textId="77777777" w:rsidR="004C7B8C" w:rsidRPr="004C7B8C" w:rsidRDefault="004C7B8C" w:rsidP="004C7B8C">
            <w:pPr>
              <w:spacing w:after="0" w:line="240" w:lineRule="auto"/>
              <w:jc w:val="right"/>
              <w:rPr>
                <w:rFonts w:eastAsia="Times New Roman" w:cs="Calibri"/>
                <w:color w:val="000000"/>
                <w:sz w:val="20"/>
                <w:szCs w:val="20"/>
                <w:lang w:val="en-US"/>
              </w:rPr>
            </w:pPr>
            <w:r w:rsidRPr="004C7B8C">
              <w:rPr>
                <w:rFonts w:eastAsia="Times New Roman" w:cs="Calibri"/>
                <w:color w:val="000000"/>
                <w:sz w:val="20"/>
                <w:szCs w:val="20"/>
                <w:lang w:val="en-US"/>
              </w:rPr>
              <w:t>615,96</w:t>
            </w:r>
          </w:p>
        </w:tc>
      </w:tr>
      <w:tr w:rsidR="004C7B8C" w:rsidRPr="004C7B8C" w14:paraId="3E657F2D" w14:textId="77777777" w:rsidTr="004C7B8C">
        <w:trPr>
          <w:gridAfter w:val="1"/>
          <w:wAfter w:w="222" w:type="dxa"/>
          <w:trHeight w:val="290"/>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6049A9E7" w14:textId="77777777" w:rsidR="004C7B8C" w:rsidRPr="004C7B8C" w:rsidRDefault="004C7B8C" w:rsidP="004C7B8C">
            <w:pPr>
              <w:spacing w:after="0" w:line="240" w:lineRule="auto"/>
              <w:rPr>
                <w:rFonts w:eastAsia="Times New Roman" w:cs="Calibri"/>
                <w:color w:val="000000"/>
                <w:sz w:val="20"/>
                <w:szCs w:val="20"/>
                <w:lang w:val="en-US"/>
              </w:rPr>
            </w:pPr>
            <w:r w:rsidRPr="004C7B8C">
              <w:rPr>
                <w:rFonts w:eastAsia="Times New Roman" w:cs="Calibri"/>
                <w:color w:val="000000"/>
                <w:sz w:val="20"/>
                <w:szCs w:val="20"/>
                <w:lang w:val="en-US"/>
              </w:rPr>
              <w:t>2/11/2023</w:t>
            </w:r>
          </w:p>
        </w:tc>
        <w:tc>
          <w:tcPr>
            <w:tcW w:w="6646" w:type="dxa"/>
            <w:tcBorders>
              <w:top w:val="nil"/>
              <w:left w:val="nil"/>
              <w:bottom w:val="single" w:sz="4" w:space="0" w:color="auto"/>
              <w:right w:val="single" w:sz="4" w:space="0" w:color="auto"/>
            </w:tcBorders>
            <w:shd w:val="clear" w:color="000000" w:fill="FFFFFF"/>
            <w:vAlign w:val="center"/>
            <w:hideMark/>
          </w:tcPr>
          <w:p w14:paraId="0507F82F" w14:textId="77777777" w:rsidR="004C7B8C" w:rsidRPr="004C7B8C" w:rsidRDefault="004C7B8C" w:rsidP="004C7B8C">
            <w:pPr>
              <w:spacing w:after="0" w:line="240" w:lineRule="auto"/>
              <w:rPr>
                <w:rFonts w:eastAsia="Times New Roman" w:cs="Calibri"/>
                <w:color w:val="000000"/>
                <w:sz w:val="20"/>
                <w:szCs w:val="20"/>
                <w:lang w:val="en-US"/>
              </w:rPr>
            </w:pPr>
            <w:r w:rsidRPr="004C7B8C">
              <w:rPr>
                <w:rFonts w:eastAsia="Times New Roman" w:cs="Calibri"/>
                <w:color w:val="000000"/>
                <w:sz w:val="20"/>
                <w:szCs w:val="20"/>
                <w:lang w:val="en-US"/>
              </w:rPr>
              <w:t>LICENCIA MICROSOFT PROJECT ONLINE, 3 licencias</w:t>
            </w:r>
          </w:p>
        </w:tc>
        <w:tc>
          <w:tcPr>
            <w:tcW w:w="1181" w:type="dxa"/>
            <w:tcBorders>
              <w:top w:val="nil"/>
              <w:left w:val="nil"/>
              <w:bottom w:val="single" w:sz="4" w:space="0" w:color="auto"/>
              <w:right w:val="single" w:sz="8" w:space="0" w:color="auto"/>
            </w:tcBorders>
            <w:shd w:val="clear" w:color="auto" w:fill="auto"/>
            <w:noWrap/>
            <w:vAlign w:val="center"/>
            <w:hideMark/>
          </w:tcPr>
          <w:p w14:paraId="1DC8E0D1" w14:textId="77777777" w:rsidR="004C7B8C" w:rsidRPr="004C7B8C" w:rsidRDefault="004C7B8C" w:rsidP="004C7B8C">
            <w:pPr>
              <w:spacing w:after="0" w:line="240" w:lineRule="auto"/>
              <w:jc w:val="right"/>
              <w:rPr>
                <w:rFonts w:eastAsia="Times New Roman" w:cs="Calibri"/>
                <w:color w:val="000000"/>
                <w:sz w:val="20"/>
                <w:szCs w:val="20"/>
                <w:lang w:val="en-US"/>
              </w:rPr>
            </w:pPr>
            <w:r w:rsidRPr="004C7B8C">
              <w:rPr>
                <w:rFonts w:eastAsia="Times New Roman" w:cs="Calibri"/>
                <w:color w:val="000000"/>
                <w:sz w:val="20"/>
                <w:szCs w:val="20"/>
                <w:lang w:val="en-US"/>
              </w:rPr>
              <w:t>630</w:t>
            </w:r>
          </w:p>
        </w:tc>
      </w:tr>
      <w:tr w:rsidR="004C7B8C" w:rsidRPr="004C7B8C" w14:paraId="4D69EFB9" w14:textId="77777777" w:rsidTr="004C7B8C">
        <w:trPr>
          <w:gridAfter w:val="1"/>
          <w:wAfter w:w="222" w:type="dxa"/>
          <w:trHeight w:val="520"/>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56CCC59A" w14:textId="77777777" w:rsidR="004C7B8C" w:rsidRPr="004C7B8C" w:rsidRDefault="004C7B8C" w:rsidP="004C7B8C">
            <w:pPr>
              <w:spacing w:after="0" w:line="240" w:lineRule="auto"/>
              <w:rPr>
                <w:rFonts w:eastAsia="Times New Roman" w:cs="Calibri"/>
                <w:color w:val="000000"/>
                <w:sz w:val="20"/>
                <w:szCs w:val="20"/>
                <w:lang w:val="en-US"/>
              </w:rPr>
            </w:pPr>
            <w:r w:rsidRPr="004C7B8C">
              <w:rPr>
                <w:rFonts w:eastAsia="Times New Roman" w:cs="Calibri"/>
                <w:color w:val="000000"/>
                <w:sz w:val="20"/>
                <w:szCs w:val="20"/>
                <w:lang w:val="en-US"/>
              </w:rPr>
              <w:t>Pendiente</w:t>
            </w:r>
          </w:p>
        </w:tc>
        <w:tc>
          <w:tcPr>
            <w:tcW w:w="6646" w:type="dxa"/>
            <w:tcBorders>
              <w:top w:val="nil"/>
              <w:left w:val="nil"/>
              <w:bottom w:val="single" w:sz="4" w:space="0" w:color="auto"/>
              <w:right w:val="single" w:sz="4" w:space="0" w:color="auto"/>
            </w:tcBorders>
            <w:shd w:val="clear" w:color="000000" w:fill="FFFFFF"/>
            <w:vAlign w:val="center"/>
            <w:hideMark/>
          </w:tcPr>
          <w:p w14:paraId="08C58023" w14:textId="77777777" w:rsidR="004C7B8C" w:rsidRPr="004C7B8C" w:rsidRDefault="004C7B8C" w:rsidP="004C7B8C">
            <w:pPr>
              <w:spacing w:after="0" w:line="240" w:lineRule="auto"/>
              <w:rPr>
                <w:rFonts w:eastAsia="Times New Roman" w:cs="Calibri"/>
                <w:color w:val="000000"/>
                <w:sz w:val="20"/>
                <w:szCs w:val="20"/>
              </w:rPr>
            </w:pPr>
            <w:r w:rsidRPr="004C7B8C">
              <w:rPr>
                <w:rFonts w:eastAsia="Times New Roman" w:cs="Calibri"/>
                <w:color w:val="000000"/>
                <w:sz w:val="20"/>
                <w:szCs w:val="20"/>
              </w:rPr>
              <w:t>SOFTWARE TIPO CAD 2017 O ÚLTIMA VERSIÓN LIBERADA, R2 Marca GstarCAD Modelo 2018</w:t>
            </w:r>
          </w:p>
        </w:tc>
        <w:tc>
          <w:tcPr>
            <w:tcW w:w="1181" w:type="dxa"/>
            <w:tcBorders>
              <w:top w:val="nil"/>
              <w:left w:val="nil"/>
              <w:bottom w:val="single" w:sz="4" w:space="0" w:color="auto"/>
              <w:right w:val="single" w:sz="8" w:space="0" w:color="auto"/>
            </w:tcBorders>
            <w:shd w:val="clear" w:color="auto" w:fill="auto"/>
            <w:noWrap/>
            <w:vAlign w:val="center"/>
            <w:hideMark/>
          </w:tcPr>
          <w:p w14:paraId="1BD1745E" w14:textId="77777777" w:rsidR="004C7B8C" w:rsidRPr="004C7B8C" w:rsidRDefault="004C7B8C" w:rsidP="004C7B8C">
            <w:pPr>
              <w:spacing w:after="0" w:line="240" w:lineRule="auto"/>
              <w:jc w:val="right"/>
              <w:rPr>
                <w:rFonts w:eastAsia="Times New Roman" w:cs="Calibri"/>
                <w:color w:val="000000"/>
                <w:sz w:val="20"/>
                <w:szCs w:val="20"/>
                <w:lang w:val="en-US"/>
              </w:rPr>
            </w:pPr>
            <w:r w:rsidRPr="004C7B8C">
              <w:rPr>
                <w:rFonts w:eastAsia="Times New Roman" w:cs="Calibri"/>
                <w:color w:val="000000"/>
                <w:sz w:val="20"/>
                <w:szCs w:val="20"/>
                <w:lang w:val="en-US"/>
              </w:rPr>
              <w:t>601,28</w:t>
            </w:r>
          </w:p>
        </w:tc>
      </w:tr>
      <w:tr w:rsidR="004C7B8C" w:rsidRPr="004C7B8C" w14:paraId="30051C87" w14:textId="77777777" w:rsidTr="004C7B8C">
        <w:trPr>
          <w:gridAfter w:val="1"/>
          <w:wAfter w:w="222" w:type="dxa"/>
          <w:trHeight w:val="457"/>
        </w:trPr>
        <w:tc>
          <w:tcPr>
            <w:tcW w:w="1000" w:type="dxa"/>
            <w:vMerge w:val="restart"/>
            <w:tcBorders>
              <w:top w:val="nil"/>
              <w:left w:val="single" w:sz="8" w:space="0" w:color="auto"/>
              <w:bottom w:val="single" w:sz="4" w:space="0" w:color="auto"/>
              <w:right w:val="single" w:sz="4" w:space="0" w:color="auto"/>
            </w:tcBorders>
            <w:shd w:val="clear" w:color="000000" w:fill="FFFFFF"/>
            <w:vAlign w:val="center"/>
            <w:hideMark/>
          </w:tcPr>
          <w:p w14:paraId="741E612C" w14:textId="77777777" w:rsidR="004C7B8C" w:rsidRPr="004C7B8C" w:rsidRDefault="004C7B8C" w:rsidP="004C7B8C">
            <w:pPr>
              <w:spacing w:after="0" w:line="240" w:lineRule="auto"/>
              <w:rPr>
                <w:rFonts w:eastAsia="Times New Roman" w:cs="Calibri"/>
                <w:color w:val="000000"/>
                <w:sz w:val="20"/>
                <w:szCs w:val="20"/>
                <w:lang w:val="en-US"/>
              </w:rPr>
            </w:pPr>
            <w:r w:rsidRPr="004C7B8C">
              <w:rPr>
                <w:rFonts w:eastAsia="Times New Roman" w:cs="Calibri"/>
                <w:color w:val="000000"/>
                <w:sz w:val="20"/>
                <w:szCs w:val="20"/>
                <w:lang w:val="en-US"/>
              </w:rPr>
              <w:t>2/4/2024</w:t>
            </w:r>
          </w:p>
        </w:tc>
        <w:tc>
          <w:tcPr>
            <w:tcW w:w="6646" w:type="dxa"/>
            <w:vMerge w:val="restart"/>
            <w:tcBorders>
              <w:top w:val="nil"/>
              <w:left w:val="single" w:sz="4" w:space="0" w:color="auto"/>
              <w:bottom w:val="single" w:sz="4" w:space="0" w:color="auto"/>
              <w:right w:val="single" w:sz="4" w:space="0" w:color="auto"/>
            </w:tcBorders>
            <w:shd w:val="clear" w:color="000000" w:fill="FFFFFF"/>
            <w:vAlign w:val="center"/>
            <w:hideMark/>
          </w:tcPr>
          <w:p w14:paraId="4C82D470" w14:textId="77777777" w:rsidR="004C7B8C" w:rsidRPr="004C7B8C" w:rsidRDefault="004C7B8C" w:rsidP="004C7B8C">
            <w:pPr>
              <w:spacing w:after="0" w:line="240" w:lineRule="auto"/>
              <w:rPr>
                <w:rFonts w:eastAsia="Times New Roman" w:cs="Calibri"/>
                <w:color w:val="000000"/>
                <w:sz w:val="20"/>
                <w:szCs w:val="20"/>
              </w:rPr>
            </w:pPr>
            <w:r w:rsidRPr="004C7B8C">
              <w:rPr>
                <w:rFonts w:eastAsia="Times New Roman" w:cs="Calibri"/>
                <w:color w:val="000000"/>
                <w:sz w:val="20"/>
                <w:szCs w:val="20"/>
              </w:rPr>
              <w:t>LICENCIA ENVATO, VIGENCIA ANUAL, VERSIÓN ACTUAL Marca Envato Modelo Elements Individual</w:t>
            </w:r>
          </w:p>
        </w:tc>
        <w:tc>
          <w:tcPr>
            <w:tcW w:w="1181"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521CA57A" w14:textId="77777777" w:rsidR="004C7B8C" w:rsidRPr="004C7B8C" w:rsidRDefault="004C7B8C" w:rsidP="004C7B8C">
            <w:pPr>
              <w:spacing w:after="0" w:line="240" w:lineRule="auto"/>
              <w:jc w:val="right"/>
              <w:rPr>
                <w:rFonts w:eastAsia="Times New Roman" w:cs="Calibri"/>
                <w:color w:val="000000"/>
                <w:sz w:val="20"/>
                <w:szCs w:val="20"/>
                <w:lang w:val="en-US"/>
              </w:rPr>
            </w:pPr>
            <w:r w:rsidRPr="004C7B8C">
              <w:rPr>
                <w:rFonts w:eastAsia="Times New Roman" w:cs="Calibri"/>
                <w:color w:val="000000"/>
                <w:sz w:val="20"/>
                <w:szCs w:val="20"/>
                <w:lang w:val="en-US"/>
              </w:rPr>
              <w:t>139,86</w:t>
            </w:r>
          </w:p>
        </w:tc>
      </w:tr>
      <w:tr w:rsidR="004C7B8C" w:rsidRPr="004C7B8C" w14:paraId="54ED7944" w14:textId="77777777" w:rsidTr="004C7B8C">
        <w:trPr>
          <w:trHeight w:val="87"/>
        </w:trPr>
        <w:tc>
          <w:tcPr>
            <w:tcW w:w="1000" w:type="dxa"/>
            <w:vMerge/>
            <w:tcBorders>
              <w:top w:val="nil"/>
              <w:left w:val="single" w:sz="8" w:space="0" w:color="auto"/>
              <w:bottom w:val="single" w:sz="4" w:space="0" w:color="auto"/>
              <w:right w:val="single" w:sz="4" w:space="0" w:color="auto"/>
            </w:tcBorders>
            <w:vAlign w:val="center"/>
            <w:hideMark/>
          </w:tcPr>
          <w:p w14:paraId="4F242D66" w14:textId="77777777" w:rsidR="004C7B8C" w:rsidRPr="004C7B8C" w:rsidRDefault="004C7B8C" w:rsidP="004C7B8C">
            <w:pPr>
              <w:spacing w:after="0" w:line="240" w:lineRule="auto"/>
              <w:jc w:val="left"/>
              <w:rPr>
                <w:rFonts w:eastAsia="Times New Roman" w:cs="Calibri"/>
                <w:color w:val="000000"/>
                <w:sz w:val="20"/>
                <w:szCs w:val="20"/>
                <w:lang w:val="en-US"/>
              </w:rPr>
            </w:pPr>
          </w:p>
        </w:tc>
        <w:tc>
          <w:tcPr>
            <w:tcW w:w="6646" w:type="dxa"/>
            <w:vMerge/>
            <w:tcBorders>
              <w:top w:val="nil"/>
              <w:left w:val="single" w:sz="4" w:space="0" w:color="auto"/>
              <w:bottom w:val="single" w:sz="4" w:space="0" w:color="auto"/>
              <w:right w:val="single" w:sz="4" w:space="0" w:color="auto"/>
            </w:tcBorders>
            <w:vAlign w:val="center"/>
            <w:hideMark/>
          </w:tcPr>
          <w:p w14:paraId="39EE9166" w14:textId="77777777" w:rsidR="004C7B8C" w:rsidRPr="004C7B8C" w:rsidRDefault="004C7B8C" w:rsidP="004C7B8C">
            <w:pPr>
              <w:spacing w:after="0" w:line="240" w:lineRule="auto"/>
              <w:jc w:val="left"/>
              <w:rPr>
                <w:rFonts w:eastAsia="Times New Roman" w:cs="Calibri"/>
                <w:color w:val="000000"/>
                <w:sz w:val="20"/>
                <w:szCs w:val="20"/>
                <w:lang w:val="en-US"/>
              </w:rPr>
            </w:pPr>
          </w:p>
        </w:tc>
        <w:tc>
          <w:tcPr>
            <w:tcW w:w="1181" w:type="dxa"/>
            <w:vMerge/>
            <w:tcBorders>
              <w:top w:val="nil"/>
              <w:left w:val="single" w:sz="4" w:space="0" w:color="auto"/>
              <w:bottom w:val="single" w:sz="4" w:space="0" w:color="auto"/>
              <w:right w:val="single" w:sz="8" w:space="0" w:color="auto"/>
            </w:tcBorders>
            <w:vAlign w:val="center"/>
            <w:hideMark/>
          </w:tcPr>
          <w:p w14:paraId="104CCCC0" w14:textId="77777777" w:rsidR="004C7B8C" w:rsidRPr="004C7B8C" w:rsidRDefault="004C7B8C" w:rsidP="004C7B8C">
            <w:pPr>
              <w:spacing w:after="0" w:line="240" w:lineRule="auto"/>
              <w:jc w:val="left"/>
              <w:rPr>
                <w:rFonts w:eastAsia="Times New Roman" w:cs="Calibri"/>
                <w:color w:val="000000"/>
                <w:sz w:val="20"/>
                <w:szCs w:val="20"/>
                <w:lang w:val="en-US"/>
              </w:rPr>
            </w:pPr>
          </w:p>
        </w:tc>
        <w:tc>
          <w:tcPr>
            <w:tcW w:w="222" w:type="dxa"/>
            <w:tcBorders>
              <w:top w:val="nil"/>
              <w:left w:val="nil"/>
              <w:bottom w:val="nil"/>
              <w:right w:val="nil"/>
            </w:tcBorders>
            <w:shd w:val="clear" w:color="auto" w:fill="auto"/>
            <w:noWrap/>
            <w:vAlign w:val="bottom"/>
            <w:hideMark/>
          </w:tcPr>
          <w:p w14:paraId="6D579B4B" w14:textId="77777777" w:rsidR="004C7B8C" w:rsidRPr="004C7B8C" w:rsidRDefault="004C7B8C" w:rsidP="004C7B8C">
            <w:pPr>
              <w:spacing w:after="0" w:line="240" w:lineRule="auto"/>
              <w:jc w:val="right"/>
              <w:rPr>
                <w:rFonts w:eastAsia="Times New Roman" w:cs="Calibri"/>
                <w:color w:val="000000"/>
                <w:sz w:val="20"/>
                <w:szCs w:val="20"/>
                <w:lang w:val="en-US"/>
              </w:rPr>
            </w:pPr>
          </w:p>
        </w:tc>
      </w:tr>
      <w:tr w:rsidR="004C7B8C" w:rsidRPr="004C7B8C" w14:paraId="39F35ECA" w14:textId="77777777" w:rsidTr="004C7B8C">
        <w:trPr>
          <w:trHeight w:val="348"/>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35520AA2" w14:textId="77777777" w:rsidR="004C7B8C" w:rsidRPr="004C7B8C" w:rsidRDefault="004C7B8C" w:rsidP="004C7B8C">
            <w:pPr>
              <w:spacing w:after="0" w:line="240" w:lineRule="auto"/>
              <w:rPr>
                <w:rFonts w:eastAsia="Times New Roman" w:cs="Calibri"/>
                <w:color w:val="000000"/>
                <w:sz w:val="20"/>
                <w:szCs w:val="20"/>
                <w:lang w:val="en-US"/>
              </w:rPr>
            </w:pPr>
            <w:r w:rsidRPr="004C7B8C">
              <w:rPr>
                <w:rFonts w:eastAsia="Times New Roman" w:cs="Calibri"/>
                <w:color w:val="000000"/>
                <w:sz w:val="20"/>
                <w:szCs w:val="20"/>
                <w:lang w:val="en-US"/>
              </w:rPr>
              <w:t>2/4/2024</w:t>
            </w:r>
          </w:p>
        </w:tc>
        <w:tc>
          <w:tcPr>
            <w:tcW w:w="6646" w:type="dxa"/>
            <w:tcBorders>
              <w:top w:val="nil"/>
              <w:left w:val="nil"/>
              <w:bottom w:val="single" w:sz="4" w:space="0" w:color="auto"/>
              <w:right w:val="single" w:sz="4" w:space="0" w:color="auto"/>
            </w:tcBorders>
            <w:shd w:val="clear" w:color="000000" w:fill="FFFFFF"/>
            <w:vAlign w:val="center"/>
            <w:hideMark/>
          </w:tcPr>
          <w:p w14:paraId="276EB608" w14:textId="77777777" w:rsidR="004C7B8C" w:rsidRPr="004C7B8C" w:rsidRDefault="004C7B8C" w:rsidP="004C7B8C">
            <w:pPr>
              <w:spacing w:after="0" w:line="240" w:lineRule="auto"/>
              <w:rPr>
                <w:rFonts w:eastAsia="Times New Roman" w:cs="Calibri"/>
                <w:color w:val="000000"/>
                <w:sz w:val="20"/>
                <w:szCs w:val="20"/>
              </w:rPr>
            </w:pPr>
            <w:r w:rsidRPr="004C7B8C">
              <w:rPr>
                <w:rFonts w:eastAsia="Times New Roman" w:cs="Calibri"/>
                <w:color w:val="000000"/>
                <w:sz w:val="20"/>
                <w:szCs w:val="20"/>
              </w:rPr>
              <w:t>6 LICENCIAS DE OFFICE 365 EMPRESA Marca Microsoft Modelo Office 365 Empresa</w:t>
            </w:r>
          </w:p>
        </w:tc>
        <w:tc>
          <w:tcPr>
            <w:tcW w:w="1181" w:type="dxa"/>
            <w:tcBorders>
              <w:top w:val="nil"/>
              <w:left w:val="nil"/>
              <w:bottom w:val="single" w:sz="4" w:space="0" w:color="auto"/>
              <w:right w:val="single" w:sz="8" w:space="0" w:color="auto"/>
            </w:tcBorders>
            <w:shd w:val="clear" w:color="auto" w:fill="auto"/>
            <w:noWrap/>
            <w:vAlign w:val="center"/>
            <w:hideMark/>
          </w:tcPr>
          <w:p w14:paraId="5D4A07D4" w14:textId="77777777" w:rsidR="004C7B8C" w:rsidRPr="004C7B8C" w:rsidRDefault="004C7B8C" w:rsidP="004C7B8C">
            <w:pPr>
              <w:spacing w:after="0" w:line="240" w:lineRule="auto"/>
              <w:jc w:val="right"/>
              <w:rPr>
                <w:rFonts w:eastAsia="Times New Roman" w:cs="Calibri"/>
                <w:color w:val="000000"/>
                <w:sz w:val="20"/>
                <w:szCs w:val="20"/>
                <w:lang w:val="en-US"/>
              </w:rPr>
            </w:pPr>
            <w:r w:rsidRPr="004C7B8C">
              <w:rPr>
                <w:rFonts w:eastAsia="Times New Roman" w:cs="Calibri"/>
                <w:color w:val="000000"/>
                <w:sz w:val="20"/>
                <w:szCs w:val="20"/>
                <w:lang w:val="en-US"/>
              </w:rPr>
              <w:t>389,91</w:t>
            </w:r>
          </w:p>
        </w:tc>
        <w:tc>
          <w:tcPr>
            <w:tcW w:w="222" w:type="dxa"/>
            <w:vAlign w:val="center"/>
            <w:hideMark/>
          </w:tcPr>
          <w:p w14:paraId="7C1B2F52" w14:textId="77777777" w:rsidR="004C7B8C" w:rsidRPr="004C7B8C" w:rsidRDefault="004C7B8C" w:rsidP="004C7B8C">
            <w:pPr>
              <w:spacing w:after="0" w:line="240" w:lineRule="auto"/>
              <w:jc w:val="left"/>
              <w:rPr>
                <w:rFonts w:ascii="Times New Roman" w:eastAsia="Times New Roman" w:hAnsi="Times New Roman" w:cs="Times New Roman"/>
                <w:sz w:val="20"/>
                <w:szCs w:val="20"/>
                <w:lang w:val="en-US"/>
              </w:rPr>
            </w:pPr>
          </w:p>
        </w:tc>
      </w:tr>
      <w:tr w:rsidR="004C7B8C" w:rsidRPr="004C7B8C" w14:paraId="3ECEB147" w14:textId="77777777" w:rsidTr="004C7B8C">
        <w:trPr>
          <w:trHeight w:val="530"/>
        </w:trPr>
        <w:tc>
          <w:tcPr>
            <w:tcW w:w="1000" w:type="dxa"/>
            <w:tcBorders>
              <w:top w:val="nil"/>
              <w:left w:val="single" w:sz="8" w:space="0" w:color="auto"/>
              <w:bottom w:val="single" w:sz="8" w:space="0" w:color="auto"/>
              <w:right w:val="single" w:sz="4" w:space="0" w:color="auto"/>
            </w:tcBorders>
            <w:shd w:val="clear" w:color="000000" w:fill="FFFFFF"/>
            <w:vAlign w:val="center"/>
            <w:hideMark/>
          </w:tcPr>
          <w:p w14:paraId="48884AEB" w14:textId="77777777" w:rsidR="004C7B8C" w:rsidRPr="004C7B8C" w:rsidRDefault="004C7B8C" w:rsidP="004C7B8C">
            <w:pPr>
              <w:spacing w:after="0" w:line="240" w:lineRule="auto"/>
              <w:rPr>
                <w:rFonts w:eastAsia="Times New Roman" w:cs="Calibri"/>
                <w:color w:val="000000"/>
                <w:sz w:val="20"/>
                <w:szCs w:val="20"/>
                <w:lang w:val="en-US"/>
              </w:rPr>
            </w:pPr>
            <w:r w:rsidRPr="004C7B8C">
              <w:rPr>
                <w:rFonts w:eastAsia="Times New Roman" w:cs="Calibri"/>
                <w:color w:val="000000"/>
                <w:sz w:val="20"/>
                <w:szCs w:val="20"/>
                <w:lang w:val="en-US"/>
              </w:rPr>
              <w:t>5/9/2018</w:t>
            </w:r>
          </w:p>
        </w:tc>
        <w:tc>
          <w:tcPr>
            <w:tcW w:w="6646" w:type="dxa"/>
            <w:tcBorders>
              <w:top w:val="nil"/>
              <w:left w:val="nil"/>
              <w:bottom w:val="single" w:sz="8" w:space="0" w:color="auto"/>
              <w:right w:val="single" w:sz="4" w:space="0" w:color="auto"/>
            </w:tcBorders>
            <w:shd w:val="clear" w:color="000000" w:fill="FFFFFF"/>
            <w:vAlign w:val="center"/>
            <w:hideMark/>
          </w:tcPr>
          <w:p w14:paraId="2FAEE38D" w14:textId="77777777" w:rsidR="004C7B8C" w:rsidRPr="004C7B8C" w:rsidRDefault="004C7B8C" w:rsidP="004C7B8C">
            <w:pPr>
              <w:spacing w:after="0" w:line="240" w:lineRule="auto"/>
              <w:rPr>
                <w:rFonts w:eastAsia="Times New Roman" w:cs="Calibri"/>
                <w:color w:val="000000"/>
                <w:sz w:val="20"/>
                <w:szCs w:val="20"/>
                <w:lang w:val="en-US"/>
              </w:rPr>
            </w:pPr>
            <w:r w:rsidRPr="004C7B8C">
              <w:rPr>
                <w:rFonts w:eastAsia="Times New Roman" w:cs="Calibri"/>
                <w:color w:val="000000"/>
                <w:sz w:val="20"/>
                <w:szCs w:val="20"/>
              </w:rPr>
              <w:t xml:space="preserve">LICENCIA TIPO CAD, VERSION PROFECIONAL 2017 CAD, LICENCIA, SOFTWARE TIPO CAD. </w:t>
            </w:r>
            <w:r w:rsidRPr="004C7B8C">
              <w:rPr>
                <w:rFonts w:eastAsia="Times New Roman" w:cs="Calibri"/>
                <w:color w:val="000000"/>
                <w:sz w:val="20"/>
                <w:szCs w:val="20"/>
                <w:lang w:val="en-US"/>
              </w:rPr>
              <w:t>Marca Gsta rCAD Modelo 2018</w:t>
            </w:r>
          </w:p>
        </w:tc>
        <w:tc>
          <w:tcPr>
            <w:tcW w:w="1181" w:type="dxa"/>
            <w:tcBorders>
              <w:top w:val="nil"/>
              <w:left w:val="nil"/>
              <w:bottom w:val="single" w:sz="8" w:space="0" w:color="auto"/>
              <w:right w:val="single" w:sz="8" w:space="0" w:color="auto"/>
            </w:tcBorders>
            <w:shd w:val="clear" w:color="auto" w:fill="auto"/>
            <w:noWrap/>
            <w:vAlign w:val="center"/>
            <w:hideMark/>
          </w:tcPr>
          <w:p w14:paraId="635C6B51" w14:textId="77777777" w:rsidR="004C7B8C" w:rsidRPr="004C7B8C" w:rsidRDefault="004C7B8C" w:rsidP="004C7B8C">
            <w:pPr>
              <w:spacing w:after="0" w:line="240" w:lineRule="auto"/>
              <w:jc w:val="right"/>
              <w:rPr>
                <w:rFonts w:eastAsia="Times New Roman" w:cs="Calibri"/>
                <w:color w:val="000000"/>
                <w:sz w:val="20"/>
                <w:szCs w:val="20"/>
                <w:lang w:val="en-US"/>
              </w:rPr>
            </w:pPr>
            <w:r w:rsidRPr="004C7B8C">
              <w:rPr>
                <w:rFonts w:eastAsia="Times New Roman" w:cs="Calibri"/>
                <w:color w:val="000000"/>
                <w:sz w:val="20"/>
                <w:szCs w:val="20"/>
                <w:lang w:val="en-US"/>
              </w:rPr>
              <w:t>467,53</w:t>
            </w:r>
          </w:p>
        </w:tc>
        <w:tc>
          <w:tcPr>
            <w:tcW w:w="222" w:type="dxa"/>
            <w:vAlign w:val="center"/>
            <w:hideMark/>
          </w:tcPr>
          <w:p w14:paraId="6B8DED1F" w14:textId="77777777" w:rsidR="004C7B8C" w:rsidRPr="004C7B8C" w:rsidRDefault="004C7B8C" w:rsidP="004C7B8C">
            <w:pPr>
              <w:spacing w:after="0" w:line="240" w:lineRule="auto"/>
              <w:jc w:val="left"/>
              <w:rPr>
                <w:rFonts w:ascii="Times New Roman" w:eastAsia="Times New Roman" w:hAnsi="Times New Roman" w:cs="Times New Roman"/>
                <w:sz w:val="20"/>
                <w:szCs w:val="20"/>
                <w:lang w:val="en-US"/>
              </w:rPr>
            </w:pPr>
          </w:p>
        </w:tc>
      </w:tr>
      <w:tr w:rsidR="004C7B8C" w:rsidRPr="004C7B8C" w14:paraId="3CD7EE1C" w14:textId="77777777" w:rsidTr="004C7B8C">
        <w:trPr>
          <w:trHeight w:val="300"/>
        </w:trPr>
        <w:tc>
          <w:tcPr>
            <w:tcW w:w="764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73C3BE" w14:textId="77777777" w:rsidR="004C7B8C" w:rsidRPr="004C7B8C" w:rsidRDefault="004C7B8C" w:rsidP="004C7B8C">
            <w:pPr>
              <w:spacing w:after="0" w:line="240" w:lineRule="auto"/>
              <w:jc w:val="center"/>
              <w:rPr>
                <w:rFonts w:eastAsia="Times New Roman" w:cs="Calibri"/>
                <w:b/>
                <w:bCs/>
                <w:color w:val="000000"/>
                <w:sz w:val="20"/>
                <w:szCs w:val="20"/>
                <w:lang w:val="en-US"/>
              </w:rPr>
            </w:pPr>
            <w:r w:rsidRPr="004C7B8C">
              <w:rPr>
                <w:rFonts w:eastAsia="Times New Roman" w:cs="Calibri"/>
                <w:b/>
                <w:bCs/>
                <w:color w:val="000000"/>
                <w:sz w:val="20"/>
                <w:szCs w:val="20"/>
                <w:lang w:val="en-US"/>
              </w:rPr>
              <w:t>TOTAL</w:t>
            </w:r>
          </w:p>
        </w:tc>
        <w:tc>
          <w:tcPr>
            <w:tcW w:w="1181" w:type="dxa"/>
            <w:tcBorders>
              <w:top w:val="nil"/>
              <w:left w:val="nil"/>
              <w:bottom w:val="single" w:sz="8" w:space="0" w:color="auto"/>
              <w:right w:val="single" w:sz="8" w:space="0" w:color="auto"/>
            </w:tcBorders>
            <w:shd w:val="clear" w:color="auto" w:fill="auto"/>
            <w:noWrap/>
            <w:vAlign w:val="center"/>
            <w:hideMark/>
          </w:tcPr>
          <w:p w14:paraId="6629066B" w14:textId="77777777" w:rsidR="004C7B8C" w:rsidRPr="004C7B8C" w:rsidRDefault="004C7B8C" w:rsidP="004C7B8C">
            <w:pPr>
              <w:spacing w:after="0" w:line="240" w:lineRule="auto"/>
              <w:jc w:val="right"/>
              <w:rPr>
                <w:rFonts w:eastAsia="Times New Roman" w:cs="Calibri"/>
                <w:b/>
                <w:bCs/>
                <w:color w:val="000000"/>
                <w:sz w:val="20"/>
                <w:szCs w:val="20"/>
                <w:lang w:val="en-US"/>
              </w:rPr>
            </w:pPr>
            <w:r w:rsidRPr="004C7B8C">
              <w:rPr>
                <w:rFonts w:ascii="Arial" w:eastAsia="Times New Roman" w:hAnsi="Arial" w:cs="Arial"/>
                <w:b/>
                <w:bCs/>
                <w:color w:val="000000"/>
                <w:sz w:val="20"/>
                <w:szCs w:val="20"/>
                <w:lang w:val="en-US"/>
              </w:rPr>
              <w:t>₡</w:t>
            </w:r>
            <w:r w:rsidRPr="004C7B8C">
              <w:rPr>
                <w:rFonts w:eastAsia="Times New Roman" w:cs="Calibri"/>
                <w:b/>
                <w:bCs/>
                <w:color w:val="000000"/>
                <w:sz w:val="20"/>
                <w:szCs w:val="20"/>
                <w:lang w:val="en-US"/>
              </w:rPr>
              <w:t>3 474,77</w:t>
            </w:r>
          </w:p>
        </w:tc>
        <w:tc>
          <w:tcPr>
            <w:tcW w:w="222" w:type="dxa"/>
            <w:vAlign w:val="center"/>
            <w:hideMark/>
          </w:tcPr>
          <w:p w14:paraId="4EE83221" w14:textId="77777777" w:rsidR="004C7B8C" w:rsidRPr="004C7B8C" w:rsidRDefault="004C7B8C" w:rsidP="004C7B8C">
            <w:pPr>
              <w:spacing w:after="0" w:line="240" w:lineRule="auto"/>
              <w:jc w:val="left"/>
              <w:rPr>
                <w:rFonts w:ascii="Times New Roman" w:eastAsia="Times New Roman" w:hAnsi="Times New Roman" w:cs="Times New Roman"/>
                <w:sz w:val="20"/>
                <w:szCs w:val="20"/>
                <w:lang w:val="en-US"/>
              </w:rPr>
            </w:pPr>
          </w:p>
        </w:tc>
      </w:tr>
    </w:tbl>
    <w:p w14:paraId="0B0C3655" w14:textId="77777777" w:rsidR="009E732C" w:rsidRDefault="009E732C" w:rsidP="001242F7">
      <w:pPr>
        <w:tabs>
          <w:tab w:val="left" w:pos="1041"/>
        </w:tabs>
        <w:spacing w:after="120" w:line="240" w:lineRule="auto"/>
        <w:rPr>
          <w:lang w:val="es-ES"/>
        </w:rPr>
      </w:pPr>
    </w:p>
    <w:p w14:paraId="32C31DDF" w14:textId="77777777" w:rsidR="009E732C" w:rsidRDefault="009E732C" w:rsidP="001242F7">
      <w:pPr>
        <w:tabs>
          <w:tab w:val="left" w:pos="1041"/>
        </w:tabs>
        <w:spacing w:after="120" w:line="240" w:lineRule="auto"/>
        <w:rPr>
          <w:lang w:val="es-ES"/>
        </w:rPr>
      </w:pPr>
    </w:p>
    <w:p w14:paraId="733301E3" w14:textId="2E94C8DD" w:rsidR="00C572A3" w:rsidRDefault="001242F7" w:rsidP="001242F7">
      <w:pPr>
        <w:tabs>
          <w:tab w:val="left" w:pos="1041"/>
        </w:tabs>
        <w:spacing w:after="120" w:line="240" w:lineRule="auto"/>
        <w:rPr>
          <w:rFonts w:asciiTheme="minorHAnsi" w:hAnsiTheme="minorHAnsi"/>
          <w:sz w:val="22"/>
        </w:rPr>
      </w:pPr>
      <w:r>
        <w:rPr>
          <w:lang w:val="es-ES"/>
        </w:rPr>
        <w:fldChar w:fldCharType="begin"/>
      </w:r>
      <w:r>
        <w:rPr>
          <w:lang w:val="es-ES"/>
        </w:rPr>
        <w:instrText xml:space="preserve"> LINK </w:instrText>
      </w:r>
      <w:r w:rsidR="0068177A">
        <w:rPr>
          <w:lang w:val="es-ES"/>
        </w:rPr>
        <w:instrText xml:space="preserve">Excel.SheetMacroEnabled.12 "C:\\Users\\arges\\OneDrive\\Desktop\\Municipalidades\\Buenos Aires\\Cierre Junio 2024\\Notas Contables\\15603_T02_2024_Anexo_Estado_Notas_Contables_Vinculadas.xlsm" NOTAS_POR_CUENTA!R68C1:R70C6 </w:instrText>
      </w:r>
      <w:r>
        <w:rPr>
          <w:lang w:val="es-ES"/>
        </w:rPr>
        <w:instrText xml:space="preserve">\a \f 4 \h </w:instrText>
      </w:r>
      <w:r>
        <w:rPr>
          <w:lang w:val="es-ES"/>
        </w:rPr>
        <w:fldChar w:fldCharType="separate"/>
      </w:r>
    </w:p>
    <w:tbl>
      <w:tblPr>
        <w:tblW w:w="10080" w:type="dxa"/>
        <w:tblLook w:val="04A0" w:firstRow="1" w:lastRow="0" w:firstColumn="1" w:lastColumn="0" w:noHBand="0" w:noVBand="1"/>
      </w:tblPr>
      <w:tblGrid>
        <w:gridCol w:w="791"/>
        <w:gridCol w:w="3265"/>
        <w:gridCol w:w="544"/>
        <w:gridCol w:w="2200"/>
        <w:gridCol w:w="2200"/>
        <w:gridCol w:w="1080"/>
      </w:tblGrid>
      <w:tr w:rsidR="00C572A3" w:rsidRPr="00C572A3" w14:paraId="0077F946" w14:textId="77777777" w:rsidTr="00C572A3">
        <w:trPr>
          <w:divId w:val="2028601751"/>
          <w:trHeight w:val="320"/>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BBC33C9" w14:textId="6EA96275" w:rsidR="00C572A3" w:rsidRPr="00C572A3" w:rsidRDefault="00C572A3" w:rsidP="00C572A3">
            <w:pPr>
              <w:spacing w:after="0" w:line="240" w:lineRule="auto"/>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E1B51EE"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Descripción</w:t>
            </w:r>
          </w:p>
        </w:tc>
        <w:tc>
          <w:tcPr>
            <w:tcW w:w="5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922E760"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Nota</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B1309D2"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Actual </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46C7CC1"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Anterior </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10FACC30"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Diferencia </w:t>
            </w:r>
          </w:p>
        </w:tc>
      </w:tr>
      <w:tr w:rsidR="00C572A3" w:rsidRPr="00C572A3" w14:paraId="6FB52BD8" w14:textId="77777777" w:rsidTr="00C572A3">
        <w:trPr>
          <w:divId w:val="2028601751"/>
          <w:trHeight w:val="320"/>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15A2AFE0"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1D41D5C2"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14:paraId="01B226FE"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2A8EA040"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3CA67B66"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1080" w:type="dxa"/>
            <w:tcBorders>
              <w:top w:val="nil"/>
              <w:left w:val="nil"/>
              <w:bottom w:val="single" w:sz="8" w:space="0" w:color="auto"/>
              <w:right w:val="single" w:sz="8" w:space="0" w:color="auto"/>
            </w:tcBorders>
            <w:shd w:val="clear" w:color="000000" w:fill="366092"/>
            <w:noWrap/>
            <w:vAlign w:val="center"/>
            <w:hideMark/>
          </w:tcPr>
          <w:p w14:paraId="59D8DD78" w14:textId="77777777" w:rsidR="00C572A3" w:rsidRPr="00C572A3" w:rsidRDefault="00C572A3" w:rsidP="00C572A3">
            <w:pPr>
              <w:spacing w:after="0" w:line="240" w:lineRule="auto"/>
              <w:jc w:val="center"/>
              <w:rPr>
                <w:rFonts w:eastAsia="Times New Roman" w:cs="Calibri"/>
                <w:color w:val="FFFFFF"/>
                <w:sz w:val="18"/>
                <w:szCs w:val="18"/>
                <w:lang w:val="en-US"/>
              </w:rPr>
            </w:pPr>
            <w:r w:rsidRPr="00C572A3">
              <w:rPr>
                <w:rFonts w:eastAsia="Times New Roman" w:cs="Calibri"/>
                <w:color w:val="FFFFFF"/>
                <w:sz w:val="18"/>
                <w:szCs w:val="18"/>
                <w:lang w:val="en-US"/>
              </w:rPr>
              <w:t>%</w:t>
            </w:r>
          </w:p>
        </w:tc>
      </w:tr>
      <w:tr w:rsidR="00C572A3" w:rsidRPr="00C572A3" w14:paraId="2B0C19A8" w14:textId="77777777" w:rsidTr="00C572A3">
        <w:trPr>
          <w:divId w:val="2028601751"/>
          <w:trHeight w:val="470"/>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145FE2DA" w14:textId="77777777" w:rsidR="00C572A3" w:rsidRPr="00C572A3" w:rsidRDefault="00C572A3" w:rsidP="00C572A3">
            <w:pPr>
              <w:spacing w:after="0" w:line="240" w:lineRule="auto"/>
              <w:jc w:val="left"/>
              <w:rPr>
                <w:rFonts w:eastAsia="Times New Roman" w:cs="Calibri"/>
                <w:b/>
                <w:bCs/>
                <w:color w:val="000000"/>
                <w:sz w:val="18"/>
                <w:szCs w:val="18"/>
                <w:lang w:val="en-US"/>
              </w:rPr>
            </w:pPr>
            <w:r w:rsidRPr="00C572A3">
              <w:rPr>
                <w:rFonts w:eastAsia="Times New Roman" w:cs="Calibri"/>
                <w:b/>
                <w:bCs/>
                <w:color w:val="000000"/>
                <w:sz w:val="18"/>
                <w:szCs w:val="18"/>
                <w:lang w:val="en-US"/>
              </w:rPr>
              <w:t>1.2.5.99.</w:t>
            </w:r>
          </w:p>
        </w:tc>
        <w:tc>
          <w:tcPr>
            <w:tcW w:w="3380" w:type="dxa"/>
            <w:tcBorders>
              <w:top w:val="nil"/>
              <w:left w:val="nil"/>
              <w:bottom w:val="single" w:sz="8" w:space="0" w:color="auto"/>
              <w:right w:val="single" w:sz="8" w:space="0" w:color="auto"/>
            </w:tcBorders>
            <w:shd w:val="clear" w:color="auto" w:fill="auto"/>
            <w:vAlign w:val="center"/>
            <w:hideMark/>
          </w:tcPr>
          <w:p w14:paraId="3D8E6F88" w14:textId="77777777" w:rsidR="00C572A3" w:rsidRPr="00C572A3" w:rsidRDefault="00C572A3" w:rsidP="00C572A3">
            <w:pPr>
              <w:spacing w:after="0" w:line="240" w:lineRule="auto"/>
              <w:jc w:val="left"/>
              <w:rPr>
                <w:rFonts w:eastAsia="Times New Roman" w:cs="Calibri"/>
                <w:b/>
                <w:bCs/>
                <w:color w:val="000000"/>
                <w:sz w:val="18"/>
                <w:szCs w:val="18"/>
              </w:rPr>
            </w:pPr>
            <w:r w:rsidRPr="00C572A3">
              <w:rPr>
                <w:rFonts w:eastAsia="Times New Roman" w:cs="Calibri"/>
                <w:b/>
                <w:bCs/>
                <w:color w:val="000000"/>
                <w:sz w:val="18"/>
                <w:szCs w:val="18"/>
              </w:rPr>
              <w:t>Bienes no concesionados en proceso de producción</w:t>
            </w:r>
          </w:p>
        </w:tc>
        <w:tc>
          <w:tcPr>
            <w:tcW w:w="520" w:type="dxa"/>
            <w:tcBorders>
              <w:top w:val="nil"/>
              <w:left w:val="nil"/>
              <w:bottom w:val="single" w:sz="8" w:space="0" w:color="auto"/>
              <w:right w:val="single" w:sz="8" w:space="0" w:color="auto"/>
            </w:tcBorders>
            <w:shd w:val="clear" w:color="auto" w:fill="auto"/>
            <w:noWrap/>
            <w:vAlign w:val="center"/>
            <w:hideMark/>
          </w:tcPr>
          <w:p w14:paraId="1C597FF0"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10</w:t>
            </w:r>
          </w:p>
        </w:tc>
        <w:tc>
          <w:tcPr>
            <w:tcW w:w="2200" w:type="dxa"/>
            <w:tcBorders>
              <w:top w:val="nil"/>
              <w:left w:val="nil"/>
              <w:bottom w:val="single" w:sz="8" w:space="0" w:color="auto"/>
              <w:right w:val="single" w:sz="8" w:space="0" w:color="auto"/>
            </w:tcBorders>
            <w:shd w:val="clear" w:color="auto" w:fill="auto"/>
            <w:noWrap/>
            <w:vAlign w:val="center"/>
            <w:hideMark/>
          </w:tcPr>
          <w:p w14:paraId="308DD143"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97 579,15 </w:t>
            </w:r>
          </w:p>
        </w:tc>
        <w:tc>
          <w:tcPr>
            <w:tcW w:w="2200" w:type="dxa"/>
            <w:tcBorders>
              <w:top w:val="nil"/>
              <w:left w:val="nil"/>
              <w:bottom w:val="single" w:sz="8" w:space="0" w:color="auto"/>
              <w:right w:val="single" w:sz="8" w:space="0" w:color="auto"/>
            </w:tcBorders>
            <w:shd w:val="clear" w:color="auto" w:fill="auto"/>
            <w:noWrap/>
            <w:vAlign w:val="center"/>
            <w:hideMark/>
          </w:tcPr>
          <w:p w14:paraId="4BA1BE39"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77 580,96 </w:t>
            </w:r>
          </w:p>
        </w:tc>
        <w:tc>
          <w:tcPr>
            <w:tcW w:w="1080" w:type="dxa"/>
            <w:tcBorders>
              <w:top w:val="nil"/>
              <w:left w:val="nil"/>
              <w:bottom w:val="single" w:sz="8" w:space="0" w:color="auto"/>
              <w:right w:val="single" w:sz="8" w:space="0" w:color="auto"/>
            </w:tcBorders>
            <w:shd w:val="clear" w:color="auto" w:fill="auto"/>
            <w:noWrap/>
            <w:vAlign w:val="center"/>
            <w:hideMark/>
          </w:tcPr>
          <w:p w14:paraId="170B641B"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25,78%</w:t>
            </w:r>
          </w:p>
        </w:tc>
      </w:tr>
    </w:tbl>
    <w:p w14:paraId="392A2D20" w14:textId="65689900" w:rsidR="009E732C" w:rsidRDefault="001242F7" w:rsidP="005038C4">
      <w:pPr>
        <w:tabs>
          <w:tab w:val="left" w:pos="1041"/>
        </w:tabs>
        <w:spacing w:after="0" w:line="240" w:lineRule="auto"/>
        <w:rPr>
          <w:b/>
          <w:bCs/>
          <w:lang w:val="es-ES"/>
        </w:rPr>
      </w:pPr>
      <w:r>
        <w:rPr>
          <w:lang w:val="es-ES"/>
        </w:rPr>
        <w:fldChar w:fldCharType="end"/>
      </w:r>
    </w:p>
    <w:p w14:paraId="0B2C5BEF" w14:textId="7066F74D" w:rsidR="00694299" w:rsidRPr="00694299" w:rsidRDefault="00692DC8" w:rsidP="009E732C">
      <w:pPr>
        <w:tabs>
          <w:tab w:val="left" w:pos="1041"/>
        </w:tabs>
        <w:spacing w:after="120" w:line="240" w:lineRule="auto"/>
        <w:rPr>
          <w:b/>
          <w:bCs/>
          <w:lang w:val="es-ES"/>
        </w:rPr>
      </w:pPr>
      <w:r w:rsidRPr="00692DC8">
        <w:rPr>
          <w:b/>
          <w:bCs/>
          <w:lang w:val="es-ES"/>
        </w:rPr>
        <w:t>Revelación</w:t>
      </w:r>
      <w:r w:rsidRPr="00692DC8">
        <w:rPr>
          <w:lang w:val="es-ES"/>
        </w:rPr>
        <w:t xml:space="preserve">: </w:t>
      </w:r>
      <w:r w:rsidR="00654C21">
        <w:rPr>
          <w:rFonts w:eastAsia="Times New Roman" w:cs="Calibri"/>
          <w:color w:val="000000"/>
          <w:lang w:eastAsia="es-CR"/>
        </w:rPr>
        <w:fldChar w:fldCharType="begin"/>
      </w:r>
      <w:r w:rsidR="00654C21">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NOTAS_POR_CUENTA!F70C8 </w:instrText>
      </w:r>
      <w:r w:rsidR="00654C21">
        <w:rPr>
          <w:rFonts w:eastAsia="Times New Roman" w:cs="Calibri"/>
          <w:color w:val="000000"/>
          <w:lang w:eastAsia="es-CR"/>
        </w:rPr>
        <w:instrText xml:space="preserve">\a \f 5 \h  \* MERGEFORMAT </w:instrText>
      </w:r>
      <w:r w:rsidR="00654C21">
        <w:rPr>
          <w:rFonts w:eastAsia="Times New Roman" w:cs="Calibri"/>
          <w:color w:val="000000"/>
          <w:lang w:eastAsia="es-CR"/>
        </w:rPr>
        <w:fldChar w:fldCharType="separate"/>
      </w:r>
    </w:p>
    <w:p w14:paraId="708F2125" w14:textId="3D243B48" w:rsidR="00694299" w:rsidRPr="00E4611E" w:rsidRDefault="00694299" w:rsidP="00E4611E">
      <w:pPr>
        <w:spacing w:line="240" w:lineRule="auto"/>
        <w:rPr>
          <w:rFonts w:eastAsia="Times New Roman" w:cs="Calibri"/>
          <w:sz w:val="20"/>
          <w:szCs w:val="20"/>
        </w:rPr>
      </w:pPr>
      <w:r w:rsidRPr="00694299">
        <w:rPr>
          <w:rFonts w:eastAsia="Times New Roman" w:cs="Calibri"/>
          <w:color w:val="000000"/>
          <w:lang w:eastAsia="es-CR"/>
        </w:rPr>
        <w:t>La cuenta Bienes no concesionados en proceso de producción, representa el 0,0</w:t>
      </w:r>
      <w:r w:rsidR="00E4611E">
        <w:rPr>
          <w:rFonts w:eastAsia="Times New Roman" w:cs="Calibri"/>
          <w:color w:val="000000"/>
          <w:lang w:eastAsia="es-CR"/>
        </w:rPr>
        <w:t>6</w:t>
      </w:r>
      <w:r w:rsidRPr="00694299">
        <w:rPr>
          <w:rFonts w:eastAsia="Times New Roman" w:cs="Calibri"/>
          <w:color w:val="000000"/>
          <w:lang w:eastAsia="es-CR"/>
        </w:rPr>
        <w:t xml:space="preserve">% del total del Activo, que comparado al periodo anterior genera una variación absoluta de </w:t>
      </w:r>
      <w:r w:rsidR="00E4611E" w:rsidRPr="00E4611E">
        <w:rPr>
          <w:rFonts w:eastAsia="Times New Roman" w:cs="Calibri"/>
          <w:color w:val="000000"/>
          <w:lang w:eastAsia="es-CR"/>
        </w:rPr>
        <w:t>19 998,19</w:t>
      </w:r>
      <w:r w:rsidRPr="00694299">
        <w:rPr>
          <w:rFonts w:eastAsia="Times New Roman" w:cs="Calibri"/>
          <w:color w:val="000000"/>
          <w:lang w:eastAsia="es-CR"/>
        </w:rPr>
        <w:t xml:space="preserve"> que corresponde a un Aumento del </w:t>
      </w:r>
      <w:r w:rsidR="00E4611E">
        <w:rPr>
          <w:rFonts w:eastAsia="Times New Roman" w:cs="Calibri"/>
          <w:color w:val="000000"/>
          <w:lang w:eastAsia="es-CR"/>
        </w:rPr>
        <w:t>25</w:t>
      </w:r>
      <w:r w:rsidRPr="00694299">
        <w:rPr>
          <w:rFonts w:eastAsia="Times New Roman" w:cs="Calibri"/>
          <w:color w:val="000000"/>
          <w:lang w:eastAsia="es-CR"/>
        </w:rPr>
        <w:t>,</w:t>
      </w:r>
      <w:r w:rsidR="00E4611E">
        <w:rPr>
          <w:rFonts w:eastAsia="Times New Roman" w:cs="Calibri"/>
          <w:color w:val="000000"/>
          <w:lang w:eastAsia="es-CR"/>
        </w:rPr>
        <w:t>78</w:t>
      </w:r>
      <w:r w:rsidRPr="00694299">
        <w:rPr>
          <w:rFonts w:eastAsia="Times New Roman" w:cs="Calibri"/>
          <w:color w:val="000000"/>
          <w:lang w:eastAsia="es-CR"/>
        </w:rPr>
        <w:t>% de recursos disponibles.</w:t>
      </w:r>
    </w:p>
    <w:p w14:paraId="795FA6B9" w14:textId="617657DE" w:rsidR="003421AB" w:rsidRDefault="00654C21" w:rsidP="005038C4">
      <w:pPr>
        <w:spacing w:after="0" w:line="240" w:lineRule="auto"/>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1F5F92F1" w14:textId="77777777" w:rsidR="005038C4" w:rsidRDefault="005038C4" w:rsidP="005038C4">
      <w:pPr>
        <w:spacing w:after="0" w:line="240" w:lineRule="auto"/>
        <w:rPr>
          <w:rFonts w:eastAsia="Times New Roman" w:cs="Calibri"/>
          <w:color w:val="000000"/>
          <w:lang w:eastAsia="es-CR"/>
        </w:rPr>
      </w:pPr>
    </w:p>
    <w:p w14:paraId="42EE5A65" w14:textId="77777777" w:rsidR="00901D21" w:rsidRDefault="00901D21" w:rsidP="005038C4">
      <w:pPr>
        <w:spacing w:after="0" w:line="240" w:lineRule="auto"/>
      </w:pPr>
      <w:r w:rsidRPr="000F305B">
        <w:t>El detalle de los pagos realizados a la empresa NETSOFT DE COSTA RICA S.A. es el siguiente:</w:t>
      </w:r>
    </w:p>
    <w:p w14:paraId="4D0EA936" w14:textId="77777777" w:rsidR="00901D21" w:rsidRPr="000F305B" w:rsidRDefault="00901D21" w:rsidP="00901D21">
      <w:pPr>
        <w:spacing w:after="0" w:line="240" w:lineRule="auto"/>
      </w:pPr>
      <w:r w:rsidRPr="000F305B">
        <w:t xml:space="preserve">  </w:t>
      </w:r>
    </w:p>
    <w:tbl>
      <w:tblPr>
        <w:tblW w:w="8739" w:type="dxa"/>
        <w:tblLook w:val="04A0" w:firstRow="1" w:lastRow="0" w:firstColumn="1" w:lastColumn="0" w:noHBand="0" w:noVBand="1"/>
      </w:tblPr>
      <w:tblGrid>
        <w:gridCol w:w="3818"/>
        <w:gridCol w:w="1272"/>
        <w:gridCol w:w="1418"/>
        <w:gridCol w:w="1276"/>
        <w:gridCol w:w="955"/>
      </w:tblGrid>
      <w:tr w:rsidR="005038C4" w:rsidRPr="005038C4" w14:paraId="5A1DA250" w14:textId="77777777" w:rsidTr="005038C4">
        <w:trPr>
          <w:trHeight w:val="540"/>
        </w:trPr>
        <w:tc>
          <w:tcPr>
            <w:tcW w:w="3818" w:type="dxa"/>
            <w:tcBorders>
              <w:top w:val="single" w:sz="8" w:space="0" w:color="auto"/>
              <w:left w:val="single" w:sz="8" w:space="0" w:color="auto"/>
              <w:bottom w:val="nil"/>
              <w:right w:val="single" w:sz="12" w:space="0" w:color="auto"/>
            </w:tcBorders>
            <w:shd w:val="clear" w:color="000000" w:fill="002060"/>
            <w:noWrap/>
            <w:vAlign w:val="center"/>
            <w:hideMark/>
          </w:tcPr>
          <w:p w14:paraId="1C53B576" w14:textId="77777777" w:rsidR="005038C4" w:rsidRPr="005038C4" w:rsidRDefault="005038C4" w:rsidP="005038C4">
            <w:pPr>
              <w:spacing w:after="0" w:line="240" w:lineRule="auto"/>
              <w:jc w:val="center"/>
              <w:rPr>
                <w:rFonts w:eastAsia="Times New Roman" w:cs="Calibri"/>
                <w:b/>
                <w:bCs/>
                <w:color w:val="FFFFFF"/>
                <w:sz w:val="20"/>
                <w:szCs w:val="20"/>
                <w:lang w:val="en-US"/>
              </w:rPr>
            </w:pPr>
            <w:r w:rsidRPr="005038C4">
              <w:rPr>
                <w:rFonts w:eastAsia="Times New Roman" w:cs="Calibri"/>
                <w:b/>
                <w:bCs/>
                <w:color w:val="FFFFFF"/>
                <w:sz w:val="20"/>
                <w:szCs w:val="20"/>
                <w:lang w:val="en-US"/>
              </w:rPr>
              <w:t>Descripción</w:t>
            </w:r>
          </w:p>
        </w:tc>
        <w:tc>
          <w:tcPr>
            <w:tcW w:w="1272" w:type="dxa"/>
            <w:tcBorders>
              <w:top w:val="single" w:sz="8" w:space="0" w:color="auto"/>
              <w:left w:val="nil"/>
              <w:bottom w:val="nil"/>
              <w:right w:val="single" w:sz="12" w:space="0" w:color="auto"/>
            </w:tcBorders>
            <w:shd w:val="clear" w:color="000000" w:fill="002060"/>
            <w:vAlign w:val="center"/>
            <w:hideMark/>
          </w:tcPr>
          <w:p w14:paraId="52652BCF" w14:textId="77777777" w:rsidR="005038C4" w:rsidRPr="005038C4" w:rsidRDefault="005038C4" w:rsidP="005038C4">
            <w:pPr>
              <w:spacing w:after="0" w:line="240" w:lineRule="auto"/>
              <w:jc w:val="center"/>
              <w:rPr>
                <w:rFonts w:eastAsia="Times New Roman" w:cs="Calibri"/>
                <w:b/>
                <w:bCs/>
                <w:color w:val="FFFFFF"/>
                <w:sz w:val="20"/>
                <w:szCs w:val="20"/>
                <w:lang w:val="en-US"/>
              </w:rPr>
            </w:pPr>
            <w:r w:rsidRPr="005038C4">
              <w:rPr>
                <w:rFonts w:eastAsia="Times New Roman" w:cs="Calibri"/>
                <w:b/>
                <w:bCs/>
                <w:color w:val="FFFFFF"/>
                <w:sz w:val="20"/>
                <w:szCs w:val="20"/>
                <w:lang w:val="en-US"/>
              </w:rPr>
              <w:t>Saldo Año Actual</w:t>
            </w:r>
          </w:p>
        </w:tc>
        <w:tc>
          <w:tcPr>
            <w:tcW w:w="1418" w:type="dxa"/>
            <w:tcBorders>
              <w:top w:val="single" w:sz="8" w:space="0" w:color="auto"/>
              <w:left w:val="nil"/>
              <w:bottom w:val="nil"/>
              <w:right w:val="single" w:sz="12" w:space="0" w:color="auto"/>
            </w:tcBorders>
            <w:shd w:val="clear" w:color="000000" w:fill="002060"/>
            <w:vAlign w:val="center"/>
            <w:hideMark/>
          </w:tcPr>
          <w:p w14:paraId="0E4E8A08" w14:textId="77777777" w:rsidR="005038C4" w:rsidRPr="005038C4" w:rsidRDefault="005038C4" w:rsidP="005038C4">
            <w:pPr>
              <w:spacing w:after="0" w:line="240" w:lineRule="auto"/>
              <w:jc w:val="center"/>
              <w:rPr>
                <w:rFonts w:eastAsia="Times New Roman" w:cs="Calibri"/>
                <w:b/>
                <w:bCs/>
                <w:color w:val="FFFFFF"/>
                <w:sz w:val="20"/>
                <w:szCs w:val="20"/>
                <w:lang w:val="en-US"/>
              </w:rPr>
            </w:pPr>
            <w:r w:rsidRPr="005038C4">
              <w:rPr>
                <w:rFonts w:eastAsia="Times New Roman" w:cs="Calibri"/>
                <w:b/>
                <w:bCs/>
                <w:color w:val="FFFFFF"/>
                <w:sz w:val="20"/>
                <w:szCs w:val="20"/>
                <w:lang w:val="en-US"/>
              </w:rPr>
              <w:t>Saldo Año Anterior</w:t>
            </w:r>
          </w:p>
        </w:tc>
        <w:tc>
          <w:tcPr>
            <w:tcW w:w="1276" w:type="dxa"/>
            <w:tcBorders>
              <w:top w:val="single" w:sz="8" w:space="0" w:color="auto"/>
              <w:left w:val="nil"/>
              <w:bottom w:val="nil"/>
              <w:right w:val="single" w:sz="12" w:space="0" w:color="auto"/>
            </w:tcBorders>
            <w:shd w:val="clear" w:color="000000" w:fill="002060"/>
            <w:vAlign w:val="center"/>
            <w:hideMark/>
          </w:tcPr>
          <w:p w14:paraId="7612029C" w14:textId="77777777" w:rsidR="005038C4" w:rsidRPr="005038C4" w:rsidRDefault="005038C4" w:rsidP="005038C4">
            <w:pPr>
              <w:spacing w:after="0" w:line="240" w:lineRule="auto"/>
              <w:jc w:val="center"/>
              <w:rPr>
                <w:rFonts w:eastAsia="Times New Roman" w:cs="Calibri"/>
                <w:b/>
                <w:bCs/>
                <w:color w:val="FFFFFF"/>
                <w:sz w:val="20"/>
                <w:szCs w:val="20"/>
                <w:lang w:val="en-US"/>
              </w:rPr>
            </w:pPr>
            <w:r w:rsidRPr="005038C4">
              <w:rPr>
                <w:rFonts w:eastAsia="Times New Roman" w:cs="Calibri"/>
                <w:b/>
                <w:bCs/>
                <w:color w:val="FFFFFF"/>
                <w:sz w:val="20"/>
                <w:szCs w:val="20"/>
                <w:lang w:val="en-US"/>
              </w:rPr>
              <w:t>Variación Absoluta</w:t>
            </w:r>
          </w:p>
        </w:tc>
        <w:tc>
          <w:tcPr>
            <w:tcW w:w="955" w:type="dxa"/>
            <w:tcBorders>
              <w:top w:val="single" w:sz="8" w:space="0" w:color="auto"/>
              <w:left w:val="nil"/>
              <w:bottom w:val="nil"/>
              <w:right w:val="single" w:sz="8" w:space="0" w:color="auto"/>
            </w:tcBorders>
            <w:shd w:val="clear" w:color="000000" w:fill="002060"/>
            <w:vAlign w:val="center"/>
            <w:hideMark/>
          </w:tcPr>
          <w:p w14:paraId="2BFB133C" w14:textId="77777777" w:rsidR="005038C4" w:rsidRPr="005038C4" w:rsidRDefault="005038C4" w:rsidP="005038C4">
            <w:pPr>
              <w:spacing w:after="0" w:line="240" w:lineRule="auto"/>
              <w:jc w:val="center"/>
              <w:rPr>
                <w:rFonts w:eastAsia="Times New Roman" w:cs="Calibri"/>
                <w:b/>
                <w:bCs/>
                <w:color w:val="FFFFFF"/>
                <w:sz w:val="20"/>
                <w:szCs w:val="20"/>
                <w:lang w:val="en-US"/>
              </w:rPr>
            </w:pPr>
            <w:r w:rsidRPr="005038C4">
              <w:rPr>
                <w:rFonts w:eastAsia="Times New Roman" w:cs="Calibri"/>
                <w:b/>
                <w:bCs/>
                <w:color w:val="FFFFFF"/>
                <w:sz w:val="20"/>
                <w:szCs w:val="20"/>
                <w:lang w:val="en-US"/>
              </w:rPr>
              <w:t>Variación %</w:t>
            </w:r>
          </w:p>
        </w:tc>
      </w:tr>
      <w:tr w:rsidR="005038C4" w:rsidRPr="005038C4" w14:paraId="55AA5BC7" w14:textId="77777777" w:rsidTr="005038C4">
        <w:trPr>
          <w:trHeight w:val="310"/>
        </w:trPr>
        <w:tc>
          <w:tcPr>
            <w:tcW w:w="381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DE8B5C6" w14:textId="77777777" w:rsidR="005038C4" w:rsidRPr="005038C4" w:rsidRDefault="005038C4" w:rsidP="005038C4">
            <w:pPr>
              <w:spacing w:after="0" w:line="240" w:lineRule="auto"/>
              <w:jc w:val="left"/>
              <w:rPr>
                <w:rFonts w:eastAsia="Times New Roman" w:cs="Calibri"/>
                <w:color w:val="000000"/>
                <w:sz w:val="18"/>
                <w:szCs w:val="18"/>
              </w:rPr>
            </w:pPr>
            <w:r w:rsidRPr="005038C4">
              <w:rPr>
                <w:rFonts w:eastAsia="Times New Roman" w:cs="Calibri"/>
                <w:color w:val="000000"/>
                <w:sz w:val="18"/>
                <w:szCs w:val="18"/>
              </w:rPr>
              <w:t>Producción en proceso de software y programas</w:t>
            </w:r>
          </w:p>
        </w:tc>
        <w:tc>
          <w:tcPr>
            <w:tcW w:w="1272" w:type="dxa"/>
            <w:tcBorders>
              <w:top w:val="single" w:sz="8" w:space="0" w:color="auto"/>
              <w:left w:val="nil"/>
              <w:bottom w:val="single" w:sz="4" w:space="0" w:color="auto"/>
              <w:right w:val="single" w:sz="4" w:space="0" w:color="auto"/>
            </w:tcBorders>
            <w:shd w:val="clear" w:color="auto" w:fill="auto"/>
            <w:noWrap/>
            <w:vAlign w:val="center"/>
            <w:hideMark/>
          </w:tcPr>
          <w:p w14:paraId="23923730" w14:textId="1520B044" w:rsidR="005038C4" w:rsidRPr="005038C4" w:rsidRDefault="005038C4" w:rsidP="005038C4">
            <w:pPr>
              <w:spacing w:after="0" w:line="240" w:lineRule="auto"/>
              <w:ind w:left="-113"/>
              <w:jc w:val="right"/>
              <w:rPr>
                <w:rFonts w:eastAsia="Times New Roman" w:cs="Calibri"/>
                <w:color w:val="000000"/>
                <w:sz w:val="18"/>
                <w:szCs w:val="18"/>
                <w:lang w:val="en-US"/>
              </w:rPr>
            </w:pPr>
            <w:r w:rsidRPr="005038C4">
              <w:rPr>
                <w:rFonts w:ascii="Arial" w:eastAsia="Times New Roman" w:hAnsi="Arial" w:cs="Arial"/>
                <w:color w:val="000000"/>
                <w:sz w:val="18"/>
                <w:szCs w:val="18"/>
                <w:lang w:val="en-US"/>
              </w:rPr>
              <w:t>₡</w:t>
            </w:r>
            <w:r w:rsidRPr="005038C4">
              <w:rPr>
                <w:rFonts w:eastAsia="Times New Roman" w:cs="Calibri"/>
                <w:color w:val="000000"/>
                <w:sz w:val="18"/>
                <w:szCs w:val="18"/>
                <w:lang w:val="en-US"/>
              </w:rPr>
              <w:t>10 925 838,63</w:t>
            </w:r>
          </w:p>
        </w:tc>
        <w:tc>
          <w:tcPr>
            <w:tcW w:w="1418" w:type="dxa"/>
            <w:tcBorders>
              <w:top w:val="single" w:sz="8" w:space="0" w:color="auto"/>
              <w:left w:val="nil"/>
              <w:bottom w:val="single" w:sz="4" w:space="0" w:color="auto"/>
              <w:right w:val="single" w:sz="4" w:space="0" w:color="auto"/>
            </w:tcBorders>
            <w:shd w:val="clear" w:color="auto" w:fill="auto"/>
            <w:noWrap/>
            <w:vAlign w:val="center"/>
            <w:hideMark/>
          </w:tcPr>
          <w:p w14:paraId="3B5BE023" w14:textId="77777777" w:rsidR="005038C4" w:rsidRPr="005038C4" w:rsidRDefault="005038C4" w:rsidP="005038C4">
            <w:pPr>
              <w:spacing w:after="0" w:line="240" w:lineRule="auto"/>
              <w:jc w:val="right"/>
              <w:rPr>
                <w:rFonts w:eastAsia="Times New Roman" w:cs="Arial"/>
                <w:color w:val="000000"/>
                <w:sz w:val="18"/>
                <w:szCs w:val="18"/>
                <w:lang w:val="en-US"/>
              </w:rPr>
            </w:pPr>
            <w:r w:rsidRPr="005038C4">
              <w:rPr>
                <w:rFonts w:ascii="Arial" w:eastAsia="Times New Roman" w:hAnsi="Arial" w:cs="Arial"/>
                <w:color w:val="000000"/>
                <w:sz w:val="18"/>
                <w:szCs w:val="18"/>
                <w:lang w:val="en-US"/>
              </w:rPr>
              <w:t>₡</w:t>
            </w:r>
            <w:r w:rsidRPr="005038C4">
              <w:rPr>
                <w:rFonts w:eastAsia="Times New Roman" w:cs="Arial"/>
                <w:color w:val="000000"/>
                <w:sz w:val="18"/>
                <w:szCs w:val="18"/>
                <w:lang w:val="en-US"/>
              </w:rPr>
              <w:t>10 925 838,63</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14:paraId="4EB2854B" w14:textId="01592BCC" w:rsidR="005038C4" w:rsidRPr="005038C4" w:rsidRDefault="005038C4" w:rsidP="005038C4">
            <w:pPr>
              <w:spacing w:after="0" w:line="240" w:lineRule="auto"/>
              <w:jc w:val="right"/>
              <w:rPr>
                <w:rFonts w:eastAsia="Times New Roman" w:cs="Calibri"/>
                <w:color w:val="000000"/>
                <w:sz w:val="18"/>
                <w:szCs w:val="18"/>
                <w:lang w:val="en-US"/>
              </w:rPr>
            </w:pPr>
            <w:r w:rsidRPr="005038C4">
              <w:rPr>
                <w:rFonts w:ascii="Arial" w:eastAsia="Times New Roman" w:hAnsi="Arial" w:cs="Arial"/>
                <w:color w:val="000000"/>
                <w:sz w:val="18"/>
                <w:szCs w:val="18"/>
                <w:lang w:val="en-US"/>
              </w:rPr>
              <w:t>₡</w:t>
            </w:r>
            <w:r w:rsidRPr="005038C4">
              <w:rPr>
                <w:rFonts w:eastAsia="Times New Roman" w:cs="Calibri"/>
                <w:color w:val="000000"/>
                <w:sz w:val="18"/>
                <w:szCs w:val="18"/>
                <w:lang w:val="en-US"/>
              </w:rPr>
              <w:t>0,00</w:t>
            </w:r>
          </w:p>
        </w:tc>
        <w:tc>
          <w:tcPr>
            <w:tcW w:w="955" w:type="dxa"/>
            <w:tcBorders>
              <w:top w:val="single" w:sz="8" w:space="0" w:color="auto"/>
              <w:left w:val="nil"/>
              <w:bottom w:val="single" w:sz="4" w:space="0" w:color="auto"/>
              <w:right w:val="single" w:sz="8" w:space="0" w:color="auto"/>
            </w:tcBorders>
            <w:shd w:val="clear" w:color="auto" w:fill="auto"/>
            <w:noWrap/>
            <w:vAlign w:val="center"/>
            <w:hideMark/>
          </w:tcPr>
          <w:p w14:paraId="31B05B46" w14:textId="77777777" w:rsidR="005038C4" w:rsidRPr="005038C4" w:rsidRDefault="005038C4" w:rsidP="005038C4">
            <w:pPr>
              <w:spacing w:after="0" w:line="240" w:lineRule="auto"/>
              <w:jc w:val="right"/>
              <w:rPr>
                <w:rFonts w:eastAsia="Times New Roman" w:cs="Calibri"/>
                <w:color w:val="000000"/>
                <w:sz w:val="18"/>
                <w:szCs w:val="18"/>
                <w:lang w:val="en-US"/>
              </w:rPr>
            </w:pPr>
            <w:r w:rsidRPr="005038C4">
              <w:rPr>
                <w:rFonts w:eastAsia="Times New Roman" w:cs="Calibri"/>
                <w:color w:val="000000"/>
                <w:sz w:val="18"/>
                <w:szCs w:val="18"/>
                <w:lang w:val="en-US"/>
              </w:rPr>
              <w:t>0,00%</w:t>
            </w:r>
          </w:p>
        </w:tc>
      </w:tr>
      <w:tr w:rsidR="005038C4" w:rsidRPr="005038C4" w14:paraId="4B0EFF5C" w14:textId="77777777" w:rsidTr="005038C4">
        <w:trPr>
          <w:trHeight w:val="300"/>
        </w:trPr>
        <w:tc>
          <w:tcPr>
            <w:tcW w:w="3818" w:type="dxa"/>
            <w:tcBorders>
              <w:top w:val="nil"/>
              <w:left w:val="single" w:sz="8" w:space="0" w:color="auto"/>
              <w:bottom w:val="single" w:sz="4" w:space="0" w:color="auto"/>
              <w:right w:val="single" w:sz="4" w:space="0" w:color="auto"/>
            </w:tcBorders>
            <w:shd w:val="clear" w:color="auto" w:fill="auto"/>
            <w:noWrap/>
            <w:vAlign w:val="center"/>
            <w:hideMark/>
          </w:tcPr>
          <w:p w14:paraId="038FC8D9" w14:textId="77777777" w:rsidR="005038C4" w:rsidRPr="005038C4" w:rsidRDefault="005038C4" w:rsidP="005038C4">
            <w:pPr>
              <w:spacing w:after="0" w:line="240" w:lineRule="auto"/>
              <w:jc w:val="left"/>
              <w:rPr>
                <w:rFonts w:eastAsia="Times New Roman" w:cs="Calibri"/>
                <w:color w:val="000000"/>
                <w:sz w:val="18"/>
                <w:szCs w:val="18"/>
              </w:rPr>
            </w:pPr>
            <w:r w:rsidRPr="005038C4">
              <w:rPr>
                <w:rFonts w:eastAsia="Times New Roman" w:cs="Calibri"/>
                <w:color w:val="000000"/>
                <w:sz w:val="18"/>
                <w:szCs w:val="18"/>
              </w:rPr>
              <w:t>Producción en proceso de software y programas</w:t>
            </w:r>
          </w:p>
        </w:tc>
        <w:tc>
          <w:tcPr>
            <w:tcW w:w="1272" w:type="dxa"/>
            <w:tcBorders>
              <w:top w:val="nil"/>
              <w:left w:val="nil"/>
              <w:bottom w:val="single" w:sz="4" w:space="0" w:color="auto"/>
              <w:right w:val="single" w:sz="4" w:space="0" w:color="auto"/>
            </w:tcBorders>
            <w:shd w:val="clear" w:color="auto" w:fill="auto"/>
            <w:noWrap/>
            <w:vAlign w:val="center"/>
            <w:hideMark/>
          </w:tcPr>
          <w:p w14:paraId="3E18E15B" w14:textId="77777777" w:rsidR="005038C4" w:rsidRPr="005038C4" w:rsidRDefault="005038C4" w:rsidP="005038C4">
            <w:pPr>
              <w:spacing w:after="0" w:line="240" w:lineRule="auto"/>
              <w:jc w:val="right"/>
              <w:rPr>
                <w:rFonts w:eastAsia="Times New Roman" w:cs="Calibri"/>
                <w:color w:val="000000"/>
                <w:sz w:val="18"/>
                <w:szCs w:val="18"/>
                <w:lang w:val="en-US"/>
              </w:rPr>
            </w:pPr>
            <w:r w:rsidRPr="005038C4">
              <w:rPr>
                <w:rFonts w:eastAsia="Times New Roman" w:cs="Calibri"/>
                <w:color w:val="000000"/>
                <w:sz w:val="18"/>
                <w:szCs w:val="18"/>
                <w:lang w:val="en-US"/>
              </w:rPr>
              <w:t>14 145 058,94</w:t>
            </w:r>
          </w:p>
        </w:tc>
        <w:tc>
          <w:tcPr>
            <w:tcW w:w="1418" w:type="dxa"/>
            <w:tcBorders>
              <w:top w:val="nil"/>
              <w:left w:val="nil"/>
              <w:bottom w:val="single" w:sz="4" w:space="0" w:color="auto"/>
              <w:right w:val="single" w:sz="4" w:space="0" w:color="auto"/>
            </w:tcBorders>
            <w:shd w:val="clear" w:color="auto" w:fill="auto"/>
            <w:noWrap/>
            <w:vAlign w:val="center"/>
            <w:hideMark/>
          </w:tcPr>
          <w:p w14:paraId="5B8A468F" w14:textId="77777777" w:rsidR="005038C4" w:rsidRPr="005038C4" w:rsidRDefault="005038C4" w:rsidP="005038C4">
            <w:pPr>
              <w:spacing w:after="0" w:line="240" w:lineRule="auto"/>
              <w:jc w:val="right"/>
              <w:rPr>
                <w:rFonts w:eastAsia="Times New Roman" w:cs="Calibri"/>
                <w:color w:val="000000"/>
                <w:sz w:val="18"/>
                <w:szCs w:val="18"/>
                <w:lang w:val="en-US"/>
              </w:rPr>
            </w:pPr>
            <w:r w:rsidRPr="005038C4">
              <w:rPr>
                <w:rFonts w:eastAsia="Times New Roman" w:cs="Calibri"/>
                <w:color w:val="000000"/>
                <w:sz w:val="18"/>
                <w:szCs w:val="18"/>
                <w:lang w:val="en-US"/>
              </w:rPr>
              <w:t>14 145 058,94</w:t>
            </w:r>
          </w:p>
        </w:tc>
        <w:tc>
          <w:tcPr>
            <w:tcW w:w="1276" w:type="dxa"/>
            <w:tcBorders>
              <w:top w:val="nil"/>
              <w:left w:val="nil"/>
              <w:bottom w:val="single" w:sz="4" w:space="0" w:color="auto"/>
              <w:right w:val="single" w:sz="4" w:space="0" w:color="auto"/>
            </w:tcBorders>
            <w:shd w:val="clear" w:color="auto" w:fill="auto"/>
            <w:noWrap/>
            <w:vAlign w:val="center"/>
            <w:hideMark/>
          </w:tcPr>
          <w:p w14:paraId="62C1C85E" w14:textId="77777777" w:rsidR="005038C4" w:rsidRPr="005038C4" w:rsidRDefault="005038C4" w:rsidP="005038C4">
            <w:pPr>
              <w:spacing w:after="0" w:line="240" w:lineRule="auto"/>
              <w:jc w:val="right"/>
              <w:rPr>
                <w:rFonts w:eastAsia="Times New Roman" w:cs="Calibri"/>
                <w:color w:val="000000"/>
                <w:sz w:val="18"/>
                <w:szCs w:val="18"/>
                <w:lang w:val="en-US"/>
              </w:rPr>
            </w:pPr>
            <w:r w:rsidRPr="005038C4">
              <w:rPr>
                <w:rFonts w:eastAsia="Times New Roman" w:cs="Calibri"/>
                <w:color w:val="000000"/>
                <w:sz w:val="18"/>
                <w:szCs w:val="18"/>
                <w:lang w:val="en-US"/>
              </w:rPr>
              <w:t>0,00</w:t>
            </w:r>
          </w:p>
        </w:tc>
        <w:tc>
          <w:tcPr>
            <w:tcW w:w="955" w:type="dxa"/>
            <w:tcBorders>
              <w:top w:val="nil"/>
              <w:left w:val="nil"/>
              <w:bottom w:val="single" w:sz="4" w:space="0" w:color="auto"/>
              <w:right w:val="single" w:sz="8" w:space="0" w:color="auto"/>
            </w:tcBorders>
            <w:shd w:val="clear" w:color="auto" w:fill="auto"/>
            <w:noWrap/>
            <w:vAlign w:val="center"/>
            <w:hideMark/>
          </w:tcPr>
          <w:p w14:paraId="3F30B7FB" w14:textId="77777777" w:rsidR="005038C4" w:rsidRPr="005038C4" w:rsidRDefault="005038C4" w:rsidP="005038C4">
            <w:pPr>
              <w:spacing w:after="0" w:line="240" w:lineRule="auto"/>
              <w:jc w:val="right"/>
              <w:rPr>
                <w:rFonts w:eastAsia="Times New Roman" w:cs="Calibri"/>
                <w:color w:val="000000"/>
                <w:sz w:val="18"/>
                <w:szCs w:val="18"/>
                <w:lang w:val="en-US"/>
              </w:rPr>
            </w:pPr>
            <w:r w:rsidRPr="005038C4">
              <w:rPr>
                <w:rFonts w:eastAsia="Times New Roman" w:cs="Calibri"/>
                <w:color w:val="000000"/>
                <w:sz w:val="18"/>
                <w:szCs w:val="18"/>
                <w:lang w:val="en-US"/>
              </w:rPr>
              <w:t>0,00%</w:t>
            </w:r>
          </w:p>
        </w:tc>
      </w:tr>
      <w:tr w:rsidR="005038C4" w:rsidRPr="005038C4" w14:paraId="3E792653" w14:textId="77777777" w:rsidTr="005038C4">
        <w:trPr>
          <w:trHeight w:val="300"/>
        </w:trPr>
        <w:tc>
          <w:tcPr>
            <w:tcW w:w="3818" w:type="dxa"/>
            <w:tcBorders>
              <w:top w:val="nil"/>
              <w:left w:val="single" w:sz="8" w:space="0" w:color="auto"/>
              <w:bottom w:val="single" w:sz="4" w:space="0" w:color="auto"/>
              <w:right w:val="single" w:sz="4" w:space="0" w:color="auto"/>
            </w:tcBorders>
            <w:shd w:val="clear" w:color="auto" w:fill="auto"/>
            <w:noWrap/>
            <w:vAlign w:val="center"/>
            <w:hideMark/>
          </w:tcPr>
          <w:p w14:paraId="19674AD6" w14:textId="77777777" w:rsidR="005038C4" w:rsidRPr="005038C4" w:rsidRDefault="005038C4" w:rsidP="005038C4">
            <w:pPr>
              <w:spacing w:after="0" w:line="240" w:lineRule="auto"/>
              <w:jc w:val="left"/>
              <w:rPr>
                <w:rFonts w:eastAsia="Times New Roman" w:cs="Calibri"/>
                <w:color w:val="000000"/>
                <w:sz w:val="18"/>
                <w:szCs w:val="18"/>
              </w:rPr>
            </w:pPr>
            <w:r w:rsidRPr="005038C4">
              <w:rPr>
                <w:rFonts w:eastAsia="Times New Roman" w:cs="Calibri"/>
                <w:color w:val="000000"/>
                <w:sz w:val="18"/>
                <w:szCs w:val="18"/>
              </w:rPr>
              <w:t>Producción en proceso de software y programas</w:t>
            </w:r>
          </w:p>
        </w:tc>
        <w:tc>
          <w:tcPr>
            <w:tcW w:w="1272" w:type="dxa"/>
            <w:tcBorders>
              <w:top w:val="nil"/>
              <w:left w:val="nil"/>
              <w:bottom w:val="single" w:sz="4" w:space="0" w:color="auto"/>
              <w:right w:val="single" w:sz="4" w:space="0" w:color="auto"/>
            </w:tcBorders>
            <w:shd w:val="clear" w:color="auto" w:fill="auto"/>
            <w:noWrap/>
            <w:vAlign w:val="center"/>
            <w:hideMark/>
          </w:tcPr>
          <w:p w14:paraId="2AAEA220" w14:textId="77777777" w:rsidR="005038C4" w:rsidRPr="005038C4" w:rsidRDefault="005038C4" w:rsidP="005038C4">
            <w:pPr>
              <w:spacing w:after="0" w:line="240" w:lineRule="auto"/>
              <w:jc w:val="right"/>
              <w:rPr>
                <w:rFonts w:eastAsia="Times New Roman" w:cs="Calibri"/>
                <w:color w:val="000000"/>
                <w:sz w:val="18"/>
                <w:szCs w:val="18"/>
                <w:lang w:val="en-US"/>
              </w:rPr>
            </w:pPr>
            <w:r w:rsidRPr="005038C4">
              <w:rPr>
                <w:rFonts w:eastAsia="Times New Roman" w:cs="Calibri"/>
                <w:color w:val="000000"/>
                <w:sz w:val="18"/>
                <w:szCs w:val="18"/>
                <w:lang w:val="en-US"/>
              </w:rPr>
              <w:t>23 510 063,48</w:t>
            </w:r>
          </w:p>
        </w:tc>
        <w:tc>
          <w:tcPr>
            <w:tcW w:w="1418" w:type="dxa"/>
            <w:tcBorders>
              <w:top w:val="nil"/>
              <w:left w:val="nil"/>
              <w:bottom w:val="single" w:sz="4" w:space="0" w:color="auto"/>
              <w:right w:val="single" w:sz="4" w:space="0" w:color="auto"/>
            </w:tcBorders>
            <w:shd w:val="clear" w:color="auto" w:fill="auto"/>
            <w:noWrap/>
            <w:vAlign w:val="center"/>
            <w:hideMark/>
          </w:tcPr>
          <w:p w14:paraId="088E69D0" w14:textId="77777777" w:rsidR="005038C4" w:rsidRPr="005038C4" w:rsidRDefault="005038C4" w:rsidP="005038C4">
            <w:pPr>
              <w:spacing w:after="0" w:line="240" w:lineRule="auto"/>
              <w:jc w:val="right"/>
              <w:rPr>
                <w:rFonts w:eastAsia="Times New Roman" w:cs="Calibri"/>
                <w:color w:val="000000"/>
                <w:sz w:val="18"/>
                <w:szCs w:val="18"/>
                <w:lang w:val="en-US"/>
              </w:rPr>
            </w:pPr>
            <w:r w:rsidRPr="005038C4">
              <w:rPr>
                <w:rFonts w:eastAsia="Times New Roman" w:cs="Calibri"/>
                <w:color w:val="000000"/>
                <w:sz w:val="18"/>
                <w:szCs w:val="18"/>
                <w:lang w:val="en-US"/>
              </w:rPr>
              <w:t>23 510 063,48</w:t>
            </w:r>
          </w:p>
        </w:tc>
        <w:tc>
          <w:tcPr>
            <w:tcW w:w="1276" w:type="dxa"/>
            <w:tcBorders>
              <w:top w:val="nil"/>
              <w:left w:val="nil"/>
              <w:bottom w:val="single" w:sz="4" w:space="0" w:color="auto"/>
              <w:right w:val="single" w:sz="4" w:space="0" w:color="auto"/>
            </w:tcBorders>
            <w:shd w:val="clear" w:color="auto" w:fill="auto"/>
            <w:noWrap/>
            <w:vAlign w:val="center"/>
            <w:hideMark/>
          </w:tcPr>
          <w:p w14:paraId="5A7E0F47" w14:textId="77777777" w:rsidR="005038C4" w:rsidRPr="005038C4" w:rsidRDefault="005038C4" w:rsidP="005038C4">
            <w:pPr>
              <w:spacing w:after="0" w:line="240" w:lineRule="auto"/>
              <w:jc w:val="right"/>
              <w:rPr>
                <w:rFonts w:eastAsia="Times New Roman" w:cs="Calibri"/>
                <w:color w:val="000000"/>
                <w:sz w:val="18"/>
                <w:szCs w:val="18"/>
                <w:lang w:val="en-US"/>
              </w:rPr>
            </w:pPr>
            <w:r w:rsidRPr="005038C4">
              <w:rPr>
                <w:rFonts w:eastAsia="Times New Roman" w:cs="Calibri"/>
                <w:color w:val="000000"/>
                <w:sz w:val="18"/>
                <w:szCs w:val="18"/>
                <w:lang w:val="en-US"/>
              </w:rPr>
              <w:t>0,00</w:t>
            </w:r>
          </w:p>
        </w:tc>
        <w:tc>
          <w:tcPr>
            <w:tcW w:w="955" w:type="dxa"/>
            <w:tcBorders>
              <w:top w:val="nil"/>
              <w:left w:val="nil"/>
              <w:bottom w:val="single" w:sz="4" w:space="0" w:color="auto"/>
              <w:right w:val="single" w:sz="8" w:space="0" w:color="auto"/>
            </w:tcBorders>
            <w:shd w:val="clear" w:color="auto" w:fill="auto"/>
            <w:noWrap/>
            <w:vAlign w:val="center"/>
            <w:hideMark/>
          </w:tcPr>
          <w:p w14:paraId="311CF1E8" w14:textId="77777777" w:rsidR="005038C4" w:rsidRPr="005038C4" w:rsidRDefault="005038C4" w:rsidP="005038C4">
            <w:pPr>
              <w:spacing w:after="0" w:line="240" w:lineRule="auto"/>
              <w:jc w:val="right"/>
              <w:rPr>
                <w:rFonts w:eastAsia="Times New Roman" w:cs="Calibri"/>
                <w:color w:val="000000"/>
                <w:sz w:val="18"/>
                <w:szCs w:val="18"/>
                <w:lang w:val="en-US"/>
              </w:rPr>
            </w:pPr>
            <w:r w:rsidRPr="005038C4">
              <w:rPr>
                <w:rFonts w:eastAsia="Times New Roman" w:cs="Calibri"/>
                <w:color w:val="000000"/>
                <w:sz w:val="18"/>
                <w:szCs w:val="18"/>
                <w:lang w:val="en-US"/>
              </w:rPr>
              <w:t>0,00%</w:t>
            </w:r>
          </w:p>
        </w:tc>
      </w:tr>
      <w:tr w:rsidR="005038C4" w:rsidRPr="005038C4" w14:paraId="0E9C6464" w14:textId="77777777" w:rsidTr="005038C4">
        <w:trPr>
          <w:trHeight w:val="300"/>
        </w:trPr>
        <w:tc>
          <w:tcPr>
            <w:tcW w:w="3818" w:type="dxa"/>
            <w:tcBorders>
              <w:top w:val="nil"/>
              <w:left w:val="single" w:sz="8" w:space="0" w:color="auto"/>
              <w:bottom w:val="single" w:sz="4" w:space="0" w:color="auto"/>
              <w:right w:val="single" w:sz="4" w:space="0" w:color="auto"/>
            </w:tcBorders>
            <w:shd w:val="clear" w:color="auto" w:fill="auto"/>
            <w:noWrap/>
            <w:vAlign w:val="center"/>
            <w:hideMark/>
          </w:tcPr>
          <w:p w14:paraId="48C01E36" w14:textId="77777777" w:rsidR="005038C4" w:rsidRPr="005038C4" w:rsidRDefault="005038C4" w:rsidP="005038C4">
            <w:pPr>
              <w:spacing w:after="0" w:line="240" w:lineRule="auto"/>
              <w:jc w:val="left"/>
              <w:rPr>
                <w:rFonts w:eastAsia="Times New Roman" w:cs="Calibri"/>
                <w:color w:val="000000"/>
                <w:sz w:val="18"/>
                <w:szCs w:val="18"/>
              </w:rPr>
            </w:pPr>
            <w:r w:rsidRPr="005038C4">
              <w:rPr>
                <w:rFonts w:eastAsia="Times New Roman" w:cs="Calibri"/>
                <w:color w:val="000000"/>
                <w:sz w:val="18"/>
                <w:szCs w:val="18"/>
              </w:rPr>
              <w:t>Producción en proceso de software y programas</w:t>
            </w:r>
          </w:p>
        </w:tc>
        <w:tc>
          <w:tcPr>
            <w:tcW w:w="1272" w:type="dxa"/>
            <w:tcBorders>
              <w:top w:val="nil"/>
              <w:left w:val="nil"/>
              <w:bottom w:val="single" w:sz="4" w:space="0" w:color="auto"/>
              <w:right w:val="single" w:sz="4" w:space="0" w:color="auto"/>
            </w:tcBorders>
            <w:shd w:val="clear" w:color="auto" w:fill="auto"/>
            <w:noWrap/>
            <w:vAlign w:val="center"/>
            <w:hideMark/>
          </w:tcPr>
          <w:p w14:paraId="0D53D237" w14:textId="77777777" w:rsidR="005038C4" w:rsidRPr="005038C4" w:rsidRDefault="005038C4" w:rsidP="005038C4">
            <w:pPr>
              <w:spacing w:after="0" w:line="240" w:lineRule="auto"/>
              <w:jc w:val="right"/>
              <w:rPr>
                <w:rFonts w:eastAsia="Times New Roman" w:cs="Calibri"/>
                <w:color w:val="000000"/>
                <w:sz w:val="18"/>
                <w:szCs w:val="18"/>
                <w:lang w:val="en-US"/>
              </w:rPr>
            </w:pPr>
            <w:r w:rsidRPr="005038C4">
              <w:rPr>
                <w:rFonts w:eastAsia="Times New Roman" w:cs="Calibri"/>
                <w:color w:val="000000"/>
                <w:sz w:val="18"/>
                <w:szCs w:val="18"/>
                <w:lang w:val="en-US"/>
              </w:rPr>
              <w:t>29 000 000,00</w:t>
            </w:r>
          </w:p>
        </w:tc>
        <w:tc>
          <w:tcPr>
            <w:tcW w:w="1418" w:type="dxa"/>
            <w:tcBorders>
              <w:top w:val="nil"/>
              <w:left w:val="nil"/>
              <w:bottom w:val="single" w:sz="4" w:space="0" w:color="auto"/>
              <w:right w:val="single" w:sz="4" w:space="0" w:color="auto"/>
            </w:tcBorders>
            <w:shd w:val="clear" w:color="auto" w:fill="auto"/>
            <w:noWrap/>
            <w:vAlign w:val="center"/>
            <w:hideMark/>
          </w:tcPr>
          <w:p w14:paraId="63B43E3A" w14:textId="77777777" w:rsidR="005038C4" w:rsidRPr="005038C4" w:rsidRDefault="005038C4" w:rsidP="005038C4">
            <w:pPr>
              <w:spacing w:after="0" w:line="240" w:lineRule="auto"/>
              <w:jc w:val="right"/>
              <w:rPr>
                <w:rFonts w:eastAsia="Times New Roman" w:cs="Calibri"/>
                <w:color w:val="000000"/>
                <w:sz w:val="18"/>
                <w:szCs w:val="18"/>
                <w:lang w:val="en-US"/>
              </w:rPr>
            </w:pPr>
            <w:r w:rsidRPr="005038C4">
              <w:rPr>
                <w:rFonts w:eastAsia="Times New Roman" w:cs="Calibri"/>
                <w:color w:val="000000"/>
                <w:sz w:val="18"/>
                <w:szCs w:val="18"/>
                <w:lang w:val="en-US"/>
              </w:rPr>
              <w:t>29 000 000,00</w:t>
            </w:r>
          </w:p>
        </w:tc>
        <w:tc>
          <w:tcPr>
            <w:tcW w:w="1276" w:type="dxa"/>
            <w:tcBorders>
              <w:top w:val="nil"/>
              <w:left w:val="nil"/>
              <w:bottom w:val="single" w:sz="4" w:space="0" w:color="auto"/>
              <w:right w:val="single" w:sz="4" w:space="0" w:color="auto"/>
            </w:tcBorders>
            <w:shd w:val="clear" w:color="auto" w:fill="auto"/>
            <w:noWrap/>
            <w:vAlign w:val="center"/>
            <w:hideMark/>
          </w:tcPr>
          <w:p w14:paraId="14C42465" w14:textId="77777777" w:rsidR="005038C4" w:rsidRPr="005038C4" w:rsidRDefault="005038C4" w:rsidP="005038C4">
            <w:pPr>
              <w:spacing w:after="0" w:line="240" w:lineRule="auto"/>
              <w:jc w:val="right"/>
              <w:rPr>
                <w:rFonts w:eastAsia="Times New Roman" w:cs="Calibri"/>
                <w:color w:val="000000"/>
                <w:sz w:val="18"/>
                <w:szCs w:val="18"/>
                <w:lang w:val="en-US"/>
              </w:rPr>
            </w:pPr>
            <w:r w:rsidRPr="005038C4">
              <w:rPr>
                <w:rFonts w:eastAsia="Times New Roman" w:cs="Calibri"/>
                <w:color w:val="000000"/>
                <w:sz w:val="18"/>
                <w:szCs w:val="18"/>
                <w:lang w:val="en-US"/>
              </w:rPr>
              <w:t>0,00</w:t>
            </w:r>
          </w:p>
        </w:tc>
        <w:tc>
          <w:tcPr>
            <w:tcW w:w="955" w:type="dxa"/>
            <w:tcBorders>
              <w:top w:val="nil"/>
              <w:left w:val="nil"/>
              <w:bottom w:val="single" w:sz="4" w:space="0" w:color="auto"/>
              <w:right w:val="single" w:sz="8" w:space="0" w:color="auto"/>
            </w:tcBorders>
            <w:shd w:val="clear" w:color="auto" w:fill="auto"/>
            <w:noWrap/>
            <w:vAlign w:val="center"/>
            <w:hideMark/>
          </w:tcPr>
          <w:p w14:paraId="43B4EAB1" w14:textId="77777777" w:rsidR="005038C4" w:rsidRPr="005038C4" w:rsidRDefault="005038C4" w:rsidP="005038C4">
            <w:pPr>
              <w:spacing w:after="0" w:line="240" w:lineRule="auto"/>
              <w:jc w:val="right"/>
              <w:rPr>
                <w:rFonts w:eastAsia="Times New Roman" w:cs="Calibri"/>
                <w:color w:val="000000"/>
                <w:sz w:val="18"/>
                <w:szCs w:val="18"/>
                <w:lang w:val="en-US"/>
              </w:rPr>
            </w:pPr>
            <w:r w:rsidRPr="005038C4">
              <w:rPr>
                <w:rFonts w:eastAsia="Times New Roman" w:cs="Calibri"/>
                <w:color w:val="000000"/>
                <w:sz w:val="18"/>
                <w:szCs w:val="18"/>
                <w:lang w:val="en-US"/>
              </w:rPr>
              <w:t>0,00%</w:t>
            </w:r>
          </w:p>
        </w:tc>
      </w:tr>
      <w:tr w:rsidR="005038C4" w:rsidRPr="005038C4" w14:paraId="41F86265" w14:textId="77777777" w:rsidTr="005038C4">
        <w:trPr>
          <w:trHeight w:val="310"/>
        </w:trPr>
        <w:tc>
          <w:tcPr>
            <w:tcW w:w="3818" w:type="dxa"/>
            <w:tcBorders>
              <w:top w:val="nil"/>
              <w:left w:val="single" w:sz="8" w:space="0" w:color="auto"/>
              <w:bottom w:val="single" w:sz="8" w:space="0" w:color="auto"/>
              <w:right w:val="single" w:sz="4" w:space="0" w:color="auto"/>
            </w:tcBorders>
            <w:shd w:val="clear" w:color="auto" w:fill="auto"/>
            <w:noWrap/>
            <w:vAlign w:val="center"/>
            <w:hideMark/>
          </w:tcPr>
          <w:p w14:paraId="20C40CDF" w14:textId="77777777" w:rsidR="005038C4" w:rsidRPr="005038C4" w:rsidRDefault="005038C4" w:rsidP="005038C4">
            <w:pPr>
              <w:spacing w:after="0" w:line="240" w:lineRule="auto"/>
              <w:jc w:val="left"/>
              <w:rPr>
                <w:rFonts w:eastAsia="Times New Roman" w:cs="Calibri"/>
                <w:color w:val="000000"/>
                <w:sz w:val="18"/>
                <w:szCs w:val="18"/>
              </w:rPr>
            </w:pPr>
            <w:r w:rsidRPr="005038C4">
              <w:rPr>
                <w:rFonts w:eastAsia="Times New Roman" w:cs="Calibri"/>
                <w:color w:val="000000"/>
                <w:sz w:val="18"/>
                <w:szCs w:val="18"/>
              </w:rPr>
              <w:t>Producción en proceso de software y programas</w:t>
            </w:r>
          </w:p>
        </w:tc>
        <w:tc>
          <w:tcPr>
            <w:tcW w:w="1272" w:type="dxa"/>
            <w:tcBorders>
              <w:top w:val="nil"/>
              <w:left w:val="nil"/>
              <w:bottom w:val="single" w:sz="8" w:space="0" w:color="auto"/>
              <w:right w:val="single" w:sz="4" w:space="0" w:color="auto"/>
            </w:tcBorders>
            <w:shd w:val="clear" w:color="000000" w:fill="FFFFFF"/>
            <w:noWrap/>
            <w:vAlign w:val="bottom"/>
            <w:hideMark/>
          </w:tcPr>
          <w:p w14:paraId="1C2E97DD" w14:textId="77777777" w:rsidR="005038C4" w:rsidRPr="005038C4" w:rsidRDefault="005038C4" w:rsidP="005038C4">
            <w:pPr>
              <w:spacing w:after="0" w:line="240" w:lineRule="auto"/>
              <w:jc w:val="right"/>
              <w:rPr>
                <w:rFonts w:eastAsia="Times New Roman" w:cs="Calibri"/>
                <w:color w:val="000000"/>
                <w:sz w:val="18"/>
                <w:szCs w:val="18"/>
                <w:lang w:val="en-US"/>
              </w:rPr>
            </w:pPr>
            <w:r w:rsidRPr="005038C4">
              <w:rPr>
                <w:rFonts w:eastAsia="Times New Roman" w:cs="Calibri"/>
                <w:color w:val="000000"/>
                <w:sz w:val="18"/>
                <w:szCs w:val="18"/>
                <w:lang w:val="en-US"/>
              </w:rPr>
              <w:t>19 998 186,77</w:t>
            </w:r>
          </w:p>
        </w:tc>
        <w:tc>
          <w:tcPr>
            <w:tcW w:w="1418" w:type="dxa"/>
            <w:tcBorders>
              <w:top w:val="nil"/>
              <w:left w:val="nil"/>
              <w:bottom w:val="single" w:sz="8" w:space="0" w:color="auto"/>
              <w:right w:val="single" w:sz="4" w:space="0" w:color="auto"/>
            </w:tcBorders>
            <w:shd w:val="clear" w:color="auto" w:fill="auto"/>
            <w:noWrap/>
            <w:vAlign w:val="center"/>
            <w:hideMark/>
          </w:tcPr>
          <w:p w14:paraId="4284AC63" w14:textId="77777777" w:rsidR="005038C4" w:rsidRPr="005038C4" w:rsidRDefault="005038C4" w:rsidP="005038C4">
            <w:pPr>
              <w:spacing w:after="0" w:line="240" w:lineRule="auto"/>
              <w:jc w:val="right"/>
              <w:rPr>
                <w:rFonts w:eastAsia="Times New Roman" w:cs="Calibri"/>
                <w:color w:val="000000"/>
                <w:sz w:val="18"/>
                <w:szCs w:val="18"/>
                <w:lang w:val="en-US"/>
              </w:rPr>
            </w:pPr>
            <w:r w:rsidRPr="005038C4">
              <w:rPr>
                <w:rFonts w:eastAsia="Times New Roman" w:cs="Calibri"/>
                <w:color w:val="000000"/>
                <w:sz w:val="18"/>
                <w:szCs w:val="18"/>
                <w:lang w:val="en-US"/>
              </w:rPr>
              <w:t>0,00</w:t>
            </w:r>
          </w:p>
        </w:tc>
        <w:tc>
          <w:tcPr>
            <w:tcW w:w="1276" w:type="dxa"/>
            <w:tcBorders>
              <w:top w:val="nil"/>
              <w:left w:val="nil"/>
              <w:bottom w:val="single" w:sz="8" w:space="0" w:color="auto"/>
              <w:right w:val="single" w:sz="4" w:space="0" w:color="auto"/>
            </w:tcBorders>
            <w:shd w:val="clear" w:color="auto" w:fill="auto"/>
            <w:noWrap/>
            <w:vAlign w:val="center"/>
            <w:hideMark/>
          </w:tcPr>
          <w:p w14:paraId="76D62728" w14:textId="77777777" w:rsidR="005038C4" w:rsidRPr="005038C4" w:rsidRDefault="005038C4" w:rsidP="005038C4">
            <w:pPr>
              <w:spacing w:after="0" w:line="240" w:lineRule="auto"/>
              <w:jc w:val="right"/>
              <w:rPr>
                <w:rFonts w:eastAsia="Times New Roman" w:cs="Calibri"/>
                <w:color w:val="000000"/>
                <w:sz w:val="18"/>
                <w:szCs w:val="18"/>
                <w:lang w:val="en-US"/>
              </w:rPr>
            </w:pPr>
            <w:r w:rsidRPr="005038C4">
              <w:rPr>
                <w:rFonts w:eastAsia="Times New Roman" w:cs="Calibri"/>
                <w:color w:val="000000"/>
                <w:sz w:val="18"/>
                <w:szCs w:val="18"/>
                <w:lang w:val="en-US"/>
              </w:rPr>
              <w:t>19 998 186,77</w:t>
            </w:r>
          </w:p>
        </w:tc>
        <w:tc>
          <w:tcPr>
            <w:tcW w:w="955" w:type="dxa"/>
            <w:tcBorders>
              <w:top w:val="nil"/>
              <w:left w:val="nil"/>
              <w:bottom w:val="single" w:sz="8" w:space="0" w:color="auto"/>
              <w:right w:val="single" w:sz="8" w:space="0" w:color="auto"/>
            </w:tcBorders>
            <w:shd w:val="clear" w:color="auto" w:fill="auto"/>
            <w:noWrap/>
            <w:vAlign w:val="center"/>
            <w:hideMark/>
          </w:tcPr>
          <w:p w14:paraId="10A91787" w14:textId="77777777" w:rsidR="005038C4" w:rsidRPr="005038C4" w:rsidRDefault="005038C4" w:rsidP="005038C4">
            <w:pPr>
              <w:spacing w:after="0" w:line="240" w:lineRule="auto"/>
              <w:jc w:val="right"/>
              <w:rPr>
                <w:rFonts w:eastAsia="Times New Roman" w:cs="Calibri"/>
                <w:color w:val="000000"/>
                <w:sz w:val="18"/>
                <w:szCs w:val="18"/>
                <w:lang w:val="en-US"/>
              </w:rPr>
            </w:pPr>
            <w:r w:rsidRPr="005038C4">
              <w:rPr>
                <w:rFonts w:eastAsia="Times New Roman" w:cs="Calibri"/>
                <w:color w:val="000000"/>
                <w:sz w:val="18"/>
                <w:szCs w:val="18"/>
                <w:lang w:val="en-US"/>
              </w:rPr>
              <w:t>0,00%</w:t>
            </w:r>
          </w:p>
        </w:tc>
      </w:tr>
      <w:tr w:rsidR="005038C4" w:rsidRPr="005038C4" w14:paraId="291CC9B8" w14:textId="77777777" w:rsidTr="005038C4">
        <w:trPr>
          <w:trHeight w:val="310"/>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14:paraId="70E39A0D" w14:textId="77777777" w:rsidR="005038C4" w:rsidRPr="005038C4" w:rsidRDefault="005038C4" w:rsidP="005038C4">
            <w:pPr>
              <w:spacing w:after="0" w:line="240" w:lineRule="auto"/>
              <w:jc w:val="center"/>
              <w:rPr>
                <w:rFonts w:eastAsia="Times New Roman" w:cs="Calibri"/>
                <w:b/>
                <w:bCs/>
                <w:color w:val="000000"/>
                <w:sz w:val="20"/>
                <w:szCs w:val="20"/>
                <w:lang w:val="en-US"/>
              </w:rPr>
            </w:pPr>
            <w:r w:rsidRPr="005038C4">
              <w:rPr>
                <w:rFonts w:eastAsia="Times New Roman" w:cs="Calibri"/>
                <w:b/>
                <w:bCs/>
                <w:color w:val="000000"/>
                <w:sz w:val="20"/>
                <w:szCs w:val="20"/>
                <w:lang w:val="en-US"/>
              </w:rPr>
              <w:t>TOTAL</w:t>
            </w:r>
          </w:p>
        </w:tc>
        <w:tc>
          <w:tcPr>
            <w:tcW w:w="1272" w:type="dxa"/>
            <w:tcBorders>
              <w:top w:val="nil"/>
              <w:left w:val="nil"/>
              <w:bottom w:val="single" w:sz="8" w:space="0" w:color="auto"/>
              <w:right w:val="single" w:sz="8" w:space="0" w:color="auto"/>
            </w:tcBorders>
            <w:shd w:val="clear" w:color="auto" w:fill="auto"/>
            <w:noWrap/>
            <w:vAlign w:val="center"/>
            <w:hideMark/>
          </w:tcPr>
          <w:p w14:paraId="6699CAFF" w14:textId="77777777" w:rsidR="005038C4" w:rsidRPr="005038C4" w:rsidRDefault="005038C4" w:rsidP="005038C4">
            <w:pPr>
              <w:spacing w:after="0" w:line="240" w:lineRule="auto"/>
              <w:ind w:left="-113"/>
              <w:jc w:val="right"/>
              <w:rPr>
                <w:rFonts w:eastAsia="Times New Roman" w:cs="Arial"/>
                <w:b/>
                <w:bCs/>
                <w:color w:val="000000"/>
                <w:sz w:val="18"/>
                <w:szCs w:val="18"/>
                <w:lang w:val="en-US"/>
              </w:rPr>
            </w:pPr>
            <w:r w:rsidRPr="005038C4">
              <w:rPr>
                <w:rFonts w:ascii="Arial" w:eastAsia="Times New Roman" w:hAnsi="Arial" w:cs="Arial"/>
                <w:b/>
                <w:bCs/>
                <w:color w:val="000000"/>
                <w:sz w:val="18"/>
                <w:szCs w:val="18"/>
                <w:lang w:val="en-US"/>
              </w:rPr>
              <w:t>₡</w:t>
            </w:r>
            <w:r w:rsidRPr="005038C4">
              <w:rPr>
                <w:rFonts w:eastAsia="Times New Roman" w:cs="Arial"/>
                <w:b/>
                <w:bCs/>
                <w:color w:val="000000"/>
                <w:sz w:val="18"/>
                <w:szCs w:val="18"/>
                <w:lang w:val="en-US"/>
              </w:rPr>
              <w:t>97 579 147,82</w:t>
            </w:r>
          </w:p>
        </w:tc>
        <w:tc>
          <w:tcPr>
            <w:tcW w:w="1418" w:type="dxa"/>
            <w:tcBorders>
              <w:top w:val="nil"/>
              <w:left w:val="nil"/>
              <w:bottom w:val="single" w:sz="8" w:space="0" w:color="auto"/>
              <w:right w:val="single" w:sz="8" w:space="0" w:color="auto"/>
            </w:tcBorders>
            <w:shd w:val="clear" w:color="auto" w:fill="auto"/>
            <w:noWrap/>
            <w:vAlign w:val="center"/>
            <w:hideMark/>
          </w:tcPr>
          <w:p w14:paraId="350D9698" w14:textId="77777777" w:rsidR="005038C4" w:rsidRPr="005038C4" w:rsidRDefault="005038C4" w:rsidP="005038C4">
            <w:pPr>
              <w:spacing w:after="0" w:line="240" w:lineRule="auto"/>
              <w:jc w:val="right"/>
              <w:rPr>
                <w:rFonts w:eastAsia="Times New Roman" w:cs="Arial"/>
                <w:b/>
                <w:bCs/>
                <w:color w:val="000000"/>
                <w:sz w:val="18"/>
                <w:szCs w:val="18"/>
                <w:lang w:val="en-US"/>
              </w:rPr>
            </w:pPr>
            <w:r w:rsidRPr="005038C4">
              <w:rPr>
                <w:rFonts w:ascii="Arial" w:eastAsia="Times New Roman" w:hAnsi="Arial" w:cs="Arial"/>
                <w:b/>
                <w:bCs/>
                <w:color w:val="000000"/>
                <w:sz w:val="18"/>
                <w:szCs w:val="18"/>
                <w:lang w:val="en-US"/>
              </w:rPr>
              <w:t>₡</w:t>
            </w:r>
            <w:r w:rsidRPr="005038C4">
              <w:rPr>
                <w:rFonts w:eastAsia="Times New Roman" w:cs="Arial"/>
                <w:b/>
                <w:bCs/>
                <w:color w:val="000000"/>
                <w:sz w:val="18"/>
                <w:szCs w:val="18"/>
                <w:lang w:val="en-US"/>
              </w:rPr>
              <w:t>77 580 961,05</w:t>
            </w:r>
          </w:p>
        </w:tc>
        <w:tc>
          <w:tcPr>
            <w:tcW w:w="1276" w:type="dxa"/>
            <w:tcBorders>
              <w:top w:val="nil"/>
              <w:left w:val="nil"/>
              <w:bottom w:val="single" w:sz="8" w:space="0" w:color="auto"/>
              <w:right w:val="single" w:sz="8" w:space="0" w:color="auto"/>
            </w:tcBorders>
            <w:shd w:val="clear" w:color="auto" w:fill="auto"/>
            <w:noWrap/>
            <w:vAlign w:val="center"/>
            <w:hideMark/>
          </w:tcPr>
          <w:p w14:paraId="655705A8" w14:textId="77777777" w:rsidR="005038C4" w:rsidRPr="005038C4" w:rsidRDefault="005038C4" w:rsidP="005038C4">
            <w:pPr>
              <w:spacing w:after="0" w:line="240" w:lineRule="auto"/>
              <w:ind w:left="-111"/>
              <w:jc w:val="right"/>
              <w:rPr>
                <w:rFonts w:eastAsia="Times New Roman" w:cs="Arial"/>
                <w:b/>
                <w:bCs/>
                <w:color w:val="000000"/>
                <w:sz w:val="18"/>
                <w:szCs w:val="18"/>
                <w:lang w:val="en-US"/>
              </w:rPr>
            </w:pPr>
            <w:r w:rsidRPr="005038C4">
              <w:rPr>
                <w:rFonts w:ascii="Arial" w:eastAsia="Times New Roman" w:hAnsi="Arial" w:cs="Arial"/>
                <w:b/>
                <w:bCs/>
                <w:color w:val="000000"/>
                <w:sz w:val="18"/>
                <w:szCs w:val="18"/>
                <w:lang w:val="en-US"/>
              </w:rPr>
              <w:t>₡</w:t>
            </w:r>
            <w:r w:rsidRPr="005038C4">
              <w:rPr>
                <w:rFonts w:eastAsia="Times New Roman" w:cs="Arial"/>
                <w:b/>
                <w:bCs/>
                <w:color w:val="000000"/>
                <w:sz w:val="18"/>
                <w:szCs w:val="18"/>
                <w:lang w:val="en-US"/>
              </w:rPr>
              <w:t>19 998 186,77</w:t>
            </w:r>
          </w:p>
        </w:tc>
        <w:tc>
          <w:tcPr>
            <w:tcW w:w="955" w:type="dxa"/>
            <w:tcBorders>
              <w:top w:val="nil"/>
              <w:left w:val="nil"/>
              <w:bottom w:val="single" w:sz="8" w:space="0" w:color="auto"/>
              <w:right w:val="single" w:sz="8" w:space="0" w:color="auto"/>
            </w:tcBorders>
            <w:shd w:val="clear" w:color="auto" w:fill="auto"/>
            <w:noWrap/>
            <w:vAlign w:val="center"/>
            <w:hideMark/>
          </w:tcPr>
          <w:p w14:paraId="5680DFF6" w14:textId="77777777" w:rsidR="005038C4" w:rsidRPr="005038C4" w:rsidRDefault="005038C4" w:rsidP="005038C4">
            <w:pPr>
              <w:spacing w:after="0" w:line="240" w:lineRule="auto"/>
              <w:jc w:val="right"/>
              <w:rPr>
                <w:rFonts w:eastAsia="Times New Roman" w:cs="Calibri"/>
                <w:b/>
                <w:bCs/>
                <w:color w:val="000000"/>
                <w:sz w:val="20"/>
                <w:szCs w:val="20"/>
                <w:lang w:val="en-US"/>
              </w:rPr>
            </w:pPr>
            <w:r w:rsidRPr="005038C4">
              <w:rPr>
                <w:rFonts w:eastAsia="Times New Roman" w:cs="Calibri"/>
                <w:b/>
                <w:bCs/>
                <w:color w:val="000000"/>
                <w:sz w:val="20"/>
                <w:szCs w:val="20"/>
                <w:lang w:val="en-US"/>
              </w:rPr>
              <w:t>25,78%</w:t>
            </w:r>
          </w:p>
        </w:tc>
      </w:tr>
    </w:tbl>
    <w:p w14:paraId="5E5B1B01" w14:textId="77777777" w:rsidR="00901D21" w:rsidRDefault="00901D21" w:rsidP="005038C4">
      <w:pPr>
        <w:spacing w:after="0" w:line="240" w:lineRule="auto"/>
      </w:pPr>
    </w:p>
    <w:p w14:paraId="3D8E08B3" w14:textId="77777777" w:rsidR="005038C4" w:rsidRDefault="005038C4" w:rsidP="005038C4">
      <w:pPr>
        <w:spacing w:line="240" w:lineRule="auto"/>
      </w:pPr>
      <w:r>
        <w:t xml:space="preserve">Los pagos realizados a la empresa </w:t>
      </w:r>
      <w:r w:rsidRPr="00A248A7">
        <w:t>NETSOFT DE COSTA RICA S.A.</w:t>
      </w:r>
      <w:r>
        <w:t xml:space="preserve"> por desarrollo de un sistema informático denominado “Sistema integrado para el manejo de los principales procesos municipales” dicho sistema fue contratado mediante el procedimiento de contratación 2020CD-000299-0004200001 y formalizado mediante el contrato Nro. 0432020000400303-00 aprobado según consta en SICOP el 28 de diciembre de 2020 por el Alcalde Municipal y el Asesor Legal con aprobaciones Nro </w:t>
      </w:r>
      <w:r w:rsidRPr="00747A61">
        <w:t>0332020000800326</w:t>
      </w:r>
      <w:r>
        <w:t xml:space="preserve"> y Nro </w:t>
      </w:r>
      <w:r w:rsidRPr="00421243">
        <w:t>0492020000400337</w:t>
      </w:r>
      <w:r>
        <w:t xml:space="preserve">, respectivamente. </w:t>
      </w:r>
    </w:p>
    <w:p w14:paraId="742FAFB4" w14:textId="77777777" w:rsidR="00E4611E" w:rsidRDefault="00E4611E" w:rsidP="00E4611E">
      <w:pPr>
        <w:spacing w:after="0" w:line="240" w:lineRule="auto"/>
      </w:pPr>
    </w:p>
    <w:p w14:paraId="3FDA4DB0" w14:textId="77777777" w:rsidR="00E4611E" w:rsidRPr="003421AB" w:rsidRDefault="00E4611E" w:rsidP="00E4611E">
      <w:pPr>
        <w:spacing w:after="0" w:line="240" w:lineRule="auto"/>
        <w:rPr>
          <w:rFonts w:eastAsia="Times New Roman" w:cs="Calibri"/>
          <w:color w:val="000000"/>
          <w:lang w:eastAsia="es-CR"/>
        </w:rPr>
      </w:pPr>
    </w:p>
    <w:p w14:paraId="0C7A3B1B" w14:textId="77777777" w:rsidR="00692DC8" w:rsidRPr="00692DC8" w:rsidRDefault="00692DC8" w:rsidP="001E78C3">
      <w:pPr>
        <w:pStyle w:val="Ttulo4"/>
        <w:spacing w:after="240"/>
        <w:rPr>
          <w:rFonts w:eastAsia="Times New Roman"/>
        </w:rPr>
      </w:pPr>
      <w:bookmarkStart w:id="227" w:name="_Toc13041091"/>
      <w:bookmarkStart w:id="228" w:name="_Toc14345090"/>
      <w:bookmarkStart w:id="229" w:name="_Toc33601222"/>
      <w:bookmarkStart w:id="230" w:name="_Toc82768923"/>
      <w:bookmarkStart w:id="231" w:name="_Toc173245235"/>
      <w:r w:rsidRPr="00692DC8">
        <w:rPr>
          <w:rFonts w:eastAsia="Times New Roman"/>
        </w:rPr>
        <w:t>NOTA N° 11</w:t>
      </w:r>
      <w:bookmarkStart w:id="232" w:name="_Toc13041092"/>
      <w:bookmarkStart w:id="233" w:name="_Toc14345091"/>
      <w:bookmarkEnd w:id="227"/>
      <w:bookmarkEnd w:id="228"/>
      <w:bookmarkEnd w:id="229"/>
      <w:bookmarkEnd w:id="230"/>
      <w:bookmarkEnd w:id="231"/>
    </w:p>
    <w:p w14:paraId="2B418399" w14:textId="77777777" w:rsidR="00694299" w:rsidRDefault="00692DC8" w:rsidP="00323752">
      <w:pPr>
        <w:spacing w:before="240"/>
        <w:rPr>
          <w:rFonts w:asciiTheme="minorHAnsi" w:hAnsiTheme="minorHAnsi"/>
          <w:sz w:val="22"/>
        </w:rPr>
      </w:pPr>
      <w:bookmarkStart w:id="234" w:name="_Toc33601223"/>
      <w:bookmarkStart w:id="235" w:name="_Toc82768924"/>
      <w:r w:rsidRPr="00692DC8">
        <w:rPr>
          <w:rFonts w:eastAsia="Times New Roman"/>
        </w:rPr>
        <w:t>Bienes concesionados</w:t>
      </w:r>
      <w:bookmarkEnd w:id="232"/>
      <w:bookmarkEnd w:id="233"/>
      <w:bookmarkEnd w:id="234"/>
      <w:bookmarkEnd w:id="235"/>
      <w:r w:rsidRPr="00692DC8">
        <w:rPr>
          <w:rFonts w:eastAsia="Times New Roman"/>
        </w:rPr>
        <w:t xml:space="preserve"> </w:t>
      </w:r>
      <w:r w:rsidR="00747D23">
        <w:rPr>
          <w:rFonts w:eastAsiaTheme="majorEastAsia" w:cstheme="majorBidi"/>
          <w:iCs/>
          <w:lang w:val="es-ES"/>
        </w:rPr>
        <w:fldChar w:fldCharType="begin"/>
      </w:r>
      <w:r w:rsidR="00747D23">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NOTAS_POR_CUENTA!F72C1:F74C6 </w:instrText>
      </w:r>
      <w:r w:rsidR="00747D23">
        <w:rPr>
          <w:lang w:val="es-ES"/>
        </w:rPr>
        <w:instrText xml:space="preserve">\a \f 4 \h </w:instrText>
      </w:r>
      <w:r w:rsidR="00747D23">
        <w:rPr>
          <w:b/>
          <w:lang w:val="es-ES"/>
        </w:rPr>
        <w:fldChar w:fldCharType="separate"/>
      </w:r>
    </w:p>
    <w:tbl>
      <w:tblPr>
        <w:tblW w:w="8847" w:type="dxa"/>
        <w:tblCellMar>
          <w:left w:w="70" w:type="dxa"/>
          <w:right w:w="70" w:type="dxa"/>
        </w:tblCellMar>
        <w:tblLook w:val="04A0" w:firstRow="1" w:lastRow="0" w:firstColumn="1" w:lastColumn="0" w:noHBand="0" w:noVBand="1"/>
      </w:tblPr>
      <w:tblGrid>
        <w:gridCol w:w="1334"/>
        <w:gridCol w:w="2666"/>
        <w:gridCol w:w="500"/>
        <w:gridCol w:w="1586"/>
        <w:gridCol w:w="1701"/>
        <w:gridCol w:w="1060"/>
      </w:tblGrid>
      <w:tr w:rsidR="00694299" w:rsidRPr="00694299" w14:paraId="3E432C46" w14:textId="77777777" w:rsidTr="001242F7">
        <w:trPr>
          <w:divId w:val="276063719"/>
          <w:trHeight w:val="324"/>
        </w:trPr>
        <w:tc>
          <w:tcPr>
            <w:tcW w:w="1334"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696ADCE" w14:textId="3A24A7AE"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666"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D966CA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ED36B6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5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FCC50B8"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C4177E4"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6A11F8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3AF1FFC6" w14:textId="77777777" w:rsidTr="001242F7">
        <w:trPr>
          <w:divId w:val="276063719"/>
          <w:trHeight w:val="324"/>
        </w:trPr>
        <w:tc>
          <w:tcPr>
            <w:tcW w:w="1334" w:type="dxa"/>
            <w:vMerge/>
            <w:tcBorders>
              <w:top w:val="single" w:sz="8" w:space="0" w:color="auto"/>
              <w:left w:val="single" w:sz="8" w:space="0" w:color="auto"/>
              <w:bottom w:val="single" w:sz="8" w:space="0" w:color="000000"/>
              <w:right w:val="single" w:sz="8" w:space="0" w:color="auto"/>
            </w:tcBorders>
            <w:vAlign w:val="center"/>
            <w:hideMark/>
          </w:tcPr>
          <w:p w14:paraId="3206560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666" w:type="dxa"/>
            <w:vMerge/>
            <w:tcBorders>
              <w:top w:val="single" w:sz="8" w:space="0" w:color="auto"/>
              <w:left w:val="single" w:sz="8" w:space="0" w:color="auto"/>
              <w:bottom w:val="single" w:sz="8" w:space="0" w:color="000000"/>
              <w:right w:val="single" w:sz="8" w:space="0" w:color="auto"/>
            </w:tcBorders>
            <w:vAlign w:val="center"/>
            <w:hideMark/>
          </w:tcPr>
          <w:p w14:paraId="381FAAF4"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1EE2D01"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19415B74"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7B5E2DA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670B636B"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3E44E9BC" w14:textId="77777777" w:rsidTr="001242F7">
        <w:trPr>
          <w:divId w:val="276063719"/>
          <w:trHeight w:val="324"/>
        </w:trPr>
        <w:tc>
          <w:tcPr>
            <w:tcW w:w="1334" w:type="dxa"/>
            <w:tcBorders>
              <w:top w:val="nil"/>
              <w:left w:val="single" w:sz="8" w:space="0" w:color="auto"/>
              <w:bottom w:val="single" w:sz="8" w:space="0" w:color="auto"/>
              <w:right w:val="single" w:sz="8" w:space="0" w:color="auto"/>
            </w:tcBorders>
            <w:shd w:val="clear" w:color="auto" w:fill="auto"/>
            <w:noWrap/>
            <w:vAlign w:val="center"/>
            <w:hideMark/>
          </w:tcPr>
          <w:p w14:paraId="70EE2B17"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1.2.6.</w:t>
            </w:r>
          </w:p>
        </w:tc>
        <w:tc>
          <w:tcPr>
            <w:tcW w:w="2666" w:type="dxa"/>
            <w:tcBorders>
              <w:top w:val="nil"/>
              <w:left w:val="nil"/>
              <w:bottom w:val="single" w:sz="8" w:space="0" w:color="auto"/>
              <w:right w:val="single" w:sz="8" w:space="0" w:color="auto"/>
            </w:tcBorders>
            <w:shd w:val="clear" w:color="auto" w:fill="auto"/>
            <w:vAlign w:val="center"/>
            <w:hideMark/>
          </w:tcPr>
          <w:p w14:paraId="7BF7FB3A"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Bienes concesionados</w:t>
            </w:r>
          </w:p>
        </w:tc>
        <w:tc>
          <w:tcPr>
            <w:tcW w:w="500" w:type="dxa"/>
            <w:tcBorders>
              <w:top w:val="nil"/>
              <w:left w:val="nil"/>
              <w:bottom w:val="single" w:sz="8" w:space="0" w:color="auto"/>
              <w:right w:val="single" w:sz="8" w:space="0" w:color="auto"/>
            </w:tcBorders>
            <w:shd w:val="clear" w:color="auto" w:fill="auto"/>
            <w:noWrap/>
            <w:vAlign w:val="center"/>
            <w:hideMark/>
          </w:tcPr>
          <w:p w14:paraId="736DD33B"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11</w:t>
            </w:r>
          </w:p>
        </w:tc>
        <w:tc>
          <w:tcPr>
            <w:tcW w:w="1586" w:type="dxa"/>
            <w:tcBorders>
              <w:top w:val="nil"/>
              <w:left w:val="nil"/>
              <w:bottom w:val="single" w:sz="8" w:space="0" w:color="auto"/>
              <w:right w:val="single" w:sz="8" w:space="0" w:color="auto"/>
            </w:tcBorders>
            <w:shd w:val="clear" w:color="auto" w:fill="auto"/>
            <w:noWrap/>
            <w:vAlign w:val="center"/>
            <w:hideMark/>
          </w:tcPr>
          <w:p w14:paraId="574D85AE"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701" w:type="dxa"/>
            <w:tcBorders>
              <w:top w:val="nil"/>
              <w:left w:val="nil"/>
              <w:bottom w:val="single" w:sz="8" w:space="0" w:color="auto"/>
              <w:right w:val="single" w:sz="8" w:space="0" w:color="auto"/>
            </w:tcBorders>
            <w:shd w:val="clear" w:color="auto" w:fill="auto"/>
            <w:noWrap/>
            <w:vAlign w:val="center"/>
            <w:hideMark/>
          </w:tcPr>
          <w:p w14:paraId="540E38CE"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40A61373"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4471C592" w14:textId="77777777" w:rsidR="00694299" w:rsidRPr="00694299" w:rsidRDefault="00747D23"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NOTAS_POR_CUENTA!F74C8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0CAE1971" w14:textId="77777777" w:rsidR="00694299" w:rsidRPr="00694299" w:rsidRDefault="00694299" w:rsidP="00294645">
      <w:pPr>
        <w:spacing w:line="240" w:lineRule="auto"/>
        <w:rPr>
          <w:rFonts w:eastAsia="Times New Roman" w:cs="Calibri"/>
          <w:color w:val="000000"/>
          <w:lang w:eastAsia="es-CR"/>
        </w:rPr>
      </w:pPr>
      <w:r w:rsidRPr="00694299">
        <w:rPr>
          <w:rFonts w:eastAsia="Times New Roman" w:cs="Calibri"/>
          <w:color w:val="000000"/>
          <w:lang w:eastAsia="es-CR"/>
        </w:rPr>
        <w:t>La cuenta Bienes concesionados, representa el 0,00% del total del Activo, que comparado al periodo anterior genera una variación absoluta de 0 000,00 que corresponde a un Aumento del 0,00% de recursos disponibles.</w:t>
      </w:r>
    </w:p>
    <w:p w14:paraId="3E37BB51" w14:textId="78C43080" w:rsidR="00692DC8" w:rsidRPr="00692DC8" w:rsidRDefault="00747D23" w:rsidP="00294645">
      <w:pPr>
        <w:spacing w:line="240" w:lineRule="auto"/>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bookmarkStart w:id="236" w:name="_Toc13041099"/>
    <w:bookmarkStart w:id="237" w:name="_Toc14345098"/>
    <w:bookmarkStart w:id="238" w:name="_Toc33601224"/>
    <w:p w14:paraId="100A24B5" w14:textId="77777777" w:rsidR="00694299" w:rsidRDefault="00747D23" w:rsidP="00323752">
      <w:pPr>
        <w:spacing w:before="240"/>
        <w:rPr>
          <w:rFonts w:asciiTheme="minorHAnsi" w:hAnsiTheme="minorHAnsi"/>
          <w:sz w:val="22"/>
        </w:rPr>
      </w:pPr>
      <w:r>
        <w:rPr>
          <w:lang w:val="es-ES" w:eastAsia="es-CR"/>
        </w:rPr>
        <w:fldChar w:fldCharType="begin"/>
      </w:r>
      <w:r>
        <w:rPr>
          <w:lang w:val="es-ES" w:eastAsia="es-CR"/>
        </w:rPr>
        <w:instrText xml:space="preserve"> LINK </w:instrText>
      </w:r>
      <w:r w:rsidR="00323752">
        <w:rPr>
          <w:lang w:val="es-ES" w:eastAsia="es-CR"/>
        </w:rPr>
        <w:instrText xml:space="preserve">Excel.SheetMacroEnabled.12 "D:\\MORAVIA\\INSUMOS\\NOTAS 2024\\Formato_Notas_EEFF_Vinculadas_2024\\XXXXX_PXX_202X_Anexo_Estado_Notas_Contables_Vinculadas.xlsm" NOTAS_POR_CUENTA!F76C1:F78C6 </w:instrText>
      </w:r>
      <w:r>
        <w:rPr>
          <w:lang w:val="es-ES" w:eastAsia="es-CR"/>
        </w:rPr>
        <w:instrText xml:space="preserve">\a \f 4 \h </w:instrText>
      </w:r>
      <w:r>
        <w:rPr>
          <w:lang w:val="es-ES" w:eastAsia="es-CR"/>
        </w:rPr>
        <w:fldChar w:fldCharType="separate"/>
      </w:r>
    </w:p>
    <w:tbl>
      <w:tblPr>
        <w:tblW w:w="8847" w:type="dxa"/>
        <w:tblCellMar>
          <w:left w:w="70" w:type="dxa"/>
          <w:right w:w="70" w:type="dxa"/>
        </w:tblCellMar>
        <w:tblLook w:val="04A0" w:firstRow="1" w:lastRow="0" w:firstColumn="1" w:lastColumn="0" w:noHBand="0" w:noVBand="1"/>
      </w:tblPr>
      <w:tblGrid>
        <w:gridCol w:w="715"/>
        <w:gridCol w:w="3285"/>
        <w:gridCol w:w="500"/>
        <w:gridCol w:w="1586"/>
        <w:gridCol w:w="1701"/>
        <w:gridCol w:w="1060"/>
      </w:tblGrid>
      <w:tr w:rsidR="00694299" w:rsidRPr="00694299" w14:paraId="2B685150" w14:textId="77777777" w:rsidTr="001242F7">
        <w:trPr>
          <w:divId w:val="216745815"/>
          <w:trHeight w:val="324"/>
        </w:trPr>
        <w:tc>
          <w:tcPr>
            <w:tcW w:w="715"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69E253B" w14:textId="22757B5B" w:rsidR="00694299" w:rsidRPr="00694299" w:rsidRDefault="00694299" w:rsidP="00694299">
            <w:pPr>
              <w:spacing w:after="0" w:line="240" w:lineRule="auto"/>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3285"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C0730A8"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AE29046"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5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0C58ED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605BDE6"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552FAB3"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4EB7B035" w14:textId="77777777" w:rsidTr="001242F7">
        <w:trPr>
          <w:divId w:val="216745815"/>
          <w:trHeight w:val="324"/>
        </w:trPr>
        <w:tc>
          <w:tcPr>
            <w:tcW w:w="715" w:type="dxa"/>
            <w:vMerge/>
            <w:tcBorders>
              <w:top w:val="single" w:sz="8" w:space="0" w:color="auto"/>
              <w:left w:val="single" w:sz="8" w:space="0" w:color="auto"/>
              <w:bottom w:val="single" w:sz="8" w:space="0" w:color="000000"/>
              <w:right w:val="single" w:sz="8" w:space="0" w:color="auto"/>
            </w:tcBorders>
            <w:vAlign w:val="center"/>
            <w:hideMark/>
          </w:tcPr>
          <w:p w14:paraId="5C042AF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3285" w:type="dxa"/>
            <w:vMerge/>
            <w:tcBorders>
              <w:top w:val="single" w:sz="8" w:space="0" w:color="auto"/>
              <w:left w:val="single" w:sz="8" w:space="0" w:color="auto"/>
              <w:bottom w:val="single" w:sz="8" w:space="0" w:color="000000"/>
              <w:right w:val="single" w:sz="8" w:space="0" w:color="auto"/>
            </w:tcBorders>
            <w:vAlign w:val="center"/>
            <w:hideMark/>
          </w:tcPr>
          <w:p w14:paraId="26F091A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610AAA7"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786FB396"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7049897C"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502C4DF6"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1C82D420" w14:textId="77777777" w:rsidTr="001242F7">
        <w:trPr>
          <w:divId w:val="216745815"/>
          <w:trHeight w:val="540"/>
        </w:trPr>
        <w:tc>
          <w:tcPr>
            <w:tcW w:w="715" w:type="dxa"/>
            <w:tcBorders>
              <w:top w:val="nil"/>
              <w:left w:val="single" w:sz="8" w:space="0" w:color="auto"/>
              <w:bottom w:val="single" w:sz="8" w:space="0" w:color="auto"/>
              <w:right w:val="single" w:sz="8" w:space="0" w:color="auto"/>
            </w:tcBorders>
            <w:shd w:val="clear" w:color="auto" w:fill="auto"/>
            <w:noWrap/>
            <w:vAlign w:val="center"/>
            <w:hideMark/>
          </w:tcPr>
          <w:p w14:paraId="77EFB2EC"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1.2.6.01.</w:t>
            </w:r>
          </w:p>
        </w:tc>
        <w:tc>
          <w:tcPr>
            <w:tcW w:w="3285" w:type="dxa"/>
            <w:tcBorders>
              <w:top w:val="nil"/>
              <w:left w:val="nil"/>
              <w:bottom w:val="single" w:sz="8" w:space="0" w:color="auto"/>
              <w:right w:val="single" w:sz="8" w:space="0" w:color="auto"/>
            </w:tcBorders>
            <w:shd w:val="clear" w:color="auto" w:fill="auto"/>
            <w:vAlign w:val="center"/>
            <w:hideMark/>
          </w:tcPr>
          <w:p w14:paraId="41B0077D"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Propiedades, planta y equipos concesionados</w:t>
            </w:r>
          </w:p>
        </w:tc>
        <w:tc>
          <w:tcPr>
            <w:tcW w:w="500" w:type="dxa"/>
            <w:tcBorders>
              <w:top w:val="nil"/>
              <w:left w:val="nil"/>
              <w:bottom w:val="single" w:sz="8" w:space="0" w:color="auto"/>
              <w:right w:val="single" w:sz="8" w:space="0" w:color="auto"/>
            </w:tcBorders>
            <w:shd w:val="clear" w:color="auto" w:fill="auto"/>
            <w:noWrap/>
            <w:vAlign w:val="center"/>
            <w:hideMark/>
          </w:tcPr>
          <w:p w14:paraId="191C14B7"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11</w:t>
            </w:r>
          </w:p>
        </w:tc>
        <w:tc>
          <w:tcPr>
            <w:tcW w:w="1586" w:type="dxa"/>
            <w:tcBorders>
              <w:top w:val="nil"/>
              <w:left w:val="nil"/>
              <w:bottom w:val="single" w:sz="8" w:space="0" w:color="auto"/>
              <w:right w:val="single" w:sz="8" w:space="0" w:color="auto"/>
            </w:tcBorders>
            <w:shd w:val="clear" w:color="auto" w:fill="auto"/>
            <w:noWrap/>
            <w:vAlign w:val="center"/>
            <w:hideMark/>
          </w:tcPr>
          <w:p w14:paraId="65535CD6"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701" w:type="dxa"/>
            <w:tcBorders>
              <w:top w:val="nil"/>
              <w:left w:val="nil"/>
              <w:bottom w:val="single" w:sz="8" w:space="0" w:color="auto"/>
              <w:right w:val="single" w:sz="8" w:space="0" w:color="auto"/>
            </w:tcBorders>
            <w:shd w:val="clear" w:color="auto" w:fill="auto"/>
            <w:noWrap/>
            <w:vAlign w:val="center"/>
            <w:hideMark/>
          </w:tcPr>
          <w:p w14:paraId="4A1D6BF6"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65C39D9F"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33E5703D" w14:textId="77777777" w:rsidR="005038C4" w:rsidRDefault="00747D23" w:rsidP="005038C4">
      <w:pPr>
        <w:spacing w:after="0" w:line="240" w:lineRule="auto"/>
        <w:rPr>
          <w:b/>
          <w:lang w:val="es-ES" w:eastAsia="es-CR"/>
        </w:rPr>
      </w:pPr>
      <w:r>
        <w:rPr>
          <w:b/>
          <w:lang w:val="es-ES" w:eastAsia="es-CR"/>
        </w:rPr>
        <w:fldChar w:fldCharType="end"/>
      </w:r>
    </w:p>
    <w:p w14:paraId="67EF2F0B" w14:textId="77777777" w:rsidR="005038C4" w:rsidRDefault="00692DC8" w:rsidP="005038C4">
      <w:pPr>
        <w:spacing w:after="0" w:line="240" w:lineRule="auto"/>
        <w:rPr>
          <w:b/>
          <w:lang w:val="es-ES" w:eastAsia="es-CR"/>
        </w:rPr>
      </w:pPr>
      <w:r w:rsidRPr="00E276CE">
        <w:rPr>
          <w:b/>
          <w:lang w:val="es-ES" w:eastAsia="es-CR"/>
        </w:rPr>
        <w:t xml:space="preserve">Revelación: </w:t>
      </w:r>
    </w:p>
    <w:p w14:paraId="67B3CC41" w14:textId="040FA9BB" w:rsidR="00694299" w:rsidRPr="00294645" w:rsidRDefault="00747D23" w:rsidP="005038C4">
      <w:pPr>
        <w:spacing w:after="0" w:line="240" w:lineRule="auto"/>
        <w:rPr>
          <w:rFonts w:cs="Calibri"/>
          <w:color w:val="000000"/>
          <w:lang w:eastAsia="es-CR"/>
        </w:rPr>
      </w:pPr>
      <w:r>
        <w:rPr>
          <w:rFonts w:cs="Calibri"/>
          <w:color w:val="000000"/>
          <w:lang w:eastAsia="es-CR"/>
        </w:rPr>
        <w:fldChar w:fldCharType="begin"/>
      </w:r>
      <w:r>
        <w:rPr>
          <w:rFonts w:cs="Calibri"/>
          <w:color w:val="000000"/>
          <w:lang w:eastAsia="es-CR"/>
        </w:rPr>
        <w:instrText xml:space="preserve"> LINK </w:instrText>
      </w:r>
      <w:r w:rsidR="00323752">
        <w:rPr>
          <w:rFonts w:cs="Calibri"/>
          <w:color w:val="000000"/>
          <w:lang w:eastAsia="es-CR"/>
        </w:rPr>
        <w:instrText xml:space="preserve">Excel.SheetMacroEnabled.12 "D:\\MORAVIA\\INSUMOS\\NOTAS 2024\\Formato_Notas_EEFF_Vinculadas_2024\\XXXXX_PXX_202X_Anexo_Estado_Notas_Contables_Vinculadas.xlsm" NOTAS_POR_CUENTA!F78C8 </w:instrText>
      </w:r>
      <w:r>
        <w:rPr>
          <w:rFonts w:cs="Calibri"/>
          <w:color w:val="000000"/>
          <w:lang w:eastAsia="es-CR"/>
        </w:rPr>
        <w:instrText xml:space="preserve">\a \f 5 \h  \* MERGEFORMAT </w:instrText>
      </w:r>
      <w:r>
        <w:rPr>
          <w:rFonts w:cs="Calibri"/>
          <w:color w:val="000000"/>
          <w:lang w:eastAsia="es-CR"/>
        </w:rPr>
        <w:fldChar w:fldCharType="separate"/>
      </w:r>
    </w:p>
    <w:p w14:paraId="44E8005E" w14:textId="77777777" w:rsidR="00694299" w:rsidRPr="00694299" w:rsidRDefault="00694299" w:rsidP="00294645">
      <w:pPr>
        <w:spacing w:line="240" w:lineRule="auto"/>
        <w:rPr>
          <w:rFonts w:cs="Calibri"/>
          <w:color w:val="000000"/>
          <w:lang w:eastAsia="es-CR"/>
        </w:rPr>
      </w:pPr>
      <w:r w:rsidRPr="00694299">
        <w:rPr>
          <w:rFonts w:cs="Calibri"/>
          <w:color w:val="000000"/>
          <w:lang w:eastAsia="es-CR"/>
        </w:rPr>
        <w:t>La cuenta Propiedades, planta y equipos concesionados, representa el 0,00% del total del Activo, que comparado al periodo anterior genera una variación absoluta de 0 000,00 que corresponde a un Aumento del 0,00% de recursos disponibles.</w:t>
      </w:r>
    </w:p>
    <w:p w14:paraId="55779410" w14:textId="24659CD9" w:rsidR="00E276CE" w:rsidRPr="00294645" w:rsidRDefault="00747D23" w:rsidP="00294645">
      <w:pPr>
        <w:spacing w:line="240" w:lineRule="auto"/>
        <w:rPr>
          <w:rFonts w:cs="Calibri"/>
          <w:color w:val="000000"/>
          <w:lang w:eastAsia="es-CR"/>
        </w:rPr>
      </w:pPr>
      <w:r>
        <w:rPr>
          <w:rFonts w:cs="Calibri"/>
          <w:color w:val="000000"/>
          <w:lang w:eastAsia="es-CR"/>
        </w:rPr>
        <w:fldChar w:fldCharType="end"/>
      </w:r>
      <w:r w:rsidR="00692DC8" w:rsidRPr="00294645">
        <w:rPr>
          <w:rFonts w:cs="Calibri"/>
          <w:color w:val="000000"/>
          <w:lang w:eastAsia="es-CR"/>
        </w:rPr>
        <w:t xml:space="preserve"> Las variaciones de la cuenta son producto de (Indicar la razón de las variaciones de un periodo a otro): </w:t>
      </w:r>
    </w:p>
    <w:p w14:paraId="1157EDCB" w14:textId="77777777" w:rsidR="00694299" w:rsidRDefault="00C82B66" w:rsidP="00323752">
      <w:pPr>
        <w:spacing w:before="240"/>
        <w:rPr>
          <w:rFonts w:asciiTheme="minorHAnsi" w:hAnsiTheme="minorHAnsi"/>
          <w:sz w:val="22"/>
        </w:rPr>
      </w:pPr>
      <w:r>
        <w:rPr>
          <w:lang w:val="es-ES"/>
        </w:rPr>
        <w:fldChar w:fldCharType="begin"/>
      </w:r>
      <w:r>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NOTAS_POR_CUENTA!F80C1:F82C6 </w:instrText>
      </w:r>
      <w:r>
        <w:rPr>
          <w:lang w:val="es-ES"/>
        </w:rPr>
        <w:instrText xml:space="preserve">\a \f 4 \h </w:instrText>
      </w:r>
      <w:r>
        <w:rPr>
          <w:lang w:val="es-ES"/>
        </w:rPr>
        <w:fldChar w:fldCharType="separate"/>
      </w:r>
    </w:p>
    <w:tbl>
      <w:tblPr>
        <w:tblW w:w="8847" w:type="dxa"/>
        <w:tblCellMar>
          <w:left w:w="70" w:type="dxa"/>
          <w:right w:w="70" w:type="dxa"/>
        </w:tblCellMar>
        <w:tblLook w:val="04A0" w:firstRow="1" w:lastRow="0" w:firstColumn="1" w:lastColumn="0" w:noHBand="0" w:noVBand="1"/>
      </w:tblPr>
      <w:tblGrid>
        <w:gridCol w:w="715"/>
        <w:gridCol w:w="3285"/>
        <w:gridCol w:w="500"/>
        <w:gridCol w:w="1586"/>
        <w:gridCol w:w="1701"/>
        <w:gridCol w:w="1060"/>
      </w:tblGrid>
      <w:tr w:rsidR="00694299" w:rsidRPr="00694299" w14:paraId="1FFEE13E" w14:textId="77777777" w:rsidTr="001242F7">
        <w:trPr>
          <w:divId w:val="1667250408"/>
          <w:trHeight w:val="324"/>
        </w:trPr>
        <w:tc>
          <w:tcPr>
            <w:tcW w:w="715"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F363B55" w14:textId="3E1045F0" w:rsidR="00694299" w:rsidRPr="00694299" w:rsidRDefault="00694299" w:rsidP="00694299">
            <w:pPr>
              <w:spacing w:after="0" w:line="240" w:lineRule="auto"/>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3285"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E8EEEA4"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C65DD5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5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AE97C0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A4799BD"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27E1E44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25800EEF" w14:textId="77777777" w:rsidTr="001242F7">
        <w:trPr>
          <w:divId w:val="1667250408"/>
          <w:trHeight w:val="324"/>
        </w:trPr>
        <w:tc>
          <w:tcPr>
            <w:tcW w:w="715" w:type="dxa"/>
            <w:vMerge/>
            <w:tcBorders>
              <w:top w:val="single" w:sz="8" w:space="0" w:color="auto"/>
              <w:left w:val="single" w:sz="8" w:space="0" w:color="auto"/>
              <w:bottom w:val="single" w:sz="8" w:space="0" w:color="000000"/>
              <w:right w:val="single" w:sz="8" w:space="0" w:color="auto"/>
            </w:tcBorders>
            <w:vAlign w:val="center"/>
            <w:hideMark/>
          </w:tcPr>
          <w:p w14:paraId="1013C784"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3285" w:type="dxa"/>
            <w:vMerge/>
            <w:tcBorders>
              <w:top w:val="single" w:sz="8" w:space="0" w:color="auto"/>
              <w:left w:val="single" w:sz="8" w:space="0" w:color="auto"/>
              <w:bottom w:val="single" w:sz="8" w:space="0" w:color="000000"/>
              <w:right w:val="single" w:sz="8" w:space="0" w:color="auto"/>
            </w:tcBorders>
            <w:vAlign w:val="center"/>
            <w:hideMark/>
          </w:tcPr>
          <w:p w14:paraId="61D9CB1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B50739C"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58703476"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63997865"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1AC9941"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430B7B4B" w14:textId="77777777" w:rsidTr="001242F7">
        <w:trPr>
          <w:divId w:val="1667250408"/>
          <w:trHeight w:val="324"/>
        </w:trPr>
        <w:tc>
          <w:tcPr>
            <w:tcW w:w="715" w:type="dxa"/>
            <w:tcBorders>
              <w:top w:val="nil"/>
              <w:left w:val="single" w:sz="8" w:space="0" w:color="auto"/>
              <w:bottom w:val="single" w:sz="8" w:space="0" w:color="auto"/>
              <w:right w:val="single" w:sz="8" w:space="0" w:color="auto"/>
            </w:tcBorders>
            <w:shd w:val="clear" w:color="auto" w:fill="auto"/>
            <w:noWrap/>
            <w:vAlign w:val="center"/>
            <w:hideMark/>
          </w:tcPr>
          <w:p w14:paraId="3CC9A2C4"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1.2.6.03.</w:t>
            </w:r>
          </w:p>
        </w:tc>
        <w:tc>
          <w:tcPr>
            <w:tcW w:w="3285" w:type="dxa"/>
            <w:tcBorders>
              <w:top w:val="nil"/>
              <w:left w:val="nil"/>
              <w:bottom w:val="single" w:sz="8" w:space="0" w:color="auto"/>
              <w:right w:val="single" w:sz="8" w:space="0" w:color="auto"/>
            </w:tcBorders>
            <w:shd w:val="clear" w:color="auto" w:fill="auto"/>
            <w:vAlign w:val="center"/>
            <w:hideMark/>
          </w:tcPr>
          <w:p w14:paraId="1E761F08"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Activos biológicos concesionados</w:t>
            </w:r>
          </w:p>
        </w:tc>
        <w:tc>
          <w:tcPr>
            <w:tcW w:w="500" w:type="dxa"/>
            <w:tcBorders>
              <w:top w:val="nil"/>
              <w:left w:val="nil"/>
              <w:bottom w:val="single" w:sz="8" w:space="0" w:color="auto"/>
              <w:right w:val="single" w:sz="8" w:space="0" w:color="auto"/>
            </w:tcBorders>
            <w:shd w:val="clear" w:color="auto" w:fill="auto"/>
            <w:noWrap/>
            <w:vAlign w:val="center"/>
            <w:hideMark/>
          </w:tcPr>
          <w:p w14:paraId="349149FA"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11</w:t>
            </w:r>
          </w:p>
        </w:tc>
        <w:tc>
          <w:tcPr>
            <w:tcW w:w="1586" w:type="dxa"/>
            <w:tcBorders>
              <w:top w:val="nil"/>
              <w:left w:val="nil"/>
              <w:bottom w:val="single" w:sz="8" w:space="0" w:color="auto"/>
              <w:right w:val="single" w:sz="8" w:space="0" w:color="auto"/>
            </w:tcBorders>
            <w:shd w:val="clear" w:color="auto" w:fill="auto"/>
            <w:noWrap/>
            <w:vAlign w:val="center"/>
            <w:hideMark/>
          </w:tcPr>
          <w:p w14:paraId="44CFCE04"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701" w:type="dxa"/>
            <w:tcBorders>
              <w:top w:val="nil"/>
              <w:left w:val="nil"/>
              <w:bottom w:val="single" w:sz="8" w:space="0" w:color="auto"/>
              <w:right w:val="single" w:sz="8" w:space="0" w:color="auto"/>
            </w:tcBorders>
            <w:shd w:val="clear" w:color="auto" w:fill="auto"/>
            <w:noWrap/>
            <w:vAlign w:val="center"/>
            <w:hideMark/>
          </w:tcPr>
          <w:p w14:paraId="731F5341"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13C9E2B8"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34ABFE4F" w14:textId="77777777" w:rsidR="00694299" w:rsidRPr="00694299" w:rsidRDefault="00C82B66" w:rsidP="00294645">
      <w:pPr>
        <w:spacing w:before="240" w:line="240" w:lineRule="auto"/>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NOTAS_POR_CUENTA!F82C8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34E8FC2E" w14:textId="77777777" w:rsidR="00694299" w:rsidRPr="00694299" w:rsidRDefault="00694299" w:rsidP="00294645">
      <w:pPr>
        <w:spacing w:line="240" w:lineRule="auto"/>
        <w:rPr>
          <w:rFonts w:eastAsia="Times New Roman" w:cs="Calibri"/>
          <w:color w:val="000000"/>
          <w:lang w:eastAsia="es-CR"/>
        </w:rPr>
      </w:pPr>
      <w:r w:rsidRPr="00694299">
        <w:rPr>
          <w:rFonts w:eastAsia="Times New Roman" w:cs="Calibri"/>
          <w:color w:val="000000"/>
          <w:lang w:eastAsia="es-CR"/>
        </w:rPr>
        <w:t>La cuenta Activos biológicos concesionados, representa el 0,00% del total del Activo, que comparado al periodo anterior genera una variación absoluta de 0 000,00 que corresponde a un Aumento del 0,00% de recursos disponibles.</w:t>
      </w:r>
    </w:p>
    <w:p w14:paraId="5EB8BD69" w14:textId="2BB66547" w:rsidR="00692DC8" w:rsidRPr="00692DC8" w:rsidRDefault="00C82B66" w:rsidP="00294645">
      <w:pPr>
        <w:spacing w:line="240" w:lineRule="auto"/>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32E178B" w14:textId="77777777" w:rsidR="00694299" w:rsidRDefault="00186411" w:rsidP="00E276CE">
      <w:pPr>
        <w:spacing w:before="240"/>
        <w:rPr>
          <w:rFonts w:asciiTheme="minorHAnsi" w:hAnsiTheme="minorHAnsi"/>
          <w:sz w:val="22"/>
        </w:rPr>
      </w:pPr>
      <w:r>
        <w:rPr>
          <w:lang w:val="es-ES"/>
        </w:rPr>
        <w:fldChar w:fldCharType="begin"/>
      </w:r>
      <w:r>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NOTAS_POR_CUENTA!F84C1:F86C6 </w:instrText>
      </w:r>
      <w:r>
        <w:rPr>
          <w:lang w:val="es-ES"/>
        </w:rPr>
        <w:instrText xml:space="preserve">\a \f 4 \h </w:instrText>
      </w:r>
      <w:r>
        <w:rPr>
          <w:lang w:val="es-ES"/>
        </w:rPr>
        <w:fldChar w:fldCharType="separate"/>
      </w:r>
    </w:p>
    <w:tbl>
      <w:tblPr>
        <w:tblW w:w="8847" w:type="dxa"/>
        <w:tblCellMar>
          <w:left w:w="70" w:type="dxa"/>
          <w:right w:w="70" w:type="dxa"/>
        </w:tblCellMar>
        <w:tblLook w:val="04A0" w:firstRow="1" w:lastRow="0" w:firstColumn="1" w:lastColumn="0" w:noHBand="0" w:noVBand="1"/>
      </w:tblPr>
      <w:tblGrid>
        <w:gridCol w:w="715"/>
        <w:gridCol w:w="3285"/>
        <w:gridCol w:w="500"/>
        <w:gridCol w:w="1586"/>
        <w:gridCol w:w="1701"/>
        <w:gridCol w:w="1060"/>
      </w:tblGrid>
      <w:tr w:rsidR="00694299" w:rsidRPr="00694299" w14:paraId="42838E34" w14:textId="77777777" w:rsidTr="001242F7">
        <w:trPr>
          <w:divId w:val="1366174166"/>
          <w:trHeight w:val="324"/>
        </w:trPr>
        <w:tc>
          <w:tcPr>
            <w:tcW w:w="715"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2E5F86C" w14:textId="289BFC63" w:rsidR="00694299" w:rsidRPr="00694299" w:rsidRDefault="00694299" w:rsidP="00694299">
            <w:pPr>
              <w:spacing w:after="0" w:line="240" w:lineRule="auto"/>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3285"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B78025A"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5FF1C9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5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6F90BA0"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B3FBE23"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276E035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69B7F331" w14:textId="77777777" w:rsidTr="001242F7">
        <w:trPr>
          <w:divId w:val="1366174166"/>
          <w:trHeight w:val="324"/>
        </w:trPr>
        <w:tc>
          <w:tcPr>
            <w:tcW w:w="715" w:type="dxa"/>
            <w:vMerge/>
            <w:tcBorders>
              <w:top w:val="single" w:sz="8" w:space="0" w:color="auto"/>
              <w:left w:val="single" w:sz="8" w:space="0" w:color="auto"/>
              <w:bottom w:val="single" w:sz="8" w:space="0" w:color="000000"/>
              <w:right w:val="single" w:sz="8" w:space="0" w:color="auto"/>
            </w:tcBorders>
            <w:vAlign w:val="center"/>
            <w:hideMark/>
          </w:tcPr>
          <w:p w14:paraId="4BF33A0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3285" w:type="dxa"/>
            <w:vMerge/>
            <w:tcBorders>
              <w:top w:val="single" w:sz="8" w:space="0" w:color="auto"/>
              <w:left w:val="single" w:sz="8" w:space="0" w:color="auto"/>
              <w:bottom w:val="single" w:sz="8" w:space="0" w:color="000000"/>
              <w:right w:val="single" w:sz="8" w:space="0" w:color="auto"/>
            </w:tcBorders>
            <w:vAlign w:val="center"/>
            <w:hideMark/>
          </w:tcPr>
          <w:p w14:paraId="4D070AC5"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234FFA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6641A76D"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7FC0EC0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272C4DF8"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6D9FDE01" w14:textId="77777777" w:rsidTr="001242F7">
        <w:trPr>
          <w:divId w:val="1366174166"/>
          <w:trHeight w:val="540"/>
        </w:trPr>
        <w:tc>
          <w:tcPr>
            <w:tcW w:w="715" w:type="dxa"/>
            <w:tcBorders>
              <w:top w:val="nil"/>
              <w:left w:val="single" w:sz="8" w:space="0" w:color="auto"/>
              <w:bottom w:val="single" w:sz="8" w:space="0" w:color="auto"/>
              <w:right w:val="single" w:sz="8" w:space="0" w:color="auto"/>
            </w:tcBorders>
            <w:shd w:val="clear" w:color="auto" w:fill="auto"/>
            <w:noWrap/>
            <w:vAlign w:val="center"/>
            <w:hideMark/>
          </w:tcPr>
          <w:p w14:paraId="50F97F4F"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1.2.6.04.</w:t>
            </w:r>
          </w:p>
        </w:tc>
        <w:tc>
          <w:tcPr>
            <w:tcW w:w="3285" w:type="dxa"/>
            <w:tcBorders>
              <w:top w:val="nil"/>
              <w:left w:val="nil"/>
              <w:bottom w:val="single" w:sz="8" w:space="0" w:color="auto"/>
              <w:right w:val="single" w:sz="8" w:space="0" w:color="auto"/>
            </w:tcBorders>
            <w:shd w:val="clear" w:color="auto" w:fill="auto"/>
            <w:vAlign w:val="center"/>
            <w:hideMark/>
          </w:tcPr>
          <w:p w14:paraId="0E95D1BE"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Bienes de infraestructura y de beneficio y uso público concesionados</w:t>
            </w:r>
          </w:p>
        </w:tc>
        <w:tc>
          <w:tcPr>
            <w:tcW w:w="500" w:type="dxa"/>
            <w:tcBorders>
              <w:top w:val="nil"/>
              <w:left w:val="nil"/>
              <w:bottom w:val="single" w:sz="8" w:space="0" w:color="auto"/>
              <w:right w:val="single" w:sz="8" w:space="0" w:color="auto"/>
            </w:tcBorders>
            <w:shd w:val="clear" w:color="auto" w:fill="auto"/>
            <w:noWrap/>
            <w:vAlign w:val="center"/>
            <w:hideMark/>
          </w:tcPr>
          <w:p w14:paraId="249C29E9"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11</w:t>
            </w:r>
          </w:p>
        </w:tc>
        <w:tc>
          <w:tcPr>
            <w:tcW w:w="1586" w:type="dxa"/>
            <w:tcBorders>
              <w:top w:val="nil"/>
              <w:left w:val="nil"/>
              <w:bottom w:val="single" w:sz="8" w:space="0" w:color="auto"/>
              <w:right w:val="single" w:sz="8" w:space="0" w:color="auto"/>
            </w:tcBorders>
            <w:shd w:val="clear" w:color="auto" w:fill="auto"/>
            <w:noWrap/>
            <w:vAlign w:val="center"/>
            <w:hideMark/>
          </w:tcPr>
          <w:p w14:paraId="160098DA"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701" w:type="dxa"/>
            <w:tcBorders>
              <w:top w:val="nil"/>
              <w:left w:val="nil"/>
              <w:bottom w:val="single" w:sz="8" w:space="0" w:color="auto"/>
              <w:right w:val="single" w:sz="8" w:space="0" w:color="auto"/>
            </w:tcBorders>
            <w:shd w:val="clear" w:color="auto" w:fill="auto"/>
            <w:noWrap/>
            <w:vAlign w:val="center"/>
            <w:hideMark/>
          </w:tcPr>
          <w:p w14:paraId="2FF4A86E"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57EE5781"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298EE5FE" w14:textId="76687978" w:rsidR="00186411" w:rsidRDefault="00186411" w:rsidP="00901D21">
      <w:pPr>
        <w:spacing w:after="0" w:line="240" w:lineRule="auto"/>
        <w:rPr>
          <w:b/>
          <w:bCs/>
          <w:lang w:val="es-ES"/>
        </w:rPr>
      </w:pPr>
      <w:r>
        <w:rPr>
          <w:b/>
          <w:bCs/>
          <w:lang w:val="es-ES"/>
        </w:rPr>
        <w:fldChar w:fldCharType="end"/>
      </w:r>
    </w:p>
    <w:p w14:paraId="6D5EEE75" w14:textId="77777777" w:rsidR="00694299" w:rsidRPr="00694299" w:rsidRDefault="00692DC8" w:rsidP="00294645">
      <w:pPr>
        <w:spacing w:before="240" w:line="240" w:lineRule="auto"/>
        <w:rPr>
          <w:sz w:val="20"/>
          <w:szCs w:val="20"/>
          <w:lang w:eastAsia="es-CR"/>
        </w:rPr>
      </w:pPr>
      <w:r w:rsidRPr="00692DC8">
        <w:rPr>
          <w:b/>
          <w:bCs/>
          <w:lang w:val="es-ES"/>
        </w:rPr>
        <w:t>Revelación</w:t>
      </w:r>
      <w:r w:rsidRPr="00692DC8">
        <w:rPr>
          <w:lang w:val="es-ES"/>
        </w:rPr>
        <w:t xml:space="preserve">: </w:t>
      </w:r>
      <w:r w:rsidR="00186411">
        <w:rPr>
          <w:rFonts w:eastAsia="Times New Roman" w:cs="Calibri"/>
          <w:color w:val="000000"/>
          <w:lang w:eastAsia="es-CR"/>
        </w:rPr>
        <w:fldChar w:fldCharType="begin"/>
      </w:r>
      <w:r w:rsidR="00186411">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NOTAS_POR_CUENTA!F86C8 </w:instrText>
      </w:r>
      <w:r w:rsidR="00186411">
        <w:rPr>
          <w:rFonts w:eastAsia="Times New Roman" w:cs="Calibri"/>
          <w:color w:val="000000"/>
          <w:lang w:eastAsia="es-CR"/>
        </w:rPr>
        <w:instrText xml:space="preserve">\a \f 5 \h  \* MERGEFORMAT </w:instrText>
      </w:r>
      <w:r w:rsidR="00186411">
        <w:rPr>
          <w:rFonts w:eastAsia="Times New Roman" w:cs="Calibri"/>
          <w:color w:val="000000"/>
          <w:lang w:eastAsia="es-CR"/>
        </w:rPr>
        <w:fldChar w:fldCharType="separate"/>
      </w:r>
    </w:p>
    <w:p w14:paraId="360A41E7" w14:textId="77777777" w:rsidR="00694299" w:rsidRPr="00694299" w:rsidRDefault="00694299" w:rsidP="00294645">
      <w:pPr>
        <w:spacing w:line="240" w:lineRule="auto"/>
        <w:rPr>
          <w:rFonts w:eastAsia="Times New Roman" w:cs="Calibri"/>
          <w:color w:val="000000"/>
          <w:lang w:eastAsia="es-CR"/>
        </w:rPr>
      </w:pPr>
      <w:r w:rsidRPr="00694299">
        <w:rPr>
          <w:rFonts w:eastAsia="Times New Roman" w:cs="Calibri"/>
          <w:color w:val="000000"/>
          <w:lang w:eastAsia="es-CR"/>
        </w:rPr>
        <w:t>La cuenta Bienes de infraestructura y de beneficio y uso público concesionados, representa el 0,00% del total del Activo, que comparado al periodo anterior genera una variación absoluta de 0 000,00 que corresponde a un Aumento del 0,00% de recursos disponibles.</w:t>
      </w:r>
    </w:p>
    <w:p w14:paraId="3B2E62BD" w14:textId="269C08C1" w:rsidR="00692DC8" w:rsidRPr="00692DC8" w:rsidRDefault="00186411" w:rsidP="00294645">
      <w:pPr>
        <w:spacing w:line="240" w:lineRule="auto"/>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7D7542E9" w14:textId="77777777" w:rsidR="00694299" w:rsidRDefault="00186411" w:rsidP="00323752">
      <w:pPr>
        <w:spacing w:before="240"/>
        <w:rPr>
          <w:rFonts w:asciiTheme="minorHAnsi" w:hAnsiTheme="minorHAnsi"/>
          <w:sz w:val="22"/>
        </w:rPr>
      </w:pPr>
      <w:r>
        <w:rPr>
          <w:lang w:val="es-ES"/>
        </w:rPr>
        <w:fldChar w:fldCharType="begin"/>
      </w:r>
      <w:r>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NOTAS_POR_CUENTA!F88C1:F90C6 </w:instrText>
      </w:r>
      <w:r>
        <w:rPr>
          <w:lang w:val="es-ES"/>
        </w:rPr>
        <w:instrText xml:space="preserve">\a \f 4 \h </w:instrText>
      </w:r>
      <w:r>
        <w:rPr>
          <w:lang w:val="es-ES"/>
        </w:rPr>
        <w:fldChar w:fldCharType="separate"/>
      </w:r>
    </w:p>
    <w:tbl>
      <w:tblPr>
        <w:tblW w:w="8847" w:type="dxa"/>
        <w:tblCellMar>
          <w:left w:w="70" w:type="dxa"/>
          <w:right w:w="70" w:type="dxa"/>
        </w:tblCellMar>
        <w:tblLook w:val="04A0" w:firstRow="1" w:lastRow="0" w:firstColumn="1" w:lastColumn="0" w:noHBand="0" w:noVBand="1"/>
      </w:tblPr>
      <w:tblGrid>
        <w:gridCol w:w="715"/>
        <w:gridCol w:w="3285"/>
        <w:gridCol w:w="500"/>
        <w:gridCol w:w="1586"/>
        <w:gridCol w:w="1701"/>
        <w:gridCol w:w="1060"/>
      </w:tblGrid>
      <w:tr w:rsidR="00694299" w:rsidRPr="00694299" w14:paraId="24594EA0" w14:textId="77777777" w:rsidTr="001242F7">
        <w:trPr>
          <w:divId w:val="1851794097"/>
          <w:trHeight w:val="324"/>
        </w:trPr>
        <w:tc>
          <w:tcPr>
            <w:tcW w:w="715"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2761DFA" w14:textId="6F71D7EB" w:rsidR="00694299" w:rsidRPr="00694299" w:rsidRDefault="00694299" w:rsidP="00694299">
            <w:pPr>
              <w:spacing w:after="0" w:line="240" w:lineRule="auto"/>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3285"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868F3F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D63ECAD"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5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D7B673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2327B13"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05A84B3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673C5BC5" w14:textId="77777777" w:rsidTr="001242F7">
        <w:trPr>
          <w:divId w:val="1851794097"/>
          <w:trHeight w:val="324"/>
        </w:trPr>
        <w:tc>
          <w:tcPr>
            <w:tcW w:w="715" w:type="dxa"/>
            <w:vMerge/>
            <w:tcBorders>
              <w:top w:val="single" w:sz="8" w:space="0" w:color="auto"/>
              <w:left w:val="single" w:sz="8" w:space="0" w:color="auto"/>
              <w:bottom w:val="single" w:sz="8" w:space="0" w:color="000000"/>
              <w:right w:val="single" w:sz="8" w:space="0" w:color="auto"/>
            </w:tcBorders>
            <w:vAlign w:val="center"/>
            <w:hideMark/>
          </w:tcPr>
          <w:p w14:paraId="112A0FF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3285" w:type="dxa"/>
            <w:vMerge/>
            <w:tcBorders>
              <w:top w:val="single" w:sz="8" w:space="0" w:color="auto"/>
              <w:left w:val="single" w:sz="8" w:space="0" w:color="auto"/>
              <w:bottom w:val="single" w:sz="8" w:space="0" w:color="000000"/>
              <w:right w:val="single" w:sz="8" w:space="0" w:color="auto"/>
            </w:tcBorders>
            <w:vAlign w:val="center"/>
            <w:hideMark/>
          </w:tcPr>
          <w:p w14:paraId="15B3474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9C252C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4EED4F1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00FF055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527B8223"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144BB23B" w14:textId="77777777" w:rsidTr="001242F7">
        <w:trPr>
          <w:divId w:val="1851794097"/>
          <w:trHeight w:val="324"/>
        </w:trPr>
        <w:tc>
          <w:tcPr>
            <w:tcW w:w="715" w:type="dxa"/>
            <w:tcBorders>
              <w:top w:val="nil"/>
              <w:left w:val="single" w:sz="8" w:space="0" w:color="auto"/>
              <w:bottom w:val="single" w:sz="8" w:space="0" w:color="auto"/>
              <w:right w:val="single" w:sz="8" w:space="0" w:color="auto"/>
            </w:tcBorders>
            <w:shd w:val="clear" w:color="auto" w:fill="auto"/>
            <w:noWrap/>
            <w:vAlign w:val="center"/>
            <w:hideMark/>
          </w:tcPr>
          <w:p w14:paraId="11997ED1"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1.2.6.06.</w:t>
            </w:r>
          </w:p>
        </w:tc>
        <w:tc>
          <w:tcPr>
            <w:tcW w:w="3285" w:type="dxa"/>
            <w:tcBorders>
              <w:top w:val="nil"/>
              <w:left w:val="nil"/>
              <w:bottom w:val="single" w:sz="8" w:space="0" w:color="auto"/>
              <w:right w:val="single" w:sz="8" w:space="0" w:color="auto"/>
            </w:tcBorders>
            <w:shd w:val="clear" w:color="auto" w:fill="auto"/>
            <w:vAlign w:val="center"/>
            <w:hideMark/>
          </w:tcPr>
          <w:p w14:paraId="48A2E121"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Recursos naturales concesionados</w:t>
            </w:r>
          </w:p>
        </w:tc>
        <w:tc>
          <w:tcPr>
            <w:tcW w:w="500" w:type="dxa"/>
            <w:tcBorders>
              <w:top w:val="nil"/>
              <w:left w:val="nil"/>
              <w:bottom w:val="single" w:sz="8" w:space="0" w:color="auto"/>
              <w:right w:val="single" w:sz="8" w:space="0" w:color="auto"/>
            </w:tcBorders>
            <w:shd w:val="clear" w:color="auto" w:fill="auto"/>
            <w:noWrap/>
            <w:vAlign w:val="center"/>
            <w:hideMark/>
          </w:tcPr>
          <w:p w14:paraId="2BA39A96"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11</w:t>
            </w:r>
          </w:p>
        </w:tc>
        <w:tc>
          <w:tcPr>
            <w:tcW w:w="1586" w:type="dxa"/>
            <w:tcBorders>
              <w:top w:val="nil"/>
              <w:left w:val="nil"/>
              <w:bottom w:val="single" w:sz="8" w:space="0" w:color="auto"/>
              <w:right w:val="single" w:sz="8" w:space="0" w:color="auto"/>
            </w:tcBorders>
            <w:shd w:val="clear" w:color="auto" w:fill="auto"/>
            <w:noWrap/>
            <w:vAlign w:val="center"/>
            <w:hideMark/>
          </w:tcPr>
          <w:p w14:paraId="3E6E400A"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701" w:type="dxa"/>
            <w:tcBorders>
              <w:top w:val="nil"/>
              <w:left w:val="nil"/>
              <w:bottom w:val="single" w:sz="8" w:space="0" w:color="auto"/>
              <w:right w:val="single" w:sz="8" w:space="0" w:color="auto"/>
            </w:tcBorders>
            <w:shd w:val="clear" w:color="auto" w:fill="auto"/>
            <w:noWrap/>
            <w:vAlign w:val="center"/>
            <w:hideMark/>
          </w:tcPr>
          <w:p w14:paraId="269B876A"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37A6C7CC"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15B1153C" w14:textId="77777777" w:rsidR="00694299" w:rsidRPr="00694299" w:rsidRDefault="00186411" w:rsidP="00294645">
      <w:pPr>
        <w:spacing w:before="240" w:line="240" w:lineRule="auto"/>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NOTAS_POR_CUENTA!F90C8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4828690D" w14:textId="77777777" w:rsidR="00694299" w:rsidRPr="00694299" w:rsidRDefault="00694299" w:rsidP="00294645">
      <w:pPr>
        <w:spacing w:line="240" w:lineRule="auto"/>
        <w:rPr>
          <w:rFonts w:eastAsia="Times New Roman" w:cs="Calibri"/>
          <w:color w:val="000000"/>
          <w:lang w:eastAsia="es-CR"/>
        </w:rPr>
      </w:pPr>
      <w:r w:rsidRPr="00694299">
        <w:rPr>
          <w:rFonts w:eastAsia="Times New Roman" w:cs="Calibri"/>
          <w:color w:val="000000"/>
          <w:lang w:eastAsia="es-CR"/>
        </w:rPr>
        <w:t>La cuenta Recursos naturales concesionados, representa el 0,00% del total del Activo, que comparado al periodo anterior genera una variación absoluta de 0 000,00 que corresponde a un Aumento del 0,00% de recursos disponibles.</w:t>
      </w:r>
    </w:p>
    <w:p w14:paraId="79E00749" w14:textId="079068B3" w:rsidR="00692DC8" w:rsidRPr="00186411" w:rsidRDefault="00186411" w:rsidP="00294645">
      <w:pPr>
        <w:spacing w:line="240" w:lineRule="auto"/>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1CBDBD50" w14:textId="77777777" w:rsidR="00694299" w:rsidRDefault="00186411" w:rsidP="00323752">
      <w:pPr>
        <w:spacing w:before="240"/>
        <w:rPr>
          <w:rFonts w:asciiTheme="minorHAnsi" w:hAnsiTheme="minorHAnsi"/>
          <w:sz w:val="22"/>
        </w:rPr>
      </w:pPr>
      <w:r>
        <w:rPr>
          <w:lang w:val="es-ES"/>
        </w:rPr>
        <w:fldChar w:fldCharType="begin"/>
      </w:r>
      <w:r>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NOTAS_POR_CUENTA!F92C1:F94C6 </w:instrText>
      </w:r>
      <w:r>
        <w:rPr>
          <w:lang w:val="es-ES"/>
        </w:rPr>
        <w:instrText xml:space="preserve">\a \f 4 \h </w:instrText>
      </w:r>
      <w:r>
        <w:rPr>
          <w:lang w:val="es-ES"/>
        </w:rPr>
        <w:fldChar w:fldCharType="separate"/>
      </w:r>
    </w:p>
    <w:tbl>
      <w:tblPr>
        <w:tblW w:w="8847" w:type="dxa"/>
        <w:tblCellMar>
          <w:left w:w="70" w:type="dxa"/>
          <w:right w:w="70" w:type="dxa"/>
        </w:tblCellMar>
        <w:tblLook w:val="04A0" w:firstRow="1" w:lastRow="0" w:firstColumn="1" w:lastColumn="0" w:noHBand="0" w:noVBand="1"/>
      </w:tblPr>
      <w:tblGrid>
        <w:gridCol w:w="715"/>
        <w:gridCol w:w="3285"/>
        <w:gridCol w:w="500"/>
        <w:gridCol w:w="1586"/>
        <w:gridCol w:w="1701"/>
        <w:gridCol w:w="1060"/>
      </w:tblGrid>
      <w:tr w:rsidR="00694299" w:rsidRPr="00694299" w14:paraId="645FC9FA" w14:textId="77777777" w:rsidTr="001242F7">
        <w:trPr>
          <w:divId w:val="1295865274"/>
          <w:trHeight w:val="324"/>
        </w:trPr>
        <w:tc>
          <w:tcPr>
            <w:tcW w:w="715"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79B2C45" w14:textId="18916433" w:rsidR="00694299" w:rsidRPr="00694299" w:rsidRDefault="00694299" w:rsidP="00694299">
            <w:pPr>
              <w:spacing w:after="0" w:line="240" w:lineRule="auto"/>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3285"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6FE433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3662B6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5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19C5A7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646B88E"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223041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17925E99" w14:textId="77777777" w:rsidTr="001242F7">
        <w:trPr>
          <w:divId w:val="1295865274"/>
          <w:trHeight w:val="324"/>
        </w:trPr>
        <w:tc>
          <w:tcPr>
            <w:tcW w:w="715" w:type="dxa"/>
            <w:vMerge/>
            <w:tcBorders>
              <w:top w:val="single" w:sz="8" w:space="0" w:color="auto"/>
              <w:left w:val="single" w:sz="8" w:space="0" w:color="auto"/>
              <w:bottom w:val="single" w:sz="8" w:space="0" w:color="000000"/>
              <w:right w:val="single" w:sz="8" w:space="0" w:color="auto"/>
            </w:tcBorders>
            <w:vAlign w:val="center"/>
            <w:hideMark/>
          </w:tcPr>
          <w:p w14:paraId="49D478CD"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3285" w:type="dxa"/>
            <w:vMerge/>
            <w:tcBorders>
              <w:top w:val="single" w:sz="8" w:space="0" w:color="auto"/>
              <w:left w:val="single" w:sz="8" w:space="0" w:color="auto"/>
              <w:bottom w:val="single" w:sz="8" w:space="0" w:color="000000"/>
              <w:right w:val="single" w:sz="8" w:space="0" w:color="auto"/>
            </w:tcBorders>
            <w:vAlign w:val="center"/>
            <w:hideMark/>
          </w:tcPr>
          <w:p w14:paraId="772B2969"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4DE09249"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3B58DF26"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5B758C7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479AC55D"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707419A8" w14:textId="77777777" w:rsidTr="001242F7">
        <w:trPr>
          <w:divId w:val="1295865274"/>
          <w:trHeight w:val="324"/>
        </w:trPr>
        <w:tc>
          <w:tcPr>
            <w:tcW w:w="715" w:type="dxa"/>
            <w:tcBorders>
              <w:top w:val="nil"/>
              <w:left w:val="single" w:sz="8" w:space="0" w:color="auto"/>
              <w:bottom w:val="single" w:sz="8" w:space="0" w:color="auto"/>
              <w:right w:val="single" w:sz="8" w:space="0" w:color="auto"/>
            </w:tcBorders>
            <w:shd w:val="clear" w:color="auto" w:fill="auto"/>
            <w:noWrap/>
            <w:vAlign w:val="center"/>
            <w:hideMark/>
          </w:tcPr>
          <w:p w14:paraId="6543D6F1"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1.2.6.08.</w:t>
            </w:r>
          </w:p>
        </w:tc>
        <w:tc>
          <w:tcPr>
            <w:tcW w:w="3285" w:type="dxa"/>
            <w:tcBorders>
              <w:top w:val="nil"/>
              <w:left w:val="nil"/>
              <w:bottom w:val="single" w:sz="8" w:space="0" w:color="auto"/>
              <w:right w:val="single" w:sz="8" w:space="0" w:color="auto"/>
            </w:tcBorders>
            <w:shd w:val="clear" w:color="auto" w:fill="auto"/>
            <w:vAlign w:val="center"/>
            <w:hideMark/>
          </w:tcPr>
          <w:p w14:paraId="7699C0B3"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Bienes intangibles concesionados</w:t>
            </w:r>
          </w:p>
        </w:tc>
        <w:tc>
          <w:tcPr>
            <w:tcW w:w="500" w:type="dxa"/>
            <w:tcBorders>
              <w:top w:val="nil"/>
              <w:left w:val="nil"/>
              <w:bottom w:val="single" w:sz="8" w:space="0" w:color="auto"/>
              <w:right w:val="single" w:sz="8" w:space="0" w:color="auto"/>
            </w:tcBorders>
            <w:shd w:val="clear" w:color="auto" w:fill="auto"/>
            <w:noWrap/>
            <w:vAlign w:val="center"/>
            <w:hideMark/>
          </w:tcPr>
          <w:p w14:paraId="03829B7A"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11</w:t>
            </w:r>
          </w:p>
        </w:tc>
        <w:tc>
          <w:tcPr>
            <w:tcW w:w="1586" w:type="dxa"/>
            <w:tcBorders>
              <w:top w:val="nil"/>
              <w:left w:val="nil"/>
              <w:bottom w:val="single" w:sz="8" w:space="0" w:color="auto"/>
              <w:right w:val="single" w:sz="8" w:space="0" w:color="auto"/>
            </w:tcBorders>
            <w:shd w:val="clear" w:color="auto" w:fill="auto"/>
            <w:noWrap/>
            <w:vAlign w:val="center"/>
            <w:hideMark/>
          </w:tcPr>
          <w:p w14:paraId="449341F4"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 xml:space="preserve"> -   </w:t>
            </w:r>
          </w:p>
        </w:tc>
        <w:tc>
          <w:tcPr>
            <w:tcW w:w="1701" w:type="dxa"/>
            <w:tcBorders>
              <w:top w:val="nil"/>
              <w:left w:val="nil"/>
              <w:bottom w:val="single" w:sz="8" w:space="0" w:color="auto"/>
              <w:right w:val="single" w:sz="8" w:space="0" w:color="auto"/>
            </w:tcBorders>
            <w:shd w:val="clear" w:color="auto" w:fill="auto"/>
            <w:noWrap/>
            <w:vAlign w:val="center"/>
            <w:hideMark/>
          </w:tcPr>
          <w:p w14:paraId="6056150A"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617213F2"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1D9E20AB" w14:textId="77777777" w:rsidR="00694299" w:rsidRPr="00694299" w:rsidRDefault="00186411"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NOTAS_POR_CUENTA!F94C8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3D6F6937" w14:textId="77777777" w:rsidR="00694299" w:rsidRPr="00694299" w:rsidRDefault="00694299" w:rsidP="00294645">
      <w:pPr>
        <w:spacing w:line="240" w:lineRule="auto"/>
        <w:rPr>
          <w:rFonts w:eastAsia="Times New Roman" w:cs="Calibri"/>
          <w:color w:val="000000"/>
          <w:lang w:eastAsia="es-CR"/>
        </w:rPr>
      </w:pPr>
      <w:r w:rsidRPr="00694299">
        <w:rPr>
          <w:rFonts w:eastAsia="Times New Roman" w:cs="Calibri"/>
          <w:color w:val="000000"/>
          <w:lang w:eastAsia="es-CR"/>
        </w:rPr>
        <w:t>La cuenta Bienes intangibles concesionados, representa el 0,00% del total del Activo, que comparado al periodo anterior genera una variación absoluta de 0 000,00 que corresponde a un Aumento del 0,00% de recursos disponibles.</w:t>
      </w:r>
    </w:p>
    <w:p w14:paraId="5898EBBF" w14:textId="6D8B007C" w:rsidR="00692DC8" w:rsidRPr="00692DC8" w:rsidRDefault="00186411" w:rsidP="00294645">
      <w:pPr>
        <w:spacing w:line="240" w:lineRule="auto"/>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7A0CFBA6" w14:textId="77777777" w:rsidR="00694299" w:rsidRDefault="00186411" w:rsidP="00323752">
      <w:pPr>
        <w:spacing w:before="240"/>
        <w:rPr>
          <w:rFonts w:asciiTheme="minorHAnsi" w:hAnsiTheme="minorHAnsi"/>
          <w:sz w:val="22"/>
        </w:rPr>
      </w:pPr>
      <w:r>
        <w:rPr>
          <w:lang w:val="es-ES"/>
        </w:rPr>
        <w:fldChar w:fldCharType="begin"/>
      </w:r>
      <w:r>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NOTAS_POR_CUENTA!F96C1:F98C6 </w:instrText>
      </w:r>
      <w:r>
        <w:rPr>
          <w:lang w:val="es-ES"/>
        </w:rPr>
        <w:instrText xml:space="preserve">\a \f 4 \h </w:instrText>
      </w:r>
      <w:r>
        <w:rPr>
          <w:lang w:val="es-ES"/>
        </w:rPr>
        <w:fldChar w:fldCharType="separate"/>
      </w:r>
    </w:p>
    <w:tbl>
      <w:tblPr>
        <w:tblW w:w="8847" w:type="dxa"/>
        <w:tblCellMar>
          <w:left w:w="70" w:type="dxa"/>
          <w:right w:w="70" w:type="dxa"/>
        </w:tblCellMar>
        <w:tblLook w:val="04A0" w:firstRow="1" w:lastRow="0" w:firstColumn="1" w:lastColumn="0" w:noHBand="0" w:noVBand="1"/>
      </w:tblPr>
      <w:tblGrid>
        <w:gridCol w:w="715"/>
        <w:gridCol w:w="3285"/>
        <w:gridCol w:w="500"/>
        <w:gridCol w:w="1586"/>
        <w:gridCol w:w="1701"/>
        <w:gridCol w:w="1060"/>
      </w:tblGrid>
      <w:tr w:rsidR="00694299" w:rsidRPr="00694299" w14:paraId="7B0736C5" w14:textId="77777777" w:rsidTr="001242F7">
        <w:trPr>
          <w:divId w:val="1651209783"/>
          <w:trHeight w:val="324"/>
        </w:trPr>
        <w:tc>
          <w:tcPr>
            <w:tcW w:w="715"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647BBBD" w14:textId="5FC3EAA1" w:rsidR="00694299" w:rsidRPr="00694299" w:rsidRDefault="00694299" w:rsidP="00694299">
            <w:pPr>
              <w:spacing w:after="0" w:line="240" w:lineRule="auto"/>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3285"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8FA09A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B51ADF4"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5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78B326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21934D8"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C0D0860"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491B5732" w14:textId="77777777" w:rsidTr="001242F7">
        <w:trPr>
          <w:divId w:val="1651209783"/>
          <w:trHeight w:val="324"/>
        </w:trPr>
        <w:tc>
          <w:tcPr>
            <w:tcW w:w="715" w:type="dxa"/>
            <w:vMerge/>
            <w:tcBorders>
              <w:top w:val="single" w:sz="8" w:space="0" w:color="auto"/>
              <w:left w:val="single" w:sz="8" w:space="0" w:color="auto"/>
              <w:bottom w:val="single" w:sz="8" w:space="0" w:color="000000"/>
              <w:right w:val="single" w:sz="8" w:space="0" w:color="auto"/>
            </w:tcBorders>
            <w:vAlign w:val="center"/>
            <w:hideMark/>
          </w:tcPr>
          <w:p w14:paraId="5ECD12FC"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3285" w:type="dxa"/>
            <w:vMerge/>
            <w:tcBorders>
              <w:top w:val="single" w:sz="8" w:space="0" w:color="auto"/>
              <w:left w:val="single" w:sz="8" w:space="0" w:color="auto"/>
              <w:bottom w:val="single" w:sz="8" w:space="0" w:color="000000"/>
              <w:right w:val="single" w:sz="8" w:space="0" w:color="auto"/>
            </w:tcBorders>
            <w:vAlign w:val="center"/>
            <w:hideMark/>
          </w:tcPr>
          <w:p w14:paraId="7C5E2B47"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43AF4BE9"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37001312"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18E862D2"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2623DE7E"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01980E2E" w14:textId="77777777" w:rsidTr="001242F7">
        <w:trPr>
          <w:divId w:val="1651209783"/>
          <w:trHeight w:val="324"/>
        </w:trPr>
        <w:tc>
          <w:tcPr>
            <w:tcW w:w="715" w:type="dxa"/>
            <w:tcBorders>
              <w:top w:val="nil"/>
              <w:left w:val="single" w:sz="8" w:space="0" w:color="auto"/>
              <w:bottom w:val="single" w:sz="8" w:space="0" w:color="auto"/>
              <w:right w:val="single" w:sz="8" w:space="0" w:color="auto"/>
            </w:tcBorders>
            <w:shd w:val="clear" w:color="auto" w:fill="auto"/>
            <w:noWrap/>
            <w:vAlign w:val="center"/>
            <w:hideMark/>
          </w:tcPr>
          <w:p w14:paraId="38ED07AF"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1.2.6.99.</w:t>
            </w:r>
          </w:p>
        </w:tc>
        <w:tc>
          <w:tcPr>
            <w:tcW w:w="3285" w:type="dxa"/>
            <w:tcBorders>
              <w:top w:val="nil"/>
              <w:left w:val="nil"/>
              <w:bottom w:val="single" w:sz="8" w:space="0" w:color="auto"/>
              <w:right w:val="single" w:sz="8" w:space="0" w:color="auto"/>
            </w:tcBorders>
            <w:shd w:val="clear" w:color="auto" w:fill="auto"/>
            <w:vAlign w:val="center"/>
            <w:hideMark/>
          </w:tcPr>
          <w:p w14:paraId="784C9B57"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Bienes concesionados</w:t>
            </w:r>
          </w:p>
        </w:tc>
        <w:tc>
          <w:tcPr>
            <w:tcW w:w="500" w:type="dxa"/>
            <w:tcBorders>
              <w:top w:val="nil"/>
              <w:left w:val="nil"/>
              <w:bottom w:val="single" w:sz="8" w:space="0" w:color="auto"/>
              <w:right w:val="single" w:sz="8" w:space="0" w:color="auto"/>
            </w:tcBorders>
            <w:shd w:val="clear" w:color="auto" w:fill="auto"/>
            <w:noWrap/>
            <w:vAlign w:val="center"/>
            <w:hideMark/>
          </w:tcPr>
          <w:p w14:paraId="2DF03F7C"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11</w:t>
            </w:r>
          </w:p>
        </w:tc>
        <w:tc>
          <w:tcPr>
            <w:tcW w:w="1586" w:type="dxa"/>
            <w:tcBorders>
              <w:top w:val="nil"/>
              <w:left w:val="nil"/>
              <w:bottom w:val="single" w:sz="8" w:space="0" w:color="auto"/>
              <w:right w:val="single" w:sz="8" w:space="0" w:color="auto"/>
            </w:tcBorders>
            <w:shd w:val="clear" w:color="auto" w:fill="auto"/>
            <w:noWrap/>
            <w:vAlign w:val="center"/>
            <w:hideMark/>
          </w:tcPr>
          <w:p w14:paraId="74C03AA8"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701" w:type="dxa"/>
            <w:tcBorders>
              <w:top w:val="nil"/>
              <w:left w:val="nil"/>
              <w:bottom w:val="single" w:sz="8" w:space="0" w:color="auto"/>
              <w:right w:val="single" w:sz="8" w:space="0" w:color="auto"/>
            </w:tcBorders>
            <w:shd w:val="clear" w:color="auto" w:fill="auto"/>
            <w:noWrap/>
            <w:vAlign w:val="center"/>
            <w:hideMark/>
          </w:tcPr>
          <w:p w14:paraId="0D972B3B"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7B6234FF"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06F6998F" w14:textId="77777777" w:rsidR="005038C4" w:rsidRDefault="00186411" w:rsidP="005038C4">
      <w:pPr>
        <w:spacing w:after="0" w:line="240" w:lineRule="auto"/>
        <w:rPr>
          <w:b/>
          <w:lang w:val="es-ES"/>
        </w:rPr>
      </w:pPr>
      <w:r>
        <w:rPr>
          <w:b/>
          <w:lang w:val="es-ES"/>
        </w:rPr>
        <w:fldChar w:fldCharType="end"/>
      </w:r>
    </w:p>
    <w:p w14:paraId="3324DA7B" w14:textId="77777777" w:rsidR="005038C4" w:rsidRDefault="00692DC8" w:rsidP="005038C4">
      <w:pPr>
        <w:spacing w:after="0" w:line="240" w:lineRule="auto"/>
        <w:rPr>
          <w:b/>
          <w:lang w:val="es-ES"/>
        </w:rPr>
      </w:pPr>
      <w:r w:rsidRPr="00E276CE">
        <w:rPr>
          <w:b/>
          <w:lang w:val="es-ES"/>
        </w:rPr>
        <w:t>Revelación:</w:t>
      </w:r>
    </w:p>
    <w:p w14:paraId="4C3F0719" w14:textId="3D6DAA23" w:rsidR="00694299" w:rsidRPr="00294645" w:rsidRDefault="00692DC8" w:rsidP="005038C4">
      <w:pPr>
        <w:spacing w:after="0" w:line="240" w:lineRule="auto"/>
        <w:rPr>
          <w:rFonts w:eastAsia="Times New Roman" w:cs="Calibri"/>
          <w:color w:val="000000"/>
          <w:lang w:eastAsia="es-CR"/>
        </w:rPr>
      </w:pPr>
      <w:r w:rsidRPr="00E276CE">
        <w:rPr>
          <w:b/>
          <w:lang w:val="es-ES"/>
        </w:rPr>
        <w:t xml:space="preserve"> </w:t>
      </w:r>
      <w:r w:rsidR="00186411">
        <w:rPr>
          <w:rFonts w:eastAsia="Times New Roman" w:cs="Calibri"/>
          <w:color w:val="000000"/>
          <w:lang w:eastAsia="es-CR"/>
        </w:rPr>
        <w:fldChar w:fldCharType="begin"/>
      </w:r>
      <w:r w:rsidR="00186411">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NOTAS_POR_CUENTA!F98C8 </w:instrText>
      </w:r>
      <w:r w:rsidR="00186411">
        <w:rPr>
          <w:rFonts w:eastAsia="Times New Roman" w:cs="Calibri"/>
          <w:color w:val="000000"/>
          <w:lang w:eastAsia="es-CR"/>
        </w:rPr>
        <w:instrText xml:space="preserve">\a \f 5 \h  \* MERGEFORMAT </w:instrText>
      </w:r>
      <w:r w:rsidR="00186411">
        <w:rPr>
          <w:rFonts w:eastAsia="Times New Roman" w:cs="Calibri"/>
          <w:color w:val="000000"/>
          <w:lang w:eastAsia="es-CR"/>
        </w:rPr>
        <w:fldChar w:fldCharType="separate"/>
      </w:r>
    </w:p>
    <w:p w14:paraId="60B30C1F" w14:textId="77777777" w:rsidR="00694299" w:rsidRPr="00694299" w:rsidRDefault="00694299" w:rsidP="00294645">
      <w:pPr>
        <w:spacing w:line="240" w:lineRule="auto"/>
        <w:rPr>
          <w:rFonts w:eastAsia="Times New Roman" w:cs="Calibri"/>
          <w:color w:val="000000"/>
          <w:lang w:eastAsia="es-CR"/>
        </w:rPr>
      </w:pPr>
      <w:r w:rsidRPr="00694299">
        <w:rPr>
          <w:rFonts w:eastAsia="Times New Roman" w:cs="Calibri"/>
          <w:color w:val="000000"/>
          <w:lang w:eastAsia="es-CR"/>
        </w:rPr>
        <w:t>La cuenta Bienes concesionados en proceso de producción, representa el 0,00% del total del Activo, que comparado al periodo anterior genera una variación absoluta de 0 000,00 que corresponde a un Aumento del 0,00% de recursos disponibles.</w:t>
      </w:r>
    </w:p>
    <w:p w14:paraId="473D80FC" w14:textId="392B51C5" w:rsidR="00901D21" w:rsidRDefault="00186411" w:rsidP="00294645">
      <w:pPr>
        <w:spacing w:line="240" w:lineRule="auto"/>
        <w:rPr>
          <w:rFonts w:eastAsia="Times New Roman" w:cs="Calibri"/>
          <w:color w:val="000000"/>
          <w:lang w:eastAsia="es-CR"/>
        </w:rPr>
      </w:pPr>
      <w:r>
        <w:rPr>
          <w:rFonts w:eastAsia="Times New Roman" w:cs="Calibri"/>
          <w:color w:val="000000"/>
          <w:lang w:eastAsia="es-CR"/>
        </w:rPr>
        <w:fldChar w:fldCharType="end"/>
      </w:r>
      <w:r w:rsidR="00692DC8" w:rsidRPr="00294645">
        <w:rPr>
          <w:rFonts w:eastAsia="Times New Roman" w:cs="Calibri"/>
          <w:color w:val="000000"/>
          <w:lang w:eastAsia="es-CR"/>
        </w:rPr>
        <w:t xml:space="preserve">Las variaciones de la cuenta son producto de (Indicar la razón de las variaciones de un periodo a otro): </w:t>
      </w:r>
    </w:p>
    <w:p w14:paraId="7984EFD1" w14:textId="77777777" w:rsidR="00294645" w:rsidRDefault="00294645" w:rsidP="00294645">
      <w:pPr>
        <w:spacing w:after="0" w:line="240" w:lineRule="auto"/>
        <w:rPr>
          <w:rFonts w:eastAsia="Times New Roman" w:cs="Calibri"/>
          <w:color w:val="000000"/>
          <w:lang w:eastAsia="es-CR"/>
        </w:rPr>
      </w:pPr>
    </w:p>
    <w:p w14:paraId="102361A3" w14:textId="77777777" w:rsidR="00294645" w:rsidRPr="00294645" w:rsidRDefault="00294645" w:rsidP="00294645">
      <w:pPr>
        <w:spacing w:after="0" w:line="240" w:lineRule="auto"/>
        <w:rPr>
          <w:rFonts w:eastAsia="Times New Roman" w:cs="Calibri"/>
          <w:color w:val="000000"/>
          <w:lang w:eastAsia="es-CR"/>
        </w:rPr>
      </w:pPr>
    </w:p>
    <w:p w14:paraId="51CADBF4" w14:textId="77777777" w:rsidR="00692DC8" w:rsidRPr="00692DC8" w:rsidRDefault="00692DC8" w:rsidP="00E276CE">
      <w:pPr>
        <w:pStyle w:val="Ttulo4"/>
        <w:spacing w:after="240"/>
        <w:rPr>
          <w:rFonts w:eastAsia="Times New Roman"/>
        </w:rPr>
      </w:pPr>
      <w:bookmarkStart w:id="239" w:name="_Toc82768925"/>
      <w:bookmarkStart w:id="240" w:name="_Toc173245236"/>
      <w:r w:rsidRPr="00692DC8">
        <w:rPr>
          <w:rFonts w:eastAsia="Times New Roman"/>
        </w:rPr>
        <w:t>NOTA N° 12</w:t>
      </w:r>
      <w:bookmarkEnd w:id="236"/>
      <w:bookmarkEnd w:id="237"/>
      <w:bookmarkEnd w:id="238"/>
      <w:bookmarkEnd w:id="239"/>
      <w:bookmarkEnd w:id="240"/>
    </w:p>
    <w:p w14:paraId="2D41C805" w14:textId="77777777" w:rsidR="00694299" w:rsidRDefault="00692DC8" w:rsidP="00323752">
      <w:pPr>
        <w:spacing w:before="240"/>
        <w:rPr>
          <w:rFonts w:asciiTheme="minorHAnsi" w:hAnsiTheme="minorHAnsi"/>
          <w:sz w:val="22"/>
        </w:rPr>
      </w:pPr>
      <w:bookmarkStart w:id="241" w:name="_Toc13041100"/>
      <w:bookmarkStart w:id="242" w:name="_Toc14345099"/>
      <w:bookmarkStart w:id="243" w:name="_Toc33601225"/>
      <w:bookmarkStart w:id="244" w:name="_Toc82768926"/>
      <w:r w:rsidRPr="00692DC8">
        <w:rPr>
          <w:rFonts w:eastAsia="Times New Roman"/>
        </w:rPr>
        <w:t>Inversiones patrimoniales - Método de participación</w:t>
      </w:r>
      <w:bookmarkEnd w:id="241"/>
      <w:bookmarkEnd w:id="242"/>
      <w:bookmarkEnd w:id="243"/>
      <w:bookmarkEnd w:id="244"/>
      <w:r w:rsidR="00822997">
        <w:rPr>
          <w:rFonts w:eastAsiaTheme="majorEastAsia" w:cstheme="majorBidi"/>
          <w:iCs/>
          <w:lang w:val="es-ES"/>
        </w:rPr>
        <w:fldChar w:fldCharType="begin"/>
      </w:r>
      <w:r w:rsidR="00822997">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NOTAS_POR_CUENTA!F100C1:F102C6 </w:instrText>
      </w:r>
      <w:r w:rsidR="00822997">
        <w:rPr>
          <w:lang w:val="es-ES"/>
        </w:rPr>
        <w:instrText xml:space="preserve">\a \f 4 \h </w:instrText>
      </w:r>
      <w:r w:rsidR="00822997">
        <w:rPr>
          <w:b/>
          <w:lang w:val="es-ES"/>
        </w:rPr>
        <w:fldChar w:fldCharType="separate"/>
      </w:r>
    </w:p>
    <w:tbl>
      <w:tblPr>
        <w:tblW w:w="8847" w:type="dxa"/>
        <w:tblCellMar>
          <w:left w:w="70" w:type="dxa"/>
          <w:right w:w="70" w:type="dxa"/>
        </w:tblCellMar>
        <w:tblLook w:val="04A0" w:firstRow="1" w:lastRow="0" w:firstColumn="1" w:lastColumn="0" w:noHBand="0" w:noVBand="1"/>
      </w:tblPr>
      <w:tblGrid>
        <w:gridCol w:w="1626"/>
        <w:gridCol w:w="2374"/>
        <w:gridCol w:w="500"/>
        <w:gridCol w:w="1586"/>
        <w:gridCol w:w="1701"/>
        <w:gridCol w:w="1060"/>
      </w:tblGrid>
      <w:tr w:rsidR="00694299" w:rsidRPr="00694299" w14:paraId="0F8D9EB8" w14:textId="77777777" w:rsidTr="001242F7">
        <w:trPr>
          <w:divId w:val="1264461894"/>
          <w:trHeight w:val="324"/>
        </w:trPr>
        <w:tc>
          <w:tcPr>
            <w:tcW w:w="162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63981A6" w14:textId="1DFA7AB2"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37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72F611E"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FADB55C"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5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6134EC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DC1352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482005DC"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1CFA3A8F" w14:textId="77777777" w:rsidTr="001242F7">
        <w:trPr>
          <w:divId w:val="1264461894"/>
          <w:trHeight w:val="324"/>
        </w:trPr>
        <w:tc>
          <w:tcPr>
            <w:tcW w:w="1626" w:type="dxa"/>
            <w:vMerge/>
            <w:tcBorders>
              <w:top w:val="single" w:sz="8" w:space="0" w:color="auto"/>
              <w:left w:val="single" w:sz="8" w:space="0" w:color="auto"/>
              <w:bottom w:val="single" w:sz="8" w:space="0" w:color="000000"/>
              <w:right w:val="single" w:sz="8" w:space="0" w:color="auto"/>
            </w:tcBorders>
            <w:vAlign w:val="center"/>
            <w:hideMark/>
          </w:tcPr>
          <w:p w14:paraId="470EAB7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374" w:type="dxa"/>
            <w:vMerge/>
            <w:tcBorders>
              <w:top w:val="single" w:sz="8" w:space="0" w:color="auto"/>
              <w:left w:val="single" w:sz="8" w:space="0" w:color="auto"/>
              <w:bottom w:val="single" w:sz="8" w:space="0" w:color="000000"/>
              <w:right w:val="single" w:sz="8" w:space="0" w:color="auto"/>
            </w:tcBorders>
            <w:vAlign w:val="center"/>
            <w:hideMark/>
          </w:tcPr>
          <w:p w14:paraId="18D5F8E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3B9D675"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6B6536F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24FABA96"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41D4D4F3"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1E30EAB8" w14:textId="77777777" w:rsidTr="001242F7">
        <w:trPr>
          <w:divId w:val="1264461894"/>
          <w:trHeight w:val="540"/>
        </w:trPr>
        <w:tc>
          <w:tcPr>
            <w:tcW w:w="1626" w:type="dxa"/>
            <w:tcBorders>
              <w:top w:val="nil"/>
              <w:left w:val="single" w:sz="8" w:space="0" w:color="auto"/>
              <w:bottom w:val="single" w:sz="8" w:space="0" w:color="auto"/>
              <w:right w:val="single" w:sz="8" w:space="0" w:color="auto"/>
            </w:tcBorders>
            <w:shd w:val="clear" w:color="auto" w:fill="auto"/>
            <w:noWrap/>
            <w:vAlign w:val="center"/>
            <w:hideMark/>
          </w:tcPr>
          <w:p w14:paraId="46A52FFA"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1.2.7.</w:t>
            </w:r>
          </w:p>
        </w:tc>
        <w:tc>
          <w:tcPr>
            <w:tcW w:w="2374" w:type="dxa"/>
            <w:tcBorders>
              <w:top w:val="nil"/>
              <w:left w:val="nil"/>
              <w:bottom w:val="single" w:sz="8" w:space="0" w:color="auto"/>
              <w:right w:val="single" w:sz="8" w:space="0" w:color="auto"/>
            </w:tcBorders>
            <w:shd w:val="clear" w:color="auto" w:fill="auto"/>
            <w:vAlign w:val="center"/>
            <w:hideMark/>
          </w:tcPr>
          <w:p w14:paraId="4A2E7438"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Inversiones patrimoniales - Método de participación</w:t>
            </w:r>
          </w:p>
        </w:tc>
        <w:tc>
          <w:tcPr>
            <w:tcW w:w="500" w:type="dxa"/>
            <w:tcBorders>
              <w:top w:val="nil"/>
              <w:left w:val="nil"/>
              <w:bottom w:val="single" w:sz="8" w:space="0" w:color="auto"/>
              <w:right w:val="single" w:sz="8" w:space="0" w:color="auto"/>
            </w:tcBorders>
            <w:shd w:val="clear" w:color="auto" w:fill="auto"/>
            <w:noWrap/>
            <w:vAlign w:val="center"/>
            <w:hideMark/>
          </w:tcPr>
          <w:p w14:paraId="732D5F7C"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12</w:t>
            </w:r>
          </w:p>
        </w:tc>
        <w:tc>
          <w:tcPr>
            <w:tcW w:w="1586" w:type="dxa"/>
            <w:tcBorders>
              <w:top w:val="nil"/>
              <w:left w:val="nil"/>
              <w:bottom w:val="single" w:sz="8" w:space="0" w:color="auto"/>
              <w:right w:val="single" w:sz="8" w:space="0" w:color="auto"/>
            </w:tcBorders>
            <w:shd w:val="clear" w:color="auto" w:fill="auto"/>
            <w:noWrap/>
            <w:vAlign w:val="center"/>
            <w:hideMark/>
          </w:tcPr>
          <w:p w14:paraId="2EB4FB67"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701" w:type="dxa"/>
            <w:tcBorders>
              <w:top w:val="nil"/>
              <w:left w:val="nil"/>
              <w:bottom w:val="single" w:sz="8" w:space="0" w:color="auto"/>
              <w:right w:val="single" w:sz="8" w:space="0" w:color="auto"/>
            </w:tcBorders>
            <w:shd w:val="clear" w:color="auto" w:fill="auto"/>
            <w:noWrap/>
            <w:vAlign w:val="center"/>
            <w:hideMark/>
          </w:tcPr>
          <w:p w14:paraId="701D72DC"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34CC56F6"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4571E5D9" w14:textId="77777777" w:rsidR="00644A77" w:rsidRDefault="00822997" w:rsidP="00644A77">
      <w:pPr>
        <w:spacing w:before="240" w:after="0" w:line="240" w:lineRule="auto"/>
        <w:rPr>
          <w:lang w:val="es-ES"/>
        </w:rPr>
      </w:pPr>
      <w:r>
        <w:rPr>
          <w:b/>
          <w:bCs/>
          <w:lang w:val="es-ES"/>
        </w:rPr>
        <w:fldChar w:fldCharType="end"/>
      </w:r>
      <w:r w:rsidR="00692DC8" w:rsidRPr="00692DC8">
        <w:rPr>
          <w:b/>
          <w:bCs/>
          <w:lang w:val="es-ES"/>
        </w:rPr>
        <w:t>Revelación</w:t>
      </w:r>
      <w:r w:rsidR="00692DC8" w:rsidRPr="00692DC8">
        <w:rPr>
          <w:lang w:val="es-ES"/>
        </w:rPr>
        <w:t>:</w:t>
      </w:r>
    </w:p>
    <w:p w14:paraId="58F8AF53" w14:textId="0728DB4E" w:rsidR="00694299" w:rsidRPr="00694299" w:rsidRDefault="00692DC8" w:rsidP="00644A77">
      <w:pPr>
        <w:spacing w:after="0" w:line="240" w:lineRule="auto"/>
        <w:rPr>
          <w:b/>
          <w:bCs/>
          <w:lang w:val="es-ES"/>
        </w:rPr>
      </w:pPr>
      <w:r w:rsidRPr="00692DC8">
        <w:rPr>
          <w:lang w:val="es-ES"/>
        </w:rPr>
        <w:t xml:space="preserve"> </w:t>
      </w:r>
      <w:r w:rsidR="00822997">
        <w:rPr>
          <w:rFonts w:eastAsia="Times New Roman" w:cs="Calibri"/>
          <w:color w:val="000000"/>
          <w:lang w:eastAsia="es-CR"/>
        </w:rPr>
        <w:fldChar w:fldCharType="begin"/>
      </w:r>
      <w:r w:rsidR="00822997">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NOTAS_POR_CUENTA!F102C8 </w:instrText>
      </w:r>
      <w:r w:rsidR="00822997">
        <w:rPr>
          <w:rFonts w:eastAsia="Times New Roman" w:cs="Calibri"/>
          <w:color w:val="000000"/>
          <w:lang w:eastAsia="es-CR"/>
        </w:rPr>
        <w:instrText xml:space="preserve">\a \f 5 \h  \* MERGEFORMAT </w:instrText>
      </w:r>
      <w:r w:rsidR="00822997">
        <w:rPr>
          <w:rFonts w:eastAsia="Times New Roman" w:cs="Calibri"/>
          <w:color w:val="000000"/>
          <w:lang w:eastAsia="es-CR"/>
        </w:rPr>
        <w:fldChar w:fldCharType="separate"/>
      </w:r>
    </w:p>
    <w:p w14:paraId="1DECF664" w14:textId="77777777" w:rsidR="00694299" w:rsidRPr="00694299" w:rsidRDefault="00694299" w:rsidP="00294645">
      <w:pPr>
        <w:spacing w:line="240" w:lineRule="auto"/>
        <w:rPr>
          <w:rFonts w:eastAsia="Times New Roman" w:cs="Calibri"/>
          <w:color w:val="000000"/>
          <w:lang w:eastAsia="es-CR"/>
        </w:rPr>
      </w:pPr>
      <w:r w:rsidRPr="00694299">
        <w:rPr>
          <w:rFonts w:eastAsia="Times New Roman" w:cs="Calibri"/>
          <w:color w:val="000000"/>
          <w:lang w:eastAsia="es-CR"/>
        </w:rPr>
        <w:t>La cuenta Inversiones patrimoniales - Método de participación, representa el 0,00% del total del Activo, que comparado al periodo anterior genera una variación absoluta de 0 000,00 que corresponde a un Aumento del 0,00% de recursos disponibles.</w:t>
      </w:r>
    </w:p>
    <w:p w14:paraId="44DA3937" w14:textId="765DA2A0" w:rsidR="00692DC8" w:rsidRPr="00692DC8" w:rsidRDefault="00822997" w:rsidP="00294645">
      <w:pPr>
        <w:spacing w:line="240" w:lineRule="auto"/>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45D68405" w14:textId="77777777" w:rsidR="00692DC8" w:rsidRPr="00692DC8" w:rsidRDefault="00692DC8" w:rsidP="00E276CE">
      <w:pPr>
        <w:rPr>
          <w:szCs w:val="24"/>
        </w:rPr>
      </w:pPr>
    </w:p>
    <w:p w14:paraId="51939C1E" w14:textId="77777777" w:rsidR="00692DC8" w:rsidRPr="00692DC8" w:rsidRDefault="00692DC8" w:rsidP="00E276CE">
      <w:pPr>
        <w:pStyle w:val="Ttulo4"/>
        <w:spacing w:after="240"/>
        <w:rPr>
          <w:rFonts w:eastAsia="Times New Roman"/>
        </w:rPr>
      </w:pPr>
      <w:bookmarkStart w:id="245" w:name="_Toc13041105"/>
      <w:bookmarkStart w:id="246" w:name="_Toc14345104"/>
      <w:bookmarkStart w:id="247" w:name="_Toc33601226"/>
      <w:bookmarkStart w:id="248" w:name="_Toc82768927"/>
      <w:bookmarkStart w:id="249" w:name="_Toc173245237"/>
      <w:r w:rsidRPr="00692DC8">
        <w:rPr>
          <w:rFonts w:eastAsia="Times New Roman"/>
        </w:rPr>
        <w:t>NOTA N° 13</w:t>
      </w:r>
      <w:bookmarkEnd w:id="245"/>
      <w:bookmarkEnd w:id="246"/>
      <w:bookmarkEnd w:id="247"/>
      <w:bookmarkEnd w:id="248"/>
      <w:bookmarkEnd w:id="249"/>
    </w:p>
    <w:p w14:paraId="771A889B" w14:textId="77777777" w:rsidR="00694299" w:rsidRDefault="00692DC8" w:rsidP="00323752">
      <w:pPr>
        <w:spacing w:before="240"/>
        <w:rPr>
          <w:rFonts w:asciiTheme="minorHAnsi" w:hAnsiTheme="minorHAnsi"/>
          <w:sz w:val="22"/>
        </w:rPr>
      </w:pPr>
      <w:bookmarkStart w:id="250" w:name="_Toc13041106"/>
      <w:bookmarkStart w:id="251" w:name="_Toc14345105"/>
      <w:bookmarkStart w:id="252" w:name="_Toc33601227"/>
      <w:bookmarkStart w:id="253" w:name="_Toc82768928"/>
      <w:r w:rsidRPr="00692DC8">
        <w:rPr>
          <w:rFonts w:eastAsia="Times New Roman"/>
        </w:rPr>
        <w:t>Otros activos a largo plazo</w:t>
      </w:r>
      <w:bookmarkEnd w:id="250"/>
      <w:bookmarkEnd w:id="251"/>
      <w:bookmarkEnd w:id="252"/>
      <w:bookmarkEnd w:id="253"/>
      <w:r w:rsidR="00822997">
        <w:rPr>
          <w:rFonts w:eastAsiaTheme="majorEastAsia" w:cstheme="majorBidi"/>
          <w:iCs/>
          <w:lang w:val="es-ES"/>
        </w:rPr>
        <w:fldChar w:fldCharType="begin"/>
      </w:r>
      <w:r w:rsidR="00822997">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NOTAS_POR_CUENTA!F104C1:F106C6 </w:instrText>
      </w:r>
      <w:r w:rsidR="00822997">
        <w:rPr>
          <w:lang w:val="es-ES"/>
        </w:rPr>
        <w:instrText xml:space="preserve">\a \f 4 \h </w:instrText>
      </w:r>
      <w:r w:rsidR="00822997">
        <w:rPr>
          <w:b/>
          <w:lang w:val="es-ES"/>
        </w:rPr>
        <w:fldChar w:fldCharType="separate"/>
      </w:r>
    </w:p>
    <w:tbl>
      <w:tblPr>
        <w:tblW w:w="8847" w:type="dxa"/>
        <w:tblCellMar>
          <w:left w:w="70" w:type="dxa"/>
          <w:right w:w="70" w:type="dxa"/>
        </w:tblCellMar>
        <w:tblLook w:val="04A0" w:firstRow="1" w:lastRow="0" w:firstColumn="1" w:lastColumn="0" w:noHBand="0" w:noVBand="1"/>
      </w:tblPr>
      <w:tblGrid>
        <w:gridCol w:w="991"/>
        <w:gridCol w:w="3009"/>
        <w:gridCol w:w="500"/>
        <w:gridCol w:w="1586"/>
        <w:gridCol w:w="1701"/>
        <w:gridCol w:w="1060"/>
      </w:tblGrid>
      <w:tr w:rsidR="00694299" w:rsidRPr="00694299" w14:paraId="474DB96B" w14:textId="77777777" w:rsidTr="001242F7">
        <w:trPr>
          <w:divId w:val="380600170"/>
          <w:trHeight w:val="324"/>
        </w:trPr>
        <w:tc>
          <w:tcPr>
            <w:tcW w:w="99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D566693" w14:textId="1B85CD1D"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300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6A9F0E3"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08B2C5A"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5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631442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B103C4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38E5146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1D1B1BC6" w14:textId="77777777" w:rsidTr="001242F7">
        <w:trPr>
          <w:divId w:val="380600170"/>
          <w:trHeight w:val="324"/>
        </w:trPr>
        <w:tc>
          <w:tcPr>
            <w:tcW w:w="991" w:type="dxa"/>
            <w:vMerge/>
            <w:tcBorders>
              <w:top w:val="single" w:sz="8" w:space="0" w:color="auto"/>
              <w:left w:val="single" w:sz="8" w:space="0" w:color="auto"/>
              <w:bottom w:val="single" w:sz="8" w:space="0" w:color="000000"/>
              <w:right w:val="single" w:sz="8" w:space="0" w:color="auto"/>
            </w:tcBorders>
            <w:vAlign w:val="center"/>
            <w:hideMark/>
          </w:tcPr>
          <w:p w14:paraId="0BCF289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3009" w:type="dxa"/>
            <w:vMerge/>
            <w:tcBorders>
              <w:top w:val="single" w:sz="8" w:space="0" w:color="auto"/>
              <w:left w:val="single" w:sz="8" w:space="0" w:color="auto"/>
              <w:bottom w:val="single" w:sz="8" w:space="0" w:color="000000"/>
              <w:right w:val="single" w:sz="8" w:space="0" w:color="auto"/>
            </w:tcBorders>
            <w:vAlign w:val="center"/>
            <w:hideMark/>
          </w:tcPr>
          <w:p w14:paraId="255435B1"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A9C9A2C"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54D35FC7"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4C0E2E4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57135E72"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248BBF0D" w14:textId="77777777" w:rsidTr="001242F7">
        <w:trPr>
          <w:divId w:val="380600170"/>
          <w:trHeight w:val="324"/>
        </w:trPr>
        <w:tc>
          <w:tcPr>
            <w:tcW w:w="991" w:type="dxa"/>
            <w:tcBorders>
              <w:top w:val="nil"/>
              <w:left w:val="single" w:sz="8" w:space="0" w:color="auto"/>
              <w:bottom w:val="single" w:sz="8" w:space="0" w:color="auto"/>
              <w:right w:val="single" w:sz="8" w:space="0" w:color="auto"/>
            </w:tcBorders>
            <w:shd w:val="clear" w:color="auto" w:fill="auto"/>
            <w:noWrap/>
            <w:vAlign w:val="center"/>
            <w:hideMark/>
          </w:tcPr>
          <w:p w14:paraId="34054509"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1.2.9.</w:t>
            </w:r>
          </w:p>
        </w:tc>
        <w:tc>
          <w:tcPr>
            <w:tcW w:w="3009" w:type="dxa"/>
            <w:tcBorders>
              <w:top w:val="nil"/>
              <w:left w:val="nil"/>
              <w:bottom w:val="single" w:sz="8" w:space="0" w:color="auto"/>
              <w:right w:val="single" w:sz="8" w:space="0" w:color="auto"/>
            </w:tcBorders>
            <w:shd w:val="clear" w:color="auto" w:fill="auto"/>
            <w:vAlign w:val="center"/>
            <w:hideMark/>
          </w:tcPr>
          <w:p w14:paraId="49363665"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Otros activos a largo plazo</w:t>
            </w:r>
          </w:p>
        </w:tc>
        <w:tc>
          <w:tcPr>
            <w:tcW w:w="500" w:type="dxa"/>
            <w:tcBorders>
              <w:top w:val="nil"/>
              <w:left w:val="nil"/>
              <w:bottom w:val="single" w:sz="8" w:space="0" w:color="auto"/>
              <w:right w:val="single" w:sz="8" w:space="0" w:color="auto"/>
            </w:tcBorders>
            <w:shd w:val="clear" w:color="auto" w:fill="auto"/>
            <w:noWrap/>
            <w:vAlign w:val="center"/>
            <w:hideMark/>
          </w:tcPr>
          <w:p w14:paraId="3FD1AF83"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13</w:t>
            </w:r>
          </w:p>
        </w:tc>
        <w:tc>
          <w:tcPr>
            <w:tcW w:w="1586" w:type="dxa"/>
            <w:tcBorders>
              <w:top w:val="nil"/>
              <w:left w:val="nil"/>
              <w:bottom w:val="single" w:sz="8" w:space="0" w:color="auto"/>
              <w:right w:val="single" w:sz="8" w:space="0" w:color="auto"/>
            </w:tcBorders>
            <w:shd w:val="clear" w:color="auto" w:fill="auto"/>
            <w:noWrap/>
            <w:vAlign w:val="center"/>
            <w:hideMark/>
          </w:tcPr>
          <w:p w14:paraId="6A4700DD"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701" w:type="dxa"/>
            <w:tcBorders>
              <w:top w:val="nil"/>
              <w:left w:val="nil"/>
              <w:bottom w:val="single" w:sz="8" w:space="0" w:color="auto"/>
              <w:right w:val="single" w:sz="8" w:space="0" w:color="auto"/>
            </w:tcBorders>
            <w:shd w:val="clear" w:color="auto" w:fill="auto"/>
            <w:noWrap/>
            <w:vAlign w:val="center"/>
            <w:hideMark/>
          </w:tcPr>
          <w:p w14:paraId="40F91B0B"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2F8F3908"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6682ABA7" w14:textId="77777777" w:rsidR="00901D21" w:rsidRDefault="00822997" w:rsidP="00901D21">
      <w:pPr>
        <w:spacing w:after="0" w:line="240" w:lineRule="auto"/>
        <w:rPr>
          <w:b/>
          <w:bCs/>
          <w:lang w:val="es-ES"/>
        </w:rPr>
      </w:pPr>
      <w:r>
        <w:rPr>
          <w:b/>
          <w:bCs/>
          <w:lang w:val="es-ES"/>
        </w:rPr>
        <w:fldChar w:fldCharType="end"/>
      </w:r>
    </w:p>
    <w:p w14:paraId="69814365" w14:textId="77777777" w:rsidR="005038C4" w:rsidRDefault="00692DC8" w:rsidP="005038C4">
      <w:pPr>
        <w:spacing w:after="0" w:line="240" w:lineRule="auto"/>
        <w:rPr>
          <w:lang w:val="es-ES"/>
        </w:rPr>
      </w:pPr>
      <w:r w:rsidRPr="00692DC8">
        <w:rPr>
          <w:b/>
          <w:bCs/>
          <w:lang w:val="es-ES"/>
        </w:rPr>
        <w:t>Revelación</w:t>
      </w:r>
      <w:r w:rsidRPr="00692DC8">
        <w:rPr>
          <w:lang w:val="es-ES"/>
        </w:rPr>
        <w:t>:</w:t>
      </w:r>
    </w:p>
    <w:p w14:paraId="2E466572" w14:textId="65542E4E" w:rsidR="00694299" w:rsidRPr="00694299" w:rsidRDefault="00692DC8" w:rsidP="005038C4">
      <w:pPr>
        <w:spacing w:after="0" w:line="240" w:lineRule="auto"/>
        <w:rPr>
          <w:b/>
          <w:bCs/>
          <w:lang w:val="es-ES"/>
        </w:rPr>
      </w:pPr>
      <w:r w:rsidRPr="00692DC8">
        <w:rPr>
          <w:lang w:val="es-ES"/>
        </w:rPr>
        <w:t xml:space="preserve"> </w:t>
      </w:r>
      <w:r w:rsidR="00822997">
        <w:rPr>
          <w:rFonts w:eastAsia="Times New Roman" w:cs="Calibri"/>
          <w:color w:val="000000"/>
          <w:lang w:eastAsia="es-CR"/>
        </w:rPr>
        <w:fldChar w:fldCharType="begin"/>
      </w:r>
      <w:r w:rsidR="00822997">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NOTAS_POR_CUENTA!F106C8 </w:instrText>
      </w:r>
      <w:r w:rsidR="00822997">
        <w:rPr>
          <w:rFonts w:eastAsia="Times New Roman" w:cs="Calibri"/>
          <w:color w:val="000000"/>
          <w:lang w:eastAsia="es-CR"/>
        </w:rPr>
        <w:instrText xml:space="preserve">\a \f 5 \h  \* MERGEFORMAT </w:instrText>
      </w:r>
      <w:r w:rsidR="00822997">
        <w:rPr>
          <w:rFonts w:eastAsia="Times New Roman" w:cs="Calibri"/>
          <w:color w:val="000000"/>
          <w:lang w:eastAsia="es-CR"/>
        </w:rPr>
        <w:fldChar w:fldCharType="separate"/>
      </w:r>
    </w:p>
    <w:p w14:paraId="27577239" w14:textId="77777777" w:rsidR="00694299" w:rsidRPr="00694299" w:rsidRDefault="00694299" w:rsidP="00294645">
      <w:pPr>
        <w:spacing w:line="240" w:lineRule="auto"/>
        <w:rPr>
          <w:rFonts w:eastAsia="Times New Roman" w:cs="Calibri"/>
          <w:color w:val="000000"/>
          <w:lang w:eastAsia="es-CR"/>
        </w:rPr>
      </w:pPr>
      <w:r w:rsidRPr="00694299">
        <w:rPr>
          <w:rFonts w:eastAsia="Times New Roman" w:cs="Calibri"/>
          <w:color w:val="000000"/>
          <w:lang w:eastAsia="es-CR"/>
        </w:rPr>
        <w:t>La cuenta Otros activos a largo plazo, representa el 0,00% del total del Activo, que comparado al periodo anterior genera una variación absoluta de 0 000,00 que corresponde a un Aumento del 0,00% de recursos disponibles.</w:t>
      </w:r>
    </w:p>
    <w:p w14:paraId="4609D583" w14:textId="0250C9DA" w:rsidR="00901D21" w:rsidRPr="00901D21" w:rsidRDefault="00822997" w:rsidP="00294645">
      <w:pPr>
        <w:spacing w:line="240" w:lineRule="auto"/>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464A59ED" w14:textId="77777777" w:rsidR="00694299" w:rsidRDefault="00692DC8" w:rsidP="00E276CE">
      <w:pPr>
        <w:spacing w:before="240"/>
        <w:rPr>
          <w:rFonts w:asciiTheme="minorHAnsi" w:hAnsiTheme="minorHAnsi"/>
          <w:sz w:val="22"/>
        </w:rPr>
      </w:pPr>
      <w:r w:rsidRPr="00692DC8">
        <w:rPr>
          <w:szCs w:val="24"/>
        </w:rPr>
        <w:t>Detalle cuenta:</w:t>
      </w:r>
      <w:r w:rsidR="00822997">
        <w:fldChar w:fldCharType="begin"/>
      </w:r>
      <w:r w:rsidR="00822997">
        <w:instrText xml:space="preserve"> LINK </w:instrText>
      </w:r>
      <w:r w:rsidR="00323752">
        <w:instrText xml:space="preserve">Excel.SheetMacroEnabled.12 "D:\\MORAVIA\\INSUMOS\\NOTAS 2024\\Formato_Notas_EEFF_Vinculadas_2024\\XXXXX_PXX_202X_Anexo_Estado_Notas_Contables_Vinculadas.xlsm" NOTAS_POR_CUENTA!F108C1:F110C6 </w:instrText>
      </w:r>
      <w:r w:rsidR="00822997">
        <w:instrText xml:space="preserve">\a \f 4 \h </w:instrText>
      </w:r>
      <w:r w:rsidR="00822997">
        <w:fldChar w:fldCharType="separate"/>
      </w:r>
    </w:p>
    <w:tbl>
      <w:tblPr>
        <w:tblW w:w="8847" w:type="dxa"/>
        <w:tblCellMar>
          <w:left w:w="70" w:type="dxa"/>
          <w:right w:w="70" w:type="dxa"/>
        </w:tblCellMar>
        <w:tblLook w:val="04A0" w:firstRow="1" w:lastRow="0" w:firstColumn="1" w:lastColumn="0" w:noHBand="0" w:noVBand="1"/>
      </w:tblPr>
      <w:tblGrid>
        <w:gridCol w:w="1166"/>
        <w:gridCol w:w="2834"/>
        <w:gridCol w:w="500"/>
        <w:gridCol w:w="1586"/>
        <w:gridCol w:w="1701"/>
        <w:gridCol w:w="1060"/>
      </w:tblGrid>
      <w:tr w:rsidR="00694299" w:rsidRPr="00694299" w14:paraId="0D38FC62" w14:textId="77777777" w:rsidTr="001242F7">
        <w:trPr>
          <w:divId w:val="1265914800"/>
          <w:trHeight w:val="324"/>
        </w:trPr>
        <w:tc>
          <w:tcPr>
            <w:tcW w:w="116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687C440" w14:textId="68880C3C"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83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1807C2D"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928BBA3"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5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AB34EA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BDC5E5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401C000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03DA1ACD" w14:textId="77777777" w:rsidTr="001242F7">
        <w:trPr>
          <w:divId w:val="1265914800"/>
          <w:trHeight w:val="324"/>
        </w:trPr>
        <w:tc>
          <w:tcPr>
            <w:tcW w:w="1166" w:type="dxa"/>
            <w:vMerge/>
            <w:tcBorders>
              <w:top w:val="single" w:sz="8" w:space="0" w:color="auto"/>
              <w:left w:val="single" w:sz="8" w:space="0" w:color="auto"/>
              <w:bottom w:val="single" w:sz="8" w:space="0" w:color="000000"/>
              <w:right w:val="single" w:sz="8" w:space="0" w:color="auto"/>
            </w:tcBorders>
            <w:vAlign w:val="center"/>
            <w:hideMark/>
          </w:tcPr>
          <w:p w14:paraId="5E37032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834" w:type="dxa"/>
            <w:vMerge/>
            <w:tcBorders>
              <w:top w:val="single" w:sz="8" w:space="0" w:color="auto"/>
              <w:left w:val="single" w:sz="8" w:space="0" w:color="auto"/>
              <w:bottom w:val="single" w:sz="8" w:space="0" w:color="000000"/>
              <w:right w:val="single" w:sz="8" w:space="0" w:color="auto"/>
            </w:tcBorders>
            <w:vAlign w:val="center"/>
            <w:hideMark/>
          </w:tcPr>
          <w:p w14:paraId="7F810146"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31AE247"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09677D69"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6242E0C9"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3AB66F56"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4B0B9222" w14:textId="77777777" w:rsidTr="001242F7">
        <w:trPr>
          <w:divId w:val="1265914800"/>
          <w:trHeight w:val="324"/>
        </w:trPr>
        <w:tc>
          <w:tcPr>
            <w:tcW w:w="1166" w:type="dxa"/>
            <w:tcBorders>
              <w:top w:val="nil"/>
              <w:left w:val="single" w:sz="8" w:space="0" w:color="auto"/>
              <w:bottom w:val="single" w:sz="8" w:space="0" w:color="auto"/>
              <w:right w:val="single" w:sz="8" w:space="0" w:color="auto"/>
            </w:tcBorders>
            <w:shd w:val="clear" w:color="auto" w:fill="auto"/>
            <w:noWrap/>
            <w:vAlign w:val="center"/>
            <w:hideMark/>
          </w:tcPr>
          <w:p w14:paraId="6142D4CE"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1.2.9.01.</w:t>
            </w:r>
          </w:p>
        </w:tc>
        <w:tc>
          <w:tcPr>
            <w:tcW w:w="2834" w:type="dxa"/>
            <w:tcBorders>
              <w:top w:val="nil"/>
              <w:left w:val="nil"/>
              <w:bottom w:val="single" w:sz="8" w:space="0" w:color="auto"/>
              <w:right w:val="single" w:sz="8" w:space="0" w:color="auto"/>
            </w:tcBorders>
            <w:shd w:val="clear" w:color="auto" w:fill="auto"/>
            <w:vAlign w:val="center"/>
            <w:hideMark/>
          </w:tcPr>
          <w:p w14:paraId="5BEAD4BA"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Gastos a devengar a largo plazo</w:t>
            </w:r>
          </w:p>
        </w:tc>
        <w:tc>
          <w:tcPr>
            <w:tcW w:w="500" w:type="dxa"/>
            <w:tcBorders>
              <w:top w:val="nil"/>
              <w:left w:val="nil"/>
              <w:bottom w:val="single" w:sz="8" w:space="0" w:color="auto"/>
              <w:right w:val="single" w:sz="8" w:space="0" w:color="auto"/>
            </w:tcBorders>
            <w:shd w:val="clear" w:color="auto" w:fill="auto"/>
            <w:noWrap/>
            <w:vAlign w:val="bottom"/>
            <w:hideMark/>
          </w:tcPr>
          <w:p w14:paraId="5AEFC101"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13</w:t>
            </w:r>
          </w:p>
        </w:tc>
        <w:tc>
          <w:tcPr>
            <w:tcW w:w="1586" w:type="dxa"/>
            <w:tcBorders>
              <w:top w:val="nil"/>
              <w:left w:val="nil"/>
              <w:bottom w:val="single" w:sz="8" w:space="0" w:color="auto"/>
              <w:right w:val="single" w:sz="8" w:space="0" w:color="auto"/>
            </w:tcBorders>
            <w:shd w:val="clear" w:color="auto" w:fill="auto"/>
            <w:noWrap/>
            <w:vAlign w:val="center"/>
            <w:hideMark/>
          </w:tcPr>
          <w:p w14:paraId="3ACC309C"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701" w:type="dxa"/>
            <w:tcBorders>
              <w:top w:val="nil"/>
              <w:left w:val="nil"/>
              <w:bottom w:val="single" w:sz="8" w:space="0" w:color="auto"/>
              <w:right w:val="single" w:sz="8" w:space="0" w:color="auto"/>
            </w:tcBorders>
            <w:shd w:val="clear" w:color="auto" w:fill="auto"/>
            <w:noWrap/>
            <w:vAlign w:val="center"/>
            <w:hideMark/>
          </w:tcPr>
          <w:p w14:paraId="4671A411"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10B00063"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2274C958" w14:textId="1F3FB45B" w:rsidR="00692DC8" w:rsidRPr="00692DC8" w:rsidRDefault="00822997" w:rsidP="00E276CE">
      <w:pPr>
        <w:spacing w:before="240"/>
      </w:pPr>
      <w:r>
        <w:fldChar w:fldCharType="end"/>
      </w:r>
      <w:r w:rsidR="00692DC8" w:rsidRPr="00692DC8">
        <w:t>Indicar el detalle de cómo está compuesta la cuenta:</w:t>
      </w:r>
    </w:p>
    <w:p w14:paraId="77DF0CC6" w14:textId="77777777" w:rsidR="00694299" w:rsidRPr="00694299" w:rsidRDefault="00692DC8" w:rsidP="00822997">
      <w:pPr>
        <w:rPr>
          <w:lang w:val="es-ES"/>
        </w:rPr>
      </w:pPr>
      <w:bookmarkStart w:id="254" w:name="_Hlk99305315"/>
      <w:r w:rsidRPr="00692DC8">
        <w:rPr>
          <w:b/>
          <w:bCs/>
          <w:lang w:val="es-ES"/>
        </w:rPr>
        <w:t>Revelación</w:t>
      </w:r>
      <w:r w:rsidRPr="00692DC8">
        <w:rPr>
          <w:lang w:val="es-ES"/>
        </w:rPr>
        <w:t xml:space="preserve">: </w:t>
      </w:r>
      <w:bookmarkEnd w:id="254"/>
      <w:r w:rsidR="00822997">
        <w:rPr>
          <w:rFonts w:eastAsia="Times New Roman" w:cs="Calibri"/>
          <w:color w:val="000000"/>
          <w:lang w:eastAsia="es-CR"/>
        </w:rPr>
        <w:fldChar w:fldCharType="begin"/>
      </w:r>
      <w:r w:rsidR="00822997">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NOTAS_POR_CUENTA!F110C8 </w:instrText>
      </w:r>
      <w:r w:rsidR="00822997">
        <w:rPr>
          <w:rFonts w:eastAsia="Times New Roman" w:cs="Calibri"/>
          <w:color w:val="000000"/>
          <w:lang w:eastAsia="es-CR"/>
        </w:rPr>
        <w:instrText xml:space="preserve">\a \f 5 \h  \* MERGEFORMAT </w:instrText>
      </w:r>
      <w:r w:rsidR="00822997">
        <w:rPr>
          <w:rFonts w:eastAsia="Times New Roman" w:cs="Calibri"/>
          <w:color w:val="000000"/>
          <w:lang w:eastAsia="es-CR"/>
        </w:rPr>
        <w:fldChar w:fldCharType="separate"/>
      </w:r>
    </w:p>
    <w:p w14:paraId="05266220" w14:textId="77777777" w:rsidR="00694299" w:rsidRPr="00694299" w:rsidRDefault="00694299" w:rsidP="00294645">
      <w:pPr>
        <w:spacing w:line="240" w:lineRule="auto"/>
        <w:rPr>
          <w:rFonts w:eastAsia="Times New Roman" w:cs="Calibri"/>
          <w:color w:val="000000"/>
          <w:lang w:eastAsia="es-CR"/>
        </w:rPr>
      </w:pPr>
      <w:r w:rsidRPr="00694299">
        <w:rPr>
          <w:rFonts w:eastAsia="Times New Roman" w:cs="Calibri"/>
          <w:color w:val="000000"/>
          <w:lang w:eastAsia="es-CR"/>
        </w:rPr>
        <w:t>La cuenta Gastos a devengar a largo plazo, representa el 0,00% del total del Activo, que comparado al periodo anterior genera una variación absoluta de 0 000,00 que corresponde a un Aumento del 0,00% de recursos disponibles.</w:t>
      </w:r>
    </w:p>
    <w:p w14:paraId="5B0DDB8C" w14:textId="77777777" w:rsidR="00901D21" w:rsidRDefault="00822997" w:rsidP="00294645">
      <w:pPr>
        <w:spacing w:line="240" w:lineRule="auto"/>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p>
    <w:p w14:paraId="1A00B5A0" w14:textId="77777777" w:rsidR="00901D21" w:rsidRDefault="00901D21" w:rsidP="00822997"/>
    <w:p w14:paraId="72CF30B1" w14:textId="3DAC6738" w:rsidR="00692DC8" w:rsidRPr="00692DC8" w:rsidRDefault="00692DC8" w:rsidP="00822997">
      <w:r w:rsidRPr="00692DC8">
        <w:t xml:space="preserve"> </w:t>
      </w:r>
    </w:p>
    <w:p w14:paraId="118BDFE1" w14:textId="12D6565A" w:rsidR="00692DC8" w:rsidRPr="00E276CE" w:rsidRDefault="00E276CE" w:rsidP="00E276CE">
      <w:pPr>
        <w:pStyle w:val="Ttulo3"/>
        <w:spacing w:after="240"/>
        <w:rPr>
          <w:rFonts w:eastAsia="Times New Roman"/>
          <w:lang w:eastAsia="es-CR"/>
        </w:rPr>
      </w:pPr>
      <w:bookmarkStart w:id="255" w:name="_Toc13041110"/>
      <w:bookmarkStart w:id="256" w:name="_Toc14345109"/>
      <w:bookmarkStart w:id="257" w:name="_Toc33601228"/>
      <w:bookmarkStart w:id="258" w:name="_Toc82768929"/>
      <w:bookmarkStart w:id="259" w:name="_Toc173245238"/>
      <w:r w:rsidRPr="00E276CE">
        <w:rPr>
          <w:rFonts w:eastAsia="Times New Roman"/>
          <w:lang w:eastAsia="es-CR"/>
        </w:rPr>
        <w:t xml:space="preserve">2. </w:t>
      </w:r>
      <w:r w:rsidR="00692DC8" w:rsidRPr="00E276CE">
        <w:rPr>
          <w:rFonts w:eastAsia="Times New Roman"/>
          <w:lang w:eastAsia="es-CR"/>
        </w:rPr>
        <w:t>PASIVO</w:t>
      </w:r>
      <w:bookmarkEnd w:id="255"/>
      <w:bookmarkEnd w:id="256"/>
      <w:bookmarkEnd w:id="257"/>
      <w:bookmarkEnd w:id="258"/>
      <w:bookmarkEnd w:id="259"/>
      <w:r w:rsidR="00692DC8" w:rsidRPr="00E276CE">
        <w:rPr>
          <w:rFonts w:eastAsia="Times New Roman"/>
          <w:lang w:eastAsia="es-CR"/>
        </w:rPr>
        <w:t xml:space="preserve"> </w:t>
      </w:r>
      <w:bookmarkStart w:id="260" w:name="_Toc54976715"/>
      <w:bookmarkStart w:id="261" w:name="_Toc54976995"/>
      <w:bookmarkStart w:id="262" w:name="_Toc54977274"/>
      <w:bookmarkStart w:id="263" w:name="_Toc54977555"/>
      <w:bookmarkStart w:id="264" w:name="_Toc54977836"/>
      <w:bookmarkStart w:id="265" w:name="_Toc54978117"/>
      <w:bookmarkStart w:id="266" w:name="_Toc54978426"/>
      <w:bookmarkStart w:id="267" w:name="_Toc54978735"/>
      <w:bookmarkStart w:id="268" w:name="_Toc54979045"/>
      <w:bookmarkStart w:id="269" w:name="_Toc55059332"/>
      <w:bookmarkStart w:id="270" w:name="_Toc55059643"/>
      <w:bookmarkStart w:id="271" w:name="_Toc55060310"/>
      <w:bookmarkStart w:id="272" w:name="_Toc55060695"/>
      <w:bookmarkStart w:id="273" w:name="_Toc55062686"/>
      <w:bookmarkStart w:id="274" w:name="_Toc55062956"/>
      <w:bookmarkStart w:id="275" w:name="_Toc55063207"/>
      <w:bookmarkStart w:id="276" w:name="_Toc55063460"/>
      <w:bookmarkStart w:id="277" w:name="_Toc55063714"/>
      <w:bookmarkStart w:id="278" w:name="_Toc55063984"/>
      <w:bookmarkStart w:id="279" w:name="_Toc55069787"/>
      <w:bookmarkStart w:id="280" w:name="_Toc55070055"/>
      <w:bookmarkStart w:id="281" w:name="_Toc55070322"/>
      <w:bookmarkStart w:id="282" w:name="_Toc55070590"/>
      <w:bookmarkStart w:id="283" w:name="_Toc55070857"/>
      <w:bookmarkStart w:id="284" w:name="_Toc55201380"/>
      <w:bookmarkStart w:id="285" w:name="_Toc55824610"/>
      <w:bookmarkStart w:id="286" w:name="_Toc55824995"/>
      <w:bookmarkStart w:id="287" w:name="_Toc55828929"/>
      <w:bookmarkStart w:id="288" w:name="_Toc56002183"/>
      <w:bookmarkStart w:id="289" w:name="_Toc56002459"/>
      <w:bookmarkStart w:id="290" w:name="_Toc56004653"/>
      <w:bookmarkStart w:id="291" w:name="_Toc56065330"/>
      <w:bookmarkStart w:id="292" w:name="_Toc71563811"/>
      <w:bookmarkStart w:id="293" w:name="_Toc54976717"/>
      <w:bookmarkStart w:id="294" w:name="_Toc54976997"/>
      <w:bookmarkStart w:id="295" w:name="_Toc54977276"/>
      <w:bookmarkStart w:id="296" w:name="_Toc54977557"/>
      <w:bookmarkStart w:id="297" w:name="_Toc54977838"/>
      <w:bookmarkStart w:id="298" w:name="_Toc54978119"/>
      <w:bookmarkStart w:id="299" w:name="_Toc54978428"/>
      <w:bookmarkStart w:id="300" w:name="_Toc54978737"/>
      <w:bookmarkStart w:id="301" w:name="_Toc54979047"/>
      <w:bookmarkStart w:id="302" w:name="_Toc55059334"/>
      <w:bookmarkStart w:id="303" w:name="_Toc55059645"/>
      <w:bookmarkStart w:id="304" w:name="_Toc55060312"/>
      <w:bookmarkStart w:id="305" w:name="_Toc55060697"/>
      <w:bookmarkStart w:id="306" w:name="_Toc55062688"/>
      <w:bookmarkStart w:id="307" w:name="_Toc55062958"/>
      <w:bookmarkStart w:id="308" w:name="_Toc55063209"/>
      <w:bookmarkStart w:id="309" w:name="_Toc55063462"/>
      <w:bookmarkStart w:id="310" w:name="_Toc55063716"/>
      <w:bookmarkStart w:id="311" w:name="_Toc55063986"/>
      <w:bookmarkStart w:id="312" w:name="_Toc55069789"/>
      <w:bookmarkStart w:id="313" w:name="_Toc55070057"/>
      <w:bookmarkStart w:id="314" w:name="_Toc55070324"/>
      <w:bookmarkStart w:id="315" w:name="_Toc55070592"/>
      <w:bookmarkStart w:id="316" w:name="_Toc55070859"/>
      <w:bookmarkStart w:id="317" w:name="_Toc55201382"/>
      <w:bookmarkStart w:id="318" w:name="_Toc55824612"/>
      <w:bookmarkStart w:id="319" w:name="_Toc55824997"/>
      <w:bookmarkStart w:id="320" w:name="_Toc55828931"/>
      <w:bookmarkStart w:id="321" w:name="_Toc56002185"/>
      <w:bookmarkStart w:id="322" w:name="_Toc56002461"/>
      <w:bookmarkStart w:id="323" w:name="_Toc56004655"/>
      <w:bookmarkStart w:id="324" w:name="_Toc56065332"/>
      <w:bookmarkStart w:id="325" w:name="_Toc71563813"/>
      <w:bookmarkStart w:id="326" w:name="_Toc13041111"/>
      <w:bookmarkStart w:id="327" w:name="_Toc14345110"/>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14:paraId="49E74A0D" w14:textId="784FD1CC" w:rsidR="00692DC8" w:rsidRPr="00692DC8" w:rsidRDefault="00692DC8" w:rsidP="00E276CE">
      <w:pPr>
        <w:pStyle w:val="Ttulo3"/>
        <w:spacing w:after="240"/>
        <w:rPr>
          <w:rFonts w:eastAsia="Calibri"/>
          <w:lang w:eastAsia="es-CR"/>
        </w:rPr>
      </w:pPr>
      <w:bookmarkStart w:id="328" w:name="_Toc82768930"/>
      <w:bookmarkStart w:id="329" w:name="_Toc173245239"/>
      <w:bookmarkEnd w:id="326"/>
      <w:bookmarkEnd w:id="327"/>
      <w:r w:rsidRPr="00692DC8">
        <w:rPr>
          <w:rFonts w:eastAsia="Calibri"/>
          <w:lang w:eastAsia="es-CR"/>
        </w:rPr>
        <w:t>2.1 PASIVO CORRIENTE</w:t>
      </w:r>
      <w:bookmarkEnd w:id="328"/>
      <w:bookmarkEnd w:id="329"/>
    </w:p>
    <w:p w14:paraId="4910A0C6" w14:textId="77777777" w:rsidR="00692DC8" w:rsidRPr="00692DC8" w:rsidRDefault="00692DC8" w:rsidP="00E276CE">
      <w:pPr>
        <w:pStyle w:val="Ttulo4"/>
        <w:spacing w:after="240"/>
        <w:rPr>
          <w:rFonts w:eastAsia="Times New Roman"/>
        </w:rPr>
      </w:pPr>
      <w:bookmarkStart w:id="330" w:name="_Toc13041112"/>
      <w:bookmarkStart w:id="331" w:name="_Toc14345111"/>
      <w:bookmarkStart w:id="332" w:name="_Toc33601230"/>
      <w:bookmarkStart w:id="333" w:name="_Toc82768931"/>
      <w:bookmarkStart w:id="334" w:name="_Toc173245240"/>
      <w:r w:rsidRPr="00692DC8">
        <w:rPr>
          <w:rFonts w:eastAsia="Times New Roman"/>
        </w:rPr>
        <w:t>NOTA N° 14</w:t>
      </w:r>
      <w:bookmarkEnd w:id="330"/>
      <w:bookmarkEnd w:id="331"/>
      <w:bookmarkEnd w:id="332"/>
      <w:bookmarkEnd w:id="333"/>
      <w:bookmarkEnd w:id="334"/>
    </w:p>
    <w:p w14:paraId="4D73FEA5" w14:textId="77777777" w:rsidR="00694299" w:rsidRDefault="00692DC8" w:rsidP="00644A77">
      <w:pPr>
        <w:spacing w:before="120" w:after="120" w:line="240" w:lineRule="auto"/>
        <w:rPr>
          <w:rFonts w:asciiTheme="minorHAnsi" w:hAnsiTheme="minorHAnsi"/>
          <w:sz w:val="22"/>
        </w:rPr>
      </w:pPr>
      <w:bookmarkStart w:id="335" w:name="_Toc54546732"/>
      <w:bookmarkStart w:id="336" w:name="_Toc82768932"/>
      <w:r w:rsidRPr="00692DC8">
        <w:rPr>
          <w:rFonts w:eastAsia="Times New Roman"/>
        </w:rPr>
        <w:t>Deudas a corto plazo</w:t>
      </w:r>
      <w:bookmarkEnd w:id="335"/>
      <w:bookmarkEnd w:id="336"/>
      <w:r w:rsidR="006148F0">
        <w:rPr>
          <w:rFonts w:eastAsiaTheme="majorEastAsia" w:cstheme="majorBidi"/>
          <w:iCs/>
          <w:lang w:val="es-ES"/>
        </w:rPr>
        <w:fldChar w:fldCharType="begin"/>
      </w:r>
      <w:r w:rsidR="006148F0">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NOTAS_POR_CUENTA!F115C1:F117C6 </w:instrText>
      </w:r>
      <w:r w:rsidR="006148F0">
        <w:rPr>
          <w:lang w:val="es-ES"/>
        </w:rPr>
        <w:instrText xml:space="preserve">\a \f 4 \h </w:instrText>
      </w:r>
      <w:r w:rsidR="006148F0">
        <w:rPr>
          <w:b/>
          <w:lang w:val="es-ES"/>
        </w:rPr>
        <w:fldChar w:fldCharType="separate"/>
      </w:r>
    </w:p>
    <w:p w14:paraId="44215BB9" w14:textId="01A5DA9C" w:rsidR="00C572A3" w:rsidRDefault="006148F0" w:rsidP="00901D21">
      <w:pPr>
        <w:spacing w:after="0" w:line="240" w:lineRule="auto"/>
        <w:rPr>
          <w:rFonts w:asciiTheme="minorHAnsi" w:hAnsiTheme="minorHAnsi"/>
          <w:sz w:val="22"/>
        </w:rPr>
      </w:pPr>
      <w:r>
        <w:rPr>
          <w:b/>
          <w:bCs/>
          <w:lang w:val="es-ES"/>
        </w:rPr>
        <w:fldChar w:fldCharType="end"/>
      </w:r>
      <w:r w:rsidR="001242F7">
        <w:rPr>
          <w:b/>
          <w:bCs/>
          <w:lang w:val="es-ES"/>
        </w:rPr>
        <w:fldChar w:fldCharType="begin"/>
      </w:r>
      <w:r w:rsidR="001242F7">
        <w:rPr>
          <w:b/>
          <w:bCs/>
          <w:lang w:val="es-ES"/>
        </w:rPr>
        <w:instrText xml:space="preserve"> LINK </w:instrText>
      </w:r>
      <w:r w:rsidR="0068177A">
        <w:rPr>
          <w:b/>
          <w:bCs/>
          <w:lang w:val="es-ES"/>
        </w:rPr>
        <w:instrText xml:space="preserve">Excel.SheetMacroEnabled.12 "C:\\Users\\arges\\OneDrive\\Desktop\\Municipalidades\\Buenos Aires\\Cierre Junio 2024\\Notas Contables\\15603_T02_2024_Anexo_Estado_Notas_Contables_Vinculadas.xlsm" NOTAS_POR_CUENTA!R115C1:R117C6 </w:instrText>
      </w:r>
      <w:r w:rsidR="001242F7">
        <w:rPr>
          <w:b/>
          <w:bCs/>
          <w:lang w:val="es-ES"/>
        </w:rPr>
        <w:instrText xml:space="preserve">\a \f 4 \h </w:instrText>
      </w:r>
      <w:r w:rsidR="001242F7">
        <w:rPr>
          <w:b/>
          <w:bCs/>
          <w:lang w:val="es-ES"/>
        </w:rPr>
        <w:fldChar w:fldCharType="separate"/>
      </w:r>
    </w:p>
    <w:tbl>
      <w:tblPr>
        <w:tblW w:w="10080" w:type="dxa"/>
        <w:tblLook w:val="04A0" w:firstRow="1" w:lastRow="0" w:firstColumn="1" w:lastColumn="0" w:noHBand="0" w:noVBand="1"/>
      </w:tblPr>
      <w:tblGrid>
        <w:gridCol w:w="717"/>
        <w:gridCol w:w="3339"/>
        <w:gridCol w:w="544"/>
        <w:gridCol w:w="2200"/>
        <w:gridCol w:w="2200"/>
        <w:gridCol w:w="1080"/>
      </w:tblGrid>
      <w:tr w:rsidR="00C572A3" w:rsidRPr="00C572A3" w14:paraId="51AE9607" w14:textId="77777777" w:rsidTr="00C572A3">
        <w:trPr>
          <w:divId w:val="429663894"/>
          <w:trHeight w:val="320"/>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F64BFA8" w14:textId="55FF7466" w:rsidR="00C572A3" w:rsidRPr="00C572A3" w:rsidRDefault="00C572A3" w:rsidP="00C572A3">
            <w:pP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7197B07"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Descripción</w:t>
            </w:r>
          </w:p>
        </w:tc>
        <w:tc>
          <w:tcPr>
            <w:tcW w:w="5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791A411"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Nota</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95008EE"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Actual </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E734363"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Anterior </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06ED1E43"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Diferencia </w:t>
            </w:r>
          </w:p>
        </w:tc>
      </w:tr>
      <w:tr w:rsidR="00C572A3" w:rsidRPr="00C572A3" w14:paraId="600CD2B3" w14:textId="77777777" w:rsidTr="00C572A3">
        <w:trPr>
          <w:divId w:val="429663894"/>
          <w:trHeight w:val="320"/>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31BE7265"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72375D16"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14:paraId="50FB115F"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4AD6576E"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1BE502B6"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1080" w:type="dxa"/>
            <w:tcBorders>
              <w:top w:val="nil"/>
              <w:left w:val="nil"/>
              <w:bottom w:val="single" w:sz="8" w:space="0" w:color="auto"/>
              <w:right w:val="single" w:sz="8" w:space="0" w:color="auto"/>
            </w:tcBorders>
            <w:shd w:val="clear" w:color="000000" w:fill="366092"/>
            <w:noWrap/>
            <w:vAlign w:val="center"/>
            <w:hideMark/>
          </w:tcPr>
          <w:p w14:paraId="3BA5BB3C" w14:textId="77777777" w:rsidR="00C572A3" w:rsidRPr="00C572A3" w:rsidRDefault="00C572A3" w:rsidP="00C572A3">
            <w:pPr>
              <w:spacing w:after="0" w:line="240" w:lineRule="auto"/>
              <w:jc w:val="center"/>
              <w:rPr>
                <w:rFonts w:eastAsia="Times New Roman" w:cs="Calibri"/>
                <w:color w:val="FFFFFF"/>
                <w:sz w:val="18"/>
                <w:szCs w:val="18"/>
                <w:lang w:val="en-US"/>
              </w:rPr>
            </w:pPr>
            <w:r w:rsidRPr="00C572A3">
              <w:rPr>
                <w:rFonts w:eastAsia="Times New Roman" w:cs="Calibri"/>
                <w:color w:val="FFFFFF"/>
                <w:sz w:val="18"/>
                <w:szCs w:val="18"/>
                <w:lang w:val="en-US"/>
              </w:rPr>
              <w:t>%</w:t>
            </w:r>
          </w:p>
        </w:tc>
      </w:tr>
      <w:tr w:rsidR="00C572A3" w:rsidRPr="00C572A3" w14:paraId="50F0D699" w14:textId="77777777" w:rsidTr="00C572A3">
        <w:trPr>
          <w:divId w:val="429663894"/>
          <w:trHeight w:val="320"/>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66FBF810" w14:textId="77777777" w:rsidR="00C572A3" w:rsidRPr="00C572A3" w:rsidRDefault="00C572A3" w:rsidP="00C572A3">
            <w:pPr>
              <w:spacing w:after="0" w:line="240" w:lineRule="auto"/>
              <w:jc w:val="left"/>
              <w:rPr>
                <w:rFonts w:eastAsia="Times New Roman" w:cs="Calibri"/>
                <w:b/>
                <w:bCs/>
                <w:color w:val="000000"/>
                <w:sz w:val="18"/>
                <w:szCs w:val="18"/>
                <w:lang w:val="en-US"/>
              </w:rPr>
            </w:pPr>
            <w:r w:rsidRPr="00C572A3">
              <w:rPr>
                <w:rFonts w:eastAsia="Times New Roman" w:cs="Calibri"/>
                <w:b/>
                <w:bCs/>
                <w:color w:val="000000"/>
                <w:sz w:val="18"/>
                <w:szCs w:val="18"/>
                <w:lang w:val="en-US"/>
              </w:rPr>
              <w:t>2.1.1.</w:t>
            </w:r>
          </w:p>
        </w:tc>
        <w:tc>
          <w:tcPr>
            <w:tcW w:w="3380" w:type="dxa"/>
            <w:tcBorders>
              <w:top w:val="nil"/>
              <w:left w:val="nil"/>
              <w:bottom w:val="single" w:sz="8" w:space="0" w:color="auto"/>
              <w:right w:val="single" w:sz="8" w:space="0" w:color="auto"/>
            </w:tcBorders>
            <w:shd w:val="clear" w:color="auto" w:fill="auto"/>
            <w:vAlign w:val="center"/>
            <w:hideMark/>
          </w:tcPr>
          <w:p w14:paraId="6B687240" w14:textId="77777777" w:rsidR="00C572A3" w:rsidRPr="00C572A3" w:rsidRDefault="00C572A3" w:rsidP="00C572A3">
            <w:pPr>
              <w:spacing w:after="0" w:line="240" w:lineRule="auto"/>
              <w:jc w:val="left"/>
              <w:rPr>
                <w:rFonts w:eastAsia="Times New Roman" w:cs="Calibri"/>
                <w:b/>
                <w:bCs/>
                <w:color w:val="000000"/>
                <w:sz w:val="18"/>
                <w:szCs w:val="18"/>
                <w:lang w:val="en-US"/>
              </w:rPr>
            </w:pPr>
            <w:r w:rsidRPr="00C572A3">
              <w:rPr>
                <w:rFonts w:eastAsia="Times New Roman" w:cs="Calibri"/>
                <w:b/>
                <w:bCs/>
                <w:color w:val="000000"/>
                <w:sz w:val="18"/>
                <w:szCs w:val="18"/>
                <w:lang w:val="en-US"/>
              </w:rPr>
              <w:t>Deudas a corto plazo</w:t>
            </w:r>
          </w:p>
        </w:tc>
        <w:tc>
          <w:tcPr>
            <w:tcW w:w="520" w:type="dxa"/>
            <w:tcBorders>
              <w:top w:val="nil"/>
              <w:left w:val="nil"/>
              <w:bottom w:val="single" w:sz="8" w:space="0" w:color="auto"/>
              <w:right w:val="single" w:sz="8" w:space="0" w:color="auto"/>
            </w:tcBorders>
            <w:shd w:val="clear" w:color="auto" w:fill="auto"/>
            <w:noWrap/>
            <w:vAlign w:val="center"/>
            <w:hideMark/>
          </w:tcPr>
          <w:p w14:paraId="20F3E56E"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14</w:t>
            </w:r>
          </w:p>
        </w:tc>
        <w:tc>
          <w:tcPr>
            <w:tcW w:w="2200" w:type="dxa"/>
            <w:tcBorders>
              <w:top w:val="nil"/>
              <w:left w:val="nil"/>
              <w:bottom w:val="single" w:sz="8" w:space="0" w:color="auto"/>
              <w:right w:val="single" w:sz="8" w:space="0" w:color="auto"/>
            </w:tcBorders>
            <w:shd w:val="clear" w:color="auto" w:fill="auto"/>
            <w:noWrap/>
            <w:vAlign w:val="center"/>
            <w:hideMark/>
          </w:tcPr>
          <w:p w14:paraId="47B58141"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251 050,92 </w:t>
            </w:r>
          </w:p>
        </w:tc>
        <w:tc>
          <w:tcPr>
            <w:tcW w:w="2200" w:type="dxa"/>
            <w:tcBorders>
              <w:top w:val="nil"/>
              <w:left w:val="nil"/>
              <w:bottom w:val="single" w:sz="8" w:space="0" w:color="auto"/>
              <w:right w:val="single" w:sz="8" w:space="0" w:color="auto"/>
            </w:tcBorders>
            <w:shd w:val="clear" w:color="auto" w:fill="auto"/>
            <w:noWrap/>
            <w:vAlign w:val="center"/>
            <w:hideMark/>
          </w:tcPr>
          <w:p w14:paraId="192C81B8"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573 033,20 </w:t>
            </w:r>
          </w:p>
        </w:tc>
        <w:tc>
          <w:tcPr>
            <w:tcW w:w="1080" w:type="dxa"/>
            <w:tcBorders>
              <w:top w:val="nil"/>
              <w:left w:val="nil"/>
              <w:bottom w:val="single" w:sz="8" w:space="0" w:color="auto"/>
              <w:right w:val="single" w:sz="8" w:space="0" w:color="auto"/>
            </w:tcBorders>
            <w:shd w:val="clear" w:color="auto" w:fill="auto"/>
            <w:noWrap/>
            <w:vAlign w:val="center"/>
            <w:hideMark/>
          </w:tcPr>
          <w:p w14:paraId="5B7920EC"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-56,19%</w:t>
            </w:r>
          </w:p>
        </w:tc>
      </w:tr>
    </w:tbl>
    <w:p w14:paraId="21EA405C" w14:textId="008EFAF6" w:rsidR="00901D21" w:rsidRDefault="001242F7" w:rsidP="00901D21">
      <w:pPr>
        <w:spacing w:after="0" w:line="240" w:lineRule="auto"/>
        <w:rPr>
          <w:b/>
          <w:bCs/>
          <w:lang w:val="es-ES"/>
        </w:rPr>
      </w:pPr>
      <w:r>
        <w:rPr>
          <w:b/>
          <w:bCs/>
          <w:lang w:val="es-ES"/>
        </w:rPr>
        <w:fldChar w:fldCharType="end"/>
      </w:r>
    </w:p>
    <w:p w14:paraId="7281A436" w14:textId="77777777" w:rsidR="00644A77" w:rsidRDefault="00692DC8" w:rsidP="00644A77">
      <w:pPr>
        <w:spacing w:after="0" w:line="240" w:lineRule="auto"/>
        <w:rPr>
          <w:lang w:val="es-ES"/>
        </w:rPr>
      </w:pPr>
      <w:r w:rsidRPr="00692DC8">
        <w:rPr>
          <w:b/>
          <w:bCs/>
          <w:lang w:val="es-ES"/>
        </w:rPr>
        <w:t>Revelación</w:t>
      </w:r>
      <w:r w:rsidRPr="00692DC8">
        <w:rPr>
          <w:lang w:val="es-ES"/>
        </w:rPr>
        <w:t xml:space="preserve">: </w:t>
      </w:r>
    </w:p>
    <w:p w14:paraId="6366931C" w14:textId="7778DB4A" w:rsidR="00694299" w:rsidRPr="00694299" w:rsidRDefault="006148F0" w:rsidP="00644A77">
      <w:pPr>
        <w:spacing w:after="0" w:line="240" w:lineRule="auto"/>
        <w:rPr>
          <w:b/>
          <w:bCs/>
          <w:lang w:val="es-ES"/>
        </w:rPr>
      </w:pP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NOTAS_POR_CUENTA!F117C8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7452FBD9" w14:textId="4D787B8C" w:rsidR="00694299" w:rsidRPr="00694299" w:rsidRDefault="00694299" w:rsidP="00294645">
      <w:pPr>
        <w:spacing w:line="240" w:lineRule="auto"/>
        <w:rPr>
          <w:rFonts w:eastAsia="Times New Roman" w:cs="Calibri"/>
          <w:color w:val="000000"/>
          <w:lang w:eastAsia="es-CR"/>
        </w:rPr>
      </w:pPr>
      <w:r w:rsidRPr="00694299">
        <w:rPr>
          <w:rFonts w:eastAsia="Times New Roman" w:cs="Calibri"/>
          <w:color w:val="000000"/>
          <w:lang w:eastAsia="es-CR"/>
        </w:rPr>
        <w:t xml:space="preserve">La cuenta Deudas a corto plazo, representa el </w:t>
      </w:r>
      <w:r w:rsidR="00294645">
        <w:rPr>
          <w:rFonts w:eastAsia="Times New Roman" w:cs="Calibri"/>
          <w:color w:val="000000"/>
          <w:lang w:eastAsia="es-CR"/>
        </w:rPr>
        <w:t>12</w:t>
      </w:r>
      <w:r w:rsidRPr="00694299">
        <w:rPr>
          <w:rFonts w:eastAsia="Times New Roman" w:cs="Calibri"/>
          <w:color w:val="000000"/>
          <w:lang w:eastAsia="es-CR"/>
        </w:rPr>
        <w:t>,9</w:t>
      </w:r>
      <w:r w:rsidR="00294645">
        <w:rPr>
          <w:rFonts w:eastAsia="Times New Roman" w:cs="Calibri"/>
          <w:color w:val="000000"/>
          <w:lang w:eastAsia="es-CR"/>
        </w:rPr>
        <w:t>7</w:t>
      </w:r>
      <w:r w:rsidRPr="00694299">
        <w:rPr>
          <w:rFonts w:eastAsia="Times New Roman" w:cs="Calibri"/>
          <w:color w:val="000000"/>
          <w:lang w:eastAsia="es-CR"/>
        </w:rPr>
        <w:t>% del total del Pasivo, que comparado al periodo anterior genera una variación absoluta de</w:t>
      </w:r>
      <w:r w:rsidRPr="00294645">
        <w:rPr>
          <w:rFonts w:eastAsia="Times New Roman" w:cs="Calibri"/>
          <w:color w:val="000000"/>
          <w:lang w:eastAsia="es-CR"/>
        </w:rPr>
        <w:t xml:space="preserve"> </w:t>
      </w:r>
      <w:r w:rsidR="00294645" w:rsidRPr="00294645">
        <w:rPr>
          <w:rFonts w:eastAsia="Times New Roman" w:cs="Calibri"/>
          <w:color w:val="000000"/>
          <w:lang w:eastAsia="es-CR"/>
        </w:rPr>
        <w:t>-321 982,29</w:t>
      </w:r>
      <w:r w:rsidRPr="00694299">
        <w:rPr>
          <w:rFonts w:eastAsia="Times New Roman" w:cs="Calibri"/>
          <w:color w:val="000000"/>
          <w:lang w:eastAsia="es-CR"/>
        </w:rPr>
        <w:t xml:space="preserve"> que corresponde a un Disminución del -</w:t>
      </w:r>
      <w:r w:rsidR="00294645">
        <w:rPr>
          <w:rFonts w:eastAsia="Times New Roman" w:cs="Calibri"/>
          <w:color w:val="000000"/>
          <w:lang w:eastAsia="es-CR"/>
        </w:rPr>
        <w:t>56</w:t>
      </w:r>
      <w:r w:rsidRPr="00694299">
        <w:rPr>
          <w:rFonts w:eastAsia="Times New Roman" w:cs="Calibri"/>
          <w:color w:val="000000"/>
          <w:lang w:eastAsia="es-CR"/>
        </w:rPr>
        <w:t>,</w:t>
      </w:r>
      <w:r w:rsidR="00294645">
        <w:rPr>
          <w:rFonts w:eastAsia="Times New Roman" w:cs="Calibri"/>
          <w:color w:val="000000"/>
          <w:lang w:eastAsia="es-CR"/>
        </w:rPr>
        <w:t>19</w:t>
      </w:r>
      <w:r w:rsidRPr="00694299">
        <w:rPr>
          <w:rFonts w:eastAsia="Times New Roman" w:cs="Calibri"/>
          <w:color w:val="000000"/>
          <w:lang w:eastAsia="es-CR"/>
        </w:rPr>
        <w:t>% de recursos disponibles.</w:t>
      </w:r>
    </w:p>
    <w:p w14:paraId="44C6B7E5" w14:textId="5A1019BB" w:rsidR="00692DC8" w:rsidRDefault="006148F0" w:rsidP="00294645">
      <w:pPr>
        <w:spacing w:line="240" w:lineRule="auto"/>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A04BE77" w14:textId="32611EED" w:rsidR="00455690" w:rsidRDefault="00455690" w:rsidP="00644A77">
      <w:pPr>
        <w:spacing w:after="0" w:line="240" w:lineRule="auto"/>
      </w:pPr>
      <w:r>
        <w:t>Como se puede observar en siguiente cuadro</w:t>
      </w:r>
      <w:r w:rsidRPr="00A91674">
        <w:t xml:space="preserve"> las Deudas a corto plazo al </w:t>
      </w:r>
      <w:r w:rsidR="00D470B6">
        <w:t>30 de junio</w:t>
      </w:r>
      <w:r w:rsidRPr="00A91674">
        <w:t xml:space="preserve"> de </w:t>
      </w:r>
      <w:r>
        <w:t xml:space="preserve">2024 tenían la </w:t>
      </w:r>
      <w:r w:rsidRPr="00A91674">
        <w:t>siguiente</w:t>
      </w:r>
      <w:r>
        <w:t xml:space="preserve"> composición</w:t>
      </w:r>
      <w:r w:rsidRPr="00A91674">
        <w:t>:</w:t>
      </w:r>
    </w:p>
    <w:p w14:paraId="2565C75E" w14:textId="77777777" w:rsidR="00294645" w:rsidRPr="00A91674" w:rsidRDefault="00294645" w:rsidP="00644A77">
      <w:pPr>
        <w:spacing w:after="0" w:line="240" w:lineRule="auto"/>
        <w:rPr>
          <w:lang w:eastAsia="es-CR"/>
        </w:rPr>
      </w:pPr>
    </w:p>
    <w:tbl>
      <w:tblPr>
        <w:tblW w:w="8742" w:type="dxa"/>
        <w:tblLook w:val="04A0" w:firstRow="1" w:lastRow="0" w:firstColumn="1" w:lastColumn="0" w:noHBand="0" w:noVBand="1"/>
      </w:tblPr>
      <w:tblGrid>
        <w:gridCol w:w="855"/>
        <w:gridCol w:w="3246"/>
        <w:gridCol w:w="1200"/>
        <w:gridCol w:w="1210"/>
        <w:gridCol w:w="1276"/>
        <w:gridCol w:w="955"/>
      </w:tblGrid>
      <w:tr w:rsidR="00644A77" w:rsidRPr="00644A77" w14:paraId="2F9FA678" w14:textId="77777777" w:rsidTr="00644A77">
        <w:trPr>
          <w:trHeight w:val="520"/>
        </w:trPr>
        <w:tc>
          <w:tcPr>
            <w:tcW w:w="855" w:type="dxa"/>
            <w:tcBorders>
              <w:top w:val="single" w:sz="8" w:space="0" w:color="auto"/>
              <w:left w:val="single" w:sz="8" w:space="0" w:color="auto"/>
              <w:bottom w:val="nil"/>
              <w:right w:val="single" w:sz="12" w:space="0" w:color="auto"/>
            </w:tcBorders>
            <w:shd w:val="clear" w:color="000000" w:fill="002060"/>
            <w:noWrap/>
            <w:vAlign w:val="center"/>
            <w:hideMark/>
          </w:tcPr>
          <w:p w14:paraId="75A64C4C" w14:textId="77777777" w:rsidR="00644A77" w:rsidRPr="00644A77" w:rsidRDefault="00644A77" w:rsidP="00644A77">
            <w:pPr>
              <w:spacing w:after="0" w:line="240" w:lineRule="auto"/>
              <w:jc w:val="center"/>
              <w:rPr>
                <w:rFonts w:eastAsia="Times New Roman" w:cs="Calibri"/>
                <w:b/>
                <w:bCs/>
                <w:color w:val="FFFFFF"/>
                <w:sz w:val="20"/>
                <w:szCs w:val="20"/>
                <w:lang w:val="en-US"/>
              </w:rPr>
            </w:pPr>
            <w:r w:rsidRPr="00644A77">
              <w:rPr>
                <w:rFonts w:eastAsia="Times New Roman" w:cs="Calibri"/>
                <w:b/>
                <w:bCs/>
                <w:color w:val="FFFFFF"/>
                <w:sz w:val="20"/>
                <w:szCs w:val="20"/>
                <w:lang w:val="en-US"/>
              </w:rPr>
              <w:t>Cuenta</w:t>
            </w:r>
          </w:p>
        </w:tc>
        <w:tc>
          <w:tcPr>
            <w:tcW w:w="3246" w:type="dxa"/>
            <w:tcBorders>
              <w:top w:val="single" w:sz="8" w:space="0" w:color="auto"/>
              <w:left w:val="nil"/>
              <w:bottom w:val="nil"/>
              <w:right w:val="single" w:sz="12" w:space="0" w:color="auto"/>
            </w:tcBorders>
            <w:shd w:val="clear" w:color="000000" w:fill="002060"/>
            <w:noWrap/>
            <w:vAlign w:val="center"/>
            <w:hideMark/>
          </w:tcPr>
          <w:p w14:paraId="07C9EAC3" w14:textId="77777777" w:rsidR="00644A77" w:rsidRPr="00644A77" w:rsidRDefault="00644A77" w:rsidP="00644A77">
            <w:pPr>
              <w:spacing w:after="0" w:line="240" w:lineRule="auto"/>
              <w:jc w:val="center"/>
              <w:rPr>
                <w:rFonts w:eastAsia="Times New Roman" w:cs="Calibri"/>
                <w:b/>
                <w:bCs/>
                <w:color w:val="FFFFFF"/>
                <w:sz w:val="20"/>
                <w:szCs w:val="20"/>
                <w:lang w:val="en-US"/>
              </w:rPr>
            </w:pPr>
            <w:r w:rsidRPr="00644A77">
              <w:rPr>
                <w:rFonts w:eastAsia="Times New Roman" w:cs="Calibri"/>
                <w:b/>
                <w:bCs/>
                <w:color w:val="FFFFFF"/>
                <w:sz w:val="20"/>
                <w:szCs w:val="20"/>
                <w:lang w:val="en-US"/>
              </w:rPr>
              <w:t>Descripción</w:t>
            </w:r>
          </w:p>
        </w:tc>
        <w:tc>
          <w:tcPr>
            <w:tcW w:w="1200" w:type="dxa"/>
            <w:tcBorders>
              <w:top w:val="single" w:sz="8" w:space="0" w:color="auto"/>
              <w:left w:val="nil"/>
              <w:bottom w:val="nil"/>
              <w:right w:val="single" w:sz="12" w:space="0" w:color="auto"/>
            </w:tcBorders>
            <w:shd w:val="clear" w:color="000000" w:fill="002060"/>
            <w:vAlign w:val="center"/>
            <w:hideMark/>
          </w:tcPr>
          <w:p w14:paraId="683FE4B9" w14:textId="77777777" w:rsidR="00644A77" w:rsidRPr="00644A77" w:rsidRDefault="00644A77" w:rsidP="00644A77">
            <w:pPr>
              <w:spacing w:after="0" w:line="240" w:lineRule="auto"/>
              <w:jc w:val="center"/>
              <w:rPr>
                <w:rFonts w:eastAsia="Times New Roman" w:cs="Calibri"/>
                <w:b/>
                <w:bCs/>
                <w:color w:val="FFFFFF"/>
                <w:sz w:val="20"/>
                <w:szCs w:val="20"/>
                <w:lang w:val="en-US"/>
              </w:rPr>
            </w:pPr>
            <w:r w:rsidRPr="00644A77">
              <w:rPr>
                <w:rFonts w:eastAsia="Times New Roman" w:cs="Calibri"/>
                <w:b/>
                <w:bCs/>
                <w:color w:val="FFFFFF"/>
                <w:sz w:val="20"/>
                <w:szCs w:val="20"/>
                <w:lang w:val="en-US"/>
              </w:rPr>
              <w:t>Saldo Año Actual</w:t>
            </w:r>
          </w:p>
        </w:tc>
        <w:tc>
          <w:tcPr>
            <w:tcW w:w="1210" w:type="dxa"/>
            <w:tcBorders>
              <w:top w:val="single" w:sz="8" w:space="0" w:color="auto"/>
              <w:left w:val="nil"/>
              <w:bottom w:val="nil"/>
              <w:right w:val="single" w:sz="12" w:space="0" w:color="auto"/>
            </w:tcBorders>
            <w:shd w:val="clear" w:color="000000" w:fill="002060"/>
            <w:vAlign w:val="center"/>
            <w:hideMark/>
          </w:tcPr>
          <w:p w14:paraId="76367BA6" w14:textId="77777777" w:rsidR="00644A77" w:rsidRPr="00644A77" w:rsidRDefault="00644A77" w:rsidP="00644A77">
            <w:pPr>
              <w:spacing w:after="0" w:line="240" w:lineRule="auto"/>
              <w:jc w:val="center"/>
              <w:rPr>
                <w:rFonts w:eastAsia="Times New Roman" w:cs="Calibri"/>
                <w:b/>
                <w:bCs/>
                <w:color w:val="FFFFFF"/>
                <w:sz w:val="20"/>
                <w:szCs w:val="20"/>
                <w:lang w:val="en-US"/>
              </w:rPr>
            </w:pPr>
            <w:r w:rsidRPr="00644A77">
              <w:rPr>
                <w:rFonts w:eastAsia="Times New Roman" w:cs="Calibri"/>
                <w:b/>
                <w:bCs/>
                <w:color w:val="FFFFFF"/>
                <w:sz w:val="20"/>
                <w:szCs w:val="20"/>
                <w:lang w:val="en-US"/>
              </w:rPr>
              <w:t>Saldo Año Anterior</w:t>
            </w:r>
          </w:p>
        </w:tc>
        <w:tc>
          <w:tcPr>
            <w:tcW w:w="1276" w:type="dxa"/>
            <w:tcBorders>
              <w:top w:val="single" w:sz="8" w:space="0" w:color="auto"/>
              <w:left w:val="nil"/>
              <w:bottom w:val="nil"/>
              <w:right w:val="single" w:sz="12" w:space="0" w:color="auto"/>
            </w:tcBorders>
            <w:shd w:val="clear" w:color="000000" w:fill="002060"/>
            <w:vAlign w:val="center"/>
            <w:hideMark/>
          </w:tcPr>
          <w:p w14:paraId="23328578" w14:textId="77777777" w:rsidR="00644A77" w:rsidRPr="00644A77" w:rsidRDefault="00644A77" w:rsidP="00644A77">
            <w:pPr>
              <w:spacing w:after="0" w:line="240" w:lineRule="auto"/>
              <w:jc w:val="center"/>
              <w:rPr>
                <w:rFonts w:eastAsia="Times New Roman" w:cs="Calibri"/>
                <w:b/>
                <w:bCs/>
                <w:color w:val="FFFFFF"/>
                <w:sz w:val="20"/>
                <w:szCs w:val="20"/>
                <w:lang w:val="en-US"/>
              </w:rPr>
            </w:pPr>
            <w:r w:rsidRPr="00644A77">
              <w:rPr>
                <w:rFonts w:eastAsia="Times New Roman" w:cs="Calibri"/>
                <w:b/>
                <w:bCs/>
                <w:color w:val="FFFFFF"/>
                <w:sz w:val="20"/>
                <w:szCs w:val="20"/>
                <w:lang w:val="en-US"/>
              </w:rPr>
              <w:t>Variación Absoluta</w:t>
            </w:r>
          </w:p>
        </w:tc>
        <w:tc>
          <w:tcPr>
            <w:tcW w:w="955" w:type="dxa"/>
            <w:tcBorders>
              <w:top w:val="single" w:sz="8" w:space="0" w:color="auto"/>
              <w:left w:val="nil"/>
              <w:bottom w:val="nil"/>
              <w:right w:val="single" w:sz="8" w:space="0" w:color="auto"/>
            </w:tcBorders>
            <w:shd w:val="clear" w:color="000000" w:fill="002060"/>
            <w:vAlign w:val="center"/>
            <w:hideMark/>
          </w:tcPr>
          <w:p w14:paraId="6437114D" w14:textId="77777777" w:rsidR="00644A77" w:rsidRPr="00644A77" w:rsidRDefault="00644A77" w:rsidP="00644A77">
            <w:pPr>
              <w:spacing w:after="0" w:line="240" w:lineRule="auto"/>
              <w:jc w:val="center"/>
              <w:rPr>
                <w:rFonts w:eastAsia="Times New Roman" w:cs="Calibri"/>
                <w:b/>
                <w:bCs/>
                <w:color w:val="FFFFFF"/>
                <w:sz w:val="20"/>
                <w:szCs w:val="20"/>
                <w:lang w:val="en-US"/>
              </w:rPr>
            </w:pPr>
            <w:r w:rsidRPr="00644A77">
              <w:rPr>
                <w:rFonts w:eastAsia="Times New Roman" w:cs="Calibri"/>
                <w:b/>
                <w:bCs/>
                <w:color w:val="FFFFFF"/>
                <w:sz w:val="20"/>
                <w:szCs w:val="20"/>
                <w:lang w:val="en-US"/>
              </w:rPr>
              <w:t>Variación %</w:t>
            </w:r>
          </w:p>
        </w:tc>
      </w:tr>
      <w:tr w:rsidR="00644A77" w:rsidRPr="00644A77" w14:paraId="7469753E" w14:textId="77777777" w:rsidTr="00644A77">
        <w:trPr>
          <w:trHeight w:val="290"/>
        </w:trPr>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207DD" w14:textId="77777777" w:rsidR="00644A77" w:rsidRPr="00644A77" w:rsidRDefault="00644A77" w:rsidP="00644A77">
            <w:pPr>
              <w:spacing w:after="0" w:line="240" w:lineRule="auto"/>
              <w:jc w:val="left"/>
              <w:rPr>
                <w:rFonts w:eastAsia="Times New Roman" w:cs="Calibri"/>
                <w:color w:val="000000"/>
                <w:sz w:val="20"/>
                <w:szCs w:val="20"/>
                <w:lang w:val="en-US"/>
              </w:rPr>
            </w:pPr>
            <w:r w:rsidRPr="00644A77">
              <w:rPr>
                <w:rFonts w:eastAsia="Times New Roman" w:cs="Calibri"/>
                <w:color w:val="000000"/>
                <w:sz w:val="20"/>
                <w:szCs w:val="20"/>
                <w:lang w:val="en-US"/>
              </w:rPr>
              <w:t>2.1.1.01.</w:t>
            </w:r>
          </w:p>
        </w:tc>
        <w:tc>
          <w:tcPr>
            <w:tcW w:w="3246" w:type="dxa"/>
            <w:tcBorders>
              <w:top w:val="single" w:sz="4" w:space="0" w:color="auto"/>
              <w:left w:val="nil"/>
              <w:bottom w:val="single" w:sz="4" w:space="0" w:color="auto"/>
              <w:right w:val="single" w:sz="4" w:space="0" w:color="auto"/>
            </w:tcBorders>
            <w:shd w:val="clear" w:color="auto" w:fill="auto"/>
            <w:vAlign w:val="center"/>
            <w:hideMark/>
          </w:tcPr>
          <w:p w14:paraId="20B45A97" w14:textId="77777777" w:rsidR="00644A77" w:rsidRPr="00644A77" w:rsidRDefault="00644A77" w:rsidP="00644A77">
            <w:pPr>
              <w:spacing w:after="0" w:line="240" w:lineRule="auto"/>
              <w:jc w:val="left"/>
              <w:rPr>
                <w:rFonts w:eastAsia="Times New Roman" w:cs="Calibri"/>
                <w:sz w:val="20"/>
                <w:szCs w:val="20"/>
              </w:rPr>
            </w:pPr>
            <w:r w:rsidRPr="00644A77">
              <w:rPr>
                <w:rFonts w:eastAsia="Times New Roman" w:cs="Calibri"/>
                <w:sz w:val="20"/>
                <w:szCs w:val="20"/>
              </w:rPr>
              <w:t>Deudas comerciales a corto plazo</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42041A43" w14:textId="622FBDDE" w:rsidR="00644A77" w:rsidRPr="00644A77" w:rsidRDefault="00644A77" w:rsidP="00644A77">
            <w:pPr>
              <w:spacing w:after="0" w:line="240" w:lineRule="auto"/>
              <w:jc w:val="right"/>
              <w:rPr>
                <w:rFonts w:eastAsia="Times New Roman" w:cs="Calibri"/>
                <w:color w:val="000000"/>
                <w:sz w:val="20"/>
                <w:szCs w:val="20"/>
                <w:lang w:val="en-US"/>
              </w:rPr>
            </w:pPr>
            <w:r w:rsidRPr="00644A77">
              <w:rPr>
                <w:rFonts w:ascii="Arial" w:eastAsia="Times New Roman" w:hAnsi="Arial" w:cs="Arial"/>
                <w:color w:val="000000"/>
                <w:sz w:val="20"/>
                <w:szCs w:val="20"/>
                <w:lang w:val="en-US"/>
              </w:rPr>
              <w:t>₡</w:t>
            </w:r>
            <w:r w:rsidRPr="00644A77">
              <w:rPr>
                <w:rFonts w:eastAsia="Times New Roman" w:cs="Calibri"/>
                <w:color w:val="000000"/>
                <w:sz w:val="20"/>
                <w:szCs w:val="20"/>
                <w:lang w:val="en-US"/>
              </w:rPr>
              <w:t>92 831,85</w:t>
            </w:r>
          </w:p>
        </w:tc>
        <w:tc>
          <w:tcPr>
            <w:tcW w:w="1210" w:type="dxa"/>
            <w:tcBorders>
              <w:top w:val="single" w:sz="4" w:space="0" w:color="auto"/>
              <w:left w:val="nil"/>
              <w:bottom w:val="single" w:sz="4" w:space="0" w:color="auto"/>
              <w:right w:val="single" w:sz="4" w:space="0" w:color="auto"/>
            </w:tcBorders>
            <w:shd w:val="clear" w:color="auto" w:fill="auto"/>
            <w:noWrap/>
            <w:vAlign w:val="bottom"/>
            <w:hideMark/>
          </w:tcPr>
          <w:p w14:paraId="32705A27" w14:textId="5C93D2CD" w:rsidR="00644A77" w:rsidRPr="00644A77" w:rsidRDefault="00644A77" w:rsidP="00644A77">
            <w:pPr>
              <w:spacing w:after="0" w:line="240" w:lineRule="auto"/>
              <w:jc w:val="right"/>
              <w:rPr>
                <w:rFonts w:eastAsia="Times New Roman" w:cs="Calibri"/>
                <w:color w:val="000000"/>
                <w:sz w:val="20"/>
                <w:szCs w:val="20"/>
                <w:lang w:val="en-US"/>
              </w:rPr>
            </w:pPr>
            <w:r w:rsidRPr="00644A77">
              <w:rPr>
                <w:rFonts w:ascii="Arial" w:eastAsia="Times New Roman" w:hAnsi="Arial" w:cs="Arial"/>
                <w:color w:val="000000"/>
                <w:sz w:val="20"/>
                <w:szCs w:val="20"/>
                <w:lang w:val="en-US"/>
              </w:rPr>
              <w:t>₡</w:t>
            </w:r>
            <w:r w:rsidRPr="00644A77">
              <w:rPr>
                <w:rFonts w:eastAsia="Times New Roman" w:cs="Calibri"/>
                <w:color w:val="000000"/>
                <w:sz w:val="20"/>
                <w:szCs w:val="20"/>
                <w:lang w:val="en-US"/>
              </w:rPr>
              <w:t>397 334,26</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B3F4D88" w14:textId="2E0AE48E" w:rsidR="00644A77" w:rsidRPr="00644A77" w:rsidRDefault="00644A77" w:rsidP="00644A77">
            <w:pPr>
              <w:spacing w:after="0" w:line="240" w:lineRule="auto"/>
              <w:jc w:val="right"/>
              <w:rPr>
                <w:rFonts w:eastAsia="Times New Roman" w:cs="Calibri"/>
                <w:sz w:val="20"/>
                <w:szCs w:val="20"/>
                <w:lang w:val="en-US"/>
              </w:rPr>
            </w:pPr>
            <w:r w:rsidRPr="00644A77">
              <w:rPr>
                <w:rFonts w:eastAsia="Times New Roman" w:cs="Calibri"/>
                <w:sz w:val="20"/>
                <w:szCs w:val="20"/>
                <w:lang w:val="en-US"/>
              </w:rPr>
              <w:t>-</w:t>
            </w:r>
            <w:r w:rsidRPr="00644A77">
              <w:rPr>
                <w:rFonts w:ascii="Arial" w:eastAsia="Times New Roman" w:hAnsi="Arial" w:cs="Arial"/>
                <w:color w:val="000000"/>
                <w:sz w:val="20"/>
                <w:szCs w:val="20"/>
                <w:lang w:val="en-US"/>
              </w:rPr>
              <w:t>₡</w:t>
            </w:r>
            <w:r w:rsidRPr="00644A77">
              <w:rPr>
                <w:rFonts w:eastAsia="Times New Roman" w:cs="Calibri"/>
                <w:sz w:val="20"/>
                <w:szCs w:val="20"/>
                <w:lang w:val="en-US"/>
              </w:rPr>
              <w:t>304 502,41</w:t>
            </w:r>
          </w:p>
        </w:tc>
        <w:tc>
          <w:tcPr>
            <w:tcW w:w="955" w:type="dxa"/>
            <w:tcBorders>
              <w:top w:val="single" w:sz="4" w:space="0" w:color="auto"/>
              <w:left w:val="nil"/>
              <w:bottom w:val="single" w:sz="4" w:space="0" w:color="auto"/>
              <w:right w:val="single" w:sz="4" w:space="0" w:color="auto"/>
            </w:tcBorders>
            <w:shd w:val="clear" w:color="auto" w:fill="auto"/>
            <w:noWrap/>
            <w:vAlign w:val="center"/>
            <w:hideMark/>
          </w:tcPr>
          <w:p w14:paraId="668E1932" w14:textId="77777777" w:rsidR="00644A77" w:rsidRPr="00644A77" w:rsidRDefault="00644A77" w:rsidP="00644A77">
            <w:pPr>
              <w:spacing w:after="0" w:line="240" w:lineRule="auto"/>
              <w:jc w:val="right"/>
              <w:rPr>
                <w:rFonts w:eastAsia="Times New Roman" w:cs="Calibri"/>
                <w:sz w:val="20"/>
                <w:szCs w:val="20"/>
                <w:lang w:val="en-US"/>
              </w:rPr>
            </w:pPr>
            <w:r w:rsidRPr="00644A77">
              <w:rPr>
                <w:rFonts w:eastAsia="Times New Roman" w:cs="Calibri"/>
                <w:sz w:val="20"/>
                <w:szCs w:val="20"/>
                <w:lang w:val="en-US"/>
              </w:rPr>
              <w:t>-76,64%</w:t>
            </w:r>
          </w:p>
        </w:tc>
      </w:tr>
      <w:tr w:rsidR="00644A77" w:rsidRPr="00644A77" w14:paraId="5975BB08" w14:textId="77777777" w:rsidTr="00644A77">
        <w:trPr>
          <w:trHeight w:val="290"/>
        </w:trPr>
        <w:tc>
          <w:tcPr>
            <w:tcW w:w="855" w:type="dxa"/>
            <w:tcBorders>
              <w:top w:val="nil"/>
              <w:left w:val="single" w:sz="4" w:space="0" w:color="auto"/>
              <w:bottom w:val="single" w:sz="4" w:space="0" w:color="auto"/>
              <w:right w:val="single" w:sz="4" w:space="0" w:color="auto"/>
            </w:tcBorders>
            <w:shd w:val="clear" w:color="auto" w:fill="auto"/>
            <w:noWrap/>
            <w:vAlign w:val="center"/>
            <w:hideMark/>
          </w:tcPr>
          <w:p w14:paraId="0CC3C2D0" w14:textId="77777777" w:rsidR="00644A77" w:rsidRPr="00644A77" w:rsidRDefault="00644A77" w:rsidP="00644A77">
            <w:pPr>
              <w:spacing w:after="0" w:line="240" w:lineRule="auto"/>
              <w:jc w:val="left"/>
              <w:rPr>
                <w:rFonts w:eastAsia="Times New Roman" w:cs="Calibri"/>
                <w:color w:val="000000"/>
                <w:sz w:val="20"/>
                <w:szCs w:val="20"/>
                <w:lang w:val="en-US"/>
              </w:rPr>
            </w:pPr>
            <w:r w:rsidRPr="00644A77">
              <w:rPr>
                <w:rFonts w:eastAsia="Times New Roman" w:cs="Calibri"/>
                <w:color w:val="000000"/>
                <w:sz w:val="20"/>
                <w:szCs w:val="20"/>
                <w:lang w:val="en-US"/>
              </w:rPr>
              <w:t>2.1.1.02.</w:t>
            </w:r>
          </w:p>
        </w:tc>
        <w:tc>
          <w:tcPr>
            <w:tcW w:w="3246" w:type="dxa"/>
            <w:tcBorders>
              <w:top w:val="nil"/>
              <w:left w:val="nil"/>
              <w:bottom w:val="single" w:sz="4" w:space="0" w:color="auto"/>
              <w:right w:val="single" w:sz="4" w:space="0" w:color="auto"/>
            </w:tcBorders>
            <w:shd w:val="clear" w:color="auto" w:fill="auto"/>
            <w:vAlign w:val="center"/>
            <w:hideMark/>
          </w:tcPr>
          <w:p w14:paraId="4D155FA2" w14:textId="77777777" w:rsidR="00644A77" w:rsidRPr="00644A77" w:rsidRDefault="00644A77" w:rsidP="00644A77">
            <w:pPr>
              <w:spacing w:after="0" w:line="240" w:lineRule="auto"/>
              <w:jc w:val="left"/>
              <w:rPr>
                <w:rFonts w:eastAsia="Times New Roman" w:cs="Calibri"/>
                <w:sz w:val="20"/>
                <w:szCs w:val="20"/>
              </w:rPr>
            </w:pPr>
            <w:r w:rsidRPr="00644A77">
              <w:rPr>
                <w:rFonts w:eastAsia="Times New Roman" w:cs="Calibri"/>
                <w:sz w:val="20"/>
                <w:szCs w:val="20"/>
              </w:rPr>
              <w:t>Deudas sociales y fiscales a corto plazo</w:t>
            </w:r>
          </w:p>
        </w:tc>
        <w:tc>
          <w:tcPr>
            <w:tcW w:w="1200" w:type="dxa"/>
            <w:tcBorders>
              <w:top w:val="nil"/>
              <w:left w:val="nil"/>
              <w:bottom w:val="single" w:sz="4" w:space="0" w:color="auto"/>
              <w:right w:val="single" w:sz="4" w:space="0" w:color="auto"/>
            </w:tcBorders>
            <w:shd w:val="clear" w:color="auto" w:fill="auto"/>
            <w:noWrap/>
            <w:vAlign w:val="bottom"/>
            <w:hideMark/>
          </w:tcPr>
          <w:p w14:paraId="48029AEC" w14:textId="77777777" w:rsidR="00644A77" w:rsidRPr="00644A77" w:rsidRDefault="00644A77" w:rsidP="00644A77">
            <w:pPr>
              <w:spacing w:after="0" w:line="240" w:lineRule="auto"/>
              <w:jc w:val="right"/>
              <w:rPr>
                <w:rFonts w:eastAsia="Times New Roman" w:cs="Calibri"/>
                <w:color w:val="000000"/>
                <w:sz w:val="20"/>
                <w:szCs w:val="20"/>
                <w:lang w:val="en-US"/>
              </w:rPr>
            </w:pPr>
            <w:r w:rsidRPr="00644A77">
              <w:rPr>
                <w:rFonts w:eastAsia="Times New Roman" w:cs="Calibri"/>
                <w:color w:val="000000"/>
                <w:sz w:val="20"/>
                <w:szCs w:val="20"/>
                <w:lang w:val="en-US"/>
              </w:rPr>
              <w:t>118 853,12</w:t>
            </w:r>
          </w:p>
        </w:tc>
        <w:tc>
          <w:tcPr>
            <w:tcW w:w="1210" w:type="dxa"/>
            <w:tcBorders>
              <w:top w:val="nil"/>
              <w:left w:val="nil"/>
              <w:bottom w:val="single" w:sz="4" w:space="0" w:color="auto"/>
              <w:right w:val="single" w:sz="4" w:space="0" w:color="auto"/>
            </w:tcBorders>
            <w:shd w:val="clear" w:color="auto" w:fill="auto"/>
            <w:noWrap/>
            <w:vAlign w:val="bottom"/>
            <w:hideMark/>
          </w:tcPr>
          <w:p w14:paraId="26FE3E1B" w14:textId="77777777" w:rsidR="00644A77" w:rsidRPr="00644A77" w:rsidRDefault="00644A77" w:rsidP="00644A77">
            <w:pPr>
              <w:spacing w:after="0" w:line="240" w:lineRule="auto"/>
              <w:jc w:val="right"/>
              <w:rPr>
                <w:rFonts w:eastAsia="Times New Roman" w:cs="Calibri"/>
                <w:color w:val="000000"/>
                <w:sz w:val="20"/>
                <w:szCs w:val="20"/>
                <w:lang w:val="en-US"/>
              </w:rPr>
            </w:pPr>
            <w:r w:rsidRPr="00644A77">
              <w:rPr>
                <w:rFonts w:eastAsia="Times New Roman" w:cs="Calibri"/>
                <w:color w:val="000000"/>
                <w:sz w:val="20"/>
                <w:szCs w:val="20"/>
                <w:lang w:val="en-US"/>
              </w:rPr>
              <w:t>139 365,28</w:t>
            </w:r>
          </w:p>
        </w:tc>
        <w:tc>
          <w:tcPr>
            <w:tcW w:w="1276" w:type="dxa"/>
            <w:tcBorders>
              <w:top w:val="nil"/>
              <w:left w:val="nil"/>
              <w:bottom w:val="single" w:sz="4" w:space="0" w:color="auto"/>
              <w:right w:val="single" w:sz="4" w:space="0" w:color="auto"/>
            </w:tcBorders>
            <w:shd w:val="clear" w:color="auto" w:fill="auto"/>
            <w:noWrap/>
            <w:vAlign w:val="center"/>
            <w:hideMark/>
          </w:tcPr>
          <w:p w14:paraId="02A15AA5" w14:textId="77777777" w:rsidR="00644A77" w:rsidRPr="00644A77" w:rsidRDefault="00644A77" w:rsidP="00644A77">
            <w:pPr>
              <w:spacing w:after="0" w:line="240" w:lineRule="auto"/>
              <w:jc w:val="right"/>
              <w:rPr>
                <w:rFonts w:eastAsia="Times New Roman" w:cs="Calibri"/>
                <w:sz w:val="20"/>
                <w:szCs w:val="20"/>
                <w:lang w:val="en-US"/>
              </w:rPr>
            </w:pPr>
            <w:r w:rsidRPr="00644A77">
              <w:rPr>
                <w:rFonts w:eastAsia="Times New Roman" w:cs="Calibri"/>
                <w:sz w:val="20"/>
                <w:szCs w:val="20"/>
                <w:lang w:val="en-US"/>
              </w:rPr>
              <w:t>-20 512,17</w:t>
            </w:r>
          </w:p>
        </w:tc>
        <w:tc>
          <w:tcPr>
            <w:tcW w:w="955" w:type="dxa"/>
            <w:tcBorders>
              <w:top w:val="nil"/>
              <w:left w:val="nil"/>
              <w:bottom w:val="single" w:sz="4" w:space="0" w:color="auto"/>
              <w:right w:val="single" w:sz="4" w:space="0" w:color="auto"/>
            </w:tcBorders>
            <w:shd w:val="clear" w:color="auto" w:fill="auto"/>
            <w:noWrap/>
            <w:vAlign w:val="center"/>
            <w:hideMark/>
          </w:tcPr>
          <w:p w14:paraId="031F0E56" w14:textId="77777777" w:rsidR="00644A77" w:rsidRPr="00644A77" w:rsidRDefault="00644A77" w:rsidP="00644A77">
            <w:pPr>
              <w:spacing w:after="0" w:line="240" w:lineRule="auto"/>
              <w:jc w:val="right"/>
              <w:rPr>
                <w:rFonts w:eastAsia="Times New Roman" w:cs="Calibri"/>
                <w:sz w:val="20"/>
                <w:szCs w:val="20"/>
                <w:lang w:val="en-US"/>
              </w:rPr>
            </w:pPr>
            <w:r w:rsidRPr="00644A77">
              <w:rPr>
                <w:rFonts w:eastAsia="Times New Roman" w:cs="Calibri"/>
                <w:sz w:val="20"/>
                <w:szCs w:val="20"/>
                <w:lang w:val="en-US"/>
              </w:rPr>
              <w:t>-14,72%</w:t>
            </w:r>
          </w:p>
        </w:tc>
      </w:tr>
      <w:tr w:rsidR="00644A77" w:rsidRPr="00644A77" w14:paraId="4A341BAD" w14:textId="77777777" w:rsidTr="00644A77">
        <w:trPr>
          <w:trHeight w:val="290"/>
        </w:trPr>
        <w:tc>
          <w:tcPr>
            <w:tcW w:w="855" w:type="dxa"/>
            <w:tcBorders>
              <w:top w:val="nil"/>
              <w:left w:val="single" w:sz="4" w:space="0" w:color="auto"/>
              <w:bottom w:val="single" w:sz="4" w:space="0" w:color="auto"/>
              <w:right w:val="single" w:sz="4" w:space="0" w:color="auto"/>
            </w:tcBorders>
            <w:shd w:val="clear" w:color="auto" w:fill="auto"/>
            <w:noWrap/>
            <w:vAlign w:val="center"/>
            <w:hideMark/>
          </w:tcPr>
          <w:p w14:paraId="1494FED1" w14:textId="77777777" w:rsidR="00644A77" w:rsidRPr="00644A77" w:rsidRDefault="00644A77" w:rsidP="00644A77">
            <w:pPr>
              <w:spacing w:after="0" w:line="240" w:lineRule="auto"/>
              <w:jc w:val="left"/>
              <w:rPr>
                <w:rFonts w:eastAsia="Times New Roman" w:cs="Calibri"/>
                <w:color w:val="000000"/>
                <w:sz w:val="20"/>
                <w:szCs w:val="20"/>
                <w:lang w:val="en-US"/>
              </w:rPr>
            </w:pPr>
            <w:r w:rsidRPr="00644A77">
              <w:rPr>
                <w:rFonts w:eastAsia="Times New Roman" w:cs="Calibri"/>
                <w:color w:val="000000"/>
                <w:sz w:val="20"/>
                <w:szCs w:val="20"/>
                <w:lang w:val="en-US"/>
              </w:rPr>
              <w:t>2.1.1.03.</w:t>
            </w:r>
          </w:p>
        </w:tc>
        <w:tc>
          <w:tcPr>
            <w:tcW w:w="3246" w:type="dxa"/>
            <w:tcBorders>
              <w:top w:val="nil"/>
              <w:left w:val="nil"/>
              <w:bottom w:val="single" w:sz="4" w:space="0" w:color="auto"/>
              <w:right w:val="single" w:sz="4" w:space="0" w:color="auto"/>
            </w:tcBorders>
            <w:shd w:val="clear" w:color="auto" w:fill="auto"/>
            <w:vAlign w:val="center"/>
            <w:hideMark/>
          </w:tcPr>
          <w:p w14:paraId="33004CC0" w14:textId="77777777" w:rsidR="00644A77" w:rsidRPr="00644A77" w:rsidRDefault="00644A77" w:rsidP="00644A77">
            <w:pPr>
              <w:spacing w:after="0" w:line="240" w:lineRule="auto"/>
              <w:jc w:val="left"/>
              <w:rPr>
                <w:rFonts w:eastAsia="Times New Roman" w:cs="Calibri"/>
                <w:sz w:val="20"/>
                <w:szCs w:val="20"/>
              </w:rPr>
            </w:pPr>
            <w:r w:rsidRPr="00644A77">
              <w:rPr>
                <w:rFonts w:eastAsia="Times New Roman" w:cs="Calibri"/>
                <w:sz w:val="20"/>
                <w:szCs w:val="20"/>
              </w:rPr>
              <w:t>Transferencias a pagar a corto plazo</w:t>
            </w:r>
          </w:p>
        </w:tc>
        <w:tc>
          <w:tcPr>
            <w:tcW w:w="1200" w:type="dxa"/>
            <w:tcBorders>
              <w:top w:val="nil"/>
              <w:left w:val="nil"/>
              <w:bottom w:val="single" w:sz="4" w:space="0" w:color="auto"/>
              <w:right w:val="single" w:sz="4" w:space="0" w:color="auto"/>
            </w:tcBorders>
            <w:shd w:val="clear" w:color="auto" w:fill="auto"/>
            <w:noWrap/>
            <w:vAlign w:val="bottom"/>
            <w:hideMark/>
          </w:tcPr>
          <w:p w14:paraId="2D8D3DC3" w14:textId="77777777" w:rsidR="00644A77" w:rsidRPr="00644A77" w:rsidRDefault="00644A77" w:rsidP="00644A77">
            <w:pPr>
              <w:spacing w:after="0" w:line="240" w:lineRule="auto"/>
              <w:jc w:val="right"/>
              <w:rPr>
                <w:rFonts w:eastAsia="Times New Roman" w:cs="Calibri"/>
                <w:color w:val="000000"/>
                <w:sz w:val="20"/>
                <w:szCs w:val="20"/>
                <w:lang w:val="en-US"/>
              </w:rPr>
            </w:pPr>
            <w:r w:rsidRPr="00644A77">
              <w:rPr>
                <w:rFonts w:eastAsia="Times New Roman" w:cs="Calibri"/>
                <w:color w:val="000000"/>
                <w:sz w:val="20"/>
                <w:szCs w:val="20"/>
                <w:lang w:val="en-US"/>
              </w:rPr>
              <w:t>39 365,96</w:t>
            </w:r>
          </w:p>
        </w:tc>
        <w:tc>
          <w:tcPr>
            <w:tcW w:w="1210" w:type="dxa"/>
            <w:tcBorders>
              <w:top w:val="nil"/>
              <w:left w:val="nil"/>
              <w:bottom w:val="single" w:sz="4" w:space="0" w:color="auto"/>
              <w:right w:val="single" w:sz="4" w:space="0" w:color="auto"/>
            </w:tcBorders>
            <w:shd w:val="clear" w:color="auto" w:fill="auto"/>
            <w:noWrap/>
            <w:vAlign w:val="bottom"/>
            <w:hideMark/>
          </w:tcPr>
          <w:p w14:paraId="1E873DC7" w14:textId="77777777" w:rsidR="00644A77" w:rsidRPr="00644A77" w:rsidRDefault="00644A77" w:rsidP="00644A77">
            <w:pPr>
              <w:spacing w:after="0" w:line="240" w:lineRule="auto"/>
              <w:jc w:val="right"/>
              <w:rPr>
                <w:rFonts w:eastAsia="Times New Roman" w:cs="Calibri"/>
                <w:color w:val="000000"/>
                <w:sz w:val="20"/>
                <w:szCs w:val="20"/>
                <w:lang w:val="en-US"/>
              </w:rPr>
            </w:pPr>
            <w:r w:rsidRPr="00644A77">
              <w:rPr>
                <w:rFonts w:eastAsia="Times New Roman" w:cs="Calibri"/>
                <w:color w:val="000000"/>
                <w:sz w:val="20"/>
                <w:szCs w:val="20"/>
                <w:lang w:val="en-US"/>
              </w:rPr>
              <w:t>36 152,16</w:t>
            </w:r>
          </w:p>
        </w:tc>
        <w:tc>
          <w:tcPr>
            <w:tcW w:w="1276" w:type="dxa"/>
            <w:tcBorders>
              <w:top w:val="nil"/>
              <w:left w:val="nil"/>
              <w:bottom w:val="single" w:sz="4" w:space="0" w:color="auto"/>
              <w:right w:val="single" w:sz="4" w:space="0" w:color="auto"/>
            </w:tcBorders>
            <w:shd w:val="clear" w:color="auto" w:fill="auto"/>
            <w:noWrap/>
            <w:vAlign w:val="center"/>
            <w:hideMark/>
          </w:tcPr>
          <w:p w14:paraId="4559D043" w14:textId="77777777" w:rsidR="00644A77" w:rsidRPr="00644A77" w:rsidRDefault="00644A77" w:rsidP="00644A77">
            <w:pPr>
              <w:spacing w:after="0" w:line="240" w:lineRule="auto"/>
              <w:jc w:val="right"/>
              <w:rPr>
                <w:rFonts w:eastAsia="Times New Roman" w:cs="Calibri"/>
                <w:sz w:val="20"/>
                <w:szCs w:val="20"/>
                <w:lang w:val="en-US"/>
              </w:rPr>
            </w:pPr>
            <w:r w:rsidRPr="00644A77">
              <w:rPr>
                <w:rFonts w:eastAsia="Times New Roman" w:cs="Calibri"/>
                <w:sz w:val="20"/>
                <w:szCs w:val="20"/>
                <w:lang w:val="en-US"/>
              </w:rPr>
              <w:t>3 213,79</w:t>
            </w:r>
          </w:p>
        </w:tc>
        <w:tc>
          <w:tcPr>
            <w:tcW w:w="955" w:type="dxa"/>
            <w:tcBorders>
              <w:top w:val="nil"/>
              <w:left w:val="nil"/>
              <w:bottom w:val="single" w:sz="4" w:space="0" w:color="auto"/>
              <w:right w:val="single" w:sz="4" w:space="0" w:color="auto"/>
            </w:tcBorders>
            <w:shd w:val="clear" w:color="auto" w:fill="auto"/>
            <w:noWrap/>
            <w:vAlign w:val="center"/>
            <w:hideMark/>
          </w:tcPr>
          <w:p w14:paraId="2197736F" w14:textId="77777777" w:rsidR="00644A77" w:rsidRPr="00644A77" w:rsidRDefault="00644A77" w:rsidP="00644A77">
            <w:pPr>
              <w:spacing w:after="0" w:line="240" w:lineRule="auto"/>
              <w:jc w:val="right"/>
              <w:rPr>
                <w:rFonts w:eastAsia="Times New Roman" w:cs="Calibri"/>
                <w:sz w:val="20"/>
                <w:szCs w:val="20"/>
                <w:lang w:val="en-US"/>
              </w:rPr>
            </w:pPr>
            <w:r w:rsidRPr="00644A77">
              <w:rPr>
                <w:rFonts w:eastAsia="Times New Roman" w:cs="Calibri"/>
                <w:sz w:val="20"/>
                <w:szCs w:val="20"/>
                <w:lang w:val="en-US"/>
              </w:rPr>
              <w:t>8,89%</w:t>
            </w:r>
          </w:p>
        </w:tc>
      </w:tr>
      <w:tr w:rsidR="00644A77" w:rsidRPr="00644A77" w14:paraId="5AAEB6D7" w14:textId="77777777" w:rsidTr="00644A77">
        <w:trPr>
          <w:trHeight w:val="300"/>
        </w:trPr>
        <w:tc>
          <w:tcPr>
            <w:tcW w:w="855" w:type="dxa"/>
            <w:tcBorders>
              <w:top w:val="nil"/>
              <w:left w:val="single" w:sz="4" w:space="0" w:color="auto"/>
              <w:bottom w:val="nil"/>
              <w:right w:val="single" w:sz="4" w:space="0" w:color="auto"/>
            </w:tcBorders>
            <w:shd w:val="clear" w:color="auto" w:fill="auto"/>
            <w:noWrap/>
            <w:vAlign w:val="center"/>
            <w:hideMark/>
          </w:tcPr>
          <w:p w14:paraId="4C169815" w14:textId="77777777" w:rsidR="00644A77" w:rsidRPr="00644A77" w:rsidRDefault="00644A77" w:rsidP="00644A77">
            <w:pPr>
              <w:spacing w:after="0" w:line="240" w:lineRule="auto"/>
              <w:jc w:val="left"/>
              <w:rPr>
                <w:rFonts w:eastAsia="Times New Roman" w:cs="Calibri"/>
                <w:color w:val="000000"/>
                <w:sz w:val="20"/>
                <w:szCs w:val="20"/>
                <w:lang w:val="en-US"/>
              </w:rPr>
            </w:pPr>
            <w:r w:rsidRPr="00644A77">
              <w:rPr>
                <w:rFonts w:eastAsia="Times New Roman" w:cs="Calibri"/>
                <w:color w:val="000000"/>
                <w:sz w:val="20"/>
                <w:szCs w:val="20"/>
                <w:lang w:val="en-US"/>
              </w:rPr>
              <w:t>2.1.1.99</w:t>
            </w:r>
          </w:p>
        </w:tc>
        <w:tc>
          <w:tcPr>
            <w:tcW w:w="3246" w:type="dxa"/>
            <w:tcBorders>
              <w:top w:val="nil"/>
              <w:left w:val="nil"/>
              <w:bottom w:val="nil"/>
              <w:right w:val="nil"/>
            </w:tcBorders>
            <w:shd w:val="clear" w:color="auto" w:fill="auto"/>
            <w:noWrap/>
            <w:vAlign w:val="bottom"/>
            <w:hideMark/>
          </w:tcPr>
          <w:p w14:paraId="19D54E79" w14:textId="77777777" w:rsidR="00644A77" w:rsidRPr="00644A77" w:rsidRDefault="00644A77" w:rsidP="00644A77">
            <w:pPr>
              <w:spacing w:after="0" w:line="240" w:lineRule="auto"/>
              <w:jc w:val="left"/>
              <w:rPr>
                <w:rFonts w:eastAsia="Times New Roman" w:cs="Calibri"/>
                <w:color w:val="000000"/>
                <w:sz w:val="20"/>
                <w:szCs w:val="20"/>
              </w:rPr>
            </w:pPr>
            <w:r w:rsidRPr="00644A77">
              <w:rPr>
                <w:rFonts w:eastAsia="Times New Roman" w:cs="Calibri"/>
                <w:color w:val="000000"/>
                <w:sz w:val="20"/>
                <w:szCs w:val="20"/>
              </w:rPr>
              <w:t>Otras deudas a corto plazo</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7304090" w14:textId="77777777" w:rsidR="00644A77" w:rsidRPr="00644A77" w:rsidRDefault="00644A77" w:rsidP="00644A77">
            <w:pPr>
              <w:spacing w:after="0" w:line="240" w:lineRule="auto"/>
              <w:jc w:val="right"/>
              <w:rPr>
                <w:rFonts w:eastAsia="Times New Roman" w:cs="Calibri"/>
                <w:color w:val="000000"/>
                <w:sz w:val="20"/>
                <w:szCs w:val="20"/>
                <w:lang w:val="en-US"/>
              </w:rPr>
            </w:pPr>
            <w:r w:rsidRPr="00644A77">
              <w:rPr>
                <w:rFonts w:eastAsia="Times New Roman" w:cs="Calibri"/>
                <w:color w:val="000000"/>
                <w:sz w:val="20"/>
                <w:szCs w:val="20"/>
                <w:lang w:val="en-US"/>
              </w:rPr>
              <w:t>0,00</w:t>
            </w:r>
          </w:p>
        </w:tc>
        <w:tc>
          <w:tcPr>
            <w:tcW w:w="1210" w:type="dxa"/>
            <w:tcBorders>
              <w:top w:val="nil"/>
              <w:left w:val="nil"/>
              <w:bottom w:val="single" w:sz="4" w:space="0" w:color="auto"/>
              <w:right w:val="single" w:sz="4" w:space="0" w:color="auto"/>
            </w:tcBorders>
            <w:shd w:val="clear" w:color="auto" w:fill="auto"/>
            <w:noWrap/>
            <w:vAlign w:val="bottom"/>
            <w:hideMark/>
          </w:tcPr>
          <w:p w14:paraId="0129AE88" w14:textId="77777777" w:rsidR="00644A77" w:rsidRPr="00644A77" w:rsidRDefault="00644A77" w:rsidP="00644A77">
            <w:pPr>
              <w:spacing w:after="0" w:line="240" w:lineRule="auto"/>
              <w:jc w:val="right"/>
              <w:rPr>
                <w:rFonts w:eastAsia="Times New Roman" w:cs="Calibri"/>
                <w:color w:val="000000"/>
                <w:sz w:val="20"/>
                <w:szCs w:val="20"/>
                <w:lang w:val="en-US"/>
              </w:rPr>
            </w:pPr>
            <w:r w:rsidRPr="00644A77">
              <w:rPr>
                <w:rFonts w:eastAsia="Times New Roman" w:cs="Calibri"/>
                <w:color w:val="000000"/>
                <w:sz w:val="20"/>
                <w:szCs w:val="20"/>
                <w:lang w:val="en-US"/>
              </w:rPr>
              <w:t>181,50</w:t>
            </w:r>
          </w:p>
        </w:tc>
        <w:tc>
          <w:tcPr>
            <w:tcW w:w="1276" w:type="dxa"/>
            <w:tcBorders>
              <w:top w:val="nil"/>
              <w:left w:val="nil"/>
              <w:bottom w:val="single" w:sz="4" w:space="0" w:color="auto"/>
              <w:right w:val="single" w:sz="4" w:space="0" w:color="auto"/>
            </w:tcBorders>
            <w:shd w:val="clear" w:color="auto" w:fill="auto"/>
            <w:noWrap/>
            <w:vAlign w:val="center"/>
            <w:hideMark/>
          </w:tcPr>
          <w:p w14:paraId="37193F32" w14:textId="77777777" w:rsidR="00644A77" w:rsidRPr="00644A77" w:rsidRDefault="00644A77" w:rsidP="00644A77">
            <w:pPr>
              <w:spacing w:after="0" w:line="240" w:lineRule="auto"/>
              <w:jc w:val="right"/>
              <w:rPr>
                <w:rFonts w:eastAsia="Times New Roman" w:cs="Calibri"/>
                <w:sz w:val="20"/>
                <w:szCs w:val="20"/>
                <w:lang w:val="en-US"/>
              </w:rPr>
            </w:pPr>
            <w:r w:rsidRPr="00644A77">
              <w:rPr>
                <w:rFonts w:eastAsia="Times New Roman" w:cs="Calibri"/>
                <w:sz w:val="20"/>
                <w:szCs w:val="20"/>
                <w:lang w:val="en-US"/>
              </w:rPr>
              <w:t>-181,50</w:t>
            </w:r>
          </w:p>
        </w:tc>
        <w:tc>
          <w:tcPr>
            <w:tcW w:w="955" w:type="dxa"/>
            <w:tcBorders>
              <w:top w:val="nil"/>
              <w:left w:val="nil"/>
              <w:bottom w:val="single" w:sz="4" w:space="0" w:color="auto"/>
              <w:right w:val="single" w:sz="4" w:space="0" w:color="auto"/>
            </w:tcBorders>
            <w:shd w:val="clear" w:color="auto" w:fill="auto"/>
            <w:noWrap/>
            <w:vAlign w:val="center"/>
            <w:hideMark/>
          </w:tcPr>
          <w:p w14:paraId="5E9A25F3" w14:textId="77777777" w:rsidR="00644A77" w:rsidRPr="00644A77" w:rsidRDefault="00644A77" w:rsidP="00644A77">
            <w:pPr>
              <w:spacing w:after="0" w:line="240" w:lineRule="auto"/>
              <w:jc w:val="right"/>
              <w:rPr>
                <w:rFonts w:eastAsia="Times New Roman" w:cs="Calibri"/>
                <w:sz w:val="20"/>
                <w:szCs w:val="20"/>
                <w:lang w:val="en-US"/>
              </w:rPr>
            </w:pPr>
            <w:r w:rsidRPr="00644A77">
              <w:rPr>
                <w:rFonts w:eastAsia="Times New Roman" w:cs="Calibri"/>
                <w:sz w:val="20"/>
                <w:szCs w:val="20"/>
                <w:lang w:val="en-US"/>
              </w:rPr>
              <w:t>-100,00%</w:t>
            </w:r>
          </w:p>
        </w:tc>
      </w:tr>
      <w:tr w:rsidR="00644A77" w:rsidRPr="00644A77" w14:paraId="4F91D419" w14:textId="77777777" w:rsidTr="00644A77">
        <w:trPr>
          <w:trHeight w:val="300"/>
        </w:trPr>
        <w:tc>
          <w:tcPr>
            <w:tcW w:w="855" w:type="dxa"/>
            <w:tcBorders>
              <w:top w:val="single" w:sz="8" w:space="0" w:color="auto"/>
              <w:left w:val="single" w:sz="8" w:space="0" w:color="auto"/>
              <w:bottom w:val="single" w:sz="8" w:space="0" w:color="auto"/>
              <w:right w:val="nil"/>
            </w:tcBorders>
            <w:shd w:val="clear" w:color="auto" w:fill="auto"/>
            <w:noWrap/>
            <w:vAlign w:val="bottom"/>
            <w:hideMark/>
          </w:tcPr>
          <w:p w14:paraId="7BA92E98" w14:textId="77777777" w:rsidR="00644A77" w:rsidRPr="00644A77" w:rsidRDefault="00644A77" w:rsidP="00644A77">
            <w:pPr>
              <w:spacing w:after="0" w:line="240" w:lineRule="auto"/>
              <w:jc w:val="left"/>
              <w:rPr>
                <w:rFonts w:ascii="Calibri" w:eastAsia="Times New Roman" w:hAnsi="Calibri" w:cs="Calibri"/>
                <w:color w:val="000000"/>
                <w:sz w:val="22"/>
                <w:lang w:val="en-US"/>
              </w:rPr>
            </w:pPr>
            <w:r w:rsidRPr="00644A77">
              <w:rPr>
                <w:rFonts w:ascii="Calibri" w:eastAsia="Times New Roman" w:hAnsi="Calibri" w:cs="Calibri"/>
                <w:color w:val="000000"/>
                <w:sz w:val="22"/>
                <w:lang w:val="en-US"/>
              </w:rPr>
              <w:t> </w:t>
            </w:r>
          </w:p>
        </w:tc>
        <w:tc>
          <w:tcPr>
            <w:tcW w:w="3246" w:type="dxa"/>
            <w:tcBorders>
              <w:top w:val="single" w:sz="8" w:space="0" w:color="auto"/>
              <w:left w:val="nil"/>
              <w:bottom w:val="single" w:sz="8" w:space="0" w:color="auto"/>
              <w:right w:val="nil"/>
            </w:tcBorders>
            <w:shd w:val="clear" w:color="auto" w:fill="auto"/>
            <w:noWrap/>
            <w:vAlign w:val="bottom"/>
            <w:hideMark/>
          </w:tcPr>
          <w:p w14:paraId="246D6AEA" w14:textId="77777777" w:rsidR="00644A77" w:rsidRPr="00644A77" w:rsidRDefault="00644A77" w:rsidP="00644A77">
            <w:pPr>
              <w:spacing w:after="0" w:line="240" w:lineRule="auto"/>
              <w:jc w:val="center"/>
              <w:rPr>
                <w:rFonts w:eastAsia="Times New Roman" w:cs="Calibri"/>
                <w:b/>
                <w:bCs/>
                <w:color w:val="000000"/>
                <w:sz w:val="22"/>
                <w:lang w:val="en-US"/>
              </w:rPr>
            </w:pPr>
            <w:r w:rsidRPr="00644A77">
              <w:rPr>
                <w:rFonts w:eastAsia="Times New Roman" w:cs="Calibri"/>
                <w:b/>
                <w:bCs/>
                <w:color w:val="000000"/>
                <w:sz w:val="22"/>
                <w:lang w:val="en-US"/>
              </w:rPr>
              <w:t>TOTALES</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4AB69DA" w14:textId="77777777" w:rsidR="00644A77" w:rsidRPr="00644A77" w:rsidRDefault="00644A77" w:rsidP="00644A77">
            <w:pPr>
              <w:spacing w:after="0" w:line="240" w:lineRule="auto"/>
              <w:jc w:val="right"/>
              <w:rPr>
                <w:rFonts w:eastAsia="Times New Roman" w:cs="Calibri"/>
                <w:b/>
                <w:bCs/>
                <w:color w:val="000000"/>
                <w:sz w:val="20"/>
                <w:szCs w:val="20"/>
                <w:lang w:val="en-US"/>
              </w:rPr>
            </w:pPr>
            <w:r w:rsidRPr="00644A77">
              <w:rPr>
                <w:rFonts w:ascii="Arial" w:eastAsia="Times New Roman" w:hAnsi="Arial" w:cs="Arial"/>
                <w:b/>
                <w:bCs/>
                <w:color w:val="000000"/>
                <w:sz w:val="20"/>
                <w:szCs w:val="20"/>
                <w:lang w:val="en-US"/>
              </w:rPr>
              <w:t>₡</w:t>
            </w:r>
            <w:r w:rsidRPr="00644A77">
              <w:rPr>
                <w:rFonts w:eastAsia="Times New Roman" w:cs="Calibri"/>
                <w:b/>
                <w:bCs/>
                <w:color w:val="000000"/>
                <w:sz w:val="20"/>
                <w:szCs w:val="20"/>
                <w:lang w:val="en-US"/>
              </w:rPr>
              <w:t>251 050,92</w:t>
            </w:r>
          </w:p>
        </w:tc>
        <w:tc>
          <w:tcPr>
            <w:tcW w:w="1210" w:type="dxa"/>
            <w:tcBorders>
              <w:top w:val="single" w:sz="8" w:space="0" w:color="auto"/>
              <w:left w:val="nil"/>
              <w:bottom w:val="single" w:sz="8" w:space="0" w:color="auto"/>
              <w:right w:val="single" w:sz="8" w:space="0" w:color="auto"/>
            </w:tcBorders>
            <w:shd w:val="clear" w:color="auto" w:fill="auto"/>
            <w:noWrap/>
            <w:vAlign w:val="bottom"/>
            <w:hideMark/>
          </w:tcPr>
          <w:p w14:paraId="0F0897AE" w14:textId="77777777" w:rsidR="00644A77" w:rsidRPr="00644A77" w:rsidRDefault="00644A77" w:rsidP="00644A77">
            <w:pPr>
              <w:spacing w:after="0" w:line="240" w:lineRule="auto"/>
              <w:jc w:val="right"/>
              <w:rPr>
                <w:rFonts w:eastAsia="Times New Roman" w:cs="Calibri"/>
                <w:b/>
                <w:bCs/>
                <w:color w:val="000000"/>
                <w:sz w:val="20"/>
                <w:szCs w:val="20"/>
                <w:lang w:val="en-US"/>
              </w:rPr>
            </w:pPr>
            <w:r w:rsidRPr="00644A77">
              <w:rPr>
                <w:rFonts w:ascii="Arial" w:eastAsia="Times New Roman" w:hAnsi="Arial" w:cs="Arial"/>
                <w:b/>
                <w:bCs/>
                <w:color w:val="000000"/>
                <w:sz w:val="20"/>
                <w:szCs w:val="20"/>
                <w:lang w:val="en-US"/>
              </w:rPr>
              <w:t>₡</w:t>
            </w:r>
            <w:r w:rsidRPr="00644A77">
              <w:rPr>
                <w:rFonts w:eastAsia="Times New Roman" w:cs="Calibri"/>
                <w:b/>
                <w:bCs/>
                <w:color w:val="000000"/>
                <w:sz w:val="20"/>
                <w:szCs w:val="20"/>
                <w:lang w:val="en-US"/>
              </w:rPr>
              <w:t>573 033,20</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14:paraId="57AFACA0" w14:textId="77777777" w:rsidR="00644A77" w:rsidRPr="00644A77" w:rsidRDefault="00644A77" w:rsidP="00644A77">
            <w:pPr>
              <w:spacing w:after="0" w:line="240" w:lineRule="auto"/>
              <w:ind w:left="-93"/>
              <w:jc w:val="right"/>
              <w:rPr>
                <w:rFonts w:eastAsia="Times New Roman" w:cs="Calibri"/>
                <w:b/>
                <w:bCs/>
                <w:color w:val="000000"/>
                <w:sz w:val="20"/>
                <w:szCs w:val="20"/>
                <w:lang w:val="en-US"/>
              </w:rPr>
            </w:pPr>
            <w:r w:rsidRPr="00644A77">
              <w:rPr>
                <w:rFonts w:eastAsia="Times New Roman" w:cs="Calibri"/>
                <w:b/>
                <w:bCs/>
                <w:color w:val="000000"/>
                <w:sz w:val="20"/>
                <w:szCs w:val="20"/>
                <w:lang w:val="en-US"/>
              </w:rPr>
              <w:t>-</w:t>
            </w:r>
            <w:r w:rsidRPr="00644A77">
              <w:rPr>
                <w:rFonts w:ascii="Arial" w:eastAsia="Times New Roman" w:hAnsi="Arial" w:cs="Arial"/>
                <w:b/>
                <w:bCs/>
                <w:color w:val="000000"/>
                <w:sz w:val="20"/>
                <w:szCs w:val="20"/>
                <w:lang w:val="en-US"/>
              </w:rPr>
              <w:t>₡</w:t>
            </w:r>
            <w:r w:rsidRPr="00644A77">
              <w:rPr>
                <w:rFonts w:eastAsia="Times New Roman" w:cs="Calibri"/>
                <w:b/>
                <w:bCs/>
                <w:color w:val="000000"/>
                <w:sz w:val="20"/>
                <w:szCs w:val="20"/>
                <w:lang w:val="en-US"/>
              </w:rPr>
              <w:t>321 982,29</w:t>
            </w:r>
          </w:p>
        </w:tc>
        <w:tc>
          <w:tcPr>
            <w:tcW w:w="955"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97E5BBB" w14:textId="77777777" w:rsidR="00644A77" w:rsidRPr="00644A77" w:rsidRDefault="00644A77" w:rsidP="00644A77">
            <w:pPr>
              <w:spacing w:after="0" w:line="240" w:lineRule="auto"/>
              <w:jc w:val="right"/>
              <w:rPr>
                <w:rFonts w:eastAsia="Times New Roman" w:cs="Calibri"/>
                <w:b/>
                <w:bCs/>
                <w:sz w:val="20"/>
                <w:szCs w:val="20"/>
                <w:lang w:val="en-US"/>
              </w:rPr>
            </w:pPr>
            <w:r w:rsidRPr="00644A77">
              <w:rPr>
                <w:rFonts w:eastAsia="Times New Roman" w:cs="Calibri"/>
                <w:b/>
                <w:bCs/>
                <w:sz w:val="20"/>
                <w:szCs w:val="20"/>
                <w:lang w:val="en-US"/>
              </w:rPr>
              <w:t>-56,19%</w:t>
            </w:r>
          </w:p>
        </w:tc>
      </w:tr>
    </w:tbl>
    <w:p w14:paraId="305A0F2B" w14:textId="77777777" w:rsidR="00455690" w:rsidRDefault="00455690" w:rsidP="006148F0">
      <w:pPr>
        <w:rPr>
          <w:rFonts w:eastAsiaTheme="minorEastAsia" w:cs="Arial Narrow"/>
          <w:color w:val="000000"/>
          <w:lang w:eastAsia="es-CR"/>
        </w:rPr>
      </w:pPr>
    </w:p>
    <w:p w14:paraId="69F29A46" w14:textId="3BF7C01F" w:rsidR="00455690" w:rsidRDefault="00455690" w:rsidP="00455690">
      <w:pPr>
        <w:spacing w:after="120" w:line="240" w:lineRule="auto"/>
        <w:rPr>
          <w:rFonts w:eastAsiaTheme="minorEastAsia" w:cs="Arial Narrow"/>
          <w:color w:val="000000"/>
          <w:lang w:eastAsia="es-CR"/>
        </w:rPr>
      </w:pPr>
      <w:r w:rsidRPr="00B43583">
        <w:rPr>
          <w:rFonts w:eastAsiaTheme="minorEastAsia" w:cs="Arial Narrow"/>
          <w:color w:val="000000"/>
          <w:lang w:eastAsia="es-CR"/>
        </w:rPr>
        <w:t>Como se observa en el detalle</w:t>
      </w:r>
      <w:r>
        <w:rPr>
          <w:rFonts w:eastAsiaTheme="minorEastAsia" w:cs="Arial Narrow"/>
          <w:color w:val="000000"/>
          <w:lang w:eastAsia="es-CR"/>
        </w:rPr>
        <w:t xml:space="preserve"> anterior,</w:t>
      </w:r>
      <w:r w:rsidRPr="00B43583">
        <w:rPr>
          <w:rFonts w:eastAsiaTheme="minorEastAsia" w:cs="Arial Narrow"/>
          <w:color w:val="000000"/>
          <w:lang w:eastAsia="es-CR"/>
        </w:rPr>
        <w:t xml:space="preserve"> la </w:t>
      </w:r>
      <w:r>
        <w:rPr>
          <w:rFonts w:eastAsiaTheme="minorEastAsia" w:cs="Arial Narrow"/>
          <w:color w:val="000000"/>
          <w:lang w:eastAsia="es-CR"/>
        </w:rPr>
        <w:t>variación (disminución) de -</w:t>
      </w:r>
      <w:r w:rsidRPr="006B1D5B">
        <w:rPr>
          <w:rFonts w:ascii="Arial" w:eastAsiaTheme="minorEastAsia" w:hAnsi="Arial" w:cs="Arial"/>
          <w:color w:val="000000"/>
          <w:lang w:eastAsia="es-CR"/>
        </w:rPr>
        <w:t>₡</w:t>
      </w:r>
      <w:r w:rsidR="00644A77">
        <w:rPr>
          <w:rFonts w:eastAsiaTheme="minorEastAsia" w:cs="Arial Narrow"/>
          <w:color w:val="000000"/>
          <w:lang w:eastAsia="es-CR"/>
        </w:rPr>
        <w:t>321</w:t>
      </w:r>
      <w:r w:rsidRPr="006B1D5B">
        <w:rPr>
          <w:rFonts w:eastAsiaTheme="minorEastAsia" w:cs="Arial Narrow"/>
          <w:color w:val="000000"/>
          <w:lang w:eastAsia="es-CR"/>
        </w:rPr>
        <w:t> </w:t>
      </w:r>
      <w:r w:rsidR="00644A77">
        <w:rPr>
          <w:rFonts w:eastAsiaTheme="minorEastAsia" w:cs="Arial Narrow"/>
          <w:color w:val="000000"/>
          <w:lang w:eastAsia="es-CR"/>
        </w:rPr>
        <w:t>982</w:t>
      </w:r>
      <w:r w:rsidRPr="006B1D5B">
        <w:rPr>
          <w:rFonts w:eastAsiaTheme="minorEastAsia" w:cs="Arial Narrow"/>
          <w:color w:val="000000"/>
          <w:lang w:eastAsia="es-CR"/>
        </w:rPr>
        <w:t>,</w:t>
      </w:r>
      <w:r w:rsidR="00644A77">
        <w:rPr>
          <w:rFonts w:eastAsiaTheme="minorEastAsia" w:cs="Arial Narrow"/>
          <w:color w:val="000000"/>
          <w:lang w:eastAsia="es-CR"/>
        </w:rPr>
        <w:t>29</w:t>
      </w:r>
      <w:r w:rsidRPr="006B1D5B">
        <w:rPr>
          <w:rFonts w:eastAsiaTheme="minorEastAsia" w:cs="Arial Narrow"/>
          <w:color w:val="000000"/>
          <w:lang w:eastAsia="es-CR"/>
        </w:rPr>
        <w:t xml:space="preserve"> miles,</w:t>
      </w:r>
      <w:r w:rsidRPr="00B43583">
        <w:rPr>
          <w:rFonts w:eastAsiaTheme="minorEastAsia" w:cs="Arial Narrow"/>
          <w:color w:val="000000"/>
          <w:lang w:eastAsia="es-CR"/>
        </w:rPr>
        <w:t xml:space="preserve"> obedece</w:t>
      </w:r>
      <w:r>
        <w:rPr>
          <w:rFonts w:eastAsiaTheme="minorEastAsia" w:cs="Arial Narrow"/>
          <w:color w:val="000000"/>
          <w:lang w:eastAsia="es-CR"/>
        </w:rPr>
        <w:t xml:space="preserve"> fundamentalmente</w:t>
      </w:r>
      <w:r w:rsidRPr="00B43583">
        <w:rPr>
          <w:rFonts w:eastAsiaTheme="minorEastAsia" w:cs="Arial Narrow"/>
          <w:color w:val="000000"/>
          <w:lang w:eastAsia="es-CR"/>
        </w:rPr>
        <w:t xml:space="preserve"> a l</w:t>
      </w:r>
      <w:r>
        <w:rPr>
          <w:rFonts w:eastAsiaTheme="minorEastAsia" w:cs="Arial Narrow"/>
          <w:color w:val="000000"/>
          <w:lang w:eastAsia="es-CR"/>
        </w:rPr>
        <w:t>a</w:t>
      </w:r>
      <w:r w:rsidRPr="00B43583">
        <w:rPr>
          <w:rFonts w:eastAsiaTheme="minorEastAsia" w:cs="Arial Narrow"/>
          <w:color w:val="000000"/>
          <w:lang w:eastAsia="es-CR"/>
        </w:rPr>
        <w:t xml:space="preserve"> disminución de </w:t>
      </w:r>
      <w:r>
        <w:rPr>
          <w:rFonts w:eastAsiaTheme="minorEastAsia" w:cs="Arial Narrow"/>
          <w:color w:val="000000"/>
          <w:lang w:eastAsia="es-CR"/>
        </w:rPr>
        <w:t>-</w:t>
      </w:r>
      <w:r w:rsidRPr="00934F7F">
        <w:rPr>
          <w:rFonts w:ascii="Arial" w:eastAsiaTheme="minorEastAsia" w:hAnsi="Arial" w:cs="Arial"/>
          <w:color w:val="000000"/>
          <w:lang w:eastAsia="es-CR"/>
        </w:rPr>
        <w:t>₡</w:t>
      </w:r>
      <w:r w:rsidR="00644A77">
        <w:rPr>
          <w:rFonts w:eastAsiaTheme="minorEastAsia" w:cs="Arial Narrow"/>
          <w:color w:val="000000"/>
          <w:lang w:eastAsia="es-CR"/>
        </w:rPr>
        <w:t>3</w:t>
      </w:r>
      <w:r>
        <w:rPr>
          <w:rFonts w:eastAsiaTheme="minorEastAsia" w:cs="Arial Narrow"/>
          <w:color w:val="000000"/>
          <w:lang w:eastAsia="es-CR"/>
        </w:rPr>
        <w:t>0</w:t>
      </w:r>
      <w:r w:rsidR="00644A77">
        <w:rPr>
          <w:rFonts w:eastAsiaTheme="minorEastAsia" w:cs="Arial Narrow"/>
          <w:color w:val="000000"/>
          <w:lang w:eastAsia="es-CR"/>
        </w:rPr>
        <w:t>4</w:t>
      </w:r>
      <w:r w:rsidRPr="007E4250">
        <w:rPr>
          <w:rFonts w:eastAsiaTheme="minorEastAsia" w:cs="Arial Narrow"/>
          <w:color w:val="000000"/>
          <w:lang w:eastAsia="es-CR"/>
        </w:rPr>
        <w:t> </w:t>
      </w:r>
      <w:r w:rsidR="00644A77">
        <w:rPr>
          <w:rFonts w:eastAsiaTheme="minorEastAsia" w:cs="Arial Narrow"/>
          <w:color w:val="000000"/>
          <w:lang w:eastAsia="es-CR"/>
        </w:rPr>
        <w:t>502</w:t>
      </w:r>
      <w:r w:rsidRPr="007E4250">
        <w:rPr>
          <w:rFonts w:eastAsiaTheme="minorEastAsia" w:cs="Arial Narrow"/>
          <w:color w:val="000000"/>
          <w:lang w:eastAsia="es-CR"/>
        </w:rPr>
        <w:t>,</w:t>
      </w:r>
      <w:r w:rsidR="00644A77">
        <w:rPr>
          <w:rFonts w:eastAsiaTheme="minorEastAsia" w:cs="Arial Narrow"/>
          <w:color w:val="000000"/>
          <w:lang w:eastAsia="es-CR"/>
        </w:rPr>
        <w:t>41</w:t>
      </w:r>
      <w:r w:rsidRPr="00934F7F">
        <w:rPr>
          <w:rFonts w:eastAsiaTheme="minorEastAsia" w:cs="Arial Narrow"/>
          <w:color w:val="000000"/>
          <w:lang w:eastAsia="es-CR"/>
        </w:rPr>
        <w:t xml:space="preserve"> </w:t>
      </w:r>
      <w:r w:rsidRPr="00B43583">
        <w:rPr>
          <w:rFonts w:eastAsiaTheme="minorEastAsia" w:cs="Arial Narrow"/>
          <w:color w:val="000000"/>
          <w:lang w:eastAsia="es-CR"/>
        </w:rPr>
        <w:t>miles en las “Deudas Comerciales a Corto Plazo”</w:t>
      </w:r>
      <w:r>
        <w:rPr>
          <w:rFonts w:eastAsiaTheme="minorEastAsia" w:cs="Arial Narrow"/>
          <w:color w:val="000000"/>
          <w:lang w:eastAsia="es-CR"/>
        </w:rPr>
        <w:t>, de</w:t>
      </w:r>
      <w:r w:rsidRPr="00934F7F">
        <w:rPr>
          <w:rFonts w:eastAsiaTheme="minorEastAsia" w:cs="Arial Narrow"/>
          <w:color w:val="000000"/>
          <w:lang w:eastAsia="es-CR"/>
        </w:rPr>
        <w:t xml:space="preserve"> -</w:t>
      </w:r>
      <w:r w:rsidRPr="00934F7F">
        <w:rPr>
          <w:rFonts w:ascii="Arial" w:eastAsiaTheme="minorEastAsia" w:hAnsi="Arial" w:cs="Arial"/>
          <w:color w:val="000000"/>
          <w:lang w:eastAsia="es-CR"/>
        </w:rPr>
        <w:t>₡</w:t>
      </w:r>
      <w:r w:rsidR="00644A77">
        <w:rPr>
          <w:rFonts w:eastAsiaTheme="minorEastAsia" w:cs="Arial Narrow"/>
          <w:color w:val="000000"/>
          <w:lang w:eastAsia="es-CR"/>
        </w:rPr>
        <w:t>20</w:t>
      </w:r>
      <w:r>
        <w:rPr>
          <w:rFonts w:eastAsiaTheme="minorEastAsia" w:cs="Arial Narrow"/>
          <w:color w:val="000000"/>
          <w:lang w:eastAsia="es-CR"/>
        </w:rPr>
        <w:t> 5</w:t>
      </w:r>
      <w:r w:rsidR="00644A77">
        <w:rPr>
          <w:rFonts w:eastAsiaTheme="minorEastAsia" w:cs="Arial Narrow"/>
          <w:color w:val="000000"/>
          <w:lang w:eastAsia="es-CR"/>
        </w:rPr>
        <w:t>12</w:t>
      </w:r>
      <w:r>
        <w:rPr>
          <w:rFonts w:eastAsiaTheme="minorEastAsia" w:cs="Arial Narrow"/>
          <w:color w:val="000000"/>
          <w:lang w:eastAsia="es-CR"/>
        </w:rPr>
        <w:t>,</w:t>
      </w:r>
      <w:r w:rsidR="00644A77">
        <w:rPr>
          <w:rFonts w:eastAsiaTheme="minorEastAsia" w:cs="Arial Narrow"/>
          <w:color w:val="000000"/>
          <w:lang w:eastAsia="es-CR"/>
        </w:rPr>
        <w:t>17</w:t>
      </w:r>
      <w:r w:rsidRPr="00B43583">
        <w:rPr>
          <w:rFonts w:eastAsiaTheme="minorEastAsia" w:cs="Arial Narrow"/>
          <w:color w:val="000000"/>
          <w:lang w:eastAsia="es-CR"/>
        </w:rPr>
        <w:t xml:space="preserve"> miles en las subcuentas “Deudas sociales y fiscales a corto plazo” y </w:t>
      </w:r>
      <w:r>
        <w:rPr>
          <w:rFonts w:eastAsiaTheme="minorEastAsia" w:cs="Arial Narrow"/>
          <w:color w:val="000000"/>
          <w:lang w:eastAsia="es-CR"/>
        </w:rPr>
        <w:t xml:space="preserve">el aumento </w:t>
      </w:r>
      <w:r w:rsidRPr="00B43583">
        <w:rPr>
          <w:rFonts w:eastAsiaTheme="minorEastAsia" w:cs="Arial Narrow"/>
          <w:color w:val="000000"/>
          <w:lang w:eastAsia="es-CR"/>
        </w:rPr>
        <w:t xml:space="preserve">de </w:t>
      </w:r>
      <w:r w:rsidRPr="006B1D5B">
        <w:rPr>
          <w:rFonts w:ascii="Arial" w:eastAsiaTheme="minorEastAsia" w:hAnsi="Arial" w:cs="Arial"/>
          <w:color w:val="000000"/>
          <w:lang w:eastAsia="es-CR"/>
        </w:rPr>
        <w:t>₡</w:t>
      </w:r>
      <w:r w:rsidR="00644A77">
        <w:rPr>
          <w:rFonts w:eastAsiaTheme="minorEastAsia" w:cs="Arial Narrow"/>
          <w:color w:val="000000"/>
          <w:lang w:eastAsia="es-CR"/>
        </w:rPr>
        <w:t>3</w:t>
      </w:r>
      <w:r>
        <w:rPr>
          <w:rFonts w:eastAsiaTheme="minorEastAsia" w:cs="Arial Narrow"/>
          <w:color w:val="000000"/>
          <w:lang w:eastAsia="es-CR"/>
        </w:rPr>
        <w:t xml:space="preserve"> </w:t>
      </w:r>
      <w:r w:rsidR="00644A77">
        <w:rPr>
          <w:rFonts w:eastAsiaTheme="minorEastAsia" w:cs="Arial Narrow"/>
          <w:color w:val="000000"/>
          <w:lang w:eastAsia="es-CR"/>
        </w:rPr>
        <w:t>213</w:t>
      </w:r>
      <w:r w:rsidRPr="006B1D5B">
        <w:rPr>
          <w:rFonts w:eastAsiaTheme="minorEastAsia" w:cs="Arial Narrow"/>
          <w:color w:val="000000"/>
          <w:lang w:eastAsia="es-CR"/>
        </w:rPr>
        <w:t>,</w:t>
      </w:r>
      <w:r w:rsidR="00644A77">
        <w:rPr>
          <w:rFonts w:eastAsiaTheme="minorEastAsia" w:cs="Arial Narrow"/>
          <w:color w:val="000000"/>
          <w:lang w:eastAsia="es-CR"/>
        </w:rPr>
        <w:t>79</w:t>
      </w:r>
      <w:r w:rsidRPr="00B43583">
        <w:rPr>
          <w:rFonts w:eastAsiaTheme="minorEastAsia" w:cs="Arial Narrow"/>
          <w:color w:val="000000"/>
          <w:lang w:eastAsia="es-CR"/>
        </w:rPr>
        <w:t xml:space="preserve"> miles en las “Transferencias a pagar a corto plazo.</w:t>
      </w:r>
    </w:p>
    <w:p w14:paraId="1B155D0D" w14:textId="77777777" w:rsidR="00455690" w:rsidRDefault="00455690" w:rsidP="00644A77">
      <w:pPr>
        <w:spacing w:after="0" w:line="240" w:lineRule="auto"/>
        <w:rPr>
          <w:rFonts w:eastAsiaTheme="minorEastAsia" w:cs="Arial Narrow"/>
          <w:color w:val="000000"/>
          <w:lang w:eastAsia="es-CR"/>
        </w:rPr>
      </w:pPr>
    </w:p>
    <w:p w14:paraId="1D9F8B99" w14:textId="77777777" w:rsidR="00455690" w:rsidRPr="00B43583" w:rsidRDefault="00455690" w:rsidP="00455690">
      <w:pPr>
        <w:rPr>
          <w:b/>
          <w:bCs/>
        </w:rPr>
      </w:pPr>
      <w:r w:rsidRPr="00B43583">
        <w:rPr>
          <w:b/>
          <w:bCs/>
        </w:rPr>
        <w:t>Detalle</w:t>
      </w:r>
    </w:p>
    <w:p w14:paraId="0567477B" w14:textId="77777777" w:rsidR="00455690" w:rsidRDefault="00455690" w:rsidP="00455690">
      <w:pPr>
        <w:rPr>
          <w:rFonts w:eastAsiaTheme="minorEastAsia" w:cs="Arial Narrow"/>
          <w:color w:val="000000"/>
          <w:lang w:eastAsia="es-CR"/>
        </w:rPr>
      </w:pPr>
      <w:r w:rsidRPr="00B43583">
        <w:rPr>
          <w:rFonts w:eastAsiaTheme="minorEastAsia" w:cs="Arial Narrow"/>
          <w:color w:val="000000"/>
          <w:lang w:eastAsia="es-CR"/>
        </w:rPr>
        <w:t xml:space="preserve"> El detalle de las variaciones que presentan dichas cuentas se muestra a continuación:</w:t>
      </w:r>
    </w:p>
    <w:tbl>
      <w:tblPr>
        <w:tblW w:w="5103" w:type="dxa"/>
        <w:tblInd w:w="-10" w:type="dxa"/>
        <w:tblCellMar>
          <w:left w:w="70" w:type="dxa"/>
          <w:right w:w="70" w:type="dxa"/>
        </w:tblCellMar>
        <w:tblLook w:val="04A0" w:firstRow="1" w:lastRow="0" w:firstColumn="1" w:lastColumn="0" w:noHBand="0" w:noVBand="1"/>
      </w:tblPr>
      <w:tblGrid>
        <w:gridCol w:w="1240"/>
        <w:gridCol w:w="3863"/>
      </w:tblGrid>
      <w:tr w:rsidR="00455690" w:rsidRPr="00A91674" w14:paraId="3BF5CEC4" w14:textId="77777777" w:rsidTr="004653E2">
        <w:trPr>
          <w:trHeight w:val="288"/>
        </w:trPr>
        <w:tc>
          <w:tcPr>
            <w:tcW w:w="1240" w:type="dxa"/>
            <w:tcBorders>
              <w:top w:val="single" w:sz="8" w:space="0" w:color="auto"/>
              <w:left w:val="single" w:sz="8" w:space="0" w:color="auto"/>
              <w:bottom w:val="nil"/>
              <w:right w:val="single" w:sz="8" w:space="0" w:color="auto"/>
            </w:tcBorders>
            <w:shd w:val="clear" w:color="000000" w:fill="366092"/>
            <w:noWrap/>
            <w:vAlign w:val="center"/>
            <w:hideMark/>
          </w:tcPr>
          <w:p w14:paraId="0D3A7530" w14:textId="77777777" w:rsidR="00455690" w:rsidRPr="00A91674" w:rsidRDefault="00455690" w:rsidP="004653E2">
            <w:pPr>
              <w:rPr>
                <w:rFonts w:cs="Calibri"/>
                <w:b/>
                <w:bCs/>
                <w:color w:val="FFFFFF"/>
                <w:sz w:val="18"/>
                <w:szCs w:val="18"/>
                <w:lang w:eastAsia="es-CR"/>
              </w:rPr>
            </w:pPr>
            <w:r w:rsidRPr="00A91674">
              <w:rPr>
                <w:rFonts w:cs="Calibri"/>
                <w:b/>
                <w:bCs/>
                <w:color w:val="FFFFFF"/>
                <w:sz w:val="18"/>
                <w:szCs w:val="18"/>
                <w:lang w:eastAsia="es-CR"/>
              </w:rPr>
              <w:t xml:space="preserve">Cuenta </w:t>
            </w:r>
          </w:p>
        </w:tc>
        <w:tc>
          <w:tcPr>
            <w:tcW w:w="3863" w:type="dxa"/>
            <w:tcBorders>
              <w:top w:val="single" w:sz="8" w:space="0" w:color="auto"/>
              <w:left w:val="nil"/>
              <w:bottom w:val="nil"/>
              <w:right w:val="single" w:sz="8" w:space="0" w:color="auto"/>
            </w:tcBorders>
            <w:shd w:val="clear" w:color="000000" w:fill="366092"/>
            <w:vAlign w:val="center"/>
            <w:hideMark/>
          </w:tcPr>
          <w:p w14:paraId="16AE68C3" w14:textId="77777777" w:rsidR="00455690" w:rsidRPr="00A91674" w:rsidRDefault="00455690" w:rsidP="004653E2">
            <w:pPr>
              <w:jc w:val="center"/>
              <w:rPr>
                <w:rFonts w:cs="Calibri"/>
                <w:b/>
                <w:bCs/>
                <w:color w:val="FFFFFF"/>
                <w:sz w:val="18"/>
                <w:szCs w:val="18"/>
                <w:lang w:eastAsia="es-CR"/>
              </w:rPr>
            </w:pPr>
            <w:r w:rsidRPr="00A91674">
              <w:rPr>
                <w:rFonts w:cs="Calibri"/>
                <w:b/>
                <w:bCs/>
                <w:color w:val="FFFFFF"/>
                <w:sz w:val="18"/>
                <w:szCs w:val="18"/>
                <w:lang w:eastAsia="es-CR"/>
              </w:rPr>
              <w:t xml:space="preserve">Descripción </w:t>
            </w:r>
          </w:p>
        </w:tc>
      </w:tr>
      <w:tr w:rsidR="00455690" w:rsidRPr="00C20218" w14:paraId="6DD6A0C2" w14:textId="77777777" w:rsidTr="004653E2">
        <w:trPr>
          <w:trHeight w:val="356"/>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600A0B72" w14:textId="77777777" w:rsidR="00455690" w:rsidRPr="00A91674" w:rsidRDefault="00455690" w:rsidP="00294645">
            <w:pPr>
              <w:spacing w:after="0" w:line="240" w:lineRule="auto"/>
              <w:rPr>
                <w:rFonts w:cs="Calibri"/>
                <w:b/>
                <w:bCs/>
                <w:color w:val="000000"/>
                <w:sz w:val="18"/>
                <w:szCs w:val="18"/>
                <w:lang w:eastAsia="es-CR"/>
              </w:rPr>
            </w:pPr>
            <w:r w:rsidRPr="00B529C6">
              <w:rPr>
                <w:rFonts w:cs="Calibri"/>
                <w:b/>
                <w:bCs/>
                <w:color w:val="000000"/>
                <w:sz w:val="18"/>
                <w:szCs w:val="18"/>
                <w:lang w:eastAsia="es-CR"/>
              </w:rPr>
              <w:t>2.1.1.01.</w:t>
            </w:r>
          </w:p>
        </w:tc>
        <w:tc>
          <w:tcPr>
            <w:tcW w:w="3863" w:type="dxa"/>
            <w:tcBorders>
              <w:top w:val="nil"/>
              <w:left w:val="nil"/>
              <w:bottom w:val="single" w:sz="8" w:space="0" w:color="auto"/>
              <w:right w:val="single" w:sz="8" w:space="0" w:color="auto"/>
            </w:tcBorders>
            <w:shd w:val="clear" w:color="auto" w:fill="auto"/>
            <w:vAlign w:val="center"/>
            <w:hideMark/>
          </w:tcPr>
          <w:p w14:paraId="7C65F0DF" w14:textId="77777777" w:rsidR="00455690" w:rsidRPr="00A91674" w:rsidRDefault="00455690" w:rsidP="00294645">
            <w:pPr>
              <w:spacing w:after="0" w:line="240" w:lineRule="auto"/>
              <w:rPr>
                <w:rFonts w:cs="Calibri"/>
                <w:b/>
                <w:bCs/>
                <w:color w:val="000000"/>
                <w:sz w:val="18"/>
                <w:szCs w:val="18"/>
                <w:lang w:eastAsia="es-CR"/>
              </w:rPr>
            </w:pPr>
            <w:r>
              <w:rPr>
                <w:rFonts w:cs="Calibri"/>
                <w:b/>
                <w:bCs/>
                <w:color w:val="000000"/>
                <w:sz w:val="18"/>
                <w:szCs w:val="18"/>
                <w:lang w:eastAsia="es-CR"/>
              </w:rPr>
              <w:t>Deudas comerciales a corto plazo</w:t>
            </w:r>
          </w:p>
        </w:tc>
      </w:tr>
    </w:tbl>
    <w:p w14:paraId="5DE21528" w14:textId="77777777" w:rsidR="00455690" w:rsidRDefault="00455690" w:rsidP="00455690">
      <w:pPr>
        <w:rPr>
          <w:rFonts w:eastAsiaTheme="minorEastAsia" w:cs="Arial Narrow"/>
          <w:color w:val="000000"/>
          <w:lang w:eastAsia="es-CR"/>
        </w:rPr>
      </w:pPr>
    </w:p>
    <w:tbl>
      <w:tblPr>
        <w:tblW w:w="8825" w:type="dxa"/>
        <w:tblLook w:val="04A0" w:firstRow="1" w:lastRow="0" w:firstColumn="1" w:lastColumn="0" w:noHBand="0" w:noVBand="1"/>
      </w:tblPr>
      <w:tblGrid>
        <w:gridCol w:w="1266"/>
        <w:gridCol w:w="3340"/>
        <w:gridCol w:w="1014"/>
        <w:gridCol w:w="1090"/>
        <w:gridCol w:w="1160"/>
        <w:gridCol w:w="955"/>
      </w:tblGrid>
      <w:tr w:rsidR="003C740F" w:rsidRPr="003C740F" w14:paraId="3E4B7B32" w14:textId="77777777" w:rsidTr="003C740F">
        <w:trPr>
          <w:trHeight w:val="530"/>
        </w:trPr>
        <w:tc>
          <w:tcPr>
            <w:tcW w:w="1266" w:type="dxa"/>
            <w:tcBorders>
              <w:top w:val="single" w:sz="8" w:space="0" w:color="auto"/>
              <w:left w:val="single" w:sz="8" w:space="0" w:color="auto"/>
              <w:bottom w:val="nil"/>
              <w:right w:val="single" w:sz="12" w:space="0" w:color="auto"/>
            </w:tcBorders>
            <w:shd w:val="clear" w:color="000000" w:fill="002060"/>
            <w:noWrap/>
            <w:vAlign w:val="center"/>
            <w:hideMark/>
          </w:tcPr>
          <w:p w14:paraId="78585B13" w14:textId="77777777" w:rsidR="003C740F" w:rsidRPr="003C740F" w:rsidRDefault="003C740F" w:rsidP="003C740F">
            <w:pPr>
              <w:spacing w:after="0" w:line="240" w:lineRule="auto"/>
              <w:jc w:val="center"/>
              <w:rPr>
                <w:rFonts w:eastAsia="Times New Roman" w:cs="Calibri"/>
                <w:b/>
                <w:bCs/>
                <w:color w:val="FFFFFF"/>
                <w:sz w:val="20"/>
                <w:szCs w:val="20"/>
                <w:lang w:val="en-US"/>
              </w:rPr>
            </w:pPr>
            <w:r w:rsidRPr="003C740F">
              <w:rPr>
                <w:rFonts w:eastAsia="Times New Roman" w:cs="Calibri"/>
                <w:b/>
                <w:bCs/>
                <w:color w:val="FFFFFF"/>
                <w:sz w:val="20"/>
                <w:szCs w:val="20"/>
                <w:lang w:val="en-US"/>
              </w:rPr>
              <w:t>Cuenta</w:t>
            </w:r>
          </w:p>
        </w:tc>
        <w:tc>
          <w:tcPr>
            <w:tcW w:w="3340" w:type="dxa"/>
            <w:tcBorders>
              <w:top w:val="single" w:sz="8" w:space="0" w:color="auto"/>
              <w:left w:val="nil"/>
              <w:bottom w:val="nil"/>
              <w:right w:val="single" w:sz="12" w:space="0" w:color="auto"/>
            </w:tcBorders>
            <w:shd w:val="clear" w:color="000000" w:fill="002060"/>
            <w:noWrap/>
            <w:vAlign w:val="center"/>
            <w:hideMark/>
          </w:tcPr>
          <w:p w14:paraId="70AACEC7" w14:textId="77777777" w:rsidR="003C740F" w:rsidRPr="003C740F" w:rsidRDefault="003C740F" w:rsidP="003C740F">
            <w:pPr>
              <w:spacing w:after="0" w:line="240" w:lineRule="auto"/>
              <w:jc w:val="center"/>
              <w:rPr>
                <w:rFonts w:eastAsia="Times New Roman" w:cs="Calibri"/>
                <w:b/>
                <w:bCs/>
                <w:color w:val="FFFFFF"/>
                <w:sz w:val="20"/>
                <w:szCs w:val="20"/>
                <w:lang w:val="en-US"/>
              </w:rPr>
            </w:pPr>
            <w:r w:rsidRPr="003C740F">
              <w:rPr>
                <w:rFonts w:eastAsia="Times New Roman" w:cs="Calibri"/>
                <w:b/>
                <w:bCs/>
                <w:color w:val="FFFFFF"/>
                <w:sz w:val="20"/>
                <w:szCs w:val="20"/>
                <w:lang w:val="en-US"/>
              </w:rPr>
              <w:t>Descripción</w:t>
            </w:r>
          </w:p>
        </w:tc>
        <w:tc>
          <w:tcPr>
            <w:tcW w:w="1014" w:type="dxa"/>
            <w:tcBorders>
              <w:top w:val="single" w:sz="8" w:space="0" w:color="auto"/>
              <w:left w:val="nil"/>
              <w:bottom w:val="nil"/>
              <w:right w:val="single" w:sz="12" w:space="0" w:color="auto"/>
            </w:tcBorders>
            <w:shd w:val="clear" w:color="000000" w:fill="002060"/>
            <w:vAlign w:val="center"/>
            <w:hideMark/>
          </w:tcPr>
          <w:p w14:paraId="63CB9144" w14:textId="77777777" w:rsidR="003C740F" w:rsidRPr="003C740F" w:rsidRDefault="003C740F" w:rsidP="003C740F">
            <w:pPr>
              <w:spacing w:after="0" w:line="240" w:lineRule="auto"/>
              <w:jc w:val="center"/>
              <w:rPr>
                <w:rFonts w:eastAsia="Times New Roman" w:cs="Calibri"/>
                <w:b/>
                <w:bCs/>
                <w:color w:val="FFFFFF"/>
                <w:sz w:val="20"/>
                <w:szCs w:val="20"/>
                <w:lang w:val="en-US"/>
              </w:rPr>
            </w:pPr>
            <w:r w:rsidRPr="003C740F">
              <w:rPr>
                <w:rFonts w:eastAsia="Times New Roman" w:cs="Calibri"/>
                <w:b/>
                <w:bCs/>
                <w:color w:val="FFFFFF"/>
                <w:sz w:val="20"/>
                <w:szCs w:val="20"/>
                <w:lang w:val="en-US"/>
              </w:rPr>
              <w:t>Saldo Año Actual</w:t>
            </w:r>
          </w:p>
        </w:tc>
        <w:tc>
          <w:tcPr>
            <w:tcW w:w="1090" w:type="dxa"/>
            <w:tcBorders>
              <w:top w:val="single" w:sz="8" w:space="0" w:color="auto"/>
              <w:left w:val="nil"/>
              <w:bottom w:val="nil"/>
              <w:right w:val="single" w:sz="12" w:space="0" w:color="auto"/>
            </w:tcBorders>
            <w:shd w:val="clear" w:color="000000" w:fill="002060"/>
            <w:vAlign w:val="center"/>
            <w:hideMark/>
          </w:tcPr>
          <w:p w14:paraId="1390C9FA" w14:textId="77777777" w:rsidR="003C740F" w:rsidRPr="003C740F" w:rsidRDefault="003C740F" w:rsidP="003C740F">
            <w:pPr>
              <w:spacing w:after="0" w:line="240" w:lineRule="auto"/>
              <w:jc w:val="center"/>
              <w:rPr>
                <w:rFonts w:eastAsia="Times New Roman" w:cs="Calibri"/>
                <w:b/>
                <w:bCs/>
                <w:color w:val="FFFFFF"/>
                <w:sz w:val="20"/>
                <w:szCs w:val="20"/>
                <w:lang w:val="en-US"/>
              </w:rPr>
            </w:pPr>
            <w:r w:rsidRPr="003C740F">
              <w:rPr>
                <w:rFonts w:eastAsia="Times New Roman" w:cs="Calibri"/>
                <w:b/>
                <w:bCs/>
                <w:color w:val="FFFFFF"/>
                <w:sz w:val="20"/>
                <w:szCs w:val="20"/>
                <w:lang w:val="en-US"/>
              </w:rPr>
              <w:t>Saldo Año Anterior</w:t>
            </w:r>
          </w:p>
        </w:tc>
        <w:tc>
          <w:tcPr>
            <w:tcW w:w="1160" w:type="dxa"/>
            <w:tcBorders>
              <w:top w:val="single" w:sz="8" w:space="0" w:color="auto"/>
              <w:left w:val="nil"/>
              <w:bottom w:val="nil"/>
              <w:right w:val="single" w:sz="12" w:space="0" w:color="auto"/>
            </w:tcBorders>
            <w:shd w:val="clear" w:color="000000" w:fill="002060"/>
            <w:vAlign w:val="center"/>
            <w:hideMark/>
          </w:tcPr>
          <w:p w14:paraId="34A1415B" w14:textId="77777777" w:rsidR="003C740F" w:rsidRPr="003C740F" w:rsidRDefault="003C740F" w:rsidP="003C740F">
            <w:pPr>
              <w:spacing w:after="0" w:line="240" w:lineRule="auto"/>
              <w:jc w:val="center"/>
              <w:rPr>
                <w:rFonts w:eastAsia="Times New Roman" w:cs="Calibri"/>
                <w:b/>
                <w:bCs/>
                <w:color w:val="FFFFFF"/>
                <w:sz w:val="20"/>
                <w:szCs w:val="20"/>
                <w:lang w:val="en-US"/>
              </w:rPr>
            </w:pPr>
            <w:r w:rsidRPr="003C740F">
              <w:rPr>
                <w:rFonts w:eastAsia="Times New Roman" w:cs="Calibri"/>
                <w:b/>
                <w:bCs/>
                <w:color w:val="FFFFFF"/>
                <w:sz w:val="20"/>
                <w:szCs w:val="20"/>
                <w:lang w:val="en-US"/>
              </w:rPr>
              <w:t>Variación Absoluta</w:t>
            </w:r>
          </w:p>
        </w:tc>
        <w:tc>
          <w:tcPr>
            <w:tcW w:w="955" w:type="dxa"/>
            <w:tcBorders>
              <w:top w:val="single" w:sz="8" w:space="0" w:color="auto"/>
              <w:left w:val="nil"/>
              <w:bottom w:val="nil"/>
              <w:right w:val="single" w:sz="8" w:space="0" w:color="auto"/>
            </w:tcBorders>
            <w:shd w:val="clear" w:color="000000" w:fill="002060"/>
            <w:vAlign w:val="center"/>
            <w:hideMark/>
          </w:tcPr>
          <w:p w14:paraId="2955091E" w14:textId="77777777" w:rsidR="003C740F" w:rsidRPr="003C740F" w:rsidRDefault="003C740F" w:rsidP="003C740F">
            <w:pPr>
              <w:spacing w:after="0" w:line="240" w:lineRule="auto"/>
              <w:jc w:val="center"/>
              <w:rPr>
                <w:rFonts w:eastAsia="Times New Roman" w:cs="Calibri"/>
                <w:b/>
                <w:bCs/>
                <w:color w:val="FFFFFF"/>
                <w:sz w:val="20"/>
                <w:szCs w:val="20"/>
                <w:lang w:val="en-US"/>
              </w:rPr>
            </w:pPr>
            <w:r w:rsidRPr="003C740F">
              <w:rPr>
                <w:rFonts w:eastAsia="Times New Roman" w:cs="Calibri"/>
                <w:b/>
                <w:bCs/>
                <w:color w:val="FFFFFF"/>
                <w:sz w:val="20"/>
                <w:szCs w:val="20"/>
                <w:lang w:val="en-US"/>
              </w:rPr>
              <w:t>Variación %</w:t>
            </w:r>
          </w:p>
        </w:tc>
      </w:tr>
      <w:tr w:rsidR="003C740F" w:rsidRPr="003C740F" w14:paraId="44170B5C" w14:textId="77777777" w:rsidTr="003C740F">
        <w:trPr>
          <w:trHeight w:val="290"/>
        </w:trPr>
        <w:tc>
          <w:tcPr>
            <w:tcW w:w="1266" w:type="dxa"/>
            <w:tcBorders>
              <w:top w:val="single" w:sz="8" w:space="0" w:color="auto"/>
              <w:left w:val="single" w:sz="8" w:space="0" w:color="auto"/>
              <w:bottom w:val="nil"/>
              <w:right w:val="single" w:sz="8" w:space="0" w:color="auto"/>
            </w:tcBorders>
            <w:shd w:val="clear" w:color="auto" w:fill="auto"/>
            <w:noWrap/>
            <w:vAlign w:val="bottom"/>
            <w:hideMark/>
          </w:tcPr>
          <w:p w14:paraId="70C208F3" w14:textId="6355C2A1" w:rsidR="003C740F" w:rsidRPr="003C740F" w:rsidRDefault="003C740F" w:rsidP="003C740F">
            <w:pPr>
              <w:spacing w:after="0" w:line="240" w:lineRule="auto"/>
              <w:jc w:val="left"/>
              <w:rPr>
                <w:rFonts w:eastAsia="Times New Roman" w:cs="Calibri"/>
                <w:color w:val="000000"/>
                <w:sz w:val="20"/>
                <w:szCs w:val="20"/>
                <w:lang w:val="en-US"/>
              </w:rPr>
            </w:pPr>
            <w:r w:rsidRPr="003C740F">
              <w:rPr>
                <w:rFonts w:eastAsia="Times New Roman" w:cs="Calibri"/>
                <w:color w:val="000000"/>
                <w:sz w:val="20"/>
                <w:szCs w:val="20"/>
                <w:lang w:val="en-US"/>
              </w:rPr>
              <w:t>2.1.1.01</w:t>
            </w:r>
          </w:p>
        </w:tc>
        <w:tc>
          <w:tcPr>
            <w:tcW w:w="3340" w:type="dxa"/>
            <w:tcBorders>
              <w:top w:val="single" w:sz="8" w:space="0" w:color="auto"/>
              <w:left w:val="nil"/>
              <w:bottom w:val="nil"/>
              <w:right w:val="single" w:sz="8" w:space="0" w:color="auto"/>
            </w:tcBorders>
            <w:shd w:val="clear" w:color="auto" w:fill="auto"/>
            <w:noWrap/>
            <w:vAlign w:val="bottom"/>
            <w:hideMark/>
          </w:tcPr>
          <w:p w14:paraId="5EDE3FAC" w14:textId="77777777" w:rsidR="003C740F" w:rsidRPr="003C740F" w:rsidRDefault="003C740F" w:rsidP="003C740F">
            <w:pPr>
              <w:spacing w:after="0" w:line="240" w:lineRule="auto"/>
              <w:jc w:val="left"/>
              <w:rPr>
                <w:rFonts w:eastAsia="Times New Roman" w:cs="Calibri"/>
                <w:b/>
                <w:bCs/>
                <w:color w:val="000000"/>
                <w:sz w:val="20"/>
                <w:szCs w:val="20"/>
              </w:rPr>
            </w:pPr>
            <w:r w:rsidRPr="003C740F">
              <w:rPr>
                <w:rFonts w:eastAsia="Times New Roman" w:cs="Calibri"/>
                <w:b/>
                <w:bCs/>
                <w:color w:val="000000"/>
                <w:sz w:val="20"/>
                <w:szCs w:val="20"/>
              </w:rPr>
              <w:t>Deudas comerciales a corto plazo</w:t>
            </w:r>
          </w:p>
        </w:tc>
        <w:tc>
          <w:tcPr>
            <w:tcW w:w="1014" w:type="dxa"/>
            <w:tcBorders>
              <w:top w:val="single" w:sz="8" w:space="0" w:color="auto"/>
              <w:left w:val="nil"/>
              <w:bottom w:val="nil"/>
              <w:right w:val="single" w:sz="8" w:space="0" w:color="auto"/>
            </w:tcBorders>
            <w:shd w:val="clear" w:color="auto" w:fill="auto"/>
            <w:noWrap/>
            <w:vAlign w:val="bottom"/>
            <w:hideMark/>
          </w:tcPr>
          <w:p w14:paraId="0F3D8AD2" w14:textId="77777777" w:rsidR="003C740F" w:rsidRPr="003C740F" w:rsidRDefault="003C740F" w:rsidP="003C740F">
            <w:pPr>
              <w:spacing w:after="0" w:line="240" w:lineRule="auto"/>
              <w:jc w:val="left"/>
              <w:rPr>
                <w:rFonts w:eastAsia="Times New Roman" w:cs="Calibri"/>
                <w:color w:val="000000"/>
                <w:sz w:val="20"/>
                <w:szCs w:val="20"/>
              </w:rPr>
            </w:pPr>
            <w:r w:rsidRPr="003C740F">
              <w:rPr>
                <w:rFonts w:eastAsia="Times New Roman" w:cs="Calibri"/>
                <w:color w:val="000000"/>
                <w:sz w:val="20"/>
                <w:szCs w:val="20"/>
              </w:rPr>
              <w:t> </w:t>
            </w:r>
          </w:p>
        </w:tc>
        <w:tc>
          <w:tcPr>
            <w:tcW w:w="1090" w:type="dxa"/>
            <w:tcBorders>
              <w:top w:val="single" w:sz="8" w:space="0" w:color="auto"/>
              <w:left w:val="nil"/>
              <w:bottom w:val="nil"/>
              <w:right w:val="single" w:sz="8" w:space="0" w:color="auto"/>
            </w:tcBorders>
            <w:shd w:val="clear" w:color="auto" w:fill="auto"/>
            <w:noWrap/>
            <w:vAlign w:val="bottom"/>
            <w:hideMark/>
          </w:tcPr>
          <w:p w14:paraId="47034BE4" w14:textId="77777777" w:rsidR="003C740F" w:rsidRPr="003C740F" w:rsidRDefault="003C740F" w:rsidP="003C740F">
            <w:pPr>
              <w:spacing w:after="0" w:line="240" w:lineRule="auto"/>
              <w:jc w:val="left"/>
              <w:rPr>
                <w:rFonts w:eastAsia="Times New Roman" w:cs="Calibri"/>
                <w:color w:val="000000"/>
                <w:sz w:val="20"/>
                <w:szCs w:val="20"/>
              </w:rPr>
            </w:pPr>
            <w:r w:rsidRPr="003C740F">
              <w:rPr>
                <w:rFonts w:eastAsia="Times New Roman" w:cs="Calibri"/>
                <w:color w:val="000000"/>
                <w:sz w:val="20"/>
                <w:szCs w:val="20"/>
              </w:rPr>
              <w:t> </w:t>
            </w:r>
          </w:p>
        </w:tc>
        <w:tc>
          <w:tcPr>
            <w:tcW w:w="1160" w:type="dxa"/>
            <w:tcBorders>
              <w:top w:val="single" w:sz="8" w:space="0" w:color="auto"/>
              <w:left w:val="nil"/>
              <w:bottom w:val="nil"/>
              <w:right w:val="single" w:sz="8" w:space="0" w:color="auto"/>
            </w:tcBorders>
            <w:shd w:val="clear" w:color="auto" w:fill="auto"/>
            <w:noWrap/>
            <w:vAlign w:val="bottom"/>
            <w:hideMark/>
          </w:tcPr>
          <w:p w14:paraId="64834D1B" w14:textId="77777777" w:rsidR="003C740F" w:rsidRPr="003C740F" w:rsidRDefault="003C740F" w:rsidP="003C740F">
            <w:pPr>
              <w:spacing w:after="0" w:line="240" w:lineRule="auto"/>
              <w:jc w:val="left"/>
              <w:rPr>
                <w:rFonts w:eastAsia="Times New Roman" w:cs="Calibri"/>
                <w:color w:val="000000"/>
                <w:sz w:val="20"/>
                <w:szCs w:val="20"/>
              </w:rPr>
            </w:pPr>
            <w:r w:rsidRPr="003C740F">
              <w:rPr>
                <w:rFonts w:eastAsia="Times New Roman" w:cs="Calibri"/>
                <w:color w:val="000000"/>
                <w:sz w:val="20"/>
                <w:szCs w:val="20"/>
              </w:rPr>
              <w:t> </w:t>
            </w:r>
          </w:p>
        </w:tc>
        <w:tc>
          <w:tcPr>
            <w:tcW w:w="955" w:type="dxa"/>
            <w:tcBorders>
              <w:top w:val="single" w:sz="8" w:space="0" w:color="auto"/>
              <w:left w:val="nil"/>
              <w:bottom w:val="nil"/>
              <w:right w:val="single" w:sz="8" w:space="0" w:color="auto"/>
            </w:tcBorders>
            <w:shd w:val="clear" w:color="auto" w:fill="auto"/>
            <w:noWrap/>
            <w:vAlign w:val="bottom"/>
            <w:hideMark/>
          </w:tcPr>
          <w:p w14:paraId="1C31F880" w14:textId="77777777" w:rsidR="003C740F" w:rsidRPr="003C740F" w:rsidRDefault="003C740F" w:rsidP="003C740F">
            <w:pPr>
              <w:spacing w:after="0" w:line="240" w:lineRule="auto"/>
              <w:jc w:val="left"/>
              <w:rPr>
                <w:rFonts w:eastAsia="Times New Roman" w:cs="Calibri"/>
                <w:color w:val="000000"/>
                <w:sz w:val="20"/>
                <w:szCs w:val="20"/>
              </w:rPr>
            </w:pPr>
            <w:r w:rsidRPr="003C740F">
              <w:rPr>
                <w:rFonts w:eastAsia="Times New Roman" w:cs="Calibri"/>
                <w:color w:val="000000"/>
                <w:sz w:val="20"/>
                <w:szCs w:val="20"/>
              </w:rPr>
              <w:t> </w:t>
            </w:r>
          </w:p>
        </w:tc>
      </w:tr>
      <w:tr w:rsidR="003C740F" w:rsidRPr="003C740F" w14:paraId="142B8B14" w14:textId="77777777" w:rsidTr="003C740F">
        <w:trPr>
          <w:trHeight w:val="790"/>
        </w:trPr>
        <w:tc>
          <w:tcPr>
            <w:tcW w:w="1266" w:type="dxa"/>
            <w:tcBorders>
              <w:top w:val="nil"/>
              <w:left w:val="single" w:sz="8" w:space="0" w:color="auto"/>
              <w:bottom w:val="nil"/>
              <w:right w:val="single" w:sz="8" w:space="0" w:color="auto"/>
            </w:tcBorders>
            <w:shd w:val="clear" w:color="auto" w:fill="auto"/>
            <w:noWrap/>
            <w:vAlign w:val="center"/>
            <w:hideMark/>
          </w:tcPr>
          <w:p w14:paraId="431B9F7D" w14:textId="77777777" w:rsidR="003C740F" w:rsidRPr="003C740F" w:rsidRDefault="003C740F" w:rsidP="003C740F">
            <w:pPr>
              <w:spacing w:after="0" w:line="240" w:lineRule="auto"/>
              <w:jc w:val="left"/>
              <w:rPr>
                <w:rFonts w:eastAsia="Times New Roman" w:cs="Calibri"/>
                <w:color w:val="000000"/>
                <w:sz w:val="20"/>
                <w:szCs w:val="20"/>
                <w:lang w:val="en-US"/>
              </w:rPr>
            </w:pPr>
            <w:r w:rsidRPr="003C740F">
              <w:rPr>
                <w:rFonts w:eastAsia="Times New Roman" w:cs="Calibri"/>
                <w:color w:val="000000"/>
                <w:sz w:val="20"/>
                <w:szCs w:val="20"/>
                <w:lang w:val="en-US"/>
              </w:rPr>
              <w:t>2.1.1.01.01.01</w:t>
            </w:r>
          </w:p>
        </w:tc>
        <w:tc>
          <w:tcPr>
            <w:tcW w:w="3340" w:type="dxa"/>
            <w:tcBorders>
              <w:top w:val="nil"/>
              <w:left w:val="nil"/>
              <w:bottom w:val="nil"/>
              <w:right w:val="single" w:sz="8" w:space="0" w:color="auto"/>
            </w:tcBorders>
            <w:shd w:val="clear" w:color="auto" w:fill="auto"/>
            <w:vAlign w:val="bottom"/>
            <w:hideMark/>
          </w:tcPr>
          <w:p w14:paraId="15C25ACD" w14:textId="77777777" w:rsidR="003C740F" w:rsidRPr="003C740F" w:rsidRDefault="003C740F" w:rsidP="003C740F">
            <w:pPr>
              <w:spacing w:after="0" w:line="240" w:lineRule="auto"/>
              <w:jc w:val="left"/>
              <w:rPr>
                <w:rFonts w:eastAsia="Times New Roman" w:cs="Calibri"/>
                <w:color w:val="000000"/>
                <w:sz w:val="20"/>
                <w:szCs w:val="20"/>
              </w:rPr>
            </w:pPr>
            <w:r w:rsidRPr="003C740F">
              <w:rPr>
                <w:rFonts w:eastAsia="Times New Roman" w:cs="Calibri"/>
                <w:color w:val="000000"/>
                <w:sz w:val="20"/>
                <w:szCs w:val="20"/>
              </w:rPr>
              <w:t>Deudas comerciales por adquisición de materiales y suministros para consumo y prestación de servicios c/p</w:t>
            </w:r>
          </w:p>
        </w:tc>
        <w:tc>
          <w:tcPr>
            <w:tcW w:w="1014" w:type="dxa"/>
            <w:tcBorders>
              <w:top w:val="nil"/>
              <w:left w:val="nil"/>
              <w:bottom w:val="nil"/>
              <w:right w:val="single" w:sz="8" w:space="0" w:color="auto"/>
            </w:tcBorders>
            <w:shd w:val="clear" w:color="auto" w:fill="auto"/>
            <w:noWrap/>
            <w:vAlign w:val="bottom"/>
            <w:hideMark/>
          </w:tcPr>
          <w:p w14:paraId="5C221C86" w14:textId="77777777" w:rsidR="003C740F" w:rsidRPr="003C740F" w:rsidRDefault="003C740F" w:rsidP="003C740F">
            <w:pPr>
              <w:spacing w:after="0" w:line="240" w:lineRule="auto"/>
              <w:jc w:val="right"/>
              <w:rPr>
                <w:rFonts w:eastAsia="Times New Roman" w:cs="Calibri"/>
                <w:color w:val="000000"/>
                <w:sz w:val="20"/>
                <w:szCs w:val="20"/>
                <w:lang w:val="en-US"/>
              </w:rPr>
            </w:pPr>
            <w:r w:rsidRPr="003C740F">
              <w:rPr>
                <w:rFonts w:ascii="Arial" w:eastAsia="Times New Roman" w:hAnsi="Arial" w:cs="Arial"/>
                <w:color w:val="000000"/>
                <w:sz w:val="20"/>
                <w:szCs w:val="20"/>
                <w:lang w:val="en-US"/>
              </w:rPr>
              <w:t>₡</w:t>
            </w:r>
            <w:r w:rsidRPr="003C740F">
              <w:rPr>
                <w:rFonts w:eastAsia="Times New Roman" w:cs="Calibri"/>
                <w:color w:val="000000"/>
                <w:sz w:val="20"/>
                <w:szCs w:val="20"/>
                <w:lang w:val="en-US"/>
              </w:rPr>
              <w:t>4 060,66</w:t>
            </w:r>
          </w:p>
        </w:tc>
        <w:tc>
          <w:tcPr>
            <w:tcW w:w="1090" w:type="dxa"/>
            <w:tcBorders>
              <w:top w:val="nil"/>
              <w:left w:val="nil"/>
              <w:bottom w:val="nil"/>
              <w:right w:val="single" w:sz="8" w:space="0" w:color="auto"/>
            </w:tcBorders>
            <w:shd w:val="clear" w:color="auto" w:fill="auto"/>
            <w:noWrap/>
            <w:vAlign w:val="bottom"/>
            <w:hideMark/>
          </w:tcPr>
          <w:p w14:paraId="23AD2769" w14:textId="77777777" w:rsidR="003C740F" w:rsidRPr="003C740F" w:rsidRDefault="003C740F" w:rsidP="003C740F">
            <w:pPr>
              <w:spacing w:after="0" w:line="240" w:lineRule="auto"/>
              <w:ind w:left="-149"/>
              <w:jc w:val="right"/>
              <w:rPr>
                <w:rFonts w:eastAsia="Times New Roman" w:cs="Calibri"/>
                <w:color w:val="000000"/>
                <w:sz w:val="20"/>
                <w:szCs w:val="20"/>
                <w:lang w:val="en-US"/>
              </w:rPr>
            </w:pPr>
            <w:r w:rsidRPr="003C740F">
              <w:rPr>
                <w:rFonts w:ascii="Arial" w:eastAsia="Times New Roman" w:hAnsi="Arial" w:cs="Arial"/>
                <w:color w:val="000000"/>
                <w:sz w:val="20"/>
                <w:szCs w:val="20"/>
                <w:lang w:val="en-US"/>
              </w:rPr>
              <w:t>₡</w:t>
            </w:r>
            <w:r w:rsidRPr="003C740F">
              <w:rPr>
                <w:rFonts w:eastAsia="Times New Roman" w:cs="Calibri"/>
                <w:color w:val="000000"/>
                <w:sz w:val="20"/>
                <w:szCs w:val="20"/>
                <w:lang w:val="en-US"/>
              </w:rPr>
              <w:t>131 634,05</w:t>
            </w:r>
          </w:p>
        </w:tc>
        <w:tc>
          <w:tcPr>
            <w:tcW w:w="1160" w:type="dxa"/>
            <w:tcBorders>
              <w:top w:val="nil"/>
              <w:left w:val="nil"/>
              <w:bottom w:val="nil"/>
              <w:right w:val="single" w:sz="8" w:space="0" w:color="auto"/>
            </w:tcBorders>
            <w:shd w:val="clear" w:color="auto" w:fill="auto"/>
            <w:noWrap/>
            <w:vAlign w:val="bottom"/>
            <w:hideMark/>
          </w:tcPr>
          <w:p w14:paraId="44CD9BBF" w14:textId="77777777" w:rsidR="003C740F" w:rsidRPr="003C740F" w:rsidRDefault="003C740F" w:rsidP="003C740F">
            <w:pPr>
              <w:spacing w:after="0" w:line="240" w:lineRule="auto"/>
              <w:ind w:left="-213"/>
              <w:jc w:val="right"/>
              <w:rPr>
                <w:rFonts w:eastAsia="Times New Roman" w:cs="Calibri"/>
                <w:color w:val="000000"/>
                <w:sz w:val="20"/>
                <w:szCs w:val="20"/>
                <w:lang w:val="en-US"/>
              </w:rPr>
            </w:pPr>
            <w:r w:rsidRPr="003C740F">
              <w:rPr>
                <w:rFonts w:eastAsia="Times New Roman" w:cs="Calibri"/>
                <w:color w:val="000000"/>
                <w:sz w:val="20"/>
                <w:szCs w:val="20"/>
                <w:lang w:val="en-US"/>
              </w:rPr>
              <w:t>-</w:t>
            </w:r>
            <w:r w:rsidRPr="003C740F">
              <w:rPr>
                <w:rFonts w:ascii="Arial" w:eastAsia="Times New Roman" w:hAnsi="Arial" w:cs="Arial"/>
                <w:color w:val="000000"/>
                <w:sz w:val="20"/>
                <w:szCs w:val="20"/>
                <w:lang w:val="en-US"/>
              </w:rPr>
              <w:t>₡</w:t>
            </w:r>
            <w:r w:rsidRPr="003C740F">
              <w:rPr>
                <w:rFonts w:eastAsia="Times New Roman" w:cs="Calibri"/>
                <w:color w:val="000000"/>
                <w:sz w:val="20"/>
                <w:szCs w:val="20"/>
                <w:lang w:val="en-US"/>
              </w:rPr>
              <w:t>127 573,39</w:t>
            </w:r>
          </w:p>
        </w:tc>
        <w:tc>
          <w:tcPr>
            <w:tcW w:w="955" w:type="dxa"/>
            <w:tcBorders>
              <w:top w:val="nil"/>
              <w:left w:val="nil"/>
              <w:bottom w:val="nil"/>
              <w:right w:val="single" w:sz="8" w:space="0" w:color="auto"/>
            </w:tcBorders>
            <w:shd w:val="clear" w:color="auto" w:fill="auto"/>
            <w:noWrap/>
            <w:vAlign w:val="bottom"/>
            <w:hideMark/>
          </w:tcPr>
          <w:p w14:paraId="1EDCB57F" w14:textId="77777777" w:rsidR="003C740F" w:rsidRPr="003C740F" w:rsidRDefault="003C740F" w:rsidP="003C740F">
            <w:pPr>
              <w:spacing w:after="0" w:line="240" w:lineRule="auto"/>
              <w:jc w:val="right"/>
              <w:rPr>
                <w:rFonts w:eastAsia="Times New Roman" w:cs="Calibri"/>
                <w:color w:val="000000"/>
                <w:sz w:val="20"/>
                <w:szCs w:val="20"/>
                <w:lang w:val="en-US"/>
              </w:rPr>
            </w:pPr>
            <w:r w:rsidRPr="003C740F">
              <w:rPr>
                <w:rFonts w:eastAsia="Times New Roman" w:cs="Calibri"/>
                <w:color w:val="000000"/>
                <w:sz w:val="20"/>
                <w:szCs w:val="20"/>
                <w:lang w:val="en-US"/>
              </w:rPr>
              <w:t>-96,92%</w:t>
            </w:r>
          </w:p>
        </w:tc>
      </w:tr>
      <w:tr w:rsidR="003C740F" w:rsidRPr="003C740F" w14:paraId="7A9387A5" w14:textId="77777777" w:rsidTr="003C740F">
        <w:trPr>
          <w:trHeight w:val="790"/>
        </w:trPr>
        <w:tc>
          <w:tcPr>
            <w:tcW w:w="1266" w:type="dxa"/>
            <w:tcBorders>
              <w:top w:val="nil"/>
              <w:left w:val="single" w:sz="8" w:space="0" w:color="auto"/>
              <w:bottom w:val="nil"/>
              <w:right w:val="single" w:sz="8" w:space="0" w:color="auto"/>
            </w:tcBorders>
            <w:shd w:val="clear" w:color="auto" w:fill="auto"/>
            <w:noWrap/>
            <w:vAlign w:val="center"/>
            <w:hideMark/>
          </w:tcPr>
          <w:p w14:paraId="65832BBF" w14:textId="5E4D4D4D" w:rsidR="003C740F" w:rsidRPr="003C740F" w:rsidRDefault="003C740F" w:rsidP="003C740F">
            <w:pPr>
              <w:spacing w:after="0" w:line="240" w:lineRule="auto"/>
              <w:jc w:val="left"/>
              <w:rPr>
                <w:rFonts w:eastAsia="Times New Roman" w:cs="Calibri"/>
                <w:color w:val="000000"/>
                <w:sz w:val="20"/>
                <w:szCs w:val="20"/>
                <w:lang w:val="en-US"/>
              </w:rPr>
            </w:pPr>
            <w:r w:rsidRPr="003C740F">
              <w:rPr>
                <w:rFonts w:eastAsia="Times New Roman" w:cs="Calibri"/>
                <w:color w:val="000000"/>
                <w:sz w:val="20"/>
                <w:szCs w:val="20"/>
                <w:lang w:val="en-US"/>
              </w:rPr>
              <w:t>2.1.1.01.02.0</w:t>
            </w:r>
            <w:r>
              <w:rPr>
                <w:rFonts w:eastAsia="Times New Roman" w:cs="Calibri"/>
                <w:color w:val="000000"/>
                <w:sz w:val="20"/>
                <w:szCs w:val="20"/>
                <w:lang w:val="en-US"/>
              </w:rPr>
              <w:t>1</w:t>
            </w:r>
          </w:p>
        </w:tc>
        <w:tc>
          <w:tcPr>
            <w:tcW w:w="3340" w:type="dxa"/>
            <w:tcBorders>
              <w:top w:val="nil"/>
              <w:left w:val="nil"/>
              <w:bottom w:val="nil"/>
              <w:right w:val="single" w:sz="8" w:space="0" w:color="auto"/>
            </w:tcBorders>
            <w:shd w:val="clear" w:color="auto" w:fill="auto"/>
            <w:vAlign w:val="bottom"/>
            <w:hideMark/>
          </w:tcPr>
          <w:p w14:paraId="7432220A" w14:textId="77777777" w:rsidR="003C740F" w:rsidRPr="003C740F" w:rsidRDefault="003C740F" w:rsidP="003C740F">
            <w:pPr>
              <w:spacing w:after="0" w:line="240" w:lineRule="auto"/>
              <w:jc w:val="left"/>
              <w:rPr>
                <w:rFonts w:eastAsia="Times New Roman" w:cs="Calibri"/>
                <w:color w:val="000000"/>
                <w:sz w:val="20"/>
                <w:szCs w:val="20"/>
              </w:rPr>
            </w:pPr>
            <w:r w:rsidRPr="003C740F">
              <w:rPr>
                <w:rFonts w:eastAsia="Times New Roman" w:cs="Calibri"/>
                <w:color w:val="000000"/>
                <w:sz w:val="20"/>
                <w:szCs w:val="20"/>
              </w:rPr>
              <w:t>Deudas comerciales por adquisición de propiedades, planta y equipos en explotación c/p</w:t>
            </w:r>
          </w:p>
        </w:tc>
        <w:tc>
          <w:tcPr>
            <w:tcW w:w="1014" w:type="dxa"/>
            <w:tcBorders>
              <w:top w:val="nil"/>
              <w:left w:val="nil"/>
              <w:bottom w:val="nil"/>
              <w:right w:val="single" w:sz="8" w:space="0" w:color="auto"/>
            </w:tcBorders>
            <w:shd w:val="clear" w:color="000000" w:fill="FFFFFF"/>
            <w:noWrap/>
            <w:vAlign w:val="bottom"/>
            <w:hideMark/>
          </w:tcPr>
          <w:p w14:paraId="4250C9CD" w14:textId="77777777" w:rsidR="003C740F" w:rsidRPr="003C740F" w:rsidRDefault="003C740F" w:rsidP="003C740F">
            <w:pPr>
              <w:spacing w:after="0" w:line="240" w:lineRule="auto"/>
              <w:jc w:val="right"/>
              <w:rPr>
                <w:rFonts w:eastAsia="Times New Roman" w:cs="Calibri"/>
                <w:color w:val="000000"/>
                <w:sz w:val="20"/>
                <w:szCs w:val="20"/>
                <w:lang w:val="en-US"/>
              </w:rPr>
            </w:pPr>
            <w:r w:rsidRPr="003C740F">
              <w:rPr>
                <w:rFonts w:eastAsia="Times New Roman" w:cs="Calibri"/>
                <w:color w:val="000000"/>
                <w:sz w:val="20"/>
                <w:szCs w:val="20"/>
                <w:lang w:val="en-US"/>
              </w:rPr>
              <w:t>68 744,00</w:t>
            </w:r>
          </w:p>
        </w:tc>
        <w:tc>
          <w:tcPr>
            <w:tcW w:w="1090" w:type="dxa"/>
            <w:tcBorders>
              <w:top w:val="nil"/>
              <w:left w:val="nil"/>
              <w:bottom w:val="nil"/>
              <w:right w:val="single" w:sz="8" w:space="0" w:color="auto"/>
            </w:tcBorders>
            <w:shd w:val="clear" w:color="000000" w:fill="FFFFFF"/>
            <w:noWrap/>
            <w:vAlign w:val="bottom"/>
            <w:hideMark/>
          </w:tcPr>
          <w:p w14:paraId="305A942A" w14:textId="77777777" w:rsidR="003C740F" w:rsidRPr="003C740F" w:rsidRDefault="003C740F" w:rsidP="003C740F">
            <w:pPr>
              <w:spacing w:after="0" w:line="240" w:lineRule="auto"/>
              <w:jc w:val="right"/>
              <w:rPr>
                <w:rFonts w:eastAsia="Times New Roman" w:cs="Calibri"/>
                <w:color w:val="000000"/>
                <w:sz w:val="20"/>
                <w:szCs w:val="20"/>
                <w:lang w:val="en-US"/>
              </w:rPr>
            </w:pPr>
            <w:r w:rsidRPr="003C740F">
              <w:rPr>
                <w:rFonts w:eastAsia="Times New Roman" w:cs="Calibri"/>
                <w:color w:val="000000"/>
                <w:sz w:val="20"/>
                <w:szCs w:val="20"/>
                <w:lang w:val="en-US"/>
              </w:rPr>
              <w:t>5 403,34</w:t>
            </w:r>
          </w:p>
        </w:tc>
        <w:tc>
          <w:tcPr>
            <w:tcW w:w="1160" w:type="dxa"/>
            <w:tcBorders>
              <w:top w:val="nil"/>
              <w:left w:val="nil"/>
              <w:bottom w:val="nil"/>
              <w:right w:val="single" w:sz="8" w:space="0" w:color="auto"/>
            </w:tcBorders>
            <w:shd w:val="clear" w:color="000000" w:fill="FFFFFF"/>
            <w:noWrap/>
            <w:vAlign w:val="bottom"/>
            <w:hideMark/>
          </w:tcPr>
          <w:p w14:paraId="1DF2EF2B" w14:textId="77777777" w:rsidR="003C740F" w:rsidRPr="003C740F" w:rsidRDefault="003C740F" w:rsidP="003C740F">
            <w:pPr>
              <w:spacing w:after="0" w:line="240" w:lineRule="auto"/>
              <w:jc w:val="right"/>
              <w:rPr>
                <w:rFonts w:eastAsia="Times New Roman" w:cs="Calibri"/>
                <w:color w:val="000000"/>
                <w:sz w:val="20"/>
                <w:szCs w:val="20"/>
                <w:lang w:val="en-US"/>
              </w:rPr>
            </w:pPr>
            <w:r w:rsidRPr="003C740F">
              <w:rPr>
                <w:rFonts w:eastAsia="Times New Roman" w:cs="Calibri"/>
                <w:color w:val="000000"/>
                <w:sz w:val="20"/>
                <w:szCs w:val="20"/>
                <w:lang w:val="en-US"/>
              </w:rPr>
              <w:t>63 340,66</w:t>
            </w:r>
          </w:p>
        </w:tc>
        <w:tc>
          <w:tcPr>
            <w:tcW w:w="955" w:type="dxa"/>
            <w:tcBorders>
              <w:top w:val="nil"/>
              <w:left w:val="nil"/>
              <w:bottom w:val="nil"/>
              <w:right w:val="single" w:sz="8" w:space="0" w:color="auto"/>
            </w:tcBorders>
            <w:shd w:val="clear" w:color="auto" w:fill="auto"/>
            <w:noWrap/>
            <w:vAlign w:val="bottom"/>
            <w:hideMark/>
          </w:tcPr>
          <w:p w14:paraId="0BCE0B48" w14:textId="77777777" w:rsidR="003C740F" w:rsidRPr="003C740F" w:rsidRDefault="003C740F" w:rsidP="003C740F">
            <w:pPr>
              <w:spacing w:after="0" w:line="240" w:lineRule="auto"/>
              <w:jc w:val="right"/>
              <w:rPr>
                <w:rFonts w:eastAsia="Times New Roman" w:cs="Calibri"/>
                <w:color w:val="000000"/>
                <w:sz w:val="20"/>
                <w:szCs w:val="20"/>
                <w:lang w:val="en-US"/>
              </w:rPr>
            </w:pPr>
            <w:r w:rsidRPr="003C740F">
              <w:rPr>
                <w:rFonts w:eastAsia="Times New Roman" w:cs="Calibri"/>
                <w:color w:val="000000"/>
                <w:sz w:val="20"/>
                <w:szCs w:val="20"/>
                <w:lang w:val="en-US"/>
              </w:rPr>
              <w:t>1172,25%</w:t>
            </w:r>
          </w:p>
        </w:tc>
      </w:tr>
      <w:tr w:rsidR="003C740F" w:rsidRPr="003C740F" w14:paraId="10E5F34D" w14:textId="77777777" w:rsidTr="003C740F">
        <w:trPr>
          <w:trHeight w:val="790"/>
        </w:trPr>
        <w:tc>
          <w:tcPr>
            <w:tcW w:w="1266" w:type="dxa"/>
            <w:tcBorders>
              <w:top w:val="nil"/>
              <w:left w:val="single" w:sz="8" w:space="0" w:color="auto"/>
              <w:bottom w:val="nil"/>
              <w:right w:val="single" w:sz="8" w:space="0" w:color="auto"/>
            </w:tcBorders>
            <w:shd w:val="clear" w:color="auto" w:fill="auto"/>
            <w:noWrap/>
            <w:vAlign w:val="center"/>
            <w:hideMark/>
          </w:tcPr>
          <w:p w14:paraId="08C7B184" w14:textId="569B5F6F" w:rsidR="003C740F" w:rsidRPr="003C740F" w:rsidRDefault="003C740F" w:rsidP="003C740F">
            <w:pPr>
              <w:spacing w:after="0" w:line="240" w:lineRule="auto"/>
              <w:jc w:val="left"/>
              <w:rPr>
                <w:rFonts w:eastAsia="Times New Roman" w:cs="Calibri"/>
                <w:color w:val="000000"/>
                <w:sz w:val="20"/>
                <w:szCs w:val="20"/>
                <w:lang w:val="en-US"/>
              </w:rPr>
            </w:pPr>
            <w:r w:rsidRPr="003C740F">
              <w:rPr>
                <w:rFonts w:eastAsia="Times New Roman" w:cs="Calibri"/>
                <w:color w:val="000000"/>
                <w:sz w:val="20"/>
                <w:szCs w:val="20"/>
                <w:lang w:val="en-US"/>
              </w:rPr>
              <w:t>2.1.1.01.02.04</w:t>
            </w:r>
          </w:p>
        </w:tc>
        <w:tc>
          <w:tcPr>
            <w:tcW w:w="3340" w:type="dxa"/>
            <w:tcBorders>
              <w:top w:val="nil"/>
              <w:left w:val="nil"/>
              <w:bottom w:val="nil"/>
              <w:right w:val="single" w:sz="8" w:space="0" w:color="auto"/>
            </w:tcBorders>
            <w:shd w:val="clear" w:color="auto" w:fill="auto"/>
            <w:vAlign w:val="bottom"/>
            <w:hideMark/>
          </w:tcPr>
          <w:p w14:paraId="6FF1D012" w14:textId="77777777" w:rsidR="003C740F" w:rsidRPr="003C740F" w:rsidRDefault="003C740F" w:rsidP="003C740F">
            <w:pPr>
              <w:spacing w:after="0" w:line="240" w:lineRule="auto"/>
              <w:jc w:val="left"/>
              <w:rPr>
                <w:rFonts w:eastAsia="Times New Roman" w:cs="Calibri"/>
                <w:color w:val="000000"/>
                <w:sz w:val="20"/>
                <w:szCs w:val="20"/>
              </w:rPr>
            </w:pPr>
            <w:r w:rsidRPr="003C740F">
              <w:rPr>
                <w:rFonts w:eastAsia="Times New Roman" w:cs="Calibri"/>
                <w:color w:val="000000"/>
                <w:sz w:val="20"/>
                <w:szCs w:val="20"/>
              </w:rPr>
              <w:t>Deudas comerciales por adquisición de bienes de infraestructura y de beneficio y uso público c/p</w:t>
            </w:r>
          </w:p>
        </w:tc>
        <w:tc>
          <w:tcPr>
            <w:tcW w:w="1014" w:type="dxa"/>
            <w:tcBorders>
              <w:top w:val="nil"/>
              <w:left w:val="nil"/>
              <w:bottom w:val="nil"/>
              <w:right w:val="single" w:sz="8" w:space="0" w:color="auto"/>
            </w:tcBorders>
            <w:shd w:val="clear" w:color="000000" w:fill="FFFFFF"/>
            <w:noWrap/>
            <w:vAlign w:val="bottom"/>
            <w:hideMark/>
          </w:tcPr>
          <w:p w14:paraId="2AC82871" w14:textId="77777777" w:rsidR="003C740F" w:rsidRPr="003C740F" w:rsidRDefault="003C740F" w:rsidP="003C740F">
            <w:pPr>
              <w:spacing w:after="0" w:line="240" w:lineRule="auto"/>
              <w:jc w:val="right"/>
              <w:rPr>
                <w:rFonts w:eastAsia="Times New Roman" w:cs="Calibri"/>
                <w:color w:val="000000"/>
                <w:sz w:val="20"/>
                <w:szCs w:val="20"/>
                <w:lang w:val="en-US"/>
              </w:rPr>
            </w:pPr>
            <w:r w:rsidRPr="003C740F">
              <w:rPr>
                <w:rFonts w:eastAsia="Times New Roman" w:cs="Calibri"/>
                <w:color w:val="000000"/>
                <w:sz w:val="20"/>
                <w:szCs w:val="20"/>
                <w:lang w:val="en-US"/>
              </w:rPr>
              <w:t>0,00</w:t>
            </w:r>
          </w:p>
        </w:tc>
        <w:tc>
          <w:tcPr>
            <w:tcW w:w="1090" w:type="dxa"/>
            <w:tcBorders>
              <w:top w:val="nil"/>
              <w:left w:val="nil"/>
              <w:bottom w:val="nil"/>
              <w:right w:val="single" w:sz="8" w:space="0" w:color="auto"/>
            </w:tcBorders>
            <w:shd w:val="clear" w:color="000000" w:fill="FFFFFF"/>
            <w:noWrap/>
            <w:vAlign w:val="bottom"/>
            <w:hideMark/>
          </w:tcPr>
          <w:p w14:paraId="5BC45216" w14:textId="77777777" w:rsidR="003C740F" w:rsidRPr="003C740F" w:rsidRDefault="003C740F" w:rsidP="003C740F">
            <w:pPr>
              <w:spacing w:after="0" w:line="240" w:lineRule="auto"/>
              <w:jc w:val="right"/>
              <w:rPr>
                <w:rFonts w:eastAsia="Times New Roman" w:cs="Calibri"/>
                <w:color w:val="000000"/>
                <w:sz w:val="20"/>
                <w:szCs w:val="20"/>
                <w:lang w:val="en-US"/>
              </w:rPr>
            </w:pPr>
            <w:r w:rsidRPr="003C740F">
              <w:rPr>
                <w:rFonts w:eastAsia="Times New Roman" w:cs="Calibri"/>
                <w:color w:val="000000"/>
                <w:sz w:val="20"/>
                <w:szCs w:val="20"/>
                <w:lang w:val="en-US"/>
              </w:rPr>
              <w:t>229 966,28</w:t>
            </w:r>
          </w:p>
        </w:tc>
        <w:tc>
          <w:tcPr>
            <w:tcW w:w="1160" w:type="dxa"/>
            <w:tcBorders>
              <w:top w:val="nil"/>
              <w:left w:val="nil"/>
              <w:bottom w:val="nil"/>
              <w:right w:val="single" w:sz="8" w:space="0" w:color="auto"/>
            </w:tcBorders>
            <w:shd w:val="clear" w:color="000000" w:fill="FFFFFF"/>
            <w:noWrap/>
            <w:vAlign w:val="bottom"/>
            <w:hideMark/>
          </w:tcPr>
          <w:p w14:paraId="158E0A6F" w14:textId="77777777" w:rsidR="003C740F" w:rsidRPr="003C740F" w:rsidRDefault="003C740F" w:rsidP="003C740F">
            <w:pPr>
              <w:spacing w:after="0" w:line="240" w:lineRule="auto"/>
              <w:jc w:val="right"/>
              <w:rPr>
                <w:rFonts w:eastAsia="Times New Roman" w:cs="Calibri"/>
                <w:color w:val="000000"/>
                <w:sz w:val="20"/>
                <w:szCs w:val="20"/>
                <w:lang w:val="en-US"/>
              </w:rPr>
            </w:pPr>
            <w:r w:rsidRPr="003C740F">
              <w:rPr>
                <w:rFonts w:eastAsia="Times New Roman" w:cs="Calibri"/>
                <w:color w:val="000000"/>
                <w:sz w:val="20"/>
                <w:szCs w:val="20"/>
                <w:lang w:val="en-US"/>
              </w:rPr>
              <w:t>-229 966,28</w:t>
            </w:r>
          </w:p>
        </w:tc>
        <w:tc>
          <w:tcPr>
            <w:tcW w:w="955" w:type="dxa"/>
            <w:tcBorders>
              <w:top w:val="nil"/>
              <w:left w:val="nil"/>
              <w:bottom w:val="nil"/>
              <w:right w:val="single" w:sz="8" w:space="0" w:color="auto"/>
            </w:tcBorders>
            <w:shd w:val="clear" w:color="auto" w:fill="auto"/>
            <w:noWrap/>
            <w:vAlign w:val="bottom"/>
            <w:hideMark/>
          </w:tcPr>
          <w:p w14:paraId="05330225" w14:textId="77777777" w:rsidR="003C740F" w:rsidRPr="003C740F" w:rsidRDefault="003C740F" w:rsidP="003C740F">
            <w:pPr>
              <w:spacing w:after="0" w:line="240" w:lineRule="auto"/>
              <w:jc w:val="right"/>
              <w:rPr>
                <w:rFonts w:eastAsia="Times New Roman" w:cs="Calibri"/>
                <w:color w:val="000000"/>
                <w:sz w:val="20"/>
                <w:szCs w:val="20"/>
                <w:lang w:val="en-US"/>
              </w:rPr>
            </w:pPr>
            <w:r w:rsidRPr="003C740F">
              <w:rPr>
                <w:rFonts w:eastAsia="Times New Roman" w:cs="Calibri"/>
                <w:color w:val="000000"/>
                <w:sz w:val="20"/>
                <w:szCs w:val="20"/>
                <w:lang w:val="en-US"/>
              </w:rPr>
              <w:t>-100,00%</w:t>
            </w:r>
          </w:p>
        </w:tc>
      </w:tr>
      <w:tr w:rsidR="003C740F" w:rsidRPr="003C740F" w14:paraId="4F867473" w14:textId="77777777" w:rsidTr="003C740F">
        <w:trPr>
          <w:trHeight w:val="530"/>
        </w:trPr>
        <w:tc>
          <w:tcPr>
            <w:tcW w:w="1266" w:type="dxa"/>
            <w:tcBorders>
              <w:top w:val="nil"/>
              <w:left w:val="single" w:sz="8" w:space="0" w:color="auto"/>
              <w:bottom w:val="nil"/>
              <w:right w:val="single" w:sz="8" w:space="0" w:color="auto"/>
            </w:tcBorders>
            <w:shd w:val="clear" w:color="auto" w:fill="auto"/>
            <w:noWrap/>
            <w:vAlign w:val="center"/>
            <w:hideMark/>
          </w:tcPr>
          <w:p w14:paraId="60B38ABE" w14:textId="21A904B6" w:rsidR="003C740F" w:rsidRPr="003C740F" w:rsidRDefault="003C740F" w:rsidP="003C740F">
            <w:pPr>
              <w:spacing w:after="0" w:line="240" w:lineRule="auto"/>
              <w:jc w:val="left"/>
              <w:rPr>
                <w:rFonts w:eastAsia="Times New Roman" w:cs="Calibri"/>
                <w:color w:val="000000"/>
                <w:sz w:val="20"/>
                <w:szCs w:val="20"/>
                <w:lang w:val="en-US"/>
              </w:rPr>
            </w:pPr>
            <w:r w:rsidRPr="003C740F">
              <w:rPr>
                <w:rFonts w:eastAsia="Times New Roman" w:cs="Calibri"/>
                <w:color w:val="000000"/>
                <w:sz w:val="20"/>
                <w:szCs w:val="20"/>
                <w:lang w:val="en-US"/>
              </w:rPr>
              <w:t>2.1.1.01.02.08</w:t>
            </w:r>
          </w:p>
        </w:tc>
        <w:tc>
          <w:tcPr>
            <w:tcW w:w="3340" w:type="dxa"/>
            <w:tcBorders>
              <w:top w:val="nil"/>
              <w:left w:val="nil"/>
              <w:bottom w:val="nil"/>
              <w:right w:val="single" w:sz="8" w:space="0" w:color="auto"/>
            </w:tcBorders>
            <w:shd w:val="clear" w:color="auto" w:fill="auto"/>
            <w:vAlign w:val="bottom"/>
            <w:hideMark/>
          </w:tcPr>
          <w:p w14:paraId="62DE7696" w14:textId="77777777" w:rsidR="003C740F" w:rsidRPr="003C740F" w:rsidRDefault="003C740F" w:rsidP="003C740F">
            <w:pPr>
              <w:spacing w:after="0" w:line="240" w:lineRule="auto"/>
              <w:jc w:val="left"/>
              <w:rPr>
                <w:rFonts w:eastAsia="Times New Roman" w:cs="Calibri"/>
                <w:color w:val="000000"/>
                <w:sz w:val="20"/>
                <w:szCs w:val="20"/>
              </w:rPr>
            </w:pPr>
            <w:r w:rsidRPr="003C740F">
              <w:rPr>
                <w:rFonts w:eastAsia="Times New Roman" w:cs="Calibri"/>
                <w:color w:val="000000"/>
                <w:sz w:val="20"/>
                <w:szCs w:val="20"/>
              </w:rPr>
              <w:t>Deudas comerciales por adquisición de bienes intangibles c/p</w:t>
            </w:r>
          </w:p>
        </w:tc>
        <w:tc>
          <w:tcPr>
            <w:tcW w:w="1014" w:type="dxa"/>
            <w:tcBorders>
              <w:top w:val="nil"/>
              <w:left w:val="nil"/>
              <w:bottom w:val="nil"/>
              <w:right w:val="single" w:sz="8" w:space="0" w:color="auto"/>
            </w:tcBorders>
            <w:shd w:val="clear" w:color="000000" w:fill="FFFFFF"/>
            <w:noWrap/>
            <w:vAlign w:val="bottom"/>
            <w:hideMark/>
          </w:tcPr>
          <w:p w14:paraId="0B7830FC" w14:textId="77777777" w:rsidR="003C740F" w:rsidRPr="003C740F" w:rsidRDefault="003C740F" w:rsidP="003C740F">
            <w:pPr>
              <w:spacing w:after="0" w:line="240" w:lineRule="auto"/>
              <w:jc w:val="right"/>
              <w:rPr>
                <w:rFonts w:eastAsia="Times New Roman" w:cs="Calibri"/>
                <w:color w:val="000000"/>
                <w:sz w:val="20"/>
                <w:szCs w:val="20"/>
                <w:lang w:val="en-US"/>
              </w:rPr>
            </w:pPr>
            <w:r w:rsidRPr="003C740F">
              <w:rPr>
                <w:rFonts w:eastAsia="Times New Roman" w:cs="Calibri"/>
                <w:color w:val="000000"/>
                <w:sz w:val="20"/>
                <w:szCs w:val="20"/>
                <w:lang w:val="en-US"/>
              </w:rPr>
              <w:t>19 998,19</w:t>
            </w:r>
          </w:p>
        </w:tc>
        <w:tc>
          <w:tcPr>
            <w:tcW w:w="1090" w:type="dxa"/>
            <w:tcBorders>
              <w:top w:val="nil"/>
              <w:left w:val="nil"/>
              <w:bottom w:val="nil"/>
              <w:right w:val="single" w:sz="8" w:space="0" w:color="auto"/>
            </w:tcBorders>
            <w:shd w:val="clear" w:color="000000" w:fill="FFFFFF"/>
            <w:noWrap/>
            <w:vAlign w:val="bottom"/>
            <w:hideMark/>
          </w:tcPr>
          <w:p w14:paraId="1CFBFAE2" w14:textId="77777777" w:rsidR="003C740F" w:rsidRPr="003C740F" w:rsidRDefault="003C740F" w:rsidP="003C740F">
            <w:pPr>
              <w:spacing w:after="0" w:line="240" w:lineRule="auto"/>
              <w:jc w:val="right"/>
              <w:rPr>
                <w:rFonts w:eastAsia="Times New Roman" w:cs="Calibri"/>
                <w:color w:val="000000"/>
                <w:sz w:val="20"/>
                <w:szCs w:val="20"/>
                <w:lang w:val="en-US"/>
              </w:rPr>
            </w:pPr>
            <w:r w:rsidRPr="003C740F">
              <w:rPr>
                <w:rFonts w:eastAsia="Times New Roman" w:cs="Calibri"/>
                <w:color w:val="000000"/>
                <w:sz w:val="20"/>
                <w:szCs w:val="20"/>
                <w:lang w:val="en-US"/>
              </w:rPr>
              <w:t>23 510,06</w:t>
            </w:r>
          </w:p>
        </w:tc>
        <w:tc>
          <w:tcPr>
            <w:tcW w:w="1160" w:type="dxa"/>
            <w:tcBorders>
              <w:top w:val="nil"/>
              <w:left w:val="nil"/>
              <w:bottom w:val="nil"/>
              <w:right w:val="single" w:sz="8" w:space="0" w:color="auto"/>
            </w:tcBorders>
            <w:shd w:val="clear" w:color="000000" w:fill="FFFFFF"/>
            <w:noWrap/>
            <w:vAlign w:val="bottom"/>
            <w:hideMark/>
          </w:tcPr>
          <w:p w14:paraId="09D46095" w14:textId="77777777" w:rsidR="003C740F" w:rsidRPr="003C740F" w:rsidRDefault="003C740F" w:rsidP="003C740F">
            <w:pPr>
              <w:spacing w:after="0" w:line="240" w:lineRule="auto"/>
              <w:jc w:val="right"/>
              <w:rPr>
                <w:rFonts w:eastAsia="Times New Roman" w:cs="Calibri"/>
                <w:color w:val="000000"/>
                <w:sz w:val="20"/>
                <w:szCs w:val="20"/>
                <w:lang w:val="en-US"/>
              </w:rPr>
            </w:pPr>
            <w:r w:rsidRPr="003C740F">
              <w:rPr>
                <w:rFonts w:eastAsia="Times New Roman" w:cs="Calibri"/>
                <w:color w:val="000000"/>
                <w:sz w:val="20"/>
                <w:szCs w:val="20"/>
                <w:lang w:val="en-US"/>
              </w:rPr>
              <w:t>-3 511,88</w:t>
            </w:r>
          </w:p>
        </w:tc>
        <w:tc>
          <w:tcPr>
            <w:tcW w:w="955" w:type="dxa"/>
            <w:tcBorders>
              <w:top w:val="nil"/>
              <w:left w:val="nil"/>
              <w:bottom w:val="nil"/>
              <w:right w:val="single" w:sz="8" w:space="0" w:color="auto"/>
            </w:tcBorders>
            <w:shd w:val="clear" w:color="auto" w:fill="auto"/>
            <w:noWrap/>
            <w:vAlign w:val="bottom"/>
            <w:hideMark/>
          </w:tcPr>
          <w:p w14:paraId="3389FB9D" w14:textId="77777777" w:rsidR="003C740F" w:rsidRPr="003C740F" w:rsidRDefault="003C740F" w:rsidP="003C740F">
            <w:pPr>
              <w:spacing w:after="0" w:line="240" w:lineRule="auto"/>
              <w:jc w:val="right"/>
              <w:rPr>
                <w:rFonts w:eastAsia="Times New Roman" w:cs="Calibri"/>
                <w:color w:val="000000"/>
                <w:sz w:val="20"/>
                <w:szCs w:val="20"/>
                <w:lang w:val="en-US"/>
              </w:rPr>
            </w:pPr>
            <w:r w:rsidRPr="003C740F">
              <w:rPr>
                <w:rFonts w:eastAsia="Times New Roman" w:cs="Calibri"/>
                <w:color w:val="000000"/>
                <w:sz w:val="20"/>
                <w:szCs w:val="20"/>
                <w:lang w:val="en-US"/>
              </w:rPr>
              <w:t> </w:t>
            </w:r>
          </w:p>
        </w:tc>
      </w:tr>
      <w:tr w:rsidR="003C740F" w:rsidRPr="003C740F" w14:paraId="6C97B84B" w14:textId="77777777" w:rsidTr="003C740F">
        <w:trPr>
          <w:trHeight w:val="530"/>
        </w:trPr>
        <w:tc>
          <w:tcPr>
            <w:tcW w:w="1266" w:type="dxa"/>
            <w:tcBorders>
              <w:top w:val="nil"/>
              <w:left w:val="single" w:sz="8" w:space="0" w:color="auto"/>
              <w:bottom w:val="nil"/>
              <w:right w:val="single" w:sz="8" w:space="0" w:color="auto"/>
            </w:tcBorders>
            <w:shd w:val="clear" w:color="auto" w:fill="auto"/>
            <w:noWrap/>
            <w:vAlign w:val="center"/>
            <w:hideMark/>
          </w:tcPr>
          <w:p w14:paraId="742E4561" w14:textId="6C26765B" w:rsidR="003C740F" w:rsidRPr="003C740F" w:rsidRDefault="003C740F" w:rsidP="003C740F">
            <w:pPr>
              <w:spacing w:after="0" w:line="240" w:lineRule="auto"/>
              <w:jc w:val="left"/>
              <w:rPr>
                <w:rFonts w:eastAsia="Times New Roman" w:cs="Calibri"/>
                <w:color w:val="000000"/>
                <w:sz w:val="20"/>
                <w:szCs w:val="20"/>
                <w:lang w:val="en-US"/>
              </w:rPr>
            </w:pPr>
            <w:r w:rsidRPr="003C740F">
              <w:rPr>
                <w:rFonts w:eastAsia="Times New Roman" w:cs="Calibri"/>
                <w:color w:val="000000"/>
                <w:sz w:val="20"/>
                <w:szCs w:val="20"/>
                <w:lang w:val="en-US"/>
              </w:rPr>
              <w:t>2.1.1.01.04.01</w:t>
            </w:r>
          </w:p>
        </w:tc>
        <w:tc>
          <w:tcPr>
            <w:tcW w:w="3340" w:type="dxa"/>
            <w:tcBorders>
              <w:top w:val="nil"/>
              <w:left w:val="nil"/>
              <w:bottom w:val="nil"/>
              <w:right w:val="single" w:sz="8" w:space="0" w:color="auto"/>
            </w:tcBorders>
            <w:shd w:val="clear" w:color="auto" w:fill="auto"/>
            <w:vAlign w:val="bottom"/>
            <w:hideMark/>
          </w:tcPr>
          <w:p w14:paraId="2E287FC4" w14:textId="77777777" w:rsidR="003C740F" w:rsidRPr="003C740F" w:rsidRDefault="003C740F" w:rsidP="003C740F">
            <w:pPr>
              <w:spacing w:after="0" w:line="240" w:lineRule="auto"/>
              <w:jc w:val="left"/>
              <w:rPr>
                <w:rFonts w:eastAsia="Times New Roman" w:cs="Calibri"/>
                <w:color w:val="000000"/>
                <w:sz w:val="20"/>
                <w:szCs w:val="20"/>
              </w:rPr>
            </w:pPr>
            <w:r w:rsidRPr="003C740F">
              <w:rPr>
                <w:rFonts w:eastAsia="Times New Roman" w:cs="Calibri"/>
                <w:color w:val="000000"/>
                <w:sz w:val="20"/>
                <w:szCs w:val="20"/>
              </w:rPr>
              <w:t>Deudas comerciales por alquileres y derechos sobre bienes c/p</w:t>
            </w:r>
          </w:p>
        </w:tc>
        <w:tc>
          <w:tcPr>
            <w:tcW w:w="1014" w:type="dxa"/>
            <w:tcBorders>
              <w:top w:val="nil"/>
              <w:left w:val="nil"/>
              <w:bottom w:val="nil"/>
              <w:right w:val="single" w:sz="8" w:space="0" w:color="auto"/>
            </w:tcBorders>
            <w:shd w:val="clear" w:color="000000" w:fill="FFFFFF"/>
            <w:noWrap/>
            <w:vAlign w:val="bottom"/>
            <w:hideMark/>
          </w:tcPr>
          <w:p w14:paraId="62BA60D6" w14:textId="77777777" w:rsidR="003C740F" w:rsidRPr="003C740F" w:rsidRDefault="003C740F" w:rsidP="003C740F">
            <w:pPr>
              <w:spacing w:after="0" w:line="240" w:lineRule="auto"/>
              <w:jc w:val="right"/>
              <w:rPr>
                <w:rFonts w:eastAsia="Times New Roman" w:cs="Calibri"/>
                <w:color w:val="000000"/>
                <w:sz w:val="20"/>
                <w:szCs w:val="20"/>
                <w:lang w:val="en-US"/>
              </w:rPr>
            </w:pPr>
            <w:r w:rsidRPr="003C740F">
              <w:rPr>
                <w:rFonts w:eastAsia="Times New Roman" w:cs="Calibri"/>
                <w:color w:val="000000"/>
                <w:sz w:val="20"/>
                <w:szCs w:val="20"/>
                <w:lang w:val="en-US"/>
              </w:rPr>
              <w:t>0,00</w:t>
            </w:r>
          </w:p>
        </w:tc>
        <w:tc>
          <w:tcPr>
            <w:tcW w:w="1090" w:type="dxa"/>
            <w:tcBorders>
              <w:top w:val="nil"/>
              <w:left w:val="nil"/>
              <w:bottom w:val="nil"/>
              <w:right w:val="single" w:sz="8" w:space="0" w:color="auto"/>
            </w:tcBorders>
            <w:shd w:val="clear" w:color="000000" w:fill="FFFFFF"/>
            <w:noWrap/>
            <w:vAlign w:val="bottom"/>
            <w:hideMark/>
          </w:tcPr>
          <w:p w14:paraId="2321DB65" w14:textId="77777777" w:rsidR="003C740F" w:rsidRPr="003C740F" w:rsidRDefault="003C740F" w:rsidP="003C740F">
            <w:pPr>
              <w:spacing w:after="0" w:line="240" w:lineRule="auto"/>
              <w:jc w:val="right"/>
              <w:rPr>
                <w:rFonts w:eastAsia="Times New Roman" w:cs="Calibri"/>
                <w:color w:val="000000"/>
                <w:sz w:val="20"/>
                <w:szCs w:val="20"/>
                <w:lang w:val="en-US"/>
              </w:rPr>
            </w:pPr>
            <w:r w:rsidRPr="003C740F">
              <w:rPr>
                <w:rFonts w:eastAsia="Times New Roman" w:cs="Calibri"/>
                <w:color w:val="000000"/>
                <w:sz w:val="20"/>
                <w:szCs w:val="20"/>
                <w:lang w:val="en-US"/>
              </w:rPr>
              <w:t>0,00</w:t>
            </w:r>
          </w:p>
        </w:tc>
        <w:tc>
          <w:tcPr>
            <w:tcW w:w="1160" w:type="dxa"/>
            <w:tcBorders>
              <w:top w:val="nil"/>
              <w:left w:val="nil"/>
              <w:bottom w:val="nil"/>
              <w:right w:val="single" w:sz="8" w:space="0" w:color="auto"/>
            </w:tcBorders>
            <w:shd w:val="clear" w:color="000000" w:fill="FFFFFF"/>
            <w:noWrap/>
            <w:vAlign w:val="bottom"/>
            <w:hideMark/>
          </w:tcPr>
          <w:p w14:paraId="64EA6983" w14:textId="77777777" w:rsidR="003C740F" w:rsidRPr="003C740F" w:rsidRDefault="003C740F" w:rsidP="003C740F">
            <w:pPr>
              <w:spacing w:after="0" w:line="240" w:lineRule="auto"/>
              <w:jc w:val="right"/>
              <w:rPr>
                <w:rFonts w:eastAsia="Times New Roman" w:cs="Calibri"/>
                <w:color w:val="000000"/>
                <w:sz w:val="20"/>
                <w:szCs w:val="20"/>
                <w:lang w:val="en-US"/>
              </w:rPr>
            </w:pPr>
            <w:r w:rsidRPr="003C740F">
              <w:rPr>
                <w:rFonts w:eastAsia="Times New Roman" w:cs="Calibri"/>
                <w:color w:val="000000"/>
                <w:sz w:val="20"/>
                <w:szCs w:val="20"/>
                <w:lang w:val="en-US"/>
              </w:rPr>
              <w:t>0,00</w:t>
            </w:r>
          </w:p>
        </w:tc>
        <w:tc>
          <w:tcPr>
            <w:tcW w:w="955" w:type="dxa"/>
            <w:tcBorders>
              <w:top w:val="nil"/>
              <w:left w:val="nil"/>
              <w:bottom w:val="nil"/>
              <w:right w:val="single" w:sz="8" w:space="0" w:color="auto"/>
            </w:tcBorders>
            <w:shd w:val="clear" w:color="auto" w:fill="auto"/>
            <w:noWrap/>
            <w:vAlign w:val="bottom"/>
            <w:hideMark/>
          </w:tcPr>
          <w:p w14:paraId="0FDEACCC" w14:textId="77777777" w:rsidR="003C740F" w:rsidRPr="003C740F" w:rsidRDefault="003C740F" w:rsidP="003C740F">
            <w:pPr>
              <w:spacing w:after="0" w:line="240" w:lineRule="auto"/>
              <w:jc w:val="right"/>
              <w:rPr>
                <w:rFonts w:eastAsia="Times New Roman" w:cs="Calibri"/>
                <w:color w:val="000000"/>
                <w:sz w:val="20"/>
                <w:szCs w:val="20"/>
                <w:lang w:val="en-US"/>
              </w:rPr>
            </w:pPr>
            <w:r w:rsidRPr="003C740F">
              <w:rPr>
                <w:rFonts w:eastAsia="Times New Roman" w:cs="Calibri"/>
                <w:color w:val="000000"/>
                <w:sz w:val="20"/>
                <w:szCs w:val="20"/>
                <w:lang w:val="en-US"/>
              </w:rPr>
              <w:t>#DIV/0!</w:t>
            </w:r>
          </w:p>
        </w:tc>
      </w:tr>
      <w:tr w:rsidR="003C740F" w:rsidRPr="003C740F" w14:paraId="20C7387F" w14:textId="77777777" w:rsidTr="003C740F">
        <w:trPr>
          <w:trHeight w:val="530"/>
        </w:trPr>
        <w:tc>
          <w:tcPr>
            <w:tcW w:w="1266" w:type="dxa"/>
            <w:tcBorders>
              <w:top w:val="nil"/>
              <w:left w:val="single" w:sz="8" w:space="0" w:color="auto"/>
              <w:bottom w:val="nil"/>
              <w:right w:val="single" w:sz="8" w:space="0" w:color="auto"/>
            </w:tcBorders>
            <w:shd w:val="clear" w:color="auto" w:fill="auto"/>
            <w:noWrap/>
            <w:vAlign w:val="center"/>
            <w:hideMark/>
          </w:tcPr>
          <w:p w14:paraId="1385F934" w14:textId="1A9782C3" w:rsidR="003C740F" w:rsidRPr="003C740F" w:rsidRDefault="003C740F" w:rsidP="003C740F">
            <w:pPr>
              <w:spacing w:after="0" w:line="240" w:lineRule="auto"/>
              <w:jc w:val="left"/>
              <w:rPr>
                <w:rFonts w:eastAsia="Times New Roman" w:cs="Calibri"/>
                <w:color w:val="000000"/>
                <w:sz w:val="20"/>
                <w:szCs w:val="20"/>
                <w:lang w:val="en-US"/>
              </w:rPr>
            </w:pPr>
            <w:r w:rsidRPr="003C740F">
              <w:rPr>
                <w:rFonts w:eastAsia="Times New Roman" w:cs="Calibri"/>
                <w:color w:val="000000"/>
                <w:sz w:val="20"/>
                <w:szCs w:val="20"/>
                <w:lang w:val="en-US"/>
              </w:rPr>
              <w:t>2.1.1.01.04.02</w:t>
            </w:r>
          </w:p>
        </w:tc>
        <w:tc>
          <w:tcPr>
            <w:tcW w:w="3340" w:type="dxa"/>
            <w:tcBorders>
              <w:top w:val="nil"/>
              <w:left w:val="nil"/>
              <w:bottom w:val="nil"/>
              <w:right w:val="single" w:sz="8" w:space="0" w:color="auto"/>
            </w:tcBorders>
            <w:shd w:val="clear" w:color="auto" w:fill="auto"/>
            <w:vAlign w:val="bottom"/>
            <w:hideMark/>
          </w:tcPr>
          <w:p w14:paraId="15B5FF5C" w14:textId="77777777" w:rsidR="003C740F" w:rsidRPr="003C740F" w:rsidRDefault="003C740F" w:rsidP="003C740F">
            <w:pPr>
              <w:spacing w:after="0" w:line="240" w:lineRule="auto"/>
              <w:jc w:val="left"/>
              <w:rPr>
                <w:rFonts w:eastAsia="Times New Roman" w:cs="Calibri"/>
                <w:color w:val="000000"/>
                <w:sz w:val="20"/>
                <w:szCs w:val="20"/>
              </w:rPr>
            </w:pPr>
            <w:r w:rsidRPr="003C740F">
              <w:rPr>
                <w:rFonts w:eastAsia="Times New Roman" w:cs="Calibri"/>
                <w:color w:val="000000"/>
                <w:sz w:val="20"/>
                <w:szCs w:val="20"/>
              </w:rPr>
              <w:t>Deudas comerciales por servicios básicos c/p</w:t>
            </w:r>
          </w:p>
        </w:tc>
        <w:tc>
          <w:tcPr>
            <w:tcW w:w="1014" w:type="dxa"/>
            <w:tcBorders>
              <w:top w:val="nil"/>
              <w:left w:val="nil"/>
              <w:bottom w:val="nil"/>
              <w:right w:val="single" w:sz="8" w:space="0" w:color="auto"/>
            </w:tcBorders>
            <w:shd w:val="clear" w:color="000000" w:fill="FFFFFF"/>
            <w:noWrap/>
            <w:vAlign w:val="bottom"/>
            <w:hideMark/>
          </w:tcPr>
          <w:p w14:paraId="02121A22" w14:textId="77777777" w:rsidR="003C740F" w:rsidRPr="003C740F" w:rsidRDefault="003C740F" w:rsidP="003C740F">
            <w:pPr>
              <w:spacing w:after="0" w:line="240" w:lineRule="auto"/>
              <w:jc w:val="right"/>
              <w:rPr>
                <w:rFonts w:eastAsia="Times New Roman" w:cs="Calibri"/>
                <w:color w:val="000000"/>
                <w:sz w:val="20"/>
                <w:szCs w:val="20"/>
                <w:lang w:val="en-US"/>
              </w:rPr>
            </w:pPr>
            <w:r w:rsidRPr="003C740F">
              <w:rPr>
                <w:rFonts w:eastAsia="Times New Roman" w:cs="Calibri"/>
                <w:color w:val="000000"/>
                <w:sz w:val="20"/>
                <w:szCs w:val="20"/>
                <w:lang w:val="en-US"/>
              </w:rPr>
              <w:t>0,00</w:t>
            </w:r>
          </w:p>
        </w:tc>
        <w:tc>
          <w:tcPr>
            <w:tcW w:w="1090" w:type="dxa"/>
            <w:tcBorders>
              <w:top w:val="nil"/>
              <w:left w:val="nil"/>
              <w:bottom w:val="nil"/>
              <w:right w:val="single" w:sz="8" w:space="0" w:color="auto"/>
            </w:tcBorders>
            <w:shd w:val="clear" w:color="000000" w:fill="FFFFFF"/>
            <w:noWrap/>
            <w:vAlign w:val="bottom"/>
            <w:hideMark/>
          </w:tcPr>
          <w:p w14:paraId="0B813630" w14:textId="77777777" w:rsidR="003C740F" w:rsidRPr="003C740F" w:rsidRDefault="003C740F" w:rsidP="003C740F">
            <w:pPr>
              <w:spacing w:after="0" w:line="240" w:lineRule="auto"/>
              <w:jc w:val="right"/>
              <w:rPr>
                <w:rFonts w:eastAsia="Times New Roman" w:cs="Calibri"/>
                <w:color w:val="000000"/>
                <w:sz w:val="20"/>
                <w:szCs w:val="20"/>
                <w:lang w:val="en-US"/>
              </w:rPr>
            </w:pPr>
            <w:r w:rsidRPr="003C740F">
              <w:rPr>
                <w:rFonts w:eastAsia="Times New Roman" w:cs="Calibri"/>
                <w:color w:val="000000"/>
                <w:sz w:val="20"/>
                <w:szCs w:val="20"/>
                <w:lang w:val="en-US"/>
              </w:rPr>
              <w:t>0,00</w:t>
            </w:r>
          </w:p>
        </w:tc>
        <w:tc>
          <w:tcPr>
            <w:tcW w:w="1160" w:type="dxa"/>
            <w:tcBorders>
              <w:top w:val="nil"/>
              <w:left w:val="nil"/>
              <w:bottom w:val="nil"/>
              <w:right w:val="single" w:sz="8" w:space="0" w:color="auto"/>
            </w:tcBorders>
            <w:shd w:val="clear" w:color="000000" w:fill="FFFFFF"/>
            <w:noWrap/>
            <w:vAlign w:val="bottom"/>
            <w:hideMark/>
          </w:tcPr>
          <w:p w14:paraId="77088CE1" w14:textId="77777777" w:rsidR="003C740F" w:rsidRPr="003C740F" w:rsidRDefault="003C740F" w:rsidP="003C740F">
            <w:pPr>
              <w:spacing w:after="0" w:line="240" w:lineRule="auto"/>
              <w:jc w:val="right"/>
              <w:rPr>
                <w:rFonts w:eastAsia="Times New Roman" w:cs="Calibri"/>
                <w:color w:val="000000"/>
                <w:sz w:val="20"/>
                <w:szCs w:val="20"/>
                <w:lang w:val="en-US"/>
              </w:rPr>
            </w:pPr>
            <w:r w:rsidRPr="003C740F">
              <w:rPr>
                <w:rFonts w:eastAsia="Times New Roman" w:cs="Calibri"/>
                <w:color w:val="000000"/>
                <w:sz w:val="20"/>
                <w:szCs w:val="20"/>
                <w:lang w:val="en-US"/>
              </w:rPr>
              <w:t>0,00</w:t>
            </w:r>
          </w:p>
        </w:tc>
        <w:tc>
          <w:tcPr>
            <w:tcW w:w="955" w:type="dxa"/>
            <w:tcBorders>
              <w:top w:val="nil"/>
              <w:left w:val="nil"/>
              <w:bottom w:val="nil"/>
              <w:right w:val="single" w:sz="8" w:space="0" w:color="auto"/>
            </w:tcBorders>
            <w:shd w:val="clear" w:color="auto" w:fill="auto"/>
            <w:noWrap/>
            <w:vAlign w:val="bottom"/>
            <w:hideMark/>
          </w:tcPr>
          <w:p w14:paraId="1E11827A" w14:textId="77777777" w:rsidR="003C740F" w:rsidRPr="003C740F" w:rsidRDefault="003C740F" w:rsidP="003C740F">
            <w:pPr>
              <w:spacing w:after="0" w:line="240" w:lineRule="auto"/>
              <w:jc w:val="right"/>
              <w:rPr>
                <w:rFonts w:eastAsia="Times New Roman" w:cs="Calibri"/>
                <w:color w:val="000000"/>
                <w:sz w:val="20"/>
                <w:szCs w:val="20"/>
                <w:lang w:val="en-US"/>
              </w:rPr>
            </w:pPr>
            <w:r w:rsidRPr="003C740F">
              <w:rPr>
                <w:rFonts w:eastAsia="Times New Roman" w:cs="Calibri"/>
                <w:color w:val="000000"/>
                <w:sz w:val="20"/>
                <w:szCs w:val="20"/>
                <w:lang w:val="en-US"/>
              </w:rPr>
              <w:t>#DIV/0!</w:t>
            </w:r>
          </w:p>
        </w:tc>
      </w:tr>
      <w:tr w:rsidR="003C740F" w:rsidRPr="003C740F" w14:paraId="125C4644" w14:textId="77777777" w:rsidTr="003C740F">
        <w:trPr>
          <w:trHeight w:val="530"/>
        </w:trPr>
        <w:tc>
          <w:tcPr>
            <w:tcW w:w="1266" w:type="dxa"/>
            <w:tcBorders>
              <w:top w:val="nil"/>
              <w:left w:val="single" w:sz="8" w:space="0" w:color="auto"/>
              <w:bottom w:val="nil"/>
              <w:right w:val="single" w:sz="8" w:space="0" w:color="auto"/>
            </w:tcBorders>
            <w:shd w:val="clear" w:color="auto" w:fill="auto"/>
            <w:noWrap/>
            <w:vAlign w:val="center"/>
            <w:hideMark/>
          </w:tcPr>
          <w:p w14:paraId="15CF2021" w14:textId="41803680" w:rsidR="003C740F" w:rsidRPr="003C740F" w:rsidRDefault="003C740F" w:rsidP="003C740F">
            <w:pPr>
              <w:spacing w:after="0" w:line="240" w:lineRule="auto"/>
              <w:jc w:val="left"/>
              <w:rPr>
                <w:rFonts w:eastAsia="Times New Roman" w:cs="Calibri"/>
                <w:color w:val="000000"/>
                <w:sz w:val="20"/>
                <w:szCs w:val="20"/>
                <w:lang w:val="en-US"/>
              </w:rPr>
            </w:pPr>
            <w:r w:rsidRPr="003C740F">
              <w:rPr>
                <w:rFonts w:eastAsia="Times New Roman" w:cs="Calibri"/>
                <w:color w:val="000000"/>
                <w:sz w:val="20"/>
                <w:szCs w:val="20"/>
                <w:lang w:val="en-US"/>
              </w:rPr>
              <w:t>2.1.1.01.04.03</w:t>
            </w:r>
          </w:p>
        </w:tc>
        <w:tc>
          <w:tcPr>
            <w:tcW w:w="3340" w:type="dxa"/>
            <w:tcBorders>
              <w:top w:val="nil"/>
              <w:left w:val="nil"/>
              <w:bottom w:val="nil"/>
              <w:right w:val="single" w:sz="8" w:space="0" w:color="auto"/>
            </w:tcBorders>
            <w:shd w:val="clear" w:color="auto" w:fill="auto"/>
            <w:vAlign w:val="bottom"/>
            <w:hideMark/>
          </w:tcPr>
          <w:p w14:paraId="46104A1C" w14:textId="77777777" w:rsidR="003C740F" w:rsidRPr="003C740F" w:rsidRDefault="003C740F" w:rsidP="003C740F">
            <w:pPr>
              <w:spacing w:after="0" w:line="240" w:lineRule="auto"/>
              <w:jc w:val="left"/>
              <w:rPr>
                <w:rFonts w:eastAsia="Times New Roman" w:cs="Calibri"/>
                <w:color w:val="000000"/>
                <w:sz w:val="20"/>
                <w:szCs w:val="20"/>
              </w:rPr>
            </w:pPr>
            <w:r w:rsidRPr="003C740F">
              <w:rPr>
                <w:rFonts w:eastAsia="Times New Roman" w:cs="Calibri"/>
                <w:color w:val="000000"/>
                <w:sz w:val="20"/>
                <w:szCs w:val="20"/>
              </w:rPr>
              <w:t>Deudas comerciales por servicios comerciales y financieros c/p</w:t>
            </w:r>
          </w:p>
        </w:tc>
        <w:tc>
          <w:tcPr>
            <w:tcW w:w="1014" w:type="dxa"/>
            <w:tcBorders>
              <w:top w:val="nil"/>
              <w:left w:val="nil"/>
              <w:bottom w:val="nil"/>
              <w:right w:val="single" w:sz="8" w:space="0" w:color="auto"/>
            </w:tcBorders>
            <w:shd w:val="clear" w:color="000000" w:fill="FFFFFF"/>
            <w:noWrap/>
            <w:vAlign w:val="bottom"/>
            <w:hideMark/>
          </w:tcPr>
          <w:p w14:paraId="79F7EFE2" w14:textId="77777777" w:rsidR="003C740F" w:rsidRPr="003C740F" w:rsidRDefault="003C740F" w:rsidP="003C740F">
            <w:pPr>
              <w:spacing w:after="0" w:line="240" w:lineRule="auto"/>
              <w:jc w:val="right"/>
              <w:rPr>
                <w:rFonts w:eastAsia="Times New Roman" w:cs="Calibri"/>
                <w:color w:val="000000"/>
                <w:sz w:val="20"/>
                <w:szCs w:val="20"/>
                <w:lang w:val="en-US"/>
              </w:rPr>
            </w:pPr>
            <w:r w:rsidRPr="003C740F">
              <w:rPr>
                <w:rFonts w:eastAsia="Times New Roman" w:cs="Calibri"/>
                <w:color w:val="000000"/>
                <w:sz w:val="20"/>
                <w:szCs w:val="20"/>
                <w:lang w:val="en-US"/>
              </w:rPr>
              <w:t>0,00</w:t>
            </w:r>
          </w:p>
        </w:tc>
        <w:tc>
          <w:tcPr>
            <w:tcW w:w="1090" w:type="dxa"/>
            <w:tcBorders>
              <w:top w:val="nil"/>
              <w:left w:val="nil"/>
              <w:bottom w:val="nil"/>
              <w:right w:val="single" w:sz="8" w:space="0" w:color="auto"/>
            </w:tcBorders>
            <w:shd w:val="clear" w:color="000000" w:fill="FFFFFF"/>
            <w:noWrap/>
            <w:vAlign w:val="bottom"/>
            <w:hideMark/>
          </w:tcPr>
          <w:p w14:paraId="37BA9788" w14:textId="77777777" w:rsidR="003C740F" w:rsidRPr="003C740F" w:rsidRDefault="003C740F" w:rsidP="003C740F">
            <w:pPr>
              <w:spacing w:after="0" w:line="240" w:lineRule="auto"/>
              <w:jc w:val="right"/>
              <w:rPr>
                <w:rFonts w:eastAsia="Times New Roman" w:cs="Calibri"/>
                <w:color w:val="000000"/>
                <w:sz w:val="20"/>
                <w:szCs w:val="20"/>
                <w:lang w:val="en-US"/>
              </w:rPr>
            </w:pPr>
            <w:r w:rsidRPr="003C740F">
              <w:rPr>
                <w:rFonts w:eastAsia="Times New Roman" w:cs="Calibri"/>
                <w:color w:val="000000"/>
                <w:sz w:val="20"/>
                <w:szCs w:val="20"/>
                <w:lang w:val="en-US"/>
              </w:rPr>
              <w:t>240,84</w:t>
            </w:r>
          </w:p>
        </w:tc>
        <w:tc>
          <w:tcPr>
            <w:tcW w:w="1160" w:type="dxa"/>
            <w:tcBorders>
              <w:top w:val="nil"/>
              <w:left w:val="nil"/>
              <w:bottom w:val="nil"/>
              <w:right w:val="single" w:sz="8" w:space="0" w:color="auto"/>
            </w:tcBorders>
            <w:shd w:val="clear" w:color="000000" w:fill="FFFFFF"/>
            <w:noWrap/>
            <w:vAlign w:val="bottom"/>
            <w:hideMark/>
          </w:tcPr>
          <w:p w14:paraId="0C53FB93" w14:textId="77777777" w:rsidR="003C740F" w:rsidRPr="003C740F" w:rsidRDefault="003C740F" w:rsidP="003C740F">
            <w:pPr>
              <w:spacing w:after="0" w:line="240" w:lineRule="auto"/>
              <w:jc w:val="right"/>
              <w:rPr>
                <w:rFonts w:eastAsia="Times New Roman" w:cs="Calibri"/>
                <w:color w:val="000000"/>
                <w:sz w:val="20"/>
                <w:szCs w:val="20"/>
                <w:lang w:val="en-US"/>
              </w:rPr>
            </w:pPr>
            <w:r w:rsidRPr="003C740F">
              <w:rPr>
                <w:rFonts w:eastAsia="Times New Roman" w:cs="Calibri"/>
                <w:color w:val="000000"/>
                <w:sz w:val="20"/>
                <w:szCs w:val="20"/>
                <w:lang w:val="en-US"/>
              </w:rPr>
              <w:t>-240,84</w:t>
            </w:r>
          </w:p>
        </w:tc>
        <w:tc>
          <w:tcPr>
            <w:tcW w:w="955" w:type="dxa"/>
            <w:tcBorders>
              <w:top w:val="nil"/>
              <w:left w:val="nil"/>
              <w:bottom w:val="nil"/>
              <w:right w:val="single" w:sz="8" w:space="0" w:color="auto"/>
            </w:tcBorders>
            <w:shd w:val="clear" w:color="auto" w:fill="auto"/>
            <w:noWrap/>
            <w:vAlign w:val="bottom"/>
            <w:hideMark/>
          </w:tcPr>
          <w:p w14:paraId="0CE6EE9A" w14:textId="77777777" w:rsidR="003C740F" w:rsidRPr="003C740F" w:rsidRDefault="003C740F" w:rsidP="003C740F">
            <w:pPr>
              <w:spacing w:after="0" w:line="240" w:lineRule="auto"/>
              <w:jc w:val="right"/>
              <w:rPr>
                <w:rFonts w:eastAsia="Times New Roman" w:cs="Calibri"/>
                <w:color w:val="000000"/>
                <w:sz w:val="20"/>
                <w:szCs w:val="20"/>
                <w:lang w:val="en-US"/>
              </w:rPr>
            </w:pPr>
            <w:r w:rsidRPr="003C740F">
              <w:rPr>
                <w:rFonts w:eastAsia="Times New Roman" w:cs="Calibri"/>
                <w:color w:val="000000"/>
                <w:sz w:val="20"/>
                <w:szCs w:val="20"/>
                <w:lang w:val="en-US"/>
              </w:rPr>
              <w:t>-100,00%</w:t>
            </w:r>
          </w:p>
        </w:tc>
      </w:tr>
      <w:tr w:rsidR="003C740F" w:rsidRPr="003C740F" w14:paraId="50DCEB57" w14:textId="77777777" w:rsidTr="003C740F">
        <w:trPr>
          <w:trHeight w:val="530"/>
        </w:trPr>
        <w:tc>
          <w:tcPr>
            <w:tcW w:w="1266" w:type="dxa"/>
            <w:tcBorders>
              <w:top w:val="nil"/>
              <w:left w:val="single" w:sz="8" w:space="0" w:color="auto"/>
              <w:bottom w:val="nil"/>
              <w:right w:val="single" w:sz="8" w:space="0" w:color="auto"/>
            </w:tcBorders>
            <w:shd w:val="clear" w:color="auto" w:fill="auto"/>
            <w:noWrap/>
            <w:vAlign w:val="center"/>
            <w:hideMark/>
          </w:tcPr>
          <w:p w14:paraId="79005AA5" w14:textId="6EB7A729" w:rsidR="003C740F" w:rsidRPr="003C740F" w:rsidRDefault="003C740F" w:rsidP="003C740F">
            <w:pPr>
              <w:spacing w:after="0" w:line="240" w:lineRule="auto"/>
              <w:jc w:val="left"/>
              <w:rPr>
                <w:rFonts w:eastAsia="Times New Roman" w:cs="Calibri"/>
                <w:color w:val="000000"/>
                <w:sz w:val="20"/>
                <w:szCs w:val="20"/>
                <w:lang w:val="en-US"/>
              </w:rPr>
            </w:pPr>
            <w:r w:rsidRPr="003C740F">
              <w:rPr>
                <w:rFonts w:eastAsia="Times New Roman" w:cs="Calibri"/>
                <w:color w:val="000000"/>
                <w:sz w:val="20"/>
                <w:szCs w:val="20"/>
                <w:lang w:val="en-US"/>
              </w:rPr>
              <w:t>2.1.1.01.04.04</w:t>
            </w:r>
          </w:p>
        </w:tc>
        <w:tc>
          <w:tcPr>
            <w:tcW w:w="3340" w:type="dxa"/>
            <w:tcBorders>
              <w:top w:val="nil"/>
              <w:left w:val="nil"/>
              <w:bottom w:val="nil"/>
              <w:right w:val="single" w:sz="8" w:space="0" w:color="auto"/>
            </w:tcBorders>
            <w:shd w:val="clear" w:color="auto" w:fill="auto"/>
            <w:vAlign w:val="bottom"/>
            <w:hideMark/>
          </w:tcPr>
          <w:p w14:paraId="1DA251C5" w14:textId="77777777" w:rsidR="003C740F" w:rsidRPr="003C740F" w:rsidRDefault="003C740F" w:rsidP="003C740F">
            <w:pPr>
              <w:spacing w:after="0" w:line="240" w:lineRule="auto"/>
              <w:jc w:val="left"/>
              <w:rPr>
                <w:rFonts w:eastAsia="Times New Roman" w:cs="Calibri"/>
                <w:color w:val="000000"/>
                <w:sz w:val="20"/>
                <w:szCs w:val="20"/>
              </w:rPr>
            </w:pPr>
            <w:r w:rsidRPr="003C740F">
              <w:rPr>
                <w:rFonts w:eastAsia="Times New Roman" w:cs="Calibri"/>
                <w:color w:val="000000"/>
                <w:sz w:val="20"/>
                <w:szCs w:val="20"/>
              </w:rPr>
              <w:t>Deudas comerciales por servicios de gestión y apoyo c/p</w:t>
            </w:r>
          </w:p>
        </w:tc>
        <w:tc>
          <w:tcPr>
            <w:tcW w:w="1014" w:type="dxa"/>
            <w:tcBorders>
              <w:top w:val="nil"/>
              <w:left w:val="nil"/>
              <w:bottom w:val="nil"/>
              <w:right w:val="single" w:sz="8" w:space="0" w:color="auto"/>
            </w:tcBorders>
            <w:shd w:val="clear" w:color="000000" w:fill="FFFFFF"/>
            <w:noWrap/>
            <w:vAlign w:val="bottom"/>
            <w:hideMark/>
          </w:tcPr>
          <w:p w14:paraId="7727C6B5" w14:textId="77777777" w:rsidR="003C740F" w:rsidRPr="003C740F" w:rsidRDefault="003C740F" w:rsidP="003C740F">
            <w:pPr>
              <w:spacing w:after="0" w:line="240" w:lineRule="auto"/>
              <w:jc w:val="right"/>
              <w:rPr>
                <w:rFonts w:eastAsia="Times New Roman" w:cs="Calibri"/>
                <w:color w:val="000000"/>
                <w:sz w:val="20"/>
                <w:szCs w:val="20"/>
                <w:lang w:val="en-US"/>
              </w:rPr>
            </w:pPr>
            <w:r w:rsidRPr="003C740F">
              <w:rPr>
                <w:rFonts w:eastAsia="Times New Roman" w:cs="Calibri"/>
                <w:color w:val="000000"/>
                <w:sz w:val="20"/>
                <w:szCs w:val="20"/>
                <w:lang w:val="en-US"/>
              </w:rPr>
              <w:t>0,00</w:t>
            </w:r>
          </w:p>
        </w:tc>
        <w:tc>
          <w:tcPr>
            <w:tcW w:w="1090" w:type="dxa"/>
            <w:tcBorders>
              <w:top w:val="nil"/>
              <w:left w:val="nil"/>
              <w:bottom w:val="nil"/>
              <w:right w:val="single" w:sz="8" w:space="0" w:color="auto"/>
            </w:tcBorders>
            <w:shd w:val="clear" w:color="000000" w:fill="FFFFFF"/>
            <w:noWrap/>
            <w:vAlign w:val="bottom"/>
            <w:hideMark/>
          </w:tcPr>
          <w:p w14:paraId="4BFF0D48" w14:textId="77777777" w:rsidR="003C740F" w:rsidRPr="003C740F" w:rsidRDefault="003C740F" w:rsidP="003C740F">
            <w:pPr>
              <w:spacing w:after="0" w:line="240" w:lineRule="auto"/>
              <w:jc w:val="right"/>
              <w:rPr>
                <w:rFonts w:eastAsia="Times New Roman" w:cs="Calibri"/>
                <w:color w:val="000000"/>
                <w:sz w:val="20"/>
                <w:szCs w:val="20"/>
                <w:lang w:val="en-US"/>
              </w:rPr>
            </w:pPr>
            <w:r w:rsidRPr="003C740F">
              <w:rPr>
                <w:rFonts w:eastAsia="Times New Roman" w:cs="Calibri"/>
                <w:color w:val="000000"/>
                <w:sz w:val="20"/>
                <w:szCs w:val="20"/>
                <w:lang w:val="en-US"/>
              </w:rPr>
              <w:t>365,79</w:t>
            </w:r>
          </w:p>
        </w:tc>
        <w:tc>
          <w:tcPr>
            <w:tcW w:w="1160" w:type="dxa"/>
            <w:tcBorders>
              <w:top w:val="nil"/>
              <w:left w:val="nil"/>
              <w:bottom w:val="nil"/>
              <w:right w:val="single" w:sz="8" w:space="0" w:color="auto"/>
            </w:tcBorders>
            <w:shd w:val="clear" w:color="000000" w:fill="FFFFFF"/>
            <w:noWrap/>
            <w:vAlign w:val="bottom"/>
            <w:hideMark/>
          </w:tcPr>
          <w:p w14:paraId="12AD62FE" w14:textId="77777777" w:rsidR="003C740F" w:rsidRPr="003C740F" w:rsidRDefault="003C740F" w:rsidP="003C740F">
            <w:pPr>
              <w:spacing w:after="0" w:line="240" w:lineRule="auto"/>
              <w:jc w:val="right"/>
              <w:rPr>
                <w:rFonts w:eastAsia="Times New Roman" w:cs="Calibri"/>
                <w:color w:val="000000"/>
                <w:sz w:val="20"/>
                <w:szCs w:val="20"/>
                <w:lang w:val="en-US"/>
              </w:rPr>
            </w:pPr>
            <w:r w:rsidRPr="003C740F">
              <w:rPr>
                <w:rFonts w:eastAsia="Times New Roman" w:cs="Calibri"/>
                <w:color w:val="000000"/>
                <w:sz w:val="20"/>
                <w:szCs w:val="20"/>
                <w:lang w:val="en-US"/>
              </w:rPr>
              <w:t>-365,79</w:t>
            </w:r>
          </w:p>
        </w:tc>
        <w:tc>
          <w:tcPr>
            <w:tcW w:w="955" w:type="dxa"/>
            <w:tcBorders>
              <w:top w:val="nil"/>
              <w:left w:val="nil"/>
              <w:bottom w:val="nil"/>
              <w:right w:val="single" w:sz="8" w:space="0" w:color="auto"/>
            </w:tcBorders>
            <w:shd w:val="clear" w:color="auto" w:fill="auto"/>
            <w:noWrap/>
            <w:vAlign w:val="bottom"/>
            <w:hideMark/>
          </w:tcPr>
          <w:p w14:paraId="20BB69F7" w14:textId="77777777" w:rsidR="003C740F" w:rsidRPr="003C740F" w:rsidRDefault="003C740F" w:rsidP="003C740F">
            <w:pPr>
              <w:spacing w:after="0" w:line="240" w:lineRule="auto"/>
              <w:jc w:val="right"/>
              <w:rPr>
                <w:rFonts w:eastAsia="Times New Roman" w:cs="Calibri"/>
                <w:color w:val="000000"/>
                <w:sz w:val="20"/>
                <w:szCs w:val="20"/>
                <w:lang w:val="en-US"/>
              </w:rPr>
            </w:pPr>
            <w:r w:rsidRPr="003C740F">
              <w:rPr>
                <w:rFonts w:eastAsia="Times New Roman" w:cs="Calibri"/>
                <w:color w:val="000000"/>
                <w:sz w:val="20"/>
                <w:szCs w:val="20"/>
                <w:lang w:val="en-US"/>
              </w:rPr>
              <w:t>-100,00%</w:t>
            </w:r>
          </w:p>
        </w:tc>
      </w:tr>
      <w:tr w:rsidR="003C740F" w:rsidRPr="003C740F" w14:paraId="75E10B38" w14:textId="77777777" w:rsidTr="003C740F">
        <w:trPr>
          <w:trHeight w:val="530"/>
        </w:trPr>
        <w:tc>
          <w:tcPr>
            <w:tcW w:w="1266" w:type="dxa"/>
            <w:tcBorders>
              <w:top w:val="nil"/>
              <w:left w:val="single" w:sz="8" w:space="0" w:color="auto"/>
              <w:bottom w:val="nil"/>
              <w:right w:val="single" w:sz="8" w:space="0" w:color="auto"/>
            </w:tcBorders>
            <w:shd w:val="clear" w:color="auto" w:fill="auto"/>
            <w:noWrap/>
            <w:vAlign w:val="center"/>
            <w:hideMark/>
          </w:tcPr>
          <w:p w14:paraId="463D54CD" w14:textId="4BB6C566" w:rsidR="003C740F" w:rsidRPr="003C740F" w:rsidRDefault="003C740F" w:rsidP="003C740F">
            <w:pPr>
              <w:spacing w:after="0" w:line="240" w:lineRule="auto"/>
              <w:jc w:val="left"/>
              <w:rPr>
                <w:rFonts w:eastAsia="Times New Roman" w:cs="Calibri"/>
                <w:color w:val="000000"/>
                <w:sz w:val="20"/>
                <w:szCs w:val="20"/>
                <w:lang w:val="en-US"/>
              </w:rPr>
            </w:pPr>
            <w:r w:rsidRPr="003C740F">
              <w:rPr>
                <w:rFonts w:eastAsia="Times New Roman" w:cs="Calibri"/>
                <w:color w:val="000000"/>
                <w:sz w:val="20"/>
                <w:szCs w:val="20"/>
                <w:lang w:val="en-US"/>
              </w:rPr>
              <w:t>2.1.1.01.04.05</w:t>
            </w:r>
          </w:p>
        </w:tc>
        <w:tc>
          <w:tcPr>
            <w:tcW w:w="3340" w:type="dxa"/>
            <w:tcBorders>
              <w:top w:val="nil"/>
              <w:left w:val="nil"/>
              <w:bottom w:val="nil"/>
              <w:right w:val="single" w:sz="8" w:space="0" w:color="auto"/>
            </w:tcBorders>
            <w:shd w:val="clear" w:color="auto" w:fill="auto"/>
            <w:vAlign w:val="bottom"/>
            <w:hideMark/>
          </w:tcPr>
          <w:p w14:paraId="39EB2167" w14:textId="77777777" w:rsidR="003C740F" w:rsidRPr="003C740F" w:rsidRDefault="003C740F" w:rsidP="003C740F">
            <w:pPr>
              <w:spacing w:after="0" w:line="240" w:lineRule="auto"/>
              <w:jc w:val="left"/>
              <w:rPr>
                <w:rFonts w:eastAsia="Times New Roman" w:cs="Calibri"/>
                <w:color w:val="000000"/>
                <w:sz w:val="20"/>
                <w:szCs w:val="20"/>
              </w:rPr>
            </w:pPr>
            <w:r w:rsidRPr="003C740F">
              <w:rPr>
                <w:rFonts w:eastAsia="Times New Roman" w:cs="Calibri"/>
                <w:color w:val="000000"/>
                <w:sz w:val="20"/>
                <w:szCs w:val="20"/>
              </w:rPr>
              <w:t>Deudas comerciales por gastos de viaje y transporte c/p</w:t>
            </w:r>
          </w:p>
        </w:tc>
        <w:tc>
          <w:tcPr>
            <w:tcW w:w="1014" w:type="dxa"/>
            <w:tcBorders>
              <w:top w:val="nil"/>
              <w:left w:val="nil"/>
              <w:bottom w:val="nil"/>
              <w:right w:val="single" w:sz="8" w:space="0" w:color="auto"/>
            </w:tcBorders>
            <w:shd w:val="clear" w:color="000000" w:fill="FFFFFF"/>
            <w:noWrap/>
            <w:vAlign w:val="bottom"/>
            <w:hideMark/>
          </w:tcPr>
          <w:p w14:paraId="0C6D3999" w14:textId="77777777" w:rsidR="003C740F" w:rsidRPr="003C740F" w:rsidRDefault="003C740F" w:rsidP="003C740F">
            <w:pPr>
              <w:spacing w:after="0" w:line="240" w:lineRule="auto"/>
              <w:jc w:val="right"/>
              <w:rPr>
                <w:rFonts w:eastAsia="Times New Roman" w:cs="Calibri"/>
                <w:color w:val="000000"/>
                <w:sz w:val="20"/>
                <w:szCs w:val="20"/>
                <w:lang w:val="en-US"/>
              </w:rPr>
            </w:pPr>
            <w:r w:rsidRPr="003C740F">
              <w:rPr>
                <w:rFonts w:eastAsia="Times New Roman" w:cs="Calibri"/>
                <w:color w:val="000000"/>
                <w:sz w:val="20"/>
                <w:szCs w:val="20"/>
                <w:lang w:val="en-US"/>
              </w:rPr>
              <w:t>5,00</w:t>
            </w:r>
          </w:p>
        </w:tc>
        <w:tc>
          <w:tcPr>
            <w:tcW w:w="1090" w:type="dxa"/>
            <w:tcBorders>
              <w:top w:val="nil"/>
              <w:left w:val="nil"/>
              <w:bottom w:val="nil"/>
              <w:right w:val="single" w:sz="8" w:space="0" w:color="auto"/>
            </w:tcBorders>
            <w:shd w:val="clear" w:color="000000" w:fill="FFFFFF"/>
            <w:noWrap/>
            <w:vAlign w:val="bottom"/>
            <w:hideMark/>
          </w:tcPr>
          <w:p w14:paraId="55475981" w14:textId="77777777" w:rsidR="003C740F" w:rsidRPr="003C740F" w:rsidRDefault="003C740F" w:rsidP="003C740F">
            <w:pPr>
              <w:spacing w:after="0" w:line="240" w:lineRule="auto"/>
              <w:jc w:val="right"/>
              <w:rPr>
                <w:rFonts w:eastAsia="Times New Roman" w:cs="Calibri"/>
                <w:color w:val="000000"/>
                <w:sz w:val="20"/>
                <w:szCs w:val="20"/>
                <w:lang w:val="en-US"/>
              </w:rPr>
            </w:pPr>
            <w:r w:rsidRPr="003C740F">
              <w:rPr>
                <w:rFonts w:eastAsia="Times New Roman" w:cs="Calibri"/>
                <w:color w:val="000000"/>
                <w:sz w:val="20"/>
                <w:szCs w:val="20"/>
                <w:lang w:val="en-US"/>
              </w:rPr>
              <w:t>317,40</w:t>
            </w:r>
          </w:p>
        </w:tc>
        <w:tc>
          <w:tcPr>
            <w:tcW w:w="1160" w:type="dxa"/>
            <w:tcBorders>
              <w:top w:val="nil"/>
              <w:left w:val="nil"/>
              <w:bottom w:val="nil"/>
              <w:right w:val="single" w:sz="8" w:space="0" w:color="auto"/>
            </w:tcBorders>
            <w:shd w:val="clear" w:color="000000" w:fill="FFFFFF"/>
            <w:noWrap/>
            <w:vAlign w:val="bottom"/>
            <w:hideMark/>
          </w:tcPr>
          <w:p w14:paraId="2D41892C" w14:textId="77777777" w:rsidR="003C740F" w:rsidRPr="003C740F" w:rsidRDefault="003C740F" w:rsidP="003C740F">
            <w:pPr>
              <w:spacing w:after="0" w:line="240" w:lineRule="auto"/>
              <w:jc w:val="right"/>
              <w:rPr>
                <w:rFonts w:eastAsia="Times New Roman" w:cs="Calibri"/>
                <w:color w:val="000000"/>
                <w:sz w:val="20"/>
                <w:szCs w:val="20"/>
                <w:lang w:val="en-US"/>
              </w:rPr>
            </w:pPr>
            <w:r w:rsidRPr="003C740F">
              <w:rPr>
                <w:rFonts w:eastAsia="Times New Roman" w:cs="Calibri"/>
                <w:color w:val="000000"/>
                <w:sz w:val="20"/>
                <w:szCs w:val="20"/>
                <w:lang w:val="en-US"/>
              </w:rPr>
              <w:t>-312,40</w:t>
            </w:r>
          </w:p>
        </w:tc>
        <w:tc>
          <w:tcPr>
            <w:tcW w:w="955" w:type="dxa"/>
            <w:tcBorders>
              <w:top w:val="nil"/>
              <w:left w:val="nil"/>
              <w:bottom w:val="nil"/>
              <w:right w:val="single" w:sz="8" w:space="0" w:color="auto"/>
            </w:tcBorders>
            <w:shd w:val="clear" w:color="auto" w:fill="auto"/>
            <w:noWrap/>
            <w:vAlign w:val="bottom"/>
            <w:hideMark/>
          </w:tcPr>
          <w:p w14:paraId="4638389F" w14:textId="77777777" w:rsidR="003C740F" w:rsidRPr="003C740F" w:rsidRDefault="003C740F" w:rsidP="003C740F">
            <w:pPr>
              <w:spacing w:after="0" w:line="240" w:lineRule="auto"/>
              <w:jc w:val="right"/>
              <w:rPr>
                <w:rFonts w:eastAsia="Times New Roman" w:cs="Calibri"/>
                <w:color w:val="000000"/>
                <w:sz w:val="20"/>
                <w:szCs w:val="20"/>
                <w:lang w:val="en-US"/>
              </w:rPr>
            </w:pPr>
            <w:r w:rsidRPr="003C740F">
              <w:rPr>
                <w:rFonts w:eastAsia="Times New Roman" w:cs="Calibri"/>
                <w:color w:val="000000"/>
                <w:sz w:val="20"/>
                <w:szCs w:val="20"/>
                <w:lang w:val="en-US"/>
              </w:rPr>
              <w:t>-98,42%</w:t>
            </w:r>
          </w:p>
        </w:tc>
      </w:tr>
      <w:tr w:rsidR="003C740F" w:rsidRPr="003C740F" w14:paraId="718F119C" w14:textId="77777777" w:rsidTr="003C740F">
        <w:trPr>
          <w:trHeight w:val="530"/>
        </w:trPr>
        <w:tc>
          <w:tcPr>
            <w:tcW w:w="1266" w:type="dxa"/>
            <w:tcBorders>
              <w:top w:val="nil"/>
              <w:left w:val="single" w:sz="8" w:space="0" w:color="auto"/>
              <w:bottom w:val="nil"/>
              <w:right w:val="single" w:sz="8" w:space="0" w:color="auto"/>
            </w:tcBorders>
            <w:shd w:val="clear" w:color="auto" w:fill="auto"/>
            <w:noWrap/>
            <w:vAlign w:val="center"/>
            <w:hideMark/>
          </w:tcPr>
          <w:p w14:paraId="55784CEB" w14:textId="3DBFC7AD" w:rsidR="003C740F" w:rsidRPr="003C740F" w:rsidRDefault="003C740F" w:rsidP="003C740F">
            <w:pPr>
              <w:spacing w:after="0" w:line="240" w:lineRule="auto"/>
              <w:jc w:val="left"/>
              <w:rPr>
                <w:rFonts w:eastAsia="Times New Roman" w:cs="Calibri"/>
                <w:color w:val="000000"/>
                <w:sz w:val="20"/>
                <w:szCs w:val="20"/>
                <w:lang w:val="en-US"/>
              </w:rPr>
            </w:pPr>
            <w:r w:rsidRPr="003C740F">
              <w:rPr>
                <w:rFonts w:eastAsia="Times New Roman" w:cs="Calibri"/>
                <w:color w:val="000000"/>
                <w:sz w:val="20"/>
                <w:szCs w:val="20"/>
                <w:lang w:val="en-US"/>
              </w:rPr>
              <w:t>2.1.1.01.04.06</w:t>
            </w:r>
          </w:p>
        </w:tc>
        <w:tc>
          <w:tcPr>
            <w:tcW w:w="3340" w:type="dxa"/>
            <w:tcBorders>
              <w:top w:val="nil"/>
              <w:left w:val="nil"/>
              <w:bottom w:val="nil"/>
              <w:right w:val="single" w:sz="8" w:space="0" w:color="auto"/>
            </w:tcBorders>
            <w:shd w:val="clear" w:color="auto" w:fill="auto"/>
            <w:vAlign w:val="bottom"/>
            <w:hideMark/>
          </w:tcPr>
          <w:p w14:paraId="032BAAAB" w14:textId="77777777" w:rsidR="003C740F" w:rsidRPr="003C740F" w:rsidRDefault="003C740F" w:rsidP="003C740F">
            <w:pPr>
              <w:spacing w:after="0" w:line="240" w:lineRule="auto"/>
              <w:jc w:val="left"/>
              <w:rPr>
                <w:rFonts w:eastAsia="Times New Roman" w:cs="Calibri"/>
                <w:color w:val="000000"/>
                <w:sz w:val="20"/>
                <w:szCs w:val="20"/>
              </w:rPr>
            </w:pPr>
            <w:r w:rsidRPr="003C740F">
              <w:rPr>
                <w:rFonts w:eastAsia="Times New Roman" w:cs="Calibri"/>
                <w:color w:val="000000"/>
                <w:sz w:val="20"/>
                <w:szCs w:val="20"/>
              </w:rPr>
              <w:t>Deudas comerciales por seguros, reaseguros y otras obligaciones c/p</w:t>
            </w:r>
          </w:p>
        </w:tc>
        <w:tc>
          <w:tcPr>
            <w:tcW w:w="1014" w:type="dxa"/>
            <w:tcBorders>
              <w:top w:val="nil"/>
              <w:left w:val="nil"/>
              <w:bottom w:val="nil"/>
              <w:right w:val="single" w:sz="8" w:space="0" w:color="auto"/>
            </w:tcBorders>
            <w:shd w:val="clear" w:color="000000" w:fill="FFFFFF"/>
            <w:noWrap/>
            <w:vAlign w:val="bottom"/>
            <w:hideMark/>
          </w:tcPr>
          <w:p w14:paraId="3D3F06B0" w14:textId="77777777" w:rsidR="003C740F" w:rsidRPr="003C740F" w:rsidRDefault="003C740F" w:rsidP="003C740F">
            <w:pPr>
              <w:spacing w:after="0" w:line="240" w:lineRule="auto"/>
              <w:jc w:val="right"/>
              <w:rPr>
                <w:rFonts w:eastAsia="Times New Roman" w:cs="Calibri"/>
                <w:color w:val="000000"/>
                <w:sz w:val="20"/>
                <w:szCs w:val="20"/>
                <w:lang w:val="en-US"/>
              </w:rPr>
            </w:pPr>
            <w:r w:rsidRPr="003C740F">
              <w:rPr>
                <w:rFonts w:eastAsia="Times New Roman" w:cs="Calibri"/>
                <w:color w:val="000000"/>
                <w:sz w:val="20"/>
                <w:szCs w:val="20"/>
                <w:lang w:val="en-US"/>
              </w:rPr>
              <w:t>0,00</w:t>
            </w:r>
          </w:p>
        </w:tc>
        <w:tc>
          <w:tcPr>
            <w:tcW w:w="1090" w:type="dxa"/>
            <w:tcBorders>
              <w:top w:val="nil"/>
              <w:left w:val="nil"/>
              <w:bottom w:val="nil"/>
              <w:right w:val="single" w:sz="8" w:space="0" w:color="auto"/>
            </w:tcBorders>
            <w:shd w:val="clear" w:color="000000" w:fill="FFFFFF"/>
            <w:noWrap/>
            <w:vAlign w:val="bottom"/>
            <w:hideMark/>
          </w:tcPr>
          <w:p w14:paraId="35F059FE" w14:textId="77777777" w:rsidR="003C740F" w:rsidRPr="003C740F" w:rsidRDefault="003C740F" w:rsidP="003C740F">
            <w:pPr>
              <w:spacing w:after="0" w:line="240" w:lineRule="auto"/>
              <w:jc w:val="right"/>
              <w:rPr>
                <w:rFonts w:eastAsia="Times New Roman" w:cs="Calibri"/>
                <w:color w:val="000000"/>
                <w:sz w:val="20"/>
                <w:szCs w:val="20"/>
                <w:lang w:val="en-US"/>
              </w:rPr>
            </w:pPr>
            <w:r w:rsidRPr="003C740F">
              <w:rPr>
                <w:rFonts w:eastAsia="Times New Roman" w:cs="Calibri"/>
                <w:color w:val="000000"/>
                <w:sz w:val="20"/>
                <w:szCs w:val="20"/>
                <w:lang w:val="en-US"/>
              </w:rPr>
              <w:t>0,00</w:t>
            </w:r>
          </w:p>
        </w:tc>
        <w:tc>
          <w:tcPr>
            <w:tcW w:w="1160" w:type="dxa"/>
            <w:tcBorders>
              <w:top w:val="nil"/>
              <w:left w:val="nil"/>
              <w:bottom w:val="nil"/>
              <w:right w:val="single" w:sz="8" w:space="0" w:color="auto"/>
            </w:tcBorders>
            <w:shd w:val="clear" w:color="000000" w:fill="FFFFFF"/>
            <w:noWrap/>
            <w:vAlign w:val="bottom"/>
            <w:hideMark/>
          </w:tcPr>
          <w:p w14:paraId="60B93DC3" w14:textId="77777777" w:rsidR="003C740F" w:rsidRPr="003C740F" w:rsidRDefault="003C740F" w:rsidP="003C740F">
            <w:pPr>
              <w:spacing w:after="0" w:line="240" w:lineRule="auto"/>
              <w:jc w:val="right"/>
              <w:rPr>
                <w:rFonts w:eastAsia="Times New Roman" w:cs="Calibri"/>
                <w:color w:val="000000"/>
                <w:sz w:val="20"/>
                <w:szCs w:val="20"/>
                <w:lang w:val="en-US"/>
              </w:rPr>
            </w:pPr>
            <w:r w:rsidRPr="003C740F">
              <w:rPr>
                <w:rFonts w:eastAsia="Times New Roman" w:cs="Calibri"/>
                <w:color w:val="000000"/>
                <w:sz w:val="20"/>
                <w:szCs w:val="20"/>
                <w:lang w:val="en-US"/>
              </w:rPr>
              <w:t>0,00</w:t>
            </w:r>
          </w:p>
        </w:tc>
        <w:tc>
          <w:tcPr>
            <w:tcW w:w="955" w:type="dxa"/>
            <w:tcBorders>
              <w:top w:val="nil"/>
              <w:left w:val="nil"/>
              <w:bottom w:val="nil"/>
              <w:right w:val="single" w:sz="8" w:space="0" w:color="auto"/>
            </w:tcBorders>
            <w:shd w:val="clear" w:color="auto" w:fill="auto"/>
            <w:noWrap/>
            <w:vAlign w:val="bottom"/>
            <w:hideMark/>
          </w:tcPr>
          <w:p w14:paraId="3D834F89" w14:textId="77777777" w:rsidR="003C740F" w:rsidRPr="003C740F" w:rsidRDefault="003C740F" w:rsidP="003C740F">
            <w:pPr>
              <w:spacing w:after="0" w:line="240" w:lineRule="auto"/>
              <w:jc w:val="right"/>
              <w:rPr>
                <w:rFonts w:eastAsia="Times New Roman" w:cs="Calibri"/>
                <w:color w:val="000000"/>
                <w:sz w:val="20"/>
                <w:szCs w:val="20"/>
                <w:lang w:val="en-US"/>
              </w:rPr>
            </w:pPr>
            <w:r w:rsidRPr="003C740F">
              <w:rPr>
                <w:rFonts w:eastAsia="Times New Roman" w:cs="Calibri"/>
                <w:color w:val="000000"/>
                <w:sz w:val="20"/>
                <w:szCs w:val="20"/>
                <w:lang w:val="en-US"/>
              </w:rPr>
              <w:t> </w:t>
            </w:r>
          </w:p>
        </w:tc>
      </w:tr>
      <w:tr w:rsidR="003C740F" w:rsidRPr="003C740F" w14:paraId="72628317" w14:textId="77777777" w:rsidTr="003C740F">
        <w:trPr>
          <w:trHeight w:val="530"/>
        </w:trPr>
        <w:tc>
          <w:tcPr>
            <w:tcW w:w="1266" w:type="dxa"/>
            <w:tcBorders>
              <w:top w:val="nil"/>
              <w:left w:val="single" w:sz="8" w:space="0" w:color="auto"/>
              <w:bottom w:val="nil"/>
              <w:right w:val="single" w:sz="8" w:space="0" w:color="auto"/>
            </w:tcBorders>
            <w:shd w:val="clear" w:color="auto" w:fill="auto"/>
            <w:noWrap/>
            <w:vAlign w:val="center"/>
            <w:hideMark/>
          </w:tcPr>
          <w:p w14:paraId="18A37B85" w14:textId="015C07BA" w:rsidR="003C740F" w:rsidRPr="003C740F" w:rsidRDefault="003C740F" w:rsidP="003C740F">
            <w:pPr>
              <w:spacing w:after="0" w:line="240" w:lineRule="auto"/>
              <w:jc w:val="left"/>
              <w:rPr>
                <w:rFonts w:eastAsia="Times New Roman" w:cs="Calibri"/>
                <w:color w:val="000000"/>
                <w:sz w:val="20"/>
                <w:szCs w:val="20"/>
                <w:lang w:val="en-US"/>
              </w:rPr>
            </w:pPr>
            <w:r w:rsidRPr="003C740F">
              <w:rPr>
                <w:rFonts w:eastAsia="Times New Roman" w:cs="Calibri"/>
                <w:color w:val="000000"/>
                <w:sz w:val="20"/>
                <w:szCs w:val="20"/>
                <w:lang w:val="en-US"/>
              </w:rPr>
              <w:t>2.1.1.01.04.07</w:t>
            </w:r>
          </w:p>
        </w:tc>
        <w:tc>
          <w:tcPr>
            <w:tcW w:w="3340" w:type="dxa"/>
            <w:tcBorders>
              <w:top w:val="nil"/>
              <w:left w:val="nil"/>
              <w:bottom w:val="nil"/>
              <w:right w:val="single" w:sz="8" w:space="0" w:color="auto"/>
            </w:tcBorders>
            <w:shd w:val="clear" w:color="auto" w:fill="auto"/>
            <w:vAlign w:val="bottom"/>
            <w:hideMark/>
          </w:tcPr>
          <w:p w14:paraId="52C65BE1" w14:textId="77777777" w:rsidR="003C740F" w:rsidRPr="003C740F" w:rsidRDefault="003C740F" w:rsidP="003C740F">
            <w:pPr>
              <w:spacing w:after="0" w:line="240" w:lineRule="auto"/>
              <w:jc w:val="left"/>
              <w:rPr>
                <w:rFonts w:eastAsia="Times New Roman" w:cs="Calibri"/>
                <w:color w:val="000000"/>
                <w:sz w:val="20"/>
                <w:szCs w:val="20"/>
              </w:rPr>
            </w:pPr>
            <w:r w:rsidRPr="003C740F">
              <w:rPr>
                <w:rFonts w:eastAsia="Times New Roman" w:cs="Calibri"/>
                <w:color w:val="000000"/>
                <w:sz w:val="20"/>
                <w:szCs w:val="20"/>
              </w:rPr>
              <w:t>Deudas comerciales por capacitación y protocolo c/p</w:t>
            </w:r>
          </w:p>
        </w:tc>
        <w:tc>
          <w:tcPr>
            <w:tcW w:w="1014" w:type="dxa"/>
            <w:tcBorders>
              <w:top w:val="nil"/>
              <w:left w:val="nil"/>
              <w:bottom w:val="nil"/>
              <w:right w:val="single" w:sz="8" w:space="0" w:color="auto"/>
            </w:tcBorders>
            <w:shd w:val="clear" w:color="000000" w:fill="FFFFFF"/>
            <w:noWrap/>
            <w:vAlign w:val="bottom"/>
            <w:hideMark/>
          </w:tcPr>
          <w:p w14:paraId="1EBFBA48" w14:textId="77777777" w:rsidR="003C740F" w:rsidRPr="003C740F" w:rsidRDefault="003C740F" w:rsidP="003C740F">
            <w:pPr>
              <w:spacing w:after="0" w:line="240" w:lineRule="auto"/>
              <w:jc w:val="right"/>
              <w:rPr>
                <w:rFonts w:eastAsia="Times New Roman" w:cs="Calibri"/>
                <w:color w:val="000000"/>
                <w:sz w:val="20"/>
                <w:szCs w:val="20"/>
                <w:lang w:val="en-US"/>
              </w:rPr>
            </w:pPr>
            <w:r w:rsidRPr="003C740F">
              <w:rPr>
                <w:rFonts w:eastAsia="Times New Roman" w:cs="Calibri"/>
                <w:color w:val="000000"/>
                <w:sz w:val="20"/>
                <w:szCs w:val="20"/>
                <w:lang w:val="en-US"/>
              </w:rPr>
              <w:t>0,00</w:t>
            </w:r>
          </w:p>
        </w:tc>
        <w:tc>
          <w:tcPr>
            <w:tcW w:w="1090" w:type="dxa"/>
            <w:tcBorders>
              <w:top w:val="nil"/>
              <w:left w:val="nil"/>
              <w:bottom w:val="nil"/>
              <w:right w:val="single" w:sz="8" w:space="0" w:color="auto"/>
            </w:tcBorders>
            <w:shd w:val="clear" w:color="000000" w:fill="FFFFFF"/>
            <w:noWrap/>
            <w:vAlign w:val="bottom"/>
            <w:hideMark/>
          </w:tcPr>
          <w:p w14:paraId="3C5A1314" w14:textId="77777777" w:rsidR="003C740F" w:rsidRPr="003C740F" w:rsidRDefault="003C740F" w:rsidP="003C740F">
            <w:pPr>
              <w:spacing w:after="0" w:line="240" w:lineRule="auto"/>
              <w:jc w:val="right"/>
              <w:rPr>
                <w:rFonts w:eastAsia="Times New Roman" w:cs="Calibri"/>
                <w:color w:val="000000"/>
                <w:sz w:val="20"/>
                <w:szCs w:val="20"/>
                <w:lang w:val="en-US"/>
              </w:rPr>
            </w:pPr>
            <w:r w:rsidRPr="003C740F">
              <w:rPr>
                <w:rFonts w:eastAsia="Times New Roman" w:cs="Calibri"/>
                <w:color w:val="000000"/>
                <w:sz w:val="20"/>
                <w:szCs w:val="20"/>
                <w:lang w:val="en-US"/>
              </w:rPr>
              <w:t>0,00</w:t>
            </w:r>
          </w:p>
        </w:tc>
        <w:tc>
          <w:tcPr>
            <w:tcW w:w="1160" w:type="dxa"/>
            <w:tcBorders>
              <w:top w:val="nil"/>
              <w:left w:val="nil"/>
              <w:bottom w:val="nil"/>
              <w:right w:val="single" w:sz="8" w:space="0" w:color="auto"/>
            </w:tcBorders>
            <w:shd w:val="clear" w:color="000000" w:fill="FFFFFF"/>
            <w:noWrap/>
            <w:vAlign w:val="bottom"/>
            <w:hideMark/>
          </w:tcPr>
          <w:p w14:paraId="669AC593" w14:textId="77777777" w:rsidR="003C740F" w:rsidRPr="003C740F" w:rsidRDefault="003C740F" w:rsidP="003C740F">
            <w:pPr>
              <w:spacing w:after="0" w:line="240" w:lineRule="auto"/>
              <w:jc w:val="right"/>
              <w:rPr>
                <w:rFonts w:eastAsia="Times New Roman" w:cs="Calibri"/>
                <w:color w:val="000000"/>
                <w:sz w:val="20"/>
                <w:szCs w:val="20"/>
                <w:lang w:val="en-US"/>
              </w:rPr>
            </w:pPr>
            <w:r w:rsidRPr="003C740F">
              <w:rPr>
                <w:rFonts w:eastAsia="Times New Roman" w:cs="Calibri"/>
                <w:color w:val="000000"/>
                <w:sz w:val="20"/>
                <w:szCs w:val="20"/>
                <w:lang w:val="en-US"/>
              </w:rPr>
              <w:t>0,00</w:t>
            </w:r>
          </w:p>
        </w:tc>
        <w:tc>
          <w:tcPr>
            <w:tcW w:w="955" w:type="dxa"/>
            <w:tcBorders>
              <w:top w:val="nil"/>
              <w:left w:val="nil"/>
              <w:bottom w:val="nil"/>
              <w:right w:val="single" w:sz="8" w:space="0" w:color="auto"/>
            </w:tcBorders>
            <w:shd w:val="clear" w:color="auto" w:fill="auto"/>
            <w:noWrap/>
            <w:vAlign w:val="bottom"/>
            <w:hideMark/>
          </w:tcPr>
          <w:p w14:paraId="5A9A740A" w14:textId="77777777" w:rsidR="003C740F" w:rsidRPr="003C740F" w:rsidRDefault="003C740F" w:rsidP="003C740F">
            <w:pPr>
              <w:spacing w:after="0" w:line="240" w:lineRule="auto"/>
              <w:jc w:val="right"/>
              <w:rPr>
                <w:rFonts w:eastAsia="Times New Roman" w:cs="Calibri"/>
                <w:color w:val="000000"/>
                <w:sz w:val="20"/>
                <w:szCs w:val="20"/>
                <w:lang w:val="en-US"/>
              </w:rPr>
            </w:pPr>
            <w:r w:rsidRPr="003C740F">
              <w:rPr>
                <w:rFonts w:eastAsia="Times New Roman" w:cs="Calibri"/>
                <w:color w:val="000000"/>
                <w:sz w:val="20"/>
                <w:szCs w:val="20"/>
                <w:lang w:val="en-US"/>
              </w:rPr>
              <w:t>#DIV/0!</w:t>
            </w:r>
          </w:p>
        </w:tc>
      </w:tr>
      <w:tr w:rsidR="003C740F" w:rsidRPr="003C740F" w14:paraId="043ABB7A" w14:textId="77777777" w:rsidTr="003C740F">
        <w:trPr>
          <w:trHeight w:val="540"/>
        </w:trPr>
        <w:tc>
          <w:tcPr>
            <w:tcW w:w="1266" w:type="dxa"/>
            <w:tcBorders>
              <w:top w:val="nil"/>
              <w:left w:val="single" w:sz="8" w:space="0" w:color="auto"/>
              <w:bottom w:val="nil"/>
              <w:right w:val="single" w:sz="8" w:space="0" w:color="auto"/>
            </w:tcBorders>
            <w:shd w:val="clear" w:color="auto" w:fill="auto"/>
            <w:noWrap/>
            <w:vAlign w:val="center"/>
            <w:hideMark/>
          </w:tcPr>
          <w:p w14:paraId="484BF2EE" w14:textId="42A10FCF" w:rsidR="003C740F" w:rsidRPr="003C740F" w:rsidRDefault="003C740F" w:rsidP="003C740F">
            <w:pPr>
              <w:spacing w:after="0" w:line="240" w:lineRule="auto"/>
              <w:jc w:val="left"/>
              <w:rPr>
                <w:rFonts w:eastAsia="Times New Roman" w:cs="Calibri"/>
                <w:color w:val="000000"/>
                <w:sz w:val="20"/>
                <w:szCs w:val="20"/>
                <w:lang w:val="en-US"/>
              </w:rPr>
            </w:pPr>
            <w:r w:rsidRPr="003C740F">
              <w:rPr>
                <w:rFonts w:eastAsia="Times New Roman" w:cs="Calibri"/>
                <w:color w:val="000000"/>
                <w:sz w:val="20"/>
                <w:szCs w:val="20"/>
                <w:lang w:val="en-US"/>
              </w:rPr>
              <w:t>2.1.1.01.04.08</w:t>
            </w:r>
          </w:p>
        </w:tc>
        <w:tc>
          <w:tcPr>
            <w:tcW w:w="3340" w:type="dxa"/>
            <w:tcBorders>
              <w:top w:val="nil"/>
              <w:left w:val="nil"/>
              <w:bottom w:val="nil"/>
              <w:right w:val="single" w:sz="8" w:space="0" w:color="auto"/>
            </w:tcBorders>
            <w:shd w:val="clear" w:color="auto" w:fill="auto"/>
            <w:vAlign w:val="bottom"/>
            <w:hideMark/>
          </w:tcPr>
          <w:p w14:paraId="24B36BC1" w14:textId="77777777" w:rsidR="003C740F" w:rsidRPr="003C740F" w:rsidRDefault="003C740F" w:rsidP="003C740F">
            <w:pPr>
              <w:spacing w:after="0" w:line="240" w:lineRule="auto"/>
              <w:jc w:val="left"/>
              <w:rPr>
                <w:rFonts w:eastAsia="Times New Roman" w:cs="Calibri"/>
                <w:color w:val="000000"/>
                <w:sz w:val="20"/>
                <w:szCs w:val="20"/>
              </w:rPr>
            </w:pPr>
            <w:r w:rsidRPr="003C740F">
              <w:rPr>
                <w:rFonts w:eastAsia="Times New Roman" w:cs="Calibri"/>
                <w:color w:val="000000"/>
                <w:sz w:val="20"/>
                <w:szCs w:val="20"/>
              </w:rPr>
              <w:t>Deudas comerciales por mantenimiento y reparaciones c/p</w:t>
            </w:r>
          </w:p>
        </w:tc>
        <w:tc>
          <w:tcPr>
            <w:tcW w:w="1014" w:type="dxa"/>
            <w:tcBorders>
              <w:top w:val="nil"/>
              <w:left w:val="nil"/>
              <w:bottom w:val="nil"/>
              <w:right w:val="single" w:sz="8" w:space="0" w:color="auto"/>
            </w:tcBorders>
            <w:shd w:val="clear" w:color="000000" w:fill="FFFFFF"/>
            <w:noWrap/>
            <w:vAlign w:val="bottom"/>
            <w:hideMark/>
          </w:tcPr>
          <w:p w14:paraId="1239960B" w14:textId="77777777" w:rsidR="003C740F" w:rsidRPr="003C740F" w:rsidRDefault="003C740F" w:rsidP="003C740F">
            <w:pPr>
              <w:spacing w:after="0" w:line="240" w:lineRule="auto"/>
              <w:jc w:val="right"/>
              <w:rPr>
                <w:rFonts w:eastAsia="Times New Roman" w:cs="Calibri"/>
                <w:color w:val="000000"/>
                <w:sz w:val="20"/>
                <w:szCs w:val="20"/>
                <w:lang w:val="en-US"/>
              </w:rPr>
            </w:pPr>
            <w:r w:rsidRPr="003C740F">
              <w:rPr>
                <w:rFonts w:eastAsia="Times New Roman" w:cs="Calibri"/>
                <w:color w:val="000000"/>
                <w:sz w:val="20"/>
                <w:szCs w:val="20"/>
                <w:lang w:val="en-US"/>
              </w:rPr>
              <w:t>24,00</w:t>
            </w:r>
          </w:p>
        </w:tc>
        <w:tc>
          <w:tcPr>
            <w:tcW w:w="1090" w:type="dxa"/>
            <w:tcBorders>
              <w:top w:val="nil"/>
              <w:left w:val="nil"/>
              <w:bottom w:val="nil"/>
              <w:right w:val="single" w:sz="8" w:space="0" w:color="auto"/>
            </w:tcBorders>
            <w:shd w:val="clear" w:color="000000" w:fill="FFFFFF"/>
            <w:noWrap/>
            <w:vAlign w:val="bottom"/>
            <w:hideMark/>
          </w:tcPr>
          <w:p w14:paraId="463DF00C" w14:textId="77777777" w:rsidR="003C740F" w:rsidRPr="003C740F" w:rsidRDefault="003C740F" w:rsidP="003C740F">
            <w:pPr>
              <w:spacing w:after="0" w:line="240" w:lineRule="auto"/>
              <w:jc w:val="right"/>
              <w:rPr>
                <w:rFonts w:eastAsia="Times New Roman" w:cs="Calibri"/>
                <w:color w:val="000000"/>
                <w:sz w:val="20"/>
                <w:szCs w:val="20"/>
                <w:lang w:val="en-US"/>
              </w:rPr>
            </w:pPr>
            <w:r w:rsidRPr="003C740F">
              <w:rPr>
                <w:rFonts w:eastAsia="Times New Roman" w:cs="Calibri"/>
                <w:color w:val="000000"/>
                <w:sz w:val="20"/>
                <w:szCs w:val="20"/>
                <w:lang w:val="en-US"/>
              </w:rPr>
              <w:t>5 896,50</w:t>
            </w:r>
          </w:p>
        </w:tc>
        <w:tc>
          <w:tcPr>
            <w:tcW w:w="1160" w:type="dxa"/>
            <w:tcBorders>
              <w:top w:val="nil"/>
              <w:left w:val="nil"/>
              <w:bottom w:val="nil"/>
              <w:right w:val="single" w:sz="8" w:space="0" w:color="auto"/>
            </w:tcBorders>
            <w:shd w:val="clear" w:color="000000" w:fill="FFFFFF"/>
            <w:noWrap/>
            <w:vAlign w:val="bottom"/>
            <w:hideMark/>
          </w:tcPr>
          <w:p w14:paraId="512EE436" w14:textId="77777777" w:rsidR="003C740F" w:rsidRPr="003C740F" w:rsidRDefault="003C740F" w:rsidP="003C740F">
            <w:pPr>
              <w:spacing w:after="0" w:line="240" w:lineRule="auto"/>
              <w:jc w:val="right"/>
              <w:rPr>
                <w:rFonts w:eastAsia="Times New Roman" w:cs="Calibri"/>
                <w:color w:val="000000"/>
                <w:sz w:val="20"/>
                <w:szCs w:val="20"/>
                <w:lang w:val="en-US"/>
              </w:rPr>
            </w:pPr>
            <w:r w:rsidRPr="003C740F">
              <w:rPr>
                <w:rFonts w:eastAsia="Times New Roman" w:cs="Calibri"/>
                <w:color w:val="000000"/>
                <w:sz w:val="20"/>
                <w:szCs w:val="20"/>
                <w:lang w:val="en-US"/>
              </w:rPr>
              <w:t>-5 872,50</w:t>
            </w:r>
          </w:p>
        </w:tc>
        <w:tc>
          <w:tcPr>
            <w:tcW w:w="955" w:type="dxa"/>
            <w:tcBorders>
              <w:top w:val="nil"/>
              <w:left w:val="nil"/>
              <w:bottom w:val="nil"/>
              <w:right w:val="single" w:sz="8" w:space="0" w:color="auto"/>
            </w:tcBorders>
            <w:shd w:val="clear" w:color="auto" w:fill="auto"/>
            <w:noWrap/>
            <w:vAlign w:val="bottom"/>
            <w:hideMark/>
          </w:tcPr>
          <w:p w14:paraId="0EF5BC05" w14:textId="77777777" w:rsidR="003C740F" w:rsidRPr="003C740F" w:rsidRDefault="003C740F" w:rsidP="003C740F">
            <w:pPr>
              <w:spacing w:after="0" w:line="240" w:lineRule="auto"/>
              <w:jc w:val="right"/>
              <w:rPr>
                <w:rFonts w:eastAsia="Times New Roman" w:cs="Calibri"/>
                <w:color w:val="000000"/>
                <w:sz w:val="20"/>
                <w:szCs w:val="20"/>
                <w:lang w:val="en-US"/>
              </w:rPr>
            </w:pPr>
            <w:r w:rsidRPr="003C740F">
              <w:rPr>
                <w:rFonts w:eastAsia="Times New Roman" w:cs="Calibri"/>
                <w:color w:val="000000"/>
                <w:sz w:val="20"/>
                <w:szCs w:val="20"/>
                <w:lang w:val="en-US"/>
              </w:rPr>
              <w:t>-99,59%</w:t>
            </w:r>
          </w:p>
        </w:tc>
      </w:tr>
      <w:tr w:rsidR="003C740F" w:rsidRPr="003C740F" w14:paraId="082D705B" w14:textId="77777777" w:rsidTr="003C740F">
        <w:trPr>
          <w:trHeight w:val="300"/>
        </w:trPr>
        <w:tc>
          <w:tcPr>
            <w:tcW w:w="126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C36D883" w14:textId="77777777" w:rsidR="003C740F" w:rsidRPr="003C740F" w:rsidRDefault="003C740F" w:rsidP="003C740F">
            <w:pPr>
              <w:spacing w:after="0" w:line="240" w:lineRule="auto"/>
              <w:jc w:val="left"/>
              <w:rPr>
                <w:rFonts w:ascii="Calibri" w:eastAsia="Times New Roman" w:hAnsi="Calibri" w:cs="Calibri"/>
                <w:color w:val="000000"/>
                <w:sz w:val="22"/>
                <w:lang w:val="en-US"/>
              </w:rPr>
            </w:pPr>
            <w:r w:rsidRPr="003C740F">
              <w:rPr>
                <w:rFonts w:ascii="Calibri" w:eastAsia="Times New Roman" w:hAnsi="Calibri" w:cs="Calibri"/>
                <w:color w:val="000000"/>
                <w:sz w:val="22"/>
                <w:lang w:val="en-US"/>
              </w:rPr>
              <w:t> </w:t>
            </w:r>
          </w:p>
        </w:tc>
        <w:tc>
          <w:tcPr>
            <w:tcW w:w="3340" w:type="dxa"/>
            <w:tcBorders>
              <w:top w:val="single" w:sz="8" w:space="0" w:color="auto"/>
              <w:left w:val="nil"/>
              <w:bottom w:val="single" w:sz="8" w:space="0" w:color="auto"/>
              <w:right w:val="single" w:sz="8" w:space="0" w:color="auto"/>
            </w:tcBorders>
            <w:shd w:val="clear" w:color="auto" w:fill="auto"/>
            <w:noWrap/>
            <w:vAlign w:val="bottom"/>
            <w:hideMark/>
          </w:tcPr>
          <w:p w14:paraId="3F1D0556" w14:textId="77777777" w:rsidR="003C740F" w:rsidRPr="003C740F" w:rsidRDefault="003C740F" w:rsidP="003C740F">
            <w:pPr>
              <w:spacing w:after="0" w:line="240" w:lineRule="auto"/>
              <w:jc w:val="center"/>
              <w:rPr>
                <w:rFonts w:eastAsia="Times New Roman" w:cs="Calibri"/>
                <w:b/>
                <w:bCs/>
                <w:color w:val="000000"/>
                <w:sz w:val="20"/>
                <w:szCs w:val="20"/>
                <w:lang w:val="en-US"/>
              </w:rPr>
            </w:pPr>
            <w:r w:rsidRPr="003C740F">
              <w:rPr>
                <w:rFonts w:eastAsia="Times New Roman" w:cs="Calibri"/>
                <w:b/>
                <w:bCs/>
                <w:color w:val="000000"/>
                <w:sz w:val="20"/>
                <w:szCs w:val="20"/>
                <w:lang w:val="en-US"/>
              </w:rPr>
              <w:t>TOTALES</w:t>
            </w:r>
          </w:p>
        </w:tc>
        <w:tc>
          <w:tcPr>
            <w:tcW w:w="1014" w:type="dxa"/>
            <w:tcBorders>
              <w:top w:val="single" w:sz="8" w:space="0" w:color="auto"/>
              <w:left w:val="nil"/>
              <w:bottom w:val="single" w:sz="8" w:space="0" w:color="auto"/>
              <w:right w:val="single" w:sz="8" w:space="0" w:color="auto"/>
            </w:tcBorders>
            <w:shd w:val="clear" w:color="auto" w:fill="auto"/>
            <w:noWrap/>
            <w:vAlign w:val="bottom"/>
            <w:hideMark/>
          </w:tcPr>
          <w:p w14:paraId="576295B9" w14:textId="2496895D" w:rsidR="003C740F" w:rsidRPr="003C740F" w:rsidRDefault="003C740F" w:rsidP="003C740F">
            <w:pPr>
              <w:spacing w:after="0" w:line="240" w:lineRule="auto"/>
              <w:ind w:left="-86"/>
              <w:jc w:val="right"/>
              <w:rPr>
                <w:rFonts w:eastAsia="Times New Roman" w:cs="Calibri"/>
                <w:b/>
                <w:bCs/>
                <w:color w:val="000000"/>
                <w:sz w:val="20"/>
                <w:szCs w:val="20"/>
                <w:lang w:val="en-US"/>
              </w:rPr>
            </w:pPr>
            <w:r w:rsidRPr="003C740F">
              <w:rPr>
                <w:rFonts w:ascii="Arial" w:eastAsia="Times New Roman" w:hAnsi="Arial" w:cs="Arial"/>
                <w:color w:val="000000"/>
                <w:sz w:val="20"/>
                <w:szCs w:val="20"/>
                <w:lang w:val="en-US"/>
              </w:rPr>
              <w:t>₡</w:t>
            </w:r>
            <w:r w:rsidRPr="003C740F">
              <w:rPr>
                <w:rFonts w:eastAsia="Times New Roman" w:cs="Calibri"/>
                <w:b/>
                <w:bCs/>
                <w:color w:val="000000"/>
                <w:sz w:val="20"/>
                <w:szCs w:val="20"/>
                <w:lang w:val="en-US"/>
              </w:rPr>
              <w:t>92 831,85</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7C16C01B" w14:textId="3E208735" w:rsidR="003C740F" w:rsidRPr="003C740F" w:rsidRDefault="003C740F" w:rsidP="003C740F">
            <w:pPr>
              <w:spacing w:after="0" w:line="240" w:lineRule="auto"/>
              <w:ind w:left="-149"/>
              <w:jc w:val="right"/>
              <w:rPr>
                <w:rFonts w:eastAsia="Times New Roman" w:cs="Calibri"/>
                <w:b/>
                <w:bCs/>
                <w:color w:val="000000"/>
                <w:sz w:val="20"/>
                <w:szCs w:val="20"/>
                <w:lang w:val="en-US"/>
              </w:rPr>
            </w:pPr>
            <w:r w:rsidRPr="003C740F">
              <w:rPr>
                <w:rFonts w:ascii="Arial" w:eastAsia="Times New Roman" w:hAnsi="Arial" w:cs="Arial"/>
                <w:color w:val="000000"/>
                <w:sz w:val="20"/>
                <w:szCs w:val="20"/>
                <w:lang w:val="en-US"/>
              </w:rPr>
              <w:t>₡</w:t>
            </w:r>
            <w:r w:rsidRPr="003C740F">
              <w:rPr>
                <w:rFonts w:eastAsia="Times New Roman" w:cs="Calibri"/>
                <w:b/>
                <w:bCs/>
                <w:color w:val="000000"/>
                <w:sz w:val="20"/>
                <w:szCs w:val="20"/>
                <w:lang w:val="en-US"/>
              </w:rPr>
              <w:t>397 334,26</w:t>
            </w:r>
          </w:p>
        </w:tc>
        <w:tc>
          <w:tcPr>
            <w:tcW w:w="1160" w:type="dxa"/>
            <w:tcBorders>
              <w:top w:val="single" w:sz="8" w:space="0" w:color="auto"/>
              <w:left w:val="nil"/>
              <w:bottom w:val="single" w:sz="8" w:space="0" w:color="auto"/>
              <w:right w:val="single" w:sz="8" w:space="0" w:color="auto"/>
            </w:tcBorders>
            <w:shd w:val="clear" w:color="auto" w:fill="auto"/>
            <w:noWrap/>
            <w:vAlign w:val="bottom"/>
            <w:hideMark/>
          </w:tcPr>
          <w:p w14:paraId="0FD4CD37" w14:textId="00EFCE9B" w:rsidR="003C740F" w:rsidRPr="003C740F" w:rsidRDefault="003C740F" w:rsidP="003C740F">
            <w:pPr>
              <w:spacing w:after="0" w:line="240" w:lineRule="auto"/>
              <w:ind w:left="-253"/>
              <w:jc w:val="right"/>
              <w:rPr>
                <w:rFonts w:eastAsia="Times New Roman" w:cs="Calibri"/>
                <w:b/>
                <w:bCs/>
                <w:color w:val="000000"/>
                <w:sz w:val="20"/>
                <w:szCs w:val="20"/>
                <w:lang w:val="en-US"/>
              </w:rPr>
            </w:pPr>
            <w:r w:rsidRPr="003C740F">
              <w:rPr>
                <w:rFonts w:eastAsia="Times New Roman" w:cs="Calibri"/>
                <w:b/>
                <w:bCs/>
                <w:color w:val="000000"/>
                <w:sz w:val="20"/>
                <w:szCs w:val="20"/>
                <w:lang w:val="en-US"/>
              </w:rPr>
              <w:t>-</w:t>
            </w:r>
            <w:r w:rsidRPr="003C740F">
              <w:rPr>
                <w:rFonts w:ascii="Arial" w:eastAsia="Times New Roman" w:hAnsi="Arial" w:cs="Arial"/>
                <w:color w:val="000000"/>
                <w:sz w:val="20"/>
                <w:szCs w:val="20"/>
                <w:lang w:val="en-US"/>
              </w:rPr>
              <w:t>₡</w:t>
            </w:r>
            <w:r w:rsidRPr="003C740F">
              <w:rPr>
                <w:rFonts w:eastAsia="Times New Roman" w:cs="Calibri"/>
                <w:b/>
                <w:bCs/>
                <w:color w:val="000000"/>
                <w:sz w:val="20"/>
                <w:szCs w:val="20"/>
                <w:lang w:val="en-US"/>
              </w:rPr>
              <w:t>304 502,41</w:t>
            </w:r>
          </w:p>
        </w:tc>
        <w:tc>
          <w:tcPr>
            <w:tcW w:w="955" w:type="dxa"/>
            <w:tcBorders>
              <w:top w:val="single" w:sz="8" w:space="0" w:color="auto"/>
              <w:left w:val="nil"/>
              <w:bottom w:val="single" w:sz="8" w:space="0" w:color="auto"/>
              <w:right w:val="single" w:sz="8" w:space="0" w:color="auto"/>
            </w:tcBorders>
            <w:shd w:val="clear" w:color="auto" w:fill="auto"/>
            <w:noWrap/>
            <w:vAlign w:val="bottom"/>
            <w:hideMark/>
          </w:tcPr>
          <w:p w14:paraId="71D15EC4" w14:textId="77777777" w:rsidR="003C740F" w:rsidRPr="003C740F" w:rsidRDefault="003C740F" w:rsidP="003C740F">
            <w:pPr>
              <w:spacing w:after="0" w:line="240" w:lineRule="auto"/>
              <w:jc w:val="right"/>
              <w:rPr>
                <w:rFonts w:eastAsia="Times New Roman" w:cs="Calibri"/>
                <w:b/>
                <w:bCs/>
                <w:color w:val="000000"/>
                <w:sz w:val="20"/>
                <w:szCs w:val="20"/>
                <w:lang w:val="en-US"/>
              </w:rPr>
            </w:pPr>
            <w:r w:rsidRPr="003C740F">
              <w:rPr>
                <w:rFonts w:eastAsia="Times New Roman" w:cs="Calibri"/>
                <w:b/>
                <w:bCs/>
                <w:color w:val="000000"/>
                <w:sz w:val="20"/>
                <w:szCs w:val="20"/>
                <w:lang w:val="en-US"/>
              </w:rPr>
              <w:t>-76,64%</w:t>
            </w:r>
          </w:p>
        </w:tc>
      </w:tr>
    </w:tbl>
    <w:p w14:paraId="7AF81848" w14:textId="77777777" w:rsidR="00455690" w:rsidRDefault="00455690" w:rsidP="00337288">
      <w:pPr>
        <w:spacing w:after="0" w:line="240" w:lineRule="auto"/>
        <w:rPr>
          <w:rFonts w:eastAsiaTheme="minorEastAsia" w:cs="Arial Narrow"/>
          <w:color w:val="000000"/>
          <w:lang w:eastAsia="es-CR"/>
        </w:rPr>
      </w:pPr>
    </w:p>
    <w:p w14:paraId="36A35972" w14:textId="5AF87F7B" w:rsidR="00337288" w:rsidRDefault="00337288" w:rsidP="00337288">
      <w:pPr>
        <w:spacing w:after="0" w:line="240" w:lineRule="auto"/>
        <w:rPr>
          <w:rFonts w:eastAsiaTheme="minorEastAsia" w:cs="Arial Narrow"/>
          <w:color w:val="000000"/>
          <w:lang w:eastAsia="es-CR"/>
        </w:rPr>
      </w:pPr>
      <w:r>
        <w:rPr>
          <w:rFonts w:eastAsiaTheme="minorEastAsia" w:cs="Arial Narrow"/>
          <w:color w:val="000000"/>
          <w:lang w:eastAsia="es-CR"/>
        </w:rPr>
        <w:t xml:space="preserve">Como se observa en el cuadro anterior, la variación (disminución) </w:t>
      </w:r>
      <w:r w:rsidR="003C740F">
        <w:rPr>
          <w:rFonts w:eastAsiaTheme="minorEastAsia" w:cs="Arial Narrow"/>
          <w:color w:val="000000"/>
          <w:lang w:eastAsia="es-CR"/>
        </w:rPr>
        <w:t xml:space="preserve">de </w:t>
      </w:r>
      <w:r w:rsidR="003C740F" w:rsidRPr="003C740F">
        <w:rPr>
          <w:rFonts w:eastAsiaTheme="minorEastAsia" w:cs="Arial Narrow"/>
          <w:color w:val="000000"/>
          <w:lang w:eastAsia="es-CR"/>
        </w:rPr>
        <w:t>-</w:t>
      </w:r>
      <w:r w:rsidR="003C740F" w:rsidRPr="003C740F">
        <w:rPr>
          <w:rFonts w:ascii="Arial" w:eastAsiaTheme="minorEastAsia" w:hAnsi="Arial" w:cs="Arial"/>
          <w:color w:val="000000"/>
          <w:lang w:eastAsia="es-CR"/>
        </w:rPr>
        <w:t>₡</w:t>
      </w:r>
      <w:r w:rsidR="003C740F" w:rsidRPr="003C740F">
        <w:rPr>
          <w:rFonts w:eastAsiaTheme="minorEastAsia" w:cs="Arial Narrow"/>
          <w:color w:val="000000"/>
          <w:lang w:eastAsia="es-CR"/>
        </w:rPr>
        <w:t>304 502,41 miles</w:t>
      </w:r>
      <w:r w:rsidR="003C740F">
        <w:rPr>
          <w:rFonts w:eastAsia="Times New Roman" w:cs="Calibri"/>
          <w:b/>
          <w:bCs/>
          <w:color w:val="000000"/>
          <w:sz w:val="20"/>
          <w:szCs w:val="20"/>
        </w:rPr>
        <w:t xml:space="preserve"> </w:t>
      </w:r>
      <w:r w:rsidR="003C740F">
        <w:rPr>
          <w:rFonts w:eastAsiaTheme="minorEastAsia" w:cs="Arial Narrow"/>
          <w:color w:val="000000"/>
          <w:lang w:eastAsia="es-CR"/>
        </w:rPr>
        <w:t>en esta cuenta se produjeron principalmente</w:t>
      </w:r>
      <w:r>
        <w:rPr>
          <w:rFonts w:eastAsiaTheme="minorEastAsia" w:cs="Arial Narrow"/>
          <w:color w:val="000000"/>
          <w:lang w:eastAsia="es-CR"/>
        </w:rPr>
        <w:t xml:space="preserve"> por</w:t>
      </w:r>
      <w:r w:rsidR="004C6F83">
        <w:rPr>
          <w:rFonts w:eastAsiaTheme="minorEastAsia" w:cs="Arial Narrow"/>
          <w:color w:val="000000"/>
          <w:lang w:eastAsia="es-CR"/>
        </w:rPr>
        <w:t xml:space="preserve"> el efecto neto </w:t>
      </w:r>
      <w:r w:rsidR="00262F46">
        <w:rPr>
          <w:rFonts w:eastAsiaTheme="minorEastAsia" w:cs="Arial Narrow"/>
          <w:color w:val="000000"/>
          <w:lang w:eastAsia="es-CR"/>
        </w:rPr>
        <w:t xml:space="preserve">de las disminuciones y aumentos en </w:t>
      </w:r>
      <w:r w:rsidR="00E547CB">
        <w:rPr>
          <w:rFonts w:eastAsiaTheme="minorEastAsia" w:cs="Arial Narrow"/>
          <w:color w:val="000000"/>
          <w:lang w:eastAsia="es-CR"/>
        </w:rPr>
        <w:t>las cuentas</w:t>
      </w:r>
      <w:r w:rsidR="00262F46">
        <w:rPr>
          <w:rFonts w:eastAsiaTheme="minorEastAsia" w:cs="Arial Narrow"/>
          <w:color w:val="000000"/>
          <w:lang w:eastAsia="es-CR"/>
        </w:rPr>
        <w:t xml:space="preserve"> que </w:t>
      </w:r>
      <w:r w:rsidR="004C6F83">
        <w:rPr>
          <w:rFonts w:eastAsiaTheme="minorEastAsia" w:cs="Arial Narrow"/>
          <w:color w:val="000000"/>
          <w:lang w:eastAsia="es-CR"/>
        </w:rPr>
        <w:t>se indica</w:t>
      </w:r>
      <w:r w:rsidR="00262F46">
        <w:rPr>
          <w:rFonts w:eastAsiaTheme="minorEastAsia" w:cs="Arial Narrow"/>
          <w:color w:val="000000"/>
          <w:lang w:eastAsia="es-CR"/>
        </w:rPr>
        <w:t>n</w:t>
      </w:r>
      <w:r w:rsidR="004C6F83">
        <w:rPr>
          <w:rFonts w:eastAsiaTheme="minorEastAsia" w:cs="Arial Narrow"/>
          <w:color w:val="000000"/>
          <w:lang w:eastAsia="es-CR"/>
        </w:rPr>
        <w:t xml:space="preserve"> a continuación</w:t>
      </w:r>
      <w:r>
        <w:rPr>
          <w:rFonts w:eastAsiaTheme="minorEastAsia" w:cs="Arial Narrow"/>
          <w:color w:val="000000"/>
          <w:lang w:eastAsia="es-CR"/>
        </w:rPr>
        <w:t>:</w:t>
      </w:r>
    </w:p>
    <w:p w14:paraId="33AB3F3C" w14:textId="77777777" w:rsidR="00337288" w:rsidRDefault="00337288" w:rsidP="00337288">
      <w:pPr>
        <w:spacing w:after="0" w:line="240" w:lineRule="auto"/>
        <w:rPr>
          <w:rFonts w:eastAsiaTheme="minorEastAsia" w:cs="Arial Narrow"/>
          <w:color w:val="000000"/>
          <w:lang w:eastAsia="es-CR"/>
        </w:rPr>
      </w:pPr>
    </w:p>
    <w:p w14:paraId="30784D7F" w14:textId="77777777" w:rsidR="003C740F" w:rsidRDefault="00337288" w:rsidP="004653E2">
      <w:pPr>
        <w:pStyle w:val="Prrafodelista"/>
        <w:numPr>
          <w:ilvl w:val="0"/>
          <w:numId w:val="57"/>
        </w:numPr>
        <w:spacing w:after="120" w:line="240" w:lineRule="auto"/>
        <w:ind w:left="568" w:hanging="284"/>
        <w:contextualSpacing w:val="0"/>
        <w:rPr>
          <w:rFonts w:eastAsiaTheme="minorEastAsia" w:cs="Arial Narrow"/>
          <w:color w:val="000000"/>
          <w:lang w:eastAsia="es-CR"/>
        </w:rPr>
      </w:pPr>
      <w:r w:rsidRPr="003C740F">
        <w:rPr>
          <w:rFonts w:eastAsiaTheme="minorEastAsia" w:cs="Arial Narrow"/>
          <w:color w:val="000000"/>
          <w:lang w:eastAsia="es-CR"/>
        </w:rPr>
        <w:t>La disminución de</w:t>
      </w:r>
      <w:r w:rsidR="003C740F" w:rsidRPr="003C740F">
        <w:rPr>
          <w:rFonts w:eastAsiaTheme="minorEastAsia" w:cs="Arial Narrow"/>
          <w:color w:val="000000"/>
          <w:lang w:eastAsia="es-CR"/>
        </w:rPr>
        <w:t xml:space="preserve"> -</w:t>
      </w:r>
      <w:r w:rsidR="003C740F" w:rsidRPr="003C740F">
        <w:rPr>
          <w:rFonts w:ascii="Arial" w:eastAsiaTheme="minorEastAsia" w:hAnsi="Arial" w:cs="Arial"/>
          <w:color w:val="000000"/>
          <w:lang w:eastAsia="es-CR"/>
        </w:rPr>
        <w:t>₡</w:t>
      </w:r>
      <w:r w:rsidR="003C740F" w:rsidRPr="003C740F">
        <w:rPr>
          <w:rFonts w:eastAsiaTheme="minorEastAsia" w:cs="Arial Narrow"/>
          <w:color w:val="000000"/>
          <w:lang w:eastAsia="es-CR"/>
        </w:rPr>
        <w:t xml:space="preserve">127 573,39 miles en las Deudas comerciales por adquisición de materiales y suministros para consumo y prestación de servicios c/p; </w:t>
      </w:r>
    </w:p>
    <w:p w14:paraId="4B41C64B" w14:textId="49ED0CCB" w:rsidR="00337288" w:rsidRPr="003C740F" w:rsidRDefault="003C740F" w:rsidP="004653E2">
      <w:pPr>
        <w:pStyle w:val="Prrafodelista"/>
        <w:numPr>
          <w:ilvl w:val="0"/>
          <w:numId w:val="57"/>
        </w:numPr>
        <w:spacing w:after="120" w:line="240" w:lineRule="auto"/>
        <w:ind w:left="568" w:hanging="284"/>
        <w:contextualSpacing w:val="0"/>
        <w:rPr>
          <w:rFonts w:eastAsiaTheme="minorEastAsia" w:cs="Arial Narrow"/>
          <w:color w:val="000000"/>
          <w:lang w:eastAsia="es-CR"/>
        </w:rPr>
      </w:pPr>
      <w:r>
        <w:rPr>
          <w:rFonts w:eastAsiaTheme="minorEastAsia" w:cs="Arial Narrow"/>
          <w:color w:val="000000"/>
          <w:lang w:eastAsia="es-CR"/>
        </w:rPr>
        <w:t xml:space="preserve">La disminución </w:t>
      </w:r>
      <w:r w:rsidRPr="003C740F">
        <w:rPr>
          <w:rFonts w:eastAsiaTheme="minorEastAsia" w:cs="Arial Narrow"/>
          <w:color w:val="000000"/>
          <w:lang w:eastAsia="es-CR"/>
        </w:rPr>
        <w:t xml:space="preserve">de </w:t>
      </w:r>
      <w:r w:rsidR="00337288" w:rsidRPr="003C740F">
        <w:rPr>
          <w:rFonts w:eastAsiaTheme="minorEastAsia" w:cs="Arial Narrow"/>
          <w:color w:val="000000"/>
          <w:lang w:eastAsia="es-CR"/>
        </w:rPr>
        <w:t>-</w:t>
      </w:r>
      <w:r w:rsidR="00337288" w:rsidRPr="003C740F">
        <w:rPr>
          <w:rFonts w:ascii="Arial" w:eastAsiaTheme="minorEastAsia" w:hAnsi="Arial" w:cs="Arial"/>
          <w:color w:val="000000"/>
          <w:lang w:eastAsia="es-CR"/>
        </w:rPr>
        <w:t>₡</w:t>
      </w:r>
      <w:r w:rsidR="00337288" w:rsidRPr="003C740F">
        <w:rPr>
          <w:rFonts w:eastAsiaTheme="minorEastAsia" w:cs="Arial Narrow"/>
          <w:color w:val="000000"/>
          <w:lang w:eastAsia="es-CR"/>
        </w:rPr>
        <w:t>2</w:t>
      </w:r>
      <w:r w:rsidRPr="003C740F">
        <w:rPr>
          <w:rFonts w:eastAsiaTheme="minorEastAsia" w:cs="Arial Narrow"/>
          <w:color w:val="000000"/>
          <w:lang w:eastAsia="es-CR"/>
        </w:rPr>
        <w:t>29</w:t>
      </w:r>
      <w:r w:rsidR="00337288" w:rsidRPr="003C740F">
        <w:rPr>
          <w:rFonts w:eastAsiaTheme="minorEastAsia" w:cs="Arial Narrow"/>
          <w:color w:val="000000"/>
          <w:lang w:eastAsia="es-CR"/>
        </w:rPr>
        <w:t xml:space="preserve"> </w:t>
      </w:r>
      <w:r w:rsidRPr="003C740F">
        <w:rPr>
          <w:rFonts w:eastAsiaTheme="minorEastAsia" w:cs="Arial Narrow"/>
          <w:color w:val="000000"/>
          <w:lang w:eastAsia="es-CR"/>
        </w:rPr>
        <w:t>966</w:t>
      </w:r>
      <w:r w:rsidR="00337288" w:rsidRPr="003C740F">
        <w:rPr>
          <w:rFonts w:eastAsiaTheme="minorEastAsia" w:cs="Arial Narrow"/>
          <w:color w:val="000000"/>
          <w:lang w:eastAsia="es-CR"/>
        </w:rPr>
        <w:t>,</w:t>
      </w:r>
      <w:r w:rsidRPr="003C740F">
        <w:rPr>
          <w:rFonts w:eastAsiaTheme="minorEastAsia" w:cs="Arial Narrow"/>
          <w:color w:val="000000"/>
          <w:lang w:eastAsia="es-CR"/>
        </w:rPr>
        <w:t>28</w:t>
      </w:r>
      <w:r w:rsidR="00337288" w:rsidRPr="003C740F">
        <w:rPr>
          <w:rFonts w:eastAsiaTheme="minorEastAsia" w:cs="Arial Narrow"/>
          <w:color w:val="000000"/>
          <w:lang w:eastAsia="es-CR"/>
        </w:rPr>
        <w:t xml:space="preserve"> miles en las Deudas comerciales por adquisición de bienes de infraestructura y de beneficio y uso público c/p</w:t>
      </w:r>
      <w:r>
        <w:rPr>
          <w:rFonts w:eastAsiaTheme="minorEastAsia" w:cs="Arial Narrow"/>
          <w:color w:val="000000"/>
          <w:lang w:eastAsia="es-CR"/>
        </w:rPr>
        <w:t>;</w:t>
      </w:r>
    </w:p>
    <w:p w14:paraId="78EB4FCA" w14:textId="69F2F045" w:rsidR="00337288" w:rsidRPr="00337288" w:rsidRDefault="00337288" w:rsidP="003C740F">
      <w:pPr>
        <w:pStyle w:val="Prrafodelista"/>
        <w:numPr>
          <w:ilvl w:val="0"/>
          <w:numId w:val="57"/>
        </w:numPr>
        <w:spacing w:after="120" w:line="240" w:lineRule="auto"/>
        <w:ind w:left="568" w:hanging="284"/>
        <w:contextualSpacing w:val="0"/>
        <w:rPr>
          <w:rFonts w:eastAsiaTheme="minorEastAsia" w:cs="Arial Narrow"/>
          <w:color w:val="000000"/>
          <w:lang w:eastAsia="es-CR"/>
        </w:rPr>
      </w:pPr>
      <w:r>
        <w:rPr>
          <w:rFonts w:eastAsiaTheme="minorEastAsia" w:cs="Arial Narrow"/>
          <w:color w:val="000000"/>
          <w:lang w:eastAsia="es-CR"/>
        </w:rPr>
        <w:t xml:space="preserve">La disminución de </w:t>
      </w:r>
      <w:r w:rsidRPr="0058553E">
        <w:rPr>
          <w:rFonts w:eastAsiaTheme="minorEastAsia" w:cs="Arial Narrow"/>
          <w:color w:val="000000"/>
          <w:lang w:eastAsia="es-CR"/>
        </w:rPr>
        <w:t>-</w:t>
      </w:r>
      <w:r w:rsidRPr="00262F46">
        <w:rPr>
          <w:rFonts w:ascii="Arial" w:eastAsiaTheme="minorEastAsia" w:hAnsi="Arial" w:cs="Arial"/>
          <w:color w:val="000000"/>
          <w:lang w:eastAsia="es-CR"/>
        </w:rPr>
        <w:t>₡</w:t>
      </w:r>
      <w:r w:rsidR="00262F46" w:rsidRPr="003C740F">
        <w:rPr>
          <w:rFonts w:eastAsiaTheme="minorEastAsia" w:cs="Arial Narrow"/>
          <w:color w:val="000000"/>
          <w:lang w:eastAsia="es-CR"/>
        </w:rPr>
        <w:t>3 511,88</w:t>
      </w:r>
      <w:r w:rsidR="00262F46" w:rsidRPr="00262F46">
        <w:rPr>
          <w:rFonts w:eastAsiaTheme="minorEastAsia" w:cs="Arial Narrow"/>
          <w:color w:val="000000"/>
          <w:lang w:eastAsia="es-CR"/>
        </w:rPr>
        <w:t xml:space="preserve"> </w:t>
      </w:r>
      <w:r w:rsidR="00262F46">
        <w:rPr>
          <w:rFonts w:eastAsiaTheme="minorEastAsia" w:cs="Arial Narrow"/>
          <w:color w:val="000000"/>
          <w:lang w:eastAsia="es-CR"/>
        </w:rPr>
        <w:t xml:space="preserve">miles en </w:t>
      </w:r>
      <w:r w:rsidR="00262F46" w:rsidRPr="003C740F">
        <w:rPr>
          <w:rFonts w:eastAsiaTheme="minorEastAsia" w:cs="Arial Narrow"/>
          <w:color w:val="000000"/>
          <w:lang w:eastAsia="es-CR"/>
        </w:rPr>
        <w:t>Deudas comerciales por adquisición de bienes intangibles c/p</w:t>
      </w:r>
      <w:r w:rsidR="00262F46">
        <w:rPr>
          <w:rFonts w:eastAsiaTheme="minorEastAsia" w:cs="Arial Narrow"/>
          <w:color w:val="000000"/>
          <w:lang w:eastAsia="es-CR"/>
        </w:rPr>
        <w:t>;</w:t>
      </w:r>
    </w:p>
    <w:p w14:paraId="67D180A0" w14:textId="0B7DC352" w:rsidR="003C740F" w:rsidRPr="003C740F" w:rsidRDefault="00262F46" w:rsidP="003C740F">
      <w:pPr>
        <w:pStyle w:val="Prrafodelista"/>
        <w:numPr>
          <w:ilvl w:val="0"/>
          <w:numId w:val="57"/>
        </w:numPr>
        <w:spacing w:after="120" w:line="240" w:lineRule="auto"/>
        <w:ind w:left="568" w:hanging="284"/>
        <w:contextualSpacing w:val="0"/>
        <w:rPr>
          <w:rFonts w:eastAsiaTheme="minorEastAsia" w:cs="Arial Narrow"/>
          <w:color w:val="000000"/>
          <w:lang w:eastAsia="es-CR"/>
        </w:rPr>
      </w:pPr>
      <w:r>
        <w:rPr>
          <w:rFonts w:eastAsiaTheme="minorEastAsia" w:cs="Arial Narrow"/>
          <w:color w:val="000000"/>
          <w:lang w:eastAsia="es-CR"/>
        </w:rPr>
        <w:t xml:space="preserve">La disminución </w:t>
      </w:r>
      <w:r w:rsidR="00337288" w:rsidRPr="00526C60">
        <w:rPr>
          <w:rFonts w:eastAsiaTheme="minorEastAsia" w:cs="Arial Narrow"/>
          <w:color w:val="000000"/>
          <w:lang w:eastAsia="es-CR"/>
        </w:rPr>
        <w:t xml:space="preserve">de </w:t>
      </w:r>
      <w:r>
        <w:rPr>
          <w:rFonts w:eastAsiaTheme="minorEastAsia" w:cs="Arial Narrow"/>
          <w:color w:val="000000"/>
          <w:lang w:eastAsia="es-CR"/>
        </w:rPr>
        <w:t>-</w:t>
      </w:r>
      <w:r w:rsidR="00337288" w:rsidRPr="00262F46">
        <w:rPr>
          <w:rFonts w:ascii="Arial" w:eastAsiaTheme="minorEastAsia" w:hAnsi="Arial" w:cs="Arial"/>
          <w:color w:val="000000"/>
          <w:lang w:eastAsia="es-CR"/>
        </w:rPr>
        <w:t>₡</w:t>
      </w:r>
      <w:r w:rsidRPr="003C740F">
        <w:rPr>
          <w:rFonts w:eastAsiaTheme="minorEastAsia" w:cs="Arial Narrow"/>
          <w:color w:val="000000"/>
          <w:lang w:eastAsia="es-CR"/>
        </w:rPr>
        <w:t>5 872,50</w:t>
      </w:r>
      <w:r w:rsidRPr="00262F46">
        <w:rPr>
          <w:rFonts w:eastAsia="Times New Roman" w:cs="Calibri"/>
          <w:color w:val="000000"/>
          <w:sz w:val="20"/>
          <w:szCs w:val="20"/>
        </w:rPr>
        <w:t xml:space="preserve"> </w:t>
      </w:r>
      <w:r w:rsidR="00337288" w:rsidRPr="00B5596F">
        <w:rPr>
          <w:rFonts w:eastAsiaTheme="minorEastAsia" w:cs="Arial Narrow"/>
          <w:color w:val="000000"/>
          <w:lang w:eastAsia="es-CR"/>
        </w:rPr>
        <w:t xml:space="preserve">miles </w:t>
      </w:r>
      <w:r w:rsidR="00337288" w:rsidRPr="00526C60">
        <w:rPr>
          <w:rFonts w:eastAsiaTheme="minorEastAsia" w:cs="Arial Narrow"/>
          <w:color w:val="000000"/>
          <w:lang w:eastAsia="es-CR"/>
        </w:rPr>
        <w:t xml:space="preserve">en las </w:t>
      </w:r>
      <w:r w:rsidRPr="003C740F">
        <w:rPr>
          <w:rFonts w:eastAsiaTheme="minorEastAsia" w:cs="Arial Narrow"/>
          <w:color w:val="000000"/>
          <w:lang w:eastAsia="es-CR"/>
        </w:rPr>
        <w:t>Deudas comerciales por mantenimiento y reparaciones c/p</w:t>
      </w:r>
      <w:r w:rsidR="003C740F">
        <w:rPr>
          <w:rFonts w:eastAsiaTheme="minorEastAsia" w:cs="Arial Narrow"/>
          <w:color w:val="000000"/>
          <w:lang w:eastAsia="es-CR"/>
        </w:rPr>
        <w:t>;</w:t>
      </w:r>
    </w:p>
    <w:p w14:paraId="4B571DA0" w14:textId="681863A1" w:rsidR="003C740F" w:rsidRDefault="00337288" w:rsidP="00337288">
      <w:pPr>
        <w:pStyle w:val="Prrafodelista"/>
        <w:numPr>
          <w:ilvl w:val="0"/>
          <w:numId w:val="57"/>
        </w:numPr>
        <w:spacing w:after="0" w:line="240" w:lineRule="auto"/>
        <w:ind w:left="567" w:hanging="283"/>
        <w:contextualSpacing w:val="0"/>
        <w:rPr>
          <w:rFonts w:eastAsiaTheme="minorEastAsia" w:cs="Arial Narrow"/>
          <w:color w:val="000000"/>
          <w:lang w:eastAsia="es-CR"/>
        </w:rPr>
      </w:pPr>
      <w:r>
        <w:rPr>
          <w:rFonts w:eastAsiaTheme="minorEastAsia" w:cs="Arial Narrow"/>
          <w:color w:val="000000"/>
          <w:lang w:eastAsia="es-CR"/>
        </w:rPr>
        <w:t xml:space="preserve">El aumento de </w:t>
      </w:r>
      <w:r w:rsidRPr="003C740F">
        <w:rPr>
          <w:rFonts w:ascii="Arial" w:eastAsiaTheme="minorEastAsia" w:hAnsi="Arial" w:cs="Arial"/>
          <w:color w:val="000000"/>
          <w:lang w:eastAsia="es-CR"/>
        </w:rPr>
        <w:t>₡</w:t>
      </w:r>
      <w:r w:rsidR="003C740F" w:rsidRPr="003C740F">
        <w:rPr>
          <w:rFonts w:eastAsiaTheme="minorEastAsia" w:cs="Arial Narrow"/>
          <w:color w:val="000000"/>
          <w:lang w:eastAsia="es-CR"/>
        </w:rPr>
        <w:t xml:space="preserve">63 340,66 </w:t>
      </w:r>
      <w:r w:rsidRPr="00B5596F">
        <w:rPr>
          <w:rFonts w:eastAsiaTheme="minorEastAsia" w:cs="Arial Narrow"/>
          <w:color w:val="000000"/>
          <w:lang w:eastAsia="es-CR"/>
        </w:rPr>
        <w:t>miles</w:t>
      </w:r>
      <w:r w:rsidR="003C740F">
        <w:rPr>
          <w:rFonts w:eastAsiaTheme="minorEastAsia" w:cs="Arial Narrow"/>
          <w:color w:val="000000"/>
          <w:lang w:eastAsia="es-CR"/>
        </w:rPr>
        <w:t xml:space="preserve"> en </w:t>
      </w:r>
      <w:r w:rsidR="003C740F" w:rsidRPr="003C740F">
        <w:rPr>
          <w:rFonts w:eastAsiaTheme="minorEastAsia" w:cs="Arial Narrow"/>
          <w:color w:val="000000"/>
          <w:lang w:eastAsia="es-CR"/>
        </w:rPr>
        <w:t>Deudas comerciales por adquisición de propiedades, planta y equipos en explotación c/p</w:t>
      </w:r>
    </w:p>
    <w:p w14:paraId="73621615" w14:textId="77777777" w:rsidR="00337288" w:rsidRDefault="00337288" w:rsidP="00337288">
      <w:pPr>
        <w:spacing w:after="0" w:line="240" w:lineRule="auto"/>
        <w:rPr>
          <w:rFonts w:eastAsiaTheme="minorEastAsia" w:cs="Arial Narrow"/>
          <w:color w:val="000000"/>
          <w:lang w:eastAsia="es-CR"/>
        </w:rPr>
      </w:pPr>
    </w:p>
    <w:p w14:paraId="14F615BF" w14:textId="77777777" w:rsidR="00337288" w:rsidRDefault="00337288" w:rsidP="00337288">
      <w:pPr>
        <w:pStyle w:val="Prrafodelista"/>
        <w:spacing w:after="0" w:line="240" w:lineRule="auto"/>
        <w:ind w:left="426"/>
        <w:rPr>
          <w:rFonts w:eastAsiaTheme="minorEastAsia" w:cs="Arial Narrow"/>
          <w:color w:val="000000"/>
          <w:lang w:eastAsia="es-CR"/>
        </w:rPr>
      </w:pPr>
    </w:p>
    <w:tbl>
      <w:tblPr>
        <w:tblW w:w="5103" w:type="dxa"/>
        <w:tblInd w:w="-10" w:type="dxa"/>
        <w:tblCellMar>
          <w:left w:w="70" w:type="dxa"/>
          <w:right w:w="70" w:type="dxa"/>
        </w:tblCellMar>
        <w:tblLook w:val="04A0" w:firstRow="1" w:lastRow="0" w:firstColumn="1" w:lastColumn="0" w:noHBand="0" w:noVBand="1"/>
      </w:tblPr>
      <w:tblGrid>
        <w:gridCol w:w="1240"/>
        <w:gridCol w:w="3863"/>
      </w:tblGrid>
      <w:tr w:rsidR="00337288" w:rsidRPr="00A91674" w14:paraId="11C4DA89" w14:textId="77777777" w:rsidTr="004653E2">
        <w:trPr>
          <w:trHeight w:val="288"/>
        </w:trPr>
        <w:tc>
          <w:tcPr>
            <w:tcW w:w="1240" w:type="dxa"/>
            <w:tcBorders>
              <w:top w:val="single" w:sz="8" w:space="0" w:color="auto"/>
              <w:left w:val="single" w:sz="8" w:space="0" w:color="auto"/>
              <w:bottom w:val="nil"/>
              <w:right w:val="single" w:sz="8" w:space="0" w:color="auto"/>
            </w:tcBorders>
            <w:shd w:val="clear" w:color="000000" w:fill="366092"/>
            <w:noWrap/>
            <w:vAlign w:val="center"/>
            <w:hideMark/>
          </w:tcPr>
          <w:p w14:paraId="3FAD0C70" w14:textId="77777777" w:rsidR="00337288" w:rsidRPr="00A91674" w:rsidRDefault="00337288" w:rsidP="00337288">
            <w:pPr>
              <w:spacing w:after="0" w:line="240" w:lineRule="auto"/>
              <w:rPr>
                <w:rFonts w:cs="Calibri"/>
                <w:b/>
                <w:bCs/>
                <w:color w:val="FFFFFF"/>
                <w:sz w:val="18"/>
                <w:szCs w:val="18"/>
                <w:lang w:eastAsia="es-CR"/>
              </w:rPr>
            </w:pPr>
            <w:r w:rsidRPr="00A91674">
              <w:rPr>
                <w:rFonts w:cs="Calibri"/>
                <w:b/>
                <w:bCs/>
                <w:color w:val="FFFFFF"/>
                <w:sz w:val="18"/>
                <w:szCs w:val="18"/>
                <w:lang w:eastAsia="es-CR"/>
              </w:rPr>
              <w:t xml:space="preserve">Cuenta </w:t>
            </w:r>
          </w:p>
        </w:tc>
        <w:tc>
          <w:tcPr>
            <w:tcW w:w="3863" w:type="dxa"/>
            <w:tcBorders>
              <w:top w:val="single" w:sz="8" w:space="0" w:color="auto"/>
              <w:left w:val="nil"/>
              <w:bottom w:val="nil"/>
              <w:right w:val="single" w:sz="8" w:space="0" w:color="auto"/>
            </w:tcBorders>
            <w:shd w:val="clear" w:color="000000" w:fill="366092"/>
            <w:vAlign w:val="center"/>
            <w:hideMark/>
          </w:tcPr>
          <w:p w14:paraId="6CC30C89" w14:textId="77777777" w:rsidR="00337288" w:rsidRPr="00A91674" w:rsidRDefault="00337288" w:rsidP="00337288">
            <w:pPr>
              <w:spacing w:after="0" w:line="240" w:lineRule="auto"/>
              <w:jc w:val="center"/>
              <w:rPr>
                <w:rFonts w:cs="Calibri"/>
                <w:b/>
                <w:bCs/>
                <w:color w:val="FFFFFF"/>
                <w:sz w:val="18"/>
                <w:szCs w:val="18"/>
                <w:lang w:eastAsia="es-CR"/>
              </w:rPr>
            </w:pPr>
            <w:r w:rsidRPr="00A91674">
              <w:rPr>
                <w:rFonts w:cs="Calibri"/>
                <w:b/>
                <w:bCs/>
                <w:color w:val="FFFFFF"/>
                <w:sz w:val="18"/>
                <w:szCs w:val="18"/>
                <w:lang w:eastAsia="es-CR"/>
              </w:rPr>
              <w:t xml:space="preserve">Descripción </w:t>
            </w:r>
          </w:p>
        </w:tc>
      </w:tr>
      <w:tr w:rsidR="00337288" w:rsidRPr="00C20218" w14:paraId="621227CE" w14:textId="77777777" w:rsidTr="004653E2">
        <w:trPr>
          <w:trHeight w:val="356"/>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48006980" w14:textId="77777777" w:rsidR="00337288" w:rsidRPr="00A91674" w:rsidRDefault="00337288" w:rsidP="00337288">
            <w:pPr>
              <w:spacing w:after="0" w:line="240" w:lineRule="auto"/>
              <w:rPr>
                <w:rFonts w:cs="Calibri"/>
                <w:b/>
                <w:bCs/>
                <w:color w:val="000000"/>
                <w:sz w:val="18"/>
                <w:szCs w:val="18"/>
                <w:lang w:eastAsia="es-CR"/>
              </w:rPr>
            </w:pPr>
            <w:r w:rsidRPr="00B43583">
              <w:rPr>
                <w:rFonts w:cs="Calibri"/>
                <w:b/>
                <w:bCs/>
                <w:color w:val="000000"/>
                <w:sz w:val="18"/>
                <w:szCs w:val="18"/>
                <w:lang w:eastAsia="es-CR"/>
              </w:rPr>
              <w:t>2.1.1.02.</w:t>
            </w:r>
          </w:p>
        </w:tc>
        <w:tc>
          <w:tcPr>
            <w:tcW w:w="3863" w:type="dxa"/>
            <w:tcBorders>
              <w:top w:val="nil"/>
              <w:left w:val="nil"/>
              <w:bottom w:val="single" w:sz="8" w:space="0" w:color="auto"/>
              <w:right w:val="single" w:sz="8" w:space="0" w:color="auto"/>
            </w:tcBorders>
            <w:shd w:val="clear" w:color="auto" w:fill="auto"/>
            <w:vAlign w:val="center"/>
            <w:hideMark/>
          </w:tcPr>
          <w:p w14:paraId="52DC2206" w14:textId="77777777" w:rsidR="00337288" w:rsidRPr="00A91674" w:rsidRDefault="00337288" w:rsidP="00337288">
            <w:pPr>
              <w:spacing w:after="0" w:line="240" w:lineRule="auto"/>
              <w:rPr>
                <w:rFonts w:cs="Calibri"/>
                <w:b/>
                <w:bCs/>
                <w:color w:val="000000"/>
                <w:sz w:val="18"/>
                <w:szCs w:val="18"/>
                <w:lang w:eastAsia="es-CR"/>
              </w:rPr>
            </w:pPr>
            <w:r w:rsidRPr="00B43583">
              <w:rPr>
                <w:rFonts w:cs="Calibri"/>
                <w:b/>
                <w:bCs/>
                <w:color w:val="000000"/>
                <w:sz w:val="18"/>
                <w:szCs w:val="18"/>
                <w:lang w:eastAsia="es-CR"/>
              </w:rPr>
              <w:t>Deudas sociales y fiscales a corto plazo</w:t>
            </w:r>
          </w:p>
        </w:tc>
      </w:tr>
    </w:tbl>
    <w:p w14:paraId="6D8DEBB1" w14:textId="77777777" w:rsidR="00337288" w:rsidRDefault="00337288" w:rsidP="00337288">
      <w:pPr>
        <w:spacing w:after="0" w:line="240" w:lineRule="auto"/>
        <w:rPr>
          <w:rFonts w:eastAsiaTheme="minorEastAsia" w:cs="Arial Narrow"/>
          <w:color w:val="000000"/>
          <w:lang w:eastAsia="es-CR"/>
        </w:rPr>
      </w:pPr>
    </w:p>
    <w:p w14:paraId="71D44B14" w14:textId="77777777" w:rsidR="00337288" w:rsidRDefault="00337288" w:rsidP="004C6F83">
      <w:pPr>
        <w:spacing w:after="0" w:line="240" w:lineRule="auto"/>
        <w:rPr>
          <w:rFonts w:eastAsiaTheme="minorEastAsia" w:cs="Arial Narrow"/>
          <w:color w:val="000000"/>
          <w:lang w:eastAsia="es-CR"/>
        </w:rPr>
      </w:pPr>
    </w:p>
    <w:tbl>
      <w:tblPr>
        <w:tblW w:w="8838" w:type="dxa"/>
        <w:tblLook w:val="04A0" w:firstRow="1" w:lastRow="0" w:firstColumn="1" w:lastColumn="0" w:noHBand="0" w:noVBand="1"/>
      </w:tblPr>
      <w:tblGrid>
        <w:gridCol w:w="1265"/>
        <w:gridCol w:w="3357"/>
        <w:gridCol w:w="1134"/>
        <w:gridCol w:w="1134"/>
        <w:gridCol w:w="1134"/>
        <w:gridCol w:w="955"/>
      </w:tblGrid>
      <w:tr w:rsidR="00262F46" w:rsidRPr="00262F46" w14:paraId="0F0E70D2" w14:textId="77777777" w:rsidTr="00262F46">
        <w:trPr>
          <w:trHeight w:val="530"/>
        </w:trPr>
        <w:tc>
          <w:tcPr>
            <w:tcW w:w="1124" w:type="dxa"/>
            <w:tcBorders>
              <w:top w:val="single" w:sz="8" w:space="0" w:color="auto"/>
              <w:left w:val="single" w:sz="8" w:space="0" w:color="auto"/>
              <w:bottom w:val="nil"/>
              <w:right w:val="single" w:sz="12" w:space="0" w:color="auto"/>
            </w:tcBorders>
            <w:shd w:val="clear" w:color="000000" w:fill="002060"/>
            <w:noWrap/>
            <w:vAlign w:val="center"/>
            <w:hideMark/>
          </w:tcPr>
          <w:p w14:paraId="0E4B1C65" w14:textId="77777777" w:rsidR="00262F46" w:rsidRPr="00262F46" w:rsidRDefault="00262F46" w:rsidP="00262F46">
            <w:pPr>
              <w:spacing w:after="0" w:line="240" w:lineRule="auto"/>
              <w:jc w:val="center"/>
              <w:rPr>
                <w:rFonts w:eastAsia="Times New Roman" w:cs="Calibri"/>
                <w:b/>
                <w:bCs/>
                <w:color w:val="FFFFFF"/>
                <w:sz w:val="20"/>
                <w:szCs w:val="20"/>
                <w:lang w:val="en-US"/>
              </w:rPr>
            </w:pPr>
            <w:r w:rsidRPr="00262F46">
              <w:rPr>
                <w:rFonts w:eastAsia="Times New Roman" w:cs="Calibri"/>
                <w:b/>
                <w:bCs/>
                <w:color w:val="FFFFFF"/>
                <w:sz w:val="20"/>
                <w:szCs w:val="20"/>
                <w:lang w:val="en-US"/>
              </w:rPr>
              <w:t>Cuenta</w:t>
            </w:r>
          </w:p>
        </w:tc>
        <w:tc>
          <w:tcPr>
            <w:tcW w:w="3357" w:type="dxa"/>
            <w:tcBorders>
              <w:top w:val="single" w:sz="8" w:space="0" w:color="auto"/>
              <w:left w:val="nil"/>
              <w:bottom w:val="nil"/>
              <w:right w:val="single" w:sz="12" w:space="0" w:color="auto"/>
            </w:tcBorders>
            <w:shd w:val="clear" w:color="000000" w:fill="002060"/>
            <w:noWrap/>
            <w:vAlign w:val="center"/>
            <w:hideMark/>
          </w:tcPr>
          <w:p w14:paraId="728D0A8E" w14:textId="77777777" w:rsidR="00262F46" w:rsidRPr="00262F46" w:rsidRDefault="00262F46" w:rsidP="00262F46">
            <w:pPr>
              <w:spacing w:after="0" w:line="240" w:lineRule="auto"/>
              <w:jc w:val="center"/>
              <w:rPr>
                <w:rFonts w:eastAsia="Times New Roman" w:cs="Calibri"/>
                <w:b/>
                <w:bCs/>
                <w:color w:val="FFFFFF"/>
                <w:sz w:val="20"/>
                <w:szCs w:val="20"/>
                <w:lang w:val="en-US"/>
              </w:rPr>
            </w:pPr>
            <w:r w:rsidRPr="00262F46">
              <w:rPr>
                <w:rFonts w:eastAsia="Times New Roman" w:cs="Calibri"/>
                <w:b/>
                <w:bCs/>
                <w:color w:val="FFFFFF"/>
                <w:sz w:val="20"/>
                <w:szCs w:val="20"/>
                <w:lang w:val="en-US"/>
              </w:rPr>
              <w:t>Descripción</w:t>
            </w:r>
          </w:p>
        </w:tc>
        <w:tc>
          <w:tcPr>
            <w:tcW w:w="1134" w:type="dxa"/>
            <w:tcBorders>
              <w:top w:val="single" w:sz="8" w:space="0" w:color="auto"/>
              <w:left w:val="nil"/>
              <w:bottom w:val="nil"/>
              <w:right w:val="single" w:sz="12" w:space="0" w:color="auto"/>
            </w:tcBorders>
            <w:shd w:val="clear" w:color="000000" w:fill="002060"/>
            <w:vAlign w:val="center"/>
            <w:hideMark/>
          </w:tcPr>
          <w:p w14:paraId="27DAEECF" w14:textId="77777777" w:rsidR="00262F46" w:rsidRPr="00262F46" w:rsidRDefault="00262F46" w:rsidP="00262F46">
            <w:pPr>
              <w:spacing w:after="0" w:line="240" w:lineRule="auto"/>
              <w:jc w:val="center"/>
              <w:rPr>
                <w:rFonts w:eastAsia="Times New Roman" w:cs="Calibri"/>
                <w:b/>
                <w:bCs/>
                <w:color w:val="FFFFFF"/>
                <w:sz w:val="20"/>
                <w:szCs w:val="20"/>
                <w:lang w:val="en-US"/>
              </w:rPr>
            </w:pPr>
            <w:r w:rsidRPr="00262F46">
              <w:rPr>
                <w:rFonts w:eastAsia="Times New Roman" w:cs="Calibri"/>
                <w:b/>
                <w:bCs/>
                <w:color w:val="FFFFFF"/>
                <w:sz w:val="20"/>
                <w:szCs w:val="20"/>
                <w:lang w:val="en-US"/>
              </w:rPr>
              <w:t>Saldo Año Actual</w:t>
            </w:r>
          </w:p>
        </w:tc>
        <w:tc>
          <w:tcPr>
            <w:tcW w:w="1134" w:type="dxa"/>
            <w:tcBorders>
              <w:top w:val="single" w:sz="8" w:space="0" w:color="auto"/>
              <w:left w:val="nil"/>
              <w:bottom w:val="nil"/>
              <w:right w:val="single" w:sz="12" w:space="0" w:color="auto"/>
            </w:tcBorders>
            <w:shd w:val="clear" w:color="000000" w:fill="002060"/>
            <w:vAlign w:val="center"/>
            <w:hideMark/>
          </w:tcPr>
          <w:p w14:paraId="1508538B" w14:textId="77777777" w:rsidR="00262F46" w:rsidRPr="00262F46" w:rsidRDefault="00262F46" w:rsidP="00262F46">
            <w:pPr>
              <w:spacing w:after="0" w:line="240" w:lineRule="auto"/>
              <w:jc w:val="center"/>
              <w:rPr>
                <w:rFonts w:eastAsia="Times New Roman" w:cs="Calibri"/>
                <w:b/>
                <w:bCs/>
                <w:color w:val="FFFFFF"/>
                <w:sz w:val="20"/>
                <w:szCs w:val="20"/>
                <w:lang w:val="en-US"/>
              </w:rPr>
            </w:pPr>
            <w:r w:rsidRPr="00262F46">
              <w:rPr>
                <w:rFonts w:eastAsia="Times New Roman" w:cs="Calibri"/>
                <w:b/>
                <w:bCs/>
                <w:color w:val="FFFFFF"/>
                <w:sz w:val="20"/>
                <w:szCs w:val="20"/>
                <w:lang w:val="en-US"/>
              </w:rPr>
              <w:t>Saldo Año Anterior</w:t>
            </w:r>
          </w:p>
        </w:tc>
        <w:tc>
          <w:tcPr>
            <w:tcW w:w="1134" w:type="dxa"/>
            <w:tcBorders>
              <w:top w:val="single" w:sz="8" w:space="0" w:color="auto"/>
              <w:left w:val="nil"/>
              <w:bottom w:val="nil"/>
              <w:right w:val="single" w:sz="12" w:space="0" w:color="auto"/>
            </w:tcBorders>
            <w:shd w:val="clear" w:color="000000" w:fill="002060"/>
            <w:vAlign w:val="center"/>
            <w:hideMark/>
          </w:tcPr>
          <w:p w14:paraId="7B79B4E3" w14:textId="77777777" w:rsidR="00262F46" w:rsidRPr="00262F46" w:rsidRDefault="00262F46" w:rsidP="00262F46">
            <w:pPr>
              <w:spacing w:after="0" w:line="240" w:lineRule="auto"/>
              <w:jc w:val="center"/>
              <w:rPr>
                <w:rFonts w:eastAsia="Times New Roman" w:cs="Calibri"/>
                <w:b/>
                <w:bCs/>
                <w:color w:val="FFFFFF"/>
                <w:sz w:val="20"/>
                <w:szCs w:val="20"/>
                <w:lang w:val="en-US"/>
              </w:rPr>
            </w:pPr>
            <w:r w:rsidRPr="00262F46">
              <w:rPr>
                <w:rFonts w:eastAsia="Times New Roman" w:cs="Calibri"/>
                <w:b/>
                <w:bCs/>
                <w:color w:val="FFFFFF"/>
                <w:sz w:val="20"/>
                <w:szCs w:val="20"/>
                <w:lang w:val="en-US"/>
              </w:rPr>
              <w:t>Variación Absoluta</w:t>
            </w:r>
          </w:p>
        </w:tc>
        <w:tc>
          <w:tcPr>
            <w:tcW w:w="955" w:type="dxa"/>
            <w:tcBorders>
              <w:top w:val="single" w:sz="8" w:space="0" w:color="auto"/>
              <w:left w:val="nil"/>
              <w:bottom w:val="nil"/>
              <w:right w:val="single" w:sz="8" w:space="0" w:color="auto"/>
            </w:tcBorders>
            <w:shd w:val="clear" w:color="000000" w:fill="002060"/>
            <w:vAlign w:val="center"/>
            <w:hideMark/>
          </w:tcPr>
          <w:p w14:paraId="071D6DEA" w14:textId="77777777" w:rsidR="00262F46" w:rsidRPr="00262F46" w:rsidRDefault="00262F46" w:rsidP="00262F46">
            <w:pPr>
              <w:spacing w:after="0" w:line="240" w:lineRule="auto"/>
              <w:jc w:val="center"/>
              <w:rPr>
                <w:rFonts w:eastAsia="Times New Roman" w:cs="Calibri"/>
                <w:b/>
                <w:bCs/>
                <w:color w:val="FFFFFF"/>
                <w:sz w:val="20"/>
                <w:szCs w:val="20"/>
                <w:lang w:val="en-US"/>
              </w:rPr>
            </w:pPr>
            <w:r w:rsidRPr="00262F46">
              <w:rPr>
                <w:rFonts w:eastAsia="Times New Roman" w:cs="Calibri"/>
                <w:b/>
                <w:bCs/>
                <w:color w:val="FFFFFF"/>
                <w:sz w:val="20"/>
                <w:szCs w:val="20"/>
                <w:lang w:val="en-US"/>
              </w:rPr>
              <w:t>Variación %</w:t>
            </w:r>
          </w:p>
        </w:tc>
      </w:tr>
      <w:tr w:rsidR="00262F46" w:rsidRPr="00262F46" w14:paraId="44C362BD" w14:textId="77777777" w:rsidTr="00262F46">
        <w:trPr>
          <w:trHeight w:val="290"/>
        </w:trPr>
        <w:tc>
          <w:tcPr>
            <w:tcW w:w="1124" w:type="dxa"/>
            <w:tcBorders>
              <w:top w:val="single" w:sz="8" w:space="0" w:color="auto"/>
              <w:left w:val="single" w:sz="8" w:space="0" w:color="auto"/>
              <w:bottom w:val="nil"/>
              <w:right w:val="single" w:sz="8" w:space="0" w:color="auto"/>
            </w:tcBorders>
            <w:shd w:val="clear" w:color="auto" w:fill="auto"/>
            <w:noWrap/>
            <w:vAlign w:val="bottom"/>
            <w:hideMark/>
          </w:tcPr>
          <w:p w14:paraId="380ACE5A" w14:textId="77777777" w:rsidR="00262F46" w:rsidRPr="00262F46" w:rsidRDefault="00262F46" w:rsidP="00262F46">
            <w:pPr>
              <w:spacing w:after="0" w:line="240" w:lineRule="auto"/>
              <w:jc w:val="left"/>
              <w:rPr>
                <w:rFonts w:ascii="Calibri" w:eastAsia="Times New Roman" w:hAnsi="Calibri" w:cs="Calibri"/>
                <w:color w:val="000000"/>
                <w:sz w:val="22"/>
                <w:lang w:val="en-US"/>
              </w:rPr>
            </w:pPr>
            <w:r w:rsidRPr="00262F46">
              <w:rPr>
                <w:rFonts w:ascii="Calibri" w:eastAsia="Times New Roman" w:hAnsi="Calibri" w:cs="Calibri"/>
                <w:color w:val="000000"/>
                <w:sz w:val="22"/>
                <w:lang w:val="en-US"/>
              </w:rPr>
              <w:t> </w:t>
            </w:r>
          </w:p>
        </w:tc>
        <w:tc>
          <w:tcPr>
            <w:tcW w:w="3357" w:type="dxa"/>
            <w:tcBorders>
              <w:top w:val="single" w:sz="8" w:space="0" w:color="auto"/>
              <w:left w:val="nil"/>
              <w:bottom w:val="nil"/>
              <w:right w:val="single" w:sz="8" w:space="0" w:color="auto"/>
            </w:tcBorders>
            <w:shd w:val="clear" w:color="auto" w:fill="auto"/>
            <w:noWrap/>
            <w:vAlign w:val="bottom"/>
            <w:hideMark/>
          </w:tcPr>
          <w:p w14:paraId="119B3707" w14:textId="77777777" w:rsidR="00262F46" w:rsidRPr="00262F46" w:rsidRDefault="00262F46" w:rsidP="007E1E36">
            <w:pPr>
              <w:spacing w:after="120" w:line="240" w:lineRule="auto"/>
              <w:jc w:val="left"/>
              <w:rPr>
                <w:rFonts w:eastAsia="Times New Roman" w:cs="Calibri"/>
                <w:b/>
                <w:bCs/>
                <w:color w:val="000000"/>
                <w:sz w:val="20"/>
                <w:szCs w:val="20"/>
              </w:rPr>
            </w:pPr>
            <w:r w:rsidRPr="00262F46">
              <w:rPr>
                <w:rFonts w:eastAsia="Times New Roman" w:cs="Calibri"/>
                <w:b/>
                <w:bCs/>
                <w:color w:val="000000"/>
                <w:sz w:val="20"/>
                <w:szCs w:val="20"/>
              </w:rPr>
              <w:t>Deudas sociales y fiscales a corto plazo</w:t>
            </w:r>
          </w:p>
        </w:tc>
        <w:tc>
          <w:tcPr>
            <w:tcW w:w="1134" w:type="dxa"/>
            <w:tcBorders>
              <w:top w:val="single" w:sz="8" w:space="0" w:color="auto"/>
              <w:left w:val="nil"/>
              <w:bottom w:val="nil"/>
              <w:right w:val="single" w:sz="8" w:space="0" w:color="auto"/>
            </w:tcBorders>
            <w:shd w:val="clear" w:color="auto" w:fill="auto"/>
            <w:noWrap/>
            <w:vAlign w:val="bottom"/>
            <w:hideMark/>
          </w:tcPr>
          <w:p w14:paraId="0A9AC357" w14:textId="77777777" w:rsidR="00262F46" w:rsidRPr="00262F46" w:rsidRDefault="00262F46" w:rsidP="00262F46">
            <w:pPr>
              <w:spacing w:after="0" w:line="240" w:lineRule="auto"/>
              <w:jc w:val="left"/>
              <w:rPr>
                <w:rFonts w:eastAsia="Times New Roman" w:cs="Calibri"/>
                <w:color w:val="000000"/>
                <w:sz w:val="20"/>
                <w:szCs w:val="20"/>
              </w:rPr>
            </w:pPr>
            <w:r w:rsidRPr="00262F46">
              <w:rPr>
                <w:rFonts w:eastAsia="Times New Roman" w:cs="Calibri"/>
                <w:color w:val="000000"/>
                <w:sz w:val="20"/>
                <w:szCs w:val="20"/>
              </w:rPr>
              <w:t> </w:t>
            </w:r>
          </w:p>
        </w:tc>
        <w:tc>
          <w:tcPr>
            <w:tcW w:w="1134" w:type="dxa"/>
            <w:tcBorders>
              <w:top w:val="single" w:sz="8" w:space="0" w:color="auto"/>
              <w:left w:val="nil"/>
              <w:bottom w:val="nil"/>
              <w:right w:val="single" w:sz="8" w:space="0" w:color="auto"/>
            </w:tcBorders>
            <w:shd w:val="clear" w:color="auto" w:fill="auto"/>
            <w:noWrap/>
            <w:vAlign w:val="bottom"/>
            <w:hideMark/>
          </w:tcPr>
          <w:p w14:paraId="6E449221" w14:textId="77777777" w:rsidR="00262F46" w:rsidRPr="00262F46" w:rsidRDefault="00262F46" w:rsidP="00262F46">
            <w:pPr>
              <w:spacing w:after="0" w:line="240" w:lineRule="auto"/>
              <w:jc w:val="left"/>
              <w:rPr>
                <w:rFonts w:eastAsia="Times New Roman" w:cs="Calibri"/>
                <w:color w:val="000000"/>
                <w:sz w:val="20"/>
                <w:szCs w:val="20"/>
              </w:rPr>
            </w:pPr>
            <w:r w:rsidRPr="00262F46">
              <w:rPr>
                <w:rFonts w:eastAsia="Times New Roman" w:cs="Calibri"/>
                <w:color w:val="000000"/>
                <w:sz w:val="20"/>
                <w:szCs w:val="20"/>
              </w:rPr>
              <w:t> </w:t>
            </w:r>
          </w:p>
        </w:tc>
        <w:tc>
          <w:tcPr>
            <w:tcW w:w="1134" w:type="dxa"/>
            <w:tcBorders>
              <w:top w:val="single" w:sz="8" w:space="0" w:color="auto"/>
              <w:left w:val="nil"/>
              <w:bottom w:val="nil"/>
              <w:right w:val="single" w:sz="8" w:space="0" w:color="auto"/>
            </w:tcBorders>
            <w:shd w:val="clear" w:color="auto" w:fill="auto"/>
            <w:noWrap/>
            <w:vAlign w:val="bottom"/>
            <w:hideMark/>
          </w:tcPr>
          <w:p w14:paraId="57A6FEA9" w14:textId="77777777" w:rsidR="00262F46" w:rsidRPr="00262F46" w:rsidRDefault="00262F46" w:rsidP="00262F46">
            <w:pPr>
              <w:spacing w:after="0" w:line="240" w:lineRule="auto"/>
              <w:jc w:val="left"/>
              <w:rPr>
                <w:rFonts w:eastAsia="Times New Roman" w:cs="Calibri"/>
                <w:color w:val="000000"/>
                <w:sz w:val="20"/>
                <w:szCs w:val="20"/>
              </w:rPr>
            </w:pPr>
            <w:r w:rsidRPr="00262F46">
              <w:rPr>
                <w:rFonts w:eastAsia="Times New Roman" w:cs="Calibri"/>
                <w:color w:val="000000"/>
                <w:sz w:val="20"/>
                <w:szCs w:val="20"/>
              </w:rPr>
              <w:t> </w:t>
            </w:r>
          </w:p>
        </w:tc>
        <w:tc>
          <w:tcPr>
            <w:tcW w:w="955" w:type="dxa"/>
            <w:tcBorders>
              <w:top w:val="single" w:sz="8" w:space="0" w:color="auto"/>
              <w:left w:val="nil"/>
              <w:bottom w:val="nil"/>
              <w:right w:val="single" w:sz="8" w:space="0" w:color="auto"/>
            </w:tcBorders>
            <w:shd w:val="clear" w:color="auto" w:fill="auto"/>
            <w:noWrap/>
            <w:vAlign w:val="bottom"/>
            <w:hideMark/>
          </w:tcPr>
          <w:p w14:paraId="3C849135" w14:textId="77777777" w:rsidR="00262F46" w:rsidRPr="00262F46" w:rsidRDefault="00262F46" w:rsidP="00262F46">
            <w:pPr>
              <w:spacing w:after="0" w:line="240" w:lineRule="auto"/>
              <w:jc w:val="left"/>
              <w:rPr>
                <w:rFonts w:eastAsia="Times New Roman" w:cs="Calibri"/>
                <w:color w:val="000000"/>
                <w:sz w:val="20"/>
                <w:szCs w:val="20"/>
              </w:rPr>
            </w:pPr>
            <w:r w:rsidRPr="00262F46">
              <w:rPr>
                <w:rFonts w:eastAsia="Times New Roman" w:cs="Calibri"/>
                <w:color w:val="000000"/>
                <w:sz w:val="20"/>
                <w:szCs w:val="20"/>
              </w:rPr>
              <w:t xml:space="preserve"> </w:t>
            </w:r>
          </w:p>
        </w:tc>
      </w:tr>
      <w:tr w:rsidR="00262F46" w:rsidRPr="00262F46" w14:paraId="26E13C7F" w14:textId="77777777" w:rsidTr="00262F46">
        <w:trPr>
          <w:trHeight w:val="290"/>
        </w:trPr>
        <w:tc>
          <w:tcPr>
            <w:tcW w:w="1124" w:type="dxa"/>
            <w:tcBorders>
              <w:top w:val="nil"/>
              <w:left w:val="single" w:sz="8" w:space="0" w:color="auto"/>
              <w:bottom w:val="nil"/>
              <w:right w:val="single" w:sz="8" w:space="0" w:color="auto"/>
            </w:tcBorders>
            <w:shd w:val="clear" w:color="auto" w:fill="auto"/>
            <w:noWrap/>
            <w:vAlign w:val="bottom"/>
            <w:hideMark/>
          </w:tcPr>
          <w:p w14:paraId="16AFC740" w14:textId="170B684E" w:rsidR="00262F46" w:rsidRPr="00262F46" w:rsidRDefault="00262F46" w:rsidP="00262F46">
            <w:pPr>
              <w:spacing w:after="0" w:line="240" w:lineRule="auto"/>
              <w:jc w:val="left"/>
              <w:rPr>
                <w:rFonts w:eastAsia="Times New Roman" w:cs="Calibri"/>
                <w:color w:val="000000"/>
                <w:sz w:val="20"/>
                <w:szCs w:val="20"/>
                <w:lang w:val="en-US"/>
              </w:rPr>
            </w:pPr>
            <w:r w:rsidRPr="00262F46">
              <w:rPr>
                <w:rFonts w:eastAsia="Times New Roman" w:cs="Calibri"/>
                <w:color w:val="000000"/>
                <w:sz w:val="20"/>
                <w:szCs w:val="20"/>
                <w:lang w:val="en-US"/>
              </w:rPr>
              <w:t>2.1.1.02.01.01</w:t>
            </w:r>
          </w:p>
        </w:tc>
        <w:tc>
          <w:tcPr>
            <w:tcW w:w="3357" w:type="dxa"/>
            <w:tcBorders>
              <w:top w:val="nil"/>
              <w:left w:val="nil"/>
              <w:bottom w:val="nil"/>
              <w:right w:val="single" w:sz="8" w:space="0" w:color="auto"/>
            </w:tcBorders>
            <w:shd w:val="clear" w:color="auto" w:fill="auto"/>
            <w:noWrap/>
            <w:vAlign w:val="bottom"/>
            <w:hideMark/>
          </w:tcPr>
          <w:p w14:paraId="707BACE0" w14:textId="77777777" w:rsidR="00262F46" w:rsidRPr="00262F46" w:rsidRDefault="00262F46" w:rsidP="00262F46">
            <w:pPr>
              <w:spacing w:after="60" w:line="240" w:lineRule="auto"/>
              <w:jc w:val="left"/>
              <w:rPr>
                <w:rFonts w:eastAsia="Times New Roman" w:cs="Calibri"/>
                <w:color w:val="000000"/>
                <w:sz w:val="20"/>
                <w:szCs w:val="20"/>
              </w:rPr>
            </w:pPr>
            <w:r w:rsidRPr="00262F46">
              <w:rPr>
                <w:rFonts w:eastAsia="Times New Roman" w:cs="Calibri"/>
                <w:color w:val="000000"/>
                <w:sz w:val="20"/>
                <w:szCs w:val="20"/>
              </w:rPr>
              <w:t>Remuneraciones básicas y eventuales a pagar c/p (Remuneraciones)</w:t>
            </w:r>
          </w:p>
        </w:tc>
        <w:tc>
          <w:tcPr>
            <w:tcW w:w="1134" w:type="dxa"/>
            <w:tcBorders>
              <w:top w:val="nil"/>
              <w:left w:val="nil"/>
              <w:bottom w:val="nil"/>
              <w:right w:val="single" w:sz="8" w:space="0" w:color="auto"/>
            </w:tcBorders>
            <w:shd w:val="clear" w:color="auto" w:fill="auto"/>
            <w:noWrap/>
            <w:vAlign w:val="bottom"/>
            <w:hideMark/>
          </w:tcPr>
          <w:p w14:paraId="53A40A48" w14:textId="77777777" w:rsidR="00262F46" w:rsidRPr="00262F46" w:rsidRDefault="00262F46" w:rsidP="00262F46">
            <w:pPr>
              <w:spacing w:after="0" w:line="240" w:lineRule="auto"/>
              <w:ind w:left="-102"/>
              <w:jc w:val="right"/>
              <w:rPr>
                <w:rFonts w:eastAsia="Times New Roman" w:cs="Calibri"/>
                <w:color w:val="000000"/>
                <w:sz w:val="20"/>
                <w:szCs w:val="20"/>
                <w:lang w:val="en-US"/>
              </w:rPr>
            </w:pPr>
            <w:r w:rsidRPr="00262F46">
              <w:rPr>
                <w:rFonts w:ascii="Arial" w:eastAsia="Times New Roman" w:hAnsi="Arial" w:cs="Arial"/>
                <w:color w:val="000000"/>
                <w:sz w:val="20"/>
                <w:szCs w:val="20"/>
                <w:lang w:val="en-US"/>
              </w:rPr>
              <w:t>₡</w:t>
            </w:r>
            <w:r w:rsidRPr="00262F46">
              <w:rPr>
                <w:rFonts w:eastAsia="Times New Roman" w:cs="Calibri"/>
                <w:color w:val="000000"/>
                <w:sz w:val="20"/>
                <w:szCs w:val="20"/>
                <w:lang w:val="en-US"/>
              </w:rPr>
              <w:t>21 002,07</w:t>
            </w:r>
          </w:p>
        </w:tc>
        <w:tc>
          <w:tcPr>
            <w:tcW w:w="1134" w:type="dxa"/>
            <w:tcBorders>
              <w:top w:val="nil"/>
              <w:left w:val="nil"/>
              <w:bottom w:val="nil"/>
              <w:right w:val="single" w:sz="8" w:space="0" w:color="auto"/>
            </w:tcBorders>
            <w:shd w:val="clear" w:color="auto" w:fill="auto"/>
            <w:noWrap/>
            <w:vAlign w:val="bottom"/>
            <w:hideMark/>
          </w:tcPr>
          <w:p w14:paraId="572B3E34" w14:textId="77777777" w:rsidR="00262F46" w:rsidRPr="00262F46" w:rsidRDefault="00262F46" w:rsidP="00262F46">
            <w:pPr>
              <w:spacing w:after="0" w:line="240" w:lineRule="auto"/>
              <w:ind w:left="-171"/>
              <w:jc w:val="right"/>
              <w:rPr>
                <w:rFonts w:eastAsia="Times New Roman" w:cs="Calibri"/>
                <w:color w:val="000000"/>
                <w:sz w:val="20"/>
                <w:szCs w:val="20"/>
                <w:lang w:val="en-US"/>
              </w:rPr>
            </w:pPr>
            <w:r w:rsidRPr="00262F46">
              <w:rPr>
                <w:rFonts w:ascii="Arial" w:eastAsia="Times New Roman" w:hAnsi="Arial" w:cs="Arial"/>
                <w:color w:val="000000"/>
                <w:sz w:val="20"/>
                <w:szCs w:val="20"/>
                <w:lang w:val="en-US"/>
              </w:rPr>
              <w:t>₡</w:t>
            </w:r>
            <w:r w:rsidRPr="00262F46">
              <w:rPr>
                <w:rFonts w:eastAsia="Times New Roman" w:cs="Calibri"/>
                <w:color w:val="000000"/>
                <w:sz w:val="20"/>
                <w:szCs w:val="20"/>
                <w:lang w:val="en-US"/>
              </w:rPr>
              <w:t>42 794,62</w:t>
            </w:r>
          </w:p>
        </w:tc>
        <w:tc>
          <w:tcPr>
            <w:tcW w:w="1134" w:type="dxa"/>
            <w:tcBorders>
              <w:top w:val="nil"/>
              <w:left w:val="nil"/>
              <w:bottom w:val="nil"/>
              <w:right w:val="single" w:sz="8" w:space="0" w:color="auto"/>
            </w:tcBorders>
            <w:shd w:val="clear" w:color="auto" w:fill="auto"/>
            <w:noWrap/>
            <w:vAlign w:val="bottom"/>
            <w:hideMark/>
          </w:tcPr>
          <w:p w14:paraId="30FE26C2" w14:textId="77777777" w:rsidR="00262F46" w:rsidRPr="00262F46" w:rsidRDefault="00262F46" w:rsidP="00262F46">
            <w:pPr>
              <w:spacing w:after="0" w:line="240" w:lineRule="auto"/>
              <w:ind w:left="-87"/>
              <w:jc w:val="right"/>
              <w:rPr>
                <w:rFonts w:eastAsia="Times New Roman" w:cs="Calibri"/>
                <w:color w:val="000000"/>
                <w:sz w:val="20"/>
                <w:szCs w:val="20"/>
                <w:lang w:val="en-US"/>
              </w:rPr>
            </w:pPr>
            <w:r w:rsidRPr="00262F46">
              <w:rPr>
                <w:rFonts w:eastAsia="Times New Roman" w:cs="Calibri"/>
                <w:color w:val="000000"/>
                <w:sz w:val="20"/>
                <w:szCs w:val="20"/>
                <w:lang w:val="en-US"/>
              </w:rPr>
              <w:t>-</w:t>
            </w:r>
            <w:r w:rsidRPr="00262F46">
              <w:rPr>
                <w:rFonts w:ascii="Arial" w:eastAsia="Times New Roman" w:hAnsi="Arial" w:cs="Arial"/>
                <w:color w:val="000000"/>
                <w:sz w:val="20"/>
                <w:szCs w:val="20"/>
                <w:lang w:val="en-US"/>
              </w:rPr>
              <w:t>₡</w:t>
            </w:r>
            <w:r w:rsidRPr="00262F46">
              <w:rPr>
                <w:rFonts w:eastAsia="Times New Roman" w:cs="Calibri"/>
                <w:color w:val="000000"/>
                <w:sz w:val="20"/>
                <w:szCs w:val="20"/>
                <w:lang w:val="en-US"/>
              </w:rPr>
              <w:t>21 792,55</w:t>
            </w:r>
          </w:p>
        </w:tc>
        <w:tc>
          <w:tcPr>
            <w:tcW w:w="955" w:type="dxa"/>
            <w:tcBorders>
              <w:top w:val="nil"/>
              <w:left w:val="nil"/>
              <w:bottom w:val="nil"/>
              <w:right w:val="single" w:sz="8" w:space="0" w:color="auto"/>
            </w:tcBorders>
            <w:shd w:val="clear" w:color="auto" w:fill="auto"/>
            <w:noWrap/>
            <w:vAlign w:val="bottom"/>
            <w:hideMark/>
          </w:tcPr>
          <w:p w14:paraId="2121C076" w14:textId="77777777" w:rsidR="00262F46" w:rsidRPr="00262F46" w:rsidRDefault="00262F46" w:rsidP="00262F46">
            <w:pPr>
              <w:spacing w:after="0" w:line="240" w:lineRule="auto"/>
              <w:jc w:val="right"/>
              <w:rPr>
                <w:rFonts w:eastAsia="Times New Roman" w:cs="Calibri"/>
                <w:color w:val="000000"/>
                <w:sz w:val="20"/>
                <w:szCs w:val="20"/>
                <w:lang w:val="en-US"/>
              </w:rPr>
            </w:pPr>
            <w:r w:rsidRPr="00262F46">
              <w:rPr>
                <w:rFonts w:eastAsia="Times New Roman" w:cs="Calibri"/>
                <w:color w:val="000000"/>
                <w:sz w:val="20"/>
                <w:szCs w:val="20"/>
                <w:lang w:val="en-US"/>
              </w:rPr>
              <w:t>-50,92%</w:t>
            </w:r>
          </w:p>
        </w:tc>
      </w:tr>
      <w:tr w:rsidR="00262F46" w:rsidRPr="00262F46" w14:paraId="1C5FE4CA" w14:textId="77777777" w:rsidTr="00262F46">
        <w:trPr>
          <w:trHeight w:val="290"/>
        </w:trPr>
        <w:tc>
          <w:tcPr>
            <w:tcW w:w="1124" w:type="dxa"/>
            <w:tcBorders>
              <w:top w:val="nil"/>
              <w:left w:val="single" w:sz="8" w:space="0" w:color="auto"/>
              <w:bottom w:val="nil"/>
              <w:right w:val="single" w:sz="8" w:space="0" w:color="auto"/>
            </w:tcBorders>
            <w:shd w:val="clear" w:color="auto" w:fill="auto"/>
            <w:noWrap/>
            <w:vAlign w:val="bottom"/>
            <w:hideMark/>
          </w:tcPr>
          <w:p w14:paraId="29DA8E82" w14:textId="2BAD3FD2" w:rsidR="00262F46" w:rsidRPr="00262F46" w:rsidRDefault="00262F46" w:rsidP="00262F46">
            <w:pPr>
              <w:spacing w:after="0" w:line="240" w:lineRule="auto"/>
              <w:jc w:val="left"/>
              <w:rPr>
                <w:rFonts w:eastAsia="Times New Roman" w:cs="Calibri"/>
                <w:color w:val="000000"/>
                <w:sz w:val="20"/>
                <w:szCs w:val="20"/>
                <w:lang w:val="en-US"/>
              </w:rPr>
            </w:pPr>
            <w:r w:rsidRPr="00262F46">
              <w:rPr>
                <w:rFonts w:eastAsia="Times New Roman" w:cs="Calibri"/>
                <w:color w:val="000000"/>
                <w:sz w:val="20"/>
                <w:szCs w:val="20"/>
                <w:lang w:val="en-US"/>
              </w:rPr>
              <w:t>2.1.1.02.01.03</w:t>
            </w:r>
          </w:p>
        </w:tc>
        <w:tc>
          <w:tcPr>
            <w:tcW w:w="3357" w:type="dxa"/>
            <w:tcBorders>
              <w:top w:val="nil"/>
              <w:left w:val="nil"/>
              <w:bottom w:val="nil"/>
              <w:right w:val="single" w:sz="8" w:space="0" w:color="auto"/>
            </w:tcBorders>
            <w:shd w:val="clear" w:color="auto" w:fill="auto"/>
            <w:noWrap/>
            <w:vAlign w:val="bottom"/>
            <w:hideMark/>
          </w:tcPr>
          <w:p w14:paraId="4099D7CF" w14:textId="77777777" w:rsidR="00262F46" w:rsidRPr="00262F46" w:rsidRDefault="00262F46" w:rsidP="00262F46">
            <w:pPr>
              <w:spacing w:after="60" w:line="240" w:lineRule="auto"/>
              <w:jc w:val="left"/>
              <w:rPr>
                <w:rFonts w:eastAsia="Times New Roman" w:cs="Calibri"/>
                <w:color w:val="000000"/>
                <w:sz w:val="20"/>
                <w:szCs w:val="20"/>
              </w:rPr>
            </w:pPr>
            <w:r w:rsidRPr="00262F46">
              <w:rPr>
                <w:rFonts w:eastAsia="Times New Roman" w:cs="Calibri"/>
                <w:color w:val="000000"/>
                <w:sz w:val="20"/>
                <w:szCs w:val="20"/>
              </w:rPr>
              <w:t>Incentivos salariales a pagar c/p (Decimotercer mes)</w:t>
            </w:r>
          </w:p>
        </w:tc>
        <w:tc>
          <w:tcPr>
            <w:tcW w:w="1134" w:type="dxa"/>
            <w:tcBorders>
              <w:top w:val="nil"/>
              <w:left w:val="nil"/>
              <w:bottom w:val="nil"/>
              <w:right w:val="single" w:sz="8" w:space="0" w:color="auto"/>
            </w:tcBorders>
            <w:shd w:val="clear" w:color="000000" w:fill="FFFFFF"/>
            <w:noWrap/>
            <w:vAlign w:val="bottom"/>
            <w:hideMark/>
          </w:tcPr>
          <w:p w14:paraId="68F8FE15" w14:textId="77777777" w:rsidR="00262F46" w:rsidRPr="00262F46" w:rsidRDefault="00262F46" w:rsidP="00262F46">
            <w:pPr>
              <w:spacing w:after="0" w:line="240" w:lineRule="auto"/>
              <w:ind w:left="-102"/>
              <w:jc w:val="right"/>
              <w:rPr>
                <w:rFonts w:eastAsia="Times New Roman" w:cs="Calibri"/>
                <w:color w:val="000000"/>
                <w:sz w:val="20"/>
                <w:szCs w:val="20"/>
                <w:lang w:val="en-US"/>
              </w:rPr>
            </w:pPr>
            <w:r w:rsidRPr="00262F46">
              <w:rPr>
                <w:rFonts w:eastAsia="Times New Roman" w:cs="Calibri"/>
                <w:color w:val="000000"/>
                <w:sz w:val="20"/>
                <w:szCs w:val="20"/>
                <w:lang w:val="en-US"/>
              </w:rPr>
              <w:t>48 939,89</w:t>
            </w:r>
          </w:p>
        </w:tc>
        <w:tc>
          <w:tcPr>
            <w:tcW w:w="1134" w:type="dxa"/>
            <w:tcBorders>
              <w:top w:val="nil"/>
              <w:left w:val="nil"/>
              <w:bottom w:val="nil"/>
              <w:right w:val="single" w:sz="8" w:space="0" w:color="auto"/>
            </w:tcBorders>
            <w:shd w:val="clear" w:color="000000" w:fill="FFFFFF"/>
            <w:noWrap/>
            <w:vAlign w:val="bottom"/>
            <w:hideMark/>
          </w:tcPr>
          <w:p w14:paraId="33385C52" w14:textId="77777777" w:rsidR="00262F46" w:rsidRPr="00262F46" w:rsidRDefault="00262F46" w:rsidP="00262F46">
            <w:pPr>
              <w:spacing w:after="0" w:line="240" w:lineRule="auto"/>
              <w:ind w:left="-171"/>
              <w:jc w:val="right"/>
              <w:rPr>
                <w:rFonts w:eastAsia="Times New Roman" w:cs="Calibri"/>
                <w:color w:val="000000"/>
                <w:sz w:val="20"/>
                <w:szCs w:val="20"/>
                <w:lang w:val="en-US"/>
              </w:rPr>
            </w:pPr>
            <w:r w:rsidRPr="00262F46">
              <w:rPr>
                <w:rFonts w:eastAsia="Times New Roman" w:cs="Calibri"/>
                <w:color w:val="000000"/>
                <w:sz w:val="20"/>
                <w:szCs w:val="20"/>
                <w:lang w:val="en-US"/>
              </w:rPr>
              <w:t>46 572,05</w:t>
            </w:r>
          </w:p>
        </w:tc>
        <w:tc>
          <w:tcPr>
            <w:tcW w:w="1134" w:type="dxa"/>
            <w:tcBorders>
              <w:top w:val="nil"/>
              <w:left w:val="nil"/>
              <w:bottom w:val="nil"/>
              <w:right w:val="single" w:sz="8" w:space="0" w:color="auto"/>
            </w:tcBorders>
            <w:shd w:val="clear" w:color="000000" w:fill="FFFFFF"/>
            <w:noWrap/>
            <w:vAlign w:val="bottom"/>
            <w:hideMark/>
          </w:tcPr>
          <w:p w14:paraId="143A96D3" w14:textId="77777777" w:rsidR="00262F46" w:rsidRPr="00262F46" w:rsidRDefault="00262F46" w:rsidP="00262F46">
            <w:pPr>
              <w:spacing w:after="0" w:line="240" w:lineRule="auto"/>
              <w:ind w:left="-87"/>
              <w:jc w:val="right"/>
              <w:rPr>
                <w:rFonts w:eastAsia="Times New Roman" w:cs="Calibri"/>
                <w:color w:val="000000"/>
                <w:sz w:val="20"/>
                <w:szCs w:val="20"/>
                <w:lang w:val="en-US"/>
              </w:rPr>
            </w:pPr>
            <w:r w:rsidRPr="00262F46">
              <w:rPr>
                <w:rFonts w:eastAsia="Times New Roman" w:cs="Calibri"/>
                <w:color w:val="000000"/>
                <w:sz w:val="20"/>
                <w:szCs w:val="20"/>
                <w:lang w:val="en-US"/>
              </w:rPr>
              <w:t>2 367,84</w:t>
            </w:r>
          </w:p>
        </w:tc>
        <w:tc>
          <w:tcPr>
            <w:tcW w:w="955" w:type="dxa"/>
            <w:tcBorders>
              <w:top w:val="nil"/>
              <w:left w:val="nil"/>
              <w:bottom w:val="nil"/>
              <w:right w:val="single" w:sz="8" w:space="0" w:color="auto"/>
            </w:tcBorders>
            <w:shd w:val="clear" w:color="auto" w:fill="auto"/>
            <w:noWrap/>
            <w:vAlign w:val="bottom"/>
            <w:hideMark/>
          </w:tcPr>
          <w:p w14:paraId="26B8D8BF" w14:textId="77777777" w:rsidR="00262F46" w:rsidRPr="00262F46" w:rsidRDefault="00262F46" w:rsidP="00262F46">
            <w:pPr>
              <w:spacing w:after="0" w:line="240" w:lineRule="auto"/>
              <w:jc w:val="right"/>
              <w:rPr>
                <w:rFonts w:eastAsia="Times New Roman" w:cs="Calibri"/>
                <w:color w:val="000000"/>
                <w:sz w:val="20"/>
                <w:szCs w:val="20"/>
                <w:lang w:val="en-US"/>
              </w:rPr>
            </w:pPr>
            <w:r w:rsidRPr="00262F46">
              <w:rPr>
                <w:rFonts w:eastAsia="Times New Roman" w:cs="Calibri"/>
                <w:color w:val="000000"/>
                <w:sz w:val="20"/>
                <w:szCs w:val="20"/>
                <w:lang w:val="en-US"/>
              </w:rPr>
              <w:t>5,08%</w:t>
            </w:r>
          </w:p>
        </w:tc>
      </w:tr>
      <w:tr w:rsidR="00262F46" w:rsidRPr="00262F46" w14:paraId="0415BBEF" w14:textId="77777777" w:rsidTr="00262F46">
        <w:trPr>
          <w:trHeight w:val="611"/>
        </w:trPr>
        <w:tc>
          <w:tcPr>
            <w:tcW w:w="1124" w:type="dxa"/>
            <w:tcBorders>
              <w:top w:val="nil"/>
              <w:left w:val="single" w:sz="8" w:space="0" w:color="auto"/>
              <w:bottom w:val="nil"/>
              <w:right w:val="single" w:sz="8" w:space="0" w:color="auto"/>
            </w:tcBorders>
            <w:shd w:val="clear" w:color="auto" w:fill="auto"/>
            <w:noWrap/>
            <w:vAlign w:val="center"/>
            <w:hideMark/>
          </w:tcPr>
          <w:p w14:paraId="25D8E536" w14:textId="307619B5" w:rsidR="00262F46" w:rsidRPr="00262F46" w:rsidRDefault="00262F46" w:rsidP="00262F46">
            <w:pPr>
              <w:spacing w:after="0" w:line="240" w:lineRule="auto"/>
              <w:jc w:val="left"/>
              <w:rPr>
                <w:rFonts w:eastAsia="Times New Roman" w:cs="Calibri"/>
                <w:color w:val="000000"/>
                <w:sz w:val="20"/>
                <w:szCs w:val="20"/>
                <w:lang w:val="en-US"/>
              </w:rPr>
            </w:pPr>
            <w:r w:rsidRPr="00262F46">
              <w:rPr>
                <w:rFonts w:eastAsia="Times New Roman" w:cs="Calibri"/>
                <w:color w:val="000000"/>
                <w:sz w:val="20"/>
                <w:szCs w:val="20"/>
                <w:lang w:val="en-US"/>
              </w:rPr>
              <w:t>2.1.1.02.01.04</w:t>
            </w:r>
          </w:p>
        </w:tc>
        <w:tc>
          <w:tcPr>
            <w:tcW w:w="3357" w:type="dxa"/>
            <w:tcBorders>
              <w:top w:val="nil"/>
              <w:left w:val="nil"/>
              <w:bottom w:val="nil"/>
              <w:right w:val="single" w:sz="8" w:space="0" w:color="auto"/>
            </w:tcBorders>
            <w:shd w:val="clear" w:color="auto" w:fill="auto"/>
            <w:vAlign w:val="bottom"/>
            <w:hideMark/>
          </w:tcPr>
          <w:p w14:paraId="0CDE1B91" w14:textId="77777777" w:rsidR="00262F46" w:rsidRPr="00262F46" w:rsidRDefault="00262F46" w:rsidP="00262F46">
            <w:pPr>
              <w:spacing w:after="0" w:line="240" w:lineRule="auto"/>
              <w:jc w:val="left"/>
              <w:rPr>
                <w:rFonts w:eastAsia="Times New Roman" w:cs="Calibri"/>
                <w:color w:val="000000"/>
                <w:sz w:val="20"/>
                <w:szCs w:val="20"/>
              </w:rPr>
            </w:pPr>
            <w:r w:rsidRPr="00262F46">
              <w:rPr>
                <w:rFonts w:eastAsia="Times New Roman" w:cs="Calibri"/>
                <w:color w:val="000000"/>
                <w:sz w:val="20"/>
                <w:szCs w:val="20"/>
              </w:rPr>
              <w:t>Contribuciones patronales al desarrollo y la seguridad social a pagar c/p (Aporte Patronal FCL - CCSS)</w:t>
            </w:r>
          </w:p>
        </w:tc>
        <w:tc>
          <w:tcPr>
            <w:tcW w:w="1134" w:type="dxa"/>
            <w:tcBorders>
              <w:top w:val="nil"/>
              <w:left w:val="nil"/>
              <w:bottom w:val="nil"/>
              <w:right w:val="single" w:sz="8" w:space="0" w:color="auto"/>
            </w:tcBorders>
            <w:shd w:val="clear" w:color="000000" w:fill="FFFFFF"/>
            <w:noWrap/>
            <w:vAlign w:val="bottom"/>
            <w:hideMark/>
          </w:tcPr>
          <w:p w14:paraId="3FD44013" w14:textId="77777777" w:rsidR="00262F46" w:rsidRPr="00262F46" w:rsidRDefault="00262F46" w:rsidP="00262F46">
            <w:pPr>
              <w:spacing w:after="0" w:line="240" w:lineRule="auto"/>
              <w:ind w:left="-102"/>
              <w:jc w:val="right"/>
              <w:rPr>
                <w:rFonts w:eastAsia="Times New Roman" w:cs="Calibri"/>
                <w:color w:val="000000"/>
                <w:sz w:val="20"/>
                <w:szCs w:val="20"/>
                <w:lang w:val="en-US"/>
              </w:rPr>
            </w:pPr>
            <w:r w:rsidRPr="00262F46">
              <w:rPr>
                <w:rFonts w:eastAsia="Times New Roman" w:cs="Calibri"/>
                <w:color w:val="000000"/>
                <w:sz w:val="20"/>
                <w:szCs w:val="20"/>
                <w:lang w:val="en-US"/>
              </w:rPr>
              <w:t>33 637,98</w:t>
            </w:r>
          </w:p>
        </w:tc>
        <w:tc>
          <w:tcPr>
            <w:tcW w:w="1134" w:type="dxa"/>
            <w:tcBorders>
              <w:top w:val="nil"/>
              <w:left w:val="nil"/>
              <w:bottom w:val="nil"/>
              <w:right w:val="single" w:sz="8" w:space="0" w:color="auto"/>
            </w:tcBorders>
            <w:shd w:val="clear" w:color="000000" w:fill="FFFFFF"/>
            <w:noWrap/>
            <w:vAlign w:val="bottom"/>
            <w:hideMark/>
          </w:tcPr>
          <w:p w14:paraId="4CAAEDCC" w14:textId="77777777" w:rsidR="00262F46" w:rsidRPr="00262F46" w:rsidRDefault="00262F46" w:rsidP="00262F46">
            <w:pPr>
              <w:spacing w:after="0" w:line="240" w:lineRule="auto"/>
              <w:ind w:left="-171"/>
              <w:jc w:val="right"/>
              <w:rPr>
                <w:rFonts w:eastAsia="Times New Roman" w:cs="Calibri"/>
                <w:color w:val="000000"/>
                <w:sz w:val="20"/>
                <w:szCs w:val="20"/>
                <w:lang w:val="en-US"/>
              </w:rPr>
            </w:pPr>
            <w:r w:rsidRPr="00262F46">
              <w:rPr>
                <w:rFonts w:eastAsia="Times New Roman" w:cs="Calibri"/>
                <w:color w:val="000000"/>
                <w:sz w:val="20"/>
                <w:szCs w:val="20"/>
                <w:lang w:val="en-US"/>
              </w:rPr>
              <w:t>26 579,76</w:t>
            </w:r>
          </w:p>
        </w:tc>
        <w:tc>
          <w:tcPr>
            <w:tcW w:w="1134" w:type="dxa"/>
            <w:tcBorders>
              <w:top w:val="nil"/>
              <w:left w:val="nil"/>
              <w:bottom w:val="nil"/>
              <w:right w:val="single" w:sz="8" w:space="0" w:color="auto"/>
            </w:tcBorders>
            <w:shd w:val="clear" w:color="000000" w:fill="FFFFFF"/>
            <w:noWrap/>
            <w:vAlign w:val="bottom"/>
            <w:hideMark/>
          </w:tcPr>
          <w:p w14:paraId="54717D3B" w14:textId="77777777" w:rsidR="00262F46" w:rsidRPr="00262F46" w:rsidRDefault="00262F46" w:rsidP="00262F46">
            <w:pPr>
              <w:spacing w:after="0" w:line="240" w:lineRule="auto"/>
              <w:ind w:left="-87"/>
              <w:jc w:val="right"/>
              <w:rPr>
                <w:rFonts w:eastAsia="Times New Roman" w:cs="Calibri"/>
                <w:color w:val="000000"/>
                <w:sz w:val="20"/>
                <w:szCs w:val="20"/>
                <w:lang w:val="en-US"/>
              </w:rPr>
            </w:pPr>
            <w:r w:rsidRPr="00262F46">
              <w:rPr>
                <w:rFonts w:eastAsia="Times New Roman" w:cs="Calibri"/>
                <w:color w:val="000000"/>
                <w:sz w:val="20"/>
                <w:szCs w:val="20"/>
                <w:lang w:val="en-US"/>
              </w:rPr>
              <w:t>7 058,22</w:t>
            </w:r>
          </w:p>
        </w:tc>
        <w:tc>
          <w:tcPr>
            <w:tcW w:w="955" w:type="dxa"/>
            <w:tcBorders>
              <w:top w:val="nil"/>
              <w:left w:val="nil"/>
              <w:bottom w:val="nil"/>
              <w:right w:val="single" w:sz="8" w:space="0" w:color="auto"/>
            </w:tcBorders>
            <w:shd w:val="clear" w:color="auto" w:fill="auto"/>
            <w:noWrap/>
            <w:vAlign w:val="bottom"/>
            <w:hideMark/>
          </w:tcPr>
          <w:p w14:paraId="20DE1D46" w14:textId="77777777" w:rsidR="00262F46" w:rsidRPr="00262F46" w:rsidRDefault="00262F46" w:rsidP="00262F46">
            <w:pPr>
              <w:spacing w:after="0" w:line="240" w:lineRule="auto"/>
              <w:jc w:val="right"/>
              <w:rPr>
                <w:rFonts w:eastAsia="Times New Roman" w:cs="Calibri"/>
                <w:color w:val="000000"/>
                <w:sz w:val="20"/>
                <w:szCs w:val="20"/>
                <w:lang w:val="en-US"/>
              </w:rPr>
            </w:pPr>
            <w:r w:rsidRPr="00262F46">
              <w:rPr>
                <w:rFonts w:eastAsia="Times New Roman" w:cs="Calibri"/>
                <w:color w:val="000000"/>
                <w:sz w:val="20"/>
                <w:szCs w:val="20"/>
                <w:lang w:val="en-US"/>
              </w:rPr>
              <w:t>26,55%</w:t>
            </w:r>
          </w:p>
        </w:tc>
      </w:tr>
      <w:tr w:rsidR="00262F46" w:rsidRPr="00262F46" w14:paraId="6E0A9290" w14:textId="77777777" w:rsidTr="00262F46">
        <w:trPr>
          <w:trHeight w:val="530"/>
        </w:trPr>
        <w:tc>
          <w:tcPr>
            <w:tcW w:w="1124" w:type="dxa"/>
            <w:tcBorders>
              <w:top w:val="nil"/>
              <w:left w:val="single" w:sz="8" w:space="0" w:color="auto"/>
              <w:bottom w:val="nil"/>
              <w:right w:val="single" w:sz="8" w:space="0" w:color="auto"/>
            </w:tcBorders>
            <w:shd w:val="clear" w:color="auto" w:fill="auto"/>
            <w:noWrap/>
            <w:vAlign w:val="center"/>
            <w:hideMark/>
          </w:tcPr>
          <w:p w14:paraId="50D76776" w14:textId="3DC4F3FE" w:rsidR="00262F46" w:rsidRPr="00262F46" w:rsidRDefault="00262F46" w:rsidP="00262F46">
            <w:pPr>
              <w:spacing w:after="0" w:line="240" w:lineRule="auto"/>
              <w:jc w:val="left"/>
              <w:rPr>
                <w:rFonts w:eastAsia="Times New Roman" w:cs="Calibri"/>
                <w:color w:val="000000"/>
                <w:sz w:val="20"/>
                <w:szCs w:val="20"/>
                <w:lang w:val="en-US"/>
              </w:rPr>
            </w:pPr>
            <w:r w:rsidRPr="00262F46">
              <w:rPr>
                <w:rFonts w:eastAsia="Times New Roman" w:cs="Calibri"/>
                <w:color w:val="000000"/>
                <w:sz w:val="20"/>
                <w:szCs w:val="20"/>
                <w:lang w:val="en-US"/>
              </w:rPr>
              <w:t>2.1.1.02.01.99</w:t>
            </w:r>
          </w:p>
        </w:tc>
        <w:tc>
          <w:tcPr>
            <w:tcW w:w="3357" w:type="dxa"/>
            <w:tcBorders>
              <w:top w:val="nil"/>
              <w:left w:val="nil"/>
              <w:bottom w:val="nil"/>
              <w:right w:val="single" w:sz="8" w:space="0" w:color="auto"/>
            </w:tcBorders>
            <w:shd w:val="clear" w:color="auto" w:fill="auto"/>
            <w:vAlign w:val="bottom"/>
            <w:hideMark/>
          </w:tcPr>
          <w:p w14:paraId="72A8F713" w14:textId="574BE317" w:rsidR="00262F46" w:rsidRPr="00262F46" w:rsidRDefault="007E1E36" w:rsidP="00262F46">
            <w:pPr>
              <w:spacing w:after="60" w:line="240" w:lineRule="auto"/>
              <w:jc w:val="left"/>
              <w:rPr>
                <w:rFonts w:eastAsia="Times New Roman" w:cs="Calibri"/>
                <w:color w:val="000000"/>
                <w:sz w:val="20"/>
                <w:szCs w:val="20"/>
              </w:rPr>
            </w:pPr>
            <w:r w:rsidRPr="00262F46">
              <w:rPr>
                <w:rFonts w:eastAsia="Times New Roman" w:cs="Calibri"/>
                <w:color w:val="000000"/>
                <w:sz w:val="20"/>
                <w:szCs w:val="20"/>
              </w:rPr>
              <w:t>Otras deudas</w:t>
            </w:r>
            <w:r w:rsidR="00262F46" w:rsidRPr="00262F46">
              <w:rPr>
                <w:rFonts w:eastAsia="Times New Roman" w:cs="Calibri"/>
                <w:color w:val="000000"/>
                <w:sz w:val="20"/>
                <w:szCs w:val="20"/>
              </w:rPr>
              <w:t xml:space="preserve"> por beneficios a los empleados c/p</w:t>
            </w:r>
          </w:p>
        </w:tc>
        <w:tc>
          <w:tcPr>
            <w:tcW w:w="1134" w:type="dxa"/>
            <w:tcBorders>
              <w:top w:val="nil"/>
              <w:left w:val="nil"/>
              <w:bottom w:val="nil"/>
              <w:right w:val="single" w:sz="8" w:space="0" w:color="auto"/>
            </w:tcBorders>
            <w:shd w:val="clear" w:color="000000" w:fill="FFFFFF"/>
            <w:noWrap/>
            <w:vAlign w:val="bottom"/>
            <w:hideMark/>
          </w:tcPr>
          <w:p w14:paraId="571B929B" w14:textId="77777777" w:rsidR="00262F46" w:rsidRPr="00262F46" w:rsidRDefault="00262F46" w:rsidP="00262F46">
            <w:pPr>
              <w:spacing w:after="0" w:line="240" w:lineRule="auto"/>
              <w:ind w:left="-102"/>
              <w:jc w:val="right"/>
              <w:rPr>
                <w:rFonts w:eastAsia="Times New Roman" w:cs="Calibri"/>
                <w:color w:val="000000"/>
                <w:sz w:val="20"/>
                <w:szCs w:val="20"/>
                <w:lang w:val="en-US"/>
              </w:rPr>
            </w:pPr>
            <w:r w:rsidRPr="00262F46">
              <w:rPr>
                <w:rFonts w:eastAsia="Times New Roman" w:cs="Calibri"/>
                <w:color w:val="000000"/>
                <w:sz w:val="20"/>
                <w:szCs w:val="20"/>
                <w:lang w:val="en-US"/>
              </w:rPr>
              <w:t>0,00</w:t>
            </w:r>
          </w:p>
        </w:tc>
        <w:tc>
          <w:tcPr>
            <w:tcW w:w="1134" w:type="dxa"/>
            <w:tcBorders>
              <w:top w:val="nil"/>
              <w:left w:val="nil"/>
              <w:bottom w:val="nil"/>
              <w:right w:val="single" w:sz="8" w:space="0" w:color="auto"/>
            </w:tcBorders>
            <w:shd w:val="clear" w:color="000000" w:fill="FFFFFF"/>
            <w:noWrap/>
            <w:vAlign w:val="bottom"/>
            <w:hideMark/>
          </w:tcPr>
          <w:p w14:paraId="57D42424" w14:textId="77777777" w:rsidR="00262F46" w:rsidRPr="00262F46" w:rsidRDefault="00262F46" w:rsidP="00262F46">
            <w:pPr>
              <w:spacing w:after="0" w:line="240" w:lineRule="auto"/>
              <w:ind w:left="-171"/>
              <w:jc w:val="right"/>
              <w:rPr>
                <w:rFonts w:eastAsia="Times New Roman" w:cs="Calibri"/>
                <w:color w:val="000000"/>
                <w:sz w:val="20"/>
                <w:szCs w:val="20"/>
                <w:lang w:val="en-US"/>
              </w:rPr>
            </w:pPr>
            <w:r w:rsidRPr="00262F46">
              <w:rPr>
                <w:rFonts w:eastAsia="Times New Roman" w:cs="Calibri"/>
                <w:color w:val="000000"/>
                <w:sz w:val="20"/>
                <w:szCs w:val="20"/>
                <w:lang w:val="en-US"/>
              </w:rPr>
              <w:t>8 727,84</w:t>
            </w:r>
          </w:p>
        </w:tc>
        <w:tc>
          <w:tcPr>
            <w:tcW w:w="1134" w:type="dxa"/>
            <w:tcBorders>
              <w:top w:val="nil"/>
              <w:left w:val="nil"/>
              <w:bottom w:val="nil"/>
              <w:right w:val="single" w:sz="8" w:space="0" w:color="auto"/>
            </w:tcBorders>
            <w:shd w:val="clear" w:color="000000" w:fill="FFFFFF"/>
            <w:noWrap/>
            <w:vAlign w:val="bottom"/>
            <w:hideMark/>
          </w:tcPr>
          <w:p w14:paraId="007B5F22" w14:textId="77777777" w:rsidR="00262F46" w:rsidRPr="00262F46" w:rsidRDefault="00262F46" w:rsidP="00262F46">
            <w:pPr>
              <w:spacing w:after="0" w:line="240" w:lineRule="auto"/>
              <w:ind w:left="-87"/>
              <w:jc w:val="right"/>
              <w:rPr>
                <w:rFonts w:eastAsia="Times New Roman" w:cs="Calibri"/>
                <w:color w:val="000000"/>
                <w:sz w:val="20"/>
                <w:szCs w:val="20"/>
                <w:lang w:val="en-US"/>
              </w:rPr>
            </w:pPr>
            <w:r w:rsidRPr="00262F46">
              <w:rPr>
                <w:rFonts w:eastAsia="Times New Roman" w:cs="Calibri"/>
                <w:color w:val="000000"/>
                <w:sz w:val="20"/>
                <w:szCs w:val="20"/>
                <w:lang w:val="en-US"/>
              </w:rPr>
              <w:t>-8 727,84</w:t>
            </w:r>
          </w:p>
        </w:tc>
        <w:tc>
          <w:tcPr>
            <w:tcW w:w="955" w:type="dxa"/>
            <w:tcBorders>
              <w:top w:val="nil"/>
              <w:left w:val="nil"/>
              <w:bottom w:val="nil"/>
              <w:right w:val="single" w:sz="8" w:space="0" w:color="auto"/>
            </w:tcBorders>
            <w:shd w:val="clear" w:color="auto" w:fill="auto"/>
            <w:noWrap/>
            <w:vAlign w:val="bottom"/>
            <w:hideMark/>
          </w:tcPr>
          <w:p w14:paraId="17FD5DF7" w14:textId="77777777" w:rsidR="00262F46" w:rsidRPr="00262F46" w:rsidRDefault="00262F46" w:rsidP="00262F46">
            <w:pPr>
              <w:spacing w:after="0" w:line="240" w:lineRule="auto"/>
              <w:jc w:val="right"/>
              <w:rPr>
                <w:rFonts w:eastAsia="Times New Roman" w:cs="Calibri"/>
                <w:color w:val="000000"/>
                <w:sz w:val="20"/>
                <w:szCs w:val="20"/>
                <w:lang w:val="en-US"/>
              </w:rPr>
            </w:pPr>
            <w:r w:rsidRPr="00262F46">
              <w:rPr>
                <w:rFonts w:eastAsia="Times New Roman" w:cs="Calibri"/>
                <w:color w:val="000000"/>
                <w:sz w:val="20"/>
                <w:szCs w:val="20"/>
                <w:lang w:val="en-US"/>
              </w:rPr>
              <w:t>-100,00%</w:t>
            </w:r>
          </w:p>
        </w:tc>
      </w:tr>
      <w:tr w:rsidR="00262F46" w:rsidRPr="00262F46" w14:paraId="4568327C" w14:textId="77777777" w:rsidTr="00262F46">
        <w:trPr>
          <w:trHeight w:val="290"/>
        </w:trPr>
        <w:tc>
          <w:tcPr>
            <w:tcW w:w="1124" w:type="dxa"/>
            <w:tcBorders>
              <w:top w:val="nil"/>
              <w:left w:val="single" w:sz="8" w:space="0" w:color="auto"/>
              <w:bottom w:val="nil"/>
              <w:right w:val="single" w:sz="8" w:space="0" w:color="auto"/>
            </w:tcBorders>
            <w:shd w:val="clear" w:color="auto" w:fill="auto"/>
            <w:noWrap/>
            <w:vAlign w:val="center"/>
            <w:hideMark/>
          </w:tcPr>
          <w:p w14:paraId="26A58EBF" w14:textId="47D13CCD" w:rsidR="00262F46" w:rsidRPr="00262F46" w:rsidRDefault="00262F46" w:rsidP="00262F46">
            <w:pPr>
              <w:spacing w:after="0" w:line="240" w:lineRule="auto"/>
              <w:jc w:val="left"/>
              <w:rPr>
                <w:rFonts w:eastAsia="Times New Roman" w:cs="Calibri"/>
                <w:color w:val="000000"/>
                <w:sz w:val="20"/>
                <w:szCs w:val="20"/>
                <w:lang w:val="en-US"/>
              </w:rPr>
            </w:pPr>
            <w:r w:rsidRPr="00262F46">
              <w:rPr>
                <w:rFonts w:eastAsia="Times New Roman" w:cs="Calibri"/>
                <w:color w:val="000000"/>
                <w:sz w:val="20"/>
                <w:szCs w:val="20"/>
                <w:lang w:val="en-US"/>
              </w:rPr>
              <w:t>2.1.1.02.02.02</w:t>
            </w:r>
          </w:p>
        </w:tc>
        <w:tc>
          <w:tcPr>
            <w:tcW w:w="3357" w:type="dxa"/>
            <w:tcBorders>
              <w:top w:val="nil"/>
              <w:left w:val="nil"/>
              <w:bottom w:val="nil"/>
              <w:right w:val="single" w:sz="8" w:space="0" w:color="auto"/>
            </w:tcBorders>
            <w:shd w:val="clear" w:color="auto" w:fill="auto"/>
            <w:noWrap/>
            <w:vAlign w:val="bottom"/>
            <w:hideMark/>
          </w:tcPr>
          <w:p w14:paraId="3861EAF6" w14:textId="77777777" w:rsidR="00262F46" w:rsidRPr="00262F46" w:rsidRDefault="00262F46" w:rsidP="00262F46">
            <w:pPr>
              <w:spacing w:after="60" w:line="240" w:lineRule="auto"/>
              <w:jc w:val="left"/>
              <w:rPr>
                <w:rFonts w:eastAsia="Times New Roman" w:cs="Calibri"/>
                <w:color w:val="000000"/>
                <w:sz w:val="20"/>
                <w:szCs w:val="20"/>
              </w:rPr>
            </w:pPr>
            <w:r w:rsidRPr="00262F46">
              <w:rPr>
                <w:rFonts w:eastAsia="Times New Roman" w:cs="Calibri"/>
                <w:color w:val="000000"/>
                <w:sz w:val="20"/>
                <w:szCs w:val="20"/>
              </w:rPr>
              <w:t>Deudas fiscales c/p - Ministerio de Hacienda (MHD)</w:t>
            </w:r>
          </w:p>
        </w:tc>
        <w:tc>
          <w:tcPr>
            <w:tcW w:w="1134" w:type="dxa"/>
            <w:tcBorders>
              <w:top w:val="nil"/>
              <w:left w:val="nil"/>
              <w:bottom w:val="nil"/>
              <w:right w:val="single" w:sz="8" w:space="0" w:color="auto"/>
            </w:tcBorders>
            <w:shd w:val="clear" w:color="000000" w:fill="FFFFFF"/>
            <w:noWrap/>
            <w:vAlign w:val="bottom"/>
            <w:hideMark/>
          </w:tcPr>
          <w:p w14:paraId="1F7FB457" w14:textId="77777777" w:rsidR="00262F46" w:rsidRPr="00262F46" w:rsidRDefault="00262F46" w:rsidP="00262F46">
            <w:pPr>
              <w:spacing w:after="0" w:line="240" w:lineRule="auto"/>
              <w:ind w:left="-102"/>
              <w:jc w:val="right"/>
              <w:rPr>
                <w:rFonts w:eastAsia="Times New Roman" w:cs="Calibri"/>
                <w:color w:val="000000"/>
                <w:sz w:val="20"/>
                <w:szCs w:val="20"/>
                <w:lang w:val="en-US"/>
              </w:rPr>
            </w:pPr>
            <w:r w:rsidRPr="00262F46">
              <w:rPr>
                <w:rFonts w:eastAsia="Times New Roman" w:cs="Calibri"/>
                <w:color w:val="000000"/>
                <w:sz w:val="20"/>
                <w:szCs w:val="20"/>
                <w:lang w:val="en-US"/>
              </w:rPr>
              <w:t>15 273,17</w:t>
            </w:r>
          </w:p>
        </w:tc>
        <w:tc>
          <w:tcPr>
            <w:tcW w:w="1134" w:type="dxa"/>
            <w:tcBorders>
              <w:top w:val="nil"/>
              <w:left w:val="nil"/>
              <w:bottom w:val="nil"/>
              <w:right w:val="single" w:sz="8" w:space="0" w:color="auto"/>
            </w:tcBorders>
            <w:shd w:val="clear" w:color="000000" w:fill="FFFFFF"/>
            <w:noWrap/>
            <w:vAlign w:val="bottom"/>
            <w:hideMark/>
          </w:tcPr>
          <w:p w14:paraId="01362056" w14:textId="77777777" w:rsidR="00262F46" w:rsidRPr="00262F46" w:rsidRDefault="00262F46" w:rsidP="00262F46">
            <w:pPr>
              <w:spacing w:after="0" w:line="240" w:lineRule="auto"/>
              <w:ind w:left="-171"/>
              <w:jc w:val="right"/>
              <w:rPr>
                <w:rFonts w:eastAsia="Times New Roman" w:cs="Calibri"/>
                <w:color w:val="000000"/>
                <w:sz w:val="20"/>
                <w:szCs w:val="20"/>
                <w:lang w:val="en-US"/>
              </w:rPr>
            </w:pPr>
            <w:r w:rsidRPr="00262F46">
              <w:rPr>
                <w:rFonts w:eastAsia="Times New Roman" w:cs="Calibri"/>
                <w:color w:val="000000"/>
                <w:sz w:val="20"/>
                <w:szCs w:val="20"/>
                <w:lang w:val="en-US"/>
              </w:rPr>
              <w:t>14 139,44</w:t>
            </w:r>
          </w:p>
        </w:tc>
        <w:tc>
          <w:tcPr>
            <w:tcW w:w="1134" w:type="dxa"/>
            <w:tcBorders>
              <w:top w:val="nil"/>
              <w:left w:val="nil"/>
              <w:bottom w:val="nil"/>
              <w:right w:val="single" w:sz="8" w:space="0" w:color="auto"/>
            </w:tcBorders>
            <w:shd w:val="clear" w:color="000000" w:fill="FFFFFF"/>
            <w:noWrap/>
            <w:vAlign w:val="bottom"/>
            <w:hideMark/>
          </w:tcPr>
          <w:p w14:paraId="14833599" w14:textId="77777777" w:rsidR="00262F46" w:rsidRPr="00262F46" w:rsidRDefault="00262F46" w:rsidP="00262F46">
            <w:pPr>
              <w:spacing w:after="0" w:line="240" w:lineRule="auto"/>
              <w:ind w:left="-87"/>
              <w:jc w:val="right"/>
              <w:rPr>
                <w:rFonts w:eastAsia="Times New Roman" w:cs="Calibri"/>
                <w:color w:val="000000"/>
                <w:sz w:val="20"/>
                <w:szCs w:val="20"/>
                <w:lang w:val="en-US"/>
              </w:rPr>
            </w:pPr>
            <w:r w:rsidRPr="00262F46">
              <w:rPr>
                <w:rFonts w:eastAsia="Times New Roman" w:cs="Calibri"/>
                <w:color w:val="000000"/>
                <w:sz w:val="20"/>
                <w:szCs w:val="20"/>
                <w:lang w:val="en-US"/>
              </w:rPr>
              <w:t>1 133,74</w:t>
            </w:r>
          </w:p>
        </w:tc>
        <w:tc>
          <w:tcPr>
            <w:tcW w:w="955" w:type="dxa"/>
            <w:tcBorders>
              <w:top w:val="nil"/>
              <w:left w:val="nil"/>
              <w:bottom w:val="nil"/>
              <w:right w:val="single" w:sz="8" w:space="0" w:color="auto"/>
            </w:tcBorders>
            <w:shd w:val="clear" w:color="auto" w:fill="auto"/>
            <w:noWrap/>
            <w:vAlign w:val="bottom"/>
            <w:hideMark/>
          </w:tcPr>
          <w:p w14:paraId="08ABE476" w14:textId="77777777" w:rsidR="00262F46" w:rsidRPr="00262F46" w:rsidRDefault="00262F46" w:rsidP="00262F46">
            <w:pPr>
              <w:spacing w:after="0" w:line="240" w:lineRule="auto"/>
              <w:jc w:val="right"/>
              <w:rPr>
                <w:rFonts w:eastAsia="Times New Roman" w:cs="Calibri"/>
                <w:color w:val="000000"/>
                <w:sz w:val="20"/>
                <w:szCs w:val="20"/>
                <w:lang w:val="en-US"/>
              </w:rPr>
            </w:pPr>
            <w:r w:rsidRPr="00262F46">
              <w:rPr>
                <w:rFonts w:eastAsia="Times New Roman" w:cs="Calibri"/>
                <w:color w:val="000000"/>
                <w:sz w:val="20"/>
                <w:szCs w:val="20"/>
                <w:lang w:val="en-US"/>
              </w:rPr>
              <w:t>8,02%</w:t>
            </w:r>
          </w:p>
        </w:tc>
      </w:tr>
      <w:tr w:rsidR="00262F46" w:rsidRPr="00262F46" w14:paraId="42CDA28A" w14:textId="77777777" w:rsidTr="00262F46">
        <w:trPr>
          <w:trHeight w:val="300"/>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4965964D" w14:textId="41166308" w:rsidR="00262F46" w:rsidRPr="00262F46" w:rsidRDefault="00262F46" w:rsidP="00262F46">
            <w:pPr>
              <w:spacing w:after="0" w:line="240" w:lineRule="auto"/>
              <w:jc w:val="left"/>
              <w:rPr>
                <w:rFonts w:eastAsia="Times New Roman" w:cs="Calibri"/>
                <w:color w:val="000000"/>
                <w:sz w:val="20"/>
                <w:szCs w:val="20"/>
                <w:lang w:val="en-US"/>
              </w:rPr>
            </w:pPr>
            <w:r w:rsidRPr="00262F46">
              <w:rPr>
                <w:rFonts w:eastAsia="Times New Roman" w:cs="Calibri"/>
                <w:color w:val="000000"/>
                <w:sz w:val="20"/>
                <w:szCs w:val="20"/>
                <w:lang w:val="en-US"/>
              </w:rPr>
              <w:t>2.1.1.02.02.04</w:t>
            </w:r>
          </w:p>
        </w:tc>
        <w:tc>
          <w:tcPr>
            <w:tcW w:w="3357" w:type="dxa"/>
            <w:tcBorders>
              <w:top w:val="nil"/>
              <w:left w:val="nil"/>
              <w:bottom w:val="single" w:sz="8" w:space="0" w:color="auto"/>
              <w:right w:val="single" w:sz="8" w:space="0" w:color="auto"/>
            </w:tcBorders>
            <w:shd w:val="clear" w:color="auto" w:fill="auto"/>
            <w:noWrap/>
            <w:vAlign w:val="bottom"/>
            <w:hideMark/>
          </w:tcPr>
          <w:p w14:paraId="5943E2A2" w14:textId="77777777" w:rsidR="00262F46" w:rsidRPr="00262F46" w:rsidRDefault="00262F46" w:rsidP="00262F46">
            <w:pPr>
              <w:spacing w:after="0" w:line="240" w:lineRule="auto"/>
              <w:jc w:val="left"/>
              <w:rPr>
                <w:rFonts w:eastAsia="Times New Roman" w:cs="Calibri"/>
                <w:color w:val="000000"/>
                <w:sz w:val="20"/>
                <w:szCs w:val="20"/>
              </w:rPr>
            </w:pPr>
            <w:r w:rsidRPr="00262F46">
              <w:rPr>
                <w:rFonts w:eastAsia="Times New Roman" w:cs="Calibri"/>
                <w:color w:val="000000"/>
                <w:sz w:val="20"/>
                <w:szCs w:val="20"/>
              </w:rPr>
              <w:t>Retenciones de impuestos entidades relacionadas a pagar c/p</w:t>
            </w:r>
          </w:p>
        </w:tc>
        <w:tc>
          <w:tcPr>
            <w:tcW w:w="1134" w:type="dxa"/>
            <w:tcBorders>
              <w:top w:val="nil"/>
              <w:left w:val="nil"/>
              <w:bottom w:val="single" w:sz="8" w:space="0" w:color="auto"/>
              <w:right w:val="single" w:sz="8" w:space="0" w:color="auto"/>
            </w:tcBorders>
            <w:shd w:val="clear" w:color="000000" w:fill="FFFFFF"/>
            <w:noWrap/>
            <w:vAlign w:val="bottom"/>
            <w:hideMark/>
          </w:tcPr>
          <w:p w14:paraId="1C5A58D0" w14:textId="77777777" w:rsidR="00262F46" w:rsidRPr="00262F46" w:rsidRDefault="00262F46" w:rsidP="00262F46">
            <w:pPr>
              <w:spacing w:after="0" w:line="240" w:lineRule="auto"/>
              <w:ind w:left="-102"/>
              <w:jc w:val="right"/>
              <w:rPr>
                <w:rFonts w:eastAsia="Times New Roman" w:cs="Calibri"/>
                <w:color w:val="000000"/>
                <w:sz w:val="20"/>
                <w:szCs w:val="20"/>
                <w:lang w:val="en-US"/>
              </w:rPr>
            </w:pPr>
            <w:r w:rsidRPr="00262F46">
              <w:rPr>
                <w:rFonts w:eastAsia="Times New Roman" w:cs="Calibri"/>
                <w:color w:val="000000"/>
                <w:sz w:val="20"/>
                <w:szCs w:val="20"/>
                <w:lang w:val="en-US"/>
              </w:rPr>
              <w:t>0,00</w:t>
            </w:r>
          </w:p>
        </w:tc>
        <w:tc>
          <w:tcPr>
            <w:tcW w:w="1134" w:type="dxa"/>
            <w:tcBorders>
              <w:top w:val="nil"/>
              <w:left w:val="nil"/>
              <w:bottom w:val="single" w:sz="8" w:space="0" w:color="auto"/>
              <w:right w:val="single" w:sz="8" w:space="0" w:color="auto"/>
            </w:tcBorders>
            <w:shd w:val="clear" w:color="000000" w:fill="FFFFFF"/>
            <w:noWrap/>
            <w:vAlign w:val="bottom"/>
            <w:hideMark/>
          </w:tcPr>
          <w:p w14:paraId="510DF5FC" w14:textId="77777777" w:rsidR="00262F46" w:rsidRPr="00262F46" w:rsidRDefault="00262F46" w:rsidP="00262F46">
            <w:pPr>
              <w:spacing w:after="0" w:line="240" w:lineRule="auto"/>
              <w:ind w:left="-171"/>
              <w:jc w:val="right"/>
              <w:rPr>
                <w:rFonts w:eastAsia="Times New Roman" w:cs="Calibri"/>
                <w:color w:val="000000"/>
                <w:sz w:val="20"/>
                <w:szCs w:val="20"/>
                <w:lang w:val="en-US"/>
              </w:rPr>
            </w:pPr>
            <w:r w:rsidRPr="00262F46">
              <w:rPr>
                <w:rFonts w:eastAsia="Times New Roman" w:cs="Calibri"/>
                <w:color w:val="000000"/>
                <w:sz w:val="20"/>
                <w:szCs w:val="20"/>
                <w:lang w:val="en-US"/>
              </w:rPr>
              <w:t>551,58</w:t>
            </w:r>
          </w:p>
        </w:tc>
        <w:tc>
          <w:tcPr>
            <w:tcW w:w="1134" w:type="dxa"/>
            <w:tcBorders>
              <w:top w:val="nil"/>
              <w:left w:val="nil"/>
              <w:bottom w:val="single" w:sz="8" w:space="0" w:color="auto"/>
              <w:right w:val="single" w:sz="8" w:space="0" w:color="auto"/>
            </w:tcBorders>
            <w:shd w:val="clear" w:color="000000" w:fill="FFFFFF"/>
            <w:noWrap/>
            <w:vAlign w:val="bottom"/>
            <w:hideMark/>
          </w:tcPr>
          <w:p w14:paraId="1FA296E5" w14:textId="77777777" w:rsidR="00262F46" w:rsidRPr="00262F46" w:rsidRDefault="00262F46" w:rsidP="00262F46">
            <w:pPr>
              <w:spacing w:after="0" w:line="240" w:lineRule="auto"/>
              <w:ind w:left="-87"/>
              <w:jc w:val="right"/>
              <w:rPr>
                <w:rFonts w:eastAsia="Times New Roman" w:cs="Calibri"/>
                <w:color w:val="000000"/>
                <w:sz w:val="20"/>
                <w:szCs w:val="20"/>
                <w:lang w:val="en-US"/>
              </w:rPr>
            </w:pPr>
            <w:r w:rsidRPr="00262F46">
              <w:rPr>
                <w:rFonts w:eastAsia="Times New Roman" w:cs="Calibri"/>
                <w:color w:val="000000"/>
                <w:sz w:val="20"/>
                <w:szCs w:val="20"/>
                <w:lang w:val="en-US"/>
              </w:rPr>
              <w:t>-551,58</w:t>
            </w:r>
          </w:p>
        </w:tc>
        <w:tc>
          <w:tcPr>
            <w:tcW w:w="955" w:type="dxa"/>
            <w:tcBorders>
              <w:top w:val="nil"/>
              <w:left w:val="nil"/>
              <w:bottom w:val="single" w:sz="8" w:space="0" w:color="auto"/>
              <w:right w:val="single" w:sz="8" w:space="0" w:color="auto"/>
            </w:tcBorders>
            <w:shd w:val="clear" w:color="auto" w:fill="auto"/>
            <w:noWrap/>
            <w:vAlign w:val="bottom"/>
            <w:hideMark/>
          </w:tcPr>
          <w:p w14:paraId="3B839A92" w14:textId="77777777" w:rsidR="00262F46" w:rsidRPr="00262F46" w:rsidRDefault="00262F46" w:rsidP="00262F46">
            <w:pPr>
              <w:spacing w:after="0" w:line="240" w:lineRule="auto"/>
              <w:jc w:val="right"/>
              <w:rPr>
                <w:rFonts w:eastAsia="Times New Roman" w:cs="Calibri"/>
                <w:color w:val="000000"/>
                <w:sz w:val="20"/>
                <w:szCs w:val="20"/>
                <w:lang w:val="en-US"/>
              </w:rPr>
            </w:pPr>
            <w:r w:rsidRPr="00262F46">
              <w:rPr>
                <w:rFonts w:eastAsia="Times New Roman" w:cs="Calibri"/>
                <w:color w:val="000000"/>
                <w:sz w:val="20"/>
                <w:szCs w:val="20"/>
                <w:lang w:val="en-US"/>
              </w:rPr>
              <w:t>-100,00%</w:t>
            </w:r>
          </w:p>
        </w:tc>
      </w:tr>
      <w:tr w:rsidR="00262F46" w:rsidRPr="00262F46" w14:paraId="50359379" w14:textId="77777777" w:rsidTr="00262F46">
        <w:trPr>
          <w:trHeight w:val="300"/>
        </w:trPr>
        <w:tc>
          <w:tcPr>
            <w:tcW w:w="1124" w:type="dxa"/>
            <w:tcBorders>
              <w:top w:val="nil"/>
              <w:left w:val="single" w:sz="8" w:space="0" w:color="auto"/>
              <w:bottom w:val="single" w:sz="8" w:space="0" w:color="auto"/>
              <w:right w:val="single" w:sz="8" w:space="0" w:color="auto"/>
            </w:tcBorders>
            <w:shd w:val="clear" w:color="auto" w:fill="auto"/>
            <w:noWrap/>
            <w:vAlign w:val="bottom"/>
            <w:hideMark/>
          </w:tcPr>
          <w:p w14:paraId="65E15741" w14:textId="77777777" w:rsidR="00262F46" w:rsidRPr="00262F46" w:rsidRDefault="00262F46" w:rsidP="00262F46">
            <w:pPr>
              <w:spacing w:after="0" w:line="240" w:lineRule="auto"/>
              <w:jc w:val="left"/>
              <w:rPr>
                <w:rFonts w:ascii="Calibri" w:eastAsia="Times New Roman" w:hAnsi="Calibri" w:cs="Calibri"/>
                <w:color w:val="000000"/>
                <w:sz w:val="22"/>
                <w:lang w:val="en-US"/>
              </w:rPr>
            </w:pPr>
            <w:r w:rsidRPr="00262F46">
              <w:rPr>
                <w:rFonts w:ascii="Calibri" w:eastAsia="Times New Roman" w:hAnsi="Calibri" w:cs="Calibri"/>
                <w:color w:val="000000"/>
                <w:sz w:val="22"/>
                <w:lang w:val="en-US"/>
              </w:rPr>
              <w:t> </w:t>
            </w:r>
          </w:p>
        </w:tc>
        <w:tc>
          <w:tcPr>
            <w:tcW w:w="3357" w:type="dxa"/>
            <w:tcBorders>
              <w:top w:val="nil"/>
              <w:left w:val="nil"/>
              <w:bottom w:val="single" w:sz="8" w:space="0" w:color="auto"/>
              <w:right w:val="single" w:sz="8" w:space="0" w:color="auto"/>
            </w:tcBorders>
            <w:shd w:val="clear" w:color="auto" w:fill="auto"/>
            <w:noWrap/>
            <w:vAlign w:val="bottom"/>
            <w:hideMark/>
          </w:tcPr>
          <w:p w14:paraId="10DD51A0" w14:textId="77777777" w:rsidR="00262F46" w:rsidRPr="00262F46" w:rsidRDefault="00262F46" w:rsidP="00262F46">
            <w:pPr>
              <w:spacing w:after="0" w:line="240" w:lineRule="auto"/>
              <w:jc w:val="center"/>
              <w:rPr>
                <w:rFonts w:eastAsia="Times New Roman" w:cs="Calibri"/>
                <w:b/>
                <w:bCs/>
                <w:color w:val="000000"/>
                <w:sz w:val="20"/>
                <w:szCs w:val="20"/>
                <w:lang w:val="en-US"/>
              </w:rPr>
            </w:pPr>
            <w:r w:rsidRPr="00262F46">
              <w:rPr>
                <w:rFonts w:eastAsia="Times New Roman" w:cs="Calibri"/>
                <w:b/>
                <w:bCs/>
                <w:color w:val="000000"/>
                <w:sz w:val="20"/>
                <w:szCs w:val="20"/>
                <w:lang w:val="en-US"/>
              </w:rPr>
              <w:t>TOTALES</w:t>
            </w:r>
          </w:p>
        </w:tc>
        <w:tc>
          <w:tcPr>
            <w:tcW w:w="1134" w:type="dxa"/>
            <w:tcBorders>
              <w:top w:val="nil"/>
              <w:left w:val="nil"/>
              <w:bottom w:val="single" w:sz="8" w:space="0" w:color="auto"/>
              <w:right w:val="single" w:sz="8" w:space="0" w:color="auto"/>
            </w:tcBorders>
            <w:shd w:val="clear" w:color="auto" w:fill="auto"/>
            <w:noWrap/>
            <w:vAlign w:val="bottom"/>
            <w:hideMark/>
          </w:tcPr>
          <w:p w14:paraId="15912804" w14:textId="77777777" w:rsidR="00262F46" w:rsidRPr="00262F46" w:rsidRDefault="00262F46" w:rsidP="00262F46">
            <w:pPr>
              <w:spacing w:after="0" w:line="240" w:lineRule="auto"/>
              <w:ind w:left="-102"/>
              <w:jc w:val="right"/>
              <w:rPr>
                <w:rFonts w:eastAsia="Times New Roman" w:cs="Calibri"/>
                <w:b/>
                <w:bCs/>
                <w:color w:val="000000"/>
                <w:sz w:val="20"/>
                <w:szCs w:val="20"/>
                <w:lang w:val="en-US"/>
              </w:rPr>
            </w:pPr>
            <w:r w:rsidRPr="00262F46">
              <w:rPr>
                <w:rFonts w:ascii="Arial" w:eastAsia="Times New Roman" w:hAnsi="Arial" w:cs="Arial"/>
                <w:b/>
                <w:bCs/>
                <w:color w:val="000000"/>
                <w:sz w:val="20"/>
                <w:szCs w:val="20"/>
                <w:lang w:val="en-US"/>
              </w:rPr>
              <w:t>₡</w:t>
            </w:r>
            <w:r w:rsidRPr="00262F46">
              <w:rPr>
                <w:rFonts w:eastAsia="Times New Roman" w:cs="Calibri"/>
                <w:b/>
                <w:bCs/>
                <w:color w:val="000000"/>
                <w:sz w:val="20"/>
                <w:szCs w:val="20"/>
                <w:lang w:val="en-US"/>
              </w:rPr>
              <w:t>118 853,12</w:t>
            </w:r>
          </w:p>
        </w:tc>
        <w:tc>
          <w:tcPr>
            <w:tcW w:w="1134" w:type="dxa"/>
            <w:tcBorders>
              <w:top w:val="nil"/>
              <w:left w:val="nil"/>
              <w:bottom w:val="single" w:sz="8" w:space="0" w:color="auto"/>
              <w:right w:val="single" w:sz="8" w:space="0" w:color="auto"/>
            </w:tcBorders>
            <w:shd w:val="clear" w:color="auto" w:fill="auto"/>
            <w:noWrap/>
            <w:vAlign w:val="bottom"/>
            <w:hideMark/>
          </w:tcPr>
          <w:p w14:paraId="7CB8E077" w14:textId="77777777" w:rsidR="00262F46" w:rsidRPr="00262F46" w:rsidRDefault="00262F46" w:rsidP="00262F46">
            <w:pPr>
              <w:spacing w:after="0" w:line="240" w:lineRule="auto"/>
              <w:ind w:left="-171"/>
              <w:jc w:val="right"/>
              <w:rPr>
                <w:rFonts w:eastAsia="Times New Roman" w:cs="Calibri"/>
                <w:b/>
                <w:bCs/>
                <w:color w:val="000000"/>
                <w:sz w:val="20"/>
                <w:szCs w:val="20"/>
                <w:lang w:val="en-US"/>
              </w:rPr>
            </w:pPr>
            <w:r w:rsidRPr="00262F46">
              <w:rPr>
                <w:rFonts w:ascii="Arial" w:eastAsia="Times New Roman" w:hAnsi="Arial" w:cs="Arial"/>
                <w:b/>
                <w:bCs/>
                <w:color w:val="000000"/>
                <w:sz w:val="20"/>
                <w:szCs w:val="20"/>
                <w:lang w:val="en-US"/>
              </w:rPr>
              <w:t>₡</w:t>
            </w:r>
            <w:r w:rsidRPr="00262F46">
              <w:rPr>
                <w:rFonts w:eastAsia="Times New Roman" w:cs="Calibri"/>
                <w:b/>
                <w:bCs/>
                <w:color w:val="000000"/>
                <w:sz w:val="20"/>
                <w:szCs w:val="20"/>
                <w:lang w:val="en-US"/>
              </w:rPr>
              <w:t>139 365,28</w:t>
            </w:r>
          </w:p>
        </w:tc>
        <w:tc>
          <w:tcPr>
            <w:tcW w:w="1134" w:type="dxa"/>
            <w:tcBorders>
              <w:top w:val="nil"/>
              <w:left w:val="nil"/>
              <w:bottom w:val="single" w:sz="8" w:space="0" w:color="auto"/>
              <w:right w:val="single" w:sz="8" w:space="0" w:color="auto"/>
            </w:tcBorders>
            <w:shd w:val="clear" w:color="auto" w:fill="auto"/>
            <w:noWrap/>
            <w:vAlign w:val="bottom"/>
            <w:hideMark/>
          </w:tcPr>
          <w:p w14:paraId="5B882C37" w14:textId="77777777" w:rsidR="00262F46" w:rsidRPr="00262F46" w:rsidRDefault="00262F46" w:rsidP="00262F46">
            <w:pPr>
              <w:spacing w:after="0" w:line="240" w:lineRule="auto"/>
              <w:ind w:left="-87"/>
              <w:jc w:val="right"/>
              <w:rPr>
                <w:rFonts w:eastAsia="Times New Roman" w:cs="Calibri"/>
                <w:b/>
                <w:bCs/>
                <w:color w:val="000000"/>
                <w:sz w:val="20"/>
                <w:szCs w:val="20"/>
                <w:lang w:val="en-US"/>
              </w:rPr>
            </w:pPr>
            <w:r w:rsidRPr="00262F46">
              <w:rPr>
                <w:rFonts w:eastAsia="Times New Roman" w:cs="Calibri"/>
                <w:b/>
                <w:bCs/>
                <w:color w:val="000000"/>
                <w:sz w:val="20"/>
                <w:szCs w:val="20"/>
                <w:lang w:val="en-US"/>
              </w:rPr>
              <w:t>-</w:t>
            </w:r>
            <w:r w:rsidRPr="00262F46">
              <w:rPr>
                <w:rFonts w:ascii="Arial" w:eastAsia="Times New Roman" w:hAnsi="Arial" w:cs="Arial"/>
                <w:b/>
                <w:bCs/>
                <w:color w:val="000000"/>
                <w:sz w:val="20"/>
                <w:szCs w:val="20"/>
                <w:lang w:val="en-US"/>
              </w:rPr>
              <w:t>₡</w:t>
            </w:r>
            <w:r w:rsidRPr="00262F46">
              <w:rPr>
                <w:rFonts w:eastAsia="Times New Roman" w:cs="Calibri"/>
                <w:b/>
                <w:bCs/>
                <w:color w:val="000000"/>
                <w:sz w:val="20"/>
                <w:szCs w:val="20"/>
                <w:lang w:val="en-US"/>
              </w:rPr>
              <w:t>20 512,17</w:t>
            </w:r>
          </w:p>
        </w:tc>
        <w:tc>
          <w:tcPr>
            <w:tcW w:w="955" w:type="dxa"/>
            <w:tcBorders>
              <w:top w:val="nil"/>
              <w:left w:val="nil"/>
              <w:bottom w:val="single" w:sz="8" w:space="0" w:color="auto"/>
              <w:right w:val="single" w:sz="8" w:space="0" w:color="auto"/>
            </w:tcBorders>
            <w:shd w:val="clear" w:color="auto" w:fill="auto"/>
            <w:noWrap/>
            <w:vAlign w:val="bottom"/>
            <w:hideMark/>
          </w:tcPr>
          <w:p w14:paraId="121524E8" w14:textId="77777777" w:rsidR="00262F46" w:rsidRPr="00262F46" w:rsidRDefault="00262F46" w:rsidP="00262F46">
            <w:pPr>
              <w:spacing w:after="0" w:line="240" w:lineRule="auto"/>
              <w:jc w:val="right"/>
              <w:rPr>
                <w:rFonts w:eastAsia="Times New Roman" w:cs="Calibri"/>
                <w:b/>
                <w:bCs/>
                <w:color w:val="000000"/>
                <w:sz w:val="20"/>
                <w:szCs w:val="20"/>
                <w:lang w:val="en-US"/>
              </w:rPr>
            </w:pPr>
            <w:r w:rsidRPr="00262F46">
              <w:rPr>
                <w:rFonts w:eastAsia="Times New Roman" w:cs="Calibri"/>
                <w:b/>
                <w:bCs/>
                <w:color w:val="000000"/>
                <w:sz w:val="20"/>
                <w:szCs w:val="20"/>
                <w:lang w:val="en-US"/>
              </w:rPr>
              <w:t>-14,72%</w:t>
            </w:r>
          </w:p>
        </w:tc>
      </w:tr>
    </w:tbl>
    <w:p w14:paraId="5266B833" w14:textId="77777777" w:rsidR="004C6F83" w:rsidRDefault="004C6F83" w:rsidP="004C6F83">
      <w:pPr>
        <w:spacing w:after="0" w:line="240" w:lineRule="auto"/>
        <w:rPr>
          <w:rFonts w:eastAsiaTheme="minorEastAsia" w:cs="Arial Narrow"/>
          <w:color w:val="000000"/>
          <w:lang w:eastAsia="es-CR"/>
        </w:rPr>
      </w:pPr>
    </w:p>
    <w:p w14:paraId="2A8AC746" w14:textId="5E58EA85" w:rsidR="004C6F83" w:rsidRPr="0069140F" w:rsidRDefault="004C6F83" w:rsidP="004C6F83">
      <w:pPr>
        <w:spacing w:after="0" w:line="240" w:lineRule="auto"/>
        <w:rPr>
          <w:rFonts w:eastAsiaTheme="minorEastAsia" w:cs="Arial Narrow"/>
          <w:color w:val="000000"/>
          <w:lang w:eastAsia="es-CR"/>
        </w:rPr>
      </w:pPr>
      <w:r>
        <w:rPr>
          <w:rFonts w:eastAsiaTheme="minorEastAsia" w:cs="Arial Narrow"/>
          <w:color w:val="000000"/>
          <w:lang w:eastAsia="es-CR"/>
        </w:rPr>
        <w:t>Como se observa en el cuadro anterior, la variación (disminución) de -</w:t>
      </w:r>
      <w:r w:rsidRPr="007E1E36">
        <w:rPr>
          <w:rFonts w:ascii="Arial" w:eastAsiaTheme="minorEastAsia" w:hAnsi="Arial" w:cs="Arial"/>
          <w:color w:val="000000"/>
          <w:lang w:eastAsia="es-CR"/>
        </w:rPr>
        <w:t>₡</w:t>
      </w:r>
      <w:r w:rsidR="00262F46">
        <w:rPr>
          <w:rFonts w:eastAsiaTheme="minorEastAsia" w:cs="Arial Narrow"/>
          <w:color w:val="000000"/>
          <w:lang w:eastAsia="es-CR"/>
        </w:rPr>
        <w:t>20</w:t>
      </w:r>
      <w:r>
        <w:rPr>
          <w:rFonts w:eastAsiaTheme="minorEastAsia" w:cs="Arial Narrow"/>
          <w:color w:val="000000"/>
          <w:lang w:eastAsia="es-CR"/>
        </w:rPr>
        <w:t xml:space="preserve"> 5</w:t>
      </w:r>
      <w:r w:rsidR="00262F46">
        <w:rPr>
          <w:rFonts w:eastAsiaTheme="minorEastAsia" w:cs="Arial Narrow"/>
          <w:color w:val="000000"/>
          <w:lang w:eastAsia="es-CR"/>
        </w:rPr>
        <w:t>12</w:t>
      </w:r>
      <w:r>
        <w:rPr>
          <w:rFonts w:eastAsiaTheme="minorEastAsia" w:cs="Arial Narrow"/>
          <w:color w:val="000000"/>
          <w:lang w:eastAsia="es-CR"/>
        </w:rPr>
        <w:t>,</w:t>
      </w:r>
      <w:r w:rsidR="00262F46">
        <w:rPr>
          <w:rFonts w:eastAsiaTheme="minorEastAsia" w:cs="Arial Narrow"/>
          <w:color w:val="000000"/>
          <w:lang w:eastAsia="es-CR"/>
        </w:rPr>
        <w:t>17</w:t>
      </w:r>
      <w:r>
        <w:rPr>
          <w:rFonts w:eastAsiaTheme="minorEastAsia" w:cs="Arial Narrow"/>
          <w:color w:val="000000"/>
          <w:lang w:eastAsia="es-CR"/>
        </w:rPr>
        <w:t xml:space="preserve"> miles en esta cuenta se produj</w:t>
      </w:r>
      <w:r w:rsidR="007E1E36">
        <w:rPr>
          <w:rFonts w:eastAsiaTheme="minorEastAsia" w:cs="Arial Narrow"/>
          <w:color w:val="000000"/>
          <w:lang w:eastAsia="es-CR"/>
        </w:rPr>
        <w:t>o</w:t>
      </w:r>
      <w:r>
        <w:rPr>
          <w:rFonts w:eastAsiaTheme="minorEastAsia" w:cs="Arial Narrow"/>
          <w:color w:val="000000"/>
          <w:lang w:eastAsia="es-CR"/>
        </w:rPr>
        <w:t xml:space="preserve"> </w:t>
      </w:r>
      <w:r w:rsidR="007E1E36">
        <w:rPr>
          <w:rFonts w:eastAsiaTheme="minorEastAsia" w:cs="Arial Narrow"/>
          <w:color w:val="000000"/>
          <w:lang w:eastAsia="es-CR"/>
        </w:rPr>
        <w:t xml:space="preserve">por un efecto neto </w:t>
      </w:r>
      <w:r>
        <w:rPr>
          <w:rFonts w:eastAsiaTheme="minorEastAsia" w:cs="Arial Narrow"/>
          <w:color w:val="000000"/>
          <w:lang w:eastAsia="es-CR"/>
        </w:rPr>
        <w:t>principalmente por las disminuciones que se presentaron en las subcuentas: Remuneraciones básicas y eventuales a pagar c/p de -</w:t>
      </w:r>
      <w:r w:rsidRPr="007E1E36">
        <w:rPr>
          <w:rFonts w:ascii="Arial" w:eastAsiaTheme="minorEastAsia" w:hAnsi="Arial" w:cs="Arial"/>
          <w:color w:val="000000"/>
          <w:lang w:eastAsia="es-CR"/>
        </w:rPr>
        <w:t>₡</w:t>
      </w:r>
      <w:r w:rsidR="007E1E36">
        <w:rPr>
          <w:rFonts w:eastAsiaTheme="minorEastAsia" w:cs="Arial Narrow"/>
          <w:color w:val="000000"/>
          <w:lang w:eastAsia="es-CR"/>
        </w:rPr>
        <w:t>21</w:t>
      </w:r>
      <w:r>
        <w:rPr>
          <w:rFonts w:eastAsiaTheme="minorEastAsia" w:cs="Arial Narrow"/>
          <w:color w:val="000000"/>
          <w:lang w:eastAsia="es-CR"/>
        </w:rPr>
        <w:t> </w:t>
      </w:r>
      <w:r w:rsidR="007E1E36">
        <w:rPr>
          <w:rFonts w:eastAsiaTheme="minorEastAsia" w:cs="Arial Narrow"/>
          <w:color w:val="000000"/>
          <w:lang w:eastAsia="es-CR"/>
        </w:rPr>
        <w:t>79</w:t>
      </w:r>
      <w:r>
        <w:rPr>
          <w:rFonts w:eastAsiaTheme="minorEastAsia" w:cs="Arial Narrow"/>
          <w:color w:val="000000"/>
          <w:lang w:eastAsia="es-CR"/>
        </w:rPr>
        <w:t>2,5</w:t>
      </w:r>
      <w:r w:rsidR="007E1E36">
        <w:rPr>
          <w:rFonts w:eastAsiaTheme="minorEastAsia" w:cs="Arial Narrow"/>
          <w:color w:val="000000"/>
          <w:lang w:eastAsia="es-CR"/>
        </w:rPr>
        <w:t>5</w:t>
      </w:r>
      <w:r w:rsidRPr="00B43583">
        <w:rPr>
          <w:rFonts w:eastAsiaTheme="minorEastAsia" w:cs="Arial Narrow"/>
          <w:color w:val="000000"/>
          <w:lang w:eastAsia="es-CR"/>
        </w:rPr>
        <w:t xml:space="preserve"> </w:t>
      </w:r>
      <w:r w:rsidRPr="00CF4B6E">
        <w:rPr>
          <w:rFonts w:eastAsiaTheme="minorEastAsia" w:cs="Arial Narrow"/>
          <w:color w:val="000000"/>
          <w:lang w:eastAsia="es-CR"/>
        </w:rPr>
        <w:t>miles</w:t>
      </w:r>
      <w:r>
        <w:rPr>
          <w:rFonts w:eastAsiaTheme="minorEastAsia" w:cs="Arial Narrow"/>
          <w:color w:val="000000"/>
          <w:lang w:eastAsia="es-CR"/>
        </w:rPr>
        <w:t xml:space="preserve">, </w:t>
      </w:r>
      <w:r w:rsidR="007E1E36" w:rsidRPr="004C6F83">
        <w:rPr>
          <w:rFonts w:eastAsiaTheme="minorEastAsia" w:cs="Arial Narrow"/>
          <w:color w:val="000000"/>
          <w:lang w:eastAsia="es-CR"/>
        </w:rPr>
        <w:t xml:space="preserve">Otras deudas por beneficios a los empleados c/p por </w:t>
      </w:r>
      <w:r w:rsidR="007E1E36">
        <w:rPr>
          <w:rFonts w:eastAsiaTheme="minorEastAsia" w:cs="Arial Narrow"/>
          <w:color w:val="000000"/>
          <w:lang w:eastAsia="es-CR"/>
        </w:rPr>
        <w:t>-</w:t>
      </w:r>
      <w:r w:rsidR="007E1E36" w:rsidRPr="007E1E36">
        <w:rPr>
          <w:rFonts w:ascii="Arial" w:eastAsiaTheme="minorEastAsia" w:hAnsi="Arial" w:cs="Arial"/>
          <w:color w:val="000000"/>
          <w:lang w:eastAsia="es-CR"/>
        </w:rPr>
        <w:t>₡</w:t>
      </w:r>
      <w:r w:rsidR="007E1E36">
        <w:rPr>
          <w:rFonts w:eastAsiaTheme="minorEastAsia" w:cs="Arial Narrow"/>
          <w:color w:val="000000"/>
          <w:lang w:eastAsia="es-CR"/>
        </w:rPr>
        <w:t>8 727,84</w:t>
      </w:r>
      <w:r w:rsidR="007E1E36" w:rsidRPr="00B43583">
        <w:rPr>
          <w:rFonts w:eastAsiaTheme="minorEastAsia" w:cs="Arial Narrow"/>
          <w:color w:val="000000"/>
          <w:lang w:eastAsia="es-CR"/>
        </w:rPr>
        <w:t xml:space="preserve"> </w:t>
      </w:r>
      <w:r w:rsidR="007E1E36">
        <w:rPr>
          <w:rFonts w:eastAsiaTheme="minorEastAsia" w:cs="Arial Narrow"/>
          <w:color w:val="000000"/>
          <w:lang w:eastAsia="es-CR"/>
        </w:rPr>
        <w:t xml:space="preserve">miles y los aumentos en </w:t>
      </w:r>
      <w:r w:rsidR="007E1E36" w:rsidRPr="00262F46">
        <w:rPr>
          <w:rFonts w:eastAsiaTheme="minorEastAsia" w:cs="Arial Narrow"/>
          <w:color w:val="000000"/>
          <w:lang w:eastAsia="es-CR"/>
        </w:rPr>
        <w:t>Incentivos salariales a pagar c/p (Decimotercer mes)</w:t>
      </w:r>
      <w:r w:rsidR="007E1E36" w:rsidRPr="007E1E36">
        <w:rPr>
          <w:rFonts w:eastAsiaTheme="minorEastAsia" w:cs="Arial Narrow"/>
          <w:color w:val="000000"/>
          <w:lang w:eastAsia="es-CR"/>
        </w:rPr>
        <w:t xml:space="preserve"> por </w:t>
      </w:r>
      <w:r w:rsidR="007E1E36" w:rsidRPr="00262F46">
        <w:rPr>
          <w:rFonts w:eastAsiaTheme="minorEastAsia" w:cs="Arial Narrow"/>
          <w:color w:val="000000"/>
          <w:lang w:eastAsia="es-CR"/>
        </w:rPr>
        <w:t>2 367,84</w:t>
      </w:r>
      <w:r w:rsidR="007E1E36" w:rsidRPr="007E1E36">
        <w:rPr>
          <w:rFonts w:eastAsiaTheme="minorEastAsia" w:cs="Arial Narrow"/>
          <w:color w:val="000000"/>
          <w:lang w:eastAsia="es-CR"/>
        </w:rPr>
        <w:t xml:space="preserve"> miles; </w:t>
      </w:r>
      <w:r w:rsidRPr="00CF4B6E">
        <w:rPr>
          <w:rFonts w:eastAsiaTheme="minorEastAsia" w:cs="Arial Narrow"/>
          <w:color w:val="000000"/>
          <w:lang w:eastAsia="es-CR"/>
        </w:rPr>
        <w:t>Contribuciones patronales al desarrollo y la seguridad social a pagar c/p (Aporte Patronal FCL - CCSS)</w:t>
      </w:r>
      <w:r>
        <w:rPr>
          <w:rFonts w:eastAsiaTheme="minorEastAsia" w:cs="Arial Narrow"/>
          <w:color w:val="000000"/>
          <w:lang w:eastAsia="es-CR"/>
        </w:rPr>
        <w:t xml:space="preserve"> de </w:t>
      </w:r>
      <w:r w:rsidRPr="007E1E36">
        <w:rPr>
          <w:rFonts w:ascii="Arial" w:eastAsiaTheme="minorEastAsia" w:hAnsi="Arial" w:cs="Arial"/>
          <w:color w:val="000000"/>
          <w:lang w:eastAsia="es-CR"/>
        </w:rPr>
        <w:t>₡</w:t>
      </w:r>
      <w:r w:rsidR="007E1E36" w:rsidRPr="00262F46">
        <w:rPr>
          <w:rFonts w:eastAsiaTheme="minorEastAsia" w:cs="Arial Narrow"/>
          <w:color w:val="000000"/>
          <w:lang w:eastAsia="es-CR"/>
        </w:rPr>
        <w:t>7 058,22</w:t>
      </w:r>
      <w:r w:rsidR="007E1E36" w:rsidRPr="007E1E36">
        <w:rPr>
          <w:rFonts w:eastAsiaTheme="minorEastAsia" w:cs="Arial Narrow"/>
          <w:color w:val="000000"/>
          <w:lang w:eastAsia="es-CR"/>
        </w:rPr>
        <w:t xml:space="preserve"> </w:t>
      </w:r>
      <w:r>
        <w:rPr>
          <w:rFonts w:eastAsiaTheme="minorEastAsia" w:cs="Arial Narrow"/>
          <w:color w:val="000000"/>
          <w:lang w:eastAsia="es-CR"/>
        </w:rPr>
        <w:t xml:space="preserve">miles, y en </w:t>
      </w:r>
      <w:r w:rsidRPr="0069140F">
        <w:rPr>
          <w:rFonts w:eastAsiaTheme="minorEastAsia" w:cs="Arial Narrow"/>
          <w:color w:val="000000"/>
          <w:lang w:eastAsia="es-CR"/>
        </w:rPr>
        <w:t>Deudas fiscales c/p - Ministerio de Hacienda (MHD</w:t>
      </w:r>
      <w:r>
        <w:rPr>
          <w:rFonts w:eastAsiaTheme="minorEastAsia" w:cs="Arial Narrow"/>
          <w:color w:val="000000"/>
          <w:lang w:eastAsia="es-CR"/>
        </w:rPr>
        <w:t xml:space="preserve">) por la suma de </w:t>
      </w:r>
      <w:r w:rsidRPr="007E1E36">
        <w:rPr>
          <w:rFonts w:ascii="Arial" w:eastAsiaTheme="minorEastAsia" w:hAnsi="Arial" w:cs="Arial"/>
          <w:color w:val="000000"/>
          <w:lang w:eastAsia="es-CR"/>
        </w:rPr>
        <w:t>₡</w:t>
      </w:r>
      <w:r w:rsidR="007E1E36" w:rsidRPr="00262F46">
        <w:rPr>
          <w:rFonts w:eastAsiaTheme="minorEastAsia" w:cs="Arial Narrow"/>
          <w:color w:val="000000"/>
          <w:lang w:eastAsia="es-CR"/>
        </w:rPr>
        <w:t>1 133,74</w:t>
      </w:r>
      <w:r w:rsidR="007E1E36" w:rsidRPr="007E1E36">
        <w:rPr>
          <w:rFonts w:eastAsiaTheme="minorEastAsia" w:cs="Arial Narrow"/>
          <w:color w:val="000000"/>
          <w:lang w:eastAsia="es-CR"/>
        </w:rPr>
        <w:t xml:space="preserve"> </w:t>
      </w:r>
      <w:r>
        <w:rPr>
          <w:rFonts w:eastAsiaTheme="minorEastAsia" w:cs="Arial Narrow"/>
          <w:color w:val="000000"/>
          <w:lang w:eastAsia="es-CR"/>
        </w:rPr>
        <w:t>miles.</w:t>
      </w:r>
    </w:p>
    <w:p w14:paraId="290B880C" w14:textId="77777777" w:rsidR="004C6F83" w:rsidRPr="004C6F83" w:rsidRDefault="004C6F83" w:rsidP="004C6F83">
      <w:pPr>
        <w:spacing w:after="0" w:line="240" w:lineRule="auto"/>
        <w:rPr>
          <w:rFonts w:eastAsiaTheme="minorEastAsia" w:cs="Arial Narrow"/>
          <w:color w:val="000000"/>
          <w:lang w:eastAsia="es-CR"/>
        </w:rPr>
      </w:pPr>
    </w:p>
    <w:p w14:paraId="702908F8" w14:textId="0774B20B" w:rsidR="00692DC8" w:rsidRDefault="00692DC8" w:rsidP="00E276CE">
      <w:pPr>
        <w:rPr>
          <w:szCs w:val="24"/>
        </w:rPr>
      </w:pPr>
      <w:r w:rsidRPr="00692DC8">
        <w:rPr>
          <w:szCs w:val="24"/>
        </w:rPr>
        <w:t>Detalle:</w:t>
      </w:r>
    </w:p>
    <w:tbl>
      <w:tblPr>
        <w:tblW w:w="4380" w:type="dxa"/>
        <w:tblInd w:w="-10" w:type="dxa"/>
        <w:tblCellMar>
          <w:left w:w="70" w:type="dxa"/>
          <w:right w:w="70" w:type="dxa"/>
        </w:tblCellMar>
        <w:tblLook w:val="04A0" w:firstRow="1" w:lastRow="0" w:firstColumn="1" w:lastColumn="0" w:noHBand="0" w:noVBand="1"/>
      </w:tblPr>
      <w:tblGrid>
        <w:gridCol w:w="1240"/>
        <w:gridCol w:w="3140"/>
      </w:tblGrid>
      <w:tr w:rsidR="00F15E94" w:rsidRPr="00F15E94" w14:paraId="1256F986" w14:textId="77777777" w:rsidTr="00F15E94">
        <w:trPr>
          <w:trHeight w:val="288"/>
        </w:trPr>
        <w:tc>
          <w:tcPr>
            <w:tcW w:w="1240" w:type="dxa"/>
            <w:tcBorders>
              <w:top w:val="single" w:sz="8" w:space="0" w:color="auto"/>
              <w:left w:val="single" w:sz="8" w:space="0" w:color="auto"/>
              <w:bottom w:val="nil"/>
              <w:right w:val="single" w:sz="8" w:space="0" w:color="auto"/>
            </w:tcBorders>
            <w:shd w:val="clear" w:color="000000" w:fill="366092"/>
            <w:noWrap/>
            <w:vAlign w:val="center"/>
            <w:hideMark/>
          </w:tcPr>
          <w:p w14:paraId="5F480FC9" w14:textId="77777777" w:rsidR="00F15E94" w:rsidRPr="00F15E94" w:rsidRDefault="00F15E94" w:rsidP="00F15E94">
            <w:pPr>
              <w:spacing w:after="0" w:line="240" w:lineRule="auto"/>
              <w:rPr>
                <w:rFonts w:eastAsia="Times New Roman" w:cs="Calibri"/>
                <w:b/>
                <w:bCs/>
                <w:color w:val="FFFFFF"/>
                <w:sz w:val="18"/>
                <w:szCs w:val="18"/>
                <w:lang w:eastAsia="es-CR"/>
              </w:rPr>
            </w:pPr>
            <w:r w:rsidRPr="00F15E94">
              <w:rPr>
                <w:rFonts w:eastAsia="Times New Roman" w:cs="Calibri"/>
                <w:b/>
                <w:bCs/>
                <w:color w:val="FFFFFF"/>
                <w:sz w:val="18"/>
                <w:szCs w:val="18"/>
                <w:lang w:eastAsia="es-CR"/>
              </w:rPr>
              <w:t xml:space="preserve">Cuenta </w:t>
            </w:r>
          </w:p>
        </w:tc>
        <w:tc>
          <w:tcPr>
            <w:tcW w:w="3140" w:type="dxa"/>
            <w:tcBorders>
              <w:top w:val="single" w:sz="8" w:space="0" w:color="auto"/>
              <w:left w:val="nil"/>
              <w:bottom w:val="nil"/>
              <w:right w:val="single" w:sz="8" w:space="0" w:color="auto"/>
            </w:tcBorders>
            <w:shd w:val="clear" w:color="000000" w:fill="366092"/>
            <w:vAlign w:val="center"/>
            <w:hideMark/>
          </w:tcPr>
          <w:p w14:paraId="6A928721" w14:textId="77777777" w:rsidR="00F15E94" w:rsidRPr="00F15E94" w:rsidRDefault="00F15E94" w:rsidP="00F15E94">
            <w:pPr>
              <w:spacing w:after="0" w:line="240" w:lineRule="auto"/>
              <w:jc w:val="center"/>
              <w:rPr>
                <w:rFonts w:eastAsia="Times New Roman" w:cs="Calibri"/>
                <w:b/>
                <w:bCs/>
                <w:color w:val="FFFFFF"/>
                <w:sz w:val="18"/>
                <w:szCs w:val="18"/>
                <w:lang w:eastAsia="es-CR"/>
              </w:rPr>
            </w:pPr>
            <w:r w:rsidRPr="00F15E94">
              <w:rPr>
                <w:rFonts w:eastAsia="Times New Roman" w:cs="Calibri"/>
                <w:b/>
                <w:bCs/>
                <w:color w:val="FFFFFF"/>
                <w:sz w:val="18"/>
                <w:szCs w:val="18"/>
                <w:lang w:eastAsia="es-CR"/>
              </w:rPr>
              <w:t xml:space="preserve">Descripción </w:t>
            </w:r>
          </w:p>
        </w:tc>
      </w:tr>
      <w:tr w:rsidR="00F15E94" w:rsidRPr="00F15E94" w14:paraId="01761BA0" w14:textId="77777777" w:rsidTr="00F15E94">
        <w:trPr>
          <w:trHeight w:val="54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2DAF38D0" w14:textId="77777777" w:rsidR="00F15E94" w:rsidRPr="00F15E94" w:rsidRDefault="00F15E94" w:rsidP="00F15E94">
            <w:pPr>
              <w:spacing w:after="0" w:line="240" w:lineRule="auto"/>
              <w:rPr>
                <w:rFonts w:eastAsia="Times New Roman" w:cs="Calibri"/>
                <w:b/>
                <w:bCs/>
                <w:color w:val="000000"/>
                <w:sz w:val="18"/>
                <w:szCs w:val="18"/>
                <w:lang w:eastAsia="es-CR"/>
              </w:rPr>
            </w:pPr>
            <w:r w:rsidRPr="00F15E94">
              <w:rPr>
                <w:rFonts w:eastAsia="Times New Roman" w:cs="Calibri"/>
                <w:b/>
                <w:bCs/>
                <w:color w:val="000000"/>
                <w:sz w:val="18"/>
                <w:szCs w:val="18"/>
                <w:lang w:eastAsia="es-CR"/>
              </w:rPr>
              <w:t>2.1.1.03.02.</w:t>
            </w:r>
          </w:p>
        </w:tc>
        <w:tc>
          <w:tcPr>
            <w:tcW w:w="3140" w:type="dxa"/>
            <w:tcBorders>
              <w:top w:val="nil"/>
              <w:left w:val="nil"/>
              <w:bottom w:val="single" w:sz="8" w:space="0" w:color="auto"/>
              <w:right w:val="single" w:sz="8" w:space="0" w:color="auto"/>
            </w:tcBorders>
            <w:shd w:val="clear" w:color="auto" w:fill="auto"/>
            <w:vAlign w:val="center"/>
            <w:hideMark/>
          </w:tcPr>
          <w:p w14:paraId="362340B4" w14:textId="77777777" w:rsidR="00F15E94" w:rsidRPr="00F15E94" w:rsidRDefault="00F15E94" w:rsidP="00F15E94">
            <w:pPr>
              <w:spacing w:after="0" w:line="240" w:lineRule="auto"/>
              <w:rPr>
                <w:rFonts w:eastAsia="Times New Roman" w:cs="Calibri"/>
                <w:b/>
                <w:bCs/>
                <w:color w:val="000000"/>
                <w:sz w:val="18"/>
                <w:szCs w:val="18"/>
                <w:lang w:eastAsia="es-CR"/>
              </w:rPr>
            </w:pPr>
            <w:r w:rsidRPr="00F15E94">
              <w:rPr>
                <w:rFonts w:eastAsia="Times New Roman" w:cs="Calibri"/>
                <w:b/>
                <w:bCs/>
                <w:color w:val="000000"/>
                <w:sz w:val="18"/>
                <w:szCs w:val="18"/>
                <w:lang w:eastAsia="es-CR"/>
              </w:rPr>
              <w:t>Transferencias al sector público interno a pagar c/p</w:t>
            </w:r>
          </w:p>
        </w:tc>
      </w:tr>
    </w:tbl>
    <w:p w14:paraId="22DF0067" w14:textId="6035B385" w:rsidR="00F15E94" w:rsidRDefault="00F15E94" w:rsidP="008D2F6F">
      <w:pPr>
        <w:spacing w:after="0" w:line="240" w:lineRule="auto"/>
        <w:rPr>
          <w:szCs w:val="24"/>
        </w:rPr>
      </w:pPr>
    </w:p>
    <w:tbl>
      <w:tblPr>
        <w:tblW w:w="8742" w:type="dxa"/>
        <w:tblLook w:val="04A0" w:firstRow="1" w:lastRow="0" w:firstColumn="1" w:lastColumn="0" w:noHBand="0" w:noVBand="1"/>
      </w:tblPr>
      <w:tblGrid>
        <w:gridCol w:w="1265"/>
        <w:gridCol w:w="3340"/>
        <w:gridCol w:w="1055"/>
        <w:gridCol w:w="1134"/>
        <w:gridCol w:w="993"/>
        <w:gridCol w:w="955"/>
      </w:tblGrid>
      <w:tr w:rsidR="008D2F6F" w:rsidRPr="007E1E36" w14:paraId="006B77CA" w14:textId="77777777" w:rsidTr="004653E2">
        <w:trPr>
          <w:trHeight w:val="530"/>
        </w:trPr>
        <w:tc>
          <w:tcPr>
            <w:tcW w:w="1265" w:type="dxa"/>
            <w:tcBorders>
              <w:top w:val="single" w:sz="8" w:space="0" w:color="auto"/>
              <w:left w:val="single" w:sz="8" w:space="0" w:color="auto"/>
              <w:bottom w:val="nil"/>
              <w:right w:val="single" w:sz="12" w:space="0" w:color="auto"/>
            </w:tcBorders>
            <w:shd w:val="clear" w:color="000000" w:fill="002060"/>
            <w:noWrap/>
            <w:vAlign w:val="center"/>
            <w:hideMark/>
          </w:tcPr>
          <w:p w14:paraId="4E3A0411" w14:textId="77777777" w:rsidR="008D2F6F" w:rsidRPr="007E1E36" w:rsidRDefault="008D2F6F" w:rsidP="004653E2">
            <w:pPr>
              <w:spacing w:after="0" w:line="240" w:lineRule="auto"/>
              <w:jc w:val="center"/>
              <w:rPr>
                <w:rFonts w:eastAsia="Times New Roman" w:cs="Calibri"/>
                <w:b/>
                <w:bCs/>
                <w:color w:val="FFFFFF"/>
                <w:sz w:val="20"/>
                <w:szCs w:val="20"/>
                <w:lang w:val="en-US"/>
              </w:rPr>
            </w:pPr>
            <w:r>
              <w:rPr>
                <w:rFonts w:eastAsia="Times New Roman" w:cs="Calibri"/>
                <w:b/>
                <w:bCs/>
                <w:color w:val="FFFFFF"/>
                <w:sz w:val="20"/>
                <w:szCs w:val="20"/>
                <w:lang w:val="en-US"/>
              </w:rPr>
              <w:t xml:space="preserve">Código </w:t>
            </w:r>
            <w:r w:rsidRPr="007E1E36">
              <w:rPr>
                <w:rFonts w:eastAsia="Times New Roman" w:cs="Calibri"/>
                <w:b/>
                <w:bCs/>
                <w:color w:val="FFFFFF"/>
                <w:sz w:val="20"/>
                <w:szCs w:val="20"/>
                <w:lang w:val="en-US"/>
              </w:rPr>
              <w:t>Entidad</w:t>
            </w:r>
          </w:p>
        </w:tc>
        <w:tc>
          <w:tcPr>
            <w:tcW w:w="3340" w:type="dxa"/>
            <w:tcBorders>
              <w:top w:val="single" w:sz="8" w:space="0" w:color="auto"/>
              <w:left w:val="nil"/>
              <w:bottom w:val="nil"/>
              <w:right w:val="single" w:sz="12" w:space="0" w:color="auto"/>
            </w:tcBorders>
            <w:shd w:val="clear" w:color="000000" w:fill="002060"/>
            <w:noWrap/>
            <w:vAlign w:val="center"/>
            <w:hideMark/>
          </w:tcPr>
          <w:p w14:paraId="22BAD2C0" w14:textId="77777777" w:rsidR="008D2F6F" w:rsidRPr="007E1E36" w:rsidRDefault="008D2F6F" w:rsidP="004653E2">
            <w:pPr>
              <w:spacing w:after="0" w:line="240" w:lineRule="auto"/>
              <w:jc w:val="center"/>
              <w:rPr>
                <w:rFonts w:eastAsia="Times New Roman" w:cs="Calibri"/>
                <w:b/>
                <w:bCs/>
                <w:color w:val="FFFFFF"/>
                <w:sz w:val="20"/>
                <w:szCs w:val="20"/>
                <w:lang w:val="en-US"/>
              </w:rPr>
            </w:pPr>
            <w:r w:rsidRPr="007E1E36">
              <w:rPr>
                <w:rFonts w:eastAsia="Times New Roman" w:cs="Calibri"/>
                <w:b/>
                <w:bCs/>
                <w:color w:val="FFFFFF"/>
                <w:sz w:val="20"/>
                <w:szCs w:val="20"/>
                <w:lang w:val="en-US"/>
              </w:rPr>
              <w:t>Descripción</w:t>
            </w:r>
          </w:p>
        </w:tc>
        <w:tc>
          <w:tcPr>
            <w:tcW w:w="1055" w:type="dxa"/>
            <w:tcBorders>
              <w:top w:val="single" w:sz="8" w:space="0" w:color="auto"/>
              <w:left w:val="nil"/>
              <w:bottom w:val="nil"/>
              <w:right w:val="single" w:sz="12" w:space="0" w:color="auto"/>
            </w:tcBorders>
            <w:shd w:val="clear" w:color="000000" w:fill="002060"/>
            <w:vAlign w:val="center"/>
            <w:hideMark/>
          </w:tcPr>
          <w:p w14:paraId="7433C9AB" w14:textId="77777777" w:rsidR="008D2F6F" w:rsidRPr="007E1E36" w:rsidRDefault="008D2F6F" w:rsidP="004653E2">
            <w:pPr>
              <w:spacing w:after="0" w:line="240" w:lineRule="auto"/>
              <w:jc w:val="center"/>
              <w:rPr>
                <w:rFonts w:eastAsia="Times New Roman" w:cs="Calibri"/>
                <w:b/>
                <w:bCs/>
                <w:color w:val="FFFFFF"/>
                <w:sz w:val="20"/>
                <w:szCs w:val="20"/>
                <w:lang w:val="en-US"/>
              </w:rPr>
            </w:pPr>
            <w:r w:rsidRPr="007E1E36">
              <w:rPr>
                <w:rFonts w:eastAsia="Times New Roman" w:cs="Calibri"/>
                <w:b/>
                <w:bCs/>
                <w:color w:val="FFFFFF"/>
                <w:sz w:val="20"/>
                <w:szCs w:val="20"/>
                <w:lang w:val="en-US"/>
              </w:rPr>
              <w:t>Saldo Año Actual</w:t>
            </w:r>
          </w:p>
        </w:tc>
        <w:tc>
          <w:tcPr>
            <w:tcW w:w="1134" w:type="dxa"/>
            <w:tcBorders>
              <w:top w:val="single" w:sz="8" w:space="0" w:color="auto"/>
              <w:left w:val="nil"/>
              <w:bottom w:val="nil"/>
              <w:right w:val="single" w:sz="12" w:space="0" w:color="auto"/>
            </w:tcBorders>
            <w:shd w:val="clear" w:color="000000" w:fill="002060"/>
            <w:vAlign w:val="center"/>
            <w:hideMark/>
          </w:tcPr>
          <w:p w14:paraId="01CC8EA0" w14:textId="77777777" w:rsidR="008D2F6F" w:rsidRPr="007E1E36" w:rsidRDefault="008D2F6F" w:rsidP="004653E2">
            <w:pPr>
              <w:spacing w:after="0" w:line="240" w:lineRule="auto"/>
              <w:jc w:val="center"/>
              <w:rPr>
                <w:rFonts w:eastAsia="Times New Roman" w:cs="Calibri"/>
                <w:b/>
                <w:bCs/>
                <w:color w:val="FFFFFF"/>
                <w:sz w:val="20"/>
                <w:szCs w:val="20"/>
                <w:lang w:val="en-US"/>
              </w:rPr>
            </w:pPr>
            <w:r w:rsidRPr="007E1E36">
              <w:rPr>
                <w:rFonts w:eastAsia="Times New Roman" w:cs="Calibri"/>
                <w:b/>
                <w:bCs/>
                <w:color w:val="FFFFFF"/>
                <w:sz w:val="20"/>
                <w:szCs w:val="20"/>
                <w:lang w:val="en-US"/>
              </w:rPr>
              <w:t>Saldo Año Anterior</w:t>
            </w:r>
          </w:p>
        </w:tc>
        <w:tc>
          <w:tcPr>
            <w:tcW w:w="993" w:type="dxa"/>
            <w:tcBorders>
              <w:top w:val="single" w:sz="8" w:space="0" w:color="auto"/>
              <w:left w:val="nil"/>
              <w:bottom w:val="nil"/>
              <w:right w:val="single" w:sz="12" w:space="0" w:color="auto"/>
            </w:tcBorders>
            <w:shd w:val="clear" w:color="000000" w:fill="002060"/>
            <w:vAlign w:val="center"/>
            <w:hideMark/>
          </w:tcPr>
          <w:p w14:paraId="1F883A03" w14:textId="77777777" w:rsidR="008D2F6F" w:rsidRPr="007E1E36" w:rsidRDefault="008D2F6F" w:rsidP="004653E2">
            <w:pPr>
              <w:spacing w:after="0" w:line="240" w:lineRule="auto"/>
              <w:jc w:val="center"/>
              <w:rPr>
                <w:rFonts w:eastAsia="Times New Roman" w:cs="Calibri"/>
                <w:b/>
                <w:bCs/>
                <w:color w:val="FFFFFF"/>
                <w:sz w:val="20"/>
                <w:szCs w:val="20"/>
                <w:lang w:val="en-US"/>
              </w:rPr>
            </w:pPr>
            <w:r w:rsidRPr="007E1E36">
              <w:rPr>
                <w:rFonts w:eastAsia="Times New Roman" w:cs="Calibri"/>
                <w:b/>
                <w:bCs/>
                <w:color w:val="FFFFFF"/>
                <w:sz w:val="20"/>
                <w:szCs w:val="20"/>
                <w:lang w:val="en-US"/>
              </w:rPr>
              <w:t>Variación Absoluta</w:t>
            </w:r>
          </w:p>
        </w:tc>
        <w:tc>
          <w:tcPr>
            <w:tcW w:w="955" w:type="dxa"/>
            <w:tcBorders>
              <w:top w:val="single" w:sz="8" w:space="0" w:color="auto"/>
              <w:left w:val="nil"/>
              <w:bottom w:val="nil"/>
              <w:right w:val="single" w:sz="8" w:space="0" w:color="auto"/>
            </w:tcBorders>
            <w:shd w:val="clear" w:color="000000" w:fill="002060"/>
            <w:vAlign w:val="center"/>
            <w:hideMark/>
          </w:tcPr>
          <w:p w14:paraId="48264D2C" w14:textId="77777777" w:rsidR="008D2F6F" w:rsidRPr="007E1E36" w:rsidRDefault="008D2F6F" w:rsidP="004653E2">
            <w:pPr>
              <w:spacing w:after="0" w:line="240" w:lineRule="auto"/>
              <w:jc w:val="center"/>
              <w:rPr>
                <w:rFonts w:eastAsia="Times New Roman" w:cs="Calibri"/>
                <w:b/>
                <w:bCs/>
                <w:color w:val="FFFFFF"/>
                <w:sz w:val="20"/>
                <w:szCs w:val="20"/>
                <w:lang w:val="en-US"/>
              </w:rPr>
            </w:pPr>
            <w:r w:rsidRPr="007E1E36">
              <w:rPr>
                <w:rFonts w:eastAsia="Times New Roman" w:cs="Calibri"/>
                <w:b/>
                <w:bCs/>
                <w:color w:val="FFFFFF"/>
                <w:sz w:val="20"/>
                <w:szCs w:val="20"/>
                <w:lang w:val="en-US"/>
              </w:rPr>
              <w:t>Variación %</w:t>
            </w:r>
          </w:p>
        </w:tc>
      </w:tr>
      <w:tr w:rsidR="008D2F6F" w:rsidRPr="007E1E36" w14:paraId="5B360AC2" w14:textId="77777777" w:rsidTr="004653E2">
        <w:trPr>
          <w:trHeight w:val="520"/>
        </w:trPr>
        <w:tc>
          <w:tcPr>
            <w:tcW w:w="1265" w:type="dxa"/>
            <w:tcBorders>
              <w:top w:val="single" w:sz="8" w:space="0" w:color="auto"/>
              <w:left w:val="single" w:sz="8" w:space="0" w:color="auto"/>
              <w:bottom w:val="nil"/>
              <w:right w:val="single" w:sz="8" w:space="0" w:color="auto"/>
            </w:tcBorders>
            <w:shd w:val="clear" w:color="auto" w:fill="auto"/>
            <w:noWrap/>
            <w:vAlign w:val="bottom"/>
            <w:hideMark/>
          </w:tcPr>
          <w:p w14:paraId="35DF3BF4" w14:textId="77777777" w:rsidR="008D2F6F" w:rsidRPr="007E1E36" w:rsidRDefault="008D2F6F" w:rsidP="004653E2">
            <w:pPr>
              <w:spacing w:after="0" w:line="240" w:lineRule="auto"/>
              <w:jc w:val="center"/>
              <w:rPr>
                <w:rFonts w:eastAsia="Times New Roman" w:cs="Calibri"/>
                <w:b/>
                <w:bCs/>
                <w:color w:val="000000"/>
                <w:sz w:val="20"/>
                <w:szCs w:val="20"/>
                <w:lang w:val="en-US"/>
              </w:rPr>
            </w:pPr>
            <w:r w:rsidRPr="007E1E36">
              <w:rPr>
                <w:rFonts w:eastAsia="Times New Roman" w:cs="Calibri"/>
                <w:b/>
                <w:bCs/>
                <w:color w:val="000000"/>
                <w:sz w:val="20"/>
                <w:szCs w:val="20"/>
                <w:lang w:val="en-US"/>
              </w:rPr>
              <w:t> </w:t>
            </w:r>
          </w:p>
        </w:tc>
        <w:tc>
          <w:tcPr>
            <w:tcW w:w="3340" w:type="dxa"/>
            <w:tcBorders>
              <w:top w:val="nil"/>
              <w:left w:val="nil"/>
              <w:bottom w:val="nil"/>
              <w:right w:val="single" w:sz="8" w:space="0" w:color="auto"/>
            </w:tcBorders>
            <w:shd w:val="clear" w:color="auto" w:fill="auto"/>
            <w:vAlign w:val="center"/>
            <w:hideMark/>
          </w:tcPr>
          <w:p w14:paraId="500BC2A1" w14:textId="77777777" w:rsidR="008D2F6F" w:rsidRPr="007E1E36" w:rsidRDefault="008D2F6F" w:rsidP="004653E2">
            <w:pPr>
              <w:spacing w:after="120" w:line="240" w:lineRule="auto"/>
              <w:jc w:val="left"/>
              <w:rPr>
                <w:rFonts w:eastAsia="Times New Roman" w:cs="Calibri"/>
                <w:b/>
                <w:bCs/>
                <w:color w:val="000000"/>
                <w:sz w:val="20"/>
                <w:szCs w:val="20"/>
              </w:rPr>
            </w:pPr>
            <w:r w:rsidRPr="007E1E36">
              <w:rPr>
                <w:rFonts w:eastAsia="Times New Roman" w:cs="Calibri"/>
                <w:b/>
                <w:bCs/>
                <w:color w:val="000000"/>
                <w:sz w:val="20"/>
                <w:szCs w:val="20"/>
              </w:rPr>
              <w:t>Transferencias al sector público interno a pagar c/p</w:t>
            </w:r>
          </w:p>
        </w:tc>
        <w:tc>
          <w:tcPr>
            <w:tcW w:w="1055" w:type="dxa"/>
            <w:tcBorders>
              <w:top w:val="nil"/>
              <w:left w:val="nil"/>
              <w:bottom w:val="nil"/>
              <w:right w:val="single" w:sz="8" w:space="0" w:color="auto"/>
            </w:tcBorders>
            <w:shd w:val="clear" w:color="000000" w:fill="FFFFFF"/>
            <w:noWrap/>
            <w:vAlign w:val="bottom"/>
            <w:hideMark/>
          </w:tcPr>
          <w:p w14:paraId="6E366843" w14:textId="77777777" w:rsidR="008D2F6F" w:rsidRPr="007E1E36" w:rsidRDefault="008D2F6F" w:rsidP="004653E2">
            <w:pPr>
              <w:spacing w:after="0" w:line="240" w:lineRule="auto"/>
              <w:jc w:val="left"/>
              <w:rPr>
                <w:rFonts w:eastAsia="Times New Roman" w:cs="Calibri"/>
                <w:color w:val="000000"/>
                <w:sz w:val="20"/>
                <w:szCs w:val="20"/>
              </w:rPr>
            </w:pPr>
            <w:r w:rsidRPr="007E1E36">
              <w:rPr>
                <w:rFonts w:eastAsia="Times New Roman" w:cs="Calibri"/>
                <w:color w:val="000000"/>
                <w:sz w:val="20"/>
                <w:szCs w:val="20"/>
              </w:rPr>
              <w:t> </w:t>
            </w:r>
          </w:p>
        </w:tc>
        <w:tc>
          <w:tcPr>
            <w:tcW w:w="1134" w:type="dxa"/>
            <w:tcBorders>
              <w:top w:val="nil"/>
              <w:left w:val="nil"/>
              <w:bottom w:val="nil"/>
              <w:right w:val="single" w:sz="8" w:space="0" w:color="auto"/>
            </w:tcBorders>
            <w:shd w:val="clear" w:color="000000" w:fill="FFFFFF"/>
            <w:noWrap/>
            <w:vAlign w:val="bottom"/>
            <w:hideMark/>
          </w:tcPr>
          <w:p w14:paraId="384AC102" w14:textId="77777777" w:rsidR="008D2F6F" w:rsidRPr="007E1E36" w:rsidRDefault="008D2F6F" w:rsidP="004653E2">
            <w:pPr>
              <w:spacing w:after="0" w:line="240" w:lineRule="auto"/>
              <w:jc w:val="left"/>
              <w:rPr>
                <w:rFonts w:eastAsia="Times New Roman" w:cs="Calibri"/>
                <w:color w:val="000000"/>
                <w:sz w:val="20"/>
                <w:szCs w:val="20"/>
              </w:rPr>
            </w:pPr>
            <w:r w:rsidRPr="007E1E36">
              <w:rPr>
                <w:rFonts w:eastAsia="Times New Roman" w:cs="Calibri"/>
                <w:color w:val="000000"/>
                <w:sz w:val="20"/>
                <w:szCs w:val="20"/>
              </w:rPr>
              <w:t> </w:t>
            </w:r>
          </w:p>
        </w:tc>
        <w:tc>
          <w:tcPr>
            <w:tcW w:w="993" w:type="dxa"/>
            <w:tcBorders>
              <w:top w:val="nil"/>
              <w:left w:val="nil"/>
              <w:bottom w:val="nil"/>
              <w:right w:val="single" w:sz="8" w:space="0" w:color="auto"/>
            </w:tcBorders>
            <w:shd w:val="clear" w:color="auto" w:fill="auto"/>
            <w:noWrap/>
            <w:vAlign w:val="bottom"/>
            <w:hideMark/>
          </w:tcPr>
          <w:p w14:paraId="26DB4E82" w14:textId="77777777" w:rsidR="008D2F6F" w:rsidRPr="007E1E36" w:rsidRDefault="008D2F6F" w:rsidP="004653E2">
            <w:pPr>
              <w:spacing w:after="0" w:line="240" w:lineRule="auto"/>
              <w:jc w:val="left"/>
              <w:rPr>
                <w:rFonts w:eastAsia="Times New Roman" w:cs="Calibri"/>
                <w:color w:val="000000"/>
                <w:sz w:val="20"/>
                <w:szCs w:val="20"/>
              </w:rPr>
            </w:pPr>
            <w:r w:rsidRPr="007E1E36">
              <w:rPr>
                <w:rFonts w:eastAsia="Times New Roman" w:cs="Calibri"/>
                <w:color w:val="000000"/>
                <w:sz w:val="20"/>
                <w:szCs w:val="20"/>
              </w:rPr>
              <w:t> </w:t>
            </w:r>
          </w:p>
        </w:tc>
        <w:tc>
          <w:tcPr>
            <w:tcW w:w="955" w:type="dxa"/>
            <w:tcBorders>
              <w:top w:val="nil"/>
              <w:left w:val="nil"/>
              <w:bottom w:val="nil"/>
              <w:right w:val="single" w:sz="8" w:space="0" w:color="auto"/>
            </w:tcBorders>
            <w:shd w:val="clear" w:color="auto" w:fill="auto"/>
            <w:noWrap/>
            <w:vAlign w:val="bottom"/>
            <w:hideMark/>
          </w:tcPr>
          <w:p w14:paraId="465F9077" w14:textId="77777777" w:rsidR="008D2F6F" w:rsidRPr="007E1E36" w:rsidRDefault="008D2F6F" w:rsidP="004653E2">
            <w:pPr>
              <w:spacing w:after="0" w:line="240" w:lineRule="auto"/>
              <w:jc w:val="left"/>
              <w:rPr>
                <w:rFonts w:eastAsia="Times New Roman" w:cs="Calibri"/>
                <w:color w:val="000000"/>
                <w:sz w:val="20"/>
                <w:szCs w:val="20"/>
              </w:rPr>
            </w:pPr>
            <w:r w:rsidRPr="007E1E36">
              <w:rPr>
                <w:rFonts w:eastAsia="Times New Roman" w:cs="Calibri"/>
                <w:color w:val="000000"/>
                <w:sz w:val="20"/>
                <w:szCs w:val="20"/>
              </w:rPr>
              <w:t xml:space="preserve"> </w:t>
            </w:r>
          </w:p>
        </w:tc>
      </w:tr>
      <w:tr w:rsidR="008D2F6F" w:rsidRPr="007E1E36" w14:paraId="27A7C7A1" w14:textId="77777777" w:rsidTr="004653E2">
        <w:trPr>
          <w:trHeight w:val="520"/>
        </w:trPr>
        <w:tc>
          <w:tcPr>
            <w:tcW w:w="1265" w:type="dxa"/>
            <w:tcBorders>
              <w:top w:val="nil"/>
              <w:left w:val="single" w:sz="8" w:space="0" w:color="auto"/>
              <w:bottom w:val="nil"/>
              <w:right w:val="single" w:sz="8" w:space="0" w:color="auto"/>
            </w:tcBorders>
            <w:shd w:val="clear" w:color="auto" w:fill="auto"/>
            <w:noWrap/>
            <w:vAlign w:val="bottom"/>
            <w:hideMark/>
          </w:tcPr>
          <w:p w14:paraId="43479309" w14:textId="77777777" w:rsidR="008D2F6F" w:rsidRPr="007E1E36" w:rsidRDefault="008D2F6F" w:rsidP="004653E2">
            <w:pPr>
              <w:spacing w:after="0" w:line="240" w:lineRule="auto"/>
              <w:jc w:val="center"/>
              <w:rPr>
                <w:rFonts w:eastAsia="Times New Roman" w:cs="Calibri"/>
                <w:color w:val="000000"/>
                <w:sz w:val="20"/>
                <w:szCs w:val="20"/>
                <w:lang w:val="en-US"/>
              </w:rPr>
            </w:pPr>
            <w:r w:rsidRPr="007E1E36">
              <w:rPr>
                <w:rFonts w:eastAsia="Times New Roman" w:cs="Calibri"/>
                <w:color w:val="000000"/>
                <w:sz w:val="20"/>
                <w:szCs w:val="20"/>
                <w:lang w:val="en-US"/>
              </w:rPr>
              <w:t>2.1.1.03.02.01</w:t>
            </w:r>
          </w:p>
        </w:tc>
        <w:tc>
          <w:tcPr>
            <w:tcW w:w="3340" w:type="dxa"/>
            <w:tcBorders>
              <w:top w:val="nil"/>
              <w:left w:val="nil"/>
              <w:bottom w:val="nil"/>
              <w:right w:val="single" w:sz="8" w:space="0" w:color="auto"/>
            </w:tcBorders>
            <w:shd w:val="clear" w:color="auto" w:fill="auto"/>
            <w:vAlign w:val="center"/>
            <w:hideMark/>
          </w:tcPr>
          <w:p w14:paraId="2BE0A2F4" w14:textId="77777777" w:rsidR="008D2F6F" w:rsidRPr="007E1E36" w:rsidRDefault="008D2F6F" w:rsidP="004653E2">
            <w:pPr>
              <w:spacing w:after="0" w:line="240" w:lineRule="auto"/>
              <w:jc w:val="left"/>
              <w:rPr>
                <w:rFonts w:eastAsia="Times New Roman" w:cs="Calibri"/>
                <w:color w:val="000000"/>
                <w:sz w:val="20"/>
                <w:szCs w:val="20"/>
              </w:rPr>
            </w:pPr>
            <w:r w:rsidRPr="007E1E36">
              <w:rPr>
                <w:rFonts w:eastAsia="Times New Roman" w:cs="Calibri"/>
                <w:color w:val="000000"/>
                <w:sz w:val="20"/>
                <w:szCs w:val="20"/>
              </w:rPr>
              <w:t>Transferencias al sector público interno a pagar c/p</w:t>
            </w:r>
          </w:p>
        </w:tc>
        <w:tc>
          <w:tcPr>
            <w:tcW w:w="1055" w:type="dxa"/>
            <w:tcBorders>
              <w:top w:val="nil"/>
              <w:left w:val="nil"/>
              <w:bottom w:val="nil"/>
              <w:right w:val="single" w:sz="8" w:space="0" w:color="auto"/>
            </w:tcBorders>
            <w:shd w:val="clear" w:color="auto" w:fill="auto"/>
            <w:noWrap/>
            <w:vAlign w:val="bottom"/>
            <w:hideMark/>
          </w:tcPr>
          <w:p w14:paraId="63D82695" w14:textId="77777777" w:rsidR="008D2F6F" w:rsidRPr="007E1E36" w:rsidRDefault="008D2F6F" w:rsidP="004653E2">
            <w:pPr>
              <w:spacing w:after="0" w:line="240" w:lineRule="auto"/>
              <w:jc w:val="right"/>
              <w:rPr>
                <w:rFonts w:eastAsia="Times New Roman" w:cs="Calibri"/>
                <w:color w:val="000000"/>
                <w:sz w:val="20"/>
                <w:szCs w:val="20"/>
                <w:lang w:val="en-US"/>
              </w:rPr>
            </w:pPr>
            <w:r w:rsidRPr="007E1E36">
              <w:rPr>
                <w:rFonts w:ascii="Arial" w:eastAsia="Times New Roman" w:hAnsi="Arial" w:cs="Arial"/>
                <w:color w:val="000000"/>
                <w:sz w:val="20"/>
                <w:szCs w:val="20"/>
                <w:lang w:val="en-US"/>
              </w:rPr>
              <w:t>₡</w:t>
            </w:r>
            <w:r w:rsidRPr="007E1E36">
              <w:rPr>
                <w:rFonts w:eastAsia="Times New Roman" w:cs="Calibri"/>
                <w:color w:val="000000"/>
                <w:sz w:val="20"/>
                <w:szCs w:val="20"/>
                <w:lang w:val="en-US"/>
              </w:rPr>
              <w:t>983,03</w:t>
            </w:r>
          </w:p>
        </w:tc>
        <w:tc>
          <w:tcPr>
            <w:tcW w:w="1134" w:type="dxa"/>
            <w:tcBorders>
              <w:top w:val="nil"/>
              <w:left w:val="nil"/>
              <w:bottom w:val="nil"/>
              <w:right w:val="single" w:sz="8" w:space="0" w:color="auto"/>
            </w:tcBorders>
            <w:shd w:val="clear" w:color="auto" w:fill="auto"/>
            <w:noWrap/>
            <w:vAlign w:val="bottom"/>
            <w:hideMark/>
          </w:tcPr>
          <w:p w14:paraId="764D07F4" w14:textId="77777777" w:rsidR="008D2F6F" w:rsidRPr="007E1E36" w:rsidRDefault="008D2F6F" w:rsidP="004653E2">
            <w:pPr>
              <w:spacing w:after="0" w:line="240" w:lineRule="auto"/>
              <w:jc w:val="right"/>
              <w:rPr>
                <w:rFonts w:eastAsia="Times New Roman" w:cs="Calibri"/>
                <w:color w:val="000000"/>
                <w:sz w:val="20"/>
                <w:szCs w:val="20"/>
                <w:lang w:val="en-US"/>
              </w:rPr>
            </w:pPr>
            <w:r w:rsidRPr="007E1E36">
              <w:rPr>
                <w:rFonts w:ascii="Arial" w:eastAsia="Times New Roman" w:hAnsi="Arial" w:cs="Arial"/>
                <w:color w:val="000000"/>
                <w:sz w:val="20"/>
                <w:szCs w:val="20"/>
                <w:lang w:val="en-US"/>
              </w:rPr>
              <w:t>₡</w:t>
            </w:r>
            <w:r w:rsidRPr="007E1E36">
              <w:rPr>
                <w:rFonts w:eastAsia="Times New Roman" w:cs="Calibri"/>
                <w:color w:val="000000"/>
                <w:sz w:val="20"/>
                <w:szCs w:val="20"/>
                <w:lang w:val="en-US"/>
              </w:rPr>
              <w:t>981,95</w:t>
            </w:r>
          </w:p>
        </w:tc>
        <w:tc>
          <w:tcPr>
            <w:tcW w:w="993" w:type="dxa"/>
            <w:tcBorders>
              <w:top w:val="nil"/>
              <w:left w:val="nil"/>
              <w:bottom w:val="nil"/>
              <w:right w:val="single" w:sz="8" w:space="0" w:color="auto"/>
            </w:tcBorders>
            <w:shd w:val="clear" w:color="auto" w:fill="auto"/>
            <w:noWrap/>
            <w:vAlign w:val="bottom"/>
            <w:hideMark/>
          </w:tcPr>
          <w:p w14:paraId="04371614" w14:textId="77777777" w:rsidR="008D2F6F" w:rsidRPr="007E1E36" w:rsidRDefault="008D2F6F" w:rsidP="004653E2">
            <w:pPr>
              <w:spacing w:after="0" w:line="240" w:lineRule="auto"/>
              <w:jc w:val="right"/>
              <w:rPr>
                <w:rFonts w:eastAsia="Times New Roman" w:cs="Calibri"/>
                <w:color w:val="000000"/>
                <w:sz w:val="20"/>
                <w:szCs w:val="20"/>
                <w:lang w:val="en-US"/>
              </w:rPr>
            </w:pPr>
            <w:r w:rsidRPr="007E1E36">
              <w:rPr>
                <w:rFonts w:ascii="Arial" w:eastAsia="Times New Roman" w:hAnsi="Arial" w:cs="Arial"/>
                <w:color w:val="000000"/>
                <w:sz w:val="20"/>
                <w:szCs w:val="20"/>
                <w:lang w:val="en-US"/>
              </w:rPr>
              <w:t>₡</w:t>
            </w:r>
            <w:r w:rsidRPr="007E1E36">
              <w:rPr>
                <w:rFonts w:eastAsia="Times New Roman" w:cs="Calibri"/>
                <w:color w:val="000000"/>
                <w:sz w:val="20"/>
                <w:szCs w:val="20"/>
                <w:lang w:val="en-US"/>
              </w:rPr>
              <w:t>1,08</w:t>
            </w:r>
          </w:p>
        </w:tc>
        <w:tc>
          <w:tcPr>
            <w:tcW w:w="955" w:type="dxa"/>
            <w:tcBorders>
              <w:top w:val="nil"/>
              <w:left w:val="nil"/>
              <w:bottom w:val="nil"/>
              <w:right w:val="single" w:sz="8" w:space="0" w:color="auto"/>
            </w:tcBorders>
            <w:shd w:val="clear" w:color="auto" w:fill="auto"/>
            <w:noWrap/>
            <w:vAlign w:val="bottom"/>
            <w:hideMark/>
          </w:tcPr>
          <w:p w14:paraId="5056A93F" w14:textId="77777777" w:rsidR="008D2F6F" w:rsidRPr="007E1E36" w:rsidRDefault="008D2F6F" w:rsidP="004653E2">
            <w:pPr>
              <w:spacing w:after="0" w:line="240" w:lineRule="auto"/>
              <w:jc w:val="right"/>
              <w:rPr>
                <w:rFonts w:eastAsia="Times New Roman" w:cs="Calibri"/>
                <w:color w:val="000000"/>
                <w:sz w:val="20"/>
                <w:szCs w:val="20"/>
                <w:lang w:val="en-US"/>
              </w:rPr>
            </w:pPr>
            <w:r w:rsidRPr="007E1E36">
              <w:rPr>
                <w:rFonts w:eastAsia="Times New Roman" w:cs="Calibri"/>
                <w:color w:val="000000"/>
                <w:sz w:val="20"/>
                <w:szCs w:val="20"/>
                <w:lang w:val="en-US"/>
              </w:rPr>
              <w:t>0,11%</w:t>
            </w:r>
          </w:p>
        </w:tc>
      </w:tr>
      <w:tr w:rsidR="008D2F6F" w:rsidRPr="007E1E36" w14:paraId="0CC68815" w14:textId="77777777" w:rsidTr="004653E2">
        <w:trPr>
          <w:trHeight w:val="520"/>
        </w:trPr>
        <w:tc>
          <w:tcPr>
            <w:tcW w:w="1265" w:type="dxa"/>
            <w:tcBorders>
              <w:top w:val="nil"/>
              <w:left w:val="single" w:sz="8" w:space="0" w:color="auto"/>
              <w:bottom w:val="nil"/>
              <w:right w:val="single" w:sz="8" w:space="0" w:color="auto"/>
            </w:tcBorders>
            <w:shd w:val="clear" w:color="auto" w:fill="auto"/>
            <w:noWrap/>
            <w:vAlign w:val="bottom"/>
            <w:hideMark/>
          </w:tcPr>
          <w:p w14:paraId="6AA23AFC" w14:textId="77777777" w:rsidR="008D2F6F" w:rsidRPr="007E1E36" w:rsidRDefault="008D2F6F" w:rsidP="004653E2">
            <w:pPr>
              <w:spacing w:after="0" w:line="240" w:lineRule="auto"/>
              <w:jc w:val="center"/>
              <w:rPr>
                <w:rFonts w:eastAsia="Times New Roman" w:cs="Calibri"/>
                <w:color w:val="000000"/>
                <w:sz w:val="20"/>
                <w:szCs w:val="20"/>
                <w:lang w:val="en-US"/>
              </w:rPr>
            </w:pPr>
            <w:r w:rsidRPr="007E1E36">
              <w:rPr>
                <w:rFonts w:eastAsia="Times New Roman" w:cs="Calibri"/>
                <w:color w:val="000000"/>
                <w:sz w:val="20"/>
                <w:szCs w:val="20"/>
                <w:lang w:val="en-US"/>
              </w:rPr>
              <w:t>2.1.1.03.02.02</w:t>
            </w:r>
          </w:p>
        </w:tc>
        <w:tc>
          <w:tcPr>
            <w:tcW w:w="3340" w:type="dxa"/>
            <w:tcBorders>
              <w:top w:val="nil"/>
              <w:left w:val="nil"/>
              <w:bottom w:val="nil"/>
              <w:right w:val="single" w:sz="8" w:space="0" w:color="auto"/>
            </w:tcBorders>
            <w:shd w:val="clear" w:color="auto" w:fill="auto"/>
            <w:vAlign w:val="center"/>
            <w:hideMark/>
          </w:tcPr>
          <w:p w14:paraId="6CBDCB08" w14:textId="77777777" w:rsidR="008D2F6F" w:rsidRPr="007E1E36" w:rsidRDefault="008D2F6F" w:rsidP="004653E2">
            <w:pPr>
              <w:spacing w:after="0" w:line="240" w:lineRule="auto"/>
              <w:jc w:val="left"/>
              <w:rPr>
                <w:rFonts w:eastAsia="Times New Roman" w:cs="Calibri"/>
                <w:color w:val="000000"/>
                <w:sz w:val="20"/>
                <w:szCs w:val="20"/>
              </w:rPr>
            </w:pPr>
            <w:r w:rsidRPr="007E1E36">
              <w:rPr>
                <w:rFonts w:eastAsia="Times New Roman" w:cs="Calibri"/>
                <w:color w:val="000000"/>
                <w:sz w:val="20"/>
                <w:szCs w:val="20"/>
              </w:rPr>
              <w:t>Transferencias a Órganos Desconcentrados a pagar c/p</w:t>
            </w:r>
          </w:p>
        </w:tc>
        <w:tc>
          <w:tcPr>
            <w:tcW w:w="1055" w:type="dxa"/>
            <w:tcBorders>
              <w:top w:val="nil"/>
              <w:left w:val="nil"/>
              <w:bottom w:val="nil"/>
              <w:right w:val="single" w:sz="8" w:space="0" w:color="auto"/>
            </w:tcBorders>
            <w:shd w:val="clear" w:color="auto" w:fill="auto"/>
            <w:noWrap/>
            <w:vAlign w:val="bottom"/>
            <w:hideMark/>
          </w:tcPr>
          <w:p w14:paraId="4822EAEA" w14:textId="77777777" w:rsidR="008D2F6F" w:rsidRPr="007E1E36" w:rsidRDefault="008D2F6F" w:rsidP="004653E2">
            <w:pPr>
              <w:spacing w:after="0" w:line="240" w:lineRule="auto"/>
              <w:jc w:val="right"/>
              <w:rPr>
                <w:rFonts w:eastAsia="Times New Roman" w:cs="Calibri"/>
                <w:color w:val="000000"/>
                <w:sz w:val="20"/>
                <w:szCs w:val="20"/>
                <w:lang w:val="en-US"/>
              </w:rPr>
            </w:pPr>
            <w:r w:rsidRPr="007E1E36">
              <w:rPr>
                <w:rFonts w:eastAsia="Times New Roman" w:cs="Calibri"/>
                <w:color w:val="000000"/>
                <w:sz w:val="20"/>
                <w:szCs w:val="20"/>
                <w:lang w:val="en-US"/>
              </w:rPr>
              <w:t>705,51</w:t>
            </w:r>
          </w:p>
        </w:tc>
        <w:tc>
          <w:tcPr>
            <w:tcW w:w="1134" w:type="dxa"/>
            <w:tcBorders>
              <w:top w:val="nil"/>
              <w:left w:val="nil"/>
              <w:bottom w:val="nil"/>
              <w:right w:val="single" w:sz="8" w:space="0" w:color="auto"/>
            </w:tcBorders>
            <w:shd w:val="clear" w:color="auto" w:fill="auto"/>
            <w:noWrap/>
            <w:vAlign w:val="bottom"/>
            <w:hideMark/>
          </w:tcPr>
          <w:p w14:paraId="7E9AFA55" w14:textId="77777777" w:rsidR="008D2F6F" w:rsidRPr="007E1E36" w:rsidRDefault="008D2F6F" w:rsidP="004653E2">
            <w:pPr>
              <w:spacing w:after="0" w:line="240" w:lineRule="auto"/>
              <w:jc w:val="right"/>
              <w:rPr>
                <w:rFonts w:eastAsia="Times New Roman" w:cs="Calibri"/>
                <w:color w:val="000000"/>
                <w:sz w:val="20"/>
                <w:szCs w:val="20"/>
                <w:lang w:val="en-US"/>
              </w:rPr>
            </w:pPr>
            <w:r w:rsidRPr="007E1E36">
              <w:rPr>
                <w:rFonts w:eastAsia="Times New Roman" w:cs="Calibri"/>
                <w:color w:val="000000"/>
                <w:sz w:val="20"/>
                <w:szCs w:val="20"/>
                <w:lang w:val="en-US"/>
              </w:rPr>
              <w:t>804,71</w:t>
            </w:r>
          </w:p>
        </w:tc>
        <w:tc>
          <w:tcPr>
            <w:tcW w:w="993" w:type="dxa"/>
            <w:tcBorders>
              <w:top w:val="nil"/>
              <w:left w:val="nil"/>
              <w:bottom w:val="nil"/>
              <w:right w:val="single" w:sz="8" w:space="0" w:color="auto"/>
            </w:tcBorders>
            <w:shd w:val="clear" w:color="auto" w:fill="auto"/>
            <w:noWrap/>
            <w:vAlign w:val="bottom"/>
            <w:hideMark/>
          </w:tcPr>
          <w:p w14:paraId="1A827B3A" w14:textId="77777777" w:rsidR="008D2F6F" w:rsidRPr="007E1E36" w:rsidRDefault="008D2F6F" w:rsidP="004653E2">
            <w:pPr>
              <w:spacing w:after="0" w:line="240" w:lineRule="auto"/>
              <w:jc w:val="right"/>
              <w:rPr>
                <w:rFonts w:eastAsia="Times New Roman" w:cs="Calibri"/>
                <w:color w:val="000000"/>
                <w:sz w:val="20"/>
                <w:szCs w:val="20"/>
                <w:lang w:val="en-US"/>
              </w:rPr>
            </w:pPr>
            <w:r w:rsidRPr="007E1E36">
              <w:rPr>
                <w:rFonts w:eastAsia="Times New Roman" w:cs="Calibri"/>
                <w:color w:val="000000"/>
                <w:sz w:val="20"/>
                <w:szCs w:val="20"/>
                <w:lang w:val="en-US"/>
              </w:rPr>
              <w:t>-99,21</w:t>
            </w:r>
          </w:p>
        </w:tc>
        <w:tc>
          <w:tcPr>
            <w:tcW w:w="955" w:type="dxa"/>
            <w:tcBorders>
              <w:top w:val="nil"/>
              <w:left w:val="nil"/>
              <w:bottom w:val="nil"/>
              <w:right w:val="single" w:sz="8" w:space="0" w:color="auto"/>
            </w:tcBorders>
            <w:shd w:val="clear" w:color="auto" w:fill="auto"/>
            <w:noWrap/>
            <w:vAlign w:val="bottom"/>
            <w:hideMark/>
          </w:tcPr>
          <w:p w14:paraId="1ABE2CB9" w14:textId="77777777" w:rsidR="008D2F6F" w:rsidRPr="007E1E36" w:rsidRDefault="008D2F6F" w:rsidP="004653E2">
            <w:pPr>
              <w:spacing w:after="0" w:line="240" w:lineRule="auto"/>
              <w:jc w:val="right"/>
              <w:rPr>
                <w:rFonts w:eastAsia="Times New Roman" w:cs="Calibri"/>
                <w:color w:val="000000"/>
                <w:sz w:val="20"/>
                <w:szCs w:val="20"/>
                <w:lang w:val="en-US"/>
              </w:rPr>
            </w:pPr>
            <w:r w:rsidRPr="007E1E36">
              <w:rPr>
                <w:rFonts w:eastAsia="Times New Roman" w:cs="Calibri"/>
                <w:color w:val="000000"/>
                <w:sz w:val="20"/>
                <w:szCs w:val="20"/>
                <w:lang w:val="en-US"/>
              </w:rPr>
              <w:t>-12,33%</w:t>
            </w:r>
          </w:p>
        </w:tc>
      </w:tr>
      <w:tr w:rsidR="008D2F6F" w:rsidRPr="007E1E36" w14:paraId="36399F79" w14:textId="77777777" w:rsidTr="004653E2">
        <w:trPr>
          <w:trHeight w:val="780"/>
        </w:trPr>
        <w:tc>
          <w:tcPr>
            <w:tcW w:w="1265" w:type="dxa"/>
            <w:tcBorders>
              <w:top w:val="nil"/>
              <w:left w:val="single" w:sz="8" w:space="0" w:color="auto"/>
              <w:bottom w:val="nil"/>
              <w:right w:val="single" w:sz="8" w:space="0" w:color="auto"/>
            </w:tcBorders>
            <w:shd w:val="clear" w:color="auto" w:fill="auto"/>
            <w:noWrap/>
            <w:vAlign w:val="bottom"/>
            <w:hideMark/>
          </w:tcPr>
          <w:p w14:paraId="375F3D0F" w14:textId="77777777" w:rsidR="008D2F6F" w:rsidRPr="007E1E36" w:rsidRDefault="008D2F6F" w:rsidP="004653E2">
            <w:pPr>
              <w:spacing w:after="0" w:line="240" w:lineRule="auto"/>
              <w:jc w:val="center"/>
              <w:rPr>
                <w:rFonts w:eastAsia="Times New Roman" w:cs="Calibri"/>
                <w:color w:val="000000"/>
                <w:sz w:val="20"/>
                <w:szCs w:val="20"/>
                <w:lang w:val="en-US"/>
              </w:rPr>
            </w:pPr>
            <w:r w:rsidRPr="007E1E36">
              <w:rPr>
                <w:rFonts w:eastAsia="Times New Roman" w:cs="Calibri"/>
                <w:color w:val="000000"/>
                <w:sz w:val="20"/>
                <w:szCs w:val="20"/>
                <w:lang w:val="en-US"/>
              </w:rPr>
              <w:t>2.1.1.03.02.03</w:t>
            </w:r>
          </w:p>
        </w:tc>
        <w:tc>
          <w:tcPr>
            <w:tcW w:w="3340" w:type="dxa"/>
            <w:tcBorders>
              <w:top w:val="nil"/>
              <w:left w:val="nil"/>
              <w:bottom w:val="nil"/>
              <w:right w:val="single" w:sz="8" w:space="0" w:color="auto"/>
            </w:tcBorders>
            <w:shd w:val="clear" w:color="auto" w:fill="auto"/>
            <w:vAlign w:val="center"/>
            <w:hideMark/>
          </w:tcPr>
          <w:p w14:paraId="5BB64176" w14:textId="77777777" w:rsidR="008D2F6F" w:rsidRPr="007E1E36" w:rsidRDefault="008D2F6F" w:rsidP="004653E2">
            <w:pPr>
              <w:spacing w:after="0" w:line="240" w:lineRule="auto"/>
              <w:jc w:val="left"/>
              <w:rPr>
                <w:rFonts w:eastAsia="Times New Roman" w:cs="Calibri"/>
                <w:color w:val="000000"/>
                <w:sz w:val="20"/>
                <w:szCs w:val="20"/>
              </w:rPr>
            </w:pPr>
            <w:r w:rsidRPr="007E1E36">
              <w:rPr>
                <w:rFonts w:eastAsia="Times New Roman" w:cs="Calibri"/>
                <w:color w:val="000000"/>
                <w:sz w:val="20"/>
                <w:szCs w:val="20"/>
              </w:rPr>
              <w:t>Transferencias a Instituciones Descentralizadas no Empresariales a pagar c/p</w:t>
            </w:r>
          </w:p>
        </w:tc>
        <w:tc>
          <w:tcPr>
            <w:tcW w:w="1055" w:type="dxa"/>
            <w:tcBorders>
              <w:top w:val="nil"/>
              <w:left w:val="nil"/>
              <w:bottom w:val="nil"/>
              <w:right w:val="single" w:sz="8" w:space="0" w:color="auto"/>
            </w:tcBorders>
            <w:shd w:val="clear" w:color="auto" w:fill="auto"/>
            <w:noWrap/>
            <w:vAlign w:val="bottom"/>
            <w:hideMark/>
          </w:tcPr>
          <w:p w14:paraId="79FA43F9" w14:textId="77777777" w:rsidR="008D2F6F" w:rsidRPr="007E1E36" w:rsidRDefault="008D2F6F" w:rsidP="004653E2">
            <w:pPr>
              <w:spacing w:after="0" w:line="240" w:lineRule="auto"/>
              <w:jc w:val="right"/>
              <w:rPr>
                <w:rFonts w:eastAsia="Times New Roman" w:cs="Calibri"/>
                <w:color w:val="000000"/>
                <w:sz w:val="20"/>
                <w:szCs w:val="20"/>
                <w:lang w:val="en-US"/>
              </w:rPr>
            </w:pPr>
            <w:r w:rsidRPr="007E1E36">
              <w:rPr>
                <w:rFonts w:eastAsia="Times New Roman" w:cs="Calibri"/>
                <w:color w:val="000000"/>
                <w:sz w:val="20"/>
                <w:szCs w:val="20"/>
                <w:lang w:val="en-US"/>
              </w:rPr>
              <w:t>33 436,93</w:t>
            </w:r>
          </w:p>
        </w:tc>
        <w:tc>
          <w:tcPr>
            <w:tcW w:w="1134" w:type="dxa"/>
            <w:tcBorders>
              <w:top w:val="nil"/>
              <w:left w:val="nil"/>
              <w:bottom w:val="nil"/>
              <w:right w:val="single" w:sz="8" w:space="0" w:color="auto"/>
            </w:tcBorders>
            <w:shd w:val="clear" w:color="auto" w:fill="auto"/>
            <w:noWrap/>
            <w:vAlign w:val="bottom"/>
            <w:hideMark/>
          </w:tcPr>
          <w:p w14:paraId="110EAE2E" w14:textId="77777777" w:rsidR="008D2F6F" w:rsidRPr="007E1E36" w:rsidRDefault="008D2F6F" w:rsidP="004653E2">
            <w:pPr>
              <w:spacing w:after="0" w:line="240" w:lineRule="auto"/>
              <w:jc w:val="right"/>
              <w:rPr>
                <w:rFonts w:eastAsia="Times New Roman" w:cs="Calibri"/>
                <w:color w:val="000000"/>
                <w:sz w:val="20"/>
                <w:szCs w:val="20"/>
                <w:lang w:val="en-US"/>
              </w:rPr>
            </w:pPr>
            <w:r w:rsidRPr="007E1E36">
              <w:rPr>
                <w:rFonts w:eastAsia="Times New Roman" w:cs="Calibri"/>
                <w:color w:val="000000"/>
                <w:sz w:val="20"/>
                <w:szCs w:val="20"/>
                <w:lang w:val="en-US"/>
              </w:rPr>
              <w:t>29 489,84</w:t>
            </w:r>
          </w:p>
        </w:tc>
        <w:tc>
          <w:tcPr>
            <w:tcW w:w="993" w:type="dxa"/>
            <w:tcBorders>
              <w:top w:val="nil"/>
              <w:left w:val="nil"/>
              <w:bottom w:val="nil"/>
              <w:right w:val="single" w:sz="8" w:space="0" w:color="auto"/>
            </w:tcBorders>
            <w:shd w:val="clear" w:color="auto" w:fill="auto"/>
            <w:noWrap/>
            <w:vAlign w:val="bottom"/>
            <w:hideMark/>
          </w:tcPr>
          <w:p w14:paraId="7B3CE4F6" w14:textId="77777777" w:rsidR="008D2F6F" w:rsidRPr="007E1E36" w:rsidRDefault="008D2F6F" w:rsidP="004653E2">
            <w:pPr>
              <w:spacing w:after="0" w:line="240" w:lineRule="auto"/>
              <w:jc w:val="right"/>
              <w:rPr>
                <w:rFonts w:eastAsia="Times New Roman" w:cs="Calibri"/>
                <w:color w:val="000000"/>
                <w:sz w:val="20"/>
                <w:szCs w:val="20"/>
                <w:lang w:val="en-US"/>
              </w:rPr>
            </w:pPr>
            <w:r w:rsidRPr="007E1E36">
              <w:rPr>
                <w:rFonts w:eastAsia="Times New Roman" w:cs="Calibri"/>
                <w:color w:val="000000"/>
                <w:sz w:val="20"/>
                <w:szCs w:val="20"/>
                <w:lang w:val="en-US"/>
              </w:rPr>
              <w:t>3 947,10</w:t>
            </w:r>
          </w:p>
        </w:tc>
        <w:tc>
          <w:tcPr>
            <w:tcW w:w="955" w:type="dxa"/>
            <w:tcBorders>
              <w:top w:val="nil"/>
              <w:left w:val="nil"/>
              <w:bottom w:val="nil"/>
              <w:right w:val="single" w:sz="8" w:space="0" w:color="auto"/>
            </w:tcBorders>
            <w:shd w:val="clear" w:color="auto" w:fill="auto"/>
            <w:noWrap/>
            <w:vAlign w:val="bottom"/>
            <w:hideMark/>
          </w:tcPr>
          <w:p w14:paraId="6A28B1CB" w14:textId="77777777" w:rsidR="008D2F6F" w:rsidRPr="007E1E36" w:rsidRDefault="008D2F6F" w:rsidP="004653E2">
            <w:pPr>
              <w:spacing w:after="0" w:line="240" w:lineRule="auto"/>
              <w:jc w:val="right"/>
              <w:rPr>
                <w:rFonts w:eastAsia="Times New Roman" w:cs="Calibri"/>
                <w:color w:val="000000"/>
                <w:sz w:val="20"/>
                <w:szCs w:val="20"/>
                <w:lang w:val="en-US"/>
              </w:rPr>
            </w:pPr>
            <w:r w:rsidRPr="007E1E36">
              <w:rPr>
                <w:rFonts w:eastAsia="Times New Roman" w:cs="Calibri"/>
                <w:color w:val="000000"/>
                <w:sz w:val="20"/>
                <w:szCs w:val="20"/>
                <w:lang w:val="en-US"/>
              </w:rPr>
              <w:t>13,38%</w:t>
            </w:r>
          </w:p>
        </w:tc>
      </w:tr>
      <w:tr w:rsidR="008D2F6F" w:rsidRPr="007E1E36" w14:paraId="3EB41660" w14:textId="77777777" w:rsidTr="004653E2">
        <w:trPr>
          <w:trHeight w:val="530"/>
        </w:trPr>
        <w:tc>
          <w:tcPr>
            <w:tcW w:w="1265" w:type="dxa"/>
            <w:tcBorders>
              <w:top w:val="nil"/>
              <w:left w:val="single" w:sz="8" w:space="0" w:color="auto"/>
              <w:bottom w:val="nil"/>
              <w:right w:val="single" w:sz="8" w:space="0" w:color="auto"/>
            </w:tcBorders>
            <w:shd w:val="clear" w:color="auto" w:fill="auto"/>
            <w:noWrap/>
            <w:vAlign w:val="bottom"/>
            <w:hideMark/>
          </w:tcPr>
          <w:p w14:paraId="5BA7BFEB" w14:textId="77777777" w:rsidR="008D2F6F" w:rsidRPr="007E1E36" w:rsidRDefault="008D2F6F" w:rsidP="004653E2">
            <w:pPr>
              <w:spacing w:after="0" w:line="240" w:lineRule="auto"/>
              <w:jc w:val="center"/>
              <w:rPr>
                <w:rFonts w:eastAsia="Times New Roman" w:cs="Calibri"/>
                <w:color w:val="000000"/>
                <w:sz w:val="20"/>
                <w:szCs w:val="20"/>
                <w:lang w:val="en-US"/>
              </w:rPr>
            </w:pPr>
            <w:r w:rsidRPr="007E1E36">
              <w:rPr>
                <w:rFonts w:eastAsia="Times New Roman" w:cs="Calibri"/>
                <w:color w:val="000000"/>
                <w:sz w:val="20"/>
                <w:szCs w:val="20"/>
                <w:lang w:val="en-US"/>
              </w:rPr>
              <w:t>2.1.1.03.02.99</w:t>
            </w:r>
          </w:p>
        </w:tc>
        <w:tc>
          <w:tcPr>
            <w:tcW w:w="3340" w:type="dxa"/>
            <w:tcBorders>
              <w:top w:val="nil"/>
              <w:left w:val="nil"/>
              <w:bottom w:val="nil"/>
              <w:right w:val="single" w:sz="8" w:space="0" w:color="auto"/>
            </w:tcBorders>
            <w:shd w:val="clear" w:color="auto" w:fill="auto"/>
            <w:vAlign w:val="center"/>
            <w:hideMark/>
          </w:tcPr>
          <w:p w14:paraId="4D7A87D7" w14:textId="77777777" w:rsidR="008D2F6F" w:rsidRPr="007E1E36" w:rsidRDefault="008D2F6F" w:rsidP="004653E2">
            <w:pPr>
              <w:spacing w:after="0" w:line="240" w:lineRule="auto"/>
              <w:jc w:val="left"/>
              <w:rPr>
                <w:rFonts w:eastAsia="Times New Roman" w:cs="Calibri"/>
                <w:color w:val="000000"/>
                <w:sz w:val="20"/>
                <w:szCs w:val="20"/>
              </w:rPr>
            </w:pPr>
            <w:r w:rsidRPr="007E1E36">
              <w:rPr>
                <w:rFonts w:eastAsia="Times New Roman" w:cs="Calibri"/>
                <w:color w:val="000000"/>
                <w:sz w:val="20"/>
                <w:szCs w:val="20"/>
              </w:rPr>
              <w:t>Transferencias a otras Instituciones de Gobiernos Locales a pagar c/p</w:t>
            </w:r>
          </w:p>
        </w:tc>
        <w:tc>
          <w:tcPr>
            <w:tcW w:w="1055" w:type="dxa"/>
            <w:tcBorders>
              <w:top w:val="nil"/>
              <w:left w:val="nil"/>
              <w:bottom w:val="nil"/>
              <w:right w:val="single" w:sz="8" w:space="0" w:color="auto"/>
            </w:tcBorders>
            <w:shd w:val="clear" w:color="auto" w:fill="auto"/>
            <w:noWrap/>
            <w:vAlign w:val="bottom"/>
            <w:hideMark/>
          </w:tcPr>
          <w:p w14:paraId="70BA2B67" w14:textId="77777777" w:rsidR="008D2F6F" w:rsidRPr="007E1E36" w:rsidRDefault="008D2F6F" w:rsidP="004653E2">
            <w:pPr>
              <w:spacing w:after="0" w:line="240" w:lineRule="auto"/>
              <w:jc w:val="right"/>
              <w:rPr>
                <w:rFonts w:eastAsia="Times New Roman" w:cs="Calibri"/>
                <w:color w:val="000000"/>
                <w:sz w:val="20"/>
                <w:szCs w:val="20"/>
                <w:lang w:val="en-US"/>
              </w:rPr>
            </w:pPr>
            <w:r w:rsidRPr="007E1E36">
              <w:rPr>
                <w:rFonts w:eastAsia="Times New Roman" w:cs="Calibri"/>
                <w:color w:val="000000"/>
                <w:sz w:val="20"/>
                <w:szCs w:val="20"/>
                <w:lang w:val="en-US"/>
              </w:rPr>
              <w:t>4 240,48</w:t>
            </w:r>
          </w:p>
        </w:tc>
        <w:tc>
          <w:tcPr>
            <w:tcW w:w="1134" w:type="dxa"/>
            <w:tcBorders>
              <w:top w:val="nil"/>
              <w:left w:val="nil"/>
              <w:bottom w:val="nil"/>
              <w:right w:val="single" w:sz="8" w:space="0" w:color="auto"/>
            </w:tcBorders>
            <w:shd w:val="clear" w:color="auto" w:fill="auto"/>
            <w:noWrap/>
            <w:vAlign w:val="bottom"/>
            <w:hideMark/>
          </w:tcPr>
          <w:p w14:paraId="312008A1" w14:textId="77777777" w:rsidR="008D2F6F" w:rsidRPr="007E1E36" w:rsidRDefault="008D2F6F" w:rsidP="004653E2">
            <w:pPr>
              <w:spacing w:after="0" w:line="240" w:lineRule="auto"/>
              <w:jc w:val="right"/>
              <w:rPr>
                <w:rFonts w:eastAsia="Times New Roman" w:cs="Calibri"/>
                <w:color w:val="000000"/>
                <w:sz w:val="20"/>
                <w:szCs w:val="20"/>
                <w:lang w:val="en-US"/>
              </w:rPr>
            </w:pPr>
            <w:r w:rsidRPr="007E1E36">
              <w:rPr>
                <w:rFonts w:eastAsia="Times New Roman" w:cs="Calibri"/>
                <w:color w:val="000000"/>
                <w:sz w:val="20"/>
                <w:szCs w:val="20"/>
                <w:lang w:val="en-US"/>
              </w:rPr>
              <w:t>4 875,67</w:t>
            </w:r>
          </w:p>
        </w:tc>
        <w:tc>
          <w:tcPr>
            <w:tcW w:w="993" w:type="dxa"/>
            <w:tcBorders>
              <w:top w:val="nil"/>
              <w:left w:val="nil"/>
              <w:bottom w:val="nil"/>
              <w:right w:val="single" w:sz="8" w:space="0" w:color="auto"/>
            </w:tcBorders>
            <w:shd w:val="clear" w:color="auto" w:fill="auto"/>
            <w:noWrap/>
            <w:vAlign w:val="bottom"/>
            <w:hideMark/>
          </w:tcPr>
          <w:p w14:paraId="34F7C5DB" w14:textId="77777777" w:rsidR="008D2F6F" w:rsidRPr="007E1E36" w:rsidRDefault="008D2F6F" w:rsidP="004653E2">
            <w:pPr>
              <w:spacing w:after="0" w:line="240" w:lineRule="auto"/>
              <w:jc w:val="right"/>
              <w:rPr>
                <w:rFonts w:eastAsia="Times New Roman" w:cs="Calibri"/>
                <w:color w:val="000000"/>
                <w:sz w:val="20"/>
                <w:szCs w:val="20"/>
                <w:lang w:val="en-US"/>
              </w:rPr>
            </w:pPr>
            <w:r w:rsidRPr="007E1E36">
              <w:rPr>
                <w:rFonts w:eastAsia="Times New Roman" w:cs="Calibri"/>
                <w:color w:val="000000"/>
                <w:sz w:val="20"/>
                <w:szCs w:val="20"/>
                <w:lang w:val="en-US"/>
              </w:rPr>
              <w:t>-635,18</w:t>
            </w:r>
          </w:p>
        </w:tc>
        <w:tc>
          <w:tcPr>
            <w:tcW w:w="955" w:type="dxa"/>
            <w:tcBorders>
              <w:top w:val="nil"/>
              <w:left w:val="nil"/>
              <w:bottom w:val="nil"/>
              <w:right w:val="single" w:sz="8" w:space="0" w:color="auto"/>
            </w:tcBorders>
            <w:shd w:val="clear" w:color="auto" w:fill="auto"/>
            <w:noWrap/>
            <w:vAlign w:val="bottom"/>
            <w:hideMark/>
          </w:tcPr>
          <w:p w14:paraId="206E3355" w14:textId="77777777" w:rsidR="008D2F6F" w:rsidRPr="007E1E36" w:rsidRDefault="008D2F6F" w:rsidP="004653E2">
            <w:pPr>
              <w:spacing w:after="0" w:line="240" w:lineRule="auto"/>
              <w:jc w:val="right"/>
              <w:rPr>
                <w:rFonts w:eastAsia="Times New Roman" w:cs="Calibri"/>
                <w:color w:val="000000"/>
                <w:sz w:val="20"/>
                <w:szCs w:val="20"/>
                <w:lang w:val="en-US"/>
              </w:rPr>
            </w:pPr>
            <w:r w:rsidRPr="007E1E36">
              <w:rPr>
                <w:rFonts w:eastAsia="Times New Roman" w:cs="Calibri"/>
                <w:color w:val="000000"/>
                <w:sz w:val="20"/>
                <w:szCs w:val="20"/>
                <w:lang w:val="en-US"/>
              </w:rPr>
              <w:t>-13,03%</w:t>
            </w:r>
          </w:p>
        </w:tc>
      </w:tr>
      <w:tr w:rsidR="008D2F6F" w:rsidRPr="007E1E36" w14:paraId="2BE23309" w14:textId="77777777" w:rsidTr="004653E2">
        <w:trPr>
          <w:trHeight w:val="300"/>
        </w:trPr>
        <w:tc>
          <w:tcPr>
            <w:tcW w:w="126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DCB3A31" w14:textId="77777777" w:rsidR="008D2F6F" w:rsidRPr="007E1E36" w:rsidRDefault="008D2F6F" w:rsidP="004653E2">
            <w:pPr>
              <w:spacing w:after="0" w:line="240" w:lineRule="auto"/>
              <w:jc w:val="left"/>
              <w:rPr>
                <w:rFonts w:ascii="Calibri" w:eastAsia="Times New Roman" w:hAnsi="Calibri" w:cs="Calibri"/>
                <w:color w:val="000000"/>
                <w:sz w:val="22"/>
                <w:lang w:val="en-US"/>
              </w:rPr>
            </w:pPr>
            <w:r w:rsidRPr="007E1E36">
              <w:rPr>
                <w:rFonts w:ascii="Calibri" w:eastAsia="Times New Roman" w:hAnsi="Calibri" w:cs="Calibri"/>
                <w:color w:val="000000"/>
                <w:sz w:val="22"/>
                <w:lang w:val="en-US"/>
              </w:rPr>
              <w:t> </w:t>
            </w:r>
          </w:p>
        </w:tc>
        <w:tc>
          <w:tcPr>
            <w:tcW w:w="3340" w:type="dxa"/>
            <w:tcBorders>
              <w:top w:val="single" w:sz="8" w:space="0" w:color="auto"/>
              <w:left w:val="nil"/>
              <w:bottom w:val="single" w:sz="8" w:space="0" w:color="auto"/>
              <w:right w:val="single" w:sz="8" w:space="0" w:color="auto"/>
            </w:tcBorders>
            <w:shd w:val="clear" w:color="auto" w:fill="auto"/>
            <w:noWrap/>
            <w:vAlign w:val="bottom"/>
            <w:hideMark/>
          </w:tcPr>
          <w:p w14:paraId="1884310F" w14:textId="77777777" w:rsidR="008D2F6F" w:rsidRPr="007E1E36" w:rsidRDefault="008D2F6F" w:rsidP="004653E2">
            <w:pPr>
              <w:spacing w:after="0" w:line="240" w:lineRule="auto"/>
              <w:jc w:val="left"/>
              <w:rPr>
                <w:rFonts w:eastAsia="Times New Roman" w:cs="Calibri"/>
                <w:b/>
                <w:bCs/>
                <w:color w:val="000000"/>
                <w:sz w:val="20"/>
                <w:szCs w:val="20"/>
                <w:lang w:val="en-US"/>
              </w:rPr>
            </w:pPr>
            <w:r w:rsidRPr="007E1E36">
              <w:rPr>
                <w:rFonts w:eastAsia="Times New Roman" w:cs="Calibri"/>
                <w:b/>
                <w:bCs/>
                <w:color w:val="000000"/>
                <w:sz w:val="20"/>
                <w:szCs w:val="20"/>
                <w:lang w:val="en-US"/>
              </w:rPr>
              <w:t>TOTALES</w:t>
            </w:r>
          </w:p>
        </w:tc>
        <w:tc>
          <w:tcPr>
            <w:tcW w:w="1055"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225ADC53" w14:textId="77777777" w:rsidR="008D2F6F" w:rsidRPr="007E1E36" w:rsidRDefault="008D2F6F" w:rsidP="004653E2">
            <w:pPr>
              <w:spacing w:after="0" w:line="240" w:lineRule="auto"/>
              <w:ind w:left="-40"/>
              <w:jc w:val="right"/>
              <w:rPr>
                <w:rFonts w:eastAsia="Times New Roman" w:cs="Calibri"/>
                <w:b/>
                <w:bCs/>
                <w:color w:val="000000"/>
                <w:sz w:val="20"/>
                <w:szCs w:val="20"/>
                <w:lang w:val="en-US"/>
              </w:rPr>
            </w:pPr>
            <w:r w:rsidRPr="007E1E36">
              <w:rPr>
                <w:rFonts w:ascii="Arial" w:eastAsia="Times New Roman" w:hAnsi="Arial" w:cs="Arial"/>
                <w:b/>
                <w:bCs/>
                <w:color w:val="000000"/>
                <w:sz w:val="20"/>
                <w:szCs w:val="20"/>
                <w:lang w:val="en-US"/>
              </w:rPr>
              <w:t>₡</w:t>
            </w:r>
            <w:r w:rsidRPr="007E1E36">
              <w:rPr>
                <w:rFonts w:eastAsia="Times New Roman" w:cs="Calibri"/>
                <w:b/>
                <w:bCs/>
                <w:color w:val="000000"/>
                <w:sz w:val="20"/>
                <w:szCs w:val="20"/>
                <w:lang w:val="en-US"/>
              </w:rPr>
              <w:t>39 365,96</w:t>
            </w:r>
          </w:p>
        </w:tc>
        <w:tc>
          <w:tcPr>
            <w:tcW w:w="1134"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12C327C2" w14:textId="77777777" w:rsidR="008D2F6F" w:rsidRPr="007E1E36" w:rsidRDefault="008D2F6F" w:rsidP="004653E2">
            <w:pPr>
              <w:spacing w:after="0" w:line="240" w:lineRule="auto"/>
              <w:jc w:val="right"/>
              <w:rPr>
                <w:rFonts w:eastAsia="Times New Roman" w:cs="Calibri"/>
                <w:b/>
                <w:bCs/>
                <w:color w:val="000000"/>
                <w:sz w:val="20"/>
                <w:szCs w:val="20"/>
                <w:lang w:val="en-US"/>
              </w:rPr>
            </w:pPr>
            <w:r w:rsidRPr="007E1E36">
              <w:rPr>
                <w:rFonts w:ascii="Arial" w:eastAsia="Times New Roman" w:hAnsi="Arial" w:cs="Arial"/>
                <w:b/>
                <w:bCs/>
                <w:color w:val="000000"/>
                <w:sz w:val="20"/>
                <w:szCs w:val="20"/>
                <w:lang w:val="en-US"/>
              </w:rPr>
              <w:t>₡</w:t>
            </w:r>
            <w:r w:rsidRPr="007E1E36">
              <w:rPr>
                <w:rFonts w:eastAsia="Times New Roman" w:cs="Calibri"/>
                <w:b/>
                <w:bCs/>
                <w:color w:val="000000"/>
                <w:sz w:val="20"/>
                <w:szCs w:val="20"/>
                <w:lang w:val="en-US"/>
              </w:rPr>
              <w:t>36 152,16</w:t>
            </w:r>
          </w:p>
        </w:tc>
        <w:tc>
          <w:tcPr>
            <w:tcW w:w="993"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63D8FB84" w14:textId="77777777" w:rsidR="008D2F6F" w:rsidRPr="007E1E36" w:rsidRDefault="008D2F6F" w:rsidP="004653E2">
            <w:pPr>
              <w:spacing w:after="0" w:line="240" w:lineRule="auto"/>
              <w:ind w:left="-107"/>
              <w:jc w:val="right"/>
              <w:rPr>
                <w:rFonts w:eastAsia="Times New Roman" w:cs="Calibri"/>
                <w:b/>
                <w:bCs/>
                <w:color w:val="000000"/>
                <w:sz w:val="20"/>
                <w:szCs w:val="20"/>
                <w:lang w:val="en-US"/>
              </w:rPr>
            </w:pPr>
            <w:r w:rsidRPr="007E1E36">
              <w:rPr>
                <w:rFonts w:ascii="Arial" w:eastAsia="Times New Roman" w:hAnsi="Arial" w:cs="Arial"/>
                <w:b/>
                <w:bCs/>
                <w:color w:val="000000"/>
                <w:sz w:val="20"/>
                <w:szCs w:val="20"/>
                <w:lang w:val="en-US"/>
              </w:rPr>
              <w:t>₡</w:t>
            </w:r>
            <w:r w:rsidRPr="007E1E36">
              <w:rPr>
                <w:rFonts w:eastAsia="Times New Roman" w:cs="Calibri"/>
                <w:b/>
                <w:bCs/>
                <w:color w:val="000000"/>
                <w:sz w:val="20"/>
                <w:szCs w:val="20"/>
                <w:lang w:val="en-US"/>
              </w:rPr>
              <w:t>3 213,79</w:t>
            </w:r>
          </w:p>
        </w:tc>
        <w:tc>
          <w:tcPr>
            <w:tcW w:w="955" w:type="dxa"/>
            <w:tcBorders>
              <w:top w:val="single" w:sz="8" w:space="0" w:color="auto"/>
              <w:left w:val="nil"/>
              <w:bottom w:val="single" w:sz="8" w:space="0" w:color="auto"/>
              <w:right w:val="single" w:sz="8" w:space="0" w:color="auto"/>
            </w:tcBorders>
            <w:shd w:val="clear" w:color="auto" w:fill="auto"/>
            <w:noWrap/>
            <w:vAlign w:val="bottom"/>
            <w:hideMark/>
          </w:tcPr>
          <w:p w14:paraId="1635E015" w14:textId="77777777" w:rsidR="008D2F6F" w:rsidRPr="007E1E36" w:rsidRDefault="008D2F6F" w:rsidP="004653E2">
            <w:pPr>
              <w:spacing w:after="0" w:line="240" w:lineRule="auto"/>
              <w:jc w:val="right"/>
              <w:rPr>
                <w:rFonts w:eastAsia="Times New Roman" w:cs="Calibri"/>
                <w:b/>
                <w:bCs/>
                <w:color w:val="000000"/>
                <w:sz w:val="20"/>
                <w:szCs w:val="20"/>
                <w:lang w:val="en-US"/>
              </w:rPr>
            </w:pPr>
            <w:r w:rsidRPr="007E1E36">
              <w:rPr>
                <w:rFonts w:eastAsia="Times New Roman" w:cs="Calibri"/>
                <w:b/>
                <w:bCs/>
                <w:color w:val="000000"/>
                <w:sz w:val="20"/>
                <w:szCs w:val="20"/>
                <w:lang w:val="en-US"/>
              </w:rPr>
              <w:t>8,89%</w:t>
            </w:r>
          </w:p>
        </w:tc>
      </w:tr>
    </w:tbl>
    <w:p w14:paraId="089EC6B7" w14:textId="77777777" w:rsidR="008D2F6F" w:rsidRDefault="008D2F6F" w:rsidP="008D2F6F">
      <w:pPr>
        <w:spacing w:after="0" w:line="240" w:lineRule="auto"/>
        <w:rPr>
          <w:szCs w:val="24"/>
        </w:rPr>
      </w:pPr>
    </w:p>
    <w:p w14:paraId="130900A5" w14:textId="36D89446" w:rsidR="00692DC8" w:rsidRDefault="00692DC8" w:rsidP="008D2F6F">
      <w:pPr>
        <w:spacing w:after="0" w:line="240" w:lineRule="auto"/>
        <w:rPr>
          <w:rFonts w:eastAsia="Calibri"/>
          <w:b/>
          <w:lang w:val="es-ES"/>
        </w:rPr>
      </w:pPr>
      <w:r w:rsidRPr="00846655">
        <w:rPr>
          <w:rFonts w:eastAsia="Calibri"/>
          <w:b/>
          <w:lang w:val="es-ES"/>
        </w:rPr>
        <w:t>Revelación:</w:t>
      </w:r>
    </w:p>
    <w:p w14:paraId="46AD0733" w14:textId="77777777" w:rsidR="008D2F6F" w:rsidRPr="00846655" w:rsidRDefault="008D2F6F" w:rsidP="008D2F6F">
      <w:pPr>
        <w:spacing w:after="0" w:line="240" w:lineRule="auto"/>
        <w:rPr>
          <w:rFonts w:eastAsia="Calibri"/>
          <w:b/>
          <w:lang w:val="es-ES"/>
        </w:rPr>
      </w:pPr>
    </w:p>
    <w:p w14:paraId="5B6A75BC" w14:textId="31DEE5C7" w:rsidR="00692DC8" w:rsidRDefault="00692DC8" w:rsidP="008475DF">
      <w:pPr>
        <w:spacing w:after="0" w:line="240" w:lineRule="auto"/>
        <w:rPr>
          <w:rFonts w:cs="Calibri"/>
          <w:color w:val="000000"/>
          <w:lang w:eastAsia="es-CR"/>
        </w:rPr>
      </w:pPr>
      <w:r w:rsidRPr="00692DC8">
        <w:rPr>
          <w:rFonts w:cs="Calibri"/>
          <w:color w:val="000000"/>
          <w:lang w:eastAsia="es-CR"/>
        </w:rPr>
        <w:t xml:space="preserve">La cuenta Transferencias a pagar a corto plazo, representa el </w:t>
      </w:r>
      <w:r w:rsidR="008475DF">
        <w:rPr>
          <w:rFonts w:cs="Calibri"/>
          <w:color w:val="000000"/>
          <w:lang w:eastAsia="es-CR"/>
        </w:rPr>
        <w:t>2,03</w:t>
      </w:r>
      <w:r w:rsidRPr="00692DC8">
        <w:rPr>
          <w:rFonts w:cs="Calibri"/>
          <w:color w:val="000000"/>
          <w:lang w:eastAsia="es-CR"/>
        </w:rPr>
        <w:t xml:space="preserve">% del total de Pasivo, que comparado al periodo anterior genera una variación absoluta de </w:t>
      </w:r>
      <w:r w:rsidR="008475DF">
        <w:rPr>
          <w:rFonts w:cs="Calibri"/>
          <w:color w:val="000000"/>
          <w:lang w:eastAsia="es-CR"/>
        </w:rPr>
        <w:t>3</w:t>
      </w:r>
      <w:r w:rsidR="008D76DB" w:rsidRPr="008D76DB">
        <w:rPr>
          <w:rFonts w:cs="Calibri"/>
          <w:color w:val="000000"/>
          <w:lang w:eastAsia="es-CR"/>
        </w:rPr>
        <w:t xml:space="preserve"> </w:t>
      </w:r>
      <w:r w:rsidR="008475DF">
        <w:rPr>
          <w:rFonts w:cs="Calibri"/>
          <w:color w:val="000000"/>
          <w:lang w:eastAsia="es-CR"/>
        </w:rPr>
        <w:t>21</w:t>
      </w:r>
      <w:r w:rsidR="008D76DB" w:rsidRPr="008D76DB">
        <w:rPr>
          <w:rFonts w:cs="Calibri"/>
          <w:color w:val="000000"/>
          <w:lang w:eastAsia="es-CR"/>
        </w:rPr>
        <w:t>3,</w:t>
      </w:r>
      <w:r w:rsidR="008475DF">
        <w:rPr>
          <w:rFonts w:cs="Calibri"/>
          <w:color w:val="000000"/>
          <w:lang w:eastAsia="es-CR"/>
        </w:rPr>
        <w:t>79</w:t>
      </w:r>
      <w:r w:rsidR="008D76DB" w:rsidRPr="008D76DB">
        <w:rPr>
          <w:rFonts w:cs="Calibri"/>
          <w:color w:val="000000"/>
          <w:lang w:eastAsia="es-CR"/>
        </w:rPr>
        <w:t xml:space="preserve"> </w:t>
      </w:r>
      <w:r w:rsidRPr="00692DC8">
        <w:rPr>
          <w:rFonts w:cs="Calibri"/>
          <w:color w:val="000000"/>
          <w:lang w:eastAsia="es-CR"/>
        </w:rPr>
        <w:t xml:space="preserve">que corresponde a un(a) Aumento del </w:t>
      </w:r>
      <w:r w:rsidR="007E1E36">
        <w:rPr>
          <w:rFonts w:cs="Calibri"/>
          <w:color w:val="000000"/>
          <w:lang w:eastAsia="es-CR"/>
        </w:rPr>
        <w:t>8</w:t>
      </w:r>
      <w:r w:rsidR="008D76DB">
        <w:rPr>
          <w:rFonts w:cs="Calibri"/>
          <w:color w:val="000000"/>
          <w:lang w:eastAsia="es-CR"/>
        </w:rPr>
        <w:t>,</w:t>
      </w:r>
      <w:r w:rsidR="007E1E36">
        <w:rPr>
          <w:rFonts w:cs="Calibri"/>
          <w:color w:val="000000"/>
          <w:lang w:eastAsia="es-CR"/>
        </w:rPr>
        <w:t>8</w:t>
      </w:r>
      <w:r w:rsidR="008D76DB">
        <w:rPr>
          <w:rFonts w:cs="Calibri"/>
          <w:color w:val="000000"/>
          <w:lang w:eastAsia="es-CR"/>
        </w:rPr>
        <w:t>9</w:t>
      </w:r>
      <w:r w:rsidRPr="00692DC8">
        <w:rPr>
          <w:rFonts w:cs="Calibri"/>
          <w:color w:val="000000"/>
          <w:lang w:eastAsia="es-CR"/>
        </w:rPr>
        <w:t xml:space="preserve"> % de recursos disponibles.</w:t>
      </w:r>
    </w:p>
    <w:p w14:paraId="70510294" w14:textId="77777777" w:rsidR="008475DF" w:rsidRPr="00692DC8" w:rsidRDefault="008475DF" w:rsidP="008475DF">
      <w:pPr>
        <w:spacing w:after="0" w:line="240" w:lineRule="auto"/>
        <w:rPr>
          <w:rFonts w:cs="Calibri"/>
          <w:color w:val="000000"/>
          <w:lang w:eastAsia="es-CR"/>
        </w:rPr>
      </w:pPr>
    </w:p>
    <w:p w14:paraId="1E338531" w14:textId="069DB820" w:rsidR="00692DC8" w:rsidRPr="00692DC8" w:rsidRDefault="00692DC8" w:rsidP="00846655">
      <w:pPr>
        <w:rPr>
          <w:rFonts w:eastAsiaTheme="minorEastAsia" w:cs="Arial Narrow"/>
          <w:color w:val="000000"/>
          <w:lang w:eastAsia="es-CR"/>
        </w:rPr>
      </w:pPr>
      <w:r w:rsidRPr="00692DC8">
        <w:rPr>
          <w:rFonts w:eastAsia="Calibri"/>
          <w:highlight w:val="lightGray"/>
        </w:rPr>
        <w:t>Las variaciones de la cuenta son producto de (Indicar la razón de las variaciones de un periodo a otro):</w:t>
      </w:r>
      <w:r w:rsidRPr="00692DC8">
        <w:rPr>
          <w:rFonts w:eastAsia="Calibri"/>
        </w:rPr>
        <w:t xml:space="preserve"> </w:t>
      </w:r>
    </w:p>
    <w:p w14:paraId="5EDB1203" w14:textId="2440B00E" w:rsidR="00692DC8" w:rsidRDefault="008D76DB" w:rsidP="008D76DB">
      <w:pPr>
        <w:spacing w:line="240" w:lineRule="auto"/>
        <w:rPr>
          <w:rFonts w:eastAsia="Calibri"/>
          <w:iCs/>
        </w:rPr>
      </w:pPr>
      <w:r>
        <w:rPr>
          <w:rFonts w:eastAsia="Calibri"/>
          <w:iCs/>
        </w:rPr>
        <w:t xml:space="preserve">Fundamentalmente por el aumento en las transferencias a las Juntas de Educación como se puede observar </w:t>
      </w:r>
      <w:r w:rsidRPr="008D76DB">
        <w:rPr>
          <w:rFonts w:eastAsia="Calibri"/>
          <w:iCs/>
        </w:rPr>
        <w:t>en el siguiente cuadro:</w:t>
      </w:r>
    </w:p>
    <w:tbl>
      <w:tblPr>
        <w:tblW w:w="9167" w:type="dxa"/>
        <w:tblLook w:val="04A0" w:firstRow="1" w:lastRow="0" w:firstColumn="1" w:lastColumn="0" w:noHBand="0" w:noVBand="1"/>
      </w:tblPr>
      <w:tblGrid>
        <w:gridCol w:w="818"/>
        <w:gridCol w:w="3992"/>
        <w:gridCol w:w="1134"/>
        <w:gridCol w:w="1120"/>
        <w:gridCol w:w="1148"/>
        <w:gridCol w:w="955"/>
      </w:tblGrid>
      <w:tr w:rsidR="008D2F6F" w:rsidRPr="008D2F6F" w14:paraId="0C1496FA" w14:textId="77777777" w:rsidTr="008D2F6F">
        <w:trPr>
          <w:trHeight w:val="530"/>
        </w:trPr>
        <w:tc>
          <w:tcPr>
            <w:tcW w:w="818" w:type="dxa"/>
            <w:tcBorders>
              <w:top w:val="single" w:sz="8" w:space="0" w:color="auto"/>
              <w:left w:val="single" w:sz="8" w:space="0" w:color="auto"/>
              <w:bottom w:val="single" w:sz="8" w:space="0" w:color="auto"/>
              <w:right w:val="single" w:sz="12" w:space="0" w:color="auto"/>
            </w:tcBorders>
            <w:shd w:val="clear" w:color="000000" w:fill="002060"/>
            <w:noWrap/>
            <w:vAlign w:val="center"/>
            <w:hideMark/>
          </w:tcPr>
          <w:p w14:paraId="0C06BA75" w14:textId="77777777" w:rsidR="008D2F6F" w:rsidRPr="008D2F6F" w:rsidRDefault="008D2F6F" w:rsidP="008D2F6F">
            <w:pPr>
              <w:spacing w:after="0" w:line="240" w:lineRule="auto"/>
              <w:jc w:val="center"/>
              <w:rPr>
                <w:rFonts w:eastAsia="Times New Roman" w:cs="Calibri"/>
                <w:b/>
                <w:bCs/>
                <w:color w:val="FFFFFF"/>
                <w:sz w:val="20"/>
                <w:szCs w:val="20"/>
                <w:lang w:val="en-US"/>
              </w:rPr>
            </w:pPr>
            <w:r w:rsidRPr="008D2F6F">
              <w:rPr>
                <w:rFonts w:eastAsia="Times New Roman" w:cs="Calibri"/>
                <w:b/>
                <w:bCs/>
                <w:color w:val="FFFFFF"/>
                <w:sz w:val="20"/>
                <w:szCs w:val="20"/>
                <w:lang w:val="en-US"/>
              </w:rPr>
              <w:t>Entidad</w:t>
            </w:r>
          </w:p>
        </w:tc>
        <w:tc>
          <w:tcPr>
            <w:tcW w:w="3992" w:type="dxa"/>
            <w:tcBorders>
              <w:top w:val="single" w:sz="8" w:space="0" w:color="auto"/>
              <w:left w:val="nil"/>
              <w:bottom w:val="single" w:sz="8" w:space="0" w:color="auto"/>
              <w:right w:val="single" w:sz="12" w:space="0" w:color="auto"/>
            </w:tcBorders>
            <w:shd w:val="clear" w:color="000000" w:fill="002060"/>
            <w:noWrap/>
            <w:vAlign w:val="center"/>
            <w:hideMark/>
          </w:tcPr>
          <w:p w14:paraId="792BDBEA" w14:textId="77777777" w:rsidR="008D2F6F" w:rsidRPr="008D2F6F" w:rsidRDefault="008D2F6F" w:rsidP="008D2F6F">
            <w:pPr>
              <w:spacing w:after="0" w:line="240" w:lineRule="auto"/>
              <w:jc w:val="center"/>
              <w:rPr>
                <w:rFonts w:eastAsia="Times New Roman" w:cs="Calibri"/>
                <w:b/>
                <w:bCs/>
                <w:color w:val="FFFFFF"/>
                <w:sz w:val="20"/>
                <w:szCs w:val="20"/>
                <w:lang w:val="en-US"/>
              </w:rPr>
            </w:pPr>
            <w:r w:rsidRPr="008D2F6F">
              <w:rPr>
                <w:rFonts w:eastAsia="Times New Roman" w:cs="Calibri"/>
                <w:b/>
                <w:bCs/>
                <w:color w:val="FFFFFF"/>
                <w:sz w:val="20"/>
                <w:szCs w:val="20"/>
                <w:lang w:val="en-US"/>
              </w:rPr>
              <w:t>Descripción</w:t>
            </w:r>
          </w:p>
        </w:tc>
        <w:tc>
          <w:tcPr>
            <w:tcW w:w="1134" w:type="dxa"/>
            <w:tcBorders>
              <w:top w:val="single" w:sz="8" w:space="0" w:color="auto"/>
              <w:left w:val="nil"/>
              <w:bottom w:val="single" w:sz="8" w:space="0" w:color="auto"/>
              <w:right w:val="single" w:sz="12" w:space="0" w:color="auto"/>
            </w:tcBorders>
            <w:shd w:val="clear" w:color="000000" w:fill="002060"/>
            <w:vAlign w:val="center"/>
            <w:hideMark/>
          </w:tcPr>
          <w:p w14:paraId="22A08FCE" w14:textId="77777777" w:rsidR="008D2F6F" w:rsidRPr="008D2F6F" w:rsidRDefault="008D2F6F" w:rsidP="008D2F6F">
            <w:pPr>
              <w:spacing w:after="0" w:line="240" w:lineRule="auto"/>
              <w:jc w:val="center"/>
              <w:rPr>
                <w:rFonts w:eastAsia="Times New Roman" w:cs="Calibri"/>
                <w:b/>
                <w:bCs/>
                <w:color w:val="FFFFFF"/>
                <w:sz w:val="20"/>
                <w:szCs w:val="20"/>
                <w:lang w:val="en-US"/>
              </w:rPr>
            </w:pPr>
            <w:r w:rsidRPr="008D2F6F">
              <w:rPr>
                <w:rFonts w:eastAsia="Times New Roman" w:cs="Calibri"/>
                <w:b/>
                <w:bCs/>
                <w:color w:val="FFFFFF"/>
                <w:sz w:val="20"/>
                <w:szCs w:val="20"/>
                <w:lang w:val="en-US"/>
              </w:rPr>
              <w:t>Saldo Año Actual</w:t>
            </w:r>
          </w:p>
        </w:tc>
        <w:tc>
          <w:tcPr>
            <w:tcW w:w="1120" w:type="dxa"/>
            <w:tcBorders>
              <w:top w:val="single" w:sz="8" w:space="0" w:color="auto"/>
              <w:left w:val="nil"/>
              <w:bottom w:val="single" w:sz="8" w:space="0" w:color="auto"/>
              <w:right w:val="single" w:sz="12" w:space="0" w:color="auto"/>
            </w:tcBorders>
            <w:shd w:val="clear" w:color="000000" w:fill="002060"/>
            <w:vAlign w:val="center"/>
            <w:hideMark/>
          </w:tcPr>
          <w:p w14:paraId="04B9859E" w14:textId="77777777" w:rsidR="008D2F6F" w:rsidRPr="008D2F6F" w:rsidRDefault="008D2F6F" w:rsidP="008D2F6F">
            <w:pPr>
              <w:spacing w:after="0" w:line="240" w:lineRule="auto"/>
              <w:jc w:val="center"/>
              <w:rPr>
                <w:rFonts w:eastAsia="Times New Roman" w:cs="Calibri"/>
                <w:b/>
                <w:bCs/>
                <w:color w:val="FFFFFF"/>
                <w:sz w:val="20"/>
                <w:szCs w:val="20"/>
                <w:lang w:val="en-US"/>
              </w:rPr>
            </w:pPr>
            <w:r w:rsidRPr="008D2F6F">
              <w:rPr>
                <w:rFonts w:eastAsia="Times New Roman" w:cs="Calibri"/>
                <w:b/>
                <w:bCs/>
                <w:color w:val="FFFFFF"/>
                <w:sz w:val="20"/>
                <w:szCs w:val="20"/>
                <w:lang w:val="en-US"/>
              </w:rPr>
              <w:t>Saldo Año Anterior</w:t>
            </w:r>
          </w:p>
        </w:tc>
        <w:tc>
          <w:tcPr>
            <w:tcW w:w="1148" w:type="dxa"/>
            <w:tcBorders>
              <w:top w:val="single" w:sz="8" w:space="0" w:color="auto"/>
              <w:left w:val="nil"/>
              <w:bottom w:val="single" w:sz="8" w:space="0" w:color="auto"/>
              <w:right w:val="single" w:sz="12" w:space="0" w:color="auto"/>
            </w:tcBorders>
            <w:shd w:val="clear" w:color="000000" w:fill="002060"/>
            <w:vAlign w:val="center"/>
            <w:hideMark/>
          </w:tcPr>
          <w:p w14:paraId="5C479F37" w14:textId="77777777" w:rsidR="008D2F6F" w:rsidRPr="008D2F6F" w:rsidRDefault="008D2F6F" w:rsidP="008D2F6F">
            <w:pPr>
              <w:spacing w:after="0" w:line="240" w:lineRule="auto"/>
              <w:jc w:val="center"/>
              <w:rPr>
                <w:rFonts w:eastAsia="Times New Roman" w:cs="Calibri"/>
                <w:b/>
                <w:bCs/>
                <w:color w:val="FFFFFF"/>
                <w:sz w:val="20"/>
                <w:szCs w:val="20"/>
                <w:lang w:val="en-US"/>
              </w:rPr>
            </w:pPr>
            <w:r w:rsidRPr="008D2F6F">
              <w:rPr>
                <w:rFonts w:eastAsia="Times New Roman" w:cs="Calibri"/>
                <w:b/>
                <w:bCs/>
                <w:color w:val="FFFFFF"/>
                <w:sz w:val="20"/>
                <w:szCs w:val="20"/>
                <w:lang w:val="en-US"/>
              </w:rPr>
              <w:t>Variación Absoluta</w:t>
            </w:r>
          </w:p>
        </w:tc>
        <w:tc>
          <w:tcPr>
            <w:tcW w:w="955" w:type="dxa"/>
            <w:tcBorders>
              <w:top w:val="single" w:sz="8" w:space="0" w:color="auto"/>
              <w:left w:val="nil"/>
              <w:bottom w:val="single" w:sz="8" w:space="0" w:color="auto"/>
              <w:right w:val="single" w:sz="8" w:space="0" w:color="auto"/>
            </w:tcBorders>
            <w:shd w:val="clear" w:color="000000" w:fill="002060"/>
            <w:vAlign w:val="center"/>
            <w:hideMark/>
          </w:tcPr>
          <w:p w14:paraId="42B3F040" w14:textId="77777777" w:rsidR="008D2F6F" w:rsidRPr="008D2F6F" w:rsidRDefault="008D2F6F" w:rsidP="008D2F6F">
            <w:pPr>
              <w:spacing w:after="0" w:line="240" w:lineRule="auto"/>
              <w:jc w:val="center"/>
              <w:rPr>
                <w:rFonts w:eastAsia="Times New Roman" w:cs="Calibri"/>
                <w:b/>
                <w:bCs/>
                <w:color w:val="FFFFFF"/>
                <w:sz w:val="20"/>
                <w:szCs w:val="20"/>
                <w:lang w:val="en-US"/>
              </w:rPr>
            </w:pPr>
            <w:r w:rsidRPr="008D2F6F">
              <w:rPr>
                <w:rFonts w:eastAsia="Times New Roman" w:cs="Calibri"/>
                <w:b/>
                <w:bCs/>
                <w:color w:val="FFFFFF"/>
                <w:sz w:val="20"/>
                <w:szCs w:val="20"/>
                <w:lang w:val="en-US"/>
              </w:rPr>
              <w:t>Variación %</w:t>
            </w:r>
          </w:p>
        </w:tc>
      </w:tr>
      <w:tr w:rsidR="008D2F6F" w:rsidRPr="008D2F6F" w14:paraId="5A934CAC" w14:textId="77777777" w:rsidTr="008D2F6F">
        <w:trPr>
          <w:trHeight w:val="290"/>
        </w:trPr>
        <w:tc>
          <w:tcPr>
            <w:tcW w:w="818" w:type="dxa"/>
            <w:tcBorders>
              <w:top w:val="nil"/>
              <w:left w:val="single" w:sz="8" w:space="0" w:color="auto"/>
              <w:bottom w:val="nil"/>
              <w:right w:val="single" w:sz="8" w:space="0" w:color="auto"/>
            </w:tcBorders>
            <w:shd w:val="clear" w:color="auto" w:fill="auto"/>
            <w:noWrap/>
            <w:vAlign w:val="bottom"/>
            <w:hideMark/>
          </w:tcPr>
          <w:p w14:paraId="0CF0B27D" w14:textId="77777777" w:rsidR="008D2F6F" w:rsidRPr="008D2F6F" w:rsidRDefault="008D2F6F" w:rsidP="008D2F6F">
            <w:pPr>
              <w:spacing w:after="0" w:line="240" w:lineRule="auto"/>
              <w:jc w:val="center"/>
              <w:rPr>
                <w:rFonts w:eastAsia="Times New Roman" w:cs="Calibri"/>
                <w:b/>
                <w:bCs/>
                <w:color w:val="000000"/>
                <w:sz w:val="20"/>
                <w:szCs w:val="20"/>
                <w:lang w:val="en-US"/>
              </w:rPr>
            </w:pPr>
            <w:r w:rsidRPr="008D2F6F">
              <w:rPr>
                <w:rFonts w:eastAsia="Times New Roman" w:cs="Calibri"/>
                <w:b/>
                <w:bCs/>
                <w:color w:val="000000"/>
                <w:sz w:val="20"/>
                <w:szCs w:val="20"/>
                <w:lang w:val="en-US"/>
              </w:rPr>
              <w:t> </w:t>
            </w:r>
          </w:p>
        </w:tc>
        <w:tc>
          <w:tcPr>
            <w:tcW w:w="3992" w:type="dxa"/>
            <w:tcBorders>
              <w:top w:val="nil"/>
              <w:left w:val="nil"/>
              <w:bottom w:val="nil"/>
              <w:right w:val="single" w:sz="8" w:space="0" w:color="auto"/>
            </w:tcBorders>
            <w:shd w:val="clear" w:color="auto" w:fill="auto"/>
            <w:vAlign w:val="center"/>
            <w:hideMark/>
          </w:tcPr>
          <w:p w14:paraId="08FC2BB2" w14:textId="77777777" w:rsidR="008D2F6F" w:rsidRPr="008D2F6F" w:rsidRDefault="008D2F6F" w:rsidP="008D2F6F">
            <w:pPr>
              <w:spacing w:after="120" w:line="240" w:lineRule="auto"/>
              <w:jc w:val="left"/>
              <w:rPr>
                <w:rFonts w:eastAsia="Times New Roman" w:cs="Calibri"/>
                <w:b/>
                <w:bCs/>
                <w:color w:val="000000"/>
                <w:sz w:val="20"/>
                <w:szCs w:val="20"/>
              </w:rPr>
            </w:pPr>
            <w:r w:rsidRPr="008D2F6F">
              <w:rPr>
                <w:rFonts w:eastAsia="Times New Roman" w:cs="Calibri"/>
                <w:b/>
                <w:bCs/>
                <w:color w:val="000000"/>
                <w:sz w:val="20"/>
                <w:szCs w:val="20"/>
              </w:rPr>
              <w:t>Transferencias al sector público interno a pagar c/p</w:t>
            </w:r>
          </w:p>
        </w:tc>
        <w:tc>
          <w:tcPr>
            <w:tcW w:w="1134" w:type="dxa"/>
            <w:tcBorders>
              <w:top w:val="nil"/>
              <w:left w:val="nil"/>
              <w:bottom w:val="nil"/>
              <w:right w:val="single" w:sz="8" w:space="0" w:color="auto"/>
            </w:tcBorders>
            <w:shd w:val="clear" w:color="000000" w:fill="FFFFFF"/>
            <w:noWrap/>
            <w:vAlign w:val="bottom"/>
            <w:hideMark/>
          </w:tcPr>
          <w:p w14:paraId="4D250DAD" w14:textId="77777777" w:rsidR="008D2F6F" w:rsidRPr="008D2F6F" w:rsidRDefault="008D2F6F" w:rsidP="008D2F6F">
            <w:pPr>
              <w:spacing w:after="0" w:line="240" w:lineRule="auto"/>
              <w:jc w:val="left"/>
              <w:rPr>
                <w:rFonts w:eastAsia="Times New Roman" w:cs="Calibri"/>
                <w:color w:val="000000"/>
                <w:sz w:val="20"/>
                <w:szCs w:val="20"/>
              </w:rPr>
            </w:pPr>
            <w:r w:rsidRPr="008D2F6F">
              <w:rPr>
                <w:rFonts w:eastAsia="Times New Roman" w:cs="Calibri"/>
                <w:color w:val="000000"/>
                <w:sz w:val="20"/>
                <w:szCs w:val="20"/>
              </w:rPr>
              <w:t> </w:t>
            </w:r>
          </w:p>
        </w:tc>
        <w:tc>
          <w:tcPr>
            <w:tcW w:w="1120" w:type="dxa"/>
            <w:tcBorders>
              <w:top w:val="nil"/>
              <w:left w:val="nil"/>
              <w:bottom w:val="nil"/>
              <w:right w:val="single" w:sz="8" w:space="0" w:color="auto"/>
            </w:tcBorders>
            <w:shd w:val="clear" w:color="000000" w:fill="FFFFFF"/>
            <w:noWrap/>
            <w:vAlign w:val="bottom"/>
            <w:hideMark/>
          </w:tcPr>
          <w:p w14:paraId="218A80AA" w14:textId="77777777" w:rsidR="008D2F6F" w:rsidRPr="008D2F6F" w:rsidRDefault="008D2F6F" w:rsidP="008D2F6F">
            <w:pPr>
              <w:spacing w:after="0" w:line="240" w:lineRule="auto"/>
              <w:jc w:val="left"/>
              <w:rPr>
                <w:rFonts w:eastAsia="Times New Roman" w:cs="Calibri"/>
                <w:color w:val="000000"/>
                <w:sz w:val="20"/>
                <w:szCs w:val="20"/>
              </w:rPr>
            </w:pPr>
            <w:r w:rsidRPr="008D2F6F">
              <w:rPr>
                <w:rFonts w:eastAsia="Times New Roman" w:cs="Calibri"/>
                <w:color w:val="000000"/>
                <w:sz w:val="20"/>
                <w:szCs w:val="20"/>
              </w:rPr>
              <w:t> </w:t>
            </w:r>
          </w:p>
        </w:tc>
        <w:tc>
          <w:tcPr>
            <w:tcW w:w="1148" w:type="dxa"/>
            <w:tcBorders>
              <w:top w:val="nil"/>
              <w:left w:val="nil"/>
              <w:bottom w:val="nil"/>
              <w:right w:val="single" w:sz="8" w:space="0" w:color="auto"/>
            </w:tcBorders>
            <w:shd w:val="clear" w:color="auto" w:fill="auto"/>
            <w:noWrap/>
            <w:vAlign w:val="bottom"/>
            <w:hideMark/>
          </w:tcPr>
          <w:p w14:paraId="5976B2ED" w14:textId="77777777" w:rsidR="008D2F6F" w:rsidRPr="008D2F6F" w:rsidRDefault="008D2F6F" w:rsidP="008D2F6F">
            <w:pPr>
              <w:spacing w:after="0" w:line="240" w:lineRule="auto"/>
              <w:jc w:val="left"/>
              <w:rPr>
                <w:rFonts w:eastAsia="Times New Roman" w:cs="Calibri"/>
                <w:color w:val="000000"/>
                <w:sz w:val="20"/>
                <w:szCs w:val="20"/>
              </w:rPr>
            </w:pPr>
            <w:r w:rsidRPr="008D2F6F">
              <w:rPr>
                <w:rFonts w:eastAsia="Times New Roman" w:cs="Calibri"/>
                <w:color w:val="000000"/>
                <w:sz w:val="20"/>
                <w:szCs w:val="20"/>
              </w:rPr>
              <w:t> </w:t>
            </w:r>
          </w:p>
        </w:tc>
        <w:tc>
          <w:tcPr>
            <w:tcW w:w="955" w:type="dxa"/>
            <w:tcBorders>
              <w:top w:val="nil"/>
              <w:left w:val="nil"/>
              <w:bottom w:val="nil"/>
              <w:right w:val="single" w:sz="8" w:space="0" w:color="auto"/>
            </w:tcBorders>
            <w:shd w:val="clear" w:color="auto" w:fill="auto"/>
            <w:noWrap/>
            <w:vAlign w:val="bottom"/>
            <w:hideMark/>
          </w:tcPr>
          <w:p w14:paraId="39BB1EA4" w14:textId="77777777" w:rsidR="008D2F6F" w:rsidRPr="008D2F6F" w:rsidRDefault="008D2F6F" w:rsidP="008D2F6F">
            <w:pPr>
              <w:spacing w:after="0" w:line="240" w:lineRule="auto"/>
              <w:jc w:val="left"/>
              <w:rPr>
                <w:rFonts w:eastAsia="Times New Roman" w:cs="Calibri"/>
                <w:color w:val="000000"/>
                <w:sz w:val="20"/>
                <w:szCs w:val="20"/>
              </w:rPr>
            </w:pPr>
            <w:r w:rsidRPr="008D2F6F">
              <w:rPr>
                <w:rFonts w:eastAsia="Times New Roman" w:cs="Calibri"/>
                <w:color w:val="000000"/>
                <w:sz w:val="20"/>
                <w:szCs w:val="20"/>
              </w:rPr>
              <w:t xml:space="preserve"> </w:t>
            </w:r>
          </w:p>
        </w:tc>
      </w:tr>
      <w:tr w:rsidR="008D2F6F" w:rsidRPr="008D2F6F" w14:paraId="33C13F1B" w14:textId="77777777" w:rsidTr="008D2F6F">
        <w:trPr>
          <w:trHeight w:val="290"/>
        </w:trPr>
        <w:tc>
          <w:tcPr>
            <w:tcW w:w="818" w:type="dxa"/>
            <w:tcBorders>
              <w:top w:val="nil"/>
              <w:left w:val="single" w:sz="8" w:space="0" w:color="auto"/>
              <w:bottom w:val="nil"/>
              <w:right w:val="single" w:sz="8" w:space="0" w:color="auto"/>
            </w:tcBorders>
            <w:shd w:val="clear" w:color="auto" w:fill="auto"/>
            <w:noWrap/>
            <w:vAlign w:val="bottom"/>
            <w:hideMark/>
          </w:tcPr>
          <w:p w14:paraId="5FF14D2E" w14:textId="77777777" w:rsidR="008D2F6F" w:rsidRPr="008D2F6F" w:rsidRDefault="008D2F6F" w:rsidP="008D2F6F">
            <w:pPr>
              <w:spacing w:after="0" w:line="240" w:lineRule="auto"/>
              <w:jc w:val="center"/>
              <w:rPr>
                <w:rFonts w:eastAsia="Times New Roman" w:cs="Calibri"/>
                <w:b/>
                <w:bCs/>
                <w:color w:val="000000"/>
                <w:sz w:val="20"/>
                <w:szCs w:val="20"/>
                <w:lang w:val="en-US"/>
              </w:rPr>
            </w:pPr>
            <w:r w:rsidRPr="008D2F6F">
              <w:rPr>
                <w:rFonts w:eastAsia="Times New Roman" w:cs="Calibri"/>
                <w:b/>
                <w:bCs/>
                <w:color w:val="000000"/>
                <w:sz w:val="20"/>
                <w:szCs w:val="20"/>
                <w:lang w:val="en-US"/>
              </w:rPr>
              <w:t>11206</w:t>
            </w:r>
          </w:p>
        </w:tc>
        <w:tc>
          <w:tcPr>
            <w:tcW w:w="3992" w:type="dxa"/>
            <w:tcBorders>
              <w:top w:val="nil"/>
              <w:left w:val="nil"/>
              <w:bottom w:val="nil"/>
              <w:right w:val="single" w:sz="8" w:space="0" w:color="auto"/>
            </w:tcBorders>
            <w:shd w:val="clear" w:color="auto" w:fill="auto"/>
            <w:vAlign w:val="center"/>
            <w:hideMark/>
          </w:tcPr>
          <w:p w14:paraId="472AD0BA" w14:textId="77777777" w:rsidR="008D2F6F" w:rsidRPr="008D2F6F" w:rsidRDefault="008D2F6F" w:rsidP="008D2F6F">
            <w:pPr>
              <w:spacing w:after="60" w:line="240" w:lineRule="auto"/>
              <w:jc w:val="left"/>
              <w:rPr>
                <w:rFonts w:eastAsia="Times New Roman" w:cs="Calibri"/>
                <w:color w:val="000000"/>
                <w:sz w:val="20"/>
                <w:szCs w:val="20"/>
                <w:lang w:val="en-US"/>
              </w:rPr>
            </w:pPr>
            <w:r w:rsidRPr="008D2F6F">
              <w:rPr>
                <w:rFonts w:eastAsia="Times New Roman" w:cs="Calibri"/>
                <w:color w:val="000000"/>
                <w:sz w:val="20"/>
                <w:szCs w:val="20"/>
                <w:lang w:val="en-US"/>
              </w:rPr>
              <w:t>Ministerio de Hacienda (MHD) </w:t>
            </w:r>
          </w:p>
        </w:tc>
        <w:tc>
          <w:tcPr>
            <w:tcW w:w="1134" w:type="dxa"/>
            <w:tcBorders>
              <w:top w:val="nil"/>
              <w:left w:val="nil"/>
              <w:bottom w:val="nil"/>
              <w:right w:val="single" w:sz="8" w:space="0" w:color="auto"/>
            </w:tcBorders>
            <w:shd w:val="clear" w:color="auto" w:fill="auto"/>
            <w:noWrap/>
            <w:vAlign w:val="bottom"/>
            <w:hideMark/>
          </w:tcPr>
          <w:p w14:paraId="50964271" w14:textId="77777777" w:rsidR="008D2F6F" w:rsidRPr="008D2F6F" w:rsidRDefault="008D2F6F" w:rsidP="008D2F6F">
            <w:pPr>
              <w:spacing w:after="0" w:line="240" w:lineRule="auto"/>
              <w:jc w:val="right"/>
              <w:rPr>
                <w:rFonts w:eastAsia="Times New Roman" w:cs="Calibri"/>
                <w:color w:val="000000"/>
                <w:sz w:val="20"/>
                <w:szCs w:val="20"/>
                <w:lang w:val="en-US"/>
              </w:rPr>
            </w:pPr>
            <w:r w:rsidRPr="008D2F6F">
              <w:rPr>
                <w:rFonts w:ascii="Arial" w:eastAsia="Times New Roman" w:hAnsi="Arial" w:cs="Arial"/>
                <w:color w:val="000000"/>
                <w:sz w:val="20"/>
                <w:szCs w:val="20"/>
                <w:lang w:val="en-US"/>
              </w:rPr>
              <w:t>₡</w:t>
            </w:r>
            <w:r w:rsidRPr="008D2F6F">
              <w:rPr>
                <w:rFonts w:eastAsia="Times New Roman" w:cs="Calibri"/>
                <w:color w:val="000000"/>
                <w:sz w:val="20"/>
                <w:szCs w:val="20"/>
                <w:lang w:val="en-US"/>
              </w:rPr>
              <w:t>648,32</w:t>
            </w:r>
          </w:p>
        </w:tc>
        <w:tc>
          <w:tcPr>
            <w:tcW w:w="1120" w:type="dxa"/>
            <w:tcBorders>
              <w:top w:val="nil"/>
              <w:left w:val="nil"/>
              <w:bottom w:val="nil"/>
              <w:right w:val="single" w:sz="8" w:space="0" w:color="auto"/>
            </w:tcBorders>
            <w:shd w:val="clear" w:color="auto" w:fill="auto"/>
            <w:noWrap/>
            <w:vAlign w:val="bottom"/>
            <w:hideMark/>
          </w:tcPr>
          <w:p w14:paraId="2F7FBED8" w14:textId="77777777" w:rsidR="008D2F6F" w:rsidRPr="008D2F6F" w:rsidRDefault="008D2F6F" w:rsidP="008D2F6F">
            <w:pPr>
              <w:spacing w:after="0" w:line="240" w:lineRule="auto"/>
              <w:jc w:val="right"/>
              <w:rPr>
                <w:rFonts w:eastAsia="Times New Roman" w:cs="Calibri"/>
                <w:color w:val="000000"/>
                <w:sz w:val="20"/>
                <w:szCs w:val="20"/>
                <w:lang w:val="en-US"/>
              </w:rPr>
            </w:pPr>
            <w:r w:rsidRPr="008D2F6F">
              <w:rPr>
                <w:rFonts w:ascii="Arial" w:eastAsia="Times New Roman" w:hAnsi="Arial" w:cs="Arial"/>
                <w:color w:val="000000"/>
                <w:sz w:val="20"/>
                <w:szCs w:val="20"/>
                <w:lang w:val="en-US"/>
              </w:rPr>
              <w:t>₡</w:t>
            </w:r>
            <w:r w:rsidRPr="008D2F6F">
              <w:rPr>
                <w:rFonts w:eastAsia="Times New Roman" w:cs="Calibri"/>
                <w:color w:val="000000"/>
                <w:sz w:val="20"/>
                <w:szCs w:val="20"/>
                <w:lang w:val="en-US"/>
              </w:rPr>
              <w:t>637,89</w:t>
            </w:r>
          </w:p>
        </w:tc>
        <w:tc>
          <w:tcPr>
            <w:tcW w:w="1148" w:type="dxa"/>
            <w:tcBorders>
              <w:top w:val="nil"/>
              <w:left w:val="nil"/>
              <w:bottom w:val="nil"/>
              <w:right w:val="single" w:sz="8" w:space="0" w:color="auto"/>
            </w:tcBorders>
            <w:shd w:val="clear" w:color="auto" w:fill="auto"/>
            <w:noWrap/>
            <w:vAlign w:val="bottom"/>
            <w:hideMark/>
          </w:tcPr>
          <w:p w14:paraId="52C93D7C" w14:textId="77777777" w:rsidR="008D2F6F" w:rsidRPr="008D2F6F" w:rsidRDefault="008D2F6F" w:rsidP="008D2F6F">
            <w:pPr>
              <w:spacing w:after="0" w:line="240" w:lineRule="auto"/>
              <w:jc w:val="right"/>
              <w:rPr>
                <w:rFonts w:eastAsia="Times New Roman" w:cs="Calibri"/>
                <w:color w:val="000000"/>
                <w:sz w:val="20"/>
                <w:szCs w:val="20"/>
                <w:lang w:val="en-US"/>
              </w:rPr>
            </w:pPr>
            <w:r w:rsidRPr="008D2F6F">
              <w:rPr>
                <w:rFonts w:ascii="Arial" w:eastAsia="Times New Roman" w:hAnsi="Arial" w:cs="Arial"/>
                <w:color w:val="000000"/>
                <w:sz w:val="20"/>
                <w:szCs w:val="20"/>
                <w:lang w:val="en-US"/>
              </w:rPr>
              <w:t>₡</w:t>
            </w:r>
            <w:r w:rsidRPr="008D2F6F">
              <w:rPr>
                <w:rFonts w:eastAsia="Times New Roman" w:cs="Calibri"/>
                <w:color w:val="000000"/>
                <w:sz w:val="20"/>
                <w:szCs w:val="20"/>
                <w:lang w:val="en-US"/>
              </w:rPr>
              <w:t>10,44</w:t>
            </w:r>
          </w:p>
        </w:tc>
        <w:tc>
          <w:tcPr>
            <w:tcW w:w="955" w:type="dxa"/>
            <w:tcBorders>
              <w:top w:val="nil"/>
              <w:left w:val="nil"/>
              <w:bottom w:val="nil"/>
              <w:right w:val="single" w:sz="8" w:space="0" w:color="auto"/>
            </w:tcBorders>
            <w:shd w:val="clear" w:color="auto" w:fill="auto"/>
            <w:noWrap/>
            <w:vAlign w:val="bottom"/>
            <w:hideMark/>
          </w:tcPr>
          <w:p w14:paraId="0D488FCC" w14:textId="77777777" w:rsidR="008D2F6F" w:rsidRPr="008D2F6F" w:rsidRDefault="008D2F6F" w:rsidP="008D2F6F">
            <w:pPr>
              <w:spacing w:after="0" w:line="240" w:lineRule="auto"/>
              <w:jc w:val="right"/>
              <w:rPr>
                <w:rFonts w:eastAsia="Times New Roman" w:cs="Calibri"/>
                <w:color w:val="000000"/>
                <w:sz w:val="20"/>
                <w:szCs w:val="20"/>
                <w:lang w:val="en-US"/>
              </w:rPr>
            </w:pPr>
            <w:r w:rsidRPr="008D2F6F">
              <w:rPr>
                <w:rFonts w:eastAsia="Times New Roman" w:cs="Calibri"/>
                <w:color w:val="000000"/>
                <w:sz w:val="20"/>
                <w:szCs w:val="20"/>
                <w:lang w:val="en-US"/>
              </w:rPr>
              <w:t>1,64%</w:t>
            </w:r>
          </w:p>
        </w:tc>
      </w:tr>
      <w:tr w:rsidR="008D2F6F" w:rsidRPr="008D2F6F" w14:paraId="0C93E006" w14:textId="77777777" w:rsidTr="008D2F6F">
        <w:trPr>
          <w:trHeight w:val="290"/>
        </w:trPr>
        <w:tc>
          <w:tcPr>
            <w:tcW w:w="818" w:type="dxa"/>
            <w:tcBorders>
              <w:top w:val="nil"/>
              <w:left w:val="single" w:sz="8" w:space="0" w:color="auto"/>
              <w:bottom w:val="nil"/>
              <w:right w:val="single" w:sz="8" w:space="0" w:color="auto"/>
            </w:tcBorders>
            <w:shd w:val="clear" w:color="auto" w:fill="auto"/>
            <w:noWrap/>
            <w:vAlign w:val="bottom"/>
            <w:hideMark/>
          </w:tcPr>
          <w:p w14:paraId="179EB8EA" w14:textId="77777777" w:rsidR="008D2F6F" w:rsidRPr="008D2F6F" w:rsidRDefault="008D2F6F" w:rsidP="008D2F6F">
            <w:pPr>
              <w:spacing w:after="0" w:line="240" w:lineRule="auto"/>
              <w:jc w:val="center"/>
              <w:rPr>
                <w:rFonts w:eastAsia="Times New Roman" w:cs="Calibri"/>
                <w:b/>
                <w:bCs/>
                <w:color w:val="000000"/>
                <w:sz w:val="20"/>
                <w:szCs w:val="20"/>
                <w:lang w:val="en-US"/>
              </w:rPr>
            </w:pPr>
            <w:r w:rsidRPr="008D2F6F">
              <w:rPr>
                <w:rFonts w:eastAsia="Times New Roman" w:cs="Calibri"/>
                <w:b/>
                <w:bCs/>
                <w:color w:val="000000"/>
                <w:sz w:val="20"/>
                <w:szCs w:val="20"/>
                <w:lang w:val="en-US"/>
              </w:rPr>
              <w:t>11219</w:t>
            </w:r>
          </w:p>
        </w:tc>
        <w:tc>
          <w:tcPr>
            <w:tcW w:w="3992" w:type="dxa"/>
            <w:tcBorders>
              <w:top w:val="nil"/>
              <w:left w:val="nil"/>
              <w:bottom w:val="nil"/>
              <w:right w:val="single" w:sz="8" w:space="0" w:color="auto"/>
            </w:tcBorders>
            <w:shd w:val="clear" w:color="auto" w:fill="auto"/>
            <w:vAlign w:val="center"/>
            <w:hideMark/>
          </w:tcPr>
          <w:p w14:paraId="3F28B523" w14:textId="77777777" w:rsidR="008D2F6F" w:rsidRPr="008D2F6F" w:rsidRDefault="008D2F6F" w:rsidP="008D2F6F">
            <w:pPr>
              <w:spacing w:after="60" w:line="240" w:lineRule="auto"/>
              <w:jc w:val="left"/>
              <w:rPr>
                <w:rFonts w:eastAsia="Times New Roman" w:cs="Calibri"/>
                <w:color w:val="000000"/>
                <w:sz w:val="20"/>
                <w:szCs w:val="20"/>
              </w:rPr>
            </w:pPr>
            <w:r w:rsidRPr="008D2F6F">
              <w:rPr>
                <w:rFonts w:eastAsia="Times New Roman" w:cs="Calibri"/>
                <w:color w:val="000000"/>
                <w:sz w:val="20"/>
                <w:szCs w:val="20"/>
              </w:rPr>
              <w:t>Ministerio de Ambiente, Energía y Telecomunicaciones (MINAET) </w:t>
            </w:r>
          </w:p>
        </w:tc>
        <w:tc>
          <w:tcPr>
            <w:tcW w:w="1134" w:type="dxa"/>
            <w:tcBorders>
              <w:top w:val="nil"/>
              <w:left w:val="nil"/>
              <w:bottom w:val="nil"/>
              <w:right w:val="single" w:sz="8" w:space="0" w:color="auto"/>
            </w:tcBorders>
            <w:shd w:val="clear" w:color="auto" w:fill="auto"/>
            <w:noWrap/>
            <w:vAlign w:val="bottom"/>
            <w:hideMark/>
          </w:tcPr>
          <w:p w14:paraId="17B9C82C" w14:textId="77777777" w:rsidR="008D2F6F" w:rsidRPr="008D2F6F" w:rsidRDefault="008D2F6F" w:rsidP="008D2F6F">
            <w:pPr>
              <w:spacing w:after="0" w:line="240" w:lineRule="auto"/>
              <w:jc w:val="right"/>
              <w:rPr>
                <w:rFonts w:eastAsia="Times New Roman" w:cs="Calibri"/>
                <w:color w:val="000000"/>
                <w:sz w:val="20"/>
                <w:szCs w:val="20"/>
                <w:lang w:val="en-US"/>
              </w:rPr>
            </w:pPr>
            <w:r w:rsidRPr="008D2F6F">
              <w:rPr>
                <w:rFonts w:eastAsia="Times New Roman" w:cs="Calibri"/>
                <w:color w:val="000000"/>
                <w:sz w:val="20"/>
                <w:szCs w:val="20"/>
                <w:lang w:val="en-US"/>
              </w:rPr>
              <w:t>334,70</w:t>
            </w:r>
          </w:p>
        </w:tc>
        <w:tc>
          <w:tcPr>
            <w:tcW w:w="1120" w:type="dxa"/>
            <w:tcBorders>
              <w:top w:val="nil"/>
              <w:left w:val="nil"/>
              <w:bottom w:val="nil"/>
              <w:right w:val="single" w:sz="8" w:space="0" w:color="auto"/>
            </w:tcBorders>
            <w:shd w:val="clear" w:color="auto" w:fill="auto"/>
            <w:noWrap/>
            <w:vAlign w:val="bottom"/>
            <w:hideMark/>
          </w:tcPr>
          <w:p w14:paraId="4D410C43" w14:textId="77777777" w:rsidR="008D2F6F" w:rsidRPr="008D2F6F" w:rsidRDefault="008D2F6F" w:rsidP="008D2F6F">
            <w:pPr>
              <w:spacing w:after="0" w:line="240" w:lineRule="auto"/>
              <w:jc w:val="right"/>
              <w:rPr>
                <w:rFonts w:eastAsia="Times New Roman" w:cs="Calibri"/>
                <w:color w:val="000000"/>
                <w:sz w:val="20"/>
                <w:szCs w:val="20"/>
                <w:lang w:val="en-US"/>
              </w:rPr>
            </w:pPr>
            <w:r w:rsidRPr="008D2F6F">
              <w:rPr>
                <w:rFonts w:eastAsia="Times New Roman" w:cs="Calibri"/>
                <w:color w:val="000000"/>
                <w:sz w:val="20"/>
                <w:szCs w:val="20"/>
                <w:lang w:val="en-US"/>
              </w:rPr>
              <w:t>344,06</w:t>
            </w:r>
          </w:p>
        </w:tc>
        <w:tc>
          <w:tcPr>
            <w:tcW w:w="1148" w:type="dxa"/>
            <w:tcBorders>
              <w:top w:val="nil"/>
              <w:left w:val="nil"/>
              <w:bottom w:val="nil"/>
              <w:right w:val="single" w:sz="8" w:space="0" w:color="auto"/>
            </w:tcBorders>
            <w:shd w:val="clear" w:color="auto" w:fill="auto"/>
            <w:noWrap/>
            <w:vAlign w:val="bottom"/>
            <w:hideMark/>
          </w:tcPr>
          <w:p w14:paraId="53803CBB" w14:textId="77777777" w:rsidR="008D2F6F" w:rsidRPr="008D2F6F" w:rsidRDefault="008D2F6F" w:rsidP="008D2F6F">
            <w:pPr>
              <w:spacing w:after="0" w:line="240" w:lineRule="auto"/>
              <w:jc w:val="right"/>
              <w:rPr>
                <w:rFonts w:eastAsia="Times New Roman" w:cs="Calibri"/>
                <w:color w:val="000000"/>
                <w:sz w:val="20"/>
                <w:szCs w:val="20"/>
                <w:lang w:val="en-US"/>
              </w:rPr>
            </w:pPr>
            <w:r w:rsidRPr="008D2F6F">
              <w:rPr>
                <w:rFonts w:eastAsia="Times New Roman" w:cs="Calibri"/>
                <w:color w:val="000000"/>
                <w:sz w:val="20"/>
                <w:szCs w:val="20"/>
                <w:lang w:val="en-US"/>
              </w:rPr>
              <w:t>-9,35</w:t>
            </w:r>
          </w:p>
        </w:tc>
        <w:tc>
          <w:tcPr>
            <w:tcW w:w="955" w:type="dxa"/>
            <w:tcBorders>
              <w:top w:val="nil"/>
              <w:left w:val="nil"/>
              <w:bottom w:val="nil"/>
              <w:right w:val="single" w:sz="8" w:space="0" w:color="auto"/>
            </w:tcBorders>
            <w:shd w:val="clear" w:color="auto" w:fill="auto"/>
            <w:noWrap/>
            <w:vAlign w:val="bottom"/>
            <w:hideMark/>
          </w:tcPr>
          <w:p w14:paraId="79A6BC54" w14:textId="77777777" w:rsidR="008D2F6F" w:rsidRPr="008D2F6F" w:rsidRDefault="008D2F6F" w:rsidP="008D2F6F">
            <w:pPr>
              <w:spacing w:after="0" w:line="240" w:lineRule="auto"/>
              <w:jc w:val="right"/>
              <w:rPr>
                <w:rFonts w:eastAsia="Times New Roman" w:cs="Calibri"/>
                <w:color w:val="000000"/>
                <w:sz w:val="20"/>
                <w:szCs w:val="20"/>
                <w:lang w:val="en-US"/>
              </w:rPr>
            </w:pPr>
            <w:r w:rsidRPr="008D2F6F">
              <w:rPr>
                <w:rFonts w:eastAsia="Times New Roman" w:cs="Calibri"/>
                <w:color w:val="000000"/>
                <w:sz w:val="20"/>
                <w:szCs w:val="20"/>
                <w:lang w:val="en-US"/>
              </w:rPr>
              <w:t>-2,72%</w:t>
            </w:r>
          </w:p>
        </w:tc>
      </w:tr>
      <w:tr w:rsidR="008D2F6F" w:rsidRPr="008D2F6F" w14:paraId="45EBDD4B" w14:textId="77777777" w:rsidTr="008D2F6F">
        <w:trPr>
          <w:trHeight w:val="290"/>
        </w:trPr>
        <w:tc>
          <w:tcPr>
            <w:tcW w:w="818" w:type="dxa"/>
            <w:tcBorders>
              <w:top w:val="nil"/>
              <w:left w:val="single" w:sz="8" w:space="0" w:color="auto"/>
              <w:bottom w:val="nil"/>
              <w:right w:val="single" w:sz="8" w:space="0" w:color="auto"/>
            </w:tcBorders>
            <w:shd w:val="clear" w:color="auto" w:fill="auto"/>
            <w:noWrap/>
            <w:vAlign w:val="bottom"/>
            <w:hideMark/>
          </w:tcPr>
          <w:p w14:paraId="20060340" w14:textId="77777777" w:rsidR="008D2F6F" w:rsidRPr="008D2F6F" w:rsidRDefault="008D2F6F" w:rsidP="008D2F6F">
            <w:pPr>
              <w:spacing w:after="0" w:line="240" w:lineRule="auto"/>
              <w:jc w:val="center"/>
              <w:rPr>
                <w:rFonts w:eastAsia="Times New Roman" w:cs="Calibri"/>
                <w:b/>
                <w:bCs/>
                <w:color w:val="000000"/>
                <w:sz w:val="20"/>
                <w:szCs w:val="20"/>
                <w:lang w:val="en-US"/>
              </w:rPr>
            </w:pPr>
            <w:r w:rsidRPr="008D2F6F">
              <w:rPr>
                <w:rFonts w:eastAsia="Times New Roman" w:cs="Calibri"/>
                <w:b/>
                <w:bCs/>
                <w:color w:val="000000"/>
                <w:sz w:val="20"/>
                <w:szCs w:val="20"/>
                <w:lang w:val="en-US"/>
              </w:rPr>
              <w:t>12553</w:t>
            </w:r>
          </w:p>
        </w:tc>
        <w:tc>
          <w:tcPr>
            <w:tcW w:w="3992" w:type="dxa"/>
            <w:tcBorders>
              <w:top w:val="nil"/>
              <w:left w:val="nil"/>
              <w:bottom w:val="nil"/>
              <w:right w:val="single" w:sz="8" w:space="0" w:color="auto"/>
            </w:tcBorders>
            <w:shd w:val="clear" w:color="auto" w:fill="auto"/>
            <w:vAlign w:val="center"/>
            <w:hideMark/>
          </w:tcPr>
          <w:p w14:paraId="21B76327" w14:textId="77777777" w:rsidR="008D2F6F" w:rsidRPr="008D2F6F" w:rsidRDefault="008D2F6F" w:rsidP="008D2F6F">
            <w:pPr>
              <w:spacing w:after="60" w:line="240" w:lineRule="auto"/>
              <w:jc w:val="left"/>
              <w:rPr>
                <w:rFonts w:eastAsia="Times New Roman" w:cs="Calibri"/>
                <w:color w:val="000000"/>
                <w:sz w:val="20"/>
                <w:szCs w:val="20"/>
              </w:rPr>
            </w:pPr>
            <w:r w:rsidRPr="008D2F6F">
              <w:rPr>
                <w:rFonts w:eastAsia="Times New Roman" w:cs="Calibri"/>
                <w:color w:val="000000"/>
                <w:sz w:val="20"/>
                <w:szCs w:val="20"/>
              </w:rPr>
              <w:t> Comision Nacional para la Gestión de la Biodiversidad (CONAGEBIO)</w:t>
            </w:r>
          </w:p>
        </w:tc>
        <w:tc>
          <w:tcPr>
            <w:tcW w:w="1134" w:type="dxa"/>
            <w:tcBorders>
              <w:top w:val="nil"/>
              <w:left w:val="nil"/>
              <w:bottom w:val="nil"/>
              <w:right w:val="single" w:sz="8" w:space="0" w:color="auto"/>
            </w:tcBorders>
            <w:shd w:val="clear" w:color="auto" w:fill="auto"/>
            <w:noWrap/>
            <w:vAlign w:val="bottom"/>
            <w:hideMark/>
          </w:tcPr>
          <w:p w14:paraId="13638BCA" w14:textId="77777777" w:rsidR="008D2F6F" w:rsidRPr="008D2F6F" w:rsidRDefault="008D2F6F" w:rsidP="008D2F6F">
            <w:pPr>
              <w:spacing w:after="0" w:line="240" w:lineRule="auto"/>
              <w:jc w:val="right"/>
              <w:rPr>
                <w:rFonts w:eastAsia="Times New Roman" w:cs="Calibri"/>
                <w:color w:val="000000"/>
                <w:sz w:val="20"/>
                <w:szCs w:val="20"/>
                <w:lang w:val="en-US"/>
              </w:rPr>
            </w:pPr>
            <w:r w:rsidRPr="008D2F6F">
              <w:rPr>
                <w:rFonts w:eastAsia="Times New Roman" w:cs="Calibri"/>
                <w:color w:val="000000"/>
                <w:sz w:val="20"/>
                <w:szCs w:val="20"/>
                <w:lang w:val="en-US"/>
              </w:rPr>
              <w:t>53,13</w:t>
            </w:r>
          </w:p>
        </w:tc>
        <w:tc>
          <w:tcPr>
            <w:tcW w:w="1120" w:type="dxa"/>
            <w:tcBorders>
              <w:top w:val="nil"/>
              <w:left w:val="nil"/>
              <w:bottom w:val="nil"/>
              <w:right w:val="single" w:sz="8" w:space="0" w:color="auto"/>
            </w:tcBorders>
            <w:shd w:val="clear" w:color="auto" w:fill="auto"/>
            <w:noWrap/>
            <w:vAlign w:val="bottom"/>
            <w:hideMark/>
          </w:tcPr>
          <w:p w14:paraId="6CF675D5" w14:textId="77777777" w:rsidR="008D2F6F" w:rsidRPr="008D2F6F" w:rsidRDefault="008D2F6F" w:rsidP="008D2F6F">
            <w:pPr>
              <w:spacing w:after="0" w:line="240" w:lineRule="auto"/>
              <w:jc w:val="right"/>
              <w:rPr>
                <w:rFonts w:eastAsia="Times New Roman" w:cs="Calibri"/>
                <w:color w:val="000000"/>
                <w:sz w:val="20"/>
                <w:szCs w:val="20"/>
                <w:lang w:val="en-US"/>
              </w:rPr>
            </w:pPr>
            <w:r w:rsidRPr="008D2F6F">
              <w:rPr>
                <w:rFonts w:eastAsia="Times New Roman" w:cs="Calibri"/>
                <w:color w:val="000000"/>
                <w:sz w:val="20"/>
                <w:szCs w:val="20"/>
                <w:lang w:val="en-US"/>
              </w:rPr>
              <w:t>54,61</w:t>
            </w:r>
          </w:p>
        </w:tc>
        <w:tc>
          <w:tcPr>
            <w:tcW w:w="1148" w:type="dxa"/>
            <w:tcBorders>
              <w:top w:val="nil"/>
              <w:left w:val="nil"/>
              <w:bottom w:val="nil"/>
              <w:right w:val="single" w:sz="8" w:space="0" w:color="auto"/>
            </w:tcBorders>
            <w:shd w:val="clear" w:color="auto" w:fill="auto"/>
            <w:noWrap/>
            <w:vAlign w:val="bottom"/>
            <w:hideMark/>
          </w:tcPr>
          <w:p w14:paraId="46136816" w14:textId="77777777" w:rsidR="008D2F6F" w:rsidRPr="008D2F6F" w:rsidRDefault="008D2F6F" w:rsidP="008D2F6F">
            <w:pPr>
              <w:spacing w:after="0" w:line="240" w:lineRule="auto"/>
              <w:jc w:val="right"/>
              <w:rPr>
                <w:rFonts w:eastAsia="Times New Roman" w:cs="Calibri"/>
                <w:color w:val="000000"/>
                <w:sz w:val="20"/>
                <w:szCs w:val="20"/>
                <w:lang w:val="en-US"/>
              </w:rPr>
            </w:pPr>
            <w:r w:rsidRPr="008D2F6F">
              <w:rPr>
                <w:rFonts w:eastAsia="Times New Roman" w:cs="Calibri"/>
                <w:color w:val="000000"/>
                <w:sz w:val="20"/>
                <w:szCs w:val="20"/>
                <w:lang w:val="en-US"/>
              </w:rPr>
              <w:t>-1,48</w:t>
            </w:r>
          </w:p>
        </w:tc>
        <w:tc>
          <w:tcPr>
            <w:tcW w:w="955" w:type="dxa"/>
            <w:tcBorders>
              <w:top w:val="nil"/>
              <w:left w:val="nil"/>
              <w:bottom w:val="nil"/>
              <w:right w:val="single" w:sz="8" w:space="0" w:color="auto"/>
            </w:tcBorders>
            <w:shd w:val="clear" w:color="auto" w:fill="auto"/>
            <w:noWrap/>
            <w:vAlign w:val="bottom"/>
            <w:hideMark/>
          </w:tcPr>
          <w:p w14:paraId="718CE9A2" w14:textId="77777777" w:rsidR="008D2F6F" w:rsidRPr="008D2F6F" w:rsidRDefault="008D2F6F" w:rsidP="008D2F6F">
            <w:pPr>
              <w:spacing w:after="0" w:line="240" w:lineRule="auto"/>
              <w:jc w:val="right"/>
              <w:rPr>
                <w:rFonts w:eastAsia="Times New Roman" w:cs="Calibri"/>
                <w:color w:val="000000"/>
                <w:sz w:val="20"/>
                <w:szCs w:val="20"/>
                <w:lang w:val="en-US"/>
              </w:rPr>
            </w:pPr>
            <w:r w:rsidRPr="008D2F6F">
              <w:rPr>
                <w:rFonts w:eastAsia="Times New Roman" w:cs="Calibri"/>
                <w:color w:val="000000"/>
                <w:sz w:val="20"/>
                <w:szCs w:val="20"/>
                <w:lang w:val="en-US"/>
              </w:rPr>
              <w:t>-2,72%</w:t>
            </w:r>
          </w:p>
        </w:tc>
      </w:tr>
      <w:tr w:rsidR="008D2F6F" w:rsidRPr="008D2F6F" w14:paraId="5F889B37" w14:textId="77777777" w:rsidTr="008D2F6F">
        <w:trPr>
          <w:trHeight w:val="290"/>
        </w:trPr>
        <w:tc>
          <w:tcPr>
            <w:tcW w:w="818" w:type="dxa"/>
            <w:tcBorders>
              <w:top w:val="nil"/>
              <w:left w:val="single" w:sz="8" w:space="0" w:color="auto"/>
              <w:bottom w:val="nil"/>
              <w:right w:val="single" w:sz="8" w:space="0" w:color="auto"/>
            </w:tcBorders>
            <w:shd w:val="clear" w:color="auto" w:fill="auto"/>
            <w:noWrap/>
            <w:vAlign w:val="bottom"/>
            <w:hideMark/>
          </w:tcPr>
          <w:p w14:paraId="04956064" w14:textId="77777777" w:rsidR="008D2F6F" w:rsidRPr="008D2F6F" w:rsidRDefault="008D2F6F" w:rsidP="008D2F6F">
            <w:pPr>
              <w:spacing w:after="0" w:line="240" w:lineRule="auto"/>
              <w:jc w:val="center"/>
              <w:rPr>
                <w:rFonts w:eastAsia="Times New Roman" w:cs="Calibri"/>
                <w:b/>
                <w:bCs/>
                <w:color w:val="000000"/>
                <w:sz w:val="20"/>
                <w:szCs w:val="20"/>
                <w:lang w:val="en-US"/>
              </w:rPr>
            </w:pPr>
            <w:r w:rsidRPr="008D2F6F">
              <w:rPr>
                <w:rFonts w:eastAsia="Times New Roman" w:cs="Calibri"/>
                <w:b/>
                <w:bCs/>
                <w:color w:val="000000"/>
                <w:sz w:val="20"/>
                <w:szCs w:val="20"/>
                <w:lang w:val="en-US"/>
              </w:rPr>
              <w:t>12581</w:t>
            </w:r>
          </w:p>
        </w:tc>
        <w:tc>
          <w:tcPr>
            <w:tcW w:w="3992" w:type="dxa"/>
            <w:tcBorders>
              <w:top w:val="nil"/>
              <w:left w:val="nil"/>
              <w:bottom w:val="nil"/>
              <w:right w:val="single" w:sz="8" w:space="0" w:color="auto"/>
            </w:tcBorders>
            <w:shd w:val="clear" w:color="auto" w:fill="auto"/>
            <w:vAlign w:val="center"/>
            <w:hideMark/>
          </w:tcPr>
          <w:p w14:paraId="719F7D25" w14:textId="77777777" w:rsidR="008D2F6F" w:rsidRPr="008D2F6F" w:rsidRDefault="008D2F6F" w:rsidP="008D2F6F">
            <w:pPr>
              <w:spacing w:after="60" w:line="240" w:lineRule="auto"/>
              <w:jc w:val="left"/>
              <w:rPr>
                <w:rFonts w:eastAsia="Times New Roman" w:cs="Calibri"/>
                <w:color w:val="000000"/>
                <w:sz w:val="20"/>
                <w:szCs w:val="20"/>
              </w:rPr>
            </w:pPr>
            <w:r w:rsidRPr="008D2F6F">
              <w:rPr>
                <w:rFonts w:eastAsia="Times New Roman" w:cs="Calibri"/>
                <w:color w:val="000000"/>
                <w:sz w:val="20"/>
                <w:szCs w:val="20"/>
              </w:rPr>
              <w:t>Consej Nacional de Personas con discapacidad CONAPDIS</w:t>
            </w:r>
          </w:p>
        </w:tc>
        <w:tc>
          <w:tcPr>
            <w:tcW w:w="1134" w:type="dxa"/>
            <w:tcBorders>
              <w:top w:val="nil"/>
              <w:left w:val="nil"/>
              <w:bottom w:val="nil"/>
              <w:right w:val="single" w:sz="8" w:space="0" w:color="auto"/>
            </w:tcBorders>
            <w:shd w:val="clear" w:color="auto" w:fill="auto"/>
            <w:noWrap/>
            <w:vAlign w:val="bottom"/>
            <w:hideMark/>
          </w:tcPr>
          <w:p w14:paraId="0E90E3B7" w14:textId="77777777" w:rsidR="008D2F6F" w:rsidRPr="008D2F6F" w:rsidRDefault="008D2F6F" w:rsidP="008D2F6F">
            <w:pPr>
              <w:spacing w:after="0" w:line="240" w:lineRule="auto"/>
              <w:jc w:val="right"/>
              <w:rPr>
                <w:rFonts w:eastAsia="Times New Roman" w:cs="Calibri"/>
                <w:color w:val="000000"/>
                <w:sz w:val="20"/>
                <w:szCs w:val="20"/>
                <w:lang w:val="en-US"/>
              </w:rPr>
            </w:pPr>
            <w:r w:rsidRPr="008D2F6F">
              <w:rPr>
                <w:rFonts w:eastAsia="Times New Roman" w:cs="Calibri"/>
                <w:color w:val="000000"/>
                <w:sz w:val="20"/>
                <w:szCs w:val="20"/>
                <w:lang w:val="en-US"/>
              </w:rPr>
              <w:t>652,38</w:t>
            </w:r>
          </w:p>
        </w:tc>
        <w:tc>
          <w:tcPr>
            <w:tcW w:w="1120" w:type="dxa"/>
            <w:tcBorders>
              <w:top w:val="nil"/>
              <w:left w:val="nil"/>
              <w:bottom w:val="nil"/>
              <w:right w:val="single" w:sz="8" w:space="0" w:color="auto"/>
            </w:tcBorders>
            <w:shd w:val="clear" w:color="auto" w:fill="auto"/>
            <w:noWrap/>
            <w:vAlign w:val="bottom"/>
            <w:hideMark/>
          </w:tcPr>
          <w:p w14:paraId="677C8CEA" w14:textId="77777777" w:rsidR="008D2F6F" w:rsidRPr="008D2F6F" w:rsidRDefault="008D2F6F" w:rsidP="008D2F6F">
            <w:pPr>
              <w:spacing w:after="0" w:line="240" w:lineRule="auto"/>
              <w:jc w:val="right"/>
              <w:rPr>
                <w:rFonts w:eastAsia="Times New Roman" w:cs="Calibri"/>
                <w:color w:val="000000"/>
                <w:sz w:val="20"/>
                <w:szCs w:val="20"/>
                <w:lang w:val="en-US"/>
              </w:rPr>
            </w:pPr>
            <w:r w:rsidRPr="008D2F6F">
              <w:rPr>
                <w:rFonts w:eastAsia="Times New Roman" w:cs="Calibri"/>
                <w:color w:val="000000"/>
                <w:sz w:val="20"/>
                <w:szCs w:val="20"/>
                <w:lang w:val="en-US"/>
              </w:rPr>
              <w:t>750,10</w:t>
            </w:r>
          </w:p>
        </w:tc>
        <w:tc>
          <w:tcPr>
            <w:tcW w:w="1148" w:type="dxa"/>
            <w:tcBorders>
              <w:top w:val="nil"/>
              <w:left w:val="nil"/>
              <w:bottom w:val="nil"/>
              <w:right w:val="single" w:sz="8" w:space="0" w:color="auto"/>
            </w:tcBorders>
            <w:shd w:val="clear" w:color="auto" w:fill="auto"/>
            <w:noWrap/>
            <w:vAlign w:val="bottom"/>
            <w:hideMark/>
          </w:tcPr>
          <w:p w14:paraId="3036D802" w14:textId="77777777" w:rsidR="008D2F6F" w:rsidRPr="008D2F6F" w:rsidRDefault="008D2F6F" w:rsidP="008D2F6F">
            <w:pPr>
              <w:spacing w:after="0" w:line="240" w:lineRule="auto"/>
              <w:jc w:val="right"/>
              <w:rPr>
                <w:rFonts w:eastAsia="Times New Roman" w:cs="Calibri"/>
                <w:color w:val="000000"/>
                <w:sz w:val="20"/>
                <w:szCs w:val="20"/>
                <w:lang w:val="en-US"/>
              </w:rPr>
            </w:pPr>
            <w:r w:rsidRPr="008D2F6F">
              <w:rPr>
                <w:rFonts w:eastAsia="Times New Roman" w:cs="Calibri"/>
                <w:color w:val="000000"/>
                <w:sz w:val="20"/>
                <w:szCs w:val="20"/>
                <w:lang w:val="en-US"/>
              </w:rPr>
              <w:t>-97,72</w:t>
            </w:r>
          </w:p>
        </w:tc>
        <w:tc>
          <w:tcPr>
            <w:tcW w:w="955" w:type="dxa"/>
            <w:tcBorders>
              <w:top w:val="nil"/>
              <w:left w:val="nil"/>
              <w:bottom w:val="nil"/>
              <w:right w:val="single" w:sz="8" w:space="0" w:color="auto"/>
            </w:tcBorders>
            <w:shd w:val="clear" w:color="auto" w:fill="auto"/>
            <w:noWrap/>
            <w:vAlign w:val="bottom"/>
            <w:hideMark/>
          </w:tcPr>
          <w:p w14:paraId="430986E3" w14:textId="77777777" w:rsidR="008D2F6F" w:rsidRPr="008D2F6F" w:rsidRDefault="008D2F6F" w:rsidP="008D2F6F">
            <w:pPr>
              <w:spacing w:after="0" w:line="240" w:lineRule="auto"/>
              <w:jc w:val="right"/>
              <w:rPr>
                <w:rFonts w:eastAsia="Times New Roman" w:cs="Calibri"/>
                <w:color w:val="000000"/>
                <w:sz w:val="20"/>
                <w:szCs w:val="20"/>
                <w:lang w:val="en-US"/>
              </w:rPr>
            </w:pPr>
            <w:r w:rsidRPr="008D2F6F">
              <w:rPr>
                <w:rFonts w:eastAsia="Times New Roman" w:cs="Calibri"/>
                <w:color w:val="000000"/>
                <w:sz w:val="20"/>
                <w:szCs w:val="20"/>
                <w:lang w:val="en-US"/>
              </w:rPr>
              <w:t>-13,03%</w:t>
            </w:r>
          </w:p>
        </w:tc>
      </w:tr>
      <w:tr w:rsidR="008D2F6F" w:rsidRPr="008D2F6F" w14:paraId="519F2D80" w14:textId="77777777" w:rsidTr="008D2F6F">
        <w:trPr>
          <w:trHeight w:val="290"/>
        </w:trPr>
        <w:tc>
          <w:tcPr>
            <w:tcW w:w="818" w:type="dxa"/>
            <w:tcBorders>
              <w:top w:val="nil"/>
              <w:left w:val="single" w:sz="8" w:space="0" w:color="auto"/>
              <w:bottom w:val="nil"/>
              <w:right w:val="single" w:sz="8" w:space="0" w:color="auto"/>
            </w:tcBorders>
            <w:shd w:val="clear" w:color="auto" w:fill="auto"/>
            <w:noWrap/>
            <w:vAlign w:val="bottom"/>
            <w:hideMark/>
          </w:tcPr>
          <w:p w14:paraId="16B76446" w14:textId="77777777" w:rsidR="008D2F6F" w:rsidRPr="008D2F6F" w:rsidRDefault="008D2F6F" w:rsidP="008D2F6F">
            <w:pPr>
              <w:spacing w:after="0" w:line="240" w:lineRule="auto"/>
              <w:jc w:val="center"/>
              <w:rPr>
                <w:rFonts w:eastAsia="Times New Roman" w:cs="Calibri"/>
                <w:b/>
                <w:bCs/>
                <w:color w:val="000000"/>
                <w:sz w:val="20"/>
                <w:szCs w:val="20"/>
                <w:lang w:val="en-US"/>
              </w:rPr>
            </w:pPr>
            <w:r w:rsidRPr="008D2F6F">
              <w:rPr>
                <w:rFonts w:eastAsia="Times New Roman" w:cs="Calibri"/>
                <w:b/>
                <w:bCs/>
                <w:color w:val="000000"/>
                <w:sz w:val="20"/>
                <w:szCs w:val="20"/>
                <w:lang w:val="en-US"/>
              </w:rPr>
              <w:t>12784</w:t>
            </w:r>
          </w:p>
        </w:tc>
        <w:tc>
          <w:tcPr>
            <w:tcW w:w="3992" w:type="dxa"/>
            <w:tcBorders>
              <w:top w:val="nil"/>
              <w:left w:val="nil"/>
              <w:bottom w:val="nil"/>
              <w:right w:val="single" w:sz="8" w:space="0" w:color="auto"/>
            </w:tcBorders>
            <w:shd w:val="clear" w:color="auto" w:fill="auto"/>
            <w:vAlign w:val="center"/>
            <w:hideMark/>
          </w:tcPr>
          <w:p w14:paraId="148E9C5C" w14:textId="77777777" w:rsidR="008D2F6F" w:rsidRPr="008D2F6F" w:rsidRDefault="008D2F6F" w:rsidP="008D2F6F">
            <w:pPr>
              <w:spacing w:after="60" w:line="240" w:lineRule="auto"/>
              <w:jc w:val="left"/>
              <w:rPr>
                <w:rFonts w:eastAsia="Times New Roman" w:cs="Calibri"/>
                <w:color w:val="000000"/>
                <w:sz w:val="20"/>
                <w:szCs w:val="20"/>
              </w:rPr>
            </w:pPr>
            <w:r w:rsidRPr="008D2F6F">
              <w:rPr>
                <w:rFonts w:eastAsia="Times New Roman" w:cs="Calibri"/>
                <w:color w:val="000000"/>
                <w:sz w:val="20"/>
                <w:szCs w:val="20"/>
              </w:rPr>
              <w:t xml:space="preserve">Junta Administrativa del Registro Nacional  </w:t>
            </w:r>
          </w:p>
        </w:tc>
        <w:tc>
          <w:tcPr>
            <w:tcW w:w="1134" w:type="dxa"/>
            <w:tcBorders>
              <w:top w:val="nil"/>
              <w:left w:val="nil"/>
              <w:bottom w:val="nil"/>
              <w:right w:val="single" w:sz="8" w:space="0" w:color="auto"/>
            </w:tcBorders>
            <w:shd w:val="clear" w:color="auto" w:fill="auto"/>
            <w:noWrap/>
            <w:vAlign w:val="bottom"/>
            <w:hideMark/>
          </w:tcPr>
          <w:p w14:paraId="3E114179" w14:textId="77777777" w:rsidR="008D2F6F" w:rsidRPr="008D2F6F" w:rsidRDefault="008D2F6F" w:rsidP="008D2F6F">
            <w:pPr>
              <w:spacing w:after="0" w:line="240" w:lineRule="auto"/>
              <w:jc w:val="right"/>
              <w:rPr>
                <w:rFonts w:eastAsia="Times New Roman" w:cs="Calibri"/>
                <w:color w:val="000000"/>
                <w:sz w:val="20"/>
                <w:szCs w:val="20"/>
                <w:lang w:val="en-US"/>
              </w:rPr>
            </w:pPr>
            <w:r w:rsidRPr="008D2F6F">
              <w:rPr>
                <w:rFonts w:eastAsia="Times New Roman" w:cs="Calibri"/>
                <w:color w:val="000000"/>
                <w:sz w:val="20"/>
                <w:szCs w:val="20"/>
                <w:lang w:val="en-US"/>
              </w:rPr>
              <w:t>0,00</w:t>
            </w:r>
          </w:p>
        </w:tc>
        <w:tc>
          <w:tcPr>
            <w:tcW w:w="1120" w:type="dxa"/>
            <w:tcBorders>
              <w:top w:val="nil"/>
              <w:left w:val="nil"/>
              <w:bottom w:val="nil"/>
              <w:right w:val="single" w:sz="8" w:space="0" w:color="auto"/>
            </w:tcBorders>
            <w:shd w:val="clear" w:color="auto" w:fill="auto"/>
            <w:noWrap/>
            <w:vAlign w:val="bottom"/>
            <w:hideMark/>
          </w:tcPr>
          <w:p w14:paraId="3709A6CF" w14:textId="77777777" w:rsidR="008D2F6F" w:rsidRPr="008D2F6F" w:rsidRDefault="008D2F6F" w:rsidP="008D2F6F">
            <w:pPr>
              <w:spacing w:after="0" w:line="240" w:lineRule="auto"/>
              <w:jc w:val="right"/>
              <w:rPr>
                <w:rFonts w:eastAsia="Times New Roman" w:cs="Calibri"/>
                <w:color w:val="000000"/>
                <w:sz w:val="20"/>
                <w:szCs w:val="20"/>
                <w:lang w:val="en-US"/>
              </w:rPr>
            </w:pPr>
            <w:r w:rsidRPr="008D2F6F">
              <w:rPr>
                <w:rFonts w:eastAsia="Times New Roman" w:cs="Calibri"/>
                <w:color w:val="000000"/>
                <w:sz w:val="20"/>
                <w:szCs w:val="20"/>
                <w:lang w:val="en-US"/>
              </w:rPr>
              <w:t>0,00</w:t>
            </w:r>
          </w:p>
        </w:tc>
        <w:tc>
          <w:tcPr>
            <w:tcW w:w="1148" w:type="dxa"/>
            <w:tcBorders>
              <w:top w:val="nil"/>
              <w:left w:val="nil"/>
              <w:bottom w:val="nil"/>
              <w:right w:val="single" w:sz="8" w:space="0" w:color="auto"/>
            </w:tcBorders>
            <w:shd w:val="clear" w:color="auto" w:fill="auto"/>
            <w:noWrap/>
            <w:vAlign w:val="bottom"/>
            <w:hideMark/>
          </w:tcPr>
          <w:p w14:paraId="0851239A" w14:textId="77777777" w:rsidR="008D2F6F" w:rsidRPr="008D2F6F" w:rsidRDefault="008D2F6F" w:rsidP="008D2F6F">
            <w:pPr>
              <w:spacing w:after="0" w:line="240" w:lineRule="auto"/>
              <w:jc w:val="right"/>
              <w:rPr>
                <w:rFonts w:eastAsia="Times New Roman" w:cs="Calibri"/>
                <w:color w:val="000000"/>
                <w:sz w:val="20"/>
                <w:szCs w:val="20"/>
                <w:lang w:val="en-US"/>
              </w:rPr>
            </w:pPr>
            <w:r w:rsidRPr="008D2F6F">
              <w:rPr>
                <w:rFonts w:eastAsia="Times New Roman" w:cs="Calibri"/>
                <w:color w:val="000000"/>
                <w:sz w:val="20"/>
                <w:szCs w:val="20"/>
                <w:lang w:val="en-US"/>
              </w:rPr>
              <w:t>0,00</w:t>
            </w:r>
          </w:p>
        </w:tc>
        <w:tc>
          <w:tcPr>
            <w:tcW w:w="955" w:type="dxa"/>
            <w:tcBorders>
              <w:top w:val="nil"/>
              <w:left w:val="nil"/>
              <w:bottom w:val="nil"/>
              <w:right w:val="single" w:sz="8" w:space="0" w:color="auto"/>
            </w:tcBorders>
            <w:shd w:val="clear" w:color="auto" w:fill="auto"/>
            <w:noWrap/>
            <w:vAlign w:val="bottom"/>
            <w:hideMark/>
          </w:tcPr>
          <w:p w14:paraId="2BCF7A9A" w14:textId="77777777" w:rsidR="008D2F6F" w:rsidRPr="008D2F6F" w:rsidRDefault="008D2F6F" w:rsidP="008D2F6F">
            <w:pPr>
              <w:spacing w:after="0" w:line="240" w:lineRule="auto"/>
              <w:jc w:val="center"/>
              <w:rPr>
                <w:rFonts w:eastAsia="Times New Roman" w:cs="Calibri"/>
                <w:color w:val="000000"/>
                <w:sz w:val="20"/>
                <w:szCs w:val="20"/>
                <w:lang w:val="en-US"/>
              </w:rPr>
            </w:pPr>
            <w:r w:rsidRPr="008D2F6F">
              <w:rPr>
                <w:rFonts w:eastAsia="Times New Roman" w:cs="Calibri"/>
                <w:color w:val="000000"/>
                <w:sz w:val="20"/>
                <w:szCs w:val="20"/>
                <w:lang w:val="en-US"/>
              </w:rPr>
              <w:t>#DIV/0!</w:t>
            </w:r>
          </w:p>
        </w:tc>
      </w:tr>
      <w:tr w:rsidR="008D2F6F" w:rsidRPr="008D2F6F" w14:paraId="3B3E9EA8" w14:textId="77777777" w:rsidTr="008D2F6F">
        <w:trPr>
          <w:trHeight w:val="290"/>
        </w:trPr>
        <w:tc>
          <w:tcPr>
            <w:tcW w:w="818" w:type="dxa"/>
            <w:tcBorders>
              <w:top w:val="nil"/>
              <w:left w:val="single" w:sz="8" w:space="0" w:color="auto"/>
              <w:bottom w:val="nil"/>
              <w:right w:val="single" w:sz="8" w:space="0" w:color="auto"/>
            </w:tcBorders>
            <w:shd w:val="clear" w:color="auto" w:fill="auto"/>
            <w:noWrap/>
            <w:vAlign w:val="bottom"/>
            <w:hideMark/>
          </w:tcPr>
          <w:p w14:paraId="62A1733F" w14:textId="77777777" w:rsidR="008D2F6F" w:rsidRPr="008D2F6F" w:rsidRDefault="008D2F6F" w:rsidP="008D2F6F">
            <w:pPr>
              <w:spacing w:after="0" w:line="240" w:lineRule="auto"/>
              <w:jc w:val="center"/>
              <w:rPr>
                <w:rFonts w:eastAsia="Times New Roman" w:cs="Calibri"/>
                <w:b/>
                <w:bCs/>
                <w:color w:val="000000"/>
                <w:sz w:val="20"/>
                <w:szCs w:val="20"/>
                <w:lang w:val="en-US"/>
              </w:rPr>
            </w:pPr>
            <w:r w:rsidRPr="008D2F6F">
              <w:rPr>
                <w:rFonts w:eastAsia="Times New Roman" w:cs="Calibri"/>
                <w:b/>
                <w:bCs/>
                <w:color w:val="000000"/>
                <w:sz w:val="20"/>
                <w:szCs w:val="20"/>
                <w:lang w:val="en-US"/>
              </w:rPr>
              <w:t>14253</w:t>
            </w:r>
          </w:p>
        </w:tc>
        <w:tc>
          <w:tcPr>
            <w:tcW w:w="3992" w:type="dxa"/>
            <w:tcBorders>
              <w:top w:val="nil"/>
              <w:left w:val="nil"/>
              <w:bottom w:val="nil"/>
              <w:right w:val="single" w:sz="8" w:space="0" w:color="auto"/>
            </w:tcBorders>
            <w:shd w:val="clear" w:color="auto" w:fill="auto"/>
            <w:vAlign w:val="center"/>
            <w:hideMark/>
          </w:tcPr>
          <w:p w14:paraId="66CF195E" w14:textId="77777777" w:rsidR="008D2F6F" w:rsidRPr="008D2F6F" w:rsidRDefault="008D2F6F" w:rsidP="008D2F6F">
            <w:pPr>
              <w:spacing w:after="60" w:line="240" w:lineRule="auto"/>
              <w:jc w:val="left"/>
              <w:rPr>
                <w:rFonts w:eastAsia="Times New Roman" w:cs="Calibri"/>
                <w:color w:val="000000"/>
                <w:sz w:val="20"/>
                <w:szCs w:val="20"/>
                <w:lang w:val="en-US"/>
              </w:rPr>
            </w:pPr>
            <w:r w:rsidRPr="008D2F6F">
              <w:rPr>
                <w:rFonts w:eastAsia="Times New Roman" w:cs="Calibri"/>
                <w:color w:val="000000"/>
                <w:sz w:val="20"/>
                <w:szCs w:val="20"/>
                <w:lang w:val="en-US"/>
              </w:rPr>
              <w:t>Juntas de Educacion</w:t>
            </w:r>
          </w:p>
        </w:tc>
        <w:tc>
          <w:tcPr>
            <w:tcW w:w="1134" w:type="dxa"/>
            <w:tcBorders>
              <w:top w:val="nil"/>
              <w:left w:val="nil"/>
              <w:bottom w:val="nil"/>
              <w:right w:val="single" w:sz="8" w:space="0" w:color="auto"/>
            </w:tcBorders>
            <w:shd w:val="clear" w:color="auto" w:fill="auto"/>
            <w:noWrap/>
            <w:vAlign w:val="bottom"/>
            <w:hideMark/>
          </w:tcPr>
          <w:p w14:paraId="320D110D" w14:textId="77777777" w:rsidR="008D2F6F" w:rsidRPr="008D2F6F" w:rsidRDefault="008D2F6F" w:rsidP="008D2F6F">
            <w:pPr>
              <w:spacing w:after="0" w:line="240" w:lineRule="auto"/>
              <w:jc w:val="right"/>
              <w:rPr>
                <w:rFonts w:eastAsia="Times New Roman" w:cs="Calibri"/>
                <w:color w:val="000000"/>
                <w:sz w:val="20"/>
                <w:szCs w:val="20"/>
                <w:lang w:val="en-US"/>
              </w:rPr>
            </w:pPr>
            <w:r w:rsidRPr="008D2F6F">
              <w:rPr>
                <w:rFonts w:eastAsia="Times New Roman" w:cs="Calibri"/>
                <w:color w:val="000000"/>
                <w:sz w:val="20"/>
                <w:szCs w:val="20"/>
                <w:lang w:val="en-US"/>
              </w:rPr>
              <w:t>33 436,93</w:t>
            </w:r>
          </w:p>
        </w:tc>
        <w:tc>
          <w:tcPr>
            <w:tcW w:w="1120" w:type="dxa"/>
            <w:tcBorders>
              <w:top w:val="nil"/>
              <w:left w:val="nil"/>
              <w:bottom w:val="nil"/>
              <w:right w:val="single" w:sz="8" w:space="0" w:color="auto"/>
            </w:tcBorders>
            <w:shd w:val="clear" w:color="auto" w:fill="auto"/>
            <w:noWrap/>
            <w:vAlign w:val="bottom"/>
            <w:hideMark/>
          </w:tcPr>
          <w:p w14:paraId="3A53FAC3" w14:textId="77777777" w:rsidR="008D2F6F" w:rsidRPr="008D2F6F" w:rsidRDefault="008D2F6F" w:rsidP="008D2F6F">
            <w:pPr>
              <w:spacing w:after="0" w:line="240" w:lineRule="auto"/>
              <w:jc w:val="right"/>
              <w:rPr>
                <w:rFonts w:eastAsia="Times New Roman" w:cs="Calibri"/>
                <w:color w:val="000000"/>
                <w:sz w:val="20"/>
                <w:szCs w:val="20"/>
                <w:lang w:val="en-US"/>
              </w:rPr>
            </w:pPr>
            <w:r w:rsidRPr="008D2F6F">
              <w:rPr>
                <w:rFonts w:eastAsia="Times New Roman" w:cs="Calibri"/>
                <w:color w:val="000000"/>
                <w:sz w:val="20"/>
                <w:szCs w:val="20"/>
                <w:lang w:val="en-US"/>
              </w:rPr>
              <w:t>29 489,84</w:t>
            </w:r>
          </w:p>
        </w:tc>
        <w:tc>
          <w:tcPr>
            <w:tcW w:w="1148" w:type="dxa"/>
            <w:tcBorders>
              <w:top w:val="nil"/>
              <w:left w:val="nil"/>
              <w:bottom w:val="nil"/>
              <w:right w:val="single" w:sz="8" w:space="0" w:color="auto"/>
            </w:tcBorders>
            <w:shd w:val="clear" w:color="auto" w:fill="auto"/>
            <w:noWrap/>
            <w:vAlign w:val="bottom"/>
            <w:hideMark/>
          </w:tcPr>
          <w:p w14:paraId="42C7D8EA" w14:textId="77777777" w:rsidR="008D2F6F" w:rsidRPr="008D2F6F" w:rsidRDefault="008D2F6F" w:rsidP="008D2F6F">
            <w:pPr>
              <w:spacing w:after="0" w:line="240" w:lineRule="auto"/>
              <w:jc w:val="right"/>
              <w:rPr>
                <w:rFonts w:eastAsia="Times New Roman" w:cs="Calibri"/>
                <w:color w:val="000000"/>
                <w:sz w:val="20"/>
                <w:szCs w:val="20"/>
                <w:lang w:val="en-US"/>
              </w:rPr>
            </w:pPr>
            <w:r w:rsidRPr="008D2F6F">
              <w:rPr>
                <w:rFonts w:eastAsia="Times New Roman" w:cs="Calibri"/>
                <w:color w:val="000000"/>
                <w:sz w:val="20"/>
                <w:szCs w:val="20"/>
                <w:lang w:val="en-US"/>
              </w:rPr>
              <w:t>3 947,10</w:t>
            </w:r>
          </w:p>
        </w:tc>
        <w:tc>
          <w:tcPr>
            <w:tcW w:w="955" w:type="dxa"/>
            <w:tcBorders>
              <w:top w:val="nil"/>
              <w:left w:val="nil"/>
              <w:bottom w:val="nil"/>
              <w:right w:val="single" w:sz="8" w:space="0" w:color="auto"/>
            </w:tcBorders>
            <w:shd w:val="clear" w:color="auto" w:fill="auto"/>
            <w:noWrap/>
            <w:vAlign w:val="bottom"/>
            <w:hideMark/>
          </w:tcPr>
          <w:p w14:paraId="07D96D31" w14:textId="77777777" w:rsidR="008D2F6F" w:rsidRPr="008D2F6F" w:rsidRDefault="008D2F6F" w:rsidP="008D2F6F">
            <w:pPr>
              <w:spacing w:after="0" w:line="240" w:lineRule="auto"/>
              <w:jc w:val="right"/>
              <w:rPr>
                <w:rFonts w:eastAsia="Times New Roman" w:cs="Calibri"/>
                <w:color w:val="000000"/>
                <w:sz w:val="20"/>
                <w:szCs w:val="20"/>
                <w:lang w:val="en-US"/>
              </w:rPr>
            </w:pPr>
            <w:r w:rsidRPr="008D2F6F">
              <w:rPr>
                <w:rFonts w:eastAsia="Times New Roman" w:cs="Calibri"/>
                <w:color w:val="000000"/>
                <w:sz w:val="20"/>
                <w:szCs w:val="20"/>
                <w:lang w:val="en-US"/>
              </w:rPr>
              <w:t>13,38%</w:t>
            </w:r>
          </w:p>
        </w:tc>
      </w:tr>
      <w:tr w:rsidR="008D2F6F" w:rsidRPr="008D2F6F" w14:paraId="1CEF95BD" w14:textId="77777777" w:rsidTr="008D2F6F">
        <w:trPr>
          <w:trHeight w:val="290"/>
        </w:trPr>
        <w:tc>
          <w:tcPr>
            <w:tcW w:w="818" w:type="dxa"/>
            <w:tcBorders>
              <w:top w:val="nil"/>
              <w:left w:val="single" w:sz="8" w:space="0" w:color="auto"/>
              <w:bottom w:val="nil"/>
              <w:right w:val="single" w:sz="8" w:space="0" w:color="auto"/>
            </w:tcBorders>
            <w:shd w:val="clear" w:color="auto" w:fill="auto"/>
            <w:noWrap/>
            <w:vAlign w:val="bottom"/>
            <w:hideMark/>
          </w:tcPr>
          <w:p w14:paraId="6C597329" w14:textId="77777777" w:rsidR="008D2F6F" w:rsidRPr="008D2F6F" w:rsidRDefault="008D2F6F" w:rsidP="008D2F6F">
            <w:pPr>
              <w:spacing w:after="0" w:line="240" w:lineRule="auto"/>
              <w:jc w:val="center"/>
              <w:rPr>
                <w:rFonts w:eastAsia="Times New Roman" w:cs="Calibri"/>
                <w:b/>
                <w:bCs/>
                <w:color w:val="000000"/>
                <w:sz w:val="20"/>
                <w:szCs w:val="20"/>
                <w:lang w:val="en-US"/>
              </w:rPr>
            </w:pPr>
            <w:r w:rsidRPr="008D2F6F">
              <w:rPr>
                <w:rFonts w:eastAsia="Times New Roman" w:cs="Calibri"/>
                <w:b/>
                <w:bCs/>
                <w:color w:val="000000"/>
                <w:sz w:val="20"/>
                <w:szCs w:val="20"/>
                <w:lang w:val="en-US"/>
              </w:rPr>
              <w:t>15910</w:t>
            </w:r>
          </w:p>
        </w:tc>
        <w:tc>
          <w:tcPr>
            <w:tcW w:w="3992" w:type="dxa"/>
            <w:tcBorders>
              <w:top w:val="nil"/>
              <w:left w:val="nil"/>
              <w:bottom w:val="nil"/>
              <w:right w:val="single" w:sz="8" w:space="0" w:color="auto"/>
            </w:tcBorders>
            <w:shd w:val="clear" w:color="auto" w:fill="auto"/>
            <w:vAlign w:val="center"/>
            <w:hideMark/>
          </w:tcPr>
          <w:p w14:paraId="3EA3EDD2" w14:textId="77777777" w:rsidR="008D2F6F" w:rsidRPr="008D2F6F" w:rsidRDefault="008D2F6F" w:rsidP="008D2F6F">
            <w:pPr>
              <w:spacing w:after="60" w:line="240" w:lineRule="auto"/>
              <w:jc w:val="left"/>
              <w:rPr>
                <w:rFonts w:eastAsia="Times New Roman" w:cs="Calibri"/>
                <w:color w:val="000000"/>
                <w:sz w:val="20"/>
                <w:szCs w:val="20"/>
              </w:rPr>
            </w:pPr>
            <w:r w:rsidRPr="008D2F6F">
              <w:rPr>
                <w:rFonts w:eastAsia="Times New Roman" w:cs="Calibri"/>
                <w:color w:val="000000"/>
                <w:sz w:val="20"/>
                <w:szCs w:val="20"/>
              </w:rPr>
              <w:t>Comités Cantonales de Deportes y Recreación</w:t>
            </w:r>
          </w:p>
        </w:tc>
        <w:tc>
          <w:tcPr>
            <w:tcW w:w="1134" w:type="dxa"/>
            <w:tcBorders>
              <w:top w:val="nil"/>
              <w:left w:val="nil"/>
              <w:bottom w:val="nil"/>
              <w:right w:val="single" w:sz="8" w:space="0" w:color="auto"/>
            </w:tcBorders>
            <w:shd w:val="clear" w:color="auto" w:fill="auto"/>
            <w:noWrap/>
            <w:vAlign w:val="bottom"/>
            <w:hideMark/>
          </w:tcPr>
          <w:p w14:paraId="31E769EE" w14:textId="77777777" w:rsidR="008D2F6F" w:rsidRPr="008D2F6F" w:rsidRDefault="008D2F6F" w:rsidP="008D2F6F">
            <w:pPr>
              <w:spacing w:after="0" w:line="240" w:lineRule="auto"/>
              <w:jc w:val="right"/>
              <w:rPr>
                <w:rFonts w:eastAsia="Times New Roman" w:cs="Calibri"/>
                <w:color w:val="000000"/>
                <w:sz w:val="20"/>
                <w:szCs w:val="20"/>
                <w:lang w:val="en-US"/>
              </w:rPr>
            </w:pPr>
            <w:r w:rsidRPr="008D2F6F">
              <w:rPr>
                <w:rFonts w:eastAsia="Times New Roman" w:cs="Calibri"/>
                <w:color w:val="000000"/>
                <w:sz w:val="20"/>
                <w:szCs w:val="20"/>
                <w:lang w:val="en-US"/>
              </w:rPr>
              <w:t>3 914,29</w:t>
            </w:r>
          </w:p>
        </w:tc>
        <w:tc>
          <w:tcPr>
            <w:tcW w:w="1120" w:type="dxa"/>
            <w:tcBorders>
              <w:top w:val="nil"/>
              <w:left w:val="nil"/>
              <w:bottom w:val="nil"/>
              <w:right w:val="single" w:sz="8" w:space="0" w:color="auto"/>
            </w:tcBorders>
            <w:shd w:val="clear" w:color="auto" w:fill="auto"/>
            <w:noWrap/>
            <w:vAlign w:val="bottom"/>
            <w:hideMark/>
          </w:tcPr>
          <w:p w14:paraId="15D7A4BB" w14:textId="77777777" w:rsidR="008D2F6F" w:rsidRPr="008D2F6F" w:rsidRDefault="008D2F6F" w:rsidP="008D2F6F">
            <w:pPr>
              <w:spacing w:after="0" w:line="240" w:lineRule="auto"/>
              <w:jc w:val="right"/>
              <w:rPr>
                <w:rFonts w:eastAsia="Times New Roman" w:cs="Calibri"/>
                <w:color w:val="000000"/>
                <w:sz w:val="20"/>
                <w:szCs w:val="20"/>
                <w:lang w:val="en-US"/>
              </w:rPr>
            </w:pPr>
            <w:r w:rsidRPr="008D2F6F">
              <w:rPr>
                <w:rFonts w:eastAsia="Times New Roman" w:cs="Calibri"/>
                <w:color w:val="000000"/>
                <w:sz w:val="20"/>
                <w:szCs w:val="20"/>
                <w:lang w:val="en-US"/>
              </w:rPr>
              <w:t>4 500,61</w:t>
            </w:r>
          </w:p>
        </w:tc>
        <w:tc>
          <w:tcPr>
            <w:tcW w:w="1148" w:type="dxa"/>
            <w:tcBorders>
              <w:top w:val="nil"/>
              <w:left w:val="nil"/>
              <w:bottom w:val="nil"/>
              <w:right w:val="single" w:sz="8" w:space="0" w:color="auto"/>
            </w:tcBorders>
            <w:shd w:val="clear" w:color="auto" w:fill="auto"/>
            <w:noWrap/>
            <w:vAlign w:val="bottom"/>
            <w:hideMark/>
          </w:tcPr>
          <w:p w14:paraId="0CD76889" w14:textId="77777777" w:rsidR="008D2F6F" w:rsidRPr="008D2F6F" w:rsidRDefault="008D2F6F" w:rsidP="008D2F6F">
            <w:pPr>
              <w:spacing w:after="0" w:line="240" w:lineRule="auto"/>
              <w:jc w:val="right"/>
              <w:rPr>
                <w:rFonts w:eastAsia="Times New Roman" w:cs="Calibri"/>
                <w:color w:val="000000"/>
                <w:sz w:val="20"/>
                <w:szCs w:val="20"/>
                <w:lang w:val="en-US"/>
              </w:rPr>
            </w:pPr>
            <w:r w:rsidRPr="008D2F6F">
              <w:rPr>
                <w:rFonts w:eastAsia="Times New Roman" w:cs="Calibri"/>
                <w:color w:val="000000"/>
                <w:sz w:val="20"/>
                <w:szCs w:val="20"/>
                <w:lang w:val="en-US"/>
              </w:rPr>
              <w:t>-586,32</w:t>
            </w:r>
          </w:p>
        </w:tc>
        <w:tc>
          <w:tcPr>
            <w:tcW w:w="955" w:type="dxa"/>
            <w:tcBorders>
              <w:top w:val="nil"/>
              <w:left w:val="nil"/>
              <w:bottom w:val="nil"/>
              <w:right w:val="single" w:sz="8" w:space="0" w:color="auto"/>
            </w:tcBorders>
            <w:shd w:val="clear" w:color="auto" w:fill="auto"/>
            <w:noWrap/>
            <w:vAlign w:val="bottom"/>
            <w:hideMark/>
          </w:tcPr>
          <w:p w14:paraId="3ED21800" w14:textId="77777777" w:rsidR="008D2F6F" w:rsidRPr="008D2F6F" w:rsidRDefault="008D2F6F" w:rsidP="008D2F6F">
            <w:pPr>
              <w:spacing w:after="0" w:line="240" w:lineRule="auto"/>
              <w:jc w:val="right"/>
              <w:rPr>
                <w:rFonts w:eastAsia="Times New Roman" w:cs="Calibri"/>
                <w:color w:val="000000"/>
                <w:sz w:val="20"/>
                <w:szCs w:val="20"/>
                <w:lang w:val="en-US"/>
              </w:rPr>
            </w:pPr>
            <w:r w:rsidRPr="008D2F6F">
              <w:rPr>
                <w:rFonts w:eastAsia="Times New Roman" w:cs="Calibri"/>
                <w:color w:val="000000"/>
                <w:sz w:val="20"/>
                <w:szCs w:val="20"/>
                <w:lang w:val="en-US"/>
              </w:rPr>
              <w:t>-13,03%</w:t>
            </w:r>
          </w:p>
        </w:tc>
      </w:tr>
      <w:tr w:rsidR="008D2F6F" w:rsidRPr="008D2F6F" w14:paraId="41479D0C" w14:textId="77777777" w:rsidTr="008D2F6F">
        <w:trPr>
          <w:trHeight w:val="300"/>
        </w:trPr>
        <w:tc>
          <w:tcPr>
            <w:tcW w:w="818" w:type="dxa"/>
            <w:tcBorders>
              <w:top w:val="nil"/>
              <w:left w:val="single" w:sz="8" w:space="0" w:color="auto"/>
              <w:bottom w:val="single" w:sz="8" w:space="0" w:color="auto"/>
              <w:right w:val="single" w:sz="8" w:space="0" w:color="auto"/>
            </w:tcBorders>
            <w:shd w:val="clear" w:color="auto" w:fill="auto"/>
            <w:noWrap/>
            <w:vAlign w:val="bottom"/>
            <w:hideMark/>
          </w:tcPr>
          <w:p w14:paraId="2E50300E" w14:textId="77777777" w:rsidR="008D2F6F" w:rsidRPr="008D2F6F" w:rsidRDefault="008D2F6F" w:rsidP="008D2F6F">
            <w:pPr>
              <w:spacing w:after="0" w:line="240" w:lineRule="auto"/>
              <w:jc w:val="center"/>
              <w:rPr>
                <w:rFonts w:eastAsia="Times New Roman" w:cs="Calibri"/>
                <w:b/>
                <w:bCs/>
                <w:color w:val="000000"/>
                <w:sz w:val="20"/>
                <w:szCs w:val="20"/>
                <w:lang w:val="en-US"/>
              </w:rPr>
            </w:pPr>
            <w:r w:rsidRPr="008D2F6F">
              <w:rPr>
                <w:rFonts w:eastAsia="Times New Roman" w:cs="Calibri"/>
                <w:b/>
                <w:bCs/>
                <w:color w:val="000000"/>
                <w:sz w:val="20"/>
                <w:szCs w:val="20"/>
                <w:lang w:val="en-US"/>
              </w:rPr>
              <w:t>15980</w:t>
            </w:r>
          </w:p>
        </w:tc>
        <w:tc>
          <w:tcPr>
            <w:tcW w:w="3992" w:type="dxa"/>
            <w:tcBorders>
              <w:top w:val="nil"/>
              <w:left w:val="nil"/>
              <w:bottom w:val="single" w:sz="8" w:space="0" w:color="auto"/>
              <w:right w:val="single" w:sz="8" w:space="0" w:color="auto"/>
            </w:tcBorders>
            <w:shd w:val="clear" w:color="auto" w:fill="auto"/>
            <w:vAlign w:val="center"/>
            <w:hideMark/>
          </w:tcPr>
          <w:p w14:paraId="55504BFF" w14:textId="77777777" w:rsidR="008D2F6F" w:rsidRPr="008D2F6F" w:rsidRDefault="008D2F6F" w:rsidP="008D2F6F">
            <w:pPr>
              <w:spacing w:after="0" w:line="240" w:lineRule="auto"/>
              <w:jc w:val="left"/>
              <w:rPr>
                <w:rFonts w:eastAsia="Times New Roman" w:cs="Calibri"/>
                <w:color w:val="000000"/>
                <w:sz w:val="20"/>
                <w:szCs w:val="20"/>
              </w:rPr>
            </w:pPr>
            <w:r w:rsidRPr="008D2F6F">
              <w:rPr>
                <w:rFonts w:eastAsia="Times New Roman" w:cs="Calibri"/>
                <w:color w:val="000000"/>
                <w:sz w:val="20"/>
                <w:szCs w:val="20"/>
              </w:rPr>
              <w:t>Unión Nacional de Gobiernos Locales</w:t>
            </w:r>
          </w:p>
        </w:tc>
        <w:tc>
          <w:tcPr>
            <w:tcW w:w="1134" w:type="dxa"/>
            <w:tcBorders>
              <w:top w:val="nil"/>
              <w:left w:val="nil"/>
              <w:bottom w:val="nil"/>
              <w:right w:val="single" w:sz="8" w:space="0" w:color="auto"/>
            </w:tcBorders>
            <w:shd w:val="clear" w:color="auto" w:fill="auto"/>
            <w:noWrap/>
            <w:vAlign w:val="bottom"/>
            <w:hideMark/>
          </w:tcPr>
          <w:p w14:paraId="04805759" w14:textId="77777777" w:rsidR="008D2F6F" w:rsidRPr="008D2F6F" w:rsidRDefault="008D2F6F" w:rsidP="008D2F6F">
            <w:pPr>
              <w:spacing w:after="0" w:line="240" w:lineRule="auto"/>
              <w:jc w:val="right"/>
              <w:rPr>
                <w:rFonts w:eastAsia="Times New Roman" w:cs="Calibri"/>
                <w:color w:val="000000"/>
                <w:sz w:val="20"/>
                <w:szCs w:val="20"/>
                <w:lang w:val="en-US"/>
              </w:rPr>
            </w:pPr>
            <w:r w:rsidRPr="008D2F6F">
              <w:rPr>
                <w:rFonts w:eastAsia="Times New Roman" w:cs="Calibri"/>
                <w:color w:val="000000"/>
                <w:sz w:val="20"/>
                <w:szCs w:val="20"/>
                <w:lang w:val="en-US"/>
              </w:rPr>
              <w:t>326,19</w:t>
            </w:r>
          </w:p>
        </w:tc>
        <w:tc>
          <w:tcPr>
            <w:tcW w:w="1120" w:type="dxa"/>
            <w:tcBorders>
              <w:top w:val="nil"/>
              <w:left w:val="nil"/>
              <w:bottom w:val="nil"/>
              <w:right w:val="single" w:sz="8" w:space="0" w:color="auto"/>
            </w:tcBorders>
            <w:shd w:val="clear" w:color="auto" w:fill="auto"/>
            <w:noWrap/>
            <w:vAlign w:val="bottom"/>
            <w:hideMark/>
          </w:tcPr>
          <w:p w14:paraId="4AA39F6A" w14:textId="77777777" w:rsidR="008D2F6F" w:rsidRPr="008D2F6F" w:rsidRDefault="008D2F6F" w:rsidP="008D2F6F">
            <w:pPr>
              <w:spacing w:after="0" w:line="240" w:lineRule="auto"/>
              <w:jc w:val="right"/>
              <w:rPr>
                <w:rFonts w:eastAsia="Times New Roman" w:cs="Calibri"/>
                <w:color w:val="000000"/>
                <w:sz w:val="20"/>
                <w:szCs w:val="20"/>
                <w:lang w:val="en-US"/>
              </w:rPr>
            </w:pPr>
            <w:r w:rsidRPr="008D2F6F">
              <w:rPr>
                <w:rFonts w:eastAsia="Times New Roman" w:cs="Calibri"/>
                <w:color w:val="000000"/>
                <w:sz w:val="20"/>
                <w:szCs w:val="20"/>
                <w:lang w:val="en-US"/>
              </w:rPr>
              <w:t>375,05</w:t>
            </w:r>
          </w:p>
        </w:tc>
        <w:tc>
          <w:tcPr>
            <w:tcW w:w="1148" w:type="dxa"/>
            <w:tcBorders>
              <w:top w:val="nil"/>
              <w:left w:val="nil"/>
              <w:bottom w:val="single" w:sz="8" w:space="0" w:color="auto"/>
              <w:right w:val="single" w:sz="8" w:space="0" w:color="auto"/>
            </w:tcBorders>
            <w:shd w:val="clear" w:color="auto" w:fill="auto"/>
            <w:noWrap/>
            <w:vAlign w:val="bottom"/>
            <w:hideMark/>
          </w:tcPr>
          <w:p w14:paraId="02277430" w14:textId="77777777" w:rsidR="008D2F6F" w:rsidRPr="008D2F6F" w:rsidRDefault="008D2F6F" w:rsidP="008D2F6F">
            <w:pPr>
              <w:spacing w:after="0" w:line="240" w:lineRule="auto"/>
              <w:jc w:val="right"/>
              <w:rPr>
                <w:rFonts w:eastAsia="Times New Roman" w:cs="Calibri"/>
                <w:color w:val="000000"/>
                <w:sz w:val="20"/>
                <w:szCs w:val="20"/>
                <w:lang w:val="en-US"/>
              </w:rPr>
            </w:pPr>
            <w:r w:rsidRPr="008D2F6F">
              <w:rPr>
                <w:rFonts w:eastAsia="Times New Roman" w:cs="Calibri"/>
                <w:color w:val="000000"/>
                <w:sz w:val="20"/>
                <w:szCs w:val="20"/>
                <w:lang w:val="en-US"/>
              </w:rPr>
              <w:t>-48,86</w:t>
            </w:r>
          </w:p>
        </w:tc>
        <w:tc>
          <w:tcPr>
            <w:tcW w:w="955" w:type="dxa"/>
            <w:tcBorders>
              <w:top w:val="nil"/>
              <w:left w:val="nil"/>
              <w:bottom w:val="single" w:sz="8" w:space="0" w:color="auto"/>
              <w:right w:val="single" w:sz="8" w:space="0" w:color="auto"/>
            </w:tcBorders>
            <w:shd w:val="clear" w:color="auto" w:fill="auto"/>
            <w:noWrap/>
            <w:vAlign w:val="bottom"/>
            <w:hideMark/>
          </w:tcPr>
          <w:p w14:paraId="3EA0FE46" w14:textId="77777777" w:rsidR="008D2F6F" w:rsidRPr="008D2F6F" w:rsidRDefault="008D2F6F" w:rsidP="008D2F6F">
            <w:pPr>
              <w:spacing w:after="0" w:line="240" w:lineRule="auto"/>
              <w:jc w:val="right"/>
              <w:rPr>
                <w:rFonts w:eastAsia="Times New Roman" w:cs="Calibri"/>
                <w:color w:val="000000"/>
                <w:sz w:val="20"/>
                <w:szCs w:val="20"/>
                <w:lang w:val="en-US"/>
              </w:rPr>
            </w:pPr>
            <w:r w:rsidRPr="008D2F6F">
              <w:rPr>
                <w:rFonts w:eastAsia="Times New Roman" w:cs="Calibri"/>
                <w:color w:val="000000"/>
                <w:sz w:val="20"/>
                <w:szCs w:val="20"/>
                <w:lang w:val="en-US"/>
              </w:rPr>
              <w:t>-13,03%</w:t>
            </w:r>
          </w:p>
        </w:tc>
      </w:tr>
      <w:tr w:rsidR="008D2F6F" w:rsidRPr="008D2F6F" w14:paraId="3D2C9F16" w14:textId="77777777" w:rsidTr="008D2F6F">
        <w:trPr>
          <w:trHeight w:val="300"/>
        </w:trPr>
        <w:tc>
          <w:tcPr>
            <w:tcW w:w="818" w:type="dxa"/>
            <w:tcBorders>
              <w:top w:val="nil"/>
              <w:left w:val="single" w:sz="8" w:space="0" w:color="auto"/>
              <w:bottom w:val="single" w:sz="8" w:space="0" w:color="auto"/>
              <w:right w:val="single" w:sz="8" w:space="0" w:color="auto"/>
            </w:tcBorders>
            <w:shd w:val="clear" w:color="auto" w:fill="auto"/>
            <w:noWrap/>
            <w:vAlign w:val="bottom"/>
            <w:hideMark/>
          </w:tcPr>
          <w:p w14:paraId="7360A920" w14:textId="77777777" w:rsidR="008D2F6F" w:rsidRPr="008D2F6F" w:rsidRDefault="008D2F6F" w:rsidP="008D2F6F">
            <w:pPr>
              <w:spacing w:after="0" w:line="240" w:lineRule="auto"/>
              <w:jc w:val="left"/>
              <w:rPr>
                <w:rFonts w:ascii="Calibri" w:eastAsia="Times New Roman" w:hAnsi="Calibri" w:cs="Calibri"/>
                <w:color w:val="000000"/>
                <w:sz w:val="22"/>
                <w:lang w:val="en-US"/>
              </w:rPr>
            </w:pPr>
            <w:r w:rsidRPr="008D2F6F">
              <w:rPr>
                <w:rFonts w:ascii="Calibri" w:eastAsia="Times New Roman" w:hAnsi="Calibri" w:cs="Calibri"/>
                <w:color w:val="000000"/>
                <w:sz w:val="22"/>
                <w:lang w:val="en-US"/>
              </w:rPr>
              <w:t> </w:t>
            </w:r>
          </w:p>
        </w:tc>
        <w:tc>
          <w:tcPr>
            <w:tcW w:w="3992" w:type="dxa"/>
            <w:tcBorders>
              <w:top w:val="nil"/>
              <w:left w:val="nil"/>
              <w:bottom w:val="single" w:sz="8" w:space="0" w:color="auto"/>
              <w:right w:val="single" w:sz="8" w:space="0" w:color="auto"/>
            </w:tcBorders>
            <w:shd w:val="clear" w:color="auto" w:fill="auto"/>
            <w:noWrap/>
            <w:vAlign w:val="bottom"/>
            <w:hideMark/>
          </w:tcPr>
          <w:p w14:paraId="5E4533AC" w14:textId="77777777" w:rsidR="008D2F6F" w:rsidRPr="008D2F6F" w:rsidRDefault="008D2F6F" w:rsidP="008D2F6F">
            <w:pPr>
              <w:spacing w:after="0" w:line="240" w:lineRule="auto"/>
              <w:jc w:val="center"/>
              <w:rPr>
                <w:rFonts w:eastAsia="Times New Roman" w:cs="Calibri"/>
                <w:b/>
                <w:bCs/>
                <w:color w:val="000000"/>
                <w:sz w:val="20"/>
                <w:szCs w:val="20"/>
                <w:lang w:val="en-US"/>
              </w:rPr>
            </w:pPr>
            <w:r w:rsidRPr="008D2F6F">
              <w:rPr>
                <w:rFonts w:eastAsia="Times New Roman" w:cs="Calibri"/>
                <w:b/>
                <w:bCs/>
                <w:color w:val="000000"/>
                <w:sz w:val="20"/>
                <w:szCs w:val="20"/>
                <w:lang w:val="en-US"/>
              </w:rPr>
              <w:t>TOTALES</w:t>
            </w:r>
          </w:p>
        </w:tc>
        <w:tc>
          <w:tcPr>
            <w:tcW w:w="1134"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1FDC41DA" w14:textId="77777777" w:rsidR="008D2F6F" w:rsidRPr="008D2F6F" w:rsidRDefault="008D2F6F" w:rsidP="008D2F6F">
            <w:pPr>
              <w:spacing w:after="0" w:line="240" w:lineRule="auto"/>
              <w:jc w:val="right"/>
              <w:rPr>
                <w:rFonts w:eastAsia="Times New Roman" w:cs="Calibri"/>
                <w:b/>
                <w:bCs/>
                <w:color w:val="000000"/>
                <w:sz w:val="20"/>
                <w:szCs w:val="20"/>
                <w:lang w:val="en-US"/>
              </w:rPr>
            </w:pPr>
            <w:r w:rsidRPr="008D2F6F">
              <w:rPr>
                <w:rFonts w:ascii="Arial" w:eastAsia="Times New Roman" w:hAnsi="Arial" w:cs="Arial"/>
                <w:b/>
                <w:bCs/>
                <w:color w:val="000000"/>
                <w:sz w:val="20"/>
                <w:szCs w:val="20"/>
                <w:lang w:val="en-US"/>
              </w:rPr>
              <w:t>₡</w:t>
            </w:r>
            <w:r w:rsidRPr="008D2F6F">
              <w:rPr>
                <w:rFonts w:eastAsia="Times New Roman" w:cs="Calibri"/>
                <w:b/>
                <w:bCs/>
                <w:color w:val="000000"/>
                <w:sz w:val="20"/>
                <w:szCs w:val="20"/>
                <w:lang w:val="en-US"/>
              </w:rPr>
              <w:t>39 365,96</w:t>
            </w:r>
          </w:p>
        </w:tc>
        <w:tc>
          <w:tcPr>
            <w:tcW w:w="112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5FD6FF0B" w14:textId="77777777" w:rsidR="008D2F6F" w:rsidRPr="008D2F6F" w:rsidRDefault="008D2F6F" w:rsidP="008D2F6F">
            <w:pPr>
              <w:spacing w:after="0" w:line="240" w:lineRule="auto"/>
              <w:jc w:val="right"/>
              <w:rPr>
                <w:rFonts w:eastAsia="Times New Roman" w:cs="Calibri"/>
                <w:b/>
                <w:bCs/>
                <w:color w:val="000000"/>
                <w:sz w:val="20"/>
                <w:szCs w:val="20"/>
                <w:lang w:val="en-US"/>
              </w:rPr>
            </w:pPr>
            <w:r w:rsidRPr="008D2F6F">
              <w:rPr>
                <w:rFonts w:ascii="Arial" w:eastAsia="Times New Roman" w:hAnsi="Arial" w:cs="Arial"/>
                <w:b/>
                <w:bCs/>
                <w:color w:val="000000"/>
                <w:sz w:val="20"/>
                <w:szCs w:val="20"/>
                <w:lang w:val="en-US"/>
              </w:rPr>
              <w:t>₡</w:t>
            </w:r>
            <w:r w:rsidRPr="008D2F6F">
              <w:rPr>
                <w:rFonts w:eastAsia="Times New Roman" w:cs="Calibri"/>
                <w:b/>
                <w:bCs/>
                <w:color w:val="000000"/>
                <w:sz w:val="20"/>
                <w:szCs w:val="20"/>
                <w:lang w:val="en-US"/>
              </w:rPr>
              <w:t>36 152,16</w:t>
            </w:r>
          </w:p>
        </w:tc>
        <w:tc>
          <w:tcPr>
            <w:tcW w:w="1148" w:type="dxa"/>
            <w:tcBorders>
              <w:top w:val="nil"/>
              <w:left w:val="single" w:sz="4" w:space="0" w:color="auto"/>
              <w:bottom w:val="single" w:sz="8" w:space="0" w:color="auto"/>
              <w:right w:val="single" w:sz="8" w:space="0" w:color="auto"/>
            </w:tcBorders>
            <w:shd w:val="clear" w:color="auto" w:fill="auto"/>
            <w:noWrap/>
            <w:vAlign w:val="bottom"/>
            <w:hideMark/>
          </w:tcPr>
          <w:p w14:paraId="56032156" w14:textId="77777777" w:rsidR="008D2F6F" w:rsidRPr="008D2F6F" w:rsidRDefault="008D2F6F" w:rsidP="008D2F6F">
            <w:pPr>
              <w:spacing w:after="0" w:line="240" w:lineRule="auto"/>
              <w:jc w:val="right"/>
              <w:rPr>
                <w:rFonts w:eastAsia="Times New Roman" w:cs="Calibri"/>
                <w:b/>
                <w:bCs/>
                <w:color w:val="000000"/>
                <w:sz w:val="20"/>
                <w:szCs w:val="20"/>
                <w:lang w:val="en-US"/>
              </w:rPr>
            </w:pPr>
            <w:r w:rsidRPr="008D2F6F">
              <w:rPr>
                <w:rFonts w:ascii="Arial" w:eastAsia="Times New Roman" w:hAnsi="Arial" w:cs="Arial"/>
                <w:b/>
                <w:bCs/>
                <w:color w:val="000000"/>
                <w:sz w:val="20"/>
                <w:szCs w:val="20"/>
                <w:lang w:val="en-US"/>
              </w:rPr>
              <w:t>₡</w:t>
            </w:r>
            <w:r w:rsidRPr="008D2F6F">
              <w:rPr>
                <w:rFonts w:eastAsia="Times New Roman" w:cs="Calibri"/>
                <w:b/>
                <w:bCs/>
                <w:color w:val="000000"/>
                <w:sz w:val="20"/>
                <w:szCs w:val="20"/>
                <w:lang w:val="en-US"/>
              </w:rPr>
              <w:t>3 213,79</w:t>
            </w:r>
          </w:p>
        </w:tc>
        <w:tc>
          <w:tcPr>
            <w:tcW w:w="955" w:type="dxa"/>
            <w:tcBorders>
              <w:top w:val="nil"/>
              <w:left w:val="nil"/>
              <w:bottom w:val="single" w:sz="8" w:space="0" w:color="auto"/>
              <w:right w:val="single" w:sz="8" w:space="0" w:color="auto"/>
            </w:tcBorders>
            <w:shd w:val="clear" w:color="auto" w:fill="auto"/>
            <w:noWrap/>
            <w:vAlign w:val="bottom"/>
            <w:hideMark/>
          </w:tcPr>
          <w:p w14:paraId="5122C000" w14:textId="77777777" w:rsidR="008D2F6F" w:rsidRPr="008D2F6F" w:rsidRDefault="008D2F6F" w:rsidP="008D2F6F">
            <w:pPr>
              <w:spacing w:after="0" w:line="240" w:lineRule="auto"/>
              <w:jc w:val="right"/>
              <w:rPr>
                <w:rFonts w:eastAsia="Times New Roman" w:cs="Calibri"/>
                <w:b/>
                <w:bCs/>
                <w:color w:val="000000"/>
                <w:sz w:val="20"/>
                <w:szCs w:val="20"/>
                <w:lang w:val="en-US"/>
              </w:rPr>
            </w:pPr>
            <w:r w:rsidRPr="008D2F6F">
              <w:rPr>
                <w:rFonts w:eastAsia="Times New Roman" w:cs="Calibri"/>
                <w:b/>
                <w:bCs/>
                <w:color w:val="000000"/>
                <w:sz w:val="20"/>
                <w:szCs w:val="20"/>
                <w:lang w:val="en-US"/>
              </w:rPr>
              <w:t>8,89%</w:t>
            </w:r>
          </w:p>
        </w:tc>
      </w:tr>
    </w:tbl>
    <w:p w14:paraId="36F27CFC" w14:textId="77777777" w:rsidR="008475DF" w:rsidRPr="008D2F6F" w:rsidRDefault="008475DF" w:rsidP="008D76DB">
      <w:pPr>
        <w:spacing w:line="240" w:lineRule="auto"/>
        <w:rPr>
          <w:rFonts w:eastAsia="Calibri"/>
          <w:iCs/>
        </w:rPr>
      </w:pPr>
    </w:p>
    <w:p w14:paraId="1EB6D1B9" w14:textId="77777777" w:rsidR="008D76DB" w:rsidRPr="008D2F6F" w:rsidRDefault="008D76DB" w:rsidP="00846655">
      <w:pPr>
        <w:rPr>
          <w:rFonts w:eastAsia="Calibri"/>
          <w:iCs/>
        </w:rPr>
      </w:pPr>
    </w:p>
    <w:p w14:paraId="154ED7AE" w14:textId="77777777" w:rsidR="00692DC8" w:rsidRPr="00692DC8" w:rsidRDefault="00692DC8" w:rsidP="00846655">
      <w:pPr>
        <w:pStyle w:val="Ttulo4"/>
        <w:spacing w:after="240"/>
        <w:rPr>
          <w:rFonts w:eastAsia="Times New Roman"/>
        </w:rPr>
      </w:pPr>
      <w:bookmarkStart w:id="337" w:name="_Toc13041123"/>
      <w:bookmarkStart w:id="338" w:name="_Toc14345122"/>
      <w:bookmarkStart w:id="339" w:name="_Toc33601231"/>
      <w:bookmarkStart w:id="340" w:name="_Toc82768933"/>
      <w:bookmarkStart w:id="341" w:name="_Toc173245241"/>
      <w:r w:rsidRPr="00692DC8">
        <w:rPr>
          <w:rFonts w:eastAsia="Times New Roman"/>
        </w:rPr>
        <w:t>NOTA N° 15</w:t>
      </w:r>
      <w:bookmarkEnd w:id="337"/>
      <w:bookmarkEnd w:id="338"/>
      <w:bookmarkEnd w:id="339"/>
      <w:bookmarkEnd w:id="340"/>
      <w:bookmarkEnd w:id="341"/>
    </w:p>
    <w:p w14:paraId="1A907ABC" w14:textId="77777777" w:rsidR="00694299" w:rsidRDefault="00692DC8" w:rsidP="001242F7">
      <w:pPr>
        <w:spacing w:after="120" w:line="240" w:lineRule="auto"/>
        <w:rPr>
          <w:rFonts w:asciiTheme="minorHAnsi" w:hAnsiTheme="minorHAnsi"/>
          <w:sz w:val="22"/>
        </w:rPr>
      </w:pPr>
      <w:bookmarkStart w:id="342" w:name="_Toc82768934"/>
      <w:r w:rsidRPr="00692DC8">
        <w:rPr>
          <w:rFonts w:eastAsia="Times New Roman"/>
        </w:rPr>
        <w:t>Endeudamiento público a corto plazo</w:t>
      </w:r>
      <w:bookmarkEnd w:id="342"/>
      <w:r w:rsidR="0057029C">
        <w:rPr>
          <w:rFonts w:eastAsiaTheme="majorEastAsia" w:cstheme="majorBidi"/>
          <w:iCs/>
          <w:lang w:val="es-ES"/>
        </w:rPr>
        <w:fldChar w:fldCharType="begin"/>
      </w:r>
      <w:r w:rsidR="0057029C">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NOTAS_POR_CUENTA!F119C1:F121C6 </w:instrText>
      </w:r>
      <w:r w:rsidR="0057029C">
        <w:rPr>
          <w:lang w:val="es-ES"/>
        </w:rPr>
        <w:instrText xml:space="preserve">\a \f 4 \h </w:instrText>
      </w:r>
      <w:r w:rsidR="0057029C">
        <w:rPr>
          <w:b/>
          <w:lang w:val="es-ES"/>
        </w:rPr>
        <w:fldChar w:fldCharType="separate"/>
      </w:r>
    </w:p>
    <w:p w14:paraId="50D7506C" w14:textId="591AF887" w:rsidR="00C572A3" w:rsidRDefault="0057029C" w:rsidP="008D2F6F">
      <w:pPr>
        <w:spacing w:after="0" w:line="240" w:lineRule="auto"/>
        <w:rPr>
          <w:rFonts w:asciiTheme="minorHAnsi" w:hAnsiTheme="minorHAnsi"/>
          <w:sz w:val="22"/>
        </w:rPr>
      </w:pPr>
      <w:r>
        <w:rPr>
          <w:b/>
          <w:bCs/>
          <w:lang w:val="es-ES"/>
        </w:rPr>
        <w:fldChar w:fldCharType="end"/>
      </w:r>
      <w:r w:rsidR="001242F7">
        <w:rPr>
          <w:b/>
          <w:bCs/>
          <w:lang w:val="es-ES"/>
        </w:rPr>
        <w:fldChar w:fldCharType="begin"/>
      </w:r>
      <w:r w:rsidR="001242F7">
        <w:rPr>
          <w:b/>
          <w:bCs/>
          <w:lang w:val="es-ES"/>
        </w:rPr>
        <w:instrText xml:space="preserve"> LINK </w:instrText>
      </w:r>
      <w:r w:rsidR="0068177A">
        <w:rPr>
          <w:b/>
          <w:bCs/>
          <w:lang w:val="es-ES"/>
        </w:rPr>
        <w:instrText xml:space="preserve">Excel.SheetMacroEnabled.12 "C:\\Users\\arges\\OneDrive\\Desktop\\Municipalidades\\Buenos Aires\\Cierre Junio 2024\\Notas Contables\\15603_T02_2024_Anexo_Estado_Notas_Contables_Vinculadas.xlsm" NOTAS_POR_CUENTA!R119C1:R121C6 </w:instrText>
      </w:r>
      <w:r w:rsidR="001242F7">
        <w:rPr>
          <w:b/>
          <w:bCs/>
          <w:lang w:val="es-ES"/>
        </w:rPr>
        <w:instrText xml:space="preserve">\a \f 4 \h </w:instrText>
      </w:r>
      <w:r w:rsidR="001242F7">
        <w:rPr>
          <w:b/>
          <w:bCs/>
          <w:lang w:val="es-ES"/>
        </w:rPr>
        <w:fldChar w:fldCharType="separate"/>
      </w:r>
    </w:p>
    <w:tbl>
      <w:tblPr>
        <w:tblW w:w="10080" w:type="dxa"/>
        <w:tblLook w:val="04A0" w:firstRow="1" w:lastRow="0" w:firstColumn="1" w:lastColumn="0" w:noHBand="0" w:noVBand="1"/>
      </w:tblPr>
      <w:tblGrid>
        <w:gridCol w:w="717"/>
        <w:gridCol w:w="3339"/>
        <w:gridCol w:w="544"/>
        <w:gridCol w:w="2200"/>
        <w:gridCol w:w="2200"/>
        <w:gridCol w:w="1080"/>
      </w:tblGrid>
      <w:tr w:rsidR="00C572A3" w:rsidRPr="00C572A3" w14:paraId="030A1343" w14:textId="77777777" w:rsidTr="00C572A3">
        <w:trPr>
          <w:divId w:val="809982397"/>
          <w:trHeight w:val="320"/>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14F6578" w14:textId="5350764D" w:rsidR="00C572A3" w:rsidRPr="00C572A3" w:rsidRDefault="00C572A3" w:rsidP="00C572A3">
            <w:pP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DF48FA7"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Descripción</w:t>
            </w:r>
          </w:p>
        </w:tc>
        <w:tc>
          <w:tcPr>
            <w:tcW w:w="5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A37B217"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Nota</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5B7ED94"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Actual </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C221CB6"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Anterior </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13B432B5"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Diferencia </w:t>
            </w:r>
          </w:p>
        </w:tc>
      </w:tr>
      <w:tr w:rsidR="00C572A3" w:rsidRPr="00C572A3" w14:paraId="664A05EB" w14:textId="77777777" w:rsidTr="00C572A3">
        <w:trPr>
          <w:divId w:val="809982397"/>
          <w:trHeight w:val="320"/>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3491AC16"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53838B0E"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14:paraId="787A785E"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0D6897A7"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008E8B8F"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1080" w:type="dxa"/>
            <w:tcBorders>
              <w:top w:val="nil"/>
              <w:left w:val="nil"/>
              <w:bottom w:val="single" w:sz="8" w:space="0" w:color="auto"/>
              <w:right w:val="single" w:sz="8" w:space="0" w:color="auto"/>
            </w:tcBorders>
            <w:shd w:val="clear" w:color="000000" w:fill="366092"/>
            <w:noWrap/>
            <w:vAlign w:val="center"/>
            <w:hideMark/>
          </w:tcPr>
          <w:p w14:paraId="778C8EAA" w14:textId="77777777" w:rsidR="00C572A3" w:rsidRPr="00C572A3" w:rsidRDefault="00C572A3" w:rsidP="00C572A3">
            <w:pPr>
              <w:spacing w:after="0" w:line="240" w:lineRule="auto"/>
              <w:jc w:val="center"/>
              <w:rPr>
                <w:rFonts w:eastAsia="Times New Roman" w:cs="Calibri"/>
                <w:color w:val="FFFFFF"/>
                <w:sz w:val="18"/>
                <w:szCs w:val="18"/>
                <w:lang w:val="en-US"/>
              </w:rPr>
            </w:pPr>
            <w:r w:rsidRPr="00C572A3">
              <w:rPr>
                <w:rFonts w:eastAsia="Times New Roman" w:cs="Calibri"/>
                <w:color w:val="FFFFFF"/>
                <w:sz w:val="18"/>
                <w:szCs w:val="18"/>
                <w:lang w:val="en-US"/>
              </w:rPr>
              <w:t>%</w:t>
            </w:r>
          </w:p>
        </w:tc>
      </w:tr>
      <w:tr w:rsidR="00C572A3" w:rsidRPr="00C572A3" w14:paraId="354F1AB4" w14:textId="77777777" w:rsidTr="00C572A3">
        <w:trPr>
          <w:divId w:val="809982397"/>
          <w:trHeight w:val="320"/>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40D1FEFC" w14:textId="77777777" w:rsidR="00C572A3" w:rsidRPr="00C572A3" w:rsidRDefault="00C572A3" w:rsidP="00C572A3">
            <w:pPr>
              <w:spacing w:after="0" w:line="240" w:lineRule="auto"/>
              <w:jc w:val="left"/>
              <w:rPr>
                <w:rFonts w:eastAsia="Times New Roman" w:cs="Calibri"/>
                <w:b/>
                <w:bCs/>
                <w:color w:val="000000"/>
                <w:sz w:val="18"/>
                <w:szCs w:val="18"/>
                <w:lang w:val="en-US"/>
              </w:rPr>
            </w:pPr>
            <w:r w:rsidRPr="00C572A3">
              <w:rPr>
                <w:rFonts w:eastAsia="Times New Roman" w:cs="Calibri"/>
                <w:b/>
                <w:bCs/>
                <w:color w:val="000000"/>
                <w:sz w:val="18"/>
                <w:szCs w:val="18"/>
                <w:lang w:val="en-US"/>
              </w:rPr>
              <w:t>2.1.2.</w:t>
            </w:r>
          </w:p>
        </w:tc>
        <w:tc>
          <w:tcPr>
            <w:tcW w:w="3380" w:type="dxa"/>
            <w:tcBorders>
              <w:top w:val="nil"/>
              <w:left w:val="nil"/>
              <w:bottom w:val="single" w:sz="8" w:space="0" w:color="auto"/>
              <w:right w:val="single" w:sz="8" w:space="0" w:color="auto"/>
            </w:tcBorders>
            <w:shd w:val="clear" w:color="auto" w:fill="auto"/>
            <w:vAlign w:val="center"/>
            <w:hideMark/>
          </w:tcPr>
          <w:p w14:paraId="532FD1A1" w14:textId="77777777" w:rsidR="00C572A3" w:rsidRPr="00C572A3" w:rsidRDefault="00C572A3" w:rsidP="00C572A3">
            <w:pPr>
              <w:spacing w:after="0" w:line="240" w:lineRule="auto"/>
              <w:jc w:val="left"/>
              <w:rPr>
                <w:rFonts w:eastAsia="Times New Roman" w:cs="Calibri"/>
                <w:b/>
                <w:bCs/>
                <w:color w:val="000000"/>
                <w:sz w:val="18"/>
                <w:szCs w:val="18"/>
              </w:rPr>
            </w:pPr>
            <w:r w:rsidRPr="00C572A3">
              <w:rPr>
                <w:rFonts w:eastAsia="Times New Roman" w:cs="Calibri"/>
                <w:b/>
                <w:bCs/>
                <w:color w:val="000000"/>
                <w:sz w:val="18"/>
                <w:szCs w:val="18"/>
              </w:rPr>
              <w:t>Endeudamiento público a corto plazo</w:t>
            </w:r>
          </w:p>
        </w:tc>
        <w:tc>
          <w:tcPr>
            <w:tcW w:w="520" w:type="dxa"/>
            <w:tcBorders>
              <w:top w:val="nil"/>
              <w:left w:val="nil"/>
              <w:bottom w:val="single" w:sz="8" w:space="0" w:color="auto"/>
              <w:right w:val="single" w:sz="8" w:space="0" w:color="auto"/>
            </w:tcBorders>
            <w:shd w:val="clear" w:color="auto" w:fill="auto"/>
            <w:noWrap/>
            <w:vAlign w:val="center"/>
            <w:hideMark/>
          </w:tcPr>
          <w:p w14:paraId="6C89DD49"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15</w:t>
            </w:r>
          </w:p>
        </w:tc>
        <w:tc>
          <w:tcPr>
            <w:tcW w:w="2200" w:type="dxa"/>
            <w:tcBorders>
              <w:top w:val="nil"/>
              <w:left w:val="nil"/>
              <w:bottom w:val="single" w:sz="8" w:space="0" w:color="auto"/>
              <w:right w:val="single" w:sz="8" w:space="0" w:color="auto"/>
            </w:tcBorders>
            <w:shd w:val="clear" w:color="auto" w:fill="auto"/>
            <w:noWrap/>
            <w:vAlign w:val="center"/>
            <w:hideMark/>
          </w:tcPr>
          <w:p w14:paraId="7FFB2483"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485 546,60 </w:t>
            </w:r>
          </w:p>
        </w:tc>
        <w:tc>
          <w:tcPr>
            <w:tcW w:w="2200" w:type="dxa"/>
            <w:tcBorders>
              <w:top w:val="nil"/>
              <w:left w:val="nil"/>
              <w:bottom w:val="single" w:sz="8" w:space="0" w:color="auto"/>
              <w:right w:val="single" w:sz="8" w:space="0" w:color="auto"/>
            </w:tcBorders>
            <w:shd w:val="clear" w:color="auto" w:fill="auto"/>
            <w:noWrap/>
            <w:vAlign w:val="center"/>
            <w:hideMark/>
          </w:tcPr>
          <w:p w14:paraId="60B4C47A"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329 795,99 </w:t>
            </w:r>
          </w:p>
        </w:tc>
        <w:tc>
          <w:tcPr>
            <w:tcW w:w="1080" w:type="dxa"/>
            <w:tcBorders>
              <w:top w:val="nil"/>
              <w:left w:val="nil"/>
              <w:bottom w:val="single" w:sz="8" w:space="0" w:color="auto"/>
              <w:right w:val="single" w:sz="8" w:space="0" w:color="auto"/>
            </w:tcBorders>
            <w:shd w:val="clear" w:color="auto" w:fill="auto"/>
            <w:noWrap/>
            <w:vAlign w:val="center"/>
            <w:hideMark/>
          </w:tcPr>
          <w:p w14:paraId="11E26526"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47,23%</w:t>
            </w:r>
          </w:p>
        </w:tc>
      </w:tr>
    </w:tbl>
    <w:p w14:paraId="6EA61C43" w14:textId="77777777" w:rsidR="008D2F6F" w:rsidRDefault="001242F7" w:rsidP="008D2F6F">
      <w:pPr>
        <w:spacing w:after="0" w:line="240" w:lineRule="auto"/>
        <w:rPr>
          <w:b/>
          <w:bCs/>
          <w:lang w:val="es-ES"/>
        </w:rPr>
      </w:pPr>
      <w:r>
        <w:rPr>
          <w:b/>
          <w:bCs/>
          <w:lang w:val="es-ES"/>
        </w:rPr>
        <w:fldChar w:fldCharType="end"/>
      </w:r>
    </w:p>
    <w:p w14:paraId="47DEA044" w14:textId="078E06C3" w:rsidR="00694299" w:rsidRPr="00694299" w:rsidRDefault="00692DC8" w:rsidP="008D2F6F">
      <w:pPr>
        <w:spacing w:after="0" w:line="240" w:lineRule="auto"/>
        <w:rPr>
          <w:b/>
          <w:bCs/>
          <w:lang w:val="es-ES"/>
        </w:rPr>
      </w:pPr>
      <w:r w:rsidRPr="00692DC8">
        <w:rPr>
          <w:b/>
          <w:bCs/>
          <w:lang w:val="es-ES"/>
        </w:rPr>
        <w:t>Revelación</w:t>
      </w:r>
      <w:r w:rsidRPr="00692DC8">
        <w:rPr>
          <w:lang w:val="es-ES"/>
        </w:rPr>
        <w:t xml:space="preserve">: </w:t>
      </w:r>
      <w:bookmarkStart w:id="343" w:name="_Toc13041129"/>
      <w:bookmarkStart w:id="344" w:name="_Toc14345128"/>
      <w:r w:rsidR="0057029C">
        <w:rPr>
          <w:rFonts w:eastAsia="Times New Roman" w:cs="Calibri"/>
          <w:color w:val="000000"/>
          <w:lang w:eastAsia="es-CR"/>
        </w:rPr>
        <w:fldChar w:fldCharType="begin"/>
      </w:r>
      <w:r w:rsidR="0057029C">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NOTAS_POR_CUENTA!F121C8 </w:instrText>
      </w:r>
      <w:r w:rsidR="0057029C">
        <w:rPr>
          <w:rFonts w:eastAsia="Times New Roman" w:cs="Calibri"/>
          <w:color w:val="000000"/>
          <w:lang w:eastAsia="es-CR"/>
        </w:rPr>
        <w:instrText xml:space="preserve">\a \f 5 \h  \* MERGEFORMAT </w:instrText>
      </w:r>
      <w:r w:rsidR="0057029C">
        <w:rPr>
          <w:rFonts w:eastAsia="Times New Roman" w:cs="Calibri"/>
          <w:color w:val="000000"/>
          <w:lang w:eastAsia="es-CR"/>
        </w:rPr>
        <w:fldChar w:fldCharType="separate"/>
      </w:r>
    </w:p>
    <w:p w14:paraId="4242C4A1" w14:textId="77777777" w:rsidR="008D2F6F" w:rsidRDefault="008D2F6F" w:rsidP="00294645">
      <w:pPr>
        <w:spacing w:line="240" w:lineRule="auto"/>
        <w:rPr>
          <w:rFonts w:eastAsia="Times New Roman" w:cs="Calibri"/>
          <w:color w:val="000000"/>
          <w:lang w:eastAsia="es-CR"/>
        </w:rPr>
      </w:pPr>
    </w:p>
    <w:p w14:paraId="52D12C17" w14:textId="759723BB" w:rsidR="00694299" w:rsidRPr="00694299" w:rsidRDefault="00694299" w:rsidP="00294645">
      <w:pPr>
        <w:spacing w:line="240" w:lineRule="auto"/>
        <w:rPr>
          <w:rFonts w:eastAsia="Times New Roman" w:cs="Calibri"/>
          <w:color w:val="000000"/>
          <w:lang w:eastAsia="es-CR"/>
        </w:rPr>
      </w:pPr>
      <w:r w:rsidRPr="00694299">
        <w:rPr>
          <w:rFonts w:eastAsia="Times New Roman" w:cs="Calibri"/>
          <w:color w:val="000000"/>
          <w:lang w:eastAsia="es-CR"/>
        </w:rPr>
        <w:t>La cuenta Endeudamiento público a corto plazo, representa el 2</w:t>
      </w:r>
      <w:r w:rsidR="00294645">
        <w:rPr>
          <w:rFonts w:eastAsia="Times New Roman" w:cs="Calibri"/>
          <w:color w:val="000000"/>
          <w:lang w:eastAsia="es-CR"/>
        </w:rPr>
        <w:t>8</w:t>
      </w:r>
      <w:r w:rsidRPr="00694299">
        <w:rPr>
          <w:rFonts w:eastAsia="Times New Roman" w:cs="Calibri"/>
          <w:color w:val="000000"/>
          <w:lang w:eastAsia="es-CR"/>
        </w:rPr>
        <w:t>,</w:t>
      </w:r>
      <w:r w:rsidR="00294645">
        <w:rPr>
          <w:rFonts w:eastAsia="Times New Roman" w:cs="Calibri"/>
          <w:color w:val="000000"/>
          <w:lang w:eastAsia="es-CR"/>
        </w:rPr>
        <w:t>08</w:t>
      </w:r>
      <w:r w:rsidRPr="00694299">
        <w:rPr>
          <w:rFonts w:eastAsia="Times New Roman" w:cs="Calibri"/>
          <w:color w:val="000000"/>
          <w:lang w:eastAsia="es-CR"/>
        </w:rPr>
        <w:t xml:space="preserve">% del total del Pasivo, que comparado al periodo anterior genera una variación absoluta de </w:t>
      </w:r>
      <w:r w:rsidR="00294645" w:rsidRPr="00294645">
        <w:rPr>
          <w:rFonts w:eastAsia="Times New Roman" w:cs="Calibri"/>
          <w:color w:val="000000"/>
          <w:lang w:eastAsia="es-CR"/>
        </w:rPr>
        <w:t>155 750,61</w:t>
      </w:r>
      <w:r w:rsidRPr="00694299">
        <w:rPr>
          <w:rFonts w:eastAsia="Times New Roman" w:cs="Calibri"/>
          <w:color w:val="000000"/>
          <w:lang w:eastAsia="es-CR"/>
        </w:rPr>
        <w:t xml:space="preserve"> que corresponde a un Aumento del 4</w:t>
      </w:r>
      <w:r w:rsidR="00294645">
        <w:rPr>
          <w:rFonts w:eastAsia="Times New Roman" w:cs="Calibri"/>
          <w:color w:val="000000"/>
          <w:lang w:eastAsia="es-CR"/>
        </w:rPr>
        <w:t>7</w:t>
      </w:r>
      <w:r w:rsidRPr="00694299">
        <w:rPr>
          <w:rFonts w:eastAsia="Times New Roman" w:cs="Calibri"/>
          <w:color w:val="000000"/>
          <w:lang w:eastAsia="es-CR"/>
        </w:rPr>
        <w:t>,</w:t>
      </w:r>
      <w:r w:rsidR="00294645">
        <w:rPr>
          <w:rFonts w:eastAsia="Times New Roman" w:cs="Calibri"/>
          <w:color w:val="000000"/>
          <w:lang w:eastAsia="es-CR"/>
        </w:rPr>
        <w:t>23</w:t>
      </w:r>
      <w:r w:rsidRPr="00694299">
        <w:rPr>
          <w:rFonts w:eastAsia="Times New Roman" w:cs="Calibri"/>
          <w:color w:val="000000"/>
          <w:lang w:eastAsia="es-CR"/>
        </w:rPr>
        <w:t>% de recursos disponibles.</w:t>
      </w:r>
    </w:p>
    <w:p w14:paraId="454FCE9E" w14:textId="71FC6C99" w:rsidR="00692DC8" w:rsidRPr="00692DC8" w:rsidRDefault="0057029C" w:rsidP="00294645">
      <w:pPr>
        <w:spacing w:line="240" w:lineRule="auto"/>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0061974" w14:textId="35ED913F" w:rsidR="00025694" w:rsidRPr="0014109C" w:rsidRDefault="00025694" w:rsidP="00025694">
      <w:pPr>
        <w:spacing w:after="0" w:line="240" w:lineRule="auto"/>
        <w:rPr>
          <w:rFonts w:eastAsiaTheme="minorEastAsia" w:cs="Arial Narrow"/>
          <w:color w:val="000000"/>
          <w:lang w:eastAsia="es-CR"/>
        </w:rPr>
      </w:pPr>
      <w:r w:rsidRPr="00A91674">
        <w:t xml:space="preserve">La suma que presenta la cuenta de Endeudamiento a corto plazo corresponde a la porción de corto plazo del préstamo que la Municipalidad contrajo con el IFAM, según </w:t>
      </w:r>
      <w:r w:rsidRPr="00A91674">
        <w:rPr>
          <w:rFonts w:eastAsiaTheme="minorEastAsia" w:cs="Arial Narrow"/>
          <w:color w:val="000000"/>
          <w:lang w:eastAsia="es-CR"/>
        </w:rPr>
        <w:t xml:space="preserve">Contrato de Préstamo celebrado entre IFAM y La Municipalidad de Buenos Aires, Nº 6-CVL-1457-0718 del 19 de </w:t>
      </w:r>
      <w:r w:rsidR="00C97267">
        <w:rPr>
          <w:rFonts w:eastAsiaTheme="minorEastAsia" w:cs="Arial Narrow"/>
          <w:color w:val="000000"/>
          <w:lang w:eastAsia="es-CR"/>
        </w:rPr>
        <w:t>enero</w:t>
      </w:r>
      <w:r w:rsidRPr="00A91674">
        <w:rPr>
          <w:rFonts w:eastAsiaTheme="minorEastAsia" w:cs="Arial Narrow"/>
          <w:color w:val="000000"/>
          <w:lang w:eastAsia="es-CR"/>
        </w:rPr>
        <w:t xml:space="preserve"> de 2019 para el Mejoramiento de la Red Vial Cantonal y Compra de Maquinaría, inventario de vías y estudios de pre-inversión para la construcción del plantel municipal y oficinas de la Unidad Técnica de Gestión Vial y Asfaltado, por la suma total de </w:t>
      </w:r>
      <w:r>
        <w:rPr>
          <w:rFonts w:ascii="Arial" w:eastAsiaTheme="minorEastAsia" w:hAnsi="Arial" w:cs="Arial"/>
          <w:color w:val="000000"/>
          <w:lang w:eastAsia="es-CR"/>
        </w:rPr>
        <w:t>₡</w:t>
      </w:r>
      <w:r w:rsidRPr="00A91674">
        <w:rPr>
          <w:rFonts w:eastAsiaTheme="minorEastAsia" w:cs="Arial Narrow"/>
          <w:color w:val="000000"/>
          <w:lang w:eastAsia="es-CR"/>
        </w:rPr>
        <w:t xml:space="preserve">3.563.088.496,48. El monto que se registró como obligación a honrar en el año </w:t>
      </w:r>
      <w:r>
        <w:rPr>
          <w:rFonts w:eastAsiaTheme="minorEastAsia" w:cs="Arial Narrow"/>
          <w:color w:val="000000"/>
          <w:lang w:eastAsia="es-CR"/>
        </w:rPr>
        <w:t>2024</w:t>
      </w:r>
      <w:r w:rsidRPr="00A91674">
        <w:rPr>
          <w:rFonts w:eastAsiaTheme="minorEastAsia" w:cs="Arial Narrow"/>
          <w:color w:val="000000"/>
          <w:lang w:eastAsia="es-CR"/>
        </w:rPr>
        <w:t xml:space="preserve"> fue suministrado por el IFAM</w:t>
      </w:r>
      <w:r>
        <w:rPr>
          <w:rFonts w:eastAsiaTheme="minorEastAsia" w:cs="Arial Narrow"/>
          <w:color w:val="000000"/>
          <w:lang w:eastAsia="es-CR"/>
        </w:rPr>
        <w:t>, el cual ascendió a</w:t>
      </w:r>
      <w:r w:rsidRPr="00A91674">
        <w:rPr>
          <w:rFonts w:eastAsiaTheme="minorEastAsia" w:cs="Arial Narrow"/>
          <w:color w:val="000000"/>
          <w:lang w:eastAsia="es-CR"/>
        </w:rPr>
        <w:t xml:space="preserve"> la suma de </w:t>
      </w:r>
      <w:r w:rsidRPr="0014109C">
        <w:rPr>
          <w:rFonts w:ascii="Arial" w:eastAsiaTheme="minorEastAsia" w:hAnsi="Arial" w:cs="Arial"/>
          <w:color w:val="000000"/>
          <w:lang w:eastAsia="es-CR"/>
        </w:rPr>
        <w:t>₡</w:t>
      </w:r>
      <w:r w:rsidRPr="0014109C">
        <w:rPr>
          <w:rFonts w:eastAsiaTheme="minorEastAsia" w:cs="Arial Narrow"/>
          <w:color w:val="000000"/>
          <w:lang w:eastAsia="es-CR"/>
        </w:rPr>
        <w:t xml:space="preserve">679 756,97 </w:t>
      </w:r>
      <w:r>
        <w:rPr>
          <w:rFonts w:eastAsiaTheme="minorEastAsia" w:cs="Arial Narrow"/>
          <w:color w:val="000000"/>
          <w:lang w:eastAsia="es-CR"/>
        </w:rPr>
        <w:t xml:space="preserve">miles de los cuales al </w:t>
      </w:r>
      <w:r w:rsidR="00D470B6">
        <w:rPr>
          <w:rFonts w:eastAsiaTheme="minorEastAsia" w:cs="Arial Narrow"/>
          <w:color w:val="000000"/>
          <w:lang w:eastAsia="es-CR"/>
        </w:rPr>
        <w:t>30 de junio</w:t>
      </w:r>
      <w:r>
        <w:rPr>
          <w:rFonts w:eastAsiaTheme="minorEastAsia" w:cs="Arial Narrow"/>
          <w:color w:val="000000"/>
          <w:lang w:eastAsia="es-CR"/>
        </w:rPr>
        <w:t xml:space="preserve"> 2024 se han cancelado un monto de</w:t>
      </w:r>
      <w:r w:rsidR="008D2F6F" w:rsidRPr="00A91674">
        <w:rPr>
          <w:rFonts w:eastAsiaTheme="minorEastAsia" w:cs="Arial Narrow"/>
          <w:color w:val="000000"/>
          <w:lang w:eastAsia="es-CR"/>
        </w:rPr>
        <w:t xml:space="preserve"> </w:t>
      </w:r>
      <w:r w:rsidR="008D2F6F" w:rsidRPr="0014109C">
        <w:rPr>
          <w:rFonts w:ascii="Arial" w:eastAsiaTheme="minorEastAsia" w:hAnsi="Arial" w:cs="Arial"/>
          <w:color w:val="000000"/>
          <w:lang w:eastAsia="es-CR"/>
        </w:rPr>
        <w:t>₡</w:t>
      </w:r>
      <w:r w:rsidR="008D2F6F" w:rsidRPr="00226ECD">
        <w:rPr>
          <w:rFonts w:eastAsiaTheme="minorEastAsia" w:cs="Arial Narrow"/>
          <w:color w:val="000000"/>
          <w:lang w:eastAsia="es-CR"/>
        </w:rPr>
        <w:t>194 210,37</w:t>
      </w:r>
      <w:r w:rsidR="008D2F6F" w:rsidRPr="00226ECD">
        <w:rPr>
          <w:rFonts w:cs="Calibri"/>
          <w:b/>
          <w:bCs/>
          <w:sz w:val="20"/>
          <w:szCs w:val="20"/>
        </w:rPr>
        <w:t xml:space="preserve"> </w:t>
      </w:r>
      <w:r w:rsidR="008D2F6F" w:rsidRPr="00226ECD">
        <w:rPr>
          <w:rFonts w:eastAsiaTheme="minorEastAsia" w:cs="Arial Narrow"/>
          <w:color w:val="000000"/>
          <w:lang w:eastAsia="es-CR"/>
        </w:rPr>
        <w:t>miles</w:t>
      </w:r>
      <w:r>
        <w:rPr>
          <w:rFonts w:eastAsiaTheme="minorEastAsia" w:cs="Arial Narrow"/>
          <w:color w:val="000000"/>
          <w:lang w:eastAsia="es-CR"/>
        </w:rPr>
        <w:t>.</w:t>
      </w:r>
    </w:p>
    <w:p w14:paraId="650B4FDB" w14:textId="77777777" w:rsidR="00025694" w:rsidRPr="00A91674" w:rsidRDefault="00025694" w:rsidP="00025694">
      <w:pPr>
        <w:spacing w:after="0" w:line="240" w:lineRule="auto"/>
        <w:rPr>
          <w:rFonts w:eastAsiaTheme="minorEastAsia" w:cs="Arial Narrow"/>
          <w:color w:val="000000"/>
          <w:lang w:eastAsia="es-CR"/>
        </w:rPr>
      </w:pPr>
    </w:p>
    <w:p w14:paraId="7E0360CB" w14:textId="77777777" w:rsidR="00025694" w:rsidRPr="00A91674" w:rsidRDefault="00025694" w:rsidP="00025694">
      <w:pPr>
        <w:spacing w:after="0" w:line="240" w:lineRule="auto"/>
        <w:rPr>
          <w:rFonts w:eastAsiaTheme="minorEastAsia" w:cs="Arial Narrow"/>
          <w:color w:val="000000"/>
          <w:lang w:eastAsia="es-CR"/>
        </w:rPr>
      </w:pPr>
      <w:r w:rsidRPr="00A91674">
        <w:rPr>
          <w:rFonts w:eastAsiaTheme="minorEastAsia" w:cs="Arial Narrow"/>
          <w:color w:val="000000"/>
          <w:lang w:eastAsia="es-CR"/>
        </w:rPr>
        <w:t>En relación con lo anterior, es pertinente indicar, que la Municipalidad ha realizado gestiones con el IFAM para la obtención de una tabla de amortizaciones actualizada, sin embargo, a la fecha de cierre de estos estados no ha sido suministrada. Esto imposibilita realizar el registro correcto del monto por pagar el cada periodo.</w:t>
      </w:r>
    </w:p>
    <w:p w14:paraId="62A53C96" w14:textId="77777777" w:rsidR="00025694" w:rsidRPr="00A91674" w:rsidRDefault="00025694" w:rsidP="00025694">
      <w:pPr>
        <w:spacing w:after="0" w:line="240" w:lineRule="auto"/>
        <w:rPr>
          <w:rFonts w:eastAsiaTheme="minorEastAsia" w:cs="Arial Narrow"/>
          <w:color w:val="000000"/>
          <w:lang w:eastAsia="es-CR"/>
        </w:rPr>
      </w:pPr>
    </w:p>
    <w:p w14:paraId="7812359C" w14:textId="77777777" w:rsidR="00025694" w:rsidRPr="00A91674" w:rsidRDefault="00025694" w:rsidP="00025694">
      <w:pPr>
        <w:shd w:val="clear" w:color="auto" w:fill="FFFFFF"/>
        <w:spacing w:after="0" w:line="240" w:lineRule="auto"/>
        <w:ind w:right="6"/>
        <w:rPr>
          <w:rFonts w:cs="Arial"/>
          <w:lang w:eastAsia="es-CR"/>
        </w:rPr>
      </w:pPr>
      <w:r w:rsidRPr="00A91674">
        <w:rPr>
          <w:rFonts w:eastAsiaTheme="minorEastAsia" w:cs="Arial Narrow"/>
          <w:color w:val="000000"/>
          <w:lang w:eastAsia="es-CR"/>
        </w:rPr>
        <w:t xml:space="preserve">El préstamo en mención es a un plazo de 7 años, amortizable en 7 años en cuotas trimestrales (28 trimestres) calculada contra desembolsos girados, se establece una comisión de </w:t>
      </w:r>
      <w:r w:rsidRPr="00A91674">
        <w:rPr>
          <w:rFonts w:cs="Arial"/>
          <w:lang w:eastAsia="es-CR"/>
        </w:rPr>
        <w:t>formalización</w:t>
      </w:r>
      <w:r w:rsidRPr="00A91674">
        <w:rPr>
          <w:rFonts w:eastAsiaTheme="minorEastAsia" w:cs="Arial Narrow"/>
          <w:color w:val="000000"/>
          <w:lang w:eastAsia="es-CR"/>
        </w:rPr>
        <w:t xml:space="preserve"> y administración </w:t>
      </w:r>
      <w:r>
        <w:rPr>
          <w:rFonts w:ascii="Arial" w:eastAsiaTheme="minorEastAsia" w:hAnsi="Arial" w:cs="Arial"/>
          <w:color w:val="000000"/>
          <w:lang w:eastAsia="es-CR"/>
        </w:rPr>
        <w:t>₡</w:t>
      </w:r>
      <w:r w:rsidRPr="00A91674">
        <w:rPr>
          <w:rFonts w:eastAsiaTheme="minorEastAsia" w:cs="Arial Narrow"/>
          <w:color w:val="000000"/>
          <w:lang w:eastAsia="es-CR"/>
        </w:rPr>
        <w:t>17.815.442,48 (correspondiente al 0,50 % sobre el monto total del crédito que fue rebajado en el primer desembolso), la tasa de interés es del 7% anual (fijo sobre saldos), interés de mora del 2% mensual sobre cuotas vencidas, como garantías la Municipalidad ofreció las Rentas Municipales y fondos de las leyes 8114 y 9329. E</w:t>
      </w:r>
      <w:r w:rsidRPr="00A91674">
        <w:rPr>
          <w:rFonts w:cs="Arial"/>
          <w:lang w:eastAsia="es-CR"/>
        </w:rPr>
        <w:t>n la Cláusula SÉTIMA del contrato se establece que los desembolsos se girarán en tractos directamente a la Municipalidad a solicitud del representante legal.</w:t>
      </w:r>
    </w:p>
    <w:p w14:paraId="6D9F89D2" w14:textId="77777777" w:rsidR="00025694" w:rsidRPr="00A91674" w:rsidRDefault="00025694" w:rsidP="00025694">
      <w:pPr>
        <w:shd w:val="clear" w:color="auto" w:fill="FFFFFF"/>
        <w:spacing w:after="0" w:line="240" w:lineRule="auto"/>
        <w:ind w:right="6"/>
        <w:rPr>
          <w:rFonts w:cs="Arial"/>
          <w:lang w:eastAsia="es-CR"/>
        </w:rPr>
      </w:pPr>
    </w:p>
    <w:p w14:paraId="1C7729B6" w14:textId="4A144338" w:rsidR="00025694" w:rsidRPr="0014109C" w:rsidRDefault="00025694" w:rsidP="00025694">
      <w:pPr>
        <w:spacing w:after="0" w:line="240" w:lineRule="auto"/>
        <w:rPr>
          <w:rFonts w:eastAsiaTheme="minorEastAsia" w:cs="Arial Narrow"/>
          <w:color w:val="000000"/>
          <w:lang w:eastAsia="es-CR"/>
        </w:rPr>
      </w:pPr>
      <w:r w:rsidRPr="00A91674">
        <w:rPr>
          <w:rFonts w:eastAsiaTheme="minorEastAsia" w:cs="Arial Narrow"/>
          <w:color w:val="000000"/>
          <w:lang w:eastAsia="es-CR"/>
        </w:rPr>
        <w:t xml:space="preserve">El préstamo fue aprobado por el Concejo Municipal de Buenos Aires en la Sesión Ordinaria Nº 132-2018 del día 19 de noviembre de 2018 y suscrito el 19 de </w:t>
      </w:r>
      <w:r w:rsidR="00C97267">
        <w:rPr>
          <w:rFonts w:eastAsiaTheme="minorEastAsia" w:cs="Arial Narrow"/>
          <w:color w:val="000000"/>
          <w:lang w:eastAsia="es-CR"/>
        </w:rPr>
        <w:t>enero</w:t>
      </w:r>
      <w:r w:rsidRPr="00A91674">
        <w:rPr>
          <w:rFonts w:eastAsiaTheme="minorEastAsia" w:cs="Arial Narrow"/>
          <w:color w:val="000000"/>
          <w:lang w:eastAsia="es-CR"/>
        </w:rPr>
        <w:t xml:space="preserve"> de 2019. Al </w:t>
      </w:r>
      <w:r w:rsidR="00D470B6">
        <w:rPr>
          <w:rFonts w:eastAsiaTheme="minorEastAsia" w:cs="Arial Narrow"/>
          <w:color w:val="000000"/>
          <w:lang w:eastAsia="es-CR"/>
        </w:rPr>
        <w:t>30 de junio</w:t>
      </w:r>
      <w:r>
        <w:rPr>
          <w:rFonts w:eastAsiaTheme="minorEastAsia" w:cs="Arial Narrow"/>
          <w:color w:val="000000"/>
          <w:lang w:eastAsia="es-CR"/>
        </w:rPr>
        <w:t xml:space="preserve"> </w:t>
      </w:r>
      <w:r w:rsidRPr="00A91674">
        <w:rPr>
          <w:rFonts w:eastAsiaTheme="minorEastAsia" w:cs="Arial Narrow"/>
          <w:color w:val="000000"/>
          <w:lang w:eastAsia="es-CR"/>
        </w:rPr>
        <w:t xml:space="preserve">de </w:t>
      </w:r>
      <w:r>
        <w:rPr>
          <w:rFonts w:eastAsiaTheme="minorEastAsia" w:cs="Arial Narrow"/>
          <w:color w:val="000000"/>
          <w:lang w:eastAsia="es-CR"/>
        </w:rPr>
        <w:t>2024</w:t>
      </w:r>
      <w:r w:rsidRPr="00A91674">
        <w:rPr>
          <w:rFonts w:eastAsiaTheme="minorEastAsia" w:cs="Arial Narrow"/>
          <w:color w:val="000000"/>
          <w:lang w:eastAsia="es-CR"/>
        </w:rPr>
        <w:t xml:space="preserve"> el IFAM ha desembolsado la </w:t>
      </w:r>
      <w:r w:rsidRPr="0014109C">
        <w:rPr>
          <w:rFonts w:eastAsiaTheme="minorEastAsia" w:cs="Arial Narrow"/>
          <w:color w:val="000000"/>
          <w:lang w:eastAsia="es-CR"/>
        </w:rPr>
        <w:t xml:space="preserve">suma de </w:t>
      </w:r>
      <w:r w:rsidRPr="006031FC">
        <w:rPr>
          <w:rFonts w:ascii="Arial" w:eastAsiaTheme="minorEastAsia" w:hAnsi="Arial" w:cs="Arial"/>
          <w:color w:val="000000"/>
          <w:lang w:eastAsia="es-CR"/>
        </w:rPr>
        <w:t>₡</w:t>
      </w:r>
      <w:r w:rsidR="00A66687">
        <w:rPr>
          <w:rFonts w:eastAsiaTheme="minorEastAsia" w:cs="Arial Narrow"/>
          <w:color w:val="000000"/>
          <w:lang w:eastAsia="es-CR"/>
        </w:rPr>
        <w:t>2.453.135.07</w:t>
      </w:r>
      <w:r w:rsidRPr="0014109C">
        <w:rPr>
          <w:rFonts w:eastAsiaTheme="minorEastAsia" w:cs="Arial Narrow"/>
          <w:color w:val="000000"/>
          <w:lang w:eastAsia="es-CR"/>
        </w:rPr>
        <w:t xml:space="preserve"> miles de la cual está pendiente de </w:t>
      </w:r>
      <w:r w:rsidR="008D2F6F" w:rsidRPr="00A91674">
        <w:rPr>
          <w:rFonts w:eastAsiaTheme="minorEastAsia" w:cs="Arial Narrow"/>
          <w:color w:val="000000"/>
          <w:lang w:eastAsia="es-CR"/>
        </w:rPr>
        <w:t xml:space="preserve">cancelar la suma </w:t>
      </w:r>
      <w:r w:rsidR="008D2F6F" w:rsidRPr="00226ECD">
        <w:rPr>
          <w:rFonts w:ascii="Arial" w:eastAsiaTheme="minorEastAsia" w:hAnsi="Arial" w:cs="Arial"/>
          <w:color w:val="000000"/>
          <w:lang w:eastAsia="es-CR"/>
        </w:rPr>
        <w:t>₡</w:t>
      </w:r>
      <w:r w:rsidR="008D2F6F" w:rsidRPr="00482779">
        <w:rPr>
          <w:rFonts w:eastAsiaTheme="minorEastAsia" w:cs="Arial Narrow"/>
          <w:color w:val="000000"/>
          <w:lang w:eastAsia="es-CR"/>
        </w:rPr>
        <w:t xml:space="preserve">485 546,60 </w:t>
      </w:r>
      <w:r w:rsidR="008D2F6F" w:rsidRPr="00A91674">
        <w:rPr>
          <w:rFonts w:eastAsiaTheme="minorEastAsia" w:cs="Arial Narrow"/>
          <w:color w:val="000000"/>
          <w:lang w:eastAsia="es-CR"/>
        </w:rPr>
        <w:t>miles de colones</w:t>
      </w:r>
      <w:r w:rsidR="008D2F6F">
        <w:rPr>
          <w:rFonts w:eastAsiaTheme="minorEastAsia" w:cs="Arial Narrow"/>
          <w:color w:val="000000"/>
          <w:lang w:eastAsia="es-CR"/>
        </w:rPr>
        <w:t xml:space="preserve"> en el presente año.</w:t>
      </w:r>
    </w:p>
    <w:p w14:paraId="2287FEAA" w14:textId="77777777" w:rsidR="00025694" w:rsidRPr="0064004F" w:rsidRDefault="00025694" w:rsidP="00025694">
      <w:pPr>
        <w:spacing w:after="0" w:line="240" w:lineRule="auto"/>
        <w:rPr>
          <w:rFonts w:eastAsiaTheme="minorEastAsia" w:cs="Arial Narrow"/>
          <w:color w:val="000000"/>
          <w:lang w:eastAsia="es-CR"/>
        </w:rPr>
      </w:pPr>
    </w:p>
    <w:p w14:paraId="5641878A" w14:textId="77777777" w:rsidR="00025694" w:rsidRDefault="00025694" w:rsidP="00025694">
      <w:pPr>
        <w:spacing w:after="0" w:line="240" w:lineRule="auto"/>
        <w:rPr>
          <w:rFonts w:eastAsiaTheme="minorEastAsia" w:cs="Arial Narrow"/>
          <w:color w:val="000000"/>
          <w:lang w:eastAsia="es-CR"/>
        </w:rPr>
      </w:pPr>
      <w:r w:rsidRPr="004D5656">
        <w:rPr>
          <w:rFonts w:eastAsiaTheme="minorEastAsia" w:cs="Arial Narrow"/>
          <w:color w:val="000000"/>
          <w:lang w:eastAsia="es-CR"/>
        </w:rPr>
        <w:t xml:space="preserve">La Municipalidad adoptó como políticas contables en relación con los costos por préstamos, que los mismos serán reconocidos como gastos en el periodo en que se incurra en los mismos cuando estos son </w:t>
      </w:r>
      <w:r>
        <w:rPr>
          <w:rFonts w:eastAsiaTheme="minorEastAsia" w:cs="Arial Narrow"/>
          <w:color w:val="000000"/>
          <w:lang w:eastAsia="es-CR"/>
        </w:rPr>
        <w:t>cancelados posteriormente a que los activos adquiridos y puestos en operación</w:t>
      </w:r>
      <w:r w:rsidRPr="004D5656">
        <w:rPr>
          <w:rFonts w:eastAsiaTheme="minorEastAsia" w:cs="Arial Narrow"/>
          <w:color w:val="000000"/>
          <w:lang w:eastAsia="es-CR"/>
        </w:rPr>
        <w:t>. En el caso de aquellos costos por préstamos devengados durante el proceso de construcción de un activo, estos serán capitalizados por lo que pasan a formar parte del costo del activo en cuestión.</w:t>
      </w:r>
      <w:r>
        <w:rPr>
          <w:rFonts w:eastAsiaTheme="minorEastAsia" w:cs="Arial Narrow"/>
          <w:color w:val="000000"/>
          <w:lang w:eastAsia="es-CR"/>
        </w:rPr>
        <w:t xml:space="preserve"> Al respecto, se debe indicar que d</w:t>
      </w:r>
      <w:r w:rsidRPr="004D5656">
        <w:rPr>
          <w:rFonts w:eastAsiaTheme="minorEastAsia" w:cs="Arial Narrow"/>
          <w:color w:val="000000"/>
          <w:lang w:eastAsia="es-CR"/>
        </w:rPr>
        <w:t>urante el periodo informado la Municipalidad no ha incurrido en el pago de importes de los costos por préstamos que corresponda ser capitalizados</w:t>
      </w:r>
      <w:r>
        <w:rPr>
          <w:rFonts w:eastAsiaTheme="minorEastAsia" w:cs="Arial Narrow"/>
          <w:color w:val="000000"/>
          <w:lang w:eastAsia="es-CR"/>
        </w:rPr>
        <w:t xml:space="preserve">, por lo que </w:t>
      </w:r>
      <w:r w:rsidRPr="004D5656">
        <w:rPr>
          <w:rFonts w:eastAsiaTheme="minorEastAsia" w:cs="Arial Narrow"/>
          <w:color w:val="000000"/>
          <w:lang w:eastAsia="es-CR"/>
        </w:rPr>
        <w:t>no fue necesario aplicar ninguna tasa de capitalización para determinar el importe de los costos por préstamos susceptibles de capitalización.</w:t>
      </w:r>
    </w:p>
    <w:p w14:paraId="2AF9936C" w14:textId="77777777" w:rsidR="00025694" w:rsidRDefault="00025694" w:rsidP="00025694">
      <w:pPr>
        <w:spacing w:after="0" w:line="240" w:lineRule="auto"/>
        <w:rPr>
          <w:rFonts w:eastAsiaTheme="minorEastAsia" w:cs="Arial Narrow"/>
          <w:color w:val="000000"/>
          <w:lang w:eastAsia="es-CR"/>
        </w:rPr>
      </w:pPr>
    </w:p>
    <w:p w14:paraId="43996B5A" w14:textId="77777777" w:rsidR="00025694" w:rsidRPr="007A054A" w:rsidRDefault="00025694" w:rsidP="00025694">
      <w:pPr>
        <w:spacing w:after="0" w:line="240" w:lineRule="auto"/>
        <w:rPr>
          <w:rFonts w:eastAsiaTheme="minorEastAsia" w:cs="Arial Narrow"/>
          <w:color w:val="000000"/>
          <w:lang w:eastAsia="es-CR"/>
        </w:rPr>
      </w:pPr>
      <w:r w:rsidRPr="007A054A">
        <w:rPr>
          <w:rFonts w:eastAsiaTheme="minorEastAsia" w:cs="Arial Narrow"/>
          <w:color w:val="000000"/>
          <w:lang w:eastAsia="es-CR"/>
        </w:rPr>
        <w:t>Durante el periodo informado la Municipalidad no ha incurrido en el pago de importes de los costos por préstamos que corresponda ser capitalizados.</w:t>
      </w:r>
      <w:r>
        <w:rPr>
          <w:rFonts w:eastAsiaTheme="minorEastAsia" w:cs="Arial Narrow"/>
          <w:color w:val="000000"/>
          <w:lang w:eastAsia="es-CR"/>
        </w:rPr>
        <w:t xml:space="preserve"> Por esta razón </w:t>
      </w:r>
      <w:r w:rsidRPr="007A054A">
        <w:rPr>
          <w:rFonts w:eastAsiaTheme="minorEastAsia" w:cs="Arial Narrow"/>
          <w:color w:val="000000"/>
          <w:lang w:eastAsia="es-CR"/>
        </w:rPr>
        <w:t>no fue necesario aplicar ninguna tasa de capitalización para determinar el importe de los costos por préstamos susceptibles de capitalización.</w:t>
      </w:r>
    </w:p>
    <w:p w14:paraId="7AEBCD0D" w14:textId="77777777" w:rsidR="00692DC8" w:rsidRDefault="00692DC8" w:rsidP="00B709CA">
      <w:pPr>
        <w:spacing w:line="240" w:lineRule="auto"/>
        <w:rPr>
          <w:color w:val="1F497D"/>
          <w:szCs w:val="24"/>
        </w:rPr>
      </w:pPr>
    </w:p>
    <w:p w14:paraId="5447C615" w14:textId="77777777" w:rsidR="00B709CA" w:rsidRPr="00692DC8" w:rsidRDefault="00B709CA" w:rsidP="00B709CA">
      <w:pPr>
        <w:spacing w:line="240" w:lineRule="auto"/>
        <w:rPr>
          <w:color w:val="1F497D"/>
          <w:szCs w:val="24"/>
        </w:rPr>
      </w:pPr>
    </w:p>
    <w:p w14:paraId="432676B7" w14:textId="77777777" w:rsidR="00692DC8" w:rsidRPr="00692DC8" w:rsidRDefault="00692DC8" w:rsidP="007469D0">
      <w:pPr>
        <w:pStyle w:val="Ttulo4"/>
        <w:spacing w:after="240"/>
        <w:rPr>
          <w:rFonts w:eastAsia="Times New Roman"/>
        </w:rPr>
      </w:pPr>
      <w:bookmarkStart w:id="345" w:name="_Toc33601232"/>
      <w:bookmarkStart w:id="346" w:name="_Toc82768935"/>
      <w:bookmarkStart w:id="347" w:name="_Toc173245242"/>
      <w:r w:rsidRPr="00692DC8">
        <w:rPr>
          <w:rFonts w:eastAsia="Times New Roman"/>
        </w:rPr>
        <w:t>NOTA N° 16</w:t>
      </w:r>
      <w:bookmarkEnd w:id="343"/>
      <w:bookmarkEnd w:id="344"/>
      <w:bookmarkEnd w:id="345"/>
      <w:bookmarkEnd w:id="346"/>
      <w:bookmarkEnd w:id="347"/>
    </w:p>
    <w:p w14:paraId="1CAE398A" w14:textId="77777777" w:rsidR="00694299" w:rsidRDefault="00692DC8" w:rsidP="00025694">
      <w:pPr>
        <w:spacing w:after="0"/>
        <w:rPr>
          <w:rFonts w:asciiTheme="minorHAnsi" w:hAnsiTheme="minorHAnsi"/>
          <w:sz w:val="22"/>
        </w:rPr>
      </w:pPr>
      <w:bookmarkStart w:id="348" w:name="_Toc82768936"/>
      <w:r w:rsidRPr="00692DC8">
        <w:rPr>
          <w:rFonts w:eastAsia="Times New Roman"/>
        </w:rPr>
        <w:t>Fondos de terceros y en garantía</w:t>
      </w:r>
      <w:bookmarkEnd w:id="348"/>
      <w:r w:rsidR="0057029C">
        <w:rPr>
          <w:rFonts w:eastAsiaTheme="majorEastAsia" w:cstheme="majorBidi"/>
          <w:b/>
          <w:iCs/>
        </w:rPr>
        <w:fldChar w:fldCharType="begin"/>
      </w:r>
      <w:r w:rsidR="0057029C">
        <w:instrText xml:space="preserve"> LINK </w:instrText>
      </w:r>
      <w:r w:rsidR="00323752">
        <w:instrText xml:space="preserve">Excel.SheetMacroEnabled.12 "D:\\MORAVIA\\INSUMOS\\NOTAS 2024\\Formato_Notas_EEFF_Vinculadas_2024\\XXXXX_PXX_202X_Anexo_Estado_Notas_Contables_Vinculadas.xlsm" NOTAS_POR_CUENTA!F123C1:F125C6 </w:instrText>
      </w:r>
      <w:r w:rsidR="0057029C">
        <w:instrText xml:space="preserve">\a \f 4 \h </w:instrText>
      </w:r>
      <w:r w:rsidR="0057029C">
        <w:fldChar w:fldCharType="separate"/>
      </w:r>
    </w:p>
    <w:p w14:paraId="7CF706B2" w14:textId="58934FAA" w:rsidR="00C572A3" w:rsidRDefault="0057029C" w:rsidP="00606715">
      <w:pPr>
        <w:spacing w:after="120" w:line="240" w:lineRule="auto"/>
        <w:rPr>
          <w:rFonts w:asciiTheme="minorHAnsi" w:hAnsiTheme="minorHAnsi"/>
          <w:sz w:val="22"/>
        </w:rPr>
      </w:pPr>
      <w:r>
        <w:fldChar w:fldCharType="end"/>
      </w:r>
      <w:r w:rsidR="001242F7">
        <w:fldChar w:fldCharType="begin"/>
      </w:r>
      <w:r w:rsidR="001242F7">
        <w:instrText xml:space="preserve"> LINK </w:instrText>
      </w:r>
      <w:r w:rsidR="0068177A">
        <w:instrText xml:space="preserve">Excel.SheetMacroEnabled.12 "C:\\Users\\arges\\OneDrive\\Desktop\\Municipalidades\\Buenos Aires\\Cierre Junio 2024\\Notas Contables\\15603_T02_2024_Anexo_Estado_Notas_Contables_Vinculadas.xlsm" NOTAS_POR_CUENTA!R123C1:R125C6 </w:instrText>
      </w:r>
      <w:r w:rsidR="001242F7">
        <w:instrText xml:space="preserve">\a \f 4 \h </w:instrText>
      </w:r>
      <w:r w:rsidR="001242F7">
        <w:fldChar w:fldCharType="separate"/>
      </w:r>
    </w:p>
    <w:tbl>
      <w:tblPr>
        <w:tblW w:w="10080" w:type="dxa"/>
        <w:tblLook w:val="04A0" w:firstRow="1" w:lastRow="0" w:firstColumn="1" w:lastColumn="0" w:noHBand="0" w:noVBand="1"/>
      </w:tblPr>
      <w:tblGrid>
        <w:gridCol w:w="717"/>
        <w:gridCol w:w="3339"/>
        <w:gridCol w:w="544"/>
        <w:gridCol w:w="2200"/>
        <w:gridCol w:w="2200"/>
        <w:gridCol w:w="1080"/>
      </w:tblGrid>
      <w:tr w:rsidR="00C572A3" w:rsidRPr="00C572A3" w14:paraId="29183276" w14:textId="77777777" w:rsidTr="00C572A3">
        <w:trPr>
          <w:divId w:val="84231850"/>
          <w:trHeight w:val="320"/>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8028558" w14:textId="29249F11" w:rsidR="00C572A3" w:rsidRPr="00C572A3" w:rsidRDefault="00C572A3" w:rsidP="00C572A3">
            <w:pP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3C27749"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Descripción</w:t>
            </w:r>
          </w:p>
        </w:tc>
        <w:tc>
          <w:tcPr>
            <w:tcW w:w="5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666D7CE"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Nota</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271BAB9"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Actual </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0153095"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Anterior </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77F5BB1D"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Diferencia </w:t>
            </w:r>
          </w:p>
        </w:tc>
      </w:tr>
      <w:tr w:rsidR="00C572A3" w:rsidRPr="00C572A3" w14:paraId="10424CE8" w14:textId="77777777" w:rsidTr="00C572A3">
        <w:trPr>
          <w:divId w:val="84231850"/>
          <w:trHeight w:val="320"/>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20549423"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67C3D030"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14:paraId="5E16BA98"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29014E69"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3229C8EB"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1080" w:type="dxa"/>
            <w:tcBorders>
              <w:top w:val="nil"/>
              <w:left w:val="nil"/>
              <w:bottom w:val="single" w:sz="8" w:space="0" w:color="auto"/>
              <w:right w:val="single" w:sz="8" w:space="0" w:color="auto"/>
            </w:tcBorders>
            <w:shd w:val="clear" w:color="000000" w:fill="366092"/>
            <w:noWrap/>
            <w:vAlign w:val="center"/>
            <w:hideMark/>
          </w:tcPr>
          <w:p w14:paraId="080DB0BF" w14:textId="77777777" w:rsidR="00C572A3" w:rsidRPr="00C572A3" w:rsidRDefault="00C572A3" w:rsidP="00C572A3">
            <w:pPr>
              <w:spacing w:after="0" w:line="240" w:lineRule="auto"/>
              <w:jc w:val="center"/>
              <w:rPr>
                <w:rFonts w:eastAsia="Times New Roman" w:cs="Calibri"/>
                <w:color w:val="FFFFFF"/>
                <w:sz w:val="18"/>
                <w:szCs w:val="18"/>
                <w:lang w:val="en-US"/>
              </w:rPr>
            </w:pPr>
            <w:r w:rsidRPr="00C572A3">
              <w:rPr>
                <w:rFonts w:eastAsia="Times New Roman" w:cs="Calibri"/>
                <w:color w:val="FFFFFF"/>
                <w:sz w:val="18"/>
                <w:szCs w:val="18"/>
                <w:lang w:val="en-US"/>
              </w:rPr>
              <w:t>%</w:t>
            </w:r>
          </w:p>
        </w:tc>
      </w:tr>
      <w:tr w:rsidR="00C572A3" w:rsidRPr="00C572A3" w14:paraId="464F00A3" w14:textId="77777777" w:rsidTr="00C572A3">
        <w:trPr>
          <w:divId w:val="84231850"/>
          <w:trHeight w:val="320"/>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5A8D18A0" w14:textId="77777777" w:rsidR="00C572A3" w:rsidRPr="00C572A3" w:rsidRDefault="00C572A3" w:rsidP="00C572A3">
            <w:pPr>
              <w:spacing w:after="0" w:line="240" w:lineRule="auto"/>
              <w:jc w:val="left"/>
              <w:rPr>
                <w:rFonts w:eastAsia="Times New Roman" w:cs="Calibri"/>
                <w:b/>
                <w:bCs/>
                <w:color w:val="000000"/>
                <w:sz w:val="18"/>
                <w:szCs w:val="18"/>
                <w:lang w:val="en-US"/>
              </w:rPr>
            </w:pPr>
            <w:r w:rsidRPr="00C572A3">
              <w:rPr>
                <w:rFonts w:eastAsia="Times New Roman" w:cs="Calibri"/>
                <w:b/>
                <w:bCs/>
                <w:color w:val="000000"/>
                <w:sz w:val="18"/>
                <w:szCs w:val="18"/>
                <w:lang w:val="en-US"/>
              </w:rPr>
              <w:t>2.1.3.</w:t>
            </w:r>
          </w:p>
        </w:tc>
        <w:tc>
          <w:tcPr>
            <w:tcW w:w="3380" w:type="dxa"/>
            <w:tcBorders>
              <w:top w:val="nil"/>
              <w:left w:val="nil"/>
              <w:bottom w:val="single" w:sz="8" w:space="0" w:color="auto"/>
              <w:right w:val="single" w:sz="8" w:space="0" w:color="auto"/>
            </w:tcBorders>
            <w:shd w:val="clear" w:color="auto" w:fill="auto"/>
            <w:vAlign w:val="center"/>
            <w:hideMark/>
          </w:tcPr>
          <w:p w14:paraId="71F6A2BD" w14:textId="77777777" w:rsidR="00C572A3" w:rsidRPr="00C572A3" w:rsidRDefault="00C572A3" w:rsidP="00C572A3">
            <w:pPr>
              <w:spacing w:after="0" w:line="240" w:lineRule="auto"/>
              <w:jc w:val="left"/>
              <w:rPr>
                <w:rFonts w:eastAsia="Times New Roman" w:cs="Calibri"/>
                <w:b/>
                <w:bCs/>
                <w:color w:val="000000"/>
                <w:sz w:val="18"/>
                <w:szCs w:val="18"/>
              </w:rPr>
            </w:pPr>
            <w:r w:rsidRPr="00C572A3">
              <w:rPr>
                <w:rFonts w:eastAsia="Times New Roman" w:cs="Calibri"/>
                <w:b/>
                <w:bCs/>
                <w:color w:val="000000"/>
                <w:sz w:val="18"/>
                <w:szCs w:val="18"/>
              </w:rPr>
              <w:t>Fondos de terceros y en garantía</w:t>
            </w:r>
          </w:p>
        </w:tc>
        <w:tc>
          <w:tcPr>
            <w:tcW w:w="520" w:type="dxa"/>
            <w:tcBorders>
              <w:top w:val="nil"/>
              <w:left w:val="nil"/>
              <w:bottom w:val="single" w:sz="8" w:space="0" w:color="auto"/>
              <w:right w:val="single" w:sz="8" w:space="0" w:color="auto"/>
            </w:tcBorders>
            <w:shd w:val="clear" w:color="auto" w:fill="auto"/>
            <w:noWrap/>
            <w:vAlign w:val="center"/>
            <w:hideMark/>
          </w:tcPr>
          <w:p w14:paraId="1DCE2D17"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16</w:t>
            </w:r>
          </w:p>
        </w:tc>
        <w:tc>
          <w:tcPr>
            <w:tcW w:w="2200" w:type="dxa"/>
            <w:tcBorders>
              <w:top w:val="nil"/>
              <w:left w:val="nil"/>
              <w:bottom w:val="single" w:sz="8" w:space="0" w:color="auto"/>
              <w:right w:val="single" w:sz="8" w:space="0" w:color="auto"/>
            </w:tcBorders>
            <w:shd w:val="clear" w:color="auto" w:fill="auto"/>
            <w:noWrap/>
            <w:vAlign w:val="center"/>
            <w:hideMark/>
          </w:tcPr>
          <w:p w14:paraId="09A48BB9"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58 724,40 </w:t>
            </w:r>
          </w:p>
        </w:tc>
        <w:tc>
          <w:tcPr>
            <w:tcW w:w="2200" w:type="dxa"/>
            <w:tcBorders>
              <w:top w:val="nil"/>
              <w:left w:val="nil"/>
              <w:bottom w:val="single" w:sz="8" w:space="0" w:color="auto"/>
              <w:right w:val="single" w:sz="8" w:space="0" w:color="auto"/>
            </w:tcBorders>
            <w:shd w:val="clear" w:color="auto" w:fill="auto"/>
            <w:noWrap/>
            <w:vAlign w:val="center"/>
            <w:hideMark/>
          </w:tcPr>
          <w:p w14:paraId="0890ECCF"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908 486,07 </w:t>
            </w:r>
          </w:p>
        </w:tc>
        <w:tc>
          <w:tcPr>
            <w:tcW w:w="1080" w:type="dxa"/>
            <w:tcBorders>
              <w:top w:val="nil"/>
              <w:left w:val="nil"/>
              <w:bottom w:val="single" w:sz="8" w:space="0" w:color="auto"/>
              <w:right w:val="single" w:sz="8" w:space="0" w:color="auto"/>
            </w:tcBorders>
            <w:shd w:val="clear" w:color="auto" w:fill="auto"/>
            <w:noWrap/>
            <w:vAlign w:val="center"/>
            <w:hideMark/>
          </w:tcPr>
          <w:p w14:paraId="3AD9884F"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-93,54%</w:t>
            </w:r>
          </w:p>
        </w:tc>
      </w:tr>
    </w:tbl>
    <w:p w14:paraId="16BED252" w14:textId="77777777" w:rsidR="001242F7" w:rsidRDefault="001242F7" w:rsidP="00606715">
      <w:pPr>
        <w:spacing w:after="120" w:line="240" w:lineRule="auto"/>
        <w:rPr>
          <w:rFonts w:eastAsia="Calibri"/>
        </w:rPr>
      </w:pPr>
      <w:r>
        <w:rPr>
          <w:rFonts w:eastAsia="Calibri"/>
        </w:rPr>
        <w:fldChar w:fldCharType="end"/>
      </w:r>
    </w:p>
    <w:p w14:paraId="35F02EDE" w14:textId="240305D8" w:rsidR="00694299" w:rsidRPr="00B709CA" w:rsidRDefault="00692DC8" w:rsidP="00ED6096">
      <w:pPr>
        <w:spacing w:before="120" w:after="120" w:line="240" w:lineRule="auto"/>
        <w:rPr>
          <w:rFonts w:asciiTheme="minorHAnsi" w:hAnsiTheme="minorHAnsi"/>
          <w:b/>
          <w:sz w:val="22"/>
        </w:rPr>
      </w:pPr>
      <w:r w:rsidRPr="00B709CA">
        <w:rPr>
          <w:rFonts w:eastAsia="Times New Roman"/>
          <w:b/>
          <w:sz w:val="22"/>
          <w:lang w:val="es-ES" w:eastAsia="es-CR"/>
        </w:rPr>
        <w:t>Detalle</w:t>
      </w:r>
      <w:r w:rsidR="00B709CA" w:rsidRPr="00B709CA">
        <w:rPr>
          <w:rFonts w:eastAsia="Times New Roman"/>
          <w:b/>
          <w:sz w:val="22"/>
          <w:lang w:val="es-ES" w:eastAsia="es-CR"/>
        </w:rPr>
        <w:t>:</w:t>
      </w:r>
      <w:r w:rsidR="0057029C" w:rsidRPr="00B709CA">
        <w:rPr>
          <w:b/>
          <w:lang w:val="es-ES" w:eastAsia="es-CR"/>
        </w:rPr>
        <w:fldChar w:fldCharType="begin"/>
      </w:r>
      <w:r w:rsidR="0057029C" w:rsidRPr="00B709CA">
        <w:rPr>
          <w:b/>
          <w:lang w:val="es-ES" w:eastAsia="es-CR"/>
        </w:rPr>
        <w:instrText xml:space="preserve"> LINK </w:instrText>
      </w:r>
      <w:r w:rsidR="00323752" w:rsidRPr="00B709CA">
        <w:rPr>
          <w:b/>
          <w:lang w:val="es-ES" w:eastAsia="es-CR"/>
        </w:rPr>
        <w:instrText xml:space="preserve">Excel.SheetMacroEnabled.12 "D:\\MORAVIA\\INSUMOS\\NOTAS 2024\\Formato_Notas_EEFF_Vinculadas_2024\\XXXXX_PXX_202X_Anexo_Estado_Notas_Contables_Vinculadas.xlsm" NOTAS_POR_CUENTA!F127C1:F129C6 </w:instrText>
      </w:r>
      <w:r w:rsidR="0057029C" w:rsidRPr="00B709CA">
        <w:rPr>
          <w:b/>
          <w:lang w:val="es-ES" w:eastAsia="es-CR"/>
        </w:rPr>
        <w:instrText xml:space="preserve">\a \f 4 \h </w:instrText>
      </w:r>
      <w:r w:rsidR="00B709CA">
        <w:rPr>
          <w:b/>
          <w:lang w:val="es-ES" w:eastAsia="es-CR"/>
        </w:rPr>
        <w:instrText xml:space="preserve"> \* MERGEFORMAT </w:instrText>
      </w:r>
      <w:r w:rsidR="0057029C" w:rsidRPr="00B709CA">
        <w:rPr>
          <w:b/>
          <w:lang w:val="es-ES" w:eastAsia="es-CR"/>
        </w:rPr>
        <w:fldChar w:fldCharType="separate"/>
      </w:r>
    </w:p>
    <w:p w14:paraId="797F0873" w14:textId="3668C290" w:rsidR="00C572A3" w:rsidRDefault="0057029C" w:rsidP="00B709CA">
      <w:pPr>
        <w:spacing w:after="0" w:line="240" w:lineRule="auto"/>
        <w:rPr>
          <w:rFonts w:asciiTheme="minorHAnsi" w:hAnsiTheme="minorHAnsi"/>
          <w:sz w:val="22"/>
        </w:rPr>
      </w:pPr>
      <w:r w:rsidRPr="00B709CA">
        <w:rPr>
          <w:rFonts w:eastAsia="Times New Roman"/>
          <w:b/>
          <w:sz w:val="22"/>
          <w:lang w:val="es-ES" w:eastAsia="es-CR"/>
        </w:rPr>
        <w:fldChar w:fldCharType="end"/>
      </w:r>
      <w:r w:rsidR="00ED6096">
        <w:rPr>
          <w:rFonts w:eastAsia="Times New Roman"/>
          <w:bCs/>
          <w:sz w:val="22"/>
          <w:lang w:val="es-ES" w:eastAsia="es-CR"/>
        </w:rPr>
        <w:fldChar w:fldCharType="begin"/>
      </w:r>
      <w:r w:rsidR="00ED6096">
        <w:rPr>
          <w:rFonts w:eastAsia="Times New Roman"/>
          <w:bCs/>
          <w:sz w:val="22"/>
          <w:lang w:val="es-ES" w:eastAsia="es-CR"/>
        </w:rPr>
        <w:instrText xml:space="preserve"> LINK </w:instrText>
      </w:r>
      <w:r w:rsidR="0068177A">
        <w:rPr>
          <w:rFonts w:eastAsia="Times New Roman"/>
          <w:bCs/>
          <w:sz w:val="22"/>
          <w:lang w:val="es-ES" w:eastAsia="es-CR"/>
        </w:rPr>
        <w:instrText xml:space="preserve">Excel.SheetMacroEnabled.12 "C:\\Users\\arges\\OneDrive\\Desktop\\Municipalidades\\Buenos Aires\\Cierre Junio 2024\\Notas Contables\\15603_T02_2024_Anexo_Estado_Notas_Contables_Vinculadas.xlsm" NOTAS_POR_CUENTA!R127C1:R129C6 </w:instrText>
      </w:r>
      <w:r w:rsidR="00ED6096">
        <w:rPr>
          <w:rFonts w:eastAsia="Times New Roman"/>
          <w:bCs/>
          <w:sz w:val="22"/>
          <w:lang w:val="es-ES" w:eastAsia="es-CR"/>
        </w:rPr>
        <w:instrText xml:space="preserve">\a \f 4 \h </w:instrText>
      </w:r>
      <w:r w:rsidR="00ED6096">
        <w:rPr>
          <w:rFonts w:eastAsia="Times New Roman"/>
          <w:bCs/>
          <w:sz w:val="22"/>
          <w:lang w:val="es-ES" w:eastAsia="es-CR"/>
        </w:rPr>
        <w:fldChar w:fldCharType="separate"/>
      </w:r>
    </w:p>
    <w:tbl>
      <w:tblPr>
        <w:tblW w:w="10080" w:type="dxa"/>
        <w:tblLook w:val="04A0" w:firstRow="1" w:lastRow="0" w:firstColumn="1" w:lastColumn="0" w:noHBand="0" w:noVBand="1"/>
      </w:tblPr>
      <w:tblGrid>
        <w:gridCol w:w="791"/>
        <w:gridCol w:w="3265"/>
        <w:gridCol w:w="544"/>
        <w:gridCol w:w="2200"/>
        <w:gridCol w:w="2200"/>
        <w:gridCol w:w="1080"/>
      </w:tblGrid>
      <w:tr w:rsidR="00C572A3" w:rsidRPr="00C572A3" w14:paraId="3CAE5771" w14:textId="77777777" w:rsidTr="00C572A3">
        <w:trPr>
          <w:divId w:val="999505084"/>
          <w:trHeight w:val="320"/>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5215977" w14:textId="2FFC34B6" w:rsidR="00C572A3" w:rsidRPr="00C572A3" w:rsidRDefault="00C572A3" w:rsidP="00C572A3">
            <w:pP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B71E1FA"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Descripción</w:t>
            </w:r>
          </w:p>
        </w:tc>
        <w:tc>
          <w:tcPr>
            <w:tcW w:w="5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AF7130F"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Nota</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3A2D4D4"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Actual </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8CBB390"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Anterior </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19B48065"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Diferencia </w:t>
            </w:r>
          </w:p>
        </w:tc>
      </w:tr>
      <w:tr w:rsidR="00C572A3" w:rsidRPr="00C572A3" w14:paraId="155EFFA1" w14:textId="77777777" w:rsidTr="00C572A3">
        <w:trPr>
          <w:divId w:val="999505084"/>
          <w:trHeight w:val="320"/>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075D5F19"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2415FBC7"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14:paraId="7A68D5E2"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22E24214"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5D0DC039"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1080" w:type="dxa"/>
            <w:tcBorders>
              <w:top w:val="nil"/>
              <w:left w:val="nil"/>
              <w:bottom w:val="single" w:sz="8" w:space="0" w:color="auto"/>
              <w:right w:val="single" w:sz="8" w:space="0" w:color="auto"/>
            </w:tcBorders>
            <w:shd w:val="clear" w:color="000000" w:fill="366092"/>
            <w:noWrap/>
            <w:vAlign w:val="center"/>
            <w:hideMark/>
          </w:tcPr>
          <w:p w14:paraId="73942511" w14:textId="77777777" w:rsidR="00C572A3" w:rsidRPr="00C572A3" w:rsidRDefault="00C572A3" w:rsidP="00C572A3">
            <w:pPr>
              <w:spacing w:after="0" w:line="240" w:lineRule="auto"/>
              <w:jc w:val="center"/>
              <w:rPr>
                <w:rFonts w:eastAsia="Times New Roman" w:cs="Calibri"/>
                <w:color w:val="FFFFFF"/>
                <w:sz w:val="18"/>
                <w:szCs w:val="18"/>
                <w:lang w:val="en-US"/>
              </w:rPr>
            </w:pPr>
            <w:r w:rsidRPr="00C572A3">
              <w:rPr>
                <w:rFonts w:eastAsia="Times New Roman" w:cs="Calibri"/>
                <w:color w:val="FFFFFF"/>
                <w:sz w:val="18"/>
                <w:szCs w:val="18"/>
                <w:lang w:val="en-US"/>
              </w:rPr>
              <w:t>%</w:t>
            </w:r>
          </w:p>
        </w:tc>
      </w:tr>
      <w:tr w:rsidR="00C572A3" w:rsidRPr="00C572A3" w14:paraId="6B56E935" w14:textId="77777777" w:rsidTr="00C572A3">
        <w:trPr>
          <w:divId w:val="999505084"/>
          <w:trHeight w:val="320"/>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7881801A" w14:textId="77777777" w:rsidR="00C572A3" w:rsidRPr="00C572A3" w:rsidRDefault="00C572A3" w:rsidP="00C572A3">
            <w:pPr>
              <w:spacing w:after="0" w:line="240" w:lineRule="auto"/>
              <w:jc w:val="left"/>
              <w:rPr>
                <w:rFonts w:eastAsia="Times New Roman" w:cs="Calibri"/>
                <w:b/>
                <w:bCs/>
                <w:color w:val="000000"/>
                <w:sz w:val="18"/>
                <w:szCs w:val="18"/>
                <w:lang w:val="en-US"/>
              </w:rPr>
            </w:pPr>
            <w:r w:rsidRPr="00C572A3">
              <w:rPr>
                <w:rFonts w:eastAsia="Times New Roman" w:cs="Calibri"/>
                <w:b/>
                <w:bCs/>
                <w:color w:val="000000"/>
                <w:sz w:val="18"/>
                <w:szCs w:val="18"/>
                <w:lang w:val="en-US"/>
              </w:rPr>
              <w:t>2.1.3.03.</w:t>
            </w:r>
          </w:p>
        </w:tc>
        <w:tc>
          <w:tcPr>
            <w:tcW w:w="3380" w:type="dxa"/>
            <w:tcBorders>
              <w:top w:val="nil"/>
              <w:left w:val="nil"/>
              <w:bottom w:val="single" w:sz="8" w:space="0" w:color="auto"/>
              <w:right w:val="single" w:sz="8" w:space="0" w:color="auto"/>
            </w:tcBorders>
            <w:shd w:val="clear" w:color="auto" w:fill="auto"/>
            <w:vAlign w:val="center"/>
            <w:hideMark/>
          </w:tcPr>
          <w:p w14:paraId="1B1C63A1" w14:textId="77777777" w:rsidR="00C572A3" w:rsidRPr="00C572A3" w:rsidRDefault="00C572A3" w:rsidP="00C572A3">
            <w:pPr>
              <w:spacing w:after="0" w:line="240" w:lineRule="auto"/>
              <w:jc w:val="left"/>
              <w:rPr>
                <w:rFonts w:eastAsia="Times New Roman" w:cs="Calibri"/>
                <w:b/>
                <w:bCs/>
                <w:color w:val="000000"/>
                <w:sz w:val="18"/>
                <w:szCs w:val="18"/>
                <w:lang w:val="en-US"/>
              </w:rPr>
            </w:pPr>
            <w:r w:rsidRPr="00C572A3">
              <w:rPr>
                <w:rFonts w:eastAsia="Times New Roman" w:cs="Calibri"/>
                <w:b/>
                <w:bCs/>
                <w:color w:val="000000"/>
                <w:sz w:val="18"/>
                <w:szCs w:val="18"/>
                <w:lang w:val="en-US"/>
              </w:rPr>
              <w:t>Depósitos en garantía</w:t>
            </w:r>
          </w:p>
        </w:tc>
        <w:tc>
          <w:tcPr>
            <w:tcW w:w="520" w:type="dxa"/>
            <w:tcBorders>
              <w:top w:val="nil"/>
              <w:left w:val="nil"/>
              <w:bottom w:val="single" w:sz="8" w:space="0" w:color="auto"/>
              <w:right w:val="single" w:sz="8" w:space="0" w:color="auto"/>
            </w:tcBorders>
            <w:shd w:val="clear" w:color="auto" w:fill="auto"/>
            <w:noWrap/>
            <w:vAlign w:val="center"/>
            <w:hideMark/>
          </w:tcPr>
          <w:p w14:paraId="2B26C678"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16</w:t>
            </w:r>
          </w:p>
        </w:tc>
        <w:tc>
          <w:tcPr>
            <w:tcW w:w="2200" w:type="dxa"/>
            <w:tcBorders>
              <w:top w:val="nil"/>
              <w:left w:val="nil"/>
              <w:bottom w:val="single" w:sz="8" w:space="0" w:color="auto"/>
              <w:right w:val="single" w:sz="8" w:space="0" w:color="auto"/>
            </w:tcBorders>
            <w:shd w:val="clear" w:color="auto" w:fill="auto"/>
            <w:noWrap/>
            <w:vAlign w:val="center"/>
            <w:hideMark/>
          </w:tcPr>
          <w:p w14:paraId="0998BF2A"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58 724,40 </w:t>
            </w:r>
          </w:p>
        </w:tc>
        <w:tc>
          <w:tcPr>
            <w:tcW w:w="2200" w:type="dxa"/>
            <w:tcBorders>
              <w:top w:val="nil"/>
              <w:left w:val="nil"/>
              <w:bottom w:val="single" w:sz="8" w:space="0" w:color="auto"/>
              <w:right w:val="single" w:sz="8" w:space="0" w:color="auto"/>
            </w:tcBorders>
            <w:shd w:val="clear" w:color="auto" w:fill="auto"/>
            <w:noWrap/>
            <w:vAlign w:val="center"/>
            <w:hideMark/>
          </w:tcPr>
          <w:p w14:paraId="43EA725E"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67 537,73 </w:t>
            </w:r>
          </w:p>
        </w:tc>
        <w:tc>
          <w:tcPr>
            <w:tcW w:w="1080" w:type="dxa"/>
            <w:tcBorders>
              <w:top w:val="nil"/>
              <w:left w:val="nil"/>
              <w:bottom w:val="single" w:sz="8" w:space="0" w:color="auto"/>
              <w:right w:val="single" w:sz="8" w:space="0" w:color="auto"/>
            </w:tcBorders>
            <w:shd w:val="clear" w:color="auto" w:fill="auto"/>
            <w:noWrap/>
            <w:vAlign w:val="center"/>
            <w:hideMark/>
          </w:tcPr>
          <w:p w14:paraId="14325E43"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-13,05%</w:t>
            </w:r>
          </w:p>
        </w:tc>
      </w:tr>
    </w:tbl>
    <w:p w14:paraId="6EEDBDE2" w14:textId="77777777" w:rsidR="00B709CA" w:rsidRDefault="00ED6096" w:rsidP="00B709CA">
      <w:pPr>
        <w:spacing w:after="0" w:line="240" w:lineRule="auto"/>
        <w:rPr>
          <w:rFonts w:eastAsia="Times New Roman"/>
          <w:bCs/>
          <w:sz w:val="22"/>
          <w:lang w:val="es-ES" w:eastAsia="es-CR"/>
        </w:rPr>
      </w:pPr>
      <w:r>
        <w:rPr>
          <w:rFonts w:eastAsia="Times New Roman"/>
          <w:bCs/>
          <w:sz w:val="22"/>
          <w:lang w:val="es-ES" w:eastAsia="es-CR"/>
        </w:rPr>
        <w:fldChar w:fldCharType="end"/>
      </w:r>
    </w:p>
    <w:p w14:paraId="0FFDB065" w14:textId="77777777" w:rsidR="00B709CA" w:rsidRDefault="00692DC8" w:rsidP="00B709CA">
      <w:pPr>
        <w:spacing w:after="0" w:line="240" w:lineRule="auto"/>
        <w:rPr>
          <w:rFonts w:eastAsia="Calibri"/>
          <w:b/>
          <w:lang w:val="es-ES"/>
        </w:rPr>
      </w:pPr>
      <w:r w:rsidRPr="007469D0">
        <w:rPr>
          <w:rFonts w:eastAsia="Calibri"/>
          <w:b/>
          <w:lang w:val="es-ES"/>
        </w:rPr>
        <w:t>Revelación:</w:t>
      </w:r>
    </w:p>
    <w:p w14:paraId="0E559F82" w14:textId="319A856F" w:rsidR="00694299" w:rsidRPr="00694299" w:rsidRDefault="00692DC8" w:rsidP="00B709CA">
      <w:pPr>
        <w:spacing w:after="0" w:line="240" w:lineRule="auto"/>
        <w:rPr>
          <w:rFonts w:eastAsia="Times New Roman"/>
          <w:bCs/>
          <w:sz w:val="22"/>
          <w:lang w:val="es-ES" w:eastAsia="es-CR"/>
        </w:rPr>
      </w:pPr>
      <w:r w:rsidRPr="007469D0">
        <w:rPr>
          <w:rFonts w:eastAsia="Calibri"/>
          <w:b/>
          <w:lang w:val="es-ES"/>
        </w:rPr>
        <w:t xml:space="preserve"> </w:t>
      </w:r>
      <w:r w:rsidR="0057029C">
        <w:rPr>
          <w:rFonts w:cs="Calibri"/>
          <w:color w:val="000000"/>
          <w:lang w:eastAsia="es-CR"/>
        </w:rPr>
        <w:fldChar w:fldCharType="begin"/>
      </w:r>
      <w:r w:rsidR="0057029C">
        <w:rPr>
          <w:rFonts w:cs="Calibri"/>
          <w:color w:val="000000"/>
          <w:lang w:eastAsia="es-CR"/>
        </w:rPr>
        <w:instrText xml:space="preserve"> LINK </w:instrText>
      </w:r>
      <w:r w:rsidR="00323752">
        <w:rPr>
          <w:rFonts w:cs="Calibri"/>
          <w:color w:val="000000"/>
          <w:lang w:eastAsia="es-CR"/>
        </w:rPr>
        <w:instrText xml:space="preserve">Excel.SheetMacroEnabled.12 "D:\\MORAVIA\\INSUMOS\\NOTAS 2024\\Formato_Notas_EEFF_Vinculadas_2024\\XXXXX_PXX_202X_Anexo_Estado_Notas_Contables_Vinculadas.xlsm" NOTAS_POR_CUENTA!F129C8 </w:instrText>
      </w:r>
      <w:r w:rsidR="0057029C">
        <w:rPr>
          <w:rFonts w:cs="Calibri"/>
          <w:color w:val="000000"/>
          <w:lang w:eastAsia="es-CR"/>
        </w:rPr>
        <w:instrText xml:space="preserve">\a \f 5 \h  \* MERGEFORMAT </w:instrText>
      </w:r>
      <w:r w:rsidR="0057029C">
        <w:rPr>
          <w:rFonts w:cs="Calibri"/>
          <w:color w:val="000000"/>
          <w:lang w:eastAsia="es-CR"/>
        </w:rPr>
        <w:fldChar w:fldCharType="separate"/>
      </w:r>
    </w:p>
    <w:p w14:paraId="3F49CED6" w14:textId="09B88C15" w:rsidR="00B709CA" w:rsidRPr="00694299" w:rsidRDefault="00694299" w:rsidP="00B709CA">
      <w:pPr>
        <w:spacing w:line="240" w:lineRule="auto"/>
        <w:rPr>
          <w:rFonts w:cs="Calibri"/>
          <w:color w:val="000000"/>
          <w:lang w:eastAsia="es-CR"/>
        </w:rPr>
      </w:pPr>
      <w:r w:rsidRPr="00694299">
        <w:rPr>
          <w:rFonts w:cs="Calibri"/>
          <w:color w:val="000000"/>
          <w:lang w:eastAsia="es-CR"/>
        </w:rPr>
        <w:t>La cuenta</w:t>
      </w:r>
      <w:r w:rsidR="00B709CA">
        <w:rPr>
          <w:rFonts w:cs="Calibri"/>
          <w:color w:val="000000"/>
          <w:lang w:eastAsia="es-CR"/>
        </w:rPr>
        <w:t xml:space="preserve"> Fondos de terceros y</w:t>
      </w:r>
      <w:r w:rsidRPr="00694299">
        <w:rPr>
          <w:rFonts w:cs="Calibri"/>
          <w:color w:val="000000"/>
          <w:lang w:eastAsia="es-CR"/>
        </w:rPr>
        <w:t xml:space="preserve"> en garantía, representa el 3,0</w:t>
      </w:r>
      <w:r w:rsidR="00B709CA">
        <w:rPr>
          <w:rFonts w:cs="Calibri"/>
          <w:color w:val="000000"/>
          <w:lang w:eastAsia="es-CR"/>
        </w:rPr>
        <w:t>3</w:t>
      </w:r>
      <w:r w:rsidRPr="00694299">
        <w:rPr>
          <w:rFonts w:cs="Calibri"/>
          <w:color w:val="000000"/>
          <w:lang w:eastAsia="es-CR"/>
        </w:rPr>
        <w:t>% del total del Pasivo, que comparado al periodo anterior genera una variación absoluta de</w:t>
      </w:r>
      <w:r w:rsidR="00B709CA" w:rsidRPr="00B709CA">
        <w:rPr>
          <w:rFonts w:cs="Calibri"/>
          <w:color w:val="000000"/>
          <w:lang w:eastAsia="es-CR"/>
        </w:rPr>
        <w:t xml:space="preserve"> -849 761,67</w:t>
      </w:r>
      <w:r w:rsidRPr="00694299">
        <w:rPr>
          <w:rFonts w:cs="Calibri"/>
          <w:color w:val="000000"/>
          <w:lang w:eastAsia="es-CR"/>
        </w:rPr>
        <w:t xml:space="preserve"> que corresponde a un Disminución del -</w:t>
      </w:r>
      <w:r w:rsidR="00B709CA">
        <w:rPr>
          <w:rFonts w:cs="Calibri"/>
          <w:color w:val="000000"/>
          <w:lang w:eastAsia="es-CR"/>
        </w:rPr>
        <w:t>93</w:t>
      </w:r>
      <w:r w:rsidRPr="00694299">
        <w:rPr>
          <w:rFonts w:cs="Calibri"/>
          <w:color w:val="000000"/>
          <w:lang w:eastAsia="es-CR"/>
        </w:rPr>
        <w:t>,</w:t>
      </w:r>
      <w:r w:rsidR="00B709CA">
        <w:rPr>
          <w:rFonts w:cs="Calibri"/>
          <w:color w:val="000000"/>
          <w:lang w:eastAsia="es-CR"/>
        </w:rPr>
        <w:t>54</w:t>
      </w:r>
      <w:r w:rsidRPr="00694299">
        <w:rPr>
          <w:rFonts w:cs="Calibri"/>
          <w:color w:val="000000"/>
          <w:lang w:eastAsia="es-CR"/>
        </w:rPr>
        <w:t>% de recursos disponibles.</w:t>
      </w:r>
    </w:p>
    <w:p w14:paraId="28C989AC" w14:textId="77777777" w:rsidR="00B709CA" w:rsidRDefault="0057029C" w:rsidP="00B709CA">
      <w:pPr>
        <w:spacing w:line="240" w:lineRule="auto"/>
        <w:rPr>
          <w:rFonts w:eastAsia="Calibri"/>
        </w:rPr>
      </w:pPr>
      <w:r>
        <w:rPr>
          <w:rFonts w:cs="Calibri"/>
          <w:color w:val="000000"/>
          <w:lang w:eastAsia="es-CR"/>
        </w:rPr>
        <w:fldChar w:fldCharType="end"/>
      </w:r>
      <w:r w:rsidR="00692DC8" w:rsidRPr="00692DC8">
        <w:rPr>
          <w:rFonts w:eastAsia="Calibri"/>
          <w:highlight w:val="lightGray"/>
        </w:rPr>
        <w:t>Las variaciones de la cuenta son producto de (Indicar la razón de las variaciones de un periodo a otro):</w:t>
      </w:r>
    </w:p>
    <w:p w14:paraId="138A2366" w14:textId="32CA74C6" w:rsidR="00692DC8" w:rsidRDefault="00B709CA" w:rsidP="00B709CA">
      <w:pPr>
        <w:spacing w:line="240" w:lineRule="auto"/>
        <w:rPr>
          <w:rFonts w:eastAsia="Calibri"/>
        </w:rPr>
      </w:pPr>
      <w:r>
        <w:rPr>
          <w:rFonts w:eastAsia="Calibri"/>
        </w:rPr>
        <w:t>C</w:t>
      </w:r>
      <w:r w:rsidR="00606715">
        <w:rPr>
          <w:rFonts w:eastAsia="Calibri"/>
        </w:rPr>
        <w:t xml:space="preserve">omo se indicó antes a que </w:t>
      </w:r>
      <w:r w:rsidR="00606715" w:rsidRPr="00010BB0">
        <w:rPr>
          <w:rFonts w:cs="Calibri"/>
          <w:color w:val="000000"/>
          <w:lang w:eastAsia="es-CR"/>
        </w:rPr>
        <w:t>la</w:t>
      </w:r>
      <w:r w:rsidR="00606715">
        <w:rPr>
          <w:rFonts w:cs="Calibri"/>
          <w:color w:val="000000"/>
          <w:lang w:eastAsia="es-CR"/>
        </w:rPr>
        <w:t>s</w:t>
      </w:r>
      <w:r w:rsidR="00606715" w:rsidRPr="00010BB0">
        <w:rPr>
          <w:rFonts w:cs="Calibri"/>
          <w:color w:val="000000"/>
          <w:lang w:eastAsia="es-CR"/>
        </w:rPr>
        <w:t xml:space="preserve"> devoluci</w:t>
      </w:r>
      <w:r w:rsidR="00606715">
        <w:rPr>
          <w:rFonts w:cs="Calibri"/>
          <w:color w:val="000000"/>
          <w:lang w:eastAsia="es-CR"/>
        </w:rPr>
        <w:t>o</w:t>
      </w:r>
      <w:r w:rsidR="00606715" w:rsidRPr="00010BB0">
        <w:rPr>
          <w:rFonts w:cs="Calibri"/>
          <w:color w:val="000000"/>
          <w:lang w:eastAsia="es-CR"/>
        </w:rPr>
        <w:t>n</w:t>
      </w:r>
      <w:r w:rsidR="00606715">
        <w:rPr>
          <w:rFonts w:cs="Calibri"/>
          <w:color w:val="000000"/>
          <w:lang w:eastAsia="es-CR"/>
        </w:rPr>
        <w:t>es</w:t>
      </w:r>
      <w:r w:rsidR="00606715" w:rsidRPr="00010BB0">
        <w:rPr>
          <w:rFonts w:cs="Calibri"/>
          <w:color w:val="000000"/>
          <w:lang w:eastAsia="es-CR"/>
        </w:rPr>
        <w:t xml:space="preserve"> de depósitos en garantías a empresas privadas</w:t>
      </w:r>
      <w:r w:rsidR="00606715">
        <w:rPr>
          <w:rFonts w:cs="Calibri"/>
          <w:color w:val="000000"/>
          <w:lang w:eastAsia="es-CR"/>
        </w:rPr>
        <w:t xml:space="preserve"> y oferentes</w:t>
      </w:r>
      <w:r w:rsidR="00606715" w:rsidRPr="00010BB0">
        <w:rPr>
          <w:rFonts w:cs="Calibri"/>
          <w:color w:val="000000"/>
          <w:lang w:eastAsia="es-CR"/>
        </w:rPr>
        <w:t xml:space="preserve"> que las rindieron en diferentes procesos de contratación que realizó la Municipalidad</w:t>
      </w:r>
      <w:r w:rsidR="00606715">
        <w:rPr>
          <w:rFonts w:cs="Calibri"/>
          <w:color w:val="000000"/>
          <w:lang w:eastAsia="es-CR"/>
        </w:rPr>
        <w:t xml:space="preserve"> fueron superiores a las garantías recibidas en el periodo</w:t>
      </w:r>
    </w:p>
    <w:p w14:paraId="75C08410" w14:textId="71B71BE2" w:rsidR="00B709CA" w:rsidRDefault="00B709CA" w:rsidP="00B709CA">
      <w:pPr>
        <w:spacing w:after="120" w:line="240" w:lineRule="auto"/>
        <w:rPr>
          <w:rFonts w:eastAsia="Calibri"/>
        </w:rPr>
      </w:pPr>
      <w:r>
        <w:rPr>
          <w:rFonts w:eastAsia="Calibri"/>
        </w:rPr>
        <w:t xml:space="preserve">Que como se aprecia en el siguiente detalle la disminución de </w:t>
      </w:r>
      <w:r w:rsidRPr="008C37BC">
        <w:rPr>
          <w:rFonts w:eastAsia="Calibri"/>
        </w:rPr>
        <w:t>-</w:t>
      </w:r>
      <w:r w:rsidRPr="00C32732">
        <w:rPr>
          <w:rFonts w:ascii="Arial" w:eastAsia="Calibri" w:hAnsi="Arial" w:cs="Arial"/>
        </w:rPr>
        <w:t>₡</w:t>
      </w:r>
      <w:r>
        <w:rPr>
          <w:rFonts w:eastAsia="Calibri"/>
        </w:rPr>
        <w:t>8</w:t>
      </w:r>
      <w:r w:rsidR="008D2F6F">
        <w:rPr>
          <w:rFonts w:eastAsia="Calibri"/>
        </w:rPr>
        <w:t>49</w:t>
      </w:r>
      <w:r w:rsidRPr="008C37BC">
        <w:rPr>
          <w:rFonts w:eastAsia="Calibri"/>
        </w:rPr>
        <w:t xml:space="preserve"> </w:t>
      </w:r>
      <w:r w:rsidR="008D2F6F">
        <w:rPr>
          <w:rFonts w:eastAsia="Calibri"/>
        </w:rPr>
        <w:t>761</w:t>
      </w:r>
      <w:r w:rsidRPr="008C37BC">
        <w:rPr>
          <w:rFonts w:eastAsia="Calibri"/>
        </w:rPr>
        <w:t>,</w:t>
      </w:r>
      <w:r w:rsidR="008D2F6F">
        <w:rPr>
          <w:rFonts w:eastAsia="Calibri"/>
        </w:rPr>
        <w:t>6</w:t>
      </w:r>
      <w:r>
        <w:rPr>
          <w:rFonts w:eastAsia="Calibri"/>
        </w:rPr>
        <w:t>7 miles, se debe</w:t>
      </w:r>
      <w:r w:rsidRPr="00C32732">
        <w:rPr>
          <w:rFonts w:eastAsia="Calibri"/>
        </w:rPr>
        <w:t xml:space="preserve"> a </w:t>
      </w:r>
      <w:r>
        <w:rPr>
          <w:rFonts w:eastAsia="Calibri"/>
        </w:rPr>
        <w:t xml:space="preserve">la </w:t>
      </w:r>
      <w:r w:rsidRPr="00C32732">
        <w:rPr>
          <w:rFonts w:eastAsia="Calibri"/>
        </w:rPr>
        <w:t xml:space="preserve">devolución de depósitos en garantías a empresas privadas </w:t>
      </w:r>
      <w:r>
        <w:rPr>
          <w:rFonts w:eastAsia="Calibri"/>
        </w:rPr>
        <w:t>por la suma de -</w:t>
      </w:r>
      <w:r w:rsidRPr="00C32732">
        <w:rPr>
          <w:rFonts w:ascii="Arial" w:eastAsia="Calibri" w:hAnsi="Arial" w:cs="Arial"/>
        </w:rPr>
        <w:t>₡</w:t>
      </w:r>
      <w:r w:rsidR="000B1AD8">
        <w:rPr>
          <w:rFonts w:eastAsia="Calibri"/>
        </w:rPr>
        <w:t>8</w:t>
      </w:r>
      <w:r w:rsidRPr="00C32732">
        <w:rPr>
          <w:rFonts w:eastAsia="Calibri"/>
        </w:rPr>
        <w:t> </w:t>
      </w:r>
      <w:r w:rsidR="000B1AD8">
        <w:rPr>
          <w:rFonts w:eastAsia="Calibri"/>
        </w:rPr>
        <w:t>813</w:t>
      </w:r>
      <w:r w:rsidRPr="00C32732">
        <w:rPr>
          <w:rFonts w:eastAsia="Calibri"/>
        </w:rPr>
        <w:t>,</w:t>
      </w:r>
      <w:r w:rsidR="000B1AD8">
        <w:rPr>
          <w:rFonts w:eastAsia="Calibri"/>
        </w:rPr>
        <w:t>33</w:t>
      </w:r>
      <w:r w:rsidRPr="00C32732">
        <w:rPr>
          <w:rFonts w:eastAsia="Calibri"/>
        </w:rPr>
        <w:t xml:space="preserve"> miles</w:t>
      </w:r>
      <w:r>
        <w:rPr>
          <w:rFonts w:eastAsia="Calibri"/>
        </w:rPr>
        <w:t xml:space="preserve"> y por la disminución en la cuenta </w:t>
      </w:r>
      <w:r w:rsidRPr="008C37BC">
        <w:rPr>
          <w:rFonts w:eastAsia="Calibri"/>
        </w:rPr>
        <w:t>Otros fondos de terceros</w:t>
      </w:r>
      <w:r>
        <w:rPr>
          <w:rFonts w:eastAsia="Calibri"/>
        </w:rPr>
        <w:t xml:space="preserve"> debido a que en </w:t>
      </w:r>
      <w:r w:rsidR="0096573A">
        <w:rPr>
          <w:rFonts w:eastAsia="Calibri"/>
        </w:rPr>
        <w:t>junio</w:t>
      </w:r>
      <w:r>
        <w:rPr>
          <w:rFonts w:eastAsia="Calibri"/>
        </w:rPr>
        <w:t xml:space="preserve"> de 2023 se mantenían registrados </w:t>
      </w:r>
      <w:r w:rsidRPr="002800E8">
        <w:rPr>
          <w:rFonts w:eastAsia="Calibri"/>
        </w:rPr>
        <w:t>Otros fondos de gobiernos locales</w:t>
      </w:r>
      <w:r>
        <w:rPr>
          <w:rFonts w:eastAsia="Calibri"/>
        </w:rPr>
        <w:t xml:space="preserve"> por la suma de </w:t>
      </w:r>
      <w:r w:rsidRPr="008C37BC">
        <w:rPr>
          <w:rFonts w:eastAsia="Calibri"/>
        </w:rPr>
        <w:t>-</w:t>
      </w:r>
      <w:r w:rsidRPr="002800E8">
        <w:rPr>
          <w:rFonts w:ascii="Arial" w:eastAsia="Calibri" w:hAnsi="Arial" w:cs="Arial"/>
        </w:rPr>
        <w:t>₡</w:t>
      </w:r>
      <w:r w:rsidRPr="002800E8">
        <w:rPr>
          <w:rFonts w:eastAsia="Calibri"/>
        </w:rPr>
        <w:t>840</w:t>
      </w:r>
      <w:r w:rsidRPr="008C37BC">
        <w:rPr>
          <w:rFonts w:eastAsia="Calibri"/>
        </w:rPr>
        <w:t xml:space="preserve"> </w:t>
      </w:r>
      <w:r>
        <w:rPr>
          <w:rFonts w:eastAsia="Calibri"/>
        </w:rPr>
        <w:t>948</w:t>
      </w:r>
      <w:r w:rsidRPr="008C37BC">
        <w:rPr>
          <w:rFonts w:eastAsia="Calibri"/>
        </w:rPr>
        <w:t>,</w:t>
      </w:r>
      <w:r>
        <w:rPr>
          <w:rFonts w:eastAsia="Calibri"/>
        </w:rPr>
        <w:t xml:space="preserve">34 miles, los cuales a </w:t>
      </w:r>
      <w:r w:rsidR="0096573A">
        <w:rPr>
          <w:rFonts w:eastAsia="Calibri"/>
        </w:rPr>
        <w:t>junio</w:t>
      </w:r>
      <w:r>
        <w:rPr>
          <w:rFonts w:eastAsia="Calibri"/>
        </w:rPr>
        <w:t xml:space="preserve"> de</w:t>
      </w:r>
      <w:r w:rsidRPr="00C32732">
        <w:rPr>
          <w:rFonts w:eastAsia="Calibri"/>
        </w:rPr>
        <w:t xml:space="preserve"> </w:t>
      </w:r>
      <w:r>
        <w:rPr>
          <w:rFonts w:eastAsia="Calibri"/>
        </w:rPr>
        <w:t>202</w:t>
      </w:r>
      <w:r w:rsidR="0096573A">
        <w:rPr>
          <w:rFonts w:eastAsia="Calibri"/>
        </w:rPr>
        <w:t>4</w:t>
      </w:r>
      <w:r>
        <w:rPr>
          <w:rFonts w:eastAsia="Calibri"/>
        </w:rPr>
        <w:t xml:space="preserve"> no existían, como se observa en el siguiente cuadro.</w:t>
      </w:r>
    </w:p>
    <w:p w14:paraId="759755D1" w14:textId="77777777" w:rsidR="00B709CA" w:rsidRPr="00C32732" w:rsidRDefault="00B709CA" w:rsidP="00B709CA">
      <w:pPr>
        <w:spacing w:after="0" w:line="240" w:lineRule="auto"/>
        <w:rPr>
          <w:rFonts w:eastAsia="Calibri"/>
        </w:rPr>
      </w:pPr>
    </w:p>
    <w:tbl>
      <w:tblPr>
        <w:tblW w:w="8721" w:type="dxa"/>
        <w:tblLook w:val="04A0" w:firstRow="1" w:lastRow="0" w:firstColumn="1" w:lastColumn="0" w:noHBand="0" w:noVBand="1"/>
      </w:tblPr>
      <w:tblGrid>
        <w:gridCol w:w="855"/>
        <w:gridCol w:w="2821"/>
        <w:gridCol w:w="1418"/>
        <w:gridCol w:w="1340"/>
        <w:gridCol w:w="1327"/>
        <w:gridCol w:w="960"/>
      </w:tblGrid>
      <w:tr w:rsidR="000B1AD8" w:rsidRPr="000B1AD8" w14:paraId="409A7733" w14:textId="77777777" w:rsidTr="000B1AD8">
        <w:trPr>
          <w:trHeight w:val="530"/>
        </w:trPr>
        <w:tc>
          <w:tcPr>
            <w:tcW w:w="855" w:type="dxa"/>
            <w:tcBorders>
              <w:top w:val="single" w:sz="8" w:space="0" w:color="auto"/>
              <w:left w:val="single" w:sz="8" w:space="0" w:color="auto"/>
              <w:bottom w:val="nil"/>
              <w:right w:val="single" w:sz="12" w:space="0" w:color="auto"/>
            </w:tcBorders>
            <w:shd w:val="clear" w:color="000000" w:fill="002060"/>
            <w:vAlign w:val="center"/>
            <w:hideMark/>
          </w:tcPr>
          <w:p w14:paraId="1632E1B8" w14:textId="77777777" w:rsidR="000B1AD8" w:rsidRPr="000B1AD8" w:rsidRDefault="000B1AD8" w:rsidP="000B1AD8">
            <w:pPr>
              <w:spacing w:after="0" w:line="240" w:lineRule="auto"/>
              <w:jc w:val="center"/>
              <w:rPr>
                <w:rFonts w:eastAsia="Times New Roman" w:cs="Calibri"/>
                <w:b/>
                <w:bCs/>
                <w:color w:val="FFFFFF"/>
                <w:sz w:val="20"/>
                <w:szCs w:val="20"/>
                <w:lang w:val="en-US"/>
              </w:rPr>
            </w:pPr>
            <w:r w:rsidRPr="000B1AD8">
              <w:rPr>
                <w:rFonts w:eastAsia="Times New Roman" w:cs="Calibri"/>
                <w:b/>
                <w:bCs/>
                <w:color w:val="FFFFFF"/>
                <w:sz w:val="20"/>
                <w:szCs w:val="20"/>
                <w:lang w:val="en-US"/>
              </w:rPr>
              <w:t>Cuenta</w:t>
            </w:r>
          </w:p>
        </w:tc>
        <w:tc>
          <w:tcPr>
            <w:tcW w:w="2821" w:type="dxa"/>
            <w:tcBorders>
              <w:top w:val="single" w:sz="8" w:space="0" w:color="auto"/>
              <w:left w:val="nil"/>
              <w:bottom w:val="nil"/>
              <w:right w:val="single" w:sz="12" w:space="0" w:color="auto"/>
            </w:tcBorders>
            <w:shd w:val="clear" w:color="000000" w:fill="002060"/>
            <w:vAlign w:val="center"/>
            <w:hideMark/>
          </w:tcPr>
          <w:p w14:paraId="390A0318" w14:textId="77777777" w:rsidR="000B1AD8" w:rsidRPr="000B1AD8" w:rsidRDefault="000B1AD8" w:rsidP="000B1AD8">
            <w:pPr>
              <w:spacing w:after="0" w:line="240" w:lineRule="auto"/>
              <w:jc w:val="center"/>
              <w:rPr>
                <w:rFonts w:eastAsia="Times New Roman" w:cs="Calibri"/>
                <w:b/>
                <w:bCs/>
                <w:color w:val="FFFFFF"/>
                <w:sz w:val="20"/>
                <w:szCs w:val="20"/>
                <w:lang w:val="en-US"/>
              </w:rPr>
            </w:pPr>
            <w:r w:rsidRPr="000B1AD8">
              <w:rPr>
                <w:rFonts w:eastAsia="Times New Roman" w:cs="Calibri"/>
                <w:b/>
                <w:bCs/>
                <w:color w:val="FFFFFF"/>
                <w:sz w:val="20"/>
                <w:szCs w:val="20"/>
                <w:lang w:val="en-US"/>
              </w:rPr>
              <w:t>Descripción</w:t>
            </w:r>
          </w:p>
        </w:tc>
        <w:tc>
          <w:tcPr>
            <w:tcW w:w="1418" w:type="dxa"/>
            <w:tcBorders>
              <w:top w:val="single" w:sz="8" w:space="0" w:color="auto"/>
              <w:left w:val="nil"/>
              <w:bottom w:val="nil"/>
              <w:right w:val="single" w:sz="12" w:space="0" w:color="auto"/>
            </w:tcBorders>
            <w:shd w:val="clear" w:color="000000" w:fill="002060"/>
            <w:vAlign w:val="center"/>
            <w:hideMark/>
          </w:tcPr>
          <w:p w14:paraId="502592D9" w14:textId="77777777" w:rsidR="000B1AD8" w:rsidRPr="000B1AD8" w:rsidRDefault="000B1AD8" w:rsidP="000B1AD8">
            <w:pPr>
              <w:spacing w:after="0" w:line="240" w:lineRule="auto"/>
              <w:jc w:val="center"/>
              <w:rPr>
                <w:rFonts w:eastAsia="Times New Roman" w:cs="Calibri"/>
                <w:b/>
                <w:bCs/>
                <w:color w:val="FFFFFF"/>
                <w:sz w:val="20"/>
                <w:szCs w:val="20"/>
                <w:lang w:val="en-US"/>
              </w:rPr>
            </w:pPr>
            <w:r w:rsidRPr="000B1AD8">
              <w:rPr>
                <w:rFonts w:eastAsia="Times New Roman" w:cs="Calibri"/>
                <w:b/>
                <w:bCs/>
                <w:color w:val="FFFFFF"/>
                <w:sz w:val="20"/>
                <w:szCs w:val="20"/>
                <w:lang w:val="en-US"/>
              </w:rPr>
              <w:t>Saldo Año Actual</w:t>
            </w:r>
          </w:p>
        </w:tc>
        <w:tc>
          <w:tcPr>
            <w:tcW w:w="1340" w:type="dxa"/>
            <w:tcBorders>
              <w:top w:val="single" w:sz="8" w:space="0" w:color="auto"/>
              <w:left w:val="nil"/>
              <w:bottom w:val="nil"/>
              <w:right w:val="single" w:sz="12" w:space="0" w:color="auto"/>
            </w:tcBorders>
            <w:shd w:val="clear" w:color="000000" w:fill="002060"/>
            <w:vAlign w:val="center"/>
            <w:hideMark/>
          </w:tcPr>
          <w:p w14:paraId="4C7F7496" w14:textId="77777777" w:rsidR="000B1AD8" w:rsidRPr="000B1AD8" w:rsidRDefault="000B1AD8" w:rsidP="000B1AD8">
            <w:pPr>
              <w:spacing w:after="0" w:line="240" w:lineRule="auto"/>
              <w:jc w:val="center"/>
              <w:rPr>
                <w:rFonts w:eastAsia="Times New Roman" w:cs="Calibri"/>
                <w:b/>
                <w:bCs/>
                <w:color w:val="FFFFFF"/>
                <w:sz w:val="20"/>
                <w:szCs w:val="20"/>
                <w:lang w:val="en-US"/>
              </w:rPr>
            </w:pPr>
            <w:r w:rsidRPr="000B1AD8">
              <w:rPr>
                <w:rFonts w:eastAsia="Times New Roman" w:cs="Calibri"/>
                <w:b/>
                <w:bCs/>
                <w:color w:val="FFFFFF"/>
                <w:sz w:val="20"/>
                <w:szCs w:val="20"/>
                <w:lang w:val="en-US"/>
              </w:rPr>
              <w:t>Saldo Año Anterior</w:t>
            </w:r>
          </w:p>
        </w:tc>
        <w:tc>
          <w:tcPr>
            <w:tcW w:w="1327" w:type="dxa"/>
            <w:tcBorders>
              <w:top w:val="single" w:sz="8" w:space="0" w:color="auto"/>
              <w:left w:val="nil"/>
              <w:bottom w:val="nil"/>
              <w:right w:val="single" w:sz="12" w:space="0" w:color="auto"/>
            </w:tcBorders>
            <w:shd w:val="clear" w:color="000000" w:fill="002060"/>
            <w:vAlign w:val="center"/>
            <w:hideMark/>
          </w:tcPr>
          <w:p w14:paraId="50A86B98" w14:textId="77777777" w:rsidR="000B1AD8" w:rsidRPr="000B1AD8" w:rsidRDefault="000B1AD8" w:rsidP="000B1AD8">
            <w:pPr>
              <w:spacing w:after="0" w:line="240" w:lineRule="auto"/>
              <w:jc w:val="center"/>
              <w:rPr>
                <w:rFonts w:eastAsia="Times New Roman" w:cs="Calibri"/>
                <w:b/>
                <w:bCs/>
                <w:color w:val="FFFFFF"/>
                <w:sz w:val="20"/>
                <w:szCs w:val="20"/>
                <w:lang w:val="en-US"/>
              </w:rPr>
            </w:pPr>
            <w:r w:rsidRPr="000B1AD8">
              <w:rPr>
                <w:rFonts w:eastAsia="Times New Roman" w:cs="Calibri"/>
                <w:b/>
                <w:bCs/>
                <w:color w:val="FFFFFF"/>
                <w:sz w:val="20"/>
                <w:szCs w:val="20"/>
                <w:lang w:val="en-US"/>
              </w:rPr>
              <w:t>Variación Absoluta</w:t>
            </w:r>
          </w:p>
        </w:tc>
        <w:tc>
          <w:tcPr>
            <w:tcW w:w="960" w:type="dxa"/>
            <w:tcBorders>
              <w:top w:val="single" w:sz="8" w:space="0" w:color="auto"/>
              <w:left w:val="nil"/>
              <w:bottom w:val="nil"/>
              <w:right w:val="single" w:sz="8" w:space="0" w:color="auto"/>
            </w:tcBorders>
            <w:shd w:val="clear" w:color="000000" w:fill="002060"/>
            <w:vAlign w:val="center"/>
            <w:hideMark/>
          </w:tcPr>
          <w:p w14:paraId="68347C89" w14:textId="77777777" w:rsidR="000B1AD8" w:rsidRPr="000B1AD8" w:rsidRDefault="000B1AD8" w:rsidP="000B1AD8">
            <w:pPr>
              <w:spacing w:after="0" w:line="240" w:lineRule="auto"/>
              <w:jc w:val="center"/>
              <w:rPr>
                <w:rFonts w:eastAsia="Times New Roman" w:cs="Calibri"/>
                <w:b/>
                <w:bCs/>
                <w:color w:val="FFFFFF"/>
                <w:sz w:val="20"/>
                <w:szCs w:val="20"/>
                <w:lang w:val="en-US"/>
              </w:rPr>
            </w:pPr>
            <w:r w:rsidRPr="000B1AD8">
              <w:rPr>
                <w:rFonts w:eastAsia="Times New Roman" w:cs="Calibri"/>
                <w:b/>
                <w:bCs/>
                <w:color w:val="FFFFFF"/>
                <w:sz w:val="20"/>
                <w:szCs w:val="20"/>
                <w:lang w:val="en-US"/>
              </w:rPr>
              <w:t>Variación %</w:t>
            </w:r>
          </w:p>
        </w:tc>
      </w:tr>
      <w:tr w:rsidR="000B1AD8" w:rsidRPr="000B1AD8" w14:paraId="5A884C6B" w14:textId="77777777" w:rsidTr="000B1AD8">
        <w:trPr>
          <w:trHeight w:val="290"/>
        </w:trPr>
        <w:tc>
          <w:tcPr>
            <w:tcW w:w="855" w:type="dxa"/>
            <w:tcBorders>
              <w:top w:val="single" w:sz="8" w:space="0" w:color="auto"/>
              <w:left w:val="single" w:sz="8" w:space="0" w:color="auto"/>
              <w:bottom w:val="nil"/>
              <w:right w:val="single" w:sz="8" w:space="0" w:color="auto"/>
            </w:tcBorders>
            <w:shd w:val="clear" w:color="auto" w:fill="auto"/>
            <w:noWrap/>
            <w:vAlign w:val="center"/>
            <w:hideMark/>
          </w:tcPr>
          <w:p w14:paraId="00DBBACB" w14:textId="77777777" w:rsidR="000B1AD8" w:rsidRPr="000B1AD8" w:rsidRDefault="000B1AD8" w:rsidP="000B1AD8">
            <w:pPr>
              <w:spacing w:after="0" w:line="240" w:lineRule="auto"/>
              <w:jc w:val="left"/>
              <w:rPr>
                <w:rFonts w:eastAsia="Times New Roman" w:cs="Calibri"/>
                <w:color w:val="000000"/>
                <w:sz w:val="20"/>
                <w:szCs w:val="20"/>
                <w:lang w:val="en-US"/>
              </w:rPr>
            </w:pPr>
            <w:r w:rsidRPr="000B1AD8">
              <w:rPr>
                <w:rFonts w:eastAsia="Times New Roman" w:cs="Calibri"/>
                <w:color w:val="000000"/>
                <w:sz w:val="20"/>
                <w:szCs w:val="20"/>
                <w:lang w:val="en-US"/>
              </w:rPr>
              <w:t>2.1.3.03.</w:t>
            </w:r>
          </w:p>
        </w:tc>
        <w:tc>
          <w:tcPr>
            <w:tcW w:w="2821" w:type="dxa"/>
            <w:tcBorders>
              <w:top w:val="single" w:sz="8" w:space="0" w:color="auto"/>
              <w:left w:val="nil"/>
              <w:bottom w:val="nil"/>
              <w:right w:val="single" w:sz="8" w:space="0" w:color="auto"/>
            </w:tcBorders>
            <w:shd w:val="clear" w:color="auto" w:fill="auto"/>
            <w:vAlign w:val="center"/>
            <w:hideMark/>
          </w:tcPr>
          <w:p w14:paraId="0899BA5E" w14:textId="77777777" w:rsidR="000B1AD8" w:rsidRPr="000B1AD8" w:rsidRDefault="000B1AD8" w:rsidP="000B1AD8">
            <w:pPr>
              <w:spacing w:after="0" w:line="240" w:lineRule="auto"/>
              <w:jc w:val="left"/>
              <w:rPr>
                <w:rFonts w:eastAsia="Times New Roman" w:cs="Calibri"/>
                <w:sz w:val="20"/>
                <w:szCs w:val="20"/>
                <w:lang w:val="en-US"/>
              </w:rPr>
            </w:pPr>
            <w:r w:rsidRPr="000B1AD8">
              <w:rPr>
                <w:rFonts w:eastAsia="Times New Roman" w:cs="Calibri"/>
                <w:sz w:val="20"/>
                <w:szCs w:val="20"/>
                <w:lang w:val="en-US"/>
              </w:rPr>
              <w:t>Depósitos en garantía</w:t>
            </w:r>
          </w:p>
        </w:tc>
        <w:tc>
          <w:tcPr>
            <w:tcW w:w="1418" w:type="dxa"/>
            <w:tcBorders>
              <w:top w:val="nil"/>
              <w:left w:val="nil"/>
              <w:bottom w:val="nil"/>
              <w:right w:val="single" w:sz="8" w:space="0" w:color="auto"/>
            </w:tcBorders>
            <w:shd w:val="clear" w:color="000000" w:fill="FFFFFF"/>
            <w:noWrap/>
            <w:vAlign w:val="bottom"/>
            <w:hideMark/>
          </w:tcPr>
          <w:p w14:paraId="0C8F599B" w14:textId="77777777" w:rsidR="000B1AD8" w:rsidRPr="000B1AD8" w:rsidRDefault="000B1AD8" w:rsidP="000B1AD8">
            <w:pPr>
              <w:spacing w:after="0" w:line="240" w:lineRule="auto"/>
              <w:jc w:val="right"/>
              <w:rPr>
                <w:rFonts w:eastAsia="Times New Roman" w:cs="Calibri"/>
                <w:color w:val="000000"/>
                <w:sz w:val="20"/>
                <w:szCs w:val="20"/>
                <w:lang w:val="en-US"/>
              </w:rPr>
            </w:pPr>
            <w:r w:rsidRPr="000B1AD8">
              <w:rPr>
                <w:rFonts w:ascii="Arial" w:eastAsia="Times New Roman" w:hAnsi="Arial" w:cs="Arial"/>
                <w:color w:val="000000"/>
                <w:sz w:val="20"/>
                <w:szCs w:val="20"/>
                <w:lang w:val="en-US"/>
              </w:rPr>
              <w:t>₡</w:t>
            </w:r>
            <w:r w:rsidRPr="000B1AD8">
              <w:rPr>
                <w:rFonts w:eastAsia="Times New Roman" w:cs="Calibri"/>
                <w:color w:val="000000"/>
                <w:sz w:val="20"/>
                <w:szCs w:val="20"/>
                <w:lang w:val="en-US"/>
              </w:rPr>
              <w:t>58 724,40</w:t>
            </w:r>
          </w:p>
        </w:tc>
        <w:tc>
          <w:tcPr>
            <w:tcW w:w="1340" w:type="dxa"/>
            <w:tcBorders>
              <w:top w:val="nil"/>
              <w:left w:val="nil"/>
              <w:bottom w:val="nil"/>
              <w:right w:val="single" w:sz="8" w:space="0" w:color="auto"/>
            </w:tcBorders>
            <w:shd w:val="clear" w:color="000000" w:fill="FFFFFF"/>
            <w:noWrap/>
            <w:vAlign w:val="bottom"/>
            <w:hideMark/>
          </w:tcPr>
          <w:p w14:paraId="726D49CA" w14:textId="77777777" w:rsidR="000B1AD8" w:rsidRPr="000B1AD8" w:rsidRDefault="000B1AD8" w:rsidP="000B1AD8">
            <w:pPr>
              <w:spacing w:after="0" w:line="240" w:lineRule="auto"/>
              <w:jc w:val="right"/>
              <w:rPr>
                <w:rFonts w:eastAsia="Times New Roman" w:cs="Calibri"/>
                <w:color w:val="000000"/>
                <w:sz w:val="20"/>
                <w:szCs w:val="20"/>
                <w:lang w:val="en-US"/>
              </w:rPr>
            </w:pPr>
            <w:r w:rsidRPr="000B1AD8">
              <w:rPr>
                <w:rFonts w:ascii="Arial" w:eastAsia="Times New Roman" w:hAnsi="Arial" w:cs="Arial"/>
                <w:color w:val="000000"/>
                <w:sz w:val="20"/>
                <w:szCs w:val="20"/>
                <w:lang w:val="en-US"/>
              </w:rPr>
              <w:t>₡</w:t>
            </w:r>
            <w:r w:rsidRPr="000B1AD8">
              <w:rPr>
                <w:rFonts w:eastAsia="Times New Roman" w:cs="Calibri"/>
                <w:color w:val="000000"/>
                <w:sz w:val="20"/>
                <w:szCs w:val="20"/>
                <w:lang w:val="en-US"/>
              </w:rPr>
              <w:t>67 537,73</w:t>
            </w:r>
          </w:p>
        </w:tc>
        <w:tc>
          <w:tcPr>
            <w:tcW w:w="1327" w:type="dxa"/>
            <w:tcBorders>
              <w:top w:val="single" w:sz="8" w:space="0" w:color="auto"/>
              <w:left w:val="nil"/>
              <w:bottom w:val="nil"/>
              <w:right w:val="single" w:sz="8" w:space="0" w:color="auto"/>
            </w:tcBorders>
            <w:shd w:val="clear" w:color="FFFFFF" w:fill="FFFFFF"/>
            <w:noWrap/>
            <w:vAlign w:val="center"/>
            <w:hideMark/>
          </w:tcPr>
          <w:p w14:paraId="65B4AE99" w14:textId="77777777" w:rsidR="000B1AD8" w:rsidRPr="000B1AD8" w:rsidRDefault="000B1AD8" w:rsidP="000B1AD8">
            <w:pPr>
              <w:spacing w:after="0" w:line="240" w:lineRule="auto"/>
              <w:jc w:val="right"/>
              <w:rPr>
                <w:rFonts w:eastAsia="Times New Roman" w:cs="Calibri"/>
                <w:color w:val="000000"/>
                <w:sz w:val="20"/>
                <w:szCs w:val="20"/>
                <w:lang w:val="en-US"/>
              </w:rPr>
            </w:pPr>
            <w:r w:rsidRPr="000B1AD8">
              <w:rPr>
                <w:rFonts w:eastAsia="Times New Roman" w:cs="Calibri"/>
                <w:color w:val="000000"/>
                <w:sz w:val="20"/>
                <w:szCs w:val="20"/>
                <w:lang w:val="en-US"/>
              </w:rPr>
              <w:t>-</w:t>
            </w:r>
            <w:r w:rsidRPr="000B1AD8">
              <w:rPr>
                <w:rFonts w:ascii="Arial" w:eastAsia="Times New Roman" w:hAnsi="Arial" w:cs="Arial"/>
                <w:color w:val="000000"/>
                <w:sz w:val="20"/>
                <w:szCs w:val="20"/>
                <w:lang w:val="en-US"/>
              </w:rPr>
              <w:t>₡</w:t>
            </w:r>
            <w:r w:rsidRPr="000B1AD8">
              <w:rPr>
                <w:rFonts w:eastAsia="Times New Roman" w:cs="Calibri"/>
                <w:color w:val="000000"/>
                <w:sz w:val="20"/>
                <w:szCs w:val="20"/>
                <w:lang w:val="en-US"/>
              </w:rPr>
              <w:t>8 813,33</w:t>
            </w:r>
          </w:p>
        </w:tc>
        <w:tc>
          <w:tcPr>
            <w:tcW w:w="960" w:type="dxa"/>
            <w:tcBorders>
              <w:top w:val="single" w:sz="8" w:space="0" w:color="auto"/>
              <w:left w:val="nil"/>
              <w:bottom w:val="nil"/>
              <w:right w:val="single" w:sz="8" w:space="0" w:color="auto"/>
            </w:tcBorders>
            <w:shd w:val="clear" w:color="auto" w:fill="auto"/>
            <w:noWrap/>
            <w:vAlign w:val="center"/>
            <w:hideMark/>
          </w:tcPr>
          <w:p w14:paraId="5F9B0E81" w14:textId="77777777" w:rsidR="000B1AD8" w:rsidRPr="000B1AD8" w:rsidRDefault="000B1AD8" w:rsidP="000B1AD8">
            <w:pPr>
              <w:spacing w:after="0" w:line="240" w:lineRule="auto"/>
              <w:jc w:val="right"/>
              <w:rPr>
                <w:rFonts w:eastAsia="Times New Roman" w:cs="Calibri"/>
                <w:sz w:val="20"/>
                <w:szCs w:val="20"/>
                <w:lang w:val="en-US"/>
              </w:rPr>
            </w:pPr>
            <w:r w:rsidRPr="000B1AD8">
              <w:rPr>
                <w:rFonts w:eastAsia="Times New Roman" w:cs="Calibri"/>
                <w:sz w:val="20"/>
                <w:szCs w:val="20"/>
                <w:lang w:val="en-US"/>
              </w:rPr>
              <w:t>-13,05%</w:t>
            </w:r>
          </w:p>
        </w:tc>
      </w:tr>
      <w:tr w:rsidR="000B1AD8" w:rsidRPr="000B1AD8" w14:paraId="122CC309" w14:textId="77777777" w:rsidTr="000B1AD8">
        <w:trPr>
          <w:trHeight w:val="300"/>
        </w:trPr>
        <w:tc>
          <w:tcPr>
            <w:tcW w:w="855" w:type="dxa"/>
            <w:tcBorders>
              <w:top w:val="nil"/>
              <w:left w:val="single" w:sz="8" w:space="0" w:color="auto"/>
              <w:bottom w:val="single" w:sz="8" w:space="0" w:color="auto"/>
              <w:right w:val="single" w:sz="8" w:space="0" w:color="auto"/>
            </w:tcBorders>
            <w:shd w:val="clear" w:color="auto" w:fill="auto"/>
            <w:noWrap/>
            <w:vAlign w:val="center"/>
            <w:hideMark/>
          </w:tcPr>
          <w:p w14:paraId="39E891BE" w14:textId="77777777" w:rsidR="000B1AD8" w:rsidRPr="000B1AD8" w:rsidRDefault="000B1AD8" w:rsidP="000B1AD8">
            <w:pPr>
              <w:spacing w:after="0" w:line="240" w:lineRule="auto"/>
              <w:jc w:val="left"/>
              <w:rPr>
                <w:rFonts w:eastAsia="Times New Roman" w:cs="Calibri"/>
                <w:color w:val="000000"/>
                <w:sz w:val="20"/>
                <w:szCs w:val="20"/>
                <w:lang w:val="en-US"/>
              </w:rPr>
            </w:pPr>
            <w:r w:rsidRPr="000B1AD8">
              <w:rPr>
                <w:rFonts w:eastAsia="Times New Roman" w:cs="Calibri"/>
                <w:color w:val="000000"/>
                <w:sz w:val="20"/>
                <w:szCs w:val="20"/>
                <w:lang w:val="en-US"/>
              </w:rPr>
              <w:t>2.1.3.99.</w:t>
            </w:r>
          </w:p>
        </w:tc>
        <w:tc>
          <w:tcPr>
            <w:tcW w:w="2821" w:type="dxa"/>
            <w:tcBorders>
              <w:top w:val="nil"/>
              <w:left w:val="nil"/>
              <w:bottom w:val="single" w:sz="8" w:space="0" w:color="auto"/>
              <w:right w:val="single" w:sz="8" w:space="0" w:color="auto"/>
            </w:tcBorders>
            <w:shd w:val="clear" w:color="auto" w:fill="auto"/>
            <w:vAlign w:val="center"/>
            <w:hideMark/>
          </w:tcPr>
          <w:p w14:paraId="2A2BFCF1" w14:textId="77777777" w:rsidR="000B1AD8" w:rsidRPr="000B1AD8" w:rsidRDefault="000B1AD8" w:rsidP="000B1AD8">
            <w:pPr>
              <w:spacing w:after="0" w:line="240" w:lineRule="auto"/>
              <w:jc w:val="left"/>
              <w:rPr>
                <w:rFonts w:eastAsia="Times New Roman" w:cs="Calibri"/>
                <w:sz w:val="20"/>
                <w:szCs w:val="20"/>
                <w:lang w:val="en-US"/>
              </w:rPr>
            </w:pPr>
            <w:r w:rsidRPr="000B1AD8">
              <w:rPr>
                <w:rFonts w:eastAsia="Times New Roman" w:cs="Calibri"/>
                <w:sz w:val="20"/>
                <w:szCs w:val="20"/>
                <w:lang w:val="en-US"/>
              </w:rPr>
              <w:t>Otros fondos de terceros</w:t>
            </w:r>
          </w:p>
        </w:tc>
        <w:tc>
          <w:tcPr>
            <w:tcW w:w="1418" w:type="dxa"/>
            <w:tcBorders>
              <w:top w:val="nil"/>
              <w:left w:val="nil"/>
              <w:bottom w:val="single" w:sz="8" w:space="0" w:color="auto"/>
              <w:right w:val="single" w:sz="8" w:space="0" w:color="auto"/>
            </w:tcBorders>
            <w:shd w:val="clear" w:color="auto" w:fill="auto"/>
            <w:noWrap/>
            <w:vAlign w:val="bottom"/>
            <w:hideMark/>
          </w:tcPr>
          <w:p w14:paraId="749377FF" w14:textId="77777777" w:rsidR="000B1AD8" w:rsidRPr="000B1AD8" w:rsidRDefault="000B1AD8" w:rsidP="000B1AD8">
            <w:pPr>
              <w:spacing w:after="0" w:line="240" w:lineRule="auto"/>
              <w:jc w:val="right"/>
              <w:rPr>
                <w:rFonts w:eastAsia="Times New Roman" w:cs="Calibri"/>
                <w:color w:val="000000"/>
                <w:sz w:val="20"/>
                <w:szCs w:val="20"/>
                <w:lang w:val="en-US"/>
              </w:rPr>
            </w:pPr>
            <w:r w:rsidRPr="000B1AD8">
              <w:rPr>
                <w:rFonts w:eastAsia="Times New Roman" w:cs="Calibri"/>
                <w:color w:val="000000"/>
                <w:sz w:val="20"/>
                <w:szCs w:val="20"/>
                <w:lang w:val="en-US"/>
              </w:rPr>
              <w:t>0,00</w:t>
            </w:r>
          </w:p>
        </w:tc>
        <w:tc>
          <w:tcPr>
            <w:tcW w:w="1340" w:type="dxa"/>
            <w:tcBorders>
              <w:top w:val="nil"/>
              <w:left w:val="nil"/>
              <w:bottom w:val="single" w:sz="8" w:space="0" w:color="auto"/>
              <w:right w:val="single" w:sz="8" w:space="0" w:color="auto"/>
            </w:tcBorders>
            <w:shd w:val="clear" w:color="auto" w:fill="auto"/>
            <w:noWrap/>
            <w:vAlign w:val="bottom"/>
            <w:hideMark/>
          </w:tcPr>
          <w:p w14:paraId="586F78A8" w14:textId="77777777" w:rsidR="000B1AD8" w:rsidRPr="000B1AD8" w:rsidRDefault="000B1AD8" w:rsidP="000B1AD8">
            <w:pPr>
              <w:spacing w:after="0" w:line="240" w:lineRule="auto"/>
              <w:jc w:val="right"/>
              <w:rPr>
                <w:rFonts w:eastAsia="Times New Roman" w:cs="Calibri"/>
                <w:color w:val="000000"/>
                <w:sz w:val="20"/>
                <w:szCs w:val="20"/>
                <w:lang w:val="en-US"/>
              </w:rPr>
            </w:pPr>
            <w:r w:rsidRPr="000B1AD8">
              <w:rPr>
                <w:rFonts w:eastAsia="Times New Roman" w:cs="Calibri"/>
                <w:color w:val="000000"/>
                <w:sz w:val="20"/>
                <w:szCs w:val="20"/>
                <w:lang w:val="en-US"/>
              </w:rPr>
              <w:t>840 948,34</w:t>
            </w:r>
          </w:p>
        </w:tc>
        <w:tc>
          <w:tcPr>
            <w:tcW w:w="1327" w:type="dxa"/>
            <w:tcBorders>
              <w:top w:val="nil"/>
              <w:left w:val="nil"/>
              <w:bottom w:val="single" w:sz="8" w:space="0" w:color="auto"/>
              <w:right w:val="single" w:sz="8" w:space="0" w:color="auto"/>
            </w:tcBorders>
            <w:shd w:val="clear" w:color="auto" w:fill="auto"/>
            <w:noWrap/>
            <w:vAlign w:val="bottom"/>
            <w:hideMark/>
          </w:tcPr>
          <w:p w14:paraId="4774AB29" w14:textId="77777777" w:rsidR="000B1AD8" w:rsidRPr="000B1AD8" w:rsidRDefault="000B1AD8" w:rsidP="000B1AD8">
            <w:pPr>
              <w:spacing w:after="0" w:line="240" w:lineRule="auto"/>
              <w:jc w:val="right"/>
              <w:rPr>
                <w:rFonts w:eastAsia="Times New Roman" w:cs="Calibri"/>
                <w:color w:val="000000"/>
                <w:sz w:val="20"/>
                <w:szCs w:val="20"/>
                <w:lang w:val="en-US"/>
              </w:rPr>
            </w:pPr>
            <w:r w:rsidRPr="000B1AD8">
              <w:rPr>
                <w:rFonts w:eastAsia="Times New Roman" w:cs="Calibri"/>
                <w:color w:val="000000"/>
                <w:sz w:val="20"/>
                <w:szCs w:val="20"/>
                <w:lang w:val="en-US"/>
              </w:rPr>
              <w:t>-840 948,34</w:t>
            </w:r>
          </w:p>
        </w:tc>
        <w:tc>
          <w:tcPr>
            <w:tcW w:w="960" w:type="dxa"/>
            <w:tcBorders>
              <w:top w:val="nil"/>
              <w:left w:val="nil"/>
              <w:bottom w:val="single" w:sz="8" w:space="0" w:color="auto"/>
              <w:right w:val="single" w:sz="8" w:space="0" w:color="auto"/>
            </w:tcBorders>
            <w:shd w:val="clear" w:color="auto" w:fill="auto"/>
            <w:noWrap/>
            <w:vAlign w:val="center"/>
            <w:hideMark/>
          </w:tcPr>
          <w:p w14:paraId="61D70D79" w14:textId="77777777" w:rsidR="000B1AD8" w:rsidRPr="000B1AD8" w:rsidRDefault="000B1AD8" w:rsidP="000B1AD8">
            <w:pPr>
              <w:spacing w:after="0" w:line="240" w:lineRule="auto"/>
              <w:jc w:val="right"/>
              <w:rPr>
                <w:rFonts w:eastAsia="Times New Roman" w:cs="Calibri"/>
                <w:sz w:val="20"/>
                <w:szCs w:val="20"/>
                <w:lang w:val="en-US"/>
              </w:rPr>
            </w:pPr>
            <w:r w:rsidRPr="000B1AD8">
              <w:rPr>
                <w:rFonts w:eastAsia="Times New Roman" w:cs="Calibri"/>
                <w:sz w:val="20"/>
                <w:szCs w:val="20"/>
                <w:lang w:val="en-US"/>
              </w:rPr>
              <w:t>-100,00%</w:t>
            </w:r>
          </w:p>
        </w:tc>
      </w:tr>
      <w:tr w:rsidR="000B1AD8" w:rsidRPr="000B1AD8" w14:paraId="6B084D9A" w14:textId="77777777" w:rsidTr="000B1AD8">
        <w:trPr>
          <w:trHeight w:val="300"/>
        </w:trPr>
        <w:tc>
          <w:tcPr>
            <w:tcW w:w="855" w:type="dxa"/>
            <w:tcBorders>
              <w:top w:val="nil"/>
              <w:left w:val="single" w:sz="8" w:space="0" w:color="auto"/>
              <w:bottom w:val="single" w:sz="8" w:space="0" w:color="auto"/>
              <w:right w:val="single" w:sz="8" w:space="0" w:color="auto"/>
            </w:tcBorders>
            <w:shd w:val="clear" w:color="auto" w:fill="auto"/>
            <w:noWrap/>
            <w:vAlign w:val="bottom"/>
            <w:hideMark/>
          </w:tcPr>
          <w:p w14:paraId="5A42EF35" w14:textId="77777777" w:rsidR="000B1AD8" w:rsidRPr="000B1AD8" w:rsidRDefault="000B1AD8" w:rsidP="000B1AD8">
            <w:pPr>
              <w:spacing w:after="0" w:line="240" w:lineRule="auto"/>
              <w:jc w:val="left"/>
              <w:rPr>
                <w:rFonts w:ascii="Calibri" w:eastAsia="Times New Roman" w:hAnsi="Calibri" w:cs="Calibri"/>
                <w:color w:val="000000"/>
                <w:sz w:val="22"/>
                <w:lang w:val="en-US"/>
              </w:rPr>
            </w:pPr>
            <w:r w:rsidRPr="000B1AD8">
              <w:rPr>
                <w:rFonts w:ascii="Calibri" w:eastAsia="Times New Roman" w:hAnsi="Calibri" w:cs="Calibri"/>
                <w:color w:val="000000"/>
                <w:sz w:val="22"/>
                <w:lang w:val="en-US"/>
              </w:rPr>
              <w:t> </w:t>
            </w:r>
          </w:p>
        </w:tc>
        <w:tc>
          <w:tcPr>
            <w:tcW w:w="2821" w:type="dxa"/>
            <w:tcBorders>
              <w:top w:val="nil"/>
              <w:left w:val="nil"/>
              <w:bottom w:val="single" w:sz="8" w:space="0" w:color="auto"/>
              <w:right w:val="nil"/>
            </w:tcBorders>
            <w:shd w:val="clear" w:color="auto" w:fill="auto"/>
            <w:noWrap/>
            <w:vAlign w:val="bottom"/>
            <w:hideMark/>
          </w:tcPr>
          <w:p w14:paraId="54DFB445" w14:textId="77777777" w:rsidR="000B1AD8" w:rsidRPr="000B1AD8" w:rsidRDefault="000B1AD8" w:rsidP="000B1AD8">
            <w:pPr>
              <w:spacing w:after="0" w:line="240" w:lineRule="auto"/>
              <w:jc w:val="center"/>
              <w:rPr>
                <w:rFonts w:eastAsia="Times New Roman" w:cs="Calibri"/>
                <w:b/>
                <w:bCs/>
                <w:color w:val="000000"/>
                <w:sz w:val="22"/>
                <w:lang w:val="en-US"/>
              </w:rPr>
            </w:pPr>
            <w:r w:rsidRPr="000B1AD8">
              <w:rPr>
                <w:rFonts w:eastAsia="Times New Roman" w:cs="Calibri"/>
                <w:b/>
                <w:bCs/>
                <w:color w:val="000000"/>
                <w:sz w:val="22"/>
                <w:lang w:val="en-US"/>
              </w:rPr>
              <w:t>TOTALES</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2513AA1D" w14:textId="77777777" w:rsidR="000B1AD8" w:rsidRPr="000B1AD8" w:rsidRDefault="000B1AD8" w:rsidP="000B1AD8">
            <w:pPr>
              <w:spacing w:after="0" w:line="240" w:lineRule="auto"/>
              <w:jc w:val="right"/>
              <w:rPr>
                <w:rFonts w:eastAsia="Times New Roman" w:cs="Calibri"/>
                <w:b/>
                <w:bCs/>
                <w:color w:val="000000"/>
                <w:sz w:val="20"/>
                <w:szCs w:val="20"/>
                <w:lang w:val="en-US"/>
              </w:rPr>
            </w:pPr>
            <w:r w:rsidRPr="000B1AD8">
              <w:rPr>
                <w:rFonts w:ascii="Arial" w:eastAsia="Times New Roman" w:hAnsi="Arial" w:cs="Arial"/>
                <w:b/>
                <w:bCs/>
                <w:color w:val="000000"/>
                <w:sz w:val="20"/>
                <w:szCs w:val="20"/>
                <w:lang w:val="en-US"/>
              </w:rPr>
              <w:t>₡</w:t>
            </w:r>
            <w:r w:rsidRPr="000B1AD8">
              <w:rPr>
                <w:rFonts w:eastAsia="Times New Roman" w:cs="Calibri"/>
                <w:b/>
                <w:bCs/>
                <w:color w:val="000000"/>
                <w:sz w:val="20"/>
                <w:szCs w:val="20"/>
                <w:lang w:val="en-US"/>
              </w:rPr>
              <w:t>58 724,40</w:t>
            </w:r>
          </w:p>
        </w:tc>
        <w:tc>
          <w:tcPr>
            <w:tcW w:w="1340" w:type="dxa"/>
            <w:tcBorders>
              <w:top w:val="nil"/>
              <w:left w:val="nil"/>
              <w:bottom w:val="single" w:sz="8" w:space="0" w:color="auto"/>
              <w:right w:val="single" w:sz="8" w:space="0" w:color="auto"/>
            </w:tcBorders>
            <w:shd w:val="clear" w:color="auto" w:fill="auto"/>
            <w:noWrap/>
            <w:vAlign w:val="bottom"/>
            <w:hideMark/>
          </w:tcPr>
          <w:p w14:paraId="7E71D55A" w14:textId="77777777" w:rsidR="000B1AD8" w:rsidRPr="000B1AD8" w:rsidRDefault="000B1AD8" w:rsidP="000B1AD8">
            <w:pPr>
              <w:spacing w:after="0" w:line="240" w:lineRule="auto"/>
              <w:jc w:val="right"/>
              <w:rPr>
                <w:rFonts w:eastAsia="Times New Roman" w:cs="Calibri"/>
                <w:b/>
                <w:bCs/>
                <w:color w:val="000000"/>
                <w:sz w:val="20"/>
                <w:szCs w:val="20"/>
                <w:lang w:val="en-US"/>
              </w:rPr>
            </w:pPr>
            <w:r w:rsidRPr="000B1AD8">
              <w:rPr>
                <w:rFonts w:ascii="Arial" w:eastAsia="Times New Roman" w:hAnsi="Arial" w:cs="Arial"/>
                <w:b/>
                <w:bCs/>
                <w:color w:val="000000"/>
                <w:sz w:val="20"/>
                <w:szCs w:val="20"/>
                <w:lang w:val="en-US"/>
              </w:rPr>
              <w:t>₡</w:t>
            </w:r>
            <w:r w:rsidRPr="000B1AD8">
              <w:rPr>
                <w:rFonts w:eastAsia="Times New Roman" w:cs="Calibri"/>
                <w:b/>
                <w:bCs/>
                <w:color w:val="000000"/>
                <w:sz w:val="20"/>
                <w:szCs w:val="20"/>
                <w:lang w:val="en-US"/>
              </w:rPr>
              <w:t>908 486,07</w:t>
            </w:r>
          </w:p>
        </w:tc>
        <w:tc>
          <w:tcPr>
            <w:tcW w:w="1327" w:type="dxa"/>
            <w:tcBorders>
              <w:top w:val="nil"/>
              <w:left w:val="nil"/>
              <w:bottom w:val="single" w:sz="8" w:space="0" w:color="auto"/>
              <w:right w:val="single" w:sz="8" w:space="0" w:color="auto"/>
            </w:tcBorders>
            <w:shd w:val="clear" w:color="auto" w:fill="auto"/>
            <w:noWrap/>
            <w:vAlign w:val="bottom"/>
            <w:hideMark/>
          </w:tcPr>
          <w:p w14:paraId="7012CE16" w14:textId="77777777" w:rsidR="000B1AD8" w:rsidRPr="000B1AD8" w:rsidRDefault="000B1AD8" w:rsidP="000B1AD8">
            <w:pPr>
              <w:spacing w:after="0" w:line="240" w:lineRule="auto"/>
              <w:jc w:val="right"/>
              <w:rPr>
                <w:rFonts w:eastAsia="Times New Roman" w:cs="Calibri"/>
                <w:b/>
                <w:bCs/>
                <w:color w:val="000000"/>
                <w:sz w:val="20"/>
                <w:szCs w:val="20"/>
                <w:lang w:val="en-US"/>
              </w:rPr>
            </w:pPr>
            <w:r w:rsidRPr="000B1AD8">
              <w:rPr>
                <w:rFonts w:eastAsia="Times New Roman" w:cs="Calibri"/>
                <w:b/>
                <w:bCs/>
                <w:color w:val="000000"/>
                <w:sz w:val="20"/>
                <w:szCs w:val="20"/>
                <w:lang w:val="en-US"/>
              </w:rPr>
              <w:t>-</w:t>
            </w:r>
            <w:r w:rsidRPr="000B1AD8">
              <w:rPr>
                <w:rFonts w:ascii="Arial" w:eastAsia="Times New Roman" w:hAnsi="Arial" w:cs="Arial"/>
                <w:b/>
                <w:bCs/>
                <w:color w:val="000000"/>
                <w:sz w:val="20"/>
                <w:szCs w:val="20"/>
                <w:lang w:val="en-US"/>
              </w:rPr>
              <w:t>₡</w:t>
            </w:r>
            <w:r w:rsidRPr="000B1AD8">
              <w:rPr>
                <w:rFonts w:eastAsia="Times New Roman" w:cs="Calibri"/>
                <w:b/>
                <w:bCs/>
                <w:color w:val="000000"/>
                <w:sz w:val="20"/>
                <w:szCs w:val="20"/>
                <w:lang w:val="en-US"/>
              </w:rPr>
              <w:t>849 761,67</w:t>
            </w:r>
          </w:p>
        </w:tc>
        <w:tc>
          <w:tcPr>
            <w:tcW w:w="960" w:type="dxa"/>
            <w:tcBorders>
              <w:top w:val="nil"/>
              <w:left w:val="single" w:sz="4" w:space="0" w:color="auto"/>
              <w:bottom w:val="single" w:sz="8" w:space="0" w:color="auto"/>
              <w:right w:val="single" w:sz="8" w:space="0" w:color="auto"/>
            </w:tcBorders>
            <w:shd w:val="clear" w:color="auto" w:fill="auto"/>
            <w:noWrap/>
            <w:vAlign w:val="center"/>
            <w:hideMark/>
          </w:tcPr>
          <w:p w14:paraId="1C790D84" w14:textId="77777777" w:rsidR="000B1AD8" w:rsidRPr="000B1AD8" w:rsidRDefault="000B1AD8" w:rsidP="000B1AD8">
            <w:pPr>
              <w:spacing w:after="0" w:line="240" w:lineRule="auto"/>
              <w:jc w:val="right"/>
              <w:rPr>
                <w:rFonts w:eastAsia="Times New Roman" w:cs="Calibri"/>
                <w:b/>
                <w:bCs/>
                <w:sz w:val="20"/>
                <w:szCs w:val="20"/>
                <w:lang w:val="en-US"/>
              </w:rPr>
            </w:pPr>
            <w:r w:rsidRPr="000B1AD8">
              <w:rPr>
                <w:rFonts w:eastAsia="Times New Roman" w:cs="Calibri"/>
                <w:b/>
                <w:bCs/>
                <w:sz w:val="20"/>
                <w:szCs w:val="20"/>
                <w:lang w:val="en-US"/>
              </w:rPr>
              <w:t>-93,54%</w:t>
            </w:r>
          </w:p>
        </w:tc>
      </w:tr>
    </w:tbl>
    <w:p w14:paraId="3564A4B8" w14:textId="77777777" w:rsidR="00025694" w:rsidRDefault="00025694" w:rsidP="007469D0">
      <w:pPr>
        <w:rPr>
          <w:rFonts w:eastAsia="Calibri"/>
          <w:szCs w:val="24"/>
        </w:rPr>
      </w:pPr>
    </w:p>
    <w:p w14:paraId="77B37364" w14:textId="77777777" w:rsidR="00B709CA" w:rsidRPr="00692DC8" w:rsidRDefault="00B709CA" w:rsidP="007469D0">
      <w:pPr>
        <w:rPr>
          <w:rFonts w:eastAsia="Calibri"/>
          <w:szCs w:val="24"/>
        </w:rPr>
      </w:pPr>
    </w:p>
    <w:p w14:paraId="0C0BB990" w14:textId="77777777" w:rsidR="00692DC8" w:rsidRPr="00692DC8" w:rsidRDefault="00692DC8" w:rsidP="007469D0">
      <w:pPr>
        <w:pStyle w:val="Ttulo4"/>
        <w:spacing w:after="240"/>
        <w:rPr>
          <w:rFonts w:eastAsia="Times New Roman"/>
        </w:rPr>
      </w:pPr>
      <w:bookmarkStart w:id="349" w:name="_Toc13041134"/>
      <w:bookmarkStart w:id="350" w:name="_Toc14345133"/>
      <w:bookmarkStart w:id="351" w:name="_Toc33601233"/>
      <w:bookmarkStart w:id="352" w:name="_Toc82768937"/>
      <w:bookmarkStart w:id="353" w:name="_Toc173245243"/>
      <w:r w:rsidRPr="00692DC8">
        <w:rPr>
          <w:rFonts w:eastAsia="Times New Roman"/>
        </w:rPr>
        <w:t>NOTA N° 17</w:t>
      </w:r>
      <w:bookmarkEnd w:id="349"/>
      <w:bookmarkEnd w:id="350"/>
      <w:bookmarkEnd w:id="351"/>
      <w:bookmarkEnd w:id="352"/>
      <w:bookmarkEnd w:id="353"/>
    </w:p>
    <w:p w14:paraId="208E631E" w14:textId="77777777" w:rsidR="00694299" w:rsidRDefault="00692DC8" w:rsidP="003D12E6">
      <w:pPr>
        <w:spacing w:before="240"/>
        <w:rPr>
          <w:rFonts w:asciiTheme="minorHAnsi" w:hAnsiTheme="minorHAnsi"/>
          <w:sz w:val="22"/>
        </w:rPr>
      </w:pPr>
      <w:bookmarkStart w:id="354" w:name="_Toc82768938"/>
      <w:r w:rsidRPr="00692DC8">
        <w:rPr>
          <w:rFonts w:eastAsia="Times New Roman"/>
        </w:rPr>
        <w:t>Provisiones y reservas técnicas a corto plazo</w:t>
      </w:r>
      <w:bookmarkEnd w:id="354"/>
      <w:r w:rsidR="0029366A">
        <w:rPr>
          <w:rFonts w:eastAsiaTheme="majorEastAsia" w:cstheme="majorBidi"/>
          <w:b/>
          <w:iCs/>
          <w:lang w:eastAsia="es-CR"/>
        </w:rPr>
        <w:fldChar w:fldCharType="begin"/>
      </w:r>
      <w:r w:rsidR="0029366A">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NOTAS_POR_CUENTA!F131C1:F133C6 </w:instrText>
      </w:r>
      <w:r w:rsidR="0029366A">
        <w:rPr>
          <w:lang w:eastAsia="es-CR"/>
        </w:rPr>
        <w:instrText xml:space="preserve">\a \f 4 \h </w:instrText>
      </w:r>
      <w:r w:rsidR="0029366A">
        <w:rPr>
          <w:lang w:eastAsia="es-CR"/>
        </w:rPr>
        <w:fldChar w:fldCharType="separate"/>
      </w:r>
    </w:p>
    <w:tbl>
      <w:tblPr>
        <w:tblW w:w="8847" w:type="dxa"/>
        <w:tblCellMar>
          <w:left w:w="70" w:type="dxa"/>
          <w:right w:w="70" w:type="dxa"/>
        </w:tblCellMar>
        <w:tblLook w:val="04A0" w:firstRow="1" w:lastRow="0" w:firstColumn="1" w:lastColumn="0" w:noHBand="0" w:noVBand="1"/>
      </w:tblPr>
      <w:tblGrid>
        <w:gridCol w:w="1038"/>
        <w:gridCol w:w="2962"/>
        <w:gridCol w:w="500"/>
        <w:gridCol w:w="1586"/>
        <w:gridCol w:w="1701"/>
        <w:gridCol w:w="1060"/>
      </w:tblGrid>
      <w:tr w:rsidR="00694299" w:rsidRPr="00694299" w14:paraId="6932FEF3" w14:textId="77777777" w:rsidTr="00ED6096">
        <w:trPr>
          <w:divId w:val="580649524"/>
          <w:trHeight w:val="324"/>
        </w:trPr>
        <w:tc>
          <w:tcPr>
            <w:tcW w:w="1038"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E238156" w14:textId="6C9162F6"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962"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32573E0"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EDB024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5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2F28C6C"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E01F20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BAF2533"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6CB8521F" w14:textId="77777777" w:rsidTr="00ED6096">
        <w:trPr>
          <w:divId w:val="580649524"/>
          <w:trHeight w:val="324"/>
        </w:trPr>
        <w:tc>
          <w:tcPr>
            <w:tcW w:w="1038" w:type="dxa"/>
            <w:vMerge/>
            <w:tcBorders>
              <w:top w:val="single" w:sz="8" w:space="0" w:color="auto"/>
              <w:left w:val="single" w:sz="8" w:space="0" w:color="auto"/>
              <w:bottom w:val="single" w:sz="8" w:space="0" w:color="000000"/>
              <w:right w:val="single" w:sz="8" w:space="0" w:color="auto"/>
            </w:tcBorders>
            <w:vAlign w:val="center"/>
            <w:hideMark/>
          </w:tcPr>
          <w:p w14:paraId="646B9FE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962" w:type="dxa"/>
            <w:vMerge/>
            <w:tcBorders>
              <w:top w:val="single" w:sz="8" w:space="0" w:color="auto"/>
              <w:left w:val="single" w:sz="8" w:space="0" w:color="auto"/>
              <w:bottom w:val="single" w:sz="8" w:space="0" w:color="000000"/>
              <w:right w:val="single" w:sz="8" w:space="0" w:color="auto"/>
            </w:tcBorders>
            <w:vAlign w:val="center"/>
            <w:hideMark/>
          </w:tcPr>
          <w:p w14:paraId="0FE2ECF1"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FA8829D"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4EA78931"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0C46F392"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8FAE88E"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78157D89" w14:textId="77777777" w:rsidTr="00ED6096">
        <w:trPr>
          <w:divId w:val="580649524"/>
          <w:trHeight w:val="540"/>
        </w:trPr>
        <w:tc>
          <w:tcPr>
            <w:tcW w:w="1038" w:type="dxa"/>
            <w:tcBorders>
              <w:top w:val="nil"/>
              <w:left w:val="single" w:sz="8" w:space="0" w:color="auto"/>
              <w:bottom w:val="single" w:sz="8" w:space="0" w:color="auto"/>
              <w:right w:val="single" w:sz="8" w:space="0" w:color="auto"/>
            </w:tcBorders>
            <w:shd w:val="clear" w:color="auto" w:fill="auto"/>
            <w:noWrap/>
            <w:vAlign w:val="center"/>
            <w:hideMark/>
          </w:tcPr>
          <w:p w14:paraId="7633547D"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2.1.4.</w:t>
            </w:r>
          </w:p>
        </w:tc>
        <w:tc>
          <w:tcPr>
            <w:tcW w:w="2962" w:type="dxa"/>
            <w:tcBorders>
              <w:top w:val="nil"/>
              <w:left w:val="nil"/>
              <w:bottom w:val="single" w:sz="8" w:space="0" w:color="auto"/>
              <w:right w:val="single" w:sz="8" w:space="0" w:color="auto"/>
            </w:tcBorders>
            <w:shd w:val="clear" w:color="auto" w:fill="auto"/>
            <w:vAlign w:val="center"/>
            <w:hideMark/>
          </w:tcPr>
          <w:p w14:paraId="2A3D2889"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Provisiones y reservas técnicas a corto plazo</w:t>
            </w:r>
          </w:p>
        </w:tc>
        <w:tc>
          <w:tcPr>
            <w:tcW w:w="500" w:type="dxa"/>
            <w:tcBorders>
              <w:top w:val="nil"/>
              <w:left w:val="nil"/>
              <w:bottom w:val="single" w:sz="8" w:space="0" w:color="auto"/>
              <w:right w:val="single" w:sz="8" w:space="0" w:color="auto"/>
            </w:tcBorders>
            <w:shd w:val="clear" w:color="auto" w:fill="auto"/>
            <w:noWrap/>
            <w:vAlign w:val="center"/>
            <w:hideMark/>
          </w:tcPr>
          <w:p w14:paraId="0748E39E"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17</w:t>
            </w:r>
          </w:p>
        </w:tc>
        <w:tc>
          <w:tcPr>
            <w:tcW w:w="1586" w:type="dxa"/>
            <w:tcBorders>
              <w:top w:val="nil"/>
              <w:left w:val="nil"/>
              <w:bottom w:val="single" w:sz="8" w:space="0" w:color="auto"/>
              <w:right w:val="single" w:sz="8" w:space="0" w:color="auto"/>
            </w:tcBorders>
            <w:shd w:val="clear" w:color="auto" w:fill="auto"/>
            <w:noWrap/>
            <w:vAlign w:val="center"/>
            <w:hideMark/>
          </w:tcPr>
          <w:p w14:paraId="1250E1B1"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701" w:type="dxa"/>
            <w:tcBorders>
              <w:top w:val="nil"/>
              <w:left w:val="nil"/>
              <w:bottom w:val="single" w:sz="8" w:space="0" w:color="auto"/>
              <w:right w:val="single" w:sz="8" w:space="0" w:color="auto"/>
            </w:tcBorders>
            <w:shd w:val="clear" w:color="auto" w:fill="auto"/>
            <w:noWrap/>
            <w:vAlign w:val="center"/>
            <w:hideMark/>
          </w:tcPr>
          <w:p w14:paraId="43EF0D1B"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44D69B6D"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4F0FA8A6" w14:textId="77777777" w:rsidR="00694299" w:rsidRDefault="0029366A" w:rsidP="003D12E6">
      <w:pPr>
        <w:spacing w:before="240"/>
        <w:rPr>
          <w:rFonts w:asciiTheme="minorHAnsi" w:hAnsiTheme="minorHAnsi"/>
          <w:sz w:val="22"/>
        </w:rPr>
      </w:pPr>
      <w:r>
        <w:rPr>
          <w:lang w:eastAsia="es-CR"/>
        </w:rPr>
        <w:fldChar w:fldCharType="end"/>
      </w:r>
      <w:r w:rsidR="00692DC8" w:rsidRPr="00692DC8">
        <w:rPr>
          <w:lang w:eastAsia="es-CR"/>
        </w:rPr>
        <w:t>Detalle cuenta:</w:t>
      </w:r>
      <w:r>
        <w:fldChar w:fldCharType="begin"/>
      </w:r>
      <w:r>
        <w:instrText xml:space="preserve"> LINK </w:instrText>
      </w:r>
      <w:r w:rsidR="00323752">
        <w:instrText xml:space="preserve">Excel.SheetMacroEnabled.12 "D:\\MORAVIA\\INSUMOS\\NOTAS 2024\\Formato_Notas_EEFF_Vinculadas_2024\\XXXXX_PXX_202X_Anexo_Estado_Notas_Contables_Vinculadas.xlsm" NOTAS_POR_CUENTA!F135C1:F137C6 </w:instrText>
      </w:r>
      <w:r>
        <w:instrText xml:space="preserve">\a \f 4 \h </w:instrText>
      </w:r>
      <w:r>
        <w:fldChar w:fldCharType="separate"/>
      </w:r>
    </w:p>
    <w:tbl>
      <w:tblPr>
        <w:tblW w:w="8847" w:type="dxa"/>
        <w:tblCellMar>
          <w:left w:w="70" w:type="dxa"/>
          <w:right w:w="70" w:type="dxa"/>
        </w:tblCellMar>
        <w:tblLook w:val="04A0" w:firstRow="1" w:lastRow="0" w:firstColumn="1" w:lastColumn="0" w:noHBand="0" w:noVBand="1"/>
      </w:tblPr>
      <w:tblGrid>
        <w:gridCol w:w="1166"/>
        <w:gridCol w:w="2834"/>
        <w:gridCol w:w="500"/>
        <w:gridCol w:w="1586"/>
        <w:gridCol w:w="1701"/>
        <w:gridCol w:w="1060"/>
      </w:tblGrid>
      <w:tr w:rsidR="00694299" w:rsidRPr="00694299" w14:paraId="19DC007E" w14:textId="77777777" w:rsidTr="00ED6096">
        <w:trPr>
          <w:divId w:val="2002153672"/>
          <w:trHeight w:val="324"/>
        </w:trPr>
        <w:tc>
          <w:tcPr>
            <w:tcW w:w="116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9379A11" w14:textId="5E8C7FCC"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83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51E6BC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B1A40FC"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5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93BCF4D"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68C88F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086EB32A"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52786136" w14:textId="77777777" w:rsidTr="00ED6096">
        <w:trPr>
          <w:divId w:val="2002153672"/>
          <w:trHeight w:val="324"/>
        </w:trPr>
        <w:tc>
          <w:tcPr>
            <w:tcW w:w="1166" w:type="dxa"/>
            <w:vMerge/>
            <w:tcBorders>
              <w:top w:val="single" w:sz="8" w:space="0" w:color="auto"/>
              <w:left w:val="single" w:sz="8" w:space="0" w:color="auto"/>
              <w:bottom w:val="single" w:sz="8" w:space="0" w:color="000000"/>
              <w:right w:val="single" w:sz="8" w:space="0" w:color="auto"/>
            </w:tcBorders>
            <w:vAlign w:val="center"/>
            <w:hideMark/>
          </w:tcPr>
          <w:p w14:paraId="280B9806"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834" w:type="dxa"/>
            <w:vMerge/>
            <w:tcBorders>
              <w:top w:val="single" w:sz="8" w:space="0" w:color="auto"/>
              <w:left w:val="single" w:sz="8" w:space="0" w:color="auto"/>
              <w:bottom w:val="single" w:sz="8" w:space="0" w:color="000000"/>
              <w:right w:val="single" w:sz="8" w:space="0" w:color="auto"/>
            </w:tcBorders>
            <w:vAlign w:val="center"/>
            <w:hideMark/>
          </w:tcPr>
          <w:p w14:paraId="5FD3E52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F0A4A14"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28C8BD5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3815089A"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9F7CCCC"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1D9F1819" w14:textId="77777777" w:rsidTr="00ED6096">
        <w:trPr>
          <w:divId w:val="2002153672"/>
          <w:trHeight w:val="324"/>
        </w:trPr>
        <w:tc>
          <w:tcPr>
            <w:tcW w:w="1166" w:type="dxa"/>
            <w:tcBorders>
              <w:top w:val="nil"/>
              <w:left w:val="single" w:sz="8" w:space="0" w:color="auto"/>
              <w:bottom w:val="single" w:sz="8" w:space="0" w:color="auto"/>
              <w:right w:val="single" w:sz="8" w:space="0" w:color="auto"/>
            </w:tcBorders>
            <w:shd w:val="clear" w:color="auto" w:fill="auto"/>
            <w:noWrap/>
            <w:vAlign w:val="center"/>
            <w:hideMark/>
          </w:tcPr>
          <w:p w14:paraId="6F3629CF"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2.1.4.01.</w:t>
            </w:r>
          </w:p>
        </w:tc>
        <w:tc>
          <w:tcPr>
            <w:tcW w:w="2834" w:type="dxa"/>
            <w:tcBorders>
              <w:top w:val="nil"/>
              <w:left w:val="nil"/>
              <w:bottom w:val="single" w:sz="8" w:space="0" w:color="auto"/>
              <w:right w:val="single" w:sz="8" w:space="0" w:color="auto"/>
            </w:tcBorders>
            <w:shd w:val="clear" w:color="auto" w:fill="auto"/>
            <w:vAlign w:val="center"/>
            <w:hideMark/>
          </w:tcPr>
          <w:p w14:paraId="0BEED833"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Provisiones a corto plazo</w:t>
            </w:r>
          </w:p>
        </w:tc>
        <w:tc>
          <w:tcPr>
            <w:tcW w:w="500" w:type="dxa"/>
            <w:tcBorders>
              <w:top w:val="nil"/>
              <w:left w:val="nil"/>
              <w:bottom w:val="single" w:sz="8" w:space="0" w:color="auto"/>
              <w:right w:val="single" w:sz="8" w:space="0" w:color="auto"/>
            </w:tcBorders>
            <w:shd w:val="clear" w:color="auto" w:fill="auto"/>
            <w:noWrap/>
            <w:vAlign w:val="center"/>
            <w:hideMark/>
          </w:tcPr>
          <w:p w14:paraId="64E8C284"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17</w:t>
            </w:r>
          </w:p>
        </w:tc>
        <w:tc>
          <w:tcPr>
            <w:tcW w:w="1586" w:type="dxa"/>
            <w:tcBorders>
              <w:top w:val="nil"/>
              <w:left w:val="nil"/>
              <w:bottom w:val="single" w:sz="8" w:space="0" w:color="auto"/>
              <w:right w:val="single" w:sz="8" w:space="0" w:color="auto"/>
            </w:tcBorders>
            <w:shd w:val="clear" w:color="auto" w:fill="auto"/>
            <w:noWrap/>
            <w:vAlign w:val="center"/>
            <w:hideMark/>
          </w:tcPr>
          <w:p w14:paraId="507B1F50"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701" w:type="dxa"/>
            <w:tcBorders>
              <w:top w:val="nil"/>
              <w:left w:val="nil"/>
              <w:bottom w:val="single" w:sz="8" w:space="0" w:color="auto"/>
              <w:right w:val="single" w:sz="8" w:space="0" w:color="auto"/>
            </w:tcBorders>
            <w:shd w:val="clear" w:color="auto" w:fill="auto"/>
            <w:noWrap/>
            <w:vAlign w:val="center"/>
            <w:hideMark/>
          </w:tcPr>
          <w:p w14:paraId="1E6D2658"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5C64AF1F"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3325441F" w14:textId="10A5E5CB" w:rsidR="00692DC8" w:rsidRPr="00692DC8" w:rsidRDefault="0029366A" w:rsidP="003D12E6">
      <w:pPr>
        <w:spacing w:before="240"/>
      </w:pPr>
      <w:r>
        <w:fldChar w:fldCharType="end"/>
      </w:r>
      <w:r w:rsidR="00692DC8" w:rsidRPr="00692DC8">
        <w:t>Indicar el detalle de cómo está compuesta la cuenta:</w:t>
      </w:r>
    </w:p>
    <w:p w14:paraId="6FF0274C" w14:textId="22305F3D" w:rsidR="00692DC8" w:rsidRPr="00692DC8" w:rsidRDefault="00692DC8" w:rsidP="003D12E6">
      <w:pPr>
        <w:rPr>
          <w:rFonts w:eastAsia="Times New Roman"/>
          <w:lang w:eastAsia="es-CR"/>
        </w:rPr>
      </w:pPr>
      <w:r w:rsidRPr="00692DC8">
        <w:rPr>
          <w:rFonts w:eastAsia="Times New Roman"/>
          <w:lang w:eastAsia="es-CR"/>
        </w:rPr>
        <w:t>________________________________________________________________________________________________________________________________________________________________________________________________________________________________________________</w:t>
      </w:r>
    </w:p>
    <w:p w14:paraId="08E96AFF" w14:textId="77777777" w:rsidR="00694299" w:rsidRPr="00694299" w:rsidRDefault="00692DC8" w:rsidP="00DE2C82">
      <w:pPr>
        <w:rPr>
          <w:sz w:val="20"/>
          <w:szCs w:val="20"/>
          <w:lang w:eastAsia="es-CR"/>
        </w:rPr>
      </w:pPr>
      <w:bookmarkStart w:id="355" w:name="_Toc13041137"/>
      <w:bookmarkStart w:id="356" w:name="_Toc14345136"/>
      <w:bookmarkStart w:id="357" w:name="_Toc33601235"/>
      <w:r w:rsidRPr="00692DC8">
        <w:rPr>
          <w:b/>
          <w:bCs/>
          <w:lang w:val="es-ES"/>
        </w:rPr>
        <w:t>Revelación</w:t>
      </w:r>
      <w:r w:rsidRPr="00692DC8">
        <w:rPr>
          <w:lang w:val="es-ES"/>
        </w:rPr>
        <w:t xml:space="preserve">: </w:t>
      </w:r>
      <w:r w:rsidR="00DE2C82">
        <w:rPr>
          <w:rFonts w:eastAsia="Times New Roman" w:cs="Calibri"/>
          <w:color w:val="000000"/>
          <w:lang w:eastAsia="es-CR"/>
        </w:rPr>
        <w:fldChar w:fldCharType="begin"/>
      </w:r>
      <w:r w:rsidR="00DE2C82">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NOTAS_POR_CUENTA!F133C8 </w:instrText>
      </w:r>
      <w:r w:rsidR="00DE2C82">
        <w:rPr>
          <w:rFonts w:eastAsia="Times New Roman" w:cs="Calibri"/>
          <w:color w:val="000000"/>
          <w:lang w:eastAsia="es-CR"/>
        </w:rPr>
        <w:instrText xml:space="preserve">\a \f 5 \h  \* MERGEFORMAT </w:instrText>
      </w:r>
      <w:r w:rsidR="00DE2C82">
        <w:rPr>
          <w:rFonts w:eastAsia="Times New Roman" w:cs="Calibri"/>
          <w:color w:val="000000"/>
          <w:lang w:eastAsia="es-CR"/>
        </w:rPr>
        <w:fldChar w:fldCharType="separate"/>
      </w:r>
    </w:p>
    <w:p w14:paraId="51378700" w14:textId="77777777" w:rsidR="00694299" w:rsidRPr="00694299" w:rsidRDefault="00694299" w:rsidP="00B709CA">
      <w:pPr>
        <w:spacing w:line="240" w:lineRule="auto"/>
        <w:rPr>
          <w:rFonts w:eastAsia="Times New Roman" w:cs="Calibri"/>
          <w:color w:val="000000"/>
          <w:lang w:eastAsia="es-CR"/>
        </w:rPr>
      </w:pPr>
      <w:r w:rsidRPr="00694299">
        <w:rPr>
          <w:rFonts w:eastAsia="Times New Roman" w:cs="Calibri"/>
          <w:color w:val="000000"/>
          <w:lang w:eastAsia="es-CR"/>
        </w:rPr>
        <w:t>La cuenta Provisiones y reservas técnicas a corto plazo, representa el 0,00% del total del Pasivo, que comparado al periodo anterior genera una variación absoluta de 0 000,00 que corresponde a un Aumento del 0,00% de recursos disponibles.</w:t>
      </w:r>
    </w:p>
    <w:p w14:paraId="3CDA818B" w14:textId="7243A2FE" w:rsidR="00692DC8" w:rsidRPr="00692DC8" w:rsidRDefault="00DE2C82" w:rsidP="00B709CA">
      <w:pPr>
        <w:spacing w:line="240" w:lineRule="auto"/>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8A12C08" w14:textId="77777777" w:rsidR="00606715" w:rsidRDefault="00606715" w:rsidP="00606715">
      <w:pPr>
        <w:spacing w:after="0" w:line="240" w:lineRule="auto"/>
      </w:pPr>
      <w:r>
        <w:t xml:space="preserve">Al respecto, debe indicarse que a la fecha de cierre de estos estados financieros no se recibió de Recursos Humanos la información requerida para registrar lo correspondiente a provisiones por beneficios a empleados. </w:t>
      </w:r>
    </w:p>
    <w:p w14:paraId="0A232320" w14:textId="77777777" w:rsidR="00606715" w:rsidRDefault="00606715" w:rsidP="00606715">
      <w:pPr>
        <w:spacing w:after="0" w:line="240" w:lineRule="auto"/>
      </w:pPr>
    </w:p>
    <w:p w14:paraId="01072B8A" w14:textId="77777777" w:rsidR="00606715" w:rsidRDefault="00606715" w:rsidP="00606715">
      <w:pPr>
        <w:autoSpaceDE w:val="0"/>
        <w:autoSpaceDN w:val="0"/>
        <w:adjustRightInd w:val="0"/>
        <w:spacing w:after="0" w:line="240" w:lineRule="auto"/>
      </w:pPr>
      <w:r>
        <w:t xml:space="preserve">En relación con los activos y pasivos contingentes mediante oficio AJMBA/106-2024 el Asesor Jurídico Municipal indicó que en el caso del </w:t>
      </w:r>
      <w:r w:rsidRPr="007D2929">
        <w:t>RECLAMO ADMINISTRATIVO DE LA EMPRESA PINDECO, el mismo se ha venido manejando bajo la figura de la conciliación, ya se entregó la propuesta por parte de la administración, ya se recibió respuesta, se tomó un acuerdo y está pendiente de ser plasmado y acordado el sistema de pagos con la empresa, mediante documento de transacción debidamente autorizado y aprobado por el Concejo Mu</w:t>
      </w:r>
      <w:r>
        <w:t>nicipal, pero no se consigna el monto para su reconocimiento.</w:t>
      </w:r>
    </w:p>
    <w:p w14:paraId="0B1E075B" w14:textId="77777777" w:rsidR="00606715" w:rsidRDefault="00606715" w:rsidP="00606715">
      <w:pPr>
        <w:autoSpaceDE w:val="0"/>
        <w:autoSpaceDN w:val="0"/>
        <w:adjustRightInd w:val="0"/>
        <w:spacing w:after="0" w:line="240" w:lineRule="auto"/>
      </w:pPr>
    </w:p>
    <w:p w14:paraId="1A0CE6B5" w14:textId="77777777" w:rsidR="00606715" w:rsidRDefault="00606715" w:rsidP="00606715">
      <w:pPr>
        <w:autoSpaceDE w:val="0"/>
        <w:autoSpaceDN w:val="0"/>
        <w:adjustRightInd w:val="0"/>
        <w:spacing w:after="0" w:line="240" w:lineRule="auto"/>
      </w:pPr>
      <w:r>
        <w:t xml:space="preserve">En adición, debe señalarse que, de acuerdo con la información existente en los archivos municipales, </w:t>
      </w:r>
      <w:r w:rsidRPr="00DA2D7E">
        <w:t xml:space="preserve">el 6 de mayo del 2022 el señor </w:t>
      </w:r>
      <w:r>
        <w:t>A</w:t>
      </w:r>
      <w:r w:rsidRPr="00DA2D7E">
        <w:t xml:space="preserve">lcalde remite a la Comisión de deuda </w:t>
      </w:r>
      <w:r>
        <w:t>P</w:t>
      </w:r>
      <w:r w:rsidRPr="00DA2D7E">
        <w:t xml:space="preserve">INDECO </w:t>
      </w:r>
      <w:r>
        <w:t xml:space="preserve">la </w:t>
      </w:r>
      <w:r w:rsidRPr="00DA2D7E">
        <w:t xml:space="preserve">propuesta para el pago de deuda, </w:t>
      </w:r>
      <w:r>
        <w:t xml:space="preserve">mediante </w:t>
      </w:r>
      <w:r w:rsidRPr="00DA2D7E">
        <w:t xml:space="preserve">documento con fecha de recibido 09 </w:t>
      </w:r>
      <w:r>
        <w:t xml:space="preserve">de mayo de </w:t>
      </w:r>
      <w:r w:rsidRPr="00DA2D7E">
        <w:t>2022 por el Consejo Municipal</w:t>
      </w:r>
      <w:r>
        <w:t>.</w:t>
      </w:r>
    </w:p>
    <w:p w14:paraId="7BFB7904" w14:textId="77777777" w:rsidR="00606715" w:rsidRPr="00DA2D7E" w:rsidRDefault="00606715" w:rsidP="00606715">
      <w:pPr>
        <w:autoSpaceDE w:val="0"/>
        <w:autoSpaceDN w:val="0"/>
        <w:adjustRightInd w:val="0"/>
        <w:spacing w:after="0" w:line="240" w:lineRule="auto"/>
      </w:pPr>
    </w:p>
    <w:p w14:paraId="795E8D0B" w14:textId="77777777" w:rsidR="00606715" w:rsidRDefault="00606715" w:rsidP="00606715">
      <w:pPr>
        <w:autoSpaceDE w:val="0"/>
        <w:autoSpaceDN w:val="0"/>
        <w:adjustRightInd w:val="0"/>
        <w:spacing w:after="0" w:line="240" w:lineRule="auto"/>
      </w:pPr>
      <w:r w:rsidRPr="00DA2D7E">
        <w:t>En</w:t>
      </w:r>
      <w:r>
        <w:t xml:space="preserve"> dicho</w:t>
      </w:r>
      <w:r w:rsidRPr="00DA2D7E">
        <w:t xml:space="preserve"> documento se indica que dado que existe una deuda sobre principal de los periodos 2006-2007-2008 2009 por un monto de </w:t>
      </w:r>
      <w:r w:rsidRPr="00C5183A">
        <w:rPr>
          <w:rFonts w:ascii="Arial" w:hAnsi="Arial" w:cs="Arial"/>
        </w:rPr>
        <w:t>₡</w:t>
      </w:r>
      <w:r w:rsidRPr="00DA2D7E">
        <w:t xml:space="preserve">179.024.767 se propone que </w:t>
      </w:r>
      <w:r>
        <w:t>P</w:t>
      </w:r>
      <w:r w:rsidRPr="00DA2D7E">
        <w:t xml:space="preserve">INDECO haga renuncia expresa sobre de las costas e intereses y que por su parte la municipalidad se compromete a pagar en el periodo 2022 la suma de </w:t>
      </w:r>
      <w:r w:rsidRPr="00C5183A">
        <w:rPr>
          <w:rFonts w:ascii="Arial" w:hAnsi="Arial" w:cs="Arial"/>
        </w:rPr>
        <w:t>₡</w:t>
      </w:r>
      <w:r w:rsidRPr="00DA2D7E">
        <w:t xml:space="preserve">50.000.000 y que sobre el saldo de </w:t>
      </w:r>
      <w:r w:rsidRPr="00C5183A">
        <w:rPr>
          <w:rFonts w:ascii="Arial" w:hAnsi="Arial" w:cs="Arial"/>
        </w:rPr>
        <w:t>₡</w:t>
      </w:r>
      <w:r>
        <w:t>1</w:t>
      </w:r>
      <w:r w:rsidRPr="00DA2D7E">
        <w:t xml:space="preserve">29.024.767 </w:t>
      </w:r>
      <w:r>
        <w:t xml:space="preserve">restante, </w:t>
      </w:r>
      <w:r w:rsidRPr="00DA2D7E">
        <w:t>se asume el compromiso de pagar en dos tractos en l</w:t>
      </w:r>
      <w:r>
        <w:t>os años</w:t>
      </w:r>
      <w:r w:rsidRPr="00DA2D7E">
        <w:t xml:space="preserve"> 2023 y 2024 cada uno por la suma de </w:t>
      </w:r>
      <w:r w:rsidRPr="00C5183A">
        <w:rPr>
          <w:rFonts w:ascii="Arial" w:hAnsi="Arial" w:cs="Arial"/>
        </w:rPr>
        <w:t>₡</w:t>
      </w:r>
      <w:r w:rsidRPr="00DA2D7E">
        <w:t>64.512.383.50.</w:t>
      </w:r>
      <w:r>
        <w:t xml:space="preserve"> </w:t>
      </w:r>
      <w:r w:rsidRPr="00DA2D7E">
        <w:t xml:space="preserve">Dicha propuesta </w:t>
      </w:r>
      <w:r>
        <w:t>fue</w:t>
      </w:r>
      <w:r w:rsidRPr="00DA2D7E">
        <w:t xml:space="preserve"> analizada y transferida por parte de la Comisión de deuda </w:t>
      </w:r>
      <w:r>
        <w:t>P</w:t>
      </w:r>
      <w:r w:rsidRPr="00DA2D7E">
        <w:t>INDECO al Concejo Municipal.</w:t>
      </w:r>
    </w:p>
    <w:p w14:paraId="3B55C786" w14:textId="77777777" w:rsidR="00606715" w:rsidRPr="00DA2D7E" w:rsidRDefault="00606715" w:rsidP="00606715">
      <w:pPr>
        <w:autoSpaceDE w:val="0"/>
        <w:autoSpaceDN w:val="0"/>
        <w:adjustRightInd w:val="0"/>
        <w:spacing w:after="0" w:line="240" w:lineRule="auto"/>
      </w:pPr>
    </w:p>
    <w:p w14:paraId="64D42224" w14:textId="670A6C84" w:rsidR="00606715" w:rsidRPr="00DA2D7E" w:rsidRDefault="00606715" w:rsidP="00606715">
      <w:pPr>
        <w:autoSpaceDE w:val="0"/>
        <w:autoSpaceDN w:val="0"/>
        <w:adjustRightInd w:val="0"/>
        <w:spacing w:after="0" w:line="240" w:lineRule="auto"/>
      </w:pPr>
      <w:r w:rsidRPr="00DA2D7E">
        <w:t xml:space="preserve">Mediante el Oficio MBA-SCM 2020-2024-O-0369-2022 del 26 de mayo del 2022 el Concejo remite acuerdo tomado </w:t>
      </w:r>
      <w:r w:rsidR="00B709CA" w:rsidRPr="00DA2D7E">
        <w:t>en Sesión</w:t>
      </w:r>
      <w:r w:rsidRPr="00DA2D7E">
        <w:t xml:space="preserve"> Ordinaria 107- 2022, celebrada el 23 de mayo del 2022 que en letra dice: Con vista en el Dictamen de la Comisión Municipal de la deuda PINDECO</w:t>
      </w:r>
      <w:r>
        <w:t>,</w:t>
      </w:r>
      <w:r w:rsidRPr="00DA2D7E">
        <w:t xml:space="preserve"> se procede a acoger la recomendación para autorizar a la Administración para que presente la propuesta a la Compañía PINDECO.</w:t>
      </w:r>
      <w:r>
        <w:t xml:space="preserve"> </w:t>
      </w:r>
      <w:r w:rsidRPr="00DA2D7E">
        <w:t>Mediante Oficio AMBA-397-2022 con fecha 25 de agosto del 2022</w:t>
      </w:r>
      <w:r>
        <w:t>,</w:t>
      </w:r>
      <w:r w:rsidRPr="00DA2D7E">
        <w:t xml:space="preserve"> se le envía nota al Señor Ing. Luis Arias Hidalgo por parte del señor </w:t>
      </w:r>
      <w:r>
        <w:t>Al</w:t>
      </w:r>
      <w:r w:rsidRPr="00DA2D7E">
        <w:t>calde donde se le indica el acuerdo antes citado.</w:t>
      </w:r>
    </w:p>
    <w:p w14:paraId="392E9D57" w14:textId="77777777" w:rsidR="00606715" w:rsidRPr="00DA2D7E" w:rsidRDefault="00606715" w:rsidP="00606715">
      <w:pPr>
        <w:autoSpaceDE w:val="0"/>
        <w:autoSpaceDN w:val="0"/>
        <w:adjustRightInd w:val="0"/>
        <w:spacing w:after="0" w:line="240" w:lineRule="auto"/>
      </w:pPr>
    </w:p>
    <w:p w14:paraId="4C56D96A" w14:textId="77777777" w:rsidR="00606715" w:rsidRPr="00DA2D7E" w:rsidRDefault="00606715" w:rsidP="00606715">
      <w:pPr>
        <w:autoSpaceDE w:val="0"/>
        <w:autoSpaceDN w:val="0"/>
        <w:adjustRightInd w:val="0"/>
        <w:spacing w:after="0" w:line="240" w:lineRule="auto"/>
      </w:pPr>
      <w:r w:rsidRPr="00DA2D7E">
        <w:t>En el 19 de diciembre del 2022 dado que no había respuesta por parte de PINDECO sobre el acuerdo tomado y la nota enviada</w:t>
      </w:r>
      <w:r>
        <w:t>,</w:t>
      </w:r>
      <w:r w:rsidRPr="00DA2D7E">
        <w:t xml:space="preserve"> se procedió con autorización del señor </w:t>
      </w:r>
      <w:r>
        <w:t>A</w:t>
      </w:r>
      <w:r w:rsidRPr="00DA2D7E">
        <w:t xml:space="preserve">lcalde </w:t>
      </w:r>
      <w:r>
        <w:t>mediante</w:t>
      </w:r>
      <w:r w:rsidRPr="00DA2D7E">
        <w:t xml:space="preserve"> Oficio OFICIO-AMBA-577-2022 a depositar la suma de ¢50.000.000 </w:t>
      </w:r>
      <w:r>
        <w:t xml:space="preserve">quedando pendiente de cancelar la suma de </w:t>
      </w:r>
      <w:r w:rsidRPr="00C5183A">
        <w:rPr>
          <w:rFonts w:ascii="Arial" w:hAnsi="Arial" w:cs="Arial"/>
        </w:rPr>
        <w:t>₡</w:t>
      </w:r>
      <w:r w:rsidRPr="00DA2D7E">
        <w:t>129.024.767</w:t>
      </w:r>
      <w:r>
        <w:t>,00 (</w:t>
      </w:r>
      <w:r w:rsidRPr="00DA2D7E">
        <w:t xml:space="preserve">principal </w:t>
      </w:r>
      <w:r w:rsidRPr="00C5183A">
        <w:rPr>
          <w:rFonts w:ascii="Arial" w:hAnsi="Arial" w:cs="Arial"/>
        </w:rPr>
        <w:t>₡</w:t>
      </w:r>
      <w:r w:rsidRPr="00DA2D7E">
        <w:t xml:space="preserve">179.024.767 </w:t>
      </w:r>
      <w:r>
        <w:t xml:space="preserve">menos abono </w:t>
      </w:r>
      <w:r w:rsidRPr="00C5183A">
        <w:rPr>
          <w:rFonts w:ascii="Arial" w:hAnsi="Arial" w:cs="Arial"/>
        </w:rPr>
        <w:t>₡</w:t>
      </w:r>
      <w:r>
        <w:t>50 000,00)</w:t>
      </w:r>
      <w:r w:rsidRPr="00DA2D7E">
        <w:t>.</w:t>
      </w:r>
    </w:p>
    <w:p w14:paraId="3ADF83EF" w14:textId="77777777" w:rsidR="00606715" w:rsidRPr="00DA2D7E" w:rsidRDefault="00606715" w:rsidP="00606715">
      <w:pPr>
        <w:autoSpaceDE w:val="0"/>
        <w:autoSpaceDN w:val="0"/>
        <w:adjustRightInd w:val="0"/>
        <w:spacing w:after="0" w:line="240" w:lineRule="auto"/>
      </w:pPr>
    </w:p>
    <w:p w14:paraId="2BD54C28" w14:textId="77777777" w:rsidR="00606715" w:rsidRPr="00DA2D7E" w:rsidRDefault="00606715" w:rsidP="00606715">
      <w:pPr>
        <w:autoSpaceDE w:val="0"/>
        <w:autoSpaceDN w:val="0"/>
        <w:adjustRightInd w:val="0"/>
        <w:spacing w:after="0" w:line="240" w:lineRule="auto"/>
      </w:pPr>
      <w:r w:rsidRPr="00DA2D7E">
        <w:t xml:space="preserve">En fecha 27 de Julio del 2023 se recibe por parte de la Cía. PINDECO documento sin número de oficio dirigido al señor José Rojas donde nos indican que mantienen la posición de condonar los intereses, pero no así el rubro por los gastos legales administrativos que serían por un monto de </w:t>
      </w:r>
      <w:r w:rsidRPr="00C5183A">
        <w:rPr>
          <w:rFonts w:ascii="Arial" w:hAnsi="Arial" w:cs="Arial"/>
        </w:rPr>
        <w:t>₡</w:t>
      </w:r>
      <w:r w:rsidRPr="00DA2D7E">
        <w:t>61.000.000</w:t>
      </w:r>
      <w:r>
        <w:t>,00</w:t>
      </w:r>
      <w:r w:rsidRPr="00DA2D7E">
        <w:t>.</w:t>
      </w:r>
    </w:p>
    <w:p w14:paraId="30D75653" w14:textId="77777777" w:rsidR="00606715" w:rsidRPr="00DA2D7E" w:rsidRDefault="00606715" w:rsidP="00606715">
      <w:pPr>
        <w:autoSpaceDE w:val="0"/>
        <w:autoSpaceDN w:val="0"/>
        <w:adjustRightInd w:val="0"/>
        <w:spacing w:after="0" w:line="240" w:lineRule="auto"/>
      </w:pPr>
    </w:p>
    <w:p w14:paraId="5017860B" w14:textId="100A4AA8" w:rsidR="00606715" w:rsidRPr="00DA2D7E" w:rsidRDefault="00606715" w:rsidP="00606715">
      <w:pPr>
        <w:autoSpaceDE w:val="0"/>
        <w:autoSpaceDN w:val="0"/>
        <w:adjustRightInd w:val="0"/>
        <w:spacing w:after="0" w:line="240" w:lineRule="auto"/>
      </w:pPr>
      <w:r w:rsidRPr="00DA2D7E">
        <w:t xml:space="preserve">Mediante acuerdo de Sesión Extraordinaria 66-2023 del 27 de octubre del 2024 el </w:t>
      </w:r>
      <w:r>
        <w:t>C</w:t>
      </w:r>
      <w:r w:rsidRPr="00DA2D7E">
        <w:t xml:space="preserve">oncejo </w:t>
      </w:r>
      <w:r>
        <w:t>i</w:t>
      </w:r>
      <w:r w:rsidRPr="00DA2D7E">
        <w:t xml:space="preserve">ndica estar de acuerdo en pagar los gastos administrativos por la suma de </w:t>
      </w:r>
      <w:r w:rsidRPr="00C5183A">
        <w:rPr>
          <w:rFonts w:ascii="Arial" w:hAnsi="Arial" w:cs="Arial"/>
        </w:rPr>
        <w:t>₡</w:t>
      </w:r>
      <w:r w:rsidRPr="00DA2D7E">
        <w:t>61.000.000</w:t>
      </w:r>
      <w:r>
        <w:t>,00</w:t>
      </w:r>
      <w:r w:rsidRPr="00DA2D7E">
        <w:t>.</w:t>
      </w:r>
      <w:r>
        <w:t xml:space="preserve"> </w:t>
      </w:r>
      <w:r w:rsidRPr="00DA2D7E">
        <w:t>A</w:t>
      </w:r>
      <w:r>
        <w:t>si</w:t>
      </w:r>
      <w:r w:rsidRPr="00DA2D7E">
        <w:t>mismo</w:t>
      </w:r>
      <w:r>
        <w:t>,</w:t>
      </w:r>
      <w:r w:rsidRPr="00DA2D7E">
        <w:t xml:space="preserve"> en dicha sesión también se ac</w:t>
      </w:r>
      <w:r>
        <w:t>o</w:t>
      </w:r>
      <w:r w:rsidRPr="00DA2D7E">
        <w:t>rd</w:t>
      </w:r>
      <w:r>
        <w:t>ó</w:t>
      </w:r>
      <w:r w:rsidRPr="00DA2D7E">
        <w:t xml:space="preserve"> delegar al señor Alcalde para que negoci</w:t>
      </w:r>
      <w:r>
        <w:t>ara</w:t>
      </w:r>
      <w:r w:rsidRPr="00DA2D7E">
        <w:t xml:space="preserve"> la modalidad de pago sobre la deuda </w:t>
      </w:r>
      <w:r w:rsidR="00FB041D" w:rsidRPr="00DA2D7E">
        <w:t>del periodo</w:t>
      </w:r>
      <w:r w:rsidRPr="00DA2D7E">
        <w:t xml:space="preserve"> 2006 a 2009 y presentarlo ante el </w:t>
      </w:r>
      <w:r>
        <w:t>C</w:t>
      </w:r>
      <w:r w:rsidRPr="00DA2D7E">
        <w:t>oncejo.</w:t>
      </w:r>
      <w:r>
        <w:t xml:space="preserve"> </w:t>
      </w:r>
      <w:r w:rsidRPr="00DA2D7E">
        <w:t xml:space="preserve">Así las cosas, según este último acuerdo el monto de la deuda </w:t>
      </w:r>
      <w:r>
        <w:t>asciende a</w:t>
      </w:r>
      <w:r w:rsidRPr="00DA2D7E">
        <w:t xml:space="preserve"> </w:t>
      </w:r>
      <w:r w:rsidRPr="00C5183A">
        <w:rPr>
          <w:rFonts w:ascii="Arial" w:hAnsi="Arial" w:cs="Arial"/>
        </w:rPr>
        <w:t>₡</w:t>
      </w:r>
      <w:r w:rsidRPr="00DA2D7E">
        <w:t>190.024.767.00</w:t>
      </w:r>
    </w:p>
    <w:p w14:paraId="317E304F" w14:textId="77777777" w:rsidR="00606715" w:rsidRPr="00DA2D7E" w:rsidRDefault="00606715" w:rsidP="00606715">
      <w:pPr>
        <w:autoSpaceDE w:val="0"/>
        <w:autoSpaceDN w:val="0"/>
        <w:adjustRightInd w:val="0"/>
        <w:spacing w:after="0" w:line="240" w:lineRule="auto"/>
      </w:pPr>
    </w:p>
    <w:p w14:paraId="51101825" w14:textId="77777777" w:rsidR="00606715" w:rsidRDefault="00606715" w:rsidP="00606715">
      <w:pPr>
        <w:autoSpaceDE w:val="0"/>
        <w:autoSpaceDN w:val="0"/>
        <w:adjustRightInd w:val="0"/>
        <w:spacing w:after="0" w:line="240" w:lineRule="auto"/>
      </w:pPr>
      <w:r w:rsidRPr="00DA2D7E">
        <w:t xml:space="preserve">En fecha 27 de febrero del 2024 se realizó </w:t>
      </w:r>
      <w:r>
        <w:t xml:space="preserve">un </w:t>
      </w:r>
      <w:r w:rsidRPr="00DA2D7E">
        <w:t xml:space="preserve">depósito por la suma de </w:t>
      </w:r>
      <w:r w:rsidRPr="00C5183A">
        <w:rPr>
          <w:rFonts w:ascii="Arial" w:hAnsi="Arial" w:cs="Arial"/>
        </w:rPr>
        <w:t>₡</w:t>
      </w:r>
      <w:r w:rsidRPr="00DA2D7E">
        <w:t xml:space="preserve">50.000.000 correspondiente a la cuota del periodo 2023, </w:t>
      </w:r>
      <w:r>
        <w:t>con lo cual</w:t>
      </w:r>
      <w:r w:rsidRPr="00DA2D7E">
        <w:t xml:space="preserve"> la deuda </w:t>
      </w:r>
      <w:r>
        <w:t>se redujo a</w:t>
      </w:r>
      <w:r w:rsidRPr="00DA2D7E">
        <w:t xml:space="preserve"> </w:t>
      </w:r>
      <w:r w:rsidRPr="00C5183A">
        <w:rPr>
          <w:rFonts w:ascii="Arial" w:hAnsi="Arial" w:cs="Arial"/>
        </w:rPr>
        <w:t>₡</w:t>
      </w:r>
      <w:r w:rsidRPr="00DA2D7E">
        <w:t>140.024.767</w:t>
      </w:r>
      <w:r>
        <w:t>,00</w:t>
      </w:r>
      <w:r w:rsidRPr="00DA2D7E">
        <w:t>.</w:t>
      </w:r>
      <w:r>
        <w:t xml:space="preserve"> Al respecto, </w:t>
      </w:r>
      <w:r w:rsidRPr="00DA2D7E">
        <w:t xml:space="preserve">el señor </w:t>
      </w:r>
      <w:r>
        <w:t>A</w:t>
      </w:r>
      <w:r w:rsidRPr="00DA2D7E">
        <w:t>lcalde deberá presentar</w:t>
      </w:r>
      <w:r>
        <w:t xml:space="preserve"> una</w:t>
      </w:r>
      <w:r w:rsidRPr="00DA2D7E">
        <w:t xml:space="preserve"> propuesta de pago al </w:t>
      </w:r>
      <w:r>
        <w:t>C</w:t>
      </w:r>
      <w:r w:rsidRPr="00DA2D7E">
        <w:t xml:space="preserve">oncejo </w:t>
      </w:r>
      <w:r>
        <w:t>para la cancelación d</w:t>
      </w:r>
      <w:r w:rsidRPr="00DA2D7E">
        <w:t>e</w:t>
      </w:r>
      <w:r>
        <w:t xml:space="preserve"> </w:t>
      </w:r>
      <w:r w:rsidRPr="00DA2D7E">
        <w:t>l</w:t>
      </w:r>
      <w:r>
        <w:t>a</w:t>
      </w:r>
      <w:r w:rsidRPr="00DA2D7E">
        <w:t xml:space="preserve"> </w:t>
      </w:r>
      <w:r>
        <w:t xml:space="preserve">deuda a </w:t>
      </w:r>
      <w:r w:rsidRPr="00DA2D7E">
        <w:t>PINDECO</w:t>
      </w:r>
      <w:r>
        <w:t>.</w:t>
      </w:r>
    </w:p>
    <w:p w14:paraId="2DFFB3E1" w14:textId="77777777" w:rsidR="00606715" w:rsidRDefault="00606715" w:rsidP="00606715">
      <w:pPr>
        <w:autoSpaceDE w:val="0"/>
        <w:autoSpaceDN w:val="0"/>
        <w:adjustRightInd w:val="0"/>
        <w:spacing w:after="0" w:line="240" w:lineRule="auto"/>
      </w:pPr>
    </w:p>
    <w:p w14:paraId="04CFEEEB" w14:textId="77777777" w:rsidR="00606715" w:rsidRDefault="00606715" w:rsidP="00606715">
      <w:pPr>
        <w:autoSpaceDE w:val="0"/>
        <w:autoSpaceDN w:val="0"/>
        <w:adjustRightInd w:val="0"/>
      </w:pPr>
      <w:r w:rsidRPr="00DA2D7E">
        <w:t xml:space="preserve">En el siguiente cuadro se </w:t>
      </w:r>
      <w:r>
        <w:t>resume</w:t>
      </w:r>
      <w:r w:rsidRPr="00DA2D7E">
        <w:t xml:space="preserve"> lo </w:t>
      </w:r>
      <w:r>
        <w:t>comentado</w:t>
      </w:r>
      <w:r w:rsidRPr="00DA2D7E">
        <w:t xml:space="preserve"> anteriormente.</w:t>
      </w:r>
    </w:p>
    <w:tbl>
      <w:tblPr>
        <w:tblStyle w:val="Tablaconcuadrcula"/>
        <w:tblW w:w="6804" w:type="dxa"/>
        <w:tblInd w:w="84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414"/>
        <w:gridCol w:w="2390"/>
      </w:tblGrid>
      <w:tr w:rsidR="00606715" w:rsidRPr="00641850" w14:paraId="29838C60" w14:textId="77777777" w:rsidTr="004653E2">
        <w:tc>
          <w:tcPr>
            <w:tcW w:w="4414" w:type="dxa"/>
            <w:tcBorders>
              <w:top w:val="single" w:sz="12" w:space="0" w:color="auto"/>
              <w:bottom w:val="single" w:sz="12" w:space="0" w:color="auto"/>
            </w:tcBorders>
            <w:shd w:val="clear" w:color="auto" w:fill="1F3864" w:themeFill="accent1" w:themeFillShade="80"/>
          </w:tcPr>
          <w:p w14:paraId="748873A8" w14:textId="77777777" w:rsidR="00606715" w:rsidRPr="00641850" w:rsidRDefault="00606715" w:rsidP="004653E2">
            <w:pPr>
              <w:autoSpaceDE w:val="0"/>
              <w:autoSpaceDN w:val="0"/>
              <w:adjustRightInd w:val="0"/>
              <w:spacing w:before="120" w:after="120"/>
              <w:jc w:val="center"/>
              <w:rPr>
                <w:color w:val="FFFFFF" w:themeColor="background1"/>
                <w:sz w:val="22"/>
                <w:szCs w:val="22"/>
              </w:rPr>
            </w:pPr>
            <w:r w:rsidRPr="00641850">
              <w:rPr>
                <w:b/>
                <w:bCs/>
                <w:color w:val="FFFFFF" w:themeColor="background1"/>
                <w:sz w:val="22"/>
                <w:szCs w:val="22"/>
              </w:rPr>
              <w:t>Descripción</w:t>
            </w:r>
          </w:p>
        </w:tc>
        <w:tc>
          <w:tcPr>
            <w:tcW w:w="2390" w:type="dxa"/>
            <w:tcBorders>
              <w:top w:val="single" w:sz="12" w:space="0" w:color="auto"/>
              <w:bottom w:val="single" w:sz="12" w:space="0" w:color="auto"/>
            </w:tcBorders>
            <w:shd w:val="clear" w:color="auto" w:fill="1F3864" w:themeFill="accent1" w:themeFillShade="80"/>
          </w:tcPr>
          <w:p w14:paraId="31C9E5D9" w14:textId="77777777" w:rsidR="00606715" w:rsidRPr="00641850" w:rsidRDefault="00606715" w:rsidP="004653E2">
            <w:pPr>
              <w:autoSpaceDE w:val="0"/>
              <w:autoSpaceDN w:val="0"/>
              <w:adjustRightInd w:val="0"/>
              <w:spacing w:before="120" w:after="120"/>
              <w:jc w:val="center"/>
              <w:rPr>
                <w:color w:val="FFFFFF" w:themeColor="background1"/>
                <w:sz w:val="22"/>
                <w:szCs w:val="22"/>
              </w:rPr>
            </w:pPr>
            <w:r w:rsidRPr="00641850">
              <w:rPr>
                <w:b/>
                <w:bCs/>
                <w:color w:val="FFFFFF" w:themeColor="background1"/>
                <w:sz w:val="22"/>
                <w:szCs w:val="22"/>
              </w:rPr>
              <w:t>Monto</w:t>
            </w:r>
          </w:p>
        </w:tc>
      </w:tr>
      <w:tr w:rsidR="00606715" w:rsidRPr="00641850" w14:paraId="57A3A109" w14:textId="77777777" w:rsidTr="004653E2">
        <w:tc>
          <w:tcPr>
            <w:tcW w:w="4414" w:type="dxa"/>
            <w:tcBorders>
              <w:top w:val="single" w:sz="12" w:space="0" w:color="auto"/>
              <w:left w:val="single" w:sz="12" w:space="0" w:color="auto"/>
              <w:bottom w:val="nil"/>
              <w:right w:val="single" w:sz="12" w:space="0" w:color="auto"/>
            </w:tcBorders>
          </w:tcPr>
          <w:p w14:paraId="36AD10D9" w14:textId="77777777" w:rsidR="00606715" w:rsidRPr="00641850" w:rsidRDefault="00606715" w:rsidP="004653E2">
            <w:pPr>
              <w:autoSpaceDE w:val="0"/>
              <w:autoSpaceDN w:val="0"/>
              <w:adjustRightInd w:val="0"/>
              <w:spacing w:before="120"/>
              <w:rPr>
                <w:sz w:val="22"/>
                <w:szCs w:val="22"/>
              </w:rPr>
            </w:pPr>
            <w:r w:rsidRPr="00641850">
              <w:rPr>
                <w:sz w:val="22"/>
                <w:szCs w:val="22"/>
              </w:rPr>
              <w:t>Deuda sobre los periodos 2006-2007-2008 2009</w:t>
            </w:r>
          </w:p>
        </w:tc>
        <w:tc>
          <w:tcPr>
            <w:tcW w:w="2390" w:type="dxa"/>
            <w:tcBorders>
              <w:top w:val="single" w:sz="12" w:space="0" w:color="auto"/>
              <w:left w:val="single" w:sz="12" w:space="0" w:color="auto"/>
              <w:bottom w:val="nil"/>
              <w:right w:val="single" w:sz="12" w:space="0" w:color="auto"/>
            </w:tcBorders>
          </w:tcPr>
          <w:p w14:paraId="286C23BC" w14:textId="77777777" w:rsidR="00606715" w:rsidRPr="00641850" w:rsidRDefault="00606715" w:rsidP="004653E2">
            <w:pPr>
              <w:autoSpaceDE w:val="0"/>
              <w:autoSpaceDN w:val="0"/>
              <w:adjustRightInd w:val="0"/>
              <w:spacing w:before="120"/>
              <w:jc w:val="right"/>
              <w:rPr>
                <w:sz w:val="22"/>
                <w:szCs w:val="22"/>
              </w:rPr>
            </w:pPr>
            <w:r w:rsidRPr="00641850">
              <w:rPr>
                <w:rFonts w:ascii="Arial" w:hAnsi="Arial" w:cs="Arial"/>
                <w:sz w:val="22"/>
                <w:szCs w:val="22"/>
              </w:rPr>
              <w:t>₡</w:t>
            </w:r>
            <w:r w:rsidRPr="00641850">
              <w:rPr>
                <w:sz w:val="22"/>
                <w:szCs w:val="22"/>
              </w:rPr>
              <w:t>179 024 767,00</w:t>
            </w:r>
          </w:p>
        </w:tc>
      </w:tr>
      <w:tr w:rsidR="00606715" w:rsidRPr="00641850" w14:paraId="2B32C93F" w14:textId="77777777" w:rsidTr="004653E2">
        <w:tc>
          <w:tcPr>
            <w:tcW w:w="4414" w:type="dxa"/>
            <w:tcBorders>
              <w:top w:val="nil"/>
              <w:left w:val="single" w:sz="12" w:space="0" w:color="auto"/>
              <w:bottom w:val="nil"/>
              <w:right w:val="single" w:sz="12" w:space="0" w:color="auto"/>
            </w:tcBorders>
          </w:tcPr>
          <w:p w14:paraId="3B65C9E2" w14:textId="77777777" w:rsidR="00606715" w:rsidRPr="00641850" w:rsidRDefault="00606715" w:rsidP="004653E2">
            <w:pPr>
              <w:autoSpaceDE w:val="0"/>
              <w:autoSpaceDN w:val="0"/>
              <w:adjustRightInd w:val="0"/>
              <w:rPr>
                <w:sz w:val="22"/>
                <w:szCs w:val="22"/>
              </w:rPr>
            </w:pPr>
            <w:r w:rsidRPr="00641850">
              <w:rPr>
                <w:b/>
                <w:bCs/>
                <w:sz w:val="22"/>
                <w:szCs w:val="22"/>
              </w:rPr>
              <w:t>Menos</w:t>
            </w:r>
            <w:r w:rsidRPr="00641850">
              <w:rPr>
                <w:sz w:val="22"/>
                <w:szCs w:val="22"/>
              </w:rPr>
              <w:t>: Depósito efectuado en diciembre 2022</w:t>
            </w:r>
          </w:p>
        </w:tc>
        <w:tc>
          <w:tcPr>
            <w:tcW w:w="2390" w:type="dxa"/>
            <w:tcBorders>
              <w:top w:val="nil"/>
              <w:left w:val="single" w:sz="12" w:space="0" w:color="auto"/>
              <w:bottom w:val="single" w:sz="12" w:space="0" w:color="auto"/>
              <w:right w:val="single" w:sz="12" w:space="0" w:color="auto"/>
            </w:tcBorders>
          </w:tcPr>
          <w:p w14:paraId="4AFEC75B" w14:textId="77777777" w:rsidR="00606715" w:rsidRPr="00641850" w:rsidRDefault="00606715" w:rsidP="004653E2">
            <w:pPr>
              <w:autoSpaceDE w:val="0"/>
              <w:autoSpaceDN w:val="0"/>
              <w:adjustRightInd w:val="0"/>
              <w:jc w:val="right"/>
              <w:rPr>
                <w:sz w:val="22"/>
                <w:szCs w:val="22"/>
              </w:rPr>
            </w:pPr>
            <w:r w:rsidRPr="00641850">
              <w:rPr>
                <w:sz w:val="22"/>
                <w:szCs w:val="22"/>
              </w:rPr>
              <w:t>50 000,00</w:t>
            </w:r>
          </w:p>
        </w:tc>
      </w:tr>
      <w:tr w:rsidR="00606715" w:rsidRPr="00641850" w14:paraId="204676BF" w14:textId="77777777" w:rsidTr="004653E2">
        <w:tc>
          <w:tcPr>
            <w:tcW w:w="4414" w:type="dxa"/>
            <w:tcBorders>
              <w:top w:val="nil"/>
              <w:left w:val="single" w:sz="12" w:space="0" w:color="auto"/>
              <w:bottom w:val="nil"/>
              <w:right w:val="single" w:sz="12" w:space="0" w:color="auto"/>
            </w:tcBorders>
          </w:tcPr>
          <w:p w14:paraId="565F51E6" w14:textId="77777777" w:rsidR="00606715" w:rsidRPr="00641850" w:rsidRDefault="00606715" w:rsidP="004653E2">
            <w:pPr>
              <w:autoSpaceDE w:val="0"/>
              <w:autoSpaceDN w:val="0"/>
              <w:adjustRightInd w:val="0"/>
              <w:spacing w:before="120"/>
              <w:rPr>
                <w:b/>
                <w:bCs/>
                <w:sz w:val="22"/>
                <w:szCs w:val="22"/>
              </w:rPr>
            </w:pPr>
            <w:r w:rsidRPr="00641850">
              <w:rPr>
                <w:b/>
                <w:bCs/>
                <w:sz w:val="22"/>
                <w:szCs w:val="22"/>
              </w:rPr>
              <w:t>Saldo</w:t>
            </w:r>
          </w:p>
        </w:tc>
        <w:tc>
          <w:tcPr>
            <w:tcW w:w="2390" w:type="dxa"/>
            <w:tcBorders>
              <w:top w:val="single" w:sz="12" w:space="0" w:color="auto"/>
              <w:left w:val="single" w:sz="12" w:space="0" w:color="auto"/>
              <w:bottom w:val="nil"/>
              <w:right w:val="single" w:sz="12" w:space="0" w:color="auto"/>
            </w:tcBorders>
          </w:tcPr>
          <w:p w14:paraId="21D5C07E" w14:textId="77777777" w:rsidR="00606715" w:rsidRPr="00641850" w:rsidRDefault="00606715" w:rsidP="004653E2">
            <w:pPr>
              <w:autoSpaceDE w:val="0"/>
              <w:autoSpaceDN w:val="0"/>
              <w:adjustRightInd w:val="0"/>
              <w:spacing w:before="120"/>
              <w:jc w:val="right"/>
              <w:rPr>
                <w:b/>
                <w:bCs/>
                <w:sz w:val="22"/>
                <w:szCs w:val="22"/>
              </w:rPr>
            </w:pPr>
            <w:r w:rsidRPr="00641850">
              <w:rPr>
                <w:rFonts w:ascii="Arial" w:hAnsi="Arial" w:cs="Arial"/>
                <w:b/>
                <w:bCs/>
                <w:sz w:val="22"/>
                <w:szCs w:val="22"/>
              </w:rPr>
              <w:t>₡</w:t>
            </w:r>
            <w:r w:rsidRPr="00641850">
              <w:rPr>
                <w:b/>
                <w:bCs/>
                <w:sz w:val="22"/>
                <w:szCs w:val="22"/>
              </w:rPr>
              <w:t>129 024 767,00</w:t>
            </w:r>
          </w:p>
        </w:tc>
      </w:tr>
      <w:tr w:rsidR="00606715" w:rsidRPr="00641850" w14:paraId="7026F07C" w14:textId="77777777" w:rsidTr="004653E2">
        <w:tc>
          <w:tcPr>
            <w:tcW w:w="4414" w:type="dxa"/>
            <w:tcBorders>
              <w:top w:val="nil"/>
              <w:left w:val="single" w:sz="12" w:space="0" w:color="auto"/>
              <w:bottom w:val="nil"/>
              <w:right w:val="single" w:sz="12" w:space="0" w:color="auto"/>
            </w:tcBorders>
          </w:tcPr>
          <w:p w14:paraId="4A46301D" w14:textId="77777777" w:rsidR="00606715" w:rsidRPr="00641850" w:rsidRDefault="00606715" w:rsidP="004653E2">
            <w:pPr>
              <w:autoSpaceDE w:val="0"/>
              <w:autoSpaceDN w:val="0"/>
              <w:adjustRightInd w:val="0"/>
              <w:rPr>
                <w:sz w:val="22"/>
                <w:szCs w:val="22"/>
              </w:rPr>
            </w:pPr>
            <w:r w:rsidRPr="00641850">
              <w:rPr>
                <w:b/>
                <w:bCs/>
                <w:sz w:val="22"/>
                <w:szCs w:val="22"/>
              </w:rPr>
              <w:t>Mas</w:t>
            </w:r>
            <w:r w:rsidRPr="00641850">
              <w:rPr>
                <w:sz w:val="22"/>
                <w:szCs w:val="22"/>
              </w:rPr>
              <w:t>: Gastos legales administrativos</w:t>
            </w:r>
          </w:p>
        </w:tc>
        <w:tc>
          <w:tcPr>
            <w:tcW w:w="2390" w:type="dxa"/>
            <w:tcBorders>
              <w:top w:val="nil"/>
              <w:left w:val="single" w:sz="12" w:space="0" w:color="auto"/>
              <w:bottom w:val="single" w:sz="12" w:space="0" w:color="auto"/>
              <w:right w:val="single" w:sz="12" w:space="0" w:color="auto"/>
            </w:tcBorders>
          </w:tcPr>
          <w:p w14:paraId="01B0A141" w14:textId="77777777" w:rsidR="00606715" w:rsidRPr="00641850" w:rsidRDefault="00606715" w:rsidP="004653E2">
            <w:pPr>
              <w:autoSpaceDE w:val="0"/>
              <w:autoSpaceDN w:val="0"/>
              <w:adjustRightInd w:val="0"/>
              <w:jc w:val="right"/>
              <w:rPr>
                <w:sz w:val="22"/>
                <w:szCs w:val="22"/>
              </w:rPr>
            </w:pPr>
            <w:r w:rsidRPr="00641850">
              <w:rPr>
                <w:sz w:val="22"/>
                <w:szCs w:val="22"/>
              </w:rPr>
              <w:t>61 000,00</w:t>
            </w:r>
          </w:p>
        </w:tc>
      </w:tr>
      <w:tr w:rsidR="00606715" w:rsidRPr="00641850" w14:paraId="2EE638B5" w14:textId="77777777" w:rsidTr="004653E2">
        <w:tc>
          <w:tcPr>
            <w:tcW w:w="4414" w:type="dxa"/>
            <w:tcBorders>
              <w:top w:val="nil"/>
              <w:left w:val="single" w:sz="12" w:space="0" w:color="auto"/>
              <w:bottom w:val="nil"/>
              <w:right w:val="single" w:sz="12" w:space="0" w:color="auto"/>
            </w:tcBorders>
          </w:tcPr>
          <w:p w14:paraId="20E4B5E5" w14:textId="77777777" w:rsidR="00606715" w:rsidRPr="00641850" w:rsidRDefault="00606715" w:rsidP="004653E2">
            <w:pPr>
              <w:autoSpaceDE w:val="0"/>
              <w:autoSpaceDN w:val="0"/>
              <w:adjustRightInd w:val="0"/>
              <w:spacing w:before="120"/>
              <w:rPr>
                <w:b/>
                <w:bCs/>
                <w:sz w:val="22"/>
                <w:szCs w:val="22"/>
              </w:rPr>
            </w:pPr>
            <w:r w:rsidRPr="00641850">
              <w:rPr>
                <w:b/>
                <w:bCs/>
                <w:sz w:val="22"/>
                <w:szCs w:val="22"/>
              </w:rPr>
              <w:t>Saldo</w:t>
            </w:r>
          </w:p>
        </w:tc>
        <w:tc>
          <w:tcPr>
            <w:tcW w:w="2390" w:type="dxa"/>
            <w:tcBorders>
              <w:top w:val="single" w:sz="12" w:space="0" w:color="auto"/>
              <w:left w:val="single" w:sz="12" w:space="0" w:color="auto"/>
              <w:bottom w:val="nil"/>
              <w:right w:val="single" w:sz="12" w:space="0" w:color="auto"/>
            </w:tcBorders>
          </w:tcPr>
          <w:p w14:paraId="0122CB84" w14:textId="77777777" w:rsidR="00606715" w:rsidRPr="00641850" w:rsidRDefault="00606715" w:rsidP="004653E2">
            <w:pPr>
              <w:autoSpaceDE w:val="0"/>
              <w:autoSpaceDN w:val="0"/>
              <w:adjustRightInd w:val="0"/>
              <w:spacing w:before="120"/>
              <w:jc w:val="right"/>
              <w:rPr>
                <w:b/>
                <w:bCs/>
                <w:sz w:val="22"/>
                <w:szCs w:val="22"/>
              </w:rPr>
            </w:pPr>
            <w:r w:rsidRPr="00641850">
              <w:rPr>
                <w:rFonts w:ascii="Arial" w:hAnsi="Arial" w:cs="Arial"/>
                <w:b/>
                <w:bCs/>
                <w:sz w:val="22"/>
                <w:szCs w:val="22"/>
              </w:rPr>
              <w:t>₡</w:t>
            </w:r>
            <w:r w:rsidRPr="00641850">
              <w:rPr>
                <w:rFonts w:cs="Arial"/>
                <w:b/>
                <w:bCs/>
                <w:sz w:val="22"/>
                <w:szCs w:val="22"/>
              </w:rPr>
              <w:t>190</w:t>
            </w:r>
            <w:r w:rsidRPr="00641850">
              <w:rPr>
                <w:b/>
                <w:bCs/>
                <w:sz w:val="22"/>
                <w:szCs w:val="22"/>
              </w:rPr>
              <w:t> 024 767,00</w:t>
            </w:r>
          </w:p>
        </w:tc>
      </w:tr>
      <w:tr w:rsidR="00606715" w:rsidRPr="00641850" w14:paraId="24DA5733" w14:textId="77777777" w:rsidTr="004653E2">
        <w:tc>
          <w:tcPr>
            <w:tcW w:w="4414" w:type="dxa"/>
            <w:tcBorders>
              <w:top w:val="nil"/>
              <w:left w:val="single" w:sz="12" w:space="0" w:color="auto"/>
              <w:bottom w:val="single" w:sz="12" w:space="0" w:color="auto"/>
              <w:right w:val="single" w:sz="12" w:space="0" w:color="auto"/>
            </w:tcBorders>
          </w:tcPr>
          <w:p w14:paraId="511A429C" w14:textId="77777777" w:rsidR="00606715" w:rsidRPr="00641850" w:rsidRDefault="00606715" w:rsidP="004653E2">
            <w:pPr>
              <w:autoSpaceDE w:val="0"/>
              <w:autoSpaceDN w:val="0"/>
              <w:adjustRightInd w:val="0"/>
              <w:rPr>
                <w:sz w:val="22"/>
                <w:szCs w:val="22"/>
              </w:rPr>
            </w:pPr>
            <w:r w:rsidRPr="00641850">
              <w:rPr>
                <w:b/>
                <w:bCs/>
                <w:sz w:val="22"/>
                <w:szCs w:val="22"/>
              </w:rPr>
              <w:t>Menos</w:t>
            </w:r>
            <w:r w:rsidRPr="00641850">
              <w:rPr>
                <w:sz w:val="22"/>
                <w:szCs w:val="22"/>
              </w:rPr>
              <w:t>: Depósito efectuado en febrero 2024</w:t>
            </w:r>
          </w:p>
        </w:tc>
        <w:tc>
          <w:tcPr>
            <w:tcW w:w="2390" w:type="dxa"/>
            <w:tcBorders>
              <w:top w:val="nil"/>
              <w:left w:val="single" w:sz="12" w:space="0" w:color="auto"/>
              <w:bottom w:val="single" w:sz="12" w:space="0" w:color="auto"/>
              <w:right w:val="single" w:sz="12" w:space="0" w:color="auto"/>
            </w:tcBorders>
          </w:tcPr>
          <w:p w14:paraId="777A2B41" w14:textId="77777777" w:rsidR="00606715" w:rsidRPr="00641850" w:rsidRDefault="00606715" w:rsidP="004653E2">
            <w:pPr>
              <w:autoSpaceDE w:val="0"/>
              <w:autoSpaceDN w:val="0"/>
              <w:adjustRightInd w:val="0"/>
              <w:jc w:val="right"/>
              <w:rPr>
                <w:sz w:val="22"/>
                <w:szCs w:val="22"/>
              </w:rPr>
            </w:pPr>
            <w:r w:rsidRPr="00641850">
              <w:rPr>
                <w:sz w:val="22"/>
                <w:szCs w:val="22"/>
              </w:rPr>
              <w:t>50 000,00</w:t>
            </w:r>
          </w:p>
        </w:tc>
      </w:tr>
      <w:tr w:rsidR="00606715" w:rsidRPr="00641850" w14:paraId="7BDBD479" w14:textId="77777777" w:rsidTr="004653E2">
        <w:tc>
          <w:tcPr>
            <w:tcW w:w="4414" w:type="dxa"/>
            <w:tcBorders>
              <w:top w:val="single" w:sz="12" w:space="0" w:color="auto"/>
              <w:right w:val="single" w:sz="12" w:space="0" w:color="auto"/>
            </w:tcBorders>
          </w:tcPr>
          <w:p w14:paraId="674FF94C" w14:textId="77777777" w:rsidR="00606715" w:rsidRPr="00641850" w:rsidRDefault="00606715" w:rsidP="004653E2">
            <w:pPr>
              <w:autoSpaceDE w:val="0"/>
              <w:autoSpaceDN w:val="0"/>
              <w:adjustRightInd w:val="0"/>
              <w:rPr>
                <w:b/>
                <w:bCs/>
                <w:sz w:val="22"/>
                <w:szCs w:val="22"/>
              </w:rPr>
            </w:pPr>
            <w:r w:rsidRPr="00641850">
              <w:rPr>
                <w:b/>
                <w:bCs/>
                <w:sz w:val="22"/>
                <w:szCs w:val="22"/>
              </w:rPr>
              <w:t>SALDO ADEUDADO AL 29/2/2024</w:t>
            </w:r>
          </w:p>
        </w:tc>
        <w:tc>
          <w:tcPr>
            <w:tcW w:w="2390" w:type="dxa"/>
            <w:tcBorders>
              <w:top w:val="single" w:sz="12" w:space="0" w:color="auto"/>
              <w:left w:val="single" w:sz="12" w:space="0" w:color="auto"/>
              <w:bottom w:val="single" w:sz="12" w:space="0" w:color="auto"/>
            </w:tcBorders>
          </w:tcPr>
          <w:p w14:paraId="021BB42D" w14:textId="77777777" w:rsidR="00606715" w:rsidRPr="00641850" w:rsidRDefault="00606715" w:rsidP="004653E2">
            <w:pPr>
              <w:autoSpaceDE w:val="0"/>
              <w:autoSpaceDN w:val="0"/>
              <w:adjustRightInd w:val="0"/>
              <w:jc w:val="right"/>
              <w:rPr>
                <w:b/>
                <w:bCs/>
                <w:sz w:val="22"/>
                <w:szCs w:val="22"/>
              </w:rPr>
            </w:pPr>
            <w:r w:rsidRPr="00641850">
              <w:rPr>
                <w:rFonts w:ascii="Arial" w:hAnsi="Arial" w:cs="Arial"/>
                <w:b/>
                <w:bCs/>
                <w:sz w:val="22"/>
                <w:szCs w:val="22"/>
              </w:rPr>
              <w:t>₡</w:t>
            </w:r>
            <w:r w:rsidRPr="00641850">
              <w:rPr>
                <w:rFonts w:cs="Arial"/>
                <w:b/>
                <w:bCs/>
                <w:sz w:val="22"/>
                <w:szCs w:val="22"/>
              </w:rPr>
              <w:t>140</w:t>
            </w:r>
            <w:r w:rsidRPr="00641850">
              <w:rPr>
                <w:b/>
                <w:bCs/>
                <w:sz w:val="22"/>
                <w:szCs w:val="22"/>
              </w:rPr>
              <w:t> 024 767,00</w:t>
            </w:r>
          </w:p>
        </w:tc>
      </w:tr>
    </w:tbl>
    <w:p w14:paraId="670E63D1" w14:textId="77777777" w:rsidR="000B1AD8" w:rsidRDefault="000B1AD8" w:rsidP="000B1AD8">
      <w:pPr>
        <w:spacing w:after="0" w:line="240" w:lineRule="auto"/>
      </w:pPr>
    </w:p>
    <w:p w14:paraId="7D3D1CB7" w14:textId="3E79F08F" w:rsidR="000B1AD8" w:rsidRDefault="000B1AD8" w:rsidP="000B1AD8">
      <w:pPr>
        <w:spacing w:after="0" w:line="240" w:lineRule="auto"/>
      </w:pPr>
      <w:r>
        <w:t>En la Sesión Ordinaria 204-2024 celebrada el 1 de abril de 2024, se tomó el siguiente acuerdo:</w:t>
      </w:r>
    </w:p>
    <w:p w14:paraId="116DDB12" w14:textId="77777777" w:rsidR="000B1AD8" w:rsidRDefault="000B1AD8" w:rsidP="000B1AD8">
      <w:pPr>
        <w:spacing w:after="0" w:line="240" w:lineRule="auto"/>
      </w:pPr>
    </w:p>
    <w:p w14:paraId="2C839FCD" w14:textId="77777777" w:rsidR="000B1AD8" w:rsidRPr="00A46D81" w:rsidRDefault="000B1AD8" w:rsidP="000B1AD8">
      <w:pPr>
        <w:spacing w:after="0" w:line="240" w:lineRule="auto"/>
        <w:ind w:left="567" w:right="616"/>
        <w:rPr>
          <w:i/>
          <w:iCs/>
          <w:sz w:val="22"/>
        </w:rPr>
      </w:pPr>
      <w:r w:rsidRPr="00A46D81">
        <w:rPr>
          <w:i/>
          <w:iCs/>
          <w:sz w:val="22"/>
        </w:rPr>
        <w:t>“</w:t>
      </w:r>
      <w:r w:rsidRPr="00A46D81">
        <w:rPr>
          <w:b/>
          <w:bCs/>
          <w:i/>
          <w:iCs/>
          <w:sz w:val="22"/>
        </w:rPr>
        <w:t>ACUERDO 04. SE ACUERDA:</w:t>
      </w:r>
      <w:r w:rsidRPr="00A46D81">
        <w:rPr>
          <w:i/>
          <w:iCs/>
          <w:sz w:val="22"/>
        </w:rPr>
        <w:t xml:space="preserve"> Autorizar a la Alcaldía para que entre a negociar y firme documento de transacción con la empresa Corporación Agrícola del Monte (Pindeco), distribuyendo los pagos, en tres tractos a saber, el primero en el presente año, por la suma de </w:t>
      </w:r>
      <w:r w:rsidRPr="00A46D81">
        <w:rPr>
          <w:rFonts w:ascii="Arial" w:eastAsia="Calibri" w:hAnsi="Arial" w:cs="Arial"/>
          <w:i/>
          <w:iCs/>
          <w:sz w:val="22"/>
        </w:rPr>
        <w:t>₡</w:t>
      </w:r>
      <w:r w:rsidRPr="00A46D81">
        <w:rPr>
          <w:rFonts w:eastAsia="Calibri" w:cs="Arial"/>
          <w:i/>
          <w:iCs/>
          <w:sz w:val="22"/>
        </w:rPr>
        <w:t xml:space="preserve">50 000,000,00, y dos pagos de </w:t>
      </w:r>
      <w:r w:rsidRPr="00A46D81">
        <w:rPr>
          <w:rFonts w:ascii="Arial" w:eastAsia="Calibri" w:hAnsi="Arial" w:cs="Arial"/>
          <w:i/>
          <w:iCs/>
          <w:sz w:val="22"/>
        </w:rPr>
        <w:t>₡</w:t>
      </w:r>
      <w:r w:rsidRPr="00A46D81">
        <w:rPr>
          <w:rFonts w:eastAsia="Calibri" w:cs="Arial"/>
          <w:i/>
          <w:iCs/>
          <w:sz w:val="22"/>
        </w:rPr>
        <w:t xml:space="preserve">45 012 383,50, cada uno en los años 2025 y 2026, para dar por finalizada la deuda. </w:t>
      </w:r>
      <w:r w:rsidRPr="00A46D81">
        <w:rPr>
          <w:rFonts w:eastAsia="Calibri" w:cs="Arial"/>
          <w:b/>
          <w:bCs/>
          <w:i/>
          <w:iCs/>
          <w:sz w:val="22"/>
        </w:rPr>
        <w:t>ACUERDO UNÁNIME Y DEFINITIVAMENTE APROBADO”</w:t>
      </w:r>
      <w:r>
        <w:rPr>
          <w:rFonts w:eastAsia="Calibri" w:cs="Arial"/>
          <w:b/>
          <w:bCs/>
          <w:i/>
          <w:iCs/>
          <w:sz w:val="22"/>
        </w:rPr>
        <w:t>.</w:t>
      </w:r>
    </w:p>
    <w:p w14:paraId="61CC982E" w14:textId="77777777" w:rsidR="000B1AD8" w:rsidRDefault="000B1AD8" w:rsidP="000B1AD8">
      <w:pPr>
        <w:spacing w:after="0" w:line="240" w:lineRule="auto"/>
      </w:pPr>
    </w:p>
    <w:p w14:paraId="5096571C" w14:textId="60596D8D" w:rsidR="000B1AD8" w:rsidRDefault="000B1AD8" w:rsidP="000B1AD8">
      <w:pPr>
        <w:spacing w:after="0" w:line="240" w:lineRule="auto"/>
        <w:rPr>
          <w:rFonts w:eastAsia="Calibri" w:cs="Arial"/>
        </w:rPr>
      </w:pPr>
      <w:r w:rsidRPr="0035489C">
        <w:t>Con base en el acuerdo antes consignado, el 25 de abril de 2024 se firmó el “</w:t>
      </w:r>
      <w:r w:rsidRPr="0035489C">
        <w:rPr>
          <w:b/>
          <w:bCs/>
        </w:rPr>
        <w:t>CONTRATO DE TRANSACCIÓN</w:t>
      </w:r>
      <w:r w:rsidRPr="0035489C">
        <w:t xml:space="preserve">” entre la Municipalidad y PINDECO. En dicho contrato se establecen dos cláusulas. En primera cláusula la Municipalidad de Buenos Aires, se compromete, a pagar a la Corporación de Desarrollo Del Monte (Pindeco) la suma de </w:t>
      </w:r>
      <w:r w:rsidRPr="0035489C">
        <w:rPr>
          <w:rFonts w:ascii="Arial" w:eastAsia="Calibri" w:hAnsi="Arial" w:cs="Arial"/>
        </w:rPr>
        <w:t>₡</w:t>
      </w:r>
      <w:r w:rsidRPr="0035489C">
        <w:rPr>
          <w:rFonts w:eastAsia="Calibri" w:cs="Arial"/>
        </w:rPr>
        <w:t xml:space="preserve">140 024 767,00 en tres tractos, uno de </w:t>
      </w:r>
      <w:r w:rsidRPr="0035489C">
        <w:rPr>
          <w:rFonts w:ascii="Arial" w:eastAsia="Calibri" w:hAnsi="Arial" w:cs="Arial"/>
        </w:rPr>
        <w:t>₡</w:t>
      </w:r>
      <w:r w:rsidRPr="0035489C">
        <w:rPr>
          <w:rFonts w:eastAsia="Calibri" w:cs="Arial"/>
        </w:rPr>
        <w:t xml:space="preserve">50 000 000,00 en el mes de diciembre de 2024, y dos pagos por la suma de </w:t>
      </w:r>
      <w:r w:rsidRPr="0035489C">
        <w:rPr>
          <w:rFonts w:ascii="Arial" w:eastAsia="Calibri" w:hAnsi="Arial" w:cs="Arial"/>
        </w:rPr>
        <w:t>₡</w:t>
      </w:r>
      <w:r w:rsidRPr="0035489C">
        <w:rPr>
          <w:rFonts w:eastAsia="Calibri" w:cs="Arial"/>
        </w:rPr>
        <w:t>45 012 383,50 cada uno, en diciembre de 2025 y diciembre de 2026 respectivamente, para de esta forma dar por finalizada la deuda. En la segunda cláusula, Pindeco hace renuncia expresa al cobro de intereses pasados, presentes y futuros de la deuda indicada en la cláusula primera, y de igual manera se compromete a no instaurar procesos judiciales, por dicha causa.</w:t>
      </w:r>
    </w:p>
    <w:p w14:paraId="62193CC4" w14:textId="77777777" w:rsidR="000B1AD8" w:rsidRDefault="000B1AD8" w:rsidP="000B1AD8">
      <w:pPr>
        <w:spacing w:after="0" w:line="240" w:lineRule="auto"/>
        <w:rPr>
          <w:iCs/>
        </w:rPr>
      </w:pPr>
    </w:p>
    <w:p w14:paraId="4E7C0DF7" w14:textId="40E19D27" w:rsidR="000B1AD8" w:rsidRDefault="006617DB" w:rsidP="006617DB">
      <w:pPr>
        <w:spacing w:after="0" w:line="240" w:lineRule="auto"/>
        <w:rPr>
          <w:iCs/>
        </w:rPr>
      </w:pPr>
      <w:r>
        <w:rPr>
          <w:iCs/>
        </w:rPr>
        <w:t>M</w:t>
      </w:r>
      <w:r w:rsidR="000B1AD8">
        <w:rPr>
          <w:iCs/>
        </w:rPr>
        <w:t xml:space="preserve">ediante Oficio Nº AJMBA/51-2024 del 12 de julio de 2024 el Asesor Jurídico Municipal </w:t>
      </w:r>
      <w:r>
        <w:rPr>
          <w:iCs/>
        </w:rPr>
        <w:t>informa que en lo a</w:t>
      </w:r>
      <w:r w:rsidRPr="006617DB">
        <w:rPr>
          <w:iCs/>
        </w:rPr>
        <w:t>tinente al caso de RECLAMO ADMINISTRATIVO DE LA EMPRESA PINDECO, el mismo ya se</w:t>
      </w:r>
      <w:r>
        <w:rPr>
          <w:iCs/>
        </w:rPr>
        <w:t xml:space="preserve"> </w:t>
      </w:r>
      <w:r w:rsidRPr="006617DB">
        <w:rPr>
          <w:iCs/>
        </w:rPr>
        <w:t>tramitó por medio de la figura de la transacción, misma que faculta el Código Civil. Ya se cuenta con el</w:t>
      </w:r>
      <w:r>
        <w:rPr>
          <w:iCs/>
        </w:rPr>
        <w:t xml:space="preserve"> </w:t>
      </w:r>
      <w:r w:rsidRPr="006617DB">
        <w:rPr>
          <w:iCs/>
        </w:rPr>
        <w:t>respectivo documento que establece la forma de cancelar.</w:t>
      </w:r>
    </w:p>
    <w:p w14:paraId="0EFAD048" w14:textId="77777777" w:rsidR="006617DB" w:rsidRDefault="006617DB" w:rsidP="006617DB">
      <w:pPr>
        <w:spacing w:after="0" w:line="240" w:lineRule="auto"/>
        <w:rPr>
          <w:iCs/>
        </w:rPr>
      </w:pPr>
    </w:p>
    <w:p w14:paraId="475C424E" w14:textId="364143B7" w:rsidR="006617DB" w:rsidRPr="009821B3" w:rsidRDefault="006617DB" w:rsidP="006617DB">
      <w:pPr>
        <w:spacing w:after="0" w:line="240" w:lineRule="auto"/>
        <w:rPr>
          <w:iCs/>
        </w:rPr>
      </w:pPr>
      <w:r>
        <w:rPr>
          <w:iCs/>
        </w:rPr>
        <w:t>Además, indica en su oficio el Asesor Jurídico que, r</w:t>
      </w:r>
      <w:r w:rsidRPr="006617DB">
        <w:rPr>
          <w:iCs/>
        </w:rPr>
        <w:t>especto a Recursos de Amparo con lugar, se tiene sentencia del proceso de ejecución de</w:t>
      </w:r>
      <w:r>
        <w:rPr>
          <w:iCs/>
        </w:rPr>
        <w:t xml:space="preserve"> </w:t>
      </w:r>
      <w:r w:rsidRPr="006617DB">
        <w:rPr>
          <w:iCs/>
        </w:rPr>
        <w:t xml:space="preserve">sentencia 22-001646-1028-CA, de Mariana Lucía Porras Rozas, </w:t>
      </w:r>
      <w:r>
        <w:rPr>
          <w:iCs/>
        </w:rPr>
        <w:t xml:space="preserve">sobre el que </w:t>
      </w:r>
      <w:r w:rsidRPr="006617DB">
        <w:rPr>
          <w:iCs/>
        </w:rPr>
        <w:t>se</w:t>
      </w:r>
      <w:r>
        <w:rPr>
          <w:iCs/>
        </w:rPr>
        <w:t xml:space="preserve"> deben</w:t>
      </w:r>
      <w:r w:rsidRPr="006617DB">
        <w:rPr>
          <w:iCs/>
        </w:rPr>
        <w:t xml:space="preserve"> liquida</w:t>
      </w:r>
      <w:r>
        <w:rPr>
          <w:iCs/>
        </w:rPr>
        <w:t xml:space="preserve">r las </w:t>
      </w:r>
      <w:r w:rsidRPr="006617DB">
        <w:rPr>
          <w:iCs/>
        </w:rPr>
        <w:t>costas por un monto de</w:t>
      </w:r>
      <w:r>
        <w:rPr>
          <w:iCs/>
        </w:rPr>
        <w:t xml:space="preserve"> </w:t>
      </w:r>
      <w:r w:rsidRPr="006617DB">
        <w:rPr>
          <w:iCs/>
        </w:rPr>
        <w:t>¢121 000.00</w:t>
      </w:r>
      <w:r>
        <w:rPr>
          <w:iCs/>
        </w:rPr>
        <w:t xml:space="preserve"> (</w:t>
      </w:r>
      <w:r w:rsidRPr="006617DB">
        <w:rPr>
          <w:iCs/>
        </w:rPr>
        <w:t>ciento veintiún mil colones exactos</w:t>
      </w:r>
      <w:r>
        <w:rPr>
          <w:iCs/>
        </w:rPr>
        <w:t>)</w:t>
      </w:r>
      <w:r w:rsidRPr="006617DB">
        <w:rPr>
          <w:iCs/>
        </w:rPr>
        <w:t>, mismos que deben presupuestarse para hacer el</w:t>
      </w:r>
      <w:r>
        <w:rPr>
          <w:iCs/>
        </w:rPr>
        <w:t xml:space="preserve"> </w:t>
      </w:r>
      <w:r w:rsidRPr="006617DB">
        <w:rPr>
          <w:iCs/>
        </w:rPr>
        <w:t>respectivo depósito judicial.</w:t>
      </w:r>
      <w:r>
        <w:rPr>
          <w:iCs/>
        </w:rPr>
        <w:t xml:space="preserve"> Cabe señalar</w:t>
      </w:r>
      <w:r w:rsidR="009821B3">
        <w:rPr>
          <w:iCs/>
        </w:rPr>
        <w:t>,</w:t>
      </w:r>
      <w:r>
        <w:rPr>
          <w:iCs/>
        </w:rPr>
        <w:t xml:space="preserve"> </w:t>
      </w:r>
      <w:r w:rsidR="009821B3">
        <w:rPr>
          <w:iCs/>
        </w:rPr>
        <w:t xml:space="preserve">que </w:t>
      </w:r>
      <w:r w:rsidRPr="006617DB">
        <w:rPr>
          <w:b/>
          <w:bCs/>
          <w:iCs/>
        </w:rPr>
        <w:t>JUZGADO CONTENCIOSO ADMINISTRATIVO Y CIVIL DE HACIENDA</w:t>
      </w:r>
      <w:r w:rsidR="009821B3">
        <w:rPr>
          <w:b/>
          <w:bCs/>
          <w:iCs/>
        </w:rPr>
        <w:t xml:space="preserve"> </w:t>
      </w:r>
      <w:r w:rsidRPr="006617DB">
        <w:rPr>
          <w:b/>
          <w:bCs/>
          <w:iCs/>
        </w:rPr>
        <w:t>(CONTENCIOSO ADMINISTRATIVO)</w:t>
      </w:r>
      <w:r w:rsidR="009821B3">
        <w:rPr>
          <w:b/>
          <w:bCs/>
          <w:iCs/>
        </w:rPr>
        <w:t xml:space="preserve">, </w:t>
      </w:r>
      <w:r w:rsidR="009821B3" w:rsidRPr="009821B3">
        <w:rPr>
          <w:iCs/>
        </w:rPr>
        <w:t>comunicó a la Asesoría Jurídica lo relacionado con el caso en mención a</w:t>
      </w:r>
      <w:r w:rsidRPr="006617DB">
        <w:rPr>
          <w:iCs/>
        </w:rPr>
        <w:t xml:space="preserve"> las nueve horas treinta y uno</w:t>
      </w:r>
      <w:r w:rsidR="009821B3" w:rsidRPr="009821B3">
        <w:rPr>
          <w:iCs/>
        </w:rPr>
        <w:t xml:space="preserve"> </w:t>
      </w:r>
      <w:r w:rsidRPr="009821B3">
        <w:rPr>
          <w:iCs/>
        </w:rPr>
        <w:t xml:space="preserve">minutos del </w:t>
      </w:r>
      <w:r w:rsidR="009821B3">
        <w:rPr>
          <w:iCs/>
        </w:rPr>
        <w:t>7</w:t>
      </w:r>
      <w:r w:rsidRPr="009821B3">
        <w:rPr>
          <w:iCs/>
        </w:rPr>
        <w:t xml:space="preserve"> de junio de </w:t>
      </w:r>
      <w:r w:rsidR="009821B3">
        <w:rPr>
          <w:iCs/>
        </w:rPr>
        <w:t>2024</w:t>
      </w:r>
      <w:r w:rsidRPr="009821B3">
        <w:rPr>
          <w:iCs/>
        </w:rPr>
        <w:t>.</w:t>
      </w:r>
    </w:p>
    <w:p w14:paraId="740AF08C" w14:textId="77777777" w:rsidR="000B1AD8" w:rsidRPr="000B1AD8" w:rsidRDefault="000B1AD8" w:rsidP="000B1AD8">
      <w:pPr>
        <w:spacing w:after="0" w:line="240" w:lineRule="auto"/>
        <w:rPr>
          <w:iCs/>
        </w:rPr>
      </w:pPr>
    </w:p>
    <w:p w14:paraId="4F56055B" w14:textId="77777777" w:rsidR="00606715" w:rsidRPr="000B1AD8" w:rsidRDefault="00606715" w:rsidP="003D12E6">
      <w:pPr>
        <w:rPr>
          <w:iCs/>
        </w:rPr>
      </w:pPr>
    </w:p>
    <w:p w14:paraId="2E9D6DF1" w14:textId="77777777" w:rsidR="00692DC8" w:rsidRPr="00692DC8" w:rsidRDefault="00692DC8" w:rsidP="003D12E6">
      <w:pPr>
        <w:pStyle w:val="Ttulo4"/>
        <w:spacing w:after="240"/>
        <w:rPr>
          <w:rFonts w:eastAsia="Times New Roman"/>
        </w:rPr>
      </w:pPr>
      <w:bookmarkStart w:id="358" w:name="_Toc82768939"/>
      <w:bookmarkStart w:id="359" w:name="_Toc173245244"/>
      <w:r w:rsidRPr="00692DC8">
        <w:rPr>
          <w:rFonts w:eastAsia="Times New Roman"/>
        </w:rPr>
        <w:t>NOTA N° 18</w:t>
      </w:r>
      <w:bookmarkEnd w:id="355"/>
      <w:bookmarkEnd w:id="356"/>
      <w:bookmarkEnd w:id="357"/>
      <w:bookmarkEnd w:id="358"/>
      <w:bookmarkEnd w:id="359"/>
    </w:p>
    <w:p w14:paraId="7E82C85B" w14:textId="77777777" w:rsidR="00694299" w:rsidRDefault="00692DC8" w:rsidP="00580A3A">
      <w:pPr>
        <w:spacing w:before="240"/>
        <w:rPr>
          <w:rFonts w:asciiTheme="minorHAnsi" w:hAnsiTheme="minorHAnsi"/>
          <w:sz w:val="22"/>
        </w:rPr>
      </w:pPr>
      <w:bookmarkStart w:id="360" w:name="_Toc82768940"/>
      <w:r w:rsidRPr="00692DC8">
        <w:rPr>
          <w:rFonts w:eastAsia="Times New Roman"/>
        </w:rPr>
        <w:t>Otros pasivos a corto plazo</w:t>
      </w:r>
      <w:bookmarkEnd w:id="360"/>
      <w:r w:rsidR="00DE2C82">
        <w:rPr>
          <w:rFonts w:eastAsia="Times New Roman" w:cstheme="majorBidi"/>
          <w:b/>
          <w:iCs/>
          <w:lang w:val="es-ES" w:eastAsia="es-CR"/>
        </w:rPr>
        <w:fldChar w:fldCharType="begin"/>
      </w:r>
      <w:r w:rsidR="00DE2C82">
        <w:rPr>
          <w:rFonts w:eastAsia="Times New Roman"/>
          <w:lang w:val="es-ES" w:eastAsia="es-CR"/>
        </w:rPr>
        <w:instrText xml:space="preserve"> LINK </w:instrText>
      </w:r>
      <w:r w:rsidR="00323752">
        <w:rPr>
          <w:rFonts w:eastAsia="Times New Roman"/>
          <w:lang w:val="es-ES" w:eastAsia="es-CR"/>
        </w:rPr>
        <w:instrText xml:space="preserve">Excel.SheetMacroEnabled.12 "D:\\MORAVIA\\INSUMOS\\NOTAS 2024\\Formato_Notas_EEFF_Vinculadas_2024\\XXXXX_PXX_202X_Anexo_Estado_Notas_Contables_Vinculadas.xlsm" NOTAS_POR_CUENTA!F139C1:F141C6 </w:instrText>
      </w:r>
      <w:r w:rsidR="00DE2C82">
        <w:rPr>
          <w:rFonts w:eastAsia="Times New Roman"/>
          <w:lang w:val="es-ES" w:eastAsia="es-CR"/>
        </w:rPr>
        <w:instrText xml:space="preserve">\a \f 4 \h </w:instrText>
      </w:r>
      <w:r w:rsidR="00DE2C82">
        <w:rPr>
          <w:rFonts w:eastAsia="Times New Roman"/>
          <w:lang w:val="es-ES" w:eastAsia="es-CR"/>
        </w:rPr>
        <w:fldChar w:fldCharType="separate"/>
      </w:r>
    </w:p>
    <w:tbl>
      <w:tblPr>
        <w:tblW w:w="8847" w:type="dxa"/>
        <w:tblCellMar>
          <w:left w:w="70" w:type="dxa"/>
          <w:right w:w="70" w:type="dxa"/>
        </w:tblCellMar>
        <w:tblLook w:val="04A0" w:firstRow="1" w:lastRow="0" w:firstColumn="1" w:lastColumn="0" w:noHBand="0" w:noVBand="1"/>
      </w:tblPr>
      <w:tblGrid>
        <w:gridCol w:w="991"/>
        <w:gridCol w:w="3009"/>
        <w:gridCol w:w="500"/>
        <w:gridCol w:w="1586"/>
        <w:gridCol w:w="1701"/>
        <w:gridCol w:w="1060"/>
      </w:tblGrid>
      <w:tr w:rsidR="00694299" w:rsidRPr="00694299" w14:paraId="521CCF93" w14:textId="77777777" w:rsidTr="00ED6096">
        <w:trPr>
          <w:divId w:val="1974363041"/>
          <w:trHeight w:val="324"/>
        </w:trPr>
        <w:tc>
          <w:tcPr>
            <w:tcW w:w="99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0776351" w14:textId="45FFB9AC"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300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F29F264"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744C99C"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5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4F7331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A6F2BBA"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5ED77E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3553C2E8" w14:textId="77777777" w:rsidTr="00ED6096">
        <w:trPr>
          <w:divId w:val="1974363041"/>
          <w:trHeight w:val="324"/>
        </w:trPr>
        <w:tc>
          <w:tcPr>
            <w:tcW w:w="991" w:type="dxa"/>
            <w:vMerge/>
            <w:tcBorders>
              <w:top w:val="single" w:sz="8" w:space="0" w:color="auto"/>
              <w:left w:val="single" w:sz="8" w:space="0" w:color="auto"/>
              <w:bottom w:val="single" w:sz="8" w:space="0" w:color="000000"/>
              <w:right w:val="single" w:sz="8" w:space="0" w:color="auto"/>
            </w:tcBorders>
            <w:vAlign w:val="center"/>
            <w:hideMark/>
          </w:tcPr>
          <w:p w14:paraId="36541644"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3009" w:type="dxa"/>
            <w:vMerge/>
            <w:tcBorders>
              <w:top w:val="single" w:sz="8" w:space="0" w:color="auto"/>
              <w:left w:val="single" w:sz="8" w:space="0" w:color="auto"/>
              <w:bottom w:val="single" w:sz="8" w:space="0" w:color="000000"/>
              <w:right w:val="single" w:sz="8" w:space="0" w:color="auto"/>
            </w:tcBorders>
            <w:vAlign w:val="center"/>
            <w:hideMark/>
          </w:tcPr>
          <w:p w14:paraId="52E6FCB4"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279629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05C8864A"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78D47E47"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0AFD5FE0"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065064AB" w14:textId="77777777" w:rsidTr="00ED6096">
        <w:trPr>
          <w:divId w:val="1974363041"/>
          <w:trHeight w:val="324"/>
        </w:trPr>
        <w:tc>
          <w:tcPr>
            <w:tcW w:w="991" w:type="dxa"/>
            <w:tcBorders>
              <w:top w:val="nil"/>
              <w:left w:val="single" w:sz="8" w:space="0" w:color="auto"/>
              <w:bottom w:val="single" w:sz="8" w:space="0" w:color="auto"/>
              <w:right w:val="single" w:sz="8" w:space="0" w:color="auto"/>
            </w:tcBorders>
            <w:shd w:val="clear" w:color="auto" w:fill="auto"/>
            <w:noWrap/>
            <w:vAlign w:val="center"/>
            <w:hideMark/>
          </w:tcPr>
          <w:p w14:paraId="69691067"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2.1.9.</w:t>
            </w:r>
          </w:p>
        </w:tc>
        <w:tc>
          <w:tcPr>
            <w:tcW w:w="3009" w:type="dxa"/>
            <w:tcBorders>
              <w:top w:val="nil"/>
              <w:left w:val="nil"/>
              <w:bottom w:val="single" w:sz="8" w:space="0" w:color="auto"/>
              <w:right w:val="single" w:sz="8" w:space="0" w:color="auto"/>
            </w:tcBorders>
            <w:shd w:val="clear" w:color="auto" w:fill="auto"/>
            <w:vAlign w:val="center"/>
            <w:hideMark/>
          </w:tcPr>
          <w:p w14:paraId="7EA71C40"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Otros pasivos a corto plazo</w:t>
            </w:r>
          </w:p>
        </w:tc>
        <w:tc>
          <w:tcPr>
            <w:tcW w:w="500" w:type="dxa"/>
            <w:tcBorders>
              <w:top w:val="nil"/>
              <w:left w:val="nil"/>
              <w:bottom w:val="single" w:sz="8" w:space="0" w:color="auto"/>
              <w:right w:val="single" w:sz="8" w:space="0" w:color="auto"/>
            </w:tcBorders>
            <w:shd w:val="clear" w:color="auto" w:fill="auto"/>
            <w:noWrap/>
            <w:vAlign w:val="center"/>
            <w:hideMark/>
          </w:tcPr>
          <w:p w14:paraId="6BF3C579"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18</w:t>
            </w:r>
          </w:p>
        </w:tc>
        <w:tc>
          <w:tcPr>
            <w:tcW w:w="1586" w:type="dxa"/>
            <w:tcBorders>
              <w:top w:val="nil"/>
              <w:left w:val="nil"/>
              <w:bottom w:val="single" w:sz="8" w:space="0" w:color="auto"/>
              <w:right w:val="single" w:sz="8" w:space="0" w:color="auto"/>
            </w:tcBorders>
            <w:shd w:val="clear" w:color="auto" w:fill="auto"/>
            <w:noWrap/>
            <w:vAlign w:val="center"/>
            <w:hideMark/>
          </w:tcPr>
          <w:p w14:paraId="01EBA77A"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701" w:type="dxa"/>
            <w:tcBorders>
              <w:top w:val="nil"/>
              <w:left w:val="nil"/>
              <w:bottom w:val="single" w:sz="8" w:space="0" w:color="auto"/>
              <w:right w:val="single" w:sz="8" w:space="0" w:color="auto"/>
            </w:tcBorders>
            <w:shd w:val="clear" w:color="auto" w:fill="auto"/>
            <w:noWrap/>
            <w:vAlign w:val="center"/>
            <w:hideMark/>
          </w:tcPr>
          <w:p w14:paraId="488491D1"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556,54 </w:t>
            </w:r>
          </w:p>
        </w:tc>
        <w:tc>
          <w:tcPr>
            <w:tcW w:w="1060" w:type="dxa"/>
            <w:tcBorders>
              <w:top w:val="nil"/>
              <w:left w:val="nil"/>
              <w:bottom w:val="single" w:sz="8" w:space="0" w:color="auto"/>
              <w:right w:val="single" w:sz="8" w:space="0" w:color="auto"/>
            </w:tcBorders>
            <w:shd w:val="clear" w:color="auto" w:fill="auto"/>
            <w:noWrap/>
            <w:vAlign w:val="center"/>
            <w:hideMark/>
          </w:tcPr>
          <w:p w14:paraId="20DAD5FF"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-100,00%</w:t>
            </w:r>
          </w:p>
        </w:tc>
      </w:tr>
    </w:tbl>
    <w:p w14:paraId="782019F1" w14:textId="77777777" w:rsidR="00694299" w:rsidRDefault="00DE2C82" w:rsidP="00580A3A">
      <w:pPr>
        <w:spacing w:before="240"/>
        <w:rPr>
          <w:rFonts w:asciiTheme="minorHAnsi" w:hAnsiTheme="minorHAnsi"/>
          <w:sz w:val="22"/>
        </w:rPr>
      </w:pPr>
      <w:r>
        <w:rPr>
          <w:rFonts w:eastAsia="Times New Roman"/>
          <w:sz w:val="22"/>
          <w:lang w:val="es-ES" w:eastAsia="es-CR"/>
        </w:rPr>
        <w:fldChar w:fldCharType="end"/>
      </w:r>
      <w:r w:rsidR="00692DC8" w:rsidRPr="00692DC8">
        <w:rPr>
          <w:rFonts w:eastAsia="Times New Roman"/>
          <w:sz w:val="22"/>
          <w:lang w:val="es-ES" w:eastAsia="es-CR"/>
        </w:rPr>
        <w:t>Detalle cuenta:</w:t>
      </w:r>
      <w:r>
        <w:rPr>
          <w:lang w:val="es-ES" w:eastAsia="es-CR"/>
        </w:rPr>
        <w:fldChar w:fldCharType="begin"/>
      </w:r>
      <w:r>
        <w:rPr>
          <w:lang w:val="es-ES" w:eastAsia="es-CR"/>
        </w:rPr>
        <w:instrText xml:space="preserve"> LINK </w:instrText>
      </w:r>
      <w:r w:rsidR="00323752">
        <w:rPr>
          <w:lang w:val="es-ES" w:eastAsia="es-CR"/>
        </w:rPr>
        <w:instrText xml:space="preserve">Excel.SheetMacroEnabled.12 "D:\\MORAVIA\\INSUMOS\\NOTAS 2024\\Formato_Notas_EEFF_Vinculadas_2024\\XXXXX_PXX_202X_Anexo_Estado_Notas_Contables_Vinculadas.xlsm" NOTAS_POR_CUENTA!F143C1:F145C6 </w:instrText>
      </w:r>
      <w:r>
        <w:rPr>
          <w:lang w:val="es-ES" w:eastAsia="es-CR"/>
        </w:rPr>
        <w:instrText xml:space="preserve">\a \f 4 \h </w:instrText>
      </w:r>
      <w:r>
        <w:rPr>
          <w:lang w:val="es-ES" w:eastAsia="es-CR"/>
        </w:rPr>
        <w:fldChar w:fldCharType="separate"/>
      </w:r>
    </w:p>
    <w:tbl>
      <w:tblPr>
        <w:tblW w:w="8847" w:type="dxa"/>
        <w:tblCellMar>
          <w:left w:w="70" w:type="dxa"/>
          <w:right w:w="70" w:type="dxa"/>
        </w:tblCellMar>
        <w:tblLook w:val="04A0" w:firstRow="1" w:lastRow="0" w:firstColumn="1" w:lastColumn="0" w:noHBand="0" w:noVBand="1"/>
      </w:tblPr>
      <w:tblGrid>
        <w:gridCol w:w="1113"/>
        <w:gridCol w:w="2887"/>
        <w:gridCol w:w="500"/>
        <w:gridCol w:w="1586"/>
        <w:gridCol w:w="1701"/>
        <w:gridCol w:w="1060"/>
      </w:tblGrid>
      <w:tr w:rsidR="00694299" w:rsidRPr="00694299" w14:paraId="34D0F63A" w14:textId="77777777" w:rsidTr="00ED6096">
        <w:trPr>
          <w:divId w:val="609240474"/>
          <w:trHeight w:val="324"/>
        </w:trPr>
        <w:tc>
          <w:tcPr>
            <w:tcW w:w="111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7AE45D2" w14:textId="16B35066"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88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3B95C04"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90BA6F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5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F10732C"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51F302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8865753"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42D2B48E" w14:textId="77777777" w:rsidTr="00ED6096">
        <w:trPr>
          <w:divId w:val="609240474"/>
          <w:trHeight w:val="324"/>
        </w:trPr>
        <w:tc>
          <w:tcPr>
            <w:tcW w:w="1113" w:type="dxa"/>
            <w:vMerge/>
            <w:tcBorders>
              <w:top w:val="single" w:sz="8" w:space="0" w:color="auto"/>
              <w:left w:val="single" w:sz="8" w:space="0" w:color="auto"/>
              <w:bottom w:val="single" w:sz="8" w:space="0" w:color="000000"/>
              <w:right w:val="single" w:sz="8" w:space="0" w:color="auto"/>
            </w:tcBorders>
            <w:vAlign w:val="center"/>
            <w:hideMark/>
          </w:tcPr>
          <w:p w14:paraId="4F82D83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887" w:type="dxa"/>
            <w:vMerge/>
            <w:tcBorders>
              <w:top w:val="single" w:sz="8" w:space="0" w:color="auto"/>
              <w:left w:val="single" w:sz="8" w:space="0" w:color="auto"/>
              <w:bottom w:val="single" w:sz="8" w:space="0" w:color="000000"/>
              <w:right w:val="single" w:sz="8" w:space="0" w:color="auto"/>
            </w:tcBorders>
            <w:vAlign w:val="center"/>
            <w:hideMark/>
          </w:tcPr>
          <w:p w14:paraId="69AD0127"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D12333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2E42F2E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596E98A2"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02E26894"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7D536D27" w14:textId="77777777" w:rsidTr="00ED6096">
        <w:trPr>
          <w:divId w:val="609240474"/>
          <w:trHeight w:val="324"/>
        </w:trPr>
        <w:tc>
          <w:tcPr>
            <w:tcW w:w="1113" w:type="dxa"/>
            <w:tcBorders>
              <w:top w:val="nil"/>
              <w:left w:val="single" w:sz="8" w:space="0" w:color="auto"/>
              <w:bottom w:val="single" w:sz="8" w:space="0" w:color="auto"/>
              <w:right w:val="single" w:sz="8" w:space="0" w:color="auto"/>
            </w:tcBorders>
            <w:shd w:val="clear" w:color="auto" w:fill="auto"/>
            <w:noWrap/>
            <w:vAlign w:val="center"/>
            <w:hideMark/>
          </w:tcPr>
          <w:p w14:paraId="28658DAC"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2.1.9.01.</w:t>
            </w:r>
          </w:p>
        </w:tc>
        <w:tc>
          <w:tcPr>
            <w:tcW w:w="2887" w:type="dxa"/>
            <w:tcBorders>
              <w:top w:val="nil"/>
              <w:left w:val="nil"/>
              <w:bottom w:val="single" w:sz="8" w:space="0" w:color="auto"/>
              <w:right w:val="single" w:sz="8" w:space="0" w:color="auto"/>
            </w:tcBorders>
            <w:shd w:val="clear" w:color="auto" w:fill="auto"/>
            <w:vAlign w:val="center"/>
            <w:hideMark/>
          </w:tcPr>
          <w:p w14:paraId="5AF8C10C"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Ingresos a devengar a corto plazo</w:t>
            </w:r>
          </w:p>
        </w:tc>
        <w:tc>
          <w:tcPr>
            <w:tcW w:w="500" w:type="dxa"/>
            <w:tcBorders>
              <w:top w:val="nil"/>
              <w:left w:val="nil"/>
              <w:bottom w:val="single" w:sz="8" w:space="0" w:color="auto"/>
              <w:right w:val="single" w:sz="8" w:space="0" w:color="auto"/>
            </w:tcBorders>
            <w:shd w:val="clear" w:color="auto" w:fill="auto"/>
            <w:noWrap/>
            <w:vAlign w:val="bottom"/>
            <w:hideMark/>
          </w:tcPr>
          <w:p w14:paraId="1412C0BB"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18</w:t>
            </w:r>
          </w:p>
        </w:tc>
        <w:tc>
          <w:tcPr>
            <w:tcW w:w="1586" w:type="dxa"/>
            <w:tcBorders>
              <w:top w:val="nil"/>
              <w:left w:val="nil"/>
              <w:bottom w:val="single" w:sz="8" w:space="0" w:color="auto"/>
              <w:right w:val="single" w:sz="8" w:space="0" w:color="auto"/>
            </w:tcBorders>
            <w:shd w:val="clear" w:color="auto" w:fill="auto"/>
            <w:noWrap/>
            <w:vAlign w:val="center"/>
            <w:hideMark/>
          </w:tcPr>
          <w:p w14:paraId="2E787178"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701" w:type="dxa"/>
            <w:tcBorders>
              <w:top w:val="nil"/>
              <w:left w:val="nil"/>
              <w:bottom w:val="single" w:sz="8" w:space="0" w:color="auto"/>
              <w:right w:val="single" w:sz="8" w:space="0" w:color="auto"/>
            </w:tcBorders>
            <w:shd w:val="clear" w:color="auto" w:fill="auto"/>
            <w:noWrap/>
            <w:vAlign w:val="center"/>
            <w:hideMark/>
          </w:tcPr>
          <w:p w14:paraId="5DA5D086"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3D3D8CE8"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11D0A57D" w14:textId="3C83E422" w:rsidR="00692DC8" w:rsidRPr="00580A3A" w:rsidRDefault="00DE2C82" w:rsidP="00580A3A">
      <w:pPr>
        <w:spacing w:before="240"/>
        <w:rPr>
          <w:lang w:val="es-ES" w:eastAsia="es-CR"/>
        </w:rPr>
      </w:pPr>
      <w:r>
        <w:rPr>
          <w:lang w:val="es-ES" w:eastAsia="es-CR"/>
        </w:rPr>
        <w:fldChar w:fldCharType="end"/>
      </w:r>
      <w:r w:rsidR="00692DC8" w:rsidRPr="00692DC8">
        <w:rPr>
          <w:rFonts w:eastAsia="Calibri"/>
          <w:szCs w:val="24"/>
        </w:rPr>
        <w:t>Indicar el detalle de cómo está compuesta la cuenta:</w:t>
      </w:r>
    </w:p>
    <w:p w14:paraId="0C697791" w14:textId="41EF1A5A" w:rsidR="00692DC8" w:rsidRPr="00692DC8" w:rsidRDefault="00692DC8" w:rsidP="003D12E6">
      <w:pPr>
        <w:rPr>
          <w:szCs w:val="24"/>
          <w:lang w:eastAsia="es-CR"/>
        </w:rPr>
      </w:pPr>
      <w:r w:rsidRPr="00692DC8">
        <w:rPr>
          <w:szCs w:val="24"/>
          <w:lang w:eastAsia="es-CR"/>
        </w:rPr>
        <w:t>________________________________________________________________________________________________________________________________________________________________</w:t>
      </w:r>
    </w:p>
    <w:p w14:paraId="56298E07" w14:textId="77777777" w:rsidR="00694299" w:rsidRPr="00694299" w:rsidRDefault="00692DC8" w:rsidP="00580A3A">
      <w:pPr>
        <w:rPr>
          <w:rFonts w:eastAsia="Calibri"/>
          <w:lang w:val="es-ES"/>
        </w:rPr>
      </w:pPr>
      <w:r w:rsidRPr="00692DC8">
        <w:rPr>
          <w:rFonts w:eastAsia="Calibri"/>
          <w:b/>
          <w:lang w:val="es-ES"/>
        </w:rPr>
        <w:t>Revelación</w:t>
      </w:r>
      <w:r w:rsidRPr="00692DC8">
        <w:rPr>
          <w:rFonts w:eastAsia="Calibri"/>
          <w:lang w:val="es-ES"/>
        </w:rPr>
        <w:t xml:space="preserve">: </w:t>
      </w:r>
      <w:r w:rsidR="00580A3A">
        <w:rPr>
          <w:rFonts w:cs="Calibri"/>
          <w:color w:val="000000"/>
          <w:lang w:eastAsia="es-CR"/>
        </w:rPr>
        <w:fldChar w:fldCharType="begin"/>
      </w:r>
      <w:r w:rsidR="00580A3A">
        <w:rPr>
          <w:rFonts w:cs="Calibri"/>
          <w:color w:val="000000"/>
          <w:lang w:eastAsia="es-CR"/>
        </w:rPr>
        <w:instrText xml:space="preserve"> LINK </w:instrText>
      </w:r>
      <w:r w:rsidR="00323752">
        <w:rPr>
          <w:rFonts w:cs="Calibri"/>
          <w:color w:val="000000"/>
          <w:lang w:eastAsia="es-CR"/>
        </w:rPr>
        <w:instrText xml:space="preserve">Excel.SheetMacroEnabled.12 "D:\\MORAVIA\\INSUMOS\\NOTAS 2024\\Formato_Notas_EEFF_Vinculadas_2024\\XXXXX_PXX_202X_Anexo_Estado_Notas_Contables_Vinculadas.xlsm" NOTAS_POR_CUENTA!F141C8 </w:instrText>
      </w:r>
      <w:r w:rsidR="00580A3A">
        <w:rPr>
          <w:rFonts w:cs="Calibri"/>
          <w:color w:val="000000"/>
          <w:lang w:eastAsia="es-CR"/>
        </w:rPr>
        <w:instrText xml:space="preserve">\a \f 5 \h  \* MERGEFORMAT </w:instrText>
      </w:r>
      <w:r w:rsidR="00580A3A">
        <w:rPr>
          <w:rFonts w:cs="Calibri"/>
          <w:color w:val="000000"/>
          <w:lang w:eastAsia="es-CR"/>
        </w:rPr>
        <w:fldChar w:fldCharType="separate"/>
      </w:r>
    </w:p>
    <w:p w14:paraId="6E79AFA2" w14:textId="36FABCDB" w:rsidR="00694299" w:rsidRPr="00694299" w:rsidRDefault="00694299" w:rsidP="00B709CA">
      <w:pPr>
        <w:spacing w:line="240" w:lineRule="auto"/>
        <w:rPr>
          <w:rFonts w:cs="Calibri"/>
          <w:color w:val="000000"/>
          <w:lang w:eastAsia="es-CR"/>
        </w:rPr>
      </w:pPr>
      <w:r w:rsidRPr="00694299">
        <w:rPr>
          <w:rFonts w:cs="Calibri"/>
          <w:color w:val="000000"/>
          <w:lang w:eastAsia="es-CR"/>
        </w:rPr>
        <w:t>La cuenta Otros pasivos a corto plazo, representa el 0,00% del total del Pasivo, que comparado al periodo anterior genera una variación absoluta de -556,54 que corresponde a un Disminución del -100,00% de recursos disponibles.</w:t>
      </w:r>
    </w:p>
    <w:p w14:paraId="6AD90497" w14:textId="7C0A67C2" w:rsidR="00692DC8" w:rsidRPr="00692DC8" w:rsidRDefault="00580A3A" w:rsidP="00B709CA">
      <w:pPr>
        <w:spacing w:line="240" w:lineRule="auto"/>
        <w:rPr>
          <w:rFonts w:eastAsiaTheme="minorEastAsia" w:cs="Arial Narrow"/>
          <w:color w:val="000000"/>
          <w:lang w:eastAsia="es-CR"/>
        </w:rPr>
      </w:pPr>
      <w:r>
        <w:rPr>
          <w:rFonts w:cs="Calibri"/>
          <w:color w:val="000000"/>
          <w:lang w:eastAsia="es-CR"/>
        </w:rPr>
        <w:fldChar w:fldCharType="end"/>
      </w:r>
      <w:r w:rsidR="00692DC8" w:rsidRPr="00692DC8">
        <w:rPr>
          <w:rFonts w:eastAsia="Calibri"/>
          <w:highlight w:val="lightGray"/>
        </w:rPr>
        <w:t>Las variaciones de la cuenta son producto de (Indicar la razón de las variaciones de un periodo a otro):</w:t>
      </w:r>
      <w:r w:rsidR="00692DC8" w:rsidRPr="00692DC8">
        <w:rPr>
          <w:rFonts w:eastAsia="Calibri"/>
        </w:rPr>
        <w:t xml:space="preserve"> </w:t>
      </w:r>
    </w:p>
    <w:p w14:paraId="54C66B39" w14:textId="77777777" w:rsidR="00606715" w:rsidRDefault="00606715" w:rsidP="00606715">
      <w:pPr>
        <w:spacing w:after="0" w:line="240" w:lineRule="auto"/>
        <w:contextualSpacing/>
      </w:pPr>
      <w:r w:rsidRPr="00A91674">
        <w:t xml:space="preserve">La suma corresponde a algunas transacciones que se realizaron en el año </w:t>
      </w:r>
      <w:r>
        <w:t>2022</w:t>
      </w:r>
      <w:r w:rsidRPr="00A91674">
        <w:t xml:space="preserve"> que a la fecha de cierre de estos estados financieros aún no ha sido posible determinar con fiabilidad el tipo de pasivo del que se trataba, por lo que se está realizando una revisión de la transacción para poder registrarlas en las cuentas que corresponda. Cabe señalar, que este monto no es material en el contexto de los estados financieros.</w:t>
      </w:r>
    </w:p>
    <w:p w14:paraId="699DE733" w14:textId="77777777" w:rsidR="00606715" w:rsidRDefault="00606715" w:rsidP="00606715">
      <w:pPr>
        <w:spacing w:after="0" w:line="240" w:lineRule="auto"/>
        <w:contextualSpacing/>
      </w:pPr>
    </w:p>
    <w:p w14:paraId="5991A11B" w14:textId="77777777" w:rsidR="00606715" w:rsidRDefault="00606715" w:rsidP="00606715">
      <w:pPr>
        <w:spacing w:after="0" w:line="240" w:lineRule="auto"/>
        <w:contextualSpacing/>
      </w:pPr>
    </w:p>
    <w:p w14:paraId="66D0FEBF" w14:textId="77777777" w:rsidR="00C1538B" w:rsidRDefault="00C1538B" w:rsidP="00606715">
      <w:pPr>
        <w:spacing w:after="0" w:line="240" w:lineRule="auto"/>
        <w:contextualSpacing/>
      </w:pPr>
    </w:p>
    <w:p w14:paraId="6A03DFB6" w14:textId="77777777" w:rsidR="003D12E6" w:rsidRPr="00692DC8" w:rsidRDefault="003D12E6" w:rsidP="003D12E6">
      <w:pPr>
        <w:rPr>
          <w:rFonts w:eastAsia="Calibri"/>
          <w:szCs w:val="24"/>
          <w:highlight w:val="yellow"/>
        </w:rPr>
      </w:pPr>
    </w:p>
    <w:p w14:paraId="1418BEA4" w14:textId="4C4ADC77" w:rsidR="00692DC8" w:rsidRPr="00692DC8" w:rsidRDefault="00692DC8" w:rsidP="003D12E6">
      <w:pPr>
        <w:pStyle w:val="Ttulo3"/>
        <w:spacing w:after="240"/>
        <w:rPr>
          <w:rFonts w:eastAsia="Calibri"/>
          <w:lang w:eastAsia="es-CR"/>
        </w:rPr>
      </w:pPr>
      <w:bookmarkStart w:id="361" w:name="_Toc82768941"/>
      <w:bookmarkStart w:id="362" w:name="_Toc173245245"/>
      <w:r w:rsidRPr="00692DC8">
        <w:rPr>
          <w:rFonts w:eastAsia="Calibri"/>
          <w:lang w:eastAsia="es-CR"/>
        </w:rPr>
        <w:t>2.2 PASIVO NO CORRIENTE</w:t>
      </w:r>
      <w:bookmarkStart w:id="363" w:name="_Toc13041142"/>
      <w:bookmarkStart w:id="364" w:name="_Toc14345141"/>
      <w:bookmarkEnd w:id="361"/>
      <w:bookmarkEnd w:id="362"/>
    </w:p>
    <w:p w14:paraId="36ACB626" w14:textId="77777777" w:rsidR="00C1538B" w:rsidRDefault="00C1538B" w:rsidP="00C1538B">
      <w:pPr>
        <w:pStyle w:val="Ttulo4"/>
        <w:spacing w:before="0"/>
        <w:rPr>
          <w:rFonts w:eastAsia="Times New Roman"/>
        </w:rPr>
      </w:pPr>
      <w:bookmarkStart w:id="365" w:name="_Toc33601237"/>
      <w:bookmarkStart w:id="366" w:name="_Toc82768942"/>
    </w:p>
    <w:p w14:paraId="14564617" w14:textId="138028DF" w:rsidR="00692DC8" w:rsidRPr="00692DC8" w:rsidRDefault="00692DC8" w:rsidP="003D12E6">
      <w:pPr>
        <w:pStyle w:val="Ttulo4"/>
        <w:spacing w:after="240"/>
        <w:rPr>
          <w:rFonts w:eastAsia="Times New Roman"/>
        </w:rPr>
      </w:pPr>
      <w:bookmarkStart w:id="367" w:name="_Toc173245246"/>
      <w:r w:rsidRPr="00692DC8">
        <w:rPr>
          <w:rFonts w:eastAsia="Times New Roman"/>
        </w:rPr>
        <w:t>NOTA N° 19</w:t>
      </w:r>
      <w:bookmarkEnd w:id="363"/>
      <w:bookmarkEnd w:id="364"/>
      <w:bookmarkEnd w:id="365"/>
      <w:bookmarkEnd w:id="366"/>
      <w:bookmarkEnd w:id="367"/>
    </w:p>
    <w:p w14:paraId="5C4FDF1C" w14:textId="77777777" w:rsidR="00694299" w:rsidRDefault="00692DC8" w:rsidP="00323752">
      <w:pPr>
        <w:spacing w:before="240"/>
        <w:rPr>
          <w:rFonts w:asciiTheme="minorHAnsi" w:hAnsiTheme="minorHAnsi"/>
          <w:sz w:val="22"/>
        </w:rPr>
      </w:pPr>
      <w:bookmarkStart w:id="368" w:name="_Toc82768943"/>
      <w:r w:rsidRPr="00692DC8">
        <w:rPr>
          <w:rFonts w:eastAsia="Times New Roman"/>
        </w:rPr>
        <w:t>Deudas a largo plazo</w:t>
      </w:r>
      <w:bookmarkEnd w:id="368"/>
      <w:r w:rsidR="00697FA2">
        <w:rPr>
          <w:rFonts w:eastAsiaTheme="majorEastAsia" w:cstheme="majorBidi"/>
          <w:iCs/>
          <w:lang w:val="es-ES"/>
        </w:rPr>
        <w:fldChar w:fldCharType="begin"/>
      </w:r>
      <w:r w:rsidR="00697FA2">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NOTAS_POR_CUENTA!F147C1:F149C6 </w:instrText>
      </w:r>
      <w:r w:rsidR="00697FA2">
        <w:rPr>
          <w:lang w:val="es-ES"/>
        </w:rPr>
        <w:instrText xml:space="preserve">\a \f 4 \h </w:instrText>
      </w:r>
      <w:r w:rsidR="00697FA2">
        <w:rPr>
          <w:b/>
          <w:lang w:val="es-ES"/>
        </w:rPr>
        <w:fldChar w:fldCharType="separate"/>
      </w:r>
    </w:p>
    <w:tbl>
      <w:tblPr>
        <w:tblW w:w="8847" w:type="dxa"/>
        <w:tblCellMar>
          <w:left w:w="70" w:type="dxa"/>
          <w:right w:w="70" w:type="dxa"/>
        </w:tblCellMar>
        <w:tblLook w:val="04A0" w:firstRow="1" w:lastRow="0" w:firstColumn="1" w:lastColumn="0" w:noHBand="0" w:noVBand="1"/>
      </w:tblPr>
      <w:tblGrid>
        <w:gridCol w:w="991"/>
        <w:gridCol w:w="3009"/>
        <w:gridCol w:w="500"/>
        <w:gridCol w:w="1586"/>
        <w:gridCol w:w="1701"/>
        <w:gridCol w:w="1060"/>
      </w:tblGrid>
      <w:tr w:rsidR="00694299" w:rsidRPr="00694299" w14:paraId="7E3C1577" w14:textId="77777777" w:rsidTr="00ED6096">
        <w:trPr>
          <w:divId w:val="1735273820"/>
          <w:trHeight w:val="324"/>
        </w:trPr>
        <w:tc>
          <w:tcPr>
            <w:tcW w:w="99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D4CC02C" w14:textId="79A57A40"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300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4751CB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BDAA1C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5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D7DCD5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E3CB38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49C0A30D"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5C4505A3" w14:textId="77777777" w:rsidTr="00ED6096">
        <w:trPr>
          <w:divId w:val="1735273820"/>
          <w:trHeight w:val="324"/>
        </w:trPr>
        <w:tc>
          <w:tcPr>
            <w:tcW w:w="991" w:type="dxa"/>
            <w:vMerge/>
            <w:tcBorders>
              <w:top w:val="single" w:sz="8" w:space="0" w:color="auto"/>
              <w:left w:val="single" w:sz="8" w:space="0" w:color="auto"/>
              <w:bottom w:val="single" w:sz="8" w:space="0" w:color="000000"/>
              <w:right w:val="single" w:sz="8" w:space="0" w:color="auto"/>
            </w:tcBorders>
            <w:vAlign w:val="center"/>
            <w:hideMark/>
          </w:tcPr>
          <w:p w14:paraId="62107E1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3009" w:type="dxa"/>
            <w:vMerge/>
            <w:tcBorders>
              <w:top w:val="single" w:sz="8" w:space="0" w:color="auto"/>
              <w:left w:val="single" w:sz="8" w:space="0" w:color="auto"/>
              <w:bottom w:val="single" w:sz="8" w:space="0" w:color="000000"/>
              <w:right w:val="single" w:sz="8" w:space="0" w:color="auto"/>
            </w:tcBorders>
            <w:vAlign w:val="center"/>
            <w:hideMark/>
          </w:tcPr>
          <w:p w14:paraId="2DC184E2"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4138DB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2D31A25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642DC83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4B677D76"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07F889CD" w14:textId="77777777" w:rsidTr="00ED6096">
        <w:trPr>
          <w:divId w:val="1735273820"/>
          <w:trHeight w:val="324"/>
        </w:trPr>
        <w:tc>
          <w:tcPr>
            <w:tcW w:w="991" w:type="dxa"/>
            <w:tcBorders>
              <w:top w:val="nil"/>
              <w:left w:val="single" w:sz="8" w:space="0" w:color="auto"/>
              <w:bottom w:val="single" w:sz="8" w:space="0" w:color="auto"/>
              <w:right w:val="single" w:sz="8" w:space="0" w:color="auto"/>
            </w:tcBorders>
            <w:shd w:val="clear" w:color="auto" w:fill="auto"/>
            <w:noWrap/>
            <w:vAlign w:val="center"/>
            <w:hideMark/>
          </w:tcPr>
          <w:p w14:paraId="5EF61C06"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2.2.1.</w:t>
            </w:r>
          </w:p>
        </w:tc>
        <w:tc>
          <w:tcPr>
            <w:tcW w:w="3009" w:type="dxa"/>
            <w:tcBorders>
              <w:top w:val="nil"/>
              <w:left w:val="nil"/>
              <w:bottom w:val="single" w:sz="8" w:space="0" w:color="auto"/>
              <w:right w:val="single" w:sz="8" w:space="0" w:color="auto"/>
            </w:tcBorders>
            <w:shd w:val="clear" w:color="auto" w:fill="auto"/>
            <w:vAlign w:val="center"/>
            <w:hideMark/>
          </w:tcPr>
          <w:p w14:paraId="229DFBE8"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Deudas a largo plazo</w:t>
            </w:r>
          </w:p>
        </w:tc>
        <w:tc>
          <w:tcPr>
            <w:tcW w:w="500" w:type="dxa"/>
            <w:tcBorders>
              <w:top w:val="nil"/>
              <w:left w:val="nil"/>
              <w:bottom w:val="single" w:sz="8" w:space="0" w:color="auto"/>
              <w:right w:val="single" w:sz="8" w:space="0" w:color="auto"/>
            </w:tcBorders>
            <w:shd w:val="clear" w:color="auto" w:fill="auto"/>
            <w:noWrap/>
            <w:vAlign w:val="center"/>
            <w:hideMark/>
          </w:tcPr>
          <w:p w14:paraId="21D5B213"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19</w:t>
            </w:r>
          </w:p>
        </w:tc>
        <w:tc>
          <w:tcPr>
            <w:tcW w:w="1586" w:type="dxa"/>
            <w:tcBorders>
              <w:top w:val="nil"/>
              <w:left w:val="nil"/>
              <w:bottom w:val="single" w:sz="8" w:space="0" w:color="auto"/>
              <w:right w:val="single" w:sz="8" w:space="0" w:color="auto"/>
            </w:tcBorders>
            <w:shd w:val="clear" w:color="auto" w:fill="auto"/>
            <w:noWrap/>
            <w:vAlign w:val="center"/>
            <w:hideMark/>
          </w:tcPr>
          <w:p w14:paraId="1E1D3E9F"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701" w:type="dxa"/>
            <w:tcBorders>
              <w:top w:val="nil"/>
              <w:left w:val="nil"/>
              <w:bottom w:val="single" w:sz="8" w:space="0" w:color="auto"/>
              <w:right w:val="single" w:sz="8" w:space="0" w:color="auto"/>
            </w:tcBorders>
            <w:shd w:val="clear" w:color="auto" w:fill="auto"/>
            <w:noWrap/>
            <w:vAlign w:val="center"/>
            <w:hideMark/>
          </w:tcPr>
          <w:p w14:paraId="62F82AAF"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658A5C01"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719EDF79" w14:textId="77777777" w:rsidR="00C1538B" w:rsidRDefault="00697FA2" w:rsidP="00C1538B">
      <w:pPr>
        <w:spacing w:after="0" w:line="240" w:lineRule="auto"/>
        <w:rPr>
          <w:b/>
          <w:bCs/>
          <w:lang w:val="es-ES"/>
        </w:rPr>
      </w:pPr>
      <w:r>
        <w:rPr>
          <w:b/>
          <w:bCs/>
          <w:lang w:val="es-ES"/>
        </w:rPr>
        <w:fldChar w:fldCharType="end"/>
      </w:r>
    </w:p>
    <w:p w14:paraId="0888EBB0" w14:textId="3BA986A3" w:rsidR="00694299" w:rsidRPr="00694299" w:rsidRDefault="00692DC8" w:rsidP="00C1538B">
      <w:pPr>
        <w:spacing w:after="0" w:line="240" w:lineRule="auto"/>
        <w:rPr>
          <w:b/>
          <w:bCs/>
          <w:lang w:val="es-ES"/>
        </w:rPr>
      </w:pPr>
      <w:r w:rsidRPr="00692DC8">
        <w:rPr>
          <w:b/>
          <w:bCs/>
          <w:lang w:val="es-ES"/>
        </w:rPr>
        <w:t>Revelación</w:t>
      </w:r>
      <w:r w:rsidRPr="00692DC8">
        <w:rPr>
          <w:lang w:val="es-ES"/>
        </w:rPr>
        <w:t xml:space="preserve">: </w:t>
      </w:r>
      <w:r w:rsidR="00697FA2">
        <w:rPr>
          <w:rFonts w:eastAsia="Times New Roman" w:cs="Calibri"/>
          <w:color w:val="000000"/>
        </w:rPr>
        <w:fldChar w:fldCharType="begin"/>
      </w:r>
      <w:r w:rsidR="00697FA2">
        <w:rPr>
          <w:rFonts w:eastAsia="Times New Roman" w:cs="Calibri"/>
          <w:color w:val="000000"/>
        </w:rPr>
        <w:instrText xml:space="preserve"> LINK </w:instrText>
      </w:r>
      <w:r w:rsidR="00323752">
        <w:rPr>
          <w:rFonts w:eastAsia="Times New Roman" w:cs="Calibri"/>
          <w:color w:val="000000"/>
        </w:rPr>
        <w:instrText xml:space="preserve">Excel.SheetMacroEnabled.12 "D:\\MORAVIA\\INSUMOS\\NOTAS 2024\\Formato_Notas_EEFF_Vinculadas_2024\\XXXXX_PXX_202X_Anexo_Estado_Notas_Contables_Vinculadas.xlsm" NOTAS_POR_CUENTA!F149C8 </w:instrText>
      </w:r>
      <w:r w:rsidR="00697FA2">
        <w:rPr>
          <w:rFonts w:eastAsia="Times New Roman" w:cs="Calibri"/>
          <w:color w:val="000000"/>
        </w:rPr>
        <w:instrText xml:space="preserve">\a \f 5 \h  \* MERGEFORMAT </w:instrText>
      </w:r>
      <w:r w:rsidR="00697FA2">
        <w:rPr>
          <w:rFonts w:eastAsia="Times New Roman" w:cs="Calibri"/>
          <w:color w:val="000000"/>
        </w:rPr>
        <w:fldChar w:fldCharType="separate"/>
      </w:r>
    </w:p>
    <w:p w14:paraId="72C92A81" w14:textId="77777777" w:rsidR="00C1538B" w:rsidRDefault="00C1538B" w:rsidP="00C1538B">
      <w:pPr>
        <w:spacing w:after="0" w:line="240" w:lineRule="auto"/>
        <w:rPr>
          <w:rFonts w:eastAsia="Times New Roman" w:cs="Calibri"/>
          <w:color w:val="000000"/>
        </w:rPr>
      </w:pPr>
    </w:p>
    <w:p w14:paraId="42D5720A" w14:textId="76F01100" w:rsidR="00694299" w:rsidRPr="00694299" w:rsidRDefault="00694299" w:rsidP="00B709CA">
      <w:pPr>
        <w:spacing w:line="240" w:lineRule="auto"/>
        <w:rPr>
          <w:rFonts w:eastAsia="Times New Roman" w:cs="Calibri"/>
          <w:color w:val="000000"/>
        </w:rPr>
      </w:pPr>
      <w:r w:rsidRPr="00694299">
        <w:rPr>
          <w:rFonts w:eastAsia="Times New Roman" w:cs="Calibri"/>
          <w:color w:val="000000"/>
        </w:rPr>
        <w:t>La cuenta Deudas a largo plazo, representa el 0,00% del total del Pasivo, que comparado al periodo anterior genera una variación absoluta de 0 000,00 que corresponde a un Aumento del 0,00% de recursos disponibles.</w:t>
      </w:r>
    </w:p>
    <w:p w14:paraId="392B6CFC" w14:textId="3D9CBD1A" w:rsidR="00692DC8" w:rsidRPr="00692DC8" w:rsidRDefault="00697FA2" w:rsidP="00B709CA">
      <w:pPr>
        <w:spacing w:line="240" w:lineRule="auto"/>
        <w:rPr>
          <w:rFonts w:eastAsiaTheme="minorEastAsia" w:cs="Arial Narrow"/>
          <w:color w:val="000000"/>
        </w:rPr>
      </w:pPr>
      <w:r>
        <w:rPr>
          <w:rFonts w:eastAsia="Times New Roman" w:cs="Calibri"/>
          <w:color w:val="000000"/>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5A63C62" w14:textId="77777777" w:rsidR="00692DC8" w:rsidRDefault="00692DC8" w:rsidP="003D12E6">
      <w:pPr>
        <w:rPr>
          <w:szCs w:val="24"/>
        </w:rPr>
      </w:pPr>
    </w:p>
    <w:p w14:paraId="4FC448E0" w14:textId="77777777" w:rsidR="00C1538B" w:rsidRPr="00692DC8" w:rsidRDefault="00C1538B" w:rsidP="003D12E6">
      <w:pPr>
        <w:rPr>
          <w:szCs w:val="24"/>
        </w:rPr>
      </w:pPr>
    </w:p>
    <w:p w14:paraId="55672662" w14:textId="77777777" w:rsidR="00692DC8" w:rsidRPr="00692DC8" w:rsidRDefault="00692DC8" w:rsidP="005012F5">
      <w:pPr>
        <w:pStyle w:val="Ttulo4"/>
        <w:spacing w:after="240"/>
        <w:rPr>
          <w:rFonts w:eastAsia="Times New Roman"/>
        </w:rPr>
      </w:pPr>
      <w:bookmarkStart w:id="369" w:name="_Toc13041150"/>
      <w:bookmarkStart w:id="370" w:name="_Toc14345149"/>
      <w:bookmarkStart w:id="371" w:name="_Toc33601238"/>
      <w:bookmarkStart w:id="372" w:name="_Toc82768944"/>
      <w:bookmarkStart w:id="373" w:name="_Toc173245247"/>
      <w:r w:rsidRPr="00692DC8">
        <w:rPr>
          <w:rFonts w:eastAsia="Times New Roman"/>
        </w:rPr>
        <w:t>NOTA N° 20</w:t>
      </w:r>
      <w:bookmarkEnd w:id="369"/>
      <w:bookmarkEnd w:id="370"/>
      <w:bookmarkEnd w:id="371"/>
      <w:bookmarkEnd w:id="372"/>
      <w:bookmarkEnd w:id="373"/>
    </w:p>
    <w:p w14:paraId="0433D832" w14:textId="77777777" w:rsidR="00694299" w:rsidRDefault="00692DC8" w:rsidP="00B3617E">
      <w:pPr>
        <w:spacing w:after="120" w:line="240" w:lineRule="auto"/>
        <w:rPr>
          <w:rFonts w:asciiTheme="minorHAnsi" w:hAnsiTheme="minorHAnsi"/>
          <w:sz w:val="22"/>
        </w:rPr>
      </w:pPr>
      <w:bookmarkStart w:id="374" w:name="_Toc82768945"/>
      <w:r w:rsidRPr="00692DC8">
        <w:rPr>
          <w:rFonts w:eastAsia="Times New Roman"/>
        </w:rPr>
        <w:t>Endeudamiento público a largo plazo</w:t>
      </w:r>
      <w:bookmarkEnd w:id="374"/>
      <w:r w:rsidR="00F06B1F">
        <w:rPr>
          <w:rFonts w:eastAsiaTheme="majorEastAsia" w:cstheme="majorBidi"/>
          <w:iCs/>
          <w:lang w:val="es-ES"/>
        </w:rPr>
        <w:fldChar w:fldCharType="begin"/>
      </w:r>
      <w:r w:rsidR="00F06B1F">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NOTAS_POR_CUENTA!F151C1:F153C6 </w:instrText>
      </w:r>
      <w:r w:rsidR="00F06B1F">
        <w:rPr>
          <w:lang w:val="es-ES"/>
        </w:rPr>
        <w:instrText xml:space="preserve">\a \f 4 \h </w:instrText>
      </w:r>
      <w:r w:rsidR="00F06B1F">
        <w:rPr>
          <w:b/>
          <w:lang w:val="es-ES"/>
        </w:rPr>
        <w:fldChar w:fldCharType="separate"/>
      </w:r>
    </w:p>
    <w:p w14:paraId="76C1B4DA" w14:textId="43AF8DDF" w:rsidR="00C572A3" w:rsidRDefault="00F06B1F" w:rsidP="00B709CA">
      <w:pPr>
        <w:spacing w:line="240" w:lineRule="auto"/>
        <w:rPr>
          <w:rFonts w:asciiTheme="minorHAnsi" w:hAnsiTheme="minorHAnsi"/>
          <w:sz w:val="22"/>
        </w:rPr>
      </w:pPr>
      <w:r>
        <w:rPr>
          <w:b/>
          <w:lang w:val="es-ES"/>
        </w:rPr>
        <w:fldChar w:fldCharType="end"/>
      </w:r>
      <w:r w:rsidR="00B3617E">
        <w:rPr>
          <w:b/>
          <w:lang w:val="es-ES"/>
        </w:rPr>
        <w:fldChar w:fldCharType="begin"/>
      </w:r>
      <w:r w:rsidR="00B3617E">
        <w:rPr>
          <w:b/>
          <w:lang w:val="es-ES"/>
        </w:rPr>
        <w:instrText xml:space="preserve"> LINK </w:instrText>
      </w:r>
      <w:r w:rsidR="0068177A">
        <w:rPr>
          <w:b/>
          <w:lang w:val="es-ES"/>
        </w:rPr>
        <w:instrText xml:space="preserve">Excel.SheetMacroEnabled.12 "C:\\Users\\arges\\OneDrive\\Desktop\\Municipalidades\\Buenos Aires\\Cierre Junio 2024\\Notas Contables\\15603_T02_2024_Anexo_Estado_Notas_Contables_Vinculadas.xlsm" NOTAS_POR_CUENTA!R151C1:R153C6 </w:instrText>
      </w:r>
      <w:r w:rsidR="00B3617E">
        <w:rPr>
          <w:b/>
          <w:lang w:val="es-ES"/>
        </w:rPr>
        <w:instrText xml:space="preserve">\a \f 4 \h </w:instrText>
      </w:r>
      <w:r w:rsidR="00B3617E">
        <w:rPr>
          <w:b/>
          <w:lang w:val="es-ES"/>
        </w:rPr>
        <w:fldChar w:fldCharType="separate"/>
      </w:r>
    </w:p>
    <w:tbl>
      <w:tblPr>
        <w:tblW w:w="10080" w:type="dxa"/>
        <w:tblLook w:val="04A0" w:firstRow="1" w:lastRow="0" w:firstColumn="1" w:lastColumn="0" w:noHBand="0" w:noVBand="1"/>
      </w:tblPr>
      <w:tblGrid>
        <w:gridCol w:w="717"/>
        <w:gridCol w:w="3339"/>
        <w:gridCol w:w="544"/>
        <w:gridCol w:w="2200"/>
        <w:gridCol w:w="2200"/>
        <w:gridCol w:w="1080"/>
      </w:tblGrid>
      <w:tr w:rsidR="00C572A3" w:rsidRPr="00C572A3" w14:paraId="5DED849C" w14:textId="77777777" w:rsidTr="00C572A3">
        <w:trPr>
          <w:divId w:val="1017848699"/>
          <w:trHeight w:val="320"/>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68F60A2" w14:textId="77724B5A" w:rsidR="00C572A3" w:rsidRPr="00C572A3" w:rsidRDefault="00C572A3" w:rsidP="00C572A3">
            <w:pP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57ADB26"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Descripción</w:t>
            </w:r>
          </w:p>
        </w:tc>
        <w:tc>
          <w:tcPr>
            <w:tcW w:w="5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53638C4"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Nota</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C2C899F"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Actual </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3A89178"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Anterior </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04E19A6A"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Diferencia </w:t>
            </w:r>
          </w:p>
        </w:tc>
      </w:tr>
      <w:tr w:rsidR="00C572A3" w:rsidRPr="00C572A3" w14:paraId="06EE03D2" w14:textId="77777777" w:rsidTr="00C572A3">
        <w:trPr>
          <w:divId w:val="1017848699"/>
          <w:trHeight w:val="320"/>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7C054609"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715CC0A7"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14:paraId="0E57AA67"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5430DBE7"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71710661"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1080" w:type="dxa"/>
            <w:tcBorders>
              <w:top w:val="nil"/>
              <w:left w:val="nil"/>
              <w:bottom w:val="single" w:sz="8" w:space="0" w:color="auto"/>
              <w:right w:val="single" w:sz="8" w:space="0" w:color="auto"/>
            </w:tcBorders>
            <w:shd w:val="clear" w:color="000000" w:fill="366092"/>
            <w:noWrap/>
            <w:vAlign w:val="center"/>
            <w:hideMark/>
          </w:tcPr>
          <w:p w14:paraId="180EB2CC" w14:textId="77777777" w:rsidR="00C572A3" w:rsidRPr="00C572A3" w:rsidRDefault="00C572A3" w:rsidP="00C572A3">
            <w:pPr>
              <w:spacing w:after="0" w:line="240" w:lineRule="auto"/>
              <w:jc w:val="center"/>
              <w:rPr>
                <w:rFonts w:eastAsia="Times New Roman" w:cs="Calibri"/>
                <w:color w:val="FFFFFF"/>
                <w:sz w:val="18"/>
                <w:szCs w:val="18"/>
                <w:lang w:val="en-US"/>
              </w:rPr>
            </w:pPr>
            <w:r w:rsidRPr="00C572A3">
              <w:rPr>
                <w:rFonts w:eastAsia="Times New Roman" w:cs="Calibri"/>
                <w:color w:val="FFFFFF"/>
                <w:sz w:val="18"/>
                <w:szCs w:val="18"/>
                <w:lang w:val="en-US"/>
              </w:rPr>
              <w:t>%</w:t>
            </w:r>
          </w:p>
        </w:tc>
      </w:tr>
      <w:tr w:rsidR="00C572A3" w:rsidRPr="00C572A3" w14:paraId="5DD9A785" w14:textId="77777777" w:rsidTr="00C572A3">
        <w:trPr>
          <w:divId w:val="1017848699"/>
          <w:trHeight w:val="320"/>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74153C3E" w14:textId="77777777" w:rsidR="00C572A3" w:rsidRPr="00C572A3" w:rsidRDefault="00C572A3" w:rsidP="00C572A3">
            <w:pPr>
              <w:spacing w:after="0" w:line="240" w:lineRule="auto"/>
              <w:jc w:val="left"/>
              <w:rPr>
                <w:rFonts w:eastAsia="Times New Roman" w:cs="Calibri"/>
                <w:b/>
                <w:bCs/>
                <w:color w:val="000000"/>
                <w:sz w:val="18"/>
                <w:szCs w:val="18"/>
                <w:lang w:val="en-US"/>
              </w:rPr>
            </w:pPr>
            <w:r w:rsidRPr="00C572A3">
              <w:rPr>
                <w:rFonts w:eastAsia="Times New Roman" w:cs="Calibri"/>
                <w:b/>
                <w:bCs/>
                <w:color w:val="000000"/>
                <w:sz w:val="18"/>
                <w:szCs w:val="18"/>
                <w:lang w:val="en-US"/>
              </w:rPr>
              <w:t>2.2.2.</w:t>
            </w:r>
          </w:p>
        </w:tc>
        <w:tc>
          <w:tcPr>
            <w:tcW w:w="3380" w:type="dxa"/>
            <w:tcBorders>
              <w:top w:val="nil"/>
              <w:left w:val="nil"/>
              <w:bottom w:val="single" w:sz="8" w:space="0" w:color="auto"/>
              <w:right w:val="single" w:sz="8" w:space="0" w:color="auto"/>
            </w:tcBorders>
            <w:shd w:val="clear" w:color="auto" w:fill="auto"/>
            <w:vAlign w:val="center"/>
            <w:hideMark/>
          </w:tcPr>
          <w:p w14:paraId="6DB51620" w14:textId="77777777" w:rsidR="00C572A3" w:rsidRPr="00C572A3" w:rsidRDefault="00C572A3" w:rsidP="00C572A3">
            <w:pPr>
              <w:spacing w:after="0" w:line="240" w:lineRule="auto"/>
              <w:rPr>
                <w:rFonts w:eastAsia="Times New Roman" w:cs="Calibri"/>
                <w:b/>
                <w:bCs/>
                <w:color w:val="000000"/>
                <w:sz w:val="18"/>
                <w:szCs w:val="18"/>
              </w:rPr>
            </w:pPr>
            <w:r w:rsidRPr="00C572A3">
              <w:rPr>
                <w:rFonts w:eastAsia="Times New Roman" w:cs="Calibri"/>
                <w:b/>
                <w:bCs/>
                <w:color w:val="000000"/>
                <w:sz w:val="18"/>
                <w:szCs w:val="18"/>
              </w:rPr>
              <w:t>Endeudamiento público a largo plazo</w:t>
            </w:r>
          </w:p>
        </w:tc>
        <w:tc>
          <w:tcPr>
            <w:tcW w:w="520" w:type="dxa"/>
            <w:tcBorders>
              <w:top w:val="nil"/>
              <w:left w:val="nil"/>
              <w:bottom w:val="single" w:sz="8" w:space="0" w:color="auto"/>
              <w:right w:val="single" w:sz="8" w:space="0" w:color="auto"/>
            </w:tcBorders>
            <w:shd w:val="clear" w:color="auto" w:fill="auto"/>
            <w:noWrap/>
            <w:vAlign w:val="center"/>
            <w:hideMark/>
          </w:tcPr>
          <w:p w14:paraId="571EB05A"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20</w:t>
            </w:r>
          </w:p>
        </w:tc>
        <w:tc>
          <w:tcPr>
            <w:tcW w:w="2200" w:type="dxa"/>
            <w:tcBorders>
              <w:top w:val="nil"/>
              <w:left w:val="nil"/>
              <w:bottom w:val="single" w:sz="8" w:space="0" w:color="auto"/>
              <w:right w:val="single" w:sz="8" w:space="0" w:color="auto"/>
            </w:tcBorders>
            <w:shd w:val="clear" w:color="auto" w:fill="auto"/>
            <w:noWrap/>
            <w:vAlign w:val="center"/>
            <w:hideMark/>
          </w:tcPr>
          <w:p w14:paraId="4F6047BC"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1 098 005,36 </w:t>
            </w:r>
          </w:p>
        </w:tc>
        <w:tc>
          <w:tcPr>
            <w:tcW w:w="2200" w:type="dxa"/>
            <w:tcBorders>
              <w:top w:val="nil"/>
              <w:left w:val="nil"/>
              <w:bottom w:val="single" w:sz="8" w:space="0" w:color="auto"/>
              <w:right w:val="single" w:sz="8" w:space="0" w:color="auto"/>
            </w:tcBorders>
            <w:shd w:val="clear" w:color="auto" w:fill="auto"/>
            <w:noWrap/>
            <w:vAlign w:val="center"/>
            <w:hideMark/>
          </w:tcPr>
          <w:p w14:paraId="3BACC55F"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1 153 101,09 </w:t>
            </w:r>
          </w:p>
        </w:tc>
        <w:tc>
          <w:tcPr>
            <w:tcW w:w="1080" w:type="dxa"/>
            <w:tcBorders>
              <w:top w:val="nil"/>
              <w:left w:val="nil"/>
              <w:bottom w:val="single" w:sz="8" w:space="0" w:color="auto"/>
              <w:right w:val="single" w:sz="8" w:space="0" w:color="auto"/>
            </w:tcBorders>
            <w:shd w:val="clear" w:color="auto" w:fill="auto"/>
            <w:noWrap/>
            <w:vAlign w:val="center"/>
            <w:hideMark/>
          </w:tcPr>
          <w:p w14:paraId="6E1CB1B0"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-4,78%</w:t>
            </w:r>
          </w:p>
        </w:tc>
      </w:tr>
    </w:tbl>
    <w:p w14:paraId="57964939" w14:textId="0A6D651D" w:rsidR="00694299" w:rsidRPr="00B709CA" w:rsidRDefault="00B3617E" w:rsidP="00B709CA">
      <w:pPr>
        <w:spacing w:line="240" w:lineRule="auto"/>
        <w:rPr>
          <w:rFonts w:eastAsia="Times New Roman" w:cs="Calibri"/>
          <w:color w:val="000000"/>
          <w:lang w:eastAsia="es-CR"/>
        </w:rPr>
      </w:pPr>
      <w:r>
        <w:rPr>
          <w:b/>
          <w:lang w:val="es-ES"/>
        </w:rPr>
        <w:fldChar w:fldCharType="end"/>
      </w:r>
      <w:r w:rsidR="00692DC8" w:rsidRPr="003421AB">
        <w:rPr>
          <w:b/>
          <w:lang w:val="es-ES"/>
        </w:rPr>
        <w:t xml:space="preserve">Revelación: </w:t>
      </w:r>
      <w:r w:rsidR="00F06B1F">
        <w:rPr>
          <w:rFonts w:eastAsia="Times New Roman" w:cs="Calibri"/>
          <w:color w:val="000000"/>
          <w:lang w:eastAsia="es-CR"/>
        </w:rPr>
        <w:fldChar w:fldCharType="begin"/>
      </w:r>
      <w:r w:rsidR="00F06B1F">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NOTAS_POR_CUENTA!F153C8 </w:instrText>
      </w:r>
      <w:r w:rsidR="00F06B1F">
        <w:rPr>
          <w:rFonts w:eastAsia="Times New Roman" w:cs="Calibri"/>
          <w:color w:val="000000"/>
          <w:lang w:eastAsia="es-CR"/>
        </w:rPr>
        <w:instrText xml:space="preserve">\a \f 5 \h  \* MERGEFORMAT </w:instrText>
      </w:r>
      <w:r w:rsidR="00F06B1F">
        <w:rPr>
          <w:rFonts w:eastAsia="Times New Roman" w:cs="Calibri"/>
          <w:color w:val="000000"/>
          <w:lang w:eastAsia="es-CR"/>
        </w:rPr>
        <w:fldChar w:fldCharType="separate"/>
      </w:r>
    </w:p>
    <w:p w14:paraId="5B0D8ADC" w14:textId="516EF6BD" w:rsidR="00694299" w:rsidRPr="00694299" w:rsidRDefault="00694299" w:rsidP="00B709CA">
      <w:pPr>
        <w:spacing w:line="240" w:lineRule="auto"/>
        <w:rPr>
          <w:rFonts w:eastAsia="Times New Roman" w:cs="Calibri"/>
          <w:color w:val="000000"/>
          <w:lang w:eastAsia="es-CR"/>
        </w:rPr>
      </w:pPr>
      <w:r w:rsidRPr="00694299">
        <w:rPr>
          <w:rFonts w:eastAsia="Times New Roman" w:cs="Calibri"/>
          <w:color w:val="000000"/>
          <w:lang w:eastAsia="es-CR"/>
        </w:rPr>
        <w:t>La cuenta Endeudamiento público a largo plazo, representa el 56,</w:t>
      </w:r>
      <w:r w:rsidR="00473A78">
        <w:rPr>
          <w:rFonts w:eastAsia="Times New Roman" w:cs="Calibri"/>
          <w:color w:val="000000"/>
          <w:lang w:eastAsia="es-CR"/>
        </w:rPr>
        <w:t>71</w:t>
      </w:r>
      <w:r w:rsidRPr="00694299">
        <w:rPr>
          <w:rFonts w:eastAsia="Times New Roman" w:cs="Calibri"/>
          <w:color w:val="000000"/>
          <w:lang w:eastAsia="es-CR"/>
        </w:rPr>
        <w:t xml:space="preserve">% del total del Pasivo, que comparado al periodo anterior genera una variación absoluta de </w:t>
      </w:r>
      <w:r w:rsidR="00473A78" w:rsidRPr="00473A78">
        <w:rPr>
          <w:rFonts w:eastAsia="Times New Roman" w:cs="Calibri"/>
          <w:color w:val="000000"/>
          <w:lang w:eastAsia="es-CR"/>
        </w:rPr>
        <w:t>-55 095,73</w:t>
      </w:r>
      <w:r w:rsidRPr="00694299">
        <w:rPr>
          <w:rFonts w:eastAsia="Times New Roman" w:cs="Calibri"/>
          <w:color w:val="000000"/>
          <w:lang w:eastAsia="es-CR"/>
        </w:rPr>
        <w:t xml:space="preserve"> que corresponde a un Disminución del -</w:t>
      </w:r>
      <w:r w:rsidR="00473A78">
        <w:rPr>
          <w:rFonts w:eastAsia="Times New Roman" w:cs="Calibri"/>
          <w:color w:val="000000"/>
          <w:lang w:eastAsia="es-CR"/>
        </w:rPr>
        <w:t>4</w:t>
      </w:r>
      <w:r w:rsidRPr="00694299">
        <w:rPr>
          <w:rFonts w:eastAsia="Times New Roman" w:cs="Calibri"/>
          <w:color w:val="000000"/>
          <w:lang w:eastAsia="es-CR"/>
        </w:rPr>
        <w:t>,</w:t>
      </w:r>
      <w:r w:rsidR="00473A78">
        <w:rPr>
          <w:rFonts w:eastAsia="Times New Roman" w:cs="Calibri"/>
          <w:color w:val="000000"/>
          <w:lang w:eastAsia="es-CR"/>
        </w:rPr>
        <w:t>78</w:t>
      </w:r>
      <w:r w:rsidRPr="00694299">
        <w:rPr>
          <w:rFonts w:eastAsia="Times New Roman" w:cs="Calibri"/>
          <w:color w:val="000000"/>
          <w:lang w:eastAsia="es-CR"/>
        </w:rPr>
        <w:t>% de recursos disponibles.</w:t>
      </w:r>
    </w:p>
    <w:p w14:paraId="0876D75B" w14:textId="3A8B2569" w:rsidR="00692DC8" w:rsidRPr="00B709CA" w:rsidRDefault="00F06B1F" w:rsidP="00B709CA">
      <w:pPr>
        <w:spacing w:line="240" w:lineRule="auto"/>
        <w:rPr>
          <w:rFonts w:eastAsia="Times New Roman" w:cs="Calibri"/>
          <w:color w:val="000000"/>
          <w:lang w:eastAsia="es-CR"/>
        </w:rPr>
      </w:pPr>
      <w:r>
        <w:rPr>
          <w:rFonts w:eastAsia="Times New Roman" w:cs="Calibri"/>
          <w:color w:val="000000"/>
          <w:lang w:eastAsia="es-CR"/>
        </w:rPr>
        <w:fldChar w:fldCharType="end"/>
      </w:r>
      <w:r w:rsidR="00692DC8" w:rsidRPr="00B709CA">
        <w:rPr>
          <w:rFonts w:eastAsia="Times New Roman" w:cs="Calibri"/>
          <w:color w:val="000000"/>
          <w:lang w:eastAsia="es-CR"/>
        </w:rPr>
        <w:t xml:space="preserve">Las variaciones de la cuenta son producto de (Indicar la razón de las variaciones de un periodo a otro): </w:t>
      </w:r>
    </w:p>
    <w:p w14:paraId="51FA0FC0" w14:textId="7F93A981" w:rsidR="00606715" w:rsidRDefault="00606715" w:rsidP="00606715">
      <w:pPr>
        <w:spacing w:after="0" w:line="240" w:lineRule="auto"/>
        <w:rPr>
          <w:rFonts w:eastAsiaTheme="minorEastAsia" w:cs="Arial Narrow"/>
          <w:color w:val="000000"/>
          <w:lang w:eastAsia="es-CR"/>
        </w:rPr>
      </w:pPr>
      <w:r>
        <w:rPr>
          <w:rFonts w:eastAsiaTheme="minorEastAsia" w:cs="Arial Narrow"/>
          <w:color w:val="000000"/>
          <w:lang w:eastAsia="es-CR"/>
        </w:rPr>
        <w:t xml:space="preserve">Al </w:t>
      </w:r>
      <w:r w:rsidR="00D470B6">
        <w:rPr>
          <w:rFonts w:eastAsiaTheme="minorEastAsia" w:cs="Arial Narrow"/>
          <w:color w:val="000000"/>
          <w:lang w:eastAsia="es-CR"/>
        </w:rPr>
        <w:t>30 de junio</w:t>
      </w:r>
      <w:r>
        <w:rPr>
          <w:rFonts w:eastAsiaTheme="minorEastAsia" w:cs="Arial Narrow"/>
          <w:color w:val="000000"/>
          <w:lang w:eastAsia="es-CR"/>
        </w:rPr>
        <w:t xml:space="preserve"> de 2023 se habían recibido desembolsos del IFAM por la suma de </w:t>
      </w:r>
      <w:r w:rsidRPr="008B2DF1">
        <w:rPr>
          <w:rFonts w:ascii="Arial" w:eastAsiaTheme="minorEastAsia" w:hAnsi="Arial" w:cs="Arial"/>
          <w:color w:val="000000"/>
          <w:lang w:eastAsia="es-CR"/>
        </w:rPr>
        <w:t>₡</w:t>
      </w:r>
      <w:r w:rsidRPr="008B2DF1">
        <w:rPr>
          <w:rFonts w:eastAsiaTheme="minorEastAsia" w:cs="Arial Narrow"/>
          <w:color w:val="000000"/>
          <w:lang w:eastAsia="es-CR"/>
        </w:rPr>
        <w:t>1 994 017,51</w:t>
      </w:r>
      <w:r>
        <w:rPr>
          <w:rFonts w:eastAsiaTheme="minorEastAsia" w:cs="Arial Narrow"/>
          <w:color w:val="000000"/>
          <w:lang w:eastAsia="es-CR"/>
        </w:rPr>
        <w:t xml:space="preserve">miles mientras que al </w:t>
      </w:r>
      <w:r w:rsidR="00D470B6">
        <w:rPr>
          <w:rFonts w:eastAsiaTheme="minorEastAsia" w:cs="Arial Narrow"/>
          <w:color w:val="000000"/>
          <w:lang w:eastAsia="es-CR"/>
        </w:rPr>
        <w:t>30 de junio</w:t>
      </w:r>
      <w:r>
        <w:rPr>
          <w:rFonts w:eastAsiaTheme="minorEastAsia" w:cs="Arial Narrow"/>
          <w:color w:val="000000"/>
          <w:lang w:eastAsia="es-CR"/>
        </w:rPr>
        <w:t xml:space="preserve"> de 2024 el IFAM ha desembolsado </w:t>
      </w:r>
      <w:r w:rsidRPr="008B2DF1">
        <w:rPr>
          <w:rFonts w:ascii="Arial" w:eastAsiaTheme="minorEastAsia" w:hAnsi="Arial" w:cs="Arial"/>
          <w:color w:val="000000"/>
          <w:lang w:eastAsia="es-CR"/>
        </w:rPr>
        <w:t>₡</w:t>
      </w:r>
      <w:r w:rsidR="0085078C">
        <w:rPr>
          <w:rFonts w:eastAsiaTheme="minorEastAsia" w:cs="Arial Narrow"/>
          <w:color w:val="000000"/>
          <w:lang w:eastAsia="es-CR"/>
        </w:rPr>
        <w:t>2.453.135.07</w:t>
      </w:r>
      <w:r>
        <w:rPr>
          <w:rFonts w:eastAsiaTheme="minorEastAsia" w:cs="Arial Narrow"/>
          <w:color w:val="000000"/>
          <w:lang w:eastAsia="es-CR"/>
        </w:rPr>
        <w:t xml:space="preserve"> miles</w:t>
      </w:r>
      <w:r>
        <w:rPr>
          <w:rFonts w:cs="Arial"/>
          <w:lang w:eastAsia="es-CR"/>
        </w:rPr>
        <w:t xml:space="preserve">, es decir </w:t>
      </w:r>
      <w:r w:rsidRPr="00E66917">
        <w:rPr>
          <w:rFonts w:cs="Arial"/>
          <w:lang w:eastAsia="es-CR"/>
        </w:rPr>
        <w:t>¢</w:t>
      </w:r>
      <w:r w:rsidR="0085078C">
        <w:rPr>
          <w:rFonts w:cs="Arial"/>
          <w:lang w:eastAsia="es-CR"/>
        </w:rPr>
        <w:t>459.117.56</w:t>
      </w:r>
      <w:r>
        <w:rPr>
          <w:rFonts w:cs="Arial"/>
          <w:lang w:eastAsia="es-CR"/>
        </w:rPr>
        <w:t xml:space="preserve"> </w:t>
      </w:r>
      <w:r w:rsidRPr="00E66917">
        <w:rPr>
          <w:rFonts w:cs="Arial"/>
          <w:lang w:eastAsia="es-CR"/>
        </w:rPr>
        <w:t>miles</w:t>
      </w:r>
      <w:r>
        <w:rPr>
          <w:rFonts w:eastAsiaTheme="minorEastAsia" w:cs="Arial Narrow"/>
          <w:color w:val="000000"/>
          <w:lang w:eastAsia="es-CR"/>
        </w:rPr>
        <w:t xml:space="preserve"> adicionales en relación con el </w:t>
      </w:r>
      <w:r w:rsidR="00D470B6">
        <w:rPr>
          <w:rFonts w:eastAsiaTheme="minorEastAsia" w:cs="Arial Narrow"/>
          <w:color w:val="000000"/>
          <w:lang w:eastAsia="es-CR"/>
        </w:rPr>
        <w:t>30 de junio</w:t>
      </w:r>
      <w:r w:rsidRPr="00B34ED9">
        <w:rPr>
          <w:rFonts w:eastAsiaTheme="minorEastAsia" w:cs="Arial Narrow"/>
          <w:color w:val="000000"/>
          <w:lang w:eastAsia="es-CR"/>
        </w:rPr>
        <w:t xml:space="preserve"> de </w:t>
      </w:r>
      <w:r>
        <w:rPr>
          <w:rFonts w:eastAsiaTheme="minorEastAsia" w:cs="Arial Narrow"/>
          <w:color w:val="000000"/>
          <w:lang w:eastAsia="es-CR"/>
        </w:rPr>
        <w:t>2023.</w:t>
      </w:r>
    </w:p>
    <w:p w14:paraId="013B2ACC" w14:textId="77777777" w:rsidR="00606715" w:rsidRPr="00B34ED9" w:rsidRDefault="00606715" w:rsidP="00606715">
      <w:pPr>
        <w:spacing w:after="0" w:line="240" w:lineRule="auto"/>
        <w:rPr>
          <w:rFonts w:eastAsiaTheme="minorEastAsia" w:cs="Arial Narrow"/>
          <w:color w:val="000000"/>
          <w:lang w:eastAsia="es-CR"/>
        </w:rPr>
      </w:pPr>
    </w:p>
    <w:p w14:paraId="55E572C1" w14:textId="77777777" w:rsidR="00606715" w:rsidRPr="00A91674" w:rsidRDefault="00606715" w:rsidP="00606715">
      <w:pPr>
        <w:spacing w:after="0" w:line="240" w:lineRule="auto"/>
        <w:rPr>
          <w:rFonts w:eastAsiaTheme="minorEastAsia" w:cs="Arial Narrow"/>
          <w:color w:val="000000"/>
          <w:lang w:eastAsia="es-CR"/>
        </w:rPr>
      </w:pPr>
      <w:r>
        <w:rPr>
          <w:rFonts w:eastAsiaTheme="minorEastAsia" w:cs="Arial Narrow"/>
          <w:color w:val="000000"/>
          <w:lang w:eastAsia="es-CR"/>
        </w:rPr>
        <w:t>Se debe reiterar que e</w:t>
      </w:r>
      <w:r w:rsidRPr="00A91674">
        <w:rPr>
          <w:rFonts w:eastAsiaTheme="minorEastAsia" w:cs="Arial Narrow"/>
          <w:color w:val="000000"/>
          <w:lang w:eastAsia="es-CR"/>
        </w:rPr>
        <w:t xml:space="preserve">l saldo que presenta la cuenta Endeudamiento </w:t>
      </w:r>
      <w:r>
        <w:rPr>
          <w:rFonts w:eastAsiaTheme="minorEastAsia" w:cs="Arial Narrow"/>
          <w:color w:val="000000"/>
          <w:lang w:eastAsia="es-CR"/>
        </w:rPr>
        <w:t>P</w:t>
      </w:r>
      <w:r w:rsidRPr="00A91674">
        <w:rPr>
          <w:rFonts w:eastAsiaTheme="minorEastAsia" w:cs="Arial Narrow"/>
          <w:color w:val="000000"/>
          <w:lang w:eastAsia="es-CR"/>
        </w:rPr>
        <w:t>úblico a largo plazo corresponde al saldo a largo plazo del Préstamo que la Municipalidad contrajo con el IFAM, según Contrato de Préstamo entre IFAM y La Municipalidad de Buenos Aires, Nº 6-CVL-1457-0718 para el Mejoramiento de la Red Vial Cantonal y Compra de Maquinaría, por la suma total de ¢3.563.088.496,48, a un plazo de 7 años, amortizable en 7 años en cuotas trimestrales (28 trimestres) calculada contra desembolsos girados, se establece una comisión de administración ¢17.815.442,48 (correspondiente al 0,50 % sobre el monto total del crédito que fue rebajado en el primer desembolso), la tasa de interés es del 7% anual (fijo sobre saldos), interés de mora del 2% mensual sobre cuotas vencidas, como garantías la Municipalidad ofreció las Rentas Municipales y fondos de las leyes 8114 y 9329.</w:t>
      </w:r>
    </w:p>
    <w:p w14:paraId="5E703B1E" w14:textId="77777777" w:rsidR="00606715" w:rsidRPr="00A91674" w:rsidRDefault="00606715" w:rsidP="00606715">
      <w:pPr>
        <w:spacing w:after="0" w:line="240" w:lineRule="auto"/>
        <w:rPr>
          <w:rFonts w:eastAsiaTheme="minorEastAsia" w:cs="Arial Narrow"/>
          <w:color w:val="000000"/>
          <w:lang w:eastAsia="es-CR"/>
        </w:rPr>
      </w:pPr>
    </w:p>
    <w:p w14:paraId="1298CD83" w14:textId="6BA05481" w:rsidR="00606715" w:rsidRDefault="00606715" w:rsidP="00606715">
      <w:pPr>
        <w:spacing w:after="0" w:line="240" w:lineRule="auto"/>
        <w:rPr>
          <w:rFonts w:eastAsiaTheme="minorEastAsia" w:cs="Arial Narrow"/>
          <w:color w:val="000000"/>
          <w:lang w:eastAsia="es-CR"/>
        </w:rPr>
      </w:pPr>
      <w:r w:rsidRPr="00A91674">
        <w:rPr>
          <w:rFonts w:eastAsiaTheme="minorEastAsia" w:cs="Arial Narrow"/>
          <w:color w:val="000000"/>
          <w:lang w:eastAsia="es-CR"/>
        </w:rPr>
        <w:t xml:space="preserve">El préstamo fue aprobado por el Concejo Municipal de Buenos Aires en la Sesión Ordinaria Nº 132-2018 del día 19 de noviembre de 2018 y suscrito el 19 de enero de 2019, Al </w:t>
      </w:r>
      <w:r w:rsidR="00D470B6">
        <w:rPr>
          <w:rFonts w:eastAsiaTheme="minorEastAsia" w:cs="Arial Narrow"/>
          <w:color w:val="000000"/>
          <w:lang w:eastAsia="es-CR"/>
        </w:rPr>
        <w:t>30 de junio</w:t>
      </w:r>
      <w:r w:rsidRPr="00A91674">
        <w:rPr>
          <w:rFonts w:eastAsiaTheme="minorEastAsia" w:cs="Arial Narrow"/>
          <w:color w:val="000000"/>
          <w:lang w:eastAsia="es-CR"/>
        </w:rPr>
        <w:t xml:space="preserve"> de </w:t>
      </w:r>
      <w:r>
        <w:rPr>
          <w:rFonts w:eastAsiaTheme="minorEastAsia" w:cs="Arial Narrow"/>
          <w:color w:val="000000"/>
          <w:lang w:eastAsia="es-CR"/>
        </w:rPr>
        <w:t>2024</w:t>
      </w:r>
      <w:r w:rsidRPr="00A91674">
        <w:rPr>
          <w:rFonts w:eastAsiaTheme="minorEastAsia" w:cs="Arial Narrow"/>
          <w:color w:val="000000"/>
          <w:lang w:eastAsia="es-CR"/>
        </w:rPr>
        <w:t xml:space="preserve"> el IFAM ha desembolsado la suma de </w:t>
      </w:r>
      <w:r w:rsidRPr="00606715">
        <w:rPr>
          <w:rFonts w:ascii="Arial" w:eastAsiaTheme="minorEastAsia" w:hAnsi="Arial" w:cs="Arial"/>
          <w:color w:val="000000"/>
          <w:lang w:eastAsia="es-CR"/>
        </w:rPr>
        <w:t>₡</w:t>
      </w:r>
      <w:r w:rsidR="0085078C">
        <w:rPr>
          <w:rFonts w:eastAsiaTheme="minorEastAsia" w:cs="Arial Narrow"/>
          <w:color w:val="000000"/>
          <w:lang w:eastAsia="es-CR"/>
        </w:rPr>
        <w:t>2 .453.135.07</w:t>
      </w:r>
      <w:r w:rsidRPr="00606715">
        <w:rPr>
          <w:rFonts w:eastAsiaTheme="minorEastAsia" w:cs="Arial Narrow"/>
          <w:color w:val="000000"/>
          <w:lang w:eastAsia="es-CR"/>
        </w:rPr>
        <w:t xml:space="preserve"> </w:t>
      </w:r>
      <w:r w:rsidRPr="00C24058">
        <w:rPr>
          <w:rFonts w:eastAsiaTheme="minorEastAsia" w:cs="Arial Narrow"/>
          <w:color w:val="000000"/>
          <w:lang w:eastAsia="es-CR"/>
        </w:rPr>
        <w:t>miles, de</w:t>
      </w:r>
      <w:r>
        <w:rPr>
          <w:rFonts w:eastAsiaTheme="minorEastAsia" w:cs="Arial Narrow"/>
          <w:color w:val="000000"/>
          <w:lang w:eastAsia="es-CR"/>
        </w:rPr>
        <w:t xml:space="preserve"> </w:t>
      </w:r>
      <w:r w:rsidRPr="00C24058">
        <w:rPr>
          <w:rFonts w:eastAsiaTheme="minorEastAsia" w:cs="Arial Narrow"/>
          <w:color w:val="000000"/>
          <w:lang w:eastAsia="es-CR"/>
        </w:rPr>
        <w:t>l</w:t>
      </w:r>
      <w:r>
        <w:rPr>
          <w:rFonts w:eastAsiaTheme="minorEastAsia" w:cs="Arial Narrow"/>
          <w:color w:val="000000"/>
          <w:lang w:eastAsia="es-CR"/>
        </w:rPr>
        <w:t>a</w:t>
      </w:r>
      <w:r w:rsidRPr="00C24058">
        <w:rPr>
          <w:rFonts w:eastAsiaTheme="minorEastAsia" w:cs="Arial Narrow"/>
          <w:color w:val="000000"/>
          <w:lang w:eastAsia="es-CR"/>
        </w:rPr>
        <w:t xml:space="preserve"> cual al </w:t>
      </w:r>
      <w:r w:rsidR="00D470B6">
        <w:rPr>
          <w:rFonts w:eastAsiaTheme="minorEastAsia" w:cs="Arial Narrow"/>
          <w:color w:val="000000"/>
          <w:lang w:eastAsia="es-CR"/>
        </w:rPr>
        <w:t>30 de junio</w:t>
      </w:r>
      <w:r>
        <w:rPr>
          <w:rFonts w:eastAsiaTheme="minorEastAsia" w:cs="Arial Narrow"/>
          <w:color w:val="000000"/>
          <w:lang w:eastAsia="es-CR"/>
        </w:rPr>
        <w:t xml:space="preserve"> de 2024</w:t>
      </w:r>
      <w:r w:rsidRPr="00C24058">
        <w:rPr>
          <w:rFonts w:eastAsiaTheme="minorEastAsia" w:cs="Arial Narrow"/>
          <w:color w:val="000000"/>
          <w:lang w:eastAsia="es-CR"/>
        </w:rPr>
        <w:t xml:space="preserve"> se adeuda la suma de </w:t>
      </w:r>
      <w:r w:rsidRPr="00606715">
        <w:rPr>
          <w:rFonts w:ascii="Arial" w:eastAsiaTheme="minorEastAsia" w:hAnsi="Arial" w:cs="Arial"/>
          <w:color w:val="000000"/>
          <w:lang w:eastAsia="es-CR"/>
        </w:rPr>
        <w:t>₡</w:t>
      </w:r>
      <w:r w:rsidR="00C1538B">
        <w:rPr>
          <w:rFonts w:eastAsiaTheme="minorEastAsia" w:cs="Arial Narrow"/>
          <w:color w:val="000000"/>
          <w:lang w:eastAsia="es-CR"/>
        </w:rPr>
        <w:t>1 583 551,96</w:t>
      </w:r>
      <w:r w:rsidR="00C1538B" w:rsidRPr="00F82106">
        <w:rPr>
          <w:rFonts w:eastAsiaTheme="minorEastAsia" w:cs="Arial Narrow"/>
          <w:color w:val="000000"/>
          <w:lang w:eastAsia="es-CR"/>
        </w:rPr>
        <w:t xml:space="preserve"> </w:t>
      </w:r>
      <w:r w:rsidRPr="00C24058">
        <w:rPr>
          <w:rFonts w:eastAsiaTheme="minorEastAsia" w:cs="Arial Narrow"/>
          <w:color w:val="000000"/>
          <w:lang w:eastAsia="es-CR"/>
        </w:rPr>
        <w:t>miles</w:t>
      </w:r>
      <w:r>
        <w:rPr>
          <w:rFonts w:eastAsiaTheme="minorEastAsia" w:cs="Arial Narrow"/>
          <w:color w:val="000000"/>
          <w:lang w:eastAsia="es-CR"/>
        </w:rPr>
        <w:t>,</w:t>
      </w:r>
      <w:r w:rsidRPr="00C24058">
        <w:rPr>
          <w:rFonts w:eastAsiaTheme="minorEastAsia" w:cs="Arial Narrow"/>
          <w:color w:val="000000"/>
          <w:lang w:eastAsia="es-CR"/>
        </w:rPr>
        <w:t xml:space="preserve"> </w:t>
      </w:r>
      <w:r w:rsidRPr="00C1538B">
        <w:rPr>
          <w:rFonts w:ascii="Arial" w:eastAsiaTheme="minorEastAsia" w:hAnsi="Arial" w:cs="Arial"/>
          <w:color w:val="000000"/>
          <w:lang w:eastAsia="es-CR"/>
        </w:rPr>
        <w:t>₡</w:t>
      </w:r>
      <w:r w:rsidR="00C1538B" w:rsidRPr="00C1538B">
        <w:rPr>
          <w:rFonts w:eastAsiaTheme="minorEastAsia" w:cs="Arial Narrow"/>
          <w:color w:val="000000"/>
          <w:lang w:eastAsia="es-CR"/>
        </w:rPr>
        <w:t>1 098 005,36</w:t>
      </w:r>
      <w:r w:rsidR="00C1538B">
        <w:rPr>
          <w:rFonts w:eastAsiaTheme="minorEastAsia" w:cs="Arial Narrow"/>
          <w:color w:val="000000"/>
          <w:lang w:eastAsia="es-CR"/>
        </w:rPr>
        <w:t xml:space="preserve"> </w:t>
      </w:r>
      <w:r>
        <w:rPr>
          <w:rFonts w:eastAsiaTheme="minorEastAsia" w:cs="Arial Narrow"/>
          <w:color w:val="000000"/>
          <w:lang w:eastAsia="es-CR"/>
        </w:rPr>
        <w:t xml:space="preserve">miles </w:t>
      </w:r>
      <w:r w:rsidRPr="00C24058">
        <w:rPr>
          <w:rFonts w:eastAsiaTheme="minorEastAsia" w:cs="Arial Narrow"/>
          <w:color w:val="000000"/>
          <w:lang w:eastAsia="es-CR"/>
        </w:rPr>
        <w:t xml:space="preserve">corresponden al largo plazo y </w:t>
      </w:r>
      <w:r w:rsidRPr="00C24058">
        <w:rPr>
          <w:rFonts w:ascii="Arial" w:eastAsiaTheme="minorEastAsia" w:hAnsi="Arial" w:cs="Arial"/>
          <w:color w:val="000000"/>
          <w:lang w:eastAsia="es-CR"/>
        </w:rPr>
        <w:t>₡</w:t>
      </w:r>
      <w:r w:rsidR="00C1538B">
        <w:rPr>
          <w:rFonts w:eastAsiaTheme="minorEastAsia" w:cs="Arial Narrow"/>
          <w:color w:val="000000"/>
          <w:lang w:eastAsia="es-CR"/>
        </w:rPr>
        <w:t>4</w:t>
      </w:r>
      <w:r w:rsidR="00C1538B" w:rsidRPr="00F82106">
        <w:rPr>
          <w:rFonts w:eastAsiaTheme="minorEastAsia" w:cs="Arial Narrow"/>
          <w:color w:val="000000"/>
          <w:lang w:eastAsia="es-CR"/>
        </w:rPr>
        <w:t>8</w:t>
      </w:r>
      <w:r w:rsidR="00C1538B">
        <w:rPr>
          <w:rFonts w:eastAsiaTheme="minorEastAsia" w:cs="Arial Narrow"/>
          <w:color w:val="000000"/>
          <w:lang w:eastAsia="es-CR"/>
        </w:rPr>
        <w:t>5</w:t>
      </w:r>
      <w:r w:rsidR="00C1538B" w:rsidRPr="00F82106">
        <w:rPr>
          <w:rFonts w:eastAsiaTheme="minorEastAsia" w:cs="Arial Narrow"/>
          <w:color w:val="000000"/>
          <w:lang w:eastAsia="es-CR"/>
        </w:rPr>
        <w:t xml:space="preserve"> </w:t>
      </w:r>
      <w:r w:rsidR="00C1538B">
        <w:rPr>
          <w:rFonts w:eastAsiaTheme="minorEastAsia" w:cs="Arial Narrow"/>
          <w:color w:val="000000"/>
          <w:lang w:eastAsia="es-CR"/>
        </w:rPr>
        <w:t>5</w:t>
      </w:r>
      <w:r w:rsidR="00C1538B" w:rsidRPr="00F82106">
        <w:rPr>
          <w:rFonts w:eastAsiaTheme="minorEastAsia" w:cs="Arial Narrow"/>
          <w:color w:val="000000"/>
          <w:lang w:eastAsia="es-CR"/>
        </w:rPr>
        <w:t>4</w:t>
      </w:r>
      <w:r w:rsidR="00C1538B">
        <w:rPr>
          <w:rFonts w:eastAsiaTheme="minorEastAsia" w:cs="Arial Narrow"/>
          <w:color w:val="000000"/>
          <w:lang w:eastAsia="es-CR"/>
        </w:rPr>
        <w:t>6</w:t>
      </w:r>
      <w:r w:rsidR="00C1538B" w:rsidRPr="00F82106">
        <w:rPr>
          <w:rFonts w:eastAsiaTheme="minorEastAsia" w:cs="Arial Narrow"/>
          <w:color w:val="000000"/>
          <w:lang w:eastAsia="es-CR"/>
        </w:rPr>
        <w:t>,</w:t>
      </w:r>
      <w:r w:rsidR="00C1538B">
        <w:rPr>
          <w:rFonts w:eastAsiaTheme="minorEastAsia" w:cs="Arial Narrow"/>
          <w:color w:val="000000"/>
          <w:lang w:eastAsia="es-CR"/>
        </w:rPr>
        <w:t>6</w:t>
      </w:r>
      <w:r w:rsidR="00C1538B" w:rsidRPr="00F82106">
        <w:rPr>
          <w:rFonts w:eastAsiaTheme="minorEastAsia" w:cs="Arial Narrow"/>
          <w:color w:val="000000"/>
          <w:lang w:eastAsia="es-CR"/>
        </w:rPr>
        <w:t xml:space="preserve">0 </w:t>
      </w:r>
      <w:r w:rsidR="00C1538B">
        <w:rPr>
          <w:rFonts w:eastAsiaTheme="minorEastAsia" w:cs="Arial Narrow"/>
          <w:color w:val="000000"/>
          <w:lang w:eastAsia="es-CR"/>
        </w:rPr>
        <w:t>miles</w:t>
      </w:r>
      <w:r w:rsidRPr="00A91674">
        <w:rPr>
          <w:rFonts w:eastAsiaTheme="minorEastAsia" w:cs="Arial Narrow"/>
          <w:color w:val="000000"/>
          <w:lang w:eastAsia="es-CR"/>
        </w:rPr>
        <w:t xml:space="preserve"> </w:t>
      </w:r>
      <w:r w:rsidRPr="00C24058">
        <w:rPr>
          <w:rFonts w:eastAsiaTheme="minorEastAsia" w:cs="Arial Narrow"/>
          <w:color w:val="000000"/>
          <w:lang w:eastAsia="es-CR"/>
        </w:rPr>
        <w:t>a corto p</w:t>
      </w:r>
      <w:r>
        <w:rPr>
          <w:rFonts w:eastAsiaTheme="minorEastAsia" w:cs="Arial Narrow"/>
          <w:color w:val="000000"/>
          <w:lang w:eastAsia="es-CR"/>
        </w:rPr>
        <w:t>lazo</w:t>
      </w:r>
      <w:r w:rsidRPr="00C24058">
        <w:rPr>
          <w:rFonts w:eastAsiaTheme="minorEastAsia" w:cs="Arial Narrow"/>
          <w:color w:val="000000"/>
          <w:lang w:eastAsia="es-CR"/>
        </w:rPr>
        <w:t xml:space="preserve">. En el siguiente cuadro se muestra el detalle del préstamo con el IFAM al </w:t>
      </w:r>
      <w:r w:rsidR="00D470B6">
        <w:rPr>
          <w:rFonts w:eastAsiaTheme="minorEastAsia" w:cs="Arial Narrow"/>
          <w:color w:val="000000"/>
          <w:lang w:eastAsia="es-CR"/>
        </w:rPr>
        <w:t>30 de junio</w:t>
      </w:r>
      <w:r w:rsidRPr="00C24058">
        <w:rPr>
          <w:rFonts w:eastAsiaTheme="minorEastAsia" w:cs="Arial Narrow"/>
          <w:color w:val="000000"/>
          <w:lang w:eastAsia="es-CR"/>
        </w:rPr>
        <w:t xml:space="preserve"> de </w:t>
      </w:r>
      <w:r>
        <w:rPr>
          <w:rFonts w:eastAsiaTheme="minorEastAsia" w:cs="Arial Narrow"/>
          <w:color w:val="000000"/>
          <w:lang w:eastAsia="es-CR"/>
        </w:rPr>
        <w:t>2024</w:t>
      </w:r>
      <w:r w:rsidRPr="00A91674">
        <w:rPr>
          <w:rFonts w:eastAsiaTheme="minorEastAsia" w:cs="Arial Narrow"/>
          <w:color w:val="000000"/>
          <w:lang w:eastAsia="es-CR"/>
        </w:rPr>
        <w:t>:</w:t>
      </w:r>
    </w:p>
    <w:p w14:paraId="000866AA" w14:textId="1365554F" w:rsidR="004A7A5A" w:rsidRDefault="0085078C" w:rsidP="00606715">
      <w:pPr>
        <w:spacing w:after="0" w:line="240" w:lineRule="auto"/>
        <w:rPr>
          <w:rFonts w:eastAsiaTheme="minorEastAsia" w:cs="Arial Narrow"/>
          <w:color w:val="000000"/>
          <w:lang w:eastAsia="es-CR"/>
        </w:rPr>
      </w:pPr>
      <w:r w:rsidRPr="0085078C">
        <w:drawing>
          <wp:inline distT="0" distB="0" distL="0" distR="0" wp14:anchorId="633A8178" wp14:editId="366E3AAB">
            <wp:extent cx="5581015" cy="956431"/>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81015" cy="956431"/>
                    </a:xfrm>
                    <a:prstGeom prst="rect">
                      <a:avLst/>
                    </a:prstGeom>
                    <a:noFill/>
                    <a:ln>
                      <a:noFill/>
                    </a:ln>
                  </pic:spPr>
                </pic:pic>
              </a:graphicData>
            </a:graphic>
          </wp:inline>
        </w:drawing>
      </w:r>
    </w:p>
    <w:p w14:paraId="77F54E0B" w14:textId="51546E9F" w:rsidR="004A7A5A" w:rsidRDefault="004A7A5A" w:rsidP="00606715">
      <w:pPr>
        <w:spacing w:after="0" w:line="240" w:lineRule="auto"/>
        <w:rPr>
          <w:rFonts w:eastAsiaTheme="minorEastAsia" w:cs="Arial Narrow"/>
          <w:color w:val="000000"/>
          <w:lang w:eastAsia="es-CR"/>
        </w:rPr>
      </w:pPr>
    </w:p>
    <w:p w14:paraId="3955A85F" w14:textId="77777777" w:rsidR="00606715" w:rsidRPr="00A91674" w:rsidRDefault="00606715" w:rsidP="00606715">
      <w:pPr>
        <w:spacing w:after="0" w:line="240" w:lineRule="auto"/>
        <w:rPr>
          <w:rFonts w:eastAsiaTheme="minorEastAsia" w:cs="Arial Narrow"/>
          <w:color w:val="000000"/>
          <w:lang w:eastAsia="es-CR"/>
        </w:rPr>
      </w:pPr>
    </w:p>
    <w:p w14:paraId="2629082D" w14:textId="77777777" w:rsidR="00606715" w:rsidRDefault="00606715" w:rsidP="00606715">
      <w:pPr>
        <w:spacing w:after="0" w:line="240" w:lineRule="auto"/>
        <w:rPr>
          <w:rFonts w:eastAsiaTheme="minorEastAsia" w:cs="Arial Narrow"/>
          <w:color w:val="000000"/>
          <w:lang w:eastAsia="es-CR"/>
        </w:rPr>
      </w:pPr>
      <w:bookmarkStart w:id="375" w:name="_Hlk138937428"/>
      <w:r w:rsidRPr="00A91674">
        <w:rPr>
          <w:rFonts w:eastAsiaTheme="minorEastAsia" w:cs="Arial Narrow"/>
          <w:color w:val="000000"/>
          <w:lang w:eastAsia="es-CR"/>
        </w:rPr>
        <w:t xml:space="preserve">Los intereses devengados por el préstamo en mención son reconocidos como un gasto debido a que los desembolsos efectuados por el IFAM sobre el préstamo, no están directamente atribuibles a la adquisición de un activo (según lo establece la NICSP 5 párrafos 18), ya que los desembolsos se solicitan al IFAM para pagar de manera simultánea a los proveedores </w:t>
      </w:r>
      <w:r>
        <w:rPr>
          <w:rFonts w:eastAsiaTheme="minorEastAsia" w:cs="Arial Narrow"/>
          <w:color w:val="000000"/>
          <w:lang w:eastAsia="es-CR"/>
        </w:rPr>
        <w:t xml:space="preserve">de los </w:t>
      </w:r>
      <w:r w:rsidRPr="00A91674">
        <w:rPr>
          <w:rFonts w:eastAsiaTheme="minorEastAsia" w:cs="Arial Narrow"/>
          <w:color w:val="000000"/>
          <w:lang w:eastAsia="es-CR"/>
        </w:rPr>
        <w:t>bienes</w:t>
      </w:r>
      <w:r>
        <w:rPr>
          <w:rFonts w:eastAsiaTheme="minorEastAsia" w:cs="Arial Narrow"/>
          <w:color w:val="000000"/>
          <w:lang w:eastAsia="es-CR"/>
        </w:rPr>
        <w:t xml:space="preserve"> y servicios </w:t>
      </w:r>
      <w:r w:rsidRPr="00A91674">
        <w:rPr>
          <w:rFonts w:eastAsiaTheme="minorEastAsia" w:cs="Arial Narrow"/>
          <w:color w:val="000000"/>
          <w:lang w:eastAsia="es-CR"/>
        </w:rPr>
        <w:t xml:space="preserve"> adquiridos en condiciones aptas (por lo que ya no se requiere ejecutar ninguna acción para que dichos activos estén aptos para su uso), y la amortización del principal y pago de intereses sobre dichos desembolsos, se inician con posterioridad de acuerdo con lo establecido en el contrato.</w:t>
      </w:r>
    </w:p>
    <w:p w14:paraId="0F2B5AA7" w14:textId="77777777" w:rsidR="00606715" w:rsidRDefault="00606715" w:rsidP="00606715">
      <w:pPr>
        <w:spacing w:after="0" w:line="240" w:lineRule="auto"/>
        <w:rPr>
          <w:rFonts w:eastAsiaTheme="minorEastAsia" w:cs="Arial Narrow"/>
          <w:color w:val="000000"/>
          <w:lang w:eastAsia="es-CR"/>
        </w:rPr>
      </w:pPr>
    </w:p>
    <w:p w14:paraId="0D4163E8" w14:textId="77777777" w:rsidR="00606715" w:rsidRPr="00C24058" w:rsidRDefault="00606715" w:rsidP="00606715">
      <w:pPr>
        <w:spacing w:after="0" w:line="240" w:lineRule="auto"/>
        <w:rPr>
          <w:rFonts w:eastAsiaTheme="minorEastAsia" w:cs="Arial Narrow"/>
          <w:color w:val="000000"/>
          <w:lang w:eastAsia="es-CR"/>
        </w:rPr>
      </w:pPr>
      <w:r w:rsidRPr="00C24058">
        <w:rPr>
          <w:rFonts w:eastAsiaTheme="minorEastAsia" w:cs="Arial Narrow"/>
          <w:color w:val="000000"/>
          <w:lang w:eastAsia="es-CR"/>
        </w:rPr>
        <w:t>Es pertinente indicar que la Municipalidad ha realizado gestiones con el IFAM para la obtención de una tabla de amortizaciones, sin embargo, a la fecha de cierre de estos estados no ha sido suministrada. Esto imposibilita realizar el registro correcto del monto por pagar el cada periodo.</w:t>
      </w:r>
    </w:p>
    <w:bookmarkEnd w:id="375"/>
    <w:p w14:paraId="289FD983" w14:textId="6B8F7C40" w:rsidR="00692DC8" w:rsidRDefault="00692DC8" w:rsidP="003421AB">
      <w:pPr>
        <w:rPr>
          <w:rFonts w:eastAsiaTheme="minorEastAsia" w:cs="Arial Narrow"/>
          <w:color w:val="000000"/>
          <w:lang w:eastAsia="es-CR"/>
        </w:rPr>
      </w:pPr>
    </w:p>
    <w:p w14:paraId="41600FC2" w14:textId="77777777" w:rsidR="007B741B" w:rsidRDefault="007B741B" w:rsidP="007B741B">
      <w:pPr>
        <w:spacing w:after="0" w:line="240" w:lineRule="auto"/>
        <w:rPr>
          <w:rFonts w:eastAsiaTheme="minorEastAsia" w:cs="Arial Narrow"/>
          <w:color w:val="000000"/>
          <w:lang w:eastAsia="es-CR"/>
        </w:rPr>
      </w:pPr>
    </w:p>
    <w:p w14:paraId="17683382" w14:textId="77777777" w:rsidR="00692DC8" w:rsidRPr="00692DC8" w:rsidRDefault="00692DC8" w:rsidP="003421AB">
      <w:pPr>
        <w:pStyle w:val="Ttulo4"/>
        <w:spacing w:after="240"/>
        <w:rPr>
          <w:rFonts w:eastAsia="Times New Roman"/>
        </w:rPr>
      </w:pPr>
      <w:bookmarkStart w:id="376" w:name="_Toc13041154"/>
      <w:bookmarkStart w:id="377" w:name="_Toc14345153"/>
      <w:bookmarkStart w:id="378" w:name="_Toc33601239"/>
      <w:bookmarkStart w:id="379" w:name="_Toc82768946"/>
      <w:bookmarkStart w:id="380" w:name="_Toc173245248"/>
      <w:r w:rsidRPr="00692DC8">
        <w:rPr>
          <w:rFonts w:eastAsia="Times New Roman"/>
        </w:rPr>
        <w:t>NOTA N° 21</w:t>
      </w:r>
      <w:bookmarkEnd w:id="376"/>
      <w:bookmarkEnd w:id="377"/>
      <w:bookmarkEnd w:id="378"/>
      <w:bookmarkEnd w:id="379"/>
      <w:bookmarkEnd w:id="380"/>
    </w:p>
    <w:p w14:paraId="6CAC6AB1" w14:textId="77777777" w:rsidR="00694299" w:rsidRDefault="00692DC8" w:rsidP="00323752">
      <w:pPr>
        <w:spacing w:before="240"/>
        <w:rPr>
          <w:rFonts w:asciiTheme="minorHAnsi" w:hAnsiTheme="minorHAnsi"/>
          <w:sz w:val="22"/>
        </w:rPr>
      </w:pPr>
      <w:bookmarkStart w:id="381" w:name="_Toc82768947"/>
      <w:r w:rsidRPr="00692DC8">
        <w:rPr>
          <w:rFonts w:eastAsia="Times New Roman"/>
        </w:rPr>
        <w:t>Fondos de terceros y en garantía</w:t>
      </w:r>
      <w:bookmarkEnd w:id="381"/>
      <w:r w:rsidR="00F06B1F">
        <w:rPr>
          <w:rFonts w:eastAsiaTheme="majorEastAsia" w:cstheme="majorBidi"/>
          <w:b/>
          <w:iCs/>
        </w:rPr>
        <w:fldChar w:fldCharType="begin"/>
      </w:r>
      <w:r w:rsidR="00F06B1F">
        <w:instrText xml:space="preserve"> LINK </w:instrText>
      </w:r>
      <w:r w:rsidR="00323752">
        <w:instrText xml:space="preserve">Excel.SheetMacroEnabled.12 "D:\\MORAVIA\\INSUMOS\\NOTAS 2024\\Formato_Notas_EEFF_Vinculadas_2024\\XXXXX_PXX_202X_Anexo_Estado_Notas_Contables_Vinculadas.xlsm" NOTAS_POR_CUENTA!F155C1:F157C6 </w:instrText>
      </w:r>
      <w:r w:rsidR="00F06B1F">
        <w:instrText xml:space="preserve">\a \f 4 \h </w:instrText>
      </w:r>
      <w:r w:rsidR="00F06B1F">
        <w:fldChar w:fldCharType="separate"/>
      </w:r>
    </w:p>
    <w:tbl>
      <w:tblPr>
        <w:tblW w:w="8847" w:type="dxa"/>
        <w:tblCellMar>
          <w:left w:w="70" w:type="dxa"/>
          <w:right w:w="70" w:type="dxa"/>
        </w:tblCellMar>
        <w:tblLook w:val="04A0" w:firstRow="1" w:lastRow="0" w:firstColumn="1" w:lastColumn="0" w:noHBand="0" w:noVBand="1"/>
      </w:tblPr>
      <w:tblGrid>
        <w:gridCol w:w="1243"/>
        <w:gridCol w:w="2757"/>
        <w:gridCol w:w="500"/>
        <w:gridCol w:w="1586"/>
        <w:gridCol w:w="1701"/>
        <w:gridCol w:w="1060"/>
      </w:tblGrid>
      <w:tr w:rsidR="00694299" w:rsidRPr="00694299" w14:paraId="4108CBF0" w14:textId="77777777" w:rsidTr="00B3617E">
        <w:trPr>
          <w:divId w:val="1049374482"/>
          <w:trHeight w:val="324"/>
        </w:trPr>
        <w:tc>
          <w:tcPr>
            <w:tcW w:w="124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E18B7D2" w14:textId="02395632"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75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550E8D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C01CCC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5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C1B045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381F04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4AEB542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40CDDCB3" w14:textId="77777777" w:rsidTr="00B3617E">
        <w:trPr>
          <w:divId w:val="1049374482"/>
          <w:trHeight w:val="324"/>
        </w:trPr>
        <w:tc>
          <w:tcPr>
            <w:tcW w:w="1243" w:type="dxa"/>
            <w:vMerge/>
            <w:tcBorders>
              <w:top w:val="single" w:sz="8" w:space="0" w:color="auto"/>
              <w:left w:val="single" w:sz="8" w:space="0" w:color="auto"/>
              <w:bottom w:val="single" w:sz="8" w:space="0" w:color="000000"/>
              <w:right w:val="single" w:sz="8" w:space="0" w:color="auto"/>
            </w:tcBorders>
            <w:vAlign w:val="center"/>
            <w:hideMark/>
          </w:tcPr>
          <w:p w14:paraId="0984999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757" w:type="dxa"/>
            <w:vMerge/>
            <w:tcBorders>
              <w:top w:val="single" w:sz="8" w:space="0" w:color="auto"/>
              <w:left w:val="single" w:sz="8" w:space="0" w:color="auto"/>
              <w:bottom w:val="single" w:sz="8" w:space="0" w:color="000000"/>
              <w:right w:val="single" w:sz="8" w:space="0" w:color="auto"/>
            </w:tcBorders>
            <w:vAlign w:val="center"/>
            <w:hideMark/>
          </w:tcPr>
          <w:p w14:paraId="3F061DA9"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8ACBF5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46369DB1"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384C64A5"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65BDE382"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05E31EBC" w14:textId="77777777" w:rsidTr="00B3617E">
        <w:trPr>
          <w:divId w:val="1049374482"/>
          <w:trHeight w:val="324"/>
        </w:trPr>
        <w:tc>
          <w:tcPr>
            <w:tcW w:w="1243" w:type="dxa"/>
            <w:tcBorders>
              <w:top w:val="nil"/>
              <w:left w:val="single" w:sz="8" w:space="0" w:color="auto"/>
              <w:bottom w:val="single" w:sz="8" w:space="0" w:color="auto"/>
              <w:right w:val="single" w:sz="8" w:space="0" w:color="auto"/>
            </w:tcBorders>
            <w:shd w:val="clear" w:color="auto" w:fill="auto"/>
            <w:noWrap/>
            <w:vAlign w:val="center"/>
            <w:hideMark/>
          </w:tcPr>
          <w:p w14:paraId="34989D23"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2.2.3.</w:t>
            </w:r>
          </w:p>
        </w:tc>
        <w:tc>
          <w:tcPr>
            <w:tcW w:w="2757" w:type="dxa"/>
            <w:tcBorders>
              <w:top w:val="nil"/>
              <w:left w:val="nil"/>
              <w:bottom w:val="single" w:sz="8" w:space="0" w:color="auto"/>
              <w:right w:val="single" w:sz="8" w:space="0" w:color="auto"/>
            </w:tcBorders>
            <w:shd w:val="clear" w:color="auto" w:fill="auto"/>
            <w:vAlign w:val="center"/>
            <w:hideMark/>
          </w:tcPr>
          <w:p w14:paraId="5DD126F2"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Fondos de terceros y en garantía</w:t>
            </w:r>
          </w:p>
        </w:tc>
        <w:tc>
          <w:tcPr>
            <w:tcW w:w="500" w:type="dxa"/>
            <w:tcBorders>
              <w:top w:val="nil"/>
              <w:left w:val="nil"/>
              <w:bottom w:val="single" w:sz="8" w:space="0" w:color="auto"/>
              <w:right w:val="single" w:sz="8" w:space="0" w:color="auto"/>
            </w:tcBorders>
            <w:shd w:val="clear" w:color="auto" w:fill="auto"/>
            <w:noWrap/>
            <w:vAlign w:val="center"/>
            <w:hideMark/>
          </w:tcPr>
          <w:p w14:paraId="3BD00CF2"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21</w:t>
            </w:r>
          </w:p>
        </w:tc>
        <w:tc>
          <w:tcPr>
            <w:tcW w:w="1586" w:type="dxa"/>
            <w:tcBorders>
              <w:top w:val="nil"/>
              <w:left w:val="nil"/>
              <w:bottom w:val="single" w:sz="8" w:space="0" w:color="auto"/>
              <w:right w:val="single" w:sz="8" w:space="0" w:color="auto"/>
            </w:tcBorders>
            <w:shd w:val="clear" w:color="auto" w:fill="auto"/>
            <w:noWrap/>
            <w:vAlign w:val="center"/>
            <w:hideMark/>
          </w:tcPr>
          <w:p w14:paraId="378D837F"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701" w:type="dxa"/>
            <w:tcBorders>
              <w:top w:val="nil"/>
              <w:left w:val="nil"/>
              <w:bottom w:val="single" w:sz="8" w:space="0" w:color="auto"/>
              <w:right w:val="single" w:sz="8" w:space="0" w:color="auto"/>
            </w:tcBorders>
            <w:shd w:val="clear" w:color="auto" w:fill="auto"/>
            <w:noWrap/>
            <w:vAlign w:val="center"/>
            <w:hideMark/>
          </w:tcPr>
          <w:p w14:paraId="4AFA61F9"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028D6833"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3E6F7548" w14:textId="77777777" w:rsidR="00694299" w:rsidRPr="00694299" w:rsidRDefault="00F06B1F" w:rsidP="00694299">
      <w:pPr>
        <w:spacing w:before="240"/>
      </w:pPr>
      <w: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NOTAS_POR_CUENTA!F157C8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4A2CE3FB" w14:textId="77777777" w:rsidR="00694299" w:rsidRDefault="00694299" w:rsidP="007B741B">
      <w:pPr>
        <w:spacing w:after="0" w:line="240" w:lineRule="auto"/>
        <w:rPr>
          <w:rFonts w:eastAsia="Times New Roman" w:cs="Calibri"/>
          <w:color w:val="000000"/>
          <w:lang w:eastAsia="es-CR"/>
        </w:rPr>
      </w:pPr>
      <w:r w:rsidRPr="00694299">
        <w:rPr>
          <w:rFonts w:eastAsia="Times New Roman" w:cs="Calibri"/>
          <w:color w:val="000000"/>
          <w:lang w:eastAsia="es-CR"/>
        </w:rPr>
        <w:t>La cuenta Fondos de terceros y en garantía, representa el 0,00% del total del Pasivo, que comparado al periodo anterior genera una variación absoluta de 0 000,00 que corresponde a un Aumento del 0,00% de recursos disponibles.</w:t>
      </w:r>
    </w:p>
    <w:p w14:paraId="1628CD52" w14:textId="77777777" w:rsidR="007B741B" w:rsidRPr="00694299" w:rsidRDefault="007B741B" w:rsidP="007B741B">
      <w:pPr>
        <w:spacing w:after="0" w:line="240" w:lineRule="auto"/>
        <w:rPr>
          <w:rFonts w:eastAsia="Times New Roman" w:cs="Calibri"/>
          <w:color w:val="000000"/>
          <w:lang w:eastAsia="es-CR"/>
        </w:rPr>
      </w:pPr>
    </w:p>
    <w:p w14:paraId="6FA3166A" w14:textId="51D1DF64" w:rsidR="00692DC8" w:rsidRPr="00692DC8" w:rsidRDefault="00F06B1F" w:rsidP="007B741B">
      <w:pPr>
        <w:spacing w:after="0" w:line="240" w:lineRule="auto"/>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5C03374D" w14:textId="77777777" w:rsidR="00692DC8" w:rsidRPr="00692DC8" w:rsidRDefault="00692DC8" w:rsidP="003421AB">
      <w:pPr>
        <w:rPr>
          <w:i/>
        </w:rPr>
      </w:pPr>
    </w:p>
    <w:p w14:paraId="026D64CF" w14:textId="77777777" w:rsidR="00692DC8" w:rsidRPr="00692DC8" w:rsidRDefault="00692DC8" w:rsidP="003421AB">
      <w:pPr>
        <w:pStyle w:val="Ttulo4"/>
        <w:spacing w:after="240"/>
        <w:rPr>
          <w:rFonts w:eastAsia="Times New Roman"/>
        </w:rPr>
      </w:pPr>
      <w:bookmarkStart w:id="382" w:name="_Toc13041157"/>
      <w:bookmarkStart w:id="383" w:name="_Toc14345156"/>
      <w:bookmarkStart w:id="384" w:name="_Toc33601240"/>
      <w:bookmarkStart w:id="385" w:name="_Toc82768948"/>
      <w:bookmarkStart w:id="386" w:name="_Toc173245249"/>
      <w:r w:rsidRPr="00692DC8">
        <w:rPr>
          <w:rFonts w:eastAsia="Times New Roman"/>
        </w:rPr>
        <w:t>NOTA N° 22</w:t>
      </w:r>
      <w:bookmarkEnd w:id="382"/>
      <w:bookmarkEnd w:id="383"/>
      <w:bookmarkEnd w:id="384"/>
      <w:bookmarkEnd w:id="385"/>
      <w:bookmarkEnd w:id="386"/>
    </w:p>
    <w:p w14:paraId="445A0C61" w14:textId="77777777" w:rsidR="00694299" w:rsidRDefault="00692DC8" w:rsidP="007B741B">
      <w:pPr>
        <w:spacing w:after="0" w:line="240" w:lineRule="auto"/>
        <w:rPr>
          <w:rFonts w:asciiTheme="minorHAnsi" w:hAnsiTheme="minorHAnsi"/>
          <w:sz w:val="22"/>
        </w:rPr>
      </w:pPr>
      <w:bookmarkStart w:id="387" w:name="_Toc82768949"/>
      <w:r w:rsidRPr="00692DC8">
        <w:rPr>
          <w:rFonts w:eastAsia="Times New Roman"/>
        </w:rPr>
        <w:t>Provisiones y reservas técnicas a largo plazo</w:t>
      </w:r>
      <w:bookmarkEnd w:id="387"/>
      <w:r w:rsidR="00F06B1F">
        <w:rPr>
          <w:rFonts w:eastAsiaTheme="majorEastAsia" w:cstheme="majorBidi"/>
          <w:b/>
          <w:iCs/>
        </w:rPr>
        <w:fldChar w:fldCharType="begin"/>
      </w:r>
      <w:r w:rsidR="00F06B1F">
        <w:instrText xml:space="preserve"> LINK </w:instrText>
      </w:r>
      <w:r w:rsidR="00323752">
        <w:instrText xml:space="preserve">Excel.SheetMacroEnabled.12 "D:\\MORAVIA\\INSUMOS\\NOTAS 2024\\Formato_Notas_EEFF_Vinculadas_2024\\XXXXX_PXX_202X_Anexo_Estado_Notas_Contables_Vinculadas.xlsm" NOTAS_POR_CUENTA!F159C1:F161C6 </w:instrText>
      </w:r>
      <w:r w:rsidR="00F06B1F">
        <w:instrText xml:space="preserve">\a \f 4 \h </w:instrText>
      </w:r>
      <w:r w:rsidR="00F06B1F">
        <w:fldChar w:fldCharType="separate"/>
      </w:r>
    </w:p>
    <w:p w14:paraId="22C1A241" w14:textId="4AA9C4F3" w:rsidR="00C572A3" w:rsidRDefault="00F06B1F" w:rsidP="00B3617E">
      <w:pPr>
        <w:spacing w:after="120" w:line="240" w:lineRule="auto"/>
        <w:rPr>
          <w:rFonts w:asciiTheme="minorHAnsi" w:hAnsiTheme="minorHAnsi"/>
          <w:sz w:val="22"/>
        </w:rPr>
      </w:pPr>
      <w:r>
        <w:fldChar w:fldCharType="end"/>
      </w:r>
      <w:r w:rsidR="00B3617E">
        <w:fldChar w:fldCharType="begin"/>
      </w:r>
      <w:r w:rsidR="00B3617E">
        <w:instrText xml:space="preserve"> LINK </w:instrText>
      </w:r>
      <w:r w:rsidR="0068177A">
        <w:instrText xml:space="preserve">Excel.SheetMacroEnabled.12 "C:\\Users\\arges\\OneDrive\\Desktop\\Municipalidades\\Buenos Aires\\Cierre Junio 2024\\Notas Contables\\15603_T02_2024_Anexo_Estado_Notas_Contables_Vinculadas.xlsm" NOTAS_POR_CUENTA!R159C1:R161C6 </w:instrText>
      </w:r>
      <w:r w:rsidR="00B3617E">
        <w:instrText xml:space="preserve">\a \f 4 \h </w:instrText>
      </w:r>
      <w:r w:rsidR="00B3617E">
        <w:fldChar w:fldCharType="separate"/>
      </w:r>
    </w:p>
    <w:tbl>
      <w:tblPr>
        <w:tblW w:w="10080" w:type="dxa"/>
        <w:tblLook w:val="04A0" w:firstRow="1" w:lastRow="0" w:firstColumn="1" w:lastColumn="0" w:noHBand="0" w:noVBand="1"/>
      </w:tblPr>
      <w:tblGrid>
        <w:gridCol w:w="717"/>
        <w:gridCol w:w="3339"/>
        <w:gridCol w:w="544"/>
        <w:gridCol w:w="2200"/>
        <w:gridCol w:w="2200"/>
        <w:gridCol w:w="1080"/>
      </w:tblGrid>
      <w:tr w:rsidR="00C572A3" w:rsidRPr="00C572A3" w14:paraId="65DB3A56" w14:textId="77777777" w:rsidTr="00C572A3">
        <w:trPr>
          <w:divId w:val="235629843"/>
          <w:trHeight w:val="320"/>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8F2CF87" w14:textId="3912D6A7" w:rsidR="00C572A3" w:rsidRPr="00C572A3" w:rsidRDefault="00C572A3" w:rsidP="00C572A3">
            <w:pP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6102890"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Descripción</w:t>
            </w:r>
          </w:p>
        </w:tc>
        <w:tc>
          <w:tcPr>
            <w:tcW w:w="5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4F0F0D5"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Nota</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A53F106"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Actual </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1523E43"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Anterior </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1B2B43F8"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Diferencia </w:t>
            </w:r>
          </w:p>
        </w:tc>
      </w:tr>
      <w:tr w:rsidR="00C572A3" w:rsidRPr="00C572A3" w14:paraId="18DB8E77" w14:textId="77777777" w:rsidTr="00C572A3">
        <w:trPr>
          <w:divId w:val="235629843"/>
          <w:trHeight w:val="320"/>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2659ECC1"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62DC7716"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14:paraId="3ED17211"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0411BF4F"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37E4F7F7"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1080" w:type="dxa"/>
            <w:tcBorders>
              <w:top w:val="nil"/>
              <w:left w:val="nil"/>
              <w:bottom w:val="single" w:sz="8" w:space="0" w:color="auto"/>
              <w:right w:val="single" w:sz="8" w:space="0" w:color="auto"/>
            </w:tcBorders>
            <w:shd w:val="clear" w:color="000000" w:fill="366092"/>
            <w:noWrap/>
            <w:vAlign w:val="center"/>
            <w:hideMark/>
          </w:tcPr>
          <w:p w14:paraId="66099665" w14:textId="77777777" w:rsidR="00C572A3" w:rsidRPr="00C572A3" w:rsidRDefault="00C572A3" w:rsidP="00C572A3">
            <w:pPr>
              <w:spacing w:after="0" w:line="240" w:lineRule="auto"/>
              <w:jc w:val="center"/>
              <w:rPr>
                <w:rFonts w:eastAsia="Times New Roman" w:cs="Calibri"/>
                <w:color w:val="FFFFFF"/>
                <w:sz w:val="18"/>
                <w:szCs w:val="18"/>
                <w:lang w:val="en-US"/>
              </w:rPr>
            </w:pPr>
            <w:r w:rsidRPr="00C572A3">
              <w:rPr>
                <w:rFonts w:eastAsia="Times New Roman" w:cs="Calibri"/>
                <w:color w:val="FFFFFF"/>
                <w:sz w:val="18"/>
                <w:szCs w:val="18"/>
                <w:lang w:val="en-US"/>
              </w:rPr>
              <w:t>%</w:t>
            </w:r>
          </w:p>
        </w:tc>
      </w:tr>
      <w:tr w:rsidR="00C572A3" w:rsidRPr="00C572A3" w14:paraId="290AE01C" w14:textId="77777777" w:rsidTr="00C572A3">
        <w:trPr>
          <w:divId w:val="235629843"/>
          <w:trHeight w:val="320"/>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39F522AE" w14:textId="77777777" w:rsidR="00C572A3" w:rsidRPr="00C572A3" w:rsidRDefault="00C572A3" w:rsidP="00C572A3">
            <w:pPr>
              <w:spacing w:after="0" w:line="240" w:lineRule="auto"/>
              <w:jc w:val="left"/>
              <w:rPr>
                <w:rFonts w:eastAsia="Times New Roman" w:cs="Calibri"/>
                <w:b/>
                <w:bCs/>
                <w:color w:val="000000"/>
                <w:sz w:val="18"/>
                <w:szCs w:val="18"/>
                <w:lang w:val="en-US"/>
              </w:rPr>
            </w:pPr>
            <w:r w:rsidRPr="00C572A3">
              <w:rPr>
                <w:rFonts w:eastAsia="Times New Roman" w:cs="Calibri"/>
                <w:b/>
                <w:bCs/>
                <w:color w:val="000000"/>
                <w:sz w:val="18"/>
                <w:szCs w:val="18"/>
                <w:lang w:val="en-US"/>
              </w:rPr>
              <w:t>2.2.4.</w:t>
            </w:r>
          </w:p>
        </w:tc>
        <w:tc>
          <w:tcPr>
            <w:tcW w:w="3380" w:type="dxa"/>
            <w:tcBorders>
              <w:top w:val="nil"/>
              <w:left w:val="nil"/>
              <w:bottom w:val="single" w:sz="8" w:space="0" w:color="auto"/>
              <w:right w:val="single" w:sz="8" w:space="0" w:color="auto"/>
            </w:tcBorders>
            <w:shd w:val="clear" w:color="auto" w:fill="auto"/>
            <w:vAlign w:val="center"/>
            <w:hideMark/>
          </w:tcPr>
          <w:p w14:paraId="0C403093" w14:textId="77777777" w:rsidR="00C572A3" w:rsidRPr="00C572A3" w:rsidRDefault="00C572A3" w:rsidP="00C572A3">
            <w:pPr>
              <w:spacing w:after="0" w:line="240" w:lineRule="auto"/>
              <w:rPr>
                <w:rFonts w:eastAsia="Times New Roman" w:cs="Calibri"/>
                <w:b/>
                <w:bCs/>
                <w:color w:val="000000"/>
                <w:sz w:val="18"/>
                <w:szCs w:val="18"/>
              </w:rPr>
            </w:pPr>
            <w:r w:rsidRPr="00C572A3">
              <w:rPr>
                <w:rFonts w:eastAsia="Times New Roman" w:cs="Calibri"/>
                <w:b/>
                <w:bCs/>
                <w:color w:val="000000"/>
                <w:sz w:val="18"/>
                <w:szCs w:val="18"/>
              </w:rPr>
              <w:t>Provisiones y reservas técnicas a largo plazo</w:t>
            </w:r>
          </w:p>
        </w:tc>
        <w:tc>
          <w:tcPr>
            <w:tcW w:w="520" w:type="dxa"/>
            <w:tcBorders>
              <w:top w:val="nil"/>
              <w:left w:val="nil"/>
              <w:bottom w:val="single" w:sz="8" w:space="0" w:color="auto"/>
              <w:right w:val="single" w:sz="8" w:space="0" w:color="auto"/>
            </w:tcBorders>
            <w:shd w:val="clear" w:color="auto" w:fill="auto"/>
            <w:noWrap/>
            <w:vAlign w:val="center"/>
            <w:hideMark/>
          </w:tcPr>
          <w:p w14:paraId="15943632"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22</w:t>
            </w:r>
          </w:p>
        </w:tc>
        <w:tc>
          <w:tcPr>
            <w:tcW w:w="2200" w:type="dxa"/>
            <w:tcBorders>
              <w:top w:val="nil"/>
              <w:left w:val="nil"/>
              <w:bottom w:val="single" w:sz="8" w:space="0" w:color="auto"/>
              <w:right w:val="single" w:sz="8" w:space="0" w:color="auto"/>
            </w:tcBorders>
            <w:shd w:val="clear" w:color="auto" w:fill="auto"/>
            <w:noWrap/>
            <w:vAlign w:val="center"/>
            <w:hideMark/>
          </w:tcPr>
          <w:p w14:paraId="71EFD7E1"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42 912,36 </w:t>
            </w:r>
          </w:p>
        </w:tc>
        <w:tc>
          <w:tcPr>
            <w:tcW w:w="2200" w:type="dxa"/>
            <w:tcBorders>
              <w:top w:val="nil"/>
              <w:left w:val="nil"/>
              <w:bottom w:val="single" w:sz="8" w:space="0" w:color="auto"/>
              <w:right w:val="single" w:sz="8" w:space="0" w:color="auto"/>
            </w:tcBorders>
            <w:shd w:val="clear" w:color="auto" w:fill="auto"/>
            <w:noWrap/>
            <w:vAlign w:val="center"/>
            <w:hideMark/>
          </w:tcPr>
          <w:p w14:paraId="1939CA07"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2 954,16 </w:t>
            </w:r>
          </w:p>
        </w:tc>
        <w:tc>
          <w:tcPr>
            <w:tcW w:w="1080" w:type="dxa"/>
            <w:tcBorders>
              <w:top w:val="nil"/>
              <w:left w:val="nil"/>
              <w:bottom w:val="single" w:sz="8" w:space="0" w:color="auto"/>
              <w:right w:val="single" w:sz="8" w:space="0" w:color="auto"/>
            </w:tcBorders>
            <w:shd w:val="clear" w:color="auto" w:fill="auto"/>
            <w:noWrap/>
            <w:vAlign w:val="center"/>
            <w:hideMark/>
          </w:tcPr>
          <w:p w14:paraId="5908289C"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1352,61%</w:t>
            </w:r>
          </w:p>
        </w:tc>
      </w:tr>
    </w:tbl>
    <w:p w14:paraId="45CAB7D4" w14:textId="77777777" w:rsidR="00B3617E" w:rsidRDefault="00B3617E" w:rsidP="00B3617E">
      <w:pPr>
        <w:spacing w:after="120" w:line="240" w:lineRule="auto"/>
      </w:pPr>
      <w:r>
        <w:fldChar w:fldCharType="end"/>
      </w:r>
    </w:p>
    <w:p w14:paraId="5A19654E" w14:textId="77777777" w:rsidR="00453773" w:rsidRDefault="00453773" w:rsidP="00B3617E">
      <w:pPr>
        <w:spacing w:after="120" w:line="240" w:lineRule="auto"/>
      </w:pPr>
    </w:p>
    <w:p w14:paraId="700C3E3E" w14:textId="77777777" w:rsidR="00453773" w:rsidRDefault="00453773" w:rsidP="00B3617E">
      <w:pPr>
        <w:spacing w:after="120" w:line="240" w:lineRule="auto"/>
      </w:pPr>
    </w:p>
    <w:p w14:paraId="183E36AE" w14:textId="77777777" w:rsidR="00B3617E" w:rsidRDefault="00692DC8" w:rsidP="00453773">
      <w:pPr>
        <w:spacing w:after="0" w:line="240" w:lineRule="auto"/>
        <w:rPr>
          <w:szCs w:val="24"/>
        </w:rPr>
      </w:pPr>
      <w:r w:rsidRPr="00692DC8">
        <w:rPr>
          <w:szCs w:val="24"/>
        </w:rPr>
        <w:t>Detalle cuenta:</w:t>
      </w:r>
      <w:bookmarkStart w:id="388" w:name="_Toc13041160"/>
      <w:bookmarkStart w:id="389" w:name="_Toc14345159"/>
      <w:bookmarkStart w:id="390" w:name="_Toc33601242"/>
    </w:p>
    <w:p w14:paraId="6585F497" w14:textId="194102AE" w:rsidR="00C572A3" w:rsidRDefault="00B3617E" w:rsidP="00453773">
      <w:pPr>
        <w:spacing w:after="0" w:line="240" w:lineRule="auto"/>
        <w:rPr>
          <w:rFonts w:asciiTheme="minorHAnsi" w:hAnsiTheme="minorHAnsi"/>
          <w:sz w:val="22"/>
        </w:rPr>
      </w:pPr>
      <w:r>
        <w:rPr>
          <w:lang w:eastAsia="es-CR"/>
        </w:rPr>
        <w:fldChar w:fldCharType="begin"/>
      </w:r>
      <w:r>
        <w:rPr>
          <w:lang w:eastAsia="es-CR"/>
        </w:rPr>
        <w:instrText xml:space="preserve"> LINK </w:instrText>
      </w:r>
      <w:r w:rsidR="0068177A">
        <w:rPr>
          <w:lang w:eastAsia="es-CR"/>
        </w:rPr>
        <w:instrText xml:space="preserve">Excel.SheetMacroEnabled.12 "C:\\Users\\arges\\OneDrive\\Desktop\\Municipalidades\\Buenos Aires\\Cierre Junio 2024\\Notas Contables\\15603_T02_2024_Anexo_Estado_Notas_Contables_Vinculadas.xlsm" NOTAS_POR_CUENTA!R163C1:R165C6 </w:instrText>
      </w:r>
      <w:r>
        <w:rPr>
          <w:lang w:eastAsia="es-CR"/>
        </w:rPr>
        <w:instrText xml:space="preserve">\a \f 4 \h </w:instrText>
      </w:r>
      <w:r>
        <w:rPr>
          <w:lang w:eastAsia="es-CR"/>
        </w:rPr>
        <w:fldChar w:fldCharType="separate"/>
      </w:r>
    </w:p>
    <w:tbl>
      <w:tblPr>
        <w:tblW w:w="10080" w:type="dxa"/>
        <w:tblLook w:val="04A0" w:firstRow="1" w:lastRow="0" w:firstColumn="1" w:lastColumn="0" w:noHBand="0" w:noVBand="1"/>
      </w:tblPr>
      <w:tblGrid>
        <w:gridCol w:w="791"/>
        <w:gridCol w:w="3265"/>
        <w:gridCol w:w="544"/>
        <w:gridCol w:w="2200"/>
        <w:gridCol w:w="2200"/>
        <w:gridCol w:w="1080"/>
      </w:tblGrid>
      <w:tr w:rsidR="00C572A3" w:rsidRPr="00C572A3" w14:paraId="3FDA0607" w14:textId="77777777" w:rsidTr="00C572A3">
        <w:trPr>
          <w:divId w:val="2039430955"/>
          <w:trHeight w:val="320"/>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C6A9AE7" w14:textId="527B76B6" w:rsidR="00C572A3" w:rsidRPr="00C572A3" w:rsidRDefault="00C572A3" w:rsidP="00C572A3">
            <w:pPr>
              <w:spacing w:after="0" w:line="240" w:lineRule="auto"/>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0C58C73"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Descripción</w:t>
            </w:r>
          </w:p>
        </w:tc>
        <w:tc>
          <w:tcPr>
            <w:tcW w:w="5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5A9ED6C"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Nota</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3061351"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Actual </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B1FBE0D"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Anterior </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4BCAD855"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Diferencia </w:t>
            </w:r>
          </w:p>
        </w:tc>
      </w:tr>
      <w:tr w:rsidR="00C572A3" w:rsidRPr="00C572A3" w14:paraId="32498F29" w14:textId="77777777" w:rsidTr="00C572A3">
        <w:trPr>
          <w:divId w:val="2039430955"/>
          <w:trHeight w:val="320"/>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2A260985"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1047F807"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14:paraId="3402EDAD"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6F64C41C"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07C46434"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1080" w:type="dxa"/>
            <w:tcBorders>
              <w:top w:val="nil"/>
              <w:left w:val="nil"/>
              <w:bottom w:val="single" w:sz="8" w:space="0" w:color="auto"/>
              <w:right w:val="single" w:sz="8" w:space="0" w:color="auto"/>
            </w:tcBorders>
            <w:shd w:val="clear" w:color="000000" w:fill="366092"/>
            <w:noWrap/>
            <w:vAlign w:val="center"/>
            <w:hideMark/>
          </w:tcPr>
          <w:p w14:paraId="1444E673" w14:textId="77777777" w:rsidR="00C572A3" w:rsidRPr="00C572A3" w:rsidRDefault="00C572A3" w:rsidP="00C572A3">
            <w:pPr>
              <w:spacing w:after="0" w:line="240" w:lineRule="auto"/>
              <w:jc w:val="center"/>
              <w:rPr>
                <w:rFonts w:eastAsia="Times New Roman" w:cs="Calibri"/>
                <w:color w:val="FFFFFF"/>
                <w:sz w:val="18"/>
                <w:szCs w:val="18"/>
                <w:lang w:val="en-US"/>
              </w:rPr>
            </w:pPr>
            <w:r w:rsidRPr="00C572A3">
              <w:rPr>
                <w:rFonts w:eastAsia="Times New Roman" w:cs="Calibri"/>
                <w:color w:val="FFFFFF"/>
                <w:sz w:val="18"/>
                <w:szCs w:val="18"/>
                <w:lang w:val="en-US"/>
              </w:rPr>
              <w:t>%</w:t>
            </w:r>
          </w:p>
        </w:tc>
      </w:tr>
      <w:tr w:rsidR="00C572A3" w:rsidRPr="00C572A3" w14:paraId="44C0F35C" w14:textId="77777777" w:rsidTr="00C572A3">
        <w:trPr>
          <w:divId w:val="2039430955"/>
          <w:trHeight w:val="320"/>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4B05F960" w14:textId="77777777" w:rsidR="00C572A3" w:rsidRPr="00C572A3" w:rsidRDefault="00C572A3" w:rsidP="00C572A3">
            <w:pPr>
              <w:spacing w:after="0" w:line="240" w:lineRule="auto"/>
              <w:jc w:val="left"/>
              <w:rPr>
                <w:rFonts w:eastAsia="Times New Roman" w:cs="Calibri"/>
                <w:b/>
                <w:bCs/>
                <w:color w:val="000000"/>
                <w:sz w:val="18"/>
                <w:szCs w:val="18"/>
                <w:lang w:val="en-US"/>
              </w:rPr>
            </w:pPr>
            <w:r w:rsidRPr="00C572A3">
              <w:rPr>
                <w:rFonts w:eastAsia="Times New Roman" w:cs="Calibri"/>
                <w:b/>
                <w:bCs/>
                <w:color w:val="000000"/>
                <w:sz w:val="18"/>
                <w:szCs w:val="18"/>
                <w:lang w:val="en-US"/>
              </w:rPr>
              <w:t>2.2.4.01.</w:t>
            </w:r>
          </w:p>
        </w:tc>
        <w:tc>
          <w:tcPr>
            <w:tcW w:w="3380" w:type="dxa"/>
            <w:tcBorders>
              <w:top w:val="nil"/>
              <w:left w:val="nil"/>
              <w:bottom w:val="single" w:sz="8" w:space="0" w:color="auto"/>
              <w:right w:val="single" w:sz="8" w:space="0" w:color="auto"/>
            </w:tcBorders>
            <w:shd w:val="clear" w:color="auto" w:fill="auto"/>
            <w:vAlign w:val="center"/>
            <w:hideMark/>
          </w:tcPr>
          <w:p w14:paraId="3F3CBDC7" w14:textId="77777777" w:rsidR="00C572A3" w:rsidRPr="00C572A3" w:rsidRDefault="00C572A3" w:rsidP="00C572A3">
            <w:pPr>
              <w:spacing w:after="0" w:line="240" w:lineRule="auto"/>
              <w:rPr>
                <w:rFonts w:eastAsia="Times New Roman" w:cs="Calibri"/>
                <w:b/>
                <w:bCs/>
                <w:color w:val="000000"/>
                <w:sz w:val="18"/>
                <w:szCs w:val="18"/>
                <w:lang w:val="en-US"/>
              </w:rPr>
            </w:pPr>
            <w:r w:rsidRPr="00C572A3">
              <w:rPr>
                <w:rFonts w:eastAsia="Times New Roman" w:cs="Calibri"/>
                <w:b/>
                <w:bCs/>
                <w:color w:val="000000"/>
                <w:sz w:val="18"/>
                <w:szCs w:val="18"/>
                <w:lang w:val="en-US"/>
              </w:rPr>
              <w:t>Provisiones a largo plazo</w:t>
            </w:r>
          </w:p>
        </w:tc>
        <w:tc>
          <w:tcPr>
            <w:tcW w:w="520" w:type="dxa"/>
            <w:tcBorders>
              <w:top w:val="nil"/>
              <w:left w:val="nil"/>
              <w:bottom w:val="single" w:sz="8" w:space="0" w:color="auto"/>
              <w:right w:val="single" w:sz="8" w:space="0" w:color="auto"/>
            </w:tcBorders>
            <w:shd w:val="clear" w:color="auto" w:fill="auto"/>
            <w:noWrap/>
            <w:vAlign w:val="bottom"/>
            <w:hideMark/>
          </w:tcPr>
          <w:p w14:paraId="18495655"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22</w:t>
            </w:r>
          </w:p>
        </w:tc>
        <w:tc>
          <w:tcPr>
            <w:tcW w:w="2200" w:type="dxa"/>
            <w:tcBorders>
              <w:top w:val="nil"/>
              <w:left w:val="nil"/>
              <w:bottom w:val="single" w:sz="8" w:space="0" w:color="auto"/>
              <w:right w:val="single" w:sz="8" w:space="0" w:color="auto"/>
            </w:tcBorders>
            <w:shd w:val="clear" w:color="auto" w:fill="auto"/>
            <w:noWrap/>
            <w:vAlign w:val="center"/>
            <w:hideMark/>
          </w:tcPr>
          <w:p w14:paraId="5081C8F4"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42 912,36 </w:t>
            </w:r>
          </w:p>
        </w:tc>
        <w:tc>
          <w:tcPr>
            <w:tcW w:w="2200" w:type="dxa"/>
            <w:tcBorders>
              <w:top w:val="nil"/>
              <w:left w:val="nil"/>
              <w:bottom w:val="single" w:sz="8" w:space="0" w:color="auto"/>
              <w:right w:val="single" w:sz="8" w:space="0" w:color="auto"/>
            </w:tcBorders>
            <w:shd w:val="clear" w:color="auto" w:fill="auto"/>
            <w:noWrap/>
            <w:vAlign w:val="center"/>
            <w:hideMark/>
          </w:tcPr>
          <w:p w14:paraId="1E071CD2"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2 954,16 </w:t>
            </w:r>
          </w:p>
        </w:tc>
        <w:tc>
          <w:tcPr>
            <w:tcW w:w="1080" w:type="dxa"/>
            <w:tcBorders>
              <w:top w:val="nil"/>
              <w:left w:val="nil"/>
              <w:bottom w:val="single" w:sz="8" w:space="0" w:color="auto"/>
              <w:right w:val="single" w:sz="8" w:space="0" w:color="auto"/>
            </w:tcBorders>
            <w:shd w:val="clear" w:color="auto" w:fill="auto"/>
            <w:noWrap/>
            <w:vAlign w:val="center"/>
            <w:hideMark/>
          </w:tcPr>
          <w:p w14:paraId="11E97883"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1352,61%</w:t>
            </w:r>
          </w:p>
        </w:tc>
      </w:tr>
    </w:tbl>
    <w:p w14:paraId="28CFC5D7" w14:textId="2150C124" w:rsidR="00694299" w:rsidRDefault="00B3617E" w:rsidP="00453773">
      <w:pPr>
        <w:spacing w:after="0" w:line="240" w:lineRule="auto"/>
        <w:rPr>
          <w:rFonts w:asciiTheme="minorHAnsi" w:hAnsiTheme="minorHAnsi"/>
          <w:sz w:val="22"/>
        </w:rPr>
      </w:pPr>
      <w:r>
        <w:rPr>
          <w:szCs w:val="24"/>
          <w:lang w:eastAsia="es-CR"/>
        </w:rPr>
        <w:fldChar w:fldCharType="end"/>
      </w:r>
      <w:r w:rsidR="00F06B1F">
        <w:rPr>
          <w:lang w:eastAsia="es-CR"/>
        </w:rPr>
        <w:fldChar w:fldCharType="begin"/>
      </w:r>
      <w:r w:rsidR="00F06B1F">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NOTAS_POR_CUENTA!F163C1:F165C6 </w:instrText>
      </w:r>
      <w:r w:rsidR="00F06B1F">
        <w:rPr>
          <w:lang w:eastAsia="es-CR"/>
        </w:rPr>
        <w:instrText xml:space="preserve">\a \f 4 \h </w:instrText>
      </w:r>
      <w:r w:rsidR="00F06B1F">
        <w:rPr>
          <w:lang w:eastAsia="es-CR"/>
        </w:rPr>
        <w:fldChar w:fldCharType="separate"/>
      </w:r>
    </w:p>
    <w:p w14:paraId="6AB088AD" w14:textId="50F06067" w:rsidR="00692DC8" w:rsidRPr="00F06B1F" w:rsidRDefault="00F06B1F" w:rsidP="00E71EFA">
      <w:pPr>
        <w:spacing w:after="120" w:line="240" w:lineRule="auto"/>
        <w:rPr>
          <w:sz w:val="20"/>
          <w:szCs w:val="20"/>
          <w:lang w:eastAsia="es-CR"/>
        </w:rPr>
      </w:pPr>
      <w:r>
        <w:rPr>
          <w:sz w:val="20"/>
          <w:szCs w:val="20"/>
          <w:lang w:eastAsia="es-CR"/>
        </w:rPr>
        <w:fldChar w:fldCharType="end"/>
      </w:r>
      <w:r w:rsidR="00692DC8" w:rsidRPr="00692DC8">
        <w:t>Indicar el detalle de cómo está compuesta la cuenta:</w:t>
      </w:r>
    </w:p>
    <w:p w14:paraId="12DFA0C5" w14:textId="77777777" w:rsidR="00CF4D8B" w:rsidRDefault="00CF4D8B" w:rsidP="00CF4D8B">
      <w:pPr>
        <w:spacing w:before="240" w:after="0" w:line="240" w:lineRule="auto"/>
      </w:pPr>
      <w:r w:rsidRPr="002F29CB">
        <w:t>El saldo de la cuenta Provisiones y reservas técnicas a largo plazo corresponde a Provisiones para beneficios por terminación de contrato</w:t>
      </w:r>
      <w:r>
        <w:t>,</w:t>
      </w:r>
      <w:r w:rsidRPr="002F29CB">
        <w:t xml:space="preserve"> </w:t>
      </w:r>
      <w:r>
        <w:t>ya sea por despido con responsabilidad patronal o por jubilación (</w:t>
      </w:r>
      <w:r w:rsidRPr="002F29CB">
        <w:t>pago de Cesantía).</w:t>
      </w:r>
    </w:p>
    <w:p w14:paraId="729E66E5" w14:textId="77777777" w:rsidR="00DE143D" w:rsidRDefault="00DE143D" w:rsidP="00453773">
      <w:pPr>
        <w:spacing w:after="0" w:line="240" w:lineRule="auto"/>
        <w:rPr>
          <w:b/>
          <w:bCs/>
          <w:lang w:val="es-ES"/>
        </w:rPr>
      </w:pPr>
    </w:p>
    <w:p w14:paraId="79FDA532" w14:textId="77777777" w:rsidR="00694299" w:rsidRPr="00694299" w:rsidRDefault="00692DC8" w:rsidP="003421AB">
      <w:pPr>
        <w:rPr>
          <w:lang w:val="es-ES"/>
        </w:rPr>
      </w:pPr>
      <w:r w:rsidRPr="00692DC8">
        <w:rPr>
          <w:b/>
          <w:bCs/>
          <w:lang w:val="es-ES"/>
        </w:rPr>
        <w:t>Revelación</w:t>
      </w:r>
      <w:r w:rsidRPr="00692DC8">
        <w:rPr>
          <w:lang w:val="es-ES"/>
        </w:rPr>
        <w:t xml:space="preserve">: </w:t>
      </w:r>
      <w:r w:rsidR="00F06B1F">
        <w:rPr>
          <w:rFonts w:eastAsia="Times New Roman" w:cs="Calibri"/>
          <w:color w:val="000000"/>
          <w:lang w:eastAsia="es-CR"/>
        </w:rPr>
        <w:fldChar w:fldCharType="begin"/>
      </w:r>
      <w:r w:rsidR="00F06B1F">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NOTAS_POR_CUENTA!F161C8 </w:instrText>
      </w:r>
      <w:r w:rsidR="00F06B1F">
        <w:rPr>
          <w:rFonts w:eastAsia="Times New Roman" w:cs="Calibri"/>
          <w:color w:val="000000"/>
          <w:lang w:eastAsia="es-CR"/>
        </w:rPr>
        <w:instrText xml:space="preserve">\a \f 5 \h  \* MERGEFORMAT </w:instrText>
      </w:r>
      <w:r w:rsidR="00F06B1F">
        <w:rPr>
          <w:rFonts w:eastAsia="Times New Roman" w:cs="Calibri"/>
          <w:color w:val="000000"/>
          <w:lang w:eastAsia="es-CR"/>
        </w:rPr>
        <w:fldChar w:fldCharType="separate"/>
      </w:r>
    </w:p>
    <w:p w14:paraId="271B8D9B" w14:textId="3E498CE0" w:rsidR="00694299" w:rsidRPr="00473A78" w:rsidRDefault="00694299" w:rsidP="00473A78">
      <w:pPr>
        <w:spacing w:line="240" w:lineRule="auto"/>
        <w:rPr>
          <w:rFonts w:eastAsia="Times New Roman" w:cs="Calibri"/>
          <w:sz w:val="20"/>
          <w:szCs w:val="20"/>
        </w:rPr>
      </w:pPr>
      <w:r w:rsidRPr="00694299">
        <w:rPr>
          <w:rFonts w:eastAsia="Times New Roman" w:cs="Calibri"/>
          <w:color w:val="000000"/>
          <w:lang w:eastAsia="es-CR"/>
        </w:rPr>
        <w:t xml:space="preserve">La cuenta Provisiones y reservas técnicas a largo plazo, representa el </w:t>
      </w:r>
      <w:r w:rsidR="00473A78">
        <w:rPr>
          <w:rFonts w:eastAsia="Times New Roman" w:cs="Calibri"/>
          <w:color w:val="000000"/>
          <w:lang w:eastAsia="es-CR"/>
        </w:rPr>
        <w:t>2</w:t>
      </w:r>
      <w:r w:rsidRPr="00694299">
        <w:rPr>
          <w:rFonts w:eastAsia="Times New Roman" w:cs="Calibri"/>
          <w:color w:val="000000"/>
          <w:lang w:eastAsia="es-CR"/>
        </w:rPr>
        <w:t>,</w:t>
      </w:r>
      <w:r w:rsidR="00473A78">
        <w:rPr>
          <w:rFonts w:eastAsia="Times New Roman" w:cs="Calibri"/>
          <w:color w:val="000000"/>
          <w:lang w:eastAsia="es-CR"/>
        </w:rPr>
        <w:t>22</w:t>
      </w:r>
      <w:r w:rsidRPr="00694299">
        <w:rPr>
          <w:rFonts w:eastAsia="Times New Roman" w:cs="Calibri"/>
          <w:color w:val="000000"/>
          <w:lang w:eastAsia="es-CR"/>
        </w:rPr>
        <w:t xml:space="preserve">% del total del Pasivo, que comparado al periodo anterior genera una variación absoluta de </w:t>
      </w:r>
      <w:r w:rsidR="00473A78" w:rsidRPr="00473A78">
        <w:rPr>
          <w:rFonts w:eastAsia="Times New Roman" w:cs="Calibri"/>
          <w:color w:val="000000"/>
          <w:lang w:eastAsia="es-CR"/>
        </w:rPr>
        <w:t xml:space="preserve">39 958,20 </w:t>
      </w:r>
      <w:r w:rsidRPr="00694299">
        <w:rPr>
          <w:rFonts w:eastAsia="Times New Roman" w:cs="Calibri"/>
          <w:color w:val="000000"/>
          <w:lang w:eastAsia="es-CR"/>
        </w:rPr>
        <w:t xml:space="preserve">que corresponde a un Aumento del </w:t>
      </w:r>
      <w:r w:rsidR="00473A78">
        <w:rPr>
          <w:rFonts w:eastAsia="Times New Roman" w:cs="Calibri"/>
          <w:color w:val="000000"/>
          <w:lang w:eastAsia="es-CR"/>
        </w:rPr>
        <w:t>1352</w:t>
      </w:r>
      <w:r w:rsidRPr="00694299">
        <w:rPr>
          <w:rFonts w:eastAsia="Times New Roman" w:cs="Calibri"/>
          <w:color w:val="000000"/>
          <w:lang w:eastAsia="es-CR"/>
        </w:rPr>
        <w:t>,</w:t>
      </w:r>
      <w:r w:rsidR="00473A78">
        <w:rPr>
          <w:rFonts w:eastAsia="Times New Roman" w:cs="Calibri"/>
          <w:color w:val="000000"/>
          <w:lang w:eastAsia="es-CR"/>
        </w:rPr>
        <w:t>61</w:t>
      </w:r>
      <w:r w:rsidRPr="00694299">
        <w:rPr>
          <w:rFonts w:eastAsia="Times New Roman" w:cs="Calibri"/>
          <w:color w:val="000000"/>
          <w:lang w:eastAsia="es-CR"/>
        </w:rPr>
        <w:t>% de recursos disponibles.</w:t>
      </w:r>
    </w:p>
    <w:p w14:paraId="350A4DC4" w14:textId="0AAD3985" w:rsidR="003421AB" w:rsidRPr="00F06B1F" w:rsidRDefault="00F06B1F" w:rsidP="00473A78">
      <w:pPr>
        <w:spacing w:line="240" w:lineRule="auto"/>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4F30A606" w14:textId="65E73F1D" w:rsidR="00CF4D8B" w:rsidRDefault="00CF4D8B" w:rsidP="00CF4D8B">
      <w:pPr>
        <w:spacing w:after="0" w:line="240" w:lineRule="auto"/>
      </w:pPr>
      <w:r w:rsidRPr="002F29CB">
        <w:t xml:space="preserve">A que </w:t>
      </w:r>
      <w:r>
        <w:t xml:space="preserve">a partir del </w:t>
      </w:r>
      <w:r w:rsidRPr="002F29CB">
        <w:t xml:space="preserve">mes de junio de </w:t>
      </w:r>
      <w:r>
        <w:t>202</w:t>
      </w:r>
      <w:r w:rsidR="00453773">
        <w:t>3</w:t>
      </w:r>
      <w:r w:rsidRPr="002F29CB">
        <w:t xml:space="preserve"> se realiza el aprovisionamiento de las salidas de recurso que tendrá que realizar la Municipalidad en el futuro, por concepto de pago de cesantía a aquellos </w:t>
      </w:r>
      <w:r>
        <w:t>funcionarios</w:t>
      </w:r>
      <w:r w:rsidRPr="002F29CB">
        <w:t xml:space="preserve"> que se</w:t>
      </w:r>
      <w:r>
        <w:t>an despedidos con responsabilidad patronal o</w:t>
      </w:r>
      <w:r w:rsidRPr="002F29CB">
        <w:t xml:space="preserve"> </w:t>
      </w:r>
      <w:r>
        <w:t xml:space="preserve">que se </w:t>
      </w:r>
      <w:r w:rsidRPr="002F29CB">
        <w:t>acog</w:t>
      </w:r>
      <w:r>
        <w:t>i</w:t>
      </w:r>
      <w:r w:rsidRPr="002F29CB">
        <w:t>er</w:t>
      </w:r>
      <w:r>
        <w:t>a</w:t>
      </w:r>
      <w:r w:rsidRPr="002F29CB">
        <w:t>n al beneficio de jubilación.</w:t>
      </w:r>
      <w:r>
        <w:t xml:space="preserve"> Cabe señalar, que el monto provisionado corresponde a un monto parcial.</w:t>
      </w:r>
    </w:p>
    <w:p w14:paraId="5A6D6A56" w14:textId="185E2147" w:rsidR="00CF4D8B" w:rsidRDefault="00CF4D8B" w:rsidP="00CF4D8B">
      <w:pPr>
        <w:spacing w:after="0" w:line="240" w:lineRule="auto"/>
      </w:pPr>
    </w:p>
    <w:p w14:paraId="2EAE0268" w14:textId="77777777" w:rsidR="003421AB" w:rsidRPr="00692DC8" w:rsidRDefault="003421AB" w:rsidP="003421AB">
      <w:pPr>
        <w:rPr>
          <w:highlight w:val="lightGray"/>
        </w:rPr>
      </w:pPr>
    </w:p>
    <w:p w14:paraId="4E4AAE74" w14:textId="77777777" w:rsidR="00692DC8" w:rsidRPr="00692DC8" w:rsidRDefault="00692DC8" w:rsidP="003421AB">
      <w:pPr>
        <w:pStyle w:val="Ttulo4"/>
        <w:spacing w:after="240"/>
        <w:rPr>
          <w:rFonts w:eastAsia="Times New Roman"/>
        </w:rPr>
      </w:pPr>
      <w:bookmarkStart w:id="391" w:name="_Toc82768950"/>
      <w:bookmarkStart w:id="392" w:name="_Toc173245250"/>
      <w:r w:rsidRPr="00692DC8">
        <w:rPr>
          <w:rFonts w:eastAsia="Times New Roman"/>
        </w:rPr>
        <w:t>NOTA N° 23</w:t>
      </w:r>
      <w:bookmarkEnd w:id="388"/>
      <w:bookmarkEnd w:id="389"/>
      <w:bookmarkEnd w:id="390"/>
      <w:bookmarkEnd w:id="391"/>
      <w:bookmarkEnd w:id="392"/>
    </w:p>
    <w:p w14:paraId="021521EA" w14:textId="77777777" w:rsidR="00694299" w:rsidRDefault="00692DC8" w:rsidP="003421AB">
      <w:pPr>
        <w:spacing w:before="240"/>
        <w:rPr>
          <w:rFonts w:asciiTheme="minorHAnsi" w:hAnsiTheme="minorHAnsi"/>
          <w:sz w:val="22"/>
        </w:rPr>
      </w:pPr>
      <w:bookmarkStart w:id="393" w:name="_Toc82768951"/>
      <w:r w:rsidRPr="00692DC8">
        <w:rPr>
          <w:rFonts w:eastAsia="Times New Roman"/>
        </w:rPr>
        <w:t>Otros pasivos a largo plazo</w:t>
      </w:r>
      <w:bookmarkEnd w:id="393"/>
      <w:r w:rsidR="00F06B1F">
        <w:rPr>
          <w:rFonts w:eastAsiaTheme="majorEastAsia" w:cstheme="majorBidi"/>
          <w:b/>
          <w:iCs/>
        </w:rPr>
        <w:fldChar w:fldCharType="begin"/>
      </w:r>
      <w:r w:rsidR="00F06B1F">
        <w:instrText xml:space="preserve"> LINK </w:instrText>
      </w:r>
      <w:r w:rsidR="00323752">
        <w:instrText xml:space="preserve">Excel.SheetMacroEnabled.12 "D:\\MORAVIA\\INSUMOS\\NOTAS 2024\\Formato_Notas_EEFF_Vinculadas_2024\\XXXXX_PXX_202X_Anexo_Estado_Notas_Contables_Vinculadas.xlsm" NOTAS_POR_CUENTA!F167C1:F169C6 </w:instrText>
      </w:r>
      <w:r w:rsidR="00F06B1F">
        <w:instrText xml:space="preserve">\a \f 4 \h </w:instrText>
      </w:r>
      <w:r w:rsidR="00F06B1F">
        <w:fldChar w:fldCharType="separate"/>
      </w:r>
    </w:p>
    <w:tbl>
      <w:tblPr>
        <w:tblW w:w="8847" w:type="dxa"/>
        <w:tblCellMar>
          <w:left w:w="70" w:type="dxa"/>
          <w:right w:w="70" w:type="dxa"/>
        </w:tblCellMar>
        <w:tblLook w:val="04A0" w:firstRow="1" w:lastRow="0" w:firstColumn="1" w:lastColumn="0" w:noHBand="0" w:noVBand="1"/>
      </w:tblPr>
      <w:tblGrid>
        <w:gridCol w:w="991"/>
        <w:gridCol w:w="3009"/>
        <w:gridCol w:w="500"/>
        <w:gridCol w:w="1586"/>
        <w:gridCol w:w="1701"/>
        <w:gridCol w:w="1060"/>
      </w:tblGrid>
      <w:tr w:rsidR="00694299" w:rsidRPr="00694299" w14:paraId="29B9C4F0" w14:textId="77777777" w:rsidTr="00E71EFA">
        <w:trPr>
          <w:divId w:val="455031324"/>
          <w:trHeight w:val="324"/>
        </w:trPr>
        <w:tc>
          <w:tcPr>
            <w:tcW w:w="99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E458E60" w14:textId="0C3FAE79"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300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D73DE7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12AD3D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5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30E0A7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CB460E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7EF575E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4BBC22C7" w14:textId="77777777" w:rsidTr="00E71EFA">
        <w:trPr>
          <w:divId w:val="455031324"/>
          <w:trHeight w:val="324"/>
        </w:trPr>
        <w:tc>
          <w:tcPr>
            <w:tcW w:w="991" w:type="dxa"/>
            <w:vMerge/>
            <w:tcBorders>
              <w:top w:val="single" w:sz="8" w:space="0" w:color="auto"/>
              <w:left w:val="single" w:sz="8" w:space="0" w:color="auto"/>
              <w:bottom w:val="single" w:sz="8" w:space="0" w:color="000000"/>
              <w:right w:val="single" w:sz="8" w:space="0" w:color="auto"/>
            </w:tcBorders>
            <w:vAlign w:val="center"/>
            <w:hideMark/>
          </w:tcPr>
          <w:p w14:paraId="56C4FBBC"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3009" w:type="dxa"/>
            <w:vMerge/>
            <w:tcBorders>
              <w:top w:val="single" w:sz="8" w:space="0" w:color="auto"/>
              <w:left w:val="single" w:sz="8" w:space="0" w:color="auto"/>
              <w:bottom w:val="single" w:sz="8" w:space="0" w:color="000000"/>
              <w:right w:val="single" w:sz="8" w:space="0" w:color="auto"/>
            </w:tcBorders>
            <w:vAlign w:val="center"/>
            <w:hideMark/>
          </w:tcPr>
          <w:p w14:paraId="5DFA3F4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4595FED"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53C1F39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52AAE8A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01AC5817"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51C02C14" w14:textId="77777777" w:rsidTr="00E71EFA">
        <w:trPr>
          <w:divId w:val="455031324"/>
          <w:trHeight w:val="324"/>
        </w:trPr>
        <w:tc>
          <w:tcPr>
            <w:tcW w:w="991" w:type="dxa"/>
            <w:tcBorders>
              <w:top w:val="nil"/>
              <w:left w:val="single" w:sz="8" w:space="0" w:color="auto"/>
              <w:bottom w:val="single" w:sz="8" w:space="0" w:color="auto"/>
              <w:right w:val="single" w:sz="8" w:space="0" w:color="auto"/>
            </w:tcBorders>
            <w:shd w:val="clear" w:color="auto" w:fill="auto"/>
            <w:noWrap/>
            <w:vAlign w:val="center"/>
            <w:hideMark/>
          </w:tcPr>
          <w:p w14:paraId="0B8EFD85"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2.2.9.</w:t>
            </w:r>
          </w:p>
        </w:tc>
        <w:tc>
          <w:tcPr>
            <w:tcW w:w="3009" w:type="dxa"/>
            <w:tcBorders>
              <w:top w:val="nil"/>
              <w:left w:val="nil"/>
              <w:bottom w:val="single" w:sz="8" w:space="0" w:color="auto"/>
              <w:right w:val="single" w:sz="8" w:space="0" w:color="auto"/>
            </w:tcBorders>
            <w:shd w:val="clear" w:color="auto" w:fill="auto"/>
            <w:vAlign w:val="center"/>
            <w:hideMark/>
          </w:tcPr>
          <w:p w14:paraId="07A09DE7"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Otros pasivos a largo plazo</w:t>
            </w:r>
          </w:p>
        </w:tc>
        <w:tc>
          <w:tcPr>
            <w:tcW w:w="500" w:type="dxa"/>
            <w:tcBorders>
              <w:top w:val="nil"/>
              <w:left w:val="nil"/>
              <w:bottom w:val="single" w:sz="8" w:space="0" w:color="auto"/>
              <w:right w:val="single" w:sz="8" w:space="0" w:color="auto"/>
            </w:tcBorders>
            <w:shd w:val="clear" w:color="auto" w:fill="auto"/>
            <w:noWrap/>
            <w:vAlign w:val="center"/>
            <w:hideMark/>
          </w:tcPr>
          <w:p w14:paraId="37D65E71"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23</w:t>
            </w:r>
          </w:p>
        </w:tc>
        <w:tc>
          <w:tcPr>
            <w:tcW w:w="1586" w:type="dxa"/>
            <w:tcBorders>
              <w:top w:val="nil"/>
              <w:left w:val="nil"/>
              <w:bottom w:val="single" w:sz="8" w:space="0" w:color="auto"/>
              <w:right w:val="single" w:sz="8" w:space="0" w:color="auto"/>
            </w:tcBorders>
            <w:shd w:val="clear" w:color="auto" w:fill="auto"/>
            <w:noWrap/>
            <w:vAlign w:val="center"/>
            <w:hideMark/>
          </w:tcPr>
          <w:p w14:paraId="35F1DF61"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701" w:type="dxa"/>
            <w:tcBorders>
              <w:top w:val="nil"/>
              <w:left w:val="nil"/>
              <w:bottom w:val="single" w:sz="8" w:space="0" w:color="auto"/>
              <w:right w:val="single" w:sz="8" w:space="0" w:color="auto"/>
            </w:tcBorders>
            <w:shd w:val="clear" w:color="auto" w:fill="auto"/>
            <w:noWrap/>
            <w:vAlign w:val="center"/>
            <w:hideMark/>
          </w:tcPr>
          <w:p w14:paraId="1B136D46"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5353D285"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2FE6BBE1" w14:textId="77777777" w:rsidR="00694299" w:rsidRDefault="00F06B1F" w:rsidP="003421AB">
      <w:pPr>
        <w:spacing w:before="240"/>
        <w:rPr>
          <w:rFonts w:asciiTheme="minorHAnsi" w:hAnsiTheme="minorHAnsi"/>
          <w:sz w:val="22"/>
        </w:rPr>
      </w:pPr>
      <w:r>
        <w:fldChar w:fldCharType="end"/>
      </w:r>
      <w:r w:rsidR="00692DC8" w:rsidRPr="00692DC8">
        <w:rPr>
          <w:szCs w:val="24"/>
        </w:rPr>
        <w:t>Detalle cuenta:</w:t>
      </w:r>
      <w:r>
        <w:rPr>
          <w:lang w:eastAsia="es-CR"/>
        </w:rPr>
        <w:fldChar w:fldCharType="begin"/>
      </w:r>
      <w:r>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NOTAS_POR_CUENTA!F171C1:F173C6 </w:instrText>
      </w:r>
      <w:r>
        <w:rPr>
          <w:lang w:eastAsia="es-CR"/>
        </w:rPr>
        <w:instrText xml:space="preserve">\a \f 4 \h </w:instrText>
      </w:r>
      <w:r>
        <w:rPr>
          <w:lang w:eastAsia="es-CR"/>
        </w:rPr>
        <w:fldChar w:fldCharType="separate"/>
      </w:r>
    </w:p>
    <w:tbl>
      <w:tblPr>
        <w:tblW w:w="8847" w:type="dxa"/>
        <w:tblCellMar>
          <w:left w:w="70" w:type="dxa"/>
          <w:right w:w="70" w:type="dxa"/>
        </w:tblCellMar>
        <w:tblLook w:val="04A0" w:firstRow="1" w:lastRow="0" w:firstColumn="1" w:lastColumn="0" w:noHBand="0" w:noVBand="1"/>
      </w:tblPr>
      <w:tblGrid>
        <w:gridCol w:w="1166"/>
        <w:gridCol w:w="2834"/>
        <w:gridCol w:w="500"/>
        <w:gridCol w:w="1586"/>
        <w:gridCol w:w="1701"/>
        <w:gridCol w:w="1060"/>
      </w:tblGrid>
      <w:tr w:rsidR="00694299" w:rsidRPr="00694299" w14:paraId="76A00936" w14:textId="77777777" w:rsidTr="00E71EFA">
        <w:trPr>
          <w:divId w:val="1336107280"/>
          <w:trHeight w:val="324"/>
        </w:trPr>
        <w:tc>
          <w:tcPr>
            <w:tcW w:w="116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317A5A0" w14:textId="03A36F05"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83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D39BD5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B20D698"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5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5D55CF6"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55C17B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3907ADB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19B6C2F7" w14:textId="77777777" w:rsidTr="00E71EFA">
        <w:trPr>
          <w:divId w:val="1336107280"/>
          <w:trHeight w:val="324"/>
        </w:trPr>
        <w:tc>
          <w:tcPr>
            <w:tcW w:w="1166" w:type="dxa"/>
            <w:vMerge/>
            <w:tcBorders>
              <w:top w:val="single" w:sz="8" w:space="0" w:color="auto"/>
              <w:left w:val="single" w:sz="8" w:space="0" w:color="auto"/>
              <w:bottom w:val="single" w:sz="8" w:space="0" w:color="000000"/>
              <w:right w:val="single" w:sz="8" w:space="0" w:color="auto"/>
            </w:tcBorders>
            <w:vAlign w:val="center"/>
            <w:hideMark/>
          </w:tcPr>
          <w:p w14:paraId="748E649C"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834" w:type="dxa"/>
            <w:vMerge/>
            <w:tcBorders>
              <w:top w:val="single" w:sz="8" w:space="0" w:color="auto"/>
              <w:left w:val="single" w:sz="8" w:space="0" w:color="auto"/>
              <w:bottom w:val="single" w:sz="8" w:space="0" w:color="000000"/>
              <w:right w:val="single" w:sz="8" w:space="0" w:color="auto"/>
            </w:tcBorders>
            <w:vAlign w:val="center"/>
            <w:hideMark/>
          </w:tcPr>
          <w:p w14:paraId="15B6A897"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B6E5C55"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73D8FA8C"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6610CC9C"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2D867156"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6AFCF04D" w14:textId="77777777" w:rsidTr="00E71EFA">
        <w:trPr>
          <w:divId w:val="1336107280"/>
          <w:trHeight w:val="324"/>
        </w:trPr>
        <w:tc>
          <w:tcPr>
            <w:tcW w:w="1166" w:type="dxa"/>
            <w:tcBorders>
              <w:top w:val="nil"/>
              <w:left w:val="single" w:sz="8" w:space="0" w:color="auto"/>
              <w:bottom w:val="single" w:sz="8" w:space="0" w:color="auto"/>
              <w:right w:val="single" w:sz="8" w:space="0" w:color="auto"/>
            </w:tcBorders>
            <w:shd w:val="clear" w:color="auto" w:fill="auto"/>
            <w:noWrap/>
            <w:vAlign w:val="center"/>
            <w:hideMark/>
          </w:tcPr>
          <w:p w14:paraId="13624597"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2.2.9.01.</w:t>
            </w:r>
          </w:p>
        </w:tc>
        <w:tc>
          <w:tcPr>
            <w:tcW w:w="2834" w:type="dxa"/>
            <w:tcBorders>
              <w:top w:val="nil"/>
              <w:left w:val="nil"/>
              <w:bottom w:val="single" w:sz="8" w:space="0" w:color="auto"/>
              <w:right w:val="single" w:sz="8" w:space="0" w:color="auto"/>
            </w:tcBorders>
            <w:shd w:val="clear" w:color="auto" w:fill="auto"/>
            <w:vAlign w:val="center"/>
            <w:hideMark/>
          </w:tcPr>
          <w:p w14:paraId="3C146CC0"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Ingresos a devengar a largo plazo</w:t>
            </w:r>
          </w:p>
        </w:tc>
        <w:tc>
          <w:tcPr>
            <w:tcW w:w="500" w:type="dxa"/>
            <w:tcBorders>
              <w:top w:val="nil"/>
              <w:left w:val="nil"/>
              <w:bottom w:val="single" w:sz="8" w:space="0" w:color="auto"/>
              <w:right w:val="single" w:sz="8" w:space="0" w:color="auto"/>
            </w:tcBorders>
            <w:shd w:val="clear" w:color="auto" w:fill="auto"/>
            <w:noWrap/>
            <w:vAlign w:val="bottom"/>
            <w:hideMark/>
          </w:tcPr>
          <w:p w14:paraId="769CD2BF"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23</w:t>
            </w:r>
          </w:p>
        </w:tc>
        <w:tc>
          <w:tcPr>
            <w:tcW w:w="1586" w:type="dxa"/>
            <w:tcBorders>
              <w:top w:val="nil"/>
              <w:left w:val="nil"/>
              <w:bottom w:val="single" w:sz="8" w:space="0" w:color="auto"/>
              <w:right w:val="single" w:sz="8" w:space="0" w:color="auto"/>
            </w:tcBorders>
            <w:shd w:val="clear" w:color="auto" w:fill="auto"/>
            <w:noWrap/>
            <w:vAlign w:val="center"/>
            <w:hideMark/>
          </w:tcPr>
          <w:p w14:paraId="794DD0C9"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701" w:type="dxa"/>
            <w:tcBorders>
              <w:top w:val="nil"/>
              <w:left w:val="nil"/>
              <w:bottom w:val="single" w:sz="8" w:space="0" w:color="auto"/>
              <w:right w:val="single" w:sz="8" w:space="0" w:color="auto"/>
            </w:tcBorders>
            <w:shd w:val="clear" w:color="auto" w:fill="auto"/>
            <w:noWrap/>
            <w:vAlign w:val="center"/>
            <w:hideMark/>
          </w:tcPr>
          <w:p w14:paraId="394FA256"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3F1385B3"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5CC6316E" w14:textId="2CBAB32B" w:rsidR="00692DC8" w:rsidRPr="00F06B1F" w:rsidRDefault="00F06B1F" w:rsidP="003421AB">
      <w:pPr>
        <w:spacing w:before="240"/>
        <w:rPr>
          <w:sz w:val="20"/>
          <w:szCs w:val="20"/>
          <w:lang w:eastAsia="es-CR"/>
        </w:rPr>
      </w:pPr>
      <w:r>
        <w:rPr>
          <w:sz w:val="20"/>
          <w:szCs w:val="20"/>
          <w:lang w:eastAsia="es-CR"/>
        </w:rPr>
        <w:fldChar w:fldCharType="end"/>
      </w:r>
      <w:r w:rsidR="00692DC8" w:rsidRPr="00692DC8">
        <w:t>Indicar el detalle de cómo está compuesta la cuenta:</w:t>
      </w:r>
    </w:p>
    <w:p w14:paraId="3A633AC7" w14:textId="77777777" w:rsidR="00692DC8" w:rsidRPr="00692DC8" w:rsidRDefault="00692DC8" w:rsidP="003421AB">
      <w:pPr>
        <w:rPr>
          <w:rFonts w:eastAsia="Times New Roman"/>
          <w:lang w:eastAsia="es-CR"/>
        </w:rPr>
      </w:pPr>
      <w:r w:rsidRPr="00692DC8">
        <w:rPr>
          <w:rFonts w:eastAsia="Times New Roman"/>
          <w:lang w:eastAsia="es-CR"/>
        </w:rPr>
        <w:t>________________________________________________________________________________________________________________________________________________________________________________________________________________________________________________</w:t>
      </w:r>
    </w:p>
    <w:p w14:paraId="76917F4C" w14:textId="77777777" w:rsidR="00694299" w:rsidRPr="00694299" w:rsidRDefault="00692DC8" w:rsidP="005F1679">
      <w:pPr>
        <w:rPr>
          <w:sz w:val="20"/>
          <w:szCs w:val="20"/>
          <w:lang w:eastAsia="es-CR"/>
        </w:rPr>
      </w:pPr>
      <w:r w:rsidRPr="00692DC8">
        <w:rPr>
          <w:b/>
          <w:bCs/>
          <w:lang w:val="es-ES"/>
        </w:rPr>
        <w:t>Revelación</w:t>
      </w:r>
      <w:r w:rsidRPr="00692DC8">
        <w:rPr>
          <w:lang w:val="es-ES"/>
        </w:rPr>
        <w:t xml:space="preserve">: </w:t>
      </w:r>
      <w:r w:rsidR="005F1679">
        <w:rPr>
          <w:rFonts w:eastAsia="Times New Roman" w:cs="Calibri"/>
          <w:color w:val="000000"/>
          <w:lang w:eastAsia="es-CR"/>
        </w:rPr>
        <w:fldChar w:fldCharType="begin"/>
      </w:r>
      <w:r w:rsidR="005F1679">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NOTAS_POR_CUENTA!F169C8 </w:instrText>
      </w:r>
      <w:r w:rsidR="005F1679">
        <w:rPr>
          <w:rFonts w:eastAsia="Times New Roman" w:cs="Calibri"/>
          <w:color w:val="000000"/>
          <w:lang w:eastAsia="es-CR"/>
        </w:rPr>
        <w:instrText xml:space="preserve">\a \f 5 \h  \* MERGEFORMAT </w:instrText>
      </w:r>
      <w:r w:rsidR="005F1679">
        <w:rPr>
          <w:rFonts w:eastAsia="Times New Roman" w:cs="Calibri"/>
          <w:color w:val="000000"/>
          <w:lang w:eastAsia="es-CR"/>
        </w:rPr>
        <w:fldChar w:fldCharType="separate"/>
      </w:r>
    </w:p>
    <w:p w14:paraId="3ECB66D0" w14:textId="77777777" w:rsidR="00694299" w:rsidRPr="00694299" w:rsidRDefault="00694299" w:rsidP="00473A78">
      <w:pPr>
        <w:spacing w:line="240" w:lineRule="auto"/>
        <w:rPr>
          <w:rFonts w:eastAsia="Times New Roman" w:cs="Calibri"/>
          <w:color w:val="000000"/>
          <w:lang w:eastAsia="es-CR"/>
        </w:rPr>
      </w:pPr>
      <w:r w:rsidRPr="00694299">
        <w:rPr>
          <w:rFonts w:eastAsia="Times New Roman" w:cs="Calibri"/>
          <w:color w:val="000000"/>
          <w:lang w:eastAsia="es-CR"/>
        </w:rPr>
        <w:t>La cuenta Otros pasivos a largo plazo, representa el 0,00% del total del Pasivo, que comparado al periodo anterior genera una variación absoluta de 0 000,00 que corresponde a un Aumento del 0,00% de recursos disponibles.</w:t>
      </w:r>
    </w:p>
    <w:p w14:paraId="57A8527D" w14:textId="73B330E6" w:rsidR="00692DC8" w:rsidRPr="00692DC8" w:rsidRDefault="005F1679" w:rsidP="00473A78">
      <w:pPr>
        <w:spacing w:line="240" w:lineRule="auto"/>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22CE7830" w14:textId="77777777" w:rsidR="003421AB" w:rsidRDefault="003421AB" w:rsidP="003421AB">
      <w:pPr>
        <w:rPr>
          <w:i/>
          <w:sz w:val="20"/>
          <w:szCs w:val="20"/>
        </w:rPr>
      </w:pPr>
    </w:p>
    <w:p w14:paraId="3574F482" w14:textId="77777777" w:rsidR="00CF4D8B" w:rsidRPr="00692DC8" w:rsidRDefault="00CF4D8B" w:rsidP="003421AB">
      <w:pPr>
        <w:rPr>
          <w:i/>
          <w:sz w:val="20"/>
          <w:szCs w:val="20"/>
        </w:rPr>
      </w:pPr>
    </w:p>
    <w:p w14:paraId="6CDB5AD9" w14:textId="1223C68C" w:rsidR="00692DC8" w:rsidRPr="00692DC8" w:rsidRDefault="003421AB" w:rsidP="003421AB">
      <w:pPr>
        <w:pStyle w:val="Ttulo3"/>
        <w:rPr>
          <w:rFonts w:eastAsia="Times New Roman"/>
          <w:lang w:eastAsia="es-CR"/>
        </w:rPr>
      </w:pPr>
      <w:bookmarkStart w:id="394" w:name="_Toc13041164"/>
      <w:bookmarkStart w:id="395" w:name="_Toc14345163"/>
      <w:bookmarkStart w:id="396" w:name="_Toc33601243"/>
      <w:bookmarkStart w:id="397" w:name="_Toc82768952"/>
      <w:bookmarkStart w:id="398" w:name="_Toc173245251"/>
      <w:r>
        <w:rPr>
          <w:rFonts w:eastAsia="Times New Roman"/>
          <w:lang w:eastAsia="es-CR"/>
        </w:rPr>
        <w:t xml:space="preserve">3. </w:t>
      </w:r>
      <w:r w:rsidR="00692DC8" w:rsidRPr="00692DC8">
        <w:rPr>
          <w:rFonts w:eastAsia="Times New Roman"/>
          <w:lang w:eastAsia="es-CR"/>
        </w:rPr>
        <w:t>PATRIMONIO</w:t>
      </w:r>
      <w:bookmarkEnd w:id="394"/>
      <w:bookmarkEnd w:id="395"/>
      <w:bookmarkEnd w:id="396"/>
      <w:bookmarkEnd w:id="397"/>
      <w:bookmarkEnd w:id="398"/>
      <w:r w:rsidR="00692DC8" w:rsidRPr="00692DC8">
        <w:rPr>
          <w:rFonts w:eastAsia="Times New Roman"/>
          <w:lang w:eastAsia="es-CR"/>
        </w:rPr>
        <w:t xml:space="preserve"> </w:t>
      </w:r>
      <w:bookmarkStart w:id="399" w:name="_Toc54976741"/>
      <w:bookmarkStart w:id="400" w:name="_Toc54977021"/>
      <w:bookmarkStart w:id="401" w:name="_Toc54977300"/>
      <w:bookmarkStart w:id="402" w:name="_Toc54977581"/>
      <w:bookmarkStart w:id="403" w:name="_Toc54977862"/>
      <w:bookmarkStart w:id="404" w:name="_Toc54978143"/>
      <w:bookmarkStart w:id="405" w:name="_Toc54978452"/>
      <w:bookmarkStart w:id="406" w:name="_Toc54978761"/>
      <w:bookmarkStart w:id="407" w:name="_Toc54979071"/>
      <w:bookmarkStart w:id="408" w:name="_Toc55059358"/>
      <w:bookmarkStart w:id="409" w:name="_Toc55059669"/>
      <w:bookmarkStart w:id="410" w:name="_Toc55060336"/>
      <w:bookmarkStart w:id="411" w:name="_Toc55060721"/>
      <w:bookmarkStart w:id="412" w:name="_Toc55062710"/>
      <w:bookmarkStart w:id="413" w:name="_Toc55062980"/>
      <w:bookmarkStart w:id="414" w:name="_Toc55063231"/>
      <w:bookmarkStart w:id="415" w:name="_Toc55063484"/>
      <w:bookmarkStart w:id="416" w:name="_Toc55063738"/>
      <w:bookmarkStart w:id="417" w:name="_Toc55064010"/>
      <w:bookmarkStart w:id="418" w:name="_Toc55069813"/>
      <w:bookmarkStart w:id="419" w:name="_Toc55070081"/>
      <w:bookmarkStart w:id="420" w:name="_Toc55070348"/>
      <w:bookmarkStart w:id="421" w:name="_Toc55070616"/>
      <w:bookmarkStart w:id="422" w:name="_Toc55070883"/>
      <w:bookmarkStart w:id="423" w:name="_Toc55201406"/>
      <w:bookmarkStart w:id="424" w:name="_Toc55824636"/>
      <w:bookmarkStart w:id="425" w:name="_Toc55825021"/>
      <w:bookmarkStart w:id="426" w:name="_Toc55828955"/>
      <w:bookmarkStart w:id="427" w:name="_Toc56002209"/>
      <w:bookmarkStart w:id="428" w:name="_Toc56002485"/>
      <w:bookmarkStart w:id="429" w:name="_Toc56004679"/>
      <w:bookmarkStart w:id="430" w:name="_Toc56065356"/>
      <w:bookmarkStart w:id="431" w:name="_Toc71563837"/>
      <w:bookmarkStart w:id="432" w:name="_Toc54976742"/>
      <w:bookmarkStart w:id="433" w:name="_Toc54977022"/>
      <w:bookmarkStart w:id="434" w:name="_Toc54977301"/>
      <w:bookmarkStart w:id="435" w:name="_Toc54977582"/>
      <w:bookmarkStart w:id="436" w:name="_Toc54977863"/>
      <w:bookmarkStart w:id="437" w:name="_Toc54978144"/>
      <w:bookmarkStart w:id="438" w:name="_Toc54978453"/>
      <w:bookmarkStart w:id="439" w:name="_Toc54978762"/>
      <w:bookmarkStart w:id="440" w:name="_Toc54979072"/>
      <w:bookmarkStart w:id="441" w:name="_Toc55059359"/>
      <w:bookmarkStart w:id="442" w:name="_Toc55059670"/>
      <w:bookmarkStart w:id="443" w:name="_Toc55060337"/>
      <w:bookmarkStart w:id="444" w:name="_Toc55060722"/>
      <w:bookmarkStart w:id="445" w:name="_Toc55062711"/>
      <w:bookmarkStart w:id="446" w:name="_Toc55062981"/>
      <w:bookmarkStart w:id="447" w:name="_Toc55063232"/>
      <w:bookmarkStart w:id="448" w:name="_Toc55063485"/>
      <w:bookmarkStart w:id="449" w:name="_Toc55063739"/>
      <w:bookmarkStart w:id="450" w:name="_Toc55064011"/>
      <w:bookmarkStart w:id="451" w:name="_Toc55069814"/>
      <w:bookmarkStart w:id="452" w:name="_Toc55070082"/>
      <w:bookmarkStart w:id="453" w:name="_Toc55070349"/>
      <w:bookmarkStart w:id="454" w:name="_Toc55070617"/>
      <w:bookmarkStart w:id="455" w:name="_Toc55070884"/>
      <w:bookmarkStart w:id="456" w:name="_Toc55201407"/>
      <w:bookmarkStart w:id="457" w:name="_Toc55824637"/>
      <w:bookmarkStart w:id="458" w:name="_Toc55825022"/>
      <w:bookmarkStart w:id="459" w:name="_Toc55828956"/>
      <w:bookmarkStart w:id="460" w:name="_Toc56002210"/>
      <w:bookmarkStart w:id="461" w:name="_Toc56002486"/>
      <w:bookmarkStart w:id="462" w:name="_Toc56004680"/>
      <w:bookmarkStart w:id="463" w:name="_Toc56065357"/>
      <w:bookmarkStart w:id="464" w:name="_Toc7156383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36392FD8" w14:textId="77777777" w:rsidR="00692DC8" w:rsidRPr="00692DC8" w:rsidRDefault="00692DC8" w:rsidP="003421AB">
      <w:pPr>
        <w:pStyle w:val="Ttulo3"/>
        <w:rPr>
          <w:rFonts w:eastAsia="Calibri"/>
          <w:lang w:eastAsia="es-CR"/>
        </w:rPr>
      </w:pPr>
      <w:bookmarkStart w:id="465" w:name="_Toc82768953"/>
      <w:bookmarkStart w:id="466" w:name="_Toc173245252"/>
      <w:r w:rsidRPr="00692DC8">
        <w:rPr>
          <w:rFonts w:eastAsia="Calibri"/>
          <w:lang w:eastAsia="es-CR"/>
        </w:rPr>
        <w:t>3.1 PATRIMONIO PUBLICO</w:t>
      </w:r>
      <w:bookmarkEnd w:id="465"/>
      <w:bookmarkEnd w:id="466"/>
    </w:p>
    <w:p w14:paraId="4AED326E" w14:textId="77777777" w:rsidR="00692DC8" w:rsidRPr="00692DC8" w:rsidRDefault="00692DC8" w:rsidP="003421AB">
      <w:pPr>
        <w:pStyle w:val="Ttulo4"/>
        <w:spacing w:after="240"/>
        <w:rPr>
          <w:rFonts w:eastAsia="Times New Roman"/>
        </w:rPr>
      </w:pPr>
      <w:bookmarkStart w:id="467" w:name="_Toc13041165"/>
      <w:bookmarkStart w:id="468" w:name="_Toc14345164"/>
      <w:bookmarkStart w:id="469" w:name="_Toc33601244"/>
      <w:bookmarkStart w:id="470" w:name="_Toc82768954"/>
      <w:bookmarkStart w:id="471" w:name="_Toc173245253"/>
      <w:r w:rsidRPr="00692DC8">
        <w:rPr>
          <w:rFonts w:eastAsia="Times New Roman"/>
        </w:rPr>
        <w:t>NOTA N° 24</w:t>
      </w:r>
      <w:bookmarkEnd w:id="467"/>
      <w:bookmarkEnd w:id="468"/>
      <w:bookmarkEnd w:id="469"/>
      <w:bookmarkEnd w:id="470"/>
      <w:bookmarkEnd w:id="471"/>
    </w:p>
    <w:p w14:paraId="63B65486" w14:textId="77777777" w:rsidR="00694299" w:rsidRDefault="00692DC8" w:rsidP="00E71EFA">
      <w:pPr>
        <w:spacing w:after="120" w:line="240" w:lineRule="auto"/>
        <w:rPr>
          <w:rFonts w:asciiTheme="minorHAnsi" w:hAnsiTheme="minorHAnsi"/>
          <w:sz w:val="22"/>
        </w:rPr>
      </w:pPr>
      <w:bookmarkStart w:id="472" w:name="_Toc82768955"/>
      <w:r w:rsidRPr="00692DC8">
        <w:rPr>
          <w:rFonts w:eastAsia="Times New Roman"/>
        </w:rPr>
        <w:t>Capital</w:t>
      </w:r>
      <w:bookmarkEnd w:id="472"/>
      <w:r w:rsidR="009C78C0">
        <w:rPr>
          <w:rFonts w:eastAsiaTheme="majorEastAsia" w:cstheme="majorBidi"/>
          <w:b/>
          <w:iCs/>
          <w:lang w:eastAsia="es-CR"/>
        </w:rPr>
        <w:fldChar w:fldCharType="begin"/>
      </w:r>
      <w:r w:rsidR="009C78C0">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NOTAS_POR_CUENTA!F178C1:F180C6 </w:instrText>
      </w:r>
      <w:r w:rsidR="009C78C0">
        <w:rPr>
          <w:lang w:eastAsia="es-CR"/>
        </w:rPr>
        <w:instrText xml:space="preserve">\a \f 4 \h </w:instrText>
      </w:r>
      <w:r w:rsidR="009C78C0">
        <w:rPr>
          <w:lang w:eastAsia="es-CR"/>
        </w:rPr>
        <w:fldChar w:fldCharType="separate"/>
      </w:r>
    </w:p>
    <w:p w14:paraId="2A9D087E" w14:textId="7DF75392" w:rsidR="00C572A3" w:rsidRDefault="009C78C0" w:rsidP="00453773">
      <w:pPr>
        <w:spacing w:after="0" w:line="240" w:lineRule="auto"/>
        <w:rPr>
          <w:rFonts w:asciiTheme="minorHAnsi" w:hAnsiTheme="minorHAnsi"/>
          <w:sz w:val="22"/>
        </w:rPr>
      </w:pPr>
      <w:r>
        <w:rPr>
          <w:sz w:val="20"/>
          <w:szCs w:val="20"/>
          <w:lang w:eastAsia="es-CR"/>
        </w:rPr>
        <w:fldChar w:fldCharType="end"/>
      </w:r>
      <w:r w:rsidR="00E71EFA">
        <w:rPr>
          <w:sz w:val="20"/>
          <w:szCs w:val="20"/>
          <w:lang w:eastAsia="es-CR"/>
        </w:rPr>
        <w:fldChar w:fldCharType="begin"/>
      </w:r>
      <w:r w:rsidR="00E71EFA">
        <w:rPr>
          <w:sz w:val="20"/>
          <w:szCs w:val="20"/>
          <w:lang w:eastAsia="es-CR"/>
        </w:rPr>
        <w:instrText xml:space="preserve"> LINK </w:instrText>
      </w:r>
      <w:r w:rsidR="0068177A">
        <w:rPr>
          <w:sz w:val="20"/>
          <w:szCs w:val="20"/>
          <w:lang w:eastAsia="es-CR"/>
        </w:rPr>
        <w:instrText xml:space="preserve">Excel.SheetMacroEnabled.12 "C:\\Users\\arges\\OneDrive\\Desktop\\Municipalidades\\Buenos Aires\\Cierre Junio 2024\\Notas Contables\\15603_T02_2024_Anexo_Estado_Notas_Contables_Vinculadas.xlsm" NOTAS_POR_CUENTA!R178C1:R180C6 </w:instrText>
      </w:r>
      <w:r w:rsidR="00E71EFA">
        <w:rPr>
          <w:sz w:val="20"/>
          <w:szCs w:val="20"/>
          <w:lang w:eastAsia="es-CR"/>
        </w:rPr>
        <w:instrText xml:space="preserve">\a \f 4 \h </w:instrText>
      </w:r>
      <w:r w:rsidR="00E71EFA">
        <w:rPr>
          <w:sz w:val="20"/>
          <w:szCs w:val="20"/>
          <w:lang w:eastAsia="es-CR"/>
        </w:rPr>
        <w:fldChar w:fldCharType="separate"/>
      </w:r>
    </w:p>
    <w:tbl>
      <w:tblPr>
        <w:tblW w:w="10080" w:type="dxa"/>
        <w:tblLook w:val="04A0" w:firstRow="1" w:lastRow="0" w:firstColumn="1" w:lastColumn="0" w:noHBand="0" w:noVBand="1"/>
      </w:tblPr>
      <w:tblGrid>
        <w:gridCol w:w="717"/>
        <w:gridCol w:w="3339"/>
        <w:gridCol w:w="544"/>
        <w:gridCol w:w="2200"/>
        <w:gridCol w:w="2200"/>
        <w:gridCol w:w="1080"/>
      </w:tblGrid>
      <w:tr w:rsidR="00C572A3" w:rsidRPr="00C572A3" w14:paraId="6C5525B7" w14:textId="77777777" w:rsidTr="00C572A3">
        <w:trPr>
          <w:divId w:val="1701198665"/>
          <w:trHeight w:val="320"/>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90D8D8E" w14:textId="5E562A2E" w:rsidR="00C572A3" w:rsidRPr="00C572A3" w:rsidRDefault="00C572A3" w:rsidP="00C572A3">
            <w:pP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7FC721B"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Descripción</w:t>
            </w:r>
          </w:p>
        </w:tc>
        <w:tc>
          <w:tcPr>
            <w:tcW w:w="5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AB2307A"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Nota</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0FA9AC7"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Actual </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91091B2"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Anterior </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2BB2257E"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Diferencia </w:t>
            </w:r>
          </w:p>
        </w:tc>
      </w:tr>
      <w:tr w:rsidR="00C572A3" w:rsidRPr="00C572A3" w14:paraId="053D9458" w14:textId="77777777" w:rsidTr="00C572A3">
        <w:trPr>
          <w:divId w:val="1701198665"/>
          <w:trHeight w:val="320"/>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1994E09C"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7F796F59"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14:paraId="70B1AFC0"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6BB053DB"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668DE32E"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1080" w:type="dxa"/>
            <w:tcBorders>
              <w:top w:val="nil"/>
              <w:left w:val="nil"/>
              <w:bottom w:val="single" w:sz="8" w:space="0" w:color="auto"/>
              <w:right w:val="single" w:sz="8" w:space="0" w:color="auto"/>
            </w:tcBorders>
            <w:shd w:val="clear" w:color="000000" w:fill="366092"/>
            <w:noWrap/>
            <w:vAlign w:val="center"/>
            <w:hideMark/>
          </w:tcPr>
          <w:p w14:paraId="6C5147D5" w14:textId="77777777" w:rsidR="00C572A3" w:rsidRPr="00C572A3" w:rsidRDefault="00C572A3" w:rsidP="00C572A3">
            <w:pPr>
              <w:spacing w:after="0" w:line="240" w:lineRule="auto"/>
              <w:jc w:val="center"/>
              <w:rPr>
                <w:rFonts w:eastAsia="Times New Roman" w:cs="Calibri"/>
                <w:color w:val="FFFFFF"/>
                <w:sz w:val="18"/>
                <w:szCs w:val="18"/>
                <w:lang w:val="en-US"/>
              </w:rPr>
            </w:pPr>
            <w:r w:rsidRPr="00C572A3">
              <w:rPr>
                <w:rFonts w:eastAsia="Times New Roman" w:cs="Calibri"/>
                <w:color w:val="FFFFFF"/>
                <w:sz w:val="18"/>
                <w:szCs w:val="18"/>
                <w:lang w:val="en-US"/>
              </w:rPr>
              <w:t>%</w:t>
            </w:r>
          </w:p>
        </w:tc>
      </w:tr>
      <w:tr w:rsidR="00C572A3" w:rsidRPr="00C572A3" w14:paraId="72060814" w14:textId="77777777" w:rsidTr="00C572A3">
        <w:trPr>
          <w:divId w:val="1701198665"/>
          <w:trHeight w:val="320"/>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26709F0E" w14:textId="77777777" w:rsidR="00C572A3" w:rsidRPr="00C572A3" w:rsidRDefault="00C572A3" w:rsidP="00C572A3">
            <w:pPr>
              <w:spacing w:after="0" w:line="240" w:lineRule="auto"/>
              <w:jc w:val="left"/>
              <w:rPr>
                <w:rFonts w:eastAsia="Times New Roman" w:cs="Calibri"/>
                <w:b/>
                <w:bCs/>
                <w:color w:val="000000"/>
                <w:sz w:val="18"/>
                <w:szCs w:val="18"/>
                <w:lang w:val="en-US"/>
              </w:rPr>
            </w:pPr>
            <w:r w:rsidRPr="00C572A3">
              <w:rPr>
                <w:rFonts w:eastAsia="Times New Roman" w:cs="Calibri"/>
                <w:b/>
                <w:bCs/>
                <w:color w:val="000000"/>
                <w:sz w:val="18"/>
                <w:szCs w:val="18"/>
                <w:lang w:val="en-US"/>
              </w:rPr>
              <w:t>3.1.1.</w:t>
            </w:r>
          </w:p>
        </w:tc>
        <w:tc>
          <w:tcPr>
            <w:tcW w:w="3380" w:type="dxa"/>
            <w:tcBorders>
              <w:top w:val="nil"/>
              <w:left w:val="nil"/>
              <w:bottom w:val="single" w:sz="8" w:space="0" w:color="auto"/>
              <w:right w:val="single" w:sz="8" w:space="0" w:color="auto"/>
            </w:tcBorders>
            <w:shd w:val="clear" w:color="auto" w:fill="auto"/>
            <w:vAlign w:val="center"/>
            <w:hideMark/>
          </w:tcPr>
          <w:p w14:paraId="4992A092" w14:textId="77777777" w:rsidR="00C572A3" w:rsidRPr="00C572A3" w:rsidRDefault="00C572A3" w:rsidP="00C572A3">
            <w:pPr>
              <w:spacing w:after="0" w:line="240" w:lineRule="auto"/>
              <w:rPr>
                <w:rFonts w:eastAsia="Times New Roman" w:cs="Calibri"/>
                <w:b/>
                <w:bCs/>
                <w:color w:val="000000"/>
                <w:sz w:val="18"/>
                <w:szCs w:val="18"/>
                <w:lang w:val="en-US"/>
              </w:rPr>
            </w:pPr>
            <w:r w:rsidRPr="00C572A3">
              <w:rPr>
                <w:rFonts w:eastAsia="Times New Roman" w:cs="Calibri"/>
                <w:b/>
                <w:bCs/>
                <w:color w:val="000000"/>
                <w:sz w:val="18"/>
                <w:szCs w:val="18"/>
                <w:lang w:val="en-US"/>
              </w:rPr>
              <w:t>Capital</w:t>
            </w:r>
          </w:p>
        </w:tc>
        <w:tc>
          <w:tcPr>
            <w:tcW w:w="520" w:type="dxa"/>
            <w:tcBorders>
              <w:top w:val="nil"/>
              <w:left w:val="nil"/>
              <w:bottom w:val="single" w:sz="8" w:space="0" w:color="auto"/>
              <w:right w:val="single" w:sz="8" w:space="0" w:color="auto"/>
            </w:tcBorders>
            <w:shd w:val="clear" w:color="auto" w:fill="auto"/>
            <w:noWrap/>
            <w:vAlign w:val="center"/>
            <w:hideMark/>
          </w:tcPr>
          <w:p w14:paraId="1926DBA1"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24</w:t>
            </w:r>
          </w:p>
        </w:tc>
        <w:tc>
          <w:tcPr>
            <w:tcW w:w="2200" w:type="dxa"/>
            <w:tcBorders>
              <w:top w:val="nil"/>
              <w:left w:val="nil"/>
              <w:bottom w:val="single" w:sz="8" w:space="0" w:color="auto"/>
              <w:right w:val="single" w:sz="8" w:space="0" w:color="auto"/>
            </w:tcBorders>
            <w:shd w:val="clear" w:color="auto" w:fill="auto"/>
            <w:noWrap/>
            <w:vAlign w:val="center"/>
            <w:hideMark/>
          </w:tcPr>
          <w:p w14:paraId="02C47A1F"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0,52 </w:t>
            </w:r>
          </w:p>
        </w:tc>
        <w:tc>
          <w:tcPr>
            <w:tcW w:w="2200" w:type="dxa"/>
            <w:tcBorders>
              <w:top w:val="nil"/>
              <w:left w:val="nil"/>
              <w:bottom w:val="single" w:sz="8" w:space="0" w:color="auto"/>
              <w:right w:val="single" w:sz="8" w:space="0" w:color="auto"/>
            </w:tcBorders>
            <w:shd w:val="clear" w:color="auto" w:fill="auto"/>
            <w:noWrap/>
            <w:vAlign w:val="center"/>
            <w:hideMark/>
          </w:tcPr>
          <w:p w14:paraId="468DA771"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0,52 </w:t>
            </w:r>
          </w:p>
        </w:tc>
        <w:tc>
          <w:tcPr>
            <w:tcW w:w="1080" w:type="dxa"/>
            <w:tcBorders>
              <w:top w:val="nil"/>
              <w:left w:val="nil"/>
              <w:bottom w:val="single" w:sz="8" w:space="0" w:color="auto"/>
              <w:right w:val="single" w:sz="8" w:space="0" w:color="auto"/>
            </w:tcBorders>
            <w:shd w:val="clear" w:color="auto" w:fill="auto"/>
            <w:noWrap/>
            <w:vAlign w:val="center"/>
            <w:hideMark/>
          </w:tcPr>
          <w:p w14:paraId="435D6C06"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0,00%</w:t>
            </w:r>
          </w:p>
        </w:tc>
      </w:tr>
    </w:tbl>
    <w:p w14:paraId="086C785D" w14:textId="77777777" w:rsidR="00453773" w:rsidRDefault="00E71EFA" w:rsidP="00453773">
      <w:pPr>
        <w:spacing w:after="0" w:line="240" w:lineRule="auto"/>
        <w:rPr>
          <w:sz w:val="20"/>
          <w:szCs w:val="20"/>
          <w:lang w:eastAsia="es-CR"/>
        </w:rPr>
      </w:pPr>
      <w:r>
        <w:rPr>
          <w:sz w:val="20"/>
          <w:szCs w:val="20"/>
          <w:lang w:eastAsia="es-CR"/>
        </w:rPr>
        <w:fldChar w:fldCharType="end"/>
      </w:r>
    </w:p>
    <w:p w14:paraId="6774B095" w14:textId="4502686A" w:rsidR="00694299" w:rsidRDefault="009C78C0" w:rsidP="00453773">
      <w:pPr>
        <w:spacing w:after="0" w:line="240" w:lineRule="auto"/>
        <w:rPr>
          <w:rFonts w:asciiTheme="minorHAnsi" w:hAnsiTheme="minorHAnsi"/>
          <w:sz w:val="22"/>
        </w:rPr>
      </w:pPr>
      <w:r>
        <w:rPr>
          <w:lang w:val="es-ES"/>
        </w:rPr>
        <w:t xml:space="preserve">Detalle de Cuenta </w:t>
      </w:r>
      <w:r>
        <w:rPr>
          <w:lang w:val="es-ES"/>
        </w:rPr>
        <w:fldChar w:fldCharType="begin"/>
      </w:r>
      <w:r>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NOTAS_POR_CUENTA!F182C1:F184C6 </w:instrText>
      </w:r>
      <w:r>
        <w:rPr>
          <w:lang w:val="es-ES"/>
        </w:rPr>
        <w:instrText xml:space="preserve">\a \f 4 \h </w:instrText>
      </w:r>
      <w:r w:rsidR="00E71EFA">
        <w:rPr>
          <w:lang w:val="es-ES"/>
        </w:rPr>
        <w:instrText xml:space="preserve"> \* MERGEFORMAT </w:instrText>
      </w:r>
      <w:r>
        <w:rPr>
          <w:lang w:val="es-ES"/>
        </w:rPr>
        <w:fldChar w:fldCharType="separate"/>
      </w:r>
    </w:p>
    <w:p w14:paraId="1C74CD2E" w14:textId="761641DE" w:rsidR="00C572A3" w:rsidRDefault="009C78C0" w:rsidP="00CF4D8B">
      <w:pPr>
        <w:spacing w:after="0" w:line="240" w:lineRule="auto"/>
        <w:rPr>
          <w:rFonts w:asciiTheme="minorHAnsi" w:hAnsiTheme="minorHAnsi"/>
          <w:sz w:val="22"/>
        </w:rPr>
      </w:pPr>
      <w:r>
        <w:rPr>
          <w:lang w:val="es-ES"/>
        </w:rPr>
        <w:fldChar w:fldCharType="end"/>
      </w:r>
      <w:r w:rsidR="00E71EFA">
        <w:rPr>
          <w:lang w:val="es-ES"/>
        </w:rPr>
        <w:fldChar w:fldCharType="begin"/>
      </w:r>
      <w:r w:rsidR="00E71EFA">
        <w:rPr>
          <w:lang w:val="es-ES"/>
        </w:rPr>
        <w:instrText xml:space="preserve"> LINK </w:instrText>
      </w:r>
      <w:r w:rsidR="0068177A">
        <w:rPr>
          <w:lang w:val="es-ES"/>
        </w:rPr>
        <w:instrText xml:space="preserve">Excel.SheetMacroEnabled.12 "C:\\Users\\arges\\OneDrive\\Desktop\\Municipalidades\\Buenos Aires\\Cierre Junio 2024\\Notas Contables\\15603_T02_2024_Anexo_Estado_Notas_Contables_Vinculadas.xlsm" NOTAS_POR_CUENTA!R182C1:R184C6 </w:instrText>
      </w:r>
      <w:r w:rsidR="00E71EFA">
        <w:rPr>
          <w:lang w:val="es-ES"/>
        </w:rPr>
        <w:instrText xml:space="preserve">\a \f 4 \h </w:instrText>
      </w:r>
      <w:r w:rsidR="00E71EFA">
        <w:rPr>
          <w:lang w:val="es-ES"/>
        </w:rPr>
        <w:fldChar w:fldCharType="separate"/>
      </w:r>
    </w:p>
    <w:tbl>
      <w:tblPr>
        <w:tblW w:w="10080" w:type="dxa"/>
        <w:tblLook w:val="04A0" w:firstRow="1" w:lastRow="0" w:firstColumn="1" w:lastColumn="0" w:noHBand="0" w:noVBand="1"/>
      </w:tblPr>
      <w:tblGrid>
        <w:gridCol w:w="791"/>
        <w:gridCol w:w="3265"/>
        <w:gridCol w:w="544"/>
        <w:gridCol w:w="2200"/>
        <w:gridCol w:w="2200"/>
        <w:gridCol w:w="1080"/>
      </w:tblGrid>
      <w:tr w:rsidR="00C572A3" w:rsidRPr="00C572A3" w14:paraId="05B812C6" w14:textId="77777777" w:rsidTr="00C572A3">
        <w:trPr>
          <w:divId w:val="230384365"/>
          <w:trHeight w:val="320"/>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A410289" w14:textId="6ABE2A97" w:rsidR="00C572A3" w:rsidRPr="00C572A3" w:rsidRDefault="00C572A3" w:rsidP="00C572A3">
            <w:pP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B0B03A1"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Descripción</w:t>
            </w:r>
          </w:p>
        </w:tc>
        <w:tc>
          <w:tcPr>
            <w:tcW w:w="5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0972ABB"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Nota</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24F097E"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Actual </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D2C2482"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Anterior </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71813AC2"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Diferencia </w:t>
            </w:r>
          </w:p>
        </w:tc>
      </w:tr>
      <w:tr w:rsidR="00C572A3" w:rsidRPr="00C572A3" w14:paraId="3B445F20" w14:textId="77777777" w:rsidTr="00C572A3">
        <w:trPr>
          <w:divId w:val="230384365"/>
          <w:trHeight w:val="320"/>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01B4F7CC"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1692F3A0"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14:paraId="1E99028B"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6F034890"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6C03B3BF"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1080" w:type="dxa"/>
            <w:tcBorders>
              <w:top w:val="nil"/>
              <w:left w:val="nil"/>
              <w:bottom w:val="single" w:sz="8" w:space="0" w:color="auto"/>
              <w:right w:val="single" w:sz="8" w:space="0" w:color="auto"/>
            </w:tcBorders>
            <w:shd w:val="clear" w:color="000000" w:fill="366092"/>
            <w:noWrap/>
            <w:vAlign w:val="center"/>
            <w:hideMark/>
          </w:tcPr>
          <w:p w14:paraId="651394E7" w14:textId="77777777" w:rsidR="00C572A3" w:rsidRPr="00C572A3" w:rsidRDefault="00C572A3" w:rsidP="00C572A3">
            <w:pPr>
              <w:spacing w:after="0" w:line="240" w:lineRule="auto"/>
              <w:jc w:val="center"/>
              <w:rPr>
                <w:rFonts w:eastAsia="Times New Roman" w:cs="Calibri"/>
                <w:color w:val="FFFFFF"/>
                <w:sz w:val="18"/>
                <w:szCs w:val="18"/>
                <w:lang w:val="en-US"/>
              </w:rPr>
            </w:pPr>
            <w:r w:rsidRPr="00C572A3">
              <w:rPr>
                <w:rFonts w:eastAsia="Times New Roman" w:cs="Calibri"/>
                <w:color w:val="FFFFFF"/>
                <w:sz w:val="18"/>
                <w:szCs w:val="18"/>
                <w:lang w:val="en-US"/>
              </w:rPr>
              <w:t>%</w:t>
            </w:r>
          </w:p>
        </w:tc>
      </w:tr>
      <w:tr w:rsidR="00C572A3" w:rsidRPr="00C572A3" w14:paraId="1CE0C607" w14:textId="77777777" w:rsidTr="00C572A3">
        <w:trPr>
          <w:divId w:val="230384365"/>
          <w:trHeight w:val="320"/>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4902161B" w14:textId="77777777" w:rsidR="00C572A3" w:rsidRPr="00C572A3" w:rsidRDefault="00C572A3" w:rsidP="00C572A3">
            <w:pPr>
              <w:spacing w:after="0" w:line="240" w:lineRule="auto"/>
              <w:jc w:val="left"/>
              <w:rPr>
                <w:rFonts w:eastAsia="Times New Roman" w:cs="Calibri"/>
                <w:b/>
                <w:bCs/>
                <w:color w:val="000000"/>
                <w:sz w:val="18"/>
                <w:szCs w:val="18"/>
                <w:lang w:val="en-US"/>
              </w:rPr>
            </w:pPr>
            <w:r w:rsidRPr="00C572A3">
              <w:rPr>
                <w:rFonts w:eastAsia="Times New Roman" w:cs="Calibri"/>
                <w:b/>
                <w:bCs/>
                <w:color w:val="000000"/>
                <w:sz w:val="18"/>
                <w:szCs w:val="18"/>
                <w:lang w:val="en-US"/>
              </w:rPr>
              <w:t>3.1.1.01.</w:t>
            </w:r>
          </w:p>
        </w:tc>
        <w:tc>
          <w:tcPr>
            <w:tcW w:w="3380" w:type="dxa"/>
            <w:tcBorders>
              <w:top w:val="nil"/>
              <w:left w:val="nil"/>
              <w:bottom w:val="single" w:sz="8" w:space="0" w:color="auto"/>
              <w:right w:val="single" w:sz="8" w:space="0" w:color="auto"/>
            </w:tcBorders>
            <w:shd w:val="clear" w:color="auto" w:fill="auto"/>
            <w:vAlign w:val="center"/>
            <w:hideMark/>
          </w:tcPr>
          <w:p w14:paraId="7016EE96" w14:textId="77777777" w:rsidR="00C572A3" w:rsidRPr="00C572A3" w:rsidRDefault="00C572A3" w:rsidP="00C572A3">
            <w:pPr>
              <w:spacing w:after="0" w:line="240" w:lineRule="auto"/>
              <w:rPr>
                <w:rFonts w:eastAsia="Times New Roman" w:cs="Calibri"/>
                <w:b/>
                <w:bCs/>
                <w:color w:val="000000"/>
                <w:sz w:val="18"/>
                <w:szCs w:val="18"/>
                <w:lang w:val="en-US"/>
              </w:rPr>
            </w:pPr>
            <w:r w:rsidRPr="00C572A3">
              <w:rPr>
                <w:rFonts w:eastAsia="Times New Roman" w:cs="Calibri"/>
                <w:b/>
                <w:bCs/>
                <w:color w:val="000000"/>
                <w:sz w:val="18"/>
                <w:szCs w:val="18"/>
                <w:lang w:val="en-US"/>
              </w:rPr>
              <w:t>Capital inicial</w:t>
            </w:r>
          </w:p>
        </w:tc>
        <w:tc>
          <w:tcPr>
            <w:tcW w:w="520" w:type="dxa"/>
            <w:tcBorders>
              <w:top w:val="nil"/>
              <w:left w:val="nil"/>
              <w:bottom w:val="single" w:sz="8" w:space="0" w:color="auto"/>
              <w:right w:val="single" w:sz="8" w:space="0" w:color="auto"/>
            </w:tcBorders>
            <w:shd w:val="clear" w:color="auto" w:fill="auto"/>
            <w:noWrap/>
            <w:vAlign w:val="center"/>
            <w:hideMark/>
          </w:tcPr>
          <w:p w14:paraId="3ACBD618"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24</w:t>
            </w:r>
          </w:p>
        </w:tc>
        <w:tc>
          <w:tcPr>
            <w:tcW w:w="2200" w:type="dxa"/>
            <w:tcBorders>
              <w:top w:val="nil"/>
              <w:left w:val="nil"/>
              <w:bottom w:val="single" w:sz="8" w:space="0" w:color="auto"/>
              <w:right w:val="single" w:sz="8" w:space="0" w:color="auto"/>
            </w:tcBorders>
            <w:shd w:val="clear" w:color="auto" w:fill="auto"/>
            <w:noWrap/>
            <w:vAlign w:val="center"/>
            <w:hideMark/>
          </w:tcPr>
          <w:p w14:paraId="38E13C3F"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0,52 </w:t>
            </w:r>
          </w:p>
        </w:tc>
        <w:tc>
          <w:tcPr>
            <w:tcW w:w="2200" w:type="dxa"/>
            <w:tcBorders>
              <w:top w:val="nil"/>
              <w:left w:val="nil"/>
              <w:bottom w:val="single" w:sz="8" w:space="0" w:color="auto"/>
              <w:right w:val="single" w:sz="8" w:space="0" w:color="auto"/>
            </w:tcBorders>
            <w:shd w:val="clear" w:color="auto" w:fill="auto"/>
            <w:noWrap/>
            <w:vAlign w:val="center"/>
            <w:hideMark/>
          </w:tcPr>
          <w:p w14:paraId="33D11B73"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0,52 </w:t>
            </w:r>
          </w:p>
        </w:tc>
        <w:tc>
          <w:tcPr>
            <w:tcW w:w="1080" w:type="dxa"/>
            <w:tcBorders>
              <w:top w:val="nil"/>
              <w:left w:val="nil"/>
              <w:bottom w:val="single" w:sz="8" w:space="0" w:color="auto"/>
              <w:right w:val="single" w:sz="8" w:space="0" w:color="auto"/>
            </w:tcBorders>
            <w:shd w:val="clear" w:color="auto" w:fill="auto"/>
            <w:noWrap/>
            <w:vAlign w:val="center"/>
            <w:hideMark/>
          </w:tcPr>
          <w:p w14:paraId="7816C717"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0,00%</w:t>
            </w:r>
          </w:p>
        </w:tc>
      </w:tr>
    </w:tbl>
    <w:p w14:paraId="34DC580F" w14:textId="29B46942" w:rsidR="00E71EFA" w:rsidRDefault="00E71EFA" w:rsidP="00CF4D8B">
      <w:pPr>
        <w:spacing w:after="0" w:line="240" w:lineRule="auto"/>
        <w:rPr>
          <w:lang w:val="es-ES"/>
        </w:rPr>
      </w:pPr>
      <w:r>
        <w:rPr>
          <w:lang w:val="es-ES"/>
        </w:rPr>
        <w:fldChar w:fldCharType="end"/>
      </w:r>
    </w:p>
    <w:p w14:paraId="32E3FEEF" w14:textId="042B06BA" w:rsidR="009C78C0" w:rsidRDefault="009C78C0" w:rsidP="00CF4D8B">
      <w:pPr>
        <w:spacing w:after="0" w:line="240" w:lineRule="auto"/>
        <w:rPr>
          <w:lang w:val="es-ES"/>
        </w:rPr>
      </w:pPr>
      <w:r w:rsidRPr="00692DC8">
        <w:rPr>
          <w:lang w:val="es-ES"/>
        </w:rPr>
        <w:t>Cuadro de análisis de composición Capital Inicial</w:t>
      </w:r>
    </w:p>
    <w:p w14:paraId="02D66F65" w14:textId="77777777" w:rsidR="00E71EFA" w:rsidRDefault="00E71EFA" w:rsidP="00CF4D8B">
      <w:pPr>
        <w:spacing w:after="0" w:line="240" w:lineRule="auto"/>
        <w:rPr>
          <w:lang w:val="es-ES"/>
        </w:rPr>
      </w:pPr>
    </w:p>
    <w:tbl>
      <w:tblPr>
        <w:tblW w:w="8992" w:type="dxa"/>
        <w:tblInd w:w="70" w:type="dxa"/>
        <w:tblCellMar>
          <w:left w:w="70" w:type="dxa"/>
          <w:right w:w="70" w:type="dxa"/>
        </w:tblCellMar>
        <w:tblLook w:val="04A0" w:firstRow="1" w:lastRow="0" w:firstColumn="1" w:lastColumn="0" w:noHBand="0" w:noVBand="1"/>
      </w:tblPr>
      <w:tblGrid>
        <w:gridCol w:w="1136"/>
        <w:gridCol w:w="1903"/>
        <w:gridCol w:w="1134"/>
        <w:gridCol w:w="992"/>
        <w:gridCol w:w="2410"/>
        <w:gridCol w:w="1417"/>
      </w:tblGrid>
      <w:tr w:rsidR="00CF4D8B" w:rsidRPr="00A91674" w14:paraId="527A5595" w14:textId="77777777" w:rsidTr="004653E2">
        <w:trPr>
          <w:trHeight w:val="340"/>
        </w:trPr>
        <w:tc>
          <w:tcPr>
            <w:tcW w:w="1136" w:type="dxa"/>
            <w:tcBorders>
              <w:top w:val="single" w:sz="8" w:space="0" w:color="auto"/>
              <w:left w:val="single" w:sz="8" w:space="0" w:color="auto"/>
              <w:bottom w:val="single" w:sz="8" w:space="0" w:color="auto"/>
              <w:right w:val="single" w:sz="8" w:space="0" w:color="auto"/>
            </w:tcBorders>
            <w:shd w:val="clear" w:color="000000" w:fill="365F91"/>
            <w:noWrap/>
            <w:vAlign w:val="center"/>
            <w:hideMark/>
          </w:tcPr>
          <w:p w14:paraId="414893D7" w14:textId="77777777" w:rsidR="00CF4D8B" w:rsidRPr="00A91674" w:rsidRDefault="00CF4D8B" w:rsidP="00CF4D8B">
            <w:pPr>
              <w:spacing w:after="0" w:line="240" w:lineRule="auto"/>
              <w:jc w:val="center"/>
              <w:rPr>
                <w:rFonts w:cs="Calibri"/>
                <w:color w:val="FFFFFF"/>
                <w:sz w:val="22"/>
                <w:lang w:eastAsia="es-CR"/>
              </w:rPr>
            </w:pPr>
            <w:bookmarkStart w:id="473" w:name="_Hlk127280604"/>
            <w:r w:rsidRPr="00A91674">
              <w:rPr>
                <w:rFonts w:cs="Calibri"/>
                <w:color w:val="FFFFFF"/>
                <w:sz w:val="22"/>
                <w:lang w:eastAsia="es-CR"/>
              </w:rPr>
              <w:t>Fecha</w:t>
            </w:r>
          </w:p>
        </w:tc>
        <w:tc>
          <w:tcPr>
            <w:tcW w:w="1903" w:type="dxa"/>
            <w:tcBorders>
              <w:top w:val="single" w:sz="8" w:space="0" w:color="auto"/>
              <w:left w:val="nil"/>
              <w:bottom w:val="single" w:sz="8" w:space="0" w:color="auto"/>
              <w:right w:val="nil"/>
            </w:tcBorders>
            <w:shd w:val="clear" w:color="000000" w:fill="365F91"/>
            <w:noWrap/>
            <w:vAlign w:val="center"/>
            <w:hideMark/>
          </w:tcPr>
          <w:p w14:paraId="185C685A" w14:textId="77777777" w:rsidR="00CF4D8B" w:rsidRPr="00A91674" w:rsidRDefault="00CF4D8B" w:rsidP="00CF4D8B">
            <w:pPr>
              <w:spacing w:after="0" w:line="240" w:lineRule="auto"/>
              <w:jc w:val="center"/>
              <w:rPr>
                <w:rFonts w:cs="Calibri"/>
                <w:color w:val="FFFFFF"/>
                <w:sz w:val="22"/>
                <w:lang w:eastAsia="es-CR"/>
              </w:rPr>
            </w:pPr>
            <w:r w:rsidRPr="00A91674">
              <w:rPr>
                <w:rFonts w:cs="Calibri"/>
                <w:color w:val="FFFFFF"/>
                <w:sz w:val="22"/>
                <w:lang w:eastAsia="es-CR"/>
              </w:rPr>
              <w:t>Entidad que aporta</w:t>
            </w:r>
          </w:p>
        </w:tc>
        <w:tc>
          <w:tcPr>
            <w:tcW w:w="1134" w:type="dxa"/>
            <w:tcBorders>
              <w:top w:val="single" w:sz="8" w:space="0" w:color="auto"/>
              <w:left w:val="single" w:sz="8" w:space="0" w:color="auto"/>
              <w:bottom w:val="single" w:sz="8" w:space="0" w:color="auto"/>
              <w:right w:val="single" w:sz="8" w:space="0" w:color="auto"/>
            </w:tcBorders>
            <w:shd w:val="clear" w:color="000000" w:fill="365F91"/>
            <w:noWrap/>
            <w:vAlign w:val="center"/>
            <w:hideMark/>
          </w:tcPr>
          <w:p w14:paraId="2C1BFA32" w14:textId="77777777" w:rsidR="00CF4D8B" w:rsidRPr="00A91674" w:rsidRDefault="00CF4D8B" w:rsidP="00CF4D8B">
            <w:pPr>
              <w:spacing w:after="0" w:line="240" w:lineRule="auto"/>
              <w:jc w:val="center"/>
              <w:rPr>
                <w:rFonts w:cs="Calibri"/>
                <w:color w:val="FFFFFF"/>
                <w:sz w:val="22"/>
                <w:lang w:eastAsia="es-CR"/>
              </w:rPr>
            </w:pPr>
            <w:r w:rsidRPr="00A91674">
              <w:rPr>
                <w:rFonts w:cs="Calibri"/>
                <w:color w:val="FFFFFF"/>
                <w:sz w:val="22"/>
                <w:lang w:eastAsia="es-CR"/>
              </w:rPr>
              <w:t>Sector</w:t>
            </w:r>
          </w:p>
        </w:tc>
        <w:tc>
          <w:tcPr>
            <w:tcW w:w="992" w:type="dxa"/>
            <w:tcBorders>
              <w:top w:val="single" w:sz="8" w:space="0" w:color="auto"/>
              <w:left w:val="nil"/>
              <w:bottom w:val="single" w:sz="8" w:space="0" w:color="auto"/>
              <w:right w:val="single" w:sz="8" w:space="0" w:color="auto"/>
            </w:tcBorders>
            <w:shd w:val="clear" w:color="000000" w:fill="365F91"/>
            <w:noWrap/>
            <w:vAlign w:val="center"/>
            <w:hideMark/>
          </w:tcPr>
          <w:p w14:paraId="485A1E2A" w14:textId="77777777" w:rsidR="00CF4D8B" w:rsidRPr="00A91674" w:rsidRDefault="00CF4D8B" w:rsidP="00CF4D8B">
            <w:pPr>
              <w:spacing w:after="0" w:line="240" w:lineRule="auto"/>
              <w:jc w:val="center"/>
              <w:rPr>
                <w:rFonts w:cs="Calibri"/>
                <w:color w:val="FFFFFF"/>
                <w:sz w:val="22"/>
                <w:lang w:eastAsia="es-CR"/>
              </w:rPr>
            </w:pPr>
            <w:r w:rsidRPr="00A91674">
              <w:rPr>
                <w:rFonts w:cs="Calibri"/>
                <w:color w:val="FFFFFF"/>
                <w:sz w:val="22"/>
                <w:lang w:eastAsia="es-CR"/>
              </w:rPr>
              <w:t>Monto</w:t>
            </w:r>
          </w:p>
        </w:tc>
        <w:tc>
          <w:tcPr>
            <w:tcW w:w="2410" w:type="dxa"/>
            <w:tcBorders>
              <w:top w:val="single" w:sz="8" w:space="0" w:color="auto"/>
              <w:left w:val="nil"/>
              <w:bottom w:val="single" w:sz="8" w:space="0" w:color="auto"/>
              <w:right w:val="single" w:sz="8" w:space="0" w:color="auto"/>
            </w:tcBorders>
            <w:shd w:val="clear" w:color="000000" w:fill="365F91"/>
            <w:noWrap/>
            <w:vAlign w:val="center"/>
            <w:hideMark/>
          </w:tcPr>
          <w:p w14:paraId="44440E78" w14:textId="77777777" w:rsidR="00CF4D8B" w:rsidRPr="00A91674" w:rsidRDefault="00CF4D8B" w:rsidP="00CF4D8B">
            <w:pPr>
              <w:spacing w:after="0" w:line="240" w:lineRule="auto"/>
              <w:jc w:val="center"/>
              <w:rPr>
                <w:rFonts w:cs="Calibri"/>
                <w:color w:val="FFFFFF"/>
                <w:sz w:val="22"/>
                <w:lang w:eastAsia="es-CR"/>
              </w:rPr>
            </w:pPr>
            <w:r w:rsidRPr="00A91674">
              <w:rPr>
                <w:rFonts w:cs="Calibri"/>
                <w:color w:val="FFFFFF"/>
                <w:sz w:val="22"/>
                <w:lang w:eastAsia="es-CR"/>
              </w:rPr>
              <w:t>Documento</w:t>
            </w:r>
          </w:p>
        </w:tc>
        <w:tc>
          <w:tcPr>
            <w:tcW w:w="1417" w:type="dxa"/>
            <w:tcBorders>
              <w:top w:val="single" w:sz="8" w:space="0" w:color="auto"/>
              <w:left w:val="nil"/>
              <w:bottom w:val="single" w:sz="8" w:space="0" w:color="auto"/>
              <w:right w:val="single" w:sz="8" w:space="0" w:color="auto"/>
            </w:tcBorders>
            <w:shd w:val="clear" w:color="000000" w:fill="365F91"/>
            <w:vAlign w:val="center"/>
            <w:hideMark/>
          </w:tcPr>
          <w:p w14:paraId="01EBE9F0" w14:textId="77777777" w:rsidR="00CF4D8B" w:rsidRPr="00A91674" w:rsidRDefault="00CF4D8B" w:rsidP="00CF4D8B">
            <w:pPr>
              <w:spacing w:after="0" w:line="240" w:lineRule="auto"/>
              <w:jc w:val="center"/>
              <w:rPr>
                <w:rFonts w:cs="Calibri"/>
                <w:color w:val="FFFFFF"/>
                <w:sz w:val="22"/>
                <w:lang w:eastAsia="es-CR"/>
              </w:rPr>
            </w:pPr>
            <w:r w:rsidRPr="00A91674">
              <w:rPr>
                <w:rFonts w:cs="Calibri"/>
                <w:color w:val="FFFFFF"/>
                <w:sz w:val="22"/>
                <w:lang w:eastAsia="es-CR"/>
              </w:rPr>
              <w:t>Tipo de aporte</w:t>
            </w:r>
          </w:p>
        </w:tc>
      </w:tr>
      <w:tr w:rsidR="00CF4D8B" w:rsidRPr="00D3011E" w14:paraId="6806C58D" w14:textId="77777777" w:rsidTr="004653E2">
        <w:trPr>
          <w:trHeight w:val="381"/>
        </w:trPr>
        <w:tc>
          <w:tcPr>
            <w:tcW w:w="1136" w:type="dxa"/>
            <w:tcBorders>
              <w:top w:val="nil"/>
              <w:left w:val="single" w:sz="8" w:space="0" w:color="auto"/>
              <w:bottom w:val="single" w:sz="8" w:space="0" w:color="auto"/>
              <w:right w:val="single" w:sz="8" w:space="0" w:color="auto"/>
            </w:tcBorders>
            <w:shd w:val="clear" w:color="auto" w:fill="auto"/>
            <w:noWrap/>
            <w:vAlign w:val="center"/>
            <w:hideMark/>
          </w:tcPr>
          <w:p w14:paraId="3A321437" w14:textId="77777777" w:rsidR="00CF4D8B" w:rsidRPr="00D3011E" w:rsidRDefault="00CF4D8B" w:rsidP="00CF4D8B">
            <w:pPr>
              <w:spacing w:after="0" w:line="240" w:lineRule="auto"/>
              <w:rPr>
                <w:rFonts w:cs="Calibri"/>
                <w:color w:val="000000"/>
                <w:sz w:val="20"/>
                <w:szCs w:val="20"/>
                <w:lang w:eastAsia="es-CR"/>
              </w:rPr>
            </w:pPr>
            <w:r w:rsidRPr="00D3011E">
              <w:rPr>
                <w:rFonts w:cs="Calibri"/>
                <w:color w:val="000000"/>
                <w:sz w:val="20"/>
                <w:szCs w:val="20"/>
                <w:lang w:eastAsia="es-CR"/>
              </w:rPr>
              <w:t> </w:t>
            </w:r>
            <w:r w:rsidRPr="00D3011E">
              <w:rPr>
                <w:color w:val="000000"/>
                <w:sz w:val="20"/>
                <w:szCs w:val="20"/>
                <w:lang w:eastAsia="es-CR"/>
              </w:rPr>
              <w:t>18-01-1949</w:t>
            </w:r>
          </w:p>
        </w:tc>
        <w:tc>
          <w:tcPr>
            <w:tcW w:w="1903" w:type="dxa"/>
            <w:tcBorders>
              <w:top w:val="nil"/>
              <w:left w:val="nil"/>
              <w:bottom w:val="single" w:sz="8" w:space="0" w:color="auto"/>
              <w:right w:val="nil"/>
            </w:tcBorders>
            <w:shd w:val="clear" w:color="auto" w:fill="auto"/>
            <w:noWrap/>
            <w:vAlign w:val="center"/>
            <w:hideMark/>
          </w:tcPr>
          <w:p w14:paraId="2E3E5FB8" w14:textId="77777777" w:rsidR="00CF4D8B" w:rsidRPr="00D3011E" w:rsidRDefault="00CF4D8B" w:rsidP="00CF4D8B">
            <w:pPr>
              <w:spacing w:after="0" w:line="240" w:lineRule="auto"/>
              <w:rPr>
                <w:rFonts w:cs="Calibri"/>
                <w:color w:val="000000"/>
                <w:sz w:val="20"/>
                <w:szCs w:val="20"/>
                <w:lang w:eastAsia="es-CR"/>
              </w:rPr>
            </w:pPr>
            <w:r w:rsidRPr="00D3011E">
              <w:rPr>
                <w:rFonts w:cs="Calibri"/>
                <w:color w:val="000000"/>
                <w:sz w:val="20"/>
                <w:szCs w:val="20"/>
                <w:lang w:eastAsia="es-CR"/>
              </w:rPr>
              <w:t> </w:t>
            </w:r>
            <w:r>
              <w:rPr>
                <w:rFonts w:cs="Calibri"/>
                <w:color w:val="000000"/>
                <w:sz w:val="20"/>
                <w:szCs w:val="20"/>
                <w:lang w:eastAsia="es-CR"/>
              </w:rPr>
              <w:t>Estado</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29EAD23D" w14:textId="77777777" w:rsidR="00CF4D8B" w:rsidRPr="00D3011E" w:rsidRDefault="00CF4D8B" w:rsidP="00CF4D8B">
            <w:pPr>
              <w:spacing w:after="0" w:line="240" w:lineRule="auto"/>
              <w:jc w:val="center"/>
              <w:rPr>
                <w:rFonts w:cs="Calibri"/>
                <w:color w:val="000000"/>
                <w:sz w:val="20"/>
                <w:szCs w:val="20"/>
                <w:lang w:eastAsia="es-CR"/>
              </w:rPr>
            </w:pPr>
            <w:r w:rsidRPr="00D3011E">
              <w:rPr>
                <w:rFonts w:cs="Calibri"/>
                <w:color w:val="000000"/>
                <w:sz w:val="20"/>
                <w:szCs w:val="20"/>
                <w:lang w:eastAsia="es-CR"/>
              </w:rPr>
              <w:t>Municipal</w:t>
            </w:r>
          </w:p>
        </w:tc>
        <w:tc>
          <w:tcPr>
            <w:tcW w:w="992" w:type="dxa"/>
            <w:tcBorders>
              <w:top w:val="nil"/>
              <w:left w:val="nil"/>
              <w:bottom w:val="single" w:sz="8" w:space="0" w:color="auto"/>
              <w:right w:val="single" w:sz="8" w:space="0" w:color="auto"/>
            </w:tcBorders>
            <w:shd w:val="clear" w:color="auto" w:fill="auto"/>
            <w:noWrap/>
            <w:vAlign w:val="center"/>
            <w:hideMark/>
          </w:tcPr>
          <w:p w14:paraId="30903113" w14:textId="77777777" w:rsidR="00CF4D8B" w:rsidRPr="00D3011E" w:rsidRDefault="00CF4D8B" w:rsidP="00CF4D8B">
            <w:pPr>
              <w:spacing w:after="0" w:line="240" w:lineRule="auto"/>
              <w:jc w:val="center"/>
              <w:rPr>
                <w:rFonts w:cs="Calibri"/>
                <w:color w:val="000000"/>
                <w:sz w:val="20"/>
                <w:szCs w:val="20"/>
                <w:lang w:eastAsia="es-CR"/>
              </w:rPr>
            </w:pPr>
            <w:r w:rsidRPr="00D3011E">
              <w:rPr>
                <w:rFonts w:cs="Calibri"/>
                <w:color w:val="000000"/>
                <w:sz w:val="20"/>
                <w:szCs w:val="20"/>
                <w:lang w:eastAsia="es-CR"/>
              </w:rPr>
              <w:t>524,80</w:t>
            </w:r>
          </w:p>
        </w:tc>
        <w:tc>
          <w:tcPr>
            <w:tcW w:w="2410" w:type="dxa"/>
            <w:tcBorders>
              <w:top w:val="nil"/>
              <w:left w:val="nil"/>
              <w:bottom w:val="single" w:sz="8" w:space="0" w:color="auto"/>
              <w:right w:val="single" w:sz="8" w:space="0" w:color="auto"/>
            </w:tcBorders>
            <w:shd w:val="clear" w:color="auto" w:fill="auto"/>
            <w:noWrap/>
            <w:vAlign w:val="center"/>
            <w:hideMark/>
          </w:tcPr>
          <w:p w14:paraId="26B7613F" w14:textId="77777777" w:rsidR="00CF4D8B" w:rsidRPr="00D3011E" w:rsidRDefault="00CF4D8B" w:rsidP="00CF4D8B">
            <w:pPr>
              <w:spacing w:after="0" w:line="240" w:lineRule="auto"/>
              <w:rPr>
                <w:rFonts w:cs="Calibri"/>
                <w:color w:val="000000"/>
                <w:sz w:val="20"/>
                <w:szCs w:val="20"/>
                <w:lang w:eastAsia="es-CR"/>
              </w:rPr>
            </w:pPr>
            <w:r w:rsidRPr="00D3011E">
              <w:rPr>
                <w:color w:val="000000"/>
                <w:sz w:val="20"/>
                <w:szCs w:val="20"/>
                <w:lang w:eastAsia="es-CR"/>
              </w:rPr>
              <w:t>OFICIO-AMBA-569-2019</w:t>
            </w:r>
          </w:p>
        </w:tc>
        <w:tc>
          <w:tcPr>
            <w:tcW w:w="1417" w:type="dxa"/>
            <w:tcBorders>
              <w:top w:val="nil"/>
              <w:left w:val="nil"/>
              <w:bottom w:val="single" w:sz="8" w:space="0" w:color="auto"/>
              <w:right w:val="single" w:sz="8" w:space="0" w:color="auto"/>
            </w:tcBorders>
            <w:shd w:val="clear" w:color="auto" w:fill="auto"/>
            <w:vAlign w:val="center"/>
            <w:hideMark/>
          </w:tcPr>
          <w:p w14:paraId="641A8254" w14:textId="77777777" w:rsidR="00CF4D8B" w:rsidRPr="00D3011E" w:rsidRDefault="00CF4D8B" w:rsidP="00CF4D8B">
            <w:pPr>
              <w:spacing w:after="0" w:line="240" w:lineRule="auto"/>
              <w:jc w:val="center"/>
              <w:rPr>
                <w:rFonts w:cs="Calibri"/>
                <w:color w:val="000000"/>
                <w:sz w:val="20"/>
                <w:szCs w:val="20"/>
                <w:lang w:eastAsia="es-CR"/>
              </w:rPr>
            </w:pPr>
            <w:r w:rsidRPr="00D3011E">
              <w:rPr>
                <w:rFonts w:cs="Calibri"/>
                <w:color w:val="000000"/>
                <w:sz w:val="20"/>
                <w:szCs w:val="20"/>
                <w:lang w:eastAsia="es-CR"/>
              </w:rPr>
              <w:t>Efectivo </w:t>
            </w:r>
          </w:p>
        </w:tc>
      </w:tr>
      <w:tr w:rsidR="00CF4D8B" w:rsidRPr="00D3011E" w14:paraId="234162F0" w14:textId="77777777" w:rsidTr="004653E2">
        <w:trPr>
          <w:trHeight w:val="340"/>
        </w:trPr>
        <w:tc>
          <w:tcPr>
            <w:tcW w:w="4173" w:type="dxa"/>
            <w:gridSpan w:val="3"/>
            <w:tcBorders>
              <w:top w:val="single" w:sz="8" w:space="0" w:color="auto"/>
              <w:left w:val="single" w:sz="8" w:space="0" w:color="auto"/>
              <w:bottom w:val="single" w:sz="8" w:space="0" w:color="auto"/>
              <w:right w:val="single" w:sz="8" w:space="0" w:color="000000"/>
            </w:tcBorders>
            <w:shd w:val="clear" w:color="000000" w:fill="365F91"/>
            <w:noWrap/>
            <w:vAlign w:val="center"/>
            <w:hideMark/>
          </w:tcPr>
          <w:p w14:paraId="66D5A7C8" w14:textId="77777777" w:rsidR="00CF4D8B" w:rsidRPr="00D3011E" w:rsidRDefault="00CF4D8B" w:rsidP="00CF4D8B">
            <w:pPr>
              <w:spacing w:after="0" w:line="240" w:lineRule="auto"/>
              <w:jc w:val="center"/>
              <w:rPr>
                <w:rFonts w:cs="Calibri"/>
                <w:color w:val="FFFFFF"/>
                <w:sz w:val="20"/>
                <w:szCs w:val="20"/>
                <w:lang w:eastAsia="es-CR"/>
              </w:rPr>
            </w:pPr>
            <w:r w:rsidRPr="00D3011E">
              <w:rPr>
                <w:rFonts w:cs="Calibri"/>
                <w:color w:val="FFFFFF"/>
                <w:sz w:val="20"/>
                <w:szCs w:val="20"/>
                <w:lang w:eastAsia="es-CR"/>
              </w:rPr>
              <w:t>TOTAL</w:t>
            </w:r>
          </w:p>
        </w:tc>
        <w:tc>
          <w:tcPr>
            <w:tcW w:w="992" w:type="dxa"/>
            <w:tcBorders>
              <w:top w:val="nil"/>
              <w:left w:val="nil"/>
              <w:bottom w:val="single" w:sz="8" w:space="0" w:color="auto"/>
              <w:right w:val="single" w:sz="8" w:space="0" w:color="auto"/>
            </w:tcBorders>
            <w:shd w:val="clear" w:color="auto" w:fill="auto"/>
            <w:noWrap/>
            <w:vAlign w:val="center"/>
            <w:hideMark/>
          </w:tcPr>
          <w:p w14:paraId="2D92A3A3" w14:textId="77777777" w:rsidR="00CF4D8B" w:rsidRPr="00D3011E" w:rsidRDefault="00CF4D8B" w:rsidP="00CF4D8B">
            <w:pPr>
              <w:spacing w:after="0" w:line="240" w:lineRule="auto"/>
              <w:jc w:val="center"/>
              <w:rPr>
                <w:rFonts w:cs="Calibri"/>
                <w:b/>
                <w:bCs/>
                <w:color w:val="000000"/>
                <w:sz w:val="20"/>
                <w:szCs w:val="20"/>
                <w:lang w:eastAsia="es-CR"/>
              </w:rPr>
            </w:pPr>
            <w:r w:rsidRPr="00D3011E">
              <w:rPr>
                <w:b/>
                <w:bCs/>
                <w:sz w:val="20"/>
                <w:szCs w:val="20"/>
              </w:rPr>
              <w:t>5</w:t>
            </w:r>
            <w:r w:rsidRPr="00D3011E">
              <w:rPr>
                <w:b/>
                <w:bCs/>
                <w:color w:val="000000"/>
                <w:sz w:val="20"/>
                <w:szCs w:val="20"/>
                <w:lang w:eastAsia="es-CR"/>
              </w:rPr>
              <w:t>24.80</w:t>
            </w:r>
          </w:p>
        </w:tc>
        <w:tc>
          <w:tcPr>
            <w:tcW w:w="3827" w:type="dxa"/>
            <w:gridSpan w:val="2"/>
            <w:tcBorders>
              <w:top w:val="single" w:sz="8" w:space="0" w:color="auto"/>
              <w:left w:val="nil"/>
              <w:bottom w:val="single" w:sz="8" w:space="0" w:color="auto"/>
              <w:right w:val="single" w:sz="8" w:space="0" w:color="000000"/>
            </w:tcBorders>
            <w:shd w:val="clear" w:color="000000" w:fill="365F91"/>
            <w:noWrap/>
            <w:vAlign w:val="center"/>
            <w:hideMark/>
          </w:tcPr>
          <w:p w14:paraId="6D9C60FB" w14:textId="77777777" w:rsidR="00CF4D8B" w:rsidRPr="00D3011E" w:rsidRDefault="00CF4D8B" w:rsidP="00CF4D8B">
            <w:pPr>
              <w:spacing w:after="0" w:line="240" w:lineRule="auto"/>
              <w:jc w:val="center"/>
              <w:rPr>
                <w:rFonts w:cs="Calibri"/>
                <w:b/>
                <w:bCs/>
                <w:color w:val="FFFFFF"/>
                <w:sz w:val="20"/>
                <w:szCs w:val="20"/>
                <w:lang w:eastAsia="es-CR"/>
              </w:rPr>
            </w:pPr>
            <w:r w:rsidRPr="00D3011E">
              <w:rPr>
                <w:rFonts w:cs="Calibri"/>
                <w:b/>
                <w:bCs/>
                <w:color w:val="FFFFFF"/>
                <w:sz w:val="20"/>
                <w:szCs w:val="20"/>
                <w:lang w:eastAsia="es-CR"/>
              </w:rPr>
              <w:t> </w:t>
            </w:r>
          </w:p>
        </w:tc>
      </w:tr>
      <w:bookmarkEnd w:id="473"/>
    </w:tbl>
    <w:p w14:paraId="1E7D5E71" w14:textId="77777777" w:rsidR="00CF4D8B" w:rsidRPr="00A91674" w:rsidRDefault="00CF4D8B" w:rsidP="00CF4D8B">
      <w:pPr>
        <w:spacing w:after="0" w:line="240" w:lineRule="auto"/>
        <w:rPr>
          <w:lang w:val="es-ES"/>
        </w:rPr>
      </w:pPr>
    </w:p>
    <w:p w14:paraId="4A9CD2F1" w14:textId="77777777" w:rsidR="00CF4D8B" w:rsidRPr="00A91674" w:rsidRDefault="00CF4D8B" w:rsidP="00CF4D8B">
      <w:pPr>
        <w:spacing w:after="0" w:line="240" w:lineRule="auto"/>
        <w:rPr>
          <w:lang w:val="es-ES"/>
        </w:rPr>
      </w:pPr>
      <w:r w:rsidRPr="00A91674">
        <w:rPr>
          <w:lang w:val="es-ES"/>
        </w:rPr>
        <w:t>Indique claramente la metodología utilizada para cada importe registrado en la cuenta de Capital, indicando el Capital Inicial, las Transferencias de Capital, con aumentos y disminuciones. La justificación para cada uno de los aportes debe revelar su fundamento jurídico.</w:t>
      </w:r>
    </w:p>
    <w:p w14:paraId="7D5542BC" w14:textId="77777777" w:rsidR="00CF4D8B" w:rsidRPr="00A91674" w:rsidRDefault="00CF4D8B" w:rsidP="00CF4D8B">
      <w:pPr>
        <w:spacing w:after="0" w:line="240" w:lineRule="auto"/>
        <w:rPr>
          <w:lang w:val="es-ES"/>
        </w:rPr>
      </w:pPr>
    </w:p>
    <w:p w14:paraId="4AEE28AC" w14:textId="77777777" w:rsidR="00CF4D8B" w:rsidRDefault="00CF4D8B" w:rsidP="00CF4D8B">
      <w:pPr>
        <w:spacing w:after="0" w:line="240" w:lineRule="auto"/>
        <w:rPr>
          <w:lang w:val="es-ES"/>
        </w:rPr>
      </w:pPr>
      <w:r w:rsidRPr="00A91674">
        <w:rPr>
          <w:lang w:val="es-ES"/>
        </w:rPr>
        <w:t xml:space="preserve">Se realizó un análisis en el Archivo Municipal encontrándose que la Municipalidad de Buenos Aires fue creada en Ley No. 185 del 29 de </w:t>
      </w:r>
      <w:r>
        <w:rPr>
          <w:lang w:val="es-ES"/>
        </w:rPr>
        <w:t>agosto</w:t>
      </w:r>
      <w:r w:rsidRPr="00A91674">
        <w:rPr>
          <w:lang w:val="es-ES"/>
        </w:rPr>
        <w:t xml:space="preserve"> de 1940 y se constituyó e inició operaciones con un monto de </w:t>
      </w:r>
      <w:r>
        <w:rPr>
          <w:rFonts w:ascii="Arial" w:hAnsi="Arial" w:cs="Arial"/>
          <w:lang w:val="es-ES"/>
        </w:rPr>
        <w:t>₡</w:t>
      </w:r>
      <w:r w:rsidRPr="00A91674">
        <w:rPr>
          <w:lang w:val="es-ES"/>
        </w:rPr>
        <w:t>524,80 colones.</w:t>
      </w:r>
    </w:p>
    <w:p w14:paraId="5EAC2AB6" w14:textId="25091BDC" w:rsidR="006831F4" w:rsidRDefault="006831F4" w:rsidP="00C03E1B">
      <w:pPr>
        <w:pStyle w:val="Default"/>
        <w:jc w:val="both"/>
        <w:rPr>
          <w:rFonts w:ascii="Arial Narrow" w:eastAsiaTheme="minorHAnsi" w:hAnsi="Arial Narrow" w:cstheme="minorBidi"/>
          <w:color w:val="auto"/>
          <w:szCs w:val="22"/>
          <w:lang w:val="es-ES" w:eastAsia="en-US"/>
        </w:rPr>
      </w:pPr>
      <w:r w:rsidRPr="008477E8">
        <w:rPr>
          <w:rFonts w:ascii="Arial Narrow" w:eastAsiaTheme="minorHAnsi" w:hAnsi="Arial Narrow" w:cstheme="minorBidi"/>
          <w:color w:val="auto"/>
          <w:szCs w:val="22"/>
          <w:lang w:val="es-ES" w:eastAsia="en-US"/>
        </w:rPr>
        <w:t xml:space="preserve">Cabe indicar para para el cierre de </w:t>
      </w:r>
      <w:r w:rsidR="008477E8" w:rsidRPr="008477E8">
        <w:rPr>
          <w:rFonts w:ascii="Arial Narrow" w:eastAsiaTheme="minorHAnsi" w:hAnsi="Arial Narrow" w:cstheme="minorBidi"/>
          <w:color w:val="auto"/>
          <w:szCs w:val="22"/>
          <w:lang w:val="es-ES" w:eastAsia="en-US"/>
        </w:rPr>
        <w:t>Junio de</w:t>
      </w:r>
      <w:r w:rsidRPr="008477E8">
        <w:rPr>
          <w:rFonts w:ascii="Arial Narrow" w:eastAsiaTheme="minorHAnsi" w:hAnsi="Arial Narrow" w:cstheme="minorBidi"/>
          <w:color w:val="auto"/>
          <w:szCs w:val="22"/>
          <w:lang w:val="es-ES" w:eastAsia="en-US"/>
        </w:rPr>
        <w:t xml:space="preserve"> este periodo por indicaciones del en</w:t>
      </w:r>
      <w:r w:rsidR="008477E8" w:rsidRPr="008477E8">
        <w:rPr>
          <w:rFonts w:ascii="Arial Narrow" w:eastAsiaTheme="minorHAnsi" w:hAnsi="Arial Narrow" w:cstheme="minorBidi"/>
          <w:color w:val="auto"/>
          <w:szCs w:val="22"/>
          <w:lang w:val="es-ES" w:eastAsia="en-US"/>
        </w:rPr>
        <w:t xml:space="preserve">te rector se procedió con asiento para registrar el capital inicial a la cuenta 11206 </w:t>
      </w:r>
      <w:r w:rsidR="00C03E1B" w:rsidRPr="008477E8">
        <w:rPr>
          <w:rFonts w:ascii="Arial Narrow" w:eastAsiaTheme="minorHAnsi" w:hAnsi="Arial Narrow" w:cstheme="minorBidi"/>
          <w:color w:val="auto"/>
          <w:szCs w:val="22"/>
          <w:lang w:val="es-ES" w:eastAsia="en-US"/>
        </w:rPr>
        <w:t>código</w:t>
      </w:r>
      <w:r w:rsidR="008477E8" w:rsidRPr="008477E8">
        <w:rPr>
          <w:rFonts w:ascii="Arial Narrow" w:eastAsiaTheme="minorHAnsi" w:hAnsi="Arial Narrow" w:cstheme="minorBidi"/>
          <w:color w:val="auto"/>
          <w:szCs w:val="22"/>
          <w:lang w:val="es-ES" w:eastAsia="en-US"/>
        </w:rPr>
        <w:t xml:space="preserve"> del poder </w:t>
      </w:r>
      <w:r w:rsidR="00C03E1B" w:rsidRPr="008477E8">
        <w:rPr>
          <w:rFonts w:ascii="Arial Narrow" w:eastAsiaTheme="minorHAnsi" w:hAnsi="Arial Narrow" w:cstheme="minorBidi"/>
          <w:color w:val="auto"/>
          <w:szCs w:val="22"/>
          <w:lang w:val="es-ES" w:eastAsia="en-US"/>
        </w:rPr>
        <w:t>ejecutivo,</w:t>
      </w:r>
      <w:r w:rsidR="008477E8" w:rsidRPr="008477E8">
        <w:rPr>
          <w:rFonts w:ascii="Arial Narrow" w:eastAsiaTheme="minorHAnsi" w:hAnsi="Arial Narrow" w:cstheme="minorBidi"/>
          <w:color w:val="auto"/>
          <w:szCs w:val="22"/>
          <w:lang w:val="es-ES" w:eastAsia="en-US"/>
        </w:rPr>
        <w:t xml:space="preserve"> así indicado mediante oficio MH-DGCN-DIR-OF-0894-2024</w:t>
      </w:r>
      <w:r w:rsidR="00C03E1B">
        <w:rPr>
          <w:rFonts w:ascii="Arial Narrow" w:eastAsiaTheme="minorHAnsi" w:hAnsi="Arial Narrow" w:cstheme="minorBidi"/>
          <w:color w:val="auto"/>
          <w:szCs w:val="22"/>
          <w:lang w:val="es-ES" w:eastAsia="en-US"/>
        </w:rPr>
        <w:t>.</w:t>
      </w:r>
    </w:p>
    <w:p w14:paraId="697E7A9F" w14:textId="45092F6A" w:rsidR="00C03E1B" w:rsidRDefault="00C03E1B" w:rsidP="00C03E1B">
      <w:pPr>
        <w:pStyle w:val="Default"/>
        <w:jc w:val="both"/>
        <w:rPr>
          <w:rFonts w:ascii="Arial Narrow" w:eastAsiaTheme="minorHAnsi" w:hAnsi="Arial Narrow" w:cstheme="minorBidi"/>
          <w:color w:val="auto"/>
          <w:szCs w:val="22"/>
          <w:lang w:val="es-ES" w:eastAsia="en-US"/>
        </w:rPr>
      </w:pPr>
    </w:p>
    <w:p w14:paraId="61D807AA" w14:textId="77777777" w:rsidR="00C03E1B" w:rsidRPr="00C03E1B" w:rsidRDefault="00C03E1B" w:rsidP="00C03E1B">
      <w:pPr>
        <w:autoSpaceDE w:val="0"/>
        <w:autoSpaceDN w:val="0"/>
        <w:adjustRightInd w:val="0"/>
        <w:spacing w:after="0" w:line="240" w:lineRule="auto"/>
        <w:rPr>
          <w:rFonts w:ascii="HendersonSansW00-BasicLight" w:hAnsi="HendersonSansW00-BasicLight" w:cs="HendersonSansW00-BasicLight"/>
          <w:i/>
          <w:color w:val="000000"/>
          <w:sz w:val="18"/>
          <w:szCs w:val="20"/>
        </w:rPr>
      </w:pPr>
      <w:r w:rsidRPr="00C03E1B">
        <w:rPr>
          <w:rFonts w:ascii="HendersonSansW00-BasicLight" w:hAnsi="HendersonSansW00-BasicLight" w:cs="HendersonSansW00-BasicLight"/>
          <w:i/>
          <w:color w:val="000000"/>
          <w:sz w:val="18"/>
          <w:szCs w:val="20"/>
        </w:rPr>
        <w:t xml:space="preserve">Para evitar una errónea interpretación, el ente contable debe indicar el código como se indica, y revelar en el Estado de Notas Contables, que incluye el código del Poder Ejecutivo por instrucción de la Contabilidad Nacional y revela el número de este oficio como soporte. </w:t>
      </w:r>
    </w:p>
    <w:p w14:paraId="0C6CC709" w14:textId="37AAF5E6" w:rsidR="00C03E1B" w:rsidRPr="00C03E1B" w:rsidRDefault="00C03E1B" w:rsidP="00C03E1B">
      <w:pPr>
        <w:pStyle w:val="Default"/>
        <w:jc w:val="both"/>
        <w:rPr>
          <w:rFonts w:ascii="Arial Narrow" w:eastAsiaTheme="minorHAnsi" w:hAnsi="Arial Narrow" w:cstheme="minorBidi"/>
          <w:i/>
          <w:color w:val="auto"/>
          <w:sz w:val="22"/>
          <w:szCs w:val="22"/>
          <w:lang w:val="es-ES" w:eastAsia="en-US"/>
        </w:rPr>
      </w:pPr>
      <w:r w:rsidRPr="00C03E1B">
        <w:rPr>
          <w:rFonts w:ascii="HendersonSansW00-BasicLight" w:eastAsiaTheme="minorHAnsi" w:hAnsi="HendersonSansW00-BasicLight" w:cs="HendersonSansW00-BasicLight"/>
          <w:i/>
          <w:sz w:val="18"/>
          <w:szCs w:val="20"/>
          <w:lang w:eastAsia="en-US"/>
        </w:rPr>
        <w:t>En caso de dudas, debe recurrir al analista asignado para su atención.</w:t>
      </w:r>
    </w:p>
    <w:p w14:paraId="431C15D2" w14:textId="77777777" w:rsidR="008477E8" w:rsidRPr="008477E8" w:rsidRDefault="008477E8" w:rsidP="008477E8">
      <w:pPr>
        <w:pStyle w:val="Default"/>
        <w:rPr>
          <w:rFonts w:ascii="HendersonSansW00-BasicLight" w:eastAsiaTheme="minorHAnsi" w:hAnsi="HendersonSansW00-BasicLight" w:cs="HendersonSansW00-BasicLight"/>
          <w:lang w:eastAsia="en-US"/>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1843"/>
        <w:gridCol w:w="5386"/>
      </w:tblGrid>
      <w:tr w:rsidR="00CF4D8B" w:rsidRPr="00C23B6D" w14:paraId="7EB12DCA" w14:textId="77777777" w:rsidTr="004653E2">
        <w:trPr>
          <w:trHeight w:val="315"/>
          <w:jc w:val="center"/>
        </w:trPr>
        <w:tc>
          <w:tcPr>
            <w:tcW w:w="1413" w:type="dxa"/>
            <w:shd w:val="clear" w:color="auto" w:fill="365F91"/>
            <w:noWrap/>
            <w:vAlign w:val="center"/>
            <w:hideMark/>
          </w:tcPr>
          <w:p w14:paraId="34B74634" w14:textId="77777777" w:rsidR="00CF4D8B" w:rsidRPr="00C23B6D" w:rsidRDefault="00CF4D8B" w:rsidP="004653E2">
            <w:pPr>
              <w:jc w:val="center"/>
              <w:rPr>
                <w:bCs/>
                <w:color w:val="FFFFFF"/>
                <w:lang w:eastAsia="es-CR"/>
              </w:rPr>
            </w:pPr>
            <w:r w:rsidRPr="00C23B6D">
              <w:rPr>
                <w:bCs/>
                <w:color w:val="FFFFFF"/>
                <w:lang w:eastAsia="es-CR"/>
              </w:rPr>
              <w:t>Fecha</w:t>
            </w:r>
          </w:p>
        </w:tc>
        <w:tc>
          <w:tcPr>
            <w:tcW w:w="1843" w:type="dxa"/>
            <w:shd w:val="clear" w:color="auto" w:fill="365F91"/>
            <w:noWrap/>
            <w:vAlign w:val="center"/>
            <w:hideMark/>
          </w:tcPr>
          <w:p w14:paraId="760D11FA" w14:textId="77777777" w:rsidR="00CF4D8B" w:rsidRPr="00C23B6D" w:rsidRDefault="00CF4D8B" w:rsidP="004653E2">
            <w:pPr>
              <w:jc w:val="center"/>
              <w:rPr>
                <w:bCs/>
                <w:color w:val="FFFFFF"/>
                <w:lang w:eastAsia="es-CR"/>
              </w:rPr>
            </w:pPr>
            <w:r w:rsidRPr="00C23B6D">
              <w:rPr>
                <w:bCs/>
                <w:color w:val="FFFFFF"/>
                <w:lang w:eastAsia="es-CR"/>
              </w:rPr>
              <w:t>Tipo de aporte</w:t>
            </w:r>
          </w:p>
        </w:tc>
        <w:tc>
          <w:tcPr>
            <w:tcW w:w="5386" w:type="dxa"/>
            <w:shd w:val="clear" w:color="auto" w:fill="365F91"/>
            <w:noWrap/>
            <w:vAlign w:val="center"/>
            <w:hideMark/>
          </w:tcPr>
          <w:p w14:paraId="6E77A2E5" w14:textId="77777777" w:rsidR="00CF4D8B" w:rsidRPr="00C23B6D" w:rsidRDefault="00CF4D8B" w:rsidP="004653E2">
            <w:pPr>
              <w:jc w:val="center"/>
              <w:rPr>
                <w:bCs/>
                <w:color w:val="FFFFFF"/>
                <w:lang w:eastAsia="es-CR"/>
              </w:rPr>
            </w:pPr>
            <w:r w:rsidRPr="00C23B6D">
              <w:rPr>
                <w:bCs/>
                <w:color w:val="FFFFFF"/>
                <w:lang w:eastAsia="es-CR"/>
              </w:rPr>
              <w:t>Fundamento Jurídico</w:t>
            </w:r>
          </w:p>
        </w:tc>
      </w:tr>
      <w:tr w:rsidR="00CF4D8B" w:rsidRPr="00C20218" w14:paraId="343EE4EE" w14:textId="77777777" w:rsidTr="004653E2">
        <w:trPr>
          <w:trHeight w:val="300"/>
          <w:jc w:val="center"/>
        </w:trPr>
        <w:tc>
          <w:tcPr>
            <w:tcW w:w="1413" w:type="dxa"/>
            <w:shd w:val="clear" w:color="auto" w:fill="auto"/>
            <w:noWrap/>
            <w:vAlign w:val="center"/>
            <w:hideMark/>
          </w:tcPr>
          <w:p w14:paraId="6E368F4C" w14:textId="77777777" w:rsidR="00CF4D8B" w:rsidRPr="002937B5" w:rsidRDefault="00CF4D8B" w:rsidP="00CF4D8B">
            <w:pPr>
              <w:spacing w:after="0" w:line="240" w:lineRule="auto"/>
              <w:jc w:val="center"/>
              <w:rPr>
                <w:color w:val="000000"/>
                <w:sz w:val="22"/>
                <w:lang w:eastAsia="es-CR"/>
              </w:rPr>
            </w:pPr>
            <w:r w:rsidRPr="002937B5">
              <w:rPr>
                <w:color w:val="000000"/>
                <w:sz w:val="22"/>
                <w:lang w:eastAsia="es-CR"/>
              </w:rPr>
              <w:t>18-01-1949</w:t>
            </w:r>
          </w:p>
        </w:tc>
        <w:tc>
          <w:tcPr>
            <w:tcW w:w="1843" w:type="dxa"/>
            <w:shd w:val="clear" w:color="auto" w:fill="auto"/>
            <w:noWrap/>
            <w:vAlign w:val="center"/>
            <w:hideMark/>
          </w:tcPr>
          <w:p w14:paraId="3E244C9F" w14:textId="77777777" w:rsidR="00CF4D8B" w:rsidRPr="002937B5" w:rsidRDefault="00CF4D8B" w:rsidP="00CF4D8B">
            <w:pPr>
              <w:spacing w:after="0" w:line="240" w:lineRule="auto"/>
              <w:jc w:val="center"/>
              <w:rPr>
                <w:color w:val="000000"/>
                <w:sz w:val="22"/>
                <w:lang w:eastAsia="es-CR"/>
              </w:rPr>
            </w:pPr>
            <w:r w:rsidRPr="002937B5">
              <w:rPr>
                <w:color w:val="000000"/>
                <w:sz w:val="22"/>
                <w:lang w:eastAsia="es-CR"/>
              </w:rPr>
              <w:t>Capital Inicial</w:t>
            </w:r>
          </w:p>
        </w:tc>
        <w:tc>
          <w:tcPr>
            <w:tcW w:w="5386" w:type="dxa"/>
            <w:shd w:val="clear" w:color="auto" w:fill="auto"/>
            <w:noWrap/>
            <w:vAlign w:val="center"/>
            <w:hideMark/>
          </w:tcPr>
          <w:p w14:paraId="119C4CE7" w14:textId="77777777" w:rsidR="00CF4D8B" w:rsidRPr="002937B5" w:rsidRDefault="00CF4D8B" w:rsidP="00CF4D8B">
            <w:pPr>
              <w:spacing w:after="0" w:line="240" w:lineRule="auto"/>
              <w:jc w:val="center"/>
              <w:rPr>
                <w:color w:val="000000"/>
                <w:sz w:val="22"/>
                <w:lang w:eastAsia="es-CR"/>
              </w:rPr>
            </w:pPr>
            <w:r w:rsidRPr="002937B5">
              <w:rPr>
                <w:color w:val="000000"/>
                <w:sz w:val="22"/>
                <w:lang w:eastAsia="es-CR"/>
              </w:rPr>
              <w:t>Constitución Política, Ley No. 185 y Código Municipal Ley No. 7794</w:t>
            </w:r>
          </w:p>
        </w:tc>
      </w:tr>
    </w:tbl>
    <w:p w14:paraId="6BE13BFA" w14:textId="77777777" w:rsidR="00CF4D8B" w:rsidRDefault="00CF4D8B" w:rsidP="00453773">
      <w:pPr>
        <w:spacing w:after="0" w:line="240" w:lineRule="auto"/>
      </w:pPr>
    </w:p>
    <w:p w14:paraId="53E0DF9A" w14:textId="77777777" w:rsidR="00453773" w:rsidRDefault="00692DC8" w:rsidP="00453773">
      <w:pPr>
        <w:spacing w:after="0" w:line="240" w:lineRule="auto"/>
        <w:rPr>
          <w:rFonts w:eastAsia="Calibri"/>
          <w:b/>
          <w:lang w:val="es-ES"/>
        </w:rPr>
      </w:pPr>
      <w:r w:rsidRPr="003421AB">
        <w:rPr>
          <w:rFonts w:eastAsia="Calibri"/>
          <w:b/>
          <w:lang w:val="es-ES"/>
        </w:rPr>
        <w:t>Revelación:</w:t>
      </w:r>
    </w:p>
    <w:p w14:paraId="5971F45C" w14:textId="179F432D" w:rsidR="00694299" w:rsidRPr="00694299" w:rsidRDefault="009C78C0" w:rsidP="00453773">
      <w:pPr>
        <w:spacing w:after="0" w:line="240" w:lineRule="auto"/>
        <w:rPr>
          <w:rFonts w:eastAsia="Calibri"/>
          <w:b/>
          <w:sz w:val="20"/>
          <w:szCs w:val="20"/>
          <w:lang w:eastAsia="es-CR"/>
        </w:rPr>
      </w:pPr>
      <w:r>
        <w:rPr>
          <w:rFonts w:cs="Calibri"/>
          <w:color w:val="000000"/>
          <w:lang w:eastAsia="es-CR"/>
        </w:rPr>
        <w:fldChar w:fldCharType="begin"/>
      </w:r>
      <w:r>
        <w:rPr>
          <w:rFonts w:cs="Calibri"/>
          <w:color w:val="000000"/>
          <w:lang w:eastAsia="es-CR"/>
        </w:rPr>
        <w:instrText xml:space="preserve"> LINK </w:instrText>
      </w:r>
      <w:r w:rsidR="00323752">
        <w:rPr>
          <w:rFonts w:cs="Calibri"/>
          <w:color w:val="000000"/>
          <w:lang w:eastAsia="es-CR"/>
        </w:rPr>
        <w:instrText xml:space="preserve">Excel.SheetMacroEnabled.12 "D:\\MORAVIA\\INSUMOS\\NOTAS 2024\\Formato_Notas_EEFF_Vinculadas_2024\\XXXXX_PXX_202X_Anexo_Estado_Notas_Contables_Vinculadas.xlsm" NOTAS_POR_CUENTA!F184C8 </w:instrText>
      </w:r>
      <w:r>
        <w:rPr>
          <w:rFonts w:cs="Calibri"/>
          <w:color w:val="000000"/>
          <w:lang w:eastAsia="es-CR"/>
        </w:rPr>
        <w:instrText xml:space="preserve">\a \f 5 \h  \* MERGEFORMAT </w:instrText>
      </w:r>
      <w:r>
        <w:rPr>
          <w:rFonts w:cs="Calibri"/>
          <w:color w:val="000000"/>
          <w:lang w:eastAsia="es-CR"/>
        </w:rPr>
        <w:fldChar w:fldCharType="separate"/>
      </w:r>
    </w:p>
    <w:p w14:paraId="7A627977" w14:textId="77777777" w:rsidR="00694299" w:rsidRPr="00694299" w:rsidRDefault="00694299" w:rsidP="00473A78">
      <w:pPr>
        <w:spacing w:line="240" w:lineRule="auto"/>
        <w:rPr>
          <w:rFonts w:cs="Calibri"/>
          <w:color w:val="000000"/>
          <w:lang w:eastAsia="es-CR"/>
        </w:rPr>
      </w:pPr>
      <w:r w:rsidRPr="00694299">
        <w:rPr>
          <w:rFonts w:cs="Calibri"/>
          <w:color w:val="000000"/>
          <w:lang w:eastAsia="es-CR"/>
        </w:rPr>
        <w:t>La cuenta Capital inicial, representa el 0,00% del total del Capital, que comparado al periodo anterior genera una variación absoluta de 0 000,00 que corresponde a un Aumento del 0,00% de recursos disponibles.</w:t>
      </w:r>
    </w:p>
    <w:p w14:paraId="02C87DB0" w14:textId="5594ED15" w:rsidR="00692DC8" w:rsidRPr="003421AB" w:rsidRDefault="009C78C0" w:rsidP="00473A78">
      <w:pPr>
        <w:spacing w:line="240" w:lineRule="auto"/>
        <w:rPr>
          <w:rFonts w:eastAsiaTheme="minorEastAsia" w:cs="Arial Narrow"/>
          <w:color w:val="000000"/>
          <w:lang w:eastAsia="es-CR"/>
        </w:rPr>
      </w:pPr>
      <w:r>
        <w:rPr>
          <w:rFonts w:cs="Calibri"/>
          <w:color w:val="000000"/>
          <w:lang w:eastAsia="es-CR"/>
        </w:rPr>
        <w:fldChar w:fldCharType="end"/>
      </w:r>
      <w:r w:rsidR="00692DC8" w:rsidRPr="00692DC8">
        <w:rPr>
          <w:rFonts w:eastAsia="Calibri"/>
          <w:highlight w:val="lightGray"/>
        </w:rPr>
        <w:t>Las variaciones de la cuenta son producto de (Indicar la razón de las variaciones de un periodo a otro):</w:t>
      </w:r>
      <w:r w:rsidR="00692DC8" w:rsidRPr="00692DC8">
        <w:rPr>
          <w:rFonts w:eastAsia="Calibri"/>
        </w:rPr>
        <w:t xml:space="preserve"> </w:t>
      </w:r>
    </w:p>
    <w:p w14:paraId="38F7160C" w14:textId="77777777" w:rsidR="00694299" w:rsidRDefault="009C78C0" w:rsidP="00323752">
      <w:pPr>
        <w:spacing w:before="240"/>
        <w:rPr>
          <w:rFonts w:asciiTheme="minorHAnsi" w:hAnsiTheme="minorHAnsi"/>
          <w:sz w:val="22"/>
        </w:rPr>
      </w:pPr>
      <w:r>
        <w:rPr>
          <w:lang w:val="es-ES"/>
        </w:rPr>
        <w:fldChar w:fldCharType="begin"/>
      </w:r>
      <w:r>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NOTAS_POR_CUENTA!F186C1:F188C6 </w:instrText>
      </w:r>
      <w:r>
        <w:rPr>
          <w:lang w:val="es-ES"/>
        </w:rPr>
        <w:instrText xml:space="preserve">\a \f 4 \h </w:instrText>
      </w:r>
      <w:r>
        <w:rPr>
          <w:lang w:val="es-ES"/>
        </w:rPr>
        <w:fldChar w:fldCharType="separate"/>
      </w:r>
    </w:p>
    <w:tbl>
      <w:tblPr>
        <w:tblW w:w="8847" w:type="dxa"/>
        <w:tblCellMar>
          <w:left w:w="70" w:type="dxa"/>
          <w:right w:w="70" w:type="dxa"/>
        </w:tblCellMar>
        <w:tblLook w:val="04A0" w:firstRow="1" w:lastRow="0" w:firstColumn="1" w:lastColumn="0" w:noHBand="0" w:noVBand="1"/>
      </w:tblPr>
      <w:tblGrid>
        <w:gridCol w:w="715"/>
        <w:gridCol w:w="3285"/>
        <w:gridCol w:w="500"/>
        <w:gridCol w:w="1586"/>
        <w:gridCol w:w="1701"/>
        <w:gridCol w:w="1060"/>
      </w:tblGrid>
      <w:tr w:rsidR="00694299" w:rsidRPr="00694299" w14:paraId="71D9F3EB" w14:textId="77777777" w:rsidTr="00E71EFA">
        <w:trPr>
          <w:divId w:val="1589535051"/>
          <w:trHeight w:val="324"/>
        </w:trPr>
        <w:tc>
          <w:tcPr>
            <w:tcW w:w="715"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125163F" w14:textId="30013265" w:rsidR="00694299" w:rsidRPr="00694299" w:rsidRDefault="00694299" w:rsidP="00694299">
            <w:pPr>
              <w:spacing w:after="0" w:line="240" w:lineRule="auto"/>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3285"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6D324E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D3BD710"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5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BB6412D"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9EF3650"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903622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5D1D750A" w14:textId="77777777" w:rsidTr="00E71EFA">
        <w:trPr>
          <w:divId w:val="1589535051"/>
          <w:trHeight w:val="324"/>
        </w:trPr>
        <w:tc>
          <w:tcPr>
            <w:tcW w:w="715" w:type="dxa"/>
            <w:vMerge/>
            <w:tcBorders>
              <w:top w:val="single" w:sz="8" w:space="0" w:color="auto"/>
              <w:left w:val="single" w:sz="8" w:space="0" w:color="auto"/>
              <w:bottom w:val="single" w:sz="8" w:space="0" w:color="000000"/>
              <w:right w:val="single" w:sz="8" w:space="0" w:color="auto"/>
            </w:tcBorders>
            <w:vAlign w:val="center"/>
            <w:hideMark/>
          </w:tcPr>
          <w:p w14:paraId="516F7894"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3285" w:type="dxa"/>
            <w:vMerge/>
            <w:tcBorders>
              <w:top w:val="single" w:sz="8" w:space="0" w:color="auto"/>
              <w:left w:val="single" w:sz="8" w:space="0" w:color="auto"/>
              <w:bottom w:val="single" w:sz="8" w:space="0" w:color="000000"/>
              <w:right w:val="single" w:sz="8" w:space="0" w:color="auto"/>
            </w:tcBorders>
            <w:vAlign w:val="center"/>
            <w:hideMark/>
          </w:tcPr>
          <w:p w14:paraId="3C71A97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F803DE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25D3E624"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4D30CC7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6420E5D1"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52D02092" w14:textId="77777777" w:rsidTr="00E71EFA">
        <w:trPr>
          <w:divId w:val="1589535051"/>
          <w:trHeight w:val="324"/>
        </w:trPr>
        <w:tc>
          <w:tcPr>
            <w:tcW w:w="715" w:type="dxa"/>
            <w:tcBorders>
              <w:top w:val="nil"/>
              <w:left w:val="single" w:sz="8" w:space="0" w:color="auto"/>
              <w:bottom w:val="single" w:sz="8" w:space="0" w:color="auto"/>
              <w:right w:val="single" w:sz="8" w:space="0" w:color="auto"/>
            </w:tcBorders>
            <w:shd w:val="clear" w:color="auto" w:fill="auto"/>
            <w:noWrap/>
            <w:vAlign w:val="center"/>
            <w:hideMark/>
          </w:tcPr>
          <w:p w14:paraId="4E1FF2F9"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3.1.1.02.</w:t>
            </w:r>
          </w:p>
        </w:tc>
        <w:tc>
          <w:tcPr>
            <w:tcW w:w="3285" w:type="dxa"/>
            <w:tcBorders>
              <w:top w:val="nil"/>
              <w:left w:val="nil"/>
              <w:bottom w:val="single" w:sz="8" w:space="0" w:color="auto"/>
              <w:right w:val="single" w:sz="8" w:space="0" w:color="auto"/>
            </w:tcBorders>
            <w:shd w:val="clear" w:color="auto" w:fill="auto"/>
            <w:vAlign w:val="center"/>
            <w:hideMark/>
          </w:tcPr>
          <w:p w14:paraId="3AB91B57"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Incorporaciones al capital</w:t>
            </w:r>
          </w:p>
        </w:tc>
        <w:tc>
          <w:tcPr>
            <w:tcW w:w="500" w:type="dxa"/>
            <w:tcBorders>
              <w:top w:val="nil"/>
              <w:left w:val="nil"/>
              <w:bottom w:val="single" w:sz="8" w:space="0" w:color="auto"/>
              <w:right w:val="single" w:sz="8" w:space="0" w:color="auto"/>
            </w:tcBorders>
            <w:shd w:val="clear" w:color="auto" w:fill="auto"/>
            <w:noWrap/>
            <w:vAlign w:val="center"/>
            <w:hideMark/>
          </w:tcPr>
          <w:p w14:paraId="6A5AAD1F"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24</w:t>
            </w:r>
          </w:p>
        </w:tc>
        <w:tc>
          <w:tcPr>
            <w:tcW w:w="1586" w:type="dxa"/>
            <w:tcBorders>
              <w:top w:val="nil"/>
              <w:left w:val="nil"/>
              <w:bottom w:val="single" w:sz="8" w:space="0" w:color="auto"/>
              <w:right w:val="single" w:sz="8" w:space="0" w:color="auto"/>
            </w:tcBorders>
            <w:shd w:val="clear" w:color="auto" w:fill="auto"/>
            <w:noWrap/>
            <w:vAlign w:val="center"/>
            <w:hideMark/>
          </w:tcPr>
          <w:p w14:paraId="33B07A45"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701" w:type="dxa"/>
            <w:tcBorders>
              <w:top w:val="nil"/>
              <w:left w:val="nil"/>
              <w:bottom w:val="single" w:sz="8" w:space="0" w:color="auto"/>
              <w:right w:val="single" w:sz="8" w:space="0" w:color="auto"/>
            </w:tcBorders>
            <w:shd w:val="clear" w:color="auto" w:fill="auto"/>
            <w:noWrap/>
            <w:vAlign w:val="center"/>
            <w:hideMark/>
          </w:tcPr>
          <w:p w14:paraId="144F7426"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4727896E"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143484B2" w14:textId="77777777" w:rsidR="00694299" w:rsidRPr="00694299" w:rsidRDefault="009C78C0"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NOTAS_POR_CUENTA!F188C8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00047E8C" w14:textId="77777777" w:rsidR="00694299" w:rsidRPr="00694299" w:rsidRDefault="00694299" w:rsidP="00473A78">
      <w:pPr>
        <w:spacing w:line="240" w:lineRule="auto"/>
        <w:rPr>
          <w:rFonts w:eastAsia="Times New Roman" w:cs="Calibri"/>
          <w:color w:val="000000"/>
          <w:lang w:eastAsia="es-CR"/>
        </w:rPr>
      </w:pPr>
      <w:r w:rsidRPr="00694299">
        <w:rPr>
          <w:rFonts w:eastAsia="Times New Roman" w:cs="Calibri"/>
          <w:color w:val="000000"/>
          <w:lang w:eastAsia="es-CR"/>
        </w:rPr>
        <w:t>La cuenta Incorporaciones al capital, representa el 0,00% del total del Capital, que comparado al periodo anterior genera una variación absoluta de 0 000,00 que corresponde a un Aumento del 0,00% de recursos disponibles.</w:t>
      </w:r>
    </w:p>
    <w:p w14:paraId="5616C65A" w14:textId="3E968435" w:rsidR="00692DC8" w:rsidRPr="00692DC8" w:rsidRDefault="009C78C0" w:rsidP="00473A78">
      <w:pPr>
        <w:spacing w:line="240" w:lineRule="auto"/>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0ADF49D" w14:textId="77777777" w:rsidR="00692DC8" w:rsidRDefault="00692DC8" w:rsidP="005012F5"/>
    <w:p w14:paraId="0DA0C04F" w14:textId="77777777" w:rsidR="00453773" w:rsidRPr="00692DC8" w:rsidRDefault="00453773" w:rsidP="005012F5"/>
    <w:p w14:paraId="2C8DEC73" w14:textId="77777777" w:rsidR="00692DC8" w:rsidRPr="00692DC8" w:rsidRDefault="00692DC8" w:rsidP="005012F5">
      <w:pPr>
        <w:pStyle w:val="Ttulo4"/>
        <w:spacing w:before="0" w:after="240"/>
        <w:rPr>
          <w:rFonts w:eastAsia="Times New Roman"/>
        </w:rPr>
      </w:pPr>
      <w:bookmarkStart w:id="474" w:name="_Toc13041168"/>
      <w:bookmarkStart w:id="475" w:name="_Toc14345167"/>
      <w:bookmarkStart w:id="476" w:name="_Toc33601245"/>
      <w:bookmarkStart w:id="477" w:name="_Toc82768956"/>
      <w:bookmarkStart w:id="478" w:name="_Toc173245254"/>
      <w:r w:rsidRPr="00692DC8">
        <w:rPr>
          <w:rFonts w:eastAsia="Times New Roman"/>
        </w:rPr>
        <w:t>NOTA N° 25</w:t>
      </w:r>
      <w:bookmarkEnd w:id="474"/>
      <w:bookmarkEnd w:id="475"/>
      <w:bookmarkEnd w:id="476"/>
      <w:bookmarkEnd w:id="477"/>
      <w:bookmarkEnd w:id="478"/>
    </w:p>
    <w:p w14:paraId="2AC459E0" w14:textId="77777777" w:rsidR="00694299" w:rsidRDefault="00692DC8" w:rsidP="00323752">
      <w:pPr>
        <w:spacing w:before="240"/>
        <w:rPr>
          <w:rFonts w:asciiTheme="minorHAnsi" w:hAnsiTheme="minorHAnsi"/>
          <w:sz w:val="22"/>
        </w:rPr>
      </w:pPr>
      <w:bookmarkStart w:id="479" w:name="_Toc82768957"/>
      <w:r w:rsidRPr="00692DC8">
        <w:rPr>
          <w:rFonts w:eastAsia="Times New Roman"/>
        </w:rPr>
        <w:t>Transferencias de capital</w:t>
      </w:r>
      <w:bookmarkEnd w:id="479"/>
      <w:r w:rsidR="006E7602">
        <w:rPr>
          <w:rFonts w:eastAsiaTheme="majorEastAsia" w:cstheme="majorBidi"/>
          <w:b/>
          <w:iCs/>
        </w:rPr>
        <w:fldChar w:fldCharType="begin"/>
      </w:r>
      <w:r w:rsidR="006E7602">
        <w:instrText xml:space="preserve"> LINK </w:instrText>
      </w:r>
      <w:r w:rsidR="00323752">
        <w:instrText xml:space="preserve">Excel.SheetMacroEnabled.12 "D:\\MORAVIA\\INSUMOS\\NOTAS 2024\\Formato_Notas_EEFF_Vinculadas_2024\\XXXXX_PXX_202X_Anexo_Estado_Notas_Contables_Vinculadas.xlsm" NOTAS_POR_CUENTA!F190C1:F192C6 </w:instrText>
      </w:r>
      <w:r w:rsidR="006E7602">
        <w:instrText xml:space="preserve">\a \f 4 \h </w:instrText>
      </w:r>
      <w:r w:rsidR="006E7602">
        <w:fldChar w:fldCharType="separate"/>
      </w:r>
    </w:p>
    <w:tbl>
      <w:tblPr>
        <w:tblW w:w="8847" w:type="dxa"/>
        <w:tblCellMar>
          <w:left w:w="70" w:type="dxa"/>
          <w:right w:w="70" w:type="dxa"/>
        </w:tblCellMar>
        <w:tblLook w:val="04A0" w:firstRow="1" w:lastRow="0" w:firstColumn="1" w:lastColumn="0" w:noHBand="0" w:noVBand="1"/>
      </w:tblPr>
      <w:tblGrid>
        <w:gridCol w:w="1322"/>
        <w:gridCol w:w="2678"/>
        <w:gridCol w:w="500"/>
        <w:gridCol w:w="1586"/>
        <w:gridCol w:w="1701"/>
        <w:gridCol w:w="1060"/>
      </w:tblGrid>
      <w:tr w:rsidR="00694299" w:rsidRPr="00694299" w14:paraId="118F55E4" w14:textId="77777777" w:rsidTr="00E71EFA">
        <w:trPr>
          <w:divId w:val="387387700"/>
          <w:trHeight w:val="324"/>
        </w:trPr>
        <w:tc>
          <w:tcPr>
            <w:tcW w:w="1322"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3D8C6F0" w14:textId="335A5039"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678"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E54B116"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21A9946"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5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176C4B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465290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7E399C8"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2C52D8FD" w14:textId="77777777" w:rsidTr="00E71EFA">
        <w:trPr>
          <w:divId w:val="387387700"/>
          <w:trHeight w:val="324"/>
        </w:trPr>
        <w:tc>
          <w:tcPr>
            <w:tcW w:w="1322" w:type="dxa"/>
            <w:vMerge/>
            <w:tcBorders>
              <w:top w:val="single" w:sz="8" w:space="0" w:color="auto"/>
              <w:left w:val="single" w:sz="8" w:space="0" w:color="auto"/>
              <w:bottom w:val="single" w:sz="8" w:space="0" w:color="000000"/>
              <w:right w:val="single" w:sz="8" w:space="0" w:color="auto"/>
            </w:tcBorders>
            <w:vAlign w:val="center"/>
            <w:hideMark/>
          </w:tcPr>
          <w:p w14:paraId="42DEC33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678" w:type="dxa"/>
            <w:vMerge/>
            <w:tcBorders>
              <w:top w:val="single" w:sz="8" w:space="0" w:color="auto"/>
              <w:left w:val="single" w:sz="8" w:space="0" w:color="auto"/>
              <w:bottom w:val="single" w:sz="8" w:space="0" w:color="000000"/>
              <w:right w:val="single" w:sz="8" w:space="0" w:color="auto"/>
            </w:tcBorders>
            <w:vAlign w:val="center"/>
            <w:hideMark/>
          </w:tcPr>
          <w:p w14:paraId="76F35E4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174D96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2AC632B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10957E84"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5223391C"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10A2BE3D" w14:textId="77777777" w:rsidTr="00E71EFA">
        <w:trPr>
          <w:divId w:val="387387700"/>
          <w:trHeight w:val="324"/>
        </w:trPr>
        <w:tc>
          <w:tcPr>
            <w:tcW w:w="1322" w:type="dxa"/>
            <w:tcBorders>
              <w:top w:val="nil"/>
              <w:left w:val="single" w:sz="8" w:space="0" w:color="auto"/>
              <w:bottom w:val="single" w:sz="8" w:space="0" w:color="auto"/>
              <w:right w:val="single" w:sz="8" w:space="0" w:color="auto"/>
            </w:tcBorders>
            <w:shd w:val="clear" w:color="auto" w:fill="auto"/>
            <w:noWrap/>
            <w:vAlign w:val="center"/>
            <w:hideMark/>
          </w:tcPr>
          <w:p w14:paraId="015B3862"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3.1.2.</w:t>
            </w:r>
          </w:p>
        </w:tc>
        <w:tc>
          <w:tcPr>
            <w:tcW w:w="2678" w:type="dxa"/>
            <w:tcBorders>
              <w:top w:val="nil"/>
              <w:left w:val="nil"/>
              <w:bottom w:val="single" w:sz="8" w:space="0" w:color="auto"/>
              <w:right w:val="single" w:sz="8" w:space="0" w:color="auto"/>
            </w:tcBorders>
            <w:shd w:val="clear" w:color="auto" w:fill="auto"/>
            <w:vAlign w:val="center"/>
            <w:hideMark/>
          </w:tcPr>
          <w:p w14:paraId="238EAC3E"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Transferencias de capital</w:t>
            </w:r>
          </w:p>
        </w:tc>
        <w:tc>
          <w:tcPr>
            <w:tcW w:w="500" w:type="dxa"/>
            <w:tcBorders>
              <w:top w:val="nil"/>
              <w:left w:val="nil"/>
              <w:bottom w:val="single" w:sz="8" w:space="0" w:color="auto"/>
              <w:right w:val="single" w:sz="8" w:space="0" w:color="auto"/>
            </w:tcBorders>
            <w:shd w:val="clear" w:color="auto" w:fill="auto"/>
            <w:noWrap/>
            <w:vAlign w:val="center"/>
            <w:hideMark/>
          </w:tcPr>
          <w:p w14:paraId="3372998C"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25</w:t>
            </w:r>
          </w:p>
        </w:tc>
        <w:tc>
          <w:tcPr>
            <w:tcW w:w="1586" w:type="dxa"/>
            <w:tcBorders>
              <w:top w:val="nil"/>
              <w:left w:val="nil"/>
              <w:bottom w:val="single" w:sz="8" w:space="0" w:color="auto"/>
              <w:right w:val="single" w:sz="8" w:space="0" w:color="auto"/>
            </w:tcBorders>
            <w:shd w:val="clear" w:color="auto" w:fill="auto"/>
            <w:noWrap/>
            <w:vAlign w:val="center"/>
            <w:hideMark/>
          </w:tcPr>
          <w:p w14:paraId="4E7958BA"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701" w:type="dxa"/>
            <w:tcBorders>
              <w:top w:val="nil"/>
              <w:left w:val="nil"/>
              <w:bottom w:val="single" w:sz="8" w:space="0" w:color="auto"/>
              <w:right w:val="single" w:sz="8" w:space="0" w:color="auto"/>
            </w:tcBorders>
            <w:shd w:val="clear" w:color="auto" w:fill="auto"/>
            <w:noWrap/>
            <w:vAlign w:val="center"/>
            <w:hideMark/>
          </w:tcPr>
          <w:p w14:paraId="204DB6FE"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60720124"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63DDD109" w14:textId="77777777" w:rsidR="00694299" w:rsidRPr="00694299" w:rsidRDefault="006E7602" w:rsidP="00694299">
      <w:pPr>
        <w:spacing w:before="240"/>
      </w:pPr>
      <w: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NOTAS_POR_CUENTA!F192C8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61037F78" w14:textId="77777777" w:rsidR="00694299" w:rsidRPr="00694299" w:rsidRDefault="00694299" w:rsidP="00473A78">
      <w:pPr>
        <w:spacing w:line="240" w:lineRule="auto"/>
        <w:rPr>
          <w:rFonts w:eastAsia="Times New Roman" w:cs="Calibri"/>
          <w:color w:val="000000"/>
          <w:lang w:eastAsia="es-CR"/>
        </w:rPr>
      </w:pPr>
      <w:r w:rsidRPr="00694299">
        <w:rPr>
          <w:rFonts w:eastAsia="Times New Roman" w:cs="Calibri"/>
          <w:color w:val="000000"/>
          <w:lang w:eastAsia="es-CR"/>
        </w:rPr>
        <w:t>La cuenta Transferencias de capital, representa el 0,00% del total del Capital, que comparado al periodo anterior genera una variación absoluta de 0 000,00 que corresponde a un Aumento del 0,00% de recursos disponibles.</w:t>
      </w:r>
    </w:p>
    <w:p w14:paraId="08A6BFF9" w14:textId="0A891FC0" w:rsidR="00692DC8" w:rsidRPr="00692DC8" w:rsidRDefault="006E7602" w:rsidP="00473A78">
      <w:pPr>
        <w:spacing w:line="240" w:lineRule="auto"/>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7D1F0024" w14:textId="77777777" w:rsidR="006E7602" w:rsidRPr="00692DC8" w:rsidRDefault="006E7602" w:rsidP="005012F5">
      <w:pPr>
        <w:rPr>
          <w:szCs w:val="24"/>
        </w:rPr>
      </w:pPr>
    </w:p>
    <w:p w14:paraId="3A833922" w14:textId="77777777" w:rsidR="00692DC8" w:rsidRPr="00692DC8" w:rsidRDefault="00692DC8" w:rsidP="005012F5">
      <w:pPr>
        <w:pStyle w:val="Ttulo4"/>
        <w:spacing w:after="240"/>
        <w:rPr>
          <w:rFonts w:eastAsia="Times New Roman"/>
        </w:rPr>
      </w:pPr>
      <w:bookmarkStart w:id="480" w:name="_Toc13041171"/>
      <w:bookmarkStart w:id="481" w:name="_Toc14345170"/>
      <w:bookmarkStart w:id="482" w:name="_Toc33601246"/>
      <w:bookmarkStart w:id="483" w:name="_Toc82768958"/>
      <w:bookmarkStart w:id="484" w:name="_Toc173245255"/>
      <w:r w:rsidRPr="00692DC8">
        <w:rPr>
          <w:rFonts w:eastAsia="Times New Roman"/>
        </w:rPr>
        <w:t>NOTA N° 26</w:t>
      </w:r>
      <w:bookmarkEnd w:id="480"/>
      <w:bookmarkEnd w:id="481"/>
      <w:bookmarkEnd w:id="482"/>
      <w:bookmarkEnd w:id="483"/>
      <w:bookmarkEnd w:id="484"/>
    </w:p>
    <w:p w14:paraId="26659847" w14:textId="77777777" w:rsidR="00694299" w:rsidRDefault="00692DC8" w:rsidP="00323752">
      <w:pPr>
        <w:spacing w:before="240"/>
        <w:rPr>
          <w:rFonts w:asciiTheme="minorHAnsi" w:hAnsiTheme="minorHAnsi"/>
          <w:sz w:val="22"/>
        </w:rPr>
      </w:pPr>
      <w:bookmarkStart w:id="485" w:name="_Toc82768959"/>
      <w:r w:rsidRPr="00692DC8">
        <w:rPr>
          <w:rFonts w:eastAsia="Times New Roman"/>
        </w:rPr>
        <w:t>Reservas</w:t>
      </w:r>
      <w:bookmarkEnd w:id="485"/>
      <w:r w:rsidR="006E7602">
        <w:rPr>
          <w:rFonts w:eastAsiaTheme="majorEastAsia" w:cstheme="majorBidi"/>
          <w:b/>
          <w:iCs/>
        </w:rPr>
        <w:fldChar w:fldCharType="begin"/>
      </w:r>
      <w:r w:rsidR="006E7602">
        <w:instrText xml:space="preserve"> LINK </w:instrText>
      </w:r>
      <w:r w:rsidR="00323752">
        <w:instrText xml:space="preserve">Excel.SheetMacroEnabled.12 "D:\\MORAVIA\\INSUMOS\\NOTAS 2024\\Formato_Notas_EEFF_Vinculadas_2024\\XXXXX_PXX_202X_Anexo_Estado_Notas_Contables_Vinculadas.xlsm" NOTAS_POR_CUENTA!F194C1:F196C6 </w:instrText>
      </w:r>
      <w:r w:rsidR="006E7602">
        <w:instrText xml:space="preserve">\a \f 4 \h </w:instrText>
      </w:r>
      <w:r w:rsidR="006E7602">
        <w:fldChar w:fldCharType="separate"/>
      </w:r>
    </w:p>
    <w:tbl>
      <w:tblPr>
        <w:tblW w:w="8847" w:type="dxa"/>
        <w:tblCellMar>
          <w:left w:w="70" w:type="dxa"/>
          <w:right w:w="70" w:type="dxa"/>
        </w:tblCellMar>
        <w:tblLook w:val="04A0" w:firstRow="1" w:lastRow="0" w:firstColumn="1" w:lastColumn="0" w:noHBand="0" w:noVBand="1"/>
      </w:tblPr>
      <w:tblGrid>
        <w:gridCol w:w="1352"/>
        <w:gridCol w:w="2648"/>
        <w:gridCol w:w="500"/>
        <w:gridCol w:w="1586"/>
        <w:gridCol w:w="1701"/>
        <w:gridCol w:w="1060"/>
      </w:tblGrid>
      <w:tr w:rsidR="00694299" w:rsidRPr="00694299" w14:paraId="54EB351D" w14:textId="77777777" w:rsidTr="00E71EFA">
        <w:trPr>
          <w:divId w:val="344555397"/>
          <w:trHeight w:val="324"/>
        </w:trPr>
        <w:tc>
          <w:tcPr>
            <w:tcW w:w="1352"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32B1E62" w14:textId="27814CA2"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648"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8396626"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D10A3C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5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2672F2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B88D7BD"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BC94F1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77E7C4E5" w14:textId="77777777" w:rsidTr="00E71EFA">
        <w:trPr>
          <w:divId w:val="344555397"/>
          <w:trHeight w:val="324"/>
        </w:trPr>
        <w:tc>
          <w:tcPr>
            <w:tcW w:w="1352" w:type="dxa"/>
            <w:vMerge/>
            <w:tcBorders>
              <w:top w:val="single" w:sz="8" w:space="0" w:color="auto"/>
              <w:left w:val="single" w:sz="8" w:space="0" w:color="auto"/>
              <w:bottom w:val="single" w:sz="8" w:space="0" w:color="000000"/>
              <w:right w:val="single" w:sz="8" w:space="0" w:color="auto"/>
            </w:tcBorders>
            <w:vAlign w:val="center"/>
            <w:hideMark/>
          </w:tcPr>
          <w:p w14:paraId="5E616FA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648" w:type="dxa"/>
            <w:vMerge/>
            <w:tcBorders>
              <w:top w:val="single" w:sz="8" w:space="0" w:color="auto"/>
              <w:left w:val="single" w:sz="8" w:space="0" w:color="auto"/>
              <w:bottom w:val="single" w:sz="8" w:space="0" w:color="000000"/>
              <w:right w:val="single" w:sz="8" w:space="0" w:color="auto"/>
            </w:tcBorders>
            <w:vAlign w:val="center"/>
            <w:hideMark/>
          </w:tcPr>
          <w:p w14:paraId="5B04420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4D6554B7"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436FD256"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33E50FA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7595338E"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0DC8B356" w14:textId="77777777" w:rsidTr="00E71EFA">
        <w:trPr>
          <w:divId w:val="344555397"/>
          <w:trHeight w:val="324"/>
        </w:trPr>
        <w:tc>
          <w:tcPr>
            <w:tcW w:w="1352" w:type="dxa"/>
            <w:tcBorders>
              <w:top w:val="nil"/>
              <w:left w:val="single" w:sz="8" w:space="0" w:color="auto"/>
              <w:bottom w:val="single" w:sz="8" w:space="0" w:color="auto"/>
              <w:right w:val="single" w:sz="8" w:space="0" w:color="auto"/>
            </w:tcBorders>
            <w:shd w:val="clear" w:color="auto" w:fill="auto"/>
            <w:noWrap/>
            <w:vAlign w:val="center"/>
            <w:hideMark/>
          </w:tcPr>
          <w:p w14:paraId="11797E34"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3.1.3.</w:t>
            </w:r>
          </w:p>
        </w:tc>
        <w:tc>
          <w:tcPr>
            <w:tcW w:w="2648" w:type="dxa"/>
            <w:tcBorders>
              <w:top w:val="nil"/>
              <w:left w:val="nil"/>
              <w:bottom w:val="single" w:sz="8" w:space="0" w:color="auto"/>
              <w:right w:val="single" w:sz="8" w:space="0" w:color="auto"/>
            </w:tcBorders>
            <w:shd w:val="clear" w:color="auto" w:fill="auto"/>
            <w:vAlign w:val="center"/>
            <w:hideMark/>
          </w:tcPr>
          <w:p w14:paraId="7CEB51DA"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Reservas</w:t>
            </w:r>
          </w:p>
        </w:tc>
        <w:tc>
          <w:tcPr>
            <w:tcW w:w="500" w:type="dxa"/>
            <w:tcBorders>
              <w:top w:val="nil"/>
              <w:left w:val="nil"/>
              <w:bottom w:val="single" w:sz="8" w:space="0" w:color="auto"/>
              <w:right w:val="single" w:sz="8" w:space="0" w:color="auto"/>
            </w:tcBorders>
            <w:shd w:val="clear" w:color="auto" w:fill="auto"/>
            <w:noWrap/>
            <w:vAlign w:val="center"/>
            <w:hideMark/>
          </w:tcPr>
          <w:p w14:paraId="6AB0048A"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26</w:t>
            </w:r>
          </w:p>
        </w:tc>
        <w:tc>
          <w:tcPr>
            <w:tcW w:w="1586" w:type="dxa"/>
            <w:tcBorders>
              <w:top w:val="nil"/>
              <w:left w:val="nil"/>
              <w:bottom w:val="single" w:sz="8" w:space="0" w:color="auto"/>
              <w:right w:val="single" w:sz="8" w:space="0" w:color="auto"/>
            </w:tcBorders>
            <w:shd w:val="clear" w:color="auto" w:fill="auto"/>
            <w:noWrap/>
            <w:vAlign w:val="center"/>
            <w:hideMark/>
          </w:tcPr>
          <w:p w14:paraId="7DAB1525"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701" w:type="dxa"/>
            <w:tcBorders>
              <w:top w:val="nil"/>
              <w:left w:val="nil"/>
              <w:bottom w:val="single" w:sz="8" w:space="0" w:color="auto"/>
              <w:right w:val="single" w:sz="8" w:space="0" w:color="auto"/>
            </w:tcBorders>
            <w:shd w:val="clear" w:color="auto" w:fill="auto"/>
            <w:noWrap/>
            <w:vAlign w:val="center"/>
            <w:hideMark/>
          </w:tcPr>
          <w:p w14:paraId="275725AD"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554D33CA"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72B96996" w14:textId="77777777" w:rsidR="00694299" w:rsidRPr="00694299" w:rsidRDefault="006E7602" w:rsidP="00694299">
      <w:pPr>
        <w:spacing w:before="240"/>
      </w:pPr>
      <w:r>
        <w:fldChar w:fldCharType="end"/>
      </w:r>
      <w:r w:rsidR="00692DC8" w:rsidRPr="005012F5">
        <w:rPr>
          <w:b/>
          <w:lang w:val="es-ES"/>
        </w:rPr>
        <w:t xml:space="preserve">Revelación: </w:t>
      </w:r>
      <w:bookmarkStart w:id="486" w:name="_Toc13041174"/>
      <w:bookmarkStart w:id="487" w:name="_Toc14345173"/>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NOTAS_POR_CUENTA!F196C8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545A3E5C" w14:textId="77777777" w:rsidR="00694299" w:rsidRPr="00694299" w:rsidRDefault="00694299" w:rsidP="00473A78">
      <w:pPr>
        <w:spacing w:line="240" w:lineRule="auto"/>
        <w:rPr>
          <w:rFonts w:eastAsia="Times New Roman" w:cs="Calibri"/>
          <w:color w:val="000000"/>
          <w:lang w:eastAsia="es-CR"/>
        </w:rPr>
      </w:pPr>
      <w:r w:rsidRPr="00694299">
        <w:rPr>
          <w:rFonts w:eastAsia="Times New Roman" w:cs="Calibri"/>
          <w:color w:val="000000"/>
          <w:lang w:eastAsia="es-CR"/>
        </w:rPr>
        <w:t>La cuenta Reservas, representa el 0,00% del total del Capital, que comparado al periodo anterior genera una variación absoluta de 0 000,00 que corresponde a un Aumento del 0,00% de recursos disponibles.</w:t>
      </w:r>
    </w:p>
    <w:p w14:paraId="4776E3B6" w14:textId="6AFE3D6F" w:rsidR="00CF4D8B" w:rsidRDefault="006E7602" w:rsidP="00473A78">
      <w:pPr>
        <w:spacing w:line="240" w:lineRule="auto"/>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p>
    <w:p w14:paraId="22BF6DF2" w14:textId="0B834EE8" w:rsidR="00692DC8" w:rsidRPr="001D0A81" w:rsidRDefault="00692DC8" w:rsidP="005012F5">
      <w:pPr>
        <w:rPr>
          <w:rFonts w:eastAsiaTheme="minorEastAsia" w:cs="Arial Narrow"/>
          <w:color w:val="000000"/>
          <w:lang w:eastAsia="es-CR"/>
        </w:rPr>
      </w:pPr>
      <w:r w:rsidRPr="00692DC8">
        <w:t xml:space="preserve"> </w:t>
      </w:r>
    </w:p>
    <w:p w14:paraId="24E9A812" w14:textId="77777777" w:rsidR="00692DC8" w:rsidRPr="00692DC8" w:rsidRDefault="00692DC8" w:rsidP="005012F5">
      <w:pPr>
        <w:pStyle w:val="Ttulo4"/>
        <w:spacing w:after="240"/>
        <w:rPr>
          <w:rFonts w:eastAsia="Times New Roman"/>
        </w:rPr>
      </w:pPr>
      <w:bookmarkStart w:id="488" w:name="_Toc33601247"/>
      <w:bookmarkStart w:id="489" w:name="_Toc82768960"/>
      <w:bookmarkStart w:id="490" w:name="_Toc173245256"/>
      <w:r w:rsidRPr="00692DC8">
        <w:rPr>
          <w:rFonts w:eastAsia="Times New Roman"/>
        </w:rPr>
        <w:t>NOTA N° 27</w:t>
      </w:r>
      <w:bookmarkEnd w:id="486"/>
      <w:bookmarkEnd w:id="487"/>
      <w:bookmarkEnd w:id="488"/>
      <w:bookmarkEnd w:id="489"/>
      <w:bookmarkEnd w:id="490"/>
    </w:p>
    <w:p w14:paraId="61144017" w14:textId="77777777" w:rsidR="00694299" w:rsidRDefault="00692DC8" w:rsidP="00323752">
      <w:pPr>
        <w:spacing w:before="240"/>
        <w:rPr>
          <w:rFonts w:asciiTheme="minorHAnsi" w:hAnsiTheme="minorHAnsi"/>
          <w:sz w:val="22"/>
        </w:rPr>
      </w:pPr>
      <w:bookmarkStart w:id="491" w:name="_Toc82768961"/>
      <w:r w:rsidRPr="00692DC8">
        <w:rPr>
          <w:rFonts w:eastAsia="Times New Roman"/>
        </w:rPr>
        <w:t>Variaciones no asignables a reservas</w:t>
      </w:r>
      <w:bookmarkEnd w:id="491"/>
      <w:r w:rsidR="00736E00">
        <w:rPr>
          <w:rFonts w:eastAsiaTheme="majorEastAsia" w:cstheme="majorBidi"/>
          <w:iCs/>
          <w:lang w:val="es-ES"/>
        </w:rPr>
        <w:fldChar w:fldCharType="begin"/>
      </w:r>
      <w:r w:rsidR="00736E00">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NOTAS_POR_CUENTA!F198C1:F200C6 </w:instrText>
      </w:r>
      <w:r w:rsidR="00736E00">
        <w:rPr>
          <w:lang w:val="es-ES"/>
        </w:rPr>
        <w:instrText xml:space="preserve">\a \f 4 \h </w:instrText>
      </w:r>
      <w:r w:rsidR="00736E00">
        <w:rPr>
          <w:b/>
          <w:lang w:val="es-ES"/>
        </w:rPr>
        <w:fldChar w:fldCharType="separate"/>
      </w:r>
    </w:p>
    <w:tbl>
      <w:tblPr>
        <w:tblW w:w="8847" w:type="dxa"/>
        <w:tblCellMar>
          <w:left w:w="70" w:type="dxa"/>
          <w:right w:w="70" w:type="dxa"/>
        </w:tblCellMar>
        <w:tblLook w:val="04A0" w:firstRow="1" w:lastRow="0" w:firstColumn="1" w:lastColumn="0" w:noHBand="0" w:noVBand="1"/>
      </w:tblPr>
      <w:tblGrid>
        <w:gridCol w:w="1275"/>
        <w:gridCol w:w="2725"/>
        <w:gridCol w:w="500"/>
        <w:gridCol w:w="1586"/>
        <w:gridCol w:w="1701"/>
        <w:gridCol w:w="1060"/>
      </w:tblGrid>
      <w:tr w:rsidR="00694299" w:rsidRPr="00694299" w14:paraId="12FEE457" w14:textId="77777777" w:rsidTr="00E71EFA">
        <w:trPr>
          <w:divId w:val="1739282502"/>
          <w:trHeight w:val="324"/>
        </w:trPr>
        <w:tc>
          <w:tcPr>
            <w:tcW w:w="1275"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D57E35D" w14:textId="76B035FE"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725"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FBA27B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393B6BC"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5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4D616F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43B3B26"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7F58F6BE"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3D6FC138" w14:textId="77777777" w:rsidTr="00E71EFA">
        <w:trPr>
          <w:divId w:val="1739282502"/>
          <w:trHeight w:val="324"/>
        </w:trPr>
        <w:tc>
          <w:tcPr>
            <w:tcW w:w="1275" w:type="dxa"/>
            <w:vMerge/>
            <w:tcBorders>
              <w:top w:val="single" w:sz="8" w:space="0" w:color="auto"/>
              <w:left w:val="single" w:sz="8" w:space="0" w:color="auto"/>
              <w:bottom w:val="single" w:sz="8" w:space="0" w:color="000000"/>
              <w:right w:val="single" w:sz="8" w:space="0" w:color="auto"/>
            </w:tcBorders>
            <w:vAlign w:val="center"/>
            <w:hideMark/>
          </w:tcPr>
          <w:p w14:paraId="578AA742"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725" w:type="dxa"/>
            <w:vMerge/>
            <w:tcBorders>
              <w:top w:val="single" w:sz="8" w:space="0" w:color="auto"/>
              <w:left w:val="single" w:sz="8" w:space="0" w:color="auto"/>
              <w:bottom w:val="single" w:sz="8" w:space="0" w:color="000000"/>
              <w:right w:val="single" w:sz="8" w:space="0" w:color="auto"/>
            </w:tcBorders>
            <w:vAlign w:val="center"/>
            <w:hideMark/>
          </w:tcPr>
          <w:p w14:paraId="7D3F7E04"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7D26701"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2DC6351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27F018F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40F977A5"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335AC6FB" w14:textId="77777777" w:rsidTr="00E71EFA">
        <w:trPr>
          <w:divId w:val="1739282502"/>
          <w:trHeight w:val="324"/>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035457BD"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3.1.4.</w:t>
            </w:r>
          </w:p>
        </w:tc>
        <w:tc>
          <w:tcPr>
            <w:tcW w:w="2725" w:type="dxa"/>
            <w:tcBorders>
              <w:top w:val="nil"/>
              <w:left w:val="nil"/>
              <w:bottom w:val="single" w:sz="8" w:space="0" w:color="auto"/>
              <w:right w:val="single" w:sz="8" w:space="0" w:color="auto"/>
            </w:tcBorders>
            <w:shd w:val="clear" w:color="auto" w:fill="auto"/>
            <w:vAlign w:val="center"/>
            <w:hideMark/>
          </w:tcPr>
          <w:p w14:paraId="55B6B1B2"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Variaciones no asignables a reservas</w:t>
            </w:r>
          </w:p>
        </w:tc>
        <w:tc>
          <w:tcPr>
            <w:tcW w:w="500" w:type="dxa"/>
            <w:tcBorders>
              <w:top w:val="nil"/>
              <w:left w:val="nil"/>
              <w:bottom w:val="single" w:sz="8" w:space="0" w:color="auto"/>
              <w:right w:val="single" w:sz="8" w:space="0" w:color="auto"/>
            </w:tcBorders>
            <w:shd w:val="clear" w:color="auto" w:fill="auto"/>
            <w:noWrap/>
            <w:vAlign w:val="center"/>
            <w:hideMark/>
          </w:tcPr>
          <w:p w14:paraId="5CCBD0CE"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27</w:t>
            </w:r>
          </w:p>
        </w:tc>
        <w:tc>
          <w:tcPr>
            <w:tcW w:w="1586" w:type="dxa"/>
            <w:tcBorders>
              <w:top w:val="nil"/>
              <w:left w:val="nil"/>
              <w:bottom w:val="single" w:sz="8" w:space="0" w:color="auto"/>
              <w:right w:val="single" w:sz="8" w:space="0" w:color="auto"/>
            </w:tcBorders>
            <w:shd w:val="clear" w:color="auto" w:fill="auto"/>
            <w:noWrap/>
            <w:vAlign w:val="center"/>
            <w:hideMark/>
          </w:tcPr>
          <w:p w14:paraId="12166932"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701" w:type="dxa"/>
            <w:tcBorders>
              <w:top w:val="nil"/>
              <w:left w:val="nil"/>
              <w:bottom w:val="single" w:sz="8" w:space="0" w:color="auto"/>
              <w:right w:val="single" w:sz="8" w:space="0" w:color="auto"/>
            </w:tcBorders>
            <w:shd w:val="clear" w:color="auto" w:fill="auto"/>
            <w:noWrap/>
            <w:vAlign w:val="center"/>
            <w:hideMark/>
          </w:tcPr>
          <w:p w14:paraId="00CE6E65"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0A6DDA42"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0BAAEEAE" w14:textId="77777777" w:rsidR="00694299" w:rsidRPr="00694299" w:rsidRDefault="00736E00" w:rsidP="00694299">
      <w:pPr>
        <w:spacing w:before="240"/>
        <w:rPr>
          <w:b/>
          <w:lang w:val="es-ES"/>
        </w:rPr>
      </w:pPr>
      <w:r>
        <w:rPr>
          <w:b/>
          <w:lang w:val="es-ES"/>
        </w:rPr>
        <w:fldChar w:fldCharType="end"/>
      </w:r>
      <w:r w:rsidR="00692DC8" w:rsidRPr="005012F5">
        <w:rPr>
          <w:b/>
          <w:lang w:val="es-ES"/>
        </w:rPr>
        <w:t xml:space="preserve">Revelación: </w:t>
      </w:r>
      <w:bookmarkStart w:id="492" w:name="_Toc13041179"/>
      <w:bookmarkStart w:id="493" w:name="_Toc14345178"/>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NOTAS_POR_CUENTA!F200C8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6B78DC43" w14:textId="77777777" w:rsidR="00694299" w:rsidRPr="00694299" w:rsidRDefault="00694299" w:rsidP="00473A78">
      <w:pPr>
        <w:spacing w:line="240" w:lineRule="auto"/>
        <w:rPr>
          <w:rFonts w:eastAsia="Times New Roman" w:cs="Calibri"/>
          <w:color w:val="000000"/>
          <w:lang w:eastAsia="es-CR"/>
        </w:rPr>
      </w:pPr>
      <w:r w:rsidRPr="00694299">
        <w:rPr>
          <w:rFonts w:eastAsia="Times New Roman" w:cs="Calibri"/>
          <w:color w:val="000000"/>
          <w:lang w:eastAsia="es-CR"/>
        </w:rPr>
        <w:t>La cuenta Variaciones no asignables a reservas, representa el 0,00% del total del Capital, que comparado al periodo anterior genera una variación absoluta de 0 000,00 que corresponde a un Aumento del 0,00% de recursos disponibles.</w:t>
      </w:r>
    </w:p>
    <w:p w14:paraId="4CAF1998" w14:textId="3D48C528" w:rsidR="00692DC8" w:rsidRPr="00692DC8" w:rsidRDefault="00736E00" w:rsidP="00473A78">
      <w:pPr>
        <w:spacing w:line="240" w:lineRule="auto"/>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5BE57CBD" w14:textId="77777777" w:rsidR="00692DC8" w:rsidRPr="00692DC8" w:rsidRDefault="00692DC8" w:rsidP="00CF4D8B">
      <w:pPr>
        <w:spacing w:after="0" w:line="240" w:lineRule="auto"/>
        <w:rPr>
          <w:rFonts w:eastAsia="Times New Roman"/>
        </w:rPr>
      </w:pPr>
      <w:bookmarkStart w:id="494" w:name="_Toc33601248"/>
    </w:p>
    <w:p w14:paraId="0DEF45EA" w14:textId="77777777" w:rsidR="00692DC8" w:rsidRPr="00692DC8" w:rsidRDefault="00692DC8" w:rsidP="005012F5">
      <w:pPr>
        <w:pStyle w:val="Ttulo4"/>
        <w:spacing w:after="240"/>
        <w:rPr>
          <w:rFonts w:eastAsia="Times New Roman"/>
        </w:rPr>
      </w:pPr>
      <w:bookmarkStart w:id="495" w:name="_Toc82768962"/>
      <w:bookmarkStart w:id="496" w:name="_Toc173245257"/>
      <w:r w:rsidRPr="00692DC8">
        <w:rPr>
          <w:rFonts w:eastAsia="Times New Roman"/>
        </w:rPr>
        <w:t>NOTA N° 28</w:t>
      </w:r>
      <w:bookmarkEnd w:id="492"/>
      <w:bookmarkEnd w:id="493"/>
      <w:bookmarkEnd w:id="494"/>
      <w:bookmarkEnd w:id="495"/>
      <w:bookmarkEnd w:id="496"/>
    </w:p>
    <w:p w14:paraId="5E461DA4" w14:textId="77777777" w:rsidR="00694299" w:rsidRDefault="00692DC8" w:rsidP="00E71EFA">
      <w:pPr>
        <w:spacing w:after="120" w:line="240" w:lineRule="auto"/>
        <w:rPr>
          <w:rFonts w:asciiTheme="minorHAnsi" w:hAnsiTheme="minorHAnsi"/>
          <w:sz w:val="22"/>
        </w:rPr>
      </w:pPr>
      <w:bookmarkStart w:id="497" w:name="_Toc82768963"/>
      <w:r w:rsidRPr="00692DC8">
        <w:rPr>
          <w:rFonts w:eastAsia="Times New Roman"/>
        </w:rPr>
        <w:t>Resultados acumulados</w:t>
      </w:r>
      <w:bookmarkEnd w:id="497"/>
      <w:r w:rsidR="00736E00">
        <w:rPr>
          <w:rFonts w:eastAsiaTheme="majorEastAsia" w:cstheme="majorBidi"/>
          <w:b/>
          <w:iCs/>
        </w:rPr>
        <w:fldChar w:fldCharType="begin"/>
      </w:r>
      <w:r w:rsidR="00736E00">
        <w:instrText xml:space="preserve"> LINK </w:instrText>
      </w:r>
      <w:r w:rsidR="00323752">
        <w:instrText xml:space="preserve">Excel.SheetMacroEnabled.12 "D:\\MORAVIA\\INSUMOS\\NOTAS 2024\\Formato_Notas_EEFF_Vinculadas_2024\\XXXXX_PXX_202X_Anexo_Estado_Notas_Contables_Vinculadas.xlsm" NOTAS_POR_CUENTA!F202C1:F204C6 </w:instrText>
      </w:r>
      <w:r w:rsidR="00736E00">
        <w:instrText xml:space="preserve">\a \f 4 \h </w:instrText>
      </w:r>
      <w:r w:rsidR="00736E00">
        <w:fldChar w:fldCharType="separate"/>
      </w:r>
    </w:p>
    <w:p w14:paraId="5C224646" w14:textId="2A9817DE" w:rsidR="00C572A3" w:rsidRDefault="00736E00" w:rsidP="00E71EFA">
      <w:pPr>
        <w:spacing w:after="120" w:line="240" w:lineRule="auto"/>
        <w:rPr>
          <w:rFonts w:asciiTheme="minorHAnsi" w:hAnsiTheme="minorHAnsi"/>
          <w:sz w:val="22"/>
        </w:rPr>
      </w:pPr>
      <w:r>
        <w:fldChar w:fldCharType="end"/>
      </w:r>
      <w:r w:rsidR="00E71EFA">
        <w:fldChar w:fldCharType="begin"/>
      </w:r>
      <w:r w:rsidR="00E71EFA">
        <w:instrText xml:space="preserve"> LINK </w:instrText>
      </w:r>
      <w:r w:rsidR="0068177A">
        <w:instrText xml:space="preserve">Excel.SheetMacroEnabled.12 "C:\\Users\\arges\\OneDrive\\Desktop\\Municipalidades\\Buenos Aires\\Cierre Junio 2024\\Notas Contables\\15603_T02_2024_Anexo_Estado_Notas_Contables_Vinculadas.xlsm" NOTAS_POR_CUENTA!R202C1:R204C6 </w:instrText>
      </w:r>
      <w:r w:rsidR="00E71EFA">
        <w:instrText xml:space="preserve">\a \f 4 \h </w:instrText>
      </w:r>
      <w:r w:rsidR="00E71EFA">
        <w:fldChar w:fldCharType="separate"/>
      </w:r>
    </w:p>
    <w:tbl>
      <w:tblPr>
        <w:tblW w:w="10080" w:type="dxa"/>
        <w:tblLook w:val="04A0" w:firstRow="1" w:lastRow="0" w:firstColumn="1" w:lastColumn="0" w:noHBand="0" w:noVBand="1"/>
      </w:tblPr>
      <w:tblGrid>
        <w:gridCol w:w="717"/>
        <w:gridCol w:w="3339"/>
        <w:gridCol w:w="544"/>
        <w:gridCol w:w="2200"/>
        <w:gridCol w:w="2200"/>
        <w:gridCol w:w="1080"/>
      </w:tblGrid>
      <w:tr w:rsidR="00C572A3" w:rsidRPr="00C572A3" w14:paraId="7978607F" w14:textId="77777777" w:rsidTr="00C572A3">
        <w:trPr>
          <w:divId w:val="1784837937"/>
          <w:trHeight w:val="320"/>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F722332" w14:textId="52EFFF4E" w:rsidR="00C572A3" w:rsidRPr="00C572A3" w:rsidRDefault="00C572A3" w:rsidP="00C572A3">
            <w:pP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8BD10F3"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Descripción</w:t>
            </w:r>
          </w:p>
        </w:tc>
        <w:tc>
          <w:tcPr>
            <w:tcW w:w="5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84027AC"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Nota</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03ED2D2"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Actual </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52A73E4"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Anterior </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58ACD51B"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Diferencia </w:t>
            </w:r>
          </w:p>
        </w:tc>
      </w:tr>
      <w:tr w:rsidR="00C572A3" w:rsidRPr="00C572A3" w14:paraId="48218066" w14:textId="77777777" w:rsidTr="00C572A3">
        <w:trPr>
          <w:divId w:val="1784837937"/>
          <w:trHeight w:val="320"/>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1A1AD35D"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122B4791"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14:paraId="216542AB"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44BB6E6A"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6587BF9B"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1080" w:type="dxa"/>
            <w:tcBorders>
              <w:top w:val="nil"/>
              <w:left w:val="nil"/>
              <w:bottom w:val="single" w:sz="8" w:space="0" w:color="auto"/>
              <w:right w:val="single" w:sz="8" w:space="0" w:color="auto"/>
            </w:tcBorders>
            <w:shd w:val="clear" w:color="000000" w:fill="366092"/>
            <w:noWrap/>
            <w:vAlign w:val="center"/>
            <w:hideMark/>
          </w:tcPr>
          <w:p w14:paraId="23CE9B1E" w14:textId="77777777" w:rsidR="00C572A3" w:rsidRPr="00C572A3" w:rsidRDefault="00C572A3" w:rsidP="00C572A3">
            <w:pPr>
              <w:spacing w:after="0" w:line="240" w:lineRule="auto"/>
              <w:jc w:val="center"/>
              <w:rPr>
                <w:rFonts w:eastAsia="Times New Roman" w:cs="Calibri"/>
                <w:color w:val="FFFFFF"/>
                <w:sz w:val="18"/>
                <w:szCs w:val="18"/>
                <w:lang w:val="en-US"/>
              </w:rPr>
            </w:pPr>
            <w:r w:rsidRPr="00C572A3">
              <w:rPr>
                <w:rFonts w:eastAsia="Times New Roman" w:cs="Calibri"/>
                <w:color w:val="FFFFFF"/>
                <w:sz w:val="18"/>
                <w:szCs w:val="18"/>
                <w:lang w:val="en-US"/>
              </w:rPr>
              <w:t>%</w:t>
            </w:r>
          </w:p>
        </w:tc>
      </w:tr>
      <w:tr w:rsidR="00C572A3" w:rsidRPr="00C572A3" w14:paraId="1A419EB7" w14:textId="77777777" w:rsidTr="00C572A3">
        <w:trPr>
          <w:divId w:val="1784837937"/>
          <w:trHeight w:val="320"/>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4847B33A" w14:textId="77777777" w:rsidR="00C572A3" w:rsidRPr="00C572A3" w:rsidRDefault="00C572A3" w:rsidP="00C572A3">
            <w:pPr>
              <w:spacing w:after="0" w:line="240" w:lineRule="auto"/>
              <w:jc w:val="left"/>
              <w:rPr>
                <w:rFonts w:eastAsia="Times New Roman" w:cs="Calibri"/>
                <w:b/>
                <w:bCs/>
                <w:color w:val="000000"/>
                <w:sz w:val="18"/>
                <w:szCs w:val="18"/>
                <w:lang w:val="en-US"/>
              </w:rPr>
            </w:pPr>
            <w:r w:rsidRPr="00C572A3">
              <w:rPr>
                <w:rFonts w:eastAsia="Times New Roman" w:cs="Calibri"/>
                <w:b/>
                <w:bCs/>
                <w:color w:val="000000"/>
                <w:sz w:val="18"/>
                <w:szCs w:val="18"/>
                <w:lang w:val="en-US"/>
              </w:rPr>
              <w:t>3.1.5.</w:t>
            </w:r>
          </w:p>
        </w:tc>
        <w:tc>
          <w:tcPr>
            <w:tcW w:w="3380" w:type="dxa"/>
            <w:tcBorders>
              <w:top w:val="nil"/>
              <w:left w:val="nil"/>
              <w:bottom w:val="single" w:sz="8" w:space="0" w:color="auto"/>
              <w:right w:val="single" w:sz="8" w:space="0" w:color="auto"/>
            </w:tcBorders>
            <w:shd w:val="clear" w:color="auto" w:fill="auto"/>
            <w:vAlign w:val="center"/>
            <w:hideMark/>
          </w:tcPr>
          <w:p w14:paraId="01B3A0AD" w14:textId="77777777" w:rsidR="00C572A3" w:rsidRPr="00C572A3" w:rsidRDefault="00C572A3" w:rsidP="00C572A3">
            <w:pPr>
              <w:spacing w:after="0" w:line="240" w:lineRule="auto"/>
              <w:rPr>
                <w:rFonts w:eastAsia="Times New Roman" w:cs="Calibri"/>
                <w:b/>
                <w:bCs/>
                <w:color w:val="000000"/>
                <w:sz w:val="18"/>
                <w:szCs w:val="18"/>
                <w:lang w:val="en-US"/>
              </w:rPr>
            </w:pPr>
            <w:r w:rsidRPr="00C572A3">
              <w:rPr>
                <w:rFonts w:eastAsia="Times New Roman" w:cs="Calibri"/>
                <w:b/>
                <w:bCs/>
                <w:color w:val="000000"/>
                <w:sz w:val="18"/>
                <w:szCs w:val="18"/>
                <w:lang w:val="en-US"/>
              </w:rPr>
              <w:t>Resultados acumulados</w:t>
            </w:r>
          </w:p>
        </w:tc>
        <w:tc>
          <w:tcPr>
            <w:tcW w:w="520" w:type="dxa"/>
            <w:tcBorders>
              <w:top w:val="nil"/>
              <w:left w:val="nil"/>
              <w:bottom w:val="single" w:sz="8" w:space="0" w:color="auto"/>
              <w:right w:val="single" w:sz="8" w:space="0" w:color="auto"/>
            </w:tcBorders>
            <w:shd w:val="clear" w:color="auto" w:fill="auto"/>
            <w:noWrap/>
            <w:vAlign w:val="center"/>
            <w:hideMark/>
          </w:tcPr>
          <w:p w14:paraId="6327AFD6"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28</w:t>
            </w:r>
          </w:p>
        </w:tc>
        <w:tc>
          <w:tcPr>
            <w:tcW w:w="2200" w:type="dxa"/>
            <w:tcBorders>
              <w:top w:val="nil"/>
              <w:left w:val="nil"/>
              <w:bottom w:val="single" w:sz="8" w:space="0" w:color="auto"/>
              <w:right w:val="single" w:sz="8" w:space="0" w:color="auto"/>
            </w:tcBorders>
            <w:shd w:val="clear" w:color="auto" w:fill="auto"/>
            <w:noWrap/>
            <w:vAlign w:val="center"/>
            <w:hideMark/>
          </w:tcPr>
          <w:p w14:paraId="04919E48"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166 047 654,13 </w:t>
            </w:r>
          </w:p>
        </w:tc>
        <w:tc>
          <w:tcPr>
            <w:tcW w:w="2200" w:type="dxa"/>
            <w:tcBorders>
              <w:top w:val="nil"/>
              <w:left w:val="nil"/>
              <w:bottom w:val="single" w:sz="8" w:space="0" w:color="auto"/>
              <w:right w:val="single" w:sz="8" w:space="0" w:color="auto"/>
            </w:tcBorders>
            <w:shd w:val="clear" w:color="auto" w:fill="auto"/>
            <w:noWrap/>
            <w:vAlign w:val="center"/>
            <w:hideMark/>
          </w:tcPr>
          <w:p w14:paraId="6171EC19"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164 812 847,75 </w:t>
            </w:r>
          </w:p>
        </w:tc>
        <w:tc>
          <w:tcPr>
            <w:tcW w:w="1080" w:type="dxa"/>
            <w:tcBorders>
              <w:top w:val="nil"/>
              <w:left w:val="nil"/>
              <w:bottom w:val="single" w:sz="8" w:space="0" w:color="auto"/>
              <w:right w:val="single" w:sz="8" w:space="0" w:color="auto"/>
            </w:tcBorders>
            <w:shd w:val="clear" w:color="auto" w:fill="auto"/>
            <w:noWrap/>
            <w:vAlign w:val="center"/>
            <w:hideMark/>
          </w:tcPr>
          <w:p w14:paraId="6A7B60E8"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0,75%</w:t>
            </w:r>
          </w:p>
        </w:tc>
      </w:tr>
    </w:tbl>
    <w:p w14:paraId="53BE375D" w14:textId="77777777" w:rsidR="00E71EFA" w:rsidRDefault="00E71EFA" w:rsidP="00E71EFA">
      <w:pPr>
        <w:spacing w:after="120" w:line="240" w:lineRule="auto"/>
      </w:pPr>
      <w:r>
        <w:fldChar w:fldCharType="end"/>
      </w:r>
    </w:p>
    <w:p w14:paraId="64366821" w14:textId="10742BBA" w:rsidR="00694299" w:rsidRDefault="00692DC8" w:rsidP="00E71EFA">
      <w:pPr>
        <w:spacing w:before="120" w:after="120" w:line="240" w:lineRule="auto"/>
        <w:rPr>
          <w:rFonts w:asciiTheme="minorHAnsi" w:hAnsiTheme="minorHAnsi"/>
          <w:sz w:val="22"/>
        </w:rPr>
      </w:pPr>
      <w:r w:rsidRPr="00692DC8">
        <w:t>Detalle cuenta</w:t>
      </w:r>
      <w:r w:rsidR="00736E00">
        <w:t>:</w:t>
      </w:r>
      <w:bookmarkStart w:id="498" w:name="_Toc13041183"/>
      <w:bookmarkStart w:id="499" w:name="_Toc14345182"/>
      <w:r w:rsidR="00736E00">
        <w:rPr>
          <w:lang w:val="es-ES"/>
        </w:rPr>
        <w:fldChar w:fldCharType="begin"/>
      </w:r>
      <w:r w:rsidR="00736E00">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NOTAS_POR_CUENTA!F206C1:F208C6 </w:instrText>
      </w:r>
      <w:r w:rsidR="00736E00">
        <w:rPr>
          <w:lang w:val="es-ES"/>
        </w:rPr>
        <w:instrText xml:space="preserve">\a \f 4 \h </w:instrText>
      </w:r>
      <w:r w:rsidR="00736E00">
        <w:rPr>
          <w:lang w:val="es-ES"/>
        </w:rPr>
        <w:fldChar w:fldCharType="separate"/>
      </w:r>
    </w:p>
    <w:p w14:paraId="798162FD" w14:textId="28C57AE1" w:rsidR="00C572A3" w:rsidRDefault="00736E00" w:rsidP="00BE2A90">
      <w:pPr>
        <w:spacing w:after="0" w:line="240" w:lineRule="auto"/>
        <w:rPr>
          <w:rFonts w:asciiTheme="minorHAnsi" w:hAnsiTheme="minorHAnsi"/>
          <w:sz w:val="22"/>
        </w:rPr>
      </w:pPr>
      <w:r>
        <w:rPr>
          <w:b/>
          <w:bCs/>
          <w:lang w:val="es-ES"/>
        </w:rPr>
        <w:fldChar w:fldCharType="end"/>
      </w:r>
      <w:r w:rsidR="00E71EFA">
        <w:rPr>
          <w:b/>
          <w:bCs/>
          <w:lang w:val="es-ES"/>
        </w:rPr>
        <w:fldChar w:fldCharType="begin"/>
      </w:r>
      <w:r w:rsidR="00E71EFA">
        <w:rPr>
          <w:b/>
          <w:bCs/>
          <w:lang w:val="es-ES"/>
        </w:rPr>
        <w:instrText xml:space="preserve"> LINK </w:instrText>
      </w:r>
      <w:r w:rsidR="0068177A">
        <w:rPr>
          <w:b/>
          <w:bCs/>
          <w:lang w:val="es-ES"/>
        </w:rPr>
        <w:instrText xml:space="preserve">Excel.SheetMacroEnabled.12 "C:\\Users\\arges\\OneDrive\\Desktop\\Municipalidades\\Buenos Aires\\Cierre Junio 2024\\Notas Contables\\15603_T02_2024_Anexo_Estado_Notas_Contables_Vinculadas.xlsm" NOTAS_POR_CUENTA!R206C1:R208C6 </w:instrText>
      </w:r>
      <w:r w:rsidR="00E71EFA">
        <w:rPr>
          <w:b/>
          <w:bCs/>
          <w:lang w:val="es-ES"/>
        </w:rPr>
        <w:instrText xml:space="preserve">\a \f 4 \h </w:instrText>
      </w:r>
      <w:r w:rsidR="00E71EFA">
        <w:rPr>
          <w:b/>
          <w:bCs/>
          <w:lang w:val="es-ES"/>
        </w:rPr>
        <w:fldChar w:fldCharType="separate"/>
      </w:r>
    </w:p>
    <w:tbl>
      <w:tblPr>
        <w:tblW w:w="10080" w:type="dxa"/>
        <w:tblLook w:val="04A0" w:firstRow="1" w:lastRow="0" w:firstColumn="1" w:lastColumn="0" w:noHBand="0" w:noVBand="1"/>
      </w:tblPr>
      <w:tblGrid>
        <w:gridCol w:w="791"/>
        <w:gridCol w:w="3265"/>
        <w:gridCol w:w="544"/>
        <w:gridCol w:w="2200"/>
        <w:gridCol w:w="2200"/>
        <w:gridCol w:w="1080"/>
      </w:tblGrid>
      <w:tr w:rsidR="00C572A3" w:rsidRPr="00C572A3" w14:paraId="49DD0894" w14:textId="77777777" w:rsidTr="00C572A3">
        <w:trPr>
          <w:divId w:val="1165248306"/>
          <w:trHeight w:val="320"/>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23F8829" w14:textId="20EE856D" w:rsidR="00C572A3" w:rsidRPr="00C572A3" w:rsidRDefault="00C572A3" w:rsidP="00C572A3">
            <w:pP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A578B74"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Descripción</w:t>
            </w:r>
          </w:p>
        </w:tc>
        <w:tc>
          <w:tcPr>
            <w:tcW w:w="5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B8D8CAC"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Nota</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05A90C7"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Actual </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D710A86"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Anterior </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44AD5D31"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Diferencia </w:t>
            </w:r>
          </w:p>
        </w:tc>
      </w:tr>
      <w:tr w:rsidR="00C572A3" w:rsidRPr="00C572A3" w14:paraId="39CCFC8F" w14:textId="77777777" w:rsidTr="00C572A3">
        <w:trPr>
          <w:divId w:val="1165248306"/>
          <w:trHeight w:val="320"/>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3F9EDF32"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4CE55B4D"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14:paraId="15EC8685"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2DF16539"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20C50B6F"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1080" w:type="dxa"/>
            <w:tcBorders>
              <w:top w:val="nil"/>
              <w:left w:val="nil"/>
              <w:bottom w:val="single" w:sz="8" w:space="0" w:color="auto"/>
              <w:right w:val="single" w:sz="8" w:space="0" w:color="auto"/>
            </w:tcBorders>
            <w:shd w:val="clear" w:color="000000" w:fill="366092"/>
            <w:noWrap/>
            <w:vAlign w:val="center"/>
            <w:hideMark/>
          </w:tcPr>
          <w:p w14:paraId="42545EFE" w14:textId="77777777" w:rsidR="00C572A3" w:rsidRPr="00C572A3" w:rsidRDefault="00C572A3" w:rsidP="00C572A3">
            <w:pPr>
              <w:spacing w:after="0" w:line="240" w:lineRule="auto"/>
              <w:jc w:val="center"/>
              <w:rPr>
                <w:rFonts w:eastAsia="Times New Roman" w:cs="Calibri"/>
                <w:color w:val="FFFFFF"/>
                <w:sz w:val="18"/>
                <w:szCs w:val="18"/>
                <w:lang w:val="en-US"/>
              </w:rPr>
            </w:pPr>
            <w:r w:rsidRPr="00C572A3">
              <w:rPr>
                <w:rFonts w:eastAsia="Times New Roman" w:cs="Calibri"/>
                <w:color w:val="FFFFFF"/>
                <w:sz w:val="18"/>
                <w:szCs w:val="18"/>
                <w:lang w:val="en-US"/>
              </w:rPr>
              <w:t>%</w:t>
            </w:r>
          </w:p>
        </w:tc>
      </w:tr>
      <w:tr w:rsidR="00C572A3" w:rsidRPr="00C572A3" w14:paraId="68CCF9C9" w14:textId="77777777" w:rsidTr="00C572A3">
        <w:trPr>
          <w:divId w:val="1165248306"/>
          <w:trHeight w:val="470"/>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0801BBF7" w14:textId="77777777" w:rsidR="00C572A3" w:rsidRPr="00C572A3" w:rsidRDefault="00C572A3" w:rsidP="00C572A3">
            <w:pPr>
              <w:spacing w:after="0" w:line="240" w:lineRule="auto"/>
              <w:jc w:val="left"/>
              <w:rPr>
                <w:rFonts w:eastAsia="Times New Roman" w:cs="Calibri"/>
                <w:b/>
                <w:bCs/>
                <w:color w:val="000000"/>
                <w:sz w:val="18"/>
                <w:szCs w:val="18"/>
                <w:lang w:val="en-US"/>
              </w:rPr>
            </w:pPr>
            <w:r w:rsidRPr="00C572A3">
              <w:rPr>
                <w:rFonts w:eastAsia="Times New Roman" w:cs="Calibri"/>
                <w:b/>
                <w:bCs/>
                <w:color w:val="000000"/>
                <w:sz w:val="18"/>
                <w:szCs w:val="18"/>
                <w:lang w:val="en-US"/>
              </w:rPr>
              <w:t>3.1.5.01.</w:t>
            </w:r>
          </w:p>
        </w:tc>
        <w:tc>
          <w:tcPr>
            <w:tcW w:w="3380" w:type="dxa"/>
            <w:tcBorders>
              <w:top w:val="nil"/>
              <w:left w:val="nil"/>
              <w:bottom w:val="single" w:sz="8" w:space="0" w:color="auto"/>
              <w:right w:val="single" w:sz="8" w:space="0" w:color="auto"/>
            </w:tcBorders>
            <w:shd w:val="clear" w:color="auto" w:fill="auto"/>
            <w:vAlign w:val="center"/>
            <w:hideMark/>
          </w:tcPr>
          <w:p w14:paraId="4594A72E" w14:textId="77777777" w:rsidR="00C572A3" w:rsidRPr="00C572A3" w:rsidRDefault="00C572A3" w:rsidP="00C572A3">
            <w:pPr>
              <w:spacing w:after="0" w:line="240" w:lineRule="auto"/>
              <w:rPr>
                <w:rFonts w:eastAsia="Times New Roman" w:cs="Calibri"/>
                <w:b/>
                <w:bCs/>
                <w:color w:val="000000"/>
                <w:sz w:val="18"/>
                <w:szCs w:val="18"/>
              </w:rPr>
            </w:pPr>
            <w:r w:rsidRPr="00C572A3">
              <w:rPr>
                <w:rFonts w:eastAsia="Times New Roman" w:cs="Calibri"/>
                <w:b/>
                <w:bCs/>
                <w:color w:val="000000"/>
                <w:sz w:val="18"/>
                <w:szCs w:val="18"/>
              </w:rPr>
              <w:t>Resultados acumulados de ejercicios anteriores</w:t>
            </w:r>
          </w:p>
        </w:tc>
        <w:tc>
          <w:tcPr>
            <w:tcW w:w="520" w:type="dxa"/>
            <w:tcBorders>
              <w:top w:val="nil"/>
              <w:left w:val="nil"/>
              <w:bottom w:val="single" w:sz="8" w:space="0" w:color="auto"/>
              <w:right w:val="single" w:sz="8" w:space="0" w:color="auto"/>
            </w:tcBorders>
            <w:shd w:val="clear" w:color="auto" w:fill="auto"/>
            <w:noWrap/>
            <w:vAlign w:val="center"/>
            <w:hideMark/>
          </w:tcPr>
          <w:p w14:paraId="72DE6F3E"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28</w:t>
            </w:r>
          </w:p>
        </w:tc>
        <w:tc>
          <w:tcPr>
            <w:tcW w:w="2200" w:type="dxa"/>
            <w:tcBorders>
              <w:top w:val="nil"/>
              <w:left w:val="nil"/>
              <w:bottom w:val="single" w:sz="8" w:space="0" w:color="auto"/>
              <w:right w:val="single" w:sz="8" w:space="0" w:color="auto"/>
            </w:tcBorders>
            <w:shd w:val="clear" w:color="auto" w:fill="auto"/>
            <w:noWrap/>
            <w:vAlign w:val="center"/>
            <w:hideMark/>
          </w:tcPr>
          <w:p w14:paraId="5A5E8E11"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164 118 481,13 </w:t>
            </w:r>
          </w:p>
        </w:tc>
        <w:tc>
          <w:tcPr>
            <w:tcW w:w="2200" w:type="dxa"/>
            <w:tcBorders>
              <w:top w:val="nil"/>
              <w:left w:val="nil"/>
              <w:bottom w:val="single" w:sz="8" w:space="0" w:color="auto"/>
              <w:right w:val="single" w:sz="8" w:space="0" w:color="auto"/>
            </w:tcBorders>
            <w:shd w:val="clear" w:color="auto" w:fill="auto"/>
            <w:noWrap/>
            <w:vAlign w:val="center"/>
            <w:hideMark/>
          </w:tcPr>
          <w:p w14:paraId="787CF56B"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163 345 249,51 </w:t>
            </w:r>
          </w:p>
        </w:tc>
        <w:tc>
          <w:tcPr>
            <w:tcW w:w="1080" w:type="dxa"/>
            <w:tcBorders>
              <w:top w:val="nil"/>
              <w:left w:val="nil"/>
              <w:bottom w:val="single" w:sz="8" w:space="0" w:color="auto"/>
              <w:right w:val="single" w:sz="8" w:space="0" w:color="auto"/>
            </w:tcBorders>
            <w:shd w:val="clear" w:color="auto" w:fill="auto"/>
            <w:noWrap/>
            <w:vAlign w:val="center"/>
            <w:hideMark/>
          </w:tcPr>
          <w:p w14:paraId="6CE00281"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0,47%</w:t>
            </w:r>
          </w:p>
        </w:tc>
      </w:tr>
    </w:tbl>
    <w:p w14:paraId="3D7CC880" w14:textId="77B99BF5" w:rsidR="00C572A3" w:rsidRPr="00453773" w:rsidRDefault="00E71EFA" w:rsidP="00453773">
      <w:pPr>
        <w:spacing w:after="0" w:line="240" w:lineRule="auto"/>
        <w:rPr>
          <w:b/>
          <w:bCs/>
          <w:lang w:val="es-ES"/>
        </w:rPr>
      </w:pPr>
      <w:r>
        <w:rPr>
          <w:b/>
          <w:bCs/>
          <w:lang w:val="es-ES"/>
        </w:rPr>
        <w:fldChar w:fldCharType="end"/>
      </w:r>
      <w:r>
        <w:rPr>
          <w:b/>
          <w:bCs/>
          <w:lang w:val="es-ES"/>
        </w:rPr>
        <w:fldChar w:fldCharType="begin"/>
      </w:r>
      <w:r>
        <w:rPr>
          <w:b/>
          <w:bCs/>
          <w:lang w:val="es-ES"/>
        </w:rPr>
        <w:instrText xml:space="preserve"> LINK </w:instrText>
      </w:r>
      <w:r w:rsidR="0068177A">
        <w:rPr>
          <w:b/>
          <w:bCs/>
          <w:lang w:val="es-ES"/>
        </w:rPr>
        <w:instrText xml:space="preserve">Excel.SheetMacroEnabled.12 "C:\\Users\\arges\\OneDrive\\Desktop\\Municipalidades\\Buenos Aires\\Cierre Junio 2024\\Notas Contables\\15603_T02_2024_Anexo_Estado_Notas_Contables_Vinculadas.xlsm" NOTAS_POR_CUENTA!R210C1:R212C6 </w:instrText>
      </w:r>
      <w:r>
        <w:rPr>
          <w:b/>
          <w:bCs/>
          <w:lang w:val="es-ES"/>
        </w:rPr>
        <w:instrText xml:space="preserve">\a \f 4 \h </w:instrText>
      </w:r>
      <w:r>
        <w:rPr>
          <w:b/>
          <w:bCs/>
          <w:lang w:val="es-ES"/>
        </w:rPr>
        <w:fldChar w:fldCharType="separate"/>
      </w:r>
    </w:p>
    <w:tbl>
      <w:tblPr>
        <w:tblW w:w="10080" w:type="dxa"/>
        <w:tblLook w:val="04A0" w:firstRow="1" w:lastRow="0" w:firstColumn="1" w:lastColumn="0" w:noHBand="0" w:noVBand="1"/>
      </w:tblPr>
      <w:tblGrid>
        <w:gridCol w:w="791"/>
        <w:gridCol w:w="3265"/>
        <w:gridCol w:w="544"/>
        <w:gridCol w:w="2200"/>
        <w:gridCol w:w="2200"/>
        <w:gridCol w:w="1080"/>
      </w:tblGrid>
      <w:tr w:rsidR="00C572A3" w:rsidRPr="00C572A3" w14:paraId="36C9A20C" w14:textId="77777777" w:rsidTr="00C572A3">
        <w:trPr>
          <w:divId w:val="519199415"/>
          <w:trHeight w:val="320"/>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1B15FA7" w14:textId="05DAFF32" w:rsidR="00C572A3" w:rsidRPr="00C572A3" w:rsidRDefault="00C572A3" w:rsidP="00C572A3">
            <w:pP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CAF6A66"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Descripción</w:t>
            </w:r>
          </w:p>
        </w:tc>
        <w:tc>
          <w:tcPr>
            <w:tcW w:w="5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091B7FF"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Nota</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14CB60A"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Actual </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6F04F9D"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Anterior </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1C2AF36F"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Diferencia </w:t>
            </w:r>
          </w:p>
        </w:tc>
      </w:tr>
      <w:tr w:rsidR="00C572A3" w:rsidRPr="00C572A3" w14:paraId="584778BF" w14:textId="77777777" w:rsidTr="00C572A3">
        <w:trPr>
          <w:divId w:val="519199415"/>
          <w:trHeight w:val="320"/>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705A6D17"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5817F72D"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14:paraId="2A7261E0"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012190C4"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7FBB6021"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1080" w:type="dxa"/>
            <w:tcBorders>
              <w:top w:val="nil"/>
              <w:left w:val="nil"/>
              <w:bottom w:val="single" w:sz="8" w:space="0" w:color="auto"/>
              <w:right w:val="single" w:sz="8" w:space="0" w:color="auto"/>
            </w:tcBorders>
            <w:shd w:val="clear" w:color="000000" w:fill="366092"/>
            <w:noWrap/>
            <w:vAlign w:val="center"/>
            <w:hideMark/>
          </w:tcPr>
          <w:p w14:paraId="5263C348" w14:textId="77777777" w:rsidR="00C572A3" w:rsidRPr="00C572A3" w:rsidRDefault="00C572A3" w:rsidP="00C572A3">
            <w:pPr>
              <w:spacing w:after="0" w:line="240" w:lineRule="auto"/>
              <w:jc w:val="center"/>
              <w:rPr>
                <w:rFonts w:eastAsia="Times New Roman" w:cs="Calibri"/>
                <w:color w:val="FFFFFF"/>
                <w:sz w:val="18"/>
                <w:szCs w:val="18"/>
                <w:lang w:val="en-US"/>
              </w:rPr>
            </w:pPr>
            <w:r w:rsidRPr="00C572A3">
              <w:rPr>
                <w:rFonts w:eastAsia="Times New Roman" w:cs="Calibri"/>
                <w:color w:val="FFFFFF"/>
                <w:sz w:val="18"/>
                <w:szCs w:val="18"/>
                <w:lang w:val="en-US"/>
              </w:rPr>
              <w:t>%</w:t>
            </w:r>
          </w:p>
        </w:tc>
      </w:tr>
      <w:tr w:rsidR="00C572A3" w:rsidRPr="00C572A3" w14:paraId="316BB1B5" w14:textId="77777777" w:rsidTr="00C572A3">
        <w:trPr>
          <w:divId w:val="519199415"/>
          <w:trHeight w:val="320"/>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48F01E30" w14:textId="77777777" w:rsidR="00C572A3" w:rsidRPr="00C572A3" w:rsidRDefault="00C572A3" w:rsidP="00C572A3">
            <w:pPr>
              <w:spacing w:after="0" w:line="240" w:lineRule="auto"/>
              <w:jc w:val="left"/>
              <w:rPr>
                <w:rFonts w:eastAsia="Times New Roman" w:cs="Calibri"/>
                <w:b/>
                <w:bCs/>
                <w:color w:val="000000"/>
                <w:sz w:val="18"/>
                <w:szCs w:val="18"/>
                <w:lang w:val="en-US"/>
              </w:rPr>
            </w:pPr>
            <w:r w:rsidRPr="00C572A3">
              <w:rPr>
                <w:rFonts w:eastAsia="Times New Roman" w:cs="Calibri"/>
                <w:b/>
                <w:bCs/>
                <w:color w:val="000000"/>
                <w:sz w:val="18"/>
                <w:szCs w:val="18"/>
                <w:lang w:val="en-US"/>
              </w:rPr>
              <w:t>3.1.5.02.</w:t>
            </w:r>
          </w:p>
        </w:tc>
        <w:tc>
          <w:tcPr>
            <w:tcW w:w="3380" w:type="dxa"/>
            <w:tcBorders>
              <w:top w:val="nil"/>
              <w:left w:val="nil"/>
              <w:bottom w:val="single" w:sz="8" w:space="0" w:color="auto"/>
              <w:right w:val="single" w:sz="8" w:space="0" w:color="auto"/>
            </w:tcBorders>
            <w:shd w:val="clear" w:color="auto" w:fill="auto"/>
            <w:vAlign w:val="center"/>
            <w:hideMark/>
          </w:tcPr>
          <w:p w14:paraId="3EC2F95F" w14:textId="77777777" w:rsidR="00C572A3" w:rsidRPr="00C572A3" w:rsidRDefault="00C572A3" w:rsidP="00C572A3">
            <w:pPr>
              <w:spacing w:after="0" w:line="240" w:lineRule="auto"/>
              <w:rPr>
                <w:rFonts w:eastAsia="Times New Roman" w:cs="Calibri"/>
                <w:b/>
                <w:bCs/>
                <w:color w:val="000000"/>
                <w:sz w:val="18"/>
                <w:szCs w:val="18"/>
                <w:lang w:val="en-US"/>
              </w:rPr>
            </w:pPr>
            <w:r w:rsidRPr="00C572A3">
              <w:rPr>
                <w:rFonts w:eastAsia="Times New Roman" w:cs="Calibri"/>
                <w:b/>
                <w:bCs/>
                <w:color w:val="000000"/>
                <w:sz w:val="18"/>
                <w:szCs w:val="18"/>
                <w:lang w:val="en-US"/>
              </w:rPr>
              <w:t>Resultado del ejercicio</w:t>
            </w:r>
          </w:p>
        </w:tc>
        <w:tc>
          <w:tcPr>
            <w:tcW w:w="520" w:type="dxa"/>
            <w:tcBorders>
              <w:top w:val="nil"/>
              <w:left w:val="nil"/>
              <w:bottom w:val="single" w:sz="8" w:space="0" w:color="auto"/>
              <w:right w:val="single" w:sz="8" w:space="0" w:color="auto"/>
            </w:tcBorders>
            <w:shd w:val="clear" w:color="auto" w:fill="auto"/>
            <w:noWrap/>
            <w:vAlign w:val="center"/>
            <w:hideMark/>
          </w:tcPr>
          <w:p w14:paraId="58E5747F"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28</w:t>
            </w:r>
          </w:p>
        </w:tc>
        <w:tc>
          <w:tcPr>
            <w:tcW w:w="2200" w:type="dxa"/>
            <w:tcBorders>
              <w:top w:val="nil"/>
              <w:left w:val="nil"/>
              <w:bottom w:val="single" w:sz="8" w:space="0" w:color="auto"/>
              <w:right w:val="single" w:sz="8" w:space="0" w:color="auto"/>
            </w:tcBorders>
            <w:shd w:val="clear" w:color="auto" w:fill="auto"/>
            <w:noWrap/>
            <w:vAlign w:val="center"/>
            <w:hideMark/>
          </w:tcPr>
          <w:p w14:paraId="75B314CF"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1 929 172,99 </w:t>
            </w:r>
          </w:p>
        </w:tc>
        <w:tc>
          <w:tcPr>
            <w:tcW w:w="2200" w:type="dxa"/>
            <w:tcBorders>
              <w:top w:val="nil"/>
              <w:left w:val="nil"/>
              <w:bottom w:val="single" w:sz="8" w:space="0" w:color="auto"/>
              <w:right w:val="single" w:sz="8" w:space="0" w:color="auto"/>
            </w:tcBorders>
            <w:shd w:val="clear" w:color="auto" w:fill="auto"/>
            <w:noWrap/>
            <w:vAlign w:val="center"/>
            <w:hideMark/>
          </w:tcPr>
          <w:p w14:paraId="72323FE2"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1 467 598,24 </w:t>
            </w:r>
          </w:p>
        </w:tc>
        <w:tc>
          <w:tcPr>
            <w:tcW w:w="1080" w:type="dxa"/>
            <w:tcBorders>
              <w:top w:val="nil"/>
              <w:left w:val="nil"/>
              <w:bottom w:val="single" w:sz="8" w:space="0" w:color="auto"/>
              <w:right w:val="single" w:sz="8" w:space="0" w:color="auto"/>
            </w:tcBorders>
            <w:shd w:val="clear" w:color="auto" w:fill="auto"/>
            <w:noWrap/>
            <w:vAlign w:val="center"/>
            <w:hideMark/>
          </w:tcPr>
          <w:p w14:paraId="0CC9B685"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31,45%</w:t>
            </w:r>
          </w:p>
        </w:tc>
      </w:tr>
    </w:tbl>
    <w:p w14:paraId="7B6544D2" w14:textId="65354B5E" w:rsidR="00694299" w:rsidRPr="00694299" w:rsidRDefault="00E71EFA"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sidR="00736E00">
        <w:rPr>
          <w:rFonts w:eastAsia="Times New Roman" w:cs="Calibri"/>
          <w:color w:val="000000"/>
          <w:lang w:eastAsia="es-CR"/>
        </w:rPr>
        <w:fldChar w:fldCharType="begin"/>
      </w:r>
      <w:r w:rsidR="00736E00">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NOTAS_POR_CUENTA!F204C8 </w:instrText>
      </w:r>
      <w:r w:rsidR="00736E00">
        <w:rPr>
          <w:rFonts w:eastAsia="Times New Roman" w:cs="Calibri"/>
          <w:color w:val="000000"/>
          <w:lang w:eastAsia="es-CR"/>
        </w:rPr>
        <w:instrText xml:space="preserve">\a \f 5 \h  \* MERGEFORMAT </w:instrText>
      </w:r>
      <w:r w:rsidR="00736E00">
        <w:rPr>
          <w:rFonts w:eastAsia="Times New Roman" w:cs="Calibri"/>
          <w:color w:val="000000"/>
          <w:lang w:eastAsia="es-CR"/>
        </w:rPr>
        <w:fldChar w:fldCharType="separate"/>
      </w:r>
    </w:p>
    <w:p w14:paraId="1472ADCE" w14:textId="11527371" w:rsidR="00694299" w:rsidRPr="00694299" w:rsidRDefault="00694299" w:rsidP="00473A78">
      <w:pPr>
        <w:spacing w:line="240" w:lineRule="auto"/>
        <w:rPr>
          <w:b/>
          <w:bCs/>
        </w:rPr>
      </w:pPr>
      <w:r w:rsidRPr="00694299">
        <w:rPr>
          <w:rFonts w:eastAsia="Times New Roman" w:cs="Calibri"/>
          <w:color w:val="000000"/>
          <w:lang w:eastAsia="es-CR"/>
        </w:rPr>
        <w:t xml:space="preserve">La cuenta Resultados acumulados, representa el 100,00% del total del Capital, que comparado al periodo anterior genera una variación absoluta de </w:t>
      </w:r>
      <w:r w:rsidR="00453773">
        <w:rPr>
          <w:rFonts w:eastAsia="Times New Roman" w:cs="Calibri"/>
          <w:color w:val="000000"/>
          <w:lang w:eastAsia="es-CR"/>
        </w:rPr>
        <w:t>77</w:t>
      </w:r>
      <w:r w:rsidR="00473A78" w:rsidRPr="00473A78">
        <w:rPr>
          <w:rFonts w:eastAsia="Times New Roman" w:cs="Calibri"/>
          <w:color w:val="000000"/>
          <w:lang w:eastAsia="es-CR"/>
        </w:rPr>
        <w:t xml:space="preserve">3 </w:t>
      </w:r>
      <w:r w:rsidR="00453773">
        <w:rPr>
          <w:rFonts w:eastAsia="Times New Roman" w:cs="Calibri"/>
          <w:color w:val="000000"/>
          <w:lang w:eastAsia="es-CR"/>
        </w:rPr>
        <w:t>231</w:t>
      </w:r>
      <w:r w:rsidR="00473A78" w:rsidRPr="00473A78">
        <w:rPr>
          <w:rFonts w:eastAsia="Times New Roman" w:cs="Calibri"/>
          <w:color w:val="000000"/>
          <w:lang w:eastAsia="es-CR"/>
        </w:rPr>
        <w:t>,</w:t>
      </w:r>
      <w:r w:rsidR="00453773">
        <w:rPr>
          <w:rFonts w:eastAsia="Times New Roman" w:cs="Calibri"/>
          <w:color w:val="000000"/>
          <w:lang w:eastAsia="es-CR"/>
        </w:rPr>
        <w:t>62</w:t>
      </w:r>
      <w:r w:rsidR="00473A78">
        <w:rPr>
          <w:rFonts w:eastAsia="Times New Roman" w:cs="Calibri"/>
          <w:color w:val="000000"/>
          <w:lang w:eastAsia="es-CR"/>
        </w:rPr>
        <w:t xml:space="preserve"> </w:t>
      </w:r>
      <w:r w:rsidRPr="00694299">
        <w:rPr>
          <w:rFonts w:eastAsia="Times New Roman" w:cs="Calibri"/>
          <w:color w:val="000000"/>
          <w:lang w:eastAsia="es-CR"/>
        </w:rPr>
        <w:t>que corresponde a un Aumento del 0,</w:t>
      </w:r>
      <w:r w:rsidR="00453773">
        <w:rPr>
          <w:rFonts w:eastAsia="Times New Roman" w:cs="Calibri"/>
          <w:color w:val="000000"/>
          <w:lang w:eastAsia="es-CR"/>
        </w:rPr>
        <w:t>4</w:t>
      </w:r>
      <w:r w:rsidRPr="00694299">
        <w:rPr>
          <w:rFonts w:eastAsia="Times New Roman" w:cs="Calibri"/>
          <w:color w:val="000000"/>
          <w:lang w:eastAsia="es-CR"/>
        </w:rPr>
        <w:t>7% de recursos disponibles</w:t>
      </w:r>
      <w:r w:rsidRPr="00694299">
        <w:rPr>
          <w:b/>
          <w:bCs/>
        </w:rPr>
        <w:t>.</w:t>
      </w:r>
    </w:p>
    <w:p w14:paraId="6196ED55" w14:textId="5F4A5648" w:rsidR="00692DC8" w:rsidRPr="00692DC8" w:rsidRDefault="00736E00" w:rsidP="00473A78">
      <w:pPr>
        <w:spacing w:line="240" w:lineRule="auto"/>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5CB710F4" w14:textId="77777777" w:rsidR="00BE2A90" w:rsidRPr="00D36F54" w:rsidRDefault="00BE2A90" w:rsidP="00BE2A90">
      <w:pPr>
        <w:spacing w:after="0" w:line="240" w:lineRule="auto"/>
      </w:pPr>
      <w:r>
        <w:t xml:space="preserve">La variación (Aumento) obedece a los resultados del ejercicio y periodos anteriores </w:t>
      </w:r>
      <w:r w:rsidRPr="00AF78DF">
        <w:t xml:space="preserve">que fueron </w:t>
      </w:r>
      <w:r w:rsidRPr="00BC1640">
        <w:t>registrados.</w:t>
      </w:r>
    </w:p>
    <w:p w14:paraId="63E127A1" w14:textId="77777777" w:rsidR="00453773" w:rsidRPr="00453773" w:rsidRDefault="00453773" w:rsidP="005012F5">
      <w:pPr>
        <w:rPr>
          <w:iCs/>
        </w:rPr>
      </w:pPr>
    </w:p>
    <w:p w14:paraId="2E912047" w14:textId="77777777" w:rsidR="00692DC8" w:rsidRPr="00692DC8" w:rsidRDefault="00692DC8" w:rsidP="005012F5">
      <w:pPr>
        <w:pStyle w:val="Ttulo4"/>
        <w:spacing w:after="240"/>
        <w:rPr>
          <w:rFonts w:eastAsia="Times New Roman"/>
        </w:rPr>
      </w:pPr>
      <w:bookmarkStart w:id="500" w:name="_Toc33601249"/>
      <w:bookmarkStart w:id="501" w:name="_Toc82768964"/>
      <w:bookmarkStart w:id="502" w:name="_Toc173245258"/>
      <w:r w:rsidRPr="00692DC8">
        <w:rPr>
          <w:rFonts w:eastAsia="Times New Roman"/>
        </w:rPr>
        <w:t>NOTA N° 29</w:t>
      </w:r>
      <w:bookmarkEnd w:id="498"/>
      <w:bookmarkEnd w:id="499"/>
      <w:bookmarkEnd w:id="500"/>
      <w:bookmarkEnd w:id="501"/>
      <w:bookmarkEnd w:id="502"/>
    </w:p>
    <w:p w14:paraId="5BF6A5FF" w14:textId="77777777" w:rsidR="00694299" w:rsidRDefault="00692DC8" w:rsidP="00323752">
      <w:pPr>
        <w:spacing w:before="240"/>
        <w:rPr>
          <w:rFonts w:asciiTheme="minorHAnsi" w:hAnsiTheme="minorHAnsi"/>
          <w:sz w:val="22"/>
        </w:rPr>
      </w:pPr>
      <w:bookmarkStart w:id="503" w:name="_Toc82768965"/>
      <w:r w:rsidRPr="00692DC8">
        <w:rPr>
          <w:rFonts w:eastAsia="Times New Roman"/>
        </w:rPr>
        <w:t>Intereses minoritarios - Participaciones en el patrimonio de entidades controladas</w:t>
      </w:r>
      <w:bookmarkStart w:id="504" w:name="_Toc13041186"/>
      <w:bookmarkStart w:id="505" w:name="_Toc14345185"/>
      <w:bookmarkEnd w:id="503"/>
      <w:r w:rsidR="00D5131A">
        <w:rPr>
          <w:rFonts w:eastAsiaTheme="majorEastAsia" w:cstheme="majorBidi"/>
          <w:iCs/>
          <w:lang w:val="es-ES"/>
        </w:rPr>
        <w:fldChar w:fldCharType="begin"/>
      </w:r>
      <w:r w:rsidR="00D5131A">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NOTAS_POR_CUENTA!F214C1:F216C6 </w:instrText>
      </w:r>
      <w:r w:rsidR="00D5131A">
        <w:rPr>
          <w:lang w:val="es-ES"/>
        </w:rPr>
        <w:instrText xml:space="preserve">\a \f 4 \h </w:instrText>
      </w:r>
      <w:r w:rsidR="00D5131A">
        <w:rPr>
          <w:b/>
          <w:lang w:val="es-ES"/>
        </w:rPr>
        <w:fldChar w:fldCharType="separate"/>
      </w:r>
    </w:p>
    <w:tbl>
      <w:tblPr>
        <w:tblW w:w="8847" w:type="dxa"/>
        <w:tblCellMar>
          <w:left w:w="70" w:type="dxa"/>
          <w:right w:w="70" w:type="dxa"/>
        </w:tblCellMar>
        <w:tblLook w:val="04A0" w:firstRow="1" w:lastRow="0" w:firstColumn="1" w:lastColumn="0" w:noHBand="0" w:noVBand="1"/>
      </w:tblPr>
      <w:tblGrid>
        <w:gridCol w:w="1538"/>
        <w:gridCol w:w="2462"/>
        <w:gridCol w:w="500"/>
        <w:gridCol w:w="1586"/>
        <w:gridCol w:w="1701"/>
        <w:gridCol w:w="1060"/>
      </w:tblGrid>
      <w:tr w:rsidR="00694299" w:rsidRPr="00694299" w14:paraId="5EA89832" w14:textId="77777777" w:rsidTr="00E71EFA">
        <w:trPr>
          <w:divId w:val="420295943"/>
          <w:trHeight w:val="324"/>
        </w:trPr>
        <w:tc>
          <w:tcPr>
            <w:tcW w:w="1538"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6091F2A" w14:textId="27B8147C"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462"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6FD7B48"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56F37A6"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5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6B6A184"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75F0000"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028FB893"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2ED94493" w14:textId="77777777" w:rsidTr="00E71EFA">
        <w:trPr>
          <w:divId w:val="420295943"/>
          <w:trHeight w:val="324"/>
        </w:trPr>
        <w:tc>
          <w:tcPr>
            <w:tcW w:w="1538" w:type="dxa"/>
            <w:vMerge/>
            <w:tcBorders>
              <w:top w:val="single" w:sz="8" w:space="0" w:color="auto"/>
              <w:left w:val="single" w:sz="8" w:space="0" w:color="auto"/>
              <w:bottom w:val="single" w:sz="8" w:space="0" w:color="000000"/>
              <w:right w:val="single" w:sz="8" w:space="0" w:color="auto"/>
            </w:tcBorders>
            <w:vAlign w:val="center"/>
            <w:hideMark/>
          </w:tcPr>
          <w:p w14:paraId="04E3AA3C"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462" w:type="dxa"/>
            <w:vMerge/>
            <w:tcBorders>
              <w:top w:val="single" w:sz="8" w:space="0" w:color="auto"/>
              <w:left w:val="single" w:sz="8" w:space="0" w:color="auto"/>
              <w:bottom w:val="single" w:sz="8" w:space="0" w:color="000000"/>
              <w:right w:val="single" w:sz="8" w:space="0" w:color="auto"/>
            </w:tcBorders>
            <w:vAlign w:val="center"/>
            <w:hideMark/>
          </w:tcPr>
          <w:p w14:paraId="2D0671C7"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B4798B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34B97706"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4A17E7FD"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22BA157"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2EC0FD5D" w14:textId="77777777" w:rsidTr="00E71EFA">
        <w:trPr>
          <w:divId w:val="420295943"/>
          <w:trHeight w:val="540"/>
        </w:trPr>
        <w:tc>
          <w:tcPr>
            <w:tcW w:w="1538" w:type="dxa"/>
            <w:tcBorders>
              <w:top w:val="nil"/>
              <w:left w:val="single" w:sz="8" w:space="0" w:color="auto"/>
              <w:bottom w:val="single" w:sz="8" w:space="0" w:color="auto"/>
              <w:right w:val="single" w:sz="8" w:space="0" w:color="auto"/>
            </w:tcBorders>
            <w:shd w:val="clear" w:color="auto" w:fill="auto"/>
            <w:noWrap/>
            <w:vAlign w:val="center"/>
            <w:hideMark/>
          </w:tcPr>
          <w:p w14:paraId="60287732"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3.2.1.</w:t>
            </w:r>
          </w:p>
        </w:tc>
        <w:tc>
          <w:tcPr>
            <w:tcW w:w="2462" w:type="dxa"/>
            <w:tcBorders>
              <w:top w:val="nil"/>
              <w:left w:val="nil"/>
              <w:bottom w:val="single" w:sz="8" w:space="0" w:color="auto"/>
              <w:right w:val="single" w:sz="8" w:space="0" w:color="auto"/>
            </w:tcBorders>
            <w:shd w:val="clear" w:color="auto" w:fill="auto"/>
            <w:vAlign w:val="center"/>
            <w:hideMark/>
          </w:tcPr>
          <w:p w14:paraId="0B71910F"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Intereses minoritarios - Participaciones en el patrimonio de entidades controladas</w:t>
            </w:r>
          </w:p>
        </w:tc>
        <w:tc>
          <w:tcPr>
            <w:tcW w:w="500" w:type="dxa"/>
            <w:tcBorders>
              <w:top w:val="nil"/>
              <w:left w:val="nil"/>
              <w:bottom w:val="single" w:sz="8" w:space="0" w:color="auto"/>
              <w:right w:val="single" w:sz="8" w:space="0" w:color="auto"/>
            </w:tcBorders>
            <w:shd w:val="clear" w:color="auto" w:fill="auto"/>
            <w:noWrap/>
            <w:vAlign w:val="center"/>
            <w:hideMark/>
          </w:tcPr>
          <w:p w14:paraId="1ED6A266"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29</w:t>
            </w:r>
          </w:p>
        </w:tc>
        <w:tc>
          <w:tcPr>
            <w:tcW w:w="1586" w:type="dxa"/>
            <w:tcBorders>
              <w:top w:val="nil"/>
              <w:left w:val="nil"/>
              <w:bottom w:val="single" w:sz="8" w:space="0" w:color="auto"/>
              <w:right w:val="single" w:sz="8" w:space="0" w:color="auto"/>
            </w:tcBorders>
            <w:shd w:val="clear" w:color="auto" w:fill="auto"/>
            <w:noWrap/>
            <w:vAlign w:val="center"/>
            <w:hideMark/>
          </w:tcPr>
          <w:p w14:paraId="2B20F481"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701" w:type="dxa"/>
            <w:tcBorders>
              <w:top w:val="nil"/>
              <w:left w:val="nil"/>
              <w:bottom w:val="single" w:sz="8" w:space="0" w:color="auto"/>
              <w:right w:val="single" w:sz="8" w:space="0" w:color="auto"/>
            </w:tcBorders>
            <w:shd w:val="clear" w:color="auto" w:fill="auto"/>
            <w:noWrap/>
            <w:vAlign w:val="center"/>
            <w:hideMark/>
          </w:tcPr>
          <w:p w14:paraId="2A50BD59"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767CD9EB"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4707A80C" w14:textId="77777777" w:rsidR="00694299" w:rsidRPr="00694299" w:rsidRDefault="00D5131A" w:rsidP="00694299">
      <w:pPr>
        <w:spacing w:before="240"/>
        <w:rPr>
          <w:b/>
          <w:lang w:val="es-ES"/>
        </w:rPr>
      </w:pPr>
      <w:r>
        <w:rPr>
          <w:b/>
          <w:lang w:val="es-ES"/>
        </w:rPr>
        <w:fldChar w:fldCharType="end"/>
      </w:r>
      <w:r w:rsidR="00692DC8" w:rsidRPr="005012F5">
        <w:rPr>
          <w:b/>
          <w:lang w:val="es-ES"/>
        </w:rPr>
        <w:t xml:space="preserve">Revelación: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NOTAS_POR_CUENTA!F216C8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09C5FDEF" w14:textId="77777777" w:rsidR="00694299" w:rsidRPr="00694299" w:rsidRDefault="00694299" w:rsidP="00473A78">
      <w:pPr>
        <w:spacing w:line="240" w:lineRule="auto"/>
        <w:rPr>
          <w:rFonts w:eastAsia="Times New Roman" w:cs="Calibri"/>
          <w:color w:val="000000"/>
          <w:lang w:eastAsia="es-CR"/>
        </w:rPr>
      </w:pPr>
      <w:r w:rsidRPr="00694299">
        <w:rPr>
          <w:rFonts w:eastAsia="Times New Roman" w:cs="Calibri"/>
          <w:color w:val="000000"/>
          <w:lang w:eastAsia="es-CR"/>
        </w:rPr>
        <w:t>La cuenta Intereses minoritarios - Participaciones en el patrimonio de entidades controladas, representa el 0,00% del total del Capital, que comparado al periodo anterior genera una variación absoluta de 0 000,00 que corresponde a un Aumento del 0,00% de recursos disponibles.</w:t>
      </w:r>
    </w:p>
    <w:p w14:paraId="43986355" w14:textId="44E9D43E" w:rsidR="00692DC8" w:rsidRDefault="00D5131A" w:rsidP="00473A78">
      <w:pPr>
        <w:spacing w:line="240" w:lineRule="auto"/>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5B2D9179" w14:textId="77777777" w:rsidR="005012F5" w:rsidRPr="005012F5" w:rsidRDefault="005012F5" w:rsidP="005012F5">
      <w:pPr>
        <w:rPr>
          <w:rFonts w:eastAsiaTheme="minorEastAsia" w:cs="Arial Narrow"/>
          <w:color w:val="000000"/>
          <w:lang w:eastAsia="es-CR"/>
        </w:rPr>
      </w:pPr>
    </w:p>
    <w:p w14:paraId="482779C9" w14:textId="77777777" w:rsidR="00692DC8" w:rsidRPr="00692DC8" w:rsidRDefault="00692DC8" w:rsidP="005012F5">
      <w:pPr>
        <w:pStyle w:val="Ttulo4"/>
        <w:spacing w:after="240"/>
        <w:rPr>
          <w:rFonts w:eastAsia="Times New Roman"/>
        </w:rPr>
      </w:pPr>
      <w:bookmarkStart w:id="506" w:name="_Toc33601250"/>
      <w:bookmarkStart w:id="507" w:name="_Toc82768966"/>
      <w:bookmarkStart w:id="508" w:name="_Toc173245259"/>
      <w:r w:rsidRPr="00692DC8">
        <w:rPr>
          <w:rFonts w:eastAsia="Times New Roman"/>
        </w:rPr>
        <w:t>NOTA N° 30</w:t>
      </w:r>
      <w:bookmarkEnd w:id="504"/>
      <w:bookmarkEnd w:id="505"/>
      <w:bookmarkEnd w:id="506"/>
      <w:bookmarkEnd w:id="507"/>
      <w:bookmarkEnd w:id="508"/>
    </w:p>
    <w:p w14:paraId="2A1CD4C6" w14:textId="77777777" w:rsidR="00694299" w:rsidRDefault="00692DC8" w:rsidP="00323752">
      <w:pPr>
        <w:spacing w:before="240"/>
        <w:rPr>
          <w:rFonts w:asciiTheme="minorHAnsi" w:hAnsiTheme="minorHAnsi"/>
          <w:sz w:val="22"/>
        </w:rPr>
      </w:pPr>
      <w:bookmarkStart w:id="509" w:name="_Toc82768967"/>
      <w:r w:rsidRPr="00692DC8">
        <w:rPr>
          <w:rFonts w:eastAsia="Times New Roman"/>
        </w:rPr>
        <w:t>Intereses minoritarios – Evolución</w:t>
      </w:r>
      <w:bookmarkEnd w:id="509"/>
      <w:r w:rsidR="00D5131A">
        <w:rPr>
          <w:rFonts w:eastAsiaTheme="majorEastAsia" w:cstheme="majorBidi"/>
          <w:iCs/>
          <w:lang w:val="es-ES"/>
        </w:rPr>
        <w:fldChar w:fldCharType="begin"/>
      </w:r>
      <w:r w:rsidR="00D5131A">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NOTAS_POR_CUENTA!F218C1:F220C6 </w:instrText>
      </w:r>
      <w:r w:rsidR="00D5131A">
        <w:rPr>
          <w:lang w:val="es-ES"/>
        </w:rPr>
        <w:instrText xml:space="preserve">\a \f 4 \h </w:instrText>
      </w:r>
      <w:r w:rsidR="00D5131A">
        <w:rPr>
          <w:b/>
          <w:lang w:val="es-ES"/>
        </w:rPr>
        <w:fldChar w:fldCharType="separate"/>
      </w:r>
    </w:p>
    <w:tbl>
      <w:tblPr>
        <w:tblW w:w="8847" w:type="dxa"/>
        <w:tblCellMar>
          <w:left w:w="70" w:type="dxa"/>
          <w:right w:w="70" w:type="dxa"/>
        </w:tblCellMar>
        <w:tblLook w:val="04A0" w:firstRow="1" w:lastRow="0" w:firstColumn="1" w:lastColumn="0" w:noHBand="0" w:noVBand="1"/>
      </w:tblPr>
      <w:tblGrid>
        <w:gridCol w:w="1374"/>
        <w:gridCol w:w="2626"/>
        <w:gridCol w:w="500"/>
        <w:gridCol w:w="1586"/>
        <w:gridCol w:w="1701"/>
        <w:gridCol w:w="1060"/>
      </w:tblGrid>
      <w:tr w:rsidR="00694299" w:rsidRPr="00694299" w14:paraId="2974F71C" w14:textId="77777777" w:rsidTr="00E71EFA">
        <w:trPr>
          <w:divId w:val="1166945128"/>
          <w:trHeight w:val="324"/>
        </w:trPr>
        <w:tc>
          <w:tcPr>
            <w:tcW w:w="1374"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9E5D842" w14:textId="63AE205F"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626"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1A64AF3"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396002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5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C8FC024"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1CAE9DD"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707A936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40ADE3D5" w14:textId="77777777" w:rsidTr="00E71EFA">
        <w:trPr>
          <w:divId w:val="1166945128"/>
          <w:trHeight w:val="324"/>
        </w:trPr>
        <w:tc>
          <w:tcPr>
            <w:tcW w:w="1374" w:type="dxa"/>
            <w:vMerge/>
            <w:tcBorders>
              <w:top w:val="single" w:sz="8" w:space="0" w:color="auto"/>
              <w:left w:val="single" w:sz="8" w:space="0" w:color="auto"/>
              <w:bottom w:val="single" w:sz="8" w:space="0" w:color="000000"/>
              <w:right w:val="single" w:sz="8" w:space="0" w:color="auto"/>
            </w:tcBorders>
            <w:vAlign w:val="center"/>
            <w:hideMark/>
          </w:tcPr>
          <w:p w14:paraId="0738C537"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626" w:type="dxa"/>
            <w:vMerge/>
            <w:tcBorders>
              <w:top w:val="single" w:sz="8" w:space="0" w:color="auto"/>
              <w:left w:val="single" w:sz="8" w:space="0" w:color="auto"/>
              <w:bottom w:val="single" w:sz="8" w:space="0" w:color="000000"/>
              <w:right w:val="single" w:sz="8" w:space="0" w:color="auto"/>
            </w:tcBorders>
            <w:vAlign w:val="center"/>
            <w:hideMark/>
          </w:tcPr>
          <w:p w14:paraId="27F292D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FF917D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3214F1C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688CCC4A"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7C862106"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4E5EB3EB" w14:textId="77777777" w:rsidTr="00E71EFA">
        <w:trPr>
          <w:divId w:val="1166945128"/>
          <w:trHeight w:val="324"/>
        </w:trPr>
        <w:tc>
          <w:tcPr>
            <w:tcW w:w="1374" w:type="dxa"/>
            <w:tcBorders>
              <w:top w:val="nil"/>
              <w:left w:val="single" w:sz="8" w:space="0" w:color="auto"/>
              <w:bottom w:val="single" w:sz="8" w:space="0" w:color="auto"/>
              <w:right w:val="single" w:sz="8" w:space="0" w:color="auto"/>
            </w:tcBorders>
            <w:shd w:val="clear" w:color="auto" w:fill="auto"/>
            <w:noWrap/>
            <w:vAlign w:val="center"/>
            <w:hideMark/>
          </w:tcPr>
          <w:p w14:paraId="6A0A3792"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3.2.2.</w:t>
            </w:r>
          </w:p>
        </w:tc>
        <w:tc>
          <w:tcPr>
            <w:tcW w:w="2626" w:type="dxa"/>
            <w:tcBorders>
              <w:top w:val="nil"/>
              <w:left w:val="nil"/>
              <w:bottom w:val="single" w:sz="8" w:space="0" w:color="auto"/>
              <w:right w:val="single" w:sz="8" w:space="0" w:color="auto"/>
            </w:tcBorders>
            <w:shd w:val="clear" w:color="auto" w:fill="auto"/>
            <w:vAlign w:val="center"/>
            <w:hideMark/>
          </w:tcPr>
          <w:p w14:paraId="2502CA09"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Intereses minoritarios - Evolución</w:t>
            </w:r>
          </w:p>
        </w:tc>
        <w:tc>
          <w:tcPr>
            <w:tcW w:w="500" w:type="dxa"/>
            <w:tcBorders>
              <w:top w:val="nil"/>
              <w:left w:val="nil"/>
              <w:bottom w:val="single" w:sz="8" w:space="0" w:color="auto"/>
              <w:right w:val="single" w:sz="8" w:space="0" w:color="auto"/>
            </w:tcBorders>
            <w:shd w:val="clear" w:color="auto" w:fill="auto"/>
            <w:noWrap/>
            <w:vAlign w:val="center"/>
            <w:hideMark/>
          </w:tcPr>
          <w:p w14:paraId="770D879E"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30</w:t>
            </w:r>
          </w:p>
        </w:tc>
        <w:tc>
          <w:tcPr>
            <w:tcW w:w="1586" w:type="dxa"/>
            <w:tcBorders>
              <w:top w:val="nil"/>
              <w:left w:val="nil"/>
              <w:bottom w:val="single" w:sz="8" w:space="0" w:color="auto"/>
              <w:right w:val="single" w:sz="8" w:space="0" w:color="auto"/>
            </w:tcBorders>
            <w:shd w:val="clear" w:color="auto" w:fill="auto"/>
            <w:noWrap/>
            <w:vAlign w:val="center"/>
            <w:hideMark/>
          </w:tcPr>
          <w:p w14:paraId="5D18BC1F"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701" w:type="dxa"/>
            <w:tcBorders>
              <w:top w:val="nil"/>
              <w:left w:val="nil"/>
              <w:bottom w:val="single" w:sz="8" w:space="0" w:color="auto"/>
              <w:right w:val="single" w:sz="8" w:space="0" w:color="auto"/>
            </w:tcBorders>
            <w:shd w:val="clear" w:color="auto" w:fill="auto"/>
            <w:noWrap/>
            <w:vAlign w:val="center"/>
            <w:hideMark/>
          </w:tcPr>
          <w:p w14:paraId="18F5D7B1"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2A606064"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29A72C04" w14:textId="77777777" w:rsidR="00694299" w:rsidRPr="00694299" w:rsidRDefault="00D5131A"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sidR="00257A5D">
        <w:rPr>
          <w:rFonts w:eastAsia="Times New Roman" w:cs="Calibri"/>
          <w:color w:val="000000"/>
          <w:lang w:eastAsia="es-CR"/>
        </w:rPr>
        <w:fldChar w:fldCharType="begin"/>
      </w:r>
      <w:r w:rsidR="00257A5D">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NOTAS_POR_CUENTA!F220C8 </w:instrText>
      </w:r>
      <w:r w:rsidR="00257A5D">
        <w:rPr>
          <w:rFonts w:eastAsia="Times New Roman" w:cs="Calibri"/>
          <w:color w:val="000000"/>
          <w:lang w:eastAsia="es-CR"/>
        </w:rPr>
        <w:instrText xml:space="preserve">\a \f 5 \h  \* MERGEFORMAT </w:instrText>
      </w:r>
      <w:r w:rsidR="00257A5D">
        <w:rPr>
          <w:rFonts w:eastAsia="Times New Roman" w:cs="Calibri"/>
          <w:color w:val="000000"/>
          <w:lang w:eastAsia="es-CR"/>
        </w:rPr>
        <w:fldChar w:fldCharType="separate"/>
      </w:r>
    </w:p>
    <w:p w14:paraId="0577C4D8" w14:textId="77777777" w:rsidR="00694299" w:rsidRPr="00694299" w:rsidRDefault="00694299" w:rsidP="00473A78">
      <w:pPr>
        <w:spacing w:line="240" w:lineRule="auto"/>
        <w:rPr>
          <w:rFonts w:eastAsia="Times New Roman" w:cs="Calibri"/>
          <w:color w:val="000000"/>
          <w:lang w:eastAsia="es-CR"/>
        </w:rPr>
      </w:pPr>
      <w:r w:rsidRPr="00694299">
        <w:rPr>
          <w:rFonts w:eastAsia="Times New Roman" w:cs="Calibri"/>
          <w:color w:val="000000"/>
          <w:lang w:eastAsia="es-CR"/>
        </w:rPr>
        <w:t>La cuenta Intereses minoritarios - Evolución, representa el 0,00% del total del Capital, que comparado al periodo anterior genera una variación absoluta de 0 000,00 que corresponde a un Aumento del 0,00% de recursos disponibles.</w:t>
      </w:r>
    </w:p>
    <w:p w14:paraId="74C38F23" w14:textId="4251CE50" w:rsidR="00692DC8" w:rsidRPr="00422EDF" w:rsidRDefault="00257A5D" w:rsidP="00473A78">
      <w:pPr>
        <w:spacing w:line="240" w:lineRule="auto"/>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p>
    <w:p w14:paraId="37EC000F" w14:textId="77777777" w:rsidR="00692DC8" w:rsidRDefault="00692DC8" w:rsidP="005012F5">
      <w:pPr>
        <w:rPr>
          <w:i/>
        </w:rPr>
      </w:pPr>
    </w:p>
    <w:p w14:paraId="7DEC6686" w14:textId="77777777" w:rsidR="00473A78" w:rsidRDefault="00473A78" w:rsidP="005012F5">
      <w:pPr>
        <w:rPr>
          <w:i/>
        </w:rPr>
      </w:pPr>
    </w:p>
    <w:p w14:paraId="227FBB9A" w14:textId="77777777" w:rsidR="00453773" w:rsidRDefault="00453773" w:rsidP="005012F5">
      <w:pPr>
        <w:rPr>
          <w:i/>
        </w:rPr>
      </w:pPr>
    </w:p>
    <w:p w14:paraId="328E55E9" w14:textId="77777777" w:rsidR="00453773" w:rsidRDefault="00453773" w:rsidP="005012F5">
      <w:pPr>
        <w:rPr>
          <w:i/>
        </w:rPr>
      </w:pPr>
    </w:p>
    <w:p w14:paraId="375689D5" w14:textId="77777777" w:rsidR="00453773" w:rsidRDefault="00453773" w:rsidP="005012F5">
      <w:pPr>
        <w:rPr>
          <w:i/>
        </w:rPr>
      </w:pPr>
    </w:p>
    <w:p w14:paraId="338FA971" w14:textId="77777777" w:rsidR="00453773" w:rsidRDefault="00453773" w:rsidP="005012F5">
      <w:pPr>
        <w:rPr>
          <w:i/>
        </w:rPr>
      </w:pPr>
    </w:p>
    <w:p w14:paraId="6EF80E40" w14:textId="77777777" w:rsidR="00453773" w:rsidRDefault="00453773" w:rsidP="005012F5">
      <w:pPr>
        <w:rPr>
          <w:i/>
        </w:rPr>
      </w:pPr>
    </w:p>
    <w:p w14:paraId="70790C6A" w14:textId="77777777" w:rsidR="00453773" w:rsidRDefault="00453773" w:rsidP="005012F5">
      <w:pPr>
        <w:rPr>
          <w:i/>
        </w:rPr>
      </w:pPr>
    </w:p>
    <w:p w14:paraId="3F3DE591" w14:textId="77777777" w:rsidR="00453773" w:rsidRPr="00692DC8" w:rsidRDefault="00453773" w:rsidP="005012F5">
      <w:pPr>
        <w:rPr>
          <w:i/>
        </w:rPr>
      </w:pPr>
    </w:p>
    <w:p w14:paraId="5305ED00" w14:textId="14A255EE" w:rsidR="00692DC8" w:rsidRDefault="00692DC8" w:rsidP="000F5ACF">
      <w:pPr>
        <w:pStyle w:val="Ttulo2"/>
        <w:jc w:val="center"/>
        <w:rPr>
          <w:rFonts w:eastAsia="Times New Roman"/>
          <w:b/>
        </w:rPr>
      </w:pPr>
      <w:bookmarkStart w:id="510" w:name="_Toc14344754"/>
      <w:bookmarkStart w:id="511" w:name="_Toc33601251"/>
      <w:bookmarkStart w:id="512" w:name="_Toc82768968"/>
      <w:bookmarkStart w:id="513" w:name="_Toc173245260"/>
      <w:r w:rsidRPr="005012F5">
        <w:rPr>
          <w:rFonts w:eastAsia="Times New Roman"/>
          <w:b/>
        </w:rPr>
        <w:t>NOTAS EXPLICATIVAS AL ESTADO DE RENDIMIENTO FINANCIERO</w:t>
      </w:r>
      <w:bookmarkEnd w:id="510"/>
      <w:bookmarkEnd w:id="511"/>
      <w:bookmarkEnd w:id="512"/>
      <w:bookmarkEnd w:id="513"/>
    </w:p>
    <w:p w14:paraId="13E16672" w14:textId="77777777" w:rsidR="00473A78" w:rsidRPr="00473A78" w:rsidRDefault="00473A78" w:rsidP="00473A78"/>
    <w:p w14:paraId="2561FC22" w14:textId="4F3D99D8" w:rsidR="00692DC8" w:rsidRPr="00692DC8" w:rsidRDefault="000F5ACF" w:rsidP="000F5ACF">
      <w:pPr>
        <w:pStyle w:val="Ttulo3"/>
        <w:spacing w:after="240"/>
        <w:rPr>
          <w:rFonts w:eastAsia="Times New Roman"/>
          <w:lang w:eastAsia="es-CR"/>
        </w:rPr>
      </w:pPr>
      <w:bookmarkStart w:id="514" w:name="_Toc14344755"/>
      <w:bookmarkStart w:id="515" w:name="_Toc33601252"/>
      <w:bookmarkStart w:id="516" w:name="_Toc82768969"/>
      <w:bookmarkStart w:id="517" w:name="_Toc173245261"/>
      <w:r>
        <w:rPr>
          <w:rFonts w:eastAsia="Times New Roman"/>
          <w:lang w:eastAsia="es-CR"/>
        </w:rPr>
        <w:t xml:space="preserve">4. </w:t>
      </w:r>
      <w:r w:rsidR="00692DC8" w:rsidRPr="00692DC8">
        <w:rPr>
          <w:rFonts w:eastAsia="Times New Roman"/>
          <w:lang w:eastAsia="es-CR"/>
        </w:rPr>
        <w:t>INGRESOS</w:t>
      </w:r>
      <w:bookmarkStart w:id="518" w:name="_Toc54976760"/>
      <w:bookmarkStart w:id="519" w:name="_Toc54977040"/>
      <w:bookmarkStart w:id="520" w:name="_Toc54977319"/>
      <w:bookmarkStart w:id="521" w:name="_Toc54977600"/>
      <w:bookmarkStart w:id="522" w:name="_Toc54977881"/>
      <w:bookmarkStart w:id="523" w:name="_Toc54978162"/>
      <w:bookmarkStart w:id="524" w:name="_Toc54978471"/>
      <w:bookmarkStart w:id="525" w:name="_Toc54978780"/>
      <w:bookmarkStart w:id="526" w:name="_Toc54979090"/>
      <w:bookmarkStart w:id="527" w:name="_Toc55059377"/>
      <w:bookmarkStart w:id="528" w:name="_Toc55059688"/>
      <w:bookmarkStart w:id="529" w:name="_Toc55060355"/>
      <w:bookmarkStart w:id="530" w:name="_Toc55060740"/>
      <w:bookmarkStart w:id="531" w:name="_Toc55062728"/>
      <w:bookmarkStart w:id="532" w:name="_Toc55062998"/>
      <w:bookmarkStart w:id="533" w:name="_Toc55063249"/>
      <w:bookmarkStart w:id="534" w:name="_Toc55063502"/>
      <w:bookmarkStart w:id="535" w:name="_Toc55063756"/>
      <w:bookmarkStart w:id="536" w:name="_Toc55064029"/>
      <w:bookmarkStart w:id="537" w:name="_Toc55069832"/>
      <w:bookmarkStart w:id="538" w:name="_Toc55070100"/>
      <w:bookmarkStart w:id="539" w:name="_Toc55070367"/>
      <w:bookmarkStart w:id="540" w:name="_Toc55070635"/>
      <w:bookmarkStart w:id="541" w:name="_Toc55070902"/>
      <w:bookmarkStart w:id="542" w:name="_Toc55201425"/>
      <w:bookmarkStart w:id="543" w:name="_Toc55824655"/>
      <w:bookmarkStart w:id="544" w:name="_Toc55825040"/>
      <w:bookmarkStart w:id="545" w:name="_Toc55828974"/>
      <w:bookmarkStart w:id="546" w:name="_Toc56002228"/>
      <w:bookmarkStart w:id="547" w:name="_Toc56002504"/>
      <w:bookmarkStart w:id="548" w:name="_Toc56004697"/>
      <w:bookmarkStart w:id="549" w:name="_Toc56065374"/>
      <w:bookmarkStart w:id="550" w:name="_Toc71563855"/>
      <w:bookmarkStart w:id="551" w:name="_Toc54976761"/>
      <w:bookmarkStart w:id="552" w:name="_Toc54977041"/>
      <w:bookmarkStart w:id="553" w:name="_Toc54977320"/>
      <w:bookmarkStart w:id="554" w:name="_Toc54977601"/>
      <w:bookmarkStart w:id="555" w:name="_Toc54977882"/>
      <w:bookmarkStart w:id="556" w:name="_Toc54978163"/>
      <w:bookmarkStart w:id="557" w:name="_Toc54978472"/>
      <w:bookmarkStart w:id="558" w:name="_Toc54978781"/>
      <w:bookmarkStart w:id="559" w:name="_Toc54979091"/>
      <w:bookmarkStart w:id="560" w:name="_Toc55059378"/>
      <w:bookmarkStart w:id="561" w:name="_Toc55059689"/>
      <w:bookmarkStart w:id="562" w:name="_Toc55060356"/>
      <w:bookmarkStart w:id="563" w:name="_Toc55060741"/>
      <w:bookmarkStart w:id="564" w:name="_Toc55062729"/>
      <w:bookmarkStart w:id="565" w:name="_Toc55062999"/>
      <w:bookmarkStart w:id="566" w:name="_Toc55063250"/>
      <w:bookmarkStart w:id="567" w:name="_Toc55063503"/>
      <w:bookmarkStart w:id="568" w:name="_Toc55063757"/>
      <w:bookmarkStart w:id="569" w:name="_Toc55064030"/>
      <w:bookmarkStart w:id="570" w:name="_Toc55069833"/>
      <w:bookmarkStart w:id="571" w:name="_Toc55070101"/>
      <w:bookmarkStart w:id="572" w:name="_Toc55070368"/>
      <w:bookmarkStart w:id="573" w:name="_Toc55070636"/>
      <w:bookmarkStart w:id="574" w:name="_Toc55070903"/>
      <w:bookmarkStart w:id="575" w:name="_Toc55201426"/>
      <w:bookmarkStart w:id="576" w:name="_Toc55824656"/>
      <w:bookmarkStart w:id="577" w:name="_Toc55825041"/>
      <w:bookmarkStart w:id="578" w:name="_Toc55828975"/>
      <w:bookmarkStart w:id="579" w:name="_Toc56002229"/>
      <w:bookmarkStart w:id="580" w:name="_Toc56002505"/>
      <w:bookmarkStart w:id="581" w:name="_Toc56004698"/>
      <w:bookmarkStart w:id="582" w:name="_Toc56065375"/>
      <w:bookmarkStart w:id="583" w:name="_Toc71563856"/>
      <w:bookmarkStart w:id="584" w:name="_Toc14344756"/>
      <w:bookmarkStart w:id="585" w:name="_Toc3360125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 w14:paraId="3B1263BE" w14:textId="77777777" w:rsidR="00692DC8" w:rsidRPr="00692DC8" w:rsidRDefault="00692DC8" w:rsidP="000F5ACF">
      <w:pPr>
        <w:pStyle w:val="Ttulo3"/>
        <w:spacing w:after="240"/>
        <w:rPr>
          <w:rFonts w:eastAsia="Calibri"/>
          <w:lang w:eastAsia="es-CR"/>
        </w:rPr>
      </w:pPr>
      <w:bookmarkStart w:id="586" w:name="_Toc82768970"/>
      <w:bookmarkStart w:id="587" w:name="_Toc173245262"/>
      <w:bookmarkEnd w:id="584"/>
      <w:bookmarkEnd w:id="585"/>
      <w:r w:rsidRPr="00692DC8">
        <w:rPr>
          <w:rFonts w:eastAsia="Calibri"/>
          <w:lang w:eastAsia="es-CR"/>
        </w:rPr>
        <w:t>4.1 IMPUESTOS</w:t>
      </w:r>
      <w:bookmarkEnd w:id="586"/>
      <w:bookmarkEnd w:id="587"/>
    </w:p>
    <w:p w14:paraId="4B893D20" w14:textId="77777777" w:rsidR="00692DC8" w:rsidRPr="00692DC8" w:rsidRDefault="00692DC8" w:rsidP="000F5ACF">
      <w:pPr>
        <w:pStyle w:val="Ttulo4"/>
        <w:spacing w:after="240"/>
        <w:rPr>
          <w:rFonts w:eastAsia="Times New Roman"/>
        </w:rPr>
      </w:pPr>
      <w:bookmarkStart w:id="588" w:name="_Toc14344757"/>
      <w:bookmarkStart w:id="589" w:name="_Toc33601254"/>
      <w:bookmarkStart w:id="590" w:name="_Toc82768971"/>
      <w:bookmarkStart w:id="591" w:name="_Toc173245263"/>
      <w:r w:rsidRPr="00692DC8">
        <w:rPr>
          <w:rFonts w:eastAsia="Times New Roman"/>
        </w:rPr>
        <w:t>NOTA N° 31</w:t>
      </w:r>
      <w:bookmarkEnd w:id="588"/>
      <w:bookmarkEnd w:id="589"/>
      <w:bookmarkEnd w:id="590"/>
      <w:bookmarkEnd w:id="591"/>
    </w:p>
    <w:p w14:paraId="5D65E8CF" w14:textId="77777777" w:rsidR="00694299" w:rsidRDefault="00692DC8" w:rsidP="00323752">
      <w:pPr>
        <w:spacing w:before="240"/>
        <w:rPr>
          <w:rFonts w:asciiTheme="minorHAnsi" w:hAnsiTheme="minorHAnsi"/>
          <w:sz w:val="22"/>
        </w:rPr>
      </w:pPr>
      <w:bookmarkStart w:id="592" w:name="_Toc14344758"/>
      <w:bookmarkStart w:id="593" w:name="_Toc33601255"/>
      <w:bookmarkStart w:id="594" w:name="_Toc82768972"/>
      <w:r w:rsidRPr="00692DC8">
        <w:rPr>
          <w:rFonts w:eastAsia="Times New Roman"/>
        </w:rPr>
        <w:t>Impuestos sobre los ingresos, las utilidades y las ganancias de capital</w:t>
      </w:r>
      <w:bookmarkEnd w:id="592"/>
      <w:bookmarkEnd w:id="593"/>
      <w:bookmarkEnd w:id="594"/>
      <w:r w:rsidR="00B67FFA">
        <w:rPr>
          <w:rFonts w:eastAsiaTheme="majorEastAsia" w:cstheme="majorBidi"/>
          <w:iCs/>
          <w:lang w:val="es-ES"/>
        </w:rPr>
        <w:fldChar w:fldCharType="begin"/>
      </w:r>
      <w:r w:rsidR="00B67FFA">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NOTAS_POR_CUENTA!F228C1:F230C6 </w:instrText>
      </w:r>
      <w:r w:rsidR="00B67FFA">
        <w:rPr>
          <w:lang w:val="es-ES"/>
        </w:rPr>
        <w:instrText xml:space="preserve">\a \f 4 \h </w:instrText>
      </w:r>
      <w:r w:rsidR="00B67FFA">
        <w:rPr>
          <w:b/>
          <w:lang w:val="es-ES"/>
        </w:rPr>
        <w:fldChar w:fldCharType="separate"/>
      </w:r>
    </w:p>
    <w:tbl>
      <w:tblPr>
        <w:tblW w:w="8847" w:type="dxa"/>
        <w:tblCellMar>
          <w:left w:w="70" w:type="dxa"/>
          <w:right w:w="70" w:type="dxa"/>
        </w:tblCellMar>
        <w:tblLook w:val="04A0" w:firstRow="1" w:lastRow="0" w:firstColumn="1" w:lastColumn="0" w:noHBand="0" w:noVBand="1"/>
      </w:tblPr>
      <w:tblGrid>
        <w:gridCol w:w="1090"/>
        <w:gridCol w:w="2910"/>
        <w:gridCol w:w="500"/>
        <w:gridCol w:w="1586"/>
        <w:gridCol w:w="1701"/>
        <w:gridCol w:w="1060"/>
      </w:tblGrid>
      <w:tr w:rsidR="00694299" w:rsidRPr="00694299" w14:paraId="61A2AA8B" w14:textId="77777777" w:rsidTr="00E71EFA">
        <w:trPr>
          <w:divId w:val="119157600"/>
          <w:trHeight w:val="324"/>
        </w:trPr>
        <w:tc>
          <w:tcPr>
            <w:tcW w:w="109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FFE6DC4" w14:textId="4F507A05"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91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EC5C0C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3829F6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5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52A73A8"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8A3DF40"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41B897C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21C92395" w14:textId="77777777" w:rsidTr="00E71EFA">
        <w:trPr>
          <w:divId w:val="119157600"/>
          <w:trHeight w:val="324"/>
        </w:trPr>
        <w:tc>
          <w:tcPr>
            <w:tcW w:w="1090" w:type="dxa"/>
            <w:vMerge/>
            <w:tcBorders>
              <w:top w:val="single" w:sz="8" w:space="0" w:color="auto"/>
              <w:left w:val="single" w:sz="8" w:space="0" w:color="auto"/>
              <w:bottom w:val="single" w:sz="8" w:space="0" w:color="000000"/>
              <w:right w:val="single" w:sz="8" w:space="0" w:color="auto"/>
            </w:tcBorders>
            <w:vAlign w:val="center"/>
            <w:hideMark/>
          </w:tcPr>
          <w:p w14:paraId="387571C2"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910" w:type="dxa"/>
            <w:vMerge/>
            <w:tcBorders>
              <w:top w:val="single" w:sz="8" w:space="0" w:color="auto"/>
              <w:left w:val="single" w:sz="8" w:space="0" w:color="auto"/>
              <w:bottom w:val="single" w:sz="8" w:space="0" w:color="000000"/>
              <w:right w:val="single" w:sz="8" w:space="0" w:color="auto"/>
            </w:tcBorders>
            <w:vAlign w:val="center"/>
            <w:hideMark/>
          </w:tcPr>
          <w:p w14:paraId="0C9A0276"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B5D1A5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0DC7912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3C179AEC"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709F13D7"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3516A081" w14:textId="77777777" w:rsidTr="00E71EFA">
        <w:trPr>
          <w:divId w:val="119157600"/>
          <w:trHeight w:val="540"/>
        </w:trPr>
        <w:tc>
          <w:tcPr>
            <w:tcW w:w="1090" w:type="dxa"/>
            <w:tcBorders>
              <w:top w:val="nil"/>
              <w:left w:val="single" w:sz="8" w:space="0" w:color="auto"/>
              <w:bottom w:val="single" w:sz="8" w:space="0" w:color="auto"/>
              <w:right w:val="single" w:sz="8" w:space="0" w:color="auto"/>
            </w:tcBorders>
            <w:shd w:val="clear" w:color="auto" w:fill="auto"/>
            <w:noWrap/>
            <w:vAlign w:val="center"/>
            <w:hideMark/>
          </w:tcPr>
          <w:p w14:paraId="3C66C400"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4.1.1.</w:t>
            </w:r>
          </w:p>
        </w:tc>
        <w:tc>
          <w:tcPr>
            <w:tcW w:w="2910" w:type="dxa"/>
            <w:tcBorders>
              <w:top w:val="nil"/>
              <w:left w:val="nil"/>
              <w:bottom w:val="single" w:sz="8" w:space="0" w:color="auto"/>
              <w:right w:val="single" w:sz="8" w:space="0" w:color="auto"/>
            </w:tcBorders>
            <w:shd w:val="clear" w:color="auto" w:fill="auto"/>
            <w:vAlign w:val="center"/>
            <w:hideMark/>
          </w:tcPr>
          <w:p w14:paraId="4D7A08AB"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Impuestos sobre los ingresos, las utilidades y las ganancias de capital</w:t>
            </w:r>
          </w:p>
        </w:tc>
        <w:tc>
          <w:tcPr>
            <w:tcW w:w="500" w:type="dxa"/>
            <w:tcBorders>
              <w:top w:val="nil"/>
              <w:left w:val="nil"/>
              <w:bottom w:val="single" w:sz="8" w:space="0" w:color="auto"/>
              <w:right w:val="single" w:sz="8" w:space="0" w:color="auto"/>
            </w:tcBorders>
            <w:shd w:val="clear" w:color="auto" w:fill="auto"/>
            <w:noWrap/>
            <w:vAlign w:val="center"/>
            <w:hideMark/>
          </w:tcPr>
          <w:p w14:paraId="5DAB6BB3"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31</w:t>
            </w:r>
          </w:p>
        </w:tc>
        <w:tc>
          <w:tcPr>
            <w:tcW w:w="1586" w:type="dxa"/>
            <w:tcBorders>
              <w:top w:val="nil"/>
              <w:left w:val="nil"/>
              <w:bottom w:val="single" w:sz="8" w:space="0" w:color="auto"/>
              <w:right w:val="single" w:sz="8" w:space="0" w:color="auto"/>
            </w:tcBorders>
            <w:shd w:val="clear" w:color="auto" w:fill="auto"/>
            <w:noWrap/>
            <w:vAlign w:val="center"/>
            <w:hideMark/>
          </w:tcPr>
          <w:p w14:paraId="144F9B3B"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701" w:type="dxa"/>
            <w:tcBorders>
              <w:top w:val="nil"/>
              <w:left w:val="nil"/>
              <w:bottom w:val="single" w:sz="8" w:space="0" w:color="auto"/>
              <w:right w:val="single" w:sz="8" w:space="0" w:color="auto"/>
            </w:tcBorders>
            <w:shd w:val="clear" w:color="auto" w:fill="auto"/>
            <w:noWrap/>
            <w:vAlign w:val="center"/>
            <w:hideMark/>
          </w:tcPr>
          <w:p w14:paraId="4D02DACF"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01910FC5"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6BB94E56" w14:textId="77777777" w:rsidR="00694299" w:rsidRPr="00694299" w:rsidRDefault="00B67FFA"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NOTAS_POR_CUENTA!F230C8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05008E96" w14:textId="77777777" w:rsidR="00694299" w:rsidRPr="00694299" w:rsidRDefault="00694299" w:rsidP="00473A78">
      <w:pPr>
        <w:spacing w:line="240" w:lineRule="auto"/>
        <w:rPr>
          <w:rFonts w:eastAsia="Times New Roman" w:cs="Calibri"/>
          <w:color w:val="000000"/>
          <w:lang w:eastAsia="es-CR"/>
        </w:rPr>
      </w:pPr>
      <w:r w:rsidRPr="00694299">
        <w:rPr>
          <w:rFonts w:eastAsia="Times New Roman" w:cs="Calibri"/>
          <w:color w:val="000000"/>
          <w:lang w:eastAsia="es-CR"/>
        </w:rPr>
        <w:t>La cuenta Impuestos sobre los ingresos, las utilidades y las ganancias de capital, representa el 0,00% del total del Ingresos, que comparado al periodo anterior genera una variación absoluta de 0 000,00 que corresponde a un Aumento del 0,00% de recursos disponibles.</w:t>
      </w:r>
    </w:p>
    <w:p w14:paraId="57202375" w14:textId="6B69F432" w:rsidR="00692DC8" w:rsidRDefault="00B67FFA" w:rsidP="00473A78">
      <w:pPr>
        <w:spacing w:line="240" w:lineRule="auto"/>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2EC8523" w14:textId="77777777" w:rsidR="00473A78" w:rsidRDefault="00473A78" w:rsidP="00453773">
      <w:pPr>
        <w:spacing w:after="0" w:line="240" w:lineRule="auto"/>
      </w:pPr>
    </w:p>
    <w:p w14:paraId="7252C681" w14:textId="77777777" w:rsidR="00473A78" w:rsidRPr="00DE143D" w:rsidRDefault="00473A78" w:rsidP="00473A78">
      <w:pPr>
        <w:spacing w:line="240" w:lineRule="auto"/>
        <w:rPr>
          <w:rFonts w:eastAsiaTheme="minorEastAsia" w:cs="Arial Narrow"/>
          <w:color w:val="000000"/>
          <w:lang w:eastAsia="es-CR"/>
        </w:rPr>
      </w:pPr>
    </w:p>
    <w:p w14:paraId="06FD354C" w14:textId="77777777" w:rsidR="00692DC8" w:rsidRPr="00692DC8" w:rsidRDefault="00692DC8" w:rsidP="005C6064">
      <w:pPr>
        <w:pStyle w:val="Ttulo4"/>
        <w:spacing w:after="240"/>
        <w:rPr>
          <w:rFonts w:eastAsia="Times New Roman"/>
        </w:rPr>
      </w:pPr>
      <w:bookmarkStart w:id="595" w:name="_Toc14344763"/>
      <w:bookmarkStart w:id="596" w:name="_Toc33601256"/>
      <w:bookmarkStart w:id="597" w:name="_Toc82768973"/>
      <w:bookmarkStart w:id="598" w:name="_Toc173245264"/>
      <w:r w:rsidRPr="00692DC8">
        <w:rPr>
          <w:rFonts w:eastAsia="Times New Roman"/>
        </w:rPr>
        <w:t>NOTA N° 32</w:t>
      </w:r>
      <w:bookmarkEnd w:id="595"/>
      <w:bookmarkEnd w:id="596"/>
      <w:bookmarkEnd w:id="597"/>
      <w:bookmarkEnd w:id="598"/>
    </w:p>
    <w:p w14:paraId="0B2E781F" w14:textId="77777777" w:rsidR="00694299" w:rsidRDefault="00692DC8" w:rsidP="00453773">
      <w:pPr>
        <w:spacing w:before="120" w:after="0" w:line="240" w:lineRule="auto"/>
        <w:rPr>
          <w:rFonts w:asciiTheme="minorHAnsi" w:hAnsiTheme="minorHAnsi"/>
          <w:sz w:val="22"/>
        </w:rPr>
      </w:pPr>
      <w:bookmarkStart w:id="599" w:name="_Toc14344764"/>
      <w:bookmarkStart w:id="600" w:name="_Toc33601257"/>
      <w:bookmarkStart w:id="601" w:name="_Toc82768974"/>
      <w:r w:rsidRPr="00692DC8">
        <w:rPr>
          <w:rFonts w:eastAsia="Times New Roman"/>
        </w:rPr>
        <w:t>Impuestos sobre la propiedad</w:t>
      </w:r>
      <w:bookmarkEnd w:id="599"/>
      <w:bookmarkEnd w:id="600"/>
      <w:bookmarkEnd w:id="601"/>
      <w:r w:rsidR="00C3629E">
        <w:rPr>
          <w:rFonts w:eastAsiaTheme="majorEastAsia" w:cstheme="majorBidi"/>
          <w:iCs/>
          <w:lang w:val="es-ES"/>
        </w:rPr>
        <w:fldChar w:fldCharType="begin"/>
      </w:r>
      <w:r w:rsidR="00C3629E">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NOTAS_POR_CUENTA!F232C1:F234C6 </w:instrText>
      </w:r>
      <w:r w:rsidR="00C3629E">
        <w:rPr>
          <w:lang w:val="es-ES"/>
        </w:rPr>
        <w:instrText xml:space="preserve">\a \f 4 \h </w:instrText>
      </w:r>
      <w:r w:rsidR="00C3629E">
        <w:rPr>
          <w:b/>
          <w:lang w:val="es-ES"/>
        </w:rPr>
        <w:fldChar w:fldCharType="separate"/>
      </w:r>
    </w:p>
    <w:p w14:paraId="2BAD0119" w14:textId="07EF56A2" w:rsidR="00C572A3" w:rsidRDefault="00C3629E" w:rsidP="00453773">
      <w:pPr>
        <w:spacing w:before="120" w:after="0" w:line="240" w:lineRule="auto"/>
        <w:rPr>
          <w:rFonts w:asciiTheme="minorHAnsi" w:hAnsiTheme="minorHAnsi"/>
          <w:sz w:val="22"/>
        </w:rPr>
      </w:pPr>
      <w:r>
        <w:rPr>
          <w:b/>
          <w:bCs/>
          <w:lang w:val="es-ES"/>
        </w:rPr>
        <w:fldChar w:fldCharType="end"/>
      </w:r>
      <w:r w:rsidR="00E71EFA">
        <w:rPr>
          <w:b/>
          <w:bCs/>
          <w:lang w:val="es-ES"/>
        </w:rPr>
        <w:fldChar w:fldCharType="begin"/>
      </w:r>
      <w:r w:rsidR="00E71EFA">
        <w:rPr>
          <w:b/>
          <w:bCs/>
          <w:lang w:val="es-ES"/>
        </w:rPr>
        <w:instrText xml:space="preserve"> LINK </w:instrText>
      </w:r>
      <w:r w:rsidR="0068177A">
        <w:rPr>
          <w:b/>
          <w:bCs/>
          <w:lang w:val="es-ES"/>
        </w:rPr>
        <w:instrText xml:space="preserve">Excel.SheetMacroEnabled.12 "C:\\Users\\arges\\OneDrive\\Desktop\\Municipalidades\\Buenos Aires\\Cierre Junio 2024\\Notas Contables\\15603_T02_2024_Anexo_Estado_Notas_Contables_Vinculadas.xlsm" NOTAS_POR_CUENTA!R232C1:R234C6 </w:instrText>
      </w:r>
      <w:r w:rsidR="00E71EFA">
        <w:rPr>
          <w:b/>
          <w:bCs/>
          <w:lang w:val="es-ES"/>
        </w:rPr>
        <w:instrText xml:space="preserve">\a \f 4 \h </w:instrText>
      </w:r>
      <w:r w:rsidR="00E71EFA">
        <w:rPr>
          <w:b/>
          <w:bCs/>
          <w:lang w:val="es-ES"/>
        </w:rPr>
        <w:fldChar w:fldCharType="separate"/>
      </w:r>
    </w:p>
    <w:tbl>
      <w:tblPr>
        <w:tblW w:w="10080" w:type="dxa"/>
        <w:tblLook w:val="04A0" w:firstRow="1" w:lastRow="0" w:firstColumn="1" w:lastColumn="0" w:noHBand="0" w:noVBand="1"/>
      </w:tblPr>
      <w:tblGrid>
        <w:gridCol w:w="717"/>
        <w:gridCol w:w="3339"/>
        <w:gridCol w:w="544"/>
        <w:gridCol w:w="2200"/>
        <w:gridCol w:w="2200"/>
        <w:gridCol w:w="1080"/>
      </w:tblGrid>
      <w:tr w:rsidR="00C572A3" w:rsidRPr="00C572A3" w14:paraId="0DD8C7E2" w14:textId="77777777" w:rsidTr="00C572A3">
        <w:trPr>
          <w:divId w:val="439372702"/>
          <w:trHeight w:val="320"/>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D6C0DD8" w14:textId="697E41BE" w:rsidR="00C572A3" w:rsidRPr="00C572A3" w:rsidRDefault="00C572A3" w:rsidP="00C572A3">
            <w:pP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55BEBC3"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Descripción</w:t>
            </w:r>
          </w:p>
        </w:tc>
        <w:tc>
          <w:tcPr>
            <w:tcW w:w="5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2707EF1"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Nota</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0C2BAFD"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Actual </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98C7B23"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Anterior </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1D5CD80A"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Diferencia </w:t>
            </w:r>
          </w:p>
        </w:tc>
      </w:tr>
      <w:tr w:rsidR="00C572A3" w:rsidRPr="00C572A3" w14:paraId="7B073D2C" w14:textId="77777777" w:rsidTr="00C572A3">
        <w:trPr>
          <w:divId w:val="439372702"/>
          <w:trHeight w:val="320"/>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5078F12F"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4AC967DF"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14:paraId="2BA2C103"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1DD35241"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4F074A00"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1080" w:type="dxa"/>
            <w:tcBorders>
              <w:top w:val="nil"/>
              <w:left w:val="nil"/>
              <w:bottom w:val="single" w:sz="8" w:space="0" w:color="auto"/>
              <w:right w:val="single" w:sz="8" w:space="0" w:color="auto"/>
            </w:tcBorders>
            <w:shd w:val="clear" w:color="000000" w:fill="366092"/>
            <w:noWrap/>
            <w:vAlign w:val="center"/>
            <w:hideMark/>
          </w:tcPr>
          <w:p w14:paraId="65AEB94A" w14:textId="77777777" w:rsidR="00C572A3" w:rsidRPr="00C572A3" w:rsidRDefault="00C572A3" w:rsidP="00C572A3">
            <w:pPr>
              <w:spacing w:after="0" w:line="240" w:lineRule="auto"/>
              <w:jc w:val="center"/>
              <w:rPr>
                <w:rFonts w:eastAsia="Times New Roman" w:cs="Calibri"/>
                <w:color w:val="FFFFFF"/>
                <w:sz w:val="18"/>
                <w:szCs w:val="18"/>
                <w:lang w:val="en-US"/>
              </w:rPr>
            </w:pPr>
            <w:r w:rsidRPr="00C572A3">
              <w:rPr>
                <w:rFonts w:eastAsia="Times New Roman" w:cs="Calibri"/>
                <w:color w:val="FFFFFF"/>
                <w:sz w:val="18"/>
                <w:szCs w:val="18"/>
                <w:lang w:val="en-US"/>
              </w:rPr>
              <w:t>%</w:t>
            </w:r>
          </w:p>
        </w:tc>
      </w:tr>
      <w:tr w:rsidR="00C572A3" w:rsidRPr="00C572A3" w14:paraId="323B0C6C" w14:textId="77777777" w:rsidTr="00C572A3">
        <w:trPr>
          <w:divId w:val="439372702"/>
          <w:trHeight w:val="320"/>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5FC2B366" w14:textId="77777777" w:rsidR="00C572A3" w:rsidRPr="00C572A3" w:rsidRDefault="00C572A3" w:rsidP="00C572A3">
            <w:pPr>
              <w:spacing w:after="0" w:line="240" w:lineRule="auto"/>
              <w:jc w:val="left"/>
              <w:rPr>
                <w:rFonts w:eastAsia="Times New Roman" w:cs="Calibri"/>
                <w:b/>
                <w:bCs/>
                <w:color w:val="000000"/>
                <w:sz w:val="18"/>
                <w:szCs w:val="18"/>
                <w:lang w:val="en-US"/>
              </w:rPr>
            </w:pPr>
            <w:r w:rsidRPr="00C572A3">
              <w:rPr>
                <w:rFonts w:eastAsia="Times New Roman" w:cs="Calibri"/>
                <w:b/>
                <w:bCs/>
                <w:color w:val="000000"/>
                <w:sz w:val="18"/>
                <w:szCs w:val="18"/>
                <w:lang w:val="en-US"/>
              </w:rPr>
              <w:t>4.1.2.</w:t>
            </w:r>
          </w:p>
        </w:tc>
        <w:tc>
          <w:tcPr>
            <w:tcW w:w="3380" w:type="dxa"/>
            <w:tcBorders>
              <w:top w:val="nil"/>
              <w:left w:val="nil"/>
              <w:bottom w:val="single" w:sz="8" w:space="0" w:color="auto"/>
              <w:right w:val="single" w:sz="8" w:space="0" w:color="auto"/>
            </w:tcBorders>
            <w:shd w:val="clear" w:color="auto" w:fill="auto"/>
            <w:vAlign w:val="center"/>
            <w:hideMark/>
          </w:tcPr>
          <w:p w14:paraId="4B6937FB" w14:textId="77777777" w:rsidR="00C572A3" w:rsidRPr="00C572A3" w:rsidRDefault="00C572A3" w:rsidP="00C572A3">
            <w:pPr>
              <w:spacing w:after="0" w:line="240" w:lineRule="auto"/>
              <w:rPr>
                <w:rFonts w:eastAsia="Times New Roman" w:cs="Calibri"/>
                <w:b/>
                <w:bCs/>
                <w:color w:val="000000"/>
                <w:sz w:val="18"/>
                <w:szCs w:val="18"/>
                <w:lang w:val="en-US"/>
              </w:rPr>
            </w:pPr>
            <w:r w:rsidRPr="00C572A3">
              <w:rPr>
                <w:rFonts w:eastAsia="Times New Roman" w:cs="Calibri"/>
                <w:b/>
                <w:bCs/>
                <w:color w:val="000000"/>
                <w:sz w:val="18"/>
                <w:szCs w:val="18"/>
                <w:lang w:val="en-US"/>
              </w:rPr>
              <w:t>Impuestos sobre la propiedad</w:t>
            </w:r>
          </w:p>
        </w:tc>
        <w:tc>
          <w:tcPr>
            <w:tcW w:w="520" w:type="dxa"/>
            <w:tcBorders>
              <w:top w:val="nil"/>
              <w:left w:val="nil"/>
              <w:bottom w:val="single" w:sz="8" w:space="0" w:color="auto"/>
              <w:right w:val="single" w:sz="8" w:space="0" w:color="auto"/>
            </w:tcBorders>
            <w:shd w:val="clear" w:color="auto" w:fill="auto"/>
            <w:noWrap/>
            <w:vAlign w:val="center"/>
            <w:hideMark/>
          </w:tcPr>
          <w:p w14:paraId="1E956F8D"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32</w:t>
            </w:r>
          </w:p>
        </w:tc>
        <w:tc>
          <w:tcPr>
            <w:tcW w:w="2200" w:type="dxa"/>
            <w:tcBorders>
              <w:top w:val="nil"/>
              <w:left w:val="nil"/>
              <w:bottom w:val="single" w:sz="8" w:space="0" w:color="auto"/>
              <w:right w:val="single" w:sz="8" w:space="0" w:color="auto"/>
            </w:tcBorders>
            <w:shd w:val="clear" w:color="auto" w:fill="auto"/>
            <w:noWrap/>
            <w:vAlign w:val="center"/>
            <w:hideMark/>
          </w:tcPr>
          <w:p w14:paraId="65E5461E"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328 557,65 </w:t>
            </w:r>
          </w:p>
        </w:tc>
        <w:tc>
          <w:tcPr>
            <w:tcW w:w="2200" w:type="dxa"/>
            <w:tcBorders>
              <w:top w:val="nil"/>
              <w:left w:val="nil"/>
              <w:bottom w:val="single" w:sz="8" w:space="0" w:color="auto"/>
              <w:right w:val="single" w:sz="8" w:space="0" w:color="auto"/>
            </w:tcBorders>
            <w:shd w:val="clear" w:color="auto" w:fill="auto"/>
            <w:noWrap/>
            <w:vAlign w:val="center"/>
            <w:hideMark/>
          </w:tcPr>
          <w:p w14:paraId="27BFDB32"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385 026,36 </w:t>
            </w:r>
          </w:p>
        </w:tc>
        <w:tc>
          <w:tcPr>
            <w:tcW w:w="1080" w:type="dxa"/>
            <w:tcBorders>
              <w:top w:val="nil"/>
              <w:left w:val="nil"/>
              <w:bottom w:val="single" w:sz="8" w:space="0" w:color="auto"/>
              <w:right w:val="single" w:sz="8" w:space="0" w:color="auto"/>
            </w:tcBorders>
            <w:shd w:val="clear" w:color="auto" w:fill="auto"/>
            <w:noWrap/>
            <w:vAlign w:val="center"/>
            <w:hideMark/>
          </w:tcPr>
          <w:p w14:paraId="0648CF08"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-14,67%</w:t>
            </w:r>
          </w:p>
        </w:tc>
      </w:tr>
    </w:tbl>
    <w:p w14:paraId="06EB4C66" w14:textId="6170785D" w:rsidR="00BE2A90" w:rsidRDefault="00E71EFA" w:rsidP="00453773">
      <w:pPr>
        <w:spacing w:after="0" w:line="240" w:lineRule="auto"/>
        <w:rPr>
          <w:b/>
          <w:bCs/>
          <w:lang w:val="es-ES"/>
        </w:rPr>
      </w:pPr>
      <w:r>
        <w:rPr>
          <w:b/>
          <w:bCs/>
          <w:lang w:val="es-ES"/>
        </w:rPr>
        <w:fldChar w:fldCharType="end"/>
      </w:r>
    </w:p>
    <w:p w14:paraId="4078266C" w14:textId="77777777" w:rsidR="00453773" w:rsidRDefault="00692DC8" w:rsidP="00453773">
      <w:pPr>
        <w:spacing w:after="0" w:line="240" w:lineRule="auto"/>
        <w:rPr>
          <w:lang w:val="es-ES"/>
        </w:rPr>
      </w:pPr>
      <w:r w:rsidRPr="00692DC8">
        <w:rPr>
          <w:b/>
          <w:bCs/>
          <w:lang w:val="es-ES"/>
        </w:rPr>
        <w:t>Revelación</w:t>
      </w:r>
      <w:r w:rsidRPr="00692DC8">
        <w:rPr>
          <w:lang w:val="es-ES"/>
        </w:rPr>
        <w:t>:</w:t>
      </w:r>
    </w:p>
    <w:p w14:paraId="412CB952" w14:textId="3BDDA10C" w:rsidR="00694299" w:rsidRPr="00694299" w:rsidRDefault="00C3629E" w:rsidP="00453773">
      <w:pPr>
        <w:spacing w:after="0" w:line="240" w:lineRule="auto"/>
        <w:rPr>
          <w:b/>
          <w:bCs/>
          <w:lang w:val="es-ES"/>
        </w:rPr>
      </w:pP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NOTAS_POR_CUENTA!F234C8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5DCB11DF" w14:textId="22793172" w:rsidR="00694299" w:rsidRPr="00694299" w:rsidRDefault="00694299" w:rsidP="00473A78">
      <w:pPr>
        <w:spacing w:line="240" w:lineRule="auto"/>
        <w:rPr>
          <w:rFonts w:eastAsia="Times New Roman" w:cs="Calibri"/>
          <w:color w:val="000000"/>
          <w:lang w:eastAsia="es-CR"/>
        </w:rPr>
      </w:pPr>
      <w:r w:rsidRPr="00694299">
        <w:rPr>
          <w:rFonts w:eastAsia="Times New Roman" w:cs="Calibri"/>
          <w:color w:val="000000"/>
          <w:lang w:eastAsia="es-CR"/>
        </w:rPr>
        <w:t xml:space="preserve">La cuenta Impuestos sobre la propiedad, representa el </w:t>
      </w:r>
      <w:r w:rsidR="00473A78">
        <w:rPr>
          <w:rFonts w:eastAsia="Times New Roman" w:cs="Calibri"/>
          <w:color w:val="000000"/>
          <w:lang w:eastAsia="es-CR"/>
        </w:rPr>
        <w:t>7</w:t>
      </w:r>
      <w:r w:rsidRPr="00694299">
        <w:rPr>
          <w:rFonts w:eastAsia="Times New Roman" w:cs="Calibri"/>
          <w:color w:val="000000"/>
          <w:lang w:eastAsia="es-CR"/>
        </w:rPr>
        <w:t>,</w:t>
      </w:r>
      <w:r w:rsidR="00473A78">
        <w:rPr>
          <w:rFonts w:eastAsia="Times New Roman" w:cs="Calibri"/>
          <w:color w:val="000000"/>
          <w:lang w:eastAsia="es-CR"/>
        </w:rPr>
        <w:t>02</w:t>
      </w:r>
      <w:r w:rsidRPr="00694299">
        <w:rPr>
          <w:rFonts w:eastAsia="Times New Roman" w:cs="Calibri"/>
          <w:color w:val="000000"/>
          <w:lang w:eastAsia="es-CR"/>
        </w:rPr>
        <w:t xml:space="preserve">% del total del Ingresos, que comparado al periodo anterior genera una variación absoluta de </w:t>
      </w:r>
      <w:r w:rsidR="00473A78" w:rsidRPr="00473A78">
        <w:rPr>
          <w:rFonts w:eastAsia="Times New Roman" w:cs="Calibri"/>
          <w:color w:val="000000"/>
          <w:lang w:eastAsia="es-CR"/>
        </w:rPr>
        <w:t xml:space="preserve">-56 468,71 </w:t>
      </w:r>
      <w:r w:rsidRPr="00694299">
        <w:rPr>
          <w:rFonts w:eastAsia="Times New Roman" w:cs="Calibri"/>
          <w:color w:val="000000"/>
          <w:lang w:eastAsia="es-CR"/>
        </w:rPr>
        <w:t>que corresponde a un Disminución del -</w:t>
      </w:r>
      <w:r w:rsidR="00473A78">
        <w:rPr>
          <w:rFonts w:eastAsia="Times New Roman" w:cs="Calibri"/>
          <w:color w:val="000000"/>
          <w:lang w:eastAsia="es-CR"/>
        </w:rPr>
        <w:t>14</w:t>
      </w:r>
      <w:r w:rsidRPr="00694299">
        <w:rPr>
          <w:rFonts w:eastAsia="Times New Roman" w:cs="Calibri"/>
          <w:color w:val="000000"/>
          <w:lang w:eastAsia="es-CR"/>
        </w:rPr>
        <w:t>,</w:t>
      </w:r>
      <w:r w:rsidR="00473A78">
        <w:rPr>
          <w:rFonts w:eastAsia="Times New Roman" w:cs="Calibri"/>
          <w:color w:val="000000"/>
          <w:lang w:eastAsia="es-CR"/>
        </w:rPr>
        <w:t>6</w:t>
      </w:r>
      <w:r w:rsidRPr="00694299">
        <w:rPr>
          <w:rFonts w:eastAsia="Times New Roman" w:cs="Calibri"/>
          <w:color w:val="000000"/>
          <w:lang w:eastAsia="es-CR"/>
        </w:rPr>
        <w:t>7% de recursos disponibles.</w:t>
      </w:r>
    </w:p>
    <w:p w14:paraId="526E07E8" w14:textId="54B91561" w:rsidR="00692DC8" w:rsidRDefault="00C3629E" w:rsidP="00473A78">
      <w:pPr>
        <w:spacing w:line="240" w:lineRule="auto"/>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1A32DD2C" w14:textId="146F5F6C" w:rsidR="00BE2A90" w:rsidRPr="00F20DFB" w:rsidRDefault="00BE2A90" w:rsidP="00BE2A90">
      <w:pPr>
        <w:spacing w:after="0" w:line="240" w:lineRule="auto"/>
      </w:pPr>
      <w:bookmarkStart w:id="602" w:name="_Hlk149466101"/>
      <w:r w:rsidRPr="00F20DFB">
        <w:t xml:space="preserve">El saldo que presenta la cuenta de Impuestos sobre la propiedad corresponde a los montos puestos al cobro correspondientes al </w:t>
      </w:r>
      <w:r>
        <w:t>primer</w:t>
      </w:r>
      <w:r w:rsidRPr="00F20DFB">
        <w:t xml:space="preserve"> </w:t>
      </w:r>
      <w:r w:rsidR="00B27058">
        <w:t>semestre</w:t>
      </w:r>
      <w:r w:rsidRPr="00F20DFB">
        <w:t xml:space="preserve"> de </w:t>
      </w:r>
      <w:r>
        <w:t>2024</w:t>
      </w:r>
      <w:r w:rsidRPr="00F20DFB">
        <w:t xml:space="preserve"> que están pendientes de </w:t>
      </w:r>
      <w:r>
        <w:t>pagar</w:t>
      </w:r>
      <w:r w:rsidRPr="00F20DFB">
        <w:t xml:space="preserve"> por los contribuyentes afectos a este impuesto. Específicamente se trata del Impuesto sobre la propiedad de bienes inmuebles (IBI), que les corresponde pagar a propietarios de bienes muebles e inmuebles </w:t>
      </w:r>
      <w:r w:rsidRPr="00F20DFB">
        <w:rPr>
          <w:rFonts w:cs="Calibri"/>
          <w:color w:val="000000"/>
          <w:lang w:eastAsia="es-CR"/>
        </w:rPr>
        <w:t>en el Cantón</w:t>
      </w:r>
      <w:r w:rsidRPr="00F20DFB">
        <w:t xml:space="preserve">, según la Ley de Impuesto sobre Bienes Inmuebles, Ley Nro. 7509. </w:t>
      </w:r>
      <w:r w:rsidRPr="00F20DFB">
        <w:rPr>
          <w:rFonts w:cs="Calibri"/>
          <w:color w:val="000000"/>
          <w:lang w:eastAsia="es-CR"/>
        </w:rPr>
        <w:t>Al respecto, la variación</w:t>
      </w:r>
      <w:r>
        <w:rPr>
          <w:rFonts w:cs="Calibri"/>
          <w:color w:val="000000"/>
          <w:lang w:eastAsia="es-CR"/>
        </w:rPr>
        <w:t xml:space="preserve"> (disminución)</w:t>
      </w:r>
      <w:r w:rsidRPr="00F20DFB">
        <w:rPr>
          <w:rFonts w:cs="Calibri"/>
          <w:color w:val="000000"/>
          <w:lang w:eastAsia="es-CR"/>
        </w:rPr>
        <w:t xml:space="preserve"> </w:t>
      </w:r>
      <w:r>
        <w:rPr>
          <w:rFonts w:cs="Calibri"/>
          <w:color w:val="000000"/>
          <w:lang w:eastAsia="es-CR"/>
        </w:rPr>
        <w:t xml:space="preserve">de </w:t>
      </w:r>
      <w:r w:rsidRPr="0028132F">
        <w:rPr>
          <w:rFonts w:cs="Calibri"/>
          <w:color w:val="000000"/>
          <w:lang w:eastAsia="es-CR"/>
        </w:rPr>
        <w:t>-</w:t>
      </w:r>
      <w:r w:rsidRPr="0028132F">
        <w:rPr>
          <w:rFonts w:ascii="Arial" w:hAnsi="Arial" w:cs="Arial"/>
          <w:color w:val="000000"/>
          <w:lang w:eastAsia="es-CR"/>
        </w:rPr>
        <w:t>₡</w:t>
      </w:r>
      <w:r w:rsidRPr="0028132F">
        <w:rPr>
          <w:rFonts w:cs="Calibri"/>
          <w:color w:val="000000"/>
          <w:lang w:eastAsia="es-CR"/>
        </w:rPr>
        <w:t>5</w:t>
      </w:r>
      <w:r w:rsidR="00B27058">
        <w:rPr>
          <w:rFonts w:cs="Calibri"/>
          <w:color w:val="000000"/>
          <w:lang w:eastAsia="es-CR"/>
        </w:rPr>
        <w:t>6</w:t>
      </w:r>
      <w:r w:rsidRPr="0028132F">
        <w:rPr>
          <w:rFonts w:cs="Calibri"/>
          <w:color w:val="000000"/>
          <w:lang w:eastAsia="es-CR"/>
        </w:rPr>
        <w:t xml:space="preserve"> </w:t>
      </w:r>
      <w:r w:rsidR="00B27058">
        <w:rPr>
          <w:rFonts w:cs="Calibri"/>
          <w:color w:val="000000"/>
          <w:lang w:eastAsia="es-CR"/>
        </w:rPr>
        <w:t>46</w:t>
      </w:r>
      <w:r>
        <w:rPr>
          <w:rFonts w:cs="Calibri"/>
          <w:color w:val="000000"/>
          <w:lang w:eastAsia="es-CR"/>
        </w:rPr>
        <w:t>8</w:t>
      </w:r>
      <w:r w:rsidRPr="0028132F">
        <w:rPr>
          <w:rFonts w:cs="Calibri"/>
          <w:color w:val="000000"/>
          <w:lang w:eastAsia="es-CR"/>
        </w:rPr>
        <w:t>,</w:t>
      </w:r>
      <w:r w:rsidR="00B27058">
        <w:rPr>
          <w:rFonts w:cs="Calibri"/>
          <w:color w:val="000000"/>
          <w:lang w:eastAsia="es-CR"/>
        </w:rPr>
        <w:t>71</w:t>
      </w:r>
      <w:r>
        <w:rPr>
          <w:rFonts w:cs="Calibri"/>
          <w:color w:val="000000"/>
          <w:lang w:eastAsia="es-CR"/>
        </w:rPr>
        <w:t xml:space="preserve">, </w:t>
      </w:r>
      <w:r w:rsidRPr="00F20DFB">
        <w:rPr>
          <w:rFonts w:cs="Calibri"/>
          <w:color w:val="000000"/>
          <w:lang w:eastAsia="es-CR"/>
        </w:rPr>
        <w:t xml:space="preserve">se considera razonable debido a los ajustes que se realizan a las sumas </w:t>
      </w:r>
      <w:r>
        <w:rPr>
          <w:rFonts w:cs="Calibri"/>
          <w:color w:val="000000"/>
          <w:lang w:eastAsia="es-CR"/>
        </w:rPr>
        <w:t xml:space="preserve">puestas al cobro </w:t>
      </w:r>
      <w:r w:rsidRPr="00F20DFB">
        <w:rPr>
          <w:rFonts w:cs="Calibri"/>
          <w:color w:val="000000"/>
          <w:lang w:eastAsia="es-CR"/>
        </w:rPr>
        <w:t>de</w:t>
      </w:r>
      <w:r>
        <w:rPr>
          <w:rFonts w:cs="Calibri"/>
          <w:color w:val="000000"/>
          <w:lang w:eastAsia="es-CR"/>
        </w:rPr>
        <w:t>l</w:t>
      </w:r>
      <w:r w:rsidRPr="00F20DFB">
        <w:rPr>
          <w:rFonts w:cs="Calibri"/>
          <w:color w:val="000000"/>
          <w:lang w:eastAsia="es-CR"/>
        </w:rPr>
        <w:t xml:space="preserve"> impuesto por cobrar</w:t>
      </w:r>
      <w:r>
        <w:rPr>
          <w:rFonts w:cs="Calibri"/>
          <w:color w:val="000000"/>
          <w:lang w:eastAsia="es-CR"/>
        </w:rPr>
        <w:t xml:space="preserve"> por concepto de exoneraciones conforme la citada ley</w:t>
      </w:r>
      <w:r w:rsidRPr="00F20DFB">
        <w:rPr>
          <w:rFonts w:cs="Calibri"/>
          <w:color w:val="000000"/>
          <w:lang w:eastAsia="es-CR"/>
        </w:rPr>
        <w:t>.</w:t>
      </w:r>
    </w:p>
    <w:bookmarkEnd w:id="602"/>
    <w:p w14:paraId="4815A259" w14:textId="3C882DE1" w:rsidR="00BE2A90" w:rsidRPr="005C6064" w:rsidRDefault="00BE2A90" w:rsidP="00C3629E">
      <w:pPr>
        <w:rPr>
          <w:rFonts w:eastAsiaTheme="minorEastAsia" w:cs="Arial Narrow"/>
          <w:color w:val="000000"/>
          <w:lang w:eastAsia="es-CR"/>
        </w:rPr>
      </w:pPr>
      <w:r w:rsidRPr="00A91674">
        <w:t xml:space="preserve"> </w:t>
      </w:r>
    </w:p>
    <w:p w14:paraId="6232236D" w14:textId="77777777" w:rsidR="00692DC8" w:rsidRPr="00692DC8" w:rsidRDefault="00692DC8" w:rsidP="00DE6F38">
      <w:pPr>
        <w:pStyle w:val="Ttulo4"/>
        <w:spacing w:after="240"/>
        <w:rPr>
          <w:rFonts w:eastAsia="Times New Roman"/>
        </w:rPr>
      </w:pPr>
      <w:bookmarkStart w:id="603" w:name="_Toc14344771"/>
      <w:bookmarkStart w:id="604" w:name="_Toc33601258"/>
      <w:bookmarkStart w:id="605" w:name="_Toc82768975"/>
      <w:bookmarkStart w:id="606" w:name="_Toc173245265"/>
      <w:r w:rsidRPr="00692DC8">
        <w:rPr>
          <w:rFonts w:eastAsia="Times New Roman"/>
        </w:rPr>
        <w:t>NOTA N° 3</w:t>
      </w:r>
      <w:bookmarkEnd w:id="603"/>
      <w:r w:rsidRPr="00692DC8">
        <w:rPr>
          <w:rFonts w:eastAsia="Times New Roman"/>
        </w:rPr>
        <w:t>3</w:t>
      </w:r>
      <w:bookmarkEnd w:id="604"/>
      <w:bookmarkEnd w:id="605"/>
      <w:bookmarkEnd w:id="606"/>
    </w:p>
    <w:p w14:paraId="67DBD0AB" w14:textId="77777777" w:rsidR="00694299" w:rsidRDefault="00692DC8" w:rsidP="00180F18">
      <w:pPr>
        <w:spacing w:after="120" w:line="240" w:lineRule="auto"/>
        <w:rPr>
          <w:rFonts w:asciiTheme="minorHAnsi" w:hAnsiTheme="minorHAnsi"/>
          <w:sz w:val="22"/>
        </w:rPr>
      </w:pPr>
      <w:bookmarkStart w:id="607" w:name="_Toc14344772"/>
      <w:bookmarkStart w:id="608" w:name="_Toc33601259"/>
      <w:bookmarkStart w:id="609" w:name="_Toc82768976"/>
      <w:r w:rsidRPr="00692DC8">
        <w:rPr>
          <w:rFonts w:eastAsia="Times New Roman"/>
        </w:rPr>
        <w:t>Impuestos sobre bienes y servicios</w:t>
      </w:r>
      <w:bookmarkStart w:id="610" w:name="_Toc14344776"/>
      <w:bookmarkEnd w:id="607"/>
      <w:bookmarkEnd w:id="608"/>
      <w:bookmarkEnd w:id="609"/>
      <w:r w:rsidR="00521099">
        <w:rPr>
          <w:rFonts w:eastAsia="Times New Roman" w:cstheme="majorBidi"/>
          <w:iCs/>
          <w:lang w:val="es-ES" w:eastAsia="es-CR"/>
        </w:rPr>
        <w:fldChar w:fldCharType="begin"/>
      </w:r>
      <w:r w:rsidR="00521099">
        <w:rPr>
          <w:rFonts w:eastAsia="Times New Roman"/>
          <w:lang w:val="es-ES" w:eastAsia="es-CR"/>
        </w:rPr>
        <w:instrText xml:space="preserve"> LINK </w:instrText>
      </w:r>
      <w:r w:rsidR="00323752">
        <w:rPr>
          <w:rFonts w:eastAsia="Times New Roman"/>
          <w:lang w:val="es-ES" w:eastAsia="es-CR"/>
        </w:rPr>
        <w:instrText xml:space="preserve">Excel.SheetMacroEnabled.12 "D:\\MORAVIA\\INSUMOS\\NOTAS 2024\\Formato_Notas_EEFF_Vinculadas_2024\\XXXXX_PXX_202X_Anexo_Estado_Notas_Contables_Vinculadas.xlsm" NOTAS_POR_CUENTA!F236C1:F238C6 </w:instrText>
      </w:r>
      <w:r w:rsidR="00521099">
        <w:rPr>
          <w:rFonts w:eastAsia="Times New Roman"/>
          <w:lang w:val="es-ES" w:eastAsia="es-CR"/>
        </w:rPr>
        <w:instrText xml:space="preserve">\a \f 4 \h </w:instrText>
      </w:r>
      <w:r w:rsidR="00521099">
        <w:rPr>
          <w:rFonts w:eastAsia="Times New Roman"/>
          <w:b/>
          <w:lang w:val="es-ES" w:eastAsia="es-CR"/>
        </w:rPr>
        <w:fldChar w:fldCharType="separate"/>
      </w:r>
    </w:p>
    <w:p w14:paraId="1BA7C9DB" w14:textId="1E07D737" w:rsidR="00C572A3" w:rsidRDefault="00521099" w:rsidP="00694299">
      <w:pPr>
        <w:spacing w:before="240"/>
        <w:rPr>
          <w:rFonts w:asciiTheme="minorHAnsi" w:hAnsiTheme="minorHAnsi"/>
          <w:sz w:val="22"/>
        </w:rPr>
      </w:pPr>
      <w:r>
        <w:rPr>
          <w:rFonts w:eastAsia="Times New Roman"/>
          <w:b/>
          <w:bCs/>
          <w:sz w:val="22"/>
          <w:lang w:val="es-ES" w:eastAsia="es-CR"/>
        </w:rPr>
        <w:fldChar w:fldCharType="end"/>
      </w:r>
      <w:r w:rsidR="00180F18">
        <w:rPr>
          <w:rFonts w:eastAsia="Times New Roman"/>
          <w:b/>
          <w:bCs/>
          <w:sz w:val="22"/>
          <w:lang w:val="es-ES" w:eastAsia="es-CR"/>
        </w:rPr>
        <w:fldChar w:fldCharType="begin"/>
      </w:r>
      <w:r w:rsidR="00180F18">
        <w:rPr>
          <w:rFonts w:eastAsia="Times New Roman"/>
          <w:b/>
          <w:bCs/>
          <w:sz w:val="22"/>
          <w:lang w:val="es-ES" w:eastAsia="es-CR"/>
        </w:rPr>
        <w:instrText xml:space="preserve"> LINK </w:instrText>
      </w:r>
      <w:r w:rsidR="0068177A">
        <w:rPr>
          <w:rFonts w:eastAsia="Times New Roman"/>
          <w:b/>
          <w:bCs/>
          <w:sz w:val="22"/>
          <w:lang w:val="es-ES" w:eastAsia="es-CR"/>
        </w:rPr>
        <w:instrText xml:space="preserve">Excel.SheetMacroEnabled.12 "C:\\Users\\arges\\OneDrive\\Desktop\\Municipalidades\\Buenos Aires\\Cierre Junio 2024\\Notas Contables\\15603_T02_2024_Anexo_Estado_Notas_Contables_Vinculadas.xlsm" NOTAS_POR_CUENTA!R236C1:R238C6 </w:instrText>
      </w:r>
      <w:r w:rsidR="00180F18">
        <w:rPr>
          <w:rFonts w:eastAsia="Times New Roman"/>
          <w:b/>
          <w:bCs/>
          <w:sz w:val="22"/>
          <w:lang w:val="es-ES" w:eastAsia="es-CR"/>
        </w:rPr>
        <w:instrText xml:space="preserve">\a \f 4 \h </w:instrText>
      </w:r>
      <w:r w:rsidR="00180F18">
        <w:rPr>
          <w:rFonts w:eastAsia="Times New Roman"/>
          <w:b/>
          <w:bCs/>
          <w:sz w:val="22"/>
          <w:lang w:val="es-ES" w:eastAsia="es-CR"/>
        </w:rPr>
        <w:fldChar w:fldCharType="separate"/>
      </w:r>
    </w:p>
    <w:tbl>
      <w:tblPr>
        <w:tblW w:w="10080" w:type="dxa"/>
        <w:tblLook w:val="04A0" w:firstRow="1" w:lastRow="0" w:firstColumn="1" w:lastColumn="0" w:noHBand="0" w:noVBand="1"/>
      </w:tblPr>
      <w:tblGrid>
        <w:gridCol w:w="717"/>
        <w:gridCol w:w="3339"/>
        <w:gridCol w:w="544"/>
        <w:gridCol w:w="2200"/>
        <w:gridCol w:w="2200"/>
        <w:gridCol w:w="1080"/>
      </w:tblGrid>
      <w:tr w:rsidR="00C572A3" w:rsidRPr="00C572A3" w14:paraId="43643DD6" w14:textId="77777777" w:rsidTr="00C572A3">
        <w:trPr>
          <w:divId w:val="1518157562"/>
          <w:trHeight w:val="320"/>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FE6BB1A" w14:textId="05D01AFB" w:rsidR="00C572A3" w:rsidRPr="00C572A3" w:rsidRDefault="00C572A3" w:rsidP="00C572A3">
            <w:pP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1A47BA3"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Descripción</w:t>
            </w:r>
          </w:p>
        </w:tc>
        <w:tc>
          <w:tcPr>
            <w:tcW w:w="5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E27CF9E"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Nota</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854AB1B"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Actual </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334E1F6"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Anterior </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1ECD41DB"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Diferencia </w:t>
            </w:r>
          </w:p>
        </w:tc>
      </w:tr>
      <w:tr w:rsidR="00C572A3" w:rsidRPr="00C572A3" w14:paraId="2562A068" w14:textId="77777777" w:rsidTr="00C572A3">
        <w:trPr>
          <w:divId w:val="1518157562"/>
          <w:trHeight w:val="320"/>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77A50BF6"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11C8D8AD"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14:paraId="612D2582"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1C04E311"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0287B9CD"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1080" w:type="dxa"/>
            <w:tcBorders>
              <w:top w:val="nil"/>
              <w:left w:val="nil"/>
              <w:bottom w:val="single" w:sz="8" w:space="0" w:color="auto"/>
              <w:right w:val="single" w:sz="8" w:space="0" w:color="auto"/>
            </w:tcBorders>
            <w:shd w:val="clear" w:color="000000" w:fill="366092"/>
            <w:noWrap/>
            <w:vAlign w:val="center"/>
            <w:hideMark/>
          </w:tcPr>
          <w:p w14:paraId="2BEFB0E9" w14:textId="77777777" w:rsidR="00C572A3" w:rsidRPr="00C572A3" w:rsidRDefault="00C572A3" w:rsidP="00C572A3">
            <w:pPr>
              <w:spacing w:after="0" w:line="240" w:lineRule="auto"/>
              <w:jc w:val="center"/>
              <w:rPr>
                <w:rFonts w:eastAsia="Times New Roman" w:cs="Calibri"/>
                <w:color w:val="FFFFFF"/>
                <w:sz w:val="18"/>
                <w:szCs w:val="18"/>
                <w:lang w:val="en-US"/>
              </w:rPr>
            </w:pPr>
            <w:r w:rsidRPr="00C572A3">
              <w:rPr>
                <w:rFonts w:eastAsia="Times New Roman" w:cs="Calibri"/>
                <w:color w:val="FFFFFF"/>
                <w:sz w:val="18"/>
                <w:szCs w:val="18"/>
                <w:lang w:val="en-US"/>
              </w:rPr>
              <w:t>%</w:t>
            </w:r>
          </w:p>
        </w:tc>
      </w:tr>
      <w:tr w:rsidR="00C572A3" w:rsidRPr="00C572A3" w14:paraId="0034A79C" w14:textId="77777777" w:rsidTr="00C572A3">
        <w:trPr>
          <w:divId w:val="1518157562"/>
          <w:trHeight w:val="320"/>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53B08461" w14:textId="77777777" w:rsidR="00C572A3" w:rsidRPr="00C572A3" w:rsidRDefault="00C572A3" w:rsidP="00C572A3">
            <w:pPr>
              <w:spacing w:after="0" w:line="240" w:lineRule="auto"/>
              <w:jc w:val="left"/>
              <w:rPr>
                <w:rFonts w:eastAsia="Times New Roman" w:cs="Calibri"/>
                <w:b/>
                <w:bCs/>
                <w:color w:val="000000"/>
                <w:sz w:val="18"/>
                <w:szCs w:val="18"/>
                <w:lang w:val="en-US"/>
              </w:rPr>
            </w:pPr>
            <w:r w:rsidRPr="00C572A3">
              <w:rPr>
                <w:rFonts w:eastAsia="Times New Roman" w:cs="Calibri"/>
                <w:b/>
                <w:bCs/>
                <w:color w:val="000000"/>
                <w:sz w:val="18"/>
                <w:szCs w:val="18"/>
                <w:lang w:val="en-US"/>
              </w:rPr>
              <w:t>4.1.3.</w:t>
            </w:r>
          </w:p>
        </w:tc>
        <w:tc>
          <w:tcPr>
            <w:tcW w:w="3380" w:type="dxa"/>
            <w:tcBorders>
              <w:top w:val="nil"/>
              <w:left w:val="nil"/>
              <w:bottom w:val="single" w:sz="8" w:space="0" w:color="auto"/>
              <w:right w:val="single" w:sz="8" w:space="0" w:color="auto"/>
            </w:tcBorders>
            <w:shd w:val="clear" w:color="auto" w:fill="auto"/>
            <w:vAlign w:val="center"/>
            <w:hideMark/>
          </w:tcPr>
          <w:p w14:paraId="35D36BD5" w14:textId="77777777" w:rsidR="00C572A3" w:rsidRPr="00C572A3" w:rsidRDefault="00C572A3" w:rsidP="00C572A3">
            <w:pPr>
              <w:spacing w:after="0" w:line="240" w:lineRule="auto"/>
              <w:rPr>
                <w:rFonts w:eastAsia="Times New Roman" w:cs="Calibri"/>
                <w:b/>
                <w:bCs/>
                <w:color w:val="000000"/>
                <w:sz w:val="18"/>
                <w:szCs w:val="18"/>
              </w:rPr>
            </w:pPr>
            <w:r w:rsidRPr="00C572A3">
              <w:rPr>
                <w:rFonts w:eastAsia="Times New Roman" w:cs="Calibri"/>
                <w:b/>
                <w:bCs/>
                <w:color w:val="000000"/>
                <w:sz w:val="18"/>
                <w:szCs w:val="18"/>
              </w:rPr>
              <w:t>Impuestos sobre bienes y servicios</w:t>
            </w:r>
          </w:p>
        </w:tc>
        <w:tc>
          <w:tcPr>
            <w:tcW w:w="520" w:type="dxa"/>
            <w:tcBorders>
              <w:top w:val="nil"/>
              <w:left w:val="nil"/>
              <w:bottom w:val="single" w:sz="8" w:space="0" w:color="auto"/>
              <w:right w:val="single" w:sz="8" w:space="0" w:color="auto"/>
            </w:tcBorders>
            <w:shd w:val="clear" w:color="auto" w:fill="auto"/>
            <w:noWrap/>
            <w:vAlign w:val="center"/>
            <w:hideMark/>
          </w:tcPr>
          <w:p w14:paraId="0ADCA81E"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33</w:t>
            </w:r>
          </w:p>
        </w:tc>
        <w:tc>
          <w:tcPr>
            <w:tcW w:w="2200" w:type="dxa"/>
            <w:tcBorders>
              <w:top w:val="nil"/>
              <w:left w:val="nil"/>
              <w:bottom w:val="single" w:sz="8" w:space="0" w:color="auto"/>
              <w:right w:val="single" w:sz="8" w:space="0" w:color="auto"/>
            </w:tcBorders>
            <w:shd w:val="clear" w:color="auto" w:fill="auto"/>
            <w:noWrap/>
            <w:vAlign w:val="center"/>
            <w:hideMark/>
          </w:tcPr>
          <w:p w14:paraId="4E2A434A"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190 892,85 </w:t>
            </w:r>
          </w:p>
        </w:tc>
        <w:tc>
          <w:tcPr>
            <w:tcW w:w="2200" w:type="dxa"/>
            <w:tcBorders>
              <w:top w:val="nil"/>
              <w:left w:val="nil"/>
              <w:bottom w:val="single" w:sz="8" w:space="0" w:color="auto"/>
              <w:right w:val="single" w:sz="8" w:space="0" w:color="auto"/>
            </w:tcBorders>
            <w:shd w:val="clear" w:color="auto" w:fill="auto"/>
            <w:noWrap/>
            <w:vAlign w:val="center"/>
            <w:hideMark/>
          </w:tcPr>
          <w:p w14:paraId="46645728"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182 289,08 </w:t>
            </w:r>
          </w:p>
        </w:tc>
        <w:tc>
          <w:tcPr>
            <w:tcW w:w="1080" w:type="dxa"/>
            <w:tcBorders>
              <w:top w:val="nil"/>
              <w:left w:val="nil"/>
              <w:bottom w:val="single" w:sz="8" w:space="0" w:color="auto"/>
              <w:right w:val="single" w:sz="8" w:space="0" w:color="auto"/>
            </w:tcBorders>
            <w:shd w:val="clear" w:color="auto" w:fill="auto"/>
            <w:noWrap/>
            <w:vAlign w:val="center"/>
            <w:hideMark/>
          </w:tcPr>
          <w:p w14:paraId="12707B3E"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4,72%</w:t>
            </w:r>
          </w:p>
        </w:tc>
      </w:tr>
    </w:tbl>
    <w:p w14:paraId="778B1454" w14:textId="6DD784D2" w:rsidR="00694299" w:rsidRPr="00694299" w:rsidRDefault="00180F18" w:rsidP="00694299">
      <w:pPr>
        <w:spacing w:before="240"/>
        <w:rPr>
          <w:rFonts w:eastAsia="Times New Roman"/>
          <w:b/>
          <w:bCs/>
          <w:sz w:val="22"/>
          <w:lang w:val="es-ES" w:eastAsia="es-CR"/>
        </w:rPr>
      </w:pPr>
      <w:r>
        <w:rPr>
          <w:rFonts w:eastAsia="Times New Roman"/>
          <w:b/>
          <w:bCs/>
          <w:sz w:val="22"/>
          <w:lang w:val="es-ES" w:eastAsia="es-CR"/>
        </w:rPr>
        <w:fldChar w:fldCharType="end"/>
      </w:r>
      <w:r w:rsidR="00692DC8" w:rsidRPr="00692DC8">
        <w:rPr>
          <w:rFonts w:eastAsia="Times New Roman"/>
          <w:b/>
          <w:bCs/>
          <w:sz w:val="22"/>
          <w:lang w:val="es-ES" w:eastAsia="es-CR"/>
        </w:rPr>
        <w:t>Revelación</w:t>
      </w:r>
      <w:r w:rsidR="00692DC8" w:rsidRPr="00692DC8">
        <w:rPr>
          <w:rFonts w:eastAsia="Times New Roman"/>
          <w:sz w:val="22"/>
          <w:lang w:val="es-ES" w:eastAsia="es-CR"/>
        </w:rPr>
        <w:t xml:space="preserve">: </w:t>
      </w:r>
      <w:r w:rsidR="00521099">
        <w:rPr>
          <w:rFonts w:eastAsia="Times New Roman" w:cs="Calibri"/>
          <w:color w:val="000000"/>
          <w:lang w:eastAsia="es-CR"/>
        </w:rPr>
        <w:fldChar w:fldCharType="begin"/>
      </w:r>
      <w:r w:rsidR="00521099">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NOTAS_POR_CUENTA!F238C8 </w:instrText>
      </w:r>
      <w:r w:rsidR="00521099">
        <w:rPr>
          <w:rFonts w:eastAsia="Times New Roman" w:cs="Calibri"/>
          <w:color w:val="000000"/>
          <w:lang w:eastAsia="es-CR"/>
        </w:rPr>
        <w:instrText xml:space="preserve">\a \f 5 \h  \* MERGEFORMAT </w:instrText>
      </w:r>
      <w:r w:rsidR="00521099">
        <w:rPr>
          <w:rFonts w:eastAsia="Times New Roman" w:cs="Calibri"/>
          <w:color w:val="000000"/>
          <w:lang w:eastAsia="es-CR"/>
        </w:rPr>
        <w:fldChar w:fldCharType="separate"/>
      </w:r>
    </w:p>
    <w:p w14:paraId="59930AC0" w14:textId="27BB0415" w:rsidR="00694299" w:rsidRPr="00694299" w:rsidRDefault="00694299" w:rsidP="002F52C1">
      <w:pPr>
        <w:spacing w:line="240" w:lineRule="auto"/>
        <w:rPr>
          <w:rFonts w:eastAsia="Times New Roman" w:cs="Calibri"/>
          <w:color w:val="000000"/>
          <w:lang w:eastAsia="es-CR"/>
        </w:rPr>
      </w:pPr>
      <w:r w:rsidRPr="00694299">
        <w:rPr>
          <w:rFonts w:eastAsia="Times New Roman" w:cs="Calibri"/>
          <w:color w:val="000000"/>
          <w:lang w:eastAsia="es-CR"/>
        </w:rPr>
        <w:t xml:space="preserve">La cuenta Impuestos sobre bienes y servicios, representa el </w:t>
      </w:r>
      <w:r w:rsidR="002F52C1">
        <w:rPr>
          <w:rFonts w:eastAsia="Times New Roman" w:cs="Calibri"/>
          <w:color w:val="000000"/>
          <w:lang w:eastAsia="es-CR"/>
        </w:rPr>
        <w:t>4</w:t>
      </w:r>
      <w:r w:rsidRPr="00694299">
        <w:rPr>
          <w:rFonts w:eastAsia="Times New Roman" w:cs="Calibri"/>
          <w:color w:val="000000"/>
          <w:lang w:eastAsia="es-CR"/>
        </w:rPr>
        <w:t>,</w:t>
      </w:r>
      <w:r w:rsidR="002F52C1">
        <w:rPr>
          <w:rFonts w:eastAsia="Times New Roman" w:cs="Calibri"/>
          <w:color w:val="000000"/>
          <w:lang w:eastAsia="es-CR"/>
        </w:rPr>
        <w:t>08</w:t>
      </w:r>
      <w:r w:rsidRPr="00694299">
        <w:rPr>
          <w:rFonts w:eastAsia="Times New Roman" w:cs="Calibri"/>
          <w:color w:val="000000"/>
          <w:lang w:eastAsia="es-CR"/>
        </w:rPr>
        <w:t xml:space="preserve">% del total del Ingresos, que comparado al periodo anterior genera una variación absoluta de </w:t>
      </w:r>
      <w:r w:rsidR="002F52C1" w:rsidRPr="002F52C1">
        <w:rPr>
          <w:rFonts w:eastAsia="Times New Roman" w:cs="Calibri"/>
          <w:color w:val="000000"/>
          <w:lang w:eastAsia="es-CR"/>
        </w:rPr>
        <w:t>8 603,77</w:t>
      </w:r>
      <w:r w:rsidRPr="00694299">
        <w:rPr>
          <w:rFonts w:eastAsia="Times New Roman" w:cs="Calibri"/>
          <w:color w:val="000000"/>
          <w:lang w:eastAsia="es-CR"/>
        </w:rPr>
        <w:t xml:space="preserve"> que corresponde a un Aumento del </w:t>
      </w:r>
      <w:r w:rsidR="002F52C1">
        <w:rPr>
          <w:rFonts w:eastAsia="Times New Roman" w:cs="Calibri"/>
          <w:color w:val="000000"/>
          <w:lang w:eastAsia="es-CR"/>
        </w:rPr>
        <w:t>4</w:t>
      </w:r>
      <w:r w:rsidRPr="00694299">
        <w:rPr>
          <w:rFonts w:eastAsia="Times New Roman" w:cs="Calibri"/>
          <w:color w:val="000000"/>
          <w:lang w:eastAsia="es-CR"/>
        </w:rPr>
        <w:t>,</w:t>
      </w:r>
      <w:r w:rsidR="002F52C1">
        <w:rPr>
          <w:rFonts w:eastAsia="Times New Roman" w:cs="Calibri"/>
          <w:color w:val="000000"/>
          <w:lang w:eastAsia="es-CR"/>
        </w:rPr>
        <w:t>72</w:t>
      </w:r>
      <w:r w:rsidRPr="00694299">
        <w:rPr>
          <w:rFonts w:eastAsia="Times New Roman" w:cs="Calibri"/>
          <w:color w:val="000000"/>
          <w:lang w:eastAsia="es-CR"/>
        </w:rPr>
        <w:t>% de recursos disponibles.</w:t>
      </w:r>
    </w:p>
    <w:p w14:paraId="485C9EA7" w14:textId="17F9F71B" w:rsidR="00692DC8" w:rsidRPr="00692DC8" w:rsidRDefault="00521099" w:rsidP="00521099">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447B2F5" w14:textId="13B56EDA" w:rsidR="00BE2A90" w:rsidRDefault="00BE2A90" w:rsidP="00BE2A90">
      <w:pPr>
        <w:spacing w:after="0" w:line="240" w:lineRule="auto"/>
        <w:rPr>
          <w:rFonts w:cs="Calibri"/>
          <w:color w:val="000000"/>
          <w:lang w:eastAsia="es-CR"/>
        </w:rPr>
      </w:pPr>
      <w:r w:rsidRPr="00993FE0">
        <w:rPr>
          <w:rFonts w:cs="Calibri"/>
          <w:color w:val="000000"/>
          <w:lang w:eastAsia="es-CR"/>
        </w:rPr>
        <w:t>Como se puede observar en el siguiente cuadro la variación (</w:t>
      </w:r>
      <w:r>
        <w:rPr>
          <w:rFonts w:cs="Calibri"/>
          <w:color w:val="000000"/>
          <w:lang w:eastAsia="es-CR"/>
        </w:rPr>
        <w:t>aumento</w:t>
      </w:r>
      <w:r w:rsidRPr="00993FE0">
        <w:rPr>
          <w:rFonts w:cs="Calibri"/>
          <w:color w:val="000000"/>
          <w:lang w:eastAsia="es-CR"/>
        </w:rPr>
        <w:t>)</w:t>
      </w:r>
      <w:r>
        <w:rPr>
          <w:rFonts w:cs="Calibri"/>
          <w:color w:val="000000"/>
          <w:lang w:eastAsia="es-CR"/>
        </w:rPr>
        <w:t xml:space="preserve"> de </w:t>
      </w:r>
      <w:r w:rsidRPr="002F1780">
        <w:rPr>
          <w:rFonts w:ascii="Arial" w:hAnsi="Arial" w:cs="Arial"/>
          <w:color w:val="000000"/>
          <w:lang w:eastAsia="es-CR"/>
        </w:rPr>
        <w:t>₡</w:t>
      </w:r>
      <w:r w:rsidR="00B27058">
        <w:rPr>
          <w:rFonts w:cs="Calibri"/>
          <w:color w:val="000000"/>
          <w:lang w:eastAsia="es-CR"/>
        </w:rPr>
        <w:t>8 603,77</w:t>
      </w:r>
      <w:r w:rsidRPr="002F1780">
        <w:rPr>
          <w:rFonts w:cs="Calibri"/>
          <w:color w:val="000000"/>
          <w:lang w:eastAsia="es-CR"/>
        </w:rPr>
        <w:t xml:space="preserve"> </w:t>
      </w:r>
      <w:r>
        <w:rPr>
          <w:rFonts w:cs="Calibri"/>
          <w:color w:val="000000"/>
          <w:lang w:eastAsia="es-CR"/>
        </w:rPr>
        <w:t>miles</w:t>
      </w:r>
      <w:r w:rsidRPr="00993FE0">
        <w:rPr>
          <w:rFonts w:cs="Calibri"/>
          <w:color w:val="000000"/>
          <w:lang w:eastAsia="es-CR"/>
        </w:rPr>
        <w:t xml:space="preserve"> </w:t>
      </w:r>
      <w:r>
        <w:rPr>
          <w:rFonts w:cs="Calibri"/>
          <w:color w:val="000000"/>
          <w:lang w:eastAsia="es-CR"/>
        </w:rPr>
        <w:t xml:space="preserve">entre </w:t>
      </w:r>
      <w:r w:rsidR="0096573A">
        <w:rPr>
          <w:rFonts w:cs="Calibri"/>
          <w:color w:val="000000"/>
          <w:lang w:eastAsia="es-CR"/>
        </w:rPr>
        <w:t>junio</w:t>
      </w:r>
      <w:r w:rsidRPr="00993FE0">
        <w:rPr>
          <w:rFonts w:cs="Calibri"/>
          <w:color w:val="000000"/>
          <w:lang w:eastAsia="es-CR"/>
        </w:rPr>
        <w:t xml:space="preserve"> de </w:t>
      </w:r>
      <w:r>
        <w:rPr>
          <w:rFonts w:cs="Calibri"/>
          <w:color w:val="000000"/>
          <w:lang w:eastAsia="es-CR"/>
        </w:rPr>
        <w:t xml:space="preserve">2024 y </w:t>
      </w:r>
      <w:r w:rsidR="0096573A">
        <w:rPr>
          <w:rFonts w:cs="Calibri"/>
          <w:color w:val="000000"/>
          <w:lang w:eastAsia="es-CR"/>
        </w:rPr>
        <w:t>junio</w:t>
      </w:r>
      <w:r>
        <w:rPr>
          <w:rFonts w:cs="Calibri"/>
          <w:color w:val="000000"/>
          <w:lang w:eastAsia="es-CR"/>
        </w:rPr>
        <w:t xml:space="preserve"> de 2023</w:t>
      </w:r>
      <w:r w:rsidRPr="00993FE0">
        <w:rPr>
          <w:rFonts w:cs="Calibri"/>
          <w:color w:val="000000"/>
          <w:lang w:eastAsia="es-CR"/>
        </w:rPr>
        <w:t xml:space="preserve"> en la cuenta Impuestos sobre bienes y servicios, se debe</w:t>
      </w:r>
      <w:r>
        <w:rPr>
          <w:rFonts w:cs="Calibri"/>
          <w:color w:val="000000"/>
          <w:lang w:eastAsia="es-CR"/>
        </w:rPr>
        <w:t xml:space="preserve"> principalmente por</w:t>
      </w:r>
      <w:r w:rsidRPr="00993FE0">
        <w:rPr>
          <w:rFonts w:cs="Calibri"/>
          <w:color w:val="000000"/>
          <w:lang w:eastAsia="es-CR"/>
        </w:rPr>
        <w:t xml:space="preserve"> </w:t>
      </w:r>
      <w:r>
        <w:rPr>
          <w:rFonts w:cs="Calibri"/>
          <w:color w:val="000000"/>
          <w:lang w:eastAsia="es-CR"/>
        </w:rPr>
        <w:t xml:space="preserve">el aumento </w:t>
      </w:r>
      <w:r w:rsidRPr="00993FE0">
        <w:rPr>
          <w:rFonts w:cs="Calibri"/>
          <w:color w:val="000000"/>
          <w:lang w:eastAsia="es-CR"/>
        </w:rPr>
        <w:t xml:space="preserve">de </w:t>
      </w:r>
      <w:r w:rsidRPr="00135712">
        <w:rPr>
          <w:rFonts w:ascii="Arial" w:hAnsi="Arial" w:cs="Arial"/>
          <w:color w:val="000000"/>
          <w:lang w:eastAsia="es-CR"/>
        </w:rPr>
        <w:t>₡</w:t>
      </w:r>
      <w:r w:rsidR="00B27058">
        <w:rPr>
          <w:rFonts w:cs="Calibri"/>
          <w:color w:val="000000"/>
          <w:lang w:eastAsia="es-CR"/>
        </w:rPr>
        <w:t>7</w:t>
      </w:r>
      <w:r w:rsidRPr="002F1780">
        <w:rPr>
          <w:rFonts w:cs="Calibri"/>
          <w:color w:val="000000"/>
          <w:lang w:eastAsia="es-CR"/>
        </w:rPr>
        <w:t xml:space="preserve"> </w:t>
      </w:r>
      <w:r w:rsidR="00B27058">
        <w:rPr>
          <w:rFonts w:cs="Calibri"/>
          <w:color w:val="000000"/>
          <w:lang w:eastAsia="es-CR"/>
        </w:rPr>
        <w:t>2</w:t>
      </w:r>
      <w:r w:rsidR="00CC7BEB">
        <w:rPr>
          <w:rFonts w:cs="Calibri"/>
          <w:color w:val="000000"/>
          <w:lang w:eastAsia="es-CR"/>
        </w:rPr>
        <w:t>4</w:t>
      </w:r>
      <w:r w:rsidR="00B27058">
        <w:rPr>
          <w:rFonts w:cs="Calibri"/>
          <w:color w:val="000000"/>
          <w:lang w:eastAsia="es-CR"/>
        </w:rPr>
        <w:t>8</w:t>
      </w:r>
      <w:r w:rsidRPr="002F1780">
        <w:rPr>
          <w:rFonts w:cs="Calibri"/>
          <w:color w:val="000000"/>
          <w:lang w:eastAsia="es-CR"/>
        </w:rPr>
        <w:t>,</w:t>
      </w:r>
      <w:r w:rsidR="00B27058">
        <w:rPr>
          <w:rFonts w:cs="Calibri"/>
          <w:color w:val="000000"/>
          <w:lang w:eastAsia="es-CR"/>
        </w:rPr>
        <w:t>39</w:t>
      </w:r>
      <w:r w:rsidRPr="002F1780">
        <w:rPr>
          <w:rFonts w:cs="Calibri"/>
          <w:color w:val="000000"/>
          <w:lang w:eastAsia="es-CR"/>
        </w:rPr>
        <w:t xml:space="preserve"> </w:t>
      </w:r>
      <w:r w:rsidRPr="00993FE0">
        <w:rPr>
          <w:rFonts w:cs="Calibri"/>
          <w:color w:val="000000"/>
          <w:lang w:eastAsia="es-CR"/>
        </w:rPr>
        <w:t xml:space="preserve">miles en la cuenta Impuestos </w:t>
      </w:r>
      <w:r w:rsidRPr="00D67DF5">
        <w:rPr>
          <w:rFonts w:cs="Calibri"/>
          <w:color w:val="000000"/>
          <w:lang w:eastAsia="es-CR"/>
        </w:rPr>
        <w:t>generales y selectivos sobre ventas y consumo</w:t>
      </w:r>
      <w:r>
        <w:rPr>
          <w:rFonts w:cs="Calibri"/>
          <w:color w:val="000000"/>
          <w:lang w:eastAsia="es-CR"/>
        </w:rPr>
        <w:t xml:space="preserve">; </w:t>
      </w:r>
      <w:r w:rsidR="00CC7BEB">
        <w:rPr>
          <w:rFonts w:cs="Calibri"/>
          <w:color w:val="000000"/>
          <w:lang w:eastAsia="es-CR"/>
        </w:rPr>
        <w:t xml:space="preserve">el </w:t>
      </w:r>
      <w:r w:rsidR="00B27058">
        <w:rPr>
          <w:rFonts w:cs="Calibri"/>
          <w:color w:val="000000"/>
          <w:lang w:eastAsia="es-CR"/>
        </w:rPr>
        <w:t>aumento</w:t>
      </w:r>
      <w:r w:rsidR="00CC7BEB">
        <w:rPr>
          <w:rFonts w:cs="Calibri"/>
          <w:color w:val="000000"/>
          <w:lang w:eastAsia="es-CR"/>
        </w:rPr>
        <w:t xml:space="preserve"> </w:t>
      </w:r>
      <w:r>
        <w:rPr>
          <w:rFonts w:cs="Calibri"/>
          <w:color w:val="000000"/>
          <w:lang w:eastAsia="es-CR"/>
        </w:rPr>
        <w:t xml:space="preserve">de </w:t>
      </w:r>
      <w:r w:rsidRPr="00CC7BEB">
        <w:rPr>
          <w:rFonts w:ascii="Arial" w:hAnsi="Arial" w:cs="Arial"/>
          <w:color w:val="000000"/>
          <w:lang w:eastAsia="es-CR"/>
        </w:rPr>
        <w:t>₡</w:t>
      </w:r>
      <w:r w:rsidR="00CC7BEB" w:rsidRPr="00CC7BEB">
        <w:rPr>
          <w:rFonts w:cs="Calibri"/>
          <w:color w:val="000000"/>
          <w:lang w:eastAsia="es-CR"/>
        </w:rPr>
        <w:t>8</w:t>
      </w:r>
      <w:r w:rsidR="00B27058">
        <w:rPr>
          <w:rFonts w:cs="Calibri"/>
          <w:color w:val="000000"/>
          <w:lang w:eastAsia="es-CR"/>
        </w:rPr>
        <w:t>55</w:t>
      </w:r>
      <w:r w:rsidR="00CC7BEB" w:rsidRPr="00CC7BEB">
        <w:rPr>
          <w:rFonts w:cs="Calibri"/>
          <w:color w:val="000000"/>
          <w:lang w:eastAsia="es-CR"/>
        </w:rPr>
        <w:t>,</w:t>
      </w:r>
      <w:r w:rsidR="00B27058">
        <w:rPr>
          <w:rFonts w:cs="Calibri"/>
          <w:color w:val="000000"/>
          <w:lang w:eastAsia="es-CR"/>
        </w:rPr>
        <w:t>3</w:t>
      </w:r>
      <w:r w:rsidR="00CC7BEB" w:rsidRPr="00CC7BEB">
        <w:rPr>
          <w:rFonts w:cs="Calibri"/>
          <w:color w:val="000000"/>
          <w:lang w:eastAsia="es-CR"/>
        </w:rPr>
        <w:t>9</w:t>
      </w:r>
      <w:r w:rsidRPr="002F1780">
        <w:rPr>
          <w:rFonts w:cs="Calibri"/>
          <w:color w:val="000000"/>
          <w:lang w:eastAsia="es-CR"/>
        </w:rPr>
        <w:t xml:space="preserve"> </w:t>
      </w:r>
      <w:r w:rsidRPr="00D67DF5">
        <w:rPr>
          <w:rFonts w:cs="Calibri"/>
          <w:color w:val="000000"/>
          <w:lang w:eastAsia="es-CR"/>
        </w:rPr>
        <w:t>miles</w:t>
      </w:r>
      <w:r>
        <w:rPr>
          <w:rFonts w:cs="Calibri"/>
          <w:color w:val="000000"/>
          <w:lang w:eastAsia="es-CR"/>
        </w:rPr>
        <w:t xml:space="preserve"> en la cuenta </w:t>
      </w:r>
      <w:r w:rsidRPr="00D67DF5">
        <w:rPr>
          <w:rFonts w:cs="Calibri"/>
          <w:color w:val="000000"/>
          <w:lang w:eastAsia="es-CR"/>
        </w:rPr>
        <w:t>Impuestos específicos sobre la producción y consumo de bienes y servicios</w:t>
      </w:r>
      <w:r>
        <w:rPr>
          <w:rFonts w:cs="Calibri"/>
          <w:color w:val="000000"/>
          <w:lang w:eastAsia="es-CR"/>
        </w:rPr>
        <w:t xml:space="preserve">; y </w:t>
      </w:r>
      <w:r w:rsidR="00CC7BEB">
        <w:rPr>
          <w:rFonts w:cs="Calibri"/>
          <w:color w:val="000000"/>
          <w:lang w:eastAsia="es-CR"/>
        </w:rPr>
        <w:t xml:space="preserve">el aumento </w:t>
      </w:r>
      <w:r>
        <w:rPr>
          <w:rFonts w:cs="Calibri"/>
          <w:color w:val="000000"/>
          <w:lang w:eastAsia="es-CR"/>
        </w:rPr>
        <w:t xml:space="preserve">de </w:t>
      </w:r>
      <w:r w:rsidRPr="002F1780">
        <w:rPr>
          <w:rFonts w:ascii="Arial" w:hAnsi="Arial" w:cs="Arial"/>
          <w:color w:val="000000"/>
          <w:lang w:eastAsia="es-CR"/>
        </w:rPr>
        <w:t>₡</w:t>
      </w:r>
      <w:r w:rsidRPr="002F1780">
        <w:rPr>
          <w:rFonts w:cs="Calibri"/>
          <w:color w:val="000000"/>
          <w:lang w:eastAsia="es-CR"/>
        </w:rPr>
        <w:t>5</w:t>
      </w:r>
      <w:r w:rsidR="00B27058">
        <w:rPr>
          <w:rFonts w:cs="Calibri"/>
          <w:color w:val="000000"/>
          <w:lang w:eastAsia="es-CR"/>
        </w:rPr>
        <w:t>0</w:t>
      </w:r>
      <w:r w:rsidRPr="002F1780">
        <w:rPr>
          <w:rFonts w:cs="Calibri"/>
          <w:color w:val="000000"/>
          <w:lang w:eastAsia="es-CR"/>
        </w:rPr>
        <w:t>0,00</w:t>
      </w:r>
      <w:r>
        <w:rPr>
          <w:rFonts w:cs="Calibri"/>
          <w:color w:val="000000"/>
          <w:lang w:eastAsia="es-CR"/>
        </w:rPr>
        <w:t xml:space="preserve"> en la cuenta de </w:t>
      </w:r>
      <w:r w:rsidRPr="002F1780">
        <w:rPr>
          <w:rFonts w:cs="Calibri"/>
          <w:color w:val="000000"/>
          <w:lang w:eastAsia="es-CR"/>
        </w:rPr>
        <w:t>Otros impuestos sobre bienes y servicios</w:t>
      </w:r>
      <w:r w:rsidRPr="00993FE0">
        <w:rPr>
          <w:rFonts w:cs="Calibri"/>
          <w:color w:val="000000"/>
          <w:lang w:eastAsia="es-CR"/>
        </w:rPr>
        <w:t>.</w:t>
      </w:r>
      <w:r w:rsidR="00CC7BEB">
        <w:rPr>
          <w:rFonts w:cs="Calibri"/>
          <w:color w:val="000000"/>
          <w:lang w:eastAsia="es-CR"/>
        </w:rPr>
        <w:t xml:space="preserve"> Como se aprecia en el siguiente detalle</w:t>
      </w:r>
      <w:r w:rsidRPr="00440846">
        <w:rPr>
          <w:rFonts w:cs="Calibri"/>
          <w:color w:val="000000"/>
          <w:lang w:eastAsia="es-CR"/>
        </w:rPr>
        <w:t>:</w:t>
      </w:r>
    </w:p>
    <w:p w14:paraId="2A559CD7" w14:textId="5ACA25D0" w:rsidR="00692DC8" w:rsidRDefault="00692DC8" w:rsidP="00BE2A90">
      <w:pPr>
        <w:spacing w:after="0" w:line="240" w:lineRule="auto"/>
        <w:rPr>
          <w:szCs w:val="24"/>
        </w:rPr>
      </w:pPr>
    </w:p>
    <w:tbl>
      <w:tblPr>
        <w:tblW w:w="8779" w:type="dxa"/>
        <w:tblLook w:val="04A0" w:firstRow="1" w:lastRow="0" w:firstColumn="1" w:lastColumn="0" w:noHBand="0" w:noVBand="1"/>
      </w:tblPr>
      <w:tblGrid>
        <w:gridCol w:w="809"/>
        <w:gridCol w:w="3684"/>
        <w:gridCol w:w="1134"/>
        <w:gridCol w:w="1134"/>
        <w:gridCol w:w="1009"/>
        <w:gridCol w:w="1009"/>
      </w:tblGrid>
      <w:tr w:rsidR="00B27058" w:rsidRPr="00B27058" w14:paraId="3518DB1D" w14:textId="77777777" w:rsidTr="00B27058">
        <w:trPr>
          <w:trHeight w:val="530"/>
        </w:trPr>
        <w:tc>
          <w:tcPr>
            <w:tcW w:w="809" w:type="dxa"/>
            <w:tcBorders>
              <w:top w:val="single" w:sz="8" w:space="0" w:color="auto"/>
              <w:left w:val="single" w:sz="8" w:space="0" w:color="auto"/>
              <w:bottom w:val="single" w:sz="8" w:space="0" w:color="auto"/>
              <w:right w:val="single" w:sz="8" w:space="0" w:color="auto"/>
            </w:tcBorders>
            <w:shd w:val="clear" w:color="000000" w:fill="203764"/>
            <w:vAlign w:val="center"/>
            <w:hideMark/>
          </w:tcPr>
          <w:p w14:paraId="02E9205C" w14:textId="77777777" w:rsidR="00B27058" w:rsidRPr="00B27058" w:rsidRDefault="00B27058" w:rsidP="00B27058">
            <w:pPr>
              <w:spacing w:after="0" w:line="240" w:lineRule="auto"/>
              <w:jc w:val="center"/>
              <w:rPr>
                <w:rFonts w:eastAsia="Times New Roman" w:cs="Calibri"/>
                <w:b/>
                <w:bCs/>
                <w:color w:val="FFFFFF"/>
                <w:sz w:val="20"/>
                <w:szCs w:val="20"/>
                <w:lang w:val="en-US"/>
              </w:rPr>
            </w:pPr>
            <w:r w:rsidRPr="00B27058">
              <w:rPr>
                <w:rFonts w:eastAsia="Times New Roman" w:cs="Calibri"/>
                <w:b/>
                <w:bCs/>
                <w:color w:val="FFFFFF"/>
                <w:sz w:val="20"/>
                <w:szCs w:val="20"/>
                <w:lang w:val="en-US"/>
              </w:rPr>
              <w:t>Cuenta</w:t>
            </w:r>
          </w:p>
        </w:tc>
        <w:tc>
          <w:tcPr>
            <w:tcW w:w="3859" w:type="dxa"/>
            <w:tcBorders>
              <w:top w:val="single" w:sz="8" w:space="0" w:color="auto"/>
              <w:left w:val="nil"/>
              <w:bottom w:val="single" w:sz="8" w:space="0" w:color="auto"/>
              <w:right w:val="single" w:sz="8" w:space="0" w:color="auto"/>
            </w:tcBorders>
            <w:shd w:val="clear" w:color="000000" w:fill="203764"/>
            <w:vAlign w:val="center"/>
            <w:hideMark/>
          </w:tcPr>
          <w:p w14:paraId="448B116F" w14:textId="77777777" w:rsidR="00B27058" w:rsidRPr="00B27058" w:rsidRDefault="00B27058" w:rsidP="00B27058">
            <w:pPr>
              <w:spacing w:after="0" w:line="240" w:lineRule="auto"/>
              <w:jc w:val="center"/>
              <w:rPr>
                <w:rFonts w:eastAsia="Times New Roman" w:cs="Calibri"/>
                <w:b/>
                <w:bCs/>
                <w:color w:val="FFFFFF"/>
                <w:sz w:val="20"/>
                <w:szCs w:val="20"/>
                <w:lang w:val="en-US"/>
              </w:rPr>
            </w:pPr>
            <w:r w:rsidRPr="00B27058">
              <w:rPr>
                <w:rFonts w:eastAsia="Times New Roman" w:cs="Calibri"/>
                <w:b/>
                <w:bCs/>
                <w:color w:val="FFFFFF"/>
                <w:sz w:val="20"/>
                <w:szCs w:val="20"/>
                <w:lang w:val="en-US"/>
              </w:rPr>
              <w:t>Descripción</w:t>
            </w:r>
          </w:p>
        </w:tc>
        <w:tc>
          <w:tcPr>
            <w:tcW w:w="1134" w:type="dxa"/>
            <w:tcBorders>
              <w:top w:val="single" w:sz="8" w:space="0" w:color="auto"/>
              <w:left w:val="nil"/>
              <w:bottom w:val="single" w:sz="8" w:space="0" w:color="auto"/>
              <w:right w:val="single" w:sz="8" w:space="0" w:color="auto"/>
            </w:tcBorders>
            <w:shd w:val="clear" w:color="000000" w:fill="203764"/>
            <w:vAlign w:val="center"/>
            <w:hideMark/>
          </w:tcPr>
          <w:p w14:paraId="2628A905" w14:textId="77777777" w:rsidR="00B27058" w:rsidRPr="00B27058" w:rsidRDefault="00B27058" w:rsidP="00B27058">
            <w:pPr>
              <w:spacing w:after="0" w:line="240" w:lineRule="auto"/>
              <w:jc w:val="center"/>
              <w:rPr>
                <w:rFonts w:eastAsia="Times New Roman" w:cs="Calibri"/>
                <w:b/>
                <w:bCs/>
                <w:color w:val="FFFFFF"/>
                <w:sz w:val="20"/>
                <w:szCs w:val="20"/>
                <w:lang w:val="en-US"/>
              </w:rPr>
            </w:pPr>
            <w:r w:rsidRPr="00B27058">
              <w:rPr>
                <w:rFonts w:eastAsia="Times New Roman" w:cs="Calibri"/>
                <w:b/>
                <w:bCs/>
                <w:color w:val="FFFFFF"/>
                <w:sz w:val="20"/>
                <w:szCs w:val="20"/>
                <w:lang w:val="en-US"/>
              </w:rPr>
              <w:t>Periodo Actual</w:t>
            </w:r>
          </w:p>
        </w:tc>
        <w:tc>
          <w:tcPr>
            <w:tcW w:w="1134" w:type="dxa"/>
            <w:tcBorders>
              <w:top w:val="single" w:sz="8" w:space="0" w:color="auto"/>
              <w:left w:val="nil"/>
              <w:bottom w:val="single" w:sz="8" w:space="0" w:color="auto"/>
              <w:right w:val="single" w:sz="8" w:space="0" w:color="auto"/>
            </w:tcBorders>
            <w:shd w:val="clear" w:color="000000" w:fill="203764"/>
            <w:vAlign w:val="center"/>
            <w:hideMark/>
          </w:tcPr>
          <w:p w14:paraId="00E8D932" w14:textId="77777777" w:rsidR="00B27058" w:rsidRPr="00B27058" w:rsidRDefault="00B27058" w:rsidP="00B27058">
            <w:pPr>
              <w:spacing w:after="0" w:line="240" w:lineRule="auto"/>
              <w:jc w:val="center"/>
              <w:rPr>
                <w:rFonts w:eastAsia="Times New Roman" w:cs="Calibri"/>
                <w:b/>
                <w:bCs/>
                <w:color w:val="FFFFFF"/>
                <w:sz w:val="20"/>
                <w:szCs w:val="20"/>
                <w:lang w:val="en-US"/>
              </w:rPr>
            </w:pPr>
            <w:r w:rsidRPr="00B27058">
              <w:rPr>
                <w:rFonts w:eastAsia="Times New Roman" w:cs="Calibri"/>
                <w:b/>
                <w:bCs/>
                <w:color w:val="FFFFFF"/>
                <w:sz w:val="20"/>
                <w:szCs w:val="20"/>
                <w:lang w:val="en-US"/>
              </w:rPr>
              <w:t>Periodo Anterior</w:t>
            </w:r>
          </w:p>
        </w:tc>
        <w:tc>
          <w:tcPr>
            <w:tcW w:w="1009" w:type="dxa"/>
            <w:tcBorders>
              <w:top w:val="single" w:sz="8" w:space="0" w:color="auto"/>
              <w:left w:val="nil"/>
              <w:bottom w:val="single" w:sz="8" w:space="0" w:color="auto"/>
              <w:right w:val="single" w:sz="8" w:space="0" w:color="auto"/>
            </w:tcBorders>
            <w:shd w:val="clear" w:color="000000" w:fill="203764"/>
            <w:vAlign w:val="center"/>
            <w:hideMark/>
          </w:tcPr>
          <w:p w14:paraId="7FE1055D" w14:textId="77777777" w:rsidR="00B27058" w:rsidRPr="00B27058" w:rsidRDefault="00B27058" w:rsidP="00B27058">
            <w:pPr>
              <w:spacing w:after="0" w:line="240" w:lineRule="auto"/>
              <w:jc w:val="center"/>
              <w:rPr>
                <w:rFonts w:eastAsia="Times New Roman" w:cs="Calibri"/>
                <w:b/>
                <w:bCs/>
                <w:color w:val="FFFFFF"/>
                <w:sz w:val="20"/>
                <w:szCs w:val="20"/>
                <w:lang w:val="en-US"/>
              </w:rPr>
            </w:pPr>
            <w:r w:rsidRPr="00B27058">
              <w:rPr>
                <w:rFonts w:eastAsia="Times New Roman" w:cs="Calibri"/>
                <w:b/>
                <w:bCs/>
                <w:color w:val="FFFFFF"/>
                <w:sz w:val="20"/>
                <w:szCs w:val="20"/>
                <w:lang w:val="en-US"/>
              </w:rPr>
              <w:t>Diferencia Absoluta</w:t>
            </w:r>
          </w:p>
        </w:tc>
        <w:tc>
          <w:tcPr>
            <w:tcW w:w="834" w:type="dxa"/>
            <w:tcBorders>
              <w:top w:val="single" w:sz="8" w:space="0" w:color="auto"/>
              <w:left w:val="nil"/>
              <w:bottom w:val="single" w:sz="8" w:space="0" w:color="auto"/>
              <w:right w:val="single" w:sz="8" w:space="0" w:color="auto"/>
            </w:tcBorders>
            <w:shd w:val="clear" w:color="000000" w:fill="203764"/>
            <w:vAlign w:val="center"/>
            <w:hideMark/>
          </w:tcPr>
          <w:p w14:paraId="7697B572" w14:textId="77777777" w:rsidR="00B27058" w:rsidRPr="00B27058" w:rsidRDefault="00B27058" w:rsidP="00B27058">
            <w:pPr>
              <w:spacing w:after="0" w:line="240" w:lineRule="auto"/>
              <w:jc w:val="center"/>
              <w:rPr>
                <w:rFonts w:eastAsia="Times New Roman" w:cs="Calibri"/>
                <w:b/>
                <w:bCs/>
                <w:color w:val="FFFFFF"/>
                <w:sz w:val="20"/>
                <w:szCs w:val="20"/>
                <w:lang w:val="en-US"/>
              </w:rPr>
            </w:pPr>
            <w:r w:rsidRPr="00B27058">
              <w:rPr>
                <w:rFonts w:eastAsia="Times New Roman" w:cs="Calibri"/>
                <w:b/>
                <w:bCs/>
                <w:color w:val="FFFFFF"/>
                <w:sz w:val="20"/>
                <w:szCs w:val="20"/>
                <w:lang w:val="en-US"/>
              </w:rPr>
              <w:t>Diferencia %</w:t>
            </w:r>
          </w:p>
        </w:tc>
      </w:tr>
      <w:tr w:rsidR="00B27058" w:rsidRPr="00B27058" w14:paraId="1242221D" w14:textId="77777777" w:rsidTr="00B27058">
        <w:trPr>
          <w:trHeight w:val="520"/>
        </w:trPr>
        <w:tc>
          <w:tcPr>
            <w:tcW w:w="809" w:type="dxa"/>
            <w:tcBorders>
              <w:top w:val="nil"/>
              <w:left w:val="single" w:sz="8" w:space="0" w:color="auto"/>
              <w:bottom w:val="nil"/>
              <w:right w:val="single" w:sz="8" w:space="0" w:color="auto"/>
            </w:tcBorders>
            <w:shd w:val="clear" w:color="auto" w:fill="auto"/>
            <w:noWrap/>
            <w:vAlign w:val="center"/>
            <w:hideMark/>
          </w:tcPr>
          <w:p w14:paraId="159AB563" w14:textId="77777777" w:rsidR="00B27058" w:rsidRPr="00B27058" w:rsidRDefault="00B27058" w:rsidP="00B27058">
            <w:pPr>
              <w:spacing w:after="0" w:line="240" w:lineRule="auto"/>
              <w:rPr>
                <w:rFonts w:eastAsia="Times New Roman" w:cs="Calibri"/>
                <w:color w:val="000000"/>
                <w:sz w:val="20"/>
                <w:szCs w:val="20"/>
                <w:lang w:val="en-US"/>
              </w:rPr>
            </w:pPr>
            <w:r w:rsidRPr="00B27058">
              <w:rPr>
                <w:rFonts w:eastAsia="Times New Roman" w:cs="Calibri"/>
                <w:color w:val="000000"/>
                <w:sz w:val="20"/>
                <w:szCs w:val="20"/>
                <w:lang w:val="en-US"/>
              </w:rPr>
              <w:t>4.1.3.01</w:t>
            </w:r>
          </w:p>
        </w:tc>
        <w:tc>
          <w:tcPr>
            <w:tcW w:w="3859" w:type="dxa"/>
            <w:tcBorders>
              <w:top w:val="nil"/>
              <w:left w:val="nil"/>
              <w:bottom w:val="nil"/>
              <w:right w:val="single" w:sz="8" w:space="0" w:color="auto"/>
            </w:tcBorders>
            <w:shd w:val="clear" w:color="auto" w:fill="auto"/>
            <w:vAlign w:val="center"/>
            <w:hideMark/>
          </w:tcPr>
          <w:p w14:paraId="6B2D663D" w14:textId="77777777" w:rsidR="00B27058" w:rsidRPr="00B27058" w:rsidRDefault="00B27058" w:rsidP="00B27058">
            <w:pPr>
              <w:spacing w:after="0" w:line="240" w:lineRule="auto"/>
              <w:rPr>
                <w:rFonts w:eastAsia="Times New Roman" w:cs="Calibri"/>
                <w:color w:val="000000"/>
                <w:sz w:val="20"/>
                <w:szCs w:val="20"/>
              </w:rPr>
            </w:pPr>
            <w:r w:rsidRPr="00B27058">
              <w:rPr>
                <w:rFonts w:eastAsia="Times New Roman" w:cs="Calibri"/>
                <w:color w:val="000000"/>
                <w:sz w:val="20"/>
                <w:szCs w:val="20"/>
              </w:rPr>
              <w:t>Impuestos generales y selectivos sobre ventas y consumo</w:t>
            </w:r>
          </w:p>
        </w:tc>
        <w:tc>
          <w:tcPr>
            <w:tcW w:w="1134" w:type="dxa"/>
            <w:tcBorders>
              <w:top w:val="nil"/>
              <w:left w:val="nil"/>
              <w:bottom w:val="nil"/>
              <w:right w:val="single" w:sz="8" w:space="0" w:color="auto"/>
            </w:tcBorders>
            <w:shd w:val="clear" w:color="auto" w:fill="auto"/>
            <w:noWrap/>
            <w:vAlign w:val="center"/>
            <w:hideMark/>
          </w:tcPr>
          <w:p w14:paraId="47B812BE" w14:textId="77777777" w:rsidR="00B27058" w:rsidRPr="00B27058" w:rsidRDefault="00B27058" w:rsidP="00B27058">
            <w:pPr>
              <w:spacing w:after="0" w:line="240" w:lineRule="auto"/>
              <w:jc w:val="right"/>
              <w:rPr>
                <w:rFonts w:eastAsia="Times New Roman" w:cs="Calibri"/>
                <w:color w:val="000000"/>
                <w:sz w:val="18"/>
                <w:szCs w:val="18"/>
                <w:lang w:val="en-US"/>
              </w:rPr>
            </w:pPr>
            <w:r w:rsidRPr="00B27058">
              <w:rPr>
                <w:rFonts w:ascii="Arial" w:eastAsia="Times New Roman" w:hAnsi="Arial" w:cs="Arial"/>
                <w:color w:val="000000"/>
                <w:sz w:val="18"/>
                <w:szCs w:val="18"/>
                <w:lang w:val="en-US"/>
              </w:rPr>
              <w:t>₡</w:t>
            </w:r>
            <w:r w:rsidRPr="00B27058">
              <w:rPr>
                <w:rFonts w:eastAsia="Times New Roman" w:cs="Calibri"/>
                <w:color w:val="000000"/>
                <w:sz w:val="18"/>
                <w:szCs w:val="18"/>
                <w:lang w:val="en-US"/>
              </w:rPr>
              <w:t>159 424,71</w:t>
            </w:r>
          </w:p>
        </w:tc>
        <w:tc>
          <w:tcPr>
            <w:tcW w:w="1134" w:type="dxa"/>
            <w:tcBorders>
              <w:top w:val="nil"/>
              <w:left w:val="nil"/>
              <w:bottom w:val="nil"/>
              <w:right w:val="single" w:sz="8" w:space="0" w:color="auto"/>
            </w:tcBorders>
            <w:shd w:val="clear" w:color="auto" w:fill="auto"/>
            <w:noWrap/>
            <w:vAlign w:val="center"/>
            <w:hideMark/>
          </w:tcPr>
          <w:p w14:paraId="7BB3E21B" w14:textId="77777777" w:rsidR="00B27058" w:rsidRPr="00B27058" w:rsidRDefault="00B27058" w:rsidP="00B27058">
            <w:pPr>
              <w:spacing w:after="0" w:line="240" w:lineRule="auto"/>
              <w:jc w:val="right"/>
              <w:rPr>
                <w:rFonts w:eastAsia="Times New Roman" w:cs="Calibri"/>
                <w:color w:val="000000"/>
                <w:sz w:val="18"/>
                <w:szCs w:val="18"/>
                <w:lang w:val="en-US"/>
              </w:rPr>
            </w:pPr>
            <w:r w:rsidRPr="00B27058">
              <w:rPr>
                <w:rFonts w:ascii="Arial" w:eastAsia="Times New Roman" w:hAnsi="Arial" w:cs="Arial"/>
                <w:color w:val="000000"/>
                <w:sz w:val="18"/>
                <w:szCs w:val="18"/>
                <w:lang w:val="en-US"/>
              </w:rPr>
              <w:t>₡</w:t>
            </w:r>
            <w:r w:rsidRPr="00B27058">
              <w:rPr>
                <w:rFonts w:eastAsia="Times New Roman" w:cs="Calibri"/>
                <w:color w:val="000000"/>
                <w:sz w:val="18"/>
                <w:szCs w:val="18"/>
                <w:lang w:val="en-US"/>
              </w:rPr>
              <w:t>152 176,32</w:t>
            </w:r>
          </w:p>
        </w:tc>
        <w:tc>
          <w:tcPr>
            <w:tcW w:w="1009" w:type="dxa"/>
            <w:tcBorders>
              <w:top w:val="nil"/>
              <w:left w:val="nil"/>
              <w:bottom w:val="nil"/>
              <w:right w:val="single" w:sz="8" w:space="0" w:color="auto"/>
            </w:tcBorders>
            <w:shd w:val="clear" w:color="auto" w:fill="auto"/>
            <w:noWrap/>
            <w:vAlign w:val="center"/>
            <w:hideMark/>
          </w:tcPr>
          <w:p w14:paraId="3EF612E8" w14:textId="77777777" w:rsidR="00B27058" w:rsidRPr="00B27058" w:rsidRDefault="00B27058" w:rsidP="00B27058">
            <w:pPr>
              <w:spacing w:after="0" w:line="240" w:lineRule="auto"/>
              <w:jc w:val="right"/>
              <w:rPr>
                <w:rFonts w:eastAsia="Times New Roman" w:cs="Calibri"/>
                <w:color w:val="000000"/>
                <w:sz w:val="18"/>
                <w:szCs w:val="18"/>
                <w:lang w:val="en-US"/>
              </w:rPr>
            </w:pPr>
            <w:r w:rsidRPr="00B27058">
              <w:rPr>
                <w:rFonts w:ascii="Arial" w:eastAsia="Times New Roman" w:hAnsi="Arial" w:cs="Arial"/>
                <w:color w:val="000000"/>
                <w:sz w:val="18"/>
                <w:szCs w:val="18"/>
                <w:lang w:val="en-US"/>
              </w:rPr>
              <w:t>₡</w:t>
            </w:r>
            <w:r w:rsidRPr="00B27058">
              <w:rPr>
                <w:rFonts w:eastAsia="Times New Roman" w:cs="Calibri"/>
                <w:color w:val="000000"/>
                <w:sz w:val="18"/>
                <w:szCs w:val="18"/>
                <w:lang w:val="en-US"/>
              </w:rPr>
              <w:t>7 248,39</w:t>
            </w:r>
          </w:p>
        </w:tc>
        <w:tc>
          <w:tcPr>
            <w:tcW w:w="834" w:type="dxa"/>
            <w:tcBorders>
              <w:top w:val="nil"/>
              <w:left w:val="nil"/>
              <w:bottom w:val="nil"/>
              <w:right w:val="single" w:sz="8" w:space="0" w:color="auto"/>
            </w:tcBorders>
            <w:shd w:val="clear" w:color="auto" w:fill="auto"/>
            <w:noWrap/>
            <w:vAlign w:val="center"/>
            <w:hideMark/>
          </w:tcPr>
          <w:p w14:paraId="014013BE" w14:textId="77777777" w:rsidR="00B27058" w:rsidRPr="00B27058" w:rsidRDefault="00B27058" w:rsidP="00B27058">
            <w:pPr>
              <w:spacing w:after="0" w:line="240" w:lineRule="auto"/>
              <w:jc w:val="right"/>
              <w:rPr>
                <w:rFonts w:eastAsia="Times New Roman" w:cs="Calibri"/>
                <w:color w:val="000000"/>
                <w:sz w:val="20"/>
                <w:szCs w:val="20"/>
                <w:lang w:val="en-US"/>
              </w:rPr>
            </w:pPr>
            <w:r w:rsidRPr="00B27058">
              <w:rPr>
                <w:rFonts w:eastAsia="Times New Roman" w:cs="Calibri"/>
                <w:color w:val="000000"/>
                <w:sz w:val="20"/>
                <w:szCs w:val="20"/>
                <w:lang w:val="en-US"/>
              </w:rPr>
              <w:t>4,76%</w:t>
            </w:r>
          </w:p>
        </w:tc>
      </w:tr>
      <w:tr w:rsidR="00B27058" w:rsidRPr="00B27058" w14:paraId="114E5331" w14:textId="77777777" w:rsidTr="00B27058">
        <w:trPr>
          <w:trHeight w:val="520"/>
        </w:trPr>
        <w:tc>
          <w:tcPr>
            <w:tcW w:w="809" w:type="dxa"/>
            <w:tcBorders>
              <w:top w:val="nil"/>
              <w:left w:val="single" w:sz="8" w:space="0" w:color="auto"/>
              <w:bottom w:val="nil"/>
              <w:right w:val="single" w:sz="8" w:space="0" w:color="auto"/>
            </w:tcBorders>
            <w:shd w:val="clear" w:color="auto" w:fill="auto"/>
            <w:noWrap/>
            <w:vAlign w:val="center"/>
            <w:hideMark/>
          </w:tcPr>
          <w:p w14:paraId="0E236DF5" w14:textId="77777777" w:rsidR="00B27058" w:rsidRPr="00B27058" w:rsidRDefault="00B27058" w:rsidP="00B27058">
            <w:pPr>
              <w:spacing w:after="0" w:line="240" w:lineRule="auto"/>
              <w:rPr>
                <w:rFonts w:eastAsia="Times New Roman" w:cs="Calibri"/>
                <w:color w:val="000000"/>
                <w:sz w:val="20"/>
                <w:szCs w:val="20"/>
                <w:lang w:val="en-US"/>
              </w:rPr>
            </w:pPr>
            <w:r w:rsidRPr="00B27058">
              <w:rPr>
                <w:rFonts w:eastAsia="Times New Roman" w:cs="Calibri"/>
                <w:color w:val="000000"/>
                <w:sz w:val="20"/>
                <w:szCs w:val="20"/>
                <w:lang w:val="en-US"/>
              </w:rPr>
              <w:t>4.1.3.02</w:t>
            </w:r>
          </w:p>
        </w:tc>
        <w:tc>
          <w:tcPr>
            <w:tcW w:w="3859" w:type="dxa"/>
            <w:tcBorders>
              <w:top w:val="nil"/>
              <w:left w:val="nil"/>
              <w:bottom w:val="nil"/>
              <w:right w:val="single" w:sz="8" w:space="0" w:color="auto"/>
            </w:tcBorders>
            <w:shd w:val="clear" w:color="auto" w:fill="auto"/>
            <w:vAlign w:val="center"/>
            <w:hideMark/>
          </w:tcPr>
          <w:p w14:paraId="003E108F" w14:textId="77777777" w:rsidR="00B27058" w:rsidRPr="00B27058" w:rsidRDefault="00B27058" w:rsidP="00B27058">
            <w:pPr>
              <w:spacing w:after="0" w:line="240" w:lineRule="auto"/>
              <w:rPr>
                <w:rFonts w:eastAsia="Times New Roman" w:cs="Calibri"/>
                <w:color w:val="000000"/>
                <w:sz w:val="20"/>
                <w:szCs w:val="20"/>
              </w:rPr>
            </w:pPr>
            <w:r w:rsidRPr="00B27058">
              <w:rPr>
                <w:rFonts w:eastAsia="Times New Roman" w:cs="Calibri"/>
                <w:color w:val="000000"/>
                <w:sz w:val="20"/>
                <w:szCs w:val="20"/>
              </w:rPr>
              <w:t>Impuestos específicos sobre la producción y consumo de bienes y servicios</w:t>
            </w:r>
          </w:p>
        </w:tc>
        <w:tc>
          <w:tcPr>
            <w:tcW w:w="1134" w:type="dxa"/>
            <w:tcBorders>
              <w:top w:val="nil"/>
              <w:left w:val="nil"/>
              <w:bottom w:val="nil"/>
              <w:right w:val="single" w:sz="8" w:space="0" w:color="auto"/>
            </w:tcBorders>
            <w:shd w:val="clear" w:color="auto" w:fill="auto"/>
            <w:noWrap/>
            <w:vAlign w:val="center"/>
            <w:hideMark/>
          </w:tcPr>
          <w:p w14:paraId="680DF0C9" w14:textId="77777777" w:rsidR="00B27058" w:rsidRPr="00B27058" w:rsidRDefault="00B27058" w:rsidP="00B27058">
            <w:pPr>
              <w:spacing w:after="0" w:line="240" w:lineRule="auto"/>
              <w:jc w:val="right"/>
              <w:rPr>
                <w:rFonts w:eastAsia="Times New Roman" w:cs="Calibri"/>
                <w:color w:val="000000"/>
                <w:sz w:val="18"/>
                <w:szCs w:val="18"/>
                <w:lang w:val="en-US"/>
              </w:rPr>
            </w:pPr>
            <w:r w:rsidRPr="00B27058">
              <w:rPr>
                <w:rFonts w:eastAsia="Times New Roman" w:cs="Calibri"/>
                <w:color w:val="000000"/>
                <w:sz w:val="18"/>
                <w:szCs w:val="18"/>
                <w:lang w:val="en-US"/>
              </w:rPr>
              <w:t>28 218,15</w:t>
            </w:r>
          </w:p>
        </w:tc>
        <w:tc>
          <w:tcPr>
            <w:tcW w:w="1134" w:type="dxa"/>
            <w:tcBorders>
              <w:top w:val="nil"/>
              <w:left w:val="nil"/>
              <w:bottom w:val="nil"/>
              <w:right w:val="single" w:sz="8" w:space="0" w:color="auto"/>
            </w:tcBorders>
            <w:shd w:val="clear" w:color="auto" w:fill="auto"/>
            <w:noWrap/>
            <w:vAlign w:val="center"/>
            <w:hideMark/>
          </w:tcPr>
          <w:p w14:paraId="79DB455E" w14:textId="77777777" w:rsidR="00B27058" w:rsidRPr="00B27058" w:rsidRDefault="00B27058" w:rsidP="00B27058">
            <w:pPr>
              <w:spacing w:after="0" w:line="240" w:lineRule="auto"/>
              <w:jc w:val="right"/>
              <w:rPr>
                <w:rFonts w:eastAsia="Times New Roman" w:cs="Calibri"/>
                <w:color w:val="000000"/>
                <w:sz w:val="18"/>
                <w:szCs w:val="18"/>
                <w:lang w:val="en-US"/>
              </w:rPr>
            </w:pPr>
            <w:r w:rsidRPr="00B27058">
              <w:rPr>
                <w:rFonts w:eastAsia="Times New Roman" w:cs="Calibri"/>
                <w:color w:val="000000"/>
                <w:sz w:val="18"/>
                <w:szCs w:val="18"/>
                <w:lang w:val="en-US"/>
              </w:rPr>
              <w:t>27 362,76</w:t>
            </w:r>
          </w:p>
        </w:tc>
        <w:tc>
          <w:tcPr>
            <w:tcW w:w="1009" w:type="dxa"/>
            <w:tcBorders>
              <w:top w:val="nil"/>
              <w:left w:val="nil"/>
              <w:bottom w:val="nil"/>
              <w:right w:val="single" w:sz="8" w:space="0" w:color="auto"/>
            </w:tcBorders>
            <w:shd w:val="clear" w:color="auto" w:fill="auto"/>
            <w:noWrap/>
            <w:vAlign w:val="center"/>
            <w:hideMark/>
          </w:tcPr>
          <w:p w14:paraId="6C011EBB" w14:textId="77777777" w:rsidR="00B27058" w:rsidRPr="00B27058" w:rsidRDefault="00B27058" w:rsidP="00B27058">
            <w:pPr>
              <w:spacing w:after="0" w:line="240" w:lineRule="auto"/>
              <w:jc w:val="right"/>
              <w:rPr>
                <w:rFonts w:eastAsia="Times New Roman" w:cs="Calibri"/>
                <w:color w:val="000000"/>
                <w:sz w:val="18"/>
                <w:szCs w:val="18"/>
                <w:lang w:val="en-US"/>
              </w:rPr>
            </w:pPr>
            <w:r w:rsidRPr="00B27058">
              <w:rPr>
                <w:rFonts w:eastAsia="Times New Roman" w:cs="Calibri"/>
                <w:color w:val="000000"/>
                <w:sz w:val="18"/>
                <w:szCs w:val="18"/>
                <w:lang w:val="en-US"/>
              </w:rPr>
              <w:t>855,39</w:t>
            </w:r>
          </w:p>
        </w:tc>
        <w:tc>
          <w:tcPr>
            <w:tcW w:w="834" w:type="dxa"/>
            <w:tcBorders>
              <w:top w:val="nil"/>
              <w:left w:val="nil"/>
              <w:bottom w:val="nil"/>
              <w:right w:val="single" w:sz="8" w:space="0" w:color="auto"/>
            </w:tcBorders>
            <w:shd w:val="clear" w:color="auto" w:fill="auto"/>
            <w:noWrap/>
            <w:vAlign w:val="center"/>
            <w:hideMark/>
          </w:tcPr>
          <w:p w14:paraId="0204E83E" w14:textId="77777777" w:rsidR="00B27058" w:rsidRPr="00B27058" w:rsidRDefault="00B27058" w:rsidP="00B27058">
            <w:pPr>
              <w:spacing w:after="0" w:line="240" w:lineRule="auto"/>
              <w:jc w:val="right"/>
              <w:rPr>
                <w:rFonts w:eastAsia="Times New Roman" w:cs="Calibri"/>
                <w:color w:val="000000"/>
                <w:sz w:val="20"/>
                <w:szCs w:val="20"/>
                <w:lang w:val="en-US"/>
              </w:rPr>
            </w:pPr>
            <w:r w:rsidRPr="00B27058">
              <w:rPr>
                <w:rFonts w:eastAsia="Times New Roman" w:cs="Calibri"/>
                <w:color w:val="000000"/>
                <w:sz w:val="20"/>
                <w:szCs w:val="20"/>
                <w:lang w:val="en-US"/>
              </w:rPr>
              <w:t>3,13%</w:t>
            </w:r>
          </w:p>
        </w:tc>
      </w:tr>
      <w:tr w:rsidR="00B27058" w:rsidRPr="00B27058" w14:paraId="5A5F0A26" w14:textId="77777777" w:rsidTr="00B27058">
        <w:trPr>
          <w:trHeight w:val="300"/>
        </w:trPr>
        <w:tc>
          <w:tcPr>
            <w:tcW w:w="809" w:type="dxa"/>
            <w:tcBorders>
              <w:top w:val="nil"/>
              <w:left w:val="single" w:sz="8" w:space="0" w:color="auto"/>
              <w:bottom w:val="single" w:sz="8" w:space="0" w:color="auto"/>
              <w:right w:val="single" w:sz="8" w:space="0" w:color="auto"/>
            </w:tcBorders>
            <w:shd w:val="clear" w:color="auto" w:fill="auto"/>
            <w:noWrap/>
            <w:vAlign w:val="center"/>
            <w:hideMark/>
          </w:tcPr>
          <w:p w14:paraId="04DA28EB" w14:textId="77777777" w:rsidR="00B27058" w:rsidRPr="00B27058" w:rsidRDefault="00B27058" w:rsidP="00B27058">
            <w:pPr>
              <w:spacing w:after="0" w:line="240" w:lineRule="auto"/>
              <w:rPr>
                <w:rFonts w:eastAsia="Times New Roman" w:cs="Calibri"/>
                <w:color w:val="000000"/>
                <w:sz w:val="20"/>
                <w:szCs w:val="20"/>
                <w:lang w:val="en-US"/>
              </w:rPr>
            </w:pPr>
            <w:r w:rsidRPr="00B27058">
              <w:rPr>
                <w:rFonts w:eastAsia="Times New Roman" w:cs="Calibri"/>
                <w:color w:val="000000"/>
                <w:sz w:val="20"/>
                <w:szCs w:val="20"/>
                <w:lang w:val="en-US"/>
              </w:rPr>
              <w:t>4.1.3.99</w:t>
            </w:r>
          </w:p>
        </w:tc>
        <w:tc>
          <w:tcPr>
            <w:tcW w:w="3859" w:type="dxa"/>
            <w:tcBorders>
              <w:top w:val="nil"/>
              <w:left w:val="nil"/>
              <w:bottom w:val="single" w:sz="8" w:space="0" w:color="auto"/>
              <w:right w:val="single" w:sz="8" w:space="0" w:color="auto"/>
            </w:tcBorders>
            <w:shd w:val="clear" w:color="auto" w:fill="auto"/>
            <w:vAlign w:val="center"/>
            <w:hideMark/>
          </w:tcPr>
          <w:p w14:paraId="406066A2" w14:textId="77777777" w:rsidR="00B27058" w:rsidRPr="00B27058" w:rsidRDefault="00B27058" w:rsidP="00B27058">
            <w:pPr>
              <w:spacing w:after="0" w:line="240" w:lineRule="auto"/>
              <w:rPr>
                <w:rFonts w:eastAsia="Times New Roman" w:cs="Calibri"/>
                <w:color w:val="000000"/>
                <w:sz w:val="20"/>
                <w:szCs w:val="20"/>
              </w:rPr>
            </w:pPr>
            <w:r w:rsidRPr="00B27058">
              <w:rPr>
                <w:rFonts w:eastAsia="Times New Roman" w:cs="Calibri"/>
                <w:color w:val="000000"/>
                <w:sz w:val="20"/>
                <w:szCs w:val="20"/>
              </w:rPr>
              <w:t>Otros impuestos sobre bienes y servicios</w:t>
            </w:r>
          </w:p>
        </w:tc>
        <w:tc>
          <w:tcPr>
            <w:tcW w:w="1134" w:type="dxa"/>
            <w:tcBorders>
              <w:top w:val="nil"/>
              <w:left w:val="nil"/>
              <w:bottom w:val="nil"/>
              <w:right w:val="single" w:sz="8" w:space="0" w:color="auto"/>
            </w:tcBorders>
            <w:shd w:val="clear" w:color="auto" w:fill="auto"/>
            <w:noWrap/>
            <w:vAlign w:val="center"/>
            <w:hideMark/>
          </w:tcPr>
          <w:p w14:paraId="4D4E3595" w14:textId="77777777" w:rsidR="00B27058" w:rsidRPr="00B27058" w:rsidRDefault="00B27058" w:rsidP="00B27058">
            <w:pPr>
              <w:spacing w:after="0" w:line="240" w:lineRule="auto"/>
              <w:jc w:val="right"/>
              <w:rPr>
                <w:rFonts w:eastAsia="Times New Roman" w:cs="Calibri"/>
                <w:color w:val="000000"/>
                <w:sz w:val="18"/>
                <w:szCs w:val="18"/>
                <w:lang w:val="en-US"/>
              </w:rPr>
            </w:pPr>
            <w:r w:rsidRPr="00B27058">
              <w:rPr>
                <w:rFonts w:eastAsia="Times New Roman" w:cs="Calibri"/>
                <w:color w:val="000000"/>
                <w:sz w:val="18"/>
                <w:szCs w:val="18"/>
                <w:lang w:val="en-US"/>
              </w:rPr>
              <w:t>3 250,00</w:t>
            </w:r>
          </w:p>
        </w:tc>
        <w:tc>
          <w:tcPr>
            <w:tcW w:w="1134" w:type="dxa"/>
            <w:tcBorders>
              <w:top w:val="nil"/>
              <w:left w:val="nil"/>
              <w:bottom w:val="nil"/>
              <w:right w:val="single" w:sz="8" w:space="0" w:color="auto"/>
            </w:tcBorders>
            <w:shd w:val="clear" w:color="auto" w:fill="auto"/>
            <w:noWrap/>
            <w:vAlign w:val="center"/>
            <w:hideMark/>
          </w:tcPr>
          <w:p w14:paraId="4C6A8213" w14:textId="77777777" w:rsidR="00B27058" w:rsidRPr="00B27058" w:rsidRDefault="00B27058" w:rsidP="00B27058">
            <w:pPr>
              <w:spacing w:after="0" w:line="240" w:lineRule="auto"/>
              <w:jc w:val="right"/>
              <w:rPr>
                <w:rFonts w:eastAsia="Times New Roman" w:cs="Calibri"/>
                <w:color w:val="000000"/>
                <w:sz w:val="18"/>
                <w:szCs w:val="18"/>
                <w:lang w:val="en-US"/>
              </w:rPr>
            </w:pPr>
            <w:r w:rsidRPr="00B27058">
              <w:rPr>
                <w:rFonts w:eastAsia="Times New Roman" w:cs="Calibri"/>
                <w:color w:val="000000"/>
                <w:sz w:val="18"/>
                <w:szCs w:val="18"/>
                <w:lang w:val="en-US"/>
              </w:rPr>
              <w:t>2 750,00</w:t>
            </w:r>
          </w:p>
        </w:tc>
        <w:tc>
          <w:tcPr>
            <w:tcW w:w="1009" w:type="dxa"/>
            <w:tcBorders>
              <w:top w:val="nil"/>
              <w:left w:val="nil"/>
              <w:bottom w:val="single" w:sz="8" w:space="0" w:color="auto"/>
              <w:right w:val="single" w:sz="8" w:space="0" w:color="auto"/>
            </w:tcBorders>
            <w:shd w:val="clear" w:color="auto" w:fill="auto"/>
            <w:noWrap/>
            <w:vAlign w:val="center"/>
            <w:hideMark/>
          </w:tcPr>
          <w:p w14:paraId="2D0CF0CA" w14:textId="77777777" w:rsidR="00B27058" w:rsidRPr="00B27058" w:rsidRDefault="00B27058" w:rsidP="00B27058">
            <w:pPr>
              <w:spacing w:after="0" w:line="240" w:lineRule="auto"/>
              <w:jc w:val="right"/>
              <w:rPr>
                <w:rFonts w:eastAsia="Times New Roman" w:cs="Calibri"/>
                <w:color w:val="000000"/>
                <w:sz w:val="18"/>
                <w:szCs w:val="18"/>
                <w:lang w:val="en-US"/>
              </w:rPr>
            </w:pPr>
            <w:r w:rsidRPr="00B27058">
              <w:rPr>
                <w:rFonts w:eastAsia="Times New Roman" w:cs="Calibri"/>
                <w:color w:val="000000"/>
                <w:sz w:val="18"/>
                <w:szCs w:val="18"/>
                <w:lang w:val="en-US"/>
              </w:rPr>
              <w:t>500,00</w:t>
            </w:r>
          </w:p>
        </w:tc>
        <w:tc>
          <w:tcPr>
            <w:tcW w:w="834" w:type="dxa"/>
            <w:tcBorders>
              <w:top w:val="nil"/>
              <w:left w:val="nil"/>
              <w:bottom w:val="single" w:sz="8" w:space="0" w:color="auto"/>
              <w:right w:val="single" w:sz="8" w:space="0" w:color="auto"/>
            </w:tcBorders>
            <w:shd w:val="clear" w:color="auto" w:fill="auto"/>
            <w:noWrap/>
            <w:vAlign w:val="center"/>
            <w:hideMark/>
          </w:tcPr>
          <w:p w14:paraId="647E3FB6" w14:textId="77777777" w:rsidR="00B27058" w:rsidRPr="00B27058" w:rsidRDefault="00B27058" w:rsidP="00B27058">
            <w:pPr>
              <w:spacing w:after="0" w:line="240" w:lineRule="auto"/>
              <w:jc w:val="right"/>
              <w:rPr>
                <w:rFonts w:eastAsia="Times New Roman" w:cs="Calibri"/>
                <w:color w:val="000000"/>
                <w:sz w:val="20"/>
                <w:szCs w:val="20"/>
                <w:lang w:val="en-US"/>
              </w:rPr>
            </w:pPr>
            <w:r w:rsidRPr="00B27058">
              <w:rPr>
                <w:rFonts w:eastAsia="Times New Roman" w:cs="Calibri"/>
                <w:color w:val="000000"/>
                <w:sz w:val="20"/>
                <w:szCs w:val="20"/>
                <w:lang w:val="en-US"/>
              </w:rPr>
              <w:t>18,18%</w:t>
            </w:r>
          </w:p>
        </w:tc>
      </w:tr>
      <w:tr w:rsidR="00B27058" w:rsidRPr="00B27058" w14:paraId="614F28E2" w14:textId="77777777" w:rsidTr="00B27058">
        <w:trPr>
          <w:trHeight w:val="300"/>
        </w:trPr>
        <w:tc>
          <w:tcPr>
            <w:tcW w:w="809" w:type="dxa"/>
            <w:tcBorders>
              <w:top w:val="nil"/>
              <w:left w:val="single" w:sz="8" w:space="0" w:color="auto"/>
              <w:bottom w:val="single" w:sz="8" w:space="0" w:color="auto"/>
              <w:right w:val="single" w:sz="8" w:space="0" w:color="auto"/>
            </w:tcBorders>
            <w:shd w:val="clear" w:color="auto" w:fill="auto"/>
            <w:noWrap/>
            <w:vAlign w:val="center"/>
            <w:hideMark/>
          </w:tcPr>
          <w:p w14:paraId="0B153644" w14:textId="77777777" w:rsidR="00B27058" w:rsidRPr="00B27058" w:rsidRDefault="00B27058" w:rsidP="00B27058">
            <w:pPr>
              <w:spacing w:after="0" w:line="240" w:lineRule="auto"/>
              <w:rPr>
                <w:rFonts w:eastAsia="Times New Roman" w:cs="Calibri"/>
                <w:b/>
                <w:bCs/>
                <w:color w:val="000000"/>
                <w:sz w:val="20"/>
                <w:szCs w:val="20"/>
                <w:lang w:val="en-US"/>
              </w:rPr>
            </w:pPr>
            <w:r w:rsidRPr="00B27058">
              <w:rPr>
                <w:rFonts w:eastAsia="Times New Roman" w:cs="Calibri"/>
                <w:b/>
                <w:bCs/>
                <w:color w:val="000000"/>
                <w:sz w:val="20"/>
                <w:szCs w:val="20"/>
                <w:lang w:val="en-US"/>
              </w:rPr>
              <w:t> </w:t>
            </w:r>
          </w:p>
        </w:tc>
        <w:tc>
          <w:tcPr>
            <w:tcW w:w="3859" w:type="dxa"/>
            <w:tcBorders>
              <w:top w:val="nil"/>
              <w:left w:val="nil"/>
              <w:bottom w:val="single" w:sz="8" w:space="0" w:color="auto"/>
              <w:right w:val="single" w:sz="8" w:space="0" w:color="auto"/>
            </w:tcBorders>
            <w:shd w:val="clear" w:color="auto" w:fill="auto"/>
            <w:vAlign w:val="center"/>
            <w:hideMark/>
          </w:tcPr>
          <w:p w14:paraId="47CF75BE" w14:textId="77777777" w:rsidR="00B27058" w:rsidRPr="00B27058" w:rsidRDefault="00B27058" w:rsidP="00B27058">
            <w:pPr>
              <w:spacing w:after="0" w:line="240" w:lineRule="auto"/>
              <w:jc w:val="center"/>
              <w:rPr>
                <w:rFonts w:eastAsia="Times New Roman" w:cs="Calibri"/>
                <w:b/>
                <w:bCs/>
                <w:color w:val="000000"/>
                <w:sz w:val="18"/>
                <w:szCs w:val="18"/>
                <w:lang w:val="en-US"/>
              </w:rPr>
            </w:pPr>
            <w:r w:rsidRPr="00B27058">
              <w:rPr>
                <w:rFonts w:eastAsia="Times New Roman" w:cs="Calibri"/>
                <w:b/>
                <w:bCs/>
                <w:color w:val="000000"/>
                <w:sz w:val="18"/>
                <w:szCs w:val="18"/>
                <w:lang w:val="en-US"/>
              </w:rPr>
              <w:t>TOTALES</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7CE4C5D9" w14:textId="77777777" w:rsidR="00B27058" w:rsidRPr="00B27058" w:rsidRDefault="00B27058" w:rsidP="00B27058">
            <w:pPr>
              <w:spacing w:after="0" w:line="240" w:lineRule="auto"/>
              <w:ind w:left="-14"/>
              <w:jc w:val="right"/>
              <w:rPr>
                <w:rFonts w:eastAsia="Times New Roman" w:cs="Calibri"/>
                <w:b/>
                <w:bCs/>
                <w:color w:val="000000"/>
                <w:sz w:val="18"/>
                <w:szCs w:val="18"/>
                <w:lang w:val="en-US"/>
              </w:rPr>
            </w:pPr>
            <w:r w:rsidRPr="00B27058">
              <w:rPr>
                <w:rFonts w:ascii="Arial" w:eastAsia="Times New Roman" w:hAnsi="Arial" w:cs="Arial"/>
                <w:b/>
                <w:bCs/>
                <w:color w:val="000000"/>
                <w:sz w:val="18"/>
                <w:szCs w:val="18"/>
                <w:lang w:val="en-US"/>
              </w:rPr>
              <w:t>₡</w:t>
            </w:r>
            <w:r w:rsidRPr="00B27058">
              <w:rPr>
                <w:rFonts w:eastAsia="Times New Roman" w:cs="Calibri"/>
                <w:b/>
                <w:bCs/>
                <w:color w:val="000000"/>
                <w:sz w:val="18"/>
                <w:szCs w:val="18"/>
                <w:lang w:val="en-US"/>
              </w:rPr>
              <w:t>190 892,85</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6F870F23" w14:textId="77777777" w:rsidR="00B27058" w:rsidRPr="00B27058" w:rsidRDefault="00B27058" w:rsidP="00B27058">
            <w:pPr>
              <w:spacing w:after="0" w:line="240" w:lineRule="auto"/>
              <w:jc w:val="right"/>
              <w:rPr>
                <w:rFonts w:eastAsia="Times New Roman" w:cs="Calibri"/>
                <w:b/>
                <w:bCs/>
                <w:color w:val="000000"/>
                <w:sz w:val="18"/>
                <w:szCs w:val="18"/>
                <w:lang w:val="en-US"/>
              </w:rPr>
            </w:pPr>
            <w:r w:rsidRPr="00B27058">
              <w:rPr>
                <w:rFonts w:ascii="Arial" w:eastAsia="Times New Roman" w:hAnsi="Arial" w:cs="Arial"/>
                <w:b/>
                <w:bCs/>
                <w:color w:val="000000"/>
                <w:sz w:val="18"/>
                <w:szCs w:val="18"/>
                <w:lang w:val="en-US"/>
              </w:rPr>
              <w:t>₡</w:t>
            </w:r>
            <w:r w:rsidRPr="00B27058">
              <w:rPr>
                <w:rFonts w:eastAsia="Times New Roman" w:cs="Calibri"/>
                <w:b/>
                <w:bCs/>
                <w:color w:val="000000"/>
                <w:sz w:val="18"/>
                <w:szCs w:val="18"/>
                <w:lang w:val="en-US"/>
              </w:rPr>
              <w:t>182 289,08</w:t>
            </w:r>
          </w:p>
        </w:tc>
        <w:tc>
          <w:tcPr>
            <w:tcW w:w="1009" w:type="dxa"/>
            <w:tcBorders>
              <w:top w:val="nil"/>
              <w:left w:val="nil"/>
              <w:bottom w:val="single" w:sz="8" w:space="0" w:color="auto"/>
              <w:right w:val="single" w:sz="8" w:space="0" w:color="auto"/>
            </w:tcBorders>
            <w:shd w:val="clear" w:color="auto" w:fill="auto"/>
            <w:noWrap/>
            <w:vAlign w:val="center"/>
            <w:hideMark/>
          </w:tcPr>
          <w:p w14:paraId="2B5CB4EA" w14:textId="77777777" w:rsidR="00B27058" w:rsidRPr="00B27058" w:rsidRDefault="00B27058" w:rsidP="00B27058">
            <w:pPr>
              <w:spacing w:after="0" w:line="240" w:lineRule="auto"/>
              <w:jc w:val="right"/>
              <w:rPr>
                <w:rFonts w:eastAsia="Times New Roman" w:cs="Calibri"/>
                <w:b/>
                <w:bCs/>
                <w:color w:val="000000"/>
                <w:sz w:val="18"/>
                <w:szCs w:val="18"/>
                <w:lang w:val="en-US"/>
              </w:rPr>
            </w:pPr>
            <w:r w:rsidRPr="00B27058">
              <w:rPr>
                <w:rFonts w:ascii="Arial" w:eastAsia="Times New Roman" w:hAnsi="Arial" w:cs="Arial"/>
                <w:b/>
                <w:bCs/>
                <w:color w:val="000000"/>
                <w:sz w:val="18"/>
                <w:szCs w:val="18"/>
                <w:lang w:val="en-US"/>
              </w:rPr>
              <w:t>₡</w:t>
            </w:r>
            <w:r w:rsidRPr="00B27058">
              <w:rPr>
                <w:rFonts w:eastAsia="Times New Roman" w:cs="Calibri"/>
                <w:b/>
                <w:bCs/>
                <w:color w:val="000000"/>
                <w:sz w:val="18"/>
                <w:szCs w:val="18"/>
                <w:lang w:val="en-US"/>
              </w:rPr>
              <w:t>8 603,77</w:t>
            </w:r>
          </w:p>
        </w:tc>
        <w:tc>
          <w:tcPr>
            <w:tcW w:w="834" w:type="dxa"/>
            <w:tcBorders>
              <w:top w:val="nil"/>
              <w:left w:val="nil"/>
              <w:bottom w:val="single" w:sz="8" w:space="0" w:color="auto"/>
              <w:right w:val="single" w:sz="8" w:space="0" w:color="auto"/>
            </w:tcBorders>
            <w:shd w:val="clear" w:color="auto" w:fill="auto"/>
            <w:noWrap/>
            <w:vAlign w:val="center"/>
            <w:hideMark/>
          </w:tcPr>
          <w:p w14:paraId="1E9550F2" w14:textId="77777777" w:rsidR="00B27058" w:rsidRPr="00B27058" w:rsidRDefault="00B27058" w:rsidP="00B27058">
            <w:pPr>
              <w:spacing w:after="0" w:line="240" w:lineRule="auto"/>
              <w:jc w:val="right"/>
              <w:rPr>
                <w:rFonts w:eastAsia="Times New Roman" w:cs="Calibri"/>
                <w:b/>
                <w:bCs/>
                <w:color w:val="000000"/>
                <w:sz w:val="18"/>
                <w:szCs w:val="18"/>
                <w:lang w:val="en-US"/>
              </w:rPr>
            </w:pPr>
            <w:r w:rsidRPr="00B27058">
              <w:rPr>
                <w:rFonts w:eastAsia="Times New Roman" w:cs="Calibri"/>
                <w:b/>
                <w:bCs/>
                <w:color w:val="000000"/>
                <w:sz w:val="18"/>
                <w:szCs w:val="18"/>
                <w:lang w:val="en-US"/>
              </w:rPr>
              <w:t>4,72%</w:t>
            </w:r>
          </w:p>
        </w:tc>
      </w:tr>
    </w:tbl>
    <w:p w14:paraId="421E8563" w14:textId="77777777" w:rsidR="00B27058" w:rsidRDefault="00B27058" w:rsidP="00BE2A90">
      <w:pPr>
        <w:spacing w:after="0" w:line="240" w:lineRule="auto"/>
        <w:rPr>
          <w:szCs w:val="24"/>
        </w:rPr>
      </w:pPr>
    </w:p>
    <w:p w14:paraId="3FA1701D" w14:textId="77777777" w:rsidR="00DE143D" w:rsidRPr="00692DC8" w:rsidRDefault="00DE143D" w:rsidP="00DE6F38">
      <w:pPr>
        <w:rPr>
          <w:szCs w:val="24"/>
        </w:rPr>
      </w:pPr>
    </w:p>
    <w:p w14:paraId="316EAE96" w14:textId="77777777" w:rsidR="00692DC8" w:rsidRPr="00692DC8" w:rsidRDefault="00692DC8" w:rsidP="00DE6F38">
      <w:pPr>
        <w:pStyle w:val="Ttulo4"/>
        <w:spacing w:after="240"/>
        <w:rPr>
          <w:rFonts w:eastAsia="Times New Roman"/>
        </w:rPr>
      </w:pPr>
      <w:bookmarkStart w:id="611" w:name="_Toc33601260"/>
      <w:bookmarkStart w:id="612" w:name="_Toc82768977"/>
      <w:bookmarkStart w:id="613" w:name="_Toc173245266"/>
      <w:r w:rsidRPr="00692DC8">
        <w:rPr>
          <w:rFonts w:eastAsia="Times New Roman"/>
        </w:rPr>
        <w:t>NOTA N° 34</w:t>
      </w:r>
      <w:bookmarkEnd w:id="610"/>
      <w:bookmarkEnd w:id="611"/>
      <w:bookmarkEnd w:id="612"/>
      <w:bookmarkEnd w:id="613"/>
    </w:p>
    <w:p w14:paraId="59CB0AA0" w14:textId="77777777" w:rsidR="00694299" w:rsidRDefault="00692DC8" w:rsidP="00323752">
      <w:pPr>
        <w:spacing w:before="240"/>
        <w:rPr>
          <w:rFonts w:asciiTheme="minorHAnsi" w:hAnsiTheme="minorHAnsi"/>
          <w:sz w:val="22"/>
        </w:rPr>
      </w:pPr>
      <w:bookmarkStart w:id="614" w:name="_Toc14344777"/>
      <w:bookmarkStart w:id="615" w:name="_Toc33601261"/>
      <w:bookmarkStart w:id="616" w:name="_Toc82768978"/>
      <w:r w:rsidRPr="00692DC8">
        <w:rPr>
          <w:rFonts w:eastAsia="Times New Roman"/>
        </w:rPr>
        <w:t>Impuestos sobre el comercio exterior y transacciones internacionales</w:t>
      </w:r>
      <w:bookmarkEnd w:id="614"/>
      <w:bookmarkEnd w:id="615"/>
      <w:bookmarkEnd w:id="616"/>
      <w:r w:rsidR="00521099">
        <w:rPr>
          <w:rFonts w:eastAsiaTheme="majorEastAsia" w:cstheme="majorBidi"/>
          <w:iCs/>
          <w:lang w:val="es-ES"/>
        </w:rPr>
        <w:fldChar w:fldCharType="begin"/>
      </w:r>
      <w:r w:rsidR="00521099">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NOTAS_POR_CUENTA!F240C1:F242C6 </w:instrText>
      </w:r>
      <w:r w:rsidR="00521099">
        <w:rPr>
          <w:lang w:val="es-ES"/>
        </w:rPr>
        <w:instrText xml:space="preserve">\a \f 4 \h </w:instrText>
      </w:r>
      <w:r w:rsidR="00521099">
        <w:rPr>
          <w:b/>
          <w:lang w:val="es-ES"/>
        </w:rPr>
        <w:fldChar w:fldCharType="separate"/>
      </w:r>
    </w:p>
    <w:tbl>
      <w:tblPr>
        <w:tblW w:w="8847" w:type="dxa"/>
        <w:tblCellMar>
          <w:left w:w="70" w:type="dxa"/>
          <w:right w:w="70" w:type="dxa"/>
        </w:tblCellMar>
        <w:tblLook w:val="04A0" w:firstRow="1" w:lastRow="0" w:firstColumn="1" w:lastColumn="0" w:noHBand="0" w:noVBand="1"/>
      </w:tblPr>
      <w:tblGrid>
        <w:gridCol w:w="1845"/>
        <w:gridCol w:w="2155"/>
        <w:gridCol w:w="500"/>
        <w:gridCol w:w="1586"/>
        <w:gridCol w:w="1701"/>
        <w:gridCol w:w="1060"/>
      </w:tblGrid>
      <w:tr w:rsidR="00694299" w:rsidRPr="00694299" w14:paraId="1581116E" w14:textId="77777777" w:rsidTr="00873B1C">
        <w:trPr>
          <w:divId w:val="393893323"/>
          <w:trHeight w:val="324"/>
        </w:trPr>
        <w:tc>
          <w:tcPr>
            <w:tcW w:w="1845"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C904C55" w14:textId="3102F703"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155"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6CD4513"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BDFCED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5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40E8E8E"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D7FBAE0"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4830DC5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14515AC5" w14:textId="77777777" w:rsidTr="00873B1C">
        <w:trPr>
          <w:divId w:val="393893323"/>
          <w:trHeight w:val="324"/>
        </w:trPr>
        <w:tc>
          <w:tcPr>
            <w:tcW w:w="1845" w:type="dxa"/>
            <w:vMerge/>
            <w:tcBorders>
              <w:top w:val="single" w:sz="8" w:space="0" w:color="auto"/>
              <w:left w:val="single" w:sz="8" w:space="0" w:color="auto"/>
              <w:bottom w:val="single" w:sz="8" w:space="0" w:color="000000"/>
              <w:right w:val="single" w:sz="8" w:space="0" w:color="auto"/>
            </w:tcBorders>
            <w:vAlign w:val="center"/>
            <w:hideMark/>
          </w:tcPr>
          <w:p w14:paraId="1386620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55" w:type="dxa"/>
            <w:vMerge/>
            <w:tcBorders>
              <w:top w:val="single" w:sz="8" w:space="0" w:color="auto"/>
              <w:left w:val="single" w:sz="8" w:space="0" w:color="auto"/>
              <w:bottom w:val="single" w:sz="8" w:space="0" w:color="000000"/>
              <w:right w:val="single" w:sz="8" w:space="0" w:color="auto"/>
            </w:tcBorders>
            <w:vAlign w:val="center"/>
            <w:hideMark/>
          </w:tcPr>
          <w:p w14:paraId="256C9CA9"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2C2D69C"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17B008F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5755EEC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6B762AE"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7F9D0F11" w14:textId="77777777" w:rsidTr="00873B1C">
        <w:trPr>
          <w:divId w:val="393893323"/>
          <w:trHeight w:val="540"/>
        </w:trPr>
        <w:tc>
          <w:tcPr>
            <w:tcW w:w="1845" w:type="dxa"/>
            <w:tcBorders>
              <w:top w:val="nil"/>
              <w:left w:val="single" w:sz="8" w:space="0" w:color="auto"/>
              <w:bottom w:val="single" w:sz="8" w:space="0" w:color="auto"/>
              <w:right w:val="single" w:sz="8" w:space="0" w:color="auto"/>
            </w:tcBorders>
            <w:shd w:val="clear" w:color="auto" w:fill="auto"/>
            <w:noWrap/>
            <w:vAlign w:val="center"/>
            <w:hideMark/>
          </w:tcPr>
          <w:p w14:paraId="1013FBD4"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4.1.4.</w:t>
            </w:r>
          </w:p>
        </w:tc>
        <w:tc>
          <w:tcPr>
            <w:tcW w:w="2155" w:type="dxa"/>
            <w:tcBorders>
              <w:top w:val="nil"/>
              <w:left w:val="nil"/>
              <w:bottom w:val="single" w:sz="8" w:space="0" w:color="auto"/>
              <w:right w:val="single" w:sz="8" w:space="0" w:color="auto"/>
            </w:tcBorders>
            <w:shd w:val="clear" w:color="auto" w:fill="auto"/>
            <w:vAlign w:val="center"/>
            <w:hideMark/>
          </w:tcPr>
          <w:p w14:paraId="69B0B9B2"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Impuestos sobre el comercio exterior y transacciones internacionales</w:t>
            </w:r>
          </w:p>
        </w:tc>
        <w:tc>
          <w:tcPr>
            <w:tcW w:w="500" w:type="dxa"/>
            <w:tcBorders>
              <w:top w:val="nil"/>
              <w:left w:val="nil"/>
              <w:bottom w:val="single" w:sz="8" w:space="0" w:color="auto"/>
              <w:right w:val="single" w:sz="8" w:space="0" w:color="auto"/>
            </w:tcBorders>
            <w:shd w:val="clear" w:color="auto" w:fill="auto"/>
            <w:noWrap/>
            <w:vAlign w:val="center"/>
            <w:hideMark/>
          </w:tcPr>
          <w:p w14:paraId="3BD0DF05"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34</w:t>
            </w:r>
          </w:p>
        </w:tc>
        <w:tc>
          <w:tcPr>
            <w:tcW w:w="1586" w:type="dxa"/>
            <w:tcBorders>
              <w:top w:val="nil"/>
              <w:left w:val="nil"/>
              <w:bottom w:val="single" w:sz="8" w:space="0" w:color="auto"/>
              <w:right w:val="single" w:sz="8" w:space="0" w:color="auto"/>
            </w:tcBorders>
            <w:shd w:val="clear" w:color="auto" w:fill="auto"/>
            <w:noWrap/>
            <w:vAlign w:val="center"/>
            <w:hideMark/>
          </w:tcPr>
          <w:p w14:paraId="5708983C"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701" w:type="dxa"/>
            <w:tcBorders>
              <w:top w:val="nil"/>
              <w:left w:val="nil"/>
              <w:bottom w:val="single" w:sz="8" w:space="0" w:color="auto"/>
              <w:right w:val="single" w:sz="8" w:space="0" w:color="auto"/>
            </w:tcBorders>
            <w:shd w:val="clear" w:color="auto" w:fill="auto"/>
            <w:noWrap/>
            <w:vAlign w:val="center"/>
            <w:hideMark/>
          </w:tcPr>
          <w:p w14:paraId="7FC51254"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465D2D3B"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292B3393" w14:textId="77777777" w:rsidR="00694299" w:rsidRPr="00694299" w:rsidRDefault="00521099"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NOTAS_POR_CUENTA!F242C8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2C0318D2" w14:textId="77777777" w:rsidR="00694299" w:rsidRPr="00694299" w:rsidRDefault="00694299" w:rsidP="002F52C1">
      <w:pPr>
        <w:spacing w:line="240" w:lineRule="auto"/>
        <w:rPr>
          <w:rFonts w:eastAsia="Times New Roman" w:cs="Calibri"/>
          <w:color w:val="000000"/>
          <w:lang w:eastAsia="es-CR"/>
        </w:rPr>
      </w:pPr>
      <w:r w:rsidRPr="00694299">
        <w:rPr>
          <w:rFonts w:eastAsia="Times New Roman" w:cs="Calibri"/>
          <w:color w:val="000000"/>
          <w:lang w:eastAsia="es-CR"/>
        </w:rPr>
        <w:t>La cuenta Impuestos sobre el comercio exterior y transacciones internacionales, representa el 0,00% del total del Ingresos, que comparado al periodo anterior genera una variación absoluta de 0 000,00 que corresponde a un Aumento del 0,00% de recursos disponibles.</w:t>
      </w:r>
    </w:p>
    <w:p w14:paraId="0AA727A4" w14:textId="5F761D21" w:rsidR="00692DC8" w:rsidRPr="00692DC8" w:rsidRDefault="00521099" w:rsidP="002F52C1">
      <w:pPr>
        <w:spacing w:line="240" w:lineRule="auto"/>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179DC596" w14:textId="77777777" w:rsidR="00692DC8" w:rsidRPr="00692DC8" w:rsidRDefault="00692DC8" w:rsidP="00DE6F38">
      <w:pPr>
        <w:rPr>
          <w:szCs w:val="24"/>
        </w:rPr>
      </w:pPr>
    </w:p>
    <w:p w14:paraId="1AB1D0A8" w14:textId="77777777" w:rsidR="00692DC8" w:rsidRPr="00692DC8" w:rsidRDefault="00692DC8" w:rsidP="00623120">
      <w:pPr>
        <w:pStyle w:val="Ttulo4"/>
        <w:spacing w:after="240"/>
        <w:rPr>
          <w:rFonts w:eastAsia="Times New Roman"/>
        </w:rPr>
      </w:pPr>
      <w:bookmarkStart w:id="617" w:name="_Toc14344781"/>
      <w:bookmarkStart w:id="618" w:name="_Toc33601262"/>
      <w:bookmarkStart w:id="619" w:name="_Toc82768979"/>
      <w:bookmarkStart w:id="620" w:name="_Toc173245267"/>
      <w:r w:rsidRPr="00692DC8">
        <w:rPr>
          <w:rFonts w:eastAsia="Times New Roman"/>
        </w:rPr>
        <w:t>NOTA N° 35</w:t>
      </w:r>
      <w:bookmarkEnd w:id="617"/>
      <w:bookmarkEnd w:id="618"/>
      <w:bookmarkEnd w:id="619"/>
      <w:bookmarkEnd w:id="620"/>
    </w:p>
    <w:p w14:paraId="29E548DC" w14:textId="77777777" w:rsidR="00694299" w:rsidRDefault="00692DC8" w:rsidP="00323752">
      <w:pPr>
        <w:spacing w:before="240"/>
        <w:rPr>
          <w:rFonts w:asciiTheme="minorHAnsi" w:hAnsiTheme="minorHAnsi"/>
          <w:sz w:val="22"/>
        </w:rPr>
      </w:pPr>
      <w:bookmarkStart w:id="621" w:name="_Toc14344782"/>
      <w:bookmarkStart w:id="622" w:name="_Toc33601263"/>
      <w:bookmarkStart w:id="623" w:name="_Toc82768980"/>
      <w:r w:rsidRPr="00692DC8">
        <w:rPr>
          <w:rFonts w:eastAsia="Times New Roman"/>
        </w:rPr>
        <w:t>Otros impuestos</w:t>
      </w:r>
      <w:bookmarkEnd w:id="621"/>
      <w:bookmarkEnd w:id="622"/>
      <w:bookmarkEnd w:id="623"/>
      <w:r w:rsidR="00521099">
        <w:rPr>
          <w:rFonts w:eastAsiaTheme="majorEastAsia" w:cstheme="majorBidi"/>
          <w:iCs/>
          <w:lang w:val="es-ES"/>
        </w:rPr>
        <w:fldChar w:fldCharType="begin"/>
      </w:r>
      <w:r w:rsidR="00521099">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NOTAS_POR_CUENTA!F244C1:F246C6 </w:instrText>
      </w:r>
      <w:r w:rsidR="00521099">
        <w:rPr>
          <w:lang w:val="es-ES"/>
        </w:rPr>
        <w:instrText xml:space="preserve">\a \f 4 \h </w:instrText>
      </w:r>
      <w:r w:rsidR="00521099">
        <w:rPr>
          <w:b/>
          <w:lang w:val="es-ES"/>
        </w:rPr>
        <w:fldChar w:fldCharType="separate"/>
      </w:r>
    </w:p>
    <w:tbl>
      <w:tblPr>
        <w:tblW w:w="8847" w:type="dxa"/>
        <w:tblCellMar>
          <w:left w:w="70" w:type="dxa"/>
          <w:right w:w="70" w:type="dxa"/>
        </w:tblCellMar>
        <w:tblLook w:val="04A0" w:firstRow="1" w:lastRow="0" w:firstColumn="1" w:lastColumn="0" w:noHBand="0" w:noVBand="1"/>
      </w:tblPr>
      <w:tblGrid>
        <w:gridCol w:w="1418"/>
        <w:gridCol w:w="2582"/>
        <w:gridCol w:w="500"/>
        <w:gridCol w:w="1586"/>
        <w:gridCol w:w="1701"/>
        <w:gridCol w:w="1060"/>
      </w:tblGrid>
      <w:tr w:rsidR="00694299" w:rsidRPr="00694299" w14:paraId="06E64196" w14:textId="77777777" w:rsidTr="00873B1C">
        <w:trPr>
          <w:divId w:val="993685777"/>
          <w:trHeight w:val="324"/>
        </w:trPr>
        <w:tc>
          <w:tcPr>
            <w:tcW w:w="1418"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A8ED52F" w14:textId="383A268A"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582"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4953056"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A6C18ED"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5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0051316"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DBA2EC6"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2AA13E78"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576CE40A" w14:textId="77777777" w:rsidTr="00873B1C">
        <w:trPr>
          <w:divId w:val="993685777"/>
          <w:trHeight w:val="324"/>
        </w:trPr>
        <w:tc>
          <w:tcPr>
            <w:tcW w:w="1418" w:type="dxa"/>
            <w:vMerge/>
            <w:tcBorders>
              <w:top w:val="single" w:sz="8" w:space="0" w:color="auto"/>
              <w:left w:val="single" w:sz="8" w:space="0" w:color="auto"/>
              <w:bottom w:val="single" w:sz="8" w:space="0" w:color="000000"/>
              <w:right w:val="single" w:sz="8" w:space="0" w:color="auto"/>
            </w:tcBorders>
            <w:vAlign w:val="center"/>
            <w:hideMark/>
          </w:tcPr>
          <w:p w14:paraId="4A6ECF9D"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582" w:type="dxa"/>
            <w:vMerge/>
            <w:tcBorders>
              <w:top w:val="single" w:sz="8" w:space="0" w:color="auto"/>
              <w:left w:val="single" w:sz="8" w:space="0" w:color="auto"/>
              <w:bottom w:val="single" w:sz="8" w:space="0" w:color="000000"/>
              <w:right w:val="single" w:sz="8" w:space="0" w:color="auto"/>
            </w:tcBorders>
            <w:vAlign w:val="center"/>
            <w:hideMark/>
          </w:tcPr>
          <w:p w14:paraId="181F95C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EC0A6D1"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0FCC5F05"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2E65F40C"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85030CD"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2CDB291C" w14:textId="77777777" w:rsidTr="00873B1C">
        <w:trPr>
          <w:divId w:val="993685777"/>
          <w:trHeight w:val="324"/>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14:paraId="07753CFC"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4.1.9.</w:t>
            </w:r>
          </w:p>
        </w:tc>
        <w:tc>
          <w:tcPr>
            <w:tcW w:w="2582" w:type="dxa"/>
            <w:tcBorders>
              <w:top w:val="nil"/>
              <w:left w:val="nil"/>
              <w:bottom w:val="single" w:sz="8" w:space="0" w:color="auto"/>
              <w:right w:val="single" w:sz="8" w:space="0" w:color="auto"/>
            </w:tcBorders>
            <w:shd w:val="clear" w:color="auto" w:fill="auto"/>
            <w:vAlign w:val="center"/>
            <w:hideMark/>
          </w:tcPr>
          <w:p w14:paraId="37B151DC"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Otros impuestos</w:t>
            </w:r>
          </w:p>
        </w:tc>
        <w:tc>
          <w:tcPr>
            <w:tcW w:w="500" w:type="dxa"/>
            <w:tcBorders>
              <w:top w:val="nil"/>
              <w:left w:val="nil"/>
              <w:bottom w:val="single" w:sz="8" w:space="0" w:color="auto"/>
              <w:right w:val="single" w:sz="8" w:space="0" w:color="auto"/>
            </w:tcBorders>
            <w:shd w:val="clear" w:color="auto" w:fill="auto"/>
            <w:noWrap/>
            <w:vAlign w:val="center"/>
            <w:hideMark/>
          </w:tcPr>
          <w:p w14:paraId="289E353F"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35</w:t>
            </w:r>
          </w:p>
        </w:tc>
        <w:tc>
          <w:tcPr>
            <w:tcW w:w="1586" w:type="dxa"/>
            <w:tcBorders>
              <w:top w:val="nil"/>
              <w:left w:val="nil"/>
              <w:bottom w:val="single" w:sz="8" w:space="0" w:color="auto"/>
              <w:right w:val="single" w:sz="8" w:space="0" w:color="auto"/>
            </w:tcBorders>
            <w:shd w:val="clear" w:color="auto" w:fill="auto"/>
            <w:noWrap/>
            <w:vAlign w:val="center"/>
            <w:hideMark/>
          </w:tcPr>
          <w:p w14:paraId="586D80EF"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701" w:type="dxa"/>
            <w:tcBorders>
              <w:top w:val="nil"/>
              <w:left w:val="nil"/>
              <w:bottom w:val="single" w:sz="8" w:space="0" w:color="auto"/>
              <w:right w:val="single" w:sz="8" w:space="0" w:color="auto"/>
            </w:tcBorders>
            <w:shd w:val="clear" w:color="auto" w:fill="auto"/>
            <w:noWrap/>
            <w:vAlign w:val="center"/>
            <w:hideMark/>
          </w:tcPr>
          <w:p w14:paraId="7BF842DD"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7E2A03A7"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3E290CEC" w14:textId="77777777" w:rsidR="00694299" w:rsidRPr="00694299" w:rsidRDefault="00521099"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NOTAS_POR_CUENTA!F246C8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3B8B306A" w14:textId="77777777" w:rsidR="00694299" w:rsidRPr="00694299" w:rsidRDefault="00694299" w:rsidP="002F52C1">
      <w:pPr>
        <w:spacing w:line="240" w:lineRule="auto"/>
        <w:rPr>
          <w:rFonts w:eastAsia="Times New Roman" w:cs="Calibri"/>
          <w:color w:val="000000"/>
          <w:lang w:eastAsia="es-CR"/>
        </w:rPr>
      </w:pPr>
      <w:r w:rsidRPr="00694299">
        <w:rPr>
          <w:rFonts w:eastAsia="Times New Roman" w:cs="Calibri"/>
          <w:color w:val="000000"/>
          <w:lang w:eastAsia="es-CR"/>
        </w:rPr>
        <w:t>La cuenta Otros impuestos, representa el 0,00% del total del Ingresos, que comparado al periodo anterior genera una variación absoluta de 0 000,00 que corresponde a un Aumento del 0,00% de recursos disponibles.</w:t>
      </w:r>
    </w:p>
    <w:p w14:paraId="65DD23EA" w14:textId="09B36E5D" w:rsidR="00692DC8" w:rsidRPr="00623120" w:rsidRDefault="00521099" w:rsidP="002F52C1">
      <w:pPr>
        <w:spacing w:line="240" w:lineRule="auto"/>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FB7A8E3" w14:textId="77777777" w:rsidR="00692DC8" w:rsidRPr="00692DC8" w:rsidRDefault="00692DC8" w:rsidP="00623120">
      <w:pPr>
        <w:spacing w:before="240"/>
        <w:rPr>
          <w:i/>
        </w:rPr>
      </w:pPr>
    </w:p>
    <w:p w14:paraId="73D70758" w14:textId="77777777" w:rsidR="00692DC8" w:rsidRPr="00692DC8" w:rsidRDefault="00692DC8" w:rsidP="00623120">
      <w:pPr>
        <w:pStyle w:val="Ttulo3"/>
        <w:spacing w:before="240" w:after="240"/>
        <w:rPr>
          <w:rFonts w:eastAsia="Calibri"/>
          <w:lang w:eastAsia="es-CR"/>
        </w:rPr>
      </w:pPr>
      <w:bookmarkStart w:id="624" w:name="_Toc82768981"/>
      <w:bookmarkStart w:id="625" w:name="_Toc173245268"/>
      <w:r w:rsidRPr="00692DC8">
        <w:rPr>
          <w:rFonts w:eastAsia="Calibri"/>
          <w:lang w:eastAsia="es-CR"/>
        </w:rPr>
        <w:t>4.2 CONTRIBUCIONES SOCIALES</w:t>
      </w:r>
      <w:bookmarkEnd w:id="624"/>
      <w:bookmarkEnd w:id="625"/>
    </w:p>
    <w:p w14:paraId="1B41B6FA" w14:textId="77777777" w:rsidR="00692DC8" w:rsidRPr="00692DC8" w:rsidRDefault="00692DC8" w:rsidP="00623120">
      <w:pPr>
        <w:pStyle w:val="Ttulo4"/>
        <w:spacing w:after="240"/>
        <w:rPr>
          <w:rFonts w:eastAsia="Times New Roman"/>
        </w:rPr>
      </w:pPr>
      <w:bookmarkStart w:id="626" w:name="_Toc14344785"/>
      <w:bookmarkStart w:id="627" w:name="_Toc33601265"/>
      <w:bookmarkStart w:id="628" w:name="_Toc82768982"/>
      <w:bookmarkStart w:id="629" w:name="_Toc173245269"/>
      <w:r w:rsidRPr="00692DC8">
        <w:rPr>
          <w:rFonts w:eastAsia="Times New Roman"/>
        </w:rPr>
        <w:t>NOTA N°36</w:t>
      </w:r>
      <w:bookmarkEnd w:id="626"/>
      <w:bookmarkEnd w:id="627"/>
      <w:bookmarkEnd w:id="628"/>
      <w:bookmarkEnd w:id="629"/>
    </w:p>
    <w:p w14:paraId="07DF549B" w14:textId="77777777" w:rsidR="00694299" w:rsidRDefault="00692DC8" w:rsidP="00323752">
      <w:pPr>
        <w:spacing w:before="240"/>
        <w:rPr>
          <w:rFonts w:asciiTheme="minorHAnsi" w:hAnsiTheme="minorHAnsi"/>
          <w:sz w:val="22"/>
        </w:rPr>
      </w:pPr>
      <w:bookmarkStart w:id="630" w:name="_Toc14344786"/>
      <w:bookmarkStart w:id="631" w:name="_Toc33601266"/>
      <w:bookmarkStart w:id="632" w:name="_Toc82768983"/>
      <w:r w:rsidRPr="00692DC8">
        <w:rPr>
          <w:rFonts w:eastAsia="Times New Roman"/>
        </w:rPr>
        <w:t>Contribuciones a la seguridad social</w:t>
      </w:r>
      <w:bookmarkEnd w:id="630"/>
      <w:bookmarkEnd w:id="631"/>
      <w:bookmarkEnd w:id="632"/>
      <w:r w:rsidR="00521099">
        <w:rPr>
          <w:rFonts w:eastAsiaTheme="majorEastAsia" w:cstheme="majorBidi"/>
          <w:iCs/>
          <w:lang w:val="es-ES"/>
        </w:rPr>
        <w:fldChar w:fldCharType="begin"/>
      </w:r>
      <w:r w:rsidR="00521099">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NOTAS_POR_CUENTA!F248C1:F250C6 </w:instrText>
      </w:r>
      <w:r w:rsidR="00521099">
        <w:rPr>
          <w:lang w:val="es-ES"/>
        </w:rPr>
        <w:instrText xml:space="preserve">\a \f 4 \h </w:instrText>
      </w:r>
      <w:r w:rsidR="00521099">
        <w:rPr>
          <w:b/>
          <w:lang w:val="es-ES"/>
        </w:rPr>
        <w:fldChar w:fldCharType="separate"/>
      </w:r>
    </w:p>
    <w:tbl>
      <w:tblPr>
        <w:tblW w:w="8847" w:type="dxa"/>
        <w:tblCellMar>
          <w:left w:w="70" w:type="dxa"/>
          <w:right w:w="70" w:type="dxa"/>
        </w:tblCellMar>
        <w:tblLook w:val="04A0" w:firstRow="1" w:lastRow="0" w:firstColumn="1" w:lastColumn="0" w:noHBand="0" w:noVBand="1"/>
      </w:tblPr>
      <w:tblGrid>
        <w:gridCol w:w="1333"/>
        <w:gridCol w:w="2667"/>
        <w:gridCol w:w="500"/>
        <w:gridCol w:w="1586"/>
        <w:gridCol w:w="1701"/>
        <w:gridCol w:w="1060"/>
      </w:tblGrid>
      <w:tr w:rsidR="00694299" w:rsidRPr="00694299" w14:paraId="540CA7FB" w14:textId="77777777" w:rsidTr="00873B1C">
        <w:trPr>
          <w:divId w:val="814876569"/>
          <w:trHeight w:val="324"/>
        </w:trPr>
        <w:tc>
          <w:tcPr>
            <w:tcW w:w="133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F0194F7" w14:textId="6B0DB4D6"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66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ABCB6F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4C54ACD"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5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FD35F2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AF75734"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3DD94A8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2602341F" w14:textId="77777777" w:rsidTr="00873B1C">
        <w:trPr>
          <w:divId w:val="814876569"/>
          <w:trHeight w:val="324"/>
        </w:trPr>
        <w:tc>
          <w:tcPr>
            <w:tcW w:w="1333" w:type="dxa"/>
            <w:vMerge/>
            <w:tcBorders>
              <w:top w:val="single" w:sz="8" w:space="0" w:color="auto"/>
              <w:left w:val="single" w:sz="8" w:space="0" w:color="auto"/>
              <w:bottom w:val="single" w:sz="8" w:space="0" w:color="000000"/>
              <w:right w:val="single" w:sz="8" w:space="0" w:color="auto"/>
            </w:tcBorders>
            <w:vAlign w:val="center"/>
            <w:hideMark/>
          </w:tcPr>
          <w:p w14:paraId="049535F5"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667" w:type="dxa"/>
            <w:vMerge/>
            <w:tcBorders>
              <w:top w:val="single" w:sz="8" w:space="0" w:color="auto"/>
              <w:left w:val="single" w:sz="8" w:space="0" w:color="auto"/>
              <w:bottom w:val="single" w:sz="8" w:space="0" w:color="000000"/>
              <w:right w:val="single" w:sz="8" w:space="0" w:color="auto"/>
            </w:tcBorders>
            <w:vAlign w:val="center"/>
            <w:hideMark/>
          </w:tcPr>
          <w:p w14:paraId="6B43AF7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EAEB881"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2FE8EBB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15A8279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6F04CB90"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3B3EBC74" w14:textId="77777777" w:rsidTr="00873B1C">
        <w:trPr>
          <w:divId w:val="814876569"/>
          <w:trHeight w:val="324"/>
        </w:trPr>
        <w:tc>
          <w:tcPr>
            <w:tcW w:w="1333" w:type="dxa"/>
            <w:tcBorders>
              <w:top w:val="nil"/>
              <w:left w:val="single" w:sz="8" w:space="0" w:color="auto"/>
              <w:bottom w:val="single" w:sz="8" w:space="0" w:color="auto"/>
              <w:right w:val="single" w:sz="8" w:space="0" w:color="auto"/>
            </w:tcBorders>
            <w:shd w:val="clear" w:color="auto" w:fill="auto"/>
            <w:noWrap/>
            <w:vAlign w:val="center"/>
            <w:hideMark/>
          </w:tcPr>
          <w:p w14:paraId="3D9656D0"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4.2.1.</w:t>
            </w:r>
          </w:p>
        </w:tc>
        <w:tc>
          <w:tcPr>
            <w:tcW w:w="2667" w:type="dxa"/>
            <w:tcBorders>
              <w:top w:val="nil"/>
              <w:left w:val="nil"/>
              <w:bottom w:val="single" w:sz="8" w:space="0" w:color="auto"/>
              <w:right w:val="single" w:sz="8" w:space="0" w:color="auto"/>
            </w:tcBorders>
            <w:shd w:val="clear" w:color="auto" w:fill="auto"/>
            <w:vAlign w:val="center"/>
            <w:hideMark/>
          </w:tcPr>
          <w:p w14:paraId="4B8D4354"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Contribuciones a la seguridad social</w:t>
            </w:r>
          </w:p>
        </w:tc>
        <w:tc>
          <w:tcPr>
            <w:tcW w:w="500" w:type="dxa"/>
            <w:tcBorders>
              <w:top w:val="nil"/>
              <w:left w:val="nil"/>
              <w:bottom w:val="single" w:sz="8" w:space="0" w:color="auto"/>
              <w:right w:val="single" w:sz="8" w:space="0" w:color="auto"/>
            </w:tcBorders>
            <w:shd w:val="clear" w:color="auto" w:fill="auto"/>
            <w:noWrap/>
            <w:vAlign w:val="center"/>
            <w:hideMark/>
          </w:tcPr>
          <w:p w14:paraId="055CB839"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36</w:t>
            </w:r>
          </w:p>
        </w:tc>
        <w:tc>
          <w:tcPr>
            <w:tcW w:w="1586" w:type="dxa"/>
            <w:tcBorders>
              <w:top w:val="nil"/>
              <w:left w:val="nil"/>
              <w:bottom w:val="single" w:sz="8" w:space="0" w:color="auto"/>
              <w:right w:val="single" w:sz="8" w:space="0" w:color="auto"/>
            </w:tcBorders>
            <w:shd w:val="clear" w:color="auto" w:fill="auto"/>
            <w:noWrap/>
            <w:vAlign w:val="center"/>
            <w:hideMark/>
          </w:tcPr>
          <w:p w14:paraId="511419DB"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701" w:type="dxa"/>
            <w:tcBorders>
              <w:top w:val="nil"/>
              <w:left w:val="nil"/>
              <w:bottom w:val="single" w:sz="8" w:space="0" w:color="auto"/>
              <w:right w:val="single" w:sz="8" w:space="0" w:color="auto"/>
            </w:tcBorders>
            <w:shd w:val="clear" w:color="auto" w:fill="auto"/>
            <w:noWrap/>
            <w:vAlign w:val="center"/>
            <w:hideMark/>
          </w:tcPr>
          <w:p w14:paraId="0B30B46A"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6685EF6B"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5A56A5EA" w14:textId="77777777" w:rsidR="00694299" w:rsidRPr="00694299" w:rsidRDefault="00521099"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NOTAS_POR_CUENTA!F250C8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5FD03085" w14:textId="77777777" w:rsidR="00694299" w:rsidRPr="00694299" w:rsidRDefault="00694299" w:rsidP="002F52C1">
      <w:pPr>
        <w:spacing w:line="240" w:lineRule="auto"/>
        <w:rPr>
          <w:rFonts w:eastAsia="Times New Roman" w:cs="Calibri"/>
          <w:color w:val="000000"/>
          <w:lang w:eastAsia="es-CR"/>
        </w:rPr>
      </w:pPr>
      <w:r w:rsidRPr="00694299">
        <w:rPr>
          <w:rFonts w:eastAsia="Times New Roman" w:cs="Calibri"/>
          <w:color w:val="000000"/>
          <w:lang w:eastAsia="es-CR"/>
        </w:rPr>
        <w:t>La cuenta Contribuciones a la seguridad social, representa el 0,00% del total del Ingresos, que comparado al periodo anterior genera una variación absoluta de 0 000,00 que corresponde a un Aumento del 0,00% de recursos disponibles.</w:t>
      </w:r>
    </w:p>
    <w:p w14:paraId="54FD3419" w14:textId="5764A69B" w:rsidR="00623120" w:rsidRDefault="00521099" w:rsidP="002F52C1">
      <w:pPr>
        <w:spacing w:line="240" w:lineRule="auto"/>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8B65D32" w14:textId="77777777" w:rsidR="002F52C1" w:rsidRDefault="002F52C1" w:rsidP="002F52C1">
      <w:pPr>
        <w:spacing w:line="240" w:lineRule="auto"/>
      </w:pPr>
    </w:p>
    <w:p w14:paraId="23122C64" w14:textId="77777777" w:rsidR="002F52C1" w:rsidRPr="00623120" w:rsidRDefault="002F52C1" w:rsidP="002F52C1">
      <w:pPr>
        <w:spacing w:line="240" w:lineRule="auto"/>
        <w:rPr>
          <w:rFonts w:eastAsiaTheme="minorEastAsia" w:cs="Arial Narrow"/>
          <w:color w:val="000000"/>
          <w:lang w:eastAsia="es-CR"/>
        </w:rPr>
      </w:pPr>
    </w:p>
    <w:p w14:paraId="57245463" w14:textId="77777777" w:rsidR="00692DC8" w:rsidRPr="00692DC8" w:rsidRDefault="00692DC8" w:rsidP="00623120">
      <w:pPr>
        <w:pStyle w:val="Ttulo4"/>
        <w:spacing w:after="240"/>
        <w:rPr>
          <w:rFonts w:eastAsia="Times New Roman"/>
        </w:rPr>
      </w:pPr>
      <w:bookmarkStart w:id="633" w:name="_Toc14344790"/>
      <w:bookmarkStart w:id="634" w:name="_Toc33601267"/>
      <w:bookmarkStart w:id="635" w:name="_Toc82768984"/>
      <w:bookmarkStart w:id="636" w:name="_Toc173245270"/>
      <w:r w:rsidRPr="00692DC8">
        <w:rPr>
          <w:rFonts w:eastAsia="Times New Roman"/>
        </w:rPr>
        <w:t>NOTA N° 37</w:t>
      </w:r>
      <w:bookmarkEnd w:id="633"/>
      <w:bookmarkEnd w:id="634"/>
      <w:bookmarkEnd w:id="635"/>
      <w:bookmarkEnd w:id="636"/>
    </w:p>
    <w:p w14:paraId="18AC543F" w14:textId="77777777" w:rsidR="00694299" w:rsidRDefault="00692DC8" w:rsidP="00323752">
      <w:pPr>
        <w:spacing w:before="240"/>
        <w:rPr>
          <w:rFonts w:asciiTheme="minorHAnsi" w:hAnsiTheme="minorHAnsi"/>
          <w:sz w:val="22"/>
        </w:rPr>
      </w:pPr>
      <w:bookmarkStart w:id="637" w:name="_Toc14344791"/>
      <w:bookmarkStart w:id="638" w:name="_Toc33601268"/>
      <w:bookmarkStart w:id="639" w:name="_Toc82768985"/>
      <w:r w:rsidRPr="00692DC8">
        <w:rPr>
          <w:rFonts w:eastAsia="Times New Roman"/>
        </w:rPr>
        <w:t xml:space="preserve">Contribuciones </w:t>
      </w:r>
      <w:bookmarkEnd w:id="637"/>
      <w:bookmarkEnd w:id="638"/>
      <w:r w:rsidRPr="00692DC8">
        <w:rPr>
          <w:rFonts w:eastAsia="Times New Roman"/>
        </w:rPr>
        <w:t>sociales diversas</w:t>
      </w:r>
      <w:bookmarkEnd w:id="639"/>
      <w:r w:rsidR="00521099">
        <w:rPr>
          <w:rFonts w:eastAsiaTheme="majorEastAsia" w:cstheme="majorBidi"/>
          <w:iCs/>
          <w:lang w:val="es-ES"/>
        </w:rPr>
        <w:fldChar w:fldCharType="begin"/>
      </w:r>
      <w:r w:rsidR="00521099">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NOTAS_POR_CUENTA!F252C1:F254C6 </w:instrText>
      </w:r>
      <w:r w:rsidR="00521099">
        <w:rPr>
          <w:lang w:val="es-ES"/>
        </w:rPr>
        <w:instrText xml:space="preserve">\a \f 4 \h </w:instrText>
      </w:r>
      <w:r w:rsidR="00521099">
        <w:rPr>
          <w:b/>
          <w:lang w:val="es-ES"/>
        </w:rPr>
        <w:fldChar w:fldCharType="separate"/>
      </w:r>
    </w:p>
    <w:tbl>
      <w:tblPr>
        <w:tblW w:w="8847" w:type="dxa"/>
        <w:tblCellMar>
          <w:left w:w="70" w:type="dxa"/>
          <w:right w:w="70" w:type="dxa"/>
        </w:tblCellMar>
        <w:tblLook w:val="04A0" w:firstRow="1" w:lastRow="0" w:firstColumn="1" w:lastColumn="0" w:noHBand="0" w:noVBand="1"/>
      </w:tblPr>
      <w:tblGrid>
        <w:gridCol w:w="1333"/>
        <w:gridCol w:w="2667"/>
        <w:gridCol w:w="500"/>
        <w:gridCol w:w="1586"/>
        <w:gridCol w:w="1701"/>
        <w:gridCol w:w="1060"/>
      </w:tblGrid>
      <w:tr w:rsidR="00694299" w:rsidRPr="00694299" w14:paraId="250F053D" w14:textId="77777777" w:rsidTr="00873B1C">
        <w:trPr>
          <w:divId w:val="868374958"/>
          <w:trHeight w:val="324"/>
        </w:trPr>
        <w:tc>
          <w:tcPr>
            <w:tcW w:w="133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E1AE748" w14:textId="52B58496"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66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927B7E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3C717C6"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5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7E7CE4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2E0B72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1E04DA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32E37FEB" w14:textId="77777777" w:rsidTr="00873B1C">
        <w:trPr>
          <w:divId w:val="868374958"/>
          <w:trHeight w:val="324"/>
        </w:trPr>
        <w:tc>
          <w:tcPr>
            <w:tcW w:w="1333" w:type="dxa"/>
            <w:vMerge/>
            <w:tcBorders>
              <w:top w:val="single" w:sz="8" w:space="0" w:color="auto"/>
              <w:left w:val="single" w:sz="8" w:space="0" w:color="auto"/>
              <w:bottom w:val="single" w:sz="8" w:space="0" w:color="000000"/>
              <w:right w:val="single" w:sz="8" w:space="0" w:color="auto"/>
            </w:tcBorders>
            <w:vAlign w:val="center"/>
            <w:hideMark/>
          </w:tcPr>
          <w:p w14:paraId="4C48B047"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667" w:type="dxa"/>
            <w:vMerge/>
            <w:tcBorders>
              <w:top w:val="single" w:sz="8" w:space="0" w:color="auto"/>
              <w:left w:val="single" w:sz="8" w:space="0" w:color="auto"/>
              <w:bottom w:val="single" w:sz="8" w:space="0" w:color="000000"/>
              <w:right w:val="single" w:sz="8" w:space="0" w:color="auto"/>
            </w:tcBorders>
            <w:vAlign w:val="center"/>
            <w:hideMark/>
          </w:tcPr>
          <w:p w14:paraId="1B9F79B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00C7CB4"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0A18D37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7575606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3300705D"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4A464512" w14:textId="77777777" w:rsidTr="00873B1C">
        <w:trPr>
          <w:divId w:val="868374958"/>
          <w:trHeight w:val="324"/>
        </w:trPr>
        <w:tc>
          <w:tcPr>
            <w:tcW w:w="1333" w:type="dxa"/>
            <w:tcBorders>
              <w:top w:val="nil"/>
              <w:left w:val="single" w:sz="8" w:space="0" w:color="auto"/>
              <w:bottom w:val="single" w:sz="8" w:space="0" w:color="auto"/>
              <w:right w:val="single" w:sz="8" w:space="0" w:color="auto"/>
            </w:tcBorders>
            <w:shd w:val="clear" w:color="auto" w:fill="auto"/>
            <w:noWrap/>
            <w:vAlign w:val="center"/>
            <w:hideMark/>
          </w:tcPr>
          <w:p w14:paraId="5CAF35EF"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4.2.9.</w:t>
            </w:r>
          </w:p>
        </w:tc>
        <w:tc>
          <w:tcPr>
            <w:tcW w:w="2667" w:type="dxa"/>
            <w:tcBorders>
              <w:top w:val="nil"/>
              <w:left w:val="nil"/>
              <w:bottom w:val="single" w:sz="8" w:space="0" w:color="auto"/>
              <w:right w:val="single" w:sz="8" w:space="0" w:color="auto"/>
            </w:tcBorders>
            <w:shd w:val="clear" w:color="auto" w:fill="auto"/>
            <w:vAlign w:val="center"/>
            <w:hideMark/>
          </w:tcPr>
          <w:p w14:paraId="48B4EA50"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Contribuciones sociales diversas</w:t>
            </w:r>
          </w:p>
        </w:tc>
        <w:tc>
          <w:tcPr>
            <w:tcW w:w="500" w:type="dxa"/>
            <w:tcBorders>
              <w:top w:val="nil"/>
              <w:left w:val="nil"/>
              <w:bottom w:val="single" w:sz="8" w:space="0" w:color="auto"/>
              <w:right w:val="single" w:sz="8" w:space="0" w:color="auto"/>
            </w:tcBorders>
            <w:shd w:val="clear" w:color="auto" w:fill="auto"/>
            <w:noWrap/>
            <w:vAlign w:val="center"/>
            <w:hideMark/>
          </w:tcPr>
          <w:p w14:paraId="5F8DECC2"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37</w:t>
            </w:r>
          </w:p>
        </w:tc>
        <w:tc>
          <w:tcPr>
            <w:tcW w:w="1586" w:type="dxa"/>
            <w:tcBorders>
              <w:top w:val="nil"/>
              <w:left w:val="nil"/>
              <w:bottom w:val="single" w:sz="8" w:space="0" w:color="auto"/>
              <w:right w:val="single" w:sz="8" w:space="0" w:color="auto"/>
            </w:tcBorders>
            <w:shd w:val="clear" w:color="auto" w:fill="auto"/>
            <w:noWrap/>
            <w:vAlign w:val="center"/>
            <w:hideMark/>
          </w:tcPr>
          <w:p w14:paraId="62C0A551"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701" w:type="dxa"/>
            <w:tcBorders>
              <w:top w:val="nil"/>
              <w:left w:val="nil"/>
              <w:bottom w:val="single" w:sz="8" w:space="0" w:color="auto"/>
              <w:right w:val="single" w:sz="8" w:space="0" w:color="auto"/>
            </w:tcBorders>
            <w:shd w:val="clear" w:color="auto" w:fill="auto"/>
            <w:noWrap/>
            <w:vAlign w:val="center"/>
            <w:hideMark/>
          </w:tcPr>
          <w:p w14:paraId="13930246"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09CAF5D9"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633C1C9A" w14:textId="77777777" w:rsidR="00694299" w:rsidRPr="00694299" w:rsidRDefault="00521099"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NOTAS_POR_CUENTA!F254C8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630B2DB3" w14:textId="77777777" w:rsidR="00694299" w:rsidRPr="00694299" w:rsidRDefault="00694299" w:rsidP="002F52C1">
      <w:pPr>
        <w:spacing w:line="240" w:lineRule="auto"/>
        <w:rPr>
          <w:rFonts w:eastAsia="Times New Roman" w:cs="Calibri"/>
          <w:color w:val="000000"/>
          <w:lang w:eastAsia="es-CR"/>
        </w:rPr>
      </w:pPr>
      <w:r w:rsidRPr="00694299">
        <w:rPr>
          <w:rFonts w:eastAsia="Times New Roman" w:cs="Calibri"/>
          <w:color w:val="000000"/>
          <w:lang w:eastAsia="es-CR"/>
        </w:rPr>
        <w:t>La cuenta Contribuciones sociales diversas, representa el 0,00% del total del Ingresos, que comparado al periodo anterior genera una variación absoluta de 0 000,00 que corresponde a un Aumento del 0,00% de recursos disponibles.</w:t>
      </w:r>
    </w:p>
    <w:p w14:paraId="725A43B0" w14:textId="333883D2" w:rsidR="00692DC8" w:rsidRPr="00692DC8" w:rsidRDefault="00521099" w:rsidP="002F52C1">
      <w:pPr>
        <w:spacing w:line="240" w:lineRule="auto"/>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78A830D5" w14:textId="03D6FE17" w:rsidR="00692DC8" w:rsidRDefault="00692DC8" w:rsidP="00623120">
      <w:pPr>
        <w:rPr>
          <w:szCs w:val="24"/>
        </w:rPr>
      </w:pPr>
    </w:p>
    <w:p w14:paraId="69DE5B45" w14:textId="77777777" w:rsidR="00DE143D" w:rsidRPr="00692DC8" w:rsidRDefault="00DE143D" w:rsidP="00623120">
      <w:pPr>
        <w:rPr>
          <w:szCs w:val="24"/>
        </w:rPr>
      </w:pPr>
    </w:p>
    <w:p w14:paraId="67665CA1" w14:textId="77777777" w:rsidR="00692DC8" w:rsidRPr="00692DC8" w:rsidRDefault="00692DC8" w:rsidP="00623120">
      <w:pPr>
        <w:pStyle w:val="Ttulo3"/>
        <w:rPr>
          <w:rFonts w:eastAsia="Calibri"/>
          <w:lang w:eastAsia="es-CR"/>
        </w:rPr>
      </w:pPr>
      <w:bookmarkStart w:id="640" w:name="_Toc82768986"/>
      <w:bookmarkStart w:id="641" w:name="_Toc173245271"/>
      <w:r w:rsidRPr="00692DC8">
        <w:rPr>
          <w:rFonts w:eastAsia="Calibri"/>
          <w:lang w:eastAsia="es-CR"/>
        </w:rPr>
        <w:t>4.3 MULTAS, SANCIONES, REMATES Y CONFISCACIONES DE ORIGEN NO TRIBUTARIO</w:t>
      </w:r>
      <w:bookmarkEnd w:id="640"/>
      <w:bookmarkEnd w:id="641"/>
    </w:p>
    <w:p w14:paraId="5CFC7310" w14:textId="77777777" w:rsidR="00692DC8" w:rsidRPr="00692DC8" w:rsidRDefault="00692DC8" w:rsidP="00623120">
      <w:pPr>
        <w:pStyle w:val="Ttulo4"/>
        <w:spacing w:after="240"/>
        <w:rPr>
          <w:rFonts w:eastAsia="Times New Roman"/>
        </w:rPr>
      </w:pPr>
      <w:bookmarkStart w:id="642" w:name="_Toc14344794"/>
      <w:bookmarkStart w:id="643" w:name="_Toc33601269"/>
      <w:bookmarkStart w:id="644" w:name="_Toc82768987"/>
      <w:bookmarkStart w:id="645" w:name="_Toc173245272"/>
      <w:r w:rsidRPr="00692DC8">
        <w:rPr>
          <w:rFonts w:eastAsia="Times New Roman"/>
        </w:rPr>
        <w:t>NOTA N° 38</w:t>
      </w:r>
      <w:bookmarkEnd w:id="642"/>
      <w:bookmarkEnd w:id="643"/>
      <w:bookmarkEnd w:id="644"/>
      <w:bookmarkEnd w:id="645"/>
    </w:p>
    <w:p w14:paraId="73BD3F57" w14:textId="77777777" w:rsidR="00694299" w:rsidRDefault="00692DC8" w:rsidP="00323752">
      <w:pPr>
        <w:spacing w:before="240"/>
        <w:rPr>
          <w:rFonts w:asciiTheme="minorHAnsi" w:hAnsiTheme="minorHAnsi"/>
          <w:sz w:val="22"/>
        </w:rPr>
      </w:pPr>
      <w:bookmarkStart w:id="646" w:name="_Toc14344795"/>
      <w:bookmarkStart w:id="647" w:name="_Toc33601270"/>
      <w:bookmarkStart w:id="648" w:name="_Toc82768988"/>
      <w:r w:rsidRPr="00692DC8">
        <w:rPr>
          <w:rFonts w:eastAsia="Times New Roman"/>
        </w:rPr>
        <w:t>Multas y sanciones administrativas</w:t>
      </w:r>
      <w:bookmarkEnd w:id="646"/>
      <w:bookmarkEnd w:id="647"/>
      <w:bookmarkEnd w:id="648"/>
      <w:r w:rsidR="00521099">
        <w:rPr>
          <w:rFonts w:eastAsiaTheme="majorEastAsia" w:cstheme="majorBidi"/>
          <w:iCs/>
          <w:lang w:val="es-ES"/>
        </w:rPr>
        <w:fldChar w:fldCharType="begin"/>
      </w:r>
      <w:r w:rsidR="00521099">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NOTAS_POR_CUENTA!F256C1:F258C6 </w:instrText>
      </w:r>
      <w:r w:rsidR="00521099">
        <w:rPr>
          <w:lang w:val="es-ES"/>
        </w:rPr>
        <w:instrText xml:space="preserve">\a \f 4 \h </w:instrText>
      </w:r>
      <w:r w:rsidR="00521099">
        <w:rPr>
          <w:b/>
          <w:lang w:val="es-ES"/>
        </w:rPr>
        <w:fldChar w:fldCharType="separate"/>
      </w:r>
    </w:p>
    <w:tbl>
      <w:tblPr>
        <w:tblW w:w="8847" w:type="dxa"/>
        <w:tblCellMar>
          <w:left w:w="70" w:type="dxa"/>
          <w:right w:w="70" w:type="dxa"/>
        </w:tblCellMar>
        <w:tblLook w:val="04A0" w:firstRow="1" w:lastRow="0" w:firstColumn="1" w:lastColumn="0" w:noHBand="0" w:noVBand="1"/>
      </w:tblPr>
      <w:tblGrid>
        <w:gridCol w:w="1833"/>
        <w:gridCol w:w="2167"/>
        <w:gridCol w:w="500"/>
        <w:gridCol w:w="1586"/>
        <w:gridCol w:w="1701"/>
        <w:gridCol w:w="1060"/>
      </w:tblGrid>
      <w:tr w:rsidR="00694299" w:rsidRPr="00694299" w14:paraId="4DDE83AA" w14:textId="77777777" w:rsidTr="00873B1C">
        <w:trPr>
          <w:divId w:val="75834115"/>
          <w:trHeight w:val="324"/>
        </w:trPr>
        <w:tc>
          <w:tcPr>
            <w:tcW w:w="183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31BE1DF" w14:textId="7DA9BCCF"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16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FB502AD"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E34787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5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DFD7FD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11E071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6802C8CE"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561BF1AF" w14:textId="77777777" w:rsidTr="00873B1C">
        <w:trPr>
          <w:divId w:val="75834115"/>
          <w:trHeight w:val="324"/>
        </w:trPr>
        <w:tc>
          <w:tcPr>
            <w:tcW w:w="1833" w:type="dxa"/>
            <w:vMerge/>
            <w:tcBorders>
              <w:top w:val="single" w:sz="8" w:space="0" w:color="auto"/>
              <w:left w:val="single" w:sz="8" w:space="0" w:color="auto"/>
              <w:bottom w:val="single" w:sz="8" w:space="0" w:color="000000"/>
              <w:right w:val="single" w:sz="8" w:space="0" w:color="auto"/>
            </w:tcBorders>
            <w:vAlign w:val="center"/>
            <w:hideMark/>
          </w:tcPr>
          <w:p w14:paraId="6C6E021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7" w:type="dxa"/>
            <w:vMerge/>
            <w:tcBorders>
              <w:top w:val="single" w:sz="8" w:space="0" w:color="auto"/>
              <w:left w:val="single" w:sz="8" w:space="0" w:color="auto"/>
              <w:bottom w:val="single" w:sz="8" w:space="0" w:color="000000"/>
              <w:right w:val="single" w:sz="8" w:space="0" w:color="auto"/>
            </w:tcBorders>
            <w:vAlign w:val="center"/>
            <w:hideMark/>
          </w:tcPr>
          <w:p w14:paraId="535458A5"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5D995A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674FB841"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785C8E7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1D29146"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7624B72D" w14:textId="77777777" w:rsidTr="00873B1C">
        <w:trPr>
          <w:divId w:val="75834115"/>
          <w:trHeight w:val="324"/>
        </w:trPr>
        <w:tc>
          <w:tcPr>
            <w:tcW w:w="1833" w:type="dxa"/>
            <w:tcBorders>
              <w:top w:val="nil"/>
              <w:left w:val="single" w:sz="8" w:space="0" w:color="auto"/>
              <w:bottom w:val="single" w:sz="8" w:space="0" w:color="auto"/>
              <w:right w:val="single" w:sz="8" w:space="0" w:color="auto"/>
            </w:tcBorders>
            <w:shd w:val="clear" w:color="auto" w:fill="auto"/>
            <w:noWrap/>
            <w:vAlign w:val="center"/>
            <w:hideMark/>
          </w:tcPr>
          <w:p w14:paraId="0913BCD1"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4.3.1.</w:t>
            </w:r>
          </w:p>
        </w:tc>
        <w:tc>
          <w:tcPr>
            <w:tcW w:w="2167" w:type="dxa"/>
            <w:tcBorders>
              <w:top w:val="nil"/>
              <w:left w:val="nil"/>
              <w:bottom w:val="single" w:sz="8" w:space="0" w:color="auto"/>
              <w:right w:val="single" w:sz="8" w:space="0" w:color="auto"/>
            </w:tcBorders>
            <w:shd w:val="clear" w:color="auto" w:fill="auto"/>
            <w:vAlign w:val="center"/>
            <w:hideMark/>
          </w:tcPr>
          <w:p w14:paraId="553F432A"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Multas y sanciones administrativas</w:t>
            </w:r>
          </w:p>
        </w:tc>
        <w:tc>
          <w:tcPr>
            <w:tcW w:w="500" w:type="dxa"/>
            <w:tcBorders>
              <w:top w:val="nil"/>
              <w:left w:val="nil"/>
              <w:bottom w:val="single" w:sz="8" w:space="0" w:color="auto"/>
              <w:right w:val="single" w:sz="8" w:space="0" w:color="auto"/>
            </w:tcBorders>
            <w:shd w:val="clear" w:color="auto" w:fill="auto"/>
            <w:noWrap/>
            <w:vAlign w:val="center"/>
            <w:hideMark/>
          </w:tcPr>
          <w:p w14:paraId="770086A9"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38</w:t>
            </w:r>
          </w:p>
        </w:tc>
        <w:tc>
          <w:tcPr>
            <w:tcW w:w="1586" w:type="dxa"/>
            <w:tcBorders>
              <w:top w:val="nil"/>
              <w:left w:val="nil"/>
              <w:bottom w:val="single" w:sz="8" w:space="0" w:color="auto"/>
              <w:right w:val="single" w:sz="8" w:space="0" w:color="auto"/>
            </w:tcBorders>
            <w:shd w:val="clear" w:color="auto" w:fill="auto"/>
            <w:noWrap/>
            <w:vAlign w:val="center"/>
            <w:hideMark/>
          </w:tcPr>
          <w:p w14:paraId="6A3AEA84"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701" w:type="dxa"/>
            <w:tcBorders>
              <w:top w:val="nil"/>
              <w:left w:val="nil"/>
              <w:bottom w:val="single" w:sz="8" w:space="0" w:color="auto"/>
              <w:right w:val="single" w:sz="8" w:space="0" w:color="auto"/>
            </w:tcBorders>
            <w:shd w:val="clear" w:color="auto" w:fill="auto"/>
            <w:noWrap/>
            <w:vAlign w:val="center"/>
            <w:hideMark/>
          </w:tcPr>
          <w:p w14:paraId="7143C429"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4FC93C8C"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7A7E0F3A" w14:textId="77777777" w:rsidR="00694299" w:rsidRPr="00694299" w:rsidRDefault="00521099"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NOTAS_POR_CUENTA!F258C8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46BBB719" w14:textId="77777777" w:rsidR="00694299" w:rsidRPr="00694299" w:rsidRDefault="00694299" w:rsidP="002F52C1">
      <w:pPr>
        <w:spacing w:line="240" w:lineRule="auto"/>
        <w:rPr>
          <w:rFonts w:eastAsia="Times New Roman" w:cs="Calibri"/>
          <w:color w:val="000000"/>
          <w:lang w:eastAsia="es-CR"/>
        </w:rPr>
      </w:pPr>
      <w:r w:rsidRPr="00694299">
        <w:rPr>
          <w:rFonts w:eastAsia="Times New Roman" w:cs="Calibri"/>
          <w:color w:val="000000"/>
          <w:lang w:eastAsia="es-CR"/>
        </w:rPr>
        <w:t>La cuenta Multas y sanciones administrativas, representa el 0,00% del total del Ingresos, que comparado al periodo anterior genera una variación absoluta de 0 000,00 que corresponde a un Aumento del 0,00% de recursos disponibles.</w:t>
      </w:r>
    </w:p>
    <w:p w14:paraId="5EC6BB5B" w14:textId="36717FEA" w:rsidR="00692DC8" w:rsidRPr="00692DC8" w:rsidRDefault="00521099" w:rsidP="002F52C1">
      <w:pPr>
        <w:spacing w:line="240" w:lineRule="auto"/>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15350E47" w14:textId="77777777" w:rsidR="00DE143D" w:rsidRPr="00692DC8" w:rsidRDefault="00DE143D" w:rsidP="00623120">
      <w:pPr>
        <w:rPr>
          <w:b/>
          <w:szCs w:val="24"/>
        </w:rPr>
      </w:pPr>
    </w:p>
    <w:p w14:paraId="59E05C33" w14:textId="77777777" w:rsidR="00692DC8" w:rsidRPr="00692DC8" w:rsidRDefault="00692DC8" w:rsidP="00623120">
      <w:pPr>
        <w:pStyle w:val="Ttulo4"/>
        <w:spacing w:after="240"/>
        <w:rPr>
          <w:rFonts w:eastAsia="Times New Roman"/>
        </w:rPr>
      </w:pPr>
      <w:bookmarkStart w:id="649" w:name="_Toc14344800"/>
      <w:bookmarkStart w:id="650" w:name="_Toc33601271"/>
      <w:bookmarkStart w:id="651" w:name="_Toc82768989"/>
      <w:bookmarkStart w:id="652" w:name="_Toc173245273"/>
      <w:r w:rsidRPr="00692DC8">
        <w:rPr>
          <w:rFonts w:eastAsia="Times New Roman"/>
        </w:rPr>
        <w:t>NOTA N° 39</w:t>
      </w:r>
      <w:bookmarkEnd w:id="649"/>
      <w:bookmarkEnd w:id="650"/>
      <w:bookmarkEnd w:id="651"/>
      <w:bookmarkEnd w:id="652"/>
    </w:p>
    <w:p w14:paraId="59FF3A22" w14:textId="77777777" w:rsidR="00694299" w:rsidRDefault="00692DC8" w:rsidP="00323752">
      <w:pPr>
        <w:spacing w:before="240"/>
        <w:rPr>
          <w:rFonts w:asciiTheme="minorHAnsi" w:hAnsiTheme="minorHAnsi"/>
          <w:sz w:val="22"/>
        </w:rPr>
      </w:pPr>
      <w:bookmarkStart w:id="653" w:name="_Toc14344801"/>
      <w:bookmarkStart w:id="654" w:name="_Toc33601272"/>
      <w:bookmarkStart w:id="655" w:name="_Toc82768990"/>
      <w:r w:rsidRPr="00692DC8">
        <w:rPr>
          <w:rFonts w:eastAsia="Times New Roman"/>
        </w:rPr>
        <w:t>Remates y confiscaciones de origen no tributario</w:t>
      </w:r>
      <w:bookmarkEnd w:id="653"/>
      <w:bookmarkEnd w:id="654"/>
      <w:bookmarkEnd w:id="655"/>
      <w:r w:rsidR="00521099">
        <w:rPr>
          <w:rFonts w:eastAsiaTheme="majorEastAsia" w:cstheme="majorBidi"/>
          <w:iCs/>
          <w:lang w:val="es-ES"/>
        </w:rPr>
        <w:fldChar w:fldCharType="begin"/>
      </w:r>
      <w:r w:rsidR="00521099">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NOTAS_POR_CUENTA!F260C1:F262C6 </w:instrText>
      </w:r>
      <w:r w:rsidR="00521099">
        <w:rPr>
          <w:lang w:val="es-ES"/>
        </w:rPr>
        <w:instrText xml:space="preserve">\a \f 4 \h </w:instrText>
      </w:r>
      <w:r w:rsidR="00521099">
        <w:rPr>
          <w:b/>
          <w:lang w:val="es-ES"/>
        </w:rPr>
        <w:fldChar w:fldCharType="separate"/>
      </w:r>
    </w:p>
    <w:tbl>
      <w:tblPr>
        <w:tblW w:w="8847" w:type="dxa"/>
        <w:tblCellMar>
          <w:left w:w="70" w:type="dxa"/>
          <w:right w:w="70" w:type="dxa"/>
        </w:tblCellMar>
        <w:tblLook w:val="04A0" w:firstRow="1" w:lastRow="0" w:firstColumn="1" w:lastColumn="0" w:noHBand="0" w:noVBand="1"/>
      </w:tblPr>
      <w:tblGrid>
        <w:gridCol w:w="1312"/>
        <w:gridCol w:w="2688"/>
        <w:gridCol w:w="500"/>
        <w:gridCol w:w="1586"/>
        <w:gridCol w:w="1701"/>
        <w:gridCol w:w="1060"/>
      </w:tblGrid>
      <w:tr w:rsidR="00694299" w:rsidRPr="00694299" w14:paraId="74554C04" w14:textId="77777777" w:rsidTr="00873B1C">
        <w:trPr>
          <w:divId w:val="761998709"/>
          <w:trHeight w:val="324"/>
        </w:trPr>
        <w:tc>
          <w:tcPr>
            <w:tcW w:w="1312"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123CA33" w14:textId="2E7502F5"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688"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510A83E"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B1348A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5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DD8580A"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FB631DA"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6BA35734"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643D4757" w14:textId="77777777" w:rsidTr="00873B1C">
        <w:trPr>
          <w:divId w:val="761998709"/>
          <w:trHeight w:val="324"/>
        </w:trPr>
        <w:tc>
          <w:tcPr>
            <w:tcW w:w="1312" w:type="dxa"/>
            <w:vMerge/>
            <w:tcBorders>
              <w:top w:val="single" w:sz="8" w:space="0" w:color="auto"/>
              <w:left w:val="single" w:sz="8" w:space="0" w:color="auto"/>
              <w:bottom w:val="single" w:sz="8" w:space="0" w:color="000000"/>
              <w:right w:val="single" w:sz="8" w:space="0" w:color="auto"/>
            </w:tcBorders>
            <w:vAlign w:val="center"/>
            <w:hideMark/>
          </w:tcPr>
          <w:p w14:paraId="0752257A"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688" w:type="dxa"/>
            <w:vMerge/>
            <w:tcBorders>
              <w:top w:val="single" w:sz="8" w:space="0" w:color="auto"/>
              <w:left w:val="single" w:sz="8" w:space="0" w:color="auto"/>
              <w:bottom w:val="single" w:sz="8" w:space="0" w:color="000000"/>
              <w:right w:val="single" w:sz="8" w:space="0" w:color="auto"/>
            </w:tcBorders>
            <w:vAlign w:val="center"/>
            <w:hideMark/>
          </w:tcPr>
          <w:p w14:paraId="75745BB6"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BEF3D45"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740E461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62A50D1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70F4390B"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098CE548" w14:textId="77777777" w:rsidTr="00873B1C">
        <w:trPr>
          <w:divId w:val="761998709"/>
          <w:trHeight w:val="540"/>
        </w:trPr>
        <w:tc>
          <w:tcPr>
            <w:tcW w:w="1312" w:type="dxa"/>
            <w:tcBorders>
              <w:top w:val="nil"/>
              <w:left w:val="single" w:sz="8" w:space="0" w:color="auto"/>
              <w:bottom w:val="single" w:sz="8" w:space="0" w:color="auto"/>
              <w:right w:val="single" w:sz="8" w:space="0" w:color="auto"/>
            </w:tcBorders>
            <w:shd w:val="clear" w:color="auto" w:fill="auto"/>
            <w:noWrap/>
            <w:vAlign w:val="center"/>
            <w:hideMark/>
          </w:tcPr>
          <w:p w14:paraId="1DE6C79F"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4.3.2.</w:t>
            </w:r>
          </w:p>
        </w:tc>
        <w:tc>
          <w:tcPr>
            <w:tcW w:w="2688" w:type="dxa"/>
            <w:tcBorders>
              <w:top w:val="nil"/>
              <w:left w:val="nil"/>
              <w:bottom w:val="single" w:sz="8" w:space="0" w:color="auto"/>
              <w:right w:val="single" w:sz="8" w:space="0" w:color="auto"/>
            </w:tcBorders>
            <w:shd w:val="clear" w:color="auto" w:fill="auto"/>
            <w:vAlign w:val="center"/>
            <w:hideMark/>
          </w:tcPr>
          <w:p w14:paraId="3984F1A2"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Remates y confiscaciones de origen no tributario</w:t>
            </w:r>
          </w:p>
        </w:tc>
        <w:tc>
          <w:tcPr>
            <w:tcW w:w="500" w:type="dxa"/>
            <w:tcBorders>
              <w:top w:val="nil"/>
              <w:left w:val="nil"/>
              <w:bottom w:val="single" w:sz="8" w:space="0" w:color="auto"/>
              <w:right w:val="single" w:sz="8" w:space="0" w:color="auto"/>
            </w:tcBorders>
            <w:shd w:val="clear" w:color="auto" w:fill="auto"/>
            <w:noWrap/>
            <w:vAlign w:val="center"/>
            <w:hideMark/>
          </w:tcPr>
          <w:p w14:paraId="3C36A9A5"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39</w:t>
            </w:r>
          </w:p>
        </w:tc>
        <w:tc>
          <w:tcPr>
            <w:tcW w:w="1586" w:type="dxa"/>
            <w:tcBorders>
              <w:top w:val="nil"/>
              <w:left w:val="nil"/>
              <w:bottom w:val="single" w:sz="8" w:space="0" w:color="auto"/>
              <w:right w:val="single" w:sz="8" w:space="0" w:color="auto"/>
            </w:tcBorders>
            <w:shd w:val="clear" w:color="auto" w:fill="auto"/>
            <w:noWrap/>
            <w:vAlign w:val="center"/>
            <w:hideMark/>
          </w:tcPr>
          <w:p w14:paraId="1816F7F5"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701" w:type="dxa"/>
            <w:tcBorders>
              <w:top w:val="nil"/>
              <w:left w:val="nil"/>
              <w:bottom w:val="single" w:sz="8" w:space="0" w:color="auto"/>
              <w:right w:val="single" w:sz="8" w:space="0" w:color="auto"/>
            </w:tcBorders>
            <w:shd w:val="clear" w:color="auto" w:fill="auto"/>
            <w:noWrap/>
            <w:vAlign w:val="center"/>
            <w:hideMark/>
          </w:tcPr>
          <w:p w14:paraId="443343C0"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7DBAFD1B"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1A9C8E71" w14:textId="77777777" w:rsidR="00694299" w:rsidRPr="00694299" w:rsidRDefault="00521099" w:rsidP="00694299">
      <w:pPr>
        <w:spacing w:before="240"/>
        <w:rPr>
          <w:b/>
          <w:lang w:val="es-ES"/>
        </w:rPr>
      </w:pPr>
      <w:r>
        <w:rPr>
          <w:b/>
          <w:lang w:val="es-ES"/>
        </w:rPr>
        <w:fldChar w:fldCharType="end"/>
      </w:r>
      <w:r w:rsidR="00692DC8" w:rsidRPr="00623120">
        <w:rPr>
          <w:b/>
          <w:lang w:val="es-ES"/>
        </w:rPr>
        <w:t xml:space="preserve">Revelación: </w:t>
      </w:r>
      <w:bookmarkStart w:id="656" w:name="_Toc14344804"/>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NOTAS_POR_CUENTA!F262C8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03577D95" w14:textId="77777777" w:rsidR="00694299" w:rsidRPr="00694299" w:rsidRDefault="00694299" w:rsidP="002F52C1">
      <w:pPr>
        <w:spacing w:line="240" w:lineRule="auto"/>
        <w:rPr>
          <w:rFonts w:eastAsia="Times New Roman" w:cs="Calibri"/>
          <w:color w:val="000000"/>
          <w:lang w:eastAsia="es-CR"/>
        </w:rPr>
      </w:pPr>
      <w:r w:rsidRPr="00694299">
        <w:rPr>
          <w:rFonts w:eastAsia="Times New Roman" w:cs="Calibri"/>
          <w:color w:val="000000"/>
          <w:lang w:eastAsia="es-CR"/>
        </w:rPr>
        <w:t>La cuenta Remates y confiscaciones de origen no tributario, representa el 0,00% del total del Ingresos, que comparado al periodo anterior genera una variación absoluta de 0 000,00 que corresponde a un Aumento del 0,00% de recursos disponibles.</w:t>
      </w:r>
    </w:p>
    <w:p w14:paraId="6015B750" w14:textId="3B6C6E6B" w:rsidR="00692DC8" w:rsidRPr="00692DC8" w:rsidRDefault="00521099" w:rsidP="002F52C1">
      <w:pPr>
        <w:spacing w:line="240" w:lineRule="auto"/>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6663E99" w14:textId="77777777" w:rsidR="00692DC8" w:rsidRDefault="00692DC8" w:rsidP="00623120">
      <w:pPr>
        <w:rPr>
          <w:iCs/>
          <w:sz w:val="20"/>
          <w:szCs w:val="20"/>
        </w:rPr>
      </w:pPr>
    </w:p>
    <w:p w14:paraId="64533779" w14:textId="77777777" w:rsidR="00B27058" w:rsidRDefault="00B27058" w:rsidP="00623120">
      <w:pPr>
        <w:rPr>
          <w:iCs/>
          <w:sz w:val="20"/>
          <w:szCs w:val="20"/>
        </w:rPr>
      </w:pPr>
    </w:p>
    <w:p w14:paraId="0A0FE8F4" w14:textId="77777777" w:rsidR="00B27058" w:rsidRPr="00B27058" w:rsidRDefault="00B27058" w:rsidP="00623120">
      <w:pPr>
        <w:rPr>
          <w:iCs/>
          <w:sz w:val="20"/>
          <w:szCs w:val="20"/>
        </w:rPr>
      </w:pPr>
    </w:p>
    <w:p w14:paraId="7B7C6F36" w14:textId="77777777" w:rsidR="00692DC8" w:rsidRPr="00692DC8" w:rsidRDefault="00692DC8" w:rsidP="00623120">
      <w:pPr>
        <w:pStyle w:val="Ttulo4"/>
        <w:spacing w:after="240"/>
        <w:rPr>
          <w:rFonts w:eastAsia="Times New Roman"/>
        </w:rPr>
      </w:pPr>
      <w:bookmarkStart w:id="657" w:name="_Toc173245274"/>
      <w:r w:rsidRPr="00692DC8">
        <w:rPr>
          <w:rFonts w:eastAsia="Times New Roman"/>
        </w:rPr>
        <w:t>NOTA N° 40</w:t>
      </w:r>
      <w:bookmarkEnd w:id="657"/>
    </w:p>
    <w:p w14:paraId="135EA377" w14:textId="77777777" w:rsidR="00694299" w:rsidRDefault="00692DC8" w:rsidP="00323752">
      <w:pPr>
        <w:spacing w:before="240"/>
        <w:rPr>
          <w:rFonts w:asciiTheme="minorHAnsi" w:hAnsiTheme="minorHAnsi"/>
          <w:sz w:val="22"/>
        </w:rPr>
      </w:pPr>
      <w:r w:rsidRPr="00692DC8">
        <w:rPr>
          <w:rFonts w:eastAsia="Times New Roman"/>
        </w:rPr>
        <w:t>Remates y confiscaciones de origen no tributario</w:t>
      </w:r>
      <w:r w:rsidR="00521099">
        <w:rPr>
          <w:rFonts w:eastAsiaTheme="majorEastAsia" w:cstheme="majorBidi"/>
          <w:iCs/>
          <w:lang w:val="es-ES"/>
        </w:rPr>
        <w:fldChar w:fldCharType="begin"/>
      </w:r>
      <w:r w:rsidR="00521099">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NOTAS_POR_CUENTA!F264C1:F266C6 </w:instrText>
      </w:r>
      <w:r w:rsidR="00521099">
        <w:rPr>
          <w:lang w:val="es-ES"/>
        </w:rPr>
        <w:instrText xml:space="preserve">\a \f 4 \h </w:instrText>
      </w:r>
      <w:r w:rsidR="00521099">
        <w:rPr>
          <w:b/>
          <w:lang w:val="es-ES"/>
        </w:rPr>
        <w:fldChar w:fldCharType="separate"/>
      </w:r>
    </w:p>
    <w:tbl>
      <w:tblPr>
        <w:tblW w:w="8847" w:type="dxa"/>
        <w:tblCellMar>
          <w:left w:w="70" w:type="dxa"/>
          <w:right w:w="70" w:type="dxa"/>
        </w:tblCellMar>
        <w:tblLook w:val="04A0" w:firstRow="1" w:lastRow="0" w:firstColumn="1" w:lastColumn="0" w:noHBand="0" w:noVBand="1"/>
      </w:tblPr>
      <w:tblGrid>
        <w:gridCol w:w="1312"/>
        <w:gridCol w:w="2688"/>
        <w:gridCol w:w="500"/>
        <w:gridCol w:w="1586"/>
        <w:gridCol w:w="1701"/>
        <w:gridCol w:w="1060"/>
      </w:tblGrid>
      <w:tr w:rsidR="00694299" w:rsidRPr="00694299" w14:paraId="0604957E" w14:textId="77777777" w:rsidTr="00873B1C">
        <w:trPr>
          <w:divId w:val="68120328"/>
          <w:trHeight w:val="324"/>
        </w:trPr>
        <w:tc>
          <w:tcPr>
            <w:tcW w:w="1312"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904F0FC" w14:textId="2329BDAF"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688"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D9DB56A"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6454A0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5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B35899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FEC55BA"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8A17B5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337EC9BB" w14:textId="77777777" w:rsidTr="00873B1C">
        <w:trPr>
          <w:divId w:val="68120328"/>
          <w:trHeight w:val="324"/>
        </w:trPr>
        <w:tc>
          <w:tcPr>
            <w:tcW w:w="1312" w:type="dxa"/>
            <w:vMerge/>
            <w:tcBorders>
              <w:top w:val="single" w:sz="8" w:space="0" w:color="auto"/>
              <w:left w:val="single" w:sz="8" w:space="0" w:color="auto"/>
              <w:bottom w:val="single" w:sz="8" w:space="0" w:color="000000"/>
              <w:right w:val="single" w:sz="8" w:space="0" w:color="auto"/>
            </w:tcBorders>
            <w:vAlign w:val="center"/>
            <w:hideMark/>
          </w:tcPr>
          <w:p w14:paraId="78E7A5B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688" w:type="dxa"/>
            <w:vMerge/>
            <w:tcBorders>
              <w:top w:val="single" w:sz="8" w:space="0" w:color="auto"/>
              <w:left w:val="single" w:sz="8" w:space="0" w:color="auto"/>
              <w:bottom w:val="single" w:sz="8" w:space="0" w:color="000000"/>
              <w:right w:val="single" w:sz="8" w:space="0" w:color="auto"/>
            </w:tcBorders>
            <w:vAlign w:val="center"/>
            <w:hideMark/>
          </w:tcPr>
          <w:p w14:paraId="69CC438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C467B5C"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16F76DEA"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2D40564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83B3C23"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48F4EC95" w14:textId="77777777" w:rsidTr="00873B1C">
        <w:trPr>
          <w:divId w:val="68120328"/>
          <w:trHeight w:val="324"/>
        </w:trPr>
        <w:tc>
          <w:tcPr>
            <w:tcW w:w="1312" w:type="dxa"/>
            <w:tcBorders>
              <w:top w:val="nil"/>
              <w:left w:val="single" w:sz="8" w:space="0" w:color="auto"/>
              <w:bottom w:val="single" w:sz="8" w:space="0" w:color="auto"/>
              <w:right w:val="single" w:sz="8" w:space="0" w:color="auto"/>
            </w:tcBorders>
            <w:shd w:val="clear" w:color="auto" w:fill="auto"/>
            <w:noWrap/>
            <w:vAlign w:val="center"/>
            <w:hideMark/>
          </w:tcPr>
          <w:p w14:paraId="220DDB8F"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4.3.3.</w:t>
            </w:r>
          </w:p>
        </w:tc>
        <w:tc>
          <w:tcPr>
            <w:tcW w:w="2688" w:type="dxa"/>
            <w:tcBorders>
              <w:top w:val="nil"/>
              <w:left w:val="nil"/>
              <w:bottom w:val="single" w:sz="8" w:space="0" w:color="auto"/>
              <w:right w:val="single" w:sz="8" w:space="0" w:color="auto"/>
            </w:tcBorders>
            <w:shd w:val="clear" w:color="auto" w:fill="auto"/>
            <w:vAlign w:val="center"/>
            <w:hideMark/>
          </w:tcPr>
          <w:p w14:paraId="08ACC183"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Intereses Moratorios</w:t>
            </w:r>
          </w:p>
        </w:tc>
        <w:tc>
          <w:tcPr>
            <w:tcW w:w="500" w:type="dxa"/>
            <w:tcBorders>
              <w:top w:val="nil"/>
              <w:left w:val="nil"/>
              <w:bottom w:val="single" w:sz="8" w:space="0" w:color="auto"/>
              <w:right w:val="single" w:sz="8" w:space="0" w:color="auto"/>
            </w:tcBorders>
            <w:shd w:val="clear" w:color="auto" w:fill="auto"/>
            <w:noWrap/>
            <w:vAlign w:val="center"/>
            <w:hideMark/>
          </w:tcPr>
          <w:p w14:paraId="668879C8"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40</w:t>
            </w:r>
          </w:p>
        </w:tc>
        <w:tc>
          <w:tcPr>
            <w:tcW w:w="1586" w:type="dxa"/>
            <w:tcBorders>
              <w:top w:val="nil"/>
              <w:left w:val="nil"/>
              <w:bottom w:val="single" w:sz="8" w:space="0" w:color="auto"/>
              <w:right w:val="single" w:sz="8" w:space="0" w:color="auto"/>
            </w:tcBorders>
            <w:shd w:val="clear" w:color="auto" w:fill="auto"/>
            <w:noWrap/>
            <w:vAlign w:val="center"/>
            <w:hideMark/>
          </w:tcPr>
          <w:p w14:paraId="1CB4DA88"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701" w:type="dxa"/>
            <w:tcBorders>
              <w:top w:val="nil"/>
              <w:left w:val="nil"/>
              <w:bottom w:val="single" w:sz="8" w:space="0" w:color="auto"/>
              <w:right w:val="single" w:sz="8" w:space="0" w:color="auto"/>
            </w:tcBorders>
            <w:shd w:val="clear" w:color="auto" w:fill="auto"/>
            <w:noWrap/>
            <w:vAlign w:val="center"/>
            <w:hideMark/>
          </w:tcPr>
          <w:p w14:paraId="613043F5"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13AC02D2"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7130EDD1" w14:textId="77777777" w:rsidR="00694299" w:rsidRPr="00694299" w:rsidRDefault="00521099"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NOTAS_POR_CUENTA!F266C8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27764E05" w14:textId="77777777" w:rsidR="00694299" w:rsidRPr="00694299" w:rsidRDefault="00694299" w:rsidP="002F52C1">
      <w:pPr>
        <w:spacing w:line="240" w:lineRule="auto"/>
        <w:rPr>
          <w:rFonts w:eastAsia="Times New Roman" w:cs="Calibri"/>
          <w:color w:val="000000"/>
          <w:lang w:eastAsia="es-CR"/>
        </w:rPr>
      </w:pPr>
      <w:r w:rsidRPr="00694299">
        <w:rPr>
          <w:rFonts w:eastAsia="Times New Roman" w:cs="Calibri"/>
          <w:color w:val="000000"/>
          <w:lang w:eastAsia="es-CR"/>
        </w:rPr>
        <w:t>La cuenta Intereses Moratorios, representa el 0,00% del total del Ingresos, que comparado al periodo anterior genera una variación absoluta de 0 000,00 que corresponde a un Aumento del 0,00% de recursos disponibles.</w:t>
      </w:r>
    </w:p>
    <w:p w14:paraId="2D8E385F" w14:textId="30931E0C" w:rsidR="00692DC8" w:rsidRDefault="00521099" w:rsidP="002F52C1">
      <w:pPr>
        <w:spacing w:line="240" w:lineRule="auto"/>
        <w:rPr>
          <w:rFonts w:eastAsiaTheme="minorEastAsia" w:cs="Arial Narrow"/>
          <w:color w:val="000000"/>
          <w:lang w:eastAsia="es-CR"/>
        </w:rPr>
      </w:pPr>
      <w:r>
        <w:rPr>
          <w:rFonts w:eastAsia="Times New Roman" w:cs="Calibri"/>
          <w:color w:val="000000"/>
          <w:lang w:eastAsia="es-CR"/>
        </w:rPr>
        <w:fldChar w:fldCharType="end"/>
      </w:r>
      <w:r w:rsidR="00692DC8" w:rsidRPr="00692DC8">
        <w:t xml:space="preserve"> </w:t>
      </w:r>
      <w:r w:rsidR="00692DC8" w:rsidRPr="00692DC8">
        <w:rPr>
          <w:highlight w:val="lightGray"/>
        </w:rPr>
        <w:t>Las variaciones de la cuenta son producto de (Indicar la razón de las variaciones de un periodo a otro):</w:t>
      </w:r>
      <w:r w:rsidR="00692DC8" w:rsidRPr="00692DC8">
        <w:t xml:space="preserve"> </w:t>
      </w:r>
    </w:p>
    <w:p w14:paraId="44156103" w14:textId="77777777" w:rsidR="00692DC8" w:rsidRDefault="00692DC8" w:rsidP="00623120"/>
    <w:p w14:paraId="103624E0" w14:textId="77777777" w:rsidR="00B27058" w:rsidRDefault="00B27058" w:rsidP="00623120"/>
    <w:p w14:paraId="2F8E944A" w14:textId="77777777" w:rsidR="00B27058" w:rsidRPr="00692DC8" w:rsidRDefault="00B27058" w:rsidP="00B27058">
      <w:pPr>
        <w:spacing w:after="0" w:line="240" w:lineRule="auto"/>
      </w:pPr>
    </w:p>
    <w:p w14:paraId="03379B64" w14:textId="77777777" w:rsidR="00692DC8" w:rsidRPr="00692DC8" w:rsidRDefault="00692DC8" w:rsidP="00623120">
      <w:pPr>
        <w:pStyle w:val="Ttulo3"/>
        <w:spacing w:after="240"/>
        <w:rPr>
          <w:rFonts w:eastAsia="Calibri"/>
          <w:sz w:val="26"/>
          <w:szCs w:val="26"/>
          <w:lang w:eastAsia="es-CR"/>
        </w:rPr>
      </w:pPr>
      <w:bookmarkStart w:id="658" w:name="_Toc82768991"/>
      <w:bookmarkStart w:id="659" w:name="_Toc173245275"/>
      <w:r w:rsidRPr="00692DC8">
        <w:rPr>
          <w:rFonts w:eastAsia="Calibri"/>
          <w:lang w:eastAsia="es-CR"/>
        </w:rPr>
        <w:t>4.4 INGRESOS Y RESULTADOS POSITIVOS POR VENTAS</w:t>
      </w:r>
      <w:bookmarkStart w:id="660" w:name="_Toc54976783"/>
      <w:bookmarkStart w:id="661" w:name="_Toc54977063"/>
      <w:bookmarkStart w:id="662" w:name="_Toc54977342"/>
      <w:bookmarkStart w:id="663" w:name="_Toc54977623"/>
      <w:bookmarkStart w:id="664" w:name="_Toc54977904"/>
      <w:bookmarkStart w:id="665" w:name="_Toc54978185"/>
      <w:bookmarkStart w:id="666" w:name="_Toc54978494"/>
      <w:bookmarkStart w:id="667" w:name="_Toc54978803"/>
      <w:bookmarkStart w:id="668" w:name="_Toc54979113"/>
      <w:bookmarkStart w:id="669" w:name="_Toc55059400"/>
      <w:bookmarkStart w:id="670" w:name="_Toc55059711"/>
      <w:bookmarkStart w:id="671" w:name="_Toc55060378"/>
      <w:bookmarkStart w:id="672" w:name="_Toc55060763"/>
      <w:bookmarkStart w:id="673" w:name="_Toc55062748"/>
      <w:bookmarkStart w:id="674" w:name="_Toc55063018"/>
      <w:bookmarkStart w:id="675" w:name="_Toc55063269"/>
      <w:bookmarkStart w:id="676" w:name="_Toc55063522"/>
      <w:bookmarkStart w:id="677" w:name="_Toc55063780"/>
      <w:bookmarkStart w:id="678" w:name="_Toc55064053"/>
      <w:bookmarkStart w:id="679" w:name="_Toc55069856"/>
      <w:bookmarkStart w:id="680" w:name="_Toc55070124"/>
      <w:bookmarkStart w:id="681" w:name="_Toc55070391"/>
      <w:bookmarkStart w:id="682" w:name="_Toc55070659"/>
      <w:bookmarkStart w:id="683" w:name="_Toc55070926"/>
      <w:bookmarkStart w:id="684" w:name="_Toc55201449"/>
      <w:bookmarkStart w:id="685" w:name="_Toc55824679"/>
      <w:bookmarkStart w:id="686" w:name="_Toc55825064"/>
      <w:bookmarkStart w:id="687" w:name="_Toc55828998"/>
      <w:bookmarkStart w:id="688" w:name="_Toc56002252"/>
      <w:bookmarkStart w:id="689" w:name="_Toc56002528"/>
      <w:bookmarkStart w:id="690" w:name="_Toc56004721"/>
      <w:bookmarkStart w:id="691" w:name="_Toc56065398"/>
      <w:bookmarkStart w:id="692" w:name="_Toc71563879"/>
      <w:bookmarkStart w:id="693" w:name="_Toc54976790"/>
      <w:bookmarkStart w:id="694" w:name="_Toc54977070"/>
      <w:bookmarkStart w:id="695" w:name="_Toc54977349"/>
      <w:bookmarkStart w:id="696" w:name="_Toc54977630"/>
      <w:bookmarkStart w:id="697" w:name="_Toc54977911"/>
      <w:bookmarkStart w:id="698" w:name="_Toc54978192"/>
      <w:bookmarkStart w:id="699" w:name="_Toc54978501"/>
      <w:bookmarkStart w:id="700" w:name="_Toc54978810"/>
      <w:bookmarkStart w:id="701" w:name="_Toc54979120"/>
      <w:bookmarkStart w:id="702" w:name="_Toc55059407"/>
      <w:bookmarkStart w:id="703" w:name="_Toc55059718"/>
      <w:bookmarkStart w:id="704" w:name="_Toc55060385"/>
      <w:bookmarkStart w:id="705" w:name="_Toc55060770"/>
      <w:bookmarkStart w:id="706" w:name="_Toc55062755"/>
      <w:bookmarkStart w:id="707" w:name="_Toc55063025"/>
      <w:bookmarkStart w:id="708" w:name="_Toc55063276"/>
      <w:bookmarkStart w:id="709" w:name="_Toc55063529"/>
      <w:bookmarkStart w:id="710" w:name="_Toc55063787"/>
      <w:bookmarkStart w:id="711" w:name="_Toc55064060"/>
      <w:bookmarkStart w:id="712" w:name="_Toc55069863"/>
      <w:bookmarkStart w:id="713" w:name="_Toc55070131"/>
      <w:bookmarkStart w:id="714" w:name="_Toc55070398"/>
      <w:bookmarkStart w:id="715" w:name="_Toc55070666"/>
      <w:bookmarkStart w:id="716" w:name="_Toc55070933"/>
      <w:bookmarkStart w:id="717" w:name="_Toc55201456"/>
      <w:bookmarkStart w:id="718" w:name="_Toc55824686"/>
      <w:bookmarkStart w:id="719" w:name="_Toc55825071"/>
      <w:bookmarkStart w:id="720" w:name="_Toc55829005"/>
      <w:bookmarkStart w:id="721" w:name="_Toc56002259"/>
      <w:bookmarkStart w:id="722" w:name="_Toc56002535"/>
      <w:bookmarkStart w:id="723" w:name="_Toc56004728"/>
      <w:bookmarkStart w:id="724" w:name="_Toc56065405"/>
      <w:bookmarkStart w:id="725" w:name="_Toc71563886"/>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p>
    <w:p w14:paraId="07510301" w14:textId="77777777" w:rsidR="00692DC8" w:rsidRPr="00692DC8" w:rsidRDefault="00692DC8" w:rsidP="00623120">
      <w:pPr>
        <w:pStyle w:val="Ttulo4"/>
        <w:spacing w:after="240"/>
        <w:rPr>
          <w:rFonts w:eastAsia="Times New Roman"/>
        </w:rPr>
      </w:pPr>
      <w:bookmarkStart w:id="726" w:name="_Toc33601273"/>
      <w:bookmarkStart w:id="727" w:name="_Toc82768992"/>
      <w:bookmarkStart w:id="728" w:name="_Toc173245276"/>
      <w:r w:rsidRPr="00692DC8">
        <w:rPr>
          <w:rFonts w:eastAsia="Times New Roman"/>
        </w:rPr>
        <w:t>NOTA N° 4</w:t>
      </w:r>
      <w:bookmarkEnd w:id="656"/>
      <w:bookmarkEnd w:id="726"/>
      <w:bookmarkEnd w:id="727"/>
      <w:r w:rsidRPr="00692DC8">
        <w:rPr>
          <w:rFonts w:eastAsia="Times New Roman"/>
        </w:rPr>
        <w:t>1</w:t>
      </w:r>
      <w:bookmarkEnd w:id="728"/>
    </w:p>
    <w:p w14:paraId="62BE3F14" w14:textId="606762C0" w:rsidR="00C572A3" w:rsidRDefault="00692DC8" w:rsidP="00694299">
      <w:pPr>
        <w:spacing w:before="240"/>
        <w:rPr>
          <w:rFonts w:asciiTheme="minorHAnsi" w:hAnsiTheme="minorHAnsi"/>
          <w:sz w:val="22"/>
        </w:rPr>
      </w:pPr>
      <w:bookmarkStart w:id="729" w:name="_Toc14344805"/>
      <w:bookmarkStart w:id="730" w:name="_Toc33601274"/>
      <w:bookmarkStart w:id="731" w:name="_Toc82768993"/>
      <w:r w:rsidRPr="00692DC8">
        <w:rPr>
          <w:rFonts w:eastAsia="Times New Roman"/>
        </w:rPr>
        <w:t>Ventas de bienes y servicios</w:t>
      </w:r>
      <w:bookmarkEnd w:id="729"/>
      <w:bookmarkEnd w:id="730"/>
      <w:bookmarkEnd w:id="731"/>
      <w:r w:rsidR="00873B1C">
        <w:fldChar w:fldCharType="begin"/>
      </w:r>
      <w:r w:rsidR="00873B1C">
        <w:instrText xml:space="preserve"> LINK </w:instrText>
      </w:r>
      <w:r w:rsidR="0068177A">
        <w:instrText xml:space="preserve">Excel.SheetMacroEnabled.12 "C:\\Users\\arges\\OneDrive\\Desktop\\Municipalidades\\Buenos Aires\\Cierre Junio 2024\\Notas Contables\\15603_T02_2024_Anexo_Estado_Notas_Contables_Vinculadas.xlsm" NOTAS_POR_CUENTA!R268C1:R270C6 </w:instrText>
      </w:r>
      <w:r w:rsidR="00873B1C">
        <w:instrText xml:space="preserve">\a \f 4 \h </w:instrText>
      </w:r>
      <w:r w:rsidR="00873B1C">
        <w:fldChar w:fldCharType="separate"/>
      </w:r>
    </w:p>
    <w:tbl>
      <w:tblPr>
        <w:tblW w:w="10080" w:type="dxa"/>
        <w:tblLook w:val="04A0" w:firstRow="1" w:lastRow="0" w:firstColumn="1" w:lastColumn="0" w:noHBand="0" w:noVBand="1"/>
      </w:tblPr>
      <w:tblGrid>
        <w:gridCol w:w="717"/>
        <w:gridCol w:w="3339"/>
        <w:gridCol w:w="544"/>
        <w:gridCol w:w="2200"/>
        <w:gridCol w:w="2200"/>
        <w:gridCol w:w="1080"/>
      </w:tblGrid>
      <w:tr w:rsidR="00C572A3" w:rsidRPr="00C572A3" w14:paraId="5DC78C63" w14:textId="77777777" w:rsidTr="00C572A3">
        <w:trPr>
          <w:divId w:val="627128844"/>
          <w:trHeight w:val="320"/>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8D4CD9E" w14:textId="6D72A8AF" w:rsidR="00C572A3" w:rsidRPr="00C572A3" w:rsidRDefault="00C572A3" w:rsidP="00C572A3">
            <w:pP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6E0D91F"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Descripción</w:t>
            </w:r>
          </w:p>
        </w:tc>
        <w:tc>
          <w:tcPr>
            <w:tcW w:w="5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AF67957"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Nota</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C99DAD8"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Actual </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56D5AF2"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Anterior </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7F46E4E1"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Diferencia </w:t>
            </w:r>
          </w:p>
        </w:tc>
      </w:tr>
      <w:tr w:rsidR="00C572A3" w:rsidRPr="00C572A3" w14:paraId="71BD2512" w14:textId="77777777" w:rsidTr="00C572A3">
        <w:trPr>
          <w:divId w:val="627128844"/>
          <w:trHeight w:val="320"/>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4B61AD85"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7D4AB54F"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14:paraId="361A8A6A"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333CE1F2"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41B4C7CC"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1080" w:type="dxa"/>
            <w:tcBorders>
              <w:top w:val="nil"/>
              <w:left w:val="nil"/>
              <w:bottom w:val="single" w:sz="8" w:space="0" w:color="auto"/>
              <w:right w:val="single" w:sz="8" w:space="0" w:color="auto"/>
            </w:tcBorders>
            <w:shd w:val="clear" w:color="000000" w:fill="366092"/>
            <w:noWrap/>
            <w:vAlign w:val="center"/>
            <w:hideMark/>
          </w:tcPr>
          <w:p w14:paraId="4F61B081" w14:textId="77777777" w:rsidR="00C572A3" w:rsidRPr="00C572A3" w:rsidRDefault="00C572A3" w:rsidP="00C572A3">
            <w:pPr>
              <w:spacing w:after="0" w:line="240" w:lineRule="auto"/>
              <w:jc w:val="center"/>
              <w:rPr>
                <w:rFonts w:eastAsia="Times New Roman" w:cs="Calibri"/>
                <w:color w:val="FFFFFF"/>
                <w:sz w:val="18"/>
                <w:szCs w:val="18"/>
                <w:lang w:val="en-US"/>
              </w:rPr>
            </w:pPr>
            <w:r w:rsidRPr="00C572A3">
              <w:rPr>
                <w:rFonts w:eastAsia="Times New Roman" w:cs="Calibri"/>
                <w:color w:val="FFFFFF"/>
                <w:sz w:val="18"/>
                <w:szCs w:val="18"/>
                <w:lang w:val="en-US"/>
              </w:rPr>
              <w:t>%</w:t>
            </w:r>
          </w:p>
        </w:tc>
      </w:tr>
      <w:tr w:rsidR="00C572A3" w:rsidRPr="00C572A3" w14:paraId="66C41279" w14:textId="77777777" w:rsidTr="00C572A3">
        <w:trPr>
          <w:divId w:val="627128844"/>
          <w:trHeight w:val="320"/>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00440613" w14:textId="77777777" w:rsidR="00C572A3" w:rsidRPr="00C572A3" w:rsidRDefault="00C572A3" w:rsidP="00C572A3">
            <w:pPr>
              <w:spacing w:after="0" w:line="240" w:lineRule="auto"/>
              <w:jc w:val="left"/>
              <w:rPr>
                <w:rFonts w:eastAsia="Times New Roman" w:cs="Calibri"/>
                <w:b/>
                <w:bCs/>
                <w:color w:val="000000"/>
                <w:sz w:val="18"/>
                <w:szCs w:val="18"/>
                <w:lang w:val="en-US"/>
              </w:rPr>
            </w:pPr>
            <w:r w:rsidRPr="00C572A3">
              <w:rPr>
                <w:rFonts w:eastAsia="Times New Roman" w:cs="Calibri"/>
                <w:b/>
                <w:bCs/>
                <w:color w:val="000000"/>
                <w:sz w:val="18"/>
                <w:szCs w:val="18"/>
                <w:lang w:val="en-US"/>
              </w:rPr>
              <w:t>4.4.1.</w:t>
            </w:r>
          </w:p>
        </w:tc>
        <w:tc>
          <w:tcPr>
            <w:tcW w:w="3380" w:type="dxa"/>
            <w:tcBorders>
              <w:top w:val="nil"/>
              <w:left w:val="nil"/>
              <w:bottom w:val="single" w:sz="8" w:space="0" w:color="auto"/>
              <w:right w:val="single" w:sz="8" w:space="0" w:color="auto"/>
            </w:tcBorders>
            <w:shd w:val="clear" w:color="auto" w:fill="auto"/>
            <w:vAlign w:val="center"/>
            <w:hideMark/>
          </w:tcPr>
          <w:p w14:paraId="4CA9B4FC" w14:textId="77777777" w:rsidR="00C572A3" w:rsidRPr="00C572A3" w:rsidRDefault="00C572A3" w:rsidP="00C572A3">
            <w:pPr>
              <w:spacing w:after="0" w:line="240" w:lineRule="auto"/>
              <w:rPr>
                <w:rFonts w:eastAsia="Times New Roman" w:cs="Calibri"/>
                <w:b/>
                <w:bCs/>
                <w:color w:val="000000"/>
                <w:sz w:val="18"/>
                <w:szCs w:val="18"/>
              </w:rPr>
            </w:pPr>
            <w:r w:rsidRPr="00C572A3">
              <w:rPr>
                <w:rFonts w:eastAsia="Times New Roman" w:cs="Calibri"/>
                <w:b/>
                <w:bCs/>
                <w:color w:val="000000"/>
                <w:sz w:val="18"/>
                <w:szCs w:val="18"/>
              </w:rPr>
              <w:t>Ventas de bienes y servicios</w:t>
            </w:r>
          </w:p>
        </w:tc>
        <w:tc>
          <w:tcPr>
            <w:tcW w:w="520" w:type="dxa"/>
            <w:tcBorders>
              <w:top w:val="nil"/>
              <w:left w:val="nil"/>
              <w:bottom w:val="single" w:sz="8" w:space="0" w:color="auto"/>
              <w:right w:val="single" w:sz="8" w:space="0" w:color="auto"/>
            </w:tcBorders>
            <w:shd w:val="clear" w:color="auto" w:fill="auto"/>
            <w:noWrap/>
            <w:vAlign w:val="center"/>
            <w:hideMark/>
          </w:tcPr>
          <w:p w14:paraId="2590F63A"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41</w:t>
            </w:r>
          </w:p>
        </w:tc>
        <w:tc>
          <w:tcPr>
            <w:tcW w:w="2200" w:type="dxa"/>
            <w:tcBorders>
              <w:top w:val="nil"/>
              <w:left w:val="nil"/>
              <w:bottom w:val="single" w:sz="8" w:space="0" w:color="auto"/>
              <w:right w:val="single" w:sz="8" w:space="0" w:color="auto"/>
            </w:tcBorders>
            <w:shd w:val="clear" w:color="auto" w:fill="auto"/>
            <w:noWrap/>
            <w:vAlign w:val="center"/>
            <w:hideMark/>
          </w:tcPr>
          <w:p w14:paraId="4542C64B"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346 642,70 </w:t>
            </w:r>
          </w:p>
        </w:tc>
        <w:tc>
          <w:tcPr>
            <w:tcW w:w="2200" w:type="dxa"/>
            <w:tcBorders>
              <w:top w:val="nil"/>
              <w:left w:val="nil"/>
              <w:bottom w:val="single" w:sz="8" w:space="0" w:color="auto"/>
              <w:right w:val="single" w:sz="8" w:space="0" w:color="auto"/>
            </w:tcBorders>
            <w:shd w:val="clear" w:color="auto" w:fill="auto"/>
            <w:noWrap/>
            <w:vAlign w:val="center"/>
            <w:hideMark/>
          </w:tcPr>
          <w:p w14:paraId="2DBE0011"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218 573,70 </w:t>
            </w:r>
          </w:p>
        </w:tc>
        <w:tc>
          <w:tcPr>
            <w:tcW w:w="1080" w:type="dxa"/>
            <w:tcBorders>
              <w:top w:val="nil"/>
              <w:left w:val="nil"/>
              <w:bottom w:val="single" w:sz="8" w:space="0" w:color="auto"/>
              <w:right w:val="single" w:sz="8" w:space="0" w:color="auto"/>
            </w:tcBorders>
            <w:shd w:val="clear" w:color="auto" w:fill="auto"/>
            <w:noWrap/>
            <w:vAlign w:val="center"/>
            <w:hideMark/>
          </w:tcPr>
          <w:p w14:paraId="6D155754"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58,59%</w:t>
            </w:r>
          </w:p>
        </w:tc>
      </w:tr>
    </w:tbl>
    <w:p w14:paraId="44CD12A2" w14:textId="7A9C4DEC" w:rsidR="00694299" w:rsidRPr="00694299" w:rsidRDefault="00873B1C" w:rsidP="00694299">
      <w:pPr>
        <w:spacing w:before="240"/>
      </w:pPr>
      <w:r>
        <w:fldChar w:fldCharType="end"/>
      </w:r>
      <w:r w:rsidR="00692DC8" w:rsidRPr="00692DC8">
        <w:rPr>
          <w:b/>
          <w:bCs/>
          <w:lang w:val="es-ES"/>
        </w:rPr>
        <w:t>Revelación</w:t>
      </w:r>
      <w:r w:rsidR="00692DC8" w:rsidRPr="00692DC8">
        <w:rPr>
          <w:lang w:val="es-ES"/>
        </w:rPr>
        <w:t xml:space="preserve">: </w:t>
      </w:r>
      <w:r w:rsidR="00AA098E">
        <w:rPr>
          <w:rFonts w:eastAsia="Times New Roman" w:cs="Calibri"/>
          <w:color w:val="000000"/>
          <w:lang w:eastAsia="es-CR"/>
        </w:rPr>
        <w:fldChar w:fldCharType="begin"/>
      </w:r>
      <w:r w:rsidR="00AA098E">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NOTAS_POR_CUENTA!F270C8 </w:instrText>
      </w:r>
      <w:r w:rsidR="00AA098E">
        <w:rPr>
          <w:rFonts w:eastAsia="Times New Roman" w:cs="Calibri"/>
          <w:color w:val="000000"/>
          <w:lang w:eastAsia="es-CR"/>
        </w:rPr>
        <w:instrText xml:space="preserve">\a \f 5 \h  \* MERGEFORMAT </w:instrText>
      </w:r>
      <w:r w:rsidR="00AA098E">
        <w:rPr>
          <w:rFonts w:eastAsia="Times New Roman" w:cs="Calibri"/>
          <w:color w:val="000000"/>
          <w:lang w:eastAsia="es-CR"/>
        </w:rPr>
        <w:fldChar w:fldCharType="separate"/>
      </w:r>
    </w:p>
    <w:p w14:paraId="6A3288EF" w14:textId="68FC87EC" w:rsidR="00694299" w:rsidRPr="00694299" w:rsidRDefault="00694299" w:rsidP="002F52C1">
      <w:pPr>
        <w:spacing w:line="240" w:lineRule="auto"/>
        <w:rPr>
          <w:rFonts w:eastAsia="Times New Roman" w:cs="Calibri"/>
          <w:color w:val="000000"/>
          <w:lang w:eastAsia="es-CR"/>
        </w:rPr>
      </w:pPr>
      <w:r w:rsidRPr="00694299">
        <w:rPr>
          <w:rFonts w:eastAsia="Times New Roman" w:cs="Calibri"/>
          <w:color w:val="000000"/>
          <w:lang w:eastAsia="es-CR"/>
        </w:rPr>
        <w:t xml:space="preserve">La cuenta Ventas de bienes y servicios, representa el </w:t>
      </w:r>
      <w:r w:rsidR="002F52C1">
        <w:rPr>
          <w:rFonts w:eastAsia="Times New Roman" w:cs="Calibri"/>
          <w:color w:val="000000"/>
          <w:lang w:eastAsia="es-CR"/>
        </w:rPr>
        <w:t>7</w:t>
      </w:r>
      <w:r w:rsidRPr="00694299">
        <w:rPr>
          <w:rFonts w:eastAsia="Times New Roman" w:cs="Calibri"/>
          <w:color w:val="000000"/>
          <w:lang w:eastAsia="es-CR"/>
        </w:rPr>
        <w:t>,</w:t>
      </w:r>
      <w:r w:rsidR="002F52C1">
        <w:rPr>
          <w:rFonts w:eastAsia="Times New Roman" w:cs="Calibri"/>
          <w:color w:val="000000"/>
          <w:lang w:eastAsia="es-CR"/>
        </w:rPr>
        <w:t>4</w:t>
      </w:r>
      <w:r w:rsidRPr="00694299">
        <w:rPr>
          <w:rFonts w:eastAsia="Times New Roman" w:cs="Calibri"/>
          <w:color w:val="000000"/>
          <w:lang w:eastAsia="es-CR"/>
        </w:rPr>
        <w:t xml:space="preserve">0% del total del Ingresos, que comparado al periodo anterior genera una variación absoluta de </w:t>
      </w:r>
      <w:r w:rsidR="002F52C1" w:rsidRPr="002F52C1">
        <w:rPr>
          <w:rFonts w:eastAsia="Times New Roman" w:cs="Calibri"/>
          <w:color w:val="000000"/>
          <w:lang w:eastAsia="es-CR"/>
        </w:rPr>
        <w:t>128 069,00</w:t>
      </w:r>
      <w:r w:rsidRPr="00694299">
        <w:rPr>
          <w:rFonts w:eastAsia="Times New Roman" w:cs="Calibri"/>
          <w:color w:val="000000"/>
          <w:lang w:eastAsia="es-CR"/>
        </w:rPr>
        <w:t xml:space="preserve"> que corresponde a un Aumento del 5</w:t>
      </w:r>
      <w:r w:rsidR="002F52C1">
        <w:rPr>
          <w:rFonts w:eastAsia="Times New Roman" w:cs="Calibri"/>
          <w:color w:val="000000"/>
          <w:lang w:eastAsia="es-CR"/>
        </w:rPr>
        <w:t>8</w:t>
      </w:r>
      <w:r w:rsidRPr="00694299">
        <w:rPr>
          <w:rFonts w:eastAsia="Times New Roman" w:cs="Calibri"/>
          <w:color w:val="000000"/>
          <w:lang w:eastAsia="es-CR"/>
        </w:rPr>
        <w:t>,</w:t>
      </w:r>
      <w:r w:rsidR="002F52C1">
        <w:rPr>
          <w:rFonts w:eastAsia="Times New Roman" w:cs="Calibri"/>
          <w:color w:val="000000"/>
          <w:lang w:eastAsia="es-CR"/>
        </w:rPr>
        <w:t>5</w:t>
      </w:r>
      <w:r w:rsidRPr="00694299">
        <w:rPr>
          <w:rFonts w:eastAsia="Times New Roman" w:cs="Calibri"/>
          <w:color w:val="000000"/>
          <w:lang w:eastAsia="es-CR"/>
        </w:rPr>
        <w:t>9% de recursos disponibles.</w:t>
      </w:r>
    </w:p>
    <w:p w14:paraId="16163BF7" w14:textId="6261C8A9" w:rsidR="00692DC8" w:rsidRPr="00692DC8" w:rsidRDefault="00AA098E" w:rsidP="002F52C1">
      <w:pPr>
        <w:spacing w:line="240" w:lineRule="auto"/>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7E7F3F35" w14:textId="2EAE2B96" w:rsidR="00CC7BEB" w:rsidRDefault="00CC7BEB" w:rsidP="00CC7BEB">
      <w:pPr>
        <w:spacing w:after="0" w:line="240" w:lineRule="auto"/>
        <w:ind w:right="193"/>
        <w:rPr>
          <w:rFonts w:cs="Calibri"/>
          <w:color w:val="000000"/>
          <w:lang w:eastAsia="es-CR"/>
        </w:rPr>
      </w:pPr>
      <w:r w:rsidRPr="00A91674">
        <w:t xml:space="preserve">Al </w:t>
      </w:r>
      <w:r w:rsidR="00D470B6">
        <w:t>30 de junio</w:t>
      </w:r>
      <w:r w:rsidRPr="00A91674">
        <w:t xml:space="preserve"> de </w:t>
      </w:r>
      <w:r>
        <w:t>2024</w:t>
      </w:r>
      <w:r w:rsidRPr="00A91674">
        <w:t xml:space="preserve"> la cuenta </w:t>
      </w:r>
      <w:r w:rsidRPr="00A91674">
        <w:rPr>
          <w:rFonts w:cs="Calibri"/>
          <w:color w:val="000000"/>
          <w:lang w:eastAsia="es-CR"/>
        </w:rPr>
        <w:t>Ventas de bienes y servicios se encuentra conformada por las siguientes partidas:</w:t>
      </w:r>
    </w:p>
    <w:p w14:paraId="72A02F22" w14:textId="77777777" w:rsidR="00B27058" w:rsidRDefault="00B27058" w:rsidP="00CC7BEB">
      <w:pPr>
        <w:spacing w:after="0" w:line="240" w:lineRule="auto"/>
        <w:ind w:right="193"/>
        <w:rPr>
          <w:rFonts w:cs="Calibri"/>
          <w:color w:val="000000"/>
          <w:lang w:eastAsia="es-CR"/>
        </w:rPr>
      </w:pPr>
    </w:p>
    <w:p w14:paraId="73273F0E" w14:textId="77777777" w:rsidR="00B27058" w:rsidRDefault="00B27058" w:rsidP="00CC7BEB">
      <w:pPr>
        <w:spacing w:after="0" w:line="240" w:lineRule="auto"/>
        <w:ind w:right="193"/>
        <w:rPr>
          <w:rFonts w:cs="Calibri"/>
          <w:color w:val="000000"/>
          <w:lang w:eastAsia="es-CR"/>
        </w:rPr>
      </w:pPr>
    </w:p>
    <w:tbl>
      <w:tblPr>
        <w:tblW w:w="8717" w:type="dxa"/>
        <w:tblLook w:val="04A0" w:firstRow="1" w:lastRow="0" w:firstColumn="1" w:lastColumn="0" w:noHBand="0" w:noVBand="1"/>
      </w:tblPr>
      <w:tblGrid>
        <w:gridCol w:w="1202"/>
        <w:gridCol w:w="3183"/>
        <w:gridCol w:w="1134"/>
        <w:gridCol w:w="1134"/>
        <w:gridCol w:w="1134"/>
        <w:gridCol w:w="930"/>
      </w:tblGrid>
      <w:tr w:rsidR="00521DEE" w:rsidRPr="00B27058" w14:paraId="26302890" w14:textId="77777777" w:rsidTr="00521DEE">
        <w:trPr>
          <w:trHeight w:val="470"/>
        </w:trPr>
        <w:tc>
          <w:tcPr>
            <w:tcW w:w="1202" w:type="dxa"/>
            <w:tcBorders>
              <w:top w:val="single" w:sz="8" w:space="0" w:color="auto"/>
              <w:left w:val="single" w:sz="8" w:space="0" w:color="auto"/>
              <w:bottom w:val="nil"/>
              <w:right w:val="single" w:sz="8" w:space="0" w:color="auto"/>
            </w:tcBorders>
            <w:shd w:val="clear" w:color="000000" w:fill="366092"/>
            <w:vAlign w:val="center"/>
            <w:hideMark/>
          </w:tcPr>
          <w:p w14:paraId="44C9698F" w14:textId="77777777" w:rsidR="00B27058" w:rsidRPr="00B27058" w:rsidRDefault="00B27058" w:rsidP="00B27058">
            <w:pPr>
              <w:spacing w:after="0" w:line="240" w:lineRule="auto"/>
              <w:jc w:val="center"/>
              <w:rPr>
                <w:rFonts w:eastAsia="Times New Roman" w:cs="Calibri"/>
                <w:b/>
                <w:bCs/>
                <w:color w:val="FFFFFF"/>
                <w:sz w:val="18"/>
                <w:szCs w:val="18"/>
                <w:lang w:val="en-US"/>
              </w:rPr>
            </w:pPr>
            <w:r w:rsidRPr="00B27058">
              <w:rPr>
                <w:rFonts w:eastAsia="Times New Roman" w:cs="Calibri"/>
                <w:b/>
                <w:bCs/>
                <w:color w:val="FFFFFF"/>
                <w:sz w:val="18"/>
                <w:szCs w:val="18"/>
                <w:lang w:val="en-US"/>
              </w:rPr>
              <w:t>Cuenta</w:t>
            </w:r>
          </w:p>
        </w:tc>
        <w:tc>
          <w:tcPr>
            <w:tcW w:w="3183" w:type="dxa"/>
            <w:tcBorders>
              <w:top w:val="single" w:sz="8" w:space="0" w:color="auto"/>
              <w:left w:val="nil"/>
              <w:bottom w:val="nil"/>
              <w:right w:val="single" w:sz="8" w:space="0" w:color="auto"/>
            </w:tcBorders>
            <w:shd w:val="clear" w:color="000000" w:fill="366092"/>
            <w:vAlign w:val="center"/>
            <w:hideMark/>
          </w:tcPr>
          <w:p w14:paraId="7DE36D4F" w14:textId="77777777" w:rsidR="00B27058" w:rsidRPr="00B27058" w:rsidRDefault="00B27058" w:rsidP="00B27058">
            <w:pPr>
              <w:spacing w:after="0" w:line="240" w:lineRule="auto"/>
              <w:jc w:val="center"/>
              <w:rPr>
                <w:rFonts w:eastAsia="Times New Roman" w:cs="Calibri"/>
                <w:b/>
                <w:bCs/>
                <w:color w:val="FFFFFF"/>
                <w:sz w:val="18"/>
                <w:szCs w:val="18"/>
                <w:lang w:val="en-US"/>
              </w:rPr>
            </w:pPr>
            <w:r w:rsidRPr="00B27058">
              <w:rPr>
                <w:rFonts w:eastAsia="Times New Roman" w:cs="Calibri"/>
                <w:b/>
                <w:bCs/>
                <w:color w:val="FFFFFF"/>
                <w:sz w:val="18"/>
                <w:szCs w:val="18"/>
                <w:lang w:val="en-US"/>
              </w:rPr>
              <w:t>Descripción</w:t>
            </w:r>
          </w:p>
        </w:tc>
        <w:tc>
          <w:tcPr>
            <w:tcW w:w="1134" w:type="dxa"/>
            <w:tcBorders>
              <w:top w:val="single" w:sz="8" w:space="0" w:color="auto"/>
              <w:left w:val="nil"/>
              <w:bottom w:val="nil"/>
              <w:right w:val="single" w:sz="8" w:space="0" w:color="auto"/>
            </w:tcBorders>
            <w:shd w:val="clear" w:color="000000" w:fill="366092"/>
            <w:vAlign w:val="center"/>
            <w:hideMark/>
          </w:tcPr>
          <w:p w14:paraId="18E57227" w14:textId="77777777" w:rsidR="00B27058" w:rsidRPr="00B27058" w:rsidRDefault="00B27058" w:rsidP="00B27058">
            <w:pPr>
              <w:spacing w:after="0" w:line="240" w:lineRule="auto"/>
              <w:jc w:val="center"/>
              <w:rPr>
                <w:rFonts w:eastAsia="Times New Roman" w:cs="Calibri"/>
                <w:b/>
                <w:bCs/>
                <w:color w:val="FFFFFF"/>
                <w:sz w:val="18"/>
                <w:szCs w:val="18"/>
                <w:lang w:val="en-US"/>
              </w:rPr>
            </w:pPr>
            <w:r w:rsidRPr="00B27058">
              <w:rPr>
                <w:rFonts w:eastAsia="Times New Roman" w:cs="Calibri"/>
                <w:b/>
                <w:bCs/>
                <w:color w:val="FFFFFF"/>
                <w:sz w:val="18"/>
                <w:szCs w:val="18"/>
                <w:lang w:val="en-US"/>
              </w:rPr>
              <w:t>Saldo Actual</w:t>
            </w:r>
          </w:p>
        </w:tc>
        <w:tc>
          <w:tcPr>
            <w:tcW w:w="1134" w:type="dxa"/>
            <w:tcBorders>
              <w:top w:val="single" w:sz="8" w:space="0" w:color="auto"/>
              <w:left w:val="nil"/>
              <w:bottom w:val="nil"/>
              <w:right w:val="single" w:sz="8" w:space="0" w:color="auto"/>
            </w:tcBorders>
            <w:shd w:val="clear" w:color="000000" w:fill="366092"/>
            <w:vAlign w:val="center"/>
            <w:hideMark/>
          </w:tcPr>
          <w:p w14:paraId="3558FEC9" w14:textId="77777777" w:rsidR="00B27058" w:rsidRPr="00B27058" w:rsidRDefault="00B27058" w:rsidP="00B27058">
            <w:pPr>
              <w:spacing w:after="0" w:line="240" w:lineRule="auto"/>
              <w:jc w:val="center"/>
              <w:rPr>
                <w:rFonts w:eastAsia="Times New Roman" w:cs="Calibri"/>
                <w:b/>
                <w:bCs/>
                <w:color w:val="FFFFFF"/>
                <w:sz w:val="18"/>
                <w:szCs w:val="18"/>
                <w:lang w:val="en-US"/>
              </w:rPr>
            </w:pPr>
            <w:r w:rsidRPr="00B27058">
              <w:rPr>
                <w:rFonts w:eastAsia="Times New Roman" w:cs="Calibri"/>
                <w:b/>
                <w:bCs/>
                <w:color w:val="FFFFFF"/>
                <w:sz w:val="18"/>
                <w:szCs w:val="18"/>
                <w:lang w:val="en-US"/>
              </w:rPr>
              <w:t>Periodo Anterior</w:t>
            </w:r>
          </w:p>
        </w:tc>
        <w:tc>
          <w:tcPr>
            <w:tcW w:w="1134" w:type="dxa"/>
            <w:tcBorders>
              <w:top w:val="single" w:sz="8" w:space="0" w:color="auto"/>
              <w:left w:val="nil"/>
              <w:bottom w:val="nil"/>
              <w:right w:val="single" w:sz="8" w:space="0" w:color="auto"/>
            </w:tcBorders>
            <w:shd w:val="clear" w:color="000000" w:fill="366092"/>
            <w:vAlign w:val="center"/>
            <w:hideMark/>
          </w:tcPr>
          <w:p w14:paraId="32333CD6" w14:textId="77777777" w:rsidR="00B27058" w:rsidRPr="00B27058" w:rsidRDefault="00B27058" w:rsidP="00B27058">
            <w:pPr>
              <w:spacing w:after="0" w:line="240" w:lineRule="auto"/>
              <w:jc w:val="center"/>
              <w:rPr>
                <w:rFonts w:eastAsia="Times New Roman" w:cs="Calibri"/>
                <w:b/>
                <w:bCs/>
                <w:color w:val="FFFFFF"/>
                <w:sz w:val="18"/>
                <w:szCs w:val="18"/>
                <w:lang w:val="en-US"/>
              </w:rPr>
            </w:pPr>
            <w:r w:rsidRPr="00B27058">
              <w:rPr>
                <w:rFonts w:eastAsia="Times New Roman" w:cs="Calibri"/>
                <w:b/>
                <w:bCs/>
                <w:color w:val="FFFFFF"/>
                <w:sz w:val="18"/>
                <w:szCs w:val="18"/>
                <w:lang w:val="en-US"/>
              </w:rPr>
              <w:t>Diferencia Absoluta</w:t>
            </w:r>
          </w:p>
        </w:tc>
        <w:tc>
          <w:tcPr>
            <w:tcW w:w="930" w:type="dxa"/>
            <w:tcBorders>
              <w:top w:val="single" w:sz="8" w:space="0" w:color="auto"/>
              <w:left w:val="nil"/>
              <w:bottom w:val="nil"/>
              <w:right w:val="single" w:sz="8" w:space="0" w:color="auto"/>
            </w:tcBorders>
            <w:shd w:val="clear" w:color="000000" w:fill="366092"/>
            <w:vAlign w:val="center"/>
            <w:hideMark/>
          </w:tcPr>
          <w:p w14:paraId="72B1B315" w14:textId="77777777" w:rsidR="00B27058" w:rsidRPr="00B27058" w:rsidRDefault="00B27058" w:rsidP="00B27058">
            <w:pPr>
              <w:spacing w:after="0" w:line="240" w:lineRule="auto"/>
              <w:jc w:val="center"/>
              <w:rPr>
                <w:rFonts w:eastAsia="Times New Roman" w:cs="Calibri"/>
                <w:b/>
                <w:bCs/>
                <w:color w:val="FFFFFF"/>
                <w:sz w:val="18"/>
                <w:szCs w:val="18"/>
                <w:lang w:val="en-US"/>
              </w:rPr>
            </w:pPr>
            <w:r w:rsidRPr="00B27058">
              <w:rPr>
                <w:rFonts w:eastAsia="Times New Roman" w:cs="Calibri"/>
                <w:b/>
                <w:bCs/>
                <w:color w:val="FFFFFF"/>
                <w:sz w:val="18"/>
                <w:szCs w:val="18"/>
                <w:lang w:val="en-US"/>
              </w:rPr>
              <w:t>Diferencia %</w:t>
            </w:r>
          </w:p>
        </w:tc>
      </w:tr>
      <w:tr w:rsidR="00B27058" w:rsidRPr="00B27058" w14:paraId="2431E5C6" w14:textId="77777777" w:rsidTr="00521DEE">
        <w:trPr>
          <w:trHeight w:val="290"/>
        </w:trPr>
        <w:tc>
          <w:tcPr>
            <w:tcW w:w="1202"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2090E093" w14:textId="77777777" w:rsidR="00B27058" w:rsidRPr="00B27058" w:rsidRDefault="00B27058" w:rsidP="00B27058">
            <w:pPr>
              <w:spacing w:after="0" w:line="240" w:lineRule="auto"/>
              <w:jc w:val="left"/>
              <w:rPr>
                <w:rFonts w:eastAsia="Times New Roman" w:cs="Calibri"/>
                <w:b/>
                <w:bCs/>
                <w:color w:val="000000"/>
                <w:sz w:val="18"/>
                <w:szCs w:val="18"/>
                <w:lang w:val="en-US"/>
              </w:rPr>
            </w:pPr>
            <w:r w:rsidRPr="00B27058">
              <w:rPr>
                <w:rFonts w:eastAsia="Times New Roman" w:cs="Calibri"/>
                <w:b/>
                <w:bCs/>
                <w:color w:val="000000"/>
                <w:sz w:val="18"/>
                <w:szCs w:val="18"/>
                <w:lang w:val="en-US"/>
              </w:rPr>
              <w:t>4.4.1.02.04.</w:t>
            </w:r>
          </w:p>
        </w:tc>
        <w:tc>
          <w:tcPr>
            <w:tcW w:w="3183" w:type="dxa"/>
            <w:tcBorders>
              <w:top w:val="single" w:sz="8" w:space="0" w:color="auto"/>
              <w:left w:val="nil"/>
              <w:bottom w:val="single" w:sz="4" w:space="0" w:color="auto"/>
              <w:right w:val="single" w:sz="8" w:space="0" w:color="auto"/>
            </w:tcBorders>
            <w:shd w:val="clear" w:color="auto" w:fill="auto"/>
            <w:noWrap/>
            <w:vAlign w:val="bottom"/>
            <w:hideMark/>
          </w:tcPr>
          <w:p w14:paraId="71042D15" w14:textId="77777777" w:rsidR="00B27058" w:rsidRPr="00B27058" w:rsidRDefault="00B27058" w:rsidP="00B27058">
            <w:pPr>
              <w:spacing w:after="0" w:line="240" w:lineRule="auto"/>
              <w:jc w:val="left"/>
              <w:rPr>
                <w:rFonts w:eastAsia="Times New Roman" w:cs="Calibri"/>
                <w:b/>
                <w:bCs/>
                <w:color w:val="000000"/>
                <w:sz w:val="18"/>
                <w:szCs w:val="18"/>
                <w:lang w:val="en-US"/>
              </w:rPr>
            </w:pPr>
            <w:r w:rsidRPr="00B27058">
              <w:rPr>
                <w:rFonts w:eastAsia="Times New Roman" w:cs="Calibri"/>
                <w:b/>
                <w:bCs/>
                <w:color w:val="000000"/>
                <w:sz w:val="18"/>
                <w:szCs w:val="18"/>
                <w:lang w:val="en-US"/>
              </w:rPr>
              <w:t>Servicios comunitarios</w:t>
            </w:r>
          </w:p>
        </w:tc>
        <w:tc>
          <w:tcPr>
            <w:tcW w:w="1134" w:type="dxa"/>
            <w:tcBorders>
              <w:top w:val="single" w:sz="8" w:space="0" w:color="auto"/>
              <w:left w:val="nil"/>
              <w:bottom w:val="single" w:sz="4" w:space="0" w:color="auto"/>
              <w:right w:val="single" w:sz="8" w:space="0" w:color="auto"/>
            </w:tcBorders>
            <w:shd w:val="clear" w:color="000000" w:fill="FFFFFF"/>
            <w:noWrap/>
            <w:vAlign w:val="bottom"/>
            <w:hideMark/>
          </w:tcPr>
          <w:p w14:paraId="48427BFC" w14:textId="77777777" w:rsidR="00B27058" w:rsidRPr="00B27058" w:rsidRDefault="00B27058" w:rsidP="00B27058">
            <w:pPr>
              <w:spacing w:after="0" w:line="240" w:lineRule="auto"/>
              <w:jc w:val="left"/>
              <w:rPr>
                <w:rFonts w:eastAsia="Times New Roman" w:cs="Calibri"/>
                <w:color w:val="000000"/>
                <w:sz w:val="18"/>
                <w:szCs w:val="18"/>
                <w:lang w:val="en-US"/>
              </w:rPr>
            </w:pPr>
            <w:r w:rsidRPr="00B27058">
              <w:rPr>
                <w:rFonts w:eastAsia="Times New Roman" w:cs="Calibri"/>
                <w:color w:val="000000"/>
                <w:sz w:val="18"/>
                <w:szCs w:val="18"/>
                <w:lang w:val="en-US"/>
              </w:rPr>
              <w:t> </w:t>
            </w:r>
          </w:p>
        </w:tc>
        <w:tc>
          <w:tcPr>
            <w:tcW w:w="1134" w:type="dxa"/>
            <w:tcBorders>
              <w:top w:val="single" w:sz="8" w:space="0" w:color="auto"/>
              <w:left w:val="nil"/>
              <w:bottom w:val="single" w:sz="4" w:space="0" w:color="auto"/>
              <w:right w:val="single" w:sz="4" w:space="0" w:color="auto"/>
            </w:tcBorders>
            <w:shd w:val="clear" w:color="000000" w:fill="FFFFFF"/>
            <w:noWrap/>
            <w:vAlign w:val="bottom"/>
            <w:hideMark/>
          </w:tcPr>
          <w:p w14:paraId="399B480A" w14:textId="77777777" w:rsidR="00B27058" w:rsidRPr="00B27058" w:rsidRDefault="00B27058" w:rsidP="00B27058">
            <w:pPr>
              <w:spacing w:after="0" w:line="240" w:lineRule="auto"/>
              <w:jc w:val="left"/>
              <w:rPr>
                <w:rFonts w:eastAsia="Times New Roman" w:cs="Calibri"/>
                <w:color w:val="000000"/>
                <w:sz w:val="18"/>
                <w:szCs w:val="18"/>
                <w:lang w:val="en-US"/>
              </w:rPr>
            </w:pPr>
            <w:r w:rsidRPr="00B27058">
              <w:rPr>
                <w:rFonts w:eastAsia="Times New Roman" w:cs="Calibri"/>
                <w:color w:val="000000"/>
                <w:sz w:val="18"/>
                <w:szCs w:val="18"/>
                <w:lang w:val="en-US"/>
              </w:rPr>
              <w:t> </w:t>
            </w:r>
          </w:p>
        </w:tc>
        <w:tc>
          <w:tcPr>
            <w:tcW w:w="1134" w:type="dxa"/>
            <w:tcBorders>
              <w:top w:val="single" w:sz="8" w:space="0" w:color="auto"/>
              <w:left w:val="nil"/>
              <w:bottom w:val="single" w:sz="4" w:space="0" w:color="auto"/>
              <w:right w:val="single" w:sz="4" w:space="0" w:color="auto"/>
            </w:tcBorders>
            <w:shd w:val="clear" w:color="auto" w:fill="auto"/>
            <w:noWrap/>
            <w:vAlign w:val="bottom"/>
            <w:hideMark/>
          </w:tcPr>
          <w:p w14:paraId="15278B24" w14:textId="77777777" w:rsidR="00B27058" w:rsidRPr="00B27058" w:rsidRDefault="00B27058" w:rsidP="00B27058">
            <w:pPr>
              <w:spacing w:after="0" w:line="240" w:lineRule="auto"/>
              <w:jc w:val="left"/>
              <w:rPr>
                <w:rFonts w:eastAsia="Times New Roman" w:cs="Calibri"/>
                <w:color w:val="000000"/>
                <w:sz w:val="18"/>
                <w:szCs w:val="18"/>
                <w:lang w:val="en-US"/>
              </w:rPr>
            </w:pPr>
            <w:r w:rsidRPr="00B27058">
              <w:rPr>
                <w:rFonts w:eastAsia="Times New Roman" w:cs="Calibri"/>
                <w:color w:val="000000"/>
                <w:sz w:val="18"/>
                <w:szCs w:val="18"/>
                <w:lang w:val="en-US"/>
              </w:rPr>
              <w:t> </w:t>
            </w:r>
          </w:p>
        </w:tc>
        <w:tc>
          <w:tcPr>
            <w:tcW w:w="930" w:type="dxa"/>
            <w:tcBorders>
              <w:top w:val="single" w:sz="8" w:space="0" w:color="auto"/>
              <w:left w:val="nil"/>
              <w:bottom w:val="single" w:sz="4" w:space="0" w:color="auto"/>
              <w:right w:val="single" w:sz="8" w:space="0" w:color="auto"/>
            </w:tcBorders>
            <w:shd w:val="clear" w:color="auto" w:fill="auto"/>
            <w:noWrap/>
            <w:vAlign w:val="bottom"/>
            <w:hideMark/>
          </w:tcPr>
          <w:p w14:paraId="29119FF3" w14:textId="77777777" w:rsidR="00B27058" w:rsidRPr="00B27058" w:rsidRDefault="00B27058" w:rsidP="00B27058">
            <w:pPr>
              <w:spacing w:after="0" w:line="240" w:lineRule="auto"/>
              <w:jc w:val="left"/>
              <w:rPr>
                <w:rFonts w:eastAsia="Times New Roman" w:cs="Calibri"/>
                <w:color w:val="000000"/>
                <w:sz w:val="18"/>
                <w:szCs w:val="18"/>
                <w:lang w:val="en-US"/>
              </w:rPr>
            </w:pPr>
            <w:r w:rsidRPr="00B27058">
              <w:rPr>
                <w:rFonts w:eastAsia="Times New Roman" w:cs="Calibri"/>
                <w:color w:val="000000"/>
                <w:sz w:val="18"/>
                <w:szCs w:val="18"/>
                <w:lang w:val="en-US"/>
              </w:rPr>
              <w:t> </w:t>
            </w:r>
          </w:p>
        </w:tc>
      </w:tr>
      <w:tr w:rsidR="00B27058" w:rsidRPr="00B27058" w14:paraId="24FD6E16" w14:textId="77777777" w:rsidTr="00521DEE">
        <w:trPr>
          <w:trHeight w:val="290"/>
        </w:trPr>
        <w:tc>
          <w:tcPr>
            <w:tcW w:w="1202" w:type="dxa"/>
            <w:tcBorders>
              <w:top w:val="nil"/>
              <w:left w:val="single" w:sz="8" w:space="0" w:color="auto"/>
              <w:bottom w:val="single" w:sz="4" w:space="0" w:color="auto"/>
              <w:right w:val="single" w:sz="8" w:space="0" w:color="auto"/>
            </w:tcBorders>
            <w:shd w:val="clear" w:color="000000" w:fill="FFFFFF"/>
            <w:noWrap/>
            <w:vAlign w:val="bottom"/>
            <w:hideMark/>
          </w:tcPr>
          <w:p w14:paraId="2948B51F" w14:textId="77777777" w:rsidR="00B27058" w:rsidRPr="00B27058" w:rsidRDefault="00B27058" w:rsidP="00B27058">
            <w:pPr>
              <w:spacing w:after="0" w:line="240" w:lineRule="auto"/>
              <w:jc w:val="left"/>
              <w:rPr>
                <w:rFonts w:eastAsia="Times New Roman" w:cs="Calibri"/>
                <w:color w:val="000000"/>
                <w:sz w:val="18"/>
                <w:szCs w:val="18"/>
                <w:lang w:val="en-US"/>
              </w:rPr>
            </w:pPr>
            <w:r w:rsidRPr="00B27058">
              <w:rPr>
                <w:rFonts w:eastAsia="Times New Roman" w:cs="Calibri"/>
                <w:color w:val="000000"/>
                <w:sz w:val="18"/>
                <w:szCs w:val="18"/>
                <w:lang w:val="en-US"/>
              </w:rPr>
              <w:t>4.4.1.02.04.03.</w:t>
            </w:r>
          </w:p>
        </w:tc>
        <w:tc>
          <w:tcPr>
            <w:tcW w:w="3183" w:type="dxa"/>
            <w:tcBorders>
              <w:top w:val="nil"/>
              <w:left w:val="nil"/>
              <w:bottom w:val="single" w:sz="4" w:space="0" w:color="auto"/>
              <w:right w:val="single" w:sz="8" w:space="0" w:color="auto"/>
            </w:tcBorders>
            <w:shd w:val="clear" w:color="auto" w:fill="auto"/>
            <w:noWrap/>
            <w:vAlign w:val="bottom"/>
            <w:hideMark/>
          </w:tcPr>
          <w:p w14:paraId="65593815" w14:textId="77777777" w:rsidR="00B27058" w:rsidRPr="00B27058" w:rsidRDefault="00B27058" w:rsidP="00B27058">
            <w:pPr>
              <w:spacing w:after="0" w:line="240" w:lineRule="auto"/>
              <w:jc w:val="left"/>
              <w:rPr>
                <w:rFonts w:eastAsia="Times New Roman" w:cs="Calibri"/>
                <w:color w:val="000000"/>
                <w:sz w:val="18"/>
                <w:szCs w:val="18"/>
                <w:lang w:val="en-US"/>
              </w:rPr>
            </w:pPr>
            <w:r w:rsidRPr="00B27058">
              <w:rPr>
                <w:rFonts w:eastAsia="Times New Roman" w:cs="Calibri"/>
                <w:color w:val="000000"/>
                <w:sz w:val="18"/>
                <w:szCs w:val="18"/>
                <w:lang w:val="en-US"/>
              </w:rPr>
              <w:t>Servicios de cementerio</w:t>
            </w:r>
          </w:p>
        </w:tc>
        <w:tc>
          <w:tcPr>
            <w:tcW w:w="1134" w:type="dxa"/>
            <w:tcBorders>
              <w:top w:val="nil"/>
              <w:left w:val="nil"/>
              <w:bottom w:val="single" w:sz="4" w:space="0" w:color="auto"/>
              <w:right w:val="single" w:sz="8" w:space="0" w:color="auto"/>
            </w:tcBorders>
            <w:shd w:val="clear" w:color="000000" w:fill="FFFFFF"/>
            <w:noWrap/>
            <w:vAlign w:val="bottom"/>
            <w:hideMark/>
          </w:tcPr>
          <w:p w14:paraId="2AC964F5" w14:textId="77777777" w:rsidR="00B27058" w:rsidRPr="00B27058" w:rsidRDefault="00B27058" w:rsidP="00B27058">
            <w:pPr>
              <w:spacing w:after="0" w:line="240" w:lineRule="auto"/>
              <w:jc w:val="right"/>
              <w:rPr>
                <w:rFonts w:eastAsia="Times New Roman" w:cs="Calibri"/>
                <w:color w:val="000000"/>
                <w:sz w:val="18"/>
                <w:szCs w:val="18"/>
                <w:lang w:val="en-US"/>
              </w:rPr>
            </w:pPr>
            <w:r w:rsidRPr="00B27058">
              <w:rPr>
                <w:rFonts w:ascii="Arial" w:eastAsia="Times New Roman" w:hAnsi="Arial" w:cs="Arial"/>
                <w:color w:val="000000"/>
                <w:sz w:val="18"/>
                <w:szCs w:val="18"/>
                <w:lang w:val="en-US"/>
              </w:rPr>
              <w:t>₡</w:t>
            </w:r>
            <w:r w:rsidRPr="00B27058">
              <w:rPr>
                <w:rFonts w:eastAsia="Times New Roman" w:cs="Calibri"/>
                <w:color w:val="000000"/>
                <w:sz w:val="18"/>
                <w:szCs w:val="18"/>
                <w:lang w:val="en-US"/>
              </w:rPr>
              <w:t>18 406,82</w:t>
            </w:r>
          </w:p>
        </w:tc>
        <w:tc>
          <w:tcPr>
            <w:tcW w:w="1134" w:type="dxa"/>
            <w:tcBorders>
              <w:top w:val="nil"/>
              <w:left w:val="nil"/>
              <w:bottom w:val="single" w:sz="4" w:space="0" w:color="auto"/>
              <w:right w:val="single" w:sz="4" w:space="0" w:color="auto"/>
            </w:tcBorders>
            <w:shd w:val="clear" w:color="000000" w:fill="FFFFFF"/>
            <w:noWrap/>
            <w:vAlign w:val="bottom"/>
            <w:hideMark/>
          </w:tcPr>
          <w:p w14:paraId="0B32D0FE" w14:textId="77777777" w:rsidR="00B27058" w:rsidRPr="00B27058" w:rsidRDefault="00B27058" w:rsidP="00B27058">
            <w:pPr>
              <w:spacing w:after="0" w:line="240" w:lineRule="auto"/>
              <w:jc w:val="right"/>
              <w:rPr>
                <w:rFonts w:eastAsia="Times New Roman" w:cs="Calibri"/>
                <w:color w:val="000000"/>
                <w:sz w:val="18"/>
                <w:szCs w:val="18"/>
                <w:lang w:val="en-US"/>
              </w:rPr>
            </w:pPr>
            <w:r w:rsidRPr="00B27058">
              <w:rPr>
                <w:rFonts w:ascii="Arial" w:eastAsia="Times New Roman" w:hAnsi="Arial" w:cs="Arial"/>
                <w:color w:val="000000"/>
                <w:sz w:val="18"/>
                <w:szCs w:val="18"/>
                <w:lang w:val="en-US"/>
              </w:rPr>
              <w:t>₡</w:t>
            </w:r>
            <w:r w:rsidRPr="00B27058">
              <w:rPr>
                <w:rFonts w:eastAsia="Times New Roman" w:cs="Calibri"/>
                <w:color w:val="000000"/>
                <w:sz w:val="18"/>
                <w:szCs w:val="18"/>
                <w:lang w:val="en-US"/>
              </w:rPr>
              <w:t>10 225,62</w:t>
            </w:r>
          </w:p>
        </w:tc>
        <w:tc>
          <w:tcPr>
            <w:tcW w:w="1134" w:type="dxa"/>
            <w:tcBorders>
              <w:top w:val="nil"/>
              <w:left w:val="nil"/>
              <w:bottom w:val="single" w:sz="4" w:space="0" w:color="auto"/>
              <w:right w:val="single" w:sz="4" w:space="0" w:color="auto"/>
            </w:tcBorders>
            <w:shd w:val="clear" w:color="000000" w:fill="FFFFFF"/>
            <w:noWrap/>
            <w:vAlign w:val="bottom"/>
            <w:hideMark/>
          </w:tcPr>
          <w:p w14:paraId="3788466A" w14:textId="77777777" w:rsidR="00B27058" w:rsidRPr="00B27058" w:rsidRDefault="00B27058" w:rsidP="00B27058">
            <w:pPr>
              <w:spacing w:after="0" w:line="240" w:lineRule="auto"/>
              <w:jc w:val="right"/>
              <w:rPr>
                <w:rFonts w:eastAsia="Times New Roman" w:cs="Calibri"/>
                <w:color w:val="000000"/>
                <w:sz w:val="18"/>
                <w:szCs w:val="18"/>
                <w:lang w:val="en-US"/>
              </w:rPr>
            </w:pPr>
            <w:r w:rsidRPr="00B27058">
              <w:rPr>
                <w:rFonts w:ascii="Arial" w:eastAsia="Times New Roman" w:hAnsi="Arial" w:cs="Arial"/>
                <w:color w:val="000000"/>
                <w:sz w:val="18"/>
                <w:szCs w:val="18"/>
                <w:lang w:val="en-US"/>
              </w:rPr>
              <w:t>₡</w:t>
            </w:r>
            <w:r w:rsidRPr="00B27058">
              <w:rPr>
                <w:rFonts w:eastAsia="Times New Roman" w:cs="Calibri"/>
                <w:color w:val="000000"/>
                <w:sz w:val="18"/>
                <w:szCs w:val="18"/>
                <w:lang w:val="en-US"/>
              </w:rPr>
              <w:t>8 181,20</w:t>
            </w:r>
          </w:p>
        </w:tc>
        <w:tc>
          <w:tcPr>
            <w:tcW w:w="930" w:type="dxa"/>
            <w:tcBorders>
              <w:top w:val="nil"/>
              <w:left w:val="nil"/>
              <w:bottom w:val="single" w:sz="4" w:space="0" w:color="auto"/>
              <w:right w:val="single" w:sz="8" w:space="0" w:color="auto"/>
            </w:tcBorders>
            <w:shd w:val="clear" w:color="auto" w:fill="auto"/>
            <w:noWrap/>
            <w:vAlign w:val="bottom"/>
            <w:hideMark/>
          </w:tcPr>
          <w:p w14:paraId="02021572" w14:textId="77777777" w:rsidR="00B27058" w:rsidRPr="00B27058" w:rsidRDefault="00B27058" w:rsidP="00B27058">
            <w:pPr>
              <w:spacing w:after="0" w:line="240" w:lineRule="auto"/>
              <w:jc w:val="center"/>
              <w:rPr>
                <w:rFonts w:eastAsia="Times New Roman" w:cs="Calibri"/>
                <w:color w:val="000000"/>
                <w:sz w:val="18"/>
                <w:szCs w:val="18"/>
                <w:lang w:val="en-US"/>
              </w:rPr>
            </w:pPr>
            <w:r w:rsidRPr="00B27058">
              <w:rPr>
                <w:rFonts w:eastAsia="Times New Roman" w:cs="Calibri"/>
                <w:color w:val="000000"/>
                <w:sz w:val="18"/>
                <w:szCs w:val="18"/>
                <w:lang w:val="en-US"/>
              </w:rPr>
              <w:t>80,01%</w:t>
            </w:r>
          </w:p>
        </w:tc>
      </w:tr>
      <w:tr w:rsidR="00B27058" w:rsidRPr="00B27058" w14:paraId="4A774914" w14:textId="77777777" w:rsidTr="00521DEE">
        <w:trPr>
          <w:trHeight w:val="290"/>
        </w:trPr>
        <w:tc>
          <w:tcPr>
            <w:tcW w:w="1202" w:type="dxa"/>
            <w:tcBorders>
              <w:top w:val="nil"/>
              <w:left w:val="single" w:sz="8" w:space="0" w:color="auto"/>
              <w:bottom w:val="single" w:sz="4" w:space="0" w:color="auto"/>
              <w:right w:val="single" w:sz="8" w:space="0" w:color="auto"/>
            </w:tcBorders>
            <w:shd w:val="clear" w:color="000000" w:fill="FFFFFF"/>
            <w:noWrap/>
            <w:vAlign w:val="bottom"/>
            <w:hideMark/>
          </w:tcPr>
          <w:p w14:paraId="29751A43" w14:textId="77777777" w:rsidR="00B27058" w:rsidRPr="00B27058" w:rsidRDefault="00B27058" w:rsidP="00B27058">
            <w:pPr>
              <w:spacing w:after="0" w:line="240" w:lineRule="auto"/>
              <w:jc w:val="left"/>
              <w:rPr>
                <w:rFonts w:eastAsia="Times New Roman" w:cs="Calibri"/>
                <w:color w:val="000000"/>
                <w:sz w:val="18"/>
                <w:szCs w:val="18"/>
                <w:lang w:val="en-US"/>
              </w:rPr>
            </w:pPr>
            <w:r w:rsidRPr="00B27058">
              <w:rPr>
                <w:rFonts w:eastAsia="Times New Roman" w:cs="Calibri"/>
                <w:color w:val="000000"/>
                <w:sz w:val="18"/>
                <w:szCs w:val="18"/>
                <w:lang w:val="en-US"/>
              </w:rPr>
              <w:t>4.4.1.02.04.04.</w:t>
            </w:r>
          </w:p>
        </w:tc>
        <w:tc>
          <w:tcPr>
            <w:tcW w:w="3183" w:type="dxa"/>
            <w:tcBorders>
              <w:top w:val="nil"/>
              <w:left w:val="nil"/>
              <w:bottom w:val="single" w:sz="4" w:space="0" w:color="auto"/>
              <w:right w:val="single" w:sz="8" w:space="0" w:color="auto"/>
            </w:tcBorders>
            <w:shd w:val="clear" w:color="auto" w:fill="auto"/>
            <w:noWrap/>
            <w:vAlign w:val="bottom"/>
            <w:hideMark/>
          </w:tcPr>
          <w:p w14:paraId="0C7D45C6" w14:textId="77777777" w:rsidR="00B27058" w:rsidRPr="00B27058" w:rsidRDefault="00B27058" w:rsidP="00B27058">
            <w:pPr>
              <w:spacing w:after="0" w:line="240" w:lineRule="auto"/>
              <w:jc w:val="left"/>
              <w:rPr>
                <w:rFonts w:eastAsia="Times New Roman" w:cs="Calibri"/>
                <w:color w:val="000000"/>
                <w:sz w:val="18"/>
                <w:szCs w:val="18"/>
                <w:lang w:val="en-US"/>
              </w:rPr>
            </w:pPr>
            <w:r w:rsidRPr="00B27058">
              <w:rPr>
                <w:rFonts w:eastAsia="Times New Roman" w:cs="Calibri"/>
                <w:color w:val="000000"/>
                <w:sz w:val="18"/>
                <w:szCs w:val="18"/>
                <w:lang w:val="en-US"/>
              </w:rPr>
              <w:t>Servicios de saneamiento ambiental</w:t>
            </w:r>
          </w:p>
        </w:tc>
        <w:tc>
          <w:tcPr>
            <w:tcW w:w="1134" w:type="dxa"/>
            <w:tcBorders>
              <w:top w:val="nil"/>
              <w:left w:val="nil"/>
              <w:bottom w:val="single" w:sz="4" w:space="0" w:color="auto"/>
              <w:right w:val="single" w:sz="8" w:space="0" w:color="auto"/>
            </w:tcBorders>
            <w:shd w:val="clear" w:color="000000" w:fill="FFFFFF"/>
            <w:noWrap/>
            <w:vAlign w:val="bottom"/>
            <w:hideMark/>
          </w:tcPr>
          <w:p w14:paraId="3CEA70B5" w14:textId="77777777" w:rsidR="00B27058" w:rsidRPr="00B27058" w:rsidRDefault="00B27058" w:rsidP="00B27058">
            <w:pPr>
              <w:spacing w:after="0" w:line="240" w:lineRule="auto"/>
              <w:jc w:val="right"/>
              <w:rPr>
                <w:rFonts w:eastAsia="Times New Roman" w:cs="Calibri"/>
                <w:color w:val="000000"/>
                <w:sz w:val="18"/>
                <w:szCs w:val="18"/>
                <w:lang w:val="en-US"/>
              </w:rPr>
            </w:pPr>
            <w:r w:rsidRPr="00B27058">
              <w:rPr>
                <w:rFonts w:eastAsia="Times New Roman" w:cs="Calibri"/>
                <w:color w:val="000000"/>
                <w:sz w:val="18"/>
                <w:szCs w:val="18"/>
                <w:lang w:val="en-US"/>
              </w:rPr>
              <w:t>292 353,11</w:t>
            </w:r>
          </w:p>
        </w:tc>
        <w:tc>
          <w:tcPr>
            <w:tcW w:w="1134" w:type="dxa"/>
            <w:tcBorders>
              <w:top w:val="nil"/>
              <w:left w:val="nil"/>
              <w:bottom w:val="single" w:sz="4" w:space="0" w:color="auto"/>
              <w:right w:val="single" w:sz="4" w:space="0" w:color="auto"/>
            </w:tcBorders>
            <w:shd w:val="clear" w:color="auto" w:fill="auto"/>
            <w:noWrap/>
            <w:vAlign w:val="bottom"/>
            <w:hideMark/>
          </w:tcPr>
          <w:p w14:paraId="08F296F1" w14:textId="77777777" w:rsidR="00B27058" w:rsidRPr="00B27058" w:rsidRDefault="00B27058" w:rsidP="00B27058">
            <w:pPr>
              <w:spacing w:after="0" w:line="240" w:lineRule="auto"/>
              <w:jc w:val="right"/>
              <w:rPr>
                <w:rFonts w:eastAsia="Times New Roman" w:cs="Calibri"/>
                <w:color w:val="000000"/>
                <w:sz w:val="18"/>
                <w:szCs w:val="18"/>
                <w:lang w:val="en-US"/>
              </w:rPr>
            </w:pPr>
            <w:r w:rsidRPr="00B27058">
              <w:rPr>
                <w:rFonts w:eastAsia="Times New Roman" w:cs="Calibri"/>
                <w:color w:val="000000"/>
                <w:sz w:val="18"/>
                <w:szCs w:val="18"/>
                <w:lang w:val="en-US"/>
              </w:rPr>
              <w:t>175 685,98</w:t>
            </w:r>
          </w:p>
        </w:tc>
        <w:tc>
          <w:tcPr>
            <w:tcW w:w="1134" w:type="dxa"/>
            <w:tcBorders>
              <w:top w:val="nil"/>
              <w:left w:val="nil"/>
              <w:bottom w:val="single" w:sz="4" w:space="0" w:color="auto"/>
              <w:right w:val="single" w:sz="4" w:space="0" w:color="auto"/>
            </w:tcBorders>
            <w:shd w:val="clear" w:color="000000" w:fill="FFFFFF"/>
            <w:noWrap/>
            <w:vAlign w:val="bottom"/>
            <w:hideMark/>
          </w:tcPr>
          <w:p w14:paraId="5D953E17" w14:textId="77777777" w:rsidR="00B27058" w:rsidRPr="00B27058" w:rsidRDefault="00B27058" w:rsidP="00B27058">
            <w:pPr>
              <w:spacing w:after="0" w:line="240" w:lineRule="auto"/>
              <w:jc w:val="right"/>
              <w:rPr>
                <w:rFonts w:eastAsia="Times New Roman" w:cs="Calibri"/>
                <w:color w:val="000000"/>
                <w:sz w:val="18"/>
                <w:szCs w:val="18"/>
                <w:lang w:val="en-US"/>
              </w:rPr>
            </w:pPr>
            <w:r w:rsidRPr="00B27058">
              <w:rPr>
                <w:rFonts w:ascii="Arial" w:eastAsia="Times New Roman" w:hAnsi="Arial" w:cs="Arial"/>
                <w:color w:val="000000"/>
                <w:sz w:val="18"/>
                <w:szCs w:val="18"/>
                <w:lang w:val="en-US"/>
              </w:rPr>
              <w:t>₡</w:t>
            </w:r>
            <w:r w:rsidRPr="00B27058">
              <w:rPr>
                <w:rFonts w:eastAsia="Times New Roman" w:cs="Calibri"/>
                <w:color w:val="000000"/>
                <w:sz w:val="18"/>
                <w:szCs w:val="18"/>
                <w:lang w:val="en-US"/>
              </w:rPr>
              <w:t>116 667,13</w:t>
            </w:r>
          </w:p>
        </w:tc>
        <w:tc>
          <w:tcPr>
            <w:tcW w:w="930" w:type="dxa"/>
            <w:tcBorders>
              <w:top w:val="nil"/>
              <w:left w:val="nil"/>
              <w:bottom w:val="single" w:sz="4" w:space="0" w:color="auto"/>
              <w:right w:val="single" w:sz="8" w:space="0" w:color="auto"/>
            </w:tcBorders>
            <w:shd w:val="clear" w:color="auto" w:fill="auto"/>
            <w:noWrap/>
            <w:vAlign w:val="bottom"/>
            <w:hideMark/>
          </w:tcPr>
          <w:p w14:paraId="417BEE71" w14:textId="77777777" w:rsidR="00B27058" w:rsidRPr="00B27058" w:rsidRDefault="00B27058" w:rsidP="00B27058">
            <w:pPr>
              <w:spacing w:after="0" w:line="240" w:lineRule="auto"/>
              <w:jc w:val="center"/>
              <w:rPr>
                <w:rFonts w:eastAsia="Times New Roman" w:cs="Calibri"/>
                <w:color w:val="000000"/>
                <w:sz w:val="18"/>
                <w:szCs w:val="18"/>
                <w:lang w:val="en-US"/>
              </w:rPr>
            </w:pPr>
            <w:r w:rsidRPr="00B27058">
              <w:rPr>
                <w:rFonts w:eastAsia="Times New Roman" w:cs="Calibri"/>
                <w:color w:val="000000"/>
                <w:sz w:val="18"/>
                <w:szCs w:val="18"/>
                <w:lang w:val="en-US"/>
              </w:rPr>
              <w:t>66,41%</w:t>
            </w:r>
          </w:p>
        </w:tc>
      </w:tr>
      <w:tr w:rsidR="00B27058" w:rsidRPr="00B27058" w14:paraId="18748FBB" w14:textId="77777777" w:rsidTr="00521DEE">
        <w:trPr>
          <w:trHeight w:val="290"/>
        </w:trPr>
        <w:tc>
          <w:tcPr>
            <w:tcW w:w="1202" w:type="dxa"/>
            <w:tcBorders>
              <w:top w:val="nil"/>
              <w:left w:val="single" w:sz="8" w:space="0" w:color="auto"/>
              <w:bottom w:val="single" w:sz="4" w:space="0" w:color="auto"/>
              <w:right w:val="single" w:sz="8" w:space="0" w:color="auto"/>
            </w:tcBorders>
            <w:shd w:val="clear" w:color="000000" w:fill="FFFFFF"/>
            <w:noWrap/>
            <w:vAlign w:val="bottom"/>
            <w:hideMark/>
          </w:tcPr>
          <w:p w14:paraId="5D3B70E9" w14:textId="77777777" w:rsidR="00B27058" w:rsidRPr="00B27058" w:rsidRDefault="00B27058" w:rsidP="00B27058">
            <w:pPr>
              <w:spacing w:after="0" w:line="240" w:lineRule="auto"/>
              <w:jc w:val="left"/>
              <w:rPr>
                <w:rFonts w:eastAsia="Times New Roman" w:cs="Calibri"/>
                <w:b/>
                <w:bCs/>
                <w:color w:val="000000"/>
                <w:sz w:val="18"/>
                <w:szCs w:val="18"/>
                <w:lang w:val="en-US"/>
              </w:rPr>
            </w:pPr>
            <w:r w:rsidRPr="00B27058">
              <w:rPr>
                <w:rFonts w:eastAsia="Times New Roman" w:cs="Calibri"/>
                <w:b/>
                <w:bCs/>
                <w:color w:val="000000"/>
                <w:sz w:val="18"/>
                <w:szCs w:val="18"/>
                <w:lang w:val="en-US"/>
              </w:rPr>
              <w:t>4.4.1.02.99.</w:t>
            </w:r>
          </w:p>
        </w:tc>
        <w:tc>
          <w:tcPr>
            <w:tcW w:w="3183" w:type="dxa"/>
            <w:tcBorders>
              <w:top w:val="nil"/>
              <w:left w:val="nil"/>
              <w:bottom w:val="single" w:sz="4" w:space="0" w:color="auto"/>
              <w:right w:val="single" w:sz="8" w:space="0" w:color="auto"/>
            </w:tcBorders>
            <w:shd w:val="clear" w:color="auto" w:fill="auto"/>
            <w:noWrap/>
            <w:vAlign w:val="bottom"/>
            <w:hideMark/>
          </w:tcPr>
          <w:p w14:paraId="4C678305" w14:textId="77777777" w:rsidR="00B27058" w:rsidRPr="00B27058" w:rsidRDefault="00B27058" w:rsidP="00B27058">
            <w:pPr>
              <w:spacing w:after="0" w:line="240" w:lineRule="auto"/>
              <w:jc w:val="left"/>
              <w:rPr>
                <w:rFonts w:eastAsia="Times New Roman" w:cs="Calibri"/>
                <w:b/>
                <w:bCs/>
                <w:color w:val="000000"/>
                <w:sz w:val="18"/>
                <w:szCs w:val="18"/>
                <w:lang w:val="en-US"/>
              </w:rPr>
            </w:pPr>
            <w:r w:rsidRPr="00B27058">
              <w:rPr>
                <w:rFonts w:eastAsia="Times New Roman" w:cs="Calibri"/>
                <w:b/>
                <w:bCs/>
                <w:color w:val="000000"/>
                <w:sz w:val="18"/>
                <w:szCs w:val="18"/>
                <w:lang w:val="en-US"/>
              </w:rPr>
              <w:t>Otras ventas de servicios</w:t>
            </w:r>
          </w:p>
        </w:tc>
        <w:tc>
          <w:tcPr>
            <w:tcW w:w="1134" w:type="dxa"/>
            <w:tcBorders>
              <w:top w:val="nil"/>
              <w:left w:val="nil"/>
              <w:bottom w:val="single" w:sz="4" w:space="0" w:color="auto"/>
              <w:right w:val="single" w:sz="8" w:space="0" w:color="auto"/>
            </w:tcBorders>
            <w:shd w:val="clear" w:color="000000" w:fill="FFFFFF"/>
            <w:noWrap/>
            <w:vAlign w:val="bottom"/>
            <w:hideMark/>
          </w:tcPr>
          <w:p w14:paraId="3A1A31A1" w14:textId="77777777" w:rsidR="00B27058" w:rsidRPr="00B27058" w:rsidRDefault="00B27058" w:rsidP="00B27058">
            <w:pPr>
              <w:spacing w:after="0" w:line="240" w:lineRule="auto"/>
              <w:jc w:val="left"/>
              <w:rPr>
                <w:rFonts w:eastAsia="Times New Roman" w:cs="Calibri"/>
                <w:color w:val="000000"/>
                <w:sz w:val="18"/>
                <w:szCs w:val="18"/>
                <w:lang w:val="en-US"/>
              </w:rPr>
            </w:pPr>
            <w:r w:rsidRPr="00B27058">
              <w:rPr>
                <w:rFonts w:eastAsia="Times New Roman" w:cs="Calibri"/>
                <w:color w:val="000000"/>
                <w:sz w:val="18"/>
                <w:szCs w:val="18"/>
                <w:lang w:val="en-US"/>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14:paraId="19EECD06" w14:textId="77777777" w:rsidR="00B27058" w:rsidRPr="00B27058" w:rsidRDefault="00B27058" w:rsidP="00B27058">
            <w:pPr>
              <w:spacing w:after="0" w:line="240" w:lineRule="auto"/>
              <w:jc w:val="left"/>
              <w:rPr>
                <w:rFonts w:eastAsia="Times New Roman" w:cs="Calibri"/>
                <w:color w:val="000000"/>
                <w:sz w:val="18"/>
                <w:szCs w:val="18"/>
                <w:lang w:val="en-US"/>
              </w:rPr>
            </w:pPr>
            <w:r w:rsidRPr="00B27058">
              <w:rPr>
                <w:rFonts w:eastAsia="Times New Roman" w:cs="Calibri"/>
                <w:color w:val="000000"/>
                <w:sz w:val="18"/>
                <w:szCs w:val="18"/>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14:paraId="793C295B" w14:textId="77777777" w:rsidR="00B27058" w:rsidRPr="00B27058" w:rsidRDefault="00B27058" w:rsidP="00B27058">
            <w:pPr>
              <w:spacing w:after="0" w:line="240" w:lineRule="auto"/>
              <w:jc w:val="left"/>
              <w:rPr>
                <w:rFonts w:eastAsia="Times New Roman" w:cs="Calibri"/>
                <w:color w:val="000000"/>
                <w:sz w:val="18"/>
                <w:szCs w:val="18"/>
                <w:lang w:val="en-US"/>
              </w:rPr>
            </w:pPr>
            <w:r w:rsidRPr="00B27058">
              <w:rPr>
                <w:rFonts w:eastAsia="Times New Roman" w:cs="Calibri"/>
                <w:color w:val="000000"/>
                <w:sz w:val="18"/>
                <w:szCs w:val="18"/>
                <w:lang w:val="en-US"/>
              </w:rPr>
              <w:t> </w:t>
            </w:r>
          </w:p>
        </w:tc>
        <w:tc>
          <w:tcPr>
            <w:tcW w:w="930" w:type="dxa"/>
            <w:tcBorders>
              <w:top w:val="nil"/>
              <w:left w:val="nil"/>
              <w:bottom w:val="single" w:sz="4" w:space="0" w:color="auto"/>
              <w:right w:val="single" w:sz="8" w:space="0" w:color="auto"/>
            </w:tcBorders>
            <w:shd w:val="clear" w:color="auto" w:fill="auto"/>
            <w:noWrap/>
            <w:vAlign w:val="bottom"/>
            <w:hideMark/>
          </w:tcPr>
          <w:p w14:paraId="140B8185" w14:textId="77777777" w:rsidR="00B27058" w:rsidRPr="00B27058" w:rsidRDefault="00B27058" w:rsidP="00B27058">
            <w:pPr>
              <w:spacing w:after="0" w:line="240" w:lineRule="auto"/>
              <w:jc w:val="center"/>
              <w:rPr>
                <w:rFonts w:eastAsia="Times New Roman" w:cs="Calibri"/>
                <w:color w:val="000000"/>
                <w:sz w:val="18"/>
                <w:szCs w:val="18"/>
                <w:lang w:val="en-US"/>
              </w:rPr>
            </w:pPr>
            <w:r w:rsidRPr="00B27058">
              <w:rPr>
                <w:rFonts w:eastAsia="Times New Roman" w:cs="Calibri"/>
                <w:color w:val="000000"/>
                <w:sz w:val="18"/>
                <w:szCs w:val="18"/>
                <w:lang w:val="en-US"/>
              </w:rPr>
              <w:t> </w:t>
            </w:r>
          </w:p>
        </w:tc>
      </w:tr>
      <w:tr w:rsidR="00B27058" w:rsidRPr="00B27058" w14:paraId="018E8217" w14:textId="77777777" w:rsidTr="00521DEE">
        <w:trPr>
          <w:trHeight w:val="300"/>
        </w:trPr>
        <w:tc>
          <w:tcPr>
            <w:tcW w:w="1202" w:type="dxa"/>
            <w:tcBorders>
              <w:top w:val="nil"/>
              <w:left w:val="single" w:sz="8" w:space="0" w:color="auto"/>
              <w:bottom w:val="single" w:sz="8" w:space="0" w:color="auto"/>
              <w:right w:val="single" w:sz="8" w:space="0" w:color="auto"/>
            </w:tcBorders>
            <w:shd w:val="clear" w:color="000000" w:fill="FFFFFF"/>
            <w:noWrap/>
            <w:vAlign w:val="bottom"/>
            <w:hideMark/>
          </w:tcPr>
          <w:p w14:paraId="4ABAA631" w14:textId="77777777" w:rsidR="00B27058" w:rsidRPr="00B27058" w:rsidRDefault="00B27058" w:rsidP="00B27058">
            <w:pPr>
              <w:spacing w:after="0" w:line="240" w:lineRule="auto"/>
              <w:jc w:val="left"/>
              <w:rPr>
                <w:rFonts w:eastAsia="Times New Roman" w:cs="Calibri"/>
                <w:color w:val="000000"/>
                <w:sz w:val="18"/>
                <w:szCs w:val="18"/>
                <w:lang w:val="en-US"/>
              </w:rPr>
            </w:pPr>
            <w:r w:rsidRPr="00B27058">
              <w:rPr>
                <w:rFonts w:eastAsia="Times New Roman" w:cs="Calibri"/>
                <w:color w:val="000000"/>
                <w:sz w:val="18"/>
                <w:szCs w:val="18"/>
                <w:lang w:val="en-US"/>
              </w:rPr>
              <w:t>4.4.1.02.99.99.</w:t>
            </w:r>
          </w:p>
        </w:tc>
        <w:tc>
          <w:tcPr>
            <w:tcW w:w="3183" w:type="dxa"/>
            <w:tcBorders>
              <w:top w:val="nil"/>
              <w:left w:val="nil"/>
              <w:bottom w:val="single" w:sz="8" w:space="0" w:color="auto"/>
              <w:right w:val="single" w:sz="8" w:space="0" w:color="auto"/>
            </w:tcBorders>
            <w:shd w:val="clear" w:color="auto" w:fill="auto"/>
            <w:noWrap/>
            <w:vAlign w:val="bottom"/>
            <w:hideMark/>
          </w:tcPr>
          <w:p w14:paraId="7586748C" w14:textId="77777777" w:rsidR="00B27058" w:rsidRPr="00B27058" w:rsidRDefault="00B27058" w:rsidP="00B27058">
            <w:pPr>
              <w:spacing w:after="0" w:line="240" w:lineRule="auto"/>
              <w:jc w:val="left"/>
              <w:rPr>
                <w:rFonts w:eastAsia="Times New Roman" w:cs="Calibri"/>
                <w:color w:val="000000"/>
                <w:sz w:val="18"/>
                <w:szCs w:val="18"/>
              </w:rPr>
            </w:pPr>
            <w:r w:rsidRPr="00B27058">
              <w:rPr>
                <w:rFonts w:eastAsia="Times New Roman" w:cs="Calibri"/>
                <w:color w:val="000000"/>
                <w:sz w:val="18"/>
                <w:szCs w:val="18"/>
              </w:rPr>
              <w:t>Otras ventas de servicios varios</w:t>
            </w:r>
          </w:p>
        </w:tc>
        <w:tc>
          <w:tcPr>
            <w:tcW w:w="1134" w:type="dxa"/>
            <w:tcBorders>
              <w:top w:val="nil"/>
              <w:left w:val="nil"/>
              <w:bottom w:val="single" w:sz="8" w:space="0" w:color="auto"/>
              <w:right w:val="single" w:sz="8" w:space="0" w:color="auto"/>
            </w:tcBorders>
            <w:shd w:val="clear" w:color="000000" w:fill="FFFFFF"/>
            <w:noWrap/>
            <w:vAlign w:val="bottom"/>
            <w:hideMark/>
          </w:tcPr>
          <w:p w14:paraId="42321B64" w14:textId="77777777" w:rsidR="00B27058" w:rsidRPr="00B27058" w:rsidRDefault="00B27058" w:rsidP="00B27058">
            <w:pPr>
              <w:spacing w:after="0" w:line="240" w:lineRule="auto"/>
              <w:jc w:val="right"/>
              <w:rPr>
                <w:rFonts w:eastAsia="Times New Roman" w:cs="Calibri"/>
                <w:color w:val="000000"/>
                <w:sz w:val="18"/>
                <w:szCs w:val="18"/>
                <w:lang w:val="en-US"/>
              </w:rPr>
            </w:pPr>
            <w:r w:rsidRPr="00B27058">
              <w:rPr>
                <w:rFonts w:eastAsia="Times New Roman" w:cs="Calibri"/>
                <w:color w:val="000000"/>
                <w:sz w:val="18"/>
                <w:szCs w:val="18"/>
                <w:lang w:val="en-US"/>
              </w:rPr>
              <w:t>35 882,77</w:t>
            </w:r>
          </w:p>
        </w:tc>
        <w:tc>
          <w:tcPr>
            <w:tcW w:w="1134" w:type="dxa"/>
            <w:tcBorders>
              <w:top w:val="nil"/>
              <w:left w:val="nil"/>
              <w:bottom w:val="single" w:sz="8" w:space="0" w:color="auto"/>
              <w:right w:val="single" w:sz="8" w:space="0" w:color="auto"/>
            </w:tcBorders>
            <w:shd w:val="clear" w:color="000000" w:fill="FFFFFF"/>
            <w:noWrap/>
            <w:vAlign w:val="bottom"/>
            <w:hideMark/>
          </w:tcPr>
          <w:p w14:paraId="1751A0F9" w14:textId="77777777" w:rsidR="00B27058" w:rsidRPr="00B27058" w:rsidRDefault="00B27058" w:rsidP="00B27058">
            <w:pPr>
              <w:spacing w:after="0" w:line="240" w:lineRule="auto"/>
              <w:jc w:val="right"/>
              <w:rPr>
                <w:rFonts w:eastAsia="Times New Roman" w:cs="Calibri"/>
                <w:color w:val="000000"/>
                <w:sz w:val="18"/>
                <w:szCs w:val="18"/>
                <w:lang w:val="en-US"/>
              </w:rPr>
            </w:pPr>
            <w:r w:rsidRPr="00B27058">
              <w:rPr>
                <w:rFonts w:eastAsia="Times New Roman" w:cs="Calibri"/>
                <w:color w:val="000000"/>
                <w:sz w:val="18"/>
                <w:szCs w:val="18"/>
                <w:lang w:val="en-US"/>
              </w:rPr>
              <w:t>32 662,11</w:t>
            </w:r>
          </w:p>
        </w:tc>
        <w:tc>
          <w:tcPr>
            <w:tcW w:w="1134" w:type="dxa"/>
            <w:tcBorders>
              <w:top w:val="nil"/>
              <w:left w:val="nil"/>
              <w:bottom w:val="single" w:sz="8" w:space="0" w:color="auto"/>
              <w:right w:val="single" w:sz="8" w:space="0" w:color="auto"/>
            </w:tcBorders>
            <w:shd w:val="clear" w:color="000000" w:fill="FFFFFF"/>
            <w:noWrap/>
            <w:vAlign w:val="bottom"/>
            <w:hideMark/>
          </w:tcPr>
          <w:p w14:paraId="31993B89" w14:textId="77777777" w:rsidR="00B27058" w:rsidRPr="00B27058" w:rsidRDefault="00B27058" w:rsidP="00B27058">
            <w:pPr>
              <w:spacing w:after="0" w:line="240" w:lineRule="auto"/>
              <w:jc w:val="right"/>
              <w:rPr>
                <w:rFonts w:eastAsia="Times New Roman" w:cs="Calibri"/>
                <w:color w:val="000000"/>
                <w:sz w:val="18"/>
                <w:szCs w:val="18"/>
                <w:lang w:val="en-US"/>
              </w:rPr>
            </w:pPr>
            <w:r w:rsidRPr="00B27058">
              <w:rPr>
                <w:rFonts w:eastAsia="Times New Roman" w:cs="Calibri"/>
                <w:color w:val="000000"/>
                <w:sz w:val="18"/>
                <w:szCs w:val="18"/>
                <w:lang w:val="en-US"/>
              </w:rPr>
              <w:t>3 220,66</w:t>
            </w:r>
          </w:p>
        </w:tc>
        <w:tc>
          <w:tcPr>
            <w:tcW w:w="930" w:type="dxa"/>
            <w:tcBorders>
              <w:top w:val="nil"/>
              <w:left w:val="nil"/>
              <w:bottom w:val="single" w:sz="8" w:space="0" w:color="auto"/>
              <w:right w:val="single" w:sz="8" w:space="0" w:color="auto"/>
            </w:tcBorders>
            <w:shd w:val="clear" w:color="auto" w:fill="auto"/>
            <w:noWrap/>
            <w:vAlign w:val="bottom"/>
            <w:hideMark/>
          </w:tcPr>
          <w:p w14:paraId="5E8DD0C2" w14:textId="77777777" w:rsidR="00B27058" w:rsidRPr="00B27058" w:rsidRDefault="00B27058" w:rsidP="00B27058">
            <w:pPr>
              <w:spacing w:after="0" w:line="240" w:lineRule="auto"/>
              <w:jc w:val="center"/>
              <w:rPr>
                <w:rFonts w:eastAsia="Times New Roman" w:cs="Calibri"/>
                <w:color w:val="000000"/>
                <w:sz w:val="18"/>
                <w:szCs w:val="18"/>
                <w:lang w:val="en-US"/>
              </w:rPr>
            </w:pPr>
            <w:r w:rsidRPr="00B27058">
              <w:rPr>
                <w:rFonts w:eastAsia="Times New Roman" w:cs="Calibri"/>
                <w:color w:val="000000"/>
                <w:sz w:val="18"/>
                <w:szCs w:val="18"/>
                <w:lang w:val="en-US"/>
              </w:rPr>
              <w:t>9,86%</w:t>
            </w:r>
          </w:p>
        </w:tc>
      </w:tr>
      <w:tr w:rsidR="00B27058" w:rsidRPr="00B27058" w14:paraId="0C9B837B" w14:textId="77777777" w:rsidTr="00521DEE">
        <w:trPr>
          <w:trHeight w:val="300"/>
        </w:trPr>
        <w:tc>
          <w:tcPr>
            <w:tcW w:w="1202" w:type="dxa"/>
            <w:tcBorders>
              <w:top w:val="nil"/>
              <w:left w:val="single" w:sz="8" w:space="0" w:color="auto"/>
              <w:bottom w:val="single" w:sz="8" w:space="0" w:color="auto"/>
              <w:right w:val="single" w:sz="8" w:space="0" w:color="auto"/>
            </w:tcBorders>
            <w:shd w:val="clear" w:color="000000" w:fill="FFFFFF"/>
            <w:noWrap/>
            <w:vAlign w:val="bottom"/>
            <w:hideMark/>
          </w:tcPr>
          <w:p w14:paraId="53215724" w14:textId="77777777" w:rsidR="00B27058" w:rsidRPr="00B27058" w:rsidRDefault="00B27058" w:rsidP="00B27058">
            <w:pPr>
              <w:spacing w:after="0" w:line="240" w:lineRule="auto"/>
              <w:jc w:val="left"/>
              <w:rPr>
                <w:rFonts w:eastAsia="Times New Roman" w:cs="Calibri"/>
                <w:b/>
                <w:bCs/>
                <w:color w:val="000000"/>
                <w:sz w:val="18"/>
                <w:szCs w:val="18"/>
                <w:lang w:val="en-US"/>
              </w:rPr>
            </w:pPr>
            <w:r w:rsidRPr="00B27058">
              <w:rPr>
                <w:rFonts w:eastAsia="Times New Roman" w:cs="Calibri"/>
                <w:b/>
                <w:bCs/>
                <w:color w:val="000000"/>
                <w:sz w:val="18"/>
                <w:szCs w:val="18"/>
                <w:lang w:val="en-US"/>
              </w:rPr>
              <w:t> </w:t>
            </w:r>
          </w:p>
        </w:tc>
        <w:tc>
          <w:tcPr>
            <w:tcW w:w="3183" w:type="dxa"/>
            <w:tcBorders>
              <w:top w:val="nil"/>
              <w:left w:val="nil"/>
              <w:bottom w:val="single" w:sz="8" w:space="0" w:color="auto"/>
              <w:right w:val="single" w:sz="8" w:space="0" w:color="auto"/>
            </w:tcBorders>
            <w:shd w:val="clear" w:color="auto" w:fill="auto"/>
            <w:noWrap/>
            <w:vAlign w:val="bottom"/>
            <w:hideMark/>
          </w:tcPr>
          <w:p w14:paraId="4118CF0E" w14:textId="77777777" w:rsidR="00B27058" w:rsidRPr="00B27058" w:rsidRDefault="00B27058" w:rsidP="00B27058">
            <w:pPr>
              <w:spacing w:after="0" w:line="240" w:lineRule="auto"/>
              <w:jc w:val="center"/>
              <w:rPr>
                <w:rFonts w:eastAsia="Times New Roman" w:cs="Calibri"/>
                <w:b/>
                <w:bCs/>
                <w:color w:val="000000"/>
                <w:sz w:val="18"/>
                <w:szCs w:val="18"/>
                <w:lang w:val="en-US"/>
              </w:rPr>
            </w:pPr>
            <w:r w:rsidRPr="00B27058">
              <w:rPr>
                <w:rFonts w:eastAsia="Times New Roman" w:cs="Calibri"/>
                <w:b/>
                <w:bCs/>
                <w:color w:val="000000"/>
                <w:sz w:val="18"/>
                <w:szCs w:val="18"/>
                <w:lang w:val="en-US"/>
              </w:rPr>
              <w:t>TOTALES</w:t>
            </w:r>
          </w:p>
        </w:tc>
        <w:tc>
          <w:tcPr>
            <w:tcW w:w="1134" w:type="dxa"/>
            <w:tcBorders>
              <w:top w:val="nil"/>
              <w:left w:val="nil"/>
              <w:bottom w:val="single" w:sz="8" w:space="0" w:color="auto"/>
              <w:right w:val="single" w:sz="8" w:space="0" w:color="auto"/>
            </w:tcBorders>
            <w:shd w:val="clear" w:color="000000" w:fill="FFFFFF"/>
            <w:noWrap/>
            <w:vAlign w:val="bottom"/>
            <w:hideMark/>
          </w:tcPr>
          <w:p w14:paraId="6FCC1C42" w14:textId="77777777" w:rsidR="00B27058" w:rsidRPr="00B27058" w:rsidRDefault="00B27058" w:rsidP="00B27058">
            <w:pPr>
              <w:spacing w:after="0" w:line="240" w:lineRule="auto"/>
              <w:jc w:val="right"/>
              <w:rPr>
                <w:rFonts w:eastAsia="Times New Roman" w:cs="Calibri"/>
                <w:b/>
                <w:bCs/>
                <w:color w:val="000000"/>
                <w:sz w:val="18"/>
                <w:szCs w:val="18"/>
                <w:lang w:val="en-US"/>
              </w:rPr>
            </w:pPr>
            <w:r w:rsidRPr="00B27058">
              <w:rPr>
                <w:rFonts w:ascii="Arial" w:eastAsia="Times New Roman" w:hAnsi="Arial" w:cs="Arial"/>
                <w:b/>
                <w:bCs/>
                <w:color w:val="000000"/>
                <w:sz w:val="18"/>
                <w:szCs w:val="18"/>
                <w:lang w:val="en-US"/>
              </w:rPr>
              <w:t>₡</w:t>
            </w:r>
            <w:r w:rsidRPr="00B27058">
              <w:rPr>
                <w:rFonts w:eastAsia="Times New Roman" w:cs="Calibri"/>
                <w:b/>
                <w:bCs/>
                <w:color w:val="000000"/>
                <w:sz w:val="18"/>
                <w:szCs w:val="18"/>
                <w:lang w:val="en-US"/>
              </w:rPr>
              <w:t>346 642,70</w:t>
            </w:r>
          </w:p>
        </w:tc>
        <w:tc>
          <w:tcPr>
            <w:tcW w:w="1134" w:type="dxa"/>
            <w:tcBorders>
              <w:top w:val="nil"/>
              <w:left w:val="nil"/>
              <w:bottom w:val="single" w:sz="8" w:space="0" w:color="auto"/>
              <w:right w:val="single" w:sz="8" w:space="0" w:color="auto"/>
            </w:tcBorders>
            <w:shd w:val="clear" w:color="000000" w:fill="FFFFFF"/>
            <w:noWrap/>
            <w:vAlign w:val="bottom"/>
            <w:hideMark/>
          </w:tcPr>
          <w:p w14:paraId="0464F775" w14:textId="77777777" w:rsidR="00B27058" w:rsidRPr="00B27058" w:rsidRDefault="00B27058" w:rsidP="00B27058">
            <w:pPr>
              <w:spacing w:after="0" w:line="240" w:lineRule="auto"/>
              <w:jc w:val="right"/>
              <w:rPr>
                <w:rFonts w:eastAsia="Times New Roman" w:cs="Calibri"/>
                <w:b/>
                <w:bCs/>
                <w:color w:val="000000"/>
                <w:sz w:val="18"/>
                <w:szCs w:val="18"/>
                <w:lang w:val="en-US"/>
              </w:rPr>
            </w:pPr>
            <w:r w:rsidRPr="00B27058">
              <w:rPr>
                <w:rFonts w:ascii="Arial" w:eastAsia="Times New Roman" w:hAnsi="Arial" w:cs="Arial"/>
                <w:b/>
                <w:bCs/>
                <w:color w:val="000000"/>
                <w:sz w:val="18"/>
                <w:szCs w:val="18"/>
                <w:lang w:val="en-US"/>
              </w:rPr>
              <w:t>₡</w:t>
            </w:r>
            <w:r w:rsidRPr="00B27058">
              <w:rPr>
                <w:rFonts w:eastAsia="Times New Roman" w:cs="Calibri"/>
                <w:b/>
                <w:bCs/>
                <w:color w:val="000000"/>
                <w:sz w:val="18"/>
                <w:szCs w:val="18"/>
                <w:lang w:val="en-US"/>
              </w:rPr>
              <w:t>218 573,70</w:t>
            </w:r>
          </w:p>
        </w:tc>
        <w:tc>
          <w:tcPr>
            <w:tcW w:w="1134" w:type="dxa"/>
            <w:tcBorders>
              <w:top w:val="nil"/>
              <w:left w:val="nil"/>
              <w:bottom w:val="single" w:sz="8" w:space="0" w:color="auto"/>
              <w:right w:val="single" w:sz="8" w:space="0" w:color="auto"/>
            </w:tcBorders>
            <w:shd w:val="clear" w:color="000000" w:fill="FFFFFF"/>
            <w:noWrap/>
            <w:vAlign w:val="bottom"/>
            <w:hideMark/>
          </w:tcPr>
          <w:p w14:paraId="3075F123" w14:textId="77777777" w:rsidR="00B27058" w:rsidRPr="00B27058" w:rsidRDefault="00B27058" w:rsidP="00B27058">
            <w:pPr>
              <w:spacing w:after="0" w:line="240" w:lineRule="auto"/>
              <w:jc w:val="right"/>
              <w:rPr>
                <w:rFonts w:eastAsia="Times New Roman" w:cs="Calibri"/>
                <w:b/>
                <w:bCs/>
                <w:color w:val="000000"/>
                <w:sz w:val="18"/>
                <w:szCs w:val="18"/>
                <w:lang w:val="en-US"/>
              </w:rPr>
            </w:pPr>
            <w:r w:rsidRPr="00B27058">
              <w:rPr>
                <w:rFonts w:ascii="Arial" w:eastAsia="Times New Roman" w:hAnsi="Arial" w:cs="Arial"/>
                <w:b/>
                <w:bCs/>
                <w:color w:val="000000"/>
                <w:sz w:val="18"/>
                <w:szCs w:val="18"/>
                <w:lang w:val="en-US"/>
              </w:rPr>
              <w:t>₡</w:t>
            </w:r>
            <w:r w:rsidRPr="00B27058">
              <w:rPr>
                <w:rFonts w:eastAsia="Times New Roman" w:cs="Calibri"/>
                <w:b/>
                <w:bCs/>
                <w:color w:val="000000"/>
                <w:sz w:val="18"/>
                <w:szCs w:val="18"/>
                <w:lang w:val="en-US"/>
              </w:rPr>
              <w:t>128 069,00</w:t>
            </w:r>
          </w:p>
        </w:tc>
        <w:tc>
          <w:tcPr>
            <w:tcW w:w="930" w:type="dxa"/>
            <w:tcBorders>
              <w:top w:val="nil"/>
              <w:left w:val="nil"/>
              <w:bottom w:val="single" w:sz="8" w:space="0" w:color="auto"/>
              <w:right w:val="single" w:sz="8" w:space="0" w:color="auto"/>
            </w:tcBorders>
            <w:shd w:val="clear" w:color="auto" w:fill="auto"/>
            <w:noWrap/>
            <w:vAlign w:val="bottom"/>
            <w:hideMark/>
          </w:tcPr>
          <w:p w14:paraId="37B096F2" w14:textId="77777777" w:rsidR="00B27058" w:rsidRPr="00B27058" w:rsidRDefault="00B27058" w:rsidP="00B27058">
            <w:pPr>
              <w:spacing w:after="0" w:line="240" w:lineRule="auto"/>
              <w:jc w:val="center"/>
              <w:rPr>
                <w:rFonts w:eastAsia="Times New Roman" w:cs="Calibri"/>
                <w:b/>
                <w:bCs/>
                <w:color w:val="000000"/>
                <w:sz w:val="18"/>
                <w:szCs w:val="18"/>
                <w:lang w:val="en-US"/>
              </w:rPr>
            </w:pPr>
            <w:r w:rsidRPr="00B27058">
              <w:rPr>
                <w:rFonts w:eastAsia="Times New Roman" w:cs="Calibri"/>
                <w:b/>
                <w:bCs/>
                <w:color w:val="000000"/>
                <w:sz w:val="18"/>
                <w:szCs w:val="18"/>
                <w:lang w:val="en-US"/>
              </w:rPr>
              <w:t>58,59%</w:t>
            </w:r>
          </w:p>
        </w:tc>
      </w:tr>
    </w:tbl>
    <w:p w14:paraId="572B8DFA" w14:textId="77777777" w:rsidR="00CC7BEB" w:rsidRDefault="00CC7BEB" w:rsidP="00CC7BEB">
      <w:pPr>
        <w:spacing w:after="0" w:line="240" w:lineRule="auto"/>
        <w:ind w:right="193"/>
        <w:rPr>
          <w:rFonts w:cs="Calibri"/>
          <w:color w:val="000000"/>
          <w:lang w:eastAsia="es-CR"/>
        </w:rPr>
      </w:pPr>
    </w:p>
    <w:p w14:paraId="133C3B3F" w14:textId="10FE0415" w:rsidR="00CC7BEB" w:rsidRDefault="00CC7BEB" w:rsidP="00CC7BEB">
      <w:pPr>
        <w:spacing w:after="0" w:line="240" w:lineRule="auto"/>
      </w:pPr>
      <w:r w:rsidRPr="0065256A">
        <w:t xml:space="preserve">Como se observa en el cuadro anterior, el mayor impacto en la diferencia (aumento) </w:t>
      </w:r>
      <w:r>
        <w:t xml:space="preserve">de </w:t>
      </w:r>
      <w:r w:rsidRPr="0065256A">
        <w:rPr>
          <w:rFonts w:ascii="Arial" w:hAnsi="Arial" w:cs="Arial"/>
        </w:rPr>
        <w:t>₡</w:t>
      </w:r>
      <w:r w:rsidRPr="00AA0611">
        <w:t>6</w:t>
      </w:r>
      <w:r>
        <w:t>2</w:t>
      </w:r>
      <w:r w:rsidRPr="00AA0611">
        <w:t xml:space="preserve"> </w:t>
      </w:r>
      <w:r>
        <w:t>130</w:t>
      </w:r>
      <w:r w:rsidRPr="00AA0611">
        <w:t>,</w:t>
      </w:r>
      <w:r>
        <w:t>23</w:t>
      </w:r>
      <w:r w:rsidRPr="00AA0611">
        <w:rPr>
          <w:rFonts w:cs="Calibri"/>
          <w:b/>
          <w:bCs/>
          <w:color w:val="000000"/>
          <w:sz w:val="18"/>
          <w:szCs w:val="18"/>
        </w:rPr>
        <w:t xml:space="preserve"> </w:t>
      </w:r>
      <w:r>
        <w:t xml:space="preserve">miles que presenta </w:t>
      </w:r>
      <w:r w:rsidRPr="0065256A">
        <w:t xml:space="preserve">la cuenta de Venta de bienes y </w:t>
      </w:r>
      <w:r w:rsidR="00521DEE" w:rsidRPr="0065256A">
        <w:t>servicios</w:t>
      </w:r>
      <w:r w:rsidRPr="0065256A">
        <w:t xml:space="preserve"> </w:t>
      </w:r>
      <w:r w:rsidR="00521DEE" w:rsidRPr="0065256A">
        <w:t>corresponden</w:t>
      </w:r>
      <w:r w:rsidRPr="0065256A">
        <w:t xml:space="preserve"> a los aumentos que presentan las cuentas </w:t>
      </w:r>
      <w:r>
        <w:t xml:space="preserve">“Servicios de cementerio” de </w:t>
      </w:r>
      <w:r w:rsidRPr="00B87178">
        <w:rPr>
          <w:rFonts w:ascii="Arial" w:hAnsi="Arial" w:cs="Arial"/>
        </w:rPr>
        <w:t>₡</w:t>
      </w:r>
      <w:r w:rsidR="00521DEE">
        <w:t>8</w:t>
      </w:r>
      <w:r w:rsidRPr="00B87178">
        <w:t> </w:t>
      </w:r>
      <w:r w:rsidR="00521DEE">
        <w:t>181</w:t>
      </w:r>
      <w:r w:rsidRPr="00B87178">
        <w:t>,</w:t>
      </w:r>
      <w:r>
        <w:t>2</w:t>
      </w:r>
      <w:r w:rsidR="00521DEE">
        <w:t>0</w:t>
      </w:r>
      <w:r w:rsidRPr="00B87178">
        <w:t xml:space="preserve"> miles; </w:t>
      </w:r>
      <w:r w:rsidRPr="0065256A">
        <w:t xml:space="preserve">Servicios de saneamiento ambiental </w:t>
      </w:r>
      <w:r>
        <w:t xml:space="preserve">de </w:t>
      </w:r>
      <w:r w:rsidRPr="0065256A">
        <w:rPr>
          <w:rFonts w:ascii="Arial" w:hAnsi="Arial" w:cs="Arial"/>
        </w:rPr>
        <w:t>₡</w:t>
      </w:r>
      <w:r w:rsidR="00521DEE">
        <w:t>116</w:t>
      </w:r>
      <w:r w:rsidRPr="0065256A">
        <w:t> </w:t>
      </w:r>
      <w:r w:rsidR="00521DEE">
        <w:t>667</w:t>
      </w:r>
      <w:r w:rsidRPr="0065256A">
        <w:t>,</w:t>
      </w:r>
      <w:r w:rsidR="00521DEE">
        <w:t>13</w:t>
      </w:r>
      <w:r w:rsidRPr="0065256A">
        <w:t xml:space="preserve"> miles y Otras ventas de servicios varios </w:t>
      </w:r>
      <w:r>
        <w:t xml:space="preserve">de </w:t>
      </w:r>
      <w:r w:rsidRPr="0065256A">
        <w:rPr>
          <w:rFonts w:ascii="Arial" w:hAnsi="Arial" w:cs="Arial"/>
        </w:rPr>
        <w:t>₡</w:t>
      </w:r>
      <w:r w:rsidR="00521DEE">
        <w:t>3</w:t>
      </w:r>
      <w:r>
        <w:t xml:space="preserve"> </w:t>
      </w:r>
      <w:r w:rsidR="00521DEE">
        <w:t>220</w:t>
      </w:r>
      <w:r w:rsidRPr="0065256A">
        <w:t>,</w:t>
      </w:r>
      <w:r w:rsidR="00521DEE">
        <w:t>66</w:t>
      </w:r>
      <w:r w:rsidRPr="0065256A">
        <w:t xml:space="preserve"> miles. El aumento se considera normal para la Municipalidad, el cual obedece al </w:t>
      </w:r>
      <w:r>
        <w:t xml:space="preserve">ajuste realizado </w:t>
      </w:r>
      <w:r w:rsidRPr="0065256A">
        <w:t xml:space="preserve">por la Municipalidad </w:t>
      </w:r>
      <w:r>
        <w:t>para</w:t>
      </w:r>
      <w:r w:rsidRPr="0065256A">
        <w:t xml:space="preserve"> est</w:t>
      </w:r>
      <w:r>
        <w:t>e</w:t>
      </w:r>
      <w:r w:rsidRPr="0065256A">
        <w:t xml:space="preserve"> año </w:t>
      </w:r>
      <w:r>
        <w:t>2024</w:t>
      </w:r>
      <w:r w:rsidRPr="0065256A">
        <w:t>.</w:t>
      </w:r>
    </w:p>
    <w:p w14:paraId="08B99D8E" w14:textId="77777777" w:rsidR="00CC7BEB" w:rsidRPr="0065256A" w:rsidRDefault="00CC7BEB" w:rsidP="00CC7BEB">
      <w:pPr>
        <w:spacing w:after="0" w:line="240" w:lineRule="auto"/>
      </w:pPr>
    </w:p>
    <w:p w14:paraId="5C16EED2" w14:textId="53DE16DE" w:rsidR="00692DC8" w:rsidRDefault="00CC7BEB" w:rsidP="00CC7BEB">
      <w:pPr>
        <w:spacing w:after="0" w:line="240" w:lineRule="auto"/>
      </w:pPr>
      <w:r w:rsidRPr="0065256A">
        <w:t>Cabe señalar, que la cuenta Venta de bienes incluye los ingresos que percibe la Municipalidad por concepto de los diferentes servicios que brinda la Municipalidad a los vecinos del Cantón como</w:t>
      </w:r>
      <w:r>
        <w:t xml:space="preserve"> lo son:</w:t>
      </w:r>
      <w:r w:rsidRPr="0065256A">
        <w:t xml:space="preserve"> Recolección de Basura, Aseo de vías y sitios públicos, Mantenimiento de parque y obras de ornato, Servicio de gestión vial, Servicio de Mercado Municipal, Servicio de Cementerio y Servicio de terminal de buses.</w:t>
      </w:r>
    </w:p>
    <w:p w14:paraId="5BA1BFE3" w14:textId="77777777" w:rsidR="00CC7BEB" w:rsidRDefault="00CC7BEB" w:rsidP="00CC7BEB">
      <w:pPr>
        <w:rPr>
          <w:szCs w:val="24"/>
        </w:rPr>
      </w:pPr>
    </w:p>
    <w:p w14:paraId="38E8BC33" w14:textId="77777777" w:rsidR="00521DEE" w:rsidRPr="00692DC8" w:rsidRDefault="00521DEE" w:rsidP="00521DEE">
      <w:pPr>
        <w:spacing w:after="0" w:line="240" w:lineRule="auto"/>
        <w:rPr>
          <w:szCs w:val="24"/>
        </w:rPr>
      </w:pPr>
    </w:p>
    <w:p w14:paraId="76D4D157" w14:textId="77777777" w:rsidR="00692DC8" w:rsidRPr="00692DC8" w:rsidRDefault="00692DC8" w:rsidP="00623120">
      <w:pPr>
        <w:pStyle w:val="Ttulo4"/>
        <w:spacing w:after="240"/>
        <w:rPr>
          <w:rFonts w:eastAsia="Times New Roman"/>
        </w:rPr>
      </w:pPr>
      <w:bookmarkStart w:id="732" w:name="_Toc14344808"/>
      <w:bookmarkStart w:id="733" w:name="_Toc33601275"/>
      <w:bookmarkStart w:id="734" w:name="_Toc82768994"/>
      <w:bookmarkStart w:id="735" w:name="_Toc173245277"/>
      <w:r w:rsidRPr="00692DC8">
        <w:rPr>
          <w:rFonts w:eastAsia="Times New Roman"/>
        </w:rPr>
        <w:t>NOTA N° 4</w:t>
      </w:r>
      <w:bookmarkEnd w:id="732"/>
      <w:bookmarkEnd w:id="733"/>
      <w:bookmarkEnd w:id="734"/>
      <w:r w:rsidRPr="00692DC8">
        <w:rPr>
          <w:rFonts w:eastAsia="Times New Roman"/>
        </w:rPr>
        <w:t>2</w:t>
      </w:r>
      <w:bookmarkEnd w:id="735"/>
    </w:p>
    <w:p w14:paraId="65B69480" w14:textId="77777777" w:rsidR="00694299" w:rsidRDefault="00692DC8" w:rsidP="00873B1C">
      <w:pPr>
        <w:spacing w:before="120" w:after="120" w:line="240" w:lineRule="auto"/>
        <w:rPr>
          <w:rFonts w:asciiTheme="minorHAnsi" w:hAnsiTheme="minorHAnsi"/>
          <w:sz w:val="22"/>
        </w:rPr>
      </w:pPr>
      <w:bookmarkStart w:id="736" w:name="_Toc14344809"/>
      <w:bookmarkStart w:id="737" w:name="_Toc33601276"/>
      <w:bookmarkStart w:id="738" w:name="_Toc82768995"/>
      <w:r w:rsidRPr="00692DC8">
        <w:rPr>
          <w:rFonts w:eastAsia="Times New Roman"/>
        </w:rPr>
        <w:t>Derechos administrativos</w:t>
      </w:r>
      <w:bookmarkStart w:id="739" w:name="_Toc14344812"/>
      <w:bookmarkEnd w:id="736"/>
      <w:bookmarkEnd w:id="737"/>
      <w:bookmarkEnd w:id="738"/>
      <w:r w:rsidR="00AA098E">
        <w:rPr>
          <w:rFonts w:eastAsiaTheme="majorEastAsia" w:cstheme="majorBidi"/>
          <w:iCs/>
          <w:lang w:val="es-ES"/>
        </w:rPr>
        <w:fldChar w:fldCharType="begin"/>
      </w:r>
      <w:r w:rsidR="00AA098E">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NOTAS_POR_CUENTA!F272C1:F274C6 </w:instrText>
      </w:r>
      <w:r w:rsidR="00AA098E">
        <w:rPr>
          <w:lang w:val="es-ES"/>
        </w:rPr>
        <w:instrText xml:space="preserve">\a \f 4 \h </w:instrText>
      </w:r>
      <w:r w:rsidR="00AA098E">
        <w:rPr>
          <w:b/>
          <w:lang w:val="es-ES"/>
        </w:rPr>
        <w:fldChar w:fldCharType="separate"/>
      </w:r>
    </w:p>
    <w:p w14:paraId="618D4430" w14:textId="69C5F857" w:rsidR="00C572A3" w:rsidRDefault="00AA098E" w:rsidP="00521DEE">
      <w:pPr>
        <w:spacing w:before="120" w:after="120" w:line="240" w:lineRule="auto"/>
        <w:rPr>
          <w:rFonts w:asciiTheme="minorHAnsi" w:hAnsiTheme="minorHAnsi"/>
          <w:sz w:val="22"/>
        </w:rPr>
      </w:pPr>
      <w:r>
        <w:rPr>
          <w:b/>
          <w:bCs/>
          <w:lang w:val="es-ES"/>
        </w:rPr>
        <w:fldChar w:fldCharType="end"/>
      </w:r>
      <w:r w:rsidR="00873B1C">
        <w:rPr>
          <w:b/>
          <w:bCs/>
          <w:lang w:val="es-ES"/>
        </w:rPr>
        <w:fldChar w:fldCharType="begin"/>
      </w:r>
      <w:r w:rsidR="00873B1C">
        <w:rPr>
          <w:b/>
          <w:bCs/>
          <w:lang w:val="es-ES"/>
        </w:rPr>
        <w:instrText xml:space="preserve"> LINK </w:instrText>
      </w:r>
      <w:r w:rsidR="0068177A">
        <w:rPr>
          <w:b/>
          <w:bCs/>
          <w:lang w:val="es-ES"/>
        </w:rPr>
        <w:instrText xml:space="preserve">Excel.SheetMacroEnabled.12 "C:\\Users\\arges\\OneDrive\\Desktop\\Municipalidades\\Buenos Aires\\Cierre Junio 2024\\Notas Contables\\15603_T02_2024_Anexo_Estado_Notas_Contables_Vinculadas.xlsm" NOTAS_POR_CUENTA!R272C1:R274C6 </w:instrText>
      </w:r>
      <w:r w:rsidR="00873B1C">
        <w:rPr>
          <w:b/>
          <w:bCs/>
          <w:lang w:val="es-ES"/>
        </w:rPr>
        <w:instrText xml:space="preserve">\a \f 4 \h </w:instrText>
      </w:r>
      <w:r w:rsidR="00873B1C">
        <w:rPr>
          <w:b/>
          <w:bCs/>
          <w:lang w:val="es-ES"/>
        </w:rPr>
        <w:fldChar w:fldCharType="separate"/>
      </w:r>
    </w:p>
    <w:tbl>
      <w:tblPr>
        <w:tblW w:w="10080" w:type="dxa"/>
        <w:tblLook w:val="04A0" w:firstRow="1" w:lastRow="0" w:firstColumn="1" w:lastColumn="0" w:noHBand="0" w:noVBand="1"/>
      </w:tblPr>
      <w:tblGrid>
        <w:gridCol w:w="717"/>
        <w:gridCol w:w="3339"/>
        <w:gridCol w:w="544"/>
        <w:gridCol w:w="2200"/>
        <w:gridCol w:w="2200"/>
        <w:gridCol w:w="1080"/>
      </w:tblGrid>
      <w:tr w:rsidR="00C572A3" w:rsidRPr="00C572A3" w14:paraId="4BA792BC" w14:textId="77777777" w:rsidTr="00C572A3">
        <w:trPr>
          <w:divId w:val="1683972435"/>
          <w:trHeight w:val="320"/>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4E772B6" w14:textId="13C401FF" w:rsidR="00C572A3" w:rsidRPr="00C572A3" w:rsidRDefault="00C572A3" w:rsidP="00C572A3">
            <w:pP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E2893B3"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Descripción</w:t>
            </w:r>
          </w:p>
        </w:tc>
        <w:tc>
          <w:tcPr>
            <w:tcW w:w="5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5B6FCDE"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Nota</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80F8506"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Actual </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66F0FBE"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Anterior </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1DBBE0B0"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Diferencia </w:t>
            </w:r>
          </w:p>
        </w:tc>
      </w:tr>
      <w:tr w:rsidR="00C572A3" w:rsidRPr="00C572A3" w14:paraId="00838C55" w14:textId="77777777" w:rsidTr="00C572A3">
        <w:trPr>
          <w:divId w:val="1683972435"/>
          <w:trHeight w:val="320"/>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76B5051E"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19925366"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14:paraId="1D964181"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285BB659"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616F4EEB"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1080" w:type="dxa"/>
            <w:tcBorders>
              <w:top w:val="nil"/>
              <w:left w:val="nil"/>
              <w:bottom w:val="single" w:sz="8" w:space="0" w:color="auto"/>
              <w:right w:val="single" w:sz="8" w:space="0" w:color="auto"/>
            </w:tcBorders>
            <w:shd w:val="clear" w:color="000000" w:fill="366092"/>
            <w:noWrap/>
            <w:vAlign w:val="center"/>
            <w:hideMark/>
          </w:tcPr>
          <w:p w14:paraId="06337E5E" w14:textId="77777777" w:rsidR="00C572A3" w:rsidRPr="00C572A3" w:rsidRDefault="00C572A3" w:rsidP="00C572A3">
            <w:pPr>
              <w:spacing w:after="0" w:line="240" w:lineRule="auto"/>
              <w:jc w:val="center"/>
              <w:rPr>
                <w:rFonts w:eastAsia="Times New Roman" w:cs="Calibri"/>
                <w:color w:val="FFFFFF"/>
                <w:sz w:val="18"/>
                <w:szCs w:val="18"/>
                <w:lang w:val="en-US"/>
              </w:rPr>
            </w:pPr>
            <w:r w:rsidRPr="00C572A3">
              <w:rPr>
                <w:rFonts w:eastAsia="Times New Roman" w:cs="Calibri"/>
                <w:color w:val="FFFFFF"/>
                <w:sz w:val="18"/>
                <w:szCs w:val="18"/>
                <w:lang w:val="en-US"/>
              </w:rPr>
              <w:t>%</w:t>
            </w:r>
          </w:p>
        </w:tc>
      </w:tr>
      <w:tr w:rsidR="00C572A3" w:rsidRPr="00C572A3" w14:paraId="7D7C545E" w14:textId="77777777" w:rsidTr="00C572A3">
        <w:trPr>
          <w:divId w:val="1683972435"/>
          <w:trHeight w:val="320"/>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51AB447D" w14:textId="77777777" w:rsidR="00C572A3" w:rsidRPr="00C572A3" w:rsidRDefault="00C572A3" w:rsidP="00C572A3">
            <w:pPr>
              <w:spacing w:after="0" w:line="240" w:lineRule="auto"/>
              <w:jc w:val="left"/>
              <w:rPr>
                <w:rFonts w:eastAsia="Times New Roman" w:cs="Calibri"/>
                <w:b/>
                <w:bCs/>
                <w:color w:val="000000"/>
                <w:sz w:val="18"/>
                <w:szCs w:val="18"/>
                <w:lang w:val="en-US"/>
              </w:rPr>
            </w:pPr>
            <w:r w:rsidRPr="00C572A3">
              <w:rPr>
                <w:rFonts w:eastAsia="Times New Roman" w:cs="Calibri"/>
                <w:b/>
                <w:bCs/>
                <w:color w:val="000000"/>
                <w:sz w:val="18"/>
                <w:szCs w:val="18"/>
                <w:lang w:val="en-US"/>
              </w:rPr>
              <w:t>4.4.2.</w:t>
            </w:r>
          </w:p>
        </w:tc>
        <w:tc>
          <w:tcPr>
            <w:tcW w:w="3380" w:type="dxa"/>
            <w:tcBorders>
              <w:top w:val="nil"/>
              <w:left w:val="nil"/>
              <w:bottom w:val="single" w:sz="8" w:space="0" w:color="auto"/>
              <w:right w:val="single" w:sz="8" w:space="0" w:color="auto"/>
            </w:tcBorders>
            <w:shd w:val="clear" w:color="auto" w:fill="auto"/>
            <w:vAlign w:val="center"/>
            <w:hideMark/>
          </w:tcPr>
          <w:p w14:paraId="326F3E50" w14:textId="77777777" w:rsidR="00C572A3" w:rsidRPr="00C572A3" w:rsidRDefault="00C572A3" w:rsidP="00C572A3">
            <w:pPr>
              <w:spacing w:after="0" w:line="240" w:lineRule="auto"/>
              <w:rPr>
                <w:rFonts w:eastAsia="Times New Roman" w:cs="Calibri"/>
                <w:b/>
                <w:bCs/>
                <w:color w:val="000000"/>
                <w:sz w:val="18"/>
                <w:szCs w:val="18"/>
                <w:lang w:val="en-US"/>
              </w:rPr>
            </w:pPr>
            <w:r w:rsidRPr="00C572A3">
              <w:rPr>
                <w:rFonts w:eastAsia="Times New Roman" w:cs="Calibri"/>
                <w:b/>
                <w:bCs/>
                <w:color w:val="000000"/>
                <w:sz w:val="18"/>
                <w:szCs w:val="18"/>
                <w:lang w:val="en-US"/>
              </w:rPr>
              <w:t>Derechos administrativos</w:t>
            </w:r>
          </w:p>
        </w:tc>
        <w:tc>
          <w:tcPr>
            <w:tcW w:w="520" w:type="dxa"/>
            <w:tcBorders>
              <w:top w:val="nil"/>
              <w:left w:val="nil"/>
              <w:bottom w:val="single" w:sz="8" w:space="0" w:color="auto"/>
              <w:right w:val="single" w:sz="8" w:space="0" w:color="auto"/>
            </w:tcBorders>
            <w:shd w:val="clear" w:color="auto" w:fill="auto"/>
            <w:noWrap/>
            <w:vAlign w:val="center"/>
            <w:hideMark/>
          </w:tcPr>
          <w:p w14:paraId="70B64C44"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42</w:t>
            </w:r>
          </w:p>
        </w:tc>
        <w:tc>
          <w:tcPr>
            <w:tcW w:w="2200" w:type="dxa"/>
            <w:tcBorders>
              <w:top w:val="nil"/>
              <w:left w:val="nil"/>
              <w:bottom w:val="single" w:sz="8" w:space="0" w:color="auto"/>
              <w:right w:val="single" w:sz="8" w:space="0" w:color="auto"/>
            </w:tcBorders>
            <w:shd w:val="clear" w:color="auto" w:fill="auto"/>
            <w:noWrap/>
            <w:vAlign w:val="center"/>
            <w:hideMark/>
          </w:tcPr>
          <w:p w14:paraId="1C98B84D"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368,93 </w:t>
            </w:r>
          </w:p>
        </w:tc>
        <w:tc>
          <w:tcPr>
            <w:tcW w:w="2200" w:type="dxa"/>
            <w:tcBorders>
              <w:top w:val="nil"/>
              <w:left w:val="nil"/>
              <w:bottom w:val="single" w:sz="8" w:space="0" w:color="auto"/>
              <w:right w:val="single" w:sz="8" w:space="0" w:color="auto"/>
            </w:tcBorders>
            <w:shd w:val="clear" w:color="auto" w:fill="auto"/>
            <w:noWrap/>
            <w:vAlign w:val="center"/>
            <w:hideMark/>
          </w:tcPr>
          <w:p w14:paraId="29E33585"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338,00 </w:t>
            </w:r>
          </w:p>
        </w:tc>
        <w:tc>
          <w:tcPr>
            <w:tcW w:w="1080" w:type="dxa"/>
            <w:tcBorders>
              <w:top w:val="nil"/>
              <w:left w:val="nil"/>
              <w:bottom w:val="single" w:sz="8" w:space="0" w:color="auto"/>
              <w:right w:val="single" w:sz="8" w:space="0" w:color="auto"/>
            </w:tcBorders>
            <w:shd w:val="clear" w:color="auto" w:fill="auto"/>
            <w:noWrap/>
            <w:vAlign w:val="center"/>
            <w:hideMark/>
          </w:tcPr>
          <w:p w14:paraId="0C88F71A"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9,15%</w:t>
            </w:r>
          </w:p>
        </w:tc>
      </w:tr>
    </w:tbl>
    <w:p w14:paraId="1EB20363" w14:textId="7DBCF4A9" w:rsidR="00694299" w:rsidRPr="00694299" w:rsidRDefault="00873B1C"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sidR="00AA098E">
        <w:rPr>
          <w:rFonts w:eastAsia="Times New Roman" w:cs="Calibri"/>
          <w:color w:val="000000"/>
          <w:lang w:eastAsia="es-CR"/>
        </w:rPr>
        <w:fldChar w:fldCharType="begin"/>
      </w:r>
      <w:r w:rsidR="00AA098E">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NOTAS_POR_CUENTA!F274C8 </w:instrText>
      </w:r>
      <w:r w:rsidR="00AA098E">
        <w:rPr>
          <w:rFonts w:eastAsia="Times New Roman" w:cs="Calibri"/>
          <w:color w:val="000000"/>
          <w:lang w:eastAsia="es-CR"/>
        </w:rPr>
        <w:instrText xml:space="preserve">\a \f 5 \h  \* MERGEFORMAT </w:instrText>
      </w:r>
      <w:r w:rsidR="00AA098E">
        <w:rPr>
          <w:rFonts w:eastAsia="Times New Roman" w:cs="Calibri"/>
          <w:color w:val="000000"/>
          <w:lang w:eastAsia="es-CR"/>
        </w:rPr>
        <w:fldChar w:fldCharType="separate"/>
      </w:r>
    </w:p>
    <w:p w14:paraId="38563D34" w14:textId="5DC7DF3E" w:rsidR="00694299" w:rsidRPr="00694299" w:rsidRDefault="00694299" w:rsidP="002F52C1">
      <w:pPr>
        <w:spacing w:line="240" w:lineRule="auto"/>
        <w:rPr>
          <w:rFonts w:eastAsia="Times New Roman" w:cs="Calibri"/>
          <w:color w:val="000000"/>
          <w:lang w:eastAsia="es-CR"/>
        </w:rPr>
      </w:pPr>
      <w:r w:rsidRPr="00694299">
        <w:rPr>
          <w:rFonts w:eastAsia="Times New Roman" w:cs="Calibri"/>
          <w:color w:val="000000"/>
          <w:lang w:eastAsia="es-CR"/>
        </w:rPr>
        <w:t>La cuenta Derechos administrativos, representa el 0,0</w:t>
      </w:r>
      <w:r w:rsidR="002F52C1">
        <w:rPr>
          <w:rFonts w:eastAsia="Times New Roman" w:cs="Calibri"/>
          <w:color w:val="000000"/>
          <w:lang w:eastAsia="es-CR"/>
        </w:rPr>
        <w:t>1</w:t>
      </w:r>
      <w:r w:rsidRPr="00694299">
        <w:rPr>
          <w:rFonts w:eastAsia="Times New Roman" w:cs="Calibri"/>
          <w:color w:val="000000"/>
          <w:lang w:eastAsia="es-CR"/>
        </w:rPr>
        <w:t xml:space="preserve">% del total del Ingresos, que comparado al periodo anterior genera una variación absoluta de </w:t>
      </w:r>
      <w:r w:rsidR="002F52C1" w:rsidRPr="002F52C1">
        <w:rPr>
          <w:rFonts w:eastAsia="Times New Roman" w:cs="Calibri"/>
          <w:color w:val="000000"/>
          <w:lang w:eastAsia="es-CR"/>
        </w:rPr>
        <w:t>30,93</w:t>
      </w:r>
      <w:r w:rsidRPr="00694299">
        <w:rPr>
          <w:rFonts w:eastAsia="Times New Roman" w:cs="Calibri"/>
          <w:color w:val="000000"/>
          <w:lang w:eastAsia="es-CR"/>
        </w:rPr>
        <w:t xml:space="preserve"> que corresponde a un Aumento del </w:t>
      </w:r>
      <w:r w:rsidR="002F52C1">
        <w:rPr>
          <w:rFonts w:eastAsia="Times New Roman" w:cs="Calibri"/>
          <w:color w:val="000000"/>
          <w:lang w:eastAsia="es-CR"/>
        </w:rPr>
        <w:t>9,</w:t>
      </w:r>
      <w:r w:rsidRPr="00694299">
        <w:rPr>
          <w:rFonts w:eastAsia="Times New Roman" w:cs="Calibri"/>
          <w:color w:val="000000"/>
          <w:lang w:eastAsia="es-CR"/>
        </w:rPr>
        <w:t>15% de recursos disponibles.</w:t>
      </w:r>
    </w:p>
    <w:p w14:paraId="46F9FFDB" w14:textId="01E81D54" w:rsidR="00692DC8" w:rsidRPr="00692DC8" w:rsidRDefault="00AA098E" w:rsidP="00AA098E">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129BB6FE" w14:textId="06789A78" w:rsidR="00692DC8" w:rsidRDefault="00554AAF" w:rsidP="00554AAF">
      <w:pPr>
        <w:spacing w:after="0" w:line="240" w:lineRule="auto"/>
        <w:rPr>
          <w:rFonts w:cs="Calibri"/>
          <w:color w:val="000000"/>
          <w:lang w:eastAsia="es-CR"/>
        </w:rPr>
      </w:pPr>
      <w:r w:rsidRPr="0000150F">
        <w:t xml:space="preserve">La variación no se considera material en relación con los estados financieros en conjunto. Al </w:t>
      </w:r>
      <w:r w:rsidR="00D470B6">
        <w:t>30 de junio</w:t>
      </w:r>
      <w:r w:rsidRPr="0000150F">
        <w:t xml:space="preserve"> de </w:t>
      </w:r>
      <w:r>
        <w:t>2024</w:t>
      </w:r>
      <w:r w:rsidRPr="0000150F">
        <w:t xml:space="preserve"> la cuenta </w:t>
      </w:r>
      <w:r w:rsidRPr="0000150F">
        <w:rPr>
          <w:rFonts w:cs="Calibri"/>
          <w:color w:val="000000"/>
          <w:lang w:eastAsia="es-CR"/>
        </w:rPr>
        <w:t xml:space="preserve">Derechos </w:t>
      </w:r>
      <w:r>
        <w:rPr>
          <w:rFonts w:cs="Calibri"/>
          <w:color w:val="000000"/>
          <w:lang w:eastAsia="es-CR"/>
        </w:rPr>
        <w:t>A</w:t>
      </w:r>
      <w:r w:rsidRPr="0000150F">
        <w:rPr>
          <w:rFonts w:cs="Calibri"/>
          <w:color w:val="000000"/>
          <w:lang w:eastAsia="es-CR"/>
        </w:rPr>
        <w:t>dministrativos se encuentra conformada por las siguientes partidas:</w:t>
      </w:r>
    </w:p>
    <w:p w14:paraId="447A2FA9" w14:textId="77777777" w:rsidR="00554AAF" w:rsidRDefault="00554AAF" w:rsidP="00554AAF">
      <w:pPr>
        <w:spacing w:after="0" w:line="240" w:lineRule="auto"/>
        <w:rPr>
          <w:rFonts w:cs="Calibri"/>
          <w:color w:val="000000"/>
          <w:lang w:eastAsia="es-CR"/>
        </w:rPr>
      </w:pPr>
    </w:p>
    <w:tbl>
      <w:tblPr>
        <w:tblW w:w="8680" w:type="dxa"/>
        <w:tblLook w:val="04A0" w:firstRow="1" w:lastRow="0" w:firstColumn="1" w:lastColumn="0" w:noHBand="0" w:noVBand="1"/>
      </w:tblPr>
      <w:tblGrid>
        <w:gridCol w:w="846"/>
        <w:gridCol w:w="4007"/>
        <w:gridCol w:w="950"/>
        <w:gridCol w:w="970"/>
        <w:gridCol w:w="998"/>
        <w:gridCol w:w="998"/>
      </w:tblGrid>
      <w:tr w:rsidR="00521DEE" w:rsidRPr="00521DEE" w14:paraId="3B1BA609" w14:textId="77777777" w:rsidTr="00521DEE">
        <w:trPr>
          <w:trHeight w:val="530"/>
        </w:trPr>
        <w:tc>
          <w:tcPr>
            <w:tcW w:w="740" w:type="dxa"/>
            <w:tcBorders>
              <w:top w:val="single" w:sz="8" w:space="0" w:color="auto"/>
              <w:left w:val="single" w:sz="8" w:space="0" w:color="auto"/>
              <w:bottom w:val="single" w:sz="8" w:space="0" w:color="auto"/>
              <w:right w:val="single" w:sz="8" w:space="0" w:color="auto"/>
            </w:tcBorders>
            <w:shd w:val="clear" w:color="000000" w:fill="366092"/>
            <w:vAlign w:val="center"/>
            <w:hideMark/>
          </w:tcPr>
          <w:p w14:paraId="4B9C92AA" w14:textId="77777777" w:rsidR="00521DEE" w:rsidRPr="00521DEE" w:rsidRDefault="00521DEE" w:rsidP="00521DEE">
            <w:pPr>
              <w:spacing w:after="0" w:line="240" w:lineRule="auto"/>
              <w:jc w:val="center"/>
              <w:rPr>
                <w:rFonts w:eastAsia="Times New Roman" w:cs="Calibri"/>
                <w:b/>
                <w:bCs/>
                <w:color w:val="FFFFFF"/>
                <w:sz w:val="20"/>
                <w:szCs w:val="20"/>
                <w:lang w:val="en-US"/>
              </w:rPr>
            </w:pPr>
            <w:r w:rsidRPr="00521DEE">
              <w:rPr>
                <w:rFonts w:eastAsia="Times New Roman" w:cs="Calibri"/>
                <w:b/>
                <w:bCs/>
                <w:color w:val="FFFFFF"/>
                <w:sz w:val="20"/>
                <w:szCs w:val="20"/>
                <w:lang w:val="en-US"/>
              </w:rPr>
              <w:t>Cuenta</w:t>
            </w:r>
          </w:p>
        </w:tc>
        <w:tc>
          <w:tcPr>
            <w:tcW w:w="4060" w:type="dxa"/>
            <w:tcBorders>
              <w:top w:val="single" w:sz="8" w:space="0" w:color="auto"/>
              <w:left w:val="nil"/>
              <w:bottom w:val="single" w:sz="8" w:space="0" w:color="auto"/>
              <w:right w:val="single" w:sz="8" w:space="0" w:color="auto"/>
            </w:tcBorders>
            <w:shd w:val="clear" w:color="000000" w:fill="366092"/>
            <w:vAlign w:val="center"/>
            <w:hideMark/>
          </w:tcPr>
          <w:p w14:paraId="50B36218" w14:textId="77777777" w:rsidR="00521DEE" w:rsidRPr="00521DEE" w:rsidRDefault="00521DEE" w:rsidP="00521DEE">
            <w:pPr>
              <w:spacing w:after="0" w:line="240" w:lineRule="auto"/>
              <w:jc w:val="center"/>
              <w:rPr>
                <w:rFonts w:eastAsia="Times New Roman" w:cs="Calibri"/>
                <w:b/>
                <w:bCs/>
                <w:color w:val="FFFFFF"/>
                <w:sz w:val="20"/>
                <w:szCs w:val="20"/>
                <w:lang w:val="en-US"/>
              </w:rPr>
            </w:pPr>
            <w:r w:rsidRPr="00521DEE">
              <w:rPr>
                <w:rFonts w:eastAsia="Times New Roman" w:cs="Calibri"/>
                <w:b/>
                <w:bCs/>
                <w:color w:val="FFFFFF"/>
                <w:sz w:val="20"/>
                <w:szCs w:val="20"/>
                <w:lang w:val="en-US"/>
              </w:rPr>
              <w:t>Descripción</w:t>
            </w:r>
          </w:p>
        </w:tc>
        <w:tc>
          <w:tcPr>
            <w:tcW w:w="960" w:type="dxa"/>
            <w:tcBorders>
              <w:top w:val="single" w:sz="8" w:space="0" w:color="auto"/>
              <w:left w:val="nil"/>
              <w:bottom w:val="single" w:sz="8" w:space="0" w:color="auto"/>
              <w:right w:val="single" w:sz="8" w:space="0" w:color="auto"/>
            </w:tcBorders>
            <w:shd w:val="clear" w:color="000000" w:fill="366092"/>
            <w:vAlign w:val="center"/>
            <w:hideMark/>
          </w:tcPr>
          <w:p w14:paraId="0CC7007F" w14:textId="77777777" w:rsidR="00521DEE" w:rsidRPr="00521DEE" w:rsidRDefault="00521DEE" w:rsidP="00521DEE">
            <w:pPr>
              <w:spacing w:after="0" w:line="240" w:lineRule="auto"/>
              <w:jc w:val="center"/>
              <w:rPr>
                <w:rFonts w:eastAsia="Times New Roman" w:cs="Calibri"/>
                <w:b/>
                <w:bCs/>
                <w:color w:val="FFFFFF"/>
                <w:sz w:val="20"/>
                <w:szCs w:val="20"/>
                <w:lang w:val="en-US"/>
              </w:rPr>
            </w:pPr>
            <w:r w:rsidRPr="00521DEE">
              <w:rPr>
                <w:rFonts w:eastAsia="Times New Roman" w:cs="Calibri"/>
                <w:b/>
                <w:bCs/>
                <w:color w:val="FFFFFF"/>
                <w:sz w:val="20"/>
                <w:szCs w:val="20"/>
                <w:lang w:val="en-US"/>
              </w:rPr>
              <w:t>Periodo Actual</w:t>
            </w:r>
          </w:p>
        </w:tc>
        <w:tc>
          <w:tcPr>
            <w:tcW w:w="980" w:type="dxa"/>
            <w:tcBorders>
              <w:top w:val="single" w:sz="8" w:space="0" w:color="auto"/>
              <w:left w:val="nil"/>
              <w:bottom w:val="nil"/>
              <w:right w:val="single" w:sz="8" w:space="0" w:color="auto"/>
            </w:tcBorders>
            <w:shd w:val="clear" w:color="000000" w:fill="366092"/>
            <w:vAlign w:val="center"/>
            <w:hideMark/>
          </w:tcPr>
          <w:p w14:paraId="496AD071" w14:textId="77777777" w:rsidR="00521DEE" w:rsidRPr="00521DEE" w:rsidRDefault="00521DEE" w:rsidP="00521DEE">
            <w:pPr>
              <w:spacing w:after="0" w:line="240" w:lineRule="auto"/>
              <w:jc w:val="center"/>
              <w:rPr>
                <w:rFonts w:eastAsia="Times New Roman" w:cs="Calibri"/>
                <w:b/>
                <w:bCs/>
                <w:color w:val="FFFFFF"/>
                <w:sz w:val="20"/>
                <w:szCs w:val="20"/>
                <w:lang w:val="en-US"/>
              </w:rPr>
            </w:pPr>
            <w:r w:rsidRPr="00521DEE">
              <w:rPr>
                <w:rFonts w:eastAsia="Times New Roman" w:cs="Calibri"/>
                <w:b/>
                <w:bCs/>
                <w:color w:val="FFFFFF"/>
                <w:sz w:val="20"/>
                <w:szCs w:val="20"/>
                <w:lang w:val="en-US"/>
              </w:rPr>
              <w:t>Periodo Anterior</w:t>
            </w:r>
          </w:p>
        </w:tc>
        <w:tc>
          <w:tcPr>
            <w:tcW w:w="980" w:type="dxa"/>
            <w:tcBorders>
              <w:top w:val="single" w:sz="8" w:space="0" w:color="auto"/>
              <w:left w:val="nil"/>
              <w:bottom w:val="single" w:sz="8" w:space="0" w:color="auto"/>
              <w:right w:val="single" w:sz="8" w:space="0" w:color="auto"/>
            </w:tcBorders>
            <w:shd w:val="clear" w:color="000000" w:fill="366092"/>
            <w:vAlign w:val="center"/>
            <w:hideMark/>
          </w:tcPr>
          <w:p w14:paraId="21CB63C2" w14:textId="77777777" w:rsidR="00521DEE" w:rsidRPr="00521DEE" w:rsidRDefault="00521DEE" w:rsidP="00521DEE">
            <w:pPr>
              <w:spacing w:after="0" w:line="240" w:lineRule="auto"/>
              <w:jc w:val="center"/>
              <w:rPr>
                <w:rFonts w:eastAsia="Times New Roman" w:cs="Calibri"/>
                <w:b/>
                <w:bCs/>
                <w:color w:val="FFFFFF"/>
                <w:sz w:val="20"/>
                <w:szCs w:val="20"/>
                <w:lang w:val="en-US"/>
              </w:rPr>
            </w:pPr>
            <w:r w:rsidRPr="00521DEE">
              <w:rPr>
                <w:rFonts w:eastAsia="Times New Roman" w:cs="Calibri"/>
                <w:b/>
                <w:bCs/>
                <w:color w:val="FFFFFF"/>
                <w:sz w:val="20"/>
                <w:szCs w:val="20"/>
                <w:lang w:val="en-US"/>
              </w:rPr>
              <w:t>Diferencia Absoluta</w:t>
            </w:r>
          </w:p>
        </w:tc>
        <w:tc>
          <w:tcPr>
            <w:tcW w:w="960" w:type="dxa"/>
            <w:tcBorders>
              <w:top w:val="single" w:sz="8" w:space="0" w:color="auto"/>
              <w:left w:val="nil"/>
              <w:bottom w:val="single" w:sz="8" w:space="0" w:color="auto"/>
              <w:right w:val="single" w:sz="8" w:space="0" w:color="auto"/>
            </w:tcBorders>
            <w:shd w:val="clear" w:color="000000" w:fill="366092"/>
            <w:vAlign w:val="center"/>
            <w:hideMark/>
          </w:tcPr>
          <w:p w14:paraId="12BEC1C0" w14:textId="77777777" w:rsidR="00521DEE" w:rsidRPr="00521DEE" w:rsidRDefault="00521DEE" w:rsidP="00521DEE">
            <w:pPr>
              <w:spacing w:after="0" w:line="240" w:lineRule="auto"/>
              <w:jc w:val="center"/>
              <w:rPr>
                <w:rFonts w:eastAsia="Times New Roman" w:cs="Calibri"/>
                <w:b/>
                <w:bCs/>
                <w:color w:val="FFFFFF"/>
                <w:sz w:val="20"/>
                <w:szCs w:val="20"/>
                <w:lang w:val="en-US"/>
              </w:rPr>
            </w:pPr>
            <w:r w:rsidRPr="00521DEE">
              <w:rPr>
                <w:rFonts w:eastAsia="Times New Roman" w:cs="Calibri"/>
                <w:b/>
                <w:bCs/>
                <w:color w:val="FFFFFF"/>
                <w:sz w:val="20"/>
                <w:szCs w:val="20"/>
                <w:lang w:val="en-US"/>
              </w:rPr>
              <w:t>Diferencia %</w:t>
            </w:r>
          </w:p>
        </w:tc>
      </w:tr>
      <w:tr w:rsidR="00521DEE" w:rsidRPr="00521DEE" w14:paraId="7B7AECEF" w14:textId="77777777" w:rsidTr="00521DEE">
        <w:trPr>
          <w:trHeight w:val="290"/>
        </w:trPr>
        <w:tc>
          <w:tcPr>
            <w:tcW w:w="740" w:type="dxa"/>
            <w:tcBorders>
              <w:top w:val="nil"/>
              <w:left w:val="single" w:sz="8" w:space="0" w:color="auto"/>
              <w:bottom w:val="nil"/>
              <w:right w:val="single" w:sz="8" w:space="0" w:color="auto"/>
            </w:tcBorders>
            <w:shd w:val="clear" w:color="auto" w:fill="auto"/>
            <w:noWrap/>
            <w:vAlign w:val="bottom"/>
            <w:hideMark/>
          </w:tcPr>
          <w:p w14:paraId="2EBD8575" w14:textId="77777777" w:rsidR="00521DEE" w:rsidRPr="00521DEE" w:rsidRDefault="00521DEE" w:rsidP="00521DEE">
            <w:pPr>
              <w:spacing w:after="0" w:line="240" w:lineRule="auto"/>
              <w:jc w:val="left"/>
              <w:rPr>
                <w:rFonts w:eastAsia="Times New Roman" w:cs="Calibri"/>
                <w:color w:val="000000"/>
                <w:sz w:val="20"/>
                <w:szCs w:val="20"/>
                <w:lang w:val="en-US"/>
              </w:rPr>
            </w:pPr>
            <w:r w:rsidRPr="00521DEE">
              <w:rPr>
                <w:rFonts w:eastAsia="Times New Roman" w:cs="Calibri"/>
                <w:color w:val="000000"/>
                <w:sz w:val="20"/>
                <w:szCs w:val="20"/>
                <w:lang w:val="en-US"/>
              </w:rPr>
              <w:t>4.4.2.01.</w:t>
            </w:r>
          </w:p>
        </w:tc>
        <w:tc>
          <w:tcPr>
            <w:tcW w:w="4060" w:type="dxa"/>
            <w:tcBorders>
              <w:top w:val="nil"/>
              <w:left w:val="nil"/>
              <w:bottom w:val="nil"/>
              <w:right w:val="nil"/>
            </w:tcBorders>
            <w:shd w:val="clear" w:color="auto" w:fill="auto"/>
            <w:noWrap/>
            <w:vAlign w:val="bottom"/>
            <w:hideMark/>
          </w:tcPr>
          <w:p w14:paraId="37B59958" w14:textId="77777777" w:rsidR="00521DEE" w:rsidRPr="00521DEE" w:rsidRDefault="00521DEE" w:rsidP="00521DEE">
            <w:pPr>
              <w:spacing w:after="120" w:line="240" w:lineRule="auto"/>
              <w:jc w:val="left"/>
              <w:rPr>
                <w:rFonts w:eastAsia="Times New Roman" w:cs="Calibri"/>
                <w:color w:val="000000"/>
                <w:sz w:val="20"/>
                <w:szCs w:val="20"/>
              </w:rPr>
            </w:pPr>
            <w:r w:rsidRPr="00521DEE">
              <w:rPr>
                <w:rFonts w:eastAsia="Times New Roman" w:cs="Calibri"/>
                <w:color w:val="000000"/>
                <w:sz w:val="20"/>
                <w:szCs w:val="20"/>
              </w:rPr>
              <w:t>Derechos administrativos a los servicios de transporte</w:t>
            </w:r>
          </w:p>
        </w:tc>
        <w:tc>
          <w:tcPr>
            <w:tcW w:w="960" w:type="dxa"/>
            <w:tcBorders>
              <w:top w:val="nil"/>
              <w:left w:val="single" w:sz="8" w:space="0" w:color="auto"/>
              <w:bottom w:val="nil"/>
              <w:right w:val="single" w:sz="8" w:space="0" w:color="auto"/>
            </w:tcBorders>
            <w:shd w:val="clear" w:color="000000" w:fill="FFFFFF"/>
            <w:noWrap/>
            <w:vAlign w:val="bottom"/>
            <w:hideMark/>
          </w:tcPr>
          <w:p w14:paraId="4CC89584" w14:textId="6C3D51DF" w:rsidR="00521DEE" w:rsidRPr="00521DEE" w:rsidRDefault="00521DEE" w:rsidP="00521DEE">
            <w:pPr>
              <w:spacing w:after="120" w:line="240" w:lineRule="auto"/>
              <w:jc w:val="right"/>
              <w:rPr>
                <w:rFonts w:eastAsia="Times New Roman" w:cs="Calibri"/>
                <w:color w:val="000000"/>
                <w:sz w:val="20"/>
                <w:szCs w:val="20"/>
                <w:lang w:val="en-US"/>
              </w:rPr>
            </w:pPr>
            <w:r w:rsidRPr="00521DEE">
              <w:rPr>
                <w:rFonts w:ascii="Arial" w:eastAsia="Times New Roman" w:hAnsi="Arial" w:cs="Arial"/>
                <w:color w:val="000000"/>
                <w:sz w:val="20"/>
                <w:szCs w:val="20"/>
                <w:lang w:val="en-US"/>
              </w:rPr>
              <w:t>₡</w:t>
            </w:r>
            <w:r>
              <w:rPr>
                <w:rFonts w:eastAsia="Times New Roman" w:cs="Calibri"/>
                <w:color w:val="000000"/>
                <w:sz w:val="20"/>
                <w:szCs w:val="20"/>
                <w:lang w:val="en-US"/>
              </w:rPr>
              <w:t>2</w:t>
            </w:r>
            <w:r w:rsidRPr="00521DEE">
              <w:rPr>
                <w:rFonts w:eastAsia="Times New Roman" w:cs="Calibri"/>
                <w:color w:val="000000"/>
                <w:sz w:val="20"/>
                <w:szCs w:val="20"/>
                <w:lang w:val="en-US"/>
              </w:rPr>
              <w:t xml:space="preserve">40,00 </w:t>
            </w:r>
          </w:p>
        </w:tc>
        <w:tc>
          <w:tcPr>
            <w:tcW w:w="980" w:type="dxa"/>
            <w:tcBorders>
              <w:top w:val="single" w:sz="8" w:space="0" w:color="auto"/>
              <w:left w:val="nil"/>
              <w:bottom w:val="nil"/>
              <w:right w:val="single" w:sz="8" w:space="0" w:color="auto"/>
            </w:tcBorders>
            <w:shd w:val="clear" w:color="000000" w:fill="FFFFFF"/>
            <w:noWrap/>
            <w:vAlign w:val="bottom"/>
            <w:hideMark/>
          </w:tcPr>
          <w:p w14:paraId="461CCCE8" w14:textId="2883BFC8" w:rsidR="00521DEE" w:rsidRPr="00521DEE" w:rsidRDefault="00521DEE" w:rsidP="00521DEE">
            <w:pPr>
              <w:spacing w:after="120" w:line="240" w:lineRule="auto"/>
              <w:jc w:val="right"/>
              <w:rPr>
                <w:rFonts w:eastAsia="Times New Roman" w:cs="Calibri"/>
                <w:color w:val="000000"/>
                <w:sz w:val="20"/>
                <w:szCs w:val="20"/>
                <w:lang w:val="en-US"/>
              </w:rPr>
            </w:pPr>
            <w:r w:rsidRPr="00521DEE">
              <w:rPr>
                <w:rFonts w:ascii="Arial" w:eastAsia="Times New Roman" w:hAnsi="Arial" w:cs="Arial"/>
                <w:color w:val="000000"/>
                <w:sz w:val="20"/>
                <w:szCs w:val="20"/>
                <w:lang w:val="en-US"/>
              </w:rPr>
              <w:t>₡</w:t>
            </w:r>
            <w:r w:rsidRPr="00521DEE">
              <w:rPr>
                <w:rFonts w:eastAsia="Times New Roman" w:cs="Calibri"/>
                <w:color w:val="000000"/>
                <w:sz w:val="20"/>
                <w:szCs w:val="20"/>
                <w:lang w:val="en-US"/>
              </w:rPr>
              <w:t xml:space="preserve">240,00 </w:t>
            </w:r>
          </w:p>
        </w:tc>
        <w:tc>
          <w:tcPr>
            <w:tcW w:w="980" w:type="dxa"/>
            <w:tcBorders>
              <w:top w:val="nil"/>
              <w:left w:val="nil"/>
              <w:bottom w:val="nil"/>
              <w:right w:val="single" w:sz="8" w:space="0" w:color="auto"/>
            </w:tcBorders>
            <w:shd w:val="clear" w:color="auto" w:fill="auto"/>
            <w:noWrap/>
            <w:vAlign w:val="center"/>
            <w:hideMark/>
          </w:tcPr>
          <w:p w14:paraId="59EDC5F5" w14:textId="77777777" w:rsidR="00521DEE" w:rsidRPr="00521DEE" w:rsidRDefault="00521DEE" w:rsidP="00521DEE">
            <w:pPr>
              <w:spacing w:after="0" w:line="240" w:lineRule="auto"/>
              <w:jc w:val="left"/>
              <w:rPr>
                <w:rFonts w:eastAsia="Times New Roman" w:cs="Calibri"/>
                <w:color w:val="000000"/>
                <w:sz w:val="20"/>
                <w:szCs w:val="20"/>
                <w:lang w:val="en-US"/>
              </w:rPr>
            </w:pPr>
            <w:r w:rsidRPr="00521DEE">
              <w:rPr>
                <w:rFonts w:eastAsia="Times New Roman" w:cs="Calibri"/>
                <w:color w:val="000000"/>
                <w:sz w:val="20"/>
                <w:szCs w:val="20"/>
                <w:lang w:val="en-US"/>
              </w:rPr>
              <w:t xml:space="preserve"> </w:t>
            </w:r>
            <w:r w:rsidRPr="00521DEE">
              <w:rPr>
                <w:rFonts w:ascii="Arial" w:eastAsia="Times New Roman" w:hAnsi="Arial" w:cs="Arial"/>
                <w:color w:val="000000"/>
                <w:sz w:val="20"/>
                <w:szCs w:val="20"/>
                <w:lang w:val="en-US"/>
              </w:rPr>
              <w:t>₡</w:t>
            </w:r>
            <w:r w:rsidRPr="00521DEE">
              <w:rPr>
                <w:rFonts w:eastAsia="Times New Roman" w:cs="Calibri"/>
                <w:color w:val="000000"/>
                <w:sz w:val="20"/>
                <w:szCs w:val="20"/>
                <w:lang w:val="en-US"/>
              </w:rPr>
              <w:t xml:space="preserve">          -   </w:t>
            </w:r>
          </w:p>
        </w:tc>
        <w:tc>
          <w:tcPr>
            <w:tcW w:w="960" w:type="dxa"/>
            <w:tcBorders>
              <w:top w:val="nil"/>
              <w:left w:val="nil"/>
              <w:bottom w:val="nil"/>
              <w:right w:val="single" w:sz="8" w:space="0" w:color="auto"/>
            </w:tcBorders>
            <w:shd w:val="clear" w:color="auto" w:fill="auto"/>
            <w:noWrap/>
            <w:vAlign w:val="center"/>
            <w:hideMark/>
          </w:tcPr>
          <w:p w14:paraId="11D03481" w14:textId="77777777" w:rsidR="00521DEE" w:rsidRPr="00521DEE" w:rsidRDefault="00521DEE" w:rsidP="00521DEE">
            <w:pPr>
              <w:spacing w:after="0" w:line="240" w:lineRule="auto"/>
              <w:jc w:val="center"/>
              <w:rPr>
                <w:rFonts w:eastAsia="Times New Roman" w:cs="Calibri"/>
                <w:color w:val="000000"/>
                <w:sz w:val="20"/>
                <w:szCs w:val="20"/>
                <w:lang w:val="en-US"/>
              </w:rPr>
            </w:pPr>
            <w:r w:rsidRPr="00521DEE">
              <w:rPr>
                <w:rFonts w:eastAsia="Times New Roman" w:cs="Calibri"/>
                <w:color w:val="000000"/>
                <w:sz w:val="20"/>
                <w:szCs w:val="20"/>
                <w:lang w:val="en-US"/>
              </w:rPr>
              <w:t>0,00%</w:t>
            </w:r>
          </w:p>
        </w:tc>
      </w:tr>
      <w:tr w:rsidR="00521DEE" w:rsidRPr="00521DEE" w14:paraId="6DBE56D0" w14:textId="77777777" w:rsidTr="00521DEE">
        <w:trPr>
          <w:trHeight w:val="300"/>
        </w:trPr>
        <w:tc>
          <w:tcPr>
            <w:tcW w:w="740" w:type="dxa"/>
            <w:tcBorders>
              <w:top w:val="nil"/>
              <w:left w:val="single" w:sz="8" w:space="0" w:color="auto"/>
              <w:bottom w:val="nil"/>
              <w:right w:val="single" w:sz="8" w:space="0" w:color="auto"/>
            </w:tcBorders>
            <w:shd w:val="clear" w:color="auto" w:fill="auto"/>
            <w:noWrap/>
            <w:vAlign w:val="bottom"/>
            <w:hideMark/>
          </w:tcPr>
          <w:p w14:paraId="35E0963E" w14:textId="53D67BCD" w:rsidR="00521DEE" w:rsidRPr="00521DEE" w:rsidRDefault="00521DEE" w:rsidP="00521DEE">
            <w:pPr>
              <w:spacing w:after="120" w:line="240" w:lineRule="auto"/>
              <w:jc w:val="left"/>
              <w:rPr>
                <w:rFonts w:eastAsia="Times New Roman" w:cs="Calibri"/>
                <w:color w:val="000000"/>
                <w:sz w:val="20"/>
                <w:szCs w:val="20"/>
                <w:lang w:val="en-US"/>
              </w:rPr>
            </w:pPr>
            <w:r w:rsidRPr="00521DEE">
              <w:rPr>
                <w:rFonts w:eastAsia="Times New Roman" w:cs="Calibri"/>
                <w:color w:val="000000"/>
                <w:sz w:val="20"/>
                <w:szCs w:val="20"/>
                <w:lang w:val="en-US"/>
              </w:rPr>
              <w:t>4.4.2.99</w:t>
            </w:r>
          </w:p>
        </w:tc>
        <w:tc>
          <w:tcPr>
            <w:tcW w:w="4060" w:type="dxa"/>
            <w:tcBorders>
              <w:top w:val="nil"/>
              <w:left w:val="nil"/>
              <w:bottom w:val="nil"/>
              <w:right w:val="nil"/>
            </w:tcBorders>
            <w:shd w:val="clear" w:color="auto" w:fill="auto"/>
            <w:noWrap/>
            <w:vAlign w:val="bottom"/>
            <w:hideMark/>
          </w:tcPr>
          <w:p w14:paraId="03F0A776" w14:textId="77777777" w:rsidR="00521DEE" w:rsidRPr="00521DEE" w:rsidRDefault="00521DEE" w:rsidP="00521DEE">
            <w:pPr>
              <w:spacing w:after="120" w:line="240" w:lineRule="auto"/>
              <w:jc w:val="left"/>
              <w:rPr>
                <w:rFonts w:eastAsia="Times New Roman" w:cs="Calibri"/>
                <w:color w:val="000000"/>
                <w:sz w:val="20"/>
                <w:szCs w:val="20"/>
                <w:lang w:val="en-US"/>
              </w:rPr>
            </w:pPr>
            <w:r w:rsidRPr="00521DEE">
              <w:rPr>
                <w:rFonts w:eastAsia="Times New Roman" w:cs="Calibri"/>
                <w:color w:val="000000"/>
                <w:sz w:val="20"/>
                <w:szCs w:val="20"/>
                <w:lang w:val="en-US"/>
              </w:rPr>
              <w:t>Otros derechos administrativos varios</w:t>
            </w:r>
          </w:p>
        </w:tc>
        <w:tc>
          <w:tcPr>
            <w:tcW w:w="960" w:type="dxa"/>
            <w:tcBorders>
              <w:top w:val="nil"/>
              <w:left w:val="single" w:sz="8" w:space="0" w:color="auto"/>
              <w:bottom w:val="nil"/>
              <w:right w:val="single" w:sz="8" w:space="0" w:color="auto"/>
            </w:tcBorders>
            <w:shd w:val="clear" w:color="000000" w:fill="FFFFFF"/>
            <w:noWrap/>
            <w:vAlign w:val="bottom"/>
            <w:hideMark/>
          </w:tcPr>
          <w:p w14:paraId="425512AA" w14:textId="77777777" w:rsidR="00521DEE" w:rsidRPr="00521DEE" w:rsidRDefault="00521DEE" w:rsidP="00521DEE">
            <w:pPr>
              <w:spacing w:after="120" w:line="240" w:lineRule="auto"/>
              <w:jc w:val="right"/>
              <w:rPr>
                <w:rFonts w:eastAsia="Times New Roman" w:cs="Calibri"/>
                <w:color w:val="000000"/>
                <w:sz w:val="20"/>
                <w:szCs w:val="20"/>
                <w:lang w:val="en-US"/>
              </w:rPr>
            </w:pPr>
            <w:r w:rsidRPr="00521DEE">
              <w:rPr>
                <w:rFonts w:eastAsia="Times New Roman" w:cs="Calibri"/>
                <w:color w:val="000000"/>
                <w:sz w:val="20"/>
                <w:szCs w:val="20"/>
                <w:lang w:val="en-US"/>
              </w:rPr>
              <w:t>128,93</w:t>
            </w:r>
          </w:p>
        </w:tc>
        <w:tc>
          <w:tcPr>
            <w:tcW w:w="980" w:type="dxa"/>
            <w:tcBorders>
              <w:top w:val="nil"/>
              <w:left w:val="nil"/>
              <w:bottom w:val="nil"/>
              <w:right w:val="single" w:sz="8" w:space="0" w:color="auto"/>
            </w:tcBorders>
            <w:shd w:val="clear" w:color="000000" w:fill="FFFFFF"/>
            <w:noWrap/>
            <w:vAlign w:val="bottom"/>
            <w:hideMark/>
          </w:tcPr>
          <w:p w14:paraId="54B9D175" w14:textId="77777777" w:rsidR="00521DEE" w:rsidRPr="00521DEE" w:rsidRDefault="00521DEE" w:rsidP="00521DEE">
            <w:pPr>
              <w:spacing w:after="120" w:line="240" w:lineRule="auto"/>
              <w:jc w:val="right"/>
              <w:rPr>
                <w:rFonts w:eastAsia="Times New Roman" w:cs="Calibri"/>
                <w:color w:val="000000"/>
                <w:sz w:val="20"/>
                <w:szCs w:val="20"/>
                <w:lang w:val="en-US"/>
              </w:rPr>
            </w:pPr>
            <w:r w:rsidRPr="00521DEE">
              <w:rPr>
                <w:rFonts w:eastAsia="Times New Roman" w:cs="Calibri"/>
                <w:color w:val="000000"/>
                <w:sz w:val="20"/>
                <w:szCs w:val="20"/>
                <w:lang w:val="en-US"/>
              </w:rPr>
              <w:t>98,00</w:t>
            </w:r>
          </w:p>
        </w:tc>
        <w:tc>
          <w:tcPr>
            <w:tcW w:w="980" w:type="dxa"/>
            <w:tcBorders>
              <w:top w:val="nil"/>
              <w:left w:val="nil"/>
              <w:bottom w:val="nil"/>
              <w:right w:val="single" w:sz="8" w:space="0" w:color="auto"/>
            </w:tcBorders>
            <w:shd w:val="clear" w:color="000000" w:fill="FFFFFF"/>
            <w:noWrap/>
            <w:vAlign w:val="bottom"/>
            <w:hideMark/>
          </w:tcPr>
          <w:p w14:paraId="77A55D34" w14:textId="77777777" w:rsidR="00521DEE" w:rsidRPr="00521DEE" w:rsidRDefault="00521DEE" w:rsidP="00521DEE">
            <w:pPr>
              <w:spacing w:after="120" w:line="240" w:lineRule="auto"/>
              <w:jc w:val="right"/>
              <w:rPr>
                <w:rFonts w:eastAsia="Times New Roman" w:cs="Calibri"/>
                <w:color w:val="000000"/>
                <w:sz w:val="20"/>
                <w:szCs w:val="20"/>
                <w:lang w:val="en-US"/>
              </w:rPr>
            </w:pPr>
            <w:r w:rsidRPr="00521DEE">
              <w:rPr>
                <w:rFonts w:eastAsia="Times New Roman" w:cs="Calibri"/>
                <w:color w:val="000000"/>
                <w:sz w:val="20"/>
                <w:szCs w:val="20"/>
                <w:lang w:val="en-US"/>
              </w:rPr>
              <w:t>30,93</w:t>
            </w:r>
          </w:p>
        </w:tc>
        <w:tc>
          <w:tcPr>
            <w:tcW w:w="960" w:type="dxa"/>
            <w:tcBorders>
              <w:top w:val="nil"/>
              <w:left w:val="nil"/>
              <w:bottom w:val="nil"/>
              <w:right w:val="single" w:sz="8" w:space="0" w:color="auto"/>
            </w:tcBorders>
            <w:shd w:val="clear" w:color="auto" w:fill="auto"/>
            <w:noWrap/>
            <w:vAlign w:val="center"/>
            <w:hideMark/>
          </w:tcPr>
          <w:p w14:paraId="1DF57CB8" w14:textId="77777777" w:rsidR="00521DEE" w:rsidRPr="00521DEE" w:rsidRDefault="00521DEE" w:rsidP="00521DEE">
            <w:pPr>
              <w:spacing w:after="120" w:line="240" w:lineRule="auto"/>
              <w:jc w:val="center"/>
              <w:rPr>
                <w:rFonts w:eastAsia="Times New Roman" w:cs="Calibri"/>
                <w:color w:val="000000"/>
                <w:sz w:val="20"/>
                <w:szCs w:val="20"/>
                <w:lang w:val="en-US"/>
              </w:rPr>
            </w:pPr>
            <w:r w:rsidRPr="00521DEE">
              <w:rPr>
                <w:rFonts w:eastAsia="Times New Roman" w:cs="Calibri"/>
                <w:color w:val="000000"/>
                <w:sz w:val="20"/>
                <w:szCs w:val="20"/>
                <w:lang w:val="en-US"/>
              </w:rPr>
              <w:t>31,56%</w:t>
            </w:r>
          </w:p>
        </w:tc>
      </w:tr>
      <w:tr w:rsidR="00521DEE" w:rsidRPr="00521DEE" w14:paraId="096D4969" w14:textId="77777777" w:rsidTr="00521DEE">
        <w:trPr>
          <w:trHeight w:val="300"/>
        </w:trPr>
        <w:tc>
          <w:tcPr>
            <w:tcW w:w="7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155DB4" w14:textId="77777777" w:rsidR="00521DEE" w:rsidRPr="00521DEE" w:rsidRDefault="00521DEE" w:rsidP="00521DEE">
            <w:pPr>
              <w:spacing w:after="0" w:line="240" w:lineRule="auto"/>
              <w:jc w:val="left"/>
              <w:rPr>
                <w:rFonts w:ascii="Calibri" w:eastAsia="Times New Roman" w:hAnsi="Calibri" w:cs="Calibri"/>
                <w:color w:val="000000"/>
                <w:sz w:val="20"/>
                <w:szCs w:val="20"/>
                <w:lang w:val="en-US"/>
              </w:rPr>
            </w:pPr>
            <w:r w:rsidRPr="00521DEE">
              <w:rPr>
                <w:rFonts w:ascii="Calibri" w:eastAsia="Times New Roman" w:hAnsi="Calibri" w:cs="Calibri"/>
                <w:color w:val="000000"/>
                <w:sz w:val="20"/>
                <w:szCs w:val="20"/>
                <w:lang w:val="en-US"/>
              </w:rPr>
              <w:t> </w:t>
            </w:r>
          </w:p>
        </w:tc>
        <w:tc>
          <w:tcPr>
            <w:tcW w:w="4060" w:type="dxa"/>
            <w:tcBorders>
              <w:top w:val="single" w:sz="8" w:space="0" w:color="auto"/>
              <w:left w:val="nil"/>
              <w:bottom w:val="single" w:sz="8" w:space="0" w:color="auto"/>
              <w:right w:val="nil"/>
            </w:tcBorders>
            <w:shd w:val="clear" w:color="auto" w:fill="auto"/>
            <w:noWrap/>
            <w:vAlign w:val="center"/>
            <w:hideMark/>
          </w:tcPr>
          <w:p w14:paraId="60B88AD8" w14:textId="77777777" w:rsidR="00521DEE" w:rsidRPr="00521DEE" w:rsidRDefault="00521DEE" w:rsidP="00521DEE">
            <w:pPr>
              <w:spacing w:after="0" w:line="240" w:lineRule="auto"/>
              <w:jc w:val="center"/>
              <w:rPr>
                <w:rFonts w:eastAsia="Times New Roman" w:cs="Calibri"/>
                <w:b/>
                <w:bCs/>
                <w:color w:val="000000"/>
                <w:sz w:val="20"/>
                <w:szCs w:val="20"/>
                <w:lang w:val="en-US"/>
              </w:rPr>
            </w:pPr>
            <w:r w:rsidRPr="00521DEE">
              <w:rPr>
                <w:rFonts w:eastAsia="Times New Roman" w:cs="Calibri"/>
                <w:b/>
                <w:bCs/>
                <w:color w:val="000000"/>
                <w:sz w:val="20"/>
                <w:szCs w:val="20"/>
                <w:lang w:val="en-US"/>
              </w:rPr>
              <w:t>TOTALES</w:t>
            </w:r>
          </w:p>
        </w:tc>
        <w:tc>
          <w:tcPr>
            <w:tcW w:w="96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22B3731C" w14:textId="77777777" w:rsidR="00521DEE" w:rsidRPr="00521DEE" w:rsidRDefault="00521DEE" w:rsidP="00521DEE">
            <w:pPr>
              <w:spacing w:after="0" w:line="240" w:lineRule="auto"/>
              <w:jc w:val="right"/>
              <w:rPr>
                <w:rFonts w:eastAsia="Times New Roman" w:cs="Calibri"/>
                <w:b/>
                <w:bCs/>
                <w:color w:val="000000"/>
                <w:sz w:val="20"/>
                <w:szCs w:val="20"/>
                <w:lang w:val="en-US"/>
              </w:rPr>
            </w:pPr>
            <w:r w:rsidRPr="00521DEE">
              <w:rPr>
                <w:rFonts w:ascii="Arial" w:eastAsia="Times New Roman" w:hAnsi="Arial" w:cs="Arial"/>
                <w:b/>
                <w:bCs/>
                <w:color w:val="000000"/>
                <w:sz w:val="20"/>
                <w:szCs w:val="20"/>
                <w:lang w:val="en-US"/>
              </w:rPr>
              <w:t>₡</w:t>
            </w:r>
            <w:r w:rsidRPr="00521DEE">
              <w:rPr>
                <w:rFonts w:eastAsia="Times New Roman" w:cs="Calibri"/>
                <w:b/>
                <w:bCs/>
                <w:color w:val="000000"/>
                <w:sz w:val="20"/>
                <w:szCs w:val="20"/>
                <w:lang w:val="en-US"/>
              </w:rPr>
              <w:t>368,93</w:t>
            </w:r>
          </w:p>
        </w:tc>
        <w:tc>
          <w:tcPr>
            <w:tcW w:w="980" w:type="dxa"/>
            <w:tcBorders>
              <w:top w:val="single" w:sz="8" w:space="0" w:color="auto"/>
              <w:left w:val="nil"/>
              <w:bottom w:val="single" w:sz="8" w:space="0" w:color="auto"/>
              <w:right w:val="single" w:sz="8" w:space="0" w:color="auto"/>
            </w:tcBorders>
            <w:shd w:val="clear" w:color="000000" w:fill="FFFFFF"/>
            <w:noWrap/>
            <w:vAlign w:val="center"/>
            <w:hideMark/>
          </w:tcPr>
          <w:p w14:paraId="5953CF90" w14:textId="4A68D830" w:rsidR="00521DEE" w:rsidRPr="00521DEE" w:rsidRDefault="00521DEE" w:rsidP="00521DEE">
            <w:pPr>
              <w:spacing w:after="0" w:line="240" w:lineRule="auto"/>
              <w:jc w:val="right"/>
              <w:rPr>
                <w:rFonts w:eastAsia="Times New Roman" w:cs="Calibri"/>
                <w:b/>
                <w:bCs/>
                <w:color w:val="000000"/>
                <w:sz w:val="20"/>
                <w:szCs w:val="20"/>
                <w:lang w:val="en-US"/>
              </w:rPr>
            </w:pPr>
            <w:r w:rsidRPr="00521DEE">
              <w:rPr>
                <w:rFonts w:ascii="Arial" w:eastAsia="Times New Roman" w:hAnsi="Arial" w:cs="Arial"/>
                <w:b/>
                <w:bCs/>
                <w:color w:val="000000"/>
                <w:sz w:val="20"/>
                <w:szCs w:val="20"/>
                <w:lang w:val="en-US"/>
              </w:rPr>
              <w:t>₡</w:t>
            </w:r>
            <w:r w:rsidRPr="00521DEE">
              <w:rPr>
                <w:rFonts w:eastAsia="Times New Roman" w:cs="Calibri"/>
                <w:b/>
                <w:bCs/>
                <w:color w:val="000000"/>
                <w:sz w:val="20"/>
                <w:szCs w:val="20"/>
                <w:lang w:val="en-US"/>
              </w:rPr>
              <w:t xml:space="preserve">338,00 </w:t>
            </w:r>
          </w:p>
        </w:tc>
        <w:tc>
          <w:tcPr>
            <w:tcW w:w="980" w:type="dxa"/>
            <w:tcBorders>
              <w:top w:val="single" w:sz="8" w:space="0" w:color="auto"/>
              <w:left w:val="nil"/>
              <w:bottom w:val="single" w:sz="8" w:space="0" w:color="auto"/>
              <w:right w:val="single" w:sz="8" w:space="0" w:color="auto"/>
            </w:tcBorders>
            <w:shd w:val="clear" w:color="000000" w:fill="FFFFFF"/>
            <w:noWrap/>
            <w:vAlign w:val="center"/>
            <w:hideMark/>
          </w:tcPr>
          <w:p w14:paraId="7F4EB1B5" w14:textId="61DCB399" w:rsidR="00521DEE" w:rsidRPr="00521DEE" w:rsidRDefault="00521DEE" w:rsidP="00521DEE">
            <w:pPr>
              <w:spacing w:after="0" w:line="240" w:lineRule="auto"/>
              <w:jc w:val="right"/>
              <w:rPr>
                <w:rFonts w:eastAsia="Times New Roman" w:cs="Calibri"/>
                <w:b/>
                <w:bCs/>
                <w:color w:val="000000"/>
                <w:sz w:val="20"/>
                <w:szCs w:val="20"/>
                <w:lang w:val="en-US"/>
              </w:rPr>
            </w:pPr>
            <w:r w:rsidRPr="00521DEE">
              <w:rPr>
                <w:rFonts w:ascii="Arial" w:eastAsia="Times New Roman" w:hAnsi="Arial" w:cs="Arial"/>
                <w:b/>
                <w:bCs/>
                <w:color w:val="000000"/>
                <w:sz w:val="20"/>
                <w:szCs w:val="20"/>
                <w:lang w:val="en-US"/>
              </w:rPr>
              <w:t>₡</w:t>
            </w:r>
            <w:r w:rsidRPr="00521DEE">
              <w:rPr>
                <w:rFonts w:eastAsia="Times New Roman" w:cs="Calibri"/>
                <w:b/>
                <w:bCs/>
                <w:color w:val="000000"/>
                <w:sz w:val="20"/>
                <w:szCs w:val="20"/>
                <w:lang w:val="en-US"/>
              </w:rPr>
              <w:t xml:space="preserve">30,93 </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09046A43" w14:textId="77777777" w:rsidR="00521DEE" w:rsidRPr="00521DEE" w:rsidRDefault="00521DEE" w:rsidP="00521DEE">
            <w:pPr>
              <w:spacing w:after="0" w:line="240" w:lineRule="auto"/>
              <w:jc w:val="center"/>
              <w:rPr>
                <w:rFonts w:eastAsia="Times New Roman" w:cs="Calibri"/>
                <w:b/>
                <w:bCs/>
                <w:color w:val="000000"/>
                <w:sz w:val="20"/>
                <w:szCs w:val="20"/>
                <w:lang w:val="en-US"/>
              </w:rPr>
            </w:pPr>
            <w:r w:rsidRPr="00521DEE">
              <w:rPr>
                <w:rFonts w:eastAsia="Times New Roman" w:cs="Calibri"/>
                <w:b/>
                <w:bCs/>
                <w:color w:val="000000"/>
                <w:sz w:val="20"/>
                <w:szCs w:val="20"/>
                <w:lang w:val="en-US"/>
              </w:rPr>
              <w:t>9,15%</w:t>
            </w:r>
          </w:p>
        </w:tc>
      </w:tr>
    </w:tbl>
    <w:p w14:paraId="2E26F9BE" w14:textId="77777777" w:rsidR="00554AAF" w:rsidRDefault="00554AAF" w:rsidP="00554AAF">
      <w:pPr>
        <w:spacing w:after="0" w:line="240" w:lineRule="auto"/>
        <w:rPr>
          <w:rFonts w:eastAsiaTheme="minorEastAsia" w:cs="Arial Narrow"/>
          <w:color w:val="000000"/>
          <w:lang w:eastAsia="es-CR"/>
        </w:rPr>
      </w:pPr>
    </w:p>
    <w:p w14:paraId="63357EEB" w14:textId="77777777" w:rsidR="00554AAF" w:rsidRDefault="00554AAF" w:rsidP="00554AAF">
      <w:pPr>
        <w:rPr>
          <w:rFonts w:eastAsiaTheme="minorEastAsia" w:cs="Arial Narrow"/>
          <w:color w:val="000000"/>
          <w:lang w:eastAsia="es-CR"/>
        </w:rPr>
      </w:pPr>
      <w:r>
        <w:rPr>
          <w:rFonts w:eastAsiaTheme="minorEastAsia" w:cs="Arial Narrow"/>
          <w:color w:val="000000"/>
          <w:lang w:eastAsia="es-CR"/>
        </w:rPr>
        <w:t>La diferencia no se considera material en relación con los estados financieros en conjunto.</w:t>
      </w:r>
    </w:p>
    <w:p w14:paraId="71CB1744" w14:textId="77777777" w:rsidR="00554AAF" w:rsidRDefault="00554AAF" w:rsidP="00521DEE">
      <w:pPr>
        <w:spacing w:after="0" w:line="240" w:lineRule="auto"/>
        <w:rPr>
          <w:szCs w:val="24"/>
        </w:rPr>
      </w:pPr>
    </w:p>
    <w:p w14:paraId="4FB863BA" w14:textId="77777777" w:rsidR="00521DEE" w:rsidRDefault="00521DEE" w:rsidP="00623120">
      <w:pPr>
        <w:rPr>
          <w:szCs w:val="24"/>
        </w:rPr>
      </w:pPr>
    </w:p>
    <w:p w14:paraId="7AC7EAF6" w14:textId="77777777" w:rsidR="00692DC8" w:rsidRPr="00692DC8" w:rsidRDefault="00692DC8" w:rsidP="00623120">
      <w:pPr>
        <w:pStyle w:val="Ttulo4"/>
        <w:spacing w:after="240"/>
        <w:rPr>
          <w:rFonts w:eastAsia="Times New Roman"/>
        </w:rPr>
      </w:pPr>
      <w:bookmarkStart w:id="740" w:name="_Toc33601277"/>
      <w:bookmarkStart w:id="741" w:name="_Toc82768996"/>
      <w:bookmarkStart w:id="742" w:name="_Toc173245278"/>
      <w:r w:rsidRPr="00692DC8">
        <w:rPr>
          <w:rFonts w:eastAsia="Times New Roman"/>
        </w:rPr>
        <w:t>NOTA N° 4</w:t>
      </w:r>
      <w:bookmarkEnd w:id="739"/>
      <w:bookmarkEnd w:id="740"/>
      <w:bookmarkEnd w:id="741"/>
      <w:r w:rsidRPr="00692DC8">
        <w:rPr>
          <w:rFonts w:eastAsia="Times New Roman"/>
        </w:rPr>
        <w:t>3</w:t>
      </w:r>
      <w:bookmarkEnd w:id="742"/>
    </w:p>
    <w:p w14:paraId="63420A65" w14:textId="77777777" w:rsidR="00694299" w:rsidRDefault="00692DC8" w:rsidP="00323752">
      <w:pPr>
        <w:spacing w:before="240"/>
        <w:rPr>
          <w:rFonts w:asciiTheme="minorHAnsi" w:hAnsiTheme="minorHAnsi"/>
          <w:sz w:val="22"/>
        </w:rPr>
      </w:pPr>
      <w:bookmarkStart w:id="743" w:name="_Toc14344813"/>
      <w:bookmarkStart w:id="744" w:name="_Toc33601278"/>
      <w:bookmarkStart w:id="745" w:name="_Toc82768997"/>
      <w:r w:rsidRPr="00692DC8">
        <w:rPr>
          <w:rFonts w:eastAsia="Times New Roman"/>
        </w:rPr>
        <w:t>Comisiones por préstamos</w:t>
      </w:r>
      <w:bookmarkEnd w:id="743"/>
      <w:bookmarkEnd w:id="744"/>
      <w:bookmarkEnd w:id="745"/>
      <w:r w:rsidR="00AA098E">
        <w:rPr>
          <w:rFonts w:eastAsiaTheme="majorEastAsia" w:cstheme="majorBidi"/>
          <w:iCs/>
          <w:lang w:val="es-ES"/>
        </w:rPr>
        <w:fldChar w:fldCharType="begin"/>
      </w:r>
      <w:r w:rsidR="00AA098E">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NOTAS_POR_CUENTA!F276C1:F278C6 </w:instrText>
      </w:r>
      <w:r w:rsidR="00AA098E">
        <w:rPr>
          <w:lang w:val="es-ES"/>
        </w:rPr>
        <w:instrText xml:space="preserve">\a \f 4 \h </w:instrText>
      </w:r>
      <w:r w:rsidR="00AA098E">
        <w:rPr>
          <w:b/>
          <w:lang w:val="es-ES"/>
        </w:rPr>
        <w:fldChar w:fldCharType="separate"/>
      </w:r>
    </w:p>
    <w:tbl>
      <w:tblPr>
        <w:tblW w:w="8847" w:type="dxa"/>
        <w:tblCellMar>
          <w:left w:w="70" w:type="dxa"/>
          <w:right w:w="70" w:type="dxa"/>
        </w:tblCellMar>
        <w:tblLook w:val="04A0" w:firstRow="1" w:lastRow="0" w:firstColumn="1" w:lastColumn="0" w:noHBand="0" w:noVBand="1"/>
      </w:tblPr>
      <w:tblGrid>
        <w:gridCol w:w="1440"/>
        <w:gridCol w:w="2560"/>
        <w:gridCol w:w="500"/>
        <w:gridCol w:w="1586"/>
        <w:gridCol w:w="1701"/>
        <w:gridCol w:w="1060"/>
      </w:tblGrid>
      <w:tr w:rsidR="00694299" w:rsidRPr="00694299" w14:paraId="1E92D29F" w14:textId="77777777" w:rsidTr="00873B1C">
        <w:trPr>
          <w:divId w:val="2099595706"/>
          <w:trHeight w:val="324"/>
        </w:trPr>
        <w:tc>
          <w:tcPr>
            <w:tcW w:w="14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5916D64" w14:textId="1C14C123"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56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71E965A"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B7AF2C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5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6C1A93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E84AD44"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22F7FC3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4F8CB98E" w14:textId="77777777" w:rsidTr="00873B1C">
        <w:trPr>
          <w:divId w:val="2099595706"/>
          <w:trHeight w:val="324"/>
        </w:trPr>
        <w:tc>
          <w:tcPr>
            <w:tcW w:w="1440" w:type="dxa"/>
            <w:vMerge/>
            <w:tcBorders>
              <w:top w:val="single" w:sz="8" w:space="0" w:color="auto"/>
              <w:left w:val="single" w:sz="8" w:space="0" w:color="auto"/>
              <w:bottom w:val="single" w:sz="8" w:space="0" w:color="000000"/>
              <w:right w:val="single" w:sz="8" w:space="0" w:color="auto"/>
            </w:tcBorders>
            <w:vAlign w:val="center"/>
            <w:hideMark/>
          </w:tcPr>
          <w:p w14:paraId="01A6EA0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560" w:type="dxa"/>
            <w:vMerge/>
            <w:tcBorders>
              <w:top w:val="single" w:sz="8" w:space="0" w:color="auto"/>
              <w:left w:val="single" w:sz="8" w:space="0" w:color="auto"/>
              <w:bottom w:val="single" w:sz="8" w:space="0" w:color="000000"/>
              <w:right w:val="single" w:sz="8" w:space="0" w:color="auto"/>
            </w:tcBorders>
            <w:vAlign w:val="center"/>
            <w:hideMark/>
          </w:tcPr>
          <w:p w14:paraId="7B6D5806"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CD6C895"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46D9B872"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2985CFB9"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0D7EABAD"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0CDC4CEC" w14:textId="77777777" w:rsidTr="00873B1C">
        <w:trPr>
          <w:divId w:val="2099595706"/>
          <w:trHeight w:val="324"/>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64B74EC8"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4.4.3.</w:t>
            </w:r>
          </w:p>
        </w:tc>
        <w:tc>
          <w:tcPr>
            <w:tcW w:w="2560" w:type="dxa"/>
            <w:tcBorders>
              <w:top w:val="nil"/>
              <w:left w:val="nil"/>
              <w:bottom w:val="single" w:sz="8" w:space="0" w:color="auto"/>
              <w:right w:val="single" w:sz="8" w:space="0" w:color="auto"/>
            </w:tcBorders>
            <w:shd w:val="clear" w:color="auto" w:fill="auto"/>
            <w:vAlign w:val="center"/>
            <w:hideMark/>
          </w:tcPr>
          <w:p w14:paraId="67563275"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Comisiones por préstamos</w:t>
            </w:r>
          </w:p>
        </w:tc>
        <w:tc>
          <w:tcPr>
            <w:tcW w:w="500" w:type="dxa"/>
            <w:tcBorders>
              <w:top w:val="nil"/>
              <w:left w:val="nil"/>
              <w:bottom w:val="single" w:sz="8" w:space="0" w:color="auto"/>
              <w:right w:val="single" w:sz="8" w:space="0" w:color="auto"/>
            </w:tcBorders>
            <w:shd w:val="clear" w:color="auto" w:fill="auto"/>
            <w:noWrap/>
            <w:vAlign w:val="center"/>
            <w:hideMark/>
          </w:tcPr>
          <w:p w14:paraId="70DAB09B"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43</w:t>
            </w:r>
          </w:p>
        </w:tc>
        <w:tc>
          <w:tcPr>
            <w:tcW w:w="1586" w:type="dxa"/>
            <w:tcBorders>
              <w:top w:val="nil"/>
              <w:left w:val="nil"/>
              <w:bottom w:val="single" w:sz="8" w:space="0" w:color="auto"/>
              <w:right w:val="single" w:sz="8" w:space="0" w:color="auto"/>
            </w:tcBorders>
            <w:shd w:val="clear" w:color="auto" w:fill="auto"/>
            <w:noWrap/>
            <w:vAlign w:val="center"/>
            <w:hideMark/>
          </w:tcPr>
          <w:p w14:paraId="10B61F0D"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701" w:type="dxa"/>
            <w:tcBorders>
              <w:top w:val="nil"/>
              <w:left w:val="nil"/>
              <w:bottom w:val="single" w:sz="8" w:space="0" w:color="auto"/>
              <w:right w:val="single" w:sz="8" w:space="0" w:color="auto"/>
            </w:tcBorders>
            <w:shd w:val="clear" w:color="auto" w:fill="auto"/>
            <w:noWrap/>
            <w:vAlign w:val="center"/>
            <w:hideMark/>
          </w:tcPr>
          <w:p w14:paraId="35D1E933"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50EC1B33"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559DF34A" w14:textId="77777777" w:rsidR="00694299" w:rsidRPr="00694299" w:rsidRDefault="00AA098E"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NOTAS_POR_CUENTA!F278C8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54052B0B" w14:textId="77777777" w:rsidR="00694299" w:rsidRPr="00694299" w:rsidRDefault="00694299" w:rsidP="002F52C1">
      <w:pPr>
        <w:spacing w:line="240" w:lineRule="auto"/>
        <w:rPr>
          <w:rFonts w:eastAsia="Times New Roman" w:cs="Calibri"/>
          <w:color w:val="000000"/>
          <w:lang w:eastAsia="es-CR"/>
        </w:rPr>
      </w:pPr>
      <w:r w:rsidRPr="00694299">
        <w:rPr>
          <w:rFonts w:eastAsia="Times New Roman" w:cs="Calibri"/>
          <w:color w:val="000000"/>
          <w:lang w:eastAsia="es-CR"/>
        </w:rPr>
        <w:t>La cuenta Comisiones por préstamos, representa el 0,00% del total del Ingresos, que comparado al periodo anterior genera una variación absoluta de 0 000,00 que corresponde a un Aumento del 0,00% de recursos disponibles.</w:t>
      </w:r>
    </w:p>
    <w:p w14:paraId="7E4A33F2" w14:textId="7F1453C2" w:rsidR="00623120" w:rsidRDefault="00AA098E" w:rsidP="002F52C1">
      <w:pPr>
        <w:spacing w:line="240" w:lineRule="auto"/>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76D78DF" w14:textId="77777777" w:rsidR="00DE143D" w:rsidRPr="00623120" w:rsidRDefault="00DE143D" w:rsidP="00623120">
      <w:pPr>
        <w:rPr>
          <w:rFonts w:eastAsiaTheme="minorEastAsia" w:cs="Arial Narrow"/>
          <w:color w:val="000000"/>
          <w:lang w:eastAsia="es-CR"/>
        </w:rPr>
      </w:pPr>
    </w:p>
    <w:p w14:paraId="03DF3B31" w14:textId="77777777" w:rsidR="00692DC8" w:rsidRPr="00692DC8" w:rsidRDefault="00692DC8" w:rsidP="00CD1227">
      <w:pPr>
        <w:pStyle w:val="Ttulo4"/>
        <w:spacing w:after="240"/>
        <w:rPr>
          <w:rFonts w:eastAsia="Times New Roman"/>
        </w:rPr>
      </w:pPr>
      <w:bookmarkStart w:id="746" w:name="_Toc14344817"/>
      <w:bookmarkStart w:id="747" w:name="_Toc33601279"/>
      <w:bookmarkStart w:id="748" w:name="_Toc82768998"/>
      <w:bookmarkStart w:id="749" w:name="_Toc173245279"/>
      <w:r w:rsidRPr="00692DC8">
        <w:rPr>
          <w:rFonts w:eastAsia="Times New Roman"/>
        </w:rPr>
        <w:t>NOTA N° 4</w:t>
      </w:r>
      <w:bookmarkEnd w:id="746"/>
      <w:bookmarkEnd w:id="747"/>
      <w:bookmarkEnd w:id="748"/>
      <w:r w:rsidRPr="00692DC8">
        <w:rPr>
          <w:rFonts w:eastAsia="Times New Roman"/>
        </w:rPr>
        <w:t>4</w:t>
      </w:r>
      <w:bookmarkEnd w:id="749"/>
    </w:p>
    <w:p w14:paraId="5B3C507D" w14:textId="77777777" w:rsidR="00694299" w:rsidRDefault="00692DC8" w:rsidP="00323752">
      <w:pPr>
        <w:spacing w:before="240"/>
        <w:rPr>
          <w:rFonts w:asciiTheme="minorHAnsi" w:hAnsiTheme="minorHAnsi"/>
          <w:sz w:val="22"/>
        </w:rPr>
      </w:pPr>
      <w:bookmarkStart w:id="750" w:name="_Toc14344818"/>
      <w:bookmarkStart w:id="751" w:name="_Toc33601280"/>
      <w:bookmarkStart w:id="752" w:name="_Toc82768999"/>
      <w:r w:rsidRPr="00692DC8">
        <w:rPr>
          <w:rFonts w:eastAsia="Times New Roman"/>
        </w:rPr>
        <w:t>Resultados positivos por ventas de inversiones</w:t>
      </w:r>
      <w:bookmarkStart w:id="753" w:name="_Toc14344821"/>
      <w:bookmarkEnd w:id="750"/>
      <w:bookmarkEnd w:id="751"/>
      <w:bookmarkEnd w:id="752"/>
      <w:r w:rsidR="00AA098E">
        <w:rPr>
          <w:rFonts w:eastAsiaTheme="majorEastAsia" w:cstheme="majorBidi"/>
          <w:iCs/>
          <w:lang w:val="es-ES"/>
        </w:rPr>
        <w:fldChar w:fldCharType="begin"/>
      </w:r>
      <w:r w:rsidR="00AA098E">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NOTAS_POR_CUENTA!F280C1:F282C6 </w:instrText>
      </w:r>
      <w:r w:rsidR="00AA098E">
        <w:rPr>
          <w:lang w:val="es-ES"/>
        </w:rPr>
        <w:instrText xml:space="preserve">\a \f 4 \h </w:instrText>
      </w:r>
      <w:r w:rsidR="00AA098E">
        <w:rPr>
          <w:b/>
          <w:lang w:val="es-ES"/>
        </w:rPr>
        <w:fldChar w:fldCharType="separate"/>
      </w:r>
    </w:p>
    <w:tbl>
      <w:tblPr>
        <w:tblW w:w="8847" w:type="dxa"/>
        <w:tblCellMar>
          <w:left w:w="70" w:type="dxa"/>
          <w:right w:w="70" w:type="dxa"/>
        </w:tblCellMar>
        <w:tblLook w:val="04A0" w:firstRow="1" w:lastRow="0" w:firstColumn="1" w:lastColumn="0" w:noHBand="0" w:noVBand="1"/>
      </w:tblPr>
      <w:tblGrid>
        <w:gridCol w:w="1516"/>
        <w:gridCol w:w="2484"/>
        <w:gridCol w:w="500"/>
        <w:gridCol w:w="1586"/>
        <w:gridCol w:w="1701"/>
        <w:gridCol w:w="1060"/>
      </w:tblGrid>
      <w:tr w:rsidR="00694299" w:rsidRPr="00694299" w14:paraId="65BFE1F1" w14:textId="77777777" w:rsidTr="00873B1C">
        <w:trPr>
          <w:divId w:val="2068142665"/>
          <w:trHeight w:val="324"/>
        </w:trPr>
        <w:tc>
          <w:tcPr>
            <w:tcW w:w="151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5367B96" w14:textId="0BDDE8E5"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48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6300E5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CA3328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5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BD6B98A"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798C21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7A59E55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4FD08E34" w14:textId="77777777" w:rsidTr="00873B1C">
        <w:trPr>
          <w:divId w:val="2068142665"/>
          <w:trHeight w:val="324"/>
        </w:trPr>
        <w:tc>
          <w:tcPr>
            <w:tcW w:w="1516" w:type="dxa"/>
            <w:vMerge/>
            <w:tcBorders>
              <w:top w:val="single" w:sz="8" w:space="0" w:color="auto"/>
              <w:left w:val="single" w:sz="8" w:space="0" w:color="auto"/>
              <w:bottom w:val="single" w:sz="8" w:space="0" w:color="000000"/>
              <w:right w:val="single" w:sz="8" w:space="0" w:color="auto"/>
            </w:tcBorders>
            <w:vAlign w:val="center"/>
            <w:hideMark/>
          </w:tcPr>
          <w:p w14:paraId="0D4BC254"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484" w:type="dxa"/>
            <w:vMerge/>
            <w:tcBorders>
              <w:top w:val="single" w:sz="8" w:space="0" w:color="auto"/>
              <w:left w:val="single" w:sz="8" w:space="0" w:color="auto"/>
              <w:bottom w:val="single" w:sz="8" w:space="0" w:color="000000"/>
              <w:right w:val="single" w:sz="8" w:space="0" w:color="auto"/>
            </w:tcBorders>
            <w:vAlign w:val="center"/>
            <w:hideMark/>
          </w:tcPr>
          <w:p w14:paraId="2E6AD9F2"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437F30D"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01742746"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60134AF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5F30022E"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536FCAC0" w14:textId="77777777" w:rsidTr="00873B1C">
        <w:trPr>
          <w:divId w:val="2068142665"/>
          <w:trHeight w:val="540"/>
        </w:trPr>
        <w:tc>
          <w:tcPr>
            <w:tcW w:w="1516" w:type="dxa"/>
            <w:tcBorders>
              <w:top w:val="nil"/>
              <w:left w:val="single" w:sz="8" w:space="0" w:color="auto"/>
              <w:bottom w:val="single" w:sz="8" w:space="0" w:color="auto"/>
              <w:right w:val="single" w:sz="8" w:space="0" w:color="auto"/>
            </w:tcBorders>
            <w:shd w:val="clear" w:color="auto" w:fill="auto"/>
            <w:noWrap/>
            <w:vAlign w:val="center"/>
            <w:hideMark/>
          </w:tcPr>
          <w:p w14:paraId="0EEC4586"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4.4.4.</w:t>
            </w:r>
          </w:p>
        </w:tc>
        <w:tc>
          <w:tcPr>
            <w:tcW w:w="2484" w:type="dxa"/>
            <w:tcBorders>
              <w:top w:val="nil"/>
              <w:left w:val="nil"/>
              <w:bottom w:val="single" w:sz="8" w:space="0" w:color="auto"/>
              <w:right w:val="single" w:sz="8" w:space="0" w:color="auto"/>
            </w:tcBorders>
            <w:shd w:val="clear" w:color="auto" w:fill="auto"/>
            <w:vAlign w:val="center"/>
            <w:hideMark/>
          </w:tcPr>
          <w:p w14:paraId="1933D6FC"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Resultados positivos por ventas de inversiones</w:t>
            </w:r>
          </w:p>
        </w:tc>
        <w:tc>
          <w:tcPr>
            <w:tcW w:w="500" w:type="dxa"/>
            <w:tcBorders>
              <w:top w:val="nil"/>
              <w:left w:val="nil"/>
              <w:bottom w:val="single" w:sz="8" w:space="0" w:color="auto"/>
              <w:right w:val="single" w:sz="8" w:space="0" w:color="auto"/>
            </w:tcBorders>
            <w:shd w:val="clear" w:color="auto" w:fill="auto"/>
            <w:noWrap/>
            <w:vAlign w:val="center"/>
            <w:hideMark/>
          </w:tcPr>
          <w:p w14:paraId="74CB48F3"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44</w:t>
            </w:r>
          </w:p>
        </w:tc>
        <w:tc>
          <w:tcPr>
            <w:tcW w:w="1586" w:type="dxa"/>
            <w:tcBorders>
              <w:top w:val="nil"/>
              <w:left w:val="nil"/>
              <w:bottom w:val="single" w:sz="8" w:space="0" w:color="auto"/>
              <w:right w:val="single" w:sz="8" w:space="0" w:color="auto"/>
            </w:tcBorders>
            <w:shd w:val="clear" w:color="auto" w:fill="auto"/>
            <w:noWrap/>
            <w:vAlign w:val="center"/>
            <w:hideMark/>
          </w:tcPr>
          <w:p w14:paraId="35BA9674"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701" w:type="dxa"/>
            <w:tcBorders>
              <w:top w:val="nil"/>
              <w:left w:val="nil"/>
              <w:bottom w:val="single" w:sz="8" w:space="0" w:color="auto"/>
              <w:right w:val="single" w:sz="8" w:space="0" w:color="auto"/>
            </w:tcBorders>
            <w:shd w:val="clear" w:color="auto" w:fill="auto"/>
            <w:noWrap/>
            <w:vAlign w:val="center"/>
            <w:hideMark/>
          </w:tcPr>
          <w:p w14:paraId="522AA380"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48CF4AA7"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33A911C8" w14:textId="77777777" w:rsidR="00694299" w:rsidRPr="00694299" w:rsidRDefault="00AA098E"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NOTAS_POR_CUENTA!F282C8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42414713" w14:textId="77777777" w:rsidR="00694299" w:rsidRPr="00694299" w:rsidRDefault="00694299" w:rsidP="002F52C1">
      <w:pPr>
        <w:spacing w:line="240" w:lineRule="auto"/>
        <w:rPr>
          <w:rFonts w:eastAsia="Times New Roman" w:cs="Calibri"/>
          <w:color w:val="000000"/>
          <w:lang w:eastAsia="es-CR"/>
        </w:rPr>
      </w:pPr>
      <w:r w:rsidRPr="00694299">
        <w:rPr>
          <w:rFonts w:eastAsia="Times New Roman" w:cs="Calibri"/>
          <w:color w:val="000000"/>
          <w:lang w:eastAsia="es-CR"/>
        </w:rPr>
        <w:t>La cuenta Resultados positivos por ventas de inversiones, representa el 0,00% del total del Ingresos, que comparado al periodo anterior genera una variación absoluta de 0 000,00 que corresponde a un Aumento del 0,00% de recursos disponibles.</w:t>
      </w:r>
    </w:p>
    <w:p w14:paraId="2334DC56" w14:textId="15462BA4" w:rsidR="00692DC8" w:rsidRPr="00692DC8" w:rsidRDefault="00AA098E" w:rsidP="002F52C1">
      <w:pPr>
        <w:spacing w:line="240" w:lineRule="auto"/>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90CB3DC" w14:textId="77777777" w:rsidR="00CD1227" w:rsidRPr="00692DC8" w:rsidRDefault="00CD1227" w:rsidP="00CD1227">
      <w:pPr>
        <w:rPr>
          <w:szCs w:val="24"/>
        </w:rPr>
      </w:pPr>
    </w:p>
    <w:p w14:paraId="21BF8EEE" w14:textId="77777777" w:rsidR="00692DC8" w:rsidRPr="00692DC8" w:rsidRDefault="00692DC8" w:rsidP="00CD1227">
      <w:pPr>
        <w:pStyle w:val="Ttulo4"/>
        <w:spacing w:after="240"/>
        <w:rPr>
          <w:rFonts w:eastAsia="Times New Roman"/>
        </w:rPr>
      </w:pPr>
      <w:bookmarkStart w:id="754" w:name="_Toc33601281"/>
      <w:bookmarkStart w:id="755" w:name="_Toc82769000"/>
      <w:bookmarkStart w:id="756" w:name="_Toc173245280"/>
      <w:r w:rsidRPr="00692DC8">
        <w:rPr>
          <w:rFonts w:eastAsia="Times New Roman"/>
        </w:rPr>
        <w:t>NOTA N° 4</w:t>
      </w:r>
      <w:bookmarkEnd w:id="753"/>
      <w:bookmarkEnd w:id="754"/>
      <w:bookmarkEnd w:id="755"/>
      <w:r w:rsidRPr="00692DC8">
        <w:rPr>
          <w:rFonts w:eastAsia="Times New Roman"/>
        </w:rPr>
        <w:t>5</w:t>
      </w:r>
      <w:bookmarkEnd w:id="756"/>
    </w:p>
    <w:p w14:paraId="243887E2" w14:textId="77777777" w:rsidR="00694299" w:rsidRDefault="00692DC8" w:rsidP="00323752">
      <w:pPr>
        <w:spacing w:before="240"/>
        <w:rPr>
          <w:rFonts w:asciiTheme="minorHAnsi" w:hAnsiTheme="minorHAnsi"/>
          <w:sz w:val="22"/>
        </w:rPr>
      </w:pPr>
      <w:bookmarkStart w:id="757" w:name="_Toc14344822"/>
      <w:bookmarkStart w:id="758" w:name="_Toc33601282"/>
      <w:bookmarkStart w:id="759" w:name="_Toc82769001"/>
      <w:r w:rsidRPr="00692DC8">
        <w:rPr>
          <w:rFonts w:eastAsia="Times New Roman"/>
        </w:rPr>
        <w:t>Resultados positivos por ventas e intercambios de bienes</w:t>
      </w:r>
      <w:bookmarkStart w:id="760" w:name="_Toc14344832"/>
      <w:bookmarkEnd w:id="757"/>
      <w:bookmarkEnd w:id="758"/>
      <w:bookmarkEnd w:id="759"/>
      <w:r w:rsidR="007D6FBD">
        <w:rPr>
          <w:rFonts w:eastAsiaTheme="majorEastAsia" w:cstheme="majorBidi"/>
          <w:iCs/>
          <w:lang w:val="es-ES"/>
        </w:rPr>
        <w:fldChar w:fldCharType="begin"/>
      </w:r>
      <w:r w:rsidR="007D6FBD">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NOTAS_POR_CUENTA!F284C1:F286C6 </w:instrText>
      </w:r>
      <w:r w:rsidR="007D6FBD">
        <w:rPr>
          <w:lang w:val="es-ES"/>
        </w:rPr>
        <w:instrText xml:space="preserve">\a \f 4 \h </w:instrText>
      </w:r>
      <w:r w:rsidR="007D6FBD">
        <w:rPr>
          <w:b/>
          <w:lang w:val="es-ES"/>
        </w:rPr>
        <w:fldChar w:fldCharType="separate"/>
      </w:r>
    </w:p>
    <w:tbl>
      <w:tblPr>
        <w:tblW w:w="8847" w:type="dxa"/>
        <w:tblCellMar>
          <w:left w:w="70" w:type="dxa"/>
          <w:right w:w="70" w:type="dxa"/>
        </w:tblCellMar>
        <w:tblLook w:val="04A0" w:firstRow="1" w:lastRow="0" w:firstColumn="1" w:lastColumn="0" w:noHBand="0" w:noVBand="1"/>
      </w:tblPr>
      <w:tblGrid>
        <w:gridCol w:w="1136"/>
        <w:gridCol w:w="2864"/>
        <w:gridCol w:w="500"/>
        <w:gridCol w:w="1586"/>
        <w:gridCol w:w="1701"/>
        <w:gridCol w:w="1060"/>
      </w:tblGrid>
      <w:tr w:rsidR="00694299" w:rsidRPr="00694299" w14:paraId="4F6CF892" w14:textId="77777777" w:rsidTr="00873B1C">
        <w:trPr>
          <w:divId w:val="694767216"/>
          <w:trHeight w:val="324"/>
        </w:trPr>
        <w:tc>
          <w:tcPr>
            <w:tcW w:w="113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3901E1C" w14:textId="0EEFE533"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86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ADFF56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CD588F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5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6F3654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28266C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7FADF3C0"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509ADEB2" w14:textId="77777777" w:rsidTr="00873B1C">
        <w:trPr>
          <w:divId w:val="694767216"/>
          <w:trHeight w:val="324"/>
        </w:trPr>
        <w:tc>
          <w:tcPr>
            <w:tcW w:w="1136" w:type="dxa"/>
            <w:vMerge/>
            <w:tcBorders>
              <w:top w:val="single" w:sz="8" w:space="0" w:color="auto"/>
              <w:left w:val="single" w:sz="8" w:space="0" w:color="auto"/>
              <w:bottom w:val="single" w:sz="8" w:space="0" w:color="000000"/>
              <w:right w:val="single" w:sz="8" w:space="0" w:color="auto"/>
            </w:tcBorders>
            <w:vAlign w:val="center"/>
            <w:hideMark/>
          </w:tcPr>
          <w:p w14:paraId="2288E191"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864" w:type="dxa"/>
            <w:vMerge/>
            <w:tcBorders>
              <w:top w:val="single" w:sz="8" w:space="0" w:color="auto"/>
              <w:left w:val="single" w:sz="8" w:space="0" w:color="auto"/>
              <w:bottom w:val="single" w:sz="8" w:space="0" w:color="000000"/>
              <w:right w:val="single" w:sz="8" w:space="0" w:color="auto"/>
            </w:tcBorders>
            <w:vAlign w:val="center"/>
            <w:hideMark/>
          </w:tcPr>
          <w:p w14:paraId="78423A0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FBA4F1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497989D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56A8C395"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23640EDC"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6641A1B4" w14:textId="77777777" w:rsidTr="00873B1C">
        <w:trPr>
          <w:divId w:val="694767216"/>
          <w:trHeight w:val="540"/>
        </w:trPr>
        <w:tc>
          <w:tcPr>
            <w:tcW w:w="1136" w:type="dxa"/>
            <w:tcBorders>
              <w:top w:val="nil"/>
              <w:left w:val="single" w:sz="8" w:space="0" w:color="auto"/>
              <w:bottom w:val="single" w:sz="8" w:space="0" w:color="auto"/>
              <w:right w:val="single" w:sz="8" w:space="0" w:color="auto"/>
            </w:tcBorders>
            <w:shd w:val="clear" w:color="auto" w:fill="auto"/>
            <w:noWrap/>
            <w:vAlign w:val="center"/>
            <w:hideMark/>
          </w:tcPr>
          <w:p w14:paraId="605E2529"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4.4.5.</w:t>
            </w:r>
          </w:p>
        </w:tc>
        <w:tc>
          <w:tcPr>
            <w:tcW w:w="2864" w:type="dxa"/>
            <w:tcBorders>
              <w:top w:val="nil"/>
              <w:left w:val="nil"/>
              <w:bottom w:val="single" w:sz="8" w:space="0" w:color="auto"/>
              <w:right w:val="single" w:sz="8" w:space="0" w:color="auto"/>
            </w:tcBorders>
            <w:shd w:val="clear" w:color="auto" w:fill="auto"/>
            <w:vAlign w:val="center"/>
            <w:hideMark/>
          </w:tcPr>
          <w:p w14:paraId="16C46F36"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Resultados positivos por ventas e intercambio de bienes</w:t>
            </w:r>
          </w:p>
        </w:tc>
        <w:tc>
          <w:tcPr>
            <w:tcW w:w="500" w:type="dxa"/>
            <w:tcBorders>
              <w:top w:val="nil"/>
              <w:left w:val="nil"/>
              <w:bottom w:val="single" w:sz="8" w:space="0" w:color="auto"/>
              <w:right w:val="single" w:sz="8" w:space="0" w:color="auto"/>
            </w:tcBorders>
            <w:shd w:val="clear" w:color="auto" w:fill="auto"/>
            <w:noWrap/>
            <w:vAlign w:val="center"/>
            <w:hideMark/>
          </w:tcPr>
          <w:p w14:paraId="08EB31E1"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45</w:t>
            </w:r>
          </w:p>
        </w:tc>
        <w:tc>
          <w:tcPr>
            <w:tcW w:w="1586" w:type="dxa"/>
            <w:tcBorders>
              <w:top w:val="nil"/>
              <w:left w:val="nil"/>
              <w:bottom w:val="single" w:sz="8" w:space="0" w:color="auto"/>
              <w:right w:val="single" w:sz="8" w:space="0" w:color="auto"/>
            </w:tcBorders>
            <w:shd w:val="clear" w:color="auto" w:fill="auto"/>
            <w:noWrap/>
            <w:vAlign w:val="center"/>
            <w:hideMark/>
          </w:tcPr>
          <w:p w14:paraId="41E52E40"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701" w:type="dxa"/>
            <w:tcBorders>
              <w:top w:val="nil"/>
              <w:left w:val="nil"/>
              <w:bottom w:val="single" w:sz="8" w:space="0" w:color="auto"/>
              <w:right w:val="single" w:sz="8" w:space="0" w:color="auto"/>
            </w:tcBorders>
            <w:shd w:val="clear" w:color="auto" w:fill="auto"/>
            <w:noWrap/>
            <w:vAlign w:val="center"/>
            <w:hideMark/>
          </w:tcPr>
          <w:p w14:paraId="102C18DB"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06C2479A"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50B193FB" w14:textId="77777777" w:rsidR="00694299" w:rsidRPr="00694299" w:rsidRDefault="007D6FBD"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NOTAS_POR_CUENTA!F286C8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1D3F371B" w14:textId="77777777" w:rsidR="00694299" w:rsidRPr="00694299" w:rsidRDefault="00694299" w:rsidP="002F52C1">
      <w:pPr>
        <w:spacing w:line="240" w:lineRule="auto"/>
        <w:rPr>
          <w:rFonts w:eastAsia="Times New Roman" w:cs="Calibri"/>
          <w:color w:val="000000"/>
          <w:lang w:eastAsia="es-CR"/>
        </w:rPr>
      </w:pPr>
      <w:r w:rsidRPr="00694299">
        <w:rPr>
          <w:rFonts w:eastAsia="Times New Roman" w:cs="Calibri"/>
          <w:color w:val="000000"/>
          <w:lang w:eastAsia="es-CR"/>
        </w:rPr>
        <w:t>La cuenta Resultados positivos por ventas e intercambio de bienes, representa el 0,00% del total del Ingresos, que comparado al periodo anterior genera una variación absoluta de 0 000,00 que corresponde a un Aumento del 0,00% de recursos disponibles.</w:t>
      </w:r>
    </w:p>
    <w:p w14:paraId="5AC25D3E" w14:textId="79E630C3" w:rsidR="00692DC8" w:rsidRPr="00692DC8" w:rsidRDefault="007D6FBD" w:rsidP="002F52C1">
      <w:pPr>
        <w:spacing w:line="240" w:lineRule="auto"/>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07CB20D" w14:textId="77777777" w:rsidR="00692DC8" w:rsidRPr="00692DC8" w:rsidRDefault="00692DC8" w:rsidP="00CD1227">
      <w:pPr>
        <w:rPr>
          <w:szCs w:val="24"/>
        </w:rPr>
      </w:pPr>
    </w:p>
    <w:p w14:paraId="2AC776DD" w14:textId="77777777" w:rsidR="00692DC8" w:rsidRPr="00692DC8" w:rsidRDefault="00692DC8" w:rsidP="00CD1227">
      <w:pPr>
        <w:pStyle w:val="Ttulo4"/>
        <w:spacing w:after="240"/>
        <w:rPr>
          <w:rFonts w:eastAsia="Times New Roman"/>
        </w:rPr>
      </w:pPr>
      <w:bookmarkStart w:id="761" w:name="_Toc33601283"/>
      <w:bookmarkStart w:id="762" w:name="_Toc82769002"/>
      <w:bookmarkStart w:id="763" w:name="_Toc173245281"/>
      <w:r w:rsidRPr="00692DC8">
        <w:rPr>
          <w:rFonts w:eastAsia="Times New Roman"/>
        </w:rPr>
        <w:t>NOTA N° 4</w:t>
      </w:r>
      <w:bookmarkEnd w:id="760"/>
      <w:bookmarkEnd w:id="761"/>
      <w:bookmarkEnd w:id="762"/>
      <w:r w:rsidRPr="00692DC8">
        <w:rPr>
          <w:rFonts w:eastAsia="Times New Roman"/>
        </w:rPr>
        <w:t>6</w:t>
      </w:r>
      <w:bookmarkEnd w:id="763"/>
    </w:p>
    <w:p w14:paraId="2A1170A5" w14:textId="77777777" w:rsidR="00694299" w:rsidRDefault="00692DC8" w:rsidP="00323752">
      <w:pPr>
        <w:spacing w:before="240"/>
        <w:rPr>
          <w:rFonts w:asciiTheme="minorHAnsi" w:hAnsiTheme="minorHAnsi"/>
          <w:sz w:val="22"/>
        </w:rPr>
      </w:pPr>
      <w:bookmarkStart w:id="764" w:name="_Toc14344833"/>
      <w:bookmarkStart w:id="765" w:name="_Toc33601284"/>
      <w:bookmarkStart w:id="766" w:name="_Toc82769003"/>
      <w:r w:rsidRPr="00692DC8">
        <w:rPr>
          <w:rFonts w:eastAsia="Times New Roman"/>
        </w:rPr>
        <w:t>Resultados positivos por la recuperación de dinero mal acreditado de periodos anteriores</w:t>
      </w:r>
      <w:bookmarkEnd w:id="764"/>
      <w:bookmarkEnd w:id="765"/>
      <w:bookmarkEnd w:id="766"/>
      <w:r w:rsidR="007D6FBD">
        <w:rPr>
          <w:rFonts w:eastAsiaTheme="majorEastAsia" w:cstheme="majorBidi"/>
          <w:iCs/>
          <w:lang w:val="es-ES"/>
        </w:rPr>
        <w:fldChar w:fldCharType="begin"/>
      </w:r>
      <w:r w:rsidR="007D6FBD">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NOTAS_POR_CUENTA!F288C1:F290C6 </w:instrText>
      </w:r>
      <w:r w:rsidR="007D6FBD">
        <w:rPr>
          <w:lang w:val="es-ES"/>
        </w:rPr>
        <w:instrText xml:space="preserve">\a \f 4 \h </w:instrText>
      </w:r>
      <w:r w:rsidR="007D6FBD">
        <w:rPr>
          <w:b/>
          <w:lang w:val="es-ES"/>
        </w:rPr>
        <w:fldChar w:fldCharType="separate"/>
      </w:r>
    </w:p>
    <w:tbl>
      <w:tblPr>
        <w:tblW w:w="8847" w:type="dxa"/>
        <w:tblCellMar>
          <w:left w:w="70" w:type="dxa"/>
          <w:right w:w="70" w:type="dxa"/>
        </w:tblCellMar>
        <w:tblLook w:val="04A0" w:firstRow="1" w:lastRow="0" w:firstColumn="1" w:lastColumn="0" w:noHBand="0" w:noVBand="1"/>
      </w:tblPr>
      <w:tblGrid>
        <w:gridCol w:w="1396"/>
        <w:gridCol w:w="2604"/>
        <w:gridCol w:w="500"/>
        <w:gridCol w:w="1586"/>
        <w:gridCol w:w="1701"/>
        <w:gridCol w:w="1060"/>
      </w:tblGrid>
      <w:tr w:rsidR="00694299" w:rsidRPr="00694299" w14:paraId="01EA53AE" w14:textId="77777777" w:rsidTr="00873B1C">
        <w:trPr>
          <w:divId w:val="1617906322"/>
          <w:trHeight w:val="324"/>
        </w:trPr>
        <w:tc>
          <w:tcPr>
            <w:tcW w:w="139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8FCF39E" w14:textId="1408A0E7"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60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B1AD8A6"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FF659D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5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8E202A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18C56D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0FEC93A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692CFB36" w14:textId="77777777" w:rsidTr="00873B1C">
        <w:trPr>
          <w:divId w:val="1617906322"/>
          <w:trHeight w:val="324"/>
        </w:trPr>
        <w:tc>
          <w:tcPr>
            <w:tcW w:w="1396" w:type="dxa"/>
            <w:vMerge/>
            <w:tcBorders>
              <w:top w:val="single" w:sz="8" w:space="0" w:color="auto"/>
              <w:left w:val="single" w:sz="8" w:space="0" w:color="auto"/>
              <w:bottom w:val="single" w:sz="8" w:space="0" w:color="000000"/>
              <w:right w:val="single" w:sz="8" w:space="0" w:color="auto"/>
            </w:tcBorders>
            <w:vAlign w:val="center"/>
            <w:hideMark/>
          </w:tcPr>
          <w:p w14:paraId="1598E90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604" w:type="dxa"/>
            <w:vMerge/>
            <w:tcBorders>
              <w:top w:val="single" w:sz="8" w:space="0" w:color="auto"/>
              <w:left w:val="single" w:sz="8" w:space="0" w:color="auto"/>
              <w:bottom w:val="single" w:sz="8" w:space="0" w:color="000000"/>
              <w:right w:val="single" w:sz="8" w:space="0" w:color="auto"/>
            </w:tcBorders>
            <w:vAlign w:val="center"/>
            <w:hideMark/>
          </w:tcPr>
          <w:p w14:paraId="263112A2"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43A48DD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1AE26BC4"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7B4CFEF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53DD3AFE"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11D28B14" w14:textId="77777777" w:rsidTr="00873B1C">
        <w:trPr>
          <w:divId w:val="1617906322"/>
          <w:trHeight w:val="804"/>
        </w:trPr>
        <w:tc>
          <w:tcPr>
            <w:tcW w:w="1396" w:type="dxa"/>
            <w:tcBorders>
              <w:top w:val="nil"/>
              <w:left w:val="single" w:sz="8" w:space="0" w:color="auto"/>
              <w:bottom w:val="single" w:sz="8" w:space="0" w:color="auto"/>
              <w:right w:val="single" w:sz="8" w:space="0" w:color="auto"/>
            </w:tcBorders>
            <w:shd w:val="clear" w:color="auto" w:fill="auto"/>
            <w:noWrap/>
            <w:vAlign w:val="center"/>
            <w:hideMark/>
          </w:tcPr>
          <w:p w14:paraId="7DAE37C1"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4.4.6.</w:t>
            </w:r>
          </w:p>
        </w:tc>
        <w:tc>
          <w:tcPr>
            <w:tcW w:w="2604" w:type="dxa"/>
            <w:tcBorders>
              <w:top w:val="nil"/>
              <w:left w:val="nil"/>
              <w:bottom w:val="single" w:sz="8" w:space="0" w:color="auto"/>
              <w:right w:val="single" w:sz="8" w:space="0" w:color="auto"/>
            </w:tcBorders>
            <w:shd w:val="clear" w:color="auto" w:fill="auto"/>
            <w:vAlign w:val="center"/>
            <w:hideMark/>
          </w:tcPr>
          <w:p w14:paraId="1F9DF1F5"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Resultados positivos por la recuperación de dinero mal acreditado de periodos anteriores</w:t>
            </w:r>
          </w:p>
        </w:tc>
        <w:tc>
          <w:tcPr>
            <w:tcW w:w="500" w:type="dxa"/>
            <w:tcBorders>
              <w:top w:val="nil"/>
              <w:left w:val="nil"/>
              <w:bottom w:val="single" w:sz="8" w:space="0" w:color="auto"/>
              <w:right w:val="single" w:sz="8" w:space="0" w:color="auto"/>
            </w:tcBorders>
            <w:shd w:val="clear" w:color="auto" w:fill="auto"/>
            <w:noWrap/>
            <w:vAlign w:val="center"/>
            <w:hideMark/>
          </w:tcPr>
          <w:p w14:paraId="09580DD0"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46</w:t>
            </w:r>
          </w:p>
        </w:tc>
        <w:tc>
          <w:tcPr>
            <w:tcW w:w="1586" w:type="dxa"/>
            <w:tcBorders>
              <w:top w:val="nil"/>
              <w:left w:val="nil"/>
              <w:bottom w:val="single" w:sz="8" w:space="0" w:color="auto"/>
              <w:right w:val="single" w:sz="8" w:space="0" w:color="auto"/>
            </w:tcBorders>
            <w:shd w:val="clear" w:color="auto" w:fill="auto"/>
            <w:noWrap/>
            <w:vAlign w:val="center"/>
            <w:hideMark/>
          </w:tcPr>
          <w:p w14:paraId="121694D2"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701" w:type="dxa"/>
            <w:tcBorders>
              <w:top w:val="nil"/>
              <w:left w:val="nil"/>
              <w:bottom w:val="single" w:sz="8" w:space="0" w:color="auto"/>
              <w:right w:val="single" w:sz="8" w:space="0" w:color="auto"/>
            </w:tcBorders>
            <w:shd w:val="clear" w:color="auto" w:fill="auto"/>
            <w:noWrap/>
            <w:vAlign w:val="center"/>
            <w:hideMark/>
          </w:tcPr>
          <w:p w14:paraId="0757EEDF"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5373856D"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1E570096" w14:textId="77777777" w:rsidR="00694299" w:rsidRPr="00694299" w:rsidRDefault="007D6FBD"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NOTAS_POR_CUENTA!F290C8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56B10E07" w14:textId="77777777" w:rsidR="00694299" w:rsidRPr="00694299" w:rsidRDefault="00694299" w:rsidP="002F52C1">
      <w:pPr>
        <w:spacing w:line="240" w:lineRule="auto"/>
        <w:rPr>
          <w:rFonts w:eastAsia="Times New Roman" w:cs="Calibri"/>
          <w:color w:val="000000"/>
          <w:lang w:eastAsia="es-CR"/>
        </w:rPr>
      </w:pPr>
      <w:r w:rsidRPr="00694299">
        <w:rPr>
          <w:rFonts w:eastAsia="Times New Roman" w:cs="Calibri"/>
          <w:color w:val="000000"/>
          <w:lang w:eastAsia="es-CR"/>
        </w:rPr>
        <w:t>La cuenta Resultados positivos por la recuperación de dinero mal acreditado de periodos anteriores, representa el 0,00% del total del Ingresos, que comparado al periodo anterior genera una variación absoluta de 0 000,00 que corresponde a un Aumento del 0,00% de recursos disponibles.</w:t>
      </w:r>
    </w:p>
    <w:p w14:paraId="1263596F" w14:textId="7C4B26D8" w:rsidR="00692DC8" w:rsidRDefault="007D6FBD" w:rsidP="002F52C1">
      <w:pPr>
        <w:spacing w:line="240" w:lineRule="auto"/>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86ABF09" w14:textId="77777777" w:rsidR="00692DC8" w:rsidRPr="00692DC8" w:rsidRDefault="00692DC8" w:rsidP="00CD1227">
      <w:pPr>
        <w:pStyle w:val="Ttulo3"/>
        <w:spacing w:after="240"/>
        <w:rPr>
          <w:rFonts w:eastAsia="Calibri"/>
          <w:lang w:eastAsia="es-CR"/>
        </w:rPr>
      </w:pPr>
      <w:bookmarkStart w:id="767" w:name="_Toc82769004"/>
      <w:bookmarkStart w:id="768" w:name="_Toc173245282"/>
      <w:r w:rsidRPr="00692DC8">
        <w:rPr>
          <w:rFonts w:eastAsia="Calibri"/>
          <w:lang w:eastAsia="es-CR"/>
        </w:rPr>
        <w:t>4.5 INGRESOS DE LA PROPIEDAD</w:t>
      </w:r>
      <w:bookmarkEnd w:id="767"/>
      <w:bookmarkEnd w:id="768"/>
    </w:p>
    <w:p w14:paraId="022F693B" w14:textId="77777777" w:rsidR="00692DC8" w:rsidRPr="00692DC8" w:rsidRDefault="00692DC8" w:rsidP="00CD1227">
      <w:pPr>
        <w:pStyle w:val="Ttulo4"/>
        <w:spacing w:after="240"/>
        <w:rPr>
          <w:rFonts w:eastAsia="Times New Roman"/>
        </w:rPr>
      </w:pPr>
      <w:bookmarkStart w:id="769" w:name="_Toc14344836"/>
      <w:bookmarkStart w:id="770" w:name="_Toc33601285"/>
      <w:bookmarkStart w:id="771" w:name="_Toc82769005"/>
      <w:bookmarkStart w:id="772" w:name="_Toc173245283"/>
      <w:r w:rsidRPr="00692DC8">
        <w:rPr>
          <w:rFonts w:eastAsia="Times New Roman"/>
        </w:rPr>
        <w:t>NOTA N° 4</w:t>
      </w:r>
      <w:bookmarkEnd w:id="769"/>
      <w:bookmarkEnd w:id="770"/>
      <w:bookmarkEnd w:id="771"/>
      <w:r w:rsidRPr="00692DC8">
        <w:rPr>
          <w:rFonts w:eastAsia="Times New Roman"/>
        </w:rPr>
        <w:t>7</w:t>
      </w:r>
      <w:bookmarkEnd w:id="772"/>
    </w:p>
    <w:p w14:paraId="4FE93D56" w14:textId="77777777" w:rsidR="00694299" w:rsidRDefault="00692DC8" w:rsidP="002F52C1">
      <w:pPr>
        <w:spacing w:before="120" w:after="0" w:line="240" w:lineRule="auto"/>
        <w:rPr>
          <w:rFonts w:asciiTheme="minorHAnsi" w:hAnsiTheme="minorHAnsi"/>
          <w:sz w:val="22"/>
        </w:rPr>
      </w:pPr>
      <w:bookmarkStart w:id="773" w:name="_Toc14344837"/>
      <w:bookmarkStart w:id="774" w:name="_Toc33601286"/>
      <w:bookmarkStart w:id="775" w:name="_Toc82769006"/>
      <w:r w:rsidRPr="00692DC8">
        <w:rPr>
          <w:rFonts w:eastAsia="Times New Roman"/>
        </w:rPr>
        <w:t>Rentas de inversiones y de colocación de efectivo</w:t>
      </w:r>
      <w:bookmarkEnd w:id="773"/>
      <w:bookmarkEnd w:id="774"/>
      <w:bookmarkEnd w:id="775"/>
      <w:r w:rsidR="007D6FBD">
        <w:rPr>
          <w:rFonts w:eastAsiaTheme="majorEastAsia" w:cstheme="majorBidi"/>
          <w:iCs/>
          <w:lang w:val="es-ES"/>
        </w:rPr>
        <w:fldChar w:fldCharType="begin"/>
      </w:r>
      <w:r w:rsidR="007D6FBD">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NOTAS_POR_CUENTA!F292C1:F294C6 </w:instrText>
      </w:r>
      <w:r w:rsidR="007D6FBD">
        <w:rPr>
          <w:lang w:val="es-ES"/>
        </w:rPr>
        <w:instrText xml:space="preserve">\a \f 4 \h </w:instrText>
      </w:r>
      <w:r w:rsidR="007D6FBD">
        <w:rPr>
          <w:b/>
          <w:lang w:val="es-ES"/>
        </w:rPr>
        <w:fldChar w:fldCharType="separate"/>
      </w:r>
    </w:p>
    <w:p w14:paraId="455449BA" w14:textId="24300FA2" w:rsidR="00C572A3" w:rsidRDefault="007D6FBD" w:rsidP="00521DEE">
      <w:pPr>
        <w:spacing w:after="0" w:line="240" w:lineRule="auto"/>
        <w:rPr>
          <w:rFonts w:asciiTheme="minorHAnsi" w:hAnsiTheme="minorHAnsi"/>
          <w:sz w:val="22"/>
        </w:rPr>
      </w:pPr>
      <w:r>
        <w:rPr>
          <w:b/>
          <w:bCs/>
          <w:lang w:val="es-ES"/>
        </w:rPr>
        <w:fldChar w:fldCharType="end"/>
      </w:r>
      <w:r w:rsidR="00873B1C">
        <w:rPr>
          <w:b/>
          <w:bCs/>
          <w:lang w:val="es-ES"/>
        </w:rPr>
        <w:fldChar w:fldCharType="begin"/>
      </w:r>
      <w:r w:rsidR="00873B1C">
        <w:rPr>
          <w:b/>
          <w:bCs/>
          <w:lang w:val="es-ES"/>
        </w:rPr>
        <w:instrText xml:space="preserve"> LINK </w:instrText>
      </w:r>
      <w:r w:rsidR="0068177A">
        <w:rPr>
          <w:b/>
          <w:bCs/>
          <w:lang w:val="es-ES"/>
        </w:rPr>
        <w:instrText xml:space="preserve">Excel.SheetMacroEnabled.12 "C:\\Users\\arges\\OneDrive\\Desktop\\Municipalidades\\Buenos Aires\\Cierre Junio 2024\\Notas Contables\\15603_T02_2024_Anexo_Estado_Notas_Contables_Vinculadas.xlsm" NOTAS_POR_CUENTA!R292C1:R294C6 </w:instrText>
      </w:r>
      <w:r w:rsidR="00873B1C">
        <w:rPr>
          <w:b/>
          <w:bCs/>
          <w:lang w:val="es-ES"/>
        </w:rPr>
        <w:instrText xml:space="preserve">\a \f 4 \h </w:instrText>
      </w:r>
      <w:r w:rsidR="00873B1C">
        <w:rPr>
          <w:b/>
          <w:bCs/>
          <w:lang w:val="es-ES"/>
        </w:rPr>
        <w:fldChar w:fldCharType="separate"/>
      </w:r>
    </w:p>
    <w:tbl>
      <w:tblPr>
        <w:tblW w:w="10080" w:type="dxa"/>
        <w:tblLook w:val="04A0" w:firstRow="1" w:lastRow="0" w:firstColumn="1" w:lastColumn="0" w:noHBand="0" w:noVBand="1"/>
      </w:tblPr>
      <w:tblGrid>
        <w:gridCol w:w="717"/>
        <w:gridCol w:w="3339"/>
        <w:gridCol w:w="544"/>
        <w:gridCol w:w="2200"/>
        <w:gridCol w:w="2200"/>
        <w:gridCol w:w="1080"/>
      </w:tblGrid>
      <w:tr w:rsidR="00C572A3" w:rsidRPr="00C572A3" w14:paraId="0C1F58AE" w14:textId="77777777" w:rsidTr="00C572A3">
        <w:trPr>
          <w:divId w:val="30545110"/>
          <w:trHeight w:val="320"/>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57B6D7E" w14:textId="6160456D" w:rsidR="00C572A3" w:rsidRPr="00C572A3" w:rsidRDefault="00C572A3" w:rsidP="00C572A3">
            <w:pP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B24652D"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Descripción</w:t>
            </w:r>
          </w:p>
        </w:tc>
        <w:tc>
          <w:tcPr>
            <w:tcW w:w="5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E4A2020"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Nota</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CBF4EFA"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Actual </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245C77B"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Anterior </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3A027A6C"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Diferencia </w:t>
            </w:r>
          </w:p>
        </w:tc>
      </w:tr>
      <w:tr w:rsidR="00C572A3" w:rsidRPr="00C572A3" w14:paraId="3827E56D" w14:textId="77777777" w:rsidTr="00C572A3">
        <w:trPr>
          <w:divId w:val="30545110"/>
          <w:trHeight w:val="320"/>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2999BDB7"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0A0FD94B"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14:paraId="1D0FD47C"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03576268"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4A66DC97"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1080" w:type="dxa"/>
            <w:tcBorders>
              <w:top w:val="nil"/>
              <w:left w:val="nil"/>
              <w:bottom w:val="single" w:sz="8" w:space="0" w:color="auto"/>
              <w:right w:val="single" w:sz="8" w:space="0" w:color="auto"/>
            </w:tcBorders>
            <w:shd w:val="clear" w:color="000000" w:fill="366092"/>
            <w:noWrap/>
            <w:vAlign w:val="center"/>
            <w:hideMark/>
          </w:tcPr>
          <w:p w14:paraId="67295828" w14:textId="77777777" w:rsidR="00C572A3" w:rsidRPr="00C572A3" w:rsidRDefault="00C572A3" w:rsidP="00C572A3">
            <w:pPr>
              <w:spacing w:after="0" w:line="240" w:lineRule="auto"/>
              <w:jc w:val="center"/>
              <w:rPr>
                <w:rFonts w:eastAsia="Times New Roman" w:cs="Calibri"/>
                <w:color w:val="FFFFFF"/>
                <w:sz w:val="18"/>
                <w:szCs w:val="18"/>
                <w:lang w:val="en-US"/>
              </w:rPr>
            </w:pPr>
            <w:r w:rsidRPr="00C572A3">
              <w:rPr>
                <w:rFonts w:eastAsia="Times New Roman" w:cs="Calibri"/>
                <w:color w:val="FFFFFF"/>
                <w:sz w:val="18"/>
                <w:szCs w:val="18"/>
                <w:lang w:val="en-US"/>
              </w:rPr>
              <w:t>%</w:t>
            </w:r>
          </w:p>
        </w:tc>
      </w:tr>
      <w:tr w:rsidR="00C572A3" w:rsidRPr="00C572A3" w14:paraId="16781455" w14:textId="77777777" w:rsidTr="00C572A3">
        <w:trPr>
          <w:divId w:val="30545110"/>
          <w:trHeight w:val="470"/>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6D9959D7" w14:textId="77777777" w:rsidR="00C572A3" w:rsidRPr="00C572A3" w:rsidRDefault="00C572A3" w:rsidP="00C572A3">
            <w:pPr>
              <w:spacing w:after="0" w:line="240" w:lineRule="auto"/>
              <w:jc w:val="left"/>
              <w:rPr>
                <w:rFonts w:eastAsia="Times New Roman" w:cs="Calibri"/>
                <w:b/>
                <w:bCs/>
                <w:color w:val="000000"/>
                <w:sz w:val="18"/>
                <w:szCs w:val="18"/>
                <w:lang w:val="en-US"/>
              </w:rPr>
            </w:pPr>
            <w:r w:rsidRPr="00C572A3">
              <w:rPr>
                <w:rFonts w:eastAsia="Times New Roman" w:cs="Calibri"/>
                <w:b/>
                <w:bCs/>
                <w:color w:val="000000"/>
                <w:sz w:val="18"/>
                <w:szCs w:val="18"/>
                <w:lang w:val="en-US"/>
              </w:rPr>
              <w:t>4.5.1.</w:t>
            </w:r>
          </w:p>
        </w:tc>
        <w:tc>
          <w:tcPr>
            <w:tcW w:w="3380" w:type="dxa"/>
            <w:tcBorders>
              <w:top w:val="nil"/>
              <w:left w:val="nil"/>
              <w:bottom w:val="single" w:sz="8" w:space="0" w:color="auto"/>
              <w:right w:val="single" w:sz="8" w:space="0" w:color="auto"/>
            </w:tcBorders>
            <w:shd w:val="clear" w:color="auto" w:fill="auto"/>
            <w:vAlign w:val="center"/>
            <w:hideMark/>
          </w:tcPr>
          <w:p w14:paraId="2F1885BE" w14:textId="77777777" w:rsidR="00C572A3" w:rsidRPr="00C572A3" w:rsidRDefault="00C572A3" w:rsidP="00C572A3">
            <w:pPr>
              <w:spacing w:after="0" w:line="240" w:lineRule="auto"/>
              <w:rPr>
                <w:rFonts w:eastAsia="Times New Roman" w:cs="Calibri"/>
                <w:b/>
                <w:bCs/>
                <w:color w:val="000000"/>
                <w:sz w:val="18"/>
                <w:szCs w:val="18"/>
              </w:rPr>
            </w:pPr>
            <w:r w:rsidRPr="00C572A3">
              <w:rPr>
                <w:rFonts w:eastAsia="Times New Roman" w:cs="Calibri"/>
                <w:b/>
                <w:bCs/>
                <w:color w:val="000000"/>
                <w:sz w:val="18"/>
                <w:szCs w:val="18"/>
              </w:rPr>
              <w:t>Rentas de inversiones y de colocación de efectivo</w:t>
            </w:r>
          </w:p>
        </w:tc>
        <w:tc>
          <w:tcPr>
            <w:tcW w:w="520" w:type="dxa"/>
            <w:tcBorders>
              <w:top w:val="nil"/>
              <w:left w:val="nil"/>
              <w:bottom w:val="single" w:sz="8" w:space="0" w:color="auto"/>
              <w:right w:val="single" w:sz="8" w:space="0" w:color="auto"/>
            </w:tcBorders>
            <w:shd w:val="clear" w:color="auto" w:fill="auto"/>
            <w:noWrap/>
            <w:vAlign w:val="center"/>
            <w:hideMark/>
          </w:tcPr>
          <w:p w14:paraId="5ACF8E95"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47</w:t>
            </w:r>
          </w:p>
        </w:tc>
        <w:tc>
          <w:tcPr>
            <w:tcW w:w="2200" w:type="dxa"/>
            <w:tcBorders>
              <w:top w:val="nil"/>
              <w:left w:val="nil"/>
              <w:bottom w:val="single" w:sz="8" w:space="0" w:color="auto"/>
              <w:right w:val="single" w:sz="8" w:space="0" w:color="auto"/>
            </w:tcBorders>
            <w:shd w:val="clear" w:color="auto" w:fill="auto"/>
            <w:noWrap/>
            <w:vAlign w:val="center"/>
            <w:hideMark/>
          </w:tcPr>
          <w:p w14:paraId="679DCBAF"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10 732,53 </w:t>
            </w:r>
          </w:p>
        </w:tc>
        <w:tc>
          <w:tcPr>
            <w:tcW w:w="2200" w:type="dxa"/>
            <w:tcBorders>
              <w:top w:val="nil"/>
              <w:left w:val="nil"/>
              <w:bottom w:val="single" w:sz="8" w:space="0" w:color="auto"/>
              <w:right w:val="single" w:sz="8" w:space="0" w:color="auto"/>
            </w:tcBorders>
            <w:shd w:val="clear" w:color="auto" w:fill="auto"/>
            <w:noWrap/>
            <w:vAlign w:val="center"/>
            <w:hideMark/>
          </w:tcPr>
          <w:p w14:paraId="2B9BE572"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13 009,26 </w:t>
            </w:r>
          </w:p>
        </w:tc>
        <w:tc>
          <w:tcPr>
            <w:tcW w:w="1080" w:type="dxa"/>
            <w:tcBorders>
              <w:top w:val="nil"/>
              <w:left w:val="nil"/>
              <w:bottom w:val="single" w:sz="8" w:space="0" w:color="auto"/>
              <w:right w:val="single" w:sz="8" w:space="0" w:color="auto"/>
            </w:tcBorders>
            <w:shd w:val="clear" w:color="auto" w:fill="auto"/>
            <w:noWrap/>
            <w:vAlign w:val="center"/>
            <w:hideMark/>
          </w:tcPr>
          <w:p w14:paraId="16BE1D55"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-17,50%</w:t>
            </w:r>
          </w:p>
        </w:tc>
      </w:tr>
    </w:tbl>
    <w:p w14:paraId="182F8AE8" w14:textId="30474413" w:rsidR="00694299" w:rsidRPr="00694299" w:rsidRDefault="00873B1C" w:rsidP="00F45578">
      <w:pPr>
        <w:spacing w:before="240" w:after="120" w:line="240" w:lineRule="auto"/>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sidR="007D6FBD">
        <w:rPr>
          <w:rFonts w:eastAsia="Times New Roman" w:cs="Calibri"/>
          <w:color w:val="000000"/>
          <w:lang w:eastAsia="es-CR"/>
        </w:rPr>
        <w:fldChar w:fldCharType="begin"/>
      </w:r>
      <w:r w:rsidR="007D6FBD">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NOTAS_POR_CUENTA!F294C8 </w:instrText>
      </w:r>
      <w:r w:rsidR="007D6FBD">
        <w:rPr>
          <w:rFonts w:eastAsia="Times New Roman" w:cs="Calibri"/>
          <w:color w:val="000000"/>
          <w:lang w:eastAsia="es-CR"/>
        </w:rPr>
        <w:instrText xml:space="preserve">\a \f 5 \h  \* MERGEFORMAT </w:instrText>
      </w:r>
      <w:r w:rsidR="007D6FBD">
        <w:rPr>
          <w:rFonts w:eastAsia="Times New Roman" w:cs="Calibri"/>
          <w:color w:val="000000"/>
          <w:lang w:eastAsia="es-CR"/>
        </w:rPr>
        <w:fldChar w:fldCharType="separate"/>
      </w:r>
    </w:p>
    <w:p w14:paraId="1E8C9C2B" w14:textId="761178DC" w:rsidR="00694299" w:rsidRPr="00694299" w:rsidRDefault="00694299" w:rsidP="003A6F04">
      <w:pPr>
        <w:spacing w:line="240" w:lineRule="auto"/>
        <w:rPr>
          <w:rFonts w:eastAsia="Times New Roman" w:cs="Calibri"/>
          <w:color w:val="000000"/>
          <w:lang w:eastAsia="es-CR"/>
        </w:rPr>
      </w:pPr>
      <w:r w:rsidRPr="00694299">
        <w:rPr>
          <w:rFonts w:eastAsia="Times New Roman" w:cs="Calibri"/>
          <w:color w:val="000000"/>
          <w:lang w:eastAsia="es-CR"/>
        </w:rPr>
        <w:t>La cuenta Rentas de inversiones y de colocación de efectivo, representa el 0,</w:t>
      </w:r>
      <w:r w:rsidR="003A6F04">
        <w:rPr>
          <w:rFonts w:eastAsia="Times New Roman" w:cs="Calibri"/>
          <w:color w:val="000000"/>
          <w:lang w:eastAsia="es-CR"/>
        </w:rPr>
        <w:t>2</w:t>
      </w:r>
      <w:r w:rsidRPr="00694299">
        <w:rPr>
          <w:rFonts w:eastAsia="Times New Roman" w:cs="Calibri"/>
          <w:color w:val="000000"/>
          <w:lang w:eastAsia="es-CR"/>
        </w:rPr>
        <w:t xml:space="preserve">3% del total del Ingresos, que comparado al periodo anterior genera una variación absoluta de </w:t>
      </w:r>
      <w:r w:rsidR="003A6F04" w:rsidRPr="003A6F04">
        <w:rPr>
          <w:rFonts w:eastAsia="Times New Roman" w:cs="Calibri"/>
          <w:color w:val="000000"/>
          <w:lang w:eastAsia="es-CR"/>
        </w:rPr>
        <w:t>-2 276,74</w:t>
      </w:r>
      <w:r w:rsidRPr="00694299">
        <w:rPr>
          <w:rFonts w:eastAsia="Times New Roman" w:cs="Calibri"/>
          <w:color w:val="000000"/>
          <w:lang w:eastAsia="es-CR"/>
        </w:rPr>
        <w:t xml:space="preserve"> que corresponde a un Disminución del -</w:t>
      </w:r>
      <w:r w:rsidR="003A6F04">
        <w:rPr>
          <w:rFonts w:eastAsia="Times New Roman" w:cs="Calibri"/>
          <w:color w:val="000000"/>
          <w:lang w:eastAsia="es-CR"/>
        </w:rPr>
        <w:t>17</w:t>
      </w:r>
      <w:r w:rsidRPr="00694299">
        <w:rPr>
          <w:rFonts w:eastAsia="Times New Roman" w:cs="Calibri"/>
          <w:color w:val="000000"/>
          <w:lang w:eastAsia="es-CR"/>
        </w:rPr>
        <w:t>,</w:t>
      </w:r>
      <w:r w:rsidR="003A6F04">
        <w:rPr>
          <w:rFonts w:eastAsia="Times New Roman" w:cs="Calibri"/>
          <w:color w:val="000000"/>
          <w:lang w:eastAsia="es-CR"/>
        </w:rPr>
        <w:t>50</w:t>
      </w:r>
      <w:r w:rsidRPr="00694299">
        <w:rPr>
          <w:rFonts w:eastAsia="Times New Roman" w:cs="Calibri"/>
          <w:color w:val="000000"/>
          <w:lang w:eastAsia="es-CR"/>
        </w:rPr>
        <w:t>% de recursos disponibles.</w:t>
      </w:r>
    </w:p>
    <w:p w14:paraId="71CA9B8B" w14:textId="228E2B10" w:rsidR="00692DC8" w:rsidRDefault="007D6FBD" w:rsidP="003A6F04">
      <w:pPr>
        <w:spacing w:line="240" w:lineRule="auto"/>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7FD9D011" w14:textId="0C9CFA30" w:rsidR="00554AAF" w:rsidRDefault="00554AAF" w:rsidP="00554AAF">
      <w:pPr>
        <w:spacing w:after="0" w:line="240" w:lineRule="auto"/>
        <w:rPr>
          <w:lang w:eastAsia="es-CR"/>
        </w:rPr>
      </w:pPr>
      <w:r w:rsidRPr="005368BB">
        <w:t xml:space="preserve">Como se observa en el siguiente detalle la diferencia </w:t>
      </w:r>
      <w:r>
        <w:t xml:space="preserve">(disminución) </w:t>
      </w:r>
      <w:r w:rsidRPr="005368BB">
        <w:t xml:space="preserve">de </w:t>
      </w:r>
      <w:r>
        <w:t>-</w:t>
      </w:r>
      <w:r w:rsidRPr="005368BB">
        <w:rPr>
          <w:rFonts w:ascii="Arial" w:hAnsi="Arial" w:cs="Arial"/>
          <w:color w:val="000000"/>
        </w:rPr>
        <w:t>₡</w:t>
      </w:r>
      <w:r>
        <w:rPr>
          <w:lang w:eastAsia="es-CR"/>
        </w:rPr>
        <w:t>2</w:t>
      </w:r>
      <w:r w:rsidR="00F45578">
        <w:rPr>
          <w:lang w:eastAsia="es-CR"/>
        </w:rPr>
        <w:t xml:space="preserve"> 276</w:t>
      </w:r>
      <w:r>
        <w:rPr>
          <w:lang w:eastAsia="es-CR"/>
        </w:rPr>
        <w:t>,7</w:t>
      </w:r>
      <w:r w:rsidR="00F45578">
        <w:rPr>
          <w:lang w:eastAsia="es-CR"/>
        </w:rPr>
        <w:t>3</w:t>
      </w:r>
      <w:r w:rsidRPr="005368BB">
        <w:rPr>
          <w:lang w:eastAsia="es-CR"/>
        </w:rPr>
        <w:t xml:space="preserve"> miles, </w:t>
      </w:r>
      <w:r w:rsidRPr="005368BB">
        <w:t xml:space="preserve">existente entre </w:t>
      </w:r>
      <w:r>
        <w:t>los</w:t>
      </w:r>
      <w:r w:rsidRPr="005368BB">
        <w:t xml:space="preserve"> saldo</w:t>
      </w:r>
      <w:r>
        <w:t>s</w:t>
      </w:r>
      <w:r w:rsidRPr="005368BB">
        <w:t xml:space="preserve"> de la cuenta </w:t>
      </w:r>
      <w:r w:rsidRPr="00926B31">
        <w:rPr>
          <w:lang w:eastAsia="es-CR"/>
        </w:rPr>
        <w:t>Rentas de inversiones y de colocación de efectivo e</w:t>
      </w:r>
      <w:r>
        <w:rPr>
          <w:lang w:eastAsia="es-CR"/>
        </w:rPr>
        <w:t>ntre</w:t>
      </w:r>
      <w:r w:rsidRPr="00926B31">
        <w:rPr>
          <w:lang w:eastAsia="es-CR"/>
        </w:rPr>
        <w:t xml:space="preserve"> </w:t>
      </w:r>
      <w:r w:rsidR="0096573A">
        <w:rPr>
          <w:lang w:eastAsia="es-CR"/>
        </w:rPr>
        <w:t>junio</w:t>
      </w:r>
      <w:r w:rsidRPr="00926B31">
        <w:rPr>
          <w:lang w:eastAsia="es-CR"/>
        </w:rPr>
        <w:t xml:space="preserve"> 2023 y </w:t>
      </w:r>
      <w:r w:rsidR="0096573A">
        <w:rPr>
          <w:lang w:eastAsia="es-CR"/>
        </w:rPr>
        <w:t>junio</w:t>
      </w:r>
      <w:r w:rsidRPr="00926B31">
        <w:rPr>
          <w:lang w:eastAsia="es-CR"/>
        </w:rPr>
        <w:t xml:space="preserve"> 2024, corresponde principalmente </w:t>
      </w:r>
      <w:r>
        <w:rPr>
          <w:lang w:eastAsia="es-CR"/>
        </w:rPr>
        <w:t xml:space="preserve">al efecto neto originado por el </w:t>
      </w:r>
      <w:r w:rsidRPr="00926B31">
        <w:rPr>
          <w:lang w:eastAsia="es-CR"/>
        </w:rPr>
        <w:t>a</w:t>
      </w:r>
      <w:r>
        <w:rPr>
          <w:lang w:eastAsia="es-CR"/>
        </w:rPr>
        <w:t>umento en</w:t>
      </w:r>
      <w:r w:rsidRPr="00926B31">
        <w:rPr>
          <w:lang w:eastAsia="es-CR"/>
        </w:rPr>
        <w:t xml:space="preserve"> la rentabilidad obtenida por los dineros depositados </w:t>
      </w:r>
      <w:r>
        <w:rPr>
          <w:lang w:eastAsia="es-CR"/>
        </w:rPr>
        <w:t xml:space="preserve">en cuentas bancarias por la suma de </w:t>
      </w:r>
      <w:r w:rsidRPr="005368BB">
        <w:rPr>
          <w:rFonts w:ascii="Arial" w:hAnsi="Arial" w:cs="Arial"/>
          <w:color w:val="000000"/>
        </w:rPr>
        <w:t>₡</w:t>
      </w:r>
      <w:r w:rsidR="00F45578">
        <w:rPr>
          <w:lang w:eastAsia="es-CR"/>
        </w:rPr>
        <w:t>76</w:t>
      </w:r>
      <w:r>
        <w:rPr>
          <w:lang w:eastAsia="es-CR"/>
        </w:rPr>
        <w:t>6,</w:t>
      </w:r>
      <w:r w:rsidR="00F45578">
        <w:rPr>
          <w:lang w:eastAsia="es-CR"/>
        </w:rPr>
        <w:t>93</w:t>
      </w:r>
      <w:r>
        <w:rPr>
          <w:lang w:eastAsia="es-CR"/>
        </w:rPr>
        <w:t xml:space="preserve"> y la disminución en la rentabilidad obtenida por los recursos en fondos de inversión de -</w:t>
      </w:r>
      <w:r w:rsidRPr="005368BB">
        <w:rPr>
          <w:rFonts w:ascii="Arial" w:hAnsi="Arial" w:cs="Arial"/>
          <w:color w:val="000000"/>
        </w:rPr>
        <w:t>₡</w:t>
      </w:r>
      <w:r w:rsidR="00F45578">
        <w:rPr>
          <w:lang w:eastAsia="es-CR"/>
        </w:rPr>
        <w:t>3 043</w:t>
      </w:r>
      <w:r>
        <w:rPr>
          <w:lang w:eastAsia="es-CR"/>
        </w:rPr>
        <w:t>,</w:t>
      </w:r>
      <w:r w:rsidR="00F45578">
        <w:rPr>
          <w:lang w:eastAsia="es-CR"/>
        </w:rPr>
        <w:t>61</w:t>
      </w:r>
      <w:r>
        <w:rPr>
          <w:lang w:eastAsia="es-CR"/>
        </w:rPr>
        <w:t xml:space="preserve"> </w:t>
      </w:r>
      <w:r w:rsidRPr="00926B31">
        <w:rPr>
          <w:lang w:eastAsia="es-CR"/>
        </w:rPr>
        <w:t xml:space="preserve">en fondos de inversión, Ver al respecto. Lo comentado en la </w:t>
      </w:r>
      <w:r w:rsidRPr="005368BB">
        <w:rPr>
          <w:lang w:eastAsia="es-CR"/>
        </w:rPr>
        <w:t>Nota 03 “Efectivo y Equivalentes de Efectivo”,</w:t>
      </w:r>
      <w:r>
        <w:rPr>
          <w:lang w:eastAsia="es-CR"/>
        </w:rPr>
        <w:t xml:space="preserve"> en </w:t>
      </w:r>
      <w:r w:rsidRPr="005368BB">
        <w:rPr>
          <w:lang w:eastAsia="es-CR"/>
        </w:rPr>
        <w:t xml:space="preserve">la </w:t>
      </w:r>
      <w:r>
        <w:rPr>
          <w:lang w:eastAsia="es-CR"/>
        </w:rPr>
        <w:t>que se indica entre otras cosas que producto de los</w:t>
      </w:r>
      <w:r w:rsidRPr="005368BB">
        <w:rPr>
          <w:lang w:eastAsia="es-CR"/>
        </w:rPr>
        <w:t xml:space="preserve"> </w:t>
      </w:r>
      <w:r>
        <w:rPr>
          <w:lang w:eastAsia="es-CR"/>
        </w:rPr>
        <w:t xml:space="preserve">recursos que la Municipalidad mantiene en </w:t>
      </w:r>
      <w:r w:rsidRPr="005368BB">
        <w:rPr>
          <w:lang w:eastAsia="es-CR"/>
        </w:rPr>
        <w:t>fondo</w:t>
      </w:r>
      <w:r>
        <w:rPr>
          <w:lang w:eastAsia="es-CR"/>
        </w:rPr>
        <w:t>s</w:t>
      </w:r>
      <w:r w:rsidRPr="005368BB">
        <w:rPr>
          <w:lang w:eastAsia="es-CR"/>
        </w:rPr>
        <w:t xml:space="preserve"> de inversión </w:t>
      </w:r>
      <w:r w:rsidRPr="00926B31">
        <w:rPr>
          <w:lang w:eastAsia="es-CR"/>
        </w:rPr>
        <w:t xml:space="preserve">en el Banco de </w:t>
      </w:r>
      <w:r w:rsidRPr="0058141F">
        <w:rPr>
          <w:lang w:eastAsia="es-CR"/>
        </w:rPr>
        <w:t xml:space="preserve">Costa Rica </w:t>
      </w:r>
      <w:r>
        <w:rPr>
          <w:lang w:eastAsia="es-CR"/>
        </w:rPr>
        <w:t>y en el Banco Nacional de Costa Rica, obtuvo ingresos por rentabilidad a</w:t>
      </w:r>
      <w:r w:rsidRPr="0058141F">
        <w:rPr>
          <w:lang w:eastAsia="es-CR"/>
        </w:rPr>
        <w:t>l</w:t>
      </w:r>
      <w:r>
        <w:rPr>
          <w:lang w:eastAsia="es-CR"/>
        </w:rPr>
        <w:t xml:space="preserve"> </w:t>
      </w:r>
      <w:r w:rsidR="00D470B6">
        <w:rPr>
          <w:lang w:eastAsia="es-CR"/>
        </w:rPr>
        <w:t>30 de junio</w:t>
      </w:r>
      <w:r>
        <w:rPr>
          <w:lang w:eastAsia="es-CR"/>
        </w:rPr>
        <w:t xml:space="preserve"> </w:t>
      </w:r>
      <w:r w:rsidR="00C32C84">
        <w:rPr>
          <w:lang w:eastAsia="es-CR"/>
        </w:rPr>
        <w:t xml:space="preserve">2024 </w:t>
      </w:r>
      <w:r>
        <w:rPr>
          <w:lang w:eastAsia="es-CR"/>
        </w:rPr>
        <w:t xml:space="preserve">de </w:t>
      </w:r>
      <w:r w:rsidRPr="00C32C84">
        <w:rPr>
          <w:rFonts w:ascii="Arial" w:hAnsi="Arial" w:cs="Arial"/>
          <w:lang w:eastAsia="es-CR"/>
        </w:rPr>
        <w:t>₡</w:t>
      </w:r>
      <w:r w:rsidR="00F45578">
        <w:rPr>
          <w:lang w:eastAsia="es-CR"/>
        </w:rPr>
        <w:t>4</w:t>
      </w:r>
      <w:r w:rsidR="00C32C84">
        <w:rPr>
          <w:lang w:eastAsia="es-CR"/>
        </w:rPr>
        <w:t> </w:t>
      </w:r>
      <w:r w:rsidR="00F45578">
        <w:rPr>
          <w:lang w:eastAsia="es-CR"/>
        </w:rPr>
        <w:t>652</w:t>
      </w:r>
      <w:r w:rsidR="00C32C84">
        <w:rPr>
          <w:lang w:eastAsia="es-CR"/>
        </w:rPr>
        <w:t>,</w:t>
      </w:r>
      <w:r w:rsidR="00F45578">
        <w:rPr>
          <w:lang w:eastAsia="es-CR"/>
        </w:rPr>
        <w:t>01</w:t>
      </w:r>
      <w:r w:rsidRPr="005368BB">
        <w:rPr>
          <w:lang w:eastAsia="es-CR"/>
        </w:rPr>
        <w:t xml:space="preserve"> miles</w:t>
      </w:r>
      <w:r w:rsidRPr="0058141F">
        <w:rPr>
          <w:lang w:eastAsia="es-CR"/>
        </w:rPr>
        <w:t xml:space="preserve"> </w:t>
      </w:r>
      <w:r>
        <w:rPr>
          <w:lang w:eastAsia="es-CR"/>
        </w:rPr>
        <w:t xml:space="preserve">(BCR) </w:t>
      </w:r>
      <w:r w:rsidRPr="0058141F">
        <w:rPr>
          <w:lang w:eastAsia="es-CR"/>
        </w:rPr>
        <w:t xml:space="preserve">y </w:t>
      </w:r>
      <w:r>
        <w:rPr>
          <w:lang w:eastAsia="es-CR"/>
        </w:rPr>
        <w:t xml:space="preserve">de </w:t>
      </w:r>
      <w:r w:rsidRPr="00E92623">
        <w:rPr>
          <w:rFonts w:ascii="Arial" w:hAnsi="Arial" w:cs="Arial"/>
          <w:lang w:eastAsia="es-CR"/>
        </w:rPr>
        <w:t>₡</w:t>
      </w:r>
      <w:r w:rsidR="00F45578">
        <w:rPr>
          <w:lang w:eastAsia="es-CR"/>
        </w:rPr>
        <w:t>4</w:t>
      </w:r>
      <w:r w:rsidR="00C32C84">
        <w:rPr>
          <w:lang w:eastAsia="es-CR"/>
        </w:rPr>
        <w:t xml:space="preserve"> </w:t>
      </w:r>
      <w:r w:rsidR="00F45578">
        <w:rPr>
          <w:lang w:eastAsia="es-CR"/>
        </w:rPr>
        <w:t>661</w:t>
      </w:r>
      <w:r w:rsidR="00C32C84">
        <w:rPr>
          <w:lang w:eastAsia="es-CR"/>
        </w:rPr>
        <w:t>,</w:t>
      </w:r>
      <w:r w:rsidR="00F45578">
        <w:rPr>
          <w:lang w:eastAsia="es-CR"/>
        </w:rPr>
        <w:t>70</w:t>
      </w:r>
      <w:r w:rsidRPr="00DD0EFE">
        <w:rPr>
          <w:lang w:eastAsia="es-CR"/>
        </w:rPr>
        <w:t xml:space="preserve"> miles</w:t>
      </w:r>
      <w:r>
        <w:rPr>
          <w:lang w:eastAsia="es-CR"/>
        </w:rPr>
        <w:t xml:space="preserve"> (BNCR) para un total de </w:t>
      </w:r>
      <w:r w:rsidRPr="00E92623">
        <w:rPr>
          <w:rFonts w:ascii="Arial" w:hAnsi="Arial" w:cs="Arial"/>
          <w:lang w:eastAsia="es-CR"/>
        </w:rPr>
        <w:t>₡</w:t>
      </w:r>
      <w:r w:rsidR="00F45578">
        <w:rPr>
          <w:lang w:eastAsia="es-CR"/>
        </w:rPr>
        <w:t>9</w:t>
      </w:r>
      <w:r w:rsidRPr="00E92623">
        <w:rPr>
          <w:lang w:eastAsia="es-CR"/>
        </w:rPr>
        <w:t xml:space="preserve"> </w:t>
      </w:r>
      <w:r w:rsidR="00C32C84">
        <w:rPr>
          <w:lang w:eastAsia="es-CR"/>
        </w:rPr>
        <w:t>31</w:t>
      </w:r>
      <w:r w:rsidR="00F45578">
        <w:rPr>
          <w:lang w:eastAsia="es-CR"/>
        </w:rPr>
        <w:t>3</w:t>
      </w:r>
      <w:r w:rsidRPr="00E92623">
        <w:rPr>
          <w:lang w:eastAsia="es-CR"/>
        </w:rPr>
        <w:t>,</w:t>
      </w:r>
      <w:r w:rsidR="00F45578">
        <w:rPr>
          <w:lang w:eastAsia="es-CR"/>
        </w:rPr>
        <w:t>7</w:t>
      </w:r>
      <w:r w:rsidR="00C32C84">
        <w:rPr>
          <w:lang w:eastAsia="es-CR"/>
        </w:rPr>
        <w:t>1</w:t>
      </w:r>
      <w:r w:rsidRPr="00E92623">
        <w:rPr>
          <w:lang w:eastAsia="es-CR"/>
        </w:rPr>
        <w:t xml:space="preserve"> miles</w:t>
      </w:r>
      <w:r w:rsidRPr="00DD0EFE">
        <w:rPr>
          <w:lang w:eastAsia="es-CR"/>
        </w:rPr>
        <w:t xml:space="preserve">. </w:t>
      </w:r>
    </w:p>
    <w:p w14:paraId="62100C31" w14:textId="77777777" w:rsidR="00554AAF" w:rsidRDefault="00554AAF" w:rsidP="00554AAF">
      <w:pPr>
        <w:spacing w:after="0" w:line="240" w:lineRule="auto"/>
        <w:rPr>
          <w:lang w:eastAsia="es-CR"/>
        </w:rPr>
      </w:pPr>
    </w:p>
    <w:p w14:paraId="1CB0A2EC" w14:textId="4B50E12C" w:rsidR="00554AAF" w:rsidRDefault="00554AAF" w:rsidP="00554AAF">
      <w:pPr>
        <w:spacing w:after="0" w:line="240" w:lineRule="auto"/>
        <w:rPr>
          <w:lang w:eastAsia="es-CR"/>
        </w:rPr>
      </w:pPr>
      <w:r w:rsidRPr="00DD0EFE">
        <w:rPr>
          <w:lang w:eastAsia="es-CR"/>
        </w:rPr>
        <w:t>Es</w:t>
      </w:r>
      <w:r>
        <w:rPr>
          <w:lang w:eastAsia="es-CR"/>
        </w:rPr>
        <w:t>e</w:t>
      </w:r>
      <w:r w:rsidRPr="00DD0EFE">
        <w:rPr>
          <w:lang w:eastAsia="es-CR"/>
        </w:rPr>
        <w:t xml:space="preserve"> monto </w:t>
      </w:r>
      <w:r>
        <w:rPr>
          <w:lang w:eastAsia="es-CR"/>
        </w:rPr>
        <w:t>fue inferior</w:t>
      </w:r>
      <w:r w:rsidRPr="005368BB">
        <w:rPr>
          <w:lang w:eastAsia="es-CR"/>
        </w:rPr>
        <w:t xml:space="preserve"> al </w:t>
      </w:r>
      <w:r>
        <w:rPr>
          <w:lang w:eastAsia="es-CR"/>
        </w:rPr>
        <w:t>q</w:t>
      </w:r>
      <w:r w:rsidRPr="005368BB">
        <w:rPr>
          <w:lang w:eastAsia="es-CR"/>
        </w:rPr>
        <w:t xml:space="preserve">ue generaron los dineros que se mantenían en fondos de inversión al </w:t>
      </w:r>
      <w:r w:rsidR="00D470B6">
        <w:rPr>
          <w:lang w:eastAsia="es-CR"/>
        </w:rPr>
        <w:t>30 de junio</w:t>
      </w:r>
      <w:r w:rsidRPr="005368BB">
        <w:rPr>
          <w:lang w:eastAsia="es-CR"/>
        </w:rPr>
        <w:t xml:space="preserve"> de </w:t>
      </w:r>
      <w:r>
        <w:rPr>
          <w:lang w:eastAsia="es-CR"/>
        </w:rPr>
        <w:t xml:space="preserve">2023, que en total ascendió a </w:t>
      </w:r>
      <w:r w:rsidRPr="000720DC">
        <w:rPr>
          <w:rFonts w:ascii="Arial" w:hAnsi="Arial" w:cs="Arial"/>
          <w:lang w:eastAsia="es-CR"/>
        </w:rPr>
        <w:t>₡</w:t>
      </w:r>
      <w:r w:rsidR="00F45578">
        <w:rPr>
          <w:lang w:eastAsia="es-CR"/>
        </w:rPr>
        <w:t>12</w:t>
      </w:r>
      <w:r w:rsidRPr="000720DC">
        <w:rPr>
          <w:lang w:eastAsia="es-CR"/>
        </w:rPr>
        <w:t xml:space="preserve"> </w:t>
      </w:r>
      <w:r w:rsidR="00C32C84">
        <w:rPr>
          <w:lang w:eastAsia="es-CR"/>
        </w:rPr>
        <w:t>3</w:t>
      </w:r>
      <w:r w:rsidR="00F45578">
        <w:rPr>
          <w:lang w:eastAsia="es-CR"/>
        </w:rPr>
        <w:t>57</w:t>
      </w:r>
      <w:r w:rsidRPr="000720DC">
        <w:rPr>
          <w:lang w:eastAsia="es-CR"/>
        </w:rPr>
        <w:t>,</w:t>
      </w:r>
      <w:r w:rsidR="00F45578">
        <w:rPr>
          <w:lang w:eastAsia="es-CR"/>
        </w:rPr>
        <w:t>32</w:t>
      </w:r>
      <w:r w:rsidRPr="000720DC">
        <w:rPr>
          <w:lang w:eastAsia="es-CR"/>
        </w:rPr>
        <w:t xml:space="preserve"> miles (</w:t>
      </w:r>
      <w:r w:rsidRPr="00E92623">
        <w:rPr>
          <w:rFonts w:ascii="Arial" w:hAnsi="Arial" w:cs="Arial"/>
          <w:lang w:eastAsia="es-CR"/>
        </w:rPr>
        <w:t>₡</w:t>
      </w:r>
      <w:r w:rsidR="00F45578">
        <w:rPr>
          <w:lang w:eastAsia="es-CR"/>
        </w:rPr>
        <w:t>6</w:t>
      </w:r>
      <w:r w:rsidRPr="00E92623">
        <w:rPr>
          <w:lang w:eastAsia="es-CR"/>
        </w:rPr>
        <w:t xml:space="preserve"> </w:t>
      </w:r>
      <w:r w:rsidR="00C32C84">
        <w:rPr>
          <w:lang w:eastAsia="es-CR"/>
        </w:rPr>
        <w:t>30</w:t>
      </w:r>
      <w:r w:rsidR="00F45578">
        <w:rPr>
          <w:lang w:eastAsia="es-CR"/>
        </w:rPr>
        <w:t>8</w:t>
      </w:r>
      <w:r w:rsidRPr="000720DC">
        <w:rPr>
          <w:lang w:eastAsia="es-CR"/>
        </w:rPr>
        <w:t>,</w:t>
      </w:r>
      <w:r w:rsidR="00F45578">
        <w:rPr>
          <w:lang w:eastAsia="es-CR"/>
        </w:rPr>
        <w:t>25</w:t>
      </w:r>
      <w:r w:rsidRPr="00E92623">
        <w:rPr>
          <w:lang w:eastAsia="es-CR"/>
        </w:rPr>
        <w:t xml:space="preserve"> miles de fondo de inversión del BCR y </w:t>
      </w:r>
      <w:r w:rsidRPr="00E92623">
        <w:rPr>
          <w:rFonts w:ascii="Arial" w:hAnsi="Arial" w:cs="Arial"/>
          <w:lang w:eastAsia="es-CR"/>
        </w:rPr>
        <w:t>₡</w:t>
      </w:r>
      <w:r w:rsidR="00F45578">
        <w:rPr>
          <w:lang w:eastAsia="es-CR"/>
        </w:rPr>
        <w:t>6</w:t>
      </w:r>
      <w:r w:rsidRPr="00E92623">
        <w:rPr>
          <w:lang w:eastAsia="es-CR"/>
        </w:rPr>
        <w:t xml:space="preserve"> </w:t>
      </w:r>
      <w:r w:rsidR="00F45578">
        <w:rPr>
          <w:lang w:eastAsia="es-CR"/>
        </w:rPr>
        <w:t>049</w:t>
      </w:r>
      <w:r w:rsidRPr="00E92623">
        <w:rPr>
          <w:lang w:eastAsia="es-CR"/>
        </w:rPr>
        <w:t>,</w:t>
      </w:r>
      <w:r w:rsidR="00F45578">
        <w:rPr>
          <w:lang w:eastAsia="es-CR"/>
        </w:rPr>
        <w:t>07</w:t>
      </w:r>
      <w:r w:rsidRPr="00E92623">
        <w:rPr>
          <w:lang w:eastAsia="es-CR"/>
        </w:rPr>
        <w:t xml:space="preserve"> de fondo de inversión en el BNCR)</w:t>
      </w:r>
      <w:r>
        <w:rPr>
          <w:lang w:eastAsia="es-CR"/>
        </w:rPr>
        <w:t>.</w:t>
      </w:r>
      <w:r w:rsidR="00C32C84">
        <w:rPr>
          <w:lang w:eastAsia="es-CR"/>
        </w:rPr>
        <w:t xml:space="preserve"> </w:t>
      </w:r>
    </w:p>
    <w:p w14:paraId="57243D3C" w14:textId="77777777" w:rsidR="00C32C84" w:rsidRDefault="00C32C84" w:rsidP="00554AAF">
      <w:pPr>
        <w:spacing w:after="0" w:line="240" w:lineRule="auto"/>
        <w:rPr>
          <w:lang w:eastAsia="es-CR"/>
        </w:rPr>
      </w:pPr>
    </w:p>
    <w:p w14:paraId="5F671FCA" w14:textId="5539A6BE" w:rsidR="00C32C84" w:rsidRDefault="00C32C84" w:rsidP="00554AAF">
      <w:pPr>
        <w:spacing w:after="0" w:line="240" w:lineRule="auto"/>
        <w:rPr>
          <w:lang w:eastAsia="es-CR"/>
        </w:rPr>
      </w:pPr>
      <w:r>
        <w:rPr>
          <w:lang w:eastAsia="es-CR"/>
        </w:rPr>
        <w:t>Lo anterior se detalla en el siguiente cuadro:</w:t>
      </w:r>
    </w:p>
    <w:p w14:paraId="6D984F90" w14:textId="77777777" w:rsidR="00554AAF" w:rsidRDefault="00554AAF" w:rsidP="00554AAF">
      <w:pPr>
        <w:spacing w:after="0" w:line="240" w:lineRule="auto"/>
        <w:rPr>
          <w:lang w:eastAsia="es-CR"/>
        </w:rPr>
      </w:pPr>
    </w:p>
    <w:tbl>
      <w:tblPr>
        <w:tblW w:w="8828" w:type="dxa"/>
        <w:tblLook w:val="04A0" w:firstRow="1" w:lastRow="0" w:firstColumn="1" w:lastColumn="0" w:noHBand="0" w:noVBand="1"/>
      </w:tblPr>
      <w:tblGrid>
        <w:gridCol w:w="1735"/>
        <w:gridCol w:w="3358"/>
        <w:gridCol w:w="930"/>
        <w:gridCol w:w="945"/>
        <w:gridCol w:w="930"/>
        <w:gridCol w:w="930"/>
      </w:tblGrid>
      <w:tr w:rsidR="00F45578" w:rsidRPr="00F45578" w14:paraId="69375311" w14:textId="77777777" w:rsidTr="00F45578">
        <w:trPr>
          <w:trHeight w:val="470"/>
        </w:trPr>
        <w:tc>
          <w:tcPr>
            <w:tcW w:w="1735" w:type="dxa"/>
            <w:tcBorders>
              <w:top w:val="single" w:sz="8" w:space="0" w:color="auto"/>
              <w:left w:val="single" w:sz="8" w:space="0" w:color="auto"/>
              <w:bottom w:val="nil"/>
              <w:right w:val="single" w:sz="8" w:space="0" w:color="auto"/>
            </w:tcBorders>
            <w:shd w:val="clear" w:color="000000" w:fill="366092"/>
            <w:vAlign w:val="center"/>
            <w:hideMark/>
          </w:tcPr>
          <w:p w14:paraId="387BCC62" w14:textId="77777777" w:rsidR="00F45578" w:rsidRPr="00F45578" w:rsidRDefault="00F45578" w:rsidP="00F45578">
            <w:pPr>
              <w:spacing w:after="0" w:line="240" w:lineRule="auto"/>
              <w:jc w:val="center"/>
              <w:rPr>
                <w:rFonts w:eastAsia="Times New Roman" w:cs="Calibri"/>
                <w:b/>
                <w:bCs/>
                <w:color w:val="FFFFFF"/>
                <w:sz w:val="18"/>
                <w:szCs w:val="18"/>
                <w:lang w:val="en-US"/>
              </w:rPr>
            </w:pPr>
            <w:r w:rsidRPr="00F45578">
              <w:rPr>
                <w:rFonts w:eastAsia="Times New Roman" w:cs="Calibri"/>
                <w:b/>
                <w:bCs/>
                <w:color w:val="FFFFFF"/>
                <w:sz w:val="18"/>
                <w:szCs w:val="18"/>
                <w:lang w:val="en-US"/>
              </w:rPr>
              <w:t>CUENTA</w:t>
            </w:r>
          </w:p>
        </w:tc>
        <w:tc>
          <w:tcPr>
            <w:tcW w:w="3358" w:type="dxa"/>
            <w:tcBorders>
              <w:top w:val="single" w:sz="8" w:space="0" w:color="auto"/>
              <w:left w:val="nil"/>
              <w:bottom w:val="nil"/>
              <w:right w:val="single" w:sz="8" w:space="0" w:color="auto"/>
            </w:tcBorders>
            <w:shd w:val="clear" w:color="000000" w:fill="366092"/>
            <w:vAlign w:val="center"/>
            <w:hideMark/>
          </w:tcPr>
          <w:p w14:paraId="005C9782" w14:textId="77777777" w:rsidR="00F45578" w:rsidRPr="00F45578" w:rsidRDefault="00F45578" w:rsidP="00F45578">
            <w:pPr>
              <w:spacing w:after="0" w:line="240" w:lineRule="auto"/>
              <w:jc w:val="center"/>
              <w:rPr>
                <w:rFonts w:eastAsia="Times New Roman" w:cs="Calibri"/>
                <w:b/>
                <w:bCs/>
                <w:color w:val="FFFFFF"/>
                <w:sz w:val="18"/>
                <w:szCs w:val="18"/>
                <w:lang w:val="en-US"/>
              </w:rPr>
            </w:pPr>
            <w:r w:rsidRPr="00F45578">
              <w:rPr>
                <w:rFonts w:eastAsia="Times New Roman" w:cs="Calibri"/>
                <w:b/>
                <w:bCs/>
                <w:color w:val="FFFFFF"/>
                <w:sz w:val="18"/>
                <w:szCs w:val="18"/>
                <w:lang w:val="en-US"/>
              </w:rPr>
              <w:t>NOMBRE CUENTA</w:t>
            </w:r>
          </w:p>
        </w:tc>
        <w:tc>
          <w:tcPr>
            <w:tcW w:w="930" w:type="dxa"/>
            <w:tcBorders>
              <w:top w:val="single" w:sz="8" w:space="0" w:color="auto"/>
              <w:left w:val="nil"/>
              <w:bottom w:val="nil"/>
              <w:right w:val="single" w:sz="8" w:space="0" w:color="auto"/>
            </w:tcBorders>
            <w:shd w:val="clear" w:color="000000" w:fill="366092"/>
            <w:vAlign w:val="center"/>
            <w:hideMark/>
          </w:tcPr>
          <w:p w14:paraId="7B2D09C6" w14:textId="77777777" w:rsidR="00F45578" w:rsidRPr="00F45578" w:rsidRDefault="00F45578" w:rsidP="00F45578">
            <w:pPr>
              <w:spacing w:after="0" w:line="240" w:lineRule="auto"/>
              <w:jc w:val="center"/>
              <w:rPr>
                <w:rFonts w:eastAsia="Times New Roman" w:cs="Calibri"/>
                <w:b/>
                <w:bCs/>
                <w:color w:val="FFFFFF"/>
                <w:sz w:val="18"/>
                <w:szCs w:val="18"/>
                <w:lang w:val="en-US"/>
              </w:rPr>
            </w:pPr>
            <w:r w:rsidRPr="00F45578">
              <w:rPr>
                <w:rFonts w:eastAsia="Times New Roman" w:cs="Calibri"/>
                <w:b/>
                <w:bCs/>
                <w:color w:val="FFFFFF"/>
                <w:sz w:val="18"/>
                <w:szCs w:val="18"/>
                <w:lang w:val="en-US"/>
              </w:rPr>
              <w:t>Periodo Actual</w:t>
            </w:r>
          </w:p>
        </w:tc>
        <w:tc>
          <w:tcPr>
            <w:tcW w:w="945" w:type="dxa"/>
            <w:tcBorders>
              <w:top w:val="single" w:sz="8" w:space="0" w:color="auto"/>
              <w:left w:val="nil"/>
              <w:bottom w:val="nil"/>
              <w:right w:val="single" w:sz="8" w:space="0" w:color="auto"/>
            </w:tcBorders>
            <w:shd w:val="clear" w:color="000000" w:fill="366092"/>
            <w:vAlign w:val="center"/>
            <w:hideMark/>
          </w:tcPr>
          <w:p w14:paraId="09DCEFF0" w14:textId="77777777" w:rsidR="00F45578" w:rsidRPr="00F45578" w:rsidRDefault="00F45578" w:rsidP="00F45578">
            <w:pPr>
              <w:spacing w:after="0" w:line="240" w:lineRule="auto"/>
              <w:jc w:val="center"/>
              <w:rPr>
                <w:rFonts w:eastAsia="Times New Roman" w:cs="Calibri"/>
                <w:b/>
                <w:bCs/>
                <w:color w:val="FFFFFF"/>
                <w:sz w:val="18"/>
                <w:szCs w:val="18"/>
                <w:lang w:val="en-US"/>
              </w:rPr>
            </w:pPr>
            <w:r w:rsidRPr="00F45578">
              <w:rPr>
                <w:rFonts w:eastAsia="Times New Roman" w:cs="Calibri"/>
                <w:b/>
                <w:bCs/>
                <w:color w:val="FFFFFF"/>
                <w:sz w:val="18"/>
                <w:szCs w:val="18"/>
                <w:lang w:val="en-US"/>
              </w:rPr>
              <w:t>Periodo Anterior</w:t>
            </w:r>
          </w:p>
        </w:tc>
        <w:tc>
          <w:tcPr>
            <w:tcW w:w="930" w:type="dxa"/>
            <w:tcBorders>
              <w:top w:val="single" w:sz="8" w:space="0" w:color="auto"/>
              <w:left w:val="nil"/>
              <w:bottom w:val="nil"/>
              <w:right w:val="single" w:sz="8" w:space="0" w:color="auto"/>
            </w:tcBorders>
            <w:shd w:val="clear" w:color="000000" w:fill="366092"/>
            <w:vAlign w:val="center"/>
            <w:hideMark/>
          </w:tcPr>
          <w:p w14:paraId="7BED878D" w14:textId="77777777" w:rsidR="00F45578" w:rsidRPr="00F45578" w:rsidRDefault="00F45578" w:rsidP="00F45578">
            <w:pPr>
              <w:spacing w:after="0" w:line="240" w:lineRule="auto"/>
              <w:jc w:val="center"/>
              <w:rPr>
                <w:rFonts w:eastAsia="Times New Roman" w:cs="Calibri"/>
                <w:b/>
                <w:bCs/>
                <w:color w:val="FFFFFF"/>
                <w:sz w:val="18"/>
                <w:szCs w:val="18"/>
                <w:lang w:val="en-US"/>
              </w:rPr>
            </w:pPr>
            <w:r w:rsidRPr="00F45578">
              <w:rPr>
                <w:rFonts w:eastAsia="Times New Roman" w:cs="Calibri"/>
                <w:b/>
                <w:bCs/>
                <w:color w:val="FFFFFF"/>
                <w:sz w:val="18"/>
                <w:szCs w:val="18"/>
                <w:lang w:val="en-US"/>
              </w:rPr>
              <w:t>Diferencia Absoluta</w:t>
            </w:r>
          </w:p>
        </w:tc>
        <w:tc>
          <w:tcPr>
            <w:tcW w:w="930" w:type="dxa"/>
            <w:tcBorders>
              <w:top w:val="single" w:sz="8" w:space="0" w:color="auto"/>
              <w:left w:val="nil"/>
              <w:bottom w:val="nil"/>
              <w:right w:val="single" w:sz="8" w:space="0" w:color="auto"/>
            </w:tcBorders>
            <w:shd w:val="clear" w:color="000000" w:fill="366092"/>
            <w:vAlign w:val="center"/>
            <w:hideMark/>
          </w:tcPr>
          <w:p w14:paraId="6276235B" w14:textId="77777777" w:rsidR="00F45578" w:rsidRPr="00F45578" w:rsidRDefault="00F45578" w:rsidP="00F45578">
            <w:pPr>
              <w:spacing w:after="0" w:line="240" w:lineRule="auto"/>
              <w:jc w:val="center"/>
              <w:rPr>
                <w:rFonts w:eastAsia="Times New Roman" w:cs="Calibri"/>
                <w:b/>
                <w:bCs/>
                <w:color w:val="FFFFFF"/>
                <w:sz w:val="18"/>
                <w:szCs w:val="18"/>
                <w:lang w:val="en-US"/>
              </w:rPr>
            </w:pPr>
            <w:r w:rsidRPr="00F45578">
              <w:rPr>
                <w:rFonts w:eastAsia="Times New Roman" w:cs="Calibri"/>
                <w:b/>
                <w:bCs/>
                <w:color w:val="FFFFFF"/>
                <w:sz w:val="18"/>
                <w:szCs w:val="18"/>
                <w:lang w:val="en-US"/>
              </w:rPr>
              <w:t>Diferencia %</w:t>
            </w:r>
          </w:p>
        </w:tc>
      </w:tr>
      <w:tr w:rsidR="00F45578" w:rsidRPr="00F45578" w14:paraId="353ADEAD" w14:textId="77777777" w:rsidTr="00F45578">
        <w:trPr>
          <w:trHeight w:val="290"/>
        </w:trPr>
        <w:tc>
          <w:tcPr>
            <w:tcW w:w="1735" w:type="dxa"/>
            <w:tcBorders>
              <w:top w:val="single" w:sz="8" w:space="0" w:color="auto"/>
              <w:left w:val="single" w:sz="8" w:space="0" w:color="auto"/>
              <w:bottom w:val="nil"/>
              <w:right w:val="single" w:sz="8" w:space="0" w:color="auto"/>
            </w:tcBorders>
            <w:shd w:val="clear" w:color="000000" w:fill="FFFFFF"/>
            <w:noWrap/>
            <w:vAlign w:val="center"/>
            <w:hideMark/>
          </w:tcPr>
          <w:p w14:paraId="0A7A9A6E" w14:textId="77777777" w:rsidR="00F45578" w:rsidRPr="00F45578" w:rsidRDefault="00F45578" w:rsidP="00F45578">
            <w:pPr>
              <w:spacing w:after="0" w:line="240" w:lineRule="auto"/>
              <w:jc w:val="left"/>
              <w:rPr>
                <w:rFonts w:eastAsia="Times New Roman" w:cs="Calibri"/>
                <w:b/>
                <w:bCs/>
                <w:color w:val="000000"/>
                <w:sz w:val="18"/>
                <w:szCs w:val="18"/>
                <w:lang w:val="en-US"/>
              </w:rPr>
            </w:pPr>
            <w:r w:rsidRPr="00F45578">
              <w:rPr>
                <w:rFonts w:eastAsia="Times New Roman" w:cs="Calibri"/>
                <w:b/>
                <w:bCs/>
                <w:color w:val="000000"/>
                <w:sz w:val="18"/>
                <w:szCs w:val="18"/>
                <w:lang w:val="en-US"/>
              </w:rPr>
              <w:t>4.5.1.01.</w:t>
            </w:r>
          </w:p>
        </w:tc>
        <w:tc>
          <w:tcPr>
            <w:tcW w:w="3358" w:type="dxa"/>
            <w:tcBorders>
              <w:top w:val="single" w:sz="8" w:space="0" w:color="auto"/>
              <w:left w:val="nil"/>
              <w:bottom w:val="nil"/>
              <w:right w:val="single" w:sz="8" w:space="0" w:color="auto"/>
            </w:tcBorders>
            <w:shd w:val="clear" w:color="000000" w:fill="FFFFFF"/>
            <w:noWrap/>
            <w:vAlign w:val="center"/>
            <w:hideMark/>
          </w:tcPr>
          <w:p w14:paraId="1C832CFA" w14:textId="77777777" w:rsidR="00F45578" w:rsidRPr="00F45578" w:rsidRDefault="00F45578" w:rsidP="00F45578">
            <w:pPr>
              <w:spacing w:after="0" w:line="240" w:lineRule="auto"/>
              <w:jc w:val="left"/>
              <w:rPr>
                <w:rFonts w:eastAsia="Times New Roman" w:cs="Calibri"/>
                <w:b/>
                <w:bCs/>
                <w:color w:val="000000"/>
                <w:sz w:val="18"/>
                <w:szCs w:val="18"/>
              </w:rPr>
            </w:pPr>
            <w:r w:rsidRPr="00F45578">
              <w:rPr>
                <w:rFonts w:eastAsia="Times New Roman" w:cs="Calibri"/>
                <w:b/>
                <w:bCs/>
                <w:color w:val="000000"/>
                <w:sz w:val="18"/>
                <w:szCs w:val="18"/>
              </w:rPr>
              <w:t>Intereses por equivalentes de efectivo</w:t>
            </w:r>
          </w:p>
        </w:tc>
        <w:tc>
          <w:tcPr>
            <w:tcW w:w="930" w:type="dxa"/>
            <w:tcBorders>
              <w:top w:val="single" w:sz="8" w:space="0" w:color="auto"/>
              <w:left w:val="nil"/>
              <w:bottom w:val="nil"/>
              <w:right w:val="single" w:sz="8" w:space="0" w:color="auto"/>
            </w:tcBorders>
            <w:shd w:val="clear" w:color="auto" w:fill="auto"/>
            <w:noWrap/>
            <w:vAlign w:val="center"/>
            <w:hideMark/>
          </w:tcPr>
          <w:p w14:paraId="6F614371" w14:textId="77777777" w:rsidR="00F45578" w:rsidRPr="00F45578" w:rsidRDefault="00F45578" w:rsidP="00F45578">
            <w:pPr>
              <w:spacing w:after="0" w:line="240" w:lineRule="auto"/>
              <w:jc w:val="left"/>
              <w:rPr>
                <w:rFonts w:eastAsia="Times New Roman" w:cs="Calibri"/>
                <w:color w:val="000000"/>
                <w:sz w:val="18"/>
                <w:szCs w:val="18"/>
              </w:rPr>
            </w:pPr>
            <w:r w:rsidRPr="00F45578">
              <w:rPr>
                <w:rFonts w:eastAsia="Times New Roman" w:cs="Calibri"/>
                <w:color w:val="000000"/>
                <w:sz w:val="18"/>
                <w:szCs w:val="18"/>
              </w:rPr>
              <w:t xml:space="preserve">   </w:t>
            </w:r>
          </w:p>
        </w:tc>
        <w:tc>
          <w:tcPr>
            <w:tcW w:w="945" w:type="dxa"/>
            <w:tcBorders>
              <w:top w:val="single" w:sz="8" w:space="0" w:color="auto"/>
              <w:left w:val="nil"/>
              <w:bottom w:val="nil"/>
              <w:right w:val="single" w:sz="8" w:space="0" w:color="auto"/>
            </w:tcBorders>
            <w:shd w:val="clear" w:color="000000" w:fill="FFFFFF"/>
            <w:noWrap/>
            <w:vAlign w:val="bottom"/>
            <w:hideMark/>
          </w:tcPr>
          <w:p w14:paraId="016530FA" w14:textId="77777777" w:rsidR="00F45578" w:rsidRPr="00F45578" w:rsidRDefault="00F45578" w:rsidP="00F45578">
            <w:pPr>
              <w:spacing w:after="0" w:line="240" w:lineRule="auto"/>
              <w:jc w:val="left"/>
              <w:rPr>
                <w:rFonts w:eastAsia="Times New Roman" w:cs="Calibri"/>
                <w:color w:val="000000"/>
                <w:sz w:val="18"/>
                <w:szCs w:val="18"/>
              </w:rPr>
            </w:pPr>
            <w:r w:rsidRPr="00F45578">
              <w:rPr>
                <w:rFonts w:eastAsia="Times New Roman" w:cs="Calibri"/>
                <w:color w:val="000000"/>
                <w:sz w:val="18"/>
                <w:szCs w:val="18"/>
              </w:rPr>
              <w:t xml:space="preserve">   </w:t>
            </w:r>
          </w:p>
        </w:tc>
        <w:tc>
          <w:tcPr>
            <w:tcW w:w="930" w:type="dxa"/>
            <w:tcBorders>
              <w:top w:val="single" w:sz="8" w:space="0" w:color="auto"/>
              <w:left w:val="nil"/>
              <w:bottom w:val="nil"/>
              <w:right w:val="single" w:sz="8" w:space="0" w:color="auto"/>
            </w:tcBorders>
            <w:shd w:val="clear" w:color="auto" w:fill="auto"/>
            <w:noWrap/>
            <w:vAlign w:val="center"/>
            <w:hideMark/>
          </w:tcPr>
          <w:p w14:paraId="2214A217" w14:textId="77777777" w:rsidR="00F45578" w:rsidRPr="00F45578" w:rsidRDefault="00F45578" w:rsidP="00F45578">
            <w:pPr>
              <w:spacing w:after="0" w:line="240" w:lineRule="auto"/>
              <w:jc w:val="left"/>
              <w:rPr>
                <w:rFonts w:eastAsia="Times New Roman" w:cs="Calibri"/>
                <w:color w:val="000000"/>
                <w:sz w:val="18"/>
                <w:szCs w:val="18"/>
              </w:rPr>
            </w:pPr>
            <w:r w:rsidRPr="00F45578">
              <w:rPr>
                <w:rFonts w:eastAsia="Times New Roman" w:cs="Calibri"/>
                <w:color w:val="000000"/>
                <w:sz w:val="18"/>
                <w:szCs w:val="18"/>
              </w:rPr>
              <w:t xml:space="preserve">   </w:t>
            </w:r>
          </w:p>
        </w:tc>
        <w:tc>
          <w:tcPr>
            <w:tcW w:w="930" w:type="dxa"/>
            <w:tcBorders>
              <w:top w:val="single" w:sz="8" w:space="0" w:color="auto"/>
              <w:left w:val="nil"/>
              <w:bottom w:val="nil"/>
              <w:right w:val="single" w:sz="8" w:space="0" w:color="auto"/>
            </w:tcBorders>
            <w:shd w:val="clear" w:color="auto" w:fill="auto"/>
            <w:noWrap/>
            <w:vAlign w:val="center"/>
            <w:hideMark/>
          </w:tcPr>
          <w:p w14:paraId="0C9B19D6" w14:textId="77777777" w:rsidR="00F45578" w:rsidRPr="00F45578" w:rsidRDefault="00F45578" w:rsidP="00F45578">
            <w:pPr>
              <w:spacing w:after="0" w:line="240" w:lineRule="auto"/>
              <w:jc w:val="center"/>
              <w:rPr>
                <w:rFonts w:eastAsia="Times New Roman" w:cs="Calibri"/>
                <w:color w:val="000000"/>
                <w:sz w:val="18"/>
                <w:szCs w:val="18"/>
              </w:rPr>
            </w:pPr>
            <w:r w:rsidRPr="00F45578">
              <w:rPr>
                <w:rFonts w:eastAsia="Times New Roman" w:cs="Calibri"/>
                <w:color w:val="000000"/>
                <w:sz w:val="18"/>
                <w:szCs w:val="18"/>
              </w:rPr>
              <w:t xml:space="preserve"> </w:t>
            </w:r>
          </w:p>
        </w:tc>
      </w:tr>
      <w:tr w:rsidR="00F45578" w:rsidRPr="00F45578" w14:paraId="5E6341DE" w14:textId="77777777" w:rsidTr="00F45578">
        <w:trPr>
          <w:trHeight w:val="290"/>
        </w:trPr>
        <w:tc>
          <w:tcPr>
            <w:tcW w:w="1735" w:type="dxa"/>
            <w:tcBorders>
              <w:top w:val="nil"/>
              <w:left w:val="single" w:sz="8" w:space="0" w:color="auto"/>
              <w:bottom w:val="nil"/>
              <w:right w:val="single" w:sz="8" w:space="0" w:color="auto"/>
            </w:tcBorders>
            <w:shd w:val="clear" w:color="auto" w:fill="auto"/>
            <w:noWrap/>
            <w:vAlign w:val="bottom"/>
            <w:hideMark/>
          </w:tcPr>
          <w:p w14:paraId="2E7D7052" w14:textId="77777777" w:rsidR="00F45578" w:rsidRPr="00F45578" w:rsidRDefault="00F45578" w:rsidP="00F45578">
            <w:pPr>
              <w:spacing w:after="0" w:line="240" w:lineRule="auto"/>
              <w:jc w:val="left"/>
              <w:rPr>
                <w:rFonts w:eastAsia="Times New Roman" w:cs="Calibri"/>
                <w:color w:val="000000"/>
                <w:sz w:val="18"/>
                <w:szCs w:val="18"/>
                <w:lang w:val="en-US"/>
              </w:rPr>
            </w:pPr>
            <w:r w:rsidRPr="00F45578">
              <w:rPr>
                <w:rFonts w:eastAsia="Times New Roman" w:cs="Calibri"/>
                <w:color w:val="000000"/>
                <w:sz w:val="18"/>
                <w:szCs w:val="18"/>
                <w:lang w:val="en-US"/>
              </w:rPr>
              <w:t>4.5.1.01.02.02.0.21101</w:t>
            </w:r>
          </w:p>
        </w:tc>
        <w:tc>
          <w:tcPr>
            <w:tcW w:w="3358" w:type="dxa"/>
            <w:tcBorders>
              <w:top w:val="nil"/>
              <w:left w:val="nil"/>
              <w:bottom w:val="nil"/>
              <w:right w:val="single" w:sz="8" w:space="0" w:color="auto"/>
            </w:tcBorders>
            <w:shd w:val="clear" w:color="auto" w:fill="auto"/>
            <w:noWrap/>
            <w:vAlign w:val="bottom"/>
            <w:hideMark/>
          </w:tcPr>
          <w:p w14:paraId="1D4AD757" w14:textId="77777777" w:rsidR="00F45578" w:rsidRPr="00F45578" w:rsidRDefault="00F45578" w:rsidP="00F45578">
            <w:pPr>
              <w:spacing w:after="0" w:line="240" w:lineRule="auto"/>
              <w:jc w:val="left"/>
              <w:rPr>
                <w:rFonts w:eastAsia="Times New Roman" w:cs="Calibri"/>
                <w:color w:val="000000"/>
                <w:sz w:val="18"/>
                <w:szCs w:val="18"/>
              </w:rPr>
            </w:pPr>
            <w:r w:rsidRPr="00F45578">
              <w:rPr>
                <w:rFonts w:eastAsia="Times New Roman" w:cs="Calibri"/>
                <w:color w:val="000000"/>
                <w:sz w:val="18"/>
                <w:szCs w:val="18"/>
              </w:rPr>
              <w:t>BANCO DE COSTA RICA (BCR)</w:t>
            </w:r>
          </w:p>
        </w:tc>
        <w:tc>
          <w:tcPr>
            <w:tcW w:w="930" w:type="dxa"/>
            <w:tcBorders>
              <w:top w:val="nil"/>
              <w:left w:val="nil"/>
              <w:bottom w:val="nil"/>
              <w:right w:val="single" w:sz="8" w:space="0" w:color="auto"/>
            </w:tcBorders>
            <w:shd w:val="clear" w:color="000000" w:fill="FFFFFF"/>
            <w:noWrap/>
            <w:vAlign w:val="bottom"/>
            <w:hideMark/>
          </w:tcPr>
          <w:p w14:paraId="5B33E2C2" w14:textId="77777777" w:rsidR="00F45578" w:rsidRPr="00F45578" w:rsidRDefault="00F45578" w:rsidP="00F45578">
            <w:pPr>
              <w:spacing w:after="0" w:line="240" w:lineRule="auto"/>
              <w:jc w:val="right"/>
              <w:rPr>
                <w:rFonts w:eastAsia="Times New Roman" w:cs="Calibri"/>
                <w:color w:val="000000"/>
                <w:sz w:val="18"/>
                <w:szCs w:val="18"/>
                <w:lang w:val="en-US"/>
              </w:rPr>
            </w:pPr>
            <w:r w:rsidRPr="00F45578">
              <w:rPr>
                <w:rFonts w:ascii="Arial" w:eastAsia="Times New Roman" w:hAnsi="Arial" w:cs="Arial"/>
                <w:color w:val="000000"/>
                <w:sz w:val="18"/>
                <w:szCs w:val="18"/>
                <w:lang w:val="en-US"/>
              </w:rPr>
              <w:t>₡</w:t>
            </w:r>
            <w:r w:rsidRPr="00F45578">
              <w:rPr>
                <w:rFonts w:eastAsia="Times New Roman" w:cs="Calibri"/>
                <w:color w:val="000000"/>
                <w:sz w:val="18"/>
                <w:szCs w:val="18"/>
                <w:lang w:val="en-US"/>
              </w:rPr>
              <w:t>0,02</w:t>
            </w:r>
          </w:p>
        </w:tc>
        <w:tc>
          <w:tcPr>
            <w:tcW w:w="945" w:type="dxa"/>
            <w:tcBorders>
              <w:top w:val="nil"/>
              <w:left w:val="nil"/>
              <w:bottom w:val="nil"/>
              <w:right w:val="single" w:sz="8" w:space="0" w:color="auto"/>
            </w:tcBorders>
            <w:shd w:val="clear" w:color="000000" w:fill="FFFFFF"/>
            <w:noWrap/>
            <w:vAlign w:val="bottom"/>
            <w:hideMark/>
          </w:tcPr>
          <w:p w14:paraId="708F0CDF" w14:textId="77777777" w:rsidR="00F45578" w:rsidRPr="00F45578" w:rsidRDefault="00F45578" w:rsidP="00F45578">
            <w:pPr>
              <w:spacing w:after="0" w:line="240" w:lineRule="auto"/>
              <w:jc w:val="right"/>
              <w:rPr>
                <w:rFonts w:eastAsia="Times New Roman" w:cs="Calibri"/>
                <w:color w:val="000000"/>
                <w:sz w:val="18"/>
                <w:szCs w:val="18"/>
                <w:lang w:val="en-US"/>
              </w:rPr>
            </w:pPr>
            <w:r w:rsidRPr="00F45578">
              <w:rPr>
                <w:rFonts w:ascii="Arial" w:eastAsia="Times New Roman" w:hAnsi="Arial" w:cs="Arial"/>
                <w:color w:val="000000"/>
                <w:sz w:val="18"/>
                <w:szCs w:val="18"/>
                <w:lang w:val="en-US"/>
              </w:rPr>
              <w:t>₡</w:t>
            </w:r>
            <w:r w:rsidRPr="00F45578">
              <w:rPr>
                <w:rFonts w:eastAsia="Times New Roman" w:cs="Calibri"/>
                <w:color w:val="000000"/>
                <w:sz w:val="18"/>
                <w:szCs w:val="18"/>
                <w:lang w:val="en-US"/>
              </w:rPr>
              <w:t>0,05</w:t>
            </w:r>
          </w:p>
        </w:tc>
        <w:tc>
          <w:tcPr>
            <w:tcW w:w="930" w:type="dxa"/>
            <w:tcBorders>
              <w:top w:val="nil"/>
              <w:left w:val="nil"/>
              <w:bottom w:val="nil"/>
              <w:right w:val="single" w:sz="8" w:space="0" w:color="auto"/>
            </w:tcBorders>
            <w:shd w:val="clear" w:color="000000" w:fill="FFFFFF"/>
            <w:noWrap/>
            <w:vAlign w:val="bottom"/>
            <w:hideMark/>
          </w:tcPr>
          <w:p w14:paraId="3AEDA7D2" w14:textId="77777777" w:rsidR="00F45578" w:rsidRPr="00F45578" w:rsidRDefault="00F45578" w:rsidP="00F45578">
            <w:pPr>
              <w:spacing w:after="0" w:line="240" w:lineRule="auto"/>
              <w:jc w:val="right"/>
              <w:rPr>
                <w:rFonts w:eastAsia="Times New Roman" w:cs="Calibri"/>
                <w:color w:val="000000"/>
                <w:sz w:val="18"/>
                <w:szCs w:val="18"/>
                <w:lang w:val="en-US"/>
              </w:rPr>
            </w:pPr>
            <w:r w:rsidRPr="00F45578">
              <w:rPr>
                <w:rFonts w:eastAsia="Times New Roman" w:cs="Calibri"/>
                <w:color w:val="000000"/>
                <w:sz w:val="18"/>
                <w:szCs w:val="18"/>
                <w:lang w:val="en-US"/>
              </w:rPr>
              <w:t>-</w:t>
            </w:r>
            <w:r w:rsidRPr="00F45578">
              <w:rPr>
                <w:rFonts w:ascii="Arial" w:eastAsia="Times New Roman" w:hAnsi="Arial" w:cs="Arial"/>
                <w:color w:val="000000"/>
                <w:sz w:val="18"/>
                <w:szCs w:val="18"/>
                <w:lang w:val="en-US"/>
              </w:rPr>
              <w:t>₡</w:t>
            </w:r>
            <w:r w:rsidRPr="00F45578">
              <w:rPr>
                <w:rFonts w:eastAsia="Times New Roman" w:cs="Calibri"/>
                <w:color w:val="000000"/>
                <w:sz w:val="18"/>
                <w:szCs w:val="18"/>
                <w:lang w:val="en-US"/>
              </w:rPr>
              <w:t>0,03</w:t>
            </w:r>
          </w:p>
        </w:tc>
        <w:tc>
          <w:tcPr>
            <w:tcW w:w="930" w:type="dxa"/>
            <w:tcBorders>
              <w:top w:val="nil"/>
              <w:left w:val="nil"/>
              <w:bottom w:val="nil"/>
              <w:right w:val="single" w:sz="8" w:space="0" w:color="auto"/>
            </w:tcBorders>
            <w:shd w:val="clear" w:color="auto" w:fill="auto"/>
            <w:noWrap/>
            <w:vAlign w:val="center"/>
            <w:hideMark/>
          </w:tcPr>
          <w:p w14:paraId="4A4BF0D7" w14:textId="77777777" w:rsidR="00F45578" w:rsidRPr="00F45578" w:rsidRDefault="00F45578" w:rsidP="00F45578">
            <w:pPr>
              <w:spacing w:after="0" w:line="240" w:lineRule="auto"/>
              <w:jc w:val="center"/>
              <w:rPr>
                <w:rFonts w:eastAsia="Times New Roman" w:cs="Calibri"/>
                <w:color w:val="000000"/>
                <w:sz w:val="18"/>
                <w:szCs w:val="18"/>
                <w:lang w:val="en-US"/>
              </w:rPr>
            </w:pPr>
            <w:r w:rsidRPr="00F45578">
              <w:rPr>
                <w:rFonts w:eastAsia="Times New Roman" w:cs="Calibri"/>
                <w:color w:val="000000"/>
                <w:sz w:val="18"/>
                <w:szCs w:val="18"/>
                <w:lang w:val="en-US"/>
              </w:rPr>
              <w:t>-52,24%</w:t>
            </w:r>
          </w:p>
        </w:tc>
      </w:tr>
      <w:tr w:rsidR="00F45578" w:rsidRPr="00F45578" w14:paraId="29617735" w14:textId="77777777" w:rsidTr="00F45578">
        <w:trPr>
          <w:trHeight w:val="290"/>
        </w:trPr>
        <w:tc>
          <w:tcPr>
            <w:tcW w:w="1735" w:type="dxa"/>
            <w:tcBorders>
              <w:top w:val="nil"/>
              <w:left w:val="single" w:sz="8" w:space="0" w:color="auto"/>
              <w:bottom w:val="nil"/>
              <w:right w:val="single" w:sz="8" w:space="0" w:color="auto"/>
            </w:tcBorders>
            <w:shd w:val="clear" w:color="auto" w:fill="auto"/>
            <w:noWrap/>
            <w:vAlign w:val="bottom"/>
            <w:hideMark/>
          </w:tcPr>
          <w:p w14:paraId="20E2D2B8" w14:textId="77777777" w:rsidR="00F45578" w:rsidRPr="00F45578" w:rsidRDefault="00F45578" w:rsidP="00F45578">
            <w:pPr>
              <w:spacing w:after="0" w:line="240" w:lineRule="auto"/>
              <w:jc w:val="left"/>
              <w:rPr>
                <w:rFonts w:eastAsia="Times New Roman" w:cs="Calibri"/>
                <w:color w:val="000000"/>
                <w:sz w:val="18"/>
                <w:szCs w:val="18"/>
                <w:lang w:val="en-US"/>
              </w:rPr>
            </w:pPr>
            <w:r w:rsidRPr="00F45578">
              <w:rPr>
                <w:rFonts w:eastAsia="Times New Roman" w:cs="Calibri"/>
                <w:color w:val="000000"/>
                <w:sz w:val="18"/>
                <w:szCs w:val="18"/>
                <w:lang w:val="en-US"/>
              </w:rPr>
              <w:t>4.5.1.01.02.02.0.21103</w:t>
            </w:r>
          </w:p>
        </w:tc>
        <w:tc>
          <w:tcPr>
            <w:tcW w:w="3358" w:type="dxa"/>
            <w:tcBorders>
              <w:top w:val="nil"/>
              <w:left w:val="nil"/>
              <w:bottom w:val="nil"/>
              <w:right w:val="single" w:sz="8" w:space="0" w:color="auto"/>
            </w:tcBorders>
            <w:shd w:val="clear" w:color="auto" w:fill="auto"/>
            <w:noWrap/>
            <w:vAlign w:val="bottom"/>
            <w:hideMark/>
          </w:tcPr>
          <w:p w14:paraId="38BA93FE" w14:textId="77777777" w:rsidR="00F45578" w:rsidRPr="00F45578" w:rsidRDefault="00F45578" w:rsidP="00F45578">
            <w:pPr>
              <w:spacing w:after="0" w:line="240" w:lineRule="auto"/>
              <w:jc w:val="left"/>
              <w:rPr>
                <w:rFonts w:eastAsia="Times New Roman" w:cs="Calibri"/>
                <w:color w:val="000000"/>
                <w:sz w:val="18"/>
                <w:szCs w:val="18"/>
              </w:rPr>
            </w:pPr>
            <w:r w:rsidRPr="00F45578">
              <w:rPr>
                <w:rFonts w:eastAsia="Times New Roman" w:cs="Calibri"/>
                <w:color w:val="000000"/>
                <w:sz w:val="18"/>
                <w:szCs w:val="18"/>
              </w:rPr>
              <w:t>BANCO NACIONAL DE COSTA RICA (BNCR)</w:t>
            </w:r>
          </w:p>
        </w:tc>
        <w:tc>
          <w:tcPr>
            <w:tcW w:w="930" w:type="dxa"/>
            <w:tcBorders>
              <w:top w:val="nil"/>
              <w:left w:val="nil"/>
              <w:bottom w:val="nil"/>
              <w:right w:val="single" w:sz="8" w:space="0" w:color="auto"/>
            </w:tcBorders>
            <w:shd w:val="clear" w:color="000000" w:fill="FFFFFF"/>
            <w:noWrap/>
            <w:vAlign w:val="bottom"/>
            <w:hideMark/>
          </w:tcPr>
          <w:p w14:paraId="68CC451F" w14:textId="77777777" w:rsidR="00F45578" w:rsidRPr="00F45578" w:rsidRDefault="00F45578" w:rsidP="00F45578">
            <w:pPr>
              <w:spacing w:after="0" w:line="240" w:lineRule="auto"/>
              <w:jc w:val="right"/>
              <w:rPr>
                <w:rFonts w:eastAsia="Times New Roman" w:cs="Calibri"/>
                <w:color w:val="000000"/>
                <w:sz w:val="18"/>
                <w:szCs w:val="18"/>
                <w:lang w:val="en-US"/>
              </w:rPr>
            </w:pPr>
            <w:r w:rsidRPr="00F45578">
              <w:rPr>
                <w:rFonts w:eastAsia="Times New Roman" w:cs="Calibri"/>
                <w:color w:val="000000"/>
                <w:sz w:val="18"/>
                <w:szCs w:val="18"/>
                <w:lang w:val="en-US"/>
              </w:rPr>
              <w:t>1 418,79</w:t>
            </w:r>
          </w:p>
        </w:tc>
        <w:tc>
          <w:tcPr>
            <w:tcW w:w="945" w:type="dxa"/>
            <w:tcBorders>
              <w:top w:val="nil"/>
              <w:left w:val="nil"/>
              <w:bottom w:val="nil"/>
              <w:right w:val="single" w:sz="8" w:space="0" w:color="auto"/>
            </w:tcBorders>
            <w:shd w:val="clear" w:color="000000" w:fill="FFFFFF"/>
            <w:noWrap/>
            <w:vAlign w:val="bottom"/>
            <w:hideMark/>
          </w:tcPr>
          <w:p w14:paraId="7F84ABE5" w14:textId="77777777" w:rsidR="00F45578" w:rsidRPr="00F45578" w:rsidRDefault="00F45578" w:rsidP="00F45578">
            <w:pPr>
              <w:spacing w:after="0" w:line="240" w:lineRule="auto"/>
              <w:jc w:val="right"/>
              <w:rPr>
                <w:rFonts w:eastAsia="Times New Roman" w:cs="Calibri"/>
                <w:color w:val="000000"/>
                <w:sz w:val="18"/>
                <w:szCs w:val="18"/>
                <w:lang w:val="en-US"/>
              </w:rPr>
            </w:pPr>
            <w:r w:rsidRPr="00F45578">
              <w:rPr>
                <w:rFonts w:eastAsia="Times New Roman" w:cs="Calibri"/>
                <w:color w:val="000000"/>
                <w:sz w:val="18"/>
                <w:szCs w:val="18"/>
                <w:lang w:val="en-US"/>
              </w:rPr>
              <w:t>651,89</w:t>
            </w:r>
          </w:p>
        </w:tc>
        <w:tc>
          <w:tcPr>
            <w:tcW w:w="930" w:type="dxa"/>
            <w:tcBorders>
              <w:top w:val="nil"/>
              <w:left w:val="nil"/>
              <w:bottom w:val="nil"/>
              <w:right w:val="single" w:sz="8" w:space="0" w:color="auto"/>
            </w:tcBorders>
            <w:shd w:val="clear" w:color="000000" w:fill="FFFFFF"/>
            <w:noWrap/>
            <w:vAlign w:val="bottom"/>
            <w:hideMark/>
          </w:tcPr>
          <w:p w14:paraId="1FC37724" w14:textId="77777777" w:rsidR="00F45578" w:rsidRPr="00F45578" w:rsidRDefault="00F45578" w:rsidP="00F45578">
            <w:pPr>
              <w:spacing w:after="0" w:line="240" w:lineRule="auto"/>
              <w:jc w:val="right"/>
              <w:rPr>
                <w:rFonts w:eastAsia="Times New Roman" w:cs="Calibri"/>
                <w:color w:val="000000"/>
                <w:sz w:val="18"/>
                <w:szCs w:val="18"/>
                <w:lang w:val="en-US"/>
              </w:rPr>
            </w:pPr>
            <w:r w:rsidRPr="00F45578">
              <w:rPr>
                <w:rFonts w:eastAsia="Times New Roman" w:cs="Calibri"/>
                <w:color w:val="000000"/>
                <w:sz w:val="18"/>
                <w:szCs w:val="18"/>
                <w:lang w:val="en-US"/>
              </w:rPr>
              <w:t>766,90</w:t>
            </w:r>
          </w:p>
        </w:tc>
        <w:tc>
          <w:tcPr>
            <w:tcW w:w="930" w:type="dxa"/>
            <w:tcBorders>
              <w:top w:val="nil"/>
              <w:left w:val="nil"/>
              <w:bottom w:val="nil"/>
              <w:right w:val="single" w:sz="8" w:space="0" w:color="auto"/>
            </w:tcBorders>
            <w:shd w:val="clear" w:color="auto" w:fill="auto"/>
            <w:noWrap/>
            <w:vAlign w:val="center"/>
            <w:hideMark/>
          </w:tcPr>
          <w:p w14:paraId="28BE58CD" w14:textId="77777777" w:rsidR="00F45578" w:rsidRPr="00F45578" w:rsidRDefault="00F45578" w:rsidP="00F45578">
            <w:pPr>
              <w:spacing w:after="0" w:line="240" w:lineRule="auto"/>
              <w:jc w:val="center"/>
              <w:rPr>
                <w:rFonts w:eastAsia="Times New Roman" w:cs="Calibri"/>
                <w:color w:val="000000"/>
                <w:sz w:val="18"/>
                <w:szCs w:val="18"/>
                <w:lang w:val="en-US"/>
              </w:rPr>
            </w:pPr>
            <w:r w:rsidRPr="00F45578">
              <w:rPr>
                <w:rFonts w:eastAsia="Times New Roman" w:cs="Calibri"/>
                <w:color w:val="000000"/>
                <w:sz w:val="18"/>
                <w:szCs w:val="18"/>
                <w:lang w:val="en-US"/>
              </w:rPr>
              <w:t>117,64%</w:t>
            </w:r>
          </w:p>
        </w:tc>
      </w:tr>
      <w:tr w:rsidR="00F45578" w:rsidRPr="00F45578" w14:paraId="0C04D674" w14:textId="77777777" w:rsidTr="00F45578">
        <w:trPr>
          <w:trHeight w:val="290"/>
        </w:trPr>
        <w:tc>
          <w:tcPr>
            <w:tcW w:w="1735" w:type="dxa"/>
            <w:tcBorders>
              <w:top w:val="nil"/>
              <w:left w:val="single" w:sz="8" w:space="0" w:color="auto"/>
              <w:bottom w:val="nil"/>
              <w:right w:val="single" w:sz="8" w:space="0" w:color="auto"/>
            </w:tcBorders>
            <w:shd w:val="clear" w:color="auto" w:fill="auto"/>
            <w:noWrap/>
            <w:vAlign w:val="bottom"/>
            <w:hideMark/>
          </w:tcPr>
          <w:p w14:paraId="1B26F1B7" w14:textId="77777777" w:rsidR="00F45578" w:rsidRPr="00F45578" w:rsidRDefault="00F45578" w:rsidP="00F45578">
            <w:pPr>
              <w:spacing w:after="0" w:line="240" w:lineRule="auto"/>
              <w:jc w:val="left"/>
              <w:rPr>
                <w:rFonts w:eastAsia="Times New Roman" w:cs="Calibri"/>
                <w:b/>
                <w:bCs/>
                <w:color w:val="000000"/>
                <w:sz w:val="18"/>
                <w:szCs w:val="18"/>
                <w:lang w:val="en-US"/>
              </w:rPr>
            </w:pPr>
            <w:r w:rsidRPr="00F45578">
              <w:rPr>
                <w:rFonts w:eastAsia="Times New Roman" w:cs="Calibri"/>
                <w:b/>
                <w:bCs/>
                <w:color w:val="000000"/>
                <w:sz w:val="18"/>
                <w:szCs w:val="18"/>
                <w:lang w:val="en-US"/>
              </w:rPr>
              <w:t>4.5.1.98.</w:t>
            </w:r>
          </w:p>
        </w:tc>
        <w:tc>
          <w:tcPr>
            <w:tcW w:w="3358" w:type="dxa"/>
            <w:tcBorders>
              <w:top w:val="nil"/>
              <w:left w:val="nil"/>
              <w:bottom w:val="nil"/>
              <w:right w:val="single" w:sz="8" w:space="0" w:color="auto"/>
            </w:tcBorders>
            <w:shd w:val="clear" w:color="auto" w:fill="auto"/>
            <w:noWrap/>
            <w:vAlign w:val="bottom"/>
            <w:hideMark/>
          </w:tcPr>
          <w:p w14:paraId="4013BB91" w14:textId="77777777" w:rsidR="00F45578" w:rsidRPr="00F45578" w:rsidRDefault="00F45578" w:rsidP="00F45578">
            <w:pPr>
              <w:spacing w:after="0" w:line="240" w:lineRule="auto"/>
              <w:jc w:val="left"/>
              <w:rPr>
                <w:rFonts w:eastAsia="Times New Roman" w:cs="Calibri"/>
                <w:b/>
                <w:bCs/>
                <w:color w:val="000000"/>
                <w:sz w:val="18"/>
                <w:szCs w:val="18"/>
              </w:rPr>
            </w:pPr>
            <w:r w:rsidRPr="00F45578">
              <w:rPr>
                <w:rFonts w:eastAsia="Times New Roman" w:cs="Calibri"/>
                <w:b/>
                <w:bCs/>
                <w:color w:val="000000"/>
                <w:sz w:val="18"/>
                <w:szCs w:val="18"/>
              </w:rPr>
              <w:t>Resultados positivos de otras inversiones</w:t>
            </w:r>
          </w:p>
        </w:tc>
        <w:tc>
          <w:tcPr>
            <w:tcW w:w="930" w:type="dxa"/>
            <w:tcBorders>
              <w:top w:val="nil"/>
              <w:left w:val="nil"/>
              <w:bottom w:val="nil"/>
              <w:right w:val="single" w:sz="8" w:space="0" w:color="auto"/>
            </w:tcBorders>
            <w:shd w:val="clear" w:color="000000" w:fill="FFFFFF"/>
            <w:noWrap/>
            <w:vAlign w:val="bottom"/>
            <w:hideMark/>
          </w:tcPr>
          <w:p w14:paraId="500F8B75" w14:textId="77777777" w:rsidR="00F45578" w:rsidRPr="00F45578" w:rsidRDefault="00F45578" w:rsidP="00F45578">
            <w:pPr>
              <w:spacing w:after="0" w:line="240" w:lineRule="auto"/>
              <w:jc w:val="left"/>
              <w:rPr>
                <w:rFonts w:eastAsia="Times New Roman" w:cs="Calibri"/>
                <w:color w:val="000000"/>
                <w:sz w:val="18"/>
                <w:szCs w:val="18"/>
              </w:rPr>
            </w:pPr>
            <w:r w:rsidRPr="00F45578">
              <w:rPr>
                <w:rFonts w:eastAsia="Times New Roman" w:cs="Calibri"/>
                <w:color w:val="000000"/>
                <w:sz w:val="18"/>
                <w:szCs w:val="18"/>
              </w:rPr>
              <w:t> </w:t>
            </w:r>
          </w:p>
        </w:tc>
        <w:tc>
          <w:tcPr>
            <w:tcW w:w="945" w:type="dxa"/>
            <w:tcBorders>
              <w:top w:val="nil"/>
              <w:left w:val="nil"/>
              <w:bottom w:val="nil"/>
              <w:right w:val="single" w:sz="8" w:space="0" w:color="auto"/>
            </w:tcBorders>
            <w:shd w:val="clear" w:color="auto" w:fill="auto"/>
            <w:noWrap/>
            <w:vAlign w:val="center"/>
            <w:hideMark/>
          </w:tcPr>
          <w:p w14:paraId="7F65E2EA" w14:textId="77777777" w:rsidR="00F45578" w:rsidRPr="00F45578" w:rsidRDefault="00F45578" w:rsidP="00F45578">
            <w:pPr>
              <w:spacing w:after="0" w:line="240" w:lineRule="auto"/>
              <w:jc w:val="left"/>
              <w:rPr>
                <w:rFonts w:eastAsia="Times New Roman" w:cs="Calibri"/>
                <w:color w:val="000000"/>
                <w:sz w:val="18"/>
                <w:szCs w:val="18"/>
              </w:rPr>
            </w:pPr>
            <w:r w:rsidRPr="00F45578">
              <w:rPr>
                <w:rFonts w:eastAsia="Times New Roman" w:cs="Calibri"/>
                <w:color w:val="000000"/>
                <w:sz w:val="18"/>
                <w:szCs w:val="18"/>
              </w:rPr>
              <w:t> </w:t>
            </w:r>
          </w:p>
        </w:tc>
        <w:tc>
          <w:tcPr>
            <w:tcW w:w="930" w:type="dxa"/>
            <w:tcBorders>
              <w:top w:val="nil"/>
              <w:left w:val="nil"/>
              <w:bottom w:val="nil"/>
              <w:right w:val="single" w:sz="8" w:space="0" w:color="auto"/>
            </w:tcBorders>
            <w:shd w:val="clear" w:color="auto" w:fill="auto"/>
            <w:noWrap/>
            <w:vAlign w:val="center"/>
            <w:hideMark/>
          </w:tcPr>
          <w:p w14:paraId="02BF1BEE" w14:textId="77777777" w:rsidR="00F45578" w:rsidRPr="00F45578" w:rsidRDefault="00F45578" w:rsidP="00F45578">
            <w:pPr>
              <w:spacing w:after="0" w:line="240" w:lineRule="auto"/>
              <w:jc w:val="left"/>
              <w:rPr>
                <w:rFonts w:eastAsia="Times New Roman" w:cs="Calibri"/>
                <w:color w:val="000000"/>
                <w:sz w:val="18"/>
                <w:szCs w:val="18"/>
              </w:rPr>
            </w:pPr>
            <w:r w:rsidRPr="00F45578">
              <w:rPr>
                <w:rFonts w:eastAsia="Times New Roman" w:cs="Calibri"/>
                <w:color w:val="000000"/>
                <w:sz w:val="18"/>
                <w:szCs w:val="18"/>
              </w:rPr>
              <w:t> </w:t>
            </w:r>
          </w:p>
        </w:tc>
        <w:tc>
          <w:tcPr>
            <w:tcW w:w="930" w:type="dxa"/>
            <w:tcBorders>
              <w:top w:val="nil"/>
              <w:left w:val="nil"/>
              <w:bottom w:val="nil"/>
              <w:right w:val="single" w:sz="8" w:space="0" w:color="auto"/>
            </w:tcBorders>
            <w:shd w:val="clear" w:color="auto" w:fill="auto"/>
            <w:noWrap/>
            <w:vAlign w:val="center"/>
            <w:hideMark/>
          </w:tcPr>
          <w:p w14:paraId="789F22BE" w14:textId="77777777" w:rsidR="00F45578" w:rsidRPr="00F45578" w:rsidRDefault="00F45578" w:rsidP="00F45578">
            <w:pPr>
              <w:spacing w:after="0" w:line="240" w:lineRule="auto"/>
              <w:jc w:val="center"/>
              <w:rPr>
                <w:rFonts w:eastAsia="Times New Roman" w:cs="Calibri"/>
                <w:color w:val="000000"/>
                <w:sz w:val="18"/>
                <w:szCs w:val="18"/>
              </w:rPr>
            </w:pPr>
            <w:r w:rsidRPr="00F45578">
              <w:rPr>
                <w:rFonts w:eastAsia="Times New Roman" w:cs="Calibri"/>
                <w:color w:val="000000"/>
                <w:sz w:val="18"/>
                <w:szCs w:val="18"/>
              </w:rPr>
              <w:t> </w:t>
            </w:r>
          </w:p>
        </w:tc>
      </w:tr>
      <w:tr w:rsidR="00F45578" w:rsidRPr="00F45578" w14:paraId="6B1DA26D" w14:textId="77777777" w:rsidTr="00F45578">
        <w:trPr>
          <w:trHeight w:val="290"/>
        </w:trPr>
        <w:tc>
          <w:tcPr>
            <w:tcW w:w="1735" w:type="dxa"/>
            <w:tcBorders>
              <w:top w:val="nil"/>
              <w:left w:val="single" w:sz="8" w:space="0" w:color="auto"/>
              <w:bottom w:val="nil"/>
              <w:right w:val="single" w:sz="8" w:space="0" w:color="auto"/>
            </w:tcBorders>
            <w:shd w:val="clear" w:color="auto" w:fill="auto"/>
            <w:noWrap/>
            <w:vAlign w:val="bottom"/>
            <w:hideMark/>
          </w:tcPr>
          <w:p w14:paraId="30A3DB43" w14:textId="77777777" w:rsidR="00F45578" w:rsidRPr="00F45578" w:rsidRDefault="00F45578" w:rsidP="00F45578">
            <w:pPr>
              <w:spacing w:after="0" w:line="240" w:lineRule="auto"/>
              <w:jc w:val="left"/>
              <w:rPr>
                <w:rFonts w:eastAsia="Times New Roman" w:cs="Calibri"/>
                <w:color w:val="000000"/>
                <w:sz w:val="18"/>
                <w:szCs w:val="18"/>
                <w:lang w:val="en-US"/>
              </w:rPr>
            </w:pPr>
            <w:r w:rsidRPr="00F45578">
              <w:rPr>
                <w:rFonts w:eastAsia="Times New Roman" w:cs="Calibri"/>
                <w:color w:val="000000"/>
                <w:sz w:val="18"/>
                <w:szCs w:val="18"/>
                <w:lang w:val="en-US"/>
              </w:rPr>
              <w:t>4.5.1.98.99.02.0.99999</w:t>
            </w:r>
          </w:p>
        </w:tc>
        <w:tc>
          <w:tcPr>
            <w:tcW w:w="3358" w:type="dxa"/>
            <w:tcBorders>
              <w:top w:val="nil"/>
              <w:left w:val="nil"/>
              <w:bottom w:val="nil"/>
              <w:right w:val="single" w:sz="8" w:space="0" w:color="auto"/>
            </w:tcBorders>
            <w:shd w:val="clear" w:color="auto" w:fill="auto"/>
            <w:noWrap/>
            <w:vAlign w:val="bottom"/>
            <w:hideMark/>
          </w:tcPr>
          <w:p w14:paraId="191F58E2" w14:textId="77777777" w:rsidR="00F45578" w:rsidRPr="00F45578" w:rsidRDefault="00F45578" w:rsidP="00F45578">
            <w:pPr>
              <w:spacing w:after="0" w:line="240" w:lineRule="auto"/>
              <w:jc w:val="left"/>
              <w:rPr>
                <w:rFonts w:eastAsia="Times New Roman" w:cs="Calibri"/>
                <w:color w:val="000000"/>
                <w:sz w:val="18"/>
                <w:szCs w:val="18"/>
              </w:rPr>
            </w:pPr>
            <w:r w:rsidRPr="00F45578">
              <w:rPr>
                <w:rFonts w:eastAsia="Times New Roman" w:cs="Calibri"/>
                <w:color w:val="000000"/>
                <w:sz w:val="18"/>
                <w:szCs w:val="18"/>
              </w:rPr>
              <w:t>Intereses por inversiones varias en el sector público interno</w:t>
            </w:r>
          </w:p>
        </w:tc>
        <w:tc>
          <w:tcPr>
            <w:tcW w:w="930" w:type="dxa"/>
            <w:tcBorders>
              <w:top w:val="nil"/>
              <w:left w:val="nil"/>
              <w:bottom w:val="nil"/>
              <w:right w:val="single" w:sz="8" w:space="0" w:color="auto"/>
            </w:tcBorders>
            <w:shd w:val="clear" w:color="000000" w:fill="FFFFFF"/>
            <w:noWrap/>
            <w:vAlign w:val="bottom"/>
            <w:hideMark/>
          </w:tcPr>
          <w:p w14:paraId="62A18AC6" w14:textId="77777777" w:rsidR="00F45578" w:rsidRPr="00F45578" w:rsidRDefault="00F45578" w:rsidP="00F45578">
            <w:pPr>
              <w:spacing w:after="0" w:line="240" w:lineRule="auto"/>
              <w:jc w:val="right"/>
              <w:rPr>
                <w:rFonts w:eastAsia="Times New Roman" w:cs="Calibri"/>
                <w:b/>
                <w:bCs/>
                <w:color w:val="000000"/>
                <w:sz w:val="18"/>
                <w:szCs w:val="18"/>
                <w:lang w:val="en-US"/>
              </w:rPr>
            </w:pPr>
            <w:r w:rsidRPr="00F45578">
              <w:rPr>
                <w:rFonts w:eastAsia="Times New Roman" w:cs="Calibri"/>
                <w:b/>
                <w:bCs/>
                <w:color w:val="000000"/>
                <w:sz w:val="18"/>
                <w:szCs w:val="18"/>
                <w:lang w:val="en-US"/>
              </w:rPr>
              <w:t>9 313,71</w:t>
            </w:r>
          </w:p>
        </w:tc>
        <w:tc>
          <w:tcPr>
            <w:tcW w:w="945" w:type="dxa"/>
            <w:tcBorders>
              <w:top w:val="nil"/>
              <w:left w:val="nil"/>
              <w:bottom w:val="nil"/>
              <w:right w:val="single" w:sz="8" w:space="0" w:color="auto"/>
            </w:tcBorders>
            <w:shd w:val="clear" w:color="000000" w:fill="FFFFFF"/>
            <w:noWrap/>
            <w:vAlign w:val="bottom"/>
            <w:hideMark/>
          </w:tcPr>
          <w:p w14:paraId="6A55C25E" w14:textId="77777777" w:rsidR="00F45578" w:rsidRPr="00F45578" w:rsidRDefault="00F45578" w:rsidP="00F45578">
            <w:pPr>
              <w:spacing w:after="0" w:line="240" w:lineRule="auto"/>
              <w:jc w:val="right"/>
              <w:rPr>
                <w:rFonts w:eastAsia="Times New Roman" w:cs="Calibri"/>
                <w:b/>
                <w:bCs/>
                <w:color w:val="000000"/>
                <w:sz w:val="18"/>
                <w:szCs w:val="18"/>
                <w:lang w:val="en-US"/>
              </w:rPr>
            </w:pPr>
            <w:r w:rsidRPr="00F45578">
              <w:rPr>
                <w:rFonts w:eastAsia="Times New Roman" w:cs="Calibri"/>
                <w:b/>
                <w:bCs/>
                <w:color w:val="000000"/>
                <w:sz w:val="18"/>
                <w:szCs w:val="18"/>
                <w:lang w:val="en-US"/>
              </w:rPr>
              <w:t>12 357,32</w:t>
            </w:r>
          </w:p>
        </w:tc>
        <w:tc>
          <w:tcPr>
            <w:tcW w:w="930" w:type="dxa"/>
            <w:tcBorders>
              <w:top w:val="nil"/>
              <w:left w:val="nil"/>
              <w:bottom w:val="nil"/>
              <w:right w:val="single" w:sz="8" w:space="0" w:color="auto"/>
            </w:tcBorders>
            <w:shd w:val="clear" w:color="000000" w:fill="FFFFFF"/>
            <w:noWrap/>
            <w:vAlign w:val="bottom"/>
            <w:hideMark/>
          </w:tcPr>
          <w:p w14:paraId="770E7453" w14:textId="77777777" w:rsidR="00F45578" w:rsidRPr="00F45578" w:rsidRDefault="00F45578" w:rsidP="00F45578">
            <w:pPr>
              <w:spacing w:after="0" w:line="240" w:lineRule="auto"/>
              <w:jc w:val="right"/>
              <w:rPr>
                <w:rFonts w:eastAsia="Times New Roman" w:cs="Calibri"/>
                <w:color w:val="000000"/>
                <w:sz w:val="18"/>
                <w:szCs w:val="18"/>
                <w:lang w:val="en-US"/>
              </w:rPr>
            </w:pPr>
            <w:r w:rsidRPr="00F45578">
              <w:rPr>
                <w:rFonts w:eastAsia="Times New Roman" w:cs="Calibri"/>
                <w:color w:val="000000"/>
                <w:sz w:val="18"/>
                <w:szCs w:val="18"/>
                <w:lang w:val="en-US"/>
              </w:rPr>
              <w:t>-3 043,61</w:t>
            </w:r>
          </w:p>
        </w:tc>
        <w:tc>
          <w:tcPr>
            <w:tcW w:w="930" w:type="dxa"/>
            <w:tcBorders>
              <w:top w:val="nil"/>
              <w:left w:val="nil"/>
              <w:bottom w:val="nil"/>
              <w:right w:val="single" w:sz="8" w:space="0" w:color="auto"/>
            </w:tcBorders>
            <w:shd w:val="clear" w:color="auto" w:fill="auto"/>
            <w:noWrap/>
            <w:vAlign w:val="center"/>
            <w:hideMark/>
          </w:tcPr>
          <w:p w14:paraId="00918EBD" w14:textId="77777777" w:rsidR="00F45578" w:rsidRPr="00F45578" w:rsidRDefault="00F45578" w:rsidP="00F45578">
            <w:pPr>
              <w:spacing w:after="0" w:line="240" w:lineRule="auto"/>
              <w:jc w:val="center"/>
              <w:rPr>
                <w:rFonts w:eastAsia="Times New Roman" w:cs="Calibri"/>
                <w:color w:val="000000"/>
                <w:sz w:val="18"/>
                <w:szCs w:val="18"/>
                <w:lang w:val="en-US"/>
              </w:rPr>
            </w:pPr>
            <w:r w:rsidRPr="00F45578">
              <w:rPr>
                <w:rFonts w:eastAsia="Times New Roman" w:cs="Calibri"/>
                <w:color w:val="000000"/>
                <w:sz w:val="18"/>
                <w:szCs w:val="18"/>
                <w:lang w:val="en-US"/>
              </w:rPr>
              <w:t>-24,63%</w:t>
            </w:r>
          </w:p>
        </w:tc>
      </w:tr>
      <w:tr w:rsidR="00F45578" w:rsidRPr="00F45578" w14:paraId="04E371B7" w14:textId="77777777" w:rsidTr="00F45578">
        <w:trPr>
          <w:trHeight w:val="290"/>
        </w:trPr>
        <w:tc>
          <w:tcPr>
            <w:tcW w:w="1735"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6AED3186" w14:textId="77777777" w:rsidR="00F45578" w:rsidRPr="00F45578" w:rsidRDefault="00F45578" w:rsidP="00F45578">
            <w:pPr>
              <w:spacing w:after="0" w:line="240" w:lineRule="auto"/>
              <w:jc w:val="center"/>
              <w:rPr>
                <w:rFonts w:eastAsia="Times New Roman" w:cs="Calibri"/>
                <w:color w:val="000000"/>
                <w:sz w:val="18"/>
                <w:szCs w:val="18"/>
                <w:lang w:val="en-US"/>
              </w:rPr>
            </w:pPr>
            <w:r w:rsidRPr="00F45578">
              <w:rPr>
                <w:rFonts w:eastAsia="Times New Roman" w:cs="Calibri"/>
                <w:color w:val="000000"/>
                <w:sz w:val="18"/>
                <w:szCs w:val="18"/>
                <w:lang w:val="en-US"/>
              </w:rPr>
              <w:t>27454-0</w:t>
            </w:r>
          </w:p>
        </w:tc>
        <w:tc>
          <w:tcPr>
            <w:tcW w:w="3358" w:type="dxa"/>
            <w:tcBorders>
              <w:top w:val="single" w:sz="4" w:space="0" w:color="auto"/>
              <w:left w:val="nil"/>
              <w:bottom w:val="single" w:sz="4" w:space="0" w:color="auto"/>
              <w:right w:val="single" w:sz="8" w:space="0" w:color="auto"/>
            </w:tcBorders>
            <w:shd w:val="clear" w:color="auto" w:fill="auto"/>
            <w:noWrap/>
            <w:vAlign w:val="bottom"/>
            <w:hideMark/>
          </w:tcPr>
          <w:p w14:paraId="2891C5B6" w14:textId="77777777" w:rsidR="00F45578" w:rsidRPr="00F45578" w:rsidRDefault="00F45578" w:rsidP="00F45578">
            <w:pPr>
              <w:spacing w:after="0" w:line="240" w:lineRule="auto"/>
              <w:jc w:val="left"/>
              <w:rPr>
                <w:rFonts w:eastAsia="Times New Roman" w:cs="Calibri"/>
                <w:color w:val="000000"/>
                <w:sz w:val="18"/>
                <w:szCs w:val="18"/>
              </w:rPr>
            </w:pPr>
            <w:r w:rsidRPr="00F45578">
              <w:rPr>
                <w:rFonts w:eastAsia="Times New Roman" w:cs="Calibri"/>
                <w:color w:val="000000"/>
                <w:sz w:val="18"/>
                <w:szCs w:val="18"/>
              </w:rPr>
              <w:t>BANCO DE COSTA RICA (BCR)</w:t>
            </w:r>
          </w:p>
        </w:tc>
        <w:tc>
          <w:tcPr>
            <w:tcW w:w="930" w:type="dxa"/>
            <w:tcBorders>
              <w:top w:val="single" w:sz="4" w:space="0" w:color="auto"/>
              <w:left w:val="nil"/>
              <w:bottom w:val="single" w:sz="4" w:space="0" w:color="auto"/>
              <w:right w:val="single" w:sz="8" w:space="0" w:color="auto"/>
            </w:tcBorders>
            <w:shd w:val="clear" w:color="000000" w:fill="FFFFFF"/>
            <w:noWrap/>
            <w:vAlign w:val="bottom"/>
            <w:hideMark/>
          </w:tcPr>
          <w:p w14:paraId="7B5A9D79" w14:textId="77777777" w:rsidR="00F45578" w:rsidRPr="00F45578" w:rsidRDefault="00F45578" w:rsidP="00F45578">
            <w:pPr>
              <w:spacing w:after="0" w:line="240" w:lineRule="auto"/>
              <w:jc w:val="right"/>
              <w:rPr>
                <w:rFonts w:eastAsia="Times New Roman" w:cs="Calibri"/>
                <w:color w:val="000000"/>
                <w:sz w:val="18"/>
                <w:szCs w:val="18"/>
                <w:lang w:val="en-US"/>
              </w:rPr>
            </w:pPr>
            <w:r w:rsidRPr="00F45578">
              <w:rPr>
                <w:rFonts w:eastAsia="Times New Roman" w:cs="Calibri"/>
                <w:color w:val="000000"/>
                <w:sz w:val="18"/>
                <w:szCs w:val="18"/>
                <w:lang w:val="en-US"/>
              </w:rPr>
              <w:t>4 652,01</w:t>
            </w:r>
          </w:p>
        </w:tc>
        <w:tc>
          <w:tcPr>
            <w:tcW w:w="945" w:type="dxa"/>
            <w:tcBorders>
              <w:top w:val="single" w:sz="4" w:space="0" w:color="auto"/>
              <w:left w:val="nil"/>
              <w:bottom w:val="single" w:sz="4" w:space="0" w:color="auto"/>
              <w:right w:val="single" w:sz="8" w:space="0" w:color="auto"/>
            </w:tcBorders>
            <w:shd w:val="clear" w:color="000000" w:fill="FFFFFF"/>
            <w:noWrap/>
            <w:vAlign w:val="bottom"/>
            <w:hideMark/>
          </w:tcPr>
          <w:p w14:paraId="5E581A4D" w14:textId="77777777" w:rsidR="00F45578" w:rsidRPr="00F45578" w:rsidRDefault="00F45578" w:rsidP="00F45578">
            <w:pPr>
              <w:spacing w:after="0" w:line="240" w:lineRule="auto"/>
              <w:jc w:val="right"/>
              <w:rPr>
                <w:rFonts w:eastAsia="Times New Roman" w:cs="Calibri"/>
                <w:color w:val="000000"/>
                <w:sz w:val="18"/>
                <w:szCs w:val="18"/>
                <w:lang w:val="en-US"/>
              </w:rPr>
            </w:pPr>
            <w:r w:rsidRPr="00F45578">
              <w:rPr>
                <w:rFonts w:eastAsia="Times New Roman" w:cs="Calibri"/>
                <w:color w:val="000000"/>
                <w:sz w:val="18"/>
                <w:szCs w:val="18"/>
                <w:lang w:val="en-US"/>
              </w:rPr>
              <w:t>6 308,25</w:t>
            </w:r>
          </w:p>
        </w:tc>
        <w:tc>
          <w:tcPr>
            <w:tcW w:w="930" w:type="dxa"/>
            <w:tcBorders>
              <w:top w:val="single" w:sz="4" w:space="0" w:color="auto"/>
              <w:left w:val="nil"/>
              <w:bottom w:val="single" w:sz="4" w:space="0" w:color="auto"/>
              <w:right w:val="single" w:sz="8" w:space="0" w:color="auto"/>
            </w:tcBorders>
            <w:shd w:val="clear" w:color="000000" w:fill="FFFFFF"/>
            <w:noWrap/>
            <w:vAlign w:val="bottom"/>
            <w:hideMark/>
          </w:tcPr>
          <w:p w14:paraId="74F5D2D0" w14:textId="77777777" w:rsidR="00F45578" w:rsidRPr="00F45578" w:rsidRDefault="00F45578" w:rsidP="00F45578">
            <w:pPr>
              <w:spacing w:after="0" w:line="240" w:lineRule="auto"/>
              <w:jc w:val="right"/>
              <w:rPr>
                <w:rFonts w:eastAsia="Times New Roman" w:cs="Calibri"/>
                <w:sz w:val="18"/>
                <w:szCs w:val="18"/>
                <w:lang w:val="en-US"/>
              </w:rPr>
            </w:pPr>
            <w:r w:rsidRPr="00F45578">
              <w:rPr>
                <w:rFonts w:eastAsia="Times New Roman" w:cs="Calibri"/>
                <w:sz w:val="18"/>
                <w:szCs w:val="18"/>
                <w:lang w:val="en-US"/>
              </w:rPr>
              <w:t>-1 656,24</w:t>
            </w:r>
          </w:p>
        </w:tc>
        <w:tc>
          <w:tcPr>
            <w:tcW w:w="930" w:type="dxa"/>
            <w:tcBorders>
              <w:top w:val="single" w:sz="4" w:space="0" w:color="auto"/>
              <w:left w:val="nil"/>
              <w:bottom w:val="single" w:sz="4" w:space="0" w:color="auto"/>
              <w:right w:val="single" w:sz="8" w:space="0" w:color="auto"/>
            </w:tcBorders>
            <w:shd w:val="clear" w:color="auto" w:fill="auto"/>
            <w:noWrap/>
            <w:vAlign w:val="center"/>
            <w:hideMark/>
          </w:tcPr>
          <w:p w14:paraId="15A56369" w14:textId="77777777" w:rsidR="00F45578" w:rsidRPr="00F45578" w:rsidRDefault="00F45578" w:rsidP="00F45578">
            <w:pPr>
              <w:spacing w:after="0" w:line="240" w:lineRule="auto"/>
              <w:jc w:val="center"/>
              <w:rPr>
                <w:rFonts w:eastAsia="Times New Roman" w:cs="Calibri"/>
                <w:color w:val="000000"/>
                <w:sz w:val="18"/>
                <w:szCs w:val="18"/>
                <w:lang w:val="en-US"/>
              </w:rPr>
            </w:pPr>
            <w:r w:rsidRPr="00F45578">
              <w:rPr>
                <w:rFonts w:eastAsia="Times New Roman" w:cs="Calibri"/>
                <w:color w:val="000000"/>
                <w:sz w:val="18"/>
                <w:szCs w:val="18"/>
                <w:lang w:val="en-US"/>
              </w:rPr>
              <w:t> </w:t>
            </w:r>
          </w:p>
        </w:tc>
      </w:tr>
      <w:tr w:rsidR="00F45578" w:rsidRPr="00F45578" w14:paraId="18D861D0" w14:textId="77777777" w:rsidTr="00F45578">
        <w:trPr>
          <w:trHeight w:val="300"/>
        </w:trPr>
        <w:tc>
          <w:tcPr>
            <w:tcW w:w="1735" w:type="dxa"/>
            <w:tcBorders>
              <w:top w:val="nil"/>
              <w:left w:val="single" w:sz="8" w:space="0" w:color="auto"/>
              <w:bottom w:val="single" w:sz="8" w:space="0" w:color="auto"/>
              <w:right w:val="single" w:sz="8" w:space="0" w:color="auto"/>
            </w:tcBorders>
            <w:shd w:val="clear" w:color="auto" w:fill="auto"/>
            <w:noWrap/>
            <w:vAlign w:val="bottom"/>
            <w:hideMark/>
          </w:tcPr>
          <w:p w14:paraId="248E204C" w14:textId="77777777" w:rsidR="00F45578" w:rsidRPr="00F45578" w:rsidRDefault="00F45578" w:rsidP="00F45578">
            <w:pPr>
              <w:spacing w:after="0" w:line="240" w:lineRule="auto"/>
              <w:jc w:val="center"/>
              <w:rPr>
                <w:rFonts w:eastAsia="Times New Roman" w:cs="Calibri"/>
                <w:color w:val="000000"/>
                <w:sz w:val="18"/>
                <w:szCs w:val="18"/>
                <w:lang w:val="en-US"/>
              </w:rPr>
            </w:pPr>
            <w:r w:rsidRPr="00F45578">
              <w:rPr>
                <w:rFonts w:eastAsia="Times New Roman" w:cs="Calibri"/>
                <w:color w:val="000000"/>
                <w:sz w:val="18"/>
                <w:szCs w:val="18"/>
                <w:lang w:val="en-US"/>
              </w:rPr>
              <w:t>14849</w:t>
            </w:r>
          </w:p>
        </w:tc>
        <w:tc>
          <w:tcPr>
            <w:tcW w:w="3358" w:type="dxa"/>
            <w:tcBorders>
              <w:top w:val="nil"/>
              <w:left w:val="nil"/>
              <w:bottom w:val="single" w:sz="8" w:space="0" w:color="auto"/>
              <w:right w:val="single" w:sz="8" w:space="0" w:color="auto"/>
            </w:tcBorders>
            <w:shd w:val="clear" w:color="auto" w:fill="auto"/>
            <w:noWrap/>
            <w:vAlign w:val="bottom"/>
            <w:hideMark/>
          </w:tcPr>
          <w:p w14:paraId="7B79BA87" w14:textId="77777777" w:rsidR="00F45578" w:rsidRPr="00F45578" w:rsidRDefault="00F45578" w:rsidP="00F45578">
            <w:pPr>
              <w:spacing w:after="0" w:line="240" w:lineRule="auto"/>
              <w:jc w:val="left"/>
              <w:rPr>
                <w:rFonts w:eastAsia="Times New Roman" w:cs="Calibri"/>
                <w:color w:val="000000"/>
                <w:sz w:val="18"/>
                <w:szCs w:val="18"/>
              </w:rPr>
            </w:pPr>
            <w:r w:rsidRPr="00F45578">
              <w:rPr>
                <w:rFonts w:eastAsia="Times New Roman" w:cs="Calibri"/>
                <w:color w:val="000000"/>
                <w:sz w:val="18"/>
                <w:szCs w:val="18"/>
              </w:rPr>
              <w:t>BANCO NACIONAL DE COSTA RICA (BNCR)</w:t>
            </w:r>
          </w:p>
        </w:tc>
        <w:tc>
          <w:tcPr>
            <w:tcW w:w="930" w:type="dxa"/>
            <w:tcBorders>
              <w:top w:val="nil"/>
              <w:left w:val="nil"/>
              <w:bottom w:val="single" w:sz="8" w:space="0" w:color="auto"/>
              <w:right w:val="single" w:sz="8" w:space="0" w:color="auto"/>
            </w:tcBorders>
            <w:shd w:val="clear" w:color="000000" w:fill="FFFFFF"/>
            <w:noWrap/>
            <w:vAlign w:val="bottom"/>
            <w:hideMark/>
          </w:tcPr>
          <w:p w14:paraId="07F5D2B8" w14:textId="77777777" w:rsidR="00F45578" w:rsidRPr="00F45578" w:rsidRDefault="00F45578" w:rsidP="00F45578">
            <w:pPr>
              <w:spacing w:after="0" w:line="240" w:lineRule="auto"/>
              <w:jc w:val="right"/>
              <w:rPr>
                <w:rFonts w:eastAsia="Times New Roman" w:cs="Calibri"/>
                <w:color w:val="000000"/>
                <w:sz w:val="18"/>
                <w:szCs w:val="18"/>
                <w:lang w:val="en-US"/>
              </w:rPr>
            </w:pPr>
            <w:r w:rsidRPr="00F45578">
              <w:rPr>
                <w:rFonts w:eastAsia="Times New Roman" w:cs="Calibri"/>
                <w:color w:val="000000"/>
                <w:sz w:val="18"/>
                <w:szCs w:val="18"/>
                <w:lang w:val="en-US"/>
              </w:rPr>
              <w:t>4 661,70</w:t>
            </w:r>
          </w:p>
        </w:tc>
        <w:tc>
          <w:tcPr>
            <w:tcW w:w="945" w:type="dxa"/>
            <w:tcBorders>
              <w:top w:val="nil"/>
              <w:left w:val="nil"/>
              <w:bottom w:val="single" w:sz="8" w:space="0" w:color="auto"/>
              <w:right w:val="single" w:sz="8" w:space="0" w:color="auto"/>
            </w:tcBorders>
            <w:shd w:val="clear" w:color="000000" w:fill="FFFFFF"/>
            <w:noWrap/>
            <w:vAlign w:val="bottom"/>
            <w:hideMark/>
          </w:tcPr>
          <w:p w14:paraId="7CA1921D" w14:textId="77777777" w:rsidR="00F45578" w:rsidRPr="00F45578" w:rsidRDefault="00F45578" w:rsidP="00F45578">
            <w:pPr>
              <w:spacing w:after="0" w:line="240" w:lineRule="auto"/>
              <w:jc w:val="right"/>
              <w:rPr>
                <w:rFonts w:eastAsia="Times New Roman" w:cs="Calibri"/>
                <w:color w:val="000000"/>
                <w:sz w:val="18"/>
                <w:szCs w:val="18"/>
                <w:lang w:val="en-US"/>
              </w:rPr>
            </w:pPr>
            <w:r w:rsidRPr="00F45578">
              <w:rPr>
                <w:rFonts w:eastAsia="Times New Roman" w:cs="Calibri"/>
                <w:color w:val="000000"/>
                <w:sz w:val="18"/>
                <w:szCs w:val="18"/>
                <w:lang w:val="en-US"/>
              </w:rPr>
              <w:t>6 049,07</w:t>
            </w:r>
          </w:p>
        </w:tc>
        <w:tc>
          <w:tcPr>
            <w:tcW w:w="930" w:type="dxa"/>
            <w:tcBorders>
              <w:top w:val="nil"/>
              <w:left w:val="nil"/>
              <w:bottom w:val="single" w:sz="4" w:space="0" w:color="auto"/>
              <w:right w:val="single" w:sz="8" w:space="0" w:color="auto"/>
            </w:tcBorders>
            <w:shd w:val="clear" w:color="000000" w:fill="FFFFFF"/>
            <w:noWrap/>
            <w:vAlign w:val="bottom"/>
            <w:hideMark/>
          </w:tcPr>
          <w:p w14:paraId="5D6F685B" w14:textId="77777777" w:rsidR="00F45578" w:rsidRPr="00F45578" w:rsidRDefault="00F45578" w:rsidP="00F45578">
            <w:pPr>
              <w:spacing w:after="0" w:line="240" w:lineRule="auto"/>
              <w:jc w:val="right"/>
              <w:rPr>
                <w:rFonts w:eastAsia="Times New Roman" w:cs="Calibri"/>
                <w:sz w:val="18"/>
                <w:szCs w:val="18"/>
                <w:lang w:val="en-US"/>
              </w:rPr>
            </w:pPr>
            <w:r w:rsidRPr="00F45578">
              <w:rPr>
                <w:rFonts w:eastAsia="Times New Roman" w:cs="Calibri"/>
                <w:sz w:val="18"/>
                <w:szCs w:val="18"/>
                <w:lang w:val="en-US"/>
              </w:rPr>
              <w:t>-1 387,37</w:t>
            </w:r>
          </w:p>
        </w:tc>
        <w:tc>
          <w:tcPr>
            <w:tcW w:w="930" w:type="dxa"/>
            <w:tcBorders>
              <w:top w:val="nil"/>
              <w:left w:val="nil"/>
              <w:bottom w:val="single" w:sz="8" w:space="0" w:color="auto"/>
              <w:right w:val="single" w:sz="8" w:space="0" w:color="auto"/>
            </w:tcBorders>
            <w:shd w:val="clear" w:color="auto" w:fill="auto"/>
            <w:noWrap/>
            <w:vAlign w:val="center"/>
            <w:hideMark/>
          </w:tcPr>
          <w:p w14:paraId="160354C9" w14:textId="77777777" w:rsidR="00F45578" w:rsidRPr="00F45578" w:rsidRDefault="00F45578" w:rsidP="00F45578">
            <w:pPr>
              <w:spacing w:after="0" w:line="240" w:lineRule="auto"/>
              <w:jc w:val="center"/>
              <w:rPr>
                <w:rFonts w:eastAsia="Times New Roman" w:cs="Calibri"/>
                <w:color w:val="000000"/>
                <w:sz w:val="18"/>
                <w:szCs w:val="18"/>
                <w:lang w:val="en-US"/>
              </w:rPr>
            </w:pPr>
            <w:r w:rsidRPr="00F45578">
              <w:rPr>
                <w:rFonts w:eastAsia="Times New Roman" w:cs="Calibri"/>
                <w:color w:val="000000"/>
                <w:sz w:val="18"/>
                <w:szCs w:val="18"/>
                <w:lang w:val="en-US"/>
              </w:rPr>
              <w:t> </w:t>
            </w:r>
          </w:p>
        </w:tc>
      </w:tr>
      <w:tr w:rsidR="00F45578" w:rsidRPr="00F45578" w14:paraId="031F7637" w14:textId="77777777" w:rsidTr="00F45578">
        <w:trPr>
          <w:trHeight w:val="300"/>
        </w:trPr>
        <w:tc>
          <w:tcPr>
            <w:tcW w:w="1735" w:type="dxa"/>
            <w:tcBorders>
              <w:top w:val="nil"/>
              <w:left w:val="single" w:sz="8" w:space="0" w:color="auto"/>
              <w:bottom w:val="single" w:sz="8" w:space="0" w:color="auto"/>
              <w:right w:val="single" w:sz="8" w:space="0" w:color="auto"/>
            </w:tcBorders>
            <w:shd w:val="clear" w:color="auto" w:fill="auto"/>
            <w:noWrap/>
            <w:vAlign w:val="bottom"/>
            <w:hideMark/>
          </w:tcPr>
          <w:p w14:paraId="402D2448" w14:textId="77777777" w:rsidR="00F45578" w:rsidRPr="00F45578" w:rsidRDefault="00F45578" w:rsidP="00F45578">
            <w:pPr>
              <w:spacing w:after="0" w:line="240" w:lineRule="auto"/>
              <w:jc w:val="left"/>
              <w:rPr>
                <w:rFonts w:ascii="Calibri" w:eastAsia="Times New Roman" w:hAnsi="Calibri" w:cs="Calibri"/>
                <w:color w:val="000000"/>
                <w:sz w:val="18"/>
                <w:szCs w:val="18"/>
                <w:lang w:val="en-US"/>
              </w:rPr>
            </w:pPr>
            <w:r w:rsidRPr="00F45578">
              <w:rPr>
                <w:rFonts w:ascii="Calibri" w:eastAsia="Times New Roman" w:hAnsi="Calibri" w:cs="Calibri"/>
                <w:color w:val="000000"/>
                <w:sz w:val="18"/>
                <w:szCs w:val="18"/>
                <w:lang w:val="en-US"/>
              </w:rPr>
              <w:t> </w:t>
            </w:r>
          </w:p>
        </w:tc>
        <w:tc>
          <w:tcPr>
            <w:tcW w:w="3358" w:type="dxa"/>
            <w:tcBorders>
              <w:top w:val="nil"/>
              <w:left w:val="nil"/>
              <w:bottom w:val="single" w:sz="8" w:space="0" w:color="auto"/>
              <w:right w:val="single" w:sz="8" w:space="0" w:color="auto"/>
            </w:tcBorders>
            <w:shd w:val="clear" w:color="auto" w:fill="auto"/>
            <w:noWrap/>
            <w:vAlign w:val="bottom"/>
            <w:hideMark/>
          </w:tcPr>
          <w:p w14:paraId="1ED5AF15" w14:textId="77777777" w:rsidR="00F45578" w:rsidRPr="00F45578" w:rsidRDefault="00F45578" w:rsidP="00F45578">
            <w:pPr>
              <w:spacing w:after="0" w:line="240" w:lineRule="auto"/>
              <w:jc w:val="center"/>
              <w:rPr>
                <w:rFonts w:ascii="Calibri" w:eastAsia="Times New Roman" w:hAnsi="Calibri" w:cs="Calibri"/>
                <w:b/>
                <w:bCs/>
                <w:color w:val="000000"/>
                <w:sz w:val="18"/>
                <w:szCs w:val="18"/>
                <w:lang w:val="en-US"/>
              </w:rPr>
            </w:pPr>
            <w:r w:rsidRPr="00F45578">
              <w:rPr>
                <w:rFonts w:ascii="Calibri" w:eastAsia="Times New Roman" w:hAnsi="Calibri" w:cs="Calibri"/>
                <w:b/>
                <w:bCs/>
                <w:color w:val="000000"/>
                <w:sz w:val="18"/>
                <w:szCs w:val="18"/>
                <w:lang w:val="en-US"/>
              </w:rPr>
              <w:t>TOTALES</w:t>
            </w:r>
          </w:p>
        </w:tc>
        <w:tc>
          <w:tcPr>
            <w:tcW w:w="930" w:type="dxa"/>
            <w:tcBorders>
              <w:top w:val="nil"/>
              <w:left w:val="nil"/>
              <w:bottom w:val="single" w:sz="8" w:space="0" w:color="auto"/>
              <w:right w:val="single" w:sz="8" w:space="0" w:color="auto"/>
            </w:tcBorders>
            <w:shd w:val="clear" w:color="000000" w:fill="FFFFFF"/>
            <w:noWrap/>
            <w:vAlign w:val="center"/>
            <w:hideMark/>
          </w:tcPr>
          <w:p w14:paraId="06AA72B4" w14:textId="1C06DCFF" w:rsidR="00F45578" w:rsidRPr="00F45578" w:rsidRDefault="00F45578" w:rsidP="00F45578">
            <w:pPr>
              <w:spacing w:after="0" w:line="240" w:lineRule="auto"/>
              <w:ind w:left="-102"/>
              <w:jc w:val="right"/>
              <w:rPr>
                <w:rFonts w:eastAsia="Times New Roman" w:cs="Calibri"/>
                <w:b/>
                <w:bCs/>
                <w:color w:val="000000"/>
                <w:sz w:val="18"/>
                <w:szCs w:val="18"/>
                <w:lang w:val="en-US"/>
              </w:rPr>
            </w:pPr>
            <w:r w:rsidRPr="00F45578">
              <w:rPr>
                <w:rFonts w:ascii="Arial" w:eastAsia="Times New Roman" w:hAnsi="Arial" w:cs="Arial"/>
                <w:b/>
                <w:bCs/>
                <w:color w:val="000000"/>
                <w:sz w:val="18"/>
                <w:szCs w:val="18"/>
                <w:lang w:val="en-US"/>
              </w:rPr>
              <w:t>₡</w:t>
            </w:r>
            <w:r w:rsidRPr="00F45578">
              <w:rPr>
                <w:rFonts w:eastAsia="Times New Roman" w:cs="Calibri"/>
                <w:b/>
                <w:bCs/>
                <w:color w:val="000000"/>
                <w:sz w:val="18"/>
                <w:szCs w:val="18"/>
                <w:lang w:val="en-US"/>
              </w:rPr>
              <w:t xml:space="preserve">10 732,53 </w:t>
            </w:r>
          </w:p>
        </w:tc>
        <w:tc>
          <w:tcPr>
            <w:tcW w:w="945" w:type="dxa"/>
            <w:tcBorders>
              <w:top w:val="nil"/>
              <w:left w:val="nil"/>
              <w:bottom w:val="single" w:sz="8" w:space="0" w:color="auto"/>
              <w:right w:val="single" w:sz="8" w:space="0" w:color="auto"/>
            </w:tcBorders>
            <w:shd w:val="clear" w:color="000000" w:fill="FFFFFF"/>
            <w:noWrap/>
            <w:vAlign w:val="center"/>
            <w:hideMark/>
          </w:tcPr>
          <w:p w14:paraId="53FF0E19" w14:textId="4E58EACB" w:rsidR="00F45578" w:rsidRPr="00F45578" w:rsidRDefault="00F45578" w:rsidP="00F45578">
            <w:pPr>
              <w:spacing w:after="0" w:line="240" w:lineRule="auto"/>
              <w:ind w:left="-182"/>
              <w:jc w:val="right"/>
              <w:rPr>
                <w:rFonts w:eastAsia="Times New Roman" w:cs="Calibri"/>
                <w:b/>
                <w:bCs/>
                <w:color w:val="000000"/>
                <w:sz w:val="18"/>
                <w:szCs w:val="18"/>
                <w:lang w:val="en-US"/>
              </w:rPr>
            </w:pPr>
            <w:r w:rsidRPr="00F45578">
              <w:rPr>
                <w:rFonts w:eastAsia="Times New Roman" w:cs="Calibri"/>
                <w:b/>
                <w:bCs/>
                <w:color w:val="000000"/>
                <w:sz w:val="18"/>
                <w:szCs w:val="18"/>
                <w:lang w:val="en-US"/>
              </w:rPr>
              <w:t xml:space="preserve"> </w:t>
            </w:r>
            <w:r w:rsidRPr="00F45578">
              <w:rPr>
                <w:rFonts w:ascii="Arial" w:eastAsia="Times New Roman" w:hAnsi="Arial" w:cs="Arial"/>
                <w:b/>
                <w:bCs/>
                <w:color w:val="000000"/>
                <w:sz w:val="18"/>
                <w:szCs w:val="18"/>
                <w:lang w:val="en-US"/>
              </w:rPr>
              <w:t>₡</w:t>
            </w:r>
            <w:r w:rsidRPr="00F45578">
              <w:rPr>
                <w:rFonts w:eastAsia="Times New Roman" w:cs="Calibri"/>
                <w:b/>
                <w:bCs/>
                <w:color w:val="000000"/>
                <w:sz w:val="18"/>
                <w:szCs w:val="18"/>
                <w:lang w:val="en-US"/>
              </w:rPr>
              <w:t xml:space="preserve">13 009,26 </w:t>
            </w:r>
          </w:p>
        </w:tc>
        <w:tc>
          <w:tcPr>
            <w:tcW w:w="930" w:type="dxa"/>
            <w:tcBorders>
              <w:top w:val="nil"/>
              <w:left w:val="nil"/>
              <w:bottom w:val="single" w:sz="8" w:space="0" w:color="auto"/>
              <w:right w:val="single" w:sz="8" w:space="0" w:color="auto"/>
            </w:tcBorders>
            <w:shd w:val="clear" w:color="000000" w:fill="FFFFFF"/>
            <w:noWrap/>
            <w:vAlign w:val="center"/>
            <w:hideMark/>
          </w:tcPr>
          <w:p w14:paraId="7ACCC373" w14:textId="77777777" w:rsidR="00F45578" w:rsidRPr="00F45578" w:rsidRDefault="00F45578" w:rsidP="00F45578">
            <w:pPr>
              <w:spacing w:after="0" w:line="240" w:lineRule="auto"/>
              <w:ind w:left="-142"/>
              <w:jc w:val="right"/>
              <w:rPr>
                <w:rFonts w:eastAsia="Times New Roman" w:cs="Calibri"/>
                <w:b/>
                <w:bCs/>
                <w:color w:val="000000"/>
                <w:sz w:val="18"/>
                <w:szCs w:val="18"/>
                <w:lang w:val="en-US"/>
              </w:rPr>
            </w:pPr>
            <w:r w:rsidRPr="00F45578">
              <w:rPr>
                <w:rFonts w:eastAsia="Times New Roman" w:cs="Calibri"/>
                <w:b/>
                <w:bCs/>
                <w:color w:val="000000"/>
                <w:sz w:val="18"/>
                <w:szCs w:val="18"/>
                <w:lang w:val="en-US"/>
              </w:rPr>
              <w:t>-</w:t>
            </w:r>
            <w:r w:rsidRPr="00F45578">
              <w:rPr>
                <w:rFonts w:ascii="Arial" w:eastAsia="Times New Roman" w:hAnsi="Arial" w:cs="Arial"/>
                <w:b/>
                <w:bCs/>
                <w:color w:val="000000"/>
                <w:sz w:val="18"/>
                <w:szCs w:val="18"/>
                <w:lang w:val="en-US"/>
              </w:rPr>
              <w:t>₡</w:t>
            </w:r>
            <w:r w:rsidRPr="00F45578">
              <w:rPr>
                <w:rFonts w:eastAsia="Times New Roman" w:cs="Calibri"/>
                <w:b/>
                <w:bCs/>
                <w:color w:val="000000"/>
                <w:sz w:val="18"/>
                <w:szCs w:val="18"/>
                <w:lang w:val="en-US"/>
              </w:rPr>
              <w:t xml:space="preserve">2 276,73 </w:t>
            </w:r>
          </w:p>
        </w:tc>
        <w:tc>
          <w:tcPr>
            <w:tcW w:w="930" w:type="dxa"/>
            <w:tcBorders>
              <w:top w:val="nil"/>
              <w:left w:val="nil"/>
              <w:bottom w:val="single" w:sz="8" w:space="0" w:color="auto"/>
              <w:right w:val="single" w:sz="8" w:space="0" w:color="auto"/>
            </w:tcBorders>
            <w:shd w:val="clear" w:color="auto" w:fill="auto"/>
            <w:noWrap/>
            <w:vAlign w:val="center"/>
            <w:hideMark/>
          </w:tcPr>
          <w:p w14:paraId="1C7301F9" w14:textId="77777777" w:rsidR="00F45578" w:rsidRPr="00F45578" w:rsidRDefault="00F45578" w:rsidP="00F45578">
            <w:pPr>
              <w:spacing w:after="0" w:line="240" w:lineRule="auto"/>
              <w:jc w:val="center"/>
              <w:rPr>
                <w:rFonts w:eastAsia="Times New Roman" w:cs="Calibri"/>
                <w:b/>
                <w:bCs/>
                <w:color w:val="000000"/>
                <w:sz w:val="18"/>
                <w:szCs w:val="18"/>
                <w:lang w:val="en-US"/>
              </w:rPr>
            </w:pPr>
            <w:r w:rsidRPr="00F45578">
              <w:rPr>
                <w:rFonts w:eastAsia="Times New Roman" w:cs="Calibri"/>
                <w:b/>
                <w:bCs/>
                <w:color w:val="000000"/>
                <w:sz w:val="18"/>
                <w:szCs w:val="18"/>
                <w:lang w:val="en-US"/>
              </w:rPr>
              <w:t>-17,50%</w:t>
            </w:r>
          </w:p>
        </w:tc>
      </w:tr>
    </w:tbl>
    <w:p w14:paraId="052E8133" w14:textId="77777777" w:rsidR="00CD1227" w:rsidRDefault="00CD1227" w:rsidP="00CD1227">
      <w:pPr>
        <w:rPr>
          <w:rFonts w:eastAsiaTheme="minorEastAsia" w:cs="Arial Narrow"/>
          <w:color w:val="000000"/>
          <w:lang w:eastAsia="es-CR"/>
        </w:rPr>
      </w:pPr>
    </w:p>
    <w:p w14:paraId="460A1EC4" w14:textId="77777777" w:rsidR="00554AAF" w:rsidRDefault="00554AAF" w:rsidP="00F45578">
      <w:pPr>
        <w:spacing w:after="0" w:line="240" w:lineRule="auto"/>
        <w:rPr>
          <w:rFonts w:eastAsiaTheme="minorEastAsia" w:cs="Arial Narrow"/>
          <w:color w:val="000000"/>
          <w:lang w:eastAsia="es-CR"/>
        </w:rPr>
      </w:pPr>
    </w:p>
    <w:p w14:paraId="07585760" w14:textId="77777777" w:rsidR="00F45578" w:rsidRPr="00692DC8" w:rsidRDefault="00F45578" w:rsidP="00F45578">
      <w:pPr>
        <w:spacing w:after="0" w:line="240" w:lineRule="auto"/>
        <w:rPr>
          <w:rFonts w:eastAsiaTheme="minorEastAsia" w:cs="Arial Narrow"/>
          <w:color w:val="000000"/>
          <w:lang w:eastAsia="es-CR"/>
        </w:rPr>
      </w:pPr>
    </w:p>
    <w:p w14:paraId="04BE2B0C" w14:textId="77777777" w:rsidR="00692DC8" w:rsidRPr="00692DC8" w:rsidRDefault="00692DC8" w:rsidP="00CD1227">
      <w:pPr>
        <w:pStyle w:val="Ttulo4"/>
        <w:spacing w:after="240"/>
        <w:rPr>
          <w:rFonts w:eastAsia="Times New Roman"/>
        </w:rPr>
      </w:pPr>
      <w:bookmarkStart w:id="776" w:name="_Toc14344841"/>
      <w:bookmarkStart w:id="777" w:name="_Toc33601287"/>
      <w:bookmarkStart w:id="778" w:name="_Toc82769007"/>
      <w:bookmarkStart w:id="779" w:name="_Toc173245284"/>
      <w:r w:rsidRPr="00692DC8">
        <w:rPr>
          <w:rFonts w:eastAsia="Times New Roman"/>
        </w:rPr>
        <w:t>NOTA N° 4</w:t>
      </w:r>
      <w:bookmarkEnd w:id="776"/>
      <w:bookmarkEnd w:id="777"/>
      <w:bookmarkEnd w:id="778"/>
      <w:r w:rsidRPr="00692DC8">
        <w:rPr>
          <w:rFonts w:eastAsia="Times New Roman"/>
        </w:rPr>
        <w:t>8</w:t>
      </w:r>
      <w:bookmarkEnd w:id="779"/>
    </w:p>
    <w:p w14:paraId="49C09C3E" w14:textId="77777777" w:rsidR="00694299" w:rsidRDefault="00692DC8" w:rsidP="00F45578">
      <w:pPr>
        <w:spacing w:before="240" w:after="0" w:line="240" w:lineRule="auto"/>
        <w:rPr>
          <w:rFonts w:asciiTheme="minorHAnsi" w:hAnsiTheme="minorHAnsi"/>
          <w:sz w:val="22"/>
        </w:rPr>
      </w:pPr>
      <w:bookmarkStart w:id="780" w:name="_Toc14344842"/>
      <w:bookmarkStart w:id="781" w:name="_Toc33601288"/>
      <w:bookmarkStart w:id="782" w:name="_Toc82769008"/>
      <w:r w:rsidRPr="00692DC8">
        <w:rPr>
          <w:rFonts w:eastAsia="Times New Roman"/>
        </w:rPr>
        <w:t>Alquileres y derechos sobre bienes</w:t>
      </w:r>
      <w:bookmarkStart w:id="783" w:name="_Toc14344846"/>
      <w:bookmarkStart w:id="784" w:name="_Toc33601290"/>
      <w:bookmarkEnd w:id="780"/>
      <w:bookmarkEnd w:id="781"/>
      <w:bookmarkEnd w:id="782"/>
      <w:r w:rsidR="007D6FBD">
        <w:rPr>
          <w:rFonts w:eastAsiaTheme="majorEastAsia" w:cstheme="majorBidi"/>
          <w:b/>
          <w:iCs/>
        </w:rPr>
        <w:fldChar w:fldCharType="begin"/>
      </w:r>
      <w:r w:rsidR="007D6FBD">
        <w:instrText xml:space="preserve"> LINK </w:instrText>
      </w:r>
      <w:r w:rsidR="00323752">
        <w:instrText xml:space="preserve">Excel.SheetMacroEnabled.12 "D:\\MORAVIA\\INSUMOS\\NOTAS 2024\\Formato_Notas_EEFF_Vinculadas_2024\\XXXXX_PXX_202X_Anexo_Estado_Notas_Contables_Vinculadas.xlsm" NOTAS_POR_CUENTA!F296C1:F298C6 </w:instrText>
      </w:r>
      <w:r w:rsidR="007D6FBD">
        <w:instrText xml:space="preserve">\a \f 4 \h </w:instrText>
      </w:r>
      <w:r w:rsidR="007D6FBD">
        <w:fldChar w:fldCharType="separate"/>
      </w:r>
    </w:p>
    <w:p w14:paraId="719FBF17" w14:textId="59C2DF75" w:rsidR="00C572A3" w:rsidRDefault="007D6FBD" w:rsidP="00873B1C">
      <w:pPr>
        <w:spacing w:after="120" w:line="240" w:lineRule="auto"/>
        <w:rPr>
          <w:rFonts w:asciiTheme="minorHAnsi" w:hAnsiTheme="minorHAnsi"/>
          <w:sz w:val="22"/>
        </w:rPr>
      </w:pPr>
      <w:r>
        <w:fldChar w:fldCharType="end"/>
      </w:r>
      <w:r w:rsidR="00873B1C">
        <w:fldChar w:fldCharType="begin"/>
      </w:r>
      <w:r w:rsidR="00873B1C">
        <w:instrText xml:space="preserve"> LINK </w:instrText>
      </w:r>
      <w:r w:rsidR="0068177A">
        <w:instrText xml:space="preserve">Excel.SheetMacroEnabled.12 "C:\\Users\\arges\\OneDrive\\Desktop\\Municipalidades\\Buenos Aires\\Cierre Junio 2024\\Notas Contables\\15603_T02_2024_Anexo_Estado_Notas_Contables_Vinculadas.xlsm" NOTAS_POR_CUENTA!R296C1:R298C6 </w:instrText>
      </w:r>
      <w:r w:rsidR="00873B1C">
        <w:instrText xml:space="preserve">\a \f 4 \h </w:instrText>
      </w:r>
      <w:r w:rsidR="00873B1C">
        <w:fldChar w:fldCharType="separate"/>
      </w:r>
    </w:p>
    <w:tbl>
      <w:tblPr>
        <w:tblW w:w="10080" w:type="dxa"/>
        <w:tblLook w:val="04A0" w:firstRow="1" w:lastRow="0" w:firstColumn="1" w:lastColumn="0" w:noHBand="0" w:noVBand="1"/>
      </w:tblPr>
      <w:tblGrid>
        <w:gridCol w:w="717"/>
        <w:gridCol w:w="3339"/>
        <w:gridCol w:w="544"/>
        <w:gridCol w:w="2200"/>
        <w:gridCol w:w="2200"/>
        <w:gridCol w:w="1080"/>
      </w:tblGrid>
      <w:tr w:rsidR="00C572A3" w:rsidRPr="00C572A3" w14:paraId="4CBF7C4C" w14:textId="77777777" w:rsidTr="00C572A3">
        <w:trPr>
          <w:divId w:val="1705016428"/>
          <w:trHeight w:val="320"/>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D216871" w14:textId="28020C54" w:rsidR="00C572A3" w:rsidRPr="00C572A3" w:rsidRDefault="00C572A3" w:rsidP="00C572A3">
            <w:pP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5B0972F"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Descripción</w:t>
            </w:r>
          </w:p>
        </w:tc>
        <w:tc>
          <w:tcPr>
            <w:tcW w:w="5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2A4C1A3"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Nota</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5A562B5"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Actual </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4C88115"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Anterior </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4B0CFFD5"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Diferencia </w:t>
            </w:r>
          </w:p>
        </w:tc>
      </w:tr>
      <w:tr w:rsidR="00C572A3" w:rsidRPr="00C572A3" w14:paraId="5F360964" w14:textId="77777777" w:rsidTr="00C572A3">
        <w:trPr>
          <w:divId w:val="1705016428"/>
          <w:trHeight w:val="320"/>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69105B5B"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338D938B"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14:paraId="5961FB09"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1EE8634F"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54369BC6"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1080" w:type="dxa"/>
            <w:tcBorders>
              <w:top w:val="nil"/>
              <w:left w:val="nil"/>
              <w:bottom w:val="single" w:sz="8" w:space="0" w:color="auto"/>
              <w:right w:val="single" w:sz="8" w:space="0" w:color="auto"/>
            </w:tcBorders>
            <w:shd w:val="clear" w:color="000000" w:fill="366092"/>
            <w:noWrap/>
            <w:vAlign w:val="center"/>
            <w:hideMark/>
          </w:tcPr>
          <w:p w14:paraId="4E02DF1C" w14:textId="77777777" w:rsidR="00C572A3" w:rsidRPr="00C572A3" w:rsidRDefault="00C572A3" w:rsidP="00C572A3">
            <w:pPr>
              <w:spacing w:after="0" w:line="240" w:lineRule="auto"/>
              <w:jc w:val="center"/>
              <w:rPr>
                <w:rFonts w:eastAsia="Times New Roman" w:cs="Calibri"/>
                <w:color w:val="FFFFFF"/>
                <w:sz w:val="18"/>
                <w:szCs w:val="18"/>
                <w:lang w:val="en-US"/>
              </w:rPr>
            </w:pPr>
            <w:r w:rsidRPr="00C572A3">
              <w:rPr>
                <w:rFonts w:eastAsia="Times New Roman" w:cs="Calibri"/>
                <w:color w:val="FFFFFF"/>
                <w:sz w:val="18"/>
                <w:szCs w:val="18"/>
                <w:lang w:val="en-US"/>
              </w:rPr>
              <w:t>%</w:t>
            </w:r>
          </w:p>
        </w:tc>
      </w:tr>
      <w:tr w:rsidR="00C572A3" w:rsidRPr="00C572A3" w14:paraId="487C6683" w14:textId="77777777" w:rsidTr="00C572A3">
        <w:trPr>
          <w:divId w:val="1705016428"/>
          <w:trHeight w:val="320"/>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37132176" w14:textId="77777777" w:rsidR="00C572A3" w:rsidRPr="00C572A3" w:rsidRDefault="00C572A3" w:rsidP="00C572A3">
            <w:pPr>
              <w:spacing w:after="0" w:line="240" w:lineRule="auto"/>
              <w:jc w:val="left"/>
              <w:rPr>
                <w:rFonts w:eastAsia="Times New Roman" w:cs="Calibri"/>
                <w:b/>
                <w:bCs/>
                <w:color w:val="000000"/>
                <w:sz w:val="18"/>
                <w:szCs w:val="18"/>
                <w:lang w:val="en-US"/>
              </w:rPr>
            </w:pPr>
            <w:r w:rsidRPr="00C572A3">
              <w:rPr>
                <w:rFonts w:eastAsia="Times New Roman" w:cs="Calibri"/>
                <w:b/>
                <w:bCs/>
                <w:color w:val="000000"/>
                <w:sz w:val="18"/>
                <w:szCs w:val="18"/>
                <w:lang w:val="en-US"/>
              </w:rPr>
              <w:t>4.5.2.</w:t>
            </w:r>
          </w:p>
        </w:tc>
        <w:tc>
          <w:tcPr>
            <w:tcW w:w="3380" w:type="dxa"/>
            <w:tcBorders>
              <w:top w:val="nil"/>
              <w:left w:val="nil"/>
              <w:bottom w:val="single" w:sz="8" w:space="0" w:color="auto"/>
              <w:right w:val="single" w:sz="8" w:space="0" w:color="auto"/>
            </w:tcBorders>
            <w:shd w:val="clear" w:color="auto" w:fill="auto"/>
            <w:vAlign w:val="center"/>
            <w:hideMark/>
          </w:tcPr>
          <w:p w14:paraId="73F7876D" w14:textId="77777777" w:rsidR="00C572A3" w:rsidRPr="00C572A3" w:rsidRDefault="00C572A3" w:rsidP="00C572A3">
            <w:pPr>
              <w:spacing w:after="0" w:line="240" w:lineRule="auto"/>
              <w:rPr>
                <w:rFonts w:eastAsia="Times New Roman" w:cs="Calibri"/>
                <w:b/>
                <w:bCs/>
                <w:color w:val="000000"/>
                <w:sz w:val="18"/>
                <w:szCs w:val="18"/>
              </w:rPr>
            </w:pPr>
            <w:r w:rsidRPr="00C572A3">
              <w:rPr>
                <w:rFonts w:eastAsia="Times New Roman" w:cs="Calibri"/>
                <w:b/>
                <w:bCs/>
                <w:color w:val="000000"/>
                <w:sz w:val="18"/>
                <w:szCs w:val="18"/>
              </w:rPr>
              <w:t>Alquileres y derechos sobre bienes</w:t>
            </w:r>
          </w:p>
        </w:tc>
        <w:tc>
          <w:tcPr>
            <w:tcW w:w="520" w:type="dxa"/>
            <w:tcBorders>
              <w:top w:val="nil"/>
              <w:left w:val="nil"/>
              <w:bottom w:val="single" w:sz="8" w:space="0" w:color="auto"/>
              <w:right w:val="single" w:sz="8" w:space="0" w:color="auto"/>
            </w:tcBorders>
            <w:shd w:val="clear" w:color="auto" w:fill="auto"/>
            <w:noWrap/>
            <w:vAlign w:val="center"/>
            <w:hideMark/>
          </w:tcPr>
          <w:p w14:paraId="7A135F73"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48</w:t>
            </w:r>
          </w:p>
        </w:tc>
        <w:tc>
          <w:tcPr>
            <w:tcW w:w="2200" w:type="dxa"/>
            <w:tcBorders>
              <w:top w:val="nil"/>
              <w:left w:val="nil"/>
              <w:bottom w:val="single" w:sz="8" w:space="0" w:color="auto"/>
              <w:right w:val="single" w:sz="8" w:space="0" w:color="auto"/>
            </w:tcBorders>
            <w:shd w:val="clear" w:color="auto" w:fill="auto"/>
            <w:noWrap/>
            <w:vAlign w:val="center"/>
            <w:hideMark/>
          </w:tcPr>
          <w:p w14:paraId="5441AC8C"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21 544,07 </w:t>
            </w:r>
          </w:p>
        </w:tc>
        <w:tc>
          <w:tcPr>
            <w:tcW w:w="2200" w:type="dxa"/>
            <w:tcBorders>
              <w:top w:val="nil"/>
              <w:left w:val="nil"/>
              <w:bottom w:val="single" w:sz="8" w:space="0" w:color="auto"/>
              <w:right w:val="single" w:sz="8" w:space="0" w:color="auto"/>
            </w:tcBorders>
            <w:shd w:val="clear" w:color="auto" w:fill="auto"/>
            <w:noWrap/>
            <w:vAlign w:val="center"/>
            <w:hideMark/>
          </w:tcPr>
          <w:p w14:paraId="768554BE"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20 960,35 </w:t>
            </w:r>
          </w:p>
        </w:tc>
        <w:tc>
          <w:tcPr>
            <w:tcW w:w="1080" w:type="dxa"/>
            <w:tcBorders>
              <w:top w:val="nil"/>
              <w:left w:val="nil"/>
              <w:bottom w:val="single" w:sz="8" w:space="0" w:color="auto"/>
              <w:right w:val="single" w:sz="8" w:space="0" w:color="auto"/>
            </w:tcBorders>
            <w:shd w:val="clear" w:color="auto" w:fill="auto"/>
            <w:noWrap/>
            <w:vAlign w:val="center"/>
            <w:hideMark/>
          </w:tcPr>
          <w:p w14:paraId="7410EDB6"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2,78%</w:t>
            </w:r>
          </w:p>
        </w:tc>
      </w:tr>
    </w:tbl>
    <w:p w14:paraId="4975A65E" w14:textId="77777777" w:rsidR="00873B1C" w:rsidRDefault="00873B1C" w:rsidP="00F45578">
      <w:pPr>
        <w:spacing w:after="0" w:line="240" w:lineRule="auto"/>
      </w:pPr>
      <w:r>
        <w:fldChar w:fldCharType="end"/>
      </w:r>
    </w:p>
    <w:p w14:paraId="7FEA80A2" w14:textId="7A3E775A" w:rsidR="00694299" w:rsidRDefault="00692DC8" w:rsidP="00F45578">
      <w:pPr>
        <w:spacing w:after="0" w:line="240" w:lineRule="auto"/>
        <w:rPr>
          <w:rFonts w:asciiTheme="minorHAnsi" w:hAnsiTheme="minorHAnsi"/>
          <w:sz w:val="22"/>
        </w:rPr>
      </w:pPr>
      <w:r w:rsidRPr="00692DC8">
        <w:t>Detalle cuenta:</w:t>
      </w:r>
      <w:r w:rsidR="007D6FBD">
        <w:fldChar w:fldCharType="begin"/>
      </w:r>
      <w:r w:rsidR="007D6FBD">
        <w:instrText xml:space="preserve"> LINK </w:instrText>
      </w:r>
      <w:r w:rsidR="00323752">
        <w:instrText xml:space="preserve">Excel.SheetMacroEnabled.12 "D:\\MORAVIA\\INSUMOS\\NOTAS 2024\\Formato_Notas_EEFF_Vinculadas_2024\\XXXXX_PXX_202X_Anexo_Estado_Notas_Contables_Vinculadas.xlsm" NOTAS_POR_CUENTA!F300C1:F302C6 </w:instrText>
      </w:r>
      <w:r w:rsidR="007D6FBD">
        <w:instrText xml:space="preserve">\a \f 4 \h </w:instrText>
      </w:r>
      <w:r w:rsidR="007D6FBD">
        <w:fldChar w:fldCharType="separate"/>
      </w:r>
    </w:p>
    <w:p w14:paraId="2E2579ED" w14:textId="63781ED5" w:rsidR="00C572A3" w:rsidRDefault="007D6FBD" w:rsidP="00F45578">
      <w:pPr>
        <w:spacing w:after="0" w:line="240" w:lineRule="auto"/>
        <w:rPr>
          <w:rFonts w:asciiTheme="minorHAnsi" w:hAnsiTheme="minorHAnsi"/>
          <w:sz w:val="22"/>
        </w:rPr>
      </w:pPr>
      <w:r>
        <w:rPr>
          <w:szCs w:val="24"/>
        </w:rPr>
        <w:fldChar w:fldCharType="end"/>
      </w:r>
      <w:r w:rsidR="00873B1C">
        <w:rPr>
          <w:szCs w:val="24"/>
        </w:rPr>
        <w:fldChar w:fldCharType="begin"/>
      </w:r>
      <w:r w:rsidR="00873B1C">
        <w:rPr>
          <w:szCs w:val="24"/>
        </w:rPr>
        <w:instrText xml:space="preserve"> LINK </w:instrText>
      </w:r>
      <w:r w:rsidR="0068177A">
        <w:rPr>
          <w:szCs w:val="24"/>
        </w:rPr>
        <w:instrText xml:space="preserve">Excel.SheetMacroEnabled.12 "C:\\Users\\arges\\OneDrive\\Desktop\\Municipalidades\\Buenos Aires\\Cierre Junio 2024\\Notas Contables\\15603_T02_2024_Anexo_Estado_Notas_Contables_Vinculadas.xlsm" NOTAS_POR_CUENTA!R300C1:R302C6 </w:instrText>
      </w:r>
      <w:r w:rsidR="00873B1C">
        <w:rPr>
          <w:szCs w:val="24"/>
        </w:rPr>
        <w:instrText xml:space="preserve">\a \f 4 \h </w:instrText>
      </w:r>
      <w:r w:rsidR="00873B1C">
        <w:rPr>
          <w:szCs w:val="24"/>
        </w:rPr>
        <w:fldChar w:fldCharType="separate"/>
      </w:r>
    </w:p>
    <w:tbl>
      <w:tblPr>
        <w:tblW w:w="10080" w:type="dxa"/>
        <w:tblLook w:val="04A0" w:firstRow="1" w:lastRow="0" w:firstColumn="1" w:lastColumn="0" w:noHBand="0" w:noVBand="1"/>
      </w:tblPr>
      <w:tblGrid>
        <w:gridCol w:w="791"/>
        <w:gridCol w:w="3265"/>
        <w:gridCol w:w="544"/>
        <w:gridCol w:w="2200"/>
        <w:gridCol w:w="2200"/>
        <w:gridCol w:w="1080"/>
      </w:tblGrid>
      <w:tr w:rsidR="00C572A3" w:rsidRPr="00C572A3" w14:paraId="73043D2C" w14:textId="77777777" w:rsidTr="00C572A3">
        <w:trPr>
          <w:divId w:val="1802721723"/>
          <w:trHeight w:val="320"/>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70CD906" w14:textId="012CC8F1" w:rsidR="00C572A3" w:rsidRPr="00C572A3" w:rsidRDefault="00C572A3" w:rsidP="00C572A3">
            <w:pP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2EE8091"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Descripción</w:t>
            </w:r>
          </w:p>
        </w:tc>
        <w:tc>
          <w:tcPr>
            <w:tcW w:w="5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2C6F5CB"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Nota</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5D052A7"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Actual </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3FF8558"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Anterior </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1CAB4F0C"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Diferencia </w:t>
            </w:r>
          </w:p>
        </w:tc>
      </w:tr>
      <w:tr w:rsidR="00C572A3" w:rsidRPr="00C572A3" w14:paraId="3C6B9A59" w14:textId="77777777" w:rsidTr="00C572A3">
        <w:trPr>
          <w:divId w:val="1802721723"/>
          <w:trHeight w:val="320"/>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04ABBB92"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4B4789CF"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14:paraId="127EA5C4"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1FAA0255"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58283E36"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1080" w:type="dxa"/>
            <w:tcBorders>
              <w:top w:val="nil"/>
              <w:left w:val="nil"/>
              <w:bottom w:val="single" w:sz="8" w:space="0" w:color="auto"/>
              <w:right w:val="single" w:sz="8" w:space="0" w:color="auto"/>
            </w:tcBorders>
            <w:shd w:val="clear" w:color="000000" w:fill="366092"/>
            <w:noWrap/>
            <w:vAlign w:val="center"/>
            <w:hideMark/>
          </w:tcPr>
          <w:p w14:paraId="1AE77476" w14:textId="77777777" w:rsidR="00C572A3" w:rsidRPr="00C572A3" w:rsidRDefault="00C572A3" w:rsidP="00C572A3">
            <w:pPr>
              <w:spacing w:after="0" w:line="240" w:lineRule="auto"/>
              <w:jc w:val="center"/>
              <w:rPr>
                <w:rFonts w:eastAsia="Times New Roman" w:cs="Calibri"/>
                <w:color w:val="FFFFFF"/>
                <w:sz w:val="18"/>
                <w:szCs w:val="18"/>
                <w:lang w:val="en-US"/>
              </w:rPr>
            </w:pPr>
            <w:r w:rsidRPr="00C572A3">
              <w:rPr>
                <w:rFonts w:eastAsia="Times New Roman" w:cs="Calibri"/>
                <w:color w:val="FFFFFF"/>
                <w:sz w:val="18"/>
                <w:szCs w:val="18"/>
                <w:lang w:val="en-US"/>
              </w:rPr>
              <w:t>%</w:t>
            </w:r>
          </w:p>
        </w:tc>
      </w:tr>
      <w:tr w:rsidR="00C572A3" w:rsidRPr="00C572A3" w14:paraId="0A90B519" w14:textId="77777777" w:rsidTr="00C572A3">
        <w:trPr>
          <w:divId w:val="1802721723"/>
          <w:trHeight w:val="320"/>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070D2D1D" w14:textId="77777777" w:rsidR="00C572A3" w:rsidRPr="00C572A3" w:rsidRDefault="00C572A3" w:rsidP="00C572A3">
            <w:pPr>
              <w:spacing w:after="0" w:line="240" w:lineRule="auto"/>
              <w:jc w:val="left"/>
              <w:rPr>
                <w:rFonts w:eastAsia="Times New Roman" w:cs="Calibri"/>
                <w:b/>
                <w:bCs/>
                <w:color w:val="000000"/>
                <w:sz w:val="18"/>
                <w:szCs w:val="18"/>
                <w:lang w:val="en-US"/>
              </w:rPr>
            </w:pPr>
            <w:r w:rsidRPr="00C572A3">
              <w:rPr>
                <w:rFonts w:eastAsia="Times New Roman" w:cs="Calibri"/>
                <w:b/>
                <w:bCs/>
                <w:color w:val="000000"/>
                <w:sz w:val="18"/>
                <w:szCs w:val="18"/>
                <w:lang w:val="en-US"/>
              </w:rPr>
              <w:t>4.5.2.01.</w:t>
            </w:r>
          </w:p>
        </w:tc>
        <w:tc>
          <w:tcPr>
            <w:tcW w:w="3380" w:type="dxa"/>
            <w:tcBorders>
              <w:top w:val="nil"/>
              <w:left w:val="nil"/>
              <w:bottom w:val="single" w:sz="8" w:space="0" w:color="auto"/>
              <w:right w:val="single" w:sz="8" w:space="0" w:color="auto"/>
            </w:tcBorders>
            <w:shd w:val="clear" w:color="auto" w:fill="auto"/>
            <w:vAlign w:val="center"/>
            <w:hideMark/>
          </w:tcPr>
          <w:p w14:paraId="1F8870C7" w14:textId="77777777" w:rsidR="00C572A3" w:rsidRPr="00C572A3" w:rsidRDefault="00C572A3" w:rsidP="00C572A3">
            <w:pPr>
              <w:spacing w:after="0" w:line="240" w:lineRule="auto"/>
              <w:rPr>
                <w:rFonts w:eastAsia="Times New Roman" w:cs="Calibri"/>
                <w:b/>
                <w:bCs/>
                <w:color w:val="000000"/>
                <w:sz w:val="18"/>
                <w:szCs w:val="18"/>
                <w:lang w:val="en-US"/>
              </w:rPr>
            </w:pPr>
            <w:r w:rsidRPr="00C572A3">
              <w:rPr>
                <w:rFonts w:eastAsia="Times New Roman" w:cs="Calibri"/>
                <w:b/>
                <w:bCs/>
                <w:color w:val="000000"/>
                <w:sz w:val="18"/>
                <w:szCs w:val="18"/>
                <w:lang w:val="en-US"/>
              </w:rPr>
              <w:t>Alquileres</w:t>
            </w:r>
          </w:p>
        </w:tc>
        <w:tc>
          <w:tcPr>
            <w:tcW w:w="520" w:type="dxa"/>
            <w:tcBorders>
              <w:top w:val="nil"/>
              <w:left w:val="nil"/>
              <w:bottom w:val="single" w:sz="8" w:space="0" w:color="auto"/>
              <w:right w:val="single" w:sz="8" w:space="0" w:color="auto"/>
            </w:tcBorders>
            <w:shd w:val="clear" w:color="auto" w:fill="auto"/>
            <w:noWrap/>
            <w:vAlign w:val="center"/>
            <w:hideMark/>
          </w:tcPr>
          <w:p w14:paraId="505B4175"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48</w:t>
            </w:r>
          </w:p>
        </w:tc>
        <w:tc>
          <w:tcPr>
            <w:tcW w:w="2200" w:type="dxa"/>
            <w:tcBorders>
              <w:top w:val="nil"/>
              <w:left w:val="nil"/>
              <w:bottom w:val="single" w:sz="8" w:space="0" w:color="auto"/>
              <w:right w:val="single" w:sz="8" w:space="0" w:color="auto"/>
            </w:tcBorders>
            <w:shd w:val="clear" w:color="auto" w:fill="auto"/>
            <w:noWrap/>
            <w:vAlign w:val="center"/>
            <w:hideMark/>
          </w:tcPr>
          <w:p w14:paraId="57EB0410"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21 544,07 </w:t>
            </w:r>
          </w:p>
        </w:tc>
        <w:tc>
          <w:tcPr>
            <w:tcW w:w="2200" w:type="dxa"/>
            <w:tcBorders>
              <w:top w:val="nil"/>
              <w:left w:val="nil"/>
              <w:bottom w:val="single" w:sz="8" w:space="0" w:color="auto"/>
              <w:right w:val="single" w:sz="8" w:space="0" w:color="auto"/>
            </w:tcBorders>
            <w:shd w:val="clear" w:color="auto" w:fill="auto"/>
            <w:noWrap/>
            <w:vAlign w:val="center"/>
            <w:hideMark/>
          </w:tcPr>
          <w:p w14:paraId="6E07BC7E"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20 960,35 </w:t>
            </w:r>
          </w:p>
        </w:tc>
        <w:tc>
          <w:tcPr>
            <w:tcW w:w="1080" w:type="dxa"/>
            <w:tcBorders>
              <w:top w:val="nil"/>
              <w:left w:val="nil"/>
              <w:bottom w:val="single" w:sz="8" w:space="0" w:color="auto"/>
              <w:right w:val="single" w:sz="8" w:space="0" w:color="auto"/>
            </w:tcBorders>
            <w:shd w:val="clear" w:color="auto" w:fill="auto"/>
            <w:noWrap/>
            <w:vAlign w:val="center"/>
            <w:hideMark/>
          </w:tcPr>
          <w:p w14:paraId="39D71014"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2,78%</w:t>
            </w:r>
          </w:p>
        </w:tc>
      </w:tr>
    </w:tbl>
    <w:p w14:paraId="7F48D6C6" w14:textId="4A207A60" w:rsidR="00692DC8" w:rsidRPr="00692DC8" w:rsidRDefault="00873B1C" w:rsidP="00CD1227">
      <w:pPr>
        <w:spacing w:before="240"/>
        <w:rPr>
          <w:szCs w:val="24"/>
        </w:rPr>
      </w:pPr>
      <w:r>
        <w:rPr>
          <w:szCs w:val="24"/>
        </w:rPr>
        <w:fldChar w:fldCharType="end"/>
      </w:r>
      <w:r w:rsidR="00692DC8" w:rsidRPr="00692DC8">
        <w:rPr>
          <w:szCs w:val="24"/>
        </w:rPr>
        <w:t>Indicar el detalle de cómo está compuesta la cuenta:</w:t>
      </w:r>
    </w:p>
    <w:p w14:paraId="0089D181" w14:textId="77777777" w:rsidR="00CD1227" w:rsidRDefault="00692DC8" w:rsidP="00CD1227">
      <w:pPr>
        <w:rPr>
          <w:rFonts w:eastAsia="Times New Roman"/>
          <w:szCs w:val="24"/>
          <w:lang w:eastAsia="es-CR"/>
        </w:rPr>
      </w:pPr>
      <w:r w:rsidRPr="00692DC8">
        <w:rPr>
          <w:rFonts w:eastAsia="Times New Roman"/>
          <w:szCs w:val="24"/>
          <w:lang w:eastAsia="es-CR"/>
        </w:rPr>
        <w:t>________________________________________________________________________________________________________________________________________________________________________________________________________________________________________________</w:t>
      </w:r>
    </w:p>
    <w:p w14:paraId="5C3AD48C" w14:textId="77777777" w:rsidR="00694299" w:rsidRPr="00694299" w:rsidRDefault="00692DC8" w:rsidP="00407F24">
      <w:pPr>
        <w:rPr>
          <w:rFonts w:eastAsia="Times New Roman"/>
          <w:b/>
          <w:szCs w:val="24"/>
          <w:lang w:eastAsia="es-CR"/>
        </w:rPr>
      </w:pPr>
      <w:r w:rsidRPr="00CD1227">
        <w:rPr>
          <w:b/>
          <w:lang w:val="es-ES"/>
        </w:rPr>
        <w:t xml:space="preserve">Revelación: </w:t>
      </w:r>
      <w:r w:rsidR="00407F24">
        <w:rPr>
          <w:rFonts w:eastAsia="Times New Roman" w:cs="Calibri"/>
          <w:color w:val="000000"/>
          <w:lang w:eastAsia="es-CR"/>
        </w:rPr>
        <w:fldChar w:fldCharType="begin"/>
      </w:r>
      <w:r w:rsidR="00407F24">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NOTAS_POR_CUENTA!F298C8 </w:instrText>
      </w:r>
      <w:r w:rsidR="00407F24">
        <w:rPr>
          <w:rFonts w:eastAsia="Times New Roman" w:cs="Calibri"/>
          <w:color w:val="000000"/>
          <w:lang w:eastAsia="es-CR"/>
        </w:rPr>
        <w:instrText xml:space="preserve">\a \f 5 \h  \* MERGEFORMAT </w:instrText>
      </w:r>
      <w:r w:rsidR="00407F24">
        <w:rPr>
          <w:rFonts w:eastAsia="Times New Roman" w:cs="Calibri"/>
          <w:color w:val="000000"/>
          <w:lang w:eastAsia="es-CR"/>
        </w:rPr>
        <w:fldChar w:fldCharType="separate"/>
      </w:r>
    </w:p>
    <w:p w14:paraId="17E7180D" w14:textId="319271BE" w:rsidR="00694299" w:rsidRPr="00694299" w:rsidRDefault="00694299" w:rsidP="003A6F04">
      <w:pPr>
        <w:spacing w:line="240" w:lineRule="auto"/>
        <w:rPr>
          <w:rFonts w:eastAsia="Times New Roman" w:cs="Calibri"/>
          <w:color w:val="000000"/>
          <w:lang w:eastAsia="es-CR"/>
        </w:rPr>
      </w:pPr>
      <w:r w:rsidRPr="00694299">
        <w:rPr>
          <w:rFonts w:eastAsia="Times New Roman" w:cs="Calibri"/>
          <w:color w:val="000000"/>
          <w:lang w:eastAsia="es-CR"/>
        </w:rPr>
        <w:t>La cuenta Alquileres y derechos sobre bienes, representa el 0,</w:t>
      </w:r>
      <w:r w:rsidR="003A6F04">
        <w:rPr>
          <w:rFonts w:eastAsia="Times New Roman" w:cs="Calibri"/>
          <w:color w:val="000000"/>
          <w:lang w:eastAsia="es-CR"/>
        </w:rPr>
        <w:t>46</w:t>
      </w:r>
      <w:r w:rsidRPr="00694299">
        <w:rPr>
          <w:rFonts w:eastAsia="Times New Roman" w:cs="Calibri"/>
          <w:color w:val="000000"/>
          <w:lang w:eastAsia="es-CR"/>
        </w:rPr>
        <w:t xml:space="preserve">% del total del Ingresos, que comparado al periodo anterior genera una variación absoluta de </w:t>
      </w:r>
      <w:r w:rsidR="003A6F04" w:rsidRPr="003A6F04">
        <w:rPr>
          <w:rFonts w:eastAsia="Times New Roman" w:cs="Calibri"/>
          <w:color w:val="000000"/>
          <w:lang w:eastAsia="es-CR"/>
        </w:rPr>
        <w:t>583,72</w:t>
      </w:r>
      <w:r w:rsidRPr="00694299">
        <w:rPr>
          <w:rFonts w:eastAsia="Times New Roman" w:cs="Calibri"/>
          <w:color w:val="000000"/>
          <w:lang w:eastAsia="es-CR"/>
        </w:rPr>
        <w:t xml:space="preserve"> que corresponde a un Aumento del 2,78% de recursos disponibles.</w:t>
      </w:r>
    </w:p>
    <w:p w14:paraId="71D93B07" w14:textId="73F5CB87" w:rsidR="00692DC8" w:rsidRPr="00692DC8" w:rsidRDefault="00407F24" w:rsidP="003A6F04">
      <w:pPr>
        <w:spacing w:line="240" w:lineRule="auto"/>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43E90AF6" w14:textId="60D9B360" w:rsidR="00C32C84" w:rsidRDefault="00C32C84" w:rsidP="00C32C84">
      <w:pPr>
        <w:spacing w:after="0" w:line="240" w:lineRule="auto"/>
      </w:pPr>
      <w:r>
        <w:t xml:space="preserve">Algunos inquilinos tenían pendiente de cancelar el alquiler. </w:t>
      </w:r>
      <w:r w:rsidRPr="00A91674">
        <w:t xml:space="preserve">Como se observa en el detalle </w:t>
      </w:r>
      <w:r>
        <w:t>de cómo está compuesta la cuenta,</w:t>
      </w:r>
      <w:r w:rsidRPr="00A91674">
        <w:t xml:space="preserve"> el saldo representa el monto </w:t>
      </w:r>
      <w:r>
        <w:t>devengado</w:t>
      </w:r>
      <w:r w:rsidRPr="00A91674">
        <w:t xml:space="preserve"> por la Municipalidad </w:t>
      </w:r>
      <w:r>
        <w:t xml:space="preserve">al </w:t>
      </w:r>
      <w:r w:rsidR="00D470B6">
        <w:t>30 de junio</w:t>
      </w:r>
      <w:r w:rsidRPr="00A91674">
        <w:t xml:space="preserve"> </w:t>
      </w:r>
      <w:r>
        <w:t>2024</w:t>
      </w:r>
      <w:r w:rsidRPr="00A91674">
        <w:t xml:space="preserve"> por concepto de alquileres operativos</w:t>
      </w:r>
      <w:r>
        <w:t xml:space="preserve"> de edificios</w:t>
      </w:r>
      <w:r w:rsidRPr="00A91674">
        <w:t xml:space="preserve"> que posee según el siguiente detalle:</w:t>
      </w:r>
    </w:p>
    <w:p w14:paraId="5E565D67" w14:textId="77777777" w:rsidR="00C32C84" w:rsidRPr="00A91674" w:rsidRDefault="00C32C84" w:rsidP="00C32C84">
      <w:pPr>
        <w:spacing w:after="0" w:line="240" w:lineRule="auto"/>
      </w:pPr>
    </w:p>
    <w:tbl>
      <w:tblPr>
        <w:tblW w:w="4963" w:type="dxa"/>
        <w:tblLook w:val="04A0" w:firstRow="1" w:lastRow="0" w:firstColumn="1" w:lastColumn="0" w:noHBand="0" w:noVBand="1"/>
      </w:tblPr>
      <w:tblGrid>
        <w:gridCol w:w="3959"/>
        <w:gridCol w:w="1004"/>
      </w:tblGrid>
      <w:tr w:rsidR="00C32C84" w:rsidRPr="00A91674" w14:paraId="5EEEECFD" w14:textId="77777777" w:rsidTr="004653E2">
        <w:trPr>
          <w:trHeight w:val="300"/>
        </w:trPr>
        <w:tc>
          <w:tcPr>
            <w:tcW w:w="3959"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324A10AF" w14:textId="77777777" w:rsidR="00C32C84" w:rsidRPr="00A91674" w:rsidRDefault="00C32C84" w:rsidP="00C32C84">
            <w:pPr>
              <w:spacing w:after="0" w:line="240" w:lineRule="auto"/>
              <w:jc w:val="center"/>
              <w:rPr>
                <w:rFonts w:cs="Calibri"/>
                <w:color w:val="FFFFFF"/>
              </w:rPr>
            </w:pPr>
            <w:r w:rsidRPr="00A91674">
              <w:rPr>
                <w:rFonts w:cs="Calibri"/>
                <w:color w:val="FFFFFF"/>
              </w:rPr>
              <w:t>Descripción</w:t>
            </w:r>
          </w:p>
        </w:tc>
        <w:tc>
          <w:tcPr>
            <w:tcW w:w="1004" w:type="dxa"/>
            <w:tcBorders>
              <w:top w:val="single" w:sz="8" w:space="0" w:color="auto"/>
              <w:left w:val="nil"/>
              <w:bottom w:val="single" w:sz="8" w:space="0" w:color="auto"/>
              <w:right w:val="single" w:sz="8" w:space="0" w:color="auto"/>
            </w:tcBorders>
            <w:shd w:val="clear" w:color="000000" w:fill="1F3864"/>
            <w:noWrap/>
            <w:vAlign w:val="center"/>
            <w:hideMark/>
          </w:tcPr>
          <w:p w14:paraId="5E6EE25D" w14:textId="77777777" w:rsidR="00C32C84" w:rsidRPr="00A91674" w:rsidRDefault="00C32C84" w:rsidP="00C32C84">
            <w:pPr>
              <w:spacing w:after="0" w:line="240" w:lineRule="auto"/>
              <w:jc w:val="center"/>
              <w:rPr>
                <w:rFonts w:cs="Calibri"/>
                <w:color w:val="FFFFFF"/>
              </w:rPr>
            </w:pPr>
            <w:r w:rsidRPr="00A91674">
              <w:rPr>
                <w:rFonts w:cs="Calibri"/>
                <w:color w:val="FFFFFF"/>
              </w:rPr>
              <w:t>Cantidad</w:t>
            </w:r>
          </w:p>
        </w:tc>
      </w:tr>
      <w:tr w:rsidR="00C32C84" w:rsidRPr="00A91674" w14:paraId="0BCFD713" w14:textId="77777777" w:rsidTr="004653E2">
        <w:trPr>
          <w:trHeight w:val="300"/>
        </w:trPr>
        <w:tc>
          <w:tcPr>
            <w:tcW w:w="3959" w:type="dxa"/>
            <w:tcBorders>
              <w:top w:val="nil"/>
              <w:left w:val="single" w:sz="8" w:space="0" w:color="auto"/>
              <w:bottom w:val="single" w:sz="8" w:space="0" w:color="auto"/>
              <w:right w:val="single" w:sz="8" w:space="0" w:color="auto"/>
            </w:tcBorders>
            <w:shd w:val="clear" w:color="auto" w:fill="auto"/>
            <w:vAlign w:val="center"/>
            <w:hideMark/>
          </w:tcPr>
          <w:p w14:paraId="0F0692A2" w14:textId="77777777" w:rsidR="00C32C84" w:rsidRPr="00A91674" w:rsidRDefault="00C32C84" w:rsidP="00C32C84">
            <w:pPr>
              <w:spacing w:after="0" w:line="240" w:lineRule="auto"/>
              <w:rPr>
                <w:rFonts w:cs="Calibri"/>
                <w:color w:val="000000"/>
              </w:rPr>
            </w:pPr>
            <w:r w:rsidRPr="00A91674">
              <w:rPr>
                <w:rFonts w:cs="Calibri"/>
                <w:color w:val="000000"/>
              </w:rPr>
              <w:t>Locales mercado municipal</w:t>
            </w:r>
          </w:p>
        </w:tc>
        <w:tc>
          <w:tcPr>
            <w:tcW w:w="1004" w:type="dxa"/>
            <w:tcBorders>
              <w:top w:val="nil"/>
              <w:left w:val="nil"/>
              <w:bottom w:val="nil"/>
              <w:right w:val="single" w:sz="8" w:space="0" w:color="auto"/>
            </w:tcBorders>
            <w:shd w:val="clear" w:color="auto" w:fill="auto"/>
            <w:noWrap/>
            <w:vAlign w:val="bottom"/>
            <w:hideMark/>
          </w:tcPr>
          <w:p w14:paraId="0A3419D6" w14:textId="77777777" w:rsidR="00C32C84" w:rsidRPr="00A91674" w:rsidRDefault="00C32C84" w:rsidP="00C32C84">
            <w:pPr>
              <w:spacing w:after="0" w:line="240" w:lineRule="auto"/>
              <w:jc w:val="center"/>
              <w:rPr>
                <w:rFonts w:cs="Calibri"/>
                <w:color w:val="000000"/>
              </w:rPr>
            </w:pPr>
            <w:r w:rsidRPr="00A91674">
              <w:rPr>
                <w:rFonts w:cs="Calibri"/>
                <w:color w:val="000000"/>
              </w:rPr>
              <w:t>17</w:t>
            </w:r>
          </w:p>
        </w:tc>
      </w:tr>
      <w:tr w:rsidR="00C32C84" w:rsidRPr="00A91674" w14:paraId="655B162D" w14:textId="77777777" w:rsidTr="004653E2">
        <w:trPr>
          <w:trHeight w:val="300"/>
        </w:trPr>
        <w:tc>
          <w:tcPr>
            <w:tcW w:w="3959" w:type="dxa"/>
            <w:tcBorders>
              <w:top w:val="nil"/>
              <w:left w:val="single" w:sz="8" w:space="0" w:color="auto"/>
              <w:bottom w:val="single" w:sz="8" w:space="0" w:color="auto"/>
              <w:right w:val="single" w:sz="8" w:space="0" w:color="auto"/>
            </w:tcBorders>
            <w:shd w:val="clear" w:color="auto" w:fill="auto"/>
            <w:vAlign w:val="center"/>
            <w:hideMark/>
          </w:tcPr>
          <w:p w14:paraId="3F7AAD73" w14:textId="77777777" w:rsidR="00C32C84" w:rsidRPr="00A91674" w:rsidRDefault="00C32C84" w:rsidP="00C32C84">
            <w:pPr>
              <w:spacing w:after="0" w:line="240" w:lineRule="auto"/>
              <w:rPr>
                <w:rFonts w:cs="Calibri"/>
                <w:color w:val="000000"/>
              </w:rPr>
            </w:pPr>
            <w:r w:rsidRPr="00A91674">
              <w:rPr>
                <w:rFonts w:cs="Calibri"/>
                <w:color w:val="000000"/>
              </w:rPr>
              <w:t>Locales terminal municipal de autobuses</w:t>
            </w:r>
          </w:p>
        </w:tc>
        <w:tc>
          <w:tcPr>
            <w:tcW w:w="1004" w:type="dxa"/>
            <w:tcBorders>
              <w:top w:val="nil"/>
              <w:left w:val="nil"/>
              <w:bottom w:val="nil"/>
              <w:right w:val="single" w:sz="8" w:space="0" w:color="auto"/>
            </w:tcBorders>
            <w:shd w:val="clear" w:color="auto" w:fill="auto"/>
            <w:noWrap/>
            <w:vAlign w:val="bottom"/>
            <w:hideMark/>
          </w:tcPr>
          <w:p w14:paraId="605CDB6F" w14:textId="77777777" w:rsidR="00C32C84" w:rsidRPr="00A91674" w:rsidRDefault="00C32C84" w:rsidP="00C32C84">
            <w:pPr>
              <w:spacing w:after="0" w:line="240" w:lineRule="auto"/>
              <w:jc w:val="center"/>
              <w:rPr>
                <w:rFonts w:cs="Calibri"/>
                <w:color w:val="000000"/>
              </w:rPr>
            </w:pPr>
            <w:r w:rsidRPr="00A91674">
              <w:rPr>
                <w:rFonts w:cs="Calibri"/>
                <w:color w:val="000000"/>
              </w:rPr>
              <w:t>3</w:t>
            </w:r>
          </w:p>
        </w:tc>
      </w:tr>
      <w:tr w:rsidR="00C32C84" w:rsidRPr="00A91674" w14:paraId="021D513B" w14:textId="77777777" w:rsidTr="004653E2">
        <w:trPr>
          <w:trHeight w:val="300"/>
        </w:trPr>
        <w:tc>
          <w:tcPr>
            <w:tcW w:w="3959" w:type="dxa"/>
            <w:tcBorders>
              <w:top w:val="nil"/>
              <w:left w:val="single" w:sz="8" w:space="0" w:color="auto"/>
              <w:bottom w:val="single" w:sz="8" w:space="0" w:color="auto"/>
              <w:right w:val="single" w:sz="8" w:space="0" w:color="auto"/>
            </w:tcBorders>
            <w:shd w:val="clear" w:color="auto" w:fill="auto"/>
            <w:vAlign w:val="center"/>
            <w:hideMark/>
          </w:tcPr>
          <w:p w14:paraId="726EA8EA" w14:textId="77777777" w:rsidR="00C32C84" w:rsidRPr="00A91674" w:rsidRDefault="00C32C84" w:rsidP="00C32C84">
            <w:pPr>
              <w:spacing w:after="0" w:line="240" w:lineRule="auto"/>
              <w:rPr>
                <w:rFonts w:cs="Calibri"/>
                <w:color w:val="000000"/>
              </w:rPr>
            </w:pPr>
            <w:r w:rsidRPr="00A91674">
              <w:rPr>
                <w:rFonts w:cs="Calibri"/>
                <w:color w:val="000000"/>
              </w:rPr>
              <w:t>Espacio terminal municipal de autobuses</w:t>
            </w:r>
          </w:p>
        </w:tc>
        <w:tc>
          <w:tcPr>
            <w:tcW w:w="1004" w:type="dxa"/>
            <w:tcBorders>
              <w:top w:val="nil"/>
              <w:left w:val="nil"/>
              <w:bottom w:val="nil"/>
              <w:right w:val="single" w:sz="8" w:space="0" w:color="auto"/>
            </w:tcBorders>
            <w:shd w:val="clear" w:color="auto" w:fill="auto"/>
            <w:noWrap/>
            <w:vAlign w:val="bottom"/>
            <w:hideMark/>
          </w:tcPr>
          <w:p w14:paraId="1A5320C8" w14:textId="77777777" w:rsidR="00C32C84" w:rsidRPr="00A91674" w:rsidRDefault="00C32C84" w:rsidP="00C32C84">
            <w:pPr>
              <w:spacing w:after="0" w:line="240" w:lineRule="auto"/>
              <w:jc w:val="center"/>
              <w:rPr>
                <w:rFonts w:cs="Calibri"/>
                <w:color w:val="000000"/>
              </w:rPr>
            </w:pPr>
            <w:r w:rsidRPr="00A91674">
              <w:rPr>
                <w:rFonts w:cs="Calibri"/>
                <w:color w:val="000000"/>
              </w:rPr>
              <w:t>7</w:t>
            </w:r>
          </w:p>
        </w:tc>
      </w:tr>
      <w:tr w:rsidR="00C32C84" w:rsidRPr="00A91674" w14:paraId="7C85AD0D" w14:textId="77777777" w:rsidTr="004653E2">
        <w:trPr>
          <w:trHeight w:val="300"/>
        </w:trPr>
        <w:tc>
          <w:tcPr>
            <w:tcW w:w="3959" w:type="dxa"/>
            <w:tcBorders>
              <w:top w:val="nil"/>
              <w:left w:val="single" w:sz="8" w:space="0" w:color="auto"/>
              <w:bottom w:val="single" w:sz="8" w:space="0" w:color="auto"/>
              <w:right w:val="nil"/>
            </w:tcBorders>
            <w:shd w:val="clear" w:color="auto" w:fill="auto"/>
            <w:vAlign w:val="center"/>
            <w:hideMark/>
          </w:tcPr>
          <w:p w14:paraId="39C1FD3B" w14:textId="77777777" w:rsidR="00C32C84" w:rsidRPr="00A91674" w:rsidRDefault="00C32C84" w:rsidP="00C32C84">
            <w:pPr>
              <w:spacing w:after="0" w:line="240" w:lineRule="auto"/>
              <w:jc w:val="center"/>
              <w:rPr>
                <w:rFonts w:cs="Calibri"/>
                <w:b/>
                <w:bCs/>
                <w:color w:val="000000"/>
              </w:rPr>
            </w:pPr>
            <w:r w:rsidRPr="00A91674">
              <w:rPr>
                <w:rFonts w:cs="Calibri"/>
                <w:b/>
                <w:bCs/>
                <w:color w:val="000000"/>
              </w:rPr>
              <w:t>Total</w:t>
            </w:r>
          </w:p>
        </w:tc>
        <w:tc>
          <w:tcPr>
            <w:tcW w:w="100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21C8E23" w14:textId="77777777" w:rsidR="00C32C84" w:rsidRPr="00A91674" w:rsidRDefault="00C32C84" w:rsidP="00C32C84">
            <w:pPr>
              <w:spacing w:after="0" w:line="240" w:lineRule="auto"/>
              <w:jc w:val="center"/>
              <w:rPr>
                <w:rFonts w:cs="Calibri"/>
                <w:b/>
                <w:bCs/>
                <w:color w:val="000000"/>
              </w:rPr>
            </w:pPr>
            <w:r w:rsidRPr="00A91674">
              <w:rPr>
                <w:rFonts w:cs="Calibri"/>
                <w:b/>
                <w:bCs/>
                <w:color w:val="000000"/>
              </w:rPr>
              <w:t>27</w:t>
            </w:r>
          </w:p>
        </w:tc>
      </w:tr>
    </w:tbl>
    <w:p w14:paraId="5CEC90F7" w14:textId="77777777" w:rsidR="00F45578" w:rsidRDefault="00F45578" w:rsidP="00F45578">
      <w:pPr>
        <w:pStyle w:val="Ttulo4"/>
        <w:spacing w:before="0" w:line="240" w:lineRule="auto"/>
        <w:rPr>
          <w:rFonts w:eastAsia="Times New Roman"/>
        </w:rPr>
      </w:pPr>
      <w:bookmarkStart w:id="785" w:name="_Toc82769009"/>
    </w:p>
    <w:p w14:paraId="4CB19100" w14:textId="631CA4D6" w:rsidR="00692DC8" w:rsidRPr="00692DC8" w:rsidRDefault="00692DC8" w:rsidP="00CD1227">
      <w:pPr>
        <w:pStyle w:val="Ttulo4"/>
        <w:spacing w:after="240"/>
        <w:rPr>
          <w:rFonts w:eastAsia="Times New Roman"/>
        </w:rPr>
      </w:pPr>
      <w:bookmarkStart w:id="786" w:name="_Toc173245285"/>
      <w:r w:rsidRPr="00692DC8">
        <w:rPr>
          <w:rFonts w:eastAsia="Times New Roman"/>
        </w:rPr>
        <w:t>NOTA N° 4</w:t>
      </w:r>
      <w:bookmarkEnd w:id="783"/>
      <w:bookmarkEnd w:id="784"/>
      <w:bookmarkEnd w:id="785"/>
      <w:r w:rsidRPr="00692DC8">
        <w:rPr>
          <w:rFonts w:eastAsia="Times New Roman"/>
        </w:rPr>
        <w:t>9</w:t>
      </w:r>
      <w:bookmarkEnd w:id="786"/>
    </w:p>
    <w:p w14:paraId="324537DA" w14:textId="77777777" w:rsidR="00694299" w:rsidRDefault="00692DC8" w:rsidP="00DE143D">
      <w:pPr>
        <w:spacing w:before="240"/>
        <w:rPr>
          <w:rFonts w:asciiTheme="minorHAnsi" w:hAnsiTheme="minorHAnsi"/>
          <w:sz w:val="22"/>
        </w:rPr>
      </w:pPr>
      <w:bookmarkStart w:id="787" w:name="_Toc14344847"/>
      <w:bookmarkStart w:id="788" w:name="_Toc33601291"/>
      <w:bookmarkStart w:id="789" w:name="_Toc82769010"/>
      <w:r w:rsidRPr="00692DC8">
        <w:rPr>
          <w:rFonts w:eastAsia="Times New Roman"/>
        </w:rPr>
        <w:t>Otros ingresos de la propiedad</w:t>
      </w:r>
      <w:bookmarkEnd w:id="787"/>
      <w:bookmarkEnd w:id="788"/>
      <w:bookmarkEnd w:id="789"/>
      <w:r w:rsidR="009D16A1">
        <w:rPr>
          <w:rFonts w:eastAsiaTheme="majorEastAsia" w:cstheme="majorBidi"/>
          <w:iCs/>
          <w:lang w:val="es-ES"/>
        </w:rPr>
        <w:fldChar w:fldCharType="begin"/>
      </w:r>
      <w:r w:rsidR="009D16A1">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NOTAS_POR_CUENTA!F304C1:F306C6 </w:instrText>
      </w:r>
      <w:r w:rsidR="009D16A1">
        <w:rPr>
          <w:lang w:val="es-ES"/>
        </w:rPr>
        <w:instrText xml:space="preserve">\a \f 4 \h </w:instrText>
      </w:r>
      <w:r w:rsidR="009D16A1">
        <w:rPr>
          <w:b/>
          <w:lang w:val="es-ES"/>
        </w:rPr>
        <w:fldChar w:fldCharType="separate"/>
      </w:r>
    </w:p>
    <w:tbl>
      <w:tblPr>
        <w:tblW w:w="8847" w:type="dxa"/>
        <w:tblCellMar>
          <w:left w:w="70" w:type="dxa"/>
          <w:right w:w="70" w:type="dxa"/>
        </w:tblCellMar>
        <w:tblLook w:val="04A0" w:firstRow="1" w:lastRow="0" w:firstColumn="1" w:lastColumn="0" w:noHBand="0" w:noVBand="1"/>
      </w:tblPr>
      <w:tblGrid>
        <w:gridCol w:w="1396"/>
        <w:gridCol w:w="2604"/>
        <w:gridCol w:w="500"/>
        <w:gridCol w:w="1586"/>
        <w:gridCol w:w="1701"/>
        <w:gridCol w:w="1060"/>
      </w:tblGrid>
      <w:tr w:rsidR="00694299" w:rsidRPr="00694299" w14:paraId="13E43CB0" w14:textId="77777777" w:rsidTr="00873B1C">
        <w:trPr>
          <w:divId w:val="1806045490"/>
          <w:trHeight w:val="324"/>
        </w:trPr>
        <w:tc>
          <w:tcPr>
            <w:tcW w:w="139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A879C4C" w14:textId="51CCA0E4"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60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F83E9F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2B3D18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5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77AA466"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701D444"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C390E3E"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14119AA7" w14:textId="77777777" w:rsidTr="00873B1C">
        <w:trPr>
          <w:divId w:val="1806045490"/>
          <w:trHeight w:val="324"/>
        </w:trPr>
        <w:tc>
          <w:tcPr>
            <w:tcW w:w="1396" w:type="dxa"/>
            <w:vMerge/>
            <w:tcBorders>
              <w:top w:val="single" w:sz="8" w:space="0" w:color="auto"/>
              <w:left w:val="single" w:sz="8" w:space="0" w:color="auto"/>
              <w:bottom w:val="single" w:sz="8" w:space="0" w:color="000000"/>
              <w:right w:val="single" w:sz="8" w:space="0" w:color="auto"/>
            </w:tcBorders>
            <w:vAlign w:val="center"/>
            <w:hideMark/>
          </w:tcPr>
          <w:p w14:paraId="35F8EF7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604" w:type="dxa"/>
            <w:vMerge/>
            <w:tcBorders>
              <w:top w:val="single" w:sz="8" w:space="0" w:color="auto"/>
              <w:left w:val="single" w:sz="8" w:space="0" w:color="auto"/>
              <w:bottom w:val="single" w:sz="8" w:space="0" w:color="000000"/>
              <w:right w:val="single" w:sz="8" w:space="0" w:color="auto"/>
            </w:tcBorders>
            <w:vAlign w:val="center"/>
            <w:hideMark/>
          </w:tcPr>
          <w:p w14:paraId="2A06DB81"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41FBDB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30BD741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6F1A633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625C901D"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6AF9688F" w14:textId="77777777" w:rsidTr="00873B1C">
        <w:trPr>
          <w:divId w:val="1806045490"/>
          <w:trHeight w:val="324"/>
        </w:trPr>
        <w:tc>
          <w:tcPr>
            <w:tcW w:w="1396" w:type="dxa"/>
            <w:tcBorders>
              <w:top w:val="nil"/>
              <w:left w:val="single" w:sz="8" w:space="0" w:color="auto"/>
              <w:bottom w:val="single" w:sz="8" w:space="0" w:color="auto"/>
              <w:right w:val="single" w:sz="8" w:space="0" w:color="auto"/>
            </w:tcBorders>
            <w:shd w:val="clear" w:color="auto" w:fill="auto"/>
            <w:noWrap/>
            <w:vAlign w:val="center"/>
            <w:hideMark/>
          </w:tcPr>
          <w:p w14:paraId="0266C4A6"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4.5.9.</w:t>
            </w:r>
          </w:p>
        </w:tc>
        <w:tc>
          <w:tcPr>
            <w:tcW w:w="2604" w:type="dxa"/>
            <w:tcBorders>
              <w:top w:val="nil"/>
              <w:left w:val="nil"/>
              <w:bottom w:val="single" w:sz="8" w:space="0" w:color="auto"/>
              <w:right w:val="single" w:sz="8" w:space="0" w:color="auto"/>
            </w:tcBorders>
            <w:shd w:val="clear" w:color="auto" w:fill="auto"/>
            <w:vAlign w:val="center"/>
            <w:hideMark/>
          </w:tcPr>
          <w:p w14:paraId="3B92CED3"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Otros ingresos de la propiedad</w:t>
            </w:r>
          </w:p>
        </w:tc>
        <w:tc>
          <w:tcPr>
            <w:tcW w:w="500" w:type="dxa"/>
            <w:tcBorders>
              <w:top w:val="nil"/>
              <w:left w:val="nil"/>
              <w:bottom w:val="single" w:sz="8" w:space="0" w:color="auto"/>
              <w:right w:val="single" w:sz="8" w:space="0" w:color="auto"/>
            </w:tcBorders>
            <w:shd w:val="clear" w:color="auto" w:fill="auto"/>
            <w:noWrap/>
            <w:vAlign w:val="center"/>
            <w:hideMark/>
          </w:tcPr>
          <w:p w14:paraId="0A15492D"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49</w:t>
            </w:r>
          </w:p>
        </w:tc>
        <w:tc>
          <w:tcPr>
            <w:tcW w:w="1586" w:type="dxa"/>
            <w:tcBorders>
              <w:top w:val="nil"/>
              <w:left w:val="nil"/>
              <w:bottom w:val="single" w:sz="8" w:space="0" w:color="auto"/>
              <w:right w:val="single" w:sz="8" w:space="0" w:color="auto"/>
            </w:tcBorders>
            <w:shd w:val="clear" w:color="auto" w:fill="auto"/>
            <w:noWrap/>
            <w:vAlign w:val="center"/>
            <w:hideMark/>
          </w:tcPr>
          <w:p w14:paraId="6DA509A1"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701" w:type="dxa"/>
            <w:tcBorders>
              <w:top w:val="nil"/>
              <w:left w:val="nil"/>
              <w:bottom w:val="single" w:sz="8" w:space="0" w:color="auto"/>
              <w:right w:val="single" w:sz="8" w:space="0" w:color="auto"/>
            </w:tcBorders>
            <w:shd w:val="clear" w:color="auto" w:fill="auto"/>
            <w:noWrap/>
            <w:vAlign w:val="center"/>
            <w:hideMark/>
          </w:tcPr>
          <w:p w14:paraId="6F6F4DDC"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1C0AF22D"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4478BE61" w14:textId="77777777" w:rsidR="003A6F04" w:rsidRDefault="009D16A1" w:rsidP="003A6F04">
      <w:pPr>
        <w:spacing w:after="0" w:line="240" w:lineRule="auto"/>
        <w:rPr>
          <w:b/>
          <w:lang w:val="es-ES"/>
        </w:rPr>
      </w:pPr>
      <w:r>
        <w:rPr>
          <w:b/>
          <w:lang w:val="es-ES"/>
        </w:rPr>
        <w:fldChar w:fldCharType="end"/>
      </w:r>
    </w:p>
    <w:p w14:paraId="6C57CB64" w14:textId="77777777" w:rsidR="003A6F04" w:rsidRDefault="00692DC8" w:rsidP="00F45578">
      <w:pPr>
        <w:spacing w:after="0" w:line="240" w:lineRule="auto"/>
        <w:rPr>
          <w:b/>
          <w:lang w:val="es-ES"/>
        </w:rPr>
      </w:pPr>
      <w:r w:rsidRPr="00CD1227">
        <w:rPr>
          <w:b/>
          <w:lang w:val="es-ES"/>
        </w:rPr>
        <w:t>Revelación:</w:t>
      </w:r>
    </w:p>
    <w:p w14:paraId="68803D35" w14:textId="6272E213" w:rsidR="00694299" w:rsidRPr="00694299" w:rsidRDefault="009D16A1" w:rsidP="003A6F04">
      <w:pPr>
        <w:spacing w:after="0" w:line="240" w:lineRule="auto"/>
        <w:rPr>
          <w:b/>
          <w:lang w:val="es-ES"/>
        </w:rPr>
      </w:pP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NOTAS_POR_CUENTA!F306C8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26229CD2" w14:textId="77777777" w:rsidR="00694299" w:rsidRPr="00694299" w:rsidRDefault="00694299" w:rsidP="003A6F04">
      <w:pPr>
        <w:spacing w:line="240" w:lineRule="auto"/>
        <w:rPr>
          <w:rFonts w:eastAsia="Times New Roman" w:cs="Calibri"/>
          <w:color w:val="000000"/>
          <w:lang w:eastAsia="es-CR"/>
        </w:rPr>
      </w:pPr>
      <w:r w:rsidRPr="00694299">
        <w:rPr>
          <w:rFonts w:eastAsia="Times New Roman" w:cs="Calibri"/>
          <w:color w:val="000000"/>
          <w:lang w:eastAsia="es-CR"/>
        </w:rPr>
        <w:t>La cuenta Otros ingresos de la propiedad, representa el 0,00% del total del Ingresos, que comparado al periodo anterior genera una variación absoluta de 0 000,00 que corresponde a un Aumento del 0,00% de recursos disponibles.</w:t>
      </w:r>
    </w:p>
    <w:p w14:paraId="329B214B" w14:textId="21F98867" w:rsidR="00692DC8" w:rsidRPr="00692DC8" w:rsidRDefault="009D16A1" w:rsidP="003A6F04">
      <w:pPr>
        <w:spacing w:line="240" w:lineRule="auto"/>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740E5EF9" w14:textId="77777777" w:rsidR="00873B1C" w:rsidRDefault="00873B1C" w:rsidP="00CD1227">
      <w:pPr>
        <w:rPr>
          <w:szCs w:val="24"/>
        </w:rPr>
      </w:pPr>
    </w:p>
    <w:p w14:paraId="768B49DD" w14:textId="77777777" w:rsidR="00F45578" w:rsidRPr="00692DC8" w:rsidRDefault="00F45578" w:rsidP="00F45578">
      <w:pPr>
        <w:spacing w:after="120" w:line="240" w:lineRule="auto"/>
        <w:rPr>
          <w:szCs w:val="24"/>
        </w:rPr>
      </w:pPr>
    </w:p>
    <w:p w14:paraId="1D3558E6" w14:textId="77777777" w:rsidR="00692DC8" w:rsidRPr="00692DC8" w:rsidRDefault="00692DC8" w:rsidP="00CD1227">
      <w:pPr>
        <w:pStyle w:val="Ttulo3"/>
        <w:spacing w:after="240"/>
        <w:rPr>
          <w:rFonts w:eastAsia="Calibri"/>
          <w:lang w:eastAsia="es-CR"/>
        </w:rPr>
      </w:pPr>
      <w:bookmarkStart w:id="790" w:name="_Toc82769011"/>
      <w:bookmarkStart w:id="791" w:name="_Toc173245286"/>
      <w:r w:rsidRPr="00692DC8">
        <w:rPr>
          <w:rFonts w:eastAsia="Calibri"/>
          <w:lang w:eastAsia="es-CR"/>
        </w:rPr>
        <w:t>4.6 TRANSFERENCIAS</w:t>
      </w:r>
      <w:bookmarkEnd w:id="790"/>
      <w:bookmarkEnd w:id="791"/>
    </w:p>
    <w:p w14:paraId="22A03072" w14:textId="77777777" w:rsidR="00692DC8" w:rsidRPr="00692DC8" w:rsidRDefault="00692DC8" w:rsidP="00CD1227">
      <w:pPr>
        <w:pStyle w:val="Ttulo4"/>
        <w:spacing w:after="240"/>
        <w:rPr>
          <w:rFonts w:eastAsia="Times New Roman"/>
        </w:rPr>
      </w:pPr>
      <w:bookmarkStart w:id="792" w:name="_Toc14344855"/>
      <w:bookmarkStart w:id="793" w:name="_Toc33601292"/>
      <w:bookmarkStart w:id="794" w:name="_Toc82769012"/>
      <w:bookmarkStart w:id="795" w:name="_Toc173245287"/>
      <w:r w:rsidRPr="00692DC8">
        <w:rPr>
          <w:rFonts w:eastAsia="Times New Roman"/>
        </w:rPr>
        <w:t xml:space="preserve">NOTA N° </w:t>
      </w:r>
      <w:bookmarkEnd w:id="792"/>
      <w:bookmarkEnd w:id="793"/>
      <w:bookmarkEnd w:id="794"/>
      <w:r w:rsidRPr="00692DC8">
        <w:rPr>
          <w:rFonts w:eastAsia="Times New Roman"/>
        </w:rPr>
        <w:t>50</w:t>
      </w:r>
      <w:bookmarkEnd w:id="795"/>
    </w:p>
    <w:p w14:paraId="26F74FFC" w14:textId="77777777" w:rsidR="00694299" w:rsidRDefault="00692DC8" w:rsidP="00F45578">
      <w:pPr>
        <w:spacing w:before="120" w:after="0" w:line="240" w:lineRule="auto"/>
        <w:rPr>
          <w:rFonts w:asciiTheme="minorHAnsi" w:hAnsiTheme="minorHAnsi"/>
          <w:sz w:val="22"/>
        </w:rPr>
      </w:pPr>
      <w:bookmarkStart w:id="796" w:name="_Toc14344856"/>
      <w:bookmarkStart w:id="797" w:name="_Toc33601293"/>
      <w:bookmarkStart w:id="798" w:name="_Toc82769013"/>
      <w:r w:rsidRPr="00692DC8">
        <w:rPr>
          <w:rFonts w:eastAsia="Times New Roman"/>
        </w:rPr>
        <w:t>Transferencias corrientes</w:t>
      </w:r>
      <w:bookmarkEnd w:id="796"/>
      <w:bookmarkEnd w:id="797"/>
      <w:bookmarkEnd w:id="798"/>
      <w:r w:rsidR="00772A67">
        <w:rPr>
          <w:rFonts w:eastAsiaTheme="majorEastAsia" w:cstheme="majorBidi"/>
          <w:b/>
          <w:iCs/>
        </w:rPr>
        <w:fldChar w:fldCharType="begin"/>
      </w:r>
      <w:r w:rsidR="00772A67">
        <w:instrText xml:space="preserve"> LINK </w:instrText>
      </w:r>
      <w:r w:rsidR="00323752">
        <w:instrText xml:space="preserve">Excel.SheetMacroEnabled.12 "D:\\MORAVIA\\INSUMOS\\NOTAS 2024\\Formato_Notas_EEFF_Vinculadas_2024\\XXXXX_PXX_202X_Anexo_Estado_Notas_Contables_Vinculadas.xlsm" NOTAS_POR_CUENTA!F308C1:F310C6 </w:instrText>
      </w:r>
      <w:r w:rsidR="00772A67">
        <w:instrText xml:space="preserve">\a \f 4 \h </w:instrText>
      </w:r>
      <w:r w:rsidR="00772A67">
        <w:fldChar w:fldCharType="separate"/>
      </w:r>
    </w:p>
    <w:p w14:paraId="4A8E25E6" w14:textId="6F100464" w:rsidR="00C572A3" w:rsidRDefault="00772A67" w:rsidP="00873B1C">
      <w:pPr>
        <w:spacing w:after="0" w:line="240" w:lineRule="auto"/>
        <w:rPr>
          <w:rFonts w:asciiTheme="minorHAnsi" w:hAnsiTheme="minorHAnsi"/>
          <w:sz w:val="22"/>
        </w:rPr>
      </w:pPr>
      <w:r>
        <w:rPr>
          <w:szCs w:val="24"/>
        </w:rPr>
        <w:fldChar w:fldCharType="end"/>
      </w:r>
      <w:bookmarkStart w:id="799" w:name="_Hlk124007931"/>
      <w:r w:rsidR="00873B1C">
        <w:rPr>
          <w:szCs w:val="24"/>
        </w:rPr>
        <w:fldChar w:fldCharType="begin"/>
      </w:r>
      <w:r w:rsidR="00873B1C">
        <w:rPr>
          <w:szCs w:val="24"/>
        </w:rPr>
        <w:instrText xml:space="preserve"> LINK </w:instrText>
      </w:r>
      <w:r w:rsidR="0068177A">
        <w:rPr>
          <w:szCs w:val="24"/>
        </w:rPr>
        <w:instrText xml:space="preserve">Excel.SheetMacroEnabled.12 "C:\\Users\\arges\\OneDrive\\Desktop\\Municipalidades\\Buenos Aires\\Cierre Junio 2024\\Notas Contables\\15603_T02_2024_Anexo_Estado_Notas_Contables_Vinculadas.xlsm" NOTAS_POR_CUENTA!R308C1:R310C6 </w:instrText>
      </w:r>
      <w:r w:rsidR="00873B1C">
        <w:rPr>
          <w:szCs w:val="24"/>
        </w:rPr>
        <w:instrText xml:space="preserve">\a \f 4 \h </w:instrText>
      </w:r>
      <w:r w:rsidR="00873B1C">
        <w:rPr>
          <w:szCs w:val="24"/>
        </w:rPr>
        <w:fldChar w:fldCharType="separate"/>
      </w:r>
    </w:p>
    <w:tbl>
      <w:tblPr>
        <w:tblW w:w="10080" w:type="dxa"/>
        <w:tblLook w:val="04A0" w:firstRow="1" w:lastRow="0" w:firstColumn="1" w:lastColumn="0" w:noHBand="0" w:noVBand="1"/>
      </w:tblPr>
      <w:tblGrid>
        <w:gridCol w:w="717"/>
        <w:gridCol w:w="3339"/>
        <w:gridCol w:w="544"/>
        <w:gridCol w:w="2200"/>
        <w:gridCol w:w="2200"/>
        <w:gridCol w:w="1080"/>
      </w:tblGrid>
      <w:tr w:rsidR="00C572A3" w:rsidRPr="00C572A3" w14:paraId="032AC4AB" w14:textId="77777777" w:rsidTr="00C572A3">
        <w:trPr>
          <w:divId w:val="1544365735"/>
          <w:trHeight w:val="320"/>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BBF0D22" w14:textId="1B955297" w:rsidR="00C572A3" w:rsidRPr="00C572A3" w:rsidRDefault="00C572A3" w:rsidP="00C572A3">
            <w:pP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B67A9D7"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Descripción</w:t>
            </w:r>
          </w:p>
        </w:tc>
        <w:tc>
          <w:tcPr>
            <w:tcW w:w="5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2EB8ACC"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Nota</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138B152"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Actual </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6F737E8"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Anterior </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0528A411"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Diferencia </w:t>
            </w:r>
          </w:p>
        </w:tc>
      </w:tr>
      <w:tr w:rsidR="00C572A3" w:rsidRPr="00C572A3" w14:paraId="383390F8" w14:textId="77777777" w:rsidTr="00C572A3">
        <w:trPr>
          <w:divId w:val="1544365735"/>
          <w:trHeight w:val="320"/>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1AC79935"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764D4BDD"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14:paraId="0E644451"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379D819C"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308221A1"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1080" w:type="dxa"/>
            <w:tcBorders>
              <w:top w:val="nil"/>
              <w:left w:val="nil"/>
              <w:bottom w:val="single" w:sz="8" w:space="0" w:color="auto"/>
              <w:right w:val="single" w:sz="8" w:space="0" w:color="auto"/>
            </w:tcBorders>
            <w:shd w:val="clear" w:color="000000" w:fill="366092"/>
            <w:noWrap/>
            <w:vAlign w:val="center"/>
            <w:hideMark/>
          </w:tcPr>
          <w:p w14:paraId="0B50DCCE" w14:textId="77777777" w:rsidR="00C572A3" w:rsidRPr="00C572A3" w:rsidRDefault="00C572A3" w:rsidP="00C572A3">
            <w:pPr>
              <w:spacing w:after="0" w:line="240" w:lineRule="auto"/>
              <w:jc w:val="center"/>
              <w:rPr>
                <w:rFonts w:eastAsia="Times New Roman" w:cs="Calibri"/>
                <w:color w:val="FFFFFF"/>
                <w:sz w:val="18"/>
                <w:szCs w:val="18"/>
                <w:lang w:val="en-US"/>
              </w:rPr>
            </w:pPr>
            <w:r w:rsidRPr="00C572A3">
              <w:rPr>
                <w:rFonts w:eastAsia="Times New Roman" w:cs="Calibri"/>
                <w:color w:val="FFFFFF"/>
                <w:sz w:val="18"/>
                <w:szCs w:val="18"/>
                <w:lang w:val="en-US"/>
              </w:rPr>
              <w:t>%</w:t>
            </w:r>
          </w:p>
        </w:tc>
      </w:tr>
      <w:tr w:rsidR="00C572A3" w:rsidRPr="00C572A3" w14:paraId="54636BD2" w14:textId="77777777" w:rsidTr="00C572A3">
        <w:trPr>
          <w:divId w:val="1544365735"/>
          <w:trHeight w:val="320"/>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2D4D5489" w14:textId="77777777" w:rsidR="00C572A3" w:rsidRPr="00C572A3" w:rsidRDefault="00C572A3" w:rsidP="00C572A3">
            <w:pPr>
              <w:spacing w:after="0" w:line="240" w:lineRule="auto"/>
              <w:jc w:val="left"/>
              <w:rPr>
                <w:rFonts w:eastAsia="Times New Roman" w:cs="Calibri"/>
                <w:b/>
                <w:bCs/>
                <w:color w:val="000000"/>
                <w:sz w:val="18"/>
                <w:szCs w:val="18"/>
                <w:lang w:val="en-US"/>
              </w:rPr>
            </w:pPr>
            <w:r w:rsidRPr="00C572A3">
              <w:rPr>
                <w:rFonts w:eastAsia="Times New Roman" w:cs="Calibri"/>
                <w:b/>
                <w:bCs/>
                <w:color w:val="000000"/>
                <w:sz w:val="18"/>
                <w:szCs w:val="18"/>
                <w:lang w:val="en-US"/>
              </w:rPr>
              <w:t>4.6.1.</w:t>
            </w:r>
          </w:p>
        </w:tc>
        <w:tc>
          <w:tcPr>
            <w:tcW w:w="3380" w:type="dxa"/>
            <w:tcBorders>
              <w:top w:val="nil"/>
              <w:left w:val="nil"/>
              <w:bottom w:val="single" w:sz="8" w:space="0" w:color="auto"/>
              <w:right w:val="single" w:sz="8" w:space="0" w:color="auto"/>
            </w:tcBorders>
            <w:shd w:val="clear" w:color="auto" w:fill="auto"/>
            <w:vAlign w:val="center"/>
            <w:hideMark/>
          </w:tcPr>
          <w:p w14:paraId="0AB0C877" w14:textId="77777777" w:rsidR="00C572A3" w:rsidRPr="00C572A3" w:rsidRDefault="00C572A3" w:rsidP="00C572A3">
            <w:pPr>
              <w:spacing w:after="0" w:line="240" w:lineRule="auto"/>
              <w:rPr>
                <w:rFonts w:eastAsia="Times New Roman" w:cs="Calibri"/>
                <w:b/>
                <w:bCs/>
                <w:color w:val="000000"/>
                <w:sz w:val="18"/>
                <w:szCs w:val="18"/>
                <w:lang w:val="en-US"/>
              </w:rPr>
            </w:pPr>
            <w:r w:rsidRPr="00C572A3">
              <w:rPr>
                <w:rFonts w:eastAsia="Times New Roman" w:cs="Calibri"/>
                <w:b/>
                <w:bCs/>
                <w:color w:val="000000"/>
                <w:sz w:val="18"/>
                <w:szCs w:val="18"/>
                <w:lang w:val="en-US"/>
              </w:rPr>
              <w:t>Transferencias corrientes</w:t>
            </w:r>
          </w:p>
        </w:tc>
        <w:tc>
          <w:tcPr>
            <w:tcW w:w="520" w:type="dxa"/>
            <w:tcBorders>
              <w:top w:val="nil"/>
              <w:left w:val="nil"/>
              <w:bottom w:val="single" w:sz="8" w:space="0" w:color="auto"/>
              <w:right w:val="single" w:sz="8" w:space="0" w:color="auto"/>
            </w:tcBorders>
            <w:shd w:val="clear" w:color="auto" w:fill="auto"/>
            <w:noWrap/>
            <w:vAlign w:val="center"/>
            <w:hideMark/>
          </w:tcPr>
          <w:p w14:paraId="3B0735A7"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50</w:t>
            </w:r>
          </w:p>
        </w:tc>
        <w:tc>
          <w:tcPr>
            <w:tcW w:w="2200" w:type="dxa"/>
            <w:tcBorders>
              <w:top w:val="nil"/>
              <w:left w:val="nil"/>
              <w:bottom w:val="single" w:sz="8" w:space="0" w:color="auto"/>
              <w:right w:val="single" w:sz="8" w:space="0" w:color="auto"/>
            </w:tcBorders>
            <w:shd w:val="clear" w:color="auto" w:fill="auto"/>
            <w:noWrap/>
            <w:vAlign w:val="center"/>
            <w:hideMark/>
          </w:tcPr>
          <w:p w14:paraId="1EA218E5"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11 322,83 </w:t>
            </w:r>
          </w:p>
        </w:tc>
        <w:tc>
          <w:tcPr>
            <w:tcW w:w="2200" w:type="dxa"/>
            <w:tcBorders>
              <w:top w:val="nil"/>
              <w:left w:val="nil"/>
              <w:bottom w:val="single" w:sz="8" w:space="0" w:color="auto"/>
              <w:right w:val="single" w:sz="8" w:space="0" w:color="auto"/>
            </w:tcBorders>
            <w:shd w:val="clear" w:color="auto" w:fill="auto"/>
            <w:noWrap/>
            <w:vAlign w:val="center"/>
            <w:hideMark/>
          </w:tcPr>
          <w:p w14:paraId="4BA1B8C5"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11 962,13 </w:t>
            </w:r>
          </w:p>
        </w:tc>
        <w:tc>
          <w:tcPr>
            <w:tcW w:w="1080" w:type="dxa"/>
            <w:tcBorders>
              <w:top w:val="nil"/>
              <w:left w:val="nil"/>
              <w:bottom w:val="single" w:sz="8" w:space="0" w:color="auto"/>
              <w:right w:val="single" w:sz="8" w:space="0" w:color="auto"/>
            </w:tcBorders>
            <w:shd w:val="clear" w:color="auto" w:fill="auto"/>
            <w:noWrap/>
            <w:vAlign w:val="center"/>
            <w:hideMark/>
          </w:tcPr>
          <w:p w14:paraId="163A4485"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-5,34%</w:t>
            </w:r>
          </w:p>
        </w:tc>
      </w:tr>
    </w:tbl>
    <w:p w14:paraId="5DB54978" w14:textId="77777777" w:rsidR="000C0991" w:rsidRDefault="00873B1C" w:rsidP="00873B1C">
      <w:pPr>
        <w:spacing w:after="0" w:line="240" w:lineRule="auto"/>
        <w:rPr>
          <w:rFonts w:eastAsia="Calibri" w:cs="Times New Roman"/>
          <w:bCs/>
          <w:lang w:val="es-ES"/>
        </w:rPr>
      </w:pPr>
      <w:r>
        <w:rPr>
          <w:szCs w:val="24"/>
        </w:rPr>
        <w:fldChar w:fldCharType="end"/>
      </w:r>
      <w:r w:rsidR="006D2D75" w:rsidRPr="00337C1D">
        <w:rPr>
          <w:rFonts w:eastAsia="Calibri" w:cs="Times New Roman"/>
          <w:bCs/>
          <w:lang w:val="es-ES"/>
        </w:rPr>
        <w:t xml:space="preserve"> </w:t>
      </w:r>
    </w:p>
    <w:p w14:paraId="7742ACE8" w14:textId="43563829" w:rsidR="00337C1D" w:rsidRDefault="00337C1D" w:rsidP="00F45578">
      <w:pPr>
        <w:spacing w:after="0" w:line="240" w:lineRule="auto"/>
        <w:rPr>
          <w:rFonts w:eastAsia="Calibri" w:cs="Times New Roman"/>
          <w:bCs/>
          <w:lang w:val="es-ES"/>
        </w:rPr>
      </w:pPr>
      <w:r w:rsidRPr="00337C1D">
        <w:rPr>
          <w:rFonts w:eastAsia="Calibri" w:cs="Times New Roman"/>
          <w:bCs/>
          <w:lang w:val="es-ES"/>
        </w:rPr>
        <w:t>Detalle:</w:t>
      </w:r>
    </w:p>
    <w:p w14:paraId="6DD33BD5" w14:textId="77777777" w:rsidR="000C0991" w:rsidRPr="00567780" w:rsidRDefault="000C0991" w:rsidP="00873B1C">
      <w:pPr>
        <w:spacing w:after="0" w:line="240" w:lineRule="auto"/>
        <w:rPr>
          <w:szCs w:val="24"/>
        </w:rPr>
      </w:pPr>
    </w:p>
    <w:tbl>
      <w:tblPr>
        <w:tblW w:w="5103" w:type="dxa"/>
        <w:tblInd w:w="-10" w:type="dxa"/>
        <w:tblCellMar>
          <w:left w:w="70" w:type="dxa"/>
          <w:right w:w="70" w:type="dxa"/>
        </w:tblCellMar>
        <w:tblLook w:val="04A0" w:firstRow="1" w:lastRow="0" w:firstColumn="1" w:lastColumn="0" w:noHBand="0" w:noVBand="1"/>
      </w:tblPr>
      <w:tblGrid>
        <w:gridCol w:w="1240"/>
        <w:gridCol w:w="3863"/>
      </w:tblGrid>
      <w:tr w:rsidR="00337C1D" w:rsidRPr="00337C1D" w14:paraId="53877D02" w14:textId="77777777" w:rsidTr="00F45578">
        <w:trPr>
          <w:trHeight w:val="288"/>
        </w:trPr>
        <w:tc>
          <w:tcPr>
            <w:tcW w:w="1240" w:type="dxa"/>
            <w:tcBorders>
              <w:top w:val="single" w:sz="8" w:space="0" w:color="auto"/>
              <w:left w:val="single" w:sz="8" w:space="0" w:color="auto"/>
              <w:bottom w:val="nil"/>
              <w:right w:val="single" w:sz="8" w:space="0" w:color="auto"/>
            </w:tcBorders>
            <w:shd w:val="clear" w:color="000000" w:fill="366092"/>
            <w:noWrap/>
            <w:vAlign w:val="center"/>
            <w:hideMark/>
          </w:tcPr>
          <w:p w14:paraId="33BAEE0D" w14:textId="77777777" w:rsidR="00337C1D" w:rsidRPr="00337C1D" w:rsidRDefault="00337C1D" w:rsidP="00495CDD">
            <w:pPr>
              <w:spacing w:after="0" w:line="240" w:lineRule="auto"/>
              <w:rPr>
                <w:rFonts w:eastAsia="Times New Roman" w:cs="Calibri"/>
                <w:b/>
                <w:bCs/>
                <w:color w:val="FFFFFF"/>
                <w:sz w:val="18"/>
                <w:szCs w:val="18"/>
                <w:lang w:eastAsia="es-CR"/>
              </w:rPr>
            </w:pPr>
            <w:r w:rsidRPr="00337C1D">
              <w:rPr>
                <w:rFonts w:eastAsia="Times New Roman" w:cs="Calibri"/>
                <w:b/>
                <w:bCs/>
                <w:color w:val="FFFFFF"/>
                <w:sz w:val="18"/>
                <w:szCs w:val="18"/>
                <w:lang w:eastAsia="es-CR"/>
              </w:rPr>
              <w:t xml:space="preserve">Cuenta </w:t>
            </w:r>
          </w:p>
        </w:tc>
        <w:tc>
          <w:tcPr>
            <w:tcW w:w="3863" w:type="dxa"/>
            <w:tcBorders>
              <w:top w:val="single" w:sz="8" w:space="0" w:color="auto"/>
              <w:left w:val="nil"/>
              <w:bottom w:val="nil"/>
              <w:right w:val="single" w:sz="8" w:space="0" w:color="auto"/>
            </w:tcBorders>
            <w:shd w:val="clear" w:color="000000" w:fill="366092"/>
            <w:vAlign w:val="center"/>
            <w:hideMark/>
          </w:tcPr>
          <w:p w14:paraId="254B4449" w14:textId="77777777" w:rsidR="00337C1D" w:rsidRPr="00337C1D" w:rsidRDefault="00337C1D" w:rsidP="00495CDD">
            <w:pPr>
              <w:spacing w:after="0" w:line="240" w:lineRule="auto"/>
              <w:jc w:val="center"/>
              <w:rPr>
                <w:rFonts w:eastAsia="Times New Roman" w:cs="Calibri"/>
                <w:b/>
                <w:bCs/>
                <w:color w:val="FFFFFF"/>
                <w:sz w:val="18"/>
                <w:szCs w:val="18"/>
                <w:lang w:eastAsia="es-CR"/>
              </w:rPr>
            </w:pPr>
            <w:r w:rsidRPr="00337C1D">
              <w:rPr>
                <w:rFonts w:eastAsia="Times New Roman" w:cs="Calibri"/>
                <w:b/>
                <w:bCs/>
                <w:color w:val="FFFFFF"/>
                <w:sz w:val="18"/>
                <w:szCs w:val="18"/>
                <w:lang w:eastAsia="es-CR"/>
              </w:rPr>
              <w:t xml:space="preserve">Descripción </w:t>
            </w:r>
          </w:p>
        </w:tc>
      </w:tr>
      <w:tr w:rsidR="00337C1D" w:rsidRPr="00337C1D" w14:paraId="0D00EFC0" w14:textId="77777777" w:rsidTr="00BC7612">
        <w:trPr>
          <w:trHeight w:val="301"/>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0FD3A36D" w14:textId="77777777" w:rsidR="00337C1D" w:rsidRPr="00337C1D" w:rsidRDefault="00337C1D" w:rsidP="00495CDD">
            <w:pPr>
              <w:spacing w:after="0" w:line="240" w:lineRule="auto"/>
              <w:rPr>
                <w:rFonts w:eastAsia="Times New Roman" w:cs="Calibri"/>
                <w:b/>
                <w:bCs/>
                <w:color w:val="000000"/>
                <w:sz w:val="18"/>
                <w:szCs w:val="18"/>
                <w:lang w:eastAsia="es-CR"/>
              </w:rPr>
            </w:pPr>
            <w:r w:rsidRPr="00337C1D">
              <w:rPr>
                <w:rFonts w:eastAsia="Calibri" w:cs="Times New Roman"/>
                <w:b/>
                <w:bCs/>
                <w:color w:val="000000"/>
                <w:sz w:val="18"/>
                <w:szCs w:val="18"/>
                <w:lang w:eastAsia="es-CR"/>
              </w:rPr>
              <w:t>4.6.1.02.</w:t>
            </w:r>
          </w:p>
        </w:tc>
        <w:tc>
          <w:tcPr>
            <w:tcW w:w="3863" w:type="dxa"/>
            <w:tcBorders>
              <w:top w:val="nil"/>
              <w:left w:val="nil"/>
              <w:bottom w:val="single" w:sz="8" w:space="0" w:color="auto"/>
              <w:right w:val="single" w:sz="8" w:space="0" w:color="auto"/>
            </w:tcBorders>
            <w:shd w:val="clear" w:color="auto" w:fill="auto"/>
            <w:vAlign w:val="center"/>
            <w:hideMark/>
          </w:tcPr>
          <w:p w14:paraId="45313D14" w14:textId="77777777" w:rsidR="00337C1D" w:rsidRPr="00337C1D" w:rsidRDefault="00337C1D" w:rsidP="00495CDD">
            <w:pPr>
              <w:spacing w:after="0" w:line="240" w:lineRule="auto"/>
              <w:rPr>
                <w:rFonts w:eastAsia="Times New Roman" w:cs="Calibri"/>
                <w:b/>
                <w:bCs/>
                <w:color w:val="000000"/>
                <w:sz w:val="18"/>
                <w:szCs w:val="18"/>
                <w:lang w:eastAsia="es-CR"/>
              </w:rPr>
            </w:pPr>
            <w:r w:rsidRPr="00337C1D">
              <w:rPr>
                <w:rFonts w:eastAsia="Calibri" w:cs="Times New Roman"/>
                <w:b/>
                <w:bCs/>
                <w:color w:val="000000"/>
                <w:sz w:val="18"/>
                <w:szCs w:val="18"/>
                <w:lang w:eastAsia="es-CR"/>
              </w:rPr>
              <w:t>Transferencias corrientes del sector público interno</w:t>
            </w:r>
          </w:p>
        </w:tc>
      </w:tr>
    </w:tbl>
    <w:p w14:paraId="4D2230E7" w14:textId="243A331E" w:rsidR="00337C1D" w:rsidRDefault="00337C1D" w:rsidP="00567780">
      <w:pPr>
        <w:spacing w:after="0"/>
        <w:rPr>
          <w:rFonts w:eastAsia="Calibri" w:cs="Times New Roman"/>
          <w:b/>
          <w:bCs/>
          <w:lang w:val="es-ES"/>
        </w:rPr>
      </w:pPr>
    </w:p>
    <w:tbl>
      <w:tblPr>
        <w:tblW w:w="8080" w:type="dxa"/>
        <w:tblInd w:w="-10" w:type="dxa"/>
        <w:tblCellMar>
          <w:left w:w="70" w:type="dxa"/>
          <w:right w:w="70" w:type="dxa"/>
        </w:tblCellMar>
        <w:tblLook w:val="04A0" w:firstRow="1" w:lastRow="0" w:firstColumn="1" w:lastColumn="0" w:noHBand="0" w:noVBand="1"/>
      </w:tblPr>
      <w:tblGrid>
        <w:gridCol w:w="1514"/>
        <w:gridCol w:w="5149"/>
        <w:gridCol w:w="1417"/>
      </w:tblGrid>
      <w:tr w:rsidR="00337C1D" w:rsidRPr="00DD250F" w14:paraId="596C0361" w14:textId="77777777" w:rsidTr="00C32C84">
        <w:trPr>
          <w:trHeight w:val="300"/>
        </w:trPr>
        <w:tc>
          <w:tcPr>
            <w:tcW w:w="1514" w:type="dxa"/>
            <w:tcBorders>
              <w:top w:val="single" w:sz="8" w:space="0" w:color="auto"/>
              <w:left w:val="single" w:sz="8" w:space="0" w:color="auto"/>
              <w:bottom w:val="single" w:sz="8" w:space="0" w:color="auto"/>
              <w:right w:val="nil"/>
            </w:tcBorders>
            <w:shd w:val="clear" w:color="000000" w:fill="365F91"/>
            <w:vAlign w:val="center"/>
            <w:hideMark/>
          </w:tcPr>
          <w:p w14:paraId="78949634" w14:textId="77777777" w:rsidR="00337C1D" w:rsidRPr="00DD250F" w:rsidRDefault="00337C1D" w:rsidP="00495CDD">
            <w:pPr>
              <w:spacing w:after="0" w:line="240" w:lineRule="auto"/>
              <w:jc w:val="center"/>
              <w:rPr>
                <w:rFonts w:eastAsia="Times New Roman" w:cs="Calibri"/>
                <w:color w:val="FFFFFF"/>
                <w:sz w:val="22"/>
                <w:lang w:eastAsia="es-CR"/>
              </w:rPr>
            </w:pPr>
            <w:r w:rsidRPr="00DD250F">
              <w:rPr>
                <w:rFonts w:eastAsia="Times New Roman" w:cs="Calibri"/>
                <w:color w:val="FFFFFF"/>
                <w:sz w:val="22"/>
                <w:lang w:eastAsia="es-CR"/>
              </w:rPr>
              <w:t>CODIGO INSTITUCIONAL</w:t>
            </w:r>
          </w:p>
        </w:tc>
        <w:tc>
          <w:tcPr>
            <w:tcW w:w="5149" w:type="dxa"/>
            <w:tcBorders>
              <w:top w:val="single" w:sz="8" w:space="0" w:color="auto"/>
              <w:left w:val="single" w:sz="8" w:space="0" w:color="auto"/>
              <w:bottom w:val="single" w:sz="8" w:space="0" w:color="auto"/>
              <w:right w:val="single" w:sz="8" w:space="0" w:color="auto"/>
            </w:tcBorders>
            <w:shd w:val="clear" w:color="000000" w:fill="365F91"/>
            <w:vAlign w:val="center"/>
            <w:hideMark/>
          </w:tcPr>
          <w:p w14:paraId="77532FD7" w14:textId="77777777" w:rsidR="00337C1D" w:rsidRPr="00DD250F" w:rsidRDefault="00337C1D" w:rsidP="00495CDD">
            <w:pPr>
              <w:spacing w:after="0" w:line="240" w:lineRule="auto"/>
              <w:jc w:val="center"/>
              <w:rPr>
                <w:rFonts w:eastAsia="Times New Roman" w:cs="Calibri"/>
                <w:color w:val="FFFFFF"/>
                <w:sz w:val="22"/>
                <w:lang w:eastAsia="es-CR"/>
              </w:rPr>
            </w:pPr>
            <w:r w:rsidRPr="00DD250F">
              <w:rPr>
                <w:rFonts w:eastAsia="Times New Roman" w:cs="Calibri"/>
                <w:color w:val="FFFFFF"/>
                <w:sz w:val="22"/>
                <w:lang w:eastAsia="es-CR"/>
              </w:rPr>
              <w:t>NOMBRE ENTIDAD</w:t>
            </w:r>
          </w:p>
        </w:tc>
        <w:tc>
          <w:tcPr>
            <w:tcW w:w="1417" w:type="dxa"/>
            <w:tcBorders>
              <w:top w:val="single" w:sz="8" w:space="0" w:color="auto"/>
              <w:left w:val="nil"/>
              <w:bottom w:val="single" w:sz="8" w:space="0" w:color="auto"/>
              <w:right w:val="single" w:sz="8" w:space="0" w:color="auto"/>
            </w:tcBorders>
            <w:shd w:val="clear" w:color="000000" w:fill="365F91"/>
            <w:noWrap/>
            <w:vAlign w:val="center"/>
            <w:hideMark/>
          </w:tcPr>
          <w:p w14:paraId="4D5F3B1F" w14:textId="77777777" w:rsidR="00337C1D" w:rsidRPr="00DD250F" w:rsidRDefault="00337C1D" w:rsidP="00495CDD">
            <w:pPr>
              <w:spacing w:after="0" w:line="240" w:lineRule="auto"/>
              <w:jc w:val="center"/>
              <w:rPr>
                <w:rFonts w:eastAsia="Times New Roman" w:cs="Calibri"/>
                <w:color w:val="FFFFFF"/>
                <w:sz w:val="22"/>
                <w:lang w:eastAsia="es-CR"/>
              </w:rPr>
            </w:pPr>
            <w:r w:rsidRPr="00DD250F">
              <w:rPr>
                <w:rFonts w:eastAsia="Times New Roman" w:cs="Calibri"/>
                <w:color w:val="FFFFFF"/>
                <w:sz w:val="22"/>
                <w:lang w:eastAsia="es-CR"/>
              </w:rPr>
              <w:t>MONTO</w:t>
            </w:r>
          </w:p>
        </w:tc>
      </w:tr>
      <w:tr w:rsidR="00C32C84" w:rsidRPr="00DD250F" w14:paraId="28ED14B9" w14:textId="77777777" w:rsidTr="00C32C84">
        <w:trPr>
          <w:trHeight w:val="324"/>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14:paraId="1FCA8864" w14:textId="18F8B16B" w:rsidR="00C32C84" w:rsidRPr="00DD250F" w:rsidRDefault="00C32C84" w:rsidP="00C32C84">
            <w:pPr>
              <w:spacing w:after="0" w:line="240" w:lineRule="auto"/>
              <w:jc w:val="center"/>
              <w:rPr>
                <w:rFonts w:eastAsia="Times New Roman" w:cs="Calibri"/>
                <w:color w:val="000000"/>
                <w:sz w:val="20"/>
                <w:szCs w:val="20"/>
                <w:lang w:eastAsia="es-CR"/>
              </w:rPr>
            </w:pPr>
            <w:r>
              <w:rPr>
                <w:rFonts w:cs="Calibri"/>
                <w:color w:val="000000"/>
                <w:sz w:val="20"/>
                <w:szCs w:val="20"/>
              </w:rPr>
              <w:t>14226</w:t>
            </w:r>
          </w:p>
        </w:tc>
        <w:tc>
          <w:tcPr>
            <w:tcW w:w="5149" w:type="dxa"/>
            <w:tcBorders>
              <w:top w:val="nil"/>
              <w:left w:val="nil"/>
              <w:bottom w:val="single" w:sz="8" w:space="0" w:color="auto"/>
              <w:right w:val="single" w:sz="8" w:space="0" w:color="auto"/>
            </w:tcBorders>
            <w:shd w:val="clear" w:color="auto" w:fill="auto"/>
            <w:vAlign w:val="center"/>
            <w:hideMark/>
          </w:tcPr>
          <w:p w14:paraId="37DF2A3D" w14:textId="01D799AA" w:rsidR="00C32C84" w:rsidRPr="00DD250F" w:rsidRDefault="00C32C84" w:rsidP="00C32C84">
            <w:pPr>
              <w:spacing w:after="0" w:line="240" w:lineRule="auto"/>
              <w:rPr>
                <w:rFonts w:eastAsia="Times New Roman" w:cs="Calibri"/>
                <w:color w:val="000000"/>
                <w:szCs w:val="24"/>
                <w:lang w:eastAsia="es-CR"/>
              </w:rPr>
            </w:pPr>
            <w:r>
              <w:rPr>
                <w:rFonts w:cs="Calibri"/>
                <w:color w:val="000000"/>
                <w:sz w:val="20"/>
                <w:szCs w:val="20"/>
              </w:rPr>
              <w:t>Aporte IFAM Licores Nacionales y Ext </w:t>
            </w:r>
          </w:p>
        </w:tc>
        <w:tc>
          <w:tcPr>
            <w:tcW w:w="1417" w:type="dxa"/>
            <w:tcBorders>
              <w:top w:val="nil"/>
              <w:left w:val="nil"/>
              <w:bottom w:val="single" w:sz="8" w:space="0" w:color="auto"/>
              <w:right w:val="single" w:sz="8" w:space="0" w:color="auto"/>
            </w:tcBorders>
            <w:shd w:val="clear" w:color="auto" w:fill="auto"/>
            <w:noWrap/>
            <w:vAlign w:val="center"/>
            <w:hideMark/>
          </w:tcPr>
          <w:p w14:paraId="07642BB3" w14:textId="69D552D6" w:rsidR="00C32C84" w:rsidRPr="00DD250F" w:rsidRDefault="00C32C84" w:rsidP="00C32C84">
            <w:pPr>
              <w:spacing w:after="0" w:line="240" w:lineRule="auto"/>
              <w:jc w:val="right"/>
              <w:rPr>
                <w:rFonts w:eastAsia="Times New Roman" w:cs="Calibri"/>
                <w:color w:val="000000"/>
                <w:sz w:val="20"/>
                <w:szCs w:val="20"/>
                <w:lang w:eastAsia="es-CR"/>
              </w:rPr>
            </w:pPr>
            <w:r>
              <w:rPr>
                <w:rFonts w:ascii="Arial" w:hAnsi="Arial" w:cs="Arial"/>
                <w:color w:val="000000"/>
                <w:sz w:val="20"/>
                <w:szCs w:val="20"/>
              </w:rPr>
              <w:t>₡</w:t>
            </w:r>
            <w:r>
              <w:rPr>
                <w:rFonts w:cs="Calibri"/>
                <w:color w:val="000000"/>
                <w:sz w:val="20"/>
                <w:szCs w:val="20"/>
              </w:rPr>
              <w:t>11 322,83</w:t>
            </w:r>
          </w:p>
        </w:tc>
      </w:tr>
      <w:tr w:rsidR="00C32C84" w:rsidRPr="00DD250F" w14:paraId="2FEA615C" w14:textId="77777777" w:rsidTr="00C32C84">
        <w:trPr>
          <w:trHeight w:val="324"/>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14:paraId="2A40B481" w14:textId="6DE7328D" w:rsidR="00C32C84" w:rsidRPr="00DD250F" w:rsidRDefault="00C32C84" w:rsidP="00C32C84">
            <w:pPr>
              <w:spacing w:after="0" w:line="240" w:lineRule="auto"/>
              <w:jc w:val="center"/>
              <w:rPr>
                <w:rFonts w:eastAsia="Times New Roman" w:cs="Calibri"/>
                <w:color w:val="000000"/>
                <w:sz w:val="20"/>
                <w:szCs w:val="20"/>
                <w:lang w:eastAsia="es-CR"/>
              </w:rPr>
            </w:pPr>
            <w:r>
              <w:rPr>
                <w:rFonts w:cs="Calibri"/>
                <w:color w:val="000000"/>
                <w:sz w:val="20"/>
                <w:szCs w:val="20"/>
              </w:rPr>
              <w:t>12583</w:t>
            </w:r>
          </w:p>
        </w:tc>
        <w:tc>
          <w:tcPr>
            <w:tcW w:w="5149" w:type="dxa"/>
            <w:tcBorders>
              <w:top w:val="nil"/>
              <w:left w:val="nil"/>
              <w:bottom w:val="single" w:sz="8" w:space="0" w:color="auto"/>
              <w:right w:val="single" w:sz="8" w:space="0" w:color="auto"/>
            </w:tcBorders>
            <w:shd w:val="clear" w:color="auto" w:fill="auto"/>
            <w:vAlign w:val="center"/>
            <w:hideMark/>
          </w:tcPr>
          <w:p w14:paraId="0F5994A7" w14:textId="4D7DC181" w:rsidR="00C32C84" w:rsidRPr="00DD250F" w:rsidRDefault="00C32C84" w:rsidP="00C32C84">
            <w:pPr>
              <w:spacing w:after="0" w:line="240" w:lineRule="auto"/>
              <w:rPr>
                <w:rFonts w:eastAsia="Times New Roman" w:cs="Calibri"/>
                <w:color w:val="000000"/>
                <w:szCs w:val="24"/>
                <w:lang w:eastAsia="es-CR"/>
              </w:rPr>
            </w:pPr>
            <w:r>
              <w:rPr>
                <w:rFonts w:cs="Calibri"/>
                <w:color w:val="000000"/>
                <w:sz w:val="20"/>
                <w:szCs w:val="20"/>
              </w:rPr>
              <w:t>Consejo Nacional de la Política Pública de la Persona Joven (CPJ)</w:t>
            </w:r>
          </w:p>
        </w:tc>
        <w:tc>
          <w:tcPr>
            <w:tcW w:w="1417" w:type="dxa"/>
            <w:tcBorders>
              <w:top w:val="nil"/>
              <w:left w:val="nil"/>
              <w:bottom w:val="single" w:sz="8" w:space="0" w:color="auto"/>
              <w:right w:val="single" w:sz="8" w:space="0" w:color="auto"/>
            </w:tcBorders>
            <w:shd w:val="clear" w:color="auto" w:fill="auto"/>
            <w:noWrap/>
            <w:vAlign w:val="bottom"/>
            <w:hideMark/>
          </w:tcPr>
          <w:p w14:paraId="7AA891B2" w14:textId="69567C09" w:rsidR="00C32C84" w:rsidRPr="00DD250F" w:rsidRDefault="00C32C84" w:rsidP="00C32C84">
            <w:pPr>
              <w:spacing w:after="0" w:line="240" w:lineRule="auto"/>
              <w:jc w:val="right"/>
              <w:rPr>
                <w:rFonts w:eastAsia="Times New Roman" w:cs="Calibri"/>
                <w:color w:val="000000"/>
                <w:sz w:val="20"/>
                <w:szCs w:val="20"/>
                <w:lang w:eastAsia="es-CR"/>
              </w:rPr>
            </w:pPr>
            <w:r>
              <w:rPr>
                <w:rFonts w:cs="Calibri"/>
                <w:color w:val="000000"/>
                <w:sz w:val="20"/>
                <w:szCs w:val="20"/>
              </w:rPr>
              <w:t>0,00</w:t>
            </w:r>
          </w:p>
        </w:tc>
      </w:tr>
      <w:tr w:rsidR="00C32C84" w:rsidRPr="00DD250F" w14:paraId="1DB0701F" w14:textId="77777777" w:rsidTr="00C32C84">
        <w:trPr>
          <w:trHeight w:val="324"/>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14:paraId="4DA5DE76" w14:textId="228BA9CE" w:rsidR="00C32C84" w:rsidRPr="00DD250F" w:rsidRDefault="00C32C84" w:rsidP="00C32C84">
            <w:pPr>
              <w:spacing w:after="0" w:line="240" w:lineRule="auto"/>
              <w:rPr>
                <w:rFonts w:eastAsia="Times New Roman" w:cs="Calibri"/>
                <w:color w:val="000000"/>
                <w:sz w:val="20"/>
                <w:szCs w:val="20"/>
                <w:lang w:eastAsia="es-CR"/>
              </w:rPr>
            </w:pPr>
            <w:r>
              <w:rPr>
                <w:rFonts w:cs="Calibri"/>
                <w:color w:val="000000"/>
                <w:sz w:val="20"/>
                <w:szCs w:val="20"/>
              </w:rPr>
              <w:t> </w:t>
            </w:r>
          </w:p>
        </w:tc>
        <w:tc>
          <w:tcPr>
            <w:tcW w:w="5149" w:type="dxa"/>
            <w:tcBorders>
              <w:top w:val="nil"/>
              <w:left w:val="nil"/>
              <w:bottom w:val="single" w:sz="8" w:space="0" w:color="auto"/>
              <w:right w:val="single" w:sz="8" w:space="0" w:color="auto"/>
            </w:tcBorders>
            <w:shd w:val="clear" w:color="auto" w:fill="auto"/>
            <w:vAlign w:val="center"/>
            <w:hideMark/>
          </w:tcPr>
          <w:p w14:paraId="6F543F1D" w14:textId="45A936DA" w:rsidR="00C32C84" w:rsidRPr="00DD250F" w:rsidRDefault="00C32C84" w:rsidP="00C32C84">
            <w:pPr>
              <w:spacing w:after="0" w:line="240" w:lineRule="auto"/>
              <w:jc w:val="center"/>
              <w:rPr>
                <w:rFonts w:eastAsia="Times New Roman" w:cs="Calibri"/>
                <w:color w:val="000000"/>
                <w:szCs w:val="24"/>
                <w:lang w:eastAsia="es-CR"/>
              </w:rPr>
            </w:pPr>
            <w:r>
              <w:rPr>
                <w:rFonts w:cs="Calibri"/>
                <w:b/>
                <w:bCs/>
                <w:color w:val="000000"/>
                <w:sz w:val="20"/>
                <w:szCs w:val="20"/>
              </w:rPr>
              <w:t>Totales</w:t>
            </w:r>
          </w:p>
        </w:tc>
        <w:tc>
          <w:tcPr>
            <w:tcW w:w="1417" w:type="dxa"/>
            <w:tcBorders>
              <w:top w:val="nil"/>
              <w:left w:val="nil"/>
              <w:bottom w:val="single" w:sz="8" w:space="0" w:color="auto"/>
              <w:right w:val="single" w:sz="8" w:space="0" w:color="auto"/>
            </w:tcBorders>
            <w:shd w:val="clear" w:color="auto" w:fill="auto"/>
            <w:noWrap/>
            <w:vAlign w:val="center"/>
            <w:hideMark/>
          </w:tcPr>
          <w:p w14:paraId="0E062B1B" w14:textId="26CF4DC5" w:rsidR="00C32C84" w:rsidRPr="00DD250F" w:rsidRDefault="00C32C84" w:rsidP="00C32C84">
            <w:pPr>
              <w:spacing w:after="0" w:line="240" w:lineRule="auto"/>
              <w:jc w:val="right"/>
              <w:rPr>
                <w:rFonts w:eastAsia="Times New Roman" w:cs="Calibri"/>
                <w:color w:val="000000"/>
                <w:sz w:val="20"/>
                <w:szCs w:val="20"/>
                <w:lang w:eastAsia="es-CR"/>
              </w:rPr>
            </w:pPr>
            <w:r>
              <w:rPr>
                <w:rFonts w:ascii="Arial" w:hAnsi="Arial" w:cs="Arial"/>
                <w:b/>
                <w:bCs/>
                <w:color w:val="000000"/>
                <w:sz w:val="20"/>
                <w:szCs w:val="20"/>
              </w:rPr>
              <w:t>₡</w:t>
            </w:r>
            <w:r>
              <w:rPr>
                <w:rFonts w:cs="Calibri"/>
                <w:b/>
                <w:bCs/>
                <w:color w:val="000000"/>
                <w:sz w:val="20"/>
                <w:szCs w:val="20"/>
              </w:rPr>
              <w:t>11 322,83</w:t>
            </w:r>
          </w:p>
        </w:tc>
      </w:tr>
      <w:bookmarkEnd w:id="799"/>
    </w:tbl>
    <w:p w14:paraId="22C74BE4" w14:textId="77777777" w:rsidR="00C32C84" w:rsidRDefault="00C32C84" w:rsidP="00C32C84">
      <w:pPr>
        <w:spacing w:after="0" w:line="240" w:lineRule="auto"/>
        <w:rPr>
          <w:rFonts w:eastAsia="Calibri" w:cs="Times New Roman"/>
          <w:b/>
          <w:bCs/>
          <w:lang w:val="es-ES"/>
        </w:rPr>
      </w:pPr>
    </w:p>
    <w:p w14:paraId="15F335A6" w14:textId="204F71A3" w:rsidR="00694299" w:rsidRPr="00694299" w:rsidRDefault="00692DC8" w:rsidP="00BC7612">
      <w:pPr>
        <w:spacing w:before="120" w:after="120" w:line="240" w:lineRule="auto"/>
        <w:rPr>
          <w:rFonts w:eastAsia="Calibri" w:cs="Times New Roman"/>
          <w:sz w:val="20"/>
          <w:szCs w:val="20"/>
          <w:lang w:eastAsia="es-CR"/>
        </w:rPr>
      </w:pPr>
      <w:r w:rsidRPr="00692DC8">
        <w:rPr>
          <w:rFonts w:eastAsia="Calibri" w:cs="Times New Roman"/>
          <w:b/>
          <w:bCs/>
          <w:lang w:val="es-ES"/>
        </w:rPr>
        <w:t>Revelación</w:t>
      </w:r>
      <w:r w:rsidRPr="00692DC8">
        <w:rPr>
          <w:rFonts w:eastAsia="Calibri" w:cs="Times New Roman"/>
          <w:lang w:val="es-ES"/>
        </w:rPr>
        <w:t xml:space="preserve">: </w:t>
      </w:r>
      <w:r w:rsidR="003069AC">
        <w:rPr>
          <w:rFonts w:eastAsia="Times New Roman" w:cs="Calibri"/>
          <w:color w:val="000000"/>
          <w:lang w:eastAsia="es-CR"/>
        </w:rPr>
        <w:fldChar w:fldCharType="begin"/>
      </w:r>
      <w:r w:rsidR="003069AC">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NOTAS_POR_CUENTA!F310C8 </w:instrText>
      </w:r>
      <w:r w:rsidR="003069AC">
        <w:rPr>
          <w:rFonts w:eastAsia="Times New Roman" w:cs="Calibri"/>
          <w:color w:val="000000"/>
          <w:lang w:eastAsia="es-CR"/>
        </w:rPr>
        <w:instrText xml:space="preserve">\a \f 5 \h  \* MERGEFORMAT </w:instrText>
      </w:r>
      <w:r w:rsidR="003069AC">
        <w:rPr>
          <w:rFonts w:eastAsia="Times New Roman" w:cs="Calibri"/>
          <w:color w:val="000000"/>
          <w:lang w:eastAsia="es-CR"/>
        </w:rPr>
        <w:fldChar w:fldCharType="separate"/>
      </w:r>
    </w:p>
    <w:p w14:paraId="56322178" w14:textId="3F9BCF36" w:rsidR="00694299" w:rsidRPr="00694299" w:rsidRDefault="00694299" w:rsidP="003A6F04">
      <w:pPr>
        <w:spacing w:line="240" w:lineRule="auto"/>
        <w:rPr>
          <w:rFonts w:eastAsia="Times New Roman" w:cs="Calibri"/>
          <w:color w:val="000000"/>
          <w:lang w:eastAsia="es-CR"/>
        </w:rPr>
      </w:pPr>
      <w:r w:rsidRPr="00694299">
        <w:rPr>
          <w:rFonts w:eastAsia="Times New Roman" w:cs="Calibri"/>
          <w:color w:val="000000"/>
          <w:lang w:eastAsia="es-CR"/>
        </w:rPr>
        <w:t>La cuenta Transferencias corrientes, representa el 0,2</w:t>
      </w:r>
      <w:r w:rsidR="003A6F04">
        <w:rPr>
          <w:rFonts w:eastAsia="Times New Roman" w:cs="Calibri"/>
          <w:color w:val="000000"/>
          <w:lang w:eastAsia="es-CR"/>
        </w:rPr>
        <w:t>4</w:t>
      </w:r>
      <w:r w:rsidRPr="00694299">
        <w:rPr>
          <w:rFonts w:eastAsia="Times New Roman" w:cs="Calibri"/>
          <w:color w:val="000000"/>
          <w:lang w:eastAsia="es-CR"/>
        </w:rPr>
        <w:t xml:space="preserve">% del total del Ingresos, que comparado al periodo anterior genera una variación absoluta de </w:t>
      </w:r>
      <w:r w:rsidR="003A6F04" w:rsidRPr="003A6F04">
        <w:rPr>
          <w:rFonts w:eastAsia="Times New Roman" w:cs="Calibri"/>
          <w:color w:val="000000"/>
          <w:lang w:eastAsia="es-CR"/>
        </w:rPr>
        <w:t>-639,30</w:t>
      </w:r>
      <w:r w:rsidRPr="00694299">
        <w:rPr>
          <w:rFonts w:eastAsia="Times New Roman" w:cs="Calibri"/>
          <w:color w:val="000000"/>
          <w:lang w:eastAsia="es-CR"/>
        </w:rPr>
        <w:t xml:space="preserve"> que corresponde a un Disminución del </w:t>
      </w:r>
      <w:r w:rsidR="00032C56">
        <w:rPr>
          <w:rFonts w:eastAsia="Times New Roman" w:cs="Calibri"/>
          <w:color w:val="000000"/>
          <w:lang w:eastAsia="es-CR"/>
        </w:rPr>
        <w:t xml:space="preserve">          </w:t>
      </w:r>
      <w:r w:rsidRPr="00694299">
        <w:rPr>
          <w:rFonts w:eastAsia="Times New Roman" w:cs="Calibri"/>
          <w:color w:val="000000"/>
          <w:lang w:eastAsia="es-CR"/>
        </w:rPr>
        <w:t>-5,34% de recursos disponibles.</w:t>
      </w:r>
    </w:p>
    <w:p w14:paraId="39D14478" w14:textId="73D08BE5" w:rsidR="00CD1227" w:rsidRDefault="003069AC" w:rsidP="003A6F04">
      <w:pPr>
        <w:spacing w:line="240" w:lineRule="auto"/>
        <w:rPr>
          <w:rFonts w:eastAsia="Calibri" w:cs="Times New Roman"/>
        </w:rPr>
      </w:pPr>
      <w:r>
        <w:rPr>
          <w:rFonts w:eastAsia="Times New Roman" w:cs="Calibri"/>
          <w:color w:val="000000"/>
          <w:lang w:eastAsia="es-CR"/>
        </w:rPr>
        <w:fldChar w:fldCharType="end"/>
      </w:r>
      <w:r w:rsidR="00692DC8" w:rsidRPr="00692DC8">
        <w:rPr>
          <w:rFonts w:eastAsia="Calibri" w:cs="Times New Roman"/>
          <w:highlight w:val="lightGray"/>
        </w:rPr>
        <w:t>Las variaciones de la cuenta son producto de (Indicar la razón de las variaciones de un periodo a otro):</w:t>
      </w:r>
      <w:r w:rsidR="00692DC8" w:rsidRPr="00692DC8">
        <w:rPr>
          <w:rFonts w:eastAsia="Calibri" w:cs="Times New Roman"/>
        </w:rPr>
        <w:t xml:space="preserve"> </w:t>
      </w:r>
    </w:p>
    <w:p w14:paraId="1C4A723C" w14:textId="6D16C034" w:rsidR="00C32C84" w:rsidRPr="00E570B5" w:rsidRDefault="00C32C84" w:rsidP="00C32C84">
      <w:pPr>
        <w:spacing w:after="0" w:line="240" w:lineRule="auto"/>
        <w:rPr>
          <w:rFonts w:eastAsia="Calibri"/>
        </w:rPr>
      </w:pPr>
      <w:r w:rsidRPr="00E570B5">
        <w:rPr>
          <w:rFonts w:eastAsia="Calibri"/>
        </w:rPr>
        <w:t xml:space="preserve">La variación </w:t>
      </w:r>
      <w:r>
        <w:rPr>
          <w:rFonts w:eastAsia="Calibri"/>
        </w:rPr>
        <w:t xml:space="preserve">(disminución) </w:t>
      </w:r>
      <w:r w:rsidRPr="00E570B5">
        <w:rPr>
          <w:rFonts w:eastAsia="Calibri"/>
        </w:rPr>
        <w:t xml:space="preserve">corresponde a una menor recaudación de recursos </w:t>
      </w:r>
      <w:r>
        <w:rPr>
          <w:rFonts w:eastAsia="Calibri"/>
        </w:rPr>
        <w:t>por concepto de transferencia d</w:t>
      </w:r>
      <w:r w:rsidRPr="00E570B5">
        <w:rPr>
          <w:rFonts w:eastAsia="Calibri"/>
        </w:rPr>
        <w:t xml:space="preserve">el IFAM por concepto del impuesto a licores nacionales y extranjeros </w:t>
      </w:r>
      <w:r>
        <w:rPr>
          <w:rFonts w:eastAsia="Calibri"/>
        </w:rPr>
        <w:t xml:space="preserve">que la </w:t>
      </w:r>
      <w:r w:rsidRPr="00E570B5">
        <w:rPr>
          <w:rFonts w:eastAsia="Calibri"/>
        </w:rPr>
        <w:t xml:space="preserve">efectuada </w:t>
      </w:r>
      <w:r w:rsidRPr="00E570B5">
        <w:t>durante</w:t>
      </w:r>
      <w:r w:rsidRPr="00E570B5">
        <w:rPr>
          <w:rFonts w:eastAsia="Calibri"/>
        </w:rPr>
        <w:t xml:space="preserve"> </w:t>
      </w:r>
      <w:r w:rsidR="0096573A">
        <w:rPr>
          <w:rFonts w:eastAsia="Calibri"/>
        </w:rPr>
        <w:t>junio</w:t>
      </w:r>
      <w:r w:rsidRPr="00E570B5">
        <w:rPr>
          <w:rFonts w:eastAsia="Calibri"/>
        </w:rPr>
        <w:t xml:space="preserve"> de </w:t>
      </w:r>
      <w:r>
        <w:rPr>
          <w:rFonts w:eastAsia="Calibri"/>
        </w:rPr>
        <w:t xml:space="preserve">2024 en relación con </w:t>
      </w:r>
      <w:r w:rsidR="0096573A">
        <w:rPr>
          <w:rFonts w:eastAsia="Calibri"/>
        </w:rPr>
        <w:t>junio</w:t>
      </w:r>
      <w:r>
        <w:rPr>
          <w:rFonts w:eastAsia="Calibri"/>
        </w:rPr>
        <w:t xml:space="preserve"> de 2023</w:t>
      </w:r>
      <w:r w:rsidRPr="00E570B5">
        <w:rPr>
          <w:rFonts w:eastAsia="Calibri"/>
        </w:rPr>
        <w:t xml:space="preserve">, de acuerdo con </w:t>
      </w:r>
      <w:r>
        <w:rPr>
          <w:rFonts w:eastAsia="Calibri"/>
        </w:rPr>
        <w:t xml:space="preserve">lo estipulado en </w:t>
      </w:r>
      <w:r w:rsidRPr="00E570B5">
        <w:rPr>
          <w:rFonts w:eastAsia="Calibri"/>
        </w:rPr>
        <w:t>la Ley de Presupuestos Ordinario y Extraordinarios de la República</w:t>
      </w:r>
      <w:r>
        <w:rPr>
          <w:rFonts w:eastAsia="Calibri"/>
        </w:rPr>
        <w:t>.</w:t>
      </w:r>
    </w:p>
    <w:p w14:paraId="1017D37F" w14:textId="77777777" w:rsidR="000C0991" w:rsidRDefault="000C0991" w:rsidP="00BC7612">
      <w:pPr>
        <w:spacing w:after="120" w:line="240" w:lineRule="auto"/>
        <w:rPr>
          <w:rFonts w:eastAsia="Calibri" w:cs="Times New Roman"/>
        </w:rPr>
      </w:pPr>
    </w:p>
    <w:p w14:paraId="7A905D87" w14:textId="77777777" w:rsidR="00BC7612" w:rsidRPr="00567780" w:rsidRDefault="00BC7612" w:rsidP="00BC7612">
      <w:pPr>
        <w:spacing w:after="120" w:line="240" w:lineRule="auto"/>
        <w:rPr>
          <w:rFonts w:eastAsia="Calibri" w:cs="Times New Roman"/>
        </w:rPr>
      </w:pPr>
    </w:p>
    <w:p w14:paraId="50AA2450" w14:textId="77777777" w:rsidR="00692DC8" w:rsidRPr="00692DC8" w:rsidRDefault="00692DC8" w:rsidP="00CD1227">
      <w:pPr>
        <w:pStyle w:val="Ttulo4"/>
        <w:rPr>
          <w:rFonts w:eastAsia="Times New Roman"/>
        </w:rPr>
      </w:pPr>
      <w:bookmarkStart w:id="800" w:name="_Toc14344860"/>
      <w:bookmarkStart w:id="801" w:name="_Toc33601294"/>
      <w:bookmarkStart w:id="802" w:name="_Toc82769014"/>
      <w:bookmarkStart w:id="803" w:name="_Toc173245288"/>
      <w:r w:rsidRPr="00692DC8">
        <w:rPr>
          <w:rFonts w:eastAsia="Times New Roman"/>
        </w:rPr>
        <w:t>NOTA N° 5</w:t>
      </w:r>
      <w:bookmarkEnd w:id="800"/>
      <w:bookmarkEnd w:id="801"/>
      <w:bookmarkEnd w:id="802"/>
      <w:r w:rsidRPr="00692DC8">
        <w:rPr>
          <w:rFonts w:eastAsia="Times New Roman"/>
        </w:rPr>
        <w:t>1</w:t>
      </w:r>
      <w:bookmarkEnd w:id="803"/>
    </w:p>
    <w:p w14:paraId="6ED6C832" w14:textId="77777777" w:rsidR="000C0991" w:rsidRDefault="000C0991" w:rsidP="000C0991">
      <w:pPr>
        <w:pStyle w:val="Ttulo4"/>
        <w:spacing w:before="0" w:line="240" w:lineRule="auto"/>
        <w:rPr>
          <w:rFonts w:eastAsia="Times New Roman"/>
        </w:rPr>
      </w:pPr>
      <w:bookmarkStart w:id="804" w:name="_Toc14344861"/>
      <w:bookmarkStart w:id="805" w:name="_Toc33601295"/>
      <w:bookmarkStart w:id="806" w:name="_Toc82769015"/>
    </w:p>
    <w:p w14:paraId="0F404561" w14:textId="085095C9" w:rsidR="003A6F04" w:rsidRDefault="00692DC8" w:rsidP="003A6F04">
      <w:pPr>
        <w:pStyle w:val="Ttulo4"/>
        <w:spacing w:before="0" w:line="240" w:lineRule="auto"/>
      </w:pPr>
      <w:bookmarkStart w:id="807" w:name="_Toc173245289"/>
      <w:r w:rsidRPr="00692DC8">
        <w:rPr>
          <w:rFonts w:eastAsia="Times New Roman"/>
        </w:rPr>
        <w:t>Transferencias de capital</w:t>
      </w:r>
      <w:bookmarkStart w:id="808" w:name="_Hlk124008211"/>
      <w:bookmarkEnd w:id="804"/>
      <w:bookmarkEnd w:id="805"/>
      <w:bookmarkEnd w:id="806"/>
      <w:bookmarkEnd w:id="807"/>
    </w:p>
    <w:p w14:paraId="26DBBE15" w14:textId="6FF8C248" w:rsidR="00C572A3" w:rsidRDefault="000C0991" w:rsidP="003A6F04">
      <w:pPr>
        <w:spacing w:after="120" w:line="240" w:lineRule="auto"/>
        <w:rPr>
          <w:rFonts w:asciiTheme="minorHAnsi" w:hAnsiTheme="minorHAnsi"/>
          <w:sz w:val="22"/>
        </w:rPr>
      </w:pPr>
      <w:r>
        <w:fldChar w:fldCharType="begin"/>
      </w:r>
      <w:r>
        <w:instrText xml:space="preserve"> LINK </w:instrText>
      </w:r>
      <w:r w:rsidR="0068177A">
        <w:instrText xml:space="preserve">Excel.SheetMacroEnabled.12 "C:\\Users\\arges\\OneDrive\\Desktop\\Municipalidades\\Buenos Aires\\Cierre Junio 2024\\Notas Contables\\15603_T02_2024_Anexo_Estado_Notas_Contables_Vinculadas.xlsm" NOTAS_POR_CUENTA!R312C1:R314C6 </w:instrText>
      </w:r>
      <w:r>
        <w:instrText xml:space="preserve">\a \f 4 \h </w:instrText>
      </w:r>
      <w:r>
        <w:fldChar w:fldCharType="separate"/>
      </w:r>
    </w:p>
    <w:tbl>
      <w:tblPr>
        <w:tblW w:w="10080" w:type="dxa"/>
        <w:tblLook w:val="04A0" w:firstRow="1" w:lastRow="0" w:firstColumn="1" w:lastColumn="0" w:noHBand="0" w:noVBand="1"/>
      </w:tblPr>
      <w:tblGrid>
        <w:gridCol w:w="717"/>
        <w:gridCol w:w="3339"/>
        <w:gridCol w:w="544"/>
        <w:gridCol w:w="2200"/>
        <w:gridCol w:w="2200"/>
        <w:gridCol w:w="1080"/>
      </w:tblGrid>
      <w:tr w:rsidR="00C572A3" w:rsidRPr="00C572A3" w14:paraId="70A98B8A" w14:textId="77777777" w:rsidTr="00C572A3">
        <w:trPr>
          <w:divId w:val="775296935"/>
          <w:trHeight w:val="320"/>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2B8F237" w14:textId="00826EA7" w:rsidR="00C572A3" w:rsidRPr="00C572A3" w:rsidRDefault="00C572A3" w:rsidP="00C572A3">
            <w:pPr>
              <w:spacing w:after="0" w:line="240" w:lineRule="auto"/>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C30D9E3"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Descripción</w:t>
            </w:r>
          </w:p>
        </w:tc>
        <w:tc>
          <w:tcPr>
            <w:tcW w:w="5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9238BE5"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Nota</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3BAA406"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Actual </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A3374E9"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Anterior </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0318FCDE"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Diferencia </w:t>
            </w:r>
          </w:p>
        </w:tc>
      </w:tr>
      <w:tr w:rsidR="00C572A3" w:rsidRPr="00C572A3" w14:paraId="714FFFB1" w14:textId="77777777" w:rsidTr="00C572A3">
        <w:trPr>
          <w:divId w:val="775296935"/>
          <w:trHeight w:val="320"/>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335B247F"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4A93F42D"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14:paraId="290B4C99"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318652CA"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0922D49F"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1080" w:type="dxa"/>
            <w:tcBorders>
              <w:top w:val="nil"/>
              <w:left w:val="nil"/>
              <w:bottom w:val="single" w:sz="8" w:space="0" w:color="auto"/>
              <w:right w:val="single" w:sz="8" w:space="0" w:color="auto"/>
            </w:tcBorders>
            <w:shd w:val="clear" w:color="000000" w:fill="366092"/>
            <w:noWrap/>
            <w:vAlign w:val="center"/>
            <w:hideMark/>
          </w:tcPr>
          <w:p w14:paraId="184384F2" w14:textId="77777777" w:rsidR="00C572A3" w:rsidRPr="00C572A3" w:rsidRDefault="00C572A3" w:rsidP="00C572A3">
            <w:pPr>
              <w:spacing w:after="0" w:line="240" w:lineRule="auto"/>
              <w:jc w:val="center"/>
              <w:rPr>
                <w:rFonts w:eastAsia="Times New Roman" w:cs="Calibri"/>
                <w:color w:val="FFFFFF"/>
                <w:sz w:val="18"/>
                <w:szCs w:val="18"/>
                <w:lang w:val="en-US"/>
              </w:rPr>
            </w:pPr>
            <w:r w:rsidRPr="00C572A3">
              <w:rPr>
                <w:rFonts w:eastAsia="Times New Roman" w:cs="Calibri"/>
                <w:color w:val="FFFFFF"/>
                <w:sz w:val="18"/>
                <w:szCs w:val="18"/>
                <w:lang w:val="en-US"/>
              </w:rPr>
              <w:t>%</w:t>
            </w:r>
          </w:p>
        </w:tc>
      </w:tr>
      <w:tr w:rsidR="00C572A3" w:rsidRPr="00C572A3" w14:paraId="4320A9C0" w14:textId="77777777" w:rsidTr="00C572A3">
        <w:trPr>
          <w:divId w:val="775296935"/>
          <w:trHeight w:val="320"/>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251129F4" w14:textId="77777777" w:rsidR="00C572A3" w:rsidRPr="00C572A3" w:rsidRDefault="00C572A3" w:rsidP="00C572A3">
            <w:pPr>
              <w:spacing w:after="0" w:line="240" w:lineRule="auto"/>
              <w:jc w:val="left"/>
              <w:rPr>
                <w:rFonts w:eastAsia="Times New Roman" w:cs="Calibri"/>
                <w:b/>
                <w:bCs/>
                <w:color w:val="000000"/>
                <w:sz w:val="18"/>
                <w:szCs w:val="18"/>
                <w:lang w:val="en-US"/>
              </w:rPr>
            </w:pPr>
            <w:r w:rsidRPr="00C572A3">
              <w:rPr>
                <w:rFonts w:eastAsia="Times New Roman" w:cs="Calibri"/>
                <w:b/>
                <w:bCs/>
                <w:color w:val="000000"/>
                <w:sz w:val="18"/>
                <w:szCs w:val="18"/>
                <w:lang w:val="en-US"/>
              </w:rPr>
              <w:t>4.6.2.</w:t>
            </w:r>
          </w:p>
        </w:tc>
        <w:tc>
          <w:tcPr>
            <w:tcW w:w="3380" w:type="dxa"/>
            <w:tcBorders>
              <w:top w:val="nil"/>
              <w:left w:val="nil"/>
              <w:bottom w:val="single" w:sz="8" w:space="0" w:color="auto"/>
              <w:right w:val="single" w:sz="8" w:space="0" w:color="auto"/>
            </w:tcBorders>
            <w:shd w:val="clear" w:color="auto" w:fill="auto"/>
            <w:vAlign w:val="center"/>
            <w:hideMark/>
          </w:tcPr>
          <w:p w14:paraId="1E834AD6" w14:textId="77777777" w:rsidR="00C572A3" w:rsidRPr="00C572A3" w:rsidRDefault="00C572A3" w:rsidP="00C572A3">
            <w:pPr>
              <w:spacing w:after="0" w:line="240" w:lineRule="auto"/>
              <w:rPr>
                <w:rFonts w:eastAsia="Times New Roman" w:cs="Calibri"/>
                <w:b/>
                <w:bCs/>
                <w:color w:val="000000"/>
                <w:sz w:val="18"/>
                <w:szCs w:val="18"/>
                <w:lang w:val="en-US"/>
              </w:rPr>
            </w:pPr>
            <w:r w:rsidRPr="00C572A3">
              <w:rPr>
                <w:rFonts w:eastAsia="Times New Roman" w:cs="Calibri"/>
                <w:b/>
                <w:bCs/>
                <w:color w:val="000000"/>
                <w:sz w:val="18"/>
                <w:szCs w:val="18"/>
                <w:lang w:val="en-US"/>
              </w:rPr>
              <w:t>Transferencias de capital</w:t>
            </w:r>
          </w:p>
        </w:tc>
        <w:tc>
          <w:tcPr>
            <w:tcW w:w="520" w:type="dxa"/>
            <w:tcBorders>
              <w:top w:val="nil"/>
              <w:left w:val="nil"/>
              <w:bottom w:val="single" w:sz="8" w:space="0" w:color="auto"/>
              <w:right w:val="single" w:sz="8" w:space="0" w:color="auto"/>
            </w:tcBorders>
            <w:shd w:val="clear" w:color="auto" w:fill="auto"/>
            <w:noWrap/>
            <w:vAlign w:val="center"/>
            <w:hideMark/>
          </w:tcPr>
          <w:p w14:paraId="2DDABB60"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51</w:t>
            </w:r>
          </w:p>
        </w:tc>
        <w:tc>
          <w:tcPr>
            <w:tcW w:w="2200" w:type="dxa"/>
            <w:tcBorders>
              <w:top w:val="nil"/>
              <w:left w:val="nil"/>
              <w:bottom w:val="single" w:sz="8" w:space="0" w:color="auto"/>
              <w:right w:val="single" w:sz="8" w:space="0" w:color="auto"/>
            </w:tcBorders>
            <w:shd w:val="clear" w:color="auto" w:fill="auto"/>
            <w:noWrap/>
            <w:vAlign w:val="center"/>
            <w:hideMark/>
          </w:tcPr>
          <w:p w14:paraId="3B531E3A"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3 772 816,72 </w:t>
            </w:r>
          </w:p>
        </w:tc>
        <w:tc>
          <w:tcPr>
            <w:tcW w:w="2200" w:type="dxa"/>
            <w:tcBorders>
              <w:top w:val="nil"/>
              <w:left w:val="nil"/>
              <w:bottom w:val="single" w:sz="8" w:space="0" w:color="auto"/>
              <w:right w:val="single" w:sz="8" w:space="0" w:color="auto"/>
            </w:tcBorders>
            <w:shd w:val="clear" w:color="auto" w:fill="auto"/>
            <w:noWrap/>
            <w:vAlign w:val="center"/>
            <w:hideMark/>
          </w:tcPr>
          <w:p w14:paraId="7EBB746D"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3 799 661,73 </w:t>
            </w:r>
          </w:p>
        </w:tc>
        <w:tc>
          <w:tcPr>
            <w:tcW w:w="1080" w:type="dxa"/>
            <w:tcBorders>
              <w:top w:val="nil"/>
              <w:left w:val="nil"/>
              <w:bottom w:val="single" w:sz="8" w:space="0" w:color="auto"/>
              <w:right w:val="single" w:sz="8" w:space="0" w:color="auto"/>
            </w:tcBorders>
            <w:shd w:val="clear" w:color="auto" w:fill="auto"/>
            <w:noWrap/>
            <w:vAlign w:val="center"/>
            <w:hideMark/>
          </w:tcPr>
          <w:p w14:paraId="786E863C"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-0,71%</w:t>
            </w:r>
          </w:p>
        </w:tc>
      </w:tr>
    </w:tbl>
    <w:p w14:paraId="171CF82D" w14:textId="77777777" w:rsidR="003A6F04" w:rsidRDefault="000C0991" w:rsidP="00BC7612">
      <w:pPr>
        <w:spacing w:after="0" w:line="240" w:lineRule="auto"/>
        <w:rPr>
          <w:szCs w:val="24"/>
        </w:rPr>
      </w:pPr>
      <w:r>
        <w:rPr>
          <w:szCs w:val="24"/>
        </w:rPr>
        <w:fldChar w:fldCharType="end"/>
      </w:r>
    </w:p>
    <w:p w14:paraId="05C51EFC" w14:textId="452E2A63" w:rsidR="00337C1D" w:rsidRDefault="00337C1D" w:rsidP="00BC7612">
      <w:pPr>
        <w:spacing w:after="0" w:line="240" w:lineRule="auto"/>
        <w:rPr>
          <w:rFonts w:eastAsia="Calibri" w:cs="Times New Roman"/>
          <w:bCs/>
          <w:lang w:val="es-ES"/>
        </w:rPr>
      </w:pPr>
      <w:r w:rsidRPr="00337C1D">
        <w:rPr>
          <w:rFonts w:eastAsia="Calibri" w:cs="Times New Roman"/>
          <w:bCs/>
          <w:lang w:val="es-ES"/>
        </w:rPr>
        <w:t>Detalle:</w:t>
      </w:r>
    </w:p>
    <w:p w14:paraId="6F31FC22" w14:textId="77777777" w:rsidR="003A6F04" w:rsidRPr="00337C1D" w:rsidRDefault="003A6F04" w:rsidP="00BC7612">
      <w:pPr>
        <w:spacing w:after="0" w:line="240" w:lineRule="auto"/>
        <w:rPr>
          <w:rFonts w:eastAsia="Calibri" w:cs="Times New Roman"/>
          <w:bCs/>
          <w:lang w:val="es-ES"/>
        </w:rPr>
      </w:pPr>
    </w:p>
    <w:tbl>
      <w:tblPr>
        <w:tblW w:w="5103" w:type="dxa"/>
        <w:tblInd w:w="-10" w:type="dxa"/>
        <w:tblCellMar>
          <w:left w:w="70" w:type="dxa"/>
          <w:right w:w="70" w:type="dxa"/>
        </w:tblCellMar>
        <w:tblLook w:val="04A0" w:firstRow="1" w:lastRow="0" w:firstColumn="1" w:lastColumn="0" w:noHBand="0" w:noVBand="1"/>
      </w:tblPr>
      <w:tblGrid>
        <w:gridCol w:w="1240"/>
        <w:gridCol w:w="3863"/>
      </w:tblGrid>
      <w:tr w:rsidR="00337C1D" w:rsidRPr="00337C1D" w14:paraId="51782D5E" w14:textId="77777777" w:rsidTr="00BC7612">
        <w:trPr>
          <w:trHeight w:val="288"/>
        </w:trPr>
        <w:tc>
          <w:tcPr>
            <w:tcW w:w="1240" w:type="dxa"/>
            <w:tcBorders>
              <w:top w:val="single" w:sz="8" w:space="0" w:color="auto"/>
              <w:left w:val="single" w:sz="8" w:space="0" w:color="auto"/>
              <w:bottom w:val="nil"/>
              <w:right w:val="single" w:sz="8" w:space="0" w:color="auto"/>
            </w:tcBorders>
            <w:shd w:val="clear" w:color="000000" w:fill="366092"/>
            <w:noWrap/>
            <w:vAlign w:val="center"/>
            <w:hideMark/>
          </w:tcPr>
          <w:p w14:paraId="76426363" w14:textId="77777777" w:rsidR="00337C1D" w:rsidRPr="00337C1D" w:rsidRDefault="00337C1D" w:rsidP="00495CDD">
            <w:pPr>
              <w:spacing w:after="0" w:line="240" w:lineRule="auto"/>
              <w:rPr>
                <w:rFonts w:eastAsia="Times New Roman" w:cs="Calibri"/>
                <w:b/>
                <w:bCs/>
                <w:color w:val="FFFFFF"/>
                <w:sz w:val="18"/>
                <w:szCs w:val="18"/>
                <w:lang w:eastAsia="es-CR"/>
              </w:rPr>
            </w:pPr>
            <w:r w:rsidRPr="00337C1D">
              <w:rPr>
                <w:rFonts w:eastAsia="Times New Roman" w:cs="Calibri"/>
                <w:b/>
                <w:bCs/>
                <w:color w:val="FFFFFF"/>
                <w:sz w:val="18"/>
                <w:szCs w:val="18"/>
                <w:lang w:eastAsia="es-CR"/>
              </w:rPr>
              <w:t xml:space="preserve">Cuenta </w:t>
            </w:r>
          </w:p>
        </w:tc>
        <w:tc>
          <w:tcPr>
            <w:tcW w:w="3863" w:type="dxa"/>
            <w:tcBorders>
              <w:top w:val="single" w:sz="8" w:space="0" w:color="auto"/>
              <w:left w:val="nil"/>
              <w:bottom w:val="nil"/>
              <w:right w:val="single" w:sz="8" w:space="0" w:color="auto"/>
            </w:tcBorders>
            <w:shd w:val="clear" w:color="000000" w:fill="366092"/>
            <w:vAlign w:val="center"/>
            <w:hideMark/>
          </w:tcPr>
          <w:p w14:paraId="6BEBD5DB" w14:textId="77777777" w:rsidR="00337C1D" w:rsidRPr="00337C1D" w:rsidRDefault="00337C1D" w:rsidP="00495CDD">
            <w:pPr>
              <w:spacing w:after="0" w:line="240" w:lineRule="auto"/>
              <w:jc w:val="center"/>
              <w:rPr>
                <w:rFonts w:eastAsia="Times New Roman" w:cs="Calibri"/>
                <w:b/>
                <w:bCs/>
                <w:color w:val="FFFFFF"/>
                <w:sz w:val="18"/>
                <w:szCs w:val="18"/>
                <w:lang w:eastAsia="es-CR"/>
              </w:rPr>
            </w:pPr>
            <w:r w:rsidRPr="00337C1D">
              <w:rPr>
                <w:rFonts w:eastAsia="Times New Roman" w:cs="Calibri"/>
                <w:b/>
                <w:bCs/>
                <w:color w:val="FFFFFF"/>
                <w:sz w:val="18"/>
                <w:szCs w:val="18"/>
                <w:lang w:eastAsia="es-CR"/>
              </w:rPr>
              <w:t xml:space="preserve">Descripción </w:t>
            </w:r>
          </w:p>
        </w:tc>
      </w:tr>
      <w:tr w:rsidR="00337C1D" w:rsidRPr="00337C1D" w14:paraId="50B76CB3" w14:textId="77777777" w:rsidTr="00BC7612">
        <w:trPr>
          <w:trHeight w:val="244"/>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0A713DE7" w14:textId="3A3800B5" w:rsidR="00337C1D" w:rsidRPr="00337C1D" w:rsidRDefault="00337C1D" w:rsidP="00495CDD">
            <w:pPr>
              <w:spacing w:after="0" w:line="240" w:lineRule="auto"/>
              <w:rPr>
                <w:rFonts w:eastAsia="Times New Roman" w:cs="Calibri"/>
                <w:b/>
                <w:bCs/>
                <w:color w:val="000000"/>
                <w:sz w:val="18"/>
                <w:szCs w:val="18"/>
                <w:lang w:eastAsia="es-CR"/>
              </w:rPr>
            </w:pPr>
            <w:r w:rsidRPr="00337C1D">
              <w:rPr>
                <w:rFonts w:eastAsia="Calibri" w:cs="Times New Roman"/>
                <w:b/>
                <w:bCs/>
                <w:color w:val="000000"/>
                <w:sz w:val="18"/>
                <w:szCs w:val="18"/>
                <w:lang w:eastAsia="es-CR"/>
              </w:rPr>
              <w:t>4.6.</w:t>
            </w:r>
            <w:r w:rsidR="00EC7A41">
              <w:rPr>
                <w:rFonts w:eastAsia="Calibri" w:cs="Times New Roman"/>
                <w:b/>
                <w:bCs/>
                <w:color w:val="000000"/>
                <w:sz w:val="18"/>
                <w:szCs w:val="18"/>
                <w:lang w:eastAsia="es-CR"/>
              </w:rPr>
              <w:t>2</w:t>
            </w:r>
            <w:r w:rsidRPr="00337C1D">
              <w:rPr>
                <w:rFonts w:eastAsia="Calibri" w:cs="Times New Roman"/>
                <w:b/>
                <w:bCs/>
                <w:color w:val="000000"/>
                <w:sz w:val="18"/>
                <w:szCs w:val="18"/>
                <w:lang w:eastAsia="es-CR"/>
              </w:rPr>
              <w:t>.02.</w:t>
            </w:r>
          </w:p>
        </w:tc>
        <w:tc>
          <w:tcPr>
            <w:tcW w:w="3863" w:type="dxa"/>
            <w:tcBorders>
              <w:top w:val="nil"/>
              <w:left w:val="nil"/>
              <w:bottom w:val="single" w:sz="8" w:space="0" w:color="auto"/>
              <w:right w:val="single" w:sz="8" w:space="0" w:color="auto"/>
            </w:tcBorders>
            <w:shd w:val="clear" w:color="auto" w:fill="auto"/>
            <w:vAlign w:val="center"/>
            <w:hideMark/>
          </w:tcPr>
          <w:p w14:paraId="356076B9" w14:textId="4ADAD7AE" w:rsidR="00337C1D" w:rsidRPr="00337C1D" w:rsidRDefault="00337C1D" w:rsidP="00495CDD">
            <w:pPr>
              <w:spacing w:after="0" w:line="240" w:lineRule="auto"/>
              <w:rPr>
                <w:rFonts w:eastAsia="Times New Roman" w:cs="Calibri"/>
                <w:b/>
                <w:bCs/>
                <w:color w:val="000000"/>
                <w:sz w:val="18"/>
                <w:szCs w:val="18"/>
                <w:lang w:eastAsia="es-CR"/>
              </w:rPr>
            </w:pPr>
            <w:r w:rsidRPr="00337C1D">
              <w:rPr>
                <w:rFonts w:eastAsia="Calibri" w:cs="Times New Roman"/>
                <w:b/>
                <w:bCs/>
                <w:color w:val="000000"/>
                <w:sz w:val="18"/>
                <w:szCs w:val="18"/>
                <w:lang w:eastAsia="es-CR"/>
              </w:rPr>
              <w:t xml:space="preserve">Transferencias </w:t>
            </w:r>
            <w:r w:rsidR="00EC7A41">
              <w:rPr>
                <w:rFonts w:eastAsia="Calibri" w:cs="Times New Roman"/>
                <w:b/>
                <w:bCs/>
                <w:color w:val="000000"/>
                <w:sz w:val="18"/>
                <w:szCs w:val="18"/>
                <w:lang w:eastAsia="es-CR"/>
              </w:rPr>
              <w:t>de capital</w:t>
            </w:r>
            <w:r w:rsidRPr="00337C1D">
              <w:rPr>
                <w:rFonts w:eastAsia="Calibri" w:cs="Times New Roman"/>
                <w:b/>
                <w:bCs/>
                <w:color w:val="000000"/>
                <w:sz w:val="18"/>
                <w:szCs w:val="18"/>
                <w:lang w:eastAsia="es-CR"/>
              </w:rPr>
              <w:t xml:space="preserve"> del sector público interno</w:t>
            </w:r>
          </w:p>
        </w:tc>
      </w:tr>
    </w:tbl>
    <w:p w14:paraId="50F28A97" w14:textId="708869B6" w:rsidR="006D2D75" w:rsidRDefault="006D2D75" w:rsidP="00BC7612">
      <w:pPr>
        <w:spacing w:after="0" w:line="240" w:lineRule="auto"/>
        <w:rPr>
          <w:rFonts w:eastAsia="Calibri" w:cs="Times New Roman"/>
          <w:b/>
          <w:bCs/>
          <w:lang w:val="es-ES"/>
        </w:rPr>
      </w:pPr>
    </w:p>
    <w:tbl>
      <w:tblPr>
        <w:tblW w:w="8040" w:type="dxa"/>
        <w:tblInd w:w="-10" w:type="dxa"/>
        <w:tblCellMar>
          <w:left w:w="70" w:type="dxa"/>
          <w:right w:w="70" w:type="dxa"/>
        </w:tblCellMar>
        <w:tblLook w:val="04A0" w:firstRow="1" w:lastRow="0" w:firstColumn="1" w:lastColumn="0" w:noHBand="0" w:noVBand="1"/>
      </w:tblPr>
      <w:tblGrid>
        <w:gridCol w:w="2680"/>
        <w:gridCol w:w="2680"/>
        <w:gridCol w:w="2680"/>
      </w:tblGrid>
      <w:tr w:rsidR="00337C1D" w:rsidRPr="00DD250F" w14:paraId="4931448A" w14:textId="77777777" w:rsidTr="00495CDD">
        <w:trPr>
          <w:trHeight w:val="300"/>
        </w:trPr>
        <w:tc>
          <w:tcPr>
            <w:tcW w:w="2680" w:type="dxa"/>
            <w:tcBorders>
              <w:top w:val="single" w:sz="8" w:space="0" w:color="auto"/>
              <w:left w:val="single" w:sz="8" w:space="0" w:color="auto"/>
              <w:bottom w:val="single" w:sz="8" w:space="0" w:color="auto"/>
              <w:right w:val="nil"/>
            </w:tcBorders>
            <w:shd w:val="clear" w:color="000000" w:fill="365F91"/>
            <w:vAlign w:val="center"/>
            <w:hideMark/>
          </w:tcPr>
          <w:p w14:paraId="3C522DA3" w14:textId="77777777" w:rsidR="00337C1D" w:rsidRPr="00DD250F" w:rsidRDefault="00337C1D" w:rsidP="00495CDD">
            <w:pPr>
              <w:spacing w:after="0" w:line="240" w:lineRule="auto"/>
              <w:jc w:val="center"/>
              <w:rPr>
                <w:rFonts w:eastAsia="Times New Roman" w:cs="Calibri"/>
                <w:color w:val="FFFFFF"/>
                <w:sz w:val="22"/>
                <w:lang w:eastAsia="es-CR"/>
              </w:rPr>
            </w:pPr>
            <w:r w:rsidRPr="00DD250F">
              <w:rPr>
                <w:rFonts w:eastAsia="Times New Roman" w:cs="Calibri"/>
                <w:color w:val="FFFFFF"/>
                <w:sz w:val="22"/>
                <w:lang w:eastAsia="es-CR"/>
              </w:rPr>
              <w:t>CODIGO INSTITUCIONAL</w:t>
            </w:r>
          </w:p>
        </w:tc>
        <w:tc>
          <w:tcPr>
            <w:tcW w:w="2680" w:type="dxa"/>
            <w:tcBorders>
              <w:top w:val="single" w:sz="8" w:space="0" w:color="auto"/>
              <w:left w:val="single" w:sz="8" w:space="0" w:color="auto"/>
              <w:bottom w:val="single" w:sz="8" w:space="0" w:color="auto"/>
              <w:right w:val="single" w:sz="8" w:space="0" w:color="auto"/>
            </w:tcBorders>
            <w:shd w:val="clear" w:color="000000" w:fill="365F91"/>
            <w:vAlign w:val="center"/>
            <w:hideMark/>
          </w:tcPr>
          <w:p w14:paraId="37ADA513" w14:textId="77777777" w:rsidR="00337C1D" w:rsidRPr="00DD250F" w:rsidRDefault="00337C1D" w:rsidP="00495CDD">
            <w:pPr>
              <w:spacing w:after="0" w:line="240" w:lineRule="auto"/>
              <w:jc w:val="center"/>
              <w:rPr>
                <w:rFonts w:eastAsia="Times New Roman" w:cs="Calibri"/>
                <w:color w:val="FFFFFF"/>
                <w:sz w:val="22"/>
                <w:lang w:eastAsia="es-CR"/>
              </w:rPr>
            </w:pPr>
            <w:r w:rsidRPr="00DD250F">
              <w:rPr>
                <w:rFonts w:eastAsia="Times New Roman" w:cs="Calibri"/>
                <w:color w:val="FFFFFF"/>
                <w:sz w:val="22"/>
                <w:lang w:eastAsia="es-CR"/>
              </w:rPr>
              <w:t>NOMBRE ENTIDAD</w:t>
            </w:r>
          </w:p>
        </w:tc>
        <w:tc>
          <w:tcPr>
            <w:tcW w:w="2680" w:type="dxa"/>
            <w:tcBorders>
              <w:top w:val="single" w:sz="8" w:space="0" w:color="auto"/>
              <w:left w:val="nil"/>
              <w:bottom w:val="single" w:sz="8" w:space="0" w:color="auto"/>
              <w:right w:val="single" w:sz="8" w:space="0" w:color="auto"/>
            </w:tcBorders>
            <w:shd w:val="clear" w:color="000000" w:fill="365F91"/>
            <w:noWrap/>
            <w:vAlign w:val="center"/>
            <w:hideMark/>
          </w:tcPr>
          <w:p w14:paraId="1BA2A218" w14:textId="77777777" w:rsidR="00337C1D" w:rsidRPr="00DD250F" w:rsidRDefault="00337C1D" w:rsidP="00495CDD">
            <w:pPr>
              <w:spacing w:after="0" w:line="240" w:lineRule="auto"/>
              <w:jc w:val="center"/>
              <w:rPr>
                <w:rFonts w:eastAsia="Times New Roman" w:cs="Calibri"/>
                <w:color w:val="FFFFFF"/>
                <w:sz w:val="22"/>
                <w:lang w:eastAsia="es-CR"/>
              </w:rPr>
            </w:pPr>
            <w:r w:rsidRPr="00DD250F">
              <w:rPr>
                <w:rFonts w:eastAsia="Times New Roman" w:cs="Calibri"/>
                <w:color w:val="FFFFFF"/>
                <w:sz w:val="22"/>
                <w:lang w:eastAsia="es-CR"/>
              </w:rPr>
              <w:t>MONTO</w:t>
            </w:r>
          </w:p>
        </w:tc>
      </w:tr>
      <w:tr w:rsidR="00032C56" w:rsidRPr="00DD250F" w14:paraId="33876AF5" w14:textId="77777777" w:rsidTr="00495CDD">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021F4977" w14:textId="69C3AEFC" w:rsidR="00032C56" w:rsidRPr="00DD250F" w:rsidRDefault="00032C56" w:rsidP="00032C56">
            <w:pPr>
              <w:spacing w:after="0" w:line="240" w:lineRule="auto"/>
              <w:rPr>
                <w:rFonts w:eastAsia="Times New Roman" w:cs="Calibri"/>
                <w:color w:val="000000"/>
                <w:sz w:val="20"/>
                <w:szCs w:val="20"/>
                <w:lang w:eastAsia="es-CR"/>
              </w:rPr>
            </w:pPr>
            <w:r>
              <w:rPr>
                <w:rFonts w:cs="Calibri"/>
                <w:b/>
                <w:bCs/>
                <w:color w:val="000000"/>
                <w:sz w:val="20"/>
                <w:szCs w:val="20"/>
              </w:rPr>
              <w:t>11206</w:t>
            </w:r>
          </w:p>
        </w:tc>
        <w:tc>
          <w:tcPr>
            <w:tcW w:w="2680" w:type="dxa"/>
            <w:tcBorders>
              <w:top w:val="nil"/>
              <w:left w:val="nil"/>
              <w:bottom w:val="single" w:sz="8" w:space="0" w:color="auto"/>
              <w:right w:val="single" w:sz="8" w:space="0" w:color="auto"/>
            </w:tcBorders>
            <w:shd w:val="clear" w:color="auto" w:fill="auto"/>
            <w:vAlign w:val="center"/>
            <w:hideMark/>
          </w:tcPr>
          <w:p w14:paraId="0551F9DB" w14:textId="566751CC" w:rsidR="00032C56" w:rsidRPr="00DD250F" w:rsidRDefault="00032C56" w:rsidP="00032C56">
            <w:pPr>
              <w:spacing w:after="0" w:line="240" w:lineRule="auto"/>
              <w:jc w:val="center"/>
              <w:rPr>
                <w:rFonts w:eastAsia="Times New Roman" w:cs="Calibri"/>
                <w:color w:val="000000"/>
                <w:szCs w:val="24"/>
                <w:lang w:eastAsia="es-CR"/>
              </w:rPr>
            </w:pPr>
            <w:r>
              <w:rPr>
                <w:rFonts w:cs="Calibri"/>
                <w:b/>
                <w:bCs/>
                <w:color w:val="000000"/>
                <w:sz w:val="20"/>
                <w:szCs w:val="20"/>
              </w:rPr>
              <w:t>Ministerio de Hacienda  </w:t>
            </w:r>
          </w:p>
        </w:tc>
        <w:tc>
          <w:tcPr>
            <w:tcW w:w="2680" w:type="dxa"/>
            <w:tcBorders>
              <w:top w:val="nil"/>
              <w:left w:val="nil"/>
              <w:bottom w:val="single" w:sz="8" w:space="0" w:color="auto"/>
              <w:right w:val="single" w:sz="8" w:space="0" w:color="auto"/>
            </w:tcBorders>
            <w:shd w:val="clear" w:color="auto" w:fill="auto"/>
            <w:noWrap/>
            <w:vAlign w:val="center"/>
            <w:hideMark/>
          </w:tcPr>
          <w:p w14:paraId="34EAECB3" w14:textId="78F591BF" w:rsidR="00032C56" w:rsidRPr="00DD250F" w:rsidRDefault="00032C56" w:rsidP="00032C56">
            <w:pPr>
              <w:spacing w:after="0" w:line="240" w:lineRule="auto"/>
              <w:jc w:val="right"/>
              <w:rPr>
                <w:rFonts w:eastAsia="Times New Roman" w:cs="Calibri"/>
                <w:color w:val="000000"/>
                <w:sz w:val="20"/>
                <w:szCs w:val="20"/>
                <w:lang w:eastAsia="es-CR"/>
              </w:rPr>
            </w:pPr>
            <w:r>
              <w:rPr>
                <w:rFonts w:ascii="Arial" w:hAnsi="Arial" w:cs="Arial"/>
                <w:b/>
                <w:bCs/>
                <w:color w:val="000000"/>
                <w:sz w:val="20"/>
                <w:szCs w:val="20"/>
              </w:rPr>
              <w:t>₡</w:t>
            </w:r>
            <w:r>
              <w:rPr>
                <w:rFonts w:cs="Calibri"/>
                <w:b/>
                <w:bCs/>
                <w:color w:val="000000"/>
                <w:sz w:val="20"/>
                <w:szCs w:val="20"/>
              </w:rPr>
              <w:t>3 772 816,72</w:t>
            </w:r>
          </w:p>
        </w:tc>
      </w:tr>
      <w:bookmarkEnd w:id="808"/>
    </w:tbl>
    <w:p w14:paraId="1DE567C7" w14:textId="77777777" w:rsidR="00032C56" w:rsidRDefault="00032C56" w:rsidP="00032C56">
      <w:pPr>
        <w:spacing w:after="0" w:line="240" w:lineRule="auto"/>
        <w:rPr>
          <w:rFonts w:eastAsia="Calibri"/>
          <w:b/>
          <w:lang w:val="es-ES"/>
        </w:rPr>
      </w:pPr>
    </w:p>
    <w:p w14:paraId="6E8F1178" w14:textId="569143DD" w:rsidR="00692DC8" w:rsidRPr="00855904" w:rsidRDefault="00692DC8" w:rsidP="00BC7612">
      <w:pPr>
        <w:spacing w:after="0" w:line="240" w:lineRule="auto"/>
        <w:rPr>
          <w:rFonts w:eastAsia="Calibri"/>
          <w:b/>
          <w:sz w:val="20"/>
          <w:szCs w:val="20"/>
          <w:lang w:eastAsia="es-CR"/>
        </w:rPr>
      </w:pPr>
      <w:r w:rsidRPr="00855904">
        <w:rPr>
          <w:rFonts w:eastAsia="Calibri"/>
          <w:b/>
          <w:lang w:val="es-ES"/>
        </w:rPr>
        <w:t xml:space="preserve">Revelación: </w:t>
      </w:r>
    </w:p>
    <w:p w14:paraId="7B8FFD55" w14:textId="77777777" w:rsidR="00694299" w:rsidRPr="00694299" w:rsidRDefault="00337C1D" w:rsidP="00032C56">
      <w:pPr>
        <w:spacing w:after="0" w:line="240" w:lineRule="auto"/>
        <w:rPr>
          <w:rFonts w:cs="Calibri"/>
          <w:color w:val="000000"/>
          <w:lang w:eastAsia="es-CR"/>
        </w:rPr>
      </w:pPr>
      <w:r>
        <w:rPr>
          <w:rFonts w:cs="Calibri"/>
          <w:color w:val="000000"/>
          <w:lang w:eastAsia="es-CR"/>
        </w:rPr>
        <w:fldChar w:fldCharType="begin"/>
      </w:r>
      <w:r>
        <w:rPr>
          <w:rFonts w:cs="Calibri"/>
          <w:color w:val="000000"/>
          <w:lang w:eastAsia="es-CR"/>
        </w:rPr>
        <w:instrText xml:space="preserve"> LINK </w:instrText>
      </w:r>
      <w:r w:rsidR="00323752">
        <w:rPr>
          <w:rFonts w:cs="Calibri"/>
          <w:color w:val="000000"/>
          <w:lang w:eastAsia="es-CR"/>
        </w:rPr>
        <w:instrText xml:space="preserve">Excel.SheetMacroEnabled.12 "D:\\MORAVIA\\INSUMOS\\NOTAS 2024\\Formato_Notas_EEFF_Vinculadas_2024\\XXXXX_PXX_202X_Anexo_Estado_Notas_Contables_Vinculadas.xlsm" NOTAS_POR_CUENTA!F314C8 </w:instrText>
      </w:r>
      <w:r>
        <w:rPr>
          <w:rFonts w:cs="Calibri"/>
          <w:color w:val="000000"/>
          <w:lang w:eastAsia="es-CR"/>
        </w:rPr>
        <w:instrText xml:space="preserve">\a \f 5 \h  \* MERGEFORMAT </w:instrText>
      </w:r>
      <w:r>
        <w:rPr>
          <w:rFonts w:cs="Calibri"/>
          <w:color w:val="000000"/>
          <w:lang w:eastAsia="es-CR"/>
        </w:rPr>
        <w:fldChar w:fldCharType="separate"/>
      </w:r>
    </w:p>
    <w:p w14:paraId="27C04E79" w14:textId="4A30B6F3" w:rsidR="00694299" w:rsidRPr="00694299" w:rsidRDefault="00694299" w:rsidP="003A6F04">
      <w:pPr>
        <w:spacing w:line="240" w:lineRule="auto"/>
        <w:rPr>
          <w:rFonts w:cs="Calibri"/>
          <w:color w:val="000000"/>
          <w:lang w:eastAsia="es-CR"/>
        </w:rPr>
      </w:pPr>
      <w:r w:rsidRPr="00694299">
        <w:rPr>
          <w:rFonts w:cs="Calibri"/>
          <w:color w:val="000000"/>
          <w:lang w:eastAsia="es-CR"/>
        </w:rPr>
        <w:t>La cuenta Transferencias de capital, representa el 8</w:t>
      </w:r>
      <w:r w:rsidR="003A6F04">
        <w:rPr>
          <w:rFonts w:cs="Calibri"/>
          <w:color w:val="000000"/>
          <w:lang w:eastAsia="es-CR"/>
        </w:rPr>
        <w:t>0</w:t>
      </w:r>
      <w:r w:rsidRPr="00694299">
        <w:rPr>
          <w:rFonts w:cs="Calibri"/>
          <w:color w:val="000000"/>
          <w:lang w:eastAsia="es-CR"/>
        </w:rPr>
        <w:t>,</w:t>
      </w:r>
      <w:r w:rsidR="003A6F04">
        <w:rPr>
          <w:rFonts w:cs="Calibri"/>
          <w:color w:val="000000"/>
          <w:lang w:eastAsia="es-CR"/>
        </w:rPr>
        <w:t>56</w:t>
      </w:r>
      <w:r w:rsidRPr="00694299">
        <w:rPr>
          <w:rFonts w:cs="Calibri"/>
          <w:color w:val="000000"/>
          <w:lang w:eastAsia="es-CR"/>
        </w:rPr>
        <w:t xml:space="preserve">% del total del Ingresos, que comparado al periodo anterior genera una variación absoluta de </w:t>
      </w:r>
      <w:r w:rsidR="003A6F04" w:rsidRPr="003A6F04">
        <w:rPr>
          <w:rFonts w:cs="Calibri"/>
          <w:color w:val="000000"/>
          <w:lang w:eastAsia="es-CR"/>
        </w:rPr>
        <w:t xml:space="preserve">-26 845,01 </w:t>
      </w:r>
      <w:r w:rsidRPr="00694299">
        <w:rPr>
          <w:rFonts w:cs="Calibri"/>
          <w:color w:val="000000"/>
          <w:lang w:eastAsia="es-CR"/>
        </w:rPr>
        <w:t xml:space="preserve">que corresponde a un Disminución del -0,71% de recursos </w:t>
      </w:r>
      <w:r w:rsidRPr="00694299">
        <w:rPr>
          <w:rFonts w:asciiTheme="minorHAnsi" w:hAnsiTheme="minorHAnsi"/>
          <w:sz w:val="22"/>
        </w:rPr>
        <w:t>disponibles</w:t>
      </w:r>
      <w:r w:rsidRPr="00694299">
        <w:rPr>
          <w:rFonts w:cs="Calibri"/>
          <w:color w:val="000000"/>
          <w:lang w:eastAsia="es-CR"/>
        </w:rPr>
        <w:t>.</w:t>
      </w:r>
    </w:p>
    <w:p w14:paraId="3307FD8A" w14:textId="6AD921EE" w:rsidR="00692DC8" w:rsidRPr="00855904" w:rsidRDefault="00337C1D" w:rsidP="00337C1D">
      <w:pPr>
        <w:rPr>
          <w:rFonts w:eastAsiaTheme="minorEastAsia" w:cs="Arial Narrow"/>
          <w:color w:val="000000"/>
          <w:lang w:eastAsia="es-CR"/>
        </w:rPr>
      </w:pPr>
      <w:r>
        <w:rPr>
          <w:rFonts w:cs="Calibri"/>
          <w:color w:val="000000"/>
          <w:lang w:eastAsia="es-CR"/>
        </w:rPr>
        <w:fldChar w:fldCharType="end"/>
      </w:r>
      <w:r w:rsidR="00692DC8" w:rsidRPr="00692DC8">
        <w:rPr>
          <w:rFonts w:eastAsia="Calibri"/>
          <w:highlight w:val="lightGray"/>
        </w:rPr>
        <w:t>Las variaciones de la cuenta son producto de (Indicar la razón de las variaciones de un periodo a otro):</w:t>
      </w:r>
      <w:r w:rsidR="00692DC8" w:rsidRPr="00692DC8">
        <w:rPr>
          <w:rFonts w:eastAsia="Calibri"/>
        </w:rPr>
        <w:t xml:space="preserve"> </w:t>
      </w:r>
    </w:p>
    <w:p w14:paraId="4DC8DAF3" w14:textId="77777777" w:rsidR="00032C56" w:rsidRPr="00A91674" w:rsidRDefault="00032C56" w:rsidP="00032C56">
      <w:pPr>
        <w:spacing w:after="0" w:line="240" w:lineRule="auto"/>
        <w:rPr>
          <w:rFonts w:eastAsia="Calibri"/>
        </w:rPr>
      </w:pPr>
      <w:r>
        <w:rPr>
          <w:rFonts w:eastAsia="Calibri"/>
        </w:rPr>
        <w:t xml:space="preserve">La variación (Disminución) de </w:t>
      </w:r>
      <w:r w:rsidRPr="00645068">
        <w:rPr>
          <w:rFonts w:eastAsia="Calibri"/>
        </w:rPr>
        <w:t>-</w:t>
      </w:r>
      <w:r w:rsidRPr="00645068">
        <w:rPr>
          <w:rFonts w:ascii="Arial" w:eastAsia="Calibri" w:hAnsi="Arial" w:cs="Arial"/>
        </w:rPr>
        <w:t>₡</w:t>
      </w:r>
      <w:r w:rsidRPr="00645068">
        <w:rPr>
          <w:rFonts w:eastAsia="Calibri"/>
        </w:rPr>
        <w:t>26 845,01</w:t>
      </w:r>
      <w:r>
        <w:rPr>
          <w:rFonts w:eastAsia="Calibri"/>
        </w:rPr>
        <w:t xml:space="preserve"> </w:t>
      </w:r>
      <w:r w:rsidRPr="00FD16A8">
        <w:rPr>
          <w:rFonts w:eastAsia="Calibri"/>
        </w:rPr>
        <w:t xml:space="preserve">miles que presenta la cuenta en mención </w:t>
      </w:r>
      <w:r>
        <w:rPr>
          <w:rFonts w:eastAsia="Calibri"/>
        </w:rPr>
        <w:t xml:space="preserve">se deben a que, el monto de las Transferencias de Capital que está incluida en la Ley de Presupuesto Ordinario y Extraordinario de la República de Costa Rica para el año 2024, y que le corresponde al Ministerio de Hacienda transferir a la Municipalidad según programación anual es menor que el incluido en el Presupuesto del año 2023. </w:t>
      </w:r>
    </w:p>
    <w:p w14:paraId="2F575903" w14:textId="77777777" w:rsidR="00032C56" w:rsidRPr="00692DC8" w:rsidRDefault="00032C56" w:rsidP="00BC7612">
      <w:pPr>
        <w:spacing w:after="0" w:line="240" w:lineRule="auto"/>
        <w:rPr>
          <w:rFonts w:eastAsia="Calibri"/>
          <w:szCs w:val="24"/>
        </w:rPr>
      </w:pPr>
    </w:p>
    <w:p w14:paraId="279A632C" w14:textId="77777777" w:rsidR="00692DC8" w:rsidRPr="00692DC8" w:rsidRDefault="00692DC8" w:rsidP="00855904">
      <w:pPr>
        <w:pStyle w:val="Ttulo3"/>
        <w:spacing w:after="240"/>
        <w:rPr>
          <w:rFonts w:eastAsia="Calibri"/>
          <w:lang w:eastAsia="es-CR"/>
        </w:rPr>
      </w:pPr>
      <w:bookmarkStart w:id="809" w:name="_Toc82769016"/>
      <w:bookmarkStart w:id="810" w:name="_Toc173245290"/>
      <w:r w:rsidRPr="00692DC8">
        <w:rPr>
          <w:rFonts w:eastAsia="Calibri"/>
          <w:lang w:eastAsia="es-CR"/>
        </w:rPr>
        <w:t>4.9 OTROS INGRESOS</w:t>
      </w:r>
      <w:bookmarkEnd w:id="809"/>
      <w:bookmarkEnd w:id="810"/>
      <w:r w:rsidRPr="00692DC8">
        <w:rPr>
          <w:rFonts w:eastAsia="Calibri"/>
          <w:lang w:eastAsia="es-CR"/>
        </w:rPr>
        <w:t xml:space="preserve"> </w:t>
      </w:r>
    </w:p>
    <w:p w14:paraId="68DB6659" w14:textId="77777777" w:rsidR="00692DC8" w:rsidRPr="00692DC8" w:rsidRDefault="00692DC8" w:rsidP="00855904">
      <w:pPr>
        <w:pStyle w:val="Ttulo4"/>
        <w:spacing w:after="240"/>
        <w:rPr>
          <w:rFonts w:eastAsia="Times New Roman"/>
        </w:rPr>
      </w:pPr>
      <w:bookmarkStart w:id="811" w:name="_Toc14344866"/>
      <w:bookmarkStart w:id="812" w:name="_Toc33601296"/>
      <w:bookmarkStart w:id="813" w:name="_Toc82769017"/>
      <w:bookmarkStart w:id="814" w:name="_Toc173245291"/>
      <w:r w:rsidRPr="00692DC8">
        <w:rPr>
          <w:rFonts w:eastAsia="Times New Roman"/>
        </w:rPr>
        <w:t>NOTA N° 5</w:t>
      </w:r>
      <w:bookmarkEnd w:id="811"/>
      <w:bookmarkEnd w:id="812"/>
      <w:bookmarkEnd w:id="813"/>
      <w:r w:rsidRPr="00692DC8">
        <w:rPr>
          <w:rFonts w:eastAsia="Times New Roman"/>
        </w:rPr>
        <w:t>2</w:t>
      </w:r>
      <w:bookmarkEnd w:id="814"/>
    </w:p>
    <w:p w14:paraId="3571031A" w14:textId="77777777" w:rsidR="00694299" w:rsidRDefault="00692DC8" w:rsidP="00323752">
      <w:pPr>
        <w:spacing w:before="240"/>
        <w:rPr>
          <w:rFonts w:asciiTheme="minorHAnsi" w:hAnsiTheme="minorHAnsi"/>
          <w:sz w:val="22"/>
        </w:rPr>
      </w:pPr>
      <w:bookmarkStart w:id="815" w:name="_Toc14344867"/>
      <w:bookmarkStart w:id="816" w:name="_Toc33601297"/>
      <w:bookmarkStart w:id="817" w:name="_Toc82769018"/>
      <w:r w:rsidRPr="00692DC8">
        <w:rPr>
          <w:rFonts w:eastAsia="Times New Roman"/>
        </w:rPr>
        <w:t>Resultados positivos por tenencia y por exposición a la inflación</w:t>
      </w:r>
      <w:bookmarkEnd w:id="815"/>
      <w:bookmarkEnd w:id="816"/>
      <w:bookmarkEnd w:id="817"/>
      <w:r w:rsidR="00B03685">
        <w:rPr>
          <w:rFonts w:eastAsiaTheme="majorEastAsia" w:cstheme="majorBidi"/>
          <w:iCs/>
          <w:lang w:val="es-ES"/>
        </w:rPr>
        <w:fldChar w:fldCharType="begin"/>
      </w:r>
      <w:r w:rsidR="00B03685">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NOTAS_POR_CUENTA!F316C1:F318C6 </w:instrText>
      </w:r>
      <w:r w:rsidR="00B03685">
        <w:rPr>
          <w:lang w:val="es-ES"/>
        </w:rPr>
        <w:instrText xml:space="preserve">\a \f 4 \h </w:instrText>
      </w:r>
      <w:r w:rsidR="00B03685">
        <w:rPr>
          <w:b/>
          <w:lang w:val="es-ES"/>
        </w:rPr>
        <w:fldChar w:fldCharType="separate"/>
      </w:r>
    </w:p>
    <w:tbl>
      <w:tblPr>
        <w:tblW w:w="8847" w:type="dxa"/>
        <w:tblCellMar>
          <w:left w:w="70" w:type="dxa"/>
          <w:right w:w="70" w:type="dxa"/>
        </w:tblCellMar>
        <w:tblLook w:val="04A0" w:firstRow="1" w:lastRow="0" w:firstColumn="1" w:lastColumn="0" w:noHBand="0" w:noVBand="1"/>
      </w:tblPr>
      <w:tblGrid>
        <w:gridCol w:w="1243"/>
        <w:gridCol w:w="2757"/>
        <w:gridCol w:w="500"/>
        <w:gridCol w:w="1586"/>
        <w:gridCol w:w="1701"/>
        <w:gridCol w:w="1060"/>
      </w:tblGrid>
      <w:tr w:rsidR="00694299" w:rsidRPr="00694299" w14:paraId="3D0EFDA7" w14:textId="77777777" w:rsidTr="000C0991">
        <w:trPr>
          <w:divId w:val="1965960429"/>
          <w:trHeight w:val="324"/>
        </w:trPr>
        <w:tc>
          <w:tcPr>
            <w:tcW w:w="124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5D10004" w14:textId="368C0A39"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75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DFA58B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82963D4"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5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6E79A93"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E21DC1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3404F3F0"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429A8C14" w14:textId="77777777" w:rsidTr="000C0991">
        <w:trPr>
          <w:divId w:val="1965960429"/>
          <w:trHeight w:val="324"/>
        </w:trPr>
        <w:tc>
          <w:tcPr>
            <w:tcW w:w="1243" w:type="dxa"/>
            <w:vMerge/>
            <w:tcBorders>
              <w:top w:val="single" w:sz="8" w:space="0" w:color="auto"/>
              <w:left w:val="single" w:sz="8" w:space="0" w:color="auto"/>
              <w:bottom w:val="single" w:sz="8" w:space="0" w:color="000000"/>
              <w:right w:val="single" w:sz="8" w:space="0" w:color="auto"/>
            </w:tcBorders>
            <w:vAlign w:val="center"/>
            <w:hideMark/>
          </w:tcPr>
          <w:p w14:paraId="0325C3B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757" w:type="dxa"/>
            <w:vMerge/>
            <w:tcBorders>
              <w:top w:val="single" w:sz="8" w:space="0" w:color="auto"/>
              <w:left w:val="single" w:sz="8" w:space="0" w:color="auto"/>
              <w:bottom w:val="single" w:sz="8" w:space="0" w:color="000000"/>
              <w:right w:val="single" w:sz="8" w:space="0" w:color="auto"/>
            </w:tcBorders>
            <w:vAlign w:val="center"/>
            <w:hideMark/>
          </w:tcPr>
          <w:p w14:paraId="5AD2FBD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B14E45D"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1B89B28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0C92D0D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776396BB"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3B762B48" w14:textId="77777777" w:rsidTr="000C0991">
        <w:trPr>
          <w:divId w:val="1965960429"/>
          <w:trHeight w:val="540"/>
        </w:trPr>
        <w:tc>
          <w:tcPr>
            <w:tcW w:w="1243" w:type="dxa"/>
            <w:tcBorders>
              <w:top w:val="nil"/>
              <w:left w:val="single" w:sz="8" w:space="0" w:color="auto"/>
              <w:bottom w:val="single" w:sz="8" w:space="0" w:color="auto"/>
              <w:right w:val="single" w:sz="8" w:space="0" w:color="auto"/>
            </w:tcBorders>
            <w:shd w:val="clear" w:color="auto" w:fill="auto"/>
            <w:noWrap/>
            <w:vAlign w:val="center"/>
            <w:hideMark/>
          </w:tcPr>
          <w:p w14:paraId="3DFCB6C1"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4.9.1.</w:t>
            </w:r>
          </w:p>
        </w:tc>
        <w:tc>
          <w:tcPr>
            <w:tcW w:w="2757" w:type="dxa"/>
            <w:tcBorders>
              <w:top w:val="nil"/>
              <w:left w:val="nil"/>
              <w:bottom w:val="single" w:sz="8" w:space="0" w:color="auto"/>
              <w:right w:val="single" w:sz="8" w:space="0" w:color="auto"/>
            </w:tcBorders>
            <w:shd w:val="clear" w:color="auto" w:fill="auto"/>
            <w:vAlign w:val="center"/>
            <w:hideMark/>
          </w:tcPr>
          <w:p w14:paraId="22FBDBA3"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Resultados positivos por tenencia y por exposición a la inflación</w:t>
            </w:r>
          </w:p>
        </w:tc>
        <w:tc>
          <w:tcPr>
            <w:tcW w:w="500" w:type="dxa"/>
            <w:tcBorders>
              <w:top w:val="nil"/>
              <w:left w:val="nil"/>
              <w:bottom w:val="single" w:sz="8" w:space="0" w:color="auto"/>
              <w:right w:val="single" w:sz="8" w:space="0" w:color="auto"/>
            </w:tcBorders>
            <w:shd w:val="clear" w:color="auto" w:fill="auto"/>
            <w:noWrap/>
            <w:vAlign w:val="center"/>
            <w:hideMark/>
          </w:tcPr>
          <w:p w14:paraId="3325C7AB"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52</w:t>
            </w:r>
          </w:p>
        </w:tc>
        <w:tc>
          <w:tcPr>
            <w:tcW w:w="1586" w:type="dxa"/>
            <w:tcBorders>
              <w:top w:val="nil"/>
              <w:left w:val="nil"/>
              <w:bottom w:val="single" w:sz="8" w:space="0" w:color="auto"/>
              <w:right w:val="single" w:sz="8" w:space="0" w:color="auto"/>
            </w:tcBorders>
            <w:shd w:val="clear" w:color="auto" w:fill="auto"/>
            <w:noWrap/>
            <w:vAlign w:val="center"/>
            <w:hideMark/>
          </w:tcPr>
          <w:p w14:paraId="4B69C197"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701" w:type="dxa"/>
            <w:tcBorders>
              <w:top w:val="nil"/>
              <w:left w:val="nil"/>
              <w:bottom w:val="single" w:sz="8" w:space="0" w:color="auto"/>
              <w:right w:val="single" w:sz="8" w:space="0" w:color="auto"/>
            </w:tcBorders>
            <w:shd w:val="clear" w:color="auto" w:fill="auto"/>
            <w:noWrap/>
            <w:vAlign w:val="center"/>
            <w:hideMark/>
          </w:tcPr>
          <w:p w14:paraId="333488DC"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017332F2"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061E1803" w14:textId="77777777" w:rsidR="00694299" w:rsidRPr="00694299" w:rsidRDefault="00B03685"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NOTAS_POR_CUENTA!F318C8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39C24334" w14:textId="77777777" w:rsidR="00694299" w:rsidRPr="00694299" w:rsidRDefault="00694299" w:rsidP="003A6F04">
      <w:pPr>
        <w:spacing w:line="240" w:lineRule="auto"/>
        <w:rPr>
          <w:rFonts w:eastAsia="Times New Roman" w:cs="Calibri"/>
          <w:color w:val="000000"/>
          <w:lang w:eastAsia="es-CR"/>
        </w:rPr>
      </w:pPr>
      <w:r w:rsidRPr="00694299">
        <w:rPr>
          <w:rFonts w:eastAsia="Times New Roman" w:cs="Calibri"/>
          <w:color w:val="000000"/>
          <w:lang w:eastAsia="es-CR"/>
        </w:rPr>
        <w:t>La cuenta Resultados positivos por tenencia y por exposición a la inflación, representa el 0,00% del total del Ingresos, que comparado al periodo anterior genera una variación absoluta de 0 000,00 que corresponde a un Aumento del 0,00% de recursos disponibles.</w:t>
      </w:r>
    </w:p>
    <w:p w14:paraId="2832AC6A" w14:textId="305612C8" w:rsidR="00692DC8" w:rsidRPr="00B03685" w:rsidRDefault="00B03685" w:rsidP="003A6F04">
      <w:pPr>
        <w:spacing w:line="240" w:lineRule="auto"/>
        <w:rPr>
          <w:rFonts w:eastAsia="Times New Roman" w:cs="Calibri"/>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bookmarkStart w:id="818" w:name="_Toc14344874"/>
      <w:bookmarkStart w:id="819" w:name="_Toc33601298"/>
      <w:bookmarkStart w:id="820" w:name="_Toc82769019"/>
    </w:p>
    <w:p w14:paraId="60E0ADA8" w14:textId="77777777" w:rsidR="00855904" w:rsidRDefault="00855904" w:rsidP="00BC7612">
      <w:pPr>
        <w:spacing w:after="0" w:line="240" w:lineRule="auto"/>
        <w:rPr>
          <w:rFonts w:eastAsiaTheme="minorEastAsia" w:cs="Arial Narrow"/>
          <w:color w:val="000000"/>
          <w:lang w:eastAsia="es-CR"/>
        </w:rPr>
      </w:pPr>
    </w:p>
    <w:p w14:paraId="22587AFB" w14:textId="77777777" w:rsidR="00BC7612" w:rsidRDefault="00BC7612" w:rsidP="00BC7612">
      <w:pPr>
        <w:spacing w:after="0" w:line="240" w:lineRule="auto"/>
        <w:rPr>
          <w:rFonts w:eastAsiaTheme="minorEastAsia" w:cs="Arial Narrow"/>
          <w:color w:val="000000"/>
          <w:lang w:eastAsia="es-CR"/>
        </w:rPr>
      </w:pPr>
    </w:p>
    <w:p w14:paraId="2663ACE2" w14:textId="77777777" w:rsidR="00BC7612" w:rsidRPr="00855904" w:rsidRDefault="00BC7612" w:rsidP="00BC7612">
      <w:pPr>
        <w:spacing w:after="0" w:line="240" w:lineRule="auto"/>
        <w:rPr>
          <w:rFonts w:eastAsiaTheme="minorEastAsia" w:cs="Arial Narrow"/>
          <w:color w:val="000000"/>
          <w:lang w:eastAsia="es-CR"/>
        </w:rPr>
      </w:pPr>
    </w:p>
    <w:p w14:paraId="3B0D26F7" w14:textId="77777777" w:rsidR="00692DC8" w:rsidRPr="00692DC8" w:rsidRDefault="00692DC8" w:rsidP="00855904">
      <w:pPr>
        <w:pStyle w:val="Ttulo4"/>
        <w:spacing w:after="240"/>
        <w:rPr>
          <w:rFonts w:eastAsia="Times New Roman"/>
        </w:rPr>
      </w:pPr>
      <w:bookmarkStart w:id="821" w:name="_Toc173245292"/>
      <w:r w:rsidRPr="00692DC8">
        <w:rPr>
          <w:rFonts w:eastAsia="Times New Roman"/>
        </w:rPr>
        <w:t>NOTA N° 5</w:t>
      </w:r>
      <w:bookmarkEnd w:id="818"/>
      <w:bookmarkEnd w:id="819"/>
      <w:bookmarkEnd w:id="820"/>
      <w:r w:rsidRPr="00692DC8">
        <w:rPr>
          <w:rFonts w:eastAsia="Times New Roman"/>
        </w:rPr>
        <w:t>3</w:t>
      </w:r>
      <w:bookmarkEnd w:id="821"/>
    </w:p>
    <w:p w14:paraId="645AF7E5" w14:textId="77777777" w:rsidR="00694299" w:rsidRDefault="00692DC8" w:rsidP="00323752">
      <w:pPr>
        <w:spacing w:before="240"/>
        <w:rPr>
          <w:rFonts w:asciiTheme="minorHAnsi" w:hAnsiTheme="minorHAnsi"/>
          <w:sz w:val="22"/>
        </w:rPr>
      </w:pPr>
      <w:bookmarkStart w:id="822" w:name="_Toc14344875"/>
      <w:bookmarkStart w:id="823" w:name="_Toc33601299"/>
      <w:bookmarkStart w:id="824" w:name="_Toc82769020"/>
      <w:r w:rsidRPr="00692DC8">
        <w:rPr>
          <w:rFonts w:eastAsia="Times New Roman"/>
        </w:rPr>
        <w:t>Reversión de consumo de bienes</w:t>
      </w:r>
      <w:bookmarkEnd w:id="822"/>
      <w:bookmarkEnd w:id="823"/>
      <w:bookmarkEnd w:id="824"/>
      <w:r w:rsidR="00B03685">
        <w:rPr>
          <w:rFonts w:eastAsiaTheme="majorEastAsia" w:cstheme="majorBidi"/>
          <w:iCs/>
          <w:lang w:val="es-ES"/>
        </w:rPr>
        <w:fldChar w:fldCharType="begin"/>
      </w:r>
      <w:r w:rsidR="00B03685">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NOTAS_POR_CUENTA!F320C1:F322C6 </w:instrText>
      </w:r>
      <w:r w:rsidR="00B03685">
        <w:rPr>
          <w:lang w:val="es-ES"/>
        </w:rPr>
        <w:instrText xml:space="preserve">\a \f 4 \h </w:instrText>
      </w:r>
      <w:r w:rsidR="00B03685">
        <w:rPr>
          <w:b/>
          <w:lang w:val="es-ES"/>
        </w:rPr>
        <w:fldChar w:fldCharType="separate"/>
      </w:r>
    </w:p>
    <w:tbl>
      <w:tblPr>
        <w:tblW w:w="8847" w:type="dxa"/>
        <w:tblCellMar>
          <w:left w:w="70" w:type="dxa"/>
          <w:right w:w="70" w:type="dxa"/>
        </w:tblCellMar>
        <w:tblLook w:val="04A0" w:firstRow="1" w:lastRow="0" w:firstColumn="1" w:lastColumn="0" w:noHBand="0" w:noVBand="1"/>
      </w:tblPr>
      <w:tblGrid>
        <w:gridCol w:w="1101"/>
        <w:gridCol w:w="2899"/>
        <w:gridCol w:w="500"/>
        <w:gridCol w:w="1586"/>
        <w:gridCol w:w="1701"/>
        <w:gridCol w:w="1060"/>
      </w:tblGrid>
      <w:tr w:rsidR="00694299" w:rsidRPr="00694299" w14:paraId="2CB12E16" w14:textId="77777777" w:rsidTr="000C0991">
        <w:trPr>
          <w:divId w:val="1211574345"/>
          <w:trHeight w:val="324"/>
        </w:trPr>
        <w:tc>
          <w:tcPr>
            <w:tcW w:w="11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2ED7D6A" w14:textId="0A61C8A4"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89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BF10E7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9C5E073"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5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7406C1A"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D7FF07E"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603A03D0"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112EB4B6" w14:textId="77777777" w:rsidTr="000C0991">
        <w:trPr>
          <w:divId w:val="1211574345"/>
          <w:trHeight w:val="324"/>
        </w:trPr>
        <w:tc>
          <w:tcPr>
            <w:tcW w:w="1101" w:type="dxa"/>
            <w:vMerge/>
            <w:tcBorders>
              <w:top w:val="single" w:sz="8" w:space="0" w:color="auto"/>
              <w:left w:val="single" w:sz="8" w:space="0" w:color="auto"/>
              <w:bottom w:val="single" w:sz="8" w:space="0" w:color="000000"/>
              <w:right w:val="single" w:sz="8" w:space="0" w:color="auto"/>
            </w:tcBorders>
            <w:vAlign w:val="center"/>
            <w:hideMark/>
          </w:tcPr>
          <w:p w14:paraId="2441CE92"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899" w:type="dxa"/>
            <w:vMerge/>
            <w:tcBorders>
              <w:top w:val="single" w:sz="8" w:space="0" w:color="auto"/>
              <w:left w:val="single" w:sz="8" w:space="0" w:color="auto"/>
              <w:bottom w:val="single" w:sz="8" w:space="0" w:color="000000"/>
              <w:right w:val="single" w:sz="8" w:space="0" w:color="auto"/>
            </w:tcBorders>
            <w:vAlign w:val="center"/>
            <w:hideMark/>
          </w:tcPr>
          <w:p w14:paraId="0B9E82F2"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B123177"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64007AD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01769249"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3CD6A2C2"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7B7C8BD3" w14:textId="77777777" w:rsidTr="000C0991">
        <w:trPr>
          <w:divId w:val="1211574345"/>
          <w:trHeight w:val="324"/>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47D76CF4"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4.9.2.</w:t>
            </w:r>
          </w:p>
        </w:tc>
        <w:tc>
          <w:tcPr>
            <w:tcW w:w="2899" w:type="dxa"/>
            <w:tcBorders>
              <w:top w:val="nil"/>
              <w:left w:val="nil"/>
              <w:bottom w:val="single" w:sz="8" w:space="0" w:color="auto"/>
              <w:right w:val="single" w:sz="8" w:space="0" w:color="auto"/>
            </w:tcBorders>
            <w:shd w:val="clear" w:color="auto" w:fill="auto"/>
            <w:vAlign w:val="center"/>
            <w:hideMark/>
          </w:tcPr>
          <w:p w14:paraId="2E7BA761"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Reversión de consumo de bienes</w:t>
            </w:r>
          </w:p>
        </w:tc>
        <w:tc>
          <w:tcPr>
            <w:tcW w:w="500" w:type="dxa"/>
            <w:tcBorders>
              <w:top w:val="nil"/>
              <w:left w:val="nil"/>
              <w:bottom w:val="single" w:sz="8" w:space="0" w:color="auto"/>
              <w:right w:val="single" w:sz="8" w:space="0" w:color="auto"/>
            </w:tcBorders>
            <w:shd w:val="clear" w:color="auto" w:fill="auto"/>
            <w:noWrap/>
            <w:vAlign w:val="center"/>
            <w:hideMark/>
          </w:tcPr>
          <w:p w14:paraId="58D10CCD"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53</w:t>
            </w:r>
          </w:p>
        </w:tc>
        <w:tc>
          <w:tcPr>
            <w:tcW w:w="1586" w:type="dxa"/>
            <w:tcBorders>
              <w:top w:val="nil"/>
              <w:left w:val="nil"/>
              <w:bottom w:val="single" w:sz="8" w:space="0" w:color="auto"/>
              <w:right w:val="single" w:sz="8" w:space="0" w:color="auto"/>
            </w:tcBorders>
            <w:shd w:val="clear" w:color="auto" w:fill="auto"/>
            <w:noWrap/>
            <w:vAlign w:val="center"/>
            <w:hideMark/>
          </w:tcPr>
          <w:p w14:paraId="66E50922"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701" w:type="dxa"/>
            <w:tcBorders>
              <w:top w:val="nil"/>
              <w:left w:val="nil"/>
              <w:bottom w:val="single" w:sz="8" w:space="0" w:color="auto"/>
              <w:right w:val="single" w:sz="8" w:space="0" w:color="auto"/>
            </w:tcBorders>
            <w:shd w:val="clear" w:color="auto" w:fill="auto"/>
            <w:noWrap/>
            <w:vAlign w:val="center"/>
            <w:hideMark/>
          </w:tcPr>
          <w:p w14:paraId="7B9C566F"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37ACCE8B"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5D5DB56D" w14:textId="77777777" w:rsidR="003A6F04" w:rsidRDefault="00B03685" w:rsidP="003A6F04">
      <w:pPr>
        <w:spacing w:after="120" w:line="240" w:lineRule="auto"/>
        <w:rPr>
          <w:b/>
          <w:lang w:val="es-ES"/>
        </w:rPr>
      </w:pPr>
      <w:r>
        <w:rPr>
          <w:b/>
          <w:lang w:val="es-ES"/>
        </w:rPr>
        <w:fldChar w:fldCharType="end"/>
      </w:r>
    </w:p>
    <w:p w14:paraId="0908A24F" w14:textId="43CAFD21" w:rsidR="00694299" w:rsidRPr="00694299" w:rsidRDefault="00692DC8" w:rsidP="003A6F04">
      <w:pPr>
        <w:spacing w:after="120" w:line="240" w:lineRule="auto"/>
        <w:rPr>
          <w:b/>
          <w:lang w:val="es-ES"/>
        </w:rPr>
      </w:pPr>
      <w:r w:rsidRPr="00855904">
        <w:rPr>
          <w:b/>
          <w:lang w:val="es-ES"/>
        </w:rPr>
        <w:t xml:space="preserve">Revelación: </w:t>
      </w:r>
      <w:r w:rsidR="00B03685">
        <w:rPr>
          <w:rFonts w:eastAsia="Times New Roman" w:cs="Calibri"/>
          <w:color w:val="000000"/>
          <w:lang w:eastAsia="es-CR"/>
        </w:rPr>
        <w:fldChar w:fldCharType="begin"/>
      </w:r>
      <w:r w:rsidR="00B03685">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NOTAS_POR_CUENTA!F322C8 </w:instrText>
      </w:r>
      <w:r w:rsidR="00B03685">
        <w:rPr>
          <w:rFonts w:eastAsia="Times New Roman" w:cs="Calibri"/>
          <w:color w:val="000000"/>
          <w:lang w:eastAsia="es-CR"/>
        </w:rPr>
        <w:instrText xml:space="preserve">\a \f 5 \h  \* MERGEFORMAT </w:instrText>
      </w:r>
      <w:r w:rsidR="00B03685">
        <w:rPr>
          <w:rFonts w:eastAsia="Times New Roman" w:cs="Calibri"/>
          <w:color w:val="000000"/>
          <w:lang w:eastAsia="es-CR"/>
        </w:rPr>
        <w:fldChar w:fldCharType="separate"/>
      </w:r>
    </w:p>
    <w:p w14:paraId="271FD69A" w14:textId="77777777" w:rsidR="003A6F04" w:rsidRDefault="003A6F04" w:rsidP="003A6F04">
      <w:pPr>
        <w:spacing w:after="0" w:line="240" w:lineRule="auto"/>
        <w:rPr>
          <w:rFonts w:eastAsia="Times New Roman" w:cs="Calibri"/>
          <w:color w:val="000000"/>
          <w:lang w:val="es-ES" w:eastAsia="es-CR"/>
        </w:rPr>
      </w:pPr>
    </w:p>
    <w:p w14:paraId="328DE06B" w14:textId="7365E56F" w:rsidR="00694299" w:rsidRPr="00694299" w:rsidRDefault="00694299" w:rsidP="003A6F04">
      <w:pPr>
        <w:spacing w:after="120" w:line="240" w:lineRule="auto"/>
        <w:rPr>
          <w:rFonts w:eastAsia="Times New Roman" w:cs="Calibri"/>
          <w:color w:val="000000"/>
          <w:lang w:eastAsia="es-CR"/>
        </w:rPr>
      </w:pPr>
      <w:r w:rsidRPr="00694299">
        <w:rPr>
          <w:rFonts w:eastAsia="Times New Roman" w:cs="Calibri"/>
          <w:color w:val="000000"/>
          <w:lang w:eastAsia="es-CR"/>
        </w:rPr>
        <w:t>La cuenta Reversión de consumo de bienes, representa el 0,00% del total del Ingresos, que comparado al periodo anterior genera una variación absoluta de 0 000,00 que corresponde a un Aumento del 0,00% de recursos disponibles.</w:t>
      </w:r>
    </w:p>
    <w:p w14:paraId="7A483C7E" w14:textId="424BCB39" w:rsidR="00692DC8" w:rsidRPr="00692DC8" w:rsidRDefault="00B03685" w:rsidP="003A6F04">
      <w:pPr>
        <w:spacing w:after="120" w:line="240" w:lineRule="auto"/>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9F50A1E" w14:textId="77777777" w:rsidR="00692DC8" w:rsidRDefault="00692DC8" w:rsidP="00855904">
      <w:bookmarkStart w:id="825" w:name="_Toc14344878"/>
      <w:bookmarkStart w:id="826" w:name="_Toc33601300"/>
      <w:bookmarkStart w:id="827" w:name="_Toc82769021"/>
    </w:p>
    <w:p w14:paraId="78921269" w14:textId="77777777" w:rsidR="00692DC8" w:rsidRPr="00692DC8" w:rsidRDefault="00692DC8" w:rsidP="00855904">
      <w:pPr>
        <w:pStyle w:val="Ttulo4"/>
        <w:spacing w:after="240"/>
        <w:rPr>
          <w:rFonts w:eastAsia="Times New Roman"/>
        </w:rPr>
      </w:pPr>
      <w:bookmarkStart w:id="828" w:name="_Toc173245293"/>
      <w:r w:rsidRPr="00692DC8">
        <w:rPr>
          <w:rFonts w:eastAsia="Times New Roman"/>
        </w:rPr>
        <w:t>NOTA N° 5</w:t>
      </w:r>
      <w:bookmarkEnd w:id="825"/>
      <w:bookmarkEnd w:id="826"/>
      <w:bookmarkEnd w:id="827"/>
      <w:r w:rsidRPr="00692DC8">
        <w:rPr>
          <w:rFonts w:eastAsia="Times New Roman"/>
        </w:rPr>
        <w:t>4</w:t>
      </w:r>
      <w:bookmarkEnd w:id="828"/>
    </w:p>
    <w:p w14:paraId="356B22A8" w14:textId="77777777" w:rsidR="00694299" w:rsidRDefault="00692DC8" w:rsidP="00DE143D">
      <w:pPr>
        <w:spacing w:before="240"/>
        <w:rPr>
          <w:rFonts w:asciiTheme="minorHAnsi" w:hAnsiTheme="minorHAnsi"/>
          <w:sz w:val="22"/>
        </w:rPr>
      </w:pPr>
      <w:bookmarkStart w:id="829" w:name="_Toc14344879"/>
      <w:bookmarkStart w:id="830" w:name="_Toc33601301"/>
      <w:bookmarkStart w:id="831" w:name="_Toc82769022"/>
      <w:r w:rsidRPr="00692DC8">
        <w:rPr>
          <w:rFonts w:eastAsia="Times New Roman"/>
        </w:rPr>
        <w:t>Reversión de pérdidas por deterioro y desvalorización de bienes</w:t>
      </w:r>
      <w:bookmarkEnd w:id="829"/>
      <w:bookmarkEnd w:id="830"/>
      <w:bookmarkEnd w:id="831"/>
      <w:r w:rsidR="00B03685">
        <w:rPr>
          <w:rFonts w:eastAsiaTheme="majorEastAsia" w:cstheme="majorBidi"/>
          <w:iCs/>
          <w:lang w:val="es-ES"/>
        </w:rPr>
        <w:fldChar w:fldCharType="begin"/>
      </w:r>
      <w:r w:rsidR="00B03685">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NOTAS_POR_CUENTA!F324C1:F326C6 </w:instrText>
      </w:r>
      <w:r w:rsidR="00B03685">
        <w:rPr>
          <w:lang w:val="es-ES"/>
        </w:rPr>
        <w:instrText xml:space="preserve">\a \f 4 \h </w:instrText>
      </w:r>
      <w:r w:rsidR="00B03685">
        <w:rPr>
          <w:b/>
          <w:lang w:val="es-ES"/>
        </w:rPr>
        <w:fldChar w:fldCharType="separate"/>
      </w:r>
    </w:p>
    <w:tbl>
      <w:tblPr>
        <w:tblW w:w="8847" w:type="dxa"/>
        <w:tblCellMar>
          <w:left w:w="70" w:type="dxa"/>
          <w:right w:w="70" w:type="dxa"/>
        </w:tblCellMar>
        <w:tblLook w:val="04A0" w:firstRow="1" w:lastRow="0" w:firstColumn="1" w:lastColumn="0" w:noHBand="0" w:noVBand="1"/>
      </w:tblPr>
      <w:tblGrid>
        <w:gridCol w:w="1377"/>
        <w:gridCol w:w="2623"/>
        <w:gridCol w:w="500"/>
        <w:gridCol w:w="1586"/>
        <w:gridCol w:w="1701"/>
        <w:gridCol w:w="1060"/>
      </w:tblGrid>
      <w:tr w:rsidR="00694299" w:rsidRPr="00694299" w14:paraId="72F7957C" w14:textId="77777777" w:rsidTr="000C0991">
        <w:trPr>
          <w:divId w:val="1309167722"/>
          <w:trHeight w:val="324"/>
        </w:trPr>
        <w:tc>
          <w:tcPr>
            <w:tcW w:w="1377"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4153C8E" w14:textId="5597A393"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623"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DC0D82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A30E500"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5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0CDF78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89D0D24"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6C0E12E4"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52E7E1A6" w14:textId="77777777" w:rsidTr="000C0991">
        <w:trPr>
          <w:divId w:val="1309167722"/>
          <w:trHeight w:val="324"/>
        </w:trPr>
        <w:tc>
          <w:tcPr>
            <w:tcW w:w="1377" w:type="dxa"/>
            <w:vMerge/>
            <w:tcBorders>
              <w:top w:val="single" w:sz="8" w:space="0" w:color="auto"/>
              <w:left w:val="single" w:sz="8" w:space="0" w:color="auto"/>
              <w:bottom w:val="single" w:sz="8" w:space="0" w:color="000000"/>
              <w:right w:val="single" w:sz="8" w:space="0" w:color="auto"/>
            </w:tcBorders>
            <w:vAlign w:val="center"/>
            <w:hideMark/>
          </w:tcPr>
          <w:p w14:paraId="1F2E9C2D"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623" w:type="dxa"/>
            <w:vMerge/>
            <w:tcBorders>
              <w:top w:val="single" w:sz="8" w:space="0" w:color="auto"/>
              <w:left w:val="single" w:sz="8" w:space="0" w:color="auto"/>
              <w:bottom w:val="single" w:sz="8" w:space="0" w:color="000000"/>
              <w:right w:val="single" w:sz="8" w:space="0" w:color="auto"/>
            </w:tcBorders>
            <w:vAlign w:val="center"/>
            <w:hideMark/>
          </w:tcPr>
          <w:p w14:paraId="5A2A340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019D30C"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19C22E2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497264BD"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448F922F"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42DA6D36" w14:textId="77777777" w:rsidTr="000C0991">
        <w:trPr>
          <w:divId w:val="1309167722"/>
          <w:trHeight w:val="540"/>
        </w:trPr>
        <w:tc>
          <w:tcPr>
            <w:tcW w:w="1377" w:type="dxa"/>
            <w:tcBorders>
              <w:top w:val="nil"/>
              <w:left w:val="single" w:sz="8" w:space="0" w:color="auto"/>
              <w:bottom w:val="single" w:sz="8" w:space="0" w:color="auto"/>
              <w:right w:val="single" w:sz="8" w:space="0" w:color="auto"/>
            </w:tcBorders>
            <w:shd w:val="clear" w:color="auto" w:fill="auto"/>
            <w:noWrap/>
            <w:vAlign w:val="center"/>
            <w:hideMark/>
          </w:tcPr>
          <w:p w14:paraId="24C88F93"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4.9.3.</w:t>
            </w:r>
          </w:p>
        </w:tc>
        <w:tc>
          <w:tcPr>
            <w:tcW w:w="2623" w:type="dxa"/>
            <w:tcBorders>
              <w:top w:val="nil"/>
              <w:left w:val="nil"/>
              <w:bottom w:val="single" w:sz="8" w:space="0" w:color="auto"/>
              <w:right w:val="single" w:sz="8" w:space="0" w:color="auto"/>
            </w:tcBorders>
            <w:shd w:val="clear" w:color="auto" w:fill="auto"/>
            <w:vAlign w:val="center"/>
            <w:hideMark/>
          </w:tcPr>
          <w:p w14:paraId="3D38ADF4"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Reversión de pérdidas por deterioro y desvalorización de bienes</w:t>
            </w:r>
          </w:p>
        </w:tc>
        <w:tc>
          <w:tcPr>
            <w:tcW w:w="500" w:type="dxa"/>
            <w:tcBorders>
              <w:top w:val="nil"/>
              <w:left w:val="nil"/>
              <w:bottom w:val="single" w:sz="8" w:space="0" w:color="auto"/>
              <w:right w:val="single" w:sz="8" w:space="0" w:color="auto"/>
            </w:tcBorders>
            <w:shd w:val="clear" w:color="auto" w:fill="auto"/>
            <w:noWrap/>
            <w:vAlign w:val="center"/>
            <w:hideMark/>
          </w:tcPr>
          <w:p w14:paraId="42764248"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54</w:t>
            </w:r>
          </w:p>
        </w:tc>
        <w:tc>
          <w:tcPr>
            <w:tcW w:w="1586" w:type="dxa"/>
            <w:tcBorders>
              <w:top w:val="nil"/>
              <w:left w:val="nil"/>
              <w:bottom w:val="single" w:sz="8" w:space="0" w:color="auto"/>
              <w:right w:val="single" w:sz="8" w:space="0" w:color="auto"/>
            </w:tcBorders>
            <w:shd w:val="clear" w:color="auto" w:fill="auto"/>
            <w:noWrap/>
            <w:vAlign w:val="center"/>
            <w:hideMark/>
          </w:tcPr>
          <w:p w14:paraId="4DD9996D"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701" w:type="dxa"/>
            <w:tcBorders>
              <w:top w:val="nil"/>
              <w:left w:val="nil"/>
              <w:bottom w:val="single" w:sz="8" w:space="0" w:color="auto"/>
              <w:right w:val="single" w:sz="8" w:space="0" w:color="auto"/>
            </w:tcBorders>
            <w:shd w:val="clear" w:color="auto" w:fill="auto"/>
            <w:noWrap/>
            <w:vAlign w:val="center"/>
            <w:hideMark/>
          </w:tcPr>
          <w:p w14:paraId="2FDFB933"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34D0A1C2"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161EFD28" w14:textId="50EBDA18" w:rsidR="00694299" w:rsidRPr="00694299" w:rsidRDefault="00B03685" w:rsidP="00694299">
      <w:pPr>
        <w:spacing w:before="240"/>
        <w:rPr>
          <w:rFonts w:cs="Times New Roman"/>
          <w:b/>
          <w:bCs/>
          <w:lang w:val="es-ES"/>
        </w:rPr>
      </w:pPr>
      <w:r>
        <w:rPr>
          <w:rFonts w:cs="Times New Roman"/>
          <w:b/>
          <w:bCs/>
          <w:lang w:val="es-ES"/>
        </w:rPr>
        <w:fldChar w:fldCharType="end"/>
      </w:r>
      <w:r w:rsidR="00692DC8" w:rsidRPr="00692DC8">
        <w:rPr>
          <w:rFonts w:cs="Times New Roman"/>
          <w:b/>
          <w:bCs/>
          <w:lang w:val="es-ES"/>
        </w:rPr>
        <w:t>Revelación</w:t>
      </w:r>
      <w:r w:rsidR="00692DC8" w:rsidRPr="00692DC8">
        <w:rPr>
          <w:rFonts w:cs="Times New Roman"/>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NOTAS_POR_CUENTA!F326C8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6B888D92" w14:textId="77777777" w:rsidR="00694299" w:rsidRPr="00694299" w:rsidRDefault="00694299" w:rsidP="003A6F04">
      <w:pPr>
        <w:spacing w:line="240" w:lineRule="auto"/>
        <w:rPr>
          <w:rFonts w:eastAsia="Times New Roman" w:cs="Calibri"/>
          <w:color w:val="000000"/>
          <w:lang w:eastAsia="es-CR"/>
        </w:rPr>
      </w:pPr>
      <w:r w:rsidRPr="00694299">
        <w:rPr>
          <w:rFonts w:eastAsia="Times New Roman" w:cs="Calibri"/>
          <w:color w:val="000000"/>
          <w:lang w:eastAsia="es-CR"/>
        </w:rPr>
        <w:t>La cuenta Reversión de pérdidas por deterioro y desvalorización de bienes, representa el 0,00% del total del Ingresos, que comparado al periodo anterior genera una variación absoluta de 0 000,00 que corresponde a un Aumento del 0,00% de recursos disponibles.</w:t>
      </w:r>
    </w:p>
    <w:p w14:paraId="32F15304" w14:textId="139672B7" w:rsidR="00692DC8" w:rsidRPr="00692DC8" w:rsidRDefault="00B03685" w:rsidP="003A6F04">
      <w:pPr>
        <w:spacing w:line="240" w:lineRule="auto"/>
        <w:rPr>
          <w:rFonts w:eastAsiaTheme="minorEastAsia" w:cs="Arial Narrow"/>
          <w:color w:val="000000"/>
          <w:lang w:eastAsia="es-CR"/>
        </w:rPr>
      </w:pPr>
      <w:r>
        <w:rPr>
          <w:rFonts w:eastAsia="Times New Roman" w:cs="Calibri"/>
          <w:color w:val="000000"/>
          <w:lang w:eastAsia="es-CR"/>
        </w:rPr>
        <w:fldChar w:fldCharType="end"/>
      </w:r>
      <w:r w:rsidR="00692DC8" w:rsidRPr="00692DC8">
        <w:rPr>
          <w:rFonts w:cs="Times New Roman"/>
          <w:highlight w:val="lightGray"/>
        </w:rPr>
        <w:t>Las variaciones de la cuenta son producto de (Indicar la razón de las variaciones de un periodo a otro):</w:t>
      </w:r>
      <w:r w:rsidR="00692DC8" w:rsidRPr="00692DC8">
        <w:rPr>
          <w:rFonts w:cs="Times New Roman"/>
        </w:rPr>
        <w:t xml:space="preserve"> </w:t>
      </w:r>
    </w:p>
    <w:p w14:paraId="78B4123B" w14:textId="77777777" w:rsidR="00855904" w:rsidRPr="00692DC8" w:rsidRDefault="00855904" w:rsidP="00855904">
      <w:pPr>
        <w:rPr>
          <w:rFonts w:cs="Times New Roman"/>
          <w:b/>
        </w:rPr>
      </w:pPr>
    </w:p>
    <w:p w14:paraId="459BEB99" w14:textId="77777777" w:rsidR="00692DC8" w:rsidRPr="00692DC8" w:rsidRDefault="00692DC8" w:rsidP="00855904">
      <w:pPr>
        <w:pStyle w:val="Ttulo4"/>
        <w:spacing w:after="240"/>
        <w:rPr>
          <w:rFonts w:eastAsia="Times New Roman"/>
        </w:rPr>
      </w:pPr>
      <w:bookmarkStart w:id="832" w:name="_Toc14344885"/>
      <w:bookmarkStart w:id="833" w:name="_Toc33601302"/>
      <w:bookmarkStart w:id="834" w:name="_Toc82769023"/>
      <w:bookmarkStart w:id="835" w:name="_Toc173245294"/>
      <w:r w:rsidRPr="00692DC8">
        <w:rPr>
          <w:rFonts w:eastAsia="Times New Roman"/>
        </w:rPr>
        <w:t>NOTA N° 5</w:t>
      </w:r>
      <w:bookmarkEnd w:id="832"/>
      <w:bookmarkEnd w:id="833"/>
      <w:bookmarkEnd w:id="834"/>
      <w:r w:rsidRPr="00692DC8">
        <w:rPr>
          <w:rFonts w:eastAsia="Times New Roman"/>
        </w:rPr>
        <w:t>5</w:t>
      </w:r>
      <w:bookmarkEnd w:id="835"/>
    </w:p>
    <w:p w14:paraId="028B88A6" w14:textId="77777777" w:rsidR="00694299" w:rsidRDefault="00692DC8" w:rsidP="00323752">
      <w:pPr>
        <w:spacing w:before="240"/>
        <w:rPr>
          <w:rFonts w:asciiTheme="minorHAnsi" w:hAnsiTheme="minorHAnsi"/>
          <w:sz w:val="22"/>
        </w:rPr>
      </w:pPr>
      <w:bookmarkStart w:id="836" w:name="_Toc14344886"/>
      <w:bookmarkStart w:id="837" w:name="_Toc33601303"/>
      <w:bookmarkStart w:id="838" w:name="_Toc82769024"/>
      <w:r w:rsidRPr="00692DC8">
        <w:rPr>
          <w:rFonts w:eastAsia="Times New Roman"/>
        </w:rPr>
        <w:t>Recuperación de previsiones</w:t>
      </w:r>
      <w:bookmarkStart w:id="839" w:name="_Toc14344890"/>
      <w:bookmarkEnd w:id="836"/>
      <w:bookmarkEnd w:id="837"/>
      <w:bookmarkEnd w:id="838"/>
      <w:r w:rsidR="00B03685">
        <w:rPr>
          <w:rFonts w:eastAsiaTheme="majorEastAsia" w:cstheme="majorBidi"/>
          <w:iCs/>
          <w:lang w:val="es-ES"/>
        </w:rPr>
        <w:fldChar w:fldCharType="begin"/>
      </w:r>
      <w:r w:rsidR="00B03685">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NOTAS_POR_CUENTA!F328C1:F330C6 </w:instrText>
      </w:r>
      <w:r w:rsidR="00B03685">
        <w:rPr>
          <w:lang w:val="es-ES"/>
        </w:rPr>
        <w:instrText xml:space="preserve">\a \f 4 \h </w:instrText>
      </w:r>
      <w:r w:rsidR="00B03685">
        <w:rPr>
          <w:b/>
          <w:lang w:val="es-ES"/>
        </w:rPr>
        <w:fldChar w:fldCharType="separate"/>
      </w:r>
    </w:p>
    <w:tbl>
      <w:tblPr>
        <w:tblW w:w="8847" w:type="dxa"/>
        <w:tblCellMar>
          <w:left w:w="70" w:type="dxa"/>
          <w:right w:w="70" w:type="dxa"/>
        </w:tblCellMar>
        <w:tblLook w:val="04A0" w:firstRow="1" w:lastRow="0" w:firstColumn="1" w:lastColumn="0" w:noHBand="0" w:noVBand="1"/>
      </w:tblPr>
      <w:tblGrid>
        <w:gridCol w:w="1516"/>
        <w:gridCol w:w="2484"/>
        <w:gridCol w:w="500"/>
        <w:gridCol w:w="1586"/>
        <w:gridCol w:w="1701"/>
        <w:gridCol w:w="1060"/>
      </w:tblGrid>
      <w:tr w:rsidR="00694299" w:rsidRPr="00694299" w14:paraId="5C97C58B" w14:textId="77777777" w:rsidTr="000C0991">
        <w:trPr>
          <w:divId w:val="1945964435"/>
          <w:trHeight w:val="324"/>
        </w:trPr>
        <w:tc>
          <w:tcPr>
            <w:tcW w:w="151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4B594C3" w14:textId="65622DFF"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48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518C66C"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280DEF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5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4F5CF3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51B60F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366505AE"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33A853C9" w14:textId="77777777" w:rsidTr="000C0991">
        <w:trPr>
          <w:divId w:val="1945964435"/>
          <w:trHeight w:val="324"/>
        </w:trPr>
        <w:tc>
          <w:tcPr>
            <w:tcW w:w="1516" w:type="dxa"/>
            <w:vMerge/>
            <w:tcBorders>
              <w:top w:val="single" w:sz="8" w:space="0" w:color="auto"/>
              <w:left w:val="single" w:sz="8" w:space="0" w:color="auto"/>
              <w:bottom w:val="single" w:sz="8" w:space="0" w:color="000000"/>
              <w:right w:val="single" w:sz="8" w:space="0" w:color="auto"/>
            </w:tcBorders>
            <w:vAlign w:val="center"/>
            <w:hideMark/>
          </w:tcPr>
          <w:p w14:paraId="45823D76"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484" w:type="dxa"/>
            <w:vMerge/>
            <w:tcBorders>
              <w:top w:val="single" w:sz="8" w:space="0" w:color="auto"/>
              <w:left w:val="single" w:sz="8" w:space="0" w:color="auto"/>
              <w:bottom w:val="single" w:sz="8" w:space="0" w:color="000000"/>
              <w:right w:val="single" w:sz="8" w:space="0" w:color="auto"/>
            </w:tcBorders>
            <w:vAlign w:val="center"/>
            <w:hideMark/>
          </w:tcPr>
          <w:p w14:paraId="307CBB26"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C246E22"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5CA1D336"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473095A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2DEB36F6"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0E60B038" w14:textId="77777777" w:rsidTr="000C0991">
        <w:trPr>
          <w:divId w:val="1945964435"/>
          <w:trHeight w:val="324"/>
        </w:trPr>
        <w:tc>
          <w:tcPr>
            <w:tcW w:w="1516" w:type="dxa"/>
            <w:tcBorders>
              <w:top w:val="nil"/>
              <w:left w:val="single" w:sz="8" w:space="0" w:color="auto"/>
              <w:bottom w:val="single" w:sz="8" w:space="0" w:color="auto"/>
              <w:right w:val="single" w:sz="8" w:space="0" w:color="auto"/>
            </w:tcBorders>
            <w:shd w:val="clear" w:color="auto" w:fill="auto"/>
            <w:noWrap/>
            <w:vAlign w:val="center"/>
            <w:hideMark/>
          </w:tcPr>
          <w:p w14:paraId="5BA30662"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4.9.4.</w:t>
            </w:r>
          </w:p>
        </w:tc>
        <w:tc>
          <w:tcPr>
            <w:tcW w:w="2484" w:type="dxa"/>
            <w:tcBorders>
              <w:top w:val="nil"/>
              <w:left w:val="nil"/>
              <w:bottom w:val="single" w:sz="8" w:space="0" w:color="auto"/>
              <w:right w:val="single" w:sz="8" w:space="0" w:color="auto"/>
            </w:tcBorders>
            <w:shd w:val="clear" w:color="auto" w:fill="auto"/>
            <w:vAlign w:val="center"/>
            <w:hideMark/>
          </w:tcPr>
          <w:p w14:paraId="1838B891"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Recuperación de previsiones</w:t>
            </w:r>
          </w:p>
        </w:tc>
        <w:tc>
          <w:tcPr>
            <w:tcW w:w="500" w:type="dxa"/>
            <w:tcBorders>
              <w:top w:val="nil"/>
              <w:left w:val="nil"/>
              <w:bottom w:val="single" w:sz="8" w:space="0" w:color="auto"/>
              <w:right w:val="single" w:sz="8" w:space="0" w:color="auto"/>
            </w:tcBorders>
            <w:shd w:val="clear" w:color="auto" w:fill="auto"/>
            <w:noWrap/>
            <w:vAlign w:val="center"/>
            <w:hideMark/>
          </w:tcPr>
          <w:p w14:paraId="530D59C8"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55</w:t>
            </w:r>
          </w:p>
        </w:tc>
        <w:tc>
          <w:tcPr>
            <w:tcW w:w="1586" w:type="dxa"/>
            <w:tcBorders>
              <w:top w:val="nil"/>
              <w:left w:val="nil"/>
              <w:bottom w:val="single" w:sz="8" w:space="0" w:color="auto"/>
              <w:right w:val="single" w:sz="8" w:space="0" w:color="auto"/>
            </w:tcBorders>
            <w:shd w:val="clear" w:color="auto" w:fill="auto"/>
            <w:noWrap/>
            <w:vAlign w:val="center"/>
            <w:hideMark/>
          </w:tcPr>
          <w:p w14:paraId="423A35F5"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701" w:type="dxa"/>
            <w:tcBorders>
              <w:top w:val="nil"/>
              <w:left w:val="nil"/>
              <w:bottom w:val="single" w:sz="8" w:space="0" w:color="auto"/>
              <w:right w:val="single" w:sz="8" w:space="0" w:color="auto"/>
            </w:tcBorders>
            <w:shd w:val="clear" w:color="auto" w:fill="auto"/>
            <w:noWrap/>
            <w:vAlign w:val="center"/>
            <w:hideMark/>
          </w:tcPr>
          <w:p w14:paraId="4E34CBD9"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5A7D277C"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2494ACCF" w14:textId="77777777" w:rsidR="00694299" w:rsidRPr="00694299" w:rsidRDefault="00B03685" w:rsidP="00694299">
      <w:pPr>
        <w:spacing w:before="240"/>
        <w:rPr>
          <w:b/>
          <w:lang w:val="es-ES"/>
        </w:rPr>
      </w:pPr>
      <w:r>
        <w:rPr>
          <w:b/>
          <w:lang w:val="es-ES"/>
        </w:rPr>
        <w:fldChar w:fldCharType="end"/>
      </w:r>
      <w:r w:rsidR="00692DC8" w:rsidRPr="00855904">
        <w:rPr>
          <w:b/>
          <w:lang w:val="es-ES"/>
        </w:rPr>
        <w:t xml:space="preserve">Revelación: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NOTAS_POR_CUENTA!F330C8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570FA7C9" w14:textId="77777777" w:rsidR="00694299" w:rsidRPr="00694299" w:rsidRDefault="00694299" w:rsidP="003A6F04">
      <w:pPr>
        <w:spacing w:line="240" w:lineRule="auto"/>
        <w:rPr>
          <w:rFonts w:eastAsia="Times New Roman" w:cs="Calibri"/>
          <w:color w:val="000000"/>
          <w:lang w:eastAsia="es-CR"/>
        </w:rPr>
      </w:pPr>
      <w:r w:rsidRPr="00694299">
        <w:rPr>
          <w:rFonts w:eastAsia="Times New Roman" w:cs="Calibri"/>
          <w:color w:val="000000"/>
          <w:lang w:eastAsia="es-CR"/>
        </w:rPr>
        <w:t>La cuenta Recuperación de previsiones, representa el 0,00% del total del Ingresos, que comparado al periodo anterior genera una variación absoluta de 0 000,00 que corresponde a un Aumento del 0,00% de recursos disponibles.</w:t>
      </w:r>
    </w:p>
    <w:p w14:paraId="67DED83F" w14:textId="488F3B36" w:rsidR="00692DC8" w:rsidRPr="00692DC8" w:rsidRDefault="00B03685" w:rsidP="003A6F04">
      <w:pPr>
        <w:spacing w:line="240" w:lineRule="auto"/>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6059A2D" w14:textId="77777777" w:rsidR="00692DC8" w:rsidRDefault="00692DC8" w:rsidP="00855904">
      <w:bookmarkStart w:id="840" w:name="_Toc33601304"/>
      <w:bookmarkStart w:id="841" w:name="_Toc82769025"/>
    </w:p>
    <w:p w14:paraId="3B7BC524" w14:textId="77777777" w:rsidR="00BC7612" w:rsidRDefault="00BC7612" w:rsidP="00855904"/>
    <w:p w14:paraId="1804E379" w14:textId="77777777" w:rsidR="00BC7612" w:rsidRPr="00692DC8" w:rsidRDefault="00BC7612" w:rsidP="00855904"/>
    <w:p w14:paraId="1FF87117" w14:textId="77777777" w:rsidR="00692DC8" w:rsidRPr="00692DC8" w:rsidRDefault="00692DC8" w:rsidP="00D94B22">
      <w:pPr>
        <w:pStyle w:val="Ttulo4"/>
        <w:spacing w:after="240"/>
        <w:rPr>
          <w:rFonts w:eastAsia="Times New Roman"/>
        </w:rPr>
      </w:pPr>
      <w:bookmarkStart w:id="842" w:name="_Toc173245295"/>
      <w:r w:rsidRPr="00692DC8">
        <w:rPr>
          <w:rFonts w:eastAsia="Times New Roman"/>
        </w:rPr>
        <w:t>NOTA N° 5</w:t>
      </w:r>
      <w:bookmarkEnd w:id="839"/>
      <w:bookmarkEnd w:id="840"/>
      <w:bookmarkEnd w:id="841"/>
      <w:r w:rsidRPr="00692DC8">
        <w:rPr>
          <w:rFonts w:eastAsia="Times New Roman"/>
        </w:rPr>
        <w:t>6</w:t>
      </w:r>
      <w:bookmarkEnd w:id="842"/>
    </w:p>
    <w:p w14:paraId="64497E81" w14:textId="77777777" w:rsidR="00694299" w:rsidRDefault="00692DC8" w:rsidP="00DE143D">
      <w:pPr>
        <w:spacing w:before="240"/>
        <w:rPr>
          <w:rFonts w:asciiTheme="minorHAnsi" w:hAnsiTheme="minorHAnsi"/>
          <w:sz w:val="22"/>
        </w:rPr>
      </w:pPr>
      <w:bookmarkStart w:id="843" w:name="_Toc14344891"/>
      <w:bookmarkStart w:id="844" w:name="_Toc33601305"/>
      <w:bookmarkStart w:id="845" w:name="_Toc82769026"/>
      <w:r w:rsidRPr="00692DC8">
        <w:rPr>
          <w:rFonts w:eastAsia="Times New Roman"/>
        </w:rPr>
        <w:t>Recuperación de provisiones y reservas técnicas</w:t>
      </w:r>
      <w:bookmarkEnd w:id="843"/>
      <w:bookmarkEnd w:id="844"/>
      <w:bookmarkEnd w:id="845"/>
      <w:r w:rsidR="00B03685">
        <w:rPr>
          <w:rFonts w:eastAsiaTheme="majorEastAsia" w:cstheme="majorBidi"/>
          <w:iCs/>
          <w:lang w:val="es-ES"/>
        </w:rPr>
        <w:fldChar w:fldCharType="begin"/>
      </w:r>
      <w:r w:rsidR="00B03685">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NOTAS_POR_CUENTA!F332C1:F334C6 </w:instrText>
      </w:r>
      <w:r w:rsidR="00B03685">
        <w:rPr>
          <w:lang w:val="es-ES"/>
        </w:rPr>
        <w:instrText xml:space="preserve">\a \f 4 \h </w:instrText>
      </w:r>
      <w:r w:rsidR="00B03685">
        <w:rPr>
          <w:b/>
          <w:lang w:val="es-ES"/>
        </w:rPr>
        <w:fldChar w:fldCharType="separate"/>
      </w:r>
    </w:p>
    <w:tbl>
      <w:tblPr>
        <w:tblW w:w="8847" w:type="dxa"/>
        <w:tblCellMar>
          <w:left w:w="70" w:type="dxa"/>
          <w:right w:w="70" w:type="dxa"/>
        </w:tblCellMar>
        <w:tblLook w:val="04A0" w:firstRow="1" w:lastRow="0" w:firstColumn="1" w:lastColumn="0" w:noHBand="0" w:noVBand="1"/>
      </w:tblPr>
      <w:tblGrid>
        <w:gridCol w:w="1243"/>
        <w:gridCol w:w="2757"/>
        <w:gridCol w:w="500"/>
        <w:gridCol w:w="1586"/>
        <w:gridCol w:w="1701"/>
        <w:gridCol w:w="1060"/>
      </w:tblGrid>
      <w:tr w:rsidR="00694299" w:rsidRPr="00694299" w14:paraId="749BA50B" w14:textId="77777777" w:rsidTr="000C0991">
        <w:trPr>
          <w:divId w:val="1674184261"/>
          <w:trHeight w:val="324"/>
        </w:trPr>
        <w:tc>
          <w:tcPr>
            <w:tcW w:w="124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46C348A" w14:textId="70EA36E9"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75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6284383"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1B2C6F8"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5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287CB6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E93B1F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31F58B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6340F09D" w14:textId="77777777" w:rsidTr="000C0991">
        <w:trPr>
          <w:divId w:val="1674184261"/>
          <w:trHeight w:val="324"/>
        </w:trPr>
        <w:tc>
          <w:tcPr>
            <w:tcW w:w="1243" w:type="dxa"/>
            <w:vMerge/>
            <w:tcBorders>
              <w:top w:val="single" w:sz="8" w:space="0" w:color="auto"/>
              <w:left w:val="single" w:sz="8" w:space="0" w:color="auto"/>
              <w:bottom w:val="single" w:sz="8" w:space="0" w:color="000000"/>
              <w:right w:val="single" w:sz="8" w:space="0" w:color="auto"/>
            </w:tcBorders>
            <w:vAlign w:val="center"/>
            <w:hideMark/>
          </w:tcPr>
          <w:p w14:paraId="12179029"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757" w:type="dxa"/>
            <w:vMerge/>
            <w:tcBorders>
              <w:top w:val="single" w:sz="8" w:space="0" w:color="auto"/>
              <w:left w:val="single" w:sz="8" w:space="0" w:color="auto"/>
              <w:bottom w:val="single" w:sz="8" w:space="0" w:color="000000"/>
              <w:right w:val="single" w:sz="8" w:space="0" w:color="auto"/>
            </w:tcBorders>
            <w:vAlign w:val="center"/>
            <w:hideMark/>
          </w:tcPr>
          <w:p w14:paraId="2D021D6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452FE911"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5A0CFE6D"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3F897FDA"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8FAA963"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5A1F3272" w14:textId="77777777" w:rsidTr="000C0991">
        <w:trPr>
          <w:divId w:val="1674184261"/>
          <w:trHeight w:val="540"/>
        </w:trPr>
        <w:tc>
          <w:tcPr>
            <w:tcW w:w="1243" w:type="dxa"/>
            <w:tcBorders>
              <w:top w:val="nil"/>
              <w:left w:val="single" w:sz="8" w:space="0" w:color="auto"/>
              <w:bottom w:val="single" w:sz="8" w:space="0" w:color="auto"/>
              <w:right w:val="single" w:sz="8" w:space="0" w:color="auto"/>
            </w:tcBorders>
            <w:shd w:val="clear" w:color="auto" w:fill="auto"/>
            <w:noWrap/>
            <w:vAlign w:val="center"/>
            <w:hideMark/>
          </w:tcPr>
          <w:p w14:paraId="4D5B92F9"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4.9.5.</w:t>
            </w:r>
          </w:p>
        </w:tc>
        <w:tc>
          <w:tcPr>
            <w:tcW w:w="2757" w:type="dxa"/>
            <w:tcBorders>
              <w:top w:val="nil"/>
              <w:left w:val="nil"/>
              <w:bottom w:val="single" w:sz="8" w:space="0" w:color="auto"/>
              <w:right w:val="single" w:sz="8" w:space="0" w:color="auto"/>
            </w:tcBorders>
            <w:shd w:val="clear" w:color="auto" w:fill="auto"/>
            <w:vAlign w:val="center"/>
            <w:hideMark/>
          </w:tcPr>
          <w:p w14:paraId="4D222F6D"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Recuperación de provisiones y reservas técnicas</w:t>
            </w:r>
          </w:p>
        </w:tc>
        <w:tc>
          <w:tcPr>
            <w:tcW w:w="500" w:type="dxa"/>
            <w:tcBorders>
              <w:top w:val="nil"/>
              <w:left w:val="nil"/>
              <w:bottom w:val="single" w:sz="8" w:space="0" w:color="auto"/>
              <w:right w:val="single" w:sz="8" w:space="0" w:color="auto"/>
            </w:tcBorders>
            <w:shd w:val="clear" w:color="auto" w:fill="auto"/>
            <w:noWrap/>
            <w:vAlign w:val="center"/>
            <w:hideMark/>
          </w:tcPr>
          <w:p w14:paraId="338241B0"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56</w:t>
            </w:r>
          </w:p>
        </w:tc>
        <w:tc>
          <w:tcPr>
            <w:tcW w:w="1586" w:type="dxa"/>
            <w:tcBorders>
              <w:top w:val="nil"/>
              <w:left w:val="nil"/>
              <w:bottom w:val="single" w:sz="8" w:space="0" w:color="auto"/>
              <w:right w:val="single" w:sz="8" w:space="0" w:color="auto"/>
            </w:tcBorders>
            <w:shd w:val="clear" w:color="auto" w:fill="auto"/>
            <w:noWrap/>
            <w:vAlign w:val="center"/>
            <w:hideMark/>
          </w:tcPr>
          <w:p w14:paraId="271ED5A8"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701" w:type="dxa"/>
            <w:tcBorders>
              <w:top w:val="nil"/>
              <w:left w:val="nil"/>
              <w:bottom w:val="single" w:sz="8" w:space="0" w:color="auto"/>
              <w:right w:val="single" w:sz="8" w:space="0" w:color="auto"/>
            </w:tcBorders>
            <w:shd w:val="clear" w:color="auto" w:fill="auto"/>
            <w:noWrap/>
            <w:vAlign w:val="center"/>
            <w:hideMark/>
          </w:tcPr>
          <w:p w14:paraId="64F743E7"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7CF4E5C2"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223E15D4" w14:textId="77777777" w:rsidR="0079303B" w:rsidRDefault="00B03685" w:rsidP="0079303B">
      <w:pPr>
        <w:spacing w:after="120" w:line="240" w:lineRule="auto"/>
        <w:rPr>
          <w:b/>
          <w:lang w:val="es-ES"/>
        </w:rPr>
      </w:pPr>
      <w:r>
        <w:rPr>
          <w:b/>
          <w:lang w:val="es-ES"/>
        </w:rPr>
        <w:fldChar w:fldCharType="end"/>
      </w:r>
    </w:p>
    <w:p w14:paraId="0C6E2417" w14:textId="7D64E1F9" w:rsidR="00694299" w:rsidRPr="00694299" w:rsidRDefault="00692DC8" w:rsidP="0079303B">
      <w:pPr>
        <w:spacing w:after="0" w:line="240" w:lineRule="auto"/>
        <w:rPr>
          <w:b/>
          <w:lang w:val="es-ES"/>
        </w:rPr>
      </w:pPr>
      <w:r w:rsidRPr="00D94B22">
        <w:rPr>
          <w:b/>
          <w:lang w:val="es-ES"/>
        </w:rPr>
        <w:t xml:space="preserve">Revelación: </w:t>
      </w:r>
      <w:r w:rsidR="00B03685">
        <w:rPr>
          <w:rFonts w:eastAsia="Times New Roman" w:cs="Calibri"/>
          <w:color w:val="000000"/>
          <w:lang w:eastAsia="es-CR"/>
        </w:rPr>
        <w:fldChar w:fldCharType="begin"/>
      </w:r>
      <w:r w:rsidR="00B03685">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NOTAS_POR_CUENTA!F334C8 </w:instrText>
      </w:r>
      <w:r w:rsidR="00B03685">
        <w:rPr>
          <w:rFonts w:eastAsia="Times New Roman" w:cs="Calibri"/>
          <w:color w:val="000000"/>
          <w:lang w:eastAsia="es-CR"/>
        </w:rPr>
        <w:instrText xml:space="preserve">\a \f 5 \h  \* MERGEFORMAT </w:instrText>
      </w:r>
      <w:r w:rsidR="00B03685">
        <w:rPr>
          <w:rFonts w:eastAsia="Times New Roman" w:cs="Calibri"/>
          <w:color w:val="000000"/>
          <w:lang w:eastAsia="es-CR"/>
        </w:rPr>
        <w:fldChar w:fldCharType="separate"/>
      </w:r>
    </w:p>
    <w:p w14:paraId="7AB521A5" w14:textId="77777777" w:rsidR="0079303B" w:rsidRDefault="0079303B" w:rsidP="0079303B">
      <w:pPr>
        <w:spacing w:after="0" w:line="240" w:lineRule="auto"/>
        <w:rPr>
          <w:rFonts w:eastAsia="Times New Roman" w:cs="Calibri"/>
          <w:color w:val="000000"/>
          <w:lang w:eastAsia="es-CR"/>
        </w:rPr>
      </w:pPr>
    </w:p>
    <w:p w14:paraId="7A64AFF9" w14:textId="42D82FF8" w:rsidR="00694299" w:rsidRDefault="00694299" w:rsidP="0079303B">
      <w:pPr>
        <w:spacing w:after="0" w:line="240" w:lineRule="auto"/>
        <w:rPr>
          <w:rFonts w:eastAsia="Times New Roman" w:cs="Calibri"/>
          <w:color w:val="000000"/>
          <w:lang w:eastAsia="es-CR"/>
        </w:rPr>
      </w:pPr>
      <w:r w:rsidRPr="00694299">
        <w:rPr>
          <w:rFonts w:eastAsia="Times New Roman" w:cs="Calibri"/>
          <w:color w:val="000000"/>
          <w:lang w:eastAsia="es-CR"/>
        </w:rPr>
        <w:t>La cuenta Recuperación de provisiones y reservas técnicas, representa el 0,00% del total del Ingresos, que comparado al periodo anterior genera una variación absoluta de 0 000,00 que corresponde a un Aumento del 0,00% de recursos disponibles.</w:t>
      </w:r>
    </w:p>
    <w:p w14:paraId="4317A55E" w14:textId="77777777" w:rsidR="0079303B" w:rsidRPr="00694299" w:rsidRDefault="0079303B" w:rsidP="0079303B">
      <w:pPr>
        <w:spacing w:after="0" w:line="240" w:lineRule="auto"/>
        <w:rPr>
          <w:rFonts w:eastAsia="Times New Roman" w:cs="Calibri"/>
          <w:color w:val="000000"/>
          <w:lang w:eastAsia="es-CR"/>
        </w:rPr>
      </w:pPr>
    </w:p>
    <w:p w14:paraId="06AFBD4C" w14:textId="705E52E2" w:rsidR="00422EDF" w:rsidRDefault="00B03685" w:rsidP="0079303B">
      <w:pPr>
        <w:spacing w:after="0" w:line="240" w:lineRule="auto"/>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49ABAC93" w14:textId="77777777" w:rsidR="00422EDF" w:rsidRDefault="00422EDF" w:rsidP="00D94B22">
      <w:pPr>
        <w:rPr>
          <w:rFonts w:eastAsiaTheme="minorEastAsia" w:cs="Arial Narrow"/>
          <w:color w:val="000000"/>
          <w:lang w:eastAsia="es-CR"/>
        </w:rPr>
      </w:pPr>
    </w:p>
    <w:p w14:paraId="2BBE7B4E" w14:textId="77777777" w:rsidR="00BC7612" w:rsidRPr="00422EDF" w:rsidRDefault="00BC7612" w:rsidP="00D94B22">
      <w:pPr>
        <w:rPr>
          <w:rFonts w:eastAsiaTheme="minorEastAsia" w:cs="Arial Narrow"/>
          <w:color w:val="000000"/>
          <w:lang w:eastAsia="es-CR"/>
        </w:rPr>
      </w:pPr>
    </w:p>
    <w:p w14:paraId="5CEEFD01" w14:textId="77777777" w:rsidR="00692DC8" w:rsidRPr="00692DC8" w:rsidRDefault="00692DC8" w:rsidP="00D94B22">
      <w:pPr>
        <w:pStyle w:val="Ttulo4"/>
        <w:spacing w:after="240"/>
        <w:rPr>
          <w:rFonts w:eastAsia="Times New Roman"/>
        </w:rPr>
      </w:pPr>
      <w:bookmarkStart w:id="846" w:name="_Toc14344896"/>
      <w:bookmarkStart w:id="847" w:name="_Toc33601306"/>
      <w:bookmarkStart w:id="848" w:name="_Toc82769027"/>
      <w:bookmarkStart w:id="849" w:name="_Toc173245296"/>
      <w:r w:rsidRPr="00692DC8">
        <w:rPr>
          <w:rFonts w:eastAsia="Times New Roman"/>
        </w:rPr>
        <w:t>NOTA N° 5</w:t>
      </w:r>
      <w:bookmarkEnd w:id="846"/>
      <w:bookmarkEnd w:id="847"/>
      <w:bookmarkEnd w:id="848"/>
      <w:r w:rsidRPr="00692DC8">
        <w:rPr>
          <w:rFonts w:eastAsia="Times New Roman"/>
        </w:rPr>
        <w:t>7</w:t>
      </w:r>
      <w:bookmarkEnd w:id="849"/>
    </w:p>
    <w:p w14:paraId="46FFA022" w14:textId="77777777" w:rsidR="00694299" w:rsidRDefault="00692DC8" w:rsidP="00323752">
      <w:pPr>
        <w:spacing w:before="240"/>
        <w:rPr>
          <w:rFonts w:asciiTheme="minorHAnsi" w:hAnsiTheme="minorHAnsi"/>
          <w:sz w:val="22"/>
        </w:rPr>
      </w:pPr>
      <w:bookmarkStart w:id="850" w:name="_Toc14344897"/>
      <w:bookmarkStart w:id="851" w:name="_Toc33601307"/>
      <w:bookmarkStart w:id="852" w:name="_Toc82769028"/>
      <w:r w:rsidRPr="00692DC8">
        <w:rPr>
          <w:rFonts w:eastAsia="Times New Roman"/>
        </w:rPr>
        <w:t>Resultados positivos de inversiones patrimoniales y participación de los intereses minoritarios</w:t>
      </w:r>
      <w:bookmarkStart w:id="853" w:name="_Toc14344900"/>
      <w:bookmarkEnd w:id="850"/>
      <w:bookmarkEnd w:id="851"/>
      <w:bookmarkEnd w:id="852"/>
      <w:r w:rsidR="00B03685">
        <w:rPr>
          <w:rFonts w:eastAsiaTheme="majorEastAsia" w:cstheme="majorBidi"/>
          <w:iCs/>
          <w:lang w:val="es-ES"/>
        </w:rPr>
        <w:fldChar w:fldCharType="begin"/>
      </w:r>
      <w:r w:rsidR="00B03685">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NOTAS_POR_CUENTA!F336C1:F338C6 </w:instrText>
      </w:r>
      <w:r w:rsidR="00B03685">
        <w:rPr>
          <w:lang w:val="es-ES"/>
        </w:rPr>
        <w:instrText xml:space="preserve">\a \f 4 \h </w:instrText>
      </w:r>
      <w:r w:rsidR="00B03685">
        <w:rPr>
          <w:b/>
          <w:lang w:val="es-ES"/>
        </w:rPr>
        <w:fldChar w:fldCharType="separate"/>
      </w:r>
    </w:p>
    <w:tbl>
      <w:tblPr>
        <w:tblW w:w="8847" w:type="dxa"/>
        <w:tblCellMar>
          <w:left w:w="70" w:type="dxa"/>
          <w:right w:w="70" w:type="dxa"/>
        </w:tblCellMar>
        <w:tblLook w:val="04A0" w:firstRow="1" w:lastRow="0" w:firstColumn="1" w:lastColumn="0" w:noHBand="0" w:noVBand="1"/>
      </w:tblPr>
      <w:tblGrid>
        <w:gridCol w:w="1538"/>
        <w:gridCol w:w="2462"/>
        <w:gridCol w:w="500"/>
        <w:gridCol w:w="1586"/>
        <w:gridCol w:w="1701"/>
        <w:gridCol w:w="1060"/>
      </w:tblGrid>
      <w:tr w:rsidR="00694299" w:rsidRPr="00694299" w14:paraId="193A9F6F" w14:textId="77777777" w:rsidTr="000C0991">
        <w:trPr>
          <w:divId w:val="926882916"/>
          <w:trHeight w:val="324"/>
        </w:trPr>
        <w:tc>
          <w:tcPr>
            <w:tcW w:w="1538"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A97AFD2" w14:textId="3BFF2A1E"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462"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840D80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AABEB4C"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5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06E6DEC"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77BA9C3"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4E2C6C1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104D1D56" w14:textId="77777777" w:rsidTr="000C0991">
        <w:trPr>
          <w:divId w:val="926882916"/>
          <w:trHeight w:val="324"/>
        </w:trPr>
        <w:tc>
          <w:tcPr>
            <w:tcW w:w="1538" w:type="dxa"/>
            <w:vMerge/>
            <w:tcBorders>
              <w:top w:val="single" w:sz="8" w:space="0" w:color="auto"/>
              <w:left w:val="single" w:sz="8" w:space="0" w:color="auto"/>
              <w:bottom w:val="single" w:sz="8" w:space="0" w:color="000000"/>
              <w:right w:val="single" w:sz="8" w:space="0" w:color="auto"/>
            </w:tcBorders>
            <w:vAlign w:val="center"/>
            <w:hideMark/>
          </w:tcPr>
          <w:p w14:paraId="7903199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462" w:type="dxa"/>
            <w:vMerge/>
            <w:tcBorders>
              <w:top w:val="single" w:sz="8" w:space="0" w:color="auto"/>
              <w:left w:val="single" w:sz="8" w:space="0" w:color="auto"/>
              <w:bottom w:val="single" w:sz="8" w:space="0" w:color="000000"/>
              <w:right w:val="single" w:sz="8" w:space="0" w:color="auto"/>
            </w:tcBorders>
            <w:vAlign w:val="center"/>
            <w:hideMark/>
          </w:tcPr>
          <w:p w14:paraId="06FAE0BA"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18BEBB4"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4FDE31B4"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1A25B40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3377A6F7"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7CB82E3B" w14:textId="77777777" w:rsidTr="000C0991">
        <w:trPr>
          <w:divId w:val="926882916"/>
          <w:trHeight w:val="804"/>
        </w:trPr>
        <w:tc>
          <w:tcPr>
            <w:tcW w:w="1538" w:type="dxa"/>
            <w:tcBorders>
              <w:top w:val="nil"/>
              <w:left w:val="single" w:sz="8" w:space="0" w:color="auto"/>
              <w:bottom w:val="single" w:sz="8" w:space="0" w:color="auto"/>
              <w:right w:val="single" w:sz="8" w:space="0" w:color="auto"/>
            </w:tcBorders>
            <w:shd w:val="clear" w:color="auto" w:fill="auto"/>
            <w:noWrap/>
            <w:vAlign w:val="center"/>
            <w:hideMark/>
          </w:tcPr>
          <w:p w14:paraId="796B2A48"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4.9.6.</w:t>
            </w:r>
          </w:p>
        </w:tc>
        <w:tc>
          <w:tcPr>
            <w:tcW w:w="2462" w:type="dxa"/>
            <w:tcBorders>
              <w:top w:val="nil"/>
              <w:left w:val="nil"/>
              <w:bottom w:val="single" w:sz="8" w:space="0" w:color="auto"/>
              <w:right w:val="single" w:sz="8" w:space="0" w:color="auto"/>
            </w:tcBorders>
            <w:shd w:val="clear" w:color="auto" w:fill="auto"/>
            <w:vAlign w:val="center"/>
            <w:hideMark/>
          </w:tcPr>
          <w:p w14:paraId="1F41F548"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Resultados positivos de inversiones patrimoniales y participación de los intereses minoritarios</w:t>
            </w:r>
          </w:p>
        </w:tc>
        <w:tc>
          <w:tcPr>
            <w:tcW w:w="500" w:type="dxa"/>
            <w:tcBorders>
              <w:top w:val="nil"/>
              <w:left w:val="nil"/>
              <w:bottom w:val="single" w:sz="8" w:space="0" w:color="auto"/>
              <w:right w:val="single" w:sz="8" w:space="0" w:color="auto"/>
            </w:tcBorders>
            <w:shd w:val="clear" w:color="auto" w:fill="auto"/>
            <w:noWrap/>
            <w:vAlign w:val="center"/>
            <w:hideMark/>
          </w:tcPr>
          <w:p w14:paraId="406B9F00"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57</w:t>
            </w:r>
          </w:p>
        </w:tc>
        <w:tc>
          <w:tcPr>
            <w:tcW w:w="1586" w:type="dxa"/>
            <w:tcBorders>
              <w:top w:val="nil"/>
              <w:left w:val="nil"/>
              <w:bottom w:val="single" w:sz="8" w:space="0" w:color="auto"/>
              <w:right w:val="single" w:sz="8" w:space="0" w:color="auto"/>
            </w:tcBorders>
            <w:shd w:val="clear" w:color="auto" w:fill="auto"/>
            <w:noWrap/>
            <w:vAlign w:val="center"/>
            <w:hideMark/>
          </w:tcPr>
          <w:p w14:paraId="7BBFA6A7"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701" w:type="dxa"/>
            <w:tcBorders>
              <w:top w:val="nil"/>
              <w:left w:val="nil"/>
              <w:bottom w:val="single" w:sz="8" w:space="0" w:color="auto"/>
              <w:right w:val="single" w:sz="8" w:space="0" w:color="auto"/>
            </w:tcBorders>
            <w:shd w:val="clear" w:color="auto" w:fill="auto"/>
            <w:noWrap/>
            <w:vAlign w:val="center"/>
            <w:hideMark/>
          </w:tcPr>
          <w:p w14:paraId="026944D7"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1B829C70"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3332C06D" w14:textId="77777777" w:rsidR="0079303B" w:rsidRDefault="00B03685" w:rsidP="0079303B">
      <w:pPr>
        <w:spacing w:after="120" w:line="240" w:lineRule="auto"/>
        <w:rPr>
          <w:b/>
          <w:bCs/>
          <w:lang w:val="es-ES"/>
        </w:rPr>
      </w:pPr>
      <w:r>
        <w:rPr>
          <w:b/>
          <w:bCs/>
          <w:lang w:val="es-ES"/>
        </w:rPr>
        <w:fldChar w:fldCharType="end"/>
      </w:r>
    </w:p>
    <w:p w14:paraId="1E6582C0" w14:textId="7D2FF0B8" w:rsidR="00694299" w:rsidRPr="00694299" w:rsidRDefault="00692DC8" w:rsidP="0079303B">
      <w:pPr>
        <w:spacing w:after="120" w:line="240" w:lineRule="auto"/>
        <w:rPr>
          <w:b/>
          <w:bCs/>
          <w:lang w:val="es-ES"/>
        </w:rPr>
      </w:pPr>
      <w:r w:rsidRPr="00692DC8">
        <w:rPr>
          <w:b/>
          <w:bCs/>
          <w:lang w:val="es-ES"/>
        </w:rPr>
        <w:t>Revelación</w:t>
      </w:r>
      <w:r w:rsidRPr="00692DC8">
        <w:rPr>
          <w:lang w:val="es-ES"/>
        </w:rPr>
        <w:t xml:space="preserve">: </w:t>
      </w:r>
      <w:r w:rsidR="00B03685">
        <w:rPr>
          <w:rFonts w:eastAsia="Times New Roman" w:cs="Calibri"/>
          <w:color w:val="000000"/>
          <w:lang w:eastAsia="es-CR"/>
        </w:rPr>
        <w:fldChar w:fldCharType="begin"/>
      </w:r>
      <w:r w:rsidR="00B03685">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NOTAS_POR_CUENTA!F338C8 </w:instrText>
      </w:r>
      <w:r w:rsidR="00B03685">
        <w:rPr>
          <w:rFonts w:eastAsia="Times New Roman" w:cs="Calibri"/>
          <w:color w:val="000000"/>
          <w:lang w:eastAsia="es-CR"/>
        </w:rPr>
        <w:instrText xml:space="preserve">\a \f 5 \h  \* MERGEFORMAT </w:instrText>
      </w:r>
      <w:r w:rsidR="00B03685">
        <w:rPr>
          <w:rFonts w:eastAsia="Times New Roman" w:cs="Calibri"/>
          <w:color w:val="000000"/>
          <w:lang w:eastAsia="es-CR"/>
        </w:rPr>
        <w:fldChar w:fldCharType="separate"/>
      </w:r>
    </w:p>
    <w:p w14:paraId="31031320" w14:textId="77777777" w:rsidR="0079303B" w:rsidRDefault="0079303B" w:rsidP="0079303B">
      <w:pPr>
        <w:spacing w:after="0" w:line="240" w:lineRule="auto"/>
        <w:rPr>
          <w:rFonts w:eastAsia="Times New Roman" w:cs="Calibri"/>
          <w:color w:val="000000"/>
          <w:lang w:eastAsia="es-CR"/>
        </w:rPr>
      </w:pPr>
    </w:p>
    <w:p w14:paraId="0D1070CA" w14:textId="3D0CD98F" w:rsidR="00694299" w:rsidRPr="00694299" w:rsidRDefault="00694299" w:rsidP="0079303B">
      <w:pPr>
        <w:spacing w:after="120" w:line="240" w:lineRule="auto"/>
        <w:rPr>
          <w:rFonts w:eastAsia="Times New Roman" w:cs="Calibri"/>
          <w:color w:val="000000"/>
          <w:lang w:eastAsia="es-CR"/>
        </w:rPr>
      </w:pPr>
      <w:r w:rsidRPr="00694299">
        <w:rPr>
          <w:rFonts w:eastAsia="Times New Roman" w:cs="Calibri"/>
          <w:color w:val="000000"/>
          <w:lang w:eastAsia="es-CR"/>
        </w:rPr>
        <w:t>La cuenta Resultados positivos de inversiones patrimoniales y participación de los intereses minoritarios, representa el 0,00% del total del Ingresos, que comparado al periodo anterior genera una variación absoluta de 0 000,00 que corresponde a un Aumento del 0,00% de recursos disponibles.</w:t>
      </w:r>
    </w:p>
    <w:p w14:paraId="1C82C1B7" w14:textId="230626D9" w:rsidR="00692DC8" w:rsidRPr="00692DC8" w:rsidRDefault="00B03685" w:rsidP="0079303B">
      <w:pPr>
        <w:spacing w:after="120" w:line="240" w:lineRule="auto"/>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3B896F7" w14:textId="77777777" w:rsidR="00692DC8" w:rsidRPr="00692DC8" w:rsidRDefault="00692DC8" w:rsidP="00D94B22">
      <w:bookmarkStart w:id="854" w:name="_Toc33601308"/>
      <w:bookmarkStart w:id="855" w:name="_Toc82769029"/>
    </w:p>
    <w:p w14:paraId="3B846E61" w14:textId="77777777" w:rsidR="00692DC8" w:rsidRPr="00692DC8" w:rsidRDefault="00692DC8" w:rsidP="00D94B22">
      <w:pPr>
        <w:pStyle w:val="Ttulo4"/>
        <w:spacing w:after="240"/>
        <w:rPr>
          <w:rFonts w:eastAsia="Times New Roman"/>
        </w:rPr>
      </w:pPr>
      <w:bookmarkStart w:id="856" w:name="_Toc173245297"/>
      <w:r w:rsidRPr="00692DC8">
        <w:rPr>
          <w:rFonts w:eastAsia="Times New Roman"/>
        </w:rPr>
        <w:t>NOTA N° 5</w:t>
      </w:r>
      <w:bookmarkEnd w:id="853"/>
      <w:bookmarkEnd w:id="854"/>
      <w:bookmarkEnd w:id="855"/>
      <w:r w:rsidRPr="00692DC8">
        <w:rPr>
          <w:rFonts w:eastAsia="Times New Roman"/>
        </w:rPr>
        <w:t>8</w:t>
      </w:r>
      <w:bookmarkEnd w:id="856"/>
    </w:p>
    <w:p w14:paraId="53EAFEED" w14:textId="77777777" w:rsidR="00694299" w:rsidRDefault="00692DC8" w:rsidP="000C0991">
      <w:pPr>
        <w:spacing w:before="120" w:after="120" w:line="240" w:lineRule="auto"/>
        <w:rPr>
          <w:rFonts w:asciiTheme="minorHAnsi" w:hAnsiTheme="minorHAnsi"/>
          <w:sz w:val="22"/>
        </w:rPr>
      </w:pPr>
      <w:bookmarkStart w:id="857" w:name="_Toc14344901"/>
      <w:bookmarkStart w:id="858" w:name="_Toc33601309"/>
      <w:bookmarkStart w:id="859" w:name="_Toc82769030"/>
      <w:r w:rsidRPr="00692DC8">
        <w:rPr>
          <w:rFonts w:eastAsia="Times New Roman"/>
        </w:rPr>
        <w:t>Otros ingresos y resultados positivos</w:t>
      </w:r>
      <w:bookmarkEnd w:id="857"/>
      <w:bookmarkEnd w:id="858"/>
      <w:bookmarkEnd w:id="859"/>
      <w:r w:rsidR="00B03685">
        <w:rPr>
          <w:rFonts w:eastAsiaTheme="majorEastAsia" w:cstheme="majorBidi"/>
          <w:iCs/>
          <w:lang w:val="es-ES"/>
        </w:rPr>
        <w:fldChar w:fldCharType="begin"/>
      </w:r>
      <w:r w:rsidR="00B03685">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NOTAS_POR_CUENTA!F340C1:F342C6 </w:instrText>
      </w:r>
      <w:r w:rsidR="00B03685">
        <w:rPr>
          <w:lang w:val="es-ES"/>
        </w:rPr>
        <w:instrText xml:space="preserve">\a \f 4 \h </w:instrText>
      </w:r>
      <w:r w:rsidR="00B03685">
        <w:rPr>
          <w:b/>
          <w:lang w:val="es-ES"/>
        </w:rPr>
        <w:fldChar w:fldCharType="separate"/>
      </w:r>
    </w:p>
    <w:p w14:paraId="4A8E189B" w14:textId="034DBAA8" w:rsidR="00C572A3" w:rsidRDefault="00B03685" w:rsidP="0079303B">
      <w:pPr>
        <w:spacing w:after="0" w:line="240" w:lineRule="auto"/>
        <w:rPr>
          <w:rFonts w:asciiTheme="minorHAnsi" w:hAnsiTheme="minorHAnsi"/>
          <w:sz w:val="22"/>
        </w:rPr>
      </w:pPr>
      <w:r>
        <w:rPr>
          <w:b/>
          <w:lang w:val="es-ES"/>
        </w:rPr>
        <w:fldChar w:fldCharType="end"/>
      </w:r>
      <w:r w:rsidR="000C0991">
        <w:rPr>
          <w:b/>
          <w:lang w:val="es-ES"/>
        </w:rPr>
        <w:fldChar w:fldCharType="begin"/>
      </w:r>
      <w:r w:rsidR="000C0991">
        <w:rPr>
          <w:b/>
          <w:lang w:val="es-ES"/>
        </w:rPr>
        <w:instrText xml:space="preserve"> LINK </w:instrText>
      </w:r>
      <w:r w:rsidR="0068177A">
        <w:rPr>
          <w:b/>
          <w:lang w:val="es-ES"/>
        </w:rPr>
        <w:instrText xml:space="preserve">Excel.SheetMacroEnabled.12 "C:\\Users\\arges\\OneDrive\\Desktop\\Municipalidades\\Buenos Aires\\Cierre Junio 2024\\Notas Contables\\15603_T02_2024_Anexo_Estado_Notas_Contables_Vinculadas.xlsm" NOTAS_POR_CUENTA!R340C1:R342C6 </w:instrText>
      </w:r>
      <w:r w:rsidR="000C0991">
        <w:rPr>
          <w:b/>
          <w:lang w:val="es-ES"/>
        </w:rPr>
        <w:instrText xml:space="preserve">\a \f 4 \h </w:instrText>
      </w:r>
      <w:r w:rsidR="000C0991">
        <w:rPr>
          <w:b/>
          <w:lang w:val="es-ES"/>
        </w:rPr>
        <w:fldChar w:fldCharType="separate"/>
      </w:r>
    </w:p>
    <w:tbl>
      <w:tblPr>
        <w:tblW w:w="10080" w:type="dxa"/>
        <w:tblLook w:val="04A0" w:firstRow="1" w:lastRow="0" w:firstColumn="1" w:lastColumn="0" w:noHBand="0" w:noVBand="1"/>
      </w:tblPr>
      <w:tblGrid>
        <w:gridCol w:w="717"/>
        <w:gridCol w:w="3339"/>
        <w:gridCol w:w="544"/>
        <w:gridCol w:w="2200"/>
        <w:gridCol w:w="2200"/>
        <w:gridCol w:w="1080"/>
      </w:tblGrid>
      <w:tr w:rsidR="00C572A3" w:rsidRPr="00C572A3" w14:paraId="5EC285D6" w14:textId="77777777" w:rsidTr="00C572A3">
        <w:trPr>
          <w:divId w:val="391319412"/>
          <w:trHeight w:val="320"/>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A73F495" w14:textId="284718C5" w:rsidR="00C572A3" w:rsidRPr="00C572A3" w:rsidRDefault="00C572A3" w:rsidP="00C572A3">
            <w:pP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D7ADA96"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Descripción</w:t>
            </w:r>
          </w:p>
        </w:tc>
        <w:tc>
          <w:tcPr>
            <w:tcW w:w="5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D2079E4"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Nota</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1F11205"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Actual </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84D1CC3"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Anterior </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2155419A"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Diferencia </w:t>
            </w:r>
          </w:p>
        </w:tc>
      </w:tr>
      <w:tr w:rsidR="00C572A3" w:rsidRPr="00C572A3" w14:paraId="642F01F8" w14:textId="77777777" w:rsidTr="00C572A3">
        <w:trPr>
          <w:divId w:val="391319412"/>
          <w:trHeight w:val="320"/>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67955B3A"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67D99CE8"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14:paraId="22654C25"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2326F572"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28A2CD43"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1080" w:type="dxa"/>
            <w:tcBorders>
              <w:top w:val="nil"/>
              <w:left w:val="nil"/>
              <w:bottom w:val="single" w:sz="8" w:space="0" w:color="auto"/>
              <w:right w:val="single" w:sz="8" w:space="0" w:color="auto"/>
            </w:tcBorders>
            <w:shd w:val="clear" w:color="000000" w:fill="366092"/>
            <w:noWrap/>
            <w:vAlign w:val="center"/>
            <w:hideMark/>
          </w:tcPr>
          <w:p w14:paraId="08A95BAF" w14:textId="77777777" w:rsidR="00C572A3" w:rsidRPr="00C572A3" w:rsidRDefault="00C572A3" w:rsidP="00C572A3">
            <w:pPr>
              <w:spacing w:after="0" w:line="240" w:lineRule="auto"/>
              <w:jc w:val="center"/>
              <w:rPr>
                <w:rFonts w:eastAsia="Times New Roman" w:cs="Calibri"/>
                <w:color w:val="FFFFFF"/>
                <w:sz w:val="18"/>
                <w:szCs w:val="18"/>
                <w:lang w:val="en-US"/>
              </w:rPr>
            </w:pPr>
            <w:r w:rsidRPr="00C572A3">
              <w:rPr>
                <w:rFonts w:eastAsia="Times New Roman" w:cs="Calibri"/>
                <w:color w:val="FFFFFF"/>
                <w:sz w:val="18"/>
                <w:szCs w:val="18"/>
                <w:lang w:val="en-US"/>
              </w:rPr>
              <w:t>%</w:t>
            </w:r>
          </w:p>
        </w:tc>
      </w:tr>
      <w:tr w:rsidR="00C572A3" w:rsidRPr="00C572A3" w14:paraId="56E93A65" w14:textId="77777777" w:rsidTr="00C572A3">
        <w:trPr>
          <w:divId w:val="391319412"/>
          <w:trHeight w:val="320"/>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7A6B662D" w14:textId="77777777" w:rsidR="00C572A3" w:rsidRPr="00C572A3" w:rsidRDefault="00C572A3" w:rsidP="00C572A3">
            <w:pPr>
              <w:spacing w:after="0" w:line="240" w:lineRule="auto"/>
              <w:jc w:val="left"/>
              <w:rPr>
                <w:rFonts w:eastAsia="Times New Roman" w:cs="Calibri"/>
                <w:b/>
                <w:bCs/>
                <w:color w:val="000000"/>
                <w:sz w:val="18"/>
                <w:szCs w:val="18"/>
                <w:lang w:val="en-US"/>
              </w:rPr>
            </w:pPr>
            <w:r w:rsidRPr="00C572A3">
              <w:rPr>
                <w:rFonts w:eastAsia="Times New Roman" w:cs="Calibri"/>
                <w:b/>
                <w:bCs/>
                <w:color w:val="000000"/>
                <w:sz w:val="18"/>
                <w:szCs w:val="18"/>
                <w:lang w:val="en-US"/>
              </w:rPr>
              <w:t>4.9.9.</w:t>
            </w:r>
          </w:p>
        </w:tc>
        <w:tc>
          <w:tcPr>
            <w:tcW w:w="3380" w:type="dxa"/>
            <w:tcBorders>
              <w:top w:val="nil"/>
              <w:left w:val="nil"/>
              <w:bottom w:val="single" w:sz="8" w:space="0" w:color="auto"/>
              <w:right w:val="single" w:sz="8" w:space="0" w:color="auto"/>
            </w:tcBorders>
            <w:shd w:val="clear" w:color="auto" w:fill="auto"/>
            <w:vAlign w:val="center"/>
            <w:hideMark/>
          </w:tcPr>
          <w:p w14:paraId="053BB972" w14:textId="77777777" w:rsidR="00C572A3" w:rsidRPr="00C572A3" w:rsidRDefault="00C572A3" w:rsidP="00C572A3">
            <w:pPr>
              <w:spacing w:after="0" w:line="240" w:lineRule="auto"/>
              <w:rPr>
                <w:rFonts w:eastAsia="Times New Roman" w:cs="Calibri"/>
                <w:b/>
                <w:bCs/>
                <w:color w:val="000000"/>
                <w:sz w:val="18"/>
                <w:szCs w:val="18"/>
              </w:rPr>
            </w:pPr>
            <w:r w:rsidRPr="00C572A3">
              <w:rPr>
                <w:rFonts w:eastAsia="Times New Roman" w:cs="Calibri"/>
                <w:b/>
                <w:bCs/>
                <w:color w:val="000000"/>
                <w:sz w:val="18"/>
                <w:szCs w:val="18"/>
              </w:rPr>
              <w:t>Otros ingresos y resultados positivos</w:t>
            </w:r>
          </w:p>
        </w:tc>
        <w:tc>
          <w:tcPr>
            <w:tcW w:w="520" w:type="dxa"/>
            <w:tcBorders>
              <w:top w:val="nil"/>
              <w:left w:val="nil"/>
              <w:bottom w:val="single" w:sz="8" w:space="0" w:color="auto"/>
              <w:right w:val="single" w:sz="8" w:space="0" w:color="auto"/>
            </w:tcBorders>
            <w:shd w:val="clear" w:color="auto" w:fill="auto"/>
            <w:noWrap/>
            <w:vAlign w:val="center"/>
            <w:hideMark/>
          </w:tcPr>
          <w:p w14:paraId="5F460FDF"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58</w:t>
            </w:r>
          </w:p>
        </w:tc>
        <w:tc>
          <w:tcPr>
            <w:tcW w:w="2200" w:type="dxa"/>
            <w:tcBorders>
              <w:top w:val="nil"/>
              <w:left w:val="nil"/>
              <w:bottom w:val="single" w:sz="8" w:space="0" w:color="auto"/>
              <w:right w:val="single" w:sz="8" w:space="0" w:color="auto"/>
            </w:tcBorders>
            <w:shd w:val="clear" w:color="auto" w:fill="auto"/>
            <w:noWrap/>
            <w:vAlign w:val="center"/>
            <w:hideMark/>
          </w:tcPr>
          <w:p w14:paraId="1DDBC677"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153,47 </w:t>
            </w:r>
          </w:p>
        </w:tc>
        <w:tc>
          <w:tcPr>
            <w:tcW w:w="2200" w:type="dxa"/>
            <w:tcBorders>
              <w:top w:val="nil"/>
              <w:left w:val="nil"/>
              <w:bottom w:val="single" w:sz="8" w:space="0" w:color="auto"/>
              <w:right w:val="single" w:sz="8" w:space="0" w:color="auto"/>
            </w:tcBorders>
            <w:shd w:val="clear" w:color="auto" w:fill="auto"/>
            <w:noWrap/>
            <w:vAlign w:val="center"/>
            <w:hideMark/>
          </w:tcPr>
          <w:p w14:paraId="13597EA7"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270,91 </w:t>
            </w:r>
          </w:p>
        </w:tc>
        <w:tc>
          <w:tcPr>
            <w:tcW w:w="1080" w:type="dxa"/>
            <w:tcBorders>
              <w:top w:val="nil"/>
              <w:left w:val="nil"/>
              <w:bottom w:val="single" w:sz="8" w:space="0" w:color="auto"/>
              <w:right w:val="single" w:sz="8" w:space="0" w:color="auto"/>
            </w:tcBorders>
            <w:shd w:val="clear" w:color="auto" w:fill="auto"/>
            <w:noWrap/>
            <w:vAlign w:val="center"/>
            <w:hideMark/>
          </w:tcPr>
          <w:p w14:paraId="6B5C81B7"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-43,35%</w:t>
            </w:r>
          </w:p>
        </w:tc>
      </w:tr>
    </w:tbl>
    <w:p w14:paraId="2E8764BC" w14:textId="77777777" w:rsidR="0079303B" w:rsidRDefault="000C0991" w:rsidP="0079303B">
      <w:pPr>
        <w:spacing w:after="0" w:line="240" w:lineRule="auto"/>
        <w:rPr>
          <w:b/>
          <w:lang w:val="es-ES"/>
        </w:rPr>
      </w:pPr>
      <w:r>
        <w:rPr>
          <w:b/>
          <w:lang w:val="es-ES"/>
        </w:rPr>
        <w:fldChar w:fldCharType="end"/>
      </w:r>
    </w:p>
    <w:p w14:paraId="0C98E4AA" w14:textId="1E8D51CA" w:rsidR="00694299" w:rsidRPr="00694299" w:rsidRDefault="00692DC8" w:rsidP="0079303B">
      <w:pPr>
        <w:spacing w:before="120" w:after="0" w:line="240" w:lineRule="auto"/>
        <w:rPr>
          <w:b/>
          <w:lang w:val="es-ES"/>
        </w:rPr>
      </w:pPr>
      <w:r w:rsidRPr="00D94B22">
        <w:rPr>
          <w:b/>
          <w:lang w:val="es-ES"/>
        </w:rPr>
        <w:t xml:space="preserve">Revelación: </w:t>
      </w:r>
      <w:r w:rsidR="00B03685">
        <w:rPr>
          <w:rFonts w:eastAsia="Times New Roman" w:cs="Calibri"/>
          <w:color w:val="000000"/>
          <w:lang w:eastAsia="es-CR"/>
        </w:rPr>
        <w:fldChar w:fldCharType="begin"/>
      </w:r>
      <w:r w:rsidR="00B03685">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NOTAS_POR_CUENTA!F342C8 </w:instrText>
      </w:r>
      <w:r w:rsidR="00B03685">
        <w:rPr>
          <w:rFonts w:eastAsia="Times New Roman" w:cs="Calibri"/>
          <w:color w:val="000000"/>
          <w:lang w:eastAsia="es-CR"/>
        </w:rPr>
        <w:instrText xml:space="preserve">\a \f 5 \h  \* MERGEFORMAT </w:instrText>
      </w:r>
      <w:r w:rsidR="00B03685">
        <w:rPr>
          <w:rFonts w:eastAsia="Times New Roman" w:cs="Calibri"/>
          <w:color w:val="000000"/>
          <w:lang w:eastAsia="es-CR"/>
        </w:rPr>
        <w:fldChar w:fldCharType="separate"/>
      </w:r>
    </w:p>
    <w:p w14:paraId="295ABE40" w14:textId="77777777" w:rsidR="0079303B" w:rsidRDefault="0079303B" w:rsidP="0079303B">
      <w:pPr>
        <w:spacing w:after="120" w:line="240" w:lineRule="auto"/>
        <w:rPr>
          <w:rFonts w:eastAsia="Times New Roman" w:cs="Calibri"/>
          <w:color w:val="000000"/>
          <w:lang w:eastAsia="es-CR"/>
        </w:rPr>
      </w:pPr>
    </w:p>
    <w:p w14:paraId="763DA29F" w14:textId="706F6F6E" w:rsidR="00694299" w:rsidRPr="00694299" w:rsidRDefault="00694299" w:rsidP="0079303B">
      <w:pPr>
        <w:spacing w:line="240" w:lineRule="auto"/>
        <w:rPr>
          <w:rFonts w:eastAsia="Times New Roman" w:cs="Calibri"/>
          <w:color w:val="000000"/>
          <w:lang w:eastAsia="es-CR"/>
        </w:rPr>
      </w:pPr>
      <w:r w:rsidRPr="00694299">
        <w:rPr>
          <w:rFonts w:eastAsia="Times New Roman" w:cs="Calibri"/>
          <w:color w:val="000000"/>
          <w:lang w:eastAsia="es-CR"/>
        </w:rPr>
        <w:t>La cuenta Otros ingresos y resultados positivos, representa el 0,00% del total del Ingresos, que comparado al periodo anterior genera una variación absoluta de</w:t>
      </w:r>
      <w:r w:rsidR="0079303B">
        <w:rPr>
          <w:rFonts w:eastAsia="Times New Roman" w:cs="Calibri"/>
          <w:color w:val="000000"/>
          <w:lang w:eastAsia="es-CR"/>
        </w:rPr>
        <w:t xml:space="preserve"> </w:t>
      </w:r>
      <w:r w:rsidR="0079303B" w:rsidRPr="0079303B">
        <w:rPr>
          <w:rFonts w:eastAsia="Times New Roman" w:cs="Calibri"/>
          <w:color w:val="000000"/>
          <w:lang w:eastAsia="es-CR"/>
        </w:rPr>
        <w:t>-117,44</w:t>
      </w:r>
      <w:r w:rsidRPr="00694299">
        <w:rPr>
          <w:rFonts w:eastAsia="Times New Roman" w:cs="Calibri"/>
          <w:color w:val="000000"/>
          <w:lang w:eastAsia="es-CR"/>
        </w:rPr>
        <w:t xml:space="preserve"> que corresponde a un Aumento del 4</w:t>
      </w:r>
      <w:r w:rsidR="0079303B">
        <w:rPr>
          <w:rFonts w:eastAsia="Times New Roman" w:cs="Calibri"/>
          <w:color w:val="000000"/>
          <w:lang w:eastAsia="es-CR"/>
        </w:rPr>
        <w:t>3</w:t>
      </w:r>
      <w:r w:rsidRPr="00694299">
        <w:rPr>
          <w:rFonts w:eastAsia="Times New Roman" w:cs="Calibri"/>
          <w:color w:val="000000"/>
          <w:lang w:eastAsia="es-CR"/>
        </w:rPr>
        <w:t>,</w:t>
      </w:r>
      <w:r w:rsidR="0079303B">
        <w:rPr>
          <w:rFonts w:eastAsia="Times New Roman" w:cs="Calibri"/>
          <w:color w:val="000000"/>
          <w:lang w:eastAsia="es-CR"/>
        </w:rPr>
        <w:t>3</w:t>
      </w:r>
      <w:r w:rsidRPr="00694299">
        <w:rPr>
          <w:rFonts w:eastAsia="Times New Roman" w:cs="Calibri"/>
          <w:color w:val="000000"/>
          <w:lang w:eastAsia="es-CR"/>
        </w:rPr>
        <w:t>5% de recursos disponibles.</w:t>
      </w:r>
    </w:p>
    <w:p w14:paraId="3FDCA510" w14:textId="041036CF" w:rsidR="00692DC8" w:rsidRDefault="00B03685" w:rsidP="0079303B">
      <w:pPr>
        <w:spacing w:after="120" w:line="240" w:lineRule="auto"/>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4134EA92" w14:textId="77777777" w:rsidR="00032C56" w:rsidRDefault="00032C56" w:rsidP="00032C56">
      <w:r>
        <w:t>En el contexto de los estados financieros en conjunto, esta diferencia no se considera significativa.</w:t>
      </w:r>
    </w:p>
    <w:p w14:paraId="0EB52F15" w14:textId="77777777" w:rsidR="00692DC8" w:rsidRDefault="00692DC8" w:rsidP="00D94B22">
      <w:pPr>
        <w:rPr>
          <w:lang w:eastAsia="es-CR"/>
        </w:rPr>
      </w:pPr>
    </w:p>
    <w:p w14:paraId="554A6B5B" w14:textId="77777777" w:rsidR="00BC7612" w:rsidRDefault="00BC7612" w:rsidP="00D94B22">
      <w:pPr>
        <w:rPr>
          <w:lang w:eastAsia="es-CR"/>
        </w:rPr>
      </w:pPr>
    </w:p>
    <w:p w14:paraId="57DBEB0E" w14:textId="153E64C7" w:rsidR="00692DC8" w:rsidRDefault="00D94B22" w:rsidP="00D94B22">
      <w:pPr>
        <w:pStyle w:val="Ttulo3"/>
        <w:spacing w:after="240"/>
        <w:rPr>
          <w:rFonts w:eastAsia="Times New Roman"/>
          <w:lang w:eastAsia="es-CR"/>
        </w:rPr>
      </w:pPr>
      <w:bookmarkStart w:id="860" w:name="_Toc14344903"/>
      <w:bookmarkStart w:id="861" w:name="_Toc33601310"/>
      <w:bookmarkStart w:id="862" w:name="_Toc82769031"/>
      <w:bookmarkStart w:id="863" w:name="_Toc173245298"/>
      <w:r>
        <w:rPr>
          <w:rFonts w:eastAsia="Times New Roman"/>
          <w:lang w:eastAsia="es-CR"/>
        </w:rPr>
        <w:t xml:space="preserve">5. </w:t>
      </w:r>
      <w:r w:rsidR="00692DC8" w:rsidRPr="00692DC8">
        <w:rPr>
          <w:rFonts w:eastAsia="Times New Roman"/>
          <w:lang w:eastAsia="es-CR"/>
        </w:rPr>
        <w:t>GASTOS</w:t>
      </w:r>
      <w:bookmarkEnd w:id="860"/>
      <w:bookmarkEnd w:id="861"/>
      <w:bookmarkEnd w:id="862"/>
      <w:bookmarkEnd w:id="863"/>
    </w:p>
    <w:p w14:paraId="367A6613" w14:textId="77777777" w:rsidR="00BC7612" w:rsidRPr="00BC7612" w:rsidRDefault="00BC7612" w:rsidP="00BC7612">
      <w:pPr>
        <w:spacing w:after="0" w:line="240" w:lineRule="auto"/>
        <w:rPr>
          <w:lang w:eastAsia="es-CR"/>
        </w:rPr>
      </w:pPr>
    </w:p>
    <w:p w14:paraId="561C129A" w14:textId="616DDD66" w:rsidR="00692DC8" w:rsidRPr="00692DC8" w:rsidRDefault="00692DC8" w:rsidP="00D94B22">
      <w:pPr>
        <w:pStyle w:val="Ttulo3"/>
        <w:spacing w:after="240"/>
        <w:rPr>
          <w:rFonts w:eastAsia="Calibri"/>
          <w:lang w:eastAsia="es-CR"/>
        </w:rPr>
      </w:pPr>
      <w:bookmarkStart w:id="864" w:name="_Toc82769032"/>
      <w:bookmarkStart w:id="865" w:name="_Toc173245299"/>
      <w:r w:rsidRPr="00692DC8">
        <w:rPr>
          <w:rFonts w:eastAsia="Calibri"/>
          <w:lang w:eastAsia="es-CR"/>
        </w:rPr>
        <w:t>5.1 GASTOS DE FUNCIONAMIENTO</w:t>
      </w:r>
      <w:bookmarkEnd w:id="864"/>
      <w:bookmarkEnd w:id="865"/>
    </w:p>
    <w:p w14:paraId="0E028D4B" w14:textId="77777777" w:rsidR="00692DC8" w:rsidRPr="00692DC8" w:rsidRDefault="00692DC8" w:rsidP="00D94B22">
      <w:pPr>
        <w:pStyle w:val="Ttulo4"/>
        <w:spacing w:after="240"/>
        <w:rPr>
          <w:rFonts w:eastAsia="Times New Roman"/>
        </w:rPr>
      </w:pPr>
      <w:bookmarkStart w:id="866" w:name="_Toc14344905"/>
      <w:bookmarkStart w:id="867" w:name="_Toc33601312"/>
      <w:bookmarkStart w:id="868" w:name="_Toc82769033"/>
      <w:bookmarkStart w:id="869" w:name="_Toc173245300"/>
      <w:r w:rsidRPr="00692DC8">
        <w:rPr>
          <w:rFonts w:eastAsia="Times New Roman"/>
        </w:rPr>
        <w:t>NOTA N° 5</w:t>
      </w:r>
      <w:bookmarkEnd w:id="866"/>
      <w:bookmarkEnd w:id="867"/>
      <w:bookmarkEnd w:id="868"/>
      <w:r w:rsidRPr="00692DC8">
        <w:rPr>
          <w:rFonts w:eastAsia="Times New Roman"/>
        </w:rPr>
        <w:t>9</w:t>
      </w:r>
      <w:bookmarkEnd w:id="869"/>
    </w:p>
    <w:p w14:paraId="7708F2A1" w14:textId="77777777" w:rsidR="00694299" w:rsidRDefault="00692DC8" w:rsidP="000C0991">
      <w:pPr>
        <w:spacing w:after="120" w:line="240" w:lineRule="auto"/>
        <w:rPr>
          <w:rFonts w:asciiTheme="minorHAnsi" w:hAnsiTheme="minorHAnsi"/>
          <w:sz w:val="22"/>
        </w:rPr>
      </w:pPr>
      <w:bookmarkStart w:id="870" w:name="_Toc14344906"/>
      <w:bookmarkStart w:id="871" w:name="_Toc33601313"/>
      <w:bookmarkStart w:id="872" w:name="_Toc82769034"/>
      <w:r w:rsidRPr="00692DC8">
        <w:rPr>
          <w:rFonts w:eastAsia="Times New Roman"/>
        </w:rPr>
        <w:t>Gastos en personal</w:t>
      </w:r>
      <w:bookmarkEnd w:id="870"/>
      <w:bookmarkEnd w:id="871"/>
      <w:bookmarkEnd w:id="872"/>
      <w:r w:rsidR="00E03810">
        <w:rPr>
          <w:rFonts w:eastAsiaTheme="majorEastAsia" w:cstheme="majorBidi"/>
          <w:iCs/>
          <w:lang w:val="es-ES"/>
        </w:rPr>
        <w:fldChar w:fldCharType="begin"/>
      </w:r>
      <w:r w:rsidR="00E03810">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NOTAS_POR_CUENTA!F347C1:F349C6 </w:instrText>
      </w:r>
      <w:r w:rsidR="00E03810">
        <w:rPr>
          <w:lang w:val="es-ES"/>
        </w:rPr>
        <w:instrText xml:space="preserve">\a \f 4 \h </w:instrText>
      </w:r>
      <w:r w:rsidR="00E03810">
        <w:rPr>
          <w:b/>
          <w:lang w:val="es-ES"/>
        </w:rPr>
        <w:fldChar w:fldCharType="separate"/>
      </w:r>
    </w:p>
    <w:p w14:paraId="581877CD" w14:textId="1210600B" w:rsidR="00C572A3" w:rsidRDefault="00E03810" w:rsidP="0079303B">
      <w:pPr>
        <w:spacing w:after="0" w:line="240" w:lineRule="auto"/>
        <w:rPr>
          <w:rFonts w:asciiTheme="minorHAnsi" w:hAnsiTheme="minorHAnsi"/>
          <w:sz w:val="22"/>
        </w:rPr>
      </w:pPr>
      <w:r>
        <w:rPr>
          <w:b/>
          <w:bCs/>
          <w:lang w:val="es-ES"/>
        </w:rPr>
        <w:fldChar w:fldCharType="end"/>
      </w:r>
      <w:r w:rsidR="000C0991">
        <w:rPr>
          <w:b/>
          <w:bCs/>
          <w:lang w:val="es-ES"/>
        </w:rPr>
        <w:fldChar w:fldCharType="begin"/>
      </w:r>
      <w:r w:rsidR="000C0991">
        <w:rPr>
          <w:b/>
          <w:bCs/>
          <w:lang w:val="es-ES"/>
        </w:rPr>
        <w:instrText xml:space="preserve"> LINK </w:instrText>
      </w:r>
      <w:r w:rsidR="0068177A">
        <w:rPr>
          <w:b/>
          <w:bCs/>
          <w:lang w:val="es-ES"/>
        </w:rPr>
        <w:instrText xml:space="preserve">Excel.SheetMacroEnabled.12 "C:\\Users\\arges\\OneDrive\\Desktop\\Municipalidades\\Buenos Aires\\Cierre Junio 2024\\Notas Contables\\15603_T02_2024_Anexo_Estado_Notas_Contables_Vinculadas.xlsm" NOTAS_POR_CUENTA!R347C1:R349C6 </w:instrText>
      </w:r>
      <w:r w:rsidR="000C0991">
        <w:rPr>
          <w:b/>
          <w:bCs/>
          <w:lang w:val="es-ES"/>
        </w:rPr>
        <w:instrText xml:space="preserve">\a \f 4 \h </w:instrText>
      </w:r>
      <w:r w:rsidR="000C0991">
        <w:rPr>
          <w:b/>
          <w:bCs/>
          <w:lang w:val="es-ES"/>
        </w:rPr>
        <w:fldChar w:fldCharType="separate"/>
      </w:r>
    </w:p>
    <w:tbl>
      <w:tblPr>
        <w:tblW w:w="10080" w:type="dxa"/>
        <w:tblLook w:val="04A0" w:firstRow="1" w:lastRow="0" w:firstColumn="1" w:lastColumn="0" w:noHBand="0" w:noVBand="1"/>
      </w:tblPr>
      <w:tblGrid>
        <w:gridCol w:w="717"/>
        <w:gridCol w:w="3339"/>
        <w:gridCol w:w="544"/>
        <w:gridCol w:w="2200"/>
        <w:gridCol w:w="2200"/>
        <w:gridCol w:w="1080"/>
      </w:tblGrid>
      <w:tr w:rsidR="00C572A3" w:rsidRPr="00C572A3" w14:paraId="53EB8D06" w14:textId="77777777" w:rsidTr="00C572A3">
        <w:trPr>
          <w:divId w:val="1386835763"/>
          <w:trHeight w:val="320"/>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F59DB55" w14:textId="48574C57" w:rsidR="00C572A3" w:rsidRPr="00C572A3" w:rsidRDefault="00C572A3" w:rsidP="00C572A3">
            <w:pP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540085A"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Descripción</w:t>
            </w:r>
          </w:p>
        </w:tc>
        <w:tc>
          <w:tcPr>
            <w:tcW w:w="5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48D0837"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Nota</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180DD34"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Actual </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7B2E8B6"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Anterior </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65965945"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Diferencia </w:t>
            </w:r>
          </w:p>
        </w:tc>
      </w:tr>
      <w:tr w:rsidR="00C572A3" w:rsidRPr="00C572A3" w14:paraId="52F8A739" w14:textId="77777777" w:rsidTr="00C572A3">
        <w:trPr>
          <w:divId w:val="1386835763"/>
          <w:trHeight w:val="320"/>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0E8DFAAC"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77D643A4"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14:paraId="71EDDC64"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4D2CE53C"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4E6300D8"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1080" w:type="dxa"/>
            <w:tcBorders>
              <w:top w:val="nil"/>
              <w:left w:val="nil"/>
              <w:bottom w:val="single" w:sz="8" w:space="0" w:color="auto"/>
              <w:right w:val="single" w:sz="8" w:space="0" w:color="auto"/>
            </w:tcBorders>
            <w:shd w:val="clear" w:color="000000" w:fill="366092"/>
            <w:noWrap/>
            <w:vAlign w:val="center"/>
            <w:hideMark/>
          </w:tcPr>
          <w:p w14:paraId="47243456" w14:textId="77777777" w:rsidR="00C572A3" w:rsidRPr="00C572A3" w:rsidRDefault="00C572A3" w:rsidP="00C572A3">
            <w:pPr>
              <w:spacing w:after="0" w:line="240" w:lineRule="auto"/>
              <w:jc w:val="center"/>
              <w:rPr>
                <w:rFonts w:eastAsia="Times New Roman" w:cs="Calibri"/>
                <w:color w:val="FFFFFF"/>
                <w:sz w:val="18"/>
                <w:szCs w:val="18"/>
                <w:lang w:val="en-US"/>
              </w:rPr>
            </w:pPr>
            <w:r w:rsidRPr="00C572A3">
              <w:rPr>
                <w:rFonts w:eastAsia="Times New Roman" w:cs="Calibri"/>
                <w:color w:val="FFFFFF"/>
                <w:sz w:val="18"/>
                <w:szCs w:val="18"/>
                <w:lang w:val="en-US"/>
              </w:rPr>
              <w:t>%</w:t>
            </w:r>
          </w:p>
        </w:tc>
      </w:tr>
      <w:tr w:rsidR="00C572A3" w:rsidRPr="00C572A3" w14:paraId="5CE21F6A" w14:textId="77777777" w:rsidTr="00C572A3">
        <w:trPr>
          <w:divId w:val="1386835763"/>
          <w:trHeight w:val="320"/>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283429B3" w14:textId="77777777" w:rsidR="00C572A3" w:rsidRPr="00C572A3" w:rsidRDefault="00C572A3" w:rsidP="00C572A3">
            <w:pPr>
              <w:spacing w:after="0" w:line="240" w:lineRule="auto"/>
              <w:jc w:val="left"/>
              <w:rPr>
                <w:rFonts w:eastAsia="Times New Roman" w:cs="Calibri"/>
                <w:b/>
                <w:bCs/>
                <w:color w:val="000000"/>
                <w:sz w:val="18"/>
                <w:szCs w:val="18"/>
                <w:lang w:val="en-US"/>
              </w:rPr>
            </w:pPr>
            <w:r w:rsidRPr="00C572A3">
              <w:rPr>
                <w:rFonts w:eastAsia="Times New Roman" w:cs="Calibri"/>
                <w:b/>
                <w:bCs/>
                <w:color w:val="000000"/>
                <w:sz w:val="18"/>
                <w:szCs w:val="18"/>
                <w:lang w:val="en-US"/>
              </w:rPr>
              <w:t>5.1.1.</w:t>
            </w:r>
          </w:p>
        </w:tc>
        <w:tc>
          <w:tcPr>
            <w:tcW w:w="3380" w:type="dxa"/>
            <w:tcBorders>
              <w:top w:val="nil"/>
              <w:left w:val="nil"/>
              <w:bottom w:val="single" w:sz="8" w:space="0" w:color="auto"/>
              <w:right w:val="single" w:sz="8" w:space="0" w:color="auto"/>
            </w:tcBorders>
            <w:shd w:val="clear" w:color="auto" w:fill="auto"/>
            <w:vAlign w:val="center"/>
            <w:hideMark/>
          </w:tcPr>
          <w:p w14:paraId="74307265" w14:textId="77777777" w:rsidR="00C572A3" w:rsidRPr="00C572A3" w:rsidRDefault="00C572A3" w:rsidP="00C572A3">
            <w:pPr>
              <w:spacing w:after="0" w:line="240" w:lineRule="auto"/>
              <w:rPr>
                <w:rFonts w:eastAsia="Times New Roman" w:cs="Calibri"/>
                <w:b/>
                <w:bCs/>
                <w:color w:val="000000"/>
                <w:sz w:val="18"/>
                <w:szCs w:val="18"/>
                <w:lang w:val="en-US"/>
              </w:rPr>
            </w:pPr>
            <w:r w:rsidRPr="00C572A3">
              <w:rPr>
                <w:rFonts w:eastAsia="Times New Roman" w:cs="Calibri"/>
                <w:b/>
                <w:bCs/>
                <w:color w:val="000000"/>
                <w:sz w:val="18"/>
                <w:szCs w:val="18"/>
                <w:lang w:val="en-US"/>
              </w:rPr>
              <w:t>Gastos en personal</w:t>
            </w:r>
          </w:p>
        </w:tc>
        <w:tc>
          <w:tcPr>
            <w:tcW w:w="520" w:type="dxa"/>
            <w:tcBorders>
              <w:top w:val="nil"/>
              <w:left w:val="nil"/>
              <w:bottom w:val="single" w:sz="8" w:space="0" w:color="auto"/>
              <w:right w:val="single" w:sz="8" w:space="0" w:color="auto"/>
            </w:tcBorders>
            <w:shd w:val="clear" w:color="auto" w:fill="auto"/>
            <w:noWrap/>
            <w:vAlign w:val="center"/>
            <w:hideMark/>
          </w:tcPr>
          <w:p w14:paraId="01A179A4"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59</w:t>
            </w:r>
          </w:p>
        </w:tc>
        <w:tc>
          <w:tcPr>
            <w:tcW w:w="2200" w:type="dxa"/>
            <w:tcBorders>
              <w:top w:val="nil"/>
              <w:left w:val="nil"/>
              <w:bottom w:val="single" w:sz="8" w:space="0" w:color="auto"/>
              <w:right w:val="single" w:sz="8" w:space="0" w:color="auto"/>
            </w:tcBorders>
            <w:shd w:val="clear" w:color="auto" w:fill="auto"/>
            <w:noWrap/>
            <w:vAlign w:val="center"/>
            <w:hideMark/>
          </w:tcPr>
          <w:p w14:paraId="2AC44040"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753 404,45 </w:t>
            </w:r>
          </w:p>
        </w:tc>
        <w:tc>
          <w:tcPr>
            <w:tcW w:w="2200" w:type="dxa"/>
            <w:tcBorders>
              <w:top w:val="nil"/>
              <w:left w:val="nil"/>
              <w:bottom w:val="single" w:sz="8" w:space="0" w:color="auto"/>
              <w:right w:val="single" w:sz="8" w:space="0" w:color="auto"/>
            </w:tcBorders>
            <w:shd w:val="clear" w:color="auto" w:fill="auto"/>
            <w:noWrap/>
            <w:vAlign w:val="center"/>
            <w:hideMark/>
          </w:tcPr>
          <w:p w14:paraId="45E1AF84"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675 149,92 </w:t>
            </w:r>
          </w:p>
        </w:tc>
        <w:tc>
          <w:tcPr>
            <w:tcW w:w="1080" w:type="dxa"/>
            <w:tcBorders>
              <w:top w:val="nil"/>
              <w:left w:val="nil"/>
              <w:bottom w:val="single" w:sz="8" w:space="0" w:color="auto"/>
              <w:right w:val="single" w:sz="8" w:space="0" w:color="auto"/>
            </w:tcBorders>
            <w:shd w:val="clear" w:color="auto" w:fill="auto"/>
            <w:noWrap/>
            <w:vAlign w:val="center"/>
            <w:hideMark/>
          </w:tcPr>
          <w:p w14:paraId="7E173F3E"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11,59%</w:t>
            </w:r>
          </w:p>
        </w:tc>
      </w:tr>
    </w:tbl>
    <w:p w14:paraId="5C50F4F9" w14:textId="77777777" w:rsidR="0079303B" w:rsidRDefault="000C0991" w:rsidP="00BC7612">
      <w:pPr>
        <w:spacing w:after="0" w:line="240" w:lineRule="auto"/>
        <w:rPr>
          <w:b/>
          <w:bCs/>
          <w:lang w:val="es-ES"/>
        </w:rPr>
      </w:pPr>
      <w:r>
        <w:rPr>
          <w:b/>
          <w:bCs/>
          <w:lang w:val="es-ES"/>
        </w:rPr>
        <w:fldChar w:fldCharType="end"/>
      </w:r>
    </w:p>
    <w:p w14:paraId="77DD43D0" w14:textId="1F09F6E2" w:rsidR="00694299" w:rsidRPr="00694299" w:rsidRDefault="00692DC8" w:rsidP="00BC7612">
      <w:pPr>
        <w:spacing w:after="0" w:line="240" w:lineRule="auto"/>
        <w:rPr>
          <w:b/>
          <w:bCs/>
          <w:lang w:val="es-ES"/>
        </w:rPr>
      </w:pPr>
      <w:r w:rsidRPr="00692DC8">
        <w:rPr>
          <w:b/>
          <w:bCs/>
          <w:lang w:val="es-ES"/>
        </w:rPr>
        <w:t>Revelación</w:t>
      </w:r>
      <w:r w:rsidRPr="00692DC8">
        <w:rPr>
          <w:lang w:val="es-ES"/>
        </w:rPr>
        <w:t xml:space="preserve">: </w:t>
      </w:r>
      <w:r w:rsidR="00E03810">
        <w:rPr>
          <w:rFonts w:eastAsia="Times New Roman" w:cs="Calibri"/>
          <w:color w:val="000000"/>
          <w:lang w:eastAsia="es-CR"/>
        </w:rPr>
        <w:fldChar w:fldCharType="begin"/>
      </w:r>
      <w:r w:rsidR="00E03810">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NOTAS_POR_CUENTA!F349C8 </w:instrText>
      </w:r>
      <w:r w:rsidR="00E03810">
        <w:rPr>
          <w:rFonts w:eastAsia="Times New Roman" w:cs="Calibri"/>
          <w:color w:val="000000"/>
          <w:lang w:eastAsia="es-CR"/>
        </w:rPr>
        <w:instrText xml:space="preserve">\a \f 5 \h  \* MERGEFORMAT </w:instrText>
      </w:r>
      <w:r w:rsidR="00E03810">
        <w:rPr>
          <w:rFonts w:eastAsia="Times New Roman" w:cs="Calibri"/>
          <w:color w:val="000000"/>
          <w:lang w:eastAsia="es-CR"/>
        </w:rPr>
        <w:fldChar w:fldCharType="separate"/>
      </w:r>
    </w:p>
    <w:p w14:paraId="44E7A378" w14:textId="77777777" w:rsidR="0079303B" w:rsidRDefault="0079303B" w:rsidP="00BC7612">
      <w:pPr>
        <w:spacing w:after="0" w:line="240" w:lineRule="auto"/>
        <w:rPr>
          <w:rFonts w:eastAsia="Times New Roman" w:cs="Calibri"/>
          <w:color w:val="000000"/>
          <w:lang w:eastAsia="es-CR"/>
        </w:rPr>
      </w:pPr>
    </w:p>
    <w:p w14:paraId="6D3AD05F" w14:textId="12EB399C" w:rsidR="00694299" w:rsidRDefault="00694299" w:rsidP="00BC7612">
      <w:pPr>
        <w:spacing w:after="0" w:line="240" w:lineRule="auto"/>
        <w:rPr>
          <w:rFonts w:eastAsia="Times New Roman" w:cs="Calibri"/>
          <w:color w:val="000000"/>
          <w:lang w:eastAsia="es-CR"/>
        </w:rPr>
      </w:pPr>
      <w:r w:rsidRPr="00694299">
        <w:rPr>
          <w:rFonts w:eastAsia="Times New Roman" w:cs="Calibri"/>
          <w:color w:val="000000"/>
          <w:lang w:eastAsia="es-CR"/>
        </w:rPr>
        <w:t xml:space="preserve">La cuenta Gastos en personal, representa el </w:t>
      </w:r>
      <w:r w:rsidR="0079303B">
        <w:rPr>
          <w:rFonts w:eastAsia="Times New Roman" w:cs="Calibri"/>
          <w:color w:val="000000"/>
          <w:lang w:eastAsia="es-CR"/>
        </w:rPr>
        <w:t>27,36</w:t>
      </w:r>
      <w:r w:rsidRPr="00694299">
        <w:rPr>
          <w:rFonts w:eastAsia="Times New Roman" w:cs="Calibri"/>
          <w:color w:val="000000"/>
          <w:lang w:eastAsia="es-CR"/>
        </w:rPr>
        <w:t xml:space="preserve">% del total del Gastos, que comparado al periodo anterior genera una variación absoluta de </w:t>
      </w:r>
      <w:r w:rsidR="0079303B" w:rsidRPr="0079303B">
        <w:rPr>
          <w:rFonts w:eastAsia="Times New Roman" w:cs="Calibri"/>
          <w:color w:val="000000"/>
          <w:lang w:eastAsia="es-CR"/>
        </w:rPr>
        <w:t>78 254,54</w:t>
      </w:r>
      <w:r w:rsidRPr="00694299">
        <w:rPr>
          <w:rFonts w:eastAsia="Times New Roman" w:cs="Calibri"/>
          <w:color w:val="000000"/>
          <w:lang w:eastAsia="es-CR"/>
        </w:rPr>
        <w:t xml:space="preserve"> que corresponde a un Disminución del </w:t>
      </w:r>
      <w:r w:rsidR="0079303B">
        <w:rPr>
          <w:rFonts w:eastAsia="Times New Roman" w:cs="Calibri"/>
          <w:color w:val="000000"/>
          <w:lang w:eastAsia="es-CR"/>
        </w:rPr>
        <w:t>11</w:t>
      </w:r>
      <w:r w:rsidRPr="00694299">
        <w:rPr>
          <w:rFonts w:eastAsia="Times New Roman" w:cs="Calibri"/>
          <w:color w:val="000000"/>
          <w:lang w:eastAsia="es-CR"/>
        </w:rPr>
        <w:t>,</w:t>
      </w:r>
      <w:r w:rsidR="0079303B">
        <w:rPr>
          <w:rFonts w:eastAsia="Times New Roman" w:cs="Calibri"/>
          <w:color w:val="000000"/>
          <w:lang w:eastAsia="es-CR"/>
        </w:rPr>
        <w:t>59</w:t>
      </w:r>
      <w:r w:rsidRPr="00694299">
        <w:rPr>
          <w:rFonts w:eastAsia="Times New Roman" w:cs="Calibri"/>
          <w:color w:val="000000"/>
          <w:lang w:eastAsia="es-CR"/>
        </w:rPr>
        <w:t>% de recursos disponibles.</w:t>
      </w:r>
    </w:p>
    <w:p w14:paraId="5405A32F" w14:textId="77777777" w:rsidR="0079303B" w:rsidRPr="00694299" w:rsidRDefault="0079303B" w:rsidP="00BC7612">
      <w:pPr>
        <w:spacing w:after="0" w:line="240" w:lineRule="auto"/>
        <w:rPr>
          <w:rFonts w:eastAsia="Times New Roman" w:cs="Calibri"/>
          <w:color w:val="000000"/>
          <w:lang w:eastAsia="es-CR"/>
        </w:rPr>
      </w:pPr>
    </w:p>
    <w:p w14:paraId="7F607B62" w14:textId="2E09FFFC" w:rsidR="00692DC8" w:rsidRDefault="00E03810" w:rsidP="0079303B">
      <w:pPr>
        <w:spacing w:line="240" w:lineRule="auto"/>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36E23AC7" w14:textId="25B02551" w:rsidR="00D07FD1" w:rsidRDefault="00D07FD1" w:rsidP="00D07FD1">
      <w:pPr>
        <w:spacing w:after="0" w:line="240" w:lineRule="auto"/>
        <w:rPr>
          <w:rFonts w:cs="Calibri"/>
          <w:color w:val="000000"/>
          <w:lang w:eastAsia="es-CR"/>
        </w:rPr>
      </w:pPr>
      <w:r w:rsidRPr="00A91674">
        <w:t xml:space="preserve">El sado de la cuenta </w:t>
      </w:r>
      <w:r w:rsidRPr="00A91674">
        <w:rPr>
          <w:rFonts w:cs="Calibri"/>
          <w:color w:val="000000"/>
          <w:lang w:eastAsia="es-CR"/>
        </w:rPr>
        <w:t>Gastos en personal est</w:t>
      </w:r>
      <w:r>
        <w:rPr>
          <w:rFonts w:cs="Calibri"/>
          <w:color w:val="000000"/>
          <w:lang w:eastAsia="es-CR"/>
        </w:rPr>
        <w:t>á</w:t>
      </w:r>
      <w:r w:rsidRPr="00A91674">
        <w:rPr>
          <w:rFonts w:cs="Calibri"/>
          <w:color w:val="000000"/>
          <w:lang w:eastAsia="es-CR"/>
        </w:rPr>
        <w:t xml:space="preserve"> compuesto de la siguiente manera:</w:t>
      </w:r>
    </w:p>
    <w:p w14:paraId="0F899B7F" w14:textId="77777777" w:rsidR="00D07FD1" w:rsidRDefault="00D07FD1" w:rsidP="00D07FD1">
      <w:pPr>
        <w:spacing w:after="0" w:line="240" w:lineRule="auto"/>
        <w:rPr>
          <w:rFonts w:cs="Calibri"/>
          <w:color w:val="000000"/>
          <w:lang w:eastAsia="es-CR"/>
        </w:rPr>
      </w:pPr>
    </w:p>
    <w:tbl>
      <w:tblPr>
        <w:tblW w:w="9163" w:type="dxa"/>
        <w:tblLayout w:type="fixed"/>
        <w:tblLook w:val="04A0" w:firstRow="1" w:lastRow="0" w:firstColumn="1" w:lastColumn="0" w:noHBand="0" w:noVBand="1"/>
      </w:tblPr>
      <w:tblGrid>
        <w:gridCol w:w="855"/>
        <w:gridCol w:w="3671"/>
        <w:gridCol w:w="1098"/>
        <w:gridCol w:w="1166"/>
        <w:gridCol w:w="1132"/>
        <w:gridCol w:w="1005"/>
        <w:gridCol w:w="236"/>
      </w:tblGrid>
      <w:tr w:rsidR="009F352D" w:rsidRPr="009F352D" w14:paraId="7CB20D4E" w14:textId="77777777" w:rsidTr="00481D7C">
        <w:trPr>
          <w:gridAfter w:val="1"/>
          <w:wAfter w:w="236" w:type="dxa"/>
          <w:trHeight w:val="457"/>
        </w:trPr>
        <w:tc>
          <w:tcPr>
            <w:tcW w:w="855" w:type="dxa"/>
            <w:vMerge w:val="restart"/>
            <w:tcBorders>
              <w:top w:val="single" w:sz="8" w:space="0" w:color="auto"/>
              <w:left w:val="single" w:sz="8" w:space="0" w:color="auto"/>
              <w:bottom w:val="nil"/>
              <w:right w:val="single" w:sz="8" w:space="0" w:color="auto"/>
            </w:tcBorders>
            <w:shd w:val="clear" w:color="000000" w:fill="203764"/>
            <w:noWrap/>
            <w:vAlign w:val="center"/>
            <w:hideMark/>
          </w:tcPr>
          <w:p w14:paraId="07490998" w14:textId="77777777" w:rsidR="009F352D" w:rsidRPr="009F352D" w:rsidRDefault="009F352D" w:rsidP="009F352D">
            <w:pPr>
              <w:spacing w:after="0" w:line="240" w:lineRule="auto"/>
              <w:jc w:val="center"/>
              <w:rPr>
                <w:rFonts w:eastAsia="Times New Roman" w:cs="Calibri"/>
                <w:b/>
                <w:bCs/>
                <w:color w:val="FFFFFF"/>
                <w:sz w:val="20"/>
                <w:szCs w:val="20"/>
                <w:lang w:val="en-US"/>
              </w:rPr>
            </w:pPr>
            <w:r w:rsidRPr="009F352D">
              <w:rPr>
                <w:rFonts w:eastAsia="Times New Roman" w:cs="Calibri"/>
                <w:b/>
                <w:bCs/>
                <w:color w:val="FFFFFF"/>
                <w:sz w:val="20"/>
                <w:szCs w:val="20"/>
                <w:lang w:val="en-US"/>
              </w:rPr>
              <w:t>Cuenta</w:t>
            </w:r>
          </w:p>
        </w:tc>
        <w:tc>
          <w:tcPr>
            <w:tcW w:w="3671" w:type="dxa"/>
            <w:vMerge w:val="restart"/>
            <w:tcBorders>
              <w:top w:val="single" w:sz="8" w:space="0" w:color="auto"/>
              <w:left w:val="single" w:sz="8" w:space="0" w:color="auto"/>
              <w:bottom w:val="nil"/>
              <w:right w:val="single" w:sz="8" w:space="0" w:color="auto"/>
            </w:tcBorders>
            <w:shd w:val="clear" w:color="000000" w:fill="203764"/>
            <w:vAlign w:val="center"/>
            <w:hideMark/>
          </w:tcPr>
          <w:p w14:paraId="1801C5B1" w14:textId="77777777" w:rsidR="009F352D" w:rsidRPr="009F352D" w:rsidRDefault="009F352D" w:rsidP="009F352D">
            <w:pPr>
              <w:spacing w:after="0" w:line="240" w:lineRule="auto"/>
              <w:jc w:val="center"/>
              <w:rPr>
                <w:rFonts w:eastAsia="Times New Roman" w:cs="Calibri"/>
                <w:b/>
                <w:bCs/>
                <w:color w:val="FFFFFF"/>
                <w:sz w:val="20"/>
                <w:szCs w:val="20"/>
                <w:lang w:val="en-US"/>
              </w:rPr>
            </w:pPr>
            <w:r w:rsidRPr="009F352D">
              <w:rPr>
                <w:rFonts w:eastAsia="Times New Roman" w:cs="Calibri"/>
                <w:b/>
                <w:bCs/>
                <w:color w:val="FFFFFF"/>
                <w:sz w:val="20"/>
                <w:szCs w:val="20"/>
                <w:lang w:val="en-US"/>
              </w:rPr>
              <w:t>Descripción</w:t>
            </w:r>
          </w:p>
        </w:tc>
        <w:tc>
          <w:tcPr>
            <w:tcW w:w="1098" w:type="dxa"/>
            <w:vMerge w:val="restart"/>
            <w:tcBorders>
              <w:top w:val="single" w:sz="8" w:space="0" w:color="auto"/>
              <w:left w:val="single" w:sz="8" w:space="0" w:color="auto"/>
              <w:bottom w:val="nil"/>
              <w:right w:val="single" w:sz="8" w:space="0" w:color="auto"/>
            </w:tcBorders>
            <w:shd w:val="clear" w:color="000000" w:fill="203764"/>
            <w:noWrap/>
            <w:vAlign w:val="center"/>
            <w:hideMark/>
          </w:tcPr>
          <w:p w14:paraId="1709D6FE" w14:textId="77777777" w:rsidR="009F352D" w:rsidRPr="009F352D" w:rsidRDefault="009F352D" w:rsidP="009F352D">
            <w:pPr>
              <w:spacing w:after="0" w:line="240" w:lineRule="auto"/>
              <w:jc w:val="center"/>
              <w:rPr>
                <w:rFonts w:eastAsia="Times New Roman" w:cs="Calibri"/>
                <w:color w:val="FFFFFF"/>
                <w:sz w:val="20"/>
                <w:szCs w:val="20"/>
                <w:lang w:val="en-US"/>
              </w:rPr>
            </w:pPr>
            <w:r w:rsidRPr="009F352D">
              <w:rPr>
                <w:rFonts w:eastAsia="Times New Roman" w:cs="Calibri"/>
                <w:color w:val="FFFFFF"/>
                <w:sz w:val="20"/>
                <w:szCs w:val="20"/>
                <w:lang w:val="en-US"/>
              </w:rPr>
              <w:t>Saldo Actual</w:t>
            </w:r>
          </w:p>
        </w:tc>
        <w:tc>
          <w:tcPr>
            <w:tcW w:w="1166" w:type="dxa"/>
            <w:vMerge w:val="restart"/>
            <w:tcBorders>
              <w:top w:val="single" w:sz="8" w:space="0" w:color="auto"/>
              <w:left w:val="single" w:sz="8" w:space="0" w:color="auto"/>
              <w:bottom w:val="nil"/>
              <w:right w:val="single" w:sz="8" w:space="0" w:color="auto"/>
            </w:tcBorders>
            <w:shd w:val="clear" w:color="000000" w:fill="203764"/>
            <w:vAlign w:val="center"/>
            <w:hideMark/>
          </w:tcPr>
          <w:p w14:paraId="6F8990E2" w14:textId="77777777" w:rsidR="009F352D" w:rsidRPr="009F352D" w:rsidRDefault="009F352D" w:rsidP="009F352D">
            <w:pPr>
              <w:spacing w:after="0" w:line="240" w:lineRule="auto"/>
              <w:jc w:val="center"/>
              <w:rPr>
                <w:rFonts w:eastAsia="Times New Roman" w:cs="Calibri"/>
                <w:color w:val="FFFFFF"/>
                <w:sz w:val="20"/>
                <w:szCs w:val="20"/>
                <w:lang w:val="en-US"/>
              </w:rPr>
            </w:pPr>
            <w:r w:rsidRPr="009F352D">
              <w:rPr>
                <w:rFonts w:eastAsia="Times New Roman" w:cs="Calibri"/>
                <w:color w:val="FFFFFF"/>
                <w:sz w:val="20"/>
                <w:szCs w:val="20"/>
                <w:lang w:val="en-US"/>
              </w:rPr>
              <w:t>Saldo Anterior</w:t>
            </w:r>
          </w:p>
        </w:tc>
        <w:tc>
          <w:tcPr>
            <w:tcW w:w="1132" w:type="dxa"/>
            <w:vMerge w:val="restart"/>
            <w:tcBorders>
              <w:top w:val="single" w:sz="8" w:space="0" w:color="auto"/>
              <w:left w:val="single" w:sz="8" w:space="0" w:color="auto"/>
              <w:bottom w:val="nil"/>
              <w:right w:val="single" w:sz="8" w:space="0" w:color="auto"/>
            </w:tcBorders>
            <w:shd w:val="clear" w:color="000000" w:fill="203764"/>
            <w:vAlign w:val="center"/>
            <w:hideMark/>
          </w:tcPr>
          <w:p w14:paraId="0B881A4D" w14:textId="77777777" w:rsidR="009F352D" w:rsidRPr="009F352D" w:rsidRDefault="009F352D" w:rsidP="009F352D">
            <w:pPr>
              <w:spacing w:after="0" w:line="240" w:lineRule="auto"/>
              <w:jc w:val="center"/>
              <w:rPr>
                <w:rFonts w:eastAsia="Times New Roman" w:cs="Calibri"/>
                <w:color w:val="FFFFFF"/>
                <w:sz w:val="20"/>
                <w:szCs w:val="20"/>
                <w:lang w:val="en-US"/>
              </w:rPr>
            </w:pPr>
            <w:r w:rsidRPr="009F352D">
              <w:rPr>
                <w:rFonts w:eastAsia="Times New Roman" w:cs="Calibri"/>
                <w:color w:val="FFFFFF"/>
                <w:sz w:val="20"/>
                <w:szCs w:val="20"/>
                <w:lang w:val="en-US"/>
              </w:rPr>
              <w:t>Diferencia Absoluta</w:t>
            </w:r>
          </w:p>
        </w:tc>
        <w:tc>
          <w:tcPr>
            <w:tcW w:w="1005" w:type="dxa"/>
            <w:vMerge w:val="restart"/>
            <w:tcBorders>
              <w:top w:val="single" w:sz="8" w:space="0" w:color="auto"/>
              <w:left w:val="single" w:sz="8" w:space="0" w:color="auto"/>
              <w:bottom w:val="nil"/>
              <w:right w:val="single" w:sz="8" w:space="0" w:color="auto"/>
            </w:tcBorders>
            <w:shd w:val="clear" w:color="000000" w:fill="203764"/>
            <w:vAlign w:val="center"/>
            <w:hideMark/>
          </w:tcPr>
          <w:p w14:paraId="7F65BA89" w14:textId="77777777" w:rsidR="009F352D" w:rsidRPr="009F352D" w:rsidRDefault="009F352D" w:rsidP="009F352D">
            <w:pPr>
              <w:spacing w:after="0" w:line="240" w:lineRule="auto"/>
              <w:jc w:val="center"/>
              <w:rPr>
                <w:rFonts w:eastAsia="Times New Roman" w:cs="Calibri"/>
                <w:color w:val="FFFFFF"/>
                <w:sz w:val="20"/>
                <w:szCs w:val="20"/>
                <w:lang w:val="en-US"/>
              </w:rPr>
            </w:pPr>
            <w:r w:rsidRPr="009F352D">
              <w:rPr>
                <w:rFonts w:eastAsia="Times New Roman" w:cs="Calibri"/>
                <w:color w:val="FFFFFF"/>
                <w:sz w:val="20"/>
                <w:szCs w:val="20"/>
                <w:lang w:val="en-US"/>
              </w:rPr>
              <w:t>Diferencia %</w:t>
            </w:r>
          </w:p>
        </w:tc>
      </w:tr>
      <w:tr w:rsidR="009F352D" w:rsidRPr="009F352D" w14:paraId="4A689830" w14:textId="77777777" w:rsidTr="00481D7C">
        <w:trPr>
          <w:trHeight w:val="300"/>
        </w:trPr>
        <w:tc>
          <w:tcPr>
            <w:tcW w:w="855" w:type="dxa"/>
            <w:vMerge/>
            <w:tcBorders>
              <w:top w:val="single" w:sz="8" w:space="0" w:color="auto"/>
              <w:left w:val="single" w:sz="8" w:space="0" w:color="auto"/>
              <w:bottom w:val="nil"/>
              <w:right w:val="single" w:sz="8" w:space="0" w:color="auto"/>
            </w:tcBorders>
            <w:vAlign w:val="center"/>
            <w:hideMark/>
          </w:tcPr>
          <w:p w14:paraId="55B56D22" w14:textId="77777777" w:rsidR="009F352D" w:rsidRPr="009F352D" w:rsidRDefault="009F352D" w:rsidP="009F352D">
            <w:pPr>
              <w:spacing w:after="0" w:line="240" w:lineRule="auto"/>
              <w:jc w:val="left"/>
              <w:rPr>
                <w:rFonts w:eastAsia="Times New Roman" w:cs="Calibri"/>
                <w:b/>
                <w:bCs/>
                <w:color w:val="FFFFFF"/>
                <w:sz w:val="20"/>
                <w:szCs w:val="20"/>
                <w:lang w:val="en-US"/>
              </w:rPr>
            </w:pPr>
          </w:p>
        </w:tc>
        <w:tc>
          <w:tcPr>
            <w:tcW w:w="3671" w:type="dxa"/>
            <w:vMerge/>
            <w:tcBorders>
              <w:top w:val="single" w:sz="8" w:space="0" w:color="auto"/>
              <w:left w:val="single" w:sz="8" w:space="0" w:color="auto"/>
              <w:bottom w:val="nil"/>
              <w:right w:val="single" w:sz="8" w:space="0" w:color="auto"/>
            </w:tcBorders>
            <w:vAlign w:val="center"/>
            <w:hideMark/>
          </w:tcPr>
          <w:p w14:paraId="2C289EAC" w14:textId="77777777" w:rsidR="009F352D" w:rsidRPr="009F352D" w:rsidRDefault="009F352D" w:rsidP="009F352D">
            <w:pPr>
              <w:spacing w:after="0" w:line="240" w:lineRule="auto"/>
              <w:jc w:val="left"/>
              <w:rPr>
                <w:rFonts w:eastAsia="Times New Roman" w:cs="Calibri"/>
                <w:b/>
                <w:bCs/>
                <w:color w:val="FFFFFF"/>
                <w:sz w:val="20"/>
                <w:szCs w:val="20"/>
                <w:lang w:val="en-US"/>
              </w:rPr>
            </w:pPr>
          </w:p>
        </w:tc>
        <w:tc>
          <w:tcPr>
            <w:tcW w:w="1098" w:type="dxa"/>
            <w:vMerge/>
            <w:tcBorders>
              <w:top w:val="single" w:sz="8" w:space="0" w:color="auto"/>
              <w:left w:val="single" w:sz="8" w:space="0" w:color="auto"/>
              <w:bottom w:val="nil"/>
              <w:right w:val="single" w:sz="8" w:space="0" w:color="auto"/>
            </w:tcBorders>
            <w:vAlign w:val="center"/>
            <w:hideMark/>
          </w:tcPr>
          <w:p w14:paraId="2D5C06D9" w14:textId="77777777" w:rsidR="009F352D" w:rsidRPr="009F352D" w:rsidRDefault="009F352D" w:rsidP="009F352D">
            <w:pPr>
              <w:spacing w:after="0" w:line="240" w:lineRule="auto"/>
              <w:jc w:val="left"/>
              <w:rPr>
                <w:rFonts w:eastAsia="Times New Roman" w:cs="Calibri"/>
                <w:color w:val="FFFFFF"/>
                <w:sz w:val="20"/>
                <w:szCs w:val="20"/>
                <w:lang w:val="en-US"/>
              </w:rPr>
            </w:pPr>
          </w:p>
        </w:tc>
        <w:tc>
          <w:tcPr>
            <w:tcW w:w="1166" w:type="dxa"/>
            <w:vMerge/>
            <w:tcBorders>
              <w:top w:val="single" w:sz="8" w:space="0" w:color="auto"/>
              <w:left w:val="single" w:sz="8" w:space="0" w:color="auto"/>
              <w:bottom w:val="nil"/>
              <w:right w:val="single" w:sz="8" w:space="0" w:color="auto"/>
            </w:tcBorders>
            <w:vAlign w:val="center"/>
            <w:hideMark/>
          </w:tcPr>
          <w:p w14:paraId="3E7F8EEB" w14:textId="77777777" w:rsidR="009F352D" w:rsidRPr="009F352D" w:rsidRDefault="009F352D" w:rsidP="009F352D">
            <w:pPr>
              <w:spacing w:after="0" w:line="240" w:lineRule="auto"/>
              <w:jc w:val="left"/>
              <w:rPr>
                <w:rFonts w:eastAsia="Times New Roman" w:cs="Calibri"/>
                <w:color w:val="FFFFFF"/>
                <w:sz w:val="20"/>
                <w:szCs w:val="20"/>
                <w:lang w:val="en-US"/>
              </w:rPr>
            </w:pPr>
          </w:p>
        </w:tc>
        <w:tc>
          <w:tcPr>
            <w:tcW w:w="1132" w:type="dxa"/>
            <w:vMerge/>
            <w:tcBorders>
              <w:top w:val="single" w:sz="8" w:space="0" w:color="auto"/>
              <w:left w:val="single" w:sz="8" w:space="0" w:color="auto"/>
              <w:bottom w:val="nil"/>
              <w:right w:val="single" w:sz="8" w:space="0" w:color="auto"/>
            </w:tcBorders>
            <w:vAlign w:val="center"/>
            <w:hideMark/>
          </w:tcPr>
          <w:p w14:paraId="3E9AB047" w14:textId="77777777" w:rsidR="009F352D" w:rsidRPr="009F352D" w:rsidRDefault="009F352D" w:rsidP="009F352D">
            <w:pPr>
              <w:spacing w:after="0" w:line="240" w:lineRule="auto"/>
              <w:jc w:val="left"/>
              <w:rPr>
                <w:rFonts w:eastAsia="Times New Roman" w:cs="Calibri"/>
                <w:color w:val="FFFFFF"/>
                <w:sz w:val="20"/>
                <w:szCs w:val="20"/>
                <w:lang w:val="en-US"/>
              </w:rPr>
            </w:pPr>
          </w:p>
        </w:tc>
        <w:tc>
          <w:tcPr>
            <w:tcW w:w="1005" w:type="dxa"/>
            <w:vMerge/>
            <w:tcBorders>
              <w:top w:val="single" w:sz="8" w:space="0" w:color="auto"/>
              <w:left w:val="single" w:sz="8" w:space="0" w:color="auto"/>
              <w:bottom w:val="nil"/>
              <w:right w:val="single" w:sz="8" w:space="0" w:color="auto"/>
            </w:tcBorders>
            <w:vAlign w:val="center"/>
            <w:hideMark/>
          </w:tcPr>
          <w:p w14:paraId="4F6964A4" w14:textId="77777777" w:rsidR="009F352D" w:rsidRPr="009F352D" w:rsidRDefault="009F352D" w:rsidP="009F352D">
            <w:pPr>
              <w:spacing w:after="0" w:line="240" w:lineRule="auto"/>
              <w:jc w:val="left"/>
              <w:rPr>
                <w:rFonts w:eastAsia="Times New Roman" w:cs="Calibri"/>
                <w:color w:val="FFFFFF"/>
                <w:sz w:val="20"/>
                <w:szCs w:val="20"/>
                <w:lang w:val="en-US"/>
              </w:rPr>
            </w:pPr>
          </w:p>
        </w:tc>
        <w:tc>
          <w:tcPr>
            <w:tcW w:w="236" w:type="dxa"/>
            <w:tcBorders>
              <w:top w:val="nil"/>
              <w:left w:val="nil"/>
              <w:bottom w:val="nil"/>
              <w:right w:val="nil"/>
            </w:tcBorders>
            <w:shd w:val="clear" w:color="auto" w:fill="auto"/>
            <w:noWrap/>
            <w:vAlign w:val="bottom"/>
            <w:hideMark/>
          </w:tcPr>
          <w:p w14:paraId="1946C10C" w14:textId="77777777" w:rsidR="009F352D" w:rsidRPr="009F352D" w:rsidRDefault="009F352D" w:rsidP="009F352D">
            <w:pPr>
              <w:spacing w:after="0" w:line="240" w:lineRule="auto"/>
              <w:jc w:val="center"/>
              <w:rPr>
                <w:rFonts w:eastAsia="Times New Roman" w:cs="Calibri"/>
                <w:color w:val="FFFFFF"/>
                <w:sz w:val="20"/>
                <w:szCs w:val="20"/>
                <w:lang w:val="en-US"/>
              </w:rPr>
            </w:pPr>
          </w:p>
        </w:tc>
      </w:tr>
      <w:tr w:rsidR="009F352D" w:rsidRPr="009F352D" w14:paraId="71E1B1EF" w14:textId="77777777" w:rsidTr="00481D7C">
        <w:trPr>
          <w:trHeight w:val="290"/>
        </w:trPr>
        <w:tc>
          <w:tcPr>
            <w:tcW w:w="855" w:type="dxa"/>
            <w:tcBorders>
              <w:top w:val="single" w:sz="8" w:space="0" w:color="auto"/>
              <w:left w:val="single" w:sz="8" w:space="0" w:color="auto"/>
              <w:bottom w:val="nil"/>
              <w:right w:val="single" w:sz="8" w:space="0" w:color="auto"/>
            </w:tcBorders>
            <w:shd w:val="clear" w:color="auto" w:fill="auto"/>
            <w:noWrap/>
            <w:vAlign w:val="center"/>
            <w:hideMark/>
          </w:tcPr>
          <w:p w14:paraId="29A3576F" w14:textId="77777777" w:rsidR="009F352D" w:rsidRPr="009F352D" w:rsidRDefault="009F352D" w:rsidP="009F352D">
            <w:pPr>
              <w:spacing w:after="0" w:line="240" w:lineRule="auto"/>
              <w:rPr>
                <w:rFonts w:eastAsia="Times New Roman" w:cs="Calibri"/>
                <w:color w:val="000000"/>
                <w:sz w:val="20"/>
                <w:szCs w:val="20"/>
                <w:lang w:val="en-US"/>
              </w:rPr>
            </w:pPr>
            <w:r w:rsidRPr="009F352D">
              <w:rPr>
                <w:rFonts w:eastAsia="Times New Roman" w:cs="Calibri"/>
                <w:color w:val="000000"/>
                <w:sz w:val="20"/>
                <w:szCs w:val="20"/>
                <w:lang w:val="en-US"/>
              </w:rPr>
              <w:t>5.1.1.01.</w:t>
            </w:r>
          </w:p>
        </w:tc>
        <w:tc>
          <w:tcPr>
            <w:tcW w:w="3671" w:type="dxa"/>
            <w:tcBorders>
              <w:top w:val="single" w:sz="8" w:space="0" w:color="auto"/>
              <w:left w:val="nil"/>
              <w:bottom w:val="nil"/>
              <w:right w:val="single" w:sz="8" w:space="0" w:color="auto"/>
            </w:tcBorders>
            <w:shd w:val="clear" w:color="auto" w:fill="auto"/>
            <w:vAlign w:val="center"/>
            <w:hideMark/>
          </w:tcPr>
          <w:p w14:paraId="7A5E09AC" w14:textId="77777777" w:rsidR="009F352D" w:rsidRPr="009F352D" w:rsidRDefault="009F352D" w:rsidP="009F352D">
            <w:pPr>
              <w:spacing w:after="0" w:line="240" w:lineRule="auto"/>
              <w:rPr>
                <w:rFonts w:eastAsia="Times New Roman" w:cs="Calibri"/>
                <w:color w:val="000000"/>
                <w:sz w:val="20"/>
                <w:szCs w:val="20"/>
                <w:lang w:val="en-US"/>
              </w:rPr>
            </w:pPr>
            <w:r w:rsidRPr="009F352D">
              <w:rPr>
                <w:rFonts w:eastAsia="Times New Roman" w:cs="Calibri"/>
                <w:color w:val="000000"/>
                <w:sz w:val="20"/>
                <w:szCs w:val="20"/>
                <w:lang w:val="en-US"/>
              </w:rPr>
              <w:t>Remuneraciones Básicas</w:t>
            </w:r>
          </w:p>
        </w:tc>
        <w:tc>
          <w:tcPr>
            <w:tcW w:w="1098" w:type="dxa"/>
            <w:tcBorders>
              <w:top w:val="single" w:sz="8" w:space="0" w:color="auto"/>
              <w:left w:val="nil"/>
              <w:bottom w:val="nil"/>
              <w:right w:val="single" w:sz="8" w:space="0" w:color="auto"/>
            </w:tcBorders>
            <w:shd w:val="clear" w:color="auto" w:fill="auto"/>
            <w:noWrap/>
            <w:vAlign w:val="center"/>
            <w:hideMark/>
          </w:tcPr>
          <w:p w14:paraId="04A60F36" w14:textId="77777777" w:rsidR="009F352D" w:rsidRPr="009F352D" w:rsidRDefault="009F352D" w:rsidP="009F352D">
            <w:pPr>
              <w:spacing w:after="0" w:line="240" w:lineRule="auto"/>
              <w:ind w:left="-158"/>
              <w:jc w:val="right"/>
              <w:rPr>
                <w:rFonts w:eastAsia="Times New Roman" w:cs="Calibri"/>
                <w:color w:val="000000"/>
                <w:sz w:val="20"/>
                <w:szCs w:val="20"/>
                <w:lang w:val="en-US"/>
              </w:rPr>
            </w:pPr>
            <w:r w:rsidRPr="009F352D">
              <w:rPr>
                <w:rFonts w:ascii="Arial" w:eastAsia="Times New Roman" w:hAnsi="Arial" w:cs="Arial"/>
                <w:color w:val="000000"/>
                <w:sz w:val="20"/>
                <w:szCs w:val="20"/>
                <w:lang w:val="en-US"/>
              </w:rPr>
              <w:t>₡</w:t>
            </w:r>
            <w:r w:rsidRPr="009F352D">
              <w:rPr>
                <w:rFonts w:eastAsia="Times New Roman" w:cs="Calibri"/>
                <w:color w:val="000000"/>
                <w:sz w:val="20"/>
                <w:szCs w:val="20"/>
                <w:lang w:val="en-US"/>
              </w:rPr>
              <w:t>379 490,87</w:t>
            </w:r>
          </w:p>
        </w:tc>
        <w:tc>
          <w:tcPr>
            <w:tcW w:w="1166" w:type="dxa"/>
            <w:tcBorders>
              <w:top w:val="single" w:sz="8" w:space="0" w:color="auto"/>
              <w:left w:val="nil"/>
              <w:bottom w:val="nil"/>
              <w:right w:val="single" w:sz="8" w:space="0" w:color="auto"/>
            </w:tcBorders>
            <w:shd w:val="clear" w:color="auto" w:fill="auto"/>
            <w:noWrap/>
            <w:vAlign w:val="center"/>
            <w:hideMark/>
          </w:tcPr>
          <w:p w14:paraId="71A24AAE" w14:textId="77777777" w:rsidR="009F352D" w:rsidRPr="009F352D" w:rsidRDefault="009F352D" w:rsidP="009F352D">
            <w:pPr>
              <w:spacing w:after="0" w:line="240" w:lineRule="auto"/>
              <w:ind w:left="-120"/>
              <w:jc w:val="right"/>
              <w:rPr>
                <w:rFonts w:eastAsia="Times New Roman" w:cs="Calibri"/>
                <w:color w:val="000000"/>
                <w:sz w:val="20"/>
                <w:szCs w:val="20"/>
                <w:lang w:val="en-US"/>
              </w:rPr>
            </w:pPr>
            <w:r w:rsidRPr="009F352D">
              <w:rPr>
                <w:rFonts w:ascii="Arial" w:eastAsia="Times New Roman" w:hAnsi="Arial" w:cs="Arial"/>
                <w:color w:val="000000"/>
                <w:sz w:val="20"/>
                <w:szCs w:val="20"/>
                <w:lang w:val="en-US"/>
              </w:rPr>
              <w:t>₡</w:t>
            </w:r>
            <w:r w:rsidRPr="009F352D">
              <w:rPr>
                <w:rFonts w:eastAsia="Times New Roman" w:cs="Calibri"/>
                <w:color w:val="000000"/>
                <w:sz w:val="20"/>
                <w:szCs w:val="20"/>
                <w:lang w:val="en-US"/>
              </w:rPr>
              <w:t>418 371,24</w:t>
            </w:r>
          </w:p>
        </w:tc>
        <w:tc>
          <w:tcPr>
            <w:tcW w:w="1132" w:type="dxa"/>
            <w:tcBorders>
              <w:top w:val="single" w:sz="8" w:space="0" w:color="auto"/>
              <w:left w:val="nil"/>
              <w:bottom w:val="nil"/>
              <w:right w:val="single" w:sz="8" w:space="0" w:color="auto"/>
            </w:tcBorders>
            <w:shd w:val="clear" w:color="auto" w:fill="auto"/>
            <w:noWrap/>
            <w:vAlign w:val="center"/>
            <w:hideMark/>
          </w:tcPr>
          <w:p w14:paraId="7A17DAA9" w14:textId="77777777" w:rsidR="009F352D" w:rsidRPr="009F352D" w:rsidRDefault="009F352D" w:rsidP="009F352D">
            <w:pPr>
              <w:spacing w:after="0" w:line="240" w:lineRule="auto"/>
              <w:ind w:left="-72"/>
              <w:jc w:val="right"/>
              <w:rPr>
                <w:rFonts w:eastAsia="Times New Roman" w:cs="Calibri"/>
                <w:color w:val="000000"/>
                <w:sz w:val="20"/>
                <w:szCs w:val="20"/>
                <w:lang w:val="en-US"/>
              </w:rPr>
            </w:pPr>
            <w:r w:rsidRPr="009F352D">
              <w:rPr>
                <w:rFonts w:eastAsia="Times New Roman" w:cs="Calibri"/>
                <w:color w:val="000000"/>
                <w:sz w:val="20"/>
                <w:szCs w:val="20"/>
                <w:lang w:val="en-US"/>
              </w:rPr>
              <w:t>-</w:t>
            </w:r>
            <w:r w:rsidRPr="009F352D">
              <w:rPr>
                <w:rFonts w:ascii="Arial" w:eastAsia="Times New Roman" w:hAnsi="Arial" w:cs="Arial"/>
                <w:color w:val="000000"/>
                <w:sz w:val="20"/>
                <w:szCs w:val="20"/>
                <w:lang w:val="en-US"/>
              </w:rPr>
              <w:t>₡</w:t>
            </w:r>
            <w:r w:rsidRPr="009F352D">
              <w:rPr>
                <w:rFonts w:eastAsia="Times New Roman" w:cs="Calibri"/>
                <w:color w:val="000000"/>
                <w:sz w:val="20"/>
                <w:szCs w:val="20"/>
                <w:lang w:val="en-US"/>
              </w:rPr>
              <w:t>38 880,36</w:t>
            </w:r>
          </w:p>
        </w:tc>
        <w:tc>
          <w:tcPr>
            <w:tcW w:w="1005" w:type="dxa"/>
            <w:tcBorders>
              <w:top w:val="single" w:sz="8" w:space="0" w:color="auto"/>
              <w:left w:val="nil"/>
              <w:bottom w:val="nil"/>
              <w:right w:val="single" w:sz="8" w:space="0" w:color="auto"/>
            </w:tcBorders>
            <w:shd w:val="clear" w:color="auto" w:fill="auto"/>
            <w:vAlign w:val="center"/>
            <w:hideMark/>
          </w:tcPr>
          <w:p w14:paraId="002C8381" w14:textId="77777777" w:rsidR="009F352D" w:rsidRPr="009F352D" w:rsidRDefault="009F352D" w:rsidP="009F352D">
            <w:pPr>
              <w:spacing w:after="0" w:line="240" w:lineRule="auto"/>
              <w:jc w:val="center"/>
              <w:rPr>
                <w:rFonts w:eastAsia="Times New Roman" w:cs="Calibri"/>
                <w:color w:val="000000"/>
                <w:sz w:val="20"/>
                <w:szCs w:val="20"/>
                <w:lang w:val="en-US"/>
              </w:rPr>
            </w:pPr>
            <w:r w:rsidRPr="009F352D">
              <w:rPr>
                <w:rFonts w:eastAsia="Times New Roman" w:cs="Calibri"/>
                <w:color w:val="000000"/>
                <w:sz w:val="20"/>
                <w:szCs w:val="20"/>
                <w:lang w:val="en-US"/>
              </w:rPr>
              <w:t>-9,29%</w:t>
            </w:r>
          </w:p>
        </w:tc>
        <w:tc>
          <w:tcPr>
            <w:tcW w:w="236" w:type="dxa"/>
            <w:vAlign w:val="center"/>
            <w:hideMark/>
          </w:tcPr>
          <w:p w14:paraId="46BD93F3" w14:textId="77777777" w:rsidR="009F352D" w:rsidRPr="009F352D" w:rsidRDefault="009F352D" w:rsidP="009F352D">
            <w:pPr>
              <w:spacing w:after="0" w:line="240" w:lineRule="auto"/>
              <w:jc w:val="left"/>
              <w:rPr>
                <w:rFonts w:ascii="Times New Roman" w:eastAsia="Times New Roman" w:hAnsi="Times New Roman" w:cs="Times New Roman"/>
                <w:sz w:val="20"/>
                <w:szCs w:val="20"/>
                <w:lang w:val="en-US"/>
              </w:rPr>
            </w:pPr>
          </w:p>
        </w:tc>
      </w:tr>
      <w:tr w:rsidR="009F352D" w:rsidRPr="009F352D" w14:paraId="3B4F8015" w14:textId="77777777" w:rsidTr="00481D7C">
        <w:trPr>
          <w:trHeight w:val="290"/>
        </w:trPr>
        <w:tc>
          <w:tcPr>
            <w:tcW w:w="855" w:type="dxa"/>
            <w:tcBorders>
              <w:top w:val="nil"/>
              <w:left w:val="single" w:sz="8" w:space="0" w:color="auto"/>
              <w:bottom w:val="nil"/>
              <w:right w:val="single" w:sz="8" w:space="0" w:color="auto"/>
            </w:tcBorders>
            <w:shd w:val="clear" w:color="auto" w:fill="auto"/>
            <w:noWrap/>
            <w:vAlign w:val="center"/>
            <w:hideMark/>
          </w:tcPr>
          <w:p w14:paraId="7A74122F" w14:textId="77777777" w:rsidR="009F352D" w:rsidRPr="009F352D" w:rsidRDefault="009F352D" w:rsidP="009F352D">
            <w:pPr>
              <w:spacing w:after="0" w:line="240" w:lineRule="auto"/>
              <w:rPr>
                <w:rFonts w:eastAsia="Times New Roman" w:cs="Calibri"/>
                <w:color w:val="000000"/>
                <w:sz w:val="20"/>
                <w:szCs w:val="20"/>
                <w:lang w:val="en-US"/>
              </w:rPr>
            </w:pPr>
            <w:r w:rsidRPr="009F352D">
              <w:rPr>
                <w:rFonts w:eastAsia="Times New Roman" w:cs="Calibri"/>
                <w:color w:val="000000"/>
                <w:sz w:val="20"/>
                <w:szCs w:val="20"/>
                <w:lang w:val="en-US"/>
              </w:rPr>
              <w:t>5.1.1.02.</w:t>
            </w:r>
          </w:p>
        </w:tc>
        <w:tc>
          <w:tcPr>
            <w:tcW w:w="3671" w:type="dxa"/>
            <w:tcBorders>
              <w:top w:val="nil"/>
              <w:left w:val="nil"/>
              <w:bottom w:val="nil"/>
              <w:right w:val="single" w:sz="8" w:space="0" w:color="auto"/>
            </w:tcBorders>
            <w:shd w:val="clear" w:color="auto" w:fill="auto"/>
            <w:vAlign w:val="center"/>
            <w:hideMark/>
          </w:tcPr>
          <w:p w14:paraId="51EA98B9" w14:textId="77777777" w:rsidR="009F352D" w:rsidRPr="009F352D" w:rsidRDefault="009F352D" w:rsidP="009F352D">
            <w:pPr>
              <w:spacing w:after="0" w:line="240" w:lineRule="auto"/>
              <w:rPr>
                <w:rFonts w:eastAsia="Times New Roman" w:cs="Calibri"/>
                <w:color w:val="000000"/>
                <w:sz w:val="20"/>
                <w:szCs w:val="20"/>
                <w:lang w:val="en-US"/>
              </w:rPr>
            </w:pPr>
            <w:r w:rsidRPr="009F352D">
              <w:rPr>
                <w:rFonts w:eastAsia="Times New Roman" w:cs="Calibri"/>
                <w:color w:val="000000"/>
                <w:sz w:val="20"/>
                <w:szCs w:val="20"/>
                <w:lang w:val="en-US"/>
              </w:rPr>
              <w:t>Remuneraciones eventuales</w:t>
            </w:r>
          </w:p>
        </w:tc>
        <w:tc>
          <w:tcPr>
            <w:tcW w:w="1098" w:type="dxa"/>
            <w:tcBorders>
              <w:top w:val="nil"/>
              <w:left w:val="nil"/>
              <w:bottom w:val="nil"/>
              <w:right w:val="single" w:sz="8" w:space="0" w:color="auto"/>
            </w:tcBorders>
            <w:shd w:val="clear" w:color="000000" w:fill="FFFFFF"/>
            <w:noWrap/>
            <w:vAlign w:val="bottom"/>
            <w:hideMark/>
          </w:tcPr>
          <w:p w14:paraId="2FF1D098" w14:textId="77777777" w:rsidR="009F352D" w:rsidRPr="009F352D" w:rsidRDefault="009F352D" w:rsidP="009F352D">
            <w:pPr>
              <w:spacing w:after="0" w:line="240" w:lineRule="auto"/>
              <w:jc w:val="right"/>
              <w:rPr>
                <w:rFonts w:eastAsia="Times New Roman" w:cs="Calibri"/>
                <w:color w:val="000000"/>
                <w:sz w:val="20"/>
                <w:szCs w:val="20"/>
                <w:lang w:val="en-US"/>
              </w:rPr>
            </w:pPr>
            <w:r w:rsidRPr="009F352D">
              <w:rPr>
                <w:rFonts w:eastAsia="Times New Roman" w:cs="Calibri"/>
                <w:color w:val="000000"/>
                <w:sz w:val="20"/>
                <w:szCs w:val="20"/>
                <w:lang w:val="en-US"/>
              </w:rPr>
              <w:t>50 597,53</w:t>
            </w:r>
          </w:p>
        </w:tc>
        <w:tc>
          <w:tcPr>
            <w:tcW w:w="1166" w:type="dxa"/>
            <w:tcBorders>
              <w:top w:val="nil"/>
              <w:left w:val="nil"/>
              <w:bottom w:val="nil"/>
              <w:right w:val="single" w:sz="8" w:space="0" w:color="auto"/>
            </w:tcBorders>
            <w:shd w:val="clear" w:color="000000" w:fill="FFFFFF"/>
            <w:noWrap/>
            <w:vAlign w:val="bottom"/>
            <w:hideMark/>
          </w:tcPr>
          <w:p w14:paraId="6ADC1375" w14:textId="77777777" w:rsidR="009F352D" w:rsidRPr="009F352D" w:rsidRDefault="009F352D" w:rsidP="009F352D">
            <w:pPr>
              <w:spacing w:after="0" w:line="240" w:lineRule="auto"/>
              <w:jc w:val="right"/>
              <w:rPr>
                <w:rFonts w:eastAsia="Times New Roman" w:cs="Calibri"/>
                <w:color w:val="000000"/>
                <w:sz w:val="20"/>
                <w:szCs w:val="20"/>
                <w:lang w:val="en-US"/>
              </w:rPr>
            </w:pPr>
            <w:r w:rsidRPr="009F352D">
              <w:rPr>
                <w:rFonts w:eastAsia="Times New Roman" w:cs="Calibri"/>
                <w:color w:val="000000"/>
                <w:sz w:val="20"/>
                <w:szCs w:val="20"/>
                <w:lang w:val="en-US"/>
              </w:rPr>
              <w:t>36 532,53</w:t>
            </w:r>
          </w:p>
        </w:tc>
        <w:tc>
          <w:tcPr>
            <w:tcW w:w="1132" w:type="dxa"/>
            <w:tcBorders>
              <w:top w:val="nil"/>
              <w:left w:val="nil"/>
              <w:bottom w:val="nil"/>
              <w:right w:val="single" w:sz="8" w:space="0" w:color="auto"/>
            </w:tcBorders>
            <w:shd w:val="clear" w:color="000000" w:fill="FFFFFF"/>
            <w:noWrap/>
            <w:vAlign w:val="bottom"/>
            <w:hideMark/>
          </w:tcPr>
          <w:p w14:paraId="17E37135" w14:textId="77777777" w:rsidR="009F352D" w:rsidRPr="009F352D" w:rsidRDefault="009F352D" w:rsidP="009F352D">
            <w:pPr>
              <w:spacing w:after="0" w:line="240" w:lineRule="auto"/>
              <w:jc w:val="right"/>
              <w:rPr>
                <w:rFonts w:eastAsia="Times New Roman" w:cs="Calibri"/>
                <w:color w:val="000000"/>
                <w:sz w:val="20"/>
                <w:szCs w:val="20"/>
                <w:lang w:val="en-US"/>
              </w:rPr>
            </w:pPr>
            <w:r w:rsidRPr="009F352D">
              <w:rPr>
                <w:rFonts w:eastAsia="Times New Roman" w:cs="Calibri"/>
                <w:color w:val="000000"/>
                <w:sz w:val="20"/>
                <w:szCs w:val="20"/>
                <w:lang w:val="en-US"/>
              </w:rPr>
              <w:t>14 065,00</w:t>
            </w:r>
          </w:p>
        </w:tc>
        <w:tc>
          <w:tcPr>
            <w:tcW w:w="1005" w:type="dxa"/>
            <w:tcBorders>
              <w:top w:val="nil"/>
              <w:left w:val="nil"/>
              <w:bottom w:val="nil"/>
              <w:right w:val="single" w:sz="8" w:space="0" w:color="auto"/>
            </w:tcBorders>
            <w:shd w:val="clear" w:color="auto" w:fill="auto"/>
            <w:vAlign w:val="center"/>
            <w:hideMark/>
          </w:tcPr>
          <w:p w14:paraId="0B7AC1EB" w14:textId="77777777" w:rsidR="009F352D" w:rsidRPr="009F352D" w:rsidRDefault="009F352D" w:rsidP="009F352D">
            <w:pPr>
              <w:spacing w:after="0" w:line="240" w:lineRule="auto"/>
              <w:jc w:val="center"/>
              <w:rPr>
                <w:rFonts w:eastAsia="Times New Roman" w:cs="Calibri"/>
                <w:color w:val="000000"/>
                <w:sz w:val="20"/>
                <w:szCs w:val="20"/>
                <w:lang w:val="en-US"/>
              </w:rPr>
            </w:pPr>
            <w:r w:rsidRPr="009F352D">
              <w:rPr>
                <w:rFonts w:eastAsia="Times New Roman" w:cs="Calibri"/>
                <w:color w:val="000000"/>
                <w:sz w:val="20"/>
                <w:szCs w:val="20"/>
                <w:lang w:val="en-US"/>
              </w:rPr>
              <w:t>38,50%</w:t>
            </w:r>
          </w:p>
        </w:tc>
        <w:tc>
          <w:tcPr>
            <w:tcW w:w="236" w:type="dxa"/>
            <w:vAlign w:val="center"/>
            <w:hideMark/>
          </w:tcPr>
          <w:p w14:paraId="7F6E08AB" w14:textId="77777777" w:rsidR="009F352D" w:rsidRPr="009F352D" w:rsidRDefault="009F352D" w:rsidP="009F352D">
            <w:pPr>
              <w:spacing w:after="0" w:line="240" w:lineRule="auto"/>
              <w:jc w:val="left"/>
              <w:rPr>
                <w:rFonts w:ascii="Times New Roman" w:eastAsia="Times New Roman" w:hAnsi="Times New Roman" w:cs="Times New Roman"/>
                <w:sz w:val="20"/>
                <w:szCs w:val="20"/>
                <w:lang w:val="en-US"/>
              </w:rPr>
            </w:pPr>
          </w:p>
        </w:tc>
      </w:tr>
      <w:tr w:rsidR="009F352D" w:rsidRPr="009F352D" w14:paraId="1B1577DD" w14:textId="77777777" w:rsidTr="00481D7C">
        <w:trPr>
          <w:trHeight w:val="290"/>
        </w:trPr>
        <w:tc>
          <w:tcPr>
            <w:tcW w:w="855" w:type="dxa"/>
            <w:tcBorders>
              <w:top w:val="nil"/>
              <w:left w:val="single" w:sz="8" w:space="0" w:color="auto"/>
              <w:bottom w:val="nil"/>
              <w:right w:val="single" w:sz="8" w:space="0" w:color="auto"/>
            </w:tcBorders>
            <w:shd w:val="clear" w:color="auto" w:fill="auto"/>
            <w:noWrap/>
            <w:vAlign w:val="center"/>
            <w:hideMark/>
          </w:tcPr>
          <w:p w14:paraId="73F1781F" w14:textId="77777777" w:rsidR="009F352D" w:rsidRPr="009F352D" w:rsidRDefault="009F352D" w:rsidP="009F352D">
            <w:pPr>
              <w:spacing w:after="0" w:line="240" w:lineRule="auto"/>
              <w:rPr>
                <w:rFonts w:eastAsia="Times New Roman" w:cs="Calibri"/>
                <w:color w:val="000000"/>
                <w:sz w:val="20"/>
                <w:szCs w:val="20"/>
                <w:lang w:val="en-US"/>
              </w:rPr>
            </w:pPr>
            <w:r w:rsidRPr="009F352D">
              <w:rPr>
                <w:rFonts w:eastAsia="Times New Roman" w:cs="Calibri"/>
                <w:color w:val="000000"/>
                <w:sz w:val="20"/>
                <w:szCs w:val="20"/>
                <w:lang w:val="en-US"/>
              </w:rPr>
              <w:t>5.1.1.03.</w:t>
            </w:r>
          </w:p>
        </w:tc>
        <w:tc>
          <w:tcPr>
            <w:tcW w:w="3671" w:type="dxa"/>
            <w:tcBorders>
              <w:top w:val="nil"/>
              <w:left w:val="nil"/>
              <w:bottom w:val="nil"/>
              <w:right w:val="single" w:sz="8" w:space="0" w:color="auto"/>
            </w:tcBorders>
            <w:shd w:val="clear" w:color="auto" w:fill="auto"/>
            <w:vAlign w:val="center"/>
            <w:hideMark/>
          </w:tcPr>
          <w:p w14:paraId="119A3CF1" w14:textId="77777777" w:rsidR="009F352D" w:rsidRPr="009F352D" w:rsidRDefault="009F352D" w:rsidP="009F352D">
            <w:pPr>
              <w:spacing w:after="0" w:line="240" w:lineRule="auto"/>
              <w:rPr>
                <w:rFonts w:eastAsia="Times New Roman" w:cs="Calibri"/>
                <w:color w:val="000000"/>
                <w:sz w:val="20"/>
                <w:szCs w:val="20"/>
                <w:lang w:val="en-US"/>
              </w:rPr>
            </w:pPr>
            <w:r w:rsidRPr="009F352D">
              <w:rPr>
                <w:rFonts w:eastAsia="Times New Roman" w:cs="Calibri"/>
                <w:color w:val="000000"/>
                <w:sz w:val="20"/>
                <w:szCs w:val="20"/>
                <w:lang w:val="en-US"/>
              </w:rPr>
              <w:t>Incentivos salariales</w:t>
            </w:r>
          </w:p>
        </w:tc>
        <w:tc>
          <w:tcPr>
            <w:tcW w:w="1098" w:type="dxa"/>
            <w:tcBorders>
              <w:top w:val="nil"/>
              <w:left w:val="nil"/>
              <w:bottom w:val="nil"/>
              <w:right w:val="single" w:sz="8" w:space="0" w:color="auto"/>
            </w:tcBorders>
            <w:shd w:val="clear" w:color="000000" w:fill="FFFFFF"/>
            <w:noWrap/>
            <w:vAlign w:val="bottom"/>
            <w:hideMark/>
          </w:tcPr>
          <w:p w14:paraId="6520B0CE" w14:textId="77777777" w:rsidR="009F352D" w:rsidRPr="009F352D" w:rsidRDefault="009F352D" w:rsidP="009F352D">
            <w:pPr>
              <w:spacing w:after="0" w:line="240" w:lineRule="auto"/>
              <w:jc w:val="right"/>
              <w:rPr>
                <w:rFonts w:eastAsia="Times New Roman" w:cs="Calibri"/>
                <w:color w:val="000000"/>
                <w:sz w:val="20"/>
                <w:szCs w:val="20"/>
                <w:lang w:val="en-US"/>
              </w:rPr>
            </w:pPr>
            <w:r w:rsidRPr="009F352D">
              <w:rPr>
                <w:rFonts w:eastAsia="Times New Roman" w:cs="Calibri"/>
                <w:color w:val="000000"/>
                <w:sz w:val="20"/>
                <w:szCs w:val="20"/>
                <w:lang w:val="en-US"/>
              </w:rPr>
              <w:t>164 004,26</w:t>
            </w:r>
          </w:p>
        </w:tc>
        <w:tc>
          <w:tcPr>
            <w:tcW w:w="1166" w:type="dxa"/>
            <w:tcBorders>
              <w:top w:val="nil"/>
              <w:left w:val="nil"/>
              <w:bottom w:val="nil"/>
              <w:right w:val="single" w:sz="8" w:space="0" w:color="auto"/>
            </w:tcBorders>
            <w:shd w:val="clear" w:color="000000" w:fill="FFFFFF"/>
            <w:noWrap/>
            <w:vAlign w:val="bottom"/>
            <w:hideMark/>
          </w:tcPr>
          <w:p w14:paraId="322BC513" w14:textId="77777777" w:rsidR="009F352D" w:rsidRPr="009F352D" w:rsidRDefault="009F352D" w:rsidP="009F352D">
            <w:pPr>
              <w:spacing w:after="0" w:line="240" w:lineRule="auto"/>
              <w:jc w:val="right"/>
              <w:rPr>
                <w:rFonts w:eastAsia="Times New Roman" w:cs="Calibri"/>
                <w:color w:val="000000"/>
                <w:sz w:val="20"/>
                <w:szCs w:val="20"/>
                <w:lang w:val="en-US"/>
              </w:rPr>
            </w:pPr>
            <w:r w:rsidRPr="009F352D">
              <w:rPr>
                <w:rFonts w:eastAsia="Times New Roman" w:cs="Calibri"/>
                <w:color w:val="000000"/>
                <w:sz w:val="20"/>
                <w:szCs w:val="20"/>
                <w:lang w:val="en-US"/>
              </w:rPr>
              <w:t>113 560,92</w:t>
            </w:r>
          </w:p>
        </w:tc>
        <w:tc>
          <w:tcPr>
            <w:tcW w:w="1132" w:type="dxa"/>
            <w:tcBorders>
              <w:top w:val="nil"/>
              <w:left w:val="nil"/>
              <w:bottom w:val="nil"/>
              <w:right w:val="single" w:sz="8" w:space="0" w:color="auto"/>
            </w:tcBorders>
            <w:shd w:val="clear" w:color="000000" w:fill="FFFFFF"/>
            <w:noWrap/>
            <w:vAlign w:val="bottom"/>
            <w:hideMark/>
          </w:tcPr>
          <w:p w14:paraId="54343581" w14:textId="77777777" w:rsidR="009F352D" w:rsidRPr="009F352D" w:rsidRDefault="009F352D" w:rsidP="009F352D">
            <w:pPr>
              <w:spacing w:after="0" w:line="240" w:lineRule="auto"/>
              <w:jc w:val="right"/>
              <w:rPr>
                <w:rFonts w:eastAsia="Times New Roman" w:cs="Calibri"/>
                <w:color w:val="000000"/>
                <w:sz w:val="20"/>
                <w:szCs w:val="20"/>
                <w:lang w:val="en-US"/>
              </w:rPr>
            </w:pPr>
            <w:r w:rsidRPr="009F352D">
              <w:rPr>
                <w:rFonts w:eastAsia="Times New Roman" w:cs="Calibri"/>
                <w:color w:val="000000"/>
                <w:sz w:val="20"/>
                <w:szCs w:val="20"/>
                <w:lang w:val="en-US"/>
              </w:rPr>
              <w:t>50 443,34</w:t>
            </w:r>
          </w:p>
        </w:tc>
        <w:tc>
          <w:tcPr>
            <w:tcW w:w="1005" w:type="dxa"/>
            <w:tcBorders>
              <w:top w:val="nil"/>
              <w:left w:val="nil"/>
              <w:bottom w:val="nil"/>
              <w:right w:val="single" w:sz="8" w:space="0" w:color="auto"/>
            </w:tcBorders>
            <w:shd w:val="clear" w:color="auto" w:fill="auto"/>
            <w:vAlign w:val="center"/>
            <w:hideMark/>
          </w:tcPr>
          <w:p w14:paraId="71F57A44" w14:textId="77777777" w:rsidR="009F352D" w:rsidRPr="009F352D" w:rsidRDefault="009F352D" w:rsidP="009F352D">
            <w:pPr>
              <w:spacing w:after="0" w:line="240" w:lineRule="auto"/>
              <w:jc w:val="center"/>
              <w:rPr>
                <w:rFonts w:eastAsia="Times New Roman" w:cs="Calibri"/>
                <w:color w:val="000000"/>
                <w:sz w:val="20"/>
                <w:szCs w:val="20"/>
                <w:lang w:val="en-US"/>
              </w:rPr>
            </w:pPr>
            <w:r w:rsidRPr="009F352D">
              <w:rPr>
                <w:rFonts w:eastAsia="Times New Roman" w:cs="Calibri"/>
                <w:color w:val="000000"/>
                <w:sz w:val="20"/>
                <w:szCs w:val="20"/>
                <w:lang w:val="en-US"/>
              </w:rPr>
              <w:t>44,42%</w:t>
            </w:r>
          </w:p>
        </w:tc>
        <w:tc>
          <w:tcPr>
            <w:tcW w:w="236" w:type="dxa"/>
            <w:vAlign w:val="center"/>
            <w:hideMark/>
          </w:tcPr>
          <w:p w14:paraId="71606BD3" w14:textId="77777777" w:rsidR="009F352D" w:rsidRPr="009F352D" w:rsidRDefault="009F352D" w:rsidP="009F352D">
            <w:pPr>
              <w:spacing w:after="0" w:line="240" w:lineRule="auto"/>
              <w:jc w:val="left"/>
              <w:rPr>
                <w:rFonts w:ascii="Times New Roman" w:eastAsia="Times New Roman" w:hAnsi="Times New Roman" w:cs="Times New Roman"/>
                <w:sz w:val="20"/>
                <w:szCs w:val="20"/>
                <w:lang w:val="en-US"/>
              </w:rPr>
            </w:pPr>
          </w:p>
        </w:tc>
      </w:tr>
      <w:tr w:rsidR="009F352D" w:rsidRPr="009F352D" w14:paraId="0CEA9054" w14:textId="77777777" w:rsidTr="00481D7C">
        <w:trPr>
          <w:trHeight w:val="290"/>
        </w:trPr>
        <w:tc>
          <w:tcPr>
            <w:tcW w:w="855" w:type="dxa"/>
            <w:tcBorders>
              <w:top w:val="nil"/>
              <w:left w:val="single" w:sz="8" w:space="0" w:color="auto"/>
              <w:bottom w:val="nil"/>
              <w:right w:val="single" w:sz="8" w:space="0" w:color="auto"/>
            </w:tcBorders>
            <w:shd w:val="clear" w:color="auto" w:fill="auto"/>
            <w:noWrap/>
            <w:vAlign w:val="center"/>
            <w:hideMark/>
          </w:tcPr>
          <w:p w14:paraId="21A416A7" w14:textId="77777777" w:rsidR="009F352D" w:rsidRPr="009F352D" w:rsidRDefault="009F352D" w:rsidP="009F352D">
            <w:pPr>
              <w:spacing w:after="0" w:line="240" w:lineRule="auto"/>
              <w:rPr>
                <w:rFonts w:eastAsia="Times New Roman" w:cs="Calibri"/>
                <w:color w:val="000000"/>
                <w:sz w:val="20"/>
                <w:szCs w:val="20"/>
                <w:lang w:val="en-US"/>
              </w:rPr>
            </w:pPr>
            <w:r w:rsidRPr="009F352D">
              <w:rPr>
                <w:rFonts w:eastAsia="Times New Roman" w:cs="Calibri"/>
                <w:color w:val="000000"/>
                <w:sz w:val="20"/>
                <w:szCs w:val="20"/>
                <w:lang w:val="en-US"/>
              </w:rPr>
              <w:t>5.1.1.04.</w:t>
            </w:r>
          </w:p>
        </w:tc>
        <w:tc>
          <w:tcPr>
            <w:tcW w:w="3671" w:type="dxa"/>
            <w:tcBorders>
              <w:top w:val="nil"/>
              <w:left w:val="nil"/>
              <w:bottom w:val="nil"/>
              <w:right w:val="single" w:sz="8" w:space="0" w:color="auto"/>
            </w:tcBorders>
            <w:shd w:val="clear" w:color="auto" w:fill="auto"/>
            <w:vAlign w:val="center"/>
            <w:hideMark/>
          </w:tcPr>
          <w:p w14:paraId="2F05D571" w14:textId="77777777" w:rsidR="009F352D" w:rsidRPr="009F352D" w:rsidRDefault="009F352D" w:rsidP="009F352D">
            <w:pPr>
              <w:spacing w:after="0" w:line="240" w:lineRule="auto"/>
              <w:rPr>
                <w:rFonts w:eastAsia="Times New Roman" w:cs="Calibri"/>
                <w:color w:val="000000"/>
                <w:sz w:val="20"/>
                <w:szCs w:val="20"/>
              </w:rPr>
            </w:pPr>
            <w:r w:rsidRPr="009F352D">
              <w:rPr>
                <w:rFonts w:eastAsia="Times New Roman" w:cs="Calibri"/>
                <w:color w:val="000000"/>
                <w:sz w:val="20"/>
                <w:szCs w:val="20"/>
              </w:rPr>
              <w:t>Contribuciones patronales al desarrollo y la seguridad social</w:t>
            </w:r>
          </w:p>
        </w:tc>
        <w:tc>
          <w:tcPr>
            <w:tcW w:w="1098" w:type="dxa"/>
            <w:tcBorders>
              <w:top w:val="nil"/>
              <w:left w:val="nil"/>
              <w:bottom w:val="nil"/>
              <w:right w:val="single" w:sz="8" w:space="0" w:color="auto"/>
            </w:tcBorders>
            <w:shd w:val="clear" w:color="000000" w:fill="FFFFFF"/>
            <w:noWrap/>
            <w:vAlign w:val="bottom"/>
            <w:hideMark/>
          </w:tcPr>
          <w:p w14:paraId="0DDA228D" w14:textId="77777777" w:rsidR="009F352D" w:rsidRPr="009F352D" w:rsidRDefault="009F352D" w:rsidP="009F352D">
            <w:pPr>
              <w:spacing w:after="0" w:line="240" w:lineRule="auto"/>
              <w:jc w:val="right"/>
              <w:rPr>
                <w:rFonts w:eastAsia="Times New Roman" w:cs="Calibri"/>
                <w:color w:val="000000"/>
                <w:sz w:val="20"/>
                <w:szCs w:val="20"/>
                <w:lang w:val="en-US"/>
              </w:rPr>
            </w:pPr>
            <w:r w:rsidRPr="009F352D">
              <w:rPr>
                <w:rFonts w:eastAsia="Times New Roman" w:cs="Calibri"/>
                <w:color w:val="000000"/>
                <w:sz w:val="20"/>
                <w:szCs w:val="20"/>
                <w:lang w:val="en-US"/>
              </w:rPr>
              <w:t>135 466,26</w:t>
            </w:r>
          </w:p>
        </w:tc>
        <w:tc>
          <w:tcPr>
            <w:tcW w:w="1166" w:type="dxa"/>
            <w:tcBorders>
              <w:top w:val="nil"/>
              <w:left w:val="nil"/>
              <w:bottom w:val="nil"/>
              <w:right w:val="single" w:sz="8" w:space="0" w:color="auto"/>
            </w:tcBorders>
            <w:shd w:val="clear" w:color="000000" w:fill="FFFFFF"/>
            <w:noWrap/>
            <w:vAlign w:val="bottom"/>
            <w:hideMark/>
          </w:tcPr>
          <w:p w14:paraId="046C2E2E" w14:textId="77777777" w:rsidR="009F352D" w:rsidRPr="009F352D" w:rsidRDefault="009F352D" w:rsidP="009F352D">
            <w:pPr>
              <w:spacing w:after="0" w:line="240" w:lineRule="auto"/>
              <w:jc w:val="right"/>
              <w:rPr>
                <w:rFonts w:eastAsia="Times New Roman" w:cs="Calibri"/>
                <w:color w:val="000000"/>
                <w:sz w:val="20"/>
                <w:szCs w:val="20"/>
                <w:lang w:val="en-US"/>
              </w:rPr>
            </w:pPr>
            <w:r w:rsidRPr="009F352D">
              <w:rPr>
                <w:rFonts w:eastAsia="Times New Roman" w:cs="Calibri"/>
                <w:color w:val="000000"/>
                <w:sz w:val="20"/>
                <w:szCs w:val="20"/>
                <w:lang w:val="en-US"/>
              </w:rPr>
              <w:t>103 565,60</w:t>
            </w:r>
          </w:p>
        </w:tc>
        <w:tc>
          <w:tcPr>
            <w:tcW w:w="1132" w:type="dxa"/>
            <w:tcBorders>
              <w:top w:val="nil"/>
              <w:left w:val="nil"/>
              <w:bottom w:val="nil"/>
              <w:right w:val="single" w:sz="8" w:space="0" w:color="auto"/>
            </w:tcBorders>
            <w:shd w:val="clear" w:color="000000" w:fill="FFFFFF"/>
            <w:noWrap/>
            <w:vAlign w:val="bottom"/>
            <w:hideMark/>
          </w:tcPr>
          <w:p w14:paraId="45343B9B" w14:textId="77777777" w:rsidR="009F352D" w:rsidRPr="009F352D" w:rsidRDefault="009F352D" w:rsidP="009F352D">
            <w:pPr>
              <w:spacing w:after="0" w:line="240" w:lineRule="auto"/>
              <w:jc w:val="right"/>
              <w:rPr>
                <w:rFonts w:eastAsia="Times New Roman" w:cs="Calibri"/>
                <w:color w:val="000000"/>
                <w:sz w:val="20"/>
                <w:szCs w:val="20"/>
                <w:lang w:val="en-US"/>
              </w:rPr>
            </w:pPr>
            <w:r w:rsidRPr="009F352D">
              <w:rPr>
                <w:rFonts w:eastAsia="Times New Roman" w:cs="Calibri"/>
                <w:color w:val="000000"/>
                <w:sz w:val="20"/>
                <w:szCs w:val="20"/>
                <w:lang w:val="en-US"/>
              </w:rPr>
              <w:t>31 900,66</w:t>
            </w:r>
          </w:p>
        </w:tc>
        <w:tc>
          <w:tcPr>
            <w:tcW w:w="1005" w:type="dxa"/>
            <w:tcBorders>
              <w:top w:val="nil"/>
              <w:left w:val="nil"/>
              <w:bottom w:val="nil"/>
              <w:right w:val="single" w:sz="8" w:space="0" w:color="auto"/>
            </w:tcBorders>
            <w:shd w:val="clear" w:color="auto" w:fill="auto"/>
            <w:vAlign w:val="center"/>
            <w:hideMark/>
          </w:tcPr>
          <w:p w14:paraId="7FDF792E" w14:textId="77777777" w:rsidR="009F352D" w:rsidRPr="009F352D" w:rsidRDefault="009F352D" w:rsidP="009F352D">
            <w:pPr>
              <w:spacing w:after="0" w:line="240" w:lineRule="auto"/>
              <w:jc w:val="center"/>
              <w:rPr>
                <w:rFonts w:eastAsia="Times New Roman" w:cs="Calibri"/>
                <w:color w:val="000000"/>
                <w:sz w:val="20"/>
                <w:szCs w:val="20"/>
                <w:lang w:val="en-US"/>
              </w:rPr>
            </w:pPr>
            <w:r w:rsidRPr="009F352D">
              <w:rPr>
                <w:rFonts w:eastAsia="Times New Roman" w:cs="Calibri"/>
                <w:color w:val="000000"/>
                <w:sz w:val="20"/>
                <w:szCs w:val="20"/>
                <w:lang w:val="en-US"/>
              </w:rPr>
              <w:t>30,80%</w:t>
            </w:r>
          </w:p>
        </w:tc>
        <w:tc>
          <w:tcPr>
            <w:tcW w:w="236" w:type="dxa"/>
            <w:vAlign w:val="center"/>
            <w:hideMark/>
          </w:tcPr>
          <w:p w14:paraId="3B38CBAD" w14:textId="77777777" w:rsidR="009F352D" w:rsidRPr="009F352D" w:rsidRDefault="009F352D" w:rsidP="009F352D">
            <w:pPr>
              <w:spacing w:after="0" w:line="240" w:lineRule="auto"/>
              <w:jc w:val="left"/>
              <w:rPr>
                <w:rFonts w:ascii="Times New Roman" w:eastAsia="Times New Roman" w:hAnsi="Times New Roman" w:cs="Times New Roman"/>
                <w:sz w:val="20"/>
                <w:szCs w:val="20"/>
                <w:lang w:val="en-US"/>
              </w:rPr>
            </w:pPr>
          </w:p>
        </w:tc>
      </w:tr>
      <w:tr w:rsidR="009F352D" w:rsidRPr="009F352D" w14:paraId="494E7E24" w14:textId="77777777" w:rsidTr="00481D7C">
        <w:trPr>
          <w:trHeight w:val="520"/>
        </w:trPr>
        <w:tc>
          <w:tcPr>
            <w:tcW w:w="855" w:type="dxa"/>
            <w:tcBorders>
              <w:top w:val="nil"/>
              <w:left w:val="single" w:sz="8" w:space="0" w:color="auto"/>
              <w:bottom w:val="nil"/>
              <w:right w:val="single" w:sz="8" w:space="0" w:color="auto"/>
            </w:tcBorders>
            <w:shd w:val="clear" w:color="auto" w:fill="auto"/>
            <w:noWrap/>
            <w:vAlign w:val="center"/>
            <w:hideMark/>
          </w:tcPr>
          <w:p w14:paraId="1DAFB03F" w14:textId="77777777" w:rsidR="009F352D" w:rsidRPr="009F352D" w:rsidRDefault="009F352D" w:rsidP="009F352D">
            <w:pPr>
              <w:spacing w:after="0" w:line="240" w:lineRule="auto"/>
              <w:rPr>
                <w:rFonts w:eastAsia="Times New Roman" w:cs="Calibri"/>
                <w:color w:val="000000"/>
                <w:sz w:val="20"/>
                <w:szCs w:val="20"/>
                <w:lang w:val="en-US"/>
              </w:rPr>
            </w:pPr>
            <w:r w:rsidRPr="009F352D">
              <w:rPr>
                <w:rFonts w:eastAsia="Times New Roman" w:cs="Calibri"/>
                <w:color w:val="000000"/>
                <w:sz w:val="20"/>
                <w:szCs w:val="20"/>
                <w:lang w:val="en-US"/>
              </w:rPr>
              <w:t>5.1.1.05.</w:t>
            </w:r>
          </w:p>
        </w:tc>
        <w:tc>
          <w:tcPr>
            <w:tcW w:w="3671" w:type="dxa"/>
            <w:tcBorders>
              <w:top w:val="nil"/>
              <w:left w:val="nil"/>
              <w:bottom w:val="nil"/>
              <w:right w:val="single" w:sz="8" w:space="0" w:color="auto"/>
            </w:tcBorders>
            <w:shd w:val="clear" w:color="auto" w:fill="auto"/>
            <w:vAlign w:val="center"/>
            <w:hideMark/>
          </w:tcPr>
          <w:p w14:paraId="78093088" w14:textId="77777777" w:rsidR="009F352D" w:rsidRPr="009F352D" w:rsidRDefault="009F352D" w:rsidP="009F352D">
            <w:pPr>
              <w:spacing w:after="0" w:line="240" w:lineRule="auto"/>
              <w:rPr>
                <w:rFonts w:eastAsia="Times New Roman" w:cs="Calibri"/>
                <w:color w:val="000000"/>
                <w:sz w:val="20"/>
                <w:szCs w:val="20"/>
              </w:rPr>
            </w:pPr>
            <w:r w:rsidRPr="009F352D">
              <w:rPr>
                <w:rFonts w:eastAsia="Times New Roman" w:cs="Calibri"/>
                <w:color w:val="000000"/>
                <w:sz w:val="20"/>
                <w:szCs w:val="20"/>
              </w:rPr>
              <w:t>Contribuciones patronales a fondos de pensiones y a otros fondos de capitalización</w:t>
            </w:r>
          </w:p>
        </w:tc>
        <w:tc>
          <w:tcPr>
            <w:tcW w:w="1098" w:type="dxa"/>
            <w:tcBorders>
              <w:top w:val="nil"/>
              <w:left w:val="nil"/>
              <w:bottom w:val="nil"/>
              <w:right w:val="single" w:sz="8" w:space="0" w:color="auto"/>
            </w:tcBorders>
            <w:shd w:val="clear" w:color="000000" w:fill="FFFFFF"/>
            <w:noWrap/>
            <w:vAlign w:val="bottom"/>
            <w:hideMark/>
          </w:tcPr>
          <w:p w14:paraId="1397D4D5" w14:textId="77777777" w:rsidR="009F352D" w:rsidRPr="009F352D" w:rsidRDefault="009F352D" w:rsidP="009F352D">
            <w:pPr>
              <w:spacing w:after="0" w:line="240" w:lineRule="auto"/>
              <w:jc w:val="right"/>
              <w:rPr>
                <w:rFonts w:eastAsia="Times New Roman" w:cs="Calibri"/>
                <w:color w:val="000000"/>
                <w:sz w:val="20"/>
                <w:szCs w:val="20"/>
                <w:lang w:val="en-US"/>
              </w:rPr>
            </w:pPr>
            <w:r w:rsidRPr="009F352D">
              <w:rPr>
                <w:rFonts w:eastAsia="Times New Roman" w:cs="Calibri"/>
                <w:color w:val="000000"/>
                <w:sz w:val="20"/>
                <w:szCs w:val="20"/>
                <w:lang w:val="en-US"/>
              </w:rPr>
              <w:t>2 962,80</w:t>
            </w:r>
          </w:p>
        </w:tc>
        <w:tc>
          <w:tcPr>
            <w:tcW w:w="1166" w:type="dxa"/>
            <w:tcBorders>
              <w:top w:val="nil"/>
              <w:left w:val="nil"/>
              <w:bottom w:val="nil"/>
              <w:right w:val="single" w:sz="8" w:space="0" w:color="auto"/>
            </w:tcBorders>
            <w:shd w:val="clear" w:color="000000" w:fill="FFFFFF"/>
            <w:noWrap/>
            <w:vAlign w:val="bottom"/>
            <w:hideMark/>
          </w:tcPr>
          <w:p w14:paraId="42CCB9EF" w14:textId="77777777" w:rsidR="009F352D" w:rsidRPr="009F352D" w:rsidRDefault="009F352D" w:rsidP="009F352D">
            <w:pPr>
              <w:spacing w:after="0" w:line="240" w:lineRule="auto"/>
              <w:jc w:val="right"/>
              <w:rPr>
                <w:rFonts w:eastAsia="Times New Roman" w:cs="Calibri"/>
                <w:color w:val="000000"/>
                <w:sz w:val="20"/>
                <w:szCs w:val="20"/>
                <w:lang w:val="en-US"/>
              </w:rPr>
            </w:pPr>
            <w:r w:rsidRPr="009F352D">
              <w:rPr>
                <w:rFonts w:eastAsia="Times New Roman" w:cs="Calibri"/>
                <w:color w:val="000000"/>
                <w:sz w:val="20"/>
                <w:szCs w:val="20"/>
                <w:lang w:val="en-US"/>
              </w:rPr>
              <w:t>165,47</w:t>
            </w:r>
          </w:p>
        </w:tc>
        <w:tc>
          <w:tcPr>
            <w:tcW w:w="1132" w:type="dxa"/>
            <w:tcBorders>
              <w:top w:val="nil"/>
              <w:left w:val="nil"/>
              <w:bottom w:val="nil"/>
              <w:right w:val="single" w:sz="8" w:space="0" w:color="auto"/>
            </w:tcBorders>
            <w:shd w:val="clear" w:color="000000" w:fill="FFFFFF"/>
            <w:noWrap/>
            <w:vAlign w:val="bottom"/>
            <w:hideMark/>
          </w:tcPr>
          <w:p w14:paraId="4305D566" w14:textId="77777777" w:rsidR="009F352D" w:rsidRPr="009F352D" w:rsidRDefault="009F352D" w:rsidP="009F352D">
            <w:pPr>
              <w:spacing w:after="0" w:line="240" w:lineRule="auto"/>
              <w:jc w:val="right"/>
              <w:rPr>
                <w:rFonts w:eastAsia="Times New Roman" w:cs="Calibri"/>
                <w:color w:val="000000"/>
                <w:sz w:val="20"/>
                <w:szCs w:val="20"/>
                <w:lang w:val="en-US"/>
              </w:rPr>
            </w:pPr>
            <w:r w:rsidRPr="009F352D">
              <w:rPr>
                <w:rFonts w:eastAsia="Times New Roman" w:cs="Calibri"/>
                <w:color w:val="000000"/>
                <w:sz w:val="20"/>
                <w:szCs w:val="20"/>
                <w:lang w:val="en-US"/>
              </w:rPr>
              <w:t>2 797,33</w:t>
            </w:r>
          </w:p>
        </w:tc>
        <w:tc>
          <w:tcPr>
            <w:tcW w:w="1005" w:type="dxa"/>
            <w:tcBorders>
              <w:top w:val="nil"/>
              <w:left w:val="nil"/>
              <w:bottom w:val="nil"/>
              <w:right w:val="single" w:sz="8" w:space="0" w:color="auto"/>
            </w:tcBorders>
            <w:shd w:val="clear" w:color="auto" w:fill="auto"/>
            <w:vAlign w:val="bottom"/>
            <w:hideMark/>
          </w:tcPr>
          <w:p w14:paraId="51D88026" w14:textId="77777777" w:rsidR="009F352D" w:rsidRPr="009F352D" w:rsidRDefault="009F352D" w:rsidP="009F352D">
            <w:pPr>
              <w:spacing w:after="0" w:line="240" w:lineRule="auto"/>
              <w:jc w:val="center"/>
              <w:rPr>
                <w:rFonts w:eastAsia="Times New Roman" w:cs="Calibri"/>
                <w:color w:val="000000"/>
                <w:sz w:val="20"/>
                <w:szCs w:val="20"/>
                <w:lang w:val="en-US"/>
              </w:rPr>
            </w:pPr>
            <w:r w:rsidRPr="009F352D">
              <w:rPr>
                <w:rFonts w:eastAsia="Times New Roman" w:cs="Calibri"/>
                <w:color w:val="000000"/>
                <w:sz w:val="20"/>
                <w:szCs w:val="20"/>
                <w:lang w:val="en-US"/>
              </w:rPr>
              <w:t>1690,56%</w:t>
            </w:r>
          </w:p>
        </w:tc>
        <w:tc>
          <w:tcPr>
            <w:tcW w:w="236" w:type="dxa"/>
            <w:vAlign w:val="center"/>
            <w:hideMark/>
          </w:tcPr>
          <w:p w14:paraId="79B90054" w14:textId="77777777" w:rsidR="009F352D" w:rsidRPr="009F352D" w:rsidRDefault="009F352D" w:rsidP="009F352D">
            <w:pPr>
              <w:spacing w:after="0" w:line="240" w:lineRule="auto"/>
              <w:jc w:val="left"/>
              <w:rPr>
                <w:rFonts w:ascii="Times New Roman" w:eastAsia="Times New Roman" w:hAnsi="Times New Roman" w:cs="Times New Roman"/>
                <w:sz w:val="20"/>
                <w:szCs w:val="20"/>
                <w:lang w:val="en-US"/>
              </w:rPr>
            </w:pPr>
          </w:p>
        </w:tc>
      </w:tr>
      <w:tr w:rsidR="009F352D" w:rsidRPr="009F352D" w14:paraId="19A40D62" w14:textId="77777777" w:rsidTr="00481D7C">
        <w:trPr>
          <w:trHeight w:val="300"/>
        </w:trPr>
        <w:tc>
          <w:tcPr>
            <w:tcW w:w="855" w:type="dxa"/>
            <w:tcBorders>
              <w:top w:val="nil"/>
              <w:left w:val="single" w:sz="8" w:space="0" w:color="auto"/>
              <w:bottom w:val="single" w:sz="8" w:space="0" w:color="auto"/>
              <w:right w:val="single" w:sz="8" w:space="0" w:color="auto"/>
            </w:tcBorders>
            <w:shd w:val="clear" w:color="auto" w:fill="auto"/>
            <w:noWrap/>
            <w:vAlign w:val="center"/>
            <w:hideMark/>
          </w:tcPr>
          <w:p w14:paraId="634A0D02" w14:textId="77777777" w:rsidR="009F352D" w:rsidRPr="009F352D" w:rsidRDefault="009F352D" w:rsidP="009F352D">
            <w:pPr>
              <w:spacing w:after="0" w:line="240" w:lineRule="auto"/>
              <w:rPr>
                <w:rFonts w:eastAsia="Times New Roman" w:cs="Calibri"/>
                <w:color w:val="000000"/>
                <w:sz w:val="20"/>
                <w:szCs w:val="20"/>
                <w:lang w:val="en-US"/>
              </w:rPr>
            </w:pPr>
            <w:r w:rsidRPr="009F352D">
              <w:rPr>
                <w:rFonts w:eastAsia="Times New Roman" w:cs="Calibri"/>
                <w:color w:val="000000"/>
                <w:sz w:val="20"/>
                <w:szCs w:val="20"/>
                <w:lang w:val="en-US"/>
              </w:rPr>
              <w:t>5.1.1.06</w:t>
            </w:r>
          </w:p>
        </w:tc>
        <w:tc>
          <w:tcPr>
            <w:tcW w:w="3671" w:type="dxa"/>
            <w:tcBorders>
              <w:top w:val="nil"/>
              <w:left w:val="nil"/>
              <w:bottom w:val="single" w:sz="8" w:space="0" w:color="auto"/>
              <w:right w:val="single" w:sz="8" w:space="0" w:color="auto"/>
            </w:tcBorders>
            <w:shd w:val="clear" w:color="auto" w:fill="auto"/>
            <w:vAlign w:val="center"/>
            <w:hideMark/>
          </w:tcPr>
          <w:p w14:paraId="2AE1EF14" w14:textId="77777777" w:rsidR="009F352D" w:rsidRPr="009F352D" w:rsidRDefault="009F352D" w:rsidP="009F352D">
            <w:pPr>
              <w:spacing w:after="0" w:line="240" w:lineRule="auto"/>
              <w:rPr>
                <w:rFonts w:eastAsia="Times New Roman" w:cs="Calibri"/>
                <w:color w:val="000000"/>
                <w:sz w:val="20"/>
                <w:szCs w:val="20"/>
              </w:rPr>
            </w:pPr>
            <w:r w:rsidRPr="009F352D">
              <w:rPr>
                <w:rFonts w:eastAsia="Times New Roman" w:cs="Calibri"/>
                <w:color w:val="000000"/>
                <w:sz w:val="20"/>
                <w:szCs w:val="20"/>
              </w:rPr>
              <w:t>Asistencia social y beneficios al personal</w:t>
            </w:r>
          </w:p>
        </w:tc>
        <w:tc>
          <w:tcPr>
            <w:tcW w:w="1098" w:type="dxa"/>
            <w:tcBorders>
              <w:top w:val="nil"/>
              <w:left w:val="nil"/>
              <w:bottom w:val="single" w:sz="8" w:space="0" w:color="auto"/>
              <w:right w:val="single" w:sz="8" w:space="0" w:color="auto"/>
            </w:tcBorders>
            <w:shd w:val="clear" w:color="000000" w:fill="FFFFFF"/>
            <w:noWrap/>
            <w:vAlign w:val="bottom"/>
            <w:hideMark/>
          </w:tcPr>
          <w:p w14:paraId="389D9494" w14:textId="77777777" w:rsidR="009F352D" w:rsidRPr="009F352D" w:rsidRDefault="009F352D" w:rsidP="009F352D">
            <w:pPr>
              <w:spacing w:after="0" w:line="240" w:lineRule="auto"/>
              <w:jc w:val="right"/>
              <w:rPr>
                <w:rFonts w:eastAsia="Times New Roman" w:cs="Calibri"/>
                <w:color w:val="000000"/>
                <w:sz w:val="20"/>
                <w:szCs w:val="20"/>
                <w:lang w:val="en-US"/>
              </w:rPr>
            </w:pPr>
            <w:r w:rsidRPr="009F352D">
              <w:rPr>
                <w:rFonts w:eastAsia="Times New Roman" w:cs="Calibri"/>
                <w:color w:val="000000"/>
                <w:sz w:val="20"/>
                <w:szCs w:val="20"/>
                <w:lang w:val="en-US"/>
              </w:rPr>
              <w:t>20 882,73</w:t>
            </w:r>
          </w:p>
        </w:tc>
        <w:tc>
          <w:tcPr>
            <w:tcW w:w="1166" w:type="dxa"/>
            <w:tcBorders>
              <w:top w:val="nil"/>
              <w:left w:val="nil"/>
              <w:bottom w:val="single" w:sz="8" w:space="0" w:color="auto"/>
              <w:right w:val="single" w:sz="8" w:space="0" w:color="auto"/>
            </w:tcBorders>
            <w:shd w:val="clear" w:color="000000" w:fill="FFFFFF"/>
            <w:noWrap/>
            <w:vAlign w:val="bottom"/>
            <w:hideMark/>
          </w:tcPr>
          <w:p w14:paraId="1059C218" w14:textId="77777777" w:rsidR="009F352D" w:rsidRPr="009F352D" w:rsidRDefault="009F352D" w:rsidP="009F352D">
            <w:pPr>
              <w:spacing w:after="0" w:line="240" w:lineRule="auto"/>
              <w:jc w:val="right"/>
              <w:rPr>
                <w:rFonts w:eastAsia="Times New Roman" w:cs="Calibri"/>
                <w:color w:val="000000"/>
                <w:sz w:val="20"/>
                <w:szCs w:val="20"/>
                <w:lang w:val="en-US"/>
              </w:rPr>
            </w:pPr>
            <w:r w:rsidRPr="009F352D">
              <w:rPr>
                <w:rFonts w:eastAsia="Times New Roman" w:cs="Calibri"/>
                <w:color w:val="000000"/>
                <w:sz w:val="20"/>
                <w:szCs w:val="20"/>
                <w:lang w:val="en-US"/>
              </w:rPr>
              <w:t>2 954,16</w:t>
            </w:r>
          </w:p>
        </w:tc>
        <w:tc>
          <w:tcPr>
            <w:tcW w:w="1132" w:type="dxa"/>
            <w:tcBorders>
              <w:top w:val="nil"/>
              <w:left w:val="nil"/>
              <w:bottom w:val="single" w:sz="8" w:space="0" w:color="auto"/>
              <w:right w:val="single" w:sz="8" w:space="0" w:color="auto"/>
            </w:tcBorders>
            <w:shd w:val="clear" w:color="000000" w:fill="FFFFFF"/>
            <w:noWrap/>
            <w:vAlign w:val="bottom"/>
            <w:hideMark/>
          </w:tcPr>
          <w:p w14:paraId="5E77BB67" w14:textId="77777777" w:rsidR="009F352D" w:rsidRPr="009F352D" w:rsidRDefault="009F352D" w:rsidP="009F352D">
            <w:pPr>
              <w:spacing w:after="0" w:line="240" w:lineRule="auto"/>
              <w:jc w:val="right"/>
              <w:rPr>
                <w:rFonts w:eastAsia="Times New Roman" w:cs="Calibri"/>
                <w:color w:val="000000"/>
                <w:sz w:val="20"/>
                <w:szCs w:val="20"/>
                <w:lang w:val="en-US"/>
              </w:rPr>
            </w:pPr>
            <w:r w:rsidRPr="009F352D">
              <w:rPr>
                <w:rFonts w:eastAsia="Times New Roman" w:cs="Calibri"/>
                <w:color w:val="000000"/>
                <w:sz w:val="20"/>
                <w:szCs w:val="20"/>
                <w:lang w:val="en-US"/>
              </w:rPr>
              <w:t>17 928,57</w:t>
            </w:r>
          </w:p>
        </w:tc>
        <w:tc>
          <w:tcPr>
            <w:tcW w:w="1005" w:type="dxa"/>
            <w:tcBorders>
              <w:top w:val="nil"/>
              <w:left w:val="nil"/>
              <w:bottom w:val="nil"/>
              <w:right w:val="single" w:sz="8" w:space="0" w:color="auto"/>
            </w:tcBorders>
            <w:shd w:val="clear" w:color="auto" w:fill="auto"/>
            <w:vAlign w:val="bottom"/>
            <w:hideMark/>
          </w:tcPr>
          <w:p w14:paraId="325D5076" w14:textId="77777777" w:rsidR="009F352D" w:rsidRPr="009F352D" w:rsidRDefault="009F352D" w:rsidP="009F352D">
            <w:pPr>
              <w:spacing w:after="0" w:line="240" w:lineRule="auto"/>
              <w:jc w:val="center"/>
              <w:rPr>
                <w:rFonts w:eastAsia="Times New Roman" w:cs="Calibri"/>
                <w:color w:val="000000"/>
                <w:sz w:val="20"/>
                <w:szCs w:val="20"/>
                <w:lang w:val="en-US"/>
              </w:rPr>
            </w:pPr>
            <w:r w:rsidRPr="009F352D">
              <w:rPr>
                <w:rFonts w:eastAsia="Times New Roman" w:cs="Calibri"/>
                <w:color w:val="000000"/>
                <w:sz w:val="20"/>
                <w:szCs w:val="20"/>
                <w:lang w:val="en-US"/>
              </w:rPr>
              <w:t>606,89%</w:t>
            </w:r>
          </w:p>
        </w:tc>
        <w:tc>
          <w:tcPr>
            <w:tcW w:w="236" w:type="dxa"/>
            <w:vAlign w:val="center"/>
            <w:hideMark/>
          </w:tcPr>
          <w:p w14:paraId="40E483E0" w14:textId="77777777" w:rsidR="009F352D" w:rsidRPr="009F352D" w:rsidRDefault="009F352D" w:rsidP="009F352D">
            <w:pPr>
              <w:spacing w:after="0" w:line="240" w:lineRule="auto"/>
              <w:jc w:val="left"/>
              <w:rPr>
                <w:rFonts w:ascii="Times New Roman" w:eastAsia="Times New Roman" w:hAnsi="Times New Roman" w:cs="Times New Roman"/>
                <w:sz w:val="20"/>
                <w:szCs w:val="20"/>
                <w:lang w:val="en-US"/>
              </w:rPr>
            </w:pPr>
          </w:p>
        </w:tc>
      </w:tr>
      <w:tr w:rsidR="009F352D" w:rsidRPr="009F352D" w14:paraId="12E0286A" w14:textId="77777777" w:rsidTr="00481D7C">
        <w:trPr>
          <w:trHeight w:val="300"/>
        </w:trPr>
        <w:tc>
          <w:tcPr>
            <w:tcW w:w="855" w:type="dxa"/>
            <w:tcBorders>
              <w:top w:val="nil"/>
              <w:left w:val="single" w:sz="8" w:space="0" w:color="auto"/>
              <w:bottom w:val="single" w:sz="8" w:space="0" w:color="auto"/>
              <w:right w:val="single" w:sz="8" w:space="0" w:color="auto"/>
            </w:tcBorders>
            <w:shd w:val="clear" w:color="auto" w:fill="auto"/>
            <w:noWrap/>
            <w:vAlign w:val="center"/>
            <w:hideMark/>
          </w:tcPr>
          <w:p w14:paraId="45A21662" w14:textId="77777777" w:rsidR="009F352D" w:rsidRPr="009F352D" w:rsidRDefault="009F352D" w:rsidP="009F352D">
            <w:pPr>
              <w:spacing w:after="0" w:line="240" w:lineRule="auto"/>
              <w:rPr>
                <w:rFonts w:eastAsia="Times New Roman" w:cs="Calibri"/>
                <w:color w:val="000000"/>
                <w:sz w:val="20"/>
                <w:szCs w:val="20"/>
                <w:lang w:val="en-US"/>
              </w:rPr>
            </w:pPr>
            <w:r w:rsidRPr="009F352D">
              <w:rPr>
                <w:rFonts w:eastAsia="Times New Roman" w:cs="Calibri"/>
                <w:color w:val="000000"/>
                <w:sz w:val="20"/>
                <w:szCs w:val="20"/>
                <w:lang w:val="en-US"/>
              </w:rPr>
              <w:t> </w:t>
            </w:r>
          </w:p>
        </w:tc>
        <w:tc>
          <w:tcPr>
            <w:tcW w:w="3671" w:type="dxa"/>
            <w:tcBorders>
              <w:top w:val="nil"/>
              <w:left w:val="nil"/>
              <w:bottom w:val="single" w:sz="8" w:space="0" w:color="auto"/>
              <w:right w:val="single" w:sz="8" w:space="0" w:color="auto"/>
            </w:tcBorders>
            <w:shd w:val="clear" w:color="auto" w:fill="auto"/>
            <w:vAlign w:val="center"/>
            <w:hideMark/>
          </w:tcPr>
          <w:p w14:paraId="764186C3" w14:textId="77777777" w:rsidR="009F352D" w:rsidRPr="009F352D" w:rsidRDefault="009F352D" w:rsidP="009F352D">
            <w:pPr>
              <w:spacing w:after="0" w:line="240" w:lineRule="auto"/>
              <w:jc w:val="center"/>
              <w:rPr>
                <w:rFonts w:eastAsia="Times New Roman" w:cs="Calibri"/>
                <w:b/>
                <w:bCs/>
                <w:color w:val="000000"/>
                <w:sz w:val="20"/>
                <w:szCs w:val="20"/>
                <w:lang w:val="en-US"/>
              </w:rPr>
            </w:pPr>
            <w:r w:rsidRPr="009F352D">
              <w:rPr>
                <w:rFonts w:eastAsia="Times New Roman" w:cs="Calibri"/>
                <w:b/>
                <w:bCs/>
                <w:color w:val="000000"/>
                <w:sz w:val="20"/>
                <w:szCs w:val="20"/>
                <w:lang w:val="en-US"/>
              </w:rPr>
              <w:t>TOTALES</w:t>
            </w:r>
          </w:p>
        </w:tc>
        <w:tc>
          <w:tcPr>
            <w:tcW w:w="1098" w:type="dxa"/>
            <w:tcBorders>
              <w:top w:val="nil"/>
              <w:left w:val="nil"/>
              <w:bottom w:val="single" w:sz="8" w:space="0" w:color="auto"/>
              <w:right w:val="single" w:sz="8" w:space="0" w:color="auto"/>
            </w:tcBorders>
            <w:shd w:val="clear" w:color="auto" w:fill="auto"/>
            <w:noWrap/>
            <w:vAlign w:val="center"/>
            <w:hideMark/>
          </w:tcPr>
          <w:p w14:paraId="4ADBECE3" w14:textId="77777777" w:rsidR="009F352D" w:rsidRPr="009F352D" w:rsidRDefault="009F352D" w:rsidP="009F352D">
            <w:pPr>
              <w:spacing w:after="0" w:line="240" w:lineRule="auto"/>
              <w:ind w:left="-108"/>
              <w:jc w:val="right"/>
              <w:rPr>
                <w:rFonts w:eastAsia="Times New Roman" w:cs="Calibri"/>
                <w:b/>
                <w:bCs/>
                <w:color w:val="000000"/>
                <w:sz w:val="20"/>
                <w:szCs w:val="20"/>
                <w:lang w:val="en-US"/>
              </w:rPr>
            </w:pPr>
            <w:r w:rsidRPr="009F352D">
              <w:rPr>
                <w:rFonts w:ascii="Arial" w:eastAsia="Times New Roman" w:hAnsi="Arial" w:cs="Arial"/>
                <w:b/>
                <w:bCs/>
                <w:color w:val="000000"/>
                <w:sz w:val="20"/>
                <w:szCs w:val="20"/>
                <w:lang w:val="en-US"/>
              </w:rPr>
              <w:t>₡</w:t>
            </w:r>
            <w:r w:rsidRPr="009F352D">
              <w:rPr>
                <w:rFonts w:eastAsia="Times New Roman" w:cs="Calibri"/>
                <w:b/>
                <w:bCs/>
                <w:color w:val="000000"/>
                <w:sz w:val="20"/>
                <w:szCs w:val="20"/>
                <w:lang w:val="en-US"/>
              </w:rPr>
              <w:t>753 404,45</w:t>
            </w:r>
          </w:p>
        </w:tc>
        <w:tc>
          <w:tcPr>
            <w:tcW w:w="1166" w:type="dxa"/>
            <w:tcBorders>
              <w:top w:val="nil"/>
              <w:left w:val="nil"/>
              <w:bottom w:val="single" w:sz="8" w:space="0" w:color="auto"/>
              <w:right w:val="single" w:sz="8" w:space="0" w:color="auto"/>
            </w:tcBorders>
            <w:shd w:val="clear" w:color="auto" w:fill="auto"/>
            <w:noWrap/>
            <w:vAlign w:val="center"/>
            <w:hideMark/>
          </w:tcPr>
          <w:p w14:paraId="721B98A7" w14:textId="77777777" w:rsidR="009F352D" w:rsidRPr="009F352D" w:rsidRDefault="009F352D" w:rsidP="009F352D">
            <w:pPr>
              <w:spacing w:after="0" w:line="240" w:lineRule="auto"/>
              <w:ind w:left="-71"/>
              <w:jc w:val="right"/>
              <w:rPr>
                <w:rFonts w:eastAsia="Times New Roman" w:cs="Calibri"/>
                <w:b/>
                <w:bCs/>
                <w:color w:val="000000"/>
                <w:sz w:val="20"/>
                <w:szCs w:val="20"/>
                <w:lang w:val="en-US"/>
              </w:rPr>
            </w:pPr>
            <w:r w:rsidRPr="009F352D">
              <w:rPr>
                <w:rFonts w:ascii="Arial" w:eastAsia="Times New Roman" w:hAnsi="Arial" w:cs="Arial"/>
                <w:b/>
                <w:bCs/>
                <w:color w:val="000000"/>
                <w:sz w:val="20"/>
                <w:szCs w:val="20"/>
                <w:lang w:val="en-US"/>
              </w:rPr>
              <w:t>₡</w:t>
            </w:r>
            <w:r w:rsidRPr="009F352D">
              <w:rPr>
                <w:rFonts w:eastAsia="Times New Roman" w:cs="Calibri"/>
                <w:b/>
                <w:bCs/>
                <w:color w:val="000000"/>
                <w:sz w:val="20"/>
                <w:szCs w:val="20"/>
                <w:lang w:val="en-US"/>
              </w:rPr>
              <w:t>675 149,92</w:t>
            </w:r>
          </w:p>
        </w:tc>
        <w:tc>
          <w:tcPr>
            <w:tcW w:w="1132" w:type="dxa"/>
            <w:tcBorders>
              <w:top w:val="nil"/>
              <w:left w:val="nil"/>
              <w:bottom w:val="single" w:sz="8" w:space="0" w:color="auto"/>
              <w:right w:val="single" w:sz="8" w:space="0" w:color="auto"/>
            </w:tcBorders>
            <w:shd w:val="clear" w:color="auto" w:fill="auto"/>
            <w:noWrap/>
            <w:vAlign w:val="center"/>
            <w:hideMark/>
          </w:tcPr>
          <w:p w14:paraId="27BC36DB" w14:textId="77777777" w:rsidR="009F352D" w:rsidRPr="009F352D" w:rsidRDefault="009F352D" w:rsidP="009F352D">
            <w:pPr>
              <w:spacing w:after="0" w:line="240" w:lineRule="auto"/>
              <w:jc w:val="right"/>
              <w:rPr>
                <w:rFonts w:eastAsia="Times New Roman" w:cs="Calibri"/>
                <w:b/>
                <w:bCs/>
                <w:color w:val="000000"/>
                <w:sz w:val="20"/>
                <w:szCs w:val="20"/>
                <w:lang w:val="en-US"/>
              </w:rPr>
            </w:pPr>
            <w:r w:rsidRPr="009F352D">
              <w:rPr>
                <w:rFonts w:ascii="Arial" w:eastAsia="Times New Roman" w:hAnsi="Arial" w:cs="Arial"/>
                <w:b/>
                <w:bCs/>
                <w:color w:val="000000"/>
                <w:sz w:val="20"/>
                <w:szCs w:val="20"/>
                <w:lang w:val="en-US"/>
              </w:rPr>
              <w:t>₡</w:t>
            </w:r>
            <w:r w:rsidRPr="009F352D">
              <w:rPr>
                <w:rFonts w:eastAsia="Times New Roman" w:cs="Calibri"/>
                <w:b/>
                <w:bCs/>
                <w:color w:val="000000"/>
                <w:sz w:val="20"/>
                <w:szCs w:val="20"/>
                <w:lang w:val="en-US"/>
              </w:rPr>
              <w:t>78 254,54</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14:paraId="7A913085" w14:textId="77777777" w:rsidR="009F352D" w:rsidRPr="009F352D" w:rsidRDefault="009F352D" w:rsidP="009F352D">
            <w:pPr>
              <w:spacing w:after="0" w:line="240" w:lineRule="auto"/>
              <w:jc w:val="center"/>
              <w:rPr>
                <w:rFonts w:eastAsia="Times New Roman" w:cs="Calibri"/>
                <w:b/>
                <w:bCs/>
                <w:color w:val="000000"/>
                <w:sz w:val="20"/>
                <w:szCs w:val="20"/>
                <w:lang w:val="en-US"/>
              </w:rPr>
            </w:pPr>
            <w:r w:rsidRPr="009F352D">
              <w:rPr>
                <w:rFonts w:eastAsia="Times New Roman" w:cs="Calibri"/>
                <w:b/>
                <w:bCs/>
                <w:color w:val="000000"/>
                <w:sz w:val="20"/>
                <w:szCs w:val="20"/>
                <w:lang w:val="en-US"/>
              </w:rPr>
              <w:t>11,59%</w:t>
            </w:r>
          </w:p>
        </w:tc>
        <w:tc>
          <w:tcPr>
            <w:tcW w:w="236" w:type="dxa"/>
            <w:vAlign w:val="center"/>
            <w:hideMark/>
          </w:tcPr>
          <w:p w14:paraId="2EFF4AAA" w14:textId="77777777" w:rsidR="009F352D" w:rsidRPr="009F352D" w:rsidRDefault="009F352D" w:rsidP="009F352D">
            <w:pPr>
              <w:spacing w:after="0" w:line="240" w:lineRule="auto"/>
              <w:jc w:val="left"/>
              <w:rPr>
                <w:rFonts w:ascii="Times New Roman" w:eastAsia="Times New Roman" w:hAnsi="Times New Roman" w:cs="Times New Roman"/>
                <w:sz w:val="20"/>
                <w:szCs w:val="20"/>
                <w:lang w:val="en-US"/>
              </w:rPr>
            </w:pPr>
          </w:p>
        </w:tc>
      </w:tr>
    </w:tbl>
    <w:p w14:paraId="6D5D7F1C" w14:textId="36A7831A" w:rsidR="00D07FD1" w:rsidRDefault="00D07FD1" w:rsidP="00D07FD1">
      <w:pPr>
        <w:tabs>
          <w:tab w:val="left" w:pos="2193"/>
        </w:tabs>
        <w:spacing w:after="0" w:line="240" w:lineRule="auto"/>
        <w:rPr>
          <w:rFonts w:eastAsiaTheme="minorEastAsia" w:cs="Arial Narrow"/>
          <w:color w:val="000000"/>
          <w:lang w:eastAsia="es-CR"/>
        </w:rPr>
      </w:pPr>
      <w:r>
        <w:rPr>
          <w:rFonts w:eastAsiaTheme="minorEastAsia" w:cs="Arial Narrow"/>
          <w:color w:val="000000"/>
          <w:lang w:eastAsia="es-CR"/>
        </w:rPr>
        <w:tab/>
      </w:r>
    </w:p>
    <w:p w14:paraId="334FD53E" w14:textId="59C79DFE" w:rsidR="00D07FD1" w:rsidRDefault="00D07FD1" w:rsidP="00D07FD1">
      <w:pPr>
        <w:spacing w:after="0" w:line="240" w:lineRule="auto"/>
      </w:pPr>
      <w:r>
        <w:t>Como se observa en el cuadro anterior l</w:t>
      </w:r>
      <w:r w:rsidRPr="006824DA">
        <w:t>a variaci</w:t>
      </w:r>
      <w:r>
        <w:t>ón</w:t>
      </w:r>
      <w:r w:rsidRPr="006824DA">
        <w:t xml:space="preserve"> </w:t>
      </w:r>
      <w:r>
        <w:t xml:space="preserve">(aumento) </w:t>
      </w:r>
      <w:r w:rsidRPr="006824DA">
        <w:t>de</w:t>
      </w:r>
      <w:r>
        <w:t xml:space="preserve"> </w:t>
      </w:r>
      <w:r w:rsidRPr="00481D7C">
        <w:rPr>
          <w:rFonts w:ascii="Arial" w:hAnsi="Arial" w:cs="Arial"/>
        </w:rPr>
        <w:t>₡</w:t>
      </w:r>
      <w:r w:rsidR="009F352D">
        <w:t>78 254</w:t>
      </w:r>
      <w:r w:rsidRPr="001750FE">
        <w:t>,</w:t>
      </w:r>
      <w:r>
        <w:t>5</w:t>
      </w:r>
      <w:r w:rsidR="009F352D">
        <w:t>4</w:t>
      </w:r>
      <w:r w:rsidRPr="001750FE">
        <w:t xml:space="preserve"> miles</w:t>
      </w:r>
      <w:r>
        <w:t xml:space="preserve"> en </w:t>
      </w:r>
      <w:r w:rsidRPr="006824DA">
        <w:t>la cuenta</w:t>
      </w:r>
      <w:r>
        <w:t xml:space="preserve"> Gastos en Personal,</w:t>
      </w:r>
      <w:r w:rsidRPr="006824DA">
        <w:t xml:space="preserve"> </w:t>
      </w:r>
      <w:r>
        <w:t>es</w:t>
      </w:r>
      <w:r w:rsidRPr="006824DA">
        <w:t xml:space="preserve"> producto</w:t>
      </w:r>
      <w:r>
        <w:t xml:space="preserve"> del efecto neto</w:t>
      </w:r>
      <w:r w:rsidRPr="006824DA">
        <w:t xml:space="preserve"> de los incrementos </w:t>
      </w:r>
      <w:r>
        <w:t xml:space="preserve">y disminuciones que se dan en los diferentes rubros relacionados con gastos en personal. </w:t>
      </w:r>
    </w:p>
    <w:p w14:paraId="18B4757B" w14:textId="77777777" w:rsidR="00D07FD1" w:rsidRDefault="00D07FD1" w:rsidP="00D07FD1">
      <w:pPr>
        <w:spacing w:after="0" w:line="240" w:lineRule="auto"/>
      </w:pPr>
    </w:p>
    <w:p w14:paraId="5E0BADDF" w14:textId="5E1FBCB9" w:rsidR="00D07FD1" w:rsidRDefault="00D07FD1" w:rsidP="00D07FD1">
      <w:pPr>
        <w:spacing w:after="0" w:line="240" w:lineRule="auto"/>
      </w:pPr>
      <w:r>
        <w:t>Sobre el particular, se presentaron aumentos en las siguientes cuentas “Remuneraciones eventuales”, Incentivos salariales”, “Asistencia social y beneficios al personal”</w:t>
      </w:r>
      <w:r w:rsidR="00481D7C">
        <w:t>, “Contribuciones patronales al desarrollo y la seguridad social”,</w:t>
      </w:r>
      <w:r>
        <w:t xml:space="preserve"> </w:t>
      </w:r>
      <w:r w:rsidR="00481D7C">
        <w:t>“</w:t>
      </w:r>
      <w:r w:rsidR="00481D7C" w:rsidRPr="009F352D">
        <w:t>Contribuciones patronales a fondos de pensiones y a otros fondos de capitalización</w:t>
      </w:r>
      <w:r w:rsidR="00481D7C" w:rsidRPr="00481D7C">
        <w:t>” y</w:t>
      </w:r>
      <w:r w:rsidR="00481D7C">
        <w:t xml:space="preserve"> “</w:t>
      </w:r>
      <w:r w:rsidR="00481D7C" w:rsidRPr="009F352D">
        <w:t>Asistencia social y beneficios al personal</w:t>
      </w:r>
      <w:r w:rsidR="00481D7C">
        <w:t xml:space="preserve">” </w:t>
      </w:r>
      <w:r>
        <w:t xml:space="preserve">por las sumas de </w:t>
      </w:r>
      <w:r w:rsidRPr="00953CBE">
        <w:rPr>
          <w:rFonts w:ascii="Arial" w:hAnsi="Arial" w:cs="Arial"/>
        </w:rPr>
        <w:t>₡</w:t>
      </w:r>
      <w:r w:rsidRPr="00F071F6">
        <w:t>1</w:t>
      </w:r>
      <w:r w:rsidR="00481D7C">
        <w:t>4</w:t>
      </w:r>
      <w:r w:rsidRPr="00953CBE">
        <w:t> </w:t>
      </w:r>
      <w:r w:rsidR="00481D7C">
        <w:t>065</w:t>
      </w:r>
      <w:r w:rsidRPr="00953CBE">
        <w:t>,</w:t>
      </w:r>
      <w:r w:rsidR="00481D7C">
        <w:t>00</w:t>
      </w:r>
      <w:r w:rsidRPr="00953CBE">
        <w:t xml:space="preserve"> miles, </w:t>
      </w:r>
      <w:r w:rsidRPr="00953CBE">
        <w:rPr>
          <w:rFonts w:ascii="Arial" w:hAnsi="Arial" w:cs="Arial"/>
        </w:rPr>
        <w:t>₡</w:t>
      </w:r>
      <w:r w:rsidR="00481D7C">
        <w:t>50</w:t>
      </w:r>
      <w:r w:rsidRPr="00953CBE">
        <w:t> 4</w:t>
      </w:r>
      <w:r w:rsidR="00481D7C">
        <w:t>43</w:t>
      </w:r>
      <w:r w:rsidRPr="00953CBE">
        <w:t>,</w:t>
      </w:r>
      <w:r>
        <w:t>3</w:t>
      </w:r>
      <w:r w:rsidR="00481D7C">
        <w:t>4</w:t>
      </w:r>
      <w:r w:rsidRPr="00953CBE">
        <w:t xml:space="preserve"> miles</w:t>
      </w:r>
      <w:r w:rsidR="00481D7C">
        <w:t xml:space="preserve">, </w:t>
      </w:r>
      <w:r w:rsidR="00481D7C" w:rsidRPr="00953CBE">
        <w:rPr>
          <w:rFonts w:ascii="Arial" w:hAnsi="Arial" w:cs="Arial"/>
        </w:rPr>
        <w:t>₡</w:t>
      </w:r>
      <w:r w:rsidR="00481D7C">
        <w:t>31</w:t>
      </w:r>
      <w:r w:rsidR="00481D7C" w:rsidRPr="00953CBE">
        <w:t> </w:t>
      </w:r>
      <w:r w:rsidR="00481D7C">
        <w:t>900</w:t>
      </w:r>
      <w:r w:rsidR="00481D7C" w:rsidRPr="00953CBE">
        <w:t>,</w:t>
      </w:r>
      <w:r w:rsidR="00481D7C">
        <w:t>66</w:t>
      </w:r>
      <w:r w:rsidR="00481D7C" w:rsidRPr="00953CBE">
        <w:t xml:space="preserve"> miles</w:t>
      </w:r>
      <w:r w:rsidR="00481D7C">
        <w:t>,</w:t>
      </w:r>
      <w:r w:rsidRPr="00953CBE">
        <w:t xml:space="preserve"> </w:t>
      </w:r>
      <w:r w:rsidR="00481D7C" w:rsidRPr="00481D7C">
        <w:rPr>
          <w:rFonts w:ascii="Arial" w:hAnsi="Arial" w:cs="Arial"/>
        </w:rPr>
        <w:t>₡</w:t>
      </w:r>
      <w:r w:rsidR="00481D7C" w:rsidRPr="009F352D">
        <w:t>2 797,33</w:t>
      </w:r>
      <w:r w:rsidR="00481D7C" w:rsidRPr="00481D7C">
        <w:t xml:space="preserve"> miles y </w:t>
      </w:r>
      <w:r w:rsidRPr="00481D7C">
        <w:rPr>
          <w:rFonts w:ascii="Arial" w:hAnsi="Arial" w:cs="Arial"/>
        </w:rPr>
        <w:t>₡</w:t>
      </w:r>
      <w:r>
        <w:t>1</w:t>
      </w:r>
      <w:r w:rsidR="00481D7C">
        <w:t>7</w:t>
      </w:r>
      <w:r w:rsidRPr="00953CBE">
        <w:t> </w:t>
      </w:r>
      <w:r w:rsidR="00481D7C">
        <w:t>9</w:t>
      </w:r>
      <w:r>
        <w:t>2</w:t>
      </w:r>
      <w:r w:rsidR="00481D7C">
        <w:t>8</w:t>
      </w:r>
      <w:r w:rsidRPr="00953CBE">
        <w:t>,</w:t>
      </w:r>
      <w:r>
        <w:t>5</w:t>
      </w:r>
      <w:r w:rsidR="00481D7C">
        <w:t>7</w:t>
      </w:r>
      <w:r w:rsidRPr="00953CBE">
        <w:t xml:space="preserve"> miles</w:t>
      </w:r>
      <w:r>
        <w:t xml:space="preserve"> </w:t>
      </w:r>
      <w:r w:rsidR="00481D7C">
        <w:t>en ese orden</w:t>
      </w:r>
      <w:r>
        <w:t>; asimismo, se present</w:t>
      </w:r>
      <w:r w:rsidR="00481D7C">
        <w:t>ó</w:t>
      </w:r>
      <w:r>
        <w:t xml:space="preserve"> disminuci</w:t>
      </w:r>
      <w:r w:rsidR="00481D7C">
        <w:t>ó</w:t>
      </w:r>
      <w:r>
        <w:t xml:space="preserve">n en la cuenta de “Remuneraciones básicas” </w:t>
      </w:r>
      <w:r w:rsidR="00466989">
        <w:t>por</w:t>
      </w:r>
      <w:r w:rsidR="00481D7C">
        <w:t xml:space="preserve"> </w:t>
      </w:r>
      <w:r w:rsidR="009F352D" w:rsidRPr="006824DA">
        <w:t>-</w:t>
      </w:r>
      <w:r w:rsidR="00466989" w:rsidRPr="00466989">
        <w:rPr>
          <w:rFonts w:ascii="Arial" w:hAnsi="Arial" w:cs="Arial"/>
        </w:rPr>
        <w:t>₡</w:t>
      </w:r>
      <w:r w:rsidR="00466989" w:rsidRPr="00466989">
        <w:t>3</w:t>
      </w:r>
      <w:r w:rsidR="00481D7C">
        <w:t>8</w:t>
      </w:r>
      <w:r w:rsidR="00466989" w:rsidRPr="00466989">
        <w:t> </w:t>
      </w:r>
      <w:r w:rsidR="00481D7C">
        <w:t>8</w:t>
      </w:r>
      <w:r w:rsidR="00466989" w:rsidRPr="00466989">
        <w:t>8</w:t>
      </w:r>
      <w:r w:rsidR="00481D7C">
        <w:t>0</w:t>
      </w:r>
      <w:r w:rsidR="00466989" w:rsidRPr="00466989">
        <w:t>,</w:t>
      </w:r>
      <w:r w:rsidR="00481D7C">
        <w:t>36</w:t>
      </w:r>
      <w:r w:rsidR="00466989">
        <w:t xml:space="preserve"> miles</w:t>
      </w:r>
      <w:r>
        <w:t>.</w:t>
      </w:r>
    </w:p>
    <w:p w14:paraId="011A3B14" w14:textId="77777777" w:rsidR="00D07FD1" w:rsidRDefault="00D07FD1" w:rsidP="00D07FD1">
      <w:pPr>
        <w:spacing w:after="0" w:line="240" w:lineRule="auto"/>
      </w:pPr>
    </w:p>
    <w:p w14:paraId="3FC9946C" w14:textId="25229556" w:rsidR="00D07FD1" w:rsidRDefault="00D07FD1" w:rsidP="00D07FD1">
      <w:pPr>
        <w:tabs>
          <w:tab w:val="left" w:pos="2193"/>
        </w:tabs>
        <w:spacing w:after="0" w:line="240" w:lineRule="auto"/>
      </w:pPr>
      <w:r>
        <w:t>El detalle de la composición de cada rubro de los que componen los Gastos en personal es el siguiente:</w:t>
      </w:r>
    </w:p>
    <w:p w14:paraId="026248C8" w14:textId="77777777" w:rsidR="00466989" w:rsidRDefault="00466989" w:rsidP="00D07FD1">
      <w:pPr>
        <w:tabs>
          <w:tab w:val="left" w:pos="2193"/>
        </w:tabs>
        <w:spacing w:after="0" w:line="240" w:lineRule="auto"/>
      </w:pPr>
    </w:p>
    <w:tbl>
      <w:tblPr>
        <w:tblW w:w="9029" w:type="dxa"/>
        <w:tblLook w:val="04A0" w:firstRow="1" w:lastRow="0" w:firstColumn="1" w:lastColumn="0" w:noHBand="0" w:noVBand="1"/>
      </w:tblPr>
      <w:tblGrid>
        <w:gridCol w:w="1083"/>
        <w:gridCol w:w="3441"/>
        <w:gridCol w:w="1134"/>
        <w:gridCol w:w="1134"/>
        <w:gridCol w:w="1134"/>
        <w:gridCol w:w="881"/>
        <w:gridCol w:w="222"/>
      </w:tblGrid>
      <w:tr w:rsidR="0095484D" w:rsidRPr="0095484D" w14:paraId="41087C74" w14:textId="77777777" w:rsidTr="0095484D">
        <w:trPr>
          <w:gridAfter w:val="1"/>
          <w:wAfter w:w="222" w:type="dxa"/>
          <w:trHeight w:val="457"/>
        </w:trPr>
        <w:tc>
          <w:tcPr>
            <w:tcW w:w="1083" w:type="dxa"/>
            <w:vMerge w:val="restart"/>
            <w:tcBorders>
              <w:top w:val="single" w:sz="8" w:space="0" w:color="auto"/>
              <w:left w:val="single" w:sz="8" w:space="0" w:color="auto"/>
              <w:bottom w:val="nil"/>
              <w:right w:val="single" w:sz="8" w:space="0" w:color="auto"/>
            </w:tcBorders>
            <w:shd w:val="clear" w:color="000000" w:fill="203764"/>
            <w:noWrap/>
            <w:vAlign w:val="center"/>
            <w:hideMark/>
          </w:tcPr>
          <w:p w14:paraId="1EE0913D" w14:textId="77777777" w:rsidR="0095484D" w:rsidRPr="0095484D" w:rsidRDefault="0095484D" w:rsidP="0095484D">
            <w:pPr>
              <w:spacing w:after="0" w:line="240" w:lineRule="auto"/>
              <w:jc w:val="center"/>
              <w:rPr>
                <w:rFonts w:eastAsia="Times New Roman" w:cs="Calibri"/>
                <w:b/>
                <w:bCs/>
                <w:color w:val="FFFFFF"/>
                <w:sz w:val="18"/>
                <w:szCs w:val="18"/>
                <w:lang w:val="en-US"/>
              </w:rPr>
            </w:pPr>
            <w:r w:rsidRPr="0095484D">
              <w:rPr>
                <w:rFonts w:eastAsia="Times New Roman" w:cs="Calibri"/>
                <w:b/>
                <w:bCs/>
                <w:color w:val="FFFFFF"/>
                <w:sz w:val="18"/>
                <w:szCs w:val="18"/>
                <w:lang w:val="en-US"/>
              </w:rPr>
              <w:t>Cuenta</w:t>
            </w:r>
          </w:p>
        </w:tc>
        <w:tc>
          <w:tcPr>
            <w:tcW w:w="3443" w:type="dxa"/>
            <w:vMerge w:val="restart"/>
            <w:tcBorders>
              <w:top w:val="single" w:sz="8" w:space="0" w:color="auto"/>
              <w:left w:val="single" w:sz="8" w:space="0" w:color="auto"/>
              <w:bottom w:val="nil"/>
              <w:right w:val="single" w:sz="8" w:space="0" w:color="auto"/>
            </w:tcBorders>
            <w:shd w:val="clear" w:color="000000" w:fill="203764"/>
            <w:vAlign w:val="center"/>
            <w:hideMark/>
          </w:tcPr>
          <w:p w14:paraId="283089CF" w14:textId="77777777" w:rsidR="0095484D" w:rsidRPr="0095484D" w:rsidRDefault="0095484D" w:rsidP="0095484D">
            <w:pPr>
              <w:spacing w:after="0" w:line="240" w:lineRule="auto"/>
              <w:jc w:val="center"/>
              <w:rPr>
                <w:rFonts w:eastAsia="Times New Roman" w:cs="Calibri"/>
                <w:b/>
                <w:bCs/>
                <w:color w:val="FFFFFF"/>
                <w:sz w:val="18"/>
                <w:szCs w:val="18"/>
                <w:lang w:val="en-US"/>
              </w:rPr>
            </w:pPr>
            <w:r w:rsidRPr="0095484D">
              <w:rPr>
                <w:rFonts w:eastAsia="Times New Roman" w:cs="Calibri"/>
                <w:b/>
                <w:bCs/>
                <w:color w:val="FFFFFF"/>
                <w:sz w:val="18"/>
                <w:szCs w:val="18"/>
                <w:lang w:val="en-US"/>
              </w:rPr>
              <w:t>Descripción</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203764"/>
            <w:noWrap/>
            <w:vAlign w:val="center"/>
            <w:hideMark/>
          </w:tcPr>
          <w:p w14:paraId="692389F6" w14:textId="77777777" w:rsidR="0095484D" w:rsidRPr="0095484D" w:rsidRDefault="0095484D" w:rsidP="0095484D">
            <w:pPr>
              <w:spacing w:after="0" w:line="240" w:lineRule="auto"/>
              <w:jc w:val="center"/>
              <w:rPr>
                <w:rFonts w:eastAsia="Times New Roman" w:cs="Calibri"/>
                <w:color w:val="FFFFFF"/>
                <w:sz w:val="18"/>
                <w:szCs w:val="18"/>
                <w:lang w:val="en-US"/>
              </w:rPr>
            </w:pPr>
            <w:r w:rsidRPr="0095484D">
              <w:rPr>
                <w:rFonts w:eastAsia="Times New Roman" w:cs="Calibri"/>
                <w:color w:val="FFFFFF"/>
                <w:sz w:val="18"/>
                <w:szCs w:val="18"/>
                <w:lang w:val="en-US"/>
              </w:rPr>
              <w:t>Saldo Actual</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203764"/>
            <w:vAlign w:val="center"/>
            <w:hideMark/>
          </w:tcPr>
          <w:p w14:paraId="13709250" w14:textId="77777777" w:rsidR="0095484D" w:rsidRPr="0095484D" w:rsidRDefault="0095484D" w:rsidP="0095484D">
            <w:pPr>
              <w:spacing w:after="0" w:line="240" w:lineRule="auto"/>
              <w:jc w:val="center"/>
              <w:rPr>
                <w:rFonts w:eastAsia="Times New Roman" w:cs="Calibri"/>
                <w:color w:val="FFFFFF"/>
                <w:sz w:val="18"/>
                <w:szCs w:val="18"/>
                <w:lang w:val="en-US"/>
              </w:rPr>
            </w:pPr>
            <w:r w:rsidRPr="0095484D">
              <w:rPr>
                <w:rFonts w:eastAsia="Times New Roman" w:cs="Calibri"/>
                <w:color w:val="FFFFFF"/>
                <w:sz w:val="18"/>
                <w:szCs w:val="18"/>
                <w:lang w:val="en-US"/>
              </w:rPr>
              <w:t>Saldo Anterior</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203764"/>
            <w:vAlign w:val="center"/>
            <w:hideMark/>
          </w:tcPr>
          <w:p w14:paraId="60A9C8C6" w14:textId="77777777" w:rsidR="0095484D" w:rsidRPr="0095484D" w:rsidRDefault="0095484D" w:rsidP="0095484D">
            <w:pPr>
              <w:spacing w:after="0" w:line="240" w:lineRule="auto"/>
              <w:jc w:val="center"/>
              <w:rPr>
                <w:rFonts w:eastAsia="Times New Roman" w:cs="Calibri"/>
                <w:color w:val="FFFFFF"/>
                <w:sz w:val="18"/>
                <w:szCs w:val="18"/>
                <w:lang w:val="en-US"/>
              </w:rPr>
            </w:pPr>
            <w:r w:rsidRPr="0095484D">
              <w:rPr>
                <w:rFonts w:eastAsia="Times New Roman" w:cs="Calibri"/>
                <w:color w:val="FFFFFF"/>
                <w:sz w:val="18"/>
                <w:szCs w:val="18"/>
                <w:lang w:val="en-US"/>
              </w:rPr>
              <w:t>Diferencia Absoluta</w:t>
            </w:r>
          </w:p>
        </w:tc>
        <w:tc>
          <w:tcPr>
            <w:tcW w:w="879" w:type="dxa"/>
            <w:vMerge w:val="restart"/>
            <w:tcBorders>
              <w:top w:val="single" w:sz="8" w:space="0" w:color="auto"/>
              <w:left w:val="single" w:sz="8" w:space="0" w:color="auto"/>
              <w:bottom w:val="single" w:sz="8" w:space="0" w:color="000000"/>
              <w:right w:val="single" w:sz="8" w:space="0" w:color="auto"/>
            </w:tcBorders>
            <w:shd w:val="clear" w:color="000000" w:fill="203764"/>
            <w:vAlign w:val="center"/>
            <w:hideMark/>
          </w:tcPr>
          <w:p w14:paraId="6C88393B" w14:textId="77777777" w:rsidR="0095484D" w:rsidRPr="0095484D" w:rsidRDefault="0095484D" w:rsidP="0095484D">
            <w:pPr>
              <w:spacing w:after="0" w:line="240" w:lineRule="auto"/>
              <w:jc w:val="center"/>
              <w:rPr>
                <w:rFonts w:eastAsia="Times New Roman" w:cs="Calibri"/>
                <w:color w:val="FFFFFF"/>
                <w:sz w:val="18"/>
                <w:szCs w:val="18"/>
                <w:lang w:val="en-US"/>
              </w:rPr>
            </w:pPr>
            <w:r w:rsidRPr="0095484D">
              <w:rPr>
                <w:rFonts w:eastAsia="Times New Roman" w:cs="Calibri"/>
                <w:color w:val="FFFFFF"/>
                <w:sz w:val="18"/>
                <w:szCs w:val="18"/>
                <w:lang w:val="en-US"/>
              </w:rPr>
              <w:t>Diferencia %</w:t>
            </w:r>
          </w:p>
        </w:tc>
      </w:tr>
      <w:tr w:rsidR="0095484D" w:rsidRPr="0095484D" w14:paraId="00D2ADC0" w14:textId="77777777" w:rsidTr="0095484D">
        <w:trPr>
          <w:trHeight w:val="300"/>
        </w:trPr>
        <w:tc>
          <w:tcPr>
            <w:tcW w:w="1083" w:type="dxa"/>
            <w:vMerge/>
            <w:tcBorders>
              <w:top w:val="single" w:sz="8" w:space="0" w:color="auto"/>
              <w:left w:val="single" w:sz="8" w:space="0" w:color="auto"/>
              <w:bottom w:val="nil"/>
              <w:right w:val="single" w:sz="8" w:space="0" w:color="auto"/>
            </w:tcBorders>
            <w:vAlign w:val="center"/>
            <w:hideMark/>
          </w:tcPr>
          <w:p w14:paraId="7D9B36E4" w14:textId="77777777" w:rsidR="0095484D" w:rsidRPr="0095484D" w:rsidRDefault="0095484D" w:rsidP="0095484D">
            <w:pPr>
              <w:spacing w:after="0" w:line="240" w:lineRule="auto"/>
              <w:jc w:val="left"/>
              <w:rPr>
                <w:rFonts w:eastAsia="Times New Roman" w:cs="Calibri"/>
                <w:b/>
                <w:bCs/>
                <w:color w:val="FFFFFF"/>
                <w:sz w:val="18"/>
                <w:szCs w:val="18"/>
                <w:lang w:val="en-US"/>
              </w:rPr>
            </w:pPr>
          </w:p>
        </w:tc>
        <w:tc>
          <w:tcPr>
            <w:tcW w:w="3443" w:type="dxa"/>
            <w:vMerge/>
            <w:tcBorders>
              <w:top w:val="single" w:sz="8" w:space="0" w:color="auto"/>
              <w:left w:val="single" w:sz="8" w:space="0" w:color="auto"/>
              <w:bottom w:val="nil"/>
              <w:right w:val="single" w:sz="8" w:space="0" w:color="auto"/>
            </w:tcBorders>
            <w:vAlign w:val="center"/>
            <w:hideMark/>
          </w:tcPr>
          <w:p w14:paraId="4695D757" w14:textId="77777777" w:rsidR="0095484D" w:rsidRPr="0095484D" w:rsidRDefault="0095484D" w:rsidP="0095484D">
            <w:pPr>
              <w:spacing w:after="0" w:line="240" w:lineRule="auto"/>
              <w:jc w:val="left"/>
              <w:rPr>
                <w:rFonts w:eastAsia="Times New Roman" w:cs="Calibri"/>
                <w:b/>
                <w:bCs/>
                <w:color w:val="FFFFFF"/>
                <w:sz w:val="18"/>
                <w:szCs w:val="18"/>
                <w:lang w:val="en-US"/>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7D731106" w14:textId="77777777" w:rsidR="0095484D" w:rsidRPr="0095484D" w:rsidRDefault="0095484D" w:rsidP="0095484D">
            <w:pPr>
              <w:spacing w:after="0" w:line="240" w:lineRule="auto"/>
              <w:jc w:val="left"/>
              <w:rPr>
                <w:rFonts w:eastAsia="Times New Roman" w:cs="Calibri"/>
                <w:color w:val="FFFFFF"/>
                <w:sz w:val="18"/>
                <w:szCs w:val="18"/>
                <w:lang w:val="en-US"/>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42610D03" w14:textId="77777777" w:rsidR="0095484D" w:rsidRPr="0095484D" w:rsidRDefault="0095484D" w:rsidP="0095484D">
            <w:pPr>
              <w:spacing w:after="0" w:line="240" w:lineRule="auto"/>
              <w:jc w:val="left"/>
              <w:rPr>
                <w:rFonts w:eastAsia="Times New Roman" w:cs="Calibri"/>
                <w:color w:val="FFFFFF"/>
                <w:sz w:val="18"/>
                <w:szCs w:val="18"/>
                <w:lang w:val="en-US"/>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203D136B" w14:textId="77777777" w:rsidR="0095484D" w:rsidRPr="0095484D" w:rsidRDefault="0095484D" w:rsidP="0095484D">
            <w:pPr>
              <w:spacing w:after="0" w:line="240" w:lineRule="auto"/>
              <w:jc w:val="left"/>
              <w:rPr>
                <w:rFonts w:eastAsia="Times New Roman" w:cs="Calibri"/>
                <w:color w:val="FFFFFF"/>
                <w:sz w:val="18"/>
                <w:szCs w:val="18"/>
                <w:lang w:val="en-US"/>
              </w:rPr>
            </w:pPr>
          </w:p>
        </w:tc>
        <w:tc>
          <w:tcPr>
            <w:tcW w:w="879" w:type="dxa"/>
            <w:vMerge/>
            <w:tcBorders>
              <w:top w:val="single" w:sz="8" w:space="0" w:color="auto"/>
              <w:left w:val="single" w:sz="8" w:space="0" w:color="auto"/>
              <w:bottom w:val="single" w:sz="8" w:space="0" w:color="000000"/>
              <w:right w:val="single" w:sz="8" w:space="0" w:color="auto"/>
            </w:tcBorders>
            <w:vAlign w:val="center"/>
            <w:hideMark/>
          </w:tcPr>
          <w:p w14:paraId="621EB5DA" w14:textId="77777777" w:rsidR="0095484D" w:rsidRPr="0095484D" w:rsidRDefault="0095484D" w:rsidP="0095484D">
            <w:pPr>
              <w:spacing w:after="0" w:line="240" w:lineRule="auto"/>
              <w:jc w:val="left"/>
              <w:rPr>
                <w:rFonts w:eastAsia="Times New Roman" w:cs="Calibri"/>
                <w:color w:val="FFFFFF"/>
                <w:sz w:val="18"/>
                <w:szCs w:val="18"/>
                <w:lang w:val="en-US"/>
              </w:rPr>
            </w:pPr>
          </w:p>
        </w:tc>
        <w:tc>
          <w:tcPr>
            <w:tcW w:w="222" w:type="dxa"/>
            <w:tcBorders>
              <w:top w:val="nil"/>
              <w:left w:val="nil"/>
              <w:bottom w:val="nil"/>
              <w:right w:val="nil"/>
            </w:tcBorders>
            <w:shd w:val="clear" w:color="auto" w:fill="auto"/>
            <w:noWrap/>
            <w:vAlign w:val="bottom"/>
            <w:hideMark/>
          </w:tcPr>
          <w:p w14:paraId="4F335F0F" w14:textId="77777777" w:rsidR="0095484D" w:rsidRPr="0095484D" w:rsidRDefault="0095484D" w:rsidP="0095484D">
            <w:pPr>
              <w:spacing w:after="0" w:line="240" w:lineRule="auto"/>
              <w:jc w:val="center"/>
              <w:rPr>
                <w:rFonts w:eastAsia="Times New Roman" w:cs="Calibri"/>
                <w:color w:val="FFFFFF"/>
                <w:sz w:val="18"/>
                <w:szCs w:val="18"/>
                <w:lang w:val="en-US"/>
              </w:rPr>
            </w:pPr>
          </w:p>
        </w:tc>
      </w:tr>
      <w:tr w:rsidR="0095484D" w:rsidRPr="0095484D" w14:paraId="0B462FAF" w14:textId="77777777" w:rsidTr="0095484D">
        <w:trPr>
          <w:trHeight w:val="300"/>
        </w:trPr>
        <w:tc>
          <w:tcPr>
            <w:tcW w:w="10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60566C" w14:textId="77777777" w:rsidR="0095484D" w:rsidRPr="0095484D" w:rsidRDefault="0095484D" w:rsidP="0095484D">
            <w:pPr>
              <w:spacing w:after="0" w:line="240" w:lineRule="auto"/>
              <w:rPr>
                <w:rFonts w:eastAsia="Times New Roman" w:cs="Calibri"/>
                <w:b/>
                <w:bCs/>
                <w:color w:val="000000"/>
                <w:sz w:val="18"/>
                <w:szCs w:val="18"/>
                <w:lang w:val="en-US"/>
              </w:rPr>
            </w:pPr>
            <w:r w:rsidRPr="0095484D">
              <w:rPr>
                <w:rFonts w:eastAsia="Times New Roman" w:cs="Calibri"/>
                <w:b/>
                <w:bCs/>
                <w:color w:val="000000"/>
                <w:sz w:val="18"/>
                <w:szCs w:val="18"/>
                <w:lang w:val="en-US"/>
              </w:rPr>
              <w:t>5.1.1.01.</w:t>
            </w:r>
          </w:p>
        </w:tc>
        <w:tc>
          <w:tcPr>
            <w:tcW w:w="3443" w:type="dxa"/>
            <w:tcBorders>
              <w:top w:val="single" w:sz="8" w:space="0" w:color="auto"/>
              <w:left w:val="nil"/>
              <w:bottom w:val="single" w:sz="8" w:space="0" w:color="auto"/>
              <w:right w:val="single" w:sz="8" w:space="0" w:color="auto"/>
            </w:tcBorders>
            <w:shd w:val="clear" w:color="auto" w:fill="auto"/>
            <w:vAlign w:val="center"/>
            <w:hideMark/>
          </w:tcPr>
          <w:p w14:paraId="63E04580" w14:textId="77777777" w:rsidR="0095484D" w:rsidRPr="0095484D" w:rsidRDefault="0095484D" w:rsidP="0095484D">
            <w:pPr>
              <w:spacing w:after="0" w:line="240" w:lineRule="auto"/>
              <w:rPr>
                <w:rFonts w:eastAsia="Times New Roman" w:cs="Calibri"/>
                <w:b/>
                <w:bCs/>
                <w:color w:val="000000"/>
                <w:sz w:val="18"/>
                <w:szCs w:val="18"/>
                <w:lang w:val="en-US"/>
              </w:rPr>
            </w:pPr>
            <w:r w:rsidRPr="0095484D">
              <w:rPr>
                <w:rFonts w:eastAsia="Times New Roman" w:cs="Calibri"/>
                <w:b/>
                <w:bCs/>
                <w:color w:val="000000"/>
                <w:sz w:val="18"/>
                <w:szCs w:val="18"/>
                <w:lang w:val="en-US"/>
              </w:rPr>
              <w:t xml:space="preserve"> Remuneraciones Básicas</w:t>
            </w:r>
          </w:p>
        </w:tc>
        <w:tc>
          <w:tcPr>
            <w:tcW w:w="1134" w:type="dxa"/>
            <w:tcBorders>
              <w:top w:val="nil"/>
              <w:left w:val="nil"/>
              <w:bottom w:val="single" w:sz="8" w:space="0" w:color="auto"/>
              <w:right w:val="single" w:sz="8" w:space="0" w:color="auto"/>
            </w:tcBorders>
            <w:shd w:val="clear" w:color="auto" w:fill="auto"/>
            <w:noWrap/>
            <w:vAlign w:val="center"/>
            <w:hideMark/>
          </w:tcPr>
          <w:p w14:paraId="2DD723CB" w14:textId="77777777" w:rsidR="0095484D" w:rsidRPr="0095484D" w:rsidRDefault="0095484D" w:rsidP="0095484D">
            <w:pPr>
              <w:spacing w:after="0" w:line="240" w:lineRule="auto"/>
              <w:jc w:val="right"/>
              <w:rPr>
                <w:rFonts w:eastAsia="Times New Roman" w:cs="Calibri"/>
                <w:b/>
                <w:bCs/>
                <w:color w:val="000000"/>
                <w:sz w:val="18"/>
                <w:szCs w:val="18"/>
                <w:lang w:val="en-US"/>
              </w:rPr>
            </w:pPr>
            <w:r w:rsidRPr="0095484D">
              <w:rPr>
                <w:rFonts w:ascii="Arial" w:eastAsia="Times New Roman" w:hAnsi="Arial" w:cs="Arial"/>
                <w:b/>
                <w:bCs/>
                <w:color w:val="000000"/>
                <w:sz w:val="18"/>
                <w:szCs w:val="18"/>
                <w:lang w:val="en-US"/>
              </w:rPr>
              <w:t>₡</w:t>
            </w:r>
            <w:r w:rsidRPr="0095484D">
              <w:rPr>
                <w:rFonts w:eastAsia="Times New Roman" w:cs="Calibri"/>
                <w:b/>
                <w:bCs/>
                <w:color w:val="000000"/>
                <w:sz w:val="18"/>
                <w:szCs w:val="18"/>
                <w:lang w:val="en-US"/>
              </w:rPr>
              <w:t>379 490,87</w:t>
            </w:r>
          </w:p>
        </w:tc>
        <w:tc>
          <w:tcPr>
            <w:tcW w:w="1134" w:type="dxa"/>
            <w:tcBorders>
              <w:top w:val="nil"/>
              <w:left w:val="nil"/>
              <w:bottom w:val="single" w:sz="8" w:space="0" w:color="auto"/>
              <w:right w:val="single" w:sz="8" w:space="0" w:color="auto"/>
            </w:tcBorders>
            <w:shd w:val="clear" w:color="auto" w:fill="auto"/>
            <w:noWrap/>
            <w:vAlign w:val="center"/>
            <w:hideMark/>
          </w:tcPr>
          <w:p w14:paraId="3184EE46" w14:textId="77777777" w:rsidR="0095484D" w:rsidRPr="0095484D" w:rsidRDefault="0095484D" w:rsidP="0095484D">
            <w:pPr>
              <w:spacing w:after="0" w:line="240" w:lineRule="auto"/>
              <w:jc w:val="right"/>
              <w:rPr>
                <w:rFonts w:eastAsia="Times New Roman" w:cs="Calibri"/>
                <w:b/>
                <w:bCs/>
                <w:color w:val="000000"/>
                <w:sz w:val="18"/>
                <w:szCs w:val="18"/>
                <w:lang w:val="en-US"/>
              </w:rPr>
            </w:pPr>
            <w:r w:rsidRPr="0095484D">
              <w:rPr>
                <w:rFonts w:ascii="Arial" w:eastAsia="Times New Roman" w:hAnsi="Arial" w:cs="Arial"/>
                <w:b/>
                <w:bCs/>
                <w:color w:val="000000"/>
                <w:sz w:val="18"/>
                <w:szCs w:val="18"/>
                <w:lang w:val="en-US"/>
              </w:rPr>
              <w:t>₡</w:t>
            </w:r>
            <w:r w:rsidRPr="0095484D">
              <w:rPr>
                <w:rFonts w:eastAsia="Times New Roman" w:cs="Calibri"/>
                <w:b/>
                <w:bCs/>
                <w:color w:val="000000"/>
                <w:sz w:val="18"/>
                <w:szCs w:val="18"/>
                <w:lang w:val="en-US"/>
              </w:rPr>
              <w:t>418 371,24</w:t>
            </w:r>
          </w:p>
        </w:tc>
        <w:tc>
          <w:tcPr>
            <w:tcW w:w="1134" w:type="dxa"/>
            <w:tcBorders>
              <w:top w:val="nil"/>
              <w:left w:val="nil"/>
              <w:bottom w:val="single" w:sz="8" w:space="0" w:color="auto"/>
              <w:right w:val="single" w:sz="8" w:space="0" w:color="auto"/>
            </w:tcBorders>
            <w:shd w:val="clear" w:color="auto" w:fill="auto"/>
            <w:noWrap/>
            <w:vAlign w:val="center"/>
            <w:hideMark/>
          </w:tcPr>
          <w:p w14:paraId="53B5D0DD" w14:textId="77777777" w:rsidR="0095484D" w:rsidRPr="0095484D" w:rsidRDefault="0095484D" w:rsidP="0095484D">
            <w:pPr>
              <w:spacing w:after="0" w:line="240" w:lineRule="auto"/>
              <w:jc w:val="right"/>
              <w:rPr>
                <w:rFonts w:eastAsia="Times New Roman" w:cs="Calibri"/>
                <w:b/>
                <w:bCs/>
                <w:sz w:val="18"/>
                <w:szCs w:val="18"/>
                <w:lang w:val="en-US"/>
              </w:rPr>
            </w:pPr>
            <w:r w:rsidRPr="0095484D">
              <w:rPr>
                <w:rFonts w:eastAsia="Times New Roman" w:cs="Calibri"/>
                <w:b/>
                <w:bCs/>
                <w:sz w:val="18"/>
                <w:szCs w:val="18"/>
                <w:lang w:val="en-US"/>
              </w:rPr>
              <w:t>-</w:t>
            </w:r>
            <w:r w:rsidRPr="0095484D">
              <w:rPr>
                <w:rFonts w:ascii="Arial" w:eastAsia="Times New Roman" w:hAnsi="Arial" w:cs="Arial"/>
                <w:b/>
                <w:bCs/>
                <w:sz w:val="18"/>
                <w:szCs w:val="18"/>
                <w:lang w:val="en-US"/>
              </w:rPr>
              <w:t>₡</w:t>
            </w:r>
            <w:r w:rsidRPr="0095484D">
              <w:rPr>
                <w:rFonts w:eastAsia="Times New Roman" w:cs="Calibri"/>
                <w:b/>
                <w:bCs/>
                <w:sz w:val="18"/>
                <w:szCs w:val="18"/>
                <w:lang w:val="en-US"/>
              </w:rPr>
              <w:t>38 880,36</w:t>
            </w:r>
          </w:p>
        </w:tc>
        <w:tc>
          <w:tcPr>
            <w:tcW w:w="879" w:type="dxa"/>
            <w:tcBorders>
              <w:top w:val="nil"/>
              <w:left w:val="nil"/>
              <w:bottom w:val="single" w:sz="8" w:space="0" w:color="auto"/>
              <w:right w:val="single" w:sz="8" w:space="0" w:color="auto"/>
            </w:tcBorders>
            <w:shd w:val="clear" w:color="auto" w:fill="auto"/>
            <w:vAlign w:val="center"/>
            <w:hideMark/>
          </w:tcPr>
          <w:p w14:paraId="011A9B89" w14:textId="77777777" w:rsidR="0095484D" w:rsidRPr="0095484D" w:rsidRDefault="0095484D" w:rsidP="0095484D">
            <w:pPr>
              <w:spacing w:after="0" w:line="240" w:lineRule="auto"/>
              <w:jc w:val="center"/>
              <w:rPr>
                <w:rFonts w:eastAsia="Times New Roman" w:cs="Calibri"/>
                <w:b/>
                <w:bCs/>
                <w:color w:val="000000"/>
                <w:sz w:val="18"/>
                <w:szCs w:val="18"/>
                <w:lang w:val="en-US"/>
              </w:rPr>
            </w:pPr>
            <w:r w:rsidRPr="0095484D">
              <w:rPr>
                <w:rFonts w:eastAsia="Times New Roman" w:cs="Calibri"/>
                <w:b/>
                <w:bCs/>
                <w:color w:val="000000"/>
                <w:sz w:val="18"/>
                <w:szCs w:val="18"/>
                <w:lang w:val="en-US"/>
              </w:rPr>
              <w:t>-9,29%</w:t>
            </w:r>
          </w:p>
        </w:tc>
        <w:tc>
          <w:tcPr>
            <w:tcW w:w="222" w:type="dxa"/>
            <w:vAlign w:val="center"/>
            <w:hideMark/>
          </w:tcPr>
          <w:p w14:paraId="74CD83CC" w14:textId="77777777" w:rsidR="0095484D" w:rsidRPr="0095484D" w:rsidRDefault="0095484D" w:rsidP="0095484D">
            <w:pPr>
              <w:spacing w:after="0" w:line="240" w:lineRule="auto"/>
              <w:jc w:val="left"/>
              <w:rPr>
                <w:rFonts w:eastAsia="Times New Roman" w:cs="Times New Roman"/>
                <w:sz w:val="18"/>
                <w:szCs w:val="18"/>
                <w:lang w:val="en-US"/>
              </w:rPr>
            </w:pPr>
          </w:p>
        </w:tc>
      </w:tr>
      <w:tr w:rsidR="0095484D" w:rsidRPr="0095484D" w14:paraId="09BD6A15" w14:textId="77777777" w:rsidTr="0095484D">
        <w:trPr>
          <w:trHeight w:val="290"/>
        </w:trPr>
        <w:tc>
          <w:tcPr>
            <w:tcW w:w="1083" w:type="dxa"/>
            <w:tcBorders>
              <w:top w:val="nil"/>
              <w:left w:val="single" w:sz="8" w:space="0" w:color="auto"/>
              <w:bottom w:val="nil"/>
              <w:right w:val="single" w:sz="8" w:space="0" w:color="auto"/>
            </w:tcBorders>
            <w:shd w:val="clear" w:color="auto" w:fill="auto"/>
            <w:noWrap/>
            <w:vAlign w:val="center"/>
            <w:hideMark/>
          </w:tcPr>
          <w:p w14:paraId="1EA01448" w14:textId="77777777" w:rsidR="0095484D" w:rsidRPr="0095484D" w:rsidRDefault="0095484D" w:rsidP="0095484D">
            <w:pPr>
              <w:spacing w:after="0" w:line="240" w:lineRule="auto"/>
              <w:rPr>
                <w:rFonts w:eastAsia="Times New Roman" w:cs="Calibri"/>
                <w:color w:val="000000"/>
                <w:sz w:val="18"/>
                <w:szCs w:val="18"/>
                <w:lang w:val="en-US"/>
              </w:rPr>
            </w:pPr>
            <w:r w:rsidRPr="0095484D">
              <w:rPr>
                <w:rFonts w:eastAsia="Times New Roman" w:cs="Calibri"/>
                <w:color w:val="000000"/>
                <w:sz w:val="18"/>
                <w:szCs w:val="18"/>
                <w:lang w:val="en-US"/>
              </w:rPr>
              <w:t>5.1.1.01.01.</w:t>
            </w:r>
          </w:p>
        </w:tc>
        <w:tc>
          <w:tcPr>
            <w:tcW w:w="3443" w:type="dxa"/>
            <w:tcBorders>
              <w:top w:val="nil"/>
              <w:left w:val="nil"/>
              <w:bottom w:val="nil"/>
              <w:right w:val="single" w:sz="8" w:space="0" w:color="auto"/>
            </w:tcBorders>
            <w:shd w:val="clear" w:color="auto" w:fill="auto"/>
            <w:vAlign w:val="center"/>
            <w:hideMark/>
          </w:tcPr>
          <w:p w14:paraId="7E36E179" w14:textId="77777777" w:rsidR="0095484D" w:rsidRPr="0095484D" w:rsidRDefault="0095484D" w:rsidP="0095484D">
            <w:pPr>
              <w:spacing w:after="0" w:line="240" w:lineRule="auto"/>
              <w:rPr>
                <w:rFonts w:eastAsia="Times New Roman" w:cs="Calibri"/>
                <w:color w:val="000000"/>
                <w:sz w:val="18"/>
                <w:szCs w:val="18"/>
                <w:lang w:val="en-US"/>
              </w:rPr>
            </w:pPr>
            <w:r w:rsidRPr="0095484D">
              <w:rPr>
                <w:rFonts w:eastAsia="Times New Roman" w:cs="Calibri"/>
                <w:color w:val="000000"/>
                <w:sz w:val="18"/>
                <w:szCs w:val="18"/>
                <w:lang w:val="en-US"/>
              </w:rPr>
              <w:t>Sueldos para cargos fijos</w:t>
            </w:r>
          </w:p>
        </w:tc>
        <w:tc>
          <w:tcPr>
            <w:tcW w:w="1134" w:type="dxa"/>
            <w:tcBorders>
              <w:top w:val="nil"/>
              <w:left w:val="nil"/>
              <w:bottom w:val="nil"/>
              <w:right w:val="single" w:sz="8" w:space="0" w:color="auto"/>
            </w:tcBorders>
            <w:shd w:val="clear" w:color="auto" w:fill="auto"/>
            <w:noWrap/>
            <w:vAlign w:val="center"/>
            <w:hideMark/>
          </w:tcPr>
          <w:p w14:paraId="1A74DE90"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ascii="Arial" w:eastAsia="Times New Roman" w:hAnsi="Arial" w:cs="Arial"/>
                <w:color w:val="000000"/>
                <w:sz w:val="18"/>
                <w:szCs w:val="18"/>
                <w:lang w:val="en-US"/>
              </w:rPr>
              <w:t>₡</w:t>
            </w:r>
            <w:r w:rsidRPr="0095484D">
              <w:rPr>
                <w:rFonts w:eastAsia="Times New Roman" w:cs="Calibri"/>
                <w:color w:val="000000"/>
                <w:sz w:val="18"/>
                <w:szCs w:val="18"/>
                <w:lang w:val="en-US"/>
              </w:rPr>
              <w:t>340 848,17</w:t>
            </w:r>
          </w:p>
        </w:tc>
        <w:tc>
          <w:tcPr>
            <w:tcW w:w="1134" w:type="dxa"/>
            <w:tcBorders>
              <w:top w:val="nil"/>
              <w:left w:val="nil"/>
              <w:bottom w:val="nil"/>
              <w:right w:val="single" w:sz="8" w:space="0" w:color="auto"/>
            </w:tcBorders>
            <w:shd w:val="clear" w:color="auto" w:fill="auto"/>
            <w:noWrap/>
            <w:vAlign w:val="center"/>
            <w:hideMark/>
          </w:tcPr>
          <w:p w14:paraId="108AFAAE"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ascii="Arial" w:eastAsia="Times New Roman" w:hAnsi="Arial" w:cs="Arial"/>
                <w:color w:val="000000"/>
                <w:sz w:val="18"/>
                <w:szCs w:val="18"/>
                <w:lang w:val="en-US"/>
              </w:rPr>
              <w:t>₡</w:t>
            </w:r>
            <w:r w:rsidRPr="0095484D">
              <w:rPr>
                <w:rFonts w:eastAsia="Times New Roman" w:cs="Calibri"/>
                <w:color w:val="000000"/>
                <w:sz w:val="18"/>
                <w:szCs w:val="18"/>
                <w:lang w:val="en-US"/>
              </w:rPr>
              <w:t>395 884,20</w:t>
            </w:r>
          </w:p>
        </w:tc>
        <w:tc>
          <w:tcPr>
            <w:tcW w:w="1134" w:type="dxa"/>
            <w:tcBorders>
              <w:top w:val="nil"/>
              <w:left w:val="nil"/>
              <w:bottom w:val="nil"/>
              <w:right w:val="single" w:sz="8" w:space="0" w:color="auto"/>
            </w:tcBorders>
            <w:shd w:val="clear" w:color="000000" w:fill="FFFFFF"/>
            <w:noWrap/>
            <w:vAlign w:val="bottom"/>
            <w:hideMark/>
          </w:tcPr>
          <w:p w14:paraId="3EBF99D0"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-55 036,03</w:t>
            </w:r>
          </w:p>
        </w:tc>
        <w:tc>
          <w:tcPr>
            <w:tcW w:w="879" w:type="dxa"/>
            <w:tcBorders>
              <w:top w:val="nil"/>
              <w:left w:val="nil"/>
              <w:bottom w:val="nil"/>
              <w:right w:val="single" w:sz="8" w:space="0" w:color="auto"/>
            </w:tcBorders>
            <w:shd w:val="clear" w:color="auto" w:fill="auto"/>
            <w:vAlign w:val="center"/>
            <w:hideMark/>
          </w:tcPr>
          <w:p w14:paraId="577C87AB" w14:textId="77777777" w:rsidR="0095484D" w:rsidRPr="0095484D" w:rsidRDefault="0095484D" w:rsidP="0095484D">
            <w:pPr>
              <w:spacing w:after="0" w:line="240" w:lineRule="auto"/>
              <w:jc w:val="center"/>
              <w:rPr>
                <w:rFonts w:eastAsia="Times New Roman" w:cs="Calibri"/>
                <w:color w:val="000000"/>
                <w:sz w:val="18"/>
                <w:szCs w:val="18"/>
                <w:lang w:val="en-US"/>
              </w:rPr>
            </w:pPr>
            <w:r w:rsidRPr="0095484D">
              <w:rPr>
                <w:rFonts w:eastAsia="Times New Roman" w:cs="Calibri"/>
                <w:color w:val="000000"/>
                <w:sz w:val="18"/>
                <w:szCs w:val="18"/>
                <w:lang w:val="en-US"/>
              </w:rPr>
              <w:t>-13,90%</w:t>
            </w:r>
          </w:p>
        </w:tc>
        <w:tc>
          <w:tcPr>
            <w:tcW w:w="222" w:type="dxa"/>
            <w:vAlign w:val="center"/>
            <w:hideMark/>
          </w:tcPr>
          <w:p w14:paraId="5F6D936B" w14:textId="77777777" w:rsidR="0095484D" w:rsidRPr="0095484D" w:rsidRDefault="0095484D" w:rsidP="0095484D">
            <w:pPr>
              <w:spacing w:after="0" w:line="240" w:lineRule="auto"/>
              <w:jc w:val="left"/>
              <w:rPr>
                <w:rFonts w:eastAsia="Times New Roman" w:cs="Times New Roman"/>
                <w:sz w:val="18"/>
                <w:szCs w:val="18"/>
                <w:lang w:val="en-US"/>
              </w:rPr>
            </w:pPr>
          </w:p>
        </w:tc>
      </w:tr>
      <w:tr w:rsidR="0095484D" w:rsidRPr="0095484D" w14:paraId="0B51788D" w14:textId="77777777" w:rsidTr="0095484D">
        <w:trPr>
          <w:trHeight w:val="290"/>
        </w:trPr>
        <w:tc>
          <w:tcPr>
            <w:tcW w:w="1083" w:type="dxa"/>
            <w:tcBorders>
              <w:top w:val="nil"/>
              <w:left w:val="single" w:sz="8" w:space="0" w:color="auto"/>
              <w:bottom w:val="nil"/>
              <w:right w:val="single" w:sz="8" w:space="0" w:color="auto"/>
            </w:tcBorders>
            <w:shd w:val="clear" w:color="auto" w:fill="auto"/>
            <w:noWrap/>
            <w:vAlign w:val="center"/>
            <w:hideMark/>
          </w:tcPr>
          <w:p w14:paraId="429B64EC" w14:textId="77777777" w:rsidR="0095484D" w:rsidRPr="0095484D" w:rsidRDefault="0095484D" w:rsidP="0095484D">
            <w:pPr>
              <w:spacing w:after="0" w:line="240" w:lineRule="auto"/>
              <w:rPr>
                <w:rFonts w:eastAsia="Times New Roman" w:cs="Calibri"/>
                <w:color w:val="000000"/>
                <w:sz w:val="18"/>
                <w:szCs w:val="18"/>
                <w:lang w:val="en-US"/>
              </w:rPr>
            </w:pPr>
            <w:r w:rsidRPr="0095484D">
              <w:rPr>
                <w:rFonts w:eastAsia="Times New Roman" w:cs="Calibri"/>
                <w:color w:val="000000"/>
                <w:sz w:val="18"/>
                <w:szCs w:val="18"/>
                <w:lang w:val="en-US"/>
              </w:rPr>
              <w:t>5.1.1.01.02.</w:t>
            </w:r>
          </w:p>
        </w:tc>
        <w:tc>
          <w:tcPr>
            <w:tcW w:w="3443" w:type="dxa"/>
            <w:tcBorders>
              <w:top w:val="nil"/>
              <w:left w:val="nil"/>
              <w:bottom w:val="nil"/>
              <w:right w:val="single" w:sz="8" w:space="0" w:color="auto"/>
            </w:tcBorders>
            <w:shd w:val="clear" w:color="auto" w:fill="auto"/>
            <w:vAlign w:val="center"/>
            <w:hideMark/>
          </w:tcPr>
          <w:p w14:paraId="5E7B7B8A" w14:textId="77777777" w:rsidR="0095484D" w:rsidRPr="0095484D" w:rsidRDefault="0095484D" w:rsidP="0095484D">
            <w:pPr>
              <w:spacing w:after="0" w:line="240" w:lineRule="auto"/>
              <w:rPr>
                <w:rFonts w:eastAsia="Times New Roman" w:cs="Calibri"/>
                <w:color w:val="000000"/>
                <w:sz w:val="18"/>
                <w:szCs w:val="18"/>
                <w:lang w:val="en-US"/>
              </w:rPr>
            </w:pPr>
            <w:r w:rsidRPr="0095484D">
              <w:rPr>
                <w:rFonts w:eastAsia="Times New Roman" w:cs="Calibri"/>
                <w:color w:val="000000"/>
                <w:sz w:val="18"/>
                <w:szCs w:val="18"/>
                <w:lang w:val="en-US"/>
              </w:rPr>
              <w:t>Jornales</w:t>
            </w:r>
          </w:p>
        </w:tc>
        <w:tc>
          <w:tcPr>
            <w:tcW w:w="1134" w:type="dxa"/>
            <w:tcBorders>
              <w:top w:val="nil"/>
              <w:left w:val="nil"/>
              <w:bottom w:val="nil"/>
              <w:right w:val="single" w:sz="8" w:space="0" w:color="auto"/>
            </w:tcBorders>
            <w:shd w:val="clear" w:color="000000" w:fill="FFFFFF"/>
            <w:noWrap/>
            <w:vAlign w:val="bottom"/>
            <w:hideMark/>
          </w:tcPr>
          <w:p w14:paraId="423F33C0"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18 632,48</w:t>
            </w:r>
          </w:p>
        </w:tc>
        <w:tc>
          <w:tcPr>
            <w:tcW w:w="1134" w:type="dxa"/>
            <w:tcBorders>
              <w:top w:val="nil"/>
              <w:left w:val="nil"/>
              <w:bottom w:val="nil"/>
              <w:right w:val="single" w:sz="8" w:space="0" w:color="auto"/>
            </w:tcBorders>
            <w:shd w:val="clear" w:color="000000" w:fill="FFFFFF"/>
            <w:noWrap/>
            <w:vAlign w:val="bottom"/>
            <w:hideMark/>
          </w:tcPr>
          <w:p w14:paraId="0DB125B1"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11 800,94</w:t>
            </w:r>
          </w:p>
        </w:tc>
        <w:tc>
          <w:tcPr>
            <w:tcW w:w="1134" w:type="dxa"/>
            <w:tcBorders>
              <w:top w:val="nil"/>
              <w:left w:val="nil"/>
              <w:bottom w:val="nil"/>
              <w:right w:val="single" w:sz="8" w:space="0" w:color="auto"/>
            </w:tcBorders>
            <w:shd w:val="clear" w:color="000000" w:fill="FFFFFF"/>
            <w:noWrap/>
            <w:vAlign w:val="bottom"/>
            <w:hideMark/>
          </w:tcPr>
          <w:p w14:paraId="5FFFC214"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6 831,54</w:t>
            </w:r>
          </w:p>
        </w:tc>
        <w:tc>
          <w:tcPr>
            <w:tcW w:w="879" w:type="dxa"/>
            <w:tcBorders>
              <w:top w:val="nil"/>
              <w:left w:val="nil"/>
              <w:bottom w:val="nil"/>
              <w:right w:val="single" w:sz="8" w:space="0" w:color="auto"/>
            </w:tcBorders>
            <w:shd w:val="clear" w:color="auto" w:fill="auto"/>
            <w:noWrap/>
            <w:vAlign w:val="bottom"/>
            <w:hideMark/>
          </w:tcPr>
          <w:p w14:paraId="71C55DBE"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57,89%</w:t>
            </w:r>
          </w:p>
        </w:tc>
        <w:tc>
          <w:tcPr>
            <w:tcW w:w="222" w:type="dxa"/>
            <w:vAlign w:val="center"/>
            <w:hideMark/>
          </w:tcPr>
          <w:p w14:paraId="3BAA321E" w14:textId="77777777" w:rsidR="0095484D" w:rsidRPr="0095484D" w:rsidRDefault="0095484D" w:rsidP="0095484D">
            <w:pPr>
              <w:spacing w:after="0" w:line="240" w:lineRule="auto"/>
              <w:jc w:val="left"/>
              <w:rPr>
                <w:rFonts w:eastAsia="Times New Roman" w:cs="Times New Roman"/>
                <w:sz w:val="18"/>
                <w:szCs w:val="18"/>
                <w:lang w:val="en-US"/>
              </w:rPr>
            </w:pPr>
          </w:p>
        </w:tc>
      </w:tr>
      <w:tr w:rsidR="0095484D" w:rsidRPr="0095484D" w14:paraId="37F860C9" w14:textId="77777777" w:rsidTr="0095484D">
        <w:trPr>
          <w:trHeight w:val="290"/>
        </w:trPr>
        <w:tc>
          <w:tcPr>
            <w:tcW w:w="1083" w:type="dxa"/>
            <w:tcBorders>
              <w:top w:val="nil"/>
              <w:left w:val="single" w:sz="8" w:space="0" w:color="auto"/>
              <w:bottom w:val="nil"/>
              <w:right w:val="single" w:sz="8" w:space="0" w:color="auto"/>
            </w:tcBorders>
            <w:shd w:val="clear" w:color="auto" w:fill="auto"/>
            <w:noWrap/>
            <w:vAlign w:val="center"/>
            <w:hideMark/>
          </w:tcPr>
          <w:p w14:paraId="4F8A6FEB" w14:textId="77777777" w:rsidR="0095484D" w:rsidRPr="0095484D" w:rsidRDefault="0095484D" w:rsidP="0095484D">
            <w:pPr>
              <w:spacing w:after="0" w:line="240" w:lineRule="auto"/>
              <w:rPr>
                <w:rFonts w:eastAsia="Times New Roman" w:cs="Calibri"/>
                <w:color w:val="000000"/>
                <w:sz w:val="18"/>
                <w:szCs w:val="18"/>
                <w:lang w:val="en-US"/>
              </w:rPr>
            </w:pPr>
            <w:r w:rsidRPr="0095484D">
              <w:rPr>
                <w:rFonts w:eastAsia="Times New Roman" w:cs="Calibri"/>
                <w:color w:val="000000"/>
                <w:sz w:val="18"/>
                <w:szCs w:val="18"/>
                <w:lang w:val="en-US"/>
              </w:rPr>
              <w:t>5.1.1.01.03.</w:t>
            </w:r>
          </w:p>
        </w:tc>
        <w:tc>
          <w:tcPr>
            <w:tcW w:w="3443" w:type="dxa"/>
            <w:tcBorders>
              <w:top w:val="nil"/>
              <w:left w:val="nil"/>
              <w:bottom w:val="nil"/>
              <w:right w:val="single" w:sz="8" w:space="0" w:color="auto"/>
            </w:tcBorders>
            <w:shd w:val="clear" w:color="auto" w:fill="auto"/>
            <w:vAlign w:val="center"/>
            <w:hideMark/>
          </w:tcPr>
          <w:p w14:paraId="0CF47B24" w14:textId="77777777" w:rsidR="0095484D" w:rsidRPr="0095484D" w:rsidRDefault="0095484D" w:rsidP="0095484D">
            <w:pPr>
              <w:spacing w:after="0" w:line="240" w:lineRule="auto"/>
              <w:rPr>
                <w:rFonts w:eastAsia="Times New Roman" w:cs="Calibri"/>
                <w:color w:val="000000"/>
                <w:sz w:val="18"/>
                <w:szCs w:val="18"/>
                <w:lang w:val="en-US"/>
              </w:rPr>
            </w:pPr>
            <w:r w:rsidRPr="0095484D">
              <w:rPr>
                <w:rFonts w:eastAsia="Times New Roman" w:cs="Calibri"/>
                <w:color w:val="000000"/>
                <w:sz w:val="18"/>
                <w:szCs w:val="18"/>
                <w:lang w:val="en-US"/>
              </w:rPr>
              <w:t>Servicios especiales</w:t>
            </w:r>
          </w:p>
        </w:tc>
        <w:tc>
          <w:tcPr>
            <w:tcW w:w="1134" w:type="dxa"/>
            <w:tcBorders>
              <w:top w:val="nil"/>
              <w:left w:val="nil"/>
              <w:bottom w:val="nil"/>
              <w:right w:val="single" w:sz="8" w:space="0" w:color="auto"/>
            </w:tcBorders>
            <w:shd w:val="clear" w:color="000000" w:fill="FFFFFF"/>
            <w:noWrap/>
            <w:vAlign w:val="bottom"/>
            <w:hideMark/>
          </w:tcPr>
          <w:p w14:paraId="1A24D5B8"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12 754,33</w:t>
            </w:r>
          </w:p>
        </w:tc>
        <w:tc>
          <w:tcPr>
            <w:tcW w:w="1134" w:type="dxa"/>
            <w:tcBorders>
              <w:top w:val="nil"/>
              <w:left w:val="nil"/>
              <w:bottom w:val="nil"/>
              <w:right w:val="single" w:sz="8" w:space="0" w:color="auto"/>
            </w:tcBorders>
            <w:shd w:val="clear" w:color="000000" w:fill="FFFFFF"/>
            <w:noWrap/>
            <w:vAlign w:val="bottom"/>
            <w:hideMark/>
          </w:tcPr>
          <w:p w14:paraId="1227ABD1"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6 026,08</w:t>
            </w:r>
          </w:p>
        </w:tc>
        <w:tc>
          <w:tcPr>
            <w:tcW w:w="1134" w:type="dxa"/>
            <w:tcBorders>
              <w:top w:val="nil"/>
              <w:left w:val="nil"/>
              <w:bottom w:val="nil"/>
              <w:right w:val="single" w:sz="8" w:space="0" w:color="auto"/>
            </w:tcBorders>
            <w:shd w:val="clear" w:color="000000" w:fill="FFFFFF"/>
            <w:noWrap/>
            <w:vAlign w:val="bottom"/>
            <w:hideMark/>
          </w:tcPr>
          <w:p w14:paraId="16F73EB4"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6 728,25</w:t>
            </w:r>
          </w:p>
        </w:tc>
        <w:tc>
          <w:tcPr>
            <w:tcW w:w="879" w:type="dxa"/>
            <w:tcBorders>
              <w:top w:val="nil"/>
              <w:left w:val="nil"/>
              <w:bottom w:val="nil"/>
              <w:right w:val="single" w:sz="8" w:space="0" w:color="auto"/>
            </w:tcBorders>
            <w:shd w:val="clear" w:color="auto" w:fill="auto"/>
            <w:noWrap/>
            <w:vAlign w:val="bottom"/>
            <w:hideMark/>
          </w:tcPr>
          <w:p w14:paraId="262D47B3"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111,65%</w:t>
            </w:r>
          </w:p>
        </w:tc>
        <w:tc>
          <w:tcPr>
            <w:tcW w:w="222" w:type="dxa"/>
            <w:vAlign w:val="center"/>
            <w:hideMark/>
          </w:tcPr>
          <w:p w14:paraId="32245C5E" w14:textId="77777777" w:rsidR="0095484D" w:rsidRPr="0095484D" w:rsidRDefault="0095484D" w:rsidP="0095484D">
            <w:pPr>
              <w:spacing w:after="0" w:line="240" w:lineRule="auto"/>
              <w:jc w:val="left"/>
              <w:rPr>
                <w:rFonts w:eastAsia="Times New Roman" w:cs="Times New Roman"/>
                <w:sz w:val="18"/>
                <w:szCs w:val="18"/>
                <w:lang w:val="en-US"/>
              </w:rPr>
            </w:pPr>
          </w:p>
        </w:tc>
      </w:tr>
      <w:tr w:rsidR="0095484D" w:rsidRPr="0095484D" w14:paraId="675A998A" w14:textId="77777777" w:rsidTr="0095484D">
        <w:trPr>
          <w:trHeight w:val="300"/>
        </w:trPr>
        <w:tc>
          <w:tcPr>
            <w:tcW w:w="1083" w:type="dxa"/>
            <w:tcBorders>
              <w:top w:val="nil"/>
              <w:left w:val="single" w:sz="8" w:space="0" w:color="auto"/>
              <w:bottom w:val="nil"/>
              <w:right w:val="single" w:sz="8" w:space="0" w:color="auto"/>
            </w:tcBorders>
            <w:shd w:val="clear" w:color="auto" w:fill="auto"/>
            <w:noWrap/>
            <w:vAlign w:val="center"/>
            <w:hideMark/>
          </w:tcPr>
          <w:p w14:paraId="4EA5C24E" w14:textId="77777777" w:rsidR="0095484D" w:rsidRPr="0095484D" w:rsidRDefault="0095484D" w:rsidP="0095484D">
            <w:pPr>
              <w:spacing w:after="0" w:line="240" w:lineRule="auto"/>
              <w:rPr>
                <w:rFonts w:eastAsia="Times New Roman" w:cs="Calibri"/>
                <w:color w:val="000000"/>
                <w:sz w:val="18"/>
                <w:szCs w:val="18"/>
                <w:lang w:val="en-US"/>
              </w:rPr>
            </w:pPr>
            <w:r w:rsidRPr="0095484D">
              <w:rPr>
                <w:rFonts w:eastAsia="Times New Roman" w:cs="Calibri"/>
                <w:color w:val="000000"/>
                <w:sz w:val="18"/>
                <w:szCs w:val="18"/>
                <w:lang w:val="en-US"/>
              </w:rPr>
              <w:t>5.1.1.01.05.</w:t>
            </w:r>
          </w:p>
        </w:tc>
        <w:tc>
          <w:tcPr>
            <w:tcW w:w="3443" w:type="dxa"/>
            <w:tcBorders>
              <w:top w:val="nil"/>
              <w:left w:val="nil"/>
              <w:bottom w:val="nil"/>
              <w:right w:val="single" w:sz="8" w:space="0" w:color="auto"/>
            </w:tcBorders>
            <w:shd w:val="clear" w:color="auto" w:fill="auto"/>
            <w:vAlign w:val="center"/>
            <w:hideMark/>
          </w:tcPr>
          <w:p w14:paraId="481C0885" w14:textId="77777777" w:rsidR="0095484D" w:rsidRPr="0095484D" w:rsidRDefault="0095484D" w:rsidP="0095484D">
            <w:pPr>
              <w:spacing w:after="0" w:line="240" w:lineRule="auto"/>
              <w:rPr>
                <w:rFonts w:eastAsia="Times New Roman" w:cs="Calibri"/>
                <w:color w:val="000000"/>
                <w:sz w:val="18"/>
                <w:szCs w:val="18"/>
                <w:lang w:val="en-US"/>
              </w:rPr>
            </w:pPr>
            <w:r w:rsidRPr="0095484D">
              <w:rPr>
                <w:rFonts w:eastAsia="Times New Roman" w:cs="Calibri"/>
                <w:color w:val="000000"/>
                <w:sz w:val="18"/>
                <w:szCs w:val="18"/>
                <w:lang w:val="en-US"/>
              </w:rPr>
              <w:t>Suplencias</w:t>
            </w:r>
          </w:p>
        </w:tc>
        <w:tc>
          <w:tcPr>
            <w:tcW w:w="1134" w:type="dxa"/>
            <w:tcBorders>
              <w:top w:val="nil"/>
              <w:left w:val="nil"/>
              <w:bottom w:val="nil"/>
              <w:right w:val="single" w:sz="8" w:space="0" w:color="auto"/>
            </w:tcBorders>
            <w:shd w:val="clear" w:color="000000" w:fill="FFFFFF"/>
            <w:noWrap/>
            <w:vAlign w:val="bottom"/>
            <w:hideMark/>
          </w:tcPr>
          <w:p w14:paraId="767FBC84"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7 255,89</w:t>
            </w:r>
          </w:p>
        </w:tc>
        <w:tc>
          <w:tcPr>
            <w:tcW w:w="1134" w:type="dxa"/>
            <w:tcBorders>
              <w:top w:val="nil"/>
              <w:left w:val="nil"/>
              <w:bottom w:val="nil"/>
              <w:right w:val="single" w:sz="8" w:space="0" w:color="auto"/>
            </w:tcBorders>
            <w:shd w:val="clear" w:color="000000" w:fill="FFFFFF"/>
            <w:noWrap/>
            <w:vAlign w:val="bottom"/>
            <w:hideMark/>
          </w:tcPr>
          <w:p w14:paraId="1D700ADE"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4 660,01</w:t>
            </w:r>
          </w:p>
        </w:tc>
        <w:tc>
          <w:tcPr>
            <w:tcW w:w="1134" w:type="dxa"/>
            <w:tcBorders>
              <w:top w:val="nil"/>
              <w:left w:val="nil"/>
              <w:bottom w:val="nil"/>
              <w:right w:val="single" w:sz="8" w:space="0" w:color="auto"/>
            </w:tcBorders>
            <w:shd w:val="clear" w:color="000000" w:fill="FFFFFF"/>
            <w:noWrap/>
            <w:vAlign w:val="bottom"/>
            <w:hideMark/>
          </w:tcPr>
          <w:p w14:paraId="6E5DA450"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2 595,88</w:t>
            </w:r>
          </w:p>
        </w:tc>
        <w:tc>
          <w:tcPr>
            <w:tcW w:w="879" w:type="dxa"/>
            <w:tcBorders>
              <w:top w:val="nil"/>
              <w:left w:val="nil"/>
              <w:bottom w:val="nil"/>
              <w:right w:val="single" w:sz="8" w:space="0" w:color="auto"/>
            </w:tcBorders>
            <w:shd w:val="clear" w:color="auto" w:fill="auto"/>
            <w:noWrap/>
            <w:vAlign w:val="bottom"/>
            <w:hideMark/>
          </w:tcPr>
          <w:p w14:paraId="19757DB6"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55,71%</w:t>
            </w:r>
          </w:p>
        </w:tc>
        <w:tc>
          <w:tcPr>
            <w:tcW w:w="222" w:type="dxa"/>
            <w:vAlign w:val="center"/>
            <w:hideMark/>
          </w:tcPr>
          <w:p w14:paraId="4B647147" w14:textId="77777777" w:rsidR="0095484D" w:rsidRPr="0095484D" w:rsidRDefault="0095484D" w:rsidP="0095484D">
            <w:pPr>
              <w:spacing w:after="0" w:line="240" w:lineRule="auto"/>
              <w:jc w:val="left"/>
              <w:rPr>
                <w:rFonts w:eastAsia="Times New Roman" w:cs="Times New Roman"/>
                <w:sz w:val="18"/>
                <w:szCs w:val="18"/>
                <w:lang w:val="en-US"/>
              </w:rPr>
            </w:pPr>
          </w:p>
        </w:tc>
      </w:tr>
      <w:tr w:rsidR="0095484D" w:rsidRPr="0095484D" w14:paraId="51EE4282" w14:textId="77777777" w:rsidTr="0095484D">
        <w:trPr>
          <w:trHeight w:val="300"/>
        </w:trPr>
        <w:tc>
          <w:tcPr>
            <w:tcW w:w="10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C140CA" w14:textId="77777777" w:rsidR="0095484D" w:rsidRPr="0095484D" w:rsidRDefault="0095484D" w:rsidP="0095484D">
            <w:pPr>
              <w:spacing w:after="0" w:line="240" w:lineRule="auto"/>
              <w:rPr>
                <w:rFonts w:eastAsia="Times New Roman" w:cs="Calibri"/>
                <w:b/>
                <w:bCs/>
                <w:color w:val="000000"/>
                <w:sz w:val="18"/>
                <w:szCs w:val="18"/>
                <w:lang w:val="en-US"/>
              </w:rPr>
            </w:pPr>
            <w:r w:rsidRPr="0095484D">
              <w:rPr>
                <w:rFonts w:eastAsia="Times New Roman" w:cs="Calibri"/>
                <w:b/>
                <w:bCs/>
                <w:color w:val="000000"/>
                <w:sz w:val="18"/>
                <w:szCs w:val="18"/>
                <w:lang w:val="en-US"/>
              </w:rPr>
              <w:t>5.1.1.02.</w:t>
            </w:r>
          </w:p>
        </w:tc>
        <w:tc>
          <w:tcPr>
            <w:tcW w:w="3443" w:type="dxa"/>
            <w:tcBorders>
              <w:top w:val="single" w:sz="8" w:space="0" w:color="auto"/>
              <w:left w:val="nil"/>
              <w:bottom w:val="single" w:sz="8" w:space="0" w:color="auto"/>
              <w:right w:val="single" w:sz="8" w:space="0" w:color="auto"/>
            </w:tcBorders>
            <w:shd w:val="clear" w:color="auto" w:fill="auto"/>
            <w:vAlign w:val="center"/>
            <w:hideMark/>
          </w:tcPr>
          <w:p w14:paraId="25DF5050" w14:textId="77777777" w:rsidR="0095484D" w:rsidRPr="0095484D" w:rsidRDefault="0095484D" w:rsidP="0095484D">
            <w:pPr>
              <w:spacing w:after="0" w:line="240" w:lineRule="auto"/>
              <w:rPr>
                <w:rFonts w:eastAsia="Times New Roman" w:cs="Calibri"/>
                <w:b/>
                <w:bCs/>
                <w:color w:val="000000"/>
                <w:sz w:val="18"/>
                <w:szCs w:val="18"/>
                <w:lang w:val="en-US"/>
              </w:rPr>
            </w:pPr>
            <w:r w:rsidRPr="0095484D">
              <w:rPr>
                <w:rFonts w:eastAsia="Times New Roman" w:cs="Calibri"/>
                <w:b/>
                <w:bCs/>
                <w:color w:val="000000"/>
                <w:sz w:val="18"/>
                <w:szCs w:val="18"/>
                <w:lang w:val="en-US"/>
              </w:rPr>
              <w:t>Remuneraciones eventuales</w:t>
            </w:r>
          </w:p>
        </w:tc>
        <w:tc>
          <w:tcPr>
            <w:tcW w:w="1134" w:type="dxa"/>
            <w:tcBorders>
              <w:top w:val="single" w:sz="8" w:space="0" w:color="auto"/>
              <w:left w:val="nil"/>
              <w:bottom w:val="single" w:sz="8" w:space="0" w:color="auto"/>
              <w:right w:val="single" w:sz="8" w:space="0" w:color="auto"/>
            </w:tcBorders>
            <w:shd w:val="clear" w:color="000000" w:fill="FFFFFF"/>
            <w:noWrap/>
            <w:vAlign w:val="bottom"/>
            <w:hideMark/>
          </w:tcPr>
          <w:p w14:paraId="0318D91E" w14:textId="77777777" w:rsidR="0095484D" w:rsidRPr="0095484D" w:rsidRDefault="0095484D" w:rsidP="0095484D">
            <w:pPr>
              <w:spacing w:after="0" w:line="240" w:lineRule="auto"/>
              <w:jc w:val="right"/>
              <w:rPr>
                <w:rFonts w:eastAsia="Times New Roman" w:cs="Calibri"/>
                <w:b/>
                <w:bCs/>
                <w:color w:val="000000"/>
                <w:sz w:val="18"/>
                <w:szCs w:val="18"/>
                <w:lang w:val="en-US"/>
              </w:rPr>
            </w:pPr>
            <w:r w:rsidRPr="0095484D">
              <w:rPr>
                <w:rFonts w:eastAsia="Times New Roman" w:cs="Calibri"/>
                <w:b/>
                <w:bCs/>
                <w:color w:val="000000"/>
                <w:sz w:val="18"/>
                <w:szCs w:val="18"/>
                <w:lang w:val="en-US"/>
              </w:rPr>
              <w:t>50 597,53</w:t>
            </w:r>
          </w:p>
        </w:tc>
        <w:tc>
          <w:tcPr>
            <w:tcW w:w="1134" w:type="dxa"/>
            <w:tcBorders>
              <w:top w:val="single" w:sz="8" w:space="0" w:color="auto"/>
              <w:left w:val="nil"/>
              <w:bottom w:val="single" w:sz="8" w:space="0" w:color="auto"/>
              <w:right w:val="single" w:sz="8" w:space="0" w:color="auto"/>
            </w:tcBorders>
            <w:shd w:val="clear" w:color="000000" w:fill="FFFFFF"/>
            <w:noWrap/>
            <w:vAlign w:val="bottom"/>
            <w:hideMark/>
          </w:tcPr>
          <w:p w14:paraId="6B4E1562" w14:textId="77777777" w:rsidR="0095484D" w:rsidRPr="0095484D" w:rsidRDefault="0095484D" w:rsidP="0095484D">
            <w:pPr>
              <w:spacing w:after="0" w:line="240" w:lineRule="auto"/>
              <w:jc w:val="right"/>
              <w:rPr>
                <w:rFonts w:eastAsia="Times New Roman" w:cs="Calibri"/>
                <w:b/>
                <w:bCs/>
                <w:color w:val="000000"/>
                <w:sz w:val="18"/>
                <w:szCs w:val="18"/>
                <w:lang w:val="en-US"/>
              </w:rPr>
            </w:pPr>
            <w:r w:rsidRPr="0095484D">
              <w:rPr>
                <w:rFonts w:eastAsia="Times New Roman" w:cs="Calibri"/>
                <w:b/>
                <w:bCs/>
                <w:color w:val="000000"/>
                <w:sz w:val="18"/>
                <w:szCs w:val="18"/>
                <w:lang w:val="en-US"/>
              </w:rPr>
              <w:t>36 532,53</w:t>
            </w:r>
          </w:p>
        </w:tc>
        <w:tc>
          <w:tcPr>
            <w:tcW w:w="1134" w:type="dxa"/>
            <w:tcBorders>
              <w:top w:val="single" w:sz="8" w:space="0" w:color="auto"/>
              <w:left w:val="nil"/>
              <w:bottom w:val="single" w:sz="8" w:space="0" w:color="auto"/>
              <w:right w:val="single" w:sz="8" w:space="0" w:color="auto"/>
            </w:tcBorders>
            <w:shd w:val="clear" w:color="000000" w:fill="FFFFFF"/>
            <w:noWrap/>
            <w:vAlign w:val="bottom"/>
            <w:hideMark/>
          </w:tcPr>
          <w:p w14:paraId="2D97475E" w14:textId="77777777" w:rsidR="0095484D" w:rsidRPr="0095484D" w:rsidRDefault="0095484D" w:rsidP="0095484D">
            <w:pPr>
              <w:spacing w:after="0" w:line="240" w:lineRule="auto"/>
              <w:jc w:val="right"/>
              <w:rPr>
                <w:rFonts w:eastAsia="Times New Roman" w:cs="Calibri"/>
                <w:b/>
                <w:bCs/>
                <w:color w:val="000000"/>
                <w:sz w:val="18"/>
                <w:szCs w:val="18"/>
                <w:lang w:val="en-US"/>
              </w:rPr>
            </w:pPr>
            <w:r w:rsidRPr="0095484D">
              <w:rPr>
                <w:rFonts w:eastAsia="Times New Roman" w:cs="Calibri"/>
                <w:b/>
                <w:bCs/>
                <w:color w:val="000000"/>
                <w:sz w:val="18"/>
                <w:szCs w:val="18"/>
                <w:lang w:val="en-US"/>
              </w:rPr>
              <w:t>14 065,00</w:t>
            </w:r>
          </w:p>
        </w:tc>
        <w:tc>
          <w:tcPr>
            <w:tcW w:w="879" w:type="dxa"/>
            <w:tcBorders>
              <w:top w:val="single" w:sz="8" w:space="0" w:color="auto"/>
              <w:left w:val="nil"/>
              <w:bottom w:val="single" w:sz="8" w:space="0" w:color="auto"/>
              <w:right w:val="single" w:sz="8" w:space="0" w:color="auto"/>
            </w:tcBorders>
            <w:shd w:val="clear" w:color="auto" w:fill="auto"/>
            <w:noWrap/>
            <w:vAlign w:val="bottom"/>
            <w:hideMark/>
          </w:tcPr>
          <w:p w14:paraId="1F99A7CF" w14:textId="77777777" w:rsidR="0095484D" w:rsidRPr="0095484D" w:rsidRDefault="0095484D" w:rsidP="0095484D">
            <w:pPr>
              <w:spacing w:after="0" w:line="240" w:lineRule="auto"/>
              <w:jc w:val="right"/>
              <w:rPr>
                <w:rFonts w:eastAsia="Times New Roman" w:cs="Calibri"/>
                <w:b/>
                <w:bCs/>
                <w:color w:val="000000"/>
                <w:sz w:val="18"/>
                <w:szCs w:val="18"/>
                <w:lang w:val="en-US"/>
              </w:rPr>
            </w:pPr>
            <w:r w:rsidRPr="0095484D">
              <w:rPr>
                <w:rFonts w:eastAsia="Times New Roman" w:cs="Calibri"/>
                <w:b/>
                <w:bCs/>
                <w:color w:val="000000"/>
                <w:sz w:val="18"/>
                <w:szCs w:val="18"/>
                <w:lang w:val="en-US"/>
              </w:rPr>
              <w:t>38,50%</w:t>
            </w:r>
          </w:p>
        </w:tc>
        <w:tc>
          <w:tcPr>
            <w:tcW w:w="222" w:type="dxa"/>
            <w:vAlign w:val="center"/>
            <w:hideMark/>
          </w:tcPr>
          <w:p w14:paraId="64C76EB0" w14:textId="77777777" w:rsidR="0095484D" w:rsidRPr="0095484D" w:rsidRDefault="0095484D" w:rsidP="0095484D">
            <w:pPr>
              <w:spacing w:after="0" w:line="240" w:lineRule="auto"/>
              <w:jc w:val="left"/>
              <w:rPr>
                <w:rFonts w:eastAsia="Times New Roman" w:cs="Times New Roman"/>
                <w:sz w:val="18"/>
                <w:szCs w:val="18"/>
                <w:lang w:val="en-US"/>
              </w:rPr>
            </w:pPr>
          </w:p>
        </w:tc>
      </w:tr>
      <w:tr w:rsidR="0095484D" w:rsidRPr="0095484D" w14:paraId="705A723C" w14:textId="77777777" w:rsidTr="0095484D">
        <w:trPr>
          <w:trHeight w:val="290"/>
        </w:trPr>
        <w:tc>
          <w:tcPr>
            <w:tcW w:w="1083" w:type="dxa"/>
            <w:tcBorders>
              <w:top w:val="nil"/>
              <w:left w:val="single" w:sz="8" w:space="0" w:color="auto"/>
              <w:bottom w:val="nil"/>
              <w:right w:val="single" w:sz="8" w:space="0" w:color="auto"/>
            </w:tcBorders>
            <w:shd w:val="clear" w:color="auto" w:fill="auto"/>
            <w:noWrap/>
            <w:vAlign w:val="center"/>
            <w:hideMark/>
          </w:tcPr>
          <w:p w14:paraId="3C7A56A2" w14:textId="77777777" w:rsidR="0095484D" w:rsidRPr="0095484D" w:rsidRDefault="0095484D" w:rsidP="0095484D">
            <w:pPr>
              <w:spacing w:after="0" w:line="240" w:lineRule="auto"/>
              <w:rPr>
                <w:rFonts w:eastAsia="Times New Roman" w:cs="Calibri"/>
                <w:color w:val="000000"/>
                <w:sz w:val="18"/>
                <w:szCs w:val="18"/>
                <w:lang w:val="en-US"/>
              </w:rPr>
            </w:pPr>
            <w:r w:rsidRPr="0095484D">
              <w:rPr>
                <w:rFonts w:eastAsia="Times New Roman" w:cs="Calibri"/>
                <w:color w:val="000000"/>
                <w:sz w:val="18"/>
                <w:szCs w:val="18"/>
                <w:lang w:val="en-US"/>
              </w:rPr>
              <w:t>5.1.1.02.01.</w:t>
            </w:r>
          </w:p>
        </w:tc>
        <w:tc>
          <w:tcPr>
            <w:tcW w:w="3443" w:type="dxa"/>
            <w:tcBorders>
              <w:top w:val="nil"/>
              <w:left w:val="nil"/>
              <w:bottom w:val="nil"/>
              <w:right w:val="single" w:sz="8" w:space="0" w:color="auto"/>
            </w:tcBorders>
            <w:shd w:val="clear" w:color="auto" w:fill="auto"/>
            <w:vAlign w:val="center"/>
            <w:hideMark/>
          </w:tcPr>
          <w:p w14:paraId="3C5A63C9" w14:textId="77777777" w:rsidR="0095484D" w:rsidRPr="0095484D" w:rsidRDefault="0095484D" w:rsidP="0095484D">
            <w:pPr>
              <w:spacing w:after="0" w:line="240" w:lineRule="auto"/>
              <w:rPr>
                <w:rFonts w:eastAsia="Times New Roman" w:cs="Calibri"/>
                <w:color w:val="000000"/>
                <w:sz w:val="18"/>
                <w:szCs w:val="18"/>
                <w:lang w:val="en-US"/>
              </w:rPr>
            </w:pPr>
            <w:r w:rsidRPr="0095484D">
              <w:rPr>
                <w:rFonts w:eastAsia="Times New Roman" w:cs="Calibri"/>
                <w:color w:val="000000"/>
                <w:sz w:val="18"/>
                <w:szCs w:val="18"/>
                <w:lang w:val="en-US"/>
              </w:rPr>
              <w:t>Tiempo extraordinario</w:t>
            </w:r>
          </w:p>
        </w:tc>
        <w:tc>
          <w:tcPr>
            <w:tcW w:w="1134" w:type="dxa"/>
            <w:tcBorders>
              <w:top w:val="nil"/>
              <w:left w:val="nil"/>
              <w:bottom w:val="nil"/>
              <w:right w:val="single" w:sz="8" w:space="0" w:color="auto"/>
            </w:tcBorders>
            <w:shd w:val="clear" w:color="000000" w:fill="FFFFFF"/>
            <w:noWrap/>
            <w:vAlign w:val="bottom"/>
            <w:hideMark/>
          </w:tcPr>
          <w:p w14:paraId="72B2F52D"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42 364,36</w:t>
            </w:r>
          </w:p>
        </w:tc>
        <w:tc>
          <w:tcPr>
            <w:tcW w:w="1134" w:type="dxa"/>
            <w:tcBorders>
              <w:top w:val="nil"/>
              <w:left w:val="nil"/>
              <w:bottom w:val="nil"/>
              <w:right w:val="single" w:sz="8" w:space="0" w:color="auto"/>
            </w:tcBorders>
            <w:shd w:val="clear" w:color="000000" w:fill="FFFFFF"/>
            <w:noWrap/>
            <w:vAlign w:val="bottom"/>
            <w:hideMark/>
          </w:tcPr>
          <w:p w14:paraId="5674B369"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25 500,41</w:t>
            </w:r>
          </w:p>
        </w:tc>
        <w:tc>
          <w:tcPr>
            <w:tcW w:w="1134" w:type="dxa"/>
            <w:tcBorders>
              <w:top w:val="nil"/>
              <w:left w:val="nil"/>
              <w:bottom w:val="nil"/>
              <w:right w:val="single" w:sz="8" w:space="0" w:color="auto"/>
            </w:tcBorders>
            <w:shd w:val="clear" w:color="000000" w:fill="FFFFFF"/>
            <w:noWrap/>
            <w:vAlign w:val="bottom"/>
            <w:hideMark/>
          </w:tcPr>
          <w:p w14:paraId="5613AAEB"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16 863,95</w:t>
            </w:r>
          </w:p>
        </w:tc>
        <w:tc>
          <w:tcPr>
            <w:tcW w:w="879" w:type="dxa"/>
            <w:tcBorders>
              <w:top w:val="nil"/>
              <w:left w:val="nil"/>
              <w:bottom w:val="nil"/>
              <w:right w:val="single" w:sz="8" w:space="0" w:color="auto"/>
            </w:tcBorders>
            <w:shd w:val="clear" w:color="auto" w:fill="auto"/>
            <w:noWrap/>
            <w:vAlign w:val="bottom"/>
            <w:hideMark/>
          </w:tcPr>
          <w:p w14:paraId="4B90E92A"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66,13%</w:t>
            </w:r>
          </w:p>
        </w:tc>
        <w:tc>
          <w:tcPr>
            <w:tcW w:w="222" w:type="dxa"/>
            <w:vAlign w:val="center"/>
            <w:hideMark/>
          </w:tcPr>
          <w:p w14:paraId="114DCA66" w14:textId="77777777" w:rsidR="0095484D" w:rsidRPr="0095484D" w:rsidRDefault="0095484D" w:rsidP="0095484D">
            <w:pPr>
              <w:spacing w:after="0" w:line="240" w:lineRule="auto"/>
              <w:jc w:val="left"/>
              <w:rPr>
                <w:rFonts w:eastAsia="Times New Roman" w:cs="Times New Roman"/>
                <w:sz w:val="18"/>
                <w:szCs w:val="18"/>
                <w:lang w:val="en-US"/>
              </w:rPr>
            </w:pPr>
          </w:p>
        </w:tc>
      </w:tr>
      <w:tr w:rsidR="0095484D" w:rsidRPr="0095484D" w14:paraId="2E72ACD0" w14:textId="77777777" w:rsidTr="0095484D">
        <w:trPr>
          <w:trHeight w:val="290"/>
        </w:trPr>
        <w:tc>
          <w:tcPr>
            <w:tcW w:w="1083" w:type="dxa"/>
            <w:tcBorders>
              <w:top w:val="nil"/>
              <w:left w:val="single" w:sz="8" w:space="0" w:color="auto"/>
              <w:bottom w:val="nil"/>
              <w:right w:val="single" w:sz="8" w:space="0" w:color="auto"/>
            </w:tcBorders>
            <w:shd w:val="clear" w:color="auto" w:fill="auto"/>
            <w:noWrap/>
            <w:vAlign w:val="center"/>
            <w:hideMark/>
          </w:tcPr>
          <w:p w14:paraId="58DD5710" w14:textId="77777777" w:rsidR="0095484D" w:rsidRPr="0095484D" w:rsidRDefault="0095484D" w:rsidP="0095484D">
            <w:pPr>
              <w:spacing w:after="0" w:line="240" w:lineRule="auto"/>
              <w:rPr>
                <w:rFonts w:eastAsia="Times New Roman" w:cs="Calibri"/>
                <w:color w:val="000000"/>
                <w:sz w:val="18"/>
                <w:szCs w:val="18"/>
                <w:lang w:val="en-US"/>
              </w:rPr>
            </w:pPr>
            <w:r w:rsidRPr="0095484D">
              <w:rPr>
                <w:rFonts w:eastAsia="Times New Roman" w:cs="Calibri"/>
                <w:color w:val="000000"/>
                <w:sz w:val="18"/>
                <w:szCs w:val="18"/>
                <w:lang w:val="en-US"/>
              </w:rPr>
              <w:t>5.1.1.02.04.</w:t>
            </w:r>
          </w:p>
        </w:tc>
        <w:tc>
          <w:tcPr>
            <w:tcW w:w="3443" w:type="dxa"/>
            <w:tcBorders>
              <w:top w:val="nil"/>
              <w:left w:val="nil"/>
              <w:bottom w:val="nil"/>
              <w:right w:val="single" w:sz="8" w:space="0" w:color="auto"/>
            </w:tcBorders>
            <w:shd w:val="clear" w:color="auto" w:fill="auto"/>
            <w:vAlign w:val="center"/>
            <w:hideMark/>
          </w:tcPr>
          <w:p w14:paraId="3E61F6FA" w14:textId="77777777" w:rsidR="0095484D" w:rsidRPr="0095484D" w:rsidRDefault="0095484D" w:rsidP="0095484D">
            <w:pPr>
              <w:spacing w:after="0" w:line="240" w:lineRule="auto"/>
              <w:rPr>
                <w:rFonts w:eastAsia="Times New Roman" w:cs="Calibri"/>
                <w:color w:val="000000"/>
                <w:sz w:val="18"/>
                <w:szCs w:val="18"/>
                <w:lang w:val="en-US"/>
              </w:rPr>
            </w:pPr>
            <w:r w:rsidRPr="0095484D">
              <w:rPr>
                <w:rFonts w:eastAsia="Times New Roman" w:cs="Calibri"/>
                <w:color w:val="000000"/>
                <w:sz w:val="18"/>
                <w:szCs w:val="18"/>
                <w:lang w:val="en-US"/>
              </w:rPr>
              <w:t>Compensación de vacaciones</w:t>
            </w:r>
          </w:p>
        </w:tc>
        <w:tc>
          <w:tcPr>
            <w:tcW w:w="1134" w:type="dxa"/>
            <w:tcBorders>
              <w:top w:val="nil"/>
              <w:left w:val="nil"/>
              <w:bottom w:val="nil"/>
              <w:right w:val="single" w:sz="8" w:space="0" w:color="auto"/>
            </w:tcBorders>
            <w:shd w:val="clear" w:color="000000" w:fill="FFFFFF"/>
            <w:noWrap/>
            <w:vAlign w:val="bottom"/>
            <w:hideMark/>
          </w:tcPr>
          <w:p w14:paraId="4F4C9974"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0,00</w:t>
            </w:r>
          </w:p>
        </w:tc>
        <w:tc>
          <w:tcPr>
            <w:tcW w:w="1134" w:type="dxa"/>
            <w:tcBorders>
              <w:top w:val="nil"/>
              <w:left w:val="nil"/>
              <w:bottom w:val="nil"/>
              <w:right w:val="single" w:sz="8" w:space="0" w:color="auto"/>
            </w:tcBorders>
            <w:shd w:val="clear" w:color="000000" w:fill="FFFFFF"/>
            <w:noWrap/>
            <w:vAlign w:val="bottom"/>
            <w:hideMark/>
          </w:tcPr>
          <w:p w14:paraId="48A7DFAA"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4 438,53</w:t>
            </w:r>
          </w:p>
        </w:tc>
        <w:tc>
          <w:tcPr>
            <w:tcW w:w="1134" w:type="dxa"/>
            <w:tcBorders>
              <w:top w:val="nil"/>
              <w:left w:val="nil"/>
              <w:bottom w:val="nil"/>
              <w:right w:val="single" w:sz="8" w:space="0" w:color="auto"/>
            </w:tcBorders>
            <w:shd w:val="clear" w:color="000000" w:fill="FFFFFF"/>
            <w:noWrap/>
            <w:vAlign w:val="bottom"/>
            <w:hideMark/>
          </w:tcPr>
          <w:p w14:paraId="6B3C6581"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-4 438,53</w:t>
            </w:r>
          </w:p>
        </w:tc>
        <w:tc>
          <w:tcPr>
            <w:tcW w:w="879" w:type="dxa"/>
            <w:tcBorders>
              <w:top w:val="nil"/>
              <w:left w:val="nil"/>
              <w:bottom w:val="nil"/>
              <w:right w:val="single" w:sz="8" w:space="0" w:color="auto"/>
            </w:tcBorders>
            <w:shd w:val="clear" w:color="auto" w:fill="auto"/>
            <w:noWrap/>
            <w:vAlign w:val="bottom"/>
            <w:hideMark/>
          </w:tcPr>
          <w:p w14:paraId="070F0386"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-100,00%</w:t>
            </w:r>
          </w:p>
        </w:tc>
        <w:tc>
          <w:tcPr>
            <w:tcW w:w="222" w:type="dxa"/>
            <w:vAlign w:val="center"/>
            <w:hideMark/>
          </w:tcPr>
          <w:p w14:paraId="6606D051" w14:textId="77777777" w:rsidR="0095484D" w:rsidRPr="0095484D" w:rsidRDefault="0095484D" w:rsidP="0095484D">
            <w:pPr>
              <w:spacing w:after="0" w:line="240" w:lineRule="auto"/>
              <w:jc w:val="left"/>
              <w:rPr>
                <w:rFonts w:eastAsia="Times New Roman" w:cs="Times New Roman"/>
                <w:sz w:val="18"/>
                <w:szCs w:val="18"/>
                <w:lang w:val="en-US"/>
              </w:rPr>
            </w:pPr>
          </w:p>
        </w:tc>
      </w:tr>
      <w:tr w:rsidR="0095484D" w:rsidRPr="0095484D" w14:paraId="33F3434B" w14:textId="77777777" w:rsidTr="0095484D">
        <w:trPr>
          <w:trHeight w:val="300"/>
        </w:trPr>
        <w:tc>
          <w:tcPr>
            <w:tcW w:w="1083" w:type="dxa"/>
            <w:tcBorders>
              <w:top w:val="nil"/>
              <w:left w:val="single" w:sz="8" w:space="0" w:color="auto"/>
              <w:bottom w:val="nil"/>
              <w:right w:val="single" w:sz="8" w:space="0" w:color="auto"/>
            </w:tcBorders>
            <w:shd w:val="clear" w:color="auto" w:fill="auto"/>
            <w:noWrap/>
            <w:vAlign w:val="center"/>
            <w:hideMark/>
          </w:tcPr>
          <w:p w14:paraId="005C64EF" w14:textId="77777777" w:rsidR="0095484D" w:rsidRPr="0095484D" w:rsidRDefault="0095484D" w:rsidP="0095484D">
            <w:pPr>
              <w:spacing w:after="0" w:line="240" w:lineRule="auto"/>
              <w:rPr>
                <w:rFonts w:eastAsia="Times New Roman" w:cs="Calibri"/>
                <w:color w:val="000000"/>
                <w:sz w:val="18"/>
                <w:szCs w:val="18"/>
                <w:lang w:val="en-US"/>
              </w:rPr>
            </w:pPr>
            <w:r w:rsidRPr="0095484D">
              <w:rPr>
                <w:rFonts w:eastAsia="Times New Roman" w:cs="Calibri"/>
                <w:color w:val="000000"/>
                <w:sz w:val="18"/>
                <w:szCs w:val="18"/>
                <w:lang w:val="en-US"/>
              </w:rPr>
              <w:t>5.1.1.02.05</w:t>
            </w:r>
          </w:p>
        </w:tc>
        <w:tc>
          <w:tcPr>
            <w:tcW w:w="3443" w:type="dxa"/>
            <w:tcBorders>
              <w:top w:val="nil"/>
              <w:left w:val="nil"/>
              <w:bottom w:val="nil"/>
              <w:right w:val="single" w:sz="8" w:space="0" w:color="auto"/>
            </w:tcBorders>
            <w:shd w:val="clear" w:color="auto" w:fill="auto"/>
            <w:vAlign w:val="center"/>
            <w:hideMark/>
          </w:tcPr>
          <w:p w14:paraId="7398CF3B" w14:textId="77777777" w:rsidR="0095484D" w:rsidRPr="0095484D" w:rsidRDefault="0095484D" w:rsidP="0095484D">
            <w:pPr>
              <w:spacing w:after="0" w:line="240" w:lineRule="auto"/>
              <w:rPr>
                <w:rFonts w:eastAsia="Times New Roman" w:cs="Calibri"/>
                <w:color w:val="000000"/>
                <w:sz w:val="18"/>
                <w:szCs w:val="18"/>
                <w:lang w:val="en-US"/>
              </w:rPr>
            </w:pPr>
            <w:r w:rsidRPr="0095484D">
              <w:rPr>
                <w:rFonts w:eastAsia="Times New Roman" w:cs="Calibri"/>
                <w:color w:val="000000"/>
                <w:sz w:val="18"/>
                <w:szCs w:val="18"/>
                <w:lang w:val="en-US"/>
              </w:rPr>
              <w:t>Dietas</w:t>
            </w:r>
          </w:p>
        </w:tc>
        <w:tc>
          <w:tcPr>
            <w:tcW w:w="1134" w:type="dxa"/>
            <w:tcBorders>
              <w:top w:val="nil"/>
              <w:left w:val="nil"/>
              <w:bottom w:val="nil"/>
              <w:right w:val="single" w:sz="8" w:space="0" w:color="auto"/>
            </w:tcBorders>
            <w:shd w:val="clear" w:color="000000" w:fill="FFFFFF"/>
            <w:noWrap/>
            <w:vAlign w:val="bottom"/>
            <w:hideMark/>
          </w:tcPr>
          <w:p w14:paraId="4853034B"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8 233,17</w:t>
            </w:r>
          </w:p>
        </w:tc>
        <w:tc>
          <w:tcPr>
            <w:tcW w:w="1134" w:type="dxa"/>
            <w:tcBorders>
              <w:top w:val="nil"/>
              <w:left w:val="nil"/>
              <w:bottom w:val="nil"/>
              <w:right w:val="single" w:sz="8" w:space="0" w:color="auto"/>
            </w:tcBorders>
            <w:shd w:val="clear" w:color="000000" w:fill="FFFFFF"/>
            <w:noWrap/>
            <w:vAlign w:val="bottom"/>
            <w:hideMark/>
          </w:tcPr>
          <w:p w14:paraId="33B23C06"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6 593,59</w:t>
            </w:r>
          </w:p>
        </w:tc>
        <w:tc>
          <w:tcPr>
            <w:tcW w:w="1134" w:type="dxa"/>
            <w:tcBorders>
              <w:top w:val="nil"/>
              <w:left w:val="nil"/>
              <w:bottom w:val="nil"/>
              <w:right w:val="single" w:sz="8" w:space="0" w:color="auto"/>
            </w:tcBorders>
            <w:shd w:val="clear" w:color="000000" w:fill="FFFFFF"/>
            <w:noWrap/>
            <w:vAlign w:val="bottom"/>
            <w:hideMark/>
          </w:tcPr>
          <w:p w14:paraId="57B57B9C"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1 639,58</w:t>
            </w:r>
          </w:p>
        </w:tc>
        <w:tc>
          <w:tcPr>
            <w:tcW w:w="879" w:type="dxa"/>
            <w:tcBorders>
              <w:top w:val="nil"/>
              <w:left w:val="nil"/>
              <w:bottom w:val="nil"/>
              <w:right w:val="single" w:sz="8" w:space="0" w:color="auto"/>
            </w:tcBorders>
            <w:shd w:val="clear" w:color="auto" w:fill="auto"/>
            <w:noWrap/>
            <w:vAlign w:val="bottom"/>
            <w:hideMark/>
          </w:tcPr>
          <w:p w14:paraId="6853E9CF"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24,87%</w:t>
            </w:r>
          </w:p>
        </w:tc>
        <w:tc>
          <w:tcPr>
            <w:tcW w:w="222" w:type="dxa"/>
            <w:vAlign w:val="center"/>
            <w:hideMark/>
          </w:tcPr>
          <w:p w14:paraId="763D97BE" w14:textId="77777777" w:rsidR="0095484D" w:rsidRPr="0095484D" w:rsidRDefault="0095484D" w:rsidP="0095484D">
            <w:pPr>
              <w:spacing w:after="0" w:line="240" w:lineRule="auto"/>
              <w:jc w:val="left"/>
              <w:rPr>
                <w:rFonts w:eastAsia="Times New Roman" w:cs="Times New Roman"/>
                <w:sz w:val="18"/>
                <w:szCs w:val="18"/>
                <w:lang w:val="en-US"/>
              </w:rPr>
            </w:pPr>
          </w:p>
        </w:tc>
      </w:tr>
      <w:tr w:rsidR="0095484D" w:rsidRPr="0095484D" w14:paraId="005A7B85" w14:textId="77777777" w:rsidTr="0095484D">
        <w:trPr>
          <w:trHeight w:val="300"/>
        </w:trPr>
        <w:tc>
          <w:tcPr>
            <w:tcW w:w="1083" w:type="dxa"/>
            <w:tcBorders>
              <w:top w:val="nil"/>
              <w:left w:val="single" w:sz="8" w:space="0" w:color="auto"/>
              <w:bottom w:val="nil"/>
              <w:right w:val="single" w:sz="8" w:space="0" w:color="auto"/>
            </w:tcBorders>
            <w:shd w:val="clear" w:color="auto" w:fill="auto"/>
            <w:noWrap/>
            <w:vAlign w:val="center"/>
            <w:hideMark/>
          </w:tcPr>
          <w:p w14:paraId="1669640C" w14:textId="77777777" w:rsidR="0095484D" w:rsidRPr="0095484D" w:rsidRDefault="0095484D" w:rsidP="0095484D">
            <w:pPr>
              <w:spacing w:after="0" w:line="240" w:lineRule="auto"/>
              <w:rPr>
                <w:rFonts w:eastAsia="Times New Roman" w:cs="Calibri"/>
                <w:color w:val="000000"/>
                <w:sz w:val="18"/>
                <w:szCs w:val="18"/>
                <w:lang w:val="en-US"/>
              </w:rPr>
            </w:pPr>
            <w:r w:rsidRPr="0095484D">
              <w:rPr>
                <w:rFonts w:eastAsia="Times New Roman" w:cs="Calibri"/>
                <w:color w:val="000000"/>
                <w:sz w:val="18"/>
                <w:szCs w:val="18"/>
                <w:lang w:val="en-US"/>
              </w:rPr>
              <w:t>5.1.1.02.99.</w:t>
            </w:r>
          </w:p>
        </w:tc>
        <w:tc>
          <w:tcPr>
            <w:tcW w:w="3443" w:type="dxa"/>
            <w:tcBorders>
              <w:top w:val="nil"/>
              <w:left w:val="nil"/>
              <w:bottom w:val="nil"/>
              <w:right w:val="single" w:sz="8" w:space="0" w:color="auto"/>
            </w:tcBorders>
            <w:shd w:val="clear" w:color="auto" w:fill="auto"/>
            <w:vAlign w:val="center"/>
            <w:hideMark/>
          </w:tcPr>
          <w:p w14:paraId="642FE4FE" w14:textId="77777777" w:rsidR="0095484D" w:rsidRPr="0095484D" w:rsidRDefault="0095484D" w:rsidP="0095484D">
            <w:pPr>
              <w:spacing w:after="0" w:line="240" w:lineRule="auto"/>
              <w:rPr>
                <w:rFonts w:eastAsia="Times New Roman" w:cs="Calibri"/>
                <w:color w:val="000000"/>
                <w:sz w:val="18"/>
                <w:szCs w:val="18"/>
                <w:lang w:val="en-US"/>
              </w:rPr>
            </w:pPr>
            <w:r w:rsidRPr="0095484D">
              <w:rPr>
                <w:rFonts w:eastAsia="Times New Roman" w:cs="Calibri"/>
                <w:color w:val="000000"/>
                <w:sz w:val="18"/>
                <w:szCs w:val="18"/>
                <w:lang w:val="en-US"/>
              </w:rPr>
              <w:t>Otras remuneraciones eventuales</w:t>
            </w:r>
          </w:p>
        </w:tc>
        <w:tc>
          <w:tcPr>
            <w:tcW w:w="1134" w:type="dxa"/>
            <w:tcBorders>
              <w:top w:val="nil"/>
              <w:left w:val="nil"/>
              <w:bottom w:val="nil"/>
              <w:right w:val="single" w:sz="8" w:space="0" w:color="auto"/>
            </w:tcBorders>
            <w:shd w:val="clear" w:color="000000" w:fill="FFFFFF"/>
            <w:noWrap/>
            <w:vAlign w:val="bottom"/>
            <w:hideMark/>
          </w:tcPr>
          <w:p w14:paraId="1C70CCCD"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0,00</w:t>
            </w:r>
          </w:p>
        </w:tc>
        <w:tc>
          <w:tcPr>
            <w:tcW w:w="1134" w:type="dxa"/>
            <w:tcBorders>
              <w:top w:val="nil"/>
              <w:left w:val="nil"/>
              <w:bottom w:val="nil"/>
              <w:right w:val="single" w:sz="8" w:space="0" w:color="auto"/>
            </w:tcBorders>
            <w:shd w:val="clear" w:color="000000" w:fill="FFFFFF"/>
            <w:noWrap/>
            <w:vAlign w:val="bottom"/>
            <w:hideMark/>
          </w:tcPr>
          <w:p w14:paraId="2E6D96DC"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0,00</w:t>
            </w:r>
          </w:p>
        </w:tc>
        <w:tc>
          <w:tcPr>
            <w:tcW w:w="1134" w:type="dxa"/>
            <w:tcBorders>
              <w:top w:val="nil"/>
              <w:left w:val="nil"/>
              <w:bottom w:val="nil"/>
              <w:right w:val="single" w:sz="8" w:space="0" w:color="auto"/>
            </w:tcBorders>
            <w:shd w:val="clear" w:color="000000" w:fill="FFFFFF"/>
            <w:noWrap/>
            <w:vAlign w:val="bottom"/>
            <w:hideMark/>
          </w:tcPr>
          <w:p w14:paraId="3D414D37"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0,00</w:t>
            </w:r>
          </w:p>
        </w:tc>
        <w:tc>
          <w:tcPr>
            <w:tcW w:w="879" w:type="dxa"/>
            <w:tcBorders>
              <w:top w:val="nil"/>
              <w:left w:val="nil"/>
              <w:bottom w:val="nil"/>
              <w:right w:val="single" w:sz="8" w:space="0" w:color="auto"/>
            </w:tcBorders>
            <w:shd w:val="clear" w:color="auto" w:fill="auto"/>
            <w:noWrap/>
            <w:vAlign w:val="bottom"/>
            <w:hideMark/>
          </w:tcPr>
          <w:p w14:paraId="0D3C01EA" w14:textId="77777777" w:rsidR="0095484D" w:rsidRPr="0095484D" w:rsidRDefault="0095484D" w:rsidP="0095484D">
            <w:pPr>
              <w:spacing w:after="0" w:line="240" w:lineRule="auto"/>
              <w:jc w:val="center"/>
              <w:rPr>
                <w:rFonts w:eastAsia="Times New Roman" w:cs="Calibri"/>
                <w:color w:val="000000"/>
                <w:sz w:val="18"/>
                <w:szCs w:val="18"/>
                <w:lang w:val="en-US"/>
              </w:rPr>
            </w:pPr>
            <w:r w:rsidRPr="0095484D">
              <w:rPr>
                <w:rFonts w:eastAsia="Times New Roman" w:cs="Calibri"/>
                <w:color w:val="000000"/>
                <w:sz w:val="18"/>
                <w:szCs w:val="18"/>
                <w:lang w:val="en-US"/>
              </w:rPr>
              <w:t>#DIV/0!</w:t>
            </w:r>
          </w:p>
        </w:tc>
        <w:tc>
          <w:tcPr>
            <w:tcW w:w="222" w:type="dxa"/>
            <w:vAlign w:val="center"/>
            <w:hideMark/>
          </w:tcPr>
          <w:p w14:paraId="522213B2" w14:textId="77777777" w:rsidR="0095484D" w:rsidRPr="0095484D" w:rsidRDefault="0095484D" w:rsidP="0095484D">
            <w:pPr>
              <w:spacing w:after="0" w:line="240" w:lineRule="auto"/>
              <w:jc w:val="left"/>
              <w:rPr>
                <w:rFonts w:eastAsia="Times New Roman" w:cs="Times New Roman"/>
                <w:sz w:val="18"/>
                <w:szCs w:val="18"/>
                <w:lang w:val="en-US"/>
              </w:rPr>
            </w:pPr>
          </w:p>
        </w:tc>
      </w:tr>
      <w:tr w:rsidR="0095484D" w:rsidRPr="0095484D" w14:paraId="3CB584C9" w14:textId="77777777" w:rsidTr="0095484D">
        <w:trPr>
          <w:trHeight w:val="300"/>
        </w:trPr>
        <w:tc>
          <w:tcPr>
            <w:tcW w:w="10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41475A" w14:textId="77777777" w:rsidR="0095484D" w:rsidRPr="0095484D" w:rsidRDefault="0095484D" w:rsidP="0095484D">
            <w:pPr>
              <w:spacing w:after="0" w:line="240" w:lineRule="auto"/>
              <w:rPr>
                <w:rFonts w:eastAsia="Times New Roman" w:cs="Calibri"/>
                <w:b/>
                <w:bCs/>
                <w:color w:val="000000"/>
                <w:sz w:val="18"/>
                <w:szCs w:val="18"/>
                <w:lang w:val="en-US"/>
              </w:rPr>
            </w:pPr>
            <w:r w:rsidRPr="0095484D">
              <w:rPr>
                <w:rFonts w:eastAsia="Times New Roman" w:cs="Calibri"/>
                <w:b/>
                <w:bCs/>
                <w:color w:val="000000"/>
                <w:sz w:val="18"/>
                <w:szCs w:val="18"/>
                <w:lang w:val="en-US"/>
              </w:rPr>
              <w:t>5.1.1.03.</w:t>
            </w:r>
          </w:p>
        </w:tc>
        <w:tc>
          <w:tcPr>
            <w:tcW w:w="3443" w:type="dxa"/>
            <w:tcBorders>
              <w:top w:val="single" w:sz="8" w:space="0" w:color="auto"/>
              <w:left w:val="nil"/>
              <w:bottom w:val="single" w:sz="8" w:space="0" w:color="auto"/>
              <w:right w:val="single" w:sz="8" w:space="0" w:color="auto"/>
            </w:tcBorders>
            <w:shd w:val="clear" w:color="auto" w:fill="auto"/>
            <w:vAlign w:val="center"/>
            <w:hideMark/>
          </w:tcPr>
          <w:p w14:paraId="255B1DB7" w14:textId="77777777" w:rsidR="0095484D" w:rsidRPr="0095484D" w:rsidRDefault="0095484D" w:rsidP="0095484D">
            <w:pPr>
              <w:spacing w:after="0" w:line="240" w:lineRule="auto"/>
              <w:rPr>
                <w:rFonts w:eastAsia="Times New Roman" w:cs="Calibri"/>
                <w:b/>
                <w:bCs/>
                <w:color w:val="000000"/>
                <w:sz w:val="18"/>
                <w:szCs w:val="18"/>
                <w:lang w:val="en-US"/>
              </w:rPr>
            </w:pPr>
            <w:r w:rsidRPr="0095484D">
              <w:rPr>
                <w:rFonts w:eastAsia="Times New Roman" w:cs="Calibri"/>
                <w:b/>
                <w:bCs/>
                <w:color w:val="000000"/>
                <w:sz w:val="18"/>
                <w:szCs w:val="18"/>
                <w:lang w:val="en-US"/>
              </w:rPr>
              <w:t>Incentivos salariales</w:t>
            </w:r>
          </w:p>
        </w:tc>
        <w:tc>
          <w:tcPr>
            <w:tcW w:w="1134" w:type="dxa"/>
            <w:tcBorders>
              <w:top w:val="single" w:sz="8" w:space="0" w:color="auto"/>
              <w:left w:val="nil"/>
              <w:bottom w:val="single" w:sz="8" w:space="0" w:color="auto"/>
              <w:right w:val="single" w:sz="8" w:space="0" w:color="auto"/>
            </w:tcBorders>
            <w:shd w:val="clear" w:color="000000" w:fill="FFFFFF"/>
            <w:noWrap/>
            <w:vAlign w:val="bottom"/>
            <w:hideMark/>
          </w:tcPr>
          <w:p w14:paraId="338FCB6D" w14:textId="77777777" w:rsidR="0095484D" w:rsidRPr="0095484D" w:rsidRDefault="0095484D" w:rsidP="0095484D">
            <w:pPr>
              <w:spacing w:after="0" w:line="240" w:lineRule="auto"/>
              <w:jc w:val="right"/>
              <w:rPr>
                <w:rFonts w:eastAsia="Times New Roman" w:cs="Calibri"/>
                <w:b/>
                <w:bCs/>
                <w:color w:val="000000"/>
                <w:sz w:val="18"/>
                <w:szCs w:val="18"/>
                <w:lang w:val="en-US"/>
              </w:rPr>
            </w:pPr>
            <w:r w:rsidRPr="0095484D">
              <w:rPr>
                <w:rFonts w:eastAsia="Times New Roman" w:cs="Calibri"/>
                <w:b/>
                <w:bCs/>
                <w:color w:val="000000"/>
                <w:sz w:val="18"/>
                <w:szCs w:val="18"/>
                <w:lang w:val="en-US"/>
              </w:rPr>
              <w:t>164 004,26</w:t>
            </w:r>
          </w:p>
        </w:tc>
        <w:tc>
          <w:tcPr>
            <w:tcW w:w="1134" w:type="dxa"/>
            <w:tcBorders>
              <w:top w:val="single" w:sz="8" w:space="0" w:color="auto"/>
              <w:left w:val="nil"/>
              <w:bottom w:val="single" w:sz="8" w:space="0" w:color="auto"/>
              <w:right w:val="single" w:sz="8" w:space="0" w:color="auto"/>
            </w:tcBorders>
            <w:shd w:val="clear" w:color="000000" w:fill="FFFFFF"/>
            <w:noWrap/>
            <w:vAlign w:val="bottom"/>
            <w:hideMark/>
          </w:tcPr>
          <w:p w14:paraId="2E7BD530" w14:textId="77777777" w:rsidR="0095484D" w:rsidRPr="0095484D" w:rsidRDefault="0095484D" w:rsidP="0095484D">
            <w:pPr>
              <w:spacing w:after="0" w:line="240" w:lineRule="auto"/>
              <w:jc w:val="right"/>
              <w:rPr>
                <w:rFonts w:eastAsia="Times New Roman" w:cs="Calibri"/>
                <w:b/>
                <w:bCs/>
                <w:color w:val="000000"/>
                <w:sz w:val="18"/>
                <w:szCs w:val="18"/>
                <w:lang w:val="en-US"/>
              </w:rPr>
            </w:pPr>
            <w:r w:rsidRPr="0095484D">
              <w:rPr>
                <w:rFonts w:eastAsia="Times New Roman" w:cs="Calibri"/>
                <w:b/>
                <w:bCs/>
                <w:color w:val="000000"/>
                <w:sz w:val="18"/>
                <w:szCs w:val="18"/>
                <w:lang w:val="en-US"/>
              </w:rPr>
              <w:t>113 560,92</w:t>
            </w:r>
          </w:p>
        </w:tc>
        <w:tc>
          <w:tcPr>
            <w:tcW w:w="1134" w:type="dxa"/>
            <w:tcBorders>
              <w:top w:val="single" w:sz="8" w:space="0" w:color="auto"/>
              <w:left w:val="nil"/>
              <w:bottom w:val="single" w:sz="8" w:space="0" w:color="auto"/>
              <w:right w:val="single" w:sz="8" w:space="0" w:color="auto"/>
            </w:tcBorders>
            <w:shd w:val="clear" w:color="000000" w:fill="FFFFFF"/>
            <w:noWrap/>
            <w:vAlign w:val="bottom"/>
            <w:hideMark/>
          </w:tcPr>
          <w:p w14:paraId="5FAE5BF1" w14:textId="77777777" w:rsidR="0095484D" w:rsidRPr="0095484D" w:rsidRDefault="0095484D" w:rsidP="0095484D">
            <w:pPr>
              <w:spacing w:after="0" w:line="240" w:lineRule="auto"/>
              <w:jc w:val="right"/>
              <w:rPr>
                <w:rFonts w:eastAsia="Times New Roman" w:cs="Calibri"/>
                <w:b/>
                <w:bCs/>
                <w:color w:val="000000"/>
                <w:sz w:val="18"/>
                <w:szCs w:val="18"/>
                <w:lang w:val="en-US"/>
              </w:rPr>
            </w:pPr>
            <w:r w:rsidRPr="0095484D">
              <w:rPr>
                <w:rFonts w:eastAsia="Times New Roman" w:cs="Calibri"/>
                <w:b/>
                <w:bCs/>
                <w:color w:val="000000"/>
                <w:sz w:val="18"/>
                <w:szCs w:val="18"/>
                <w:lang w:val="en-US"/>
              </w:rPr>
              <w:t>50 443,34</w:t>
            </w:r>
          </w:p>
        </w:tc>
        <w:tc>
          <w:tcPr>
            <w:tcW w:w="879" w:type="dxa"/>
            <w:tcBorders>
              <w:top w:val="single" w:sz="8" w:space="0" w:color="auto"/>
              <w:left w:val="nil"/>
              <w:bottom w:val="single" w:sz="8" w:space="0" w:color="auto"/>
              <w:right w:val="single" w:sz="8" w:space="0" w:color="auto"/>
            </w:tcBorders>
            <w:shd w:val="clear" w:color="auto" w:fill="auto"/>
            <w:noWrap/>
            <w:vAlign w:val="bottom"/>
            <w:hideMark/>
          </w:tcPr>
          <w:p w14:paraId="3F0A0DA9" w14:textId="77777777" w:rsidR="0095484D" w:rsidRPr="0095484D" w:rsidRDefault="0095484D" w:rsidP="0095484D">
            <w:pPr>
              <w:spacing w:after="0" w:line="240" w:lineRule="auto"/>
              <w:jc w:val="right"/>
              <w:rPr>
                <w:rFonts w:eastAsia="Times New Roman" w:cs="Calibri"/>
                <w:b/>
                <w:bCs/>
                <w:color w:val="000000"/>
                <w:sz w:val="18"/>
                <w:szCs w:val="18"/>
                <w:lang w:val="en-US"/>
              </w:rPr>
            </w:pPr>
            <w:r w:rsidRPr="0095484D">
              <w:rPr>
                <w:rFonts w:eastAsia="Times New Roman" w:cs="Calibri"/>
                <w:b/>
                <w:bCs/>
                <w:color w:val="000000"/>
                <w:sz w:val="18"/>
                <w:szCs w:val="18"/>
                <w:lang w:val="en-US"/>
              </w:rPr>
              <w:t>44,42%</w:t>
            </w:r>
          </w:p>
        </w:tc>
        <w:tc>
          <w:tcPr>
            <w:tcW w:w="222" w:type="dxa"/>
            <w:vAlign w:val="center"/>
            <w:hideMark/>
          </w:tcPr>
          <w:p w14:paraId="7FBACF74" w14:textId="77777777" w:rsidR="0095484D" w:rsidRPr="0095484D" w:rsidRDefault="0095484D" w:rsidP="0095484D">
            <w:pPr>
              <w:spacing w:after="0" w:line="240" w:lineRule="auto"/>
              <w:jc w:val="left"/>
              <w:rPr>
                <w:rFonts w:eastAsia="Times New Roman" w:cs="Times New Roman"/>
                <w:sz w:val="18"/>
                <w:szCs w:val="18"/>
                <w:lang w:val="en-US"/>
              </w:rPr>
            </w:pPr>
          </w:p>
        </w:tc>
      </w:tr>
      <w:tr w:rsidR="0095484D" w:rsidRPr="0095484D" w14:paraId="2E05907C" w14:textId="77777777" w:rsidTr="0095484D">
        <w:trPr>
          <w:trHeight w:val="290"/>
        </w:trPr>
        <w:tc>
          <w:tcPr>
            <w:tcW w:w="1083" w:type="dxa"/>
            <w:tcBorders>
              <w:top w:val="nil"/>
              <w:left w:val="single" w:sz="8" w:space="0" w:color="auto"/>
              <w:bottom w:val="nil"/>
              <w:right w:val="single" w:sz="8" w:space="0" w:color="auto"/>
            </w:tcBorders>
            <w:shd w:val="clear" w:color="auto" w:fill="auto"/>
            <w:noWrap/>
            <w:vAlign w:val="center"/>
            <w:hideMark/>
          </w:tcPr>
          <w:p w14:paraId="1AB3DF60" w14:textId="77777777" w:rsidR="0095484D" w:rsidRPr="0095484D" w:rsidRDefault="0095484D" w:rsidP="0095484D">
            <w:pPr>
              <w:spacing w:after="0" w:line="240" w:lineRule="auto"/>
              <w:rPr>
                <w:rFonts w:eastAsia="Times New Roman" w:cs="Calibri"/>
                <w:color w:val="000000"/>
                <w:sz w:val="18"/>
                <w:szCs w:val="18"/>
                <w:lang w:val="en-US"/>
              </w:rPr>
            </w:pPr>
            <w:r w:rsidRPr="0095484D">
              <w:rPr>
                <w:rFonts w:eastAsia="Times New Roman" w:cs="Calibri"/>
                <w:color w:val="000000"/>
                <w:sz w:val="18"/>
                <w:szCs w:val="18"/>
                <w:lang w:val="en-US"/>
              </w:rPr>
              <w:t>5.1.1.03.01.</w:t>
            </w:r>
          </w:p>
        </w:tc>
        <w:tc>
          <w:tcPr>
            <w:tcW w:w="3443" w:type="dxa"/>
            <w:tcBorders>
              <w:top w:val="nil"/>
              <w:left w:val="nil"/>
              <w:bottom w:val="nil"/>
              <w:right w:val="single" w:sz="8" w:space="0" w:color="auto"/>
            </w:tcBorders>
            <w:shd w:val="clear" w:color="auto" w:fill="auto"/>
            <w:vAlign w:val="center"/>
            <w:hideMark/>
          </w:tcPr>
          <w:p w14:paraId="018D1CE0" w14:textId="77777777" w:rsidR="0095484D" w:rsidRPr="0095484D" w:rsidRDefault="0095484D" w:rsidP="0095484D">
            <w:pPr>
              <w:spacing w:after="0" w:line="240" w:lineRule="auto"/>
              <w:rPr>
                <w:rFonts w:eastAsia="Times New Roman" w:cs="Calibri"/>
                <w:color w:val="000000"/>
                <w:sz w:val="18"/>
                <w:szCs w:val="18"/>
                <w:lang w:val="en-US"/>
              </w:rPr>
            </w:pPr>
            <w:r w:rsidRPr="0095484D">
              <w:rPr>
                <w:rFonts w:eastAsia="Times New Roman" w:cs="Calibri"/>
                <w:color w:val="000000"/>
                <w:sz w:val="18"/>
                <w:szCs w:val="18"/>
                <w:lang w:val="en-US"/>
              </w:rPr>
              <w:t>Retribución por años servidos</w:t>
            </w:r>
          </w:p>
        </w:tc>
        <w:tc>
          <w:tcPr>
            <w:tcW w:w="1134" w:type="dxa"/>
            <w:tcBorders>
              <w:top w:val="nil"/>
              <w:left w:val="nil"/>
              <w:bottom w:val="nil"/>
              <w:right w:val="single" w:sz="8" w:space="0" w:color="auto"/>
            </w:tcBorders>
            <w:shd w:val="clear" w:color="000000" w:fill="FFFFFF"/>
            <w:noWrap/>
            <w:vAlign w:val="bottom"/>
            <w:hideMark/>
          </w:tcPr>
          <w:p w14:paraId="1D997D4B"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83 709,07</w:t>
            </w:r>
          </w:p>
        </w:tc>
        <w:tc>
          <w:tcPr>
            <w:tcW w:w="1134" w:type="dxa"/>
            <w:tcBorders>
              <w:top w:val="nil"/>
              <w:left w:val="nil"/>
              <w:bottom w:val="nil"/>
              <w:right w:val="single" w:sz="8" w:space="0" w:color="auto"/>
            </w:tcBorders>
            <w:shd w:val="clear" w:color="000000" w:fill="FFFFFF"/>
            <w:noWrap/>
            <w:vAlign w:val="bottom"/>
            <w:hideMark/>
          </w:tcPr>
          <w:p w14:paraId="24685767"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50 225,69</w:t>
            </w:r>
          </w:p>
        </w:tc>
        <w:tc>
          <w:tcPr>
            <w:tcW w:w="1134" w:type="dxa"/>
            <w:tcBorders>
              <w:top w:val="nil"/>
              <w:left w:val="nil"/>
              <w:bottom w:val="nil"/>
              <w:right w:val="single" w:sz="8" w:space="0" w:color="auto"/>
            </w:tcBorders>
            <w:shd w:val="clear" w:color="000000" w:fill="FFFFFF"/>
            <w:noWrap/>
            <w:vAlign w:val="bottom"/>
            <w:hideMark/>
          </w:tcPr>
          <w:p w14:paraId="51EDCF64"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33 483,38</w:t>
            </w:r>
          </w:p>
        </w:tc>
        <w:tc>
          <w:tcPr>
            <w:tcW w:w="879" w:type="dxa"/>
            <w:tcBorders>
              <w:top w:val="nil"/>
              <w:left w:val="nil"/>
              <w:bottom w:val="nil"/>
              <w:right w:val="single" w:sz="8" w:space="0" w:color="auto"/>
            </w:tcBorders>
            <w:shd w:val="clear" w:color="auto" w:fill="auto"/>
            <w:noWrap/>
            <w:vAlign w:val="bottom"/>
            <w:hideMark/>
          </w:tcPr>
          <w:p w14:paraId="2B39FDAB"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66,67%</w:t>
            </w:r>
          </w:p>
        </w:tc>
        <w:tc>
          <w:tcPr>
            <w:tcW w:w="222" w:type="dxa"/>
            <w:vAlign w:val="center"/>
            <w:hideMark/>
          </w:tcPr>
          <w:p w14:paraId="6AC54C1B" w14:textId="77777777" w:rsidR="0095484D" w:rsidRPr="0095484D" w:rsidRDefault="0095484D" w:rsidP="0095484D">
            <w:pPr>
              <w:spacing w:after="0" w:line="240" w:lineRule="auto"/>
              <w:jc w:val="left"/>
              <w:rPr>
                <w:rFonts w:eastAsia="Times New Roman" w:cs="Times New Roman"/>
                <w:sz w:val="18"/>
                <w:szCs w:val="18"/>
                <w:lang w:val="en-US"/>
              </w:rPr>
            </w:pPr>
          </w:p>
        </w:tc>
      </w:tr>
      <w:tr w:rsidR="0095484D" w:rsidRPr="0095484D" w14:paraId="5484C6B7" w14:textId="77777777" w:rsidTr="0095484D">
        <w:trPr>
          <w:trHeight w:val="290"/>
        </w:trPr>
        <w:tc>
          <w:tcPr>
            <w:tcW w:w="1083" w:type="dxa"/>
            <w:tcBorders>
              <w:top w:val="nil"/>
              <w:left w:val="single" w:sz="8" w:space="0" w:color="auto"/>
              <w:bottom w:val="nil"/>
              <w:right w:val="single" w:sz="8" w:space="0" w:color="auto"/>
            </w:tcBorders>
            <w:shd w:val="clear" w:color="auto" w:fill="auto"/>
            <w:noWrap/>
            <w:vAlign w:val="center"/>
            <w:hideMark/>
          </w:tcPr>
          <w:p w14:paraId="2684B572" w14:textId="77777777" w:rsidR="0095484D" w:rsidRPr="0095484D" w:rsidRDefault="0095484D" w:rsidP="0095484D">
            <w:pPr>
              <w:spacing w:after="0" w:line="240" w:lineRule="auto"/>
              <w:rPr>
                <w:rFonts w:eastAsia="Times New Roman" w:cs="Calibri"/>
                <w:color w:val="000000"/>
                <w:sz w:val="18"/>
                <w:szCs w:val="18"/>
                <w:lang w:val="en-US"/>
              </w:rPr>
            </w:pPr>
            <w:r w:rsidRPr="0095484D">
              <w:rPr>
                <w:rFonts w:eastAsia="Times New Roman" w:cs="Calibri"/>
                <w:color w:val="000000"/>
                <w:sz w:val="18"/>
                <w:szCs w:val="18"/>
                <w:lang w:val="en-US"/>
              </w:rPr>
              <w:t>5.1.1.03.02.</w:t>
            </w:r>
          </w:p>
        </w:tc>
        <w:tc>
          <w:tcPr>
            <w:tcW w:w="3443" w:type="dxa"/>
            <w:tcBorders>
              <w:top w:val="nil"/>
              <w:left w:val="nil"/>
              <w:bottom w:val="nil"/>
              <w:right w:val="single" w:sz="8" w:space="0" w:color="auto"/>
            </w:tcBorders>
            <w:shd w:val="clear" w:color="auto" w:fill="auto"/>
            <w:vAlign w:val="center"/>
            <w:hideMark/>
          </w:tcPr>
          <w:p w14:paraId="4C31AC6E" w14:textId="77777777" w:rsidR="0095484D" w:rsidRPr="0095484D" w:rsidRDefault="0095484D" w:rsidP="0095484D">
            <w:pPr>
              <w:spacing w:after="0" w:line="240" w:lineRule="auto"/>
              <w:rPr>
                <w:rFonts w:eastAsia="Times New Roman" w:cs="Calibri"/>
                <w:color w:val="000000"/>
                <w:sz w:val="18"/>
                <w:szCs w:val="18"/>
              </w:rPr>
            </w:pPr>
            <w:r w:rsidRPr="0095484D">
              <w:rPr>
                <w:rFonts w:eastAsia="Times New Roman" w:cs="Calibri"/>
                <w:color w:val="000000"/>
                <w:sz w:val="18"/>
                <w:szCs w:val="18"/>
              </w:rPr>
              <w:t>Restricción al ejercicio liberal de la profesión</w:t>
            </w:r>
          </w:p>
        </w:tc>
        <w:tc>
          <w:tcPr>
            <w:tcW w:w="1134" w:type="dxa"/>
            <w:tcBorders>
              <w:top w:val="nil"/>
              <w:left w:val="nil"/>
              <w:bottom w:val="nil"/>
              <w:right w:val="single" w:sz="8" w:space="0" w:color="auto"/>
            </w:tcBorders>
            <w:shd w:val="clear" w:color="000000" w:fill="FFFFFF"/>
            <w:noWrap/>
            <w:vAlign w:val="bottom"/>
            <w:hideMark/>
          </w:tcPr>
          <w:p w14:paraId="28B0E5E2"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36 557,70</w:t>
            </w:r>
          </w:p>
        </w:tc>
        <w:tc>
          <w:tcPr>
            <w:tcW w:w="1134" w:type="dxa"/>
            <w:tcBorders>
              <w:top w:val="nil"/>
              <w:left w:val="nil"/>
              <w:bottom w:val="nil"/>
              <w:right w:val="single" w:sz="8" w:space="0" w:color="auto"/>
            </w:tcBorders>
            <w:shd w:val="clear" w:color="000000" w:fill="FFFFFF"/>
            <w:noWrap/>
            <w:vAlign w:val="bottom"/>
            <w:hideMark/>
          </w:tcPr>
          <w:p w14:paraId="256FD47D"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22 950,70</w:t>
            </w:r>
          </w:p>
        </w:tc>
        <w:tc>
          <w:tcPr>
            <w:tcW w:w="1134" w:type="dxa"/>
            <w:tcBorders>
              <w:top w:val="nil"/>
              <w:left w:val="nil"/>
              <w:bottom w:val="nil"/>
              <w:right w:val="single" w:sz="8" w:space="0" w:color="auto"/>
            </w:tcBorders>
            <w:shd w:val="clear" w:color="000000" w:fill="FFFFFF"/>
            <w:noWrap/>
            <w:vAlign w:val="bottom"/>
            <w:hideMark/>
          </w:tcPr>
          <w:p w14:paraId="4E377A87"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13 607,00</w:t>
            </w:r>
          </w:p>
        </w:tc>
        <w:tc>
          <w:tcPr>
            <w:tcW w:w="879" w:type="dxa"/>
            <w:tcBorders>
              <w:top w:val="nil"/>
              <w:left w:val="nil"/>
              <w:bottom w:val="nil"/>
              <w:right w:val="single" w:sz="8" w:space="0" w:color="auto"/>
            </w:tcBorders>
            <w:shd w:val="clear" w:color="auto" w:fill="auto"/>
            <w:noWrap/>
            <w:vAlign w:val="bottom"/>
            <w:hideMark/>
          </w:tcPr>
          <w:p w14:paraId="416472F2"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59,29%</w:t>
            </w:r>
          </w:p>
        </w:tc>
        <w:tc>
          <w:tcPr>
            <w:tcW w:w="222" w:type="dxa"/>
            <w:vAlign w:val="center"/>
            <w:hideMark/>
          </w:tcPr>
          <w:p w14:paraId="459A88F4" w14:textId="77777777" w:rsidR="0095484D" w:rsidRPr="0095484D" w:rsidRDefault="0095484D" w:rsidP="0095484D">
            <w:pPr>
              <w:spacing w:after="0" w:line="240" w:lineRule="auto"/>
              <w:jc w:val="left"/>
              <w:rPr>
                <w:rFonts w:eastAsia="Times New Roman" w:cs="Times New Roman"/>
                <w:sz w:val="18"/>
                <w:szCs w:val="18"/>
                <w:lang w:val="en-US"/>
              </w:rPr>
            </w:pPr>
          </w:p>
        </w:tc>
      </w:tr>
      <w:tr w:rsidR="0095484D" w:rsidRPr="0095484D" w14:paraId="4E8D9DED" w14:textId="77777777" w:rsidTr="0095484D">
        <w:trPr>
          <w:trHeight w:val="300"/>
        </w:trPr>
        <w:tc>
          <w:tcPr>
            <w:tcW w:w="1083" w:type="dxa"/>
            <w:tcBorders>
              <w:top w:val="nil"/>
              <w:left w:val="single" w:sz="8" w:space="0" w:color="auto"/>
              <w:bottom w:val="nil"/>
              <w:right w:val="single" w:sz="8" w:space="0" w:color="auto"/>
            </w:tcBorders>
            <w:shd w:val="clear" w:color="auto" w:fill="auto"/>
            <w:noWrap/>
            <w:vAlign w:val="center"/>
            <w:hideMark/>
          </w:tcPr>
          <w:p w14:paraId="04C83EAA" w14:textId="77777777" w:rsidR="0095484D" w:rsidRPr="0095484D" w:rsidRDefault="0095484D" w:rsidP="0095484D">
            <w:pPr>
              <w:spacing w:after="0" w:line="240" w:lineRule="auto"/>
              <w:rPr>
                <w:rFonts w:eastAsia="Times New Roman" w:cs="Calibri"/>
                <w:color w:val="000000"/>
                <w:sz w:val="18"/>
                <w:szCs w:val="18"/>
                <w:lang w:val="en-US"/>
              </w:rPr>
            </w:pPr>
            <w:r w:rsidRPr="0095484D">
              <w:rPr>
                <w:rFonts w:eastAsia="Times New Roman" w:cs="Calibri"/>
                <w:color w:val="000000"/>
                <w:sz w:val="18"/>
                <w:szCs w:val="18"/>
                <w:lang w:val="en-US"/>
              </w:rPr>
              <w:t>5.1.1.03.03.</w:t>
            </w:r>
          </w:p>
        </w:tc>
        <w:tc>
          <w:tcPr>
            <w:tcW w:w="3443" w:type="dxa"/>
            <w:tcBorders>
              <w:top w:val="nil"/>
              <w:left w:val="nil"/>
              <w:bottom w:val="nil"/>
              <w:right w:val="single" w:sz="8" w:space="0" w:color="auto"/>
            </w:tcBorders>
            <w:shd w:val="clear" w:color="auto" w:fill="auto"/>
            <w:vAlign w:val="center"/>
            <w:hideMark/>
          </w:tcPr>
          <w:p w14:paraId="1118AD9E" w14:textId="77777777" w:rsidR="0095484D" w:rsidRPr="0095484D" w:rsidRDefault="0095484D" w:rsidP="0095484D">
            <w:pPr>
              <w:spacing w:after="0" w:line="240" w:lineRule="auto"/>
              <w:rPr>
                <w:rFonts w:eastAsia="Times New Roman" w:cs="Calibri"/>
                <w:color w:val="000000"/>
                <w:sz w:val="18"/>
                <w:szCs w:val="18"/>
                <w:lang w:val="en-US"/>
              </w:rPr>
            </w:pPr>
            <w:r w:rsidRPr="0095484D">
              <w:rPr>
                <w:rFonts w:eastAsia="Times New Roman" w:cs="Calibri"/>
                <w:color w:val="000000"/>
                <w:sz w:val="18"/>
                <w:szCs w:val="18"/>
                <w:lang w:val="en-US"/>
              </w:rPr>
              <w:t>Decimotercer mes</w:t>
            </w:r>
          </w:p>
        </w:tc>
        <w:tc>
          <w:tcPr>
            <w:tcW w:w="1134" w:type="dxa"/>
            <w:tcBorders>
              <w:top w:val="nil"/>
              <w:left w:val="nil"/>
              <w:bottom w:val="nil"/>
              <w:right w:val="single" w:sz="8" w:space="0" w:color="auto"/>
            </w:tcBorders>
            <w:shd w:val="clear" w:color="000000" w:fill="FFFFFF"/>
            <w:noWrap/>
            <w:vAlign w:val="bottom"/>
            <w:hideMark/>
          </w:tcPr>
          <w:p w14:paraId="7AC9402A"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43 737,49</w:t>
            </w:r>
          </w:p>
        </w:tc>
        <w:tc>
          <w:tcPr>
            <w:tcW w:w="1134" w:type="dxa"/>
            <w:tcBorders>
              <w:top w:val="nil"/>
              <w:left w:val="nil"/>
              <w:bottom w:val="nil"/>
              <w:right w:val="single" w:sz="8" w:space="0" w:color="auto"/>
            </w:tcBorders>
            <w:shd w:val="clear" w:color="000000" w:fill="FFFFFF"/>
            <w:noWrap/>
            <w:vAlign w:val="bottom"/>
            <w:hideMark/>
          </w:tcPr>
          <w:p w14:paraId="15AF8D30"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40 384,52</w:t>
            </w:r>
          </w:p>
        </w:tc>
        <w:tc>
          <w:tcPr>
            <w:tcW w:w="1134" w:type="dxa"/>
            <w:tcBorders>
              <w:top w:val="nil"/>
              <w:left w:val="nil"/>
              <w:bottom w:val="nil"/>
              <w:right w:val="single" w:sz="8" w:space="0" w:color="auto"/>
            </w:tcBorders>
            <w:shd w:val="clear" w:color="000000" w:fill="FFFFFF"/>
            <w:noWrap/>
            <w:vAlign w:val="bottom"/>
            <w:hideMark/>
          </w:tcPr>
          <w:p w14:paraId="0AC81CB8"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3 352,97</w:t>
            </w:r>
          </w:p>
        </w:tc>
        <w:tc>
          <w:tcPr>
            <w:tcW w:w="879" w:type="dxa"/>
            <w:tcBorders>
              <w:top w:val="nil"/>
              <w:left w:val="nil"/>
              <w:bottom w:val="nil"/>
              <w:right w:val="single" w:sz="8" w:space="0" w:color="auto"/>
            </w:tcBorders>
            <w:shd w:val="clear" w:color="auto" w:fill="auto"/>
            <w:noWrap/>
            <w:vAlign w:val="bottom"/>
            <w:hideMark/>
          </w:tcPr>
          <w:p w14:paraId="3A026DC0"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8,30%</w:t>
            </w:r>
          </w:p>
        </w:tc>
        <w:tc>
          <w:tcPr>
            <w:tcW w:w="222" w:type="dxa"/>
            <w:vAlign w:val="center"/>
            <w:hideMark/>
          </w:tcPr>
          <w:p w14:paraId="0A392D5A" w14:textId="77777777" w:rsidR="0095484D" w:rsidRPr="0095484D" w:rsidRDefault="0095484D" w:rsidP="0095484D">
            <w:pPr>
              <w:spacing w:after="0" w:line="240" w:lineRule="auto"/>
              <w:jc w:val="left"/>
              <w:rPr>
                <w:rFonts w:eastAsia="Times New Roman" w:cs="Times New Roman"/>
                <w:sz w:val="18"/>
                <w:szCs w:val="18"/>
                <w:lang w:val="en-US"/>
              </w:rPr>
            </w:pPr>
          </w:p>
        </w:tc>
      </w:tr>
      <w:tr w:rsidR="0095484D" w:rsidRPr="0095484D" w14:paraId="219BCF19" w14:textId="77777777" w:rsidTr="0095484D">
        <w:trPr>
          <w:trHeight w:val="530"/>
        </w:trPr>
        <w:tc>
          <w:tcPr>
            <w:tcW w:w="10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9F06AD6" w14:textId="77777777" w:rsidR="0095484D" w:rsidRPr="0095484D" w:rsidRDefault="0095484D" w:rsidP="0095484D">
            <w:pPr>
              <w:spacing w:after="0" w:line="240" w:lineRule="auto"/>
              <w:rPr>
                <w:rFonts w:eastAsia="Times New Roman" w:cs="Calibri"/>
                <w:b/>
                <w:bCs/>
                <w:color w:val="000000"/>
                <w:sz w:val="18"/>
                <w:szCs w:val="18"/>
                <w:lang w:val="en-US"/>
              </w:rPr>
            </w:pPr>
            <w:r w:rsidRPr="0095484D">
              <w:rPr>
                <w:rFonts w:eastAsia="Times New Roman" w:cs="Calibri"/>
                <w:b/>
                <w:bCs/>
                <w:color w:val="000000"/>
                <w:sz w:val="18"/>
                <w:szCs w:val="18"/>
                <w:lang w:val="en-US"/>
              </w:rPr>
              <w:t>5.1.1.04.</w:t>
            </w:r>
          </w:p>
        </w:tc>
        <w:tc>
          <w:tcPr>
            <w:tcW w:w="3443" w:type="dxa"/>
            <w:tcBorders>
              <w:top w:val="single" w:sz="8" w:space="0" w:color="auto"/>
              <w:left w:val="nil"/>
              <w:bottom w:val="single" w:sz="8" w:space="0" w:color="auto"/>
              <w:right w:val="single" w:sz="8" w:space="0" w:color="auto"/>
            </w:tcBorders>
            <w:shd w:val="clear" w:color="auto" w:fill="auto"/>
            <w:vAlign w:val="center"/>
            <w:hideMark/>
          </w:tcPr>
          <w:p w14:paraId="073F5023" w14:textId="77777777" w:rsidR="0095484D" w:rsidRPr="0095484D" w:rsidRDefault="0095484D" w:rsidP="0095484D">
            <w:pPr>
              <w:spacing w:after="0" w:line="240" w:lineRule="auto"/>
              <w:rPr>
                <w:rFonts w:eastAsia="Times New Roman" w:cs="Calibri"/>
                <w:b/>
                <w:bCs/>
                <w:color w:val="000000"/>
                <w:sz w:val="18"/>
                <w:szCs w:val="18"/>
              </w:rPr>
            </w:pPr>
            <w:r w:rsidRPr="0095484D">
              <w:rPr>
                <w:rFonts w:eastAsia="Times New Roman" w:cs="Calibri"/>
                <w:b/>
                <w:bCs/>
                <w:color w:val="000000"/>
                <w:sz w:val="18"/>
                <w:szCs w:val="18"/>
              </w:rPr>
              <w:t>Contribuciones patronales al desarrollo y la seguridad social</w:t>
            </w:r>
          </w:p>
        </w:tc>
        <w:tc>
          <w:tcPr>
            <w:tcW w:w="1134" w:type="dxa"/>
            <w:tcBorders>
              <w:top w:val="single" w:sz="8" w:space="0" w:color="auto"/>
              <w:left w:val="nil"/>
              <w:bottom w:val="single" w:sz="8" w:space="0" w:color="auto"/>
              <w:right w:val="single" w:sz="8" w:space="0" w:color="auto"/>
            </w:tcBorders>
            <w:shd w:val="clear" w:color="000000" w:fill="FFFFFF"/>
            <w:noWrap/>
            <w:vAlign w:val="bottom"/>
            <w:hideMark/>
          </w:tcPr>
          <w:p w14:paraId="22F211A1" w14:textId="77777777" w:rsidR="0095484D" w:rsidRPr="0095484D" w:rsidRDefault="0095484D" w:rsidP="0095484D">
            <w:pPr>
              <w:spacing w:after="0" w:line="240" w:lineRule="auto"/>
              <w:jc w:val="right"/>
              <w:rPr>
                <w:rFonts w:eastAsia="Times New Roman" w:cs="Calibri"/>
                <w:b/>
                <w:bCs/>
                <w:color w:val="000000"/>
                <w:sz w:val="18"/>
                <w:szCs w:val="18"/>
                <w:lang w:val="en-US"/>
              </w:rPr>
            </w:pPr>
            <w:r w:rsidRPr="0095484D">
              <w:rPr>
                <w:rFonts w:eastAsia="Times New Roman" w:cs="Calibri"/>
                <w:b/>
                <w:bCs/>
                <w:color w:val="000000"/>
                <w:sz w:val="18"/>
                <w:szCs w:val="18"/>
                <w:lang w:val="en-US"/>
              </w:rPr>
              <w:t>135 466,26</w:t>
            </w:r>
          </w:p>
        </w:tc>
        <w:tc>
          <w:tcPr>
            <w:tcW w:w="1134" w:type="dxa"/>
            <w:tcBorders>
              <w:top w:val="single" w:sz="8" w:space="0" w:color="auto"/>
              <w:left w:val="nil"/>
              <w:bottom w:val="single" w:sz="8" w:space="0" w:color="auto"/>
              <w:right w:val="single" w:sz="8" w:space="0" w:color="auto"/>
            </w:tcBorders>
            <w:shd w:val="clear" w:color="000000" w:fill="FFFFFF"/>
            <w:noWrap/>
            <w:vAlign w:val="bottom"/>
            <w:hideMark/>
          </w:tcPr>
          <w:p w14:paraId="3B9B08D5" w14:textId="77777777" w:rsidR="0095484D" w:rsidRPr="0095484D" w:rsidRDefault="0095484D" w:rsidP="0095484D">
            <w:pPr>
              <w:spacing w:after="0" w:line="240" w:lineRule="auto"/>
              <w:jc w:val="right"/>
              <w:rPr>
                <w:rFonts w:eastAsia="Times New Roman" w:cs="Calibri"/>
                <w:b/>
                <w:bCs/>
                <w:color w:val="000000"/>
                <w:sz w:val="18"/>
                <w:szCs w:val="18"/>
                <w:lang w:val="en-US"/>
              </w:rPr>
            </w:pPr>
            <w:r w:rsidRPr="0095484D">
              <w:rPr>
                <w:rFonts w:eastAsia="Times New Roman" w:cs="Calibri"/>
                <w:b/>
                <w:bCs/>
                <w:color w:val="000000"/>
                <w:sz w:val="18"/>
                <w:szCs w:val="18"/>
                <w:lang w:val="en-US"/>
              </w:rPr>
              <w:t>103 565,60</w:t>
            </w:r>
          </w:p>
        </w:tc>
        <w:tc>
          <w:tcPr>
            <w:tcW w:w="1134" w:type="dxa"/>
            <w:tcBorders>
              <w:top w:val="single" w:sz="8" w:space="0" w:color="auto"/>
              <w:left w:val="nil"/>
              <w:bottom w:val="single" w:sz="8" w:space="0" w:color="auto"/>
              <w:right w:val="single" w:sz="8" w:space="0" w:color="auto"/>
            </w:tcBorders>
            <w:shd w:val="clear" w:color="000000" w:fill="FFFFFF"/>
            <w:noWrap/>
            <w:vAlign w:val="bottom"/>
            <w:hideMark/>
          </w:tcPr>
          <w:p w14:paraId="45AEA7D3" w14:textId="77777777" w:rsidR="0095484D" w:rsidRPr="0095484D" w:rsidRDefault="0095484D" w:rsidP="0095484D">
            <w:pPr>
              <w:spacing w:after="0" w:line="240" w:lineRule="auto"/>
              <w:jc w:val="right"/>
              <w:rPr>
                <w:rFonts w:eastAsia="Times New Roman" w:cs="Calibri"/>
                <w:b/>
                <w:bCs/>
                <w:color w:val="000000"/>
                <w:sz w:val="18"/>
                <w:szCs w:val="18"/>
                <w:lang w:val="en-US"/>
              </w:rPr>
            </w:pPr>
            <w:r w:rsidRPr="0095484D">
              <w:rPr>
                <w:rFonts w:eastAsia="Times New Roman" w:cs="Calibri"/>
                <w:b/>
                <w:bCs/>
                <w:color w:val="000000"/>
                <w:sz w:val="18"/>
                <w:szCs w:val="18"/>
                <w:lang w:val="en-US"/>
              </w:rPr>
              <w:t>31 900,66</w:t>
            </w:r>
          </w:p>
        </w:tc>
        <w:tc>
          <w:tcPr>
            <w:tcW w:w="879" w:type="dxa"/>
            <w:tcBorders>
              <w:top w:val="single" w:sz="8" w:space="0" w:color="auto"/>
              <w:left w:val="nil"/>
              <w:bottom w:val="single" w:sz="8" w:space="0" w:color="auto"/>
              <w:right w:val="single" w:sz="8" w:space="0" w:color="auto"/>
            </w:tcBorders>
            <w:shd w:val="clear" w:color="auto" w:fill="auto"/>
            <w:noWrap/>
            <w:vAlign w:val="bottom"/>
            <w:hideMark/>
          </w:tcPr>
          <w:p w14:paraId="58691853" w14:textId="77777777" w:rsidR="0095484D" w:rsidRPr="0095484D" w:rsidRDefault="0095484D" w:rsidP="0095484D">
            <w:pPr>
              <w:spacing w:after="0" w:line="240" w:lineRule="auto"/>
              <w:jc w:val="right"/>
              <w:rPr>
                <w:rFonts w:eastAsia="Times New Roman" w:cs="Calibri"/>
                <w:b/>
                <w:bCs/>
                <w:color w:val="000000"/>
                <w:sz w:val="18"/>
                <w:szCs w:val="18"/>
                <w:lang w:val="en-US"/>
              </w:rPr>
            </w:pPr>
            <w:r w:rsidRPr="0095484D">
              <w:rPr>
                <w:rFonts w:eastAsia="Times New Roman" w:cs="Calibri"/>
                <w:b/>
                <w:bCs/>
                <w:color w:val="000000"/>
                <w:sz w:val="18"/>
                <w:szCs w:val="18"/>
                <w:lang w:val="en-US"/>
              </w:rPr>
              <w:t>30,80%</w:t>
            </w:r>
          </w:p>
        </w:tc>
        <w:tc>
          <w:tcPr>
            <w:tcW w:w="222" w:type="dxa"/>
            <w:vAlign w:val="center"/>
            <w:hideMark/>
          </w:tcPr>
          <w:p w14:paraId="52D71DB7" w14:textId="77777777" w:rsidR="0095484D" w:rsidRPr="0095484D" w:rsidRDefault="0095484D" w:rsidP="0095484D">
            <w:pPr>
              <w:spacing w:after="0" w:line="240" w:lineRule="auto"/>
              <w:jc w:val="left"/>
              <w:rPr>
                <w:rFonts w:eastAsia="Times New Roman" w:cs="Times New Roman"/>
                <w:sz w:val="18"/>
                <w:szCs w:val="18"/>
                <w:lang w:val="en-US"/>
              </w:rPr>
            </w:pPr>
          </w:p>
        </w:tc>
      </w:tr>
      <w:tr w:rsidR="0095484D" w:rsidRPr="0095484D" w14:paraId="3F73954E" w14:textId="77777777" w:rsidTr="0095484D">
        <w:trPr>
          <w:trHeight w:val="290"/>
        </w:trPr>
        <w:tc>
          <w:tcPr>
            <w:tcW w:w="1083" w:type="dxa"/>
            <w:tcBorders>
              <w:top w:val="nil"/>
              <w:left w:val="single" w:sz="8" w:space="0" w:color="auto"/>
              <w:bottom w:val="nil"/>
              <w:right w:val="single" w:sz="8" w:space="0" w:color="auto"/>
            </w:tcBorders>
            <w:shd w:val="clear" w:color="auto" w:fill="auto"/>
            <w:noWrap/>
            <w:vAlign w:val="center"/>
            <w:hideMark/>
          </w:tcPr>
          <w:p w14:paraId="7164AED9" w14:textId="77777777" w:rsidR="0095484D" w:rsidRPr="0095484D" w:rsidRDefault="0095484D" w:rsidP="0095484D">
            <w:pPr>
              <w:spacing w:after="0" w:line="240" w:lineRule="auto"/>
              <w:rPr>
                <w:rFonts w:eastAsia="Times New Roman" w:cs="Calibri"/>
                <w:color w:val="000000"/>
                <w:sz w:val="18"/>
                <w:szCs w:val="18"/>
                <w:lang w:val="en-US"/>
              </w:rPr>
            </w:pPr>
            <w:r w:rsidRPr="0095484D">
              <w:rPr>
                <w:rFonts w:eastAsia="Times New Roman" w:cs="Calibri"/>
                <w:color w:val="000000"/>
                <w:sz w:val="18"/>
                <w:szCs w:val="18"/>
                <w:lang w:val="en-US"/>
              </w:rPr>
              <w:t>5.1.1.04.01.</w:t>
            </w:r>
          </w:p>
        </w:tc>
        <w:tc>
          <w:tcPr>
            <w:tcW w:w="3443" w:type="dxa"/>
            <w:tcBorders>
              <w:top w:val="nil"/>
              <w:left w:val="nil"/>
              <w:bottom w:val="nil"/>
              <w:right w:val="single" w:sz="8" w:space="0" w:color="auto"/>
            </w:tcBorders>
            <w:shd w:val="clear" w:color="auto" w:fill="auto"/>
            <w:vAlign w:val="center"/>
            <w:hideMark/>
          </w:tcPr>
          <w:p w14:paraId="3E94A096" w14:textId="77777777" w:rsidR="0095484D" w:rsidRPr="0095484D" w:rsidRDefault="0095484D" w:rsidP="0095484D">
            <w:pPr>
              <w:spacing w:after="0" w:line="240" w:lineRule="auto"/>
              <w:rPr>
                <w:rFonts w:eastAsia="Times New Roman" w:cs="Calibri"/>
                <w:color w:val="000000"/>
                <w:sz w:val="18"/>
                <w:szCs w:val="18"/>
              </w:rPr>
            </w:pPr>
            <w:r w:rsidRPr="0095484D">
              <w:rPr>
                <w:rFonts w:eastAsia="Times New Roman" w:cs="Calibri"/>
                <w:color w:val="000000"/>
                <w:sz w:val="18"/>
                <w:szCs w:val="18"/>
              </w:rPr>
              <w:t>Contribución Patronal al Seguro de Salud de la Caja</w:t>
            </w:r>
          </w:p>
        </w:tc>
        <w:tc>
          <w:tcPr>
            <w:tcW w:w="1134" w:type="dxa"/>
            <w:tcBorders>
              <w:top w:val="nil"/>
              <w:left w:val="nil"/>
              <w:bottom w:val="nil"/>
              <w:right w:val="single" w:sz="8" w:space="0" w:color="auto"/>
            </w:tcBorders>
            <w:shd w:val="clear" w:color="000000" w:fill="FFFFFF"/>
            <w:noWrap/>
            <w:vAlign w:val="bottom"/>
            <w:hideMark/>
          </w:tcPr>
          <w:p w14:paraId="66E167BE"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135 316,93</w:t>
            </w:r>
          </w:p>
        </w:tc>
        <w:tc>
          <w:tcPr>
            <w:tcW w:w="1134" w:type="dxa"/>
            <w:tcBorders>
              <w:top w:val="nil"/>
              <w:left w:val="nil"/>
              <w:bottom w:val="nil"/>
              <w:right w:val="single" w:sz="8" w:space="0" w:color="auto"/>
            </w:tcBorders>
            <w:shd w:val="clear" w:color="000000" w:fill="FFFFFF"/>
            <w:noWrap/>
            <w:vAlign w:val="bottom"/>
            <w:hideMark/>
          </w:tcPr>
          <w:p w14:paraId="7055C846"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103 557,26</w:t>
            </w:r>
          </w:p>
        </w:tc>
        <w:tc>
          <w:tcPr>
            <w:tcW w:w="1134" w:type="dxa"/>
            <w:tcBorders>
              <w:top w:val="nil"/>
              <w:left w:val="nil"/>
              <w:bottom w:val="nil"/>
              <w:right w:val="single" w:sz="8" w:space="0" w:color="auto"/>
            </w:tcBorders>
            <w:shd w:val="clear" w:color="000000" w:fill="FFFFFF"/>
            <w:noWrap/>
            <w:vAlign w:val="bottom"/>
            <w:hideMark/>
          </w:tcPr>
          <w:p w14:paraId="25F126FC"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31 759,67</w:t>
            </w:r>
          </w:p>
        </w:tc>
        <w:tc>
          <w:tcPr>
            <w:tcW w:w="879" w:type="dxa"/>
            <w:tcBorders>
              <w:top w:val="nil"/>
              <w:left w:val="nil"/>
              <w:bottom w:val="nil"/>
              <w:right w:val="single" w:sz="8" w:space="0" w:color="auto"/>
            </w:tcBorders>
            <w:shd w:val="clear" w:color="auto" w:fill="auto"/>
            <w:noWrap/>
            <w:vAlign w:val="bottom"/>
            <w:hideMark/>
          </w:tcPr>
          <w:p w14:paraId="2F714746"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30,67%</w:t>
            </w:r>
          </w:p>
        </w:tc>
        <w:tc>
          <w:tcPr>
            <w:tcW w:w="222" w:type="dxa"/>
            <w:vAlign w:val="center"/>
            <w:hideMark/>
          </w:tcPr>
          <w:p w14:paraId="27C804F9" w14:textId="77777777" w:rsidR="0095484D" w:rsidRPr="0095484D" w:rsidRDefault="0095484D" w:rsidP="0095484D">
            <w:pPr>
              <w:spacing w:after="0" w:line="240" w:lineRule="auto"/>
              <w:jc w:val="left"/>
              <w:rPr>
                <w:rFonts w:eastAsia="Times New Roman" w:cs="Times New Roman"/>
                <w:sz w:val="18"/>
                <w:szCs w:val="18"/>
                <w:lang w:val="en-US"/>
              </w:rPr>
            </w:pPr>
          </w:p>
        </w:tc>
      </w:tr>
      <w:tr w:rsidR="0095484D" w:rsidRPr="0095484D" w14:paraId="34349A5A" w14:textId="77777777" w:rsidTr="0095484D">
        <w:trPr>
          <w:trHeight w:val="300"/>
        </w:trPr>
        <w:tc>
          <w:tcPr>
            <w:tcW w:w="1083" w:type="dxa"/>
            <w:tcBorders>
              <w:top w:val="nil"/>
              <w:left w:val="single" w:sz="8" w:space="0" w:color="auto"/>
              <w:bottom w:val="nil"/>
              <w:right w:val="single" w:sz="8" w:space="0" w:color="auto"/>
            </w:tcBorders>
            <w:shd w:val="clear" w:color="auto" w:fill="auto"/>
            <w:noWrap/>
            <w:vAlign w:val="center"/>
            <w:hideMark/>
          </w:tcPr>
          <w:p w14:paraId="5033AACD" w14:textId="77777777" w:rsidR="0095484D" w:rsidRPr="0095484D" w:rsidRDefault="0095484D" w:rsidP="0095484D">
            <w:pPr>
              <w:spacing w:after="0" w:line="240" w:lineRule="auto"/>
              <w:rPr>
                <w:rFonts w:eastAsia="Times New Roman" w:cs="Calibri"/>
                <w:color w:val="000000"/>
                <w:sz w:val="18"/>
                <w:szCs w:val="18"/>
                <w:lang w:val="en-US"/>
              </w:rPr>
            </w:pPr>
            <w:r w:rsidRPr="0095484D">
              <w:rPr>
                <w:rFonts w:eastAsia="Times New Roman" w:cs="Calibri"/>
                <w:color w:val="000000"/>
                <w:sz w:val="18"/>
                <w:szCs w:val="18"/>
                <w:lang w:val="en-US"/>
              </w:rPr>
              <w:t>5.1.1.04.05.</w:t>
            </w:r>
          </w:p>
        </w:tc>
        <w:tc>
          <w:tcPr>
            <w:tcW w:w="3443" w:type="dxa"/>
            <w:tcBorders>
              <w:top w:val="nil"/>
              <w:left w:val="nil"/>
              <w:bottom w:val="nil"/>
              <w:right w:val="single" w:sz="8" w:space="0" w:color="auto"/>
            </w:tcBorders>
            <w:shd w:val="clear" w:color="auto" w:fill="auto"/>
            <w:vAlign w:val="center"/>
            <w:hideMark/>
          </w:tcPr>
          <w:p w14:paraId="692C4FAA" w14:textId="77777777" w:rsidR="0095484D" w:rsidRPr="0095484D" w:rsidRDefault="0095484D" w:rsidP="0095484D">
            <w:pPr>
              <w:spacing w:after="0" w:line="240" w:lineRule="auto"/>
              <w:rPr>
                <w:rFonts w:eastAsia="Times New Roman" w:cs="Calibri"/>
                <w:color w:val="000000"/>
                <w:sz w:val="18"/>
                <w:szCs w:val="18"/>
              </w:rPr>
            </w:pPr>
            <w:r w:rsidRPr="0095484D">
              <w:rPr>
                <w:rFonts w:eastAsia="Times New Roman" w:cs="Calibri"/>
                <w:color w:val="000000"/>
                <w:sz w:val="18"/>
                <w:szCs w:val="18"/>
              </w:rPr>
              <w:t>Contribución Patronal al Banco Popular y de Desarrollo</w:t>
            </w:r>
          </w:p>
        </w:tc>
        <w:tc>
          <w:tcPr>
            <w:tcW w:w="1134" w:type="dxa"/>
            <w:tcBorders>
              <w:top w:val="nil"/>
              <w:left w:val="nil"/>
              <w:bottom w:val="nil"/>
              <w:right w:val="single" w:sz="8" w:space="0" w:color="auto"/>
            </w:tcBorders>
            <w:shd w:val="clear" w:color="000000" w:fill="FFFFFF"/>
            <w:noWrap/>
            <w:vAlign w:val="bottom"/>
            <w:hideMark/>
          </w:tcPr>
          <w:p w14:paraId="63F91AC0"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149,33</w:t>
            </w:r>
          </w:p>
        </w:tc>
        <w:tc>
          <w:tcPr>
            <w:tcW w:w="1134" w:type="dxa"/>
            <w:tcBorders>
              <w:top w:val="nil"/>
              <w:left w:val="nil"/>
              <w:bottom w:val="nil"/>
              <w:right w:val="single" w:sz="8" w:space="0" w:color="auto"/>
            </w:tcBorders>
            <w:shd w:val="clear" w:color="000000" w:fill="FFFFFF"/>
            <w:noWrap/>
            <w:vAlign w:val="bottom"/>
            <w:hideMark/>
          </w:tcPr>
          <w:p w14:paraId="66842A77"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8,34</w:t>
            </w:r>
          </w:p>
        </w:tc>
        <w:tc>
          <w:tcPr>
            <w:tcW w:w="1134" w:type="dxa"/>
            <w:tcBorders>
              <w:top w:val="nil"/>
              <w:left w:val="nil"/>
              <w:bottom w:val="nil"/>
              <w:right w:val="single" w:sz="8" w:space="0" w:color="auto"/>
            </w:tcBorders>
            <w:shd w:val="clear" w:color="000000" w:fill="FFFFFF"/>
            <w:noWrap/>
            <w:vAlign w:val="bottom"/>
            <w:hideMark/>
          </w:tcPr>
          <w:p w14:paraId="775DF497"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140,99</w:t>
            </w:r>
          </w:p>
        </w:tc>
        <w:tc>
          <w:tcPr>
            <w:tcW w:w="879" w:type="dxa"/>
            <w:tcBorders>
              <w:top w:val="nil"/>
              <w:left w:val="nil"/>
              <w:bottom w:val="nil"/>
              <w:right w:val="single" w:sz="8" w:space="0" w:color="auto"/>
            </w:tcBorders>
            <w:shd w:val="clear" w:color="auto" w:fill="auto"/>
            <w:noWrap/>
            <w:vAlign w:val="bottom"/>
            <w:hideMark/>
          </w:tcPr>
          <w:p w14:paraId="6A7D2B21"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1690,56%</w:t>
            </w:r>
          </w:p>
        </w:tc>
        <w:tc>
          <w:tcPr>
            <w:tcW w:w="222" w:type="dxa"/>
            <w:vAlign w:val="center"/>
            <w:hideMark/>
          </w:tcPr>
          <w:p w14:paraId="5EEC8EF1" w14:textId="77777777" w:rsidR="0095484D" w:rsidRPr="0095484D" w:rsidRDefault="0095484D" w:rsidP="0095484D">
            <w:pPr>
              <w:spacing w:after="0" w:line="240" w:lineRule="auto"/>
              <w:jc w:val="left"/>
              <w:rPr>
                <w:rFonts w:eastAsia="Times New Roman" w:cs="Times New Roman"/>
                <w:sz w:val="18"/>
                <w:szCs w:val="18"/>
                <w:lang w:val="en-US"/>
              </w:rPr>
            </w:pPr>
          </w:p>
        </w:tc>
      </w:tr>
      <w:tr w:rsidR="0095484D" w:rsidRPr="0095484D" w14:paraId="54EF5B57" w14:textId="77777777" w:rsidTr="0095484D">
        <w:trPr>
          <w:trHeight w:val="530"/>
        </w:trPr>
        <w:tc>
          <w:tcPr>
            <w:tcW w:w="10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11250A0" w14:textId="77777777" w:rsidR="0095484D" w:rsidRPr="0095484D" w:rsidRDefault="0095484D" w:rsidP="0095484D">
            <w:pPr>
              <w:spacing w:after="0" w:line="240" w:lineRule="auto"/>
              <w:rPr>
                <w:rFonts w:eastAsia="Times New Roman" w:cs="Calibri"/>
                <w:b/>
                <w:bCs/>
                <w:color w:val="000000"/>
                <w:sz w:val="18"/>
                <w:szCs w:val="18"/>
                <w:lang w:val="en-US"/>
              </w:rPr>
            </w:pPr>
            <w:r w:rsidRPr="0095484D">
              <w:rPr>
                <w:rFonts w:eastAsia="Times New Roman" w:cs="Calibri"/>
                <w:b/>
                <w:bCs/>
                <w:color w:val="000000"/>
                <w:sz w:val="18"/>
                <w:szCs w:val="18"/>
                <w:lang w:val="en-US"/>
              </w:rPr>
              <w:t>5.1.1.05.</w:t>
            </w:r>
          </w:p>
        </w:tc>
        <w:tc>
          <w:tcPr>
            <w:tcW w:w="3443" w:type="dxa"/>
            <w:tcBorders>
              <w:top w:val="single" w:sz="8" w:space="0" w:color="auto"/>
              <w:left w:val="nil"/>
              <w:bottom w:val="single" w:sz="8" w:space="0" w:color="auto"/>
              <w:right w:val="single" w:sz="8" w:space="0" w:color="auto"/>
            </w:tcBorders>
            <w:shd w:val="clear" w:color="auto" w:fill="auto"/>
            <w:vAlign w:val="center"/>
            <w:hideMark/>
          </w:tcPr>
          <w:p w14:paraId="16ABF37A" w14:textId="77777777" w:rsidR="0095484D" w:rsidRPr="0095484D" w:rsidRDefault="0095484D" w:rsidP="0095484D">
            <w:pPr>
              <w:spacing w:after="0" w:line="240" w:lineRule="auto"/>
              <w:rPr>
                <w:rFonts w:eastAsia="Times New Roman" w:cs="Calibri"/>
                <w:b/>
                <w:bCs/>
                <w:color w:val="000000"/>
                <w:sz w:val="18"/>
                <w:szCs w:val="18"/>
              </w:rPr>
            </w:pPr>
            <w:r w:rsidRPr="0095484D">
              <w:rPr>
                <w:rFonts w:eastAsia="Times New Roman" w:cs="Calibri"/>
                <w:b/>
                <w:bCs/>
                <w:color w:val="000000"/>
                <w:sz w:val="18"/>
                <w:szCs w:val="18"/>
              </w:rPr>
              <w:t>Contribuciones patronales a fondos de pensiones y a otros fondos de capitalización</w:t>
            </w:r>
          </w:p>
        </w:tc>
        <w:tc>
          <w:tcPr>
            <w:tcW w:w="1134" w:type="dxa"/>
            <w:tcBorders>
              <w:top w:val="single" w:sz="8" w:space="0" w:color="auto"/>
              <w:left w:val="nil"/>
              <w:bottom w:val="single" w:sz="8" w:space="0" w:color="auto"/>
              <w:right w:val="single" w:sz="8" w:space="0" w:color="auto"/>
            </w:tcBorders>
            <w:shd w:val="clear" w:color="000000" w:fill="FFFFFF"/>
            <w:noWrap/>
            <w:vAlign w:val="bottom"/>
            <w:hideMark/>
          </w:tcPr>
          <w:p w14:paraId="5DA851A1" w14:textId="77777777" w:rsidR="0095484D" w:rsidRPr="0095484D" w:rsidRDefault="0095484D" w:rsidP="0095484D">
            <w:pPr>
              <w:spacing w:after="0" w:line="240" w:lineRule="auto"/>
              <w:jc w:val="right"/>
              <w:rPr>
                <w:rFonts w:eastAsia="Times New Roman" w:cs="Calibri"/>
                <w:b/>
                <w:bCs/>
                <w:color w:val="000000"/>
                <w:sz w:val="18"/>
                <w:szCs w:val="18"/>
                <w:lang w:val="en-US"/>
              </w:rPr>
            </w:pPr>
            <w:r w:rsidRPr="0095484D">
              <w:rPr>
                <w:rFonts w:eastAsia="Times New Roman" w:cs="Calibri"/>
                <w:b/>
                <w:bCs/>
                <w:color w:val="000000"/>
                <w:sz w:val="18"/>
                <w:szCs w:val="18"/>
                <w:lang w:val="en-US"/>
              </w:rPr>
              <w:t>2 962,80</w:t>
            </w:r>
          </w:p>
        </w:tc>
        <w:tc>
          <w:tcPr>
            <w:tcW w:w="1134" w:type="dxa"/>
            <w:tcBorders>
              <w:top w:val="single" w:sz="8" w:space="0" w:color="auto"/>
              <w:left w:val="nil"/>
              <w:bottom w:val="single" w:sz="8" w:space="0" w:color="auto"/>
              <w:right w:val="single" w:sz="8" w:space="0" w:color="auto"/>
            </w:tcBorders>
            <w:shd w:val="clear" w:color="000000" w:fill="FFFFFF"/>
            <w:noWrap/>
            <w:vAlign w:val="bottom"/>
            <w:hideMark/>
          </w:tcPr>
          <w:p w14:paraId="1D50842D" w14:textId="77777777" w:rsidR="0095484D" w:rsidRPr="0095484D" w:rsidRDefault="0095484D" w:rsidP="0095484D">
            <w:pPr>
              <w:spacing w:after="0" w:line="240" w:lineRule="auto"/>
              <w:jc w:val="right"/>
              <w:rPr>
                <w:rFonts w:eastAsia="Times New Roman" w:cs="Calibri"/>
                <w:b/>
                <w:bCs/>
                <w:color w:val="000000"/>
                <w:sz w:val="18"/>
                <w:szCs w:val="18"/>
                <w:lang w:val="en-US"/>
              </w:rPr>
            </w:pPr>
            <w:r w:rsidRPr="0095484D">
              <w:rPr>
                <w:rFonts w:eastAsia="Times New Roman" w:cs="Calibri"/>
                <w:b/>
                <w:bCs/>
                <w:color w:val="000000"/>
                <w:sz w:val="18"/>
                <w:szCs w:val="18"/>
                <w:lang w:val="en-US"/>
              </w:rPr>
              <w:t>165,47</w:t>
            </w:r>
          </w:p>
        </w:tc>
        <w:tc>
          <w:tcPr>
            <w:tcW w:w="1134" w:type="dxa"/>
            <w:tcBorders>
              <w:top w:val="single" w:sz="8" w:space="0" w:color="auto"/>
              <w:left w:val="nil"/>
              <w:bottom w:val="single" w:sz="8" w:space="0" w:color="auto"/>
              <w:right w:val="single" w:sz="8" w:space="0" w:color="auto"/>
            </w:tcBorders>
            <w:shd w:val="clear" w:color="000000" w:fill="FFFFFF"/>
            <w:noWrap/>
            <w:vAlign w:val="bottom"/>
            <w:hideMark/>
          </w:tcPr>
          <w:p w14:paraId="34EB8166" w14:textId="77777777" w:rsidR="0095484D" w:rsidRPr="0095484D" w:rsidRDefault="0095484D" w:rsidP="0095484D">
            <w:pPr>
              <w:spacing w:after="0" w:line="240" w:lineRule="auto"/>
              <w:jc w:val="right"/>
              <w:rPr>
                <w:rFonts w:eastAsia="Times New Roman" w:cs="Calibri"/>
                <w:b/>
                <w:bCs/>
                <w:color w:val="000000"/>
                <w:sz w:val="18"/>
                <w:szCs w:val="18"/>
                <w:lang w:val="en-US"/>
              </w:rPr>
            </w:pPr>
            <w:r w:rsidRPr="0095484D">
              <w:rPr>
                <w:rFonts w:eastAsia="Times New Roman" w:cs="Calibri"/>
                <w:b/>
                <w:bCs/>
                <w:color w:val="000000"/>
                <w:sz w:val="18"/>
                <w:szCs w:val="18"/>
                <w:lang w:val="en-US"/>
              </w:rPr>
              <w:t>2 797,33</w:t>
            </w:r>
          </w:p>
        </w:tc>
        <w:tc>
          <w:tcPr>
            <w:tcW w:w="879" w:type="dxa"/>
            <w:tcBorders>
              <w:top w:val="single" w:sz="8" w:space="0" w:color="auto"/>
              <w:left w:val="nil"/>
              <w:bottom w:val="single" w:sz="8" w:space="0" w:color="auto"/>
              <w:right w:val="single" w:sz="8" w:space="0" w:color="auto"/>
            </w:tcBorders>
            <w:shd w:val="clear" w:color="auto" w:fill="auto"/>
            <w:noWrap/>
            <w:vAlign w:val="bottom"/>
            <w:hideMark/>
          </w:tcPr>
          <w:p w14:paraId="49CFF1BB" w14:textId="77777777" w:rsidR="0095484D" w:rsidRPr="0095484D" w:rsidRDefault="0095484D" w:rsidP="0095484D">
            <w:pPr>
              <w:spacing w:after="0" w:line="240" w:lineRule="auto"/>
              <w:jc w:val="right"/>
              <w:rPr>
                <w:rFonts w:eastAsia="Times New Roman" w:cs="Calibri"/>
                <w:b/>
                <w:bCs/>
                <w:color w:val="000000"/>
                <w:sz w:val="18"/>
                <w:szCs w:val="18"/>
                <w:lang w:val="en-US"/>
              </w:rPr>
            </w:pPr>
            <w:r w:rsidRPr="0095484D">
              <w:rPr>
                <w:rFonts w:eastAsia="Times New Roman" w:cs="Calibri"/>
                <w:b/>
                <w:bCs/>
                <w:color w:val="000000"/>
                <w:sz w:val="18"/>
                <w:szCs w:val="18"/>
                <w:lang w:val="en-US"/>
              </w:rPr>
              <w:t>1690,56%</w:t>
            </w:r>
          </w:p>
        </w:tc>
        <w:tc>
          <w:tcPr>
            <w:tcW w:w="222" w:type="dxa"/>
            <w:vAlign w:val="center"/>
            <w:hideMark/>
          </w:tcPr>
          <w:p w14:paraId="49797E4E" w14:textId="77777777" w:rsidR="0095484D" w:rsidRPr="0095484D" w:rsidRDefault="0095484D" w:rsidP="0095484D">
            <w:pPr>
              <w:spacing w:after="0" w:line="240" w:lineRule="auto"/>
              <w:jc w:val="left"/>
              <w:rPr>
                <w:rFonts w:eastAsia="Times New Roman" w:cs="Times New Roman"/>
                <w:sz w:val="18"/>
                <w:szCs w:val="18"/>
                <w:lang w:val="en-US"/>
              </w:rPr>
            </w:pPr>
          </w:p>
        </w:tc>
      </w:tr>
      <w:tr w:rsidR="0095484D" w:rsidRPr="0095484D" w14:paraId="43FBD84E" w14:textId="77777777" w:rsidTr="0095484D">
        <w:trPr>
          <w:trHeight w:val="290"/>
        </w:trPr>
        <w:tc>
          <w:tcPr>
            <w:tcW w:w="1083" w:type="dxa"/>
            <w:tcBorders>
              <w:top w:val="nil"/>
              <w:left w:val="single" w:sz="8" w:space="0" w:color="auto"/>
              <w:bottom w:val="nil"/>
              <w:right w:val="single" w:sz="8" w:space="0" w:color="auto"/>
            </w:tcBorders>
            <w:shd w:val="clear" w:color="auto" w:fill="auto"/>
            <w:noWrap/>
            <w:vAlign w:val="center"/>
            <w:hideMark/>
          </w:tcPr>
          <w:p w14:paraId="7D8FECBF" w14:textId="77777777" w:rsidR="0095484D" w:rsidRPr="0095484D" w:rsidRDefault="0095484D" w:rsidP="0095484D">
            <w:pPr>
              <w:spacing w:after="0" w:line="240" w:lineRule="auto"/>
              <w:rPr>
                <w:rFonts w:eastAsia="Times New Roman" w:cs="Calibri"/>
                <w:color w:val="000000"/>
                <w:sz w:val="18"/>
                <w:szCs w:val="18"/>
                <w:lang w:val="en-US"/>
              </w:rPr>
            </w:pPr>
            <w:r w:rsidRPr="0095484D">
              <w:rPr>
                <w:rFonts w:eastAsia="Times New Roman" w:cs="Calibri"/>
                <w:color w:val="000000"/>
                <w:sz w:val="18"/>
                <w:szCs w:val="18"/>
                <w:lang w:val="en-US"/>
              </w:rPr>
              <w:t>5.1.1.05.01.</w:t>
            </w:r>
          </w:p>
        </w:tc>
        <w:tc>
          <w:tcPr>
            <w:tcW w:w="3443" w:type="dxa"/>
            <w:tcBorders>
              <w:top w:val="nil"/>
              <w:left w:val="nil"/>
              <w:bottom w:val="nil"/>
              <w:right w:val="single" w:sz="8" w:space="0" w:color="auto"/>
            </w:tcBorders>
            <w:shd w:val="clear" w:color="auto" w:fill="auto"/>
            <w:vAlign w:val="center"/>
            <w:hideMark/>
          </w:tcPr>
          <w:p w14:paraId="157A5AEB" w14:textId="77777777" w:rsidR="0095484D" w:rsidRPr="0095484D" w:rsidRDefault="0095484D" w:rsidP="0095484D">
            <w:pPr>
              <w:spacing w:after="0" w:line="240" w:lineRule="auto"/>
              <w:rPr>
                <w:rFonts w:eastAsia="Times New Roman" w:cs="Calibri"/>
                <w:color w:val="000000"/>
                <w:sz w:val="18"/>
                <w:szCs w:val="18"/>
              </w:rPr>
            </w:pPr>
            <w:r w:rsidRPr="0095484D">
              <w:rPr>
                <w:rFonts w:eastAsia="Times New Roman" w:cs="Calibri"/>
                <w:color w:val="000000"/>
                <w:sz w:val="18"/>
                <w:szCs w:val="18"/>
              </w:rPr>
              <w:t>Contribución Patronal al Seguro de Pensiones de la Caja</w:t>
            </w:r>
          </w:p>
        </w:tc>
        <w:tc>
          <w:tcPr>
            <w:tcW w:w="1134" w:type="dxa"/>
            <w:tcBorders>
              <w:top w:val="nil"/>
              <w:left w:val="nil"/>
              <w:bottom w:val="nil"/>
              <w:right w:val="single" w:sz="8" w:space="0" w:color="auto"/>
            </w:tcBorders>
            <w:shd w:val="clear" w:color="000000" w:fill="FFFFFF"/>
            <w:noWrap/>
            <w:vAlign w:val="bottom"/>
            <w:hideMark/>
          </w:tcPr>
          <w:p w14:paraId="11FEA2D8"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1 618,79</w:t>
            </w:r>
          </w:p>
        </w:tc>
        <w:tc>
          <w:tcPr>
            <w:tcW w:w="1134" w:type="dxa"/>
            <w:tcBorders>
              <w:top w:val="nil"/>
              <w:left w:val="nil"/>
              <w:bottom w:val="nil"/>
              <w:right w:val="single" w:sz="8" w:space="0" w:color="auto"/>
            </w:tcBorders>
            <w:shd w:val="clear" w:color="000000" w:fill="FFFFFF"/>
            <w:noWrap/>
            <w:vAlign w:val="bottom"/>
            <w:hideMark/>
          </w:tcPr>
          <w:p w14:paraId="70B9F828"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90,41</w:t>
            </w:r>
          </w:p>
        </w:tc>
        <w:tc>
          <w:tcPr>
            <w:tcW w:w="1134" w:type="dxa"/>
            <w:tcBorders>
              <w:top w:val="nil"/>
              <w:left w:val="nil"/>
              <w:bottom w:val="nil"/>
              <w:right w:val="single" w:sz="8" w:space="0" w:color="auto"/>
            </w:tcBorders>
            <w:shd w:val="clear" w:color="000000" w:fill="FFFFFF"/>
            <w:noWrap/>
            <w:vAlign w:val="bottom"/>
            <w:hideMark/>
          </w:tcPr>
          <w:p w14:paraId="2971FF82"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1 528,38</w:t>
            </w:r>
          </w:p>
        </w:tc>
        <w:tc>
          <w:tcPr>
            <w:tcW w:w="879" w:type="dxa"/>
            <w:tcBorders>
              <w:top w:val="nil"/>
              <w:left w:val="nil"/>
              <w:bottom w:val="nil"/>
              <w:right w:val="single" w:sz="8" w:space="0" w:color="auto"/>
            </w:tcBorders>
            <w:shd w:val="clear" w:color="auto" w:fill="auto"/>
            <w:noWrap/>
            <w:vAlign w:val="bottom"/>
            <w:hideMark/>
          </w:tcPr>
          <w:p w14:paraId="1563E423"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1690,56%</w:t>
            </w:r>
          </w:p>
        </w:tc>
        <w:tc>
          <w:tcPr>
            <w:tcW w:w="222" w:type="dxa"/>
            <w:vAlign w:val="center"/>
            <w:hideMark/>
          </w:tcPr>
          <w:p w14:paraId="3433D840" w14:textId="77777777" w:rsidR="0095484D" w:rsidRPr="0095484D" w:rsidRDefault="0095484D" w:rsidP="0095484D">
            <w:pPr>
              <w:spacing w:after="0" w:line="240" w:lineRule="auto"/>
              <w:jc w:val="left"/>
              <w:rPr>
                <w:rFonts w:eastAsia="Times New Roman" w:cs="Times New Roman"/>
                <w:sz w:val="18"/>
                <w:szCs w:val="18"/>
                <w:lang w:val="en-US"/>
              </w:rPr>
            </w:pPr>
          </w:p>
        </w:tc>
      </w:tr>
      <w:tr w:rsidR="0095484D" w:rsidRPr="0095484D" w14:paraId="3CD9B12D" w14:textId="77777777" w:rsidTr="0095484D">
        <w:trPr>
          <w:trHeight w:val="520"/>
        </w:trPr>
        <w:tc>
          <w:tcPr>
            <w:tcW w:w="1083" w:type="dxa"/>
            <w:tcBorders>
              <w:top w:val="nil"/>
              <w:left w:val="single" w:sz="8" w:space="0" w:color="auto"/>
              <w:bottom w:val="nil"/>
              <w:right w:val="single" w:sz="8" w:space="0" w:color="auto"/>
            </w:tcBorders>
            <w:shd w:val="clear" w:color="auto" w:fill="auto"/>
            <w:noWrap/>
            <w:vAlign w:val="center"/>
            <w:hideMark/>
          </w:tcPr>
          <w:p w14:paraId="2FA605FF" w14:textId="77777777" w:rsidR="0095484D" w:rsidRPr="0095484D" w:rsidRDefault="0095484D" w:rsidP="0095484D">
            <w:pPr>
              <w:spacing w:after="0" w:line="240" w:lineRule="auto"/>
              <w:rPr>
                <w:rFonts w:eastAsia="Times New Roman" w:cs="Calibri"/>
                <w:color w:val="000000"/>
                <w:sz w:val="18"/>
                <w:szCs w:val="18"/>
                <w:lang w:val="en-US"/>
              </w:rPr>
            </w:pPr>
            <w:r w:rsidRPr="0095484D">
              <w:rPr>
                <w:rFonts w:eastAsia="Times New Roman" w:cs="Calibri"/>
                <w:color w:val="000000"/>
                <w:sz w:val="18"/>
                <w:szCs w:val="18"/>
                <w:lang w:val="en-US"/>
              </w:rPr>
              <w:t>5.1.1.05.02.</w:t>
            </w:r>
          </w:p>
        </w:tc>
        <w:tc>
          <w:tcPr>
            <w:tcW w:w="3443" w:type="dxa"/>
            <w:tcBorders>
              <w:top w:val="nil"/>
              <w:left w:val="nil"/>
              <w:bottom w:val="nil"/>
              <w:right w:val="single" w:sz="8" w:space="0" w:color="auto"/>
            </w:tcBorders>
            <w:shd w:val="clear" w:color="auto" w:fill="auto"/>
            <w:vAlign w:val="center"/>
            <w:hideMark/>
          </w:tcPr>
          <w:p w14:paraId="0F40E36D" w14:textId="77777777" w:rsidR="0095484D" w:rsidRPr="0095484D" w:rsidRDefault="0095484D" w:rsidP="0095484D">
            <w:pPr>
              <w:spacing w:after="0" w:line="240" w:lineRule="auto"/>
              <w:rPr>
                <w:rFonts w:eastAsia="Times New Roman" w:cs="Calibri"/>
                <w:color w:val="000000"/>
                <w:sz w:val="18"/>
                <w:szCs w:val="18"/>
              </w:rPr>
            </w:pPr>
            <w:r w:rsidRPr="0095484D">
              <w:rPr>
                <w:rFonts w:eastAsia="Times New Roman" w:cs="Calibri"/>
                <w:color w:val="000000"/>
                <w:sz w:val="18"/>
                <w:szCs w:val="18"/>
              </w:rPr>
              <w:t>Aporte patronal al Régimen Obligatorio de Pensiones Complementarias</w:t>
            </w:r>
          </w:p>
        </w:tc>
        <w:tc>
          <w:tcPr>
            <w:tcW w:w="1134" w:type="dxa"/>
            <w:tcBorders>
              <w:top w:val="nil"/>
              <w:left w:val="nil"/>
              <w:bottom w:val="nil"/>
              <w:right w:val="single" w:sz="8" w:space="0" w:color="auto"/>
            </w:tcBorders>
            <w:shd w:val="clear" w:color="000000" w:fill="FFFFFF"/>
            <w:noWrap/>
            <w:vAlign w:val="bottom"/>
            <w:hideMark/>
          </w:tcPr>
          <w:p w14:paraId="476193A1"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896,01</w:t>
            </w:r>
          </w:p>
        </w:tc>
        <w:tc>
          <w:tcPr>
            <w:tcW w:w="1134" w:type="dxa"/>
            <w:tcBorders>
              <w:top w:val="nil"/>
              <w:left w:val="nil"/>
              <w:bottom w:val="nil"/>
              <w:right w:val="single" w:sz="8" w:space="0" w:color="auto"/>
            </w:tcBorders>
            <w:shd w:val="clear" w:color="000000" w:fill="FFFFFF"/>
            <w:noWrap/>
            <w:vAlign w:val="bottom"/>
            <w:hideMark/>
          </w:tcPr>
          <w:p w14:paraId="056968D3"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50,04</w:t>
            </w:r>
          </w:p>
        </w:tc>
        <w:tc>
          <w:tcPr>
            <w:tcW w:w="1134" w:type="dxa"/>
            <w:tcBorders>
              <w:top w:val="nil"/>
              <w:left w:val="nil"/>
              <w:bottom w:val="nil"/>
              <w:right w:val="single" w:sz="8" w:space="0" w:color="auto"/>
            </w:tcBorders>
            <w:shd w:val="clear" w:color="000000" w:fill="FFFFFF"/>
            <w:noWrap/>
            <w:vAlign w:val="bottom"/>
            <w:hideMark/>
          </w:tcPr>
          <w:p w14:paraId="37E71841"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845,97</w:t>
            </w:r>
          </w:p>
        </w:tc>
        <w:tc>
          <w:tcPr>
            <w:tcW w:w="879" w:type="dxa"/>
            <w:tcBorders>
              <w:top w:val="nil"/>
              <w:left w:val="nil"/>
              <w:bottom w:val="nil"/>
              <w:right w:val="single" w:sz="8" w:space="0" w:color="auto"/>
            </w:tcBorders>
            <w:shd w:val="clear" w:color="auto" w:fill="auto"/>
            <w:noWrap/>
            <w:vAlign w:val="bottom"/>
            <w:hideMark/>
          </w:tcPr>
          <w:p w14:paraId="379A58E5"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1690,56%</w:t>
            </w:r>
          </w:p>
        </w:tc>
        <w:tc>
          <w:tcPr>
            <w:tcW w:w="222" w:type="dxa"/>
            <w:vAlign w:val="center"/>
            <w:hideMark/>
          </w:tcPr>
          <w:p w14:paraId="37511685" w14:textId="77777777" w:rsidR="0095484D" w:rsidRPr="0095484D" w:rsidRDefault="0095484D" w:rsidP="0095484D">
            <w:pPr>
              <w:spacing w:after="0" w:line="240" w:lineRule="auto"/>
              <w:jc w:val="left"/>
              <w:rPr>
                <w:rFonts w:eastAsia="Times New Roman" w:cs="Times New Roman"/>
                <w:sz w:val="18"/>
                <w:szCs w:val="18"/>
                <w:lang w:val="en-US"/>
              </w:rPr>
            </w:pPr>
          </w:p>
        </w:tc>
      </w:tr>
      <w:tr w:rsidR="0095484D" w:rsidRPr="0095484D" w14:paraId="087ECC31" w14:textId="77777777" w:rsidTr="0095484D">
        <w:trPr>
          <w:trHeight w:val="300"/>
        </w:trPr>
        <w:tc>
          <w:tcPr>
            <w:tcW w:w="1083" w:type="dxa"/>
            <w:tcBorders>
              <w:top w:val="nil"/>
              <w:left w:val="single" w:sz="8" w:space="0" w:color="auto"/>
              <w:bottom w:val="nil"/>
              <w:right w:val="single" w:sz="8" w:space="0" w:color="auto"/>
            </w:tcBorders>
            <w:shd w:val="clear" w:color="auto" w:fill="auto"/>
            <w:noWrap/>
            <w:vAlign w:val="center"/>
            <w:hideMark/>
          </w:tcPr>
          <w:p w14:paraId="066EE26B" w14:textId="77777777" w:rsidR="0095484D" w:rsidRPr="0095484D" w:rsidRDefault="0095484D" w:rsidP="0095484D">
            <w:pPr>
              <w:spacing w:after="0" w:line="240" w:lineRule="auto"/>
              <w:rPr>
                <w:rFonts w:eastAsia="Times New Roman" w:cs="Calibri"/>
                <w:color w:val="000000"/>
                <w:sz w:val="18"/>
                <w:szCs w:val="18"/>
                <w:lang w:val="en-US"/>
              </w:rPr>
            </w:pPr>
            <w:r w:rsidRPr="0095484D">
              <w:rPr>
                <w:rFonts w:eastAsia="Times New Roman" w:cs="Calibri"/>
                <w:color w:val="000000"/>
                <w:sz w:val="18"/>
                <w:szCs w:val="18"/>
                <w:lang w:val="en-US"/>
              </w:rPr>
              <w:t>5.1.1.05.03.</w:t>
            </w:r>
          </w:p>
        </w:tc>
        <w:tc>
          <w:tcPr>
            <w:tcW w:w="3443" w:type="dxa"/>
            <w:tcBorders>
              <w:top w:val="nil"/>
              <w:left w:val="nil"/>
              <w:bottom w:val="nil"/>
              <w:right w:val="single" w:sz="8" w:space="0" w:color="auto"/>
            </w:tcBorders>
            <w:shd w:val="clear" w:color="auto" w:fill="auto"/>
            <w:vAlign w:val="center"/>
            <w:hideMark/>
          </w:tcPr>
          <w:p w14:paraId="66F0D8E4" w14:textId="77777777" w:rsidR="0095484D" w:rsidRPr="0095484D" w:rsidRDefault="0095484D" w:rsidP="0095484D">
            <w:pPr>
              <w:spacing w:after="0" w:line="240" w:lineRule="auto"/>
              <w:rPr>
                <w:rFonts w:eastAsia="Times New Roman" w:cs="Calibri"/>
                <w:color w:val="000000"/>
                <w:sz w:val="18"/>
                <w:szCs w:val="18"/>
              </w:rPr>
            </w:pPr>
            <w:r w:rsidRPr="0095484D">
              <w:rPr>
                <w:rFonts w:eastAsia="Times New Roman" w:cs="Calibri"/>
                <w:color w:val="000000"/>
                <w:sz w:val="18"/>
                <w:szCs w:val="18"/>
              </w:rPr>
              <w:t>Aporte Patronal al Fondo de Capitalización Laboral</w:t>
            </w:r>
          </w:p>
        </w:tc>
        <w:tc>
          <w:tcPr>
            <w:tcW w:w="1134" w:type="dxa"/>
            <w:tcBorders>
              <w:top w:val="nil"/>
              <w:left w:val="nil"/>
              <w:bottom w:val="nil"/>
              <w:right w:val="single" w:sz="8" w:space="0" w:color="auto"/>
            </w:tcBorders>
            <w:shd w:val="clear" w:color="000000" w:fill="FFFFFF"/>
            <w:noWrap/>
            <w:vAlign w:val="bottom"/>
            <w:hideMark/>
          </w:tcPr>
          <w:p w14:paraId="40BDA19B"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448,00</w:t>
            </w:r>
          </w:p>
        </w:tc>
        <w:tc>
          <w:tcPr>
            <w:tcW w:w="1134" w:type="dxa"/>
            <w:tcBorders>
              <w:top w:val="nil"/>
              <w:left w:val="nil"/>
              <w:bottom w:val="nil"/>
              <w:right w:val="single" w:sz="8" w:space="0" w:color="auto"/>
            </w:tcBorders>
            <w:shd w:val="clear" w:color="000000" w:fill="FFFFFF"/>
            <w:noWrap/>
            <w:vAlign w:val="bottom"/>
            <w:hideMark/>
          </w:tcPr>
          <w:p w14:paraId="45ED9E09"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25,02</w:t>
            </w:r>
          </w:p>
        </w:tc>
        <w:tc>
          <w:tcPr>
            <w:tcW w:w="1134" w:type="dxa"/>
            <w:tcBorders>
              <w:top w:val="nil"/>
              <w:left w:val="nil"/>
              <w:bottom w:val="nil"/>
              <w:right w:val="single" w:sz="8" w:space="0" w:color="auto"/>
            </w:tcBorders>
            <w:shd w:val="clear" w:color="000000" w:fill="FFFFFF"/>
            <w:noWrap/>
            <w:vAlign w:val="bottom"/>
            <w:hideMark/>
          </w:tcPr>
          <w:p w14:paraId="47D49A3B"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422,98</w:t>
            </w:r>
          </w:p>
        </w:tc>
        <w:tc>
          <w:tcPr>
            <w:tcW w:w="879" w:type="dxa"/>
            <w:tcBorders>
              <w:top w:val="nil"/>
              <w:left w:val="nil"/>
              <w:bottom w:val="nil"/>
              <w:right w:val="single" w:sz="8" w:space="0" w:color="auto"/>
            </w:tcBorders>
            <w:shd w:val="clear" w:color="auto" w:fill="auto"/>
            <w:noWrap/>
            <w:vAlign w:val="bottom"/>
            <w:hideMark/>
          </w:tcPr>
          <w:p w14:paraId="422DB6E7"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1690,56%</w:t>
            </w:r>
          </w:p>
        </w:tc>
        <w:tc>
          <w:tcPr>
            <w:tcW w:w="222" w:type="dxa"/>
            <w:vAlign w:val="center"/>
            <w:hideMark/>
          </w:tcPr>
          <w:p w14:paraId="6ECEA437" w14:textId="77777777" w:rsidR="0095484D" w:rsidRPr="0095484D" w:rsidRDefault="0095484D" w:rsidP="0095484D">
            <w:pPr>
              <w:spacing w:after="0" w:line="240" w:lineRule="auto"/>
              <w:jc w:val="left"/>
              <w:rPr>
                <w:rFonts w:eastAsia="Times New Roman" w:cs="Times New Roman"/>
                <w:sz w:val="18"/>
                <w:szCs w:val="18"/>
                <w:lang w:val="en-US"/>
              </w:rPr>
            </w:pPr>
          </w:p>
        </w:tc>
      </w:tr>
      <w:tr w:rsidR="0095484D" w:rsidRPr="0095484D" w14:paraId="38837915" w14:textId="77777777" w:rsidTr="0095484D">
        <w:trPr>
          <w:trHeight w:val="300"/>
        </w:trPr>
        <w:tc>
          <w:tcPr>
            <w:tcW w:w="10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6C312C" w14:textId="77777777" w:rsidR="0095484D" w:rsidRPr="0095484D" w:rsidRDefault="0095484D" w:rsidP="0095484D">
            <w:pPr>
              <w:spacing w:after="0" w:line="240" w:lineRule="auto"/>
              <w:rPr>
                <w:rFonts w:eastAsia="Times New Roman" w:cs="Calibri"/>
                <w:b/>
                <w:bCs/>
                <w:color w:val="000000"/>
                <w:sz w:val="18"/>
                <w:szCs w:val="18"/>
                <w:lang w:val="en-US"/>
              </w:rPr>
            </w:pPr>
            <w:r w:rsidRPr="0095484D">
              <w:rPr>
                <w:rFonts w:eastAsia="Times New Roman" w:cs="Calibri"/>
                <w:b/>
                <w:bCs/>
                <w:color w:val="000000"/>
                <w:sz w:val="18"/>
                <w:szCs w:val="18"/>
                <w:lang w:val="en-US"/>
              </w:rPr>
              <w:t>5.1.1.06</w:t>
            </w:r>
          </w:p>
        </w:tc>
        <w:tc>
          <w:tcPr>
            <w:tcW w:w="3443" w:type="dxa"/>
            <w:tcBorders>
              <w:top w:val="single" w:sz="8" w:space="0" w:color="auto"/>
              <w:left w:val="nil"/>
              <w:bottom w:val="single" w:sz="8" w:space="0" w:color="auto"/>
              <w:right w:val="single" w:sz="8" w:space="0" w:color="auto"/>
            </w:tcBorders>
            <w:shd w:val="clear" w:color="auto" w:fill="auto"/>
            <w:vAlign w:val="center"/>
            <w:hideMark/>
          </w:tcPr>
          <w:p w14:paraId="68A70F64" w14:textId="77777777" w:rsidR="0095484D" w:rsidRPr="0095484D" w:rsidRDefault="0095484D" w:rsidP="0095484D">
            <w:pPr>
              <w:spacing w:after="0" w:line="240" w:lineRule="auto"/>
              <w:rPr>
                <w:rFonts w:eastAsia="Times New Roman" w:cs="Calibri"/>
                <w:b/>
                <w:bCs/>
                <w:color w:val="000000"/>
                <w:sz w:val="18"/>
                <w:szCs w:val="18"/>
              </w:rPr>
            </w:pPr>
            <w:r w:rsidRPr="0095484D">
              <w:rPr>
                <w:rFonts w:eastAsia="Times New Roman" w:cs="Calibri"/>
                <w:b/>
                <w:bCs/>
                <w:color w:val="000000"/>
                <w:sz w:val="18"/>
                <w:szCs w:val="18"/>
              </w:rPr>
              <w:t>Asistencia social y beneficios al personal</w:t>
            </w:r>
          </w:p>
        </w:tc>
        <w:tc>
          <w:tcPr>
            <w:tcW w:w="1134" w:type="dxa"/>
            <w:tcBorders>
              <w:top w:val="single" w:sz="8" w:space="0" w:color="auto"/>
              <w:left w:val="nil"/>
              <w:bottom w:val="single" w:sz="8" w:space="0" w:color="auto"/>
              <w:right w:val="single" w:sz="8" w:space="0" w:color="auto"/>
            </w:tcBorders>
            <w:shd w:val="clear" w:color="000000" w:fill="FFFFFF"/>
            <w:noWrap/>
            <w:vAlign w:val="bottom"/>
            <w:hideMark/>
          </w:tcPr>
          <w:p w14:paraId="6C06682F" w14:textId="77777777" w:rsidR="0095484D" w:rsidRPr="0095484D" w:rsidRDefault="0095484D" w:rsidP="0095484D">
            <w:pPr>
              <w:spacing w:after="0" w:line="240" w:lineRule="auto"/>
              <w:jc w:val="right"/>
              <w:rPr>
                <w:rFonts w:eastAsia="Times New Roman" w:cs="Calibri"/>
                <w:b/>
                <w:bCs/>
                <w:color w:val="000000"/>
                <w:sz w:val="18"/>
                <w:szCs w:val="18"/>
                <w:lang w:val="en-US"/>
              </w:rPr>
            </w:pPr>
            <w:r w:rsidRPr="0095484D">
              <w:rPr>
                <w:rFonts w:eastAsia="Times New Roman" w:cs="Calibri"/>
                <w:b/>
                <w:bCs/>
                <w:color w:val="000000"/>
                <w:sz w:val="18"/>
                <w:szCs w:val="18"/>
                <w:lang w:val="en-US"/>
              </w:rPr>
              <w:t>20 882,73</w:t>
            </w:r>
          </w:p>
        </w:tc>
        <w:tc>
          <w:tcPr>
            <w:tcW w:w="1134" w:type="dxa"/>
            <w:tcBorders>
              <w:top w:val="single" w:sz="8" w:space="0" w:color="auto"/>
              <w:left w:val="nil"/>
              <w:bottom w:val="single" w:sz="8" w:space="0" w:color="auto"/>
              <w:right w:val="single" w:sz="8" w:space="0" w:color="auto"/>
            </w:tcBorders>
            <w:shd w:val="clear" w:color="000000" w:fill="FFFFFF"/>
            <w:noWrap/>
            <w:vAlign w:val="bottom"/>
            <w:hideMark/>
          </w:tcPr>
          <w:p w14:paraId="4CD7D2C0" w14:textId="77777777" w:rsidR="0095484D" w:rsidRPr="0095484D" w:rsidRDefault="0095484D" w:rsidP="0095484D">
            <w:pPr>
              <w:spacing w:after="0" w:line="240" w:lineRule="auto"/>
              <w:jc w:val="right"/>
              <w:rPr>
                <w:rFonts w:eastAsia="Times New Roman" w:cs="Calibri"/>
                <w:b/>
                <w:bCs/>
                <w:color w:val="000000"/>
                <w:sz w:val="18"/>
                <w:szCs w:val="18"/>
                <w:lang w:val="en-US"/>
              </w:rPr>
            </w:pPr>
            <w:r w:rsidRPr="0095484D">
              <w:rPr>
                <w:rFonts w:eastAsia="Times New Roman" w:cs="Calibri"/>
                <w:b/>
                <w:bCs/>
                <w:color w:val="000000"/>
                <w:sz w:val="18"/>
                <w:szCs w:val="18"/>
                <w:lang w:val="en-US"/>
              </w:rPr>
              <w:t>2 954,16</w:t>
            </w:r>
          </w:p>
        </w:tc>
        <w:tc>
          <w:tcPr>
            <w:tcW w:w="1134" w:type="dxa"/>
            <w:tcBorders>
              <w:top w:val="single" w:sz="8" w:space="0" w:color="auto"/>
              <w:left w:val="nil"/>
              <w:bottom w:val="single" w:sz="8" w:space="0" w:color="auto"/>
              <w:right w:val="single" w:sz="8" w:space="0" w:color="auto"/>
            </w:tcBorders>
            <w:shd w:val="clear" w:color="000000" w:fill="FFFFFF"/>
            <w:noWrap/>
            <w:vAlign w:val="bottom"/>
            <w:hideMark/>
          </w:tcPr>
          <w:p w14:paraId="0EBCFD60" w14:textId="77777777" w:rsidR="0095484D" w:rsidRPr="0095484D" w:rsidRDefault="0095484D" w:rsidP="0095484D">
            <w:pPr>
              <w:spacing w:after="0" w:line="240" w:lineRule="auto"/>
              <w:jc w:val="right"/>
              <w:rPr>
                <w:rFonts w:eastAsia="Times New Roman" w:cs="Calibri"/>
                <w:b/>
                <w:bCs/>
                <w:color w:val="000000"/>
                <w:sz w:val="18"/>
                <w:szCs w:val="18"/>
                <w:lang w:val="en-US"/>
              </w:rPr>
            </w:pPr>
            <w:r w:rsidRPr="0095484D">
              <w:rPr>
                <w:rFonts w:eastAsia="Times New Roman" w:cs="Calibri"/>
                <w:b/>
                <w:bCs/>
                <w:color w:val="000000"/>
                <w:sz w:val="18"/>
                <w:szCs w:val="18"/>
                <w:lang w:val="en-US"/>
              </w:rPr>
              <w:t>17 928,57</w:t>
            </w:r>
          </w:p>
        </w:tc>
        <w:tc>
          <w:tcPr>
            <w:tcW w:w="879" w:type="dxa"/>
            <w:tcBorders>
              <w:top w:val="single" w:sz="8" w:space="0" w:color="auto"/>
              <w:left w:val="nil"/>
              <w:bottom w:val="single" w:sz="8" w:space="0" w:color="auto"/>
              <w:right w:val="single" w:sz="8" w:space="0" w:color="auto"/>
            </w:tcBorders>
            <w:shd w:val="clear" w:color="auto" w:fill="auto"/>
            <w:noWrap/>
            <w:vAlign w:val="bottom"/>
            <w:hideMark/>
          </w:tcPr>
          <w:p w14:paraId="0350F564" w14:textId="77777777" w:rsidR="0095484D" w:rsidRPr="0095484D" w:rsidRDefault="0095484D" w:rsidP="0095484D">
            <w:pPr>
              <w:spacing w:after="0" w:line="240" w:lineRule="auto"/>
              <w:jc w:val="right"/>
              <w:rPr>
                <w:rFonts w:eastAsia="Times New Roman" w:cs="Calibri"/>
                <w:b/>
                <w:bCs/>
                <w:color w:val="000000"/>
                <w:sz w:val="18"/>
                <w:szCs w:val="18"/>
                <w:lang w:val="en-US"/>
              </w:rPr>
            </w:pPr>
            <w:r w:rsidRPr="0095484D">
              <w:rPr>
                <w:rFonts w:eastAsia="Times New Roman" w:cs="Calibri"/>
                <w:b/>
                <w:bCs/>
                <w:color w:val="000000"/>
                <w:sz w:val="18"/>
                <w:szCs w:val="18"/>
                <w:lang w:val="en-US"/>
              </w:rPr>
              <w:t>606,89%</w:t>
            </w:r>
          </w:p>
        </w:tc>
        <w:tc>
          <w:tcPr>
            <w:tcW w:w="222" w:type="dxa"/>
            <w:vAlign w:val="center"/>
            <w:hideMark/>
          </w:tcPr>
          <w:p w14:paraId="53E2A291" w14:textId="77777777" w:rsidR="0095484D" w:rsidRPr="0095484D" w:rsidRDefault="0095484D" w:rsidP="0095484D">
            <w:pPr>
              <w:spacing w:after="0" w:line="240" w:lineRule="auto"/>
              <w:jc w:val="left"/>
              <w:rPr>
                <w:rFonts w:eastAsia="Times New Roman" w:cs="Times New Roman"/>
                <w:sz w:val="18"/>
                <w:szCs w:val="18"/>
                <w:lang w:val="en-US"/>
              </w:rPr>
            </w:pPr>
          </w:p>
        </w:tc>
      </w:tr>
      <w:tr w:rsidR="0095484D" w:rsidRPr="0095484D" w14:paraId="3819E688" w14:textId="77777777" w:rsidTr="0095484D">
        <w:trPr>
          <w:trHeight w:val="30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14:paraId="26C8F465" w14:textId="77777777" w:rsidR="0095484D" w:rsidRPr="0095484D" w:rsidRDefault="0095484D" w:rsidP="0095484D">
            <w:pPr>
              <w:spacing w:after="0" w:line="240" w:lineRule="auto"/>
              <w:rPr>
                <w:rFonts w:eastAsia="Times New Roman" w:cs="Calibri"/>
                <w:color w:val="000000"/>
                <w:sz w:val="18"/>
                <w:szCs w:val="18"/>
                <w:lang w:val="en-US"/>
              </w:rPr>
            </w:pPr>
            <w:r w:rsidRPr="0095484D">
              <w:rPr>
                <w:rFonts w:eastAsia="Times New Roman" w:cs="Calibri"/>
                <w:color w:val="000000"/>
                <w:sz w:val="18"/>
                <w:szCs w:val="18"/>
                <w:lang w:val="en-US"/>
              </w:rPr>
              <w:t>5.1.1.06.08.</w:t>
            </w:r>
          </w:p>
        </w:tc>
        <w:tc>
          <w:tcPr>
            <w:tcW w:w="3443" w:type="dxa"/>
            <w:tcBorders>
              <w:top w:val="nil"/>
              <w:left w:val="nil"/>
              <w:bottom w:val="single" w:sz="8" w:space="0" w:color="auto"/>
              <w:right w:val="single" w:sz="8" w:space="0" w:color="auto"/>
            </w:tcBorders>
            <w:shd w:val="clear" w:color="auto" w:fill="auto"/>
            <w:vAlign w:val="center"/>
            <w:hideMark/>
          </w:tcPr>
          <w:p w14:paraId="06549166" w14:textId="77777777" w:rsidR="0095484D" w:rsidRPr="0095484D" w:rsidRDefault="0095484D" w:rsidP="0095484D">
            <w:pPr>
              <w:spacing w:after="0" w:line="240" w:lineRule="auto"/>
              <w:rPr>
                <w:rFonts w:eastAsia="Times New Roman" w:cs="Calibri"/>
                <w:color w:val="000000"/>
                <w:sz w:val="18"/>
                <w:szCs w:val="18"/>
                <w:lang w:val="en-US"/>
              </w:rPr>
            </w:pPr>
            <w:r w:rsidRPr="0095484D">
              <w:rPr>
                <w:rFonts w:eastAsia="Times New Roman" w:cs="Calibri"/>
                <w:color w:val="000000"/>
                <w:sz w:val="18"/>
                <w:szCs w:val="18"/>
                <w:lang w:val="en-US"/>
              </w:rPr>
              <w:t>Indemnizaciones al personal</w:t>
            </w:r>
          </w:p>
        </w:tc>
        <w:tc>
          <w:tcPr>
            <w:tcW w:w="1134" w:type="dxa"/>
            <w:tcBorders>
              <w:top w:val="nil"/>
              <w:left w:val="nil"/>
              <w:bottom w:val="single" w:sz="8" w:space="0" w:color="auto"/>
              <w:right w:val="single" w:sz="8" w:space="0" w:color="auto"/>
            </w:tcBorders>
            <w:shd w:val="clear" w:color="000000" w:fill="FFFFFF"/>
            <w:noWrap/>
            <w:vAlign w:val="bottom"/>
            <w:hideMark/>
          </w:tcPr>
          <w:p w14:paraId="755AAD33"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20 882,73</w:t>
            </w:r>
          </w:p>
        </w:tc>
        <w:tc>
          <w:tcPr>
            <w:tcW w:w="1134" w:type="dxa"/>
            <w:tcBorders>
              <w:top w:val="nil"/>
              <w:left w:val="nil"/>
              <w:bottom w:val="single" w:sz="8" w:space="0" w:color="auto"/>
              <w:right w:val="single" w:sz="8" w:space="0" w:color="auto"/>
            </w:tcBorders>
            <w:shd w:val="clear" w:color="000000" w:fill="FFFFFF"/>
            <w:noWrap/>
            <w:vAlign w:val="bottom"/>
            <w:hideMark/>
          </w:tcPr>
          <w:p w14:paraId="32B371BE"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2 954,16</w:t>
            </w:r>
          </w:p>
        </w:tc>
        <w:tc>
          <w:tcPr>
            <w:tcW w:w="1134" w:type="dxa"/>
            <w:tcBorders>
              <w:top w:val="nil"/>
              <w:left w:val="nil"/>
              <w:bottom w:val="single" w:sz="8" w:space="0" w:color="auto"/>
              <w:right w:val="single" w:sz="8" w:space="0" w:color="auto"/>
            </w:tcBorders>
            <w:shd w:val="clear" w:color="000000" w:fill="FFFFFF"/>
            <w:noWrap/>
            <w:vAlign w:val="bottom"/>
            <w:hideMark/>
          </w:tcPr>
          <w:p w14:paraId="291F5560"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17 928,57</w:t>
            </w:r>
          </w:p>
        </w:tc>
        <w:tc>
          <w:tcPr>
            <w:tcW w:w="879" w:type="dxa"/>
            <w:tcBorders>
              <w:top w:val="nil"/>
              <w:left w:val="nil"/>
              <w:bottom w:val="single" w:sz="8" w:space="0" w:color="auto"/>
              <w:right w:val="single" w:sz="8" w:space="0" w:color="auto"/>
            </w:tcBorders>
            <w:shd w:val="clear" w:color="auto" w:fill="auto"/>
            <w:noWrap/>
            <w:vAlign w:val="bottom"/>
            <w:hideMark/>
          </w:tcPr>
          <w:p w14:paraId="321B0510" w14:textId="77777777" w:rsidR="0095484D" w:rsidRPr="0095484D" w:rsidRDefault="0095484D" w:rsidP="0095484D">
            <w:pPr>
              <w:spacing w:after="0" w:line="240" w:lineRule="auto"/>
              <w:jc w:val="right"/>
              <w:rPr>
                <w:rFonts w:eastAsia="Times New Roman" w:cs="Calibri"/>
                <w:color w:val="000000"/>
                <w:sz w:val="18"/>
                <w:szCs w:val="18"/>
                <w:lang w:val="en-US"/>
              </w:rPr>
            </w:pPr>
            <w:r w:rsidRPr="0095484D">
              <w:rPr>
                <w:rFonts w:eastAsia="Times New Roman" w:cs="Calibri"/>
                <w:color w:val="000000"/>
                <w:sz w:val="18"/>
                <w:szCs w:val="18"/>
                <w:lang w:val="en-US"/>
              </w:rPr>
              <w:t>606,89%</w:t>
            </w:r>
          </w:p>
        </w:tc>
        <w:tc>
          <w:tcPr>
            <w:tcW w:w="222" w:type="dxa"/>
            <w:vAlign w:val="center"/>
            <w:hideMark/>
          </w:tcPr>
          <w:p w14:paraId="519E11B3" w14:textId="77777777" w:rsidR="0095484D" w:rsidRPr="0095484D" w:rsidRDefault="0095484D" w:rsidP="0095484D">
            <w:pPr>
              <w:spacing w:after="0" w:line="240" w:lineRule="auto"/>
              <w:jc w:val="left"/>
              <w:rPr>
                <w:rFonts w:eastAsia="Times New Roman" w:cs="Times New Roman"/>
                <w:sz w:val="18"/>
                <w:szCs w:val="18"/>
                <w:lang w:val="en-US"/>
              </w:rPr>
            </w:pPr>
          </w:p>
        </w:tc>
      </w:tr>
      <w:tr w:rsidR="0095484D" w:rsidRPr="0095484D" w14:paraId="3BA1CCE0" w14:textId="77777777" w:rsidTr="0095484D">
        <w:trPr>
          <w:trHeight w:val="300"/>
        </w:trPr>
        <w:tc>
          <w:tcPr>
            <w:tcW w:w="1083" w:type="dxa"/>
            <w:tcBorders>
              <w:top w:val="nil"/>
              <w:left w:val="single" w:sz="8" w:space="0" w:color="auto"/>
              <w:bottom w:val="single" w:sz="8" w:space="0" w:color="auto"/>
              <w:right w:val="nil"/>
            </w:tcBorders>
            <w:shd w:val="clear" w:color="auto" w:fill="auto"/>
            <w:noWrap/>
            <w:vAlign w:val="center"/>
            <w:hideMark/>
          </w:tcPr>
          <w:p w14:paraId="54ADB577" w14:textId="77777777" w:rsidR="0095484D" w:rsidRPr="0095484D" w:rsidRDefault="0095484D" w:rsidP="0095484D">
            <w:pPr>
              <w:spacing w:after="0" w:line="240" w:lineRule="auto"/>
              <w:rPr>
                <w:rFonts w:eastAsia="Times New Roman" w:cs="Calibri"/>
                <w:color w:val="000000"/>
                <w:sz w:val="18"/>
                <w:szCs w:val="18"/>
                <w:lang w:val="en-US"/>
              </w:rPr>
            </w:pPr>
            <w:r w:rsidRPr="0095484D">
              <w:rPr>
                <w:rFonts w:eastAsia="Times New Roman" w:cs="Calibri"/>
                <w:color w:val="000000"/>
                <w:sz w:val="18"/>
                <w:szCs w:val="18"/>
                <w:lang w:val="en-US"/>
              </w:rPr>
              <w:t> </w:t>
            </w:r>
          </w:p>
        </w:tc>
        <w:tc>
          <w:tcPr>
            <w:tcW w:w="3443" w:type="dxa"/>
            <w:tcBorders>
              <w:top w:val="nil"/>
              <w:left w:val="nil"/>
              <w:bottom w:val="single" w:sz="8" w:space="0" w:color="auto"/>
              <w:right w:val="single" w:sz="8" w:space="0" w:color="auto"/>
            </w:tcBorders>
            <w:shd w:val="clear" w:color="auto" w:fill="auto"/>
            <w:vAlign w:val="center"/>
            <w:hideMark/>
          </w:tcPr>
          <w:p w14:paraId="271769B4" w14:textId="77777777" w:rsidR="0095484D" w:rsidRPr="0095484D" w:rsidRDefault="0095484D" w:rsidP="0095484D">
            <w:pPr>
              <w:spacing w:after="0" w:line="240" w:lineRule="auto"/>
              <w:jc w:val="center"/>
              <w:rPr>
                <w:rFonts w:eastAsia="Times New Roman" w:cs="Calibri"/>
                <w:b/>
                <w:bCs/>
                <w:color w:val="000000"/>
                <w:sz w:val="18"/>
                <w:szCs w:val="18"/>
                <w:lang w:val="en-US"/>
              </w:rPr>
            </w:pPr>
            <w:r w:rsidRPr="0095484D">
              <w:rPr>
                <w:rFonts w:eastAsia="Times New Roman" w:cs="Calibri"/>
                <w:b/>
                <w:bCs/>
                <w:color w:val="000000"/>
                <w:sz w:val="18"/>
                <w:szCs w:val="18"/>
                <w:lang w:val="en-US"/>
              </w:rPr>
              <w:t>TOTALES</w:t>
            </w:r>
          </w:p>
        </w:tc>
        <w:tc>
          <w:tcPr>
            <w:tcW w:w="1134" w:type="dxa"/>
            <w:tcBorders>
              <w:top w:val="nil"/>
              <w:left w:val="nil"/>
              <w:bottom w:val="single" w:sz="8" w:space="0" w:color="auto"/>
              <w:right w:val="single" w:sz="8" w:space="0" w:color="auto"/>
            </w:tcBorders>
            <w:shd w:val="clear" w:color="auto" w:fill="auto"/>
            <w:noWrap/>
            <w:vAlign w:val="center"/>
            <w:hideMark/>
          </w:tcPr>
          <w:p w14:paraId="483EDF34" w14:textId="77777777" w:rsidR="0095484D" w:rsidRPr="0095484D" w:rsidRDefault="0095484D" w:rsidP="0095484D">
            <w:pPr>
              <w:spacing w:after="0" w:line="240" w:lineRule="auto"/>
              <w:jc w:val="right"/>
              <w:rPr>
                <w:rFonts w:eastAsia="Times New Roman" w:cs="Calibri"/>
                <w:b/>
                <w:bCs/>
                <w:color w:val="000000"/>
                <w:sz w:val="18"/>
                <w:szCs w:val="18"/>
                <w:lang w:val="en-US"/>
              </w:rPr>
            </w:pPr>
            <w:r w:rsidRPr="0095484D">
              <w:rPr>
                <w:rFonts w:ascii="Arial" w:eastAsia="Times New Roman" w:hAnsi="Arial" w:cs="Arial"/>
                <w:b/>
                <w:bCs/>
                <w:color w:val="000000"/>
                <w:sz w:val="18"/>
                <w:szCs w:val="18"/>
                <w:lang w:val="en-US"/>
              </w:rPr>
              <w:t>₡</w:t>
            </w:r>
            <w:r w:rsidRPr="0095484D">
              <w:rPr>
                <w:rFonts w:eastAsia="Times New Roman" w:cs="Calibri"/>
                <w:b/>
                <w:bCs/>
                <w:color w:val="000000"/>
                <w:sz w:val="18"/>
                <w:szCs w:val="18"/>
                <w:lang w:val="en-US"/>
              </w:rPr>
              <w:t>753 404,45</w:t>
            </w:r>
          </w:p>
        </w:tc>
        <w:tc>
          <w:tcPr>
            <w:tcW w:w="1134" w:type="dxa"/>
            <w:tcBorders>
              <w:top w:val="nil"/>
              <w:left w:val="nil"/>
              <w:bottom w:val="single" w:sz="8" w:space="0" w:color="auto"/>
              <w:right w:val="single" w:sz="8" w:space="0" w:color="auto"/>
            </w:tcBorders>
            <w:shd w:val="clear" w:color="auto" w:fill="auto"/>
            <w:noWrap/>
            <w:vAlign w:val="center"/>
            <w:hideMark/>
          </w:tcPr>
          <w:p w14:paraId="2F05AC4D" w14:textId="77777777" w:rsidR="0095484D" w:rsidRPr="0095484D" w:rsidRDefault="0095484D" w:rsidP="0095484D">
            <w:pPr>
              <w:spacing w:after="0" w:line="240" w:lineRule="auto"/>
              <w:jc w:val="right"/>
              <w:rPr>
                <w:rFonts w:eastAsia="Times New Roman" w:cs="Calibri"/>
                <w:b/>
                <w:bCs/>
                <w:color w:val="000000"/>
                <w:sz w:val="18"/>
                <w:szCs w:val="18"/>
                <w:lang w:val="en-US"/>
              </w:rPr>
            </w:pPr>
            <w:r w:rsidRPr="0095484D">
              <w:rPr>
                <w:rFonts w:ascii="Arial" w:eastAsia="Times New Roman" w:hAnsi="Arial" w:cs="Arial"/>
                <w:b/>
                <w:bCs/>
                <w:color w:val="000000"/>
                <w:sz w:val="18"/>
                <w:szCs w:val="18"/>
                <w:lang w:val="en-US"/>
              </w:rPr>
              <w:t>₡</w:t>
            </w:r>
            <w:r w:rsidRPr="0095484D">
              <w:rPr>
                <w:rFonts w:eastAsia="Times New Roman" w:cs="Calibri"/>
                <w:b/>
                <w:bCs/>
                <w:color w:val="000000"/>
                <w:sz w:val="18"/>
                <w:szCs w:val="18"/>
                <w:lang w:val="en-US"/>
              </w:rPr>
              <w:t>675 149,92</w:t>
            </w:r>
          </w:p>
        </w:tc>
        <w:tc>
          <w:tcPr>
            <w:tcW w:w="1134" w:type="dxa"/>
            <w:tcBorders>
              <w:top w:val="nil"/>
              <w:left w:val="nil"/>
              <w:bottom w:val="single" w:sz="8" w:space="0" w:color="auto"/>
              <w:right w:val="single" w:sz="8" w:space="0" w:color="auto"/>
            </w:tcBorders>
            <w:shd w:val="clear" w:color="auto" w:fill="auto"/>
            <w:noWrap/>
            <w:vAlign w:val="center"/>
            <w:hideMark/>
          </w:tcPr>
          <w:p w14:paraId="07AFDAB8" w14:textId="77777777" w:rsidR="0095484D" w:rsidRPr="0095484D" w:rsidRDefault="0095484D" w:rsidP="0095484D">
            <w:pPr>
              <w:spacing w:after="0" w:line="240" w:lineRule="auto"/>
              <w:jc w:val="right"/>
              <w:rPr>
                <w:rFonts w:eastAsia="Times New Roman" w:cs="Calibri"/>
                <w:b/>
                <w:bCs/>
                <w:color w:val="000000"/>
                <w:sz w:val="18"/>
                <w:szCs w:val="18"/>
                <w:lang w:val="en-US"/>
              </w:rPr>
            </w:pPr>
            <w:r w:rsidRPr="0095484D">
              <w:rPr>
                <w:rFonts w:ascii="Arial" w:eastAsia="Times New Roman" w:hAnsi="Arial" w:cs="Arial"/>
                <w:b/>
                <w:bCs/>
                <w:color w:val="000000"/>
                <w:sz w:val="18"/>
                <w:szCs w:val="18"/>
                <w:lang w:val="en-US"/>
              </w:rPr>
              <w:t>₡</w:t>
            </w:r>
            <w:r w:rsidRPr="0095484D">
              <w:rPr>
                <w:rFonts w:eastAsia="Times New Roman" w:cs="Calibri"/>
                <w:b/>
                <w:bCs/>
                <w:color w:val="000000"/>
                <w:sz w:val="18"/>
                <w:szCs w:val="18"/>
                <w:lang w:val="en-US"/>
              </w:rPr>
              <w:t>78 254,54</w:t>
            </w:r>
          </w:p>
        </w:tc>
        <w:tc>
          <w:tcPr>
            <w:tcW w:w="879" w:type="dxa"/>
            <w:tcBorders>
              <w:top w:val="nil"/>
              <w:left w:val="nil"/>
              <w:bottom w:val="single" w:sz="8" w:space="0" w:color="auto"/>
              <w:right w:val="single" w:sz="8" w:space="0" w:color="auto"/>
            </w:tcBorders>
            <w:shd w:val="clear" w:color="auto" w:fill="auto"/>
            <w:vAlign w:val="center"/>
            <w:hideMark/>
          </w:tcPr>
          <w:p w14:paraId="00668908" w14:textId="77777777" w:rsidR="0095484D" w:rsidRPr="0095484D" w:rsidRDefault="0095484D" w:rsidP="0095484D">
            <w:pPr>
              <w:spacing w:after="0" w:line="240" w:lineRule="auto"/>
              <w:jc w:val="center"/>
              <w:rPr>
                <w:rFonts w:eastAsia="Times New Roman" w:cs="Calibri"/>
                <w:b/>
                <w:bCs/>
                <w:color w:val="000000"/>
                <w:sz w:val="18"/>
                <w:szCs w:val="18"/>
                <w:lang w:val="en-US"/>
              </w:rPr>
            </w:pPr>
            <w:r w:rsidRPr="0095484D">
              <w:rPr>
                <w:rFonts w:eastAsia="Times New Roman" w:cs="Calibri"/>
                <w:b/>
                <w:bCs/>
                <w:color w:val="000000"/>
                <w:sz w:val="18"/>
                <w:szCs w:val="18"/>
                <w:lang w:val="en-US"/>
              </w:rPr>
              <w:t>11,59%</w:t>
            </w:r>
          </w:p>
        </w:tc>
        <w:tc>
          <w:tcPr>
            <w:tcW w:w="222" w:type="dxa"/>
            <w:vAlign w:val="center"/>
            <w:hideMark/>
          </w:tcPr>
          <w:p w14:paraId="78A3B69E" w14:textId="77777777" w:rsidR="0095484D" w:rsidRPr="0095484D" w:rsidRDefault="0095484D" w:rsidP="0095484D">
            <w:pPr>
              <w:spacing w:after="0" w:line="240" w:lineRule="auto"/>
              <w:jc w:val="left"/>
              <w:rPr>
                <w:rFonts w:eastAsia="Times New Roman" w:cs="Times New Roman"/>
                <w:sz w:val="18"/>
                <w:szCs w:val="18"/>
                <w:lang w:val="en-US"/>
              </w:rPr>
            </w:pPr>
          </w:p>
        </w:tc>
      </w:tr>
    </w:tbl>
    <w:p w14:paraId="7766D743" w14:textId="0B5EA0BC" w:rsidR="00466989" w:rsidRDefault="00466989" w:rsidP="00466989">
      <w:pPr>
        <w:tabs>
          <w:tab w:val="left" w:pos="1706"/>
        </w:tabs>
        <w:spacing w:after="0" w:line="240" w:lineRule="auto"/>
        <w:rPr>
          <w:rFonts w:eastAsiaTheme="minorEastAsia" w:cs="Arial Narrow"/>
          <w:color w:val="000000"/>
          <w:lang w:eastAsia="es-CR"/>
        </w:rPr>
      </w:pPr>
    </w:p>
    <w:p w14:paraId="759AE5C5" w14:textId="533AB615" w:rsidR="00466989" w:rsidRPr="00DF54E4" w:rsidRDefault="00466989" w:rsidP="00466989">
      <w:pPr>
        <w:spacing w:after="0" w:line="240" w:lineRule="auto"/>
      </w:pPr>
      <w:r>
        <w:t>En relación con el cuadro anterior</w:t>
      </w:r>
      <w:r w:rsidRPr="006824DA">
        <w:t xml:space="preserve">, es pertinente resaltar, el aumento </w:t>
      </w:r>
      <w:r>
        <w:t xml:space="preserve">que presentan las cuentas de “Jornales” de </w:t>
      </w:r>
      <w:r w:rsidRPr="00466989">
        <w:rPr>
          <w:rFonts w:ascii="Arial" w:hAnsi="Arial" w:cs="Arial"/>
        </w:rPr>
        <w:t>₡</w:t>
      </w:r>
      <w:r w:rsidR="009324EC">
        <w:t>6 831</w:t>
      </w:r>
      <w:r>
        <w:t>,5</w:t>
      </w:r>
      <w:r w:rsidR="009324EC">
        <w:t>4</w:t>
      </w:r>
      <w:r>
        <w:t xml:space="preserve"> miles,</w:t>
      </w:r>
      <w:r w:rsidR="009324EC">
        <w:t xml:space="preserve"> “</w:t>
      </w:r>
      <w:r w:rsidR="009324EC" w:rsidRPr="009324EC">
        <w:t>Servicios especiales</w:t>
      </w:r>
      <w:r w:rsidR="009324EC">
        <w:t xml:space="preserve">” de </w:t>
      </w:r>
      <w:r w:rsidR="009324EC" w:rsidRPr="00466989">
        <w:rPr>
          <w:rFonts w:ascii="Arial" w:hAnsi="Arial" w:cs="Arial"/>
        </w:rPr>
        <w:t>₡</w:t>
      </w:r>
      <w:r w:rsidR="009324EC">
        <w:t xml:space="preserve">6 728,25 miles, </w:t>
      </w:r>
      <w:r>
        <w:t xml:space="preserve">“Tiempo extraordinario” de </w:t>
      </w:r>
      <w:r w:rsidRPr="00466989">
        <w:rPr>
          <w:rFonts w:ascii="Arial" w:hAnsi="Arial" w:cs="Arial"/>
        </w:rPr>
        <w:t>₡</w:t>
      </w:r>
      <w:r w:rsidR="009324EC">
        <w:t>16</w:t>
      </w:r>
      <w:r w:rsidRPr="00F071F6">
        <w:t xml:space="preserve"> </w:t>
      </w:r>
      <w:r w:rsidR="009324EC">
        <w:t>863</w:t>
      </w:r>
      <w:r w:rsidRPr="00F071F6">
        <w:t>,</w:t>
      </w:r>
      <w:r w:rsidR="009324EC">
        <w:t>95</w:t>
      </w:r>
      <w:r w:rsidRPr="00F071F6">
        <w:t xml:space="preserve"> </w:t>
      </w:r>
      <w:r w:rsidRPr="00F46487">
        <w:t>miles</w:t>
      </w:r>
      <w:r>
        <w:t xml:space="preserve">, “Retribución por años servidos” </w:t>
      </w:r>
      <w:r w:rsidRPr="00466989">
        <w:rPr>
          <w:rFonts w:ascii="Arial" w:hAnsi="Arial" w:cs="Arial"/>
        </w:rPr>
        <w:t>₡</w:t>
      </w:r>
      <w:r w:rsidR="009324EC">
        <w:t>33</w:t>
      </w:r>
      <w:r w:rsidRPr="00F071F6">
        <w:t xml:space="preserve"> </w:t>
      </w:r>
      <w:r w:rsidR="009324EC">
        <w:t>483</w:t>
      </w:r>
      <w:r w:rsidRPr="00F071F6">
        <w:t>,</w:t>
      </w:r>
      <w:r w:rsidR="009324EC">
        <w:t>38</w:t>
      </w:r>
      <w:r w:rsidRPr="00F071F6">
        <w:t xml:space="preserve"> </w:t>
      </w:r>
      <w:r w:rsidRPr="00F46487">
        <w:t>miles, “Restricción al ejercicio liberal</w:t>
      </w:r>
      <w:r>
        <w:t xml:space="preserve"> </w:t>
      </w:r>
      <w:r w:rsidRPr="00F46487">
        <w:t xml:space="preserve">de la profesión” de </w:t>
      </w:r>
      <w:r w:rsidRPr="00466989">
        <w:rPr>
          <w:rFonts w:ascii="Arial" w:hAnsi="Arial" w:cs="Arial"/>
        </w:rPr>
        <w:t>₡</w:t>
      </w:r>
      <w:r w:rsidR="009324EC">
        <w:t>13</w:t>
      </w:r>
      <w:r w:rsidRPr="00F071F6">
        <w:t xml:space="preserve"> </w:t>
      </w:r>
      <w:r w:rsidR="009324EC">
        <w:t>607</w:t>
      </w:r>
      <w:r w:rsidRPr="00F071F6">
        <w:t>,</w:t>
      </w:r>
      <w:r w:rsidR="009324EC">
        <w:t>00</w:t>
      </w:r>
      <w:r w:rsidRPr="00F071F6">
        <w:t xml:space="preserve"> </w:t>
      </w:r>
      <w:r w:rsidRPr="00F46487">
        <w:t>miles</w:t>
      </w:r>
      <w:r>
        <w:t xml:space="preserve">, “Decimotercer mes” de </w:t>
      </w:r>
      <w:r w:rsidRPr="00466989">
        <w:rPr>
          <w:rFonts w:ascii="Arial" w:hAnsi="Arial" w:cs="Arial"/>
        </w:rPr>
        <w:t>₡</w:t>
      </w:r>
      <w:r>
        <w:t>3</w:t>
      </w:r>
      <w:r w:rsidR="009324EC">
        <w:t xml:space="preserve"> 3</w:t>
      </w:r>
      <w:r>
        <w:t>5</w:t>
      </w:r>
      <w:r w:rsidR="009324EC">
        <w:t>2</w:t>
      </w:r>
      <w:r w:rsidRPr="00204A03">
        <w:t>,</w:t>
      </w:r>
      <w:r>
        <w:t>9</w:t>
      </w:r>
      <w:r w:rsidR="009324EC">
        <w:t>7</w:t>
      </w:r>
      <w:r w:rsidRPr="00204A03">
        <w:t xml:space="preserve"> miles</w:t>
      </w:r>
      <w:r w:rsidR="009324EC">
        <w:t>, “</w:t>
      </w:r>
      <w:r w:rsidR="009324EC" w:rsidRPr="009324EC">
        <w:t>Contribución Patronal al Seguro de Salud de la Caja</w:t>
      </w:r>
      <w:r w:rsidR="009324EC">
        <w:t xml:space="preserve">” de </w:t>
      </w:r>
      <w:r w:rsidR="009324EC" w:rsidRPr="00466989">
        <w:rPr>
          <w:rFonts w:ascii="Arial" w:hAnsi="Arial" w:cs="Arial"/>
        </w:rPr>
        <w:t>₡</w:t>
      </w:r>
      <w:r w:rsidR="009324EC">
        <w:t>31</w:t>
      </w:r>
      <w:r w:rsidR="009324EC" w:rsidRPr="00F071F6">
        <w:t xml:space="preserve"> </w:t>
      </w:r>
      <w:r w:rsidR="009324EC">
        <w:t>759</w:t>
      </w:r>
      <w:r w:rsidR="009324EC" w:rsidRPr="00F071F6">
        <w:t>,</w:t>
      </w:r>
      <w:r w:rsidR="009324EC">
        <w:t>67</w:t>
      </w:r>
      <w:r w:rsidR="009324EC" w:rsidRPr="00F071F6">
        <w:t xml:space="preserve"> </w:t>
      </w:r>
      <w:r w:rsidR="009324EC" w:rsidRPr="00F46487">
        <w:t>miles</w:t>
      </w:r>
      <w:r>
        <w:t xml:space="preserve"> y en “Indemnizaciones al personal” de </w:t>
      </w:r>
      <w:r w:rsidRPr="00466989">
        <w:rPr>
          <w:rFonts w:ascii="Arial" w:hAnsi="Arial" w:cs="Arial"/>
        </w:rPr>
        <w:t>₡</w:t>
      </w:r>
      <w:r>
        <w:t>1</w:t>
      </w:r>
      <w:r w:rsidR="009324EC">
        <w:t>7</w:t>
      </w:r>
      <w:r>
        <w:t xml:space="preserve"> </w:t>
      </w:r>
      <w:r w:rsidR="009324EC">
        <w:t>9</w:t>
      </w:r>
      <w:r>
        <w:t>2</w:t>
      </w:r>
      <w:r w:rsidR="009324EC">
        <w:t>8</w:t>
      </w:r>
      <w:r w:rsidRPr="00F46487">
        <w:t>,</w:t>
      </w:r>
      <w:r>
        <w:t>5</w:t>
      </w:r>
      <w:r w:rsidR="009324EC">
        <w:t>7</w:t>
      </w:r>
      <w:r w:rsidRPr="00F46487">
        <w:t xml:space="preserve"> miles</w:t>
      </w:r>
      <w:r>
        <w:t>, así como la</w:t>
      </w:r>
      <w:r w:rsidR="009324EC">
        <w:t>s</w:t>
      </w:r>
      <w:r>
        <w:t xml:space="preserve"> disminuci</w:t>
      </w:r>
      <w:r w:rsidR="009324EC">
        <w:t>o</w:t>
      </w:r>
      <w:r>
        <w:t>n</w:t>
      </w:r>
      <w:r w:rsidR="009324EC">
        <w:t>es</w:t>
      </w:r>
      <w:r>
        <w:t xml:space="preserve"> de -</w:t>
      </w:r>
      <w:r w:rsidRPr="009324EC">
        <w:rPr>
          <w:rFonts w:ascii="Arial" w:hAnsi="Arial" w:cs="Arial"/>
        </w:rPr>
        <w:t>₡</w:t>
      </w:r>
      <w:r w:rsidR="009324EC" w:rsidRPr="009324EC">
        <w:t>55</w:t>
      </w:r>
      <w:r>
        <w:t> 0</w:t>
      </w:r>
      <w:r w:rsidR="009324EC">
        <w:t>36</w:t>
      </w:r>
      <w:r>
        <w:t>,</w:t>
      </w:r>
      <w:r w:rsidR="009324EC">
        <w:t>03</w:t>
      </w:r>
      <w:r w:rsidRPr="00DF54E4">
        <w:t xml:space="preserve"> </w:t>
      </w:r>
      <w:r w:rsidRPr="00F46487">
        <w:t>miles</w:t>
      </w:r>
      <w:r w:rsidR="008B61A4">
        <w:t xml:space="preserve"> y -</w:t>
      </w:r>
      <w:r w:rsidR="008B61A4" w:rsidRPr="009324EC">
        <w:rPr>
          <w:rFonts w:ascii="Arial" w:hAnsi="Arial" w:cs="Arial"/>
        </w:rPr>
        <w:t>₡</w:t>
      </w:r>
      <w:r w:rsidR="008B61A4">
        <w:t>4 438,53</w:t>
      </w:r>
      <w:r w:rsidR="008B61A4" w:rsidRPr="00DF54E4">
        <w:t xml:space="preserve"> </w:t>
      </w:r>
      <w:r w:rsidR="008B61A4" w:rsidRPr="00F46487">
        <w:t>miles</w:t>
      </w:r>
      <w:r w:rsidR="008B61A4">
        <w:t xml:space="preserve"> </w:t>
      </w:r>
      <w:r>
        <w:t xml:space="preserve">en </w:t>
      </w:r>
      <w:r w:rsidR="009324EC">
        <w:t>“</w:t>
      </w:r>
      <w:r w:rsidR="009324EC" w:rsidRPr="0095484D">
        <w:t>Compensación de vacaciones</w:t>
      </w:r>
      <w:r w:rsidR="009324EC" w:rsidRPr="009324EC">
        <w:t>”</w:t>
      </w:r>
      <w:r w:rsidR="008B61A4">
        <w:t xml:space="preserve"> y “Sueldos para cargos fijos”</w:t>
      </w:r>
      <w:r w:rsidR="009324EC" w:rsidRPr="009324EC">
        <w:t>, respectivamente</w:t>
      </w:r>
      <w:r>
        <w:t>.</w:t>
      </w:r>
    </w:p>
    <w:p w14:paraId="337DA11F" w14:textId="77777777" w:rsidR="00466989" w:rsidRPr="00692DC8" w:rsidRDefault="00466989" w:rsidP="00466989">
      <w:pPr>
        <w:tabs>
          <w:tab w:val="left" w:pos="1706"/>
        </w:tabs>
        <w:spacing w:after="0" w:line="240" w:lineRule="auto"/>
        <w:rPr>
          <w:rFonts w:eastAsiaTheme="minorEastAsia" w:cs="Arial Narrow"/>
          <w:color w:val="000000"/>
          <w:lang w:eastAsia="es-CR"/>
        </w:rPr>
      </w:pPr>
    </w:p>
    <w:p w14:paraId="10E98C00" w14:textId="77777777" w:rsidR="00692DC8" w:rsidRPr="00692DC8" w:rsidRDefault="00692DC8" w:rsidP="00D94B22">
      <w:pPr>
        <w:rPr>
          <w:szCs w:val="24"/>
        </w:rPr>
      </w:pPr>
    </w:p>
    <w:p w14:paraId="6AAC9265" w14:textId="77777777" w:rsidR="00692DC8" w:rsidRPr="00692DC8" w:rsidRDefault="00692DC8" w:rsidP="000C0028">
      <w:pPr>
        <w:pStyle w:val="Ttulo4"/>
        <w:spacing w:after="240"/>
        <w:rPr>
          <w:rFonts w:eastAsia="Times New Roman"/>
        </w:rPr>
      </w:pPr>
      <w:bookmarkStart w:id="873" w:name="_Toc14344915"/>
      <w:bookmarkStart w:id="874" w:name="_Toc33601315"/>
      <w:bookmarkStart w:id="875" w:name="_Toc82769035"/>
      <w:bookmarkStart w:id="876" w:name="_Toc173245301"/>
      <w:r w:rsidRPr="00692DC8">
        <w:rPr>
          <w:rFonts w:eastAsia="Times New Roman"/>
        </w:rPr>
        <w:t xml:space="preserve">NOTA N° </w:t>
      </w:r>
      <w:bookmarkEnd w:id="873"/>
      <w:bookmarkEnd w:id="874"/>
      <w:bookmarkEnd w:id="875"/>
      <w:r w:rsidRPr="00692DC8">
        <w:rPr>
          <w:rFonts w:eastAsia="Times New Roman"/>
        </w:rPr>
        <w:t>60</w:t>
      </w:r>
      <w:bookmarkEnd w:id="876"/>
    </w:p>
    <w:p w14:paraId="27F850DF" w14:textId="77777777" w:rsidR="00694299" w:rsidRDefault="00692DC8" w:rsidP="00293F0F">
      <w:pPr>
        <w:spacing w:before="240"/>
        <w:rPr>
          <w:rFonts w:asciiTheme="minorHAnsi" w:hAnsiTheme="minorHAnsi"/>
          <w:sz w:val="22"/>
        </w:rPr>
      </w:pPr>
      <w:bookmarkStart w:id="877" w:name="_Toc14344916"/>
      <w:bookmarkStart w:id="878" w:name="_Toc33601316"/>
      <w:bookmarkStart w:id="879" w:name="_Toc82769036"/>
      <w:r w:rsidRPr="00692DC8">
        <w:rPr>
          <w:rFonts w:eastAsia="Times New Roman"/>
        </w:rPr>
        <w:t>Servicios</w:t>
      </w:r>
      <w:bookmarkEnd w:id="877"/>
      <w:bookmarkEnd w:id="878"/>
      <w:bookmarkEnd w:id="879"/>
      <w:r w:rsidR="00F50CDD">
        <w:rPr>
          <w:rFonts w:eastAsiaTheme="majorEastAsia" w:cstheme="majorBidi"/>
          <w:b/>
          <w:iCs/>
        </w:rPr>
        <w:fldChar w:fldCharType="begin"/>
      </w:r>
      <w:r w:rsidR="00F50CDD">
        <w:instrText xml:space="preserve"> LINK </w:instrText>
      </w:r>
      <w:r w:rsidR="00323752">
        <w:instrText xml:space="preserve">Excel.SheetMacroEnabled.12 "D:\\MORAVIA\\INSUMOS\\NOTAS 2024\\Formato_Notas_EEFF_Vinculadas_2024\\XXXXX_PXX_202X_Anexo_Estado_Notas_Contables_Vinculadas.xlsm" NOTAS_POR_CUENTA!F351C1:F353C6 </w:instrText>
      </w:r>
      <w:r w:rsidR="00F50CDD">
        <w:instrText xml:space="preserve">\a \f 4 \h </w:instrText>
      </w:r>
      <w:r w:rsidR="00F50CDD">
        <w:fldChar w:fldCharType="separate"/>
      </w:r>
    </w:p>
    <w:p w14:paraId="0FA94759" w14:textId="0056F5A4" w:rsidR="00694299" w:rsidRDefault="00F50CDD" w:rsidP="00D643D3">
      <w:pPr>
        <w:spacing w:after="120" w:line="240" w:lineRule="auto"/>
        <w:rPr>
          <w:rFonts w:asciiTheme="minorHAnsi" w:hAnsiTheme="minorHAnsi"/>
          <w:sz w:val="22"/>
        </w:rPr>
      </w:pPr>
      <w:r>
        <w:rPr>
          <w:szCs w:val="24"/>
        </w:rPr>
        <w:fldChar w:fldCharType="end"/>
      </w:r>
      <w:r w:rsidR="00692DC8" w:rsidRPr="00692DC8">
        <w:rPr>
          <w:szCs w:val="24"/>
        </w:rPr>
        <w:t>Detalle cuenta:</w:t>
      </w:r>
      <w:r>
        <w:fldChar w:fldCharType="begin"/>
      </w:r>
      <w:r>
        <w:instrText xml:space="preserve"> LINK </w:instrText>
      </w:r>
      <w:r w:rsidR="00323752">
        <w:instrText xml:space="preserve">Excel.SheetMacroEnabled.12 "D:\\MORAVIA\\INSUMOS\\NOTAS 2024\\Formato_Notas_EEFF_Vinculadas_2024\\XXXXX_PXX_202X_Anexo_Estado_Notas_Contables_Vinculadas.xlsm" NOTAS_POR_CUENTA!F355C1:F357C6 </w:instrText>
      </w:r>
      <w:r>
        <w:instrText xml:space="preserve">\a \f 4 \h </w:instrText>
      </w:r>
      <w:r>
        <w:fldChar w:fldCharType="separate"/>
      </w:r>
    </w:p>
    <w:p w14:paraId="5920B255" w14:textId="611AEB2F" w:rsidR="00C572A3" w:rsidRDefault="00F50CDD" w:rsidP="00D643D3">
      <w:pPr>
        <w:spacing w:after="0" w:line="240" w:lineRule="auto"/>
        <w:rPr>
          <w:rFonts w:asciiTheme="minorHAnsi" w:hAnsiTheme="minorHAnsi"/>
          <w:sz w:val="22"/>
        </w:rPr>
      </w:pPr>
      <w:r>
        <w:fldChar w:fldCharType="end"/>
      </w:r>
      <w:r w:rsidR="00D643D3">
        <w:fldChar w:fldCharType="begin"/>
      </w:r>
      <w:r w:rsidR="00D643D3">
        <w:instrText xml:space="preserve"> LINK </w:instrText>
      </w:r>
      <w:r w:rsidR="0068177A">
        <w:instrText xml:space="preserve">Excel.SheetMacroEnabled.12 "C:\\Users\\arges\\OneDrive\\Desktop\\Municipalidades\\Buenos Aires\\Cierre Junio 2024\\Notas Contables\\15603_T02_2024_Anexo_Estado_Notas_Contables_Vinculadas.xlsm" NOTAS_POR_CUENTA!R351C1:R353C6 </w:instrText>
      </w:r>
      <w:r w:rsidR="00D643D3">
        <w:instrText xml:space="preserve">\a \f 4 \h </w:instrText>
      </w:r>
      <w:r w:rsidR="00D643D3">
        <w:fldChar w:fldCharType="separate"/>
      </w:r>
    </w:p>
    <w:tbl>
      <w:tblPr>
        <w:tblW w:w="10080" w:type="dxa"/>
        <w:tblLook w:val="04A0" w:firstRow="1" w:lastRow="0" w:firstColumn="1" w:lastColumn="0" w:noHBand="0" w:noVBand="1"/>
      </w:tblPr>
      <w:tblGrid>
        <w:gridCol w:w="717"/>
        <w:gridCol w:w="3339"/>
        <w:gridCol w:w="544"/>
        <w:gridCol w:w="2200"/>
        <w:gridCol w:w="2200"/>
        <w:gridCol w:w="1080"/>
      </w:tblGrid>
      <w:tr w:rsidR="00C572A3" w:rsidRPr="00C572A3" w14:paraId="025E8873" w14:textId="77777777" w:rsidTr="00C572A3">
        <w:trPr>
          <w:divId w:val="881986515"/>
          <w:trHeight w:val="320"/>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D9696DB" w14:textId="32509995" w:rsidR="00C572A3" w:rsidRPr="00C572A3" w:rsidRDefault="00C572A3" w:rsidP="00C572A3">
            <w:pP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5261492"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Descripción</w:t>
            </w:r>
          </w:p>
        </w:tc>
        <w:tc>
          <w:tcPr>
            <w:tcW w:w="5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0EFE3AF"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Nota</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DFE5E5B"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Actual </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276A23A"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Anterior </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1C3A4465"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Diferencia </w:t>
            </w:r>
          </w:p>
        </w:tc>
      </w:tr>
      <w:tr w:rsidR="00C572A3" w:rsidRPr="00C572A3" w14:paraId="7F30F466" w14:textId="77777777" w:rsidTr="00C572A3">
        <w:trPr>
          <w:divId w:val="881986515"/>
          <w:trHeight w:val="320"/>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7FA55F44"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0644BC74"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14:paraId="15FE6537"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5B7DB5DC"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00B6B2AF"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1080" w:type="dxa"/>
            <w:tcBorders>
              <w:top w:val="nil"/>
              <w:left w:val="nil"/>
              <w:bottom w:val="single" w:sz="8" w:space="0" w:color="auto"/>
              <w:right w:val="single" w:sz="8" w:space="0" w:color="auto"/>
            </w:tcBorders>
            <w:shd w:val="clear" w:color="000000" w:fill="366092"/>
            <w:noWrap/>
            <w:vAlign w:val="center"/>
            <w:hideMark/>
          </w:tcPr>
          <w:p w14:paraId="7BF19D6A" w14:textId="77777777" w:rsidR="00C572A3" w:rsidRPr="00C572A3" w:rsidRDefault="00C572A3" w:rsidP="00C572A3">
            <w:pPr>
              <w:spacing w:after="0" w:line="240" w:lineRule="auto"/>
              <w:jc w:val="center"/>
              <w:rPr>
                <w:rFonts w:eastAsia="Times New Roman" w:cs="Calibri"/>
                <w:color w:val="FFFFFF"/>
                <w:sz w:val="18"/>
                <w:szCs w:val="18"/>
                <w:lang w:val="en-US"/>
              </w:rPr>
            </w:pPr>
            <w:r w:rsidRPr="00C572A3">
              <w:rPr>
                <w:rFonts w:eastAsia="Times New Roman" w:cs="Calibri"/>
                <w:color w:val="FFFFFF"/>
                <w:sz w:val="18"/>
                <w:szCs w:val="18"/>
                <w:lang w:val="en-US"/>
              </w:rPr>
              <w:t>%</w:t>
            </w:r>
          </w:p>
        </w:tc>
      </w:tr>
      <w:tr w:rsidR="00C572A3" w:rsidRPr="00C572A3" w14:paraId="33C76301" w14:textId="77777777" w:rsidTr="00C572A3">
        <w:trPr>
          <w:divId w:val="881986515"/>
          <w:trHeight w:val="320"/>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141CF367" w14:textId="77777777" w:rsidR="00C572A3" w:rsidRPr="00C572A3" w:rsidRDefault="00C572A3" w:rsidP="00C572A3">
            <w:pPr>
              <w:spacing w:after="0" w:line="240" w:lineRule="auto"/>
              <w:jc w:val="left"/>
              <w:rPr>
                <w:rFonts w:eastAsia="Times New Roman" w:cs="Calibri"/>
                <w:b/>
                <w:bCs/>
                <w:color w:val="000000"/>
                <w:sz w:val="18"/>
                <w:szCs w:val="18"/>
                <w:lang w:val="en-US"/>
              </w:rPr>
            </w:pPr>
            <w:r w:rsidRPr="00C572A3">
              <w:rPr>
                <w:rFonts w:eastAsia="Times New Roman" w:cs="Calibri"/>
                <w:b/>
                <w:bCs/>
                <w:color w:val="000000"/>
                <w:sz w:val="18"/>
                <w:szCs w:val="18"/>
                <w:lang w:val="en-US"/>
              </w:rPr>
              <w:t>5.1.2.</w:t>
            </w:r>
          </w:p>
        </w:tc>
        <w:tc>
          <w:tcPr>
            <w:tcW w:w="3380" w:type="dxa"/>
            <w:tcBorders>
              <w:top w:val="nil"/>
              <w:left w:val="nil"/>
              <w:bottom w:val="single" w:sz="8" w:space="0" w:color="auto"/>
              <w:right w:val="single" w:sz="8" w:space="0" w:color="auto"/>
            </w:tcBorders>
            <w:shd w:val="clear" w:color="auto" w:fill="auto"/>
            <w:vAlign w:val="center"/>
            <w:hideMark/>
          </w:tcPr>
          <w:p w14:paraId="35B2841F" w14:textId="77777777" w:rsidR="00C572A3" w:rsidRPr="00C572A3" w:rsidRDefault="00C572A3" w:rsidP="00C572A3">
            <w:pPr>
              <w:spacing w:after="0" w:line="240" w:lineRule="auto"/>
              <w:rPr>
                <w:rFonts w:eastAsia="Times New Roman" w:cs="Calibri"/>
                <w:b/>
                <w:bCs/>
                <w:color w:val="000000"/>
                <w:sz w:val="18"/>
                <w:szCs w:val="18"/>
                <w:lang w:val="en-US"/>
              </w:rPr>
            </w:pPr>
            <w:r w:rsidRPr="00C572A3">
              <w:rPr>
                <w:rFonts w:eastAsia="Times New Roman" w:cs="Calibri"/>
                <w:b/>
                <w:bCs/>
                <w:color w:val="000000"/>
                <w:sz w:val="18"/>
                <w:szCs w:val="18"/>
                <w:lang w:val="en-US"/>
              </w:rPr>
              <w:t>Servicios</w:t>
            </w:r>
          </w:p>
        </w:tc>
        <w:tc>
          <w:tcPr>
            <w:tcW w:w="520" w:type="dxa"/>
            <w:tcBorders>
              <w:top w:val="nil"/>
              <w:left w:val="nil"/>
              <w:bottom w:val="single" w:sz="8" w:space="0" w:color="auto"/>
              <w:right w:val="single" w:sz="8" w:space="0" w:color="auto"/>
            </w:tcBorders>
            <w:shd w:val="clear" w:color="auto" w:fill="auto"/>
            <w:noWrap/>
            <w:vAlign w:val="center"/>
            <w:hideMark/>
          </w:tcPr>
          <w:p w14:paraId="1C835A9A"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60</w:t>
            </w:r>
          </w:p>
        </w:tc>
        <w:tc>
          <w:tcPr>
            <w:tcW w:w="2200" w:type="dxa"/>
            <w:tcBorders>
              <w:top w:val="nil"/>
              <w:left w:val="nil"/>
              <w:bottom w:val="single" w:sz="8" w:space="0" w:color="auto"/>
              <w:right w:val="single" w:sz="8" w:space="0" w:color="auto"/>
            </w:tcBorders>
            <w:shd w:val="clear" w:color="auto" w:fill="auto"/>
            <w:noWrap/>
            <w:vAlign w:val="center"/>
            <w:hideMark/>
          </w:tcPr>
          <w:p w14:paraId="76378867"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1 430 106,55 </w:t>
            </w:r>
          </w:p>
        </w:tc>
        <w:tc>
          <w:tcPr>
            <w:tcW w:w="2200" w:type="dxa"/>
            <w:tcBorders>
              <w:top w:val="nil"/>
              <w:left w:val="nil"/>
              <w:bottom w:val="single" w:sz="8" w:space="0" w:color="auto"/>
              <w:right w:val="single" w:sz="8" w:space="0" w:color="auto"/>
            </w:tcBorders>
            <w:shd w:val="clear" w:color="auto" w:fill="auto"/>
            <w:noWrap/>
            <w:vAlign w:val="center"/>
            <w:hideMark/>
          </w:tcPr>
          <w:p w14:paraId="4B78DC0A"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1 905 864,24 </w:t>
            </w:r>
          </w:p>
        </w:tc>
        <w:tc>
          <w:tcPr>
            <w:tcW w:w="1080" w:type="dxa"/>
            <w:tcBorders>
              <w:top w:val="nil"/>
              <w:left w:val="nil"/>
              <w:bottom w:val="single" w:sz="8" w:space="0" w:color="auto"/>
              <w:right w:val="single" w:sz="8" w:space="0" w:color="auto"/>
            </w:tcBorders>
            <w:shd w:val="clear" w:color="auto" w:fill="auto"/>
            <w:noWrap/>
            <w:vAlign w:val="center"/>
            <w:hideMark/>
          </w:tcPr>
          <w:p w14:paraId="769E58F3"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-24,96%</w:t>
            </w:r>
          </w:p>
        </w:tc>
      </w:tr>
    </w:tbl>
    <w:p w14:paraId="495927AF" w14:textId="77777777" w:rsidR="00D643D3" w:rsidRDefault="00D643D3" w:rsidP="00D643D3">
      <w:pPr>
        <w:spacing w:after="0" w:line="240" w:lineRule="auto"/>
      </w:pPr>
      <w:r>
        <w:fldChar w:fldCharType="end"/>
      </w:r>
    </w:p>
    <w:p w14:paraId="418A62CB" w14:textId="3F46D17A" w:rsidR="00C572A3" w:rsidRPr="008B61A4" w:rsidRDefault="00D643D3" w:rsidP="008B61A4">
      <w:pPr>
        <w:spacing w:after="240" w:line="240" w:lineRule="auto"/>
      </w:pPr>
      <w:r>
        <w:t>Alquileres y derechos sobre bienes</w:t>
      </w:r>
      <w:r>
        <w:fldChar w:fldCharType="begin"/>
      </w:r>
      <w:r>
        <w:instrText xml:space="preserve"> LINK </w:instrText>
      </w:r>
      <w:r w:rsidR="0068177A">
        <w:instrText xml:space="preserve">Excel.SheetMacroEnabled.12 "C:\\Users\\arges\\OneDrive\\Desktop\\Municipalidades\\Buenos Aires\\Cierre Junio 2024\\Notas Contables\\15603_T02_2024_Anexo_Estado_Notas_Contables_Vinculadas.xlsm" NOTAS_POR_CUENTA!R355C1:R357C6 </w:instrText>
      </w:r>
      <w:r>
        <w:instrText xml:space="preserve">\a \f 4 \h </w:instrText>
      </w:r>
      <w:r>
        <w:fldChar w:fldCharType="separate"/>
      </w:r>
    </w:p>
    <w:tbl>
      <w:tblPr>
        <w:tblW w:w="10080" w:type="dxa"/>
        <w:tblLook w:val="04A0" w:firstRow="1" w:lastRow="0" w:firstColumn="1" w:lastColumn="0" w:noHBand="0" w:noVBand="1"/>
      </w:tblPr>
      <w:tblGrid>
        <w:gridCol w:w="791"/>
        <w:gridCol w:w="3265"/>
        <w:gridCol w:w="544"/>
        <w:gridCol w:w="2200"/>
        <w:gridCol w:w="2200"/>
        <w:gridCol w:w="1080"/>
      </w:tblGrid>
      <w:tr w:rsidR="00C572A3" w:rsidRPr="00C572A3" w14:paraId="3383BCB0" w14:textId="77777777" w:rsidTr="00C572A3">
        <w:trPr>
          <w:divId w:val="1338925293"/>
          <w:trHeight w:val="320"/>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0DD7B32" w14:textId="612E1FE4" w:rsidR="00C572A3" w:rsidRPr="00C572A3" w:rsidRDefault="00C572A3" w:rsidP="00C572A3">
            <w:pPr>
              <w:spacing w:after="0" w:line="240" w:lineRule="auto"/>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BCBE4C3"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Descripción</w:t>
            </w:r>
          </w:p>
        </w:tc>
        <w:tc>
          <w:tcPr>
            <w:tcW w:w="5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813DE22"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Nota</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D3DC1A1"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Actual </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539F9F5"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Anterior </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0C36F5E3"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Diferencia </w:t>
            </w:r>
          </w:p>
        </w:tc>
      </w:tr>
      <w:tr w:rsidR="00C572A3" w:rsidRPr="00C572A3" w14:paraId="74607E54" w14:textId="77777777" w:rsidTr="00C572A3">
        <w:trPr>
          <w:divId w:val="1338925293"/>
          <w:trHeight w:val="320"/>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5FEA80C1"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425A5DA1"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14:paraId="1FC6CA73"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285152E7"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52E63970"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1080" w:type="dxa"/>
            <w:tcBorders>
              <w:top w:val="nil"/>
              <w:left w:val="nil"/>
              <w:bottom w:val="single" w:sz="8" w:space="0" w:color="auto"/>
              <w:right w:val="single" w:sz="8" w:space="0" w:color="auto"/>
            </w:tcBorders>
            <w:shd w:val="clear" w:color="000000" w:fill="366092"/>
            <w:noWrap/>
            <w:vAlign w:val="center"/>
            <w:hideMark/>
          </w:tcPr>
          <w:p w14:paraId="65366F80" w14:textId="77777777" w:rsidR="00C572A3" w:rsidRPr="00C572A3" w:rsidRDefault="00C572A3" w:rsidP="00C572A3">
            <w:pPr>
              <w:spacing w:after="0" w:line="240" w:lineRule="auto"/>
              <w:jc w:val="center"/>
              <w:rPr>
                <w:rFonts w:eastAsia="Times New Roman" w:cs="Calibri"/>
                <w:color w:val="FFFFFF"/>
                <w:sz w:val="18"/>
                <w:szCs w:val="18"/>
                <w:lang w:val="en-US"/>
              </w:rPr>
            </w:pPr>
            <w:r w:rsidRPr="00C572A3">
              <w:rPr>
                <w:rFonts w:eastAsia="Times New Roman" w:cs="Calibri"/>
                <w:color w:val="FFFFFF"/>
                <w:sz w:val="18"/>
                <w:szCs w:val="18"/>
                <w:lang w:val="en-US"/>
              </w:rPr>
              <w:t>%</w:t>
            </w:r>
          </w:p>
        </w:tc>
      </w:tr>
      <w:tr w:rsidR="00C572A3" w:rsidRPr="00C572A3" w14:paraId="72863A89" w14:textId="77777777" w:rsidTr="00C572A3">
        <w:trPr>
          <w:divId w:val="1338925293"/>
          <w:trHeight w:val="320"/>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34DB4DE2" w14:textId="77777777" w:rsidR="00C572A3" w:rsidRPr="00C572A3" w:rsidRDefault="00C572A3" w:rsidP="00C572A3">
            <w:pPr>
              <w:spacing w:after="0" w:line="240" w:lineRule="auto"/>
              <w:jc w:val="left"/>
              <w:rPr>
                <w:rFonts w:eastAsia="Times New Roman" w:cs="Calibri"/>
                <w:b/>
                <w:bCs/>
                <w:color w:val="000000"/>
                <w:sz w:val="18"/>
                <w:szCs w:val="18"/>
                <w:lang w:val="en-US"/>
              </w:rPr>
            </w:pPr>
            <w:r w:rsidRPr="00C572A3">
              <w:rPr>
                <w:rFonts w:eastAsia="Times New Roman" w:cs="Calibri"/>
                <w:b/>
                <w:bCs/>
                <w:color w:val="000000"/>
                <w:sz w:val="18"/>
                <w:szCs w:val="18"/>
                <w:lang w:val="en-US"/>
              </w:rPr>
              <w:t>5.1.2.01.</w:t>
            </w:r>
          </w:p>
        </w:tc>
        <w:tc>
          <w:tcPr>
            <w:tcW w:w="3380" w:type="dxa"/>
            <w:tcBorders>
              <w:top w:val="nil"/>
              <w:left w:val="nil"/>
              <w:bottom w:val="single" w:sz="8" w:space="0" w:color="auto"/>
              <w:right w:val="single" w:sz="8" w:space="0" w:color="auto"/>
            </w:tcBorders>
            <w:shd w:val="clear" w:color="auto" w:fill="auto"/>
            <w:vAlign w:val="center"/>
            <w:hideMark/>
          </w:tcPr>
          <w:p w14:paraId="5C47AA32" w14:textId="77777777" w:rsidR="00C572A3" w:rsidRPr="00C572A3" w:rsidRDefault="00C572A3" w:rsidP="00C572A3">
            <w:pPr>
              <w:spacing w:after="0" w:line="240" w:lineRule="auto"/>
              <w:rPr>
                <w:rFonts w:eastAsia="Times New Roman" w:cs="Calibri"/>
                <w:b/>
                <w:bCs/>
                <w:color w:val="000000"/>
                <w:sz w:val="18"/>
                <w:szCs w:val="18"/>
              </w:rPr>
            </w:pPr>
            <w:r w:rsidRPr="00C572A3">
              <w:rPr>
                <w:rFonts w:eastAsia="Times New Roman" w:cs="Calibri"/>
                <w:b/>
                <w:bCs/>
                <w:color w:val="000000"/>
                <w:sz w:val="18"/>
                <w:szCs w:val="18"/>
              </w:rPr>
              <w:t>Alquileres y derechos sobre bienes</w:t>
            </w:r>
          </w:p>
        </w:tc>
        <w:tc>
          <w:tcPr>
            <w:tcW w:w="520" w:type="dxa"/>
            <w:tcBorders>
              <w:top w:val="nil"/>
              <w:left w:val="nil"/>
              <w:bottom w:val="single" w:sz="8" w:space="0" w:color="auto"/>
              <w:right w:val="single" w:sz="8" w:space="0" w:color="auto"/>
            </w:tcBorders>
            <w:shd w:val="clear" w:color="auto" w:fill="auto"/>
            <w:noWrap/>
            <w:vAlign w:val="center"/>
            <w:hideMark/>
          </w:tcPr>
          <w:p w14:paraId="44592ADD"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60</w:t>
            </w:r>
          </w:p>
        </w:tc>
        <w:tc>
          <w:tcPr>
            <w:tcW w:w="2200" w:type="dxa"/>
            <w:tcBorders>
              <w:top w:val="nil"/>
              <w:left w:val="nil"/>
              <w:bottom w:val="single" w:sz="8" w:space="0" w:color="auto"/>
              <w:right w:val="single" w:sz="8" w:space="0" w:color="auto"/>
            </w:tcBorders>
            <w:shd w:val="clear" w:color="auto" w:fill="auto"/>
            <w:noWrap/>
            <w:vAlign w:val="center"/>
            <w:hideMark/>
          </w:tcPr>
          <w:p w14:paraId="2BCE2CF0"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79 312,64 </w:t>
            </w:r>
          </w:p>
        </w:tc>
        <w:tc>
          <w:tcPr>
            <w:tcW w:w="2200" w:type="dxa"/>
            <w:tcBorders>
              <w:top w:val="nil"/>
              <w:left w:val="nil"/>
              <w:bottom w:val="single" w:sz="8" w:space="0" w:color="auto"/>
              <w:right w:val="single" w:sz="8" w:space="0" w:color="auto"/>
            </w:tcBorders>
            <w:shd w:val="clear" w:color="auto" w:fill="auto"/>
            <w:noWrap/>
            <w:vAlign w:val="center"/>
            <w:hideMark/>
          </w:tcPr>
          <w:p w14:paraId="1F9EC60F"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107 134,45 </w:t>
            </w:r>
          </w:p>
        </w:tc>
        <w:tc>
          <w:tcPr>
            <w:tcW w:w="1080" w:type="dxa"/>
            <w:tcBorders>
              <w:top w:val="nil"/>
              <w:left w:val="nil"/>
              <w:bottom w:val="single" w:sz="8" w:space="0" w:color="auto"/>
              <w:right w:val="single" w:sz="8" w:space="0" w:color="auto"/>
            </w:tcBorders>
            <w:shd w:val="clear" w:color="auto" w:fill="auto"/>
            <w:noWrap/>
            <w:vAlign w:val="center"/>
            <w:hideMark/>
          </w:tcPr>
          <w:p w14:paraId="2921033E"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-25,97%</w:t>
            </w:r>
          </w:p>
        </w:tc>
      </w:tr>
    </w:tbl>
    <w:p w14:paraId="7152280E" w14:textId="172911EB" w:rsidR="00692DC8" w:rsidRPr="00692DC8" w:rsidRDefault="00D643D3" w:rsidP="00293F0F">
      <w:pPr>
        <w:spacing w:before="240"/>
      </w:pPr>
      <w:r>
        <w:fldChar w:fldCharType="end"/>
      </w:r>
      <w:r w:rsidR="00692DC8" w:rsidRPr="00692DC8">
        <w:t>Indicar el detalle de cómo está compuesta la cuenta:</w:t>
      </w:r>
    </w:p>
    <w:p w14:paraId="166AAC95" w14:textId="2132C2AC" w:rsidR="003124B8" w:rsidRDefault="003124B8" w:rsidP="003124B8">
      <w:pPr>
        <w:spacing w:after="0" w:line="240" w:lineRule="auto"/>
        <w:rPr>
          <w:lang w:eastAsia="es-CR"/>
        </w:rPr>
      </w:pPr>
      <w:r w:rsidRPr="00A91674">
        <w:rPr>
          <w:lang w:eastAsia="es-CR"/>
        </w:rPr>
        <w:t xml:space="preserve">La cuenta de alquileres y derechos </w:t>
      </w:r>
      <w:r>
        <w:rPr>
          <w:lang w:eastAsia="es-CR"/>
        </w:rPr>
        <w:t xml:space="preserve">sobre bienes </w:t>
      </w:r>
      <w:r w:rsidRPr="00A91674">
        <w:rPr>
          <w:lang w:eastAsia="es-CR"/>
        </w:rPr>
        <w:t>representa los pagos efectuados por la Municipalidad por concepto del alquiler del edificio al señor Henry Hubert Bradook Straadtmann en el que se ubica el departamento de la UTGVM</w:t>
      </w:r>
      <w:r>
        <w:rPr>
          <w:lang w:eastAsia="es-CR"/>
        </w:rPr>
        <w:t>,</w:t>
      </w:r>
      <w:r w:rsidRPr="00A91674">
        <w:rPr>
          <w:lang w:eastAsia="es-CR"/>
        </w:rPr>
        <w:t xml:space="preserve"> según contrato 0432019000400276-03 (Prorroga) por el periodo que inicia el 19 </w:t>
      </w:r>
      <w:r w:rsidR="00FB041D">
        <w:rPr>
          <w:lang w:eastAsia="es-CR"/>
        </w:rPr>
        <w:t>enero</w:t>
      </w:r>
      <w:r w:rsidRPr="00A91674">
        <w:rPr>
          <w:lang w:eastAsia="es-CR"/>
        </w:rPr>
        <w:t xml:space="preserve"> de </w:t>
      </w:r>
      <w:r>
        <w:rPr>
          <w:lang w:eastAsia="es-CR"/>
        </w:rPr>
        <w:t>2024</w:t>
      </w:r>
      <w:r w:rsidRPr="00A91674">
        <w:rPr>
          <w:lang w:eastAsia="es-CR"/>
        </w:rPr>
        <w:t>, con una duración de 3 años</w:t>
      </w:r>
      <w:r>
        <w:rPr>
          <w:lang w:eastAsia="es-CR"/>
        </w:rPr>
        <w:t xml:space="preserve"> y al alquiler de </w:t>
      </w:r>
      <w:r w:rsidRPr="00EC6F6E">
        <w:rPr>
          <w:lang w:eastAsia="es-CR"/>
        </w:rPr>
        <w:t>Alquiler de maquinarias, equipos y mobiliario como se observa en el detalle que se consigna más adelante en este aparte.</w:t>
      </w:r>
    </w:p>
    <w:p w14:paraId="4E1FC12D" w14:textId="77777777" w:rsidR="003124B8" w:rsidRPr="00A91674" w:rsidRDefault="003124B8" w:rsidP="003124B8">
      <w:pPr>
        <w:spacing w:after="0" w:line="240" w:lineRule="auto"/>
        <w:rPr>
          <w:lang w:eastAsia="es-CR"/>
        </w:rPr>
      </w:pPr>
    </w:p>
    <w:p w14:paraId="31D55A72" w14:textId="77777777" w:rsidR="00694299" w:rsidRPr="00694299" w:rsidRDefault="00692DC8" w:rsidP="00F50CDD">
      <w:pPr>
        <w:rPr>
          <w:sz w:val="20"/>
          <w:szCs w:val="20"/>
          <w:lang w:eastAsia="es-CR"/>
        </w:rPr>
      </w:pPr>
      <w:r w:rsidRPr="00692DC8">
        <w:rPr>
          <w:b/>
          <w:bCs/>
          <w:lang w:val="es-ES"/>
        </w:rPr>
        <w:t>Revelación</w:t>
      </w:r>
      <w:r w:rsidRPr="00692DC8">
        <w:rPr>
          <w:lang w:val="es-ES"/>
        </w:rPr>
        <w:t xml:space="preserve">: </w:t>
      </w:r>
      <w:r w:rsidR="00F50CDD">
        <w:rPr>
          <w:rFonts w:eastAsia="Times New Roman" w:cs="Calibri"/>
          <w:color w:val="000000"/>
          <w:lang w:eastAsia="es-CR"/>
        </w:rPr>
        <w:fldChar w:fldCharType="begin"/>
      </w:r>
      <w:r w:rsidR="00F50CDD">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NOTAS_POR_CUENTA!F353C8 </w:instrText>
      </w:r>
      <w:r w:rsidR="00F50CDD">
        <w:rPr>
          <w:rFonts w:eastAsia="Times New Roman" w:cs="Calibri"/>
          <w:color w:val="000000"/>
          <w:lang w:eastAsia="es-CR"/>
        </w:rPr>
        <w:instrText xml:space="preserve">\a \f 5 \h  \* MERGEFORMAT </w:instrText>
      </w:r>
      <w:r w:rsidR="00F50CDD">
        <w:rPr>
          <w:rFonts w:eastAsia="Times New Roman" w:cs="Calibri"/>
          <w:color w:val="000000"/>
          <w:lang w:eastAsia="es-CR"/>
        </w:rPr>
        <w:fldChar w:fldCharType="separate"/>
      </w:r>
    </w:p>
    <w:p w14:paraId="45DD6DA8" w14:textId="6450A380" w:rsidR="00694299" w:rsidRPr="00694299" w:rsidRDefault="00694299" w:rsidP="0079303B">
      <w:pPr>
        <w:spacing w:line="240" w:lineRule="auto"/>
        <w:rPr>
          <w:rFonts w:eastAsia="Times New Roman" w:cs="Calibri"/>
          <w:color w:val="000000"/>
          <w:lang w:eastAsia="es-CR"/>
        </w:rPr>
      </w:pPr>
      <w:r w:rsidRPr="00694299">
        <w:rPr>
          <w:rFonts w:eastAsia="Times New Roman" w:cs="Calibri"/>
          <w:color w:val="000000"/>
          <w:lang w:eastAsia="es-CR"/>
        </w:rPr>
        <w:t xml:space="preserve">La cuenta Servicios, representa el </w:t>
      </w:r>
      <w:r w:rsidR="0079303B" w:rsidRPr="0079303B">
        <w:rPr>
          <w:rFonts w:eastAsia="Times New Roman" w:cs="Calibri"/>
          <w:color w:val="000000"/>
          <w:lang w:eastAsia="es-CR"/>
        </w:rPr>
        <w:t>51,93%</w:t>
      </w:r>
      <w:r w:rsidR="0079303B">
        <w:rPr>
          <w:rFonts w:eastAsia="Times New Roman" w:cs="Calibri"/>
          <w:color w:val="000000"/>
          <w:lang w:eastAsia="es-CR"/>
        </w:rPr>
        <w:t xml:space="preserve"> </w:t>
      </w:r>
      <w:r w:rsidRPr="00694299">
        <w:rPr>
          <w:rFonts w:eastAsia="Times New Roman" w:cs="Calibri"/>
          <w:color w:val="000000"/>
          <w:lang w:eastAsia="es-CR"/>
        </w:rPr>
        <w:t xml:space="preserve">% del total del Gastos, que comparado al periodo anterior genera una variación absoluta de </w:t>
      </w:r>
      <w:r w:rsidR="0079303B" w:rsidRPr="0079303B">
        <w:rPr>
          <w:rFonts w:eastAsia="Times New Roman" w:cs="Calibri"/>
          <w:color w:val="000000"/>
          <w:lang w:eastAsia="es-CR"/>
        </w:rPr>
        <w:t>-475 757,70</w:t>
      </w:r>
      <w:r w:rsidRPr="00694299">
        <w:rPr>
          <w:rFonts w:eastAsia="Times New Roman" w:cs="Calibri"/>
          <w:color w:val="000000"/>
          <w:lang w:eastAsia="es-CR"/>
        </w:rPr>
        <w:t xml:space="preserve"> que corresponde a un Disminución del -</w:t>
      </w:r>
      <w:r w:rsidR="0079303B">
        <w:rPr>
          <w:rFonts w:eastAsia="Times New Roman" w:cs="Calibri"/>
          <w:color w:val="000000"/>
          <w:lang w:eastAsia="es-CR"/>
        </w:rPr>
        <w:t>24,</w:t>
      </w:r>
      <w:r w:rsidRPr="00694299">
        <w:rPr>
          <w:rFonts w:eastAsia="Times New Roman" w:cs="Calibri"/>
          <w:color w:val="000000"/>
          <w:lang w:eastAsia="es-CR"/>
        </w:rPr>
        <w:t>9</w:t>
      </w:r>
      <w:r w:rsidR="0079303B">
        <w:rPr>
          <w:rFonts w:eastAsia="Times New Roman" w:cs="Calibri"/>
          <w:color w:val="000000"/>
          <w:lang w:eastAsia="es-CR"/>
        </w:rPr>
        <w:t>6</w:t>
      </w:r>
      <w:r w:rsidRPr="00694299">
        <w:rPr>
          <w:rFonts w:eastAsia="Times New Roman" w:cs="Calibri"/>
          <w:color w:val="000000"/>
          <w:lang w:eastAsia="es-CR"/>
        </w:rPr>
        <w:t>% de recursos disponibles.</w:t>
      </w:r>
    </w:p>
    <w:p w14:paraId="33F4E84E" w14:textId="0611E51C" w:rsidR="00692DC8" w:rsidRPr="00692DC8" w:rsidRDefault="00F50CDD" w:rsidP="00F50CDD">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34458E7A" w14:textId="50BEAD01" w:rsidR="003124B8" w:rsidRDefault="003124B8" w:rsidP="003124B8">
      <w:pPr>
        <w:spacing w:after="0" w:line="240" w:lineRule="auto"/>
      </w:pPr>
      <w:bookmarkStart w:id="880" w:name="_Toc14344926"/>
      <w:bookmarkStart w:id="881" w:name="_Toc33601318"/>
      <w:r>
        <w:t>En el detalle que se presenta a continuación se consignan las subcuentas que conformaban la Cuenta de Servicios a</w:t>
      </w:r>
      <w:r w:rsidRPr="00A91674">
        <w:t xml:space="preserve">l </w:t>
      </w:r>
      <w:r w:rsidR="00D470B6">
        <w:t>30 de junio</w:t>
      </w:r>
      <w:r>
        <w:t xml:space="preserve"> de 2024 en comparación con el año anterior:</w:t>
      </w:r>
    </w:p>
    <w:p w14:paraId="380905CA" w14:textId="77777777" w:rsidR="003124B8" w:rsidRPr="00A91674" w:rsidRDefault="003124B8" w:rsidP="003124B8">
      <w:pPr>
        <w:spacing w:after="0" w:line="240" w:lineRule="auto"/>
      </w:pPr>
    </w:p>
    <w:tbl>
      <w:tblPr>
        <w:tblW w:w="9003" w:type="dxa"/>
        <w:tblLook w:val="04A0" w:firstRow="1" w:lastRow="0" w:firstColumn="1" w:lastColumn="0" w:noHBand="0" w:noVBand="1"/>
      </w:tblPr>
      <w:tblGrid>
        <w:gridCol w:w="983"/>
        <w:gridCol w:w="2835"/>
        <w:gridCol w:w="1360"/>
        <w:gridCol w:w="1357"/>
        <w:gridCol w:w="1217"/>
        <w:gridCol w:w="1029"/>
        <w:gridCol w:w="222"/>
      </w:tblGrid>
      <w:tr w:rsidR="008B61A4" w:rsidRPr="008B61A4" w14:paraId="296B0EA3" w14:textId="77777777" w:rsidTr="008B61A4">
        <w:trPr>
          <w:gridAfter w:val="1"/>
          <w:wAfter w:w="222" w:type="dxa"/>
          <w:trHeight w:val="457"/>
        </w:trPr>
        <w:tc>
          <w:tcPr>
            <w:tcW w:w="983" w:type="dxa"/>
            <w:vMerge w:val="restart"/>
            <w:tcBorders>
              <w:top w:val="single" w:sz="8" w:space="0" w:color="auto"/>
              <w:left w:val="single" w:sz="8" w:space="0" w:color="auto"/>
              <w:bottom w:val="nil"/>
              <w:right w:val="single" w:sz="8" w:space="0" w:color="auto"/>
            </w:tcBorders>
            <w:shd w:val="clear" w:color="000000" w:fill="203764"/>
            <w:noWrap/>
            <w:vAlign w:val="center"/>
            <w:hideMark/>
          </w:tcPr>
          <w:p w14:paraId="6751D9B9" w14:textId="77777777" w:rsidR="008B61A4" w:rsidRPr="008B61A4" w:rsidRDefault="008B61A4" w:rsidP="008B61A4">
            <w:pPr>
              <w:spacing w:after="0" w:line="240" w:lineRule="auto"/>
              <w:jc w:val="center"/>
              <w:rPr>
                <w:rFonts w:eastAsia="Times New Roman" w:cs="Calibri"/>
                <w:b/>
                <w:bCs/>
                <w:color w:val="FFFFFF"/>
                <w:sz w:val="22"/>
                <w:lang w:val="en-US"/>
              </w:rPr>
            </w:pPr>
            <w:r w:rsidRPr="008B61A4">
              <w:rPr>
                <w:rFonts w:eastAsia="Times New Roman" w:cs="Calibri"/>
                <w:b/>
                <w:bCs/>
                <w:color w:val="FFFFFF"/>
                <w:sz w:val="22"/>
                <w:lang w:val="en-US"/>
              </w:rPr>
              <w:t>Cuenta</w:t>
            </w:r>
          </w:p>
        </w:tc>
        <w:tc>
          <w:tcPr>
            <w:tcW w:w="2835" w:type="dxa"/>
            <w:vMerge w:val="restart"/>
            <w:tcBorders>
              <w:top w:val="single" w:sz="8" w:space="0" w:color="auto"/>
              <w:left w:val="single" w:sz="8" w:space="0" w:color="auto"/>
              <w:bottom w:val="nil"/>
              <w:right w:val="single" w:sz="8" w:space="0" w:color="auto"/>
            </w:tcBorders>
            <w:shd w:val="clear" w:color="000000" w:fill="203764"/>
            <w:vAlign w:val="center"/>
            <w:hideMark/>
          </w:tcPr>
          <w:p w14:paraId="4A1A7D40" w14:textId="77777777" w:rsidR="008B61A4" w:rsidRPr="008B61A4" w:rsidRDefault="008B61A4" w:rsidP="008B61A4">
            <w:pPr>
              <w:spacing w:after="0" w:line="240" w:lineRule="auto"/>
              <w:jc w:val="center"/>
              <w:rPr>
                <w:rFonts w:eastAsia="Times New Roman" w:cs="Calibri"/>
                <w:b/>
                <w:bCs/>
                <w:color w:val="FFFFFF"/>
                <w:sz w:val="22"/>
                <w:lang w:val="en-US"/>
              </w:rPr>
            </w:pPr>
            <w:r w:rsidRPr="008B61A4">
              <w:rPr>
                <w:rFonts w:eastAsia="Times New Roman" w:cs="Calibri"/>
                <w:b/>
                <w:bCs/>
                <w:color w:val="FFFFFF"/>
                <w:sz w:val="22"/>
                <w:lang w:val="en-US"/>
              </w:rPr>
              <w:t>Descripción</w:t>
            </w:r>
          </w:p>
        </w:tc>
        <w:tc>
          <w:tcPr>
            <w:tcW w:w="1360" w:type="dxa"/>
            <w:vMerge w:val="restart"/>
            <w:tcBorders>
              <w:top w:val="single" w:sz="8" w:space="0" w:color="auto"/>
              <w:left w:val="single" w:sz="8" w:space="0" w:color="auto"/>
              <w:bottom w:val="nil"/>
              <w:right w:val="single" w:sz="8" w:space="0" w:color="auto"/>
            </w:tcBorders>
            <w:shd w:val="clear" w:color="000000" w:fill="203764"/>
            <w:noWrap/>
            <w:vAlign w:val="center"/>
            <w:hideMark/>
          </w:tcPr>
          <w:p w14:paraId="7543E16E" w14:textId="77777777" w:rsidR="008B61A4" w:rsidRPr="008B61A4" w:rsidRDefault="008B61A4" w:rsidP="008B61A4">
            <w:pPr>
              <w:spacing w:after="0" w:line="240" w:lineRule="auto"/>
              <w:jc w:val="center"/>
              <w:rPr>
                <w:rFonts w:eastAsia="Times New Roman" w:cs="Calibri"/>
                <w:color w:val="FFFFFF"/>
                <w:sz w:val="22"/>
                <w:lang w:val="en-US"/>
              </w:rPr>
            </w:pPr>
            <w:r w:rsidRPr="008B61A4">
              <w:rPr>
                <w:rFonts w:eastAsia="Times New Roman" w:cs="Calibri"/>
                <w:color w:val="FFFFFF"/>
                <w:sz w:val="22"/>
                <w:lang w:val="en-US"/>
              </w:rPr>
              <w:t>Saldo Actual</w:t>
            </w:r>
          </w:p>
        </w:tc>
        <w:tc>
          <w:tcPr>
            <w:tcW w:w="1357" w:type="dxa"/>
            <w:vMerge w:val="restart"/>
            <w:tcBorders>
              <w:top w:val="single" w:sz="8" w:space="0" w:color="auto"/>
              <w:left w:val="single" w:sz="8" w:space="0" w:color="auto"/>
              <w:bottom w:val="nil"/>
              <w:right w:val="single" w:sz="8" w:space="0" w:color="auto"/>
            </w:tcBorders>
            <w:shd w:val="clear" w:color="000000" w:fill="203764"/>
            <w:vAlign w:val="center"/>
            <w:hideMark/>
          </w:tcPr>
          <w:p w14:paraId="482C295A" w14:textId="77777777" w:rsidR="008B61A4" w:rsidRPr="008B61A4" w:rsidRDefault="008B61A4" w:rsidP="008B61A4">
            <w:pPr>
              <w:spacing w:after="0" w:line="240" w:lineRule="auto"/>
              <w:jc w:val="center"/>
              <w:rPr>
                <w:rFonts w:eastAsia="Times New Roman" w:cs="Calibri"/>
                <w:color w:val="FFFFFF"/>
                <w:sz w:val="22"/>
                <w:lang w:val="en-US"/>
              </w:rPr>
            </w:pPr>
            <w:r w:rsidRPr="008B61A4">
              <w:rPr>
                <w:rFonts w:eastAsia="Times New Roman" w:cs="Calibri"/>
                <w:color w:val="FFFFFF"/>
                <w:sz w:val="22"/>
                <w:lang w:val="en-US"/>
              </w:rPr>
              <w:t>Saldo Anterior</w:t>
            </w:r>
          </w:p>
        </w:tc>
        <w:tc>
          <w:tcPr>
            <w:tcW w:w="1217" w:type="dxa"/>
            <w:vMerge w:val="restart"/>
            <w:tcBorders>
              <w:top w:val="single" w:sz="8" w:space="0" w:color="auto"/>
              <w:left w:val="single" w:sz="8" w:space="0" w:color="auto"/>
              <w:bottom w:val="nil"/>
              <w:right w:val="single" w:sz="8" w:space="0" w:color="auto"/>
            </w:tcBorders>
            <w:shd w:val="clear" w:color="000000" w:fill="203764"/>
            <w:vAlign w:val="center"/>
            <w:hideMark/>
          </w:tcPr>
          <w:p w14:paraId="613B4D37" w14:textId="77777777" w:rsidR="008B61A4" w:rsidRPr="008B61A4" w:rsidRDefault="008B61A4" w:rsidP="008B61A4">
            <w:pPr>
              <w:spacing w:after="0" w:line="240" w:lineRule="auto"/>
              <w:jc w:val="center"/>
              <w:rPr>
                <w:rFonts w:eastAsia="Times New Roman" w:cs="Calibri"/>
                <w:color w:val="FFFFFF"/>
                <w:sz w:val="22"/>
                <w:lang w:val="en-US"/>
              </w:rPr>
            </w:pPr>
            <w:r w:rsidRPr="008B61A4">
              <w:rPr>
                <w:rFonts w:eastAsia="Times New Roman" w:cs="Calibri"/>
                <w:color w:val="FFFFFF"/>
                <w:sz w:val="22"/>
                <w:lang w:val="en-US"/>
              </w:rPr>
              <w:t>Diferencia Absoluta</w:t>
            </w:r>
          </w:p>
        </w:tc>
        <w:tc>
          <w:tcPr>
            <w:tcW w:w="1029" w:type="dxa"/>
            <w:vMerge w:val="restart"/>
            <w:tcBorders>
              <w:top w:val="single" w:sz="8" w:space="0" w:color="auto"/>
              <w:left w:val="single" w:sz="8" w:space="0" w:color="auto"/>
              <w:bottom w:val="nil"/>
              <w:right w:val="single" w:sz="8" w:space="0" w:color="auto"/>
            </w:tcBorders>
            <w:shd w:val="clear" w:color="000000" w:fill="203764"/>
            <w:vAlign w:val="center"/>
            <w:hideMark/>
          </w:tcPr>
          <w:p w14:paraId="3B0E29EC" w14:textId="77777777" w:rsidR="008B61A4" w:rsidRPr="008B61A4" w:rsidRDefault="008B61A4" w:rsidP="008B61A4">
            <w:pPr>
              <w:spacing w:after="0" w:line="240" w:lineRule="auto"/>
              <w:jc w:val="center"/>
              <w:rPr>
                <w:rFonts w:eastAsia="Times New Roman" w:cs="Calibri"/>
                <w:color w:val="FFFFFF"/>
                <w:sz w:val="22"/>
                <w:lang w:val="en-US"/>
              </w:rPr>
            </w:pPr>
            <w:r w:rsidRPr="008B61A4">
              <w:rPr>
                <w:rFonts w:eastAsia="Times New Roman" w:cs="Calibri"/>
                <w:color w:val="FFFFFF"/>
                <w:sz w:val="22"/>
                <w:lang w:val="en-US"/>
              </w:rPr>
              <w:t>Diferencia %</w:t>
            </w:r>
          </w:p>
        </w:tc>
      </w:tr>
      <w:tr w:rsidR="008B61A4" w:rsidRPr="008B61A4" w14:paraId="5BBBD481" w14:textId="77777777" w:rsidTr="008B61A4">
        <w:trPr>
          <w:trHeight w:val="300"/>
        </w:trPr>
        <w:tc>
          <w:tcPr>
            <w:tcW w:w="983" w:type="dxa"/>
            <w:vMerge/>
            <w:tcBorders>
              <w:top w:val="single" w:sz="8" w:space="0" w:color="auto"/>
              <w:left w:val="single" w:sz="8" w:space="0" w:color="auto"/>
              <w:bottom w:val="nil"/>
              <w:right w:val="single" w:sz="8" w:space="0" w:color="auto"/>
            </w:tcBorders>
            <w:vAlign w:val="center"/>
            <w:hideMark/>
          </w:tcPr>
          <w:p w14:paraId="0B1D5D22" w14:textId="77777777" w:rsidR="008B61A4" w:rsidRPr="008B61A4" w:rsidRDefault="008B61A4" w:rsidP="008B61A4">
            <w:pPr>
              <w:spacing w:after="0" w:line="240" w:lineRule="auto"/>
              <w:jc w:val="left"/>
              <w:rPr>
                <w:rFonts w:eastAsia="Times New Roman" w:cs="Calibri"/>
                <w:b/>
                <w:bCs/>
                <w:color w:val="FFFFFF"/>
                <w:sz w:val="22"/>
                <w:lang w:val="en-US"/>
              </w:rPr>
            </w:pPr>
          </w:p>
        </w:tc>
        <w:tc>
          <w:tcPr>
            <w:tcW w:w="2835" w:type="dxa"/>
            <w:vMerge/>
            <w:tcBorders>
              <w:top w:val="single" w:sz="8" w:space="0" w:color="auto"/>
              <w:left w:val="single" w:sz="8" w:space="0" w:color="auto"/>
              <w:bottom w:val="nil"/>
              <w:right w:val="single" w:sz="8" w:space="0" w:color="auto"/>
            </w:tcBorders>
            <w:vAlign w:val="center"/>
            <w:hideMark/>
          </w:tcPr>
          <w:p w14:paraId="008A93A2" w14:textId="77777777" w:rsidR="008B61A4" w:rsidRPr="008B61A4" w:rsidRDefault="008B61A4" w:rsidP="008B61A4">
            <w:pPr>
              <w:spacing w:after="0" w:line="240" w:lineRule="auto"/>
              <w:jc w:val="left"/>
              <w:rPr>
                <w:rFonts w:eastAsia="Times New Roman" w:cs="Calibri"/>
                <w:b/>
                <w:bCs/>
                <w:color w:val="FFFFFF"/>
                <w:sz w:val="22"/>
                <w:lang w:val="en-US"/>
              </w:rPr>
            </w:pPr>
          </w:p>
        </w:tc>
        <w:tc>
          <w:tcPr>
            <w:tcW w:w="1360" w:type="dxa"/>
            <w:vMerge/>
            <w:tcBorders>
              <w:top w:val="single" w:sz="8" w:space="0" w:color="auto"/>
              <w:left w:val="single" w:sz="8" w:space="0" w:color="auto"/>
              <w:bottom w:val="nil"/>
              <w:right w:val="single" w:sz="8" w:space="0" w:color="auto"/>
            </w:tcBorders>
            <w:vAlign w:val="center"/>
            <w:hideMark/>
          </w:tcPr>
          <w:p w14:paraId="5F4E5CC1" w14:textId="77777777" w:rsidR="008B61A4" w:rsidRPr="008B61A4" w:rsidRDefault="008B61A4" w:rsidP="008B61A4">
            <w:pPr>
              <w:spacing w:after="0" w:line="240" w:lineRule="auto"/>
              <w:jc w:val="left"/>
              <w:rPr>
                <w:rFonts w:eastAsia="Times New Roman" w:cs="Calibri"/>
                <w:color w:val="FFFFFF"/>
                <w:sz w:val="22"/>
                <w:lang w:val="en-US"/>
              </w:rPr>
            </w:pPr>
          </w:p>
        </w:tc>
        <w:tc>
          <w:tcPr>
            <w:tcW w:w="1357" w:type="dxa"/>
            <w:vMerge/>
            <w:tcBorders>
              <w:top w:val="single" w:sz="8" w:space="0" w:color="auto"/>
              <w:left w:val="single" w:sz="8" w:space="0" w:color="auto"/>
              <w:bottom w:val="nil"/>
              <w:right w:val="single" w:sz="8" w:space="0" w:color="auto"/>
            </w:tcBorders>
            <w:vAlign w:val="center"/>
            <w:hideMark/>
          </w:tcPr>
          <w:p w14:paraId="5C494D13" w14:textId="77777777" w:rsidR="008B61A4" w:rsidRPr="008B61A4" w:rsidRDefault="008B61A4" w:rsidP="008B61A4">
            <w:pPr>
              <w:spacing w:after="0" w:line="240" w:lineRule="auto"/>
              <w:jc w:val="left"/>
              <w:rPr>
                <w:rFonts w:eastAsia="Times New Roman" w:cs="Calibri"/>
                <w:color w:val="FFFFFF"/>
                <w:sz w:val="22"/>
                <w:lang w:val="en-US"/>
              </w:rPr>
            </w:pPr>
          </w:p>
        </w:tc>
        <w:tc>
          <w:tcPr>
            <w:tcW w:w="1217" w:type="dxa"/>
            <w:vMerge/>
            <w:tcBorders>
              <w:top w:val="single" w:sz="8" w:space="0" w:color="auto"/>
              <w:left w:val="single" w:sz="8" w:space="0" w:color="auto"/>
              <w:bottom w:val="nil"/>
              <w:right w:val="single" w:sz="8" w:space="0" w:color="auto"/>
            </w:tcBorders>
            <w:vAlign w:val="center"/>
            <w:hideMark/>
          </w:tcPr>
          <w:p w14:paraId="031ECBF7" w14:textId="77777777" w:rsidR="008B61A4" w:rsidRPr="008B61A4" w:rsidRDefault="008B61A4" w:rsidP="008B61A4">
            <w:pPr>
              <w:spacing w:after="0" w:line="240" w:lineRule="auto"/>
              <w:jc w:val="left"/>
              <w:rPr>
                <w:rFonts w:eastAsia="Times New Roman" w:cs="Calibri"/>
                <w:color w:val="FFFFFF"/>
                <w:sz w:val="22"/>
                <w:lang w:val="en-US"/>
              </w:rPr>
            </w:pPr>
          </w:p>
        </w:tc>
        <w:tc>
          <w:tcPr>
            <w:tcW w:w="1029" w:type="dxa"/>
            <w:vMerge/>
            <w:tcBorders>
              <w:top w:val="single" w:sz="8" w:space="0" w:color="auto"/>
              <w:left w:val="single" w:sz="8" w:space="0" w:color="auto"/>
              <w:bottom w:val="nil"/>
              <w:right w:val="single" w:sz="8" w:space="0" w:color="auto"/>
            </w:tcBorders>
            <w:vAlign w:val="center"/>
            <w:hideMark/>
          </w:tcPr>
          <w:p w14:paraId="4F837216" w14:textId="77777777" w:rsidR="008B61A4" w:rsidRPr="008B61A4" w:rsidRDefault="008B61A4" w:rsidP="008B61A4">
            <w:pPr>
              <w:spacing w:after="0" w:line="240" w:lineRule="auto"/>
              <w:jc w:val="left"/>
              <w:rPr>
                <w:rFonts w:eastAsia="Times New Roman" w:cs="Calibri"/>
                <w:color w:val="FFFFFF"/>
                <w:sz w:val="22"/>
                <w:lang w:val="en-US"/>
              </w:rPr>
            </w:pPr>
          </w:p>
        </w:tc>
        <w:tc>
          <w:tcPr>
            <w:tcW w:w="222" w:type="dxa"/>
            <w:tcBorders>
              <w:top w:val="nil"/>
              <w:left w:val="nil"/>
              <w:bottom w:val="nil"/>
              <w:right w:val="nil"/>
            </w:tcBorders>
            <w:shd w:val="clear" w:color="auto" w:fill="auto"/>
            <w:noWrap/>
            <w:vAlign w:val="bottom"/>
            <w:hideMark/>
          </w:tcPr>
          <w:p w14:paraId="00BC880C" w14:textId="77777777" w:rsidR="008B61A4" w:rsidRPr="008B61A4" w:rsidRDefault="008B61A4" w:rsidP="008B61A4">
            <w:pPr>
              <w:spacing w:after="0" w:line="240" w:lineRule="auto"/>
              <w:jc w:val="center"/>
              <w:rPr>
                <w:rFonts w:eastAsia="Times New Roman" w:cs="Calibri"/>
                <w:color w:val="FFFFFF"/>
                <w:sz w:val="22"/>
                <w:lang w:val="en-US"/>
              </w:rPr>
            </w:pPr>
          </w:p>
        </w:tc>
      </w:tr>
      <w:tr w:rsidR="008B61A4" w:rsidRPr="008B61A4" w14:paraId="300161CE" w14:textId="77777777" w:rsidTr="008B61A4">
        <w:trPr>
          <w:trHeight w:val="290"/>
        </w:trPr>
        <w:tc>
          <w:tcPr>
            <w:tcW w:w="983" w:type="dxa"/>
            <w:tcBorders>
              <w:top w:val="single" w:sz="8" w:space="0" w:color="auto"/>
              <w:left w:val="single" w:sz="8" w:space="0" w:color="auto"/>
              <w:bottom w:val="nil"/>
              <w:right w:val="single" w:sz="8" w:space="0" w:color="auto"/>
            </w:tcBorders>
            <w:shd w:val="clear" w:color="auto" w:fill="auto"/>
            <w:noWrap/>
            <w:vAlign w:val="center"/>
            <w:hideMark/>
          </w:tcPr>
          <w:p w14:paraId="4FD42FC8" w14:textId="77777777" w:rsidR="008B61A4" w:rsidRPr="008B61A4" w:rsidRDefault="008B61A4" w:rsidP="008B61A4">
            <w:pPr>
              <w:spacing w:after="0" w:line="240" w:lineRule="auto"/>
              <w:jc w:val="center"/>
              <w:rPr>
                <w:rFonts w:eastAsia="Times New Roman" w:cs="Calibri"/>
                <w:color w:val="000000"/>
                <w:sz w:val="20"/>
                <w:szCs w:val="20"/>
                <w:lang w:val="en-US"/>
              </w:rPr>
            </w:pPr>
            <w:r w:rsidRPr="008B61A4">
              <w:rPr>
                <w:rFonts w:eastAsia="Times New Roman" w:cs="Calibri"/>
                <w:color w:val="000000"/>
                <w:sz w:val="20"/>
                <w:szCs w:val="20"/>
                <w:lang w:val="en-US"/>
              </w:rPr>
              <w:t>5.1.2.01.</w:t>
            </w:r>
          </w:p>
        </w:tc>
        <w:tc>
          <w:tcPr>
            <w:tcW w:w="2835" w:type="dxa"/>
            <w:tcBorders>
              <w:top w:val="single" w:sz="8" w:space="0" w:color="auto"/>
              <w:left w:val="nil"/>
              <w:bottom w:val="nil"/>
              <w:right w:val="single" w:sz="8" w:space="0" w:color="auto"/>
            </w:tcBorders>
            <w:shd w:val="clear" w:color="auto" w:fill="auto"/>
            <w:vAlign w:val="center"/>
            <w:hideMark/>
          </w:tcPr>
          <w:p w14:paraId="1A39E593" w14:textId="77777777" w:rsidR="008B61A4" w:rsidRPr="008B61A4" w:rsidRDefault="008B61A4" w:rsidP="008B61A4">
            <w:pPr>
              <w:spacing w:after="0" w:line="240" w:lineRule="auto"/>
              <w:jc w:val="left"/>
              <w:rPr>
                <w:rFonts w:eastAsia="Times New Roman" w:cs="Calibri"/>
                <w:color w:val="000000"/>
                <w:sz w:val="20"/>
                <w:szCs w:val="20"/>
              </w:rPr>
            </w:pPr>
            <w:r w:rsidRPr="008B61A4">
              <w:rPr>
                <w:rFonts w:eastAsia="Times New Roman" w:cs="Calibri"/>
                <w:color w:val="000000"/>
                <w:sz w:val="20"/>
                <w:szCs w:val="20"/>
              </w:rPr>
              <w:t>Alquileres y derechos sobre bienes</w:t>
            </w:r>
          </w:p>
        </w:tc>
        <w:tc>
          <w:tcPr>
            <w:tcW w:w="1360" w:type="dxa"/>
            <w:tcBorders>
              <w:top w:val="single" w:sz="8" w:space="0" w:color="auto"/>
              <w:left w:val="nil"/>
              <w:bottom w:val="nil"/>
              <w:right w:val="single" w:sz="8" w:space="0" w:color="auto"/>
            </w:tcBorders>
            <w:shd w:val="clear" w:color="auto" w:fill="auto"/>
            <w:noWrap/>
            <w:vAlign w:val="center"/>
            <w:hideMark/>
          </w:tcPr>
          <w:p w14:paraId="3A28EAAE" w14:textId="77777777" w:rsidR="008B61A4" w:rsidRPr="008B61A4" w:rsidRDefault="008B61A4" w:rsidP="008B61A4">
            <w:pPr>
              <w:spacing w:after="0" w:line="240" w:lineRule="auto"/>
              <w:jc w:val="right"/>
              <w:rPr>
                <w:rFonts w:eastAsia="Times New Roman" w:cs="Calibri"/>
                <w:color w:val="000000"/>
                <w:sz w:val="20"/>
                <w:szCs w:val="20"/>
                <w:lang w:val="en-US"/>
              </w:rPr>
            </w:pPr>
            <w:r w:rsidRPr="008B61A4">
              <w:rPr>
                <w:rFonts w:ascii="Arial" w:eastAsia="Times New Roman" w:hAnsi="Arial" w:cs="Arial"/>
                <w:color w:val="000000"/>
                <w:sz w:val="20"/>
                <w:szCs w:val="20"/>
                <w:lang w:val="en-US"/>
              </w:rPr>
              <w:t>₡</w:t>
            </w:r>
            <w:r w:rsidRPr="008B61A4">
              <w:rPr>
                <w:rFonts w:eastAsia="Times New Roman" w:cs="Calibri"/>
                <w:color w:val="000000"/>
                <w:sz w:val="20"/>
                <w:szCs w:val="20"/>
                <w:lang w:val="en-US"/>
              </w:rPr>
              <w:t>79 312,64</w:t>
            </w:r>
          </w:p>
        </w:tc>
        <w:tc>
          <w:tcPr>
            <w:tcW w:w="1357" w:type="dxa"/>
            <w:tcBorders>
              <w:top w:val="single" w:sz="8" w:space="0" w:color="auto"/>
              <w:left w:val="nil"/>
              <w:bottom w:val="nil"/>
              <w:right w:val="single" w:sz="8" w:space="0" w:color="auto"/>
            </w:tcBorders>
            <w:shd w:val="clear" w:color="auto" w:fill="auto"/>
            <w:noWrap/>
            <w:vAlign w:val="center"/>
            <w:hideMark/>
          </w:tcPr>
          <w:p w14:paraId="4EBFEA7B" w14:textId="77777777" w:rsidR="008B61A4" w:rsidRPr="008B61A4" w:rsidRDefault="008B61A4" w:rsidP="008B61A4">
            <w:pPr>
              <w:spacing w:after="0" w:line="240" w:lineRule="auto"/>
              <w:jc w:val="right"/>
              <w:rPr>
                <w:rFonts w:eastAsia="Times New Roman" w:cs="Calibri"/>
                <w:color w:val="000000"/>
                <w:sz w:val="20"/>
                <w:szCs w:val="20"/>
                <w:lang w:val="en-US"/>
              </w:rPr>
            </w:pPr>
            <w:r w:rsidRPr="008B61A4">
              <w:rPr>
                <w:rFonts w:ascii="Arial" w:eastAsia="Times New Roman" w:hAnsi="Arial" w:cs="Arial"/>
                <w:color w:val="000000"/>
                <w:sz w:val="20"/>
                <w:szCs w:val="20"/>
                <w:lang w:val="en-US"/>
              </w:rPr>
              <w:t>₡</w:t>
            </w:r>
            <w:r w:rsidRPr="008B61A4">
              <w:rPr>
                <w:rFonts w:eastAsia="Times New Roman" w:cs="Calibri"/>
                <w:color w:val="000000"/>
                <w:sz w:val="20"/>
                <w:szCs w:val="20"/>
                <w:lang w:val="en-US"/>
              </w:rPr>
              <w:t>107 134,45</w:t>
            </w:r>
          </w:p>
        </w:tc>
        <w:tc>
          <w:tcPr>
            <w:tcW w:w="1217" w:type="dxa"/>
            <w:tcBorders>
              <w:top w:val="nil"/>
              <w:left w:val="nil"/>
              <w:bottom w:val="nil"/>
              <w:right w:val="single" w:sz="8" w:space="0" w:color="auto"/>
            </w:tcBorders>
            <w:shd w:val="clear" w:color="000000" w:fill="FFFFFF"/>
            <w:noWrap/>
            <w:vAlign w:val="bottom"/>
            <w:hideMark/>
          </w:tcPr>
          <w:p w14:paraId="33933F49" w14:textId="77777777" w:rsidR="008B61A4" w:rsidRPr="008B61A4" w:rsidRDefault="008B61A4" w:rsidP="008B61A4">
            <w:pPr>
              <w:spacing w:after="0" w:line="240" w:lineRule="auto"/>
              <w:jc w:val="right"/>
              <w:rPr>
                <w:rFonts w:eastAsia="Times New Roman" w:cs="Calibri"/>
                <w:color w:val="000000"/>
                <w:sz w:val="20"/>
                <w:szCs w:val="20"/>
                <w:lang w:val="en-US"/>
              </w:rPr>
            </w:pPr>
            <w:r w:rsidRPr="008B61A4">
              <w:rPr>
                <w:rFonts w:eastAsia="Times New Roman" w:cs="Calibri"/>
                <w:color w:val="000000"/>
                <w:sz w:val="20"/>
                <w:szCs w:val="20"/>
                <w:lang w:val="en-US"/>
              </w:rPr>
              <w:t>-</w:t>
            </w:r>
            <w:r w:rsidRPr="008B61A4">
              <w:rPr>
                <w:rFonts w:ascii="Arial" w:eastAsia="Times New Roman" w:hAnsi="Arial" w:cs="Arial"/>
                <w:color w:val="000000"/>
                <w:sz w:val="20"/>
                <w:szCs w:val="20"/>
                <w:lang w:val="en-US"/>
              </w:rPr>
              <w:t>₡</w:t>
            </w:r>
            <w:r w:rsidRPr="008B61A4">
              <w:rPr>
                <w:rFonts w:eastAsia="Times New Roman" w:cs="Calibri"/>
                <w:color w:val="000000"/>
                <w:sz w:val="20"/>
                <w:szCs w:val="20"/>
                <w:lang w:val="en-US"/>
              </w:rPr>
              <w:t>27 821,81</w:t>
            </w:r>
          </w:p>
        </w:tc>
        <w:tc>
          <w:tcPr>
            <w:tcW w:w="1029" w:type="dxa"/>
            <w:tcBorders>
              <w:top w:val="single" w:sz="8" w:space="0" w:color="auto"/>
              <w:left w:val="nil"/>
              <w:bottom w:val="nil"/>
              <w:right w:val="single" w:sz="8" w:space="0" w:color="auto"/>
            </w:tcBorders>
            <w:shd w:val="clear" w:color="auto" w:fill="auto"/>
            <w:vAlign w:val="center"/>
            <w:hideMark/>
          </w:tcPr>
          <w:p w14:paraId="32EF9BC0" w14:textId="77777777" w:rsidR="008B61A4" w:rsidRPr="008B61A4" w:rsidRDefault="008B61A4" w:rsidP="008B61A4">
            <w:pPr>
              <w:spacing w:after="0" w:line="240" w:lineRule="auto"/>
              <w:jc w:val="center"/>
              <w:rPr>
                <w:rFonts w:eastAsia="Times New Roman" w:cs="Calibri"/>
                <w:color w:val="000000"/>
                <w:sz w:val="20"/>
                <w:szCs w:val="20"/>
                <w:lang w:val="en-US"/>
              </w:rPr>
            </w:pPr>
            <w:r w:rsidRPr="008B61A4">
              <w:rPr>
                <w:rFonts w:eastAsia="Times New Roman" w:cs="Calibri"/>
                <w:color w:val="000000"/>
                <w:sz w:val="20"/>
                <w:szCs w:val="20"/>
                <w:lang w:val="en-US"/>
              </w:rPr>
              <w:t>-25,97%</w:t>
            </w:r>
          </w:p>
        </w:tc>
        <w:tc>
          <w:tcPr>
            <w:tcW w:w="222" w:type="dxa"/>
            <w:vAlign w:val="center"/>
            <w:hideMark/>
          </w:tcPr>
          <w:p w14:paraId="2D36F27D" w14:textId="77777777" w:rsidR="008B61A4" w:rsidRPr="008B61A4" w:rsidRDefault="008B61A4" w:rsidP="008B61A4">
            <w:pPr>
              <w:spacing w:after="0" w:line="240" w:lineRule="auto"/>
              <w:jc w:val="left"/>
              <w:rPr>
                <w:rFonts w:ascii="Times New Roman" w:eastAsia="Times New Roman" w:hAnsi="Times New Roman" w:cs="Times New Roman"/>
                <w:sz w:val="20"/>
                <w:szCs w:val="20"/>
                <w:lang w:val="en-US"/>
              </w:rPr>
            </w:pPr>
          </w:p>
        </w:tc>
      </w:tr>
      <w:tr w:rsidR="008B61A4" w:rsidRPr="008B61A4" w14:paraId="78FD1097" w14:textId="77777777" w:rsidTr="008B61A4">
        <w:trPr>
          <w:trHeight w:val="290"/>
        </w:trPr>
        <w:tc>
          <w:tcPr>
            <w:tcW w:w="983" w:type="dxa"/>
            <w:tcBorders>
              <w:top w:val="nil"/>
              <w:left w:val="single" w:sz="8" w:space="0" w:color="auto"/>
              <w:bottom w:val="nil"/>
              <w:right w:val="single" w:sz="8" w:space="0" w:color="auto"/>
            </w:tcBorders>
            <w:shd w:val="clear" w:color="auto" w:fill="auto"/>
            <w:noWrap/>
            <w:vAlign w:val="center"/>
            <w:hideMark/>
          </w:tcPr>
          <w:p w14:paraId="4011DEBF" w14:textId="77777777" w:rsidR="008B61A4" w:rsidRPr="008B61A4" w:rsidRDefault="008B61A4" w:rsidP="008B61A4">
            <w:pPr>
              <w:spacing w:after="0" w:line="240" w:lineRule="auto"/>
              <w:jc w:val="center"/>
              <w:rPr>
                <w:rFonts w:eastAsia="Times New Roman" w:cs="Calibri"/>
                <w:color w:val="000000"/>
                <w:sz w:val="20"/>
                <w:szCs w:val="20"/>
                <w:lang w:val="en-US"/>
              </w:rPr>
            </w:pPr>
            <w:r w:rsidRPr="008B61A4">
              <w:rPr>
                <w:rFonts w:eastAsia="Times New Roman" w:cs="Calibri"/>
                <w:color w:val="000000"/>
                <w:sz w:val="20"/>
                <w:szCs w:val="20"/>
                <w:lang w:val="en-US"/>
              </w:rPr>
              <w:t>5.1.2.02.</w:t>
            </w:r>
          </w:p>
        </w:tc>
        <w:tc>
          <w:tcPr>
            <w:tcW w:w="2835" w:type="dxa"/>
            <w:tcBorders>
              <w:top w:val="nil"/>
              <w:left w:val="nil"/>
              <w:bottom w:val="nil"/>
              <w:right w:val="single" w:sz="8" w:space="0" w:color="auto"/>
            </w:tcBorders>
            <w:shd w:val="clear" w:color="000000" w:fill="FFFFFF"/>
            <w:noWrap/>
            <w:vAlign w:val="bottom"/>
            <w:hideMark/>
          </w:tcPr>
          <w:p w14:paraId="089B2719" w14:textId="77777777" w:rsidR="008B61A4" w:rsidRPr="008B61A4" w:rsidRDefault="008B61A4" w:rsidP="008B61A4">
            <w:pPr>
              <w:spacing w:after="0" w:line="240" w:lineRule="auto"/>
              <w:jc w:val="left"/>
              <w:rPr>
                <w:rFonts w:eastAsia="Times New Roman" w:cs="Calibri"/>
                <w:color w:val="000000"/>
                <w:sz w:val="20"/>
                <w:szCs w:val="20"/>
                <w:lang w:val="en-US"/>
              </w:rPr>
            </w:pPr>
            <w:r w:rsidRPr="008B61A4">
              <w:rPr>
                <w:rFonts w:eastAsia="Times New Roman" w:cs="Calibri"/>
                <w:color w:val="000000"/>
                <w:sz w:val="20"/>
                <w:szCs w:val="20"/>
                <w:lang w:val="en-US"/>
              </w:rPr>
              <w:t>Servicios básicos</w:t>
            </w:r>
          </w:p>
        </w:tc>
        <w:tc>
          <w:tcPr>
            <w:tcW w:w="1360" w:type="dxa"/>
            <w:tcBorders>
              <w:top w:val="nil"/>
              <w:left w:val="nil"/>
              <w:bottom w:val="nil"/>
              <w:right w:val="single" w:sz="8" w:space="0" w:color="auto"/>
            </w:tcBorders>
            <w:shd w:val="clear" w:color="000000" w:fill="FFFFFF"/>
            <w:noWrap/>
            <w:vAlign w:val="bottom"/>
            <w:hideMark/>
          </w:tcPr>
          <w:p w14:paraId="4337982A" w14:textId="77777777" w:rsidR="008B61A4" w:rsidRPr="008B61A4" w:rsidRDefault="008B61A4" w:rsidP="008B61A4">
            <w:pPr>
              <w:spacing w:after="0" w:line="240" w:lineRule="auto"/>
              <w:jc w:val="right"/>
              <w:rPr>
                <w:rFonts w:eastAsia="Times New Roman" w:cs="Calibri"/>
                <w:color w:val="000000"/>
                <w:sz w:val="20"/>
                <w:szCs w:val="20"/>
                <w:lang w:val="en-US"/>
              </w:rPr>
            </w:pPr>
            <w:r w:rsidRPr="008B61A4">
              <w:rPr>
                <w:rFonts w:eastAsia="Times New Roman" w:cs="Calibri"/>
                <w:color w:val="000000"/>
                <w:sz w:val="20"/>
                <w:szCs w:val="20"/>
                <w:lang w:val="en-US"/>
              </w:rPr>
              <w:t>66 859,51</w:t>
            </w:r>
          </w:p>
        </w:tc>
        <w:tc>
          <w:tcPr>
            <w:tcW w:w="1357" w:type="dxa"/>
            <w:tcBorders>
              <w:top w:val="nil"/>
              <w:left w:val="nil"/>
              <w:bottom w:val="nil"/>
              <w:right w:val="single" w:sz="8" w:space="0" w:color="auto"/>
            </w:tcBorders>
            <w:shd w:val="clear" w:color="000000" w:fill="FFFFFF"/>
            <w:noWrap/>
            <w:vAlign w:val="bottom"/>
            <w:hideMark/>
          </w:tcPr>
          <w:p w14:paraId="46D551EF" w14:textId="77777777" w:rsidR="008B61A4" w:rsidRPr="008B61A4" w:rsidRDefault="008B61A4" w:rsidP="008B61A4">
            <w:pPr>
              <w:spacing w:after="0" w:line="240" w:lineRule="auto"/>
              <w:jc w:val="right"/>
              <w:rPr>
                <w:rFonts w:eastAsia="Times New Roman" w:cs="Calibri"/>
                <w:color w:val="000000"/>
                <w:sz w:val="20"/>
                <w:szCs w:val="20"/>
                <w:lang w:val="en-US"/>
              </w:rPr>
            </w:pPr>
            <w:r w:rsidRPr="008B61A4">
              <w:rPr>
                <w:rFonts w:eastAsia="Times New Roman" w:cs="Calibri"/>
                <w:color w:val="000000"/>
                <w:sz w:val="20"/>
                <w:szCs w:val="20"/>
                <w:lang w:val="en-US"/>
              </w:rPr>
              <w:t>59 675,49</w:t>
            </w:r>
          </w:p>
        </w:tc>
        <w:tc>
          <w:tcPr>
            <w:tcW w:w="1217" w:type="dxa"/>
            <w:tcBorders>
              <w:top w:val="nil"/>
              <w:left w:val="nil"/>
              <w:bottom w:val="nil"/>
              <w:right w:val="single" w:sz="8" w:space="0" w:color="auto"/>
            </w:tcBorders>
            <w:shd w:val="clear" w:color="000000" w:fill="FFFFFF"/>
            <w:noWrap/>
            <w:vAlign w:val="bottom"/>
            <w:hideMark/>
          </w:tcPr>
          <w:p w14:paraId="00B50D07" w14:textId="77777777" w:rsidR="008B61A4" w:rsidRPr="008B61A4" w:rsidRDefault="008B61A4" w:rsidP="008B61A4">
            <w:pPr>
              <w:spacing w:after="0" w:line="240" w:lineRule="auto"/>
              <w:jc w:val="right"/>
              <w:rPr>
                <w:rFonts w:eastAsia="Times New Roman" w:cs="Calibri"/>
                <w:color w:val="000000"/>
                <w:sz w:val="20"/>
                <w:szCs w:val="20"/>
                <w:lang w:val="en-US"/>
              </w:rPr>
            </w:pPr>
            <w:r w:rsidRPr="008B61A4">
              <w:rPr>
                <w:rFonts w:eastAsia="Times New Roman" w:cs="Calibri"/>
                <w:color w:val="000000"/>
                <w:sz w:val="20"/>
                <w:szCs w:val="20"/>
                <w:lang w:val="en-US"/>
              </w:rPr>
              <w:t>7 184,02</w:t>
            </w:r>
          </w:p>
        </w:tc>
        <w:tc>
          <w:tcPr>
            <w:tcW w:w="1029" w:type="dxa"/>
            <w:tcBorders>
              <w:top w:val="nil"/>
              <w:left w:val="nil"/>
              <w:bottom w:val="nil"/>
              <w:right w:val="single" w:sz="8" w:space="0" w:color="auto"/>
            </w:tcBorders>
            <w:shd w:val="clear" w:color="auto" w:fill="auto"/>
            <w:vAlign w:val="center"/>
            <w:hideMark/>
          </w:tcPr>
          <w:p w14:paraId="3CC178CB" w14:textId="77777777" w:rsidR="008B61A4" w:rsidRPr="008B61A4" w:rsidRDefault="008B61A4" w:rsidP="008B61A4">
            <w:pPr>
              <w:spacing w:after="0" w:line="240" w:lineRule="auto"/>
              <w:jc w:val="center"/>
              <w:rPr>
                <w:rFonts w:eastAsia="Times New Roman" w:cs="Calibri"/>
                <w:color w:val="000000"/>
                <w:sz w:val="20"/>
                <w:szCs w:val="20"/>
                <w:lang w:val="en-US"/>
              </w:rPr>
            </w:pPr>
            <w:r w:rsidRPr="008B61A4">
              <w:rPr>
                <w:rFonts w:eastAsia="Times New Roman" w:cs="Calibri"/>
                <w:color w:val="000000"/>
                <w:sz w:val="20"/>
                <w:szCs w:val="20"/>
                <w:lang w:val="en-US"/>
              </w:rPr>
              <w:t>12,04%</w:t>
            </w:r>
          </w:p>
        </w:tc>
        <w:tc>
          <w:tcPr>
            <w:tcW w:w="222" w:type="dxa"/>
            <w:vAlign w:val="center"/>
            <w:hideMark/>
          </w:tcPr>
          <w:p w14:paraId="6543E6E0" w14:textId="77777777" w:rsidR="008B61A4" w:rsidRPr="008B61A4" w:rsidRDefault="008B61A4" w:rsidP="008B61A4">
            <w:pPr>
              <w:spacing w:after="0" w:line="240" w:lineRule="auto"/>
              <w:jc w:val="left"/>
              <w:rPr>
                <w:rFonts w:ascii="Times New Roman" w:eastAsia="Times New Roman" w:hAnsi="Times New Roman" w:cs="Times New Roman"/>
                <w:sz w:val="20"/>
                <w:szCs w:val="20"/>
                <w:lang w:val="en-US"/>
              </w:rPr>
            </w:pPr>
          </w:p>
        </w:tc>
      </w:tr>
      <w:tr w:rsidR="008B61A4" w:rsidRPr="008B61A4" w14:paraId="64866844" w14:textId="77777777" w:rsidTr="008B61A4">
        <w:trPr>
          <w:trHeight w:val="290"/>
        </w:trPr>
        <w:tc>
          <w:tcPr>
            <w:tcW w:w="983" w:type="dxa"/>
            <w:tcBorders>
              <w:top w:val="nil"/>
              <w:left w:val="single" w:sz="8" w:space="0" w:color="auto"/>
              <w:bottom w:val="nil"/>
              <w:right w:val="single" w:sz="8" w:space="0" w:color="auto"/>
            </w:tcBorders>
            <w:shd w:val="clear" w:color="auto" w:fill="auto"/>
            <w:noWrap/>
            <w:vAlign w:val="center"/>
            <w:hideMark/>
          </w:tcPr>
          <w:p w14:paraId="1F725C4E" w14:textId="77777777" w:rsidR="008B61A4" w:rsidRPr="008B61A4" w:rsidRDefault="008B61A4" w:rsidP="008B61A4">
            <w:pPr>
              <w:spacing w:after="0" w:line="240" w:lineRule="auto"/>
              <w:jc w:val="center"/>
              <w:rPr>
                <w:rFonts w:eastAsia="Times New Roman" w:cs="Calibri"/>
                <w:color w:val="000000"/>
                <w:sz w:val="20"/>
                <w:szCs w:val="20"/>
                <w:lang w:val="en-US"/>
              </w:rPr>
            </w:pPr>
            <w:r w:rsidRPr="008B61A4">
              <w:rPr>
                <w:rFonts w:eastAsia="Times New Roman" w:cs="Calibri"/>
                <w:color w:val="000000"/>
                <w:sz w:val="20"/>
                <w:szCs w:val="20"/>
                <w:lang w:val="en-US"/>
              </w:rPr>
              <w:t>5.1.2.03.</w:t>
            </w:r>
          </w:p>
        </w:tc>
        <w:tc>
          <w:tcPr>
            <w:tcW w:w="2835" w:type="dxa"/>
            <w:tcBorders>
              <w:top w:val="nil"/>
              <w:left w:val="nil"/>
              <w:bottom w:val="nil"/>
              <w:right w:val="single" w:sz="8" w:space="0" w:color="auto"/>
            </w:tcBorders>
            <w:shd w:val="clear" w:color="auto" w:fill="auto"/>
            <w:vAlign w:val="center"/>
            <w:hideMark/>
          </w:tcPr>
          <w:p w14:paraId="014BE219" w14:textId="77777777" w:rsidR="008B61A4" w:rsidRPr="008B61A4" w:rsidRDefault="008B61A4" w:rsidP="008B61A4">
            <w:pPr>
              <w:spacing w:after="0" w:line="240" w:lineRule="auto"/>
              <w:jc w:val="left"/>
              <w:rPr>
                <w:rFonts w:eastAsia="Times New Roman" w:cs="Calibri"/>
                <w:color w:val="000000"/>
                <w:sz w:val="20"/>
                <w:szCs w:val="20"/>
                <w:lang w:val="en-US"/>
              </w:rPr>
            </w:pPr>
            <w:r w:rsidRPr="008B61A4">
              <w:rPr>
                <w:rFonts w:eastAsia="Times New Roman" w:cs="Calibri"/>
                <w:color w:val="000000"/>
                <w:sz w:val="20"/>
                <w:szCs w:val="20"/>
                <w:lang w:val="en-US"/>
              </w:rPr>
              <w:t>Servicios comerciales y financieros</w:t>
            </w:r>
          </w:p>
        </w:tc>
        <w:tc>
          <w:tcPr>
            <w:tcW w:w="1360" w:type="dxa"/>
            <w:tcBorders>
              <w:top w:val="nil"/>
              <w:left w:val="nil"/>
              <w:bottom w:val="nil"/>
              <w:right w:val="single" w:sz="8" w:space="0" w:color="auto"/>
            </w:tcBorders>
            <w:shd w:val="clear" w:color="000000" w:fill="FFFFFF"/>
            <w:noWrap/>
            <w:vAlign w:val="bottom"/>
            <w:hideMark/>
          </w:tcPr>
          <w:p w14:paraId="572D90AE" w14:textId="77777777" w:rsidR="008B61A4" w:rsidRPr="008B61A4" w:rsidRDefault="008B61A4" w:rsidP="008B61A4">
            <w:pPr>
              <w:spacing w:after="0" w:line="240" w:lineRule="auto"/>
              <w:jc w:val="right"/>
              <w:rPr>
                <w:rFonts w:eastAsia="Times New Roman" w:cs="Calibri"/>
                <w:color w:val="000000"/>
                <w:sz w:val="20"/>
                <w:szCs w:val="20"/>
                <w:lang w:val="en-US"/>
              </w:rPr>
            </w:pPr>
            <w:r w:rsidRPr="008B61A4">
              <w:rPr>
                <w:rFonts w:eastAsia="Times New Roman" w:cs="Calibri"/>
                <w:color w:val="000000"/>
                <w:sz w:val="20"/>
                <w:szCs w:val="20"/>
                <w:lang w:val="en-US"/>
              </w:rPr>
              <w:t>15 484,72</w:t>
            </w:r>
          </w:p>
        </w:tc>
        <w:tc>
          <w:tcPr>
            <w:tcW w:w="1357" w:type="dxa"/>
            <w:tcBorders>
              <w:top w:val="nil"/>
              <w:left w:val="nil"/>
              <w:bottom w:val="nil"/>
              <w:right w:val="single" w:sz="8" w:space="0" w:color="auto"/>
            </w:tcBorders>
            <w:shd w:val="clear" w:color="000000" w:fill="FFFFFF"/>
            <w:noWrap/>
            <w:vAlign w:val="bottom"/>
            <w:hideMark/>
          </w:tcPr>
          <w:p w14:paraId="0A143483" w14:textId="77777777" w:rsidR="008B61A4" w:rsidRPr="008B61A4" w:rsidRDefault="008B61A4" w:rsidP="008B61A4">
            <w:pPr>
              <w:spacing w:after="0" w:line="240" w:lineRule="auto"/>
              <w:jc w:val="right"/>
              <w:rPr>
                <w:rFonts w:eastAsia="Times New Roman" w:cs="Calibri"/>
                <w:color w:val="000000"/>
                <w:sz w:val="20"/>
                <w:szCs w:val="20"/>
                <w:lang w:val="en-US"/>
              </w:rPr>
            </w:pPr>
            <w:r w:rsidRPr="008B61A4">
              <w:rPr>
                <w:rFonts w:eastAsia="Times New Roman" w:cs="Calibri"/>
                <w:color w:val="000000"/>
                <w:sz w:val="20"/>
                <w:szCs w:val="20"/>
                <w:lang w:val="en-US"/>
              </w:rPr>
              <w:t>19 406,19</w:t>
            </w:r>
          </w:p>
        </w:tc>
        <w:tc>
          <w:tcPr>
            <w:tcW w:w="1217" w:type="dxa"/>
            <w:tcBorders>
              <w:top w:val="nil"/>
              <w:left w:val="nil"/>
              <w:bottom w:val="nil"/>
              <w:right w:val="single" w:sz="8" w:space="0" w:color="auto"/>
            </w:tcBorders>
            <w:shd w:val="clear" w:color="000000" w:fill="FFFFFF"/>
            <w:noWrap/>
            <w:vAlign w:val="bottom"/>
            <w:hideMark/>
          </w:tcPr>
          <w:p w14:paraId="442F479A" w14:textId="77777777" w:rsidR="008B61A4" w:rsidRPr="008B61A4" w:rsidRDefault="008B61A4" w:rsidP="008B61A4">
            <w:pPr>
              <w:spacing w:after="0" w:line="240" w:lineRule="auto"/>
              <w:jc w:val="right"/>
              <w:rPr>
                <w:rFonts w:eastAsia="Times New Roman" w:cs="Calibri"/>
                <w:color w:val="000000"/>
                <w:sz w:val="20"/>
                <w:szCs w:val="20"/>
                <w:lang w:val="en-US"/>
              </w:rPr>
            </w:pPr>
            <w:r w:rsidRPr="008B61A4">
              <w:rPr>
                <w:rFonts w:eastAsia="Times New Roman" w:cs="Calibri"/>
                <w:color w:val="000000"/>
                <w:sz w:val="20"/>
                <w:szCs w:val="20"/>
                <w:lang w:val="en-US"/>
              </w:rPr>
              <w:t>-3 921,47</w:t>
            </w:r>
          </w:p>
        </w:tc>
        <w:tc>
          <w:tcPr>
            <w:tcW w:w="1029" w:type="dxa"/>
            <w:tcBorders>
              <w:top w:val="nil"/>
              <w:left w:val="nil"/>
              <w:bottom w:val="nil"/>
              <w:right w:val="single" w:sz="8" w:space="0" w:color="auto"/>
            </w:tcBorders>
            <w:shd w:val="clear" w:color="auto" w:fill="auto"/>
            <w:vAlign w:val="center"/>
            <w:hideMark/>
          </w:tcPr>
          <w:p w14:paraId="64DAB9C2" w14:textId="77777777" w:rsidR="008B61A4" w:rsidRPr="008B61A4" w:rsidRDefault="008B61A4" w:rsidP="008B61A4">
            <w:pPr>
              <w:spacing w:after="0" w:line="240" w:lineRule="auto"/>
              <w:jc w:val="center"/>
              <w:rPr>
                <w:rFonts w:eastAsia="Times New Roman" w:cs="Calibri"/>
                <w:color w:val="000000"/>
                <w:sz w:val="20"/>
                <w:szCs w:val="20"/>
                <w:lang w:val="en-US"/>
              </w:rPr>
            </w:pPr>
            <w:r w:rsidRPr="008B61A4">
              <w:rPr>
                <w:rFonts w:eastAsia="Times New Roman" w:cs="Calibri"/>
                <w:color w:val="000000"/>
                <w:sz w:val="20"/>
                <w:szCs w:val="20"/>
                <w:lang w:val="en-US"/>
              </w:rPr>
              <w:t>-20,21%</w:t>
            </w:r>
          </w:p>
        </w:tc>
        <w:tc>
          <w:tcPr>
            <w:tcW w:w="222" w:type="dxa"/>
            <w:vAlign w:val="center"/>
            <w:hideMark/>
          </w:tcPr>
          <w:p w14:paraId="36152703" w14:textId="77777777" w:rsidR="008B61A4" w:rsidRPr="008B61A4" w:rsidRDefault="008B61A4" w:rsidP="008B61A4">
            <w:pPr>
              <w:spacing w:after="0" w:line="240" w:lineRule="auto"/>
              <w:jc w:val="left"/>
              <w:rPr>
                <w:rFonts w:ascii="Times New Roman" w:eastAsia="Times New Roman" w:hAnsi="Times New Roman" w:cs="Times New Roman"/>
                <w:sz w:val="20"/>
                <w:szCs w:val="20"/>
                <w:lang w:val="en-US"/>
              </w:rPr>
            </w:pPr>
          </w:p>
        </w:tc>
      </w:tr>
      <w:tr w:rsidR="008B61A4" w:rsidRPr="008B61A4" w14:paraId="3BB3655C" w14:textId="77777777" w:rsidTr="008B61A4">
        <w:trPr>
          <w:trHeight w:val="290"/>
        </w:trPr>
        <w:tc>
          <w:tcPr>
            <w:tcW w:w="983" w:type="dxa"/>
            <w:tcBorders>
              <w:top w:val="nil"/>
              <w:left w:val="single" w:sz="8" w:space="0" w:color="auto"/>
              <w:bottom w:val="nil"/>
              <w:right w:val="single" w:sz="8" w:space="0" w:color="auto"/>
            </w:tcBorders>
            <w:shd w:val="clear" w:color="auto" w:fill="auto"/>
            <w:noWrap/>
            <w:vAlign w:val="center"/>
            <w:hideMark/>
          </w:tcPr>
          <w:p w14:paraId="135AF22A" w14:textId="77777777" w:rsidR="008B61A4" w:rsidRPr="008B61A4" w:rsidRDefault="008B61A4" w:rsidP="008B61A4">
            <w:pPr>
              <w:spacing w:after="0" w:line="240" w:lineRule="auto"/>
              <w:jc w:val="center"/>
              <w:rPr>
                <w:rFonts w:eastAsia="Times New Roman" w:cs="Calibri"/>
                <w:color w:val="000000"/>
                <w:sz w:val="20"/>
                <w:szCs w:val="20"/>
                <w:lang w:val="en-US"/>
              </w:rPr>
            </w:pPr>
            <w:r w:rsidRPr="008B61A4">
              <w:rPr>
                <w:rFonts w:eastAsia="Times New Roman" w:cs="Calibri"/>
                <w:color w:val="000000"/>
                <w:sz w:val="20"/>
                <w:szCs w:val="20"/>
                <w:lang w:val="en-US"/>
              </w:rPr>
              <w:t>5.1.2.04.</w:t>
            </w:r>
          </w:p>
        </w:tc>
        <w:tc>
          <w:tcPr>
            <w:tcW w:w="2835" w:type="dxa"/>
            <w:tcBorders>
              <w:top w:val="nil"/>
              <w:left w:val="nil"/>
              <w:bottom w:val="nil"/>
              <w:right w:val="single" w:sz="8" w:space="0" w:color="auto"/>
            </w:tcBorders>
            <w:shd w:val="clear" w:color="auto" w:fill="auto"/>
            <w:vAlign w:val="center"/>
            <w:hideMark/>
          </w:tcPr>
          <w:p w14:paraId="2308F998" w14:textId="77777777" w:rsidR="008B61A4" w:rsidRPr="008B61A4" w:rsidRDefault="008B61A4" w:rsidP="008B61A4">
            <w:pPr>
              <w:spacing w:after="0" w:line="240" w:lineRule="auto"/>
              <w:jc w:val="left"/>
              <w:rPr>
                <w:rFonts w:eastAsia="Times New Roman" w:cs="Calibri"/>
                <w:color w:val="000000"/>
                <w:sz w:val="20"/>
                <w:szCs w:val="20"/>
              </w:rPr>
            </w:pPr>
            <w:r w:rsidRPr="008B61A4">
              <w:rPr>
                <w:rFonts w:eastAsia="Times New Roman" w:cs="Calibri"/>
                <w:color w:val="000000"/>
                <w:sz w:val="20"/>
                <w:szCs w:val="20"/>
              </w:rPr>
              <w:t>Servicios de gestión y apoyo</w:t>
            </w:r>
          </w:p>
        </w:tc>
        <w:tc>
          <w:tcPr>
            <w:tcW w:w="1360" w:type="dxa"/>
            <w:tcBorders>
              <w:top w:val="nil"/>
              <w:left w:val="nil"/>
              <w:bottom w:val="nil"/>
              <w:right w:val="single" w:sz="8" w:space="0" w:color="auto"/>
            </w:tcBorders>
            <w:shd w:val="clear" w:color="000000" w:fill="FFFFFF"/>
            <w:noWrap/>
            <w:vAlign w:val="bottom"/>
            <w:hideMark/>
          </w:tcPr>
          <w:p w14:paraId="2A5C08DF" w14:textId="77777777" w:rsidR="008B61A4" w:rsidRPr="008B61A4" w:rsidRDefault="008B61A4" w:rsidP="008B61A4">
            <w:pPr>
              <w:spacing w:after="0" w:line="240" w:lineRule="auto"/>
              <w:jc w:val="right"/>
              <w:rPr>
                <w:rFonts w:eastAsia="Times New Roman" w:cs="Calibri"/>
                <w:color w:val="000000"/>
                <w:sz w:val="20"/>
                <w:szCs w:val="20"/>
                <w:lang w:val="en-US"/>
              </w:rPr>
            </w:pPr>
            <w:r w:rsidRPr="008B61A4">
              <w:rPr>
                <w:rFonts w:eastAsia="Times New Roman" w:cs="Calibri"/>
                <w:color w:val="000000"/>
                <w:sz w:val="20"/>
                <w:szCs w:val="20"/>
                <w:lang w:val="en-US"/>
              </w:rPr>
              <w:t>88 277,35</w:t>
            </w:r>
          </w:p>
        </w:tc>
        <w:tc>
          <w:tcPr>
            <w:tcW w:w="1357" w:type="dxa"/>
            <w:tcBorders>
              <w:top w:val="nil"/>
              <w:left w:val="nil"/>
              <w:bottom w:val="nil"/>
              <w:right w:val="single" w:sz="8" w:space="0" w:color="auto"/>
            </w:tcBorders>
            <w:shd w:val="clear" w:color="000000" w:fill="FFFFFF"/>
            <w:noWrap/>
            <w:vAlign w:val="bottom"/>
            <w:hideMark/>
          </w:tcPr>
          <w:p w14:paraId="27CD25E2" w14:textId="77777777" w:rsidR="008B61A4" w:rsidRPr="008B61A4" w:rsidRDefault="008B61A4" w:rsidP="008B61A4">
            <w:pPr>
              <w:spacing w:after="0" w:line="240" w:lineRule="auto"/>
              <w:jc w:val="right"/>
              <w:rPr>
                <w:rFonts w:eastAsia="Times New Roman" w:cs="Calibri"/>
                <w:color w:val="000000"/>
                <w:sz w:val="20"/>
                <w:szCs w:val="20"/>
                <w:lang w:val="en-US"/>
              </w:rPr>
            </w:pPr>
            <w:r w:rsidRPr="008B61A4">
              <w:rPr>
                <w:rFonts w:eastAsia="Times New Roman" w:cs="Calibri"/>
                <w:color w:val="000000"/>
                <w:sz w:val="20"/>
                <w:szCs w:val="20"/>
                <w:lang w:val="en-US"/>
              </w:rPr>
              <w:t>83 362,85</w:t>
            </w:r>
          </w:p>
        </w:tc>
        <w:tc>
          <w:tcPr>
            <w:tcW w:w="1217" w:type="dxa"/>
            <w:tcBorders>
              <w:top w:val="nil"/>
              <w:left w:val="nil"/>
              <w:bottom w:val="nil"/>
              <w:right w:val="single" w:sz="8" w:space="0" w:color="auto"/>
            </w:tcBorders>
            <w:shd w:val="clear" w:color="000000" w:fill="FFFFFF"/>
            <w:noWrap/>
            <w:vAlign w:val="bottom"/>
            <w:hideMark/>
          </w:tcPr>
          <w:p w14:paraId="043324E6" w14:textId="77777777" w:rsidR="008B61A4" w:rsidRPr="008B61A4" w:rsidRDefault="008B61A4" w:rsidP="008B61A4">
            <w:pPr>
              <w:spacing w:after="0" w:line="240" w:lineRule="auto"/>
              <w:jc w:val="right"/>
              <w:rPr>
                <w:rFonts w:eastAsia="Times New Roman" w:cs="Calibri"/>
                <w:color w:val="000000"/>
                <w:sz w:val="20"/>
                <w:szCs w:val="20"/>
                <w:lang w:val="en-US"/>
              </w:rPr>
            </w:pPr>
            <w:r w:rsidRPr="008B61A4">
              <w:rPr>
                <w:rFonts w:eastAsia="Times New Roman" w:cs="Calibri"/>
                <w:color w:val="000000"/>
                <w:sz w:val="20"/>
                <w:szCs w:val="20"/>
                <w:lang w:val="en-US"/>
              </w:rPr>
              <w:t>4 914,50</w:t>
            </w:r>
          </w:p>
        </w:tc>
        <w:tc>
          <w:tcPr>
            <w:tcW w:w="1029" w:type="dxa"/>
            <w:tcBorders>
              <w:top w:val="nil"/>
              <w:left w:val="nil"/>
              <w:bottom w:val="nil"/>
              <w:right w:val="single" w:sz="8" w:space="0" w:color="auto"/>
            </w:tcBorders>
            <w:shd w:val="clear" w:color="auto" w:fill="auto"/>
            <w:vAlign w:val="center"/>
            <w:hideMark/>
          </w:tcPr>
          <w:p w14:paraId="391B3E35" w14:textId="77777777" w:rsidR="008B61A4" w:rsidRPr="008B61A4" w:rsidRDefault="008B61A4" w:rsidP="008B61A4">
            <w:pPr>
              <w:spacing w:after="0" w:line="240" w:lineRule="auto"/>
              <w:jc w:val="center"/>
              <w:rPr>
                <w:rFonts w:eastAsia="Times New Roman" w:cs="Calibri"/>
                <w:color w:val="000000"/>
                <w:sz w:val="20"/>
                <w:szCs w:val="20"/>
                <w:lang w:val="en-US"/>
              </w:rPr>
            </w:pPr>
            <w:r w:rsidRPr="008B61A4">
              <w:rPr>
                <w:rFonts w:eastAsia="Times New Roman" w:cs="Calibri"/>
                <w:color w:val="000000"/>
                <w:sz w:val="20"/>
                <w:szCs w:val="20"/>
                <w:lang w:val="en-US"/>
              </w:rPr>
              <w:t>5,90%</w:t>
            </w:r>
          </w:p>
        </w:tc>
        <w:tc>
          <w:tcPr>
            <w:tcW w:w="222" w:type="dxa"/>
            <w:vAlign w:val="center"/>
            <w:hideMark/>
          </w:tcPr>
          <w:p w14:paraId="652E4900" w14:textId="77777777" w:rsidR="008B61A4" w:rsidRPr="008B61A4" w:rsidRDefault="008B61A4" w:rsidP="008B61A4">
            <w:pPr>
              <w:spacing w:after="0" w:line="240" w:lineRule="auto"/>
              <w:jc w:val="left"/>
              <w:rPr>
                <w:rFonts w:ascii="Times New Roman" w:eastAsia="Times New Roman" w:hAnsi="Times New Roman" w:cs="Times New Roman"/>
                <w:sz w:val="20"/>
                <w:szCs w:val="20"/>
                <w:lang w:val="en-US"/>
              </w:rPr>
            </w:pPr>
          </w:p>
        </w:tc>
      </w:tr>
      <w:tr w:rsidR="008B61A4" w:rsidRPr="008B61A4" w14:paraId="03453353" w14:textId="77777777" w:rsidTr="008B61A4">
        <w:trPr>
          <w:trHeight w:val="290"/>
        </w:trPr>
        <w:tc>
          <w:tcPr>
            <w:tcW w:w="983" w:type="dxa"/>
            <w:tcBorders>
              <w:top w:val="nil"/>
              <w:left w:val="single" w:sz="8" w:space="0" w:color="auto"/>
              <w:bottom w:val="nil"/>
              <w:right w:val="single" w:sz="8" w:space="0" w:color="auto"/>
            </w:tcBorders>
            <w:shd w:val="clear" w:color="auto" w:fill="auto"/>
            <w:noWrap/>
            <w:vAlign w:val="center"/>
            <w:hideMark/>
          </w:tcPr>
          <w:p w14:paraId="6C444486" w14:textId="77777777" w:rsidR="008B61A4" w:rsidRPr="008B61A4" w:rsidRDefault="008B61A4" w:rsidP="008B61A4">
            <w:pPr>
              <w:spacing w:after="0" w:line="240" w:lineRule="auto"/>
              <w:jc w:val="center"/>
              <w:rPr>
                <w:rFonts w:eastAsia="Times New Roman" w:cs="Calibri"/>
                <w:color w:val="000000"/>
                <w:sz w:val="20"/>
                <w:szCs w:val="20"/>
                <w:lang w:val="en-US"/>
              </w:rPr>
            </w:pPr>
            <w:r w:rsidRPr="008B61A4">
              <w:rPr>
                <w:rFonts w:eastAsia="Times New Roman" w:cs="Calibri"/>
                <w:color w:val="000000"/>
                <w:sz w:val="20"/>
                <w:szCs w:val="20"/>
                <w:lang w:val="en-US"/>
              </w:rPr>
              <w:t>5.1.2.05.</w:t>
            </w:r>
          </w:p>
        </w:tc>
        <w:tc>
          <w:tcPr>
            <w:tcW w:w="2835" w:type="dxa"/>
            <w:tcBorders>
              <w:top w:val="nil"/>
              <w:left w:val="nil"/>
              <w:bottom w:val="nil"/>
              <w:right w:val="single" w:sz="8" w:space="0" w:color="auto"/>
            </w:tcBorders>
            <w:shd w:val="clear" w:color="auto" w:fill="auto"/>
            <w:vAlign w:val="center"/>
            <w:hideMark/>
          </w:tcPr>
          <w:p w14:paraId="1205BB2C" w14:textId="77777777" w:rsidR="008B61A4" w:rsidRPr="008B61A4" w:rsidRDefault="008B61A4" w:rsidP="008B61A4">
            <w:pPr>
              <w:spacing w:after="0" w:line="240" w:lineRule="auto"/>
              <w:jc w:val="left"/>
              <w:rPr>
                <w:rFonts w:eastAsia="Times New Roman" w:cs="Calibri"/>
                <w:color w:val="000000"/>
                <w:sz w:val="20"/>
                <w:szCs w:val="20"/>
              </w:rPr>
            </w:pPr>
            <w:r w:rsidRPr="008B61A4">
              <w:rPr>
                <w:rFonts w:eastAsia="Times New Roman" w:cs="Calibri"/>
                <w:color w:val="000000"/>
                <w:sz w:val="20"/>
                <w:szCs w:val="20"/>
              </w:rPr>
              <w:t>Gastos de viaje y transporte</w:t>
            </w:r>
          </w:p>
        </w:tc>
        <w:tc>
          <w:tcPr>
            <w:tcW w:w="1360" w:type="dxa"/>
            <w:tcBorders>
              <w:top w:val="nil"/>
              <w:left w:val="nil"/>
              <w:bottom w:val="nil"/>
              <w:right w:val="single" w:sz="8" w:space="0" w:color="auto"/>
            </w:tcBorders>
            <w:shd w:val="clear" w:color="000000" w:fill="FFFFFF"/>
            <w:noWrap/>
            <w:vAlign w:val="bottom"/>
            <w:hideMark/>
          </w:tcPr>
          <w:p w14:paraId="00EA4F72" w14:textId="77777777" w:rsidR="008B61A4" w:rsidRPr="008B61A4" w:rsidRDefault="008B61A4" w:rsidP="008B61A4">
            <w:pPr>
              <w:spacing w:after="0" w:line="240" w:lineRule="auto"/>
              <w:jc w:val="right"/>
              <w:rPr>
                <w:rFonts w:eastAsia="Times New Roman" w:cs="Calibri"/>
                <w:color w:val="000000"/>
                <w:sz w:val="20"/>
                <w:szCs w:val="20"/>
                <w:lang w:val="en-US"/>
              </w:rPr>
            </w:pPr>
            <w:r w:rsidRPr="008B61A4">
              <w:rPr>
                <w:rFonts w:eastAsia="Times New Roman" w:cs="Calibri"/>
                <w:color w:val="000000"/>
                <w:sz w:val="20"/>
                <w:szCs w:val="20"/>
                <w:lang w:val="en-US"/>
              </w:rPr>
              <w:t>3 846,06</w:t>
            </w:r>
          </w:p>
        </w:tc>
        <w:tc>
          <w:tcPr>
            <w:tcW w:w="1357" w:type="dxa"/>
            <w:tcBorders>
              <w:top w:val="nil"/>
              <w:left w:val="nil"/>
              <w:bottom w:val="nil"/>
              <w:right w:val="single" w:sz="8" w:space="0" w:color="auto"/>
            </w:tcBorders>
            <w:shd w:val="clear" w:color="000000" w:fill="FFFFFF"/>
            <w:noWrap/>
            <w:vAlign w:val="bottom"/>
            <w:hideMark/>
          </w:tcPr>
          <w:p w14:paraId="37F66E54" w14:textId="77777777" w:rsidR="008B61A4" w:rsidRPr="008B61A4" w:rsidRDefault="008B61A4" w:rsidP="008B61A4">
            <w:pPr>
              <w:spacing w:after="0" w:line="240" w:lineRule="auto"/>
              <w:jc w:val="right"/>
              <w:rPr>
                <w:rFonts w:eastAsia="Times New Roman" w:cs="Calibri"/>
                <w:color w:val="000000"/>
                <w:sz w:val="20"/>
                <w:szCs w:val="20"/>
                <w:lang w:val="en-US"/>
              </w:rPr>
            </w:pPr>
            <w:r w:rsidRPr="008B61A4">
              <w:rPr>
                <w:rFonts w:eastAsia="Times New Roman" w:cs="Calibri"/>
                <w:color w:val="000000"/>
                <w:sz w:val="20"/>
                <w:szCs w:val="20"/>
                <w:lang w:val="en-US"/>
              </w:rPr>
              <w:t>3 407,24</w:t>
            </w:r>
          </w:p>
        </w:tc>
        <w:tc>
          <w:tcPr>
            <w:tcW w:w="1217" w:type="dxa"/>
            <w:tcBorders>
              <w:top w:val="nil"/>
              <w:left w:val="nil"/>
              <w:bottom w:val="nil"/>
              <w:right w:val="single" w:sz="8" w:space="0" w:color="auto"/>
            </w:tcBorders>
            <w:shd w:val="clear" w:color="000000" w:fill="FFFFFF"/>
            <w:noWrap/>
            <w:vAlign w:val="bottom"/>
            <w:hideMark/>
          </w:tcPr>
          <w:p w14:paraId="03F362EA" w14:textId="77777777" w:rsidR="008B61A4" w:rsidRPr="008B61A4" w:rsidRDefault="008B61A4" w:rsidP="008B61A4">
            <w:pPr>
              <w:spacing w:after="0" w:line="240" w:lineRule="auto"/>
              <w:jc w:val="right"/>
              <w:rPr>
                <w:rFonts w:eastAsia="Times New Roman" w:cs="Calibri"/>
                <w:color w:val="000000"/>
                <w:sz w:val="20"/>
                <w:szCs w:val="20"/>
                <w:lang w:val="en-US"/>
              </w:rPr>
            </w:pPr>
            <w:r w:rsidRPr="008B61A4">
              <w:rPr>
                <w:rFonts w:eastAsia="Times New Roman" w:cs="Calibri"/>
                <w:color w:val="000000"/>
                <w:sz w:val="20"/>
                <w:szCs w:val="20"/>
                <w:lang w:val="en-US"/>
              </w:rPr>
              <w:t>438,82</w:t>
            </w:r>
          </w:p>
        </w:tc>
        <w:tc>
          <w:tcPr>
            <w:tcW w:w="1029" w:type="dxa"/>
            <w:tcBorders>
              <w:top w:val="nil"/>
              <w:left w:val="nil"/>
              <w:bottom w:val="nil"/>
              <w:right w:val="single" w:sz="8" w:space="0" w:color="auto"/>
            </w:tcBorders>
            <w:shd w:val="clear" w:color="auto" w:fill="auto"/>
            <w:vAlign w:val="center"/>
            <w:hideMark/>
          </w:tcPr>
          <w:p w14:paraId="2B265425" w14:textId="77777777" w:rsidR="008B61A4" w:rsidRPr="008B61A4" w:rsidRDefault="008B61A4" w:rsidP="008B61A4">
            <w:pPr>
              <w:spacing w:after="0" w:line="240" w:lineRule="auto"/>
              <w:jc w:val="center"/>
              <w:rPr>
                <w:rFonts w:eastAsia="Times New Roman" w:cs="Calibri"/>
                <w:color w:val="000000"/>
                <w:sz w:val="20"/>
                <w:szCs w:val="20"/>
                <w:lang w:val="en-US"/>
              </w:rPr>
            </w:pPr>
            <w:r w:rsidRPr="008B61A4">
              <w:rPr>
                <w:rFonts w:eastAsia="Times New Roman" w:cs="Calibri"/>
                <w:color w:val="000000"/>
                <w:sz w:val="20"/>
                <w:szCs w:val="20"/>
                <w:lang w:val="en-US"/>
              </w:rPr>
              <w:t>12,88%</w:t>
            </w:r>
          </w:p>
        </w:tc>
        <w:tc>
          <w:tcPr>
            <w:tcW w:w="222" w:type="dxa"/>
            <w:vAlign w:val="center"/>
            <w:hideMark/>
          </w:tcPr>
          <w:p w14:paraId="7876DE90" w14:textId="77777777" w:rsidR="008B61A4" w:rsidRPr="008B61A4" w:rsidRDefault="008B61A4" w:rsidP="008B61A4">
            <w:pPr>
              <w:spacing w:after="0" w:line="240" w:lineRule="auto"/>
              <w:jc w:val="left"/>
              <w:rPr>
                <w:rFonts w:ascii="Times New Roman" w:eastAsia="Times New Roman" w:hAnsi="Times New Roman" w:cs="Times New Roman"/>
                <w:sz w:val="20"/>
                <w:szCs w:val="20"/>
                <w:lang w:val="en-US"/>
              </w:rPr>
            </w:pPr>
          </w:p>
        </w:tc>
      </w:tr>
      <w:tr w:rsidR="008B61A4" w:rsidRPr="008B61A4" w14:paraId="34B3AE0D" w14:textId="77777777" w:rsidTr="008B61A4">
        <w:trPr>
          <w:trHeight w:val="290"/>
        </w:trPr>
        <w:tc>
          <w:tcPr>
            <w:tcW w:w="983" w:type="dxa"/>
            <w:tcBorders>
              <w:top w:val="nil"/>
              <w:left w:val="single" w:sz="8" w:space="0" w:color="auto"/>
              <w:bottom w:val="nil"/>
              <w:right w:val="single" w:sz="8" w:space="0" w:color="auto"/>
            </w:tcBorders>
            <w:shd w:val="clear" w:color="auto" w:fill="auto"/>
            <w:noWrap/>
            <w:vAlign w:val="center"/>
            <w:hideMark/>
          </w:tcPr>
          <w:p w14:paraId="10CEB81E" w14:textId="77777777" w:rsidR="008B61A4" w:rsidRPr="008B61A4" w:rsidRDefault="008B61A4" w:rsidP="008B61A4">
            <w:pPr>
              <w:spacing w:after="0" w:line="240" w:lineRule="auto"/>
              <w:jc w:val="center"/>
              <w:rPr>
                <w:rFonts w:eastAsia="Times New Roman" w:cs="Calibri"/>
                <w:color w:val="000000"/>
                <w:sz w:val="20"/>
                <w:szCs w:val="20"/>
                <w:lang w:val="en-US"/>
              </w:rPr>
            </w:pPr>
            <w:r w:rsidRPr="008B61A4">
              <w:rPr>
                <w:rFonts w:eastAsia="Times New Roman" w:cs="Calibri"/>
                <w:color w:val="000000"/>
                <w:sz w:val="20"/>
                <w:szCs w:val="20"/>
                <w:lang w:val="en-US"/>
              </w:rPr>
              <w:t>5.1.2.06.</w:t>
            </w:r>
          </w:p>
        </w:tc>
        <w:tc>
          <w:tcPr>
            <w:tcW w:w="2835" w:type="dxa"/>
            <w:tcBorders>
              <w:top w:val="nil"/>
              <w:left w:val="nil"/>
              <w:bottom w:val="nil"/>
              <w:right w:val="single" w:sz="8" w:space="0" w:color="auto"/>
            </w:tcBorders>
            <w:shd w:val="clear" w:color="auto" w:fill="auto"/>
            <w:vAlign w:val="center"/>
            <w:hideMark/>
          </w:tcPr>
          <w:p w14:paraId="657A1CE2" w14:textId="77777777" w:rsidR="008B61A4" w:rsidRPr="008B61A4" w:rsidRDefault="008B61A4" w:rsidP="008B61A4">
            <w:pPr>
              <w:spacing w:after="0" w:line="240" w:lineRule="auto"/>
              <w:jc w:val="left"/>
              <w:rPr>
                <w:rFonts w:eastAsia="Times New Roman" w:cs="Calibri"/>
                <w:color w:val="000000"/>
                <w:sz w:val="20"/>
                <w:szCs w:val="20"/>
              </w:rPr>
            </w:pPr>
            <w:r w:rsidRPr="008B61A4">
              <w:rPr>
                <w:rFonts w:eastAsia="Times New Roman" w:cs="Calibri"/>
                <w:color w:val="000000"/>
                <w:sz w:val="20"/>
                <w:szCs w:val="20"/>
              </w:rPr>
              <w:t>Seguros, reaseguros y otras obligaciones</w:t>
            </w:r>
          </w:p>
        </w:tc>
        <w:tc>
          <w:tcPr>
            <w:tcW w:w="1360" w:type="dxa"/>
            <w:tcBorders>
              <w:top w:val="nil"/>
              <w:left w:val="nil"/>
              <w:bottom w:val="nil"/>
              <w:right w:val="single" w:sz="8" w:space="0" w:color="auto"/>
            </w:tcBorders>
            <w:shd w:val="clear" w:color="000000" w:fill="FFFFFF"/>
            <w:noWrap/>
            <w:vAlign w:val="bottom"/>
            <w:hideMark/>
          </w:tcPr>
          <w:p w14:paraId="18B2ED9C" w14:textId="77777777" w:rsidR="008B61A4" w:rsidRPr="008B61A4" w:rsidRDefault="008B61A4" w:rsidP="008B61A4">
            <w:pPr>
              <w:spacing w:after="0" w:line="240" w:lineRule="auto"/>
              <w:jc w:val="right"/>
              <w:rPr>
                <w:rFonts w:eastAsia="Times New Roman" w:cs="Calibri"/>
                <w:color w:val="000000"/>
                <w:sz w:val="20"/>
                <w:szCs w:val="20"/>
                <w:lang w:val="en-US"/>
              </w:rPr>
            </w:pPr>
            <w:r w:rsidRPr="008B61A4">
              <w:rPr>
                <w:rFonts w:eastAsia="Times New Roman" w:cs="Calibri"/>
                <w:color w:val="000000"/>
                <w:sz w:val="20"/>
                <w:szCs w:val="20"/>
                <w:lang w:val="en-US"/>
              </w:rPr>
              <w:t>32 202,12</w:t>
            </w:r>
          </w:p>
        </w:tc>
        <w:tc>
          <w:tcPr>
            <w:tcW w:w="1357" w:type="dxa"/>
            <w:tcBorders>
              <w:top w:val="nil"/>
              <w:left w:val="nil"/>
              <w:bottom w:val="nil"/>
              <w:right w:val="single" w:sz="8" w:space="0" w:color="auto"/>
            </w:tcBorders>
            <w:shd w:val="clear" w:color="000000" w:fill="FFFFFF"/>
            <w:noWrap/>
            <w:vAlign w:val="bottom"/>
            <w:hideMark/>
          </w:tcPr>
          <w:p w14:paraId="2352358B" w14:textId="77777777" w:rsidR="008B61A4" w:rsidRPr="008B61A4" w:rsidRDefault="008B61A4" w:rsidP="008B61A4">
            <w:pPr>
              <w:spacing w:after="0" w:line="240" w:lineRule="auto"/>
              <w:jc w:val="right"/>
              <w:rPr>
                <w:rFonts w:eastAsia="Times New Roman" w:cs="Calibri"/>
                <w:color w:val="000000"/>
                <w:sz w:val="20"/>
                <w:szCs w:val="20"/>
                <w:lang w:val="en-US"/>
              </w:rPr>
            </w:pPr>
            <w:r w:rsidRPr="008B61A4">
              <w:rPr>
                <w:rFonts w:eastAsia="Times New Roman" w:cs="Calibri"/>
                <w:color w:val="000000"/>
                <w:sz w:val="20"/>
                <w:szCs w:val="20"/>
                <w:lang w:val="en-US"/>
              </w:rPr>
              <w:t>30 883,89</w:t>
            </w:r>
          </w:p>
        </w:tc>
        <w:tc>
          <w:tcPr>
            <w:tcW w:w="1217" w:type="dxa"/>
            <w:tcBorders>
              <w:top w:val="nil"/>
              <w:left w:val="nil"/>
              <w:bottom w:val="nil"/>
              <w:right w:val="single" w:sz="8" w:space="0" w:color="auto"/>
            </w:tcBorders>
            <w:shd w:val="clear" w:color="000000" w:fill="FFFFFF"/>
            <w:noWrap/>
            <w:vAlign w:val="bottom"/>
            <w:hideMark/>
          </w:tcPr>
          <w:p w14:paraId="23DCCDFE" w14:textId="77777777" w:rsidR="008B61A4" w:rsidRPr="008B61A4" w:rsidRDefault="008B61A4" w:rsidP="008B61A4">
            <w:pPr>
              <w:spacing w:after="0" w:line="240" w:lineRule="auto"/>
              <w:jc w:val="right"/>
              <w:rPr>
                <w:rFonts w:eastAsia="Times New Roman" w:cs="Calibri"/>
                <w:color w:val="000000"/>
                <w:sz w:val="20"/>
                <w:szCs w:val="20"/>
                <w:lang w:val="en-US"/>
              </w:rPr>
            </w:pPr>
            <w:r w:rsidRPr="008B61A4">
              <w:rPr>
                <w:rFonts w:eastAsia="Times New Roman" w:cs="Calibri"/>
                <w:color w:val="000000"/>
                <w:sz w:val="20"/>
                <w:szCs w:val="20"/>
                <w:lang w:val="en-US"/>
              </w:rPr>
              <w:t>1 318,23</w:t>
            </w:r>
          </w:p>
        </w:tc>
        <w:tc>
          <w:tcPr>
            <w:tcW w:w="1029" w:type="dxa"/>
            <w:tcBorders>
              <w:top w:val="nil"/>
              <w:left w:val="nil"/>
              <w:bottom w:val="nil"/>
              <w:right w:val="single" w:sz="8" w:space="0" w:color="auto"/>
            </w:tcBorders>
            <w:shd w:val="clear" w:color="auto" w:fill="auto"/>
            <w:vAlign w:val="center"/>
            <w:hideMark/>
          </w:tcPr>
          <w:p w14:paraId="68D76176" w14:textId="77777777" w:rsidR="008B61A4" w:rsidRPr="008B61A4" w:rsidRDefault="008B61A4" w:rsidP="008B61A4">
            <w:pPr>
              <w:spacing w:after="0" w:line="240" w:lineRule="auto"/>
              <w:jc w:val="center"/>
              <w:rPr>
                <w:rFonts w:eastAsia="Times New Roman" w:cs="Calibri"/>
                <w:color w:val="000000"/>
                <w:sz w:val="20"/>
                <w:szCs w:val="20"/>
                <w:lang w:val="en-US"/>
              </w:rPr>
            </w:pPr>
            <w:r w:rsidRPr="008B61A4">
              <w:rPr>
                <w:rFonts w:eastAsia="Times New Roman" w:cs="Calibri"/>
                <w:color w:val="000000"/>
                <w:sz w:val="20"/>
                <w:szCs w:val="20"/>
                <w:lang w:val="en-US"/>
              </w:rPr>
              <w:t>4,27%</w:t>
            </w:r>
          </w:p>
        </w:tc>
        <w:tc>
          <w:tcPr>
            <w:tcW w:w="222" w:type="dxa"/>
            <w:vAlign w:val="center"/>
            <w:hideMark/>
          </w:tcPr>
          <w:p w14:paraId="29C2E40E" w14:textId="77777777" w:rsidR="008B61A4" w:rsidRPr="008B61A4" w:rsidRDefault="008B61A4" w:rsidP="008B61A4">
            <w:pPr>
              <w:spacing w:after="0" w:line="240" w:lineRule="auto"/>
              <w:jc w:val="left"/>
              <w:rPr>
                <w:rFonts w:ascii="Times New Roman" w:eastAsia="Times New Roman" w:hAnsi="Times New Roman" w:cs="Times New Roman"/>
                <w:sz w:val="20"/>
                <w:szCs w:val="20"/>
                <w:lang w:val="en-US"/>
              </w:rPr>
            </w:pPr>
          </w:p>
        </w:tc>
      </w:tr>
      <w:tr w:rsidR="008B61A4" w:rsidRPr="008B61A4" w14:paraId="54E4ED05" w14:textId="77777777" w:rsidTr="008B61A4">
        <w:trPr>
          <w:trHeight w:val="290"/>
        </w:trPr>
        <w:tc>
          <w:tcPr>
            <w:tcW w:w="983" w:type="dxa"/>
            <w:tcBorders>
              <w:top w:val="nil"/>
              <w:left w:val="single" w:sz="8" w:space="0" w:color="auto"/>
              <w:bottom w:val="nil"/>
              <w:right w:val="single" w:sz="8" w:space="0" w:color="auto"/>
            </w:tcBorders>
            <w:shd w:val="clear" w:color="auto" w:fill="auto"/>
            <w:noWrap/>
            <w:vAlign w:val="center"/>
            <w:hideMark/>
          </w:tcPr>
          <w:p w14:paraId="6C28EEB4" w14:textId="77777777" w:rsidR="008B61A4" w:rsidRPr="008B61A4" w:rsidRDefault="008B61A4" w:rsidP="008B61A4">
            <w:pPr>
              <w:spacing w:after="0" w:line="240" w:lineRule="auto"/>
              <w:jc w:val="center"/>
              <w:rPr>
                <w:rFonts w:eastAsia="Times New Roman" w:cs="Calibri"/>
                <w:color w:val="000000"/>
                <w:sz w:val="20"/>
                <w:szCs w:val="20"/>
                <w:lang w:val="en-US"/>
              </w:rPr>
            </w:pPr>
            <w:r w:rsidRPr="008B61A4">
              <w:rPr>
                <w:rFonts w:eastAsia="Times New Roman" w:cs="Calibri"/>
                <w:color w:val="000000"/>
                <w:sz w:val="20"/>
                <w:szCs w:val="20"/>
                <w:lang w:val="en-US"/>
              </w:rPr>
              <w:t>5.1.2.07.</w:t>
            </w:r>
          </w:p>
        </w:tc>
        <w:tc>
          <w:tcPr>
            <w:tcW w:w="2835" w:type="dxa"/>
            <w:tcBorders>
              <w:top w:val="nil"/>
              <w:left w:val="nil"/>
              <w:bottom w:val="nil"/>
              <w:right w:val="single" w:sz="8" w:space="0" w:color="auto"/>
            </w:tcBorders>
            <w:shd w:val="clear" w:color="auto" w:fill="auto"/>
            <w:vAlign w:val="center"/>
            <w:hideMark/>
          </w:tcPr>
          <w:p w14:paraId="795A6241" w14:textId="77777777" w:rsidR="008B61A4" w:rsidRPr="008B61A4" w:rsidRDefault="008B61A4" w:rsidP="008B61A4">
            <w:pPr>
              <w:spacing w:after="0" w:line="240" w:lineRule="auto"/>
              <w:jc w:val="left"/>
              <w:rPr>
                <w:rFonts w:eastAsia="Times New Roman" w:cs="Calibri"/>
                <w:color w:val="000000"/>
                <w:sz w:val="20"/>
                <w:szCs w:val="20"/>
                <w:lang w:val="en-US"/>
              </w:rPr>
            </w:pPr>
            <w:r w:rsidRPr="008B61A4">
              <w:rPr>
                <w:rFonts w:eastAsia="Times New Roman" w:cs="Calibri"/>
                <w:color w:val="000000"/>
                <w:sz w:val="20"/>
                <w:szCs w:val="20"/>
                <w:lang w:val="en-US"/>
              </w:rPr>
              <w:t>Capacitación y protocolo</w:t>
            </w:r>
          </w:p>
        </w:tc>
        <w:tc>
          <w:tcPr>
            <w:tcW w:w="1360" w:type="dxa"/>
            <w:tcBorders>
              <w:top w:val="nil"/>
              <w:left w:val="nil"/>
              <w:bottom w:val="nil"/>
              <w:right w:val="single" w:sz="8" w:space="0" w:color="auto"/>
            </w:tcBorders>
            <w:shd w:val="clear" w:color="000000" w:fill="FFFFFF"/>
            <w:noWrap/>
            <w:vAlign w:val="bottom"/>
            <w:hideMark/>
          </w:tcPr>
          <w:p w14:paraId="1B7842FD" w14:textId="77777777" w:rsidR="008B61A4" w:rsidRPr="008B61A4" w:rsidRDefault="008B61A4" w:rsidP="008B61A4">
            <w:pPr>
              <w:spacing w:after="0" w:line="240" w:lineRule="auto"/>
              <w:jc w:val="right"/>
              <w:rPr>
                <w:rFonts w:eastAsia="Times New Roman" w:cs="Calibri"/>
                <w:color w:val="000000"/>
                <w:sz w:val="20"/>
                <w:szCs w:val="20"/>
                <w:lang w:val="en-US"/>
              </w:rPr>
            </w:pPr>
            <w:r w:rsidRPr="008B61A4">
              <w:rPr>
                <w:rFonts w:eastAsia="Times New Roman" w:cs="Calibri"/>
                <w:color w:val="000000"/>
                <w:sz w:val="20"/>
                <w:szCs w:val="20"/>
                <w:lang w:val="en-US"/>
              </w:rPr>
              <w:t>10 860,00</w:t>
            </w:r>
          </w:p>
        </w:tc>
        <w:tc>
          <w:tcPr>
            <w:tcW w:w="1357" w:type="dxa"/>
            <w:tcBorders>
              <w:top w:val="nil"/>
              <w:left w:val="nil"/>
              <w:bottom w:val="nil"/>
              <w:right w:val="single" w:sz="8" w:space="0" w:color="auto"/>
            </w:tcBorders>
            <w:shd w:val="clear" w:color="000000" w:fill="FFFFFF"/>
            <w:noWrap/>
            <w:vAlign w:val="bottom"/>
            <w:hideMark/>
          </w:tcPr>
          <w:p w14:paraId="6FAEA29F" w14:textId="77777777" w:rsidR="008B61A4" w:rsidRPr="008B61A4" w:rsidRDefault="008B61A4" w:rsidP="008B61A4">
            <w:pPr>
              <w:spacing w:after="0" w:line="240" w:lineRule="auto"/>
              <w:jc w:val="right"/>
              <w:rPr>
                <w:rFonts w:eastAsia="Times New Roman" w:cs="Calibri"/>
                <w:color w:val="000000"/>
                <w:sz w:val="20"/>
                <w:szCs w:val="20"/>
                <w:lang w:val="en-US"/>
              </w:rPr>
            </w:pPr>
            <w:r w:rsidRPr="008B61A4">
              <w:rPr>
                <w:rFonts w:eastAsia="Times New Roman" w:cs="Calibri"/>
                <w:color w:val="000000"/>
                <w:sz w:val="20"/>
                <w:szCs w:val="20"/>
                <w:lang w:val="en-US"/>
              </w:rPr>
              <w:t>0,00</w:t>
            </w:r>
          </w:p>
        </w:tc>
        <w:tc>
          <w:tcPr>
            <w:tcW w:w="1217" w:type="dxa"/>
            <w:tcBorders>
              <w:top w:val="nil"/>
              <w:left w:val="nil"/>
              <w:bottom w:val="nil"/>
              <w:right w:val="single" w:sz="8" w:space="0" w:color="auto"/>
            </w:tcBorders>
            <w:shd w:val="clear" w:color="000000" w:fill="FFFFFF"/>
            <w:noWrap/>
            <w:vAlign w:val="bottom"/>
            <w:hideMark/>
          </w:tcPr>
          <w:p w14:paraId="19A1AF3E" w14:textId="77777777" w:rsidR="008B61A4" w:rsidRPr="008B61A4" w:rsidRDefault="008B61A4" w:rsidP="008B61A4">
            <w:pPr>
              <w:spacing w:after="0" w:line="240" w:lineRule="auto"/>
              <w:jc w:val="right"/>
              <w:rPr>
                <w:rFonts w:eastAsia="Times New Roman" w:cs="Calibri"/>
                <w:color w:val="000000"/>
                <w:sz w:val="20"/>
                <w:szCs w:val="20"/>
                <w:lang w:val="en-US"/>
              </w:rPr>
            </w:pPr>
            <w:r w:rsidRPr="008B61A4">
              <w:rPr>
                <w:rFonts w:eastAsia="Times New Roman" w:cs="Calibri"/>
                <w:color w:val="000000"/>
                <w:sz w:val="20"/>
                <w:szCs w:val="20"/>
                <w:lang w:val="en-US"/>
              </w:rPr>
              <w:t>10 860,00</w:t>
            </w:r>
          </w:p>
        </w:tc>
        <w:tc>
          <w:tcPr>
            <w:tcW w:w="1029" w:type="dxa"/>
            <w:tcBorders>
              <w:top w:val="nil"/>
              <w:left w:val="nil"/>
              <w:bottom w:val="nil"/>
              <w:right w:val="single" w:sz="8" w:space="0" w:color="auto"/>
            </w:tcBorders>
            <w:shd w:val="clear" w:color="auto" w:fill="auto"/>
            <w:vAlign w:val="center"/>
            <w:hideMark/>
          </w:tcPr>
          <w:p w14:paraId="6ACC8C34" w14:textId="77777777" w:rsidR="008B61A4" w:rsidRPr="008B61A4" w:rsidRDefault="008B61A4" w:rsidP="008B61A4">
            <w:pPr>
              <w:spacing w:after="0" w:line="240" w:lineRule="auto"/>
              <w:jc w:val="center"/>
              <w:rPr>
                <w:rFonts w:eastAsia="Times New Roman" w:cs="Calibri"/>
                <w:color w:val="000000"/>
                <w:sz w:val="20"/>
                <w:szCs w:val="20"/>
                <w:lang w:val="en-US"/>
              </w:rPr>
            </w:pPr>
            <w:r w:rsidRPr="008B61A4">
              <w:rPr>
                <w:rFonts w:eastAsia="Times New Roman" w:cs="Calibri"/>
                <w:color w:val="000000"/>
                <w:sz w:val="20"/>
                <w:szCs w:val="20"/>
                <w:lang w:val="en-US"/>
              </w:rPr>
              <w:t>#DIV/0!</w:t>
            </w:r>
          </w:p>
        </w:tc>
        <w:tc>
          <w:tcPr>
            <w:tcW w:w="222" w:type="dxa"/>
            <w:vAlign w:val="center"/>
            <w:hideMark/>
          </w:tcPr>
          <w:p w14:paraId="442B86F3" w14:textId="77777777" w:rsidR="008B61A4" w:rsidRPr="008B61A4" w:rsidRDefault="008B61A4" w:rsidP="008B61A4">
            <w:pPr>
              <w:spacing w:after="0" w:line="240" w:lineRule="auto"/>
              <w:jc w:val="left"/>
              <w:rPr>
                <w:rFonts w:ascii="Times New Roman" w:eastAsia="Times New Roman" w:hAnsi="Times New Roman" w:cs="Times New Roman"/>
                <w:sz w:val="20"/>
                <w:szCs w:val="20"/>
                <w:lang w:val="en-US"/>
              </w:rPr>
            </w:pPr>
          </w:p>
        </w:tc>
      </w:tr>
      <w:tr w:rsidR="008B61A4" w:rsidRPr="008B61A4" w14:paraId="14AE035B" w14:textId="77777777" w:rsidTr="008B61A4">
        <w:trPr>
          <w:trHeight w:val="290"/>
        </w:trPr>
        <w:tc>
          <w:tcPr>
            <w:tcW w:w="983" w:type="dxa"/>
            <w:tcBorders>
              <w:top w:val="nil"/>
              <w:left w:val="single" w:sz="8" w:space="0" w:color="auto"/>
              <w:bottom w:val="nil"/>
              <w:right w:val="single" w:sz="8" w:space="0" w:color="auto"/>
            </w:tcBorders>
            <w:shd w:val="clear" w:color="auto" w:fill="auto"/>
            <w:noWrap/>
            <w:vAlign w:val="center"/>
            <w:hideMark/>
          </w:tcPr>
          <w:p w14:paraId="6D65C35D" w14:textId="77777777" w:rsidR="008B61A4" w:rsidRPr="008B61A4" w:rsidRDefault="008B61A4" w:rsidP="008B61A4">
            <w:pPr>
              <w:spacing w:after="0" w:line="240" w:lineRule="auto"/>
              <w:jc w:val="center"/>
              <w:rPr>
                <w:rFonts w:eastAsia="Times New Roman" w:cs="Calibri"/>
                <w:color w:val="000000"/>
                <w:sz w:val="20"/>
                <w:szCs w:val="20"/>
                <w:lang w:val="en-US"/>
              </w:rPr>
            </w:pPr>
            <w:r w:rsidRPr="008B61A4">
              <w:rPr>
                <w:rFonts w:eastAsia="Times New Roman" w:cs="Calibri"/>
                <w:color w:val="000000"/>
                <w:sz w:val="20"/>
                <w:szCs w:val="20"/>
                <w:lang w:val="en-US"/>
              </w:rPr>
              <w:t>5.1.2.08.</w:t>
            </w:r>
          </w:p>
        </w:tc>
        <w:tc>
          <w:tcPr>
            <w:tcW w:w="2835" w:type="dxa"/>
            <w:tcBorders>
              <w:top w:val="nil"/>
              <w:left w:val="nil"/>
              <w:bottom w:val="nil"/>
              <w:right w:val="single" w:sz="8" w:space="0" w:color="auto"/>
            </w:tcBorders>
            <w:shd w:val="clear" w:color="auto" w:fill="auto"/>
            <w:vAlign w:val="center"/>
            <w:hideMark/>
          </w:tcPr>
          <w:p w14:paraId="7404ABDC" w14:textId="77777777" w:rsidR="008B61A4" w:rsidRPr="008B61A4" w:rsidRDefault="008B61A4" w:rsidP="008B61A4">
            <w:pPr>
              <w:spacing w:after="0" w:line="240" w:lineRule="auto"/>
              <w:jc w:val="left"/>
              <w:rPr>
                <w:rFonts w:eastAsia="Times New Roman" w:cs="Calibri"/>
                <w:color w:val="000000"/>
                <w:sz w:val="20"/>
                <w:szCs w:val="20"/>
                <w:lang w:val="en-US"/>
              </w:rPr>
            </w:pPr>
            <w:r w:rsidRPr="008B61A4">
              <w:rPr>
                <w:rFonts w:eastAsia="Times New Roman" w:cs="Calibri"/>
                <w:color w:val="000000"/>
                <w:sz w:val="20"/>
                <w:szCs w:val="20"/>
                <w:lang w:val="en-US"/>
              </w:rPr>
              <w:t>Mantenimiento y reparaciones</w:t>
            </w:r>
          </w:p>
        </w:tc>
        <w:tc>
          <w:tcPr>
            <w:tcW w:w="1360" w:type="dxa"/>
            <w:tcBorders>
              <w:top w:val="nil"/>
              <w:left w:val="nil"/>
              <w:bottom w:val="nil"/>
              <w:right w:val="single" w:sz="8" w:space="0" w:color="auto"/>
            </w:tcBorders>
            <w:shd w:val="clear" w:color="000000" w:fill="FFFFFF"/>
            <w:noWrap/>
            <w:vAlign w:val="bottom"/>
            <w:hideMark/>
          </w:tcPr>
          <w:p w14:paraId="72421878" w14:textId="77777777" w:rsidR="008B61A4" w:rsidRPr="008B61A4" w:rsidRDefault="008B61A4" w:rsidP="008B61A4">
            <w:pPr>
              <w:spacing w:after="0" w:line="240" w:lineRule="auto"/>
              <w:jc w:val="right"/>
              <w:rPr>
                <w:rFonts w:eastAsia="Times New Roman" w:cs="Calibri"/>
                <w:color w:val="000000"/>
                <w:sz w:val="20"/>
                <w:szCs w:val="20"/>
                <w:lang w:val="en-US"/>
              </w:rPr>
            </w:pPr>
            <w:r w:rsidRPr="008B61A4">
              <w:rPr>
                <w:rFonts w:eastAsia="Times New Roman" w:cs="Calibri"/>
                <w:color w:val="000000"/>
                <w:sz w:val="20"/>
                <w:szCs w:val="20"/>
                <w:lang w:val="en-US"/>
              </w:rPr>
              <w:t>1 133 264,15</w:t>
            </w:r>
          </w:p>
        </w:tc>
        <w:tc>
          <w:tcPr>
            <w:tcW w:w="1357" w:type="dxa"/>
            <w:tcBorders>
              <w:top w:val="nil"/>
              <w:left w:val="nil"/>
              <w:bottom w:val="nil"/>
              <w:right w:val="single" w:sz="8" w:space="0" w:color="auto"/>
            </w:tcBorders>
            <w:shd w:val="clear" w:color="000000" w:fill="FFFFFF"/>
            <w:noWrap/>
            <w:vAlign w:val="bottom"/>
            <w:hideMark/>
          </w:tcPr>
          <w:p w14:paraId="6CB1B60B" w14:textId="77777777" w:rsidR="008B61A4" w:rsidRPr="008B61A4" w:rsidRDefault="008B61A4" w:rsidP="008B61A4">
            <w:pPr>
              <w:spacing w:after="0" w:line="240" w:lineRule="auto"/>
              <w:jc w:val="right"/>
              <w:rPr>
                <w:rFonts w:eastAsia="Times New Roman" w:cs="Calibri"/>
                <w:color w:val="000000"/>
                <w:sz w:val="20"/>
                <w:szCs w:val="20"/>
                <w:lang w:val="en-US"/>
              </w:rPr>
            </w:pPr>
            <w:r w:rsidRPr="008B61A4">
              <w:rPr>
                <w:rFonts w:eastAsia="Times New Roman" w:cs="Calibri"/>
                <w:color w:val="000000"/>
                <w:sz w:val="20"/>
                <w:szCs w:val="20"/>
                <w:lang w:val="en-US"/>
              </w:rPr>
              <w:t>1 601 844,14</w:t>
            </w:r>
          </w:p>
        </w:tc>
        <w:tc>
          <w:tcPr>
            <w:tcW w:w="1217" w:type="dxa"/>
            <w:tcBorders>
              <w:top w:val="nil"/>
              <w:left w:val="nil"/>
              <w:bottom w:val="nil"/>
              <w:right w:val="single" w:sz="8" w:space="0" w:color="auto"/>
            </w:tcBorders>
            <w:shd w:val="clear" w:color="000000" w:fill="FFFFFF"/>
            <w:noWrap/>
            <w:vAlign w:val="bottom"/>
            <w:hideMark/>
          </w:tcPr>
          <w:p w14:paraId="78A1A6F9" w14:textId="77777777" w:rsidR="008B61A4" w:rsidRPr="008B61A4" w:rsidRDefault="008B61A4" w:rsidP="008B61A4">
            <w:pPr>
              <w:spacing w:after="0" w:line="240" w:lineRule="auto"/>
              <w:jc w:val="right"/>
              <w:rPr>
                <w:rFonts w:eastAsia="Times New Roman" w:cs="Calibri"/>
                <w:color w:val="000000"/>
                <w:sz w:val="20"/>
                <w:szCs w:val="20"/>
                <w:lang w:val="en-US"/>
              </w:rPr>
            </w:pPr>
            <w:r w:rsidRPr="008B61A4">
              <w:rPr>
                <w:rFonts w:eastAsia="Times New Roman" w:cs="Calibri"/>
                <w:color w:val="000000"/>
                <w:sz w:val="20"/>
                <w:szCs w:val="20"/>
                <w:lang w:val="en-US"/>
              </w:rPr>
              <w:t>-468 579,99</w:t>
            </w:r>
          </w:p>
        </w:tc>
        <w:tc>
          <w:tcPr>
            <w:tcW w:w="1029" w:type="dxa"/>
            <w:tcBorders>
              <w:top w:val="nil"/>
              <w:left w:val="nil"/>
              <w:bottom w:val="nil"/>
              <w:right w:val="single" w:sz="8" w:space="0" w:color="auto"/>
            </w:tcBorders>
            <w:shd w:val="clear" w:color="auto" w:fill="auto"/>
            <w:vAlign w:val="center"/>
            <w:hideMark/>
          </w:tcPr>
          <w:p w14:paraId="6C8F9CB5" w14:textId="77777777" w:rsidR="008B61A4" w:rsidRPr="008B61A4" w:rsidRDefault="008B61A4" w:rsidP="008B61A4">
            <w:pPr>
              <w:spacing w:after="0" w:line="240" w:lineRule="auto"/>
              <w:jc w:val="center"/>
              <w:rPr>
                <w:rFonts w:eastAsia="Times New Roman" w:cs="Calibri"/>
                <w:color w:val="000000"/>
                <w:sz w:val="20"/>
                <w:szCs w:val="20"/>
                <w:lang w:val="en-US"/>
              </w:rPr>
            </w:pPr>
            <w:r w:rsidRPr="008B61A4">
              <w:rPr>
                <w:rFonts w:eastAsia="Times New Roman" w:cs="Calibri"/>
                <w:color w:val="000000"/>
                <w:sz w:val="20"/>
                <w:szCs w:val="20"/>
                <w:lang w:val="en-US"/>
              </w:rPr>
              <w:t>-29,25%</w:t>
            </w:r>
          </w:p>
        </w:tc>
        <w:tc>
          <w:tcPr>
            <w:tcW w:w="222" w:type="dxa"/>
            <w:vAlign w:val="center"/>
            <w:hideMark/>
          </w:tcPr>
          <w:p w14:paraId="5C7BCE81" w14:textId="77777777" w:rsidR="008B61A4" w:rsidRPr="008B61A4" w:rsidRDefault="008B61A4" w:rsidP="008B61A4">
            <w:pPr>
              <w:spacing w:after="0" w:line="240" w:lineRule="auto"/>
              <w:jc w:val="left"/>
              <w:rPr>
                <w:rFonts w:ascii="Times New Roman" w:eastAsia="Times New Roman" w:hAnsi="Times New Roman" w:cs="Times New Roman"/>
                <w:sz w:val="20"/>
                <w:szCs w:val="20"/>
                <w:lang w:val="en-US"/>
              </w:rPr>
            </w:pPr>
          </w:p>
        </w:tc>
      </w:tr>
      <w:tr w:rsidR="008B61A4" w:rsidRPr="008B61A4" w14:paraId="43E5B42C" w14:textId="77777777" w:rsidTr="008B61A4">
        <w:trPr>
          <w:trHeight w:val="300"/>
        </w:trPr>
        <w:tc>
          <w:tcPr>
            <w:tcW w:w="983" w:type="dxa"/>
            <w:tcBorders>
              <w:top w:val="nil"/>
              <w:left w:val="single" w:sz="8" w:space="0" w:color="auto"/>
              <w:bottom w:val="nil"/>
              <w:right w:val="single" w:sz="8" w:space="0" w:color="auto"/>
            </w:tcBorders>
            <w:shd w:val="clear" w:color="auto" w:fill="auto"/>
            <w:noWrap/>
            <w:vAlign w:val="center"/>
            <w:hideMark/>
          </w:tcPr>
          <w:p w14:paraId="72C38163" w14:textId="77777777" w:rsidR="008B61A4" w:rsidRPr="008B61A4" w:rsidRDefault="008B61A4" w:rsidP="008B61A4">
            <w:pPr>
              <w:spacing w:after="0" w:line="240" w:lineRule="auto"/>
              <w:jc w:val="center"/>
              <w:rPr>
                <w:rFonts w:eastAsia="Times New Roman" w:cs="Calibri"/>
                <w:color w:val="000000"/>
                <w:sz w:val="20"/>
                <w:szCs w:val="20"/>
                <w:lang w:val="en-US"/>
              </w:rPr>
            </w:pPr>
            <w:r w:rsidRPr="008B61A4">
              <w:rPr>
                <w:rFonts w:eastAsia="Times New Roman" w:cs="Calibri"/>
                <w:color w:val="000000"/>
                <w:sz w:val="20"/>
                <w:szCs w:val="20"/>
                <w:lang w:val="en-US"/>
              </w:rPr>
              <w:t>5.1.2.99.</w:t>
            </w:r>
          </w:p>
        </w:tc>
        <w:tc>
          <w:tcPr>
            <w:tcW w:w="2835" w:type="dxa"/>
            <w:tcBorders>
              <w:top w:val="nil"/>
              <w:left w:val="nil"/>
              <w:bottom w:val="nil"/>
              <w:right w:val="single" w:sz="8" w:space="0" w:color="auto"/>
            </w:tcBorders>
            <w:shd w:val="clear" w:color="auto" w:fill="auto"/>
            <w:vAlign w:val="center"/>
            <w:hideMark/>
          </w:tcPr>
          <w:p w14:paraId="5147B02B" w14:textId="77777777" w:rsidR="008B61A4" w:rsidRPr="008B61A4" w:rsidRDefault="008B61A4" w:rsidP="008B61A4">
            <w:pPr>
              <w:spacing w:after="0" w:line="240" w:lineRule="auto"/>
              <w:jc w:val="left"/>
              <w:rPr>
                <w:rFonts w:eastAsia="Times New Roman" w:cs="Calibri"/>
                <w:color w:val="000000"/>
                <w:sz w:val="20"/>
                <w:szCs w:val="20"/>
                <w:lang w:val="en-US"/>
              </w:rPr>
            </w:pPr>
            <w:r w:rsidRPr="008B61A4">
              <w:rPr>
                <w:rFonts w:eastAsia="Times New Roman" w:cs="Calibri"/>
                <w:color w:val="000000"/>
                <w:sz w:val="20"/>
                <w:szCs w:val="20"/>
                <w:lang w:val="en-US"/>
              </w:rPr>
              <w:t>Otros servicios varios</w:t>
            </w:r>
          </w:p>
        </w:tc>
        <w:tc>
          <w:tcPr>
            <w:tcW w:w="1360" w:type="dxa"/>
            <w:tcBorders>
              <w:top w:val="nil"/>
              <w:left w:val="nil"/>
              <w:bottom w:val="nil"/>
              <w:right w:val="single" w:sz="8" w:space="0" w:color="auto"/>
            </w:tcBorders>
            <w:shd w:val="clear" w:color="000000" w:fill="FFFFFF"/>
            <w:noWrap/>
            <w:vAlign w:val="bottom"/>
            <w:hideMark/>
          </w:tcPr>
          <w:p w14:paraId="463E4F8A" w14:textId="77777777" w:rsidR="008B61A4" w:rsidRPr="008B61A4" w:rsidRDefault="008B61A4" w:rsidP="008B61A4">
            <w:pPr>
              <w:spacing w:after="0" w:line="240" w:lineRule="auto"/>
              <w:jc w:val="right"/>
              <w:rPr>
                <w:rFonts w:eastAsia="Times New Roman" w:cs="Calibri"/>
                <w:color w:val="000000"/>
                <w:sz w:val="20"/>
                <w:szCs w:val="20"/>
                <w:lang w:val="en-US"/>
              </w:rPr>
            </w:pPr>
            <w:r w:rsidRPr="008B61A4">
              <w:rPr>
                <w:rFonts w:eastAsia="Times New Roman" w:cs="Calibri"/>
                <w:color w:val="000000"/>
                <w:sz w:val="20"/>
                <w:szCs w:val="20"/>
                <w:lang w:val="en-US"/>
              </w:rPr>
              <w:t>0,00</w:t>
            </w:r>
          </w:p>
        </w:tc>
        <w:tc>
          <w:tcPr>
            <w:tcW w:w="1357" w:type="dxa"/>
            <w:tcBorders>
              <w:top w:val="nil"/>
              <w:left w:val="nil"/>
              <w:bottom w:val="nil"/>
              <w:right w:val="single" w:sz="8" w:space="0" w:color="auto"/>
            </w:tcBorders>
            <w:shd w:val="clear" w:color="000000" w:fill="FFFFFF"/>
            <w:noWrap/>
            <w:vAlign w:val="bottom"/>
            <w:hideMark/>
          </w:tcPr>
          <w:p w14:paraId="5F7E4CE1" w14:textId="77777777" w:rsidR="008B61A4" w:rsidRPr="008B61A4" w:rsidRDefault="008B61A4" w:rsidP="008B61A4">
            <w:pPr>
              <w:spacing w:after="0" w:line="240" w:lineRule="auto"/>
              <w:jc w:val="right"/>
              <w:rPr>
                <w:rFonts w:eastAsia="Times New Roman" w:cs="Calibri"/>
                <w:color w:val="000000"/>
                <w:sz w:val="20"/>
                <w:szCs w:val="20"/>
                <w:lang w:val="en-US"/>
              </w:rPr>
            </w:pPr>
            <w:r w:rsidRPr="008B61A4">
              <w:rPr>
                <w:rFonts w:eastAsia="Times New Roman" w:cs="Calibri"/>
                <w:color w:val="000000"/>
                <w:sz w:val="20"/>
                <w:szCs w:val="20"/>
                <w:lang w:val="en-US"/>
              </w:rPr>
              <w:t>150,00</w:t>
            </w:r>
          </w:p>
        </w:tc>
        <w:tc>
          <w:tcPr>
            <w:tcW w:w="1217" w:type="dxa"/>
            <w:tcBorders>
              <w:top w:val="nil"/>
              <w:left w:val="nil"/>
              <w:bottom w:val="nil"/>
              <w:right w:val="single" w:sz="8" w:space="0" w:color="auto"/>
            </w:tcBorders>
            <w:shd w:val="clear" w:color="000000" w:fill="FFFFFF"/>
            <w:noWrap/>
            <w:vAlign w:val="bottom"/>
            <w:hideMark/>
          </w:tcPr>
          <w:p w14:paraId="0B583539" w14:textId="77777777" w:rsidR="008B61A4" w:rsidRPr="008B61A4" w:rsidRDefault="008B61A4" w:rsidP="008B61A4">
            <w:pPr>
              <w:spacing w:after="0" w:line="240" w:lineRule="auto"/>
              <w:jc w:val="right"/>
              <w:rPr>
                <w:rFonts w:eastAsia="Times New Roman" w:cs="Calibri"/>
                <w:color w:val="000000"/>
                <w:sz w:val="20"/>
                <w:szCs w:val="20"/>
                <w:lang w:val="en-US"/>
              </w:rPr>
            </w:pPr>
            <w:r w:rsidRPr="008B61A4">
              <w:rPr>
                <w:rFonts w:eastAsia="Times New Roman" w:cs="Calibri"/>
                <w:color w:val="000000"/>
                <w:sz w:val="20"/>
                <w:szCs w:val="20"/>
                <w:lang w:val="en-US"/>
              </w:rPr>
              <w:t>-150,00</w:t>
            </w:r>
          </w:p>
        </w:tc>
        <w:tc>
          <w:tcPr>
            <w:tcW w:w="1029" w:type="dxa"/>
            <w:tcBorders>
              <w:top w:val="nil"/>
              <w:left w:val="nil"/>
              <w:bottom w:val="nil"/>
              <w:right w:val="single" w:sz="8" w:space="0" w:color="auto"/>
            </w:tcBorders>
            <w:shd w:val="clear" w:color="auto" w:fill="auto"/>
            <w:vAlign w:val="center"/>
            <w:hideMark/>
          </w:tcPr>
          <w:p w14:paraId="51FE8B3F" w14:textId="77777777" w:rsidR="008B61A4" w:rsidRPr="008B61A4" w:rsidRDefault="008B61A4" w:rsidP="008B61A4">
            <w:pPr>
              <w:spacing w:after="0" w:line="240" w:lineRule="auto"/>
              <w:jc w:val="center"/>
              <w:rPr>
                <w:rFonts w:eastAsia="Times New Roman" w:cs="Calibri"/>
                <w:color w:val="000000"/>
                <w:sz w:val="20"/>
                <w:szCs w:val="20"/>
                <w:lang w:val="en-US"/>
              </w:rPr>
            </w:pPr>
            <w:r w:rsidRPr="008B61A4">
              <w:rPr>
                <w:rFonts w:eastAsia="Times New Roman" w:cs="Calibri"/>
                <w:color w:val="000000"/>
                <w:sz w:val="20"/>
                <w:szCs w:val="20"/>
                <w:lang w:val="en-US"/>
              </w:rPr>
              <w:t>-100,00%</w:t>
            </w:r>
          </w:p>
        </w:tc>
        <w:tc>
          <w:tcPr>
            <w:tcW w:w="222" w:type="dxa"/>
            <w:vAlign w:val="center"/>
            <w:hideMark/>
          </w:tcPr>
          <w:p w14:paraId="2D30CAED" w14:textId="77777777" w:rsidR="008B61A4" w:rsidRPr="008B61A4" w:rsidRDefault="008B61A4" w:rsidP="008B61A4">
            <w:pPr>
              <w:spacing w:after="0" w:line="240" w:lineRule="auto"/>
              <w:jc w:val="left"/>
              <w:rPr>
                <w:rFonts w:ascii="Times New Roman" w:eastAsia="Times New Roman" w:hAnsi="Times New Roman" w:cs="Times New Roman"/>
                <w:sz w:val="20"/>
                <w:szCs w:val="20"/>
                <w:lang w:val="en-US"/>
              </w:rPr>
            </w:pPr>
          </w:p>
        </w:tc>
      </w:tr>
      <w:tr w:rsidR="008B61A4" w:rsidRPr="008B61A4" w14:paraId="54F20C2D" w14:textId="77777777" w:rsidTr="008B61A4">
        <w:trPr>
          <w:trHeight w:val="300"/>
        </w:trPr>
        <w:tc>
          <w:tcPr>
            <w:tcW w:w="9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E3DE029" w14:textId="77777777" w:rsidR="008B61A4" w:rsidRPr="008B61A4" w:rsidRDefault="008B61A4" w:rsidP="008B61A4">
            <w:pPr>
              <w:spacing w:after="0" w:line="240" w:lineRule="auto"/>
              <w:rPr>
                <w:rFonts w:eastAsia="Times New Roman" w:cs="Calibri"/>
                <w:color w:val="000000"/>
                <w:sz w:val="22"/>
                <w:lang w:val="en-US"/>
              </w:rPr>
            </w:pPr>
            <w:r w:rsidRPr="008B61A4">
              <w:rPr>
                <w:rFonts w:eastAsia="Times New Roman" w:cs="Calibri"/>
                <w:color w:val="000000"/>
                <w:sz w:val="22"/>
                <w:lang w:val="en-US"/>
              </w:rPr>
              <w:t> </w:t>
            </w:r>
          </w:p>
        </w:tc>
        <w:tc>
          <w:tcPr>
            <w:tcW w:w="2835" w:type="dxa"/>
            <w:tcBorders>
              <w:top w:val="single" w:sz="8" w:space="0" w:color="auto"/>
              <w:left w:val="nil"/>
              <w:bottom w:val="single" w:sz="8" w:space="0" w:color="auto"/>
              <w:right w:val="single" w:sz="8" w:space="0" w:color="auto"/>
            </w:tcBorders>
            <w:shd w:val="clear" w:color="auto" w:fill="auto"/>
            <w:vAlign w:val="center"/>
            <w:hideMark/>
          </w:tcPr>
          <w:p w14:paraId="06CD7F7B" w14:textId="77777777" w:rsidR="008B61A4" w:rsidRPr="008B61A4" w:rsidRDefault="008B61A4" w:rsidP="008B61A4">
            <w:pPr>
              <w:spacing w:after="0" w:line="240" w:lineRule="auto"/>
              <w:jc w:val="center"/>
              <w:rPr>
                <w:rFonts w:eastAsia="Times New Roman" w:cs="Calibri"/>
                <w:b/>
                <w:bCs/>
                <w:color w:val="000000"/>
                <w:sz w:val="20"/>
                <w:szCs w:val="20"/>
                <w:lang w:val="en-US"/>
              </w:rPr>
            </w:pPr>
            <w:r w:rsidRPr="008B61A4">
              <w:rPr>
                <w:rFonts w:eastAsia="Times New Roman" w:cs="Calibri"/>
                <w:b/>
                <w:bCs/>
                <w:color w:val="000000"/>
                <w:sz w:val="20"/>
                <w:szCs w:val="20"/>
                <w:lang w:val="en-US"/>
              </w:rPr>
              <w:t>TOTALES</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14A04B75" w14:textId="77777777" w:rsidR="008B61A4" w:rsidRPr="008B61A4" w:rsidRDefault="008B61A4" w:rsidP="008B61A4">
            <w:pPr>
              <w:spacing w:after="0" w:line="240" w:lineRule="auto"/>
              <w:jc w:val="right"/>
              <w:rPr>
                <w:rFonts w:eastAsia="Times New Roman" w:cs="Calibri"/>
                <w:b/>
                <w:bCs/>
                <w:color w:val="000000"/>
                <w:sz w:val="20"/>
                <w:szCs w:val="20"/>
                <w:lang w:val="en-US"/>
              </w:rPr>
            </w:pPr>
            <w:r w:rsidRPr="008B61A4">
              <w:rPr>
                <w:rFonts w:ascii="Arial" w:eastAsia="Times New Roman" w:hAnsi="Arial" w:cs="Arial"/>
                <w:b/>
                <w:bCs/>
                <w:color w:val="000000"/>
                <w:sz w:val="20"/>
                <w:szCs w:val="20"/>
                <w:lang w:val="en-US"/>
              </w:rPr>
              <w:t>₡</w:t>
            </w:r>
            <w:r w:rsidRPr="008B61A4">
              <w:rPr>
                <w:rFonts w:eastAsia="Times New Roman" w:cs="Calibri"/>
                <w:b/>
                <w:bCs/>
                <w:color w:val="000000"/>
                <w:sz w:val="20"/>
                <w:szCs w:val="20"/>
                <w:lang w:val="en-US"/>
              </w:rPr>
              <w:t>1 430 106,55</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647B7CB3" w14:textId="77777777" w:rsidR="008B61A4" w:rsidRPr="008B61A4" w:rsidRDefault="008B61A4" w:rsidP="008B61A4">
            <w:pPr>
              <w:spacing w:after="0" w:line="240" w:lineRule="auto"/>
              <w:jc w:val="right"/>
              <w:rPr>
                <w:rFonts w:eastAsia="Times New Roman" w:cs="Calibri"/>
                <w:b/>
                <w:bCs/>
                <w:color w:val="000000"/>
                <w:sz w:val="20"/>
                <w:szCs w:val="20"/>
                <w:lang w:val="en-US"/>
              </w:rPr>
            </w:pPr>
            <w:r w:rsidRPr="008B61A4">
              <w:rPr>
                <w:rFonts w:ascii="Arial" w:eastAsia="Times New Roman" w:hAnsi="Arial" w:cs="Arial"/>
                <w:b/>
                <w:bCs/>
                <w:color w:val="000000"/>
                <w:sz w:val="20"/>
                <w:szCs w:val="20"/>
                <w:lang w:val="en-US"/>
              </w:rPr>
              <w:t>₡</w:t>
            </w:r>
            <w:r w:rsidRPr="008B61A4">
              <w:rPr>
                <w:rFonts w:eastAsia="Times New Roman" w:cs="Calibri"/>
                <w:b/>
                <w:bCs/>
                <w:color w:val="000000"/>
                <w:sz w:val="20"/>
                <w:szCs w:val="20"/>
                <w:lang w:val="en-US"/>
              </w:rPr>
              <w:t>1 905 864,24</w:t>
            </w:r>
          </w:p>
        </w:tc>
        <w:tc>
          <w:tcPr>
            <w:tcW w:w="1217" w:type="dxa"/>
            <w:tcBorders>
              <w:top w:val="single" w:sz="8" w:space="0" w:color="auto"/>
              <w:left w:val="nil"/>
              <w:bottom w:val="single" w:sz="8" w:space="0" w:color="auto"/>
              <w:right w:val="single" w:sz="8" w:space="0" w:color="auto"/>
            </w:tcBorders>
            <w:shd w:val="clear" w:color="auto" w:fill="auto"/>
            <w:noWrap/>
            <w:vAlign w:val="center"/>
            <w:hideMark/>
          </w:tcPr>
          <w:p w14:paraId="706BDDE1" w14:textId="77777777" w:rsidR="008B61A4" w:rsidRPr="008B61A4" w:rsidRDefault="008B61A4" w:rsidP="008B61A4">
            <w:pPr>
              <w:spacing w:after="0" w:line="240" w:lineRule="auto"/>
              <w:ind w:left="-135"/>
              <w:jc w:val="right"/>
              <w:rPr>
                <w:rFonts w:eastAsia="Times New Roman" w:cs="Calibri"/>
                <w:b/>
                <w:bCs/>
                <w:color w:val="000000"/>
                <w:sz w:val="20"/>
                <w:szCs w:val="20"/>
                <w:lang w:val="en-US"/>
              </w:rPr>
            </w:pPr>
            <w:r w:rsidRPr="008B61A4">
              <w:rPr>
                <w:rFonts w:eastAsia="Times New Roman" w:cs="Calibri"/>
                <w:b/>
                <w:bCs/>
                <w:color w:val="000000"/>
                <w:sz w:val="20"/>
                <w:szCs w:val="20"/>
                <w:lang w:val="en-US"/>
              </w:rPr>
              <w:t>-</w:t>
            </w:r>
            <w:r w:rsidRPr="008B61A4">
              <w:rPr>
                <w:rFonts w:ascii="Arial" w:eastAsia="Times New Roman" w:hAnsi="Arial" w:cs="Arial"/>
                <w:b/>
                <w:bCs/>
                <w:color w:val="000000"/>
                <w:sz w:val="20"/>
                <w:szCs w:val="20"/>
                <w:lang w:val="en-US"/>
              </w:rPr>
              <w:t>₡</w:t>
            </w:r>
            <w:r w:rsidRPr="008B61A4">
              <w:rPr>
                <w:rFonts w:eastAsia="Times New Roman" w:cs="Calibri"/>
                <w:b/>
                <w:bCs/>
                <w:color w:val="000000"/>
                <w:sz w:val="20"/>
                <w:szCs w:val="20"/>
                <w:lang w:val="en-US"/>
              </w:rPr>
              <w:t>475 757,70</w:t>
            </w:r>
          </w:p>
        </w:tc>
        <w:tc>
          <w:tcPr>
            <w:tcW w:w="1029" w:type="dxa"/>
            <w:tcBorders>
              <w:top w:val="single" w:sz="8" w:space="0" w:color="auto"/>
              <w:left w:val="nil"/>
              <w:bottom w:val="single" w:sz="8" w:space="0" w:color="auto"/>
              <w:right w:val="single" w:sz="8" w:space="0" w:color="auto"/>
            </w:tcBorders>
            <w:shd w:val="clear" w:color="auto" w:fill="auto"/>
            <w:vAlign w:val="center"/>
            <w:hideMark/>
          </w:tcPr>
          <w:p w14:paraId="752BEE6E" w14:textId="77777777" w:rsidR="008B61A4" w:rsidRPr="008B61A4" w:rsidRDefault="008B61A4" w:rsidP="008B61A4">
            <w:pPr>
              <w:spacing w:after="0" w:line="240" w:lineRule="auto"/>
              <w:jc w:val="center"/>
              <w:rPr>
                <w:rFonts w:eastAsia="Times New Roman" w:cs="Calibri"/>
                <w:b/>
                <w:bCs/>
                <w:color w:val="000000"/>
                <w:sz w:val="20"/>
                <w:szCs w:val="20"/>
                <w:lang w:val="en-US"/>
              </w:rPr>
            </w:pPr>
            <w:r w:rsidRPr="008B61A4">
              <w:rPr>
                <w:rFonts w:eastAsia="Times New Roman" w:cs="Calibri"/>
                <w:b/>
                <w:bCs/>
                <w:color w:val="000000"/>
                <w:sz w:val="20"/>
                <w:szCs w:val="20"/>
                <w:lang w:val="en-US"/>
              </w:rPr>
              <w:t>-24,96%</w:t>
            </w:r>
          </w:p>
        </w:tc>
        <w:tc>
          <w:tcPr>
            <w:tcW w:w="222" w:type="dxa"/>
            <w:vAlign w:val="center"/>
            <w:hideMark/>
          </w:tcPr>
          <w:p w14:paraId="3166EF2B" w14:textId="77777777" w:rsidR="008B61A4" w:rsidRPr="008B61A4" w:rsidRDefault="008B61A4" w:rsidP="008B61A4">
            <w:pPr>
              <w:spacing w:after="0" w:line="240" w:lineRule="auto"/>
              <w:jc w:val="left"/>
              <w:rPr>
                <w:rFonts w:ascii="Times New Roman" w:eastAsia="Times New Roman" w:hAnsi="Times New Roman" w:cs="Times New Roman"/>
                <w:sz w:val="20"/>
                <w:szCs w:val="20"/>
                <w:lang w:val="en-US"/>
              </w:rPr>
            </w:pPr>
          </w:p>
        </w:tc>
      </w:tr>
    </w:tbl>
    <w:p w14:paraId="3E5E4305" w14:textId="77777777" w:rsidR="003124B8" w:rsidRDefault="003124B8" w:rsidP="003124B8">
      <w:pPr>
        <w:spacing w:after="0" w:line="240" w:lineRule="auto"/>
      </w:pPr>
    </w:p>
    <w:p w14:paraId="3F011E97" w14:textId="584DB7E9" w:rsidR="003124B8" w:rsidRDefault="003124B8" w:rsidP="003124B8">
      <w:pPr>
        <w:spacing w:after="0" w:line="240" w:lineRule="auto"/>
      </w:pPr>
      <w:r w:rsidRPr="00A91674">
        <w:t xml:space="preserve">Como se observa </w:t>
      </w:r>
      <w:r>
        <w:t>en el cuadro anterior la variación (disminución) de -</w:t>
      </w:r>
      <w:r w:rsidRPr="008B61A4">
        <w:rPr>
          <w:rFonts w:ascii="Arial" w:hAnsi="Arial" w:cs="Arial"/>
        </w:rPr>
        <w:t>₡</w:t>
      </w:r>
      <w:r w:rsidR="008B61A4" w:rsidRPr="008B61A4">
        <w:t xml:space="preserve">475 757,70 </w:t>
      </w:r>
      <w:r>
        <w:t xml:space="preserve">miles, que se presenta </w:t>
      </w:r>
      <w:r w:rsidR="008B61A4">
        <w:t xml:space="preserve">al comparar los </w:t>
      </w:r>
      <w:r>
        <w:t xml:space="preserve">saldos al </w:t>
      </w:r>
      <w:r w:rsidR="00D470B6">
        <w:t>30 de junio</w:t>
      </w:r>
      <w:r>
        <w:t xml:space="preserve"> de 2023 </w:t>
      </w:r>
      <w:r w:rsidR="008B61A4">
        <w:t>con los del</w:t>
      </w:r>
      <w:r>
        <w:t xml:space="preserve"> </w:t>
      </w:r>
      <w:r w:rsidR="00D470B6">
        <w:t>30 de junio</w:t>
      </w:r>
      <w:r>
        <w:t xml:space="preserve"> de 2024 en la cuenta de “Servicios”, se origina en gran medida por las disminuciones en las subcuentas de “Alquileres y derechos sobre bienes”, “Servicios comerciales y financieros</w:t>
      </w:r>
      <w:r w:rsidRPr="00161255">
        <w:t xml:space="preserve"> y “Mantenimiento y reparaciones” </w:t>
      </w:r>
      <w:r>
        <w:t>por -</w:t>
      </w:r>
      <w:r w:rsidRPr="006242ED">
        <w:rPr>
          <w:rFonts w:ascii="Arial" w:hAnsi="Arial" w:cs="Arial"/>
        </w:rPr>
        <w:t>₡</w:t>
      </w:r>
      <w:r w:rsidR="008B61A4">
        <w:t>27</w:t>
      </w:r>
      <w:r>
        <w:t> </w:t>
      </w:r>
      <w:r w:rsidR="008B61A4">
        <w:t>821</w:t>
      </w:r>
      <w:r>
        <w:t>,</w:t>
      </w:r>
      <w:r w:rsidR="008B61A4">
        <w:t>81</w:t>
      </w:r>
      <w:r w:rsidRPr="00DF54E4">
        <w:t xml:space="preserve"> miles</w:t>
      </w:r>
      <w:r>
        <w:t>, -</w:t>
      </w:r>
      <w:r w:rsidRPr="006242ED">
        <w:rPr>
          <w:rFonts w:ascii="Arial" w:hAnsi="Arial" w:cs="Arial"/>
        </w:rPr>
        <w:t>₡</w:t>
      </w:r>
      <w:r w:rsidRPr="006242ED">
        <w:t>3</w:t>
      </w:r>
      <w:r w:rsidR="008B61A4">
        <w:t> </w:t>
      </w:r>
      <w:r>
        <w:t>92</w:t>
      </w:r>
      <w:r w:rsidRPr="00970B7A">
        <w:t>1</w:t>
      </w:r>
      <w:r w:rsidR="008B61A4">
        <w:t>,47</w:t>
      </w:r>
      <w:r w:rsidRPr="00970B7A">
        <w:t xml:space="preserve"> miles</w:t>
      </w:r>
      <w:r w:rsidR="008B61A4">
        <w:t xml:space="preserve"> </w:t>
      </w:r>
      <w:r w:rsidRPr="00161255">
        <w:t>y -</w:t>
      </w:r>
      <w:r w:rsidRPr="006242ED">
        <w:rPr>
          <w:rFonts w:ascii="Arial" w:hAnsi="Arial" w:cs="Arial"/>
        </w:rPr>
        <w:t>₡</w:t>
      </w:r>
      <w:r w:rsidR="008B61A4">
        <w:rPr>
          <w:rFonts w:ascii="Arial" w:hAnsi="Arial" w:cs="Arial"/>
        </w:rPr>
        <w:t>4</w:t>
      </w:r>
      <w:r>
        <w:t>68</w:t>
      </w:r>
      <w:r w:rsidRPr="00161255">
        <w:t> </w:t>
      </w:r>
      <w:r>
        <w:t>5</w:t>
      </w:r>
      <w:r w:rsidR="008B61A4">
        <w:t>79</w:t>
      </w:r>
      <w:r w:rsidRPr="00161255">
        <w:t>,</w:t>
      </w:r>
      <w:r w:rsidR="008B61A4">
        <w:t xml:space="preserve">99 </w:t>
      </w:r>
      <w:r w:rsidRPr="00161255">
        <w:t>miles, respectivamente.</w:t>
      </w:r>
      <w:r w:rsidR="008B61A4">
        <w:t xml:space="preserve"> </w:t>
      </w:r>
      <w:r>
        <w:t>Dichas disminuciones se vieron contrarrestadas en parte por los aumentos en “Servicios básicos”</w:t>
      </w:r>
      <w:r w:rsidRPr="003E2024">
        <w:t xml:space="preserve"> (</w:t>
      </w:r>
      <w:r w:rsidRPr="006242ED">
        <w:rPr>
          <w:rFonts w:ascii="Arial" w:hAnsi="Arial" w:cs="Arial"/>
        </w:rPr>
        <w:t>₡</w:t>
      </w:r>
      <w:r>
        <w:t>7</w:t>
      </w:r>
      <w:r w:rsidR="008B61A4">
        <w:t xml:space="preserve"> 184</w:t>
      </w:r>
      <w:r>
        <w:t>,0</w:t>
      </w:r>
      <w:r w:rsidR="008B61A4">
        <w:t>2</w:t>
      </w:r>
      <w:r w:rsidRPr="003E2024">
        <w:t xml:space="preserve"> miles),</w:t>
      </w:r>
      <w:r>
        <w:t xml:space="preserve"> </w:t>
      </w:r>
      <w:r w:rsidR="007E5CDA">
        <w:t>“</w:t>
      </w:r>
      <w:r w:rsidR="008B61A4" w:rsidRPr="008B61A4">
        <w:rPr>
          <w:rFonts w:eastAsia="Times New Roman" w:cs="Calibri"/>
          <w:color w:val="000000"/>
          <w:sz w:val="20"/>
          <w:szCs w:val="20"/>
        </w:rPr>
        <w:t>Servicios de gestión y apoyo</w:t>
      </w:r>
      <w:r w:rsidR="007E5CDA">
        <w:t>”</w:t>
      </w:r>
      <w:r w:rsidR="007E5CDA" w:rsidRPr="003E2024">
        <w:t xml:space="preserve"> (</w:t>
      </w:r>
      <w:r w:rsidR="007E5CDA" w:rsidRPr="006242ED">
        <w:rPr>
          <w:rFonts w:ascii="Arial" w:hAnsi="Arial" w:cs="Arial"/>
        </w:rPr>
        <w:t>₡</w:t>
      </w:r>
      <w:r w:rsidR="007E5CDA">
        <w:t>4 914,50</w:t>
      </w:r>
      <w:r w:rsidR="007E5CDA" w:rsidRPr="003E2024">
        <w:t xml:space="preserve"> miles</w:t>
      </w:r>
      <w:r w:rsidR="007E5CDA">
        <w:t xml:space="preserve">), </w:t>
      </w:r>
      <w:r>
        <w:t>“</w:t>
      </w:r>
      <w:r w:rsidRPr="00970B7A">
        <w:t xml:space="preserve">Seguros, reaseguros y otras obligaciones” </w:t>
      </w:r>
      <w:r w:rsidR="007E5CDA">
        <w:t>(</w:t>
      </w:r>
      <w:r w:rsidRPr="00970B7A">
        <w:rPr>
          <w:rFonts w:ascii="Arial" w:hAnsi="Arial" w:cs="Arial"/>
        </w:rPr>
        <w:t>₡</w:t>
      </w:r>
      <w:r>
        <w:t>1 </w:t>
      </w:r>
      <w:r w:rsidR="007E5CDA">
        <w:t>318</w:t>
      </w:r>
      <w:r>
        <w:t>,</w:t>
      </w:r>
      <w:r w:rsidR="007E5CDA">
        <w:t>23</w:t>
      </w:r>
      <w:r>
        <w:t xml:space="preserve"> </w:t>
      </w:r>
      <w:r w:rsidRPr="00970B7A">
        <w:t>miles</w:t>
      </w:r>
      <w:r w:rsidR="007E5CDA">
        <w:t>)</w:t>
      </w:r>
      <w:r w:rsidRPr="00970B7A">
        <w:t xml:space="preserve">; </w:t>
      </w:r>
      <w:r>
        <w:t>y “Capacitación y protocolo (</w:t>
      </w:r>
      <w:r w:rsidRPr="00970B7A">
        <w:rPr>
          <w:rFonts w:ascii="Arial" w:hAnsi="Arial" w:cs="Arial"/>
        </w:rPr>
        <w:t>₡</w:t>
      </w:r>
      <w:r>
        <w:t>10</w:t>
      </w:r>
      <w:r w:rsidRPr="008473A0">
        <w:t> </w:t>
      </w:r>
      <w:r>
        <w:t>860</w:t>
      </w:r>
      <w:r w:rsidRPr="008473A0">
        <w:t>,</w:t>
      </w:r>
      <w:r>
        <w:t>00</w:t>
      </w:r>
      <w:r w:rsidRPr="008473A0">
        <w:t xml:space="preserve"> miles</w:t>
      </w:r>
      <w:r>
        <w:t>).</w:t>
      </w:r>
    </w:p>
    <w:p w14:paraId="28FF4A98" w14:textId="77777777" w:rsidR="003124B8" w:rsidRDefault="003124B8" w:rsidP="003124B8">
      <w:pPr>
        <w:spacing w:after="0" w:line="240" w:lineRule="auto"/>
      </w:pPr>
    </w:p>
    <w:p w14:paraId="64DD647C" w14:textId="2791EEFA" w:rsidR="003124B8" w:rsidRDefault="003124B8" w:rsidP="003124B8">
      <w:pPr>
        <w:spacing w:after="0" w:line="240" w:lineRule="auto"/>
      </w:pPr>
      <w:r>
        <w:t>En el siguiente detalle</w:t>
      </w:r>
      <w:r w:rsidRPr="00A91674">
        <w:t xml:space="preserve"> de </w:t>
      </w:r>
      <w:r>
        <w:t xml:space="preserve">consigna </w:t>
      </w:r>
      <w:r w:rsidRPr="00A91674">
        <w:t>cómo está compuesta</w:t>
      </w:r>
      <w:r>
        <w:t xml:space="preserve"> en detalle</w:t>
      </w:r>
      <w:r w:rsidRPr="00A91674">
        <w:t xml:space="preserve"> </w:t>
      </w:r>
      <w:r>
        <w:t>cada una de las sub</w:t>
      </w:r>
      <w:r w:rsidRPr="00A91674">
        <w:t>cuenta</w:t>
      </w:r>
      <w:r>
        <w:t xml:space="preserve">s que conformaban la cuenta de Servicios al </w:t>
      </w:r>
      <w:r w:rsidR="00D470B6">
        <w:t>30 de junio</w:t>
      </w:r>
      <w:r>
        <w:t xml:space="preserve"> de 2024 y como está conformada la variación con respecto a </w:t>
      </w:r>
      <w:r w:rsidR="0096573A">
        <w:t>junio</w:t>
      </w:r>
      <w:r>
        <w:t xml:space="preserve"> 2023</w:t>
      </w:r>
      <w:r w:rsidRPr="00A91674">
        <w:t>:</w:t>
      </w:r>
    </w:p>
    <w:p w14:paraId="62498A36" w14:textId="77777777" w:rsidR="006242ED" w:rsidRDefault="006242ED" w:rsidP="003124B8">
      <w:pPr>
        <w:spacing w:after="0" w:line="240" w:lineRule="auto"/>
      </w:pPr>
    </w:p>
    <w:tbl>
      <w:tblPr>
        <w:tblW w:w="9061" w:type="dxa"/>
        <w:tblLook w:val="04A0" w:firstRow="1" w:lastRow="0" w:firstColumn="1" w:lastColumn="0" w:noHBand="0" w:noVBand="1"/>
      </w:tblPr>
      <w:tblGrid>
        <w:gridCol w:w="1265"/>
        <w:gridCol w:w="3357"/>
        <w:gridCol w:w="1276"/>
        <w:gridCol w:w="1276"/>
        <w:gridCol w:w="1134"/>
        <w:gridCol w:w="955"/>
        <w:gridCol w:w="222"/>
      </w:tblGrid>
      <w:tr w:rsidR="007E5CDA" w:rsidRPr="007E5CDA" w14:paraId="2734FF43" w14:textId="77777777" w:rsidTr="007E5CDA">
        <w:trPr>
          <w:gridAfter w:val="1"/>
          <w:wAfter w:w="222" w:type="dxa"/>
          <w:trHeight w:val="457"/>
        </w:trPr>
        <w:tc>
          <w:tcPr>
            <w:tcW w:w="841" w:type="dxa"/>
            <w:vMerge w:val="restart"/>
            <w:tcBorders>
              <w:top w:val="single" w:sz="8" w:space="0" w:color="auto"/>
              <w:left w:val="single" w:sz="8" w:space="0" w:color="auto"/>
              <w:bottom w:val="single" w:sz="8" w:space="0" w:color="000000"/>
              <w:right w:val="single" w:sz="8" w:space="0" w:color="auto"/>
            </w:tcBorders>
            <w:shd w:val="clear" w:color="000000" w:fill="203764"/>
            <w:noWrap/>
            <w:vAlign w:val="center"/>
            <w:hideMark/>
          </w:tcPr>
          <w:p w14:paraId="72FF680A" w14:textId="77777777" w:rsidR="007E5CDA" w:rsidRPr="007E5CDA" w:rsidRDefault="007E5CDA" w:rsidP="007E5CDA">
            <w:pPr>
              <w:spacing w:after="0" w:line="240" w:lineRule="auto"/>
              <w:jc w:val="center"/>
              <w:rPr>
                <w:rFonts w:eastAsia="Times New Roman" w:cs="Calibri"/>
                <w:b/>
                <w:bCs/>
                <w:color w:val="FFFFFF"/>
                <w:sz w:val="20"/>
                <w:szCs w:val="20"/>
                <w:lang w:val="en-US"/>
              </w:rPr>
            </w:pPr>
            <w:r w:rsidRPr="007E5CDA">
              <w:rPr>
                <w:rFonts w:eastAsia="Times New Roman" w:cs="Calibri"/>
                <w:b/>
                <w:bCs/>
                <w:color w:val="FFFFFF"/>
                <w:sz w:val="20"/>
                <w:szCs w:val="20"/>
                <w:lang w:val="en-US"/>
              </w:rPr>
              <w:t>Cuenta</w:t>
            </w:r>
          </w:p>
        </w:tc>
        <w:tc>
          <w:tcPr>
            <w:tcW w:w="3357" w:type="dxa"/>
            <w:vMerge w:val="restart"/>
            <w:tcBorders>
              <w:top w:val="single" w:sz="8" w:space="0" w:color="auto"/>
              <w:left w:val="single" w:sz="8" w:space="0" w:color="auto"/>
              <w:bottom w:val="single" w:sz="8" w:space="0" w:color="000000"/>
              <w:right w:val="single" w:sz="8" w:space="0" w:color="auto"/>
            </w:tcBorders>
            <w:shd w:val="clear" w:color="000000" w:fill="203764"/>
            <w:vAlign w:val="center"/>
            <w:hideMark/>
          </w:tcPr>
          <w:p w14:paraId="4B472D16" w14:textId="77777777" w:rsidR="007E5CDA" w:rsidRPr="007E5CDA" w:rsidRDefault="007E5CDA" w:rsidP="007E5CDA">
            <w:pPr>
              <w:spacing w:after="0" w:line="240" w:lineRule="auto"/>
              <w:jc w:val="center"/>
              <w:rPr>
                <w:rFonts w:eastAsia="Times New Roman" w:cs="Calibri"/>
                <w:b/>
                <w:bCs/>
                <w:color w:val="FFFFFF"/>
                <w:sz w:val="20"/>
                <w:szCs w:val="20"/>
                <w:lang w:val="en-US"/>
              </w:rPr>
            </w:pPr>
            <w:r w:rsidRPr="007E5CDA">
              <w:rPr>
                <w:rFonts w:eastAsia="Times New Roman" w:cs="Calibri"/>
                <w:b/>
                <w:bCs/>
                <w:color w:val="FFFFFF"/>
                <w:sz w:val="20"/>
                <w:szCs w:val="20"/>
                <w:lang w:val="en-US"/>
              </w:rPr>
              <w:t>Descripción</w:t>
            </w:r>
          </w:p>
        </w:tc>
        <w:tc>
          <w:tcPr>
            <w:tcW w:w="1276" w:type="dxa"/>
            <w:vMerge w:val="restart"/>
            <w:tcBorders>
              <w:top w:val="single" w:sz="8" w:space="0" w:color="auto"/>
              <w:left w:val="single" w:sz="8" w:space="0" w:color="auto"/>
              <w:bottom w:val="single" w:sz="8" w:space="0" w:color="000000"/>
              <w:right w:val="single" w:sz="8" w:space="0" w:color="auto"/>
            </w:tcBorders>
            <w:shd w:val="clear" w:color="000000" w:fill="203764"/>
            <w:noWrap/>
            <w:vAlign w:val="center"/>
            <w:hideMark/>
          </w:tcPr>
          <w:p w14:paraId="04997CBD" w14:textId="77777777" w:rsidR="007E5CDA" w:rsidRPr="007E5CDA" w:rsidRDefault="007E5CDA" w:rsidP="007E5CDA">
            <w:pPr>
              <w:spacing w:after="0" w:line="240" w:lineRule="auto"/>
              <w:jc w:val="center"/>
              <w:rPr>
                <w:rFonts w:eastAsia="Times New Roman" w:cs="Calibri"/>
                <w:color w:val="FFFFFF"/>
                <w:sz w:val="20"/>
                <w:szCs w:val="20"/>
                <w:lang w:val="en-US"/>
              </w:rPr>
            </w:pPr>
            <w:r w:rsidRPr="007E5CDA">
              <w:rPr>
                <w:rFonts w:eastAsia="Times New Roman" w:cs="Calibri"/>
                <w:color w:val="FFFFFF"/>
                <w:sz w:val="20"/>
                <w:szCs w:val="20"/>
                <w:lang w:val="en-US"/>
              </w:rPr>
              <w:t>Saldo Actual</w:t>
            </w:r>
          </w:p>
        </w:tc>
        <w:tc>
          <w:tcPr>
            <w:tcW w:w="1276" w:type="dxa"/>
            <w:vMerge w:val="restart"/>
            <w:tcBorders>
              <w:top w:val="single" w:sz="8" w:space="0" w:color="auto"/>
              <w:left w:val="single" w:sz="8" w:space="0" w:color="auto"/>
              <w:bottom w:val="single" w:sz="8" w:space="0" w:color="000000"/>
              <w:right w:val="single" w:sz="8" w:space="0" w:color="auto"/>
            </w:tcBorders>
            <w:shd w:val="clear" w:color="000000" w:fill="203764"/>
            <w:vAlign w:val="center"/>
            <w:hideMark/>
          </w:tcPr>
          <w:p w14:paraId="0F5306AD" w14:textId="77777777" w:rsidR="007E5CDA" w:rsidRPr="007E5CDA" w:rsidRDefault="007E5CDA" w:rsidP="007E5CDA">
            <w:pPr>
              <w:spacing w:after="0" w:line="240" w:lineRule="auto"/>
              <w:jc w:val="center"/>
              <w:rPr>
                <w:rFonts w:eastAsia="Times New Roman" w:cs="Calibri"/>
                <w:color w:val="FFFFFF"/>
                <w:sz w:val="20"/>
                <w:szCs w:val="20"/>
                <w:lang w:val="en-US"/>
              </w:rPr>
            </w:pPr>
            <w:r w:rsidRPr="007E5CDA">
              <w:rPr>
                <w:rFonts w:eastAsia="Times New Roman" w:cs="Calibri"/>
                <w:color w:val="FFFFFF"/>
                <w:sz w:val="20"/>
                <w:szCs w:val="20"/>
                <w:lang w:val="en-US"/>
              </w:rPr>
              <w:t>Saldo Anterior</w:t>
            </w:r>
          </w:p>
        </w:tc>
        <w:tc>
          <w:tcPr>
            <w:tcW w:w="1134" w:type="dxa"/>
            <w:vMerge w:val="restart"/>
            <w:tcBorders>
              <w:top w:val="single" w:sz="8" w:space="0" w:color="auto"/>
              <w:left w:val="single" w:sz="8" w:space="0" w:color="auto"/>
              <w:bottom w:val="nil"/>
              <w:right w:val="single" w:sz="8" w:space="0" w:color="auto"/>
            </w:tcBorders>
            <w:shd w:val="clear" w:color="000000" w:fill="203764"/>
            <w:vAlign w:val="center"/>
            <w:hideMark/>
          </w:tcPr>
          <w:p w14:paraId="7F33CE2C" w14:textId="77777777" w:rsidR="007E5CDA" w:rsidRPr="007E5CDA" w:rsidRDefault="007E5CDA" w:rsidP="007E5CDA">
            <w:pPr>
              <w:spacing w:after="0" w:line="240" w:lineRule="auto"/>
              <w:jc w:val="center"/>
              <w:rPr>
                <w:rFonts w:eastAsia="Times New Roman" w:cs="Calibri"/>
                <w:color w:val="FFFFFF"/>
                <w:sz w:val="20"/>
                <w:szCs w:val="20"/>
                <w:lang w:val="en-US"/>
              </w:rPr>
            </w:pPr>
            <w:r w:rsidRPr="007E5CDA">
              <w:rPr>
                <w:rFonts w:eastAsia="Times New Roman" w:cs="Calibri"/>
                <w:color w:val="FFFFFF"/>
                <w:sz w:val="20"/>
                <w:szCs w:val="20"/>
                <w:lang w:val="en-US"/>
              </w:rPr>
              <w:t>Diferencia Absoluta</w:t>
            </w:r>
          </w:p>
        </w:tc>
        <w:tc>
          <w:tcPr>
            <w:tcW w:w="955" w:type="dxa"/>
            <w:vMerge w:val="restart"/>
            <w:tcBorders>
              <w:top w:val="single" w:sz="8" w:space="0" w:color="auto"/>
              <w:left w:val="single" w:sz="8" w:space="0" w:color="auto"/>
              <w:bottom w:val="nil"/>
              <w:right w:val="single" w:sz="8" w:space="0" w:color="auto"/>
            </w:tcBorders>
            <w:shd w:val="clear" w:color="000000" w:fill="203764"/>
            <w:vAlign w:val="center"/>
            <w:hideMark/>
          </w:tcPr>
          <w:p w14:paraId="01795816" w14:textId="77777777" w:rsidR="007E5CDA" w:rsidRPr="007E5CDA" w:rsidRDefault="007E5CDA" w:rsidP="007E5CDA">
            <w:pPr>
              <w:spacing w:after="0" w:line="240" w:lineRule="auto"/>
              <w:jc w:val="center"/>
              <w:rPr>
                <w:rFonts w:eastAsia="Times New Roman" w:cs="Calibri"/>
                <w:color w:val="FFFFFF"/>
                <w:sz w:val="20"/>
                <w:szCs w:val="20"/>
                <w:lang w:val="en-US"/>
              </w:rPr>
            </w:pPr>
            <w:r w:rsidRPr="007E5CDA">
              <w:rPr>
                <w:rFonts w:eastAsia="Times New Roman" w:cs="Calibri"/>
                <w:color w:val="FFFFFF"/>
                <w:sz w:val="20"/>
                <w:szCs w:val="20"/>
                <w:lang w:val="en-US"/>
              </w:rPr>
              <w:t>Diferencia %</w:t>
            </w:r>
          </w:p>
        </w:tc>
      </w:tr>
      <w:tr w:rsidR="007E5CDA" w:rsidRPr="007E5CDA" w14:paraId="2B49D23D" w14:textId="77777777" w:rsidTr="007E5CDA">
        <w:trPr>
          <w:trHeight w:val="300"/>
        </w:trPr>
        <w:tc>
          <w:tcPr>
            <w:tcW w:w="841" w:type="dxa"/>
            <w:vMerge/>
            <w:tcBorders>
              <w:top w:val="single" w:sz="8" w:space="0" w:color="auto"/>
              <w:left w:val="single" w:sz="8" w:space="0" w:color="auto"/>
              <w:bottom w:val="single" w:sz="8" w:space="0" w:color="000000"/>
              <w:right w:val="single" w:sz="8" w:space="0" w:color="auto"/>
            </w:tcBorders>
            <w:vAlign w:val="center"/>
            <w:hideMark/>
          </w:tcPr>
          <w:p w14:paraId="37317AD1" w14:textId="77777777" w:rsidR="007E5CDA" w:rsidRPr="007E5CDA" w:rsidRDefault="007E5CDA" w:rsidP="007E5CDA">
            <w:pPr>
              <w:spacing w:after="0" w:line="240" w:lineRule="auto"/>
              <w:jc w:val="left"/>
              <w:rPr>
                <w:rFonts w:eastAsia="Times New Roman" w:cs="Calibri"/>
                <w:b/>
                <w:bCs/>
                <w:color w:val="FFFFFF"/>
                <w:sz w:val="20"/>
                <w:szCs w:val="20"/>
                <w:lang w:val="en-US"/>
              </w:rPr>
            </w:pPr>
          </w:p>
        </w:tc>
        <w:tc>
          <w:tcPr>
            <w:tcW w:w="3357" w:type="dxa"/>
            <w:vMerge/>
            <w:tcBorders>
              <w:top w:val="single" w:sz="8" w:space="0" w:color="auto"/>
              <w:left w:val="single" w:sz="8" w:space="0" w:color="auto"/>
              <w:bottom w:val="single" w:sz="8" w:space="0" w:color="000000"/>
              <w:right w:val="single" w:sz="8" w:space="0" w:color="auto"/>
            </w:tcBorders>
            <w:vAlign w:val="center"/>
            <w:hideMark/>
          </w:tcPr>
          <w:p w14:paraId="0041823A" w14:textId="77777777" w:rsidR="007E5CDA" w:rsidRPr="007E5CDA" w:rsidRDefault="007E5CDA" w:rsidP="007E5CDA">
            <w:pPr>
              <w:spacing w:after="0" w:line="240" w:lineRule="auto"/>
              <w:jc w:val="left"/>
              <w:rPr>
                <w:rFonts w:eastAsia="Times New Roman" w:cs="Calibri"/>
                <w:b/>
                <w:bCs/>
                <w:color w:val="FFFFFF"/>
                <w:sz w:val="20"/>
                <w:szCs w:val="20"/>
                <w:lang w:val="en-US"/>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6C2DA237" w14:textId="77777777" w:rsidR="007E5CDA" w:rsidRPr="007E5CDA" w:rsidRDefault="007E5CDA" w:rsidP="007E5CDA">
            <w:pPr>
              <w:spacing w:after="0" w:line="240" w:lineRule="auto"/>
              <w:jc w:val="left"/>
              <w:rPr>
                <w:rFonts w:eastAsia="Times New Roman" w:cs="Calibri"/>
                <w:color w:val="FFFFFF"/>
                <w:sz w:val="20"/>
                <w:szCs w:val="20"/>
                <w:lang w:val="en-US"/>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2DB50C32" w14:textId="77777777" w:rsidR="007E5CDA" w:rsidRPr="007E5CDA" w:rsidRDefault="007E5CDA" w:rsidP="007E5CDA">
            <w:pPr>
              <w:spacing w:after="0" w:line="240" w:lineRule="auto"/>
              <w:jc w:val="left"/>
              <w:rPr>
                <w:rFonts w:eastAsia="Times New Roman" w:cs="Calibri"/>
                <w:color w:val="FFFFFF"/>
                <w:sz w:val="20"/>
                <w:szCs w:val="20"/>
                <w:lang w:val="en-US"/>
              </w:rPr>
            </w:pPr>
          </w:p>
        </w:tc>
        <w:tc>
          <w:tcPr>
            <w:tcW w:w="1134" w:type="dxa"/>
            <w:vMerge/>
            <w:tcBorders>
              <w:top w:val="single" w:sz="8" w:space="0" w:color="auto"/>
              <w:left w:val="single" w:sz="8" w:space="0" w:color="auto"/>
              <w:bottom w:val="nil"/>
              <w:right w:val="single" w:sz="8" w:space="0" w:color="auto"/>
            </w:tcBorders>
            <w:vAlign w:val="center"/>
            <w:hideMark/>
          </w:tcPr>
          <w:p w14:paraId="15A1B7E7" w14:textId="77777777" w:rsidR="007E5CDA" w:rsidRPr="007E5CDA" w:rsidRDefault="007E5CDA" w:rsidP="007E5CDA">
            <w:pPr>
              <w:spacing w:after="0" w:line="240" w:lineRule="auto"/>
              <w:jc w:val="left"/>
              <w:rPr>
                <w:rFonts w:eastAsia="Times New Roman" w:cs="Calibri"/>
                <w:color w:val="FFFFFF"/>
                <w:sz w:val="20"/>
                <w:szCs w:val="20"/>
                <w:lang w:val="en-US"/>
              </w:rPr>
            </w:pPr>
          </w:p>
        </w:tc>
        <w:tc>
          <w:tcPr>
            <w:tcW w:w="955" w:type="dxa"/>
            <w:vMerge/>
            <w:tcBorders>
              <w:top w:val="single" w:sz="8" w:space="0" w:color="auto"/>
              <w:left w:val="single" w:sz="8" w:space="0" w:color="auto"/>
              <w:bottom w:val="nil"/>
              <w:right w:val="single" w:sz="8" w:space="0" w:color="auto"/>
            </w:tcBorders>
            <w:vAlign w:val="center"/>
            <w:hideMark/>
          </w:tcPr>
          <w:p w14:paraId="7818D54F" w14:textId="77777777" w:rsidR="007E5CDA" w:rsidRPr="007E5CDA" w:rsidRDefault="007E5CDA" w:rsidP="007E5CDA">
            <w:pPr>
              <w:spacing w:after="0" w:line="240" w:lineRule="auto"/>
              <w:jc w:val="left"/>
              <w:rPr>
                <w:rFonts w:eastAsia="Times New Roman" w:cs="Calibri"/>
                <w:color w:val="FFFFFF"/>
                <w:sz w:val="20"/>
                <w:szCs w:val="20"/>
                <w:lang w:val="en-US"/>
              </w:rPr>
            </w:pPr>
          </w:p>
        </w:tc>
        <w:tc>
          <w:tcPr>
            <w:tcW w:w="222" w:type="dxa"/>
            <w:tcBorders>
              <w:top w:val="nil"/>
              <w:left w:val="nil"/>
              <w:bottom w:val="nil"/>
              <w:right w:val="nil"/>
            </w:tcBorders>
            <w:shd w:val="clear" w:color="auto" w:fill="auto"/>
            <w:noWrap/>
            <w:vAlign w:val="bottom"/>
            <w:hideMark/>
          </w:tcPr>
          <w:p w14:paraId="6BBC20F9" w14:textId="77777777" w:rsidR="007E5CDA" w:rsidRPr="007E5CDA" w:rsidRDefault="007E5CDA" w:rsidP="007E5CDA">
            <w:pPr>
              <w:spacing w:after="0" w:line="240" w:lineRule="auto"/>
              <w:jc w:val="center"/>
              <w:rPr>
                <w:rFonts w:eastAsia="Times New Roman" w:cs="Calibri"/>
                <w:color w:val="FFFFFF"/>
                <w:sz w:val="20"/>
                <w:szCs w:val="20"/>
                <w:lang w:val="en-US"/>
              </w:rPr>
            </w:pPr>
          </w:p>
        </w:tc>
      </w:tr>
      <w:tr w:rsidR="007E5CDA" w:rsidRPr="007E5CDA" w14:paraId="48F7DBE1" w14:textId="77777777" w:rsidTr="007E5CDA">
        <w:trPr>
          <w:trHeight w:val="300"/>
        </w:trPr>
        <w:tc>
          <w:tcPr>
            <w:tcW w:w="841" w:type="dxa"/>
            <w:tcBorders>
              <w:top w:val="nil"/>
              <w:left w:val="single" w:sz="8" w:space="0" w:color="auto"/>
              <w:bottom w:val="nil"/>
              <w:right w:val="single" w:sz="8" w:space="0" w:color="auto"/>
            </w:tcBorders>
            <w:shd w:val="clear" w:color="auto" w:fill="auto"/>
            <w:vAlign w:val="center"/>
            <w:hideMark/>
          </w:tcPr>
          <w:p w14:paraId="4A1349A6" w14:textId="77777777" w:rsidR="007E5CDA" w:rsidRPr="007E5CDA" w:rsidRDefault="007E5CDA" w:rsidP="007E5CDA">
            <w:pPr>
              <w:spacing w:after="0" w:line="240" w:lineRule="auto"/>
              <w:rPr>
                <w:rFonts w:eastAsia="Times New Roman" w:cs="Calibri"/>
                <w:b/>
                <w:bCs/>
                <w:color w:val="000000"/>
                <w:sz w:val="20"/>
                <w:szCs w:val="20"/>
                <w:lang w:val="en-US"/>
              </w:rPr>
            </w:pPr>
            <w:r w:rsidRPr="007E5CDA">
              <w:rPr>
                <w:rFonts w:eastAsia="Times New Roman" w:cs="Calibri"/>
                <w:b/>
                <w:bCs/>
                <w:color w:val="000000"/>
                <w:sz w:val="20"/>
                <w:szCs w:val="20"/>
                <w:lang w:val="en-US"/>
              </w:rPr>
              <w:t>5.1.2.01.</w:t>
            </w:r>
          </w:p>
        </w:tc>
        <w:tc>
          <w:tcPr>
            <w:tcW w:w="3357" w:type="dxa"/>
            <w:tcBorders>
              <w:top w:val="nil"/>
              <w:left w:val="nil"/>
              <w:bottom w:val="nil"/>
              <w:right w:val="single" w:sz="8" w:space="0" w:color="auto"/>
            </w:tcBorders>
            <w:shd w:val="clear" w:color="auto" w:fill="auto"/>
            <w:vAlign w:val="center"/>
            <w:hideMark/>
          </w:tcPr>
          <w:p w14:paraId="60FD36D3" w14:textId="77777777" w:rsidR="007E5CDA" w:rsidRPr="007E5CDA" w:rsidRDefault="007E5CDA" w:rsidP="007E5CDA">
            <w:pPr>
              <w:spacing w:after="0" w:line="240" w:lineRule="auto"/>
              <w:rPr>
                <w:rFonts w:eastAsia="Times New Roman" w:cs="Calibri"/>
                <w:b/>
                <w:bCs/>
                <w:color w:val="000000"/>
                <w:sz w:val="20"/>
                <w:szCs w:val="20"/>
              </w:rPr>
            </w:pPr>
            <w:r w:rsidRPr="007E5CDA">
              <w:rPr>
                <w:rFonts w:eastAsia="Times New Roman" w:cs="Calibri"/>
                <w:b/>
                <w:bCs/>
                <w:color w:val="000000"/>
                <w:sz w:val="20"/>
                <w:szCs w:val="20"/>
              </w:rPr>
              <w:t>Alquileres y derechos sobre bienes</w:t>
            </w:r>
          </w:p>
        </w:tc>
        <w:tc>
          <w:tcPr>
            <w:tcW w:w="1276" w:type="dxa"/>
            <w:tcBorders>
              <w:top w:val="nil"/>
              <w:left w:val="nil"/>
              <w:bottom w:val="single" w:sz="8" w:space="0" w:color="auto"/>
              <w:right w:val="single" w:sz="8" w:space="0" w:color="auto"/>
            </w:tcBorders>
            <w:shd w:val="clear" w:color="auto" w:fill="auto"/>
            <w:noWrap/>
            <w:vAlign w:val="bottom"/>
            <w:hideMark/>
          </w:tcPr>
          <w:p w14:paraId="6D2D2E77" w14:textId="77777777" w:rsidR="007E5CDA" w:rsidRPr="007E5CDA" w:rsidRDefault="007E5CDA" w:rsidP="007E5CDA">
            <w:pPr>
              <w:spacing w:after="0" w:line="240" w:lineRule="auto"/>
              <w:jc w:val="right"/>
              <w:rPr>
                <w:rFonts w:eastAsia="Times New Roman" w:cs="Calibri"/>
                <w:b/>
                <w:bCs/>
                <w:color w:val="000000"/>
                <w:sz w:val="20"/>
                <w:szCs w:val="20"/>
                <w:lang w:val="en-US"/>
              </w:rPr>
            </w:pPr>
            <w:r w:rsidRPr="007E5CDA">
              <w:rPr>
                <w:rFonts w:ascii="Arial" w:eastAsia="Times New Roman" w:hAnsi="Arial" w:cs="Arial"/>
                <w:b/>
                <w:bCs/>
                <w:color w:val="000000"/>
                <w:sz w:val="20"/>
                <w:szCs w:val="20"/>
                <w:lang w:val="en-US"/>
              </w:rPr>
              <w:t>₡</w:t>
            </w:r>
            <w:r w:rsidRPr="007E5CDA">
              <w:rPr>
                <w:rFonts w:eastAsia="Times New Roman" w:cs="Calibri"/>
                <w:b/>
                <w:bCs/>
                <w:color w:val="000000"/>
                <w:sz w:val="20"/>
                <w:szCs w:val="20"/>
                <w:lang w:val="en-US"/>
              </w:rPr>
              <w:t>79 312,64</w:t>
            </w:r>
          </w:p>
        </w:tc>
        <w:tc>
          <w:tcPr>
            <w:tcW w:w="1276" w:type="dxa"/>
            <w:tcBorders>
              <w:top w:val="nil"/>
              <w:left w:val="nil"/>
              <w:bottom w:val="single" w:sz="8" w:space="0" w:color="auto"/>
              <w:right w:val="single" w:sz="8" w:space="0" w:color="auto"/>
            </w:tcBorders>
            <w:shd w:val="clear" w:color="auto" w:fill="auto"/>
            <w:noWrap/>
            <w:vAlign w:val="bottom"/>
            <w:hideMark/>
          </w:tcPr>
          <w:p w14:paraId="795C880F" w14:textId="77777777" w:rsidR="007E5CDA" w:rsidRPr="007E5CDA" w:rsidRDefault="007E5CDA" w:rsidP="007E5CDA">
            <w:pPr>
              <w:spacing w:after="0" w:line="240" w:lineRule="auto"/>
              <w:ind w:left="-149"/>
              <w:jc w:val="right"/>
              <w:rPr>
                <w:rFonts w:eastAsia="Times New Roman" w:cs="Calibri"/>
                <w:b/>
                <w:bCs/>
                <w:color w:val="000000"/>
                <w:sz w:val="20"/>
                <w:szCs w:val="20"/>
                <w:lang w:val="en-US"/>
              </w:rPr>
            </w:pPr>
            <w:r w:rsidRPr="007E5CDA">
              <w:rPr>
                <w:rFonts w:ascii="Arial" w:eastAsia="Times New Roman" w:hAnsi="Arial" w:cs="Arial"/>
                <w:b/>
                <w:bCs/>
                <w:color w:val="000000"/>
                <w:sz w:val="20"/>
                <w:szCs w:val="20"/>
                <w:lang w:val="en-US"/>
              </w:rPr>
              <w:t>₡</w:t>
            </w:r>
            <w:r w:rsidRPr="007E5CDA">
              <w:rPr>
                <w:rFonts w:eastAsia="Times New Roman" w:cs="Calibri"/>
                <w:b/>
                <w:bCs/>
                <w:color w:val="000000"/>
                <w:sz w:val="20"/>
                <w:szCs w:val="20"/>
                <w:lang w:val="en-US"/>
              </w:rPr>
              <w:t>107 134,45</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14:paraId="6DDC98F7" w14:textId="77777777" w:rsidR="007E5CDA" w:rsidRPr="007E5CDA" w:rsidRDefault="007E5CDA" w:rsidP="007E5CDA">
            <w:pPr>
              <w:spacing w:after="0" w:line="240" w:lineRule="auto"/>
              <w:ind w:left="-131"/>
              <w:jc w:val="right"/>
              <w:rPr>
                <w:rFonts w:eastAsia="Times New Roman" w:cs="Calibri"/>
                <w:b/>
                <w:bCs/>
                <w:color w:val="000000"/>
                <w:sz w:val="20"/>
                <w:szCs w:val="20"/>
                <w:lang w:val="en-US"/>
              </w:rPr>
            </w:pPr>
            <w:r w:rsidRPr="007E5CDA">
              <w:rPr>
                <w:rFonts w:eastAsia="Times New Roman" w:cs="Calibri"/>
                <w:b/>
                <w:bCs/>
                <w:color w:val="000000"/>
                <w:sz w:val="20"/>
                <w:szCs w:val="20"/>
                <w:lang w:val="en-US"/>
              </w:rPr>
              <w:t>-</w:t>
            </w:r>
            <w:r w:rsidRPr="007E5CDA">
              <w:rPr>
                <w:rFonts w:ascii="Arial" w:eastAsia="Times New Roman" w:hAnsi="Arial" w:cs="Arial"/>
                <w:b/>
                <w:bCs/>
                <w:color w:val="000000"/>
                <w:sz w:val="20"/>
                <w:szCs w:val="20"/>
                <w:lang w:val="en-US"/>
              </w:rPr>
              <w:t>₡</w:t>
            </w:r>
            <w:r w:rsidRPr="007E5CDA">
              <w:rPr>
                <w:rFonts w:eastAsia="Times New Roman" w:cs="Calibri"/>
                <w:b/>
                <w:bCs/>
                <w:color w:val="000000"/>
                <w:sz w:val="20"/>
                <w:szCs w:val="20"/>
                <w:lang w:val="en-US"/>
              </w:rPr>
              <w:t>27 821,81</w:t>
            </w:r>
          </w:p>
        </w:tc>
        <w:tc>
          <w:tcPr>
            <w:tcW w:w="955" w:type="dxa"/>
            <w:tcBorders>
              <w:top w:val="single" w:sz="8" w:space="0" w:color="auto"/>
              <w:left w:val="nil"/>
              <w:bottom w:val="single" w:sz="8" w:space="0" w:color="auto"/>
              <w:right w:val="single" w:sz="8" w:space="0" w:color="auto"/>
            </w:tcBorders>
            <w:shd w:val="clear" w:color="auto" w:fill="auto"/>
            <w:vAlign w:val="center"/>
            <w:hideMark/>
          </w:tcPr>
          <w:p w14:paraId="42E51CC3" w14:textId="77777777" w:rsidR="007E5CDA" w:rsidRPr="007E5CDA" w:rsidRDefault="007E5CDA" w:rsidP="007E5CDA">
            <w:pPr>
              <w:spacing w:after="0" w:line="240" w:lineRule="auto"/>
              <w:jc w:val="center"/>
              <w:rPr>
                <w:rFonts w:eastAsia="Times New Roman" w:cs="Calibri"/>
                <w:b/>
                <w:bCs/>
                <w:color w:val="000000"/>
                <w:sz w:val="20"/>
                <w:szCs w:val="20"/>
                <w:lang w:val="en-US"/>
              </w:rPr>
            </w:pPr>
            <w:r w:rsidRPr="007E5CDA">
              <w:rPr>
                <w:rFonts w:eastAsia="Times New Roman" w:cs="Calibri"/>
                <w:b/>
                <w:bCs/>
                <w:color w:val="000000"/>
                <w:sz w:val="20"/>
                <w:szCs w:val="20"/>
                <w:lang w:val="en-US"/>
              </w:rPr>
              <w:t>-25,97%</w:t>
            </w:r>
          </w:p>
        </w:tc>
        <w:tc>
          <w:tcPr>
            <w:tcW w:w="222" w:type="dxa"/>
            <w:vAlign w:val="center"/>
            <w:hideMark/>
          </w:tcPr>
          <w:p w14:paraId="6A8D475E" w14:textId="77777777" w:rsidR="007E5CDA" w:rsidRPr="007E5CDA" w:rsidRDefault="007E5CDA" w:rsidP="007E5CDA">
            <w:pPr>
              <w:spacing w:after="0" w:line="240" w:lineRule="auto"/>
              <w:jc w:val="left"/>
              <w:rPr>
                <w:rFonts w:ascii="Times New Roman" w:eastAsia="Times New Roman" w:hAnsi="Times New Roman" w:cs="Times New Roman"/>
                <w:sz w:val="20"/>
                <w:szCs w:val="20"/>
                <w:lang w:val="en-US"/>
              </w:rPr>
            </w:pPr>
          </w:p>
        </w:tc>
      </w:tr>
      <w:tr w:rsidR="007E5CDA" w:rsidRPr="007E5CDA" w14:paraId="4A788731" w14:textId="77777777" w:rsidTr="007E5CDA">
        <w:trPr>
          <w:trHeight w:val="290"/>
        </w:trPr>
        <w:tc>
          <w:tcPr>
            <w:tcW w:w="841" w:type="dxa"/>
            <w:tcBorders>
              <w:top w:val="nil"/>
              <w:left w:val="single" w:sz="8" w:space="0" w:color="auto"/>
              <w:bottom w:val="nil"/>
              <w:right w:val="single" w:sz="8" w:space="0" w:color="auto"/>
            </w:tcBorders>
            <w:shd w:val="clear" w:color="auto" w:fill="auto"/>
            <w:noWrap/>
            <w:vAlign w:val="bottom"/>
            <w:hideMark/>
          </w:tcPr>
          <w:p w14:paraId="67BB34CE" w14:textId="77777777" w:rsidR="007E5CDA" w:rsidRPr="007E5CDA" w:rsidRDefault="007E5CDA" w:rsidP="007E5CDA">
            <w:pPr>
              <w:spacing w:after="0" w:line="240" w:lineRule="auto"/>
              <w:jc w:val="left"/>
              <w:rPr>
                <w:rFonts w:eastAsia="Times New Roman" w:cs="Calibri"/>
                <w:color w:val="000000"/>
                <w:sz w:val="20"/>
                <w:szCs w:val="20"/>
                <w:lang w:val="en-US"/>
              </w:rPr>
            </w:pPr>
            <w:r w:rsidRPr="007E5CDA">
              <w:rPr>
                <w:rFonts w:eastAsia="Times New Roman" w:cs="Calibri"/>
                <w:color w:val="000000"/>
                <w:sz w:val="20"/>
                <w:szCs w:val="20"/>
                <w:lang w:val="en-US"/>
              </w:rPr>
              <w:t>5.1.2.01.01.</w:t>
            </w:r>
          </w:p>
        </w:tc>
        <w:tc>
          <w:tcPr>
            <w:tcW w:w="3357" w:type="dxa"/>
            <w:tcBorders>
              <w:top w:val="nil"/>
              <w:left w:val="nil"/>
              <w:bottom w:val="nil"/>
              <w:right w:val="single" w:sz="8" w:space="0" w:color="auto"/>
            </w:tcBorders>
            <w:shd w:val="clear" w:color="auto" w:fill="auto"/>
            <w:noWrap/>
            <w:vAlign w:val="bottom"/>
            <w:hideMark/>
          </w:tcPr>
          <w:p w14:paraId="13E5BC86" w14:textId="77777777" w:rsidR="007E5CDA" w:rsidRPr="007E5CDA" w:rsidRDefault="007E5CDA" w:rsidP="007E5CDA">
            <w:pPr>
              <w:spacing w:after="0" w:line="240" w:lineRule="auto"/>
              <w:jc w:val="left"/>
              <w:rPr>
                <w:rFonts w:eastAsia="Times New Roman" w:cs="Calibri"/>
                <w:color w:val="000000"/>
                <w:sz w:val="20"/>
                <w:szCs w:val="20"/>
              </w:rPr>
            </w:pPr>
            <w:r w:rsidRPr="007E5CDA">
              <w:rPr>
                <w:rFonts w:eastAsia="Times New Roman" w:cs="Calibri"/>
                <w:color w:val="000000"/>
                <w:sz w:val="20"/>
                <w:szCs w:val="20"/>
              </w:rPr>
              <w:t>Alquiler de terrenos, edificios y locales</w:t>
            </w:r>
          </w:p>
        </w:tc>
        <w:tc>
          <w:tcPr>
            <w:tcW w:w="1276" w:type="dxa"/>
            <w:tcBorders>
              <w:top w:val="nil"/>
              <w:left w:val="nil"/>
              <w:bottom w:val="nil"/>
              <w:right w:val="single" w:sz="8" w:space="0" w:color="auto"/>
            </w:tcBorders>
            <w:shd w:val="clear" w:color="auto" w:fill="auto"/>
            <w:noWrap/>
            <w:vAlign w:val="center"/>
            <w:hideMark/>
          </w:tcPr>
          <w:p w14:paraId="6F7E138E"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7 200,00</w:t>
            </w:r>
          </w:p>
        </w:tc>
        <w:tc>
          <w:tcPr>
            <w:tcW w:w="1276" w:type="dxa"/>
            <w:tcBorders>
              <w:top w:val="nil"/>
              <w:left w:val="nil"/>
              <w:bottom w:val="nil"/>
              <w:right w:val="single" w:sz="8" w:space="0" w:color="auto"/>
            </w:tcBorders>
            <w:shd w:val="clear" w:color="auto" w:fill="auto"/>
            <w:noWrap/>
            <w:vAlign w:val="center"/>
            <w:hideMark/>
          </w:tcPr>
          <w:p w14:paraId="52C1153D"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7 200,00</w:t>
            </w:r>
          </w:p>
        </w:tc>
        <w:tc>
          <w:tcPr>
            <w:tcW w:w="1134" w:type="dxa"/>
            <w:tcBorders>
              <w:top w:val="nil"/>
              <w:left w:val="nil"/>
              <w:bottom w:val="nil"/>
              <w:right w:val="single" w:sz="8" w:space="0" w:color="auto"/>
            </w:tcBorders>
            <w:shd w:val="clear" w:color="auto" w:fill="auto"/>
            <w:noWrap/>
            <w:vAlign w:val="center"/>
            <w:hideMark/>
          </w:tcPr>
          <w:p w14:paraId="5458994E"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0,00</w:t>
            </w:r>
          </w:p>
        </w:tc>
        <w:tc>
          <w:tcPr>
            <w:tcW w:w="955" w:type="dxa"/>
            <w:tcBorders>
              <w:top w:val="nil"/>
              <w:left w:val="nil"/>
              <w:bottom w:val="nil"/>
              <w:right w:val="single" w:sz="8" w:space="0" w:color="auto"/>
            </w:tcBorders>
            <w:shd w:val="clear" w:color="auto" w:fill="auto"/>
            <w:vAlign w:val="center"/>
            <w:hideMark/>
          </w:tcPr>
          <w:p w14:paraId="65FE1E80" w14:textId="77777777" w:rsidR="007E5CDA" w:rsidRPr="007E5CDA" w:rsidRDefault="007E5CDA" w:rsidP="007E5CDA">
            <w:pPr>
              <w:spacing w:after="0" w:line="240" w:lineRule="auto"/>
              <w:jc w:val="center"/>
              <w:rPr>
                <w:rFonts w:eastAsia="Times New Roman" w:cs="Calibri"/>
                <w:color w:val="000000"/>
                <w:sz w:val="20"/>
                <w:szCs w:val="20"/>
                <w:lang w:val="en-US"/>
              </w:rPr>
            </w:pPr>
            <w:r w:rsidRPr="007E5CDA">
              <w:rPr>
                <w:rFonts w:eastAsia="Times New Roman" w:cs="Calibri"/>
                <w:color w:val="000000"/>
                <w:sz w:val="20"/>
                <w:szCs w:val="20"/>
                <w:lang w:val="en-US"/>
              </w:rPr>
              <w:t>0,00%</w:t>
            </w:r>
          </w:p>
        </w:tc>
        <w:tc>
          <w:tcPr>
            <w:tcW w:w="222" w:type="dxa"/>
            <w:vAlign w:val="center"/>
            <w:hideMark/>
          </w:tcPr>
          <w:p w14:paraId="60E4F42F" w14:textId="77777777" w:rsidR="007E5CDA" w:rsidRPr="007E5CDA" w:rsidRDefault="007E5CDA" w:rsidP="007E5CDA">
            <w:pPr>
              <w:spacing w:after="0" w:line="240" w:lineRule="auto"/>
              <w:jc w:val="left"/>
              <w:rPr>
                <w:rFonts w:ascii="Times New Roman" w:eastAsia="Times New Roman" w:hAnsi="Times New Roman" w:cs="Times New Roman"/>
                <w:sz w:val="20"/>
                <w:szCs w:val="20"/>
                <w:lang w:val="en-US"/>
              </w:rPr>
            </w:pPr>
          </w:p>
        </w:tc>
      </w:tr>
      <w:tr w:rsidR="007E5CDA" w:rsidRPr="007E5CDA" w14:paraId="365FAA50" w14:textId="77777777" w:rsidTr="007E5CDA">
        <w:trPr>
          <w:trHeight w:val="290"/>
        </w:trPr>
        <w:tc>
          <w:tcPr>
            <w:tcW w:w="841" w:type="dxa"/>
            <w:tcBorders>
              <w:top w:val="nil"/>
              <w:left w:val="single" w:sz="8" w:space="0" w:color="auto"/>
              <w:bottom w:val="nil"/>
              <w:right w:val="single" w:sz="8" w:space="0" w:color="auto"/>
            </w:tcBorders>
            <w:shd w:val="clear" w:color="auto" w:fill="auto"/>
            <w:noWrap/>
            <w:vAlign w:val="bottom"/>
            <w:hideMark/>
          </w:tcPr>
          <w:p w14:paraId="0CE72DA8" w14:textId="77777777" w:rsidR="007E5CDA" w:rsidRPr="007E5CDA" w:rsidRDefault="007E5CDA" w:rsidP="007E5CDA">
            <w:pPr>
              <w:spacing w:after="0" w:line="240" w:lineRule="auto"/>
              <w:jc w:val="left"/>
              <w:rPr>
                <w:rFonts w:eastAsia="Times New Roman" w:cs="Calibri"/>
                <w:color w:val="000000"/>
                <w:sz w:val="20"/>
                <w:szCs w:val="20"/>
                <w:lang w:val="en-US"/>
              </w:rPr>
            </w:pPr>
            <w:r w:rsidRPr="007E5CDA">
              <w:rPr>
                <w:rFonts w:eastAsia="Times New Roman" w:cs="Calibri"/>
                <w:color w:val="000000"/>
                <w:sz w:val="20"/>
                <w:szCs w:val="20"/>
                <w:lang w:val="en-US"/>
              </w:rPr>
              <w:t>5.1.2.01.02.</w:t>
            </w:r>
          </w:p>
        </w:tc>
        <w:tc>
          <w:tcPr>
            <w:tcW w:w="3357" w:type="dxa"/>
            <w:tcBorders>
              <w:top w:val="nil"/>
              <w:left w:val="nil"/>
              <w:bottom w:val="nil"/>
              <w:right w:val="single" w:sz="8" w:space="0" w:color="auto"/>
            </w:tcBorders>
            <w:shd w:val="clear" w:color="auto" w:fill="auto"/>
            <w:noWrap/>
            <w:vAlign w:val="bottom"/>
            <w:hideMark/>
          </w:tcPr>
          <w:p w14:paraId="1BCF4B1E" w14:textId="77777777" w:rsidR="007E5CDA" w:rsidRPr="007E5CDA" w:rsidRDefault="007E5CDA" w:rsidP="007E5CDA">
            <w:pPr>
              <w:spacing w:after="0" w:line="240" w:lineRule="auto"/>
              <w:jc w:val="left"/>
              <w:rPr>
                <w:rFonts w:eastAsia="Times New Roman" w:cs="Calibri"/>
                <w:color w:val="000000"/>
                <w:sz w:val="20"/>
                <w:szCs w:val="20"/>
              </w:rPr>
            </w:pPr>
            <w:r w:rsidRPr="007E5CDA">
              <w:rPr>
                <w:rFonts w:eastAsia="Times New Roman" w:cs="Calibri"/>
                <w:color w:val="000000"/>
                <w:sz w:val="20"/>
                <w:szCs w:val="20"/>
              </w:rPr>
              <w:t>Alquiler de maquinarias, equipos y mobiliario</w:t>
            </w:r>
          </w:p>
        </w:tc>
        <w:tc>
          <w:tcPr>
            <w:tcW w:w="1276" w:type="dxa"/>
            <w:tcBorders>
              <w:top w:val="nil"/>
              <w:left w:val="nil"/>
              <w:bottom w:val="nil"/>
              <w:right w:val="single" w:sz="8" w:space="0" w:color="auto"/>
            </w:tcBorders>
            <w:shd w:val="clear" w:color="auto" w:fill="auto"/>
            <w:noWrap/>
            <w:vAlign w:val="center"/>
            <w:hideMark/>
          </w:tcPr>
          <w:p w14:paraId="7A818381"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70 424,44</w:t>
            </w:r>
          </w:p>
        </w:tc>
        <w:tc>
          <w:tcPr>
            <w:tcW w:w="1276" w:type="dxa"/>
            <w:tcBorders>
              <w:top w:val="nil"/>
              <w:left w:val="nil"/>
              <w:bottom w:val="nil"/>
              <w:right w:val="single" w:sz="8" w:space="0" w:color="auto"/>
            </w:tcBorders>
            <w:shd w:val="clear" w:color="auto" w:fill="auto"/>
            <w:noWrap/>
            <w:vAlign w:val="center"/>
            <w:hideMark/>
          </w:tcPr>
          <w:p w14:paraId="559EE240"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99 934,45</w:t>
            </w:r>
          </w:p>
        </w:tc>
        <w:tc>
          <w:tcPr>
            <w:tcW w:w="1134" w:type="dxa"/>
            <w:tcBorders>
              <w:top w:val="nil"/>
              <w:left w:val="nil"/>
              <w:bottom w:val="nil"/>
              <w:right w:val="single" w:sz="8" w:space="0" w:color="auto"/>
            </w:tcBorders>
            <w:shd w:val="clear" w:color="auto" w:fill="auto"/>
            <w:noWrap/>
            <w:vAlign w:val="center"/>
            <w:hideMark/>
          </w:tcPr>
          <w:p w14:paraId="4B5A8ACA"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-29 510,01</w:t>
            </w:r>
          </w:p>
        </w:tc>
        <w:tc>
          <w:tcPr>
            <w:tcW w:w="955" w:type="dxa"/>
            <w:tcBorders>
              <w:top w:val="nil"/>
              <w:left w:val="nil"/>
              <w:bottom w:val="nil"/>
              <w:right w:val="single" w:sz="8" w:space="0" w:color="auto"/>
            </w:tcBorders>
            <w:shd w:val="clear" w:color="auto" w:fill="auto"/>
            <w:vAlign w:val="center"/>
            <w:hideMark/>
          </w:tcPr>
          <w:p w14:paraId="6B8B438B" w14:textId="77777777" w:rsidR="007E5CDA" w:rsidRPr="007E5CDA" w:rsidRDefault="007E5CDA" w:rsidP="007E5CDA">
            <w:pPr>
              <w:spacing w:after="0" w:line="240" w:lineRule="auto"/>
              <w:jc w:val="center"/>
              <w:rPr>
                <w:rFonts w:eastAsia="Times New Roman" w:cs="Calibri"/>
                <w:color w:val="000000"/>
                <w:sz w:val="20"/>
                <w:szCs w:val="20"/>
                <w:lang w:val="en-US"/>
              </w:rPr>
            </w:pPr>
            <w:r w:rsidRPr="007E5CDA">
              <w:rPr>
                <w:rFonts w:eastAsia="Times New Roman" w:cs="Calibri"/>
                <w:color w:val="000000"/>
                <w:sz w:val="20"/>
                <w:szCs w:val="20"/>
                <w:lang w:val="en-US"/>
              </w:rPr>
              <w:t>-29,53%</w:t>
            </w:r>
          </w:p>
        </w:tc>
        <w:tc>
          <w:tcPr>
            <w:tcW w:w="222" w:type="dxa"/>
            <w:vAlign w:val="center"/>
            <w:hideMark/>
          </w:tcPr>
          <w:p w14:paraId="58AB155E" w14:textId="77777777" w:rsidR="007E5CDA" w:rsidRPr="007E5CDA" w:rsidRDefault="007E5CDA" w:rsidP="007E5CDA">
            <w:pPr>
              <w:spacing w:after="0" w:line="240" w:lineRule="auto"/>
              <w:jc w:val="left"/>
              <w:rPr>
                <w:rFonts w:ascii="Times New Roman" w:eastAsia="Times New Roman" w:hAnsi="Times New Roman" w:cs="Times New Roman"/>
                <w:sz w:val="20"/>
                <w:szCs w:val="20"/>
                <w:lang w:val="en-US"/>
              </w:rPr>
            </w:pPr>
          </w:p>
        </w:tc>
      </w:tr>
      <w:tr w:rsidR="007E5CDA" w:rsidRPr="007E5CDA" w14:paraId="7816D333" w14:textId="77777777" w:rsidTr="007E5CDA">
        <w:trPr>
          <w:trHeight w:val="300"/>
        </w:trPr>
        <w:tc>
          <w:tcPr>
            <w:tcW w:w="841" w:type="dxa"/>
            <w:tcBorders>
              <w:top w:val="nil"/>
              <w:left w:val="single" w:sz="8" w:space="0" w:color="auto"/>
              <w:bottom w:val="nil"/>
              <w:right w:val="single" w:sz="8" w:space="0" w:color="auto"/>
            </w:tcBorders>
            <w:shd w:val="clear" w:color="auto" w:fill="auto"/>
            <w:noWrap/>
            <w:vAlign w:val="bottom"/>
            <w:hideMark/>
          </w:tcPr>
          <w:p w14:paraId="0F159FE0" w14:textId="77777777" w:rsidR="007E5CDA" w:rsidRPr="007E5CDA" w:rsidRDefault="007E5CDA" w:rsidP="007E5CDA">
            <w:pPr>
              <w:spacing w:after="0" w:line="240" w:lineRule="auto"/>
              <w:jc w:val="left"/>
              <w:rPr>
                <w:rFonts w:eastAsia="Times New Roman" w:cs="Calibri"/>
                <w:color w:val="000000"/>
                <w:sz w:val="20"/>
                <w:szCs w:val="20"/>
                <w:lang w:val="en-US"/>
              </w:rPr>
            </w:pPr>
            <w:r w:rsidRPr="007E5CDA">
              <w:rPr>
                <w:rFonts w:eastAsia="Times New Roman" w:cs="Calibri"/>
                <w:color w:val="000000"/>
                <w:sz w:val="20"/>
                <w:szCs w:val="20"/>
                <w:lang w:val="en-US"/>
              </w:rPr>
              <w:t>5.1.2.01.05.</w:t>
            </w:r>
          </w:p>
        </w:tc>
        <w:tc>
          <w:tcPr>
            <w:tcW w:w="3357" w:type="dxa"/>
            <w:tcBorders>
              <w:top w:val="nil"/>
              <w:left w:val="nil"/>
              <w:bottom w:val="nil"/>
              <w:right w:val="single" w:sz="8" w:space="0" w:color="auto"/>
            </w:tcBorders>
            <w:shd w:val="clear" w:color="auto" w:fill="auto"/>
            <w:noWrap/>
            <w:vAlign w:val="bottom"/>
            <w:hideMark/>
          </w:tcPr>
          <w:p w14:paraId="4BA2FB90" w14:textId="77777777" w:rsidR="007E5CDA" w:rsidRPr="007E5CDA" w:rsidRDefault="007E5CDA" w:rsidP="007E5CDA">
            <w:pPr>
              <w:spacing w:after="0" w:line="240" w:lineRule="auto"/>
              <w:jc w:val="left"/>
              <w:rPr>
                <w:rFonts w:eastAsia="Times New Roman" w:cs="Calibri"/>
                <w:color w:val="000000"/>
                <w:sz w:val="20"/>
                <w:szCs w:val="20"/>
              </w:rPr>
            </w:pPr>
            <w:r w:rsidRPr="007E5CDA">
              <w:rPr>
                <w:rFonts w:eastAsia="Times New Roman" w:cs="Calibri"/>
                <w:color w:val="000000"/>
                <w:sz w:val="20"/>
                <w:szCs w:val="20"/>
              </w:rPr>
              <w:t>Derechos o regalías sobre bienes intangibles</w:t>
            </w:r>
          </w:p>
        </w:tc>
        <w:tc>
          <w:tcPr>
            <w:tcW w:w="1276" w:type="dxa"/>
            <w:tcBorders>
              <w:top w:val="nil"/>
              <w:left w:val="nil"/>
              <w:bottom w:val="nil"/>
              <w:right w:val="single" w:sz="8" w:space="0" w:color="auto"/>
            </w:tcBorders>
            <w:shd w:val="clear" w:color="auto" w:fill="auto"/>
            <w:noWrap/>
            <w:vAlign w:val="center"/>
            <w:hideMark/>
          </w:tcPr>
          <w:p w14:paraId="46999D14"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1 688,20</w:t>
            </w:r>
          </w:p>
        </w:tc>
        <w:tc>
          <w:tcPr>
            <w:tcW w:w="1276" w:type="dxa"/>
            <w:tcBorders>
              <w:top w:val="nil"/>
              <w:left w:val="nil"/>
              <w:bottom w:val="nil"/>
              <w:right w:val="single" w:sz="8" w:space="0" w:color="auto"/>
            </w:tcBorders>
            <w:shd w:val="clear" w:color="auto" w:fill="auto"/>
            <w:noWrap/>
            <w:vAlign w:val="center"/>
            <w:hideMark/>
          </w:tcPr>
          <w:p w14:paraId="0E2BD2F9"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0,00</w:t>
            </w:r>
          </w:p>
        </w:tc>
        <w:tc>
          <w:tcPr>
            <w:tcW w:w="1134" w:type="dxa"/>
            <w:tcBorders>
              <w:top w:val="nil"/>
              <w:left w:val="nil"/>
              <w:bottom w:val="nil"/>
              <w:right w:val="single" w:sz="8" w:space="0" w:color="auto"/>
            </w:tcBorders>
            <w:shd w:val="clear" w:color="auto" w:fill="auto"/>
            <w:noWrap/>
            <w:vAlign w:val="center"/>
            <w:hideMark/>
          </w:tcPr>
          <w:p w14:paraId="4249519B"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1 688,20</w:t>
            </w:r>
          </w:p>
        </w:tc>
        <w:tc>
          <w:tcPr>
            <w:tcW w:w="955" w:type="dxa"/>
            <w:tcBorders>
              <w:top w:val="nil"/>
              <w:left w:val="nil"/>
              <w:bottom w:val="nil"/>
              <w:right w:val="single" w:sz="8" w:space="0" w:color="auto"/>
            </w:tcBorders>
            <w:shd w:val="clear" w:color="auto" w:fill="auto"/>
            <w:vAlign w:val="center"/>
            <w:hideMark/>
          </w:tcPr>
          <w:p w14:paraId="11CC752A" w14:textId="77777777" w:rsidR="007E5CDA" w:rsidRPr="007E5CDA" w:rsidRDefault="007E5CDA" w:rsidP="007E5CDA">
            <w:pPr>
              <w:spacing w:after="0" w:line="240" w:lineRule="auto"/>
              <w:jc w:val="center"/>
              <w:rPr>
                <w:rFonts w:eastAsia="Times New Roman" w:cs="Calibri"/>
                <w:color w:val="000000"/>
                <w:sz w:val="20"/>
                <w:szCs w:val="20"/>
                <w:lang w:val="en-US"/>
              </w:rPr>
            </w:pPr>
            <w:r w:rsidRPr="007E5CDA">
              <w:rPr>
                <w:rFonts w:eastAsia="Times New Roman" w:cs="Calibri"/>
                <w:color w:val="000000"/>
                <w:sz w:val="20"/>
                <w:szCs w:val="20"/>
                <w:lang w:val="en-US"/>
              </w:rPr>
              <w:t>#DIV/0!</w:t>
            </w:r>
          </w:p>
        </w:tc>
        <w:tc>
          <w:tcPr>
            <w:tcW w:w="222" w:type="dxa"/>
            <w:vAlign w:val="center"/>
            <w:hideMark/>
          </w:tcPr>
          <w:p w14:paraId="6BB7752B" w14:textId="77777777" w:rsidR="007E5CDA" w:rsidRPr="007E5CDA" w:rsidRDefault="007E5CDA" w:rsidP="007E5CDA">
            <w:pPr>
              <w:spacing w:after="0" w:line="240" w:lineRule="auto"/>
              <w:jc w:val="left"/>
              <w:rPr>
                <w:rFonts w:ascii="Times New Roman" w:eastAsia="Times New Roman" w:hAnsi="Times New Roman" w:cs="Times New Roman"/>
                <w:sz w:val="20"/>
                <w:szCs w:val="20"/>
                <w:lang w:val="en-US"/>
              </w:rPr>
            </w:pPr>
          </w:p>
        </w:tc>
      </w:tr>
      <w:tr w:rsidR="007E5CDA" w:rsidRPr="007E5CDA" w14:paraId="4344F54C" w14:textId="77777777" w:rsidTr="007E5CDA">
        <w:trPr>
          <w:trHeight w:val="300"/>
        </w:trPr>
        <w:tc>
          <w:tcPr>
            <w:tcW w:w="841" w:type="dxa"/>
            <w:tcBorders>
              <w:top w:val="nil"/>
              <w:left w:val="single" w:sz="8" w:space="0" w:color="auto"/>
              <w:bottom w:val="nil"/>
              <w:right w:val="single" w:sz="8" w:space="0" w:color="auto"/>
            </w:tcBorders>
            <w:shd w:val="clear" w:color="auto" w:fill="auto"/>
            <w:noWrap/>
            <w:vAlign w:val="center"/>
            <w:hideMark/>
          </w:tcPr>
          <w:p w14:paraId="1EB150FA" w14:textId="77777777" w:rsidR="007E5CDA" w:rsidRPr="007E5CDA" w:rsidRDefault="007E5CDA" w:rsidP="007E5CDA">
            <w:pPr>
              <w:spacing w:after="0" w:line="240" w:lineRule="auto"/>
              <w:jc w:val="left"/>
              <w:rPr>
                <w:rFonts w:eastAsia="Times New Roman" w:cs="Calibri"/>
                <w:b/>
                <w:bCs/>
                <w:color w:val="000000"/>
                <w:sz w:val="20"/>
                <w:szCs w:val="20"/>
                <w:lang w:val="en-US"/>
              </w:rPr>
            </w:pPr>
            <w:r w:rsidRPr="007E5CDA">
              <w:rPr>
                <w:rFonts w:eastAsia="Times New Roman" w:cs="Calibri"/>
                <w:b/>
                <w:bCs/>
                <w:color w:val="000000"/>
                <w:sz w:val="20"/>
                <w:szCs w:val="20"/>
                <w:lang w:val="en-US"/>
              </w:rPr>
              <w:t>5.1.2.02.</w:t>
            </w:r>
          </w:p>
        </w:tc>
        <w:tc>
          <w:tcPr>
            <w:tcW w:w="3357" w:type="dxa"/>
            <w:tcBorders>
              <w:top w:val="nil"/>
              <w:left w:val="nil"/>
              <w:bottom w:val="nil"/>
              <w:right w:val="single" w:sz="8" w:space="0" w:color="auto"/>
            </w:tcBorders>
            <w:shd w:val="clear" w:color="000000" w:fill="FFFFFF"/>
            <w:noWrap/>
            <w:vAlign w:val="bottom"/>
            <w:hideMark/>
          </w:tcPr>
          <w:p w14:paraId="137C4DA1" w14:textId="77777777" w:rsidR="007E5CDA" w:rsidRPr="007E5CDA" w:rsidRDefault="007E5CDA" w:rsidP="007E5CDA">
            <w:pPr>
              <w:spacing w:after="0" w:line="240" w:lineRule="auto"/>
              <w:jc w:val="left"/>
              <w:rPr>
                <w:rFonts w:eastAsia="Times New Roman" w:cs="Calibri"/>
                <w:b/>
                <w:bCs/>
                <w:color w:val="000000"/>
                <w:sz w:val="20"/>
                <w:szCs w:val="20"/>
                <w:lang w:val="en-US"/>
              </w:rPr>
            </w:pPr>
            <w:r w:rsidRPr="007E5CDA">
              <w:rPr>
                <w:rFonts w:eastAsia="Times New Roman" w:cs="Calibri"/>
                <w:b/>
                <w:bCs/>
                <w:color w:val="000000"/>
                <w:sz w:val="20"/>
                <w:szCs w:val="20"/>
                <w:lang w:val="en-US"/>
              </w:rPr>
              <w:t>Servicios básicos</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14:paraId="22BAE5EB" w14:textId="77777777" w:rsidR="007E5CDA" w:rsidRPr="007E5CDA" w:rsidRDefault="007E5CDA" w:rsidP="007E5CDA">
            <w:pPr>
              <w:spacing w:after="0" w:line="240" w:lineRule="auto"/>
              <w:jc w:val="right"/>
              <w:rPr>
                <w:rFonts w:eastAsia="Times New Roman" w:cs="Calibri"/>
                <w:b/>
                <w:bCs/>
                <w:color w:val="000000"/>
                <w:sz w:val="20"/>
                <w:szCs w:val="20"/>
                <w:lang w:val="en-US"/>
              </w:rPr>
            </w:pPr>
            <w:r w:rsidRPr="007E5CDA">
              <w:rPr>
                <w:rFonts w:ascii="Arial" w:eastAsia="Times New Roman" w:hAnsi="Arial" w:cs="Arial"/>
                <w:b/>
                <w:bCs/>
                <w:color w:val="000000"/>
                <w:sz w:val="20"/>
                <w:szCs w:val="20"/>
                <w:lang w:val="en-US"/>
              </w:rPr>
              <w:t>₡</w:t>
            </w:r>
            <w:r w:rsidRPr="007E5CDA">
              <w:rPr>
                <w:rFonts w:eastAsia="Times New Roman" w:cs="Calibri"/>
                <w:b/>
                <w:bCs/>
                <w:color w:val="000000"/>
                <w:sz w:val="20"/>
                <w:szCs w:val="20"/>
                <w:lang w:val="en-US"/>
              </w:rPr>
              <w:t>66 859,51</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14:paraId="77132655" w14:textId="77777777" w:rsidR="007E5CDA" w:rsidRPr="007E5CDA" w:rsidRDefault="007E5CDA" w:rsidP="007E5CDA">
            <w:pPr>
              <w:spacing w:after="0" w:line="240" w:lineRule="auto"/>
              <w:jc w:val="right"/>
              <w:rPr>
                <w:rFonts w:eastAsia="Times New Roman" w:cs="Calibri"/>
                <w:b/>
                <w:bCs/>
                <w:color w:val="000000"/>
                <w:sz w:val="20"/>
                <w:szCs w:val="20"/>
                <w:lang w:val="en-US"/>
              </w:rPr>
            </w:pPr>
            <w:r w:rsidRPr="007E5CDA">
              <w:rPr>
                <w:rFonts w:ascii="Arial" w:eastAsia="Times New Roman" w:hAnsi="Arial" w:cs="Arial"/>
                <w:b/>
                <w:bCs/>
                <w:color w:val="000000"/>
                <w:sz w:val="20"/>
                <w:szCs w:val="20"/>
                <w:lang w:val="en-US"/>
              </w:rPr>
              <w:t>₡</w:t>
            </w:r>
            <w:r w:rsidRPr="007E5CDA">
              <w:rPr>
                <w:rFonts w:eastAsia="Times New Roman" w:cs="Calibri"/>
                <w:b/>
                <w:bCs/>
                <w:color w:val="000000"/>
                <w:sz w:val="20"/>
                <w:szCs w:val="20"/>
                <w:lang w:val="en-US"/>
              </w:rPr>
              <w:t>59 675,49</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14:paraId="34B29366" w14:textId="77777777" w:rsidR="007E5CDA" w:rsidRPr="007E5CDA" w:rsidRDefault="007E5CDA" w:rsidP="007E5CDA">
            <w:pPr>
              <w:spacing w:after="0" w:line="240" w:lineRule="auto"/>
              <w:jc w:val="right"/>
              <w:rPr>
                <w:rFonts w:eastAsia="Times New Roman" w:cs="Calibri"/>
                <w:b/>
                <w:bCs/>
                <w:color w:val="000000"/>
                <w:sz w:val="20"/>
                <w:szCs w:val="20"/>
                <w:lang w:val="en-US"/>
              </w:rPr>
            </w:pPr>
            <w:r w:rsidRPr="007E5CDA">
              <w:rPr>
                <w:rFonts w:ascii="Arial" w:eastAsia="Times New Roman" w:hAnsi="Arial" w:cs="Arial"/>
                <w:b/>
                <w:bCs/>
                <w:color w:val="000000"/>
                <w:sz w:val="20"/>
                <w:szCs w:val="20"/>
                <w:lang w:val="en-US"/>
              </w:rPr>
              <w:t>₡</w:t>
            </w:r>
            <w:r w:rsidRPr="007E5CDA">
              <w:rPr>
                <w:rFonts w:eastAsia="Times New Roman" w:cs="Calibri"/>
                <w:b/>
                <w:bCs/>
                <w:color w:val="000000"/>
                <w:sz w:val="20"/>
                <w:szCs w:val="20"/>
                <w:lang w:val="en-US"/>
              </w:rPr>
              <w:t>7 184,02</w:t>
            </w:r>
          </w:p>
        </w:tc>
        <w:tc>
          <w:tcPr>
            <w:tcW w:w="955" w:type="dxa"/>
            <w:tcBorders>
              <w:top w:val="single" w:sz="8" w:space="0" w:color="auto"/>
              <w:left w:val="nil"/>
              <w:bottom w:val="single" w:sz="8" w:space="0" w:color="auto"/>
              <w:right w:val="single" w:sz="8" w:space="0" w:color="auto"/>
            </w:tcBorders>
            <w:shd w:val="clear" w:color="auto" w:fill="auto"/>
            <w:vAlign w:val="center"/>
            <w:hideMark/>
          </w:tcPr>
          <w:p w14:paraId="41CD8818" w14:textId="77777777" w:rsidR="007E5CDA" w:rsidRPr="007E5CDA" w:rsidRDefault="007E5CDA" w:rsidP="007E5CDA">
            <w:pPr>
              <w:spacing w:after="0" w:line="240" w:lineRule="auto"/>
              <w:jc w:val="center"/>
              <w:rPr>
                <w:rFonts w:eastAsia="Times New Roman" w:cs="Calibri"/>
                <w:b/>
                <w:bCs/>
                <w:color w:val="000000"/>
                <w:sz w:val="20"/>
                <w:szCs w:val="20"/>
                <w:lang w:val="en-US"/>
              </w:rPr>
            </w:pPr>
            <w:r w:rsidRPr="007E5CDA">
              <w:rPr>
                <w:rFonts w:eastAsia="Times New Roman" w:cs="Calibri"/>
                <w:b/>
                <w:bCs/>
                <w:color w:val="000000"/>
                <w:sz w:val="20"/>
                <w:szCs w:val="20"/>
                <w:lang w:val="en-US"/>
              </w:rPr>
              <w:t>-4,84%</w:t>
            </w:r>
          </w:p>
        </w:tc>
        <w:tc>
          <w:tcPr>
            <w:tcW w:w="222" w:type="dxa"/>
            <w:vAlign w:val="center"/>
            <w:hideMark/>
          </w:tcPr>
          <w:p w14:paraId="04EAEAF9" w14:textId="77777777" w:rsidR="007E5CDA" w:rsidRPr="007E5CDA" w:rsidRDefault="007E5CDA" w:rsidP="007E5CDA">
            <w:pPr>
              <w:spacing w:after="0" w:line="240" w:lineRule="auto"/>
              <w:jc w:val="left"/>
              <w:rPr>
                <w:rFonts w:ascii="Times New Roman" w:eastAsia="Times New Roman" w:hAnsi="Times New Roman" w:cs="Times New Roman"/>
                <w:sz w:val="20"/>
                <w:szCs w:val="20"/>
                <w:lang w:val="en-US"/>
              </w:rPr>
            </w:pPr>
          </w:p>
        </w:tc>
      </w:tr>
      <w:tr w:rsidR="007E5CDA" w:rsidRPr="007E5CDA" w14:paraId="59FCE09D" w14:textId="77777777" w:rsidTr="007E5CDA">
        <w:trPr>
          <w:trHeight w:val="290"/>
        </w:trPr>
        <w:tc>
          <w:tcPr>
            <w:tcW w:w="841" w:type="dxa"/>
            <w:tcBorders>
              <w:top w:val="nil"/>
              <w:left w:val="single" w:sz="8" w:space="0" w:color="auto"/>
              <w:bottom w:val="nil"/>
              <w:right w:val="single" w:sz="8" w:space="0" w:color="auto"/>
            </w:tcBorders>
            <w:shd w:val="clear" w:color="auto" w:fill="auto"/>
            <w:noWrap/>
            <w:vAlign w:val="bottom"/>
            <w:hideMark/>
          </w:tcPr>
          <w:p w14:paraId="47835035" w14:textId="77777777" w:rsidR="007E5CDA" w:rsidRPr="007E5CDA" w:rsidRDefault="007E5CDA" w:rsidP="007E5CDA">
            <w:pPr>
              <w:spacing w:after="0" w:line="240" w:lineRule="auto"/>
              <w:jc w:val="left"/>
              <w:rPr>
                <w:rFonts w:eastAsia="Times New Roman" w:cs="Calibri"/>
                <w:color w:val="000000"/>
                <w:sz w:val="20"/>
                <w:szCs w:val="20"/>
                <w:lang w:val="en-US"/>
              </w:rPr>
            </w:pPr>
            <w:r w:rsidRPr="007E5CDA">
              <w:rPr>
                <w:rFonts w:eastAsia="Times New Roman" w:cs="Calibri"/>
                <w:color w:val="000000"/>
                <w:sz w:val="20"/>
                <w:szCs w:val="20"/>
                <w:lang w:val="en-US"/>
              </w:rPr>
              <w:t>5.1.2.02.01.</w:t>
            </w:r>
          </w:p>
        </w:tc>
        <w:tc>
          <w:tcPr>
            <w:tcW w:w="3357" w:type="dxa"/>
            <w:tcBorders>
              <w:top w:val="nil"/>
              <w:left w:val="nil"/>
              <w:bottom w:val="nil"/>
              <w:right w:val="single" w:sz="8" w:space="0" w:color="auto"/>
            </w:tcBorders>
            <w:shd w:val="clear" w:color="auto" w:fill="auto"/>
            <w:noWrap/>
            <w:vAlign w:val="bottom"/>
            <w:hideMark/>
          </w:tcPr>
          <w:p w14:paraId="13A8D4CD" w14:textId="77777777" w:rsidR="007E5CDA" w:rsidRPr="007E5CDA" w:rsidRDefault="007E5CDA" w:rsidP="007E5CDA">
            <w:pPr>
              <w:spacing w:after="0" w:line="240" w:lineRule="auto"/>
              <w:jc w:val="left"/>
              <w:rPr>
                <w:rFonts w:eastAsia="Times New Roman" w:cs="Calibri"/>
                <w:color w:val="000000"/>
                <w:sz w:val="20"/>
                <w:szCs w:val="20"/>
                <w:lang w:val="en-US"/>
              </w:rPr>
            </w:pPr>
            <w:r w:rsidRPr="007E5CDA">
              <w:rPr>
                <w:rFonts w:eastAsia="Times New Roman" w:cs="Calibri"/>
                <w:color w:val="000000"/>
                <w:sz w:val="20"/>
                <w:szCs w:val="20"/>
                <w:lang w:val="en-US"/>
              </w:rPr>
              <w:t>Agua y alcantarillado</w:t>
            </w:r>
          </w:p>
        </w:tc>
        <w:tc>
          <w:tcPr>
            <w:tcW w:w="1276" w:type="dxa"/>
            <w:tcBorders>
              <w:top w:val="nil"/>
              <w:left w:val="nil"/>
              <w:bottom w:val="nil"/>
              <w:right w:val="single" w:sz="8" w:space="0" w:color="auto"/>
            </w:tcBorders>
            <w:shd w:val="clear" w:color="auto" w:fill="auto"/>
            <w:noWrap/>
            <w:vAlign w:val="center"/>
            <w:hideMark/>
          </w:tcPr>
          <w:p w14:paraId="4EF88441"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5 563,36</w:t>
            </w:r>
          </w:p>
        </w:tc>
        <w:tc>
          <w:tcPr>
            <w:tcW w:w="1276" w:type="dxa"/>
            <w:tcBorders>
              <w:top w:val="nil"/>
              <w:left w:val="nil"/>
              <w:bottom w:val="nil"/>
              <w:right w:val="single" w:sz="8" w:space="0" w:color="auto"/>
            </w:tcBorders>
            <w:shd w:val="clear" w:color="auto" w:fill="auto"/>
            <w:noWrap/>
            <w:vAlign w:val="center"/>
            <w:hideMark/>
          </w:tcPr>
          <w:p w14:paraId="2EF68BE7"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5 587,91</w:t>
            </w:r>
          </w:p>
        </w:tc>
        <w:tc>
          <w:tcPr>
            <w:tcW w:w="1134" w:type="dxa"/>
            <w:tcBorders>
              <w:top w:val="nil"/>
              <w:left w:val="nil"/>
              <w:bottom w:val="nil"/>
              <w:right w:val="single" w:sz="8" w:space="0" w:color="auto"/>
            </w:tcBorders>
            <w:shd w:val="clear" w:color="auto" w:fill="auto"/>
            <w:noWrap/>
            <w:vAlign w:val="center"/>
            <w:hideMark/>
          </w:tcPr>
          <w:p w14:paraId="4361F209"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-24,55</w:t>
            </w:r>
          </w:p>
        </w:tc>
        <w:tc>
          <w:tcPr>
            <w:tcW w:w="955" w:type="dxa"/>
            <w:tcBorders>
              <w:top w:val="nil"/>
              <w:left w:val="nil"/>
              <w:bottom w:val="nil"/>
              <w:right w:val="single" w:sz="8" w:space="0" w:color="auto"/>
            </w:tcBorders>
            <w:shd w:val="clear" w:color="auto" w:fill="auto"/>
            <w:vAlign w:val="center"/>
            <w:hideMark/>
          </w:tcPr>
          <w:p w14:paraId="1F8F2A4C" w14:textId="77777777" w:rsidR="007E5CDA" w:rsidRPr="007E5CDA" w:rsidRDefault="007E5CDA" w:rsidP="007E5CDA">
            <w:pPr>
              <w:spacing w:after="0" w:line="240" w:lineRule="auto"/>
              <w:jc w:val="center"/>
              <w:rPr>
                <w:rFonts w:eastAsia="Times New Roman" w:cs="Calibri"/>
                <w:color w:val="000000"/>
                <w:sz w:val="20"/>
                <w:szCs w:val="20"/>
                <w:lang w:val="en-US"/>
              </w:rPr>
            </w:pPr>
            <w:r w:rsidRPr="007E5CDA">
              <w:rPr>
                <w:rFonts w:eastAsia="Times New Roman" w:cs="Calibri"/>
                <w:color w:val="000000"/>
                <w:sz w:val="20"/>
                <w:szCs w:val="20"/>
                <w:lang w:val="en-US"/>
              </w:rPr>
              <w:t>-0,44%</w:t>
            </w:r>
          </w:p>
        </w:tc>
        <w:tc>
          <w:tcPr>
            <w:tcW w:w="222" w:type="dxa"/>
            <w:vAlign w:val="center"/>
            <w:hideMark/>
          </w:tcPr>
          <w:p w14:paraId="52567615" w14:textId="77777777" w:rsidR="007E5CDA" w:rsidRPr="007E5CDA" w:rsidRDefault="007E5CDA" w:rsidP="007E5CDA">
            <w:pPr>
              <w:spacing w:after="0" w:line="240" w:lineRule="auto"/>
              <w:jc w:val="left"/>
              <w:rPr>
                <w:rFonts w:ascii="Times New Roman" w:eastAsia="Times New Roman" w:hAnsi="Times New Roman" w:cs="Times New Roman"/>
                <w:sz w:val="20"/>
                <w:szCs w:val="20"/>
                <w:lang w:val="en-US"/>
              </w:rPr>
            </w:pPr>
          </w:p>
        </w:tc>
      </w:tr>
      <w:tr w:rsidR="007E5CDA" w:rsidRPr="007E5CDA" w14:paraId="66E50066" w14:textId="77777777" w:rsidTr="007E5CDA">
        <w:trPr>
          <w:trHeight w:val="290"/>
        </w:trPr>
        <w:tc>
          <w:tcPr>
            <w:tcW w:w="841" w:type="dxa"/>
            <w:tcBorders>
              <w:top w:val="nil"/>
              <w:left w:val="single" w:sz="8" w:space="0" w:color="auto"/>
              <w:bottom w:val="nil"/>
              <w:right w:val="single" w:sz="8" w:space="0" w:color="auto"/>
            </w:tcBorders>
            <w:shd w:val="clear" w:color="auto" w:fill="auto"/>
            <w:noWrap/>
            <w:vAlign w:val="bottom"/>
            <w:hideMark/>
          </w:tcPr>
          <w:p w14:paraId="5541D0D5" w14:textId="77777777" w:rsidR="007E5CDA" w:rsidRPr="007E5CDA" w:rsidRDefault="007E5CDA" w:rsidP="007E5CDA">
            <w:pPr>
              <w:spacing w:after="0" w:line="240" w:lineRule="auto"/>
              <w:jc w:val="left"/>
              <w:rPr>
                <w:rFonts w:eastAsia="Times New Roman" w:cs="Calibri"/>
                <w:color w:val="000000"/>
                <w:sz w:val="20"/>
                <w:szCs w:val="20"/>
                <w:lang w:val="en-US"/>
              </w:rPr>
            </w:pPr>
            <w:r w:rsidRPr="007E5CDA">
              <w:rPr>
                <w:rFonts w:eastAsia="Times New Roman" w:cs="Calibri"/>
                <w:color w:val="000000"/>
                <w:sz w:val="20"/>
                <w:szCs w:val="20"/>
                <w:lang w:val="en-US"/>
              </w:rPr>
              <w:t>5.1.2.02.02.</w:t>
            </w:r>
          </w:p>
        </w:tc>
        <w:tc>
          <w:tcPr>
            <w:tcW w:w="3357" w:type="dxa"/>
            <w:tcBorders>
              <w:top w:val="nil"/>
              <w:left w:val="nil"/>
              <w:bottom w:val="nil"/>
              <w:right w:val="single" w:sz="8" w:space="0" w:color="auto"/>
            </w:tcBorders>
            <w:shd w:val="clear" w:color="auto" w:fill="auto"/>
            <w:noWrap/>
            <w:vAlign w:val="bottom"/>
            <w:hideMark/>
          </w:tcPr>
          <w:p w14:paraId="58F56780" w14:textId="77777777" w:rsidR="007E5CDA" w:rsidRPr="007E5CDA" w:rsidRDefault="007E5CDA" w:rsidP="007E5CDA">
            <w:pPr>
              <w:spacing w:after="0" w:line="240" w:lineRule="auto"/>
              <w:jc w:val="left"/>
              <w:rPr>
                <w:rFonts w:eastAsia="Times New Roman" w:cs="Calibri"/>
                <w:color w:val="000000"/>
                <w:sz w:val="20"/>
                <w:szCs w:val="20"/>
                <w:lang w:val="en-US"/>
              </w:rPr>
            </w:pPr>
            <w:r w:rsidRPr="007E5CDA">
              <w:rPr>
                <w:rFonts w:eastAsia="Times New Roman" w:cs="Calibri"/>
                <w:color w:val="000000"/>
                <w:sz w:val="20"/>
                <w:szCs w:val="20"/>
                <w:lang w:val="en-US"/>
              </w:rPr>
              <w:t>Energía eléctrica</w:t>
            </w:r>
          </w:p>
        </w:tc>
        <w:tc>
          <w:tcPr>
            <w:tcW w:w="1276" w:type="dxa"/>
            <w:tcBorders>
              <w:top w:val="nil"/>
              <w:left w:val="nil"/>
              <w:bottom w:val="nil"/>
              <w:right w:val="single" w:sz="8" w:space="0" w:color="auto"/>
            </w:tcBorders>
            <w:shd w:val="clear" w:color="auto" w:fill="auto"/>
            <w:noWrap/>
            <w:vAlign w:val="center"/>
            <w:hideMark/>
          </w:tcPr>
          <w:p w14:paraId="59907775"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10 430,19</w:t>
            </w:r>
          </w:p>
        </w:tc>
        <w:tc>
          <w:tcPr>
            <w:tcW w:w="1276" w:type="dxa"/>
            <w:tcBorders>
              <w:top w:val="nil"/>
              <w:left w:val="nil"/>
              <w:bottom w:val="nil"/>
              <w:right w:val="single" w:sz="8" w:space="0" w:color="auto"/>
            </w:tcBorders>
            <w:shd w:val="clear" w:color="auto" w:fill="auto"/>
            <w:noWrap/>
            <w:vAlign w:val="center"/>
            <w:hideMark/>
          </w:tcPr>
          <w:p w14:paraId="1643BB2B"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8 495,51</w:t>
            </w:r>
          </w:p>
        </w:tc>
        <w:tc>
          <w:tcPr>
            <w:tcW w:w="1134" w:type="dxa"/>
            <w:tcBorders>
              <w:top w:val="nil"/>
              <w:left w:val="nil"/>
              <w:bottom w:val="nil"/>
              <w:right w:val="single" w:sz="8" w:space="0" w:color="auto"/>
            </w:tcBorders>
            <w:shd w:val="clear" w:color="auto" w:fill="auto"/>
            <w:noWrap/>
            <w:vAlign w:val="center"/>
            <w:hideMark/>
          </w:tcPr>
          <w:p w14:paraId="3F70172B"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1 934,69</w:t>
            </w:r>
          </w:p>
        </w:tc>
        <w:tc>
          <w:tcPr>
            <w:tcW w:w="955" w:type="dxa"/>
            <w:tcBorders>
              <w:top w:val="nil"/>
              <w:left w:val="nil"/>
              <w:bottom w:val="nil"/>
              <w:right w:val="single" w:sz="8" w:space="0" w:color="auto"/>
            </w:tcBorders>
            <w:shd w:val="clear" w:color="auto" w:fill="auto"/>
            <w:vAlign w:val="center"/>
            <w:hideMark/>
          </w:tcPr>
          <w:p w14:paraId="4A35AF74" w14:textId="77777777" w:rsidR="007E5CDA" w:rsidRPr="007E5CDA" w:rsidRDefault="007E5CDA" w:rsidP="007E5CDA">
            <w:pPr>
              <w:spacing w:after="0" w:line="240" w:lineRule="auto"/>
              <w:jc w:val="center"/>
              <w:rPr>
                <w:rFonts w:eastAsia="Times New Roman" w:cs="Calibri"/>
                <w:color w:val="000000"/>
                <w:sz w:val="20"/>
                <w:szCs w:val="20"/>
                <w:lang w:val="en-US"/>
              </w:rPr>
            </w:pPr>
            <w:r w:rsidRPr="007E5CDA">
              <w:rPr>
                <w:rFonts w:eastAsia="Times New Roman" w:cs="Calibri"/>
                <w:color w:val="000000"/>
                <w:sz w:val="20"/>
                <w:szCs w:val="20"/>
                <w:lang w:val="en-US"/>
              </w:rPr>
              <w:t>22,77%</w:t>
            </w:r>
          </w:p>
        </w:tc>
        <w:tc>
          <w:tcPr>
            <w:tcW w:w="222" w:type="dxa"/>
            <w:vAlign w:val="center"/>
            <w:hideMark/>
          </w:tcPr>
          <w:p w14:paraId="0898BF06" w14:textId="77777777" w:rsidR="007E5CDA" w:rsidRPr="007E5CDA" w:rsidRDefault="007E5CDA" w:rsidP="007E5CDA">
            <w:pPr>
              <w:spacing w:after="0" w:line="240" w:lineRule="auto"/>
              <w:jc w:val="left"/>
              <w:rPr>
                <w:rFonts w:ascii="Times New Roman" w:eastAsia="Times New Roman" w:hAnsi="Times New Roman" w:cs="Times New Roman"/>
                <w:sz w:val="20"/>
                <w:szCs w:val="20"/>
                <w:lang w:val="en-US"/>
              </w:rPr>
            </w:pPr>
          </w:p>
        </w:tc>
      </w:tr>
      <w:tr w:rsidR="007E5CDA" w:rsidRPr="007E5CDA" w14:paraId="4522DE84" w14:textId="77777777" w:rsidTr="007E5CDA">
        <w:trPr>
          <w:trHeight w:val="290"/>
        </w:trPr>
        <w:tc>
          <w:tcPr>
            <w:tcW w:w="841" w:type="dxa"/>
            <w:tcBorders>
              <w:top w:val="nil"/>
              <w:left w:val="single" w:sz="8" w:space="0" w:color="auto"/>
              <w:bottom w:val="nil"/>
              <w:right w:val="single" w:sz="8" w:space="0" w:color="auto"/>
            </w:tcBorders>
            <w:shd w:val="clear" w:color="auto" w:fill="auto"/>
            <w:noWrap/>
            <w:vAlign w:val="bottom"/>
            <w:hideMark/>
          </w:tcPr>
          <w:p w14:paraId="7A4D443C" w14:textId="77777777" w:rsidR="007E5CDA" w:rsidRPr="007E5CDA" w:rsidRDefault="007E5CDA" w:rsidP="007E5CDA">
            <w:pPr>
              <w:spacing w:after="0" w:line="240" w:lineRule="auto"/>
              <w:jc w:val="left"/>
              <w:rPr>
                <w:rFonts w:eastAsia="Times New Roman" w:cs="Calibri"/>
                <w:color w:val="000000"/>
                <w:sz w:val="20"/>
                <w:szCs w:val="20"/>
                <w:lang w:val="en-US"/>
              </w:rPr>
            </w:pPr>
            <w:r w:rsidRPr="007E5CDA">
              <w:rPr>
                <w:rFonts w:eastAsia="Times New Roman" w:cs="Calibri"/>
                <w:color w:val="000000"/>
                <w:sz w:val="20"/>
                <w:szCs w:val="20"/>
                <w:lang w:val="en-US"/>
              </w:rPr>
              <w:t>5.1.2.02.04.</w:t>
            </w:r>
          </w:p>
        </w:tc>
        <w:tc>
          <w:tcPr>
            <w:tcW w:w="3357" w:type="dxa"/>
            <w:tcBorders>
              <w:top w:val="nil"/>
              <w:left w:val="nil"/>
              <w:bottom w:val="nil"/>
              <w:right w:val="single" w:sz="8" w:space="0" w:color="auto"/>
            </w:tcBorders>
            <w:shd w:val="clear" w:color="auto" w:fill="auto"/>
            <w:noWrap/>
            <w:vAlign w:val="bottom"/>
            <w:hideMark/>
          </w:tcPr>
          <w:p w14:paraId="013FA351" w14:textId="77777777" w:rsidR="007E5CDA" w:rsidRPr="007E5CDA" w:rsidRDefault="007E5CDA" w:rsidP="007E5CDA">
            <w:pPr>
              <w:spacing w:after="0" w:line="240" w:lineRule="auto"/>
              <w:jc w:val="left"/>
              <w:rPr>
                <w:rFonts w:eastAsia="Times New Roman" w:cs="Calibri"/>
                <w:color w:val="000000"/>
                <w:sz w:val="20"/>
                <w:szCs w:val="20"/>
                <w:lang w:val="en-US"/>
              </w:rPr>
            </w:pPr>
            <w:r w:rsidRPr="007E5CDA">
              <w:rPr>
                <w:rFonts w:eastAsia="Times New Roman" w:cs="Calibri"/>
                <w:color w:val="000000"/>
                <w:sz w:val="20"/>
                <w:szCs w:val="20"/>
                <w:lang w:val="en-US"/>
              </w:rPr>
              <w:t>Servicios de telecomunicaciones</w:t>
            </w:r>
          </w:p>
        </w:tc>
        <w:tc>
          <w:tcPr>
            <w:tcW w:w="1276" w:type="dxa"/>
            <w:tcBorders>
              <w:top w:val="nil"/>
              <w:left w:val="nil"/>
              <w:bottom w:val="nil"/>
              <w:right w:val="single" w:sz="8" w:space="0" w:color="auto"/>
            </w:tcBorders>
            <w:shd w:val="clear" w:color="auto" w:fill="auto"/>
            <w:noWrap/>
            <w:vAlign w:val="center"/>
            <w:hideMark/>
          </w:tcPr>
          <w:p w14:paraId="01691519"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1 350,35</w:t>
            </w:r>
          </w:p>
        </w:tc>
        <w:tc>
          <w:tcPr>
            <w:tcW w:w="1276" w:type="dxa"/>
            <w:tcBorders>
              <w:top w:val="nil"/>
              <w:left w:val="nil"/>
              <w:bottom w:val="nil"/>
              <w:right w:val="single" w:sz="8" w:space="0" w:color="auto"/>
            </w:tcBorders>
            <w:shd w:val="clear" w:color="auto" w:fill="auto"/>
            <w:noWrap/>
            <w:vAlign w:val="center"/>
            <w:hideMark/>
          </w:tcPr>
          <w:p w14:paraId="375B1C2D"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2 015,52</w:t>
            </w:r>
          </w:p>
        </w:tc>
        <w:tc>
          <w:tcPr>
            <w:tcW w:w="1134" w:type="dxa"/>
            <w:tcBorders>
              <w:top w:val="nil"/>
              <w:left w:val="nil"/>
              <w:bottom w:val="nil"/>
              <w:right w:val="single" w:sz="8" w:space="0" w:color="auto"/>
            </w:tcBorders>
            <w:shd w:val="clear" w:color="auto" w:fill="auto"/>
            <w:noWrap/>
            <w:vAlign w:val="center"/>
            <w:hideMark/>
          </w:tcPr>
          <w:p w14:paraId="3D54C340"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-665,17</w:t>
            </w:r>
          </w:p>
        </w:tc>
        <w:tc>
          <w:tcPr>
            <w:tcW w:w="955" w:type="dxa"/>
            <w:tcBorders>
              <w:top w:val="nil"/>
              <w:left w:val="nil"/>
              <w:bottom w:val="nil"/>
              <w:right w:val="single" w:sz="8" w:space="0" w:color="auto"/>
            </w:tcBorders>
            <w:shd w:val="clear" w:color="auto" w:fill="auto"/>
            <w:vAlign w:val="center"/>
            <w:hideMark/>
          </w:tcPr>
          <w:p w14:paraId="77D331C2" w14:textId="77777777" w:rsidR="007E5CDA" w:rsidRPr="007E5CDA" w:rsidRDefault="007E5CDA" w:rsidP="007E5CDA">
            <w:pPr>
              <w:spacing w:after="0" w:line="240" w:lineRule="auto"/>
              <w:jc w:val="center"/>
              <w:rPr>
                <w:rFonts w:eastAsia="Times New Roman" w:cs="Calibri"/>
                <w:color w:val="000000"/>
                <w:sz w:val="20"/>
                <w:szCs w:val="20"/>
                <w:lang w:val="en-US"/>
              </w:rPr>
            </w:pPr>
            <w:r w:rsidRPr="007E5CDA">
              <w:rPr>
                <w:rFonts w:eastAsia="Times New Roman" w:cs="Calibri"/>
                <w:color w:val="000000"/>
                <w:sz w:val="20"/>
                <w:szCs w:val="20"/>
                <w:lang w:val="en-US"/>
              </w:rPr>
              <w:t>-33,00%</w:t>
            </w:r>
          </w:p>
        </w:tc>
        <w:tc>
          <w:tcPr>
            <w:tcW w:w="222" w:type="dxa"/>
            <w:vAlign w:val="center"/>
            <w:hideMark/>
          </w:tcPr>
          <w:p w14:paraId="7C28D290" w14:textId="77777777" w:rsidR="007E5CDA" w:rsidRPr="007E5CDA" w:rsidRDefault="007E5CDA" w:rsidP="007E5CDA">
            <w:pPr>
              <w:spacing w:after="0" w:line="240" w:lineRule="auto"/>
              <w:jc w:val="left"/>
              <w:rPr>
                <w:rFonts w:ascii="Times New Roman" w:eastAsia="Times New Roman" w:hAnsi="Times New Roman" w:cs="Times New Roman"/>
                <w:sz w:val="20"/>
                <w:szCs w:val="20"/>
                <w:lang w:val="en-US"/>
              </w:rPr>
            </w:pPr>
          </w:p>
        </w:tc>
      </w:tr>
      <w:tr w:rsidR="007E5CDA" w:rsidRPr="007E5CDA" w14:paraId="0198E9F0" w14:textId="77777777" w:rsidTr="007E5CDA">
        <w:trPr>
          <w:trHeight w:val="300"/>
        </w:trPr>
        <w:tc>
          <w:tcPr>
            <w:tcW w:w="841" w:type="dxa"/>
            <w:tcBorders>
              <w:top w:val="nil"/>
              <w:left w:val="single" w:sz="8" w:space="0" w:color="auto"/>
              <w:bottom w:val="nil"/>
              <w:right w:val="single" w:sz="8" w:space="0" w:color="auto"/>
            </w:tcBorders>
            <w:shd w:val="clear" w:color="auto" w:fill="auto"/>
            <w:noWrap/>
            <w:vAlign w:val="bottom"/>
            <w:hideMark/>
          </w:tcPr>
          <w:p w14:paraId="65BF3FB3" w14:textId="77777777" w:rsidR="007E5CDA" w:rsidRPr="007E5CDA" w:rsidRDefault="007E5CDA" w:rsidP="007E5CDA">
            <w:pPr>
              <w:spacing w:after="0" w:line="240" w:lineRule="auto"/>
              <w:jc w:val="left"/>
              <w:rPr>
                <w:rFonts w:eastAsia="Times New Roman" w:cs="Calibri"/>
                <w:color w:val="000000"/>
                <w:sz w:val="20"/>
                <w:szCs w:val="20"/>
                <w:lang w:val="en-US"/>
              </w:rPr>
            </w:pPr>
            <w:r w:rsidRPr="007E5CDA">
              <w:rPr>
                <w:rFonts w:eastAsia="Times New Roman" w:cs="Calibri"/>
                <w:color w:val="000000"/>
                <w:sz w:val="20"/>
                <w:szCs w:val="20"/>
                <w:lang w:val="en-US"/>
              </w:rPr>
              <w:t>5.1.2.02.99.</w:t>
            </w:r>
          </w:p>
        </w:tc>
        <w:tc>
          <w:tcPr>
            <w:tcW w:w="3357" w:type="dxa"/>
            <w:tcBorders>
              <w:top w:val="nil"/>
              <w:left w:val="nil"/>
              <w:bottom w:val="nil"/>
              <w:right w:val="single" w:sz="8" w:space="0" w:color="auto"/>
            </w:tcBorders>
            <w:shd w:val="clear" w:color="auto" w:fill="auto"/>
            <w:noWrap/>
            <w:vAlign w:val="bottom"/>
            <w:hideMark/>
          </w:tcPr>
          <w:p w14:paraId="74FB9662" w14:textId="77777777" w:rsidR="007E5CDA" w:rsidRPr="007E5CDA" w:rsidRDefault="007E5CDA" w:rsidP="007E5CDA">
            <w:pPr>
              <w:spacing w:after="0" w:line="240" w:lineRule="auto"/>
              <w:jc w:val="left"/>
              <w:rPr>
                <w:rFonts w:eastAsia="Times New Roman" w:cs="Calibri"/>
                <w:color w:val="000000"/>
                <w:sz w:val="20"/>
                <w:szCs w:val="20"/>
                <w:lang w:val="en-US"/>
              </w:rPr>
            </w:pPr>
            <w:r w:rsidRPr="007E5CDA">
              <w:rPr>
                <w:rFonts w:eastAsia="Times New Roman" w:cs="Calibri"/>
                <w:color w:val="000000"/>
                <w:sz w:val="20"/>
                <w:szCs w:val="20"/>
                <w:lang w:val="en-US"/>
              </w:rPr>
              <w:t>Otros servicios básicos</w:t>
            </w:r>
          </w:p>
        </w:tc>
        <w:tc>
          <w:tcPr>
            <w:tcW w:w="1276" w:type="dxa"/>
            <w:tcBorders>
              <w:top w:val="nil"/>
              <w:left w:val="nil"/>
              <w:bottom w:val="nil"/>
              <w:right w:val="single" w:sz="8" w:space="0" w:color="auto"/>
            </w:tcBorders>
            <w:shd w:val="clear" w:color="auto" w:fill="auto"/>
            <w:noWrap/>
            <w:vAlign w:val="center"/>
            <w:hideMark/>
          </w:tcPr>
          <w:p w14:paraId="72C51E11"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49 515,61</w:t>
            </w:r>
          </w:p>
        </w:tc>
        <w:tc>
          <w:tcPr>
            <w:tcW w:w="1276" w:type="dxa"/>
            <w:tcBorders>
              <w:top w:val="nil"/>
              <w:left w:val="nil"/>
              <w:bottom w:val="nil"/>
              <w:right w:val="single" w:sz="8" w:space="0" w:color="auto"/>
            </w:tcBorders>
            <w:shd w:val="clear" w:color="auto" w:fill="auto"/>
            <w:noWrap/>
            <w:vAlign w:val="center"/>
            <w:hideMark/>
          </w:tcPr>
          <w:p w14:paraId="0F1F64BF"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43 576,55</w:t>
            </w:r>
          </w:p>
        </w:tc>
        <w:tc>
          <w:tcPr>
            <w:tcW w:w="1134" w:type="dxa"/>
            <w:tcBorders>
              <w:top w:val="nil"/>
              <w:left w:val="nil"/>
              <w:bottom w:val="nil"/>
              <w:right w:val="single" w:sz="8" w:space="0" w:color="auto"/>
            </w:tcBorders>
            <w:shd w:val="clear" w:color="auto" w:fill="auto"/>
            <w:noWrap/>
            <w:vAlign w:val="center"/>
            <w:hideMark/>
          </w:tcPr>
          <w:p w14:paraId="42689C86"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5 939,06</w:t>
            </w:r>
          </w:p>
        </w:tc>
        <w:tc>
          <w:tcPr>
            <w:tcW w:w="955" w:type="dxa"/>
            <w:tcBorders>
              <w:top w:val="nil"/>
              <w:left w:val="nil"/>
              <w:bottom w:val="nil"/>
              <w:right w:val="single" w:sz="8" w:space="0" w:color="auto"/>
            </w:tcBorders>
            <w:shd w:val="clear" w:color="auto" w:fill="auto"/>
            <w:vAlign w:val="center"/>
            <w:hideMark/>
          </w:tcPr>
          <w:p w14:paraId="42498FCE" w14:textId="77777777" w:rsidR="007E5CDA" w:rsidRPr="007E5CDA" w:rsidRDefault="007E5CDA" w:rsidP="007E5CDA">
            <w:pPr>
              <w:spacing w:after="0" w:line="240" w:lineRule="auto"/>
              <w:jc w:val="center"/>
              <w:rPr>
                <w:rFonts w:eastAsia="Times New Roman" w:cs="Calibri"/>
                <w:color w:val="000000"/>
                <w:sz w:val="20"/>
                <w:szCs w:val="20"/>
                <w:lang w:val="en-US"/>
              </w:rPr>
            </w:pPr>
            <w:r w:rsidRPr="007E5CDA">
              <w:rPr>
                <w:rFonts w:eastAsia="Times New Roman" w:cs="Calibri"/>
                <w:color w:val="000000"/>
                <w:sz w:val="20"/>
                <w:szCs w:val="20"/>
                <w:lang w:val="en-US"/>
              </w:rPr>
              <w:t>13,63%</w:t>
            </w:r>
          </w:p>
        </w:tc>
        <w:tc>
          <w:tcPr>
            <w:tcW w:w="222" w:type="dxa"/>
            <w:vAlign w:val="center"/>
            <w:hideMark/>
          </w:tcPr>
          <w:p w14:paraId="1B1EA47C" w14:textId="77777777" w:rsidR="007E5CDA" w:rsidRPr="007E5CDA" w:rsidRDefault="007E5CDA" w:rsidP="007E5CDA">
            <w:pPr>
              <w:spacing w:after="0" w:line="240" w:lineRule="auto"/>
              <w:jc w:val="left"/>
              <w:rPr>
                <w:rFonts w:ascii="Times New Roman" w:eastAsia="Times New Roman" w:hAnsi="Times New Roman" w:cs="Times New Roman"/>
                <w:sz w:val="20"/>
                <w:szCs w:val="20"/>
                <w:lang w:val="en-US"/>
              </w:rPr>
            </w:pPr>
          </w:p>
        </w:tc>
      </w:tr>
      <w:tr w:rsidR="007E5CDA" w:rsidRPr="007E5CDA" w14:paraId="787402F9" w14:textId="77777777" w:rsidTr="007E5CDA">
        <w:trPr>
          <w:trHeight w:val="300"/>
        </w:trPr>
        <w:tc>
          <w:tcPr>
            <w:tcW w:w="841" w:type="dxa"/>
            <w:tcBorders>
              <w:top w:val="nil"/>
              <w:left w:val="single" w:sz="8" w:space="0" w:color="auto"/>
              <w:bottom w:val="nil"/>
              <w:right w:val="single" w:sz="8" w:space="0" w:color="auto"/>
            </w:tcBorders>
            <w:shd w:val="clear" w:color="auto" w:fill="auto"/>
            <w:noWrap/>
            <w:vAlign w:val="center"/>
            <w:hideMark/>
          </w:tcPr>
          <w:p w14:paraId="62535B33" w14:textId="77777777" w:rsidR="007E5CDA" w:rsidRPr="007E5CDA" w:rsidRDefault="007E5CDA" w:rsidP="007E5CDA">
            <w:pPr>
              <w:spacing w:after="0" w:line="240" w:lineRule="auto"/>
              <w:jc w:val="left"/>
              <w:rPr>
                <w:rFonts w:eastAsia="Times New Roman" w:cs="Calibri"/>
                <w:b/>
                <w:bCs/>
                <w:color w:val="000000"/>
                <w:sz w:val="20"/>
                <w:szCs w:val="20"/>
                <w:lang w:val="en-US"/>
              </w:rPr>
            </w:pPr>
            <w:r w:rsidRPr="007E5CDA">
              <w:rPr>
                <w:rFonts w:eastAsia="Times New Roman" w:cs="Calibri"/>
                <w:b/>
                <w:bCs/>
                <w:color w:val="000000"/>
                <w:sz w:val="20"/>
                <w:szCs w:val="20"/>
                <w:lang w:val="en-US"/>
              </w:rPr>
              <w:t>5.1.2.03.</w:t>
            </w:r>
          </w:p>
        </w:tc>
        <w:tc>
          <w:tcPr>
            <w:tcW w:w="3357" w:type="dxa"/>
            <w:tcBorders>
              <w:top w:val="nil"/>
              <w:left w:val="nil"/>
              <w:bottom w:val="nil"/>
              <w:right w:val="single" w:sz="8" w:space="0" w:color="auto"/>
            </w:tcBorders>
            <w:shd w:val="clear" w:color="auto" w:fill="auto"/>
            <w:vAlign w:val="center"/>
            <w:hideMark/>
          </w:tcPr>
          <w:p w14:paraId="32DEAA84" w14:textId="77777777" w:rsidR="007E5CDA" w:rsidRPr="007E5CDA" w:rsidRDefault="007E5CDA" w:rsidP="007E5CDA">
            <w:pPr>
              <w:spacing w:after="0" w:line="240" w:lineRule="auto"/>
              <w:jc w:val="left"/>
              <w:rPr>
                <w:rFonts w:eastAsia="Times New Roman" w:cs="Calibri"/>
                <w:b/>
                <w:bCs/>
                <w:color w:val="000000"/>
                <w:sz w:val="20"/>
                <w:szCs w:val="20"/>
                <w:lang w:val="en-US"/>
              </w:rPr>
            </w:pPr>
            <w:r w:rsidRPr="007E5CDA">
              <w:rPr>
                <w:rFonts w:eastAsia="Times New Roman" w:cs="Calibri"/>
                <w:b/>
                <w:bCs/>
                <w:color w:val="000000"/>
                <w:sz w:val="20"/>
                <w:szCs w:val="20"/>
                <w:lang w:val="en-US"/>
              </w:rPr>
              <w:t>Servicios comerciales y financieros</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14:paraId="234059FB" w14:textId="77777777" w:rsidR="007E5CDA" w:rsidRPr="007E5CDA" w:rsidRDefault="007E5CDA" w:rsidP="007E5CDA">
            <w:pPr>
              <w:spacing w:after="0" w:line="240" w:lineRule="auto"/>
              <w:jc w:val="right"/>
              <w:rPr>
                <w:rFonts w:eastAsia="Times New Roman" w:cs="Calibri"/>
                <w:b/>
                <w:bCs/>
                <w:color w:val="000000"/>
                <w:sz w:val="20"/>
                <w:szCs w:val="20"/>
                <w:lang w:val="en-US"/>
              </w:rPr>
            </w:pPr>
            <w:r w:rsidRPr="007E5CDA">
              <w:rPr>
                <w:rFonts w:ascii="Arial" w:eastAsia="Times New Roman" w:hAnsi="Arial" w:cs="Arial"/>
                <w:b/>
                <w:bCs/>
                <w:color w:val="000000"/>
                <w:sz w:val="20"/>
                <w:szCs w:val="20"/>
                <w:lang w:val="en-US"/>
              </w:rPr>
              <w:t>₡</w:t>
            </w:r>
            <w:r w:rsidRPr="007E5CDA">
              <w:rPr>
                <w:rFonts w:eastAsia="Times New Roman" w:cs="Calibri"/>
                <w:b/>
                <w:bCs/>
                <w:color w:val="000000"/>
                <w:sz w:val="20"/>
                <w:szCs w:val="20"/>
                <w:lang w:val="en-US"/>
              </w:rPr>
              <w:t>15 484,72</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14:paraId="76C8A55B" w14:textId="77777777" w:rsidR="007E5CDA" w:rsidRPr="007E5CDA" w:rsidRDefault="007E5CDA" w:rsidP="007E5CDA">
            <w:pPr>
              <w:spacing w:after="0" w:line="240" w:lineRule="auto"/>
              <w:jc w:val="right"/>
              <w:rPr>
                <w:rFonts w:eastAsia="Times New Roman" w:cs="Calibri"/>
                <w:b/>
                <w:bCs/>
                <w:color w:val="000000"/>
                <w:sz w:val="20"/>
                <w:szCs w:val="20"/>
                <w:lang w:val="en-US"/>
              </w:rPr>
            </w:pPr>
            <w:r w:rsidRPr="007E5CDA">
              <w:rPr>
                <w:rFonts w:ascii="Arial" w:eastAsia="Times New Roman" w:hAnsi="Arial" w:cs="Arial"/>
                <w:b/>
                <w:bCs/>
                <w:color w:val="000000"/>
                <w:sz w:val="20"/>
                <w:szCs w:val="20"/>
                <w:lang w:val="en-US"/>
              </w:rPr>
              <w:t>₡</w:t>
            </w:r>
            <w:r w:rsidRPr="007E5CDA">
              <w:rPr>
                <w:rFonts w:eastAsia="Times New Roman" w:cs="Calibri"/>
                <w:b/>
                <w:bCs/>
                <w:color w:val="000000"/>
                <w:sz w:val="20"/>
                <w:szCs w:val="20"/>
                <w:lang w:val="en-US"/>
              </w:rPr>
              <w:t>19 406,19</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14:paraId="0A7C9696" w14:textId="77777777" w:rsidR="007E5CDA" w:rsidRPr="007E5CDA" w:rsidRDefault="007E5CDA" w:rsidP="007E5CDA">
            <w:pPr>
              <w:spacing w:after="0" w:line="240" w:lineRule="auto"/>
              <w:jc w:val="right"/>
              <w:rPr>
                <w:rFonts w:eastAsia="Times New Roman" w:cs="Calibri"/>
                <w:b/>
                <w:bCs/>
                <w:color w:val="000000"/>
                <w:sz w:val="20"/>
                <w:szCs w:val="20"/>
                <w:lang w:val="en-US"/>
              </w:rPr>
            </w:pPr>
            <w:r w:rsidRPr="007E5CDA">
              <w:rPr>
                <w:rFonts w:eastAsia="Times New Roman" w:cs="Calibri"/>
                <w:b/>
                <w:bCs/>
                <w:color w:val="000000"/>
                <w:sz w:val="20"/>
                <w:szCs w:val="20"/>
                <w:lang w:val="en-US"/>
              </w:rPr>
              <w:t>-</w:t>
            </w:r>
            <w:r w:rsidRPr="007E5CDA">
              <w:rPr>
                <w:rFonts w:ascii="Arial" w:eastAsia="Times New Roman" w:hAnsi="Arial" w:cs="Arial"/>
                <w:b/>
                <w:bCs/>
                <w:color w:val="000000"/>
                <w:sz w:val="20"/>
                <w:szCs w:val="20"/>
                <w:lang w:val="en-US"/>
              </w:rPr>
              <w:t>₡</w:t>
            </w:r>
            <w:r w:rsidRPr="007E5CDA">
              <w:rPr>
                <w:rFonts w:eastAsia="Times New Roman" w:cs="Calibri"/>
                <w:b/>
                <w:bCs/>
                <w:color w:val="000000"/>
                <w:sz w:val="20"/>
                <w:szCs w:val="20"/>
                <w:lang w:val="en-US"/>
              </w:rPr>
              <w:t>3 921,47</w:t>
            </w:r>
          </w:p>
        </w:tc>
        <w:tc>
          <w:tcPr>
            <w:tcW w:w="955" w:type="dxa"/>
            <w:tcBorders>
              <w:top w:val="single" w:sz="8" w:space="0" w:color="auto"/>
              <w:left w:val="nil"/>
              <w:bottom w:val="single" w:sz="8" w:space="0" w:color="auto"/>
              <w:right w:val="single" w:sz="8" w:space="0" w:color="auto"/>
            </w:tcBorders>
            <w:shd w:val="clear" w:color="auto" w:fill="auto"/>
            <w:vAlign w:val="center"/>
            <w:hideMark/>
          </w:tcPr>
          <w:p w14:paraId="68A9BC26" w14:textId="77777777" w:rsidR="007E5CDA" w:rsidRPr="007E5CDA" w:rsidRDefault="007E5CDA" w:rsidP="007E5CDA">
            <w:pPr>
              <w:spacing w:after="0" w:line="240" w:lineRule="auto"/>
              <w:jc w:val="center"/>
              <w:rPr>
                <w:rFonts w:eastAsia="Times New Roman" w:cs="Calibri"/>
                <w:b/>
                <w:bCs/>
                <w:color w:val="000000"/>
                <w:sz w:val="20"/>
                <w:szCs w:val="20"/>
                <w:lang w:val="en-US"/>
              </w:rPr>
            </w:pPr>
            <w:r w:rsidRPr="007E5CDA">
              <w:rPr>
                <w:rFonts w:eastAsia="Times New Roman" w:cs="Calibri"/>
                <w:b/>
                <w:bCs/>
                <w:color w:val="000000"/>
                <w:sz w:val="20"/>
                <w:szCs w:val="20"/>
                <w:lang w:val="en-US"/>
              </w:rPr>
              <w:t>-20,21%</w:t>
            </w:r>
          </w:p>
        </w:tc>
        <w:tc>
          <w:tcPr>
            <w:tcW w:w="222" w:type="dxa"/>
            <w:vAlign w:val="center"/>
            <w:hideMark/>
          </w:tcPr>
          <w:p w14:paraId="52A3FED5" w14:textId="77777777" w:rsidR="007E5CDA" w:rsidRPr="007E5CDA" w:rsidRDefault="007E5CDA" w:rsidP="007E5CDA">
            <w:pPr>
              <w:spacing w:after="0" w:line="240" w:lineRule="auto"/>
              <w:jc w:val="left"/>
              <w:rPr>
                <w:rFonts w:ascii="Times New Roman" w:eastAsia="Times New Roman" w:hAnsi="Times New Roman" w:cs="Times New Roman"/>
                <w:sz w:val="20"/>
                <w:szCs w:val="20"/>
                <w:lang w:val="en-US"/>
              </w:rPr>
            </w:pPr>
          </w:p>
        </w:tc>
      </w:tr>
      <w:tr w:rsidR="007E5CDA" w:rsidRPr="007E5CDA" w14:paraId="4F0A54E2" w14:textId="77777777" w:rsidTr="007E5CDA">
        <w:trPr>
          <w:trHeight w:val="290"/>
        </w:trPr>
        <w:tc>
          <w:tcPr>
            <w:tcW w:w="841" w:type="dxa"/>
            <w:tcBorders>
              <w:top w:val="nil"/>
              <w:left w:val="single" w:sz="8" w:space="0" w:color="auto"/>
              <w:bottom w:val="nil"/>
              <w:right w:val="single" w:sz="8" w:space="0" w:color="auto"/>
            </w:tcBorders>
            <w:shd w:val="clear" w:color="auto" w:fill="auto"/>
            <w:noWrap/>
            <w:vAlign w:val="bottom"/>
            <w:hideMark/>
          </w:tcPr>
          <w:p w14:paraId="15A3033F" w14:textId="77777777" w:rsidR="007E5CDA" w:rsidRPr="007E5CDA" w:rsidRDefault="007E5CDA" w:rsidP="007E5CDA">
            <w:pPr>
              <w:spacing w:after="0" w:line="240" w:lineRule="auto"/>
              <w:jc w:val="left"/>
              <w:rPr>
                <w:rFonts w:eastAsia="Times New Roman" w:cs="Calibri"/>
                <w:color w:val="000000"/>
                <w:sz w:val="20"/>
                <w:szCs w:val="20"/>
                <w:lang w:val="en-US"/>
              </w:rPr>
            </w:pPr>
            <w:r w:rsidRPr="007E5CDA">
              <w:rPr>
                <w:rFonts w:eastAsia="Times New Roman" w:cs="Calibri"/>
                <w:color w:val="000000"/>
                <w:sz w:val="20"/>
                <w:szCs w:val="20"/>
                <w:lang w:val="en-US"/>
              </w:rPr>
              <w:t>5.1.2.03.01.</w:t>
            </w:r>
          </w:p>
        </w:tc>
        <w:tc>
          <w:tcPr>
            <w:tcW w:w="3357" w:type="dxa"/>
            <w:tcBorders>
              <w:top w:val="nil"/>
              <w:left w:val="nil"/>
              <w:bottom w:val="nil"/>
              <w:right w:val="single" w:sz="8" w:space="0" w:color="auto"/>
            </w:tcBorders>
            <w:shd w:val="clear" w:color="auto" w:fill="auto"/>
            <w:noWrap/>
            <w:vAlign w:val="bottom"/>
            <w:hideMark/>
          </w:tcPr>
          <w:p w14:paraId="29C033DF" w14:textId="77777777" w:rsidR="007E5CDA" w:rsidRPr="007E5CDA" w:rsidRDefault="007E5CDA" w:rsidP="007E5CDA">
            <w:pPr>
              <w:spacing w:after="0" w:line="240" w:lineRule="auto"/>
              <w:jc w:val="left"/>
              <w:rPr>
                <w:rFonts w:eastAsia="Times New Roman" w:cs="Calibri"/>
                <w:color w:val="000000"/>
                <w:sz w:val="20"/>
                <w:szCs w:val="20"/>
                <w:lang w:val="en-US"/>
              </w:rPr>
            </w:pPr>
            <w:r w:rsidRPr="007E5CDA">
              <w:rPr>
                <w:rFonts w:eastAsia="Times New Roman" w:cs="Calibri"/>
                <w:color w:val="000000"/>
                <w:sz w:val="20"/>
                <w:szCs w:val="20"/>
                <w:lang w:val="en-US"/>
              </w:rPr>
              <w:t>Servicios de información</w:t>
            </w:r>
          </w:p>
        </w:tc>
        <w:tc>
          <w:tcPr>
            <w:tcW w:w="1276" w:type="dxa"/>
            <w:tcBorders>
              <w:top w:val="nil"/>
              <w:left w:val="nil"/>
              <w:bottom w:val="nil"/>
              <w:right w:val="single" w:sz="8" w:space="0" w:color="auto"/>
            </w:tcBorders>
            <w:shd w:val="clear" w:color="auto" w:fill="auto"/>
            <w:noWrap/>
            <w:vAlign w:val="center"/>
            <w:hideMark/>
          </w:tcPr>
          <w:p w14:paraId="4D92BD64"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457,78</w:t>
            </w:r>
          </w:p>
        </w:tc>
        <w:tc>
          <w:tcPr>
            <w:tcW w:w="1276" w:type="dxa"/>
            <w:tcBorders>
              <w:top w:val="nil"/>
              <w:left w:val="nil"/>
              <w:bottom w:val="nil"/>
              <w:right w:val="single" w:sz="8" w:space="0" w:color="auto"/>
            </w:tcBorders>
            <w:shd w:val="clear" w:color="auto" w:fill="auto"/>
            <w:noWrap/>
            <w:vAlign w:val="center"/>
            <w:hideMark/>
          </w:tcPr>
          <w:p w14:paraId="117874D5"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798,06</w:t>
            </w:r>
          </w:p>
        </w:tc>
        <w:tc>
          <w:tcPr>
            <w:tcW w:w="1134" w:type="dxa"/>
            <w:tcBorders>
              <w:top w:val="nil"/>
              <w:left w:val="nil"/>
              <w:bottom w:val="nil"/>
              <w:right w:val="single" w:sz="8" w:space="0" w:color="auto"/>
            </w:tcBorders>
            <w:shd w:val="clear" w:color="auto" w:fill="auto"/>
            <w:noWrap/>
            <w:vAlign w:val="center"/>
            <w:hideMark/>
          </w:tcPr>
          <w:p w14:paraId="5526B824"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-340,28</w:t>
            </w:r>
          </w:p>
        </w:tc>
        <w:tc>
          <w:tcPr>
            <w:tcW w:w="955" w:type="dxa"/>
            <w:tcBorders>
              <w:top w:val="nil"/>
              <w:left w:val="nil"/>
              <w:bottom w:val="nil"/>
              <w:right w:val="single" w:sz="8" w:space="0" w:color="auto"/>
            </w:tcBorders>
            <w:shd w:val="clear" w:color="auto" w:fill="auto"/>
            <w:vAlign w:val="center"/>
            <w:hideMark/>
          </w:tcPr>
          <w:p w14:paraId="49730FB9" w14:textId="77777777" w:rsidR="007E5CDA" w:rsidRPr="007E5CDA" w:rsidRDefault="007E5CDA" w:rsidP="007E5CDA">
            <w:pPr>
              <w:spacing w:after="0" w:line="240" w:lineRule="auto"/>
              <w:jc w:val="center"/>
              <w:rPr>
                <w:rFonts w:eastAsia="Times New Roman" w:cs="Calibri"/>
                <w:color w:val="000000"/>
                <w:sz w:val="20"/>
                <w:szCs w:val="20"/>
                <w:lang w:val="en-US"/>
              </w:rPr>
            </w:pPr>
            <w:r w:rsidRPr="007E5CDA">
              <w:rPr>
                <w:rFonts w:eastAsia="Times New Roman" w:cs="Calibri"/>
                <w:color w:val="000000"/>
                <w:sz w:val="20"/>
                <w:szCs w:val="20"/>
                <w:lang w:val="en-US"/>
              </w:rPr>
              <w:t>-42,64%</w:t>
            </w:r>
          </w:p>
        </w:tc>
        <w:tc>
          <w:tcPr>
            <w:tcW w:w="222" w:type="dxa"/>
            <w:vAlign w:val="center"/>
            <w:hideMark/>
          </w:tcPr>
          <w:p w14:paraId="5E2F1375" w14:textId="77777777" w:rsidR="007E5CDA" w:rsidRPr="007E5CDA" w:rsidRDefault="007E5CDA" w:rsidP="007E5CDA">
            <w:pPr>
              <w:spacing w:after="0" w:line="240" w:lineRule="auto"/>
              <w:jc w:val="left"/>
              <w:rPr>
                <w:rFonts w:ascii="Times New Roman" w:eastAsia="Times New Roman" w:hAnsi="Times New Roman" w:cs="Times New Roman"/>
                <w:sz w:val="20"/>
                <w:szCs w:val="20"/>
                <w:lang w:val="en-US"/>
              </w:rPr>
            </w:pPr>
          </w:p>
        </w:tc>
      </w:tr>
      <w:tr w:rsidR="007E5CDA" w:rsidRPr="007E5CDA" w14:paraId="242BB1D7" w14:textId="77777777" w:rsidTr="007E5CDA">
        <w:trPr>
          <w:trHeight w:val="290"/>
        </w:trPr>
        <w:tc>
          <w:tcPr>
            <w:tcW w:w="841" w:type="dxa"/>
            <w:tcBorders>
              <w:top w:val="nil"/>
              <w:left w:val="single" w:sz="8" w:space="0" w:color="auto"/>
              <w:bottom w:val="nil"/>
              <w:right w:val="single" w:sz="8" w:space="0" w:color="auto"/>
            </w:tcBorders>
            <w:shd w:val="clear" w:color="auto" w:fill="auto"/>
            <w:noWrap/>
            <w:vAlign w:val="bottom"/>
            <w:hideMark/>
          </w:tcPr>
          <w:p w14:paraId="5A6732B9" w14:textId="77777777" w:rsidR="007E5CDA" w:rsidRPr="007E5CDA" w:rsidRDefault="007E5CDA" w:rsidP="007E5CDA">
            <w:pPr>
              <w:spacing w:after="0" w:line="240" w:lineRule="auto"/>
              <w:jc w:val="left"/>
              <w:rPr>
                <w:rFonts w:eastAsia="Times New Roman" w:cs="Calibri"/>
                <w:color w:val="000000"/>
                <w:sz w:val="20"/>
                <w:szCs w:val="20"/>
                <w:lang w:val="en-US"/>
              </w:rPr>
            </w:pPr>
            <w:r w:rsidRPr="007E5CDA">
              <w:rPr>
                <w:rFonts w:eastAsia="Times New Roman" w:cs="Calibri"/>
                <w:color w:val="000000"/>
                <w:sz w:val="20"/>
                <w:szCs w:val="20"/>
                <w:lang w:val="en-US"/>
              </w:rPr>
              <w:t>5.1.2.03.02.</w:t>
            </w:r>
          </w:p>
        </w:tc>
        <w:tc>
          <w:tcPr>
            <w:tcW w:w="3357" w:type="dxa"/>
            <w:tcBorders>
              <w:top w:val="nil"/>
              <w:left w:val="nil"/>
              <w:bottom w:val="nil"/>
              <w:right w:val="single" w:sz="8" w:space="0" w:color="auto"/>
            </w:tcBorders>
            <w:shd w:val="clear" w:color="auto" w:fill="auto"/>
            <w:noWrap/>
            <w:vAlign w:val="bottom"/>
            <w:hideMark/>
          </w:tcPr>
          <w:p w14:paraId="4411CE21" w14:textId="77777777" w:rsidR="007E5CDA" w:rsidRPr="007E5CDA" w:rsidRDefault="007E5CDA" w:rsidP="007E5CDA">
            <w:pPr>
              <w:spacing w:after="0" w:line="240" w:lineRule="auto"/>
              <w:jc w:val="left"/>
              <w:rPr>
                <w:rFonts w:eastAsia="Times New Roman" w:cs="Calibri"/>
                <w:color w:val="000000"/>
                <w:sz w:val="20"/>
                <w:szCs w:val="20"/>
                <w:lang w:val="en-US"/>
              </w:rPr>
            </w:pPr>
            <w:r w:rsidRPr="007E5CDA">
              <w:rPr>
                <w:rFonts w:eastAsia="Times New Roman" w:cs="Calibri"/>
                <w:color w:val="000000"/>
                <w:sz w:val="20"/>
                <w:szCs w:val="20"/>
                <w:lang w:val="en-US"/>
              </w:rPr>
              <w:t>Publicidad y propaganda</w:t>
            </w:r>
          </w:p>
        </w:tc>
        <w:tc>
          <w:tcPr>
            <w:tcW w:w="1276" w:type="dxa"/>
            <w:tcBorders>
              <w:top w:val="nil"/>
              <w:left w:val="nil"/>
              <w:bottom w:val="nil"/>
              <w:right w:val="single" w:sz="8" w:space="0" w:color="auto"/>
            </w:tcBorders>
            <w:shd w:val="clear" w:color="auto" w:fill="auto"/>
            <w:noWrap/>
            <w:vAlign w:val="center"/>
            <w:hideMark/>
          </w:tcPr>
          <w:p w14:paraId="7A1DA98B"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0,00</w:t>
            </w:r>
          </w:p>
        </w:tc>
        <w:tc>
          <w:tcPr>
            <w:tcW w:w="1276" w:type="dxa"/>
            <w:tcBorders>
              <w:top w:val="nil"/>
              <w:left w:val="nil"/>
              <w:bottom w:val="nil"/>
              <w:right w:val="single" w:sz="8" w:space="0" w:color="auto"/>
            </w:tcBorders>
            <w:shd w:val="clear" w:color="auto" w:fill="auto"/>
            <w:noWrap/>
            <w:vAlign w:val="center"/>
            <w:hideMark/>
          </w:tcPr>
          <w:p w14:paraId="5EFE265E"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0,00</w:t>
            </w:r>
          </w:p>
        </w:tc>
        <w:tc>
          <w:tcPr>
            <w:tcW w:w="1134" w:type="dxa"/>
            <w:tcBorders>
              <w:top w:val="nil"/>
              <w:left w:val="nil"/>
              <w:bottom w:val="nil"/>
              <w:right w:val="single" w:sz="8" w:space="0" w:color="auto"/>
            </w:tcBorders>
            <w:shd w:val="clear" w:color="auto" w:fill="auto"/>
            <w:noWrap/>
            <w:vAlign w:val="center"/>
            <w:hideMark/>
          </w:tcPr>
          <w:p w14:paraId="5712BB24"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0,00</w:t>
            </w:r>
          </w:p>
        </w:tc>
        <w:tc>
          <w:tcPr>
            <w:tcW w:w="955" w:type="dxa"/>
            <w:tcBorders>
              <w:top w:val="nil"/>
              <w:left w:val="nil"/>
              <w:bottom w:val="nil"/>
              <w:right w:val="single" w:sz="8" w:space="0" w:color="auto"/>
            </w:tcBorders>
            <w:shd w:val="clear" w:color="auto" w:fill="auto"/>
            <w:vAlign w:val="center"/>
            <w:hideMark/>
          </w:tcPr>
          <w:p w14:paraId="04A22980" w14:textId="77777777" w:rsidR="007E5CDA" w:rsidRPr="007E5CDA" w:rsidRDefault="007E5CDA" w:rsidP="007E5CDA">
            <w:pPr>
              <w:spacing w:after="0" w:line="240" w:lineRule="auto"/>
              <w:jc w:val="center"/>
              <w:rPr>
                <w:rFonts w:eastAsia="Times New Roman" w:cs="Calibri"/>
                <w:color w:val="000000"/>
                <w:sz w:val="20"/>
                <w:szCs w:val="20"/>
                <w:lang w:val="en-US"/>
              </w:rPr>
            </w:pPr>
            <w:r w:rsidRPr="007E5CDA">
              <w:rPr>
                <w:rFonts w:eastAsia="Times New Roman" w:cs="Calibri"/>
                <w:color w:val="000000"/>
                <w:sz w:val="20"/>
                <w:szCs w:val="20"/>
                <w:lang w:val="en-US"/>
              </w:rPr>
              <w:t>#DIV/0!</w:t>
            </w:r>
          </w:p>
        </w:tc>
        <w:tc>
          <w:tcPr>
            <w:tcW w:w="222" w:type="dxa"/>
            <w:vAlign w:val="center"/>
            <w:hideMark/>
          </w:tcPr>
          <w:p w14:paraId="5C1EC9AC" w14:textId="77777777" w:rsidR="007E5CDA" w:rsidRPr="007E5CDA" w:rsidRDefault="007E5CDA" w:rsidP="007E5CDA">
            <w:pPr>
              <w:spacing w:after="0" w:line="240" w:lineRule="auto"/>
              <w:jc w:val="left"/>
              <w:rPr>
                <w:rFonts w:ascii="Times New Roman" w:eastAsia="Times New Roman" w:hAnsi="Times New Roman" w:cs="Times New Roman"/>
                <w:sz w:val="20"/>
                <w:szCs w:val="20"/>
                <w:lang w:val="en-US"/>
              </w:rPr>
            </w:pPr>
          </w:p>
        </w:tc>
      </w:tr>
      <w:tr w:rsidR="007E5CDA" w:rsidRPr="007E5CDA" w14:paraId="73094E57" w14:textId="77777777" w:rsidTr="007E5CDA">
        <w:trPr>
          <w:trHeight w:val="290"/>
        </w:trPr>
        <w:tc>
          <w:tcPr>
            <w:tcW w:w="841" w:type="dxa"/>
            <w:tcBorders>
              <w:top w:val="nil"/>
              <w:left w:val="single" w:sz="8" w:space="0" w:color="auto"/>
              <w:bottom w:val="nil"/>
              <w:right w:val="single" w:sz="8" w:space="0" w:color="auto"/>
            </w:tcBorders>
            <w:shd w:val="clear" w:color="auto" w:fill="auto"/>
            <w:noWrap/>
            <w:vAlign w:val="bottom"/>
            <w:hideMark/>
          </w:tcPr>
          <w:p w14:paraId="3B523D3A" w14:textId="77777777" w:rsidR="007E5CDA" w:rsidRPr="007E5CDA" w:rsidRDefault="007E5CDA" w:rsidP="007E5CDA">
            <w:pPr>
              <w:spacing w:after="0" w:line="240" w:lineRule="auto"/>
              <w:jc w:val="left"/>
              <w:rPr>
                <w:rFonts w:eastAsia="Times New Roman" w:cs="Calibri"/>
                <w:color w:val="000000"/>
                <w:sz w:val="20"/>
                <w:szCs w:val="20"/>
                <w:lang w:val="en-US"/>
              </w:rPr>
            </w:pPr>
            <w:r w:rsidRPr="007E5CDA">
              <w:rPr>
                <w:rFonts w:eastAsia="Times New Roman" w:cs="Calibri"/>
                <w:color w:val="000000"/>
                <w:sz w:val="20"/>
                <w:szCs w:val="20"/>
                <w:lang w:val="en-US"/>
              </w:rPr>
              <w:t>5.1.2.03.03.</w:t>
            </w:r>
          </w:p>
        </w:tc>
        <w:tc>
          <w:tcPr>
            <w:tcW w:w="3357" w:type="dxa"/>
            <w:tcBorders>
              <w:top w:val="nil"/>
              <w:left w:val="nil"/>
              <w:bottom w:val="nil"/>
              <w:right w:val="single" w:sz="8" w:space="0" w:color="auto"/>
            </w:tcBorders>
            <w:shd w:val="clear" w:color="auto" w:fill="auto"/>
            <w:noWrap/>
            <w:vAlign w:val="bottom"/>
            <w:hideMark/>
          </w:tcPr>
          <w:p w14:paraId="5D03B5C8" w14:textId="77777777" w:rsidR="007E5CDA" w:rsidRPr="007E5CDA" w:rsidRDefault="007E5CDA" w:rsidP="007E5CDA">
            <w:pPr>
              <w:spacing w:after="0" w:line="240" w:lineRule="auto"/>
              <w:jc w:val="left"/>
              <w:rPr>
                <w:rFonts w:eastAsia="Times New Roman" w:cs="Calibri"/>
                <w:color w:val="000000"/>
                <w:sz w:val="20"/>
                <w:szCs w:val="20"/>
                <w:lang w:val="en-US"/>
              </w:rPr>
            </w:pPr>
            <w:r w:rsidRPr="007E5CDA">
              <w:rPr>
                <w:rFonts w:eastAsia="Times New Roman" w:cs="Calibri"/>
                <w:color w:val="000000"/>
                <w:sz w:val="20"/>
                <w:szCs w:val="20"/>
                <w:lang w:val="en-US"/>
              </w:rPr>
              <w:t>Impresión, encuadernación y otros</w:t>
            </w:r>
          </w:p>
        </w:tc>
        <w:tc>
          <w:tcPr>
            <w:tcW w:w="1276" w:type="dxa"/>
            <w:tcBorders>
              <w:top w:val="nil"/>
              <w:left w:val="nil"/>
              <w:bottom w:val="nil"/>
              <w:right w:val="single" w:sz="8" w:space="0" w:color="auto"/>
            </w:tcBorders>
            <w:shd w:val="clear" w:color="auto" w:fill="auto"/>
            <w:noWrap/>
            <w:vAlign w:val="center"/>
            <w:hideMark/>
          </w:tcPr>
          <w:p w14:paraId="7261A015"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10,00</w:t>
            </w:r>
          </w:p>
        </w:tc>
        <w:tc>
          <w:tcPr>
            <w:tcW w:w="1276" w:type="dxa"/>
            <w:tcBorders>
              <w:top w:val="nil"/>
              <w:left w:val="nil"/>
              <w:bottom w:val="nil"/>
              <w:right w:val="single" w:sz="8" w:space="0" w:color="auto"/>
            </w:tcBorders>
            <w:shd w:val="clear" w:color="auto" w:fill="auto"/>
            <w:noWrap/>
            <w:vAlign w:val="center"/>
            <w:hideMark/>
          </w:tcPr>
          <w:p w14:paraId="26472B15"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942,00</w:t>
            </w:r>
          </w:p>
        </w:tc>
        <w:tc>
          <w:tcPr>
            <w:tcW w:w="1134" w:type="dxa"/>
            <w:tcBorders>
              <w:top w:val="nil"/>
              <w:left w:val="nil"/>
              <w:bottom w:val="nil"/>
              <w:right w:val="single" w:sz="8" w:space="0" w:color="auto"/>
            </w:tcBorders>
            <w:shd w:val="clear" w:color="auto" w:fill="auto"/>
            <w:noWrap/>
            <w:vAlign w:val="center"/>
            <w:hideMark/>
          </w:tcPr>
          <w:p w14:paraId="134C9C5F"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-932,00</w:t>
            </w:r>
          </w:p>
        </w:tc>
        <w:tc>
          <w:tcPr>
            <w:tcW w:w="955" w:type="dxa"/>
            <w:tcBorders>
              <w:top w:val="nil"/>
              <w:left w:val="nil"/>
              <w:bottom w:val="nil"/>
              <w:right w:val="single" w:sz="8" w:space="0" w:color="auto"/>
            </w:tcBorders>
            <w:shd w:val="clear" w:color="auto" w:fill="auto"/>
            <w:vAlign w:val="center"/>
            <w:hideMark/>
          </w:tcPr>
          <w:p w14:paraId="7D17B6E2" w14:textId="77777777" w:rsidR="007E5CDA" w:rsidRPr="007E5CDA" w:rsidRDefault="007E5CDA" w:rsidP="007E5CDA">
            <w:pPr>
              <w:spacing w:after="0" w:line="240" w:lineRule="auto"/>
              <w:jc w:val="center"/>
              <w:rPr>
                <w:rFonts w:eastAsia="Times New Roman" w:cs="Calibri"/>
                <w:color w:val="000000"/>
                <w:sz w:val="20"/>
                <w:szCs w:val="20"/>
                <w:lang w:val="en-US"/>
              </w:rPr>
            </w:pPr>
            <w:r w:rsidRPr="007E5CDA">
              <w:rPr>
                <w:rFonts w:eastAsia="Times New Roman" w:cs="Calibri"/>
                <w:color w:val="000000"/>
                <w:sz w:val="20"/>
                <w:szCs w:val="20"/>
                <w:lang w:val="en-US"/>
              </w:rPr>
              <w:t>-98,94%</w:t>
            </w:r>
          </w:p>
        </w:tc>
        <w:tc>
          <w:tcPr>
            <w:tcW w:w="222" w:type="dxa"/>
            <w:vAlign w:val="center"/>
            <w:hideMark/>
          </w:tcPr>
          <w:p w14:paraId="11CFFC28" w14:textId="77777777" w:rsidR="007E5CDA" w:rsidRPr="007E5CDA" w:rsidRDefault="007E5CDA" w:rsidP="007E5CDA">
            <w:pPr>
              <w:spacing w:after="0" w:line="240" w:lineRule="auto"/>
              <w:jc w:val="left"/>
              <w:rPr>
                <w:rFonts w:ascii="Times New Roman" w:eastAsia="Times New Roman" w:hAnsi="Times New Roman" w:cs="Times New Roman"/>
                <w:sz w:val="20"/>
                <w:szCs w:val="20"/>
                <w:lang w:val="en-US"/>
              </w:rPr>
            </w:pPr>
          </w:p>
        </w:tc>
      </w:tr>
      <w:tr w:rsidR="007E5CDA" w:rsidRPr="007E5CDA" w14:paraId="1EFD037B" w14:textId="77777777" w:rsidTr="007E5CDA">
        <w:trPr>
          <w:trHeight w:val="530"/>
        </w:trPr>
        <w:tc>
          <w:tcPr>
            <w:tcW w:w="841" w:type="dxa"/>
            <w:tcBorders>
              <w:top w:val="nil"/>
              <w:left w:val="single" w:sz="8" w:space="0" w:color="auto"/>
              <w:bottom w:val="nil"/>
              <w:right w:val="single" w:sz="8" w:space="0" w:color="auto"/>
            </w:tcBorders>
            <w:shd w:val="clear" w:color="auto" w:fill="auto"/>
            <w:noWrap/>
            <w:vAlign w:val="bottom"/>
            <w:hideMark/>
          </w:tcPr>
          <w:p w14:paraId="470F4835" w14:textId="77777777" w:rsidR="007E5CDA" w:rsidRPr="007E5CDA" w:rsidRDefault="007E5CDA" w:rsidP="007E5CDA">
            <w:pPr>
              <w:spacing w:after="0" w:line="240" w:lineRule="auto"/>
              <w:jc w:val="left"/>
              <w:rPr>
                <w:rFonts w:eastAsia="Times New Roman" w:cs="Calibri"/>
                <w:color w:val="000000"/>
                <w:sz w:val="20"/>
                <w:szCs w:val="20"/>
                <w:lang w:val="en-US"/>
              </w:rPr>
            </w:pPr>
            <w:r w:rsidRPr="007E5CDA">
              <w:rPr>
                <w:rFonts w:eastAsia="Times New Roman" w:cs="Calibri"/>
                <w:color w:val="000000"/>
                <w:sz w:val="20"/>
                <w:szCs w:val="20"/>
                <w:lang w:val="en-US"/>
              </w:rPr>
              <w:t>5.1.2.03.06.</w:t>
            </w:r>
          </w:p>
        </w:tc>
        <w:tc>
          <w:tcPr>
            <w:tcW w:w="3357" w:type="dxa"/>
            <w:tcBorders>
              <w:top w:val="nil"/>
              <w:left w:val="nil"/>
              <w:bottom w:val="nil"/>
              <w:right w:val="single" w:sz="8" w:space="0" w:color="auto"/>
            </w:tcBorders>
            <w:shd w:val="clear" w:color="auto" w:fill="auto"/>
            <w:vAlign w:val="bottom"/>
            <w:hideMark/>
          </w:tcPr>
          <w:p w14:paraId="3051E29C" w14:textId="77777777" w:rsidR="007E5CDA" w:rsidRPr="007E5CDA" w:rsidRDefault="007E5CDA" w:rsidP="007E5CDA">
            <w:pPr>
              <w:spacing w:after="0" w:line="240" w:lineRule="auto"/>
              <w:jc w:val="left"/>
              <w:rPr>
                <w:rFonts w:eastAsia="Times New Roman" w:cs="Calibri"/>
                <w:color w:val="000000"/>
                <w:sz w:val="20"/>
                <w:szCs w:val="20"/>
              </w:rPr>
            </w:pPr>
            <w:r w:rsidRPr="007E5CDA">
              <w:rPr>
                <w:rFonts w:eastAsia="Times New Roman" w:cs="Calibri"/>
                <w:color w:val="000000"/>
                <w:sz w:val="20"/>
                <w:szCs w:val="20"/>
              </w:rPr>
              <w:t>Comisiones y gastos por servicios financieros y comerciales</w:t>
            </w:r>
          </w:p>
        </w:tc>
        <w:tc>
          <w:tcPr>
            <w:tcW w:w="1276" w:type="dxa"/>
            <w:tcBorders>
              <w:top w:val="nil"/>
              <w:left w:val="nil"/>
              <w:bottom w:val="nil"/>
              <w:right w:val="single" w:sz="8" w:space="0" w:color="auto"/>
            </w:tcBorders>
            <w:shd w:val="clear" w:color="auto" w:fill="auto"/>
            <w:noWrap/>
            <w:vAlign w:val="center"/>
            <w:hideMark/>
          </w:tcPr>
          <w:p w14:paraId="506F4DD7"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14 867,21</w:t>
            </w:r>
          </w:p>
        </w:tc>
        <w:tc>
          <w:tcPr>
            <w:tcW w:w="1276" w:type="dxa"/>
            <w:tcBorders>
              <w:top w:val="nil"/>
              <w:left w:val="nil"/>
              <w:bottom w:val="nil"/>
              <w:right w:val="single" w:sz="8" w:space="0" w:color="auto"/>
            </w:tcBorders>
            <w:shd w:val="clear" w:color="auto" w:fill="auto"/>
            <w:noWrap/>
            <w:vAlign w:val="center"/>
            <w:hideMark/>
          </w:tcPr>
          <w:p w14:paraId="590A22C5"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17 592,93</w:t>
            </w:r>
          </w:p>
        </w:tc>
        <w:tc>
          <w:tcPr>
            <w:tcW w:w="1134" w:type="dxa"/>
            <w:tcBorders>
              <w:top w:val="nil"/>
              <w:left w:val="nil"/>
              <w:bottom w:val="nil"/>
              <w:right w:val="single" w:sz="8" w:space="0" w:color="auto"/>
            </w:tcBorders>
            <w:shd w:val="clear" w:color="auto" w:fill="auto"/>
            <w:noWrap/>
            <w:vAlign w:val="center"/>
            <w:hideMark/>
          </w:tcPr>
          <w:p w14:paraId="74E4CE75"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-2 725,72</w:t>
            </w:r>
          </w:p>
        </w:tc>
        <w:tc>
          <w:tcPr>
            <w:tcW w:w="955" w:type="dxa"/>
            <w:tcBorders>
              <w:top w:val="nil"/>
              <w:left w:val="nil"/>
              <w:bottom w:val="nil"/>
              <w:right w:val="single" w:sz="8" w:space="0" w:color="auto"/>
            </w:tcBorders>
            <w:shd w:val="clear" w:color="auto" w:fill="auto"/>
            <w:vAlign w:val="center"/>
            <w:hideMark/>
          </w:tcPr>
          <w:p w14:paraId="08D1581E" w14:textId="77777777" w:rsidR="007E5CDA" w:rsidRPr="007E5CDA" w:rsidRDefault="007E5CDA" w:rsidP="007E5CDA">
            <w:pPr>
              <w:spacing w:after="0" w:line="240" w:lineRule="auto"/>
              <w:jc w:val="center"/>
              <w:rPr>
                <w:rFonts w:eastAsia="Times New Roman" w:cs="Calibri"/>
                <w:color w:val="000000"/>
                <w:sz w:val="20"/>
                <w:szCs w:val="20"/>
                <w:lang w:val="en-US"/>
              </w:rPr>
            </w:pPr>
            <w:r w:rsidRPr="007E5CDA">
              <w:rPr>
                <w:rFonts w:eastAsia="Times New Roman" w:cs="Calibri"/>
                <w:color w:val="000000"/>
                <w:sz w:val="20"/>
                <w:szCs w:val="20"/>
                <w:lang w:val="en-US"/>
              </w:rPr>
              <w:t>-15,49%</w:t>
            </w:r>
          </w:p>
        </w:tc>
        <w:tc>
          <w:tcPr>
            <w:tcW w:w="222" w:type="dxa"/>
            <w:vAlign w:val="center"/>
            <w:hideMark/>
          </w:tcPr>
          <w:p w14:paraId="622E22E1" w14:textId="77777777" w:rsidR="007E5CDA" w:rsidRPr="007E5CDA" w:rsidRDefault="007E5CDA" w:rsidP="007E5CDA">
            <w:pPr>
              <w:spacing w:after="0" w:line="240" w:lineRule="auto"/>
              <w:jc w:val="left"/>
              <w:rPr>
                <w:rFonts w:ascii="Times New Roman" w:eastAsia="Times New Roman" w:hAnsi="Times New Roman" w:cs="Times New Roman"/>
                <w:sz w:val="20"/>
                <w:szCs w:val="20"/>
                <w:lang w:val="en-US"/>
              </w:rPr>
            </w:pPr>
          </w:p>
        </w:tc>
      </w:tr>
      <w:tr w:rsidR="007E5CDA" w:rsidRPr="007E5CDA" w14:paraId="06B6FD62" w14:textId="77777777" w:rsidTr="007E5CDA">
        <w:trPr>
          <w:trHeight w:val="300"/>
        </w:trPr>
        <w:tc>
          <w:tcPr>
            <w:tcW w:w="841" w:type="dxa"/>
            <w:tcBorders>
              <w:top w:val="nil"/>
              <w:left w:val="single" w:sz="8" w:space="0" w:color="auto"/>
              <w:bottom w:val="nil"/>
              <w:right w:val="single" w:sz="8" w:space="0" w:color="auto"/>
            </w:tcBorders>
            <w:shd w:val="clear" w:color="auto" w:fill="auto"/>
            <w:noWrap/>
            <w:vAlign w:val="bottom"/>
            <w:hideMark/>
          </w:tcPr>
          <w:p w14:paraId="6B7B552E" w14:textId="77777777" w:rsidR="007E5CDA" w:rsidRPr="007E5CDA" w:rsidRDefault="007E5CDA" w:rsidP="007E5CDA">
            <w:pPr>
              <w:spacing w:after="0" w:line="240" w:lineRule="auto"/>
              <w:jc w:val="left"/>
              <w:rPr>
                <w:rFonts w:eastAsia="Times New Roman" w:cs="Calibri"/>
                <w:color w:val="000000"/>
                <w:sz w:val="20"/>
                <w:szCs w:val="20"/>
                <w:lang w:val="en-US"/>
              </w:rPr>
            </w:pPr>
            <w:r w:rsidRPr="007E5CDA">
              <w:rPr>
                <w:rFonts w:eastAsia="Times New Roman" w:cs="Calibri"/>
                <w:color w:val="000000"/>
                <w:sz w:val="20"/>
                <w:szCs w:val="20"/>
                <w:lang w:val="en-US"/>
              </w:rPr>
              <w:t>5.1.2.03.07.</w:t>
            </w:r>
          </w:p>
        </w:tc>
        <w:tc>
          <w:tcPr>
            <w:tcW w:w="3357" w:type="dxa"/>
            <w:tcBorders>
              <w:top w:val="nil"/>
              <w:left w:val="nil"/>
              <w:bottom w:val="nil"/>
              <w:right w:val="single" w:sz="8" w:space="0" w:color="auto"/>
            </w:tcBorders>
            <w:shd w:val="clear" w:color="auto" w:fill="auto"/>
            <w:noWrap/>
            <w:vAlign w:val="bottom"/>
            <w:hideMark/>
          </w:tcPr>
          <w:p w14:paraId="757FBB32" w14:textId="77777777" w:rsidR="007E5CDA" w:rsidRPr="007E5CDA" w:rsidRDefault="007E5CDA" w:rsidP="007E5CDA">
            <w:pPr>
              <w:spacing w:after="0" w:line="240" w:lineRule="auto"/>
              <w:jc w:val="left"/>
              <w:rPr>
                <w:rFonts w:eastAsia="Times New Roman" w:cs="Calibri"/>
                <w:color w:val="000000"/>
                <w:sz w:val="20"/>
                <w:szCs w:val="20"/>
              </w:rPr>
            </w:pPr>
            <w:r w:rsidRPr="007E5CDA">
              <w:rPr>
                <w:rFonts w:eastAsia="Times New Roman" w:cs="Calibri"/>
                <w:color w:val="000000"/>
                <w:sz w:val="20"/>
                <w:szCs w:val="20"/>
              </w:rPr>
              <w:t>Servicios de transferencia electrónica de información</w:t>
            </w:r>
          </w:p>
        </w:tc>
        <w:tc>
          <w:tcPr>
            <w:tcW w:w="1276" w:type="dxa"/>
            <w:tcBorders>
              <w:top w:val="nil"/>
              <w:left w:val="nil"/>
              <w:bottom w:val="nil"/>
              <w:right w:val="single" w:sz="8" w:space="0" w:color="auto"/>
            </w:tcBorders>
            <w:shd w:val="clear" w:color="auto" w:fill="auto"/>
            <w:noWrap/>
            <w:vAlign w:val="center"/>
            <w:hideMark/>
          </w:tcPr>
          <w:p w14:paraId="403D662C"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149,74</w:t>
            </w:r>
          </w:p>
        </w:tc>
        <w:tc>
          <w:tcPr>
            <w:tcW w:w="1276" w:type="dxa"/>
            <w:tcBorders>
              <w:top w:val="nil"/>
              <w:left w:val="nil"/>
              <w:bottom w:val="nil"/>
              <w:right w:val="single" w:sz="8" w:space="0" w:color="auto"/>
            </w:tcBorders>
            <w:shd w:val="clear" w:color="auto" w:fill="auto"/>
            <w:noWrap/>
            <w:vAlign w:val="center"/>
            <w:hideMark/>
          </w:tcPr>
          <w:p w14:paraId="0E858D50"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73,20</w:t>
            </w:r>
          </w:p>
        </w:tc>
        <w:tc>
          <w:tcPr>
            <w:tcW w:w="1134" w:type="dxa"/>
            <w:tcBorders>
              <w:top w:val="nil"/>
              <w:left w:val="nil"/>
              <w:bottom w:val="nil"/>
              <w:right w:val="single" w:sz="8" w:space="0" w:color="auto"/>
            </w:tcBorders>
            <w:shd w:val="clear" w:color="auto" w:fill="auto"/>
            <w:noWrap/>
            <w:vAlign w:val="center"/>
            <w:hideMark/>
          </w:tcPr>
          <w:p w14:paraId="348AFC0C"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76,54</w:t>
            </w:r>
          </w:p>
        </w:tc>
        <w:tc>
          <w:tcPr>
            <w:tcW w:w="955" w:type="dxa"/>
            <w:tcBorders>
              <w:top w:val="nil"/>
              <w:left w:val="nil"/>
              <w:bottom w:val="nil"/>
              <w:right w:val="single" w:sz="8" w:space="0" w:color="auto"/>
            </w:tcBorders>
            <w:shd w:val="clear" w:color="auto" w:fill="auto"/>
            <w:vAlign w:val="center"/>
            <w:hideMark/>
          </w:tcPr>
          <w:p w14:paraId="52F424DC" w14:textId="77777777" w:rsidR="007E5CDA" w:rsidRPr="007E5CDA" w:rsidRDefault="007E5CDA" w:rsidP="007E5CDA">
            <w:pPr>
              <w:spacing w:after="0" w:line="240" w:lineRule="auto"/>
              <w:jc w:val="center"/>
              <w:rPr>
                <w:rFonts w:eastAsia="Times New Roman" w:cs="Calibri"/>
                <w:color w:val="000000"/>
                <w:sz w:val="20"/>
                <w:szCs w:val="20"/>
                <w:lang w:val="en-US"/>
              </w:rPr>
            </w:pPr>
            <w:r w:rsidRPr="007E5CDA">
              <w:rPr>
                <w:rFonts w:eastAsia="Times New Roman" w:cs="Calibri"/>
                <w:color w:val="000000"/>
                <w:sz w:val="20"/>
                <w:szCs w:val="20"/>
                <w:lang w:val="en-US"/>
              </w:rPr>
              <w:t>104,56%</w:t>
            </w:r>
          </w:p>
        </w:tc>
        <w:tc>
          <w:tcPr>
            <w:tcW w:w="222" w:type="dxa"/>
            <w:vAlign w:val="center"/>
            <w:hideMark/>
          </w:tcPr>
          <w:p w14:paraId="7B36F737" w14:textId="77777777" w:rsidR="007E5CDA" w:rsidRPr="007E5CDA" w:rsidRDefault="007E5CDA" w:rsidP="007E5CDA">
            <w:pPr>
              <w:spacing w:after="0" w:line="240" w:lineRule="auto"/>
              <w:jc w:val="left"/>
              <w:rPr>
                <w:rFonts w:ascii="Times New Roman" w:eastAsia="Times New Roman" w:hAnsi="Times New Roman" w:cs="Times New Roman"/>
                <w:sz w:val="20"/>
                <w:szCs w:val="20"/>
                <w:lang w:val="en-US"/>
              </w:rPr>
            </w:pPr>
          </w:p>
        </w:tc>
      </w:tr>
      <w:tr w:rsidR="007E5CDA" w:rsidRPr="007E5CDA" w14:paraId="7B161495" w14:textId="77777777" w:rsidTr="007E5CDA">
        <w:trPr>
          <w:trHeight w:val="300"/>
        </w:trPr>
        <w:tc>
          <w:tcPr>
            <w:tcW w:w="841" w:type="dxa"/>
            <w:tcBorders>
              <w:top w:val="nil"/>
              <w:left w:val="single" w:sz="8" w:space="0" w:color="auto"/>
              <w:bottom w:val="nil"/>
              <w:right w:val="single" w:sz="8" w:space="0" w:color="auto"/>
            </w:tcBorders>
            <w:shd w:val="clear" w:color="auto" w:fill="auto"/>
            <w:noWrap/>
            <w:vAlign w:val="center"/>
            <w:hideMark/>
          </w:tcPr>
          <w:p w14:paraId="35234A94" w14:textId="77777777" w:rsidR="007E5CDA" w:rsidRPr="007E5CDA" w:rsidRDefault="007E5CDA" w:rsidP="007E5CDA">
            <w:pPr>
              <w:spacing w:after="0" w:line="240" w:lineRule="auto"/>
              <w:jc w:val="left"/>
              <w:rPr>
                <w:rFonts w:eastAsia="Times New Roman" w:cs="Calibri"/>
                <w:b/>
                <w:bCs/>
                <w:color w:val="000000"/>
                <w:sz w:val="20"/>
                <w:szCs w:val="20"/>
                <w:lang w:val="en-US"/>
              </w:rPr>
            </w:pPr>
            <w:r w:rsidRPr="007E5CDA">
              <w:rPr>
                <w:rFonts w:eastAsia="Times New Roman" w:cs="Calibri"/>
                <w:b/>
                <w:bCs/>
                <w:color w:val="000000"/>
                <w:sz w:val="20"/>
                <w:szCs w:val="20"/>
                <w:lang w:val="en-US"/>
              </w:rPr>
              <w:t>5.1.2.04.</w:t>
            </w:r>
          </w:p>
        </w:tc>
        <w:tc>
          <w:tcPr>
            <w:tcW w:w="3357" w:type="dxa"/>
            <w:tcBorders>
              <w:top w:val="nil"/>
              <w:left w:val="nil"/>
              <w:bottom w:val="nil"/>
              <w:right w:val="single" w:sz="8" w:space="0" w:color="auto"/>
            </w:tcBorders>
            <w:shd w:val="clear" w:color="auto" w:fill="auto"/>
            <w:vAlign w:val="center"/>
            <w:hideMark/>
          </w:tcPr>
          <w:p w14:paraId="25F0EF87" w14:textId="77777777" w:rsidR="007E5CDA" w:rsidRPr="007E5CDA" w:rsidRDefault="007E5CDA" w:rsidP="007E5CDA">
            <w:pPr>
              <w:spacing w:after="0" w:line="240" w:lineRule="auto"/>
              <w:jc w:val="left"/>
              <w:rPr>
                <w:rFonts w:eastAsia="Times New Roman" w:cs="Calibri"/>
                <w:b/>
                <w:bCs/>
                <w:color w:val="000000"/>
                <w:sz w:val="20"/>
                <w:szCs w:val="20"/>
              </w:rPr>
            </w:pPr>
            <w:r w:rsidRPr="007E5CDA">
              <w:rPr>
                <w:rFonts w:eastAsia="Times New Roman" w:cs="Calibri"/>
                <w:b/>
                <w:bCs/>
                <w:color w:val="000000"/>
                <w:sz w:val="20"/>
                <w:szCs w:val="20"/>
              </w:rPr>
              <w:t>Servicios de gestión y apoyo</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14:paraId="2721C6C4" w14:textId="77777777" w:rsidR="007E5CDA" w:rsidRPr="007E5CDA" w:rsidRDefault="007E5CDA" w:rsidP="007E5CDA">
            <w:pPr>
              <w:spacing w:after="0" w:line="240" w:lineRule="auto"/>
              <w:jc w:val="right"/>
              <w:rPr>
                <w:rFonts w:eastAsia="Times New Roman" w:cs="Calibri"/>
                <w:b/>
                <w:bCs/>
                <w:color w:val="000000"/>
                <w:sz w:val="20"/>
                <w:szCs w:val="20"/>
                <w:lang w:val="en-US"/>
              </w:rPr>
            </w:pPr>
            <w:r w:rsidRPr="007E5CDA">
              <w:rPr>
                <w:rFonts w:ascii="Arial" w:eastAsia="Times New Roman" w:hAnsi="Arial" w:cs="Arial"/>
                <w:b/>
                <w:bCs/>
                <w:color w:val="000000"/>
                <w:sz w:val="20"/>
                <w:szCs w:val="20"/>
                <w:lang w:val="en-US"/>
              </w:rPr>
              <w:t>₡</w:t>
            </w:r>
            <w:r w:rsidRPr="007E5CDA">
              <w:rPr>
                <w:rFonts w:eastAsia="Times New Roman" w:cs="Calibri"/>
                <w:b/>
                <w:bCs/>
                <w:color w:val="000000"/>
                <w:sz w:val="20"/>
                <w:szCs w:val="20"/>
                <w:lang w:val="en-US"/>
              </w:rPr>
              <w:t>88 277,35</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14:paraId="55D313EF" w14:textId="77777777" w:rsidR="007E5CDA" w:rsidRPr="007E5CDA" w:rsidRDefault="007E5CDA" w:rsidP="007E5CDA">
            <w:pPr>
              <w:spacing w:after="0" w:line="240" w:lineRule="auto"/>
              <w:jc w:val="right"/>
              <w:rPr>
                <w:rFonts w:eastAsia="Times New Roman" w:cs="Calibri"/>
                <w:b/>
                <w:bCs/>
                <w:color w:val="000000"/>
                <w:sz w:val="20"/>
                <w:szCs w:val="20"/>
                <w:lang w:val="en-US"/>
              </w:rPr>
            </w:pPr>
            <w:r w:rsidRPr="007E5CDA">
              <w:rPr>
                <w:rFonts w:ascii="Arial" w:eastAsia="Times New Roman" w:hAnsi="Arial" w:cs="Arial"/>
                <w:b/>
                <w:bCs/>
                <w:color w:val="000000"/>
                <w:sz w:val="20"/>
                <w:szCs w:val="20"/>
                <w:lang w:val="en-US"/>
              </w:rPr>
              <w:t>₡</w:t>
            </w:r>
            <w:r w:rsidRPr="007E5CDA">
              <w:rPr>
                <w:rFonts w:eastAsia="Times New Roman" w:cs="Calibri"/>
                <w:b/>
                <w:bCs/>
                <w:color w:val="000000"/>
                <w:sz w:val="20"/>
                <w:szCs w:val="20"/>
                <w:lang w:val="en-US"/>
              </w:rPr>
              <w:t>83 362,85</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14:paraId="1DB0A3A6" w14:textId="77777777" w:rsidR="007E5CDA" w:rsidRPr="007E5CDA" w:rsidRDefault="007E5CDA" w:rsidP="007E5CDA">
            <w:pPr>
              <w:spacing w:after="0" w:line="240" w:lineRule="auto"/>
              <w:jc w:val="right"/>
              <w:rPr>
                <w:rFonts w:eastAsia="Times New Roman" w:cs="Calibri"/>
                <w:b/>
                <w:bCs/>
                <w:color w:val="000000"/>
                <w:sz w:val="20"/>
                <w:szCs w:val="20"/>
                <w:lang w:val="en-US"/>
              </w:rPr>
            </w:pPr>
            <w:r w:rsidRPr="007E5CDA">
              <w:rPr>
                <w:rFonts w:ascii="Arial" w:eastAsia="Times New Roman" w:hAnsi="Arial" w:cs="Arial"/>
                <w:b/>
                <w:bCs/>
                <w:color w:val="000000"/>
                <w:sz w:val="20"/>
                <w:szCs w:val="20"/>
                <w:lang w:val="en-US"/>
              </w:rPr>
              <w:t>₡</w:t>
            </w:r>
            <w:r w:rsidRPr="007E5CDA">
              <w:rPr>
                <w:rFonts w:eastAsia="Times New Roman" w:cs="Calibri"/>
                <w:b/>
                <w:bCs/>
                <w:color w:val="000000"/>
                <w:sz w:val="20"/>
                <w:szCs w:val="20"/>
                <w:lang w:val="en-US"/>
              </w:rPr>
              <w:t>4 914,50</w:t>
            </w:r>
          </w:p>
        </w:tc>
        <w:tc>
          <w:tcPr>
            <w:tcW w:w="955" w:type="dxa"/>
            <w:tcBorders>
              <w:top w:val="single" w:sz="8" w:space="0" w:color="auto"/>
              <w:left w:val="nil"/>
              <w:bottom w:val="single" w:sz="8" w:space="0" w:color="auto"/>
              <w:right w:val="single" w:sz="8" w:space="0" w:color="auto"/>
            </w:tcBorders>
            <w:shd w:val="clear" w:color="auto" w:fill="auto"/>
            <w:vAlign w:val="center"/>
            <w:hideMark/>
          </w:tcPr>
          <w:p w14:paraId="1C82D965" w14:textId="77777777" w:rsidR="007E5CDA" w:rsidRPr="007E5CDA" w:rsidRDefault="007E5CDA" w:rsidP="007E5CDA">
            <w:pPr>
              <w:spacing w:after="0" w:line="240" w:lineRule="auto"/>
              <w:jc w:val="center"/>
              <w:rPr>
                <w:rFonts w:eastAsia="Times New Roman" w:cs="Calibri"/>
                <w:b/>
                <w:bCs/>
                <w:color w:val="000000"/>
                <w:sz w:val="20"/>
                <w:szCs w:val="20"/>
                <w:lang w:val="en-US"/>
              </w:rPr>
            </w:pPr>
            <w:r w:rsidRPr="007E5CDA">
              <w:rPr>
                <w:rFonts w:eastAsia="Times New Roman" w:cs="Calibri"/>
                <w:b/>
                <w:bCs/>
                <w:color w:val="000000"/>
                <w:sz w:val="20"/>
                <w:szCs w:val="20"/>
                <w:lang w:val="en-US"/>
              </w:rPr>
              <w:t>5,90%</w:t>
            </w:r>
          </w:p>
        </w:tc>
        <w:tc>
          <w:tcPr>
            <w:tcW w:w="222" w:type="dxa"/>
            <w:vAlign w:val="center"/>
            <w:hideMark/>
          </w:tcPr>
          <w:p w14:paraId="62DAB31C" w14:textId="77777777" w:rsidR="007E5CDA" w:rsidRPr="007E5CDA" w:rsidRDefault="007E5CDA" w:rsidP="007E5CDA">
            <w:pPr>
              <w:spacing w:after="0" w:line="240" w:lineRule="auto"/>
              <w:jc w:val="left"/>
              <w:rPr>
                <w:rFonts w:ascii="Times New Roman" w:eastAsia="Times New Roman" w:hAnsi="Times New Roman" w:cs="Times New Roman"/>
                <w:sz w:val="20"/>
                <w:szCs w:val="20"/>
                <w:lang w:val="en-US"/>
              </w:rPr>
            </w:pPr>
          </w:p>
        </w:tc>
      </w:tr>
      <w:tr w:rsidR="007E5CDA" w:rsidRPr="007E5CDA" w14:paraId="7366837F" w14:textId="77777777" w:rsidTr="007E5CDA">
        <w:trPr>
          <w:trHeight w:val="290"/>
        </w:trPr>
        <w:tc>
          <w:tcPr>
            <w:tcW w:w="841" w:type="dxa"/>
            <w:tcBorders>
              <w:top w:val="nil"/>
              <w:left w:val="single" w:sz="8" w:space="0" w:color="auto"/>
              <w:bottom w:val="nil"/>
              <w:right w:val="single" w:sz="8" w:space="0" w:color="auto"/>
            </w:tcBorders>
            <w:shd w:val="clear" w:color="auto" w:fill="auto"/>
            <w:noWrap/>
            <w:vAlign w:val="bottom"/>
            <w:hideMark/>
          </w:tcPr>
          <w:p w14:paraId="5DA7D80C" w14:textId="77777777" w:rsidR="007E5CDA" w:rsidRPr="007E5CDA" w:rsidRDefault="007E5CDA" w:rsidP="007E5CDA">
            <w:pPr>
              <w:spacing w:after="0" w:line="240" w:lineRule="auto"/>
              <w:jc w:val="left"/>
              <w:rPr>
                <w:rFonts w:eastAsia="Times New Roman" w:cs="Calibri"/>
                <w:color w:val="000000"/>
                <w:sz w:val="20"/>
                <w:szCs w:val="20"/>
                <w:lang w:val="en-US"/>
              </w:rPr>
            </w:pPr>
            <w:r w:rsidRPr="007E5CDA">
              <w:rPr>
                <w:rFonts w:eastAsia="Times New Roman" w:cs="Calibri"/>
                <w:color w:val="000000"/>
                <w:sz w:val="20"/>
                <w:szCs w:val="20"/>
                <w:lang w:val="en-US"/>
              </w:rPr>
              <w:t>5.1.2.04.03.</w:t>
            </w:r>
          </w:p>
        </w:tc>
        <w:tc>
          <w:tcPr>
            <w:tcW w:w="3357" w:type="dxa"/>
            <w:tcBorders>
              <w:top w:val="nil"/>
              <w:left w:val="nil"/>
              <w:bottom w:val="nil"/>
              <w:right w:val="single" w:sz="8" w:space="0" w:color="auto"/>
            </w:tcBorders>
            <w:shd w:val="clear" w:color="auto" w:fill="auto"/>
            <w:noWrap/>
            <w:vAlign w:val="bottom"/>
            <w:hideMark/>
          </w:tcPr>
          <w:p w14:paraId="0B1822FF" w14:textId="77777777" w:rsidR="007E5CDA" w:rsidRPr="007E5CDA" w:rsidRDefault="007E5CDA" w:rsidP="007E5CDA">
            <w:pPr>
              <w:spacing w:after="0" w:line="240" w:lineRule="auto"/>
              <w:jc w:val="left"/>
              <w:rPr>
                <w:rFonts w:eastAsia="Times New Roman" w:cs="Calibri"/>
                <w:color w:val="000000"/>
                <w:sz w:val="20"/>
                <w:szCs w:val="20"/>
                <w:lang w:val="en-US"/>
              </w:rPr>
            </w:pPr>
            <w:r w:rsidRPr="007E5CDA">
              <w:rPr>
                <w:rFonts w:eastAsia="Times New Roman" w:cs="Calibri"/>
                <w:color w:val="000000"/>
                <w:sz w:val="20"/>
                <w:szCs w:val="20"/>
                <w:lang w:val="en-US"/>
              </w:rPr>
              <w:t>Servicios de ingeniería</w:t>
            </w:r>
          </w:p>
        </w:tc>
        <w:tc>
          <w:tcPr>
            <w:tcW w:w="1276" w:type="dxa"/>
            <w:tcBorders>
              <w:top w:val="nil"/>
              <w:left w:val="nil"/>
              <w:bottom w:val="nil"/>
              <w:right w:val="single" w:sz="8" w:space="0" w:color="auto"/>
            </w:tcBorders>
            <w:shd w:val="clear" w:color="auto" w:fill="auto"/>
            <w:noWrap/>
            <w:vAlign w:val="center"/>
            <w:hideMark/>
          </w:tcPr>
          <w:p w14:paraId="380353EC"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19 340,00</w:t>
            </w:r>
          </w:p>
        </w:tc>
        <w:tc>
          <w:tcPr>
            <w:tcW w:w="1276" w:type="dxa"/>
            <w:tcBorders>
              <w:top w:val="nil"/>
              <w:left w:val="nil"/>
              <w:bottom w:val="nil"/>
              <w:right w:val="single" w:sz="8" w:space="0" w:color="auto"/>
            </w:tcBorders>
            <w:shd w:val="clear" w:color="auto" w:fill="auto"/>
            <w:noWrap/>
            <w:vAlign w:val="center"/>
            <w:hideMark/>
          </w:tcPr>
          <w:p w14:paraId="72B762EB"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40 970,87</w:t>
            </w:r>
          </w:p>
        </w:tc>
        <w:tc>
          <w:tcPr>
            <w:tcW w:w="1134" w:type="dxa"/>
            <w:tcBorders>
              <w:top w:val="nil"/>
              <w:left w:val="nil"/>
              <w:bottom w:val="nil"/>
              <w:right w:val="single" w:sz="8" w:space="0" w:color="auto"/>
            </w:tcBorders>
            <w:shd w:val="clear" w:color="auto" w:fill="auto"/>
            <w:noWrap/>
            <w:vAlign w:val="center"/>
            <w:hideMark/>
          </w:tcPr>
          <w:p w14:paraId="005AB794"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-21 630,88</w:t>
            </w:r>
          </w:p>
        </w:tc>
        <w:tc>
          <w:tcPr>
            <w:tcW w:w="955" w:type="dxa"/>
            <w:tcBorders>
              <w:top w:val="nil"/>
              <w:left w:val="nil"/>
              <w:bottom w:val="nil"/>
              <w:right w:val="single" w:sz="8" w:space="0" w:color="auto"/>
            </w:tcBorders>
            <w:shd w:val="clear" w:color="auto" w:fill="auto"/>
            <w:vAlign w:val="center"/>
            <w:hideMark/>
          </w:tcPr>
          <w:p w14:paraId="334152F4" w14:textId="77777777" w:rsidR="007E5CDA" w:rsidRPr="007E5CDA" w:rsidRDefault="007E5CDA" w:rsidP="007E5CDA">
            <w:pPr>
              <w:spacing w:after="0" w:line="240" w:lineRule="auto"/>
              <w:jc w:val="center"/>
              <w:rPr>
                <w:rFonts w:eastAsia="Times New Roman" w:cs="Calibri"/>
                <w:color w:val="000000"/>
                <w:sz w:val="20"/>
                <w:szCs w:val="20"/>
                <w:lang w:val="en-US"/>
              </w:rPr>
            </w:pPr>
            <w:r w:rsidRPr="007E5CDA">
              <w:rPr>
                <w:rFonts w:eastAsia="Times New Roman" w:cs="Calibri"/>
                <w:color w:val="000000"/>
                <w:sz w:val="20"/>
                <w:szCs w:val="20"/>
                <w:lang w:val="en-US"/>
              </w:rPr>
              <w:t>-52,80%</w:t>
            </w:r>
          </w:p>
        </w:tc>
        <w:tc>
          <w:tcPr>
            <w:tcW w:w="222" w:type="dxa"/>
            <w:vAlign w:val="center"/>
            <w:hideMark/>
          </w:tcPr>
          <w:p w14:paraId="6C18183B" w14:textId="77777777" w:rsidR="007E5CDA" w:rsidRPr="007E5CDA" w:rsidRDefault="007E5CDA" w:rsidP="007E5CDA">
            <w:pPr>
              <w:spacing w:after="0" w:line="240" w:lineRule="auto"/>
              <w:jc w:val="left"/>
              <w:rPr>
                <w:rFonts w:ascii="Times New Roman" w:eastAsia="Times New Roman" w:hAnsi="Times New Roman" w:cs="Times New Roman"/>
                <w:sz w:val="20"/>
                <w:szCs w:val="20"/>
                <w:lang w:val="en-US"/>
              </w:rPr>
            </w:pPr>
          </w:p>
        </w:tc>
      </w:tr>
      <w:tr w:rsidR="007E5CDA" w:rsidRPr="007E5CDA" w14:paraId="12C2A3C5" w14:textId="77777777" w:rsidTr="007E5CDA">
        <w:trPr>
          <w:trHeight w:val="290"/>
        </w:trPr>
        <w:tc>
          <w:tcPr>
            <w:tcW w:w="841" w:type="dxa"/>
            <w:tcBorders>
              <w:top w:val="nil"/>
              <w:left w:val="single" w:sz="8" w:space="0" w:color="auto"/>
              <w:bottom w:val="nil"/>
              <w:right w:val="single" w:sz="8" w:space="0" w:color="auto"/>
            </w:tcBorders>
            <w:shd w:val="clear" w:color="auto" w:fill="auto"/>
            <w:noWrap/>
            <w:vAlign w:val="bottom"/>
            <w:hideMark/>
          </w:tcPr>
          <w:p w14:paraId="3ECF86EA" w14:textId="77777777" w:rsidR="007E5CDA" w:rsidRPr="007E5CDA" w:rsidRDefault="007E5CDA" w:rsidP="007E5CDA">
            <w:pPr>
              <w:spacing w:after="0" w:line="240" w:lineRule="auto"/>
              <w:jc w:val="left"/>
              <w:rPr>
                <w:rFonts w:eastAsia="Times New Roman" w:cs="Calibri"/>
                <w:color w:val="000000"/>
                <w:sz w:val="20"/>
                <w:szCs w:val="20"/>
                <w:lang w:val="en-US"/>
              </w:rPr>
            </w:pPr>
            <w:r w:rsidRPr="007E5CDA">
              <w:rPr>
                <w:rFonts w:eastAsia="Times New Roman" w:cs="Calibri"/>
                <w:color w:val="000000"/>
                <w:sz w:val="20"/>
                <w:szCs w:val="20"/>
                <w:lang w:val="en-US"/>
              </w:rPr>
              <w:t>5.1.2.04.04.</w:t>
            </w:r>
          </w:p>
        </w:tc>
        <w:tc>
          <w:tcPr>
            <w:tcW w:w="3357" w:type="dxa"/>
            <w:tcBorders>
              <w:top w:val="nil"/>
              <w:left w:val="nil"/>
              <w:bottom w:val="nil"/>
              <w:right w:val="single" w:sz="8" w:space="0" w:color="auto"/>
            </w:tcBorders>
            <w:shd w:val="clear" w:color="auto" w:fill="auto"/>
            <w:noWrap/>
            <w:vAlign w:val="bottom"/>
            <w:hideMark/>
          </w:tcPr>
          <w:p w14:paraId="3A778883" w14:textId="77777777" w:rsidR="007E5CDA" w:rsidRPr="007E5CDA" w:rsidRDefault="007E5CDA" w:rsidP="007E5CDA">
            <w:pPr>
              <w:spacing w:after="0" w:line="240" w:lineRule="auto"/>
              <w:jc w:val="left"/>
              <w:rPr>
                <w:rFonts w:eastAsia="Times New Roman" w:cs="Calibri"/>
                <w:color w:val="000000"/>
                <w:sz w:val="20"/>
                <w:szCs w:val="20"/>
              </w:rPr>
            </w:pPr>
            <w:r w:rsidRPr="007E5CDA">
              <w:rPr>
                <w:rFonts w:eastAsia="Times New Roman" w:cs="Calibri"/>
                <w:color w:val="000000"/>
                <w:sz w:val="20"/>
                <w:szCs w:val="20"/>
              </w:rPr>
              <w:t>Servicios en ciencias económicas y sociales</w:t>
            </w:r>
          </w:p>
        </w:tc>
        <w:tc>
          <w:tcPr>
            <w:tcW w:w="1276" w:type="dxa"/>
            <w:tcBorders>
              <w:top w:val="nil"/>
              <w:left w:val="nil"/>
              <w:bottom w:val="nil"/>
              <w:right w:val="single" w:sz="8" w:space="0" w:color="auto"/>
            </w:tcBorders>
            <w:shd w:val="clear" w:color="auto" w:fill="auto"/>
            <w:noWrap/>
            <w:vAlign w:val="center"/>
            <w:hideMark/>
          </w:tcPr>
          <w:p w14:paraId="16BCEAB3"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14 178,50</w:t>
            </w:r>
          </w:p>
        </w:tc>
        <w:tc>
          <w:tcPr>
            <w:tcW w:w="1276" w:type="dxa"/>
            <w:tcBorders>
              <w:top w:val="nil"/>
              <w:left w:val="nil"/>
              <w:bottom w:val="nil"/>
              <w:right w:val="single" w:sz="8" w:space="0" w:color="auto"/>
            </w:tcBorders>
            <w:shd w:val="clear" w:color="auto" w:fill="auto"/>
            <w:noWrap/>
            <w:vAlign w:val="center"/>
            <w:hideMark/>
          </w:tcPr>
          <w:p w14:paraId="68849816"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6 049,10</w:t>
            </w:r>
          </w:p>
        </w:tc>
        <w:tc>
          <w:tcPr>
            <w:tcW w:w="1134" w:type="dxa"/>
            <w:tcBorders>
              <w:top w:val="nil"/>
              <w:left w:val="nil"/>
              <w:bottom w:val="nil"/>
              <w:right w:val="single" w:sz="8" w:space="0" w:color="auto"/>
            </w:tcBorders>
            <w:shd w:val="clear" w:color="auto" w:fill="auto"/>
            <w:noWrap/>
            <w:vAlign w:val="center"/>
            <w:hideMark/>
          </w:tcPr>
          <w:p w14:paraId="41CB73A3"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8 129,40</w:t>
            </w:r>
          </w:p>
        </w:tc>
        <w:tc>
          <w:tcPr>
            <w:tcW w:w="955" w:type="dxa"/>
            <w:tcBorders>
              <w:top w:val="nil"/>
              <w:left w:val="nil"/>
              <w:bottom w:val="nil"/>
              <w:right w:val="single" w:sz="8" w:space="0" w:color="auto"/>
            </w:tcBorders>
            <w:shd w:val="clear" w:color="auto" w:fill="auto"/>
            <w:vAlign w:val="center"/>
            <w:hideMark/>
          </w:tcPr>
          <w:p w14:paraId="3520006B" w14:textId="77777777" w:rsidR="007E5CDA" w:rsidRPr="007E5CDA" w:rsidRDefault="007E5CDA" w:rsidP="007E5CDA">
            <w:pPr>
              <w:spacing w:after="0" w:line="240" w:lineRule="auto"/>
              <w:jc w:val="center"/>
              <w:rPr>
                <w:rFonts w:eastAsia="Times New Roman" w:cs="Calibri"/>
                <w:color w:val="000000"/>
                <w:sz w:val="20"/>
                <w:szCs w:val="20"/>
                <w:lang w:val="en-US"/>
              </w:rPr>
            </w:pPr>
            <w:r w:rsidRPr="007E5CDA">
              <w:rPr>
                <w:rFonts w:eastAsia="Times New Roman" w:cs="Calibri"/>
                <w:color w:val="000000"/>
                <w:sz w:val="20"/>
                <w:szCs w:val="20"/>
                <w:lang w:val="en-US"/>
              </w:rPr>
              <w:t>134,39%</w:t>
            </w:r>
          </w:p>
        </w:tc>
        <w:tc>
          <w:tcPr>
            <w:tcW w:w="222" w:type="dxa"/>
            <w:vAlign w:val="center"/>
            <w:hideMark/>
          </w:tcPr>
          <w:p w14:paraId="27BCD84C" w14:textId="77777777" w:rsidR="007E5CDA" w:rsidRPr="007E5CDA" w:rsidRDefault="007E5CDA" w:rsidP="007E5CDA">
            <w:pPr>
              <w:spacing w:after="0" w:line="240" w:lineRule="auto"/>
              <w:jc w:val="left"/>
              <w:rPr>
                <w:rFonts w:ascii="Times New Roman" w:eastAsia="Times New Roman" w:hAnsi="Times New Roman" w:cs="Times New Roman"/>
                <w:sz w:val="20"/>
                <w:szCs w:val="20"/>
                <w:lang w:val="en-US"/>
              </w:rPr>
            </w:pPr>
          </w:p>
        </w:tc>
      </w:tr>
      <w:tr w:rsidR="007E5CDA" w:rsidRPr="007E5CDA" w14:paraId="0FEF2878" w14:textId="77777777" w:rsidTr="007E5CDA">
        <w:trPr>
          <w:trHeight w:val="290"/>
        </w:trPr>
        <w:tc>
          <w:tcPr>
            <w:tcW w:w="841" w:type="dxa"/>
            <w:tcBorders>
              <w:top w:val="nil"/>
              <w:left w:val="single" w:sz="8" w:space="0" w:color="auto"/>
              <w:bottom w:val="nil"/>
              <w:right w:val="single" w:sz="8" w:space="0" w:color="auto"/>
            </w:tcBorders>
            <w:shd w:val="clear" w:color="auto" w:fill="auto"/>
            <w:noWrap/>
            <w:vAlign w:val="bottom"/>
            <w:hideMark/>
          </w:tcPr>
          <w:p w14:paraId="50116CF8" w14:textId="77777777" w:rsidR="007E5CDA" w:rsidRPr="007E5CDA" w:rsidRDefault="007E5CDA" w:rsidP="007E5CDA">
            <w:pPr>
              <w:spacing w:after="0" w:line="240" w:lineRule="auto"/>
              <w:jc w:val="left"/>
              <w:rPr>
                <w:rFonts w:eastAsia="Times New Roman" w:cs="Calibri"/>
                <w:color w:val="000000"/>
                <w:sz w:val="20"/>
                <w:szCs w:val="20"/>
                <w:lang w:val="en-US"/>
              </w:rPr>
            </w:pPr>
            <w:r w:rsidRPr="007E5CDA">
              <w:rPr>
                <w:rFonts w:eastAsia="Times New Roman" w:cs="Calibri"/>
                <w:color w:val="000000"/>
                <w:sz w:val="20"/>
                <w:szCs w:val="20"/>
                <w:lang w:val="en-US"/>
              </w:rPr>
              <w:t>5.1.2.04.06.</w:t>
            </w:r>
          </w:p>
        </w:tc>
        <w:tc>
          <w:tcPr>
            <w:tcW w:w="3357" w:type="dxa"/>
            <w:tcBorders>
              <w:top w:val="nil"/>
              <w:left w:val="nil"/>
              <w:bottom w:val="nil"/>
              <w:right w:val="single" w:sz="8" w:space="0" w:color="auto"/>
            </w:tcBorders>
            <w:shd w:val="clear" w:color="auto" w:fill="auto"/>
            <w:noWrap/>
            <w:vAlign w:val="bottom"/>
            <w:hideMark/>
          </w:tcPr>
          <w:p w14:paraId="478E4CF8" w14:textId="77777777" w:rsidR="007E5CDA" w:rsidRPr="007E5CDA" w:rsidRDefault="007E5CDA" w:rsidP="007E5CDA">
            <w:pPr>
              <w:spacing w:after="0" w:line="240" w:lineRule="auto"/>
              <w:jc w:val="left"/>
              <w:rPr>
                <w:rFonts w:eastAsia="Times New Roman" w:cs="Calibri"/>
                <w:color w:val="000000"/>
                <w:sz w:val="20"/>
                <w:szCs w:val="20"/>
                <w:lang w:val="en-US"/>
              </w:rPr>
            </w:pPr>
            <w:r w:rsidRPr="007E5CDA">
              <w:rPr>
                <w:rFonts w:eastAsia="Times New Roman" w:cs="Calibri"/>
                <w:color w:val="000000"/>
                <w:sz w:val="20"/>
                <w:szCs w:val="20"/>
                <w:lang w:val="en-US"/>
              </w:rPr>
              <w:t>Servicios generales</w:t>
            </w:r>
          </w:p>
        </w:tc>
        <w:tc>
          <w:tcPr>
            <w:tcW w:w="1276" w:type="dxa"/>
            <w:tcBorders>
              <w:top w:val="nil"/>
              <w:left w:val="nil"/>
              <w:bottom w:val="nil"/>
              <w:right w:val="single" w:sz="8" w:space="0" w:color="auto"/>
            </w:tcBorders>
            <w:shd w:val="clear" w:color="auto" w:fill="auto"/>
            <w:noWrap/>
            <w:vAlign w:val="center"/>
            <w:hideMark/>
          </w:tcPr>
          <w:p w14:paraId="392BAEFE"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41 085,35</w:t>
            </w:r>
          </w:p>
        </w:tc>
        <w:tc>
          <w:tcPr>
            <w:tcW w:w="1276" w:type="dxa"/>
            <w:tcBorders>
              <w:top w:val="nil"/>
              <w:left w:val="nil"/>
              <w:bottom w:val="nil"/>
              <w:right w:val="single" w:sz="8" w:space="0" w:color="auto"/>
            </w:tcBorders>
            <w:shd w:val="clear" w:color="auto" w:fill="auto"/>
            <w:noWrap/>
            <w:vAlign w:val="center"/>
            <w:hideMark/>
          </w:tcPr>
          <w:p w14:paraId="5BE52B80"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30 939,01</w:t>
            </w:r>
          </w:p>
        </w:tc>
        <w:tc>
          <w:tcPr>
            <w:tcW w:w="1134" w:type="dxa"/>
            <w:tcBorders>
              <w:top w:val="nil"/>
              <w:left w:val="nil"/>
              <w:bottom w:val="nil"/>
              <w:right w:val="single" w:sz="8" w:space="0" w:color="auto"/>
            </w:tcBorders>
            <w:shd w:val="clear" w:color="auto" w:fill="auto"/>
            <w:noWrap/>
            <w:vAlign w:val="center"/>
            <w:hideMark/>
          </w:tcPr>
          <w:p w14:paraId="01C2B68E"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10 146,35</w:t>
            </w:r>
          </w:p>
        </w:tc>
        <w:tc>
          <w:tcPr>
            <w:tcW w:w="955" w:type="dxa"/>
            <w:tcBorders>
              <w:top w:val="nil"/>
              <w:left w:val="nil"/>
              <w:bottom w:val="nil"/>
              <w:right w:val="single" w:sz="8" w:space="0" w:color="auto"/>
            </w:tcBorders>
            <w:shd w:val="clear" w:color="auto" w:fill="auto"/>
            <w:vAlign w:val="center"/>
            <w:hideMark/>
          </w:tcPr>
          <w:p w14:paraId="25E20C07" w14:textId="77777777" w:rsidR="007E5CDA" w:rsidRPr="007E5CDA" w:rsidRDefault="007E5CDA" w:rsidP="007E5CDA">
            <w:pPr>
              <w:spacing w:after="0" w:line="240" w:lineRule="auto"/>
              <w:jc w:val="center"/>
              <w:rPr>
                <w:rFonts w:eastAsia="Times New Roman" w:cs="Calibri"/>
                <w:color w:val="000000"/>
                <w:sz w:val="20"/>
                <w:szCs w:val="20"/>
                <w:lang w:val="en-US"/>
              </w:rPr>
            </w:pPr>
            <w:r w:rsidRPr="007E5CDA">
              <w:rPr>
                <w:rFonts w:eastAsia="Times New Roman" w:cs="Calibri"/>
                <w:color w:val="000000"/>
                <w:sz w:val="20"/>
                <w:szCs w:val="20"/>
                <w:lang w:val="en-US"/>
              </w:rPr>
              <w:t>32,79%</w:t>
            </w:r>
          </w:p>
        </w:tc>
        <w:tc>
          <w:tcPr>
            <w:tcW w:w="222" w:type="dxa"/>
            <w:vAlign w:val="center"/>
            <w:hideMark/>
          </w:tcPr>
          <w:p w14:paraId="6BF422FD" w14:textId="77777777" w:rsidR="007E5CDA" w:rsidRPr="007E5CDA" w:rsidRDefault="007E5CDA" w:rsidP="007E5CDA">
            <w:pPr>
              <w:spacing w:after="0" w:line="240" w:lineRule="auto"/>
              <w:jc w:val="left"/>
              <w:rPr>
                <w:rFonts w:ascii="Times New Roman" w:eastAsia="Times New Roman" w:hAnsi="Times New Roman" w:cs="Times New Roman"/>
                <w:sz w:val="20"/>
                <w:szCs w:val="20"/>
                <w:lang w:val="en-US"/>
              </w:rPr>
            </w:pPr>
          </w:p>
        </w:tc>
      </w:tr>
      <w:tr w:rsidR="007E5CDA" w:rsidRPr="007E5CDA" w14:paraId="04EB087C" w14:textId="77777777" w:rsidTr="007E5CDA">
        <w:trPr>
          <w:trHeight w:val="300"/>
        </w:trPr>
        <w:tc>
          <w:tcPr>
            <w:tcW w:w="841" w:type="dxa"/>
            <w:tcBorders>
              <w:top w:val="nil"/>
              <w:left w:val="single" w:sz="8" w:space="0" w:color="auto"/>
              <w:bottom w:val="nil"/>
              <w:right w:val="single" w:sz="8" w:space="0" w:color="auto"/>
            </w:tcBorders>
            <w:shd w:val="clear" w:color="auto" w:fill="auto"/>
            <w:noWrap/>
            <w:vAlign w:val="bottom"/>
            <w:hideMark/>
          </w:tcPr>
          <w:p w14:paraId="64F02E13" w14:textId="77777777" w:rsidR="007E5CDA" w:rsidRPr="007E5CDA" w:rsidRDefault="007E5CDA" w:rsidP="007E5CDA">
            <w:pPr>
              <w:spacing w:after="0" w:line="240" w:lineRule="auto"/>
              <w:jc w:val="left"/>
              <w:rPr>
                <w:rFonts w:eastAsia="Times New Roman" w:cs="Calibri"/>
                <w:color w:val="000000"/>
                <w:sz w:val="20"/>
                <w:szCs w:val="20"/>
                <w:lang w:val="en-US"/>
              </w:rPr>
            </w:pPr>
            <w:r w:rsidRPr="007E5CDA">
              <w:rPr>
                <w:rFonts w:eastAsia="Times New Roman" w:cs="Calibri"/>
                <w:color w:val="000000"/>
                <w:sz w:val="20"/>
                <w:szCs w:val="20"/>
                <w:lang w:val="en-US"/>
              </w:rPr>
              <w:t>5.1.2.04.99.</w:t>
            </w:r>
          </w:p>
        </w:tc>
        <w:tc>
          <w:tcPr>
            <w:tcW w:w="3357" w:type="dxa"/>
            <w:tcBorders>
              <w:top w:val="nil"/>
              <w:left w:val="nil"/>
              <w:bottom w:val="nil"/>
              <w:right w:val="single" w:sz="8" w:space="0" w:color="auto"/>
            </w:tcBorders>
            <w:shd w:val="clear" w:color="auto" w:fill="auto"/>
            <w:noWrap/>
            <w:vAlign w:val="bottom"/>
            <w:hideMark/>
          </w:tcPr>
          <w:p w14:paraId="6D248EBA" w14:textId="77777777" w:rsidR="007E5CDA" w:rsidRPr="007E5CDA" w:rsidRDefault="007E5CDA" w:rsidP="007E5CDA">
            <w:pPr>
              <w:spacing w:after="0" w:line="240" w:lineRule="auto"/>
              <w:jc w:val="left"/>
              <w:rPr>
                <w:rFonts w:eastAsia="Times New Roman" w:cs="Calibri"/>
                <w:color w:val="000000"/>
                <w:sz w:val="20"/>
                <w:szCs w:val="20"/>
              </w:rPr>
            </w:pPr>
            <w:r w:rsidRPr="007E5CDA">
              <w:rPr>
                <w:rFonts w:eastAsia="Times New Roman" w:cs="Calibri"/>
                <w:color w:val="000000"/>
                <w:sz w:val="20"/>
                <w:szCs w:val="20"/>
              </w:rPr>
              <w:t>Otros servicios de gestión y apoyo</w:t>
            </w:r>
          </w:p>
        </w:tc>
        <w:tc>
          <w:tcPr>
            <w:tcW w:w="1276" w:type="dxa"/>
            <w:tcBorders>
              <w:top w:val="nil"/>
              <w:left w:val="nil"/>
              <w:bottom w:val="nil"/>
              <w:right w:val="single" w:sz="8" w:space="0" w:color="auto"/>
            </w:tcBorders>
            <w:shd w:val="clear" w:color="auto" w:fill="auto"/>
            <w:noWrap/>
            <w:vAlign w:val="center"/>
            <w:hideMark/>
          </w:tcPr>
          <w:p w14:paraId="2E847121"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13 673,50</w:t>
            </w:r>
          </w:p>
        </w:tc>
        <w:tc>
          <w:tcPr>
            <w:tcW w:w="1276" w:type="dxa"/>
            <w:tcBorders>
              <w:top w:val="nil"/>
              <w:left w:val="nil"/>
              <w:bottom w:val="nil"/>
              <w:right w:val="single" w:sz="8" w:space="0" w:color="auto"/>
            </w:tcBorders>
            <w:shd w:val="clear" w:color="auto" w:fill="auto"/>
            <w:noWrap/>
            <w:vAlign w:val="center"/>
            <w:hideMark/>
          </w:tcPr>
          <w:p w14:paraId="29F4C6B2"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5 403,87</w:t>
            </w:r>
          </w:p>
        </w:tc>
        <w:tc>
          <w:tcPr>
            <w:tcW w:w="1134" w:type="dxa"/>
            <w:tcBorders>
              <w:top w:val="nil"/>
              <w:left w:val="nil"/>
              <w:bottom w:val="nil"/>
              <w:right w:val="single" w:sz="8" w:space="0" w:color="auto"/>
            </w:tcBorders>
            <w:shd w:val="clear" w:color="auto" w:fill="auto"/>
            <w:noWrap/>
            <w:vAlign w:val="center"/>
            <w:hideMark/>
          </w:tcPr>
          <w:p w14:paraId="2E776DFC"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8 269,63</w:t>
            </w:r>
          </w:p>
        </w:tc>
        <w:tc>
          <w:tcPr>
            <w:tcW w:w="955" w:type="dxa"/>
            <w:tcBorders>
              <w:top w:val="nil"/>
              <w:left w:val="nil"/>
              <w:bottom w:val="nil"/>
              <w:right w:val="single" w:sz="8" w:space="0" w:color="auto"/>
            </w:tcBorders>
            <w:shd w:val="clear" w:color="auto" w:fill="auto"/>
            <w:vAlign w:val="center"/>
            <w:hideMark/>
          </w:tcPr>
          <w:p w14:paraId="36C335CA" w14:textId="77777777" w:rsidR="007E5CDA" w:rsidRPr="007E5CDA" w:rsidRDefault="007E5CDA" w:rsidP="007E5CDA">
            <w:pPr>
              <w:spacing w:after="0" w:line="240" w:lineRule="auto"/>
              <w:jc w:val="center"/>
              <w:rPr>
                <w:rFonts w:eastAsia="Times New Roman" w:cs="Calibri"/>
                <w:color w:val="000000"/>
                <w:sz w:val="20"/>
                <w:szCs w:val="20"/>
                <w:lang w:val="en-US"/>
              </w:rPr>
            </w:pPr>
            <w:r w:rsidRPr="007E5CDA">
              <w:rPr>
                <w:rFonts w:eastAsia="Times New Roman" w:cs="Calibri"/>
                <w:color w:val="000000"/>
                <w:sz w:val="20"/>
                <w:szCs w:val="20"/>
                <w:lang w:val="en-US"/>
              </w:rPr>
              <w:t>153,03%</w:t>
            </w:r>
          </w:p>
        </w:tc>
        <w:tc>
          <w:tcPr>
            <w:tcW w:w="222" w:type="dxa"/>
            <w:vAlign w:val="center"/>
            <w:hideMark/>
          </w:tcPr>
          <w:p w14:paraId="79F346AB" w14:textId="77777777" w:rsidR="007E5CDA" w:rsidRPr="007E5CDA" w:rsidRDefault="007E5CDA" w:rsidP="007E5CDA">
            <w:pPr>
              <w:spacing w:after="0" w:line="240" w:lineRule="auto"/>
              <w:jc w:val="left"/>
              <w:rPr>
                <w:rFonts w:ascii="Times New Roman" w:eastAsia="Times New Roman" w:hAnsi="Times New Roman" w:cs="Times New Roman"/>
                <w:sz w:val="20"/>
                <w:szCs w:val="20"/>
                <w:lang w:val="en-US"/>
              </w:rPr>
            </w:pPr>
          </w:p>
        </w:tc>
      </w:tr>
      <w:tr w:rsidR="007E5CDA" w:rsidRPr="007E5CDA" w14:paraId="23BF229E" w14:textId="77777777" w:rsidTr="007E5CDA">
        <w:trPr>
          <w:trHeight w:val="300"/>
        </w:trPr>
        <w:tc>
          <w:tcPr>
            <w:tcW w:w="841" w:type="dxa"/>
            <w:tcBorders>
              <w:top w:val="nil"/>
              <w:left w:val="single" w:sz="8" w:space="0" w:color="auto"/>
              <w:bottom w:val="nil"/>
              <w:right w:val="single" w:sz="8" w:space="0" w:color="auto"/>
            </w:tcBorders>
            <w:shd w:val="clear" w:color="auto" w:fill="auto"/>
            <w:noWrap/>
            <w:vAlign w:val="center"/>
            <w:hideMark/>
          </w:tcPr>
          <w:p w14:paraId="47B121FD" w14:textId="77777777" w:rsidR="007E5CDA" w:rsidRPr="007E5CDA" w:rsidRDefault="007E5CDA" w:rsidP="007E5CDA">
            <w:pPr>
              <w:spacing w:after="0" w:line="240" w:lineRule="auto"/>
              <w:jc w:val="left"/>
              <w:rPr>
                <w:rFonts w:eastAsia="Times New Roman" w:cs="Calibri"/>
                <w:b/>
                <w:bCs/>
                <w:color w:val="000000"/>
                <w:sz w:val="20"/>
                <w:szCs w:val="20"/>
                <w:lang w:val="en-US"/>
              </w:rPr>
            </w:pPr>
            <w:r w:rsidRPr="007E5CDA">
              <w:rPr>
                <w:rFonts w:eastAsia="Times New Roman" w:cs="Calibri"/>
                <w:b/>
                <w:bCs/>
                <w:color w:val="000000"/>
                <w:sz w:val="20"/>
                <w:szCs w:val="20"/>
                <w:lang w:val="en-US"/>
              </w:rPr>
              <w:t>5.1.2.05.</w:t>
            </w:r>
          </w:p>
        </w:tc>
        <w:tc>
          <w:tcPr>
            <w:tcW w:w="3357" w:type="dxa"/>
            <w:tcBorders>
              <w:top w:val="nil"/>
              <w:left w:val="nil"/>
              <w:bottom w:val="nil"/>
              <w:right w:val="single" w:sz="8" w:space="0" w:color="auto"/>
            </w:tcBorders>
            <w:shd w:val="clear" w:color="auto" w:fill="auto"/>
            <w:vAlign w:val="center"/>
            <w:hideMark/>
          </w:tcPr>
          <w:p w14:paraId="7171AF70" w14:textId="77777777" w:rsidR="007E5CDA" w:rsidRPr="007E5CDA" w:rsidRDefault="007E5CDA" w:rsidP="007E5CDA">
            <w:pPr>
              <w:spacing w:after="0" w:line="240" w:lineRule="auto"/>
              <w:jc w:val="left"/>
              <w:rPr>
                <w:rFonts w:eastAsia="Times New Roman" w:cs="Calibri"/>
                <w:b/>
                <w:bCs/>
                <w:color w:val="000000"/>
                <w:sz w:val="20"/>
                <w:szCs w:val="20"/>
              </w:rPr>
            </w:pPr>
            <w:r w:rsidRPr="007E5CDA">
              <w:rPr>
                <w:rFonts w:eastAsia="Times New Roman" w:cs="Calibri"/>
                <w:b/>
                <w:bCs/>
                <w:color w:val="000000"/>
                <w:sz w:val="20"/>
                <w:szCs w:val="20"/>
              </w:rPr>
              <w:t>Gastos de viaje y transporte</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14:paraId="3164554C" w14:textId="77777777" w:rsidR="007E5CDA" w:rsidRPr="007E5CDA" w:rsidRDefault="007E5CDA" w:rsidP="007E5CDA">
            <w:pPr>
              <w:spacing w:after="0" w:line="240" w:lineRule="auto"/>
              <w:jc w:val="right"/>
              <w:rPr>
                <w:rFonts w:eastAsia="Times New Roman" w:cs="Calibri"/>
                <w:b/>
                <w:bCs/>
                <w:color w:val="000000"/>
                <w:sz w:val="20"/>
                <w:szCs w:val="20"/>
                <w:lang w:val="en-US"/>
              </w:rPr>
            </w:pPr>
            <w:r w:rsidRPr="007E5CDA">
              <w:rPr>
                <w:rFonts w:ascii="Arial" w:eastAsia="Times New Roman" w:hAnsi="Arial" w:cs="Arial"/>
                <w:b/>
                <w:bCs/>
                <w:color w:val="000000"/>
                <w:sz w:val="20"/>
                <w:szCs w:val="20"/>
                <w:lang w:val="en-US"/>
              </w:rPr>
              <w:t>₡</w:t>
            </w:r>
            <w:r w:rsidRPr="007E5CDA">
              <w:rPr>
                <w:rFonts w:eastAsia="Times New Roman" w:cs="Calibri"/>
                <w:b/>
                <w:bCs/>
                <w:color w:val="000000"/>
                <w:sz w:val="20"/>
                <w:szCs w:val="20"/>
                <w:lang w:val="en-US"/>
              </w:rPr>
              <w:t>3 846,06</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14:paraId="712916F4" w14:textId="77777777" w:rsidR="007E5CDA" w:rsidRPr="007E5CDA" w:rsidRDefault="007E5CDA" w:rsidP="007E5CDA">
            <w:pPr>
              <w:spacing w:after="0" w:line="240" w:lineRule="auto"/>
              <w:jc w:val="right"/>
              <w:rPr>
                <w:rFonts w:eastAsia="Times New Roman" w:cs="Calibri"/>
                <w:b/>
                <w:bCs/>
                <w:color w:val="000000"/>
                <w:sz w:val="20"/>
                <w:szCs w:val="20"/>
                <w:lang w:val="en-US"/>
              </w:rPr>
            </w:pPr>
            <w:r w:rsidRPr="007E5CDA">
              <w:rPr>
                <w:rFonts w:ascii="Arial" w:eastAsia="Times New Roman" w:hAnsi="Arial" w:cs="Arial"/>
                <w:b/>
                <w:bCs/>
                <w:color w:val="000000"/>
                <w:sz w:val="20"/>
                <w:szCs w:val="20"/>
                <w:lang w:val="en-US"/>
              </w:rPr>
              <w:t>₡</w:t>
            </w:r>
            <w:r w:rsidRPr="007E5CDA">
              <w:rPr>
                <w:rFonts w:eastAsia="Times New Roman" w:cs="Calibri"/>
                <w:b/>
                <w:bCs/>
                <w:color w:val="000000"/>
                <w:sz w:val="20"/>
                <w:szCs w:val="20"/>
                <w:lang w:val="en-US"/>
              </w:rPr>
              <w:t>3 407,24</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14:paraId="50628062" w14:textId="77777777" w:rsidR="007E5CDA" w:rsidRPr="007E5CDA" w:rsidRDefault="007E5CDA" w:rsidP="007E5CDA">
            <w:pPr>
              <w:spacing w:after="0" w:line="240" w:lineRule="auto"/>
              <w:jc w:val="right"/>
              <w:rPr>
                <w:rFonts w:eastAsia="Times New Roman" w:cs="Calibri"/>
                <w:b/>
                <w:bCs/>
                <w:color w:val="000000"/>
                <w:sz w:val="20"/>
                <w:szCs w:val="20"/>
                <w:lang w:val="en-US"/>
              </w:rPr>
            </w:pPr>
            <w:r w:rsidRPr="007E5CDA">
              <w:rPr>
                <w:rFonts w:ascii="Arial" w:eastAsia="Times New Roman" w:hAnsi="Arial" w:cs="Arial"/>
                <w:b/>
                <w:bCs/>
                <w:color w:val="000000"/>
                <w:sz w:val="20"/>
                <w:szCs w:val="20"/>
                <w:lang w:val="en-US"/>
              </w:rPr>
              <w:t>₡</w:t>
            </w:r>
            <w:r w:rsidRPr="007E5CDA">
              <w:rPr>
                <w:rFonts w:eastAsia="Times New Roman" w:cs="Calibri"/>
                <w:b/>
                <w:bCs/>
                <w:color w:val="000000"/>
                <w:sz w:val="20"/>
                <w:szCs w:val="20"/>
                <w:lang w:val="en-US"/>
              </w:rPr>
              <w:t>438,82</w:t>
            </w:r>
          </w:p>
        </w:tc>
        <w:tc>
          <w:tcPr>
            <w:tcW w:w="955" w:type="dxa"/>
            <w:tcBorders>
              <w:top w:val="single" w:sz="8" w:space="0" w:color="auto"/>
              <w:left w:val="nil"/>
              <w:bottom w:val="single" w:sz="8" w:space="0" w:color="auto"/>
              <w:right w:val="single" w:sz="8" w:space="0" w:color="auto"/>
            </w:tcBorders>
            <w:shd w:val="clear" w:color="auto" w:fill="auto"/>
            <w:vAlign w:val="center"/>
            <w:hideMark/>
          </w:tcPr>
          <w:p w14:paraId="6DE3FF3F" w14:textId="77777777" w:rsidR="007E5CDA" w:rsidRPr="007E5CDA" w:rsidRDefault="007E5CDA" w:rsidP="007E5CDA">
            <w:pPr>
              <w:spacing w:after="0" w:line="240" w:lineRule="auto"/>
              <w:jc w:val="center"/>
              <w:rPr>
                <w:rFonts w:eastAsia="Times New Roman" w:cs="Calibri"/>
                <w:b/>
                <w:bCs/>
                <w:color w:val="000000"/>
                <w:sz w:val="20"/>
                <w:szCs w:val="20"/>
                <w:lang w:val="en-US"/>
              </w:rPr>
            </w:pPr>
            <w:r w:rsidRPr="007E5CDA">
              <w:rPr>
                <w:rFonts w:eastAsia="Times New Roman" w:cs="Calibri"/>
                <w:b/>
                <w:bCs/>
                <w:color w:val="000000"/>
                <w:sz w:val="20"/>
                <w:szCs w:val="20"/>
                <w:lang w:val="en-US"/>
              </w:rPr>
              <w:t>12,88%</w:t>
            </w:r>
          </w:p>
        </w:tc>
        <w:tc>
          <w:tcPr>
            <w:tcW w:w="222" w:type="dxa"/>
            <w:vAlign w:val="center"/>
            <w:hideMark/>
          </w:tcPr>
          <w:p w14:paraId="5EC4174F" w14:textId="77777777" w:rsidR="007E5CDA" w:rsidRPr="007E5CDA" w:rsidRDefault="007E5CDA" w:rsidP="007E5CDA">
            <w:pPr>
              <w:spacing w:after="0" w:line="240" w:lineRule="auto"/>
              <w:jc w:val="left"/>
              <w:rPr>
                <w:rFonts w:ascii="Times New Roman" w:eastAsia="Times New Roman" w:hAnsi="Times New Roman" w:cs="Times New Roman"/>
                <w:sz w:val="20"/>
                <w:szCs w:val="20"/>
                <w:lang w:val="en-US"/>
              </w:rPr>
            </w:pPr>
          </w:p>
        </w:tc>
      </w:tr>
      <w:tr w:rsidR="007E5CDA" w:rsidRPr="007E5CDA" w14:paraId="72B30A38" w14:textId="77777777" w:rsidTr="007E5CDA">
        <w:trPr>
          <w:trHeight w:val="290"/>
        </w:trPr>
        <w:tc>
          <w:tcPr>
            <w:tcW w:w="841" w:type="dxa"/>
            <w:tcBorders>
              <w:top w:val="nil"/>
              <w:left w:val="single" w:sz="8" w:space="0" w:color="auto"/>
              <w:bottom w:val="nil"/>
              <w:right w:val="single" w:sz="8" w:space="0" w:color="auto"/>
            </w:tcBorders>
            <w:shd w:val="clear" w:color="auto" w:fill="auto"/>
            <w:noWrap/>
            <w:vAlign w:val="bottom"/>
            <w:hideMark/>
          </w:tcPr>
          <w:p w14:paraId="769FD6F8" w14:textId="77777777" w:rsidR="007E5CDA" w:rsidRPr="007E5CDA" w:rsidRDefault="007E5CDA" w:rsidP="007E5CDA">
            <w:pPr>
              <w:spacing w:after="0" w:line="240" w:lineRule="auto"/>
              <w:jc w:val="left"/>
              <w:rPr>
                <w:rFonts w:eastAsia="Times New Roman" w:cs="Calibri"/>
                <w:color w:val="000000"/>
                <w:sz w:val="20"/>
                <w:szCs w:val="20"/>
                <w:lang w:val="en-US"/>
              </w:rPr>
            </w:pPr>
            <w:r w:rsidRPr="007E5CDA">
              <w:rPr>
                <w:rFonts w:eastAsia="Times New Roman" w:cs="Calibri"/>
                <w:color w:val="000000"/>
                <w:sz w:val="20"/>
                <w:szCs w:val="20"/>
                <w:lang w:val="en-US"/>
              </w:rPr>
              <w:t>5.1.2.05.01.</w:t>
            </w:r>
          </w:p>
        </w:tc>
        <w:tc>
          <w:tcPr>
            <w:tcW w:w="3357" w:type="dxa"/>
            <w:tcBorders>
              <w:top w:val="nil"/>
              <w:left w:val="nil"/>
              <w:bottom w:val="nil"/>
              <w:right w:val="single" w:sz="8" w:space="0" w:color="auto"/>
            </w:tcBorders>
            <w:shd w:val="clear" w:color="auto" w:fill="auto"/>
            <w:noWrap/>
            <w:vAlign w:val="bottom"/>
            <w:hideMark/>
          </w:tcPr>
          <w:p w14:paraId="6D06E48C" w14:textId="77777777" w:rsidR="007E5CDA" w:rsidRPr="007E5CDA" w:rsidRDefault="007E5CDA" w:rsidP="007E5CDA">
            <w:pPr>
              <w:spacing w:after="0" w:line="240" w:lineRule="auto"/>
              <w:jc w:val="left"/>
              <w:rPr>
                <w:rFonts w:eastAsia="Times New Roman" w:cs="Calibri"/>
                <w:color w:val="000000"/>
                <w:sz w:val="20"/>
                <w:szCs w:val="20"/>
                <w:lang w:val="en-US"/>
              </w:rPr>
            </w:pPr>
            <w:r w:rsidRPr="007E5CDA">
              <w:rPr>
                <w:rFonts w:eastAsia="Times New Roman" w:cs="Calibri"/>
                <w:color w:val="000000"/>
                <w:sz w:val="20"/>
                <w:szCs w:val="20"/>
                <w:lang w:val="en-US"/>
              </w:rPr>
              <w:t>Transporte dentro del país</w:t>
            </w:r>
          </w:p>
        </w:tc>
        <w:tc>
          <w:tcPr>
            <w:tcW w:w="1276" w:type="dxa"/>
            <w:tcBorders>
              <w:top w:val="nil"/>
              <w:left w:val="nil"/>
              <w:bottom w:val="nil"/>
              <w:right w:val="single" w:sz="8" w:space="0" w:color="auto"/>
            </w:tcBorders>
            <w:shd w:val="clear" w:color="auto" w:fill="auto"/>
            <w:noWrap/>
            <w:vAlign w:val="center"/>
            <w:hideMark/>
          </w:tcPr>
          <w:p w14:paraId="3C7AC3D3"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26,72</w:t>
            </w:r>
          </w:p>
        </w:tc>
        <w:tc>
          <w:tcPr>
            <w:tcW w:w="1276" w:type="dxa"/>
            <w:tcBorders>
              <w:top w:val="nil"/>
              <w:left w:val="nil"/>
              <w:bottom w:val="nil"/>
              <w:right w:val="single" w:sz="8" w:space="0" w:color="auto"/>
            </w:tcBorders>
            <w:shd w:val="clear" w:color="auto" w:fill="auto"/>
            <w:noWrap/>
            <w:vAlign w:val="center"/>
            <w:hideMark/>
          </w:tcPr>
          <w:p w14:paraId="4CB73DF5"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31,00</w:t>
            </w:r>
          </w:p>
        </w:tc>
        <w:tc>
          <w:tcPr>
            <w:tcW w:w="1134" w:type="dxa"/>
            <w:tcBorders>
              <w:top w:val="nil"/>
              <w:left w:val="nil"/>
              <w:bottom w:val="nil"/>
              <w:right w:val="single" w:sz="8" w:space="0" w:color="auto"/>
            </w:tcBorders>
            <w:shd w:val="clear" w:color="auto" w:fill="auto"/>
            <w:noWrap/>
            <w:vAlign w:val="center"/>
            <w:hideMark/>
          </w:tcPr>
          <w:p w14:paraId="2CD0C4B6"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-4,28</w:t>
            </w:r>
          </w:p>
        </w:tc>
        <w:tc>
          <w:tcPr>
            <w:tcW w:w="955" w:type="dxa"/>
            <w:tcBorders>
              <w:top w:val="nil"/>
              <w:left w:val="nil"/>
              <w:bottom w:val="nil"/>
              <w:right w:val="single" w:sz="8" w:space="0" w:color="auto"/>
            </w:tcBorders>
            <w:shd w:val="clear" w:color="auto" w:fill="auto"/>
            <w:vAlign w:val="center"/>
            <w:hideMark/>
          </w:tcPr>
          <w:p w14:paraId="60173263" w14:textId="77777777" w:rsidR="007E5CDA" w:rsidRPr="007E5CDA" w:rsidRDefault="007E5CDA" w:rsidP="007E5CDA">
            <w:pPr>
              <w:spacing w:after="0" w:line="240" w:lineRule="auto"/>
              <w:jc w:val="center"/>
              <w:rPr>
                <w:rFonts w:eastAsia="Times New Roman" w:cs="Calibri"/>
                <w:color w:val="000000"/>
                <w:sz w:val="20"/>
                <w:szCs w:val="20"/>
                <w:lang w:val="en-US"/>
              </w:rPr>
            </w:pPr>
            <w:r w:rsidRPr="007E5CDA">
              <w:rPr>
                <w:rFonts w:eastAsia="Times New Roman" w:cs="Calibri"/>
                <w:color w:val="000000"/>
                <w:sz w:val="20"/>
                <w:szCs w:val="20"/>
                <w:lang w:val="en-US"/>
              </w:rPr>
              <w:t>-13,81%</w:t>
            </w:r>
          </w:p>
        </w:tc>
        <w:tc>
          <w:tcPr>
            <w:tcW w:w="222" w:type="dxa"/>
            <w:vAlign w:val="center"/>
            <w:hideMark/>
          </w:tcPr>
          <w:p w14:paraId="74F4E99C" w14:textId="77777777" w:rsidR="007E5CDA" w:rsidRPr="007E5CDA" w:rsidRDefault="007E5CDA" w:rsidP="007E5CDA">
            <w:pPr>
              <w:spacing w:after="0" w:line="240" w:lineRule="auto"/>
              <w:jc w:val="left"/>
              <w:rPr>
                <w:rFonts w:ascii="Times New Roman" w:eastAsia="Times New Roman" w:hAnsi="Times New Roman" w:cs="Times New Roman"/>
                <w:sz w:val="20"/>
                <w:szCs w:val="20"/>
                <w:lang w:val="en-US"/>
              </w:rPr>
            </w:pPr>
          </w:p>
        </w:tc>
      </w:tr>
      <w:tr w:rsidR="007E5CDA" w:rsidRPr="007E5CDA" w14:paraId="16F343DB" w14:textId="77777777" w:rsidTr="007E5CDA">
        <w:trPr>
          <w:trHeight w:val="300"/>
        </w:trPr>
        <w:tc>
          <w:tcPr>
            <w:tcW w:w="841" w:type="dxa"/>
            <w:tcBorders>
              <w:top w:val="nil"/>
              <w:left w:val="single" w:sz="8" w:space="0" w:color="auto"/>
              <w:bottom w:val="nil"/>
              <w:right w:val="single" w:sz="8" w:space="0" w:color="auto"/>
            </w:tcBorders>
            <w:shd w:val="clear" w:color="auto" w:fill="auto"/>
            <w:noWrap/>
            <w:vAlign w:val="bottom"/>
            <w:hideMark/>
          </w:tcPr>
          <w:p w14:paraId="599BEC9F" w14:textId="77777777" w:rsidR="007E5CDA" w:rsidRPr="007E5CDA" w:rsidRDefault="007E5CDA" w:rsidP="007E5CDA">
            <w:pPr>
              <w:spacing w:after="0" w:line="240" w:lineRule="auto"/>
              <w:jc w:val="left"/>
              <w:rPr>
                <w:rFonts w:eastAsia="Times New Roman" w:cs="Calibri"/>
                <w:color w:val="000000"/>
                <w:sz w:val="20"/>
                <w:szCs w:val="20"/>
                <w:lang w:val="en-US"/>
              </w:rPr>
            </w:pPr>
            <w:r w:rsidRPr="007E5CDA">
              <w:rPr>
                <w:rFonts w:eastAsia="Times New Roman" w:cs="Calibri"/>
                <w:color w:val="000000"/>
                <w:sz w:val="20"/>
                <w:szCs w:val="20"/>
                <w:lang w:val="en-US"/>
              </w:rPr>
              <w:t>5.1.2.05.02.</w:t>
            </w:r>
          </w:p>
        </w:tc>
        <w:tc>
          <w:tcPr>
            <w:tcW w:w="3357" w:type="dxa"/>
            <w:tcBorders>
              <w:top w:val="nil"/>
              <w:left w:val="nil"/>
              <w:bottom w:val="nil"/>
              <w:right w:val="single" w:sz="8" w:space="0" w:color="auto"/>
            </w:tcBorders>
            <w:shd w:val="clear" w:color="auto" w:fill="auto"/>
            <w:noWrap/>
            <w:vAlign w:val="bottom"/>
            <w:hideMark/>
          </w:tcPr>
          <w:p w14:paraId="4DD1675A" w14:textId="77777777" w:rsidR="007E5CDA" w:rsidRPr="007E5CDA" w:rsidRDefault="007E5CDA" w:rsidP="007E5CDA">
            <w:pPr>
              <w:spacing w:after="0" w:line="240" w:lineRule="auto"/>
              <w:jc w:val="left"/>
              <w:rPr>
                <w:rFonts w:eastAsia="Times New Roman" w:cs="Calibri"/>
                <w:color w:val="000000"/>
                <w:sz w:val="20"/>
                <w:szCs w:val="20"/>
                <w:lang w:val="en-US"/>
              </w:rPr>
            </w:pPr>
            <w:r w:rsidRPr="007E5CDA">
              <w:rPr>
                <w:rFonts w:eastAsia="Times New Roman" w:cs="Calibri"/>
                <w:color w:val="000000"/>
                <w:sz w:val="20"/>
                <w:szCs w:val="20"/>
                <w:lang w:val="en-US"/>
              </w:rPr>
              <w:t>Viáticos dentro del país</w:t>
            </w:r>
          </w:p>
        </w:tc>
        <w:tc>
          <w:tcPr>
            <w:tcW w:w="1276" w:type="dxa"/>
            <w:tcBorders>
              <w:top w:val="nil"/>
              <w:left w:val="nil"/>
              <w:bottom w:val="nil"/>
              <w:right w:val="single" w:sz="8" w:space="0" w:color="auto"/>
            </w:tcBorders>
            <w:shd w:val="clear" w:color="auto" w:fill="auto"/>
            <w:noWrap/>
            <w:vAlign w:val="center"/>
            <w:hideMark/>
          </w:tcPr>
          <w:p w14:paraId="7576CE7E"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3 819,34</w:t>
            </w:r>
          </w:p>
        </w:tc>
        <w:tc>
          <w:tcPr>
            <w:tcW w:w="1276" w:type="dxa"/>
            <w:tcBorders>
              <w:top w:val="nil"/>
              <w:left w:val="nil"/>
              <w:bottom w:val="nil"/>
              <w:right w:val="single" w:sz="8" w:space="0" w:color="auto"/>
            </w:tcBorders>
            <w:shd w:val="clear" w:color="auto" w:fill="auto"/>
            <w:noWrap/>
            <w:vAlign w:val="center"/>
            <w:hideMark/>
          </w:tcPr>
          <w:p w14:paraId="69DCC011"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3 376,24</w:t>
            </w:r>
          </w:p>
        </w:tc>
        <w:tc>
          <w:tcPr>
            <w:tcW w:w="1134" w:type="dxa"/>
            <w:tcBorders>
              <w:top w:val="nil"/>
              <w:left w:val="nil"/>
              <w:bottom w:val="nil"/>
              <w:right w:val="single" w:sz="8" w:space="0" w:color="auto"/>
            </w:tcBorders>
            <w:shd w:val="clear" w:color="auto" w:fill="auto"/>
            <w:noWrap/>
            <w:vAlign w:val="center"/>
            <w:hideMark/>
          </w:tcPr>
          <w:p w14:paraId="54C13599"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443,10</w:t>
            </w:r>
          </w:p>
        </w:tc>
        <w:tc>
          <w:tcPr>
            <w:tcW w:w="955" w:type="dxa"/>
            <w:tcBorders>
              <w:top w:val="nil"/>
              <w:left w:val="nil"/>
              <w:bottom w:val="nil"/>
              <w:right w:val="single" w:sz="8" w:space="0" w:color="auto"/>
            </w:tcBorders>
            <w:shd w:val="clear" w:color="auto" w:fill="auto"/>
            <w:vAlign w:val="center"/>
            <w:hideMark/>
          </w:tcPr>
          <w:p w14:paraId="13321E3A" w14:textId="77777777" w:rsidR="007E5CDA" w:rsidRPr="007E5CDA" w:rsidRDefault="007E5CDA" w:rsidP="007E5CDA">
            <w:pPr>
              <w:spacing w:after="0" w:line="240" w:lineRule="auto"/>
              <w:jc w:val="center"/>
              <w:rPr>
                <w:rFonts w:eastAsia="Times New Roman" w:cs="Calibri"/>
                <w:color w:val="000000"/>
                <w:sz w:val="20"/>
                <w:szCs w:val="20"/>
                <w:lang w:val="en-US"/>
              </w:rPr>
            </w:pPr>
            <w:r w:rsidRPr="007E5CDA">
              <w:rPr>
                <w:rFonts w:eastAsia="Times New Roman" w:cs="Calibri"/>
                <w:color w:val="000000"/>
                <w:sz w:val="20"/>
                <w:szCs w:val="20"/>
                <w:lang w:val="en-US"/>
              </w:rPr>
              <w:t>13,12%</w:t>
            </w:r>
          </w:p>
        </w:tc>
        <w:tc>
          <w:tcPr>
            <w:tcW w:w="222" w:type="dxa"/>
            <w:vAlign w:val="center"/>
            <w:hideMark/>
          </w:tcPr>
          <w:p w14:paraId="04BE6347" w14:textId="77777777" w:rsidR="007E5CDA" w:rsidRPr="007E5CDA" w:rsidRDefault="007E5CDA" w:rsidP="007E5CDA">
            <w:pPr>
              <w:spacing w:after="0" w:line="240" w:lineRule="auto"/>
              <w:jc w:val="left"/>
              <w:rPr>
                <w:rFonts w:ascii="Times New Roman" w:eastAsia="Times New Roman" w:hAnsi="Times New Roman" w:cs="Times New Roman"/>
                <w:sz w:val="20"/>
                <w:szCs w:val="20"/>
                <w:lang w:val="en-US"/>
              </w:rPr>
            </w:pPr>
          </w:p>
        </w:tc>
      </w:tr>
      <w:tr w:rsidR="007E5CDA" w:rsidRPr="007E5CDA" w14:paraId="7DA56FEB" w14:textId="77777777" w:rsidTr="007E5CDA">
        <w:trPr>
          <w:trHeight w:val="326"/>
        </w:trPr>
        <w:tc>
          <w:tcPr>
            <w:tcW w:w="841" w:type="dxa"/>
            <w:tcBorders>
              <w:top w:val="nil"/>
              <w:left w:val="single" w:sz="8" w:space="0" w:color="auto"/>
              <w:bottom w:val="nil"/>
              <w:right w:val="single" w:sz="8" w:space="0" w:color="auto"/>
            </w:tcBorders>
            <w:shd w:val="clear" w:color="auto" w:fill="auto"/>
            <w:noWrap/>
            <w:vAlign w:val="center"/>
            <w:hideMark/>
          </w:tcPr>
          <w:p w14:paraId="0D7EF0B8" w14:textId="77777777" w:rsidR="007E5CDA" w:rsidRPr="007E5CDA" w:rsidRDefault="007E5CDA" w:rsidP="007E5CDA">
            <w:pPr>
              <w:spacing w:after="0" w:line="240" w:lineRule="auto"/>
              <w:jc w:val="left"/>
              <w:rPr>
                <w:rFonts w:eastAsia="Times New Roman" w:cs="Calibri"/>
                <w:b/>
                <w:bCs/>
                <w:color w:val="000000"/>
                <w:sz w:val="20"/>
                <w:szCs w:val="20"/>
                <w:lang w:val="en-US"/>
              </w:rPr>
            </w:pPr>
            <w:r w:rsidRPr="007E5CDA">
              <w:rPr>
                <w:rFonts w:eastAsia="Times New Roman" w:cs="Calibri"/>
                <w:b/>
                <w:bCs/>
                <w:color w:val="000000"/>
                <w:sz w:val="20"/>
                <w:szCs w:val="20"/>
                <w:lang w:val="en-US"/>
              </w:rPr>
              <w:t>5.1.2.06.</w:t>
            </w:r>
          </w:p>
        </w:tc>
        <w:tc>
          <w:tcPr>
            <w:tcW w:w="3357" w:type="dxa"/>
            <w:tcBorders>
              <w:top w:val="nil"/>
              <w:left w:val="nil"/>
              <w:bottom w:val="nil"/>
              <w:right w:val="single" w:sz="8" w:space="0" w:color="auto"/>
            </w:tcBorders>
            <w:shd w:val="clear" w:color="auto" w:fill="auto"/>
            <w:vAlign w:val="center"/>
            <w:hideMark/>
          </w:tcPr>
          <w:p w14:paraId="59E5733F" w14:textId="77777777" w:rsidR="007E5CDA" w:rsidRPr="007E5CDA" w:rsidRDefault="007E5CDA" w:rsidP="007E5CDA">
            <w:pPr>
              <w:spacing w:after="0" w:line="240" w:lineRule="auto"/>
              <w:jc w:val="left"/>
              <w:rPr>
                <w:rFonts w:eastAsia="Times New Roman" w:cs="Calibri"/>
                <w:b/>
                <w:bCs/>
                <w:color w:val="000000"/>
                <w:sz w:val="20"/>
                <w:szCs w:val="20"/>
              </w:rPr>
            </w:pPr>
            <w:r w:rsidRPr="007E5CDA">
              <w:rPr>
                <w:rFonts w:eastAsia="Times New Roman" w:cs="Calibri"/>
                <w:b/>
                <w:bCs/>
                <w:color w:val="000000"/>
                <w:sz w:val="20"/>
                <w:szCs w:val="20"/>
              </w:rPr>
              <w:t>Seguros, reaseguros y otras obligaciones</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14:paraId="52831EC3" w14:textId="77777777" w:rsidR="007E5CDA" w:rsidRPr="007E5CDA" w:rsidRDefault="007E5CDA" w:rsidP="007E5CDA">
            <w:pPr>
              <w:spacing w:after="0" w:line="240" w:lineRule="auto"/>
              <w:jc w:val="right"/>
              <w:rPr>
                <w:rFonts w:eastAsia="Times New Roman" w:cs="Calibri"/>
                <w:b/>
                <w:bCs/>
                <w:color w:val="000000"/>
                <w:sz w:val="20"/>
                <w:szCs w:val="20"/>
                <w:lang w:val="en-US"/>
              </w:rPr>
            </w:pPr>
            <w:r w:rsidRPr="007E5CDA">
              <w:rPr>
                <w:rFonts w:ascii="Arial" w:eastAsia="Times New Roman" w:hAnsi="Arial" w:cs="Arial"/>
                <w:b/>
                <w:bCs/>
                <w:color w:val="000000"/>
                <w:sz w:val="20"/>
                <w:szCs w:val="20"/>
                <w:lang w:val="en-US"/>
              </w:rPr>
              <w:t>₡</w:t>
            </w:r>
            <w:r w:rsidRPr="007E5CDA">
              <w:rPr>
                <w:rFonts w:eastAsia="Times New Roman" w:cs="Calibri"/>
                <w:b/>
                <w:bCs/>
                <w:color w:val="000000"/>
                <w:sz w:val="20"/>
                <w:szCs w:val="20"/>
                <w:lang w:val="en-US"/>
              </w:rPr>
              <w:t>32 202,12</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14:paraId="0B4007BE" w14:textId="77777777" w:rsidR="007E5CDA" w:rsidRPr="007E5CDA" w:rsidRDefault="007E5CDA" w:rsidP="007E5CDA">
            <w:pPr>
              <w:spacing w:after="0" w:line="240" w:lineRule="auto"/>
              <w:jc w:val="right"/>
              <w:rPr>
                <w:rFonts w:eastAsia="Times New Roman" w:cs="Calibri"/>
                <w:b/>
                <w:bCs/>
                <w:color w:val="000000"/>
                <w:sz w:val="20"/>
                <w:szCs w:val="20"/>
                <w:lang w:val="en-US"/>
              </w:rPr>
            </w:pPr>
            <w:r w:rsidRPr="007E5CDA">
              <w:rPr>
                <w:rFonts w:ascii="Arial" w:eastAsia="Times New Roman" w:hAnsi="Arial" w:cs="Arial"/>
                <w:b/>
                <w:bCs/>
                <w:color w:val="000000"/>
                <w:sz w:val="20"/>
                <w:szCs w:val="20"/>
                <w:lang w:val="en-US"/>
              </w:rPr>
              <w:t>₡</w:t>
            </w:r>
            <w:r w:rsidRPr="007E5CDA">
              <w:rPr>
                <w:rFonts w:eastAsia="Times New Roman" w:cs="Calibri"/>
                <w:b/>
                <w:bCs/>
                <w:color w:val="000000"/>
                <w:sz w:val="20"/>
                <w:szCs w:val="20"/>
                <w:lang w:val="en-US"/>
              </w:rPr>
              <w:t>30 883,89</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14:paraId="3275C2E4" w14:textId="77777777" w:rsidR="007E5CDA" w:rsidRPr="007E5CDA" w:rsidRDefault="007E5CDA" w:rsidP="007E5CDA">
            <w:pPr>
              <w:spacing w:after="0" w:line="240" w:lineRule="auto"/>
              <w:jc w:val="right"/>
              <w:rPr>
                <w:rFonts w:eastAsia="Times New Roman" w:cs="Calibri"/>
                <w:b/>
                <w:bCs/>
                <w:color w:val="000000"/>
                <w:sz w:val="20"/>
                <w:szCs w:val="20"/>
                <w:lang w:val="en-US"/>
              </w:rPr>
            </w:pPr>
            <w:r w:rsidRPr="007E5CDA">
              <w:rPr>
                <w:rFonts w:ascii="Arial" w:eastAsia="Times New Roman" w:hAnsi="Arial" w:cs="Arial"/>
                <w:b/>
                <w:bCs/>
                <w:color w:val="000000"/>
                <w:sz w:val="20"/>
                <w:szCs w:val="20"/>
                <w:lang w:val="en-US"/>
              </w:rPr>
              <w:t>₡</w:t>
            </w:r>
            <w:r w:rsidRPr="007E5CDA">
              <w:rPr>
                <w:rFonts w:eastAsia="Times New Roman" w:cs="Calibri"/>
                <w:b/>
                <w:bCs/>
                <w:color w:val="000000"/>
                <w:sz w:val="20"/>
                <w:szCs w:val="20"/>
                <w:lang w:val="en-US"/>
              </w:rPr>
              <w:t>1 318,23</w:t>
            </w:r>
          </w:p>
        </w:tc>
        <w:tc>
          <w:tcPr>
            <w:tcW w:w="955" w:type="dxa"/>
            <w:tcBorders>
              <w:top w:val="single" w:sz="8" w:space="0" w:color="auto"/>
              <w:left w:val="nil"/>
              <w:bottom w:val="single" w:sz="8" w:space="0" w:color="auto"/>
              <w:right w:val="single" w:sz="8" w:space="0" w:color="auto"/>
            </w:tcBorders>
            <w:shd w:val="clear" w:color="auto" w:fill="auto"/>
            <w:vAlign w:val="center"/>
            <w:hideMark/>
          </w:tcPr>
          <w:p w14:paraId="6AC26783" w14:textId="77777777" w:rsidR="007E5CDA" w:rsidRPr="007E5CDA" w:rsidRDefault="007E5CDA" w:rsidP="007E5CDA">
            <w:pPr>
              <w:spacing w:after="0" w:line="240" w:lineRule="auto"/>
              <w:jc w:val="center"/>
              <w:rPr>
                <w:rFonts w:eastAsia="Times New Roman" w:cs="Calibri"/>
                <w:b/>
                <w:bCs/>
                <w:color w:val="000000"/>
                <w:sz w:val="20"/>
                <w:szCs w:val="20"/>
                <w:lang w:val="en-US"/>
              </w:rPr>
            </w:pPr>
            <w:r w:rsidRPr="007E5CDA">
              <w:rPr>
                <w:rFonts w:eastAsia="Times New Roman" w:cs="Calibri"/>
                <w:b/>
                <w:bCs/>
                <w:color w:val="000000"/>
                <w:sz w:val="20"/>
                <w:szCs w:val="20"/>
                <w:lang w:val="en-US"/>
              </w:rPr>
              <w:t>4,27%</w:t>
            </w:r>
          </w:p>
        </w:tc>
        <w:tc>
          <w:tcPr>
            <w:tcW w:w="222" w:type="dxa"/>
            <w:vAlign w:val="center"/>
            <w:hideMark/>
          </w:tcPr>
          <w:p w14:paraId="3F09FFC1" w14:textId="77777777" w:rsidR="007E5CDA" w:rsidRPr="007E5CDA" w:rsidRDefault="007E5CDA" w:rsidP="007E5CDA">
            <w:pPr>
              <w:spacing w:after="0" w:line="240" w:lineRule="auto"/>
              <w:jc w:val="left"/>
              <w:rPr>
                <w:rFonts w:ascii="Times New Roman" w:eastAsia="Times New Roman" w:hAnsi="Times New Roman" w:cs="Times New Roman"/>
                <w:sz w:val="20"/>
                <w:szCs w:val="20"/>
                <w:lang w:val="en-US"/>
              </w:rPr>
            </w:pPr>
          </w:p>
        </w:tc>
      </w:tr>
      <w:tr w:rsidR="007E5CDA" w:rsidRPr="007E5CDA" w14:paraId="6147E13A" w14:textId="77777777" w:rsidTr="007E5CDA">
        <w:trPr>
          <w:trHeight w:val="290"/>
        </w:trPr>
        <w:tc>
          <w:tcPr>
            <w:tcW w:w="841" w:type="dxa"/>
            <w:tcBorders>
              <w:top w:val="nil"/>
              <w:left w:val="single" w:sz="8" w:space="0" w:color="auto"/>
              <w:bottom w:val="nil"/>
              <w:right w:val="single" w:sz="8" w:space="0" w:color="auto"/>
            </w:tcBorders>
            <w:shd w:val="clear" w:color="auto" w:fill="auto"/>
            <w:noWrap/>
            <w:vAlign w:val="bottom"/>
            <w:hideMark/>
          </w:tcPr>
          <w:p w14:paraId="4EC37E49" w14:textId="77777777" w:rsidR="007E5CDA" w:rsidRPr="007E5CDA" w:rsidRDefault="007E5CDA" w:rsidP="007E5CDA">
            <w:pPr>
              <w:spacing w:after="0" w:line="240" w:lineRule="auto"/>
              <w:jc w:val="left"/>
              <w:rPr>
                <w:rFonts w:eastAsia="Times New Roman" w:cs="Calibri"/>
                <w:color w:val="000000"/>
                <w:sz w:val="20"/>
                <w:szCs w:val="20"/>
                <w:lang w:val="en-US"/>
              </w:rPr>
            </w:pPr>
            <w:r w:rsidRPr="007E5CDA">
              <w:rPr>
                <w:rFonts w:eastAsia="Times New Roman" w:cs="Calibri"/>
                <w:color w:val="000000"/>
                <w:sz w:val="20"/>
                <w:szCs w:val="20"/>
                <w:lang w:val="en-US"/>
              </w:rPr>
              <w:t>5.1.2.06.01.</w:t>
            </w:r>
          </w:p>
        </w:tc>
        <w:tc>
          <w:tcPr>
            <w:tcW w:w="3357" w:type="dxa"/>
            <w:tcBorders>
              <w:top w:val="nil"/>
              <w:left w:val="nil"/>
              <w:bottom w:val="nil"/>
              <w:right w:val="single" w:sz="8" w:space="0" w:color="auto"/>
            </w:tcBorders>
            <w:shd w:val="clear" w:color="auto" w:fill="auto"/>
            <w:noWrap/>
            <w:vAlign w:val="bottom"/>
            <w:hideMark/>
          </w:tcPr>
          <w:p w14:paraId="3CD0905C" w14:textId="77777777" w:rsidR="007E5CDA" w:rsidRPr="007E5CDA" w:rsidRDefault="007E5CDA" w:rsidP="007E5CDA">
            <w:pPr>
              <w:spacing w:after="0" w:line="240" w:lineRule="auto"/>
              <w:jc w:val="left"/>
              <w:rPr>
                <w:rFonts w:eastAsia="Times New Roman" w:cs="Calibri"/>
                <w:color w:val="000000"/>
                <w:sz w:val="20"/>
                <w:szCs w:val="20"/>
              </w:rPr>
            </w:pPr>
            <w:r w:rsidRPr="007E5CDA">
              <w:rPr>
                <w:rFonts w:eastAsia="Times New Roman" w:cs="Calibri"/>
                <w:color w:val="000000"/>
                <w:sz w:val="20"/>
                <w:szCs w:val="20"/>
              </w:rPr>
              <w:t>Seguros (Vehículos y Riesgos del Trabajo)</w:t>
            </w:r>
          </w:p>
        </w:tc>
        <w:tc>
          <w:tcPr>
            <w:tcW w:w="1276" w:type="dxa"/>
            <w:tcBorders>
              <w:top w:val="nil"/>
              <w:left w:val="nil"/>
              <w:bottom w:val="nil"/>
              <w:right w:val="single" w:sz="8" w:space="0" w:color="auto"/>
            </w:tcBorders>
            <w:shd w:val="clear" w:color="auto" w:fill="auto"/>
            <w:noWrap/>
            <w:vAlign w:val="center"/>
            <w:hideMark/>
          </w:tcPr>
          <w:p w14:paraId="283EEB18"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32 202,12</w:t>
            </w:r>
          </w:p>
        </w:tc>
        <w:tc>
          <w:tcPr>
            <w:tcW w:w="1276" w:type="dxa"/>
            <w:tcBorders>
              <w:top w:val="nil"/>
              <w:left w:val="nil"/>
              <w:bottom w:val="nil"/>
              <w:right w:val="single" w:sz="8" w:space="0" w:color="auto"/>
            </w:tcBorders>
            <w:shd w:val="clear" w:color="auto" w:fill="auto"/>
            <w:noWrap/>
            <w:vAlign w:val="center"/>
            <w:hideMark/>
          </w:tcPr>
          <w:p w14:paraId="10CDD11D"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30 883,89</w:t>
            </w:r>
          </w:p>
        </w:tc>
        <w:tc>
          <w:tcPr>
            <w:tcW w:w="1134" w:type="dxa"/>
            <w:tcBorders>
              <w:top w:val="nil"/>
              <w:left w:val="nil"/>
              <w:bottom w:val="nil"/>
              <w:right w:val="single" w:sz="8" w:space="0" w:color="auto"/>
            </w:tcBorders>
            <w:shd w:val="clear" w:color="auto" w:fill="auto"/>
            <w:noWrap/>
            <w:vAlign w:val="center"/>
            <w:hideMark/>
          </w:tcPr>
          <w:p w14:paraId="42DBED66"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1 318,23</w:t>
            </w:r>
          </w:p>
        </w:tc>
        <w:tc>
          <w:tcPr>
            <w:tcW w:w="955" w:type="dxa"/>
            <w:tcBorders>
              <w:top w:val="nil"/>
              <w:left w:val="nil"/>
              <w:bottom w:val="nil"/>
              <w:right w:val="single" w:sz="8" w:space="0" w:color="auto"/>
            </w:tcBorders>
            <w:shd w:val="clear" w:color="auto" w:fill="auto"/>
            <w:vAlign w:val="center"/>
            <w:hideMark/>
          </w:tcPr>
          <w:p w14:paraId="0A2F2DD0" w14:textId="77777777" w:rsidR="007E5CDA" w:rsidRPr="007E5CDA" w:rsidRDefault="007E5CDA" w:rsidP="007E5CDA">
            <w:pPr>
              <w:spacing w:after="0" w:line="240" w:lineRule="auto"/>
              <w:jc w:val="center"/>
              <w:rPr>
                <w:rFonts w:eastAsia="Times New Roman" w:cs="Calibri"/>
                <w:color w:val="000000"/>
                <w:sz w:val="20"/>
                <w:szCs w:val="20"/>
                <w:lang w:val="en-US"/>
              </w:rPr>
            </w:pPr>
            <w:r w:rsidRPr="007E5CDA">
              <w:rPr>
                <w:rFonts w:eastAsia="Times New Roman" w:cs="Calibri"/>
                <w:color w:val="000000"/>
                <w:sz w:val="20"/>
                <w:szCs w:val="20"/>
                <w:lang w:val="en-US"/>
              </w:rPr>
              <w:t>4,27%</w:t>
            </w:r>
          </w:p>
        </w:tc>
        <w:tc>
          <w:tcPr>
            <w:tcW w:w="222" w:type="dxa"/>
            <w:vAlign w:val="center"/>
            <w:hideMark/>
          </w:tcPr>
          <w:p w14:paraId="4EFD2A2D" w14:textId="77777777" w:rsidR="007E5CDA" w:rsidRPr="007E5CDA" w:rsidRDefault="007E5CDA" w:rsidP="007E5CDA">
            <w:pPr>
              <w:spacing w:after="0" w:line="240" w:lineRule="auto"/>
              <w:jc w:val="left"/>
              <w:rPr>
                <w:rFonts w:ascii="Times New Roman" w:eastAsia="Times New Roman" w:hAnsi="Times New Roman" w:cs="Times New Roman"/>
                <w:sz w:val="20"/>
                <w:szCs w:val="20"/>
                <w:lang w:val="en-US"/>
              </w:rPr>
            </w:pPr>
          </w:p>
        </w:tc>
      </w:tr>
      <w:tr w:rsidR="007E5CDA" w:rsidRPr="007E5CDA" w14:paraId="66618C58" w14:textId="77777777" w:rsidTr="007E5CDA">
        <w:trPr>
          <w:trHeight w:val="290"/>
        </w:trPr>
        <w:tc>
          <w:tcPr>
            <w:tcW w:w="841" w:type="dxa"/>
            <w:tcBorders>
              <w:top w:val="nil"/>
              <w:left w:val="single" w:sz="8" w:space="0" w:color="auto"/>
              <w:bottom w:val="nil"/>
              <w:right w:val="single" w:sz="8" w:space="0" w:color="auto"/>
            </w:tcBorders>
            <w:shd w:val="clear" w:color="auto" w:fill="auto"/>
            <w:noWrap/>
            <w:vAlign w:val="bottom"/>
            <w:hideMark/>
          </w:tcPr>
          <w:p w14:paraId="1D9868F5" w14:textId="071FB6E9" w:rsidR="007E5CDA" w:rsidRPr="007E5CDA" w:rsidRDefault="007E5CDA" w:rsidP="007E5CDA">
            <w:pPr>
              <w:spacing w:after="0" w:line="240" w:lineRule="auto"/>
              <w:jc w:val="left"/>
              <w:rPr>
                <w:rFonts w:eastAsia="Times New Roman" w:cs="Calibri"/>
                <w:color w:val="000000"/>
                <w:sz w:val="20"/>
                <w:szCs w:val="20"/>
                <w:lang w:val="en-US"/>
              </w:rPr>
            </w:pPr>
            <w:r w:rsidRPr="007E5CDA">
              <w:rPr>
                <w:rFonts w:eastAsia="Times New Roman" w:cs="Calibri"/>
                <w:color w:val="000000"/>
                <w:sz w:val="20"/>
                <w:szCs w:val="20"/>
                <w:lang w:val="en-US"/>
              </w:rPr>
              <w:t>5.1.2.06.01.01</w:t>
            </w:r>
          </w:p>
        </w:tc>
        <w:tc>
          <w:tcPr>
            <w:tcW w:w="3357" w:type="dxa"/>
            <w:tcBorders>
              <w:top w:val="nil"/>
              <w:left w:val="nil"/>
              <w:bottom w:val="nil"/>
              <w:right w:val="single" w:sz="8" w:space="0" w:color="auto"/>
            </w:tcBorders>
            <w:shd w:val="clear" w:color="auto" w:fill="auto"/>
            <w:noWrap/>
            <w:vAlign w:val="bottom"/>
            <w:hideMark/>
          </w:tcPr>
          <w:p w14:paraId="7AFF2E48" w14:textId="77777777" w:rsidR="007E5CDA" w:rsidRPr="007E5CDA" w:rsidRDefault="007E5CDA" w:rsidP="007E5CDA">
            <w:pPr>
              <w:spacing w:after="0" w:line="240" w:lineRule="auto"/>
              <w:jc w:val="left"/>
              <w:rPr>
                <w:rFonts w:eastAsia="Times New Roman" w:cs="Calibri"/>
                <w:color w:val="000000"/>
                <w:sz w:val="20"/>
                <w:szCs w:val="20"/>
              </w:rPr>
            </w:pPr>
            <w:r w:rsidRPr="007E5CDA">
              <w:rPr>
                <w:rFonts w:eastAsia="Times New Roman" w:cs="Calibri"/>
                <w:color w:val="000000"/>
                <w:sz w:val="20"/>
                <w:szCs w:val="20"/>
              </w:rPr>
              <w:t xml:space="preserve">Seguros contra riesgos de trabajo        </w:t>
            </w:r>
          </w:p>
        </w:tc>
        <w:tc>
          <w:tcPr>
            <w:tcW w:w="1276" w:type="dxa"/>
            <w:tcBorders>
              <w:top w:val="nil"/>
              <w:left w:val="nil"/>
              <w:bottom w:val="nil"/>
              <w:right w:val="single" w:sz="8" w:space="0" w:color="auto"/>
            </w:tcBorders>
            <w:shd w:val="clear" w:color="auto" w:fill="auto"/>
            <w:noWrap/>
            <w:vAlign w:val="center"/>
            <w:hideMark/>
          </w:tcPr>
          <w:p w14:paraId="2A9F7199" w14:textId="77777777" w:rsidR="007E5CDA" w:rsidRPr="007E5CDA" w:rsidRDefault="007E5CDA" w:rsidP="007E5CDA">
            <w:pPr>
              <w:spacing w:after="0" w:line="240" w:lineRule="auto"/>
              <w:jc w:val="right"/>
              <w:rPr>
                <w:rFonts w:eastAsia="Times New Roman" w:cs="Calibri"/>
                <w:color w:val="000000"/>
                <w:sz w:val="18"/>
                <w:szCs w:val="18"/>
                <w:lang w:val="en-US"/>
              </w:rPr>
            </w:pPr>
            <w:r w:rsidRPr="007E5CDA">
              <w:rPr>
                <w:rFonts w:eastAsia="Times New Roman" w:cs="Calibri"/>
                <w:color w:val="000000"/>
                <w:sz w:val="18"/>
                <w:szCs w:val="18"/>
                <w:lang w:val="en-US"/>
              </w:rPr>
              <w:t>7 546,94</w:t>
            </w:r>
          </w:p>
        </w:tc>
        <w:tc>
          <w:tcPr>
            <w:tcW w:w="1276" w:type="dxa"/>
            <w:tcBorders>
              <w:top w:val="nil"/>
              <w:left w:val="nil"/>
              <w:bottom w:val="nil"/>
              <w:right w:val="single" w:sz="8" w:space="0" w:color="auto"/>
            </w:tcBorders>
            <w:shd w:val="clear" w:color="auto" w:fill="auto"/>
            <w:noWrap/>
            <w:vAlign w:val="center"/>
            <w:hideMark/>
          </w:tcPr>
          <w:p w14:paraId="41D5D4B9" w14:textId="77777777" w:rsidR="007E5CDA" w:rsidRPr="007E5CDA" w:rsidRDefault="007E5CDA" w:rsidP="007E5CDA">
            <w:pPr>
              <w:spacing w:after="0" w:line="240" w:lineRule="auto"/>
              <w:jc w:val="right"/>
              <w:rPr>
                <w:rFonts w:eastAsia="Times New Roman" w:cs="Calibri"/>
                <w:color w:val="000000"/>
                <w:sz w:val="18"/>
                <w:szCs w:val="18"/>
                <w:lang w:val="en-US"/>
              </w:rPr>
            </w:pPr>
            <w:r w:rsidRPr="007E5CDA">
              <w:rPr>
                <w:rFonts w:eastAsia="Times New Roman" w:cs="Calibri"/>
                <w:color w:val="000000"/>
                <w:sz w:val="18"/>
                <w:szCs w:val="18"/>
                <w:lang w:val="en-US"/>
              </w:rPr>
              <w:t>7 415,09</w:t>
            </w:r>
          </w:p>
        </w:tc>
        <w:tc>
          <w:tcPr>
            <w:tcW w:w="1134" w:type="dxa"/>
            <w:tcBorders>
              <w:top w:val="nil"/>
              <w:left w:val="nil"/>
              <w:bottom w:val="nil"/>
              <w:right w:val="single" w:sz="8" w:space="0" w:color="auto"/>
            </w:tcBorders>
            <w:shd w:val="clear" w:color="auto" w:fill="auto"/>
            <w:noWrap/>
            <w:vAlign w:val="center"/>
            <w:hideMark/>
          </w:tcPr>
          <w:p w14:paraId="434E8464"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131,85</w:t>
            </w:r>
          </w:p>
        </w:tc>
        <w:tc>
          <w:tcPr>
            <w:tcW w:w="955" w:type="dxa"/>
            <w:tcBorders>
              <w:top w:val="nil"/>
              <w:left w:val="nil"/>
              <w:bottom w:val="nil"/>
              <w:right w:val="single" w:sz="8" w:space="0" w:color="auto"/>
            </w:tcBorders>
            <w:shd w:val="clear" w:color="auto" w:fill="auto"/>
            <w:vAlign w:val="center"/>
            <w:hideMark/>
          </w:tcPr>
          <w:p w14:paraId="3639B93C" w14:textId="77777777" w:rsidR="007E5CDA" w:rsidRPr="007E5CDA" w:rsidRDefault="007E5CDA" w:rsidP="007E5CDA">
            <w:pPr>
              <w:spacing w:after="0" w:line="240" w:lineRule="auto"/>
              <w:jc w:val="center"/>
              <w:rPr>
                <w:rFonts w:eastAsia="Times New Roman" w:cs="Calibri"/>
                <w:color w:val="000000"/>
                <w:sz w:val="20"/>
                <w:szCs w:val="20"/>
                <w:lang w:val="en-US"/>
              </w:rPr>
            </w:pPr>
            <w:r w:rsidRPr="007E5CDA">
              <w:rPr>
                <w:rFonts w:eastAsia="Times New Roman" w:cs="Calibri"/>
                <w:color w:val="000000"/>
                <w:sz w:val="20"/>
                <w:szCs w:val="20"/>
                <w:lang w:val="en-US"/>
              </w:rPr>
              <w:t>1,78%</w:t>
            </w:r>
          </w:p>
        </w:tc>
        <w:tc>
          <w:tcPr>
            <w:tcW w:w="222" w:type="dxa"/>
            <w:vAlign w:val="center"/>
            <w:hideMark/>
          </w:tcPr>
          <w:p w14:paraId="5F840285" w14:textId="77777777" w:rsidR="007E5CDA" w:rsidRPr="007E5CDA" w:rsidRDefault="007E5CDA" w:rsidP="007E5CDA">
            <w:pPr>
              <w:spacing w:after="0" w:line="240" w:lineRule="auto"/>
              <w:jc w:val="left"/>
              <w:rPr>
                <w:rFonts w:ascii="Times New Roman" w:eastAsia="Times New Roman" w:hAnsi="Times New Roman" w:cs="Times New Roman"/>
                <w:sz w:val="20"/>
                <w:szCs w:val="20"/>
                <w:lang w:val="en-US"/>
              </w:rPr>
            </w:pPr>
          </w:p>
        </w:tc>
      </w:tr>
      <w:tr w:rsidR="007E5CDA" w:rsidRPr="007E5CDA" w14:paraId="23BDC44A" w14:textId="77777777" w:rsidTr="007E5CDA">
        <w:trPr>
          <w:trHeight w:val="300"/>
        </w:trPr>
        <w:tc>
          <w:tcPr>
            <w:tcW w:w="841" w:type="dxa"/>
            <w:tcBorders>
              <w:top w:val="nil"/>
              <w:left w:val="single" w:sz="8" w:space="0" w:color="auto"/>
              <w:bottom w:val="nil"/>
              <w:right w:val="single" w:sz="8" w:space="0" w:color="auto"/>
            </w:tcBorders>
            <w:shd w:val="clear" w:color="auto" w:fill="auto"/>
            <w:noWrap/>
            <w:vAlign w:val="bottom"/>
            <w:hideMark/>
          </w:tcPr>
          <w:p w14:paraId="4751F89D" w14:textId="410C121D" w:rsidR="007E5CDA" w:rsidRPr="007E5CDA" w:rsidRDefault="007E5CDA" w:rsidP="007E5CDA">
            <w:pPr>
              <w:spacing w:after="0" w:line="240" w:lineRule="auto"/>
              <w:jc w:val="left"/>
              <w:rPr>
                <w:rFonts w:eastAsia="Times New Roman" w:cs="Calibri"/>
                <w:color w:val="000000"/>
                <w:sz w:val="20"/>
                <w:szCs w:val="20"/>
                <w:lang w:val="en-US"/>
              </w:rPr>
            </w:pPr>
            <w:r w:rsidRPr="007E5CDA">
              <w:rPr>
                <w:rFonts w:eastAsia="Times New Roman" w:cs="Calibri"/>
                <w:color w:val="000000"/>
                <w:sz w:val="20"/>
                <w:szCs w:val="20"/>
                <w:lang w:val="en-US"/>
              </w:rPr>
              <w:t>5.1.2.06.01.04</w:t>
            </w:r>
          </w:p>
        </w:tc>
        <w:tc>
          <w:tcPr>
            <w:tcW w:w="3357" w:type="dxa"/>
            <w:tcBorders>
              <w:top w:val="nil"/>
              <w:left w:val="nil"/>
              <w:bottom w:val="nil"/>
              <w:right w:val="single" w:sz="8" w:space="0" w:color="auto"/>
            </w:tcBorders>
            <w:shd w:val="clear" w:color="auto" w:fill="auto"/>
            <w:noWrap/>
            <w:vAlign w:val="bottom"/>
            <w:hideMark/>
          </w:tcPr>
          <w:p w14:paraId="2EBB8769" w14:textId="77777777" w:rsidR="007E5CDA" w:rsidRPr="007E5CDA" w:rsidRDefault="007E5CDA" w:rsidP="007E5CDA">
            <w:pPr>
              <w:spacing w:after="0" w:line="240" w:lineRule="auto"/>
              <w:jc w:val="left"/>
              <w:rPr>
                <w:rFonts w:eastAsia="Times New Roman" w:cs="Calibri"/>
                <w:color w:val="000000"/>
                <w:sz w:val="20"/>
                <w:szCs w:val="20"/>
                <w:lang w:val="en-US"/>
              </w:rPr>
            </w:pPr>
            <w:r w:rsidRPr="007E5CDA">
              <w:rPr>
                <w:rFonts w:eastAsia="Times New Roman" w:cs="Calibri"/>
                <w:color w:val="000000"/>
                <w:sz w:val="20"/>
                <w:szCs w:val="20"/>
                <w:lang w:val="en-US"/>
              </w:rPr>
              <w:t xml:space="preserve">Seguros voluntarios de automóviles   </w:t>
            </w:r>
          </w:p>
        </w:tc>
        <w:tc>
          <w:tcPr>
            <w:tcW w:w="1276" w:type="dxa"/>
            <w:tcBorders>
              <w:top w:val="nil"/>
              <w:left w:val="nil"/>
              <w:bottom w:val="nil"/>
              <w:right w:val="single" w:sz="8" w:space="0" w:color="auto"/>
            </w:tcBorders>
            <w:shd w:val="clear" w:color="auto" w:fill="auto"/>
            <w:noWrap/>
            <w:vAlign w:val="center"/>
            <w:hideMark/>
          </w:tcPr>
          <w:p w14:paraId="6B46A1F5" w14:textId="77777777" w:rsidR="007E5CDA" w:rsidRPr="007E5CDA" w:rsidRDefault="007E5CDA" w:rsidP="007E5CDA">
            <w:pPr>
              <w:spacing w:after="0" w:line="240" w:lineRule="auto"/>
              <w:jc w:val="right"/>
              <w:rPr>
                <w:rFonts w:eastAsia="Times New Roman" w:cs="Calibri"/>
                <w:color w:val="000000"/>
                <w:sz w:val="18"/>
                <w:szCs w:val="18"/>
                <w:lang w:val="en-US"/>
              </w:rPr>
            </w:pPr>
            <w:r w:rsidRPr="007E5CDA">
              <w:rPr>
                <w:rFonts w:eastAsia="Times New Roman" w:cs="Calibri"/>
                <w:color w:val="000000"/>
                <w:sz w:val="18"/>
                <w:szCs w:val="18"/>
                <w:lang w:val="en-US"/>
              </w:rPr>
              <w:t>24 655,18</w:t>
            </w:r>
          </w:p>
        </w:tc>
        <w:tc>
          <w:tcPr>
            <w:tcW w:w="1276" w:type="dxa"/>
            <w:tcBorders>
              <w:top w:val="nil"/>
              <w:left w:val="nil"/>
              <w:bottom w:val="nil"/>
              <w:right w:val="single" w:sz="8" w:space="0" w:color="auto"/>
            </w:tcBorders>
            <w:shd w:val="clear" w:color="auto" w:fill="auto"/>
            <w:noWrap/>
            <w:vAlign w:val="center"/>
            <w:hideMark/>
          </w:tcPr>
          <w:p w14:paraId="0FC0138A" w14:textId="77777777" w:rsidR="007E5CDA" w:rsidRPr="007E5CDA" w:rsidRDefault="007E5CDA" w:rsidP="007E5CDA">
            <w:pPr>
              <w:spacing w:after="0" w:line="240" w:lineRule="auto"/>
              <w:jc w:val="right"/>
              <w:rPr>
                <w:rFonts w:eastAsia="Times New Roman" w:cs="Calibri"/>
                <w:color w:val="000000"/>
                <w:sz w:val="18"/>
                <w:szCs w:val="18"/>
                <w:lang w:val="en-US"/>
              </w:rPr>
            </w:pPr>
            <w:r w:rsidRPr="007E5CDA">
              <w:rPr>
                <w:rFonts w:eastAsia="Times New Roman" w:cs="Calibri"/>
                <w:color w:val="000000"/>
                <w:sz w:val="18"/>
                <w:szCs w:val="18"/>
                <w:lang w:val="en-US"/>
              </w:rPr>
              <w:t>23 468,80</w:t>
            </w:r>
          </w:p>
        </w:tc>
        <w:tc>
          <w:tcPr>
            <w:tcW w:w="1134" w:type="dxa"/>
            <w:tcBorders>
              <w:top w:val="nil"/>
              <w:left w:val="nil"/>
              <w:bottom w:val="nil"/>
              <w:right w:val="single" w:sz="8" w:space="0" w:color="auto"/>
            </w:tcBorders>
            <w:shd w:val="clear" w:color="auto" w:fill="auto"/>
            <w:noWrap/>
            <w:vAlign w:val="center"/>
            <w:hideMark/>
          </w:tcPr>
          <w:p w14:paraId="56BA5F63"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1 186,38</w:t>
            </w:r>
          </w:p>
        </w:tc>
        <w:tc>
          <w:tcPr>
            <w:tcW w:w="955" w:type="dxa"/>
            <w:tcBorders>
              <w:top w:val="nil"/>
              <w:left w:val="nil"/>
              <w:bottom w:val="nil"/>
              <w:right w:val="single" w:sz="8" w:space="0" w:color="auto"/>
            </w:tcBorders>
            <w:shd w:val="clear" w:color="auto" w:fill="auto"/>
            <w:vAlign w:val="center"/>
            <w:hideMark/>
          </w:tcPr>
          <w:p w14:paraId="46EA3307" w14:textId="77777777" w:rsidR="007E5CDA" w:rsidRPr="007E5CDA" w:rsidRDefault="007E5CDA" w:rsidP="007E5CDA">
            <w:pPr>
              <w:spacing w:after="0" w:line="240" w:lineRule="auto"/>
              <w:jc w:val="center"/>
              <w:rPr>
                <w:rFonts w:eastAsia="Times New Roman" w:cs="Calibri"/>
                <w:color w:val="000000"/>
                <w:sz w:val="20"/>
                <w:szCs w:val="20"/>
                <w:lang w:val="en-US"/>
              </w:rPr>
            </w:pPr>
            <w:r w:rsidRPr="007E5CDA">
              <w:rPr>
                <w:rFonts w:eastAsia="Times New Roman" w:cs="Calibri"/>
                <w:color w:val="000000"/>
                <w:sz w:val="20"/>
                <w:szCs w:val="20"/>
                <w:lang w:val="en-US"/>
              </w:rPr>
              <w:t>5,06%</w:t>
            </w:r>
          </w:p>
        </w:tc>
        <w:tc>
          <w:tcPr>
            <w:tcW w:w="222" w:type="dxa"/>
            <w:vAlign w:val="center"/>
            <w:hideMark/>
          </w:tcPr>
          <w:p w14:paraId="21B47A1F" w14:textId="77777777" w:rsidR="007E5CDA" w:rsidRPr="007E5CDA" w:rsidRDefault="007E5CDA" w:rsidP="007E5CDA">
            <w:pPr>
              <w:spacing w:after="0" w:line="240" w:lineRule="auto"/>
              <w:jc w:val="left"/>
              <w:rPr>
                <w:rFonts w:ascii="Times New Roman" w:eastAsia="Times New Roman" w:hAnsi="Times New Roman" w:cs="Times New Roman"/>
                <w:sz w:val="20"/>
                <w:szCs w:val="20"/>
                <w:lang w:val="en-US"/>
              </w:rPr>
            </w:pPr>
          </w:p>
        </w:tc>
      </w:tr>
      <w:tr w:rsidR="007E5CDA" w:rsidRPr="007E5CDA" w14:paraId="22D5B659" w14:textId="77777777" w:rsidTr="007E5CDA">
        <w:trPr>
          <w:trHeight w:val="300"/>
        </w:trPr>
        <w:tc>
          <w:tcPr>
            <w:tcW w:w="841" w:type="dxa"/>
            <w:tcBorders>
              <w:top w:val="nil"/>
              <w:left w:val="single" w:sz="8" w:space="0" w:color="auto"/>
              <w:bottom w:val="nil"/>
              <w:right w:val="single" w:sz="8" w:space="0" w:color="auto"/>
            </w:tcBorders>
            <w:shd w:val="clear" w:color="auto" w:fill="auto"/>
            <w:noWrap/>
            <w:vAlign w:val="center"/>
            <w:hideMark/>
          </w:tcPr>
          <w:p w14:paraId="42201A3B" w14:textId="77777777" w:rsidR="007E5CDA" w:rsidRPr="007E5CDA" w:rsidRDefault="007E5CDA" w:rsidP="007E5CDA">
            <w:pPr>
              <w:spacing w:after="0" w:line="240" w:lineRule="auto"/>
              <w:jc w:val="left"/>
              <w:rPr>
                <w:rFonts w:eastAsia="Times New Roman" w:cs="Calibri"/>
                <w:b/>
                <w:bCs/>
                <w:color w:val="000000"/>
                <w:sz w:val="20"/>
                <w:szCs w:val="20"/>
                <w:lang w:val="en-US"/>
              </w:rPr>
            </w:pPr>
            <w:r w:rsidRPr="007E5CDA">
              <w:rPr>
                <w:rFonts w:eastAsia="Times New Roman" w:cs="Calibri"/>
                <w:b/>
                <w:bCs/>
                <w:color w:val="000000"/>
                <w:sz w:val="20"/>
                <w:szCs w:val="20"/>
                <w:lang w:val="en-US"/>
              </w:rPr>
              <w:t>5.1.2.07.</w:t>
            </w:r>
          </w:p>
        </w:tc>
        <w:tc>
          <w:tcPr>
            <w:tcW w:w="3357" w:type="dxa"/>
            <w:tcBorders>
              <w:top w:val="nil"/>
              <w:left w:val="nil"/>
              <w:bottom w:val="nil"/>
              <w:right w:val="single" w:sz="8" w:space="0" w:color="auto"/>
            </w:tcBorders>
            <w:shd w:val="clear" w:color="auto" w:fill="auto"/>
            <w:vAlign w:val="center"/>
            <w:hideMark/>
          </w:tcPr>
          <w:p w14:paraId="649B30FC" w14:textId="01FF85DC" w:rsidR="007E5CDA" w:rsidRPr="007E5CDA" w:rsidRDefault="007E5CDA" w:rsidP="007E5CDA">
            <w:pPr>
              <w:spacing w:after="0" w:line="240" w:lineRule="auto"/>
              <w:jc w:val="left"/>
              <w:rPr>
                <w:rFonts w:eastAsia="Times New Roman" w:cs="Calibri"/>
                <w:b/>
                <w:bCs/>
                <w:color w:val="000000"/>
                <w:sz w:val="20"/>
                <w:szCs w:val="20"/>
                <w:lang w:val="en-US"/>
              </w:rPr>
            </w:pPr>
            <w:r w:rsidRPr="007E5CDA">
              <w:rPr>
                <w:rFonts w:eastAsia="Times New Roman" w:cs="Calibri"/>
                <w:b/>
                <w:bCs/>
                <w:color w:val="000000"/>
                <w:sz w:val="20"/>
                <w:szCs w:val="20"/>
                <w:lang w:val="en-US"/>
              </w:rPr>
              <w:t xml:space="preserve">Capacitación y </w:t>
            </w:r>
            <w:r w:rsidR="00B47A6C">
              <w:rPr>
                <w:rFonts w:eastAsia="Times New Roman" w:cs="Calibri"/>
                <w:b/>
                <w:bCs/>
                <w:color w:val="000000"/>
                <w:sz w:val="20"/>
                <w:szCs w:val="20"/>
                <w:lang w:val="en-US"/>
              </w:rPr>
              <w:t>protocol</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14:paraId="30B30E70" w14:textId="77777777" w:rsidR="007E5CDA" w:rsidRPr="007E5CDA" w:rsidRDefault="007E5CDA" w:rsidP="007E5CDA">
            <w:pPr>
              <w:spacing w:after="0" w:line="240" w:lineRule="auto"/>
              <w:jc w:val="right"/>
              <w:rPr>
                <w:rFonts w:eastAsia="Times New Roman" w:cs="Calibri"/>
                <w:b/>
                <w:bCs/>
                <w:color w:val="000000"/>
                <w:sz w:val="20"/>
                <w:szCs w:val="20"/>
                <w:lang w:val="en-US"/>
              </w:rPr>
            </w:pPr>
            <w:r w:rsidRPr="007E5CDA">
              <w:rPr>
                <w:rFonts w:ascii="Arial" w:eastAsia="Times New Roman" w:hAnsi="Arial" w:cs="Arial"/>
                <w:b/>
                <w:bCs/>
                <w:color w:val="000000"/>
                <w:sz w:val="20"/>
                <w:szCs w:val="20"/>
                <w:lang w:val="en-US"/>
              </w:rPr>
              <w:t>₡</w:t>
            </w:r>
            <w:r w:rsidRPr="007E5CDA">
              <w:rPr>
                <w:rFonts w:eastAsia="Times New Roman" w:cs="Calibri"/>
                <w:b/>
                <w:bCs/>
                <w:color w:val="000000"/>
                <w:sz w:val="20"/>
                <w:szCs w:val="20"/>
                <w:lang w:val="en-US"/>
              </w:rPr>
              <w:t>10 860,00</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14:paraId="603D9ED3" w14:textId="77777777" w:rsidR="007E5CDA" w:rsidRPr="007E5CDA" w:rsidRDefault="007E5CDA" w:rsidP="007E5CDA">
            <w:pPr>
              <w:spacing w:after="0" w:line="240" w:lineRule="auto"/>
              <w:jc w:val="right"/>
              <w:rPr>
                <w:rFonts w:eastAsia="Times New Roman" w:cs="Calibri"/>
                <w:b/>
                <w:bCs/>
                <w:color w:val="000000"/>
                <w:sz w:val="20"/>
                <w:szCs w:val="20"/>
                <w:lang w:val="en-US"/>
              </w:rPr>
            </w:pPr>
            <w:r w:rsidRPr="007E5CDA">
              <w:rPr>
                <w:rFonts w:ascii="Arial" w:eastAsia="Times New Roman" w:hAnsi="Arial" w:cs="Arial"/>
                <w:b/>
                <w:bCs/>
                <w:color w:val="000000"/>
                <w:sz w:val="20"/>
                <w:szCs w:val="20"/>
                <w:lang w:val="en-US"/>
              </w:rPr>
              <w:t>₡</w:t>
            </w:r>
            <w:r w:rsidRPr="007E5CDA">
              <w:rPr>
                <w:rFonts w:eastAsia="Times New Roman" w:cs="Calibri"/>
                <w:b/>
                <w:bCs/>
                <w:color w:val="000000"/>
                <w:sz w:val="20"/>
                <w:szCs w:val="20"/>
                <w:lang w:val="en-US"/>
              </w:rPr>
              <w:t>0,00</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14:paraId="3702F113" w14:textId="77777777" w:rsidR="007E5CDA" w:rsidRPr="007E5CDA" w:rsidRDefault="007E5CDA" w:rsidP="007E5CDA">
            <w:pPr>
              <w:spacing w:after="0" w:line="240" w:lineRule="auto"/>
              <w:jc w:val="right"/>
              <w:rPr>
                <w:rFonts w:eastAsia="Times New Roman" w:cs="Calibri"/>
                <w:b/>
                <w:bCs/>
                <w:color w:val="000000"/>
                <w:sz w:val="20"/>
                <w:szCs w:val="20"/>
                <w:lang w:val="en-US"/>
              </w:rPr>
            </w:pPr>
            <w:r w:rsidRPr="007E5CDA">
              <w:rPr>
                <w:rFonts w:ascii="Arial" w:eastAsia="Times New Roman" w:hAnsi="Arial" w:cs="Arial"/>
                <w:b/>
                <w:bCs/>
                <w:color w:val="000000"/>
                <w:sz w:val="20"/>
                <w:szCs w:val="20"/>
                <w:lang w:val="en-US"/>
              </w:rPr>
              <w:t>₡</w:t>
            </w:r>
            <w:r w:rsidRPr="007E5CDA">
              <w:rPr>
                <w:rFonts w:eastAsia="Times New Roman" w:cs="Calibri"/>
                <w:b/>
                <w:bCs/>
                <w:color w:val="000000"/>
                <w:sz w:val="20"/>
                <w:szCs w:val="20"/>
                <w:lang w:val="en-US"/>
              </w:rPr>
              <w:t>10 860,00</w:t>
            </w:r>
          </w:p>
        </w:tc>
        <w:tc>
          <w:tcPr>
            <w:tcW w:w="955" w:type="dxa"/>
            <w:tcBorders>
              <w:top w:val="single" w:sz="8" w:space="0" w:color="auto"/>
              <w:left w:val="nil"/>
              <w:bottom w:val="single" w:sz="8" w:space="0" w:color="auto"/>
              <w:right w:val="single" w:sz="8" w:space="0" w:color="auto"/>
            </w:tcBorders>
            <w:shd w:val="clear" w:color="auto" w:fill="auto"/>
            <w:vAlign w:val="center"/>
            <w:hideMark/>
          </w:tcPr>
          <w:p w14:paraId="06E73960" w14:textId="77777777" w:rsidR="007E5CDA" w:rsidRPr="007E5CDA" w:rsidRDefault="007E5CDA" w:rsidP="007E5CDA">
            <w:pPr>
              <w:spacing w:after="0" w:line="240" w:lineRule="auto"/>
              <w:jc w:val="center"/>
              <w:rPr>
                <w:rFonts w:eastAsia="Times New Roman" w:cs="Calibri"/>
                <w:b/>
                <w:bCs/>
                <w:color w:val="000000"/>
                <w:sz w:val="20"/>
                <w:szCs w:val="20"/>
                <w:lang w:val="en-US"/>
              </w:rPr>
            </w:pPr>
            <w:r w:rsidRPr="007E5CDA">
              <w:rPr>
                <w:rFonts w:eastAsia="Times New Roman" w:cs="Calibri"/>
                <w:b/>
                <w:bCs/>
                <w:color w:val="000000"/>
                <w:sz w:val="20"/>
                <w:szCs w:val="20"/>
                <w:lang w:val="en-US"/>
              </w:rPr>
              <w:t>#DIV/0!</w:t>
            </w:r>
          </w:p>
        </w:tc>
        <w:tc>
          <w:tcPr>
            <w:tcW w:w="222" w:type="dxa"/>
            <w:vAlign w:val="center"/>
            <w:hideMark/>
          </w:tcPr>
          <w:p w14:paraId="6F90D8AF" w14:textId="77777777" w:rsidR="007E5CDA" w:rsidRPr="007E5CDA" w:rsidRDefault="007E5CDA" w:rsidP="007E5CDA">
            <w:pPr>
              <w:spacing w:after="0" w:line="240" w:lineRule="auto"/>
              <w:jc w:val="left"/>
              <w:rPr>
                <w:rFonts w:ascii="Times New Roman" w:eastAsia="Times New Roman" w:hAnsi="Times New Roman" w:cs="Times New Roman"/>
                <w:sz w:val="20"/>
                <w:szCs w:val="20"/>
                <w:lang w:val="en-US"/>
              </w:rPr>
            </w:pPr>
          </w:p>
        </w:tc>
      </w:tr>
      <w:tr w:rsidR="007E5CDA" w:rsidRPr="007E5CDA" w14:paraId="6A8DC221" w14:textId="77777777" w:rsidTr="007E5CDA">
        <w:trPr>
          <w:trHeight w:val="290"/>
        </w:trPr>
        <w:tc>
          <w:tcPr>
            <w:tcW w:w="841" w:type="dxa"/>
            <w:tcBorders>
              <w:top w:val="nil"/>
              <w:left w:val="single" w:sz="8" w:space="0" w:color="auto"/>
              <w:bottom w:val="nil"/>
              <w:right w:val="single" w:sz="8" w:space="0" w:color="auto"/>
            </w:tcBorders>
            <w:shd w:val="clear" w:color="000000" w:fill="FFFFFF"/>
            <w:noWrap/>
            <w:vAlign w:val="bottom"/>
            <w:hideMark/>
          </w:tcPr>
          <w:p w14:paraId="7BC14913" w14:textId="77777777" w:rsidR="007E5CDA" w:rsidRPr="007E5CDA" w:rsidRDefault="007E5CDA" w:rsidP="007E5CDA">
            <w:pPr>
              <w:spacing w:after="0" w:line="240" w:lineRule="auto"/>
              <w:jc w:val="left"/>
              <w:rPr>
                <w:rFonts w:eastAsia="Times New Roman" w:cs="Calibri"/>
                <w:color w:val="000000"/>
                <w:sz w:val="20"/>
                <w:szCs w:val="20"/>
                <w:lang w:val="en-US"/>
              </w:rPr>
            </w:pPr>
            <w:r w:rsidRPr="007E5CDA">
              <w:rPr>
                <w:rFonts w:eastAsia="Times New Roman" w:cs="Calibri"/>
                <w:color w:val="000000"/>
                <w:sz w:val="20"/>
                <w:szCs w:val="20"/>
                <w:lang w:val="en-US"/>
              </w:rPr>
              <w:t>5.1.2.07.01</w:t>
            </w:r>
          </w:p>
        </w:tc>
        <w:tc>
          <w:tcPr>
            <w:tcW w:w="3357" w:type="dxa"/>
            <w:tcBorders>
              <w:top w:val="nil"/>
              <w:left w:val="nil"/>
              <w:bottom w:val="nil"/>
              <w:right w:val="single" w:sz="8" w:space="0" w:color="auto"/>
            </w:tcBorders>
            <w:shd w:val="clear" w:color="auto" w:fill="auto"/>
            <w:vAlign w:val="center"/>
            <w:hideMark/>
          </w:tcPr>
          <w:p w14:paraId="411D4873" w14:textId="77777777" w:rsidR="007E5CDA" w:rsidRPr="007E5CDA" w:rsidRDefault="007E5CDA" w:rsidP="007E5CDA">
            <w:pPr>
              <w:spacing w:after="0" w:line="240" w:lineRule="auto"/>
              <w:jc w:val="left"/>
              <w:rPr>
                <w:rFonts w:eastAsia="Times New Roman" w:cs="Calibri"/>
                <w:color w:val="000000"/>
                <w:sz w:val="20"/>
                <w:szCs w:val="20"/>
                <w:lang w:val="en-US"/>
              </w:rPr>
            </w:pPr>
            <w:r w:rsidRPr="007E5CDA">
              <w:rPr>
                <w:rFonts w:eastAsia="Times New Roman" w:cs="Calibri"/>
                <w:color w:val="000000"/>
                <w:sz w:val="20"/>
                <w:szCs w:val="20"/>
                <w:lang w:val="en-US"/>
              </w:rPr>
              <w:t>Actividades de capacitación</w:t>
            </w:r>
          </w:p>
        </w:tc>
        <w:tc>
          <w:tcPr>
            <w:tcW w:w="1276" w:type="dxa"/>
            <w:tcBorders>
              <w:top w:val="nil"/>
              <w:left w:val="nil"/>
              <w:bottom w:val="nil"/>
              <w:right w:val="single" w:sz="8" w:space="0" w:color="auto"/>
            </w:tcBorders>
            <w:shd w:val="clear" w:color="auto" w:fill="auto"/>
            <w:noWrap/>
            <w:vAlign w:val="center"/>
            <w:hideMark/>
          </w:tcPr>
          <w:p w14:paraId="1B714902"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4 860,00</w:t>
            </w:r>
          </w:p>
        </w:tc>
        <w:tc>
          <w:tcPr>
            <w:tcW w:w="1276" w:type="dxa"/>
            <w:tcBorders>
              <w:top w:val="nil"/>
              <w:left w:val="nil"/>
              <w:bottom w:val="nil"/>
              <w:right w:val="single" w:sz="8" w:space="0" w:color="auto"/>
            </w:tcBorders>
            <w:shd w:val="clear" w:color="auto" w:fill="auto"/>
            <w:noWrap/>
            <w:vAlign w:val="center"/>
            <w:hideMark/>
          </w:tcPr>
          <w:p w14:paraId="640A9469"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0,00</w:t>
            </w:r>
          </w:p>
        </w:tc>
        <w:tc>
          <w:tcPr>
            <w:tcW w:w="1134" w:type="dxa"/>
            <w:tcBorders>
              <w:top w:val="nil"/>
              <w:left w:val="nil"/>
              <w:bottom w:val="nil"/>
              <w:right w:val="single" w:sz="8" w:space="0" w:color="auto"/>
            </w:tcBorders>
            <w:shd w:val="clear" w:color="auto" w:fill="auto"/>
            <w:noWrap/>
            <w:vAlign w:val="center"/>
            <w:hideMark/>
          </w:tcPr>
          <w:p w14:paraId="04EC7350"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4 860,00</w:t>
            </w:r>
          </w:p>
        </w:tc>
        <w:tc>
          <w:tcPr>
            <w:tcW w:w="955" w:type="dxa"/>
            <w:tcBorders>
              <w:top w:val="nil"/>
              <w:left w:val="nil"/>
              <w:bottom w:val="nil"/>
              <w:right w:val="single" w:sz="8" w:space="0" w:color="auto"/>
            </w:tcBorders>
            <w:shd w:val="clear" w:color="auto" w:fill="auto"/>
            <w:vAlign w:val="center"/>
            <w:hideMark/>
          </w:tcPr>
          <w:p w14:paraId="7E107E81" w14:textId="77777777" w:rsidR="007E5CDA" w:rsidRPr="007E5CDA" w:rsidRDefault="007E5CDA" w:rsidP="007E5CDA">
            <w:pPr>
              <w:spacing w:after="0" w:line="240" w:lineRule="auto"/>
              <w:jc w:val="center"/>
              <w:rPr>
                <w:rFonts w:eastAsia="Times New Roman" w:cs="Calibri"/>
                <w:b/>
                <w:bCs/>
                <w:color w:val="000000"/>
                <w:sz w:val="20"/>
                <w:szCs w:val="20"/>
                <w:lang w:val="en-US"/>
              </w:rPr>
            </w:pPr>
            <w:r w:rsidRPr="007E5CDA">
              <w:rPr>
                <w:rFonts w:eastAsia="Times New Roman" w:cs="Calibri"/>
                <w:b/>
                <w:bCs/>
                <w:color w:val="000000"/>
                <w:sz w:val="20"/>
                <w:szCs w:val="20"/>
                <w:lang w:val="en-US"/>
              </w:rPr>
              <w:t>#DIV/0!</w:t>
            </w:r>
          </w:p>
        </w:tc>
        <w:tc>
          <w:tcPr>
            <w:tcW w:w="222" w:type="dxa"/>
            <w:vAlign w:val="center"/>
            <w:hideMark/>
          </w:tcPr>
          <w:p w14:paraId="59D20EC7" w14:textId="77777777" w:rsidR="007E5CDA" w:rsidRPr="007E5CDA" w:rsidRDefault="007E5CDA" w:rsidP="007E5CDA">
            <w:pPr>
              <w:spacing w:after="0" w:line="240" w:lineRule="auto"/>
              <w:jc w:val="left"/>
              <w:rPr>
                <w:rFonts w:ascii="Times New Roman" w:eastAsia="Times New Roman" w:hAnsi="Times New Roman" w:cs="Times New Roman"/>
                <w:sz w:val="20"/>
                <w:szCs w:val="20"/>
                <w:lang w:val="en-US"/>
              </w:rPr>
            </w:pPr>
          </w:p>
        </w:tc>
      </w:tr>
      <w:tr w:rsidR="007E5CDA" w:rsidRPr="007E5CDA" w14:paraId="28D08BCF" w14:textId="77777777" w:rsidTr="007E5CDA">
        <w:trPr>
          <w:trHeight w:val="300"/>
        </w:trPr>
        <w:tc>
          <w:tcPr>
            <w:tcW w:w="841" w:type="dxa"/>
            <w:tcBorders>
              <w:top w:val="nil"/>
              <w:left w:val="single" w:sz="8" w:space="0" w:color="auto"/>
              <w:bottom w:val="nil"/>
              <w:right w:val="single" w:sz="8" w:space="0" w:color="auto"/>
            </w:tcBorders>
            <w:shd w:val="clear" w:color="000000" w:fill="FFFFFF"/>
            <w:noWrap/>
            <w:vAlign w:val="bottom"/>
            <w:hideMark/>
          </w:tcPr>
          <w:p w14:paraId="5B5D6406" w14:textId="77777777" w:rsidR="007E5CDA" w:rsidRPr="007E5CDA" w:rsidRDefault="007E5CDA" w:rsidP="007E5CDA">
            <w:pPr>
              <w:spacing w:after="0" w:line="240" w:lineRule="auto"/>
              <w:jc w:val="left"/>
              <w:rPr>
                <w:rFonts w:eastAsia="Times New Roman" w:cs="Calibri"/>
                <w:color w:val="000000"/>
                <w:sz w:val="20"/>
                <w:szCs w:val="20"/>
                <w:lang w:val="en-US"/>
              </w:rPr>
            </w:pPr>
            <w:r w:rsidRPr="007E5CDA">
              <w:rPr>
                <w:rFonts w:eastAsia="Times New Roman" w:cs="Calibri"/>
                <w:color w:val="000000"/>
                <w:sz w:val="20"/>
                <w:szCs w:val="20"/>
                <w:lang w:val="en-US"/>
              </w:rPr>
              <w:t>5.1.2.07.02.</w:t>
            </w:r>
          </w:p>
        </w:tc>
        <w:tc>
          <w:tcPr>
            <w:tcW w:w="3357" w:type="dxa"/>
            <w:tcBorders>
              <w:top w:val="nil"/>
              <w:left w:val="nil"/>
              <w:bottom w:val="nil"/>
              <w:right w:val="single" w:sz="8" w:space="0" w:color="auto"/>
            </w:tcBorders>
            <w:shd w:val="clear" w:color="000000" w:fill="FFFFFF"/>
            <w:noWrap/>
            <w:vAlign w:val="bottom"/>
            <w:hideMark/>
          </w:tcPr>
          <w:p w14:paraId="28D31392" w14:textId="77777777" w:rsidR="007E5CDA" w:rsidRPr="007E5CDA" w:rsidRDefault="007E5CDA" w:rsidP="007E5CDA">
            <w:pPr>
              <w:spacing w:after="0" w:line="240" w:lineRule="auto"/>
              <w:jc w:val="left"/>
              <w:rPr>
                <w:rFonts w:eastAsia="Times New Roman" w:cs="Calibri"/>
                <w:color w:val="000000"/>
                <w:sz w:val="20"/>
                <w:szCs w:val="20"/>
                <w:lang w:val="en-US"/>
              </w:rPr>
            </w:pPr>
            <w:r w:rsidRPr="007E5CDA">
              <w:rPr>
                <w:rFonts w:eastAsia="Times New Roman" w:cs="Calibri"/>
                <w:color w:val="000000"/>
                <w:sz w:val="20"/>
                <w:szCs w:val="20"/>
                <w:lang w:val="en-US"/>
              </w:rPr>
              <w:t>Actividades protocolarias y sociales</w:t>
            </w:r>
          </w:p>
        </w:tc>
        <w:tc>
          <w:tcPr>
            <w:tcW w:w="1276" w:type="dxa"/>
            <w:tcBorders>
              <w:top w:val="nil"/>
              <w:left w:val="nil"/>
              <w:bottom w:val="nil"/>
              <w:right w:val="single" w:sz="8" w:space="0" w:color="auto"/>
            </w:tcBorders>
            <w:shd w:val="clear" w:color="auto" w:fill="auto"/>
            <w:noWrap/>
            <w:vAlign w:val="center"/>
            <w:hideMark/>
          </w:tcPr>
          <w:p w14:paraId="44A29644"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6 000,00</w:t>
            </w:r>
          </w:p>
        </w:tc>
        <w:tc>
          <w:tcPr>
            <w:tcW w:w="1276" w:type="dxa"/>
            <w:tcBorders>
              <w:top w:val="nil"/>
              <w:left w:val="nil"/>
              <w:bottom w:val="nil"/>
              <w:right w:val="single" w:sz="8" w:space="0" w:color="auto"/>
            </w:tcBorders>
            <w:shd w:val="clear" w:color="auto" w:fill="auto"/>
            <w:noWrap/>
            <w:vAlign w:val="center"/>
            <w:hideMark/>
          </w:tcPr>
          <w:p w14:paraId="2C6B7A75"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0,00</w:t>
            </w:r>
          </w:p>
        </w:tc>
        <w:tc>
          <w:tcPr>
            <w:tcW w:w="1134" w:type="dxa"/>
            <w:tcBorders>
              <w:top w:val="nil"/>
              <w:left w:val="nil"/>
              <w:bottom w:val="nil"/>
              <w:right w:val="single" w:sz="8" w:space="0" w:color="auto"/>
            </w:tcBorders>
            <w:shd w:val="clear" w:color="auto" w:fill="auto"/>
            <w:noWrap/>
            <w:vAlign w:val="center"/>
            <w:hideMark/>
          </w:tcPr>
          <w:p w14:paraId="3245A67B"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6 000,00</w:t>
            </w:r>
          </w:p>
        </w:tc>
        <w:tc>
          <w:tcPr>
            <w:tcW w:w="955" w:type="dxa"/>
            <w:tcBorders>
              <w:top w:val="nil"/>
              <w:left w:val="nil"/>
              <w:bottom w:val="nil"/>
              <w:right w:val="single" w:sz="8" w:space="0" w:color="auto"/>
            </w:tcBorders>
            <w:shd w:val="clear" w:color="auto" w:fill="auto"/>
            <w:vAlign w:val="center"/>
            <w:hideMark/>
          </w:tcPr>
          <w:p w14:paraId="35109D91" w14:textId="77777777" w:rsidR="007E5CDA" w:rsidRPr="007E5CDA" w:rsidRDefault="007E5CDA" w:rsidP="007E5CDA">
            <w:pPr>
              <w:spacing w:after="0" w:line="240" w:lineRule="auto"/>
              <w:jc w:val="center"/>
              <w:rPr>
                <w:rFonts w:eastAsia="Times New Roman" w:cs="Calibri"/>
                <w:color w:val="000000"/>
                <w:sz w:val="20"/>
                <w:szCs w:val="20"/>
                <w:lang w:val="en-US"/>
              </w:rPr>
            </w:pPr>
            <w:r w:rsidRPr="007E5CDA">
              <w:rPr>
                <w:rFonts w:eastAsia="Times New Roman" w:cs="Calibri"/>
                <w:color w:val="000000"/>
                <w:sz w:val="20"/>
                <w:szCs w:val="20"/>
                <w:lang w:val="en-US"/>
              </w:rPr>
              <w:t>#DIV/0!</w:t>
            </w:r>
          </w:p>
        </w:tc>
        <w:tc>
          <w:tcPr>
            <w:tcW w:w="222" w:type="dxa"/>
            <w:vAlign w:val="center"/>
            <w:hideMark/>
          </w:tcPr>
          <w:p w14:paraId="59799832" w14:textId="77777777" w:rsidR="007E5CDA" w:rsidRPr="007E5CDA" w:rsidRDefault="007E5CDA" w:rsidP="007E5CDA">
            <w:pPr>
              <w:spacing w:after="0" w:line="240" w:lineRule="auto"/>
              <w:jc w:val="left"/>
              <w:rPr>
                <w:rFonts w:ascii="Times New Roman" w:eastAsia="Times New Roman" w:hAnsi="Times New Roman" w:cs="Times New Roman"/>
                <w:sz w:val="20"/>
                <w:szCs w:val="20"/>
                <w:lang w:val="en-US"/>
              </w:rPr>
            </w:pPr>
          </w:p>
        </w:tc>
      </w:tr>
      <w:tr w:rsidR="007E5CDA" w:rsidRPr="007E5CDA" w14:paraId="712F60AB" w14:textId="77777777" w:rsidTr="007E5CDA">
        <w:trPr>
          <w:trHeight w:val="300"/>
        </w:trPr>
        <w:tc>
          <w:tcPr>
            <w:tcW w:w="841" w:type="dxa"/>
            <w:tcBorders>
              <w:top w:val="nil"/>
              <w:left w:val="single" w:sz="8" w:space="0" w:color="auto"/>
              <w:bottom w:val="nil"/>
              <w:right w:val="single" w:sz="8" w:space="0" w:color="auto"/>
            </w:tcBorders>
            <w:shd w:val="clear" w:color="auto" w:fill="auto"/>
            <w:noWrap/>
            <w:vAlign w:val="center"/>
            <w:hideMark/>
          </w:tcPr>
          <w:p w14:paraId="63904F47" w14:textId="77777777" w:rsidR="007E5CDA" w:rsidRPr="007E5CDA" w:rsidRDefault="007E5CDA" w:rsidP="007E5CDA">
            <w:pPr>
              <w:spacing w:after="0" w:line="240" w:lineRule="auto"/>
              <w:jc w:val="left"/>
              <w:rPr>
                <w:rFonts w:eastAsia="Times New Roman" w:cs="Calibri"/>
                <w:b/>
                <w:bCs/>
                <w:color w:val="000000"/>
                <w:sz w:val="20"/>
                <w:szCs w:val="20"/>
                <w:lang w:val="en-US"/>
              </w:rPr>
            </w:pPr>
            <w:r w:rsidRPr="007E5CDA">
              <w:rPr>
                <w:rFonts w:eastAsia="Times New Roman" w:cs="Calibri"/>
                <w:b/>
                <w:bCs/>
                <w:color w:val="000000"/>
                <w:sz w:val="20"/>
                <w:szCs w:val="20"/>
                <w:lang w:val="en-US"/>
              </w:rPr>
              <w:t>5.1.2.08.</w:t>
            </w:r>
          </w:p>
        </w:tc>
        <w:tc>
          <w:tcPr>
            <w:tcW w:w="3357" w:type="dxa"/>
            <w:tcBorders>
              <w:top w:val="nil"/>
              <w:left w:val="nil"/>
              <w:bottom w:val="nil"/>
              <w:right w:val="single" w:sz="8" w:space="0" w:color="auto"/>
            </w:tcBorders>
            <w:shd w:val="clear" w:color="auto" w:fill="auto"/>
            <w:vAlign w:val="center"/>
            <w:hideMark/>
          </w:tcPr>
          <w:p w14:paraId="323E30C8" w14:textId="77777777" w:rsidR="007E5CDA" w:rsidRPr="007E5CDA" w:rsidRDefault="007E5CDA" w:rsidP="007E5CDA">
            <w:pPr>
              <w:spacing w:after="0" w:line="240" w:lineRule="auto"/>
              <w:jc w:val="left"/>
              <w:rPr>
                <w:rFonts w:eastAsia="Times New Roman" w:cs="Calibri"/>
                <w:b/>
                <w:bCs/>
                <w:color w:val="000000"/>
                <w:sz w:val="20"/>
                <w:szCs w:val="20"/>
                <w:lang w:val="en-US"/>
              </w:rPr>
            </w:pPr>
            <w:r w:rsidRPr="007E5CDA">
              <w:rPr>
                <w:rFonts w:eastAsia="Times New Roman" w:cs="Calibri"/>
                <w:b/>
                <w:bCs/>
                <w:color w:val="000000"/>
                <w:sz w:val="20"/>
                <w:szCs w:val="20"/>
                <w:lang w:val="en-US"/>
              </w:rPr>
              <w:t>Mantenimiento y reparaciones</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14:paraId="16E24845" w14:textId="77777777" w:rsidR="007E5CDA" w:rsidRPr="007E5CDA" w:rsidRDefault="007E5CDA" w:rsidP="007E5CDA">
            <w:pPr>
              <w:spacing w:after="0" w:line="240" w:lineRule="auto"/>
              <w:ind w:left="-62"/>
              <w:jc w:val="right"/>
              <w:rPr>
                <w:rFonts w:eastAsia="Times New Roman" w:cs="Calibri"/>
                <w:b/>
                <w:bCs/>
                <w:color w:val="000000"/>
                <w:sz w:val="20"/>
                <w:szCs w:val="20"/>
                <w:lang w:val="en-US"/>
              </w:rPr>
            </w:pPr>
            <w:r w:rsidRPr="007E5CDA">
              <w:rPr>
                <w:rFonts w:ascii="Arial" w:eastAsia="Times New Roman" w:hAnsi="Arial" w:cs="Arial"/>
                <w:b/>
                <w:bCs/>
                <w:color w:val="000000"/>
                <w:sz w:val="20"/>
                <w:szCs w:val="20"/>
                <w:lang w:val="en-US"/>
              </w:rPr>
              <w:t>₡</w:t>
            </w:r>
            <w:r w:rsidRPr="007E5CDA">
              <w:rPr>
                <w:rFonts w:eastAsia="Times New Roman" w:cs="Calibri"/>
                <w:b/>
                <w:bCs/>
                <w:color w:val="000000"/>
                <w:sz w:val="20"/>
                <w:szCs w:val="20"/>
                <w:lang w:val="en-US"/>
              </w:rPr>
              <w:t>1 133 264,15</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14:paraId="01FB29DB" w14:textId="77777777" w:rsidR="007E5CDA" w:rsidRPr="007E5CDA" w:rsidRDefault="007E5CDA" w:rsidP="007E5CDA">
            <w:pPr>
              <w:spacing w:after="0" w:line="240" w:lineRule="auto"/>
              <w:ind w:left="-202"/>
              <w:jc w:val="right"/>
              <w:rPr>
                <w:rFonts w:eastAsia="Times New Roman" w:cs="Calibri"/>
                <w:b/>
                <w:bCs/>
                <w:color w:val="000000"/>
                <w:sz w:val="20"/>
                <w:szCs w:val="20"/>
                <w:lang w:val="en-US"/>
              </w:rPr>
            </w:pPr>
            <w:r w:rsidRPr="007E5CDA">
              <w:rPr>
                <w:rFonts w:ascii="Arial" w:eastAsia="Times New Roman" w:hAnsi="Arial" w:cs="Arial"/>
                <w:b/>
                <w:bCs/>
                <w:color w:val="000000"/>
                <w:sz w:val="20"/>
                <w:szCs w:val="20"/>
                <w:lang w:val="en-US"/>
              </w:rPr>
              <w:t>₡</w:t>
            </w:r>
            <w:r w:rsidRPr="007E5CDA">
              <w:rPr>
                <w:rFonts w:eastAsia="Times New Roman" w:cs="Calibri"/>
                <w:b/>
                <w:bCs/>
                <w:color w:val="000000"/>
                <w:sz w:val="20"/>
                <w:szCs w:val="20"/>
                <w:lang w:val="en-US"/>
              </w:rPr>
              <w:t>1 601 844,14</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14:paraId="1B815F2C" w14:textId="77777777" w:rsidR="007E5CDA" w:rsidRPr="007E5CDA" w:rsidRDefault="007E5CDA" w:rsidP="007E5CDA">
            <w:pPr>
              <w:spacing w:after="0" w:line="240" w:lineRule="auto"/>
              <w:ind w:left="-200"/>
              <w:jc w:val="right"/>
              <w:rPr>
                <w:rFonts w:eastAsia="Times New Roman" w:cs="Calibri"/>
                <w:b/>
                <w:bCs/>
                <w:color w:val="000000"/>
                <w:sz w:val="20"/>
                <w:szCs w:val="20"/>
                <w:lang w:val="en-US"/>
              </w:rPr>
            </w:pPr>
            <w:r w:rsidRPr="007E5CDA">
              <w:rPr>
                <w:rFonts w:eastAsia="Times New Roman" w:cs="Calibri"/>
                <w:b/>
                <w:bCs/>
                <w:color w:val="000000"/>
                <w:sz w:val="20"/>
                <w:szCs w:val="20"/>
                <w:lang w:val="en-US"/>
              </w:rPr>
              <w:t>-</w:t>
            </w:r>
            <w:r w:rsidRPr="007E5CDA">
              <w:rPr>
                <w:rFonts w:ascii="Arial" w:eastAsia="Times New Roman" w:hAnsi="Arial" w:cs="Arial"/>
                <w:b/>
                <w:bCs/>
                <w:color w:val="000000"/>
                <w:sz w:val="20"/>
                <w:szCs w:val="20"/>
                <w:lang w:val="en-US"/>
              </w:rPr>
              <w:t>₡</w:t>
            </w:r>
            <w:r w:rsidRPr="007E5CDA">
              <w:rPr>
                <w:rFonts w:eastAsia="Times New Roman" w:cs="Calibri"/>
                <w:b/>
                <w:bCs/>
                <w:color w:val="000000"/>
                <w:sz w:val="20"/>
                <w:szCs w:val="20"/>
                <w:lang w:val="en-US"/>
              </w:rPr>
              <w:t>468 579,99</w:t>
            </w:r>
          </w:p>
        </w:tc>
        <w:tc>
          <w:tcPr>
            <w:tcW w:w="955" w:type="dxa"/>
            <w:tcBorders>
              <w:top w:val="single" w:sz="8" w:space="0" w:color="auto"/>
              <w:left w:val="nil"/>
              <w:bottom w:val="single" w:sz="8" w:space="0" w:color="auto"/>
              <w:right w:val="single" w:sz="8" w:space="0" w:color="auto"/>
            </w:tcBorders>
            <w:shd w:val="clear" w:color="auto" w:fill="auto"/>
            <w:vAlign w:val="center"/>
            <w:hideMark/>
          </w:tcPr>
          <w:p w14:paraId="4D2CDFB2" w14:textId="77777777" w:rsidR="007E5CDA" w:rsidRPr="007E5CDA" w:rsidRDefault="007E5CDA" w:rsidP="007E5CDA">
            <w:pPr>
              <w:spacing w:after="0" w:line="240" w:lineRule="auto"/>
              <w:jc w:val="center"/>
              <w:rPr>
                <w:rFonts w:eastAsia="Times New Roman" w:cs="Calibri"/>
                <w:b/>
                <w:bCs/>
                <w:color w:val="000000"/>
                <w:sz w:val="20"/>
                <w:szCs w:val="20"/>
                <w:lang w:val="en-US"/>
              </w:rPr>
            </w:pPr>
            <w:r w:rsidRPr="007E5CDA">
              <w:rPr>
                <w:rFonts w:eastAsia="Times New Roman" w:cs="Calibri"/>
                <w:b/>
                <w:bCs/>
                <w:color w:val="000000"/>
                <w:sz w:val="20"/>
                <w:szCs w:val="20"/>
                <w:lang w:val="en-US"/>
              </w:rPr>
              <w:t>-29,25%</w:t>
            </w:r>
          </w:p>
        </w:tc>
        <w:tc>
          <w:tcPr>
            <w:tcW w:w="222" w:type="dxa"/>
            <w:vAlign w:val="center"/>
            <w:hideMark/>
          </w:tcPr>
          <w:p w14:paraId="4D8E8FCC" w14:textId="77777777" w:rsidR="007E5CDA" w:rsidRPr="007E5CDA" w:rsidRDefault="007E5CDA" w:rsidP="007E5CDA">
            <w:pPr>
              <w:spacing w:after="0" w:line="240" w:lineRule="auto"/>
              <w:jc w:val="left"/>
              <w:rPr>
                <w:rFonts w:ascii="Times New Roman" w:eastAsia="Times New Roman" w:hAnsi="Times New Roman" w:cs="Times New Roman"/>
                <w:sz w:val="20"/>
                <w:szCs w:val="20"/>
                <w:lang w:val="en-US"/>
              </w:rPr>
            </w:pPr>
          </w:p>
        </w:tc>
      </w:tr>
      <w:tr w:rsidR="007E5CDA" w:rsidRPr="007E5CDA" w14:paraId="17F03207" w14:textId="77777777" w:rsidTr="007E5CDA">
        <w:trPr>
          <w:trHeight w:val="290"/>
        </w:trPr>
        <w:tc>
          <w:tcPr>
            <w:tcW w:w="841" w:type="dxa"/>
            <w:tcBorders>
              <w:top w:val="nil"/>
              <w:left w:val="single" w:sz="8" w:space="0" w:color="auto"/>
              <w:bottom w:val="nil"/>
              <w:right w:val="single" w:sz="8" w:space="0" w:color="auto"/>
            </w:tcBorders>
            <w:shd w:val="clear" w:color="auto" w:fill="auto"/>
            <w:noWrap/>
            <w:vAlign w:val="bottom"/>
            <w:hideMark/>
          </w:tcPr>
          <w:p w14:paraId="419C7EFA" w14:textId="77777777" w:rsidR="007E5CDA" w:rsidRPr="007E5CDA" w:rsidRDefault="007E5CDA" w:rsidP="007E5CDA">
            <w:pPr>
              <w:spacing w:after="0" w:line="240" w:lineRule="auto"/>
              <w:jc w:val="left"/>
              <w:rPr>
                <w:rFonts w:eastAsia="Times New Roman" w:cs="Calibri"/>
                <w:color w:val="000000"/>
                <w:sz w:val="20"/>
                <w:szCs w:val="20"/>
                <w:lang w:val="en-US"/>
              </w:rPr>
            </w:pPr>
            <w:r w:rsidRPr="007E5CDA">
              <w:rPr>
                <w:rFonts w:eastAsia="Times New Roman" w:cs="Calibri"/>
                <w:color w:val="000000"/>
                <w:sz w:val="20"/>
                <w:szCs w:val="20"/>
                <w:lang w:val="en-US"/>
              </w:rPr>
              <w:t>5.1.2.08.01.</w:t>
            </w:r>
          </w:p>
        </w:tc>
        <w:tc>
          <w:tcPr>
            <w:tcW w:w="3357" w:type="dxa"/>
            <w:tcBorders>
              <w:top w:val="nil"/>
              <w:left w:val="nil"/>
              <w:bottom w:val="nil"/>
              <w:right w:val="single" w:sz="8" w:space="0" w:color="auto"/>
            </w:tcBorders>
            <w:shd w:val="clear" w:color="000000" w:fill="FFFFFF"/>
            <w:noWrap/>
            <w:vAlign w:val="bottom"/>
            <w:hideMark/>
          </w:tcPr>
          <w:p w14:paraId="2BC0043B" w14:textId="77777777" w:rsidR="007E5CDA" w:rsidRPr="007E5CDA" w:rsidRDefault="007E5CDA" w:rsidP="007E5CDA">
            <w:pPr>
              <w:spacing w:after="0" w:line="240" w:lineRule="auto"/>
              <w:jc w:val="left"/>
              <w:rPr>
                <w:rFonts w:eastAsia="Times New Roman" w:cs="Calibri"/>
                <w:color w:val="000000"/>
                <w:sz w:val="20"/>
                <w:szCs w:val="20"/>
                <w:lang w:val="en-US"/>
              </w:rPr>
            </w:pPr>
            <w:r w:rsidRPr="007E5CDA">
              <w:rPr>
                <w:rFonts w:eastAsia="Times New Roman" w:cs="Calibri"/>
                <w:color w:val="000000"/>
                <w:sz w:val="20"/>
                <w:szCs w:val="20"/>
                <w:lang w:val="en-US"/>
              </w:rPr>
              <w:t>Mantenimiento de edificios Varios</w:t>
            </w:r>
          </w:p>
        </w:tc>
        <w:tc>
          <w:tcPr>
            <w:tcW w:w="1276" w:type="dxa"/>
            <w:tcBorders>
              <w:top w:val="nil"/>
              <w:left w:val="nil"/>
              <w:bottom w:val="nil"/>
              <w:right w:val="single" w:sz="8" w:space="0" w:color="auto"/>
            </w:tcBorders>
            <w:shd w:val="clear" w:color="auto" w:fill="auto"/>
            <w:noWrap/>
            <w:vAlign w:val="center"/>
            <w:hideMark/>
          </w:tcPr>
          <w:p w14:paraId="006F02E2"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17 808,72</w:t>
            </w:r>
          </w:p>
        </w:tc>
        <w:tc>
          <w:tcPr>
            <w:tcW w:w="1276" w:type="dxa"/>
            <w:tcBorders>
              <w:top w:val="nil"/>
              <w:left w:val="nil"/>
              <w:bottom w:val="nil"/>
              <w:right w:val="single" w:sz="8" w:space="0" w:color="auto"/>
            </w:tcBorders>
            <w:shd w:val="clear" w:color="auto" w:fill="auto"/>
            <w:noWrap/>
            <w:vAlign w:val="center"/>
            <w:hideMark/>
          </w:tcPr>
          <w:p w14:paraId="3DCE5B76"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15 364,23</w:t>
            </w:r>
          </w:p>
        </w:tc>
        <w:tc>
          <w:tcPr>
            <w:tcW w:w="1134" w:type="dxa"/>
            <w:tcBorders>
              <w:top w:val="nil"/>
              <w:left w:val="nil"/>
              <w:bottom w:val="nil"/>
              <w:right w:val="single" w:sz="8" w:space="0" w:color="auto"/>
            </w:tcBorders>
            <w:shd w:val="clear" w:color="auto" w:fill="auto"/>
            <w:noWrap/>
            <w:vAlign w:val="center"/>
            <w:hideMark/>
          </w:tcPr>
          <w:p w14:paraId="3097A306"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2 444,49</w:t>
            </w:r>
          </w:p>
        </w:tc>
        <w:tc>
          <w:tcPr>
            <w:tcW w:w="955" w:type="dxa"/>
            <w:tcBorders>
              <w:top w:val="nil"/>
              <w:left w:val="nil"/>
              <w:bottom w:val="nil"/>
              <w:right w:val="single" w:sz="8" w:space="0" w:color="auto"/>
            </w:tcBorders>
            <w:shd w:val="clear" w:color="auto" w:fill="auto"/>
            <w:vAlign w:val="center"/>
            <w:hideMark/>
          </w:tcPr>
          <w:p w14:paraId="4455E45D" w14:textId="77777777" w:rsidR="007E5CDA" w:rsidRPr="007E5CDA" w:rsidRDefault="007E5CDA" w:rsidP="007E5CDA">
            <w:pPr>
              <w:spacing w:after="0" w:line="240" w:lineRule="auto"/>
              <w:jc w:val="center"/>
              <w:rPr>
                <w:rFonts w:eastAsia="Times New Roman" w:cs="Calibri"/>
                <w:color w:val="000000"/>
                <w:sz w:val="20"/>
                <w:szCs w:val="20"/>
                <w:lang w:val="en-US"/>
              </w:rPr>
            </w:pPr>
            <w:r w:rsidRPr="007E5CDA">
              <w:rPr>
                <w:rFonts w:eastAsia="Times New Roman" w:cs="Calibri"/>
                <w:color w:val="000000"/>
                <w:sz w:val="20"/>
                <w:szCs w:val="20"/>
                <w:lang w:val="en-US"/>
              </w:rPr>
              <w:t>15,91%</w:t>
            </w:r>
          </w:p>
        </w:tc>
        <w:tc>
          <w:tcPr>
            <w:tcW w:w="222" w:type="dxa"/>
            <w:vAlign w:val="center"/>
            <w:hideMark/>
          </w:tcPr>
          <w:p w14:paraId="2E268CB1" w14:textId="77777777" w:rsidR="007E5CDA" w:rsidRPr="007E5CDA" w:rsidRDefault="007E5CDA" w:rsidP="007E5CDA">
            <w:pPr>
              <w:spacing w:after="0" w:line="240" w:lineRule="auto"/>
              <w:jc w:val="left"/>
              <w:rPr>
                <w:rFonts w:ascii="Times New Roman" w:eastAsia="Times New Roman" w:hAnsi="Times New Roman" w:cs="Times New Roman"/>
                <w:sz w:val="20"/>
                <w:szCs w:val="20"/>
                <w:lang w:val="en-US"/>
              </w:rPr>
            </w:pPr>
          </w:p>
        </w:tc>
      </w:tr>
      <w:tr w:rsidR="007E5CDA" w:rsidRPr="007E5CDA" w14:paraId="13479772" w14:textId="77777777" w:rsidTr="007E5CDA">
        <w:trPr>
          <w:trHeight w:val="290"/>
        </w:trPr>
        <w:tc>
          <w:tcPr>
            <w:tcW w:w="841" w:type="dxa"/>
            <w:tcBorders>
              <w:top w:val="nil"/>
              <w:left w:val="single" w:sz="8" w:space="0" w:color="auto"/>
              <w:bottom w:val="nil"/>
              <w:right w:val="single" w:sz="8" w:space="0" w:color="auto"/>
            </w:tcBorders>
            <w:shd w:val="clear" w:color="auto" w:fill="auto"/>
            <w:noWrap/>
            <w:vAlign w:val="bottom"/>
            <w:hideMark/>
          </w:tcPr>
          <w:p w14:paraId="74BBF435" w14:textId="77777777" w:rsidR="007E5CDA" w:rsidRPr="007E5CDA" w:rsidRDefault="007E5CDA" w:rsidP="007E5CDA">
            <w:pPr>
              <w:spacing w:after="0" w:line="240" w:lineRule="auto"/>
              <w:jc w:val="left"/>
              <w:rPr>
                <w:rFonts w:eastAsia="Times New Roman" w:cs="Calibri"/>
                <w:color w:val="000000"/>
                <w:sz w:val="20"/>
                <w:szCs w:val="20"/>
                <w:lang w:val="en-US"/>
              </w:rPr>
            </w:pPr>
            <w:r w:rsidRPr="007E5CDA">
              <w:rPr>
                <w:rFonts w:eastAsia="Times New Roman" w:cs="Calibri"/>
                <w:color w:val="000000"/>
                <w:sz w:val="20"/>
                <w:szCs w:val="20"/>
                <w:lang w:val="en-US"/>
              </w:rPr>
              <w:t>5.1.2.08.02.</w:t>
            </w:r>
          </w:p>
        </w:tc>
        <w:tc>
          <w:tcPr>
            <w:tcW w:w="3357" w:type="dxa"/>
            <w:tcBorders>
              <w:top w:val="nil"/>
              <w:left w:val="nil"/>
              <w:bottom w:val="nil"/>
              <w:right w:val="single" w:sz="8" w:space="0" w:color="auto"/>
            </w:tcBorders>
            <w:shd w:val="clear" w:color="000000" w:fill="FFFFFF"/>
            <w:noWrap/>
            <w:vAlign w:val="bottom"/>
            <w:hideMark/>
          </w:tcPr>
          <w:p w14:paraId="699481E6" w14:textId="77777777" w:rsidR="007E5CDA" w:rsidRPr="007E5CDA" w:rsidRDefault="007E5CDA" w:rsidP="007E5CDA">
            <w:pPr>
              <w:spacing w:after="0" w:line="240" w:lineRule="auto"/>
              <w:jc w:val="left"/>
              <w:rPr>
                <w:rFonts w:eastAsia="Times New Roman" w:cs="Calibri"/>
                <w:color w:val="000000"/>
                <w:sz w:val="20"/>
                <w:szCs w:val="20"/>
              </w:rPr>
            </w:pPr>
            <w:r w:rsidRPr="007E5CDA">
              <w:rPr>
                <w:rFonts w:eastAsia="Times New Roman" w:cs="Calibri"/>
                <w:color w:val="000000"/>
                <w:sz w:val="20"/>
                <w:szCs w:val="20"/>
              </w:rPr>
              <w:t>Mantenimiento y reparación de maquinaria y equipos para la producción</w:t>
            </w:r>
          </w:p>
        </w:tc>
        <w:tc>
          <w:tcPr>
            <w:tcW w:w="1276" w:type="dxa"/>
            <w:tcBorders>
              <w:top w:val="nil"/>
              <w:left w:val="nil"/>
              <w:bottom w:val="nil"/>
              <w:right w:val="single" w:sz="8" w:space="0" w:color="auto"/>
            </w:tcBorders>
            <w:shd w:val="clear" w:color="auto" w:fill="auto"/>
            <w:noWrap/>
            <w:vAlign w:val="center"/>
            <w:hideMark/>
          </w:tcPr>
          <w:p w14:paraId="01483D15"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12 081,36</w:t>
            </w:r>
          </w:p>
        </w:tc>
        <w:tc>
          <w:tcPr>
            <w:tcW w:w="1276" w:type="dxa"/>
            <w:tcBorders>
              <w:top w:val="nil"/>
              <w:left w:val="nil"/>
              <w:bottom w:val="nil"/>
              <w:right w:val="single" w:sz="8" w:space="0" w:color="auto"/>
            </w:tcBorders>
            <w:shd w:val="clear" w:color="auto" w:fill="auto"/>
            <w:noWrap/>
            <w:vAlign w:val="center"/>
            <w:hideMark/>
          </w:tcPr>
          <w:p w14:paraId="4B5C1104"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20 794,14</w:t>
            </w:r>
          </w:p>
        </w:tc>
        <w:tc>
          <w:tcPr>
            <w:tcW w:w="1134" w:type="dxa"/>
            <w:tcBorders>
              <w:top w:val="nil"/>
              <w:left w:val="nil"/>
              <w:bottom w:val="nil"/>
              <w:right w:val="single" w:sz="8" w:space="0" w:color="auto"/>
            </w:tcBorders>
            <w:shd w:val="clear" w:color="auto" w:fill="auto"/>
            <w:noWrap/>
            <w:vAlign w:val="center"/>
            <w:hideMark/>
          </w:tcPr>
          <w:p w14:paraId="26059DBF"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-8 712,78</w:t>
            </w:r>
          </w:p>
        </w:tc>
        <w:tc>
          <w:tcPr>
            <w:tcW w:w="955" w:type="dxa"/>
            <w:tcBorders>
              <w:top w:val="nil"/>
              <w:left w:val="nil"/>
              <w:bottom w:val="nil"/>
              <w:right w:val="single" w:sz="8" w:space="0" w:color="auto"/>
            </w:tcBorders>
            <w:shd w:val="clear" w:color="auto" w:fill="auto"/>
            <w:vAlign w:val="center"/>
            <w:hideMark/>
          </w:tcPr>
          <w:p w14:paraId="40817EC8" w14:textId="77777777" w:rsidR="007E5CDA" w:rsidRPr="007E5CDA" w:rsidRDefault="007E5CDA" w:rsidP="007E5CDA">
            <w:pPr>
              <w:spacing w:after="0" w:line="240" w:lineRule="auto"/>
              <w:jc w:val="center"/>
              <w:rPr>
                <w:rFonts w:eastAsia="Times New Roman" w:cs="Calibri"/>
                <w:color w:val="000000"/>
                <w:sz w:val="20"/>
                <w:szCs w:val="20"/>
                <w:lang w:val="en-US"/>
              </w:rPr>
            </w:pPr>
            <w:r w:rsidRPr="007E5CDA">
              <w:rPr>
                <w:rFonts w:eastAsia="Times New Roman" w:cs="Calibri"/>
                <w:color w:val="000000"/>
                <w:sz w:val="20"/>
                <w:szCs w:val="20"/>
                <w:lang w:val="en-US"/>
              </w:rPr>
              <w:t>-41,90%</w:t>
            </w:r>
          </w:p>
        </w:tc>
        <w:tc>
          <w:tcPr>
            <w:tcW w:w="222" w:type="dxa"/>
            <w:vAlign w:val="center"/>
            <w:hideMark/>
          </w:tcPr>
          <w:p w14:paraId="42E982B1" w14:textId="77777777" w:rsidR="007E5CDA" w:rsidRPr="007E5CDA" w:rsidRDefault="007E5CDA" w:rsidP="007E5CDA">
            <w:pPr>
              <w:spacing w:after="0" w:line="240" w:lineRule="auto"/>
              <w:jc w:val="left"/>
              <w:rPr>
                <w:rFonts w:ascii="Times New Roman" w:eastAsia="Times New Roman" w:hAnsi="Times New Roman" w:cs="Times New Roman"/>
                <w:sz w:val="20"/>
                <w:szCs w:val="20"/>
                <w:lang w:val="en-US"/>
              </w:rPr>
            </w:pPr>
          </w:p>
        </w:tc>
      </w:tr>
      <w:tr w:rsidR="007E5CDA" w:rsidRPr="007E5CDA" w14:paraId="6F277E6F" w14:textId="77777777" w:rsidTr="007E5CDA">
        <w:trPr>
          <w:trHeight w:val="530"/>
        </w:trPr>
        <w:tc>
          <w:tcPr>
            <w:tcW w:w="841" w:type="dxa"/>
            <w:tcBorders>
              <w:top w:val="nil"/>
              <w:left w:val="single" w:sz="8" w:space="0" w:color="auto"/>
              <w:bottom w:val="nil"/>
              <w:right w:val="single" w:sz="8" w:space="0" w:color="auto"/>
            </w:tcBorders>
            <w:shd w:val="clear" w:color="auto" w:fill="auto"/>
            <w:noWrap/>
            <w:vAlign w:val="bottom"/>
            <w:hideMark/>
          </w:tcPr>
          <w:p w14:paraId="3C89AD68" w14:textId="77777777" w:rsidR="007E5CDA" w:rsidRPr="007E5CDA" w:rsidRDefault="007E5CDA" w:rsidP="007E5CDA">
            <w:pPr>
              <w:spacing w:after="0" w:line="240" w:lineRule="auto"/>
              <w:jc w:val="left"/>
              <w:rPr>
                <w:rFonts w:eastAsia="Times New Roman" w:cs="Calibri"/>
                <w:color w:val="000000"/>
                <w:sz w:val="20"/>
                <w:szCs w:val="20"/>
                <w:lang w:val="en-US"/>
              </w:rPr>
            </w:pPr>
            <w:r w:rsidRPr="007E5CDA">
              <w:rPr>
                <w:rFonts w:eastAsia="Times New Roman" w:cs="Calibri"/>
                <w:color w:val="000000"/>
                <w:sz w:val="20"/>
                <w:szCs w:val="20"/>
                <w:lang w:val="en-US"/>
              </w:rPr>
              <w:t>5.1.2.08.03.</w:t>
            </w:r>
          </w:p>
        </w:tc>
        <w:tc>
          <w:tcPr>
            <w:tcW w:w="3357" w:type="dxa"/>
            <w:tcBorders>
              <w:top w:val="nil"/>
              <w:left w:val="nil"/>
              <w:bottom w:val="nil"/>
              <w:right w:val="single" w:sz="8" w:space="0" w:color="auto"/>
            </w:tcBorders>
            <w:shd w:val="clear" w:color="auto" w:fill="auto"/>
            <w:vAlign w:val="bottom"/>
            <w:hideMark/>
          </w:tcPr>
          <w:p w14:paraId="08CE4314" w14:textId="77777777" w:rsidR="007E5CDA" w:rsidRPr="007E5CDA" w:rsidRDefault="007E5CDA" w:rsidP="007E5CDA">
            <w:pPr>
              <w:spacing w:after="0" w:line="240" w:lineRule="auto"/>
              <w:jc w:val="left"/>
              <w:rPr>
                <w:rFonts w:eastAsia="Times New Roman" w:cs="Calibri"/>
                <w:color w:val="000000"/>
                <w:sz w:val="20"/>
                <w:szCs w:val="20"/>
              </w:rPr>
            </w:pPr>
            <w:r w:rsidRPr="007E5CDA">
              <w:rPr>
                <w:rFonts w:eastAsia="Times New Roman" w:cs="Calibri"/>
                <w:color w:val="000000"/>
                <w:sz w:val="20"/>
                <w:szCs w:val="20"/>
              </w:rPr>
              <w:t>Mantenimiento y reparación de equipos de transporte, tracción y elevación</w:t>
            </w:r>
          </w:p>
        </w:tc>
        <w:tc>
          <w:tcPr>
            <w:tcW w:w="1276" w:type="dxa"/>
            <w:tcBorders>
              <w:top w:val="nil"/>
              <w:left w:val="nil"/>
              <w:bottom w:val="nil"/>
              <w:right w:val="single" w:sz="8" w:space="0" w:color="auto"/>
            </w:tcBorders>
            <w:shd w:val="clear" w:color="auto" w:fill="auto"/>
            <w:noWrap/>
            <w:vAlign w:val="center"/>
            <w:hideMark/>
          </w:tcPr>
          <w:p w14:paraId="6BF01700"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14 184,19</w:t>
            </w:r>
          </w:p>
        </w:tc>
        <w:tc>
          <w:tcPr>
            <w:tcW w:w="1276" w:type="dxa"/>
            <w:tcBorders>
              <w:top w:val="nil"/>
              <w:left w:val="nil"/>
              <w:bottom w:val="nil"/>
              <w:right w:val="single" w:sz="8" w:space="0" w:color="auto"/>
            </w:tcBorders>
            <w:shd w:val="clear" w:color="auto" w:fill="auto"/>
            <w:noWrap/>
            <w:vAlign w:val="center"/>
            <w:hideMark/>
          </w:tcPr>
          <w:p w14:paraId="74AF58CD"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6 027,36</w:t>
            </w:r>
          </w:p>
        </w:tc>
        <w:tc>
          <w:tcPr>
            <w:tcW w:w="1134" w:type="dxa"/>
            <w:tcBorders>
              <w:top w:val="nil"/>
              <w:left w:val="nil"/>
              <w:bottom w:val="nil"/>
              <w:right w:val="single" w:sz="8" w:space="0" w:color="auto"/>
            </w:tcBorders>
            <w:shd w:val="clear" w:color="auto" w:fill="auto"/>
            <w:noWrap/>
            <w:vAlign w:val="center"/>
            <w:hideMark/>
          </w:tcPr>
          <w:p w14:paraId="05EEAFC8"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8 156,83</w:t>
            </w:r>
          </w:p>
        </w:tc>
        <w:tc>
          <w:tcPr>
            <w:tcW w:w="955" w:type="dxa"/>
            <w:tcBorders>
              <w:top w:val="nil"/>
              <w:left w:val="nil"/>
              <w:bottom w:val="nil"/>
              <w:right w:val="single" w:sz="8" w:space="0" w:color="auto"/>
            </w:tcBorders>
            <w:shd w:val="clear" w:color="auto" w:fill="auto"/>
            <w:vAlign w:val="center"/>
            <w:hideMark/>
          </w:tcPr>
          <w:p w14:paraId="30DA3026" w14:textId="77777777" w:rsidR="007E5CDA" w:rsidRPr="007E5CDA" w:rsidRDefault="007E5CDA" w:rsidP="007E5CDA">
            <w:pPr>
              <w:spacing w:after="0" w:line="240" w:lineRule="auto"/>
              <w:jc w:val="center"/>
              <w:rPr>
                <w:rFonts w:eastAsia="Times New Roman" w:cs="Calibri"/>
                <w:color w:val="000000"/>
                <w:sz w:val="20"/>
                <w:szCs w:val="20"/>
                <w:lang w:val="en-US"/>
              </w:rPr>
            </w:pPr>
            <w:r w:rsidRPr="007E5CDA">
              <w:rPr>
                <w:rFonts w:eastAsia="Times New Roman" w:cs="Calibri"/>
                <w:color w:val="000000"/>
                <w:sz w:val="20"/>
                <w:szCs w:val="20"/>
                <w:lang w:val="en-US"/>
              </w:rPr>
              <w:t>135,33%</w:t>
            </w:r>
          </w:p>
        </w:tc>
        <w:tc>
          <w:tcPr>
            <w:tcW w:w="222" w:type="dxa"/>
            <w:vAlign w:val="center"/>
            <w:hideMark/>
          </w:tcPr>
          <w:p w14:paraId="3D75E6E4" w14:textId="77777777" w:rsidR="007E5CDA" w:rsidRPr="007E5CDA" w:rsidRDefault="007E5CDA" w:rsidP="007E5CDA">
            <w:pPr>
              <w:spacing w:after="0" w:line="240" w:lineRule="auto"/>
              <w:jc w:val="left"/>
              <w:rPr>
                <w:rFonts w:ascii="Times New Roman" w:eastAsia="Times New Roman" w:hAnsi="Times New Roman" w:cs="Times New Roman"/>
                <w:sz w:val="20"/>
                <w:szCs w:val="20"/>
                <w:lang w:val="en-US"/>
              </w:rPr>
            </w:pPr>
          </w:p>
        </w:tc>
      </w:tr>
      <w:tr w:rsidR="007E5CDA" w:rsidRPr="007E5CDA" w14:paraId="3BE028AA" w14:textId="77777777" w:rsidTr="007E5CDA">
        <w:trPr>
          <w:trHeight w:val="530"/>
        </w:trPr>
        <w:tc>
          <w:tcPr>
            <w:tcW w:w="841" w:type="dxa"/>
            <w:tcBorders>
              <w:top w:val="nil"/>
              <w:left w:val="single" w:sz="8" w:space="0" w:color="auto"/>
              <w:bottom w:val="nil"/>
              <w:right w:val="single" w:sz="8" w:space="0" w:color="auto"/>
            </w:tcBorders>
            <w:shd w:val="clear" w:color="auto" w:fill="auto"/>
            <w:noWrap/>
            <w:vAlign w:val="bottom"/>
            <w:hideMark/>
          </w:tcPr>
          <w:p w14:paraId="592A5EB6" w14:textId="77777777" w:rsidR="007E5CDA" w:rsidRPr="007E5CDA" w:rsidRDefault="007E5CDA" w:rsidP="007E5CDA">
            <w:pPr>
              <w:spacing w:after="0" w:line="240" w:lineRule="auto"/>
              <w:jc w:val="left"/>
              <w:rPr>
                <w:rFonts w:eastAsia="Times New Roman" w:cs="Calibri"/>
                <w:color w:val="000000"/>
                <w:sz w:val="20"/>
                <w:szCs w:val="20"/>
                <w:lang w:val="en-US"/>
              </w:rPr>
            </w:pPr>
            <w:r w:rsidRPr="007E5CDA">
              <w:rPr>
                <w:rFonts w:eastAsia="Times New Roman" w:cs="Calibri"/>
                <w:color w:val="000000"/>
                <w:sz w:val="20"/>
                <w:szCs w:val="20"/>
                <w:lang w:val="en-US"/>
              </w:rPr>
              <w:t>5.1.2.08.05.</w:t>
            </w:r>
          </w:p>
        </w:tc>
        <w:tc>
          <w:tcPr>
            <w:tcW w:w="3357" w:type="dxa"/>
            <w:tcBorders>
              <w:top w:val="nil"/>
              <w:left w:val="nil"/>
              <w:bottom w:val="nil"/>
              <w:right w:val="single" w:sz="8" w:space="0" w:color="auto"/>
            </w:tcBorders>
            <w:shd w:val="clear" w:color="auto" w:fill="auto"/>
            <w:vAlign w:val="bottom"/>
            <w:hideMark/>
          </w:tcPr>
          <w:p w14:paraId="498045A8" w14:textId="77777777" w:rsidR="007E5CDA" w:rsidRPr="007E5CDA" w:rsidRDefault="007E5CDA" w:rsidP="007E5CDA">
            <w:pPr>
              <w:spacing w:after="0" w:line="240" w:lineRule="auto"/>
              <w:jc w:val="left"/>
              <w:rPr>
                <w:rFonts w:eastAsia="Times New Roman" w:cs="Calibri"/>
                <w:color w:val="000000"/>
                <w:sz w:val="20"/>
                <w:szCs w:val="20"/>
              </w:rPr>
            </w:pPr>
            <w:r w:rsidRPr="007E5CDA">
              <w:rPr>
                <w:rFonts w:eastAsia="Times New Roman" w:cs="Calibri"/>
                <w:color w:val="000000"/>
                <w:sz w:val="20"/>
                <w:szCs w:val="20"/>
              </w:rPr>
              <w:t>Mantenimiento y reparación de equipos y mobiliario de oficina</w:t>
            </w:r>
          </w:p>
        </w:tc>
        <w:tc>
          <w:tcPr>
            <w:tcW w:w="1276" w:type="dxa"/>
            <w:tcBorders>
              <w:top w:val="nil"/>
              <w:left w:val="nil"/>
              <w:bottom w:val="nil"/>
              <w:right w:val="single" w:sz="8" w:space="0" w:color="auto"/>
            </w:tcBorders>
            <w:shd w:val="clear" w:color="auto" w:fill="auto"/>
            <w:noWrap/>
            <w:vAlign w:val="center"/>
            <w:hideMark/>
          </w:tcPr>
          <w:p w14:paraId="58FD1A31"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281,00</w:t>
            </w:r>
          </w:p>
        </w:tc>
        <w:tc>
          <w:tcPr>
            <w:tcW w:w="1276" w:type="dxa"/>
            <w:tcBorders>
              <w:top w:val="nil"/>
              <w:left w:val="nil"/>
              <w:bottom w:val="nil"/>
              <w:right w:val="single" w:sz="8" w:space="0" w:color="auto"/>
            </w:tcBorders>
            <w:shd w:val="clear" w:color="auto" w:fill="auto"/>
            <w:noWrap/>
            <w:vAlign w:val="center"/>
            <w:hideMark/>
          </w:tcPr>
          <w:p w14:paraId="00E2B3AE"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0,00</w:t>
            </w:r>
          </w:p>
        </w:tc>
        <w:tc>
          <w:tcPr>
            <w:tcW w:w="1134" w:type="dxa"/>
            <w:tcBorders>
              <w:top w:val="nil"/>
              <w:left w:val="nil"/>
              <w:bottom w:val="nil"/>
              <w:right w:val="single" w:sz="8" w:space="0" w:color="auto"/>
            </w:tcBorders>
            <w:shd w:val="clear" w:color="auto" w:fill="auto"/>
            <w:noWrap/>
            <w:vAlign w:val="center"/>
            <w:hideMark/>
          </w:tcPr>
          <w:p w14:paraId="1413C094"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281,00</w:t>
            </w:r>
          </w:p>
        </w:tc>
        <w:tc>
          <w:tcPr>
            <w:tcW w:w="955" w:type="dxa"/>
            <w:tcBorders>
              <w:top w:val="nil"/>
              <w:left w:val="nil"/>
              <w:bottom w:val="nil"/>
              <w:right w:val="single" w:sz="8" w:space="0" w:color="auto"/>
            </w:tcBorders>
            <w:shd w:val="clear" w:color="auto" w:fill="auto"/>
            <w:vAlign w:val="center"/>
            <w:hideMark/>
          </w:tcPr>
          <w:p w14:paraId="54CFA13E" w14:textId="77777777" w:rsidR="007E5CDA" w:rsidRPr="007E5CDA" w:rsidRDefault="007E5CDA" w:rsidP="007E5CDA">
            <w:pPr>
              <w:spacing w:after="0" w:line="240" w:lineRule="auto"/>
              <w:jc w:val="center"/>
              <w:rPr>
                <w:rFonts w:eastAsia="Times New Roman" w:cs="Calibri"/>
                <w:color w:val="000000"/>
                <w:sz w:val="20"/>
                <w:szCs w:val="20"/>
                <w:lang w:val="en-US"/>
              </w:rPr>
            </w:pPr>
            <w:r w:rsidRPr="007E5CDA">
              <w:rPr>
                <w:rFonts w:eastAsia="Times New Roman" w:cs="Calibri"/>
                <w:color w:val="000000"/>
                <w:sz w:val="20"/>
                <w:szCs w:val="20"/>
                <w:lang w:val="en-US"/>
              </w:rPr>
              <w:t>#DIV/0!</w:t>
            </w:r>
          </w:p>
        </w:tc>
        <w:tc>
          <w:tcPr>
            <w:tcW w:w="222" w:type="dxa"/>
            <w:vAlign w:val="center"/>
            <w:hideMark/>
          </w:tcPr>
          <w:p w14:paraId="3C69A4B3" w14:textId="77777777" w:rsidR="007E5CDA" w:rsidRPr="007E5CDA" w:rsidRDefault="007E5CDA" w:rsidP="007E5CDA">
            <w:pPr>
              <w:spacing w:after="0" w:line="240" w:lineRule="auto"/>
              <w:jc w:val="left"/>
              <w:rPr>
                <w:rFonts w:ascii="Times New Roman" w:eastAsia="Times New Roman" w:hAnsi="Times New Roman" w:cs="Times New Roman"/>
                <w:sz w:val="20"/>
                <w:szCs w:val="20"/>
                <w:lang w:val="en-US"/>
              </w:rPr>
            </w:pPr>
          </w:p>
        </w:tc>
      </w:tr>
      <w:tr w:rsidR="007E5CDA" w:rsidRPr="007E5CDA" w14:paraId="7B324276" w14:textId="77777777" w:rsidTr="007E5CDA">
        <w:trPr>
          <w:trHeight w:val="800"/>
        </w:trPr>
        <w:tc>
          <w:tcPr>
            <w:tcW w:w="841" w:type="dxa"/>
            <w:tcBorders>
              <w:top w:val="nil"/>
              <w:left w:val="single" w:sz="8" w:space="0" w:color="auto"/>
              <w:bottom w:val="nil"/>
              <w:right w:val="single" w:sz="8" w:space="0" w:color="auto"/>
            </w:tcBorders>
            <w:shd w:val="clear" w:color="auto" w:fill="auto"/>
            <w:noWrap/>
            <w:vAlign w:val="bottom"/>
            <w:hideMark/>
          </w:tcPr>
          <w:p w14:paraId="26F98AFA" w14:textId="77777777" w:rsidR="007E5CDA" w:rsidRPr="007E5CDA" w:rsidRDefault="007E5CDA" w:rsidP="007E5CDA">
            <w:pPr>
              <w:spacing w:after="0" w:line="240" w:lineRule="auto"/>
              <w:jc w:val="left"/>
              <w:rPr>
                <w:rFonts w:eastAsia="Times New Roman" w:cs="Calibri"/>
                <w:color w:val="000000"/>
                <w:sz w:val="20"/>
                <w:szCs w:val="20"/>
                <w:lang w:val="en-US"/>
              </w:rPr>
            </w:pPr>
            <w:r w:rsidRPr="007E5CDA">
              <w:rPr>
                <w:rFonts w:eastAsia="Times New Roman" w:cs="Calibri"/>
                <w:color w:val="000000"/>
                <w:sz w:val="20"/>
                <w:szCs w:val="20"/>
                <w:lang w:val="en-US"/>
              </w:rPr>
              <w:t>5.1.2.08.10.</w:t>
            </w:r>
          </w:p>
        </w:tc>
        <w:tc>
          <w:tcPr>
            <w:tcW w:w="3357" w:type="dxa"/>
            <w:tcBorders>
              <w:top w:val="nil"/>
              <w:left w:val="nil"/>
              <w:bottom w:val="nil"/>
              <w:right w:val="single" w:sz="8" w:space="0" w:color="auto"/>
            </w:tcBorders>
            <w:shd w:val="clear" w:color="auto" w:fill="auto"/>
            <w:vAlign w:val="bottom"/>
            <w:hideMark/>
          </w:tcPr>
          <w:p w14:paraId="4E554F98" w14:textId="77777777" w:rsidR="007E5CDA" w:rsidRPr="007E5CDA" w:rsidRDefault="007E5CDA" w:rsidP="007E5CDA">
            <w:pPr>
              <w:spacing w:after="0" w:line="240" w:lineRule="auto"/>
              <w:jc w:val="left"/>
              <w:rPr>
                <w:rFonts w:eastAsia="Times New Roman" w:cs="Calibri"/>
                <w:color w:val="000000"/>
                <w:sz w:val="20"/>
                <w:szCs w:val="20"/>
              </w:rPr>
            </w:pPr>
            <w:r w:rsidRPr="007E5CDA">
              <w:rPr>
                <w:rFonts w:eastAsia="Times New Roman" w:cs="Calibri"/>
                <w:color w:val="000000"/>
                <w:sz w:val="20"/>
                <w:szCs w:val="20"/>
              </w:rPr>
              <w:t>Mantenimiento y reparación de bienes de infraestructura y de beneficio y uso público</w:t>
            </w:r>
          </w:p>
        </w:tc>
        <w:tc>
          <w:tcPr>
            <w:tcW w:w="1276" w:type="dxa"/>
            <w:tcBorders>
              <w:top w:val="nil"/>
              <w:left w:val="nil"/>
              <w:bottom w:val="nil"/>
              <w:right w:val="single" w:sz="8" w:space="0" w:color="auto"/>
            </w:tcBorders>
            <w:shd w:val="clear" w:color="auto" w:fill="auto"/>
            <w:noWrap/>
            <w:vAlign w:val="center"/>
            <w:hideMark/>
          </w:tcPr>
          <w:p w14:paraId="39DB4B97"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1 088 908,88</w:t>
            </w:r>
          </w:p>
        </w:tc>
        <w:tc>
          <w:tcPr>
            <w:tcW w:w="1276" w:type="dxa"/>
            <w:tcBorders>
              <w:top w:val="nil"/>
              <w:left w:val="nil"/>
              <w:bottom w:val="nil"/>
              <w:right w:val="single" w:sz="8" w:space="0" w:color="auto"/>
            </w:tcBorders>
            <w:shd w:val="clear" w:color="auto" w:fill="auto"/>
            <w:noWrap/>
            <w:vAlign w:val="center"/>
            <w:hideMark/>
          </w:tcPr>
          <w:p w14:paraId="2CEFC3BD"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1 559 658,41</w:t>
            </w:r>
          </w:p>
        </w:tc>
        <w:tc>
          <w:tcPr>
            <w:tcW w:w="1134" w:type="dxa"/>
            <w:tcBorders>
              <w:top w:val="nil"/>
              <w:left w:val="nil"/>
              <w:bottom w:val="nil"/>
              <w:right w:val="single" w:sz="8" w:space="0" w:color="auto"/>
            </w:tcBorders>
            <w:shd w:val="clear" w:color="auto" w:fill="auto"/>
            <w:noWrap/>
            <w:vAlign w:val="center"/>
            <w:hideMark/>
          </w:tcPr>
          <w:p w14:paraId="0534E203"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-470 749,53</w:t>
            </w:r>
          </w:p>
        </w:tc>
        <w:tc>
          <w:tcPr>
            <w:tcW w:w="955" w:type="dxa"/>
            <w:tcBorders>
              <w:top w:val="nil"/>
              <w:left w:val="nil"/>
              <w:bottom w:val="nil"/>
              <w:right w:val="single" w:sz="8" w:space="0" w:color="auto"/>
            </w:tcBorders>
            <w:shd w:val="clear" w:color="auto" w:fill="auto"/>
            <w:vAlign w:val="center"/>
            <w:hideMark/>
          </w:tcPr>
          <w:p w14:paraId="58CF30FB" w14:textId="77777777" w:rsidR="007E5CDA" w:rsidRPr="007E5CDA" w:rsidRDefault="007E5CDA" w:rsidP="007E5CDA">
            <w:pPr>
              <w:spacing w:after="0" w:line="240" w:lineRule="auto"/>
              <w:jc w:val="center"/>
              <w:rPr>
                <w:rFonts w:eastAsia="Times New Roman" w:cs="Calibri"/>
                <w:color w:val="000000"/>
                <w:sz w:val="20"/>
                <w:szCs w:val="20"/>
                <w:lang w:val="en-US"/>
              </w:rPr>
            </w:pPr>
            <w:r w:rsidRPr="007E5CDA">
              <w:rPr>
                <w:rFonts w:eastAsia="Times New Roman" w:cs="Calibri"/>
                <w:color w:val="000000"/>
                <w:sz w:val="20"/>
                <w:szCs w:val="20"/>
                <w:lang w:val="en-US"/>
              </w:rPr>
              <w:t>-30,18%</w:t>
            </w:r>
          </w:p>
        </w:tc>
        <w:tc>
          <w:tcPr>
            <w:tcW w:w="222" w:type="dxa"/>
            <w:vAlign w:val="center"/>
            <w:hideMark/>
          </w:tcPr>
          <w:p w14:paraId="1F96E740" w14:textId="77777777" w:rsidR="007E5CDA" w:rsidRPr="007E5CDA" w:rsidRDefault="007E5CDA" w:rsidP="007E5CDA">
            <w:pPr>
              <w:spacing w:after="0" w:line="240" w:lineRule="auto"/>
              <w:jc w:val="left"/>
              <w:rPr>
                <w:rFonts w:ascii="Times New Roman" w:eastAsia="Times New Roman" w:hAnsi="Times New Roman" w:cs="Times New Roman"/>
                <w:sz w:val="20"/>
                <w:szCs w:val="20"/>
                <w:lang w:val="en-US"/>
              </w:rPr>
            </w:pPr>
          </w:p>
        </w:tc>
      </w:tr>
      <w:tr w:rsidR="007E5CDA" w:rsidRPr="007E5CDA" w14:paraId="274E1809" w14:textId="77777777" w:rsidTr="007E5CDA">
        <w:trPr>
          <w:trHeight w:val="300"/>
        </w:trPr>
        <w:tc>
          <w:tcPr>
            <w:tcW w:w="841" w:type="dxa"/>
            <w:tcBorders>
              <w:top w:val="nil"/>
              <w:left w:val="single" w:sz="8" w:space="0" w:color="auto"/>
              <w:bottom w:val="nil"/>
              <w:right w:val="single" w:sz="8" w:space="0" w:color="auto"/>
            </w:tcBorders>
            <w:shd w:val="clear" w:color="auto" w:fill="auto"/>
            <w:noWrap/>
            <w:vAlign w:val="center"/>
            <w:hideMark/>
          </w:tcPr>
          <w:p w14:paraId="522C9C42" w14:textId="77777777" w:rsidR="007E5CDA" w:rsidRPr="007E5CDA" w:rsidRDefault="007E5CDA" w:rsidP="007E5CDA">
            <w:pPr>
              <w:spacing w:after="0" w:line="240" w:lineRule="auto"/>
              <w:jc w:val="left"/>
              <w:rPr>
                <w:rFonts w:eastAsia="Times New Roman" w:cs="Calibri"/>
                <w:b/>
                <w:bCs/>
                <w:color w:val="000000"/>
                <w:sz w:val="20"/>
                <w:szCs w:val="20"/>
                <w:lang w:val="en-US"/>
              </w:rPr>
            </w:pPr>
            <w:r w:rsidRPr="007E5CDA">
              <w:rPr>
                <w:rFonts w:eastAsia="Times New Roman" w:cs="Calibri"/>
                <w:b/>
                <w:bCs/>
                <w:color w:val="000000"/>
                <w:sz w:val="20"/>
                <w:szCs w:val="20"/>
                <w:lang w:val="en-US"/>
              </w:rPr>
              <w:t>5.1.2.99.</w:t>
            </w:r>
          </w:p>
        </w:tc>
        <w:tc>
          <w:tcPr>
            <w:tcW w:w="3357" w:type="dxa"/>
            <w:tcBorders>
              <w:top w:val="nil"/>
              <w:left w:val="nil"/>
              <w:bottom w:val="nil"/>
              <w:right w:val="single" w:sz="8" w:space="0" w:color="auto"/>
            </w:tcBorders>
            <w:shd w:val="clear" w:color="auto" w:fill="auto"/>
            <w:vAlign w:val="center"/>
            <w:hideMark/>
          </w:tcPr>
          <w:p w14:paraId="14735F54" w14:textId="77777777" w:rsidR="007E5CDA" w:rsidRPr="007E5CDA" w:rsidRDefault="007E5CDA" w:rsidP="007E5CDA">
            <w:pPr>
              <w:spacing w:after="0" w:line="240" w:lineRule="auto"/>
              <w:jc w:val="left"/>
              <w:rPr>
                <w:rFonts w:eastAsia="Times New Roman" w:cs="Calibri"/>
                <w:b/>
                <w:bCs/>
                <w:color w:val="000000"/>
                <w:sz w:val="20"/>
                <w:szCs w:val="20"/>
                <w:lang w:val="en-US"/>
              </w:rPr>
            </w:pPr>
            <w:r w:rsidRPr="007E5CDA">
              <w:rPr>
                <w:rFonts w:eastAsia="Times New Roman" w:cs="Calibri"/>
                <w:b/>
                <w:bCs/>
                <w:color w:val="000000"/>
                <w:sz w:val="20"/>
                <w:szCs w:val="20"/>
                <w:lang w:val="en-US"/>
              </w:rPr>
              <w:t>Otros servicios varios</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14:paraId="291CDAB4" w14:textId="77777777" w:rsidR="007E5CDA" w:rsidRPr="007E5CDA" w:rsidRDefault="007E5CDA" w:rsidP="007E5CDA">
            <w:pPr>
              <w:spacing w:after="0" w:line="240" w:lineRule="auto"/>
              <w:jc w:val="right"/>
              <w:rPr>
                <w:rFonts w:eastAsia="Times New Roman" w:cs="Calibri"/>
                <w:b/>
                <w:bCs/>
                <w:color w:val="000000"/>
                <w:sz w:val="20"/>
                <w:szCs w:val="20"/>
                <w:lang w:val="en-US"/>
              </w:rPr>
            </w:pPr>
            <w:r w:rsidRPr="007E5CDA">
              <w:rPr>
                <w:rFonts w:ascii="Arial" w:eastAsia="Times New Roman" w:hAnsi="Arial" w:cs="Arial"/>
                <w:b/>
                <w:bCs/>
                <w:color w:val="000000"/>
                <w:sz w:val="20"/>
                <w:szCs w:val="20"/>
                <w:lang w:val="en-US"/>
              </w:rPr>
              <w:t>₡</w:t>
            </w:r>
            <w:r w:rsidRPr="007E5CDA">
              <w:rPr>
                <w:rFonts w:eastAsia="Times New Roman" w:cs="Calibri"/>
                <w:b/>
                <w:bCs/>
                <w:color w:val="000000"/>
                <w:sz w:val="20"/>
                <w:szCs w:val="20"/>
                <w:lang w:val="en-US"/>
              </w:rPr>
              <w:t>0,00</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14:paraId="52FF0647" w14:textId="77777777" w:rsidR="007E5CDA" w:rsidRPr="007E5CDA" w:rsidRDefault="007E5CDA" w:rsidP="007E5CDA">
            <w:pPr>
              <w:spacing w:after="0" w:line="240" w:lineRule="auto"/>
              <w:jc w:val="right"/>
              <w:rPr>
                <w:rFonts w:eastAsia="Times New Roman" w:cs="Calibri"/>
                <w:b/>
                <w:bCs/>
                <w:color w:val="000000"/>
                <w:sz w:val="20"/>
                <w:szCs w:val="20"/>
                <w:lang w:val="en-US"/>
              </w:rPr>
            </w:pPr>
            <w:r w:rsidRPr="007E5CDA">
              <w:rPr>
                <w:rFonts w:ascii="Arial" w:eastAsia="Times New Roman" w:hAnsi="Arial" w:cs="Arial"/>
                <w:b/>
                <w:bCs/>
                <w:color w:val="000000"/>
                <w:sz w:val="20"/>
                <w:szCs w:val="20"/>
                <w:lang w:val="en-US"/>
              </w:rPr>
              <w:t>₡</w:t>
            </w:r>
            <w:r w:rsidRPr="007E5CDA">
              <w:rPr>
                <w:rFonts w:eastAsia="Times New Roman" w:cs="Calibri"/>
                <w:b/>
                <w:bCs/>
                <w:color w:val="000000"/>
                <w:sz w:val="20"/>
                <w:szCs w:val="20"/>
                <w:lang w:val="en-US"/>
              </w:rPr>
              <w:t>150,00</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14:paraId="1CA0B84C" w14:textId="77777777" w:rsidR="007E5CDA" w:rsidRPr="007E5CDA" w:rsidRDefault="007E5CDA" w:rsidP="007E5CDA">
            <w:pPr>
              <w:spacing w:after="0" w:line="240" w:lineRule="auto"/>
              <w:jc w:val="right"/>
              <w:rPr>
                <w:rFonts w:eastAsia="Times New Roman" w:cs="Calibri"/>
                <w:b/>
                <w:bCs/>
                <w:color w:val="000000"/>
                <w:sz w:val="20"/>
                <w:szCs w:val="20"/>
                <w:lang w:val="en-US"/>
              </w:rPr>
            </w:pPr>
            <w:r w:rsidRPr="007E5CDA">
              <w:rPr>
                <w:rFonts w:eastAsia="Times New Roman" w:cs="Calibri"/>
                <w:b/>
                <w:bCs/>
                <w:color w:val="000000"/>
                <w:sz w:val="20"/>
                <w:szCs w:val="20"/>
                <w:lang w:val="en-US"/>
              </w:rPr>
              <w:t>-</w:t>
            </w:r>
            <w:r w:rsidRPr="007E5CDA">
              <w:rPr>
                <w:rFonts w:ascii="Arial" w:eastAsia="Times New Roman" w:hAnsi="Arial" w:cs="Arial"/>
                <w:b/>
                <w:bCs/>
                <w:color w:val="000000"/>
                <w:sz w:val="20"/>
                <w:szCs w:val="20"/>
                <w:lang w:val="en-US"/>
              </w:rPr>
              <w:t>₡</w:t>
            </w:r>
            <w:r w:rsidRPr="007E5CDA">
              <w:rPr>
                <w:rFonts w:eastAsia="Times New Roman" w:cs="Calibri"/>
                <w:b/>
                <w:bCs/>
                <w:color w:val="000000"/>
                <w:sz w:val="20"/>
                <w:szCs w:val="20"/>
                <w:lang w:val="en-US"/>
              </w:rPr>
              <w:t>150,00</w:t>
            </w:r>
          </w:p>
        </w:tc>
        <w:tc>
          <w:tcPr>
            <w:tcW w:w="955" w:type="dxa"/>
            <w:tcBorders>
              <w:top w:val="single" w:sz="8" w:space="0" w:color="auto"/>
              <w:left w:val="nil"/>
              <w:bottom w:val="single" w:sz="8" w:space="0" w:color="auto"/>
              <w:right w:val="single" w:sz="8" w:space="0" w:color="auto"/>
            </w:tcBorders>
            <w:shd w:val="clear" w:color="auto" w:fill="auto"/>
            <w:vAlign w:val="center"/>
            <w:hideMark/>
          </w:tcPr>
          <w:p w14:paraId="5CCB01AA" w14:textId="77777777" w:rsidR="007E5CDA" w:rsidRPr="007E5CDA" w:rsidRDefault="007E5CDA" w:rsidP="007E5CDA">
            <w:pPr>
              <w:spacing w:after="0" w:line="240" w:lineRule="auto"/>
              <w:jc w:val="center"/>
              <w:rPr>
                <w:rFonts w:eastAsia="Times New Roman" w:cs="Calibri"/>
                <w:b/>
                <w:bCs/>
                <w:color w:val="000000"/>
                <w:sz w:val="20"/>
                <w:szCs w:val="20"/>
                <w:lang w:val="en-US"/>
              </w:rPr>
            </w:pPr>
            <w:r w:rsidRPr="007E5CDA">
              <w:rPr>
                <w:rFonts w:eastAsia="Times New Roman" w:cs="Calibri"/>
                <w:b/>
                <w:bCs/>
                <w:color w:val="000000"/>
                <w:sz w:val="20"/>
                <w:szCs w:val="20"/>
                <w:lang w:val="en-US"/>
              </w:rPr>
              <w:t>-100,00%</w:t>
            </w:r>
          </w:p>
        </w:tc>
        <w:tc>
          <w:tcPr>
            <w:tcW w:w="222" w:type="dxa"/>
            <w:vAlign w:val="center"/>
            <w:hideMark/>
          </w:tcPr>
          <w:p w14:paraId="730BD097" w14:textId="77777777" w:rsidR="007E5CDA" w:rsidRPr="007E5CDA" w:rsidRDefault="007E5CDA" w:rsidP="007E5CDA">
            <w:pPr>
              <w:spacing w:after="0" w:line="240" w:lineRule="auto"/>
              <w:jc w:val="left"/>
              <w:rPr>
                <w:rFonts w:ascii="Times New Roman" w:eastAsia="Times New Roman" w:hAnsi="Times New Roman" w:cs="Times New Roman"/>
                <w:sz w:val="20"/>
                <w:szCs w:val="20"/>
                <w:lang w:val="en-US"/>
              </w:rPr>
            </w:pPr>
          </w:p>
        </w:tc>
      </w:tr>
      <w:tr w:rsidR="007E5CDA" w:rsidRPr="007E5CDA" w14:paraId="0A9C4AE2" w14:textId="77777777" w:rsidTr="007E5CDA">
        <w:trPr>
          <w:trHeight w:val="300"/>
        </w:trPr>
        <w:tc>
          <w:tcPr>
            <w:tcW w:w="841" w:type="dxa"/>
            <w:tcBorders>
              <w:top w:val="nil"/>
              <w:left w:val="single" w:sz="8" w:space="0" w:color="auto"/>
              <w:bottom w:val="single" w:sz="8" w:space="0" w:color="auto"/>
              <w:right w:val="single" w:sz="8" w:space="0" w:color="auto"/>
            </w:tcBorders>
            <w:shd w:val="clear" w:color="auto" w:fill="auto"/>
            <w:noWrap/>
            <w:vAlign w:val="bottom"/>
            <w:hideMark/>
          </w:tcPr>
          <w:p w14:paraId="79FCC963" w14:textId="77777777" w:rsidR="007E5CDA" w:rsidRPr="007E5CDA" w:rsidRDefault="007E5CDA" w:rsidP="007E5CDA">
            <w:pPr>
              <w:spacing w:after="0" w:line="240" w:lineRule="auto"/>
              <w:jc w:val="left"/>
              <w:rPr>
                <w:rFonts w:eastAsia="Times New Roman" w:cs="Calibri"/>
                <w:color w:val="000000"/>
                <w:sz w:val="20"/>
                <w:szCs w:val="20"/>
                <w:lang w:val="en-US"/>
              </w:rPr>
            </w:pPr>
            <w:r w:rsidRPr="007E5CDA">
              <w:rPr>
                <w:rFonts w:eastAsia="Times New Roman" w:cs="Calibri"/>
                <w:color w:val="000000"/>
                <w:sz w:val="20"/>
                <w:szCs w:val="20"/>
                <w:lang w:val="en-US"/>
              </w:rPr>
              <w:t>5.1.2.99.99.</w:t>
            </w:r>
          </w:p>
        </w:tc>
        <w:tc>
          <w:tcPr>
            <w:tcW w:w="3357" w:type="dxa"/>
            <w:tcBorders>
              <w:top w:val="nil"/>
              <w:left w:val="nil"/>
              <w:bottom w:val="single" w:sz="8" w:space="0" w:color="auto"/>
              <w:right w:val="single" w:sz="8" w:space="0" w:color="auto"/>
            </w:tcBorders>
            <w:shd w:val="clear" w:color="auto" w:fill="auto"/>
            <w:noWrap/>
            <w:vAlign w:val="bottom"/>
            <w:hideMark/>
          </w:tcPr>
          <w:p w14:paraId="71C6DD0A" w14:textId="77777777" w:rsidR="007E5CDA" w:rsidRPr="007E5CDA" w:rsidRDefault="007E5CDA" w:rsidP="007E5CDA">
            <w:pPr>
              <w:spacing w:after="0" w:line="240" w:lineRule="auto"/>
              <w:jc w:val="left"/>
              <w:rPr>
                <w:rFonts w:eastAsia="Times New Roman" w:cs="Calibri"/>
                <w:color w:val="000000"/>
                <w:sz w:val="20"/>
                <w:szCs w:val="20"/>
                <w:lang w:val="en-US"/>
              </w:rPr>
            </w:pPr>
            <w:r w:rsidRPr="007E5CDA">
              <w:rPr>
                <w:rFonts w:eastAsia="Times New Roman" w:cs="Calibri"/>
                <w:color w:val="000000"/>
                <w:sz w:val="20"/>
                <w:szCs w:val="20"/>
                <w:lang w:val="en-US"/>
              </w:rPr>
              <w:t>Otros servicios varios</w:t>
            </w:r>
          </w:p>
        </w:tc>
        <w:tc>
          <w:tcPr>
            <w:tcW w:w="1276" w:type="dxa"/>
            <w:tcBorders>
              <w:top w:val="nil"/>
              <w:left w:val="nil"/>
              <w:bottom w:val="nil"/>
              <w:right w:val="single" w:sz="8" w:space="0" w:color="auto"/>
            </w:tcBorders>
            <w:shd w:val="clear" w:color="auto" w:fill="auto"/>
            <w:noWrap/>
            <w:vAlign w:val="center"/>
            <w:hideMark/>
          </w:tcPr>
          <w:p w14:paraId="751AAF0F"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0,00</w:t>
            </w:r>
          </w:p>
        </w:tc>
        <w:tc>
          <w:tcPr>
            <w:tcW w:w="1276" w:type="dxa"/>
            <w:tcBorders>
              <w:top w:val="nil"/>
              <w:left w:val="nil"/>
              <w:bottom w:val="nil"/>
              <w:right w:val="single" w:sz="8" w:space="0" w:color="auto"/>
            </w:tcBorders>
            <w:shd w:val="clear" w:color="auto" w:fill="auto"/>
            <w:noWrap/>
            <w:vAlign w:val="center"/>
            <w:hideMark/>
          </w:tcPr>
          <w:p w14:paraId="1BBAB7FB"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150,00</w:t>
            </w:r>
          </w:p>
        </w:tc>
        <w:tc>
          <w:tcPr>
            <w:tcW w:w="1134" w:type="dxa"/>
            <w:tcBorders>
              <w:top w:val="nil"/>
              <w:left w:val="nil"/>
              <w:bottom w:val="nil"/>
              <w:right w:val="single" w:sz="8" w:space="0" w:color="auto"/>
            </w:tcBorders>
            <w:shd w:val="clear" w:color="auto" w:fill="auto"/>
            <w:noWrap/>
            <w:vAlign w:val="center"/>
            <w:hideMark/>
          </w:tcPr>
          <w:p w14:paraId="6530D074" w14:textId="77777777" w:rsidR="007E5CDA" w:rsidRPr="007E5CDA" w:rsidRDefault="007E5CDA" w:rsidP="007E5CDA">
            <w:pPr>
              <w:spacing w:after="0" w:line="240" w:lineRule="auto"/>
              <w:jc w:val="right"/>
              <w:rPr>
                <w:rFonts w:eastAsia="Times New Roman" w:cs="Calibri"/>
                <w:color w:val="000000"/>
                <w:sz w:val="20"/>
                <w:szCs w:val="20"/>
                <w:lang w:val="en-US"/>
              </w:rPr>
            </w:pPr>
            <w:r w:rsidRPr="007E5CDA">
              <w:rPr>
                <w:rFonts w:eastAsia="Times New Roman" w:cs="Calibri"/>
                <w:color w:val="000000"/>
                <w:sz w:val="20"/>
                <w:szCs w:val="20"/>
                <w:lang w:val="en-US"/>
              </w:rPr>
              <w:t>-150,00</w:t>
            </w:r>
          </w:p>
        </w:tc>
        <w:tc>
          <w:tcPr>
            <w:tcW w:w="955" w:type="dxa"/>
            <w:tcBorders>
              <w:top w:val="nil"/>
              <w:left w:val="nil"/>
              <w:bottom w:val="nil"/>
              <w:right w:val="single" w:sz="8" w:space="0" w:color="auto"/>
            </w:tcBorders>
            <w:shd w:val="clear" w:color="auto" w:fill="auto"/>
            <w:vAlign w:val="center"/>
            <w:hideMark/>
          </w:tcPr>
          <w:p w14:paraId="1CB9DBCB" w14:textId="77777777" w:rsidR="007E5CDA" w:rsidRPr="007E5CDA" w:rsidRDefault="007E5CDA" w:rsidP="007E5CDA">
            <w:pPr>
              <w:spacing w:after="0" w:line="240" w:lineRule="auto"/>
              <w:jc w:val="center"/>
              <w:rPr>
                <w:rFonts w:eastAsia="Times New Roman" w:cs="Calibri"/>
                <w:color w:val="000000"/>
                <w:sz w:val="20"/>
                <w:szCs w:val="20"/>
                <w:lang w:val="en-US"/>
              </w:rPr>
            </w:pPr>
            <w:r w:rsidRPr="007E5CDA">
              <w:rPr>
                <w:rFonts w:eastAsia="Times New Roman" w:cs="Calibri"/>
                <w:color w:val="000000"/>
                <w:sz w:val="20"/>
                <w:szCs w:val="20"/>
                <w:lang w:val="en-US"/>
              </w:rPr>
              <w:t>-100,00%</w:t>
            </w:r>
          </w:p>
        </w:tc>
        <w:tc>
          <w:tcPr>
            <w:tcW w:w="222" w:type="dxa"/>
            <w:vAlign w:val="center"/>
            <w:hideMark/>
          </w:tcPr>
          <w:p w14:paraId="2131B292" w14:textId="77777777" w:rsidR="007E5CDA" w:rsidRPr="007E5CDA" w:rsidRDefault="007E5CDA" w:rsidP="007E5CDA">
            <w:pPr>
              <w:spacing w:after="0" w:line="240" w:lineRule="auto"/>
              <w:jc w:val="left"/>
              <w:rPr>
                <w:rFonts w:ascii="Times New Roman" w:eastAsia="Times New Roman" w:hAnsi="Times New Roman" w:cs="Times New Roman"/>
                <w:sz w:val="20"/>
                <w:szCs w:val="20"/>
                <w:lang w:val="en-US"/>
              </w:rPr>
            </w:pPr>
          </w:p>
        </w:tc>
      </w:tr>
      <w:tr w:rsidR="007E5CDA" w:rsidRPr="007E5CDA" w14:paraId="5AD19215" w14:textId="77777777" w:rsidTr="007E5CDA">
        <w:trPr>
          <w:trHeight w:val="300"/>
        </w:trPr>
        <w:tc>
          <w:tcPr>
            <w:tcW w:w="841" w:type="dxa"/>
            <w:tcBorders>
              <w:top w:val="nil"/>
              <w:left w:val="single" w:sz="8" w:space="0" w:color="auto"/>
              <w:bottom w:val="single" w:sz="8" w:space="0" w:color="auto"/>
              <w:right w:val="single" w:sz="8" w:space="0" w:color="auto"/>
            </w:tcBorders>
            <w:shd w:val="clear" w:color="auto" w:fill="auto"/>
            <w:noWrap/>
            <w:vAlign w:val="bottom"/>
            <w:hideMark/>
          </w:tcPr>
          <w:p w14:paraId="28F16A4A" w14:textId="77777777" w:rsidR="007E5CDA" w:rsidRPr="007E5CDA" w:rsidRDefault="007E5CDA" w:rsidP="007E5CDA">
            <w:pPr>
              <w:spacing w:after="0" w:line="240" w:lineRule="auto"/>
              <w:jc w:val="left"/>
              <w:rPr>
                <w:rFonts w:eastAsia="Times New Roman" w:cs="Calibri"/>
                <w:color w:val="000000"/>
                <w:sz w:val="20"/>
                <w:szCs w:val="20"/>
                <w:lang w:val="en-US"/>
              </w:rPr>
            </w:pPr>
            <w:r w:rsidRPr="007E5CDA">
              <w:rPr>
                <w:rFonts w:eastAsia="Times New Roman" w:cs="Calibri"/>
                <w:color w:val="000000"/>
                <w:sz w:val="20"/>
                <w:szCs w:val="20"/>
                <w:lang w:val="en-US"/>
              </w:rPr>
              <w:t> </w:t>
            </w:r>
          </w:p>
        </w:tc>
        <w:tc>
          <w:tcPr>
            <w:tcW w:w="3357" w:type="dxa"/>
            <w:tcBorders>
              <w:top w:val="nil"/>
              <w:left w:val="nil"/>
              <w:bottom w:val="single" w:sz="8" w:space="0" w:color="auto"/>
              <w:right w:val="single" w:sz="8" w:space="0" w:color="auto"/>
            </w:tcBorders>
            <w:shd w:val="clear" w:color="auto" w:fill="auto"/>
            <w:noWrap/>
            <w:vAlign w:val="bottom"/>
            <w:hideMark/>
          </w:tcPr>
          <w:p w14:paraId="50875679" w14:textId="77777777" w:rsidR="007E5CDA" w:rsidRPr="007E5CDA" w:rsidRDefault="007E5CDA" w:rsidP="007E5CDA">
            <w:pPr>
              <w:spacing w:after="0" w:line="240" w:lineRule="auto"/>
              <w:jc w:val="center"/>
              <w:rPr>
                <w:rFonts w:eastAsia="Times New Roman" w:cs="Calibri"/>
                <w:b/>
                <w:bCs/>
                <w:color w:val="000000"/>
                <w:sz w:val="20"/>
                <w:szCs w:val="20"/>
                <w:lang w:val="en-US"/>
              </w:rPr>
            </w:pPr>
            <w:r w:rsidRPr="007E5CDA">
              <w:rPr>
                <w:rFonts w:eastAsia="Times New Roman" w:cs="Calibri"/>
                <w:b/>
                <w:bCs/>
                <w:color w:val="000000"/>
                <w:sz w:val="20"/>
                <w:szCs w:val="20"/>
                <w:lang w:val="en-US"/>
              </w:rPr>
              <w:t>TOTALES</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14:paraId="730D45A2" w14:textId="77777777" w:rsidR="007E5CDA" w:rsidRPr="007E5CDA" w:rsidRDefault="007E5CDA" w:rsidP="007E5CDA">
            <w:pPr>
              <w:spacing w:after="0" w:line="240" w:lineRule="auto"/>
              <w:ind w:left="-108"/>
              <w:jc w:val="right"/>
              <w:rPr>
                <w:rFonts w:eastAsia="Times New Roman" w:cs="Calibri"/>
                <w:b/>
                <w:bCs/>
                <w:color w:val="000000"/>
                <w:sz w:val="20"/>
                <w:szCs w:val="20"/>
                <w:lang w:val="en-US"/>
              </w:rPr>
            </w:pPr>
            <w:r w:rsidRPr="007E5CDA">
              <w:rPr>
                <w:rFonts w:ascii="Arial" w:eastAsia="Times New Roman" w:hAnsi="Arial" w:cs="Arial"/>
                <w:b/>
                <w:bCs/>
                <w:color w:val="000000"/>
                <w:sz w:val="20"/>
                <w:szCs w:val="20"/>
                <w:lang w:val="en-US"/>
              </w:rPr>
              <w:t>₡</w:t>
            </w:r>
            <w:r w:rsidRPr="007E5CDA">
              <w:rPr>
                <w:rFonts w:eastAsia="Times New Roman" w:cs="Calibri"/>
                <w:b/>
                <w:bCs/>
                <w:color w:val="000000"/>
                <w:sz w:val="20"/>
                <w:szCs w:val="20"/>
                <w:lang w:val="en-US"/>
              </w:rPr>
              <w:t>1 430 106,55</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14:paraId="5F354459" w14:textId="77777777" w:rsidR="007E5CDA" w:rsidRPr="007E5CDA" w:rsidRDefault="007E5CDA" w:rsidP="007E5CDA">
            <w:pPr>
              <w:spacing w:after="0" w:line="240" w:lineRule="auto"/>
              <w:ind w:left="-149"/>
              <w:jc w:val="right"/>
              <w:rPr>
                <w:rFonts w:eastAsia="Times New Roman" w:cs="Calibri"/>
                <w:b/>
                <w:bCs/>
                <w:color w:val="000000"/>
                <w:sz w:val="20"/>
                <w:szCs w:val="20"/>
                <w:lang w:val="en-US"/>
              </w:rPr>
            </w:pPr>
            <w:r w:rsidRPr="007E5CDA">
              <w:rPr>
                <w:rFonts w:ascii="Arial" w:eastAsia="Times New Roman" w:hAnsi="Arial" w:cs="Arial"/>
                <w:b/>
                <w:bCs/>
                <w:color w:val="000000"/>
                <w:sz w:val="20"/>
                <w:szCs w:val="20"/>
                <w:lang w:val="en-US"/>
              </w:rPr>
              <w:t>₡</w:t>
            </w:r>
            <w:r w:rsidRPr="007E5CDA">
              <w:rPr>
                <w:rFonts w:eastAsia="Times New Roman" w:cs="Calibri"/>
                <w:b/>
                <w:bCs/>
                <w:color w:val="000000"/>
                <w:sz w:val="20"/>
                <w:szCs w:val="20"/>
                <w:lang w:val="en-US"/>
              </w:rPr>
              <w:t>1 905 864,24</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14:paraId="198BE4C6" w14:textId="77777777" w:rsidR="007E5CDA" w:rsidRPr="007E5CDA" w:rsidRDefault="007E5CDA" w:rsidP="007E5CDA">
            <w:pPr>
              <w:spacing w:after="0" w:line="240" w:lineRule="auto"/>
              <w:ind w:left="-111"/>
              <w:jc w:val="right"/>
              <w:rPr>
                <w:rFonts w:eastAsia="Times New Roman" w:cs="Calibri"/>
                <w:b/>
                <w:bCs/>
                <w:color w:val="000000"/>
                <w:sz w:val="20"/>
                <w:szCs w:val="20"/>
                <w:lang w:val="en-US"/>
              </w:rPr>
            </w:pPr>
            <w:r w:rsidRPr="007E5CDA">
              <w:rPr>
                <w:rFonts w:eastAsia="Times New Roman" w:cs="Calibri"/>
                <w:b/>
                <w:bCs/>
                <w:color w:val="000000"/>
                <w:sz w:val="20"/>
                <w:szCs w:val="20"/>
                <w:lang w:val="en-US"/>
              </w:rPr>
              <w:t>-</w:t>
            </w:r>
            <w:r w:rsidRPr="007E5CDA">
              <w:rPr>
                <w:rFonts w:ascii="Arial" w:eastAsia="Times New Roman" w:hAnsi="Arial" w:cs="Arial"/>
                <w:b/>
                <w:bCs/>
                <w:color w:val="000000"/>
                <w:sz w:val="20"/>
                <w:szCs w:val="20"/>
                <w:lang w:val="en-US"/>
              </w:rPr>
              <w:t>₡</w:t>
            </w:r>
            <w:r w:rsidRPr="007E5CDA">
              <w:rPr>
                <w:rFonts w:eastAsia="Times New Roman" w:cs="Calibri"/>
                <w:b/>
                <w:bCs/>
                <w:color w:val="000000"/>
                <w:sz w:val="20"/>
                <w:szCs w:val="20"/>
                <w:lang w:val="en-US"/>
              </w:rPr>
              <w:t>475 757,70</w:t>
            </w:r>
          </w:p>
        </w:tc>
        <w:tc>
          <w:tcPr>
            <w:tcW w:w="955" w:type="dxa"/>
            <w:tcBorders>
              <w:top w:val="single" w:sz="8" w:space="0" w:color="auto"/>
              <w:left w:val="nil"/>
              <w:bottom w:val="single" w:sz="8" w:space="0" w:color="auto"/>
              <w:right w:val="single" w:sz="8" w:space="0" w:color="auto"/>
            </w:tcBorders>
            <w:shd w:val="clear" w:color="auto" w:fill="auto"/>
            <w:vAlign w:val="center"/>
            <w:hideMark/>
          </w:tcPr>
          <w:p w14:paraId="26D43CA0" w14:textId="77777777" w:rsidR="007E5CDA" w:rsidRPr="007E5CDA" w:rsidRDefault="007E5CDA" w:rsidP="007E5CDA">
            <w:pPr>
              <w:spacing w:after="0" w:line="240" w:lineRule="auto"/>
              <w:jc w:val="center"/>
              <w:rPr>
                <w:rFonts w:eastAsia="Times New Roman" w:cs="Calibri"/>
                <w:b/>
                <w:bCs/>
                <w:color w:val="000000"/>
                <w:sz w:val="20"/>
                <w:szCs w:val="20"/>
                <w:lang w:val="en-US"/>
              </w:rPr>
            </w:pPr>
            <w:r w:rsidRPr="007E5CDA">
              <w:rPr>
                <w:rFonts w:eastAsia="Times New Roman" w:cs="Calibri"/>
                <w:b/>
                <w:bCs/>
                <w:color w:val="000000"/>
                <w:sz w:val="20"/>
                <w:szCs w:val="20"/>
                <w:lang w:val="en-US"/>
              </w:rPr>
              <w:t>-24,96%</w:t>
            </w:r>
          </w:p>
        </w:tc>
        <w:tc>
          <w:tcPr>
            <w:tcW w:w="222" w:type="dxa"/>
            <w:vAlign w:val="center"/>
            <w:hideMark/>
          </w:tcPr>
          <w:p w14:paraId="37267E8C" w14:textId="77777777" w:rsidR="007E5CDA" w:rsidRPr="007E5CDA" w:rsidRDefault="007E5CDA" w:rsidP="007E5CDA">
            <w:pPr>
              <w:spacing w:after="0" w:line="240" w:lineRule="auto"/>
              <w:jc w:val="left"/>
              <w:rPr>
                <w:rFonts w:ascii="Times New Roman" w:eastAsia="Times New Roman" w:hAnsi="Times New Roman" w:cs="Times New Roman"/>
                <w:sz w:val="20"/>
                <w:szCs w:val="20"/>
                <w:lang w:val="en-US"/>
              </w:rPr>
            </w:pPr>
          </w:p>
        </w:tc>
      </w:tr>
    </w:tbl>
    <w:p w14:paraId="2957084C" w14:textId="77777777" w:rsidR="003124B8" w:rsidRDefault="003124B8" w:rsidP="003124B8">
      <w:pPr>
        <w:spacing w:after="0" w:line="240" w:lineRule="auto"/>
      </w:pPr>
    </w:p>
    <w:p w14:paraId="2D11AA45" w14:textId="177611F9" w:rsidR="006242ED" w:rsidRPr="00204A03" w:rsidRDefault="006242ED" w:rsidP="006242ED">
      <w:pPr>
        <w:spacing w:after="0" w:line="240" w:lineRule="auto"/>
      </w:pPr>
      <w:r w:rsidRPr="000B7ED5">
        <w:t>Como se observa en el detalle anterior</w:t>
      </w:r>
      <w:r>
        <w:t>,</w:t>
      </w:r>
      <w:r w:rsidRPr="000B7ED5">
        <w:t xml:space="preserve"> la</w:t>
      </w:r>
      <w:r>
        <w:t>s</w:t>
      </w:r>
      <w:r w:rsidRPr="000B7ED5">
        <w:t xml:space="preserve"> cuenta</w:t>
      </w:r>
      <w:r>
        <w:t>s</w:t>
      </w:r>
      <w:r w:rsidRPr="000B7ED5">
        <w:t xml:space="preserve"> de mayor importancia en la variación s</w:t>
      </w:r>
      <w:r>
        <w:t>on</w:t>
      </w:r>
      <w:r w:rsidRPr="000B7ED5">
        <w:t xml:space="preserve"> </w:t>
      </w:r>
      <w:r>
        <w:t>“</w:t>
      </w:r>
      <w:r w:rsidRPr="00271B25">
        <w:t>Mantenimiento y reparaciones</w:t>
      </w:r>
      <w:r>
        <w:t xml:space="preserve">”, </w:t>
      </w:r>
      <w:r w:rsidRPr="000B7ED5">
        <w:t>que tuvo un</w:t>
      </w:r>
      <w:r>
        <w:t>a</w:t>
      </w:r>
      <w:r w:rsidRPr="000B7ED5">
        <w:t xml:space="preserve"> </w:t>
      </w:r>
      <w:r>
        <w:t>disminución neta</w:t>
      </w:r>
      <w:r w:rsidRPr="000B7ED5">
        <w:t xml:space="preserve"> de </w:t>
      </w:r>
      <w:r>
        <w:t>-</w:t>
      </w:r>
      <w:r w:rsidRPr="00B47A6C">
        <w:rPr>
          <w:rFonts w:ascii="Arial" w:hAnsi="Arial" w:cs="Arial"/>
        </w:rPr>
        <w:t>₡</w:t>
      </w:r>
      <w:r w:rsidR="007E5CDA" w:rsidRPr="007E5CDA">
        <w:t>470</w:t>
      </w:r>
      <w:r>
        <w:t> 7</w:t>
      </w:r>
      <w:r w:rsidR="007E5CDA">
        <w:t>49</w:t>
      </w:r>
      <w:r>
        <w:t>,</w:t>
      </w:r>
      <w:r w:rsidR="007E5CDA">
        <w:t>53</w:t>
      </w:r>
      <w:r>
        <w:t xml:space="preserve"> </w:t>
      </w:r>
      <w:r w:rsidRPr="00271B25">
        <w:t>miles</w:t>
      </w:r>
      <w:r>
        <w:t>. Además, las cuentas “</w:t>
      </w:r>
      <w:r w:rsidRPr="00204A03">
        <w:t xml:space="preserve">Alquileres </w:t>
      </w:r>
      <w:r>
        <w:t>de maquinarias, equipos y mobiliario”</w:t>
      </w:r>
      <w:r w:rsidR="00B47A6C">
        <w:t>,</w:t>
      </w:r>
      <w:r>
        <w:t xml:space="preserve"> “</w:t>
      </w:r>
      <w:r w:rsidRPr="00204A03">
        <w:t xml:space="preserve">Servicios de </w:t>
      </w:r>
      <w:r w:rsidR="00F552F3">
        <w:t>ingeniería</w:t>
      </w:r>
      <w:r>
        <w:t>”</w:t>
      </w:r>
      <w:r w:rsidR="00B47A6C">
        <w:t xml:space="preserve"> y </w:t>
      </w:r>
      <w:r w:rsidR="00B47A6C" w:rsidRPr="007E5CDA">
        <w:t>Mantenimiento y reparación de maquinaria y equipos para la producción</w:t>
      </w:r>
      <w:r w:rsidR="00B47A6C" w:rsidRPr="00B47A6C">
        <w:t>,</w:t>
      </w:r>
      <w:r w:rsidR="00B47A6C">
        <w:t xml:space="preserve"> </w:t>
      </w:r>
      <w:r>
        <w:t xml:space="preserve">presentan variaciones negativas importantes de </w:t>
      </w:r>
      <w:r w:rsidRPr="00204A03">
        <w:t>-</w:t>
      </w:r>
      <w:r w:rsidRPr="00B47A6C">
        <w:rPr>
          <w:rFonts w:ascii="Arial" w:hAnsi="Arial" w:cs="Arial"/>
        </w:rPr>
        <w:t>₡</w:t>
      </w:r>
      <w:r w:rsidR="007E5CDA" w:rsidRPr="007E5CDA">
        <w:t xml:space="preserve">29 510,01 </w:t>
      </w:r>
      <w:r w:rsidRPr="00204A03">
        <w:t>miles</w:t>
      </w:r>
      <w:r w:rsidR="00B47A6C">
        <w:t>,</w:t>
      </w:r>
      <w:r w:rsidRPr="00204A03">
        <w:t xml:space="preserve"> -</w:t>
      </w:r>
      <w:r w:rsidRPr="00B47A6C">
        <w:rPr>
          <w:rFonts w:ascii="Arial" w:hAnsi="Arial" w:cs="Arial"/>
        </w:rPr>
        <w:t>₡</w:t>
      </w:r>
      <w:r w:rsidR="007E5CDA" w:rsidRPr="007E5CDA">
        <w:t xml:space="preserve">21 630,88 </w:t>
      </w:r>
      <w:r w:rsidRPr="00204A03">
        <w:t xml:space="preserve">miles </w:t>
      </w:r>
      <w:r w:rsidR="00B47A6C">
        <w:t xml:space="preserve">y </w:t>
      </w:r>
      <w:r w:rsidR="00B47A6C" w:rsidRPr="00204A03">
        <w:t>-</w:t>
      </w:r>
      <w:r w:rsidR="00B47A6C" w:rsidRPr="00B47A6C">
        <w:rPr>
          <w:rFonts w:ascii="Arial" w:hAnsi="Arial" w:cs="Arial"/>
        </w:rPr>
        <w:t>₡</w:t>
      </w:r>
      <w:r w:rsidR="00B47A6C">
        <w:t>8</w:t>
      </w:r>
      <w:r w:rsidR="00B47A6C" w:rsidRPr="007E5CDA">
        <w:t xml:space="preserve"> </w:t>
      </w:r>
      <w:r w:rsidR="00B47A6C">
        <w:t>712</w:t>
      </w:r>
      <w:r w:rsidR="00B47A6C" w:rsidRPr="007E5CDA">
        <w:t>,</w:t>
      </w:r>
      <w:r w:rsidR="00B47A6C">
        <w:t>7</w:t>
      </w:r>
      <w:r w:rsidR="00B47A6C" w:rsidRPr="007E5CDA">
        <w:t xml:space="preserve">8 </w:t>
      </w:r>
      <w:r w:rsidR="00B47A6C">
        <w:t xml:space="preserve">miles, </w:t>
      </w:r>
      <w:r w:rsidRPr="00204A03">
        <w:t>respectivamente</w:t>
      </w:r>
      <w:r>
        <w:t xml:space="preserve">, </w:t>
      </w:r>
    </w:p>
    <w:p w14:paraId="19BDEFFC" w14:textId="77777777" w:rsidR="006242ED" w:rsidRDefault="006242ED" w:rsidP="006242ED">
      <w:pPr>
        <w:spacing w:after="0" w:line="240" w:lineRule="auto"/>
      </w:pPr>
    </w:p>
    <w:p w14:paraId="26AC6500" w14:textId="2103849B" w:rsidR="006242ED" w:rsidRPr="00F4405D" w:rsidRDefault="006242ED" w:rsidP="006242ED">
      <w:pPr>
        <w:spacing w:after="0" w:line="240" w:lineRule="auto"/>
      </w:pPr>
      <w:r>
        <w:t>Por otra parte, en dicho detalle se aprecia,</w:t>
      </w:r>
      <w:r w:rsidRPr="00A91674">
        <w:t xml:space="preserve"> </w:t>
      </w:r>
      <w:r>
        <w:t>que otras subcuentas presentan diferencias (aumentos) que tienen un peso considerable en la variación, tales como las subcuentas de Otros servicios básicos (</w:t>
      </w:r>
      <w:r w:rsidRPr="00B47A6C">
        <w:rPr>
          <w:rFonts w:ascii="Arial" w:hAnsi="Arial" w:cs="Arial"/>
        </w:rPr>
        <w:t>₡</w:t>
      </w:r>
      <w:r w:rsidR="00B47A6C" w:rsidRPr="007E5CDA">
        <w:t>5 939,06</w:t>
      </w:r>
      <w:r w:rsidR="00B47A6C" w:rsidRPr="00B47A6C">
        <w:t xml:space="preserve"> </w:t>
      </w:r>
      <w:r>
        <w:t>miles),</w:t>
      </w:r>
      <w:r w:rsidR="00F552F3">
        <w:t xml:space="preserve"> </w:t>
      </w:r>
      <w:r w:rsidR="00B47A6C">
        <w:t>“</w:t>
      </w:r>
      <w:r w:rsidR="00B47A6C" w:rsidRPr="007E5CDA">
        <w:t>Servicios en ciencias económicas y sociales</w:t>
      </w:r>
      <w:r w:rsidR="00B47A6C" w:rsidRPr="00B47A6C">
        <w:t>” (</w:t>
      </w:r>
      <w:r w:rsidR="00B47A6C" w:rsidRPr="00B47A6C">
        <w:rPr>
          <w:rFonts w:ascii="Arial" w:hAnsi="Arial" w:cs="Arial"/>
        </w:rPr>
        <w:t>₡</w:t>
      </w:r>
      <w:r w:rsidR="00B47A6C" w:rsidRPr="007E5CDA">
        <w:t>8 129,40</w:t>
      </w:r>
      <w:r w:rsidR="00B47A6C" w:rsidRPr="00B47A6C">
        <w:t xml:space="preserve"> miles)</w:t>
      </w:r>
      <w:r w:rsidR="00B47A6C">
        <w:t xml:space="preserve"> </w:t>
      </w:r>
      <w:r w:rsidR="00F552F3">
        <w:t>“Servicios Generales (</w:t>
      </w:r>
      <w:r w:rsidR="00F552F3" w:rsidRPr="00B47A6C">
        <w:rPr>
          <w:rFonts w:ascii="Arial" w:hAnsi="Arial" w:cs="Arial"/>
        </w:rPr>
        <w:t>₡</w:t>
      </w:r>
      <w:r w:rsidR="00B47A6C" w:rsidRPr="007E5CDA">
        <w:t>10 146,35</w:t>
      </w:r>
      <w:r w:rsidR="00B47A6C" w:rsidRPr="00B47A6C">
        <w:t xml:space="preserve"> </w:t>
      </w:r>
      <w:r w:rsidR="00F552F3" w:rsidRPr="004B2A67">
        <w:t>miles)</w:t>
      </w:r>
      <w:r w:rsidR="00F552F3">
        <w:t xml:space="preserve">”, </w:t>
      </w:r>
      <w:r w:rsidR="00B47A6C">
        <w:t>“</w:t>
      </w:r>
      <w:r w:rsidR="00B47A6C" w:rsidRPr="007E5CDA">
        <w:t>Otros servicios de gestión y apoyo</w:t>
      </w:r>
      <w:r w:rsidR="00B47A6C" w:rsidRPr="00B47A6C">
        <w:t>” (</w:t>
      </w:r>
      <w:r w:rsidR="00B47A6C" w:rsidRPr="00B47A6C">
        <w:rPr>
          <w:rFonts w:ascii="Arial" w:hAnsi="Arial" w:cs="Arial"/>
        </w:rPr>
        <w:t>₡</w:t>
      </w:r>
      <w:r w:rsidR="00B47A6C" w:rsidRPr="007E5CDA">
        <w:t>8 269,63</w:t>
      </w:r>
      <w:r w:rsidR="00B47A6C" w:rsidRPr="00B47A6C">
        <w:t xml:space="preserve"> miles), </w:t>
      </w:r>
      <w:r w:rsidR="00B47A6C">
        <w:t xml:space="preserve"> </w:t>
      </w:r>
      <w:r>
        <w:t>“Actividades de capacitación”</w:t>
      </w:r>
      <w:r w:rsidR="00B47A6C">
        <w:t xml:space="preserve"> </w:t>
      </w:r>
      <w:r w:rsidR="00B47A6C" w:rsidRPr="004A5ED9">
        <w:t>(</w:t>
      </w:r>
      <w:r w:rsidR="00B47A6C" w:rsidRPr="00B47A6C">
        <w:rPr>
          <w:rFonts w:ascii="Arial" w:hAnsi="Arial" w:cs="Arial"/>
        </w:rPr>
        <w:t>₡</w:t>
      </w:r>
      <w:r w:rsidR="00B47A6C">
        <w:t>4 860</w:t>
      </w:r>
      <w:r w:rsidR="00B47A6C" w:rsidRPr="004A5ED9">
        <w:t>,</w:t>
      </w:r>
      <w:r w:rsidR="00B47A6C">
        <w:t>00</w:t>
      </w:r>
      <w:r w:rsidR="00B47A6C" w:rsidRPr="004A5ED9">
        <w:t xml:space="preserve"> miles</w:t>
      </w:r>
      <w:r w:rsidR="00B47A6C">
        <w:t>),</w:t>
      </w:r>
      <w:r>
        <w:t xml:space="preserve"> “Actividades protocolarías y sociales” </w:t>
      </w:r>
      <w:r w:rsidR="00B47A6C">
        <w:t>(</w:t>
      </w:r>
      <w:r w:rsidRPr="00B47A6C">
        <w:rPr>
          <w:rFonts w:ascii="Arial" w:hAnsi="Arial" w:cs="Arial"/>
        </w:rPr>
        <w:t>₡</w:t>
      </w:r>
      <w:r w:rsidRPr="00E05ABA">
        <w:t>6 000,00 miles</w:t>
      </w:r>
      <w:r w:rsidR="00B47A6C">
        <w:t xml:space="preserve">) y </w:t>
      </w:r>
      <w:r w:rsidR="00B47A6C" w:rsidRPr="007E5CDA">
        <w:t>Mantenimiento y reparación de equipos de transporte, tracción y elevación</w:t>
      </w:r>
      <w:r w:rsidR="00B47A6C" w:rsidRPr="00B47A6C">
        <w:t xml:space="preserve"> (</w:t>
      </w:r>
      <w:r w:rsidR="00B47A6C" w:rsidRPr="00B47A6C">
        <w:rPr>
          <w:rFonts w:ascii="Arial" w:hAnsi="Arial" w:cs="Arial"/>
        </w:rPr>
        <w:t>₡</w:t>
      </w:r>
      <w:r w:rsidR="00B47A6C" w:rsidRPr="007E5CDA">
        <w:t>8 156,83</w:t>
      </w:r>
      <w:r w:rsidR="00B47A6C" w:rsidRPr="00B47A6C">
        <w:t xml:space="preserve"> miles)</w:t>
      </w:r>
      <w:r>
        <w:t>.</w:t>
      </w:r>
    </w:p>
    <w:p w14:paraId="10BD0B58" w14:textId="77777777" w:rsidR="00F552F3" w:rsidRDefault="00F552F3" w:rsidP="00293F0F"/>
    <w:p w14:paraId="042B080C" w14:textId="77777777" w:rsidR="00514ED6" w:rsidRDefault="00514ED6" w:rsidP="00293F0F"/>
    <w:p w14:paraId="0253AF13" w14:textId="77777777" w:rsidR="00692DC8" w:rsidRPr="00692DC8" w:rsidRDefault="00692DC8" w:rsidP="00293F0F">
      <w:pPr>
        <w:pStyle w:val="Ttulo4"/>
        <w:spacing w:after="240"/>
        <w:rPr>
          <w:rFonts w:eastAsia="Times New Roman"/>
        </w:rPr>
      </w:pPr>
      <w:bookmarkStart w:id="882" w:name="_Toc82769037"/>
      <w:bookmarkStart w:id="883" w:name="_Toc173245302"/>
      <w:r w:rsidRPr="00692DC8">
        <w:rPr>
          <w:rFonts w:eastAsia="Times New Roman"/>
        </w:rPr>
        <w:t>NOTA N° 6</w:t>
      </w:r>
      <w:bookmarkEnd w:id="880"/>
      <w:bookmarkEnd w:id="881"/>
      <w:bookmarkEnd w:id="882"/>
      <w:r w:rsidRPr="00692DC8">
        <w:rPr>
          <w:rFonts w:eastAsia="Times New Roman"/>
        </w:rPr>
        <w:t>1</w:t>
      </w:r>
      <w:bookmarkEnd w:id="883"/>
    </w:p>
    <w:p w14:paraId="74881198" w14:textId="77777777" w:rsidR="00694299" w:rsidRDefault="00692DC8" w:rsidP="00514ED6">
      <w:pPr>
        <w:spacing w:after="0" w:line="240" w:lineRule="auto"/>
        <w:rPr>
          <w:rFonts w:asciiTheme="minorHAnsi" w:hAnsiTheme="minorHAnsi"/>
          <w:sz w:val="22"/>
        </w:rPr>
      </w:pPr>
      <w:bookmarkStart w:id="884" w:name="_Toc14344927"/>
      <w:bookmarkStart w:id="885" w:name="_Toc33601319"/>
      <w:bookmarkStart w:id="886" w:name="_Toc82769038"/>
      <w:r w:rsidRPr="00692DC8">
        <w:rPr>
          <w:rFonts w:eastAsia="Times New Roman"/>
        </w:rPr>
        <w:t>Materiales y suministros consumidos</w:t>
      </w:r>
      <w:bookmarkStart w:id="887" w:name="_Toc14344933"/>
      <w:bookmarkEnd w:id="884"/>
      <w:bookmarkEnd w:id="885"/>
      <w:bookmarkEnd w:id="886"/>
      <w:r w:rsidR="00AD32EB">
        <w:rPr>
          <w:rFonts w:eastAsiaTheme="majorEastAsia" w:cstheme="majorBidi"/>
          <w:iCs/>
          <w:lang w:val="es-ES"/>
        </w:rPr>
        <w:fldChar w:fldCharType="begin"/>
      </w:r>
      <w:r w:rsidR="00AD32EB">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NOTAS_POR_CUENTA!F359C1:F361C6 </w:instrText>
      </w:r>
      <w:r w:rsidR="00AD32EB">
        <w:rPr>
          <w:lang w:val="es-ES"/>
        </w:rPr>
        <w:instrText xml:space="preserve">\a \f 4 \h </w:instrText>
      </w:r>
      <w:r w:rsidR="00AD32EB">
        <w:rPr>
          <w:b/>
          <w:lang w:val="es-ES"/>
        </w:rPr>
        <w:fldChar w:fldCharType="separate"/>
      </w:r>
    </w:p>
    <w:p w14:paraId="310B5FE3" w14:textId="0171D776" w:rsidR="00C572A3" w:rsidRDefault="00AD32EB" w:rsidP="00514ED6">
      <w:pPr>
        <w:spacing w:after="0" w:line="240" w:lineRule="auto"/>
        <w:rPr>
          <w:rFonts w:asciiTheme="minorHAnsi" w:hAnsiTheme="minorHAnsi"/>
          <w:sz w:val="22"/>
        </w:rPr>
      </w:pPr>
      <w:r>
        <w:rPr>
          <w:b/>
          <w:bCs/>
          <w:lang w:val="es-ES"/>
        </w:rPr>
        <w:fldChar w:fldCharType="end"/>
      </w:r>
      <w:r w:rsidR="00D643D3">
        <w:rPr>
          <w:b/>
          <w:bCs/>
          <w:lang w:val="es-ES"/>
        </w:rPr>
        <w:fldChar w:fldCharType="begin"/>
      </w:r>
      <w:r w:rsidR="00D643D3">
        <w:rPr>
          <w:b/>
          <w:bCs/>
          <w:lang w:val="es-ES"/>
        </w:rPr>
        <w:instrText xml:space="preserve"> LINK </w:instrText>
      </w:r>
      <w:r w:rsidR="0068177A">
        <w:rPr>
          <w:b/>
          <w:bCs/>
          <w:lang w:val="es-ES"/>
        </w:rPr>
        <w:instrText xml:space="preserve">Excel.SheetMacroEnabled.12 "C:\\Users\\arges\\OneDrive\\Desktop\\Municipalidades\\Buenos Aires\\Cierre Junio 2024\\Notas Contables\\15603_T02_2024_Anexo_Estado_Notas_Contables_Vinculadas.xlsm" NOTAS_POR_CUENTA!R359C1:R361C6 </w:instrText>
      </w:r>
      <w:r w:rsidR="00D643D3">
        <w:rPr>
          <w:b/>
          <w:bCs/>
          <w:lang w:val="es-ES"/>
        </w:rPr>
        <w:instrText xml:space="preserve">\a \f 4 \h </w:instrText>
      </w:r>
      <w:r w:rsidR="00D643D3">
        <w:rPr>
          <w:b/>
          <w:bCs/>
          <w:lang w:val="es-ES"/>
        </w:rPr>
        <w:fldChar w:fldCharType="separate"/>
      </w:r>
    </w:p>
    <w:tbl>
      <w:tblPr>
        <w:tblW w:w="10080" w:type="dxa"/>
        <w:tblLook w:val="04A0" w:firstRow="1" w:lastRow="0" w:firstColumn="1" w:lastColumn="0" w:noHBand="0" w:noVBand="1"/>
      </w:tblPr>
      <w:tblGrid>
        <w:gridCol w:w="717"/>
        <w:gridCol w:w="3339"/>
        <w:gridCol w:w="544"/>
        <w:gridCol w:w="2200"/>
        <w:gridCol w:w="2200"/>
        <w:gridCol w:w="1080"/>
      </w:tblGrid>
      <w:tr w:rsidR="00C572A3" w:rsidRPr="00C572A3" w14:paraId="35EDC0D7" w14:textId="77777777" w:rsidTr="00C572A3">
        <w:trPr>
          <w:divId w:val="1977251423"/>
          <w:trHeight w:val="320"/>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10CD06D" w14:textId="112E1C96" w:rsidR="00C572A3" w:rsidRPr="00C572A3" w:rsidRDefault="00C572A3" w:rsidP="00514ED6">
            <w:pPr>
              <w:spacing w:after="0" w:line="240" w:lineRule="auto"/>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3A4C821" w14:textId="77777777" w:rsidR="00C572A3" w:rsidRPr="00C572A3" w:rsidRDefault="00C572A3" w:rsidP="00514ED6">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Descripción</w:t>
            </w:r>
          </w:p>
        </w:tc>
        <w:tc>
          <w:tcPr>
            <w:tcW w:w="5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39E6E5D" w14:textId="77777777" w:rsidR="00C572A3" w:rsidRPr="00C572A3" w:rsidRDefault="00C572A3" w:rsidP="00514ED6">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Nota</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FFC8720" w14:textId="77777777" w:rsidR="00C572A3" w:rsidRPr="00C572A3" w:rsidRDefault="00C572A3" w:rsidP="00514ED6">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Actual </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5D8D04F" w14:textId="77777777" w:rsidR="00C572A3" w:rsidRPr="00C572A3" w:rsidRDefault="00C572A3" w:rsidP="00514ED6">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Anterior </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29BC3FF1" w14:textId="77777777" w:rsidR="00C572A3" w:rsidRPr="00C572A3" w:rsidRDefault="00C572A3" w:rsidP="00514ED6">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Diferencia </w:t>
            </w:r>
          </w:p>
        </w:tc>
      </w:tr>
      <w:tr w:rsidR="00C572A3" w:rsidRPr="00C572A3" w14:paraId="6A691520" w14:textId="77777777" w:rsidTr="00C572A3">
        <w:trPr>
          <w:divId w:val="1977251423"/>
          <w:trHeight w:val="320"/>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7D0BCC19" w14:textId="77777777" w:rsidR="00C572A3" w:rsidRPr="00C572A3" w:rsidRDefault="00C572A3" w:rsidP="00514ED6">
            <w:pPr>
              <w:spacing w:after="0" w:line="240" w:lineRule="auto"/>
              <w:jc w:val="left"/>
              <w:rPr>
                <w:rFonts w:eastAsia="Times New Roman" w:cs="Calibri"/>
                <w:b/>
                <w:bCs/>
                <w:color w:val="FFFFFF"/>
                <w:sz w:val="18"/>
                <w:szCs w:val="18"/>
                <w:lang w:val="en-US"/>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48A1CCAC" w14:textId="77777777" w:rsidR="00C572A3" w:rsidRPr="00C572A3" w:rsidRDefault="00C572A3" w:rsidP="00514ED6">
            <w:pPr>
              <w:spacing w:after="0" w:line="240" w:lineRule="auto"/>
              <w:jc w:val="left"/>
              <w:rPr>
                <w:rFonts w:eastAsia="Times New Roman" w:cs="Calibri"/>
                <w:b/>
                <w:bCs/>
                <w:color w:val="FFFFFF"/>
                <w:sz w:val="18"/>
                <w:szCs w:val="18"/>
                <w:lang w:val="en-US"/>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14:paraId="0235CA6A" w14:textId="77777777" w:rsidR="00C572A3" w:rsidRPr="00C572A3" w:rsidRDefault="00C572A3" w:rsidP="00514ED6">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64A2F582" w14:textId="77777777" w:rsidR="00C572A3" w:rsidRPr="00C572A3" w:rsidRDefault="00C572A3" w:rsidP="00514ED6">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5AB1747D" w14:textId="77777777" w:rsidR="00C572A3" w:rsidRPr="00C572A3" w:rsidRDefault="00C572A3" w:rsidP="00514ED6">
            <w:pPr>
              <w:spacing w:after="0" w:line="240" w:lineRule="auto"/>
              <w:jc w:val="left"/>
              <w:rPr>
                <w:rFonts w:eastAsia="Times New Roman" w:cs="Calibri"/>
                <w:b/>
                <w:bCs/>
                <w:color w:val="FFFFFF"/>
                <w:sz w:val="18"/>
                <w:szCs w:val="18"/>
                <w:lang w:val="en-US"/>
              </w:rPr>
            </w:pPr>
          </w:p>
        </w:tc>
        <w:tc>
          <w:tcPr>
            <w:tcW w:w="1080" w:type="dxa"/>
            <w:tcBorders>
              <w:top w:val="nil"/>
              <w:left w:val="nil"/>
              <w:bottom w:val="single" w:sz="8" w:space="0" w:color="auto"/>
              <w:right w:val="single" w:sz="8" w:space="0" w:color="auto"/>
            </w:tcBorders>
            <w:shd w:val="clear" w:color="000000" w:fill="366092"/>
            <w:noWrap/>
            <w:vAlign w:val="center"/>
            <w:hideMark/>
          </w:tcPr>
          <w:p w14:paraId="64CEBE58" w14:textId="77777777" w:rsidR="00C572A3" w:rsidRPr="00C572A3" w:rsidRDefault="00C572A3" w:rsidP="00514ED6">
            <w:pPr>
              <w:spacing w:after="0" w:line="240" w:lineRule="auto"/>
              <w:jc w:val="center"/>
              <w:rPr>
                <w:rFonts w:eastAsia="Times New Roman" w:cs="Calibri"/>
                <w:color w:val="FFFFFF"/>
                <w:sz w:val="18"/>
                <w:szCs w:val="18"/>
                <w:lang w:val="en-US"/>
              </w:rPr>
            </w:pPr>
            <w:r w:rsidRPr="00C572A3">
              <w:rPr>
                <w:rFonts w:eastAsia="Times New Roman" w:cs="Calibri"/>
                <w:color w:val="FFFFFF"/>
                <w:sz w:val="18"/>
                <w:szCs w:val="18"/>
                <w:lang w:val="en-US"/>
              </w:rPr>
              <w:t>%</w:t>
            </w:r>
          </w:p>
        </w:tc>
      </w:tr>
      <w:tr w:rsidR="00C572A3" w:rsidRPr="00C572A3" w14:paraId="60484FED" w14:textId="77777777" w:rsidTr="00C572A3">
        <w:trPr>
          <w:divId w:val="1977251423"/>
          <w:trHeight w:val="320"/>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5C5C60B0" w14:textId="77777777" w:rsidR="00C572A3" w:rsidRPr="00C572A3" w:rsidRDefault="00C572A3" w:rsidP="00514ED6">
            <w:pPr>
              <w:spacing w:after="0" w:line="240" w:lineRule="auto"/>
              <w:jc w:val="left"/>
              <w:rPr>
                <w:rFonts w:eastAsia="Times New Roman" w:cs="Calibri"/>
                <w:b/>
                <w:bCs/>
                <w:color w:val="000000"/>
                <w:sz w:val="18"/>
                <w:szCs w:val="18"/>
                <w:lang w:val="en-US"/>
              </w:rPr>
            </w:pPr>
            <w:r w:rsidRPr="00C572A3">
              <w:rPr>
                <w:rFonts w:eastAsia="Times New Roman" w:cs="Calibri"/>
                <w:b/>
                <w:bCs/>
                <w:color w:val="000000"/>
                <w:sz w:val="18"/>
                <w:szCs w:val="18"/>
                <w:lang w:val="en-US"/>
              </w:rPr>
              <w:t>5.1.3.</w:t>
            </w:r>
          </w:p>
        </w:tc>
        <w:tc>
          <w:tcPr>
            <w:tcW w:w="3380" w:type="dxa"/>
            <w:tcBorders>
              <w:top w:val="nil"/>
              <w:left w:val="nil"/>
              <w:bottom w:val="single" w:sz="8" w:space="0" w:color="auto"/>
              <w:right w:val="single" w:sz="8" w:space="0" w:color="auto"/>
            </w:tcBorders>
            <w:shd w:val="clear" w:color="auto" w:fill="auto"/>
            <w:vAlign w:val="center"/>
            <w:hideMark/>
          </w:tcPr>
          <w:p w14:paraId="5EF627A3" w14:textId="77777777" w:rsidR="00C572A3" w:rsidRPr="00C572A3" w:rsidRDefault="00C572A3" w:rsidP="00514ED6">
            <w:pPr>
              <w:spacing w:after="0" w:line="240" w:lineRule="auto"/>
              <w:rPr>
                <w:rFonts w:eastAsia="Times New Roman" w:cs="Calibri"/>
                <w:b/>
                <w:bCs/>
                <w:color w:val="000000"/>
                <w:sz w:val="18"/>
                <w:szCs w:val="18"/>
                <w:lang w:val="en-US"/>
              </w:rPr>
            </w:pPr>
            <w:r w:rsidRPr="00C572A3">
              <w:rPr>
                <w:rFonts w:eastAsia="Times New Roman" w:cs="Calibri"/>
                <w:b/>
                <w:bCs/>
                <w:color w:val="000000"/>
                <w:sz w:val="18"/>
                <w:szCs w:val="18"/>
                <w:lang w:val="en-US"/>
              </w:rPr>
              <w:t>Materiales y suministros consumidos</w:t>
            </w:r>
          </w:p>
        </w:tc>
        <w:tc>
          <w:tcPr>
            <w:tcW w:w="520" w:type="dxa"/>
            <w:tcBorders>
              <w:top w:val="nil"/>
              <w:left w:val="nil"/>
              <w:bottom w:val="single" w:sz="8" w:space="0" w:color="auto"/>
              <w:right w:val="single" w:sz="8" w:space="0" w:color="auto"/>
            </w:tcBorders>
            <w:shd w:val="clear" w:color="auto" w:fill="auto"/>
            <w:noWrap/>
            <w:vAlign w:val="center"/>
            <w:hideMark/>
          </w:tcPr>
          <w:p w14:paraId="245B810B" w14:textId="77777777" w:rsidR="00C572A3" w:rsidRPr="00C572A3" w:rsidRDefault="00C572A3" w:rsidP="00514ED6">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61</w:t>
            </w:r>
          </w:p>
        </w:tc>
        <w:tc>
          <w:tcPr>
            <w:tcW w:w="2200" w:type="dxa"/>
            <w:tcBorders>
              <w:top w:val="nil"/>
              <w:left w:val="nil"/>
              <w:bottom w:val="single" w:sz="8" w:space="0" w:color="auto"/>
              <w:right w:val="single" w:sz="8" w:space="0" w:color="auto"/>
            </w:tcBorders>
            <w:shd w:val="clear" w:color="auto" w:fill="auto"/>
            <w:noWrap/>
            <w:vAlign w:val="center"/>
            <w:hideMark/>
          </w:tcPr>
          <w:p w14:paraId="65723AE4" w14:textId="77777777" w:rsidR="00C572A3" w:rsidRPr="00C572A3" w:rsidRDefault="00C572A3" w:rsidP="00514ED6">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289 260,24 </w:t>
            </w:r>
          </w:p>
        </w:tc>
        <w:tc>
          <w:tcPr>
            <w:tcW w:w="2200" w:type="dxa"/>
            <w:tcBorders>
              <w:top w:val="nil"/>
              <w:left w:val="nil"/>
              <w:bottom w:val="single" w:sz="8" w:space="0" w:color="auto"/>
              <w:right w:val="single" w:sz="8" w:space="0" w:color="auto"/>
            </w:tcBorders>
            <w:shd w:val="clear" w:color="auto" w:fill="auto"/>
            <w:noWrap/>
            <w:vAlign w:val="center"/>
            <w:hideMark/>
          </w:tcPr>
          <w:p w14:paraId="6A4A29FF" w14:textId="77777777" w:rsidR="00C572A3" w:rsidRPr="00C572A3" w:rsidRDefault="00C572A3" w:rsidP="00514ED6">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259 761,80 </w:t>
            </w:r>
          </w:p>
        </w:tc>
        <w:tc>
          <w:tcPr>
            <w:tcW w:w="1080" w:type="dxa"/>
            <w:tcBorders>
              <w:top w:val="nil"/>
              <w:left w:val="nil"/>
              <w:bottom w:val="single" w:sz="8" w:space="0" w:color="auto"/>
              <w:right w:val="single" w:sz="8" w:space="0" w:color="auto"/>
            </w:tcBorders>
            <w:shd w:val="clear" w:color="auto" w:fill="auto"/>
            <w:noWrap/>
            <w:vAlign w:val="center"/>
            <w:hideMark/>
          </w:tcPr>
          <w:p w14:paraId="3A3A0E6D" w14:textId="77777777" w:rsidR="00C572A3" w:rsidRPr="00C572A3" w:rsidRDefault="00C572A3" w:rsidP="00514ED6">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11,36%</w:t>
            </w:r>
          </w:p>
        </w:tc>
      </w:tr>
    </w:tbl>
    <w:p w14:paraId="5CD4F1AD" w14:textId="77777777" w:rsidR="00514ED6" w:rsidRDefault="00D643D3" w:rsidP="00514ED6">
      <w:pPr>
        <w:spacing w:after="0" w:line="240" w:lineRule="auto"/>
        <w:rPr>
          <w:b/>
          <w:bCs/>
          <w:lang w:val="es-ES"/>
        </w:rPr>
      </w:pPr>
      <w:r>
        <w:rPr>
          <w:b/>
          <w:bCs/>
          <w:lang w:val="es-ES"/>
        </w:rPr>
        <w:fldChar w:fldCharType="end"/>
      </w:r>
    </w:p>
    <w:p w14:paraId="30330F1E" w14:textId="763EA88C" w:rsidR="00694299" w:rsidRPr="00C37C83" w:rsidRDefault="00692DC8" w:rsidP="00C37C83">
      <w:pPr>
        <w:rPr>
          <w:rFonts w:eastAsia="Times New Roman" w:cs="Calibri"/>
          <w:color w:val="000000"/>
          <w:lang w:eastAsia="es-CR"/>
        </w:rPr>
      </w:pPr>
      <w:r w:rsidRPr="00692DC8">
        <w:rPr>
          <w:b/>
          <w:bCs/>
          <w:lang w:val="es-ES"/>
        </w:rPr>
        <w:t>Revelación</w:t>
      </w:r>
      <w:r w:rsidRPr="00692DC8">
        <w:rPr>
          <w:lang w:val="es-ES"/>
        </w:rPr>
        <w:t xml:space="preserve">: </w:t>
      </w:r>
      <w:r w:rsidR="00AD32EB">
        <w:rPr>
          <w:rFonts w:eastAsia="Times New Roman" w:cs="Calibri"/>
          <w:color w:val="000000"/>
          <w:lang w:eastAsia="es-CR"/>
        </w:rPr>
        <w:fldChar w:fldCharType="begin"/>
      </w:r>
      <w:r w:rsidR="00AD32EB">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NOTAS_POR_CUENTA!F361C8 </w:instrText>
      </w:r>
      <w:r w:rsidR="00AD32EB">
        <w:rPr>
          <w:rFonts w:eastAsia="Times New Roman" w:cs="Calibri"/>
          <w:color w:val="000000"/>
          <w:lang w:eastAsia="es-CR"/>
        </w:rPr>
        <w:instrText xml:space="preserve">\a \f 5 \h  \* MERGEFORMAT </w:instrText>
      </w:r>
      <w:r w:rsidR="00AD32EB">
        <w:rPr>
          <w:rFonts w:eastAsia="Times New Roman" w:cs="Calibri"/>
          <w:color w:val="000000"/>
          <w:lang w:eastAsia="es-CR"/>
        </w:rPr>
        <w:fldChar w:fldCharType="separate"/>
      </w:r>
    </w:p>
    <w:p w14:paraId="2D044C21" w14:textId="5EFDB6E2" w:rsidR="00694299" w:rsidRPr="00694299" w:rsidRDefault="00694299" w:rsidP="00C37C83">
      <w:pPr>
        <w:spacing w:line="240" w:lineRule="auto"/>
        <w:rPr>
          <w:rFonts w:eastAsia="Times New Roman" w:cs="Calibri"/>
          <w:color w:val="000000"/>
          <w:lang w:eastAsia="es-CR"/>
        </w:rPr>
      </w:pPr>
      <w:r w:rsidRPr="00694299">
        <w:rPr>
          <w:rFonts w:eastAsia="Times New Roman" w:cs="Calibri"/>
          <w:color w:val="000000"/>
          <w:lang w:eastAsia="es-CR"/>
        </w:rPr>
        <w:t xml:space="preserve">La cuenta Materiales y suministros consumidos, representa el </w:t>
      </w:r>
      <w:r w:rsidR="00C37C83">
        <w:rPr>
          <w:rFonts w:eastAsia="Times New Roman" w:cs="Calibri"/>
          <w:color w:val="000000"/>
          <w:lang w:eastAsia="es-CR"/>
        </w:rPr>
        <w:t>10</w:t>
      </w:r>
      <w:r w:rsidRPr="00694299">
        <w:rPr>
          <w:rFonts w:eastAsia="Times New Roman" w:cs="Calibri"/>
          <w:color w:val="000000"/>
          <w:lang w:eastAsia="es-CR"/>
        </w:rPr>
        <w:t>,</w:t>
      </w:r>
      <w:r w:rsidR="00C37C83">
        <w:rPr>
          <w:rFonts w:eastAsia="Times New Roman" w:cs="Calibri"/>
          <w:color w:val="000000"/>
          <w:lang w:eastAsia="es-CR"/>
        </w:rPr>
        <w:t>5</w:t>
      </w:r>
      <w:r w:rsidRPr="00694299">
        <w:rPr>
          <w:rFonts w:eastAsia="Times New Roman" w:cs="Calibri"/>
          <w:color w:val="000000"/>
          <w:lang w:eastAsia="es-CR"/>
        </w:rPr>
        <w:t xml:space="preserve">0% del total del Gastos, que comparado al periodo anterior genera una variación absoluta de </w:t>
      </w:r>
      <w:r w:rsidR="00C37C83" w:rsidRPr="00C37C83">
        <w:rPr>
          <w:rFonts w:eastAsia="Times New Roman" w:cs="Calibri"/>
          <w:color w:val="000000"/>
          <w:lang w:eastAsia="es-CR"/>
        </w:rPr>
        <w:t>29 498,45</w:t>
      </w:r>
      <w:r w:rsidRPr="00694299">
        <w:rPr>
          <w:rFonts w:eastAsia="Times New Roman" w:cs="Calibri"/>
          <w:color w:val="000000"/>
          <w:lang w:eastAsia="es-CR"/>
        </w:rPr>
        <w:t xml:space="preserve"> que corresponde a un Aumento del </w:t>
      </w:r>
      <w:r w:rsidR="00C37C83">
        <w:rPr>
          <w:rFonts w:eastAsia="Times New Roman" w:cs="Calibri"/>
          <w:color w:val="000000"/>
          <w:lang w:eastAsia="es-CR"/>
        </w:rPr>
        <w:t>11</w:t>
      </w:r>
      <w:r w:rsidRPr="00694299">
        <w:rPr>
          <w:rFonts w:eastAsia="Times New Roman" w:cs="Calibri"/>
          <w:color w:val="000000"/>
          <w:lang w:eastAsia="es-CR"/>
        </w:rPr>
        <w:t>,</w:t>
      </w:r>
      <w:r w:rsidR="00C37C83">
        <w:rPr>
          <w:rFonts w:eastAsia="Times New Roman" w:cs="Calibri"/>
          <w:color w:val="000000"/>
          <w:lang w:eastAsia="es-CR"/>
        </w:rPr>
        <w:t>36</w:t>
      </w:r>
      <w:r w:rsidRPr="00694299">
        <w:rPr>
          <w:rFonts w:eastAsia="Times New Roman" w:cs="Calibri"/>
          <w:color w:val="000000"/>
          <w:lang w:eastAsia="es-CR"/>
        </w:rPr>
        <w:t>% de recursos disponibles.</w:t>
      </w:r>
    </w:p>
    <w:p w14:paraId="2E034559" w14:textId="788D4683" w:rsidR="00692DC8" w:rsidRPr="00293F0F" w:rsidRDefault="00AD32EB" w:rsidP="00C37C83">
      <w:pPr>
        <w:spacing w:line="240" w:lineRule="auto"/>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49222CE7" w14:textId="79EFBD96" w:rsidR="00514ED6" w:rsidRPr="00514ED6" w:rsidRDefault="00F552F3" w:rsidP="00514ED6">
      <w:pPr>
        <w:spacing w:after="0" w:line="240" w:lineRule="auto"/>
        <w:rPr>
          <w:rFonts w:eastAsia="Times New Roman" w:cs="Calibri"/>
          <w:color w:val="000000"/>
          <w:sz w:val="20"/>
          <w:szCs w:val="20"/>
        </w:rPr>
      </w:pPr>
      <w:r w:rsidRPr="00A04154">
        <w:rPr>
          <w:rFonts w:eastAsiaTheme="minorEastAsia" w:cs="Arial Narrow"/>
          <w:color w:val="000000"/>
          <w:lang w:eastAsia="es-CR"/>
        </w:rPr>
        <w:t xml:space="preserve">Como se observa en el </w:t>
      </w:r>
      <w:r>
        <w:rPr>
          <w:rFonts w:eastAsiaTheme="minorEastAsia" w:cs="Arial Narrow"/>
          <w:color w:val="000000"/>
          <w:lang w:eastAsia="es-CR"/>
        </w:rPr>
        <w:t xml:space="preserve">siguiente </w:t>
      </w:r>
      <w:r w:rsidRPr="00A04154">
        <w:rPr>
          <w:rFonts w:eastAsiaTheme="minorEastAsia" w:cs="Arial Narrow"/>
          <w:color w:val="000000"/>
          <w:lang w:eastAsia="es-CR"/>
        </w:rPr>
        <w:t xml:space="preserve">cuadro la variación </w:t>
      </w:r>
      <w:r>
        <w:rPr>
          <w:rFonts w:eastAsiaTheme="minorEastAsia" w:cs="Arial Narrow"/>
          <w:color w:val="000000"/>
          <w:lang w:eastAsia="es-CR"/>
        </w:rPr>
        <w:t xml:space="preserve">(aumento) de </w:t>
      </w:r>
      <w:r w:rsidRPr="00767BA3">
        <w:rPr>
          <w:rFonts w:ascii="Arial" w:eastAsiaTheme="minorEastAsia" w:hAnsi="Arial" w:cs="Arial"/>
          <w:color w:val="000000"/>
          <w:lang w:eastAsia="es-CR"/>
        </w:rPr>
        <w:t>₡</w:t>
      </w:r>
      <w:r w:rsidR="00514ED6">
        <w:rPr>
          <w:rFonts w:eastAsiaTheme="minorEastAsia" w:cs="Arial Narrow"/>
          <w:color w:val="000000"/>
          <w:lang w:eastAsia="es-CR"/>
        </w:rPr>
        <w:t>29</w:t>
      </w:r>
      <w:r>
        <w:rPr>
          <w:rFonts w:eastAsiaTheme="minorEastAsia" w:cs="Arial Narrow"/>
          <w:color w:val="000000"/>
          <w:lang w:eastAsia="es-CR"/>
        </w:rPr>
        <w:t> </w:t>
      </w:r>
      <w:r w:rsidR="00514ED6">
        <w:rPr>
          <w:rFonts w:eastAsiaTheme="minorEastAsia" w:cs="Arial Narrow"/>
          <w:color w:val="000000"/>
          <w:lang w:eastAsia="es-CR"/>
        </w:rPr>
        <w:t>4</w:t>
      </w:r>
      <w:r>
        <w:rPr>
          <w:rFonts w:eastAsiaTheme="minorEastAsia" w:cs="Arial Narrow"/>
          <w:color w:val="000000"/>
          <w:lang w:eastAsia="es-CR"/>
        </w:rPr>
        <w:t>9</w:t>
      </w:r>
      <w:r w:rsidR="00514ED6">
        <w:rPr>
          <w:rFonts w:eastAsiaTheme="minorEastAsia" w:cs="Arial Narrow"/>
          <w:color w:val="000000"/>
          <w:lang w:eastAsia="es-CR"/>
        </w:rPr>
        <w:t>8</w:t>
      </w:r>
      <w:r>
        <w:rPr>
          <w:rFonts w:eastAsiaTheme="minorEastAsia" w:cs="Arial Narrow"/>
          <w:color w:val="000000"/>
          <w:lang w:eastAsia="es-CR"/>
        </w:rPr>
        <w:t>,</w:t>
      </w:r>
      <w:r w:rsidR="00514ED6">
        <w:rPr>
          <w:rFonts w:eastAsiaTheme="minorEastAsia" w:cs="Arial Narrow"/>
          <w:color w:val="000000"/>
          <w:lang w:eastAsia="es-CR"/>
        </w:rPr>
        <w:t>45</w:t>
      </w:r>
      <w:r>
        <w:rPr>
          <w:rFonts w:eastAsiaTheme="minorEastAsia" w:cs="Arial Narrow"/>
          <w:color w:val="000000"/>
          <w:lang w:eastAsia="es-CR"/>
        </w:rPr>
        <w:t xml:space="preserve"> miles </w:t>
      </w:r>
      <w:r w:rsidRPr="00A04154">
        <w:rPr>
          <w:rFonts w:eastAsiaTheme="minorEastAsia" w:cs="Arial Narrow"/>
          <w:color w:val="000000"/>
          <w:lang w:eastAsia="es-CR"/>
        </w:rPr>
        <w:t>en l</w:t>
      </w:r>
      <w:r>
        <w:rPr>
          <w:rFonts w:eastAsiaTheme="minorEastAsia" w:cs="Arial Narrow"/>
          <w:color w:val="000000"/>
          <w:lang w:eastAsia="es-CR"/>
        </w:rPr>
        <w:t>a cuenta de “G</w:t>
      </w:r>
      <w:r w:rsidRPr="00A04154">
        <w:rPr>
          <w:rFonts w:eastAsiaTheme="minorEastAsia" w:cs="Arial Narrow"/>
          <w:color w:val="000000"/>
          <w:lang w:eastAsia="es-CR"/>
        </w:rPr>
        <w:t>asto de materiales y suministro</w:t>
      </w:r>
      <w:r>
        <w:rPr>
          <w:rFonts w:eastAsiaTheme="minorEastAsia" w:cs="Arial Narrow"/>
          <w:color w:val="000000"/>
          <w:lang w:eastAsia="es-CR"/>
        </w:rPr>
        <w:t>s”</w:t>
      </w:r>
      <w:r w:rsidRPr="00A04154">
        <w:rPr>
          <w:rFonts w:eastAsiaTheme="minorEastAsia" w:cs="Arial Narrow"/>
          <w:color w:val="000000"/>
          <w:lang w:eastAsia="es-CR"/>
        </w:rPr>
        <w:t xml:space="preserve"> </w:t>
      </w:r>
      <w:r>
        <w:rPr>
          <w:rFonts w:eastAsiaTheme="minorEastAsia" w:cs="Arial Narrow"/>
          <w:color w:val="000000"/>
          <w:lang w:eastAsia="es-CR"/>
        </w:rPr>
        <w:t xml:space="preserve">al </w:t>
      </w:r>
      <w:r w:rsidR="00D470B6">
        <w:rPr>
          <w:rFonts w:eastAsiaTheme="minorEastAsia" w:cs="Arial Narrow"/>
          <w:color w:val="000000"/>
          <w:lang w:eastAsia="es-CR"/>
        </w:rPr>
        <w:t>30 de junio</w:t>
      </w:r>
      <w:r>
        <w:rPr>
          <w:rFonts w:eastAsiaTheme="minorEastAsia" w:cs="Arial Narrow"/>
          <w:color w:val="000000"/>
          <w:lang w:eastAsia="es-CR"/>
        </w:rPr>
        <w:t xml:space="preserve"> de</w:t>
      </w:r>
      <w:r w:rsidRPr="00A04154">
        <w:rPr>
          <w:rFonts w:eastAsiaTheme="minorEastAsia" w:cs="Arial Narrow"/>
          <w:color w:val="000000"/>
          <w:lang w:eastAsia="es-CR"/>
        </w:rPr>
        <w:t xml:space="preserve"> </w:t>
      </w:r>
      <w:r>
        <w:rPr>
          <w:rFonts w:eastAsiaTheme="minorEastAsia" w:cs="Arial Narrow"/>
          <w:color w:val="000000"/>
          <w:lang w:eastAsia="es-CR"/>
        </w:rPr>
        <w:t>2024</w:t>
      </w:r>
      <w:r w:rsidRPr="00A04154">
        <w:rPr>
          <w:rFonts w:eastAsiaTheme="minorEastAsia" w:cs="Arial Narrow"/>
          <w:color w:val="000000"/>
          <w:lang w:eastAsia="es-CR"/>
        </w:rPr>
        <w:t xml:space="preserve"> en relación con el </w:t>
      </w:r>
      <w:r w:rsidR="00D470B6">
        <w:rPr>
          <w:rFonts w:eastAsiaTheme="minorEastAsia" w:cs="Arial Narrow"/>
          <w:color w:val="000000"/>
          <w:lang w:eastAsia="es-CR"/>
        </w:rPr>
        <w:t>30 de junio</w:t>
      </w:r>
      <w:r>
        <w:rPr>
          <w:rFonts w:eastAsiaTheme="minorEastAsia" w:cs="Arial Narrow"/>
          <w:color w:val="000000"/>
          <w:lang w:eastAsia="es-CR"/>
        </w:rPr>
        <w:t xml:space="preserve"> de 2023</w:t>
      </w:r>
      <w:r w:rsidRPr="00A04154">
        <w:rPr>
          <w:rFonts w:eastAsiaTheme="minorEastAsia" w:cs="Arial Narrow"/>
          <w:color w:val="000000"/>
          <w:lang w:eastAsia="es-CR"/>
        </w:rPr>
        <w:t xml:space="preserve">, </w:t>
      </w:r>
      <w:r>
        <w:rPr>
          <w:rFonts w:eastAsiaTheme="minorEastAsia" w:cs="Arial Narrow"/>
          <w:color w:val="000000"/>
          <w:lang w:eastAsia="es-CR"/>
        </w:rPr>
        <w:t>es producto de un efecto neto</w:t>
      </w:r>
      <w:r w:rsidR="00514ED6">
        <w:rPr>
          <w:rFonts w:eastAsiaTheme="minorEastAsia" w:cs="Arial Narrow"/>
          <w:color w:val="000000"/>
          <w:lang w:eastAsia="es-CR"/>
        </w:rPr>
        <w:t xml:space="preserve"> de aumentos y disminuciones en las diferentes cuentas que componen el rubro</w:t>
      </w:r>
      <w:r>
        <w:rPr>
          <w:rFonts w:eastAsiaTheme="minorEastAsia" w:cs="Arial Narrow"/>
          <w:color w:val="000000"/>
          <w:lang w:eastAsia="es-CR"/>
        </w:rPr>
        <w:t>.</w:t>
      </w:r>
      <w:r w:rsidR="00514ED6">
        <w:rPr>
          <w:rFonts w:eastAsiaTheme="minorEastAsia" w:cs="Arial Narrow"/>
          <w:color w:val="000000"/>
          <w:lang w:eastAsia="es-CR"/>
        </w:rPr>
        <w:t xml:space="preserve"> </w:t>
      </w:r>
      <w:r>
        <w:rPr>
          <w:rFonts w:eastAsiaTheme="minorEastAsia" w:cs="Arial Narrow"/>
          <w:color w:val="000000"/>
          <w:lang w:eastAsia="es-CR"/>
        </w:rPr>
        <w:t>Al respecto, la</w:t>
      </w:r>
      <w:r w:rsidR="00514ED6">
        <w:rPr>
          <w:rFonts w:eastAsiaTheme="minorEastAsia" w:cs="Arial Narrow"/>
          <w:color w:val="000000"/>
          <w:lang w:eastAsia="es-CR"/>
        </w:rPr>
        <w:t>s</w:t>
      </w:r>
      <w:r>
        <w:rPr>
          <w:rFonts w:eastAsiaTheme="minorEastAsia" w:cs="Arial Narrow"/>
          <w:color w:val="000000"/>
          <w:lang w:eastAsia="es-CR"/>
        </w:rPr>
        <w:t xml:space="preserve"> cuenta</w:t>
      </w:r>
      <w:r w:rsidR="00514ED6">
        <w:rPr>
          <w:rFonts w:eastAsiaTheme="minorEastAsia" w:cs="Arial Narrow"/>
          <w:color w:val="000000"/>
          <w:lang w:eastAsia="es-CR"/>
        </w:rPr>
        <w:t>s</w:t>
      </w:r>
      <w:r>
        <w:rPr>
          <w:rFonts w:eastAsiaTheme="minorEastAsia" w:cs="Arial Narrow"/>
          <w:color w:val="000000"/>
          <w:lang w:eastAsia="es-CR"/>
        </w:rPr>
        <w:t xml:space="preserve"> que presentan la</w:t>
      </w:r>
      <w:r w:rsidR="00514ED6">
        <w:rPr>
          <w:rFonts w:eastAsiaTheme="minorEastAsia" w:cs="Arial Narrow"/>
          <w:color w:val="000000"/>
          <w:lang w:eastAsia="es-CR"/>
        </w:rPr>
        <w:t>s</w:t>
      </w:r>
      <w:r>
        <w:rPr>
          <w:rFonts w:eastAsiaTheme="minorEastAsia" w:cs="Arial Narrow"/>
          <w:color w:val="000000"/>
          <w:lang w:eastAsia="es-CR"/>
        </w:rPr>
        <w:t xml:space="preserve"> </w:t>
      </w:r>
      <w:r w:rsidR="00AF0375">
        <w:rPr>
          <w:rFonts w:eastAsiaTheme="minorEastAsia" w:cs="Arial Narrow"/>
          <w:color w:val="000000"/>
          <w:lang w:eastAsia="es-CR"/>
        </w:rPr>
        <w:t>variaci</w:t>
      </w:r>
      <w:r w:rsidR="00514ED6">
        <w:rPr>
          <w:rFonts w:eastAsiaTheme="minorEastAsia" w:cs="Arial Narrow"/>
          <w:color w:val="000000"/>
          <w:lang w:eastAsia="es-CR"/>
        </w:rPr>
        <w:t>o</w:t>
      </w:r>
      <w:r w:rsidR="00AF0375">
        <w:rPr>
          <w:rFonts w:eastAsiaTheme="minorEastAsia" w:cs="Arial Narrow"/>
          <w:color w:val="000000"/>
          <w:lang w:eastAsia="es-CR"/>
        </w:rPr>
        <w:t>n</w:t>
      </w:r>
      <w:r w:rsidR="00514ED6">
        <w:rPr>
          <w:rFonts w:eastAsiaTheme="minorEastAsia" w:cs="Arial Narrow"/>
          <w:color w:val="000000"/>
          <w:lang w:eastAsia="es-CR"/>
        </w:rPr>
        <w:t>es</w:t>
      </w:r>
      <w:r w:rsidR="00AF0375">
        <w:rPr>
          <w:rFonts w:eastAsiaTheme="minorEastAsia" w:cs="Arial Narrow"/>
          <w:color w:val="000000"/>
          <w:lang w:eastAsia="es-CR"/>
        </w:rPr>
        <w:t xml:space="preserve"> más significativa</w:t>
      </w:r>
      <w:r w:rsidR="00514ED6">
        <w:rPr>
          <w:rFonts w:eastAsiaTheme="minorEastAsia" w:cs="Arial Narrow"/>
          <w:color w:val="000000"/>
          <w:lang w:eastAsia="es-CR"/>
        </w:rPr>
        <w:t>s</w:t>
      </w:r>
      <w:r>
        <w:rPr>
          <w:rFonts w:eastAsiaTheme="minorEastAsia" w:cs="Arial Narrow"/>
          <w:color w:val="000000"/>
          <w:lang w:eastAsia="es-CR"/>
        </w:rPr>
        <w:t xml:space="preserve"> </w:t>
      </w:r>
      <w:r w:rsidR="00B80E84">
        <w:rPr>
          <w:rFonts w:eastAsiaTheme="minorEastAsia" w:cs="Arial Narrow"/>
          <w:color w:val="000000"/>
          <w:lang w:eastAsia="es-CR"/>
        </w:rPr>
        <w:t>s</w:t>
      </w:r>
      <w:r w:rsidR="00514ED6">
        <w:rPr>
          <w:rFonts w:eastAsiaTheme="minorEastAsia" w:cs="Arial Narrow"/>
          <w:color w:val="000000"/>
          <w:lang w:eastAsia="es-CR"/>
        </w:rPr>
        <w:t>on “</w:t>
      </w:r>
      <w:r w:rsidR="00514ED6" w:rsidRPr="00514ED6">
        <w:rPr>
          <w:rFonts w:eastAsiaTheme="minorEastAsia" w:cs="Arial Narrow"/>
          <w:color w:val="000000"/>
          <w:lang w:eastAsia="es-CR"/>
        </w:rPr>
        <w:t>Productos químicos y conexos”,</w:t>
      </w:r>
      <w:r>
        <w:rPr>
          <w:rFonts w:eastAsiaTheme="minorEastAsia" w:cs="Arial Narrow"/>
          <w:color w:val="000000"/>
          <w:lang w:eastAsia="es-CR"/>
        </w:rPr>
        <w:t xml:space="preserve"> </w:t>
      </w:r>
      <w:r w:rsidR="00514ED6">
        <w:rPr>
          <w:rFonts w:eastAsiaTheme="minorEastAsia" w:cs="Arial Narrow"/>
          <w:color w:val="000000"/>
          <w:lang w:eastAsia="es-CR"/>
        </w:rPr>
        <w:t>“</w:t>
      </w:r>
      <w:r w:rsidRPr="00A425DD">
        <w:rPr>
          <w:rFonts w:eastAsiaTheme="minorEastAsia" w:cs="Arial Narrow"/>
          <w:color w:val="000000"/>
          <w:lang w:eastAsia="es-CR"/>
        </w:rPr>
        <w:t>Materiales y productos de uso en la construcción y mantenimiento</w:t>
      </w:r>
      <w:r w:rsidR="00514ED6">
        <w:rPr>
          <w:rFonts w:eastAsiaTheme="minorEastAsia" w:cs="Arial Narrow"/>
          <w:color w:val="000000"/>
          <w:lang w:eastAsia="es-CR"/>
        </w:rPr>
        <w:t>” y “</w:t>
      </w:r>
      <w:r w:rsidR="00514ED6" w:rsidRPr="00514ED6">
        <w:rPr>
          <w:rFonts w:eastAsiaTheme="minorEastAsia" w:cs="Arial Narrow"/>
          <w:color w:val="000000"/>
          <w:lang w:eastAsia="es-CR"/>
        </w:rPr>
        <w:t>Útiles, materiales y suministros diversos”,</w:t>
      </w:r>
      <w:r w:rsidR="00514ED6" w:rsidRPr="00A425DD">
        <w:rPr>
          <w:rFonts w:eastAsiaTheme="minorEastAsia" w:cs="Arial Narrow"/>
          <w:color w:val="000000"/>
          <w:lang w:eastAsia="es-CR"/>
        </w:rPr>
        <w:t xml:space="preserve"> </w:t>
      </w:r>
      <w:r w:rsidRPr="00A425DD">
        <w:rPr>
          <w:rFonts w:eastAsiaTheme="minorEastAsia" w:cs="Arial Narrow"/>
          <w:color w:val="000000"/>
          <w:lang w:eastAsia="es-CR"/>
        </w:rPr>
        <w:t>que presenta</w:t>
      </w:r>
      <w:r w:rsidR="00514ED6">
        <w:rPr>
          <w:rFonts w:eastAsiaTheme="minorEastAsia" w:cs="Arial Narrow"/>
          <w:color w:val="000000"/>
          <w:lang w:eastAsia="es-CR"/>
        </w:rPr>
        <w:t>n</w:t>
      </w:r>
      <w:r w:rsidRPr="00A425DD">
        <w:rPr>
          <w:rFonts w:eastAsiaTheme="minorEastAsia" w:cs="Arial Narrow"/>
          <w:color w:val="000000"/>
          <w:lang w:eastAsia="es-CR"/>
        </w:rPr>
        <w:t xml:space="preserve"> </w:t>
      </w:r>
      <w:r w:rsidR="00514ED6">
        <w:rPr>
          <w:rFonts w:eastAsiaTheme="minorEastAsia" w:cs="Arial Narrow"/>
          <w:color w:val="000000"/>
          <w:lang w:eastAsia="es-CR"/>
        </w:rPr>
        <w:t>aumentos</w:t>
      </w:r>
      <w:r w:rsidR="00B80E84">
        <w:rPr>
          <w:rFonts w:eastAsiaTheme="minorEastAsia" w:cs="Arial Narrow"/>
          <w:color w:val="000000"/>
          <w:lang w:eastAsia="es-CR"/>
        </w:rPr>
        <w:t xml:space="preserve"> </w:t>
      </w:r>
      <w:r w:rsidRPr="00A425DD">
        <w:rPr>
          <w:rFonts w:eastAsiaTheme="minorEastAsia" w:cs="Arial Narrow"/>
          <w:color w:val="000000"/>
          <w:lang w:eastAsia="es-CR"/>
        </w:rPr>
        <w:t xml:space="preserve">de </w:t>
      </w:r>
      <w:r w:rsidRPr="00514ED6">
        <w:rPr>
          <w:rFonts w:ascii="Arial" w:eastAsiaTheme="minorEastAsia" w:hAnsi="Arial" w:cs="Arial"/>
          <w:color w:val="000000"/>
          <w:lang w:eastAsia="es-CR"/>
        </w:rPr>
        <w:t>₡</w:t>
      </w:r>
      <w:r w:rsidR="00514ED6" w:rsidRPr="00514ED6">
        <w:rPr>
          <w:rFonts w:eastAsiaTheme="minorEastAsia" w:cs="Arial Narrow"/>
          <w:color w:val="000000"/>
          <w:lang w:eastAsia="es-CR"/>
        </w:rPr>
        <w:t xml:space="preserve">15 351,76 </w:t>
      </w:r>
      <w:r w:rsidR="00B80E84">
        <w:rPr>
          <w:rFonts w:eastAsiaTheme="minorEastAsia" w:cs="Arial Narrow"/>
          <w:color w:val="000000"/>
          <w:lang w:eastAsia="es-CR"/>
        </w:rPr>
        <w:t>miles</w:t>
      </w:r>
      <w:r w:rsidR="00514ED6">
        <w:rPr>
          <w:rFonts w:eastAsiaTheme="minorEastAsia" w:cs="Arial Narrow"/>
          <w:color w:val="000000"/>
          <w:lang w:eastAsia="es-CR"/>
        </w:rPr>
        <w:t xml:space="preserve">, </w:t>
      </w:r>
      <w:r w:rsidR="00514ED6" w:rsidRPr="00514ED6">
        <w:rPr>
          <w:rFonts w:ascii="Arial" w:eastAsiaTheme="minorEastAsia" w:hAnsi="Arial" w:cs="Arial"/>
          <w:color w:val="000000"/>
          <w:lang w:eastAsia="es-CR"/>
        </w:rPr>
        <w:t>₡</w:t>
      </w:r>
      <w:r w:rsidR="00514ED6" w:rsidRPr="00514ED6">
        <w:rPr>
          <w:rFonts w:eastAsiaTheme="minorEastAsia" w:cs="Arial Narrow"/>
          <w:color w:val="000000"/>
          <w:lang w:eastAsia="es-CR"/>
        </w:rPr>
        <w:t xml:space="preserve">10 872,25 miles y </w:t>
      </w:r>
      <w:r w:rsidR="00514ED6" w:rsidRPr="00514ED6">
        <w:rPr>
          <w:rFonts w:ascii="Arial" w:eastAsiaTheme="minorEastAsia" w:hAnsi="Arial" w:cs="Arial"/>
          <w:color w:val="000000"/>
          <w:lang w:eastAsia="es-CR"/>
        </w:rPr>
        <w:t>₡</w:t>
      </w:r>
      <w:r w:rsidR="00514ED6" w:rsidRPr="00514ED6">
        <w:rPr>
          <w:rFonts w:eastAsiaTheme="minorEastAsia" w:cs="Arial Narrow"/>
          <w:color w:val="000000"/>
          <w:lang w:eastAsia="es-CR"/>
        </w:rPr>
        <w:t>8 923,02 miles respectivamente</w:t>
      </w:r>
      <w:r w:rsidR="00514ED6">
        <w:rPr>
          <w:rFonts w:eastAsiaTheme="minorEastAsia" w:cs="Arial Narrow"/>
          <w:color w:val="000000"/>
          <w:lang w:eastAsia="es-CR"/>
        </w:rPr>
        <w:t>; asimismo, la cuanta “</w:t>
      </w:r>
      <w:r w:rsidR="00514ED6" w:rsidRPr="00514ED6">
        <w:rPr>
          <w:rFonts w:eastAsiaTheme="minorEastAsia" w:cs="Arial Narrow"/>
          <w:color w:val="000000"/>
          <w:lang w:eastAsia="es-CR"/>
        </w:rPr>
        <w:t>Herramientas, repuestos y accesorios” presenta una disminución de -</w:t>
      </w:r>
      <w:r w:rsidR="00514ED6" w:rsidRPr="00514ED6">
        <w:rPr>
          <w:rFonts w:ascii="Arial" w:eastAsiaTheme="minorEastAsia" w:hAnsi="Arial" w:cs="Arial"/>
          <w:color w:val="000000"/>
          <w:lang w:eastAsia="es-CR"/>
        </w:rPr>
        <w:t>₡</w:t>
      </w:r>
      <w:r w:rsidR="00514ED6" w:rsidRPr="00514ED6">
        <w:rPr>
          <w:rFonts w:eastAsiaTheme="minorEastAsia" w:cs="Arial Narrow"/>
          <w:color w:val="000000"/>
          <w:lang w:eastAsia="es-CR"/>
        </w:rPr>
        <w:t>7 837,91 miles.</w:t>
      </w:r>
    </w:p>
    <w:p w14:paraId="7C387EA8" w14:textId="77777777" w:rsidR="00F552F3" w:rsidRDefault="00F552F3" w:rsidP="00F552F3">
      <w:pPr>
        <w:spacing w:after="0" w:line="240" w:lineRule="auto"/>
        <w:rPr>
          <w:rFonts w:eastAsiaTheme="minorEastAsia" w:cs="Arial Narrow"/>
          <w:color w:val="000000"/>
          <w:lang w:eastAsia="es-CR"/>
        </w:rPr>
      </w:pPr>
    </w:p>
    <w:tbl>
      <w:tblPr>
        <w:tblW w:w="8714" w:type="dxa"/>
        <w:tblLook w:val="04A0" w:firstRow="1" w:lastRow="0" w:firstColumn="1" w:lastColumn="0" w:noHBand="0" w:noVBand="1"/>
      </w:tblPr>
      <w:tblGrid>
        <w:gridCol w:w="841"/>
        <w:gridCol w:w="3544"/>
        <w:gridCol w:w="1120"/>
        <w:gridCol w:w="1240"/>
        <w:gridCol w:w="1029"/>
        <w:gridCol w:w="940"/>
      </w:tblGrid>
      <w:tr w:rsidR="001A229E" w:rsidRPr="00514ED6" w14:paraId="1BB61224" w14:textId="77777777" w:rsidTr="001A229E">
        <w:trPr>
          <w:trHeight w:val="300"/>
        </w:trPr>
        <w:tc>
          <w:tcPr>
            <w:tcW w:w="841" w:type="dxa"/>
            <w:vMerge w:val="restart"/>
            <w:tcBorders>
              <w:top w:val="single" w:sz="8" w:space="0" w:color="auto"/>
              <w:left w:val="single" w:sz="8" w:space="0" w:color="auto"/>
              <w:bottom w:val="nil"/>
              <w:right w:val="single" w:sz="8" w:space="0" w:color="auto"/>
            </w:tcBorders>
            <w:shd w:val="clear" w:color="000000" w:fill="203764"/>
            <w:noWrap/>
            <w:vAlign w:val="center"/>
            <w:hideMark/>
          </w:tcPr>
          <w:p w14:paraId="65E31C71" w14:textId="77777777" w:rsidR="00514ED6" w:rsidRPr="00514ED6" w:rsidRDefault="00514ED6" w:rsidP="00514ED6">
            <w:pPr>
              <w:spacing w:after="0" w:line="240" w:lineRule="auto"/>
              <w:jc w:val="center"/>
              <w:rPr>
                <w:rFonts w:eastAsia="Times New Roman" w:cs="Calibri"/>
                <w:b/>
                <w:bCs/>
                <w:color w:val="FFFFFF"/>
                <w:sz w:val="18"/>
                <w:szCs w:val="18"/>
                <w:lang w:val="en-US"/>
              </w:rPr>
            </w:pPr>
            <w:r w:rsidRPr="00514ED6">
              <w:rPr>
                <w:rFonts w:eastAsia="Times New Roman" w:cs="Calibri"/>
                <w:b/>
                <w:bCs/>
                <w:color w:val="FFFFFF"/>
                <w:sz w:val="18"/>
                <w:szCs w:val="18"/>
                <w:lang w:val="en-US"/>
              </w:rPr>
              <w:t>Cuenta</w:t>
            </w:r>
          </w:p>
        </w:tc>
        <w:tc>
          <w:tcPr>
            <w:tcW w:w="3544" w:type="dxa"/>
            <w:vMerge w:val="restart"/>
            <w:tcBorders>
              <w:top w:val="single" w:sz="8" w:space="0" w:color="auto"/>
              <w:left w:val="single" w:sz="8" w:space="0" w:color="auto"/>
              <w:bottom w:val="nil"/>
              <w:right w:val="single" w:sz="8" w:space="0" w:color="auto"/>
            </w:tcBorders>
            <w:shd w:val="clear" w:color="000000" w:fill="203764"/>
            <w:vAlign w:val="center"/>
            <w:hideMark/>
          </w:tcPr>
          <w:p w14:paraId="54C71748" w14:textId="77777777" w:rsidR="00514ED6" w:rsidRPr="00514ED6" w:rsidRDefault="00514ED6" w:rsidP="00514ED6">
            <w:pPr>
              <w:spacing w:after="0" w:line="240" w:lineRule="auto"/>
              <w:jc w:val="center"/>
              <w:rPr>
                <w:rFonts w:eastAsia="Times New Roman" w:cs="Calibri"/>
                <w:b/>
                <w:bCs/>
                <w:color w:val="FFFFFF"/>
                <w:sz w:val="18"/>
                <w:szCs w:val="18"/>
                <w:lang w:val="en-US"/>
              </w:rPr>
            </w:pPr>
            <w:r w:rsidRPr="00514ED6">
              <w:rPr>
                <w:rFonts w:eastAsia="Times New Roman" w:cs="Calibri"/>
                <w:b/>
                <w:bCs/>
                <w:color w:val="FFFFFF"/>
                <w:sz w:val="18"/>
                <w:szCs w:val="18"/>
                <w:lang w:val="en-US"/>
              </w:rPr>
              <w:t>Descripción</w:t>
            </w:r>
          </w:p>
        </w:tc>
        <w:tc>
          <w:tcPr>
            <w:tcW w:w="1120" w:type="dxa"/>
            <w:vMerge w:val="restart"/>
            <w:tcBorders>
              <w:top w:val="single" w:sz="8" w:space="0" w:color="auto"/>
              <w:left w:val="single" w:sz="8" w:space="0" w:color="auto"/>
              <w:bottom w:val="single" w:sz="8" w:space="0" w:color="000000"/>
              <w:right w:val="single" w:sz="8" w:space="0" w:color="auto"/>
            </w:tcBorders>
            <w:shd w:val="clear" w:color="000000" w:fill="203764"/>
            <w:noWrap/>
            <w:vAlign w:val="center"/>
            <w:hideMark/>
          </w:tcPr>
          <w:p w14:paraId="74D50523" w14:textId="77777777" w:rsidR="00514ED6" w:rsidRPr="00514ED6" w:rsidRDefault="00514ED6" w:rsidP="00514ED6">
            <w:pPr>
              <w:spacing w:after="0" w:line="240" w:lineRule="auto"/>
              <w:jc w:val="center"/>
              <w:rPr>
                <w:rFonts w:eastAsia="Times New Roman" w:cs="Calibri"/>
                <w:b/>
                <w:bCs/>
                <w:color w:val="FFFFFF"/>
                <w:sz w:val="18"/>
                <w:szCs w:val="18"/>
                <w:lang w:val="en-US"/>
              </w:rPr>
            </w:pPr>
            <w:r w:rsidRPr="00514ED6">
              <w:rPr>
                <w:rFonts w:eastAsia="Times New Roman" w:cs="Calibri"/>
                <w:b/>
                <w:bCs/>
                <w:color w:val="FFFFFF"/>
                <w:sz w:val="18"/>
                <w:szCs w:val="18"/>
                <w:lang w:val="en-US"/>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203764"/>
            <w:noWrap/>
            <w:vAlign w:val="center"/>
            <w:hideMark/>
          </w:tcPr>
          <w:p w14:paraId="2B3303B5" w14:textId="77777777" w:rsidR="00514ED6" w:rsidRPr="00514ED6" w:rsidRDefault="00514ED6" w:rsidP="00514ED6">
            <w:pPr>
              <w:spacing w:after="0" w:line="240" w:lineRule="auto"/>
              <w:jc w:val="center"/>
              <w:rPr>
                <w:rFonts w:eastAsia="Times New Roman" w:cs="Calibri"/>
                <w:b/>
                <w:bCs/>
                <w:color w:val="FFFFFF"/>
                <w:sz w:val="18"/>
                <w:szCs w:val="18"/>
                <w:lang w:val="en-US"/>
              </w:rPr>
            </w:pPr>
            <w:r w:rsidRPr="00514ED6">
              <w:rPr>
                <w:rFonts w:eastAsia="Times New Roman" w:cs="Calibri"/>
                <w:b/>
                <w:bCs/>
                <w:color w:val="FFFFFF"/>
                <w:sz w:val="18"/>
                <w:szCs w:val="18"/>
                <w:lang w:val="en-US"/>
              </w:rPr>
              <w:t>Periodo Anterior</w:t>
            </w:r>
          </w:p>
        </w:tc>
        <w:tc>
          <w:tcPr>
            <w:tcW w:w="1029" w:type="dxa"/>
            <w:vMerge w:val="restart"/>
            <w:tcBorders>
              <w:top w:val="single" w:sz="8" w:space="0" w:color="auto"/>
              <w:left w:val="single" w:sz="8" w:space="0" w:color="auto"/>
              <w:bottom w:val="nil"/>
              <w:right w:val="single" w:sz="8" w:space="0" w:color="auto"/>
            </w:tcBorders>
            <w:shd w:val="clear" w:color="000000" w:fill="203764"/>
            <w:vAlign w:val="center"/>
            <w:hideMark/>
          </w:tcPr>
          <w:p w14:paraId="5F21F11F" w14:textId="77777777" w:rsidR="00514ED6" w:rsidRPr="00514ED6" w:rsidRDefault="00514ED6" w:rsidP="00514ED6">
            <w:pPr>
              <w:spacing w:after="0" w:line="240" w:lineRule="auto"/>
              <w:jc w:val="center"/>
              <w:rPr>
                <w:rFonts w:eastAsia="Times New Roman" w:cs="Calibri"/>
                <w:color w:val="FFFFFF"/>
                <w:sz w:val="18"/>
                <w:szCs w:val="18"/>
                <w:lang w:val="en-US"/>
              </w:rPr>
            </w:pPr>
            <w:r w:rsidRPr="00514ED6">
              <w:rPr>
                <w:rFonts w:eastAsia="Times New Roman" w:cs="Calibri"/>
                <w:color w:val="FFFFFF"/>
                <w:sz w:val="18"/>
                <w:szCs w:val="18"/>
                <w:lang w:val="en-US"/>
              </w:rPr>
              <w:t>Diferencia Absoluta</w:t>
            </w:r>
          </w:p>
        </w:tc>
        <w:tc>
          <w:tcPr>
            <w:tcW w:w="940" w:type="dxa"/>
            <w:tcBorders>
              <w:top w:val="single" w:sz="8" w:space="0" w:color="auto"/>
              <w:left w:val="nil"/>
              <w:bottom w:val="single" w:sz="8" w:space="0" w:color="auto"/>
              <w:right w:val="single" w:sz="8" w:space="0" w:color="auto"/>
            </w:tcBorders>
            <w:shd w:val="clear" w:color="000000" w:fill="203764"/>
            <w:noWrap/>
            <w:vAlign w:val="center"/>
            <w:hideMark/>
          </w:tcPr>
          <w:p w14:paraId="342C1F35" w14:textId="77777777" w:rsidR="00514ED6" w:rsidRPr="00514ED6" w:rsidRDefault="00514ED6" w:rsidP="00514ED6">
            <w:pPr>
              <w:spacing w:after="0" w:line="240" w:lineRule="auto"/>
              <w:jc w:val="center"/>
              <w:rPr>
                <w:rFonts w:eastAsia="Times New Roman" w:cs="Calibri"/>
                <w:b/>
                <w:bCs/>
                <w:color w:val="FFFFFF"/>
                <w:sz w:val="18"/>
                <w:szCs w:val="18"/>
                <w:lang w:val="en-US"/>
              </w:rPr>
            </w:pPr>
            <w:r w:rsidRPr="00514ED6">
              <w:rPr>
                <w:rFonts w:eastAsia="Times New Roman" w:cs="Calibri"/>
                <w:b/>
                <w:bCs/>
                <w:color w:val="FFFFFF"/>
                <w:sz w:val="18"/>
                <w:szCs w:val="18"/>
                <w:lang w:val="en-US"/>
              </w:rPr>
              <w:t>Diferencia</w:t>
            </w:r>
          </w:p>
        </w:tc>
      </w:tr>
      <w:tr w:rsidR="00514ED6" w:rsidRPr="00514ED6" w14:paraId="0787373A" w14:textId="77777777" w:rsidTr="001A229E">
        <w:trPr>
          <w:trHeight w:val="300"/>
        </w:trPr>
        <w:tc>
          <w:tcPr>
            <w:tcW w:w="841" w:type="dxa"/>
            <w:vMerge/>
            <w:tcBorders>
              <w:top w:val="single" w:sz="8" w:space="0" w:color="auto"/>
              <w:left w:val="single" w:sz="8" w:space="0" w:color="auto"/>
              <w:bottom w:val="nil"/>
              <w:right w:val="single" w:sz="8" w:space="0" w:color="auto"/>
            </w:tcBorders>
            <w:vAlign w:val="center"/>
            <w:hideMark/>
          </w:tcPr>
          <w:p w14:paraId="32E2B968" w14:textId="77777777" w:rsidR="00514ED6" w:rsidRPr="00514ED6" w:rsidRDefault="00514ED6" w:rsidP="00514ED6">
            <w:pPr>
              <w:spacing w:after="0" w:line="240" w:lineRule="auto"/>
              <w:jc w:val="left"/>
              <w:rPr>
                <w:rFonts w:eastAsia="Times New Roman" w:cs="Calibri"/>
                <w:b/>
                <w:bCs/>
                <w:color w:val="FFFFFF"/>
                <w:sz w:val="18"/>
                <w:szCs w:val="18"/>
                <w:lang w:val="en-US"/>
              </w:rPr>
            </w:pPr>
          </w:p>
        </w:tc>
        <w:tc>
          <w:tcPr>
            <w:tcW w:w="3544" w:type="dxa"/>
            <w:vMerge/>
            <w:tcBorders>
              <w:top w:val="single" w:sz="8" w:space="0" w:color="auto"/>
              <w:left w:val="single" w:sz="8" w:space="0" w:color="auto"/>
              <w:bottom w:val="nil"/>
              <w:right w:val="single" w:sz="8" w:space="0" w:color="auto"/>
            </w:tcBorders>
            <w:vAlign w:val="center"/>
            <w:hideMark/>
          </w:tcPr>
          <w:p w14:paraId="3EEFABD0" w14:textId="77777777" w:rsidR="00514ED6" w:rsidRPr="00514ED6" w:rsidRDefault="00514ED6" w:rsidP="00514ED6">
            <w:pPr>
              <w:spacing w:after="0" w:line="240" w:lineRule="auto"/>
              <w:jc w:val="left"/>
              <w:rPr>
                <w:rFonts w:eastAsia="Times New Roman" w:cs="Calibri"/>
                <w:b/>
                <w:bCs/>
                <w:color w:val="FFFFFF"/>
                <w:sz w:val="18"/>
                <w:szCs w:val="18"/>
                <w:lang w:val="en-US"/>
              </w:rPr>
            </w:pPr>
          </w:p>
        </w:tc>
        <w:tc>
          <w:tcPr>
            <w:tcW w:w="1120" w:type="dxa"/>
            <w:vMerge/>
            <w:tcBorders>
              <w:top w:val="single" w:sz="8" w:space="0" w:color="auto"/>
              <w:left w:val="single" w:sz="8" w:space="0" w:color="auto"/>
              <w:bottom w:val="single" w:sz="8" w:space="0" w:color="000000"/>
              <w:right w:val="single" w:sz="8" w:space="0" w:color="auto"/>
            </w:tcBorders>
            <w:vAlign w:val="center"/>
            <w:hideMark/>
          </w:tcPr>
          <w:p w14:paraId="0B9F2D06" w14:textId="77777777" w:rsidR="00514ED6" w:rsidRPr="00514ED6" w:rsidRDefault="00514ED6" w:rsidP="00514ED6">
            <w:pPr>
              <w:spacing w:after="0" w:line="240" w:lineRule="auto"/>
              <w:jc w:val="left"/>
              <w:rPr>
                <w:rFonts w:eastAsia="Times New Roman" w:cs="Calibri"/>
                <w:b/>
                <w:bCs/>
                <w:color w:val="FFFFFF"/>
                <w:sz w:val="18"/>
                <w:szCs w:val="18"/>
                <w:lang w:val="en-US"/>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48EE637" w14:textId="77777777" w:rsidR="00514ED6" w:rsidRPr="00514ED6" w:rsidRDefault="00514ED6" w:rsidP="00514ED6">
            <w:pPr>
              <w:spacing w:after="0" w:line="240" w:lineRule="auto"/>
              <w:jc w:val="left"/>
              <w:rPr>
                <w:rFonts w:eastAsia="Times New Roman" w:cs="Calibri"/>
                <w:b/>
                <w:bCs/>
                <w:color w:val="FFFFFF"/>
                <w:sz w:val="18"/>
                <w:szCs w:val="18"/>
                <w:lang w:val="en-US"/>
              </w:rPr>
            </w:pPr>
          </w:p>
        </w:tc>
        <w:tc>
          <w:tcPr>
            <w:tcW w:w="1029" w:type="dxa"/>
            <w:vMerge/>
            <w:tcBorders>
              <w:top w:val="single" w:sz="8" w:space="0" w:color="auto"/>
              <w:left w:val="single" w:sz="8" w:space="0" w:color="auto"/>
              <w:bottom w:val="nil"/>
              <w:right w:val="single" w:sz="8" w:space="0" w:color="auto"/>
            </w:tcBorders>
            <w:vAlign w:val="center"/>
            <w:hideMark/>
          </w:tcPr>
          <w:p w14:paraId="2922BE2C" w14:textId="77777777" w:rsidR="00514ED6" w:rsidRPr="00514ED6" w:rsidRDefault="00514ED6" w:rsidP="00514ED6">
            <w:pPr>
              <w:spacing w:after="0" w:line="240" w:lineRule="auto"/>
              <w:jc w:val="left"/>
              <w:rPr>
                <w:rFonts w:eastAsia="Times New Roman" w:cs="Calibri"/>
                <w:color w:val="FFFFFF"/>
                <w:sz w:val="18"/>
                <w:szCs w:val="18"/>
                <w:lang w:val="en-US"/>
              </w:rPr>
            </w:pPr>
          </w:p>
        </w:tc>
        <w:tc>
          <w:tcPr>
            <w:tcW w:w="940" w:type="dxa"/>
            <w:tcBorders>
              <w:top w:val="nil"/>
              <w:left w:val="nil"/>
              <w:bottom w:val="nil"/>
              <w:right w:val="single" w:sz="8" w:space="0" w:color="auto"/>
            </w:tcBorders>
            <w:shd w:val="clear" w:color="000000" w:fill="203764"/>
            <w:noWrap/>
            <w:vAlign w:val="center"/>
            <w:hideMark/>
          </w:tcPr>
          <w:p w14:paraId="34E670EE" w14:textId="77777777" w:rsidR="00514ED6" w:rsidRPr="00514ED6" w:rsidRDefault="00514ED6" w:rsidP="00514ED6">
            <w:pPr>
              <w:spacing w:after="0" w:line="240" w:lineRule="auto"/>
              <w:jc w:val="center"/>
              <w:rPr>
                <w:rFonts w:eastAsia="Times New Roman" w:cs="Calibri"/>
                <w:b/>
                <w:bCs/>
                <w:color w:val="FFFFFF"/>
                <w:sz w:val="18"/>
                <w:szCs w:val="18"/>
                <w:lang w:val="en-US"/>
              </w:rPr>
            </w:pPr>
            <w:r w:rsidRPr="00514ED6">
              <w:rPr>
                <w:rFonts w:eastAsia="Times New Roman" w:cs="Calibri"/>
                <w:b/>
                <w:bCs/>
                <w:color w:val="FFFFFF"/>
                <w:sz w:val="18"/>
                <w:szCs w:val="18"/>
                <w:lang w:val="en-US"/>
              </w:rPr>
              <w:t>%</w:t>
            </w:r>
          </w:p>
        </w:tc>
      </w:tr>
      <w:tr w:rsidR="00514ED6" w:rsidRPr="00514ED6" w14:paraId="1C0E92BA" w14:textId="77777777" w:rsidTr="001A229E">
        <w:trPr>
          <w:trHeight w:val="290"/>
        </w:trPr>
        <w:tc>
          <w:tcPr>
            <w:tcW w:w="841" w:type="dxa"/>
            <w:tcBorders>
              <w:top w:val="nil"/>
              <w:left w:val="single" w:sz="8" w:space="0" w:color="auto"/>
              <w:bottom w:val="nil"/>
              <w:right w:val="single" w:sz="8" w:space="0" w:color="auto"/>
            </w:tcBorders>
            <w:shd w:val="clear" w:color="auto" w:fill="auto"/>
            <w:noWrap/>
            <w:vAlign w:val="center"/>
            <w:hideMark/>
          </w:tcPr>
          <w:p w14:paraId="695E5A99" w14:textId="7EBABCA3" w:rsidR="00514ED6" w:rsidRPr="00514ED6" w:rsidRDefault="00514ED6" w:rsidP="00514ED6">
            <w:pPr>
              <w:spacing w:after="0" w:line="240" w:lineRule="auto"/>
              <w:jc w:val="left"/>
              <w:rPr>
                <w:rFonts w:eastAsia="Times New Roman" w:cs="Calibri"/>
                <w:color w:val="000000"/>
                <w:sz w:val="20"/>
                <w:szCs w:val="20"/>
                <w:lang w:val="en-US"/>
              </w:rPr>
            </w:pPr>
            <w:r w:rsidRPr="00514ED6">
              <w:rPr>
                <w:rFonts w:eastAsia="Times New Roman" w:cs="Calibri"/>
                <w:color w:val="000000"/>
                <w:sz w:val="20"/>
                <w:szCs w:val="20"/>
                <w:lang w:val="en-US"/>
              </w:rPr>
              <w:t>5.1.3.01</w:t>
            </w:r>
          </w:p>
        </w:tc>
        <w:tc>
          <w:tcPr>
            <w:tcW w:w="3544" w:type="dxa"/>
            <w:tcBorders>
              <w:top w:val="nil"/>
              <w:left w:val="nil"/>
              <w:bottom w:val="nil"/>
              <w:right w:val="single" w:sz="8" w:space="0" w:color="auto"/>
            </w:tcBorders>
            <w:shd w:val="clear" w:color="auto" w:fill="auto"/>
            <w:vAlign w:val="center"/>
            <w:hideMark/>
          </w:tcPr>
          <w:p w14:paraId="63C69811" w14:textId="77777777" w:rsidR="00514ED6" w:rsidRPr="00514ED6" w:rsidRDefault="00514ED6" w:rsidP="00514ED6">
            <w:pPr>
              <w:spacing w:after="0" w:line="240" w:lineRule="auto"/>
              <w:jc w:val="left"/>
              <w:rPr>
                <w:rFonts w:eastAsia="Times New Roman" w:cs="Calibri"/>
                <w:color w:val="000000"/>
                <w:sz w:val="20"/>
                <w:szCs w:val="20"/>
                <w:lang w:val="en-US"/>
              </w:rPr>
            </w:pPr>
            <w:r w:rsidRPr="00514ED6">
              <w:rPr>
                <w:rFonts w:eastAsia="Times New Roman" w:cs="Calibri"/>
                <w:color w:val="000000"/>
                <w:sz w:val="20"/>
                <w:szCs w:val="20"/>
                <w:lang w:val="en-US"/>
              </w:rPr>
              <w:t>Productos químicos y conexos</w:t>
            </w:r>
          </w:p>
        </w:tc>
        <w:tc>
          <w:tcPr>
            <w:tcW w:w="1120" w:type="dxa"/>
            <w:tcBorders>
              <w:top w:val="nil"/>
              <w:left w:val="nil"/>
              <w:bottom w:val="nil"/>
              <w:right w:val="single" w:sz="8" w:space="0" w:color="auto"/>
            </w:tcBorders>
            <w:shd w:val="clear" w:color="000000" w:fill="FFFFFF"/>
            <w:noWrap/>
            <w:vAlign w:val="bottom"/>
            <w:hideMark/>
          </w:tcPr>
          <w:p w14:paraId="54C4A103" w14:textId="77777777" w:rsidR="00514ED6" w:rsidRPr="00514ED6" w:rsidRDefault="00514ED6" w:rsidP="00514ED6">
            <w:pPr>
              <w:spacing w:after="0" w:line="240" w:lineRule="auto"/>
              <w:jc w:val="right"/>
              <w:rPr>
                <w:rFonts w:eastAsia="Times New Roman" w:cs="Calibri"/>
                <w:color w:val="000000"/>
                <w:sz w:val="18"/>
                <w:szCs w:val="18"/>
                <w:lang w:val="en-US"/>
              </w:rPr>
            </w:pPr>
            <w:r w:rsidRPr="00514ED6">
              <w:rPr>
                <w:rFonts w:ascii="Arial" w:eastAsia="Times New Roman" w:hAnsi="Arial" w:cs="Arial"/>
                <w:color w:val="000000"/>
                <w:sz w:val="18"/>
                <w:szCs w:val="18"/>
                <w:lang w:val="en-US"/>
              </w:rPr>
              <w:t>₡</w:t>
            </w:r>
            <w:r w:rsidRPr="00514ED6">
              <w:rPr>
                <w:rFonts w:eastAsia="Times New Roman" w:cs="Calibri"/>
                <w:color w:val="000000"/>
                <w:sz w:val="18"/>
                <w:szCs w:val="18"/>
                <w:lang w:val="en-US"/>
              </w:rPr>
              <w:t>92 786,81</w:t>
            </w:r>
          </w:p>
        </w:tc>
        <w:tc>
          <w:tcPr>
            <w:tcW w:w="1240" w:type="dxa"/>
            <w:tcBorders>
              <w:top w:val="nil"/>
              <w:left w:val="nil"/>
              <w:bottom w:val="nil"/>
              <w:right w:val="single" w:sz="8" w:space="0" w:color="auto"/>
            </w:tcBorders>
            <w:shd w:val="clear" w:color="000000" w:fill="FFFFFF"/>
            <w:noWrap/>
            <w:vAlign w:val="bottom"/>
            <w:hideMark/>
          </w:tcPr>
          <w:p w14:paraId="1661CBF4" w14:textId="77777777" w:rsidR="00514ED6" w:rsidRPr="00514ED6" w:rsidRDefault="00514ED6" w:rsidP="00514ED6">
            <w:pPr>
              <w:spacing w:after="0" w:line="240" w:lineRule="auto"/>
              <w:jc w:val="right"/>
              <w:rPr>
                <w:rFonts w:eastAsia="Times New Roman" w:cs="Calibri"/>
                <w:color w:val="000000"/>
                <w:sz w:val="18"/>
                <w:szCs w:val="18"/>
                <w:lang w:val="en-US"/>
              </w:rPr>
            </w:pPr>
            <w:r w:rsidRPr="00514ED6">
              <w:rPr>
                <w:rFonts w:ascii="Arial" w:eastAsia="Times New Roman" w:hAnsi="Arial" w:cs="Arial"/>
                <w:color w:val="000000"/>
                <w:sz w:val="18"/>
                <w:szCs w:val="18"/>
                <w:lang w:val="en-US"/>
              </w:rPr>
              <w:t>₡</w:t>
            </w:r>
            <w:r w:rsidRPr="00514ED6">
              <w:rPr>
                <w:rFonts w:eastAsia="Times New Roman" w:cs="Calibri"/>
                <w:color w:val="000000"/>
                <w:sz w:val="18"/>
                <w:szCs w:val="18"/>
                <w:lang w:val="en-US"/>
              </w:rPr>
              <w:t>77 435,06</w:t>
            </w:r>
          </w:p>
        </w:tc>
        <w:tc>
          <w:tcPr>
            <w:tcW w:w="1029" w:type="dxa"/>
            <w:tcBorders>
              <w:top w:val="nil"/>
              <w:left w:val="nil"/>
              <w:bottom w:val="nil"/>
              <w:right w:val="single" w:sz="8" w:space="0" w:color="auto"/>
            </w:tcBorders>
            <w:shd w:val="clear" w:color="000000" w:fill="FFFFFF"/>
            <w:noWrap/>
            <w:vAlign w:val="bottom"/>
            <w:hideMark/>
          </w:tcPr>
          <w:p w14:paraId="40DA1DA4" w14:textId="77777777" w:rsidR="00514ED6" w:rsidRPr="00514ED6" w:rsidRDefault="00514ED6" w:rsidP="00514ED6">
            <w:pPr>
              <w:spacing w:after="0" w:line="240" w:lineRule="auto"/>
              <w:jc w:val="right"/>
              <w:rPr>
                <w:rFonts w:eastAsia="Times New Roman" w:cs="Calibri"/>
                <w:color w:val="000000"/>
                <w:sz w:val="18"/>
                <w:szCs w:val="18"/>
                <w:lang w:val="en-US"/>
              </w:rPr>
            </w:pPr>
            <w:r w:rsidRPr="00514ED6">
              <w:rPr>
                <w:rFonts w:ascii="Arial" w:eastAsia="Times New Roman" w:hAnsi="Arial" w:cs="Arial"/>
                <w:color w:val="000000"/>
                <w:sz w:val="18"/>
                <w:szCs w:val="18"/>
                <w:lang w:val="en-US"/>
              </w:rPr>
              <w:t>₡</w:t>
            </w:r>
            <w:r w:rsidRPr="00514ED6">
              <w:rPr>
                <w:rFonts w:eastAsia="Times New Roman" w:cs="Calibri"/>
                <w:color w:val="000000"/>
                <w:sz w:val="18"/>
                <w:szCs w:val="18"/>
                <w:lang w:val="en-US"/>
              </w:rPr>
              <w:t>15 351,76</w:t>
            </w:r>
          </w:p>
        </w:tc>
        <w:tc>
          <w:tcPr>
            <w:tcW w:w="940" w:type="dxa"/>
            <w:tcBorders>
              <w:top w:val="nil"/>
              <w:left w:val="nil"/>
              <w:bottom w:val="nil"/>
              <w:right w:val="single" w:sz="8" w:space="0" w:color="auto"/>
            </w:tcBorders>
            <w:shd w:val="clear" w:color="auto" w:fill="auto"/>
            <w:noWrap/>
            <w:vAlign w:val="bottom"/>
            <w:hideMark/>
          </w:tcPr>
          <w:p w14:paraId="0AAFF9CB" w14:textId="77777777" w:rsidR="00514ED6" w:rsidRPr="00514ED6" w:rsidRDefault="00514ED6" w:rsidP="00514ED6">
            <w:pPr>
              <w:spacing w:after="0" w:line="240" w:lineRule="auto"/>
              <w:jc w:val="center"/>
              <w:rPr>
                <w:rFonts w:eastAsia="Times New Roman" w:cs="Calibri"/>
                <w:color w:val="000000"/>
                <w:sz w:val="18"/>
                <w:szCs w:val="18"/>
                <w:lang w:val="en-US"/>
              </w:rPr>
            </w:pPr>
            <w:r w:rsidRPr="00514ED6">
              <w:rPr>
                <w:rFonts w:eastAsia="Times New Roman" w:cs="Calibri"/>
                <w:color w:val="000000"/>
                <w:sz w:val="18"/>
                <w:szCs w:val="18"/>
                <w:lang w:val="en-US"/>
              </w:rPr>
              <w:t>19,83%</w:t>
            </w:r>
          </w:p>
        </w:tc>
      </w:tr>
      <w:tr w:rsidR="00514ED6" w:rsidRPr="00514ED6" w14:paraId="0DC741FE" w14:textId="77777777" w:rsidTr="001A229E">
        <w:trPr>
          <w:trHeight w:val="290"/>
        </w:trPr>
        <w:tc>
          <w:tcPr>
            <w:tcW w:w="841" w:type="dxa"/>
            <w:tcBorders>
              <w:top w:val="nil"/>
              <w:left w:val="single" w:sz="8" w:space="0" w:color="auto"/>
              <w:bottom w:val="nil"/>
              <w:right w:val="single" w:sz="8" w:space="0" w:color="auto"/>
            </w:tcBorders>
            <w:shd w:val="clear" w:color="auto" w:fill="auto"/>
            <w:noWrap/>
            <w:vAlign w:val="center"/>
            <w:hideMark/>
          </w:tcPr>
          <w:p w14:paraId="761FA2F6" w14:textId="5CE3AE54" w:rsidR="00514ED6" w:rsidRPr="00514ED6" w:rsidRDefault="00514ED6" w:rsidP="00514ED6">
            <w:pPr>
              <w:spacing w:after="0" w:line="240" w:lineRule="auto"/>
              <w:jc w:val="left"/>
              <w:rPr>
                <w:rFonts w:eastAsia="Times New Roman" w:cs="Calibri"/>
                <w:color w:val="000000"/>
                <w:sz w:val="20"/>
                <w:szCs w:val="20"/>
                <w:lang w:val="en-US"/>
              </w:rPr>
            </w:pPr>
            <w:r w:rsidRPr="00514ED6">
              <w:rPr>
                <w:rFonts w:eastAsia="Times New Roman" w:cs="Calibri"/>
                <w:color w:val="000000"/>
                <w:sz w:val="20"/>
                <w:szCs w:val="20"/>
                <w:lang w:val="en-US"/>
              </w:rPr>
              <w:t>5.1.3.02</w:t>
            </w:r>
          </w:p>
        </w:tc>
        <w:tc>
          <w:tcPr>
            <w:tcW w:w="3544" w:type="dxa"/>
            <w:tcBorders>
              <w:top w:val="nil"/>
              <w:left w:val="nil"/>
              <w:bottom w:val="nil"/>
              <w:right w:val="single" w:sz="8" w:space="0" w:color="auto"/>
            </w:tcBorders>
            <w:shd w:val="clear" w:color="auto" w:fill="auto"/>
            <w:vAlign w:val="center"/>
            <w:hideMark/>
          </w:tcPr>
          <w:p w14:paraId="36BBBCD1" w14:textId="77777777" w:rsidR="00514ED6" w:rsidRPr="00514ED6" w:rsidRDefault="00514ED6" w:rsidP="00514ED6">
            <w:pPr>
              <w:spacing w:after="0" w:line="240" w:lineRule="auto"/>
              <w:jc w:val="left"/>
              <w:rPr>
                <w:rFonts w:eastAsia="Times New Roman" w:cs="Calibri"/>
                <w:color w:val="000000"/>
                <w:sz w:val="20"/>
                <w:szCs w:val="20"/>
                <w:lang w:val="en-US"/>
              </w:rPr>
            </w:pPr>
            <w:r w:rsidRPr="00514ED6">
              <w:rPr>
                <w:rFonts w:eastAsia="Times New Roman" w:cs="Calibri"/>
                <w:color w:val="000000"/>
                <w:sz w:val="20"/>
                <w:szCs w:val="20"/>
                <w:lang w:val="en-US"/>
              </w:rPr>
              <w:t>Alimentos y productos agropecuarios</w:t>
            </w:r>
          </w:p>
        </w:tc>
        <w:tc>
          <w:tcPr>
            <w:tcW w:w="1120" w:type="dxa"/>
            <w:tcBorders>
              <w:top w:val="nil"/>
              <w:left w:val="nil"/>
              <w:bottom w:val="nil"/>
              <w:right w:val="single" w:sz="8" w:space="0" w:color="auto"/>
            </w:tcBorders>
            <w:shd w:val="clear" w:color="000000" w:fill="FFFFFF"/>
            <w:noWrap/>
            <w:vAlign w:val="bottom"/>
            <w:hideMark/>
          </w:tcPr>
          <w:p w14:paraId="5B4764BB" w14:textId="77777777" w:rsidR="00514ED6" w:rsidRPr="00514ED6" w:rsidRDefault="00514ED6" w:rsidP="00514ED6">
            <w:pPr>
              <w:spacing w:after="0" w:line="240" w:lineRule="auto"/>
              <w:jc w:val="right"/>
              <w:rPr>
                <w:rFonts w:eastAsia="Times New Roman" w:cs="Calibri"/>
                <w:color w:val="000000"/>
                <w:sz w:val="18"/>
                <w:szCs w:val="18"/>
                <w:lang w:val="en-US"/>
              </w:rPr>
            </w:pPr>
            <w:r w:rsidRPr="00514ED6">
              <w:rPr>
                <w:rFonts w:eastAsia="Times New Roman" w:cs="Calibri"/>
                <w:color w:val="000000"/>
                <w:sz w:val="18"/>
                <w:szCs w:val="18"/>
                <w:lang w:val="en-US"/>
              </w:rPr>
              <w:t>2 759,34</w:t>
            </w:r>
          </w:p>
        </w:tc>
        <w:tc>
          <w:tcPr>
            <w:tcW w:w="1240" w:type="dxa"/>
            <w:tcBorders>
              <w:top w:val="nil"/>
              <w:left w:val="nil"/>
              <w:bottom w:val="nil"/>
              <w:right w:val="single" w:sz="8" w:space="0" w:color="auto"/>
            </w:tcBorders>
            <w:shd w:val="clear" w:color="000000" w:fill="FFFFFF"/>
            <w:noWrap/>
            <w:vAlign w:val="bottom"/>
            <w:hideMark/>
          </w:tcPr>
          <w:p w14:paraId="5CF04CB9" w14:textId="77777777" w:rsidR="00514ED6" w:rsidRPr="00514ED6" w:rsidRDefault="00514ED6" w:rsidP="00514ED6">
            <w:pPr>
              <w:spacing w:after="0" w:line="240" w:lineRule="auto"/>
              <w:jc w:val="right"/>
              <w:rPr>
                <w:rFonts w:eastAsia="Times New Roman" w:cs="Calibri"/>
                <w:color w:val="000000"/>
                <w:sz w:val="18"/>
                <w:szCs w:val="18"/>
                <w:lang w:val="en-US"/>
              </w:rPr>
            </w:pPr>
            <w:r w:rsidRPr="00514ED6">
              <w:rPr>
                <w:rFonts w:eastAsia="Times New Roman" w:cs="Calibri"/>
                <w:color w:val="000000"/>
                <w:sz w:val="18"/>
                <w:szCs w:val="18"/>
                <w:lang w:val="en-US"/>
              </w:rPr>
              <w:t>570,00</w:t>
            </w:r>
          </w:p>
        </w:tc>
        <w:tc>
          <w:tcPr>
            <w:tcW w:w="1029" w:type="dxa"/>
            <w:tcBorders>
              <w:top w:val="nil"/>
              <w:left w:val="nil"/>
              <w:bottom w:val="nil"/>
              <w:right w:val="single" w:sz="8" w:space="0" w:color="auto"/>
            </w:tcBorders>
            <w:shd w:val="clear" w:color="000000" w:fill="FFFFFF"/>
            <w:noWrap/>
            <w:vAlign w:val="bottom"/>
            <w:hideMark/>
          </w:tcPr>
          <w:p w14:paraId="09BC398A" w14:textId="77777777" w:rsidR="00514ED6" w:rsidRPr="00514ED6" w:rsidRDefault="00514ED6" w:rsidP="00514ED6">
            <w:pPr>
              <w:spacing w:after="0" w:line="240" w:lineRule="auto"/>
              <w:jc w:val="right"/>
              <w:rPr>
                <w:rFonts w:eastAsia="Times New Roman" w:cs="Calibri"/>
                <w:color w:val="000000"/>
                <w:sz w:val="18"/>
                <w:szCs w:val="18"/>
                <w:lang w:val="en-US"/>
              </w:rPr>
            </w:pPr>
            <w:r w:rsidRPr="00514ED6">
              <w:rPr>
                <w:rFonts w:ascii="Arial" w:eastAsia="Times New Roman" w:hAnsi="Arial" w:cs="Arial"/>
                <w:color w:val="000000"/>
                <w:sz w:val="18"/>
                <w:szCs w:val="18"/>
                <w:lang w:val="en-US"/>
              </w:rPr>
              <w:t>₡</w:t>
            </w:r>
            <w:r w:rsidRPr="00514ED6">
              <w:rPr>
                <w:rFonts w:eastAsia="Times New Roman" w:cs="Calibri"/>
                <w:color w:val="000000"/>
                <w:sz w:val="18"/>
                <w:szCs w:val="18"/>
                <w:lang w:val="en-US"/>
              </w:rPr>
              <w:t>2 189,34</w:t>
            </w:r>
          </w:p>
        </w:tc>
        <w:tc>
          <w:tcPr>
            <w:tcW w:w="940" w:type="dxa"/>
            <w:tcBorders>
              <w:top w:val="nil"/>
              <w:left w:val="nil"/>
              <w:bottom w:val="nil"/>
              <w:right w:val="single" w:sz="8" w:space="0" w:color="auto"/>
            </w:tcBorders>
            <w:shd w:val="clear" w:color="auto" w:fill="auto"/>
            <w:noWrap/>
            <w:vAlign w:val="bottom"/>
            <w:hideMark/>
          </w:tcPr>
          <w:p w14:paraId="14F81EEE" w14:textId="77777777" w:rsidR="00514ED6" w:rsidRPr="00514ED6" w:rsidRDefault="00514ED6" w:rsidP="00514ED6">
            <w:pPr>
              <w:spacing w:after="0" w:line="240" w:lineRule="auto"/>
              <w:jc w:val="center"/>
              <w:rPr>
                <w:rFonts w:eastAsia="Times New Roman" w:cs="Calibri"/>
                <w:color w:val="000000"/>
                <w:sz w:val="18"/>
                <w:szCs w:val="18"/>
                <w:lang w:val="en-US"/>
              </w:rPr>
            </w:pPr>
            <w:r w:rsidRPr="00514ED6">
              <w:rPr>
                <w:rFonts w:eastAsia="Times New Roman" w:cs="Calibri"/>
                <w:color w:val="000000"/>
                <w:sz w:val="18"/>
                <w:szCs w:val="18"/>
                <w:lang w:val="en-US"/>
              </w:rPr>
              <w:t>384,09%</w:t>
            </w:r>
          </w:p>
        </w:tc>
      </w:tr>
      <w:tr w:rsidR="00514ED6" w:rsidRPr="00514ED6" w14:paraId="4840E07F" w14:textId="77777777" w:rsidTr="001A229E">
        <w:trPr>
          <w:trHeight w:val="520"/>
        </w:trPr>
        <w:tc>
          <w:tcPr>
            <w:tcW w:w="841" w:type="dxa"/>
            <w:tcBorders>
              <w:top w:val="nil"/>
              <w:left w:val="single" w:sz="8" w:space="0" w:color="auto"/>
              <w:bottom w:val="nil"/>
              <w:right w:val="single" w:sz="8" w:space="0" w:color="auto"/>
            </w:tcBorders>
            <w:shd w:val="clear" w:color="auto" w:fill="auto"/>
            <w:noWrap/>
            <w:vAlign w:val="center"/>
            <w:hideMark/>
          </w:tcPr>
          <w:p w14:paraId="303B6339" w14:textId="25A3A2C3" w:rsidR="00514ED6" w:rsidRPr="00514ED6" w:rsidRDefault="00514ED6" w:rsidP="00514ED6">
            <w:pPr>
              <w:spacing w:after="0" w:line="240" w:lineRule="auto"/>
              <w:jc w:val="left"/>
              <w:rPr>
                <w:rFonts w:eastAsia="Times New Roman" w:cs="Calibri"/>
                <w:color w:val="000000"/>
                <w:sz w:val="20"/>
                <w:szCs w:val="20"/>
                <w:lang w:val="en-US"/>
              </w:rPr>
            </w:pPr>
            <w:r w:rsidRPr="00514ED6">
              <w:rPr>
                <w:rFonts w:eastAsia="Times New Roman" w:cs="Calibri"/>
                <w:color w:val="000000"/>
                <w:sz w:val="20"/>
                <w:szCs w:val="20"/>
                <w:lang w:val="en-US"/>
              </w:rPr>
              <w:t>5.1.3.03</w:t>
            </w:r>
          </w:p>
        </w:tc>
        <w:tc>
          <w:tcPr>
            <w:tcW w:w="3544" w:type="dxa"/>
            <w:tcBorders>
              <w:top w:val="nil"/>
              <w:left w:val="nil"/>
              <w:bottom w:val="nil"/>
              <w:right w:val="single" w:sz="8" w:space="0" w:color="auto"/>
            </w:tcBorders>
            <w:shd w:val="clear" w:color="auto" w:fill="auto"/>
            <w:vAlign w:val="center"/>
            <w:hideMark/>
          </w:tcPr>
          <w:p w14:paraId="715A5327" w14:textId="77777777" w:rsidR="00514ED6" w:rsidRPr="00514ED6" w:rsidRDefault="00514ED6" w:rsidP="00514ED6">
            <w:pPr>
              <w:spacing w:after="0" w:line="240" w:lineRule="auto"/>
              <w:jc w:val="left"/>
              <w:rPr>
                <w:rFonts w:eastAsia="Times New Roman" w:cs="Calibri"/>
                <w:color w:val="000000"/>
                <w:sz w:val="20"/>
                <w:szCs w:val="20"/>
              </w:rPr>
            </w:pPr>
            <w:r w:rsidRPr="00514ED6">
              <w:rPr>
                <w:rFonts w:eastAsia="Times New Roman" w:cs="Calibri"/>
                <w:color w:val="000000"/>
                <w:sz w:val="20"/>
                <w:szCs w:val="20"/>
              </w:rPr>
              <w:t>Materiales y productos de uso en la construcción y mantenimiento</w:t>
            </w:r>
          </w:p>
        </w:tc>
        <w:tc>
          <w:tcPr>
            <w:tcW w:w="1120" w:type="dxa"/>
            <w:tcBorders>
              <w:top w:val="nil"/>
              <w:left w:val="nil"/>
              <w:bottom w:val="nil"/>
              <w:right w:val="single" w:sz="8" w:space="0" w:color="auto"/>
            </w:tcBorders>
            <w:shd w:val="clear" w:color="000000" w:fill="FFFFFF"/>
            <w:noWrap/>
            <w:vAlign w:val="bottom"/>
            <w:hideMark/>
          </w:tcPr>
          <w:p w14:paraId="3134EA04" w14:textId="77777777" w:rsidR="00514ED6" w:rsidRPr="00514ED6" w:rsidRDefault="00514ED6" w:rsidP="00514ED6">
            <w:pPr>
              <w:spacing w:after="0" w:line="240" w:lineRule="auto"/>
              <w:jc w:val="right"/>
              <w:rPr>
                <w:rFonts w:eastAsia="Times New Roman" w:cs="Calibri"/>
                <w:color w:val="000000"/>
                <w:sz w:val="18"/>
                <w:szCs w:val="18"/>
                <w:lang w:val="en-US"/>
              </w:rPr>
            </w:pPr>
            <w:r w:rsidRPr="00514ED6">
              <w:rPr>
                <w:rFonts w:eastAsia="Times New Roman" w:cs="Calibri"/>
                <w:color w:val="000000"/>
                <w:sz w:val="18"/>
                <w:szCs w:val="18"/>
                <w:lang w:val="en-US"/>
              </w:rPr>
              <w:t>111 400,39</w:t>
            </w:r>
          </w:p>
        </w:tc>
        <w:tc>
          <w:tcPr>
            <w:tcW w:w="1240" w:type="dxa"/>
            <w:tcBorders>
              <w:top w:val="nil"/>
              <w:left w:val="nil"/>
              <w:bottom w:val="nil"/>
              <w:right w:val="single" w:sz="8" w:space="0" w:color="auto"/>
            </w:tcBorders>
            <w:shd w:val="clear" w:color="000000" w:fill="FFFFFF"/>
            <w:noWrap/>
            <w:vAlign w:val="bottom"/>
            <w:hideMark/>
          </w:tcPr>
          <w:p w14:paraId="56027631" w14:textId="77777777" w:rsidR="00514ED6" w:rsidRPr="00514ED6" w:rsidRDefault="00514ED6" w:rsidP="00514ED6">
            <w:pPr>
              <w:spacing w:after="0" w:line="240" w:lineRule="auto"/>
              <w:jc w:val="right"/>
              <w:rPr>
                <w:rFonts w:eastAsia="Times New Roman" w:cs="Calibri"/>
                <w:color w:val="000000"/>
                <w:sz w:val="18"/>
                <w:szCs w:val="18"/>
                <w:lang w:val="en-US"/>
              </w:rPr>
            </w:pPr>
            <w:r w:rsidRPr="00514ED6">
              <w:rPr>
                <w:rFonts w:eastAsia="Times New Roman" w:cs="Calibri"/>
                <w:color w:val="000000"/>
                <w:sz w:val="18"/>
                <w:szCs w:val="18"/>
                <w:lang w:val="en-US"/>
              </w:rPr>
              <w:t>100 528,15</w:t>
            </w:r>
          </w:p>
        </w:tc>
        <w:tc>
          <w:tcPr>
            <w:tcW w:w="1029" w:type="dxa"/>
            <w:tcBorders>
              <w:top w:val="nil"/>
              <w:left w:val="nil"/>
              <w:bottom w:val="nil"/>
              <w:right w:val="single" w:sz="8" w:space="0" w:color="auto"/>
            </w:tcBorders>
            <w:shd w:val="clear" w:color="000000" w:fill="FFFFFF"/>
            <w:noWrap/>
            <w:vAlign w:val="bottom"/>
            <w:hideMark/>
          </w:tcPr>
          <w:p w14:paraId="377D0E5E" w14:textId="77777777" w:rsidR="00514ED6" w:rsidRPr="00514ED6" w:rsidRDefault="00514ED6" w:rsidP="00514ED6">
            <w:pPr>
              <w:spacing w:after="0" w:line="240" w:lineRule="auto"/>
              <w:jc w:val="right"/>
              <w:rPr>
                <w:rFonts w:eastAsia="Times New Roman" w:cs="Calibri"/>
                <w:color w:val="000000"/>
                <w:sz w:val="18"/>
                <w:szCs w:val="18"/>
                <w:lang w:val="en-US"/>
              </w:rPr>
            </w:pPr>
            <w:r w:rsidRPr="00514ED6">
              <w:rPr>
                <w:rFonts w:ascii="Arial" w:eastAsia="Times New Roman" w:hAnsi="Arial" w:cs="Arial"/>
                <w:color w:val="000000"/>
                <w:sz w:val="18"/>
                <w:szCs w:val="18"/>
                <w:lang w:val="en-US"/>
              </w:rPr>
              <w:t>₡</w:t>
            </w:r>
            <w:r w:rsidRPr="00514ED6">
              <w:rPr>
                <w:rFonts w:eastAsia="Times New Roman" w:cs="Calibri"/>
                <w:color w:val="000000"/>
                <w:sz w:val="18"/>
                <w:szCs w:val="18"/>
                <w:lang w:val="en-US"/>
              </w:rPr>
              <w:t>10 872,25</w:t>
            </w:r>
          </w:p>
        </w:tc>
        <w:tc>
          <w:tcPr>
            <w:tcW w:w="940" w:type="dxa"/>
            <w:tcBorders>
              <w:top w:val="nil"/>
              <w:left w:val="nil"/>
              <w:bottom w:val="nil"/>
              <w:right w:val="single" w:sz="8" w:space="0" w:color="auto"/>
            </w:tcBorders>
            <w:shd w:val="clear" w:color="auto" w:fill="auto"/>
            <w:noWrap/>
            <w:vAlign w:val="bottom"/>
            <w:hideMark/>
          </w:tcPr>
          <w:p w14:paraId="539CFA73" w14:textId="77777777" w:rsidR="00514ED6" w:rsidRPr="00514ED6" w:rsidRDefault="00514ED6" w:rsidP="00514ED6">
            <w:pPr>
              <w:spacing w:after="0" w:line="240" w:lineRule="auto"/>
              <w:jc w:val="center"/>
              <w:rPr>
                <w:rFonts w:eastAsia="Times New Roman" w:cs="Calibri"/>
                <w:color w:val="000000"/>
                <w:sz w:val="18"/>
                <w:szCs w:val="18"/>
                <w:lang w:val="en-US"/>
              </w:rPr>
            </w:pPr>
            <w:r w:rsidRPr="00514ED6">
              <w:rPr>
                <w:rFonts w:eastAsia="Times New Roman" w:cs="Calibri"/>
                <w:color w:val="000000"/>
                <w:sz w:val="18"/>
                <w:szCs w:val="18"/>
                <w:lang w:val="en-US"/>
              </w:rPr>
              <w:t>10,82%</w:t>
            </w:r>
          </w:p>
        </w:tc>
      </w:tr>
      <w:tr w:rsidR="00514ED6" w:rsidRPr="00514ED6" w14:paraId="2179C2B1" w14:textId="77777777" w:rsidTr="001A229E">
        <w:trPr>
          <w:trHeight w:val="290"/>
        </w:trPr>
        <w:tc>
          <w:tcPr>
            <w:tcW w:w="841" w:type="dxa"/>
            <w:tcBorders>
              <w:top w:val="nil"/>
              <w:left w:val="single" w:sz="8" w:space="0" w:color="auto"/>
              <w:bottom w:val="nil"/>
              <w:right w:val="single" w:sz="8" w:space="0" w:color="auto"/>
            </w:tcBorders>
            <w:shd w:val="clear" w:color="auto" w:fill="auto"/>
            <w:noWrap/>
            <w:vAlign w:val="center"/>
            <w:hideMark/>
          </w:tcPr>
          <w:p w14:paraId="7BF1565A" w14:textId="11A7C8F1" w:rsidR="00514ED6" w:rsidRPr="00514ED6" w:rsidRDefault="00514ED6" w:rsidP="00514ED6">
            <w:pPr>
              <w:spacing w:after="0" w:line="240" w:lineRule="auto"/>
              <w:jc w:val="left"/>
              <w:rPr>
                <w:rFonts w:eastAsia="Times New Roman" w:cs="Calibri"/>
                <w:color w:val="000000"/>
                <w:sz w:val="20"/>
                <w:szCs w:val="20"/>
                <w:lang w:val="en-US"/>
              </w:rPr>
            </w:pPr>
            <w:r w:rsidRPr="00514ED6">
              <w:rPr>
                <w:rFonts w:eastAsia="Times New Roman" w:cs="Calibri"/>
                <w:color w:val="000000"/>
                <w:sz w:val="20"/>
                <w:szCs w:val="20"/>
                <w:lang w:val="en-US"/>
              </w:rPr>
              <w:t>5.1.3.04</w:t>
            </w:r>
          </w:p>
        </w:tc>
        <w:tc>
          <w:tcPr>
            <w:tcW w:w="3544" w:type="dxa"/>
            <w:tcBorders>
              <w:top w:val="nil"/>
              <w:left w:val="nil"/>
              <w:bottom w:val="nil"/>
              <w:right w:val="single" w:sz="8" w:space="0" w:color="auto"/>
            </w:tcBorders>
            <w:shd w:val="clear" w:color="auto" w:fill="auto"/>
            <w:vAlign w:val="center"/>
            <w:hideMark/>
          </w:tcPr>
          <w:p w14:paraId="748AC250" w14:textId="77777777" w:rsidR="00514ED6" w:rsidRPr="00514ED6" w:rsidRDefault="00514ED6" w:rsidP="00514ED6">
            <w:pPr>
              <w:spacing w:after="0" w:line="240" w:lineRule="auto"/>
              <w:jc w:val="left"/>
              <w:rPr>
                <w:rFonts w:eastAsia="Times New Roman" w:cs="Calibri"/>
                <w:color w:val="000000"/>
                <w:sz w:val="20"/>
                <w:szCs w:val="20"/>
                <w:lang w:val="en-US"/>
              </w:rPr>
            </w:pPr>
            <w:r w:rsidRPr="00514ED6">
              <w:rPr>
                <w:rFonts w:eastAsia="Times New Roman" w:cs="Calibri"/>
                <w:color w:val="000000"/>
                <w:sz w:val="20"/>
                <w:szCs w:val="20"/>
                <w:lang w:val="en-US"/>
              </w:rPr>
              <w:t>Herramientas, repuestos y accesorios</w:t>
            </w:r>
          </w:p>
        </w:tc>
        <w:tc>
          <w:tcPr>
            <w:tcW w:w="1120" w:type="dxa"/>
            <w:tcBorders>
              <w:top w:val="nil"/>
              <w:left w:val="nil"/>
              <w:bottom w:val="nil"/>
              <w:right w:val="single" w:sz="8" w:space="0" w:color="auto"/>
            </w:tcBorders>
            <w:shd w:val="clear" w:color="000000" w:fill="FFFFFF"/>
            <w:noWrap/>
            <w:vAlign w:val="bottom"/>
            <w:hideMark/>
          </w:tcPr>
          <w:p w14:paraId="0A4D6E94" w14:textId="77777777" w:rsidR="00514ED6" w:rsidRPr="00514ED6" w:rsidRDefault="00514ED6" w:rsidP="00514ED6">
            <w:pPr>
              <w:spacing w:after="0" w:line="240" w:lineRule="auto"/>
              <w:jc w:val="right"/>
              <w:rPr>
                <w:rFonts w:eastAsia="Times New Roman" w:cs="Calibri"/>
                <w:color w:val="000000"/>
                <w:sz w:val="18"/>
                <w:szCs w:val="18"/>
                <w:lang w:val="en-US"/>
              </w:rPr>
            </w:pPr>
            <w:r w:rsidRPr="00514ED6">
              <w:rPr>
                <w:rFonts w:eastAsia="Times New Roman" w:cs="Calibri"/>
                <w:color w:val="000000"/>
                <w:sz w:val="18"/>
                <w:szCs w:val="18"/>
                <w:lang w:val="en-US"/>
              </w:rPr>
              <w:t>56 951,92</w:t>
            </w:r>
          </w:p>
        </w:tc>
        <w:tc>
          <w:tcPr>
            <w:tcW w:w="1240" w:type="dxa"/>
            <w:tcBorders>
              <w:top w:val="nil"/>
              <w:left w:val="nil"/>
              <w:bottom w:val="nil"/>
              <w:right w:val="single" w:sz="8" w:space="0" w:color="auto"/>
            </w:tcBorders>
            <w:shd w:val="clear" w:color="000000" w:fill="FFFFFF"/>
            <w:noWrap/>
            <w:vAlign w:val="bottom"/>
            <w:hideMark/>
          </w:tcPr>
          <w:p w14:paraId="5797CC73" w14:textId="77777777" w:rsidR="00514ED6" w:rsidRPr="00514ED6" w:rsidRDefault="00514ED6" w:rsidP="00514ED6">
            <w:pPr>
              <w:spacing w:after="0" w:line="240" w:lineRule="auto"/>
              <w:jc w:val="right"/>
              <w:rPr>
                <w:rFonts w:eastAsia="Times New Roman" w:cs="Calibri"/>
                <w:color w:val="000000"/>
                <w:sz w:val="18"/>
                <w:szCs w:val="18"/>
                <w:lang w:val="en-US"/>
              </w:rPr>
            </w:pPr>
            <w:r w:rsidRPr="00514ED6">
              <w:rPr>
                <w:rFonts w:eastAsia="Times New Roman" w:cs="Calibri"/>
                <w:color w:val="000000"/>
                <w:sz w:val="18"/>
                <w:szCs w:val="18"/>
                <w:lang w:val="en-US"/>
              </w:rPr>
              <w:t>64 789,83</w:t>
            </w:r>
          </w:p>
        </w:tc>
        <w:tc>
          <w:tcPr>
            <w:tcW w:w="1029" w:type="dxa"/>
            <w:tcBorders>
              <w:top w:val="nil"/>
              <w:left w:val="nil"/>
              <w:bottom w:val="nil"/>
              <w:right w:val="single" w:sz="8" w:space="0" w:color="auto"/>
            </w:tcBorders>
            <w:shd w:val="clear" w:color="000000" w:fill="FFFFFF"/>
            <w:noWrap/>
            <w:vAlign w:val="bottom"/>
            <w:hideMark/>
          </w:tcPr>
          <w:p w14:paraId="758B49D1" w14:textId="77777777" w:rsidR="00514ED6" w:rsidRPr="00514ED6" w:rsidRDefault="00514ED6" w:rsidP="00514ED6">
            <w:pPr>
              <w:spacing w:after="0" w:line="240" w:lineRule="auto"/>
              <w:jc w:val="right"/>
              <w:rPr>
                <w:rFonts w:eastAsia="Times New Roman" w:cs="Calibri"/>
                <w:color w:val="000000"/>
                <w:sz w:val="18"/>
                <w:szCs w:val="18"/>
                <w:lang w:val="en-US"/>
              </w:rPr>
            </w:pPr>
            <w:r w:rsidRPr="00514ED6">
              <w:rPr>
                <w:rFonts w:eastAsia="Times New Roman" w:cs="Calibri"/>
                <w:color w:val="000000"/>
                <w:sz w:val="18"/>
                <w:szCs w:val="18"/>
                <w:lang w:val="en-US"/>
              </w:rPr>
              <w:t>-</w:t>
            </w:r>
            <w:r w:rsidRPr="00514ED6">
              <w:rPr>
                <w:rFonts w:ascii="Arial" w:eastAsia="Times New Roman" w:hAnsi="Arial" w:cs="Arial"/>
                <w:color w:val="000000"/>
                <w:sz w:val="18"/>
                <w:szCs w:val="18"/>
                <w:lang w:val="en-US"/>
              </w:rPr>
              <w:t>₡</w:t>
            </w:r>
            <w:r w:rsidRPr="00514ED6">
              <w:rPr>
                <w:rFonts w:eastAsia="Times New Roman" w:cs="Calibri"/>
                <w:color w:val="000000"/>
                <w:sz w:val="18"/>
                <w:szCs w:val="18"/>
                <w:lang w:val="en-US"/>
              </w:rPr>
              <w:t>7 837,91</w:t>
            </w:r>
          </w:p>
        </w:tc>
        <w:tc>
          <w:tcPr>
            <w:tcW w:w="940" w:type="dxa"/>
            <w:tcBorders>
              <w:top w:val="nil"/>
              <w:left w:val="nil"/>
              <w:bottom w:val="nil"/>
              <w:right w:val="single" w:sz="8" w:space="0" w:color="auto"/>
            </w:tcBorders>
            <w:shd w:val="clear" w:color="auto" w:fill="auto"/>
            <w:noWrap/>
            <w:vAlign w:val="bottom"/>
            <w:hideMark/>
          </w:tcPr>
          <w:p w14:paraId="7B9BC24B" w14:textId="77777777" w:rsidR="00514ED6" w:rsidRPr="00514ED6" w:rsidRDefault="00514ED6" w:rsidP="00514ED6">
            <w:pPr>
              <w:spacing w:after="0" w:line="240" w:lineRule="auto"/>
              <w:jc w:val="center"/>
              <w:rPr>
                <w:rFonts w:eastAsia="Times New Roman" w:cs="Calibri"/>
                <w:color w:val="000000"/>
                <w:sz w:val="18"/>
                <w:szCs w:val="18"/>
                <w:lang w:val="en-US"/>
              </w:rPr>
            </w:pPr>
            <w:r w:rsidRPr="00514ED6">
              <w:rPr>
                <w:rFonts w:eastAsia="Times New Roman" w:cs="Calibri"/>
                <w:color w:val="000000"/>
                <w:sz w:val="18"/>
                <w:szCs w:val="18"/>
                <w:lang w:val="en-US"/>
              </w:rPr>
              <w:t>-12,10%</w:t>
            </w:r>
          </w:p>
        </w:tc>
      </w:tr>
      <w:tr w:rsidR="00514ED6" w:rsidRPr="00514ED6" w14:paraId="434CC976" w14:textId="77777777" w:rsidTr="001A229E">
        <w:trPr>
          <w:trHeight w:val="300"/>
        </w:trPr>
        <w:tc>
          <w:tcPr>
            <w:tcW w:w="841" w:type="dxa"/>
            <w:tcBorders>
              <w:top w:val="nil"/>
              <w:left w:val="single" w:sz="8" w:space="0" w:color="auto"/>
              <w:bottom w:val="nil"/>
              <w:right w:val="single" w:sz="8" w:space="0" w:color="auto"/>
            </w:tcBorders>
            <w:shd w:val="clear" w:color="auto" w:fill="auto"/>
            <w:noWrap/>
            <w:vAlign w:val="center"/>
            <w:hideMark/>
          </w:tcPr>
          <w:p w14:paraId="572EB520" w14:textId="6CD47E92" w:rsidR="00514ED6" w:rsidRPr="00514ED6" w:rsidRDefault="00514ED6" w:rsidP="00514ED6">
            <w:pPr>
              <w:spacing w:after="0" w:line="240" w:lineRule="auto"/>
              <w:jc w:val="left"/>
              <w:rPr>
                <w:rFonts w:eastAsia="Times New Roman" w:cs="Calibri"/>
                <w:color w:val="000000"/>
                <w:sz w:val="20"/>
                <w:szCs w:val="20"/>
                <w:lang w:val="en-US"/>
              </w:rPr>
            </w:pPr>
            <w:r w:rsidRPr="00514ED6">
              <w:rPr>
                <w:rFonts w:eastAsia="Times New Roman" w:cs="Calibri"/>
                <w:color w:val="000000"/>
                <w:sz w:val="20"/>
                <w:szCs w:val="20"/>
                <w:lang w:val="en-US"/>
              </w:rPr>
              <w:t>5.1.3.99</w:t>
            </w:r>
          </w:p>
        </w:tc>
        <w:tc>
          <w:tcPr>
            <w:tcW w:w="3544" w:type="dxa"/>
            <w:tcBorders>
              <w:top w:val="nil"/>
              <w:left w:val="nil"/>
              <w:bottom w:val="nil"/>
              <w:right w:val="single" w:sz="8" w:space="0" w:color="auto"/>
            </w:tcBorders>
            <w:shd w:val="clear" w:color="auto" w:fill="auto"/>
            <w:vAlign w:val="center"/>
            <w:hideMark/>
          </w:tcPr>
          <w:p w14:paraId="35E768A3" w14:textId="77777777" w:rsidR="00514ED6" w:rsidRPr="00514ED6" w:rsidRDefault="00514ED6" w:rsidP="00514ED6">
            <w:pPr>
              <w:spacing w:after="0" w:line="240" w:lineRule="auto"/>
              <w:jc w:val="left"/>
              <w:rPr>
                <w:rFonts w:eastAsia="Times New Roman" w:cs="Calibri"/>
                <w:color w:val="000000"/>
                <w:sz w:val="20"/>
                <w:szCs w:val="20"/>
              </w:rPr>
            </w:pPr>
            <w:r w:rsidRPr="00514ED6">
              <w:rPr>
                <w:rFonts w:eastAsia="Times New Roman" w:cs="Calibri"/>
                <w:color w:val="000000"/>
                <w:sz w:val="20"/>
                <w:szCs w:val="20"/>
              </w:rPr>
              <w:t>Útiles, materiales y suministros diversos</w:t>
            </w:r>
          </w:p>
        </w:tc>
        <w:tc>
          <w:tcPr>
            <w:tcW w:w="1120" w:type="dxa"/>
            <w:tcBorders>
              <w:top w:val="nil"/>
              <w:left w:val="nil"/>
              <w:bottom w:val="nil"/>
              <w:right w:val="single" w:sz="8" w:space="0" w:color="auto"/>
            </w:tcBorders>
            <w:shd w:val="clear" w:color="000000" w:fill="FFFFFF"/>
            <w:noWrap/>
            <w:vAlign w:val="bottom"/>
            <w:hideMark/>
          </w:tcPr>
          <w:p w14:paraId="09A61128" w14:textId="77777777" w:rsidR="00514ED6" w:rsidRPr="00514ED6" w:rsidRDefault="00514ED6" w:rsidP="00514ED6">
            <w:pPr>
              <w:spacing w:after="0" w:line="240" w:lineRule="auto"/>
              <w:jc w:val="right"/>
              <w:rPr>
                <w:rFonts w:eastAsia="Times New Roman" w:cs="Calibri"/>
                <w:color w:val="000000"/>
                <w:sz w:val="18"/>
                <w:szCs w:val="18"/>
                <w:lang w:val="en-US"/>
              </w:rPr>
            </w:pPr>
            <w:r w:rsidRPr="00514ED6">
              <w:rPr>
                <w:rFonts w:eastAsia="Times New Roman" w:cs="Calibri"/>
                <w:color w:val="000000"/>
                <w:sz w:val="18"/>
                <w:szCs w:val="18"/>
                <w:lang w:val="en-US"/>
              </w:rPr>
              <w:t>25 361,78</w:t>
            </w:r>
          </w:p>
        </w:tc>
        <w:tc>
          <w:tcPr>
            <w:tcW w:w="1240" w:type="dxa"/>
            <w:tcBorders>
              <w:top w:val="nil"/>
              <w:left w:val="nil"/>
              <w:bottom w:val="nil"/>
              <w:right w:val="single" w:sz="8" w:space="0" w:color="auto"/>
            </w:tcBorders>
            <w:shd w:val="clear" w:color="000000" w:fill="FFFFFF"/>
            <w:noWrap/>
            <w:vAlign w:val="bottom"/>
            <w:hideMark/>
          </w:tcPr>
          <w:p w14:paraId="42ECDA23" w14:textId="77777777" w:rsidR="00514ED6" w:rsidRPr="00514ED6" w:rsidRDefault="00514ED6" w:rsidP="00514ED6">
            <w:pPr>
              <w:spacing w:after="0" w:line="240" w:lineRule="auto"/>
              <w:jc w:val="right"/>
              <w:rPr>
                <w:rFonts w:eastAsia="Times New Roman" w:cs="Calibri"/>
                <w:color w:val="000000"/>
                <w:sz w:val="18"/>
                <w:szCs w:val="18"/>
                <w:lang w:val="en-US"/>
              </w:rPr>
            </w:pPr>
            <w:r w:rsidRPr="00514ED6">
              <w:rPr>
                <w:rFonts w:eastAsia="Times New Roman" w:cs="Calibri"/>
                <w:color w:val="000000"/>
                <w:sz w:val="18"/>
                <w:szCs w:val="18"/>
                <w:lang w:val="en-US"/>
              </w:rPr>
              <w:t>16 438,76</w:t>
            </w:r>
          </w:p>
        </w:tc>
        <w:tc>
          <w:tcPr>
            <w:tcW w:w="1029" w:type="dxa"/>
            <w:tcBorders>
              <w:top w:val="nil"/>
              <w:left w:val="nil"/>
              <w:bottom w:val="nil"/>
              <w:right w:val="single" w:sz="8" w:space="0" w:color="auto"/>
            </w:tcBorders>
            <w:shd w:val="clear" w:color="000000" w:fill="FFFFFF"/>
            <w:noWrap/>
            <w:vAlign w:val="bottom"/>
            <w:hideMark/>
          </w:tcPr>
          <w:p w14:paraId="137949CF" w14:textId="77777777" w:rsidR="00514ED6" w:rsidRPr="00514ED6" w:rsidRDefault="00514ED6" w:rsidP="00514ED6">
            <w:pPr>
              <w:spacing w:after="0" w:line="240" w:lineRule="auto"/>
              <w:jc w:val="right"/>
              <w:rPr>
                <w:rFonts w:eastAsia="Times New Roman" w:cs="Calibri"/>
                <w:color w:val="000000"/>
                <w:sz w:val="18"/>
                <w:szCs w:val="18"/>
                <w:lang w:val="en-US"/>
              </w:rPr>
            </w:pPr>
            <w:r w:rsidRPr="00514ED6">
              <w:rPr>
                <w:rFonts w:ascii="Arial" w:eastAsia="Times New Roman" w:hAnsi="Arial" w:cs="Arial"/>
                <w:color w:val="000000"/>
                <w:sz w:val="18"/>
                <w:szCs w:val="18"/>
                <w:lang w:val="en-US"/>
              </w:rPr>
              <w:t>₡</w:t>
            </w:r>
            <w:r w:rsidRPr="00514ED6">
              <w:rPr>
                <w:rFonts w:eastAsia="Times New Roman" w:cs="Calibri"/>
                <w:color w:val="000000"/>
                <w:sz w:val="18"/>
                <w:szCs w:val="18"/>
                <w:lang w:val="en-US"/>
              </w:rPr>
              <w:t>8 923,02</w:t>
            </w:r>
          </w:p>
        </w:tc>
        <w:tc>
          <w:tcPr>
            <w:tcW w:w="940" w:type="dxa"/>
            <w:tcBorders>
              <w:top w:val="nil"/>
              <w:left w:val="nil"/>
              <w:bottom w:val="nil"/>
              <w:right w:val="single" w:sz="8" w:space="0" w:color="auto"/>
            </w:tcBorders>
            <w:shd w:val="clear" w:color="auto" w:fill="auto"/>
            <w:noWrap/>
            <w:vAlign w:val="bottom"/>
            <w:hideMark/>
          </w:tcPr>
          <w:p w14:paraId="2F113C8D" w14:textId="77777777" w:rsidR="00514ED6" w:rsidRPr="00514ED6" w:rsidRDefault="00514ED6" w:rsidP="00514ED6">
            <w:pPr>
              <w:spacing w:after="0" w:line="240" w:lineRule="auto"/>
              <w:jc w:val="center"/>
              <w:rPr>
                <w:rFonts w:eastAsia="Times New Roman" w:cs="Calibri"/>
                <w:color w:val="000000"/>
                <w:sz w:val="18"/>
                <w:szCs w:val="18"/>
                <w:lang w:val="en-US"/>
              </w:rPr>
            </w:pPr>
            <w:r w:rsidRPr="00514ED6">
              <w:rPr>
                <w:rFonts w:eastAsia="Times New Roman" w:cs="Calibri"/>
                <w:color w:val="000000"/>
                <w:sz w:val="18"/>
                <w:szCs w:val="18"/>
                <w:lang w:val="en-US"/>
              </w:rPr>
              <w:t>54,28%</w:t>
            </w:r>
          </w:p>
        </w:tc>
      </w:tr>
      <w:tr w:rsidR="00514ED6" w:rsidRPr="00514ED6" w14:paraId="148D36D5" w14:textId="77777777" w:rsidTr="001A229E">
        <w:trPr>
          <w:trHeight w:val="300"/>
        </w:trPr>
        <w:tc>
          <w:tcPr>
            <w:tcW w:w="84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D97E58" w14:textId="77777777" w:rsidR="00514ED6" w:rsidRPr="00514ED6" w:rsidRDefault="00514ED6" w:rsidP="00514ED6">
            <w:pPr>
              <w:spacing w:after="0" w:line="240" w:lineRule="auto"/>
              <w:jc w:val="left"/>
              <w:rPr>
                <w:rFonts w:eastAsia="Times New Roman" w:cs="Calibri"/>
                <w:b/>
                <w:bCs/>
                <w:color w:val="000000"/>
                <w:sz w:val="18"/>
                <w:szCs w:val="18"/>
                <w:lang w:val="en-US"/>
              </w:rPr>
            </w:pPr>
            <w:r w:rsidRPr="00514ED6">
              <w:rPr>
                <w:rFonts w:eastAsia="Times New Roman" w:cs="Calibri"/>
                <w:b/>
                <w:bCs/>
                <w:color w:val="000000"/>
                <w:sz w:val="18"/>
                <w:szCs w:val="18"/>
                <w:lang w:val="en-US"/>
              </w:rPr>
              <w:t> </w:t>
            </w:r>
          </w:p>
        </w:tc>
        <w:tc>
          <w:tcPr>
            <w:tcW w:w="3544" w:type="dxa"/>
            <w:tcBorders>
              <w:top w:val="single" w:sz="8" w:space="0" w:color="auto"/>
              <w:left w:val="nil"/>
              <w:bottom w:val="single" w:sz="8" w:space="0" w:color="auto"/>
              <w:right w:val="single" w:sz="8" w:space="0" w:color="auto"/>
            </w:tcBorders>
            <w:shd w:val="clear" w:color="auto" w:fill="auto"/>
            <w:vAlign w:val="center"/>
            <w:hideMark/>
          </w:tcPr>
          <w:p w14:paraId="79D0E4EF" w14:textId="77777777" w:rsidR="00514ED6" w:rsidRPr="00514ED6" w:rsidRDefault="00514ED6" w:rsidP="00514ED6">
            <w:pPr>
              <w:spacing w:after="0" w:line="240" w:lineRule="auto"/>
              <w:jc w:val="center"/>
              <w:rPr>
                <w:rFonts w:eastAsia="Times New Roman" w:cs="Calibri"/>
                <w:b/>
                <w:bCs/>
                <w:color w:val="000000"/>
                <w:sz w:val="18"/>
                <w:szCs w:val="18"/>
                <w:lang w:val="en-US"/>
              </w:rPr>
            </w:pPr>
            <w:r w:rsidRPr="00514ED6">
              <w:rPr>
                <w:rFonts w:eastAsia="Times New Roman" w:cs="Calibri"/>
                <w:b/>
                <w:bCs/>
                <w:color w:val="000000"/>
                <w:sz w:val="18"/>
                <w:szCs w:val="18"/>
                <w:lang w:val="en-US"/>
              </w:rPr>
              <w:t>TOTALES</w:t>
            </w:r>
          </w:p>
        </w:tc>
        <w:tc>
          <w:tcPr>
            <w:tcW w:w="1120" w:type="dxa"/>
            <w:tcBorders>
              <w:top w:val="single" w:sz="8" w:space="0" w:color="auto"/>
              <w:left w:val="nil"/>
              <w:bottom w:val="single" w:sz="8" w:space="0" w:color="auto"/>
              <w:right w:val="single" w:sz="8" w:space="0" w:color="auto"/>
            </w:tcBorders>
            <w:shd w:val="clear" w:color="auto" w:fill="auto"/>
            <w:noWrap/>
            <w:vAlign w:val="center"/>
            <w:hideMark/>
          </w:tcPr>
          <w:p w14:paraId="5DEBA579" w14:textId="77777777" w:rsidR="00514ED6" w:rsidRPr="00514ED6" w:rsidRDefault="00514ED6" w:rsidP="00514ED6">
            <w:pPr>
              <w:spacing w:after="0" w:line="240" w:lineRule="auto"/>
              <w:jc w:val="right"/>
              <w:rPr>
                <w:rFonts w:eastAsia="Times New Roman" w:cs="Calibri"/>
                <w:b/>
                <w:bCs/>
                <w:color w:val="000000"/>
                <w:sz w:val="18"/>
                <w:szCs w:val="18"/>
                <w:lang w:val="en-US"/>
              </w:rPr>
            </w:pPr>
            <w:r w:rsidRPr="00514ED6">
              <w:rPr>
                <w:rFonts w:ascii="Arial" w:eastAsia="Times New Roman" w:hAnsi="Arial" w:cs="Arial"/>
                <w:b/>
                <w:bCs/>
                <w:color w:val="000000"/>
                <w:sz w:val="18"/>
                <w:szCs w:val="18"/>
                <w:lang w:val="en-US"/>
              </w:rPr>
              <w:t>₡</w:t>
            </w:r>
            <w:r w:rsidRPr="00514ED6">
              <w:rPr>
                <w:rFonts w:eastAsia="Times New Roman" w:cs="Calibri"/>
                <w:b/>
                <w:bCs/>
                <w:color w:val="000000"/>
                <w:sz w:val="18"/>
                <w:szCs w:val="18"/>
                <w:lang w:val="en-US"/>
              </w:rPr>
              <w:t>289 260,24</w:t>
            </w:r>
          </w:p>
        </w:tc>
        <w:tc>
          <w:tcPr>
            <w:tcW w:w="1240" w:type="dxa"/>
            <w:tcBorders>
              <w:top w:val="single" w:sz="8" w:space="0" w:color="auto"/>
              <w:left w:val="nil"/>
              <w:bottom w:val="single" w:sz="8" w:space="0" w:color="auto"/>
              <w:right w:val="single" w:sz="8" w:space="0" w:color="auto"/>
            </w:tcBorders>
            <w:shd w:val="clear" w:color="auto" w:fill="auto"/>
            <w:noWrap/>
            <w:vAlign w:val="center"/>
            <w:hideMark/>
          </w:tcPr>
          <w:p w14:paraId="34380E84" w14:textId="77777777" w:rsidR="00514ED6" w:rsidRPr="00514ED6" w:rsidRDefault="00514ED6" w:rsidP="00514ED6">
            <w:pPr>
              <w:spacing w:after="0" w:line="240" w:lineRule="auto"/>
              <w:jc w:val="right"/>
              <w:rPr>
                <w:rFonts w:eastAsia="Times New Roman" w:cs="Calibri"/>
                <w:b/>
                <w:bCs/>
                <w:color w:val="000000"/>
                <w:sz w:val="18"/>
                <w:szCs w:val="18"/>
                <w:lang w:val="en-US"/>
              </w:rPr>
            </w:pPr>
            <w:r w:rsidRPr="00514ED6">
              <w:rPr>
                <w:rFonts w:ascii="Arial" w:eastAsia="Times New Roman" w:hAnsi="Arial" w:cs="Arial"/>
                <w:b/>
                <w:bCs/>
                <w:color w:val="000000"/>
                <w:sz w:val="18"/>
                <w:szCs w:val="18"/>
                <w:lang w:val="en-US"/>
              </w:rPr>
              <w:t>₡</w:t>
            </w:r>
            <w:r w:rsidRPr="00514ED6">
              <w:rPr>
                <w:rFonts w:eastAsia="Times New Roman" w:cs="Calibri"/>
                <w:b/>
                <w:bCs/>
                <w:color w:val="000000"/>
                <w:sz w:val="18"/>
                <w:szCs w:val="18"/>
                <w:lang w:val="en-US"/>
              </w:rPr>
              <w:t>259 761,80</w:t>
            </w:r>
          </w:p>
        </w:tc>
        <w:tc>
          <w:tcPr>
            <w:tcW w:w="1029" w:type="dxa"/>
            <w:tcBorders>
              <w:top w:val="single" w:sz="8" w:space="0" w:color="auto"/>
              <w:left w:val="nil"/>
              <w:bottom w:val="single" w:sz="8" w:space="0" w:color="auto"/>
              <w:right w:val="single" w:sz="8" w:space="0" w:color="auto"/>
            </w:tcBorders>
            <w:shd w:val="clear" w:color="000000" w:fill="FFFFFF"/>
            <w:noWrap/>
            <w:vAlign w:val="bottom"/>
            <w:hideMark/>
          </w:tcPr>
          <w:p w14:paraId="6591A595" w14:textId="77777777" w:rsidR="00514ED6" w:rsidRPr="00514ED6" w:rsidRDefault="00514ED6" w:rsidP="00514ED6">
            <w:pPr>
              <w:spacing w:after="0" w:line="240" w:lineRule="auto"/>
              <w:jc w:val="right"/>
              <w:rPr>
                <w:rFonts w:eastAsia="Times New Roman" w:cs="Calibri"/>
                <w:b/>
                <w:bCs/>
                <w:color w:val="000000"/>
                <w:sz w:val="18"/>
                <w:szCs w:val="18"/>
                <w:lang w:val="en-US"/>
              </w:rPr>
            </w:pPr>
            <w:r w:rsidRPr="00514ED6">
              <w:rPr>
                <w:rFonts w:ascii="Arial" w:eastAsia="Times New Roman" w:hAnsi="Arial" w:cs="Arial"/>
                <w:b/>
                <w:bCs/>
                <w:color w:val="000000"/>
                <w:sz w:val="18"/>
                <w:szCs w:val="18"/>
                <w:lang w:val="en-US"/>
              </w:rPr>
              <w:t>₡</w:t>
            </w:r>
            <w:r w:rsidRPr="00514ED6">
              <w:rPr>
                <w:rFonts w:eastAsia="Times New Roman" w:cs="Calibri"/>
                <w:b/>
                <w:bCs/>
                <w:color w:val="000000"/>
                <w:sz w:val="18"/>
                <w:szCs w:val="18"/>
                <w:lang w:val="en-US"/>
              </w:rPr>
              <w:t>29 498,45</w:t>
            </w:r>
          </w:p>
        </w:tc>
        <w:tc>
          <w:tcPr>
            <w:tcW w:w="940" w:type="dxa"/>
            <w:tcBorders>
              <w:top w:val="single" w:sz="8" w:space="0" w:color="auto"/>
              <w:left w:val="nil"/>
              <w:bottom w:val="single" w:sz="8" w:space="0" w:color="auto"/>
              <w:right w:val="single" w:sz="8" w:space="0" w:color="auto"/>
            </w:tcBorders>
            <w:shd w:val="clear" w:color="auto" w:fill="auto"/>
            <w:noWrap/>
            <w:vAlign w:val="center"/>
            <w:hideMark/>
          </w:tcPr>
          <w:p w14:paraId="1F8A37D9" w14:textId="77777777" w:rsidR="00514ED6" w:rsidRPr="00514ED6" w:rsidRDefault="00514ED6" w:rsidP="00514ED6">
            <w:pPr>
              <w:spacing w:after="0" w:line="240" w:lineRule="auto"/>
              <w:jc w:val="center"/>
              <w:rPr>
                <w:rFonts w:eastAsia="Times New Roman" w:cs="Calibri"/>
                <w:b/>
                <w:bCs/>
                <w:color w:val="000000"/>
                <w:sz w:val="18"/>
                <w:szCs w:val="18"/>
                <w:lang w:val="en-US"/>
              </w:rPr>
            </w:pPr>
            <w:r w:rsidRPr="00514ED6">
              <w:rPr>
                <w:rFonts w:eastAsia="Times New Roman" w:cs="Calibri"/>
                <w:b/>
                <w:bCs/>
                <w:color w:val="000000"/>
                <w:sz w:val="18"/>
                <w:szCs w:val="18"/>
                <w:lang w:val="en-US"/>
              </w:rPr>
              <w:t>11,36%</w:t>
            </w:r>
          </w:p>
        </w:tc>
      </w:tr>
    </w:tbl>
    <w:p w14:paraId="5F1A97F6" w14:textId="77777777" w:rsidR="00F552F3" w:rsidRPr="00290BBB" w:rsidRDefault="00F552F3" w:rsidP="00F552F3">
      <w:pPr>
        <w:spacing w:after="0" w:line="240" w:lineRule="auto"/>
        <w:rPr>
          <w:rFonts w:eastAsiaTheme="minorEastAsia" w:cs="Arial Narrow"/>
          <w:color w:val="000000"/>
          <w:lang w:eastAsia="es-CR"/>
        </w:rPr>
      </w:pPr>
    </w:p>
    <w:p w14:paraId="6FCD2377" w14:textId="77777777" w:rsidR="00AF0375" w:rsidRDefault="00AF0375" w:rsidP="00AF0375">
      <w:pPr>
        <w:rPr>
          <w:rFonts w:eastAsiaTheme="minorEastAsia" w:cs="Arial Narrow"/>
          <w:color w:val="000000"/>
          <w:lang w:eastAsia="es-CR"/>
        </w:rPr>
      </w:pPr>
      <w:r w:rsidRPr="00A04154">
        <w:rPr>
          <w:rFonts w:eastAsiaTheme="minorEastAsia" w:cs="Arial Narrow"/>
          <w:color w:val="000000"/>
          <w:lang w:eastAsia="es-CR"/>
        </w:rPr>
        <w:t>El detalle de las variaciones por rubro se muestra en el siguiente detalle:</w:t>
      </w:r>
    </w:p>
    <w:tbl>
      <w:tblPr>
        <w:tblW w:w="8951" w:type="dxa"/>
        <w:tblLook w:val="04A0" w:firstRow="1" w:lastRow="0" w:firstColumn="1" w:lastColumn="0" w:noHBand="0" w:noVBand="1"/>
      </w:tblPr>
      <w:tblGrid>
        <w:gridCol w:w="1083"/>
        <w:gridCol w:w="3508"/>
        <w:gridCol w:w="1120"/>
        <w:gridCol w:w="1083"/>
        <w:gridCol w:w="980"/>
        <w:gridCol w:w="955"/>
        <w:gridCol w:w="222"/>
      </w:tblGrid>
      <w:tr w:rsidR="001A229E" w:rsidRPr="001A229E" w14:paraId="1B45EED6" w14:textId="77777777" w:rsidTr="001A229E">
        <w:trPr>
          <w:gridAfter w:val="1"/>
          <w:wAfter w:w="222" w:type="dxa"/>
          <w:trHeight w:val="457"/>
        </w:trPr>
        <w:tc>
          <w:tcPr>
            <w:tcW w:w="1083" w:type="dxa"/>
            <w:vMerge w:val="restart"/>
            <w:tcBorders>
              <w:top w:val="single" w:sz="8" w:space="0" w:color="auto"/>
              <w:left w:val="single" w:sz="8" w:space="0" w:color="auto"/>
              <w:bottom w:val="nil"/>
              <w:right w:val="single" w:sz="8" w:space="0" w:color="auto"/>
            </w:tcBorders>
            <w:shd w:val="clear" w:color="000000" w:fill="203764"/>
            <w:noWrap/>
            <w:vAlign w:val="center"/>
            <w:hideMark/>
          </w:tcPr>
          <w:p w14:paraId="79DA30B8" w14:textId="77777777" w:rsidR="001A229E" w:rsidRPr="001A229E" w:rsidRDefault="001A229E" w:rsidP="001A229E">
            <w:pPr>
              <w:spacing w:after="0" w:line="240" w:lineRule="auto"/>
              <w:jc w:val="center"/>
              <w:rPr>
                <w:rFonts w:eastAsia="Times New Roman" w:cs="Calibri"/>
                <w:b/>
                <w:bCs/>
                <w:color w:val="FFFFFF"/>
                <w:sz w:val="20"/>
                <w:szCs w:val="20"/>
                <w:lang w:val="en-US"/>
              </w:rPr>
            </w:pPr>
            <w:r w:rsidRPr="001A229E">
              <w:rPr>
                <w:rFonts w:eastAsia="Times New Roman" w:cs="Calibri"/>
                <w:b/>
                <w:bCs/>
                <w:color w:val="FFFFFF"/>
                <w:sz w:val="20"/>
                <w:szCs w:val="20"/>
                <w:lang w:val="en-US"/>
              </w:rPr>
              <w:t>Cuenta</w:t>
            </w:r>
          </w:p>
        </w:tc>
        <w:tc>
          <w:tcPr>
            <w:tcW w:w="3508" w:type="dxa"/>
            <w:vMerge w:val="restart"/>
            <w:tcBorders>
              <w:top w:val="single" w:sz="8" w:space="0" w:color="auto"/>
              <w:left w:val="single" w:sz="8" w:space="0" w:color="auto"/>
              <w:bottom w:val="nil"/>
              <w:right w:val="single" w:sz="8" w:space="0" w:color="auto"/>
            </w:tcBorders>
            <w:shd w:val="clear" w:color="000000" w:fill="203764"/>
            <w:vAlign w:val="center"/>
            <w:hideMark/>
          </w:tcPr>
          <w:p w14:paraId="428BF928" w14:textId="77777777" w:rsidR="001A229E" w:rsidRPr="001A229E" w:rsidRDefault="001A229E" w:rsidP="001A229E">
            <w:pPr>
              <w:spacing w:after="0" w:line="240" w:lineRule="auto"/>
              <w:jc w:val="center"/>
              <w:rPr>
                <w:rFonts w:eastAsia="Times New Roman" w:cs="Calibri"/>
                <w:b/>
                <w:bCs/>
                <w:color w:val="FFFFFF"/>
                <w:sz w:val="20"/>
                <w:szCs w:val="20"/>
                <w:lang w:val="en-US"/>
              </w:rPr>
            </w:pPr>
            <w:r w:rsidRPr="001A229E">
              <w:rPr>
                <w:rFonts w:eastAsia="Times New Roman" w:cs="Calibri"/>
                <w:b/>
                <w:bCs/>
                <w:color w:val="FFFFFF"/>
                <w:sz w:val="20"/>
                <w:szCs w:val="20"/>
                <w:lang w:val="en-US"/>
              </w:rPr>
              <w:t>Descripción</w:t>
            </w:r>
          </w:p>
        </w:tc>
        <w:tc>
          <w:tcPr>
            <w:tcW w:w="1120" w:type="dxa"/>
            <w:vMerge w:val="restart"/>
            <w:tcBorders>
              <w:top w:val="single" w:sz="8" w:space="0" w:color="auto"/>
              <w:left w:val="single" w:sz="8" w:space="0" w:color="auto"/>
              <w:bottom w:val="nil"/>
              <w:right w:val="single" w:sz="8" w:space="0" w:color="auto"/>
            </w:tcBorders>
            <w:shd w:val="clear" w:color="000000" w:fill="203764"/>
            <w:noWrap/>
            <w:vAlign w:val="center"/>
            <w:hideMark/>
          </w:tcPr>
          <w:p w14:paraId="0EE2462E" w14:textId="77777777" w:rsidR="001A229E" w:rsidRPr="001A229E" w:rsidRDefault="001A229E" w:rsidP="001A229E">
            <w:pPr>
              <w:spacing w:after="0" w:line="240" w:lineRule="auto"/>
              <w:jc w:val="center"/>
              <w:rPr>
                <w:rFonts w:eastAsia="Times New Roman" w:cs="Calibri"/>
                <w:color w:val="FFFFFF"/>
                <w:sz w:val="20"/>
                <w:szCs w:val="20"/>
                <w:lang w:val="en-US"/>
              </w:rPr>
            </w:pPr>
            <w:r w:rsidRPr="001A229E">
              <w:rPr>
                <w:rFonts w:eastAsia="Times New Roman" w:cs="Calibri"/>
                <w:color w:val="FFFFFF"/>
                <w:sz w:val="20"/>
                <w:szCs w:val="20"/>
                <w:lang w:val="en-US"/>
              </w:rPr>
              <w:t>Saldo Actual</w:t>
            </w:r>
          </w:p>
        </w:tc>
        <w:tc>
          <w:tcPr>
            <w:tcW w:w="1083" w:type="dxa"/>
            <w:vMerge w:val="restart"/>
            <w:tcBorders>
              <w:top w:val="single" w:sz="8" w:space="0" w:color="auto"/>
              <w:left w:val="single" w:sz="8" w:space="0" w:color="auto"/>
              <w:bottom w:val="nil"/>
              <w:right w:val="single" w:sz="8" w:space="0" w:color="auto"/>
            </w:tcBorders>
            <w:shd w:val="clear" w:color="000000" w:fill="203764"/>
            <w:vAlign w:val="center"/>
            <w:hideMark/>
          </w:tcPr>
          <w:p w14:paraId="19AB139A" w14:textId="77777777" w:rsidR="001A229E" w:rsidRPr="001A229E" w:rsidRDefault="001A229E" w:rsidP="001A229E">
            <w:pPr>
              <w:spacing w:after="0" w:line="240" w:lineRule="auto"/>
              <w:jc w:val="center"/>
              <w:rPr>
                <w:rFonts w:eastAsia="Times New Roman" w:cs="Calibri"/>
                <w:color w:val="FFFFFF"/>
                <w:sz w:val="20"/>
                <w:szCs w:val="20"/>
                <w:lang w:val="en-US"/>
              </w:rPr>
            </w:pPr>
            <w:r w:rsidRPr="001A229E">
              <w:rPr>
                <w:rFonts w:eastAsia="Times New Roman" w:cs="Calibri"/>
                <w:color w:val="FFFFFF"/>
                <w:sz w:val="20"/>
                <w:szCs w:val="20"/>
                <w:lang w:val="en-US"/>
              </w:rPr>
              <w:t>Saldo Anterior</w:t>
            </w:r>
          </w:p>
        </w:tc>
        <w:tc>
          <w:tcPr>
            <w:tcW w:w="980" w:type="dxa"/>
            <w:vMerge w:val="restart"/>
            <w:tcBorders>
              <w:top w:val="single" w:sz="8" w:space="0" w:color="auto"/>
              <w:left w:val="single" w:sz="8" w:space="0" w:color="auto"/>
              <w:bottom w:val="nil"/>
              <w:right w:val="single" w:sz="8" w:space="0" w:color="auto"/>
            </w:tcBorders>
            <w:shd w:val="clear" w:color="000000" w:fill="203764"/>
            <w:vAlign w:val="center"/>
            <w:hideMark/>
          </w:tcPr>
          <w:p w14:paraId="531BB9F6" w14:textId="77777777" w:rsidR="001A229E" w:rsidRPr="001A229E" w:rsidRDefault="001A229E" w:rsidP="001A229E">
            <w:pPr>
              <w:spacing w:after="0" w:line="240" w:lineRule="auto"/>
              <w:jc w:val="center"/>
              <w:rPr>
                <w:rFonts w:eastAsia="Times New Roman" w:cs="Calibri"/>
                <w:color w:val="FFFFFF"/>
                <w:sz w:val="20"/>
                <w:szCs w:val="20"/>
                <w:lang w:val="en-US"/>
              </w:rPr>
            </w:pPr>
            <w:r w:rsidRPr="001A229E">
              <w:rPr>
                <w:rFonts w:eastAsia="Times New Roman" w:cs="Calibri"/>
                <w:color w:val="FFFFFF"/>
                <w:sz w:val="20"/>
                <w:szCs w:val="20"/>
                <w:lang w:val="en-US"/>
              </w:rPr>
              <w:t>Diferencia Absoluta</w:t>
            </w:r>
          </w:p>
        </w:tc>
        <w:tc>
          <w:tcPr>
            <w:tcW w:w="955" w:type="dxa"/>
            <w:vMerge w:val="restart"/>
            <w:tcBorders>
              <w:top w:val="single" w:sz="8" w:space="0" w:color="auto"/>
              <w:left w:val="single" w:sz="8" w:space="0" w:color="auto"/>
              <w:bottom w:val="nil"/>
              <w:right w:val="single" w:sz="8" w:space="0" w:color="auto"/>
            </w:tcBorders>
            <w:shd w:val="clear" w:color="000000" w:fill="203764"/>
            <w:vAlign w:val="center"/>
            <w:hideMark/>
          </w:tcPr>
          <w:p w14:paraId="69B9E2FD" w14:textId="77777777" w:rsidR="001A229E" w:rsidRPr="001A229E" w:rsidRDefault="001A229E" w:rsidP="001A229E">
            <w:pPr>
              <w:spacing w:after="0" w:line="240" w:lineRule="auto"/>
              <w:jc w:val="center"/>
              <w:rPr>
                <w:rFonts w:eastAsia="Times New Roman" w:cs="Calibri"/>
                <w:color w:val="FFFFFF"/>
                <w:sz w:val="20"/>
                <w:szCs w:val="20"/>
                <w:lang w:val="en-US"/>
              </w:rPr>
            </w:pPr>
            <w:r w:rsidRPr="001A229E">
              <w:rPr>
                <w:rFonts w:eastAsia="Times New Roman" w:cs="Calibri"/>
                <w:color w:val="FFFFFF"/>
                <w:sz w:val="20"/>
                <w:szCs w:val="20"/>
                <w:lang w:val="en-US"/>
              </w:rPr>
              <w:t>Diferencia %</w:t>
            </w:r>
          </w:p>
        </w:tc>
      </w:tr>
      <w:tr w:rsidR="001A229E" w:rsidRPr="001A229E" w14:paraId="6F1EB802" w14:textId="77777777" w:rsidTr="001A229E">
        <w:trPr>
          <w:trHeight w:val="300"/>
        </w:trPr>
        <w:tc>
          <w:tcPr>
            <w:tcW w:w="1083" w:type="dxa"/>
            <w:vMerge/>
            <w:tcBorders>
              <w:top w:val="single" w:sz="8" w:space="0" w:color="auto"/>
              <w:left w:val="single" w:sz="8" w:space="0" w:color="auto"/>
              <w:bottom w:val="nil"/>
              <w:right w:val="single" w:sz="8" w:space="0" w:color="auto"/>
            </w:tcBorders>
            <w:vAlign w:val="center"/>
            <w:hideMark/>
          </w:tcPr>
          <w:p w14:paraId="64E842EF" w14:textId="77777777" w:rsidR="001A229E" w:rsidRPr="001A229E" w:rsidRDefault="001A229E" w:rsidP="001A229E">
            <w:pPr>
              <w:spacing w:after="0" w:line="240" w:lineRule="auto"/>
              <w:jc w:val="left"/>
              <w:rPr>
                <w:rFonts w:eastAsia="Times New Roman" w:cs="Calibri"/>
                <w:b/>
                <w:bCs/>
                <w:color w:val="FFFFFF"/>
                <w:sz w:val="20"/>
                <w:szCs w:val="20"/>
                <w:lang w:val="en-US"/>
              </w:rPr>
            </w:pPr>
          </w:p>
        </w:tc>
        <w:tc>
          <w:tcPr>
            <w:tcW w:w="3508" w:type="dxa"/>
            <w:vMerge/>
            <w:tcBorders>
              <w:top w:val="single" w:sz="8" w:space="0" w:color="auto"/>
              <w:left w:val="single" w:sz="8" w:space="0" w:color="auto"/>
              <w:bottom w:val="nil"/>
              <w:right w:val="single" w:sz="8" w:space="0" w:color="auto"/>
            </w:tcBorders>
            <w:vAlign w:val="center"/>
            <w:hideMark/>
          </w:tcPr>
          <w:p w14:paraId="3D5CB7B2" w14:textId="77777777" w:rsidR="001A229E" w:rsidRPr="001A229E" w:rsidRDefault="001A229E" w:rsidP="001A229E">
            <w:pPr>
              <w:spacing w:after="0" w:line="240" w:lineRule="auto"/>
              <w:jc w:val="left"/>
              <w:rPr>
                <w:rFonts w:eastAsia="Times New Roman" w:cs="Calibri"/>
                <w:b/>
                <w:bCs/>
                <w:color w:val="FFFFFF"/>
                <w:sz w:val="20"/>
                <w:szCs w:val="20"/>
                <w:lang w:val="en-US"/>
              </w:rPr>
            </w:pPr>
          </w:p>
        </w:tc>
        <w:tc>
          <w:tcPr>
            <w:tcW w:w="1120" w:type="dxa"/>
            <w:vMerge/>
            <w:tcBorders>
              <w:top w:val="single" w:sz="8" w:space="0" w:color="auto"/>
              <w:left w:val="single" w:sz="8" w:space="0" w:color="auto"/>
              <w:bottom w:val="nil"/>
              <w:right w:val="single" w:sz="8" w:space="0" w:color="auto"/>
            </w:tcBorders>
            <w:vAlign w:val="center"/>
            <w:hideMark/>
          </w:tcPr>
          <w:p w14:paraId="28FFFE95" w14:textId="77777777" w:rsidR="001A229E" w:rsidRPr="001A229E" w:rsidRDefault="001A229E" w:rsidP="001A229E">
            <w:pPr>
              <w:spacing w:after="0" w:line="240" w:lineRule="auto"/>
              <w:jc w:val="left"/>
              <w:rPr>
                <w:rFonts w:eastAsia="Times New Roman" w:cs="Calibri"/>
                <w:color w:val="FFFFFF"/>
                <w:sz w:val="20"/>
                <w:szCs w:val="20"/>
                <w:lang w:val="en-US"/>
              </w:rPr>
            </w:pPr>
          </w:p>
        </w:tc>
        <w:tc>
          <w:tcPr>
            <w:tcW w:w="1083" w:type="dxa"/>
            <w:vMerge/>
            <w:tcBorders>
              <w:top w:val="single" w:sz="8" w:space="0" w:color="auto"/>
              <w:left w:val="single" w:sz="8" w:space="0" w:color="auto"/>
              <w:bottom w:val="nil"/>
              <w:right w:val="single" w:sz="8" w:space="0" w:color="auto"/>
            </w:tcBorders>
            <w:vAlign w:val="center"/>
            <w:hideMark/>
          </w:tcPr>
          <w:p w14:paraId="7FD66893" w14:textId="77777777" w:rsidR="001A229E" w:rsidRPr="001A229E" w:rsidRDefault="001A229E" w:rsidP="001A229E">
            <w:pPr>
              <w:spacing w:after="0" w:line="240" w:lineRule="auto"/>
              <w:jc w:val="left"/>
              <w:rPr>
                <w:rFonts w:eastAsia="Times New Roman" w:cs="Calibri"/>
                <w:color w:val="FFFFFF"/>
                <w:sz w:val="20"/>
                <w:szCs w:val="20"/>
                <w:lang w:val="en-US"/>
              </w:rPr>
            </w:pPr>
          </w:p>
        </w:tc>
        <w:tc>
          <w:tcPr>
            <w:tcW w:w="980" w:type="dxa"/>
            <w:vMerge/>
            <w:tcBorders>
              <w:top w:val="single" w:sz="8" w:space="0" w:color="auto"/>
              <w:left w:val="single" w:sz="8" w:space="0" w:color="auto"/>
              <w:bottom w:val="nil"/>
              <w:right w:val="single" w:sz="8" w:space="0" w:color="auto"/>
            </w:tcBorders>
            <w:vAlign w:val="center"/>
            <w:hideMark/>
          </w:tcPr>
          <w:p w14:paraId="5F76D66C" w14:textId="77777777" w:rsidR="001A229E" w:rsidRPr="001A229E" w:rsidRDefault="001A229E" w:rsidP="001A229E">
            <w:pPr>
              <w:spacing w:after="0" w:line="240" w:lineRule="auto"/>
              <w:jc w:val="left"/>
              <w:rPr>
                <w:rFonts w:eastAsia="Times New Roman" w:cs="Calibri"/>
                <w:color w:val="FFFFFF"/>
                <w:sz w:val="20"/>
                <w:szCs w:val="20"/>
                <w:lang w:val="en-US"/>
              </w:rPr>
            </w:pPr>
          </w:p>
        </w:tc>
        <w:tc>
          <w:tcPr>
            <w:tcW w:w="955" w:type="dxa"/>
            <w:vMerge/>
            <w:tcBorders>
              <w:top w:val="single" w:sz="8" w:space="0" w:color="auto"/>
              <w:left w:val="single" w:sz="8" w:space="0" w:color="auto"/>
              <w:bottom w:val="nil"/>
              <w:right w:val="single" w:sz="8" w:space="0" w:color="auto"/>
            </w:tcBorders>
            <w:vAlign w:val="center"/>
            <w:hideMark/>
          </w:tcPr>
          <w:p w14:paraId="6D0CD35C" w14:textId="77777777" w:rsidR="001A229E" w:rsidRPr="001A229E" w:rsidRDefault="001A229E" w:rsidP="001A229E">
            <w:pPr>
              <w:spacing w:after="0" w:line="240" w:lineRule="auto"/>
              <w:jc w:val="left"/>
              <w:rPr>
                <w:rFonts w:eastAsia="Times New Roman" w:cs="Calibri"/>
                <w:color w:val="FFFFFF"/>
                <w:sz w:val="20"/>
                <w:szCs w:val="20"/>
                <w:lang w:val="en-US"/>
              </w:rPr>
            </w:pPr>
          </w:p>
        </w:tc>
        <w:tc>
          <w:tcPr>
            <w:tcW w:w="222" w:type="dxa"/>
            <w:tcBorders>
              <w:top w:val="nil"/>
              <w:left w:val="nil"/>
              <w:bottom w:val="nil"/>
              <w:right w:val="nil"/>
            </w:tcBorders>
            <w:shd w:val="clear" w:color="auto" w:fill="auto"/>
            <w:noWrap/>
            <w:vAlign w:val="bottom"/>
            <w:hideMark/>
          </w:tcPr>
          <w:p w14:paraId="2015605E" w14:textId="77777777" w:rsidR="001A229E" w:rsidRPr="001A229E" w:rsidRDefault="001A229E" w:rsidP="001A229E">
            <w:pPr>
              <w:spacing w:after="0" w:line="240" w:lineRule="auto"/>
              <w:jc w:val="center"/>
              <w:rPr>
                <w:rFonts w:eastAsia="Times New Roman" w:cs="Calibri"/>
                <w:color w:val="FFFFFF"/>
                <w:sz w:val="20"/>
                <w:szCs w:val="20"/>
                <w:lang w:val="en-US"/>
              </w:rPr>
            </w:pPr>
          </w:p>
        </w:tc>
      </w:tr>
      <w:tr w:rsidR="001A229E" w:rsidRPr="001A229E" w14:paraId="43EB2B7D" w14:textId="77777777" w:rsidTr="001A229E">
        <w:trPr>
          <w:trHeight w:val="300"/>
        </w:trPr>
        <w:tc>
          <w:tcPr>
            <w:tcW w:w="1083" w:type="dxa"/>
            <w:tcBorders>
              <w:top w:val="single" w:sz="8" w:space="0" w:color="auto"/>
              <w:left w:val="single" w:sz="8" w:space="0" w:color="auto"/>
              <w:bottom w:val="nil"/>
              <w:right w:val="nil"/>
            </w:tcBorders>
            <w:shd w:val="clear" w:color="auto" w:fill="auto"/>
            <w:noWrap/>
            <w:vAlign w:val="center"/>
            <w:hideMark/>
          </w:tcPr>
          <w:p w14:paraId="088617F8" w14:textId="77777777" w:rsidR="001A229E" w:rsidRPr="001A229E" w:rsidRDefault="001A229E" w:rsidP="001A229E">
            <w:pPr>
              <w:spacing w:after="0" w:line="240" w:lineRule="auto"/>
              <w:jc w:val="left"/>
              <w:rPr>
                <w:rFonts w:eastAsia="Times New Roman" w:cs="Calibri"/>
                <w:b/>
                <w:bCs/>
                <w:color w:val="000000"/>
                <w:sz w:val="20"/>
                <w:szCs w:val="20"/>
                <w:lang w:val="en-US"/>
              </w:rPr>
            </w:pPr>
            <w:r w:rsidRPr="001A229E">
              <w:rPr>
                <w:rFonts w:eastAsia="Times New Roman" w:cs="Calibri"/>
                <w:b/>
                <w:bCs/>
                <w:color w:val="000000"/>
                <w:sz w:val="20"/>
                <w:szCs w:val="20"/>
                <w:lang w:val="en-US"/>
              </w:rPr>
              <w:t>5.1.3.01.</w:t>
            </w:r>
          </w:p>
        </w:tc>
        <w:tc>
          <w:tcPr>
            <w:tcW w:w="3508" w:type="dxa"/>
            <w:tcBorders>
              <w:top w:val="single" w:sz="8" w:space="0" w:color="auto"/>
              <w:left w:val="single" w:sz="8" w:space="0" w:color="auto"/>
              <w:bottom w:val="nil"/>
              <w:right w:val="single" w:sz="8" w:space="0" w:color="auto"/>
            </w:tcBorders>
            <w:shd w:val="clear" w:color="auto" w:fill="auto"/>
            <w:vAlign w:val="center"/>
            <w:hideMark/>
          </w:tcPr>
          <w:p w14:paraId="1B5246A9" w14:textId="77777777" w:rsidR="001A229E" w:rsidRPr="001A229E" w:rsidRDefault="001A229E" w:rsidP="001A229E">
            <w:pPr>
              <w:spacing w:after="0" w:line="240" w:lineRule="auto"/>
              <w:jc w:val="left"/>
              <w:rPr>
                <w:rFonts w:eastAsia="Times New Roman" w:cs="Calibri"/>
                <w:b/>
                <w:bCs/>
                <w:color w:val="000000"/>
                <w:sz w:val="20"/>
                <w:szCs w:val="20"/>
                <w:lang w:val="en-US"/>
              </w:rPr>
            </w:pPr>
            <w:r w:rsidRPr="001A229E">
              <w:rPr>
                <w:rFonts w:eastAsia="Times New Roman" w:cs="Calibri"/>
                <w:b/>
                <w:bCs/>
                <w:color w:val="000000"/>
                <w:sz w:val="20"/>
                <w:szCs w:val="20"/>
                <w:lang w:val="en-US"/>
              </w:rPr>
              <w:t>Productos químicos y conexos</w:t>
            </w:r>
          </w:p>
        </w:tc>
        <w:tc>
          <w:tcPr>
            <w:tcW w:w="1120" w:type="dxa"/>
            <w:tcBorders>
              <w:top w:val="single" w:sz="8" w:space="0" w:color="auto"/>
              <w:left w:val="nil"/>
              <w:bottom w:val="single" w:sz="8" w:space="0" w:color="auto"/>
              <w:right w:val="single" w:sz="8" w:space="0" w:color="auto"/>
            </w:tcBorders>
            <w:shd w:val="clear" w:color="000000" w:fill="FFFFFF"/>
            <w:noWrap/>
            <w:vAlign w:val="bottom"/>
            <w:hideMark/>
          </w:tcPr>
          <w:p w14:paraId="3E6D7266" w14:textId="77777777" w:rsidR="001A229E" w:rsidRPr="001A229E" w:rsidRDefault="001A229E" w:rsidP="001A229E">
            <w:pPr>
              <w:spacing w:after="0" w:line="240" w:lineRule="auto"/>
              <w:jc w:val="right"/>
              <w:rPr>
                <w:rFonts w:eastAsia="Times New Roman" w:cs="Calibri"/>
                <w:b/>
                <w:bCs/>
                <w:color w:val="000000"/>
                <w:sz w:val="18"/>
                <w:szCs w:val="18"/>
                <w:lang w:val="en-US"/>
              </w:rPr>
            </w:pPr>
            <w:r w:rsidRPr="001A229E">
              <w:rPr>
                <w:rFonts w:ascii="Arial" w:eastAsia="Times New Roman" w:hAnsi="Arial" w:cs="Arial"/>
                <w:b/>
                <w:bCs/>
                <w:color w:val="000000"/>
                <w:sz w:val="18"/>
                <w:szCs w:val="18"/>
                <w:lang w:val="en-US"/>
              </w:rPr>
              <w:t>₡</w:t>
            </w:r>
            <w:r w:rsidRPr="001A229E">
              <w:rPr>
                <w:rFonts w:eastAsia="Times New Roman" w:cs="Calibri"/>
                <w:b/>
                <w:bCs/>
                <w:color w:val="000000"/>
                <w:sz w:val="18"/>
                <w:szCs w:val="18"/>
                <w:lang w:val="en-US"/>
              </w:rPr>
              <w:t>92 786,81</w:t>
            </w:r>
          </w:p>
        </w:tc>
        <w:tc>
          <w:tcPr>
            <w:tcW w:w="1083" w:type="dxa"/>
            <w:tcBorders>
              <w:top w:val="single" w:sz="8" w:space="0" w:color="auto"/>
              <w:left w:val="nil"/>
              <w:bottom w:val="single" w:sz="8" w:space="0" w:color="auto"/>
              <w:right w:val="single" w:sz="8" w:space="0" w:color="auto"/>
            </w:tcBorders>
            <w:shd w:val="clear" w:color="000000" w:fill="FFFFFF"/>
            <w:noWrap/>
            <w:vAlign w:val="bottom"/>
            <w:hideMark/>
          </w:tcPr>
          <w:p w14:paraId="07CA84F4" w14:textId="77777777" w:rsidR="001A229E" w:rsidRPr="001A229E" w:rsidRDefault="001A229E" w:rsidP="001A229E">
            <w:pPr>
              <w:spacing w:after="0" w:line="240" w:lineRule="auto"/>
              <w:jc w:val="right"/>
              <w:rPr>
                <w:rFonts w:eastAsia="Times New Roman" w:cs="Calibri"/>
                <w:b/>
                <w:bCs/>
                <w:color w:val="000000"/>
                <w:sz w:val="18"/>
                <w:szCs w:val="18"/>
                <w:lang w:val="en-US"/>
              </w:rPr>
            </w:pPr>
            <w:r w:rsidRPr="001A229E">
              <w:rPr>
                <w:rFonts w:ascii="Arial" w:eastAsia="Times New Roman" w:hAnsi="Arial" w:cs="Arial"/>
                <w:b/>
                <w:bCs/>
                <w:color w:val="000000"/>
                <w:sz w:val="18"/>
                <w:szCs w:val="18"/>
                <w:lang w:val="en-US"/>
              </w:rPr>
              <w:t>₡</w:t>
            </w:r>
            <w:r w:rsidRPr="001A229E">
              <w:rPr>
                <w:rFonts w:eastAsia="Times New Roman" w:cs="Calibri"/>
                <w:b/>
                <w:bCs/>
                <w:color w:val="000000"/>
                <w:sz w:val="18"/>
                <w:szCs w:val="18"/>
                <w:lang w:val="en-US"/>
              </w:rPr>
              <w:t>77 435,06</w:t>
            </w:r>
          </w:p>
        </w:tc>
        <w:tc>
          <w:tcPr>
            <w:tcW w:w="980" w:type="dxa"/>
            <w:tcBorders>
              <w:top w:val="single" w:sz="8" w:space="0" w:color="auto"/>
              <w:left w:val="nil"/>
              <w:bottom w:val="single" w:sz="8" w:space="0" w:color="auto"/>
              <w:right w:val="single" w:sz="8" w:space="0" w:color="auto"/>
            </w:tcBorders>
            <w:shd w:val="clear" w:color="000000" w:fill="FFFFFF"/>
            <w:noWrap/>
            <w:vAlign w:val="bottom"/>
            <w:hideMark/>
          </w:tcPr>
          <w:p w14:paraId="7F5B4C91" w14:textId="77777777" w:rsidR="001A229E" w:rsidRPr="001A229E" w:rsidRDefault="001A229E" w:rsidP="001A229E">
            <w:pPr>
              <w:spacing w:after="0" w:line="240" w:lineRule="auto"/>
              <w:ind w:left="-107"/>
              <w:jc w:val="right"/>
              <w:rPr>
                <w:rFonts w:eastAsia="Times New Roman" w:cs="Calibri"/>
                <w:b/>
                <w:bCs/>
                <w:color w:val="000000"/>
                <w:sz w:val="18"/>
                <w:szCs w:val="18"/>
                <w:lang w:val="en-US"/>
              </w:rPr>
            </w:pPr>
            <w:r w:rsidRPr="001A229E">
              <w:rPr>
                <w:rFonts w:ascii="Arial" w:eastAsia="Times New Roman" w:hAnsi="Arial" w:cs="Arial"/>
                <w:b/>
                <w:bCs/>
                <w:color w:val="000000"/>
                <w:sz w:val="18"/>
                <w:szCs w:val="18"/>
                <w:lang w:val="en-US"/>
              </w:rPr>
              <w:t>₡</w:t>
            </w:r>
            <w:r w:rsidRPr="001A229E">
              <w:rPr>
                <w:rFonts w:eastAsia="Times New Roman" w:cs="Calibri"/>
                <w:b/>
                <w:bCs/>
                <w:color w:val="000000"/>
                <w:sz w:val="18"/>
                <w:szCs w:val="18"/>
                <w:lang w:val="en-US"/>
              </w:rPr>
              <w:t>15 351,76</w:t>
            </w:r>
          </w:p>
        </w:tc>
        <w:tc>
          <w:tcPr>
            <w:tcW w:w="955" w:type="dxa"/>
            <w:tcBorders>
              <w:top w:val="single" w:sz="8" w:space="0" w:color="auto"/>
              <w:left w:val="nil"/>
              <w:bottom w:val="single" w:sz="8" w:space="0" w:color="auto"/>
              <w:right w:val="single" w:sz="8" w:space="0" w:color="auto"/>
            </w:tcBorders>
            <w:shd w:val="clear" w:color="auto" w:fill="auto"/>
            <w:noWrap/>
            <w:vAlign w:val="bottom"/>
            <w:hideMark/>
          </w:tcPr>
          <w:p w14:paraId="6C956543" w14:textId="77777777" w:rsidR="001A229E" w:rsidRPr="001A229E" w:rsidRDefault="001A229E" w:rsidP="001A229E">
            <w:pPr>
              <w:spacing w:after="0" w:line="240" w:lineRule="auto"/>
              <w:jc w:val="center"/>
              <w:rPr>
                <w:rFonts w:eastAsia="Times New Roman" w:cs="Calibri"/>
                <w:b/>
                <w:bCs/>
                <w:color w:val="000000"/>
                <w:sz w:val="18"/>
                <w:szCs w:val="18"/>
                <w:lang w:val="en-US"/>
              </w:rPr>
            </w:pPr>
            <w:r w:rsidRPr="001A229E">
              <w:rPr>
                <w:rFonts w:eastAsia="Times New Roman" w:cs="Calibri"/>
                <w:b/>
                <w:bCs/>
                <w:color w:val="000000"/>
                <w:sz w:val="18"/>
                <w:szCs w:val="18"/>
                <w:lang w:val="en-US"/>
              </w:rPr>
              <w:t>19,83%</w:t>
            </w:r>
          </w:p>
        </w:tc>
        <w:tc>
          <w:tcPr>
            <w:tcW w:w="222" w:type="dxa"/>
            <w:vAlign w:val="center"/>
            <w:hideMark/>
          </w:tcPr>
          <w:p w14:paraId="3A5AAEA8" w14:textId="77777777" w:rsidR="001A229E" w:rsidRPr="001A229E" w:rsidRDefault="001A229E" w:rsidP="001A229E">
            <w:pPr>
              <w:spacing w:after="0" w:line="240" w:lineRule="auto"/>
              <w:jc w:val="left"/>
              <w:rPr>
                <w:rFonts w:ascii="Times New Roman" w:eastAsia="Times New Roman" w:hAnsi="Times New Roman" w:cs="Times New Roman"/>
                <w:sz w:val="20"/>
                <w:szCs w:val="20"/>
                <w:lang w:val="en-US"/>
              </w:rPr>
            </w:pPr>
          </w:p>
        </w:tc>
      </w:tr>
      <w:tr w:rsidR="001A229E" w:rsidRPr="001A229E" w14:paraId="36AEF393" w14:textId="77777777" w:rsidTr="001A229E">
        <w:trPr>
          <w:trHeight w:val="290"/>
        </w:trPr>
        <w:tc>
          <w:tcPr>
            <w:tcW w:w="1083" w:type="dxa"/>
            <w:tcBorders>
              <w:top w:val="nil"/>
              <w:left w:val="single" w:sz="8" w:space="0" w:color="auto"/>
              <w:bottom w:val="nil"/>
              <w:right w:val="nil"/>
            </w:tcBorders>
            <w:shd w:val="clear" w:color="auto" w:fill="auto"/>
            <w:noWrap/>
            <w:vAlign w:val="center"/>
            <w:hideMark/>
          </w:tcPr>
          <w:p w14:paraId="2FF026B0" w14:textId="77777777" w:rsidR="001A229E" w:rsidRPr="001A229E" w:rsidRDefault="001A229E" w:rsidP="001A229E">
            <w:pPr>
              <w:spacing w:after="0" w:line="240" w:lineRule="auto"/>
              <w:jc w:val="left"/>
              <w:rPr>
                <w:rFonts w:eastAsia="Times New Roman" w:cs="Calibri"/>
                <w:color w:val="000000"/>
                <w:sz w:val="20"/>
                <w:szCs w:val="20"/>
                <w:lang w:val="en-US"/>
              </w:rPr>
            </w:pPr>
            <w:r w:rsidRPr="001A229E">
              <w:rPr>
                <w:rFonts w:eastAsia="Times New Roman" w:cs="Calibri"/>
                <w:color w:val="000000"/>
                <w:sz w:val="20"/>
                <w:szCs w:val="20"/>
                <w:lang w:val="en-US"/>
              </w:rPr>
              <w:t>5.1.3.01.01.</w:t>
            </w:r>
          </w:p>
        </w:tc>
        <w:tc>
          <w:tcPr>
            <w:tcW w:w="3508" w:type="dxa"/>
            <w:tcBorders>
              <w:top w:val="nil"/>
              <w:left w:val="single" w:sz="8" w:space="0" w:color="auto"/>
              <w:bottom w:val="nil"/>
              <w:right w:val="single" w:sz="8" w:space="0" w:color="auto"/>
            </w:tcBorders>
            <w:shd w:val="clear" w:color="auto" w:fill="auto"/>
            <w:vAlign w:val="center"/>
            <w:hideMark/>
          </w:tcPr>
          <w:p w14:paraId="2B090455" w14:textId="77777777" w:rsidR="001A229E" w:rsidRPr="001A229E" w:rsidRDefault="001A229E" w:rsidP="001A229E">
            <w:pPr>
              <w:spacing w:after="0" w:line="240" w:lineRule="auto"/>
              <w:jc w:val="left"/>
              <w:rPr>
                <w:rFonts w:eastAsia="Times New Roman" w:cs="Calibri"/>
                <w:color w:val="000000"/>
                <w:sz w:val="20"/>
                <w:szCs w:val="20"/>
                <w:lang w:val="en-US"/>
              </w:rPr>
            </w:pPr>
            <w:r w:rsidRPr="001A229E">
              <w:rPr>
                <w:rFonts w:eastAsia="Times New Roman" w:cs="Calibri"/>
                <w:color w:val="000000"/>
                <w:sz w:val="20"/>
                <w:szCs w:val="20"/>
                <w:lang w:val="en-US"/>
              </w:rPr>
              <w:t>Combustibles y lubricantes</w:t>
            </w:r>
          </w:p>
        </w:tc>
        <w:tc>
          <w:tcPr>
            <w:tcW w:w="1120" w:type="dxa"/>
            <w:tcBorders>
              <w:top w:val="nil"/>
              <w:left w:val="nil"/>
              <w:bottom w:val="nil"/>
              <w:right w:val="single" w:sz="8" w:space="0" w:color="auto"/>
            </w:tcBorders>
            <w:shd w:val="clear" w:color="000000" w:fill="FFFFFF"/>
            <w:noWrap/>
            <w:vAlign w:val="bottom"/>
            <w:hideMark/>
          </w:tcPr>
          <w:p w14:paraId="13F7F4EB"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ascii="Arial" w:eastAsia="Times New Roman" w:hAnsi="Arial" w:cs="Arial"/>
                <w:color w:val="000000"/>
                <w:sz w:val="18"/>
                <w:szCs w:val="18"/>
                <w:lang w:val="en-US"/>
              </w:rPr>
              <w:t>₡</w:t>
            </w:r>
            <w:r w:rsidRPr="001A229E">
              <w:rPr>
                <w:rFonts w:eastAsia="Times New Roman" w:cs="Calibri"/>
                <w:color w:val="000000"/>
                <w:sz w:val="18"/>
                <w:szCs w:val="18"/>
                <w:lang w:val="en-US"/>
              </w:rPr>
              <w:t>90 213,43</w:t>
            </w:r>
          </w:p>
        </w:tc>
        <w:tc>
          <w:tcPr>
            <w:tcW w:w="1083" w:type="dxa"/>
            <w:tcBorders>
              <w:top w:val="nil"/>
              <w:left w:val="nil"/>
              <w:bottom w:val="nil"/>
              <w:right w:val="single" w:sz="8" w:space="0" w:color="auto"/>
            </w:tcBorders>
            <w:shd w:val="clear" w:color="000000" w:fill="FFFFFF"/>
            <w:noWrap/>
            <w:vAlign w:val="bottom"/>
            <w:hideMark/>
          </w:tcPr>
          <w:p w14:paraId="2A7B8C27"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ascii="Arial" w:eastAsia="Times New Roman" w:hAnsi="Arial" w:cs="Arial"/>
                <w:color w:val="000000"/>
                <w:sz w:val="18"/>
                <w:szCs w:val="18"/>
                <w:lang w:val="en-US"/>
              </w:rPr>
              <w:t>₡</w:t>
            </w:r>
            <w:r w:rsidRPr="001A229E">
              <w:rPr>
                <w:rFonts w:eastAsia="Times New Roman" w:cs="Calibri"/>
                <w:color w:val="000000"/>
                <w:sz w:val="18"/>
                <w:szCs w:val="18"/>
                <w:lang w:val="en-US"/>
              </w:rPr>
              <w:t>76 411,94</w:t>
            </w:r>
          </w:p>
        </w:tc>
        <w:tc>
          <w:tcPr>
            <w:tcW w:w="980" w:type="dxa"/>
            <w:tcBorders>
              <w:top w:val="nil"/>
              <w:left w:val="nil"/>
              <w:bottom w:val="nil"/>
              <w:right w:val="single" w:sz="8" w:space="0" w:color="auto"/>
            </w:tcBorders>
            <w:shd w:val="clear" w:color="000000" w:fill="FFFFFF"/>
            <w:noWrap/>
            <w:vAlign w:val="bottom"/>
            <w:hideMark/>
          </w:tcPr>
          <w:p w14:paraId="60BC7128" w14:textId="77777777" w:rsidR="001A229E" w:rsidRPr="001A229E" w:rsidRDefault="001A229E" w:rsidP="001A229E">
            <w:pPr>
              <w:spacing w:after="0" w:line="240" w:lineRule="auto"/>
              <w:ind w:left="-107"/>
              <w:jc w:val="right"/>
              <w:rPr>
                <w:rFonts w:eastAsia="Times New Roman" w:cs="Calibri"/>
                <w:color w:val="000000"/>
                <w:sz w:val="18"/>
                <w:szCs w:val="18"/>
                <w:lang w:val="en-US"/>
              </w:rPr>
            </w:pPr>
            <w:r w:rsidRPr="001A229E">
              <w:rPr>
                <w:rFonts w:ascii="Arial" w:eastAsia="Times New Roman" w:hAnsi="Arial" w:cs="Arial"/>
                <w:color w:val="000000"/>
                <w:sz w:val="18"/>
                <w:szCs w:val="18"/>
                <w:lang w:val="en-US"/>
              </w:rPr>
              <w:t>₡</w:t>
            </w:r>
            <w:r w:rsidRPr="001A229E">
              <w:rPr>
                <w:rFonts w:eastAsia="Times New Roman" w:cs="Calibri"/>
                <w:color w:val="000000"/>
                <w:sz w:val="18"/>
                <w:szCs w:val="18"/>
                <w:lang w:val="en-US"/>
              </w:rPr>
              <w:t>13 801,49</w:t>
            </w:r>
          </w:p>
        </w:tc>
        <w:tc>
          <w:tcPr>
            <w:tcW w:w="955" w:type="dxa"/>
            <w:tcBorders>
              <w:top w:val="nil"/>
              <w:left w:val="nil"/>
              <w:bottom w:val="nil"/>
              <w:right w:val="single" w:sz="8" w:space="0" w:color="auto"/>
            </w:tcBorders>
            <w:shd w:val="clear" w:color="auto" w:fill="auto"/>
            <w:noWrap/>
            <w:vAlign w:val="bottom"/>
            <w:hideMark/>
          </w:tcPr>
          <w:p w14:paraId="384E0631" w14:textId="77777777" w:rsidR="001A229E" w:rsidRPr="001A229E" w:rsidRDefault="001A229E" w:rsidP="001A229E">
            <w:pPr>
              <w:spacing w:after="0" w:line="240" w:lineRule="auto"/>
              <w:jc w:val="center"/>
              <w:rPr>
                <w:rFonts w:eastAsia="Times New Roman" w:cs="Calibri"/>
                <w:color w:val="000000"/>
                <w:sz w:val="18"/>
                <w:szCs w:val="18"/>
                <w:lang w:val="en-US"/>
              </w:rPr>
            </w:pPr>
            <w:r w:rsidRPr="001A229E">
              <w:rPr>
                <w:rFonts w:eastAsia="Times New Roman" w:cs="Calibri"/>
                <w:color w:val="000000"/>
                <w:sz w:val="18"/>
                <w:szCs w:val="18"/>
                <w:lang w:val="en-US"/>
              </w:rPr>
              <w:t>18,06%</w:t>
            </w:r>
          </w:p>
        </w:tc>
        <w:tc>
          <w:tcPr>
            <w:tcW w:w="222" w:type="dxa"/>
            <w:vAlign w:val="center"/>
            <w:hideMark/>
          </w:tcPr>
          <w:p w14:paraId="2450468A" w14:textId="77777777" w:rsidR="001A229E" w:rsidRPr="001A229E" w:rsidRDefault="001A229E" w:rsidP="001A229E">
            <w:pPr>
              <w:spacing w:after="0" w:line="240" w:lineRule="auto"/>
              <w:jc w:val="left"/>
              <w:rPr>
                <w:rFonts w:ascii="Times New Roman" w:eastAsia="Times New Roman" w:hAnsi="Times New Roman" w:cs="Times New Roman"/>
                <w:sz w:val="20"/>
                <w:szCs w:val="20"/>
                <w:lang w:val="en-US"/>
              </w:rPr>
            </w:pPr>
          </w:p>
        </w:tc>
      </w:tr>
      <w:tr w:rsidR="001A229E" w:rsidRPr="001A229E" w14:paraId="58F81766" w14:textId="77777777" w:rsidTr="001A229E">
        <w:trPr>
          <w:trHeight w:val="290"/>
        </w:trPr>
        <w:tc>
          <w:tcPr>
            <w:tcW w:w="1083" w:type="dxa"/>
            <w:tcBorders>
              <w:top w:val="nil"/>
              <w:left w:val="single" w:sz="8" w:space="0" w:color="auto"/>
              <w:bottom w:val="nil"/>
              <w:right w:val="nil"/>
            </w:tcBorders>
            <w:shd w:val="clear" w:color="auto" w:fill="auto"/>
            <w:noWrap/>
            <w:vAlign w:val="center"/>
            <w:hideMark/>
          </w:tcPr>
          <w:p w14:paraId="70C32744" w14:textId="77777777" w:rsidR="001A229E" w:rsidRPr="001A229E" w:rsidRDefault="001A229E" w:rsidP="001A229E">
            <w:pPr>
              <w:spacing w:after="0" w:line="240" w:lineRule="auto"/>
              <w:jc w:val="left"/>
              <w:rPr>
                <w:rFonts w:eastAsia="Times New Roman" w:cs="Calibri"/>
                <w:color w:val="000000"/>
                <w:sz w:val="20"/>
                <w:szCs w:val="20"/>
                <w:lang w:val="en-US"/>
              </w:rPr>
            </w:pPr>
            <w:r w:rsidRPr="001A229E">
              <w:rPr>
                <w:rFonts w:eastAsia="Times New Roman" w:cs="Calibri"/>
                <w:color w:val="000000"/>
                <w:sz w:val="20"/>
                <w:szCs w:val="20"/>
                <w:lang w:val="en-US"/>
              </w:rPr>
              <w:t>5.1.3.01.02.</w:t>
            </w:r>
          </w:p>
        </w:tc>
        <w:tc>
          <w:tcPr>
            <w:tcW w:w="3508" w:type="dxa"/>
            <w:tcBorders>
              <w:top w:val="nil"/>
              <w:left w:val="single" w:sz="8" w:space="0" w:color="auto"/>
              <w:bottom w:val="nil"/>
              <w:right w:val="single" w:sz="8" w:space="0" w:color="auto"/>
            </w:tcBorders>
            <w:shd w:val="clear" w:color="auto" w:fill="auto"/>
            <w:vAlign w:val="center"/>
            <w:hideMark/>
          </w:tcPr>
          <w:p w14:paraId="09C645E1" w14:textId="77777777" w:rsidR="001A229E" w:rsidRPr="001A229E" w:rsidRDefault="001A229E" w:rsidP="001A229E">
            <w:pPr>
              <w:spacing w:after="0" w:line="240" w:lineRule="auto"/>
              <w:jc w:val="left"/>
              <w:rPr>
                <w:rFonts w:eastAsia="Times New Roman" w:cs="Calibri"/>
                <w:color w:val="000000"/>
                <w:sz w:val="20"/>
                <w:szCs w:val="20"/>
                <w:lang w:val="en-US"/>
              </w:rPr>
            </w:pPr>
            <w:r w:rsidRPr="001A229E">
              <w:rPr>
                <w:rFonts w:eastAsia="Times New Roman" w:cs="Calibri"/>
                <w:color w:val="000000"/>
                <w:sz w:val="20"/>
                <w:szCs w:val="20"/>
                <w:lang w:val="en-US"/>
              </w:rPr>
              <w:t>Productos farmacéuticos y medicinales</w:t>
            </w:r>
          </w:p>
        </w:tc>
        <w:tc>
          <w:tcPr>
            <w:tcW w:w="1120" w:type="dxa"/>
            <w:tcBorders>
              <w:top w:val="nil"/>
              <w:left w:val="nil"/>
              <w:bottom w:val="nil"/>
              <w:right w:val="single" w:sz="8" w:space="0" w:color="auto"/>
            </w:tcBorders>
            <w:shd w:val="clear" w:color="000000" w:fill="FFFFFF"/>
            <w:noWrap/>
            <w:vAlign w:val="bottom"/>
            <w:hideMark/>
          </w:tcPr>
          <w:p w14:paraId="16738B0D"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1 318,74</w:t>
            </w:r>
          </w:p>
        </w:tc>
        <w:tc>
          <w:tcPr>
            <w:tcW w:w="1083" w:type="dxa"/>
            <w:tcBorders>
              <w:top w:val="nil"/>
              <w:left w:val="nil"/>
              <w:bottom w:val="nil"/>
              <w:right w:val="single" w:sz="8" w:space="0" w:color="auto"/>
            </w:tcBorders>
            <w:shd w:val="clear" w:color="000000" w:fill="FFFFFF"/>
            <w:noWrap/>
            <w:vAlign w:val="bottom"/>
            <w:hideMark/>
          </w:tcPr>
          <w:p w14:paraId="69AA420B"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25,60</w:t>
            </w:r>
          </w:p>
        </w:tc>
        <w:tc>
          <w:tcPr>
            <w:tcW w:w="980" w:type="dxa"/>
            <w:tcBorders>
              <w:top w:val="nil"/>
              <w:left w:val="nil"/>
              <w:bottom w:val="nil"/>
              <w:right w:val="single" w:sz="8" w:space="0" w:color="auto"/>
            </w:tcBorders>
            <w:shd w:val="clear" w:color="000000" w:fill="FFFFFF"/>
            <w:noWrap/>
            <w:vAlign w:val="bottom"/>
            <w:hideMark/>
          </w:tcPr>
          <w:p w14:paraId="43B49569"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1 293,14</w:t>
            </w:r>
          </w:p>
        </w:tc>
        <w:tc>
          <w:tcPr>
            <w:tcW w:w="955" w:type="dxa"/>
            <w:tcBorders>
              <w:top w:val="nil"/>
              <w:left w:val="nil"/>
              <w:bottom w:val="nil"/>
              <w:right w:val="single" w:sz="8" w:space="0" w:color="auto"/>
            </w:tcBorders>
            <w:shd w:val="clear" w:color="auto" w:fill="auto"/>
            <w:noWrap/>
            <w:vAlign w:val="bottom"/>
            <w:hideMark/>
          </w:tcPr>
          <w:p w14:paraId="01D4A8D4" w14:textId="77777777" w:rsidR="001A229E" w:rsidRPr="001A229E" w:rsidRDefault="001A229E" w:rsidP="001A229E">
            <w:pPr>
              <w:spacing w:after="0" w:line="240" w:lineRule="auto"/>
              <w:jc w:val="center"/>
              <w:rPr>
                <w:rFonts w:eastAsia="Times New Roman" w:cs="Calibri"/>
                <w:color w:val="000000"/>
                <w:sz w:val="18"/>
                <w:szCs w:val="18"/>
                <w:lang w:val="en-US"/>
              </w:rPr>
            </w:pPr>
            <w:r w:rsidRPr="001A229E">
              <w:rPr>
                <w:rFonts w:eastAsia="Times New Roman" w:cs="Calibri"/>
                <w:color w:val="000000"/>
                <w:sz w:val="18"/>
                <w:szCs w:val="18"/>
                <w:lang w:val="en-US"/>
              </w:rPr>
              <w:t>5051,34%</w:t>
            </w:r>
          </w:p>
        </w:tc>
        <w:tc>
          <w:tcPr>
            <w:tcW w:w="222" w:type="dxa"/>
            <w:vAlign w:val="center"/>
            <w:hideMark/>
          </w:tcPr>
          <w:p w14:paraId="565D6BA9" w14:textId="77777777" w:rsidR="001A229E" w:rsidRPr="001A229E" w:rsidRDefault="001A229E" w:rsidP="001A229E">
            <w:pPr>
              <w:spacing w:after="0" w:line="240" w:lineRule="auto"/>
              <w:jc w:val="left"/>
              <w:rPr>
                <w:rFonts w:ascii="Times New Roman" w:eastAsia="Times New Roman" w:hAnsi="Times New Roman" w:cs="Times New Roman"/>
                <w:sz w:val="20"/>
                <w:szCs w:val="20"/>
                <w:lang w:val="en-US"/>
              </w:rPr>
            </w:pPr>
          </w:p>
        </w:tc>
      </w:tr>
      <w:tr w:rsidR="001A229E" w:rsidRPr="001A229E" w14:paraId="666385A1" w14:textId="77777777" w:rsidTr="001A229E">
        <w:trPr>
          <w:trHeight w:val="290"/>
        </w:trPr>
        <w:tc>
          <w:tcPr>
            <w:tcW w:w="1083" w:type="dxa"/>
            <w:tcBorders>
              <w:top w:val="nil"/>
              <w:left w:val="single" w:sz="8" w:space="0" w:color="auto"/>
              <w:bottom w:val="nil"/>
              <w:right w:val="nil"/>
            </w:tcBorders>
            <w:shd w:val="clear" w:color="auto" w:fill="auto"/>
            <w:noWrap/>
            <w:vAlign w:val="center"/>
            <w:hideMark/>
          </w:tcPr>
          <w:p w14:paraId="40A68F34" w14:textId="77777777" w:rsidR="001A229E" w:rsidRPr="001A229E" w:rsidRDefault="001A229E" w:rsidP="001A229E">
            <w:pPr>
              <w:spacing w:after="0" w:line="240" w:lineRule="auto"/>
              <w:jc w:val="left"/>
              <w:rPr>
                <w:rFonts w:eastAsia="Times New Roman" w:cs="Calibri"/>
                <w:color w:val="000000"/>
                <w:sz w:val="20"/>
                <w:szCs w:val="20"/>
                <w:lang w:val="en-US"/>
              </w:rPr>
            </w:pPr>
            <w:r w:rsidRPr="001A229E">
              <w:rPr>
                <w:rFonts w:eastAsia="Times New Roman" w:cs="Calibri"/>
                <w:color w:val="000000"/>
                <w:sz w:val="20"/>
                <w:szCs w:val="20"/>
                <w:lang w:val="en-US"/>
              </w:rPr>
              <w:t>5.1.3.01.04.</w:t>
            </w:r>
          </w:p>
        </w:tc>
        <w:tc>
          <w:tcPr>
            <w:tcW w:w="3508" w:type="dxa"/>
            <w:tcBorders>
              <w:top w:val="nil"/>
              <w:left w:val="single" w:sz="8" w:space="0" w:color="auto"/>
              <w:bottom w:val="nil"/>
              <w:right w:val="single" w:sz="8" w:space="0" w:color="auto"/>
            </w:tcBorders>
            <w:shd w:val="clear" w:color="auto" w:fill="auto"/>
            <w:vAlign w:val="center"/>
            <w:hideMark/>
          </w:tcPr>
          <w:p w14:paraId="50D08DFD" w14:textId="77777777" w:rsidR="001A229E" w:rsidRPr="001A229E" w:rsidRDefault="001A229E" w:rsidP="001A229E">
            <w:pPr>
              <w:spacing w:after="0" w:line="240" w:lineRule="auto"/>
              <w:jc w:val="left"/>
              <w:rPr>
                <w:rFonts w:eastAsia="Times New Roman" w:cs="Calibri"/>
                <w:color w:val="000000"/>
                <w:sz w:val="20"/>
                <w:szCs w:val="20"/>
                <w:lang w:val="en-US"/>
              </w:rPr>
            </w:pPr>
            <w:r w:rsidRPr="001A229E">
              <w:rPr>
                <w:rFonts w:eastAsia="Times New Roman" w:cs="Calibri"/>
                <w:color w:val="000000"/>
                <w:sz w:val="20"/>
                <w:szCs w:val="20"/>
                <w:lang w:val="en-US"/>
              </w:rPr>
              <w:t>Tintas, pinturas y diluyentes</w:t>
            </w:r>
          </w:p>
        </w:tc>
        <w:tc>
          <w:tcPr>
            <w:tcW w:w="1120" w:type="dxa"/>
            <w:tcBorders>
              <w:top w:val="nil"/>
              <w:left w:val="nil"/>
              <w:bottom w:val="nil"/>
              <w:right w:val="single" w:sz="8" w:space="0" w:color="auto"/>
            </w:tcBorders>
            <w:shd w:val="clear" w:color="000000" w:fill="FFFFFF"/>
            <w:noWrap/>
            <w:vAlign w:val="bottom"/>
            <w:hideMark/>
          </w:tcPr>
          <w:p w14:paraId="6BE4036A"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608,97</w:t>
            </w:r>
          </w:p>
        </w:tc>
        <w:tc>
          <w:tcPr>
            <w:tcW w:w="1083" w:type="dxa"/>
            <w:tcBorders>
              <w:top w:val="nil"/>
              <w:left w:val="nil"/>
              <w:bottom w:val="nil"/>
              <w:right w:val="single" w:sz="8" w:space="0" w:color="auto"/>
            </w:tcBorders>
            <w:shd w:val="clear" w:color="000000" w:fill="FFFFFF"/>
            <w:noWrap/>
            <w:vAlign w:val="bottom"/>
            <w:hideMark/>
          </w:tcPr>
          <w:p w14:paraId="2563F7EA"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799,31</w:t>
            </w:r>
          </w:p>
        </w:tc>
        <w:tc>
          <w:tcPr>
            <w:tcW w:w="980" w:type="dxa"/>
            <w:tcBorders>
              <w:top w:val="nil"/>
              <w:left w:val="nil"/>
              <w:bottom w:val="nil"/>
              <w:right w:val="single" w:sz="8" w:space="0" w:color="auto"/>
            </w:tcBorders>
            <w:shd w:val="clear" w:color="000000" w:fill="FFFFFF"/>
            <w:noWrap/>
            <w:vAlign w:val="bottom"/>
            <w:hideMark/>
          </w:tcPr>
          <w:p w14:paraId="072A8FF9"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-190,34</w:t>
            </w:r>
          </w:p>
        </w:tc>
        <w:tc>
          <w:tcPr>
            <w:tcW w:w="955" w:type="dxa"/>
            <w:tcBorders>
              <w:top w:val="nil"/>
              <w:left w:val="nil"/>
              <w:bottom w:val="nil"/>
              <w:right w:val="single" w:sz="8" w:space="0" w:color="auto"/>
            </w:tcBorders>
            <w:shd w:val="clear" w:color="auto" w:fill="auto"/>
            <w:noWrap/>
            <w:vAlign w:val="bottom"/>
            <w:hideMark/>
          </w:tcPr>
          <w:p w14:paraId="06E1ED45" w14:textId="77777777" w:rsidR="001A229E" w:rsidRPr="001A229E" w:rsidRDefault="001A229E" w:rsidP="001A229E">
            <w:pPr>
              <w:spacing w:after="0" w:line="240" w:lineRule="auto"/>
              <w:jc w:val="center"/>
              <w:rPr>
                <w:rFonts w:eastAsia="Times New Roman" w:cs="Calibri"/>
                <w:color w:val="000000"/>
                <w:sz w:val="18"/>
                <w:szCs w:val="18"/>
                <w:lang w:val="en-US"/>
              </w:rPr>
            </w:pPr>
            <w:r w:rsidRPr="001A229E">
              <w:rPr>
                <w:rFonts w:eastAsia="Times New Roman" w:cs="Calibri"/>
                <w:color w:val="000000"/>
                <w:sz w:val="18"/>
                <w:szCs w:val="18"/>
                <w:lang w:val="en-US"/>
              </w:rPr>
              <w:t>-23,81%</w:t>
            </w:r>
          </w:p>
        </w:tc>
        <w:tc>
          <w:tcPr>
            <w:tcW w:w="222" w:type="dxa"/>
            <w:vAlign w:val="center"/>
            <w:hideMark/>
          </w:tcPr>
          <w:p w14:paraId="2458312E" w14:textId="77777777" w:rsidR="001A229E" w:rsidRPr="001A229E" w:rsidRDefault="001A229E" w:rsidP="001A229E">
            <w:pPr>
              <w:spacing w:after="0" w:line="240" w:lineRule="auto"/>
              <w:jc w:val="left"/>
              <w:rPr>
                <w:rFonts w:ascii="Times New Roman" w:eastAsia="Times New Roman" w:hAnsi="Times New Roman" w:cs="Times New Roman"/>
                <w:sz w:val="20"/>
                <w:szCs w:val="20"/>
                <w:lang w:val="en-US"/>
              </w:rPr>
            </w:pPr>
          </w:p>
        </w:tc>
      </w:tr>
      <w:tr w:rsidR="001A229E" w:rsidRPr="001A229E" w14:paraId="62BE9625" w14:textId="77777777" w:rsidTr="001A229E">
        <w:trPr>
          <w:trHeight w:val="300"/>
        </w:trPr>
        <w:tc>
          <w:tcPr>
            <w:tcW w:w="1083" w:type="dxa"/>
            <w:tcBorders>
              <w:top w:val="nil"/>
              <w:left w:val="single" w:sz="8" w:space="0" w:color="auto"/>
              <w:bottom w:val="nil"/>
              <w:right w:val="nil"/>
            </w:tcBorders>
            <w:shd w:val="clear" w:color="auto" w:fill="auto"/>
            <w:noWrap/>
            <w:vAlign w:val="center"/>
            <w:hideMark/>
          </w:tcPr>
          <w:p w14:paraId="130A5C1D" w14:textId="77777777" w:rsidR="001A229E" w:rsidRPr="001A229E" w:rsidRDefault="001A229E" w:rsidP="001A229E">
            <w:pPr>
              <w:spacing w:after="0" w:line="240" w:lineRule="auto"/>
              <w:jc w:val="left"/>
              <w:rPr>
                <w:rFonts w:eastAsia="Times New Roman" w:cs="Calibri"/>
                <w:color w:val="000000"/>
                <w:sz w:val="20"/>
                <w:szCs w:val="20"/>
                <w:lang w:val="en-US"/>
              </w:rPr>
            </w:pPr>
            <w:r w:rsidRPr="001A229E">
              <w:rPr>
                <w:rFonts w:eastAsia="Times New Roman" w:cs="Calibri"/>
                <w:color w:val="000000"/>
                <w:sz w:val="20"/>
                <w:szCs w:val="20"/>
                <w:lang w:val="en-US"/>
              </w:rPr>
              <w:t>5.1.3.01.99.</w:t>
            </w:r>
          </w:p>
        </w:tc>
        <w:tc>
          <w:tcPr>
            <w:tcW w:w="3508" w:type="dxa"/>
            <w:tcBorders>
              <w:top w:val="nil"/>
              <w:left w:val="single" w:sz="8" w:space="0" w:color="auto"/>
              <w:bottom w:val="nil"/>
              <w:right w:val="single" w:sz="8" w:space="0" w:color="auto"/>
            </w:tcBorders>
            <w:shd w:val="clear" w:color="auto" w:fill="auto"/>
            <w:vAlign w:val="center"/>
            <w:hideMark/>
          </w:tcPr>
          <w:p w14:paraId="0F7C8A39" w14:textId="77777777" w:rsidR="001A229E" w:rsidRPr="001A229E" w:rsidRDefault="001A229E" w:rsidP="001A229E">
            <w:pPr>
              <w:spacing w:after="0" w:line="240" w:lineRule="auto"/>
              <w:jc w:val="left"/>
              <w:rPr>
                <w:rFonts w:eastAsia="Times New Roman" w:cs="Calibri"/>
                <w:color w:val="000000"/>
                <w:sz w:val="20"/>
                <w:szCs w:val="20"/>
              </w:rPr>
            </w:pPr>
            <w:r w:rsidRPr="001A229E">
              <w:rPr>
                <w:rFonts w:eastAsia="Times New Roman" w:cs="Calibri"/>
                <w:color w:val="000000"/>
                <w:sz w:val="20"/>
                <w:szCs w:val="20"/>
              </w:rPr>
              <w:t>Otros productos químicos y conexos</w:t>
            </w:r>
          </w:p>
        </w:tc>
        <w:tc>
          <w:tcPr>
            <w:tcW w:w="1120" w:type="dxa"/>
            <w:tcBorders>
              <w:top w:val="nil"/>
              <w:left w:val="nil"/>
              <w:bottom w:val="nil"/>
              <w:right w:val="single" w:sz="8" w:space="0" w:color="auto"/>
            </w:tcBorders>
            <w:shd w:val="clear" w:color="000000" w:fill="FFFFFF"/>
            <w:noWrap/>
            <w:vAlign w:val="bottom"/>
            <w:hideMark/>
          </w:tcPr>
          <w:p w14:paraId="37CF5D56"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645,67</w:t>
            </w:r>
          </w:p>
        </w:tc>
        <w:tc>
          <w:tcPr>
            <w:tcW w:w="1083" w:type="dxa"/>
            <w:tcBorders>
              <w:top w:val="nil"/>
              <w:left w:val="nil"/>
              <w:bottom w:val="nil"/>
              <w:right w:val="single" w:sz="8" w:space="0" w:color="auto"/>
            </w:tcBorders>
            <w:shd w:val="clear" w:color="000000" w:fill="FFFFFF"/>
            <w:noWrap/>
            <w:vAlign w:val="bottom"/>
            <w:hideMark/>
          </w:tcPr>
          <w:p w14:paraId="293C81AA"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198,21</w:t>
            </w:r>
          </w:p>
        </w:tc>
        <w:tc>
          <w:tcPr>
            <w:tcW w:w="980" w:type="dxa"/>
            <w:tcBorders>
              <w:top w:val="nil"/>
              <w:left w:val="nil"/>
              <w:bottom w:val="nil"/>
              <w:right w:val="single" w:sz="8" w:space="0" w:color="auto"/>
            </w:tcBorders>
            <w:shd w:val="clear" w:color="000000" w:fill="FFFFFF"/>
            <w:noWrap/>
            <w:vAlign w:val="bottom"/>
            <w:hideMark/>
          </w:tcPr>
          <w:p w14:paraId="11470CEF"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447,46</w:t>
            </w:r>
          </w:p>
        </w:tc>
        <w:tc>
          <w:tcPr>
            <w:tcW w:w="955" w:type="dxa"/>
            <w:tcBorders>
              <w:top w:val="nil"/>
              <w:left w:val="nil"/>
              <w:bottom w:val="nil"/>
              <w:right w:val="single" w:sz="8" w:space="0" w:color="auto"/>
            </w:tcBorders>
            <w:shd w:val="clear" w:color="auto" w:fill="auto"/>
            <w:noWrap/>
            <w:vAlign w:val="bottom"/>
            <w:hideMark/>
          </w:tcPr>
          <w:p w14:paraId="6DC7ECCF" w14:textId="77777777" w:rsidR="001A229E" w:rsidRPr="001A229E" w:rsidRDefault="001A229E" w:rsidP="001A229E">
            <w:pPr>
              <w:spacing w:after="0" w:line="240" w:lineRule="auto"/>
              <w:jc w:val="center"/>
              <w:rPr>
                <w:rFonts w:eastAsia="Times New Roman" w:cs="Calibri"/>
                <w:color w:val="000000"/>
                <w:sz w:val="18"/>
                <w:szCs w:val="18"/>
                <w:lang w:val="en-US"/>
              </w:rPr>
            </w:pPr>
            <w:r w:rsidRPr="001A229E">
              <w:rPr>
                <w:rFonts w:eastAsia="Times New Roman" w:cs="Calibri"/>
                <w:color w:val="000000"/>
                <w:sz w:val="18"/>
                <w:szCs w:val="18"/>
                <w:lang w:val="en-US"/>
              </w:rPr>
              <w:t>225,75%</w:t>
            </w:r>
          </w:p>
        </w:tc>
        <w:tc>
          <w:tcPr>
            <w:tcW w:w="222" w:type="dxa"/>
            <w:vAlign w:val="center"/>
            <w:hideMark/>
          </w:tcPr>
          <w:p w14:paraId="29D4C60C" w14:textId="77777777" w:rsidR="001A229E" w:rsidRPr="001A229E" w:rsidRDefault="001A229E" w:rsidP="001A229E">
            <w:pPr>
              <w:spacing w:after="0" w:line="240" w:lineRule="auto"/>
              <w:jc w:val="left"/>
              <w:rPr>
                <w:rFonts w:ascii="Times New Roman" w:eastAsia="Times New Roman" w:hAnsi="Times New Roman" w:cs="Times New Roman"/>
                <w:sz w:val="20"/>
                <w:szCs w:val="20"/>
                <w:lang w:val="en-US"/>
              </w:rPr>
            </w:pPr>
          </w:p>
        </w:tc>
      </w:tr>
      <w:tr w:rsidR="001A229E" w:rsidRPr="001A229E" w14:paraId="011B573F" w14:textId="77777777" w:rsidTr="001A229E">
        <w:trPr>
          <w:trHeight w:val="300"/>
        </w:trPr>
        <w:tc>
          <w:tcPr>
            <w:tcW w:w="1083" w:type="dxa"/>
            <w:tcBorders>
              <w:top w:val="nil"/>
              <w:left w:val="single" w:sz="8" w:space="0" w:color="auto"/>
              <w:bottom w:val="nil"/>
              <w:right w:val="nil"/>
            </w:tcBorders>
            <w:shd w:val="clear" w:color="auto" w:fill="auto"/>
            <w:noWrap/>
            <w:vAlign w:val="center"/>
            <w:hideMark/>
          </w:tcPr>
          <w:p w14:paraId="4492F6D6" w14:textId="77777777" w:rsidR="001A229E" w:rsidRPr="001A229E" w:rsidRDefault="001A229E" w:rsidP="001A229E">
            <w:pPr>
              <w:spacing w:after="0" w:line="240" w:lineRule="auto"/>
              <w:jc w:val="left"/>
              <w:rPr>
                <w:rFonts w:eastAsia="Times New Roman" w:cs="Calibri"/>
                <w:b/>
                <w:bCs/>
                <w:color w:val="000000"/>
                <w:sz w:val="20"/>
                <w:szCs w:val="20"/>
                <w:lang w:val="en-US"/>
              </w:rPr>
            </w:pPr>
            <w:r w:rsidRPr="001A229E">
              <w:rPr>
                <w:rFonts w:eastAsia="Times New Roman" w:cs="Calibri"/>
                <w:b/>
                <w:bCs/>
                <w:color w:val="000000"/>
                <w:sz w:val="20"/>
                <w:szCs w:val="20"/>
                <w:lang w:val="en-US"/>
              </w:rPr>
              <w:t>5.1.3.02.</w:t>
            </w:r>
          </w:p>
        </w:tc>
        <w:tc>
          <w:tcPr>
            <w:tcW w:w="3508" w:type="dxa"/>
            <w:tcBorders>
              <w:top w:val="nil"/>
              <w:left w:val="single" w:sz="8" w:space="0" w:color="auto"/>
              <w:bottom w:val="nil"/>
              <w:right w:val="single" w:sz="8" w:space="0" w:color="auto"/>
            </w:tcBorders>
            <w:shd w:val="clear" w:color="auto" w:fill="auto"/>
            <w:vAlign w:val="center"/>
            <w:hideMark/>
          </w:tcPr>
          <w:p w14:paraId="55145113" w14:textId="77777777" w:rsidR="001A229E" w:rsidRPr="001A229E" w:rsidRDefault="001A229E" w:rsidP="001A229E">
            <w:pPr>
              <w:spacing w:after="0" w:line="240" w:lineRule="auto"/>
              <w:jc w:val="left"/>
              <w:rPr>
                <w:rFonts w:eastAsia="Times New Roman" w:cs="Calibri"/>
                <w:b/>
                <w:bCs/>
                <w:color w:val="000000"/>
                <w:sz w:val="20"/>
                <w:szCs w:val="20"/>
                <w:lang w:val="en-US"/>
              </w:rPr>
            </w:pPr>
            <w:r w:rsidRPr="001A229E">
              <w:rPr>
                <w:rFonts w:eastAsia="Times New Roman" w:cs="Calibri"/>
                <w:b/>
                <w:bCs/>
                <w:color w:val="000000"/>
                <w:sz w:val="20"/>
                <w:szCs w:val="20"/>
                <w:lang w:val="en-US"/>
              </w:rPr>
              <w:t>Alimentos y productos agropecuarios</w:t>
            </w:r>
          </w:p>
        </w:tc>
        <w:tc>
          <w:tcPr>
            <w:tcW w:w="1120" w:type="dxa"/>
            <w:tcBorders>
              <w:top w:val="single" w:sz="8" w:space="0" w:color="auto"/>
              <w:left w:val="nil"/>
              <w:bottom w:val="single" w:sz="8" w:space="0" w:color="auto"/>
              <w:right w:val="single" w:sz="8" w:space="0" w:color="auto"/>
            </w:tcBorders>
            <w:shd w:val="clear" w:color="000000" w:fill="FFFFFF"/>
            <w:noWrap/>
            <w:vAlign w:val="bottom"/>
            <w:hideMark/>
          </w:tcPr>
          <w:p w14:paraId="07771DDF" w14:textId="77777777" w:rsidR="001A229E" w:rsidRPr="001A229E" w:rsidRDefault="001A229E" w:rsidP="001A229E">
            <w:pPr>
              <w:spacing w:after="0" w:line="240" w:lineRule="auto"/>
              <w:jc w:val="right"/>
              <w:rPr>
                <w:rFonts w:eastAsia="Times New Roman" w:cs="Calibri"/>
                <w:b/>
                <w:bCs/>
                <w:color w:val="000000"/>
                <w:sz w:val="18"/>
                <w:szCs w:val="18"/>
                <w:lang w:val="en-US"/>
              </w:rPr>
            </w:pPr>
            <w:r w:rsidRPr="001A229E">
              <w:rPr>
                <w:rFonts w:eastAsia="Times New Roman" w:cs="Calibri"/>
                <w:b/>
                <w:bCs/>
                <w:color w:val="000000"/>
                <w:sz w:val="18"/>
                <w:szCs w:val="18"/>
                <w:lang w:val="en-US"/>
              </w:rPr>
              <w:t>2 759,34</w:t>
            </w:r>
          </w:p>
        </w:tc>
        <w:tc>
          <w:tcPr>
            <w:tcW w:w="1083" w:type="dxa"/>
            <w:tcBorders>
              <w:top w:val="single" w:sz="8" w:space="0" w:color="auto"/>
              <w:left w:val="nil"/>
              <w:bottom w:val="single" w:sz="8" w:space="0" w:color="auto"/>
              <w:right w:val="single" w:sz="8" w:space="0" w:color="auto"/>
            </w:tcBorders>
            <w:shd w:val="clear" w:color="000000" w:fill="FFFFFF"/>
            <w:noWrap/>
            <w:vAlign w:val="bottom"/>
            <w:hideMark/>
          </w:tcPr>
          <w:p w14:paraId="7FC1B0ED" w14:textId="77777777" w:rsidR="001A229E" w:rsidRPr="001A229E" w:rsidRDefault="001A229E" w:rsidP="001A229E">
            <w:pPr>
              <w:spacing w:after="0" w:line="240" w:lineRule="auto"/>
              <w:jc w:val="right"/>
              <w:rPr>
                <w:rFonts w:eastAsia="Times New Roman" w:cs="Calibri"/>
                <w:b/>
                <w:bCs/>
                <w:color w:val="000000"/>
                <w:sz w:val="18"/>
                <w:szCs w:val="18"/>
                <w:lang w:val="en-US"/>
              </w:rPr>
            </w:pPr>
            <w:r w:rsidRPr="001A229E">
              <w:rPr>
                <w:rFonts w:eastAsia="Times New Roman" w:cs="Calibri"/>
                <w:b/>
                <w:bCs/>
                <w:color w:val="000000"/>
                <w:sz w:val="18"/>
                <w:szCs w:val="18"/>
                <w:lang w:val="en-US"/>
              </w:rPr>
              <w:t>570,00</w:t>
            </w:r>
          </w:p>
        </w:tc>
        <w:tc>
          <w:tcPr>
            <w:tcW w:w="980" w:type="dxa"/>
            <w:tcBorders>
              <w:top w:val="single" w:sz="8" w:space="0" w:color="auto"/>
              <w:left w:val="nil"/>
              <w:bottom w:val="single" w:sz="8" w:space="0" w:color="auto"/>
              <w:right w:val="single" w:sz="8" w:space="0" w:color="auto"/>
            </w:tcBorders>
            <w:shd w:val="clear" w:color="000000" w:fill="FFFFFF"/>
            <w:noWrap/>
            <w:vAlign w:val="bottom"/>
            <w:hideMark/>
          </w:tcPr>
          <w:p w14:paraId="44AD67C9" w14:textId="77777777" w:rsidR="001A229E" w:rsidRPr="001A229E" w:rsidRDefault="001A229E" w:rsidP="001A229E">
            <w:pPr>
              <w:spacing w:after="0" w:line="240" w:lineRule="auto"/>
              <w:jc w:val="right"/>
              <w:rPr>
                <w:rFonts w:eastAsia="Times New Roman" w:cs="Calibri"/>
                <w:b/>
                <w:bCs/>
                <w:color w:val="000000"/>
                <w:sz w:val="18"/>
                <w:szCs w:val="18"/>
                <w:lang w:val="en-US"/>
              </w:rPr>
            </w:pPr>
            <w:r w:rsidRPr="001A229E">
              <w:rPr>
                <w:rFonts w:eastAsia="Times New Roman" w:cs="Calibri"/>
                <w:b/>
                <w:bCs/>
                <w:color w:val="000000"/>
                <w:sz w:val="18"/>
                <w:szCs w:val="18"/>
                <w:lang w:val="en-US"/>
              </w:rPr>
              <w:t>2 189,34</w:t>
            </w:r>
          </w:p>
        </w:tc>
        <w:tc>
          <w:tcPr>
            <w:tcW w:w="955" w:type="dxa"/>
            <w:tcBorders>
              <w:top w:val="single" w:sz="8" w:space="0" w:color="auto"/>
              <w:left w:val="nil"/>
              <w:bottom w:val="single" w:sz="8" w:space="0" w:color="auto"/>
              <w:right w:val="single" w:sz="8" w:space="0" w:color="auto"/>
            </w:tcBorders>
            <w:shd w:val="clear" w:color="auto" w:fill="auto"/>
            <w:noWrap/>
            <w:vAlign w:val="bottom"/>
            <w:hideMark/>
          </w:tcPr>
          <w:p w14:paraId="4B73753E" w14:textId="77777777" w:rsidR="001A229E" w:rsidRPr="001A229E" w:rsidRDefault="001A229E" w:rsidP="001A229E">
            <w:pPr>
              <w:spacing w:after="0" w:line="240" w:lineRule="auto"/>
              <w:jc w:val="center"/>
              <w:rPr>
                <w:rFonts w:eastAsia="Times New Roman" w:cs="Calibri"/>
                <w:b/>
                <w:bCs/>
                <w:color w:val="000000"/>
                <w:sz w:val="18"/>
                <w:szCs w:val="18"/>
                <w:lang w:val="en-US"/>
              </w:rPr>
            </w:pPr>
            <w:r w:rsidRPr="001A229E">
              <w:rPr>
                <w:rFonts w:eastAsia="Times New Roman" w:cs="Calibri"/>
                <w:b/>
                <w:bCs/>
                <w:color w:val="000000"/>
                <w:sz w:val="18"/>
                <w:szCs w:val="18"/>
                <w:lang w:val="en-US"/>
              </w:rPr>
              <w:t>384,09%</w:t>
            </w:r>
          </w:p>
        </w:tc>
        <w:tc>
          <w:tcPr>
            <w:tcW w:w="222" w:type="dxa"/>
            <w:vAlign w:val="center"/>
            <w:hideMark/>
          </w:tcPr>
          <w:p w14:paraId="2765A298" w14:textId="77777777" w:rsidR="001A229E" w:rsidRPr="001A229E" w:rsidRDefault="001A229E" w:rsidP="001A229E">
            <w:pPr>
              <w:spacing w:after="0" w:line="240" w:lineRule="auto"/>
              <w:jc w:val="left"/>
              <w:rPr>
                <w:rFonts w:ascii="Times New Roman" w:eastAsia="Times New Roman" w:hAnsi="Times New Roman" w:cs="Times New Roman"/>
                <w:sz w:val="20"/>
                <w:szCs w:val="20"/>
                <w:lang w:val="en-US"/>
              </w:rPr>
            </w:pPr>
          </w:p>
        </w:tc>
      </w:tr>
      <w:tr w:rsidR="001A229E" w:rsidRPr="001A229E" w14:paraId="16E3E39C" w14:textId="77777777" w:rsidTr="001A229E">
        <w:trPr>
          <w:trHeight w:val="290"/>
        </w:trPr>
        <w:tc>
          <w:tcPr>
            <w:tcW w:w="1083" w:type="dxa"/>
            <w:tcBorders>
              <w:top w:val="nil"/>
              <w:left w:val="single" w:sz="8" w:space="0" w:color="auto"/>
              <w:bottom w:val="nil"/>
              <w:right w:val="nil"/>
            </w:tcBorders>
            <w:shd w:val="clear" w:color="auto" w:fill="auto"/>
            <w:noWrap/>
            <w:vAlign w:val="center"/>
            <w:hideMark/>
          </w:tcPr>
          <w:p w14:paraId="10EEBDF1" w14:textId="77777777" w:rsidR="001A229E" w:rsidRPr="001A229E" w:rsidRDefault="001A229E" w:rsidP="001A229E">
            <w:pPr>
              <w:spacing w:after="0" w:line="240" w:lineRule="auto"/>
              <w:jc w:val="left"/>
              <w:rPr>
                <w:rFonts w:eastAsia="Times New Roman" w:cs="Calibri"/>
                <w:color w:val="000000"/>
                <w:sz w:val="20"/>
                <w:szCs w:val="20"/>
                <w:lang w:val="en-US"/>
              </w:rPr>
            </w:pPr>
            <w:r w:rsidRPr="001A229E">
              <w:rPr>
                <w:rFonts w:eastAsia="Times New Roman" w:cs="Calibri"/>
                <w:color w:val="000000"/>
                <w:sz w:val="20"/>
                <w:szCs w:val="20"/>
                <w:lang w:val="en-US"/>
              </w:rPr>
              <w:t>5.1.3.02.03.</w:t>
            </w:r>
          </w:p>
        </w:tc>
        <w:tc>
          <w:tcPr>
            <w:tcW w:w="3508" w:type="dxa"/>
            <w:tcBorders>
              <w:top w:val="nil"/>
              <w:left w:val="single" w:sz="8" w:space="0" w:color="auto"/>
              <w:bottom w:val="nil"/>
              <w:right w:val="single" w:sz="8" w:space="0" w:color="auto"/>
            </w:tcBorders>
            <w:shd w:val="clear" w:color="auto" w:fill="auto"/>
            <w:vAlign w:val="center"/>
            <w:hideMark/>
          </w:tcPr>
          <w:p w14:paraId="31F986EB" w14:textId="77777777" w:rsidR="001A229E" w:rsidRPr="001A229E" w:rsidRDefault="001A229E" w:rsidP="001A229E">
            <w:pPr>
              <w:spacing w:after="0" w:line="240" w:lineRule="auto"/>
              <w:jc w:val="left"/>
              <w:rPr>
                <w:rFonts w:eastAsia="Times New Roman" w:cs="Calibri"/>
                <w:color w:val="000000"/>
                <w:sz w:val="20"/>
                <w:szCs w:val="20"/>
                <w:lang w:val="en-US"/>
              </w:rPr>
            </w:pPr>
            <w:r w:rsidRPr="001A229E">
              <w:rPr>
                <w:rFonts w:eastAsia="Times New Roman" w:cs="Calibri"/>
                <w:color w:val="000000"/>
                <w:sz w:val="20"/>
                <w:szCs w:val="20"/>
                <w:lang w:val="en-US"/>
              </w:rPr>
              <w:t>Alimentos y bebidas</w:t>
            </w:r>
          </w:p>
        </w:tc>
        <w:tc>
          <w:tcPr>
            <w:tcW w:w="1120" w:type="dxa"/>
            <w:tcBorders>
              <w:top w:val="nil"/>
              <w:left w:val="nil"/>
              <w:bottom w:val="nil"/>
              <w:right w:val="single" w:sz="8" w:space="0" w:color="auto"/>
            </w:tcBorders>
            <w:shd w:val="clear" w:color="000000" w:fill="FFFFFF"/>
            <w:noWrap/>
            <w:vAlign w:val="bottom"/>
            <w:hideMark/>
          </w:tcPr>
          <w:p w14:paraId="4CB9A579"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2 759,34</w:t>
            </w:r>
          </w:p>
        </w:tc>
        <w:tc>
          <w:tcPr>
            <w:tcW w:w="1083" w:type="dxa"/>
            <w:tcBorders>
              <w:top w:val="nil"/>
              <w:left w:val="nil"/>
              <w:bottom w:val="nil"/>
              <w:right w:val="single" w:sz="8" w:space="0" w:color="auto"/>
            </w:tcBorders>
            <w:shd w:val="clear" w:color="000000" w:fill="FFFFFF"/>
            <w:noWrap/>
            <w:vAlign w:val="bottom"/>
            <w:hideMark/>
          </w:tcPr>
          <w:p w14:paraId="090DE8B7"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570,00</w:t>
            </w:r>
          </w:p>
        </w:tc>
        <w:tc>
          <w:tcPr>
            <w:tcW w:w="980" w:type="dxa"/>
            <w:tcBorders>
              <w:top w:val="nil"/>
              <w:left w:val="nil"/>
              <w:bottom w:val="nil"/>
              <w:right w:val="single" w:sz="8" w:space="0" w:color="auto"/>
            </w:tcBorders>
            <w:shd w:val="clear" w:color="000000" w:fill="FFFFFF"/>
            <w:noWrap/>
            <w:vAlign w:val="bottom"/>
            <w:hideMark/>
          </w:tcPr>
          <w:p w14:paraId="75A576DD"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2 189,34</w:t>
            </w:r>
          </w:p>
        </w:tc>
        <w:tc>
          <w:tcPr>
            <w:tcW w:w="955" w:type="dxa"/>
            <w:tcBorders>
              <w:top w:val="nil"/>
              <w:left w:val="nil"/>
              <w:bottom w:val="nil"/>
              <w:right w:val="single" w:sz="8" w:space="0" w:color="auto"/>
            </w:tcBorders>
            <w:shd w:val="clear" w:color="auto" w:fill="auto"/>
            <w:noWrap/>
            <w:vAlign w:val="bottom"/>
            <w:hideMark/>
          </w:tcPr>
          <w:p w14:paraId="67CDF9F0" w14:textId="77777777" w:rsidR="001A229E" w:rsidRPr="001A229E" w:rsidRDefault="001A229E" w:rsidP="001A229E">
            <w:pPr>
              <w:spacing w:after="0" w:line="240" w:lineRule="auto"/>
              <w:jc w:val="center"/>
              <w:rPr>
                <w:rFonts w:eastAsia="Times New Roman" w:cs="Calibri"/>
                <w:color w:val="000000"/>
                <w:sz w:val="18"/>
                <w:szCs w:val="18"/>
                <w:lang w:val="en-US"/>
              </w:rPr>
            </w:pPr>
            <w:r w:rsidRPr="001A229E">
              <w:rPr>
                <w:rFonts w:eastAsia="Times New Roman" w:cs="Calibri"/>
                <w:color w:val="000000"/>
                <w:sz w:val="18"/>
                <w:szCs w:val="18"/>
                <w:lang w:val="en-US"/>
              </w:rPr>
              <w:t>384,09%</w:t>
            </w:r>
          </w:p>
        </w:tc>
        <w:tc>
          <w:tcPr>
            <w:tcW w:w="222" w:type="dxa"/>
            <w:vAlign w:val="center"/>
            <w:hideMark/>
          </w:tcPr>
          <w:p w14:paraId="63FA5D8D" w14:textId="77777777" w:rsidR="001A229E" w:rsidRPr="001A229E" w:rsidRDefault="001A229E" w:rsidP="001A229E">
            <w:pPr>
              <w:spacing w:after="0" w:line="240" w:lineRule="auto"/>
              <w:jc w:val="left"/>
              <w:rPr>
                <w:rFonts w:ascii="Times New Roman" w:eastAsia="Times New Roman" w:hAnsi="Times New Roman" w:cs="Times New Roman"/>
                <w:sz w:val="20"/>
                <w:szCs w:val="20"/>
                <w:lang w:val="en-US"/>
              </w:rPr>
            </w:pPr>
          </w:p>
        </w:tc>
      </w:tr>
      <w:tr w:rsidR="001A229E" w:rsidRPr="001A229E" w14:paraId="2B0C7B73" w14:textId="77777777" w:rsidTr="001A229E">
        <w:trPr>
          <w:trHeight w:val="300"/>
        </w:trPr>
        <w:tc>
          <w:tcPr>
            <w:tcW w:w="1083" w:type="dxa"/>
            <w:tcBorders>
              <w:top w:val="nil"/>
              <w:left w:val="single" w:sz="8" w:space="0" w:color="auto"/>
              <w:bottom w:val="nil"/>
              <w:right w:val="nil"/>
            </w:tcBorders>
            <w:shd w:val="clear" w:color="auto" w:fill="auto"/>
            <w:noWrap/>
            <w:vAlign w:val="center"/>
            <w:hideMark/>
          </w:tcPr>
          <w:p w14:paraId="3F9F950A" w14:textId="77777777" w:rsidR="001A229E" w:rsidRPr="001A229E" w:rsidRDefault="001A229E" w:rsidP="001A229E">
            <w:pPr>
              <w:spacing w:after="0" w:line="240" w:lineRule="auto"/>
              <w:jc w:val="left"/>
              <w:rPr>
                <w:rFonts w:eastAsia="Times New Roman" w:cs="Calibri"/>
                <w:color w:val="000000"/>
                <w:sz w:val="20"/>
                <w:szCs w:val="20"/>
                <w:lang w:val="en-US"/>
              </w:rPr>
            </w:pPr>
            <w:r w:rsidRPr="001A229E">
              <w:rPr>
                <w:rFonts w:eastAsia="Times New Roman" w:cs="Calibri"/>
                <w:color w:val="000000"/>
                <w:sz w:val="20"/>
                <w:szCs w:val="20"/>
                <w:lang w:val="en-US"/>
              </w:rPr>
              <w:t>5.1.3.02.04.</w:t>
            </w:r>
          </w:p>
        </w:tc>
        <w:tc>
          <w:tcPr>
            <w:tcW w:w="3508" w:type="dxa"/>
            <w:tcBorders>
              <w:top w:val="nil"/>
              <w:left w:val="single" w:sz="8" w:space="0" w:color="auto"/>
              <w:bottom w:val="nil"/>
              <w:right w:val="single" w:sz="8" w:space="0" w:color="auto"/>
            </w:tcBorders>
            <w:shd w:val="clear" w:color="auto" w:fill="auto"/>
            <w:vAlign w:val="center"/>
            <w:hideMark/>
          </w:tcPr>
          <w:p w14:paraId="68257167" w14:textId="77777777" w:rsidR="001A229E" w:rsidRPr="001A229E" w:rsidRDefault="001A229E" w:rsidP="001A229E">
            <w:pPr>
              <w:spacing w:after="0" w:line="240" w:lineRule="auto"/>
              <w:jc w:val="left"/>
              <w:rPr>
                <w:rFonts w:eastAsia="Times New Roman" w:cs="Calibri"/>
                <w:color w:val="000000"/>
                <w:sz w:val="20"/>
                <w:szCs w:val="20"/>
                <w:lang w:val="en-US"/>
              </w:rPr>
            </w:pPr>
            <w:r w:rsidRPr="001A229E">
              <w:rPr>
                <w:rFonts w:eastAsia="Times New Roman" w:cs="Calibri"/>
                <w:color w:val="000000"/>
                <w:sz w:val="20"/>
                <w:szCs w:val="20"/>
                <w:lang w:val="en-US"/>
              </w:rPr>
              <w:t>Alimentos para animales</w:t>
            </w:r>
          </w:p>
        </w:tc>
        <w:tc>
          <w:tcPr>
            <w:tcW w:w="1120" w:type="dxa"/>
            <w:tcBorders>
              <w:top w:val="nil"/>
              <w:left w:val="nil"/>
              <w:bottom w:val="nil"/>
              <w:right w:val="single" w:sz="8" w:space="0" w:color="auto"/>
            </w:tcBorders>
            <w:shd w:val="clear" w:color="000000" w:fill="FFFFFF"/>
            <w:noWrap/>
            <w:vAlign w:val="bottom"/>
            <w:hideMark/>
          </w:tcPr>
          <w:p w14:paraId="7F7C7546"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0,00</w:t>
            </w:r>
          </w:p>
        </w:tc>
        <w:tc>
          <w:tcPr>
            <w:tcW w:w="1083" w:type="dxa"/>
            <w:tcBorders>
              <w:top w:val="nil"/>
              <w:left w:val="nil"/>
              <w:bottom w:val="nil"/>
              <w:right w:val="single" w:sz="8" w:space="0" w:color="auto"/>
            </w:tcBorders>
            <w:shd w:val="clear" w:color="000000" w:fill="FFFFFF"/>
            <w:noWrap/>
            <w:vAlign w:val="bottom"/>
            <w:hideMark/>
          </w:tcPr>
          <w:p w14:paraId="64ABFE1B"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0,00</w:t>
            </w:r>
          </w:p>
        </w:tc>
        <w:tc>
          <w:tcPr>
            <w:tcW w:w="980" w:type="dxa"/>
            <w:tcBorders>
              <w:top w:val="nil"/>
              <w:left w:val="nil"/>
              <w:bottom w:val="nil"/>
              <w:right w:val="single" w:sz="8" w:space="0" w:color="auto"/>
            </w:tcBorders>
            <w:shd w:val="clear" w:color="000000" w:fill="FFFFFF"/>
            <w:noWrap/>
            <w:vAlign w:val="bottom"/>
            <w:hideMark/>
          </w:tcPr>
          <w:p w14:paraId="35403F6E"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0,00</w:t>
            </w:r>
          </w:p>
        </w:tc>
        <w:tc>
          <w:tcPr>
            <w:tcW w:w="955" w:type="dxa"/>
            <w:tcBorders>
              <w:top w:val="nil"/>
              <w:left w:val="nil"/>
              <w:bottom w:val="nil"/>
              <w:right w:val="single" w:sz="8" w:space="0" w:color="auto"/>
            </w:tcBorders>
            <w:shd w:val="clear" w:color="auto" w:fill="auto"/>
            <w:noWrap/>
            <w:vAlign w:val="bottom"/>
            <w:hideMark/>
          </w:tcPr>
          <w:p w14:paraId="7CCE2ED5" w14:textId="77777777" w:rsidR="001A229E" w:rsidRPr="001A229E" w:rsidRDefault="001A229E" w:rsidP="001A229E">
            <w:pPr>
              <w:spacing w:after="0" w:line="240" w:lineRule="auto"/>
              <w:jc w:val="center"/>
              <w:rPr>
                <w:rFonts w:eastAsia="Times New Roman" w:cs="Calibri"/>
                <w:color w:val="000000"/>
                <w:sz w:val="18"/>
                <w:szCs w:val="18"/>
                <w:lang w:val="en-US"/>
              </w:rPr>
            </w:pPr>
            <w:r w:rsidRPr="001A229E">
              <w:rPr>
                <w:rFonts w:eastAsia="Times New Roman" w:cs="Calibri"/>
                <w:color w:val="000000"/>
                <w:sz w:val="18"/>
                <w:szCs w:val="18"/>
                <w:lang w:val="en-US"/>
              </w:rPr>
              <w:t>#DIV/0!</w:t>
            </w:r>
          </w:p>
        </w:tc>
        <w:tc>
          <w:tcPr>
            <w:tcW w:w="222" w:type="dxa"/>
            <w:vAlign w:val="center"/>
            <w:hideMark/>
          </w:tcPr>
          <w:p w14:paraId="0CE79359" w14:textId="77777777" w:rsidR="001A229E" w:rsidRPr="001A229E" w:rsidRDefault="001A229E" w:rsidP="001A229E">
            <w:pPr>
              <w:spacing w:after="0" w:line="240" w:lineRule="auto"/>
              <w:jc w:val="left"/>
              <w:rPr>
                <w:rFonts w:ascii="Times New Roman" w:eastAsia="Times New Roman" w:hAnsi="Times New Roman" w:cs="Times New Roman"/>
                <w:sz w:val="20"/>
                <w:szCs w:val="20"/>
                <w:lang w:val="en-US"/>
              </w:rPr>
            </w:pPr>
          </w:p>
        </w:tc>
      </w:tr>
      <w:tr w:rsidR="001A229E" w:rsidRPr="001A229E" w14:paraId="4C8AD5E6" w14:textId="77777777" w:rsidTr="001A229E">
        <w:trPr>
          <w:trHeight w:val="530"/>
        </w:trPr>
        <w:tc>
          <w:tcPr>
            <w:tcW w:w="1083" w:type="dxa"/>
            <w:tcBorders>
              <w:top w:val="nil"/>
              <w:left w:val="single" w:sz="8" w:space="0" w:color="auto"/>
              <w:bottom w:val="nil"/>
              <w:right w:val="nil"/>
            </w:tcBorders>
            <w:shd w:val="clear" w:color="auto" w:fill="auto"/>
            <w:noWrap/>
            <w:vAlign w:val="center"/>
            <w:hideMark/>
          </w:tcPr>
          <w:p w14:paraId="18E8B482" w14:textId="77777777" w:rsidR="001A229E" w:rsidRPr="001A229E" w:rsidRDefault="001A229E" w:rsidP="001A229E">
            <w:pPr>
              <w:spacing w:after="0" w:line="240" w:lineRule="auto"/>
              <w:jc w:val="left"/>
              <w:rPr>
                <w:rFonts w:eastAsia="Times New Roman" w:cs="Calibri"/>
                <w:b/>
                <w:bCs/>
                <w:color w:val="000000"/>
                <w:sz w:val="20"/>
                <w:szCs w:val="20"/>
                <w:lang w:val="en-US"/>
              </w:rPr>
            </w:pPr>
            <w:r w:rsidRPr="001A229E">
              <w:rPr>
                <w:rFonts w:eastAsia="Times New Roman" w:cs="Calibri"/>
                <w:b/>
                <w:bCs/>
                <w:color w:val="000000"/>
                <w:sz w:val="20"/>
                <w:szCs w:val="20"/>
                <w:lang w:val="en-US"/>
              </w:rPr>
              <w:t>5.1.3.03.</w:t>
            </w:r>
          </w:p>
        </w:tc>
        <w:tc>
          <w:tcPr>
            <w:tcW w:w="3508" w:type="dxa"/>
            <w:tcBorders>
              <w:top w:val="nil"/>
              <w:left w:val="single" w:sz="8" w:space="0" w:color="auto"/>
              <w:bottom w:val="nil"/>
              <w:right w:val="single" w:sz="8" w:space="0" w:color="auto"/>
            </w:tcBorders>
            <w:shd w:val="clear" w:color="auto" w:fill="auto"/>
            <w:vAlign w:val="center"/>
            <w:hideMark/>
          </w:tcPr>
          <w:p w14:paraId="3261AEE0" w14:textId="77777777" w:rsidR="001A229E" w:rsidRPr="001A229E" w:rsidRDefault="001A229E" w:rsidP="001A229E">
            <w:pPr>
              <w:spacing w:after="0" w:line="240" w:lineRule="auto"/>
              <w:jc w:val="left"/>
              <w:rPr>
                <w:rFonts w:eastAsia="Times New Roman" w:cs="Calibri"/>
                <w:b/>
                <w:bCs/>
                <w:color w:val="000000"/>
                <w:sz w:val="20"/>
                <w:szCs w:val="20"/>
              </w:rPr>
            </w:pPr>
            <w:r w:rsidRPr="001A229E">
              <w:rPr>
                <w:rFonts w:eastAsia="Times New Roman" w:cs="Calibri"/>
                <w:b/>
                <w:bCs/>
                <w:color w:val="000000"/>
                <w:sz w:val="20"/>
                <w:szCs w:val="20"/>
              </w:rPr>
              <w:t>Materiales y productos de uso en la construcción y mantenimiento</w:t>
            </w:r>
          </w:p>
        </w:tc>
        <w:tc>
          <w:tcPr>
            <w:tcW w:w="1120" w:type="dxa"/>
            <w:tcBorders>
              <w:top w:val="single" w:sz="8" w:space="0" w:color="auto"/>
              <w:left w:val="nil"/>
              <w:bottom w:val="single" w:sz="8" w:space="0" w:color="auto"/>
              <w:right w:val="single" w:sz="8" w:space="0" w:color="auto"/>
            </w:tcBorders>
            <w:shd w:val="clear" w:color="000000" w:fill="FFFFFF"/>
            <w:noWrap/>
            <w:vAlign w:val="bottom"/>
            <w:hideMark/>
          </w:tcPr>
          <w:p w14:paraId="687EA46F" w14:textId="77777777" w:rsidR="001A229E" w:rsidRPr="001A229E" w:rsidRDefault="001A229E" w:rsidP="001A229E">
            <w:pPr>
              <w:spacing w:after="0" w:line="240" w:lineRule="auto"/>
              <w:jc w:val="right"/>
              <w:rPr>
                <w:rFonts w:eastAsia="Times New Roman" w:cs="Calibri"/>
                <w:b/>
                <w:bCs/>
                <w:color w:val="000000"/>
                <w:sz w:val="18"/>
                <w:szCs w:val="18"/>
                <w:lang w:val="en-US"/>
              </w:rPr>
            </w:pPr>
            <w:r w:rsidRPr="001A229E">
              <w:rPr>
                <w:rFonts w:eastAsia="Times New Roman" w:cs="Calibri"/>
                <w:b/>
                <w:bCs/>
                <w:color w:val="000000"/>
                <w:sz w:val="18"/>
                <w:szCs w:val="18"/>
                <w:lang w:val="en-US"/>
              </w:rPr>
              <w:t>111 400,39</w:t>
            </w:r>
          </w:p>
        </w:tc>
        <w:tc>
          <w:tcPr>
            <w:tcW w:w="1083" w:type="dxa"/>
            <w:tcBorders>
              <w:top w:val="single" w:sz="8" w:space="0" w:color="auto"/>
              <w:left w:val="nil"/>
              <w:bottom w:val="single" w:sz="8" w:space="0" w:color="auto"/>
              <w:right w:val="single" w:sz="8" w:space="0" w:color="auto"/>
            </w:tcBorders>
            <w:shd w:val="clear" w:color="000000" w:fill="FFFFFF"/>
            <w:noWrap/>
            <w:vAlign w:val="bottom"/>
            <w:hideMark/>
          </w:tcPr>
          <w:p w14:paraId="5D772717" w14:textId="77777777" w:rsidR="001A229E" w:rsidRPr="001A229E" w:rsidRDefault="001A229E" w:rsidP="001A229E">
            <w:pPr>
              <w:spacing w:after="0" w:line="240" w:lineRule="auto"/>
              <w:jc w:val="right"/>
              <w:rPr>
                <w:rFonts w:eastAsia="Times New Roman" w:cs="Calibri"/>
                <w:b/>
                <w:bCs/>
                <w:color w:val="000000"/>
                <w:sz w:val="18"/>
                <w:szCs w:val="18"/>
                <w:lang w:val="en-US"/>
              </w:rPr>
            </w:pPr>
            <w:r w:rsidRPr="001A229E">
              <w:rPr>
                <w:rFonts w:eastAsia="Times New Roman" w:cs="Calibri"/>
                <w:b/>
                <w:bCs/>
                <w:color w:val="000000"/>
                <w:sz w:val="18"/>
                <w:szCs w:val="18"/>
                <w:lang w:val="en-US"/>
              </w:rPr>
              <w:t>100 528,15</w:t>
            </w:r>
          </w:p>
        </w:tc>
        <w:tc>
          <w:tcPr>
            <w:tcW w:w="980" w:type="dxa"/>
            <w:tcBorders>
              <w:top w:val="single" w:sz="8" w:space="0" w:color="auto"/>
              <w:left w:val="nil"/>
              <w:bottom w:val="single" w:sz="8" w:space="0" w:color="auto"/>
              <w:right w:val="single" w:sz="8" w:space="0" w:color="auto"/>
            </w:tcBorders>
            <w:shd w:val="clear" w:color="000000" w:fill="FFFFFF"/>
            <w:noWrap/>
            <w:vAlign w:val="bottom"/>
            <w:hideMark/>
          </w:tcPr>
          <w:p w14:paraId="3F23855B" w14:textId="77777777" w:rsidR="001A229E" w:rsidRPr="001A229E" w:rsidRDefault="001A229E" w:rsidP="001A229E">
            <w:pPr>
              <w:spacing w:after="0" w:line="240" w:lineRule="auto"/>
              <w:jc w:val="right"/>
              <w:rPr>
                <w:rFonts w:eastAsia="Times New Roman" w:cs="Calibri"/>
                <w:b/>
                <w:bCs/>
                <w:color w:val="000000"/>
                <w:sz w:val="18"/>
                <w:szCs w:val="18"/>
                <w:lang w:val="en-US"/>
              </w:rPr>
            </w:pPr>
            <w:r w:rsidRPr="001A229E">
              <w:rPr>
                <w:rFonts w:eastAsia="Times New Roman" w:cs="Calibri"/>
                <w:b/>
                <w:bCs/>
                <w:color w:val="000000"/>
                <w:sz w:val="18"/>
                <w:szCs w:val="18"/>
                <w:lang w:val="en-US"/>
              </w:rPr>
              <w:t>10 872,25</w:t>
            </w:r>
          </w:p>
        </w:tc>
        <w:tc>
          <w:tcPr>
            <w:tcW w:w="955" w:type="dxa"/>
            <w:tcBorders>
              <w:top w:val="single" w:sz="8" w:space="0" w:color="auto"/>
              <w:left w:val="nil"/>
              <w:bottom w:val="single" w:sz="8" w:space="0" w:color="auto"/>
              <w:right w:val="single" w:sz="8" w:space="0" w:color="auto"/>
            </w:tcBorders>
            <w:shd w:val="clear" w:color="auto" w:fill="auto"/>
            <w:noWrap/>
            <w:vAlign w:val="bottom"/>
            <w:hideMark/>
          </w:tcPr>
          <w:p w14:paraId="50BFD265" w14:textId="77777777" w:rsidR="001A229E" w:rsidRPr="001A229E" w:rsidRDefault="001A229E" w:rsidP="001A229E">
            <w:pPr>
              <w:spacing w:after="0" w:line="240" w:lineRule="auto"/>
              <w:jc w:val="center"/>
              <w:rPr>
                <w:rFonts w:eastAsia="Times New Roman" w:cs="Calibri"/>
                <w:b/>
                <w:bCs/>
                <w:color w:val="000000"/>
                <w:sz w:val="18"/>
                <w:szCs w:val="18"/>
                <w:lang w:val="en-US"/>
              </w:rPr>
            </w:pPr>
            <w:r w:rsidRPr="001A229E">
              <w:rPr>
                <w:rFonts w:eastAsia="Times New Roman" w:cs="Calibri"/>
                <w:b/>
                <w:bCs/>
                <w:color w:val="000000"/>
                <w:sz w:val="18"/>
                <w:szCs w:val="18"/>
                <w:lang w:val="en-US"/>
              </w:rPr>
              <w:t>10,82%</w:t>
            </w:r>
          </w:p>
        </w:tc>
        <w:tc>
          <w:tcPr>
            <w:tcW w:w="222" w:type="dxa"/>
            <w:vAlign w:val="center"/>
            <w:hideMark/>
          </w:tcPr>
          <w:p w14:paraId="69F73A77" w14:textId="77777777" w:rsidR="001A229E" w:rsidRPr="001A229E" w:rsidRDefault="001A229E" w:rsidP="001A229E">
            <w:pPr>
              <w:spacing w:after="0" w:line="240" w:lineRule="auto"/>
              <w:jc w:val="left"/>
              <w:rPr>
                <w:rFonts w:ascii="Times New Roman" w:eastAsia="Times New Roman" w:hAnsi="Times New Roman" w:cs="Times New Roman"/>
                <w:sz w:val="20"/>
                <w:szCs w:val="20"/>
                <w:lang w:val="en-US"/>
              </w:rPr>
            </w:pPr>
          </w:p>
        </w:tc>
      </w:tr>
      <w:tr w:rsidR="001A229E" w:rsidRPr="001A229E" w14:paraId="6658EC8A" w14:textId="77777777" w:rsidTr="001A229E">
        <w:trPr>
          <w:trHeight w:val="290"/>
        </w:trPr>
        <w:tc>
          <w:tcPr>
            <w:tcW w:w="1083" w:type="dxa"/>
            <w:tcBorders>
              <w:top w:val="nil"/>
              <w:left w:val="single" w:sz="8" w:space="0" w:color="auto"/>
              <w:bottom w:val="nil"/>
              <w:right w:val="nil"/>
            </w:tcBorders>
            <w:shd w:val="clear" w:color="auto" w:fill="auto"/>
            <w:noWrap/>
            <w:vAlign w:val="center"/>
            <w:hideMark/>
          </w:tcPr>
          <w:p w14:paraId="053CBD43" w14:textId="77777777" w:rsidR="001A229E" w:rsidRPr="001A229E" w:rsidRDefault="001A229E" w:rsidP="001A229E">
            <w:pPr>
              <w:spacing w:after="0" w:line="240" w:lineRule="auto"/>
              <w:jc w:val="left"/>
              <w:rPr>
                <w:rFonts w:eastAsia="Times New Roman" w:cs="Calibri"/>
                <w:color w:val="000000"/>
                <w:sz w:val="20"/>
                <w:szCs w:val="20"/>
                <w:lang w:val="en-US"/>
              </w:rPr>
            </w:pPr>
            <w:r w:rsidRPr="001A229E">
              <w:rPr>
                <w:rFonts w:eastAsia="Times New Roman" w:cs="Calibri"/>
                <w:color w:val="000000"/>
                <w:sz w:val="20"/>
                <w:szCs w:val="20"/>
                <w:lang w:val="en-US"/>
              </w:rPr>
              <w:t>5.1.3.03.01.</w:t>
            </w:r>
          </w:p>
        </w:tc>
        <w:tc>
          <w:tcPr>
            <w:tcW w:w="3508" w:type="dxa"/>
            <w:tcBorders>
              <w:top w:val="nil"/>
              <w:left w:val="single" w:sz="8" w:space="0" w:color="auto"/>
              <w:bottom w:val="nil"/>
              <w:right w:val="single" w:sz="8" w:space="0" w:color="auto"/>
            </w:tcBorders>
            <w:shd w:val="clear" w:color="000000" w:fill="FFFFFF"/>
            <w:vAlign w:val="center"/>
            <w:hideMark/>
          </w:tcPr>
          <w:p w14:paraId="06356B9D" w14:textId="77777777" w:rsidR="001A229E" w:rsidRPr="001A229E" w:rsidRDefault="001A229E" w:rsidP="001A229E">
            <w:pPr>
              <w:spacing w:after="0" w:line="240" w:lineRule="auto"/>
              <w:jc w:val="left"/>
              <w:rPr>
                <w:rFonts w:eastAsia="Times New Roman" w:cs="Calibri"/>
                <w:color w:val="000000"/>
                <w:sz w:val="20"/>
                <w:szCs w:val="20"/>
                <w:lang w:val="en-US"/>
              </w:rPr>
            </w:pPr>
            <w:r w:rsidRPr="001A229E">
              <w:rPr>
                <w:rFonts w:eastAsia="Times New Roman" w:cs="Calibri"/>
                <w:color w:val="000000"/>
                <w:sz w:val="20"/>
                <w:szCs w:val="20"/>
                <w:lang w:val="en-US"/>
              </w:rPr>
              <w:t>Materiales y productos metálicos</w:t>
            </w:r>
          </w:p>
        </w:tc>
        <w:tc>
          <w:tcPr>
            <w:tcW w:w="1120" w:type="dxa"/>
            <w:tcBorders>
              <w:top w:val="nil"/>
              <w:left w:val="nil"/>
              <w:bottom w:val="nil"/>
              <w:right w:val="single" w:sz="8" w:space="0" w:color="auto"/>
            </w:tcBorders>
            <w:shd w:val="clear" w:color="000000" w:fill="FFFFFF"/>
            <w:noWrap/>
            <w:vAlign w:val="bottom"/>
            <w:hideMark/>
          </w:tcPr>
          <w:p w14:paraId="4A6E2952"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6 617,83</w:t>
            </w:r>
          </w:p>
        </w:tc>
        <w:tc>
          <w:tcPr>
            <w:tcW w:w="1083" w:type="dxa"/>
            <w:tcBorders>
              <w:top w:val="nil"/>
              <w:left w:val="nil"/>
              <w:bottom w:val="nil"/>
              <w:right w:val="single" w:sz="8" w:space="0" w:color="auto"/>
            </w:tcBorders>
            <w:shd w:val="clear" w:color="000000" w:fill="FFFFFF"/>
            <w:noWrap/>
            <w:vAlign w:val="bottom"/>
            <w:hideMark/>
          </w:tcPr>
          <w:p w14:paraId="7F340CF8"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3 257,70</w:t>
            </w:r>
          </w:p>
        </w:tc>
        <w:tc>
          <w:tcPr>
            <w:tcW w:w="980" w:type="dxa"/>
            <w:tcBorders>
              <w:top w:val="nil"/>
              <w:left w:val="nil"/>
              <w:bottom w:val="nil"/>
              <w:right w:val="single" w:sz="8" w:space="0" w:color="auto"/>
            </w:tcBorders>
            <w:shd w:val="clear" w:color="000000" w:fill="FFFFFF"/>
            <w:noWrap/>
            <w:vAlign w:val="bottom"/>
            <w:hideMark/>
          </w:tcPr>
          <w:p w14:paraId="0AE292AA"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3 360,13</w:t>
            </w:r>
          </w:p>
        </w:tc>
        <w:tc>
          <w:tcPr>
            <w:tcW w:w="955" w:type="dxa"/>
            <w:tcBorders>
              <w:top w:val="nil"/>
              <w:left w:val="nil"/>
              <w:bottom w:val="nil"/>
              <w:right w:val="single" w:sz="8" w:space="0" w:color="auto"/>
            </w:tcBorders>
            <w:shd w:val="clear" w:color="auto" w:fill="auto"/>
            <w:noWrap/>
            <w:vAlign w:val="bottom"/>
            <w:hideMark/>
          </w:tcPr>
          <w:p w14:paraId="31212DF2" w14:textId="77777777" w:rsidR="001A229E" w:rsidRPr="001A229E" w:rsidRDefault="001A229E" w:rsidP="001A229E">
            <w:pPr>
              <w:spacing w:after="0" w:line="240" w:lineRule="auto"/>
              <w:jc w:val="center"/>
              <w:rPr>
                <w:rFonts w:eastAsia="Times New Roman" w:cs="Calibri"/>
                <w:color w:val="000000"/>
                <w:sz w:val="18"/>
                <w:szCs w:val="18"/>
                <w:lang w:val="en-US"/>
              </w:rPr>
            </w:pPr>
            <w:r w:rsidRPr="001A229E">
              <w:rPr>
                <w:rFonts w:eastAsia="Times New Roman" w:cs="Calibri"/>
                <w:color w:val="000000"/>
                <w:sz w:val="18"/>
                <w:szCs w:val="18"/>
                <w:lang w:val="en-US"/>
              </w:rPr>
              <w:t>103,14%</w:t>
            </w:r>
          </w:p>
        </w:tc>
        <w:tc>
          <w:tcPr>
            <w:tcW w:w="222" w:type="dxa"/>
            <w:vAlign w:val="center"/>
            <w:hideMark/>
          </w:tcPr>
          <w:p w14:paraId="60EC5A81" w14:textId="77777777" w:rsidR="001A229E" w:rsidRPr="001A229E" w:rsidRDefault="001A229E" w:rsidP="001A229E">
            <w:pPr>
              <w:spacing w:after="0" w:line="240" w:lineRule="auto"/>
              <w:jc w:val="left"/>
              <w:rPr>
                <w:rFonts w:ascii="Times New Roman" w:eastAsia="Times New Roman" w:hAnsi="Times New Roman" w:cs="Times New Roman"/>
                <w:sz w:val="20"/>
                <w:szCs w:val="20"/>
                <w:lang w:val="en-US"/>
              </w:rPr>
            </w:pPr>
          </w:p>
        </w:tc>
      </w:tr>
      <w:tr w:rsidR="001A229E" w:rsidRPr="001A229E" w14:paraId="0C766CBE" w14:textId="77777777" w:rsidTr="001A229E">
        <w:trPr>
          <w:trHeight w:val="290"/>
        </w:trPr>
        <w:tc>
          <w:tcPr>
            <w:tcW w:w="1083" w:type="dxa"/>
            <w:tcBorders>
              <w:top w:val="nil"/>
              <w:left w:val="single" w:sz="8" w:space="0" w:color="auto"/>
              <w:bottom w:val="nil"/>
              <w:right w:val="nil"/>
            </w:tcBorders>
            <w:shd w:val="clear" w:color="auto" w:fill="auto"/>
            <w:noWrap/>
            <w:vAlign w:val="center"/>
            <w:hideMark/>
          </w:tcPr>
          <w:p w14:paraId="7C7756A0" w14:textId="77777777" w:rsidR="001A229E" w:rsidRPr="001A229E" w:rsidRDefault="001A229E" w:rsidP="001A229E">
            <w:pPr>
              <w:spacing w:after="0" w:line="240" w:lineRule="auto"/>
              <w:jc w:val="left"/>
              <w:rPr>
                <w:rFonts w:eastAsia="Times New Roman" w:cs="Calibri"/>
                <w:color w:val="000000"/>
                <w:sz w:val="20"/>
                <w:szCs w:val="20"/>
                <w:lang w:val="en-US"/>
              </w:rPr>
            </w:pPr>
            <w:r w:rsidRPr="001A229E">
              <w:rPr>
                <w:rFonts w:eastAsia="Times New Roman" w:cs="Calibri"/>
                <w:color w:val="000000"/>
                <w:sz w:val="20"/>
                <w:szCs w:val="20"/>
                <w:lang w:val="en-US"/>
              </w:rPr>
              <w:t>5.1.3.03.02.</w:t>
            </w:r>
          </w:p>
        </w:tc>
        <w:tc>
          <w:tcPr>
            <w:tcW w:w="3508" w:type="dxa"/>
            <w:tcBorders>
              <w:top w:val="nil"/>
              <w:left w:val="single" w:sz="8" w:space="0" w:color="auto"/>
              <w:bottom w:val="nil"/>
              <w:right w:val="single" w:sz="8" w:space="0" w:color="auto"/>
            </w:tcBorders>
            <w:shd w:val="clear" w:color="000000" w:fill="FFFFFF"/>
            <w:vAlign w:val="center"/>
            <w:hideMark/>
          </w:tcPr>
          <w:p w14:paraId="094338EE" w14:textId="77777777" w:rsidR="001A229E" w:rsidRPr="001A229E" w:rsidRDefault="001A229E" w:rsidP="001A229E">
            <w:pPr>
              <w:spacing w:after="0" w:line="240" w:lineRule="auto"/>
              <w:jc w:val="left"/>
              <w:rPr>
                <w:rFonts w:eastAsia="Times New Roman" w:cs="Calibri"/>
                <w:color w:val="000000"/>
                <w:sz w:val="20"/>
                <w:szCs w:val="20"/>
              </w:rPr>
            </w:pPr>
            <w:r w:rsidRPr="001A229E">
              <w:rPr>
                <w:rFonts w:eastAsia="Times New Roman" w:cs="Calibri"/>
                <w:color w:val="000000"/>
                <w:sz w:val="20"/>
                <w:szCs w:val="20"/>
              </w:rPr>
              <w:t>Materiales y productos minerales y asfálticos</w:t>
            </w:r>
          </w:p>
        </w:tc>
        <w:tc>
          <w:tcPr>
            <w:tcW w:w="1120" w:type="dxa"/>
            <w:tcBorders>
              <w:top w:val="nil"/>
              <w:left w:val="nil"/>
              <w:bottom w:val="nil"/>
              <w:right w:val="single" w:sz="8" w:space="0" w:color="auto"/>
            </w:tcBorders>
            <w:shd w:val="clear" w:color="000000" w:fill="FFFFFF"/>
            <w:noWrap/>
            <w:vAlign w:val="bottom"/>
            <w:hideMark/>
          </w:tcPr>
          <w:p w14:paraId="72EBBF3A"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100 605,35</w:t>
            </w:r>
          </w:p>
        </w:tc>
        <w:tc>
          <w:tcPr>
            <w:tcW w:w="1083" w:type="dxa"/>
            <w:tcBorders>
              <w:top w:val="nil"/>
              <w:left w:val="nil"/>
              <w:bottom w:val="nil"/>
              <w:right w:val="single" w:sz="8" w:space="0" w:color="auto"/>
            </w:tcBorders>
            <w:shd w:val="clear" w:color="000000" w:fill="FFFFFF"/>
            <w:noWrap/>
            <w:vAlign w:val="bottom"/>
            <w:hideMark/>
          </w:tcPr>
          <w:p w14:paraId="5913F9D2"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96 942,80</w:t>
            </w:r>
          </w:p>
        </w:tc>
        <w:tc>
          <w:tcPr>
            <w:tcW w:w="980" w:type="dxa"/>
            <w:tcBorders>
              <w:top w:val="nil"/>
              <w:left w:val="nil"/>
              <w:bottom w:val="nil"/>
              <w:right w:val="single" w:sz="8" w:space="0" w:color="auto"/>
            </w:tcBorders>
            <w:shd w:val="clear" w:color="000000" w:fill="FFFFFF"/>
            <w:noWrap/>
            <w:vAlign w:val="bottom"/>
            <w:hideMark/>
          </w:tcPr>
          <w:p w14:paraId="6E63E0E7"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3 662,55</w:t>
            </w:r>
          </w:p>
        </w:tc>
        <w:tc>
          <w:tcPr>
            <w:tcW w:w="955" w:type="dxa"/>
            <w:tcBorders>
              <w:top w:val="nil"/>
              <w:left w:val="nil"/>
              <w:bottom w:val="nil"/>
              <w:right w:val="single" w:sz="8" w:space="0" w:color="auto"/>
            </w:tcBorders>
            <w:shd w:val="clear" w:color="auto" w:fill="auto"/>
            <w:noWrap/>
            <w:vAlign w:val="bottom"/>
            <w:hideMark/>
          </w:tcPr>
          <w:p w14:paraId="08B7E22D" w14:textId="77777777" w:rsidR="001A229E" w:rsidRPr="001A229E" w:rsidRDefault="001A229E" w:rsidP="001A229E">
            <w:pPr>
              <w:spacing w:after="0" w:line="240" w:lineRule="auto"/>
              <w:jc w:val="center"/>
              <w:rPr>
                <w:rFonts w:eastAsia="Times New Roman" w:cs="Calibri"/>
                <w:color w:val="000000"/>
                <w:sz w:val="18"/>
                <w:szCs w:val="18"/>
                <w:lang w:val="en-US"/>
              </w:rPr>
            </w:pPr>
            <w:r w:rsidRPr="001A229E">
              <w:rPr>
                <w:rFonts w:eastAsia="Times New Roman" w:cs="Calibri"/>
                <w:color w:val="000000"/>
                <w:sz w:val="18"/>
                <w:szCs w:val="18"/>
                <w:lang w:val="en-US"/>
              </w:rPr>
              <w:t>3,78%</w:t>
            </w:r>
          </w:p>
        </w:tc>
        <w:tc>
          <w:tcPr>
            <w:tcW w:w="222" w:type="dxa"/>
            <w:vAlign w:val="center"/>
            <w:hideMark/>
          </w:tcPr>
          <w:p w14:paraId="116C8D53" w14:textId="77777777" w:rsidR="001A229E" w:rsidRPr="001A229E" w:rsidRDefault="001A229E" w:rsidP="001A229E">
            <w:pPr>
              <w:spacing w:after="0" w:line="240" w:lineRule="auto"/>
              <w:jc w:val="left"/>
              <w:rPr>
                <w:rFonts w:ascii="Times New Roman" w:eastAsia="Times New Roman" w:hAnsi="Times New Roman" w:cs="Times New Roman"/>
                <w:sz w:val="20"/>
                <w:szCs w:val="20"/>
                <w:lang w:val="en-US"/>
              </w:rPr>
            </w:pPr>
          </w:p>
        </w:tc>
      </w:tr>
      <w:tr w:rsidR="001A229E" w:rsidRPr="001A229E" w14:paraId="39EA25F9" w14:textId="77777777" w:rsidTr="001A229E">
        <w:trPr>
          <w:trHeight w:val="290"/>
        </w:trPr>
        <w:tc>
          <w:tcPr>
            <w:tcW w:w="1083" w:type="dxa"/>
            <w:tcBorders>
              <w:top w:val="nil"/>
              <w:left w:val="single" w:sz="8" w:space="0" w:color="auto"/>
              <w:bottom w:val="nil"/>
              <w:right w:val="nil"/>
            </w:tcBorders>
            <w:shd w:val="clear" w:color="auto" w:fill="auto"/>
            <w:noWrap/>
            <w:vAlign w:val="center"/>
            <w:hideMark/>
          </w:tcPr>
          <w:p w14:paraId="3636625B" w14:textId="77777777" w:rsidR="001A229E" w:rsidRPr="001A229E" w:rsidRDefault="001A229E" w:rsidP="001A229E">
            <w:pPr>
              <w:spacing w:after="0" w:line="240" w:lineRule="auto"/>
              <w:jc w:val="left"/>
              <w:rPr>
                <w:rFonts w:eastAsia="Times New Roman" w:cs="Calibri"/>
                <w:color w:val="000000"/>
                <w:sz w:val="20"/>
                <w:szCs w:val="20"/>
                <w:lang w:val="en-US"/>
              </w:rPr>
            </w:pPr>
            <w:r w:rsidRPr="001A229E">
              <w:rPr>
                <w:rFonts w:eastAsia="Times New Roman" w:cs="Calibri"/>
                <w:color w:val="000000"/>
                <w:sz w:val="20"/>
                <w:szCs w:val="20"/>
                <w:lang w:val="en-US"/>
              </w:rPr>
              <w:t>5.1.3.03.03.</w:t>
            </w:r>
          </w:p>
        </w:tc>
        <w:tc>
          <w:tcPr>
            <w:tcW w:w="3508" w:type="dxa"/>
            <w:tcBorders>
              <w:top w:val="nil"/>
              <w:left w:val="single" w:sz="8" w:space="0" w:color="auto"/>
              <w:bottom w:val="nil"/>
              <w:right w:val="single" w:sz="8" w:space="0" w:color="auto"/>
            </w:tcBorders>
            <w:shd w:val="clear" w:color="000000" w:fill="FFFFFF"/>
            <w:vAlign w:val="center"/>
            <w:hideMark/>
          </w:tcPr>
          <w:p w14:paraId="5F6812C6" w14:textId="77777777" w:rsidR="001A229E" w:rsidRPr="001A229E" w:rsidRDefault="001A229E" w:rsidP="001A229E">
            <w:pPr>
              <w:spacing w:after="0" w:line="240" w:lineRule="auto"/>
              <w:jc w:val="left"/>
              <w:rPr>
                <w:rFonts w:eastAsia="Times New Roman" w:cs="Calibri"/>
                <w:color w:val="000000"/>
                <w:sz w:val="20"/>
                <w:szCs w:val="20"/>
                <w:lang w:val="en-US"/>
              </w:rPr>
            </w:pPr>
            <w:r w:rsidRPr="001A229E">
              <w:rPr>
                <w:rFonts w:eastAsia="Times New Roman" w:cs="Calibri"/>
                <w:color w:val="000000"/>
                <w:sz w:val="20"/>
                <w:szCs w:val="20"/>
                <w:lang w:val="en-US"/>
              </w:rPr>
              <w:t>Madera y sus derivados</w:t>
            </w:r>
          </w:p>
        </w:tc>
        <w:tc>
          <w:tcPr>
            <w:tcW w:w="1120" w:type="dxa"/>
            <w:tcBorders>
              <w:top w:val="nil"/>
              <w:left w:val="nil"/>
              <w:bottom w:val="nil"/>
              <w:right w:val="single" w:sz="8" w:space="0" w:color="auto"/>
            </w:tcBorders>
            <w:shd w:val="clear" w:color="000000" w:fill="FFFFFF"/>
            <w:noWrap/>
            <w:vAlign w:val="bottom"/>
            <w:hideMark/>
          </w:tcPr>
          <w:p w14:paraId="36A52E57"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2 053,05</w:t>
            </w:r>
          </w:p>
        </w:tc>
        <w:tc>
          <w:tcPr>
            <w:tcW w:w="1083" w:type="dxa"/>
            <w:tcBorders>
              <w:top w:val="nil"/>
              <w:left w:val="nil"/>
              <w:bottom w:val="nil"/>
              <w:right w:val="single" w:sz="8" w:space="0" w:color="auto"/>
            </w:tcBorders>
            <w:shd w:val="clear" w:color="000000" w:fill="FFFFFF"/>
            <w:noWrap/>
            <w:vAlign w:val="bottom"/>
            <w:hideMark/>
          </w:tcPr>
          <w:p w14:paraId="79EF9578"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57,42</w:t>
            </w:r>
          </w:p>
        </w:tc>
        <w:tc>
          <w:tcPr>
            <w:tcW w:w="980" w:type="dxa"/>
            <w:tcBorders>
              <w:top w:val="nil"/>
              <w:left w:val="nil"/>
              <w:bottom w:val="nil"/>
              <w:right w:val="single" w:sz="8" w:space="0" w:color="auto"/>
            </w:tcBorders>
            <w:shd w:val="clear" w:color="000000" w:fill="FFFFFF"/>
            <w:noWrap/>
            <w:vAlign w:val="bottom"/>
            <w:hideMark/>
          </w:tcPr>
          <w:p w14:paraId="774622F0"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1 995,63</w:t>
            </w:r>
          </w:p>
        </w:tc>
        <w:tc>
          <w:tcPr>
            <w:tcW w:w="955" w:type="dxa"/>
            <w:tcBorders>
              <w:top w:val="nil"/>
              <w:left w:val="nil"/>
              <w:bottom w:val="nil"/>
              <w:right w:val="single" w:sz="8" w:space="0" w:color="auto"/>
            </w:tcBorders>
            <w:shd w:val="clear" w:color="auto" w:fill="auto"/>
            <w:noWrap/>
            <w:vAlign w:val="bottom"/>
            <w:hideMark/>
          </w:tcPr>
          <w:p w14:paraId="58B74540" w14:textId="77777777" w:rsidR="001A229E" w:rsidRPr="001A229E" w:rsidRDefault="001A229E" w:rsidP="001A229E">
            <w:pPr>
              <w:spacing w:after="0" w:line="240" w:lineRule="auto"/>
              <w:jc w:val="center"/>
              <w:rPr>
                <w:rFonts w:eastAsia="Times New Roman" w:cs="Calibri"/>
                <w:color w:val="000000"/>
                <w:sz w:val="18"/>
                <w:szCs w:val="18"/>
                <w:lang w:val="en-US"/>
              </w:rPr>
            </w:pPr>
            <w:r w:rsidRPr="001A229E">
              <w:rPr>
                <w:rFonts w:eastAsia="Times New Roman" w:cs="Calibri"/>
                <w:color w:val="000000"/>
                <w:sz w:val="18"/>
                <w:szCs w:val="18"/>
                <w:lang w:val="en-US"/>
              </w:rPr>
              <w:t>3475,50%</w:t>
            </w:r>
          </w:p>
        </w:tc>
        <w:tc>
          <w:tcPr>
            <w:tcW w:w="222" w:type="dxa"/>
            <w:vAlign w:val="center"/>
            <w:hideMark/>
          </w:tcPr>
          <w:p w14:paraId="09E89008" w14:textId="77777777" w:rsidR="001A229E" w:rsidRPr="001A229E" w:rsidRDefault="001A229E" w:rsidP="001A229E">
            <w:pPr>
              <w:spacing w:after="0" w:line="240" w:lineRule="auto"/>
              <w:jc w:val="left"/>
              <w:rPr>
                <w:rFonts w:ascii="Times New Roman" w:eastAsia="Times New Roman" w:hAnsi="Times New Roman" w:cs="Times New Roman"/>
                <w:sz w:val="20"/>
                <w:szCs w:val="20"/>
                <w:lang w:val="en-US"/>
              </w:rPr>
            </w:pPr>
          </w:p>
        </w:tc>
      </w:tr>
      <w:tr w:rsidR="001A229E" w:rsidRPr="001A229E" w14:paraId="66D31255" w14:textId="77777777" w:rsidTr="001A229E">
        <w:trPr>
          <w:trHeight w:val="290"/>
        </w:trPr>
        <w:tc>
          <w:tcPr>
            <w:tcW w:w="1083" w:type="dxa"/>
            <w:tcBorders>
              <w:top w:val="nil"/>
              <w:left w:val="single" w:sz="8" w:space="0" w:color="auto"/>
              <w:bottom w:val="nil"/>
              <w:right w:val="nil"/>
            </w:tcBorders>
            <w:shd w:val="clear" w:color="auto" w:fill="auto"/>
            <w:noWrap/>
            <w:vAlign w:val="center"/>
            <w:hideMark/>
          </w:tcPr>
          <w:p w14:paraId="66BF9B98" w14:textId="77777777" w:rsidR="001A229E" w:rsidRPr="001A229E" w:rsidRDefault="001A229E" w:rsidP="001A229E">
            <w:pPr>
              <w:spacing w:after="0" w:line="240" w:lineRule="auto"/>
              <w:jc w:val="left"/>
              <w:rPr>
                <w:rFonts w:eastAsia="Times New Roman" w:cs="Calibri"/>
                <w:color w:val="000000"/>
                <w:sz w:val="20"/>
                <w:szCs w:val="20"/>
                <w:lang w:val="en-US"/>
              </w:rPr>
            </w:pPr>
            <w:r w:rsidRPr="001A229E">
              <w:rPr>
                <w:rFonts w:eastAsia="Times New Roman" w:cs="Calibri"/>
                <w:color w:val="000000"/>
                <w:sz w:val="20"/>
                <w:szCs w:val="20"/>
                <w:lang w:val="en-US"/>
              </w:rPr>
              <w:t>5.1.3.03.04.</w:t>
            </w:r>
          </w:p>
        </w:tc>
        <w:tc>
          <w:tcPr>
            <w:tcW w:w="3508" w:type="dxa"/>
            <w:tcBorders>
              <w:top w:val="nil"/>
              <w:left w:val="single" w:sz="8" w:space="0" w:color="auto"/>
              <w:bottom w:val="nil"/>
              <w:right w:val="single" w:sz="8" w:space="0" w:color="auto"/>
            </w:tcBorders>
            <w:shd w:val="clear" w:color="auto" w:fill="auto"/>
            <w:vAlign w:val="center"/>
            <w:hideMark/>
          </w:tcPr>
          <w:p w14:paraId="5FC103C3" w14:textId="77777777" w:rsidR="001A229E" w:rsidRPr="001A229E" w:rsidRDefault="001A229E" w:rsidP="001A229E">
            <w:pPr>
              <w:spacing w:after="0" w:line="240" w:lineRule="auto"/>
              <w:jc w:val="left"/>
              <w:rPr>
                <w:rFonts w:eastAsia="Times New Roman" w:cs="Calibri"/>
                <w:color w:val="000000"/>
                <w:sz w:val="20"/>
                <w:szCs w:val="20"/>
              </w:rPr>
            </w:pPr>
            <w:r w:rsidRPr="001A229E">
              <w:rPr>
                <w:rFonts w:eastAsia="Times New Roman" w:cs="Calibri"/>
                <w:color w:val="000000"/>
                <w:sz w:val="20"/>
                <w:szCs w:val="20"/>
              </w:rPr>
              <w:t>Material y producto eléctrico, telefónic y cómputo</w:t>
            </w:r>
          </w:p>
        </w:tc>
        <w:tc>
          <w:tcPr>
            <w:tcW w:w="1120" w:type="dxa"/>
            <w:tcBorders>
              <w:top w:val="nil"/>
              <w:left w:val="nil"/>
              <w:bottom w:val="nil"/>
              <w:right w:val="single" w:sz="8" w:space="0" w:color="auto"/>
            </w:tcBorders>
            <w:shd w:val="clear" w:color="000000" w:fill="FFFFFF"/>
            <w:noWrap/>
            <w:vAlign w:val="bottom"/>
            <w:hideMark/>
          </w:tcPr>
          <w:p w14:paraId="0ABA3F1D"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1 790,51</w:t>
            </w:r>
          </w:p>
        </w:tc>
        <w:tc>
          <w:tcPr>
            <w:tcW w:w="1083" w:type="dxa"/>
            <w:tcBorders>
              <w:top w:val="nil"/>
              <w:left w:val="nil"/>
              <w:bottom w:val="nil"/>
              <w:right w:val="single" w:sz="8" w:space="0" w:color="auto"/>
            </w:tcBorders>
            <w:shd w:val="clear" w:color="000000" w:fill="FFFFFF"/>
            <w:noWrap/>
            <w:vAlign w:val="bottom"/>
            <w:hideMark/>
          </w:tcPr>
          <w:p w14:paraId="2613E4E6"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108,73</w:t>
            </w:r>
          </w:p>
        </w:tc>
        <w:tc>
          <w:tcPr>
            <w:tcW w:w="980" w:type="dxa"/>
            <w:tcBorders>
              <w:top w:val="nil"/>
              <w:left w:val="nil"/>
              <w:bottom w:val="nil"/>
              <w:right w:val="single" w:sz="8" w:space="0" w:color="auto"/>
            </w:tcBorders>
            <w:shd w:val="clear" w:color="000000" w:fill="FFFFFF"/>
            <w:noWrap/>
            <w:vAlign w:val="bottom"/>
            <w:hideMark/>
          </w:tcPr>
          <w:p w14:paraId="64410938"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1 681,79</w:t>
            </w:r>
          </w:p>
        </w:tc>
        <w:tc>
          <w:tcPr>
            <w:tcW w:w="955" w:type="dxa"/>
            <w:tcBorders>
              <w:top w:val="nil"/>
              <w:left w:val="nil"/>
              <w:bottom w:val="nil"/>
              <w:right w:val="single" w:sz="8" w:space="0" w:color="auto"/>
            </w:tcBorders>
            <w:shd w:val="clear" w:color="auto" w:fill="auto"/>
            <w:noWrap/>
            <w:vAlign w:val="bottom"/>
            <w:hideMark/>
          </w:tcPr>
          <w:p w14:paraId="2E0B95FE" w14:textId="77777777" w:rsidR="001A229E" w:rsidRPr="001A229E" w:rsidRDefault="001A229E" w:rsidP="001A229E">
            <w:pPr>
              <w:spacing w:after="0" w:line="240" w:lineRule="auto"/>
              <w:jc w:val="center"/>
              <w:rPr>
                <w:rFonts w:eastAsia="Times New Roman" w:cs="Calibri"/>
                <w:color w:val="000000"/>
                <w:sz w:val="18"/>
                <w:szCs w:val="18"/>
                <w:lang w:val="en-US"/>
              </w:rPr>
            </w:pPr>
            <w:r w:rsidRPr="001A229E">
              <w:rPr>
                <w:rFonts w:eastAsia="Times New Roman" w:cs="Calibri"/>
                <w:color w:val="000000"/>
                <w:sz w:val="18"/>
                <w:szCs w:val="18"/>
                <w:lang w:val="en-US"/>
              </w:rPr>
              <w:t>1546,81%</w:t>
            </w:r>
          </w:p>
        </w:tc>
        <w:tc>
          <w:tcPr>
            <w:tcW w:w="222" w:type="dxa"/>
            <w:vAlign w:val="center"/>
            <w:hideMark/>
          </w:tcPr>
          <w:p w14:paraId="0D85F34A" w14:textId="77777777" w:rsidR="001A229E" w:rsidRPr="001A229E" w:rsidRDefault="001A229E" w:rsidP="001A229E">
            <w:pPr>
              <w:spacing w:after="0" w:line="240" w:lineRule="auto"/>
              <w:jc w:val="left"/>
              <w:rPr>
                <w:rFonts w:ascii="Times New Roman" w:eastAsia="Times New Roman" w:hAnsi="Times New Roman" w:cs="Times New Roman"/>
                <w:sz w:val="20"/>
                <w:szCs w:val="20"/>
                <w:lang w:val="en-US"/>
              </w:rPr>
            </w:pPr>
          </w:p>
        </w:tc>
      </w:tr>
      <w:tr w:rsidR="001A229E" w:rsidRPr="001A229E" w14:paraId="1921FAA8" w14:textId="77777777" w:rsidTr="001A229E">
        <w:trPr>
          <w:trHeight w:val="290"/>
        </w:trPr>
        <w:tc>
          <w:tcPr>
            <w:tcW w:w="1083" w:type="dxa"/>
            <w:tcBorders>
              <w:top w:val="nil"/>
              <w:left w:val="single" w:sz="8" w:space="0" w:color="auto"/>
              <w:bottom w:val="nil"/>
              <w:right w:val="nil"/>
            </w:tcBorders>
            <w:shd w:val="clear" w:color="auto" w:fill="auto"/>
            <w:noWrap/>
            <w:vAlign w:val="center"/>
            <w:hideMark/>
          </w:tcPr>
          <w:p w14:paraId="4A73266A" w14:textId="77777777" w:rsidR="001A229E" w:rsidRPr="001A229E" w:rsidRDefault="001A229E" w:rsidP="001A229E">
            <w:pPr>
              <w:spacing w:after="0" w:line="240" w:lineRule="auto"/>
              <w:jc w:val="left"/>
              <w:rPr>
                <w:rFonts w:eastAsia="Times New Roman" w:cs="Calibri"/>
                <w:color w:val="000000"/>
                <w:sz w:val="20"/>
                <w:szCs w:val="20"/>
                <w:lang w:val="en-US"/>
              </w:rPr>
            </w:pPr>
            <w:r w:rsidRPr="001A229E">
              <w:rPr>
                <w:rFonts w:eastAsia="Times New Roman" w:cs="Calibri"/>
                <w:color w:val="000000"/>
                <w:sz w:val="20"/>
                <w:szCs w:val="20"/>
                <w:lang w:val="en-US"/>
              </w:rPr>
              <w:t>5.1.3.03.06.</w:t>
            </w:r>
          </w:p>
        </w:tc>
        <w:tc>
          <w:tcPr>
            <w:tcW w:w="3508" w:type="dxa"/>
            <w:tcBorders>
              <w:top w:val="nil"/>
              <w:left w:val="single" w:sz="8" w:space="0" w:color="auto"/>
              <w:bottom w:val="nil"/>
              <w:right w:val="single" w:sz="8" w:space="0" w:color="auto"/>
            </w:tcBorders>
            <w:shd w:val="clear" w:color="auto" w:fill="auto"/>
            <w:vAlign w:val="center"/>
            <w:hideMark/>
          </w:tcPr>
          <w:p w14:paraId="3E957AB0" w14:textId="77777777" w:rsidR="001A229E" w:rsidRPr="001A229E" w:rsidRDefault="001A229E" w:rsidP="001A229E">
            <w:pPr>
              <w:spacing w:after="0" w:line="240" w:lineRule="auto"/>
              <w:jc w:val="left"/>
              <w:rPr>
                <w:rFonts w:eastAsia="Times New Roman" w:cs="Calibri"/>
                <w:color w:val="000000"/>
                <w:sz w:val="20"/>
                <w:szCs w:val="20"/>
              </w:rPr>
            </w:pPr>
            <w:r w:rsidRPr="001A229E">
              <w:rPr>
                <w:rFonts w:eastAsia="Times New Roman" w:cs="Calibri"/>
                <w:color w:val="000000"/>
                <w:sz w:val="20"/>
                <w:szCs w:val="20"/>
              </w:rPr>
              <w:t>Materiales y productos de plástico</w:t>
            </w:r>
          </w:p>
        </w:tc>
        <w:tc>
          <w:tcPr>
            <w:tcW w:w="1120" w:type="dxa"/>
            <w:tcBorders>
              <w:top w:val="nil"/>
              <w:left w:val="nil"/>
              <w:bottom w:val="nil"/>
              <w:right w:val="single" w:sz="8" w:space="0" w:color="auto"/>
            </w:tcBorders>
            <w:shd w:val="clear" w:color="000000" w:fill="FFFFFF"/>
            <w:noWrap/>
            <w:vAlign w:val="bottom"/>
            <w:hideMark/>
          </w:tcPr>
          <w:p w14:paraId="07908509"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246,50</w:t>
            </w:r>
          </w:p>
        </w:tc>
        <w:tc>
          <w:tcPr>
            <w:tcW w:w="1083" w:type="dxa"/>
            <w:tcBorders>
              <w:top w:val="nil"/>
              <w:left w:val="nil"/>
              <w:bottom w:val="nil"/>
              <w:right w:val="single" w:sz="8" w:space="0" w:color="auto"/>
            </w:tcBorders>
            <w:shd w:val="clear" w:color="000000" w:fill="FFFFFF"/>
            <w:noWrap/>
            <w:vAlign w:val="bottom"/>
            <w:hideMark/>
          </w:tcPr>
          <w:p w14:paraId="4E4C6E9B"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117,09</w:t>
            </w:r>
          </w:p>
        </w:tc>
        <w:tc>
          <w:tcPr>
            <w:tcW w:w="980" w:type="dxa"/>
            <w:tcBorders>
              <w:top w:val="nil"/>
              <w:left w:val="nil"/>
              <w:bottom w:val="nil"/>
              <w:right w:val="single" w:sz="8" w:space="0" w:color="auto"/>
            </w:tcBorders>
            <w:shd w:val="clear" w:color="000000" w:fill="FFFFFF"/>
            <w:noWrap/>
            <w:vAlign w:val="bottom"/>
            <w:hideMark/>
          </w:tcPr>
          <w:p w14:paraId="653BFCF5"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129,41</w:t>
            </w:r>
          </w:p>
        </w:tc>
        <w:tc>
          <w:tcPr>
            <w:tcW w:w="955" w:type="dxa"/>
            <w:tcBorders>
              <w:top w:val="nil"/>
              <w:left w:val="nil"/>
              <w:bottom w:val="nil"/>
              <w:right w:val="single" w:sz="8" w:space="0" w:color="auto"/>
            </w:tcBorders>
            <w:shd w:val="clear" w:color="auto" w:fill="auto"/>
            <w:noWrap/>
            <w:vAlign w:val="bottom"/>
            <w:hideMark/>
          </w:tcPr>
          <w:p w14:paraId="49643C3D" w14:textId="77777777" w:rsidR="001A229E" w:rsidRPr="001A229E" w:rsidRDefault="001A229E" w:rsidP="001A229E">
            <w:pPr>
              <w:spacing w:after="0" w:line="240" w:lineRule="auto"/>
              <w:jc w:val="center"/>
              <w:rPr>
                <w:rFonts w:eastAsia="Times New Roman" w:cs="Calibri"/>
                <w:color w:val="000000"/>
                <w:sz w:val="18"/>
                <w:szCs w:val="18"/>
                <w:lang w:val="en-US"/>
              </w:rPr>
            </w:pPr>
            <w:r w:rsidRPr="001A229E">
              <w:rPr>
                <w:rFonts w:eastAsia="Times New Roman" w:cs="Calibri"/>
                <w:color w:val="000000"/>
                <w:sz w:val="18"/>
                <w:szCs w:val="18"/>
                <w:lang w:val="en-US"/>
              </w:rPr>
              <w:t>110,52%</w:t>
            </w:r>
          </w:p>
        </w:tc>
        <w:tc>
          <w:tcPr>
            <w:tcW w:w="222" w:type="dxa"/>
            <w:vAlign w:val="center"/>
            <w:hideMark/>
          </w:tcPr>
          <w:p w14:paraId="2567C5F4" w14:textId="77777777" w:rsidR="001A229E" w:rsidRPr="001A229E" w:rsidRDefault="001A229E" w:rsidP="001A229E">
            <w:pPr>
              <w:spacing w:after="0" w:line="240" w:lineRule="auto"/>
              <w:jc w:val="left"/>
              <w:rPr>
                <w:rFonts w:ascii="Times New Roman" w:eastAsia="Times New Roman" w:hAnsi="Times New Roman" w:cs="Times New Roman"/>
                <w:sz w:val="20"/>
                <w:szCs w:val="20"/>
                <w:lang w:val="en-US"/>
              </w:rPr>
            </w:pPr>
          </w:p>
        </w:tc>
      </w:tr>
      <w:tr w:rsidR="001A229E" w:rsidRPr="001A229E" w14:paraId="35FFAC60" w14:textId="77777777" w:rsidTr="001A229E">
        <w:trPr>
          <w:trHeight w:val="530"/>
        </w:trPr>
        <w:tc>
          <w:tcPr>
            <w:tcW w:w="1083" w:type="dxa"/>
            <w:tcBorders>
              <w:top w:val="nil"/>
              <w:left w:val="single" w:sz="8" w:space="0" w:color="auto"/>
              <w:bottom w:val="nil"/>
              <w:right w:val="nil"/>
            </w:tcBorders>
            <w:shd w:val="clear" w:color="auto" w:fill="auto"/>
            <w:noWrap/>
            <w:vAlign w:val="center"/>
            <w:hideMark/>
          </w:tcPr>
          <w:p w14:paraId="4799D0C7" w14:textId="77777777" w:rsidR="001A229E" w:rsidRPr="001A229E" w:rsidRDefault="001A229E" w:rsidP="001A229E">
            <w:pPr>
              <w:spacing w:after="0" w:line="240" w:lineRule="auto"/>
              <w:jc w:val="left"/>
              <w:rPr>
                <w:rFonts w:eastAsia="Times New Roman" w:cs="Calibri"/>
                <w:color w:val="000000"/>
                <w:sz w:val="20"/>
                <w:szCs w:val="20"/>
                <w:lang w:val="en-US"/>
              </w:rPr>
            </w:pPr>
            <w:r w:rsidRPr="001A229E">
              <w:rPr>
                <w:rFonts w:eastAsia="Times New Roman" w:cs="Calibri"/>
                <w:color w:val="000000"/>
                <w:sz w:val="20"/>
                <w:szCs w:val="20"/>
                <w:lang w:val="en-US"/>
              </w:rPr>
              <w:t>5.1.3.03.99.</w:t>
            </w:r>
          </w:p>
        </w:tc>
        <w:tc>
          <w:tcPr>
            <w:tcW w:w="3508" w:type="dxa"/>
            <w:tcBorders>
              <w:top w:val="nil"/>
              <w:left w:val="single" w:sz="8" w:space="0" w:color="auto"/>
              <w:bottom w:val="nil"/>
              <w:right w:val="single" w:sz="8" w:space="0" w:color="auto"/>
            </w:tcBorders>
            <w:shd w:val="clear" w:color="auto" w:fill="auto"/>
            <w:vAlign w:val="center"/>
            <w:hideMark/>
          </w:tcPr>
          <w:p w14:paraId="72EB42A6" w14:textId="77777777" w:rsidR="001A229E" w:rsidRPr="001A229E" w:rsidRDefault="001A229E" w:rsidP="001A229E">
            <w:pPr>
              <w:spacing w:after="0" w:line="240" w:lineRule="auto"/>
              <w:jc w:val="left"/>
              <w:rPr>
                <w:rFonts w:eastAsia="Times New Roman" w:cs="Calibri"/>
                <w:color w:val="000000"/>
                <w:sz w:val="20"/>
                <w:szCs w:val="20"/>
              </w:rPr>
            </w:pPr>
            <w:r w:rsidRPr="001A229E">
              <w:rPr>
                <w:rFonts w:eastAsia="Times New Roman" w:cs="Calibri"/>
                <w:color w:val="000000"/>
                <w:sz w:val="20"/>
                <w:szCs w:val="20"/>
              </w:rPr>
              <w:t>Otros material y producto d/uso construcc mantenim</w:t>
            </w:r>
          </w:p>
        </w:tc>
        <w:tc>
          <w:tcPr>
            <w:tcW w:w="1120" w:type="dxa"/>
            <w:tcBorders>
              <w:top w:val="nil"/>
              <w:left w:val="nil"/>
              <w:bottom w:val="nil"/>
              <w:right w:val="single" w:sz="8" w:space="0" w:color="auto"/>
            </w:tcBorders>
            <w:shd w:val="clear" w:color="000000" w:fill="FFFFFF"/>
            <w:noWrap/>
            <w:vAlign w:val="bottom"/>
            <w:hideMark/>
          </w:tcPr>
          <w:p w14:paraId="4668CAC6"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87,14</w:t>
            </w:r>
          </w:p>
        </w:tc>
        <w:tc>
          <w:tcPr>
            <w:tcW w:w="1083" w:type="dxa"/>
            <w:tcBorders>
              <w:top w:val="nil"/>
              <w:left w:val="nil"/>
              <w:bottom w:val="nil"/>
              <w:right w:val="single" w:sz="8" w:space="0" w:color="auto"/>
            </w:tcBorders>
            <w:shd w:val="clear" w:color="000000" w:fill="FFFFFF"/>
            <w:noWrap/>
            <w:vAlign w:val="bottom"/>
            <w:hideMark/>
          </w:tcPr>
          <w:p w14:paraId="3D37DA22"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44,40</w:t>
            </w:r>
          </w:p>
        </w:tc>
        <w:tc>
          <w:tcPr>
            <w:tcW w:w="980" w:type="dxa"/>
            <w:tcBorders>
              <w:top w:val="nil"/>
              <w:left w:val="nil"/>
              <w:bottom w:val="nil"/>
              <w:right w:val="single" w:sz="8" w:space="0" w:color="auto"/>
            </w:tcBorders>
            <w:shd w:val="clear" w:color="000000" w:fill="FFFFFF"/>
            <w:noWrap/>
            <w:vAlign w:val="bottom"/>
            <w:hideMark/>
          </w:tcPr>
          <w:p w14:paraId="22B819C7"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42,74</w:t>
            </w:r>
          </w:p>
        </w:tc>
        <w:tc>
          <w:tcPr>
            <w:tcW w:w="955" w:type="dxa"/>
            <w:tcBorders>
              <w:top w:val="nil"/>
              <w:left w:val="nil"/>
              <w:bottom w:val="nil"/>
              <w:right w:val="single" w:sz="8" w:space="0" w:color="auto"/>
            </w:tcBorders>
            <w:shd w:val="clear" w:color="auto" w:fill="auto"/>
            <w:noWrap/>
            <w:vAlign w:val="bottom"/>
            <w:hideMark/>
          </w:tcPr>
          <w:p w14:paraId="0BC1AF74" w14:textId="77777777" w:rsidR="001A229E" w:rsidRPr="001A229E" w:rsidRDefault="001A229E" w:rsidP="001A229E">
            <w:pPr>
              <w:spacing w:after="0" w:line="240" w:lineRule="auto"/>
              <w:jc w:val="center"/>
              <w:rPr>
                <w:rFonts w:eastAsia="Times New Roman" w:cs="Calibri"/>
                <w:color w:val="000000"/>
                <w:sz w:val="18"/>
                <w:szCs w:val="18"/>
                <w:lang w:val="en-US"/>
              </w:rPr>
            </w:pPr>
            <w:r w:rsidRPr="001A229E">
              <w:rPr>
                <w:rFonts w:eastAsia="Times New Roman" w:cs="Calibri"/>
                <w:color w:val="000000"/>
                <w:sz w:val="18"/>
                <w:szCs w:val="18"/>
                <w:lang w:val="en-US"/>
              </w:rPr>
              <w:t>96,27%</w:t>
            </w:r>
          </w:p>
        </w:tc>
        <w:tc>
          <w:tcPr>
            <w:tcW w:w="222" w:type="dxa"/>
            <w:vAlign w:val="center"/>
            <w:hideMark/>
          </w:tcPr>
          <w:p w14:paraId="2074A58C" w14:textId="77777777" w:rsidR="001A229E" w:rsidRPr="001A229E" w:rsidRDefault="001A229E" w:rsidP="001A229E">
            <w:pPr>
              <w:spacing w:after="0" w:line="240" w:lineRule="auto"/>
              <w:jc w:val="left"/>
              <w:rPr>
                <w:rFonts w:ascii="Times New Roman" w:eastAsia="Times New Roman" w:hAnsi="Times New Roman" w:cs="Times New Roman"/>
                <w:sz w:val="20"/>
                <w:szCs w:val="20"/>
                <w:lang w:val="en-US"/>
              </w:rPr>
            </w:pPr>
          </w:p>
        </w:tc>
      </w:tr>
      <w:tr w:rsidR="001A229E" w:rsidRPr="001A229E" w14:paraId="7D8D4903" w14:textId="77777777" w:rsidTr="001A229E">
        <w:trPr>
          <w:trHeight w:val="300"/>
        </w:trPr>
        <w:tc>
          <w:tcPr>
            <w:tcW w:w="1083" w:type="dxa"/>
            <w:tcBorders>
              <w:top w:val="nil"/>
              <w:left w:val="single" w:sz="8" w:space="0" w:color="auto"/>
              <w:bottom w:val="nil"/>
              <w:right w:val="nil"/>
            </w:tcBorders>
            <w:shd w:val="clear" w:color="auto" w:fill="auto"/>
            <w:noWrap/>
            <w:vAlign w:val="center"/>
            <w:hideMark/>
          </w:tcPr>
          <w:p w14:paraId="2C84A16A" w14:textId="77777777" w:rsidR="001A229E" w:rsidRPr="001A229E" w:rsidRDefault="001A229E" w:rsidP="001A229E">
            <w:pPr>
              <w:spacing w:after="0" w:line="240" w:lineRule="auto"/>
              <w:jc w:val="left"/>
              <w:rPr>
                <w:rFonts w:eastAsia="Times New Roman" w:cs="Calibri"/>
                <w:b/>
                <w:bCs/>
                <w:color w:val="000000"/>
                <w:sz w:val="20"/>
                <w:szCs w:val="20"/>
                <w:lang w:val="en-US"/>
              </w:rPr>
            </w:pPr>
            <w:r w:rsidRPr="001A229E">
              <w:rPr>
                <w:rFonts w:eastAsia="Times New Roman" w:cs="Calibri"/>
                <w:b/>
                <w:bCs/>
                <w:color w:val="000000"/>
                <w:sz w:val="20"/>
                <w:szCs w:val="20"/>
                <w:lang w:val="en-US"/>
              </w:rPr>
              <w:t>5.1.3.04.</w:t>
            </w:r>
          </w:p>
        </w:tc>
        <w:tc>
          <w:tcPr>
            <w:tcW w:w="3508" w:type="dxa"/>
            <w:tcBorders>
              <w:top w:val="nil"/>
              <w:left w:val="single" w:sz="8" w:space="0" w:color="auto"/>
              <w:bottom w:val="nil"/>
              <w:right w:val="single" w:sz="8" w:space="0" w:color="auto"/>
            </w:tcBorders>
            <w:shd w:val="clear" w:color="auto" w:fill="auto"/>
            <w:vAlign w:val="center"/>
            <w:hideMark/>
          </w:tcPr>
          <w:p w14:paraId="77311E5F" w14:textId="77777777" w:rsidR="001A229E" w:rsidRPr="001A229E" w:rsidRDefault="001A229E" w:rsidP="001A229E">
            <w:pPr>
              <w:spacing w:after="0" w:line="240" w:lineRule="auto"/>
              <w:jc w:val="left"/>
              <w:rPr>
                <w:rFonts w:eastAsia="Times New Roman" w:cs="Calibri"/>
                <w:b/>
                <w:bCs/>
                <w:color w:val="000000"/>
                <w:sz w:val="20"/>
                <w:szCs w:val="20"/>
                <w:lang w:val="en-US"/>
              </w:rPr>
            </w:pPr>
            <w:r w:rsidRPr="001A229E">
              <w:rPr>
                <w:rFonts w:eastAsia="Times New Roman" w:cs="Calibri"/>
                <w:b/>
                <w:bCs/>
                <w:color w:val="000000"/>
                <w:sz w:val="20"/>
                <w:szCs w:val="20"/>
                <w:lang w:val="en-US"/>
              </w:rPr>
              <w:t>Herramientas, repuestos y accesorios</w:t>
            </w:r>
          </w:p>
        </w:tc>
        <w:tc>
          <w:tcPr>
            <w:tcW w:w="1120" w:type="dxa"/>
            <w:tcBorders>
              <w:top w:val="single" w:sz="8" w:space="0" w:color="auto"/>
              <w:left w:val="nil"/>
              <w:bottom w:val="single" w:sz="8" w:space="0" w:color="auto"/>
              <w:right w:val="single" w:sz="8" w:space="0" w:color="auto"/>
            </w:tcBorders>
            <w:shd w:val="clear" w:color="000000" w:fill="FFFFFF"/>
            <w:noWrap/>
            <w:vAlign w:val="bottom"/>
            <w:hideMark/>
          </w:tcPr>
          <w:p w14:paraId="32670B90" w14:textId="77777777" w:rsidR="001A229E" w:rsidRPr="001A229E" w:rsidRDefault="001A229E" w:rsidP="001A229E">
            <w:pPr>
              <w:spacing w:after="0" w:line="240" w:lineRule="auto"/>
              <w:jc w:val="right"/>
              <w:rPr>
                <w:rFonts w:eastAsia="Times New Roman" w:cs="Calibri"/>
                <w:b/>
                <w:bCs/>
                <w:color w:val="000000"/>
                <w:sz w:val="18"/>
                <w:szCs w:val="18"/>
                <w:lang w:val="en-US"/>
              </w:rPr>
            </w:pPr>
            <w:r w:rsidRPr="001A229E">
              <w:rPr>
                <w:rFonts w:eastAsia="Times New Roman" w:cs="Calibri"/>
                <w:b/>
                <w:bCs/>
                <w:color w:val="000000"/>
                <w:sz w:val="18"/>
                <w:szCs w:val="18"/>
                <w:lang w:val="en-US"/>
              </w:rPr>
              <w:t>56 951,92</w:t>
            </w:r>
          </w:p>
        </w:tc>
        <w:tc>
          <w:tcPr>
            <w:tcW w:w="1083" w:type="dxa"/>
            <w:tcBorders>
              <w:top w:val="single" w:sz="8" w:space="0" w:color="auto"/>
              <w:left w:val="nil"/>
              <w:bottom w:val="single" w:sz="8" w:space="0" w:color="auto"/>
              <w:right w:val="single" w:sz="8" w:space="0" w:color="auto"/>
            </w:tcBorders>
            <w:shd w:val="clear" w:color="000000" w:fill="FFFFFF"/>
            <w:noWrap/>
            <w:vAlign w:val="bottom"/>
            <w:hideMark/>
          </w:tcPr>
          <w:p w14:paraId="36336044" w14:textId="77777777" w:rsidR="001A229E" w:rsidRPr="001A229E" w:rsidRDefault="001A229E" w:rsidP="001A229E">
            <w:pPr>
              <w:spacing w:after="0" w:line="240" w:lineRule="auto"/>
              <w:jc w:val="right"/>
              <w:rPr>
                <w:rFonts w:eastAsia="Times New Roman" w:cs="Calibri"/>
                <w:b/>
                <w:bCs/>
                <w:color w:val="000000"/>
                <w:sz w:val="18"/>
                <w:szCs w:val="18"/>
                <w:lang w:val="en-US"/>
              </w:rPr>
            </w:pPr>
            <w:r w:rsidRPr="001A229E">
              <w:rPr>
                <w:rFonts w:eastAsia="Times New Roman" w:cs="Calibri"/>
                <w:b/>
                <w:bCs/>
                <w:color w:val="000000"/>
                <w:sz w:val="18"/>
                <w:szCs w:val="18"/>
                <w:lang w:val="en-US"/>
              </w:rPr>
              <w:t>64 789,83</w:t>
            </w:r>
          </w:p>
        </w:tc>
        <w:tc>
          <w:tcPr>
            <w:tcW w:w="980" w:type="dxa"/>
            <w:tcBorders>
              <w:top w:val="single" w:sz="8" w:space="0" w:color="auto"/>
              <w:left w:val="nil"/>
              <w:bottom w:val="single" w:sz="8" w:space="0" w:color="auto"/>
              <w:right w:val="single" w:sz="8" w:space="0" w:color="auto"/>
            </w:tcBorders>
            <w:shd w:val="clear" w:color="000000" w:fill="FFFFFF"/>
            <w:noWrap/>
            <w:vAlign w:val="bottom"/>
            <w:hideMark/>
          </w:tcPr>
          <w:p w14:paraId="6C00D915" w14:textId="77777777" w:rsidR="001A229E" w:rsidRPr="001A229E" w:rsidRDefault="001A229E" w:rsidP="001A229E">
            <w:pPr>
              <w:spacing w:after="0" w:line="240" w:lineRule="auto"/>
              <w:jc w:val="right"/>
              <w:rPr>
                <w:rFonts w:eastAsia="Times New Roman" w:cs="Calibri"/>
                <w:b/>
                <w:bCs/>
                <w:color w:val="000000"/>
                <w:sz w:val="18"/>
                <w:szCs w:val="18"/>
                <w:lang w:val="en-US"/>
              </w:rPr>
            </w:pPr>
            <w:r w:rsidRPr="001A229E">
              <w:rPr>
                <w:rFonts w:eastAsia="Times New Roman" w:cs="Calibri"/>
                <w:b/>
                <w:bCs/>
                <w:color w:val="000000"/>
                <w:sz w:val="18"/>
                <w:szCs w:val="18"/>
                <w:lang w:val="en-US"/>
              </w:rPr>
              <w:t>-7 837,91</w:t>
            </w:r>
          </w:p>
        </w:tc>
        <w:tc>
          <w:tcPr>
            <w:tcW w:w="955" w:type="dxa"/>
            <w:tcBorders>
              <w:top w:val="single" w:sz="8" w:space="0" w:color="auto"/>
              <w:left w:val="nil"/>
              <w:bottom w:val="single" w:sz="8" w:space="0" w:color="auto"/>
              <w:right w:val="single" w:sz="8" w:space="0" w:color="auto"/>
            </w:tcBorders>
            <w:shd w:val="clear" w:color="auto" w:fill="auto"/>
            <w:noWrap/>
            <w:vAlign w:val="bottom"/>
            <w:hideMark/>
          </w:tcPr>
          <w:p w14:paraId="7794E64C" w14:textId="77777777" w:rsidR="001A229E" w:rsidRPr="001A229E" w:rsidRDefault="001A229E" w:rsidP="001A229E">
            <w:pPr>
              <w:spacing w:after="0" w:line="240" w:lineRule="auto"/>
              <w:jc w:val="center"/>
              <w:rPr>
                <w:rFonts w:eastAsia="Times New Roman" w:cs="Calibri"/>
                <w:b/>
                <w:bCs/>
                <w:color w:val="000000"/>
                <w:sz w:val="18"/>
                <w:szCs w:val="18"/>
                <w:lang w:val="en-US"/>
              </w:rPr>
            </w:pPr>
            <w:r w:rsidRPr="001A229E">
              <w:rPr>
                <w:rFonts w:eastAsia="Times New Roman" w:cs="Calibri"/>
                <w:b/>
                <w:bCs/>
                <w:color w:val="000000"/>
                <w:sz w:val="18"/>
                <w:szCs w:val="18"/>
                <w:lang w:val="en-US"/>
              </w:rPr>
              <w:t>-12,10%</w:t>
            </w:r>
          </w:p>
        </w:tc>
        <w:tc>
          <w:tcPr>
            <w:tcW w:w="222" w:type="dxa"/>
            <w:vAlign w:val="center"/>
            <w:hideMark/>
          </w:tcPr>
          <w:p w14:paraId="2653F290" w14:textId="77777777" w:rsidR="001A229E" w:rsidRPr="001A229E" w:rsidRDefault="001A229E" w:rsidP="001A229E">
            <w:pPr>
              <w:spacing w:after="0" w:line="240" w:lineRule="auto"/>
              <w:jc w:val="left"/>
              <w:rPr>
                <w:rFonts w:ascii="Times New Roman" w:eastAsia="Times New Roman" w:hAnsi="Times New Roman" w:cs="Times New Roman"/>
                <w:sz w:val="20"/>
                <w:szCs w:val="20"/>
                <w:lang w:val="en-US"/>
              </w:rPr>
            </w:pPr>
          </w:p>
        </w:tc>
      </w:tr>
      <w:tr w:rsidR="001A229E" w:rsidRPr="001A229E" w14:paraId="4B91C9CA" w14:textId="77777777" w:rsidTr="001A229E">
        <w:trPr>
          <w:trHeight w:val="290"/>
        </w:trPr>
        <w:tc>
          <w:tcPr>
            <w:tcW w:w="1083" w:type="dxa"/>
            <w:tcBorders>
              <w:top w:val="nil"/>
              <w:left w:val="single" w:sz="8" w:space="0" w:color="auto"/>
              <w:bottom w:val="nil"/>
              <w:right w:val="nil"/>
            </w:tcBorders>
            <w:shd w:val="clear" w:color="auto" w:fill="auto"/>
            <w:noWrap/>
            <w:vAlign w:val="center"/>
            <w:hideMark/>
          </w:tcPr>
          <w:p w14:paraId="3036FBF7" w14:textId="77777777" w:rsidR="001A229E" w:rsidRPr="001A229E" w:rsidRDefault="001A229E" w:rsidP="001A229E">
            <w:pPr>
              <w:spacing w:after="0" w:line="240" w:lineRule="auto"/>
              <w:jc w:val="left"/>
              <w:rPr>
                <w:rFonts w:eastAsia="Times New Roman" w:cs="Calibri"/>
                <w:color w:val="000000"/>
                <w:sz w:val="20"/>
                <w:szCs w:val="20"/>
                <w:lang w:val="en-US"/>
              </w:rPr>
            </w:pPr>
            <w:r w:rsidRPr="001A229E">
              <w:rPr>
                <w:rFonts w:eastAsia="Times New Roman" w:cs="Calibri"/>
                <w:color w:val="000000"/>
                <w:sz w:val="20"/>
                <w:szCs w:val="20"/>
                <w:lang w:val="en-US"/>
              </w:rPr>
              <w:t>5.1.3.04.01.</w:t>
            </w:r>
          </w:p>
        </w:tc>
        <w:tc>
          <w:tcPr>
            <w:tcW w:w="3508" w:type="dxa"/>
            <w:tcBorders>
              <w:top w:val="nil"/>
              <w:left w:val="single" w:sz="8" w:space="0" w:color="auto"/>
              <w:bottom w:val="nil"/>
              <w:right w:val="single" w:sz="8" w:space="0" w:color="auto"/>
            </w:tcBorders>
            <w:shd w:val="clear" w:color="auto" w:fill="auto"/>
            <w:vAlign w:val="center"/>
            <w:hideMark/>
          </w:tcPr>
          <w:p w14:paraId="486D0095" w14:textId="77777777" w:rsidR="001A229E" w:rsidRPr="001A229E" w:rsidRDefault="001A229E" w:rsidP="001A229E">
            <w:pPr>
              <w:spacing w:after="0" w:line="240" w:lineRule="auto"/>
              <w:jc w:val="left"/>
              <w:rPr>
                <w:rFonts w:eastAsia="Times New Roman" w:cs="Calibri"/>
                <w:color w:val="000000"/>
                <w:sz w:val="20"/>
                <w:szCs w:val="20"/>
                <w:lang w:val="en-US"/>
              </w:rPr>
            </w:pPr>
            <w:r w:rsidRPr="001A229E">
              <w:rPr>
                <w:rFonts w:eastAsia="Times New Roman" w:cs="Calibri"/>
                <w:color w:val="000000"/>
                <w:sz w:val="20"/>
                <w:szCs w:val="20"/>
                <w:lang w:val="en-US"/>
              </w:rPr>
              <w:t>Herramientas e instrumentos</w:t>
            </w:r>
          </w:p>
        </w:tc>
        <w:tc>
          <w:tcPr>
            <w:tcW w:w="1120" w:type="dxa"/>
            <w:tcBorders>
              <w:top w:val="nil"/>
              <w:left w:val="nil"/>
              <w:bottom w:val="nil"/>
              <w:right w:val="single" w:sz="8" w:space="0" w:color="auto"/>
            </w:tcBorders>
            <w:shd w:val="clear" w:color="000000" w:fill="FFFFFF"/>
            <w:noWrap/>
            <w:vAlign w:val="bottom"/>
            <w:hideMark/>
          </w:tcPr>
          <w:p w14:paraId="18BC2368"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0,00</w:t>
            </w:r>
          </w:p>
        </w:tc>
        <w:tc>
          <w:tcPr>
            <w:tcW w:w="1083" w:type="dxa"/>
            <w:tcBorders>
              <w:top w:val="nil"/>
              <w:left w:val="nil"/>
              <w:bottom w:val="nil"/>
              <w:right w:val="single" w:sz="8" w:space="0" w:color="auto"/>
            </w:tcBorders>
            <w:shd w:val="clear" w:color="000000" w:fill="FFFFFF"/>
            <w:noWrap/>
            <w:vAlign w:val="bottom"/>
            <w:hideMark/>
          </w:tcPr>
          <w:p w14:paraId="04A70701"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499,86</w:t>
            </w:r>
          </w:p>
        </w:tc>
        <w:tc>
          <w:tcPr>
            <w:tcW w:w="980" w:type="dxa"/>
            <w:tcBorders>
              <w:top w:val="nil"/>
              <w:left w:val="nil"/>
              <w:bottom w:val="nil"/>
              <w:right w:val="single" w:sz="8" w:space="0" w:color="auto"/>
            </w:tcBorders>
            <w:shd w:val="clear" w:color="000000" w:fill="FFFFFF"/>
            <w:noWrap/>
            <w:vAlign w:val="bottom"/>
            <w:hideMark/>
          </w:tcPr>
          <w:p w14:paraId="16C46A03"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-499,86</w:t>
            </w:r>
          </w:p>
        </w:tc>
        <w:tc>
          <w:tcPr>
            <w:tcW w:w="955" w:type="dxa"/>
            <w:tcBorders>
              <w:top w:val="nil"/>
              <w:left w:val="nil"/>
              <w:bottom w:val="nil"/>
              <w:right w:val="single" w:sz="8" w:space="0" w:color="auto"/>
            </w:tcBorders>
            <w:shd w:val="clear" w:color="auto" w:fill="auto"/>
            <w:noWrap/>
            <w:vAlign w:val="bottom"/>
            <w:hideMark/>
          </w:tcPr>
          <w:p w14:paraId="0823B4DC" w14:textId="77777777" w:rsidR="001A229E" w:rsidRPr="001A229E" w:rsidRDefault="001A229E" w:rsidP="001A229E">
            <w:pPr>
              <w:spacing w:after="0" w:line="240" w:lineRule="auto"/>
              <w:jc w:val="center"/>
              <w:rPr>
                <w:rFonts w:eastAsia="Times New Roman" w:cs="Calibri"/>
                <w:color w:val="000000"/>
                <w:sz w:val="18"/>
                <w:szCs w:val="18"/>
                <w:lang w:val="en-US"/>
              </w:rPr>
            </w:pPr>
            <w:r w:rsidRPr="001A229E">
              <w:rPr>
                <w:rFonts w:eastAsia="Times New Roman" w:cs="Calibri"/>
                <w:color w:val="000000"/>
                <w:sz w:val="18"/>
                <w:szCs w:val="18"/>
                <w:lang w:val="en-US"/>
              </w:rPr>
              <w:t>-100,00%</w:t>
            </w:r>
          </w:p>
        </w:tc>
        <w:tc>
          <w:tcPr>
            <w:tcW w:w="222" w:type="dxa"/>
            <w:vAlign w:val="center"/>
            <w:hideMark/>
          </w:tcPr>
          <w:p w14:paraId="5CDDFF23" w14:textId="77777777" w:rsidR="001A229E" w:rsidRPr="001A229E" w:rsidRDefault="001A229E" w:rsidP="001A229E">
            <w:pPr>
              <w:spacing w:after="0" w:line="240" w:lineRule="auto"/>
              <w:jc w:val="left"/>
              <w:rPr>
                <w:rFonts w:ascii="Times New Roman" w:eastAsia="Times New Roman" w:hAnsi="Times New Roman" w:cs="Times New Roman"/>
                <w:sz w:val="20"/>
                <w:szCs w:val="20"/>
                <w:lang w:val="en-US"/>
              </w:rPr>
            </w:pPr>
          </w:p>
        </w:tc>
      </w:tr>
      <w:tr w:rsidR="001A229E" w:rsidRPr="001A229E" w14:paraId="66421650" w14:textId="77777777" w:rsidTr="001A229E">
        <w:trPr>
          <w:trHeight w:val="300"/>
        </w:trPr>
        <w:tc>
          <w:tcPr>
            <w:tcW w:w="1083" w:type="dxa"/>
            <w:tcBorders>
              <w:top w:val="nil"/>
              <w:left w:val="single" w:sz="8" w:space="0" w:color="auto"/>
              <w:bottom w:val="nil"/>
              <w:right w:val="nil"/>
            </w:tcBorders>
            <w:shd w:val="clear" w:color="auto" w:fill="auto"/>
            <w:noWrap/>
            <w:vAlign w:val="center"/>
            <w:hideMark/>
          </w:tcPr>
          <w:p w14:paraId="32F72FB0" w14:textId="77777777" w:rsidR="001A229E" w:rsidRPr="001A229E" w:rsidRDefault="001A229E" w:rsidP="001A229E">
            <w:pPr>
              <w:spacing w:after="0" w:line="240" w:lineRule="auto"/>
              <w:jc w:val="left"/>
              <w:rPr>
                <w:rFonts w:eastAsia="Times New Roman" w:cs="Calibri"/>
                <w:color w:val="000000"/>
                <w:sz w:val="20"/>
                <w:szCs w:val="20"/>
                <w:lang w:val="en-US"/>
              </w:rPr>
            </w:pPr>
            <w:r w:rsidRPr="001A229E">
              <w:rPr>
                <w:rFonts w:eastAsia="Times New Roman" w:cs="Calibri"/>
                <w:color w:val="000000"/>
                <w:sz w:val="20"/>
                <w:szCs w:val="20"/>
                <w:lang w:val="en-US"/>
              </w:rPr>
              <w:t>5.1.3.04.02.</w:t>
            </w:r>
          </w:p>
        </w:tc>
        <w:tc>
          <w:tcPr>
            <w:tcW w:w="3508" w:type="dxa"/>
            <w:tcBorders>
              <w:top w:val="nil"/>
              <w:left w:val="single" w:sz="8" w:space="0" w:color="auto"/>
              <w:bottom w:val="nil"/>
              <w:right w:val="single" w:sz="8" w:space="0" w:color="auto"/>
            </w:tcBorders>
            <w:shd w:val="clear" w:color="000000" w:fill="FFFFFF"/>
            <w:vAlign w:val="center"/>
            <w:hideMark/>
          </w:tcPr>
          <w:p w14:paraId="4FED3C97" w14:textId="77777777" w:rsidR="001A229E" w:rsidRPr="001A229E" w:rsidRDefault="001A229E" w:rsidP="001A229E">
            <w:pPr>
              <w:spacing w:after="0" w:line="240" w:lineRule="auto"/>
              <w:jc w:val="left"/>
              <w:rPr>
                <w:rFonts w:eastAsia="Times New Roman" w:cs="Calibri"/>
                <w:color w:val="000000"/>
                <w:sz w:val="20"/>
                <w:szCs w:val="20"/>
                <w:lang w:val="en-US"/>
              </w:rPr>
            </w:pPr>
            <w:r w:rsidRPr="001A229E">
              <w:rPr>
                <w:rFonts w:eastAsia="Times New Roman" w:cs="Calibri"/>
                <w:color w:val="000000"/>
                <w:sz w:val="20"/>
                <w:szCs w:val="20"/>
                <w:lang w:val="en-US"/>
              </w:rPr>
              <w:t>Repuestos y accesorios</w:t>
            </w:r>
          </w:p>
        </w:tc>
        <w:tc>
          <w:tcPr>
            <w:tcW w:w="1120" w:type="dxa"/>
            <w:tcBorders>
              <w:top w:val="nil"/>
              <w:left w:val="nil"/>
              <w:bottom w:val="nil"/>
              <w:right w:val="single" w:sz="8" w:space="0" w:color="auto"/>
            </w:tcBorders>
            <w:shd w:val="clear" w:color="000000" w:fill="FFFFFF"/>
            <w:noWrap/>
            <w:vAlign w:val="bottom"/>
            <w:hideMark/>
          </w:tcPr>
          <w:p w14:paraId="5B3A5BE6"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56 951,92</w:t>
            </w:r>
          </w:p>
        </w:tc>
        <w:tc>
          <w:tcPr>
            <w:tcW w:w="1083" w:type="dxa"/>
            <w:tcBorders>
              <w:top w:val="nil"/>
              <w:left w:val="nil"/>
              <w:bottom w:val="nil"/>
              <w:right w:val="single" w:sz="8" w:space="0" w:color="auto"/>
            </w:tcBorders>
            <w:shd w:val="clear" w:color="000000" w:fill="FFFFFF"/>
            <w:noWrap/>
            <w:vAlign w:val="bottom"/>
            <w:hideMark/>
          </w:tcPr>
          <w:p w14:paraId="68E467BC"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64 289,98</w:t>
            </w:r>
          </w:p>
        </w:tc>
        <w:tc>
          <w:tcPr>
            <w:tcW w:w="980" w:type="dxa"/>
            <w:tcBorders>
              <w:top w:val="nil"/>
              <w:left w:val="nil"/>
              <w:bottom w:val="nil"/>
              <w:right w:val="single" w:sz="8" w:space="0" w:color="auto"/>
            </w:tcBorders>
            <w:shd w:val="clear" w:color="000000" w:fill="FFFFFF"/>
            <w:noWrap/>
            <w:vAlign w:val="bottom"/>
            <w:hideMark/>
          </w:tcPr>
          <w:p w14:paraId="1D6C87B1"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-7 338,06</w:t>
            </w:r>
          </w:p>
        </w:tc>
        <w:tc>
          <w:tcPr>
            <w:tcW w:w="955" w:type="dxa"/>
            <w:tcBorders>
              <w:top w:val="nil"/>
              <w:left w:val="nil"/>
              <w:bottom w:val="nil"/>
              <w:right w:val="single" w:sz="8" w:space="0" w:color="auto"/>
            </w:tcBorders>
            <w:shd w:val="clear" w:color="auto" w:fill="auto"/>
            <w:noWrap/>
            <w:vAlign w:val="bottom"/>
            <w:hideMark/>
          </w:tcPr>
          <w:p w14:paraId="679E5675" w14:textId="77777777" w:rsidR="001A229E" w:rsidRPr="001A229E" w:rsidRDefault="001A229E" w:rsidP="001A229E">
            <w:pPr>
              <w:spacing w:after="0" w:line="240" w:lineRule="auto"/>
              <w:jc w:val="center"/>
              <w:rPr>
                <w:rFonts w:eastAsia="Times New Roman" w:cs="Calibri"/>
                <w:color w:val="000000"/>
                <w:sz w:val="18"/>
                <w:szCs w:val="18"/>
                <w:lang w:val="en-US"/>
              </w:rPr>
            </w:pPr>
            <w:r w:rsidRPr="001A229E">
              <w:rPr>
                <w:rFonts w:eastAsia="Times New Roman" w:cs="Calibri"/>
                <w:color w:val="000000"/>
                <w:sz w:val="18"/>
                <w:szCs w:val="18"/>
                <w:lang w:val="en-US"/>
              </w:rPr>
              <w:t>-11,41%</w:t>
            </w:r>
          </w:p>
        </w:tc>
        <w:tc>
          <w:tcPr>
            <w:tcW w:w="222" w:type="dxa"/>
            <w:vAlign w:val="center"/>
            <w:hideMark/>
          </w:tcPr>
          <w:p w14:paraId="4067B972" w14:textId="77777777" w:rsidR="001A229E" w:rsidRPr="001A229E" w:rsidRDefault="001A229E" w:rsidP="001A229E">
            <w:pPr>
              <w:spacing w:after="0" w:line="240" w:lineRule="auto"/>
              <w:jc w:val="left"/>
              <w:rPr>
                <w:rFonts w:ascii="Times New Roman" w:eastAsia="Times New Roman" w:hAnsi="Times New Roman" w:cs="Times New Roman"/>
                <w:sz w:val="20"/>
                <w:szCs w:val="20"/>
                <w:lang w:val="en-US"/>
              </w:rPr>
            </w:pPr>
          </w:p>
        </w:tc>
      </w:tr>
      <w:tr w:rsidR="001A229E" w:rsidRPr="001A229E" w14:paraId="525472E8" w14:textId="77777777" w:rsidTr="001A229E">
        <w:trPr>
          <w:trHeight w:val="300"/>
        </w:trPr>
        <w:tc>
          <w:tcPr>
            <w:tcW w:w="1083" w:type="dxa"/>
            <w:tcBorders>
              <w:top w:val="nil"/>
              <w:left w:val="single" w:sz="8" w:space="0" w:color="auto"/>
              <w:bottom w:val="nil"/>
              <w:right w:val="nil"/>
            </w:tcBorders>
            <w:shd w:val="clear" w:color="auto" w:fill="auto"/>
            <w:noWrap/>
            <w:vAlign w:val="center"/>
            <w:hideMark/>
          </w:tcPr>
          <w:p w14:paraId="105EFB58" w14:textId="77777777" w:rsidR="001A229E" w:rsidRPr="001A229E" w:rsidRDefault="001A229E" w:rsidP="001A229E">
            <w:pPr>
              <w:spacing w:after="0" w:line="240" w:lineRule="auto"/>
              <w:jc w:val="left"/>
              <w:rPr>
                <w:rFonts w:eastAsia="Times New Roman" w:cs="Calibri"/>
                <w:b/>
                <w:bCs/>
                <w:color w:val="000000"/>
                <w:sz w:val="20"/>
                <w:szCs w:val="20"/>
                <w:lang w:val="en-US"/>
              </w:rPr>
            </w:pPr>
            <w:r w:rsidRPr="001A229E">
              <w:rPr>
                <w:rFonts w:eastAsia="Times New Roman" w:cs="Calibri"/>
                <w:b/>
                <w:bCs/>
                <w:color w:val="000000"/>
                <w:sz w:val="20"/>
                <w:szCs w:val="20"/>
                <w:lang w:val="en-US"/>
              </w:rPr>
              <w:t>5.1.3.99.</w:t>
            </w:r>
          </w:p>
        </w:tc>
        <w:tc>
          <w:tcPr>
            <w:tcW w:w="3508" w:type="dxa"/>
            <w:tcBorders>
              <w:top w:val="nil"/>
              <w:left w:val="single" w:sz="8" w:space="0" w:color="auto"/>
              <w:bottom w:val="nil"/>
              <w:right w:val="single" w:sz="8" w:space="0" w:color="auto"/>
            </w:tcBorders>
            <w:shd w:val="clear" w:color="auto" w:fill="auto"/>
            <w:vAlign w:val="center"/>
            <w:hideMark/>
          </w:tcPr>
          <w:p w14:paraId="26DD113F" w14:textId="77777777" w:rsidR="001A229E" w:rsidRPr="001A229E" w:rsidRDefault="001A229E" w:rsidP="001A229E">
            <w:pPr>
              <w:spacing w:after="0" w:line="240" w:lineRule="auto"/>
              <w:jc w:val="left"/>
              <w:rPr>
                <w:rFonts w:eastAsia="Times New Roman" w:cs="Calibri"/>
                <w:b/>
                <w:bCs/>
                <w:color w:val="000000"/>
                <w:sz w:val="20"/>
                <w:szCs w:val="20"/>
              </w:rPr>
            </w:pPr>
            <w:r w:rsidRPr="001A229E">
              <w:rPr>
                <w:rFonts w:eastAsia="Times New Roman" w:cs="Calibri"/>
                <w:b/>
                <w:bCs/>
                <w:color w:val="000000"/>
                <w:sz w:val="20"/>
                <w:szCs w:val="20"/>
              </w:rPr>
              <w:t>Útiles, materiales y suministros diversos</w:t>
            </w:r>
          </w:p>
        </w:tc>
        <w:tc>
          <w:tcPr>
            <w:tcW w:w="1120" w:type="dxa"/>
            <w:tcBorders>
              <w:top w:val="single" w:sz="8" w:space="0" w:color="auto"/>
              <w:left w:val="nil"/>
              <w:bottom w:val="single" w:sz="8" w:space="0" w:color="auto"/>
              <w:right w:val="single" w:sz="8" w:space="0" w:color="auto"/>
            </w:tcBorders>
            <w:shd w:val="clear" w:color="000000" w:fill="FFFFFF"/>
            <w:noWrap/>
            <w:vAlign w:val="bottom"/>
            <w:hideMark/>
          </w:tcPr>
          <w:p w14:paraId="09EB7329" w14:textId="77777777" w:rsidR="001A229E" w:rsidRPr="001A229E" w:rsidRDefault="001A229E" w:rsidP="001A229E">
            <w:pPr>
              <w:spacing w:after="0" w:line="240" w:lineRule="auto"/>
              <w:jc w:val="right"/>
              <w:rPr>
                <w:rFonts w:eastAsia="Times New Roman" w:cs="Calibri"/>
                <w:b/>
                <w:bCs/>
                <w:color w:val="000000"/>
                <w:sz w:val="18"/>
                <w:szCs w:val="18"/>
                <w:lang w:val="en-US"/>
              </w:rPr>
            </w:pPr>
            <w:r w:rsidRPr="001A229E">
              <w:rPr>
                <w:rFonts w:eastAsia="Times New Roman" w:cs="Calibri"/>
                <w:b/>
                <w:bCs/>
                <w:color w:val="000000"/>
                <w:sz w:val="18"/>
                <w:szCs w:val="18"/>
                <w:lang w:val="en-US"/>
              </w:rPr>
              <w:t>25 361,78</w:t>
            </w:r>
          </w:p>
        </w:tc>
        <w:tc>
          <w:tcPr>
            <w:tcW w:w="1083" w:type="dxa"/>
            <w:tcBorders>
              <w:top w:val="single" w:sz="8" w:space="0" w:color="auto"/>
              <w:left w:val="nil"/>
              <w:bottom w:val="single" w:sz="8" w:space="0" w:color="auto"/>
              <w:right w:val="single" w:sz="8" w:space="0" w:color="auto"/>
            </w:tcBorders>
            <w:shd w:val="clear" w:color="000000" w:fill="FFFFFF"/>
            <w:noWrap/>
            <w:vAlign w:val="bottom"/>
            <w:hideMark/>
          </w:tcPr>
          <w:p w14:paraId="28AD9422" w14:textId="77777777" w:rsidR="001A229E" w:rsidRPr="001A229E" w:rsidRDefault="001A229E" w:rsidP="001A229E">
            <w:pPr>
              <w:spacing w:after="0" w:line="240" w:lineRule="auto"/>
              <w:jc w:val="right"/>
              <w:rPr>
                <w:rFonts w:eastAsia="Times New Roman" w:cs="Calibri"/>
                <w:b/>
                <w:bCs/>
                <w:color w:val="000000"/>
                <w:sz w:val="18"/>
                <w:szCs w:val="18"/>
                <w:lang w:val="en-US"/>
              </w:rPr>
            </w:pPr>
            <w:r w:rsidRPr="001A229E">
              <w:rPr>
                <w:rFonts w:eastAsia="Times New Roman" w:cs="Calibri"/>
                <w:b/>
                <w:bCs/>
                <w:color w:val="000000"/>
                <w:sz w:val="18"/>
                <w:szCs w:val="18"/>
                <w:lang w:val="en-US"/>
              </w:rPr>
              <w:t>16 438,76</w:t>
            </w:r>
          </w:p>
        </w:tc>
        <w:tc>
          <w:tcPr>
            <w:tcW w:w="980" w:type="dxa"/>
            <w:tcBorders>
              <w:top w:val="single" w:sz="8" w:space="0" w:color="auto"/>
              <w:left w:val="nil"/>
              <w:bottom w:val="single" w:sz="8" w:space="0" w:color="auto"/>
              <w:right w:val="single" w:sz="8" w:space="0" w:color="auto"/>
            </w:tcBorders>
            <w:shd w:val="clear" w:color="000000" w:fill="FFFFFF"/>
            <w:noWrap/>
            <w:vAlign w:val="bottom"/>
            <w:hideMark/>
          </w:tcPr>
          <w:p w14:paraId="2618A496" w14:textId="77777777" w:rsidR="001A229E" w:rsidRPr="001A229E" w:rsidRDefault="001A229E" w:rsidP="001A229E">
            <w:pPr>
              <w:spacing w:after="0" w:line="240" w:lineRule="auto"/>
              <w:jc w:val="right"/>
              <w:rPr>
                <w:rFonts w:eastAsia="Times New Roman" w:cs="Calibri"/>
                <w:b/>
                <w:bCs/>
                <w:color w:val="000000"/>
                <w:sz w:val="18"/>
                <w:szCs w:val="18"/>
                <w:lang w:val="en-US"/>
              </w:rPr>
            </w:pPr>
            <w:r w:rsidRPr="001A229E">
              <w:rPr>
                <w:rFonts w:eastAsia="Times New Roman" w:cs="Calibri"/>
                <w:b/>
                <w:bCs/>
                <w:color w:val="000000"/>
                <w:sz w:val="18"/>
                <w:szCs w:val="18"/>
                <w:lang w:val="en-US"/>
              </w:rPr>
              <w:t>8 923,02</w:t>
            </w:r>
          </w:p>
        </w:tc>
        <w:tc>
          <w:tcPr>
            <w:tcW w:w="955" w:type="dxa"/>
            <w:tcBorders>
              <w:top w:val="single" w:sz="8" w:space="0" w:color="auto"/>
              <w:left w:val="nil"/>
              <w:bottom w:val="single" w:sz="8" w:space="0" w:color="auto"/>
              <w:right w:val="single" w:sz="8" w:space="0" w:color="auto"/>
            </w:tcBorders>
            <w:shd w:val="clear" w:color="auto" w:fill="auto"/>
            <w:noWrap/>
            <w:vAlign w:val="bottom"/>
            <w:hideMark/>
          </w:tcPr>
          <w:p w14:paraId="1A6EC5DE" w14:textId="77777777" w:rsidR="001A229E" w:rsidRPr="001A229E" w:rsidRDefault="001A229E" w:rsidP="001A229E">
            <w:pPr>
              <w:spacing w:after="0" w:line="240" w:lineRule="auto"/>
              <w:jc w:val="center"/>
              <w:rPr>
                <w:rFonts w:eastAsia="Times New Roman" w:cs="Calibri"/>
                <w:b/>
                <w:bCs/>
                <w:color w:val="000000"/>
                <w:sz w:val="18"/>
                <w:szCs w:val="18"/>
                <w:lang w:val="en-US"/>
              </w:rPr>
            </w:pPr>
            <w:r w:rsidRPr="001A229E">
              <w:rPr>
                <w:rFonts w:eastAsia="Times New Roman" w:cs="Calibri"/>
                <w:b/>
                <w:bCs/>
                <w:color w:val="000000"/>
                <w:sz w:val="18"/>
                <w:szCs w:val="18"/>
                <w:lang w:val="en-US"/>
              </w:rPr>
              <w:t>54,28%</w:t>
            </w:r>
          </w:p>
        </w:tc>
        <w:tc>
          <w:tcPr>
            <w:tcW w:w="222" w:type="dxa"/>
            <w:vAlign w:val="center"/>
            <w:hideMark/>
          </w:tcPr>
          <w:p w14:paraId="26A9920B" w14:textId="77777777" w:rsidR="001A229E" w:rsidRPr="001A229E" w:rsidRDefault="001A229E" w:rsidP="001A229E">
            <w:pPr>
              <w:spacing w:after="0" w:line="240" w:lineRule="auto"/>
              <w:jc w:val="left"/>
              <w:rPr>
                <w:rFonts w:ascii="Times New Roman" w:eastAsia="Times New Roman" w:hAnsi="Times New Roman" w:cs="Times New Roman"/>
                <w:sz w:val="20"/>
                <w:szCs w:val="20"/>
                <w:lang w:val="en-US"/>
              </w:rPr>
            </w:pPr>
          </w:p>
        </w:tc>
      </w:tr>
      <w:tr w:rsidR="001A229E" w:rsidRPr="001A229E" w14:paraId="3FDD5606" w14:textId="77777777" w:rsidTr="001A229E">
        <w:trPr>
          <w:trHeight w:val="290"/>
        </w:trPr>
        <w:tc>
          <w:tcPr>
            <w:tcW w:w="1083" w:type="dxa"/>
            <w:tcBorders>
              <w:top w:val="nil"/>
              <w:left w:val="single" w:sz="8" w:space="0" w:color="auto"/>
              <w:bottom w:val="nil"/>
              <w:right w:val="nil"/>
            </w:tcBorders>
            <w:shd w:val="clear" w:color="auto" w:fill="auto"/>
            <w:noWrap/>
            <w:vAlign w:val="center"/>
            <w:hideMark/>
          </w:tcPr>
          <w:p w14:paraId="0CC90FFE" w14:textId="77777777" w:rsidR="001A229E" w:rsidRPr="001A229E" w:rsidRDefault="001A229E" w:rsidP="001A229E">
            <w:pPr>
              <w:spacing w:after="0" w:line="240" w:lineRule="auto"/>
              <w:jc w:val="left"/>
              <w:rPr>
                <w:rFonts w:eastAsia="Times New Roman" w:cs="Calibri"/>
                <w:color w:val="000000"/>
                <w:sz w:val="20"/>
                <w:szCs w:val="20"/>
                <w:lang w:val="en-US"/>
              </w:rPr>
            </w:pPr>
            <w:r w:rsidRPr="001A229E">
              <w:rPr>
                <w:rFonts w:eastAsia="Times New Roman" w:cs="Calibri"/>
                <w:color w:val="000000"/>
                <w:sz w:val="20"/>
                <w:szCs w:val="20"/>
                <w:lang w:val="en-US"/>
              </w:rPr>
              <w:t>5.1.3.99.01.</w:t>
            </w:r>
          </w:p>
        </w:tc>
        <w:tc>
          <w:tcPr>
            <w:tcW w:w="3508" w:type="dxa"/>
            <w:tcBorders>
              <w:top w:val="nil"/>
              <w:left w:val="single" w:sz="8" w:space="0" w:color="auto"/>
              <w:bottom w:val="nil"/>
              <w:right w:val="single" w:sz="8" w:space="0" w:color="auto"/>
            </w:tcBorders>
            <w:shd w:val="clear" w:color="000000" w:fill="FFFFFF"/>
            <w:vAlign w:val="center"/>
            <w:hideMark/>
          </w:tcPr>
          <w:p w14:paraId="1877315B" w14:textId="77777777" w:rsidR="001A229E" w:rsidRPr="001A229E" w:rsidRDefault="001A229E" w:rsidP="001A229E">
            <w:pPr>
              <w:spacing w:after="0" w:line="240" w:lineRule="auto"/>
              <w:jc w:val="left"/>
              <w:rPr>
                <w:rFonts w:eastAsia="Times New Roman" w:cs="Calibri"/>
                <w:color w:val="000000"/>
                <w:sz w:val="20"/>
                <w:szCs w:val="20"/>
              </w:rPr>
            </w:pPr>
            <w:r w:rsidRPr="001A229E">
              <w:rPr>
                <w:rFonts w:eastAsia="Times New Roman" w:cs="Calibri"/>
                <w:color w:val="000000"/>
                <w:sz w:val="20"/>
                <w:szCs w:val="20"/>
              </w:rPr>
              <w:t>Útiles y materiales de oficina y cómputo</w:t>
            </w:r>
          </w:p>
        </w:tc>
        <w:tc>
          <w:tcPr>
            <w:tcW w:w="1120" w:type="dxa"/>
            <w:tcBorders>
              <w:top w:val="nil"/>
              <w:left w:val="nil"/>
              <w:bottom w:val="nil"/>
              <w:right w:val="single" w:sz="8" w:space="0" w:color="auto"/>
            </w:tcBorders>
            <w:shd w:val="clear" w:color="000000" w:fill="FFFFFF"/>
            <w:noWrap/>
            <w:vAlign w:val="bottom"/>
            <w:hideMark/>
          </w:tcPr>
          <w:p w14:paraId="2FAD3EBC"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1 115,10</w:t>
            </w:r>
          </w:p>
        </w:tc>
        <w:tc>
          <w:tcPr>
            <w:tcW w:w="1083" w:type="dxa"/>
            <w:tcBorders>
              <w:top w:val="nil"/>
              <w:left w:val="nil"/>
              <w:bottom w:val="nil"/>
              <w:right w:val="single" w:sz="8" w:space="0" w:color="auto"/>
            </w:tcBorders>
            <w:shd w:val="clear" w:color="000000" w:fill="FFFFFF"/>
            <w:noWrap/>
            <w:vAlign w:val="bottom"/>
            <w:hideMark/>
          </w:tcPr>
          <w:p w14:paraId="244C8180"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1 480,26</w:t>
            </w:r>
          </w:p>
        </w:tc>
        <w:tc>
          <w:tcPr>
            <w:tcW w:w="980" w:type="dxa"/>
            <w:tcBorders>
              <w:top w:val="nil"/>
              <w:left w:val="nil"/>
              <w:bottom w:val="nil"/>
              <w:right w:val="single" w:sz="8" w:space="0" w:color="auto"/>
            </w:tcBorders>
            <w:shd w:val="clear" w:color="000000" w:fill="FFFFFF"/>
            <w:noWrap/>
            <w:vAlign w:val="bottom"/>
            <w:hideMark/>
          </w:tcPr>
          <w:p w14:paraId="2610BEC1"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-365,16</w:t>
            </w:r>
          </w:p>
        </w:tc>
        <w:tc>
          <w:tcPr>
            <w:tcW w:w="955" w:type="dxa"/>
            <w:tcBorders>
              <w:top w:val="nil"/>
              <w:left w:val="nil"/>
              <w:bottom w:val="nil"/>
              <w:right w:val="single" w:sz="8" w:space="0" w:color="auto"/>
            </w:tcBorders>
            <w:shd w:val="clear" w:color="auto" w:fill="auto"/>
            <w:noWrap/>
            <w:vAlign w:val="bottom"/>
            <w:hideMark/>
          </w:tcPr>
          <w:p w14:paraId="6B72AEE1" w14:textId="77777777" w:rsidR="001A229E" w:rsidRPr="001A229E" w:rsidRDefault="001A229E" w:rsidP="001A229E">
            <w:pPr>
              <w:spacing w:after="0" w:line="240" w:lineRule="auto"/>
              <w:jc w:val="center"/>
              <w:rPr>
                <w:rFonts w:eastAsia="Times New Roman" w:cs="Calibri"/>
                <w:color w:val="000000"/>
                <w:sz w:val="18"/>
                <w:szCs w:val="18"/>
                <w:lang w:val="en-US"/>
              </w:rPr>
            </w:pPr>
            <w:r w:rsidRPr="001A229E">
              <w:rPr>
                <w:rFonts w:eastAsia="Times New Roman" w:cs="Calibri"/>
                <w:color w:val="000000"/>
                <w:sz w:val="18"/>
                <w:szCs w:val="18"/>
                <w:lang w:val="en-US"/>
              </w:rPr>
              <w:t>-24,67%</w:t>
            </w:r>
          </w:p>
        </w:tc>
        <w:tc>
          <w:tcPr>
            <w:tcW w:w="222" w:type="dxa"/>
            <w:vAlign w:val="center"/>
            <w:hideMark/>
          </w:tcPr>
          <w:p w14:paraId="29ABD37E" w14:textId="77777777" w:rsidR="001A229E" w:rsidRPr="001A229E" w:rsidRDefault="001A229E" w:rsidP="001A229E">
            <w:pPr>
              <w:spacing w:after="0" w:line="240" w:lineRule="auto"/>
              <w:jc w:val="left"/>
              <w:rPr>
                <w:rFonts w:ascii="Times New Roman" w:eastAsia="Times New Roman" w:hAnsi="Times New Roman" w:cs="Times New Roman"/>
                <w:sz w:val="20"/>
                <w:szCs w:val="20"/>
                <w:lang w:val="en-US"/>
              </w:rPr>
            </w:pPr>
          </w:p>
        </w:tc>
      </w:tr>
      <w:tr w:rsidR="001A229E" w:rsidRPr="001A229E" w14:paraId="321B5300" w14:textId="77777777" w:rsidTr="001A229E">
        <w:trPr>
          <w:trHeight w:val="290"/>
        </w:trPr>
        <w:tc>
          <w:tcPr>
            <w:tcW w:w="1083" w:type="dxa"/>
            <w:tcBorders>
              <w:top w:val="nil"/>
              <w:left w:val="single" w:sz="8" w:space="0" w:color="auto"/>
              <w:bottom w:val="nil"/>
              <w:right w:val="nil"/>
            </w:tcBorders>
            <w:shd w:val="clear" w:color="auto" w:fill="auto"/>
            <w:noWrap/>
            <w:vAlign w:val="center"/>
            <w:hideMark/>
          </w:tcPr>
          <w:p w14:paraId="293A086F" w14:textId="77777777" w:rsidR="001A229E" w:rsidRPr="001A229E" w:rsidRDefault="001A229E" w:rsidP="001A229E">
            <w:pPr>
              <w:spacing w:after="0" w:line="240" w:lineRule="auto"/>
              <w:jc w:val="left"/>
              <w:rPr>
                <w:rFonts w:eastAsia="Times New Roman" w:cs="Calibri"/>
                <w:color w:val="000000"/>
                <w:sz w:val="20"/>
                <w:szCs w:val="20"/>
                <w:lang w:val="en-US"/>
              </w:rPr>
            </w:pPr>
            <w:r w:rsidRPr="001A229E">
              <w:rPr>
                <w:rFonts w:eastAsia="Times New Roman" w:cs="Calibri"/>
                <w:color w:val="000000"/>
                <w:sz w:val="20"/>
                <w:szCs w:val="20"/>
                <w:lang w:val="en-US"/>
              </w:rPr>
              <w:t>5.1.3.99.02.</w:t>
            </w:r>
          </w:p>
        </w:tc>
        <w:tc>
          <w:tcPr>
            <w:tcW w:w="3508" w:type="dxa"/>
            <w:tcBorders>
              <w:top w:val="nil"/>
              <w:left w:val="single" w:sz="8" w:space="0" w:color="auto"/>
              <w:bottom w:val="nil"/>
              <w:right w:val="single" w:sz="8" w:space="0" w:color="auto"/>
            </w:tcBorders>
            <w:shd w:val="clear" w:color="auto" w:fill="auto"/>
            <w:vAlign w:val="center"/>
            <w:hideMark/>
          </w:tcPr>
          <w:p w14:paraId="32626583" w14:textId="342CB2FB" w:rsidR="001A229E" w:rsidRPr="001A229E" w:rsidRDefault="001A229E" w:rsidP="001A229E">
            <w:pPr>
              <w:spacing w:after="0" w:line="240" w:lineRule="auto"/>
              <w:jc w:val="left"/>
              <w:rPr>
                <w:rFonts w:eastAsia="Times New Roman" w:cs="Calibri"/>
                <w:color w:val="000000"/>
                <w:sz w:val="20"/>
                <w:szCs w:val="20"/>
              </w:rPr>
            </w:pPr>
            <w:r w:rsidRPr="001A229E">
              <w:rPr>
                <w:rFonts w:eastAsia="Times New Roman" w:cs="Calibri"/>
                <w:color w:val="000000"/>
                <w:sz w:val="20"/>
                <w:szCs w:val="20"/>
              </w:rPr>
              <w:t xml:space="preserve">Útiles y materiales méd, hospital </w:t>
            </w:r>
            <w:r>
              <w:rPr>
                <w:rFonts w:eastAsia="Times New Roman" w:cs="Calibri"/>
                <w:color w:val="000000"/>
                <w:sz w:val="20"/>
                <w:szCs w:val="20"/>
              </w:rPr>
              <w:t>e investigación</w:t>
            </w:r>
          </w:p>
        </w:tc>
        <w:tc>
          <w:tcPr>
            <w:tcW w:w="1120" w:type="dxa"/>
            <w:tcBorders>
              <w:top w:val="nil"/>
              <w:left w:val="nil"/>
              <w:bottom w:val="nil"/>
              <w:right w:val="single" w:sz="8" w:space="0" w:color="auto"/>
            </w:tcBorders>
            <w:shd w:val="clear" w:color="000000" w:fill="FFFFFF"/>
            <w:noWrap/>
            <w:vAlign w:val="bottom"/>
            <w:hideMark/>
          </w:tcPr>
          <w:p w14:paraId="03DD2E9B"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465,93</w:t>
            </w:r>
          </w:p>
        </w:tc>
        <w:tc>
          <w:tcPr>
            <w:tcW w:w="1083" w:type="dxa"/>
            <w:tcBorders>
              <w:top w:val="nil"/>
              <w:left w:val="nil"/>
              <w:bottom w:val="nil"/>
              <w:right w:val="single" w:sz="8" w:space="0" w:color="auto"/>
            </w:tcBorders>
            <w:shd w:val="clear" w:color="000000" w:fill="FFFFFF"/>
            <w:noWrap/>
            <w:vAlign w:val="bottom"/>
            <w:hideMark/>
          </w:tcPr>
          <w:p w14:paraId="5751A5E2"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40,00</w:t>
            </w:r>
          </w:p>
        </w:tc>
        <w:tc>
          <w:tcPr>
            <w:tcW w:w="980" w:type="dxa"/>
            <w:tcBorders>
              <w:top w:val="nil"/>
              <w:left w:val="nil"/>
              <w:bottom w:val="nil"/>
              <w:right w:val="single" w:sz="8" w:space="0" w:color="auto"/>
            </w:tcBorders>
            <w:shd w:val="clear" w:color="000000" w:fill="FFFFFF"/>
            <w:noWrap/>
            <w:vAlign w:val="bottom"/>
            <w:hideMark/>
          </w:tcPr>
          <w:p w14:paraId="7255A411"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425,93</w:t>
            </w:r>
          </w:p>
        </w:tc>
        <w:tc>
          <w:tcPr>
            <w:tcW w:w="955" w:type="dxa"/>
            <w:tcBorders>
              <w:top w:val="nil"/>
              <w:left w:val="nil"/>
              <w:bottom w:val="nil"/>
              <w:right w:val="single" w:sz="8" w:space="0" w:color="auto"/>
            </w:tcBorders>
            <w:shd w:val="clear" w:color="auto" w:fill="auto"/>
            <w:noWrap/>
            <w:vAlign w:val="bottom"/>
            <w:hideMark/>
          </w:tcPr>
          <w:p w14:paraId="5A841FA1" w14:textId="77777777" w:rsidR="001A229E" w:rsidRPr="001A229E" w:rsidRDefault="001A229E" w:rsidP="001A229E">
            <w:pPr>
              <w:spacing w:after="0" w:line="240" w:lineRule="auto"/>
              <w:jc w:val="center"/>
              <w:rPr>
                <w:rFonts w:eastAsia="Times New Roman" w:cs="Calibri"/>
                <w:color w:val="000000"/>
                <w:sz w:val="18"/>
                <w:szCs w:val="18"/>
                <w:lang w:val="en-US"/>
              </w:rPr>
            </w:pPr>
            <w:r w:rsidRPr="001A229E">
              <w:rPr>
                <w:rFonts w:eastAsia="Times New Roman" w:cs="Calibri"/>
                <w:color w:val="000000"/>
                <w:sz w:val="18"/>
                <w:szCs w:val="18"/>
                <w:lang w:val="en-US"/>
              </w:rPr>
              <w:t>1064,83%</w:t>
            </w:r>
          </w:p>
        </w:tc>
        <w:tc>
          <w:tcPr>
            <w:tcW w:w="222" w:type="dxa"/>
            <w:vAlign w:val="center"/>
            <w:hideMark/>
          </w:tcPr>
          <w:p w14:paraId="19BE3C48" w14:textId="77777777" w:rsidR="001A229E" w:rsidRPr="001A229E" w:rsidRDefault="001A229E" w:rsidP="001A229E">
            <w:pPr>
              <w:spacing w:after="0" w:line="240" w:lineRule="auto"/>
              <w:jc w:val="left"/>
              <w:rPr>
                <w:rFonts w:ascii="Times New Roman" w:eastAsia="Times New Roman" w:hAnsi="Times New Roman" w:cs="Times New Roman"/>
                <w:sz w:val="20"/>
                <w:szCs w:val="20"/>
                <w:lang w:val="en-US"/>
              </w:rPr>
            </w:pPr>
          </w:p>
        </w:tc>
      </w:tr>
      <w:tr w:rsidR="001A229E" w:rsidRPr="001A229E" w14:paraId="024961EE" w14:textId="77777777" w:rsidTr="001A229E">
        <w:trPr>
          <w:trHeight w:val="290"/>
        </w:trPr>
        <w:tc>
          <w:tcPr>
            <w:tcW w:w="1083" w:type="dxa"/>
            <w:tcBorders>
              <w:top w:val="nil"/>
              <w:left w:val="single" w:sz="8" w:space="0" w:color="auto"/>
              <w:bottom w:val="nil"/>
              <w:right w:val="nil"/>
            </w:tcBorders>
            <w:shd w:val="clear" w:color="auto" w:fill="auto"/>
            <w:noWrap/>
            <w:vAlign w:val="center"/>
            <w:hideMark/>
          </w:tcPr>
          <w:p w14:paraId="5D4BED5B" w14:textId="77777777" w:rsidR="001A229E" w:rsidRPr="001A229E" w:rsidRDefault="001A229E" w:rsidP="001A229E">
            <w:pPr>
              <w:spacing w:after="0" w:line="240" w:lineRule="auto"/>
              <w:jc w:val="left"/>
              <w:rPr>
                <w:rFonts w:eastAsia="Times New Roman" w:cs="Calibri"/>
                <w:color w:val="000000"/>
                <w:sz w:val="20"/>
                <w:szCs w:val="20"/>
                <w:lang w:val="en-US"/>
              </w:rPr>
            </w:pPr>
            <w:r w:rsidRPr="001A229E">
              <w:rPr>
                <w:rFonts w:eastAsia="Times New Roman" w:cs="Calibri"/>
                <w:color w:val="000000"/>
                <w:sz w:val="20"/>
                <w:szCs w:val="20"/>
                <w:lang w:val="en-US"/>
              </w:rPr>
              <w:t>5.1.3.99.03.</w:t>
            </w:r>
          </w:p>
        </w:tc>
        <w:tc>
          <w:tcPr>
            <w:tcW w:w="3508" w:type="dxa"/>
            <w:tcBorders>
              <w:top w:val="nil"/>
              <w:left w:val="single" w:sz="8" w:space="0" w:color="auto"/>
              <w:bottom w:val="nil"/>
              <w:right w:val="single" w:sz="8" w:space="0" w:color="auto"/>
            </w:tcBorders>
            <w:shd w:val="clear" w:color="000000" w:fill="FFFFFF"/>
            <w:vAlign w:val="center"/>
            <w:hideMark/>
          </w:tcPr>
          <w:p w14:paraId="44DDAB67" w14:textId="77777777" w:rsidR="001A229E" w:rsidRPr="001A229E" w:rsidRDefault="001A229E" w:rsidP="001A229E">
            <w:pPr>
              <w:spacing w:after="0" w:line="240" w:lineRule="auto"/>
              <w:jc w:val="left"/>
              <w:rPr>
                <w:rFonts w:eastAsia="Times New Roman" w:cs="Calibri"/>
                <w:color w:val="000000"/>
                <w:sz w:val="20"/>
                <w:szCs w:val="20"/>
              </w:rPr>
            </w:pPr>
            <w:r w:rsidRPr="001A229E">
              <w:rPr>
                <w:rFonts w:eastAsia="Times New Roman" w:cs="Calibri"/>
                <w:color w:val="000000"/>
                <w:sz w:val="20"/>
                <w:szCs w:val="20"/>
              </w:rPr>
              <w:t>Productos de papel, cartón e impresos</w:t>
            </w:r>
          </w:p>
        </w:tc>
        <w:tc>
          <w:tcPr>
            <w:tcW w:w="1120" w:type="dxa"/>
            <w:tcBorders>
              <w:top w:val="nil"/>
              <w:left w:val="nil"/>
              <w:bottom w:val="nil"/>
              <w:right w:val="single" w:sz="8" w:space="0" w:color="auto"/>
            </w:tcBorders>
            <w:shd w:val="clear" w:color="000000" w:fill="FFFFFF"/>
            <w:noWrap/>
            <w:vAlign w:val="bottom"/>
            <w:hideMark/>
          </w:tcPr>
          <w:p w14:paraId="0705651D"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1 468,84</w:t>
            </w:r>
          </w:p>
        </w:tc>
        <w:tc>
          <w:tcPr>
            <w:tcW w:w="1083" w:type="dxa"/>
            <w:tcBorders>
              <w:top w:val="nil"/>
              <w:left w:val="nil"/>
              <w:bottom w:val="nil"/>
              <w:right w:val="single" w:sz="8" w:space="0" w:color="auto"/>
            </w:tcBorders>
            <w:shd w:val="clear" w:color="000000" w:fill="FFFFFF"/>
            <w:noWrap/>
            <w:vAlign w:val="bottom"/>
            <w:hideMark/>
          </w:tcPr>
          <w:p w14:paraId="7504C314"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1 714,39</w:t>
            </w:r>
          </w:p>
        </w:tc>
        <w:tc>
          <w:tcPr>
            <w:tcW w:w="980" w:type="dxa"/>
            <w:tcBorders>
              <w:top w:val="nil"/>
              <w:left w:val="nil"/>
              <w:bottom w:val="nil"/>
              <w:right w:val="single" w:sz="8" w:space="0" w:color="auto"/>
            </w:tcBorders>
            <w:shd w:val="clear" w:color="000000" w:fill="FFFFFF"/>
            <w:noWrap/>
            <w:vAlign w:val="bottom"/>
            <w:hideMark/>
          </w:tcPr>
          <w:p w14:paraId="52BCC349"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-245,55</w:t>
            </w:r>
          </w:p>
        </w:tc>
        <w:tc>
          <w:tcPr>
            <w:tcW w:w="955" w:type="dxa"/>
            <w:tcBorders>
              <w:top w:val="nil"/>
              <w:left w:val="nil"/>
              <w:bottom w:val="nil"/>
              <w:right w:val="single" w:sz="8" w:space="0" w:color="auto"/>
            </w:tcBorders>
            <w:shd w:val="clear" w:color="auto" w:fill="auto"/>
            <w:noWrap/>
            <w:vAlign w:val="bottom"/>
            <w:hideMark/>
          </w:tcPr>
          <w:p w14:paraId="2E9CAC73" w14:textId="77777777" w:rsidR="001A229E" w:rsidRPr="001A229E" w:rsidRDefault="001A229E" w:rsidP="001A229E">
            <w:pPr>
              <w:spacing w:after="0" w:line="240" w:lineRule="auto"/>
              <w:jc w:val="center"/>
              <w:rPr>
                <w:rFonts w:eastAsia="Times New Roman" w:cs="Calibri"/>
                <w:color w:val="000000"/>
                <w:sz w:val="18"/>
                <w:szCs w:val="18"/>
                <w:lang w:val="en-US"/>
              </w:rPr>
            </w:pPr>
            <w:r w:rsidRPr="001A229E">
              <w:rPr>
                <w:rFonts w:eastAsia="Times New Roman" w:cs="Calibri"/>
                <w:color w:val="000000"/>
                <w:sz w:val="18"/>
                <w:szCs w:val="18"/>
                <w:lang w:val="en-US"/>
              </w:rPr>
              <w:t>-14,32%</w:t>
            </w:r>
          </w:p>
        </w:tc>
        <w:tc>
          <w:tcPr>
            <w:tcW w:w="222" w:type="dxa"/>
            <w:vAlign w:val="center"/>
            <w:hideMark/>
          </w:tcPr>
          <w:p w14:paraId="4B9084F4" w14:textId="77777777" w:rsidR="001A229E" w:rsidRPr="001A229E" w:rsidRDefault="001A229E" w:rsidP="001A229E">
            <w:pPr>
              <w:spacing w:after="0" w:line="240" w:lineRule="auto"/>
              <w:jc w:val="left"/>
              <w:rPr>
                <w:rFonts w:ascii="Times New Roman" w:eastAsia="Times New Roman" w:hAnsi="Times New Roman" w:cs="Times New Roman"/>
                <w:sz w:val="20"/>
                <w:szCs w:val="20"/>
                <w:lang w:val="en-US"/>
              </w:rPr>
            </w:pPr>
          </w:p>
        </w:tc>
      </w:tr>
      <w:tr w:rsidR="001A229E" w:rsidRPr="001A229E" w14:paraId="32E5BDFC" w14:textId="77777777" w:rsidTr="001A229E">
        <w:trPr>
          <w:trHeight w:val="290"/>
        </w:trPr>
        <w:tc>
          <w:tcPr>
            <w:tcW w:w="1083" w:type="dxa"/>
            <w:tcBorders>
              <w:top w:val="nil"/>
              <w:left w:val="single" w:sz="8" w:space="0" w:color="auto"/>
              <w:bottom w:val="nil"/>
              <w:right w:val="nil"/>
            </w:tcBorders>
            <w:shd w:val="clear" w:color="auto" w:fill="auto"/>
            <w:noWrap/>
            <w:vAlign w:val="center"/>
            <w:hideMark/>
          </w:tcPr>
          <w:p w14:paraId="543EA068" w14:textId="77777777" w:rsidR="001A229E" w:rsidRPr="001A229E" w:rsidRDefault="001A229E" w:rsidP="001A229E">
            <w:pPr>
              <w:spacing w:after="0" w:line="240" w:lineRule="auto"/>
              <w:jc w:val="left"/>
              <w:rPr>
                <w:rFonts w:eastAsia="Times New Roman" w:cs="Calibri"/>
                <w:color w:val="000000"/>
                <w:sz w:val="20"/>
                <w:szCs w:val="20"/>
                <w:lang w:val="en-US"/>
              </w:rPr>
            </w:pPr>
            <w:r w:rsidRPr="001A229E">
              <w:rPr>
                <w:rFonts w:eastAsia="Times New Roman" w:cs="Calibri"/>
                <w:color w:val="000000"/>
                <w:sz w:val="20"/>
                <w:szCs w:val="20"/>
                <w:lang w:val="en-US"/>
              </w:rPr>
              <w:t>5.1.3.99.04.</w:t>
            </w:r>
          </w:p>
        </w:tc>
        <w:tc>
          <w:tcPr>
            <w:tcW w:w="3508" w:type="dxa"/>
            <w:tcBorders>
              <w:top w:val="nil"/>
              <w:left w:val="single" w:sz="8" w:space="0" w:color="auto"/>
              <w:bottom w:val="nil"/>
              <w:right w:val="single" w:sz="8" w:space="0" w:color="auto"/>
            </w:tcBorders>
            <w:shd w:val="clear" w:color="000000" w:fill="FFFFFF"/>
            <w:vAlign w:val="center"/>
            <w:hideMark/>
          </w:tcPr>
          <w:p w14:paraId="019C916D" w14:textId="77777777" w:rsidR="001A229E" w:rsidRPr="001A229E" w:rsidRDefault="001A229E" w:rsidP="001A229E">
            <w:pPr>
              <w:spacing w:after="0" w:line="240" w:lineRule="auto"/>
              <w:jc w:val="left"/>
              <w:rPr>
                <w:rFonts w:eastAsia="Times New Roman" w:cs="Calibri"/>
                <w:color w:val="000000"/>
                <w:sz w:val="20"/>
                <w:szCs w:val="20"/>
                <w:lang w:val="en-US"/>
              </w:rPr>
            </w:pPr>
            <w:r w:rsidRPr="001A229E">
              <w:rPr>
                <w:rFonts w:eastAsia="Times New Roman" w:cs="Calibri"/>
                <w:color w:val="000000"/>
                <w:sz w:val="20"/>
                <w:szCs w:val="20"/>
                <w:lang w:val="en-US"/>
              </w:rPr>
              <w:t>Textiles y vestuario</w:t>
            </w:r>
          </w:p>
        </w:tc>
        <w:tc>
          <w:tcPr>
            <w:tcW w:w="1120" w:type="dxa"/>
            <w:tcBorders>
              <w:top w:val="nil"/>
              <w:left w:val="nil"/>
              <w:bottom w:val="nil"/>
              <w:right w:val="single" w:sz="8" w:space="0" w:color="auto"/>
            </w:tcBorders>
            <w:shd w:val="clear" w:color="000000" w:fill="FFFFFF"/>
            <w:noWrap/>
            <w:vAlign w:val="bottom"/>
            <w:hideMark/>
          </w:tcPr>
          <w:p w14:paraId="6E83AC55"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13 129,54</w:t>
            </w:r>
          </w:p>
        </w:tc>
        <w:tc>
          <w:tcPr>
            <w:tcW w:w="1083" w:type="dxa"/>
            <w:tcBorders>
              <w:top w:val="nil"/>
              <w:left w:val="nil"/>
              <w:bottom w:val="nil"/>
              <w:right w:val="single" w:sz="8" w:space="0" w:color="auto"/>
            </w:tcBorders>
            <w:shd w:val="clear" w:color="000000" w:fill="FFFFFF"/>
            <w:noWrap/>
            <w:vAlign w:val="bottom"/>
            <w:hideMark/>
          </w:tcPr>
          <w:p w14:paraId="4C771963"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5 829,68</w:t>
            </w:r>
          </w:p>
        </w:tc>
        <w:tc>
          <w:tcPr>
            <w:tcW w:w="980" w:type="dxa"/>
            <w:tcBorders>
              <w:top w:val="nil"/>
              <w:left w:val="nil"/>
              <w:bottom w:val="nil"/>
              <w:right w:val="single" w:sz="8" w:space="0" w:color="auto"/>
            </w:tcBorders>
            <w:shd w:val="clear" w:color="000000" w:fill="FFFFFF"/>
            <w:noWrap/>
            <w:vAlign w:val="bottom"/>
            <w:hideMark/>
          </w:tcPr>
          <w:p w14:paraId="1015CE8C"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7 299,86</w:t>
            </w:r>
          </w:p>
        </w:tc>
        <w:tc>
          <w:tcPr>
            <w:tcW w:w="955" w:type="dxa"/>
            <w:tcBorders>
              <w:top w:val="nil"/>
              <w:left w:val="nil"/>
              <w:bottom w:val="nil"/>
              <w:right w:val="single" w:sz="8" w:space="0" w:color="auto"/>
            </w:tcBorders>
            <w:shd w:val="clear" w:color="auto" w:fill="auto"/>
            <w:noWrap/>
            <w:vAlign w:val="bottom"/>
            <w:hideMark/>
          </w:tcPr>
          <w:p w14:paraId="2FA193B2" w14:textId="77777777" w:rsidR="001A229E" w:rsidRPr="001A229E" w:rsidRDefault="001A229E" w:rsidP="001A229E">
            <w:pPr>
              <w:spacing w:after="0" w:line="240" w:lineRule="auto"/>
              <w:jc w:val="center"/>
              <w:rPr>
                <w:rFonts w:eastAsia="Times New Roman" w:cs="Calibri"/>
                <w:color w:val="000000"/>
                <w:sz w:val="18"/>
                <w:szCs w:val="18"/>
                <w:lang w:val="en-US"/>
              </w:rPr>
            </w:pPr>
            <w:r w:rsidRPr="001A229E">
              <w:rPr>
                <w:rFonts w:eastAsia="Times New Roman" w:cs="Calibri"/>
                <w:color w:val="000000"/>
                <w:sz w:val="18"/>
                <w:szCs w:val="18"/>
                <w:lang w:val="en-US"/>
              </w:rPr>
              <w:t>125,22%</w:t>
            </w:r>
          </w:p>
        </w:tc>
        <w:tc>
          <w:tcPr>
            <w:tcW w:w="222" w:type="dxa"/>
            <w:vAlign w:val="center"/>
            <w:hideMark/>
          </w:tcPr>
          <w:p w14:paraId="64ABEE66" w14:textId="77777777" w:rsidR="001A229E" w:rsidRPr="001A229E" w:rsidRDefault="001A229E" w:rsidP="001A229E">
            <w:pPr>
              <w:spacing w:after="0" w:line="240" w:lineRule="auto"/>
              <w:jc w:val="left"/>
              <w:rPr>
                <w:rFonts w:ascii="Times New Roman" w:eastAsia="Times New Roman" w:hAnsi="Times New Roman" w:cs="Times New Roman"/>
                <w:sz w:val="20"/>
                <w:szCs w:val="20"/>
                <w:lang w:val="en-US"/>
              </w:rPr>
            </w:pPr>
          </w:p>
        </w:tc>
      </w:tr>
      <w:tr w:rsidR="001A229E" w:rsidRPr="001A229E" w14:paraId="27AE7A5F" w14:textId="77777777" w:rsidTr="001A229E">
        <w:trPr>
          <w:trHeight w:val="290"/>
        </w:trPr>
        <w:tc>
          <w:tcPr>
            <w:tcW w:w="1083" w:type="dxa"/>
            <w:tcBorders>
              <w:top w:val="nil"/>
              <w:left w:val="single" w:sz="8" w:space="0" w:color="auto"/>
              <w:bottom w:val="nil"/>
              <w:right w:val="nil"/>
            </w:tcBorders>
            <w:shd w:val="clear" w:color="auto" w:fill="auto"/>
            <w:noWrap/>
            <w:vAlign w:val="center"/>
            <w:hideMark/>
          </w:tcPr>
          <w:p w14:paraId="32B63AD9" w14:textId="77777777" w:rsidR="001A229E" w:rsidRPr="001A229E" w:rsidRDefault="001A229E" w:rsidP="001A229E">
            <w:pPr>
              <w:spacing w:after="0" w:line="240" w:lineRule="auto"/>
              <w:jc w:val="left"/>
              <w:rPr>
                <w:rFonts w:eastAsia="Times New Roman" w:cs="Calibri"/>
                <w:color w:val="000000"/>
                <w:sz w:val="20"/>
                <w:szCs w:val="20"/>
                <w:lang w:val="en-US"/>
              </w:rPr>
            </w:pPr>
            <w:r w:rsidRPr="001A229E">
              <w:rPr>
                <w:rFonts w:eastAsia="Times New Roman" w:cs="Calibri"/>
                <w:color w:val="000000"/>
                <w:sz w:val="20"/>
                <w:szCs w:val="20"/>
                <w:lang w:val="en-US"/>
              </w:rPr>
              <w:t>5.1.3.99.05.</w:t>
            </w:r>
          </w:p>
        </w:tc>
        <w:tc>
          <w:tcPr>
            <w:tcW w:w="3508" w:type="dxa"/>
            <w:tcBorders>
              <w:top w:val="nil"/>
              <w:left w:val="single" w:sz="8" w:space="0" w:color="auto"/>
              <w:bottom w:val="nil"/>
              <w:right w:val="single" w:sz="8" w:space="0" w:color="auto"/>
            </w:tcBorders>
            <w:shd w:val="clear" w:color="auto" w:fill="auto"/>
            <w:vAlign w:val="center"/>
            <w:hideMark/>
          </w:tcPr>
          <w:p w14:paraId="13FC698E" w14:textId="77777777" w:rsidR="001A229E" w:rsidRPr="001A229E" w:rsidRDefault="001A229E" w:rsidP="001A229E">
            <w:pPr>
              <w:spacing w:after="0" w:line="240" w:lineRule="auto"/>
              <w:jc w:val="left"/>
              <w:rPr>
                <w:rFonts w:eastAsia="Times New Roman" w:cs="Calibri"/>
                <w:color w:val="000000"/>
                <w:sz w:val="20"/>
                <w:szCs w:val="20"/>
              </w:rPr>
            </w:pPr>
            <w:r w:rsidRPr="001A229E">
              <w:rPr>
                <w:rFonts w:eastAsia="Times New Roman" w:cs="Calibri"/>
                <w:color w:val="000000"/>
                <w:sz w:val="20"/>
                <w:szCs w:val="20"/>
              </w:rPr>
              <w:t>Útiles y materiales de limpieza</w:t>
            </w:r>
          </w:p>
        </w:tc>
        <w:tc>
          <w:tcPr>
            <w:tcW w:w="1120" w:type="dxa"/>
            <w:tcBorders>
              <w:top w:val="nil"/>
              <w:left w:val="nil"/>
              <w:bottom w:val="nil"/>
              <w:right w:val="single" w:sz="8" w:space="0" w:color="auto"/>
            </w:tcBorders>
            <w:shd w:val="clear" w:color="000000" w:fill="FFFFFF"/>
            <w:noWrap/>
            <w:vAlign w:val="bottom"/>
            <w:hideMark/>
          </w:tcPr>
          <w:p w14:paraId="556A3471"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2 992,49</w:t>
            </w:r>
          </w:p>
        </w:tc>
        <w:tc>
          <w:tcPr>
            <w:tcW w:w="1083" w:type="dxa"/>
            <w:tcBorders>
              <w:top w:val="nil"/>
              <w:left w:val="nil"/>
              <w:bottom w:val="nil"/>
              <w:right w:val="single" w:sz="8" w:space="0" w:color="auto"/>
            </w:tcBorders>
            <w:shd w:val="clear" w:color="000000" w:fill="FFFFFF"/>
            <w:noWrap/>
            <w:vAlign w:val="bottom"/>
            <w:hideMark/>
          </w:tcPr>
          <w:p w14:paraId="666AB44E"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2 500,98</w:t>
            </w:r>
          </w:p>
        </w:tc>
        <w:tc>
          <w:tcPr>
            <w:tcW w:w="980" w:type="dxa"/>
            <w:tcBorders>
              <w:top w:val="nil"/>
              <w:left w:val="nil"/>
              <w:bottom w:val="nil"/>
              <w:right w:val="single" w:sz="8" w:space="0" w:color="auto"/>
            </w:tcBorders>
            <w:shd w:val="clear" w:color="000000" w:fill="FFFFFF"/>
            <w:noWrap/>
            <w:vAlign w:val="bottom"/>
            <w:hideMark/>
          </w:tcPr>
          <w:p w14:paraId="26940BB3"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491,51</w:t>
            </w:r>
          </w:p>
        </w:tc>
        <w:tc>
          <w:tcPr>
            <w:tcW w:w="955" w:type="dxa"/>
            <w:tcBorders>
              <w:top w:val="nil"/>
              <w:left w:val="nil"/>
              <w:bottom w:val="nil"/>
              <w:right w:val="single" w:sz="8" w:space="0" w:color="auto"/>
            </w:tcBorders>
            <w:shd w:val="clear" w:color="auto" w:fill="auto"/>
            <w:noWrap/>
            <w:vAlign w:val="bottom"/>
            <w:hideMark/>
          </w:tcPr>
          <w:p w14:paraId="18919311" w14:textId="77777777" w:rsidR="001A229E" w:rsidRPr="001A229E" w:rsidRDefault="001A229E" w:rsidP="001A229E">
            <w:pPr>
              <w:spacing w:after="0" w:line="240" w:lineRule="auto"/>
              <w:jc w:val="center"/>
              <w:rPr>
                <w:rFonts w:eastAsia="Times New Roman" w:cs="Calibri"/>
                <w:color w:val="000000"/>
                <w:sz w:val="18"/>
                <w:szCs w:val="18"/>
                <w:lang w:val="en-US"/>
              </w:rPr>
            </w:pPr>
            <w:r w:rsidRPr="001A229E">
              <w:rPr>
                <w:rFonts w:eastAsia="Times New Roman" w:cs="Calibri"/>
                <w:color w:val="000000"/>
                <w:sz w:val="18"/>
                <w:szCs w:val="18"/>
                <w:lang w:val="en-US"/>
              </w:rPr>
              <w:t>19,65%</w:t>
            </w:r>
          </w:p>
        </w:tc>
        <w:tc>
          <w:tcPr>
            <w:tcW w:w="222" w:type="dxa"/>
            <w:vAlign w:val="center"/>
            <w:hideMark/>
          </w:tcPr>
          <w:p w14:paraId="23C3C021" w14:textId="77777777" w:rsidR="001A229E" w:rsidRPr="001A229E" w:rsidRDefault="001A229E" w:rsidP="001A229E">
            <w:pPr>
              <w:spacing w:after="0" w:line="240" w:lineRule="auto"/>
              <w:jc w:val="left"/>
              <w:rPr>
                <w:rFonts w:ascii="Times New Roman" w:eastAsia="Times New Roman" w:hAnsi="Times New Roman" w:cs="Times New Roman"/>
                <w:sz w:val="20"/>
                <w:szCs w:val="20"/>
                <w:lang w:val="en-US"/>
              </w:rPr>
            </w:pPr>
          </w:p>
        </w:tc>
      </w:tr>
      <w:tr w:rsidR="001A229E" w:rsidRPr="001A229E" w14:paraId="28201903" w14:textId="77777777" w:rsidTr="001A229E">
        <w:trPr>
          <w:trHeight w:val="290"/>
        </w:trPr>
        <w:tc>
          <w:tcPr>
            <w:tcW w:w="1083" w:type="dxa"/>
            <w:tcBorders>
              <w:top w:val="nil"/>
              <w:left w:val="single" w:sz="8" w:space="0" w:color="auto"/>
              <w:bottom w:val="nil"/>
              <w:right w:val="nil"/>
            </w:tcBorders>
            <w:shd w:val="clear" w:color="auto" w:fill="auto"/>
            <w:noWrap/>
            <w:vAlign w:val="center"/>
            <w:hideMark/>
          </w:tcPr>
          <w:p w14:paraId="6B9953D1" w14:textId="77777777" w:rsidR="001A229E" w:rsidRPr="001A229E" w:rsidRDefault="001A229E" w:rsidP="001A229E">
            <w:pPr>
              <w:spacing w:after="0" w:line="240" w:lineRule="auto"/>
              <w:jc w:val="left"/>
              <w:rPr>
                <w:rFonts w:eastAsia="Times New Roman" w:cs="Calibri"/>
                <w:color w:val="000000"/>
                <w:sz w:val="20"/>
                <w:szCs w:val="20"/>
                <w:lang w:val="en-US"/>
              </w:rPr>
            </w:pPr>
            <w:r w:rsidRPr="001A229E">
              <w:rPr>
                <w:rFonts w:eastAsia="Times New Roman" w:cs="Calibri"/>
                <w:color w:val="000000"/>
                <w:sz w:val="20"/>
                <w:szCs w:val="20"/>
                <w:lang w:val="en-US"/>
              </w:rPr>
              <w:t>5.1.3.99.06.</w:t>
            </w:r>
          </w:p>
        </w:tc>
        <w:tc>
          <w:tcPr>
            <w:tcW w:w="3508" w:type="dxa"/>
            <w:tcBorders>
              <w:top w:val="nil"/>
              <w:left w:val="single" w:sz="8" w:space="0" w:color="auto"/>
              <w:bottom w:val="nil"/>
              <w:right w:val="single" w:sz="8" w:space="0" w:color="auto"/>
            </w:tcBorders>
            <w:shd w:val="clear" w:color="000000" w:fill="FFFFFF"/>
            <w:vAlign w:val="center"/>
            <w:hideMark/>
          </w:tcPr>
          <w:p w14:paraId="743179CD" w14:textId="77777777" w:rsidR="001A229E" w:rsidRPr="001A229E" w:rsidRDefault="001A229E" w:rsidP="001A229E">
            <w:pPr>
              <w:spacing w:after="0" w:line="240" w:lineRule="auto"/>
              <w:jc w:val="left"/>
              <w:rPr>
                <w:rFonts w:eastAsia="Times New Roman" w:cs="Calibri"/>
                <w:color w:val="000000"/>
                <w:sz w:val="20"/>
                <w:szCs w:val="20"/>
              </w:rPr>
            </w:pPr>
            <w:r w:rsidRPr="001A229E">
              <w:rPr>
                <w:rFonts w:eastAsia="Times New Roman" w:cs="Calibri"/>
                <w:color w:val="000000"/>
                <w:sz w:val="20"/>
                <w:szCs w:val="20"/>
              </w:rPr>
              <w:t>Útiles y materiales de resguardo y seguridad</w:t>
            </w:r>
          </w:p>
        </w:tc>
        <w:tc>
          <w:tcPr>
            <w:tcW w:w="1120" w:type="dxa"/>
            <w:tcBorders>
              <w:top w:val="nil"/>
              <w:left w:val="nil"/>
              <w:bottom w:val="nil"/>
              <w:right w:val="single" w:sz="8" w:space="0" w:color="auto"/>
            </w:tcBorders>
            <w:shd w:val="clear" w:color="000000" w:fill="FFFFFF"/>
            <w:noWrap/>
            <w:vAlign w:val="bottom"/>
            <w:hideMark/>
          </w:tcPr>
          <w:p w14:paraId="291A977F"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4 587,03</w:t>
            </w:r>
          </w:p>
        </w:tc>
        <w:tc>
          <w:tcPr>
            <w:tcW w:w="1083" w:type="dxa"/>
            <w:tcBorders>
              <w:top w:val="nil"/>
              <w:left w:val="nil"/>
              <w:bottom w:val="nil"/>
              <w:right w:val="single" w:sz="8" w:space="0" w:color="auto"/>
            </w:tcBorders>
            <w:shd w:val="clear" w:color="000000" w:fill="FFFFFF"/>
            <w:noWrap/>
            <w:vAlign w:val="bottom"/>
            <w:hideMark/>
          </w:tcPr>
          <w:p w14:paraId="7C32BDDF"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0,00</w:t>
            </w:r>
          </w:p>
        </w:tc>
        <w:tc>
          <w:tcPr>
            <w:tcW w:w="980" w:type="dxa"/>
            <w:tcBorders>
              <w:top w:val="nil"/>
              <w:left w:val="nil"/>
              <w:bottom w:val="nil"/>
              <w:right w:val="single" w:sz="8" w:space="0" w:color="auto"/>
            </w:tcBorders>
            <w:shd w:val="clear" w:color="000000" w:fill="FFFFFF"/>
            <w:noWrap/>
            <w:vAlign w:val="bottom"/>
            <w:hideMark/>
          </w:tcPr>
          <w:p w14:paraId="41AB12F1"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4 587,03</w:t>
            </w:r>
          </w:p>
        </w:tc>
        <w:tc>
          <w:tcPr>
            <w:tcW w:w="955" w:type="dxa"/>
            <w:tcBorders>
              <w:top w:val="nil"/>
              <w:left w:val="nil"/>
              <w:bottom w:val="nil"/>
              <w:right w:val="single" w:sz="8" w:space="0" w:color="auto"/>
            </w:tcBorders>
            <w:shd w:val="clear" w:color="auto" w:fill="auto"/>
            <w:noWrap/>
            <w:vAlign w:val="bottom"/>
            <w:hideMark/>
          </w:tcPr>
          <w:p w14:paraId="5B027600" w14:textId="77777777" w:rsidR="001A229E" w:rsidRPr="001A229E" w:rsidRDefault="001A229E" w:rsidP="001A229E">
            <w:pPr>
              <w:spacing w:after="0" w:line="240" w:lineRule="auto"/>
              <w:jc w:val="center"/>
              <w:rPr>
                <w:rFonts w:eastAsia="Times New Roman" w:cs="Calibri"/>
                <w:color w:val="000000"/>
                <w:sz w:val="18"/>
                <w:szCs w:val="18"/>
                <w:lang w:val="en-US"/>
              </w:rPr>
            </w:pPr>
            <w:r w:rsidRPr="001A229E">
              <w:rPr>
                <w:rFonts w:eastAsia="Times New Roman" w:cs="Calibri"/>
                <w:color w:val="000000"/>
                <w:sz w:val="18"/>
                <w:szCs w:val="18"/>
                <w:lang w:val="en-US"/>
              </w:rPr>
              <w:t>#DIV/0!</w:t>
            </w:r>
          </w:p>
        </w:tc>
        <w:tc>
          <w:tcPr>
            <w:tcW w:w="222" w:type="dxa"/>
            <w:vAlign w:val="center"/>
            <w:hideMark/>
          </w:tcPr>
          <w:p w14:paraId="0875BEA9" w14:textId="77777777" w:rsidR="001A229E" w:rsidRPr="001A229E" w:rsidRDefault="001A229E" w:rsidP="001A229E">
            <w:pPr>
              <w:spacing w:after="0" w:line="240" w:lineRule="auto"/>
              <w:jc w:val="left"/>
              <w:rPr>
                <w:rFonts w:ascii="Times New Roman" w:eastAsia="Times New Roman" w:hAnsi="Times New Roman" w:cs="Times New Roman"/>
                <w:sz w:val="20"/>
                <w:szCs w:val="20"/>
                <w:lang w:val="en-US"/>
              </w:rPr>
            </w:pPr>
          </w:p>
        </w:tc>
      </w:tr>
      <w:tr w:rsidR="001A229E" w:rsidRPr="001A229E" w14:paraId="510C1CB7" w14:textId="77777777" w:rsidTr="001A229E">
        <w:trPr>
          <w:trHeight w:val="300"/>
        </w:trPr>
        <w:tc>
          <w:tcPr>
            <w:tcW w:w="1083" w:type="dxa"/>
            <w:tcBorders>
              <w:top w:val="nil"/>
              <w:left w:val="single" w:sz="8" w:space="0" w:color="auto"/>
              <w:bottom w:val="single" w:sz="8" w:space="0" w:color="auto"/>
              <w:right w:val="nil"/>
            </w:tcBorders>
            <w:shd w:val="clear" w:color="auto" w:fill="auto"/>
            <w:noWrap/>
            <w:vAlign w:val="center"/>
            <w:hideMark/>
          </w:tcPr>
          <w:p w14:paraId="726C43BB" w14:textId="77777777" w:rsidR="001A229E" w:rsidRPr="001A229E" w:rsidRDefault="001A229E" w:rsidP="001A229E">
            <w:pPr>
              <w:spacing w:after="0" w:line="240" w:lineRule="auto"/>
              <w:jc w:val="left"/>
              <w:rPr>
                <w:rFonts w:eastAsia="Times New Roman" w:cs="Calibri"/>
                <w:color w:val="000000"/>
                <w:sz w:val="20"/>
                <w:szCs w:val="20"/>
                <w:lang w:val="en-US"/>
              </w:rPr>
            </w:pPr>
            <w:r w:rsidRPr="001A229E">
              <w:rPr>
                <w:rFonts w:eastAsia="Times New Roman" w:cs="Calibri"/>
                <w:color w:val="000000"/>
                <w:sz w:val="20"/>
                <w:szCs w:val="20"/>
                <w:lang w:val="en-US"/>
              </w:rPr>
              <w:t>5.1.3.99.99.</w:t>
            </w:r>
          </w:p>
        </w:tc>
        <w:tc>
          <w:tcPr>
            <w:tcW w:w="3508" w:type="dxa"/>
            <w:tcBorders>
              <w:top w:val="nil"/>
              <w:left w:val="single" w:sz="8" w:space="0" w:color="auto"/>
              <w:bottom w:val="single" w:sz="8" w:space="0" w:color="auto"/>
              <w:right w:val="single" w:sz="8" w:space="0" w:color="auto"/>
            </w:tcBorders>
            <w:shd w:val="clear" w:color="000000" w:fill="FFFFFF"/>
            <w:vAlign w:val="center"/>
            <w:hideMark/>
          </w:tcPr>
          <w:p w14:paraId="3E6F4D40" w14:textId="77777777" w:rsidR="001A229E" w:rsidRPr="001A229E" w:rsidRDefault="001A229E" w:rsidP="001A229E">
            <w:pPr>
              <w:spacing w:after="0" w:line="240" w:lineRule="auto"/>
              <w:jc w:val="left"/>
              <w:rPr>
                <w:rFonts w:eastAsia="Times New Roman" w:cs="Calibri"/>
                <w:color w:val="000000"/>
                <w:sz w:val="20"/>
                <w:szCs w:val="20"/>
              </w:rPr>
            </w:pPr>
            <w:r w:rsidRPr="001A229E">
              <w:rPr>
                <w:rFonts w:eastAsia="Times New Roman" w:cs="Calibri"/>
                <w:color w:val="000000"/>
                <w:sz w:val="20"/>
                <w:szCs w:val="20"/>
              </w:rPr>
              <w:t>Otros útiles, materiales y suministros diversos</w:t>
            </w:r>
          </w:p>
        </w:tc>
        <w:tc>
          <w:tcPr>
            <w:tcW w:w="1120" w:type="dxa"/>
            <w:tcBorders>
              <w:top w:val="nil"/>
              <w:left w:val="nil"/>
              <w:bottom w:val="nil"/>
              <w:right w:val="single" w:sz="8" w:space="0" w:color="auto"/>
            </w:tcBorders>
            <w:shd w:val="clear" w:color="000000" w:fill="FFFFFF"/>
            <w:noWrap/>
            <w:vAlign w:val="bottom"/>
            <w:hideMark/>
          </w:tcPr>
          <w:p w14:paraId="4EF374E1"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1 602,85</w:t>
            </w:r>
          </w:p>
        </w:tc>
        <w:tc>
          <w:tcPr>
            <w:tcW w:w="1083" w:type="dxa"/>
            <w:tcBorders>
              <w:top w:val="nil"/>
              <w:left w:val="nil"/>
              <w:bottom w:val="nil"/>
              <w:right w:val="single" w:sz="8" w:space="0" w:color="auto"/>
            </w:tcBorders>
            <w:shd w:val="clear" w:color="000000" w:fill="FFFFFF"/>
            <w:noWrap/>
            <w:vAlign w:val="bottom"/>
            <w:hideMark/>
          </w:tcPr>
          <w:p w14:paraId="6CD7B367"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4 873,45</w:t>
            </w:r>
          </w:p>
        </w:tc>
        <w:tc>
          <w:tcPr>
            <w:tcW w:w="980" w:type="dxa"/>
            <w:tcBorders>
              <w:top w:val="nil"/>
              <w:left w:val="nil"/>
              <w:bottom w:val="single" w:sz="8" w:space="0" w:color="auto"/>
              <w:right w:val="single" w:sz="8" w:space="0" w:color="auto"/>
            </w:tcBorders>
            <w:shd w:val="clear" w:color="000000" w:fill="FFFFFF"/>
            <w:noWrap/>
            <w:vAlign w:val="bottom"/>
            <w:hideMark/>
          </w:tcPr>
          <w:p w14:paraId="2A0A6431" w14:textId="77777777" w:rsidR="001A229E" w:rsidRPr="001A229E" w:rsidRDefault="001A229E" w:rsidP="001A229E">
            <w:pPr>
              <w:spacing w:after="0" w:line="240" w:lineRule="auto"/>
              <w:jc w:val="right"/>
              <w:rPr>
                <w:rFonts w:eastAsia="Times New Roman" w:cs="Calibri"/>
                <w:color w:val="000000"/>
                <w:sz w:val="18"/>
                <w:szCs w:val="18"/>
                <w:lang w:val="en-US"/>
              </w:rPr>
            </w:pPr>
            <w:r w:rsidRPr="001A229E">
              <w:rPr>
                <w:rFonts w:eastAsia="Times New Roman" w:cs="Calibri"/>
                <w:color w:val="000000"/>
                <w:sz w:val="18"/>
                <w:szCs w:val="18"/>
                <w:lang w:val="en-US"/>
              </w:rPr>
              <w:t>-3 270,60</w:t>
            </w:r>
          </w:p>
        </w:tc>
        <w:tc>
          <w:tcPr>
            <w:tcW w:w="955" w:type="dxa"/>
            <w:tcBorders>
              <w:top w:val="nil"/>
              <w:left w:val="nil"/>
              <w:bottom w:val="single" w:sz="8" w:space="0" w:color="auto"/>
              <w:right w:val="single" w:sz="8" w:space="0" w:color="auto"/>
            </w:tcBorders>
            <w:shd w:val="clear" w:color="auto" w:fill="auto"/>
            <w:noWrap/>
            <w:vAlign w:val="bottom"/>
            <w:hideMark/>
          </w:tcPr>
          <w:p w14:paraId="6BB26352" w14:textId="77777777" w:rsidR="001A229E" w:rsidRPr="001A229E" w:rsidRDefault="001A229E" w:rsidP="001A229E">
            <w:pPr>
              <w:spacing w:after="0" w:line="240" w:lineRule="auto"/>
              <w:jc w:val="center"/>
              <w:rPr>
                <w:rFonts w:eastAsia="Times New Roman" w:cs="Calibri"/>
                <w:color w:val="000000"/>
                <w:sz w:val="18"/>
                <w:szCs w:val="18"/>
                <w:lang w:val="en-US"/>
              </w:rPr>
            </w:pPr>
            <w:r w:rsidRPr="001A229E">
              <w:rPr>
                <w:rFonts w:eastAsia="Times New Roman" w:cs="Calibri"/>
                <w:color w:val="000000"/>
                <w:sz w:val="18"/>
                <w:szCs w:val="18"/>
                <w:lang w:val="en-US"/>
              </w:rPr>
              <w:t>-67,11%</w:t>
            </w:r>
          </w:p>
        </w:tc>
        <w:tc>
          <w:tcPr>
            <w:tcW w:w="222" w:type="dxa"/>
            <w:vAlign w:val="center"/>
            <w:hideMark/>
          </w:tcPr>
          <w:p w14:paraId="3599317B" w14:textId="77777777" w:rsidR="001A229E" w:rsidRPr="001A229E" w:rsidRDefault="001A229E" w:rsidP="001A229E">
            <w:pPr>
              <w:spacing w:after="0" w:line="240" w:lineRule="auto"/>
              <w:jc w:val="left"/>
              <w:rPr>
                <w:rFonts w:ascii="Times New Roman" w:eastAsia="Times New Roman" w:hAnsi="Times New Roman" w:cs="Times New Roman"/>
                <w:sz w:val="20"/>
                <w:szCs w:val="20"/>
                <w:lang w:val="en-US"/>
              </w:rPr>
            </w:pPr>
          </w:p>
        </w:tc>
      </w:tr>
      <w:tr w:rsidR="001A229E" w:rsidRPr="001A229E" w14:paraId="71398A49" w14:textId="77777777" w:rsidTr="001A229E">
        <w:trPr>
          <w:trHeight w:val="30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14:paraId="58B67AEF" w14:textId="77777777" w:rsidR="001A229E" w:rsidRPr="001A229E" w:rsidRDefault="001A229E" w:rsidP="001A229E">
            <w:pPr>
              <w:spacing w:after="0" w:line="240" w:lineRule="auto"/>
              <w:jc w:val="left"/>
              <w:rPr>
                <w:rFonts w:eastAsia="Times New Roman" w:cs="Calibri"/>
                <w:b/>
                <w:bCs/>
                <w:color w:val="000000"/>
                <w:sz w:val="20"/>
                <w:szCs w:val="20"/>
                <w:lang w:val="en-US"/>
              </w:rPr>
            </w:pPr>
            <w:r w:rsidRPr="001A229E">
              <w:rPr>
                <w:rFonts w:eastAsia="Times New Roman" w:cs="Calibri"/>
                <w:b/>
                <w:bCs/>
                <w:color w:val="000000"/>
                <w:sz w:val="20"/>
                <w:szCs w:val="20"/>
                <w:lang w:val="en-US"/>
              </w:rPr>
              <w:t> </w:t>
            </w:r>
          </w:p>
        </w:tc>
        <w:tc>
          <w:tcPr>
            <w:tcW w:w="3508" w:type="dxa"/>
            <w:tcBorders>
              <w:top w:val="nil"/>
              <w:left w:val="nil"/>
              <w:bottom w:val="single" w:sz="8" w:space="0" w:color="auto"/>
              <w:right w:val="single" w:sz="8" w:space="0" w:color="auto"/>
            </w:tcBorders>
            <w:shd w:val="clear" w:color="auto" w:fill="auto"/>
            <w:vAlign w:val="center"/>
            <w:hideMark/>
          </w:tcPr>
          <w:p w14:paraId="6B971696" w14:textId="77777777" w:rsidR="001A229E" w:rsidRPr="001A229E" w:rsidRDefault="001A229E" w:rsidP="001A229E">
            <w:pPr>
              <w:spacing w:after="0" w:line="240" w:lineRule="auto"/>
              <w:jc w:val="center"/>
              <w:rPr>
                <w:rFonts w:eastAsia="Times New Roman" w:cs="Calibri"/>
                <w:b/>
                <w:bCs/>
                <w:color w:val="000000"/>
                <w:sz w:val="20"/>
                <w:szCs w:val="20"/>
                <w:lang w:val="en-US"/>
              </w:rPr>
            </w:pPr>
            <w:r w:rsidRPr="001A229E">
              <w:rPr>
                <w:rFonts w:eastAsia="Times New Roman" w:cs="Calibri"/>
                <w:b/>
                <w:bCs/>
                <w:color w:val="000000"/>
                <w:sz w:val="20"/>
                <w:szCs w:val="20"/>
                <w:lang w:val="en-US"/>
              </w:rPr>
              <w:t>TOTALES</w:t>
            </w:r>
          </w:p>
        </w:tc>
        <w:tc>
          <w:tcPr>
            <w:tcW w:w="1120" w:type="dxa"/>
            <w:tcBorders>
              <w:top w:val="single" w:sz="8" w:space="0" w:color="auto"/>
              <w:left w:val="nil"/>
              <w:bottom w:val="single" w:sz="8" w:space="0" w:color="auto"/>
              <w:right w:val="single" w:sz="8" w:space="0" w:color="auto"/>
            </w:tcBorders>
            <w:shd w:val="clear" w:color="000000" w:fill="FFFFFF"/>
            <w:noWrap/>
            <w:vAlign w:val="bottom"/>
            <w:hideMark/>
          </w:tcPr>
          <w:p w14:paraId="1E4A6AAF" w14:textId="77777777" w:rsidR="001A229E" w:rsidRPr="001A229E" w:rsidRDefault="001A229E" w:rsidP="001A229E">
            <w:pPr>
              <w:spacing w:after="0" w:line="240" w:lineRule="auto"/>
              <w:jc w:val="right"/>
              <w:rPr>
                <w:rFonts w:eastAsia="Times New Roman" w:cs="Calibri"/>
                <w:b/>
                <w:bCs/>
                <w:color w:val="000000"/>
                <w:sz w:val="18"/>
                <w:szCs w:val="18"/>
                <w:lang w:val="en-US"/>
              </w:rPr>
            </w:pPr>
            <w:r w:rsidRPr="001A229E">
              <w:rPr>
                <w:rFonts w:ascii="Arial" w:eastAsia="Times New Roman" w:hAnsi="Arial" w:cs="Arial"/>
                <w:b/>
                <w:bCs/>
                <w:color w:val="000000"/>
                <w:sz w:val="18"/>
                <w:szCs w:val="18"/>
                <w:lang w:val="en-US"/>
              </w:rPr>
              <w:t>₡</w:t>
            </w:r>
            <w:r w:rsidRPr="001A229E">
              <w:rPr>
                <w:rFonts w:eastAsia="Times New Roman" w:cs="Calibri"/>
                <w:b/>
                <w:bCs/>
                <w:color w:val="000000"/>
                <w:sz w:val="18"/>
                <w:szCs w:val="18"/>
                <w:lang w:val="en-US"/>
              </w:rPr>
              <w:t>289 260,24</w:t>
            </w:r>
          </w:p>
        </w:tc>
        <w:tc>
          <w:tcPr>
            <w:tcW w:w="1083" w:type="dxa"/>
            <w:tcBorders>
              <w:top w:val="single" w:sz="8" w:space="0" w:color="auto"/>
              <w:left w:val="nil"/>
              <w:bottom w:val="single" w:sz="8" w:space="0" w:color="auto"/>
              <w:right w:val="single" w:sz="8" w:space="0" w:color="auto"/>
            </w:tcBorders>
            <w:shd w:val="clear" w:color="000000" w:fill="FFFFFF"/>
            <w:noWrap/>
            <w:vAlign w:val="bottom"/>
            <w:hideMark/>
          </w:tcPr>
          <w:p w14:paraId="27EB8E86" w14:textId="77777777" w:rsidR="001A229E" w:rsidRPr="001A229E" w:rsidRDefault="001A229E" w:rsidP="001A229E">
            <w:pPr>
              <w:spacing w:after="0" w:line="240" w:lineRule="auto"/>
              <w:ind w:left="-156"/>
              <w:jc w:val="right"/>
              <w:rPr>
                <w:rFonts w:eastAsia="Times New Roman" w:cs="Calibri"/>
                <w:b/>
                <w:bCs/>
                <w:color w:val="000000"/>
                <w:sz w:val="18"/>
                <w:szCs w:val="18"/>
                <w:lang w:val="en-US"/>
              </w:rPr>
            </w:pPr>
            <w:r w:rsidRPr="001A229E">
              <w:rPr>
                <w:rFonts w:ascii="Arial" w:eastAsia="Times New Roman" w:hAnsi="Arial" w:cs="Arial"/>
                <w:b/>
                <w:bCs/>
                <w:color w:val="000000"/>
                <w:sz w:val="18"/>
                <w:szCs w:val="18"/>
                <w:lang w:val="en-US"/>
              </w:rPr>
              <w:t>₡</w:t>
            </w:r>
            <w:r w:rsidRPr="001A229E">
              <w:rPr>
                <w:rFonts w:eastAsia="Times New Roman" w:cs="Calibri"/>
                <w:b/>
                <w:bCs/>
                <w:color w:val="000000"/>
                <w:sz w:val="18"/>
                <w:szCs w:val="18"/>
                <w:lang w:val="en-US"/>
              </w:rPr>
              <w:t>259 761,80</w:t>
            </w:r>
          </w:p>
        </w:tc>
        <w:tc>
          <w:tcPr>
            <w:tcW w:w="980" w:type="dxa"/>
            <w:tcBorders>
              <w:top w:val="nil"/>
              <w:left w:val="nil"/>
              <w:bottom w:val="single" w:sz="8" w:space="0" w:color="auto"/>
              <w:right w:val="single" w:sz="8" w:space="0" w:color="auto"/>
            </w:tcBorders>
            <w:shd w:val="clear" w:color="000000" w:fill="FFFFFF"/>
            <w:noWrap/>
            <w:vAlign w:val="bottom"/>
            <w:hideMark/>
          </w:tcPr>
          <w:p w14:paraId="12C76115" w14:textId="77777777" w:rsidR="001A229E" w:rsidRPr="001A229E" w:rsidRDefault="001A229E" w:rsidP="001A229E">
            <w:pPr>
              <w:spacing w:after="0" w:line="240" w:lineRule="auto"/>
              <w:ind w:left="-120"/>
              <w:jc w:val="right"/>
              <w:rPr>
                <w:rFonts w:eastAsia="Times New Roman" w:cs="Calibri"/>
                <w:b/>
                <w:bCs/>
                <w:color w:val="000000"/>
                <w:sz w:val="18"/>
                <w:szCs w:val="18"/>
                <w:lang w:val="en-US"/>
              </w:rPr>
            </w:pPr>
            <w:r w:rsidRPr="001A229E">
              <w:rPr>
                <w:rFonts w:ascii="Arial" w:eastAsia="Times New Roman" w:hAnsi="Arial" w:cs="Arial"/>
                <w:b/>
                <w:bCs/>
                <w:color w:val="000000"/>
                <w:sz w:val="18"/>
                <w:szCs w:val="18"/>
                <w:lang w:val="en-US"/>
              </w:rPr>
              <w:t>₡</w:t>
            </w:r>
            <w:r w:rsidRPr="001A229E">
              <w:rPr>
                <w:rFonts w:eastAsia="Times New Roman" w:cs="Calibri"/>
                <w:b/>
                <w:bCs/>
                <w:color w:val="000000"/>
                <w:sz w:val="18"/>
                <w:szCs w:val="18"/>
                <w:lang w:val="en-US"/>
              </w:rPr>
              <w:t>29 498,45</w:t>
            </w:r>
          </w:p>
        </w:tc>
        <w:tc>
          <w:tcPr>
            <w:tcW w:w="955" w:type="dxa"/>
            <w:tcBorders>
              <w:top w:val="nil"/>
              <w:left w:val="nil"/>
              <w:bottom w:val="single" w:sz="8" w:space="0" w:color="auto"/>
              <w:right w:val="single" w:sz="8" w:space="0" w:color="auto"/>
            </w:tcBorders>
            <w:shd w:val="clear" w:color="auto" w:fill="auto"/>
            <w:noWrap/>
            <w:vAlign w:val="bottom"/>
            <w:hideMark/>
          </w:tcPr>
          <w:p w14:paraId="05E4112A" w14:textId="77777777" w:rsidR="001A229E" w:rsidRPr="001A229E" w:rsidRDefault="001A229E" w:rsidP="001A229E">
            <w:pPr>
              <w:spacing w:after="0" w:line="240" w:lineRule="auto"/>
              <w:jc w:val="center"/>
              <w:rPr>
                <w:rFonts w:eastAsia="Times New Roman" w:cs="Calibri"/>
                <w:b/>
                <w:bCs/>
                <w:color w:val="000000"/>
                <w:sz w:val="18"/>
                <w:szCs w:val="18"/>
                <w:lang w:val="en-US"/>
              </w:rPr>
            </w:pPr>
            <w:r w:rsidRPr="001A229E">
              <w:rPr>
                <w:rFonts w:eastAsia="Times New Roman" w:cs="Calibri"/>
                <w:b/>
                <w:bCs/>
                <w:color w:val="000000"/>
                <w:sz w:val="18"/>
                <w:szCs w:val="18"/>
                <w:lang w:val="en-US"/>
              </w:rPr>
              <w:t>11,36%</w:t>
            </w:r>
          </w:p>
        </w:tc>
        <w:tc>
          <w:tcPr>
            <w:tcW w:w="222" w:type="dxa"/>
            <w:vAlign w:val="center"/>
            <w:hideMark/>
          </w:tcPr>
          <w:p w14:paraId="19732405" w14:textId="77777777" w:rsidR="001A229E" w:rsidRPr="001A229E" w:rsidRDefault="001A229E" w:rsidP="001A229E">
            <w:pPr>
              <w:spacing w:after="0" w:line="240" w:lineRule="auto"/>
              <w:jc w:val="left"/>
              <w:rPr>
                <w:rFonts w:ascii="Times New Roman" w:eastAsia="Times New Roman" w:hAnsi="Times New Roman" w:cs="Times New Roman"/>
                <w:sz w:val="20"/>
                <w:szCs w:val="20"/>
                <w:lang w:val="en-US"/>
              </w:rPr>
            </w:pPr>
          </w:p>
        </w:tc>
      </w:tr>
    </w:tbl>
    <w:p w14:paraId="218E7668" w14:textId="77777777" w:rsidR="00E75AB1" w:rsidRDefault="00E75AB1" w:rsidP="00E75AB1">
      <w:pPr>
        <w:spacing w:after="0" w:line="240" w:lineRule="auto"/>
        <w:rPr>
          <w:rFonts w:eastAsiaTheme="minorEastAsia" w:cs="Arial Narrow"/>
          <w:color w:val="000000"/>
          <w:lang w:eastAsia="es-CR"/>
        </w:rPr>
      </w:pPr>
    </w:p>
    <w:p w14:paraId="0D59BF56" w14:textId="3ECF8586" w:rsidR="00E75AB1" w:rsidRPr="00E75AB1" w:rsidRDefault="00E75AB1" w:rsidP="00E75AB1">
      <w:pPr>
        <w:spacing w:line="240" w:lineRule="auto"/>
        <w:rPr>
          <w:rFonts w:eastAsia="Times New Roman" w:cs="Calibri"/>
          <w:color w:val="000000"/>
          <w:sz w:val="20"/>
          <w:szCs w:val="20"/>
        </w:rPr>
      </w:pPr>
      <w:r>
        <w:t xml:space="preserve">Como se aprecia en el cuadro anterior, la variación (aumento) de </w:t>
      </w:r>
      <w:r w:rsidRPr="00B46A0F">
        <w:rPr>
          <w:rFonts w:ascii="Arial" w:hAnsi="Arial" w:cs="Arial"/>
        </w:rPr>
        <w:t>₡</w:t>
      </w:r>
      <w:r w:rsidR="00B46A0F">
        <w:t>29</w:t>
      </w:r>
      <w:r w:rsidRPr="009755F2">
        <w:t> </w:t>
      </w:r>
      <w:r w:rsidR="00B46A0F">
        <w:t>4</w:t>
      </w:r>
      <w:r>
        <w:t>9</w:t>
      </w:r>
      <w:r w:rsidR="00B46A0F">
        <w:t>8</w:t>
      </w:r>
      <w:r w:rsidRPr="009755F2">
        <w:t>,</w:t>
      </w:r>
      <w:r w:rsidR="00B46A0F">
        <w:t>45</w:t>
      </w:r>
      <w:r w:rsidRPr="009755F2">
        <w:t xml:space="preserve"> miles</w:t>
      </w:r>
      <w:r>
        <w:t xml:space="preserve"> que presenta la cuenta de “Materiales y suministros consumidos” al comparar los saldos de </w:t>
      </w:r>
      <w:r w:rsidR="0096573A">
        <w:t>junio</w:t>
      </w:r>
      <w:r>
        <w:t xml:space="preserve"> de 2023 y </w:t>
      </w:r>
      <w:r w:rsidR="0096573A">
        <w:t>junio</w:t>
      </w:r>
      <w:r>
        <w:t xml:space="preserve"> de 2024, es el producto neto de variaciones positiva y negativas en las subcuentas que la conforman. Al respecto, los rubros de más relevancia según se observa en el cuadro de referencia son: </w:t>
      </w:r>
      <w:r w:rsidRPr="00DA2286">
        <w:t>Combustibles y lubricantes (</w:t>
      </w:r>
      <w:r w:rsidRPr="00B46A0F">
        <w:rPr>
          <w:rFonts w:ascii="Arial" w:hAnsi="Arial" w:cs="Arial"/>
        </w:rPr>
        <w:t>₡</w:t>
      </w:r>
      <w:r w:rsidR="001A229E" w:rsidRPr="001A229E">
        <w:t>13 801,49</w:t>
      </w:r>
      <w:r w:rsidR="001A229E" w:rsidRPr="00B46A0F">
        <w:t xml:space="preserve"> </w:t>
      </w:r>
      <w:r w:rsidRPr="00DA2286">
        <w:t>miles),</w:t>
      </w:r>
      <w:r w:rsidR="001A229E">
        <w:t xml:space="preserve"> “</w:t>
      </w:r>
      <w:r w:rsidR="001A229E" w:rsidRPr="001A229E">
        <w:t xml:space="preserve">Materiales y productos </w:t>
      </w:r>
      <w:r w:rsidR="00B46A0F" w:rsidRPr="001A229E">
        <w:t>metálicos</w:t>
      </w:r>
      <w:r w:rsidR="00B46A0F" w:rsidRPr="00B46A0F">
        <w:t>” (</w:t>
      </w:r>
      <w:r w:rsidR="001A229E" w:rsidRPr="00B46A0F">
        <w:rPr>
          <w:rFonts w:ascii="Arial" w:hAnsi="Arial" w:cs="Arial"/>
        </w:rPr>
        <w:t>₡</w:t>
      </w:r>
      <w:r w:rsidR="001A229E" w:rsidRPr="001A229E">
        <w:t>3 360,13</w:t>
      </w:r>
      <w:r w:rsidR="001A229E" w:rsidRPr="00B46A0F">
        <w:t xml:space="preserve"> miles),</w:t>
      </w:r>
      <w:r w:rsidRPr="00DA2286">
        <w:t xml:space="preserve"> “Materiales y productos minerales y asfálticos”</w:t>
      </w:r>
      <w:r>
        <w:t xml:space="preserve"> </w:t>
      </w:r>
      <w:r w:rsidRPr="00DA2286">
        <w:t>(</w:t>
      </w:r>
      <w:r w:rsidRPr="00B46A0F">
        <w:rPr>
          <w:rFonts w:ascii="Arial" w:hAnsi="Arial" w:cs="Arial"/>
        </w:rPr>
        <w:t>₡</w:t>
      </w:r>
      <w:r w:rsidR="001A229E" w:rsidRPr="001A229E">
        <w:t xml:space="preserve">3 662,55 </w:t>
      </w:r>
      <w:r w:rsidRPr="00DA2286">
        <w:t>miles); “</w:t>
      </w:r>
      <w:r w:rsidRPr="00E75AB1">
        <w:t>Textiles y vestuario</w:t>
      </w:r>
      <w:r w:rsidRPr="00DA2286">
        <w:t>” (</w:t>
      </w:r>
      <w:r w:rsidRPr="00B46A0F">
        <w:rPr>
          <w:rFonts w:ascii="Arial" w:hAnsi="Arial" w:cs="Arial"/>
        </w:rPr>
        <w:t>₡</w:t>
      </w:r>
      <w:r w:rsidR="001A229E" w:rsidRPr="001A229E">
        <w:t>7 299,86</w:t>
      </w:r>
      <w:r w:rsidRPr="00DA2286">
        <w:t xml:space="preserve"> miles)</w:t>
      </w:r>
      <w:r>
        <w:t>;</w:t>
      </w:r>
      <w:r w:rsidR="001A229E">
        <w:t xml:space="preserve"> </w:t>
      </w:r>
      <w:r w:rsidR="001A229E" w:rsidRPr="001A229E">
        <w:t>Útiles y materiales de resguardo y seguridad</w:t>
      </w:r>
      <w:r w:rsidR="001A229E" w:rsidRPr="00B46A0F">
        <w:t xml:space="preserve"> </w:t>
      </w:r>
      <w:r w:rsidR="001A229E" w:rsidRPr="00DA2286">
        <w:t>(</w:t>
      </w:r>
      <w:r w:rsidR="001A229E" w:rsidRPr="00B46A0F">
        <w:rPr>
          <w:rFonts w:ascii="Arial" w:hAnsi="Arial" w:cs="Arial"/>
        </w:rPr>
        <w:t>₡</w:t>
      </w:r>
      <w:r w:rsidR="001A229E" w:rsidRPr="001A229E">
        <w:t>4 587,03</w:t>
      </w:r>
      <w:r w:rsidR="001A229E" w:rsidRPr="00B46A0F">
        <w:t xml:space="preserve"> miles); </w:t>
      </w:r>
      <w:r w:rsidR="001A229E" w:rsidRPr="001A229E">
        <w:t>Repuestos y accesorios</w:t>
      </w:r>
      <w:r>
        <w:t xml:space="preserve"> </w:t>
      </w:r>
      <w:r w:rsidR="00B46A0F">
        <w:t>(</w:t>
      </w:r>
      <w:r w:rsidR="00B46A0F" w:rsidRPr="001A229E">
        <w:t>-</w:t>
      </w:r>
      <w:r w:rsidR="00B46A0F" w:rsidRPr="00B46A0F">
        <w:rPr>
          <w:rFonts w:ascii="Arial" w:hAnsi="Arial" w:cs="Arial"/>
        </w:rPr>
        <w:t>₡</w:t>
      </w:r>
      <w:r w:rsidR="00B46A0F" w:rsidRPr="001A229E">
        <w:t>7 338,06</w:t>
      </w:r>
      <w:r w:rsidR="00B46A0F" w:rsidRPr="00B46A0F">
        <w:t xml:space="preserve"> miles</w:t>
      </w:r>
      <w:r w:rsidR="00B46A0F">
        <w:t>)</w:t>
      </w:r>
      <w:r w:rsidR="00B46A0F" w:rsidRPr="00B46A0F">
        <w:t xml:space="preserve">, </w:t>
      </w:r>
      <w:r w:rsidR="001A229E">
        <w:t>Ú</w:t>
      </w:r>
      <w:r w:rsidRPr="00E75AB1">
        <w:t xml:space="preserve">tiles, materiales y suministros diversos </w:t>
      </w:r>
      <w:r w:rsidRPr="00DA2286">
        <w:t>(</w:t>
      </w:r>
      <w:r>
        <w:t>-</w:t>
      </w:r>
      <w:r w:rsidRPr="00B46A0F">
        <w:rPr>
          <w:rFonts w:ascii="Arial" w:hAnsi="Arial" w:cs="Arial"/>
        </w:rPr>
        <w:t>₡</w:t>
      </w:r>
      <w:r>
        <w:t>3 270</w:t>
      </w:r>
      <w:r w:rsidRPr="00DA2286">
        <w:t>,</w:t>
      </w:r>
      <w:r>
        <w:t>30</w:t>
      </w:r>
      <w:r w:rsidRPr="00DA2286">
        <w:t xml:space="preserve"> miles)</w:t>
      </w:r>
      <w:r>
        <w:t>.</w:t>
      </w:r>
    </w:p>
    <w:p w14:paraId="4E8835C8" w14:textId="77777777" w:rsidR="00692DC8" w:rsidRPr="00692DC8" w:rsidRDefault="00692DC8" w:rsidP="00293F0F">
      <w:pPr>
        <w:rPr>
          <w:szCs w:val="24"/>
        </w:rPr>
      </w:pPr>
    </w:p>
    <w:p w14:paraId="5A841A50" w14:textId="77777777" w:rsidR="00692DC8" w:rsidRPr="00692DC8" w:rsidRDefault="00692DC8" w:rsidP="00E3707A">
      <w:pPr>
        <w:pStyle w:val="Ttulo4"/>
        <w:spacing w:after="240"/>
        <w:rPr>
          <w:rFonts w:eastAsia="Times New Roman"/>
        </w:rPr>
      </w:pPr>
      <w:bookmarkStart w:id="888" w:name="_Toc33601320"/>
      <w:bookmarkStart w:id="889" w:name="_Toc82769039"/>
      <w:bookmarkStart w:id="890" w:name="_Toc173245303"/>
      <w:r w:rsidRPr="00692DC8">
        <w:rPr>
          <w:rFonts w:eastAsia="Times New Roman"/>
        </w:rPr>
        <w:t>NOTA N° 6</w:t>
      </w:r>
      <w:bookmarkEnd w:id="887"/>
      <w:bookmarkEnd w:id="888"/>
      <w:bookmarkEnd w:id="889"/>
      <w:r w:rsidRPr="00692DC8">
        <w:rPr>
          <w:rFonts w:eastAsia="Times New Roman"/>
        </w:rPr>
        <w:t>2</w:t>
      </w:r>
      <w:bookmarkEnd w:id="890"/>
    </w:p>
    <w:p w14:paraId="4388C08F" w14:textId="77777777" w:rsidR="00694299" w:rsidRDefault="00692DC8" w:rsidP="00D643D3">
      <w:pPr>
        <w:spacing w:before="120" w:after="120" w:line="240" w:lineRule="auto"/>
        <w:rPr>
          <w:rFonts w:asciiTheme="minorHAnsi" w:hAnsiTheme="minorHAnsi"/>
          <w:sz w:val="22"/>
        </w:rPr>
      </w:pPr>
      <w:bookmarkStart w:id="891" w:name="_Toc14344934"/>
      <w:bookmarkStart w:id="892" w:name="_Toc33601321"/>
      <w:bookmarkStart w:id="893" w:name="_Toc82769040"/>
      <w:r w:rsidRPr="00692DC8">
        <w:rPr>
          <w:rFonts w:eastAsia="Times New Roman"/>
        </w:rPr>
        <w:t>Consumo de bienes distintos de inventarios</w:t>
      </w:r>
      <w:bookmarkEnd w:id="891"/>
      <w:bookmarkEnd w:id="892"/>
      <w:bookmarkEnd w:id="893"/>
      <w:r w:rsidR="00AD32EB">
        <w:rPr>
          <w:rFonts w:eastAsiaTheme="majorEastAsia" w:cstheme="majorBidi"/>
          <w:iCs/>
          <w:lang w:val="es-ES"/>
        </w:rPr>
        <w:fldChar w:fldCharType="begin"/>
      </w:r>
      <w:r w:rsidR="00AD32EB">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NOTAS_POR_CUENTA!F363C1:F365C6 </w:instrText>
      </w:r>
      <w:r w:rsidR="00AD32EB">
        <w:rPr>
          <w:lang w:val="es-ES"/>
        </w:rPr>
        <w:instrText xml:space="preserve">\a \f 4 \h </w:instrText>
      </w:r>
      <w:r w:rsidR="00AD32EB">
        <w:rPr>
          <w:b/>
          <w:lang w:val="es-ES"/>
        </w:rPr>
        <w:fldChar w:fldCharType="separate"/>
      </w:r>
    </w:p>
    <w:p w14:paraId="1339FA40" w14:textId="48133D11" w:rsidR="00C572A3" w:rsidRDefault="00AD32EB" w:rsidP="00D643D3">
      <w:pPr>
        <w:spacing w:after="0" w:line="240" w:lineRule="auto"/>
        <w:rPr>
          <w:rFonts w:asciiTheme="minorHAnsi" w:hAnsiTheme="minorHAnsi"/>
          <w:sz w:val="22"/>
        </w:rPr>
      </w:pPr>
      <w:r>
        <w:rPr>
          <w:b/>
          <w:lang w:val="es-ES"/>
        </w:rPr>
        <w:fldChar w:fldCharType="end"/>
      </w:r>
      <w:r w:rsidR="00D643D3">
        <w:rPr>
          <w:b/>
          <w:lang w:val="es-ES"/>
        </w:rPr>
        <w:fldChar w:fldCharType="begin"/>
      </w:r>
      <w:r w:rsidR="00D643D3">
        <w:rPr>
          <w:b/>
          <w:lang w:val="es-ES"/>
        </w:rPr>
        <w:instrText xml:space="preserve"> LINK </w:instrText>
      </w:r>
      <w:r w:rsidR="0068177A">
        <w:rPr>
          <w:b/>
          <w:lang w:val="es-ES"/>
        </w:rPr>
        <w:instrText xml:space="preserve">Excel.SheetMacroEnabled.12 "C:\\Users\\arges\\OneDrive\\Desktop\\Municipalidades\\Buenos Aires\\Cierre Junio 2024\\Notas Contables\\15603_T02_2024_Anexo_Estado_Notas_Contables_Vinculadas.xlsm" NOTAS_POR_CUENTA!R363C1:R365C6 </w:instrText>
      </w:r>
      <w:r w:rsidR="00D643D3">
        <w:rPr>
          <w:b/>
          <w:lang w:val="es-ES"/>
        </w:rPr>
        <w:instrText xml:space="preserve">\a \f 4 \h </w:instrText>
      </w:r>
      <w:r w:rsidR="00D643D3">
        <w:rPr>
          <w:b/>
          <w:lang w:val="es-ES"/>
        </w:rPr>
        <w:fldChar w:fldCharType="separate"/>
      </w:r>
    </w:p>
    <w:tbl>
      <w:tblPr>
        <w:tblW w:w="10080" w:type="dxa"/>
        <w:tblLook w:val="04A0" w:firstRow="1" w:lastRow="0" w:firstColumn="1" w:lastColumn="0" w:noHBand="0" w:noVBand="1"/>
      </w:tblPr>
      <w:tblGrid>
        <w:gridCol w:w="717"/>
        <w:gridCol w:w="3339"/>
        <w:gridCol w:w="544"/>
        <w:gridCol w:w="2200"/>
        <w:gridCol w:w="2200"/>
        <w:gridCol w:w="1080"/>
      </w:tblGrid>
      <w:tr w:rsidR="00C572A3" w:rsidRPr="00C572A3" w14:paraId="1F5A30D4" w14:textId="77777777" w:rsidTr="00C572A3">
        <w:trPr>
          <w:divId w:val="469132282"/>
          <w:trHeight w:val="320"/>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B36617E" w14:textId="3ED1D736" w:rsidR="00C572A3" w:rsidRPr="00C572A3" w:rsidRDefault="00C572A3" w:rsidP="00C572A3">
            <w:pP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046D59F"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Descripción</w:t>
            </w:r>
          </w:p>
        </w:tc>
        <w:tc>
          <w:tcPr>
            <w:tcW w:w="5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87E0D19"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Nota</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6C97E35"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Actual </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AFB7020"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Anterior </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2B09504C"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Diferencia </w:t>
            </w:r>
          </w:p>
        </w:tc>
      </w:tr>
      <w:tr w:rsidR="00C572A3" w:rsidRPr="00C572A3" w14:paraId="6D5AFC36" w14:textId="77777777" w:rsidTr="00C572A3">
        <w:trPr>
          <w:divId w:val="469132282"/>
          <w:trHeight w:val="320"/>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620FF7DA"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19A440F0"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14:paraId="4D5BE964"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5A156FA0"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03684637"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1080" w:type="dxa"/>
            <w:tcBorders>
              <w:top w:val="nil"/>
              <w:left w:val="nil"/>
              <w:bottom w:val="single" w:sz="8" w:space="0" w:color="auto"/>
              <w:right w:val="single" w:sz="8" w:space="0" w:color="auto"/>
            </w:tcBorders>
            <w:shd w:val="clear" w:color="000000" w:fill="366092"/>
            <w:noWrap/>
            <w:vAlign w:val="center"/>
            <w:hideMark/>
          </w:tcPr>
          <w:p w14:paraId="525A4D79" w14:textId="77777777" w:rsidR="00C572A3" w:rsidRPr="00C572A3" w:rsidRDefault="00C572A3" w:rsidP="00C572A3">
            <w:pPr>
              <w:spacing w:after="0" w:line="240" w:lineRule="auto"/>
              <w:jc w:val="center"/>
              <w:rPr>
                <w:rFonts w:eastAsia="Times New Roman" w:cs="Calibri"/>
                <w:color w:val="FFFFFF"/>
                <w:sz w:val="18"/>
                <w:szCs w:val="18"/>
                <w:lang w:val="en-US"/>
              </w:rPr>
            </w:pPr>
            <w:r w:rsidRPr="00C572A3">
              <w:rPr>
                <w:rFonts w:eastAsia="Times New Roman" w:cs="Calibri"/>
                <w:color w:val="FFFFFF"/>
                <w:sz w:val="18"/>
                <w:szCs w:val="18"/>
                <w:lang w:val="en-US"/>
              </w:rPr>
              <w:t>%</w:t>
            </w:r>
          </w:p>
        </w:tc>
      </w:tr>
      <w:tr w:rsidR="00C572A3" w:rsidRPr="00C572A3" w14:paraId="4567586F" w14:textId="77777777" w:rsidTr="00C572A3">
        <w:trPr>
          <w:divId w:val="469132282"/>
          <w:trHeight w:val="320"/>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568A9AFA" w14:textId="77777777" w:rsidR="00C572A3" w:rsidRPr="00C572A3" w:rsidRDefault="00C572A3" w:rsidP="00C572A3">
            <w:pPr>
              <w:spacing w:after="0" w:line="240" w:lineRule="auto"/>
              <w:jc w:val="left"/>
              <w:rPr>
                <w:rFonts w:eastAsia="Times New Roman" w:cs="Calibri"/>
                <w:b/>
                <w:bCs/>
                <w:color w:val="000000"/>
                <w:sz w:val="18"/>
                <w:szCs w:val="18"/>
                <w:lang w:val="en-US"/>
              </w:rPr>
            </w:pPr>
            <w:r w:rsidRPr="00C572A3">
              <w:rPr>
                <w:rFonts w:eastAsia="Times New Roman" w:cs="Calibri"/>
                <w:b/>
                <w:bCs/>
                <w:color w:val="000000"/>
                <w:sz w:val="18"/>
                <w:szCs w:val="18"/>
                <w:lang w:val="en-US"/>
              </w:rPr>
              <w:t>5.1.4.</w:t>
            </w:r>
          </w:p>
        </w:tc>
        <w:tc>
          <w:tcPr>
            <w:tcW w:w="3380" w:type="dxa"/>
            <w:tcBorders>
              <w:top w:val="nil"/>
              <w:left w:val="nil"/>
              <w:bottom w:val="single" w:sz="8" w:space="0" w:color="auto"/>
              <w:right w:val="single" w:sz="8" w:space="0" w:color="auto"/>
            </w:tcBorders>
            <w:shd w:val="clear" w:color="auto" w:fill="auto"/>
            <w:vAlign w:val="center"/>
            <w:hideMark/>
          </w:tcPr>
          <w:p w14:paraId="1E68504C" w14:textId="77777777" w:rsidR="00C572A3" w:rsidRPr="00C572A3" w:rsidRDefault="00C572A3" w:rsidP="00C572A3">
            <w:pPr>
              <w:spacing w:after="0" w:line="240" w:lineRule="auto"/>
              <w:rPr>
                <w:rFonts w:eastAsia="Times New Roman" w:cs="Calibri"/>
                <w:b/>
                <w:bCs/>
                <w:color w:val="000000"/>
                <w:sz w:val="18"/>
                <w:szCs w:val="18"/>
              </w:rPr>
            </w:pPr>
            <w:r w:rsidRPr="00C572A3">
              <w:rPr>
                <w:rFonts w:eastAsia="Times New Roman" w:cs="Calibri"/>
                <w:b/>
                <w:bCs/>
                <w:color w:val="000000"/>
                <w:sz w:val="18"/>
                <w:szCs w:val="18"/>
              </w:rPr>
              <w:t>Consumo de bienes distintos de inventarios</w:t>
            </w:r>
          </w:p>
        </w:tc>
        <w:tc>
          <w:tcPr>
            <w:tcW w:w="520" w:type="dxa"/>
            <w:tcBorders>
              <w:top w:val="nil"/>
              <w:left w:val="nil"/>
              <w:bottom w:val="single" w:sz="8" w:space="0" w:color="auto"/>
              <w:right w:val="single" w:sz="8" w:space="0" w:color="auto"/>
            </w:tcBorders>
            <w:shd w:val="clear" w:color="auto" w:fill="auto"/>
            <w:noWrap/>
            <w:vAlign w:val="center"/>
            <w:hideMark/>
          </w:tcPr>
          <w:p w14:paraId="22DD4788"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62</w:t>
            </w:r>
          </w:p>
        </w:tc>
        <w:tc>
          <w:tcPr>
            <w:tcW w:w="2200" w:type="dxa"/>
            <w:tcBorders>
              <w:top w:val="nil"/>
              <w:left w:val="nil"/>
              <w:bottom w:val="single" w:sz="8" w:space="0" w:color="auto"/>
              <w:right w:val="single" w:sz="8" w:space="0" w:color="auto"/>
            </w:tcBorders>
            <w:shd w:val="clear" w:color="auto" w:fill="auto"/>
            <w:noWrap/>
            <w:vAlign w:val="center"/>
            <w:hideMark/>
          </w:tcPr>
          <w:p w14:paraId="1E0DF0AB"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104 440,81 </w:t>
            </w:r>
          </w:p>
        </w:tc>
        <w:tc>
          <w:tcPr>
            <w:tcW w:w="2200" w:type="dxa"/>
            <w:tcBorders>
              <w:top w:val="nil"/>
              <w:left w:val="nil"/>
              <w:bottom w:val="single" w:sz="8" w:space="0" w:color="auto"/>
              <w:right w:val="single" w:sz="8" w:space="0" w:color="auto"/>
            </w:tcBorders>
            <w:shd w:val="clear" w:color="auto" w:fill="auto"/>
            <w:noWrap/>
            <w:vAlign w:val="center"/>
            <w:hideMark/>
          </w:tcPr>
          <w:p w14:paraId="17D695CF"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196 608,41 </w:t>
            </w:r>
          </w:p>
        </w:tc>
        <w:tc>
          <w:tcPr>
            <w:tcW w:w="1080" w:type="dxa"/>
            <w:tcBorders>
              <w:top w:val="nil"/>
              <w:left w:val="nil"/>
              <w:bottom w:val="single" w:sz="8" w:space="0" w:color="auto"/>
              <w:right w:val="single" w:sz="8" w:space="0" w:color="auto"/>
            </w:tcBorders>
            <w:shd w:val="clear" w:color="auto" w:fill="auto"/>
            <w:noWrap/>
            <w:vAlign w:val="center"/>
            <w:hideMark/>
          </w:tcPr>
          <w:p w14:paraId="1E3DD6D4"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-46,88%</w:t>
            </w:r>
          </w:p>
        </w:tc>
      </w:tr>
    </w:tbl>
    <w:p w14:paraId="4703F562" w14:textId="77777777" w:rsidR="00D643D3" w:rsidRDefault="00D643D3" w:rsidP="00D643D3">
      <w:pPr>
        <w:spacing w:after="0" w:line="240" w:lineRule="auto"/>
        <w:rPr>
          <w:b/>
          <w:lang w:val="es-ES"/>
        </w:rPr>
      </w:pPr>
      <w:r>
        <w:rPr>
          <w:b/>
          <w:lang w:val="es-ES"/>
        </w:rPr>
        <w:fldChar w:fldCharType="end"/>
      </w:r>
    </w:p>
    <w:p w14:paraId="2C6A41B0" w14:textId="77777777" w:rsidR="00D643D3" w:rsidRDefault="00692DC8" w:rsidP="00D643D3">
      <w:pPr>
        <w:spacing w:before="120" w:after="120" w:line="240" w:lineRule="auto"/>
        <w:rPr>
          <w:b/>
          <w:lang w:val="es-ES"/>
        </w:rPr>
      </w:pPr>
      <w:r w:rsidRPr="00293F0F">
        <w:rPr>
          <w:b/>
          <w:lang w:val="es-ES"/>
        </w:rPr>
        <w:t>Revelación:</w:t>
      </w:r>
      <w:bookmarkStart w:id="894" w:name="_Toc14344937"/>
    </w:p>
    <w:p w14:paraId="13822CA1" w14:textId="03C15F1B" w:rsidR="00694299" w:rsidRPr="00694299" w:rsidRDefault="00AD32EB" w:rsidP="00D643D3">
      <w:pPr>
        <w:spacing w:after="0" w:line="240" w:lineRule="auto"/>
        <w:rPr>
          <w:b/>
          <w:lang w:val="es-ES"/>
        </w:rPr>
      </w:pP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NOTAS_POR_CUENTA!F365C8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77F3A7AF" w14:textId="545DCEF2" w:rsidR="00694299" w:rsidRPr="00694299" w:rsidRDefault="00694299" w:rsidP="00C37C83">
      <w:pPr>
        <w:spacing w:line="240" w:lineRule="auto"/>
        <w:rPr>
          <w:rFonts w:eastAsia="Times New Roman" w:cs="Calibri"/>
          <w:color w:val="000000"/>
          <w:lang w:eastAsia="es-CR"/>
        </w:rPr>
      </w:pPr>
      <w:r w:rsidRPr="00694299">
        <w:rPr>
          <w:rFonts w:eastAsia="Times New Roman" w:cs="Calibri"/>
          <w:color w:val="000000"/>
          <w:lang w:eastAsia="es-CR"/>
        </w:rPr>
        <w:t xml:space="preserve">La cuenta Consumo de bienes distintos de inventarios, representa el </w:t>
      </w:r>
      <w:r w:rsidR="00C37C83">
        <w:rPr>
          <w:rFonts w:eastAsia="Times New Roman" w:cs="Calibri"/>
          <w:color w:val="000000"/>
          <w:lang w:eastAsia="es-CR"/>
        </w:rPr>
        <w:t>3</w:t>
      </w:r>
      <w:r w:rsidRPr="00694299">
        <w:rPr>
          <w:rFonts w:eastAsia="Times New Roman" w:cs="Calibri"/>
          <w:color w:val="000000"/>
          <w:lang w:eastAsia="es-CR"/>
        </w:rPr>
        <w:t>,7</w:t>
      </w:r>
      <w:r w:rsidR="00C37C83">
        <w:rPr>
          <w:rFonts w:eastAsia="Times New Roman" w:cs="Calibri"/>
          <w:color w:val="000000"/>
          <w:lang w:eastAsia="es-CR"/>
        </w:rPr>
        <w:t>9</w:t>
      </w:r>
      <w:r w:rsidRPr="00694299">
        <w:rPr>
          <w:rFonts w:eastAsia="Times New Roman" w:cs="Calibri"/>
          <w:color w:val="000000"/>
          <w:lang w:eastAsia="es-CR"/>
        </w:rPr>
        <w:t xml:space="preserve">% del total del Gastos, que comparado al periodo anterior genera una variación absoluta de </w:t>
      </w:r>
      <w:r w:rsidR="00C37C83" w:rsidRPr="00C37C83">
        <w:rPr>
          <w:rFonts w:eastAsia="Times New Roman" w:cs="Calibri"/>
          <w:color w:val="000000"/>
          <w:lang w:eastAsia="es-CR"/>
        </w:rPr>
        <w:t>-92 167,61</w:t>
      </w:r>
      <w:r w:rsidRPr="00694299">
        <w:rPr>
          <w:rFonts w:eastAsia="Times New Roman" w:cs="Calibri"/>
          <w:color w:val="000000"/>
          <w:lang w:eastAsia="es-CR"/>
        </w:rPr>
        <w:t xml:space="preserve"> que corresponde a un Disminución del -</w:t>
      </w:r>
      <w:r w:rsidR="00C37C83">
        <w:rPr>
          <w:rFonts w:eastAsia="Times New Roman" w:cs="Calibri"/>
          <w:color w:val="000000"/>
          <w:lang w:eastAsia="es-CR"/>
        </w:rPr>
        <w:t>46</w:t>
      </w:r>
      <w:r w:rsidRPr="00694299">
        <w:rPr>
          <w:rFonts w:eastAsia="Times New Roman" w:cs="Calibri"/>
          <w:color w:val="000000"/>
          <w:lang w:eastAsia="es-CR"/>
        </w:rPr>
        <w:t>,</w:t>
      </w:r>
      <w:r w:rsidR="00C37C83">
        <w:rPr>
          <w:rFonts w:eastAsia="Times New Roman" w:cs="Calibri"/>
          <w:color w:val="000000"/>
          <w:lang w:eastAsia="es-CR"/>
        </w:rPr>
        <w:t>88</w:t>
      </w:r>
      <w:r w:rsidRPr="00694299">
        <w:rPr>
          <w:rFonts w:eastAsia="Times New Roman" w:cs="Calibri"/>
          <w:color w:val="000000"/>
          <w:lang w:eastAsia="es-CR"/>
        </w:rPr>
        <w:t>% de recursos disponibles.</w:t>
      </w:r>
    </w:p>
    <w:p w14:paraId="051B4DD4" w14:textId="52FB2472" w:rsidR="00692DC8" w:rsidRDefault="00AD32EB" w:rsidP="00AD32EB">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4AA13440" w14:textId="3B501B0A" w:rsidR="00E75AB1" w:rsidRDefault="00E75AB1" w:rsidP="00E75AB1">
      <w:pPr>
        <w:spacing w:after="0" w:line="240" w:lineRule="auto"/>
      </w:pPr>
      <w:r>
        <w:t>L</w:t>
      </w:r>
      <w:r w:rsidRPr="00CA3E62">
        <w:t xml:space="preserve">a </w:t>
      </w:r>
      <w:r>
        <w:t>variación</w:t>
      </w:r>
      <w:r w:rsidRPr="00CA3E62">
        <w:t xml:space="preserve"> </w:t>
      </w:r>
      <w:r>
        <w:t>(disminución) de -</w:t>
      </w:r>
      <w:r w:rsidRPr="001A48B7">
        <w:rPr>
          <w:rFonts w:ascii="Arial" w:hAnsi="Arial" w:cs="Arial"/>
        </w:rPr>
        <w:t>₡</w:t>
      </w:r>
      <w:r w:rsidR="001A48B7" w:rsidRPr="001A48B7">
        <w:t>92</w:t>
      </w:r>
      <w:r w:rsidRPr="006E0F78">
        <w:t> </w:t>
      </w:r>
      <w:r w:rsidR="001A48B7">
        <w:t>1</w:t>
      </w:r>
      <w:r w:rsidR="00AB122F">
        <w:t>6</w:t>
      </w:r>
      <w:r w:rsidR="001A48B7">
        <w:t>7</w:t>
      </w:r>
      <w:r w:rsidRPr="006E0F78">
        <w:t>,</w:t>
      </w:r>
      <w:r w:rsidR="001A48B7">
        <w:t>61 miles</w:t>
      </w:r>
      <w:r w:rsidRPr="006E0F78">
        <w:t xml:space="preserve"> que se presenta </w:t>
      </w:r>
      <w:r w:rsidRPr="00CA3E62">
        <w:t>e</w:t>
      </w:r>
      <w:r>
        <w:t>n</w:t>
      </w:r>
      <w:r w:rsidRPr="00CA3E62">
        <w:t xml:space="preserve"> el periodo comprendido entre </w:t>
      </w:r>
      <w:r w:rsidR="00AB122F">
        <w:t>enero</w:t>
      </w:r>
      <w:r w:rsidRPr="00CA3E62">
        <w:t xml:space="preserve"> </w:t>
      </w:r>
      <w:r>
        <w:t>2023</w:t>
      </w:r>
      <w:r w:rsidRPr="00CA3E62">
        <w:t xml:space="preserve"> y </w:t>
      </w:r>
      <w:r w:rsidR="00AB122F">
        <w:t>enero</w:t>
      </w:r>
      <w:r w:rsidRPr="00CA3E62">
        <w:t xml:space="preserve"> </w:t>
      </w:r>
      <w:r>
        <w:t>2024,</w:t>
      </w:r>
      <w:r w:rsidRPr="00CA3E62">
        <w:t xml:space="preserve"> </w:t>
      </w:r>
      <w:r>
        <w:t xml:space="preserve">se </w:t>
      </w:r>
      <w:r w:rsidR="001A48B7" w:rsidRPr="00CA3E62">
        <w:t>originan</w:t>
      </w:r>
      <w:r w:rsidRPr="00CA3E62">
        <w:t xml:space="preserve"> principalmente de</w:t>
      </w:r>
      <w:r>
        <w:t>bido a</w:t>
      </w:r>
      <w:r w:rsidRPr="00CA3E62">
        <w:t xml:space="preserve"> que,</w:t>
      </w:r>
      <w:r>
        <w:t xml:space="preserve"> en el año 2023 por error se registró el gasto anual de depreciación de los edificios municipales reconocidos por un monto de </w:t>
      </w:r>
      <w:r w:rsidRPr="006E0F78">
        <w:rPr>
          <w:rFonts w:ascii="Arial" w:hAnsi="Arial" w:cs="Arial"/>
        </w:rPr>
        <w:t>₡</w:t>
      </w:r>
      <w:r w:rsidRPr="002E488B">
        <w:t>19</w:t>
      </w:r>
      <w:r>
        <w:t xml:space="preserve"> </w:t>
      </w:r>
      <w:r w:rsidRPr="002E488B">
        <w:t>603,36</w:t>
      </w:r>
      <w:r>
        <w:t xml:space="preserve"> miles cuando lo correcto era </w:t>
      </w:r>
      <w:r w:rsidRPr="006E0F78">
        <w:rPr>
          <w:rFonts w:ascii="Arial" w:hAnsi="Arial" w:cs="Arial"/>
        </w:rPr>
        <w:t>₡</w:t>
      </w:r>
      <w:r w:rsidRPr="002E488B">
        <w:t>1</w:t>
      </w:r>
      <w:r>
        <w:t xml:space="preserve"> </w:t>
      </w:r>
      <w:r w:rsidRPr="002E488B">
        <w:t>633,61</w:t>
      </w:r>
      <w:r>
        <w:t xml:space="preserve"> miles</w:t>
      </w:r>
      <w:r w:rsidR="001A48B7">
        <w:t>, lo cual fue corregido para el año 2024</w:t>
      </w:r>
      <w:r>
        <w:t xml:space="preserve">. </w:t>
      </w:r>
    </w:p>
    <w:p w14:paraId="255E4BA6" w14:textId="77777777" w:rsidR="00E75AB1" w:rsidRDefault="00E75AB1" w:rsidP="00E75AB1">
      <w:pPr>
        <w:spacing w:after="0" w:line="240" w:lineRule="auto"/>
      </w:pPr>
    </w:p>
    <w:p w14:paraId="2D88F553" w14:textId="77777777" w:rsidR="00E75AB1" w:rsidRPr="00CA3E62" w:rsidRDefault="00E75AB1" w:rsidP="00E75AB1">
      <w:pPr>
        <w:spacing w:after="0" w:line="240" w:lineRule="auto"/>
      </w:pPr>
      <w:r>
        <w:t xml:space="preserve">Además, la diferencia en mención se originó por las altas y bajas que presentaron en el periodo objeto de informe. </w:t>
      </w:r>
      <w:r w:rsidRPr="00CA3E62">
        <w:t xml:space="preserve">El detalle de variación se presenta </w:t>
      </w:r>
      <w:r>
        <w:t>a continuación</w:t>
      </w:r>
      <w:r w:rsidRPr="00CA3E62">
        <w:t>:</w:t>
      </w:r>
    </w:p>
    <w:p w14:paraId="2C9E6ED8" w14:textId="77777777" w:rsidR="00E75AB1" w:rsidRPr="00692DC8" w:rsidRDefault="00E75AB1" w:rsidP="001A48B7">
      <w:pPr>
        <w:spacing w:after="0" w:line="240" w:lineRule="auto"/>
        <w:rPr>
          <w:rFonts w:eastAsiaTheme="minorEastAsia" w:cs="Arial Narrow"/>
          <w:color w:val="000000"/>
          <w:lang w:eastAsia="es-CR"/>
        </w:rPr>
      </w:pPr>
    </w:p>
    <w:tbl>
      <w:tblPr>
        <w:tblW w:w="9001" w:type="dxa"/>
        <w:tblLook w:val="04A0" w:firstRow="1" w:lastRow="0" w:firstColumn="1" w:lastColumn="0" w:noHBand="0" w:noVBand="1"/>
      </w:tblPr>
      <w:tblGrid>
        <w:gridCol w:w="1161"/>
        <w:gridCol w:w="3641"/>
        <w:gridCol w:w="992"/>
        <w:gridCol w:w="1040"/>
        <w:gridCol w:w="1139"/>
        <w:gridCol w:w="881"/>
        <w:gridCol w:w="222"/>
      </w:tblGrid>
      <w:tr w:rsidR="001A48B7" w:rsidRPr="001A48B7" w14:paraId="65D0820E" w14:textId="77777777" w:rsidTr="001A48B7">
        <w:trPr>
          <w:gridAfter w:val="1"/>
          <w:wAfter w:w="222" w:type="dxa"/>
          <w:trHeight w:val="457"/>
        </w:trPr>
        <w:tc>
          <w:tcPr>
            <w:tcW w:w="1161" w:type="dxa"/>
            <w:vMerge w:val="restart"/>
            <w:tcBorders>
              <w:top w:val="single" w:sz="8" w:space="0" w:color="auto"/>
              <w:left w:val="single" w:sz="8" w:space="0" w:color="auto"/>
              <w:bottom w:val="nil"/>
              <w:right w:val="single" w:sz="8" w:space="0" w:color="auto"/>
            </w:tcBorders>
            <w:shd w:val="clear" w:color="000000" w:fill="203764"/>
            <w:noWrap/>
            <w:vAlign w:val="center"/>
            <w:hideMark/>
          </w:tcPr>
          <w:p w14:paraId="3197DC58" w14:textId="77777777" w:rsidR="001A48B7" w:rsidRPr="001A48B7" w:rsidRDefault="001A48B7" w:rsidP="001A48B7">
            <w:pPr>
              <w:spacing w:after="0" w:line="240" w:lineRule="auto"/>
              <w:jc w:val="center"/>
              <w:rPr>
                <w:rFonts w:eastAsia="Times New Roman" w:cs="Calibri"/>
                <w:b/>
                <w:bCs/>
                <w:color w:val="FFFFFF"/>
                <w:sz w:val="18"/>
                <w:szCs w:val="18"/>
                <w:lang w:val="en-US"/>
              </w:rPr>
            </w:pPr>
            <w:bookmarkStart w:id="895" w:name="_Toc33601322"/>
            <w:bookmarkStart w:id="896" w:name="_Toc82769041"/>
            <w:r w:rsidRPr="001A48B7">
              <w:rPr>
                <w:rFonts w:eastAsia="Times New Roman" w:cs="Calibri"/>
                <w:b/>
                <w:bCs/>
                <w:color w:val="FFFFFF"/>
                <w:sz w:val="18"/>
                <w:szCs w:val="18"/>
                <w:lang w:val="en-US"/>
              </w:rPr>
              <w:t>Cuenta</w:t>
            </w:r>
          </w:p>
        </w:tc>
        <w:tc>
          <w:tcPr>
            <w:tcW w:w="3641" w:type="dxa"/>
            <w:vMerge w:val="restart"/>
            <w:tcBorders>
              <w:top w:val="single" w:sz="8" w:space="0" w:color="auto"/>
              <w:left w:val="single" w:sz="8" w:space="0" w:color="auto"/>
              <w:bottom w:val="nil"/>
              <w:right w:val="single" w:sz="8" w:space="0" w:color="auto"/>
            </w:tcBorders>
            <w:shd w:val="clear" w:color="000000" w:fill="203764"/>
            <w:vAlign w:val="center"/>
            <w:hideMark/>
          </w:tcPr>
          <w:p w14:paraId="29ECF283" w14:textId="77777777" w:rsidR="001A48B7" w:rsidRPr="001A48B7" w:rsidRDefault="001A48B7" w:rsidP="001A48B7">
            <w:pPr>
              <w:spacing w:after="0" w:line="240" w:lineRule="auto"/>
              <w:jc w:val="center"/>
              <w:rPr>
                <w:rFonts w:eastAsia="Times New Roman" w:cs="Calibri"/>
                <w:b/>
                <w:bCs/>
                <w:color w:val="FFFFFF"/>
                <w:sz w:val="18"/>
                <w:szCs w:val="18"/>
                <w:lang w:val="en-US"/>
              </w:rPr>
            </w:pPr>
            <w:r w:rsidRPr="001A48B7">
              <w:rPr>
                <w:rFonts w:eastAsia="Times New Roman" w:cs="Calibri"/>
                <w:b/>
                <w:bCs/>
                <w:color w:val="FFFFFF"/>
                <w:sz w:val="18"/>
                <w:szCs w:val="18"/>
                <w:lang w:val="en-US"/>
              </w:rPr>
              <w:t>Descripción</w:t>
            </w:r>
          </w:p>
        </w:tc>
        <w:tc>
          <w:tcPr>
            <w:tcW w:w="992" w:type="dxa"/>
            <w:vMerge w:val="restart"/>
            <w:tcBorders>
              <w:top w:val="single" w:sz="8" w:space="0" w:color="auto"/>
              <w:left w:val="single" w:sz="8" w:space="0" w:color="auto"/>
              <w:bottom w:val="nil"/>
              <w:right w:val="single" w:sz="8" w:space="0" w:color="auto"/>
            </w:tcBorders>
            <w:shd w:val="clear" w:color="000000" w:fill="203764"/>
            <w:noWrap/>
            <w:vAlign w:val="center"/>
            <w:hideMark/>
          </w:tcPr>
          <w:p w14:paraId="02205D91" w14:textId="77777777" w:rsidR="001A48B7" w:rsidRPr="001A48B7" w:rsidRDefault="001A48B7" w:rsidP="001A48B7">
            <w:pPr>
              <w:spacing w:after="0" w:line="240" w:lineRule="auto"/>
              <w:jc w:val="center"/>
              <w:rPr>
                <w:rFonts w:eastAsia="Times New Roman" w:cs="Calibri"/>
                <w:color w:val="FFFFFF"/>
                <w:sz w:val="18"/>
                <w:szCs w:val="18"/>
                <w:lang w:val="en-US"/>
              </w:rPr>
            </w:pPr>
            <w:r w:rsidRPr="001A48B7">
              <w:rPr>
                <w:rFonts w:eastAsia="Times New Roman" w:cs="Calibri"/>
                <w:color w:val="FFFFFF"/>
                <w:sz w:val="18"/>
                <w:szCs w:val="18"/>
                <w:lang w:val="en-US"/>
              </w:rPr>
              <w:t>Saldo Actual</w:t>
            </w:r>
          </w:p>
        </w:tc>
        <w:tc>
          <w:tcPr>
            <w:tcW w:w="1040" w:type="dxa"/>
            <w:vMerge w:val="restart"/>
            <w:tcBorders>
              <w:top w:val="single" w:sz="8" w:space="0" w:color="auto"/>
              <w:left w:val="single" w:sz="8" w:space="0" w:color="auto"/>
              <w:bottom w:val="nil"/>
              <w:right w:val="single" w:sz="8" w:space="0" w:color="auto"/>
            </w:tcBorders>
            <w:shd w:val="clear" w:color="000000" w:fill="203764"/>
            <w:vAlign w:val="center"/>
            <w:hideMark/>
          </w:tcPr>
          <w:p w14:paraId="2EB22C37" w14:textId="77777777" w:rsidR="001A48B7" w:rsidRPr="001A48B7" w:rsidRDefault="001A48B7" w:rsidP="001A48B7">
            <w:pPr>
              <w:spacing w:after="0" w:line="240" w:lineRule="auto"/>
              <w:jc w:val="center"/>
              <w:rPr>
                <w:rFonts w:eastAsia="Times New Roman" w:cs="Calibri"/>
                <w:color w:val="FFFFFF"/>
                <w:sz w:val="18"/>
                <w:szCs w:val="18"/>
                <w:lang w:val="en-US"/>
              </w:rPr>
            </w:pPr>
            <w:r w:rsidRPr="001A48B7">
              <w:rPr>
                <w:rFonts w:eastAsia="Times New Roman" w:cs="Calibri"/>
                <w:color w:val="FFFFFF"/>
                <w:sz w:val="18"/>
                <w:szCs w:val="18"/>
                <w:lang w:val="en-US"/>
              </w:rPr>
              <w:t>Saldo Anterior</w:t>
            </w:r>
          </w:p>
        </w:tc>
        <w:tc>
          <w:tcPr>
            <w:tcW w:w="1139" w:type="dxa"/>
            <w:vMerge w:val="restart"/>
            <w:tcBorders>
              <w:top w:val="single" w:sz="8" w:space="0" w:color="auto"/>
              <w:left w:val="single" w:sz="8" w:space="0" w:color="auto"/>
              <w:bottom w:val="nil"/>
              <w:right w:val="single" w:sz="8" w:space="0" w:color="auto"/>
            </w:tcBorders>
            <w:shd w:val="clear" w:color="000000" w:fill="203764"/>
            <w:vAlign w:val="center"/>
            <w:hideMark/>
          </w:tcPr>
          <w:p w14:paraId="0456F7BA" w14:textId="77777777" w:rsidR="001A48B7" w:rsidRPr="001A48B7" w:rsidRDefault="001A48B7" w:rsidP="001A48B7">
            <w:pPr>
              <w:spacing w:after="0" w:line="240" w:lineRule="auto"/>
              <w:jc w:val="center"/>
              <w:rPr>
                <w:rFonts w:eastAsia="Times New Roman" w:cs="Calibri"/>
                <w:color w:val="FFFFFF"/>
                <w:sz w:val="18"/>
                <w:szCs w:val="18"/>
                <w:lang w:val="en-US"/>
              </w:rPr>
            </w:pPr>
            <w:r w:rsidRPr="001A48B7">
              <w:rPr>
                <w:rFonts w:eastAsia="Times New Roman" w:cs="Calibri"/>
                <w:color w:val="FFFFFF"/>
                <w:sz w:val="18"/>
                <w:szCs w:val="18"/>
                <w:lang w:val="en-US"/>
              </w:rPr>
              <w:t>Diferencia Absoluta</w:t>
            </w:r>
          </w:p>
        </w:tc>
        <w:tc>
          <w:tcPr>
            <w:tcW w:w="806" w:type="dxa"/>
            <w:vMerge w:val="restart"/>
            <w:tcBorders>
              <w:top w:val="single" w:sz="8" w:space="0" w:color="auto"/>
              <w:left w:val="single" w:sz="8" w:space="0" w:color="auto"/>
              <w:bottom w:val="nil"/>
              <w:right w:val="single" w:sz="8" w:space="0" w:color="auto"/>
            </w:tcBorders>
            <w:shd w:val="clear" w:color="000000" w:fill="203764"/>
            <w:vAlign w:val="center"/>
            <w:hideMark/>
          </w:tcPr>
          <w:p w14:paraId="176A5877" w14:textId="77777777" w:rsidR="001A48B7" w:rsidRPr="001A48B7" w:rsidRDefault="001A48B7" w:rsidP="001A48B7">
            <w:pPr>
              <w:spacing w:after="0" w:line="240" w:lineRule="auto"/>
              <w:jc w:val="center"/>
              <w:rPr>
                <w:rFonts w:eastAsia="Times New Roman" w:cs="Calibri"/>
                <w:color w:val="FFFFFF"/>
                <w:sz w:val="18"/>
                <w:szCs w:val="18"/>
                <w:lang w:val="en-US"/>
              </w:rPr>
            </w:pPr>
            <w:r w:rsidRPr="001A48B7">
              <w:rPr>
                <w:rFonts w:eastAsia="Times New Roman" w:cs="Calibri"/>
                <w:color w:val="FFFFFF"/>
                <w:sz w:val="18"/>
                <w:szCs w:val="18"/>
                <w:lang w:val="en-US"/>
              </w:rPr>
              <w:t>Diferencia %</w:t>
            </w:r>
          </w:p>
        </w:tc>
      </w:tr>
      <w:tr w:rsidR="001A48B7" w:rsidRPr="001A48B7" w14:paraId="4339969E" w14:textId="77777777" w:rsidTr="001A48B7">
        <w:trPr>
          <w:trHeight w:val="300"/>
        </w:trPr>
        <w:tc>
          <w:tcPr>
            <w:tcW w:w="1161" w:type="dxa"/>
            <w:vMerge/>
            <w:tcBorders>
              <w:top w:val="single" w:sz="8" w:space="0" w:color="auto"/>
              <w:left w:val="single" w:sz="8" w:space="0" w:color="auto"/>
              <w:bottom w:val="nil"/>
              <w:right w:val="single" w:sz="8" w:space="0" w:color="auto"/>
            </w:tcBorders>
            <w:vAlign w:val="center"/>
            <w:hideMark/>
          </w:tcPr>
          <w:p w14:paraId="0B1A2F1A" w14:textId="77777777" w:rsidR="001A48B7" w:rsidRPr="001A48B7" w:rsidRDefault="001A48B7" w:rsidP="001A48B7">
            <w:pPr>
              <w:spacing w:after="0" w:line="240" w:lineRule="auto"/>
              <w:jc w:val="left"/>
              <w:rPr>
                <w:rFonts w:eastAsia="Times New Roman" w:cs="Calibri"/>
                <w:b/>
                <w:bCs/>
                <w:color w:val="FFFFFF"/>
                <w:sz w:val="18"/>
                <w:szCs w:val="18"/>
                <w:lang w:val="en-US"/>
              </w:rPr>
            </w:pPr>
          </w:p>
        </w:tc>
        <w:tc>
          <w:tcPr>
            <w:tcW w:w="3641" w:type="dxa"/>
            <w:vMerge/>
            <w:tcBorders>
              <w:top w:val="single" w:sz="8" w:space="0" w:color="auto"/>
              <w:left w:val="single" w:sz="8" w:space="0" w:color="auto"/>
              <w:bottom w:val="nil"/>
              <w:right w:val="single" w:sz="8" w:space="0" w:color="auto"/>
            </w:tcBorders>
            <w:vAlign w:val="center"/>
            <w:hideMark/>
          </w:tcPr>
          <w:p w14:paraId="068DAE06" w14:textId="77777777" w:rsidR="001A48B7" w:rsidRPr="001A48B7" w:rsidRDefault="001A48B7" w:rsidP="001A48B7">
            <w:pPr>
              <w:spacing w:after="0" w:line="240" w:lineRule="auto"/>
              <w:jc w:val="left"/>
              <w:rPr>
                <w:rFonts w:eastAsia="Times New Roman" w:cs="Calibri"/>
                <w:b/>
                <w:bCs/>
                <w:color w:val="FFFFFF"/>
                <w:sz w:val="18"/>
                <w:szCs w:val="18"/>
                <w:lang w:val="en-US"/>
              </w:rPr>
            </w:pPr>
          </w:p>
        </w:tc>
        <w:tc>
          <w:tcPr>
            <w:tcW w:w="992" w:type="dxa"/>
            <w:vMerge/>
            <w:tcBorders>
              <w:top w:val="single" w:sz="8" w:space="0" w:color="auto"/>
              <w:left w:val="single" w:sz="8" w:space="0" w:color="auto"/>
              <w:bottom w:val="nil"/>
              <w:right w:val="single" w:sz="8" w:space="0" w:color="auto"/>
            </w:tcBorders>
            <w:vAlign w:val="center"/>
            <w:hideMark/>
          </w:tcPr>
          <w:p w14:paraId="0459CACA" w14:textId="77777777" w:rsidR="001A48B7" w:rsidRPr="001A48B7" w:rsidRDefault="001A48B7" w:rsidP="001A48B7">
            <w:pPr>
              <w:spacing w:after="0" w:line="240" w:lineRule="auto"/>
              <w:jc w:val="left"/>
              <w:rPr>
                <w:rFonts w:eastAsia="Times New Roman" w:cs="Calibri"/>
                <w:color w:val="FFFFFF"/>
                <w:sz w:val="18"/>
                <w:szCs w:val="18"/>
                <w:lang w:val="en-US"/>
              </w:rPr>
            </w:pPr>
          </w:p>
        </w:tc>
        <w:tc>
          <w:tcPr>
            <w:tcW w:w="1040" w:type="dxa"/>
            <w:vMerge/>
            <w:tcBorders>
              <w:top w:val="single" w:sz="8" w:space="0" w:color="auto"/>
              <w:left w:val="single" w:sz="8" w:space="0" w:color="auto"/>
              <w:bottom w:val="nil"/>
              <w:right w:val="single" w:sz="8" w:space="0" w:color="auto"/>
            </w:tcBorders>
            <w:vAlign w:val="center"/>
            <w:hideMark/>
          </w:tcPr>
          <w:p w14:paraId="03C55A1D" w14:textId="77777777" w:rsidR="001A48B7" w:rsidRPr="001A48B7" w:rsidRDefault="001A48B7" w:rsidP="001A48B7">
            <w:pPr>
              <w:spacing w:after="0" w:line="240" w:lineRule="auto"/>
              <w:jc w:val="left"/>
              <w:rPr>
                <w:rFonts w:eastAsia="Times New Roman" w:cs="Calibri"/>
                <w:color w:val="FFFFFF"/>
                <w:sz w:val="18"/>
                <w:szCs w:val="18"/>
                <w:lang w:val="en-US"/>
              </w:rPr>
            </w:pPr>
          </w:p>
        </w:tc>
        <w:tc>
          <w:tcPr>
            <w:tcW w:w="1139" w:type="dxa"/>
            <w:vMerge/>
            <w:tcBorders>
              <w:top w:val="single" w:sz="8" w:space="0" w:color="auto"/>
              <w:left w:val="single" w:sz="8" w:space="0" w:color="auto"/>
              <w:bottom w:val="nil"/>
              <w:right w:val="single" w:sz="8" w:space="0" w:color="auto"/>
            </w:tcBorders>
            <w:vAlign w:val="center"/>
            <w:hideMark/>
          </w:tcPr>
          <w:p w14:paraId="451EBCE3" w14:textId="77777777" w:rsidR="001A48B7" w:rsidRPr="001A48B7" w:rsidRDefault="001A48B7" w:rsidP="001A48B7">
            <w:pPr>
              <w:spacing w:after="0" w:line="240" w:lineRule="auto"/>
              <w:jc w:val="left"/>
              <w:rPr>
                <w:rFonts w:eastAsia="Times New Roman" w:cs="Calibri"/>
                <w:color w:val="FFFFFF"/>
                <w:sz w:val="18"/>
                <w:szCs w:val="18"/>
                <w:lang w:val="en-US"/>
              </w:rPr>
            </w:pPr>
          </w:p>
        </w:tc>
        <w:tc>
          <w:tcPr>
            <w:tcW w:w="806" w:type="dxa"/>
            <w:vMerge/>
            <w:tcBorders>
              <w:top w:val="single" w:sz="8" w:space="0" w:color="auto"/>
              <w:left w:val="single" w:sz="8" w:space="0" w:color="auto"/>
              <w:bottom w:val="nil"/>
              <w:right w:val="single" w:sz="8" w:space="0" w:color="auto"/>
            </w:tcBorders>
            <w:vAlign w:val="center"/>
            <w:hideMark/>
          </w:tcPr>
          <w:p w14:paraId="47412CB4" w14:textId="77777777" w:rsidR="001A48B7" w:rsidRPr="001A48B7" w:rsidRDefault="001A48B7" w:rsidP="001A48B7">
            <w:pPr>
              <w:spacing w:after="0" w:line="240" w:lineRule="auto"/>
              <w:jc w:val="left"/>
              <w:rPr>
                <w:rFonts w:eastAsia="Times New Roman" w:cs="Calibri"/>
                <w:color w:val="FFFFFF"/>
                <w:sz w:val="18"/>
                <w:szCs w:val="18"/>
                <w:lang w:val="en-US"/>
              </w:rPr>
            </w:pPr>
          </w:p>
        </w:tc>
        <w:tc>
          <w:tcPr>
            <w:tcW w:w="222" w:type="dxa"/>
            <w:tcBorders>
              <w:top w:val="nil"/>
              <w:left w:val="nil"/>
              <w:bottom w:val="nil"/>
              <w:right w:val="nil"/>
            </w:tcBorders>
            <w:shd w:val="clear" w:color="auto" w:fill="auto"/>
            <w:noWrap/>
            <w:vAlign w:val="bottom"/>
            <w:hideMark/>
          </w:tcPr>
          <w:p w14:paraId="2A5CBFDF" w14:textId="77777777" w:rsidR="001A48B7" w:rsidRPr="001A48B7" w:rsidRDefault="001A48B7" w:rsidP="001A48B7">
            <w:pPr>
              <w:spacing w:after="0" w:line="240" w:lineRule="auto"/>
              <w:jc w:val="center"/>
              <w:rPr>
                <w:rFonts w:eastAsia="Times New Roman" w:cs="Calibri"/>
                <w:color w:val="FFFFFF"/>
                <w:sz w:val="18"/>
                <w:szCs w:val="18"/>
                <w:lang w:val="en-US"/>
              </w:rPr>
            </w:pPr>
          </w:p>
        </w:tc>
      </w:tr>
      <w:tr w:rsidR="001A48B7" w:rsidRPr="001A48B7" w14:paraId="3840CF2D" w14:textId="77777777" w:rsidTr="001A48B7">
        <w:trPr>
          <w:trHeight w:val="290"/>
        </w:trPr>
        <w:tc>
          <w:tcPr>
            <w:tcW w:w="1161" w:type="dxa"/>
            <w:tcBorders>
              <w:top w:val="nil"/>
              <w:left w:val="single" w:sz="8" w:space="0" w:color="auto"/>
              <w:bottom w:val="nil"/>
              <w:right w:val="single" w:sz="8" w:space="0" w:color="auto"/>
            </w:tcBorders>
            <w:shd w:val="clear" w:color="auto" w:fill="auto"/>
            <w:noWrap/>
            <w:vAlign w:val="bottom"/>
            <w:hideMark/>
          </w:tcPr>
          <w:p w14:paraId="1354059D" w14:textId="77777777" w:rsidR="001A48B7" w:rsidRPr="001A48B7" w:rsidRDefault="001A48B7" w:rsidP="001A48B7">
            <w:pPr>
              <w:spacing w:after="0" w:line="240" w:lineRule="auto"/>
              <w:jc w:val="left"/>
              <w:rPr>
                <w:rFonts w:eastAsia="Times New Roman" w:cs="Calibri"/>
                <w:b/>
                <w:bCs/>
                <w:color w:val="000000"/>
                <w:sz w:val="18"/>
                <w:szCs w:val="18"/>
                <w:lang w:val="en-US"/>
              </w:rPr>
            </w:pPr>
            <w:r w:rsidRPr="001A48B7">
              <w:rPr>
                <w:rFonts w:eastAsia="Times New Roman" w:cs="Calibri"/>
                <w:b/>
                <w:bCs/>
                <w:color w:val="000000"/>
                <w:sz w:val="18"/>
                <w:szCs w:val="18"/>
                <w:lang w:val="en-US"/>
              </w:rPr>
              <w:t>5.1.4.</w:t>
            </w:r>
          </w:p>
        </w:tc>
        <w:tc>
          <w:tcPr>
            <w:tcW w:w="3641" w:type="dxa"/>
            <w:tcBorders>
              <w:top w:val="nil"/>
              <w:left w:val="nil"/>
              <w:bottom w:val="nil"/>
              <w:right w:val="nil"/>
            </w:tcBorders>
            <w:shd w:val="clear" w:color="auto" w:fill="auto"/>
            <w:vAlign w:val="bottom"/>
            <w:hideMark/>
          </w:tcPr>
          <w:p w14:paraId="19682630" w14:textId="77777777" w:rsidR="001A48B7" w:rsidRPr="001A48B7" w:rsidRDefault="001A48B7" w:rsidP="001A48B7">
            <w:pPr>
              <w:spacing w:after="0" w:line="240" w:lineRule="auto"/>
              <w:jc w:val="left"/>
              <w:rPr>
                <w:rFonts w:eastAsia="Times New Roman" w:cs="Calibri"/>
                <w:b/>
                <w:bCs/>
                <w:color w:val="000000"/>
                <w:sz w:val="18"/>
                <w:szCs w:val="18"/>
              </w:rPr>
            </w:pPr>
            <w:r w:rsidRPr="001A48B7">
              <w:rPr>
                <w:rFonts w:eastAsia="Times New Roman" w:cs="Calibri"/>
                <w:b/>
                <w:bCs/>
                <w:color w:val="000000"/>
                <w:sz w:val="18"/>
                <w:szCs w:val="18"/>
              </w:rPr>
              <w:t>Consumo de bienes distintos de inventarios</w:t>
            </w:r>
          </w:p>
        </w:tc>
        <w:tc>
          <w:tcPr>
            <w:tcW w:w="992" w:type="dxa"/>
            <w:tcBorders>
              <w:top w:val="single" w:sz="8" w:space="0" w:color="auto"/>
              <w:left w:val="single" w:sz="8" w:space="0" w:color="auto"/>
              <w:bottom w:val="nil"/>
              <w:right w:val="single" w:sz="8" w:space="0" w:color="auto"/>
            </w:tcBorders>
            <w:shd w:val="clear" w:color="auto" w:fill="auto"/>
            <w:noWrap/>
            <w:vAlign w:val="bottom"/>
            <w:hideMark/>
          </w:tcPr>
          <w:p w14:paraId="4B8DC439" w14:textId="77777777" w:rsidR="001A48B7" w:rsidRPr="001A48B7" w:rsidRDefault="001A48B7" w:rsidP="001A48B7">
            <w:pPr>
              <w:spacing w:after="0" w:line="240" w:lineRule="auto"/>
              <w:jc w:val="left"/>
              <w:rPr>
                <w:rFonts w:eastAsia="Times New Roman" w:cs="Calibri"/>
                <w:color w:val="000000"/>
                <w:sz w:val="18"/>
                <w:szCs w:val="18"/>
              </w:rPr>
            </w:pPr>
            <w:r w:rsidRPr="001A48B7">
              <w:rPr>
                <w:rFonts w:eastAsia="Times New Roman" w:cs="Calibri"/>
                <w:color w:val="000000"/>
                <w:sz w:val="18"/>
                <w:szCs w:val="18"/>
              </w:rPr>
              <w:t xml:space="preserve"> </w:t>
            </w:r>
          </w:p>
        </w:tc>
        <w:tc>
          <w:tcPr>
            <w:tcW w:w="1040" w:type="dxa"/>
            <w:tcBorders>
              <w:top w:val="nil"/>
              <w:left w:val="nil"/>
              <w:bottom w:val="nil"/>
              <w:right w:val="nil"/>
            </w:tcBorders>
            <w:shd w:val="clear" w:color="auto" w:fill="auto"/>
            <w:noWrap/>
            <w:vAlign w:val="bottom"/>
            <w:hideMark/>
          </w:tcPr>
          <w:p w14:paraId="18AD8ECF" w14:textId="77777777" w:rsidR="001A48B7" w:rsidRPr="001A48B7" w:rsidRDefault="001A48B7" w:rsidP="001A48B7">
            <w:pPr>
              <w:spacing w:after="0" w:line="240" w:lineRule="auto"/>
              <w:jc w:val="left"/>
              <w:rPr>
                <w:rFonts w:eastAsia="Times New Roman" w:cs="Calibri"/>
                <w:color w:val="000000"/>
                <w:sz w:val="18"/>
                <w:szCs w:val="18"/>
              </w:rPr>
            </w:pPr>
            <w:r w:rsidRPr="001A48B7">
              <w:rPr>
                <w:rFonts w:eastAsia="Times New Roman" w:cs="Calibri"/>
                <w:color w:val="000000"/>
                <w:sz w:val="18"/>
                <w:szCs w:val="18"/>
              </w:rPr>
              <w:t xml:space="preserve"> </w:t>
            </w:r>
          </w:p>
        </w:tc>
        <w:tc>
          <w:tcPr>
            <w:tcW w:w="1139" w:type="dxa"/>
            <w:tcBorders>
              <w:top w:val="nil"/>
              <w:left w:val="single" w:sz="8" w:space="0" w:color="auto"/>
              <w:bottom w:val="nil"/>
              <w:right w:val="single" w:sz="8" w:space="0" w:color="auto"/>
            </w:tcBorders>
            <w:shd w:val="clear" w:color="auto" w:fill="auto"/>
            <w:noWrap/>
            <w:vAlign w:val="bottom"/>
            <w:hideMark/>
          </w:tcPr>
          <w:p w14:paraId="554C5558" w14:textId="77777777" w:rsidR="001A48B7" w:rsidRPr="001A48B7" w:rsidRDefault="001A48B7" w:rsidP="001A48B7">
            <w:pPr>
              <w:spacing w:after="0" w:line="240" w:lineRule="auto"/>
              <w:jc w:val="left"/>
              <w:rPr>
                <w:rFonts w:eastAsia="Times New Roman" w:cs="Calibri"/>
                <w:color w:val="000000"/>
                <w:sz w:val="18"/>
                <w:szCs w:val="18"/>
              </w:rPr>
            </w:pPr>
            <w:r w:rsidRPr="001A48B7">
              <w:rPr>
                <w:rFonts w:eastAsia="Times New Roman" w:cs="Calibri"/>
                <w:color w:val="000000"/>
                <w:sz w:val="18"/>
                <w:szCs w:val="18"/>
              </w:rPr>
              <w:t xml:space="preserve"> </w:t>
            </w:r>
          </w:p>
        </w:tc>
        <w:tc>
          <w:tcPr>
            <w:tcW w:w="806" w:type="dxa"/>
            <w:tcBorders>
              <w:top w:val="nil"/>
              <w:left w:val="nil"/>
              <w:bottom w:val="nil"/>
              <w:right w:val="single" w:sz="8" w:space="0" w:color="auto"/>
            </w:tcBorders>
            <w:shd w:val="clear" w:color="auto" w:fill="auto"/>
            <w:noWrap/>
            <w:vAlign w:val="bottom"/>
            <w:hideMark/>
          </w:tcPr>
          <w:p w14:paraId="6C72E902" w14:textId="77777777" w:rsidR="001A48B7" w:rsidRPr="001A48B7" w:rsidRDefault="001A48B7" w:rsidP="001A48B7">
            <w:pPr>
              <w:spacing w:after="0" w:line="240" w:lineRule="auto"/>
              <w:jc w:val="left"/>
              <w:rPr>
                <w:rFonts w:eastAsia="Times New Roman" w:cs="Calibri"/>
                <w:color w:val="000000"/>
                <w:sz w:val="18"/>
                <w:szCs w:val="18"/>
              </w:rPr>
            </w:pPr>
            <w:r w:rsidRPr="001A48B7">
              <w:rPr>
                <w:rFonts w:eastAsia="Times New Roman" w:cs="Calibri"/>
                <w:color w:val="000000"/>
                <w:sz w:val="18"/>
                <w:szCs w:val="18"/>
              </w:rPr>
              <w:t> </w:t>
            </w:r>
          </w:p>
        </w:tc>
        <w:tc>
          <w:tcPr>
            <w:tcW w:w="222" w:type="dxa"/>
            <w:vAlign w:val="center"/>
            <w:hideMark/>
          </w:tcPr>
          <w:p w14:paraId="0F61DBFA" w14:textId="77777777" w:rsidR="001A48B7" w:rsidRPr="001A48B7" w:rsidRDefault="001A48B7" w:rsidP="001A48B7">
            <w:pPr>
              <w:spacing w:after="0" w:line="240" w:lineRule="auto"/>
              <w:jc w:val="left"/>
              <w:rPr>
                <w:rFonts w:eastAsia="Times New Roman" w:cs="Times New Roman"/>
                <w:sz w:val="18"/>
                <w:szCs w:val="18"/>
              </w:rPr>
            </w:pPr>
          </w:p>
        </w:tc>
      </w:tr>
      <w:tr w:rsidR="001A48B7" w:rsidRPr="001A48B7" w14:paraId="54798A30" w14:textId="77777777" w:rsidTr="001A48B7">
        <w:trPr>
          <w:trHeight w:val="290"/>
        </w:trPr>
        <w:tc>
          <w:tcPr>
            <w:tcW w:w="1161" w:type="dxa"/>
            <w:tcBorders>
              <w:top w:val="nil"/>
              <w:left w:val="single" w:sz="8" w:space="0" w:color="auto"/>
              <w:bottom w:val="nil"/>
              <w:right w:val="single" w:sz="8" w:space="0" w:color="auto"/>
            </w:tcBorders>
            <w:shd w:val="clear" w:color="auto" w:fill="auto"/>
            <w:noWrap/>
            <w:vAlign w:val="bottom"/>
            <w:hideMark/>
          </w:tcPr>
          <w:p w14:paraId="2958C485" w14:textId="3300BD05" w:rsidR="001A48B7" w:rsidRPr="001A48B7" w:rsidRDefault="001A48B7" w:rsidP="001A48B7">
            <w:pPr>
              <w:spacing w:after="0" w:line="240" w:lineRule="auto"/>
              <w:jc w:val="left"/>
              <w:rPr>
                <w:rFonts w:eastAsia="Times New Roman" w:cs="Calibri"/>
                <w:color w:val="000000"/>
                <w:sz w:val="18"/>
                <w:szCs w:val="18"/>
                <w:lang w:val="en-US"/>
              </w:rPr>
            </w:pPr>
            <w:r w:rsidRPr="001A48B7">
              <w:rPr>
                <w:rFonts w:eastAsia="Times New Roman" w:cs="Calibri"/>
                <w:color w:val="000000"/>
                <w:sz w:val="18"/>
                <w:szCs w:val="18"/>
                <w:lang w:val="en-US"/>
              </w:rPr>
              <w:t>5.1.4.01.01.02</w:t>
            </w:r>
          </w:p>
        </w:tc>
        <w:tc>
          <w:tcPr>
            <w:tcW w:w="3641" w:type="dxa"/>
            <w:tcBorders>
              <w:top w:val="nil"/>
              <w:left w:val="nil"/>
              <w:bottom w:val="nil"/>
              <w:right w:val="nil"/>
            </w:tcBorders>
            <w:shd w:val="clear" w:color="auto" w:fill="auto"/>
            <w:vAlign w:val="bottom"/>
            <w:hideMark/>
          </w:tcPr>
          <w:p w14:paraId="4D77ED9E" w14:textId="77777777" w:rsidR="001A48B7" w:rsidRPr="001A48B7" w:rsidRDefault="001A48B7" w:rsidP="001A48B7">
            <w:pPr>
              <w:spacing w:after="0" w:line="240" w:lineRule="auto"/>
              <w:jc w:val="left"/>
              <w:rPr>
                <w:rFonts w:eastAsia="Times New Roman" w:cs="Calibri"/>
                <w:color w:val="000000"/>
                <w:sz w:val="18"/>
                <w:szCs w:val="18"/>
                <w:lang w:val="en-US"/>
              </w:rPr>
            </w:pPr>
            <w:r w:rsidRPr="001A48B7">
              <w:rPr>
                <w:rFonts w:eastAsia="Times New Roman" w:cs="Calibri"/>
                <w:color w:val="000000"/>
                <w:sz w:val="18"/>
                <w:szCs w:val="18"/>
                <w:lang w:val="en-US"/>
              </w:rPr>
              <w:t>Depreciación de edificios</w:t>
            </w:r>
          </w:p>
        </w:tc>
        <w:tc>
          <w:tcPr>
            <w:tcW w:w="992" w:type="dxa"/>
            <w:tcBorders>
              <w:top w:val="nil"/>
              <w:left w:val="single" w:sz="8" w:space="0" w:color="auto"/>
              <w:bottom w:val="nil"/>
              <w:right w:val="single" w:sz="8" w:space="0" w:color="auto"/>
            </w:tcBorders>
            <w:shd w:val="clear" w:color="auto" w:fill="auto"/>
            <w:noWrap/>
            <w:vAlign w:val="bottom"/>
            <w:hideMark/>
          </w:tcPr>
          <w:p w14:paraId="0CE3B54C" w14:textId="77777777" w:rsidR="001A48B7" w:rsidRPr="001A48B7" w:rsidRDefault="001A48B7" w:rsidP="001A48B7">
            <w:pPr>
              <w:spacing w:after="0" w:line="240" w:lineRule="auto"/>
              <w:ind w:left="-97"/>
              <w:jc w:val="right"/>
              <w:rPr>
                <w:rFonts w:eastAsia="Times New Roman" w:cs="Calibri"/>
                <w:color w:val="000000"/>
                <w:sz w:val="18"/>
                <w:szCs w:val="18"/>
                <w:lang w:val="en-US"/>
              </w:rPr>
            </w:pPr>
            <w:r w:rsidRPr="001A48B7">
              <w:rPr>
                <w:rFonts w:ascii="Arial" w:eastAsia="Times New Roman" w:hAnsi="Arial" w:cs="Arial"/>
                <w:color w:val="000000"/>
                <w:sz w:val="18"/>
                <w:szCs w:val="18"/>
                <w:lang w:val="en-US"/>
              </w:rPr>
              <w:t>₡</w:t>
            </w:r>
            <w:r w:rsidRPr="001A48B7">
              <w:rPr>
                <w:rFonts w:eastAsia="Times New Roman" w:cs="Calibri"/>
                <w:color w:val="000000"/>
                <w:sz w:val="18"/>
                <w:szCs w:val="18"/>
                <w:lang w:val="en-US"/>
              </w:rPr>
              <w:t>10 856,35</w:t>
            </w:r>
          </w:p>
        </w:tc>
        <w:tc>
          <w:tcPr>
            <w:tcW w:w="1040" w:type="dxa"/>
            <w:tcBorders>
              <w:top w:val="nil"/>
              <w:left w:val="nil"/>
              <w:bottom w:val="nil"/>
              <w:right w:val="single" w:sz="8" w:space="0" w:color="auto"/>
            </w:tcBorders>
            <w:shd w:val="clear" w:color="auto" w:fill="auto"/>
            <w:noWrap/>
            <w:vAlign w:val="bottom"/>
            <w:hideMark/>
          </w:tcPr>
          <w:p w14:paraId="16AED17F" w14:textId="77777777" w:rsidR="001A48B7" w:rsidRPr="001A48B7" w:rsidRDefault="001A48B7" w:rsidP="001A48B7">
            <w:pPr>
              <w:spacing w:after="0" w:line="240" w:lineRule="auto"/>
              <w:ind w:left="-102"/>
              <w:jc w:val="right"/>
              <w:rPr>
                <w:rFonts w:eastAsia="Times New Roman" w:cs="Calibri"/>
                <w:color w:val="000000"/>
                <w:sz w:val="18"/>
                <w:szCs w:val="18"/>
                <w:lang w:val="en-US"/>
              </w:rPr>
            </w:pPr>
            <w:r w:rsidRPr="001A48B7">
              <w:rPr>
                <w:rFonts w:ascii="Arial" w:eastAsia="Times New Roman" w:hAnsi="Arial" w:cs="Arial"/>
                <w:color w:val="000000"/>
                <w:sz w:val="18"/>
                <w:szCs w:val="18"/>
                <w:lang w:val="en-US"/>
              </w:rPr>
              <w:t>₡</w:t>
            </w:r>
            <w:r w:rsidRPr="001A48B7">
              <w:rPr>
                <w:rFonts w:eastAsia="Times New Roman" w:cs="Calibri"/>
                <w:color w:val="000000"/>
                <w:sz w:val="18"/>
                <w:szCs w:val="18"/>
                <w:lang w:val="en-US"/>
              </w:rPr>
              <w:t>117 620,17</w:t>
            </w:r>
          </w:p>
        </w:tc>
        <w:tc>
          <w:tcPr>
            <w:tcW w:w="1139" w:type="dxa"/>
            <w:tcBorders>
              <w:top w:val="nil"/>
              <w:left w:val="nil"/>
              <w:bottom w:val="nil"/>
              <w:right w:val="single" w:sz="8" w:space="0" w:color="auto"/>
            </w:tcBorders>
            <w:shd w:val="clear" w:color="auto" w:fill="auto"/>
            <w:noWrap/>
            <w:vAlign w:val="bottom"/>
            <w:hideMark/>
          </w:tcPr>
          <w:p w14:paraId="4BA7A10B" w14:textId="77777777" w:rsidR="001A48B7" w:rsidRPr="001A48B7" w:rsidRDefault="001A48B7" w:rsidP="001A48B7">
            <w:pPr>
              <w:spacing w:after="0" w:line="240" w:lineRule="auto"/>
              <w:jc w:val="right"/>
              <w:rPr>
                <w:rFonts w:eastAsia="Times New Roman" w:cs="Calibri"/>
                <w:color w:val="000000"/>
                <w:sz w:val="18"/>
                <w:szCs w:val="18"/>
                <w:lang w:val="en-US"/>
              </w:rPr>
            </w:pPr>
            <w:r w:rsidRPr="001A48B7">
              <w:rPr>
                <w:rFonts w:eastAsia="Times New Roman" w:cs="Calibri"/>
                <w:color w:val="000000"/>
                <w:sz w:val="18"/>
                <w:szCs w:val="18"/>
                <w:lang w:val="en-US"/>
              </w:rPr>
              <w:t>-</w:t>
            </w:r>
            <w:r w:rsidRPr="001A48B7">
              <w:rPr>
                <w:rFonts w:ascii="Arial" w:eastAsia="Times New Roman" w:hAnsi="Arial" w:cs="Arial"/>
                <w:color w:val="000000"/>
                <w:sz w:val="18"/>
                <w:szCs w:val="18"/>
                <w:lang w:val="en-US"/>
              </w:rPr>
              <w:t>₡</w:t>
            </w:r>
            <w:r w:rsidRPr="001A48B7">
              <w:rPr>
                <w:rFonts w:eastAsia="Times New Roman" w:cs="Calibri"/>
                <w:color w:val="000000"/>
                <w:sz w:val="18"/>
                <w:szCs w:val="18"/>
                <w:lang w:val="en-US"/>
              </w:rPr>
              <w:t>106 763,83</w:t>
            </w:r>
          </w:p>
        </w:tc>
        <w:tc>
          <w:tcPr>
            <w:tcW w:w="806" w:type="dxa"/>
            <w:tcBorders>
              <w:top w:val="nil"/>
              <w:left w:val="nil"/>
              <w:bottom w:val="nil"/>
              <w:right w:val="single" w:sz="8" w:space="0" w:color="auto"/>
            </w:tcBorders>
            <w:shd w:val="clear" w:color="000000" w:fill="FFFFFF"/>
            <w:noWrap/>
            <w:vAlign w:val="bottom"/>
            <w:hideMark/>
          </w:tcPr>
          <w:p w14:paraId="78DA0DC4" w14:textId="77777777" w:rsidR="001A48B7" w:rsidRPr="001A48B7" w:rsidRDefault="001A48B7" w:rsidP="001A48B7">
            <w:pPr>
              <w:spacing w:after="0" w:line="240" w:lineRule="auto"/>
              <w:jc w:val="right"/>
              <w:rPr>
                <w:rFonts w:eastAsia="Times New Roman" w:cs="Calibri"/>
                <w:color w:val="000000"/>
                <w:sz w:val="18"/>
                <w:szCs w:val="18"/>
                <w:lang w:val="en-US"/>
              </w:rPr>
            </w:pPr>
            <w:r w:rsidRPr="001A48B7">
              <w:rPr>
                <w:rFonts w:eastAsia="Times New Roman" w:cs="Calibri"/>
                <w:color w:val="000000"/>
                <w:sz w:val="18"/>
                <w:szCs w:val="18"/>
                <w:lang w:val="en-US"/>
              </w:rPr>
              <w:t>-90,77%</w:t>
            </w:r>
          </w:p>
        </w:tc>
        <w:tc>
          <w:tcPr>
            <w:tcW w:w="222" w:type="dxa"/>
            <w:vAlign w:val="center"/>
            <w:hideMark/>
          </w:tcPr>
          <w:p w14:paraId="604F122F" w14:textId="77777777" w:rsidR="001A48B7" w:rsidRPr="001A48B7" w:rsidRDefault="001A48B7" w:rsidP="001A48B7">
            <w:pPr>
              <w:spacing w:after="0" w:line="240" w:lineRule="auto"/>
              <w:jc w:val="left"/>
              <w:rPr>
                <w:rFonts w:eastAsia="Times New Roman" w:cs="Times New Roman"/>
                <w:sz w:val="18"/>
                <w:szCs w:val="18"/>
                <w:lang w:val="en-US"/>
              </w:rPr>
            </w:pPr>
          </w:p>
        </w:tc>
      </w:tr>
      <w:tr w:rsidR="001A48B7" w:rsidRPr="001A48B7" w14:paraId="10C1C3F2" w14:textId="77777777" w:rsidTr="001A48B7">
        <w:trPr>
          <w:trHeight w:val="290"/>
        </w:trPr>
        <w:tc>
          <w:tcPr>
            <w:tcW w:w="1161" w:type="dxa"/>
            <w:tcBorders>
              <w:top w:val="nil"/>
              <w:left w:val="single" w:sz="8" w:space="0" w:color="auto"/>
              <w:bottom w:val="nil"/>
              <w:right w:val="single" w:sz="8" w:space="0" w:color="auto"/>
            </w:tcBorders>
            <w:shd w:val="clear" w:color="auto" w:fill="auto"/>
            <w:noWrap/>
            <w:vAlign w:val="bottom"/>
            <w:hideMark/>
          </w:tcPr>
          <w:p w14:paraId="55B7299B" w14:textId="3E60365E" w:rsidR="001A48B7" w:rsidRPr="001A48B7" w:rsidRDefault="001A48B7" w:rsidP="001A48B7">
            <w:pPr>
              <w:spacing w:after="0" w:line="240" w:lineRule="auto"/>
              <w:jc w:val="left"/>
              <w:rPr>
                <w:rFonts w:eastAsia="Times New Roman" w:cs="Calibri"/>
                <w:color w:val="000000"/>
                <w:sz w:val="18"/>
                <w:szCs w:val="18"/>
                <w:lang w:val="en-US"/>
              </w:rPr>
            </w:pPr>
            <w:r w:rsidRPr="001A48B7">
              <w:rPr>
                <w:rFonts w:eastAsia="Times New Roman" w:cs="Calibri"/>
                <w:color w:val="000000"/>
                <w:sz w:val="18"/>
                <w:szCs w:val="18"/>
                <w:lang w:val="en-US"/>
              </w:rPr>
              <w:t>5.1.4.01.01.03</w:t>
            </w:r>
          </w:p>
        </w:tc>
        <w:tc>
          <w:tcPr>
            <w:tcW w:w="3641" w:type="dxa"/>
            <w:tcBorders>
              <w:top w:val="nil"/>
              <w:left w:val="nil"/>
              <w:bottom w:val="nil"/>
              <w:right w:val="nil"/>
            </w:tcBorders>
            <w:shd w:val="clear" w:color="auto" w:fill="auto"/>
            <w:vAlign w:val="bottom"/>
            <w:hideMark/>
          </w:tcPr>
          <w:p w14:paraId="6EC3F4CD" w14:textId="77777777" w:rsidR="001A48B7" w:rsidRPr="001A48B7" w:rsidRDefault="001A48B7" w:rsidP="001A48B7">
            <w:pPr>
              <w:spacing w:after="0" w:line="240" w:lineRule="auto"/>
              <w:jc w:val="left"/>
              <w:rPr>
                <w:rFonts w:eastAsia="Times New Roman" w:cs="Calibri"/>
                <w:color w:val="000000"/>
                <w:sz w:val="18"/>
                <w:szCs w:val="18"/>
              </w:rPr>
            </w:pPr>
            <w:r w:rsidRPr="001A48B7">
              <w:rPr>
                <w:rFonts w:eastAsia="Times New Roman" w:cs="Calibri"/>
                <w:color w:val="000000"/>
                <w:sz w:val="18"/>
                <w:szCs w:val="18"/>
              </w:rPr>
              <w:t>Depreciaciones de maquinaria y equipos para la producción</w:t>
            </w:r>
          </w:p>
        </w:tc>
        <w:tc>
          <w:tcPr>
            <w:tcW w:w="992" w:type="dxa"/>
            <w:tcBorders>
              <w:top w:val="nil"/>
              <w:left w:val="single" w:sz="8" w:space="0" w:color="auto"/>
              <w:bottom w:val="nil"/>
              <w:right w:val="single" w:sz="8" w:space="0" w:color="auto"/>
            </w:tcBorders>
            <w:shd w:val="clear" w:color="auto" w:fill="auto"/>
            <w:noWrap/>
            <w:vAlign w:val="bottom"/>
            <w:hideMark/>
          </w:tcPr>
          <w:p w14:paraId="6E933FFA" w14:textId="77777777" w:rsidR="001A48B7" w:rsidRPr="001A48B7" w:rsidRDefault="001A48B7" w:rsidP="001A48B7">
            <w:pPr>
              <w:spacing w:after="0" w:line="240" w:lineRule="auto"/>
              <w:jc w:val="right"/>
              <w:rPr>
                <w:rFonts w:eastAsia="Times New Roman" w:cs="Calibri"/>
                <w:color w:val="000000"/>
                <w:sz w:val="18"/>
                <w:szCs w:val="18"/>
                <w:lang w:val="en-US"/>
              </w:rPr>
            </w:pPr>
            <w:r w:rsidRPr="001A48B7">
              <w:rPr>
                <w:rFonts w:eastAsia="Times New Roman" w:cs="Calibri"/>
                <w:color w:val="000000"/>
                <w:sz w:val="18"/>
                <w:szCs w:val="18"/>
                <w:lang w:val="en-US"/>
              </w:rPr>
              <w:t>74 706,44</w:t>
            </w:r>
          </w:p>
        </w:tc>
        <w:tc>
          <w:tcPr>
            <w:tcW w:w="1040" w:type="dxa"/>
            <w:tcBorders>
              <w:top w:val="nil"/>
              <w:left w:val="nil"/>
              <w:bottom w:val="nil"/>
              <w:right w:val="single" w:sz="8" w:space="0" w:color="auto"/>
            </w:tcBorders>
            <w:shd w:val="clear" w:color="auto" w:fill="auto"/>
            <w:noWrap/>
            <w:vAlign w:val="bottom"/>
            <w:hideMark/>
          </w:tcPr>
          <w:p w14:paraId="220A3C0E" w14:textId="77777777" w:rsidR="001A48B7" w:rsidRPr="001A48B7" w:rsidRDefault="001A48B7" w:rsidP="001A48B7">
            <w:pPr>
              <w:spacing w:after="0" w:line="240" w:lineRule="auto"/>
              <w:jc w:val="right"/>
              <w:rPr>
                <w:rFonts w:eastAsia="Times New Roman" w:cs="Calibri"/>
                <w:color w:val="000000"/>
                <w:sz w:val="18"/>
                <w:szCs w:val="18"/>
                <w:lang w:val="en-US"/>
              </w:rPr>
            </w:pPr>
            <w:r w:rsidRPr="001A48B7">
              <w:rPr>
                <w:rFonts w:eastAsia="Times New Roman" w:cs="Calibri"/>
                <w:color w:val="000000"/>
                <w:sz w:val="18"/>
                <w:szCs w:val="18"/>
                <w:lang w:val="en-US"/>
              </w:rPr>
              <w:t>63 864,88</w:t>
            </w:r>
          </w:p>
        </w:tc>
        <w:tc>
          <w:tcPr>
            <w:tcW w:w="1139" w:type="dxa"/>
            <w:tcBorders>
              <w:top w:val="nil"/>
              <w:left w:val="nil"/>
              <w:bottom w:val="nil"/>
              <w:right w:val="single" w:sz="8" w:space="0" w:color="auto"/>
            </w:tcBorders>
            <w:shd w:val="clear" w:color="auto" w:fill="auto"/>
            <w:noWrap/>
            <w:vAlign w:val="bottom"/>
            <w:hideMark/>
          </w:tcPr>
          <w:p w14:paraId="7DAE9DA7" w14:textId="77777777" w:rsidR="001A48B7" w:rsidRPr="001A48B7" w:rsidRDefault="001A48B7" w:rsidP="001A48B7">
            <w:pPr>
              <w:spacing w:after="0" w:line="240" w:lineRule="auto"/>
              <w:jc w:val="right"/>
              <w:rPr>
                <w:rFonts w:eastAsia="Times New Roman" w:cs="Calibri"/>
                <w:color w:val="000000"/>
                <w:sz w:val="18"/>
                <w:szCs w:val="18"/>
                <w:lang w:val="en-US"/>
              </w:rPr>
            </w:pPr>
            <w:r w:rsidRPr="001A48B7">
              <w:rPr>
                <w:rFonts w:eastAsia="Times New Roman" w:cs="Calibri"/>
                <w:color w:val="000000"/>
                <w:sz w:val="18"/>
                <w:szCs w:val="18"/>
                <w:lang w:val="en-US"/>
              </w:rPr>
              <w:t>10 841,56</w:t>
            </w:r>
          </w:p>
        </w:tc>
        <w:tc>
          <w:tcPr>
            <w:tcW w:w="806" w:type="dxa"/>
            <w:tcBorders>
              <w:top w:val="nil"/>
              <w:left w:val="nil"/>
              <w:bottom w:val="nil"/>
              <w:right w:val="single" w:sz="8" w:space="0" w:color="auto"/>
            </w:tcBorders>
            <w:shd w:val="clear" w:color="000000" w:fill="FFFFFF"/>
            <w:noWrap/>
            <w:vAlign w:val="bottom"/>
            <w:hideMark/>
          </w:tcPr>
          <w:p w14:paraId="2EE31531" w14:textId="77777777" w:rsidR="001A48B7" w:rsidRPr="001A48B7" w:rsidRDefault="001A48B7" w:rsidP="001A48B7">
            <w:pPr>
              <w:spacing w:after="0" w:line="240" w:lineRule="auto"/>
              <w:jc w:val="right"/>
              <w:rPr>
                <w:rFonts w:eastAsia="Times New Roman" w:cs="Calibri"/>
                <w:color w:val="000000"/>
                <w:sz w:val="18"/>
                <w:szCs w:val="18"/>
                <w:lang w:val="en-US"/>
              </w:rPr>
            </w:pPr>
            <w:r w:rsidRPr="001A48B7">
              <w:rPr>
                <w:rFonts w:eastAsia="Times New Roman" w:cs="Calibri"/>
                <w:color w:val="000000"/>
                <w:sz w:val="18"/>
                <w:szCs w:val="18"/>
                <w:lang w:val="en-US"/>
              </w:rPr>
              <w:t>16,98%</w:t>
            </w:r>
          </w:p>
        </w:tc>
        <w:tc>
          <w:tcPr>
            <w:tcW w:w="222" w:type="dxa"/>
            <w:vAlign w:val="center"/>
            <w:hideMark/>
          </w:tcPr>
          <w:p w14:paraId="58B0C6A6" w14:textId="77777777" w:rsidR="001A48B7" w:rsidRPr="001A48B7" w:rsidRDefault="001A48B7" w:rsidP="001A48B7">
            <w:pPr>
              <w:spacing w:after="0" w:line="240" w:lineRule="auto"/>
              <w:jc w:val="left"/>
              <w:rPr>
                <w:rFonts w:eastAsia="Times New Roman" w:cs="Times New Roman"/>
                <w:sz w:val="18"/>
                <w:szCs w:val="18"/>
                <w:lang w:val="en-US"/>
              </w:rPr>
            </w:pPr>
          </w:p>
        </w:tc>
      </w:tr>
      <w:tr w:rsidR="001A48B7" w:rsidRPr="001A48B7" w14:paraId="22D39A0F" w14:textId="77777777" w:rsidTr="001A48B7">
        <w:trPr>
          <w:trHeight w:val="530"/>
        </w:trPr>
        <w:tc>
          <w:tcPr>
            <w:tcW w:w="1161" w:type="dxa"/>
            <w:tcBorders>
              <w:top w:val="nil"/>
              <w:left w:val="single" w:sz="8" w:space="0" w:color="auto"/>
              <w:bottom w:val="nil"/>
              <w:right w:val="single" w:sz="8" w:space="0" w:color="auto"/>
            </w:tcBorders>
            <w:shd w:val="clear" w:color="auto" w:fill="auto"/>
            <w:noWrap/>
            <w:vAlign w:val="bottom"/>
            <w:hideMark/>
          </w:tcPr>
          <w:p w14:paraId="7486D521" w14:textId="0C128DEB" w:rsidR="001A48B7" w:rsidRPr="001A48B7" w:rsidRDefault="001A48B7" w:rsidP="001A48B7">
            <w:pPr>
              <w:spacing w:after="0" w:line="240" w:lineRule="auto"/>
              <w:jc w:val="left"/>
              <w:rPr>
                <w:rFonts w:eastAsia="Times New Roman" w:cs="Calibri"/>
                <w:color w:val="000000"/>
                <w:sz w:val="18"/>
                <w:szCs w:val="18"/>
                <w:lang w:val="en-US"/>
              </w:rPr>
            </w:pPr>
            <w:r w:rsidRPr="001A48B7">
              <w:rPr>
                <w:rFonts w:eastAsia="Times New Roman" w:cs="Calibri"/>
                <w:color w:val="000000"/>
                <w:sz w:val="18"/>
                <w:szCs w:val="18"/>
                <w:lang w:val="en-US"/>
              </w:rPr>
              <w:t>5.1.4.01.01.04</w:t>
            </w:r>
          </w:p>
        </w:tc>
        <w:tc>
          <w:tcPr>
            <w:tcW w:w="3641" w:type="dxa"/>
            <w:tcBorders>
              <w:top w:val="nil"/>
              <w:left w:val="nil"/>
              <w:bottom w:val="nil"/>
              <w:right w:val="nil"/>
            </w:tcBorders>
            <w:shd w:val="clear" w:color="auto" w:fill="auto"/>
            <w:vAlign w:val="bottom"/>
            <w:hideMark/>
          </w:tcPr>
          <w:p w14:paraId="73AB585C" w14:textId="77777777" w:rsidR="001A48B7" w:rsidRPr="001A48B7" w:rsidRDefault="001A48B7" w:rsidP="001A48B7">
            <w:pPr>
              <w:spacing w:after="0" w:line="240" w:lineRule="auto"/>
              <w:jc w:val="left"/>
              <w:rPr>
                <w:rFonts w:eastAsia="Times New Roman" w:cs="Calibri"/>
                <w:color w:val="000000"/>
                <w:sz w:val="18"/>
                <w:szCs w:val="18"/>
              </w:rPr>
            </w:pPr>
            <w:r w:rsidRPr="001A48B7">
              <w:rPr>
                <w:rFonts w:eastAsia="Times New Roman" w:cs="Calibri"/>
                <w:color w:val="000000"/>
                <w:sz w:val="18"/>
                <w:szCs w:val="18"/>
              </w:rPr>
              <w:t>Depreciaciones de equipos de transporte, tracción y elevación</w:t>
            </w:r>
          </w:p>
        </w:tc>
        <w:tc>
          <w:tcPr>
            <w:tcW w:w="992" w:type="dxa"/>
            <w:tcBorders>
              <w:top w:val="nil"/>
              <w:left w:val="single" w:sz="8" w:space="0" w:color="auto"/>
              <w:bottom w:val="nil"/>
              <w:right w:val="single" w:sz="8" w:space="0" w:color="auto"/>
            </w:tcBorders>
            <w:shd w:val="clear" w:color="auto" w:fill="auto"/>
            <w:noWrap/>
            <w:vAlign w:val="bottom"/>
            <w:hideMark/>
          </w:tcPr>
          <w:p w14:paraId="0F69A78D" w14:textId="77777777" w:rsidR="001A48B7" w:rsidRPr="001A48B7" w:rsidRDefault="001A48B7" w:rsidP="001A48B7">
            <w:pPr>
              <w:spacing w:after="0" w:line="240" w:lineRule="auto"/>
              <w:jc w:val="right"/>
              <w:rPr>
                <w:rFonts w:eastAsia="Times New Roman" w:cs="Calibri"/>
                <w:color w:val="000000"/>
                <w:sz w:val="18"/>
                <w:szCs w:val="18"/>
                <w:lang w:val="en-US"/>
              </w:rPr>
            </w:pPr>
            <w:r w:rsidRPr="001A48B7">
              <w:rPr>
                <w:rFonts w:eastAsia="Times New Roman" w:cs="Calibri"/>
                <w:color w:val="000000"/>
                <w:sz w:val="18"/>
                <w:szCs w:val="18"/>
                <w:lang w:val="en-US"/>
              </w:rPr>
              <w:t>7 556,69</w:t>
            </w:r>
          </w:p>
        </w:tc>
        <w:tc>
          <w:tcPr>
            <w:tcW w:w="1040" w:type="dxa"/>
            <w:tcBorders>
              <w:top w:val="nil"/>
              <w:left w:val="nil"/>
              <w:bottom w:val="nil"/>
              <w:right w:val="single" w:sz="8" w:space="0" w:color="auto"/>
            </w:tcBorders>
            <w:shd w:val="clear" w:color="auto" w:fill="auto"/>
            <w:noWrap/>
            <w:vAlign w:val="bottom"/>
            <w:hideMark/>
          </w:tcPr>
          <w:p w14:paraId="634D95E0" w14:textId="77777777" w:rsidR="001A48B7" w:rsidRPr="001A48B7" w:rsidRDefault="001A48B7" w:rsidP="001A48B7">
            <w:pPr>
              <w:spacing w:after="0" w:line="240" w:lineRule="auto"/>
              <w:jc w:val="right"/>
              <w:rPr>
                <w:rFonts w:eastAsia="Times New Roman" w:cs="Calibri"/>
                <w:color w:val="000000"/>
                <w:sz w:val="18"/>
                <w:szCs w:val="18"/>
                <w:lang w:val="en-US"/>
              </w:rPr>
            </w:pPr>
            <w:r w:rsidRPr="001A48B7">
              <w:rPr>
                <w:rFonts w:eastAsia="Times New Roman" w:cs="Calibri"/>
                <w:color w:val="000000"/>
                <w:sz w:val="18"/>
                <w:szCs w:val="18"/>
                <w:lang w:val="en-US"/>
              </w:rPr>
              <w:t>5 173,89</w:t>
            </w:r>
          </w:p>
        </w:tc>
        <w:tc>
          <w:tcPr>
            <w:tcW w:w="1139" w:type="dxa"/>
            <w:tcBorders>
              <w:top w:val="nil"/>
              <w:left w:val="nil"/>
              <w:bottom w:val="nil"/>
              <w:right w:val="single" w:sz="8" w:space="0" w:color="auto"/>
            </w:tcBorders>
            <w:shd w:val="clear" w:color="auto" w:fill="auto"/>
            <w:noWrap/>
            <w:vAlign w:val="bottom"/>
            <w:hideMark/>
          </w:tcPr>
          <w:p w14:paraId="327BA16B" w14:textId="77777777" w:rsidR="001A48B7" w:rsidRPr="001A48B7" w:rsidRDefault="001A48B7" w:rsidP="001A48B7">
            <w:pPr>
              <w:spacing w:after="0" w:line="240" w:lineRule="auto"/>
              <w:jc w:val="right"/>
              <w:rPr>
                <w:rFonts w:eastAsia="Times New Roman" w:cs="Calibri"/>
                <w:color w:val="000000"/>
                <w:sz w:val="18"/>
                <w:szCs w:val="18"/>
                <w:lang w:val="en-US"/>
              </w:rPr>
            </w:pPr>
            <w:r w:rsidRPr="001A48B7">
              <w:rPr>
                <w:rFonts w:eastAsia="Times New Roman" w:cs="Calibri"/>
                <w:color w:val="000000"/>
                <w:sz w:val="18"/>
                <w:szCs w:val="18"/>
                <w:lang w:val="en-US"/>
              </w:rPr>
              <w:t>2 382,80</w:t>
            </w:r>
          </w:p>
        </w:tc>
        <w:tc>
          <w:tcPr>
            <w:tcW w:w="806" w:type="dxa"/>
            <w:tcBorders>
              <w:top w:val="nil"/>
              <w:left w:val="nil"/>
              <w:bottom w:val="nil"/>
              <w:right w:val="single" w:sz="8" w:space="0" w:color="auto"/>
            </w:tcBorders>
            <w:shd w:val="clear" w:color="000000" w:fill="FFFFFF"/>
            <w:noWrap/>
            <w:vAlign w:val="bottom"/>
            <w:hideMark/>
          </w:tcPr>
          <w:p w14:paraId="4BEC670D" w14:textId="77777777" w:rsidR="001A48B7" w:rsidRPr="001A48B7" w:rsidRDefault="001A48B7" w:rsidP="001A48B7">
            <w:pPr>
              <w:spacing w:after="0" w:line="240" w:lineRule="auto"/>
              <w:jc w:val="right"/>
              <w:rPr>
                <w:rFonts w:eastAsia="Times New Roman" w:cs="Calibri"/>
                <w:color w:val="000000"/>
                <w:sz w:val="18"/>
                <w:szCs w:val="18"/>
                <w:lang w:val="en-US"/>
              </w:rPr>
            </w:pPr>
            <w:r w:rsidRPr="001A48B7">
              <w:rPr>
                <w:rFonts w:eastAsia="Times New Roman" w:cs="Calibri"/>
                <w:color w:val="000000"/>
                <w:sz w:val="18"/>
                <w:szCs w:val="18"/>
                <w:lang w:val="en-US"/>
              </w:rPr>
              <w:t>46,05%</w:t>
            </w:r>
          </w:p>
        </w:tc>
        <w:tc>
          <w:tcPr>
            <w:tcW w:w="222" w:type="dxa"/>
            <w:vAlign w:val="center"/>
            <w:hideMark/>
          </w:tcPr>
          <w:p w14:paraId="473A4E1D" w14:textId="77777777" w:rsidR="001A48B7" w:rsidRPr="001A48B7" w:rsidRDefault="001A48B7" w:rsidP="001A48B7">
            <w:pPr>
              <w:spacing w:after="0" w:line="240" w:lineRule="auto"/>
              <w:jc w:val="left"/>
              <w:rPr>
                <w:rFonts w:eastAsia="Times New Roman" w:cs="Times New Roman"/>
                <w:sz w:val="18"/>
                <w:szCs w:val="18"/>
                <w:lang w:val="en-US"/>
              </w:rPr>
            </w:pPr>
          </w:p>
        </w:tc>
      </w:tr>
      <w:tr w:rsidR="001A48B7" w:rsidRPr="001A48B7" w14:paraId="529AD962" w14:textId="77777777" w:rsidTr="001A48B7">
        <w:trPr>
          <w:trHeight w:val="290"/>
        </w:trPr>
        <w:tc>
          <w:tcPr>
            <w:tcW w:w="1161" w:type="dxa"/>
            <w:tcBorders>
              <w:top w:val="nil"/>
              <w:left w:val="single" w:sz="8" w:space="0" w:color="auto"/>
              <w:bottom w:val="nil"/>
              <w:right w:val="single" w:sz="8" w:space="0" w:color="auto"/>
            </w:tcBorders>
            <w:shd w:val="clear" w:color="auto" w:fill="auto"/>
            <w:noWrap/>
            <w:vAlign w:val="bottom"/>
            <w:hideMark/>
          </w:tcPr>
          <w:p w14:paraId="2AC9FE07" w14:textId="3EDB14B6" w:rsidR="001A48B7" w:rsidRPr="001A48B7" w:rsidRDefault="001A48B7" w:rsidP="001A48B7">
            <w:pPr>
              <w:spacing w:after="0" w:line="240" w:lineRule="auto"/>
              <w:jc w:val="left"/>
              <w:rPr>
                <w:rFonts w:eastAsia="Times New Roman" w:cs="Calibri"/>
                <w:color w:val="000000"/>
                <w:sz w:val="18"/>
                <w:szCs w:val="18"/>
                <w:lang w:val="en-US"/>
              </w:rPr>
            </w:pPr>
            <w:r w:rsidRPr="001A48B7">
              <w:rPr>
                <w:rFonts w:eastAsia="Times New Roman" w:cs="Calibri"/>
                <w:color w:val="000000"/>
                <w:sz w:val="18"/>
                <w:szCs w:val="18"/>
                <w:lang w:val="en-US"/>
              </w:rPr>
              <w:t>5.1.4.01.01.05</w:t>
            </w:r>
          </w:p>
        </w:tc>
        <w:tc>
          <w:tcPr>
            <w:tcW w:w="3641" w:type="dxa"/>
            <w:tcBorders>
              <w:top w:val="nil"/>
              <w:left w:val="nil"/>
              <w:bottom w:val="nil"/>
              <w:right w:val="nil"/>
            </w:tcBorders>
            <w:shd w:val="clear" w:color="auto" w:fill="auto"/>
            <w:vAlign w:val="bottom"/>
            <w:hideMark/>
          </w:tcPr>
          <w:p w14:paraId="22231E73" w14:textId="77777777" w:rsidR="001A48B7" w:rsidRPr="001A48B7" w:rsidRDefault="001A48B7" w:rsidP="001A48B7">
            <w:pPr>
              <w:spacing w:after="0" w:line="240" w:lineRule="auto"/>
              <w:jc w:val="left"/>
              <w:rPr>
                <w:rFonts w:eastAsia="Times New Roman" w:cs="Calibri"/>
                <w:color w:val="000000"/>
                <w:sz w:val="18"/>
                <w:szCs w:val="18"/>
              </w:rPr>
            </w:pPr>
            <w:r w:rsidRPr="001A48B7">
              <w:rPr>
                <w:rFonts w:eastAsia="Times New Roman" w:cs="Calibri"/>
                <w:color w:val="000000"/>
                <w:sz w:val="18"/>
                <w:szCs w:val="18"/>
              </w:rPr>
              <w:t>Depreciaciones de equipos de comunicación</w:t>
            </w:r>
          </w:p>
        </w:tc>
        <w:tc>
          <w:tcPr>
            <w:tcW w:w="992" w:type="dxa"/>
            <w:tcBorders>
              <w:top w:val="nil"/>
              <w:left w:val="single" w:sz="8" w:space="0" w:color="auto"/>
              <w:bottom w:val="nil"/>
              <w:right w:val="single" w:sz="8" w:space="0" w:color="auto"/>
            </w:tcBorders>
            <w:shd w:val="clear" w:color="auto" w:fill="auto"/>
            <w:noWrap/>
            <w:vAlign w:val="bottom"/>
            <w:hideMark/>
          </w:tcPr>
          <w:p w14:paraId="3853D554" w14:textId="77777777" w:rsidR="001A48B7" w:rsidRPr="001A48B7" w:rsidRDefault="001A48B7" w:rsidP="001A48B7">
            <w:pPr>
              <w:spacing w:after="0" w:line="240" w:lineRule="auto"/>
              <w:jc w:val="right"/>
              <w:rPr>
                <w:rFonts w:eastAsia="Times New Roman" w:cs="Calibri"/>
                <w:color w:val="000000"/>
                <w:sz w:val="18"/>
                <w:szCs w:val="18"/>
                <w:lang w:val="en-US"/>
              </w:rPr>
            </w:pPr>
            <w:r w:rsidRPr="001A48B7">
              <w:rPr>
                <w:rFonts w:eastAsia="Times New Roman" w:cs="Calibri"/>
                <w:color w:val="000000"/>
                <w:sz w:val="18"/>
                <w:szCs w:val="18"/>
                <w:lang w:val="en-US"/>
              </w:rPr>
              <w:t>1 625,99</w:t>
            </w:r>
          </w:p>
        </w:tc>
        <w:tc>
          <w:tcPr>
            <w:tcW w:w="1040" w:type="dxa"/>
            <w:tcBorders>
              <w:top w:val="nil"/>
              <w:left w:val="nil"/>
              <w:bottom w:val="nil"/>
              <w:right w:val="single" w:sz="8" w:space="0" w:color="auto"/>
            </w:tcBorders>
            <w:shd w:val="clear" w:color="auto" w:fill="auto"/>
            <w:noWrap/>
            <w:vAlign w:val="bottom"/>
            <w:hideMark/>
          </w:tcPr>
          <w:p w14:paraId="032BD029" w14:textId="77777777" w:rsidR="001A48B7" w:rsidRPr="001A48B7" w:rsidRDefault="001A48B7" w:rsidP="001A48B7">
            <w:pPr>
              <w:spacing w:after="0" w:line="240" w:lineRule="auto"/>
              <w:jc w:val="right"/>
              <w:rPr>
                <w:rFonts w:eastAsia="Times New Roman" w:cs="Calibri"/>
                <w:color w:val="000000"/>
                <w:sz w:val="18"/>
                <w:szCs w:val="18"/>
                <w:lang w:val="en-US"/>
              </w:rPr>
            </w:pPr>
            <w:r w:rsidRPr="001A48B7">
              <w:rPr>
                <w:rFonts w:eastAsia="Times New Roman" w:cs="Calibri"/>
                <w:color w:val="000000"/>
                <w:sz w:val="18"/>
                <w:szCs w:val="18"/>
                <w:lang w:val="en-US"/>
              </w:rPr>
              <w:t>1 395,91</w:t>
            </w:r>
          </w:p>
        </w:tc>
        <w:tc>
          <w:tcPr>
            <w:tcW w:w="1139" w:type="dxa"/>
            <w:tcBorders>
              <w:top w:val="nil"/>
              <w:left w:val="nil"/>
              <w:bottom w:val="nil"/>
              <w:right w:val="single" w:sz="8" w:space="0" w:color="auto"/>
            </w:tcBorders>
            <w:shd w:val="clear" w:color="auto" w:fill="auto"/>
            <w:noWrap/>
            <w:vAlign w:val="bottom"/>
            <w:hideMark/>
          </w:tcPr>
          <w:p w14:paraId="42DD63CD" w14:textId="77777777" w:rsidR="001A48B7" w:rsidRPr="001A48B7" w:rsidRDefault="001A48B7" w:rsidP="001A48B7">
            <w:pPr>
              <w:spacing w:after="0" w:line="240" w:lineRule="auto"/>
              <w:jc w:val="right"/>
              <w:rPr>
                <w:rFonts w:eastAsia="Times New Roman" w:cs="Calibri"/>
                <w:color w:val="000000"/>
                <w:sz w:val="18"/>
                <w:szCs w:val="18"/>
                <w:lang w:val="en-US"/>
              </w:rPr>
            </w:pPr>
            <w:r w:rsidRPr="001A48B7">
              <w:rPr>
                <w:rFonts w:eastAsia="Times New Roman" w:cs="Calibri"/>
                <w:color w:val="000000"/>
                <w:sz w:val="18"/>
                <w:szCs w:val="18"/>
                <w:lang w:val="en-US"/>
              </w:rPr>
              <w:t>230,08</w:t>
            </w:r>
          </w:p>
        </w:tc>
        <w:tc>
          <w:tcPr>
            <w:tcW w:w="806" w:type="dxa"/>
            <w:tcBorders>
              <w:top w:val="nil"/>
              <w:left w:val="nil"/>
              <w:bottom w:val="nil"/>
              <w:right w:val="single" w:sz="8" w:space="0" w:color="auto"/>
            </w:tcBorders>
            <w:shd w:val="clear" w:color="000000" w:fill="FFFFFF"/>
            <w:noWrap/>
            <w:vAlign w:val="bottom"/>
            <w:hideMark/>
          </w:tcPr>
          <w:p w14:paraId="424A7E13" w14:textId="77777777" w:rsidR="001A48B7" w:rsidRPr="001A48B7" w:rsidRDefault="001A48B7" w:rsidP="001A48B7">
            <w:pPr>
              <w:spacing w:after="0" w:line="240" w:lineRule="auto"/>
              <w:jc w:val="right"/>
              <w:rPr>
                <w:rFonts w:eastAsia="Times New Roman" w:cs="Calibri"/>
                <w:color w:val="000000"/>
                <w:sz w:val="18"/>
                <w:szCs w:val="18"/>
                <w:lang w:val="en-US"/>
              </w:rPr>
            </w:pPr>
            <w:r w:rsidRPr="001A48B7">
              <w:rPr>
                <w:rFonts w:eastAsia="Times New Roman" w:cs="Calibri"/>
                <w:color w:val="000000"/>
                <w:sz w:val="18"/>
                <w:szCs w:val="18"/>
                <w:lang w:val="en-US"/>
              </w:rPr>
              <w:t>16,48%</w:t>
            </w:r>
          </w:p>
        </w:tc>
        <w:tc>
          <w:tcPr>
            <w:tcW w:w="222" w:type="dxa"/>
            <w:vAlign w:val="center"/>
            <w:hideMark/>
          </w:tcPr>
          <w:p w14:paraId="3ED37E23" w14:textId="77777777" w:rsidR="001A48B7" w:rsidRPr="001A48B7" w:rsidRDefault="001A48B7" w:rsidP="001A48B7">
            <w:pPr>
              <w:spacing w:after="0" w:line="240" w:lineRule="auto"/>
              <w:jc w:val="left"/>
              <w:rPr>
                <w:rFonts w:eastAsia="Times New Roman" w:cs="Times New Roman"/>
                <w:sz w:val="18"/>
                <w:szCs w:val="18"/>
                <w:lang w:val="en-US"/>
              </w:rPr>
            </w:pPr>
          </w:p>
        </w:tc>
      </w:tr>
      <w:tr w:rsidR="001A48B7" w:rsidRPr="001A48B7" w14:paraId="7BD30591" w14:textId="77777777" w:rsidTr="001A48B7">
        <w:trPr>
          <w:trHeight w:val="290"/>
        </w:trPr>
        <w:tc>
          <w:tcPr>
            <w:tcW w:w="1161" w:type="dxa"/>
            <w:tcBorders>
              <w:top w:val="nil"/>
              <w:left w:val="single" w:sz="8" w:space="0" w:color="auto"/>
              <w:bottom w:val="nil"/>
              <w:right w:val="single" w:sz="8" w:space="0" w:color="auto"/>
            </w:tcBorders>
            <w:shd w:val="clear" w:color="auto" w:fill="auto"/>
            <w:noWrap/>
            <w:vAlign w:val="bottom"/>
            <w:hideMark/>
          </w:tcPr>
          <w:p w14:paraId="1992682F" w14:textId="75B667A0" w:rsidR="001A48B7" w:rsidRPr="001A48B7" w:rsidRDefault="001A48B7" w:rsidP="001A48B7">
            <w:pPr>
              <w:spacing w:after="0" w:line="240" w:lineRule="auto"/>
              <w:jc w:val="left"/>
              <w:rPr>
                <w:rFonts w:eastAsia="Times New Roman" w:cs="Calibri"/>
                <w:color w:val="000000"/>
                <w:sz w:val="18"/>
                <w:szCs w:val="18"/>
                <w:lang w:val="en-US"/>
              </w:rPr>
            </w:pPr>
            <w:r w:rsidRPr="001A48B7">
              <w:rPr>
                <w:rFonts w:eastAsia="Times New Roman" w:cs="Calibri"/>
                <w:color w:val="000000"/>
                <w:sz w:val="18"/>
                <w:szCs w:val="18"/>
                <w:lang w:val="en-US"/>
              </w:rPr>
              <w:t>5.1.4.01.01.06</w:t>
            </w:r>
          </w:p>
        </w:tc>
        <w:tc>
          <w:tcPr>
            <w:tcW w:w="3641" w:type="dxa"/>
            <w:tcBorders>
              <w:top w:val="nil"/>
              <w:left w:val="nil"/>
              <w:bottom w:val="nil"/>
              <w:right w:val="nil"/>
            </w:tcBorders>
            <w:shd w:val="clear" w:color="auto" w:fill="auto"/>
            <w:vAlign w:val="bottom"/>
            <w:hideMark/>
          </w:tcPr>
          <w:p w14:paraId="20B395EA" w14:textId="77777777" w:rsidR="001A48B7" w:rsidRPr="001A48B7" w:rsidRDefault="001A48B7" w:rsidP="001A48B7">
            <w:pPr>
              <w:spacing w:after="0" w:line="240" w:lineRule="auto"/>
              <w:jc w:val="left"/>
              <w:rPr>
                <w:rFonts w:eastAsia="Times New Roman" w:cs="Calibri"/>
                <w:color w:val="000000"/>
                <w:sz w:val="18"/>
                <w:szCs w:val="18"/>
              </w:rPr>
            </w:pPr>
            <w:r w:rsidRPr="001A48B7">
              <w:rPr>
                <w:rFonts w:eastAsia="Times New Roman" w:cs="Calibri"/>
                <w:color w:val="000000"/>
                <w:sz w:val="18"/>
                <w:szCs w:val="18"/>
              </w:rPr>
              <w:t>Depreciaciones de equipos y mobiliario de oficina</w:t>
            </w:r>
          </w:p>
        </w:tc>
        <w:tc>
          <w:tcPr>
            <w:tcW w:w="992" w:type="dxa"/>
            <w:tcBorders>
              <w:top w:val="nil"/>
              <w:left w:val="single" w:sz="8" w:space="0" w:color="auto"/>
              <w:bottom w:val="nil"/>
              <w:right w:val="single" w:sz="8" w:space="0" w:color="auto"/>
            </w:tcBorders>
            <w:shd w:val="clear" w:color="auto" w:fill="auto"/>
            <w:noWrap/>
            <w:vAlign w:val="bottom"/>
            <w:hideMark/>
          </w:tcPr>
          <w:p w14:paraId="248AE662" w14:textId="77777777" w:rsidR="001A48B7" w:rsidRPr="001A48B7" w:rsidRDefault="001A48B7" w:rsidP="001A48B7">
            <w:pPr>
              <w:spacing w:after="0" w:line="240" w:lineRule="auto"/>
              <w:jc w:val="right"/>
              <w:rPr>
                <w:rFonts w:eastAsia="Times New Roman" w:cs="Calibri"/>
                <w:color w:val="000000"/>
                <w:sz w:val="18"/>
                <w:szCs w:val="18"/>
                <w:lang w:val="en-US"/>
              </w:rPr>
            </w:pPr>
            <w:r w:rsidRPr="001A48B7">
              <w:rPr>
                <w:rFonts w:eastAsia="Times New Roman" w:cs="Calibri"/>
                <w:color w:val="000000"/>
                <w:sz w:val="18"/>
                <w:szCs w:val="18"/>
                <w:lang w:val="en-US"/>
              </w:rPr>
              <w:t>3 077,95</w:t>
            </w:r>
          </w:p>
        </w:tc>
        <w:tc>
          <w:tcPr>
            <w:tcW w:w="1040" w:type="dxa"/>
            <w:tcBorders>
              <w:top w:val="nil"/>
              <w:left w:val="nil"/>
              <w:bottom w:val="nil"/>
              <w:right w:val="single" w:sz="8" w:space="0" w:color="auto"/>
            </w:tcBorders>
            <w:shd w:val="clear" w:color="auto" w:fill="auto"/>
            <w:noWrap/>
            <w:vAlign w:val="bottom"/>
            <w:hideMark/>
          </w:tcPr>
          <w:p w14:paraId="7FB5162A" w14:textId="77777777" w:rsidR="001A48B7" w:rsidRPr="001A48B7" w:rsidRDefault="001A48B7" w:rsidP="001A48B7">
            <w:pPr>
              <w:spacing w:after="0" w:line="240" w:lineRule="auto"/>
              <w:jc w:val="right"/>
              <w:rPr>
                <w:rFonts w:eastAsia="Times New Roman" w:cs="Calibri"/>
                <w:color w:val="000000"/>
                <w:sz w:val="18"/>
                <w:szCs w:val="18"/>
                <w:lang w:val="en-US"/>
              </w:rPr>
            </w:pPr>
            <w:r w:rsidRPr="001A48B7">
              <w:rPr>
                <w:rFonts w:eastAsia="Times New Roman" w:cs="Calibri"/>
                <w:color w:val="000000"/>
                <w:sz w:val="18"/>
                <w:szCs w:val="18"/>
                <w:lang w:val="en-US"/>
              </w:rPr>
              <w:t>2 571,31</w:t>
            </w:r>
          </w:p>
        </w:tc>
        <w:tc>
          <w:tcPr>
            <w:tcW w:w="1139" w:type="dxa"/>
            <w:tcBorders>
              <w:top w:val="nil"/>
              <w:left w:val="nil"/>
              <w:bottom w:val="nil"/>
              <w:right w:val="single" w:sz="8" w:space="0" w:color="auto"/>
            </w:tcBorders>
            <w:shd w:val="clear" w:color="auto" w:fill="auto"/>
            <w:noWrap/>
            <w:vAlign w:val="bottom"/>
            <w:hideMark/>
          </w:tcPr>
          <w:p w14:paraId="61203DEB" w14:textId="77777777" w:rsidR="001A48B7" w:rsidRPr="001A48B7" w:rsidRDefault="001A48B7" w:rsidP="001A48B7">
            <w:pPr>
              <w:spacing w:after="0" w:line="240" w:lineRule="auto"/>
              <w:jc w:val="right"/>
              <w:rPr>
                <w:rFonts w:eastAsia="Times New Roman" w:cs="Calibri"/>
                <w:color w:val="000000"/>
                <w:sz w:val="18"/>
                <w:szCs w:val="18"/>
                <w:lang w:val="en-US"/>
              </w:rPr>
            </w:pPr>
            <w:r w:rsidRPr="001A48B7">
              <w:rPr>
                <w:rFonts w:eastAsia="Times New Roman" w:cs="Calibri"/>
                <w:color w:val="000000"/>
                <w:sz w:val="18"/>
                <w:szCs w:val="18"/>
                <w:lang w:val="en-US"/>
              </w:rPr>
              <w:t>506,64</w:t>
            </w:r>
          </w:p>
        </w:tc>
        <w:tc>
          <w:tcPr>
            <w:tcW w:w="806" w:type="dxa"/>
            <w:tcBorders>
              <w:top w:val="nil"/>
              <w:left w:val="nil"/>
              <w:bottom w:val="nil"/>
              <w:right w:val="single" w:sz="8" w:space="0" w:color="auto"/>
            </w:tcBorders>
            <w:shd w:val="clear" w:color="000000" w:fill="FFFFFF"/>
            <w:noWrap/>
            <w:vAlign w:val="bottom"/>
            <w:hideMark/>
          </w:tcPr>
          <w:p w14:paraId="2CF45988" w14:textId="77777777" w:rsidR="001A48B7" w:rsidRPr="001A48B7" w:rsidRDefault="001A48B7" w:rsidP="001A48B7">
            <w:pPr>
              <w:spacing w:after="0" w:line="240" w:lineRule="auto"/>
              <w:jc w:val="right"/>
              <w:rPr>
                <w:rFonts w:eastAsia="Times New Roman" w:cs="Calibri"/>
                <w:color w:val="000000"/>
                <w:sz w:val="18"/>
                <w:szCs w:val="18"/>
                <w:lang w:val="en-US"/>
              </w:rPr>
            </w:pPr>
            <w:r w:rsidRPr="001A48B7">
              <w:rPr>
                <w:rFonts w:eastAsia="Times New Roman" w:cs="Calibri"/>
                <w:color w:val="000000"/>
                <w:sz w:val="18"/>
                <w:szCs w:val="18"/>
                <w:lang w:val="en-US"/>
              </w:rPr>
              <w:t>19,70%</w:t>
            </w:r>
          </w:p>
        </w:tc>
        <w:tc>
          <w:tcPr>
            <w:tcW w:w="222" w:type="dxa"/>
            <w:vAlign w:val="center"/>
            <w:hideMark/>
          </w:tcPr>
          <w:p w14:paraId="351B853B" w14:textId="77777777" w:rsidR="001A48B7" w:rsidRPr="001A48B7" w:rsidRDefault="001A48B7" w:rsidP="001A48B7">
            <w:pPr>
              <w:spacing w:after="0" w:line="240" w:lineRule="auto"/>
              <w:jc w:val="left"/>
              <w:rPr>
                <w:rFonts w:eastAsia="Times New Roman" w:cs="Times New Roman"/>
                <w:sz w:val="18"/>
                <w:szCs w:val="18"/>
                <w:lang w:val="en-US"/>
              </w:rPr>
            </w:pPr>
          </w:p>
        </w:tc>
      </w:tr>
      <w:tr w:rsidR="001A48B7" w:rsidRPr="001A48B7" w14:paraId="422141DC" w14:textId="77777777" w:rsidTr="001A48B7">
        <w:trPr>
          <w:trHeight w:val="290"/>
        </w:trPr>
        <w:tc>
          <w:tcPr>
            <w:tcW w:w="1161" w:type="dxa"/>
            <w:tcBorders>
              <w:top w:val="nil"/>
              <w:left w:val="single" w:sz="8" w:space="0" w:color="auto"/>
              <w:bottom w:val="nil"/>
              <w:right w:val="single" w:sz="8" w:space="0" w:color="auto"/>
            </w:tcBorders>
            <w:shd w:val="clear" w:color="auto" w:fill="auto"/>
            <w:noWrap/>
            <w:vAlign w:val="bottom"/>
            <w:hideMark/>
          </w:tcPr>
          <w:p w14:paraId="69898369" w14:textId="71B25956" w:rsidR="001A48B7" w:rsidRPr="001A48B7" w:rsidRDefault="001A48B7" w:rsidP="001A48B7">
            <w:pPr>
              <w:spacing w:after="0" w:line="240" w:lineRule="auto"/>
              <w:jc w:val="left"/>
              <w:rPr>
                <w:rFonts w:eastAsia="Times New Roman" w:cs="Calibri"/>
                <w:color w:val="000000"/>
                <w:sz w:val="18"/>
                <w:szCs w:val="18"/>
                <w:lang w:val="en-US"/>
              </w:rPr>
            </w:pPr>
            <w:r w:rsidRPr="001A48B7">
              <w:rPr>
                <w:rFonts w:eastAsia="Times New Roman" w:cs="Calibri"/>
                <w:color w:val="000000"/>
                <w:sz w:val="18"/>
                <w:szCs w:val="18"/>
                <w:lang w:val="en-US"/>
              </w:rPr>
              <w:t>5.1.4.01.01.07</w:t>
            </w:r>
          </w:p>
        </w:tc>
        <w:tc>
          <w:tcPr>
            <w:tcW w:w="3641" w:type="dxa"/>
            <w:tcBorders>
              <w:top w:val="nil"/>
              <w:left w:val="nil"/>
              <w:bottom w:val="nil"/>
              <w:right w:val="nil"/>
            </w:tcBorders>
            <w:shd w:val="clear" w:color="auto" w:fill="auto"/>
            <w:vAlign w:val="bottom"/>
            <w:hideMark/>
          </w:tcPr>
          <w:p w14:paraId="5B83372C" w14:textId="77777777" w:rsidR="001A48B7" w:rsidRPr="001A48B7" w:rsidRDefault="001A48B7" w:rsidP="001A48B7">
            <w:pPr>
              <w:spacing w:after="0" w:line="240" w:lineRule="auto"/>
              <w:jc w:val="left"/>
              <w:rPr>
                <w:rFonts w:eastAsia="Times New Roman" w:cs="Calibri"/>
                <w:color w:val="000000"/>
                <w:sz w:val="18"/>
                <w:szCs w:val="18"/>
              </w:rPr>
            </w:pPr>
            <w:r w:rsidRPr="001A48B7">
              <w:rPr>
                <w:rFonts w:eastAsia="Times New Roman" w:cs="Calibri"/>
                <w:color w:val="000000"/>
                <w:sz w:val="18"/>
                <w:szCs w:val="18"/>
              </w:rPr>
              <w:t>Depreciaciones de equipos para computación</w:t>
            </w:r>
          </w:p>
        </w:tc>
        <w:tc>
          <w:tcPr>
            <w:tcW w:w="992" w:type="dxa"/>
            <w:tcBorders>
              <w:top w:val="nil"/>
              <w:left w:val="single" w:sz="8" w:space="0" w:color="auto"/>
              <w:bottom w:val="nil"/>
              <w:right w:val="single" w:sz="8" w:space="0" w:color="auto"/>
            </w:tcBorders>
            <w:shd w:val="clear" w:color="auto" w:fill="auto"/>
            <w:noWrap/>
            <w:vAlign w:val="bottom"/>
            <w:hideMark/>
          </w:tcPr>
          <w:p w14:paraId="53E87FA1" w14:textId="77777777" w:rsidR="001A48B7" w:rsidRPr="001A48B7" w:rsidRDefault="001A48B7" w:rsidP="001A48B7">
            <w:pPr>
              <w:spacing w:after="0" w:line="240" w:lineRule="auto"/>
              <w:jc w:val="right"/>
              <w:rPr>
                <w:rFonts w:eastAsia="Times New Roman" w:cs="Calibri"/>
                <w:color w:val="000000"/>
                <w:sz w:val="18"/>
                <w:szCs w:val="18"/>
                <w:lang w:val="en-US"/>
              </w:rPr>
            </w:pPr>
            <w:r w:rsidRPr="001A48B7">
              <w:rPr>
                <w:rFonts w:eastAsia="Times New Roman" w:cs="Calibri"/>
                <w:color w:val="000000"/>
                <w:sz w:val="18"/>
                <w:szCs w:val="18"/>
                <w:lang w:val="en-US"/>
              </w:rPr>
              <w:t>5 436,50</w:t>
            </w:r>
          </w:p>
        </w:tc>
        <w:tc>
          <w:tcPr>
            <w:tcW w:w="1040" w:type="dxa"/>
            <w:tcBorders>
              <w:top w:val="nil"/>
              <w:left w:val="nil"/>
              <w:bottom w:val="nil"/>
              <w:right w:val="single" w:sz="8" w:space="0" w:color="auto"/>
            </w:tcBorders>
            <w:shd w:val="clear" w:color="auto" w:fill="auto"/>
            <w:noWrap/>
            <w:vAlign w:val="bottom"/>
            <w:hideMark/>
          </w:tcPr>
          <w:p w14:paraId="19752BDE" w14:textId="77777777" w:rsidR="001A48B7" w:rsidRPr="001A48B7" w:rsidRDefault="001A48B7" w:rsidP="001A48B7">
            <w:pPr>
              <w:spacing w:after="0" w:line="240" w:lineRule="auto"/>
              <w:jc w:val="right"/>
              <w:rPr>
                <w:rFonts w:eastAsia="Times New Roman" w:cs="Calibri"/>
                <w:color w:val="000000"/>
                <w:sz w:val="18"/>
                <w:szCs w:val="18"/>
                <w:lang w:val="en-US"/>
              </w:rPr>
            </w:pPr>
            <w:r w:rsidRPr="001A48B7">
              <w:rPr>
                <w:rFonts w:eastAsia="Times New Roman" w:cs="Calibri"/>
                <w:color w:val="000000"/>
                <w:sz w:val="18"/>
                <w:szCs w:val="18"/>
                <w:lang w:val="en-US"/>
              </w:rPr>
              <w:t>5 389,45</w:t>
            </w:r>
          </w:p>
        </w:tc>
        <w:tc>
          <w:tcPr>
            <w:tcW w:w="1139" w:type="dxa"/>
            <w:tcBorders>
              <w:top w:val="nil"/>
              <w:left w:val="nil"/>
              <w:bottom w:val="nil"/>
              <w:right w:val="single" w:sz="8" w:space="0" w:color="auto"/>
            </w:tcBorders>
            <w:shd w:val="clear" w:color="auto" w:fill="auto"/>
            <w:noWrap/>
            <w:vAlign w:val="bottom"/>
            <w:hideMark/>
          </w:tcPr>
          <w:p w14:paraId="3F209819" w14:textId="77777777" w:rsidR="001A48B7" w:rsidRPr="001A48B7" w:rsidRDefault="001A48B7" w:rsidP="001A48B7">
            <w:pPr>
              <w:spacing w:after="0" w:line="240" w:lineRule="auto"/>
              <w:jc w:val="right"/>
              <w:rPr>
                <w:rFonts w:eastAsia="Times New Roman" w:cs="Calibri"/>
                <w:color w:val="000000"/>
                <w:sz w:val="18"/>
                <w:szCs w:val="18"/>
                <w:lang w:val="en-US"/>
              </w:rPr>
            </w:pPr>
            <w:r w:rsidRPr="001A48B7">
              <w:rPr>
                <w:rFonts w:eastAsia="Times New Roman" w:cs="Calibri"/>
                <w:color w:val="000000"/>
                <w:sz w:val="18"/>
                <w:szCs w:val="18"/>
                <w:lang w:val="en-US"/>
              </w:rPr>
              <w:t>47,05</w:t>
            </w:r>
          </w:p>
        </w:tc>
        <w:tc>
          <w:tcPr>
            <w:tcW w:w="806" w:type="dxa"/>
            <w:tcBorders>
              <w:top w:val="nil"/>
              <w:left w:val="nil"/>
              <w:bottom w:val="nil"/>
              <w:right w:val="single" w:sz="8" w:space="0" w:color="auto"/>
            </w:tcBorders>
            <w:shd w:val="clear" w:color="000000" w:fill="FFFFFF"/>
            <w:noWrap/>
            <w:vAlign w:val="bottom"/>
            <w:hideMark/>
          </w:tcPr>
          <w:p w14:paraId="6077D69D" w14:textId="77777777" w:rsidR="001A48B7" w:rsidRPr="001A48B7" w:rsidRDefault="001A48B7" w:rsidP="001A48B7">
            <w:pPr>
              <w:spacing w:after="0" w:line="240" w:lineRule="auto"/>
              <w:jc w:val="right"/>
              <w:rPr>
                <w:rFonts w:eastAsia="Times New Roman" w:cs="Calibri"/>
                <w:color w:val="000000"/>
                <w:sz w:val="18"/>
                <w:szCs w:val="18"/>
                <w:lang w:val="en-US"/>
              </w:rPr>
            </w:pPr>
            <w:r w:rsidRPr="001A48B7">
              <w:rPr>
                <w:rFonts w:eastAsia="Times New Roman" w:cs="Calibri"/>
                <w:color w:val="000000"/>
                <w:sz w:val="18"/>
                <w:szCs w:val="18"/>
                <w:lang w:val="en-US"/>
              </w:rPr>
              <w:t>0,87%</w:t>
            </w:r>
          </w:p>
        </w:tc>
        <w:tc>
          <w:tcPr>
            <w:tcW w:w="222" w:type="dxa"/>
            <w:vAlign w:val="center"/>
            <w:hideMark/>
          </w:tcPr>
          <w:p w14:paraId="70713593" w14:textId="77777777" w:rsidR="001A48B7" w:rsidRPr="001A48B7" w:rsidRDefault="001A48B7" w:rsidP="001A48B7">
            <w:pPr>
              <w:spacing w:after="0" w:line="240" w:lineRule="auto"/>
              <w:jc w:val="left"/>
              <w:rPr>
                <w:rFonts w:eastAsia="Times New Roman" w:cs="Times New Roman"/>
                <w:sz w:val="18"/>
                <w:szCs w:val="18"/>
                <w:lang w:val="en-US"/>
              </w:rPr>
            </w:pPr>
          </w:p>
        </w:tc>
      </w:tr>
      <w:tr w:rsidR="001A48B7" w:rsidRPr="001A48B7" w14:paraId="15F7159C" w14:textId="77777777" w:rsidTr="001A48B7">
        <w:trPr>
          <w:trHeight w:val="530"/>
        </w:trPr>
        <w:tc>
          <w:tcPr>
            <w:tcW w:w="1161" w:type="dxa"/>
            <w:tcBorders>
              <w:top w:val="nil"/>
              <w:left w:val="single" w:sz="8" w:space="0" w:color="auto"/>
              <w:bottom w:val="nil"/>
              <w:right w:val="single" w:sz="8" w:space="0" w:color="auto"/>
            </w:tcBorders>
            <w:shd w:val="clear" w:color="auto" w:fill="auto"/>
            <w:noWrap/>
            <w:vAlign w:val="bottom"/>
            <w:hideMark/>
          </w:tcPr>
          <w:p w14:paraId="10E87FB3" w14:textId="621A2DF4" w:rsidR="001A48B7" w:rsidRPr="001A48B7" w:rsidRDefault="001A48B7" w:rsidP="001A48B7">
            <w:pPr>
              <w:spacing w:after="0" w:line="240" w:lineRule="auto"/>
              <w:jc w:val="left"/>
              <w:rPr>
                <w:rFonts w:eastAsia="Times New Roman" w:cs="Calibri"/>
                <w:color w:val="000000"/>
                <w:sz w:val="18"/>
                <w:szCs w:val="18"/>
                <w:lang w:val="en-US"/>
              </w:rPr>
            </w:pPr>
            <w:r w:rsidRPr="001A48B7">
              <w:rPr>
                <w:rFonts w:eastAsia="Times New Roman" w:cs="Calibri"/>
                <w:color w:val="000000"/>
                <w:sz w:val="18"/>
                <w:szCs w:val="18"/>
                <w:lang w:val="en-US"/>
              </w:rPr>
              <w:t>5.1.4.01.01.09</w:t>
            </w:r>
          </w:p>
        </w:tc>
        <w:tc>
          <w:tcPr>
            <w:tcW w:w="3641" w:type="dxa"/>
            <w:tcBorders>
              <w:top w:val="nil"/>
              <w:left w:val="nil"/>
              <w:bottom w:val="nil"/>
              <w:right w:val="nil"/>
            </w:tcBorders>
            <w:shd w:val="clear" w:color="auto" w:fill="auto"/>
            <w:vAlign w:val="bottom"/>
            <w:hideMark/>
          </w:tcPr>
          <w:p w14:paraId="4277A349" w14:textId="77777777" w:rsidR="001A48B7" w:rsidRPr="001A48B7" w:rsidRDefault="001A48B7" w:rsidP="001A48B7">
            <w:pPr>
              <w:spacing w:after="0" w:line="240" w:lineRule="auto"/>
              <w:jc w:val="left"/>
              <w:rPr>
                <w:rFonts w:eastAsia="Times New Roman" w:cs="Calibri"/>
                <w:color w:val="000000"/>
                <w:sz w:val="18"/>
                <w:szCs w:val="18"/>
              </w:rPr>
            </w:pPr>
            <w:r w:rsidRPr="001A48B7">
              <w:rPr>
                <w:rFonts w:eastAsia="Times New Roman" w:cs="Calibri"/>
                <w:color w:val="000000"/>
                <w:sz w:val="18"/>
                <w:szCs w:val="18"/>
              </w:rPr>
              <w:t>Depreciaciones de equipos y mobiliario educacional, deportivo y recreativo</w:t>
            </w:r>
          </w:p>
        </w:tc>
        <w:tc>
          <w:tcPr>
            <w:tcW w:w="992" w:type="dxa"/>
            <w:tcBorders>
              <w:top w:val="nil"/>
              <w:left w:val="single" w:sz="8" w:space="0" w:color="auto"/>
              <w:bottom w:val="nil"/>
              <w:right w:val="single" w:sz="8" w:space="0" w:color="auto"/>
            </w:tcBorders>
            <w:shd w:val="clear" w:color="auto" w:fill="auto"/>
            <w:noWrap/>
            <w:vAlign w:val="bottom"/>
            <w:hideMark/>
          </w:tcPr>
          <w:p w14:paraId="02BFF646" w14:textId="77777777" w:rsidR="001A48B7" w:rsidRPr="001A48B7" w:rsidRDefault="001A48B7" w:rsidP="001A48B7">
            <w:pPr>
              <w:spacing w:after="0" w:line="240" w:lineRule="auto"/>
              <w:jc w:val="right"/>
              <w:rPr>
                <w:rFonts w:eastAsia="Times New Roman" w:cs="Calibri"/>
                <w:color w:val="000000"/>
                <w:sz w:val="18"/>
                <w:szCs w:val="18"/>
                <w:lang w:val="en-US"/>
              </w:rPr>
            </w:pPr>
            <w:r w:rsidRPr="001A48B7">
              <w:rPr>
                <w:rFonts w:eastAsia="Times New Roman" w:cs="Calibri"/>
                <w:color w:val="000000"/>
                <w:sz w:val="18"/>
                <w:szCs w:val="18"/>
                <w:lang w:val="en-US"/>
              </w:rPr>
              <w:t>842,21</w:t>
            </w:r>
          </w:p>
        </w:tc>
        <w:tc>
          <w:tcPr>
            <w:tcW w:w="1040" w:type="dxa"/>
            <w:tcBorders>
              <w:top w:val="nil"/>
              <w:left w:val="nil"/>
              <w:bottom w:val="nil"/>
              <w:right w:val="single" w:sz="8" w:space="0" w:color="auto"/>
            </w:tcBorders>
            <w:shd w:val="clear" w:color="auto" w:fill="auto"/>
            <w:noWrap/>
            <w:vAlign w:val="bottom"/>
            <w:hideMark/>
          </w:tcPr>
          <w:p w14:paraId="19578B3D" w14:textId="77777777" w:rsidR="001A48B7" w:rsidRPr="001A48B7" w:rsidRDefault="001A48B7" w:rsidP="001A48B7">
            <w:pPr>
              <w:spacing w:after="0" w:line="240" w:lineRule="auto"/>
              <w:jc w:val="right"/>
              <w:rPr>
                <w:rFonts w:eastAsia="Times New Roman" w:cs="Calibri"/>
                <w:color w:val="000000"/>
                <w:sz w:val="18"/>
                <w:szCs w:val="18"/>
                <w:lang w:val="en-US"/>
              </w:rPr>
            </w:pPr>
            <w:r w:rsidRPr="001A48B7">
              <w:rPr>
                <w:rFonts w:eastAsia="Times New Roman" w:cs="Calibri"/>
                <w:color w:val="000000"/>
                <w:sz w:val="18"/>
                <w:szCs w:val="18"/>
                <w:lang w:val="en-US"/>
              </w:rPr>
              <w:t>0,00</w:t>
            </w:r>
          </w:p>
        </w:tc>
        <w:tc>
          <w:tcPr>
            <w:tcW w:w="1139" w:type="dxa"/>
            <w:tcBorders>
              <w:top w:val="nil"/>
              <w:left w:val="nil"/>
              <w:bottom w:val="nil"/>
              <w:right w:val="single" w:sz="8" w:space="0" w:color="auto"/>
            </w:tcBorders>
            <w:shd w:val="clear" w:color="auto" w:fill="auto"/>
            <w:noWrap/>
            <w:vAlign w:val="bottom"/>
            <w:hideMark/>
          </w:tcPr>
          <w:p w14:paraId="4E85524B" w14:textId="77777777" w:rsidR="001A48B7" w:rsidRPr="001A48B7" w:rsidRDefault="001A48B7" w:rsidP="001A48B7">
            <w:pPr>
              <w:spacing w:after="0" w:line="240" w:lineRule="auto"/>
              <w:jc w:val="right"/>
              <w:rPr>
                <w:rFonts w:eastAsia="Times New Roman" w:cs="Calibri"/>
                <w:color w:val="000000"/>
                <w:sz w:val="18"/>
                <w:szCs w:val="18"/>
                <w:lang w:val="en-US"/>
              </w:rPr>
            </w:pPr>
            <w:r w:rsidRPr="001A48B7">
              <w:rPr>
                <w:rFonts w:eastAsia="Times New Roman" w:cs="Calibri"/>
                <w:color w:val="000000"/>
                <w:sz w:val="18"/>
                <w:szCs w:val="18"/>
                <w:lang w:val="en-US"/>
              </w:rPr>
              <w:t>842,21</w:t>
            </w:r>
          </w:p>
        </w:tc>
        <w:tc>
          <w:tcPr>
            <w:tcW w:w="806" w:type="dxa"/>
            <w:tcBorders>
              <w:top w:val="nil"/>
              <w:left w:val="nil"/>
              <w:bottom w:val="nil"/>
              <w:right w:val="single" w:sz="8" w:space="0" w:color="auto"/>
            </w:tcBorders>
            <w:shd w:val="clear" w:color="000000" w:fill="FFFFFF"/>
            <w:noWrap/>
            <w:vAlign w:val="bottom"/>
            <w:hideMark/>
          </w:tcPr>
          <w:p w14:paraId="6BB2DB63" w14:textId="77777777" w:rsidR="001A48B7" w:rsidRPr="001A48B7" w:rsidRDefault="001A48B7" w:rsidP="001A48B7">
            <w:pPr>
              <w:spacing w:after="0" w:line="240" w:lineRule="auto"/>
              <w:jc w:val="center"/>
              <w:rPr>
                <w:rFonts w:eastAsia="Times New Roman" w:cs="Calibri"/>
                <w:color w:val="000000"/>
                <w:sz w:val="18"/>
                <w:szCs w:val="18"/>
                <w:lang w:val="en-US"/>
              </w:rPr>
            </w:pPr>
            <w:r w:rsidRPr="001A48B7">
              <w:rPr>
                <w:rFonts w:eastAsia="Times New Roman" w:cs="Calibri"/>
                <w:color w:val="000000"/>
                <w:sz w:val="18"/>
                <w:szCs w:val="18"/>
                <w:lang w:val="en-US"/>
              </w:rPr>
              <w:t>#DIV/0!</w:t>
            </w:r>
          </w:p>
        </w:tc>
        <w:tc>
          <w:tcPr>
            <w:tcW w:w="222" w:type="dxa"/>
            <w:vAlign w:val="center"/>
            <w:hideMark/>
          </w:tcPr>
          <w:p w14:paraId="4797647E" w14:textId="77777777" w:rsidR="001A48B7" w:rsidRPr="001A48B7" w:rsidRDefault="001A48B7" w:rsidP="001A48B7">
            <w:pPr>
              <w:spacing w:after="0" w:line="240" w:lineRule="auto"/>
              <w:jc w:val="left"/>
              <w:rPr>
                <w:rFonts w:eastAsia="Times New Roman" w:cs="Times New Roman"/>
                <w:sz w:val="18"/>
                <w:szCs w:val="18"/>
                <w:lang w:val="en-US"/>
              </w:rPr>
            </w:pPr>
          </w:p>
        </w:tc>
      </w:tr>
      <w:tr w:rsidR="001A48B7" w:rsidRPr="001A48B7" w14:paraId="44A75649" w14:textId="77777777" w:rsidTr="001A48B7">
        <w:trPr>
          <w:trHeight w:val="530"/>
        </w:trPr>
        <w:tc>
          <w:tcPr>
            <w:tcW w:w="1161" w:type="dxa"/>
            <w:tcBorders>
              <w:top w:val="nil"/>
              <w:left w:val="single" w:sz="8" w:space="0" w:color="auto"/>
              <w:bottom w:val="nil"/>
              <w:right w:val="single" w:sz="8" w:space="0" w:color="auto"/>
            </w:tcBorders>
            <w:shd w:val="clear" w:color="auto" w:fill="auto"/>
            <w:noWrap/>
            <w:vAlign w:val="bottom"/>
            <w:hideMark/>
          </w:tcPr>
          <w:p w14:paraId="4304C15C" w14:textId="2161D145" w:rsidR="001A48B7" w:rsidRPr="001A48B7" w:rsidRDefault="001A48B7" w:rsidP="001A48B7">
            <w:pPr>
              <w:spacing w:after="0" w:line="240" w:lineRule="auto"/>
              <w:jc w:val="left"/>
              <w:rPr>
                <w:rFonts w:eastAsia="Times New Roman" w:cs="Calibri"/>
                <w:color w:val="000000"/>
                <w:sz w:val="18"/>
                <w:szCs w:val="18"/>
                <w:lang w:val="en-US"/>
              </w:rPr>
            </w:pPr>
            <w:r w:rsidRPr="001A48B7">
              <w:rPr>
                <w:rFonts w:eastAsia="Times New Roman" w:cs="Calibri"/>
                <w:color w:val="000000"/>
                <w:sz w:val="18"/>
                <w:szCs w:val="18"/>
                <w:lang w:val="en-US"/>
              </w:rPr>
              <w:t>5.1.4.01.01.10</w:t>
            </w:r>
          </w:p>
        </w:tc>
        <w:tc>
          <w:tcPr>
            <w:tcW w:w="3641" w:type="dxa"/>
            <w:tcBorders>
              <w:top w:val="nil"/>
              <w:left w:val="nil"/>
              <w:bottom w:val="nil"/>
              <w:right w:val="nil"/>
            </w:tcBorders>
            <w:shd w:val="clear" w:color="auto" w:fill="auto"/>
            <w:vAlign w:val="bottom"/>
            <w:hideMark/>
          </w:tcPr>
          <w:p w14:paraId="287ACF66" w14:textId="77777777" w:rsidR="001A48B7" w:rsidRPr="001A48B7" w:rsidRDefault="001A48B7" w:rsidP="001A48B7">
            <w:pPr>
              <w:spacing w:after="0" w:line="240" w:lineRule="auto"/>
              <w:jc w:val="left"/>
              <w:rPr>
                <w:rFonts w:eastAsia="Times New Roman" w:cs="Calibri"/>
                <w:color w:val="000000"/>
                <w:sz w:val="18"/>
                <w:szCs w:val="18"/>
              </w:rPr>
            </w:pPr>
            <w:r w:rsidRPr="001A48B7">
              <w:rPr>
                <w:rFonts w:eastAsia="Times New Roman" w:cs="Calibri"/>
                <w:color w:val="000000"/>
                <w:sz w:val="18"/>
                <w:szCs w:val="18"/>
              </w:rPr>
              <w:t>Depreciaciones de equipos de seguridad, orden, vigilancia y control público</w:t>
            </w:r>
          </w:p>
        </w:tc>
        <w:tc>
          <w:tcPr>
            <w:tcW w:w="992" w:type="dxa"/>
            <w:tcBorders>
              <w:top w:val="nil"/>
              <w:left w:val="single" w:sz="8" w:space="0" w:color="auto"/>
              <w:bottom w:val="nil"/>
              <w:right w:val="single" w:sz="8" w:space="0" w:color="auto"/>
            </w:tcBorders>
            <w:shd w:val="clear" w:color="auto" w:fill="auto"/>
            <w:noWrap/>
            <w:vAlign w:val="bottom"/>
            <w:hideMark/>
          </w:tcPr>
          <w:p w14:paraId="0A7341E4" w14:textId="77777777" w:rsidR="001A48B7" w:rsidRPr="001A48B7" w:rsidRDefault="001A48B7" w:rsidP="001A48B7">
            <w:pPr>
              <w:spacing w:after="0" w:line="240" w:lineRule="auto"/>
              <w:jc w:val="right"/>
              <w:rPr>
                <w:rFonts w:eastAsia="Times New Roman" w:cs="Calibri"/>
                <w:color w:val="000000"/>
                <w:sz w:val="18"/>
                <w:szCs w:val="18"/>
                <w:lang w:val="en-US"/>
              </w:rPr>
            </w:pPr>
            <w:r w:rsidRPr="001A48B7">
              <w:rPr>
                <w:rFonts w:eastAsia="Times New Roman" w:cs="Calibri"/>
                <w:color w:val="000000"/>
                <w:sz w:val="18"/>
                <w:szCs w:val="18"/>
                <w:lang w:val="en-US"/>
              </w:rPr>
              <w:t>101,84</w:t>
            </w:r>
          </w:p>
        </w:tc>
        <w:tc>
          <w:tcPr>
            <w:tcW w:w="1040" w:type="dxa"/>
            <w:tcBorders>
              <w:top w:val="nil"/>
              <w:left w:val="nil"/>
              <w:bottom w:val="nil"/>
              <w:right w:val="single" w:sz="8" w:space="0" w:color="auto"/>
            </w:tcBorders>
            <w:shd w:val="clear" w:color="auto" w:fill="auto"/>
            <w:noWrap/>
            <w:vAlign w:val="bottom"/>
            <w:hideMark/>
          </w:tcPr>
          <w:p w14:paraId="02B38666" w14:textId="77777777" w:rsidR="001A48B7" w:rsidRPr="001A48B7" w:rsidRDefault="001A48B7" w:rsidP="001A48B7">
            <w:pPr>
              <w:spacing w:after="0" w:line="240" w:lineRule="auto"/>
              <w:jc w:val="right"/>
              <w:rPr>
                <w:rFonts w:eastAsia="Times New Roman" w:cs="Calibri"/>
                <w:color w:val="000000"/>
                <w:sz w:val="18"/>
                <w:szCs w:val="18"/>
                <w:lang w:val="en-US"/>
              </w:rPr>
            </w:pPr>
            <w:r w:rsidRPr="001A48B7">
              <w:rPr>
                <w:rFonts w:eastAsia="Times New Roman" w:cs="Calibri"/>
                <w:color w:val="000000"/>
                <w:sz w:val="18"/>
                <w:szCs w:val="18"/>
                <w:lang w:val="en-US"/>
              </w:rPr>
              <w:t>75,92</w:t>
            </w:r>
          </w:p>
        </w:tc>
        <w:tc>
          <w:tcPr>
            <w:tcW w:w="1139" w:type="dxa"/>
            <w:tcBorders>
              <w:top w:val="nil"/>
              <w:left w:val="nil"/>
              <w:bottom w:val="nil"/>
              <w:right w:val="single" w:sz="8" w:space="0" w:color="auto"/>
            </w:tcBorders>
            <w:shd w:val="clear" w:color="auto" w:fill="auto"/>
            <w:noWrap/>
            <w:vAlign w:val="bottom"/>
            <w:hideMark/>
          </w:tcPr>
          <w:p w14:paraId="3C379DDE" w14:textId="77777777" w:rsidR="001A48B7" w:rsidRPr="001A48B7" w:rsidRDefault="001A48B7" w:rsidP="001A48B7">
            <w:pPr>
              <w:spacing w:after="0" w:line="240" w:lineRule="auto"/>
              <w:jc w:val="right"/>
              <w:rPr>
                <w:rFonts w:eastAsia="Times New Roman" w:cs="Calibri"/>
                <w:color w:val="000000"/>
                <w:sz w:val="18"/>
                <w:szCs w:val="18"/>
                <w:lang w:val="en-US"/>
              </w:rPr>
            </w:pPr>
            <w:r w:rsidRPr="001A48B7">
              <w:rPr>
                <w:rFonts w:eastAsia="Times New Roman" w:cs="Calibri"/>
                <w:color w:val="000000"/>
                <w:sz w:val="18"/>
                <w:szCs w:val="18"/>
                <w:lang w:val="en-US"/>
              </w:rPr>
              <w:t>25,92</w:t>
            </w:r>
          </w:p>
        </w:tc>
        <w:tc>
          <w:tcPr>
            <w:tcW w:w="806" w:type="dxa"/>
            <w:tcBorders>
              <w:top w:val="nil"/>
              <w:left w:val="nil"/>
              <w:bottom w:val="nil"/>
              <w:right w:val="single" w:sz="8" w:space="0" w:color="auto"/>
            </w:tcBorders>
            <w:shd w:val="clear" w:color="000000" w:fill="FFFFFF"/>
            <w:noWrap/>
            <w:vAlign w:val="bottom"/>
            <w:hideMark/>
          </w:tcPr>
          <w:p w14:paraId="3CB02AF0" w14:textId="77777777" w:rsidR="001A48B7" w:rsidRPr="001A48B7" w:rsidRDefault="001A48B7" w:rsidP="001A48B7">
            <w:pPr>
              <w:spacing w:after="0" w:line="240" w:lineRule="auto"/>
              <w:jc w:val="right"/>
              <w:rPr>
                <w:rFonts w:eastAsia="Times New Roman" w:cs="Calibri"/>
                <w:color w:val="000000"/>
                <w:sz w:val="18"/>
                <w:szCs w:val="18"/>
                <w:lang w:val="en-US"/>
              </w:rPr>
            </w:pPr>
            <w:r w:rsidRPr="001A48B7">
              <w:rPr>
                <w:rFonts w:eastAsia="Times New Roman" w:cs="Calibri"/>
                <w:color w:val="000000"/>
                <w:sz w:val="18"/>
                <w:szCs w:val="18"/>
                <w:lang w:val="en-US"/>
              </w:rPr>
              <w:t>34,14%</w:t>
            </w:r>
          </w:p>
        </w:tc>
        <w:tc>
          <w:tcPr>
            <w:tcW w:w="222" w:type="dxa"/>
            <w:vAlign w:val="center"/>
            <w:hideMark/>
          </w:tcPr>
          <w:p w14:paraId="4D6C0923" w14:textId="77777777" w:rsidR="001A48B7" w:rsidRPr="001A48B7" w:rsidRDefault="001A48B7" w:rsidP="001A48B7">
            <w:pPr>
              <w:spacing w:after="0" w:line="240" w:lineRule="auto"/>
              <w:jc w:val="left"/>
              <w:rPr>
                <w:rFonts w:eastAsia="Times New Roman" w:cs="Times New Roman"/>
                <w:sz w:val="18"/>
                <w:szCs w:val="18"/>
                <w:lang w:val="en-US"/>
              </w:rPr>
            </w:pPr>
          </w:p>
        </w:tc>
      </w:tr>
      <w:tr w:rsidR="001A48B7" w:rsidRPr="001A48B7" w14:paraId="55FFF8D2" w14:textId="77777777" w:rsidTr="001A48B7">
        <w:trPr>
          <w:trHeight w:val="300"/>
        </w:trPr>
        <w:tc>
          <w:tcPr>
            <w:tcW w:w="1161" w:type="dxa"/>
            <w:tcBorders>
              <w:top w:val="nil"/>
              <w:left w:val="single" w:sz="8" w:space="0" w:color="auto"/>
              <w:bottom w:val="nil"/>
              <w:right w:val="single" w:sz="8" w:space="0" w:color="auto"/>
            </w:tcBorders>
            <w:shd w:val="clear" w:color="auto" w:fill="auto"/>
            <w:noWrap/>
            <w:vAlign w:val="bottom"/>
            <w:hideMark/>
          </w:tcPr>
          <w:p w14:paraId="62A60ECD" w14:textId="40A5FF8F" w:rsidR="001A48B7" w:rsidRPr="001A48B7" w:rsidRDefault="001A48B7" w:rsidP="001A48B7">
            <w:pPr>
              <w:spacing w:after="0" w:line="240" w:lineRule="auto"/>
              <w:jc w:val="left"/>
              <w:rPr>
                <w:rFonts w:eastAsia="Times New Roman" w:cs="Calibri"/>
                <w:color w:val="000000"/>
                <w:sz w:val="18"/>
                <w:szCs w:val="18"/>
                <w:lang w:val="en-US"/>
              </w:rPr>
            </w:pPr>
            <w:r w:rsidRPr="001A48B7">
              <w:rPr>
                <w:rFonts w:eastAsia="Times New Roman" w:cs="Calibri"/>
                <w:color w:val="000000"/>
                <w:sz w:val="18"/>
                <w:szCs w:val="18"/>
                <w:lang w:val="en-US"/>
              </w:rPr>
              <w:t>5.1.4.01.01.99</w:t>
            </w:r>
          </w:p>
        </w:tc>
        <w:tc>
          <w:tcPr>
            <w:tcW w:w="3641" w:type="dxa"/>
            <w:tcBorders>
              <w:top w:val="nil"/>
              <w:left w:val="nil"/>
              <w:bottom w:val="nil"/>
              <w:right w:val="nil"/>
            </w:tcBorders>
            <w:shd w:val="clear" w:color="auto" w:fill="auto"/>
            <w:vAlign w:val="bottom"/>
            <w:hideMark/>
          </w:tcPr>
          <w:p w14:paraId="1792B7F9" w14:textId="77777777" w:rsidR="001A48B7" w:rsidRPr="001A48B7" w:rsidRDefault="001A48B7" w:rsidP="001A48B7">
            <w:pPr>
              <w:spacing w:after="0" w:line="240" w:lineRule="auto"/>
              <w:jc w:val="left"/>
              <w:rPr>
                <w:rFonts w:eastAsia="Times New Roman" w:cs="Calibri"/>
                <w:color w:val="000000"/>
                <w:sz w:val="18"/>
                <w:szCs w:val="18"/>
              </w:rPr>
            </w:pPr>
            <w:r w:rsidRPr="001A48B7">
              <w:rPr>
                <w:rFonts w:eastAsia="Times New Roman" w:cs="Calibri"/>
                <w:color w:val="000000"/>
                <w:sz w:val="18"/>
                <w:szCs w:val="18"/>
              </w:rPr>
              <w:t>Depreciac maquinaria, equipo y mobiliar diverso</w:t>
            </w:r>
          </w:p>
        </w:tc>
        <w:tc>
          <w:tcPr>
            <w:tcW w:w="992" w:type="dxa"/>
            <w:tcBorders>
              <w:top w:val="nil"/>
              <w:left w:val="single" w:sz="8" w:space="0" w:color="auto"/>
              <w:bottom w:val="nil"/>
              <w:right w:val="single" w:sz="8" w:space="0" w:color="auto"/>
            </w:tcBorders>
            <w:shd w:val="clear" w:color="auto" w:fill="auto"/>
            <w:noWrap/>
            <w:vAlign w:val="bottom"/>
            <w:hideMark/>
          </w:tcPr>
          <w:p w14:paraId="72A89BB4" w14:textId="77777777" w:rsidR="001A48B7" w:rsidRPr="001A48B7" w:rsidRDefault="001A48B7" w:rsidP="001A48B7">
            <w:pPr>
              <w:spacing w:after="0" w:line="240" w:lineRule="auto"/>
              <w:jc w:val="right"/>
              <w:rPr>
                <w:rFonts w:eastAsia="Times New Roman" w:cs="Calibri"/>
                <w:color w:val="000000"/>
                <w:sz w:val="18"/>
                <w:szCs w:val="18"/>
                <w:lang w:val="en-US"/>
              </w:rPr>
            </w:pPr>
            <w:r w:rsidRPr="001A48B7">
              <w:rPr>
                <w:rFonts w:eastAsia="Times New Roman" w:cs="Calibri"/>
                <w:color w:val="000000"/>
                <w:sz w:val="18"/>
                <w:szCs w:val="18"/>
                <w:lang w:val="en-US"/>
              </w:rPr>
              <w:t>236,83</w:t>
            </w:r>
          </w:p>
        </w:tc>
        <w:tc>
          <w:tcPr>
            <w:tcW w:w="1040" w:type="dxa"/>
            <w:tcBorders>
              <w:top w:val="nil"/>
              <w:left w:val="nil"/>
              <w:bottom w:val="nil"/>
              <w:right w:val="single" w:sz="8" w:space="0" w:color="auto"/>
            </w:tcBorders>
            <w:shd w:val="clear" w:color="auto" w:fill="auto"/>
            <w:noWrap/>
            <w:vAlign w:val="bottom"/>
            <w:hideMark/>
          </w:tcPr>
          <w:p w14:paraId="496A36D6" w14:textId="77777777" w:rsidR="001A48B7" w:rsidRPr="001A48B7" w:rsidRDefault="001A48B7" w:rsidP="001A48B7">
            <w:pPr>
              <w:spacing w:after="0" w:line="240" w:lineRule="auto"/>
              <w:jc w:val="right"/>
              <w:rPr>
                <w:rFonts w:eastAsia="Times New Roman" w:cs="Calibri"/>
                <w:color w:val="000000"/>
                <w:sz w:val="18"/>
                <w:szCs w:val="18"/>
                <w:lang w:val="en-US"/>
              </w:rPr>
            </w:pPr>
            <w:r w:rsidRPr="001A48B7">
              <w:rPr>
                <w:rFonts w:eastAsia="Times New Roman" w:cs="Calibri"/>
                <w:color w:val="000000"/>
                <w:sz w:val="18"/>
                <w:szCs w:val="18"/>
                <w:lang w:val="en-US"/>
              </w:rPr>
              <w:t>516,87</w:t>
            </w:r>
          </w:p>
        </w:tc>
        <w:tc>
          <w:tcPr>
            <w:tcW w:w="1139" w:type="dxa"/>
            <w:tcBorders>
              <w:top w:val="nil"/>
              <w:left w:val="nil"/>
              <w:bottom w:val="nil"/>
              <w:right w:val="single" w:sz="8" w:space="0" w:color="auto"/>
            </w:tcBorders>
            <w:shd w:val="clear" w:color="auto" w:fill="auto"/>
            <w:noWrap/>
            <w:vAlign w:val="bottom"/>
            <w:hideMark/>
          </w:tcPr>
          <w:p w14:paraId="0AC67FB2" w14:textId="77777777" w:rsidR="001A48B7" w:rsidRPr="001A48B7" w:rsidRDefault="001A48B7" w:rsidP="001A48B7">
            <w:pPr>
              <w:spacing w:after="0" w:line="240" w:lineRule="auto"/>
              <w:jc w:val="right"/>
              <w:rPr>
                <w:rFonts w:eastAsia="Times New Roman" w:cs="Calibri"/>
                <w:color w:val="000000"/>
                <w:sz w:val="18"/>
                <w:szCs w:val="18"/>
                <w:lang w:val="en-US"/>
              </w:rPr>
            </w:pPr>
            <w:r w:rsidRPr="001A48B7">
              <w:rPr>
                <w:rFonts w:eastAsia="Times New Roman" w:cs="Calibri"/>
                <w:color w:val="000000"/>
                <w:sz w:val="18"/>
                <w:szCs w:val="18"/>
                <w:lang w:val="en-US"/>
              </w:rPr>
              <w:t>-280,04</w:t>
            </w:r>
          </w:p>
        </w:tc>
        <w:tc>
          <w:tcPr>
            <w:tcW w:w="806" w:type="dxa"/>
            <w:tcBorders>
              <w:top w:val="nil"/>
              <w:left w:val="nil"/>
              <w:bottom w:val="nil"/>
              <w:right w:val="single" w:sz="8" w:space="0" w:color="auto"/>
            </w:tcBorders>
            <w:shd w:val="clear" w:color="000000" w:fill="FFFFFF"/>
            <w:noWrap/>
            <w:vAlign w:val="bottom"/>
            <w:hideMark/>
          </w:tcPr>
          <w:p w14:paraId="7C1D7BDE" w14:textId="77777777" w:rsidR="001A48B7" w:rsidRPr="001A48B7" w:rsidRDefault="001A48B7" w:rsidP="001A48B7">
            <w:pPr>
              <w:spacing w:after="0" w:line="240" w:lineRule="auto"/>
              <w:jc w:val="right"/>
              <w:rPr>
                <w:rFonts w:eastAsia="Times New Roman" w:cs="Calibri"/>
                <w:color w:val="000000"/>
                <w:sz w:val="18"/>
                <w:szCs w:val="18"/>
                <w:lang w:val="en-US"/>
              </w:rPr>
            </w:pPr>
            <w:r w:rsidRPr="001A48B7">
              <w:rPr>
                <w:rFonts w:eastAsia="Times New Roman" w:cs="Calibri"/>
                <w:color w:val="000000"/>
                <w:sz w:val="18"/>
                <w:szCs w:val="18"/>
                <w:lang w:val="en-US"/>
              </w:rPr>
              <w:t>-54,18%</w:t>
            </w:r>
          </w:p>
        </w:tc>
        <w:tc>
          <w:tcPr>
            <w:tcW w:w="222" w:type="dxa"/>
            <w:vAlign w:val="center"/>
            <w:hideMark/>
          </w:tcPr>
          <w:p w14:paraId="1225FA4C" w14:textId="77777777" w:rsidR="001A48B7" w:rsidRPr="001A48B7" w:rsidRDefault="001A48B7" w:rsidP="001A48B7">
            <w:pPr>
              <w:spacing w:after="0" w:line="240" w:lineRule="auto"/>
              <w:jc w:val="left"/>
              <w:rPr>
                <w:rFonts w:eastAsia="Times New Roman" w:cs="Times New Roman"/>
                <w:sz w:val="18"/>
                <w:szCs w:val="18"/>
                <w:lang w:val="en-US"/>
              </w:rPr>
            </w:pPr>
          </w:p>
        </w:tc>
      </w:tr>
      <w:tr w:rsidR="001A48B7" w:rsidRPr="001A48B7" w14:paraId="1F816CCE" w14:textId="77777777" w:rsidTr="001A48B7">
        <w:trPr>
          <w:trHeight w:val="300"/>
        </w:trPr>
        <w:tc>
          <w:tcPr>
            <w:tcW w:w="116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7F96781" w14:textId="77777777" w:rsidR="001A48B7" w:rsidRPr="001A48B7" w:rsidRDefault="001A48B7" w:rsidP="001A48B7">
            <w:pPr>
              <w:spacing w:after="0" w:line="240" w:lineRule="auto"/>
              <w:jc w:val="left"/>
              <w:rPr>
                <w:rFonts w:eastAsia="Times New Roman" w:cs="Calibri"/>
                <w:color w:val="000000"/>
                <w:sz w:val="18"/>
                <w:szCs w:val="18"/>
                <w:lang w:val="en-US"/>
              </w:rPr>
            </w:pPr>
            <w:r w:rsidRPr="001A48B7">
              <w:rPr>
                <w:rFonts w:eastAsia="Times New Roman" w:cs="Calibri"/>
                <w:color w:val="000000"/>
                <w:sz w:val="18"/>
                <w:szCs w:val="18"/>
                <w:lang w:val="en-US"/>
              </w:rPr>
              <w:t> </w:t>
            </w:r>
          </w:p>
        </w:tc>
        <w:tc>
          <w:tcPr>
            <w:tcW w:w="3641" w:type="dxa"/>
            <w:tcBorders>
              <w:top w:val="single" w:sz="8" w:space="0" w:color="auto"/>
              <w:left w:val="nil"/>
              <w:bottom w:val="single" w:sz="8" w:space="0" w:color="auto"/>
              <w:right w:val="single" w:sz="8" w:space="0" w:color="auto"/>
            </w:tcBorders>
            <w:shd w:val="clear" w:color="auto" w:fill="auto"/>
            <w:noWrap/>
            <w:vAlign w:val="bottom"/>
            <w:hideMark/>
          </w:tcPr>
          <w:p w14:paraId="1604AA30" w14:textId="77777777" w:rsidR="001A48B7" w:rsidRPr="001A48B7" w:rsidRDefault="001A48B7" w:rsidP="001A48B7">
            <w:pPr>
              <w:spacing w:after="0" w:line="240" w:lineRule="auto"/>
              <w:jc w:val="center"/>
              <w:rPr>
                <w:rFonts w:eastAsia="Times New Roman" w:cs="Calibri"/>
                <w:b/>
                <w:bCs/>
                <w:color w:val="000000"/>
                <w:sz w:val="18"/>
                <w:szCs w:val="18"/>
                <w:lang w:val="en-US"/>
              </w:rPr>
            </w:pPr>
            <w:r w:rsidRPr="001A48B7">
              <w:rPr>
                <w:rFonts w:eastAsia="Times New Roman" w:cs="Calibri"/>
                <w:b/>
                <w:bCs/>
                <w:color w:val="000000"/>
                <w:sz w:val="18"/>
                <w:szCs w:val="18"/>
                <w:lang w:val="en-US"/>
              </w:rPr>
              <w:t>TOTALES</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14:paraId="4C01C39C" w14:textId="77777777" w:rsidR="001A48B7" w:rsidRPr="001A48B7" w:rsidRDefault="001A48B7" w:rsidP="001A48B7">
            <w:pPr>
              <w:spacing w:after="0" w:line="240" w:lineRule="auto"/>
              <w:ind w:left="-97"/>
              <w:jc w:val="right"/>
              <w:rPr>
                <w:rFonts w:eastAsia="Times New Roman" w:cs="Calibri"/>
                <w:b/>
                <w:bCs/>
                <w:color w:val="000000"/>
                <w:sz w:val="18"/>
                <w:szCs w:val="18"/>
                <w:lang w:val="en-US"/>
              </w:rPr>
            </w:pPr>
            <w:r w:rsidRPr="001A48B7">
              <w:rPr>
                <w:rFonts w:ascii="Arial" w:eastAsia="Times New Roman" w:hAnsi="Arial" w:cs="Arial"/>
                <w:b/>
                <w:bCs/>
                <w:color w:val="000000"/>
                <w:sz w:val="18"/>
                <w:szCs w:val="18"/>
                <w:lang w:val="en-US"/>
              </w:rPr>
              <w:t>₡</w:t>
            </w:r>
            <w:r w:rsidRPr="001A48B7">
              <w:rPr>
                <w:rFonts w:eastAsia="Times New Roman" w:cs="Calibri"/>
                <w:b/>
                <w:bCs/>
                <w:color w:val="000000"/>
                <w:sz w:val="18"/>
                <w:szCs w:val="18"/>
                <w:lang w:val="en-US"/>
              </w:rPr>
              <w:t>104 440,81</w:t>
            </w:r>
          </w:p>
        </w:tc>
        <w:tc>
          <w:tcPr>
            <w:tcW w:w="1040" w:type="dxa"/>
            <w:tcBorders>
              <w:top w:val="single" w:sz="8" w:space="0" w:color="auto"/>
              <w:left w:val="nil"/>
              <w:bottom w:val="single" w:sz="8" w:space="0" w:color="auto"/>
              <w:right w:val="single" w:sz="8" w:space="0" w:color="auto"/>
            </w:tcBorders>
            <w:shd w:val="clear" w:color="auto" w:fill="auto"/>
            <w:noWrap/>
            <w:vAlign w:val="bottom"/>
            <w:hideMark/>
          </w:tcPr>
          <w:p w14:paraId="7ABA1F25" w14:textId="77777777" w:rsidR="001A48B7" w:rsidRPr="001A48B7" w:rsidRDefault="001A48B7" w:rsidP="001A48B7">
            <w:pPr>
              <w:spacing w:after="0" w:line="240" w:lineRule="auto"/>
              <w:ind w:left="-102"/>
              <w:jc w:val="right"/>
              <w:rPr>
                <w:rFonts w:eastAsia="Times New Roman" w:cs="Calibri"/>
                <w:b/>
                <w:bCs/>
                <w:color w:val="000000"/>
                <w:sz w:val="18"/>
                <w:szCs w:val="18"/>
                <w:lang w:val="en-US"/>
              </w:rPr>
            </w:pPr>
            <w:r w:rsidRPr="001A48B7">
              <w:rPr>
                <w:rFonts w:ascii="Arial" w:eastAsia="Times New Roman" w:hAnsi="Arial" w:cs="Arial"/>
                <w:b/>
                <w:bCs/>
                <w:color w:val="000000"/>
                <w:sz w:val="18"/>
                <w:szCs w:val="18"/>
                <w:lang w:val="en-US"/>
              </w:rPr>
              <w:t>₡</w:t>
            </w:r>
            <w:r w:rsidRPr="001A48B7">
              <w:rPr>
                <w:rFonts w:eastAsia="Times New Roman" w:cs="Calibri"/>
                <w:b/>
                <w:bCs/>
                <w:color w:val="000000"/>
                <w:sz w:val="18"/>
                <w:szCs w:val="18"/>
                <w:lang w:val="en-US"/>
              </w:rPr>
              <w:t>196 608,41</w:t>
            </w:r>
          </w:p>
        </w:tc>
        <w:tc>
          <w:tcPr>
            <w:tcW w:w="1139" w:type="dxa"/>
            <w:tcBorders>
              <w:top w:val="single" w:sz="8" w:space="0" w:color="auto"/>
              <w:left w:val="nil"/>
              <w:bottom w:val="single" w:sz="8" w:space="0" w:color="auto"/>
              <w:right w:val="single" w:sz="8" w:space="0" w:color="auto"/>
            </w:tcBorders>
            <w:shd w:val="clear" w:color="auto" w:fill="auto"/>
            <w:noWrap/>
            <w:vAlign w:val="bottom"/>
            <w:hideMark/>
          </w:tcPr>
          <w:p w14:paraId="5149C8B9" w14:textId="77777777" w:rsidR="001A48B7" w:rsidRPr="001A48B7" w:rsidRDefault="001A48B7" w:rsidP="001A48B7">
            <w:pPr>
              <w:spacing w:after="0" w:line="240" w:lineRule="auto"/>
              <w:jc w:val="right"/>
              <w:rPr>
                <w:rFonts w:eastAsia="Times New Roman" w:cs="Calibri"/>
                <w:b/>
                <w:bCs/>
                <w:color w:val="000000"/>
                <w:sz w:val="18"/>
                <w:szCs w:val="18"/>
                <w:lang w:val="en-US"/>
              </w:rPr>
            </w:pPr>
            <w:r w:rsidRPr="001A48B7">
              <w:rPr>
                <w:rFonts w:eastAsia="Times New Roman" w:cs="Calibri"/>
                <w:b/>
                <w:bCs/>
                <w:color w:val="000000"/>
                <w:sz w:val="18"/>
                <w:szCs w:val="18"/>
                <w:lang w:val="en-US"/>
              </w:rPr>
              <w:t>-</w:t>
            </w:r>
            <w:r w:rsidRPr="001A48B7">
              <w:rPr>
                <w:rFonts w:ascii="Arial" w:eastAsia="Times New Roman" w:hAnsi="Arial" w:cs="Arial"/>
                <w:b/>
                <w:bCs/>
                <w:color w:val="000000"/>
                <w:sz w:val="18"/>
                <w:szCs w:val="18"/>
                <w:lang w:val="en-US"/>
              </w:rPr>
              <w:t>₡</w:t>
            </w:r>
            <w:r w:rsidRPr="001A48B7">
              <w:rPr>
                <w:rFonts w:eastAsia="Times New Roman" w:cs="Calibri"/>
                <w:b/>
                <w:bCs/>
                <w:color w:val="000000"/>
                <w:sz w:val="18"/>
                <w:szCs w:val="18"/>
                <w:lang w:val="en-US"/>
              </w:rPr>
              <w:t>92 167,61</w:t>
            </w:r>
          </w:p>
        </w:tc>
        <w:tc>
          <w:tcPr>
            <w:tcW w:w="806" w:type="dxa"/>
            <w:tcBorders>
              <w:top w:val="single" w:sz="8" w:space="0" w:color="auto"/>
              <w:left w:val="nil"/>
              <w:bottom w:val="single" w:sz="8" w:space="0" w:color="auto"/>
              <w:right w:val="single" w:sz="8" w:space="0" w:color="auto"/>
            </w:tcBorders>
            <w:shd w:val="clear" w:color="auto" w:fill="auto"/>
            <w:noWrap/>
            <w:vAlign w:val="bottom"/>
            <w:hideMark/>
          </w:tcPr>
          <w:p w14:paraId="16A64BD5" w14:textId="77777777" w:rsidR="001A48B7" w:rsidRPr="001A48B7" w:rsidRDefault="001A48B7" w:rsidP="001A48B7">
            <w:pPr>
              <w:spacing w:after="0" w:line="240" w:lineRule="auto"/>
              <w:jc w:val="right"/>
              <w:rPr>
                <w:rFonts w:eastAsia="Times New Roman" w:cs="Calibri"/>
                <w:b/>
                <w:bCs/>
                <w:color w:val="000000"/>
                <w:sz w:val="18"/>
                <w:szCs w:val="18"/>
                <w:lang w:val="en-US"/>
              </w:rPr>
            </w:pPr>
            <w:r w:rsidRPr="001A48B7">
              <w:rPr>
                <w:rFonts w:eastAsia="Times New Roman" w:cs="Calibri"/>
                <w:b/>
                <w:bCs/>
                <w:color w:val="000000"/>
                <w:sz w:val="18"/>
                <w:szCs w:val="18"/>
                <w:lang w:val="en-US"/>
              </w:rPr>
              <w:t>-46,88%</w:t>
            </w:r>
          </w:p>
        </w:tc>
        <w:tc>
          <w:tcPr>
            <w:tcW w:w="222" w:type="dxa"/>
            <w:vAlign w:val="center"/>
            <w:hideMark/>
          </w:tcPr>
          <w:p w14:paraId="04B7F011" w14:textId="77777777" w:rsidR="001A48B7" w:rsidRPr="001A48B7" w:rsidRDefault="001A48B7" w:rsidP="001A48B7">
            <w:pPr>
              <w:spacing w:after="0" w:line="240" w:lineRule="auto"/>
              <w:jc w:val="left"/>
              <w:rPr>
                <w:rFonts w:eastAsia="Times New Roman" w:cs="Times New Roman"/>
                <w:sz w:val="18"/>
                <w:szCs w:val="18"/>
                <w:lang w:val="en-US"/>
              </w:rPr>
            </w:pPr>
          </w:p>
        </w:tc>
      </w:tr>
    </w:tbl>
    <w:p w14:paraId="61C4BD19" w14:textId="77777777" w:rsidR="00E75AB1" w:rsidRDefault="00E75AB1" w:rsidP="00D91089">
      <w:pPr>
        <w:pStyle w:val="Ttulo4"/>
        <w:spacing w:after="240"/>
        <w:rPr>
          <w:rFonts w:eastAsia="Times New Roman"/>
        </w:rPr>
      </w:pPr>
    </w:p>
    <w:p w14:paraId="01FCC985" w14:textId="4F17DEA2" w:rsidR="00692DC8" w:rsidRPr="00692DC8" w:rsidRDefault="00692DC8" w:rsidP="00D91089">
      <w:pPr>
        <w:pStyle w:val="Ttulo4"/>
        <w:spacing w:after="240"/>
        <w:rPr>
          <w:rFonts w:eastAsia="Times New Roman"/>
        </w:rPr>
      </w:pPr>
      <w:bookmarkStart w:id="897" w:name="_Toc173245304"/>
      <w:r w:rsidRPr="00692DC8">
        <w:rPr>
          <w:rFonts w:eastAsia="Times New Roman"/>
        </w:rPr>
        <w:t>NOTA N° 6</w:t>
      </w:r>
      <w:bookmarkEnd w:id="894"/>
      <w:bookmarkEnd w:id="895"/>
      <w:bookmarkEnd w:id="896"/>
      <w:r w:rsidRPr="00692DC8">
        <w:rPr>
          <w:rFonts w:eastAsia="Times New Roman"/>
        </w:rPr>
        <w:t>3</w:t>
      </w:r>
      <w:bookmarkEnd w:id="897"/>
    </w:p>
    <w:p w14:paraId="0F441F9E" w14:textId="77777777" w:rsidR="00694299" w:rsidRDefault="00692DC8" w:rsidP="00323752">
      <w:pPr>
        <w:spacing w:before="240"/>
        <w:rPr>
          <w:rFonts w:asciiTheme="minorHAnsi" w:hAnsiTheme="minorHAnsi"/>
          <w:sz w:val="22"/>
        </w:rPr>
      </w:pPr>
      <w:bookmarkStart w:id="898" w:name="_Toc14344938"/>
      <w:bookmarkStart w:id="899" w:name="_Toc33601323"/>
      <w:bookmarkStart w:id="900" w:name="_Toc82769042"/>
      <w:r w:rsidRPr="00692DC8">
        <w:rPr>
          <w:rFonts w:eastAsia="Times New Roman"/>
        </w:rPr>
        <w:t>Pérdidas por deterioro y desvalorización de bienes</w:t>
      </w:r>
      <w:bookmarkEnd w:id="898"/>
      <w:bookmarkEnd w:id="899"/>
      <w:bookmarkEnd w:id="900"/>
      <w:r w:rsidR="00AD32EB">
        <w:rPr>
          <w:rFonts w:eastAsiaTheme="majorEastAsia" w:cstheme="majorBidi"/>
          <w:iCs/>
          <w:lang w:val="es-ES"/>
        </w:rPr>
        <w:fldChar w:fldCharType="begin"/>
      </w:r>
      <w:r w:rsidR="00AD32EB">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NOTAS_POR_CUENTA!F367C1:F369C6 </w:instrText>
      </w:r>
      <w:r w:rsidR="00AD32EB">
        <w:rPr>
          <w:lang w:val="es-ES"/>
        </w:rPr>
        <w:instrText xml:space="preserve">\a \f 4 \h </w:instrText>
      </w:r>
      <w:r w:rsidR="00AD32EB">
        <w:rPr>
          <w:b/>
          <w:lang w:val="es-ES"/>
        </w:rPr>
        <w:fldChar w:fldCharType="separate"/>
      </w:r>
    </w:p>
    <w:tbl>
      <w:tblPr>
        <w:tblW w:w="8847" w:type="dxa"/>
        <w:tblCellMar>
          <w:left w:w="70" w:type="dxa"/>
          <w:right w:w="70" w:type="dxa"/>
        </w:tblCellMar>
        <w:tblLook w:val="04A0" w:firstRow="1" w:lastRow="0" w:firstColumn="1" w:lastColumn="0" w:noHBand="0" w:noVBand="1"/>
      </w:tblPr>
      <w:tblGrid>
        <w:gridCol w:w="1377"/>
        <w:gridCol w:w="2623"/>
        <w:gridCol w:w="500"/>
        <w:gridCol w:w="1586"/>
        <w:gridCol w:w="1701"/>
        <w:gridCol w:w="1060"/>
      </w:tblGrid>
      <w:tr w:rsidR="00694299" w:rsidRPr="00694299" w14:paraId="3699BFFF" w14:textId="77777777" w:rsidTr="00D643D3">
        <w:trPr>
          <w:divId w:val="485365467"/>
          <w:trHeight w:val="324"/>
        </w:trPr>
        <w:tc>
          <w:tcPr>
            <w:tcW w:w="1377"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738B84F" w14:textId="505CB2CC"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623"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603960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29F508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5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4E1178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A511ACA"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47DBBC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0089BB71" w14:textId="77777777" w:rsidTr="00D643D3">
        <w:trPr>
          <w:divId w:val="485365467"/>
          <w:trHeight w:val="324"/>
        </w:trPr>
        <w:tc>
          <w:tcPr>
            <w:tcW w:w="1377" w:type="dxa"/>
            <w:vMerge/>
            <w:tcBorders>
              <w:top w:val="single" w:sz="8" w:space="0" w:color="auto"/>
              <w:left w:val="single" w:sz="8" w:space="0" w:color="auto"/>
              <w:bottom w:val="single" w:sz="8" w:space="0" w:color="000000"/>
              <w:right w:val="single" w:sz="8" w:space="0" w:color="auto"/>
            </w:tcBorders>
            <w:vAlign w:val="center"/>
            <w:hideMark/>
          </w:tcPr>
          <w:p w14:paraId="43677965"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623" w:type="dxa"/>
            <w:vMerge/>
            <w:tcBorders>
              <w:top w:val="single" w:sz="8" w:space="0" w:color="auto"/>
              <w:left w:val="single" w:sz="8" w:space="0" w:color="auto"/>
              <w:bottom w:val="single" w:sz="8" w:space="0" w:color="000000"/>
              <w:right w:val="single" w:sz="8" w:space="0" w:color="auto"/>
            </w:tcBorders>
            <w:vAlign w:val="center"/>
            <w:hideMark/>
          </w:tcPr>
          <w:p w14:paraId="73A8F6C6"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40FF707"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63848D0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6F22217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0B6A1A90"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1157A4F2" w14:textId="77777777" w:rsidTr="00D643D3">
        <w:trPr>
          <w:divId w:val="485365467"/>
          <w:trHeight w:val="540"/>
        </w:trPr>
        <w:tc>
          <w:tcPr>
            <w:tcW w:w="1377" w:type="dxa"/>
            <w:tcBorders>
              <w:top w:val="nil"/>
              <w:left w:val="single" w:sz="8" w:space="0" w:color="auto"/>
              <w:bottom w:val="single" w:sz="8" w:space="0" w:color="auto"/>
              <w:right w:val="single" w:sz="8" w:space="0" w:color="auto"/>
            </w:tcBorders>
            <w:shd w:val="clear" w:color="auto" w:fill="auto"/>
            <w:noWrap/>
            <w:vAlign w:val="center"/>
            <w:hideMark/>
          </w:tcPr>
          <w:p w14:paraId="3EE88936"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5.1.5.</w:t>
            </w:r>
          </w:p>
        </w:tc>
        <w:tc>
          <w:tcPr>
            <w:tcW w:w="2623" w:type="dxa"/>
            <w:tcBorders>
              <w:top w:val="nil"/>
              <w:left w:val="nil"/>
              <w:bottom w:val="single" w:sz="8" w:space="0" w:color="auto"/>
              <w:right w:val="single" w:sz="8" w:space="0" w:color="auto"/>
            </w:tcBorders>
            <w:shd w:val="clear" w:color="auto" w:fill="auto"/>
            <w:vAlign w:val="center"/>
            <w:hideMark/>
          </w:tcPr>
          <w:p w14:paraId="79E4A811"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 xml:space="preserve">Pérdidas por deterioro y desvalorización de bienes </w:t>
            </w:r>
          </w:p>
        </w:tc>
        <w:tc>
          <w:tcPr>
            <w:tcW w:w="500" w:type="dxa"/>
            <w:tcBorders>
              <w:top w:val="nil"/>
              <w:left w:val="nil"/>
              <w:bottom w:val="single" w:sz="8" w:space="0" w:color="auto"/>
              <w:right w:val="single" w:sz="8" w:space="0" w:color="auto"/>
            </w:tcBorders>
            <w:shd w:val="clear" w:color="auto" w:fill="auto"/>
            <w:noWrap/>
            <w:vAlign w:val="center"/>
            <w:hideMark/>
          </w:tcPr>
          <w:p w14:paraId="54109C78"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63</w:t>
            </w:r>
          </w:p>
        </w:tc>
        <w:tc>
          <w:tcPr>
            <w:tcW w:w="1586" w:type="dxa"/>
            <w:tcBorders>
              <w:top w:val="nil"/>
              <w:left w:val="nil"/>
              <w:bottom w:val="single" w:sz="8" w:space="0" w:color="auto"/>
              <w:right w:val="single" w:sz="8" w:space="0" w:color="auto"/>
            </w:tcBorders>
            <w:shd w:val="clear" w:color="auto" w:fill="auto"/>
            <w:noWrap/>
            <w:vAlign w:val="center"/>
            <w:hideMark/>
          </w:tcPr>
          <w:p w14:paraId="1C4F9105"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701" w:type="dxa"/>
            <w:tcBorders>
              <w:top w:val="nil"/>
              <w:left w:val="nil"/>
              <w:bottom w:val="single" w:sz="8" w:space="0" w:color="auto"/>
              <w:right w:val="single" w:sz="8" w:space="0" w:color="auto"/>
            </w:tcBorders>
            <w:shd w:val="clear" w:color="auto" w:fill="auto"/>
            <w:noWrap/>
            <w:vAlign w:val="center"/>
            <w:hideMark/>
          </w:tcPr>
          <w:p w14:paraId="337B3619"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18D72949"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49D873DA" w14:textId="77777777" w:rsidR="00694299" w:rsidRPr="00694299" w:rsidRDefault="00AD32EB"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NOTAS_POR_CUENTA!F369C8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4BB61A03" w14:textId="13D86FE2" w:rsidR="00694299" w:rsidRPr="00694299" w:rsidRDefault="00694299" w:rsidP="00C37C83">
      <w:pPr>
        <w:spacing w:line="240" w:lineRule="auto"/>
        <w:rPr>
          <w:b/>
          <w:bCs/>
        </w:rPr>
      </w:pPr>
      <w:r w:rsidRPr="00694299">
        <w:rPr>
          <w:rFonts w:eastAsia="Times New Roman" w:cs="Calibri"/>
          <w:color w:val="000000"/>
          <w:lang w:eastAsia="es-CR"/>
        </w:rPr>
        <w:t xml:space="preserve">La cuenta Pérdidas por deterioro y desvalorización de </w:t>
      </w:r>
      <w:r w:rsidR="00D643D3" w:rsidRPr="00694299">
        <w:rPr>
          <w:rFonts w:eastAsia="Times New Roman" w:cs="Calibri"/>
          <w:color w:val="000000"/>
          <w:lang w:eastAsia="es-CR"/>
        </w:rPr>
        <w:t>bienes,</w:t>
      </w:r>
      <w:r w:rsidRPr="00694299">
        <w:rPr>
          <w:rFonts w:eastAsia="Times New Roman" w:cs="Calibri"/>
          <w:color w:val="000000"/>
          <w:lang w:eastAsia="es-CR"/>
        </w:rPr>
        <w:t xml:space="preserve"> representa el 0,00% del total del Gastos, que comparado al periodo anterior genera una variación absoluta de 0 000,00 que corresponde a un Aumento del 0,00% de recursos disponibles.</w:t>
      </w:r>
    </w:p>
    <w:p w14:paraId="0F3C4032" w14:textId="1B287C42" w:rsidR="00692DC8" w:rsidRPr="00692DC8" w:rsidRDefault="00AD32EB" w:rsidP="00C37C83">
      <w:pPr>
        <w:spacing w:line="240" w:lineRule="auto"/>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7E0DCB78" w14:textId="20B45567" w:rsidR="00692DC8" w:rsidRDefault="00567780" w:rsidP="00567780">
      <w:pPr>
        <w:tabs>
          <w:tab w:val="left" w:pos="1008"/>
        </w:tabs>
      </w:pPr>
      <w:r>
        <w:tab/>
      </w:r>
    </w:p>
    <w:p w14:paraId="413D252A" w14:textId="77777777" w:rsidR="00567780" w:rsidRPr="00692DC8" w:rsidRDefault="00567780" w:rsidP="00567780">
      <w:pPr>
        <w:tabs>
          <w:tab w:val="left" w:pos="1008"/>
        </w:tabs>
      </w:pPr>
    </w:p>
    <w:p w14:paraId="7243C3A3" w14:textId="77777777" w:rsidR="00692DC8" w:rsidRPr="00692DC8" w:rsidRDefault="00692DC8" w:rsidP="00B21D69">
      <w:pPr>
        <w:pStyle w:val="Ttulo4"/>
        <w:spacing w:after="240"/>
        <w:rPr>
          <w:rFonts w:eastAsia="Times New Roman"/>
        </w:rPr>
      </w:pPr>
      <w:bookmarkStart w:id="901" w:name="_Toc14344941"/>
      <w:bookmarkStart w:id="902" w:name="_Toc33601324"/>
      <w:bookmarkStart w:id="903" w:name="_Toc82769043"/>
      <w:bookmarkStart w:id="904" w:name="_Toc173245305"/>
      <w:r w:rsidRPr="00692DC8">
        <w:rPr>
          <w:rFonts w:eastAsia="Times New Roman"/>
        </w:rPr>
        <w:t>NOTA N° 6</w:t>
      </w:r>
      <w:bookmarkEnd w:id="901"/>
      <w:bookmarkEnd w:id="902"/>
      <w:bookmarkEnd w:id="903"/>
      <w:r w:rsidRPr="00692DC8">
        <w:rPr>
          <w:rFonts w:eastAsia="Times New Roman"/>
        </w:rPr>
        <w:t>4</w:t>
      </w:r>
      <w:bookmarkEnd w:id="904"/>
    </w:p>
    <w:p w14:paraId="74BE219E" w14:textId="77777777" w:rsidR="00694299" w:rsidRDefault="00692DC8" w:rsidP="00323752">
      <w:pPr>
        <w:spacing w:before="240"/>
        <w:rPr>
          <w:rFonts w:asciiTheme="minorHAnsi" w:hAnsiTheme="minorHAnsi"/>
          <w:sz w:val="22"/>
        </w:rPr>
      </w:pPr>
      <w:bookmarkStart w:id="905" w:name="_Toc14344942"/>
      <w:bookmarkStart w:id="906" w:name="_Toc33601325"/>
      <w:bookmarkStart w:id="907" w:name="_Toc82769044"/>
      <w:r w:rsidRPr="00692DC8">
        <w:rPr>
          <w:rFonts w:eastAsia="Times New Roman"/>
        </w:rPr>
        <w:t>Deterioro y pérdidas de inventarios</w:t>
      </w:r>
      <w:bookmarkStart w:id="908" w:name="_Toc14344946"/>
      <w:bookmarkEnd w:id="905"/>
      <w:bookmarkEnd w:id="906"/>
      <w:bookmarkEnd w:id="907"/>
      <w:r w:rsidR="00AD32EB">
        <w:rPr>
          <w:rFonts w:eastAsiaTheme="majorEastAsia" w:cstheme="majorBidi"/>
          <w:iCs/>
          <w:lang w:val="es-ES"/>
        </w:rPr>
        <w:fldChar w:fldCharType="begin"/>
      </w:r>
      <w:r w:rsidR="00AD32EB">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NOTAS_POR_CUENTA!F371C1:F373C6 </w:instrText>
      </w:r>
      <w:r w:rsidR="00AD32EB">
        <w:rPr>
          <w:lang w:val="es-ES"/>
        </w:rPr>
        <w:instrText xml:space="preserve">\a \f 4 \h </w:instrText>
      </w:r>
      <w:r w:rsidR="00AD32EB">
        <w:rPr>
          <w:b/>
          <w:lang w:val="es-ES"/>
        </w:rPr>
        <w:fldChar w:fldCharType="separate"/>
      </w:r>
    </w:p>
    <w:tbl>
      <w:tblPr>
        <w:tblW w:w="8847" w:type="dxa"/>
        <w:tblCellMar>
          <w:left w:w="70" w:type="dxa"/>
          <w:right w:w="70" w:type="dxa"/>
        </w:tblCellMar>
        <w:tblLook w:val="04A0" w:firstRow="1" w:lastRow="0" w:firstColumn="1" w:lastColumn="0" w:noHBand="0" w:noVBand="1"/>
      </w:tblPr>
      <w:tblGrid>
        <w:gridCol w:w="1472"/>
        <w:gridCol w:w="2528"/>
        <w:gridCol w:w="500"/>
        <w:gridCol w:w="1586"/>
        <w:gridCol w:w="1701"/>
        <w:gridCol w:w="1060"/>
      </w:tblGrid>
      <w:tr w:rsidR="00694299" w:rsidRPr="00694299" w14:paraId="022CF712" w14:textId="77777777" w:rsidTr="00D643D3">
        <w:trPr>
          <w:divId w:val="342048696"/>
          <w:trHeight w:val="324"/>
        </w:trPr>
        <w:tc>
          <w:tcPr>
            <w:tcW w:w="1472"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9ABFDA9" w14:textId="09E6C271"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528"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62EF13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1E8CD5C"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5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B1AF7F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4A8C69C"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49D8186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0D22C237" w14:textId="77777777" w:rsidTr="00D643D3">
        <w:trPr>
          <w:divId w:val="342048696"/>
          <w:trHeight w:val="324"/>
        </w:trPr>
        <w:tc>
          <w:tcPr>
            <w:tcW w:w="1472" w:type="dxa"/>
            <w:vMerge/>
            <w:tcBorders>
              <w:top w:val="single" w:sz="8" w:space="0" w:color="auto"/>
              <w:left w:val="single" w:sz="8" w:space="0" w:color="auto"/>
              <w:bottom w:val="single" w:sz="8" w:space="0" w:color="000000"/>
              <w:right w:val="single" w:sz="8" w:space="0" w:color="auto"/>
            </w:tcBorders>
            <w:vAlign w:val="center"/>
            <w:hideMark/>
          </w:tcPr>
          <w:p w14:paraId="120F243D"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528" w:type="dxa"/>
            <w:vMerge/>
            <w:tcBorders>
              <w:top w:val="single" w:sz="8" w:space="0" w:color="auto"/>
              <w:left w:val="single" w:sz="8" w:space="0" w:color="auto"/>
              <w:bottom w:val="single" w:sz="8" w:space="0" w:color="000000"/>
              <w:right w:val="single" w:sz="8" w:space="0" w:color="auto"/>
            </w:tcBorders>
            <w:vAlign w:val="center"/>
            <w:hideMark/>
          </w:tcPr>
          <w:p w14:paraId="69EE029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AE54D5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79D3F1B1"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52EC086A"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440BA0C0"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648E221A" w14:textId="77777777" w:rsidTr="00D643D3">
        <w:trPr>
          <w:divId w:val="342048696"/>
          <w:trHeight w:val="324"/>
        </w:trPr>
        <w:tc>
          <w:tcPr>
            <w:tcW w:w="1472" w:type="dxa"/>
            <w:tcBorders>
              <w:top w:val="nil"/>
              <w:left w:val="single" w:sz="8" w:space="0" w:color="auto"/>
              <w:bottom w:val="single" w:sz="8" w:space="0" w:color="auto"/>
              <w:right w:val="single" w:sz="8" w:space="0" w:color="auto"/>
            </w:tcBorders>
            <w:shd w:val="clear" w:color="auto" w:fill="auto"/>
            <w:noWrap/>
            <w:vAlign w:val="center"/>
            <w:hideMark/>
          </w:tcPr>
          <w:p w14:paraId="09817101"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5.1.6.</w:t>
            </w:r>
          </w:p>
        </w:tc>
        <w:tc>
          <w:tcPr>
            <w:tcW w:w="2528" w:type="dxa"/>
            <w:tcBorders>
              <w:top w:val="nil"/>
              <w:left w:val="nil"/>
              <w:bottom w:val="single" w:sz="8" w:space="0" w:color="auto"/>
              <w:right w:val="single" w:sz="8" w:space="0" w:color="auto"/>
            </w:tcBorders>
            <w:shd w:val="clear" w:color="auto" w:fill="auto"/>
            <w:vAlign w:val="center"/>
            <w:hideMark/>
          </w:tcPr>
          <w:p w14:paraId="45D8EF9B"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Deterioro y pérdidas de inventarios</w:t>
            </w:r>
          </w:p>
        </w:tc>
        <w:tc>
          <w:tcPr>
            <w:tcW w:w="500" w:type="dxa"/>
            <w:tcBorders>
              <w:top w:val="nil"/>
              <w:left w:val="nil"/>
              <w:bottom w:val="single" w:sz="8" w:space="0" w:color="auto"/>
              <w:right w:val="single" w:sz="8" w:space="0" w:color="auto"/>
            </w:tcBorders>
            <w:shd w:val="clear" w:color="auto" w:fill="auto"/>
            <w:noWrap/>
            <w:vAlign w:val="center"/>
            <w:hideMark/>
          </w:tcPr>
          <w:p w14:paraId="2E6CE8A6"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64</w:t>
            </w:r>
          </w:p>
        </w:tc>
        <w:tc>
          <w:tcPr>
            <w:tcW w:w="1586" w:type="dxa"/>
            <w:tcBorders>
              <w:top w:val="nil"/>
              <w:left w:val="nil"/>
              <w:bottom w:val="single" w:sz="8" w:space="0" w:color="auto"/>
              <w:right w:val="single" w:sz="8" w:space="0" w:color="auto"/>
            </w:tcBorders>
            <w:shd w:val="clear" w:color="auto" w:fill="auto"/>
            <w:noWrap/>
            <w:vAlign w:val="center"/>
            <w:hideMark/>
          </w:tcPr>
          <w:p w14:paraId="2325EBE4"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701" w:type="dxa"/>
            <w:tcBorders>
              <w:top w:val="nil"/>
              <w:left w:val="nil"/>
              <w:bottom w:val="single" w:sz="8" w:space="0" w:color="auto"/>
              <w:right w:val="single" w:sz="8" w:space="0" w:color="auto"/>
            </w:tcBorders>
            <w:shd w:val="clear" w:color="auto" w:fill="auto"/>
            <w:noWrap/>
            <w:vAlign w:val="center"/>
            <w:hideMark/>
          </w:tcPr>
          <w:p w14:paraId="00D75D87"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612BB365"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1A66F56D" w14:textId="77777777" w:rsidR="00694299" w:rsidRPr="00694299" w:rsidRDefault="00AD32EB"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bookmarkStart w:id="909" w:name="_Toc33601326"/>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NOTAS_POR_CUENTA!F373C8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1237283B" w14:textId="77777777" w:rsidR="00694299" w:rsidRPr="00694299" w:rsidRDefault="00694299" w:rsidP="00C37C83">
      <w:pPr>
        <w:spacing w:line="240" w:lineRule="auto"/>
        <w:rPr>
          <w:rFonts w:eastAsia="Times New Roman" w:cs="Calibri"/>
          <w:color w:val="000000"/>
          <w:lang w:eastAsia="es-CR"/>
        </w:rPr>
      </w:pPr>
      <w:r w:rsidRPr="00694299">
        <w:rPr>
          <w:rFonts w:eastAsia="Times New Roman" w:cs="Calibri"/>
          <w:color w:val="000000"/>
          <w:lang w:eastAsia="es-CR"/>
        </w:rPr>
        <w:t>La cuenta Deterioro y pérdidas de inventarios, representa el 0,00% del total del Gastos, que comparado al periodo anterior genera una variación absoluta de 0 000,00 que corresponde a un Aumento del 0,00% de recursos disponibles.</w:t>
      </w:r>
    </w:p>
    <w:p w14:paraId="2DC06140" w14:textId="62D6DF07" w:rsidR="00692DC8" w:rsidRDefault="00AD32EB" w:rsidP="00C37C83">
      <w:pPr>
        <w:spacing w:line="240" w:lineRule="auto"/>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836E8A1" w14:textId="77777777" w:rsidR="00AD32EB" w:rsidRPr="00B21D69" w:rsidRDefault="00AD32EB" w:rsidP="00AD32EB">
      <w:pPr>
        <w:rPr>
          <w:rFonts w:eastAsiaTheme="minorEastAsia" w:cs="Arial Narrow"/>
          <w:color w:val="000000"/>
          <w:lang w:eastAsia="es-CR"/>
        </w:rPr>
      </w:pPr>
    </w:p>
    <w:p w14:paraId="485F95D0" w14:textId="77777777" w:rsidR="00692DC8" w:rsidRPr="00692DC8" w:rsidRDefault="00692DC8" w:rsidP="00B21D69">
      <w:pPr>
        <w:pStyle w:val="Ttulo4"/>
        <w:spacing w:before="0" w:after="240"/>
        <w:rPr>
          <w:rFonts w:eastAsia="Times New Roman"/>
        </w:rPr>
      </w:pPr>
      <w:bookmarkStart w:id="910" w:name="_Toc82769045"/>
      <w:bookmarkStart w:id="911" w:name="_Toc173245306"/>
      <w:r w:rsidRPr="00692DC8">
        <w:rPr>
          <w:rFonts w:eastAsia="Times New Roman"/>
        </w:rPr>
        <w:t>NOTA N° 6</w:t>
      </w:r>
      <w:bookmarkEnd w:id="908"/>
      <w:bookmarkEnd w:id="909"/>
      <w:bookmarkEnd w:id="910"/>
      <w:r w:rsidRPr="00692DC8">
        <w:rPr>
          <w:rFonts w:eastAsia="Times New Roman"/>
        </w:rPr>
        <w:t>5</w:t>
      </w:r>
      <w:bookmarkEnd w:id="911"/>
    </w:p>
    <w:p w14:paraId="2E928B36" w14:textId="77777777" w:rsidR="00694299" w:rsidRDefault="00692DC8" w:rsidP="00323752">
      <w:pPr>
        <w:spacing w:before="240"/>
        <w:rPr>
          <w:rFonts w:asciiTheme="minorHAnsi" w:hAnsiTheme="minorHAnsi"/>
          <w:sz w:val="22"/>
        </w:rPr>
      </w:pPr>
      <w:bookmarkStart w:id="912" w:name="_Toc14344947"/>
      <w:bookmarkStart w:id="913" w:name="_Toc33601327"/>
      <w:bookmarkStart w:id="914" w:name="_Toc82769046"/>
      <w:r w:rsidRPr="00692DC8">
        <w:rPr>
          <w:rFonts w:eastAsia="Times New Roman"/>
        </w:rPr>
        <w:t>Deterioro de inversiones y cuentas a cobrar</w:t>
      </w:r>
      <w:bookmarkEnd w:id="912"/>
      <w:bookmarkEnd w:id="913"/>
      <w:bookmarkEnd w:id="914"/>
      <w:r w:rsidR="00AD32EB">
        <w:rPr>
          <w:rFonts w:eastAsiaTheme="majorEastAsia" w:cstheme="majorBidi"/>
          <w:iCs/>
          <w:lang w:val="es-ES"/>
        </w:rPr>
        <w:fldChar w:fldCharType="begin"/>
      </w:r>
      <w:r w:rsidR="00AD32EB">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NOTAS_POR_CUENTA!F375C1:F377C6 </w:instrText>
      </w:r>
      <w:r w:rsidR="00AD32EB">
        <w:rPr>
          <w:lang w:val="es-ES"/>
        </w:rPr>
        <w:instrText xml:space="preserve">\a \f 4 \h </w:instrText>
      </w:r>
      <w:r w:rsidR="00AD32EB">
        <w:rPr>
          <w:b/>
          <w:lang w:val="es-ES"/>
        </w:rPr>
        <w:fldChar w:fldCharType="separate"/>
      </w:r>
    </w:p>
    <w:tbl>
      <w:tblPr>
        <w:tblW w:w="8847" w:type="dxa"/>
        <w:tblCellMar>
          <w:left w:w="70" w:type="dxa"/>
          <w:right w:w="70" w:type="dxa"/>
        </w:tblCellMar>
        <w:tblLook w:val="04A0" w:firstRow="1" w:lastRow="0" w:firstColumn="1" w:lastColumn="0" w:noHBand="0" w:noVBand="1"/>
      </w:tblPr>
      <w:tblGrid>
        <w:gridCol w:w="1078"/>
        <w:gridCol w:w="2922"/>
        <w:gridCol w:w="500"/>
        <w:gridCol w:w="1586"/>
        <w:gridCol w:w="1701"/>
        <w:gridCol w:w="1060"/>
      </w:tblGrid>
      <w:tr w:rsidR="00694299" w:rsidRPr="00694299" w14:paraId="6DE83830" w14:textId="77777777" w:rsidTr="00D643D3">
        <w:trPr>
          <w:divId w:val="854614888"/>
          <w:trHeight w:val="324"/>
        </w:trPr>
        <w:tc>
          <w:tcPr>
            <w:tcW w:w="1078"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11E4B94" w14:textId="49070D35"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922"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2463C5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B85ABB3"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5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218C08D"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A9FC8D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EE90EC4"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2D848AF8" w14:textId="77777777" w:rsidTr="00D643D3">
        <w:trPr>
          <w:divId w:val="854614888"/>
          <w:trHeight w:val="324"/>
        </w:trPr>
        <w:tc>
          <w:tcPr>
            <w:tcW w:w="1078" w:type="dxa"/>
            <w:vMerge/>
            <w:tcBorders>
              <w:top w:val="single" w:sz="8" w:space="0" w:color="auto"/>
              <w:left w:val="single" w:sz="8" w:space="0" w:color="auto"/>
              <w:bottom w:val="single" w:sz="8" w:space="0" w:color="000000"/>
              <w:right w:val="single" w:sz="8" w:space="0" w:color="auto"/>
            </w:tcBorders>
            <w:vAlign w:val="center"/>
            <w:hideMark/>
          </w:tcPr>
          <w:p w14:paraId="00C0721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922" w:type="dxa"/>
            <w:vMerge/>
            <w:tcBorders>
              <w:top w:val="single" w:sz="8" w:space="0" w:color="auto"/>
              <w:left w:val="single" w:sz="8" w:space="0" w:color="auto"/>
              <w:bottom w:val="single" w:sz="8" w:space="0" w:color="000000"/>
              <w:right w:val="single" w:sz="8" w:space="0" w:color="auto"/>
            </w:tcBorders>
            <w:vAlign w:val="center"/>
            <w:hideMark/>
          </w:tcPr>
          <w:p w14:paraId="71E692E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59FB0D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4A50219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7F247C02"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35B64BBE"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58B1329C" w14:textId="77777777" w:rsidTr="00D643D3">
        <w:trPr>
          <w:divId w:val="854614888"/>
          <w:trHeight w:val="324"/>
        </w:trPr>
        <w:tc>
          <w:tcPr>
            <w:tcW w:w="1078" w:type="dxa"/>
            <w:tcBorders>
              <w:top w:val="nil"/>
              <w:left w:val="single" w:sz="8" w:space="0" w:color="auto"/>
              <w:bottom w:val="single" w:sz="8" w:space="0" w:color="auto"/>
              <w:right w:val="single" w:sz="8" w:space="0" w:color="auto"/>
            </w:tcBorders>
            <w:shd w:val="clear" w:color="auto" w:fill="auto"/>
            <w:noWrap/>
            <w:vAlign w:val="center"/>
            <w:hideMark/>
          </w:tcPr>
          <w:p w14:paraId="50D428DB"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5.1.7.</w:t>
            </w:r>
          </w:p>
        </w:tc>
        <w:tc>
          <w:tcPr>
            <w:tcW w:w="2922" w:type="dxa"/>
            <w:tcBorders>
              <w:top w:val="nil"/>
              <w:left w:val="nil"/>
              <w:bottom w:val="single" w:sz="8" w:space="0" w:color="auto"/>
              <w:right w:val="single" w:sz="8" w:space="0" w:color="auto"/>
            </w:tcBorders>
            <w:shd w:val="clear" w:color="auto" w:fill="auto"/>
            <w:vAlign w:val="center"/>
            <w:hideMark/>
          </w:tcPr>
          <w:p w14:paraId="76302E73"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Deterioro de inversiones y cuentas a cobrar</w:t>
            </w:r>
          </w:p>
        </w:tc>
        <w:tc>
          <w:tcPr>
            <w:tcW w:w="500" w:type="dxa"/>
            <w:tcBorders>
              <w:top w:val="nil"/>
              <w:left w:val="nil"/>
              <w:bottom w:val="single" w:sz="8" w:space="0" w:color="auto"/>
              <w:right w:val="single" w:sz="8" w:space="0" w:color="auto"/>
            </w:tcBorders>
            <w:shd w:val="clear" w:color="auto" w:fill="auto"/>
            <w:noWrap/>
            <w:vAlign w:val="center"/>
            <w:hideMark/>
          </w:tcPr>
          <w:p w14:paraId="3172EA43"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65</w:t>
            </w:r>
          </w:p>
        </w:tc>
        <w:tc>
          <w:tcPr>
            <w:tcW w:w="1586" w:type="dxa"/>
            <w:tcBorders>
              <w:top w:val="nil"/>
              <w:left w:val="nil"/>
              <w:bottom w:val="single" w:sz="8" w:space="0" w:color="auto"/>
              <w:right w:val="single" w:sz="8" w:space="0" w:color="auto"/>
            </w:tcBorders>
            <w:shd w:val="clear" w:color="auto" w:fill="auto"/>
            <w:noWrap/>
            <w:vAlign w:val="center"/>
            <w:hideMark/>
          </w:tcPr>
          <w:p w14:paraId="2091E92E"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701" w:type="dxa"/>
            <w:tcBorders>
              <w:top w:val="nil"/>
              <w:left w:val="nil"/>
              <w:bottom w:val="single" w:sz="8" w:space="0" w:color="auto"/>
              <w:right w:val="single" w:sz="8" w:space="0" w:color="auto"/>
            </w:tcBorders>
            <w:shd w:val="clear" w:color="auto" w:fill="auto"/>
            <w:noWrap/>
            <w:vAlign w:val="center"/>
            <w:hideMark/>
          </w:tcPr>
          <w:p w14:paraId="18AB3F36"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7CA4C89D"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1D3E8803" w14:textId="77777777" w:rsidR="00694299" w:rsidRPr="00694299" w:rsidRDefault="00AD32EB"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NOTAS_POR_CUENTA!F377C8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5B9C5E07" w14:textId="77777777" w:rsidR="00694299" w:rsidRPr="00694299" w:rsidRDefault="00694299" w:rsidP="00C37C83">
      <w:pPr>
        <w:spacing w:line="240" w:lineRule="auto"/>
        <w:rPr>
          <w:rFonts w:eastAsia="Times New Roman" w:cs="Calibri"/>
          <w:color w:val="000000"/>
          <w:lang w:eastAsia="es-CR"/>
        </w:rPr>
      </w:pPr>
      <w:r w:rsidRPr="00694299">
        <w:rPr>
          <w:rFonts w:eastAsia="Times New Roman" w:cs="Calibri"/>
          <w:color w:val="000000"/>
          <w:lang w:eastAsia="es-CR"/>
        </w:rPr>
        <w:t>La cuenta Deterioro de inversiones y cuentas a cobrar, representa el 0,00% del total del Gastos, que comparado al periodo anterior genera una variación absoluta de 0 000,00 que corresponde a un Aumento del 0,00% de recursos disponibles.</w:t>
      </w:r>
    </w:p>
    <w:p w14:paraId="42E945BB" w14:textId="1665C046" w:rsidR="00692DC8" w:rsidRPr="00692DC8" w:rsidRDefault="00AD32EB" w:rsidP="00C37C83">
      <w:pPr>
        <w:spacing w:line="240" w:lineRule="auto"/>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17EB9E10" w14:textId="77777777" w:rsidR="00567780" w:rsidRDefault="00567780" w:rsidP="00B21D69">
      <w:pPr>
        <w:rPr>
          <w:szCs w:val="24"/>
        </w:rPr>
      </w:pPr>
    </w:p>
    <w:p w14:paraId="699F0FCD" w14:textId="77777777" w:rsidR="001A48B7" w:rsidRDefault="001A48B7" w:rsidP="00B21D69">
      <w:pPr>
        <w:rPr>
          <w:szCs w:val="24"/>
        </w:rPr>
      </w:pPr>
    </w:p>
    <w:p w14:paraId="02D8AE56" w14:textId="77777777" w:rsidR="001A48B7" w:rsidRDefault="001A48B7" w:rsidP="00B21D69">
      <w:pPr>
        <w:rPr>
          <w:szCs w:val="24"/>
        </w:rPr>
      </w:pPr>
    </w:p>
    <w:p w14:paraId="2EA30169" w14:textId="77777777" w:rsidR="001A48B7" w:rsidRPr="00692DC8" w:rsidRDefault="001A48B7" w:rsidP="00B21D69">
      <w:pPr>
        <w:rPr>
          <w:szCs w:val="24"/>
        </w:rPr>
      </w:pPr>
    </w:p>
    <w:p w14:paraId="1A656FA3" w14:textId="77777777" w:rsidR="00692DC8" w:rsidRPr="00692DC8" w:rsidRDefault="00692DC8" w:rsidP="00B21D69">
      <w:pPr>
        <w:pStyle w:val="Ttulo4"/>
        <w:spacing w:after="240"/>
        <w:rPr>
          <w:rFonts w:eastAsia="Times New Roman"/>
        </w:rPr>
      </w:pPr>
      <w:bookmarkStart w:id="915" w:name="_Toc14344950"/>
      <w:bookmarkStart w:id="916" w:name="_Toc33601328"/>
      <w:bookmarkStart w:id="917" w:name="_Toc82769047"/>
      <w:bookmarkStart w:id="918" w:name="_Toc173245307"/>
      <w:r w:rsidRPr="00692DC8">
        <w:rPr>
          <w:rFonts w:eastAsia="Times New Roman"/>
        </w:rPr>
        <w:t>NOTA N° 6</w:t>
      </w:r>
      <w:bookmarkEnd w:id="915"/>
      <w:bookmarkEnd w:id="916"/>
      <w:bookmarkEnd w:id="917"/>
      <w:r w:rsidRPr="00692DC8">
        <w:rPr>
          <w:rFonts w:eastAsia="Times New Roman"/>
        </w:rPr>
        <w:t>6</w:t>
      </w:r>
      <w:bookmarkEnd w:id="918"/>
    </w:p>
    <w:p w14:paraId="667C7D3B" w14:textId="77777777" w:rsidR="00694299" w:rsidRDefault="00692DC8" w:rsidP="001A48B7">
      <w:pPr>
        <w:spacing w:after="0" w:line="240" w:lineRule="auto"/>
        <w:rPr>
          <w:rFonts w:asciiTheme="minorHAnsi" w:hAnsiTheme="minorHAnsi"/>
          <w:sz w:val="22"/>
        </w:rPr>
      </w:pPr>
      <w:bookmarkStart w:id="919" w:name="_Toc14344951"/>
      <w:bookmarkStart w:id="920" w:name="_Toc33601329"/>
      <w:bookmarkStart w:id="921" w:name="_Toc82769048"/>
      <w:r w:rsidRPr="00692DC8">
        <w:rPr>
          <w:rFonts w:eastAsia="Times New Roman"/>
        </w:rPr>
        <w:t>Cargos por provisiones y reservas técnicas</w:t>
      </w:r>
      <w:bookmarkEnd w:id="919"/>
      <w:bookmarkEnd w:id="920"/>
      <w:bookmarkEnd w:id="921"/>
      <w:r w:rsidR="00AD32EB">
        <w:rPr>
          <w:rFonts w:eastAsiaTheme="majorEastAsia" w:cstheme="majorBidi"/>
          <w:b/>
          <w:iCs/>
        </w:rPr>
        <w:fldChar w:fldCharType="begin"/>
      </w:r>
      <w:r w:rsidR="00AD32EB">
        <w:instrText xml:space="preserve"> LINK </w:instrText>
      </w:r>
      <w:r w:rsidR="00323752">
        <w:instrText xml:space="preserve">Excel.SheetMacroEnabled.12 "D:\\MORAVIA\\INSUMOS\\NOTAS 2024\\Formato_Notas_EEFF_Vinculadas_2024\\XXXXX_PXX_202X_Anexo_Estado_Notas_Contables_Vinculadas.xlsm" NOTAS_POR_CUENTA!F379C1:F381C6 </w:instrText>
      </w:r>
      <w:r w:rsidR="00AD32EB">
        <w:instrText xml:space="preserve">\a \f 4 \h </w:instrText>
      </w:r>
      <w:r w:rsidR="00AD32EB">
        <w:fldChar w:fldCharType="separate"/>
      </w:r>
    </w:p>
    <w:p w14:paraId="6063F957" w14:textId="13DDF205" w:rsidR="00C572A3" w:rsidRDefault="00AD32EB" w:rsidP="001A48B7">
      <w:pPr>
        <w:spacing w:after="0" w:line="240" w:lineRule="auto"/>
        <w:rPr>
          <w:rFonts w:asciiTheme="minorHAnsi" w:hAnsiTheme="minorHAnsi"/>
          <w:sz w:val="22"/>
        </w:rPr>
      </w:pPr>
      <w:r>
        <w:rPr>
          <w:szCs w:val="24"/>
        </w:rPr>
        <w:fldChar w:fldCharType="end"/>
      </w:r>
      <w:r w:rsidR="00C37C83">
        <w:rPr>
          <w:szCs w:val="24"/>
        </w:rPr>
        <w:fldChar w:fldCharType="begin"/>
      </w:r>
      <w:r w:rsidR="00C37C83">
        <w:rPr>
          <w:szCs w:val="24"/>
        </w:rPr>
        <w:instrText xml:space="preserve"> LINK </w:instrText>
      </w:r>
      <w:r w:rsidR="0068177A">
        <w:rPr>
          <w:szCs w:val="24"/>
        </w:rPr>
        <w:instrText xml:space="preserve">Excel.SheetMacroEnabled.12 "C:\\Users\\arges\\OneDrive\\Desktop\\Municipalidades\\Buenos Aires\\Cierre Junio 2024\\Notas Contables\\15603_T02_2024_Anexo_Estado_Notas_Contables_Vinculadas.xlsm" NOTAS_POR_CUENTA!R379C1:R381C6 </w:instrText>
      </w:r>
      <w:r w:rsidR="00C37C83">
        <w:rPr>
          <w:szCs w:val="24"/>
        </w:rPr>
        <w:instrText xml:space="preserve">\a \f 4 \h </w:instrText>
      </w:r>
      <w:r w:rsidR="00C37C83">
        <w:rPr>
          <w:szCs w:val="24"/>
        </w:rPr>
        <w:fldChar w:fldCharType="separate"/>
      </w:r>
    </w:p>
    <w:tbl>
      <w:tblPr>
        <w:tblW w:w="10080" w:type="dxa"/>
        <w:tblLook w:val="04A0" w:firstRow="1" w:lastRow="0" w:firstColumn="1" w:lastColumn="0" w:noHBand="0" w:noVBand="1"/>
      </w:tblPr>
      <w:tblGrid>
        <w:gridCol w:w="717"/>
        <w:gridCol w:w="3339"/>
        <w:gridCol w:w="544"/>
        <w:gridCol w:w="2200"/>
        <w:gridCol w:w="2200"/>
        <w:gridCol w:w="1080"/>
      </w:tblGrid>
      <w:tr w:rsidR="00C572A3" w:rsidRPr="00C572A3" w14:paraId="4FB3332E" w14:textId="77777777" w:rsidTr="00C572A3">
        <w:trPr>
          <w:divId w:val="141428427"/>
          <w:trHeight w:val="320"/>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3AB8BB0" w14:textId="37F22AE2" w:rsidR="00C572A3" w:rsidRPr="00C572A3" w:rsidRDefault="00C572A3" w:rsidP="00C572A3">
            <w:pP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71A9663"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Descripción</w:t>
            </w:r>
          </w:p>
        </w:tc>
        <w:tc>
          <w:tcPr>
            <w:tcW w:w="5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2081754"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Nota</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B73B04E"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Actual </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03F826C"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Anterior </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1F7B13CC"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Diferencia </w:t>
            </w:r>
          </w:p>
        </w:tc>
      </w:tr>
      <w:tr w:rsidR="00C572A3" w:rsidRPr="00C572A3" w14:paraId="0AA1F870" w14:textId="77777777" w:rsidTr="00C572A3">
        <w:trPr>
          <w:divId w:val="141428427"/>
          <w:trHeight w:val="320"/>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28BF4B2C"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4DB39A32"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14:paraId="7E2F4761"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76D23E8F"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7AB6EA8F"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1080" w:type="dxa"/>
            <w:tcBorders>
              <w:top w:val="nil"/>
              <w:left w:val="nil"/>
              <w:bottom w:val="single" w:sz="8" w:space="0" w:color="auto"/>
              <w:right w:val="single" w:sz="8" w:space="0" w:color="auto"/>
            </w:tcBorders>
            <w:shd w:val="clear" w:color="000000" w:fill="366092"/>
            <w:noWrap/>
            <w:vAlign w:val="center"/>
            <w:hideMark/>
          </w:tcPr>
          <w:p w14:paraId="56515E78" w14:textId="77777777" w:rsidR="00C572A3" w:rsidRPr="00C572A3" w:rsidRDefault="00C572A3" w:rsidP="00C572A3">
            <w:pPr>
              <w:spacing w:after="0" w:line="240" w:lineRule="auto"/>
              <w:jc w:val="center"/>
              <w:rPr>
                <w:rFonts w:eastAsia="Times New Roman" w:cs="Calibri"/>
                <w:color w:val="FFFFFF"/>
                <w:sz w:val="18"/>
                <w:szCs w:val="18"/>
                <w:lang w:val="en-US"/>
              </w:rPr>
            </w:pPr>
            <w:r w:rsidRPr="00C572A3">
              <w:rPr>
                <w:rFonts w:eastAsia="Times New Roman" w:cs="Calibri"/>
                <w:color w:val="FFFFFF"/>
                <w:sz w:val="18"/>
                <w:szCs w:val="18"/>
                <w:lang w:val="en-US"/>
              </w:rPr>
              <w:t>%</w:t>
            </w:r>
          </w:p>
        </w:tc>
      </w:tr>
      <w:tr w:rsidR="00C572A3" w:rsidRPr="00C572A3" w14:paraId="6E6517C8" w14:textId="77777777" w:rsidTr="00C572A3">
        <w:trPr>
          <w:divId w:val="141428427"/>
          <w:trHeight w:val="320"/>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02C4A82C" w14:textId="77777777" w:rsidR="00C572A3" w:rsidRPr="00C572A3" w:rsidRDefault="00C572A3" w:rsidP="00C572A3">
            <w:pPr>
              <w:spacing w:after="0" w:line="240" w:lineRule="auto"/>
              <w:jc w:val="left"/>
              <w:rPr>
                <w:rFonts w:eastAsia="Times New Roman" w:cs="Calibri"/>
                <w:b/>
                <w:bCs/>
                <w:color w:val="000000"/>
                <w:sz w:val="18"/>
                <w:szCs w:val="18"/>
                <w:lang w:val="en-US"/>
              </w:rPr>
            </w:pPr>
            <w:r w:rsidRPr="00C572A3">
              <w:rPr>
                <w:rFonts w:eastAsia="Times New Roman" w:cs="Calibri"/>
                <w:b/>
                <w:bCs/>
                <w:color w:val="000000"/>
                <w:sz w:val="18"/>
                <w:szCs w:val="18"/>
                <w:lang w:val="en-US"/>
              </w:rPr>
              <w:t>5.1.8.</w:t>
            </w:r>
          </w:p>
        </w:tc>
        <w:tc>
          <w:tcPr>
            <w:tcW w:w="3380" w:type="dxa"/>
            <w:tcBorders>
              <w:top w:val="nil"/>
              <w:left w:val="nil"/>
              <w:bottom w:val="single" w:sz="8" w:space="0" w:color="auto"/>
              <w:right w:val="single" w:sz="8" w:space="0" w:color="auto"/>
            </w:tcBorders>
            <w:shd w:val="clear" w:color="auto" w:fill="auto"/>
            <w:vAlign w:val="center"/>
            <w:hideMark/>
          </w:tcPr>
          <w:p w14:paraId="4D745E66" w14:textId="77777777" w:rsidR="00C572A3" w:rsidRPr="00C572A3" w:rsidRDefault="00C572A3" w:rsidP="00C572A3">
            <w:pPr>
              <w:spacing w:after="0" w:line="240" w:lineRule="auto"/>
              <w:rPr>
                <w:rFonts w:eastAsia="Times New Roman" w:cs="Calibri"/>
                <w:b/>
                <w:bCs/>
                <w:color w:val="000000"/>
                <w:sz w:val="18"/>
                <w:szCs w:val="18"/>
              </w:rPr>
            </w:pPr>
            <w:r w:rsidRPr="00C572A3">
              <w:rPr>
                <w:rFonts w:eastAsia="Times New Roman" w:cs="Calibri"/>
                <w:b/>
                <w:bCs/>
                <w:color w:val="000000"/>
                <w:sz w:val="18"/>
                <w:szCs w:val="18"/>
              </w:rPr>
              <w:t>Cargos por provisiones y reservas técnicas</w:t>
            </w:r>
          </w:p>
        </w:tc>
        <w:tc>
          <w:tcPr>
            <w:tcW w:w="520" w:type="dxa"/>
            <w:tcBorders>
              <w:top w:val="nil"/>
              <w:left w:val="nil"/>
              <w:bottom w:val="single" w:sz="8" w:space="0" w:color="auto"/>
              <w:right w:val="single" w:sz="8" w:space="0" w:color="auto"/>
            </w:tcBorders>
            <w:shd w:val="clear" w:color="auto" w:fill="auto"/>
            <w:noWrap/>
            <w:vAlign w:val="center"/>
            <w:hideMark/>
          </w:tcPr>
          <w:p w14:paraId="045654AA"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66</w:t>
            </w:r>
          </w:p>
        </w:tc>
        <w:tc>
          <w:tcPr>
            <w:tcW w:w="2200" w:type="dxa"/>
            <w:tcBorders>
              <w:top w:val="nil"/>
              <w:left w:val="nil"/>
              <w:bottom w:val="single" w:sz="8" w:space="0" w:color="auto"/>
              <w:right w:val="single" w:sz="8" w:space="0" w:color="auto"/>
            </w:tcBorders>
            <w:shd w:val="clear" w:color="auto" w:fill="auto"/>
            <w:noWrap/>
            <w:vAlign w:val="center"/>
            <w:hideMark/>
          </w:tcPr>
          <w:p w14:paraId="7EFAAD8F"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   </w:t>
            </w:r>
          </w:p>
        </w:tc>
        <w:tc>
          <w:tcPr>
            <w:tcW w:w="2200" w:type="dxa"/>
            <w:tcBorders>
              <w:top w:val="nil"/>
              <w:left w:val="nil"/>
              <w:bottom w:val="single" w:sz="8" w:space="0" w:color="auto"/>
              <w:right w:val="single" w:sz="8" w:space="0" w:color="auto"/>
            </w:tcBorders>
            <w:shd w:val="clear" w:color="auto" w:fill="auto"/>
            <w:noWrap/>
            <w:vAlign w:val="center"/>
            <w:hideMark/>
          </w:tcPr>
          <w:p w14:paraId="71E142CE"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181,50 </w:t>
            </w:r>
          </w:p>
        </w:tc>
        <w:tc>
          <w:tcPr>
            <w:tcW w:w="1080" w:type="dxa"/>
            <w:tcBorders>
              <w:top w:val="nil"/>
              <w:left w:val="nil"/>
              <w:bottom w:val="single" w:sz="8" w:space="0" w:color="auto"/>
              <w:right w:val="single" w:sz="8" w:space="0" w:color="auto"/>
            </w:tcBorders>
            <w:shd w:val="clear" w:color="auto" w:fill="auto"/>
            <w:noWrap/>
            <w:vAlign w:val="center"/>
            <w:hideMark/>
          </w:tcPr>
          <w:p w14:paraId="69CCBC6A"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-100,00%</w:t>
            </w:r>
          </w:p>
        </w:tc>
      </w:tr>
    </w:tbl>
    <w:p w14:paraId="4FE787D6" w14:textId="20FBF6B8" w:rsidR="00AB122F" w:rsidRDefault="00C37C83" w:rsidP="00095223">
      <w:pPr>
        <w:spacing w:before="120" w:after="120" w:line="240" w:lineRule="auto"/>
        <w:rPr>
          <w:szCs w:val="24"/>
        </w:rPr>
      </w:pPr>
      <w:r>
        <w:rPr>
          <w:szCs w:val="24"/>
        </w:rPr>
        <w:fldChar w:fldCharType="end"/>
      </w:r>
    </w:p>
    <w:p w14:paraId="6D998F0B" w14:textId="77777777" w:rsidR="00095223" w:rsidRDefault="00692DC8" w:rsidP="00095223">
      <w:pPr>
        <w:spacing w:after="0" w:line="240" w:lineRule="auto"/>
        <w:rPr>
          <w:szCs w:val="24"/>
        </w:rPr>
      </w:pPr>
      <w:r w:rsidRPr="00692DC8">
        <w:rPr>
          <w:szCs w:val="24"/>
        </w:rPr>
        <w:t>Detalle cuenta:</w:t>
      </w:r>
    </w:p>
    <w:p w14:paraId="09DB937E" w14:textId="77777777" w:rsidR="00C37C83" w:rsidRDefault="00C37C83" w:rsidP="00095223">
      <w:pPr>
        <w:spacing w:after="0" w:line="240" w:lineRule="auto"/>
        <w:rPr>
          <w:szCs w:val="24"/>
        </w:rPr>
      </w:pPr>
    </w:p>
    <w:p w14:paraId="3641C7ED" w14:textId="0223EBC9" w:rsidR="00C572A3" w:rsidRDefault="00C37C83" w:rsidP="00C37C83">
      <w:pPr>
        <w:spacing w:after="0" w:line="240" w:lineRule="auto"/>
        <w:rPr>
          <w:rFonts w:asciiTheme="minorHAnsi" w:hAnsiTheme="minorHAnsi"/>
          <w:sz w:val="22"/>
        </w:rPr>
      </w:pPr>
      <w:r>
        <w:fldChar w:fldCharType="begin"/>
      </w:r>
      <w:r>
        <w:instrText xml:space="preserve"> LINK </w:instrText>
      </w:r>
      <w:r w:rsidR="0068177A">
        <w:instrText xml:space="preserve">Excel.SheetMacroEnabled.12 "C:\\Users\\arges\\OneDrive\\Desktop\\Municipalidades\\Buenos Aires\\Cierre Junio 2024\\Notas Contables\\15603_T02_2024_Anexo_Estado_Notas_Contables_Vinculadas.xlsm" NOTAS_POR_CUENTA!R383C1:R385C6 </w:instrText>
      </w:r>
      <w:r>
        <w:instrText xml:space="preserve">\a \f 4 \h </w:instrText>
      </w:r>
      <w:r>
        <w:fldChar w:fldCharType="separate"/>
      </w:r>
    </w:p>
    <w:tbl>
      <w:tblPr>
        <w:tblW w:w="10080" w:type="dxa"/>
        <w:tblLook w:val="04A0" w:firstRow="1" w:lastRow="0" w:firstColumn="1" w:lastColumn="0" w:noHBand="0" w:noVBand="1"/>
      </w:tblPr>
      <w:tblGrid>
        <w:gridCol w:w="791"/>
        <w:gridCol w:w="3265"/>
        <w:gridCol w:w="544"/>
        <w:gridCol w:w="2200"/>
        <w:gridCol w:w="2200"/>
        <w:gridCol w:w="1080"/>
      </w:tblGrid>
      <w:tr w:rsidR="00C572A3" w:rsidRPr="00C572A3" w14:paraId="3806FCFF" w14:textId="77777777" w:rsidTr="00C572A3">
        <w:trPr>
          <w:divId w:val="18240168"/>
          <w:trHeight w:val="320"/>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B717690" w14:textId="513D430A" w:rsidR="00C572A3" w:rsidRPr="00C572A3" w:rsidRDefault="00C572A3" w:rsidP="00C572A3">
            <w:pPr>
              <w:spacing w:after="0" w:line="240" w:lineRule="auto"/>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ADE2CE9"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Descripción</w:t>
            </w:r>
          </w:p>
        </w:tc>
        <w:tc>
          <w:tcPr>
            <w:tcW w:w="5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86D9BC4"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Nota</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FFDA616"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Actual </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0D98BCF"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Anterior </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74D55ABD"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Diferencia </w:t>
            </w:r>
          </w:p>
        </w:tc>
      </w:tr>
      <w:tr w:rsidR="00C572A3" w:rsidRPr="00C572A3" w14:paraId="2A8108A8" w14:textId="77777777" w:rsidTr="00C572A3">
        <w:trPr>
          <w:divId w:val="18240168"/>
          <w:trHeight w:val="320"/>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7F2491AF"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38F5D89E"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14:paraId="4A83EA8F"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41CA3C87"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0680D2F3"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1080" w:type="dxa"/>
            <w:tcBorders>
              <w:top w:val="nil"/>
              <w:left w:val="nil"/>
              <w:bottom w:val="single" w:sz="8" w:space="0" w:color="auto"/>
              <w:right w:val="single" w:sz="8" w:space="0" w:color="auto"/>
            </w:tcBorders>
            <w:shd w:val="clear" w:color="000000" w:fill="366092"/>
            <w:noWrap/>
            <w:vAlign w:val="center"/>
            <w:hideMark/>
          </w:tcPr>
          <w:p w14:paraId="172967D5" w14:textId="77777777" w:rsidR="00C572A3" w:rsidRPr="00C572A3" w:rsidRDefault="00C572A3" w:rsidP="00C572A3">
            <w:pPr>
              <w:spacing w:after="0" w:line="240" w:lineRule="auto"/>
              <w:jc w:val="center"/>
              <w:rPr>
                <w:rFonts w:eastAsia="Times New Roman" w:cs="Calibri"/>
                <w:color w:val="FFFFFF"/>
                <w:sz w:val="18"/>
                <w:szCs w:val="18"/>
                <w:lang w:val="en-US"/>
              </w:rPr>
            </w:pPr>
            <w:r w:rsidRPr="00C572A3">
              <w:rPr>
                <w:rFonts w:eastAsia="Times New Roman" w:cs="Calibri"/>
                <w:color w:val="FFFFFF"/>
                <w:sz w:val="18"/>
                <w:szCs w:val="18"/>
                <w:lang w:val="en-US"/>
              </w:rPr>
              <w:t>%</w:t>
            </w:r>
          </w:p>
        </w:tc>
      </w:tr>
      <w:tr w:rsidR="00C572A3" w:rsidRPr="00C572A3" w14:paraId="7815C299" w14:textId="77777777" w:rsidTr="00C572A3">
        <w:trPr>
          <w:divId w:val="18240168"/>
          <w:trHeight w:val="320"/>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3335EA4D" w14:textId="77777777" w:rsidR="00C572A3" w:rsidRPr="00C572A3" w:rsidRDefault="00C572A3" w:rsidP="00C572A3">
            <w:pPr>
              <w:spacing w:after="0" w:line="240" w:lineRule="auto"/>
              <w:jc w:val="left"/>
              <w:rPr>
                <w:rFonts w:eastAsia="Times New Roman" w:cs="Calibri"/>
                <w:b/>
                <w:bCs/>
                <w:color w:val="000000"/>
                <w:sz w:val="18"/>
                <w:szCs w:val="18"/>
                <w:lang w:val="en-US"/>
              </w:rPr>
            </w:pPr>
            <w:r w:rsidRPr="00C572A3">
              <w:rPr>
                <w:rFonts w:eastAsia="Times New Roman" w:cs="Calibri"/>
                <w:b/>
                <w:bCs/>
                <w:color w:val="000000"/>
                <w:sz w:val="18"/>
                <w:szCs w:val="18"/>
                <w:lang w:val="en-US"/>
              </w:rPr>
              <w:t>5.1.8.01.</w:t>
            </w:r>
          </w:p>
        </w:tc>
        <w:tc>
          <w:tcPr>
            <w:tcW w:w="3380" w:type="dxa"/>
            <w:tcBorders>
              <w:top w:val="nil"/>
              <w:left w:val="nil"/>
              <w:bottom w:val="single" w:sz="8" w:space="0" w:color="auto"/>
              <w:right w:val="single" w:sz="8" w:space="0" w:color="auto"/>
            </w:tcBorders>
            <w:shd w:val="clear" w:color="auto" w:fill="auto"/>
            <w:vAlign w:val="center"/>
            <w:hideMark/>
          </w:tcPr>
          <w:p w14:paraId="366A5A93" w14:textId="77777777" w:rsidR="00C572A3" w:rsidRPr="00C572A3" w:rsidRDefault="00C572A3" w:rsidP="00C572A3">
            <w:pPr>
              <w:spacing w:after="0" w:line="240" w:lineRule="auto"/>
              <w:rPr>
                <w:rFonts w:eastAsia="Times New Roman" w:cs="Calibri"/>
                <w:b/>
                <w:bCs/>
                <w:color w:val="000000"/>
                <w:sz w:val="18"/>
                <w:szCs w:val="18"/>
              </w:rPr>
            </w:pPr>
            <w:r w:rsidRPr="00C572A3">
              <w:rPr>
                <w:rFonts w:eastAsia="Times New Roman" w:cs="Calibri"/>
                <w:b/>
                <w:bCs/>
                <w:color w:val="000000"/>
                <w:sz w:val="18"/>
                <w:szCs w:val="18"/>
              </w:rPr>
              <w:t>Cargos por litigios y demandas</w:t>
            </w:r>
          </w:p>
        </w:tc>
        <w:tc>
          <w:tcPr>
            <w:tcW w:w="520" w:type="dxa"/>
            <w:tcBorders>
              <w:top w:val="nil"/>
              <w:left w:val="nil"/>
              <w:bottom w:val="single" w:sz="8" w:space="0" w:color="auto"/>
              <w:right w:val="single" w:sz="8" w:space="0" w:color="auto"/>
            </w:tcBorders>
            <w:shd w:val="clear" w:color="auto" w:fill="auto"/>
            <w:noWrap/>
            <w:vAlign w:val="center"/>
            <w:hideMark/>
          </w:tcPr>
          <w:p w14:paraId="292181A3"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66</w:t>
            </w:r>
          </w:p>
        </w:tc>
        <w:tc>
          <w:tcPr>
            <w:tcW w:w="2200" w:type="dxa"/>
            <w:tcBorders>
              <w:top w:val="nil"/>
              <w:left w:val="nil"/>
              <w:bottom w:val="single" w:sz="8" w:space="0" w:color="auto"/>
              <w:right w:val="single" w:sz="8" w:space="0" w:color="auto"/>
            </w:tcBorders>
            <w:shd w:val="clear" w:color="auto" w:fill="auto"/>
            <w:noWrap/>
            <w:vAlign w:val="center"/>
            <w:hideMark/>
          </w:tcPr>
          <w:p w14:paraId="05770197"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   </w:t>
            </w:r>
          </w:p>
        </w:tc>
        <w:tc>
          <w:tcPr>
            <w:tcW w:w="2200" w:type="dxa"/>
            <w:tcBorders>
              <w:top w:val="nil"/>
              <w:left w:val="nil"/>
              <w:bottom w:val="single" w:sz="8" w:space="0" w:color="auto"/>
              <w:right w:val="single" w:sz="8" w:space="0" w:color="auto"/>
            </w:tcBorders>
            <w:shd w:val="clear" w:color="auto" w:fill="auto"/>
            <w:noWrap/>
            <w:vAlign w:val="center"/>
            <w:hideMark/>
          </w:tcPr>
          <w:p w14:paraId="4184BA3F"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181,50 </w:t>
            </w:r>
          </w:p>
        </w:tc>
        <w:tc>
          <w:tcPr>
            <w:tcW w:w="1080" w:type="dxa"/>
            <w:tcBorders>
              <w:top w:val="nil"/>
              <w:left w:val="nil"/>
              <w:bottom w:val="single" w:sz="8" w:space="0" w:color="auto"/>
              <w:right w:val="single" w:sz="8" w:space="0" w:color="auto"/>
            </w:tcBorders>
            <w:shd w:val="clear" w:color="auto" w:fill="auto"/>
            <w:noWrap/>
            <w:vAlign w:val="center"/>
            <w:hideMark/>
          </w:tcPr>
          <w:p w14:paraId="1BE9EC2A"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-100,00%</w:t>
            </w:r>
          </w:p>
        </w:tc>
      </w:tr>
    </w:tbl>
    <w:p w14:paraId="5FE3E68D" w14:textId="4F96F59D" w:rsidR="00C37C83" w:rsidRPr="00C37C83" w:rsidRDefault="00C37C83" w:rsidP="00C37C83">
      <w:pPr>
        <w:spacing w:after="0" w:line="240" w:lineRule="auto"/>
        <w:rPr>
          <w:szCs w:val="24"/>
        </w:rPr>
      </w:pPr>
      <w:r>
        <w:rPr>
          <w:szCs w:val="24"/>
        </w:rPr>
        <w:fldChar w:fldCharType="end"/>
      </w:r>
    </w:p>
    <w:p w14:paraId="69362A4C" w14:textId="5662E1B3" w:rsidR="00692DC8" w:rsidRPr="00692DC8" w:rsidRDefault="00692DC8" w:rsidP="00B21D69">
      <w:r w:rsidRPr="00692DC8">
        <w:t>Indicar el detalle de cómo está compuesta la cuenta:</w:t>
      </w:r>
    </w:p>
    <w:p w14:paraId="7AE7CBEB" w14:textId="17487629" w:rsidR="00692DC8" w:rsidRPr="00B21D69" w:rsidRDefault="00692DC8" w:rsidP="00B21D69">
      <w:pPr>
        <w:rPr>
          <w:rFonts w:eastAsia="Times New Roman"/>
          <w:lang w:eastAsia="es-CR"/>
        </w:rPr>
      </w:pPr>
      <w:r w:rsidRPr="00692DC8">
        <w:rPr>
          <w:rFonts w:eastAsia="Times New Roman"/>
          <w:lang w:eastAsia="es-CR"/>
        </w:rPr>
        <w:t>________________________________________________________________________________________________________________________________________________________________________________________________________________________________________________</w:t>
      </w:r>
    </w:p>
    <w:p w14:paraId="30E716F9" w14:textId="77777777" w:rsidR="00694299" w:rsidRPr="00694299" w:rsidRDefault="00692DC8" w:rsidP="00AD32EB">
      <w:pPr>
        <w:rPr>
          <w:sz w:val="20"/>
          <w:szCs w:val="20"/>
          <w:lang w:eastAsia="es-CR"/>
        </w:rPr>
      </w:pPr>
      <w:r w:rsidRPr="00692DC8">
        <w:rPr>
          <w:b/>
          <w:bCs/>
          <w:lang w:val="es-ES"/>
        </w:rPr>
        <w:t>Revelación</w:t>
      </w:r>
      <w:r w:rsidRPr="00692DC8">
        <w:rPr>
          <w:lang w:val="es-ES"/>
        </w:rPr>
        <w:t xml:space="preserve">: </w:t>
      </w:r>
      <w:r w:rsidR="00AD32EB">
        <w:rPr>
          <w:rFonts w:eastAsia="Times New Roman" w:cs="Calibri"/>
          <w:color w:val="000000"/>
          <w:lang w:eastAsia="es-CR"/>
        </w:rPr>
        <w:fldChar w:fldCharType="begin"/>
      </w:r>
      <w:r w:rsidR="00AD32EB">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NOTAS_POR_CUENTA!F381C8 </w:instrText>
      </w:r>
      <w:r w:rsidR="00AD32EB">
        <w:rPr>
          <w:rFonts w:eastAsia="Times New Roman" w:cs="Calibri"/>
          <w:color w:val="000000"/>
          <w:lang w:eastAsia="es-CR"/>
        </w:rPr>
        <w:instrText xml:space="preserve">\a \f 5 \h  \* MERGEFORMAT </w:instrText>
      </w:r>
      <w:r w:rsidR="00AD32EB">
        <w:rPr>
          <w:rFonts w:eastAsia="Times New Roman" w:cs="Calibri"/>
          <w:color w:val="000000"/>
          <w:lang w:eastAsia="es-CR"/>
        </w:rPr>
        <w:fldChar w:fldCharType="separate"/>
      </w:r>
    </w:p>
    <w:p w14:paraId="26B4FE61" w14:textId="2FC42F5D" w:rsidR="00694299" w:rsidRPr="00694299" w:rsidRDefault="00694299" w:rsidP="00C37C83">
      <w:pPr>
        <w:spacing w:line="240" w:lineRule="auto"/>
        <w:rPr>
          <w:rFonts w:eastAsia="Times New Roman" w:cs="Calibri"/>
          <w:color w:val="000000"/>
          <w:lang w:eastAsia="es-CR"/>
        </w:rPr>
      </w:pPr>
      <w:r w:rsidRPr="00694299">
        <w:rPr>
          <w:rFonts w:eastAsia="Times New Roman" w:cs="Calibri"/>
          <w:color w:val="000000"/>
          <w:lang w:eastAsia="es-CR"/>
        </w:rPr>
        <w:t xml:space="preserve">La cuenta Cargos por provisiones y reservas técnicas, representa el 0,00% del total del Gastos, que comparado al periodo anterior genera una variación absoluta de </w:t>
      </w:r>
      <w:r w:rsidR="00C37C83" w:rsidRPr="00C37C83">
        <w:rPr>
          <w:rFonts w:eastAsia="Times New Roman" w:cs="Calibri"/>
          <w:color w:val="000000"/>
          <w:lang w:eastAsia="es-CR"/>
        </w:rPr>
        <w:t>-181,50</w:t>
      </w:r>
      <w:r w:rsidRPr="00694299">
        <w:rPr>
          <w:rFonts w:eastAsia="Times New Roman" w:cs="Calibri"/>
          <w:color w:val="000000"/>
          <w:lang w:eastAsia="es-CR"/>
        </w:rPr>
        <w:t xml:space="preserve"> que corresponde a un Aumento del </w:t>
      </w:r>
      <w:r w:rsidR="00C37C83">
        <w:rPr>
          <w:rFonts w:eastAsia="Times New Roman" w:cs="Calibri"/>
          <w:color w:val="000000"/>
          <w:lang w:eastAsia="es-CR"/>
        </w:rPr>
        <w:t>-10</w:t>
      </w:r>
      <w:r w:rsidRPr="00694299">
        <w:rPr>
          <w:rFonts w:eastAsia="Times New Roman" w:cs="Calibri"/>
          <w:color w:val="000000"/>
          <w:lang w:eastAsia="es-CR"/>
        </w:rPr>
        <w:t>0,00% de recursos disponibles.</w:t>
      </w:r>
    </w:p>
    <w:p w14:paraId="61335EAC" w14:textId="09D02F09" w:rsidR="00692DC8" w:rsidRDefault="00AD32EB" w:rsidP="00C37C83">
      <w:pPr>
        <w:spacing w:line="240" w:lineRule="auto"/>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AC3CC9F" w14:textId="77777777" w:rsidR="00692DC8" w:rsidRPr="00692DC8" w:rsidRDefault="00692DC8" w:rsidP="00E3707A"/>
    <w:p w14:paraId="18FE49DC" w14:textId="3EFFC68C" w:rsidR="00692DC8" w:rsidRPr="00692DC8" w:rsidRDefault="00692DC8" w:rsidP="00E3707A">
      <w:pPr>
        <w:pStyle w:val="Ttulo3"/>
        <w:spacing w:after="240"/>
        <w:rPr>
          <w:rFonts w:eastAsia="Calibri"/>
          <w:lang w:eastAsia="es-CR"/>
        </w:rPr>
      </w:pPr>
      <w:bookmarkStart w:id="922" w:name="_Toc82769049"/>
      <w:bookmarkStart w:id="923" w:name="_Toc173245308"/>
      <w:r w:rsidRPr="00692DC8">
        <w:rPr>
          <w:rFonts w:eastAsia="Calibri"/>
          <w:lang w:eastAsia="es-CR"/>
        </w:rPr>
        <w:t>5.2 GASTOS FINANCIEROS</w:t>
      </w:r>
      <w:bookmarkEnd w:id="922"/>
      <w:bookmarkEnd w:id="923"/>
    </w:p>
    <w:p w14:paraId="6E644440" w14:textId="77777777" w:rsidR="00692DC8" w:rsidRPr="00692DC8" w:rsidRDefault="00692DC8" w:rsidP="00B21D69">
      <w:pPr>
        <w:pStyle w:val="Ttulo4"/>
        <w:spacing w:after="240"/>
        <w:rPr>
          <w:rFonts w:eastAsia="Times New Roman"/>
        </w:rPr>
      </w:pPr>
      <w:bookmarkStart w:id="924" w:name="_Toc14344957"/>
      <w:bookmarkStart w:id="925" w:name="_Toc33601331"/>
      <w:bookmarkStart w:id="926" w:name="_Toc82769050"/>
      <w:bookmarkStart w:id="927" w:name="_Toc173245309"/>
      <w:r w:rsidRPr="00692DC8">
        <w:rPr>
          <w:rFonts w:eastAsia="Times New Roman"/>
        </w:rPr>
        <w:t>NOTA N° 6</w:t>
      </w:r>
      <w:bookmarkEnd w:id="924"/>
      <w:bookmarkEnd w:id="925"/>
      <w:bookmarkEnd w:id="926"/>
      <w:r w:rsidRPr="00692DC8">
        <w:rPr>
          <w:rFonts w:eastAsia="Times New Roman"/>
        </w:rPr>
        <w:t>7</w:t>
      </w:r>
      <w:bookmarkEnd w:id="927"/>
    </w:p>
    <w:p w14:paraId="0684E423" w14:textId="77777777" w:rsidR="00694299" w:rsidRDefault="00692DC8" w:rsidP="00323752">
      <w:pPr>
        <w:spacing w:before="240"/>
        <w:rPr>
          <w:rFonts w:asciiTheme="minorHAnsi" w:hAnsiTheme="minorHAnsi"/>
          <w:sz w:val="22"/>
        </w:rPr>
      </w:pPr>
      <w:bookmarkStart w:id="928" w:name="_Toc14344958"/>
      <w:bookmarkStart w:id="929" w:name="_Toc33601332"/>
      <w:bookmarkStart w:id="930" w:name="_Toc82769051"/>
      <w:r w:rsidRPr="00692DC8">
        <w:rPr>
          <w:rFonts w:eastAsia="Times New Roman"/>
        </w:rPr>
        <w:t>Intereses sobre endeudamiento público</w:t>
      </w:r>
      <w:bookmarkStart w:id="931" w:name="_Toc14344963"/>
      <w:bookmarkEnd w:id="928"/>
      <w:bookmarkEnd w:id="929"/>
      <w:bookmarkEnd w:id="930"/>
      <w:r w:rsidR="00AD32EB">
        <w:rPr>
          <w:rFonts w:eastAsiaTheme="majorEastAsia" w:cstheme="majorBidi"/>
          <w:iCs/>
          <w:lang w:val="es-ES"/>
        </w:rPr>
        <w:fldChar w:fldCharType="begin"/>
      </w:r>
      <w:r w:rsidR="00AD32EB">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NOTAS_POR_CUENTA!F387C1:F389C6 </w:instrText>
      </w:r>
      <w:r w:rsidR="00AD32EB">
        <w:rPr>
          <w:lang w:val="es-ES"/>
        </w:rPr>
        <w:instrText xml:space="preserve">\a \f 4 \h </w:instrText>
      </w:r>
      <w:r w:rsidR="00AD32EB">
        <w:rPr>
          <w:b/>
          <w:lang w:val="es-ES"/>
        </w:rPr>
        <w:fldChar w:fldCharType="separate"/>
      </w:r>
    </w:p>
    <w:p w14:paraId="773817F0" w14:textId="32017939" w:rsidR="00C572A3" w:rsidRDefault="00AD32EB" w:rsidP="00095223">
      <w:pPr>
        <w:spacing w:after="0" w:line="240" w:lineRule="auto"/>
        <w:rPr>
          <w:rFonts w:asciiTheme="minorHAnsi" w:hAnsiTheme="minorHAnsi"/>
          <w:sz w:val="22"/>
        </w:rPr>
      </w:pPr>
      <w:r>
        <w:rPr>
          <w:b/>
          <w:bCs/>
          <w:lang w:val="es-ES"/>
        </w:rPr>
        <w:fldChar w:fldCharType="end"/>
      </w:r>
      <w:r w:rsidR="00095223">
        <w:rPr>
          <w:b/>
          <w:bCs/>
          <w:lang w:val="es-ES"/>
        </w:rPr>
        <w:fldChar w:fldCharType="begin"/>
      </w:r>
      <w:r w:rsidR="00095223">
        <w:rPr>
          <w:b/>
          <w:bCs/>
          <w:lang w:val="es-ES"/>
        </w:rPr>
        <w:instrText xml:space="preserve"> LINK </w:instrText>
      </w:r>
      <w:r w:rsidR="0068177A">
        <w:rPr>
          <w:b/>
          <w:bCs/>
          <w:lang w:val="es-ES"/>
        </w:rPr>
        <w:instrText xml:space="preserve">Excel.SheetMacroEnabled.12 "C:\\Users\\arges\\OneDrive\\Desktop\\Municipalidades\\Buenos Aires\\Cierre Junio 2024\\Notas Contables\\15603_T02_2024_Anexo_Estado_Notas_Contables_Vinculadas.xlsm" NOTAS_POR_CUENTA!R387C1:R389C6 </w:instrText>
      </w:r>
      <w:r w:rsidR="00095223">
        <w:rPr>
          <w:b/>
          <w:bCs/>
          <w:lang w:val="es-ES"/>
        </w:rPr>
        <w:instrText xml:space="preserve">\a \f 4 \h </w:instrText>
      </w:r>
      <w:r w:rsidR="00095223">
        <w:rPr>
          <w:b/>
          <w:bCs/>
          <w:lang w:val="es-ES"/>
        </w:rPr>
        <w:fldChar w:fldCharType="separate"/>
      </w:r>
    </w:p>
    <w:tbl>
      <w:tblPr>
        <w:tblW w:w="10080" w:type="dxa"/>
        <w:tblLook w:val="04A0" w:firstRow="1" w:lastRow="0" w:firstColumn="1" w:lastColumn="0" w:noHBand="0" w:noVBand="1"/>
      </w:tblPr>
      <w:tblGrid>
        <w:gridCol w:w="717"/>
        <w:gridCol w:w="3339"/>
        <w:gridCol w:w="544"/>
        <w:gridCol w:w="2200"/>
        <w:gridCol w:w="2200"/>
        <w:gridCol w:w="1080"/>
      </w:tblGrid>
      <w:tr w:rsidR="00C572A3" w:rsidRPr="00C572A3" w14:paraId="1E4779DC" w14:textId="77777777" w:rsidTr="00C572A3">
        <w:trPr>
          <w:divId w:val="1603103999"/>
          <w:trHeight w:val="320"/>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BFFF955" w14:textId="44E3EE41" w:rsidR="00C572A3" w:rsidRPr="00C572A3" w:rsidRDefault="00C572A3" w:rsidP="00C572A3">
            <w:pP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60D0F51"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Descripción</w:t>
            </w:r>
          </w:p>
        </w:tc>
        <w:tc>
          <w:tcPr>
            <w:tcW w:w="5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E115D50"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Nota</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B357318"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Actual </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C8D3FED"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Anterior </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31DA49A1"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Diferencia </w:t>
            </w:r>
          </w:p>
        </w:tc>
      </w:tr>
      <w:tr w:rsidR="00C572A3" w:rsidRPr="00C572A3" w14:paraId="1CA03BEA" w14:textId="77777777" w:rsidTr="00C572A3">
        <w:trPr>
          <w:divId w:val="1603103999"/>
          <w:trHeight w:val="320"/>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371AB4A1"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169057D0"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14:paraId="3A857971"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2D90A457"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20FD719A"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1080" w:type="dxa"/>
            <w:tcBorders>
              <w:top w:val="nil"/>
              <w:left w:val="nil"/>
              <w:bottom w:val="single" w:sz="8" w:space="0" w:color="auto"/>
              <w:right w:val="single" w:sz="8" w:space="0" w:color="auto"/>
            </w:tcBorders>
            <w:shd w:val="clear" w:color="000000" w:fill="366092"/>
            <w:noWrap/>
            <w:vAlign w:val="center"/>
            <w:hideMark/>
          </w:tcPr>
          <w:p w14:paraId="35FBEC2D" w14:textId="77777777" w:rsidR="00C572A3" w:rsidRPr="00C572A3" w:rsidRDefault="00C572A3" w:rsidP="00C572A3">
            <w:pPr>
              <w:spacing w:after="0" w:line="240" w:lineRule="auto"/>
              <w:jc w:val="center"/>
              <w:rPr>
                <w:rFonts w:eastAsia="Times New Roman" w:cs="Calibri"/>
                <w:color w:val="FFFFFF"/>
                <w:sz w:val="18"/>
                <w:szCs w:val="18"/>
                <w:lang w:val="en-US"/>
              </w:rPr>
            </w:pPr>
            <w:r w:rsidRPr="00C572A3">
              <w:rPr>
                <w:rFonts w:eastAsia="Times New Roman" w:cs="Calibri"/>
                <w:color w:val="FFFFFF"/>
                <w:sz w:val="18"/>
                <w:szCs w:val="18"/>
                <w:lang w:val="en-US"/>
              </w:rPr>
              <w:t>%</w:t>
            </w:r>
          </w:p>
        </w:tc>
      </w:tr>
      <w:tr w:rsidR="00C572A3" w:rsidRPr="00C572A3" w14:paraId="753B0A41" w14:textId="77777777" w:rsidTr="00C572A3">
        <w:trPr>
          <w:divId w:val="1603103999"/>
          <w:trHeight w:val="320"/>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4A273103" w14:textId="77777777" w:rsidR="00C572A3" w:rsidRPr="00C572A3" w:rsidRDefault="00C572A3" w:rsidP="00C572A3">
            <w:pPr>
              <w:spacing w:after="0" w:line="240" w:lineRule="auto"/>
              <w:jc w:val="left"/>
              <w:rPr>
                <w:rFonts w:eastAsia="Times New Roman" w:cs="Calibri"/>
                <w:b/>
                <w:bCs/>
                <w:color w:val="000000"/>
                <w:sz w:val="18"/>
                <w:szCs w:val="18"/>
                <w:lang w:val="en-US"/>
              </w:rPr>
            </w:pPr>
            <w:r w:rsidRPr="00C572A3">
              <w:rPr>
                <w:rFonts w:eastAsia="Times New Roman" w:cs="Calibri"/>
                <w:b/>
                <w:bCs/>
                <w:color w:val="000000"/>
                <w:sz w:val="18"/>
                <w:szCs w:val="18"/>
                <w:lang w:val="en-US"/>
              </w:rPr>
              <w:t>5.2.1.</w:t>
            </w:r>
          </w:p>
        </w:tc>
        <w:tc>
          <w:tcPr>
            <w:tcW w:w="3380" w:type="dxa"/>
            <w:tcBorders>
              <w:top w:val="nil"/>
              <w:left w:val="nil"/>
              <w:bottom w:val="single" w:sz="8" w:space="0" w:color="auto"/>
              <w:right w:val="single" w:sz="8" w:space="0" w:color="auto"/>
            </w:tcBorders>
            <w:shd w:val="clear" w:color="auto" w:fill="auto"/>
            <w:vAlign w:val="center"/>
            <w:hideMark/>
          </w:tcPr>
          <w:p w14:paraId="5C9011FC" w14:textId="77777777" w:rsidR="00C572A3" w:rsidRPr="00C572A3" w:rsidRDefault="00C572A3" w:rsidP="00C572A3">
            <w:pPr>
              <w:spacing w:after="0" w:line="240" w:lineRule="auto"/>
              <w:rPr>
                <w:rFonts w:eastAsia="Times New Roman" w:cs="Calibri"/>
                <w:b/>
                <w:bCs/>
                <w:color w:val="000000"/>
                <w:sz w:val="18"/>
                <w:szCs w:val="18"/>
                <w:lang w:val="en-US"/>
              </w:rPr>
            </w:pPr>
            <w:r w:rsidRPr="00C572A3">
              <w:rPr>
                <w:rFonts w:eastAsia="Times New Roman" w:cs="Calibri"/>
                <w:b/>
                <w:bCs/>
                <w:color w:val="000000"/>
                <w:sz w:val="18"/>
                <w:szCs w:val="18"/>
                <w:lang w:val="en-US"/>
              </w:rPr>
              <w:t>Intereses sobre endeudamiento público</w:t>
            </w:r>
          </w:p>
        </w:tc>
        <w:tc>
          <w:tcPr>
            <w:tcW w:w="520" w:type="dxa"/>
            <w:tcBorders>
              <w:top w:val="nil"/>
              <w:left w:val="nil"/>
              <w:bottom w:val="single" w:sz="8" w:space="0" w:color="auto"/>
              <w:right w:val="single" w:sz="8" w:space="0" w:color="auto"/>
            </w:tcBorders>
            <w:shd w:val="clear" w:color="auto" w:fill="auto"/>
            <w:noWrap/>
            <w:vAlign w:val="center"/>
            <w:hideMark/>
          </w:tcPr>
          <w:p w14:paraId="1E0EDED8"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67</w:t>
            </w:r>
          </w:p>
        </w:tc>
        <w:tc>
          <w:tcPr>
            <w:tcW w:w="2200" w:type="dxa"/>
            <w:tcBorders>
              <w:top w:val="nil"/>
              <w:left w:val="nil"/>
              <w:bottom w:val="single" w:sz="8" w:space="0" w:color="auto"/>
              <w:right w:val="single" w:sz="8" w:space="0" w:color="auto"/>
            </w:tcBorders>
            <w:shd w:val="clear" w:color="auto" w:fill="auto"/>
            <w:noWrap/>
            <w:vAlign w:val="center"/>
            <w:hideMark/>
          </w:tcPr>
          <w:p w14:paraId="3B87C655"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54 399,30 </w:t>
            </w:r>
          </w:p>
        </w:tc>
        <w:tc>
          <w:tcPr>
            <w:tcW w:w="2200" w:type="dxa"/>
            <w:tcBorders>
              <w:top w:val="nil"/>
              <w:left w:val="nil"/>
              <w:bottom w:val="single" w:sz="8" w:space="0" w:color="auto"/>
              <w:right w:val="single" w:sz="8" w:space="0" w:color="auto"/>
            </w:tcBorders>
            <w:shd w:val="clear" w:color="auto" w:fill="auto"/>
            <w:noWrap/>
            <w:vAlign w:val="center"/>
            <w:hideMark/>
          </w:tcPr>
          <w:p w14:paraId="62D077C1"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56 507,80 </w:t>
            </w:r>
          </w:p>
        </w:tc>
        <w:tc>
          <w:tcPr>
            <w:tcW w:w="1080" w:type="dxa"/>
            <w:tcBorders>
              <w:top w:val="nil"/>
              <w:left w:val="nil"/>
              <w:bottom w:val="single" w:sz="8" w:space="0" w:color="auto"/>
              <w:right w:val="single" w:sz="8" w:space="0" w:color="auto"/>
            </w:tcBorders>
            <w:shd w:val="clear" w:color="auto" w:fill="auto"/>
            <w:noWrap/>
            <w:vAlign w:val="center"/>
            <w:hideMark/>
          </w:tcPr>
          <w:p w14:paraId="728F0EE3"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-3,73%</w:t>
            </w:r>
          </w:p>
        </w:tc>
      </w:tr>
    </w:tbl>
    <w:p w14:paraId="5E1805BA" w14:textId="77777777" w:rsidR="00095223" w:rsidRDefault="00095223" w:rsidP="00095223">
      <w:pPr>
        <w:spacing w:after="0" w:line="240" w:lineRule="auto"/>
        <w:rPr>
          <w:b/>
          <w:bCs/>
          <w:lang w:val="es-ES"/>
        </w:rPr>
      </w:pPr>
      <w:r>
        <w:rPr>
          <w:b/>
          <w:bCs/>
          <w:lang w:val="es-ES"/>
        </w:rPr>
        <w:fldChar w:fldCharType="end"/>
      </w:r>
    </w:p>
    <w:p w14:paraId="2A50E389" w14:textId="77777777" w:rsidR="00095223" w:rsidRDefault="00692DC8" w:rsidP="001A48B7">
      <w:pPr>
        <w:spacing w:after="0" w:line="240" w:lineRule="auto"/>
        <w:rPr>
          <w:lang w:val="es-ES"/>
        </w:rPr>
      </w:pPr>
      <w:r w:rsidRPr="00692DC8">
        <w:rPr>
          <w:b/>
          <w:bCs/>
          <w:lang w:val="es-ES"/>
        </w:rPr>
        <w:t>Revelación</w:t>
      </w:r>
      <w:r w:rsidRPr="00692DC8">
        <w:rPr>
          <w:lang w:val="es-ES"/>
        </w:rPr>
        <w:t>:</w:t>
      </w:r>
    </w:p>
    <w:p w14:paraId="403124E3" w14:textId="6FAF11F5" w:rsidR="00694299" w:rsidRPr="00694299" w:rsidRDefault="00AD32EB" w:rsidP="00095223">
      <w:pPr>
        <w:spacing w:after="0" w:line="240" w:lineRule="auto"/>
        <w:rPr>
          <w:b/>
          <w:bCs/>
          <w:lang w:val="es-ES"/>
        </w:rPr>
      </w:pP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NOTAS_POR_CUENTA!F389C8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4A5A8074" w14:textId="2D70EC19" w:rsidR="00694299" w:rsidRPr="00694299" w:rsidRDefault="00694299" w:rsidP="00C37C83">
      <w:pPr>
        <w:spacing w:line="240" w:lineRule="auto"/>
        <w:rPr>
          <w:rFonts w:eastAsia="Times New Roman" w:cs="Calibri"/>
          <w:color w:val="000000"/>
          <w:lang w:eastAsia="es-CR"/>
        </w:rPr>
      </w:pPr>
      <w:r w:rsidRPr="00694299">
        <w:rPr>
          <w:rFonts w:eastAsia="Times New Roman" w:cs="Calibri"/>
          <w:color w:val="000000"/>
          <w:lang w:eastAsia="es-CR"/>
        </w:rPr>
        <w:t xml:space="preserve">La cuenta Intereses sobre endeudamiento público, representa el </w:t>
      </w:r>
      <w:r w:rsidR="00C37C83">
        <w:rPr>
          <w:rFonts w:eastAsia="Times New Roman" w:cs="Calibri"/>
          <w:color w:val="000000"/>
          <w:lang w:eastAsia="es-CR"/>
        </w:rPr>
        <w:t>1</w:t>
      </w:r>
      <w:r w:rsidRPr="00694299">
        <w:rPr>
          <w:rFonts w:eastAsia="Times New Roman" w:cs="Calibri"/>
          <w:color w:val="000000"/>
          <w:lang w:eastAsia="es-CR"/>
        </w:rPr>
        <w:t>,</w:t>
      </w:r>
      <w:r w:rsidR="00C37C83">
        <w:rPr>
          <w:rFonts w:eastAsia="Times New Roman" w:cs="Calibri"/>
          <w:color w:val="000000"/>
          <w:lang w:eastAsia="es-CR"/>
        </w:rPr>
        <w:t>98</w:t>
      </w:r>
      <w:r w:rsidRPr="00694299">
        <w:rPr>
          <w:rFonts w:eastAsia="Times New Roman" w:cs="Calibri"/>
          <w:color w:val="000000"/>
          <w:lang w:eastAsia="es-CR"/>
        </w:rPr>
        <w:t>% del total del Gastos, que comparado al periodo anterior genera una variación absoluta de -</w:t>
      </w:r>
      <w:r w:rsidR="00C37C83" w:rsidRPr="00C37C83">
        <w:rPr>
          <w:rFonts w:eastAsia="Times New Roman" w:cs="Calibri"/>
          <w:color w:val="000000"/>
          <w:lang w:eastAsia="es-CR"/>
        </w:rPr>
        <w:t xml:space="preserve"> 2 108,</w:t>
      </w:r>
      <w:r w:rsidR="001A48B7" w:rsidRPr="00C37C83">
        <w:rPr>
          <w:rFonts w:eastAsia="Times New Roman" w:cs="Calibri"/>
          <w:color w:val="000000"/>
          <w:lang w:eastAsia="es-CR"/>
        </w:rPr>
        <w:t>50</w:t>
      </w:r>
      <w:r w:rsidR="001A48B7">
        <w:rPr>
          <w:rFonts w:eastAsia="Times New Roman" w:cs="Calibri"/>
          <w:color w:val="000000"/>
          <w:lang w:eastAsia="es-CR"/>
        </w:rPr>
        <w:t xml:space="preserve"> </w:t>
      </w:r>
      <w:r w:rsidR="001A48B7" w:rsidRPr="00694299">
        <w:rPr>
          <w:rFonts w:eastAsia="Times New Roman" w:cs="Calibri"/>
          <w:color w:val="000000"/>
          <w:lang w:eastAsia="es-CR"/>
        </w:rPr>
        <w:t>que</w:t>
      </w:r>
      <w:r w:rsidRPr="00694299">
        <w:rPr>
          <w:rFonts w:eastAsia="Times New Roman" w:cs="Calibri"/>
          <w:color w:val="000000"/>
          <w:lang w:eastAsia="es-CR"/>
        </w:rPr>
        <w:t xml:space="preserve"> corresponde a un Disminución del -</w:t>
      </w:r>
      <w:r w:rsidR="00C37C83">
        <w:rPr>
          <w:rFonts w:eastAsia="Times New Roman" w:cs="Calibri"/>
          <w:color w:val="000000"/>
          <w:lang w:eastAsia="es-CR"/>
        </w:rPr>
        <w:t>3</w:t>
      </w:r>
      <w:r w:rsidRPr="00694299">
        <w:rPr>
          <w:rFonts w:eastAsia="Times New Roman" w:cs="Calibri"/>
          <w:color w:val="000000"/>
          <w:lang w:eastAsia="es-CR"/>
        </w:rPr>
        <w:t>,</w:t>
      </w:r>
      <w:r w:rsidR="00C37C83">
        <w:rPr>
          <w:rFonts w:eastAsia="Times New Roman" w:cs="Calibri"/>
          <w:color w:val="000000"/>
          <w:lang w:eastAsia="es-CR"/>
        </w:rPr>
        <w:t>7</w:t>
      </w:r>
      <w:r w:rsidRPr="00694299">
        <w:rPr>
          <w:rFonts w:eastAsia="Times New Roman" w:cs="Calibri"/>
          <w:color w:val="000000"/>
          <w:lang w:eastAsia="es-CR"/>
        </w:rPr>
        <w:t>3% de recursos disponibles.</w:t>
      </w:r>
    </w:p>
    <w:p w14:paraId="030540E4" w14:textId="38FD77FD" w:rsidR="00692DC8" w:rsidRPr="00692DC8" w:rsidRDefault="00AD32EB" w:rsidP="00C37C83">
      <w:pPr>
        <w:spacing w:line="240" w:lineRule="auto"/>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588C95B3" w14:textId="1AC47B3D" w:rsidR="00AB122F" w:rsidRPr="00C807BA" w:rsidRDefault="00AB122F" w:rsidP="00AB122F">
      <w:pPr>
        <w:spacing w:after="0" w:line="240" w:lineRule="auto"/>
        <w:rPr>
          <w:rFonts w:eastAsiaTheme="minorEastAsia" w:cs="Arial Narrow"/>
          <w:color w:val="000000"/>
          <w:lang w:eastAsia="es-CR"/>
        </w:rPr>
      </w:pPr>
      <w:r>
        <w:rPr>
          <w:rFonts w:eastAsiaTheme="minorEastAsia" w:cs="Arial Narrow"/>
          <w:color w:val="000000"/>
          <w:lang w:eastAsia="es-CR"/>
        </w:rPr>
        <w:t xml:space="preserve">Los </w:t>
      </w:r>
      <w:r w:rsidRPr="00A91674">
        <w:rPr>
          <w:rFonts w:cs="Calibri"/>
          <w:color w:val="000000"/>
          <w:lang w:eastAsia="es-CR"/>
        </w:rPr>
        <w:t xml:space="preserve">Intereses pagados </w:t>
      </w:r>
      <w:r w:rsidRPr="00A91674">
        <w:rPr>
          <w:rFonts w:eastAsiaTheme="minorEastAsia" w:cs="Arial Narrow"/>
          <w:color w:val="000000"/>
          <w:lang w:eastAsia="es-CR"/>
        </w:rPr>
        <w:t xml:space="preserve">al </w:t>
      </w:r>
      <w:r w:rsidR="00D470B6">
        <w:rPr>
          <w:rFonts w:eastAsiaTheme="minorEastAsia" w:cs="Arial Narrow"/>
          <w:color w:val="000000"/>
          <w:lang w:eastAsia="es-CR"/>
        </w:rPr>
        <w:t>30 de junio</w:t>
      </w:r>
      <w:r w:rsidRPr="00A91674">
        <w:rPr>
          <w:rFonts w:eastAsiaTheme="minorEastAsia" w:cs="Arial Narrow"/>
          <w:color w:val="000000"/>
          <w:lang w:eastAsia="es-CR"/>
        </w:rPr>
        <w:t xml:space="preserve"> de </w:t>
      </w:r>
      <w:r>
        <w:rPr>
          <w:rFonts w:eastAsiaTheme="minorEastAsia" w:cs="Arial Narrow"/>
          <w:color w:val="000000"/>
          <w:lang w:eastAsia="es-CR"/>
        </w:rPr>
        <w:t>2024</w:t>
      </w:r>
      <w:r w:rsidRPr="00A91674">
        <w:rPr>
          <w:rFonts w:eastAsiaTheme="minorEastAsia" w:cs="Arial Narrow"/>
          <w:color w:val="000000"/>
          <w:lang w:eastAsia="es-CR"/>
        </w:rPr>
        <w:t>,</w:t>
      </w:r>
      <w:r w:rsidRPr="009657C1">
        <w:rPr>
          <w:rFonts w:cs="Calibri"/>
          <w:color w:val="000000"/>
          <w:lang w:eastAsia="es-CR"/>
        </w:rPr>
        <w:t xml:space="preserve"> </w:t>
      </w:r>
      <w:r w:rsidRPr="00A91674">
        <w:rPr>
          <w:rFonts w:cs="Calibri"/>
          <w:color w:val="000000"/>
          <w:lang w:eastAsia="es-CR"/>
        </w:rPr>
        <w:t xml:space="preserve">sobre el saldo del </w:t>
      </w:r>
      <w:r w:rsidRPr="00A91674">
        <w:rPr>
          <w:rFonts w:eastAsiaTheme="minorEastAsia" w:cs="Arial Narrow"/>
          <w:color w:val="000000"/>
          <w:lang w:eastAsia="es-CR"/>
        </w:rPr>
        <w:t>préstamo que</w:t>
      </w:r>
      <w:r w:rsidRPr="003343B9">
        <w:rPr>
          <w:rFonts w:eastAsiaTheme="minorEastAsia" w:cs="Arial Narrow"/>
          <w:color w:val="000000"/>
          <w:lang w:eastAsia="es-CR"/>
        </w:rPr>
        <w:t xml:space="preserve"> la Municipalidad contrajo con el IFAM,</w:t>
      </w:r>
      <w:r w:rsidRPr="00A91674">
        <w:rPr>
          <w:rFonts w:eastAsiaTheme="minorEastAsia" w:cs="Arial Narrow"/>
          <w:color w:val="000000"/>
          <w:lang w:eastAsia="es-CR"/>
        </w:rPr>
        <w:t xml:space="preserve"> según Contrato de Préstamo entre IFAM y La Municipalidad de Buenos Aires, Nº 6-CVL-1457-0718 para el Mejoramiento de la Red Vial Cantonal y Compra de Maquinaría, por la suma total de </w:t>
      </w:r>
      <w:r>
        <w:rPr>
          <w:rFonts w:ascii="Arial" w:eastAsiaTheme="minorEastAsia" w:hAnsi="Arial" w:cs="Arial"/>
          <w:color w:val="000000"/>
          <w:lang w:eastAsia="es-CR"/>
        </w:rPr>
        <w:t>₡</w:t>
      </w:r>
      <w:r w:rsidRPr="00A91674">
        <w:rPr>
          <w:rFonts w:eastAsiaTheme="minorEastAsia" w:cs="Arial Narrow"/>
          <w:color w:val="000000"/>
          <w:lang w:eastAsia="es-CR"/>
        </w:rPr>
        <w:t>3.563.088.496,48</w:t>
      </w:r>
      <w:r>
        <w:rPr>
          <w:rFonts w:eastAsiaTheme="minorEastAsia" w:cs="Arial Narrow"/>
          <w:color w:val="000000"/>
          <w:lang w:eastAsia="es-CR"/>
        </w:rPr>
        <w:t xml:space="preserve"> miles sobre el cual se debe pagar</w:t>
      </w:r>
      <w:r w:rsidRPr="00A91674">
        <w:rPr>
          <w:rFonts w:eastAsiaTheme="minorEastAsia" w:cs="Arial Narrow"/>
          <w:color w:val="000000"/>
          <w:lang w:eastAsia="es-CR"/>
        </w:rPr>
        <w:t xml:space="preserve"> la tasa de interés es del 7% anual (fijo sobre saldos), </w:t>
      </w:r>
      <w:r>
        <w:rPr>
          <w:rFonts w:eastAsiaTheme="minorEastAsia" w:cs="Arial Narrow"/>
          <w:color w:val="000000"/>
          <w:lang w:eastAsia="es-CR"/>
        </w:rPr>
        <w:t xml:space="preserve">así como </w:t>
      </w:r>
      <w:r w:rsidRPr="00A91674">
        <w:rPr>
          <w:rFonts w:eastAsiaTheme="minorEastAsia" w:cs="Arial Narrow"/>
          <w:color w:val="000000"/>
          <w:lang w:eastAsia="es-CR"/>
        </w:rPr>
        <w:t>interés de mora del 2% mensual sobre cuotas vencidas</w:t>
      </w:r>
      <w:r>
        <w:rPr>
          <w:rFonts w:eastAsiaTheme="minorEastAsia" w:cs="Arial Narrow"/>
          <w:color w:val="000000"/>
          <w:lang w:eastAsia="es-CR"/>
        </w:rPr>
        <w:t xml:space="preserve">. Ver al respecto, </w:t>
      </w:r>
      <w:r w:rsidRPr="00C807BA">
        <w:rPr>
          <w:rFonts w:eastAsiaTheme="minorEastAsia" w:cs="Arial Narrow"/>
          <w:color w:val="000000"/>
          <w:lang w:eastAsia="es-CR"/>
        </w:rPr>
        <w:t xml:space="preserve">las Notas Nros. 15 </w:t>
      </w:r>
      <w:r>
        <w:rPr>
          <w:rFonts w:eastAsiaTheme="minorEastAsia" w:cs="Arial Narrow"/>
          <w:color w:val="000000"/>
          <w:lang w:eastAsia="es-CR"/>
        </w:rPr>
        <w:t>“</w:t>
      </w:r>
      <w:r w:rsidRPr="00C807BA">
        <w:rPr>
          <w:rFonts w:eastAsiaTheme="minorEastAsia" w:cs="Arial Narrow"/>
          <w:color w:val="000000"/>
          <w:lang w:eastAsia="es-CR"/>
        </w:rPr>
        <w:t>Endeudamiento público a corto plazo</w:t>
      </w:r>
      <w:r>
        <w:rPr>
          <w:rFonts w:eastAsiaTheme="minorEastAsia" w:cs="Arial Narrow"/>
          <w:color w:val="000000"/>
          <w:lang w:eastAsia="es-CR"/>
        </w:rPr>
        <w:t>”</w:t>
      </w:r>
      <w:r w:rsidRPr="00C807BA">
        <w:rPr>
          <w:rFonts w:eastAsiaTheme="minorEastAsia" w:cs="Arial Narrow"/>
          <w:color w:val="000000"/>
          <w:lang w:eastAsia="es-CR"/>
        </w:rPr>
        <w:t xml:space="preserve"> y 20 </w:t>
      </w:r>
      <w:r>
        <w:rPr>
          <w:rFonts w:eastAsiaTheme="minorEastAsia" w:cs="Arial Narrow"/>
          <w:color w:val="000000"/>
          <w:lang w:eastAsia="es-CR"/>
        </w:rPr>
        <w:t>“</w:t>
      </w:r>
      <w:r w:rsidRPr="00C807BA">
        <w:rPr>
          <w:rFonts w:eastAsiaTheme="minorEastAsia" w:cs="Arial Narrow"/>
          <w:color w:val="000000"/>
          <w:lang w:eastAsia="es-CR"/>
        </w:rPr>
        <w:t>Endeudamiento público de largo plazo</w:t>
      </w:r>
      <w:r>
        <w:rPr>
          <w:rFonts w:eastAsiaTheme="minorEastAsia" w:cs="Arial Narrow"/>
          <w:color w:val="000000"/>
          <w:lang w:eastAsia="es-CR"/>
        </w:rPr>
        <w:t>”.</w:t>
      </w:r>
      <w:r w:rsidRPr="00C807BA">
        <w:rPr>
          <w:rFonts w:eastAsiaTheme="minorEastAsia" w:cs="Arial Narrow"/>
          <w:color w:val="000000"/>
          <w:lang w:eastAsia="es-CR"/>
        </w:rPr>
        <w:t xml:space="preserve"> </w:t>
      </w:r>
    </w:p>
    <w:p w14:paraId="2457E073" w14:textId="77777777" w:rsidR="00AB122F" w:rsidRDefault="00AB122F" w:rsidP="00AB122F">
      <w:pPr>
        <w:spacing w:after="0" w:line="240" w:lineRule="auto"/>
        <w:rPr>
          <w:rFonts w:eastAsiaTheme="minorEastAsia" w:cs="Arial Narrow"/>
          <w:color w:val="000000"/>
          <w:lang w:eastAsia="es-CR"/>
        </w:rPr>
      </w:pPr>
    </w:p>
    <w:p w14:paraId="5A4A6F3F" w14:textId="77777777" w:rsidR="00AB122F" w:rsidRDefault="00AB122F" w:rsidP="00AB122F">
      <w:pPr>
        <w:spacing w:after="0" w:line="240" w:lineRule="auto"/>
        <w:rPr>
          <w:rFonts w:eastAsiaTheme="minorEastAsia" w:cs="Arial Narrow"/>
          <w:color w:val="000000"/>
          <w:lang w:eastAsia="es-CR"/>
        </w:rPr>
      </w:pPr>
      <w:r>
        <w:rPr>
          <w:rFonts w:eastAsiaTheme="minorEastAsia" w:cs="Arial Narrow"/>
          <w:color w:val="000000"/>
          <w:lang w:eastAsia="es-CR"/>
        </w:rPr>
        <w:t>Es preciso reiterar que l</w:t>
      </w:r>
      <w:r w:rsidRPr="00A91674">
        <w:rPr>
          <w:rFonts w:eastAsiaTheme="minorEastAsia" w:cs="Arial Narrow"/>
          <w:color w:val="000000"/>
          <w:lang w:eastAsia="es-CR"/>
        </w:rPr>
        <w:t>os intereses devengados por el préstamo en mención</w:t>
      </w:r>
      <w:r>
        <w:rPr>
          <w:rFonts w:eastAsiaTheme="minorEastAsia" w:cs="Arial Narrow"/>
          <w:color w:val="000000"/>
          <w:lang w:eastAsia="es-CR"/>
        </w:rPr>
        <w:t>,</w:t>
      </w:r>
      <w:r w:rsidRPr="00A91674">
        <w:rPr>
          <w:rFonts w:eastAsiaTheme="minorEastAsia" w:cs="Arial Narrow"/>
          <w:color w:val="000000"/>
          <w:lang w:eastAsia="es-CR"/>
        </w:rPr>
        <w:t xml:space="preserve"> son reconocidos como un gasto debido a que los desembolsos efectuados por el IFAM sobre el préstamo, no </w:t>
      </w:r>
      <w:r>
        <w:rPr>
          <w:rFonts w:eastAsiaTheme="minorEastAsia" w:cs="Arial Narrow"/>
          <w:color w:val="000000"/>
          <w:lang w:eastAsia="es-CR"/>
        </w:rPr>
        <w:t>son</w:t>
      </w:r>
      <w:r w:rsidRPr="00A91674">
        <w:rPr>
          <w:rFonts w:eastAsiaTheme="minorEastAsia" w:cs="Arial Narrow"/>
          <w:color w:val="000000"/>
          <w:lang w:eastAsia="es-CR"/>
        </w:rPr>
        <w:t xml:space="preserve"> directamente atribuibles a la adquisición de un activo (según lo establece la NICSP 5 párrafos 18), ya que los desembolsos se solicitan al IFAM para pagar de manera simultánea a los proveedores bienes adquiridos en condiciones aptas (por lo que ya no se requiere ejecutar ninguna acción para que dichos activos estén aptos para su uso), y la amortización del principal y pago de intereses sobre dichos desembolsos, se inician con posterioridad de acuerdo con lo establecido en el contrato.</w:t>
      </w:r>
    </w:p>
    <w:p w14:paraId="580C7991" w14:textId="77777777" w:rsidR="00692DC8" w:rsidRPr="00692DC8" w:rsidRDefault="00692DC8" w:rsidP="00B21D69"/>
    <w:p w14:paraId="71A09341" w14:textId="77777777" w:rsidR="00692DC8" w:rsidRPr="00692DC8" w:rsidRDefault="00692DC8" w:rsidP="00B21D69">
      <w:pPr>
        <w:pStyle w:val="Ttulo4"/>
        <w:spacing w:after="240"/>
        <w:rPr>
          <w:rFonts w:eastAsia="Times New Roman"/>
        </w:rPr>
      </w:pPr>
      <w:bookmarkStart w:id="932" w:name="_Toc33601333"/>
      <w:bookmarkStart w:id="933" w:name="_Toc82769052"/>
      <w:bookmarkStart w:id="934" w:name="_Toc173245310"/>
      <w:r w:rsidRPr="00692DC8">
        <w:rPr>
          <w:rFonts w:eastAsia="Times New Roman"/>
        </w:rPr>
        <w:t>NOTA N° 6</w:t>
      </w:r>
      <w:bookmarkEnd w:id="931"/>
      <w:bookmarkEnd w:id="932"/>
      <w:bookmarkEnd w:id="933"/>
      <w:r w:rsidRPr="00692DC8">
        <w:rPr>
          <w:rFonts w:eastAsia="Times New Roman"/>
        </w:rPr>
        <w:t>8</w:t>
      </w:r>
      <w:bookmarkEnd w:id="934"/>
    </w:p>
    <w:p w14:paraId="112913E7" w14:textId="77777777" w:rsidR="00694299" w:rsidRDefault="00692DC8" w:rsidP="00323752">
      <w:pPr>
        <w:spacing w:before="240"/>
        <w:rPr>
          <w:rFonts w:asciiTheme="minorHAnsi" w:hAnsiTheme="minorHAnsi"/>
          <w:sz w:val="22"/>
        </w:rPr>
      </w:pPr>
      <w:bookmarkStart w:id="935" w:name="_Toc14344964"/>
      <w:bookmarkStart w:id="936" w:name="_Toc33601334"/>
      <w:bookmarkStart w:id="937" w:name="_Toc82769053"/>
      <w:r w:rsidRPr="00692DC8">
        <w:rPr>
          <w:rFonts w:eastAsia="Times New Roman"/>
        </w:rPr>
        <w:t>Otros gastos financieros</w:t>
      </w:r>
      <w:bookmarkEnd w:id="935"/>
      <w:bookmarkEnd w:id="936"/>
      <w:bookmarkEnd w:id="937"/>
      <w:r w:rsidR="00AD32EB">
        <w:rPr>
          <w:rFonts w:eastAsiaTheme="majorEastAsia" w:cstheme="majorBidi"/>
          <w:iCs/>
          <w:lang w:val="es-ES"/>
        </w:rPr>
        <w:fldChar w:fldCharType="begin"/>
      </w:r>
      <w:r w:rsidR="00AD32EB">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NOTAS_POR_CUENTA!F391C1:F393C6 </w:instrText>
      </w:r>
      <w:r w:rsidR="00AD32EB">
        <w:rPr>
          <w:lang w:val="es-ES"/>
        </w:rPr>
        <w:instrText xml:space="preserve">\a \f 4 \h </w:instrText>
      </w:r>
      <w:r w:rsidR="00AD32EB">
        <w:rPr>
          <w:b/>
          <w:lang w:val="es-ES"/>
        </w:rPr>
        <w:fldChar w:fldCharType="separate"/>
      </w:r>
    </w:p>
    <w:tbl>
      <w:tblPr>
        <w:tblW w:w="8847" w:type="dxa"/>
        <w:tblCellMar>
          <w:left w:w="70" w:type="dxa"/>
          <w:right w:w="70" w:type="dxa"/>
        </w:tblCellMar>
        <w:tblLook w:val="04A0" w:firstRow="1" w:lastRow="0" w:firstColumn="1" w:lastColumn="0" w:noHBand="0" w:noVBand="1"/>
      </w:tblPr>
      <w:tblGrid>
        <w:gridCol w:w="1472"/>
        <w:gridCol w:w="2528"/>
        <w:gridCol w:w="500"/>
        <w:gridCol w:w="1586"/>
        <w:gridCol w:w="1701"/>
        <w:gridCol w:w="1060"/>
      </w:tblGrid>
      <w:tr w:rsidR="00694299" w:rsidRPr="00694299" w14:paraId="3013225D" w14:textId="77777777" w:rsidTr="00095223">
        <w:trPr>
          <w:divId w:val="1235698249"/>
          <w:trHeight w:val="324"/>
        </w:trPr>
        <w:tc>
          <w:tcPr>
            <w:tcW w:w="1472"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6555311" w14:textId="72BB2937"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528"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260A91D"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14493C8"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5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EE615C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BDD6C80"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689826BD"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51A5FEE3" w14:textId="77777777" w:rsidTr="00095223">
        <w:trPr>
          <w:divId w:val="1235698249"/>
          <w:trHeight w:val="324"/>
        </w:trPr>
        <w:tc>
          <w:tcPr>
            <w:tcW w:w="1472" w:type="dxa"/>
            <w:vMerge/>
            <w:tcBorders>
              <w:top w:val="single" w:sz="8" w:space="0" w:color="auto"/>
              <w:left w:val="single" w:sz="8" w:space="0" w:color="auto"/>
              <w:bottom w:val="single" w:sz="8" w:space="0" w:color="000000"/>
              <w:right w:val="single" w:sz="8" w:space="0" w:color="auto"/>
            </w:tcBorders>
            <w:vAlign w:val="center"/>
            <w:hideMark/>
          </w:tcPr>
          <w:p w14:paraId="691A0D5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528" w:type="dxa"/>
            <w:vMerge/>
            <w:tcBorders>
              <w:top w:val="single" w:sz="8" w:space="0" w:color="auto"/>
              <w:left w:val="single" w:sz="8" w:space="0" w:color="auto"/>
              <w:bottom w:val="single" w:sz="8" w:space="0" w:color="000000"/>
              <w:right w:val="single" w:sz="8" w:space="0" w:color="auto"/>
            </w:tcBorders>
            <w:vAlign w:val="center"/>
            <w:hideMark/>
          </w:tcPr>
          <w:p w14:paraId="277FC935"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C56CBF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58DBE181"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0666E7C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34D7B0CA"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1D68C2D9" w14:textId="77777777" w:rsidTr="00095223">
        <w:trPr>
          <w:divId w:val="1235698249"/>
          <w:trHeight w:val="324"/>
        </w:trPr>
        <w:tc>
          <w:tcPr>
            <w:tcW w:w="1472" w:type="dxa"/>
            <w:tcBorders>
              <w:top w:val="nil"/>
              <w:left w:val="single" w:sz="8" w:space="0" w:color="auto"/>
              <w:bottom w:val="single" w:sz="8" w:space="0" w:color="auto"/>
              <w:right w:val="single" w:sz="8" w:space="0" w:color="auto"/>
            </w:tcBorders>
            <w:shd w:val="clear" w:color="auto" w:fill="auto"/>
            <w:noWrap/>
            <w:vAlign w:val="center"/>
            <w:hideMark/>
          </w:tcPr>
          <w:p w14:paraId="68302B92"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5.2.9.</w:t>
            </w:r>
          </w:p>
        </w:tc>
        <w:tc>
          <w:tcPr>
            <w:tcW w:w="2528" w:type="dxa"/>
            <w:tcBorders>
              <w:top w:val="nil"/>
              <w:left w:val="nil"/>
              <w:bottom w:val="single" w:sz="8" w:space="0" w:color="auto"/>
              <w:right w:val="single" w:sz="8" w:space="0" w:color="auto"/>
            </w:tcBorders>
            <w:shd w:val="clear" w:color="auto" w:fill="auto"/>
            <w:vAlign w:val="center"/>
            <w:hideMark/>
          </w:tcPr>
          <w:p w14:paraId="1B046977"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Otros gastos financieros</w:t>
            </w:r>
          </w:p>
        </w:tc>
        <w:tc>
          <w:tcPr>
            <w:tcW w:w="500" w:type="dxa"/>
            <w:tcBorders>
              <w:top w:val="nil"/>
              <w:left w:val="nil"/>
              <w:bottom w:val="single" w:sz="8" w:space="0" w:color="auto"/>
              <w:right w:val="single" w:sz="8" w:space="0" w:color="auto"/>
            </w:tcBorders>
            <w:shd w:val="clear" w:color="auto" w:fill="auto"/>
            <w:noWrap/>
            <w:vAlign w:val="center"/>
            <w:hideMark/>
          </w:tcPr>
          <w:p w14:paraId="134EC383"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68</w:t>
            </w:r>
          </w:p>
        </w:tc>
        <w:tc>
          <w:tcPr>
            <w:tcW w:w="1586" w:type="dxa"/>
            <w:tcBorders>
              <w:top w:val="nil"/>
              <w:left w:val="nil"/>
              <w:bottom w:val="single" w:sz="8" w:space="0" w:color="auto"/>
              <w:right w:val="single" w:sz="8" w:space="0" w:color="auto"/>
            </w:tcBorders>
            <w:shd w:val="clear" w:color="auto" w:fill="auto"/>
            <w:noWrap/>
            <w:vAlign w:val="center"/>
            <w:hideMark/>
          </w:tcPr>
          <w:p w14:paraId="4FAF44CB"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701" w:type="dxa"/>
            <w:tcBorders>
              <w:top w:val="nil"/>
              <w:left w:val="nil"/>
              <w:bottom w:val="single" w:sz="8" w:space="0" w:color="auto"/>
              <w:right w:val="single" w:sz="8" w:space="0" w:color="auto"/>
            </w:tcBorders>
            <w:shd w:val="clear" w:color="auto" w:fill="auto"/>
            <w:noWrap/>
            <w:vAlign w:val="center"/>
            <w:hideMark/>
          </w:tcPr>
          <w:p w14:paraId="11EEEF2C"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165A3325"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5D21957F" w14:textId="77777777" w:rsidR="00694299" w:rsidRPr="00694299" w:rsidRDefault="00AD32EB"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NOTAS_POR_CUENTA!F393C8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2F519106" w14:textId="77777777" w:rsidR="00694299" w:rsidRPr="00694299" w:rsidRDefault="00694299" w:rsidP="000F5FB8">
      <w:pPr>
        <w:spacing w:line="240" w:lineRule="auto"/>
        <w:rPr>
          <w:rFonts w:eastAsia="Times New Roman" w:cs="Calibri"/>
          <w:color w:val="000000"/>
          <w:lang w:eastAsia="es-CR"/>
        </w:rPr>
      </w:pPr>
      <w:r w:rsidRPr="00694299">
        <w:rPr>
          <w:rFonts w:eastAsia="Times New Roman" w:cs="Calibri"/>
          <w:color w:val="000000"/>
          <w:lang w:eastAsia="es-CR"/>
        </w:rPr>
        <w:t>La cuenta Otros gastos financieros, representa el 0,00% del total del Gastos, que comparado al periodo anterior genera una variación absoluta de 0 000,00 que corresponde a un Aumento del 0,00% de recursos disponibles.</w:t>
      </w:r>
    </w:p>
    <w:p w14:paraId="5D0D7712" w14:textId="000A4737" w:rsidR="00692DC8" w:rsidRPr="00692DC8" w:rsidRDefault="00AD32EB" w:rsidP="000F5FB8">
      <w:pPr>
        <w:spacing w:line="240" w:lineRule="auto"/>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89DCD12" w14:textId="77777777" w:rsidR="00692DC8" w:rsidRPr="00692DC8" w:rsidRDefault="00692DC8" w:rsidP="00B21D69">
      <w:pPr>
        <w:rPr>
          <w:i/>
        </w:rPr>
      </w:pPr>
    </w:p>
    <w:p w14:paraId="08D11C16" w14:textId="77777777" w:rsidR="00692DC8" w:rsidRPr="00692DC8" w:rsidRDefault="00692DC8" w:rsidP="00B21D69">
      <w:pPr>
        <w:pStyle w:val="Ttulo3"/>
        <w:spacing w:after="240"/>
        <w:rPr>
          <w:rFonts w:eastAsia="Calibri"/>
          <w:lang w:eastAsia="es-CR"/>
        </w:rPr>
      </w:pPr>
      <w:bookmarkStart w:id="938" w:name="_Toc82769054"/>
      <w:bookmarkStart w:id="939" w:name="_Toc173245311"/>
      <w:r w:rsidRPr="00692DC8">
        <w:rPr>
          <w:rFonts w:eastAsia="Calibri"/>
          <w:lang w:eastAsia="es-CR"/>
        </w:rPr>
        <w:t>5.3 GASTOS Y RESULTADOS NEGATIVOS POR VENTAS</w:t>
      </w:r>
      <w:bookmarkEnd w:id="938"/>
      <w:bookmarkEnd w:id="939"/>
    </w:p>
    <w:p w14:paraId="592F24B9" w14:textId="77777777" w:rsidR="00692DC8" w:rsidRPr="00692DC8" w:rsidRDefault="00692DC8" w:rsidP="00B21D69">
      <w:pPr>
        <w:pStyle w:val="Ttulo4"/>
        <w:spacing w:after="240"/>
        <w:rPr>
          <w:rFonts w:eastAsia="Times New Roman"/>
        </w:rPr>
      </w:pPr>
      <w:bookmarkStart w:id="940" w:name="_Toc14344971"/>
      <w:bookmarkStart w:id="941" w:name="_Toc33601336"/>
      <w:bookmarkStart w:id="942" w:name="_Toc82769055"/>
      <w:bookmarkStart w:id="943" w:name="_Toc173245312"/>
      <w:r w:rsidRPr="00692DC8">
        <w:rPr>
          <w:rFonts w:eastAsia="Times New Roman"/>
        </w:rPr>
        <w:t>NOTA N° 6</w:t>
      </w:r>
      <w:bookmarkEnd w:id="940"/>
      <w:bookmarkEnd w:id="941"/>
      <w:bookmarkEnd w:id="942"/>
      <w:r w:rsidRPr="00692DC8">
        <w:rPr>
          <w:rFonts w:eastAsia="Times New Roman"/>
        </w:rPr>
        <w:t>9</w:t>
      </w:r>
      <w:bookmarkEnd w:id="943"/>
    </w:p>
    <w:p w14:paraId="2C51489A" w14:textId="77777777" w:rsidR="00694299" w:rsidRDefault="00692DC8" w:rsidP="00DE143D">
      <w:pPr>
        <w:spacing w:before="240"/>
        <w:rPr>
          <w:rFonts w:asciiTheme="minorHAnsi" w:hAnsiTheme="minorHAnsi"/>
          <w:sz w:val="22"/>
        </w:rPr>
      </w:pPr>
      <w:bookmarkStart w:id="944" w:name="_Toc14344972"/>
      <w:bookmarkStart w:id="945" w:name="_Toc33601337"/>
      <w:bookmarkStart w:id="946" w:name="_Toc82769056"/>
      <w:r w:rsidRPr="00692DC8">
        <w:rPr>
          <w:rFonts w:eastAsia="Times New Roman"/>
        </w:rPr>
        <w:t>Costo de ventas de bienes y servicios</w:t>
      </w:r>
      <w:bookmarkEnd w:id="944"/>
      <w:bookmarkEnd w:id="945"/>
      <w:bookmarkEnd w:id="946"/>
      <w:r w:rsidR="00495CDD">
        <w:rPr>
          <w:rFonts w:eastAsiaTheme="majorEastAsia" w:cstheme="majorBidi"/>
          <w:iCs/>
          <w:lang w:val="es-ES"/>
        </w:rPr>
        <w:fldChar w:fldCharType="begin"/>
      </w:r>
      <w:r w:rsidR="00495CDD">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NOTAS_POR_CUENTA!F395C1:F397C6 </w:instrText>
      </w:r>
      <w:r w:rsidR="00495CDD">
        <w:rPr>
          <w:lang w:val="es-ES"/>
        </w:rPr>
        <w:instrText xml:space="preserve">\a \f 4 \h </w:instrText>
      </w:r>
      <w:r w:rsidR="00495CDD">
        <w:rPr>
          <w:b/>
          <w:lang w:val="es-ES"/>
        </w:rPr>
        <w:fldChar w:fldCharType="separate"/>
      </w:r>
    </w:p>
    <w:tbl>
      <w:tblPr>
        <w:tblW w:w="8847" w:type="dxa"/>
        <w:tblCellMar>
          <w:left w:w="70" w:type="dxa"/>
          <w:right w:w="70" w:type="dxa"/>
        </w:tblCellMar>
        <w:tblLook w:val="04A0" w:firstRow="1" w:lastRow="0" w:firstColumn="1" w:lastColumn="0" w:noHBand="0" w:noVBand="1"/>
      </w:tblPr>
      <w:tblGrid>
        <w:gridCol w:w="1286"/>
        <w:gridCol w:w="2714"/>
        <w:gridCol w:w="500"/>
        <w:gridCol w:w="1586"/>
        <w:gridCol w:w="1701"/>
        <w:gridCol w:w="1060"/>
      </w:tblGrid>
      <w:tr w:rsidR="00694299" w:rsidRPr="00694299" w14:paraId="238CA9CF" w14:textId="77777777" w:rsidTr="00095223">
        <w:trPr>
          <w:divId w:val="321157889"/>
          <w:trHeight w:val="324"/>
        </w:trPr>
        <w:tc>
          <w:tcPr>
            <w:tcW w:w="12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FC66709" w14:textId="147374B7"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71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96BBB5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4FE777C"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5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13A8E16"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E69CB1E"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4BA211A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315374AA" w14:textId="77777777" w:rsidTr="00095223">
        <w:trPr>
          <w:divId w:val="321157889"/>
          <w:trHeight w:val="324"/>
        </w:trPr>
        <w:tc>
          <w:tcPr>
            <w:tcW w:w="1286" w:type="dxa"/>
            <w:vMerge/>
            <w:tcBorders>
              <w:top w:val="single" w:sz="8" w:space="0" w:color="auto"/>
              <w:left w:val="single" w:sz="8" w:space="0" w:color="auto"/>
              <w:bottom w:val="single" w:sz="8" w:space="0" w:color="000000"/>
              <w:right w:val="single" w:sz="8" w:space="0" w:color="auto"/>
            </w:tcBorders>
            <w:vAlign w:val="center"/>
            <w:hideMark/>
          </w:tcPr>
          <w:p w14:paraId="665B381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714" w:type="dxa"/>
            <w:vMerge/>
            <w:tcBorders>
              <w:top w:val="single" w:sz="8" w:space="0" w:color="auto"/>
              <w:left w:val="single" w:sz="8" w:space="0" w:color="auto"/>
              <w:bottom w:val="single" w:sz="8" w:space="0" w:color="000000"/>
              <w:right w:val="single" w:sz="8" w:space="0" w:color="auto"/>
            </w:tcBorders>
            <w:vAlign w:val="center"/>
            <w:hideMark/>
          </w:tcPr>
          <w:p w14:paraId="5484F9D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C72961D"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22F58F8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41911D31"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7719BC23"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2722F9D5" w14:textId="77777777" w:rsidTr="00095223">
        <w:trPr>
          <w:divId w:val="321157889"/>
          <w:trHeight w:val="324"/>
        </w:trPr>
        <w:tc>
          <w:tcPr>
            <w:tcW w:w="1286" w:type="dxa"/>
            <w:tcBorders>
              <w:top w:val="nil"/>
              <w:left w:val="single" w:sz="8" w:space="0" w:color="auto"/>
              <w:bottom w:val="single" w:sz="8" w:space="0" w:color="auto"/>
              <w:right w:val="single" w:sz="8" w:space="0" w:color="auto"/>
            </w:tcBorders>
            <w:shd w:val="clear" w:color="auto" w:fill="auto"/>
            <w:noWrap/>
            <w:vAlign w:val="center"/>
            <w:hideMark/>
          </w:tcPr>
          <w:p w14:paraId="69AF719A"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5.3.1.</w:t>
            </w:r>
          </w:p>
        </w:tc>
        <w:tc>
          <w:tcPr>
            <w:tcW w:w="2714" w:type="dxa"/>
            <w:tcBorders>
              <w:top w:val="nil"/>
              <w:left w:val="nil"/>
              <w:bottom w:val="single" w:sz="8" w:space="0" w:color="auto"/>
              <w:right w:val="single" w:sz="8" w:space="0" w:color="auto"/>
            </w:tcBorders>
            <w:shd w:val="clear" w:color="auto" w:fill="auto"/>
            <w:vAlign w:val="center"/>
            <w:hideMark/>
          </w:tcPr>
          <w:p w14:paraId="0AA6049B"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Costo de ventas de bienes y servicios</w:t>
            </w:r>
          </w:p>
        </w:tc>
        <w:tc>
          <w:tcPr>
            <w:tcW w:w="500" w:type="dxa"/>
            <w:tcBorders>
              <w:top w:val="nil"/>
              <w:left w:val="nil"/>
              <w:bottom w:val="single" w:sz="8" w:space="0" w:color="auto"/>
              <w:right w:val="single" w:sz="8" w:space="0" w:color="auto"/>
            </w:tcBorders>
            <w:shd w:val="clear" w:color="auto" w:fill="auto"/>
            <w:noWrap/>
            <w:vAlign w:val="center"/>
            <w:hideMark/>
          </w:tcPr>
          <w:p w14:paraId="1E0B51C1"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69</w:t>
            </w:r>
          </w:p>
        </w:tc>
        <w:tc>
          <w:tcPr>
            <w:tcW w:w="1586" w:type="dxa"/>
            <w:tcBorders>
              <w:top w:val="nil"/>
              <w:left w:val="nil"/>
              <w:bottom w:val="single" w:sz="8" w:space="0" w:color="auto"/>
              <w:right w:val="single" w:sz="8" w:space="0" w:color="auto"/>
            </w:tcBorders>
            <w:shd w:val="clear" w:color="auto" w:fill="auto"/>
            <w:noWrap/>
            <w:vAlign w:val="center"/>
            <w:hideMark/>
          </w:tcPr>
          <w:p w14:paraId="334C095E"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701" w:type="dxa"/>
            <w:tcBorders>
              <w:top w:val="nil"/>
              <w:left w:val="nil"/>
              <w:bottom w:val="single" w:sz="8" w:space="0" w:color="auto"/>
              <w:right w:val="single" w:sz="8" w:space="0" w:color="auto"/>
            </w:tcBorders>
            <w:shd w:val="clear" w:color="auto" w:fill="auto"/>
            <w:noWrap/>
            <w:vAlign w:val="center"/>
            <w:hideMark/>
          </w:tcPr>
          <w:p w14:paraId="07103418"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13AB2123"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788BFAE7" w14:textId="7F6F2401" w:rsidR="00694299" w:rsidRPr="00694299" w:rsidRDefault="00495CDD"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NOTAS_POR_CUENTA!F397C8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16F8A455" w14:textId="77777777" w:rsidR="00694299" w:rsidRPr="00694299" w:rsidRDefault="00694299" w:rsidP="000F5FB8">
      <w:pPr>
        <w:spacing w:line="240" w:lineRule="auto"/>
        <w:rPr>
          <w:rFonts w:eastAsia="Times New Roman" w:cs="Calibri"/>
          <w:color w:val="000000"/>
          <w:lang w:eastAsia="es-CR"/>
        </w:rPr>
      </w:pPr>
      <w:r w:rsidRPr="00694299">
        <w:rPr>
          <w:rFonts w:eastAsia="Times New Roman" w:cs="Calibri"/>
          <w:color w:val="000000"/>
          <w:lang w:eastAsia="es-CR"/>
        </w:rPr>
        <w:t>La cuenta Costo de ventas de bienes y servicios, representa el 0,00% del total del Gastos, que comparado al periodo anterior genera una variación absoluta de 0 000,00 que corresponde a un Aumento del 0,00% de recursos disponibles.</w:t>
      </w:r>
    </w:p>
    <w:p w14:paraId="63E0445D" w14:textId="54284EA5" w:rsidR="00422EDF" w:rsidRPr="00305662" w:rsidRDefault="00495CDD" w:rsidP="000F5FB8">
      <w:pPr>
        <w:spacing w:line="240" w:lineRule="auto"/>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bookmarkStart w:id="947" w:name="_Toc14344975"/>
      <w:bookmarkStart w:id="948" w:name="_Toc33601338"/>
      <w:bookmarkStart w:id="949" w:name="_Toc82769057"/>
    </w:p>
    <w:p w14:paraId="3D433F79" w14:textId="77777777" w:rsidR="00095223" w:rsidRDefault="00095223" w:rsidP="00B21D69">
      <w:pPr>
        <w:pStyle w:val="Ttulo4"/>
        <w:spacing w:after="240"/>
        <w:rPr>
          <w:rFonts w:eastAsia="Times New Roman"/>
        </w:rPr>
      </w:pPr>
    </w:p>
    <w:p w14:paraId="50558935" w14:textId="64982EAB" w:rsidR="00692DC8" w:rsidRPr="00692DC8" w:rsidRDefault="00692DC8" w:rsidP="00B21D69">
      <w:pPr>
        <w:pStyle w:val="Ttulo4"/>
        <w:spacing w:after="240"/>
        <w:rPr>
          <w:rFonts w:eastAsia="Times New Roman"/>
        </w:rPr>
      </w:pPr>
      <w:bookmarkStart w:id="950" w:name="_Toc173245313"/>
      <w:r w:rsidRPr="00692DC8">
        <w:rPr>
          <w:rFonts w:eastAsia="Times New Roman"/>
        </w:rPr>
        <w:t xml:space="preserve">NOTA N° </w:t>
      </w:r>
      <w:bookmarkEnd w:id="947"/>
      <w:bookmarkEnd w:id="948"/>
      <w:bookmarkEnd w:id="949"/>
      <w:r w:rsidRPr="00692DC8">
        <w:rPr>
          <w:rFonts w:eastAsia="Times New Roman"/>
        </w:rPr>
        <w:t>70</w:t>
      </w:r>
      <w:bookmarkEnd w:id="950"/>
    </w:p>
    <w:p w14:paraId="7F340E56" w14:textId="77777777" w:rsidR="00694299" w:rsidRDefault="00692DC8" w:rsidP="00323752">
      <w:pPr>
        <w:spacing w:before="240"/>
        <w:rPr>
          <w:rFonts w:asciiTheme="minorHAnsi" w:hAnsiTheme="minorHAnsi"/>
          <w:sz w:val="22"/>
        </w:rPr>
      </w:pPr>
      <w:bookmarkStart w:id="951" w:name="_Toc14344976"/>
      <w:bookmarkStart w:id="952" w:name="_Toc33601339"/>
      <w:bookmarkStart w:id="953" w:name="_Toc82769058"/>
      <w:r w:rsidRPr="00692DC8">
        <w:rPr>
          <w:rFonts w:eastAsia="Times New Roman"/>
        </w:rPr>
        <w:t>Resultados negativos por ventas de inversiones</w:t>
      </w:r>
      <w:bookmarkStart w:id="954" w:name="_Toc14344979"/>
      <w:bookmarkEnd w:id="951"/>
      <w:bookmarkEnd w:id="952"/>
      <w:bookmarkEnd w:id="953"/>
      <w:r w:rsidR="00495CDD">
        <w:rPr>
          <w:rFonts w:eastAsiaTheme="majorEastAsia" w:cstheme="majorBidi"/>
          <w:iCs/>
          <w:lang w:val="es-ES"/>
        </w:rPr>
        <w:fldChar w:fldCharType="begin"/>
      </w:r>
      <w:r w:rsidR="00495CDD">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NOTAS_POR_CUENTA!F399C1:F401C6 </w:instrText>
      </w:r>
      <w:r w:rsidR="00495CDD">
        <w:rPr>
          <w:lang w:val="es-ES"/>
        </w:rPr>
        <w:instrText xml:space="preserve">\a \f 4 \h </w:instrText>
      </w:r>
      <w:r w:rsidR="00495CDD">
        <w:rPr>
          <w:b/>
          <w:lang w:val="es-ES"/>
        </w:rPr>
        <w:fldChar w:fldCharType="separate"/>
      </w:r>
    </w:p>
    <w:tbl>
      <w:tblPr>
        <w:tblW w:w="8847" w:type="dxa"/>
        <w:tblCellMar>
          <w:left w:w="70" w:type="dxa"/>
          <w:right w:w="70" w:type="dxa"/>
        </w:tblCellMar>
        <w:tblLook w:val="04A0" w:firstRow="1" w:lastRow="0" w:firstColumn="1" w:lastColumn="0" w:noHBand="0" w:noVBand="1"/>
      </w:tblPr>
      <w:tblGrid>
        <w:gridCol w:w="1516"/>
        <w:gridCol w:w="2484"/>
        <w:gridCol w:w="500"/>
        <w:gridCol w:w="1586"/>
        <w:gridCol w:w="1701"/>
        <w:gridCol w:w="1060"/>
      </w:tblGrid>
      <w:tr w:rsidR="00694299" w:rsidRPr="00694299" w14:paraId="7809E229" w14:textId="77777777" w:rsidTr="00095223">
        <w:trPr>
          <w:divId w:val="260188215"/>
          <w:trHeight w:val="324"/>
        </w:trPr>
        <w:tc>
          <w:tcPr>
            <w:tcW w:w="151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8F51F96" w14:textId="7C4F09B3"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48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EC9BB00"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C17ABFE"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5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32E039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74BB8C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3EFC81BC"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64F7D6EC" w14:textId="77777777" w:rsidTr="00095223">
        <w:trPr>
          <w:divId w:val="260188215"/>
          <w:trHeight w:val="324"/>
        </w:trPr>
        <w:tc>
          <w:tcPr>
            <w:tcW w:w="1516" w:type="dxa"/>
            <w:vMerge/>
            <w:tcBorders>
              <w:top w:val="single" w:sz="8" w:space="0" w:color="auto"/>
              <w:left w:val="single" w:sz="8" w:space="0" w:color="auto"/>
              <w:bottom w:val="single" w:sz="8" w:space="0" w:color="000000"/>
              <w:right w:val="single" w:sz="8" w:space="0" w:color="auto"/>
            </w:tcBorders>
            <w:vAlign w:val="center"/>
            <w:hideMark/>
          </w:tcPr>
          <w:p w14:paraId="2E362912"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484" w:type="dxa"/>
            <w:vMerge/>
            <w:tcBorders>
              <w:top w:val="single" w:sz="8" w:space="0" w:color="auto"/>
              <w:left w:val="single" w:sz="8" w:space="0" w:color="auto"/>
              <w:bottom w:val="single" w:sz="8" w:space="0" w:color="000000"/>
              <w:right w:val="single" w:sz="8" w:space="0" w:color="auto"/>
            </w:tcBorders>
            <w:vAlign w:val="center"/>
            <w:hideMark/>
          </w:tcPr>
          <w:p w14:paraId="6ED259D9"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6CDD085"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70C54D5D"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5C35DAD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918BC2D"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03DA25F5" w14:textId="77777777" w:rsidTr="00095223">
        <w:trPr>
          <w:divId w:val="260188215"/>
          <w:trHeight w:val="540"/>
        </w:trPr>
        <w:tc>
          <w:tcPr>
            <w:tcW w:w="1516" w:type="dxa"/>
            <w:tcBorders>
              <w:top w:val="nil"/>
              <w:left w:val="single" w:sz="8" w:space="0" w:color="auto"/>
              <w:bottom w:val="single" w:sz="8" w:space="0" w:color="auto"/>
              <w:right w:val="single" w:sz="8" w:space="0" w:color="auto"/>
            </w:tcBorders>
            <w:shd w:val="clear" w:color="auto" w:fill="auto"/>
            <w:noWrap/>
            <w:vAlign w:val="center"/>
            <w:hideMark/>
          </w:tcPr>
          <w:p w14:paraId="12FD0E01"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5.3.2.</w:t>
            </w:r>
          </w:p>
        </w:tc>
        <w:tc>
          <w:tcPr>
            <w:tcW w:w="2484" w:type="dxa"/>
            <w:tcBorders>
              <w:top w:val="nil"/>
              <w:left w:val="nil"/>
              <w:bottom w:val="single" w:sz="8" w:space="0" w:color="auto"/>
              <w:right w:val="single" w:sz="8" w:space="0" w:color="auto"/>
            </w:tcBorders>
            <w:shd w:val="clear" w:color="auto" w:fill="auto"/>
            <w:vAlign w:val="center"/>
            <w:hideMark/>
          </w:tcPr>
          <w:p w14:paraId="110EEFEB"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Resultados negativos por ventas de inversiones</w:t>
            </w:r>
          </w:p>
        </w:tc>
        <w:tc>
          <w:tcPr>
            <w:tcW w:w="500" w:type="dxa"/>
            <w:tcBorders>
              <w:top w:val="nil"/>
              <w:left w:val="nil"/>
              <w:bottom w:val="single" w:sz="8" w:space="0" w:color="auto"/>
              <w:right w:val="single" w:sz="8" w:space="0" w:color="auto"/>
            </w:tcBorders>
            <w:shd w:val="clear" w:color="auto" w:fill="auto"/>
            <w:noWrap/>
            <w:vAlign w:val="center"/>
            <w:hideMark/>
          </w:tcPr>
          <w:p w14:paraId="0516BCA7"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70</w:t>
            </w:r>
          </w:p>
        </w:tc>
        <w:tc>
          <w:tcPr>
            <w:tcW w:w="1586" w:type="dxa"/>
            <w:tcBorders>
              <w:top w:val="nil"/>
              <w:left w:val="nil"/>
              <w:bottom w:val="single" w:sz="8" w:space="0" w:color="auto"/>
              <w:right w:val="single" w:sz="8" w:space="0" w:color="auto"/>
            </w:tcBorders>
            <w:shd w:val="clear" w:color="auto" w:fill="auto"/>
            <w:noWrap/>
            <w:vAlign w:val="center"/>
            <w:hideMark/>
          </w:tcPr>
          <w:p w14:paraId="54500192"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701" w:type="dxa"/>
            <w:tcBorders>
              <w:top w:val="nil"/>
              <w:left w:val="nil"/>
              <w:bottom w:val="single" w:sz="8" w:space="0" w:color="auto"/>
              <w:right w:val="single" w:sz="8" w:space="0" w:color="auto"/>
            </w:tcBorders>
            <w:shd w:val="clear" w:color="auto" w:fill="auto"/>
            <w:noWrap/>
            <w:vAlign w:val="center"/>
            <w:hideMark/>
          </w:tcPr>
          <w:p w14:paraId="1C593301"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25067599"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7E5737E3" w14:textId="77777777" w:rsidR="00694299" w:rsidRPr="00694299" w:rsidRDefault="00495CDD"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NOTAS_POR_CUENTA!F401C8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62C6A5D8" w14:textId="77777777" w:rsidR="00694299" w:rsidRPr="00694299" w:rsidRDefault="00694299" w:rsidP="000F5FB8">
      <w:pPr>
        <w:spacing w:line="240" w:lineRule="auto"/>
        <w:rPr>
          <w:rFonts w:eastAsia="Times New Roman" w:cs="Calibri"/>
          <w:color w:val="000000"/>
          <w:lang w:eastAsia="es-CR"/>
        </w:rPr>
      </w:pPr>
      <w:r w:rsidRPr="00694299">
        <w:rPr>
          <w:rFonts w:eastAsia="Times New Roman" w:cs="Calibri"/>
          <w:color w:val="000000"/>
          <w:lang w:eastAsia="es-CR"/>
        </w:rPr>
        <w:t>La cuenta Resultados negativos por ventas de inversiones, representa el 0,00% del total del Gastos, que comparado al periodo anterior genera una variación absoluta de 0 000,00 que corresponde a un Aumento del 0,00% de recursos disponibles.</w:t>
      </w:r>
    </w:p>
    <w:p w14:paraId="7A6562BF" w14:textId="3F123892" w:rsidR="00692DC8" w:rsidRPr="00692DC8" w:rsidRDefault="00495CDD" w:rsidP="000F5FB8">
      <w:pPr>
        <w:spacing w:line="240" w:lineRule="auto"/>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1E8EB967" w14:textId="77777777" w:rsidR="00B21D69" w:rsidRDefault="00B21D69" w:rsidP="00B21D69">
      <w:pPr>
        <w:rPr>
          <w:rFonts w:eastAsiaTheme="minorEastAsia" w:cs="Arial Narrow"/>
          <w:color w:val="000000"/>
          <w:lang w:eastAsia="es-CR"/>
        </w:rPr>
      </w:pPr>
    </w:p>
    <w:p w14:paraId="424E1F6B" w14:textId="77777777" w:rsidR="001A48B7" w:rsidRPr="00692DC8" w:rsidRDefault="001A48B7" w:rsidP="00B21D69">
      <w:pPr>
        <w:rPr>
          <w:rFonts w:eastAsiaTheme="minorEastAsia" w:cs="Arial Narrow"/>
          <w:color w:val="000000"/>
          <w:lang w:eastAsia="es-CR"/>
        </w:rPr>
      </w:pPr>
    </w:p>
    <w:p w14:paraId="23719997" w14:textId="77777777" w:rsidR="00692DC8" w:rsidRPr="00692DC8" w:rsidRDefault="00692DC8" w:rsidP="00E3707A">
      <w:pPr>
        <w:pStyle w:val="Ttulo4"/>
        <w:spacing w:after="240"/>
        <w:rPr>
          <w:rFonts w:eastAsia="Times New Roman"/>
        </w:rPr>
      </w:pPr>
      <w:bookmarkStart w:id="955" w:name="_Toc33601340"/>
      <w:bookmarkStart w:id="956" w:name="_Toc82769059"/>
      <w:bookmarkStart w:id="957" w:name="_Toc173245314"/>
      <w:r w:rsidRPr="00692DC8">
        <w:rPr>
          <w:rFonts w:eastAsia="Times New Roman"/>
        </w:rPr>
        <w:t>NOTA N° 7</w:t>
      </w:r>
      <w:bookmarkEnd w:id="954"/>
      <w:bookmarkEnd w:id="955"/>
      <w:bookmarkEnd w:id="956"/>
      <w:r w:rsidRPr="00692DC8">
        <w:rPr>
          <w:rFonts w:eastAsia="Times New Roman"/>
        </w:rPr>
        <w:t>1</w:t>
      </w:r>
      <w:bookmarkEnd w:id="957"/>
    </w:p>
    <w:p w14:paraId="0D6B286E" w14:textId="77777777" w:rsidR="00694299" w:rsidRDefault="00692DC8" w:rsidP="00DE143D">
      <w:pPr>
        <w:spacing w:before="240"/>
        <w:rPr>
          <w:rFonts w:asciiTheme="minorHAnsi" w:hAnsiTheme="minorHAnsi"/>
          <w:sz w:val="22"/>
        </w:rPr>
      </w:pPr>
      <w:bookmarkStart w:id="958" w:name="_Toc14344980"/>
      <w:bookmarkStart w:id="959" w:name="_Toc33601341"/>
      <w:bookmarkStart w:id="960" w:name="_Toc82769060"/>
      <w:r w:rsidRPr="00692DC8">
        <w:rPr>
          <w:rFonts w:eastAsia="Times New Roman"/>
        </w:rPr>
        <w:t>Resultados negativos por ventas e intercambio de bienes</w:t>
      </w:r>
      <w:bookmarkEnd w:id="958"/>
      <w:bookmarkEnd w:id="959"/>
      <w:bookmarkEnd w:id="960"/>
      <w:r w:rsidR="00495CDD">
        <w:rPr>
          <w:rFonts w:eastAsiaTheme="majorEastAsia" w:cstheme="majorBidi"/>
          <w:iCs/>
          <w:lang w:val="es-ES"/>
        </w:rPr>
        <w:fldChar w:fldCharType="begin"/>
      </w:r>
      <w:r w:rsidR="00495CDD">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NOTAS_POR_CUENTA!F403C1:F405C6 </w:instrText>
      </w:r>
      <w:r w:rsidR="00495CDD">
        <w:rPr>
          <w:lang w:val="es-ES"/>
        </w:rPr>
        <w:instrText xml:space="preserve">\a \f 4 \h </w:instrText>
      </w:r>
      <w:r w:rsidR="00495CDD">
        <w:rPr>
          <w:b/>
          <w:lang w:val="es-ES"/>
        </w:rPr>
        <w:fldChar w:fldCharType="separate"/>
      </w:r>
    </w:p>
    <w:tbl>
      <w:tblPr>
        <w:tblW w:w="8847" w:type="dxa"/>
        <w:tblCellMar>
          <w:left w:w="70" w:type="dxa"/>
          <w:right w:w="70" w:type="dxa"/>
        </w:tblCellMar>
        <w:tblLook w:val="04A0" w:firstRow="1" w:lastRow="0" w:firstColumn="1" w:lastColumn="0" w:noHBand="0" w:noVBand="1"/>
      </w:tblPr>
      <w:tblGrid>
        <w:gridCol w:w="1101"/>
        <w:gridCol w:w="2899"/>
        <w:gridCol w:w="500"/>
        <w:gridCol w:w="1586"/>
        <w:gridCol w:w="1701"/>
        <w:gridCol w:w="1060"/>
      </w:tblGrid>
      <w:tr w:rsidR="00694299" w:rsidRPr="00694299" w14:paraId="2E81F5A2" w14:textId="77777777" w:rsidTr="00095223">
        <w:trPr>
          <w:divId w:val="2021809284"/>
          <w:trHeight w:val="324"/>
        </w:trPr>
        <w:tc>
          <w:tcPr>
            <w:tcW w:w="11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26EBA23" w14:textId="2F37DECD"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89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CE7A8FA"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E4A7DF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5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ACF9CBC"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9BCCBFD"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AEA6DC6"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258D5B70" w14:textId="77777777" w:rsidTr="00095223">
        <w:trPr>
          <w:divId w:val="2021809284"/>
          <w:trHeight w:val="324"/>
        </w:trPr>
        <w:tc>
          <w:tcPr>
            <w:tcW w:w="1101" w:type="dxa"/>
            <w:vMerge/>
            <w:tcBorders>
              <w:top w:val="single" w:sz="8" w:space="0" w:color="auto"/>
              <w:left w:val="single" w:sz="8" w:space="0" w:color="auto"/>
              <w:bottom w:val="single" w:sz="8" w:space="0" w:color="000000"/>
              <w:right w:val="single" w:sz="8" w:space="0" w:color="auto"/>
            </w:tcBorders>
            <w:vAlign w:val="center"/>
            <w:hideMark/>
          </w:tcPr>
          <w:p w14:paraId="4AB9243D"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899" w:type="dxa"/>
            <w:vMerge/>
            <w:tcBorders>
              <w:top w:val="single" w:sz="8" w:space="0" w:color="auto"/>
              <w:left w:val="single" w:sz="8" w:space="0" w:color="auto"/>
              <w:bottom w:val="single" w:sz="8" w:space="0" w:color="000000"/>
              <w:right w:val="single" w:sz="8" w:space="0" w:color="auto"/>
            </w:tcBorders>
            <w:vAlign w:val="center"/>
            <w:hideMark/>
          </w:tcPr>
          <w:p w14:paraId="3BB0109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C78BE2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6F22D2F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2603A1E6"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7466C480"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4337CCF1" w14:textId="77777777" w:rsidTr="00095223">
        <w:trPr>
          <w:divId w:val="2021809284"/>
          <w:trHeight w:val="540"/>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3AF991C2"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5.3.3.</w:t>
            </w:r>
          </w:p>
        </w:tc>
        <w:tc>
          <w:tcPr>
            <w:tcW w:w="2899" w:type="dxa"/>
            <w:tcBorders>
              <w:top w:val="nil"/>
              <w:left w:val="nil"/>
              <w:bottom w:val="single" w:sz="8" w:space="0" w:color="auto"/>
              <w:right w:val="single" w:sz="8" w:space="0" w:color="auto"/>
            </w:tcBorders>
            <w:shd w:val="clear" w:color="auto" w:fill="auto"/>
            <w:vAlign w:val="center"/>
            <w:hideMark/>
          </w:tcPr>
          <w:p w14:paraId="1359908D"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Resultados negativos por ventas e intercambio de bienes</w:t>
            </w:r>
          </w:p>
        </w:tc>
        <w:tc>
          <w:tcPr>
            <w:tcW w:w="500" w:type="dxa"/>
            <w:tcBorders>
              <w:top w:val="nil"/>
              <w:left w:val="nil"/>
              <w:bottom w:val="single" w:sz="8" w:space="0" w:color="auto"/>
              <w:right w:val="single" w:sz="8" w:space="0" w:color="auto"/>
            </w:tcBorders>
            <w:shd w:val="clear" w:color="auto" w:fill="auto"/>
            <w:noWrap/>
            <w:vAlign w:val="center"/>
            <w:hideMark/>
          </w:tcPr>
          <w:p w14:paraId="6E0B393A"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71</w:t>
            </w:r>
          </w:p>
        </w:tc>
        <w:tc>
          <w:tcPr>
            <w:tcW w:w="1586" w:type="dxa"/>
            <w:tcBorders>
              <w:top w:val="nil"/>
              <w:left w:val="nil"/>
              <w:bottom w:val="single" w:sz="8" w:space="0" w:color="auto"/>
              <w:right w:val="single" w:sz="8" w:space="0" w:color="auto"/>
            </w:tcBorders>
            <w:shd w:val="clear" w:color="auto" w:fill="auto"/>
            <w:noWrap/>
            <w:vAlign w:val="center"/>
            <w:hideMark/>
          </w:tcPr>
          <w:p w14:paraId="3F9F5544"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701" w:type="dxa"/>
            <w:tcBorders>
              <w:top w:val="nil"/>
              <w:left w:val="nil"/>
              <w:bottom w:val="single" w:sz="8" w:space="0" w:color="auto"/>
              <w:right w:val="single" w:sz="8" w:space="0" w:color="auto"/>
            </w:tcBorders>
            <w:shd w:val="clear" w:color="auto" w:fill="auto"/>
            <w:noWrap/>
            <w:vAlign w:val="center"/>
            <w:hideMark/>
          </w:tcPr>
          <w:p w14:paraId="5E96DA75"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5C47A2A7"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060F14CD" w14:textId="1C62F638" w:rsidR="00694299" w:rsidRPr="00694299" w:rsidRDefault="00495CDD"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NOTAS_POR_CUENTA!F405C8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51362A5D" w14:textId="77777777" w:rsidR="00694299" w:rsidRPr="00694299" w:rsidRDefault="00694299" w:rsidP="000F5FB8">
      <w:pPr>
        <w:spacing w:line="240" w:lineRule="auto"/>
        <w:rPr>
          <w:rFonts w:eastAsia="Times New Roman" w:cs="Calibri"/>
          <w:color w:val="000000"/>
          <w:lang w:eastAsia="es-CR"/>
        </w:rPr>
      </w:pPr>
      <w:r w:rsidRPr="00694299">
        <w:rPr>
          <w:rFonts w:eastAsia="Times New Roman" w:cs="Calibri"/>
          <w:color w:val="000000"/>
          <w:lang w:eastAsia="es-CR"/>
        </w:rPr>
        <w:t>La cuenta Resultados negativos por ventas e intercambio de bienes, representa el 0,00% del total del Gastos, que comparado al periodo anterior genera una variación absoluta de 0 000,00 que corresponde a un Aumento del 0,00% de recursos disponibles.</w:t>
      </w:r>
    </w:p>
    <w:p w14:paraId="2310ED17" w14:textId="4B1733BA" w:rsidR="00692DC8" w:rsidRDefault="00495CDD" w:rsidP="000F5FB8">
      <w:pPr>
        <w:spacing w:line="240" w:lineRule="auto"/>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bookmarkStart w:id="961" w:name="_Toc82769061"/>
    </w:p>
    <w:p w14:paraId="77378375" w14:textId="77777777" w:rsidR="00AB122F" w:rsidRPr="00305662" w:rsidRDefault="00AB122F" w:rsidP="00E3707A">
      <w:pPr>
        <w:rPr>
          <w:rFonts w:eastAsiaTheme="minorEastAsia" w:cs="Arial Narrow"/>
          <w:color w:val="000000"/>
          <w:lang w:eastAsia="es-CR"/>
        </w:rPr>
      </w:pPr>
    </w:p>
    <w:p w14:paraId="31C80C29" w14:textId="73B9F550" w:rsidR="00692DC8" w:rsidRPr="00692DC8" w:rsidRDefault="00692DC8" w:rsidP="00E3707A">
      <w:pPr>
        <w:pStyle w:val="Ttulo3"/>
        <w:spacing w:after="240"/>
        <w:rPr>
          <w:rFonts w:eastAsia="Calibri"/>
          <w:lang w:eastAsia="es-CR"/>
        </w:rPr>
      </w:pPr>
      <w:bookmarkStart w:id="962" w:name="_Toc173245315"/>
      <w:r w:rsidRPr="00692DC8">
        <w:rPr>
          <w:rFonts w:eastAsia="Calibri"/>
          <w:lang w:eastAsia="es-CR"/>
        </w:rPr>
        <w:t>5.4 TRANSFERENCIAS</w:t>
      </w:r>
      <w:bookmarkEnd w:id="961"/>
      <w:bookmarkEnd w:id="962"/>
    </w:p>
    <w:p w14:paraId="628759C2" w14:textId="77777777" w:rsidR="00692DC8" w:rsidRPr="00692DC8" w:rsidRDefault="00692DC8" w:rsidP="00E3707A">
      <w:pPr>
        <w:pStyle w:val="Ttulo4"/>
        <w:spacing w:after="240"/>
        <w:rPr>
          <w:rFonts w:eastAsia="Times New Roman"/>
        </w:rPr>
      </w:pPr>
      <w:bookmarkStart w:id="963" w:name="_Toc14344989"/>
      <w:bookmarkStart w:id="964" w:name="_Toc33601343"/>
      <w:bookmarkStart w:id="965" w:name="_Toc82769062"/>
      <w:bookmarkStart w:id="966" w:name="_Toc173245316"/>
      <w:r w:rsidRPr="00692DC8">
        <w:rPr>
          <w:rFonts w:eastAsia="Times New Roman"/>
        </w:rPr>
        <w:t>NOTA N° 7</w:t>
      </w:r>
      <w:bookmarkEnd w:id="963"/>
      <w:bookmarkEnd w:id="964"/>
      <w:bookmarkEnd w:id="965"/>
      <w:r w:rsidRPr="00692DC8">
        <w:rPr>
          <w:rFonts w:eastAsia="Times New Roman"/>
        </w:rPr>
        <w:t>2</w:t>
      </w:r>
      <w:bookmarkEnd w:id="966"/>
    </w:p>
    <w:p w14:paraId="2E9BC653" w14:textId="77777777" w:rsidR="00095223" w:rsidRDefault="00692DC8" w:rsidP="00095223">
      <w:pPr>
        <w:spacing w:before="120" w:after="0" w:line="240" w:lineRule="auto"/>
        <w:rPr>
          <w:rFonts w:eastAsia="Times New Roman"/>
        </w:rPr>
      </w:pPr>
      <w:bookmarkStart w:id="967" w:name="_Toc14344990"/>
      <w:bookmarkStart w:id="968" w:name="_Toc33601344"/>
      <w:bookmarkStart w:id="969" w:name="_Toc82769063"/>
      <w:r w:rsidRPr="00692DC8">
        <w:rPr>
          <w:rFonts w:eastAsia="Times New Roman"/>
        </w:rPr>
        <w:t>Transferencias corrientes</w:t>
      </w:r>
      <w:bookmarkEnd w:id="967"/>
      <w:bookmarkEnd w:id="968"/>
      <w:bookmarkEnd w:id="969"/>
    </w:p>
    <w:bookmarkStart w:id="970" w:name="_Hlk124010823"/>
    <w:p w14:paraId="2B214EA0" w14:textId="02F2127F" w:rsidR="00C572A3" w:rsidRDefault="00095223" w:rsidP="001A48B7">
      <w:pPr>
        <w:spacing w:after="0" w:line="240" w:lineRule="auto"/>
        <w:rPr>
          <w:rFonts w:asciiTheme="minorHAnsi" w:hAnsiTheme="minorHAnsi"/>
          <w:sz w:val="22"/>
        </w:rPr>
      </w:pPr>
      <w:r>
        <w:fldChar w:fldCharType="begin"/>
      </w:r>
      <w:r>
        <w:instrText xml:space="preserve"> LINK </w:instrText>
      </w:r>
      <w:r w:rsidR="0068177A">
        <w:instrText xml:space="preserve">Excel.SheetMacroEnabled.12 "C:\\Users\\arges\\OneDrive\\Desktop\\Municipalidades\\Buenos Aires\\Cierre Junio 2024\\Notas Contables\\15603_T02_2024_Anexo_Estado_Notas_Contables_Vinculadas.xlsm" NOTAS_POR_CUENTA!R407C1:R409C6 </w:instrText>
      </w:r>
      <w:r>
        <w:instrText xml:space="preserve">\a \f 4 \h </w:instrText>
      </w:r>
      <w:r w:rsidR="00FB041D">
        <w:instrText xml:space="preserve"> \* MERGEFORMAT </w:instrText>
      </w:r>
      <w:r>
        <w:fldChar w:fldCharType="separate"/>
      </w:r>
    </w:p>
    <w:tbl>
      <w:tblPr>
        <w:tblW w:w="9433" w:type="dxa"/>
        <w:tblLook w:val="04A0" w:firstRow="1" w:lastRow="0" w:firstColumn="1" w:lastColumn="0" w:noHBand="0" w:noVBand="1"/>
      </w:tblPr>
      <w:tblGrid>
        <w:gridCol w:w="717"/>
        <w:gridCol w:w="3044"/>
        <w:gridCol w:w="544"/>
        <w:gridCol w:w="2059"/>
        <w:gridCol w:w="2059"/>
        <w:gridCol w:w="1010"/>
      </w:tblGrid>
      <w:tr w:rsidR="00C572A3" w:rsidRPr="00C572A3" w14:paraId="1C5832B9" w14:textId="77777777" w:rsidTr="00FB041D">
        <w:trPr>
          <w:divId w:val="1127313045"/>
          <w:trHeight w:val="282"/>
        </w:trPr>
        <w:tc>
          <w:tcPr>
            <w:tcW w:w="67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8F5B064" w14:textId="2135E1BA" w:rsidR="00C572A3" w:rsidRPr="00C572A3" w:rsidRDefault="00C572A3" w:rsidP="00C572A3">
            <w:pPr>
              <w:spacing w:after="0" w:line="240" w:lineRule="auto"/>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Cuenta </w:t>
            </w:r>
          </w:p>
        </w:tc>
        <w:tc>
          <w:tcPr>
            <w:tcW w:w="3125"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47CD5C2"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Descripción</w:t>
            </w:r>
          </w:p>
        </w:tc>
        <w:tc>
          <w:tcPr>
            <w:tcW w:w="509"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4211678"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Nota</w:t>
            </w:r>
          </w:p>
        </w:tc>
        <w:tc>
          <w:tcPr>
            <w:tcW w:w="2059"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467CCC4"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Actual </w:t>
            </w:r>
          </w:p>
        </w:tc>
        <w:tc>
          <w:tcPr>
            <w:tcW w:w="2059"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D274681"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Anterior </w:t>
            </w:r>
          </w:p>
        </w:tc>
        <w:tc>
          <w:tcPr>
            <w:tcW w:w="1010" w:type="dxa"/>
            <w:tcBorders>
              <w:top w:val="single" w:sz="8" w:space="0" w:color="auto"/>
              <w:left w:val="nil"/>
              <w:bottom w:val="single" w:sz="8" w:space="0" w:color="auto"/>
              <w:right w:val="single" w:sz="8" w:space="0" w:color="auto"/>
            </w:tcBorders>
            <w:shd w:val="clear" w:color="000000" w:fill="366092"/>
            <w:noWrap/>
            <w:vAlign w:val="center"/>
            <w:hideMark/>
          </w:tcPr>
          <w:p w14:paraId="46C8B1C2"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Diferencia </w:t>
            </w:r>
          </w:p>
        </w:tc>
      </w:tr>
      <w:tr w:rsidR="00C572A3" w:rsidRPr="00C572A3" w14:paraId="419A4656" w14:textId="77777777" w:rsidTr="00FB041D">
        <w:trPr>
          <w:divId w:val="1127313045"/>
          <w:trHeight w:val="282"/>
        </w:trPr>
        <w:tc>
          <w:tcPr>
            <w:tcW w:w="671" w:type="dxa"/>
            <w:vMerge/>
            <w:tcBorders>
              <w:top w:val="single" w:sz="8" w:space="0" w:color="auto"/>
              <w:left w:val="single" w:sz="8" w:space="0" w:color="auto"/>
              <w:bottom w:val="single" w:sz="8" w:space="0" w:color="000000"/>
              <w:right w:val="single" w:sz="8" w:space="0" w:color="auto"/>
            </w:tcBorders>
            <w:vAlign w:val="center"/>
            <w:hideMark/>
          </w:tcPr>
          <w:p w14:paraId="7E9EB57A"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3125" w:type="dxa"/>
            <w:vMerge/>
            <w:tcBorders>
              <w:top w:val="single" w:sz="8" w:space="0" w:color="auto"/>
              <w:left w:val="single" w:sz="8" w:space="0" w:color="auto"/>
              <w:bottom w:val="single" w:sz="8" w:space="0" w:color="000000"/>
              <w:right w:val="single" w:sz="8" w:space="0" w:color="auto"/>
            </w:tcBorders>
            <w:vAlign w:val="center"/>
            <w:hideMark/>
          </w:tcPr>
          <w:p w14:paraId="29A4F418"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509" w:type="dxa"/>
            <w:vMerge/>
            <w:tcBorders>
              <w:top w:val="single" w:sz="8" w:space="0" w:color="auto"/>
              <w:left w:val="single" w:sz="8" w:space="0" w:color="auto"/>
              <w:bottom w:val="single" w:sz="8" w:space="0" w:color="000000"/>
              <w:right w:val="single" w:sz="8" w:space="0" w:color="auto"/>
            </w:tcBorders>
            <w:vAlign w:val="center"/>
            <w:hideMark/>
          </w:tcPr>
          <w:p w14:paraId="3835106A"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059" w:type="dxa"/>
            <w:vMerge/>
            <w:tcBorders>
              <w:top w:val="single" w:sz="8" w:space="0" w:color="auto"/>
              <w:left w:val="single" w:sz="8" w:space="0" w:color="auto"/>
              <w:bottom w:val="single" w:sz="8" w:space="0" w:color="000000"/>
              <w:right w:val="single" w:sz="8" w:space="0" w:color="auto"/>
            </w:tcBorders>
            <w:vAlign w:val="center"/>
            <w:hideMark/>
          </w:tcPr>
          <w:p w14:paraId="66C38839"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059" w:type="dxa"/>
            <w:vMerge/>
            <w:tcBorders>
              <w:top w:val="single" w:sz="8" w:space="0" w:color="auto"/>
              <w:left w:val="single" w:sz="8" w:space="0" w:color="auto"/>
              <w:bottom w:val="single" w:sz="8" w:space="0" w:color="000000"/>
              <w:right w:val="single" w:sz="8" w:space="0" w:color="auto"/>
            </w:tcBorders>
            <w:vAlign w:val="center"/>
            <w:hideMark/>
          </w:tcPr>
          <w:p w14:paraId="764DEB1D"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1010" w:type="dxa"/>
            <w:tcBorders>
              <w:top w:val="nil"/>
              <w:left w:val="nil"/>
              <w:bottom w:val="single" w:sz="8" w:space="0" w:color="auto"/>
              <w:right w:val="single" w:sz="8" w:space="0" w:color="auto"/>
            </w:tcBorders>
            <w:shd w:val="clear" w:color="000000" w:fill="366092"/>
            <w:noWrap/>
            <w:vAlign w:val="center"/>
            <w:hideMark/>
          </w:tcPr>
          <w:p w14:paraId="2641B3C5" w14:textId="77777777" w:rsidR="00C572A3" w:rsidRPr="00C572A3" w:rsidRDefault="00C572A3" w:rsidP="00C572A3">
            <w:pPr>
              <w:spacing w:after="0" w:line="240" w:lineRule="auto"/>
              <w:jc w:val="center"/>
              <w:rPr>
                <w:rFonts w:eastAsia="Times New Roman" w:cs="Calibri"/>
                <w:color w:val="FFFFFF"/>
                <w:sz w:val="18"/>
                <w:szCs w:val="18"/>
                <w:lang w:val="en-US"/>
              </w:rPr>
            </w:pPr>
            <w:r w:rsidRPr="00C572A3">
              <w:rPr>
                <w:rFonts w:eastAsia="Times New Roman" w:cs="Calibri"/>
                <w:color w:val="FFFFFF"/>
                <w:sz w:val="18"/>
                <w:szCs w:val="18"/>
                <w:lang w:val="en-US"/>
              </w:rPr>
              <w:t>%</w:t>
            </w:r>
          </w:p>
        </w:tc>
      </w:tr>
      <w:tr w:rsidR="00C572A3" w:rsidRPr="00C572A3" w14:paraId="4274E917" w14:textId="77777777" w:rsidTr="00FB041D">
        <w:trPr>
          <w:divId w:val="1127313045"/>
          <w:trHeight w:val="282"/>
        </w:trPr>
        <w:tc>
          <w:tcPr>
            <w:tcW w:w="671" w:type="dxa"/>
            <w:tcBorders>
              <w:top w:val="nil"/>
              <w:left w:val="single" w:sz="8" w:space="0" w:color="auto"/>
              <w:bottom w:val="single" w:sz="8" w:space="0" w:color="auto"/>
              <w:right w:val="single" w:sz="8" w:space="0" w:color="auto"/>
            </w:tcBorders>
            <w:shd w:val="clear" w:color="auto" w:fill="auto"/>
            <w:noWrap/>
            <w:vAlign w:val="center"/>
            <w:hideMark/>
          </w:tcPr>
          <w:p w14:paraId="56892CCE" w14:textId="77777777" w:rsidR="00C572A3" w:rsidRPr="00C572A3" w:rsidRDefault="00C572A3" w:rsidP="00C572A3">
            <w:pPr>
              <w:spacing w:after="0" w:line="240" w:lineRule="auto"/>
              <w:jc w:val="left"/>
              <w:rPr>
                <w:rFonts w:eastAsia="Times New Roman" w:cs="Calibri"/>
                <w:b/>
                <w:bCs/>
                <w:color w:val="000000"/>
                <w:sz w:val="18"/>
                <w:szCs w:val="18"/>
                <w:lang w:val="en-US"/>
              </w:rPr>
            </w:pPr>
            <w:r w:rsidRPr="00C572A3">
              <w:rPr>
                <w:rFonts w:eastAsia="Times New Roman" w:cs="Calibri"/>
                <w:b/>
                <w:bCs/>
                <w:color w:val="000000"/>
                <w:sz w:val="18"/>
                <w:szCs w:val="18"/>
                <w:lang w:val="en-US"/>
              </w:rPr>
              <w:t>5.4.1.</w:t>
            </w:r>
          </w:p>
        </w:tc>
        <w:tc>
          <w:tcPr>
            <w:tcW w:w="3125" w:type="dxa"/>
            <w:tcBorders>
              <w:top w:val="nil"/>
              <w:left w:val="nil"/>
              <w:bottom w:val="single" w:sz="8" w:space="0" w:color="auto"/>
              <w:right w:val="single" w:sz="8" w:space="0" w:color="auto"/>
            </w:tcBorders>
            <w:shd w:val="clear" w:color="auto" w:fill="auto"/>
            <w:vAlign w:val="center"/>
            <w:hideMark/>
          </w:tcPr>
          <w:p w14:paraId="6788B353" w14:textId="77777777" w:rsidR="00C572A3" w:rsidRPr="00C572A3" w:rsidRDefault="00C572A3" w:rsidP="00C572A3">
            <w:pPr>
              <w:spacing w:after="0" w:line="240" w:lineRule="auto"/>
              <w:rPr>
                <w:rFonts w:eastAsia="Times New Roman" w:cs="Calibri"/>
                <w:b/>
                <w:bCs/>
                <w:color w:val="000000"/>
                <w:sz w:val="18"/>
                <w:szCs w:val="18"/>
                <w:lang w:val="en-US"/>
              </w:rPr>
            </w:pPr>
            <w:r w:rsidRPr="00C572A3">
              <w:rPr>
                <w:rFonts w:eastAsia="Times New Roman" w:cs="Calibri"/>
                <w:b/>
                <w:bCs/>
                <w:color w:val="000000"/>
                <w:sz w:val="18"/>
                <w:szCs w:val="18"/>
                <w:lang w:val="en-US"/>
              </w:rPr>
              <w:t>Transferencias corrientes</w:t>
            </w:r>
          </w:p>
        </w:tc>
        <w:tc>
          <w:tcPr>
            <w:tcW w:w="509" w:type="dxa"/>
            <w:tcBorders>
              <w:top w:val="nil"/>
              <w:left w:val="nil"/>
              <w:bottom w:val="single" w:sz="8" w:space="0" w:color="auto"/>
              <w:right w:val="single" w:sz="8" w:space="0" w:color="auto"/>
            </w:tcBorders>
            <w:shd w:val="clear" w:color="auto" w:fill="auto"/>
            <w:noWrap/>
            <w:vAlign w:val="center"/>
            <w:hideMark/>
          </w:tcPr>
          <w:p w14:paraId="025464DA"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72</w:t>
            </w:r>
          </w:p>
        </w:tc>
        <w:tc>
          <w:tcPr>
            <w:tcW w:w="2059" w:type="dxa"/>
            <w:tcBorders>
              <w:top w:val="nil"/>
              <w:left w:val="nil"/>
              <w:bottom w:val="single" w:sz="8" w:space="0" w:color="auto"/>
              <w:right w:val="single" w:sz="8" w:space="0" w:color="auto"/>
            </w:tcBorders>
            <w:shd w:val="clear" w:color="auto" w:fill="auto"/>
            <w:noWrap/>
            <w:vAlign w:val="center"/>
            <w:hideMark/>
          </w:tcPr>
          <w:p w14:paraId="7AADAFAC"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122 247,40 </w:t>
            </w:r>
          </w:p>
        </w:tc>
        <w:tc>
          <w:tcPr>
            <w:tcW w:w="2059" w:type="dxa"/>
            <w:tcBorders>
              <w:top w:val="nil"/>
              <w:left w:val="nil"/>
              <w:bottom w:val="single" w:sz="8" w:space="0" w:color="auto"/>
              <w:right w:val="single" w:sz="8" w:space="0" w:color="auto"/>
            </w:tcBorders>
            <w:shd w:val="clear" w:color="auto" w:fill="auto"/>
            <w:noWrap/>
            <w:vAlign w:val="center"/>
            <w:hideMark/>
          </w:tcPr>
          <w:p w14:paraId="74394754"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60 703,67 </w:t>
            </w:r>
          </w:p>
        </w:tc>
        <w:tc>
          <w:tcPr>
            <w:tcW w:w="1010" w:type="dxa"/>
            <w:tcBorders>
              <w:top w:val="nil"/>
              <w:left w:val="nil"/>
              <w:bottom w:val="single" w:sz="8" w:space="0" w:color="auto"/>
              <w:right w:val="single" w:sz="8" w:space="0" w:color="auto"/>
            </w:tcBorders>
            <w:shd w:val="clear" w:color="auto" w:fill="auto"/>
            <w:noWrap/>
            <w:vAlign w:val="center"/>
            <w:hideMark/>
          </w:tcPr>
          <w:p w14:paraId="54725D5F"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101,38%</w:t>
            </w:r>
          </w:p>
        </w:tc>
      </w:tr>
    </w:tbl>
    <w:p w14:paraId="1F409C53" w14:textId="77777777" w:rsidR="001A48B7" w:rsidRDefault="00095223" w:rsidP="001A48B7">
      <w:pPr>
        <w:spacing w:after="0" w:line="240" w:lineRule="auto"/>
        <w:rPr>
          <w:szCs w:val="24"/>
        </w:rPr>
      </w:pPr>
      <w:r>
        <w:rPr>
          <w:szCs w:val="24"/>
        </w:rPr>
        <w:fldChar w:fldCharType="end"/>
      </w:r>
    </w:p>
    <w:p w14:paraId="5861231F" w14:textId="6F47597A" w:rsidR="00E3707A" w:rsidRDefault="00692DC8" w:rsidP="001A48B7">
      <w:pPr>
        <w:spacing w:after="0" w:line="240" w:lineRule="auto"/>
        <w:rPr>
          <w:szCs w:val="24"/>
        </w:rPr>
      </w:pPr>
      <w:r w:rsidRPr="00692DC8">
        <w:rPr>
          <w:szCs w:val="24"/>
        </w:rPr>
        <w:t>Detalle:</w:t>
      </w:r>
    </w:p>
    <w:p w14:paraId="66166E3F" w14:textId="77777777" w:rsidR="001A48B7" w:rsidRDefault="001A48B7" w:rsidP="001A48B7">
      <w:pPr>
        <w:spacing w:after="0" w:line="240" w:lineRule="auto"/>
        <w:rPr>
          <w:szCs w:val="24"/>
        </w:rPr>
      </w:pPr>
    </w:p>
    <w:tbl>
      <w:tblPr>
        <w:tblW w:w="5093" w:type="dxa"/>
        <w:tblCellMar>
          <w:left w:w="70" w:type="dxa"/>
          <w:right w:w="70" w:type="dxa"/>
        </w:tblCellMar>
        <w:tblLook w:val="04A0" w:firstRow="1" w:lastRow="0" w:firstColumn="1" w:lastColumn="0" w:noHBand="0" w:noVBand="1"/>
      </w:tblPr>
      <w:tblGrid>
        <w:gridCol w:w="1240"/>
        <w:gridCol w:w="3853"/>
      </w:tblGrid>
      <w:tr w:rsidR="006D2D75" w:rsidRPr="006D2D75" w14:paraId="4C50F1F7" w14:textId="77777777" w:rsidTr="003E7EF1">
        <w:trPr>
          <w:trHeight w:val="288"/>
        </w:trPr>
        <w:tc>
          <w:tcPr>
            <w:tcW w:w="1240" w:type="dxa"/>
            <w:tcBorders>
              <w:top w:val="single" w:sz="8" w:space="0" w:color="auto"/>
              <w:left w:val="single" w:sz="8" w:space="0" w:color="auto"/>
              <w:bottom w:val="nil"/>
              <w:right w:val="single" w:sz="8" w:space="0" w:color="auto"/>
            </w:tcBorders>
            <w:shd w:val="clear" w:color="000000" w:fill="366092"/>
            <w:noWrap/>
            <w:vAlign w:val="center"/>
            <w:hideMark/>
          </w:tcPr>
          <w:p w14:paraId="6926FD52" w14:textId="77777777" w:rsidR="006D2D75" w:rsidRPr="006D2D75" w:rsidRDefault="006D2D75" w:rsidP="006D2D75">
            <w:pPr>
              <w:spacing w:after="0" w:line="240" w:lineRule="auto"/>
              <w:rPr>
                <w:rFonts w:eastAsia="Times New Roman" w:cs="Calibri"/>
                <w:b/>
                <w:bCs/>
                <w:color w:val="FFFFFF"/>
                <w:sz w:val="18"/>
                <w:szCs w:val="18"/>
                <w:lang w:eastAsia="es-CR"/>
              </w:rPr>
            </w:pPr>
            <w:r w:rsidRPr="006D2D75">
              <w:rPr>
                <w:rFonts w:eastAsia="Times New Roman" w:cs="Calibri"/>
                <w:b/>
                <w:bCs/>
                <w:color w:val="FFFFFF"/>
                <w:sz w:val="18"/>
                <w:szCs w:val="18"/>
                <w:lang w:eastAsia="es-CR"/>
              </w:rPr>
              <w:t xml:space="preserve">Cuenta </w:t>
            </w:r>
          </w:p>
        </w:tc>
        <w:tc>
          <w:tcPr>
            <w:tcW w:w="3853" w:type="dxa"/>
            <w:tcBorders>
              <w:top w:val="single" w:sz="8" w:space="0" w:color="auto"/>
              <w:left w:val="nil"/>
              <w:bottom w:val="nil"/>
              <w:right w:val="single" w:sz="8" w:space="0" w:color="auto"/>
            </w:tcBorders>
            <w:shd w:val="clear" w:color="000000" w:fill="366092"/>
            <w:vAlign w:val="center"/>
            <w:hideMark/>
          </w:tcPr>
          <w:p w14:paraId="17D11CF7" w14:textId="77777777" w:rsidR="006D2D75" w:rsidRPr="006D2D75" w:rsidRDefault="006D2D75" w:rsidP="006D2D75">
            <w:pPr>
              <w:spacing w:after="0" w:line="240" w:lineRule="auto"/>
              <w:jc w:val="center"/>
              <w:rPr>
                <w:rFonts w:eastAsia="Times New Roman" w:cs="Calibri"/>
                <w:b/>
                <w:bCs/>
                <w:color w:val="FFFFFF"/>
                <w:sz w:val="18"/>
                <w:szCs w:val="18"/>
                <w:lang w:eastAsia="es-CR"/>
              </w:rPr>
            </w:pPr>
            <w:r w:rsidRPr="006D2D75">
              <w:rPr>
                <w:rFonts w:eastAsia="Times New Roman" w:cs="Calibri"/>
                <w:b/>
                <w:bCs/>
                <w:color w:val="FFFFFF"/>
                <w:sz w:val="18"/>
                <w:szCs w:val="18"/>
                <w:lang w:eastAsia="es-CR"/>
              </w:rPr>
              <w:t xml:space="preserve">Descripción </w:t>
            </w:r>
          </w:p>
        </w:tc>
      </w:tr>
      <w:tr w:rsidR="006D2D75" w:rsidRPr="006D2D75" w14:paraId="4FABCB94" w14:textId="77777777" w:rsidTr="003E7EF1">
        <w:trPr>
          <w:trHeight w:val="54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585F8073" w14:textId="77777777" w:rsidR="006D2D75" w:rsidRPr="006D2D75" w:rsidRDefault="006D2D75" w:rsidP="006D2D75">
            <w:pPr>
              <w:spacing w:after="0" w:line="240" w:lineRule="auto"/>
              <w:rPr>
                <w:rFonts w:eastAsia="Times New Roman" w:cs="Calibri"/>
                <w:b/>
                <w:bCs/>
                <w:color w:val="000000"/>
                <w:sz w:val="18"/>
                <w:szCs w:val="18"/>
                <w:lang w:eastAsia="es-CR"/>
              </w:rPr>
            </w:pPr>
            <w:r w:rsidRPr="006D2D75">
              <w:rPr>
                <w:rFonts w:eastAsia="Calibri" w:cs="Times New Roman"/>
                <w:b/>
                <w:bCs/>
                <w:color w:val="000000"/>
                <w:sz w:val="18"/>
                <w:szCs w:val="18"/>
                <w:lang w:eastAsia="es-CR"/>
              </w:rPr>
              <w:t>5.4.1.02.</w:t>
            </w:r>
          </w:p>
        </w:tc>
        <w:tc>
          <w:tcPr>
            <w:tcW w:w="3853" w:type="dxa"/>
            <w:tcBorders>
              <w:top w:val="nil"/>
              <w:left w:val="nil"/>
              <w:bottom w:val="single" w:sz="8" w:space="0" w:color="auto"/>
              <w:right w:val="single" w:sz="8" w:space="0" w:color="auto"/>
            </w:tcBorders>
            <w:shd w:val="clear" w:color="auto" w:fill="auto"/>
            <w:vAlign w:val="center"/>
            <w:hideMark/>
          </w:tcPr>
          <w:p w14:paraId="62CF8EF2" w14:textId="77777777" w:rsidR="006D2D75" w:rsidRPr="006D2D75" w:rsidRDefault="006D2D75" w:rsidP="006D2D75">
            <w:pPr>
              <w:spacing w:after="0" w:line="240" w:lineRule="auto"/>
              <w:rPr>
                <w:rFonts w:eastAsia="Times New Roman" w:cs="Calibri"/>
                <w:b/>
                <w:bCs/>
                <w:color w:val="000000"/>
                <w:sz w:val="18"/>
                <w:szCs w:val="18"/>
                <w:lang w:eastAsia="es-CR"/>
              </w:rPr>
            </w:pPr>
            <w:r w:rsidRPr="006D2D75">
              <w:rPr>
                <w:rFonts w:eastAsia="Calibri" w:cs="Times New Roman"/>
                <w:b/>
                <w:bCs/>
                <w:color w:val="000000"/>
                <w:sz w:val="18"/>
                <w:szCs w:val="18"/>
                <w:lang w:eastAsia="es-CR"/>
              </w:rPr>
              <w:t>Transferencias corrientes del sector público interno</w:t>
            </w:r>
          </w:p>
        </w:tc>
      </w:tr>
    </w:tbl>
    <w:p w14:paraId="3420AA7A" w14:textId="77777777" w:rsidR="00AB122F" w:rsidRDefault="00AB122F" w:rsidP="001A48B7">
      <w:pPr>
        <w:spacing w:after="0" w:line="240" w:lineRule="auto"/>
        <w:rPr>
          <w:szCs w:val="24"/>
        </w:rPr>
      </w:pPr>
    </w:p>
    <w:tbl>
      <w:tblPr>
        <w:tblW w:w="8979" w:type="dxa"/>
        <w:tblLook w:val="04A0" w:firstRow="1" w:lastRow="0" w:firstColumn="1" w:lastColumn="0" w:noHBand="0" w:noVBand="1"/>
      </w:tblPr>
      <w:tblGrid>
        <w:gridCol w:w="823"/>
        <w:gridCol w:w="4129"/>
        <w:gridCol w:w="992"/>
        <w:gridCol w:w="979"/>
        <w:gridCol w:w="1028"/>
        <w:gridCol w:w="1028"/>
      </w:tblGrid>
      <w:tr w:rsidR="003E7EF1" w:rsidRPr="003E7EF1" w14:paraId="005ACAA1" w14:textId="77777777" w:rsidTr="003E7EF1">
        <w:trPr>
          <w:trHeight w:val="470"/>
        </w:trPr>
        <w:tc>
          <w:tcPr>
            <w:tcW w:w="823" w:type="dxa"/>
            <w:tcBorders>
              <w:top w:val="single" w:sz="8" w:space="0" w:color="auto"/>
              <w:left w:val="single" w:sz="8" w:space="0" w:color="auto"/>
              <w:bottom w:val="nil"/>
              <w:right w:val="single" w:sz="8" w:space="0" w:color="auto"/>
            </w:tcBorders>
            <w:shd w:val="clear" w:color="000000" w:fill="203764"/>
            <w:vAlign w:val="center"/>
            <w:hideMark/>
          </w:tcPr>
          <w:bookmarkEnd w:id="970"/>
          <w:p w14:paraId="0E9D53ED" w14:textId="77777777" w:rsidR="003E7EF1" w:rsidRPr="003E7EF1" w:rsidRDefault="003E7EF1" w:rsidP="003E7EF1">
            <w:pPr>
              <w:spacing w:after="0" w:line="240" w:lineRule="auto"/>
              <w:jc w:val="center"/>
              <w:rPr>
                <w:rFonts w:eastAsia="Times New Roman" w:cs="Calibri"/>
                <w:color w:val="FFFFFF"/>
                <w:sz w:val="18"/>
                <w:szCs w:val="18"/>
                <w:lang w:val="en-US"/>
              </w:rPr>
            </w:pPr>
            <w:r w:rsidRPr="003E7EF1">
              <w:rPr>
                <w:rFonts w:eastAsia="Times New Roman" w:cs="Calibri"/>
                <w:color w:val="FFFFFF"/>
                <w:sz w:val="18"/>
                <w:szCs w:val="18"/>
                <w:lang w:val="en-US"/>
              </w:rPr>
              <w:t>CUENTA</w:t>
            </w:r>
          </w:p>
        </w:tc>
        <w:tc>
          <w:tcPr>
            <w:tcW w:w="4129" w:type="dxa"/>
            <w:tcBorders>
              <w:top w:val="single" w:sz="8" w:space="0" w:color="auto"/>
              <w:left w:val="nil"/>
              <w:bottom w:val="nil"/>
              <w:right w:val="single" w:sz="8" w:space="0" w:color="auto"/>
            </w:tcBorders>
            <w:shd w:val="clear" w:color="000000" w:fill="203764"/>
            <w:vAlign w:val="center"/>
            <w:hideMark/>
          </w:tcPr>
          <w:p w14:paraId="44A9762D" w14:textId="77777777" w:rsidR="003E7EF1" w:rsidRPr="003E7EF1" w:rsidRDefault="003E7EF1" w:rsidP="003E7EF1">
            <w:pPr>
              <w:spacing w:after="0" w:line="240" w:lineRule="auto"/>
              <w:jc w:val="center"/>
              <w:rPr>
                <w:rFonts w:eastAsia="Times New Roman" w:cs="Calibri"/>
                <w:color w:val="FFFFFF"/>
                <w:sz w:val="18"/>
                <w:szCs w:val="18"/>
                <w:lang w:val="en-US"/>
              </w:rPr>
            </w:pPr>
            <w:r w:rsidRPr="003E7EF1">
              <w:rPr>
                <w:rFonts w:eastAsia="Times New Roman" w:cs="Calibri"/>
                <w:color w:val="FFFFFF"/>
                <w:sz w:val="18"/>
                <w:szCs w:val="18"/>
                <w:lang w:val="en-US"/>
              </w:rPr>
              <w:t>DESCRIPCIÓN</w:t>
            </w:r>
          </w:p>
        </w:tc>
        <w:tc>
          <w:tcPr>
            <w:tcW w:w="992" w:type="dxa"/>
            <w:tcBorders>
              <w:top w:val="single" w:sz="8" w:space="0" w:color="auto"/>
              <w:left w:val="nil"/>
              <w:bottom w:val="nil"/>
              <w:right w:val="single" w:sz="8" w:space="0" w:color="auto"/>
            </w:tcBorders>
            <w:shd w:val="clear" w:color="000000" w:fill="203764"/>
            <w:vAlign w:val="center"/>
            <w:hideMark/>
          </w:tcPr>
          <w:p w14:paraId="34277656" w14:textId="77777777" w:rsidR="003E7EF1" w:rsidRPr="003E7EF1" w:rsidRDefault="003E7EF1" w:rsidP="003E7EF1">
            <w:pPr>
              <w:spacing w:after="0" w:line="240" w:lineRule="auto"/>
              <w:jc w:val="center"/>
              <w:rPr>
                <w:rFonts w:eastAsia="Times New Roman" w:cs="Calibri"/>
                <w:color w:val="FFFFFF"/>
                <w:sz w:val="18"/>
                <w:szCs w:val="18"/>
                <w:lang w:val="en-US"/>
              </w:rPr>
            </w:pPr>
            <w:r w:rsidRPr="003E7EF1">
              <w:rPr>
                <w:rFonts w:eastAsia="Times New Roman" w:cs="Calibri"/>
                <w:color w:val="FFFFFF"/>
                <w:sz w:val="18"/>
                <w:szCs w:val="18"/>
                <w:lang w:val="en-US"/>
              </w:rPr>
              <w:t>SALDO ACTUAL</w:t>
            </w:r>
          </w:p>
        </w:tc>
        <w:tc>
          <w:tcPr>
            <w:tcW w:w="979" w:type="dxa"/>
            <w:tcBorders>
              <w:top w:val="single" w:sz="8" w:space="0" w:color="auto"/>
              <w:left w:val="nil"/>
              <w:bottom w:val="nil"/>
              <w:right w:val="single" w:sz="8" w:space="0" w:color="auto"/>
            </w:tcBorders>
            <w:shd w:val="clear" w:color="000000" w:fill="203764"/>
            <w:vAlign w:val="center"/>
            <w:hideMark/>
          </w:tcPr>
          <w:p w14:paraId="68F3A0D9" w14:textId="77777777" w:rsidR="003E7EF1" w:rsidRPr="003E7EF1" w:rsidRDefault="003E7EF1" w:rsidP="003E7EF1">
            <w:pPr>
              <w:spacing w:after="0" w:line="240" w:lineRule="auto"/>
              <w:jc w:val="center"/>
              <w:rPr>
                <w:rFonts w:eastAsia="Times New Roman" w:cs="Calibri"/>
                <w:color w:val="FFFFFF"/>
                <w:sz w:val="18"/>
                <w:szCs w:val="18"/>
                <w:lang w:val="en-US"/>
              </w:rPr>
            </w:pPr>
            <w:r w:rsidRPr="003E7EF1">
              <w:rPr>
                <w:rFonts w:eastAsia="Times New Roman" w:cs="Calibri"/>
                <w:color w:val="FFFFFF"/>
                <w:sz w:val="18"/>
                <w:szCs w:val="18"/>
                <w:lang w:val="en-US"/>
              </w:rPr>
              <w:t>SALDO ANTERIOR</w:t>
            </w:r>
          </w:p>
        </w:tc>
        <w:tc>
          <w:tcPr>
            <w:tcW w:w="1028" w:type="dxa"/>
            <w:tcBorders>
              <w:top w:val="single" w:sz="8" w:space="0" w:color="auto"/>
              <w:left w:val="nil"/>
              <w:bottom w:val="nil"/>
              <w:right w:val="single" w:sz="8" w:space="0" w:color="auto"/>
            </w:tcBorders>
            <w:shd w:val="clear" w:color="000000" w:fill="203764"/>
            <w:vAlign w:val="center"/>
            <w:hideMark/>
          </w:tcPr>
          <w:p w14:paraId="656E9C57" w14:textId="77777777" w:rsidR="003E7EF1" w:rsidRPr="003E7EF1" w:rsidRDefault="003E7EF1" w:rsidP="003E7EF1">
            <w:pPr>
              <w:spacing w:after="0" w:line="240" w:lineRule="auto"/>
              <w:jc w:val="center"/>
              <w:rPr>
                <w:rFonts w:eastAsia="Times New Roman" w:cs="Calibri"/>
                <w:color w:val="FFFFFF"/>
                <w:sz w:val="18"/>
                <w:szCs w:val="18"/>
                <w:lang w:val="en-US"/>
              </w:rPr>
            </w:pPr>
            <w:r w:rsidRPr="003E7EF1">
              <w:rPr>
                <w:rFonts w:eastAsia="Times New Roman" w:cs="Calibri"/>
                <w:color w:val="FFFFFF"/>
                <w:sz w:val="18"/>
                <w:szCs w:val="18"/>
                <w:lang w:val="en-US"/>
              </w:rPr>
              <w:t>VARIACIÓN ABSOLUTA</w:t>
            </w:r>
          </w:p>
        </w:tc>
        <w:tc>
          <w:tcPr>
            <w:tcW w:w="1028" w:type="dxa"/>
            <w:tcBorders>
              <w:top w:val="single" w:sz="8" w:space="0" w:color="auto"/>
              <w:left w:val="nil"/>
              <w:bottom w:val="nil"/>
              <w:right w:val="single" w:sz="8" w:space="0" w:color="auto"/>
            </w:tcBorders>
            <w:shd w:val="clear" w:color="000000" w:fill="203764"/>
            <w:vAlign w:val="center"/>
            <w:hideMark/>
          </w:tcPr>
          <w:p w14:paraId="5F70AAF1" w14:textId="77777777" w:rsidR="003E7EF1" w:rsidRPr="003E7EF1" w:rsidRDefault="003E7EF1" w:rsidP="003E7EF1">
            <w:pPr>
              <w:spacing w:after="0" w:line="240" w:lineRule="auto"/>
              <w:jc w:val="center"/>
              <w:rPr>
                <w:rFonts w:eastAsia="Times New Roman" w:cs="Calibri"/>
                <w:color w:val="FFFFFF"/>
                <w:sz w:val="18"/>
                <w:szCs w:val="18"/>
                <w:lang w:val="en-US"/>
              </w:rPr>
            </w:pPr>
            <w:r w:rsidRPr="003E7EF1">
              <w:rPr>
                <w:rFonts w:eastAsia="Times New Roman" w:cs="Calibri"/>
                <w:color w:val="FFFFFF"/>
                <w:sz w:val="18"/>
                <w:szCs w:val="18"/>
                <w:lang w:val="en-US"/>
              </w:rPr>
              <w:t>VARIACIÓN %</w:t>
            </w:r>
          </w:p>
        </w:tc>
      </w:tr>
      <w:tr w:rsidR="003E7EF1" w:rsidRPr="003E7EF1" w14:paraId="05E6C241" w14:textId="77777777" w:rsidTr="003E7EF1">
        <w:trPr>
          <w:trHeight w:val="290"/>
        </w:trPr>
        <w:tc>
          <w:tcPr>
            <w:tcW w:w="823" w:type="dxa"/>
            <w:tcBorders>
              <w:top w:val="single" w:sz="8" w:space="0" w:color="auto"/>
              <w:left w:val="single" w:sz="8" w:space="0" w:color="auto"/>
              <w:bottom w:val="nil"/>
              <w:right w:val="single" w:sz="8" w:space="0" w:color="auto"/>
            </w:tcBorders>
            <w:shd w:val="clear" w:color="auto" w:fill="auto"/>
            <w:noWrap/>
            <w:vAlign w:val="center"/>
            <w:hideMark/>
          </w:tcPr>
          <w:p w14:paraId="361C2542" w14:textId="77777777" w:rsidR="003E7EF1" w:rsidRPr="003E7EF1" w:rsidRDefault="003E7EF1" w:rsidP="003E7EF1">
            <w:pPr>
              <w:spacing w:after="0" w:line="240" w:lineRule="auto"/>
              <w:jc w:val="center"/>
              <w:rPr>
                <w:rFonts w:eastAsia="Times New Roman" w:cs="Calibri"/>
                <w:color w:val="000000"/>
                <w:sz w:val="18"/>
                <w:szCs w:val="18"/>
                <w:lang w:val="en-US"/>
              </w:rPr>
            </w:pPr>
            <w:r w:rsidRPr="003E7EF1">
              <w:rPr>
                <w:rFonts w:eastAsia="Times New Roman" w:cs="Calibri"/>
                <w:color w:val="000000"/>
                <w:sz w:val="18"/>
                <w:szCs w:val="18"/>
                <w:lang w:val="en-US"/>
              </w:rPr>
              <w:t> 11210</w:t>
            </w:r>
          </w:p>
        </w:tc>
        <w:tc>
          <w:tcPr>
            <w:tcW w:w="4129" w:type="dxa"/>
            <w:tcBorders>
              <w:top w:val="single" w:sz="8" w:space="0" w:color="auto"/>
              <w:left w:val="nil"/>
              <w:bottom w:val="nil"/>
              <w:right w:val="single" w:sz="8" w:space="0" w:color="auto"/>
            </w:tcBorders>
            <w:shd w:val="clear" w:color="auto" w:fill="auto"/>
            <w:vAlign w:val="center"/>
            <w:hideMark/>
          </w:tcPr>
          <w:p w14:paraId="70CE133E" w14:textId="77777777" w:rsidR="003E7EF1" w:rsidRPr="003E7EF1" w:rsidRDefault="003E7EF1" w:rsidP="003E7EF1">
            <w:pPr>
              <w:spacing w:after="0" w:line="240" w:lineRule="auto"/>
              <w:jc w:val="left"/>
              <w:rPr>
                <w:rFonts w:eastAsia="Times New Roman" w:cs="Calibri"/>
                <w:color w:val="000000"/>
                <w:sz w:val="18"/>
                <w:szCs w:val="18"/>
              </w:rPr>
            </w:pPr>
            <w:r w:rsidRPr="003E7EF1">
              <w:rPr>
                <w:rFonts w:eastAsia="Times New Roman" w:cs="Calibri"/>
                <w:color w:val="000000"/>
                <w:sz w:val="18"/>
                <w:szCs w:val="18"/>
              </w:rPr>
              <w:t>Ministerio de Educación Pública (MEP) </w:t>
            </w:r>
          </w:p>
        </w:tc>
        <w:tc>
          <w:tcPr>
            <w:tcW w:w="992" w:type="dxa"/>
            <w:tcBorders>
              <w:top w:val="nil"/>
              <w:left w:val="nil"/>
              <w:bottom w:val="nil"/>
              <w:right w:val="nil"/>
            </w:tcBorders>
            <w:shd w:val="clear" w:color="auto" w:fill="auto"/>
            <w:noWrap/>
            <w:vAlign w:val="bottom"/>
            <w:hideMark/>
          </w:tcPr>
          <w:p w14:paraId="2CC51794" w14:textId="77777777" w:rsidR="003E7EF1" w:rsidRPr="003E7EF1" w:rsidRDefault="003E7EF1" w:rsidP="003E7EF1">
            <w:pPr>
              <w:spacing w:after="0" w:line="240" w:lineRule="auto"/>
              <w:jc w:val="right"/>
              <w:rPr>
                <w:rFonts w:eastAsia="Times New Roman" w:cs="Calibri"/>
                <w:color w:val="000000"/>
                <w:sz w:val="18"/>
                <w:szCs w:val="18"/>
                <w:lang w:val="en-US"/>
              </w:rPr>
            </w:pPr>
            <w:r w:rsidRPr="003E7EF1">
              <w:rPr>
                <w:rFonts w:ascii="Arial" w:eastAsia="Times New Roman" w:hAnsi="Arial" w:cs="Arial"/>
                <w:color w:val="000000"/>
                <w:sz w:val="18"/>
                <w:szCs w:val="18"/>
                <w:lang w:val="en-US"/>
              </w:rPr>
              <w:t>₡</w:t>
            </w:r>
            <w:r w:rsidRPr="003E7EF1">
              <w:rPr>
                <w:rFonts w:eastAsia="Times New Roman" w:cs="Calibri"/>
                <w:color w:val="000000"/>
                <w:sz w:val="18"/>
                <w:szCs w:val="18"/>
                <w:lang w:val="en-US"/>
              </w:rPr>
              <w:t>133,35</w:t>
            </w:r>
          </w:p>
        </w:tc>
        <w:tc>
          <w:tcPr>
            <w:tcW w:w="979" w:type="dxa"/>
            <w:tcBorders>
              <w:top w:val="single" w:sz="8" w:space="0" w:color="auto"/>
              <w:left w:val="single" w:sz="8" w:space="0" w:color="auto"/>
              <w:bottom w:val="nil"/>
              <w:right w:val="single" w:sz="8" w:space="0" w:color="auto"/>
            </w:tcBorders>
            <w:shd w:val="clear" w:color="auto" w:fill="auto"/>
            <w:noWrap/>
            <w:vAlign w:val="bottom"/>
            <w:hideMark/>
          </w:tcPr>
          <w:p w14:paraId="20264B87" w14:textId="77777777" w:rsidR="003E7EF1" w:rsidRPr="003E7EF1" w:rsidRDefault="003E7EF1" w:rsidP="003E7EF1">
            <w:pPr>
              <w:spacing w:after="0" w:line="240" w:lineRule="auto"/>
              <w:jc w:val="right"/>
              <w:rPr>
                <w:rFonts w:eastAsia="Times New Roman" w:cs="Calibri"/>
                <w:color w:val="000000"/>
                <w:sz w:val="18"/>
                <w:szCs w:val="18"/>
                <w:lang w:val="en-US"/>
              </w:rPr>
            </w:pPr>
            <w:r w:rsidRPr="003E7EF1">
              <w:rPr>
                <w:rFonts w:ascii="Arial" w:eastAsia="Times New Roman" w:hAnsi="Arial" w:cs="Arial"/>
                <w:color w:val="000000"/>
                <w:sz w:val="18"/>
                <w:szCs w:val="18"/>
                <w:lang w:val="en-US"/>
              </w:rPr>
              <w:t>₡</w:t>
            </w:r>
            <w:r w:rsidRPr="003E7EF1">
              <w:rPr>
                <w:rFonts w:eastAsia="Times New Roman" w:cs="Calibri"/>
                <w:color w:val="000000"/>
                <w:sz w:val="18"/>
                <w:szCs w:val="18"/>
                <w:lang w:val="en-US"/>
              </w:rPr>
              <w:t>6,76</w:t>
            </w:r>
          </w:p>
        </w:tc>
        <w:tc>
          <w:tcPr>
            <w:tcW w:w="1028" w:type="dxa"/>
            <w:tcBorders>
              <w:top w:val="single" w:sz="8" w:space="0" w:color="auto"/>
              <w:left w:val="nil"/>
              <w:bottom w:val="nil"/>
              <w:right w:val="single" w:sz="8" w:space="0" w:color="auto"/>
            </w:tcBorders>
            <w:shd w:val="clear" w:color="auto" w:fill="auto"/>
            <w:noWrap/>
            <w:vAlign w:val="bottom"/>
            <w:hideMark/>
          </w:tcPr>
          <w:p w14:paraId="782C4DCF" w14:textId="77777777" w:rsidR="003E7EF1" w:rsidRPr="003E7EF1" w:rsidRDefault="003E7EF1" w:rsidP="003E7EF1">
            <w:pPr>
              <w:spacing w:after="0" w:line="240" w:lineRule="auto"/>
              <w:jc w:val="right"/>
              <w:rPr>
                <w:rFonts w:eastAsia="Times New Roman" w:cs="Calibri"/>
                <w:color w:val="000000"/>
                <w:sz w:val="18"/>
                <w:szCs w:val="18"/>
                <w:lang w:val="en-US"/>
              </w:rPr>
            </w:pPr>
            <w:r w:rsidRPr="003E7EF1">
              <w:rPr>
                <w:rFonts w:ascii="Arial" w:eastAsia="Times New Roman" w:hAnsi="Arial" w:cs="Arial"/>
                <w:color w:val="000000"/>
                <w:sz w:val="18"/>
                <w:szCs w:val="18"/>
                <w:lang w:val="en-US"/>
              </w:rPr>
              <w:t>₡</w:t>
            </w:r>
            <w:r w:rsidRPr="003E7EF1">
              <w:rPr>
                <w:rFonts w:eastAsia="Times New Roman" w:cs="Calibri"/>
                <w:color w:val="000000"/>
                <w:sz w:val="18"/>
                <w:szCs w:val="18"/>
                <w:lang w:val="en-US"/>
              </w:rPr>
              <w:t>126,59</w:t>
            </w:r>
          </w:p>
        </w:tc>
        <w:tc>
          <w:tcPr>
            <w:tcW w:w="1028" w:type="dxa"/>
            <w:tcBorders>
              <w:top w:val="single" w:sz="8" w:space="0" w:color="auto"/>
              <w:left w:val="nil"/>
              <w:bottom w:val="nil"/>
              <w:right w:val="single" w:sz="8" w:space="0" w:color="auto"/>
            </w:tcBorders>
            <w:shd w:val="clear" w:color="auto" w:fill="auto"/>
            <w:noWrap/>
            <w:vAlign w:val="bottom"/>
            <w:hideMark/>
          </w:tcPr>
          <w:p w14:paraId="56B2013F" w14:textId="77777777" w:rsidR="003E7EF1" w:rsidRPr="003E7EF1" w:rsidRDefault="003E7EF1" w:rsidP="003E7EF1">
            <w:pPr>
              <w:spacing w:after="0" w:line="240" w:lineRule="auto"/>
              <w:jc w:val="right"/>
              <w:rPr>
                <w:rFonts w:eastAsia="Times New Roman" w:cs="Calibri"/>
                <w:color w:val="000000"/>
                <w:sz w:val="18"/>
                <w:szCs w:val="18"/>
                <w:lang w:val="en-US"/>
              </w:rPr>
            </w:pPr>
            <w:r w:rsidRPr="003E7EF1">
              <w:rPr>
                <w:rFonts w:eastAsia="Times New Roman" w:cs="Calibri"/>
                <w:color w:val="000000"/>
                <w:sz w:val="18"/>
                <w:szCs w:val="18"/>
                <w:lang w:val="en-US"/>
              </w:rPr>
              <w:t>1873,80%</w:t>
            </w:r>
          </w:p>
        </w:tc>
      </w:tr>
      <w:tr w:rsidR="003E7EF1" w:rsidRPr="003E7EF1" w14:paraId="33AB92B3" w14:textId="77777777" w:rsidTr="003E7EF1">
        <w:trPr>
          <w:trHeight w:val="290"/>
        </w:trPr>
        <w:tc>
          <w:tcPr>
            <w:tcW w:w="823" w:type="dxa"/>
            <w:tcBorders>
              <w:top w:val="nil"/>
              <w:left w:val="single" w:sz="8" w:space="0" w:color="auto"/>
              <w:bottom w:val="nil"/>
              <w:right w:val="single" w:sz="8" w:space="0" w:color="auto"/>
            </w:tcBorders>
            <w:shd w:val="clear" w:color="auto" w:fill="auto"/>
            <w:noWrap/>
            <w:vAlign w:val="center"/>
            <w:hideMark/>
          </w:tcPr>
          <w:p w14:paraId="00B6EE77" w14:textId="77777777" w:rsidR="003E7EF1" w:rsidRPr="003E7EF1" w:rsidRDefault="003E7EF1" w:rsidP="003E7EF1">
            <w:pPr>
              <w:spacing w:after="0" w:line="240" w:lineRule="auto"/>
              <w:jc w:val="center"/>
              <w:rPr>
                <w:rFonts w:eastAsia="Times New Roman" w:cs="Calibri"/>
                <w:color w:val="000000"/>
                <w:sz w:val="18"/>
                <w:szCs w:val="18"/>
                <w:lang w:val="en-US"/>
              </w:rPr>
            </w:pPr>
            <w:r w:rsidRPr="003E7EF1">
              <w:rPr>
                <w:rFonts w:eastAsia="Times New Roman" w:cs="Calibri"/>
                <w:color w:val="000000"/>
                <w:sz w:val="18"/>
                <w:szCs w:val="18"/>
                <w:lang w:val="en-US"/>
              </w:rPr>
              <w:t>11206</w:t>
            </w:r>
          </w:p>
        </w:tc>
        <w:tc>
          <w:tcPr>
            <w:tcW w:w="4129" w:type="dxa"/>
            <w:tcBorders>
              <w:top w:val="nil"/>
              <w:left w:val="nil"/>
              <w:bottom w:val="nil"/>
              <w:right w:val="single" w:sz="8" w:space="0" w:color="auto"/>
            </w:tcBorders>
            <w:shd w:val="clear" w:color="auto" w:fill="auto"/>
            <w:vAlign w:val="center"/>
            <w:hideMark/>
          </w:tcPr>
          <w:p w14:paraId="04E6FD36" w14:textId="77777777" w:rsidR="003E7EF1" w:rsidRPr="003E7EF1" w:rsidRDefault="003E7EF1" w:rsidP="003E7EF1">
            <w:pPr>
              <w:spacing w:after="0" w:line="240" w:lineRule="auto"/>
              <w:jc w:val="left"/>
              <w:rPr>
                <w:rFonts w:eastAsia="Times New Roman" w:cs="Calibri"/>
                <w:color w:val="000000"/>
                <w:sz w:val="18"/>
                <w:szCs w:val="18"/>
                <w:lang w:val="en-US"/>
              </w:rPr>
            </w:pPr>
            <w:r w:rsidRPr="003E7EF1">
              <w:rPr>
                <w:rFonts w:eastAsia="Times New Roman" w:cs="Calibri"/>
                <w:color w:val="000000"/>
                <w:sz w:val="18"/>
                <w:szCs w:val="18"/>
                <w:lang w:val="en-US"/>
              </w:rPr>
              <w:t>Ministerio de Hacienda</w:t>
            </w:r>
          </w:p>
        </w:tc>
        <w:tc>
          <w:tcPr>
            <w:tcW w:w="992" w:type="dxa"/>
            <w:tcBorders>
              <w:top w:val="nil"/>
              <w:left w:val="nil"/>
              <w:bottom w:val="nil"/>
              <w:right w:val="nil"/>
            </w:tcBorders>
            <w:shd w:val="clear" w:color="000000" w:fill="FFFFFF"/>
            <w:noWrap/>
            <w:vAlign w:val="bottom"/>
            <w:hideMark/>
          </w:tcPr>
          <w:p w14:paraId="2C8CBA04" w14:textId="77777777" w:rsidR="003E7EF1" w:rsidRPr="003E7EF1" w:rsidRDefault="003E7EF1" w:rsidP="003E7EF1">
            <w:pPr>
              <w:spacing w:after="0" w:line="240" w:lineRule="auto"/>
              <w:jc w:val="right"/>
              <w:rPr>
                <w:rFonts w:eastAsia="Times New Roman" w:cs="Calibri"/>
                <w:color w:val="000000"/>
                <w:sz w:val="18"/>
                <w:szCs w:val="18"/>
                <w:lang w:val="en-US"/>
              </w:rPr>
            </w:pPr>
            <w:r w:rsidRPr="003E7EF1">
              <w:rPr>
                <w:rFonts w:eastAsia="Times New Roman" w:cs="Calibri"/>
                <w:color w:val="000000"/>
                <w:sz w:val="18"/>
                <w:szCs w:val="18"/>
                <w:lang w:val="en-US"/>
              </w:rPr>
              <w:t>1 896,68</w:t>
            </w:r>
          </w:p>
        </w:tc>
        <w:tc>
          <w:tcPr>
            <w:tcW w:w="979" w:type="dxa"/>
            <w:tcBorders>
              <w:top w:val="nil"/>
              <w:left w:val="single" w:sz="8" w:space="0" w:color="auto"/>
              <w:bottom w:val="nil"/>
              <w:right w:val="single" w:sz="8" w:space="0" w:color="auto"/>
            </w:tcBorders>
            <w:shd w:val="clear" w:color="000000" w:fill="FFFFFF"/>
            <w:noWrap/>
            <w:vAlign w:val="bottom"/>
            <w:hideMark/>
          </w:tcPr>
          <w:p w14:paraId="2DC8EFAC" w14:textId="77777777" w:rsidR="003E7EF1" w:rsidRPr="003E7EF1" w:rsidRDefault="003E7EF1" w:rsidP="003E7EF1">
            <w:pPr>
              <w:spacing w:after="0" w:line="240" w:lineRule="auto"/>
              <w:jc w:val="right"/>
              <w:rPr>
                <w:rFonts w:eastAsia="Times New Roman" w:cs="Calibri"/>
                <w:color w:val="000000"/>
                <w:sz w:val="18"/>
                <w:szCs w:val="18"/>
                <w:lang w:val="en-US"/>
              </w:rPr>
            </w:pPr>
            <w:r w:rsidRPr="003E7EF1">
              <w:rPr>
                <w:rFonts w:eastAsia="Times New Roman" w:cs="Calibri"/>
                <w:color w:val="000000"/>
                <w:sz w:val="18"/>
                <w:szCs w:val="18"/>
                <w:lang w:val="en-US"/>
              </w:rPr>
              <w:t>1 868,65</w:t>
            </w:r>
          </w:p>
        </w:tc>
        <w:tc>
          <w:tcPr>
            <w:tcW w:w="1028" w:type="dxa"/>
            <w:tcBorders>
              <w:top w:val="nil"/>
              <w:left w:val="nil"/>
              <w:bottom w:val="nil"/>
              <w:right w:val="single" w:sz="8" w:space="0" w:color="auto"/>
            </w:tcBorders>
            <w:shd w:val="clear" w:color="auto" w:fill="auto"/>
            <w:noWrap/>
            <w:vAlign w:val="bottom"/>
            <w:hideMark/>
          </w:tcPr>
          <w:p w14:paraId="109F673A" w14:textId="77777777" w:rsidR="003E7EF1" w:rsidRPr="003E7EF1" w:rsidRDefault="003E7EF1" w:rsidP="003E7EF1">
            <w:pPr>
              <w:spacing w:after="0" w:line="240" w:lineRule="auto"/>
              <w:jc w:val="right"/>
              <w:rPr>
                <w:rFonts w:eastAsia="Times New Roman" w:cs="Calibri"/>
                <w:color w:val="000000"/>
                <w:sz w:val="18"/>
                <w:szCs w:val="18"/>
                <w:lang w:val="en-US"/>
              </w:rPr>
            </w:pPr>
            <w:r w:rsidRPr="003E7EF1">
              <w:rPr>
                <w:rFonts w:eastAsia="Times New Roman" w:cs="Calibri"/>
                <w:color w:val="000000"/>
                <w:sz w:val="18"/>
                <w:szCs w:val="18"/>
                <w:lang w:val="en-US"/>
              </w:rPr>
              <w:t>28,03</w:t>
            </w:r>
          </w:p>
        </w:tc>
        <w:tc>
          <w:tcPr>
            <w:tcW w:w="1028" w:type="dxa"/>
            <w:tcBorders>
              <w:top w:val="nil"/>
              <w:left w:val="nil"/>
              <w:bottom w:val="nil"/>
              <w:right w:val="single" w:sz="8" w:space="0" w:color="auto"/>
            </w:tcBorders>
            <w:shd w:val="clear" w:color="auto" w:fill="auto"/>
            <w:noWrap/>
            <w:vAlign w:val="bottom"/>
            <w:hideMark/>
          </w:tcPr>
          <w:p w14:paraId="4E47CDB6" w14:textId="77777777" w:rsidR="003E7EF1" w:rsidRPr="003E7EF1" w:rsidRDefault="003E7EF1" w:rsidP="003E7EF1">
            <w:pPr>
              <w:spacing w:after="0" w:line="240" w:lineRule="auto"/>
              <w:jc w:val="right"/>
              <w:rPr>
                <w:rFonts w:eastAsia="Times New Roman" w:cs="Calibri"/>
                <w:color w:val="000000"/>
                <w:sz w:val="18"/>
                <w:szCs w:val="18"/>
                <w:lang w:val="en-US"/>
              </w:rPr>
            </w:pPr>
            <w:r w:rsidRPr="003E7EF1">
              <w:rPr>
                <w:rFonts w:eastAsia="Times New Roman" w:cs="Calibri"/>
                <w:color w:val="000000"/>
                <w:sz w:val="18"/>
                <w:szCs w:val="18"/>
                <w:lang w:val="en-US"/>
              </w:rPr>
              <w:t>1,50%</w:t>
            </w:r>
          </w:p>
        </w:tc>
      </w:tr>
      <w:tr w:rsidR="003E7EF1" w:rsidRPr="003E7EF1" w14:paraId="37D9571C" w14:textId="77777777" w:rsidTr="003E7EF1">
        <w:trPr>
          <w:trHeight w:val="290"/>
        </w:trPr>
        <w:tc>
          <w:tcPr>
            <w:tcW w:w="823" w:type="dxa"/>
            <w:tcBorders>
              <w:top w:val="nil"/>
              <w:left w:val="single" w:sz="8" w:space="0" w:color="auto"/>
              <w:bottom w:val="nil"/>
              <w:right w:val="single" w:sz="8" w:space="0" w:color="auto"/>
            </w:tcBorders>
            <w:shd w:val="clear" w:color="auto" w:fill="auto"/>
            <w:noWrap/>
            <w:vAlign w:val="center"/>
            <w:hideMark/>
          </w:tcPr>
          <w:p w14:paraId="5827BB70" w14:textId="77777777" w:rsidR="003E7EF1" w:rsidRPr="003E7EF1" w:rsidRDefault="003E7EF1" w:rsidP="003E7EF1">
            <w:pPr>
              <w:spacing w:after="0" w:line="240" w:lineRule="auto"/>
              <w:jc w:val="center"/>
              <w:rPr>
                <w:rFonts w:eastAsia="Times New Roman" w:cs="Calibri"/>
                <w:color w:val="000000"/>
                <w:sz w:val="18"/>
                <w:szCs w:val="18"/>
                <w:lang w:val="en-US"/>
              </w:rPr>
            </w:pPr>
            <w:r w:rsidRPr="003E7EF1">
              <w:rPr>
                <w:rFonts w:eastAsia="Times New Roman" w:cs="Calibri"/>
                <w:color w:val="000000"/>
                <w:sz w:val="18"/>
                <w:szCs w:val="18"/>
                <w:lang w:val="en-US"/>
              </w:rPr>
              <w:t>11219</w:t>
            </w:r>
          </w:p>
        </w:tc>
        <w:tc>
          <w:tcPr>
            <w:tcW w:w="4129" w:type="dxa"/>
            <w:tcBorders>
              <w:top w:val="nil"/>
              <w:left w:val="nil"/>
              <w:bottom w:val="nil"/>
              <w:right w:val="single" w:sz="8" w:space="0" w:color="auto"/>
            </w:tcBorders>
            <w:shd w:val="clear" w:color="auto" w:fill="auto"/>
            <w:noWrap/>
            <w:vAlign w:val="bottom"/>
            <w:hideMark/>
          </w:tcPr>
          <w:p w14:paraId="074E8C6F" w14:textId="77777777" w:rsidR="003E7EF1" w:rsidRPr="003E7EF1" w:rsidRDefault="003E7EF1" w:rsidP="003E7EF1">
            <w:pPr>
              <w:spacing w:after="0" w:line="240" w:lineRule="auto"/>
              <w:jc w:val="left"/>
              <w:rPr>
                <w:rFonts w:eastAsia="Times New Roman" w:cs="Calibri"/>
                <w:color w:val="000000"/>
                <w:sz w:val="18"/>
                <w:szCs w:val="18"/>
              </w:rPr>
            </w:pPr>
            <w:r w:rsidRPr="003E7EF1">
              <w:rPr>
                <w:rFonts w:eastAsia="Times New Roman" w:cs="Calibri"/>
                <w:color w:val="000000"/>
                <w:sz w:val="18"/>
                <w:szCs w:val="18"/>
              </w:rPr>
              <w:t>Ministerio de Ambiente, Energía y Telecomunicaciones (MINAET)</w:t>
            </w:r>
          </w:p>
        </w:tc>
        <w:tc>
          <w:tcPr>
            <w:tcW w:w="992" w:type="dxa"/>
            <w:tcBorders>
              <w:top w:val="nil"/>
              <w:left w:val="nil"/>
              <w:bottom w:val="nil"/>
              <w:right w:val="nil"/>
            </w:tcBorders>
            <w:shd w:val="clear" w:color="000000" w:fill="FFFFFF"/>
            <w:noWrap/>
            <w:vAlign w:val="bottom"/>
            <w:hideMark/>
          </w:tcPr>
          <w:p w14:paraId="6B6E4282" w14:textId="77777777" w:rsidR="003E7EF1" w:rsidRPr="003E7EF1" w:rsidRDefault="003E7EF1" w:rsidP="003E7EF1">
            <w:pPr>
              <w:spacing w:after="0" w:line="240" w:lineRule="auto"/>
              <w:jc w:val="right"/>
              <w:rPr>
                <w:rFonts w:eastAsia="Times New Roman" w:cs="Calibri"/>
                <w:color w:val="000000"/>
                <w:sz w:val="18"/>
                <w:szCs w:val="18"/>
                <w:lang w:val="en-US"/>
              </w:rPr>
            </w:pPr>
            <w:r w:rsidRPr="003E7EF1">
              <w:rPr>
                <w:rFonts w:eastAsia="Times New Roman" w:cs="Calibri"/>
                <w:color w:val="000000"/>
                <w:sz w:val="18"/>
                <w:szCs w:val="18"/>
                <w:lang w:val="en-US"/>
              </w:rPr>
              <w:t>1 002,05</w:t>
            </w:r>
          </w:p>
        </w:tc>
        <w:tc>
          <w:tcPr>
            <w:tcW w:w="979" w:type="dxa"/>
            <w:tcBorders>
              <w:top w:val="nil"/>
              <w:left w:val="single" w:sz="8" w:space="0" w:color="auto"/>
              <w:bottom w:val="nil"/>
              <w:right w:val="single" w:sz="8" w:space="0" w:color="auto"/>
            </w:tcBorders>
            <w:shd w:val="clear" w:color="000000" w:fill="FFFFFF"/>
            <w:noWrap/>
            <w:vAlign w:val="bottom"/>
            <w:hideMark/>
          </w:tcPr>
          <w:p w14:paraId="7FFA5A4D" w14:textId="77777777" w:rsidR="003E7EF1" w:rsidRPr="003E7EF1" w:rsidRDefault="003E7EF1" w:rsidP="003E7EF1">
            <w:pPr>
              <w:spacing w:after="0" w:line="240" w:lineRule="auto"/>
              <w:jc w:val="right"/>
              <w:rPr>
                <w:rFonts w:eastAsia="Times New Roman" w:cs="Calibri"/>
                <w:color w:val="000000"/>
                <w:sz w:val="18"/>
                <w:szCs w:val="18"/>
                <w:lang w:val="en-US"/>
              </w:rPr>
            </w:pPr>
            <w:r w:rsidRPr="003E7EF1">
              <w:rPr>
                <w:rFonts w:eastAsia="Times New Roman" w:cs="Calibri"/>
                <w:color w:val="000000"/>
                <w:sz w:val="18"/>
                <w:szCs w:val="18"/>
                <w:lang w:val="en-US"/>
              </w:rPr>
              <w:t>961,89</w:t>
            </w:r>
          </w:p>
        </w:tc>
        <w:tc>
          <w:tcPr>
            <w:tcW w:w="1028" w:type="dxa"/>
            <w:tcBorders>
              <w:top w:val="nil"/>
              <w:left w:val="nil"/>
              <w:bottom w:val="nil"/>
              <w:right w:val="single" w:sz="8" w:space="0" w:color="auto"/>
            </w:tcBorders>
            <w:shd w:val="clear" w:color="auto" w:fill="auto"/>
            <w:noWrap/>
            <w:vAlign w:val="bottom"/>
            <w:hideMark/>
          </w:tcPr>
          <w:p w14:paraId="42673D86" w14:textId="77777777" w:rsidR="003E7EF1" w:rsidRPr="003E7EF1" w:rsidRDefault="003E7EF1" w:rsidP="003E7EF1">
            <w:pPr>
              <w:spacing w:after="0" w:line="240" w:lineRule="auto"/>
              <w:jc w:val="right"/>
              <w:rPr>
                <w:rFonts w:eastAsia="Times New Roman" w:cs="Calibri"/>
                <w:color w:val="000000"/>
                <w:sz w:val="18"/>
                <w:szCs w:val="18"/>
                <w:lang w:val="en-US"/>
              </w:rPr>
            </w:pPr>
            <w:r w:rsidRPr="003E7EF1">
              <w:rPr>
                <w:rFonts w:eastAsia="Times New Roman" w:cs="Calibri"/>
                <w:color w:val="000000"/>
                <w:sz w:val="18"/>
                <w:szCs w:val="18"/>
                <w:lang w:val="en-US"/>
              </w:rPr>
              <w:t>40,15</w:t>
            </w:r>
          </w:p>
        </w:tc>
        <w:tc>
          <w:tcPr>
            <w:tcW w:w="1028" w:type="dxa"/>
            <w:tcBorders>
              <w:top w:val="nil"/>
              <w:left w:val="nil"/>
              <w:bottom w:val="nil"/>
              <w:right w:val="single" w:sz="8" w:space="0" w:color="auto"/>
            </w:tcBorders>
            <w:shd w:val="clear" w:color="auto" w:fill="auto"/>
            <w:noWrap/>
            <w:vAlign w:val="bottom"/>
            <w:hideMark/>
          </w:tcPr>
          <w:p w14:paraId="0DB019C5" w14:textId="77777777" w:rsidR="003E7EF1" w:rsidRPr="003E7EF1" w:rsidRDefault="003E7EF1" w:rsidP="003E7EF1">
            <w:pPr>
              <w:spacing w:after="0" w:line="240" w:lineRule="auto"/>
              <w:jc w:val="right"/>
              <w:rPr>
                <w:rFonts w:eastAsia="Times New Roman" w:cs="Calibri"/>
                <w:color w:val="000000"/>
                <w:sz w:val="18"/>
                <w:szCs w:val="18"/>
                <w:lang w:val="en-US"/>
              </w:rPr>
            </w:pPr>
            <w:r w:rsidRPr="003E7EF1">
              <w:rPr>
                <w:rFonts w:eastAsia="Times New Roman" w:cs="Calibri"/>
                <w:color w:val="000000"/>
                <w:sz w:val="18"/>
                <w:szCs w:val="18"/>
                <w:lang w:val="en-US"/>
              </w:rPr>
              <w:t>4,17%</w:t>
            </w:r>
          </w:p>
        </w:tc>
      </w:tr>
      <w:tr w:rsidR="003E7EF1" w:rsidRPr="003E7EF1" w14:paraId="40C1B501" w14:textId="77777777" w:rsidTr="003E7EF1">
        <w:trPr>
          <w:trHeight w:val="290"/>
        </w:trPr>
        <w:tc>
          <w:tcPr>
            <w:tcW w:w="823" w:type="dxa"/>
            <w:tcBorders>
              <w:top w:val="nil"/>
              <w:left w:val="single" w:sz="8" w:space="0" w:color="auto"/>
              <w:bottom w:val="nil"/>
              <w:right w:val="single" w:sz="8" w:space="0" w:color="auto"/>
            </w:tcBorders>
            <w:shd w:val="clear" w:color="auto" w:fill="auto"/>
            <w:noWrap/>
            <w:vAlign w:val="center"/>
            <w:hideMark/>
          </w:tcPr>
          <w:p w14:paraId="27EF9E05" w14:textId="77777777" w:rsidR="003E7EF1" w:rsidRPr="003E7EF1" w:rsidRDefault="003E7EF1" w:rsidP="003E7EF1">
            <w:pPr>
              <w:spacing w:after="0" w:line="240" w:lineRule="auto"/>
              <w:jc w:val="center"/>
              <w:rPr>
                <w:rFonts w:eastAsia="Times New Roman" w:cs="Calibri"/>
                <w:color w:val="000000"/>
                <w:sz w:val="18"/>
                <w:szCs w:val="18"/>
                <w:lang w:val="en-US"/>
              </w:rPr>
            </w:pPr>
            <w:r w:rsidRPr="003E7EF1">
              <w:rPr>
                <w:rFonts w:eastAsia="Times New Roman" w:cs="Calibri"/>
                <w:color w:val="000000"/>
                <w:sz w:val="18"/>
                <w:szCs w:val="18"/>
                <w:lang w:val="en-US"/>
              </w:rPr>
              <w:t>12553</w:t>
            </w:r>
          </w:p>
        </w:tc>
        <w:tc>
          <w:tcPr>
            <w:tcW w:w="4129" w:type="dxa"/>
            <w:tcBorders>
              <w:top w:val="nil"/>
              <w:left w:val="nil"/>
              <w:bottom w:val="nil"/>
              <w:right w:val="single" w:sz="8" w:space="0" w:color="auto"/>
            </w:tcBorders>
            <w:shd w:val="clear" w:color="auto" w:fill="auto"/>
            <w:noWrap/>
            <w:vAlign w:val="bottom"/>
            <w:hideMark/>
          </w:tcPr>
          <w:p w14:paraId="2E8DFF48" w14:textId="77777777" w:rsidR="003E7EF1" w:rsidRPr="003E7EF1" w:rsidRDefault="003E7EF1" w:rsidP="003E7EF1">
            <w:pPr>
              <w:spacing w:after="0" w:line="240" w:lineRule="auto"/>
              <w:jc w:val="left"/>
              <w:rPr>
                <w:rFonts w:eastAsia="Times New Roman" w:cs="Calibri"/>
                <w:color w:val="000000"/>
                <w:sz w:val="18"/>
                <w:szCs w:val="18"/>
              </w:rPr>
            </w:pPr>
            <w:r w:rsidRPr="003E7EF1">
              <w:rPr>
                <w:rFonts w:eastAsia="Times New Roman" w:cs="Calibri"/>
                <w:color w:val="000000"/>
                <w:sz w:val="18"/>
                <w:szCs w:val="18"/>
              </w:rPr>
              <w:t>Comision Nacional para la Gestión de la Biodiversidad (CONAGEBIO)</w:t>
            </w:r>
          </w:p>
        </w:tc>
        <w:tc>
          <w:tcPr>
            <w:tcW w:w="992" w:type="dxa"/>
            <w:tcBorders>
              <w:top w:val="nil"/>
              <w:left w:val="nil"/>
              <w:bottom w:val="nil"/>
              <w:right w:val="nil"/>
            </w:tcBorders>
            <w:shd w:val="clear" w:color="000000" w:fill="FFFFFF"/>
            <w:noWrap/>
            <w:vAlign w:val="bottom"/>
            <w:hideMark/>
          </w:tcPr>
          <w:p w14:paraId="1887425A" w14:textId="77777777" w:rsidR="003E7EF1" w:rsidRPr="003E7EF1" w:rsidRDefault="003E7EF1" w:rsidP="003E7EF1">
            <w:pPr>
              <w:spacing w:after="0" w:line="240" w:lineRule="auto"/>
              <w:jc w:val="right"/>
              <w:rPr>
                <w:rFonts w:eastAsia="Times New Roman" w:cs="Calibri"/>
                <w:color w:val="000000"/>
                <w:sz w:val="18"/>
                <w:szCs w:val="18"/>
                <w:lang w:val="en-US"/>
              </w:rPr>
            </w:pPr>
            <w:r w:rsidRPr="003E7EF1">
              <w:rPr>
                <w:rFonts w:eastAsia="Times New Roman" w:cs="Calibri"/>
                <w:color w:val="000000"/>
                <w:sz w:val="18"/>
                <w:szCs w:val="18"/>
                <w:lang w:val="en-US"/>
              </w:rPr>
              <w:t>159,05</w:t>
            </w:r>
          </w:p>
        </w:tc>
        <w:tc>
          <w:tcPr>
            <w:tcW w:w="979" w:type="dxa"/>
            <w:tcBorders>
              <w:top w:val="nil"/>
              <w:left w:val="single" w:sz="8" w:space="0" w:color="auto"/>
              <w:bottom w:val="nil"/>
              <w:right w:val="single" w:sz="8" w:space="0" w:color="auto"/>
            </w:tcBorders>
            <w:shd w:val="clear" w:color="000000" w:fill="FFFFFF"/>
            <w:noWrap/>
            <w:vAlign w:val="bottom"/>
            <w:hideMark/>
          </w:tcPr>
          <w:p w14:paraId="18093E54" w14:textId="77777777" w:rsidR="003E7EF1" w:rsidRPr="003E7EF1" w:rsidRDefault="003E7EF1" w:rsidP="003E7EF1">
            <w:pPr>
              <w:spacing w:after="0" w:line="240" w:lineRule="auto"/>
              <w:jc w:val="right"/>
              <w:rPr>
                <w:rFonts w:eastAsia="Times New Roman" w:cs="Calibri"/>
                <w:color w:val="000000"/>
                <w:sz w:val="18"/>
                <w:szCs w:val="18"/>
                <w:lang w:val="en-US"/>
              </w:rPr>
            </w:pPr>
            <w:r w:rsidRPr="003E7EF1">
              <w:rPr>
                <w:rFonts w:eastAsia="Times New Roman" w:cs="Calibri"/>
                <w:color w:val="000000"/>
                <w:sz w:val="18"/>
                <w:szCs w:val="18"/>
                <w:lang w:val="en-US"/>
              </w:rPr>
              <w:t>152,68</w:t>
            </w:r>
          </w:p>
        </w:tc>
        <w:tc>
          <w:tcPr>
            <w:tcW w:w="1028" w:type="dxa"/>
            <w:tcBorders>
              <w:top w:val="nil"/>
              <w:left w:val="nil"/>
              <w:bottom w:val="nil"/>
              <w:right w:val="single" w:sz="8" w:space="0" w:color="auto"/>
            </w:tcBorders>
            <w:shd w:val="clear" w:color="auto" w:fill="auto"/>
            <w:noWrap/>
            <w:vAlign w:val="bottom"/>
            <w:hideMark/>
          </w:tcPr>
          <w:p w14:paraId="35A8E8DE" w14:textId="77777777" w:rsidR="003E7EF1" w:rsidRPr="003E7EF1" w:rsidRDefault="003E7EF1" w:rsidP="003E7EF1">
            <w:pPr>
              <w:spacing w:after="0" w:line="240" w:lineRule="auto"/>
              <w:jc w:val="right"/>
              <w:rPr>
                <w:rFonts w:eastAsia="Times New Roman" w:cs="Calibri"/>
                <w:color w:val="000000"/>
                <w:sz w:val="18"/>
                <w:szCs w:val="18"/>
                <w:lang w:val="en-US"/>
              </w:rPr>
            </w:pPr>
            <w:r w:rsidRPr="003E7EF1">
              <w:rPr>
                <w:rFonts w:eastAsia="Times New Roman" w:cs="Calibri"/>
                <w:color w:val="000000"/>
                <w:sz w:val="18"/>
                <w:szCs w:val="18"/>
                <w:lang w:val="en-US"/>
              </w:rPr>
              <w:t>6,37</w:t>
            </w:r>
          </w:p>
        </w:tc>
        <w:tc>
          <w:tcPr>
            <w:tcW w:w="1028" w:type="dxa"/>
            <w:tcBorders>
              <w:top w:val="nil"/>
              <w:left w:val="nil"/>
              <w:bottom w:val="nil"/>
              <w:right w:val="single" w:sz="8" w:space="0" w:color="auto"/>
            </w:tcBorders>
            <w:shd w:val="clear" w:color="auto" w:fill="auto"/>
            <w:noWrap/>
            <w:vAlign w:val="bottom"/>
            <w:hideMark/>
          </w:tcPr>
          <w:p w14:paraId="2BFA6A03" w14:textId="77777777" w:rsidR="003E7EF1" w:rsidRPr="003E7EF1" w:rsidRDefault="003E7EF1" w:rsidP="003E7EF1">
            <w:pPr>
              <w:spacing w:after="0" w:line="240" w:lineRule="auto"/>
              <w:jc w:val="right"/>
              <w:rPr>
                <w:rFonts w:eastAsia="Times New Roman" w:cs="Calibri"/>
                <w:color w:val="000000"/>
                <w:sz w:val="18"/>
                <w:szCs w:val="18"/>
                <w:lang w:val="en-US"/>
              </w:rPr>
            </w:pPr>
            <w:r w:rsidRPr="003E7EF1">
              <w:rPr>
                <w:rFonts w:eastAsia="Times New Roman" w:cs="Calibri"/>
                <w:color w:val="000000"/>
                <w:sz w:val="18"/>
                <w:szCs w:val="18"/>
                <w:lang w:val="en-US"/>
              </w:rPr>
              <w:t>4,17%</w:t>
            </w:r>
          </w:p>
        </w:tc>
      </w:tr>
      <w:tr w:rsidR="003E7EF1" w:rsidRPr="003E7EF1" w14:paraId="1A81E18A" w14:textId="77777777" w:rsidTr="003E7EF1">
        <w:trPr>
          <w:trHeight w:val="290"/>
        </w:trPr>
        <w:tc>
          <w:tcPr>
            <w:tcW w:w="823" w:type="dxa"/>
            <w:tcBorders>
              <w:top w:val="nil"/>
              <w:left w:val="single" w:sz="8" w:space="0" w:color="auto"/>
              <w:bottom w:val="nil"/>
              <w:right w:val="single" w:sz="8" w:space="0" w:color="auto"/>
            </w:tcBorders>
            <w:shd w:val="clear" w:color="auto" w:fill="auto"/>
            <w:noWrap/>
            <w:vAlign w:val="center"/>
            <w:hideMark/>
          </w:tcPr>
          <w:p w14:paraId="6249BEE1" w14:textId="77777777" w:rsidR="003E7EF1" w:rsidRPr="003E7EF1" w:rsidRDefault="003E7EF1" w:rsidP="003E7EF1">
            <w:pPr>
              <w:spacing w:after="0" w:line="240" w:lineRule="auto"/>
              <w:jc w:val="center"/>
              <w:rPr>
                <w:rFonts w:eastAsia="Times New Roman" w:cs="Calibri"/>
                <w:color w:val="000000"/>
                <w:sz w:val="18"/>
                <w:szCs w:val="18"/>
                <w:lang w:val="en-US"/>
              </w:rPr>
            </w:pPr>
            <w:r w:rsidRPr="003E7EF1">
              <w:rPr>
                <w:rFonts w:eastAsia="Times New Roman" w:cs="Calibri"/>
                <w:color w:val="000000"/>
                <w:sz w:val="18"/>
                <w:szCs w:val="18"/>
                <w:lang w:val="en-US"/>
              </w:rPr>
              <w:t>12581</w:t>
            </w:r>
          </w:p>
        </w:tc>
        <w:tc>
          <w:tcPr>
            <w:tcW w:w="4129" w:type="dxa"/>
            <w:tcBorders>
              <w:top w:val="nil"/>
              <w:left w:val="nil"/>
              <w:bottom w:val="nil"/>
              <w:right w:val="single" w:sz="8" w:space="0" w:color="auto"/>
            </w:tcBorders>
            <w:shd w:val="clear" w:color="auto" w:fill="auto"/>
            <w:noWrap/>
            <w:vAlign w:val="bottom"/>
            <w:hideMark/>
          </w:tcPr>
          <w:p w14:paraId="422C9D92" w14:textId="77777777" w:rsidR="003E7EF1" w:rsidRPr="003E7EF1" w:rsidRDefault="003E7EF1" w:rsidP="003E7EF1">
            <w:pPr>
              <w:spacing w:after="0" w:line="240" w:lineRule="auto"/>
              <w:jc w:val="left"/>
              <w:rPr>
                <w:rFonts w:eastAsia="Times New Roman" w:cs="Calibri"/>
                <w:color w:val="000000"/>
                <w:sz w:val="18"/>
                <w:szCs w:val="18"/>
              </w:rPr>
            </w:pPr>
            <w:r w:rsidRPr="003E7EF1">
              <w:rPr>
                <w:rFonts w:eastAsia="Times New Roman" w:cs="Calibri"/>
                <w:color w:val="000000"/>
                <w:sz w:val="18"/>
                <w:szCs w:val="18"/>
              </w:rPr>
              <w:t>Consejo Nacional de Personas con Discapacidad - CONAPDIS</w:t>
            </w:r>
          </w:p>
        </w:tc>
        <w:tc>
          <w:tcPr>
            <w:tcW w:w="992" w:type="dxa"/>
            <w:tcBorders>
              <w:top w:val="nil"/>
              <w:left w:val="nil"/>
              <w:bottom w:val="nil"/>
              <w:right w:val="nil"/>
            </w:tcBorders>
            <w:shd w:val="clear" w:color="000000" w:fill="FFFFFF"/>
            <w:noWrap/>
            <w:vAlign w:val="bottom"/>
            <w:hideMark/>
          </w:tcPr>
          <w:p w14:paraId="44A5D017" w14:textId="77777777" w:rsidR="003E7EF1" w:rsidRPr="003E7EF1" w:rsidRDefault="003E7EF1" w:rsidP="003E7EF1">
            <w:pPr>
              <w:spacing w:after="0" w:line="240" w:lineRule="auto"/>
              <w:jc w:val="right"/>
              <w:rPr>
                <w:rFonts w:eastAsia="Times New Roman" w:cs="Calibri"/>
                <w:color w:val="000000"/>
                <w:sz w:val="18"/>
                <w:szCs w:val="18"/>
                <w:lang w:val="en-US"/>
              </w:rPr>
            </w:pPr>
            <w:r w:rsidRPr="003E7EF1">
              <w:rPr>
                <w:rFonts w:eastAsia="Times New Roman" w:cs="Calibri"/>
                <w:color w:val="000000"/>
                <w:sz w:val="18"/>
                <w:szCs w:val="18"/>
                <w:lang w:val="en-US"/>
              </w:rPr>
              <w:t>2 310,35</w:t>
            </w:r>
          </w:p>
        </w:tc>
        <w:tc>
          <w:tcPr>
            <w:tcW w:w="979" w:type="dxa"/>
            <w:tcBorders>
              <w:top w:val="nil"/>
              <w:left w:val="single" w:sz="8" w:space="0" w:color="auto"/>
              <w:bottom w:val="nil"/>
              <w:right w:val="single" w:sz="8" w:space="0" w:color="auto"/>
            </w:tcBorders>
            <w:shd w:val="clear" w:color="000000" w:fill="FFFFFF"/>
            <w:noWrap/>
            <w:vAlign w:val="bottom"/>
            <w:hideMark/>
          </w:tcPr>
          <w:p w14:paraId="282CEB55" w14:textId="77777777" w:rsidR="003E7EF1" w:rsidRPr="003E7EF1" w:rsidRDefault="003E7EF1" w:rsidP="003E7EF1">
            <w:pPr>
              <w:spacing w:after="0" w:line="240" w:lineRule="auto"/>
              <w:jc w:val="right"/>
              <w:rPr>
                <w:rFonts w:eastAsia="Times New Roman" w:cs="Calibri"/>
                <w:color w:val="000000"/>
                <w:sz w:val="18"/>
                <w:szCs w:val="18"/>
                <w:lang w:val="en-US"/>
              </w:rPr>
            </w:pPr>
            <w:r w:rsidRPr="003E7EF1">
              <w:rPr>
                <w:rFonts w:eastAsia="Times New Roman" w:cs="Calibri"/>
                <w:color w:val="000000"/>
                <w:sz w:val="18"/>
                <w:szCs w:val="18"/>
                <w:lang w:val="en-US"/>
              </w:rPr>
              <w:t>2 251,84</w:t>
            </w:r>
          </w:p>
        </w:tc>
        <w:tc>
          <w:tcPr>
            <w:tcW w:w="1028" w:type="dxa"/>
            <w:tcBorders>
              <w:top w:val="nil"/>
              <w:left w:val="nil"/>
              <w:bottom w:val="nil"/>
              <w:right w:val="single" w:sz="8" w:space="0" w:color="auto"/>
            </w:tcBorders>
            <w:shd w:val="clear" w:color="auto" w:fill="auto"/>
            <w:noWrap/>
            <w:vAlign w:val="bottom"/>
            <w:hideMark/>
          </w:tcPr>
          <w:p w14:paraId="5E4CE1B6" w14:textId="77777777" w:rsidR="003E7EF1" w:rsidRPr="003E7EF1" w:rsidRDefault="003E7EF1" w:rsidP="003E7EF1">
            <w:pPr>
              <w:spacing w:after="0" w:line="240" w:lineRule="auto"/>
              <w:jc w:val="right"/>
              <w:rPr>
                <w:rFonts w:eastAsia="Times New Roman" w:cs="Calibri"/>
                <w:color w:val="000000"/>
                <w:sz w:val="18"/>
                <w:szCs w:val="18"/>
                <w:lang w:val="en-US"/>
              </w:rPr>
            </w:pPr>
            <w:r w:rsidRPr="003E7EF1">
              <w:rPr>
                <w:rFonts w:eastAsia="Times New Roman" w:cs="Calibri"/>
                <w:color w:val="000000"/>
                <w:sz w:val="18"/>
                <w:szCs w:val="18"/>
                <w:lang w:val="en-US"/>
              </w:rPr>
              <w:t>58,51</w:t>
            </w:r>
          </w:p>
        </w:tc>
        <w:tc>
          <w:tcPr>
            <w:tcW w:w="1028" w:type="dxa"/>
            <w:tcBorders>
              <w:top w:val="nil"/>
              <w:left w:val="nil"/>
              <w:bottom w:val="nil"/>
              <w:right w:val="single" w:sz="8" w:space="0" w:color="auto"/>
            </w:tcBorders>
            <w:shd w:val="clear" w:color="auto" w:fill="auto"/>
            <w:noWrap/>
            <w:vAlign w:val="bottom"/>
            <w:hideMark/>
          </w:tcPr>
          <w:p w14:paraId="467BE80C" w14:textId="77777777" w:rsidR="003E7EF1" w:rsidRPr="003E7EF1" w:rsidRDefault="003E7EF1" w:rsidP="003E7EF1">
            <w:pPr>
              <w:spacing w:after="0" w:line="240" w:lineRule="auto"/>
              <w:jc w:val="right"/>
              <w:rPr>
                <w:rFonts w:eastAsia="Times New Roman" w:cs="Calibri"/>
                <w:color w:val="000000"/>
                <w:sz w:val="18"/>
                <w:szCs w:val="18"/>
                <w:lang w:val="en-US"/>
              </w:rPr>
            </w:pPr>
            <w:r w:rsidRPr="003E7EF1">
              <w:rPr>
                <w:rFonts w:eastAsia="Times New Roman" w:cs="Calibri"/>
                <w:color w:val="000000"/>
                <w:sz w:val="18"/>
                <w:szCs w:val="18"/>
                <w:lang w:val="en-US"/>
              </w:rPr>
              <w:t>2,60%</w:t>
            </w:r>
          </w:p>
        </w:tc>
      </w:tr>
      <w:tr w:rsidR="003E7EF1" w:rsidRPr="003E7EF1" w14:paraId="598D9CC9" w14:textId="77777777" w:rsidTr="003E7EF1">
        <w:trPr>
          <w:trHeight w:val="290"/>
        </w:trPr>
        <w:tc>
          <w:tcPr>
            <w:tcW w:w="823" w:type="dxa"/>
            <w:tcBorders>
              <w:top w:val="nil"/>
              <w:left w:val="single" w:sz="8" w:space="0" w:color="auto"/>
              <w:bottom w:val="nil"/>
              <w:right w:val="single" w:sz="8" w:space="0" w:color="auto"/>
            </w:tcBorders>
            <w:shd w:val="clear" w:color="auto" w:fill="auto"/>
            <w:noWrap/>
            <w:vAlign w:val="center"/>
            <w:hideMark/>
          </w:tcPr>
          <w:p w14:paraId="03B6220F" w14:textId="77777777" w:rsidR="003E7EF1" w:rsidRPr="003E7EF1" w:rsidRDefault="003E7EF1" w:rsidP="003E7EF1">
            <w:pPr>
              <w:spacing w:after="0" w:line="240" w:lineRule="auto"/>
              <w:jc w:val="center"/>
              <w:rPr>
                <w:rFonts w:eastAsia="Times New Roman" w:cs="Calibri"/>
                <w:color w:val="000000"/>
                <w:sz w:val="18"/>
                <w:szCs w:val="18"/>
                <w:lang w:val="en-US"/>
              </w:rPr>
            </w:pPr>
            <w:r w:rsidRPr="003E7EF1">
              <w:rPr>
                <w:rFonts w:eastAsia="Times New Roman" w:cs="Calibri"/>
                <w:color w:val="000000"/>
                <w:sz w:val="18"/>
                <w:szCs w:val="18"/>
                <w:lang w:val="en-US"/>
              </w:rPr>
              <w:t>12784</w:t>
            </w:r>
          </w:p>
        </w:tc>
        <w:tc>
          <w:tcPr>
            <w:tcW w:w="4129" w:type="dxa"/>
            <w:tcBorders>
              <w:top w:val="nil"/>
              <w:left w:val="nil"/>
              <w:bottom w:val="nil"/>
              <w:right w:val="single" w:sz="8" w:space="0" w:color="auto"/>
            </w:tcBorders>
            <w:shd w:val="clear" w:color="auto" w:fill="auto"/>
            <w:vAlign w:val="center"/>
            <w:hideMark/>
          </w:tcPr>
          <w:p w14:paraId="7D455264" w14:textId="77777777" w:rsidR="003E7EF1" w:rsidRPr="003E7EF1" w:rsidRDefault="003E7EF1" w:rsidP="003E7EF1">
            <w:pPr>
              <w:spacing w:after="0" w:line="240" w:lineRule="auto"/>
              <w:jc w:val="left"/>
              <w:rPr>
                <w:rFonts w:eastAsia="Times New Roman" w:cs="Calibri"/>
                <w:color w:val="000000"/>
                <w:sz w:val="18"/>
                <w:szCs w:val="18"/>
              </w:rPr>
            </w:pPr>
            <w:r w:rsidRPr="003E7EF1">
              <w:rPr>
                <w:rFonts w:eastAsia="Times New Roman" w:cs="Calibri"/>
                <w:color w:val="000000"/>
                <w:sz w:val="18"/>
                <w:szCs w:val="18"/>
              </w:rPr>
              <w:t>Junta Administrativa del Registro Nacional</w:t>
            </w:r>
          </w:p>
        </w:tc>
        <w:tc>
          <w:tcPr>
            <w:tcW w:w="992" w:type="dxa"/>
            <w:tcBorders>
              <w:top w:val="nil"/>
              <w:left w:val="nil"/>
              <w:bottom w:val="nil"/>
              <w:right w:val="nil"/>
            </w:tcBorders>
            <w:shd w:val="clear" w:color="000000" w:fill="FFFFFF"/>
            <w:noWrap/>
            <w:vAlign w:val="bottom"/>
            <w:hideMark/>
          </w:tcPr>
          <w:p w14:paraId="6776C854" w14:textId="77777777" w:rsidR="003E7EF1" w:rsidRPr="003E7EF1" w:rsidRDefault="003E7EF1" w:rsidP="003E7EF1">
            <w:pPr>
              <w:spacing w:after="0" w:line="240" w:lineRule="auto"/>
              <w:jc w:val="right"/>
              <w:rPr>
                <w:rFonts w:eastAsia="Times New Roman" w:cs="Calibri"/>
                <w:color w:val="000000"/>
                <w:sz w:val="18"/>
                <w:szCs w:val="18"/>
                <w:lang w:val="en-US"/>
              </w:rPr>
            </w:pPr>
            <w:r w:rsidRPr="003E7EF1">
              <w:rPr>
                <w:rFonts w:eastAsia="Times New Roman" w:cs="Calibri"/>
                <w:color w:val="000000"/>
                <w:sz w:val="18"/>
                <w:szCs w:val="18"/>
                <w:lang w:val="en-US"/>
              </w:rPr>
              <w:t>3 793,37</w:t>
            </w:r>
          </w:p>
        </w:tc>
        <w:tc>
          <w:tcPr>
            <w:tcW w:w="979" w:type="dxa"/>
            <w:tcBorders>
              <w:top w:val="nil"/>
              <w:left w:val="single" w:sz="8" w:space="0" w:color="auto"/>
              <w:bottom w:val="nil"/>
              <w:right w:val="single" w:sz="8" w:space="0" w:color="auto"/>
            </w:tcBorders>
            <w:shd w:val="clear" w:color="000000" w:fill="FFFFFF"/>
            <w:noWrap/>
            <w:vAlign w:val="bottom"/>
            <w:hideMark/>
          </w:tcPr>
          <w:p w14:paraId="52F01E0C" w14:textId="77777777" w:rsidR="003E7EF1" w:rsidRPr="003E7EF1" w:rsidRDefault="003E7EF1" w:rsidP="003E7EF1">
            <w:pPr>
              <w:spacing w:after="0" w:line="240" w:lineRule="auto"/>
              <w:jc w:val="right"/>
              <w:rPr>
                <w:rFonts w:eastAsia="Times New Roman" w:cs="Calibri"/>
                <w:color w:val="000000"/>
                <w:sz w:val="18"/>
                <w:szCs w:val="18"/>
                <w:lang w:val="en-US"/>
              </w:rPr>
            </w:pPr>
            <w:r w:rsidRPr="003E7EF1">
              <w:rPr>
                <w:rFonts w:eastAsia="Times New Roman" w:cs="Calibri"/>
                <w:color w:val="000000"/>
                <w:sz w:val="18"/>
                <w:szCs w:val="18"/>
                <w:lang w:val="en-US"/>
              </w:rPr>
              <w:t>4 332,37</w:t>
            </w:r>
          </w:p>
        </w:tc>
        <w:tc>
          <w:tcPr>
            <w:tcW w:w="1028" w:type="dxa"/>
            <w:tcBorders>
              <w:top w:val="nil"/>
              <w:left w:val="nil"/>
              <w:bottom w:val="nil"/>
              <w:right w:val="single" w:sz="8" w:space="0" w:color="auto"/>
            </w:tcBorders>
            <w:shd w:val="clear" w:color="auto" w:fill="auto"/>
            <w:noWrap/>
            <w:vAlign w:val="bottom"/>
            <w:hideMark/>
          </w:tcPr>
          <w:p w14:paraId="60BDA2E6" w14:textId="77777777" w:rsidR="003E7EF1" w:rsidRPr="003E7EF1" w:rsidRDefault="003E7EF1" w:rsidP="003E7EF1">
            <w:pPr>
              <w:spacing w:after="0" w:line="240" w:lineRule="auto"/>
              <w:jc w:val="right"/>
              <w:rPr>
                <w:rFonts w:eastAsia="Times New Roman" w:cs="Calibri"/>
                <w:color w:val="000000"/>
                <w:sz w:val="18"/>
                <w:szCs w:val="18"/>
                <w:lang w:val="en-US"/>
              </w:rPr>
            </w:pPr>
            <w:r w:rsidRPr="003E7EF1">
              <w:rPr>
                <w:rFonts w:eastAsia="Times New Roman" w:cs="Calibri"/>
                <w:color w:val="000000"/>
                <w:sz w:val="18"/>
                <w:szCs w:val="18"/>
                <w:lang w:val="en-US"/>
              </w:rPr>
              <w:t>-539,00</w:t>
            </w:r>
          </w:p>
        </w:tc>
        <w:tc>
          <w:tcPr>
            <w:tcW w:w="1028" w:type="dxa"/>
            <w:tcBorders>
              <w:top w:val="nil"/>
              <w:left w:val="nil"/>
              <w:bottom w:val="nil"/>
              <w:right w:val="single" w:sz="8" w:space="0" w:color="auto"/>
            </w:tcBorders>
            <w:shd w:val="clear" w:color="auto" w:fill="auto"/>
            <w:noWrap/>
            <w:vAlign w:val="bottom"/>
            <w:hideMark/>
          </w:tcPr>
          <w:p w14:paraId="661F4B03" w14:textId="77777777" w:rsidR="003E7EF1" w:rsidRPr="003E7EF1" w:rsidRDefault="003E7EF1" w:rsidP="003E7EF1">
            <w:pPr>
              <w:spacing w:after="0" w:line="240" w:lineRule="auto"/>
              <w:jc w:val="right"/>
              <w:rPr>
                <w:rFonts w:eastAsia="Times New Roman" w:cs="Calibri"/>
                <w:color w:val="000000"/>
                <w:sz w:val="18"/>
                <w:szCs w:val="18"/>
                <w:lang w:val="en-US"/>
              </w:rPr>
            </w:pPr>
            <w:r w:rsidRPr="003E7EF1">
              <w:rPr>
                <w:rFonts w:eastAsia="Times New Roman" w:cs="Calibri"/>
                <w:color w:val="000000"/>
                <w:sz w:val="18"/>
                <w:szCs w:val="18"/>
                <w:lang w:val="en-US"/>
              </w:rPr>
              <w:t>-12,44%</w:t>
            </w:r>
          </w:p>
        </w:tc>
      </w:tr>
      <w:tr w:rsidR="003E7EF1" w:rsidRPr="003E7EF1" w14:paraId="6E8215A0" w14:textId="77777777" w:rsidTr="003E7EF1">
        <w:trPr>
          <w:trHeight w:val="290"/>
        </w:trPr>
        <w:tc>
          <w:tcPr>
            <w:tcW w:w="823" w:type="dxa"/>
            <w:tcBorders>
              <w:top w:val="nil"/>
              <w:left w:val="single" w:sz="8" w:space="0" w:color="auto"/>
              <w:bottom w:val="nil"/>
              <w:right w:val="single" w:sz="8" w:space="0" w:color="auto"/>
            </w:tcBorders>
            <w:shd w:val="clear" w:color="auto" w:fill="auto"/>
            <w:noWrap/>
            <w:vAlign w:val="bottom"/>
            <w:hideMark/>
          </w:tcPr>
          <w:p w14:paraId="28C4BE09" w14:textId="77777777" w:rsidR="003E7EF1" w:rsidRPr="003E7EF1" w:rsidRDefault="003E7EF1" w:rsidP="003E7EF1">
            <w:pPr>
              <w:spacing w:after="0" w:line="240" w:lineRule="auto"/>
              <w:jc w:val="center"/>
              <w:rPr>
                <w:rFonts w:eastAsia="Times New Roman" w:cs="Calibri"/>
                <w:color w:val="000000"/>
                <w:sz w:val="18"/>
                <w:szCs w:val="18"/>
                <w:lang w:val="en-US"/>
              </w:rPr>
            </w:pPr>
            <w:r w:rsidRPr="003E7EF1">
              <w:rPr>
                <w:rFonts w:eastAsia="Times New Roman" w:cs="Calibri"/>
                <w:color w:val="000000"/>
                <w:sz w:val="18"/>
                <w:szCs w:val="18"/>
                <w:lang w:val="en-US"/>
              </w:rPr>
              <w:t>14253</w:t>
            </w:r>
          </w:p>
        </w:tc>
        <w:tc>
          <w:tcPr>
            <w:tcW w:w="4129" w:type="dxa"/>
            <w:tcBorders>
              <w:top w:val="nil"/>
              <w:left w:val="nil"/>
              <w:bottom w:val="nil"/>
              <w:right w:val="single" w:sz="8" w:space="0" w:color="auto"/>
            </w:tcBorders>
            <w:shd w:val="clear" w:color="auto" w:fill="auto"/>
            <w:noWrap/>
            <w:vAlign w:val="bottom"/>
            <w:hideMark/>
          </w:tcPr>
          <w:p w14:paraId="1EBB3225" w14:textId="77777777" w:rsidR="003E7EF1" w:rsidRPr="003E7EF1" w:rsidRDefault="003E7EF1" w:rsidP="003E7EF1">
            <w:pPr>
              <w:spacing w:after="0" w:line="240" w:lineRule="auto"/>
              <w:jc w:val="left"/>
              <w:rPr>
                <w:rFonts w:eastAsia="Times New Roman" w:cs="Calibri"/>
                <w:color w:val="000000"/>
                <w:sz w:val="18"/>
                <w:szCs w:val="18"/>
                <w:lang w:val="en-US"/>
              </w:rPr>
            </w:pPr>
            <w:r w:rsidRPr="003E7EF1">
              <w:rPr>
                <w:rFonts w:eastAsia="Times New Roman" w:cs="Calibri"/>
                <w:color w:val="000000"/>
                <w:sz w:val="18"/>
                <w:szCs w:val="18"/>
                <w:lang w:val="en-US"/>
              </w:rPr>
              <w:t>Juntas de Educacion</w:t>
            </w:r>
          </w:p>
        </w:tc>
        <w:tc>
          <w:tcPr>
            <w:tcW w:w="992" w:type="dxa"/>
            <w:tcBorders>
              <w:top w:val="nil"/>
              <w:left w:val="nil"/>
              <w:bottom w:val="nil"/>
              <w:right w:val="nil"/>
            </w:tcBorders>
            <w:shd w:val="clear" w:color="000000" w:fill="FFFFFF"/>
            <w:noWrap/>
            <w:vAlign w:val="bottom"/>
            <w:hideMark/>
          </w:tcPr>
          <w:p w14:paraId="0E7F64E0" w14:textId="77777777" w:rsidR="003E7EF1" w:rsidRPr="003E7EF1" w:rsidRDefault="003E7EF1" w:rsidP="003E7EF1">
            <w:pPr>
              <w:spacing w:after="0" w:line="240" w:lineRule="auto"/>
              <w:jc w:val="right"/>
              <w:rPr>
                <w:rFonts w:eastAsia="Times New Roman" w:cs="Calibri"/>
                <w:color w:val="000000"/>
                <w:sz w:val="18"/>
                <w:szCs w:val="18"/>
                <w:lang w:val="en-US"/>
              </w:rPr>
            </w:pPr>
            <w:r w:rsidRPr="003E7EF1">
              <w:rPr>
                <w:rFonts w:eastAsia="Times New Roman" w:cs="Calibri"/>
                <w:color w:val="000000"/>
                <w:sz w:val="18"/>
                <w:szCs w:val="18"/>
                <w:lang w:val="en-US"/>
              </w:rPr>
              <w:t>33 436,93</w:t>
            </w:r>
          </w:p>
        </w:tc>
        <w:tc>
          <w:tcPr>
            <w:tcW w:w="979" w:type="dxa"/>
            <w:tcBorders>
              <w:top w:val="nil"/>
              <w:left w:val="single" w:sz="8" w:space="0" w:color="auto"/>
              <w:bottom w:val="nil"/>
              <w:right w:val="single" w:sz="8" w:space="0" w:color="auto"/>
            </w:tcBorders>
            <w:shd w:val="clear" w:color="000000" w:fill="FFFFFF"/>
            <w:noWrap/>
            <w:vAlign w:val="bottom"/>
            <w:hideMark/>
          </w:tcPr>
          <w:p w14:paraId="484D9807" w14:textId="77777777" w:rsidR="003E7EF1" w:rsidRPr="003E7EF1" w:rsidRDefault="003E7EF1" w:rsidP="003E7EF1">
            <w:pPr>
              <w:spacing w:after="0" w:line="240" w:lineRule="auto"/>
              <w:jc w:val="right"/>
              <w:rPr>
                <w:rFonts w:eastAsia="Times New Roman" w:cs="Calibri"/>
                <w:color w:val="000000"/>
                <w:sz w:val="18"/>
                <w:szCs w:val="18"/>
                <w:lang w:val="en-US"/>
              </w:rPr>
            </w:pPr>
            <w:r w:rsidRPr="003E7EF1">
              <w:rPr>
                <w:rFonts w:eastAsia="Times New Roman" w:cs="Calibri"/>
                <w:color w:val="000000"/>
                <w:sz w:val="18"/>
                <w:szCs w:val="18"/>
                <w:lang w:val="en-US"/>
              </w:rPr>
              <w:t>28 989,31</w:t>
            </w:r>
          </w:p>
        </w:tc>
        <w:tc>
          <w:tcPr>
            <w:tcW w:w="1028" w:type="dxa"/>
            <w:tcBorders>
              <w:top w:val="nil"/>
              <w:left w:val="nil"/>
              <w:bottom w:val="nil"/>
              <w:right w:val="single" w:sz="8" w:space="0" w:color="auto"/>
            </w:tcBorders>
            <w:shd w:val="clear" w:color="auto" w:fill="auto"/>
            <w:noWrap/>
            <w:vAlign w:val="bottom"/>
            <w:hideMark/>
          </w:tcPr>
          <w:p w14:paraId="63CE164A" w14:textId="77777777" w:rsidR="003E7EF1" w:rsidRPr="003E7EF1" w:rsidRDefault="003E7EF1" w:rsidP="003E7EF1">
            <w:pPr>
              <w:spacing w:after="0" w:line="240" w:lineRule="auto"/>
              <w:jc w:val="right"/>
              <w:rPr>
                <w:rFonts w:eastAsia="Times New Roman" w:cs="Calibri"/>
                <w:color w:val="000000"/>
                <w:sz w:val="18"/>
                <w:szCs w:val="18"/>
                <w:lang w:val="en-US"/>
              </w:rPr>
            </w:pPr>
            <w:r w:rsidRPr="003E7EF1">
              <w:rPr>
                <w:rFonts w:eastAsia="Times New Roman" w:cs="Calibri"/>
                <w:color w:val="000000"/>
                <w:sz w:val="18"/>
                <w:szCs w:val="18"/>
                <w:lang w:val="en-US"/>
              </w:rPr>
              <w:t>4 447,63</w:t>
            </w:r>
          </w:p>
        </w:tc>
        <w:tc>
          <w:tcPr>
            <w:tcW w:w="1028" w:type="dxa"/>
            <w:tcBorders>
              <w:top w:val="nil"/>
              <w:left w:val="nil"/>
              <w:bottom w:val="nil"/>
              <w:right w:val="single" w:sz="8" w:space="0" w:color="auto"/>
            </w:tcBorders>
            <w:shd w:val="clear" w:color="auto" w:fill="auto"/>
            <w:noWrap/>
            <w:vAlign w:val="bottom"/>
            <w:hideMark/>
          </w:tcPr>
          <w:p w14:paraId="7439F53D" w14:textId="77777777" w:rsidR="003E7EF1" w:rsidRPr="003E7EF1" w:rsidRDefault="003E7EF1" w:rsidP="003E7EF1">
            <w:pPr>
              <w:spacing w:after="0" w:line="240" w:lineRule="auto"/>
              <w:jc w:val="right"/>
              <w:rPr>
                <w:rFonts w:eastAsia="Times New Roman" w:cs="Calibri"/>
                <w:color w:val="000000"/>
                <w:sz w:val="18"/>
                <w:szCs w:val="18"/>
                <w:lang w:val="en-US"/>
              </w:rPr>
            </w:pPr>
            <w:r w:rsidRPr="003E7EF1">
              <w:rPr>
                <w:rFonts w:eastAsia="Times New Roman" w:cs="Calibri"/>
                <w:color w:val="000000"/>
                <w:sz w:val="18"/>
                <w:szCs w:val="18"/>
                <w:lang w:val="en-US"/>
              </w:rPr>
              <w:t>15,34%</w:t>
            </w:r>
          </w:p>
        </w:tc>
      </w:tr>
      <w:tr w:rsidR="003E7EF1" w:rsidRPr="003E7EF1" w14:paraId="58441A3E" w14:textId="77777777" w:rsidTr="003E7EF1">
        <w:trPr>
          <w:trHeight w:val="290"/>
        </w:trPr>
        <w:tc>
          <w:tcPr>
            <w:tcW w:w="823" w:type="dxa"/>
            <w:tcBorders>
              <w:top w:val="nil"/>
              <w:left w:val="single" w:sz="8" w:space="0" w:color="auto"/>
              <w:bottom w:val="nil"/>
              <w:right w:val="single" w:sz="8" w:space="0" w:color="auto"/>
            </w:tcBorders>
            <w:shd w:val="clear" w:color="auto" w:fill="auto"/>
            <w:noWrap/>
            <w:vAlign w:val="center"/>
            <w:hideMark/>
          </w:tcPr>
          <w:p w14:paraId="0F848DB2" w14:textId="77777777" w:rsidR="003E7EF1" w:rsidRPr="003E7EF1" w:rsidRDefault="003E7EF1" w:rsidP="003E7EF1">
            <w:pPr>
              <w:spacing w:after="0" w:line="240" w:lineRule="auto"/>
              <w:jc w:val="center"/>
              <w:rPr>
                <w:rFonts w:eastAsia="Times New Roman" w:cs="Calibri"/>
                <w:color w:val="000000"/>
                <w:sz w:val="18"/>
                <w:szCs w:val="18"/>
                <w:lang w:val="en-US"/>
              </w:rPr>
            </w:pPr>
            <w:r w:rsidRPr="003E7EF1">
              <w:rPr>
                <w:rFonts w:eastAsia="Times New Roman" w:cs="Calibri"/>
                <w:color w:val="000000"/>
                <w:sz w:val="18"/>
                <w:szCs w:val="18"/>
                <w:lang w:val="en-US"/>
              </w:rPr>
              <w:t>15910</w:t>
            </w:r>
          </w:p>
        </w:tc>
        <w:tc>
          <w:tcPr>
            <w:tcW w:w="4129" w:type="dxa"/>
            <w:tcBorders>
              <w:top w:val="nil"/>
              <w:left w:val="nil"/>
              <w:bottom w:val="nil"/>
              <w:right w:val="single" w:sz="8" w:space="0" w:color="auto"/>
            </w:tcBorders>
            <w:shd w:val="clear" w:color="auto" w:fill="auto"/>
            <w:noWrap/>
            <w:vAlign w:val="bottom"/>
            <w:hideMark/>
          </w:tcPr>
          <w:p w14:paraId="6B3C8ECC" w14:textId="77777777" w:rsidR="003E7EF1" w:rsidRPr="003E7EF1" w:rsidRDefault="003E7EF1" w:rsidP="003E7EF1">
            <w:pPr>
              <w:spacing w:after="0" w:line="240" w:lineRule="auto"/>
              <w:jc w:val="left"/>
              <w:rPr>
                <w:rFonts w:eastAsia="Times New Roman" w:cs="Calibri"/>
                <w:color w:val="000000"/>
                <w:sz w:val="18"/>
                <w:szCs w:val="18"/>
              </w:rPr>
            </w:pPr>
            <w:r w:rsidRPr="003E7EF1">
              <w:rPr>
                <w:rFonts w:eastAsia="Times New Roman" w:cs="Calibri"/>
                <w:color w:val="000000"/>
                <w:sz w:val="18"/>
                <w:szCs w:val="18"/>
              </w:rPr>
              <w:t>Comités Cantonales de Deportes y Recreación</w:t>
            </w:r>
          </w:p>
        </w:tc>
        <w:tc>
          <w:tcPr>
            <w:tcW w:w="992" w:type="dxa"/>
            <w:tcBorders>
              <w:top w:val="nil"/>
              <w:left w:val="nil"/>
              <w:bottom w:val="nil"/>
              <w:right w:val="nil"/>
            </w:tcBorders>
            <w:shd w:val="clear" w:color="000000" w:fill="FFFFFF"/>
            <w:noWrap/>
            <w:vAlign w:val="bottom"/>
            <w:hideMark/>
          </w:tcPr>
          <w:p w14:paraId="0D3F1D9A" w14:textId="77777777" w:rsidR="003E7EF1" w:rsidRPr="003E7EF1" w:rsidRDefault="003E7EF1" w:rsidP="003E7EF1">
            <w:pPr>
              <w:spacing w:after="0" w:line="240" w:lineRule="auto"/>
              <w:jc w:val="right"/>
              <w:rPr>
                <w:rFonts w:eastAsia="Times New Roman" w:cs="Calibri"/>
                <w:color w:val="000000"/>
                <w:sz w:val="18"/>
                <w:szCs w:val="18"/>
                <w:lang w:val="en-US"/>
              </w:rPr>
            </w:pPr>
            <w:r w:rsidRPr="003E7EF1">
              <w:rPr>
                <w:rFonts w:eastAsia="Times New Roman" w:cs="Calibri"/>
                <w:color w:val="000000"/>
                <w:sz w:val="18"/>
                <w:szCs w:val="18"/>
                <w:lang w:val="en-US"/>
              </w:rPr>
              <w:t>13 862,09</w:t>
            </w:r>
          </w:p>
        </w:tc>
        <w:tc>
          <w:tcPr>
            <w:tcW w:w="979" w:type="dxa"/>
            <w:tcBorders>
              <w:top w:val="nil"/>
              <w:left w:val="single" w:sz="8" w:space="0" w:color="auto"/>
              <w:bottom w:val="nil"/>
              <w:right w:val="single" w:sz="8" w:space="0" w:color="auto"/>
            </w:tcBorders>
            <w:shd w:val="clear" w:color="000000" w:fill="FFFFFF"/>
            <w:noWrap/>
            <w:vAlign w:val="bottom"/>
            <w:hideMark/>
          </w:tcPr>
          <w:p w14:paraId="495F493A" w14:textId="77777777" w:rsidR="003E7EF1" w:rsidRPr="003E7EF1" w:rsidRDefault="003E7EF1" w:rsidP="003E7EF1">
            <w:pPr>
              <w:spacing w:after="0" w:line="240" w:lineRule="auto"/>
              <w:jc w:val="right"/>
              <w:rPr>
                <w:rFonts w:eastAsia="Times New Roman" w:cs="Calibri"/>
                <w:color w:val="000000"/>
                <w:sz w:val="18"/>
                <w:szCs w:val="18"/>
                <w:lang w:val="en-US"/>
              </w:rPr>
            </w:pPr>
            <w:r w:rsidRPr="003E7EF1">
              <w:rPr>
                <w:rFonts w:eastAsia="Times New Roman" w:cs="Calibri"/>
                <w:color w:val="000000"/>
                <w:sz w:val="18"/>
                <w:szCs w:val="18"/>
                <w:lang w:val="en-US"/>
              </w:rPr>
              <w:t>13 511,02</w:t>
            </w:r>
          </w:p>
        </w:tc>
        <w:tc>
          <w:tcPr>
            <w:tcW w:w="1028" w:type="dxa"/>
            <w:tcBorders>
              <w:top w:val="nil"/>
              <w:left w:val="nil"/>
              <w:bottom w:val="nil"/>
              <w:right w:val="single" w:sz="8" w:space="0" w:color="auto"/>
            </w:tcBorders>
            <w:shd w:val="clear" w:color="auto" w:fill="auto"/>
            <w:noWrap/>
            <w:vAlign w:val="bottom"/>
            <w:hideMark/>
          </w:tcPr>
          <w:p w14:paraId="67891D52" w14:textId="77777777" w:rsidR="003E7EF1" w:rsidRPr="003E7EF1" w:rsidRDefault="003E7EF1" w:rsidP="003E7EF1">
            <w:pPr>
              <w:spacing w:after="0" w:line="240" w:lineRule="auto"/>
              <w:jc w:val="right"/>
              <w:rPr>
                <w:rFonts w:eastAsia="Times New Roman" w:cs="Calibri"/>
                <w:color w:val="000000"/>
                <w:sz w:val="18"/>
                <w:szCs w:val="18"/>
                <w:lang w:val="en-US"/>
              </w:rPr>
            </w:pPr>
            <w:r w:rsidRPr="003E7EF1">
              <w:rPr>
                <w:rFonts w:eastAsia="Times New Roman" w:cs="Calibri"/>
                <w:color w:val="000000"/>
                <w:sz w:val="18"/>
                <w:szCs w:val="18"/>
                <w:lang w:val="en-US"/>
              </w:rPr>
              <w:t>351,08</w:t>
            </w:r>
          </w:p>
        </w:tc>
        <w:tc>
          <w:tcPr>
            <w:tcW w:w="1028" w:type="dxa"/>
            <w:tcBorders>
              <w:top w:val="nil"/>
              <w:left w:val="nil"/>
              <w:bottom w:val="nil"/>
              <w:right w:val="single" w:sz="8" w:space="0" w:color="auto"/>
            </w:tcBorders>
            <w:shd w:val="clear" w:color="auto" w:fill="auto"/>
            <w:noWrap/>
            <w:vAlign w:val="bottom"/>
            <w:hideMark/>
          </w:tcPr>
          <w:p w14:paraId="1236B82C" w14:textId="77777777" w:rsidR="003E7EF1" w:rsidRPr="003E7EF1" w:rsidRDefault="003E7EF1" w:rsidP="003E7EF1">
            <w:pPr>
              <w:spacing w:after="0" w:line="240" w:lineRule="auto"/>
              <w:jc w:val="right"/>
              <w:rPr>
                <w:rFonts w:eastAsia="Times New Roman" w:cs="Calibri"/>
                <w:color w:val="000000"/>
                <w:sz w:val="18"/>
                <w:szCs w:val="18"/>
                <w:lang w:val="en-US"/>
              </w:rPr>
            </w:pPr>
            <w:r w:rsidRPr="003E7EF1">
              <w:rPr>
                <w:rFonts w:eastAsia="Times New Roman" w:cs="Calibri"/>
                <w:color w:val="000000"/>
                <w:sz w:val="18"/>
                <w:szCs w:val="18"/>
                <w:lang w:val="en-US"/>
              </w:rPr>
              <w:t>2,60%</w:t>
            </w:r>
          </w:p>
        </w:tc>
      </w:tr>
      <w:tr w:rsidR="003E7EF1" w:rsidRPr="003E7EF1" w14:paraId="2EF06A8C" w14:textId="77777777" w:rsidTr="003E7EF1">
        <w:trPr>
          <w:trHeight w:val="290"/>
        </w:trPr>
        <w:tc>
          <w:tcPr>
            <w:tcW w:w="823" w:type="dxa"/>
            <w:tcBorders>
              <w:top w:val="nil"/>
              <w:left w:val="single" w:sz="8" w:space="0" w:color="auto"/>
              <w:bottom w:val="nil"/>
              <w:right w:val="single" w:sz="8" w:space="0" w:color="auto"/>
            </w:tcBorders>
            <w:shd w:val="clear" w:color="auto" w:fill="auto"/>
            <w:noWrap/>
            <w:vAlign w:val="bottom"/>
            <w:hideMark/>
          </w:tcPr>
          <w:p w14:paraId="47AFA772" w14:textId="77777777" w:rsidR="003E7EF1" w:rsidRPr="003E7EF1" w:rsidRDefault="003E7EF1" w:rsidP="003E7EF1">
            <w:pPr>
              <w:spacing w:after="0" w:line="240" w:lineRule="auto"/>
              <w:jc w:val="center"/>
              <w:rPr>
                <w:rFonts w:eastAsia="Times New Roman" w:cs="Calibri"/>
                <w:color w:val="000000"/>
                <w:sz w:val="18"/>
                <w:szCs w:val="18"/>
                <w:lang w:val="en-US"/>
              </w:rPr>
            </w:pPr>
            <w:r w:rsidRPr="003E7EF1">
              <w:rPr>
                <w:rFonts w:eastAsia="Times New Roman" w:cs="Calibri"/>
                <w:color w:val="000000"/>
                <w:sz w:val="18"/>
                <w:szCs w:val="18"/>
                <w:lang w:val="en-US"/>
              </w:rPr>
              <w:t>15933</w:t>
            </w:r>
          </w:p>
        </w:tc>
        <w:tc>
          <w:tcPr>
            <w:tcW w:w="4129" w:type="dxa"/>
            <w:tcBorders>
              <w:top w:val="nil"/>
              <w:left w:val="nil"/>
              <w:bottom w:val="nil"/>
              <w:right w:val="single" w:sz="8" w:space="0" w:color="auto"/>
            </w:tcBorders>
            <w:shd w:val="clear" w:color="auto" w:fill="auto"/>
            <w:noWrap/>
            <w:vAlign w:val="bottom"/>
            <w:hideMark/>
          </w:tcPr>
          <w:p w14:paraId="38B7A1F9" w14:textId="77777777" w:rsidR="003E7EF1" w:rsidRPr="003E7EF1" w:rsidRDefault="003E7EF1" w:rsidP="003E7EF1">
            <w:pPr>
              <w:spacing w:after="0" w:line="240" w:lineRule="auto"/>
              <w:jc w:val="left"/>
              <w:rPr>
                <w:rFonts w:eastAsia="Times New Roman" w:cs="Calibri"/>
                <w:color w:val="000000"/>
                <w:sz w:val="18"/>
                <w:szCs w:val="18"/>
              </w:rPr>
            </w:pPr>
            <w:r w:rsidRPr="003E7EF1">
              <w:rPr>
                <w:rFonts w:eastAsia="Times New Roman" w:cs="Calibri"/>
                <w:color w:val="000000"/>
                <w:sz w:val="18"/>
                <w:szCs w:val="18"/>
              </w:rPr>
              <w:t>Federacion de Municipalidades de la Región sur de la Provincia de Puntarenas(FEDEMSUR)</w:t>
            </w:r>
          </w:p>
        </w:tc>
        <w:tc>
          <w:tcPr>
            <w:tcW w:w="992" w:type="dxa"/>
            <w:tcBorders>
              <w:top w:val="nil"/>
              <w:left w:val="nil"/>
              <w:bottom w:val="nil"/>
              <w:right w:val="nil"/>
            </w:tcBorders>
            <w:shd w:val="clear" w:color="000000" w:fill="FFFFFF"/>
            <w:noWrap/>
            <w:vAlign w:val="bottom"/>
            <w:hideMark/>
          </w:tcPr>
          <w:p w14:paraId="77CD93F6" w14:textId="77777777" w:rsidR="003E7EF1" w:rsidRPr="003E7EF1" w:rsidRDefault="003E7EF1" w:rsidP="003E7EF1">
            <w:pPr>
              <w:spacing w:after="0" w:line="240" w:lineRule="auto"/>
              <w:jc w:val="right"/>
              <w:rPr>
                <w:rFonts w:eastAsia="Times New Roman" w:cs="Calibri"/>
                <w:color w:val="000000"/>
                <w:sz w:val="18"/>
                <w:szCs w:val="18"/>
                <w:lang w:val="en-US"/>
              </w:rPr>
            </w:pPr>
            <w:r w:rsidRPr="003E7EF1">
              <w:rPr>
                <w:rFonts w:eastAsia="Times New Roman" w:cs="Calibri"/>
                <w:color w:val="000000"/>
                <w:sz w:val="18"/>
                <w:szCs w:val="18"/>
                <w:lang w:val="en-US"/>
              </w:rPr>
              <w:t>0,00</w:t>
            </w:r>
          </w:p>
        </w:tc>
        <w:tc>
          <w:tcPr>
            <w:tcW w:w="979" w:type="dxa"/>
            <w:tcBorders>
              <w:top w:val="nil"/>
              <w:left w:val="single" w:sz="8" w:space="0" w:color="auto"/>
              <w:bottom w:val="nil"/>
              <w:right w:val="single" w:sz="8" w:space="0" w:color="auto"/>
            </w:tcBorders>
            <w:shd w:val="clear" w:color="000000" w:fill="FFFFFF"/>
            <w:noWrap/>
            <w:vAlign w:val="bottom"/>
            <w:hideMark/>
          </w:tcPr>
          <w:p w14:paraId="24B241A6" w14:textId="77777777" w:rsidR="003E7EF1" w:rsidRPr="003E7EF1" w:rsidRDefault="003E7EF1" w:rsidP="003E7EF1">
            <w:pPr>
              <w:spacing w:after="0" w:line="240" w:lineRule="auto"/>
              <w:jc w:val="right"/>
              <w:rPr>
                <w:rFonts w:eastAsia="Times New Roman" w:cs="Calibri"/>
                <w:color w:val="000000"/>
                <w:sz w:val="18"/>
                <w:szCs w:val="18"/>
                <w:lang w:val="en-US"/>
              </w:rPr>
            </w:pPr>
            <w:r w:rsidRPr="003E7EF1">
              <w:rPr>
                <w:rFonts w:eastAsia="Times New Roman" w:cs="Calibri"/>
                <w:color w:val="000000"/>
                <w:sz w:val="18"/>
                <w:szCs w:val="18"/>
                <w:lang w:val="en-US"/>
              </w:rPr>
              <w:t>0,00</w:t>
            </w:r>
          </w:p>
        </w:tc>
        <w:tc>
          <w:tcPr>
            <w:tcW w:w="1028" w:type="dxa"/>
            <w:tcBorders>
              <w:top w:val="nil"/>
              <w:left w:val="nil"/>
              <w:bottom w:val="nil"/>
              <w:right w:val="single" w:sz="8" w:space="0" w:color="auto"/>
            </w:tcBorders>
            <w:shd w:val="clear" w:color="auto" w:fill="auto"/>
            <w:noWrap/>
            <w:vAlign w:val="bottom"/>
            <w:hideMark/>
          </w:tcPr>
          <w:p w14:paraId="658D4BC1" w14:textId="77777777" w:rsidR="003E7EF1" w:rsidRPr="003E7EF1" w:rsidRDefault="003E7EF1" w:rsidP="003E7EF1">
            <w:pPr>
              <w:spacing w:after="0" w:line="240" w:lineRule="auto"/>
              <w:jc w:val="right"/>
              <w:rPr>
                <w:rFonts w:eastAsia="Times New Roman" w:cs="Calibri"/>
                <w:color w:val="000000"/>
                <w:sz w:val="18"/>
                <w:szCs w:val="18"/>
                <w:lang w:val="en-US"/>
              </w:rPr>
            </w:pPr>
            <w:r w:rsidRPr="003E7EF1">
              <w:rPr>
                <w:rFonts w:eastAsia="Times New Roman" w:cs="Calibri"/>
                <w:color w:val="000000"/>
                <w:sz w:val="18"/>
                <w:szCs w:val="18"/>
                <w:lang w:val="en-US"/>
              </w:rPr>
              <w:t>0,00</w:t>
            </w:r>
          </w:p>
        </w:tc>
        <w:tc>
          <w:tcPr>
            <w:tcW w:w="1028" w:type="dxa"/>
            <w:tcBorders>
              <w:top w:val="nil"/>
              <w:left w:val="nil"/>
              <w:bottom w:val="nil"/>
              <w:right w:val="single" w:sz="8" w:space="0" w:color="auto"/>
            </w:tcBorders>
            <w:shd w:val="clear" w:color="auto" w:fill="auto"/>
            <w:noWrap/>
            <w:vAlign w:val="bottom"/>
            <w:hideMark/>
          </w:tcPr>
          <w:p w14:paraId="78A00BC5" w14:textId="77777777" w:rsidR="003E7EF1" w:rsidRPr="003E7EF1" w:rsidRDefault="003E7EF1" w:rsidP="003E7EF1">
            <w:pPr>
              <w:spacing w:after="0" w:line="240" w:lineRule="auto"/>
              <w:jc w:val="center"/>
              <w:rPr>
                <w:rFonts w:eastAsia="Times New Roman" w:cs="Calibri"/>
                <w:color w:val="000000"/>
                <w:sz w:val="18"/>
                <w:szCs w:val="18"/>
                <w:lang w:val="en-US"/>
              </w:rPr>
            </w:pPr>
            <w:r w:rsidRPr="003E7EF1">
              <w:rPr>
                <w:rFonts w:eastAsia="Times New Roman" w:cs="Calibri"/>
                <w:color w:val="000000"/>
                <w:sz w:val="18"/>
                <w:szCs w:val="18"/>
                <w:lang w:val="en-US"/>
              </w:rPr>
              <w:t>#DIV/0!</w:t>
            </w:r>
          </w:p>
        </w:tc>
      </w:tr>
      <w:tr w:rsidR="003E7EF1" w:rsidRPr="003E7EF1" w14:paraId="37CA31A3" w14:textId="77777777" w:rsidTr="003E7EF1">
        <w:trPr>
          <w:trHeight w:val="300"/>
        </w:trPr>
        <w:tc>
          <w:tcPr>
            <w:tcW w:w="823" w:type="dxa"/>
            <w:tcBorders>
              <w:top w:val="nil"/>
              <w:left w:val="single" w:sz="8" w:space="0" w:color="auto"/>
              <w:bottom w:val="single" w:sz="8" w:space="0" w:color="auto"/>
              <w:right w:val="single" w:sz="8" w:space="0" w:color="auto"/>
            </w:tcBorders>
            <w:shd w:val="clear" w:color="auto" w:fill="auto"/>
            <w:noWrap/>
            <w:vAlign w:val="center"/>
            <w:hideMark/>
          </w:tcPr>
          <w:p w14:paraId="58343893" w14:textId="77777777" w:rsidR="003E7EF1" w:rsidRPr="003E7EF1" w:rsidRDefault="003E7EF1" w:rsidP="003E7EF1">
            <w:pPr>
              <w:spacing w:after="0" w:line="240" w:lineRule="auto"/>
              <w:jc w:val="center"/>
              <w:rPr>
                <w:rFonts w:eastAsia="Times New Roman" w:cs="Calibri"/>
                <w:color w:val="000000"/>
                <w:sz w:val="18"/>
                <w:szCs w:val="18"/>
                <w:lang w:val="en-US"/>
              </w:rPr>
            </w:pPr>
            <w:r w:rsidRPr="003E7EF1">
              <w:rPr>
                <w:rFonts w:eastAsia="Times New Roman" w:cs="Calibri"/>
                <w:color w:val="000000"/>
                <w:sz w:val="18"/>
                <w:szCs w:val="18"/>
                <w:lang w:val="en-US"/>
              </w:rPr>
              <w:t>15980</w:t>
            </w:r>
          </w:p>
        </w:tc>
        <w:tc>
          <w:tcPr>
            <w:tcW w:w="4129" w:type="dxa"/>
            <w:tcBorders>
              <w:top w:val="nil"/>
              <w:left w:val="nil"/>
              <w:bottom w:val="single" w:sz="8" w:space="0" w:color="auto"/>
              <w:right w:val="single" w:sz="8" w:space="0" w:color="auto"/>
            </w:tcBorders>
            <w:shd w:val="clear" w:color="auto" w:fill="auto"/>
            <w:vAlign w:val="center"/>
            <w:hideMark/>
          </w:tcPr>
          <w:p w14:paraId="666B56B0" w14:textId="77777777" w:rsidR="003E7EF1" w:rsidRPr="003E7EF1" w:rsidRDefault="003E7EF1" w:rsidP="003E7EF1">
            <w:pPr>
              <w:spacing w:after="0" w:line="240" w:lineRule="auto"/>
              <w:jc w:val="left"/>
              <w:rPr>
                <w:rFonts w:eastAsia="Times New Roman" w:cs="Calibri"/>
                <w:color w:val="000000"/>
                <w:sz w:val="18"/>
                <w:szCs w:val="18"/>
              </w:rPr>
            </w:pPr>
            <w:r w:rsidRPr="003E7EF1">
              <w:rPr>
                <w:rFonts w:eastAsia="Times New Roman" w:cs="Calibri"/>
                <w:color w:val="000000"/>
                <w:sz w:val="18"/>
                <w:szCs w:val="18"/>
              </w:rPr>
              <w:t>Unión Nacional de Gobiernos Locales</w:t>
            </w:r>
          </w:p>
        </w:tc>
        <w:tc>
          <w:tcPr>
            <w:tcW w:w="992" w:type="dxa"/>
            <w:tcBorders>
              <w:top w:val="nil"/>
              <w:left w:val="nil"/>
              <w:bottom w:val="nil"/>
              <w:right w:val="nil"/>
            </w:tcBorders>
            <w:shd w:val="clear" w:color="000000" w:fill="FFFFFF"/>
            <w:noWrap/>
            <w:vAlign w:val="bottom"/>
            <w:hideMark/>
          </w:tcPr>
          <w:p w14:paraId="3EE97E5F" w14:textId="77777777" w:rsidR="003E7EF1" w:rsidRPr="003E7EF1" w:rsidRDefault="003E7EF1" w:rsidP="003E7EF1">
            <w:pPr>
              <w:spacing w:after="0" w:line="240" w:lineRule="auto"/>
              <w:jc w:val="right"/>
              <w:rPr>
                <w:rFonts w:eastAsia="Times New Roman" w:cs="Calibri"/>
                <w:color w:val="000000"/>
                <w:sz w:val="18"/>
                <w:szCs w:val="18"/>
                <w:lang w:val="en-US"/>
              </w:rPr>
            </w:pPr>
            <w:r w:rsidRPr="003E7EF1">
              <w:rPr>
                <w:rFonts w:eastAsia="Times New Roman" w:cs="Calibri"/>
                <w:color w:val="000000"/>
                <w:sz w:val="18"/>
                <w:szCs w:val="18"/>
                <w:lang w:val="en-US"/>
              </w:rPr>
              <w:t>1 155,17</w:t>
            </w:r>
          </w:p>
        </w:tc>
        <w:tc>
          <w:tcPr>
            <w:tcW w:w="979" w:type="dxa"/>
            <w:tcBorders>
              <w:top w:val="nil"/>
              <w:left w:val="single" w:sz="8" w:space="0" w:color="auto"/>
              <w:bottom w:val="single" w:sz="8" w:space="0" w:color="auto"/>
              <w:right w:val="single" w:sz="8" w:space="0" w:color="auto"/>
            </w:tcBorders>
            <w:shd w:val="clear" w:color="000000" w:fill="FFFFFF"/>
            <w:noWrap/>
            <w:vAlign w:val="bottom"/>
            <w:hideMark/>
          </w:tcPr>
          <w:p w14:paraId="1EA1D396" w14:textId="77777777" w:rsidR="003E7EF1" w:rsidRPr="003E7EF1" w:rsidRDefault="003E7EF1" w:rsidP="003E7EF1">
            <w:pPr>
              <w:spacing w:after="0" w:line="240" w:lineRule="auto"/>
              <w:jc w:val="right"/>
              <w:rPr>
                <w:rFonts w:eastAsia="Times New Roman" w:cs="Calibri"/>
                <w:color w:val="000000"/>
                <w:sz w:val="18"/>
                <w:szCs w:val="18"/>
                <w:lang w:val="en-US"/>
              </w:rPr>
            </w:pPr>
            <w:r w:rsidRPr="003E7EF1">
              <w:rPr>
                <w:rFonts w:eastAsia="Times New Roman" w:cs="Calibri"/>
                <w:color w:val="000000"/>
                <w:sz w:val="18"/>
                <w:szCs w:val="18"/>
                <w:lang w:val="en-US"/>
              </w:rPr>
              <w:t>1 125,92</w:t>
            </w:r>
          </w:p>
        </w:tc>
        <w:tc>
          <w:tcPr>
            <w:tcW w:w="1028" w:type="dxa"/>
            <w:tcBorders>
              <w:top w:val="nil"/>
              <w:left w:val="nil"/>
              <w:bottom w:val="single" w:sz="8" w:space="0" w:color="auto"/>
              <w:right w:val="single" w:sz="8" w:space="0" w:color="auto"/>
            </w:tcBorders>
            <w:shd w:val="clear" w:color="auto" w:fill="auto"/>
            <w:noWrap/>
            <w:vAlign w:val="bottom"/>
            <w:hideMark/>
          </w:tcPr>
          <w:p w14:paraId="413EE980" w14:textId="77777777" w:rsidR="003E7EF1" w:rsidRPr="003E7EF1" w:rsidRDefault="003E7EF1" w:rsidP="003E7EF1">
            <w:pPr>
              <w:spacing w:after="0" w:line="240" w:lineRule="auto"/>
              <w:jc w:val="right"/>
              <w:rPr>
                <w:rFonts w:eastAsia="Times New Roman" w:cs="Calibri"/>
                <w:color w:val="000000"/>
                <w:sz w:val="18"/>
                <w:szCs w:val="18"/>
                <w:lang w:val="en-US"/>
              </w:rPr>
            </w:pPr>
            <w:r w:rsidRPr="003E7EF1">
              <w:rPr>
                <w:rFonts w:eastAsia="Times New Roman" w:cs="Calibri"/>
                <w:color w:val="000000"/>
                <w:sz w:val="18"/>
                <w:szCs w:val="18"/>
                <w:lang w:val="en-US"/>
              </w:rPr>
              <w:t>29,26</w:t>
            </w:r>
          </w:p>
        </w:tc>
        <w:tc>
          <w:tcPr>
            <w:tcW w:w="1028" w:type="dxa"/>
            <w:tcBorders>
              <w:top w:val="nil"/>
              <w:left w:val="nil"/>
              <w:bottom w:val="single" w:sz="8" w:space="0" w:color="auto"/>
              <w:right w:val="single" w:sz="8" w:space="0" w:color="auto"/>
            </w:tcBorders>
            <w:shd w:val="clear" w:color="auto" w:fill="auto"/>
            <w:noWrap/>
            <w:vAlign w:val="bottom"/>
            <w:hideMark/>
          </w:tcPr>
          <w:p w14:paraId="25909C55" w14:textId="77777777" w:rsidR="003E7EF1" w:rsidRPr="003E7EF1" w:rsidRDefault="003E7EF1" w:rsidP="003E7EF1">
            <w:pPr>
              <w:spacing w:after="0" w:line="240" w:lineRule="auto"/>
              <w:jc w:val="right"/>
              <w:rPr>
                <w:rFonts w:eastAsia="Times New Roman" w:cs="Calibri"/>
                <w:color w:val="000000"/>
                <w:sz w:val="18"/>
                <w:szCs w:val="18"/>
                <w:lang w:val="en-US"/>
              </w:rPr>
            </w:pPr>
            <w:r w:rsidRPr="003E7EF1">
              <w:rPr>
                <w:rFonts w:eastAsia="Times New Roman" w:cs="Calibri"/>
                <w:color w:val="000000"/>
                <w:sz w:val="18"/>
                <w:szCs w:val="18"/>
                <w:lang w:val="en-US"/>
              </w:rPr>
              <w:t>2,60%</w:t>
            </w:r>
          </w:p>
        </w:tc>
      </w:tr>
      <w:tr w:rsidR="003E7EF1" w:rsidRPr="003E7EF1" w14:paraId="52286C08" w14:textId="77777777" w:rsidTr="003E7EF1">
        <w:trPr>
          <w:trHeight w:val="300"/>
        </w:trPr>
        <w:tc>
          <w:tcPr>
            <w:tcW w:w="823" w:type="dxa"/>
            <w:tcBorders>
              <w:top w:val="nil"/>
              <w:left w:val="single" w:sz="8" w:space="0" w:color="auto"/>
              <w:bottom w:val="single" w:sz="8" w:space="0" w:color="auto"/>
              <w:right w:val="single" w:sz="8" w:space="0" w:color="auto"/>
            </w:tcBorders>
            <w:shd w:val="clear" w:color="auto" w:fill="auto"/>
            <w:noWrap/>
            <w:vAlign w:val="bottom"/>
            <w:hideMark/>
          </w:tcPr>
          <w:p w14:paraId="62DEFC00" w14:textId="77777777" w:rsidR="003E7EF1" w:rsidRPr="003E7EF1" w:rsidRDefault="003E7EF1" w:rsidP="003E7EF1">
            <w:pPr>
              <w:spacing w:after="0" w:line="240" w:lineRule="auto"/>
              <w:jc w:val="left"/>
              <w:rPr>
                <w:rFonts w:eastAsia="Times New Roman" w:cs="Calibri"/>
                <w:b/>
                <w:bCs/>
                <w:color w:val="000000"/>
                <w:sz w:val="18"/>
                <w:szCs w:val="18"/>
                <w:lang w:val="en-US"/>
              </w:rPr>
            </w:pPr>
            <w:r w:rsidRPr="003E7EF1">
              <w:rPr>
                <w:rFonts w:eastAsia="Times New Roman" w:cs="Calibri"/>
                <w:b/>
                <w:bCs/>
                <w:color w:val="000000"/>
                <w:sz w:val="18"/>
                <w:szCs w:val="18"/>
                <w:lang w:val="en-US"/>
              </w:rPr>
              <w:t> </w:t>
            </w:r>
          </w:p>
        </w:tc>
        <w:tc>
          <w:tcPr>
            <w:tcW w:w="4129" w:type="dxa"/>
            <w:tcBorders>
              <w:top w:val="nil"/>
              <w:left w:val="nil"/>
              <w:bottom w:val="single" w:sz="8" w:space="0" w:color="auto"/>
              <w:right w:val="nil"/>
            </w:tcBorders>
            <w:shd w:val="clear" w:color="auto" w:fill="auto"/>
            <w:noWrap/>
            <w:vAlign w:val="bottom"/>
            <w:hideMark/>
          </w:tcPr>
          <w:p w14:paraId="1F767846" w14:textId="77777777" w:rsidR="003E7EF1" w:rsidRPr="003E7EF1" w:rsidRDefault="003E7EF1" w:rsidP="003E7EF1">
            <w:pPr>
              <w:spacing w:after="0" w:line="240" w:lineRule="auto"/>
              <w:jc w:val="center"/>
              <w:rPr>
                <w:rFonts w:eastAsia="Times New Roman" w:cs="Calibri"/>
                <w:b/>
                <w:bCs/>
                <w:color w:val="000000"/>
                <w:sz w:val="18"/>
                <w:szCs w:val="18"/>
                <w:lang w:val="en-US"/>
              </w:rPr>
            </w:pPr>
            <w:r w:rsidRPr="003E7EF1">
              <w:rPr>
                <w:rFonts w:eastAsia="Times New Roman" w:cs="Calibri"/>
                <w:b/>
                <w:bCs/>
                <w:color w:val="000000"/>
                <w:sz w:val="18"/>
                <w:szCs w:val="18"/>
                <w:lang w:val="en-US"/>
              </w:rPr>
              <w:t>TOTALES</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EF0DAF7" w14:textId="77777777" w:rsidR="003E7EF1" w:rsidRPr="003E7EF1" w:rsidRDefault="003E7EF1" w:rsidP="003E7EF1">
            <w:pPr>
              <w:spacing w:after="0" w:line="240" w:lineRule="auto"/>
              <w:ind w:left="-110"/>
              <w:jc w:val="right"/>
              <w:rPr>
                <w:rFonts w:eastAsia="Times New Roman" w:cs="Calibri"/>
                <w:b/>
                <w:bCs/>
                <w:color w:val="000000"/>
                <w:sz w:val="18"/>
                <w:szCs w:val="18"/>
                <w:lang w:val="en-US"/>
              </w:rPr>
            </w:pPr>
            <w:r w:rsidRPr="003E7EF1">
              <w:rPr>
                <w:rFonts w:ascii="Arial" w:eastAsia="Times New Roman" w:hAnsi="Arial" w:cs="Arial"/>
                <w:b/>
                <w:bCs/>
                <w:color w:val="000000"/>
                <w:sz w:val="18"/>
                <w:szCs w:val="18"/>
                <w:lang w:val="en-US"/>
              </w:rPr>
              <w:t>₡</w:t>
            </w:r>
            <w:r w:rsidRPr="003E7EF1">
              <w:rPr>
                <w:rFonts w:eastAsia="Times New Roman" w:cs="Calibri"/>
                <w:b/>
                <w:bCs/>
                <w:color w:val="000000"/>
                <w:sz w:val="18"/>
                <w:szCs w:val="18"/>
                <w:lang w:val="en-US"/>
              </w:rPr>
              <w:t>57 749,05</w:t>
            </w:r>
          </w:p>
        </w:tc>
        <w:tc>
          <w:tcPr>
            <w:tcW w:w="979" w:type="dxa"/>
            <w:tcBorders>
              <w:top w:val="nil"/>
              <w:left w:val="nil"/>
              <w:bottom w:val="single" w:sz="8" w:space="0" w:color="auto"/>
              <w:right w:val="single" w:sz="8" w:space="0" w:color="auto"/>
            </w:tcBorders>
            <w:shd w:val="clear" w:color="auto" w:fill="auto"/>
            <w:noWrap/>
            <w:vAlign w:val="bottom"/>
            <w:hideMark/>
          </w:tcPr>
          <w:p w14:paraId="190CFECA" w14:textId="77777777" w:rsidR="003E7EF1" w:rsidRPr="003E7EF1" w:rsidRDefault="003E7EF1" w:rsidP="003E7EF1">
            <w:pPr>
              <w:spacing w:after="0" w:line="240" w:lineRule="auto"/>
              <w:ind w:left="-104"/>
              <w:jc w:val="right"/>
              <w:rPr>
                <w:rFonts w:eastAsia="Times New Roman" w:cs="Calibri"/>
                <w:b/>
                <w:bCs/>
                <w:color w:val="000000"/>
                <w:sz w:val="18"/>
                <w:szCs w:val="18"/>
                <w:lang w:val="en-US"/>
              </w:rPr>
            </w:pPr>
            <w:r w:rsidRPr="003E7EF1">
              <w:rPr>
                <w:rFonts w:ascii="Arial" w:eastAsia="Times New Roman" w:hAnsi="Arial" w:cs="Arial"/>
                <w:b/>
                <w:bCs/>
                <w:color w:val="000000"/>
                <w:sz w:val="18"/>
                <w:szCs w:val="18"/>
                <w:lang w:val="en-US"/>
              </w:rPr>
              <w:t>₡</w:t>
            </w:r>
            <w:r w:rsidRPr="003E7EF1">
              <w:rPr>
                <w:rFonts w:eastAsia="Times New Roman" w:cs="Calibri"/>
                <w:b/>
                <w:bCs/>
                <w:color w:val="000000"/>
                <w:sz w:val="18"/>
                <w:szCs w:val="18"/>
                <w:lang w:val="en-US"/>
              </w:rPr>
              <w:t>53 200,43</w:t>
            </w:r>
          </w:p>
        </w:tc>
        <w:tc>
          <w:tcPr>
            <w:tcW w:w="1028" w:type="dxa"/>
            <w:tcBorders>
              <w:top w:val="nil"/>
              <w:left w:val="nil"/>
              <w:bottom w:val="single" w:sz="8" w:space="0" w:color="auto"/>
              <w:right w:val="single" w:sz="8" w:space="0" w:color="auto"/>
            </w:tcBorders>
            <w:shd w:val="clear" w:color="auto" w:fill="auto"/>
            <w:noWrap/>
            <w:vAlign w:val="bottom"/>
            <w:hideMark/>
          </w:tcPr>
          <w:p w14:paraId="229742AF" w14:textId="77777777" w:rsidR="003E7EF1" w:rsidRPr="003E7EF1" w:rsidRDefault="003E7EF1" w:rsidP="003E7EF1">
            <w:pPr>
              <w:spacing w:after="0" w:line="240" w:lineRule="auto"/>
              <w:jc w:val="right"/>
              <w:rPr>
                <w:rFonts w:eastAsia="Times New Roman" w:cs="Calibri"/>
                <w:b/>
                <w:bCs/>
                <w:color w:val="000000"/>
                <w:sz w:val="18"/>
                <w:szCs w:val="18"/>
                <w:lang w:val="en-US"/>
              </w:rPr>
            </w:pPr>
            <w:r w:rsidRPr="003E7EF1">
              <w:rPr>
                <w:rFonts w:ascii="Arial" w:eastAsia="Times New Roman" w:hAnsi="Arial" w:cs="Arial"/>
                <w:b/>
                <w:bCs/>
                <w:color w:val="000000"/>
                <w:sz w:val="18"/>
                <w:szCs w:val="18"/>
                <w:lang w:val="en-US"/>
              </w:rPr>
              <w:t>₡</w:t>
            </w:r>
            <w:r w:rsidRPr="003E7EF1">
              <w:rPr>
                <w:rFonts w:eastAsia="Times New Roman" w:cs="Calibri"/>
                <w:b/>
                <w:bCs/>
                <w:color w:val="000000"/>
                <w:sz w:val="18"/>
                <w:szCs w:val="18"/>
                <w:lang w:val="en-US"/>
              </w:rPr>
              <w:t>4 548,62</w:t>
            </w:r>
          </w:p>
        </w:tc>
        <w:tc>
          <w:tcPr>
            <w:tcW w:w="1028" w:type="dxa"/>
            <w:tcBorders>
              <w:top w:val="nil"/>
              <w:left w:val="nil"/>
              <w:bottom w:val="single" w:sz="8" w:space="0" w:color="auto"/>
              <w:right w:val="single" w:sz="8" w:space="0" w:color="auto"/>
            </w:tcBorders>
            <w:shd w:val="clear" w:color="auto" w:fill="auto"/>
            <w:noWrap/>
            <w:vAlign w:val="bottom"/>
            <w:hideMark/>
          </w:tcPr>
          <w:p w14:paraId="1FE5E900" w14:textId="77777777" w:rsidR="003E7EF1" w:rsidRPr="003E7EF1" w:rsidRDefault="003E7EF1" w:rsidP="003E7EF1">
            <w:pPr>
              <w:spacing w:after="0" w:line="240" w:lineRule="auto"/>
              <w:jc w:val="right"/>
              <w:rPr>
                <w:rFonts w:eastAsia="Times New Roman" w:cs="Calibri"/>
                <w:b/>
                <w:bCs/>
                <w:color w:val="000000"/>
                <w:sz w:val="18"/>
                <w:szCs w:val="18"/>
                <w:lang w:val="en-US"/>
              </w:rPr>
            </w:pPr>
            <w:r w:rsidRPr="003E7EF1">
              <w:rPr>
                <w:rFonts w:eastAsia="Times New Roman" w:cs="Calibri"/>
                <w:b/>
                <w:bCs/>
                <w:color w:val="000000"/>
                <w:sz w:val="18"/>
                <w:szCs w:val="18"/>
                <w:lang w:val="en-US"/>
              </w:rPr>
              <w:t>8,55%</w:t>
            </w:r>
          </w:p>
        </w:tc>
      </w:tr>
    </w:tbl>
    <w:p w14:paraId="64C6B1AC" w14:textId="77777777" w:rsidR="00694299" w:rsidRPr="00694299" w:rsidRDefault="00692DC8" w:rsidP="00694299">
      <w:pPr>
        <w:spacing w:before="240"/>
        <w:rPr>
          <w:rFonts w:eastAsia="Calibri"/>
          <w:b/>
          <w:sz w:val="20"/>
          <w:szCs w:val="20"/>
          <w:lang w:eastAsia="es-CR"/>
        </w:rPr>
      </w:pPr>
      <w:r w:rsidRPr="00E3707A">
        <w:rPr>
          <w:rFonts w:eastAsia="Calibri"/>
          <w:b/>
          <w:lang w:val="es-ES"/>
        </w:rPr>
        <w:t xml:space="preserve">Revelación: </w:t>
      </w:r>
      <w:r w:rsidR="00760930">
        <w:rPr>
          <w:rFonts w:cs="Calibri"/>
          <w:color w:val="000000"/>
          <w:lang w:eastAsia="es-CR"/>
        </w:rPr>
        <w:fldChar w:fldCharType="begin"/>
      </w:r>
      <w:r w:rsidR="00760930">
        <w:rPr>
          <w:rFonts w:cs="Calibri"/>
          <w:color w:val="000000"/>
          <w:lang w:eastAsia="es-CR"/>
        </w:rPr>
        <w:instrText xml:space="preserve"> LINK </w:instrText>
      </w:r>
      <w:r w:rsidR="00323752">
        <w:rPr>
          <w:rFonts w:cs="Calibri"/>
          <w:color w:val="000000"/>
          <w:lang w:eastAsia="es-CR"/>
        </w:rPr>
        <w:instrText xml:space="preserve">Excel.SheetMacroEnabled.12 "D:\\MORAVIA\\INSUMOS\\NOTAS 2024\\Formato_Notas_EEFF_Vinculadas_2024\\XXXXX_PXX_202X_Anexo_Estado_Notas_Contables_Vinculadas.xlsm" NOTAS_POR_CUENTA!F409C8 </w:instrText>
      </w:r>
      <w:r w:rsidR="00760930">
        <w:rPr>
          <w:rFonts w:cs="Calibri"/>
          <w:color w:val="000000"/>
          <w:lang w:eastAsia="es-CR"/>
        </w:rPr>
        <w:instrText xml:space="preserve">\a \f 5 \h  \* MERGEFORMAT </w:instrText>
      </w:r>
      <w:r w:rsidR="00760930">
        <w:rPr>
          <w:rFonts w:cs="Calibri"/>
          <w:color w:val="000000"/>
          <w:lang w:eastAsia="es-CR"/>
        </w:rPr>
        <w:fldChar w:fldCharType="separate"/>
      </w:r>
    </w:p>
    <w:p w14:paraId="788125CE" w14:textId="4864B2C8" w:rsidR="00694299" w:rsidRPr="00694299" w:rsidRDefault="00694299" w:rsidP="000F5FB8">
      <w:pPr>
        <w:spacing w:line="240" w:lineRule="auto"/>
        <w:rPr>
          <w:rFonts w:cs="Calibri"/>
          <w:color w:val="000000"/>
          <w:lang w:eastAsia="es-CR"/>
        </w:rPr>
      </w:pPr>
      <w:r w:rsidRPr="00694299">
        <w:rPr>
          <w:rFonts w:cs="Calibri"/>
          <w:color w:val="000000"/>
          <w:lang w:eastAsia="es-CR"/>
        </w:rPr>
        <w:t xml:space="preserve">La cuenta Transferencias corrientes, representa el </w:t>
      </w:r>
      <w:r w:rsidR="000F5FB8">
        <w:rPr>
          <w:rFonts w:cs="Calibri"/>
          <w:color w:val="000000"/>
          <w:lang w:eastAsia="es-CR"/>
        </w:rPr>
        <w:t>4</w:t>
      </w:r>
      <w:r w:rsidRPr="00694299">
        <w:rPr>
          <w:rFonts w:cs="Calibri"/>
          <w:color w:val="000000"/>
          <w:lang w:eastAsia="es-CR"/>
        </w:rPr>
        <w:t>,</w:t>
      </w:r>
      <w:r w:rsidR="000F5FB8">
        <w:rPr>
          <w:rFonts w:cs="Calibri"/>
          <w:color w:val="000000"/>
          <w:lang w:eastAsia="es-CR"/>
        </w:rPr>
        <w:t>4</w:t>
      </w:r>
      <w:r w:rsidRPr="00694299">
        <w:rPr>
          <w:rFonts w:cs="Calibri"/>
          <w:color w:val="000000"/>
          <w:lang w:eastAsia="es-CR"/>
        </w:rPr>
        <w:t xml:space="preserve">4% del total del Gastos, que comparado al periodo anterior genera una variación absoluta de </w:t>
      </w:r>
      <w:r w:rsidR="000F5FB8" w:rsidRPr="000F5FB8">
        <w:rPr>
          <w:rFonts w:cs="Calibri"/>
          <w:color w:val="000000"/>
          <w:lang w:eastAsia="es-CR"/>
        </w:rPr>
        <w:t>61 543,73</w:t>
      </w:r>
      <w:r w:rsidRPr="00694299">
        <w:rPr>
          <w:rFonts w:cs="Calibri"/>
          <w:color w:val="000000"/>
          <w:lang w:eastAsia="es-CR"/>
        </w:rPr>
        <w:t xml:space="preserve"> que corresponde a un Aumento del </w:t>
      </w:r>
      <w:r w:rsidR="000F5FB8">
        <w:rPr>
          <w:rFonts w:cs="Calibri"/>
          <w:color w:val="000000"/>
          <w:lang w:eastAsia="es-CR"/>
        </w:rPr>
        <w:t>101</w:t>
      </w:r>
      <w:r w:rsidRPr="00694299">
        <w:rPr>
          <w:rFonts w:cs="Calibri"/>
          <w:color w:val="000000"/>
          <w:lang w:eastAsia="es-CR"/>
        </w:rPr>
        <w:t>,</w:t>
      </w:r>
      <w:r w:rsidR="000F5FB8">
        <w:rPr>
          <w:rFonts w:cs="Calibri"/>
          <w:color w:val="000000"/>
          <w:lang w:eastAsia="es-CR"/>
        </w:rPr>
        <w:t>38</w:t>
      </w:r>
      <w:r w:rsidRPr="00694299">
        <w:rPr>
          <w:rFonts w:cs="Calibri"/>
          <w:color w:val="000000"/>
          <w:lang w:eastAsia="es-CR"/>
        </w:rPr>
        <w:t>% de recursos disponibles.</w:t>
      </w:r>
    </w:p>
    <w:p w14:paraId="19F163DF" w14:textId="7E8D020B" w:rsidR="00760930" w:rsidRDefault="00760930" w:rsidP="000F5FB8">
      <w:pPr>
        <w:spacing w:line="240" w:lineRule="auto"/>
        <w:rPr>
          <w:rFonts w:eastAsia="Calibri"/>
        </w:rPr>
      </w:pPr>
      <w:r>
        <w:rPr>
          <w:rFonts w:cs="Calibri"/>
          <w:color w:val="000000"/>
          <w:lang w:eastAsia="es-CR"/>
        </w:rPr>
        <w:fldChar w:fldCharType="end"/>
      </w:r>
      <w:r w:rsidR="00692DC8" w:rsidRPr="00692DC8">
        <w:rPr>
          <w:rFonts w:eastAsia="Calibri"/>
          <w:highlight w:val="lightGray"/>
        </w:rPr>
        <w:t>Las variaciones de la cuenta son producto de (Indicar la razón de las variaciones de un periodo a otro):</w:t>
      </w:r>
      <w:r w:rsidR="00692DC8" w:rsidRPr="00692DC8">
        <w:rPr>
          <w:rFonts w:eastAsia="Calibri"/>
        </w:rPr>
        <w:t xml:space="preserve"> </w:t>
      </w:r>
    </w:p>
    <w:p w14:paraId="705F02FD" w14:textId="1B8F66AF" w:rsidR="00AB122F" w:rsidRDefault="00AB122F" w:rsidP="00932650">
      <w:pPr>
        <w:spacing w:line="240" w:lineRule="auto"/>
        <w:rPr>
          <w:rFonts w:eastAsia="Calibri"/>
        </w:rPr>
      </w:pPr>
      <w:r>
        <w:t xml:space="preserve">En relación con la variación que representa un aumento de </w:t>
      </w:r>
      <w:r w:rsidRPr="00932650">
        <w:rPr>
          <w:rFonts w:ascii="Arial" w:hAnsi="Arial" w:cs="Arial"/>
        </w:rPr>
        <w:t>₡</w:t>
      </w:r>
      <w:r w:rsidR="003E7EF1">
        <w:t>61 543</w:t>
      </w:r>
      <w:r w:rsidRPr="00932650">
        <w:t>,</w:t>
      </w:r>
      <w:r w:rsidR="003E7EF1">
        <w:t>7</w:t>
      </w:r>
      <w:r w:rsidRPr="00932650">
        <w:t xml:space="preserve">3 miles </w:t>
      </w:r>
      <w:r>
        <w:t>en los detalles antes consignados se observan algunas variaciones positivas y negativas (aumentos y disminuciones). Al respecto, debe citarse que la variación se vio impactada principalmente por l</w:t>
      </w:r>
      <w:r w:rsidR="00932650">
        <w:t>os</w:t>
      </w:r>
      <w:r>
        <w:t xml:space="preserve"> aumento</w:t>
      </w:r>
      <w:r w:rsidR="00932650">
        <w:t>s</w:t>
      </w:r>
      <w:r>
        <w:t xml:space="preserve"> de </w:t>
      </w:r>
      <w:r w:rsidRPr="00932650">
        <w:rPr>
          <w:rFonts w:ascii="Arial" w:hAnsi="Arial" w:cs="Arial"/>
        </w:rPr>
        <w:t>₡</w:t>
      </w:r>
      <w:r w:rsidR="003E7EF1">
        <w:t xml:space="preserve">47 086,99 </w:t>
      </w:r>
      <w:r>
        <w:t>miles en “Otras Transferencias Corrientes a personas”</w:t>
      </w:r>
      <w:r w:rsidR="00932650">
        <w:t xml:space="preserve">, de </w:t>
      </w:r>
      <w:r w:rsidR="00932650" w:rsidRPr="00932650">
        <w:rPr>
          <w:rFonts w:ascii="Arial" w:hAnsi="Arial" w:cs="Arial"/>
        </w:rPr>
        <w:t>₡</w:t>
      </w:r>
      <w:r w:rsidR="003E7EF1" w:rsidRPr="003E7EF1">
        <w:t>4 144,91</w:t>
      </w:r>
      <w:r w:rsidR="003E7EF1">
        <w:rPr>
          <w:rFonts w:ascii="Arial" w:hAnsi="Arial" w:cs="Arial"/>
        </w:rPr>
        <w:t xml:space="preserve"> </w:t>
      </w:r>
      <w:r w:rsidR="00932650">
        <w:t xml:space="preserve">miles en </w:t>
      </w:r>
      <w:r w:rsidR="00932650" w:rsidRPr="00932650">
        <w:t xml:space="preserve">Transferencias corrientes a asociaciones y de </w:t>
      </w:r>
      <w:r w:rsidR="00932650" w:rsidRPr="00932650">
        <w:rPr>
          <w:rFonts w:ascii="Arial" w:hAnsi="Arial" w:cs="Arial"/>
        </w:rPr>
        <w:t>₡</w:t>
      </w:r>
      <w:r w:rsidR="003E7EF1">
        <w:t>4 447,</w:t>
      </w:r>
      <w:r w:rsidR="00932650">
        <w:t>6</w:t>
      </w:r>
      <w:r w:rsidR="003E7EF1">
        <w:t>3</w:t>
      </w:r>
      <w:r w:rsidR="00932650">
        <w:t xml:space="preserve"> miles en </w:t>
      </w:r>
      <w:r w:rsidR="003E7EF1">
        <w:t>T</w:t>
      </w:r>
      <w:r w:rsidR="00932650">
        <w:t xml:space="preserve">ransferencias a </w:t>
      </w:r>
      <w:r w:rsidR="00932650" w:rsidRPr="00932650">
        <w:t>Juntas de Educación</w:t>
      </w:r>
      <w:r w:rsidR="00932650">
        <w:t>.</w:t>
      </w:r>
    </w:p>
    <w:p w14:paraId="232365CF" w14:textId="77777777" w:rsidR="00AB122F" w:rsidRPr="00567780" w:rsidRDefault="00AB122F" w:rsidP="00E3707A">
      <w:pPr>
        <w:rPr>
          <w:rFonts w:eastAsiaTheme="minorEastAsia" w:cs="Arial Narrow"/>
          <w:color w:val="000000"/>
          <w:lang w:eastAsia="es-CR"/>
        </w:rPr>
      </w:pPr>
    </w:p>
    <w:p w14:paraId="0EA5101B" w14:textId="77777777" w:rsidR="00692DC8" w:rsidRPr="00692DC8" w:rsidRDefault="00692DC8" w:rsidP="00E3707A">
      <w:pPr>
        <w:pStyle w:val="Ttulo4"/>
        <w:spacing w:after="240"/>
        <w:rPr>
          <w:rFonts w:eastAsia="Times New Roman"/>
        </w:rPr>
      </w:pPr>
      <w:bookmarkStart w:id="971" w:name="_Toc14344994"/>
      <w:bookmarkStart w:id="972" w:name="_Toc33601345"/>
      <w:bookmarkStart w:id="973" w:name="_Toc82769064"/>
      <w:bookmarkStart w:id="974" w:name="_Toc173245317"/>
      <w:r w:rsidRPr="00692DC8">
        <w:rPr>
          <w:rFonts w:eastAsia="Times New Roman"/>
        </w:rPr>
        <w:t>NOTA N° 7</w:t>
      </w:r>
      <w:bookmarkEnd w:id="971"/>
      <w:bookmarkEnd w:id="972"/>
      <w:bookmarkEnd w:id="973"/>
      <w:r w:rsidRPr="00692DC8">
        <w:rPr>
          <w:rFonts w:eastAsia="Times New Roman"/>
        </w:rPr>
        <w:t>3</w:t>
      </w:r>
      <w:bookmarkEnd w:id="974"/>
    </w:p>
    <w:p w14:paraId="263FAD0E" w14:textId="77777777" w:rsidR="00694299" w:rsidRDefault="00692DC8" w:rsidP="00383B8E">
      <w:pPr>
        <w:spacing w:before="240"/>
        <w:rPr>
          <w:rFonts w:asciiTheme="minorHAnsi" w:hAnsiTheme="minorHAnsi"/>
          <w:sz w:val="22"/>
        </w:rPr>
      </w:pPr>
      <w:bookmarkStart w:id="975" w:name="_Toc14344995"/>
      <w:bookmarkStart w:id="976" w:name="_Toc33601346"/>
      <w:bookmarkStart w:id="977" w:name="_Toc82769065"/>
      <w:r w:rsidRPr="00692DC8">
        <w:rPr>
          <w:rFonts w:eastAsia="Times New Roman"/>
        </w:rPr>
        <w:t>Transferencias de capital</w:t>
      </w:r>
      <w:bookmarkStart w:id="978" w:name="_Toc14344999"/>
      <w:bookmarkEnd w:id="975"/>
      <w:bookmarkEnd w:id="976"/>
      <w:bookmarkEnd w:id="977"/>
      <w:r w:rsidR="00760930">
        <w:rPr>
          <w:rFonts w:eastAsiaTheme="majorEastAsia" w:cstheme="majorBidi"/>
          <w:b/>
          <w:iCs/>
        </w:rPr>
        <w:fldChar w:fldCharType="begin"/>
      </w:r>
      <w:r w:rsidR="00760930">
        <w:instrText xml:space="preserve"> LINK </w:instrText>
      </w:r>
      <w:r w:rsidR="00323752">
        <w:instrText xml:space="preserve">Excel.SheetMacroEnabled.12 "D:\\MORAVIA\\INSUMOS\\NOTAS 2024\\Formato_Notas_EEFF_Vinculadas_2024\\XXXXX_PXX_202X_Anexo_Estado_Notas_Contables_Vinculadas.xlsm" NOTAS_POR_CUENTA!F411C1:F413C6 </w:instrText>
      </w:r>
      <w:r w:rsidR="00760930">
        <w:instrText xml:space="preserve">\a \f 4 \h </w:instrText>
      </w:r>
      <w:r w:rsidR="00760930">
        <w:fldChar w:fldCharType="separate"/>
      </w:r>
    </w:p>
    <w:tbl>
      <w:tblPr>
        <w:tblW w:w="8847" w:type="dxa"/>
        <w:tblCellMar>
          <w:left w:w="70" w:type="dxa"/>
          <w:right w:w="70" w:type="dxa"/>
        </w:tblCellMar>
        <w:tblLook w:val="04A0" w:firstRow="1" w:lastRow="0" w:firstColumn="1" w:lastColumn="0" w:noHBand="0" w:noVBand="1"/>
      </w:tblPr>
      <w:tblGrid>
        <w:gridCol w:w="1322"/>
        <w:gridCol w:w="2678"/>
        <w:gridCol w:w="500"/>
        <w:gridCol w:w="1586"/>
        <w:gridCol w:w="1701"/>
        <w:gridCol w:w="1060"/>
      </w:tblGrid>
      <w:tr w:rsidR="00694299" w:rsidRPr="00694299" w14:paraId="5D763485" w14:textId="77777777" w:rsidTr="00095223">
        <w:trPr>
          <w:divId w:val="2138797832"/>
          <w:trHeight w:val="324"/>
        </w:trPr>
        <w:tc>
          <w:tcPr>
            <w:tcW w:w="1322"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4CB0E23" w14:textId="2B1380C4"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678"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CEA1348"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AF27E5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5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3E5602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1A70A9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704D384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635F58D7" w14:textId="77777777" w:rsidTr="00095223">
        <w:trPr>
          <w:divId w:val="2138797832"/>
          <w:trHeight w:val="324"/>
        </w:trPr>
        <w:tc>
          <w:tcPr>
            <w:tcW w:w="1322" w:type="dxa"/>
            <w:vMerge/>
            <w:tcBorders>
              <w:top w:val="single" w:sz="8" w:space="0" w:color="auto"/>
              <w:left w:val="single" w:sz="8" w:space="0" w:color="auto"/>
              <w:bottom w:val="single" w:sz="8" w:space="0" w:color="000000"/>
              <w:right w:val="single" w:sz="8" w:space="0" w:color="auto"/>
            </w:tcBorders>
            <w:vAlign w:val="center"/>
            <w:hideMark/>
          </w:tcPr>
          <w:p w14:paraId="1AC9BC0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678" w:type="dxa"/>
            <w:vMerge/>
            <w:tcBorders>
              <w:top w:val="single" w:sz="8" w:space="0" w:color="auto"/>
              <w:left w:val="single" w:sz="8" w:space="0" w:color="auto"/>
              <w:bottom w:val="single" w:sz="8" w:space="0" w:color="000000"/>
              <w:right w:val="single" w:sz="8" w:space="0" w:color="auto"/>
            </w:tcBorders>
            <w:vAlign w:val="center"/>
            <w:hideMark/>
          </w:tcPr>
          <w:p w14:paraId="483FB0C9"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4E6DF11A"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6AC7435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79704D94"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645D1E46"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7AB112C4" w14:textId="77777777" w:rsidTr="00095223">
        <w:trPr>
          <w:divId w:val="2138797832"/>
          <w:trHeight w:val="324"/>
        </w:trPr>
        <w:tc>
          <w:tcPr>
            <w:tcW w:w="1322" w:type="dxa"/>
            <w:tcBorders>
              <w:top w:val="nil"/>
              <w:left w:val="single" w:sz="8" w:space="0" w:color="auto"/>
              <w:bottom w:val="single" w:sz="8" w:space="0" w:color="auto"/>
              <w:right w:val="single" w:sz="8" w:space="0" w:color="auto"/>
            </w:tcBorders>
            <w:shd w:val="clear" w:color="auto" w:fill="auto"/>
            <w:noWrap/>
            <w:vAlign w:val="center"/>
            <w:hideMark/>
          </w:tcPr>
          <w:p w14:paraId="5BE02225"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5.4.2.</w:t>
            </w:r>
          </w:p>
        </w:tc>
        <w:tc>
          <w:tcPr>
            <w:tcW w:w="2678" w:type="dxa"/>
            <w:tcBorders>
              <w:top w:val="nil"/>
              <w:left w:val="nil"/>
              <w:bottom w:val="single" w:sz="8" w:space="0" w:color="auto"/>
              <w:right w:val="single" w:sz="8" w:space="0" w:color="auto"/>
            </w:tcBorders>
            <w:shd w:val="clear" w:color="auto" w:fill="auto"/>
            <w:vAlign w:val="center"/>
            <w:hideMark/>
          </w:tcPr>
          <w:p w14:paraId="408AD0D0"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Transferencias de capital</w:t>
            </w:r>
          </w:p>
        </w:tc>
        <w:tc>
          <w:tcPr>
            <w:tcW w:w="500" w:type="dxa"/>
            <w:tcBorders>
              <w:top w:val="nil"/>
              <w:left w:val="nil"/>
              <w:bottom w:val="single" w:sz="8" w:space="0" w:color="auto"/>
              <w:right w:val="single" w:sz="8" w:space="0" w:color="auto"/>
            </w:tcBorders>
            <w:shd w:val="clear" w:color="auto" w:fill="auto"/>
            <w:noWrap/>
            <w:vAlign w:val="center"/>
            <w:hideMark/>
          </w:tcPr>
          <w:p w14:paraId="2879A091"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73</w:t>
            </w:r>
          </w:p>
        </w:tc>
        <w:tc>
          <w:tcPr>
            <w:tcW w:w="1586" w:type="dxa"/>
            <w:tcBorders>
              <w:top w:val="nil"/>
              <w:left w:val="nil"/>
              <w:bottom w:val="single" w:sz="8" w:space="0" w:color="auto"/>
              <w:right w:val="single" w:sz="8" w:space="0" w:color="auto"/>
            </w:tcBorders>
            <w:shd w:val="clear" w:color="auto" w:fill="auto"/>
            <w:noWrap/>
            <w:vAlign w:val="center"/>
            <w:hideMark/>
          </w:tcPr>
          <w:p w14:paraId="5D11AED2"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701" w:type="dxa"/>
            <w:tcBorders>
              <w:top w:val="nil"/>
              <w:left w:val="nil"/>
              <w:bottom w:val="single" w:sz="8" w:space="0" w:color="auto"/>
              <w:right w:val="single" w:sz="8" w:space="0" w:color="auto"/>
            </w:tcBorders>
            <w:shd w:val="clear" w:color="auto" w:fill="auto"/>
            <w:noWrap/>
            <w:vAlign w:val="center"/>
            <w:hideMark/>
          </w:tcPr>
          <w:p w14:paraId="0A6C8775"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00954CD4"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3F96A6E0" w14:textId="4CA81EDB" w:rsidR="00692DC8" w:rsidRPr="00692DC8" w:rsidRDefault="00760930" w:rsidP="00383B8E">
      <w:pPr>
        <w:spacing w:before="240"/>
        <w:rPr>
          <w:szCs w:val="24"/>
        </w:rPr>
      </w:pPr>
      <w:r>
        <w:rPr>
          <w:szCs w:val="24"/>
        </w:rPr>
        <w:fldChar w:fldCharType="end"/>
      </w:r>
      <w:bookmarkStart w:id="979" w:name="_Hlk124012025"/>
      <w:r w:rsidR="00692DC8" w:rsidRPr="00692DC8">
        <w:rPr>
          <w:szCs w:val="24"/>
        </w:rPr>
        <w:t>Detalle:</w:t>
      </w:r>
    </w:p>
    <w:tbl>
      <w:tblPr>
        <w:tblW w:w="4380" w:type="dxa"/>
        <w:tblInd w:w="-10" w:type="dxa"/>
        <w:tblCellMar>
          <w:left w:w="70" w:type="dxa"/>
          <w:right w:w="70" w:type="dxa"/>
        </w:tblCellMar>
        <w:tblLook w:val="04A0" w:firstRow="1" w:lastRow="0" w:firstColumn="1" w:lastColumn="0" w:noHBand="0" w:noVBand="1"/>
      </w:tblPr>
      <w:tblGrid>
        <w:gridCol w:w="1240"/>
        <w:gridCol w:w="3140"/>
      </w:tblGrid>
      <w:tr w:rsidR="00760930" w:rsidRPr="00760930" w14:paraId="2A34E618" w14:textId="77777777" w:rsidTr="00760930">
        <w:trPr>
          <w:trHeight w:val="288"/>
        </w:trPr>
        <w:tc>
          <w:tcPr>
            <w:tcW w:w="1240" w:type="dxa"/>
            <w:tcBorders>
              <w:top w:val="single" w:sz="8" w:space="0" w:color="auto"/>
              <w:left w:val="single" w:sz="8" w:space="0" w:color="auto"/>
              <w:bottom w:val="nil"/>
              <w:right w:val="single" w:sz="8" w:space="0" w:color="auto"/>
            </w:tcBorders>
            <w:shd w:val="clear" w:color="000000" w:fill="366092"/>
            <w:noWrap/>
            <w:vAlign w:val="center"/>
            <w:hideMark/>
          </w:tcPr>
          <w:p w14:paraId="4FDDFD2B" w14:textId="77777777" w:rsidR="00760930" w:rsidRPr="00760930" w:rsidRDefault="00760930" w:rsidP="00760930">
            <w:pPr>
              <w:spacing w:after="0" w:line="240" w:lineRule="auto"/>
              <w:rPr>
                <w:rFonts w:eastAsia="Times New Roman" w:cs="Calibri"/>
                <w:b/>
                <w:bCs/>
                <w:color w:val="FFFFFF"/>
                <w:sz w:val="18"/>
                <w:szCs w:val="18"/>
                <w:lang w:eastAsia="es-CR"/>
              </w:rPr>
            </w:pPr>
            <w:r w:rsidRPr="00760930">
              <w:rPr>
                <w:rFonts w:eastAsia="Times New Roman" w:cs="Calibri"/>
                <w:b/>
                <w:bCs/>
                <w:color w:val="FFFFFF"/>
                <w:sz w:val="18"/>
                <w:szCs w:val="18"/>
                <w:lang w:eastAsia="es-CR"/>
              </w:rPr>
              <w:t xml:space="preserve">Cuenta </w:t>
            </w:r>
          </w:p>
        </w:tc>
        <w:tc>
          <w:tcPr>
            <w:tcW w:w="3140" w:type="dxa"/>
            <w:tcBorders>
              <w:top w:val="single" w:sz="8" w:space="0" w:color="auto"/>
              <w:left w:val="nil"/>
              <w:bottom w:val="nil"/>
              <w:right w:val="single" w:sz="8" w:space="0" w:color="auto"/>
            </w:tcBorders>
            <w:shd w:val="clear" w:color="000000" w:fill="366092"/>
            <w:vAlign w:val="center"/>
            <w:hideMark/>
          </w:tcPr>
          <w:p w14:paraId="12463390" w14:textId="77777777" w:rsidR="00760930" w:rsidRPr="00760930" w:rsidRDefault="00760930" w:rsidP="00760930">
            <w:pPr>
              <w:spacing w:after="0" w:line="240" w:lineRule="auto"/>
              <w:jc w:val="center"/>
              <w:rPr>
                <w:rFonts w:eastAsia="Times New Roman" w:cs="Calibri"/>
                <w:b/>
                <w:bCs/>
                <w:color w:val="FFFFFF"/>
                <w:sz w:val="18"/>
                <w:szCs w:val="18"/>
                <w:lang w:eastAsia="es-CR"/>
              </w:rPr>
            </w:pPr>
            <w:r w:rsidRPr="00760930">
              <w:rPr>
                <w:rFonts w:eastAsia="Times New Roman" w:cs="Calibri"/>
                <w:b/>
                <w:bCs/>
                <w:color w:val="FFFFFF"/>
                <w:sz w:val="18"/>
                <w:szCs w:val="18"/>
                <w:lang w:eastAsia="es-CR"/>
              </w:rPr>
              <w:t xml:space="preserve">Descripción </w:t>
            </w:r>
          </w:p>
        </w:tc>
      </w:tr>
      <w:tr w:rsidR="00760930" w:rsidRPr="00760930" w14:paraId="54F6849B" w14:textId="77777777" w:rsidTr="00760930">
        <w:trPr>
          <w:trHeight w:val="54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4A6BE4D6" w14:textId="06CD7A9B" w:rsidR="00760930" w:rsidRPr="00760930" w:rsidRDefault="00E64D2A" w:rsidP="00760930">
            <w:pPr>
              <w:spacing w:after="0" w:line="240" w:lineRule="auto"/>
              <w:rPr>
                <w:rFonts w:eastAsia="Times New Roman" w:cs="Calibri"/>
                <w:b/>
                <w:bCs/>
                <w:color w:val="000000"/>
                <w:sz w:val="18"/>
                <w:szCs w:val="18"/>
                <w:lang w:eastAsia="es-CR"/>
              </w:rPr>
            </w:pPr>
            <w:r>
              <w:rPr>
                <w:rFonts w:eastAsia="Calibri" w:cs="Times New Roman"/>
                <w:b/>
                <w:bCs/>
                <w:color w:val="000000"/>
                <w:sz w:val="18"/>
                <w:szCs w:val="18"/>
                <w:lang w:eastAsia="es-CR"/>
              </w:rPr>
              <w:t>5</w:t>
            </w:r>
            <w:r w:rsidR="00760930" w:rsidRPr="00760930">
              <w:rPr>
                <w:rFonts w:eastAsia="Calibri" w:cs="Times New Roman"/>
                <w:b/>
                <w:bCs/>
                <w:color w:val="000000"/>
                <w:sz w:val="18"/>
                <w:szCs w:val="18"/>
                <w:lang w:eastAsia="es-CR"/>
              </w:rPr>
              <w:t>.</w:t>
            </w:r>
            <w:r>
              <w:rPr>
                <w:rFonts w:eastAsia="Calibri" w:cs="Times New Roman"/>
                <w:b/>
                <w:bCs/>
                <w:color w:val="000000"/>
                <w:sz w:val="18"/>
                <w:szCs w:val="18"/>
                <w:lang w:eastAsia="es-CR"/>
              </w:rPr>
              <w:t>4</w:t>
            </w:r>
            <w:r w:rsidR="00760930" w:rsidRPr="00760930">
              <w:rPr>
                <w:rFonts w:eastAsia="Calibri" w:cs="Times New Roman"/>
                <w:b/>
                <w:bCs/>
                <w:color w:val="000000"/>
                <w:sz w:val="18"/>
                <w:szCs w:val="18"/>
                <w:lang w:eastAsia="es-CR"/>
              </w:rPr>
              <w:t>.2.0</w:t>
            </w:r>
            <w:r>
              <w:rPr>
                <w:rFonts w:eastAsia="Calibri" w:cs="Times New Roman"/>
                <w:b/>
                <w:bCs/>
                <w:color w:val="000000"/>
                <w:sz w:val="18"/>
                <w:szCs w:val="18"/>
                <w:lang w:eastAsia="es-CR"/>
              </w:rPr>
              <w:t>2</w:t>
            </w:r>
            <w:r w:rsidR="00760930" w:rsidRPr="00760930">
              <w:rPr>
                <w:rFonts w:eastAsia="Calibri" w:cs="Times New Roman"/>
                <w:b/>
                <w:bCs/>
                <w:color w:val="000000"/>
                <w:sz w:val="18"/>
                <w:szCs w:val="18"/>
                <w:lang w:eastAsia="es-CR"/>
              </w:rPr>
              <w:t>.</w:t>
            </w:r>
          </w:p>
        </w:tc>
        <w:tc>
          <w:tcPr>
            <w:tcW w:w="3140" w:type="dxa"/>
            <w:tcBorders>
              <w:top w:val="nil"/>
              <w:left w:val="nil"/>
              <w:bottom w:val="single" w:sz="8" w:space="0" w:color="auto"/>
              <w:right w:val="single" w:sz="8" w:space="0" w:color="auto"/>
            </w:tcBorders>
            <w:shd w:val="clear" w:color="auto" w:fill="auto"/>
            <w:vAlign w:val="center"/>
            <w:hideMark/>
          </w:tcPr>
          <w:p w14:paraId="2836AF79" w14:textId="77777777" w:rsidR="00760930" w:rsidRPr="00760930" w:rsidRDefault="00760930" w:rsidP="00760930">
            <w:pPr>
              <w:spacing w:after="0" w:line="240" w:lineRule="auto"/>
              <w:rPr>
                <w:rFonts w:eastAsia="Times New Roman" w:cs="Calibri"/>
                <w:b/>
                <w:bCs/>
                <w:color w:val="000000"/>
                <w:sz w:val="18"/>
                <w:szCs w:val="18"/>
                <w:lang w:eastAsia="es-CR"/>
              </w:rPr>
            </w:pPr>
            <w:r w:rsidRPr="00760930">
              <w:rPr>
                <w:rFonts w:eastAsia="Calibri" w:cs="Times New Roman"/>
                <w:b/>
                <w:bCs/>
                <w:color w:val="000000"/>
                <w:sz w:val="18"/>
                <w:szCs w:val="18"/>
                <w:lang w:eastAsia="es-CR"/>
              </w:rPr>
              <w:t>Transferencias de capital del sector privado interno</w:t>
            </w:r>
          </w:p>
        </w:tc>
      </w:tr>
    </w:tbl>
    <w:p w14:paraId="4C290D37" w14:textId="7CA4814A" w:rsidR="00692DC8" w:rsidRDefault="00692DC8" w:rsidP="005515CA"/>
    <w:tbl>
      <w:tblPr>
        <w:tblW w:w="8040" w:type="dxa"/>
        <w:tblInd w:w="-10" w:type="dxa"/>
        <w:tblCellMar>
          <w:left w:w="70" w:type="dxa"/>
          <w:right w:w="70" w:type="dxa"/>
        </w:tblCellMar>
        <w:tblLook w:val="04A0" w:firstRow="1" w:lastRow="0" w:firstColumn="1" w:lastColumn="0" w:noHBand="0" w:noVBand="1"/>
      </w:tblPr>
      <w:tblGrid>
        <w:gridCol w:w="2680"/>
        <w:gridCol w:w="2680"/>
        <w:gridCol w:w="2680"/>
      </w:tblGrid>
      <w:tr w:rsidR="00E64D2A" w:rsidRPr="00E64D2A" w14:paraId="740DAD1A" w14:textId="77777777" w:rsidTr="00E64D2A">
        <w:trPr>
          <w:trHeight w:val="300"/>
        </w:trPr>
        <w:tc>
          <w:tcPr>
            <w:tcW w:w="2680" w:type="dxa"/>
            <w:tcBorders>
              <w:top w:val="single" w:sz="8" w:space="0" w:color="auto"/>
              <w:left w:val="single" w:sz="8" w:space="0" w:color="auto"/>
              <w:bottom w:val="single" w:sz="8" w:space="0" w:color="auto"/>
              <w:right w:val="nil"/>
            </w:tcBorders>
            <w:shd w:val="clear" w:color="000000" w:fill="365F91"/>
            <w:vAlign w:val="center"/>
            <w:hideMark/>
          </w:tcPr>
          <w:p w14:paraId="56CE5CF7" w14:textId="77777777" w:rsidR="00E64D2A" w:rsidRPr="00E64D2A" w:rsidRDefault="00E64D2A" w:rsidP="00E64D2A">
            <w:pPr>
              <w:spacing w:after="0" w:line="240" w:lineRule="auto"/>
              <w:jc w:val="center"/>
              <w:rPr>
                <w:rFonts w:eastAsia="Times New Roman" w:cs="Calibri"/>
                <w:color w:val="FFFFFF"/>
                <w:sz w:val="22"/>
                <w:lang w:eastAsia="es-CR"/>
              </w:rPr>
            </w:pPr>
            <w:r w:rsidRPr="00E64D2A">
              <w:rPr>
                <w:rFonts w:eastAsia="Times New Roman" w:cs="Calibri"/>
                <w:color w:val="FFFFFF"/>
                <w:sz w:val="22"/>
                <w:lang w:eastAsia="es-CR"/>
              </w:rPr>
              <w:t>CODIGO INSTITUCIONAL</w:t>
            </w:r>
          </w:p>
        </w:tc>
        <w:tc>
          <w:tcPr>
            <w:tcW w:w="2680" w:type="dxa"/>
            <w:tcBorders>
              <w:top w:val="single" w:sz="8" w:space="0" w:color="auto"/>
              <w:left w:val="single" w:sz="8" w:space="0" w:color="auto"/>
              <w:bottom w:val="single" w:sz="8" w:space="0" w:color="auto"/>
              <w:right w:val="single" w:sz="8" w:space="0" w:color="auto"/>
            </w:tcBorders>
            <w:shd w:val="clear" w:color="000000" w:fill="365F91"/>
            <w:vAlign w:val="center"/>
            <w:hideMark/>
          </w:tcPr>
          <w:p w14:paraId="45D15003" w14:textId="77777777" w:rsidR="00E64D2A" w:rsidRPr="00E64D2A" w:rsidRDefault="00E64D2A" w:rsidP="00E64D2A">
            <w:pPr>
              <w:spacing w:after="0" w:line="240" w:lineRule="auto"/>
              <w:jc w:val="center"/>
              <w:rPr>
                <w:rFonts w:eastAsia="Times New Roman" w:cs="Calibri"/>
                <w:color w:val="FFFFFF"/>
                <w:sz w:val="22"/>
                <w:lang w:eastAsia="es-CR"/>
              </w:rPr>
            </w:pPr>
            <w:r w:rsidRPr="00E64D2A">
              <w:rPr>
                <w:rFonts w:eastAsia="Times New Roman" w:cs="Calibri"/>
                <w:color w:val="FFFFFF"/>
                <w:sz w:val="22"/>
                <w:lang w:eastAsia="es-CR"/>
              </w:rPr>
              <w:t>NOMBRE ENTIDAD</w:t>
            </w:r>
          </w:p>
        </w:tc>
        <w:tc>
          <w:tcPr>
            <w:tcW w:w="2680" w:type="dxa"/>
            <w:tcBorders>
              <w:top w:val="single" w:sz="8" w:space="0" w:color="auto"/>
              <w:left w:val="nil"/>
              <w:bottom w:val="single" w:sz="8" w:space="0" w:color="auto"/>
              <w:right w:val="single" w:sz="8" w:space="0" w:color="auto"/>
            </w:tcBorders>
            <w:shd w:val="clear" w:color="000000" w:fill="365F91"/>
            <w:noWrap/>
            <w:vAlign w:val="center"/>
            <w:hideMark/>
          </w:tcPr>
          <w:p w14:paraId="09F76C98" w14:textId="77777777" w:rsidR="00E64D2A" w:rsidRPr="00E64D2A" w:rsidRDefault="00E64D2A" w:rsidP="00E64D2A">
            <w:pPr>
              <w:spacing w:after="0" w:line="240" w:lineRule="auto"/>
              <w:jc w:val="center"/>
              <w:rPr>
                <w:rFonts w:eastAsia="Times New Roman" w:cs="Calibri"/>
                <w:color w:val="FFFFFF"/>
                <w:sz w:val="22"/>
                <w:lang w:eastAsia="es-CR"/>
              </w:rPr>
            </w:pPr>
            <w:r w:rsidRPr="00E64D2A">
              <w:rPr>
                <w:rFonts w:eastAsia="Times New Roman" w:cs="Calibri"/>
                <w:color w:val="FFFFFF"/>
                <w:sz w:val="22"/>
                <w:lang w:eastAsia="es-CR"/>
              </w:rPr>
              <w:t>MONTO</w:t>
            </w:r>
          </w:p>
        </w:tc>
      </w:tr>
      <w:tr w:rsidR="00E64D2A" w:rsidRPr="00E64D2A" w14:paraId="4F693891" w14:textId="77777777" w:rsidTr="00E64D2A">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4BB6ACE4" w14:textId="77777777" w:rsidR="00E64D2A" w:rsidRPr="00E64D2A" w:rsidRDefault="00E64D2A" w:rsidP="00E64D2A">
            <w:pPr>
              <w:spacing w:after="0" w:line="240" w:lineRule="auto"/>
              <w:rPr>
                <w:rFonts w:eastAsia="Times New Roman" w:cs="Calibri"/>
                <w:color w:val="000000"/>
                <w:sz w:val="20"/>
                <w:szCs w:val="20"/>
                <w:lang w:eastAsia="es-CR"/>
              </w:rPr>
            </w:pPr>
            <w:r w:rsidRPr="00E64D2A">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3A1376C7" w14:textId="77777777" w:rsidR="00E64D2A" w:rsidRPr="00E64D2A" w:rsidRDefault="00E64D2A" w:rsidP="00E64D2A">
            <w:pPr>
              <w:spacing w:after="0" w:line="240" w:lineRule="auto"/>
              <w:jc w:val="center"/>
              <w:rPr>
                <w:rFonts w:eastAsia="Times New Roman" w:cs="Calibri"/>
                <w:color w:val="000000"/>
                <w:szCs w:val="24"/>
                <w:lang w:eastAsia="es-CR"/>
              </w:rPr>
            </w:pPr>
            <w:r w:rsidRPr="00E64D2A">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17C082DE" w14:textId="77777777" w:rsidR="00E64D2A" w:rsidRPr="00E64D2A" w:rsidRDefault="00E64D2A" w:rsidP="00E64D2A">
            <w:pPr>
              <w:spacing w:after="0" w:line="240" w:lineRule="auto"/>
              <w:rPr>
                <w:rFonts w:eastAsia="Times New Roman" w:cs="Calibri"/>
                <w:color w:val="000000"/>
                <w:sz w:val="20"/>
                <w:szCs w:val="20"/>
                <w:lang w:eastAsia="es-CR"/>
              </w:rPr>
            </w:pPr>
            <w:r w:rsidRPr="00E64D2A">
              <w:rPr>
                <w:rFonts w:eastAsia="Times New Roman" w:cs="Calibri"/>
                <w:color w:val="000000"/>
                <w:sz w:val="20"/>
                <w:szCs w:val="20"/>
                <w:lang w:eastAsia="es-CR"/>
              </w:rPr>
              <w:t> </w:t>
            </w:r>
          </w:p>
        </w:tc>
      </w:tr>
      <w:tr w:rsidR="00E64D2A" w:rsidRPr="00E64D2A" w14:paraId="566974B5" w14:textId="77777777" w:rsidTr="00E64D2A">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12ABFC2E" w14:textId="77777777" w:rsidR="00E64D2A" w:rsidRPr="00E64D2A" w:rsidRDefault="00E64D2A" w:rsidP="00E64D2A">
            <w:pPr>
              <w:spacing w:after="0" w:line="240" w:lineRule="auto"/>
              <w:rPr>
                <w:rFonts w:eastAsia="Times New Roman" w:cs="Calibri"/>
                <w:color w:val="000000"/>
                <w:sz w:val="20"/>
                <w:szCs w:val="20"/>
                <w:lang w:eastAsia="es-CR"/>
              </w:rPr>
            </w:pPr>
            <w:r w:rsidRPr="00E64D2A">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6AF61A98" w14:textId="77777777" w:rsidR="00E64D2A" w:rsidRPr="00E64D2A" w:rsidRDefault="00E64D2A" w:rsidP="00E64D2A">
            <w:pPr>
              <w:spacing w:after="0" w:line="240" w:lineRule="auto"/>
              <w:jc w:val="center"/>
              <w:rPr>
                <w:rFonts w:eastAsia="Times New Roman" w:cs="Calibri"/>
                <w:color w:val="000000"/>
                <w:szCs w:val="24"/>
                <w:lang w:eastAsia="es-CR"/>
              </w:rPr>
            </w:pPr>
            <w:r w:rsidRPr="00E64D2A">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7E6727A9" w14:textId="77777777" w:rsidR="00E64D2A" w:rsidRPr="00E64D2A" w:rsidRDefault="00E64D2A" w:rsidP="00E64D2A">
            <w:pPr>
              <w:spacing w:after="0" w:line="240" w:lineRule="auto"/>
              <w:rPr>
                <w:rFonts w:eastAsia="Times New Roman" w:cs="Calibri"/>
                <w:color w:val="000000"/>
                <w:sz w:val="20"/>
                <w:szCs w:val="20"/>
                <w:lang w:eastAsia="es-CR"/>
              </w:rPr>
            </w:pPr>
            <w:r w:rsidRPr="00E64D2A">
              <w:rPr>
                <w:rFonts w:eastAsia="Times New Roman" w:cs="Calibri"/>
                <w:color w:val="000000"/>
                <w:sz w:val="20"/>
                <w:szCs w:val="20"/>
                <w:lang w:eastAsia="es-CR"/>
              </w:rPr>
              <w:t> </w:t>
            </w:r>
          </w:p>
        </w:tc>
      </w:tr>
      <w:tr w:rsidR="00E64D2A" w:rsidRPr="00E64D2A" w14:paraId="2E617C1B" w14:textId="77777777" w:rsidTr="00E64D2A">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26AF1667" w14:textId="77777777" w:rsidR="00E64D2A" w:rsidRPr="00E64D2A" w:rsidRDefault="00E64D2A" w:rsidP="00E64D2A">
            <w:pPr>
              <w:spacing w:after="0" w:line="240" w:lineRule="auto"/>
              <w:rPr>
                <w:rFonts w:eastAsia="Times New Roman" w:cs="Calibri"/>
                <w:color w:val="000000"/>
                <w:sz w:val="20"/>
                <w:szCs w:val="20"/>
                <w:lang w:eastAsia="es-CR"/>
              </w:rPr>
            </w:pPr>
            <w:r w:rsidRPr="00E64D2A">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25FB2E4F" w14:textId="77777777" w:rsidR="00E64D2A" w:rsidRPr="00E64D2A" w:rsidRDefault="00E64D2A" w:rsidP="00E64D2A">
            <w:pPr>
              <w:spacing w:after="0" w:line="240" w:lineRule="auto"/>
              <w:jc w:val="center"/>
              <w:rPr>
                <w:rFonts w:eastAsia="Times New Roman" w:cs="Calibri"/>
                <w:color w:val="000000"/>
                <w:szCs w:val="24"/>
                <w:lang w:eastAsia="es-CR"/>
              </w:rPr>
            </w:pPr>
            <w:r w:rsidRPr="00E64D2A">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302C4BB7" w14:textId="77777777" w:rsidR="00E64D2A" w:rsidRPr="00E64D2A" w:rsidRDefault="00E64D2A" w:rsidP="00E64D2A">
            <w:pPr>
              <w:spacing w:after="0" w:line="240" w:lineRule="auto"/>
              <w:rPr>
                <w:rFonts w:eastAsia="Times New Roman" w:cs="Calibri"/>
                <w:color w:val="000000"/>
                <w:sz w:val="20"/>
                <w:szCs w:val="20"/>
                <w:lang w:eastAsia="es-CR"/>
              </w:rPr>
            </w:pPr>
            <w:r w:rsidRPr="00E64D2A">
              <w:rPr>
                <w:rFonts w:eastAsia="Times New Roman" w:cs="Calibri"/>
                <w:color w:val="000000"/>
                <w:sz w:val="20"/>
                <w:szCs w:val="20"/>
                <w:lang w:eastAsia="es-CR"/>
              </w:rPr>
              <w:t> </w:t>
            </w:r>
          </w:p>
        </w:tc>
      </w:tr>
    </w:tbl>
    <w:bookmarkEnd w:id="979"/>
    <w:p w14:paraId="13EBFC05" w14:textId="77777777" w:rsidR="00694299" w:rsidRPr="00694299" w:rsidRDefault="00692DC8" w:rsidP="00694299">
      <w:pPr>
        <w:spacing w:before="240"/>
        <w:rPr>
          <w:rFonts w:eastAsia="Calibri"/>
          <w:b/>
          <w:sz w:val="20"/>
          <w:szCs w:val="20"/>
          <w:lang w:eastAsia="es-CR"/>
        </w:rPr>
      </w:pPr>
      <w:r w:rsidRPr="005515CA">
        <w:rPr>
          <w:rFonts w:eastAsia="Calibri"/>
          <w:b/>
          <w:lang w:val="es-ES"/>
        </w:rPr>
        <w:t xml:space="preserve">Revelación: </w:t>
      </w:r>
      <w:r w:rsidR="00E64D2A">
        <w:rPr>
          <w:rFonts w:cs="Calibri"/>
          <w:color w:val="000000"/>
          <w:lang w:eastAsia="es-CR"/>
        </w:rPr>
        <w:fldChar w:fldCharType="begin"/>
      </w:r>
      <w:r w:rsidR="00E64D2A">
        <w:rPr>
          <w:rFonts w:cs="Calibri"/>
          <w:color w:val="000000"/>
          <w:lang w:eastAsia="es-CR"/>
        </w:rPr>
        <w:instrText xml:space="preserve"> LINK </w:instrText>
      </w:r>
      <w:r w:rsidR="00323752">
        <w:rPr>
          <w:rFonts w:cs="Calibri"/>
          <w:color w:val="000000"/>
          <w:lang w:eastAsia="es-CR"/>
        </w:rPr>
        <w:instrText xml:space="preserve">Excel.SheetMacroEnabled.12 "D:\\MORAVIA\\INSUMOS\\NOTAS 2024\\Formato_Notas_EEFF_Vinculadas_2024\\XXXXX_PXX_202X_Anexo_Estado_Notas_Contables_Vinculadas.xlsm" NOTAS_POR_CUENTA!F413C8 </w:instrText>
      </w:r>
      <w:r w:rsidR="00E64D2A">
        <w:rPr>
          <w:rFonts w:cs="Calibri"/>
          <w:color w:val="000000"/>
          <w:lang w:eastAsia="es-CR"/>
        </w:rPr>
        <w:instrText xml:space="preserve">\a \f 5 \h  \* MERGEFORMAT </w:instrText>
      </w:r>
      <w:r w:rsidR="00E64D2A">
        <w:rPr>
          <w:rFonts w:cs="Calibri"/>
          <w:color w:val="000000"/>
          <w:lang w:eastAsia="es-CR"/>
        </w:rPr>
        <w:fldChar w:fldCharType="separate"/>
      </w:r>
    </w:p>
    <w:p w14:paraId="4CB71ADD" w14:textId="77777777" w:rsidR="00694299" w:rsidRPr="00694299" w:rsidRDefault="00694299" w:rsidP="000F5FB8">
      <w:pPr>
        <w:spacing w:line="240" w:lineRule="auto"/>
        <w:rPr>
          <w:rFonts w:cs="Calibri"/>
          <w:color w:val="000000"/>
          <w:lang w:eastAsia="es-CR"/>
        </w:rPr>
      </w:pPr>
      <w:r w:rsidRPr="00694299">
        <w:rPr>
          <w:rFonts w:cs="Calibri"/>
          <w:color w:val="000000"/>
          <w:lang w:eastAsia="es-CR"/>
        </w:rPr>
        <w:t>La cuenta Transferencias de capital, representa el 0,00% del total del Gastos, que comparado al periodo anterior genera una variación absoluta de 0 000,00 que corresponde a un Aumento del 0,00% de recursos disponibles.</w:t>
      </w:r>
    </w:p>
    <w:p w14:paraId="1DCEEC07" w14:textId="2DAB9035" w:rsidR="00E64D2A" w:rsidRPr="00422EDF" w:rsidRDefault="00E64D2A" w:rsidP="000F5FB8">
      <w:pPr>
        <w:spacing w:line="240" w:lineRule="auto"/>
        <w:rPr>
          <w:rFonts w:eastAsiaTheme="minorEastAsia" w:cs="Arial Narrow"/>
          <w:color w:val="000000"/>
          <w:lang w:eastAsia="es-CR"/>
        </w:rPr>
      </w:pPr>
      <w:r>
        <w:rPr>
          <w:rFonts w:cs="Calibri"/>
          <w:color w:val="000000"/>
          <w:lang w:eastAsia="es-CR"/>
        </w:rPr>
        <w:fldChar w:fldCharType="end"/>
      </w:r>
      <w:r w:rsidR="00692DC8" w:rsidRPr="00692DC8">
        <w:rPr>
          <w:rFonts w:eastAsia="Calibri"/>
          <w:highlight w:val="lightGray"/>
        </w:rPr>
        <w:t>Las variaciones de la cuenta son producto de (Indicar la razón de las variaciones de un periodo a otro):</w:t>
      </w:r>
      <w:r w:rsidR="00692DC8" w:rsidRPr="00692DC8">
        <w:rPr>
          <w:rFonts w:eastAsia="Calibri"/>
        </w:rPr>
        <w:t xml:space="preserve"> </w:t>
      </w:r>
    </w:p>
    <w:p w14:paraId="121DD08F" w14:textId="77777777" w:rsidR="00567780" w:rsidRDefault="00567780" w:rsidP="006B3C19">
      <w:pPr>
        <w:spacing w:after="0"/>
        <w:rPr>
          <w:rFonts w:eastAsia="Calibri"/>
          <w:szCs w:val="24"/>
        </w:rPr>
      </w:pPr>
    </w:p>
    <w:p w14:paraId="439B2D9B" w14:textId="77777777" w:rsidR="006B3C19" w:rsidRPr="00692DC8" w:rsidRDefault="006B3C19" w:rsidP="005515CA">
      <w:pPr>
        <w:rPr>
          <w:rFonts w:eastAsia="Calibri"/>
          <w:szCs w:val="24"/>
        </w:rPr>
      </w:pPr>
    </w:p>
    <w:p w14:paraId="15436B58" w14:textId="77777777" w:rsidR="00692DC8" w:rsidRPr="00692DC8" w:rsidRDefault="00692DC8" w:rsidP="005515CA">
      <w:pPr>
        <w:pStyle w:val="Ttulo3"/>
        <w:spacing w:after="240"/>
        <w:rPr>
          <w:rFonts w:eastAsia="Calibri"/>
          <w:lang w:eastAsia="es-CR"/>
        </w:rPr>
      </w:pPr>
      <w:bookmarkStart w:id="980" w:name="_Toc82769066"/>
      <w:bookmarkStart w:id="981" w:name="_Toc173245318"/>
      <w:r w:rsidRPr="00692DC8">
        <w:rPr>
          <w:rFonts w:eastAsia="Calibri"/>
          <w:lang w:eastAsia="es-CR"/>
        </w:rPr>
        <w:t>5.9 OTROS GASTOS</w:t>
      </w:r>
      <w:bookmarkEnd w:id="980"/>
      <w:bookmarkEnd w:id="981"/>
      <w:r w:rsidRPr="00692DC8">
        <w:rPr>
          <w:rFonts w:eastAsia="Calibri"/>
          <w:lang w:eastAsia="es-CR"/>
        </w:rPr>
        <w:t xml:space="preserve">   </w:t>
      </w:r>
      <w:bookmarkEnd w:id="978"/>
    </w:p>
    <w:p w14:paraId="5679C18B" w14:textId="77777777" w:rsidR="00692DC8" w:rsidRPr="00692DC8" w:rsidRDefault="00692DC8" w:rsidP="005515CA">
      <w:pPr>
        <w:pStyle w:val="Ttulo4"/>
        <w:spacing w:after="240"/>
        <w:rPr>
          <w:rFonts w:eastAsia="Times New Roman"/>
        </w:rPr>
      </w:pPr>
      <w:bookmarkStart w:id="982" w:name="_Toc14345000"/>
      <w:bookmarkStart w:id="983" w:name="_Toc33601348"/>
      <w:bookmarkStart w:id="984" w:name="_Toc82769067"/>
      <w:bookmarkStart w:id="985" w:name="_Toc173245319"/>
      <w:r w:rsidRPr="00692DC8">
        <w:rPr>
          <w:rFonts w:eastAsia="Times New Roman"/>
        </w:rPr>
        <w:t>NOTA N° 7</w:t>
      </w:r>
      <w:bookmarkEnd w:id="982"/>
      <w:bookmarkEnd w:id="983"/>
      <w:bookmarkEnd w:id="984"/>
      <w:r w:rsidRPr="00692DC8">
        <w:rPr>
          <w:rFonts w:eastAsia="Times New Roman"/>
        </w:rPr>
        <w:t>4</w:t>
      </w:r>
      <w:bookmarkEnd w:id="985"/>
    </w:p>
    <w:p w14:paraId="4811306F" w14:textId="77777777" w:rsidR="00694299" w:rsidRDefault="00692DC8" w:rsidP="003E7EF1">
      <w:pPr>
        <w:spacing w:before="240" w:after="120" w:line="240" w:lineRule="auto"/>
        <w:rPr>
          <w:rFonts w:asciiTheme="minorHAnsi" w:hAnsiTheme="minorHAnsi"/>
          <w:sz w:val="22"/>
        </w:rPr>
      </w:pPr>
      <w:bookmarkStart w:id="986" w:name="_Toc14345001"/>
      <w:bookmarkStart w:id="987" w:name="_Toc33601349"/>
      <w:bookmarkStart w:id="988" w:name="_Toc82769068"/>
      <w:r w:rsidRPr="00692DC8">
        <w:rPr>
          <w:rFonts w:eastAsia="Times New Roman"/>
        </w:rPr>
        <w:t>Resultados negativos por tenencia y por exposición a la inflación</w:t>
      </w:r>
      <w:bookmarkStart w:id="989" w:name="_Toc14345008"/>
      <w:bookmarkEnd w:id="986"/>
      <w:bookmarkEnd w:id="987"/>
      <w:bookmarkEnd w:id="988"/>
      <w:r w:rsidR="00E64D2A">
        <w:rPr>
          <w:rFonts w:eastAsiaTheme="majorEastAsia" w:cstheme="majorBidi"/>
          <w:iCs/>
          <w:lang w:val="es-ES"/>
        </w:rPr>
        <w:fldChar w:fldCharType="begin"/>
      </w:r>
      <w:r w:rsidR="00E64D2A">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NOTAS_POR_CUENTA!F415C1:F417C6 </w:instrText>
      </w:r>
      <w:r w:rsidR="00E64D2A">
        <w:rPr>
          <w:lang w:val="es-ES"/>
        </w:rPr>
        <w:instrText xml:space="preserve">\a \f 4 \h </w:instrText>
      </w:r>
      <w:r w:rsidR="00E64D2A">
        <w:rPr>
          <w:b/>
          <w:lang w:val="es-ES"/>
        </w:rPr>
        <w:fldChar w:fldCharType="separate"/>
      </w:r>
    </w:p>
    <w:p w14:paraId="45E76838" w14:textId="282ED2E8" w:rsidR="00C572A3" w:rsidRDefault="00E64D2A" w:rsidP="003E7EF1">
      <w:pPr>
        <w:spacing w:after="0" w:line="240" w:lineRule="auto"/>
        <w:rPr>
          <w:rFonts w:asciiTheme="minorHAnsi" w:hAnsiTheme="minorHAnsi"/>
          <w:sz w:val="22"/>
        </w:rPr>
      </w:pPr>
      <w:r>
        <w:rPr>
          <w:b/>
          <w:bCs/>
          <w:lang w:val="es-ES"/>
        </w:rPr>
        <w:fldChar w:fldCharType="end"/>
      </w:r>
      <w:r w:rsidR="00095223">
        <w:rPr>
          <w:b/>
          <w:bCs/>
          <w:lang w:val="es-ES"/>
        </w:rPr>
        <w:fldChar w:fldCharType="begin"/>
      </w:r>
      <w:r w:rsidR="00095223">
        <w:rPr>
          <w:b/>
          <w:bCs/>
          <w:lang w:val="es-ES"/>
        </w:rPr>
        <w:instrText xml:space="preserve"> LINK </w:instrText>
      </w:r>
      <w:r w:rsidR="0068177A">
        <w:rPr>
          <w:b/>
          <w:bCs/>
          <w:lang w:val="es-ES"/>
        </w:rPr>
        <w:instrText xml:space="preserve">Excel.SheetMacroEnabled.12 "C:\\Users\\arges\\OneDrive\\Desktop\\Municipalidades\\Buenos Aires\\Cierre Junio 2024\\Notas Contables\\15603_T02_2024_Anexo_Estado_Notas_Contables_Vinculadas.xlsm" NOTAS_POR_CUENTA!R415C1:R417C6 </w:instrText>
      </w:r>
      <w:r w:rsidR="00095223">
        <w:rPr>
          <w:b/>
          <w:bCs/>
          <w:lang w:val="es-ES"/>
        </w:rPr>
        <w:instrText xml:space="preserve">\a \f 4 \h </w:instrText>
      </w:r>
      <w:r w:rsidR="00FB041D">
        <w:rPr>
          <w:b/>
          <w:bCs/>
          <w:lang w:val="es-ES"/>
        </w:rPr>
        <w:instrText xml:space="preserve"> \* MERGEFORMAT </w:instrText>
      </w:r>
      <w:r w:rsidR="00095223">
        <w:rPr>
          <w:b/>
          <w:bCs/>
          <w:lang w:val="es-ES"/>
        </w:rPr>
        <w:fldChar w:fldCharType="separate"/>
      </w:r>
    </w:p>
    <w:tbl>
      <w:tblPr>
        <w:tblW w:w="9387" w:type="dxa"/>
        <w:tblLook w:val="04A0" w:firstRow="1" w:lastRow="0" w:firstColumn="1" w:lastColumn="0" w:noHBand="0" w:noVBand="1"/>
      </w:tblPr>
      <w:tblGrid>
        <w:gridCol w:w="717"/>
        <w:gridCol w:w="3022"/>
        <w:gridCol w:w="544"/>
        <w:gridCol w:w="2049"/>
        <w:gridCol w:w="2049"/>
        <w:gridCol w:w="1006"/>
      </w:tblGrid>
      <w:tr w:rsidR="00C572A3" w:rsidRPr="00C572A3" w14:paraId="3DBC3708" w14:textId="77777777" w:rsidTr="00FB041D">
        <w:trPr>
          <w:divId w:val="583926049"/>
          <w:trHeight w:val="320"/>
        </w:trPr>
        <w:tc>
          <w:tcPr>
            <w:tcW w:w="667"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CDF5288" w14:textId="3E044C14" w:rsidR="00C572A3" w:rsidRPr="00C572A3" w:rsidRDefault="00C572A3" w:rsidP="00C572A3">
            <w:pP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Cuenta </w:t>
            </w:r>
          </w:p>
        </w:tc>
        <w:tc>
          <w:tcPr>
            <w:tcW w:w="311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E6E1043"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Descripción</w:t>
            </w:r>
          </w:p>
        </w:tc>
        <w:tc>
          <w:tcPr>
            <w:tcW w:w="50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F72AC03"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Nota</w:t>
            </w:r>
          </w:p>
        </w:tc>
        <w:tc>
          <w:tcPr>
            <w:tcW w:w="2049"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D3DC87A"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Actual </w:t>
            </w:r>
          </w:p>
        </w:tc>
        <w:tc>
          <w:tcPr>
            <w:tcW w:w="2049"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640E4E9"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Anterior </w:t>
            </w:r>
          </w:p>
        </w:tc>
        <w:tc>
          <w:tcPr>
            <w:tcW w:w="1006" w:type="dxa"/>
            <w:tcBorders>
              <w:top w:val="single" w:sz="8" w:space="0" w:color="auto"/>
              <w:left w:val="nil"/>
              <w:bottom w:val="single" w:sz="8" w:space="0" w:color="auto"/>
              <w:right w:val="single" w:sz="8" w:space="0" w:color="auto"/>
            </w:tcBorders>
            <w:shd w:val="clear" w:color="000000" w:fill="366092"/>
            <w:noWrap/>
            <w:vAlign w:val="center"/>
            <w:hideMark/>
          </w:tcPr>
          <w:p w14:paraId="429A8A66"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Diferencia </w:t>
            </w:r>
          </w:p>
        </w:tc>
      </w:tr>
      <w:tr w:rsidR="00C572A3" w:rsidRPr="00C572A3" w14:paraId="681CD8B1" w14:textId="77777777" w:rsidTr="00FB041D">
        <w:trPr>
          <w:divId w:val="583926049"/>
          <w:trHeight w:val="320"/>
        </w:trPr>
        <w:tc>
          <w:tcPr>
            <w:tcW w:w="667" w:type="dxa"/>
            <w:vMerge/>
            <w:tcBorders>
              <w:top w:val="single" w:sz="8" w:space="0" w:color="auto"/>
              <w:left w:val="single" w:sz="8" w:space="0" w:color="auto"/>
              <w:bottom w:val="single" w:sz="8" w:space="0" w:color="000000"/>
              <w:right w:val="single" w:sz="8" w:space="0" w:color="auto"/>
            </w:tcBorders>
            <w:vAlign w:val="center"/>
            <w:hideMark/>
          </w:tcPr>
          <w:p w14:paraId="78980EC9"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3110" w:type="dxa"/>
            <w:vMerge/>
            <w:tcBorders>
              <w:top w:val="single" w:sz="8" w:space="0" w:color="auto"/>
              <w:left w:val="single" w:sz="8" w:space="0" w:color="auto"/>
              <w:bottom w:val="single" w:sz="8" w:space="0" w:color="000000"/>
              <w:right w:val="single" w:sz="8" w:space="0" w:color="auto"/>
            </w:tcBorders>
            <w:vAlign w:val="center"/>
            <w:hideMark/>
          </w:tcPr>
          <w:p w14:paraId="7C7C2FE6"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506" w:type="dxa"/>
            <w:vMerge/>
            <w:tcBorders>
              <w:top w:val="single" w:sz="8" w:space="0" w:color="auto"/>
              <w:left w:val="single" w:sz="8" w:space="0" w:color="auto"/>
              <w:bottom w:val="single" w:sz="8" w:space="0" w:color="000000"/>
              <w:right w:val="single" w:sz="8" w:space="0" w:color="auto"/>
            </w:tcBorders>
            <w:vAlign w:val="center"/>
            <w:hideMark/>
          </w:tcPr>
          <w:p w14:paraId="43468690"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049" w:type="dxa"/>
            <w:vMerge/>
            <w:tcBorders>
              <w:top w:val="single" w:sz="8" w:space="0" w:color="auto"/>
              <w:left w:val="single" w:sz="8" w:space="0" w:color="auto"/>
              <w:bottom w:val="single" w:sz="8" w:space="0" w:color="000000"/>
              <w:right w:val="single" w:sz="8" w:space="0" w:color="auto"/>
            </w:tcBorders>
            <w:vAlign w:val="center"/>
            <w:hideMark/>
          </w:tcPr>
          <w:p w14:paraId="03A50D78"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049" w:type="dxa"/>
            <w:vMerge/>
            <w:tcBorders>
              <w:top w:val="single" w:sz="8" w:space="0" w:color="auto"/>
              <w:left w:val="single" w:sz="8" w:space="0" w:color="auto"/>
              <w:bottom w:val="single" w:sz="8" w:space="0" w:color="000000"/>
              <w:right w:val="single" w:sz="8" w:space="0" w:color="auto"/>
            </w:tcBorders>
            <w:vAlign w:val="center"/>
            <w:hideMark/>
          </w:tcPr>
          <w:p w14:paraId="6E026F2F"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1006" w:type="dxa"/>
            <w:tcBorders>
              <w:top w:val="nil"/>
              <w:left w:val="nil"/>
              <w:bottom w:val="single" w:sz="8" w:space="0" w:color="auto"/>
              <w:right w:val="single" w:sz="8" w:space="0" w:color="auto"/>
            </w:tcBorders>
            <w:shd w:val="clear" w:color="000000" w:fill="366092"/>
            <w:noWrap/>
            <w:vAlign w:val="center"/>
            <w:hideMark/>
          </w:tcPr>
          <w:p w14:paraId="6E705FEC" w14:textId="77777777" w:rsidR="00C572A3" w:rsidRPr="00C572A3" w:rsidRDefault="00C572A3" w:rsidP="00C572A3">
            <w:pPr>
              <w:spacing w:after="0" w:line="240" w:lineRule="auto"/>
              <w:jc w:val="center"/>
              <w:rPr>
                <w:rFonts w:eastAsia="Times New Roman" w:cs="Calibri"/>
                <w:color w:val="FFFFFF"/>
                <w:sz w:val="18"/>
                <w:szCs w:val="18"/>
                <w:lang w:val="en-US"/>
              </w:rPr>
            </w:pPr>
            <w:r w:rsidRPr="00C572A3">
              <w:rPr>
                <w:rFonts w:eastAsia="Times New Roman" w:cs="Calibri"/>
                <w:color w:val="FFFFFF"/>
                <w:sz w:val="18"/>
                <w:szCs w:val="18"/>
                <w:lang w:val="en-US"/>
              </w:rPr>
              <w:t>%</w:t>
            </w:r>
          </w:p>
        </w:tc>
      </w:tr>
      <w:tr w:rsidR="00C572A3" w:rsidRPr="00C572A3" w14:paraId="70140393" w14:textId="77777777" w:rsidTr="00FB041D">
        <w:trPr>
          <w:divId w:val="583926049"/>
          <w:trHeight w:val="470"/>
        </w:trPr>
        <w:tc>
          <w:tcPr>
            <w:tcW w:w="667" w:type="dxa"/>
            <w:tcBorders>
              <w:top w:val="nil"/>
              <w:left w:val="single" w:sz="8" w:space="0" w:color="auto"/>
              <w:bottom w:val="single" w:sz="8" w:space="0" w:color="auto"/>
              <w:right w:val="single" w:sz="8" w:space="0" w:color="auto"/>
            </w:tcBorders>
            <w:shd w:val="clear" w:color="auto" w:fill="auto"/>
            <w:noWrap/>
            <w:vAlign w:val="center"/>
            <w:hideMark/>
          </w:tcPr>
          <w:p w14:paraId="35B1F729" w14:textId="77777777" w:rsidR="00C572A3" w:rsidRPr="00C572A3" w:rsidRDefault="00C572A3" w:rsidP="00C572A3">
            <w:pPr>
              <w:spacing w:after="0" w:line="240" w:lineRule="auto"/>
              <w:jc w:val="left"/>
              <w:rPr>
                <w:rFonts w:eastAsia="Times New Roman" w:cs="Calibri"/>
                <w:b/>
                <w:bCs/>
                <w:color w:val="000000"/>
                <w:sz w:val="18"/>
                <w:szCs w:val="18"/>
                <w:lang w:val="en-US"/>
              </w:rPr>
            </w:pPr>
            <w:r w:rsidRPr="00C572A3">
              <w:rPr>
                <w:rFonts w:eastAsia="Times New Roman" w:cs="Calibri"/>
                <w:b/>
                <w:bCs/>
                <w:color w:val="000000"/>
                <w:sz w:val="18"/>
                <w:szCs w:val="18"/>
                <w:lang w:val="en-US"/>
              </w:rPr>
              <w:t>5.9.1.</w:t>
            </w:r>
          </w:p>
        </w:tc>
        <w:tc>
          <w:tcPr>
            <w:tcW w:w="3110" w:type="dxa"/>
            <w:tcBorders>
              <w:top w:val="nil"/>
              <w:left w:val="nil"/>
              <w:bottom w:val="single" w:sz="8" w:space="0" w:color="auto"/>
              <w:right w:val="single" w:sz="8" w:space="0" w:color="auto"/>
            </w:tcBorders>
            <w:shd w:val="clear" w:color="auto" w:fill="auto"/>
            <w:vAlign w:val="center"/>
            <w:hideMark/>
          </w:tcPr>
          <w:p w14:paraId="0763B936" w14:textId="77777777" w:rsidR="00C572A3" w:rsidRPr="00C572A3" w:rsidRDefault="00C572A3" w:rsidP="00C572A3">
            <w:pPr>
              <w:spacing w:after="0" w:line="240" w:lineRule="auto"/>
              <w:rPr>
                <w:rFonts w:eastAsia="Times New Roman" w:cs="Calibri"/>
                <w:b/>
                <w:bCs/>
                <w:color w:val="000000"/>
                <w:sz w:val="18"/>
                <w:szCs w:val="18"/>
              </w:rPr>
            </w:pPr>
            <w:r w:rsidRPr="00C572A3">
              <w:rPr>
                <w:rFonts w:eastAsia="Times New Roman" w:cs="Calibri"/>
                <w:b/>
                <w:bCs/>
                <w:color w:val="000000"/>
                <w:sz w:val="18"/>
                <w:szCs w:val="18"/>
              </w:rPr>
              <w:t>Resultados negativos por tenencia y por exposición a la inflación</w:t>
            </w:r>
          </w:p>
        </w:tc>
        <w:tc>
          <w:tcPr>
            <w:tcW w:w="506" w:type="dxa"/>
            <w:tcBorders>
              <w:top w:val="nil"/>
              <w:left w:val="nil"/>
              <w:bottom w:val="single" w:sz="8" w:space="0" w:color="auto"/>
              <w:right w:val="single" w:sz="8" w:space="0" w:color="auto"/>
            </w:tcBorders>
            <w:shd w:val="clear" w:color="auto" w:fill="auto"/>
            <w:noWrap/>
            <w:vAlign w:val="center"/>
            <w:hideMark/>
          </w:tcPr>
          <w:p w14:paraId="17C513E0"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74</w:t>
            </w:r>
          </w:p>
        </w:tc>
        <w:tc>
          <w:tcPr>
            <w:tcW w:w="2049" w:type="dxa"/>
            <w:tcBorders>
              <w:top w:val="nil"/>
              <w:left w:val="nil"/>
              <w:bottom w:val="single" w:sz="8" w:space="0" w:color="auto"/>
              <w:right w:val="single" w:sz="8" w:space="0" w:color="auto"/>
            </w:tcBorders>
            <w:shd w:val="clear" w:color="auto" w:fill="auto"/>
            <w:noWrap/>
            <w:vAlign w:val="center"/>
            <w:hideMark/>
          </w:tcPr>
          <w:p w14:paraId="7E98483F"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   </w:t>
            </w:r>
          </w:p>
        </w:tc>
        <w:tc>
          <w:tcPr>
            <w:tcW w:w="2049" w:type="dxa"/>
            <w:tcBorders>
              <w:top w:val="nil"/>
              <w:left w:val="nil"/>
              <w:bottom w:val="single" w:sz="8" w:space="0" w:color="auto"/>
              <w:right w:val="single" w:sz="8" w:space="0" w:color="auto"/>
            </w:tcBorders>
            <w:shd w:val="clear" w:color="auto" w:fill="auto"/>
            <w:noWrap/>
            <w:vAlign w:val="center"/>
            <w:hideMark/>
          </w:tcPr>
          <w:p w14:paraId="33188ADB"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9 715,94 </w:t>
            </w:r>
          </w:p>
        </w:tc>
        <w:tc>
          <w:tcPr>
            <w:tcW w:w="1006" w:type="dxa"/>
            <w:tcBorders>
              <w:top w:val="nil"/>
              <w:left w:val="nil"/>
              <w:bottom w:val="single" w:sz="8" w:space="0" w:color="auto"/>
              <w:right w:val="single" w:sz="8" w:space="0" w:color="auto"/>
            </w:tcBorders>
            <w:shd w:val="clear" w:color="auto" w:fill="auto"/>
            <w:noWrap/>
            <w:vAlign w:val="center"/>
            <w:hideMark/>
          </w:tcPr>
          <w:p w14:paraId="4F93B1AC"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-100,00%</w:t>
            </w:r>
          </w:p>
        </w:tc>
      </w:tr>
    </w:tbl>
    <w:p w14:paraId="4A189B8B" w14:textId="27008464" w:rsidR="00694299" w:rsidRPr="00694299" w:rsidRDefault="00095223"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sidR="00E64D2A">
        <w:rPr>
          <w:rFonts w:eastAsia="Times New Roman" w:cs="Calibri"/>
          <w:color w:val="000000"/>
          <w:lang w:eastAsia="es-CR"/>
        </w:rPr>
        <w:fldChar w:fldCharType="begin"/>
      </w:r>
      <w:r w:rsidR="00E64D2A">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NOTAS_POR_CUENTA!F417C8 </w:instrText>
      </w:r>
      <w:r w:rsidR="00E64D2A">
        <w:rPr>
          <w:rFonts w:eastAsia="Times New Roman" w:cs="Calibri"/>
          <w:color w:val="000000"/>
          <w:lang w:eastAsia="es-CR"/>
        </w:rPr>
        <w:instrText xml:space="preserve">\a \f 5 \h  \* MERGEFORMAT </w:instrText>
      </w:r>
      <w:r w:rsidR="00E64D2A">
        <w:rPr>
          <w:rFonts w:eastAsia="Times New Roman" w:cs="Calibri"/>
          <w:color w:val="000000"/>
          <w:lang w:eastAsia="es-CR"/>
        </w:rPr>
        <w:fldChar w:fldCharType="separate"/>
      </w:r>
    </w:p>
    <w:p w14:paraId="20EC30F4" w14:textId="4435F30B" w:rsidR="00694299" w:rsidRPr="00694299" w:rsidRDefault="00694299" w:rsidP="000F5FB8">
      <w:pPr>
        <w:spacing w:line="240" w:lineRule="auto"/>
        <w:rPr>
          <w:rFonts w:eastAsia="Times New Roman" w:cs="Calibri"/>
          <w:color w:val="000000"/>
          <w:lang w:eastAsia="es-CR"/>
        </w:rPr>
      </w:pPr>
      <w:r w:rsidRPr="00694299">
        <w:rPr>
          <w:rFonts w:eastAsia="Times New Roman" w:cs="Calibri"/>
          <w:color w:val="000000"/>
          <w:lang w:eastAsia="es-CR"/>
        </w:rPr>
        <w:t>La cuenta Resultados negativos por tenencia y por exposición a la inflación, representa el 0,00% del total del Gastos, que comparado al periodo anterior genera una variación absoluta de</w:t>
      </w:r>
      <w:r w:rsidR="000F5FB8">
        <w:rPr>
          <w:rFonts w:eastAsia="Times New Roman" w:cs="Calibri"/>
          <w:color w:val="000000"/>
          <w:lang w:eastAsia="es-CR"/>
        </w:rPr>
        <w:t xml:space="preserve"> </w:t>
      </w:r>
      <w:r w:rsidR="000F5FB8" w:rsidRPr="000F5FB8">
        <w:rPr>
          <w:rFonts w:eastAsia="Times New Roman" w:cs="Calibri"/>
          <w:color w:val="000000"/>
          <w:lang w:eastAsia="es-CR"/>
        </w:rPr>
        <w:t>-9 715,94</w:t>
      </w:r>
      <w:r w:rsidRPr="00694299">
        <w:rPr>
          <w:rFonts w:eastAsia="Times New Roman" w:cs="Calibri"/>
          <w:color w:val="000000"/>
          <w:lang w:eastAsia="es-CR"/>
        </w:rPr>
        <w:t xml:space="preserve"> que corresponde a un</w:t>
      </w:r>
      <w:r w:rsidR="006B3C19">
        <w:rPr>
          <w:rFonts w:eastAsia="Times New Roman" w:cs="Calibri"/>
          <w:color w:val="000000"/>
          <w:lang w:eastAsia="es-CR"/>
        </w:rPr>
        <w:t xml:space="preserve">a Disminución </w:t>
      </w:r>
      <w:r w:rsidRPr="00694299">
        <w:rPr>
          <w:rFonts w:eastAsia="Times New Roman" w:cs="Calibri"/>
          <w:color w:val="000000"/>
          <w:lang w:eastAsia="es-CR"/>
        </w:rPr>
        <w:t xml:space="preserve">del </w:t>
      </w:r>
      <w:r w:rsidR="000F5FB8">
        <w:rPr>
          <w:rFonts w:eastAsia="Times New Roman" w:cs="Calibri"/>
          <w:color w:val="000000"/>
          <w:lang w:eastAsia="es-CR"/>
        </w:rPr>
        <w:t>-10</w:t>
      </w:r>
      <w:r w:rsidRPr="00694299">
        <w:rPr>
          <w:rFonts w:eastAsia="Times New Roman" w:cs="Calibri"/>
          <w:color w:val="000000"/>
          <w:lang w:eastAsia="es-CR"/>
        </w:rPr>
        <w:t>0,00% de recursos disponibles.</w:t>
      </w:r>
    </w:p>
    <w:p w14:paraId="26A8057B" w14:textId="295DF53F" w:rsidR="00692DC8" w:rsidRDefault="00E64D2A" w:rsidP="000F5FB8">
      <w:pPr>
        <w:spacing w:line="240" w:lineRule="auto"/>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bookmarkStart w:id="990" w:name="_Toc33601350"/>
    </w:p>
    <w:p w14:paraId="2BB43039" w14:textId="77777777" w:rsidR="003E7EF1" w:rsidRDefault="003E7EF1" w:rsidP="000F5FB8">
      <w:pPr>
        <w:spacing w:line="240" w:lineRule="auto"/>
        <w:rPr>
          <w:rFonts w:eastAsiaTheme="minorEastAsia" w:cs="Arial Narrow"/>
          <w:color w:val="000000"/>
          <w:lang w:eastAsia="es-CR"/>
        </w:rPr>
      </w:pPr>
    </w:p>
    <w:p w14:paraId="2FFB58B1" w14:textId="77777777" w:rsidR="003E7EF1" w:rsidRPr="00305662" w:rsidRDefault="003E7EF1" w:rsidP="000F5FB8">
      <w:pPr>
        <w:spacing w:line="240" w:lineRule="auto"/>
        <w:rPr>
          <w:rFonts w:eastAsiaTheme="minorEastAsia" w:cs="Arial Narrow"/>
          <w:color w:val="000000"/>
          <w:lang w:eastAsia="es-CR"/>
        </w:rPr>
      </w:pPr>
    </w:p>
    <w:p w14:paraId="16E700F4" w14:textId="77777777" w:rsidR="00692DC8" w:rsidRPr="00692DC8" w:rsidRDefault="00692DC8" w:rsidP="005515CA">
      <w:pPr>
        <w:pStyle w:val="Ttulo4"/>
        <w:spacing w:after="240"/>
        <w:rPr>
          <w:rFonts w:eastAsia="Times New Roman"/>
        </w:rPr>
      </w:pPr>
      <w:bookmarkStart w:id="991" w:name="_Toc82769069"/>
      <w:bookmarkStart w:id="992" w:name="_Toc173245320"/>
      <w:r w:rsidRPr="00692DC8">
        <w:rPr>
          <w:rFonts w:eastAsia="Times New Roman"/>
        </w:rPr>
        <w:t>NOTA N° 7</w:t>
      </w:r>
      <w:bookmarkEnd w:id="989"/>
      <w:bookmarkEnd w:id="990"/>
      <w:bookmarkEnd w:id="991"/>
      <w:r w:rsidRPr="00692DC8">
        <w:rPr>
          <w:rFonts w:eastAsia="Times New Roman"/>
        </w:rPr>
        <w:t>5</w:t>
      </w:r>
      <w:bookmarkEnd w:id="992"/>
    </w:p>
    <w:p w14:paraId="1CB8A180" w14:textId="77777777" w:rsidR="00694299" w:rsidRDefault="00692DC8" w:rsidP="00323752">
      <w:pPr>
        <w:spacing w:before="240"/>
        <w:rPr>
          <w:rFonts w:asciiTheme="minorHAnsi" w:hAnsiTheme="minorHAnsi"/>
          <w:sz w:val="22"/>
        </w:rPr>
      </w:pPr>
      <w:bookmarkStart w:id="993" w:name="_Toc14345009"/>
      <w:bookmarkStart w:id="994" w:name="_Toc33601351"/>
      <w:bookmarkStart w:id="995" w:name="_Toc82769070"/>
      <w:r w:rsidRPr="00692DC8">
        <w:rPr>
          <w:rFonts w:eastAsia="Times New Roman"/>
        </w:rPr>
        <w:t>Resultados negativos de inversiones patrimoniales y participación de los intereses minoritarios</w:t>
      </w:r>
      <w:bookmarkStart w:id="996" w:name="_Toc14345012"/>
      <w:bookmarkEnd w:id="993"/>
      <w:bookmarkEnd w:id="994"/>
      <w:bookmarkEnd w:id="995"/>
      <w:r w:rsidR="00E64D2A">
        <w:rPr>
          <w:rFonts w:eastAsiaTheme="majorEastAsia" w:cstheme="majorBidi"/>
          <w:iCs/>
          <w:lang w:val="es-ES"/>
        </w:rPr>
        <w:fldChar w:fldCharType="begin"/>
      </w:r>
      <w:r w:rsidR="00E64D2A">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NOTAS_POR_CUENTA!F419C1:F421C6 </w:instrText>
      </w:r>
      <w:r w:rsidR="00E64D2A">
        <w:rPr>
          <w:lang w:val="es-ES"/>
        </w:rPr>
        <w:instrText xml:space="preserve">\a \f 4 \h </w:instrText>
      </w:r>
      <w:r w:rsidR="00E64D2A">
        <w:rPr>
          <w:b/>
          <w:lang w:val="es-ES"/>
        </w:rPr>
        <w:fldChar w:fldCharType="separate"/>
      </w:r>
    </w:p>
    <w:tbl>
      <w:tblPr>
        <w:tblW w:w="8847" w:type="dxa"/>
        <w:tblCellMar>
          <w:left w:w="70" w:type="dxa"/>
          <w:right w:w="70" w:type="dxa"/>
        </w:tblCellMar>
        <w:tblLook w:val="04A0" w:firstRow="1" w:lastRow="0" w:firstColumn="1" w:lastColumn="0" w:noHBand="0" w:noVBand="1"/>
      </w:tblPr>
      <w:tblGrid>
        <w:gridCol w:w="1538"/>
        <w:gridCol w:w="2462"/>
        <w:gridCol w:w="500"/>
        <w:gridCol w:w="1586"/>
        <w:gridCol w:w="1701"/>
        <w:gridCol w:w="1060"/>
      </w:tblGrid>
      <w:tr w:rsidR="00694299" w:rsidRPr="00694299" w14:paraId="73519508" w14:textId="77777777" w:rsidTr="00095223">
        <w:trPr>
          <w:divId w:val="176584154"/>
          <w:trHeight w:val="324"/>
        </w:trPr>
        <w:tc>
          <w:tcPr>
            <w:tcW w:w="1538"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8FD90E7" w14:textId="1F01A236"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462"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2ACDD0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CA88A6C"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5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8D3172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52BABFA"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7715EE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2276C5E8" w14:textId="77777777" w:rsidTr="00095223">
        <w:trPr>
          <w:divId w:val="176584154"/>
          <w:trHeight w:val="324"/>
        </w:trPr>
        <w:tc>
          <w:tcPr>
            <w:tcW w:w="1538" w:type="dxa"/>
            <w:vMerge/>
            <w:tcBorders>
              <w:top w:val="single" w:sz="8" w:space="0" w:color="auto"/>
              <w:left w:val="single" w:sz="8" w:space="0" w:color="auto"/>
              <w:bottom w:val="single" w:sz="8" w:space="0" w:color="000000"/>
              <w:right w:val="single" w:sz="8" w:space="0" w:color="auto"/>
            </w:tcBorders>
            <w:vAlign w:val="center"/>
            <w:hideMark/>
          </w:tcPr>
          <w:p w14:paraId="1BCF560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462" w:type="dxa"/>
            <w:vMerge/>
            <w:tcBorders>
              <w:top w:val="single" w:sz="8" w:space="0" w:color="auto"/>
              <w:left w:val="single" w:sz="8" w:space="0" w:color="auto"/>
              <w:bottom w:val="single" w:sz="8" w:space="0" w:color="000000"/>
              <w:right w:val="single" w:sz="8" w:space="0" w:color="auto"/>
            </w:tcBorders>
            <w:vAlign w:val="center"/>
            <w:hideMark/>
          </w:tcPr>
          <w:p w14:paraId="7C25448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CC3E3E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420A4F4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20916D5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061D05DE"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6A1D8156" w14:textId="77777777" w:rsidTr="00095223">
        <w:trPr>
          <w:divId w:val="176584154"/>
          <w:trHeight w:val="804"/>
        </w:trPr>
        <w:tc>
          <w:tcPr>
            <w:tcW w:w="1538" w:type="dxa"/>
            <w:tcBorders>
              <w:top w:val="nil"/>
              <w:left w:val="single" w:sz="8" w:space="0" w:color="auto"/>
              <w:bottom w:val="single" w:sz="8" w:space="0" w:color="auto"/>
              <w:right w:val="single" w:sz="8" w:space="0" w:color="auto"/>
            </w:tcBorders>
            <w:shd w:val="clear" w:color="auto" w:fill="auto"/>
            <w:noWrap/>
            <w:vAlign w:val="center"/>
            <w:hideMark/>
          </w:tcPr>
          <w:p w14:paraId="419307DC"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5.9.2.</w:t>
            </w:r>
          </w:p>
        </w:tc>
        <w:tc>
          <w:tcPr>
            <w:tcW w:w="2462" w:type="dxa"/>
            <w:tcBorders>
              <w:top w:val="nil"/>
              <w:left w:val="nil"/>
              <w:bottom w:val="single" w:sz="8" w:space="0" w:color="auto"/>
              <w:right w:val="single" w:sz="8" w:space="0" w:color="auto"/>
            </w:tcBorders>
            <w:shd w:val="clear" w:color="auto" w:fill="auto"/>
            <w:vAlign w:val="center"/>
            <w:hideMark/>
          </w:tcPr>
          <w:p w14:paraId="40A14DB3"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Resultados negativos de inversiones patrimoniales y participación de los intereses minoritarios</w:t>
            </w:r>
          </w:p>
        </w:tc>
        <w:tc>
          <w:tcPr>
            <w:tcW w:w="500" w:type="dxa"/>
            <w:tcBorders>
              <w:top w:val="nil"/>
              <w:left w:val="nil"/>
              <w:bottom w:val="single" w:sz="8" w:space="0" w:color="auto"/>
              <w:right w:val="single" w:sz="8" w:space="0" w:color="auto"/>
            </w:tcBorders>
            <w:shd w:val="clear" w:color="auto" w:fill="auto"/>
            <w:noWrap/>
            <w:vAlign w:val="center"/>
            <w:hideMark/>
          </w:tcPr>
          <w:p w14:paraId="072EB083"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75</w:t>
            </w:r>
          </w:p>
        </w:tc>
        <w:tc>
          <w:tcPr>
            <w:tcW w:w="1586" w:type="dxa"/>
            <w:tcBorders>
              <w:top w:val="nil"/>
              <w:left w:val="nil"/>
              <w:bottom w:val="single" w:sz="8" w:space="0" w:color="auto"/>
              <w:right w:val="single" w:sz="8" w:space="0" w:color="auto"/>
            </w:tcBorders>
            <w:shd w:val="clear" w:color="auto" w:fill="auto"/>
            <w:noWrap/>
            <w:vAlign w:val="center"/>
            <w:hideMark/>
          </w:tcPr>
          <w:p w14:paraId="253634F5"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701" w:type="dxa"/>
            <w:tcBorders>
              <w:top w:val="nil"/>
              <w:left w:val="nil"/>
              <w:bottom w:val="single" w:sz="8" w:space="0" w:color="auto"/>
              <w:right w:val="single" w:sz="8" w:space="0" w:color="auto"/>
            </w:tcBorders>
            <w:shd w:val="clear" w:color="auto" w:fill="auto"/>
            <w:noWrap/>
            <w:vAlign w:val="center"/>
            <w:hideMark/>
          </w:tcPr>
          <w:p w14:paraId="2B9A6AA7"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5DFA65BA"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435064EE" w14:textId="77777777" w:rsidR="00694299" w:rsidRPr="00694299" w:rsidRDefault="00E64D2A"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NOTAS_POR_CUENTA!F421C8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78ED41B2" w14:textId="77777777" w:rsidR="00694299" w:rsidRPr="00694299" w:rsidRDefault="00694299" w:rsidP="000F5FB8">
      <w:pPr>
        <w:spacing w:line="240" w:lineRule="auto"/>
        <w:rPr>
          <w:rFonts w:eastAsia="Times New Roman" w:cs="Calibri"/>
          <w:color w:val="000000"/>
          <w:lang w:eastAsia="es-CR"/>
        </w:rPr>
      </w:pPr>
      <w:r w:rsidRPr="00694299">
        <w:rPr>
          <w:rFonts w:eastAsia="Times New Roman" w:cs="Calibri"/>
          <w:color w:val="000000"/>
          <w:lang w:eastAsia="es-CR"/>
        </w:rPr>
        <w:t>La cuenta Resultados negativos de inversiones patrimoniales y participación de los intereses minoritarios, representa el 0,00% del total del Gastos, que comparado al periodo anterior genera una variación absoluta de 0 000,00 que corresponde a un Aumento del 0,00% de recursos disponibles.</w:t>
      </w:r>
    </w:p>
    <w:p w14:paraId="5372D48A" w14:textId="2A168575" w:rsidR="00692DC8" w:rsidRPr="00692DC8" w:rsidRDefault="00E64D2A" w:rsidP="000F5FB8">
      <w:pPr>
        <w:spacing w:line="240" w:lineRule="auto"/>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1F91FCCA" w14:textId="77777777" w:rsidR="00692DC8" w:rsidRPr="00692DC8" w:rsidRDefault="00692DC8" w:rsidP="005515CA">
      <w:bookmarkStart w:id="997" w:name="_Toc33601352"/>
    </w:p>
    <w:p w14:paraId="3E9B88AE" w14:textId="77777777" w:rsidR="00692DC8" w:rsidRPr="00692DC8" w:rsidRDefault="00692DC8" w:rsidP="005515CA">
      <w:pPr>
        <w:pStyle w:val="Ttulo4"/>
        <w:spacing w:after="240"/>
        <w:rPr>
          <w:rFonts w:eastAsia="Times New Roman"/>
        </w:rPr>
      </w:pPr>
      <w:bookmarkStart w:id="998" w:name="_Toc82769071"/>
      <w:bookmarkStart w:id="999" w:name="_Toc173245321"/>
      <w:r w:rsidRPr="00692DC8">
        <w:rPr>
          <w:rFonts w:eastAsia="Times New Roman"/>
        </w:rPr>
        <w:t>NOTA N° 7</w:t>
      </w:r>
      <w:bookmarkEnd w:id="996"/>
      <w:bookmarkEnd w:id="997"/>
      <w:bookmarkEnd w:id="998"/>
      <w:r w:rsidRPr="00692DC8">
        <w:rPr>
          <w:rFonts w:eastAsia="Times New Roman"/>
        </w:rPr>
        <w:t>6</w:t>
      </w:r>
      <w:bookmarkEnd w:id="999"/>
    </w:p>
    <w:p w14:paraId="530F106F" w14:textId="77777777" w:rsidR="00694299" w:rsidRDefault="00692DC8" w:rsidP="00323752">
      <w:pPr>
        <w:spacing w:before="240"/>
        <w:rPr>
          <w:rFonts w:asciiTheme="minorHAnsi" w:hAnsiTheme="minorHAnsi"/>
          <w:sz w:val="22"/>
        </w:rPr>
      </w:pPr>
      <w:bookmarkStart w:id="1000" w:name="_Toc14345013"/>
      <w:bookmarkStart w:id="1001" w:name="_Toc33601353"/>
      <w:bookmarkStart w:id="1002" w:name="_Toc82769072"/>
      <w:r w:rsidRPr="00692DC8">
        <w:rPr>
          <w:rFonts w:eastAsia="Times New Roman"/>
        </w:rPr>
        <w:t>Otros gastos y resultados negativos</w:t>
      </w:r>
      <w:bookmarkEnd w:id="1000"/>
      <w:bookmarkEnd w:id="1001"/>
      <w:bookmarkEnd w:id="1002"/>
      <w:r w:rsidR="00E64D2A">
        <w:rPr>
          <w:rFonts w:eastAsiaTheme="majorEastAsia" w:cstheme="majorBidi"/>
          <w:iCs/>
          <w:lang w:val="es-ES"/>
        </w:rPr>
        <w:fldChar w:fldCharType="begin"/>
      </w:r>
      <w:r w:rsidR="00E64D2A">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NOTAS_POR_CUENTA!F423C1:F425C6 </w:instrText>
      </w:r>
      <w:r w:rsidR="00E64D2A">
        <w:rPr>
          <w:lang w:val="es-ES"/>
        </w:rPr>
        <w:instrText xml:space="preserve">\a \f 4 \h </w:instrText>
      </w:r>
      <w:r w:rsidR="00E64D2A">
        <w:rPr>
          <w:b/>
          <w:lang w:val="es-ES"/>
        </w:rPr>
        <w:fldChar w:fldCharType="separate"/>
      </w:r>
    </w:p>
    <w:p w14:paraId="3C935229" w14:textId="1574F12B" w:rsidR="00C572A3" w:rsidRDefault="00E64D2A" w:rsidP="00694299">
      <w:pPr>
        <w:spacing w:before="240"/>
        <w:rPr>
          <w:rFonts w:asciiTheme="minorHAnsi" w:hAnsiTheme="minorHAnsi"/>
          <w:sz w:val="22"/>
        </w:rPr>
      </w:pPr>
      <w:r>
        <w:rPr>
          <w:b/>
          <w:bCs/>
          <w:lang w:val="es-ES"/>
        </w:rPr>
        <w:fldChar w:fldCharType="end"/>
      </w:r>
      <w:r w:rsidR="009C3ADA">
        <w:rPr>
          <w:b/>
          <w:bCs/>
          <w:lang w:val="es-ES"/>
        </w:rPr>
        <w:fldChar w:fldCharType="begin"/>
      </w:r>
      <w:r w:rsidR="009C3ADA">
        <w:rPr>
          <w:b/>
          <w:bCs/>
          <w:lang w:val="es-ES"/>
        </w:rPr>
        <w:instrText xml:space="preserve"> LINK </w:instrText>
      </w:r>
      <w:r w:rsidR="0068177A">
        <w:rPr>
          <w:b/>
          <w:bCs/>
          <w:lang w:val="es-ES"/>
        </w:rPr>
        <w:instrText xml:space="preserve">Excel.SheetMacroEnabled.12 "C:\\Users\\arges\\OneDrive\\Desktop\\Municipalidades\\Buenos Aires\\Cierre Junio 2024\\Notas Contables\\15603_T02_2024_Anexo_Estado_Notas_Contables_Vinculadas.xlsm" NOTAS_POR_CUENTA!R423C1:R425C6 </w:instrText>
      </w:r>
      <w:r w:rsidR="009C3ADA">
        <w:rPr>
          <w:b/>
          <w:bCs/>
          <w:lang w:val="es-ES"/>
        </w:rPr>
        <w:instrText xml:space="preserve">\a \f 4 \h </w:instrText>
      </w:r>
      <w:r w:rsidR="009C3ADA">
        <w:rPr>
          <w:b/>
          <w:bCs/>
          <w:lang w:val="es-ES"/>
        </w:rPr>
        <w:fldChar w:fldCharType="separate"/>
      </w:r>
    </w:p>
    <w:tbl>
      <w:tblPr>
        <w:tblW w:w="10080" w:type="dxa"/>
        <w:tblLook w:val="04A0" w:firstRow="1" w:lastRow="0" w:firstColumn="1" w:lastColumn="0" w:noHBand="0" w:noVBand="1"/>
      </w:tblPr>
      <w:tblGrid>
        <w:gridCol w:w="717"/>
        <w:gridCol w:w="3339"/>
        <w:gridCol w:w="544"/>
        <w:gridCol w:w="2200"/>
        <w:gridCol w:w="2200"/>
        <w:gridCol w:w="1080"/>
      </w:tblGrid>
      <w:tr w:rsidR="00C572A3" w:rsidRPr="00C572A3" w14:paraId="66358DBC" w14:textId="77777777" w:rsidTr="00C572A3">
        <w:trPr>
          <w:divId w:val="1281492327"/>
          <w:trHeight w:val="320"/>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B4606BA" w14:textId="09F2A43C" w:rsidR="00C572A3" w:rsidRPr="00C572A3" w:rsidRDefault="00C572A3" w:rsidP="00C572A3">
            <w:pP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87CD894"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Descripción</w:t>
            </w:r>
          </w:p>
        </w:tc>
        <w:tc>
          <w:tcPr>
            <w:tcW w:w="5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88D526C"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Nota</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09FDCF7"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Actual </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FECC081"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Anterior </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28A1E75C"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Diferencia </w:t>
            </w:r>
          </w:p>
        </w:tc>
      </w:tr>
      <w:tr w:rsidR="00C572A3" w:rsidRPr="00C572A3" w14:paraId="124DCB71" w14:textId="77777777" w:rsidTr="00C572A3">
        <w:trPr>
          <w:divId w:val="1281492327"/>
          <w:trHeight w:val="320"/>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2F8B52EB"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0EF8D13F"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14:paraId="7A80297C"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21C484D1"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0B2808B1"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1080" w:type="dxa"/>
            <w:tcBorders>
              <w:top w:val="nil"/>
              <w:left w:val="nil"/>
              <w:bottom w:val="single" w:sz="8" w:space="0" w:color="auto"/>
              <w:right w:val="single" w:sz="8" w:space="0" w:color="auto"/>
            </w:tcBorders>
            <w:shd w:val="clear" w:color="000000" w:fill="366092"/>
            <w:noWrap/>
            <w:vAlign w:val="center"/>
            <w:hideMark/>
          </w:tcPr>
          <w:p w14:paraId="19E21BB6" w14:textId="77777777" w:rsidR="00C572A3" w:rsidRPr="00C572A3" w:rsidRDefault="00C572A3" w:rsidP="00C572A3">
            <w:pPr>
              <w:spacing w:after="0" w:line="240" w:lineRule="auto"/>
              <w:jc w:val="center"/>
              <w:rPr>
                <w:rFonts w:eastAsia="Times New Roman" w:cs="Calibri"/>
                <w:color w:val="FFFFFF"/>
                <w:sz w:val="18"/>
                <w:szCs w:val="18"/>
                <w:lang w:val="en-US"/>
              </w:rPr>
            </w:pPr>
            <w:r w:rsidRPr="00C572A3">
              <w:rPr>
                <w:rFonts w:eastAsia="Times New Roman" w:cs="Calibri"/>
                <w:color w:val="FFFFFF"/>
                <w:sz w:val="18"/>
                <w:szCs w:val="18"/>
                <w:lang w:val="en-US"/>
              </w:rPr>
              <w:t>%</w:t>
            </w:r>
          </w:p>
        </w:tc>
      </w:tr>
      <w:tr w:rsidR="00C572A3" w:rsidRPr="00C572A3" w14:paraId="238C34F4" w14:textId="77777777" w:rsidTr="00C572A3">
        <w:trPr>
          <w:divId w:val="1281492327"/>
          <w:trHeight w:val="320"/>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4D827BFA" w14:textId="77777777" w:rsidR="00C572A3" w:rsidRPr="00C572A3" w:rsidRDefault="00C572A3" w:rsidP="00C572A3">
            <w:pPr>
              <w:spacing w:after="0" w:line="240" w:lineRule="auto"/>
              <w:jc w:val="left"/>
              <w:rPr>
                <w:rFonts w:eastAsia="Times New Roman" w:cs="Calibri"/>
                <w:b/>
                <w:bCs/>
                <w:color w:val="000000"/>
                <w:sz w:val="18"/>
                <w:szCs w:val="18"/>
                <w:lang w:val="en-US"/>
              </w:rPr>
            </w:pPr>
            <w:r w:rsidRPr="00C572A3">
              <w:rPr>
                <w:rFonts w:eastAsia="Times New Roman" w:cs="Calibri"/>
                <w:b/>
                <w:bCs/>
                <w:color w:val="000000"/>
                <w:sz w:val="18"/>
                <w:szCs w:val="18"/>
                <w:lang w:val="en-US"/>
              </w:rPr>
              <w:t>5.9.9.</w:t>
            </w:r>
          </w:p>
        </w:tc>
        <w:tc>
          <w:tcPr>
            <w:tcW w:w="3380" w:type="dxa"/>
            <w:tcBorders>
              <w:top w:val="nil"/>
              <w:left w:val="nil"/>
              <w:bottom w:val="single" w:sz="8" w:space="0" w:color="auto"/>
              <w:right w:val="single" w:sz="8" w:space="0" w:color="auto"/>
            </w:tcBorders>
            <w:shd w:val="clear" w:color="auto" w:fill="auto"/>
            <w:vAlign w:val="center"/>
            <w:hideMark/>
          </w:tcPr>
          <w:p w14:paraId="21DAFC11" w14:textId="77777777" w:rsidR="00C572A3" w:rsidRPr="00C572A3" w:rsidRDefault="00C572A3" w:rsidP="00C572A3">
            <w:pPr>
              <w:spacing w:after="0" w:line="240" w:lineRule="auto"/>
              <w:rPr>
                <w:rFonts w:eastAsia="Times New Roman" w:cs="Calibri"/>
                <w:b/>
                <w:bCs/>
                <w:color w:val="000000"/>
                <w:sz w:val="18"/>
                <w:szCs w:val="18"/>
              </w:rPr>
            </w:pPr>
            <w:r w:rsidRPr="00C572A3">
              <w:rPr>
                <w:rFonts w:eastAsia="Times New Roman" w:cs="Calibri"/>
                <w:b/>
                <w:bCs/>
                <w:color w:val="000000"/>
                <w:sz w:val="18"/>
                <w:szCs w:val="18"/>
              </w:rPr>
              <w:t>Otros gastos y resultados negativos</w:t>
            </w:r>
          </w:p>
        </w:tc>
        <w:tc>
          <w:tcPr>
            <w:tcW w:w="520" w:type="dxa"/>
            <w:tcBorders>
              <w:top w:val="nil"/>
              <w:left w:val="nil"/>
              <w:bottom w:val="single" w:sz="8" w:space="0" w:color="auto"/>
              <w:right w:val="single" w:sz="8" w:space="0" w:color="auto"/>
            </w:tcBorders>
            <w:shd w:val="clear" w:color="auto" w:fill="auto"/>
            <w:noWrap/>
            <w:vAlign w:val="center"/>
            <w:hideMark/>
          </w:tcPr>
          <w:p w14:paraId="6904CE46"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76</w:t>
            </w:r>
          </w:p>
        </w:tc>
        <w:tc>
          <w:tcPr>
            <w:tcW w:w="2200" w:type="dxa"/>
            <w:tcBorders>
              <w:top w:val="nil"/>
              <w:left w:val="nil"/>
              <w:bottom w:val="single" w:sz="8" w:space="0" w:color="auto"/>
              <w:right w:val="single" w:sz="8" w:space="0" w:color="auto"/>
            </w:tcBorders>
            <w:shd w:val="clear" w:color="auto" w:fill="auto"/>
            <w:noWrap/>
            <w:vAlign w:val="center"/>
            <w:hideMark/>
          </w:tcPr>
          <w:p w14:paraId="786A32CF"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0,01 </w:t>
            </w:r>
          </w:p>
        </w:tc>
        <w:tc>
          <w:tcPr>
            <w:tcW w:w="2200" w:type="dxa"/>
            <w:tcBorders>
              <w:top w:val="nil"/>
              <w:left w:val="nil"/>
              <w:bottom w:val="single" w:sz="8" w:space="0" w:color="auto"/>
              <w:right w:val="single" w:sz="8" w:space="0" w:color="auto"/>
            </w:tcBorders>
            <w:shd w:val="clear" w:color="auto" w:fill="auto"/>
            <w:noWrap/>
            <w:vAlign w:val="center"/>
            <w:hideMark/>
          </w:tcPr>
          <w:p w14:paraId="1D2C382C"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0,00 </w:t>
            </w:r>
          </w:p>
        </w:tc>
        <w:tc>
          <w:tcPr>
            <w:tcW w:w="1080" w:type="dxa"/>
            <w:tcBorders>
              <w:top w:val="nil"/>
              <w:left w:val="nil"/>
              <w:bottom w:val="single" w:sz="8" w:space="0" w:color="auto"/>
              <w:right w:val="single" w:sz="8" w:space="0" w:color="auto"/>
            </w:tcBorders>
            <w:shd w:val="clear" w:color="auto" w:fill="auto"/>
            <w:noWrap/>
            <w:vAlign w:val="center"/>
            <w:hideMark/>
          </w:tcPr>
          <w:p w14:paraId="4473A4F5"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18033,33%</w:t>
            </w:r>
          </w:p>
        </w:tc>
      </w:tr>
    </w:tbl>
    <w:p w14:paraId="7BA95443" w14:textId="7AB072A7" w:rsidR="00694299" w:rsidRPr="00694299" w:rsidRDefault="009C3ADA"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sidR="00340465">
        <w:rPr>
          <w:rFonts w:eastAsia="Times New Roman" w:cs="Calibri"/>
          <w:color w:val="000000"/>
          <w:lang w:eastAsia="es-CR"/>
        </w:rPr>
        <w:fldChar w:fldCharType="begin"/>
      </w:r>
      <w:r w:rsidR="00340465">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NOTAS_POR_CUENTA!F425C8 </w:instrText>
      </w:r>
      <w:r w:rsidR="00340465">
        <w:rPr>
          <w:rFonts w:eastAsia="Times New Roman" w:cs="Calibri"/>
          <w:color w:val="000000"/>
          <w:lang w:eastAsia="es-CR"/>
        </w:rPr>
        <w:instrText xml:space="preserve">\a \f 5 \h  \* MERGEFORMAT </w:instrText>
      </w:r>
      <w:r w:rsidR="00340465">
        <w:rPr>
          <w:rFonts w:eastAsia="Times New Roman" w:cs="Calibri"/>
          <w:color w:val="000000"/>
          <w:lang w:eastAsia="es-CR"/>
        </w:rPr>
        <w:fldChar w:fldCharType="separate"/>
      </w:r>
    </w:p>
    <w:p w14:paraId="2C07C28F" w14:textId="6B874463" w:rsidR="00694299" w:rsidRPr="00694299" w:rsidRDefault="00694299" w:rsidP="000F5FB8">
      <w:pPr>
        <w:spacing w:line="240" w:lineRule="auto"/>
        <w:rPr>
          <w:rFonts w:eastAsia="Times New Roman" w:cs="Calibri"/>
          <w:color w:val="000000"/>
          <w:lang w:eastAsia="es-CR"/>
        </w:rPr>
      </w:pPr>
      <w:r w:rsidRPr="00694299">
        <w:rPr>
          <w:rFonts w:eastAsia="Times New Roman" w:cs="Calibri"/>
          <w:color w:val="000000"/>
          <w:lang w:eastAsia="es-CR"/>
        </w:rPr>
        <w:t>La cuenta Otros gastos y resultados negativos, representa el 0,00% del total del Gastos, que comparado al periodo anterior genera una variación absoluta de</w:t>
      </w:r>
      <w:r w:rsidRPr="000F5FB8">
        <w:rPr>
          <w:highlight w:val="lightGray"/>
        </w:rPr>
        <w:t xml:space="preserve"> </w:t>
      </w:r>
      <w:r w:rsidR="000F5FB8" w:rsidRPr="000F5FB8">
        <w:rPr>
          <w:highlight w:val="lightGray"/>
        </w:rPr>
        <w:t>0,01</w:t>
      </w:r>
      <w:r w:rsidRPr="00694299">
        <w:rPr>
          <w:rFonts w:eastAsia="Times New Roman" w:cs="Calibri"/>
          <w:color w:val="000000"/>
          <w:lang w:eastAsia="es-CR"/>
        </w:rPr>
        <w:t xml:space="preserve"> que corresponde a un Disminución del </w:t>
      </w:r>
      <w:r w:rsidR="000F5FB8">
        <w:rPr>
          <w:rFonts w:eastAsia="Times New Roman" w:cs="Calibri"/>
          <w:color w:val="000000"/>
          <w:lang w:eastAsia="es-CR"/>
        </w:rPr>
        <w:t>18</w:t>
      </w:r>
      <w:r w:rsidRPr="00694299">
        <w:rPr>
          <w:rFonts w:eastAsia="Times New Roman" w:cs="Calibri"/>
          <w:color w:val="000000"/>
          <w:lang w:eastAsia="es-CR"/>
        </w:rPr>
        <w:t>0</w:t>
      </w:r>
      <w:r w:rsidR="000F5FB8">
        <w:rPr>
          <w:rFonts w:eastAsia="Times New Roman" w:cs="Calibri"/>
          <w:color w:val="000000"/>
          <w:lang w:eastAsia="es-CR"/>
        </w:rPr>
        <w:t>33</w:t>
      </w:r>
      <w:r w:rsidRPr="00694299">
        <w:rPr>
          <w:rFonts w:eastAsia="Times New Roman" w:cs="Calibri"/>
          <w:color w:val="000000"/>
          <w:lang w:eastAsia="es-CR"/>
        </w:rPr>
        <w:t>,</w:t>
      </w:r>
      <w:r w:rsidR="000F5FB8">
        <w:rPr>
          <w:rFonts w:eastAsia="Times New Roman" w:cs="Calibri"/>
          <w:color w:val="000000"/>
          <w:lang w:eastAsia="es-CR"/>
        </w:rPr>
        <w:t>33</w:t>
      </w:r>
      <w:r w:rsidRPr="00694299">
        <w:rPr>
          <w:rFonts w:eastAsia="Times New Roman" w:cs="Calibri"/>
          <w:color w:val="000000"/>
          <w:lang w:eastAsia="es-CR"/>
        </w:rPr>
        <w:t>% de recursos disponibles.</w:t>
      </w:r>
    </w:p>
    <w:p w14:paraId="49B45798" w14:textId="13236286" w:rsidR="00692DC8" w:rsidRPr="00692DC8" w:rsidRDefault="00340465" w:rsidP="000F5FB8">
      <w:pPr>
        <w:spacing w:line="240" w:lineRule="auto"/>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83666B6" w14:textId="77777777" w:rsidR="00692DC8" w:rsidRPr="00692DC8" w:rsidRDefault="00692DC8" w:rsidP="00B90E93"/>
    <w:p w14:paraId="0836EA12" w14:textId="4813A921" w:rsidR="00692DC8" w:rsidRPr="0068534F" w:rsidRDefault="00692DC8" w:rsidP="0068534F">
      <w:pPr>
        <w:pStyle w:val="Ttulo2"/>
        <w:spacing w:after="240"/>
        <w:jc w:val="center"/>
        <w:rPr>
          <w:rFonts w:eastAsia="Times New Roman"/>
          <w:b/>
        </w:rPr>
      </w:pPr>
      <w:bookmarkStart w:id="1003" w:name="_Toc33601354"/>
      <w:bookmarkStart w:id="1004" w:name="_Toc82769073"/>
      <w:bookmarkStart w:id="1005" w:name="_Toc173245322"/>
      <w:r w:rsidRPr="00B90E93">
        <w:rPr>
          <w:rFonts w:eastAsia="Times New Roman"/>
          <w:b/>
        </w:rPr>
        <w:t>NOTAS ESTADO DE FLUJO DE EFECTIVO</w:t>
      </w:r>
      <w:bookmarkEnd w:id="1003"/>
      <w:bookmarkEnd w:id="1004"/>
      <w:bookmarkEnd w:id="1005"/>
    </w:p>
    <w:p w14:paraId="3DBE6039" w14:textId="77777777" w:rsidR="00692DC8" w:rsidRPr="00692DC8" w:rsidRDefault="00692DC8" w:rsidP="0068534F">
      <w:pPr>
        <w:pStyle w:val="Ttulo4"/>
        <w:spacing w:after="240"/>
        <w:rPr>
          <w:rFonts w:eastAsia="Times New Roman"/>
          <w:bCs/>
          <w:color w:val="1F497D"/>
          <w:u w:val="single"/>
        </w:rPr>
      </w:pPr>
      <w:bookmarkStart w:id="1006" w:name="_Toc33601355"/>
      <w:bookmarkStart w:id="1007" w:name="_Toc82769074"/>
      <w:bookmarkStart w:id="1008" w:name="_Toc173245323"/>
      <w:r w:rsidRPr="00692DC8">
        <w:rPr>
          <w:rFonts w:eastAsia="Times New Roman"/>
          <w:lang w:eastAsia="es-CR"/>
        </w:rPr>
        <w:t>FLUJOS DE EFECTIVO DE LAS ACTIVIDADES DE OPERACIÓN</w:t>
      </w:r>
      <w:bookmarkEnd w:id="1006"/>
      <w:bookmarkEnd w:id="1007"/>
      <w:bookmarkEnd w:id="1008"/>
    </w:p>
    <w:p w14:paraId="4B7E4093" w14:textId="77777777" w:rsidR="00692DC8" w:rsidRPr="00692DC8" w:rsidRDefault="00692DC8" w:rsidP="0068534F">
      <w:pPr>
        <w:pStyle w:val="Ttulo4"/>
        <w:spacing w:after="240"/>
        <w:rPr>
          <w:rFonts w:eastAsia="Times New Roman" w:cs="Times New Roman"/>
          <w:bCs/>
        </w:rPr>
      </w:pPr>
      <w:bookmarkStart w:id="1009" w:name="_Toc33601356"/>
      <w:bookmarkStart w:id="1010" w:name="_Toc82769075"/>
      <w:bookmarkStart w:id="1011" w:name="_Toc173245324"/>
      <w:r w:rsidRPr="00692DC8">
        <w:rPr>
          <w:rFonts w:eastAsia="Times New Roman" w:cs="Times New Roman"/>
          <w:bCs/>
        </w:rPr>
        <w:t>NOTA N°7</w:t>
      </w:r>
      <w:bookmarkEnd w:id="1009"/>
      <w:bookmarkEnd w:id="1010"/>
      <w:r w:rsidRPr="00692DC8">
        <w:rPr>
          <w:rFonts w:eastAsia="Times New Roman" w:cs="Times New Roman"/>
          <w:bCs/>
        </w:rPr>
        <w:t>7</w:t>
      </w:r>
      <w:bookmarkEnd w:id="1011"/>
    </w:p>
    <w:p w14:paraId="64FF10E4" w14:textId="77777777" w:rsidR="00A41CB2" w:rsidRDefault="00692DC8" w:rsidP="009C3ADA">
      <w:pPr>
        <w:spacing w:before="120" w:after="0" w:line="240" w:lineRule="auto"/>
        <w:rPr>
          <w:rFonts w:eastAsia="Times New Roman" w:cs="Times New Roman"/>
          <w:bCs/>
        </w:rPr>
      </w:pPr>
      <w:bookmarkStart w:id="1012" w:name="_Toc33601357"/>
      <w:bookmarkStart w:id="1013" w:name="_Toc82769076"/>
      <w:r w:rsidRPr="00692DC8">
        <w:rPr>
          <w:rFonts w:eastAsia="Times New Roman" w:cs="Times New Roman"/>
          <w:bCs/>
        </w:rPr>
        <w:t>Cobros</w:t>
      </w:r>
      <w:bookmarkEnd w:id="1012"/>
      <w:bookmarkEnd w:id="1013"/>
    </w:p>
    <w:p w14:paraId="0A7FDDE3" w14:textId="44146912" w:rsidR="00C572A3" w:rsidRDefault="00A41CB2" w:rsidP="00A41CB2">
      <w:pPr>
        <w:spacing w:line="240" w:lineRule="auto"/>
        <w:rPr>
          <w:rFonts w:asciiTheme="minorHAnsi" w:hAnsiTheme="minorHAnsi"/>
          <w:sz w:val="22"/>
        </w:rPr>
      </w:pPr>
      <w:r>
        <w:rPr>
          <w:lang w:eastAsia="es-CR"/>
        </w:rPr>
        <w:fldChar w:fldCharType="begin"/>
      </w:r>
      <w:r>
        <w:rPr>
          <w:lang w:eastAsia="es-CR"/>
        </w:rPr>
        <w:instrText xml:space="preserve"> LINK </w:instrText>
      </w:r>
      <w:r w:rsidR="0068177A">
        <w:rPr>
          <w:lang w:eastAsia="es-CR"/>
        </w:rPr>
        <w:instrText xml:space="preserve">Excel.SheetMacroEnabled.12 "C:\\Users\\arges\\OneDrive\\Desktop\\Municipalidades\\Buenos Aires\\Cierre Junio 2024\\Notas Contables\\15603_T02_2024_Anexo_Estado_Notas_Contables_Vinculadas.xlsm" NOTAS_POR_CUENTA!R432C2:R434C6 </w:instrText>
      </w:r>
      <w:r>
        <w:rPr>
          <w:lang w:eastAsia="es-CR"/>
        </w:rPr>
        <w:instrText xml:space="preserve">\a \f 4 \h </w:instrText>
      </w:r>
      <w:r>
        <w:rPr>
          <w:lang w:eastAsia="es-CR"/>
        </w:rPr>
        <w:fldChar w:fldCharType="end"/>
      </w:r>
      <w:r w:rsidR="009C3ADA">
        <w:rPr>
          <w:rFonts w:eastAsia="Times New Roman" w:cs="Calibri"/>
          <w:color w:val="000000"/>
          <w:lang w:eastAsia="es-CR"/>
        </w:rPr>
        <w:fldChar w:fldCharType="begin"/>
      </w:r>
      <w:r w:rsidR="009C3ADA">
        <w:rPr>
          <w:rFonts w:eastAsia="Times New Roman" w:cs="Calibri"/>
          <w:color w:val="000000"/>
          <w:lang w:eastAsia="es-CR"/>
        </w:rPr>
        <w:instrText xml:space="preserve"> LINK </w:instrText>
      </w:r>
      <w:r w:rsidR="0068177A">
        <w:rPr>
          <w:rFonts w:eastAsia="Times New Roman" w:cs="Calibri"/>
          <w:color w:val="000000"/>
          <w:lang w:eastAsia="es-CR"/>
        </w:rPr>
        <w:instrText xml:space="preserve">Excel.SheetMacroEnabled.12 "C:\\Users\\arges\\OneDrive\\Desktop\\Municipalidades\\Buenos Aires\\Cierre Junio 2024\\Notas Contables\\15603_T02_2024_Anexo_Estado_Notas_Contables_Vinculadas.xlsm" NOTAS_POR_CUENTA!R432C2:R434C6 </w:instrText>
      </w:r>
      <w:r w:rsidR="009C3ADA">
        <w:rPr>
          <w:rFonts w:eastAsia="Times New Roman" w:cs="Calibri"/>
          <w:color w:val="000000"/>
          <w:lang w:eastAsia="es-CR"/>
        </w:rPr>
        <w:instrText xml:space="preserve">\a \f 4 \h </w:instrText>
      </w:r>
      <w:r>
        <w:rPr>
          <w:rFonts w:eastAsia="Times New Roman" w:cs="Calibri"/>
          <w:color w:val="000000"/>
          <w:lang w:eastAsia="es-CR"/>
        </w:rPr>
        <w:instrText xml:space="preserve"> \* MERGEFORMAT </w:instrText>
      </w:r>
      <w:r w:rsidR="009C3ADA">
        <w:rPr>
          <w:rFonts w:eastAsia="Times New Roman" w:cs="Calibri"/>
          <w:color w:val="000000"/>
          <w:lang w:eastAsia="es-CR"/>
        </w:rPr>
        <w:fldChar w:fldCharType="separate"/>
      </w:r>
    </w:p>
    <w:tbl>
      <w:tblPr>
        <w:tblW w:w="9380" w:type="dxa"/>
        <w:tblLook w:val="04A0" w:firstRow="1" w:lastRow="0" w:firstColumn="1" w:lastColumn="0" w:noHBand="0" w:noVBand="1"/>
      </w:tblPr>
      <w:tblGrid>
        <w:gridCol w:w="3356"/>
        <w:gridCol w:w="544"/>
        <w:gridCol w:w="2200"/>
        <w:gridCol w:w="2200"/>
        <w:gridCol w:w="1080"/>
      </w:tblGrid>
      <w:tr w:rsidR="00C572A3" w:rsidRPr="00C572A3" w14:paraId="35193E30" w14:textId="77777777" w:rsidTr="00C572A3">
        <w:trPr>
          <w:trHeight w:val="320"/>
        </w:trPr>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CEBA09A" w14:textId="010DD3B8" w:rsidR="00C572A3" w:rsidRPr="00C572A3" w:rsidRDefault="00C572A3">
            <w:pP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Descripción </w:t>
            </w:r>
          </w:p>
        </w:tc>
        <w:tc>
          <w:tcPr>
            <w:tcW w:w="5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67D10B6"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Nota</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6F6C4A7"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Actual </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3E2E66D"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Anterior </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72AEC06E"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Diferencia </w:t>
            </w:r>
          </w:p>
        </w:tc>
      </w:tr>
      <w:tr w:rsidR="00C572A3" w:rsidRPr="00C572A3" w14:paraId="10413C39" w14:textId="77777777" w:rsidTr="00C572A3">
        <w:trPr>
          <w:trHeight w:val="320"/>
        </w:trPr>
        <w:tc>
          <w:tcPr>
            <w:tcW w:w="3380" w:type="dxa"/>
            <w:vMerge/>
            <w:tcBorders>
              <w:top w:val="single" w:sz="8" w:space="0" w:color="auto"/>
              <w:left w:val="single" w:sz="8" w:space="0" w:color="auto"/>
              <w:bottom w:val="single" w:sz="8" w:space="0" w:color="000000"/>
              <w:right w:val="single" w:sz="8" w:space="0" w:color="auto"/>
            </w:tcBorders>
            <w:vAlign w:val="center"/>
            <w:hideMark/>
          </w:tcPr>
          <w:p w14:paraId="24738597"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14:paraId="7ED8B6A3"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5AE381AD"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64F2AA6E"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1080" w:type="dxa"/>
            <w:tcBorders>
              <w:top w:val="nil"/>
              <w:left w:val="nil"/>
              <w:bottom w:val="single" w:sz="8" w:space="0" w:color="auto"/>
              <w:right w:val="single" w:sz="8" w:space="0" w:color="auto"/>
            </w:tcBorders>
            <w:shd w:val="clear" w:color="000000" w:fill="366092"/>
            <w:noWrap/>
            <w:vAlign w:val="center"/>
            <w:hideMark/>
          </w:tcPr>
          <w:p w14:paraId="4C811CF8" w14:textId="77777777" w:rsidR="00C572A3" w:rsidRPr="00C572A3" w:rsidRDefault="00C572A3" w:rsidP="00C572A3">
            <w:pPr>
              <w:spacing w:after="0" w:line="240" w:lineRule="auto"/>
              <w:jc w:val="center"/>
              <w:rPr>
                <w:rFonts w:eastAsia="Times New Roman" w:cs="Calibri"/>
                <w:color w:val="FFFFFF"/>
                <w:sz w:val="18"/>
                <w:szCs w:val="18"/>
                <w:lang w:val="en-US"/>
              </w:rPr>
            </w:pPr>
            <w:r w:rsidRPr="00C572A3">
              <w:rPr>
                <w:rFonts w:eastAsia="Times New Roman" w:cs="Calibri"/>
                <w:color w:val="FFFFFF"/>
                <w:sz w:val="18"/>
                <w:szCs w:val="18"/>
                <w:lang w:val="en-US"/>
              </w:rPr>
              <w:t>%</w:t>
            </w:r>
          </w:p>
        </w:tc>
      </w:tr>
      <w:tr w:rsidR="00C572A3" w:rsidRPr="00C572A3" w14:paraId="6D98FFEA" w14:textId="77777777" w:rsidTr="00C572A3">
        <w:trPr>
          <w:trHeight w:val="320"/>
        </w:trPr>
        <w:tc>
          <w:tcPr>
            <w:tcW w:w="3380" w:type="dxa"/>
            <w:tcBorders>
              <w:top w:val="nil"/>
              <w:left w:val="single" w:sz="8" w:space="0" w:color="auto"/>
              <w:bottom w:val="single" w:sz="8" w:space="0" w:color="auto"/>
              <w:right w:val="single" w:sz="8" w:space="0" w:color="auto"/>
            </w:tcBorders>
            <w:shd w:val="clear" w:color="auto" w:fill="auto"/>
            <w:vAlign w:val="center"/>
            <w:hideMark/>
          </w:tcPr>
          <w:p w14:paraId="31B0204A" w14:textId="77777777" w:rsidR="00C572A3" w:rsidRPr="00C572A3" w:rsidRDefault="00C572A3" w:rsidP="00C572A3">
            <w:pPr>
              <w:spacing w:after="0" w:line="240" w:lineRule="auto"/>
              <w:rPr>
                <w:rFonts w:eastAsia="Times New Roman" w:cs="Calibri"/>
                <w:b/>
                <w:bCs/>
                <w:color w:val="000000"/>
                <w:sz w:val="18"/>
                <w:szCs w:val="18"/>
                <w:lang w:val="en-US"/>
              </w:rPr>
            </w:pPr>
            <w:r w:rsidRPr="00C572A3">
              <w:rPr>
                <w:rFonts w:eastAsia="Times New Roman" w:cs="Calibri"/>
                <w:b/>
                <w:bCs/>
                <w:color w:val="000000"/>
                <w:sz w:val="18"/>
                <w:szCs w:val="18"/>
                <w:lang w:val="en-US"/>
              </w:rPr>
              <w:t>Cobros</w:t>
            </w:r>
          </w:p>
        </w:tc>
        <w:tc>
          <w:tcPr>
            <w:tcW w:w="520" w:type="dxa"/>
            <w:tcBorders>
              <w:top w:val="nil"/>
              <w:left w:val="nil"/>
              <w:bottom w:val="single" w:sz="8" w:space="0" w:color="auto"/>
              <w:right w:val="single" w:sz="8" w:space="0" w:color="auto"/>
            </w:tcBorders>
            <w:shd w:val="clear" w:color="auto" w:fill="auto"/>
            <w:noWrap/>
            <w:vAlign w:val="center"/>
            <w:hideMark/>
          </w:tcPr>
          <w:p w14:paraId="4CD37898"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77</w:t>
            </w:r>
          </w:p>
        </w:tc>
        <w:tc>
          <w:tcPr>
            <w:tcW w:w="2200" w:type="dxa"/>
            <w:tcBorders>
              <w:top w:val="nil"/>
              <w:left w:val="nil"/>
              <w:bottom w:val="single" w:sz="8" w:space="0" w:color="auto"/>
              <w:right w:val="single" w:sz="8" w:space="0" w:color="auto"/>
            </w:tcBorders>
            <w:shd w:val="clear" w:color="auto" w:fill="auto"/>
            <w:noWrap/>
            <w:vAlign w:val="center"/>
            <w:hideMark/>
          </w:tcPr>
          <w:p w14:paraId="67C64485" w14:textId="77777777" w:rsidR="00C572A3" w:rsidRPr="00C572A3" w:rsidRDefault="00C572A3" w:rsidP="00C572A3">
            <w:pPr>
              <w:spacing w:after="0" w:line="240" w:lineRule="auto"/>
              <w:jc w:val="left"/>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2 595 053,29 </w:t>
            </w:r>
          </w:p>
        </w:tc>
        <w:tc>
          <w:tcPr>
            <w:tcW w:w="2200" w:type="dxa"/>
            <w:tcBorders>
              <w:top w:val="nil"/>
              <w:left w:val="nil"/>
              <w:bottom w:val="single" w:sz="8" w:space="0" w:color="auto"/>
              <w:right w:val="single" w:sz="8" w:space="0" w:color="auto"/>
            </w:tcBorders>
            <w:shd w:val="clear" w:color="auto" w:fill="auto"/>
            <w:noWrap/>
            <w:vAlign w:val="center"/>
            <w:hideMark/>
          </w:tcPr>
          <w:p w14:paraId="3C3F9256" w14:textId="77777777" w:rsidR="00C572A3" w:rsidRPr="00C572A3" w:rsidRDefault="00C572A3" w:rsidP="00C572A3">
            <w:pPr>
              <w:spacing w:after="0" w:line="240" w:lineRule="auto"/>
              <w:jc w:val="left"/>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2 678 293,92 </w:t>
            </w:r>
          </w:p>
        </w:tc>
        <w:tc>
          <w:tcPr>
            <w:tcW w:w="1080" w:type="dxa"/>
            <w:tcBorders>
              <w:top w:val="nil"/>
              <w:left w:val="nil"/>
              <w:bottom w:val="single" w:sz="8" w:space="0" w:color="auto"/>
              <w:right w:val="single" w:sz="8" w:space="0" w:color="auto"/>
            </w:tcBorders>
            <w:shd w:val="clear" w:color="auto" w:fill="auto"/>
            <w:noWrap/>
            <w:vAlign w:val="center"/>
            <w:hideMark/>
          </w:tcPr>
          <w:p w14:paraId="6DDDB5EC" w14:textId="77777777" w:rsidR="00C572A3" w:rsidRPr="00C572A3" w:rsidRDefault="00C572A3" w:rsidP="00C572A3">
            <w:pPr>
              <w:spacing w:after="0" w:line="240" w:lineRule="auto"/>
              <w:jc w:val="right"/>
              <w:rPr>
                <w:rFonts w:eastAsia="Times New Roman" w:cs="Calibri"/>
                <w:b/>
                <w:bCs/>
                <w:color w:val="000000"/>
                <w:sz w:val="18"/>
                <w:szCs w:val="18"/>
                <w:lang w:val="en-US"/>
              </w:rPr>
            </w:pPr>
            <w:r w:rsidRPr="00C572A3">
              <w:rPr>
                <w:rFonts w:eastAsia="Times New Roman" w:cs="Calibri"/>
                <w:b/>
                <w:bCs/>
                <w:color w:val="000000"/>
                <w:sz w:val="18"/>
                <w:szCs w:val="18"/>
                <w:lang w:val="en-US"/>
              </w:rPr>
              <w:t>-3,11%</w:t>
            </w:r>
          </w:p>
        </w:tc>
      </w:tr>
    </w:tbl>
    <w:p w14:paraId="16E0D299" w14:textId="219EA47A" w:rsidR="00694299" w:rsidRPr="00A41CB2" w:rsidRDefault="009C3ADA" w:rsidP="00A41CB2">
      <w:pPr>
        <w:spacing w:line="240" w:lineRule="auto"/>
        <w:rPr>
          <w:rFonts w:eastAsia="Times New Roman" w:cs="Calibri"/>
          <w:color w:val="000000"/>
          <w:lang w:eastAsia="es-CR"/>
        </w:rPr>
      </w:pPr>
      <w:r>
        <w:rPr>
          <w:rFonts w:eastAsia="Times New Roman" w:cs="Calibri"/>
          <w:color w:val="000000"/>
          <w:lang w:eastAsia="es-CR"/>
        </w:rPr>
        <w:fldChar w:fldCharType="end"/>
      </w:r>
      <w:r w:rsidR="007F611C">
        <w:rPr>
          <w:rFonts w:eastAsia="Times New Roman" w:cs="Calibri"/>
          <w:color w:val="000000"/>
          <w:lang w:eastAsia="es-CR"/>
        </w:rPr>
        <w:fldChar w:fldCharType="begin"/>
      </w:r>
      <w:r w:rsidR="007F611C">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NOTAS_POR_CUENTA!F434C8 </w:instrText>
      </w:r>
      <w:r w:rsidR="007F611C">
        <w:rPr>
          <w:rFonts w:eastAsia="Times New Roman" w:cs="Calibri"/>
          <w:color w:val="000000"/>
          <w:lang w:eastAsia="es-CR"/>
        </w:rPr>
        <w:instrText xml:space="preserve">\a \f 5 \h  \* MERGEFORMAT </w:instrText>
      </w:r>
      <w:r w:rsidR="007F611C">
        <w:rPr>
          <w:rFonts w:eastAsia="Times New Roman" w:cs="Calibri"/>
          <w:color w:val="000000"/>
          <w:lang w:eastAsia="es-CR"/>
        </w:rPr>
        <w:fldChar w:fldCharType="separate"/>
      </w:r>
    </w:p>
    <w:p w14:paraId="04F8DD3F" w14:textId="121F892F" w:rsidR="000F5FB8" w:rsidRPr="00A41CB2" w:rsidRDefault="00694299" w:rsidP="000F5FB8">
      <w:pPr>
        <w:spacing w:line="240" w:lineRule="auto"/>
        <w:rPr>
          <w:rFonts w:eastAsia="Times New Roman" w:cs="Calibri"/>
          <w:color w:val="000000"/>
          <w:lang w:eastAsia="es-CR"/>
        </w:rPr>
      </w:pPr>
      <w:r w:rsidRPr="00694299">
        <w:rPr>
          <w:rFonts w:eastAsia="Times New Roman" w:cs="Calibri"/>
          <w:color w:val="000000"/>
          <w:lang w:eastAsia="es-CR"/>
        </w:rPr>
        <w:t xml:space="preserve">Los Cobros de los Flujos de Efectivo de las Actividades de Operación, comparado al periodo anterior genera una variación absoluta de </w:t>
      </w:r>
      <w:r w:rsidR="00A41CB2" w:rsidRPr="00A41CB2">
        <w:rPr>
          <w:rFonts w:eastAsia="Times New Roman" w:cs="Calibri"/>
          <w:color w:val="000000"/>
          <w:lang w:eastAsia="es-CR"/>
        </w:rPr>
        <w:t xml:space="preserve">-83 240,63 </w:t>
      </w:r>
      <w:r w:rsidRPr="00694299">
        <w:rPr>
          <w:rFonts w:eastAsia="Times New Roman" w:cs="Calibri"/>
          <w:color w:val="000000"/>
          <w:lang w:eastAsia="es-CR"/>
        </w:rPr>
        <w:t>que corresponde a un</w:t>
      </w:r>
      <w:r w:rsidR="00567A65">
        <w:rPr>
          <w:rFonts w:eastAsia="Times New Roman" w:cs="Calibri"/>
          <w:color w:val="000000"/>
          <w:lang w:eastAsia="es-CR"/>
        </w:rPr>
        <w:t>a</w:t>
      </w:r>
      <w:r w:rsidRPr="00694299">
        <w:rPr>
          <w:rFonts w:eastAsia="Times New Roman" w:cs="Calibri"/>
          <w:color w:val="000000"/>
          <w:lang w:eastAsia="es-CR"/>
        </w:rPr>
        <w:t xml:space="preserve"> </w:t>
      </w:r>
      <w:r w:rsidR="00567A65">
        <w:rPr>
          <w:rFonts w:eastAsia="Times New Roman" w:cs="Calibri"/>
          <w:color w:val="000000"/>
          <w:lang w:eastAsia="es-CR"/>
        </w:rPr>
        <w:t>Disminución</w:t>
      </w:r>
      <w:r w:rsidRPr="00694299">
        <w:rPr>
          <w:rFonts w:eastAsia="Times New Roman" w:cs="Calibri"/>
          <w:color w:val="000000"/>
          <w:lang w:eastAsia="es-CR"/>
        </w:rPr>
        <w:t xml:space="preserve"> del </w:t>
      </w:r>
      <w:r w:rsidR="00567A65">
        <w:rPr>
          <w:rFonts w:eastAsia="Times New Roman" w:cs="Calibri"/>
          <w:color w:val="000000"/>
          <w:lang w:eastAsia="es-CR"/>
        </w:rPr>
        <w:t>-</w:t>
      </w:r>
      <w:r w:rsidR="00A41CB2">
        <w:rPr>
          <w:rFonts w:eastAsia="Times New Roman" w:cs="Calibri"/>
          <w:color w:val="000000"/>
          <w:lang w:eastAsia="es-CR"/>
        </w:rPr>
        <w:t>3</w:t>
      </w:r>
      <w:r w:rsidRPr="00694299">
        <w:rPr>
          <w:rFonts w:eastAsia="Times New Roman" w:cs="Calibri"/>
          <w:color w:val="000000"/>
          <w:lang w:eastAsia="es-CR"/>
        </w:rPr>
        <w:t>,</w:t>
      </w:r>
      <w:r w:rsidR="00A41CB2">
        <w:rPr>
          <w:rFonts w:eastAsia="Times New Roman" w:cs="Calibri"/>
          <w:color w:val="000000"/>
          <w:lang w:eastAsia="es-CR"/>
        </w:rPr>
        <w:t>11</w:t>
      </w:r>
      <w:r w:rsidRPr="00694299">
        <w:rPr>
          <w:rFonts w:eastAsia="Times New Roman" w:cs="Calibri"/>
          <w:color w:val="000000"/>
          <w:lang w:eastAsia="es-CR"/>
        </w:rPr>
        <w:t>% de recursos disponibles</w:t>
      </w:r>
      <w:r w:rsidRPr="00A41CB2">
        <w:rPr>
          <w:rFonts w:eastAsia="Times New Roman" w:cs="Calibri"/>
          <w:color w:val="000000"/>
          <w:lang w:eastAsia="es-CR"/>
        </w:rPr>
        <w:t>.</w:t>
      </w:r>
    </w:p>
    <w:p w14:paraId="5D3140BB" w14:textId="59EC7C6C" w:rsidR="00692DC8" w:rsidRPr="00692DC8" w:rsidRDefault="007F611C" w:rsidP="00A41CB2">
      <w:pPr>
        <w:spacing w:line="240" w:lineRule="auto"/>
        <w:rPr>
          <w:rFonts w:eastAsia="Times New Roman"/>
          <w:bCs/>
          <w:szCs w:val="24"/>
          <w:lang w:val="es-ES" w:eastAsia="es-ES"/>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3F67D799" w14:textId="28E5FB81" w:rsidR="00160482" w:rsidRPr="002B5A34" w:rsidRDefault="00160482" w:rsidP="00514516">
      <w:pPr>
        <w:spacing w:before="120" w:after="120" w:line="240" w:lineRule="auto"/>
      </w:pPr>
      <w:r>
        <w:t>La diferencia de -</w:t>
      </w:r>
      <w:r w:rsidRPr="006F5BA2">
        <w:rPr>
          <w:rFonts w:ascii="Arial" w:hAnsi="Arial" w:cs="Arial"/>
        </w:rPr>
        <w:t>₡</w:t>
      </w:r>
      <w:r w:rsidR="00A41CB2" w:rsidRPr="00A41CB2">
        <w:rPr>
          <w:rFonts w:eastAsia="Times New Roman" w:cs="Calibri"/>
          <w:color w:val="000000"/>
          <w:lang w:eastAsia="es-CR"/>
        </w:rPr>
        <w:t>83 240,63</w:t>
      </w:r>
      <w:r w:rsidR="00A41CB2">
        <w:rPr>
          <w:rFonts w:eastAsia="Times New Roman" w:cs="Calibri"/>
          <w:color w:val="000000"/>
          <w:lang w:eastAsia="es-CR"/>
        </w:rPr>
        <w:t xml:space="preserve"> </w:t>
      </w:r>
      <w:r w:rsidRPr="006F5BA2">
        <w:t>miles</w:t>
      </w:r>
      <w:r>
        <w:t xml:space="preserve"> se originan</w:t>
      </w:r>
      <w:r w:rsidR="00514516">
        <w:t xml:space="preserve"> principalmente </w:t>
      </w:r>
      <w:r>
        <w:t>debido a que</w:t>
      </w:r>
      <w:r w:rsidR="00514516">
        <w:t xml:space="preserve"> aumentaron: los </w:t>
      </w:r>
      <w:r w:rsidR="00514516" w:rsidRPr="00514516">
        <w:t>Cobros por multas, sanciones, remates y confiscaciones de origen no tributario</w:t>
      </w:r>
      <w:r w:rsidR="00514516">
        <w:t xml:space="preserve"> en </w:t>
      </w:r>
      <w:r w:rsidR="00514516" w:rsidRPr="00514516">
        <w:rPr>
          <w:rFonts w:ascii="Arial" w:hAnsi="Arial" w:cs="Arial"/>
        </w:rPr>
        <w:t>₡</w:t>
      </w:r>
      <w:r w:rsidR="00514516">
        <w:t>2 5</w:t>
      </w:r>
      <w:r w:rsidR="00514516" w:rsidRPr="00514516">
        <w:t>1</w:t>
      </w:r>
      <w:r w:rsidR="00514516">
        <w:t>8,56</w:t>
      </w:r>
      <w:r w:rsidR="00514516" w:rsidRPr="00514516">
        <w:t xml:space="preserve"> miles</w:t>
      </w:r>
      <w:r w:rsidR="00514516">
        <w:t xml:space="preserve">, los </w:t>
      </w:r>
      <w:r w:rsidR="00514516" w:rsidRPr="002B5A34">
        <w:t xml:space="preserve">Cobros por </w:t>
      </w:r>
      <w:r w:rsidR="00514516">
        <w:t xml:space="preserve">ventas de inventarios, servicios derechos administrativos en </w:t>
      </w:r>
      <w:r w:rsidR="00514516" w:rsidRPr="00514516">
        <w:rPr>
          <w:rFonts w:ascii="Arial" w:hAnsi="Arial" w:cs="Arial"/>
        </w:rPr>
        <w:t>₡</w:t>
      </w:r>
      <w:r w:rsidR="00514516">
        <w:t>6</w:t>
      </w:r>
      <w:r w:rsidR="00514516" w:rsidRPr="006F5BA2">
        <w:t>4 5</w:t>
      </w:r>
      <w:r w:rsidR="00514516">
        <w:t>17</w:t>
      </w:r>
      <w:r w:rsidR="00514516" w:rsidRPr="006F5BA2">
        <w:t>,</w:t>
      </w:r>
      <w:r w:rsidR="00514516">
        <w:t>33</w:t>
      </w:r>
      <w:r w:rsidR="00514516" w:rsidRPr="002B5A34">
        <w:t xml:space="preserve"> </w:t>
      </w:r>
      <w:r w:rsidR="00514516">
        <w:t xml:space="preserve">miles y los </w:t>
      </w:r>
      <w:r w:rsidR="00514516" w:rsidRPr="00514516">
        <w:t>Otros cobros por actividades de operación</w:t>
      </w:r>
      <w:r w:rsidR="00514516">
        <w:t xml:space="preserve"> en </w:t>
      </w:r>
      <w:r w:rsidR="00514516" w:rsidRPr="00514516">
        <w:rPr>
          <w:rFonts w:ascii="Arial" w:hAnsi="Arial" w:cs="Arial"/>
        </w:rPr>
        <w:t>₡</w:t>
      </w:r>
      <w:r w:rsidR="00514516" w:rsidRPr="00514516">
        <w:t>14 130,38 miles</w:t>
      </w:r>
      <w:r w:rsidR="00514516">
        <w:t xml:space="preserve">; y </w:t>
      </w:r>
      <w:r>
        <w:t xml:space="preserve">disminuyeron los flujos de efectivo provenientes de: los Cobros por, por impuestos de </w:t>
      </w:r>
      <w:r w:rsidR="00514516">
        <w:t>-</w:t>
      </w:r>
      <w:r w:rsidRPr="006F5BA2">
        <w:rPr>
          <w:rFonts w:ascii="Arial" w:hAnsi="Arial" w:cs="Arial"/>
        </w:rPr>
        <w:t>₡</w:t>
      </w:r>
      <w:r w:rsidR="00514516">
        <w:t>155</w:t>
      </w:r>
      <w:r>
        <w:t> </w:t>
      </w:r>
      <w:r w:rsidR="00514516">
        <w:t>778</w:t>
      </w:r>
      <w:r>
        <w:t>,</w:t>
      </w:r>
      <w:r w:rsidR="00514516">
        <w:t>5</w:t>
      </w:r>
      <w:r>
        <w:t>3</w:t>
      </w:r>
      <w:r w:rsidRPr="002B5A34">
        <w:t xml:space="preserve"> </w:t>
      </w:r>
      <w:r w:rsidRPr="003409B6">
        <w:t>miles</w:t>
      </w:r>
      <w:r>
        <w:t>, los cobros por Transferencias por la suma de -</w:t>
      </w:r>
      <w:r w:rsidRPr="006F5BA2">
        <w:rPr>
          <w:rFonts w:ascii="Arial" w:hAnsi="Arial" w:cs="Arial"/>
        </w:rPr>
        <w:t>₡</w:t>
      </w:r>
      <w:r>
        <w:t>6 9</w:t>
      </w:r>
      <w:r w:rsidR="00514516">
        <w:t>35</w:t>
      </w:r>
      <w:r>
        <w:t>,3</w:t>
      </w:r>
      <w:r w:rsidR="00514516">
        <w:t>6</w:t>
      </w:r>
      <w:r>
        <w:t xml:space="preserve"> miles, en el año 2024 con respecto al año 2023.</w:t>
      </w:r>
    </w:p>
    <w:p w14:paraId="16D4F319" w14:textId="77777777" w:rsidR="00692DC8" w:rsidRPr="00692DC8" w:rsidRDefault="00692DC8" w:rsidP="0068534F">
      <w:pPr>
        <w:rPr>
          <w:i/>
        </w:rPr>
      </w:pPr>
    </w:p>
    <w:p w14:paraId="027EBB23" w14:textId="77777777" w:rsidR="00692DC8" w:rsidRPr="00692DC8" w:rsidRDefault="00692DC8" w:rsidP="0068534F">
      <w:pPr>
        <w:pStyle w:val="Ttulo4"/>
        <w:spacing w:after="240"/>
        <w:rPr>
          <w:rFonts w:eastAsia="Times New Roman"/>
        </w:rPr>
      </w:pPr>
      <w:bookmarkStart w:id="1014" w:name="_Toc33601358"/>
      <w:bookmarkStart w:id="1015" w:name="_Toc82769077"/>
      <w:bookmarkStart w:id="1016" w:name="_Toc173245325"/>
      <w:r w:rsidRPr="00692DC8">
        <w:rPr>
          <w:rFonts w:eastAsia="Times New Roman"/>
        </w:rPr>
        <w:t>NOTA N°7</w:t>
      </w:r>
      <w:bookmarkEnd w:id="1014"/>
      <w:bookmarkEnd w:id="1015"/>
      <w:r w:rsidRPr="00692DC8">
        <w:rPr>
          <w:rFonts w:eastAsia="Times New Roman"/>
        </w:rPr>
        <w:t>8</w:t>
      </w:r>
      <w:bookmarkEnd w:id="1016"/>
    </w:p>
    <w:p w14:paraId="484F1665" w14:textId="77777777" w:rsidR="00A41CB2" w:rsidRDefault="00692DC8" w:rsidP="009C3ADA">
      <w:pPr>
        <w:spacing w:after="0" w:line="240" w:lineRule="auto"/>
        <w:rPr>
          <w:rFonts w:eastAsia="Times New Roman"/>
        </w:rPr>
      </w:pPr>
      <w:bookmarkStart w:id="1017" w:name="_Toc33601359"/>
      <w:bookmarkStart w:id="1018" w:name="_Toc82769078"/>
      <w:r w:rsidRPr="00692DC8">
        <w:rPr>
          <w:rFonts w:eastAsia="Times New Roman"/>
        </w:rPr>
        <w:t>Pagos</w:t>
      </w:r>
      <w:bookmarkEnd w:id="1017"/>
      <w:bookmarkEnd w:id="1018"/>
    </w:p>
    <w:p w14:paraId="0A92CA8F" w14:textId="77777777" w:rsidR="00A41CB2" w:rsidRDefault="00A41CB2" w:rsidP="009C3ADA">
      <w:pPr>
        <w:spacing w:after="0" w:line="240" w:lineRule="auto"/>
        <w:rPr>
          <w:rFonts w:eastAsia="Times New Roman"/>
        </w:rPr>
      </w:pPr>
    </w:p>
    <w:tbl>
      <w:tblPr>
        <w:tblW w:w="9380" w:type="dxa"/>
        <w:tblLook w:val="04A0" w:firstRow="1" w:lastRow="0" w:firstColumn="1" w:lastColumn="0" w:noHBand="0" w:noVBand="1"/>
      </w:tblPr>
      <w:tblGrid>
        <w:gridCol w:w="3380"/>
        <w:gridCol w:w="544"/>
        <w:gridCol w:w="2200"/>
        <w:gridCol w:w="2200"/>
        <w:gridCol w:w="1080"/>
      </w:tblGrid>
      <w:tr w:rsidR="00A41CB2" w:rsidRPr="00A41CB2" w14:paraId="6A1A27B7" w14:textId="77777777" w:rsidTr="00A41CB2">
        <w:trPr>
          <w:trHeight w:val="320"/>
        </w:trPr>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1ABF5E3" w14:textId="77777777" w:rsidR="00A41CB2" w:rsidRPr="00A41CB2" w:rsidRDefault="00A41CB2" w:rsidP="00A41CB2">
            <w:pPr>
              <w:spacing w:after="0" w:line="240" w:lineRule="auto"/>
              <w:rPr>
                <w:rFonts w:eastAsia="Times New Roman" w:cs="Calibri"/>
                <w:b/>
                <w:bCs/>
                <w:color w:val="FFFFFF"/>
                <w:sz w:val="18"/>
                <w:szCs w:val="18"/>
                <w:lang w:val="en-US"/>
              </w:rPr>
            </w:pPr>
            <w:r w:rsidRPr="00A41CB2">
              <w:rPr>
                <w:rFonts w:eastAsia="Times New Roman" w:cs="Calibri"/>
                <w:b/>
                <w:bCs/>
                <w:color w:val="FFFFFF"/>
                <w:sz w:val="18"/>
                <w:szCs w:val="18"/>
                <w:lang w:val="en-US"/>
              </w:rPr>
              <w:t xml:space="preserve">Descripción </w:t>
            </w:r>
          </w:p>
        </w:tc>
        <w:tc>
          <w:tcPr>
            <w:tcW w:w="5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D04D509" w14:textId="77777777" w:rsidR="00A41CB2" w:rsidRPr="00A41CB2" w:rsidRDefault="00A41CB2" w:rsidP="00A41CB2">
            <w:pPr>
              <w:spacing w:after="0" w:line="240" w:lineRule="auto"/>
              <w:jc w:val="center"/>
              <w:rPr>
                <w:rFonts w:eastAsia="Times New Roman" w:cs="Calibri"/>
                <w:b/>
                <w:bCs/>
                <w:color w:val="FFFFFF"/>
                <w:sz w:val="18"/>
                <w:szCs w:val="18"/>
                <w:lang w:val="en-US"/>
              </w:rPr>
            </w:pPr>
            <w:r w:rsidRPr="00A41CB2">
              <w:rPr>
                <w:rFonts w:eastAsia="Times New Roman" w:cs="Calibri"/>
                <w:b/>
                <w:bCs/>
                <w:color w:val="FFFFFF"/>
                <w:sz w:val="18"/>
                <w:szCs w:val="18"/>
                <w:lang w:val="en-US"/>
              </w:rPr>
              <w:t>Nota</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D6DB6BA" w14:textId="77777777" w:rsidR="00A41CB2" w:rsidRPr="00A41CB2" w:rsidRDefault="00A41CB2" w:rsidP="00A41CB2">
            <w:pPr>
              <w:spacing w:after="0" w:line="240" w:lineRule="auto"/>
              <w:jc w:val="center"/>
              <w:rPr>
                <w:rFonts w:eastAsia="Times New Roman" w:cs="Calibri"/>
                <w:b/>
                <w:bCs/>
                <w:color w:val="FFFFFF"/>
                <w:sz w:val="18"/>
                <w:szCs w:val="18"/>
                <w:lang w:val="en-US"/>
              </w:rPr>
            </w:pPr>
            <w:r w:rsidRPr="00A41CB2">
              <w:rPr>
                <w:rFonts w:eastAsia="Times New Roman" w:cs="Calibri"/>
                <w:b/>
                <w:bCs/>
                <w:color w:val="FFFFFF"/>
                <w:sz w:val="18"/>
                <w:szCs w:val="18"/>
                <w:lang w:val="en-US"/>
              </w:rPr>
              <w:t xml:space="preserve"> Periodo Actual </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507CC2C" w14:textId="77777777" w:rsidR="00A41CB2" w:rsidRPr="00A41CB2" w:rsidRDefault="00A41CB2" w:rsidP="00A41CB2">
            <w:pPr>
              <w:spacing w:after="0" w:line="240" w:lineRule="auto"/>
              <w:jc w:val="center"/>
              <w:rPr>
                <w:rFonts w:eastAsia="Times New Roman" w:cs="Calibri"/>
                <w:b/>
                <w:bCs/>
                <w:color w:val="FFFFFF"/>
                <w:sz w:val="18"/>
                <w:szCs w:val="18"/>
                <w:lang w:val="en-US"/>
              </w:rPr>
            </w:pPr>
            <w:r w:rsidRPr="00A41CB2">
              <w:rPr>
                <w:rFonts w:eastAsia="Times New Roman" w:cs="Calibri"/>
                <w:b/>
                <w:bCs/>
                <w:color w:val="FFFFFF"/>
                <w:sz w:val="18"/>
                <w:szCs w:val="18"/>
                <w:lang w:val="en-US"/>
              </w:rPr>
              <w:t xml:space="preserve"> Periodo Anterior </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07307C38" w14:textId="77777777" w:rsidR="00A41CB2" w:rsidRPr="00A41CB2" w:rsidRDefault="00A41CB2" w:rsidP="00A41CB2">
            <w:pPr>
              <w:spacing w:after="0" w:line="240" w:lineRule="auto"/>
              <w:jc w:val="center"/>
              <w:rPr>
                <w:rFonts w:eastAsia="Times New Roman" w:cs="Calibri"/>
                <w:b/>
                <w:bCs/>
                <w:color w:val="FFFFFF"/>
                <w:sz w:val="18"/>
                <w:szCs w:val="18"/>
                <w:lang w:val="en-US"/>
              </w:rPr>
            </w:pPr>
            <w:r w:rsidRPr="00A41CB2">
              <w:rPr>
                <w:rFonts w:eastAsia="Times New Roman" w:cs="Calibri"/>
                <w:b/>
                <w:bCs/>
                <w:color w:val="FFFFFF"/>
                <w:sz w:val="18"/>
                <w:szCs w:val="18"/>
                <w:lang w:val="en-US"/>
              </w:rPr>
              <w:t xml:space="preserve">Diferencia </w:t>
            </w:r>
          </w:p>
        </w:tc>
      </w:tr>
      <w:tr w:rsidR="00A41CB2" w:rsidRPr="00A41CB2" w14:paraId="39CC2FC9" w14:textId="77777777" w:rsidTr="00A41CB2">
        <w:trPr>
          <w:trHeight w:val="320"/>
        </w:trPr>
        <w:tc>
          <w:tcPr>
            <w:tcW w:w="3380" w:type="dxa"/>
            <w:vMerge/>
            <w:tcBorders>
              <w:top w:val="single" w:sz="8" w:space="0" w:color="auto"/>
              <w:left w:val="single" w:sz="8" w:space="0" w:color="auto"/>
              <w:bottom w:val="single" w:sz="8" w:space="0" w:color="000000"/>
              <w:right w:val="single" w:sz="8" w:space="0" w:color="auto"/>
            </w:tcBorders>
            <w:vAlign w:val="center"/>
            <w:hideMark/>
          </w:tcPr>
          <w:p w14:paraId="08727A3D" w14:textId="77777777" w:rsidR="00A41CB2" w:rsidRPr="00A41CB2" w:rsidRDefault="00A41CB2" w:rsidP="00A41CB2">
            <w:pPr>
              <w:spacing w:after="0" w:line="240" w:lineRule="auto"/>
              <w:jc w:val="left"/>
              <w:rPr>
                <w:rFonts w:eastAsia="Times New Roman" w:cs="Calibri"/>
                <w:b/>
                <w:bCs/>
                <w:color w:val="FFFFFF"/>
                <w:sz w:val="18"/>
                <w:szCs w:val="18"/>
                <w:lang w:val="en-US"/>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14:paraId="2AC83913" w14:textId="77777777" w:rsidR="00A41CB2" w:rsidRPr="00A41CB2" w:rsidRDefault="00A41CB2" w:rsidP="00A41CB2">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5E42493E" w14:textId="77777777" w:rsidR="00A41CB2" w:rsidRPr="00A41CB2" w:rsidRDefault="00A41CB2" w:rsidP="00A41CB2">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3000CA55" w14:textId="77777777" w:rsidR="00A41CB2" w:rsidRPr="00A41CB2" w:rsidRDefault="00A41CB2" w:rsidP="00A41CB2">
            <w:pPr>
              <w:spacing w:after="0" w:line="240" w:lineRule="auto"/>
              <w:jc w:val="left"/>
              <w:rPr>
                <w:rFonts w:eastAsia="Times New Roman" w:cs="Calibri"/>
                <w:b/>
                <w:bCs/>
                <w:color w:val="FFFFFF"/>
                <w:sz w:val="18"/>
                <w:szCs w:val="18"/>
                <w:lang w:val="en-US"/>
              </w:rPr>
            </w:pPr>
          </w:p>
        </w:tc>
        <w:tc>
          <w:tcPr>
            <w:tcW w:w="1080" w:type="dxa"/>
            <w:tcBorders>
              <w:top w:val="nil"/>
              <w:left w:val="nil"/>
              <w:bottom w:val="single" w:sz="8" w:space="0" w:color="auto"/>
              <w:right w:val="single" w:sz="8" w:space="0" w:color="auto"/>
            </w:tcBorders>
            <w:shd w:val="clear" w:color="000000" w:fill="366092"/>
            <w:noWrap/>
            <w:vAlign w:val="center"/>
            <w:hideMark/>
          </w:tcPr>
          <w:p w14:paraId="295EED8E" w14:textId="77777777" w:rsidR="00A41CB2" w:rsidRPr="00A41CB2" w:rsidRDefault="00A41CB2" w:rsidP="00A41CB2">
            <w:pPr>
              <w:spacing w:after="0" w:line="240" w:lineRule="auto"/>
              <w:jc w:val="center"/>
              <w:rPr>
                <w:rFonts w:eastAsia="Times New Roman" w:cs="Calibri"/>
                <w:color w:val="FFFFFF"/>
                <w:sz w:val="18"/>
                <w:szCs w:val="18"/>
                <w:lang w:val="en-US"/>
              </w:rPr>
            </w:pPr>
            <w:r w:rsidRPr="00A41CB2">
              <w:rPr>
                <w:rFonts w:eastAsia="Times New Roman" w:cs="Calibri"/>
                <w:color w:val="FFFFFF"/>
                <w:sz w:val="18"/>
                <w:szCs w:val="18"/>
                <w:lang w:val="en-US"/>
              </w:rPr>
              <w:t>%</w:t>
            </w:r>
          </w:p>
        </w:tc>
      </w:tr>
      <w:tr w:rsidR="00A41CB2" w:rsidRPr="00A41CB2" w14:paraId="315E96D4" w14:textId="77777777" w:rsidTr="00A41CB2">
        <w:trPr>
          <w:trHeight w:val="320"/>
        </w:trPr>
        <w:tc>
          <w:tcPr>
            <w:tcW w:w="3380" w:type="dxa"/>
            <w:tcBorders>
              <w:top w:val="nil"/>
              <w:left w:val="single" w:sz="8" w:space="0" w:color="auto"/>
              <w:bottom w:val="single" w:sz="8" w:space="0" w:color="auto"/>
              <w:right w:val="single" w:sz="8" w:space="0" w:color="auto"/>
            </w:tcBorders>
            <w:shd w:val="clear" w:color="auto" w:fill="auto"/>
            <w:noWrap/>
            <w:vAlign w:val="center"/>
            <w:hideMark/>
          </w:tcPr>
          <w:p w14:paraId="69520BA2" w14:textId="77777777" w:rsidR="00A41CB2" w:rsidRPr="00A41CB2" w:rsidRDefault="00A41CB2" w:rsidP="00A41CB2">
            <w:pPr>
              <w:spacing w:after="0" w:line="240" w:lineRule="auto"/>
              <w:jc w:val="left"/>
              <w:rPr>
                <w:rFonts w:eastAsia="Times New Roman" w:cs="Calibri"/>
                <w:b/>
                <w:bCs/>
                <w:color w:val="000000"/>
                <w:sz w:val="18"/>
                <w:szCs w:val="18"/>
                <w:lang w:val="en-US"/>
              </w:rPr>
            </w:pPr>
            <w:r w:rsidRPr="00A41CB2">
              <w:rPr>
                <w:rFonts w:eastAsia="Times New Roman" w:cs="Calibri"/>
                <w:b/>
                <w:bCs/>
                <w:color w:val="000000"/>
                <w:sz w:val="18"/>
                <w:szCs w:val="18"/>
                <w:lang w:val="en-US"/>
              </w:rPr>
              <w:t>Pagos</w:t>
            </w:r>
          </w:p>
        </w:tc>
        <w:tc>
          <w:tcPr>
            <w:tcW w:w="520" w:type="dxa"/>
            <w:tcBorders>
              <w:top w:val="nil"/>
              <w:left w:val="nil"/>
              <w:bottom w:val="single" w:sz="8" w:space="0" w:color="auto"/>
              <w:right w:val="single" w:sz="8" w:space="0" w:color="auto"/>
            </w:tcBorders>
            <w:shd w:val="clear" w:color="auto" w:fill="auto"/>
            <w:noWrap/>
            <w:vAlign w:val="center"/>
            <w:hideMark/>
          </w:tcPr>
          <w:p w14:paraId="0B9528FC" w14:textId="77777777" w:rsidR="00A41CB2" w:rsidRPr="00A41CB2" w:rsidRDefault="00A41CB2" w:rsidP="00A41CB2">
            <w:pPr>
              <w:spacing w:after="0" w:line="240" w:lineRule="auto"/>
              <w:jc w:val="center"/>
              <w:rPr>
                <w:rFonts w:eastAsia="Times New Roman" w:cs="Calibri"/>
                <w:b/>
                <w:bCs/>
                <w:color w:val="000000"/>
                <w:sz w:val="18"/>
                <w:szCs w:val="18"/>
                <w:lang w:val="en-US"/>
              </w:rPr>
            </w:pPr>
            <w:r w:rsidRPr="00A41CB2">
              <w:rPr>
                <w:rFonts w:eastAsia="Times New Roman" w:cs="Calibri"/>
                <w:b/>
                <w:bCs/>
                <w:color w:val="000000"/>
                <w:sz w:val="18"/>
                <w:szCs w:val="18"/>
                <w:lang w:val="en-US"/>
              </w:rPr>
              <w:t>78</w:t>
            </w:r>
          </w:p>
        </w:tc>
        <w:tc>
          <w:tcPr>
            <w:tcW w:w="2200" w:type="dxa"/>
            <w:tcBorders>
              <w:top w:val="nil"/>
              <w:left w:val="nil"/>
              <w:bottom w:val="single" w:sz="8" w:space="0" w:color="auto"/>
              <w:right w:val="single" w:sz="8" w:space="0" w:color="auto"/>
            </w:tcBorders>
            <w:shd w:val="clear" w:color="auto" w:fill="auto"/>
            <w:noWrap/>
            <w:vAlign w:val="center"/>
            <w:hideMark/>
          </w:tcPr>
          <w:p w14:paraId="74520AEF" w14:textId="77777777" w:rsidR="00A41CB2" w:rsidRPr="00A41CB2" w:rsidRDefault="00A41CB2" w:rsidP="00A41CB2">
            <w:pPr>
              <w:spacing w:after="0" w:line="240" w:lineRule="auto"/>
              <w:jc w:val="center"/>
              <w:rPr>
                <w:rFonts w:eastAsia="Times New Roman" w:cs="Calibri"/>
                <w:b/>
                <w:bCs/>
                <w:color w:val="000000"/>
                <w:sz w:val="16"/>
                <w:szCs w:val="16"/>
                <w:lang w:val="en-US"/>
              </w:rPr>
            </w:pPr>
            <w:r w:rsidRPr="00A41CB2">
              <w:rPr>
                <w:rFonts w:eastAsia="Times New Roman" w:cs="Calibri"/>
                <w:b/>
                <w:bCs/>
                <w:color w:val="000000"/>
                <w:sz w:val="16"/>
                <w:szCs w:val="16"/>
                <w:lang w:val="en-US"/>
              </w:rPr>
              <w:t xml:space="preserve"> 2 425 420,34 </w:t>
            </w:r>
          </w:p>
        </w:tc>
        <w:tc>
          <w:tcPr>
            <w:tcW w:w="2200" w:type="dxa"/>
            <w:tcBorders>
              <w:top w:val="nil"/>
              <w:left w:val="nil"/>
              <w:bottom w:val="single" w:sz="8" w:space="0" w:color="auto"/>
              <w:right w:val="single" w:sz="8" w:space="0" w:color="auto"/>
            </w:tcBorders>
            <w:shd w:val="clear" w:color="auto" w:fill="auto"/>
            <w:noWrap/>
            <w:vAlign w:val="center"/>
            <w:hideMark/>
          </w:tcPr>
          <w:p w14:paraId="0A7A664B" w14:textId="77777777" w:rsidR="00A41CB2" w:rsidRPr="00A41CB2" w:rsidRDefault="00A41CB2" w:rsidP="00A41CB2">
            <w:pPr>
              <w:spacing w:after="0" w:line="240" w:lineRule="auto"/>
              <w:jc w:val="center"/>
              <w:rPr>
                <w:rFonts w:eastAsia="Times New Roman" w:cs="Calibri"/>
                <w:b/>
                <w:bCs/>
                <w:color w:val="000000"/>
                <w:sz w:val="16"/>
                <w:szCs w:val="16"/>
                <w:lang w:val="en-US"/>
              </w:rPr>
            </w:pPr>
            <w:r w:rsidRPr="00A41CB2">
              <w:rPr>
                <w:rFonts w:eastAsia="Times New Roman" w:cs="Calibri"/>
                <w:b/>
                <w:bCs/>
                <w:color w:val="000000"/>
                <w:sz w:val="16"/>
                <w:szCs w:val="16"/>
                <w:lang w:val="en-US"/>
              </w:rPr>
              <w:t xml:space="preserve"> 2 844 721,45 </w:t>
            </w:r>
          </w:p>
        </w:tc>
        <w:tc>
          <w:tcPr>
            <w:tcW w:w="1080" w:type="dxa"/>
            <w:tcBorders>
              <w:top w:val="nil"/>
              <w:left w:val="nil"/>
              <w:bottom w:val="single" w:sz="8" w:space="0" w:color="auto"/>
              <w:right w:val="single" w:sz="8" w:space="0" w:color="auto"/>
            </w:tcBorders>
            <w:shd w:val="clear" w:color="auto" w:fill="auto"/>
            <w:noWrap/>
            <w:vAlign w:val="center"/>
            <w:hideMark/>
          </w:tcPr>
          <w:p w14:paraId="14B2FB47" w14:textId="77777777" w:rsidR="00A41CB2" w:rsidRPr="00A41CB2" w:rsidRDefault="00A41CB2" w:rsidP="00A41CB2">
            <w:pPr>
              <w:spacing w:after="0" w:line="240" w:lineRule="auto"/>
              <w:jc w:val="center"/>
              <w:rPr>
                <w:rFonts w:eastAsia="Times New Roman" w:cs="Calibri"/>
                <w:b/>
                <w:bCs/>
                <w:color w:val="000000"/>
                <w:sz w:val="18"/>
                <w:szCs w:val="18"/>
                <w:lang w:val="en-US"/>
              </w:rPr>
            </w:pPr>
            <w:r w:rsidRPr="00A41CB2">
              <w:rPr>
                <w:rFonts w:eastAsia="Times New Roman" w:cs="Calibri"/>
                <w:b/>
                <w:bCs/>
                <w:color w:val="000000"/>
                <w:sz w:val="18"/>
                <w:szCs w:val="18"/>
                <w:lang w:val="en-US"/>
              </w:rPr>
              <w:t>-14,74%</w:t>
            </w:r>
          </w:p>
        </w:tc>
      </w:tr>
    </w:tbl>
    <w:p w14:paraId="11A121D4" w14:textId="6959E578" w:rsidR="00694299" w:rsidRPr="00694299" w:rsidRDefault="007F611C" w:rsidP="009C3ADA">
      <w:pPr>
        <w:spacing w:after="0" w:line="240" w:lineRule="auto"/>
        <w:rPr>
          <w:rFonts w:eastAsia="Times New Roman" w:cs="Calibri"/>
          <w:color w:val="000000"/>
          <w:lang w:eastAsia="es-CR"/>
        </w:rPr>
      </w:pP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NOTAS_POR_CUENTA!F438C8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6C52239A" w14:textId="7E9B9EB1" w:rsidR="0015220F" w:rsidRPr="0015220F" w:rsidRDefault="00694299" w:rsidP="0015220F">
      <w:pPr>
        <w:spacing w:line="240" w:lineRule="auto"/>
        <w:rPr>
          <w:rFonts w:eastAsia="Times New Roman" w:cs="Calibri"/>
          <w:b/>
          <w:bCs/>
          <w:color w:val="FFFFFF"/>
          <w:sz w:val="20"/>
          <w:szCs w:val="20"/>
        </w:rPr>
      </w:pPr>
      <w:r w:rsidRPr="00694299">
        <w:rPr>
          <w:rFonts w:eastAsia="Times New Roman" w:cs="Calibri"/>
          <w:color w:val="000000"/>
          <w:lang w:eastAsia="es-CR"/>
        </w:rPr>
        <w:t xml:space="preserve">Los Pagos de los Flujos de Efectivo de las Actividades de Operación, comparado al periodo anterior genera una variación absoluta de </w:t>
      </w:r>
      <w:r w:rsidR="00A41CB2" w:rsidRPr="00A41CB2">
        <w:rPr>
          <w:rFonts w:eastAsia="Times New Roman" w:cs="Calibri"/>
          <w:color w:val="000000"/>
          <w:lang w:eastAsia="es-CR"/>
        </w:rPr>
        <w:t xml:space="preserve">-419 301,11 </w:t>
      </w:r>
      <w:r w:rsidRPr="00694299">
        <w:rPr>
          <w:rFonts w:eastAsia="Times New Roman" w:cs="Calibri"/>
          <w:color w:val="000000"/>
          <w:lang w:eastAsia="es-CR"/>
        </w:rPr>
        <w:t>que corresponde a un</w:t>
      </w:r>
      <w:r w:rsidR="00567A65">
        <w:rPr>
          <w:rFonts w:eastAsia="Times New Roman" w:cs="Calibri"/>
          <w:color w:val="000000"/>
          <w:lang w:eastAsia="es-CR"/>
        </w:rPr>
        <w:t>a</w:t>
      </w:r>
      <w:r w:rsidRPr="00694299">
        <w:rPr>
          <w:rFonts w:eastAsia="Times New Roman" w:cs="Calibri"/>
          <w:color w:val="000000"/>
          <w:lang w:eastAsia="es-CR"/>
        </w:rPr>
        <w:t xml:space="preserve"> </w:t>
      </w:r>
      <w:r w:rsidR="00567A65">
        <w:rPr>
          <w:rFonts w:eastAsia="Times New Roman" w:cs="Calibri"/>
          <w:color w:val="000000"/>
          <w:lang w:eastAsia="es-CR"/>
        </w:rPr>
        <w:t>Disminución</w:t>
      </w:r>
      <w:r w:rsidRPr="00694299">
        <w:rPr>
          <w:rFonts w:eastAsia="Times New Roman" w:cs="Calibri"/>
          <w:color w:val="000000"/>
          <w:lang w:eastAsia="es-CR"/>
        </w:rPr>
        <w:t xml:space="preserve"> del </w:t>
      </w:r>
      <w:r w:rsidR="00567A65">
        <w:rPr>
          <w:rFonts w:eastAsia="Times New Roman" w:cs="Calibri"/>
          <w:color w:val="000000"/>
          <w:lang w:eastAsia="es-CR"/>
        </w:rPr>
        <w:t>-</w:t>
      </w:r>
      <w:r w:rsidR="00A41CB2">
        <w:rPr>
          <w:rFonts w:eastAsia="Times New Roman" w:cs="Calibri"/>
          <w:color w:val="000000"/>
          <w:lang w:eastAsia="es-CR"/>
        </w:rPr>
        <w:t>14</w:t>
      </w:r>
      <w:r w:rsidRPr="00694299">
        <w:rPr>
          <w:rFonts w:eastAsia="Times New Roman" w:cs="Calibri"/>
          <w:color w:val="000000"/>
          <w:lang w:eastAsia="es-CR"/>
        </w:rPr>
        <w:t>,</w:t>
      </w:r>
      <w:r w:rsidR="00A41CB2">
        <w:rPr>
          <w:rFonts w:eastAsia="Times New Roman" w:cs="Calibri"/>
          <w:color w:val="000000"/>
          <w:lang w:eastAsia="es-CR"/>
        </w:rPr>
        <w:t>74</w:t>
      </w:r>
      <w:r w:rsidRPr="00694299">
        <w:rPr>
          <w:rFonts w:eastAsia="Times New Roman" w:cs="Calibri"/>
          <w:color w:val="000000"/>
          <w:lang w:eastAsia="es-CR"/>
        </w:rPr>
        <w:t>% de recursos disponibles</w:t>
      </w:r>
      <w:r w:rsidRPr="00694299">
        <w:rPr>
          <w:rFonts w:asciiTheme="minorHAnsi" w:hAnsiTheme="minorHAnsi"/>
          <w:sz w:val="22"/>
        </w:rPr>
        <w:t>.</w:t>
      </w:r>
      <w:r w:rsidR="0015220F" w:rsidRPr="0015220F">
        <w:rPr>
          <w:rFonts w:eastAsia="Times New Roman" w:cs="Calibri"/>
          <w:b/>
          <w:bCs/>
          <w:color w:val="FFFFFF"/>
          <w:sz w:val="20"/>
          <w:szCs w:val="20"/>
        </w:rPr>
        <w:t xml:space="preserve"> </w:t>
      </w:r>
    </w:p>
    <w:p w14:paraId="1B128BE7" w14:textId="2C353FE9" w:rsidR="00692DC8" w:rsidRPr="00692DC8" w:rsidRDefault="007F611C" w:rsidP="00A41CB2">
      <w:pPr>
        <w:spacing w:before="240" w:line="240" w:lineRule="auto"/>
        <w:rPr>
          <w:rFonts w:eastAsia="Times New Roman"/>
          <w:bCs/>
          <w:szCs w:val="24"/>
          <w:lang w:val="es-ES" w:eastAsia="es-ES"/>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65E89E8" w14:textId="6FAE1351" w:rsidR="006F5BA2" w:rsidRPr="002B5A34" w:rsidRDefault="006F5BA2" w:rsidP="006F5BA2">
      <w:pPr>
        <w:spacing w:line="240" w:lineRule="auto"/>
      </w:pPr>
      <w:bookmarkStart w:id="1019" w:name="_Toc33601360"/>
      <w:bookmarkStart w:id="1020" w:name="_Toc82769079"/>
      <w:r>
        <w:t>La variación de -</w:t>
      </w:r>
      <w:r w:rsidRPr="006F5BA2">
        <w:rPr>
          <w:rFonts w:ascii="Arial" w:hAnsi="Arial" w:cs="Arial"/>
        </w:rPr>
        <w:t>₡</w:t>
      </w:r>
      <w:r w:rsidR="00A41CB2" w:rsidRPr="00A41CB2">
        <w:rPr>
          <w:rFonts w:eastAsia="Times New Roman" w:cs="Calibri"/>
          <w:color w:val="000000"/>
          <w:lang w:eastAsia="es-CR"/>
        </w:rPr>
        <w:t>419 301,11</w:t>
      </w:r>
      <w:r w:rsidR="00A41CB2">
        <w:rPr>
          <w:rFonts w:eastAsia="Times New Roman" w:cs="Calibri"/>
          <w:color w:val="000000"/>
          <w:lang w:eastAsia="es-CR"/>
        </w:rPr>
        <w:t xml:space="preserve"> </w:t>
      </w:r>
      <w:r w:rsidRPr="004B57B8">
        <w:t>miles se originan</w:t>
      </w:r>
      <w:r>
        <w:t xml:space="preserve"> como producto de un efecto neto, ya que por un lado</w:t>
      </w:r>
      <w:r w:rsidR="00514516">
        <w:t xml:space="preserve"> se presentaron incrementos en: </w:t>
      </w:r>
      <w:r w:rsidR="00514516" w:rsidRPr="00514516">
        <w:t>Pagos por beneficios al personal</w:t>
      </w:r>
      <w:r w:rsidR="009D702A">
        <w:t xml:space="preserve">, en Pagos por </w:t>
      </w:r>
      <w:r w:rsidR="00514516" w:rsidRPr="008E0729">
        <w:t>prestaciones de la seguridad social</w:t>
      </w:r>
      <w:r w:rsidR="00514516">
        <w:t xml:space="preserve"> </w:t>
      </w:r>
      <w:r w:rsidR="00514516" w:rsidRPr="008E0729">
        <w:t xml:space="preserve">y </w:t>
      </w:r>
      <w:r w:rsidR="009D702A">
        <w:t xml:space="preserve">en </w:t>
      </w:r>
      <w:r w:rsidR="00514516" w:rsidRPr="008E0729">
        <w:t>Pagos por otras transferencias</w:t>
      </w:r>
      <w:r w:rsidR="00514516">
        <w:t xml:space="preserve"> </w:t>
      </w:r>
      <w:r w:rsidR="009D702A">
        <w:t>por</w:t>
      </w:r>
      <w:r w:rsidR="00514516">
        <w:t xml:space="preserve"> </w:t>
      </w:r>
      <w:r w:rsidR="00514516" w:rsidRPr="00CF38FE">
        <w:rPr>
          <w:rFonts w:ascii="Arial" w:hAnsi="Arial" w:cs="Arial"/>
        </w:rPr>
        <w:t>₡</w:t>
      </w:r>
      <w:r w:rsidR="009D702A">
        <w:rPr>
          <w:rFonts w:ascii="Arial" w:hAnsi="Arial" w:cs="Arial"/>
        </w:rPr>
        <w:t xml:space="preserve">26 711,58 miles, </w:t>
      </w:r>
      <w:r w:rsidR="009D702A" w:rsidRPr="00CF38FE">
        <w:rPr>
          <w:rFonts w:ascii="Arial" w:hAnsi="Arial" w:cs="Arial"/>
        </w:rPr>
        <w:t>₡</w:t>
      </w:r>
      <w:r w:rsidR="009D702A">
        <w:t>27 945,09</w:t>
      </w:r>
      <w:r w:rsidR="009D702A" w:rsidRPr="002B5A34">
        <w:t xml:space="preserve"> </w:t>
      </w:r>
      <w:r w:rsidR="009D702A">
        <w:t xml:space="preserve">miles y </w:t>
      </w:r>
      <w:r w:rsidR="009D702A">
        <w:rPr>
          <w:rFonts w:ascii="Arial" w:hAnsi="Arial" w:cs="Arial"/>
        </w:rPr>
        <w:t xml:space="preserve"> </w:t>
      </w:r>
      <w:r w:rsidR="009D702A" w:rsidRPr="00CF38FE">
        <w:rPr>
          <w:rFonts w:ascii="Arial" w:hAnsi="Arial" w:cs="Arial"/>
        </w:rPr>
        <w:t>₡</w:t>
      </w:r>
      <w:r w:rsidR="00514516" w:rsidRPr="00CF38FE">
        <w:t>58 220,01 miles</w:t>
      </w:r>
      <w:r w:rsidR="009D702A">
        <w:t xml:space="preserve">, respectivamente; y por otra parte </w:t>
      </w:r>
      <w:r>
        <w:t xml:space="preserve">se dio una disminución en </w:t>
      </w:r>
      <w:r w:rsidRPr="008E0729">
        <w:t xml:space="preserve">Pagos por servicios y adquisiciones de inventarios (incluye anticipos) en </w:t>
      </w:r>
      <w:r>
        <w:t>-</w:t>
      </w:r>
      <w:r w:rsidRPr="006F5BA2">
        <w:rPr>
          <w:rFonts w:ascii="Arial" w:hAnsi="Arial" w:cs="Arial"/>
        </w:rPr>
        <w:t>₡</w:t>
      </w:r>
      <w:r w:rsidR="009D702A">
        <w:rPr>
          <w:rFonts w:ascii="Arial" w:hAnsi="Arial" w:cs="Arial"/>
        </w:rPr>
        <w:t>3</w:t>
      </w:r>
      <w:r w:rsidRPr="006F5BA2">
        <w:t>4</w:t>
      </w:r>
      <w:r w:rsidR="009D702A">
        <w:t>0</w:t>
      </w:r>
      <w:r w:rsidRPr="006F5BA2">
        <w:t> </w:t>
      </w:r>
      <w:r w:rsidR="009D702A">
        <w:t>695</w:t>
      </w:r>
      <w:r w:rsidRPr="006F5BA2">
        <w:t>,</w:t>
      </w:r>
      <w:r w:rsidR="009D702A">
        <w:t>4</w:t>
      </w:r>
      <w:r w:rsidRPr="006F5BA2">
        <w:t>9</w:t>
      </w:r>
      <w:r w:rsidRPr="002B5A34">
        <w:t xml:space="preserve"> </w:t>
      </w:r>
      <w:r>
        <w:t xml:space="preserve">miles y en </w:t>
      </w:r>
      <w:r w:rsidRPr="008E0729">
        <w:t>Otros pagos por actividades de operación</w:t>
      </w:r>
      <w:r>
        <w:t xml:space="preserve"> en -</w:t>
      </w:r>
      <w:r w:rsidRPr="006F5BA2">
        <w:rPr>
          <w:rFonts w:ascii="Arial" w:hAnsi="Arial" w:cs="Arial"/>
        </w:rPr>
        <w:t>₡</w:t>
      </w:r>
      <w:r w:rsidRPr="006F5BA2">
        <w:t>1</w:t>
      </w:r>
      <w:r w:rsidR="009D702A">
        <w:t>91</w:t>
      </w:r>
      <w:r w:rsidRPr="006F5BA2">
        <w:t> </w:t>
      </w:r>
      <w:r w:rsidR="009D702A">
        <w:t>482</w:t>
      </w:r>
      <w:r w:rsidRPr="006F5BA2">
        <w:t>,3</w:t>
      </w:r>
      <w:r w:rsidR="009D702A">
        <w:t>0</w:t>
      </w:r>
      <w:r w:rsidRPr="002B5A34">
        <w:t xml:space="preserve"> </w:t>
      </w:r>
      <w:r>
        <w:t>miles.</w:t>
      </w:r>
    </w:p>
    <w:p w14:paraId="53D2D877" w14:textId="77777777" w:rsidR="00692DC8" w:rsidRPr="00692DC8" w:rsidRDefault="00692DC8" w:rsidP="0068534F">
      <w:pPr>
        <w:rPr>
          <w:lang w:eastAsia="es-CR"/>
        </w:rPr>
      </w:pPr>
    </w:p>
    <w:p w14:paraId="5AC73DC5" w14:textId="77777777" w:rsidR="00692DC8" w:rsidRPr="00692DC8" w:rsidRDefault="00692DC8" w:rsidP="0068534F">
      <w:pPr>
        <w:pStyle w:val="Ttulo4"/>
        <w:spacing w:after="240"/>
        <w:rPr>
          <w:rFonts w:eastAsia="Times New Roman"/>
          <w:lang w:eastAsia="es-CR"/>
        </w:rPr>
      </w:pPr>
      <w:bookmarkStart w:id="1021" w:name="_Toc173245326"/>
      <w:r w:rsidRPr="00692DC8">
        <w:rPr>
          <w:rFonts w:eastAsia="Times New Roman"/>
          <w:lang w:eastAsia="es-CR"/>
        </w:rPr>
        <w:t>FLUJOS DE EFECTIVO DE LAS ACTIVIDADES DE INVERSIÓN</w:t>
      </w:r>
      <w:bookmarkEnd w:id="1019"/>
      <w:bookmarkEnd w:id="1020"/>
      <w:bookmarkEnd w:id="1021"/>
    </w:p>
    <w:p w14:paraId="2899A807" w14:textId="77777777" w:rsidR="00692DC8" w:rsidRPr="00692DC8" w:rsidRDefault="00692DC8" w:rsidP="0068534F">
      <w:pPr>
        <w:pStyle w:val="Ttulo4"/>
        <w:spacing w:after="240"/>
        <w:rPr>
          <w:rFonts w:eastAsia="Times New Roman"/>
          <w:bCs/>
        </w:rPr>
      </w:pPr>
      <w:bookmarkStart w:id="1022" w:name="_Toc33601361"/>
      <w:bookmarkStart w:id="1023" w:name="_Toc82769080"/>
      <w:bookmarkStart w:id="1024" w:name="_Toc173245327"/>
      <w:r w:rsidRPr="00692DC8">
        <w:rPr>
          <w:rFonts w:eastAsia="Times New Roman"/>
          <w:bCs/>
        </w:rPr>
        <w:t>NOTA N°7</w:t>
      </w:r>
      <w:bookmarkEnd w:id="1022"/>
      <w:bookmarkEnd w:id="1023"/>
      <w:r w:rsidRPr="00692DC8">
        <w:rPr>
          <w:rFonts w:eastAsia="Times New Roman"/>
          <w:bCs/>
        </w:rPr>
        <w:t>9</w:t>
      </w:r>
      <w:bookmarkEnd w:id="1024"/>
    </w:p>
    <w:p w14:paraId="45B4149F" w14:textId="77777777" w:rsidR="00694299" w:rsidRDefault="00692DC8" w:rsidP="00323752">
      <w:pPr>
        <w:spacing w:before="240"/>
        <w:rPr>
          <w:rFonts w:asciiTheme="minorHAnsi" w:hAnsiTheme="minorHAnsi"/>
          <w:sz w:val="22"/>
        </w:rPr>
      </w:pPr>
      <w:bookmarkStart w:id="1025" w:name="_Toc33601362"/>
      <w:bookmarkStart w:id="1026" w:name="_Toc82769081"/>
      <w:r w:rsidRPr="00692DC8">
        <w:rPr>
          <w:rFonts w:eastAsia="Times New Roman"/>
          <w:bCs/>
        </w:rPr>
        <w:t>Cobros</w:t>
      </w:r>
      <w:bookmarkEnd w:id="1025"/>
      <w:bookmarkEnd w:id="1026"/>
      <w:r w:rsidR="007F611C">
        <w:rPr>
          <w:rFonts w:eastAsia="Times New Roman" w:cstheme="majorBidi"/>
          <w:b/>
          <w:iCs/>
          <w:lang w:eastAsia="es-CR"/>
        </w:rPr>
        <w:fldChar w:fldCharType="begin"/>
      </w:r>
      <w:r w:rsidR="007F611C">
        <w:rPr>
          <w:rFonts w:eastAsia="Times New Roman"/>
          <w:lang w:eastAsia="es-CR"/>
        </w:rPr>
        <w:instrText xml:space="preserve"> LINK </w:instrText>
      </w:r>
      <w:r w:rsidR="00323752">
        <w:rPr>
          <w:rFonts w:eastAsia="Times New Roman"/>
          <w:lang w:eastAsia="es-CR"/>
        </w:rPr>
        <w:instrText xml:space="preserve">Excel.SheetMacroEnabled.12 "D:\\MORAVIA\\INSUMOS\\NOTAS 2024\\Formato_Notas_EEFF_Vinculadas_2024\\XXXXX_PXX_202X_Anexo_Estado_Notas_Contables_Vinculadas.xlsm" NOTAS_POR_CUENTA!F443C2:F445C6 </w:instrText>
      </w:r>
      <w:r w:rsidR="007F611C">
        <w:rPr>
          <w:rFonts w:eastAsia="Times New Roman"/>
          <w:lang w:eastAsia="es-CR"/>
        </w:rPr>
        <w:instrText xml:space="preserve">\a \f 4 \h </w:instrText>
      </w:r>
      <w:r w:rsidR="007F611C">
        <w:rPr>
          <w:rFonts w:eastAsia="Times New Roman"/>
          <w:lang w:eastAsia="es-CR"/>
        </w:rPr>
        <w:fldChar w:fldCharType="separate"/>
      </w:r>
    </w:p>
    <w:tbl>
      <w:tblPr>
        <w:tblW w:w="8705" w:type="dxa"/>
        <w:tblCellMar>
          <w:left w:w="70" w:type="dxa"/>
          <w:right w:w="70" w:type="dxa"/>
        </w:tblCellMar>
        <w:tblLook w:val="04A0" w:firstRow="1" w:lastRow="0" w:firstColumn="1" w:lastColumn="0" w:noHBand="0" w:noVBand="1"/>
      </w:tblPr>
      <w:tblGrid>
        <w:gridCol w:w="3320"/>
        <w:gridCol w:w="500"/>
        <w:gridCol w:w="1982"/>
        <w:gridCol w:w="1843"/>
        <w:gridCol w:w="1060"/>
      </w:tblGrid>
      <w:tr w:rsidR="00694299" w:rsidRPr="00694299" w14:paraId="2C584826" w14:textId="77777777" w:rsidTr="009C3ADA">
        <w:trPr>
          <w:divId w:val="1666854431"/>
          <w:trHeight w:val="324"/>
        </w:trPr>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5159192" w14:textId="314BD841"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Descripción </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77E7F2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982"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AE1EC3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84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82EDD8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68F57A0E"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100F9A09" w14:textId="77777777" w:rsidTr="009C3ADA">
        <w:trPr>
          <w:divId w:val="1666854431"/>
          <w:trHeight w:val="324"/>
        </w:trPr>
        <w:tc>
          <w:tcPr>
            <w:tcW w:w="3320" w:type="dxa"/>
            <w:vMerge/>
            <w:tcBorders>
              <w:top w:val="single" w:sz="8" w:space="0" w:color="auto"/>
              <w:left w:val="single" w:sz="8" w:space="0" w:color="auto"/>
              <w:bottom w:val="single" w:sz="8" w:space="0" w:color="000000"/>
              <w:right w:val="single" w:sz="8" w:space="0" w:color="auto"/>
            </w:tcBorders>
            <w:vAlign w:val="center"/>
            <w:hideMark/>
          </w:tcPr>
          <w:p w14:paraId="51D4A435"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5AC6D41"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982" w:type="dxa"/>
            <w:vMerge/>
            <w:tcBorders>
              <w:top w:val="single" w:sz="8" w:space="0" w:color="auto"/>
              <w:left w:val="single" w:sz="8" w:space="0" w:color="auto"/>
              <w:bottom w:val="single" w:sz="8" w:space="0" w:color="000000"/>
              <w:right w:val="single" w:sz="8" w:space="0" w:color="auto"/>
            </w:tcBorders>
            <w:vAlign w:val="center"/>
            <w:hideMark/>
          </w:tcPr>
          <w:p w14:paraId="22E834F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14:paraId="41441C0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6CF50D64"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3DC2C9D7" w14:textId="77777777" w:rsidTr="009C3ADA">
        <w:trPr>
          <w:divId w:val="1666854431"/>
          <w:trHeight w:val="324"/>
        </w:trPr>
        <w:tc>
          <w:tcPr>
            <w:tcW w:w="3320" w:type="dxa"/>
            <w:tcBorders>
              <w:top w:val="nil"/>
              <w:left w:val="single" w:sz="8" w:space="0" w:color="auto"/>
              <w:bottom w:val="single" w:sz="8" w:space="0" w:color="auto"/>
              <w:right w:val="single" w:sz="8" w:space="0" w:color="auto"/>
            </w:tcBorders>
            <w:shd w:val="clear" w:color="auto" w:fill="auto"/>
            <w:vAlign w:val="center"/>
            <w:hideMark/>
          </w:tcPr>
          <w:p w14:paraId="4195038A"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Cobros</w:t>
            </w:r>
          </w:p>
        </w:tc>
        <w:tc>
          <w:tcPr>
            <w:tcW w:w="500" w:type="dxa"/>
            <w:tcBorders>
              <w:top w:val="nil"/>
              <w:left w:val="nil"/>
              <w:bottom w:val="single" w:sz="8" w:space="0" w:color="auto"/>
              <w:right w:val="single" w:sz="8" w:space="0" w:color="auto"/>
            </w:tcBorders>
            <w:shd w:val="clear" w:color="auto" w:fill="auto"/>
            <w:noWrap/>
            <w:vAlign w:val="center"/>
            <w:hideMark/>
          </w:tcPr>
          <w:p w14:paraId="0CB5AEC9"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79</w:t>
            </w:r>
          </w:p>
        </w:tc>
        <w:tc>
          <w:tcPr>
            <w:tcW w:w="1982" w:type="dxa"/>
            <w:tcBorders>
              <w:top w:val="nil"/>
              <w:left w:val="nil"/>
              <w:bottom w:val="single" w:sz="8" w:space="0" w:color="auto"/>
              <w:right w:val="single" w:sz="8" w:space="0" w:color="auto"/>
            </w:tcBorders>
            <w:shd w:val="clear" w:color="auto" w:fill="auto"/>
            <w:noWrap/>
            <w:vAlign w:val="center"/>
            <w:hideMark/>
          </w:tcPr>
          <w:p w14:paraId="30FF0CD8"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843" w:type="dxa"/>
            <w:tcBorders>
              <w:top w:val="nil"/>
              <w:left w:val="nil"/>
              <w:bottom w:val="single" w:sz="8" w:space="0" w:color="auto"/>
              <w:right w:val="single" w:sz="8" w:space="0" w:color="auto"/>
            </w:tcBorders>
            <w:shd w:val="clear" w:color="auto" w:fill="auto"/>
            <w:noWrap/>
            <w:vAlign w:val="center"/>
            <w:hideMark/>
          </w:tcPr>
          <w:p w14:paraId="439C7A4F"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650CF93F"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4F1FBAEB" w14:textId="77777777" w:rsidR="00694299" w:rsidRPr="00694299" w:rsidRDefault="007F611C" w:rsidP="006F5BA2">
      <w:pPr>
        <w:spacing w:after="0" w:line="240" w:lineRule="auto"/>
        <w:rPr>
          <w:rFonts w:eastAsia="Times New Roman" w:cs="Calibri"/>
          <w:color w:val="000000"/>
          <w:lang w:eastAsia="es-CR"/>
        </w:rPr>
      </w:pPr>
      <w:r>
        <w:rPr>
          <w:rFonts w:eastAsia="Times New Roman" w:cs="Calibri"/>
          <w:color w:val="000000"/>
          <w:lang w:eastAsia="es-CR"/>
        </w:rPr>
        <w:fldChar w:fldCharType="end"/>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NOTAS_POR_CUENTA!F445C8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693D6D74" w14:textId="77777777" w:rsidR="00694299" w:rsidRPr="00694299" w:rsidRDefault="00694299" w:rsidP="006B3C19">
      <w:pPr>
        <w:spacing w:before="240" w:line="240" w:lineRule="auto"/>
        <w:rPr>
          <w:rFonts w:eastAsia="Times New Roman" w:cs="Calibri"/>
          <w:color w:val="000000"/>
          <w:lang w:eastAsia="es-CR"/>
        </w:rPr>
      </w:pPr>
      <w:r w:rsidRPr="00694299">
        <w:rPr>
          <w:rFonts w:eastAsia="Times New Roman" w:cs="Calibri"/>
          <w:color w:val="000000"/>
          <w:lang w:eastAsia="es-CR"/>
        </w:rPr>
        <w:t>Los Cobros de los Flujos de Efectivo de las Actividades de Inversión, comparado al periodo anterior genera una variación absoluta de 0 000,00 que corresponde a un Aumento del 0,00% de recursos disponibles.</w:t>
      </w:r>
    </w:p>
    <w:p w14:paraId="727786A1" w14:textId="092F0E43" w:rsidR="00692DC8" w:rsidRPr="00692DC8" w:rsidRDefault="007F611C" w:rsidP="006B3C19">
      <w:pPr>
        <w:spacing w:line="240" w:lineRule="auto"/>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12F924BD" w14:textId="77777777" w:rsidR="00692DC8" w:rsidRPr="00692DC8" w:rsidRDefault="00692DC8" w:rsidP="00A41CB2">
      <w:pPr>
        <w:spacing w:line="240" w:lineRule="auto"/>
        <w:rPr>
          <w:szCs w:val="24"/>
        </w:rPr>
      </w:pPr>
    </w:p>
    <w:p w14:paraId="7B032AEB" w14:textId="77777777" w:rsidR="00692DC8" w:rsidRPr="00692DC8" w:rsidRDefault="00692DC8" w:rsidP="0037354C">
      <w:pPr>
        <w:pStyle w:val="Ttulo4"/>
        <w:spacing w:after="240"/>
        <w:rPr>
          <w:rFonts w:eastAsia="Times New Roman"/>
        </w:rPr>
      </w:pPr>
      <w:bookmarkStart w:id="1027" w:name="_Toc33601363"/>
      <w:bookmarkStart w:id="1028" w:name="_Toc82769082"/>
      <w:bookmarkStart w:id="1029" w:name="_Toc173245328"/>
      <w:r w:rsidRPr="00692DC8">
        <w:rPr>
          <w:rFonts w:eastAsia="Times New Roman"/>
        </w:rPr>
        <w:t>NOTA N°</w:t>
      </w:r>
      <w:bookmarkEnd w:id="1027"/>
      <w:bookmarkEnd w:id="1028"/>
      <w:r w:rsidRPr="00692DC8">
        <w:rPr>
          <w:rFonts w:eastAsia="Times New Roman"/>
        </w:rPr>
        <w:t>80</w:t>
      </w:r>
      <w:bookmarkEnd w:id="1029"/>
    </w:p>
    <w:p w14:paraId="678353CF" w14:textId="77777777" w:rsidR="00F879EF" w:rsidRDefault="00692DC8" w:rsidP="00767CFC">
      <w:pPr>
        <w:spacing w:after="0" w:line="240" w:lineRule="auto"/>
        <w:rPr>
          <w:rFonts w:eastAsia="Times New Roman"/>
        </w:rPr>
      </w:pPr>
      <w:bookmarkStart w:id="1030" w:name="_Toc33601364"/>
      <w:bookmarkStart w:id="1031" w:name="_Toc82769083"/>
      <w:r w:rsidRPr="00692DC8">
        <w:rPr>
          <w:rFonts w:eastAsia="Times New Roman"/>
        </w:rPr>
        <w:t>Pagos</w:t>
      </w:r>
      <w:bookmarkEnd w:id="1030"/>
      <w:bookmarkEnd w:id="1031"/>
    </w:p>
    <w:p w14:paraId="04F223EB" w14:textId="2CC20AAE" w:rsidR="00C572A3" w:rsidRDefault="00F879EF" w:rsidP="00767CFC">
      <w:pPr>
        <w:spacing w:after="0" w:line="240" w:lineRule="auto"/>
        <w:rPr>
          <w:rFonts w:asciiTheme="minorHAnsi" w:hAnsiTheme="minorHAnsi"/>
          <w:sz w:val="22"/>
        </w:rPr>
      </w:pPr>
      <w:r>
        <w:fldChar w:fldCharType="begin"/>
      </w:r>
      <w:r>
        <w:instrText xml:space="preserve"> LINK </w:instrText>
      </w:r>
      <w:r w:rsidR="0068177A">
        <w:instrText xml:space="preserve">Excel.SheetMacroEnabled.12 "C:\\Users\\arges\\OneDrive\\Desktop\\Municipalidades\\Buenos Aires\\Cierre Junio 2024\\Notas Contables\\15603_T02_2024_Anexo_Estado_Notas_Contables_Vinculadas.xlsm" NOTAS_POR_CUENTA!R447C2:R449C6 </w:instrText>
      </w:r>
      <w:r>
        <w:instrText xml:space="preserve">\a \f 4 \h </w:instrText>
      </w:r>
      <w:r>
        <w:fldChar w:fldCharType="separate"/>
      </w:r>
    </w:p>
    <w:tbl>
      <w:tblPr>
        <w:tblW w:w="9380" w:type="dxa"/>
        <w:tblLook w:val="04A0" w:firstRow="1" w:lastRow="0" w:firstColumn="1" w:lastColumn="0" w:noHBand="0" w:noVBand="1"/>
      </w:tblPr>
      <w:tblGrid>
        <w:gridCol w:w="3380"/>
        <w:gridCol w:w="544"/>
        <w:gridCol w:w="2200"/>
        <w:gridCol w:w="2200"/>
        <w:gridCol w:w="1080"/>
      </w:tblGrid>
      <w:tr w:rsidR="00C572A3" w:rsidRPr="00C572A3" w14:paraId="1A4A872B" w14:textId="77777777" w:rsidTr="00C572A3">
        <w:trPr>
          <w:divId w:val="632758059"/>
          <w:trHeight w:val="320"/>
        </w:trPr>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50E8555" w14:textId="29322CEC" w:rsidR="00C572A3" w:rsidRPr="00C572A3" w:rsidRDefault="00C572A3" w:rsidP="00C572A3">
            <w:pPr>
              <w:spacing w:after="0" w:line="240" w:lineRule="auto"/>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Descripción </w:t>
            </w:r>
          </w:p>
        </w:tc>
        <w:tc>
          <w:tcPr>
            <w:tcW w:w="5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91DD822"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Nota</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8F96A6A"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Actual </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3744B16"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Anterior </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5F715804"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Diferencia </w:t>
            </w:r>
          </w:p>
        </w:tc>
      </w:tr>
      <w:tr w:rsidR="00C572A3" w:rsidRPr="00C572A3" w14:paraId="1062AC08" w14:textId="77777777" w:rsidTr="00C572A3">
        <w:trPr>
          <w:divId w:val="632758059"/>
          <w:trHeight w:val="320"/>
        </w:trPr>
        <w:tc>
          <w:tcPr>
            <w:tcW w:w="3380" w:type="dxa"/>
            <w:vMerge/>
            <w:tcBorders>
              <w:top w:val="single" w:sz="8" w:space="0" w:color="auto"/>
              <w:left w:val="single" w:sz="8" w:space="0" w:color="auto"/>
              <w:bottom w:val="single" w:sz="8" w:space="0" w:color="000000"/>
              <w:right w:val="single" w:sz="8" w:space="0" w:color="auto"/>
            </w:tcBorders>
            <w:vAlign w:val="center"/>
            <w:hideMark/>
          </w:tcPr>
          <w:p w14:paraId="38303DCF"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14:paraId="2DC00917"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3B29777F"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40DA0932"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1080" w:type="dxa"/>
            <w:tcBorders>
              <w:top w:val="nil"/>
              <w:left w:val="nil"/>
              <w:bottom w:val="single" w:sz="8" w:space="0" w:color="auto"/>
              <w:right w:val="single" w:sz="8" w:space="0" w:color="auto"/>
            </w:tcBorders>
            <w:shd w:val="clear" w:color="000000" w:fill="366092"/>
            <w:noWrap/>
            <w:vAlign w:val="center"/>
            <w:hideMark/>
          </w:tcPr>
          <w:p w14:paraId="079F96A3" w14:textId="77777777" w:rsidR="00C572A3" w:rsidRPr="00C572A3" w:rsidRDefault="00C572A3" w:rsidP="00C572A3">
            <w:pPr>
              <w:spacing w:after="0" w:line="240" w:lineRule="auto"/>
              <w:jc w:val="center"/>
              <w:rPr>
                <w:rFonts w:eastAsia="Times New Roman" w:cs="Calibri"/>
                <w:color w:val="FFFFFF"/>
                <w:sz w:val="18"/>
                <w:szCs w:val="18"/>
                <w:lang w:val="en-US"/>
              </w:rPr>
            </w:pPr>
            <w:r w:rsidRPr="00C572A3">
              <w:rPr>
                <w:rFonts w:eastAsia="Times New Roman" w:cs="Calibri"/>
                <w:color w:val="FFFFFF"/>
                <w:sz w:val="18"/>
                <w:szCs w:val="18"/>
                <w:lang w:val="en-US"/>
              </w:rPr>
              <w:t>%</w:t>
            </w:r>
          </w:p>
        </w:tc>
      </w:tr>
      <w:tr w:rsidR="00C572A3" w:rsidRPr="00C572A3" w14:paraId="78C6F305" w14:textId="77777777" w:rsidTr="00C572A3">
        <w:trPr>
          <w:divId w:val="632758059"/>
          <w:trHeight w:val="320"/>
        </w:trPr>
        <w:tc>
          <w:tcPr>
            <w:tcW w:w="3380" w:type="dxa"/>
            <w:tcBorders>
              <w:top w:val="nil"/>
              <w:left w:val="single" w:sz="8" w:space="0" w:color="auto"/>
              <w:bottom w:val="single" w:sz="8" w:space="0" w:color="auto"/>
              <w:right w:val="single" w:sz="8" w:space="0" w:color="auto"/>
            </w:tcBorders>
            <w:shd w:val="clear" w:color="auto" w:fill="auto"/>
            <w:noWrap/>
            <w:vAlign w:val="center"/>
            <w:hideMark/>
          </w:tcPr>
          <w:p w14:paraId="346E66F4" w14:textId="77777777" w:rsidR="00C572A3" w:rsidRPr="00C572A3" w:rsidRDefault="00C572A3" w:rsidP="00C572A3">
            <w:pPr>
              <w:spacing w:after="0" w:line="240" w:lineRule="auto"/>
              <w:jc w:val="left"/>
              <w:rPr>
                <w:rFonts w:eastAsia="Times New Roman" w:cs="Calibri"/>
                <w:b/>
                <w:bCs/>
                <w:color w:val="000000"/>
                <w:sz w:val="18"/>
                <w:szCs w:val="18"/>
                <w:lang w:val="en-US"/>
              </w:rPr>
            </w:pPr>
            <w:r w:rsidRPr="00C572A3">
              <w:rPr>
                <w:rFonts w:eastAsia="Times New Roman" w:cs="Calibri"/>
                <w:b/>
                <w:bCs/>
                <w:color w:val="000000"/>
                <w:sz w:val="18"/>
                <w:szCs w:val="18"/>
                <w:lang w:val="en-US"/>
              </w:rPr>
              <w:t>Pagos</w:t>
            </w:r>
          </w:p>
        </w:tc>
        <w:tc>
          <w:tcPr>
            <w:tcW w:w="520" w:type="dxa"/>
            <w:tcBorders>
              <w:top w:val="nil"/>
              <w:left w:val="nil"/>
              <w:bottom w:val="single" w:sz="8" w:space="0" w:color="auto"/>
              <w:right w:val="single" w:sz="8" w:space="0" w:color="auto"/>
            </w:tcBorders>
            <w:shd w:val="clear" w:color="auto" w:fill="auto"/>
            <w:noWrap/>
            <w:vAlign w:val="center"/>
            <w:hideMark/>
          </w:tcPr>
          <w:p w14:paraId="0A707363"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80</w:t>
            </w:r>
          </w:p>
        </w:tc>
        <w:tc>
          <w:tcPr>
            <w:tcW w:w="2200" w:type="dxa"/>
            <w:tcBorders>
              <w:top w:val="nil"/>
              <w:left w:val="nil"/>
              <w:bottom w:val="single" w:sz="8" w:space="0" w:color="auto"/>
              <w:right w:val="single" w:sz="8" w:space="0" w:color="auto"/>
            </w:tcBorders>
            <w:shd w:val="clear" w:color="auto" w:fill="auto"/>
            <w:noWrap/>
            <w:vAlign w:val="center"/>
            <w:hideMark/>
          </w:tcPr>
          <w:p w14:paraId="17076127"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408 916,81 </w:t>
            </w:r>
          </w:p>
        </w:tc>
        <w:tc>
          <w:tcPr>
            <w:tcW w:w="2200" w:type="dxa"/>
            <w:tcBorders>
              <w:top w:val="nil"/>
              <w:left w:val="nil"/>
              <w:bottom w:val="single" w:sz="8" w:space="0" w:color="auto"/>
              <w:right w:val="single" w:sz="8" w:space="0" w:color="auto"/>
            </w:tcBorders>
            <w:shd w:val="clear" w:color="auto" w:fill="auto"/>
            <w:noWrap/>
            <w:vAlign w:val="center"/>
            <w:hideMark/>
          </w:tcPr>
          <w:p w14:paraId="1126D3E3"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101 165,45 </w:t>
            </w:r>
          </w:p>
        </w:tc>
        <w:tc>
          <w:tcPr>
            <w:tcW w:w="1080" w:type="dxa"/>
            <w:tcBorders>
              <w:top w:val="nil"/>
              <w:left w:val="nil"/>
              <w:bottom w:val="single" w:sz="8" w:space="0" w:color="auto"/>
              <w:right w:val="single" w:sz="8" w:space="0" w:color="auto"/>
            </w:tcBorders>
            <w:shd w:val="clear" w:color="auto" w:fill="auto"/>
            <w:noWrap/>
            <w:vAlign w:val="center"/>
            <w:hideMark/>
          </w:tcPr>
          <w:p w14:paraId="199B6038"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304,21%</w:t>
            </w:r>
          </w:p>
        </w:tc>
      </w:tr>
    </w:tbl>
    <w:p w14:paraId="66F856AB" w14:textId="34149343" w:rsidR="00694299" w:rsidRPr="00694299" w:rsidRDefault="00F879EF" w:rsidP="006F5BA2">
      <w:pPr>
        <w:spacing w:after="0"/>
        <w:rPr>
          <w:rFonts w:eastAsia="Times New Roman" w:cs="Calibri"/>
          <w:color w:val="000000"/>
          <w:lang w:eastAsia="es-CR"/>
        </w:rPr>
      </w:pPr>
      <w:r>
        <w:rPr>
          <w:rFonts w:eastAsia="Times New Roman"/>
        </w:rPr>
        <w:fldChar w:fldCharType="end"/>
      </w:r>
      <w:r w:rsidR="007F611C">
        <w:rPr>
          <w:rFonts w:eastAsia="Times New Roman" w:cs="Calibri"/>
          <w:color w:val="000000"/>
          <w:lang w:eastAsia="es-CR"/>
        </w:rPr>
        <w:fldChar w:fldCharType="begin"/>
      </w:r>
      <w:r w:rsidR="007F611C">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NOTAS_POR_CUENTA!F449C8 </w:instrText>
      </w:r>
      <w:r w:rsidR="007F611C">
        <w:rPr>
          <w:rFonts w:eastAsia="Times New Roman" w:cs="Calibri"/>
          <w:color w:val="000000"/>
          <w:lang w:eastAsia="es-CR"/>
        </w:rPr>
        <w:instrText xml:space="preserve">\a \f 5 \h  \* MERGEFORMAT </w:instrText>
      </w:r>
      <w:r w:rsidR="007F611C">
        <w:rPr>
          <w:rFonts w:eastAsia="Times New Roman" w:cs="Calibri"/>
          <w:color w:val="000000"/>
          <w:lang w:eastAsia="es-CR"/>
        </w:rPr>
        <w:fldChar w:fldCharType="separate"/>
      </w:r>
    </w:p>
    <w:p w14:paraId="2CAD890B" w14:textId="3B3BDB1E" w:rsidR="00694299" w:rsidRPr="00694299" w:rsidRDefault="00694299" w:rsidP="00545836">
      <w:pPr>
        <w:spacing w:line="240" w:lineRule="auto"/>
        <w:rPr>
          <w:rFonts w:eastAsia="Times New Roman" w:cs="Calibri"/>
          <w:color w:val="000000"/>
          <w:lang w:eastAsia="es-CR"/>
        </w:rPr>
      </w:pPr>
      <w:r w:rsidRPr="00694299">
        <w:rPr>
          <w:rFonts w:eastAsia="Times New Roman" w:cs="Calibri"/>
          <w:color w:val="000000"/>
          <w:lang w:eastAsia="es-CR"/>
        </w:rPr>
        <w:t xml:space="preserve">Los Pagos de los Flujos de Efectivo de las Actividades de Inversión, comparado al periodo anterior genera una variación absoluta de </w:t>
      </w:r>
      <w:r w:rsidR="00A41CB2" w:rsidRPr="00A41CB2">
        <w:rPr>
          <w:rFonts w:eastAsia="Times New Roman" w:cs="Calibri"/>
          <w:color w:val="000000"/>
          <w:lang w:eastAsia="es-CR"/>
        </w:rPr>
        <w:t>307 751,36</w:t>
      </w:r>
      <w:r w:rsidR="00A41CB2">
        <w:rPr>
          <w:rFonts w:eastAsia="Times New Roman" w:cs="Calibri"/>
          <w:color w:val="000000"/>
          <w:lang w:eastAsia="es-CR"/>
        </w:rPr>
        <w:t xml:space="preserve"> miles</w:t>
      </w:r>
      <w:r w:rsidR="00A41CB2" w:rsidRPr="00A41CB2">
        <w:rPr>
          <w:rFonts w:eastAsia="Times New Roman" w:cs="Calibri"/>
          <w:color w:val="000000"/>
          <w:lang w:eastAsia="es-CR"/>
        </w:rPr>
        <w:t xml:space="preserve"> </w:t>
      </w:r>
      <w:r w:rsidRPr="00694299">
        <w:rPr>
          <w:rFonts w:eastAsia="Times New Roman" w:cs="Calibri"/>
          <w:color w:val="000000"/>
          <w:lang w:eastAsia="es-CR"/>
        </w:rPr>
        <w:t xml:space="preserve">que corresponde a un Aumento del </w:t>
      </w:r>
      <w:r w:rsidR="00545836">
        <w:rPr>
          <w:rFonts w:eastAsia="Times New Roman" w:cs="Calibri"/>
          <w:color w:val="000000"/>
          <w:lang w:eastAsia="es-CR"/>
        </w:rPr>
        <w:t>3</w:t>
      </w:r>
      <w:r w:rsidR="00A41CB2">
        <w:rPr>
          <w:rFonts w:eastAsia="Times New Roman" w:cs="Calibri"/>
          <w:color w:val="000000"/>
          <w:lang w:eastAsia="es-CR"/>
        </w:rPr>
        <w:t>04</w:t>
      </w:r>
      <w:r w:rsidRPr="00694299">
        <w:rPr>
          <w:rFonts w:eastAsia="Times New Roman" w:cs="Calibri"/>
          <w:color w:val="000000"/>
          <w:lang w:eastAsia="es-CR"/>
        </w:rPr>
        <w:t>,</w:t>
      </w:r>
      <w:r w:rsidR="00A41CB2">
        <w:rPr>
          <w:rFonts w:eastAsia="Times New Roman" w:cs="Calibri"/>
          <w:color w:val="000000"/>
          <w:lang w:eastAsia="es-CR"/>
        </w:rPr>
        <w:t>21</w:t>
      </w:r>
      <w:r w:rsidRPr="00694299">
        <w:rPr>
          <w:rFonts w:eastAsia="Times New Roman" w:cs="Calibri"/>
          <w:color w:val="000000"/>
          <w:lang w:eastAsia="es-CR"/>
        </w:rPr>
        <w:t>% de recursos disponibles</w:t>
      </w:r>
      <w:r w:rsidRPr="00694299">
        <w:rPr>
          <w:rFonts w:asciiTheme="minorHAnsi" w:hAnsiTheme="minorHAnsi"/>
          <w:sz w:val="22"/>
        </w:rPr>
        <w:t>.</w:t>
      </w:r>
    </w:p>
    <w:p w14:paraId="78CD1B0E" w14:textId="7A54FA00" w:rsidR="00692DC8" w:rsidRDefault="007F611C" w:rsidP="00A41CB2">
      <w:pPr>
        <w:spacing w:line="240" w:lineRule="auto"/>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1F3AD7DE" w14:textId="00CC9F48" w:rsidR="005C3713" w:rsidRDefault="005C3713" w:rsidP="005C3713">
      <w:pPr>
        <w:spacing w:after="0" w:line="240" w:lineRule="auto"/>
      </w:pPr>
      <w:r>
        <w:t xml:space="preserve">Como se puede observar la diferencia </w:t>
      </w:r>
      <w:r w:rsidR="00A41CB2">
        <w:t xml:space="preserve">de </w:t>
      </w:r>
      <w:r>
        <w:t xml:space="preserve">se origina debido al aumento en los </w:t>
      </w:r>
      <w:r w:rsidRPr="00020244">
        <w:t>Pagos por adquisición de bienes distintos de inventarios</w:t>
      </w:r>
      <w:r>
        <w:t xml:space="preserve"> (activos de Propiedad, Planta y Equipo),</w:t>
      </w:r>
      <w:r w:rsidRPr="00020244">
        <w:t xml:space="preserve"> ya que, </w:t>
      </w:r>
      <w:r w:rsidR="009D702A">
        <w:t xml:space="preserve">durante el periodo comprendido entre </w:t>
      </w:r>
      <w:r w:rsidRPr="00020244">
        <w:t xml:space="preserve">al </w:t>
      </w:r>
      <w:r w:rsidR="00D470B6">
        <w:t>30 de junio</w:t>
      </w:r>
      <w:r w:rsidRPr="00020244">
        <w:t xml:space="preserve"> de </w:t>
      </w:r>
      <w:r>
        <w:t>202</w:t>
      </w:r>
      <w:r w:rsidR="009D702A">
        <w:t>3 y el 30 de junio de 2024</w:t>
      </w:r>
      <w:r>
        <w:t>,</w:t>
      </w:r>
      <w:r w:rsidRPr="00020244">
        <w:t xml:space="preserve"> se adquirieron bienes distintos de inventario </w:t>
      </w:r>
      <w:r w:rsidR="009D702A">
        <w:t>p</w:t>
      </w:r>
      <w:r w:rsidRPr="00020244">
        <w:t>or un monto superior a</w:t>
      </w:r>
      <w:r>
        <w:t xml:space="preserve"> </w:t>
      </w:r>
      <w:r w:rsidRPr="00020244">
        <w:t>l</w:t>
      </w:r>
      <w:r>
        <w:t>os adquiridos a</w:t>
      </w:r>
      <w:r w:rsidR="009D702A">
        <w:t>l</w:t>
      </w:r>
      <w:r>
        <w:t xml:space="preserve"> </w:t>
      </w:r>
      <w:r w:rsidR="009D702A">
        <w:t xml:space="preserve">30 de </w:t>
      </w:r>
      <w:r w:rsidR="0096573A">
        <w:t>junio</w:t>
      </w:r>
      <w:r>
        <w:t xml:space="preserve"> de 2023</w:t>
      </w:r>
      <w:r w:rsidRPr="00020244">
        <w:t>.</w:t>
      </w:r>
      <w:r>
        <w:t xml:space="preserve"> </w:t>
      </w:r>
    </w:p>
    <w:p w14:paraId="15B98DDC" w14:textId="77777777" w:rsidR="00692DC8" w:rsidRPr="00692DC8" w:rsidRDefault="00692DC8" w:rsidP="0037354C"/>
    <w:p w14:paraId="0A83F5A2" w14:textId="77777777" w:rsidR="00692DC8" w:rsidRPr="00692DC8" w:rsidRDefault="00692DC8" w:rsidP="0037354C">
      <w:pPr>
        <w:pStyle w:val="Ttulo4"/>
        <w:spacing w:after="240"/>
        <w:rPr>
          <w:rFonts w:eastAsia="Times New Roman"/>
          <w:lang w:eastAsia="es-CR"/>
        </w:rPr>
      </w:pPr>
      <w:bookmarkStart w:id="1032" w:name="_Toc33601365"/>
      <w:bookmarkStart w:id="1033" w:name="_Toc82769084"/>
      <w:bookmarkStart w:id="1034" w:name="_Toc173245329"/>
      <w:r w:rsidRPr="00692DC8">
        <w:rPr>
          <w:rFonts w:eastAsia="Times New Roman"/>
          <w:lang w:eastAsia="es-CR"/>
        </w:rPr>
        <w:t>FLUJOS DE EFECTIVO DE LAS ACTIVIDADES DE FINANCIACIÓN</w:t>
      </w:r>
      <w:bookmarkEnd w:id="1032"/>
      <w:bookmarkEnd w:id="1033"/>
      <w:bookmarkEnd w:id="1034"/>
    </w:p>
    <w:p w14:paraId="037310FC" w14:textId="77777777" w:rsidR="00692DC8" w:rsidRPr="00692DC8" w:rsidRDefault="00692DC8" w:rsidP="0037354C">
      <w:pPr>
        <w:pStyle w:val="Ttulo4"/>
        <w:spacing w:after="240"/>
        <w:rPr>
          <w:rFonts w:eastAsia="Times New Roman"/>
          <w:bCs/>
        </w:rPr>
      </w:pPr>
      <w:bookmarkStart w:id="1035" w:name="_Toc33601366"/>
      <w:bookmarkStart w:id="1036" w:name="_Toc82769085"/>
      <w:bookmarkStart w:id="1037" w:name="_Toc173245330"/>
      <w:r w:rsidRPr="00692DC8">
        <w:rPr>
          <w:rFonts w:eastAsia="Times New Roman"/>
          <w:bCs/>
        </w:rPr>
        <w:t>NOTA N°8</w:t>
      </w:r>
      <w:bookmarkEnd w:id="1035"/>
      <w:bookmarkEnd w:id="1036"/>
      <w:r w:rsidRPr="00692DC8">
        <w:rPr>
          <w:rFonts w:eastAsia="Times New Roman"/>
          <w:bCs/>
        </w:rPr>
        <w:t>1</w:t>
      </w:r>
      <w:bookmarkEnd w:id="1037"/>
    </w:p>
    <w:p w14:paraId="30BF68A9" w14:textId="77777777" w:rsidR="00F879EF" w:rsidRDefault="00692DC8" w:rsidP="00F879EF">
      <w:pPr>
        <w:spacing w:after="0" w:line="240" w:lineRule="auto"/>
        <w:rPr>
          <w:rFonts w:eastAsia="Times New Roman"/>
          <w:bCs/>
        </w:rPr>
      </w:pPr>
      <w:bookmarkStart w:id="1038" w:name="_Toc33601367"/>
      <w:bookmarkStart w:id="1039" w:name="_Toc82769086"/>
      <w:r w:rsidRPr="00692DC8">
        <w:rPr>
          <w:rFonts w:eastAsia="Times New Roman"/>
          <w:bCs/>
        </w:rPr>
        <w:t>Cobros</w:t>
      </w:r>
      <w:bookmarkEnd w:id="1038"/>
      <w:bookmarkEnd w:id="1039"/>
    </w:p>
    <w:p w14:paraId="5FD9FC15" w14:textId="77777777" w:rsidR="00F879EF" w:rsidRDefault="00F879EF" w:rsidP="00F879EF">
      <w:pPr>
        <w:spacing w:after="0" w:line="240" w:lineRule="auto"/>
        <w:rPr>
          <w:rFonts w:eastAsia="Times New Roman"/>
          <w:bCs/>
        </w:rPr>
      </w:pPr>
    </w:p>
    <w:tbl>
      <w:tblPr>
        <w:tblW w:w="9380" w:type="dxa"/>
        <w:tblLook w:val="04A0" w:firstRow="1" w:lastRow="0" w:firstColumn="1" w:lastColumn="0" w:noHBand="0" w:noVBand="1"/>
      </w:tblPr>
      <w:tblGrid>
        <w:gridCol w:w="3356"/>
        <w:gridCol w:w="544"/>
        <w:gridCol w:w="2200"/>
        <w:gridCol w:w="2200"/>
        <w:gridCol w:w="1080"/>
      </w:tblGrid>
      <w:tr w:rsidR="00F879EF" w:rsidRPr="00F879EF" w14:paraId="25DA3B00" w14:textId="77777777" w:rsidTr="00F879EF">
        <w:trPr>
          <w:trHeight w:val="320"/>
        </w:trPr>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E82C68F" w14:textId="77777777" w:rsidR="00F879EF" w:rsidRPr="00F879EF" w:rsidRDefault="00F879EF" w:rsidP="00F879EF">
            <w:pPr>
              <w:spacing w:after="0" w:line="240" w:lineRule="auto"/>
              <w:rPr>
                <w:rFonts w:eastAsia="Times New Roman" w:cs="Calibri"/>
                <w:b/>
                <w:bCs/>
                <w:color w:val="FFFFFF"/>
                <w:sz w:val="18"/>
                <w:szCs w:val="18"/>
                <w:lang w:val="en-US"/>
              </w:rPr>
            </w:pPr>
            <w:r w:rsidRPr="00F879EF">
              <w:rPr>
                <w:rFonts w:eastAsia="Times New Roman" w:cs="Calibri"/>
                <w:b/>
                <w:bCs/>
                <w:color w:val="FFFFFF"/>
                <w:sz w:val="18"/>
                <w:szCs w:val="18"/>
                <w:lang w:val="en-US"/>
              </w:rPr>
              <w:t xml:space="preserve">Descripción </w:t>
            </w:r>
          </w:p>
        </w:tc>
        <w:tc>
          <w:tcPr>
            <w:tcW w:w="5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A084D3D" w14:textId="77777777" w:rsidR="00F879EF" w:rsidRPr="00F879EF" w:rsidRDefault="00F879EF" w:rsidP="00F879EF">
            <w:pPr>
              <w:spacing w:after="0" w:line="240" w:lineRule="auto"/>
              <w:jc w:val="center"/>
              <w:rPr>
                <w:rFonts w:eastAsia="Times New Roman" w:cs="Calibri"/>
                <w:b/>
                <w:bCs/>
                <w:color w:val="FFFFFF"/>
                <w:sz w:val="18"/>
                <w:szCs w:val="18"/>
                <w:lang w:val="en-US"/>
              </w:rPr>
            </w:pPr>
            <w:r w:rsidRPr="00F879EF">
              <w:rPr>
                <w:rFonts w:eastAsia="Times New Roman" w:cs="Calibri"/>
                <w:b/>
                <w:bCs/>
                <w:color w:val="FFFFFF"/>
                <w:sz w:val="18"/>
                <w:szCs w:val="18"/>
                <w:lang w:val="en-US"/>
              </w:rPr>
              <w:t>Nota</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B880F94" w14:textId="77777777" w:rsidR="00F879EF" w:rsidRPr="00F879EF" w:rsidRDefault="00F879EF" w:rsidP="00F879EF">
            <w:pPr>
              <w:spacing w:after="0" w:line="240" w:lineRule="auto"/>
              <w:jc w:val="center"/>
              <w:rPr>
                <w:rFonts w:eastAsia="Times New Roman" w:cs="Calibri"/>
                <w:b/>
                <w:bCs/>
                <w:color w:val="FFFFFF"/>
                <w:sz w:val="18"/>
                <w:szCs w:val="18"/>
                <w:lang w:val="en-US"/>
              </w:rPr>
            </w:pPr>
            <w:r w:rsidRPr="00F879EF">
              <w:rPr>
                <w:rFonts w:eastAsia="Times New Roman" w:cs="Calibri"/>
                <w:b/>
                <w:bCs/>
                <w:color w:val="FFFFFF"/>
                <w:sz w:val="18"/>
                <w:szCs w:val="18"/>
                <w:lang w:val="en-US"/>
              </w:rPr>
              <w:t xml:space="preserve"> Periodo Actual </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DCA6255" w14:textId="77777777" w:rsidR="00F879EF" w:rsidRPr="00F879EF" w:rsidRDefault="00F879EF" w:rsidP="00F879EF">
            <w:pPr>
              <w:spacing w:after="0" w:line="240" w:lineRule="auto"/>
              <w:jc w:val="center"/>
              <w:rPr>
                <w:rFonts w:eastAsia="Times New Roman" w:cs="Calibri"/>
                <w:b/>
                <w:bCs/>
                <w:color w:val="FFFFFF"/>
                <w:sz w:val="18"/>
                <w:szCs w:val="18"/>
                <w:lang w:val="en-US"/>
              </w:rPr>
            </w:pPr>
            <w:r w:rsidRPr="00F879EF">
              <w:rPr>
                <w:rFonts w:eastAsia="Times New Roman" w:cs="Calibri"/>
                <w:b/>
                <w:bCs/>
                <w:color w:val="FFFFFF"/>
                <w:sz w:val="18"/>
                <w:szCs w:val="18"/>
                <w:lang w:val="en-US"/>
              </w:rPr>
              <w:t xml:space="preserve"> Periodo Anterior </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782B07E1" w14:textId="77777777" w:rsidR="00F879EF" w:rsidRPr="00F879EF" w:rsidRDefault="00F879EF" w:rsidP="00F879EF">
            <w:pPr>
              <w:spacing w:after="0" w:line="240" w:lineRule="auto"/>
              <w:jc w:val="center"/>
              <w:rPr>
                <w:rFonts w:eastAsia="Times New Roman" w:cs="Calibri"/>
                <w:b/>
                <w:bCs/>
                <w:color w:val="FFFFFF"/>
                <w:sz w:val="18"/>
                <w:szCs w:val="18"/>
                <w:lang w:val="en-US"/>
              </w:rPr>
            </w:pPr>
            <w:r w:rsidRPr="00F879EF">
              <w:rPr>
                <w:rFonts w:eastAsia="Times New Roman" w:cs="Calibri"/>
                <w:b/>
                <w:bCs/>
                <w:color w:val="FFFFFF"/>
                <w:sz w:val="18"/>
                <w:szCs w:val="18"/>
                <w:lang w:val="en-US"/>
              </w:rPr>
              <w:t xml:space="preserve">Diferencia </w:t>
            </w:r>
          </w:p>
        </w:tc>
      </w:tr>
      <w:tr w:rsidR="00F879EF" w:rsidRPr="00F879EF" w14:paraId="598B1450" w14:textId="77777777" w:rsidTr="00F879EF">
        <w:trPr>
          <w:trHeight w:val="320"/>
        </w:trPr>
        <w:tc>
          <w:tcPr>
            <w:tcW w:w="3380" w:type="dxa"/>
            <w:vMerge/>
            <w:tcBorders>
              <w:top w:val="single" w:sz="8" w:space="0" w:color="auto"/>
              <w:left w:val="single" w:sz="8" w:space="0" w:color="auto"/>
              <w:bottom w:val="single" w:sz="8" w:space="0" w:color="000000"/>
              <w:right w:val="single" w:sz="8" w:space="0" w:color="auto"/>
            </w:tcBorders>
            <w:vAlign w:val="center"/>
            <w:hideMark/>
          </w:tcPr>
          <w:p w14:paraId="40163702" w14:textId="77777777" w:rsidR="00F879EF" w:rsidRPr="00F879EF" w:rsidRDefault="00F879EF" w:rsidP="00F879EF">
            <w:pPr>
              <w:spacing w:after="0" w:line="240" w:lineRule="auto"/>
              <w:jc w:val="left"/>
              <w:rPr>
                <w:rFonts w:eastAsia="Times New Roman" w:cs="Calibri"/>
                <w:b/>
                <w:bCs/>
                <w:color w:val="FFFFFF"/>
                <w:sz w:val="18"/>
                <w:szCs w:val="18"/>
                <w:lang w:val="en-US"/>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14:paraId="2F49108F" w14:textId="77777777" w:rsidR="00F879EF" w:rsidRPr="00F879EF" w:rsidRDefault="00F879EF" w:rsidP="00F879EF">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210D06B5" w14:textId="77777777" w:rsidR="00F879EF" w:rsidRPr="00F879EF" w:rsidRDefault="00F879EF" w:rsidP="00F879EF">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0BC70F8B" w14:textId="77777777" w:rsidR="00F879EF" w:rsidRPr="00F879EF" w:rsidRDefault="00F879EF" w:rsidP="00F879EF">
            <w:pPr>
              <w:spacing w:after="0" w:line="240" w:lineRule="auto"/>
              <w:jc w:val="left"/>
              <w:rPr>
                <w:rFonts w:eastAsia="Times New Roman" w:cs="Calibri"/>
                <w:b/>
                <w:bCs/>
                <w:color w:val="FFFFFF"/>
                <w:sz w:val="18"/>
                <w:szCs w:val="18"/>
                <w:lang w:val="en-US"/>
              </w:rPr>
            </w:pPr>
          </w:p>
        </w:tc>
        <w:tc>
          <w:tcPr>
            <w:tcW w:w="1080" w:type="dxa"/>
            <w:tcBorders>
              <w:top w:val="nil"/>
              <w:left w:val="nil"/>
              <w:bottom w:val="single" w:sz="8" w:space="0" w:color="auto"/>
              <w:right w:val="single" w:sz="8" w:space="0" w:color="auto"/>
            </w:tcBorders>
            <w:shd w:val="clear" w:color="000000" w:fill="366092"/>
            <w:noWrap/>
            <w:vAlign w:val="center"/>
            <w:hideMark/>
          </w:tcPr>
          <w:p w14:paraId="6EAC0D67" w14:textId="77777777" w:rsidR="00F879EF" w:rsidRPr="00F879EF" w:rsidRDefault="00F879EF" w:rsidP="00F879EF">
            <w:pPr>
              <w:spacing w:after="0" w:line="240" w:lineRule="auto"/>
              <w:jc w:val="center"/>
              <w:rPr>
                <w:rFonts w:eastAsia="Times New Roman" w:cs="Calibri"/>
                <w:color w:val="FFFFFF"/>
                <w:sz w:val="18"/>
                <w:szCs w:val="18"/>
                <w:lang w:val="en-US"/>
              </w:rPr>
            </w:pPr>
            <w:r w:rsidRPr="00F879EF">
              <w:rPr>
                <w:rFonts w:eastAsia="Times New Roman" w:cs="Calibri"/>
                <w:color w:val="FFFFFF"/>
                <w:sz w:val="18"/>
                <w:szCs w:val="18"/>
                <w:lang w:val="en-US"/>
              </w:rPr>
              <w:t>%</w:t>
            </w:r>
          </w:p>
        </w:tc>
      </w:tr>
      <w:tr w:rsidR="00F879EF" w:rsidRPr="00F879EF" w14:paraId="7F0EC5FD" w14:textId="77777777" w:rsidTr="00F879EF">
        <w:trPr>
          <w:trHeight w:val="320"/>
        </w:trPr>
        <w:tc>
          <w:tcPr>
            <w:tcW w:w="3380" w:type="dxa"/>
            <w:tcBorders>
              <w:top w:val="nil"/>
              <w:left w:val="single" w:sz="8" w:space="0" w:color="auto"/>
              <w:bottom w:val="single" w:sz="8" w:space="0" w:color="auto"/>
              <w:right w:val="single" w:sz="8" w:space="0" w:color="auto"/>
            </w:tcBorders>
            <w:shd w:val="clear" w:color="auto" w:fill="auto"/>
            <w:vAlign w:val="center"/>
            <w:hideMark/>
          </w:tcPr>
          <w:p w14:paraId="4797307B" w14:textId="77777777" w:rsidR="00F879EF" w:rsidRPr="00F879EF" w:rsidRDefault="00F879EF" w:rsidP="00F879EF">
            <w:pPr>
              <w:spacing w:after="0" w:line="240" w:lineRule="auto"/>
              <w:rPr>
                <w:rFonts w:eastAsia="Times New Roman" w:cs="Calibri"/>
                <w:b/>
                <w:bCs/>
                <w:color w:val="000000"/>
                <w:sz w:val="18"/>
                <w:szCs w:val="18"/>
                <w:lang w:val="en-US"/>
              </w:rPr>
            </w:pPr>
            <w:r w:rsidRPr="00F879EF">
              <w:rPr>
                <w:rFonts w:eastAsia="Times New Roman" w:cs="Calibri"/>
                <w:b/>
                <w:bCs/>
                <w:color w:val="000000"/>
                <w:sz w:val="18"/>
                <w:szCs w:val="18"/>
                <w:lang w:val="en-US"/>
              </w:rPr>
              <w:t>Cobros</w:t>
            </w:r>
          </w:p>
        </w:tc>
        <w:tc>
          <w:tcPr>
            <w:tcW w:w="520" w:type="dxa"/>
            <w:tcBorders>
              <w:top w:val="nil"/>
              <w:left w:val="nil"/>
              <w:bottom w:val="single" w:sz="8" w:space="0" w:color="auto"/>
              <w:right w:val="single" w:sz="8" w:space="0" w:color="auto"/>
            </w:tcBorders>
            <w:shd w:val="clear" w:color="auto" w:fill="auto"/>
            <w:noWrap/>
            <w:vAlign w:val="center"/>
            <w:hideMark/>
          </w:tcPr>
          <w:p w14:paraId="0E2BBC59" w14:textId="77777777" w:rsidR="00F879EF" w:rsidRPr="00F879EF" w:rsidRDefault="00F879EF" w:rsidP="00F879EF">
            <w:pPr>
              <w:spacing w:after="0" w:line="240" w:lineRule="auto"/>
              <w:jc w:val="center"/>
              <w:rPr>
                <w:rFonts w:eastAsia="Times New Roman" w:cs="Calibri"/>
                <w:b/>
                <w:bCs/>
                <w:color w:val="000000"/>
                <w:sz w:val="18"/>
                <w:szCs w:val="18"/>
                <w:lang w:val="en-US"/>
              </w:rPr>
            </w:pPr>
            <w:r w:rsidRPr="00F879EF">
              <w:rPr>
                <w:rFonts w:eastAsia="Times New Roman" w:cs="Calibri"/>
                <w:b/>
                <w:bCs/>
                <w:color w:val="000000"/>
                <w:sz w:val="18"/>
                <w:szCs w:val="18"/>
                <w:lang w:val="en-US"/>
              </w:rPr>
              <w:t>81</w:t>
            </w:r>
          </w:p>
        </w:tc>
        <w:tc>
          <w:tcPr>
            <w:tcW w:w="2200" w:type="dxa"/>
            <w:tcBorders>
              <w:top w:val="nil"/>
              <w:left w:val="nil"/>
              <w:bottom w:val="single" w:sz="8" w:space="0" w:color="auto"/>
              <w:right w:val="single" w:sz="8" w:space="0" w:color="auto"/>
            </w:tcBorders>
            <w:shd w:val="clear" w:color="auto" w:fill="auto"/>
            <w:noWrap/>
            <w:vAlign w:val="center"/>
            <w:hideMark/>
          </w:tcPr>
          <w:p w14:paraId="3EE557C2" w14:textId="77777777" w:rsidR="00F879EF" w:rsidRPr="00F879EF" w:rsidRDefault="00F879EF" w:rsidP="00F879EF">
            <w:pPr>
              <w:spacing w:after="0" w:line="240" w:lineRule="auto"/>
              <w:jc w:val="center"/>
              <w:rPr>
                <w:rFonts w:eastAsia="Times New Roman" w:cs="Calibri"/>
                <w:b/>
                <w:bCs/>
                <w:color w:val="000000"/>
                <w:sz w:val="16"/>
                <w:szCs w:val="16"/>
                <w:lang w:val="en-US"/>
              </w:rPr>
            </w:pPr>
            <w:r w:rsidRPr="00F879EF">
              <w:rPr>
                <w:rFonts w:eastAsia="Times New Roman" w:cs="Calibri"/>
                <w:b/>
                <w:bCs/>
                <w:color w:val="000000"/>
                <w:sz w:val="16"/>
                <w:szCs w:val="16"/>
                <w:lang w:val="en-US"/>
              </w:rPr>
              <w:t xml:space="preserve"> 254 836,45 </w:t>
            </w:r>
          </w:p>
        </w:tc>
        <w:tc>
          <w:tcPr>
            <w:tcW w:w="2200" w:type="dxa"/>
            <w:tcBorders>
              <w:top w:val="nil"/>
              <w:left w:val="nil"/>
              <w:bottom w:val="single" w:sz="8" w:space="0" w:color="auto"/>
              <w:right w:val="single" w:sz="8" w:space="0" w:color="auto"/>
            </w:tcBorders>
            <w:shd w:val="clear" w:color="auto" w:fill="auto"/>
            <w:noWrap/>
            <w:vAlign w:val="center"/>
            <w:hideMark/>
          </w:tcPr>
          <w:p w14:paraId="7F647481" w14:textId="77777777" w:rsidR="00F879EF" w:rsidRPr="00F879EF" w:rsidRDefault="00F879EF" w:rsidP="00F879EF">
            <w:pPr>
              <w:spacing w:after="0" w:line="240" w:lineRule="auto"/>
              <w:jc w:val="center"/>
              <w:rPr>
                <w:rFonts w:eastAsia="Times New Roman" w:cs="Calibri"/>
                <w:b/>
                <w:bCs/>
                <w:color w:val="000000"/>
                <w:sz w:val="16"/>
                <w:szCs w:val="16"/>
                <w:lang w:val="en-US"/>
              </w:rPr>
            </w:pPr>
            <w:r w:rsidRPr="00F879EF">
              <w:rPr>
                <w:rFonts w:eastAsia="Times New Roman" w:cs="Calibri"/>
                <w:b/>
                <w:bCs/>
                <w:color w:val="000000"/>
                <w:sz w:val="16"/>
                <w:szCs w:val="16"/>
                <w:lang w:val="en-US"/>
              </w:rPr>
              <w:t xml:space="preserve"> -   </w:t>
            </w:r>
          </w:p>
        </w:tc>
        <w:tc>
          <w:tcPr>
            <w:tcW w:w="1080" w:type="dxa"/>
            <w:tcBorders>
              <w:top w:val="nil"/>
              <w:left w:val="nil"/>
              <w:bottom w:val="single" w:sz="8" w:space="0" w:color="auto"/>
              <w:right w:val="single" w:sz="8" w:space="0" w:color="auto"/>
            </w:tcBorders>
            <w:shd w:val="clear" w:color="auto" w:fill="auto"/>
            <w:noWrap/>
            <w:vAlign w:val="center"/>
            <w:hideMark/>
          </w:tcPr>
          <w:p w14:paraId="4BD6808F" w14:textId="77777777" w:rsidR="00F879EF" w:rsidRPr="00F879EF" w:rsidRDefault="00F879EF" w:rsidP="00F879EF">
            <w:pPr>
              <w:spacing w:after="0" w:line="240" w:lineRule="auto"/>
              <w:jc w:val="center"/>
              <w:rPr>
                <w:rFonts w:eastAsia="Times New Roman" w:cs="Calibri"/>
                <w:b/>
                <w:bCs/>
                <w:color w:val="000000"/>
                <w:sz w:val="18"/>
                <w:szCs w:val="18"/>
                <w:lang w:val="en-US"/>
              </w:rPr>
            </w:pPr>
            <w:r w:rsidRPr="00F879EF">
              <w:rPr>
                <w:rFonts w:eastAsia="Times New Roman" w:cs="Calibri"/>
                <w:b/>
                <w:bCs/>
                <w:color w:val="000000"/>
                <w:sz w:val="18"/>
                <w:szCs w:val="18"/>
                <w:lang w:val="en-US"/>
              </w:rPr>
              <w:t>0,00%</w:t>
            </w:r>
          </w:p>
        </w:tc>
      </w:tr>
    </w:tbl>
    <w:p w14:paraId="45B21DA9" w14:textId="43AFF95C" w:rsidR="00694299" w:rsidRPr="00F879EF" w:rsidRDefault="00C95739" w:rsidP="00F879EF">
      <w:pPr>
        <w:spacing w:after="0" w:line="240" w:lineRule="auto"/>
        <w:rPr>
          <w:rFonts w:asciiTheme="minorHAnsi" w:hAnsiTheme="minorHAnsi"/>
          <w:sz w:val="22"/>
        </w:rPr>
      </w:pPr>
      <w:r>
        <w:rPr>
          <w:lang w:eastAsia="es-CR"/>
        </w:rPr>
        <w:fldChar w:fldCharType="begin"/>
      </w:r>
      <w:r>
        <w:rPr>
          <w:lang w:eastAsia="es-CR"/>
        </w:rPr>
        <w:instrText xml:space="preserve"> LINK </w:instrText>
      </w:r>
      <w:r w:rsidR="0068177A">
        <w:rPr>
          <w:lang w:eastAsia="es-CR"/>
        </w:rPr>
        <w:instrText xml:space="preserve">Excel.SheetMacroEnabled.12 "C:\\Users\\arges\\OneDrive\\Desktop\\Municipalidades\\Buenos Aires\\Cierre Junio 2024\\Notas Contables\\15603_T02_2024_Anexo_Estado_Notas_Contables_Vinculadas.xlsm" NOTAS_POR_CUENTA!R454C2:R456C6 </w:instrText>
      </w:r>
      <w:r>
        <w:rPr>
          <w:lang w:eastAsia="es-CR"/>
        </w:rPr>
        <w:instrText xml:space="preserve">\a \f 4 \h </w:instrText>
      </w:r>
      <w:r>
        <w:rPr>
          <w:lang w:eastAsia="es-CR"/>
        </w:rPr>
        <w:fldChar w:fldCharType="end"/>
      </w:r>
      <w:r w:rsidR="007F611C">
        <w:rPr>
          <w:rFonts w:eastAsia="Times New Roman" w:cs="Calibri"/>
          <w:color w:val="000000"/>
          <w:lang w:eastAsia="es-CR"/>
        </w:rPr>
        <w:fldChar w:fldCharType="begin"/>
      </w:r>
      <w:r w:rsidR="007F611C">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NOTAS_POR_CUENTA!F456C8 </w:instrText>
      </w:r>
      <w:r w:rsidR="007F611C">
        <w:rPr>
          <w:rFonts w:eastAsia="Times New Roman" w:cs="Calibri"/>
          <w:color w:val="000000"/>
          <w:lang w:eastAsia="es-CR"/>
        </w:rPr>
        <w:instrText xml:space="preserve">\a \f 5 \h  \* MERGEFORMAT </w:instrText>
      </w:r>
      <w:r w:rsidR="007F611C">
        <w:rPr>
          <w:rFonts w:eastAsia="Times New Roman" w:cs="Calibri"/>
          <w:color w:val="000000"/>
          <w:lang w:eastAsia="es-CR"/>
        </w:rPr>
        <w:fldChar w:fldCharType="separate"/>
      </w:r>
    </w:p>
    <w:p w14:paraId="59D152F5" w14:textId="33EDA419" w:rsidR="00694299" w:rsidRDefault="00694299" w:rsidP="00C95739">
      <w:pPr>
        <w:spacing w:after="0" w:line="240" w:lineRule="auto"/>
        <w:rPr>
          <w:rFonts w:eastAsia="Times New Roman" w:cs="Calibri"/>
          <w:color w:val="000000"/>
          <w:lang w:eastAsia="es-CR"/>
        </w:rPr>
      </w:pPr>
      <w:r w:rsidRPr="00694299">
        <w:rPr>
          <w:rFonts w:eastAsia="Times New Roman" w:cs="Calibri"/>
          <w:color w:val="000000"/>
          <w:lang w:eastAsia="es-CR"/>
        </w:rPr>
        <w:t xml:space="preserve">Los Cobros de los Flujos de Efectivo de las Actividades de Financiamiento, comparado al periodo anterior genera una variación absoluta </w:t>
      </w:r>
      <w:r w:rsidR="00545836" w:rsidRPr="00694299">
        <w:rPr>
          <w:rFonts w:eastAsia="Times New Roman" w:cs="Calibri"/>
          <w:color w:val="000000"/>
          <w:lang w:eastAsia="es-CR"/>
        </w:rPr>
        <w:t xml:space="preserve">de </w:t>
      </w:r>
      <w:r w:rsidR="00F879EF">
        <w:rPr>
          <w:rFonts w:eastAsia="Times New Roman" w:cs="Calibri"/>
          <w:color w:val="000000"/>
          <w:lang w:eastAsia="es-CR"/>
        </w:rPr>
        <w:t>254 836,45</w:t>
      </w:r>
      <w:r w:rsidR="00C95739" w:rsidRPr="00545836">
        <w:rPr>
          <w:rFonts w:eastAsia="Times New Roman" w:cs="Calibri"/>
          <w:color w:val="000000"/>
          <w:lang w:eastAsia="es-CR"/>
        </w:rPr>
        <w:t xml:space="preserve"> </w:t>
      </w:r>
      <w:r w:rsidR="00C95739" w:rsidRPr="00694299">
        <w:rPr>
          <w:rFonts w:eastAsia="Times New Roman" w:cs="Calibri"/>
          <w:color w:val="000000"/>
          <w:lang w:eastAsia="es-CR"/>
        </w:rPr>
        <w:t>que</w:t>
      </w:r>
      <w:r w:rsidRPr="00694299">
        <w:rPr>
          <w:rFonts w:eastAsia="Times New Roman" w:cs="Calibri"/>
          <w:color w:val="000000"/>
          <w:lang w:eastAsia="es-CR"/>
        </w:rPr>
        <w:t xml:space="preserve"> corresponde a un Aumento del </w:t>
      </w:r>
      <w:r w:rsidR="00545836">
        <w:rPr>
          <w:rFonts w:eastAsia="Times New Roman" w:cs="Calibri"/>
          <w:color w:val="000000"/>
          <w:lang w:eastAsia="es-CR"/>
        </w:rPr>
        <w:t>0</w:t>
      </w:r>
      <w:r w:rsidRPr="00694299">
        <w:rPr>
          <w:rFonts w:eastAsia="Times New Roman" w:cs="Calibri"/>
          <w:color w:val="000000"/>
          <w:lang w:eastAsia="es-CR"/>
        </w:rPr>
        <w:t>,00% de recursos disponibles.</w:t>
      </w:r>
    </w:p>
    <w:p w14:paraId="4DB2367B" w14:textId="77777777" w:rsidR="00C95739" w:rsidRPr="00694299" w:rsidRDefault="00C95739" w:rsidP="00C95739">
      <w:pPr>
        <w:spacing w:after="0" w:line="240" w:lineRule="auto"/>
        <w:rPr>
          <w:rFonts w:eastAsia="Times New Roman" w:cs="Calibri"/>
          <w:color w:val="000000"/>
          <w:lang w:eastAsia="es-CR"/>
        </w:rPr>
      </w:pPr>
    </w:p>
    <w:p w14:paraId="4D8DD5BE" w14:textId="1752E36D" w:rsidR="00692DC8" w:rsidRDefault="007F611C" w:rsidP="00F879EF">
      <w:pPr>
        <w:spacing w:after="120" w:line="240" w:lineRule="auto"/>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3304D969" w14:textId="68C4B1A7" w:rsidR="005C3713" w:rsidRPr="00A91674" w:rsidRDefault="005C3713" w:rsidP="005C3713">
      <w:pPr>
        <w:spacing w:line="240" w:lineRule="auto"/>
      </w:pPr>
      <w:r>
        <w:t xml:space="preserve">Que al </w:t>
      </w:r>
      <w:r w:rsidR="00D470B6">
        <w:t>30 de junio</w:t>
      </w:r>
      <w:r>
        <w:t xml:space="preserve"> de 2023 no se habían recibido desembolsos correspondientes al préstamo que la Municipalidad contrajo con el IFAM </w:t>
      </w:r>
      <w:r w:rsidRPr="00A91674">
        <w:rPr>
          <w:rFonts w:eastAsiaTheme="minorEastAsia" w:cs="Arial Narrow"/>
          <w:color w:val="000000"/>
          <w:lang w:eastAsia="es-CR"/>
        </w:rPr>
        <w:t>Nº 6-CVL-1457-0718 para el Mejoramiento de la Red Vial Cantonal y Compra de Maquinaría</w:t>
      </w:r>
      <w:r>
        <w:rPr>
          <w:rFonts w:eastAsiaTheme="minorEastAsia" w:cs="Arial Narrow"/>
          <w:color w:val="000000"/>
          <w:lang w:eastAsia="es-CR"/>
        </w:rPr>
        <w:t>,</w:t>
      </w:r>
      <w:r>
        <w:t xml:space="preserve"> mientras que al </w:t>
      </w:r>
      <w:r w:rsidR="00D470B6">
        <w:t>30 de junio</w:t>
      </w:r>
      <w:r>
        <w:t xml:space="preserve"> de 2024 se han percibido recursos nuevos por el monto de la variación (</w:t>
      </w:r>
      <w:r w:rsidRPr="00524F36">
        <w:rPr>
          <w:rFonts w:ascii="Arial" w:hAnsi="Arial" w:cs="Arial"/>
        </w:rPr>
        <w:t>₡</w:t>
      </w:r>
      <w:r w:rsidR="00F879EF">
        <w:t>254 836,45</w:t>
      </w:r>
      <w:r>
        <w:t xml:space="preserve"> miles).</w:t>
      </w:r>
    </w:p>
    <w:p w14:paraId="218F703C" w14:textId="77777777" w:rsidR="00692DC8" w:rsidRPr="00692DC8" w:rsidRDefault="00692DC8" w:rsidP="0037354C">
      <w:pPr>
        <w:rPr>
          <w:rFonts w:eastAsia="Times New Roman"/>
          <w:bCs/>
          <w:szCs w:val="24"/>
          <w:lang w:eastAsia="es-ES"/>
        </w:rPr>
      </w:pPr>
    </w:p>
    <w:p w14:paraId="16D170B6" w14:textId="77777777" w:rsidR="00692DC8" w:rsidRPr="00692DC8" w:rsidRDefault="00692DC8" w:rsidP="0037354C">
      <w:pPr>
        <w:pStyle w:val="Ttulo4"/>
        <w:spacing w:after="240"/>
        <w:rPr>
          <w:rFonts w:eastAsia="Times New Roman"/>
        </w:rPr>
      </w:pPr>
      <w:bookmarkStart w:id="1040" w:name="_Toc33601368"/>
      <w:bookmarkStart w:id="1041" w:name="_Toc82769087"/>
      <w:bookmarkStart w:id="1042" w:name="_Toc173245331"/>
      <w:r w:rsidRPr="00692DC8">
        <w:rPr>
          <w:rFonts w:eastAsia="Times New Roman"/>
        </w:rPr>
        <w:t>NOTA N°8</w:t>
      </w:r>
      <w:bookmarkEnd w:id="1040"/>
      <w:bookmarkEnd w:id="1041"/>
      <w:r w:rsidRPr="00692DC8">
        <w:rPr>
          <w:rFonts w:eastAsia="Times New Roman"/>
        </w:rPr>
        <w:t>2</w:t>
      </w:r>
      <w:bookmarkEnd w:id="1042"/>
    </w:p>
    <w:p w14:paraId="3B1FD5CD" w14:textId="77777777" w:rsidR="00F879EF" w:rsidRDefault="00692DC8" w:rsidP="00C95739">
      <w:pPr>
        <w:spacing w:before="120" w:after="0" w:line="240" w:lineRule="auto"/>
        <w:rPr>
          <w:rFonts w:eastAsia="Times New Roman"/>
        </w:rPr>
      </w:pPr>
      <w:bookmarkStart w:id="1043" w:name="_Toc33601369"/>
      <w:bookmarkStart w:id="1044" w:name="_Toc82769088"/>
      <w:r w:rsidRPr="00692DC8">
        <w:rPr>
          <w:rFonts w:eastAsia="Times New Roman"/>
        </w:rPr>
        <w:t>Pagos</w:t>
      </w:r>
      <w:bookmarkEnd w:id="1043"/>
      <w:bookmarkEnd w:id="1044"/>
    </w:p>
    <w:p w14:paraId="5F1B16D2" w14:textId="76C3529F" w:rsidR="00C572A3" w:rsidRDefault="00C95739" w:rsidP="005C3713">
      <w:pPr>
        <w:spacing w:after="0" w:line="240" w:lineRule="auto"/>
        <w:rPr>
          <w:rFonts w:asciiTheme="minorHAnsi" w:hAnsiTheme="minorHAnsi"/>
          <w:sz w:val="22"/>
        </w:rPr>
      </w:pP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68177A">
        <w:rPr>
          <w:rFonts w:eastAsia="Times New Roman" w:cs="Calibri"/>
          <w:color w:val="000000"/>
          <w:lang w:eastAsia="es-CR"/>
        </w:rPr>
        <w:instrText xml:space="preserve">Excel.SheetMacroEnabled.12 "C:\\Users\\arges\\OneDrive\\Desktop\\Municipalidades\\Buenos Aires\\Cierre Junio 2024\\Notas Contables\\15603_T02_2024_Anexo_Estado_Notas_Contables_Vinculadas.xlsm" NOTAS_POR_CUENTA!R458C2:R460C6 </w:instrText>
      </w:r>
      <w:r>
        <w:rPr>
          <w:rFonts w:eastAsia="Times New Roman" w:cs="Calibri"/>
          <w:color w:val="000000"/>
          <w:lang w:eastAsia="es-CR"/>
        </w:rPr>
        <w:instrText xml:space="preserve">\a \f 4 \h </w:instrText>
      </w:r>
      <w:r>
        <w:rPr>
          <w:rFonts w:eastAsia="Times New Roman" w:cs="Calibri"/>
          <w:color w:val="000000"/>
          <w:lang w:eastAsia="es-CR"/>
        </w:rPr>
        <w:fldChar w:fldCharType="separate"/>
      </w:r>
    </w:p>
    <w:tbl>
      <w:tblPr>
        <w:tblW w:w="9380" w:type="dxa"/>
        <w:tblLook w:val="04A0" w:firstRow="1" w:lastRow="0" w:firstColumn="1" w:lastColumn="0" w:noHBand="0" w:noVBand="1"/>
      </w:tblPr>
      <w:tblGrid>
        <w:gridCol w:w="3380"/>
        <w:gridCol w:w="544"/>
        <w:gridCol w:w="2200"/>
        <w:gridCol w:w="2200"/>
        <w:gridCol w:w="1080"/>
      </w:tblGrid>
      <w:tr w:rsidR="00C572A3" w:rsidRPr="00C572A3" w14:paraId="34C59E2B" w14:textId="77777777" w:rsidTr="00C572A3">
        <w:trPr>
          <w:trHeight w:val="320"/>
        </w:trPr>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6CC4AC0" w14:textId="2D7791A4" w:rsidR="00C572A3" w:rsidRPr="00C572A3" w:rsidRDefault="00C572A3">
            <w:pP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Descripción </w:t>
            </w:r>
          </w:p>
        </w:tc>
        <w:tc>
          <w:tcPr>
            <w:tcW w:w="5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65C712E"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Nota</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36ECBDA"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Actual </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C8F3161"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Anterior </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3C661F25"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Diferencia </w:t>
            </w:r>
          </w:p>
        </w:tc>
      </w:tr>
      <w:tr w:rsidR="00C572A3" w:rsidRPr="00C572A3" w14:paraId="530ADE93" w14:textId="77777777" w:rsidTr="00C572A3">
        <w:trPr>
          <w:trHeight w:val="320"/>
        </w:trPr>
        <w:tc>
          <w:tcPr>
            <w:tcW w:w="3380" w:type="dxa"/>
            <w:vMerge/>
            <w:tcBorders>
              <w:top w:val="single" w:sz="8" w:space="0" w:color="auto"/>
              <w:left w:val="single" w:sz="8" w:space="0" w:color="auto"/>
              <w:bottom w:val="single" w:sz="8" w:space="0" w:color="000000"/>
              <w:right w:val="single" w:sz="8" w:space="0" w:color="auto"/>
            </w:tcBorders>
            <w:vAlign w:val="center"/>
            <w:hideMark/>
          </w:tcPr>
          <w:p w14:paraId="1C51954A"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14:paraId="00D8FE2B"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1F9B79A3"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2A9616AB"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1080" w:type="dxa"/>
            <w:tcBorders>
              <w:top w:val="nil"/>
              <w:left w:val="nil"/>
              <w:bottom w:val="single" w:sz="8" w:space="0" w:color="auto"/>
              <w:right w:val="single" w:sz="8" w:space="0" w:color="auto"/>
            </w:tcBorders>
            <w:shd w:val="clear" w:color="000000" w:fill="366092"/>
            <w:noWrap/>
            <w:vAlign w:val="center"/>
            <w:hideMark/>
          </w:tcPr>
          <w:p w14:paraId="5AF062CB" w14:textId="77777777" w:rsidR="00C572A3" w:rsidRPr="00C572A3" w:rsidRDefault="00C572A3" w:rsidP="00C572A3">
            <w:pPr>
              <w:spacing w:after="0" w:line="240" w:lineRule="auto"/>
              <w:jc w:val="center"/>
              <w:rPr>
                <w:rFonts w:eastAsia="Times New Roman" w:cs="Calibri"/>
                <w:color w:val="FFFFFF"/>
                <w:sz w:val="18"/>
                <w:szCs w:val="18"/>
                <w:lang w:val="en-US"/>
              </w:rPr>
            </w:pPr>
            <w:r w:rsidRPr="00C572A3">
              <w:rPr>
                <w:rFonts w:eastAsia="Times New Roman" w:cs="Calibri"/>
                <w:color w:val="FFFFFF"/>
                <w:sz w:val="18"/>
                <w:szCs w:val="18"/>
                <w:lang w:val="en-US"/>
              </w:rPr>
              <w:t>%</w:t>
            </w:r>
          </w:p>
        </w:tc>
      </w:tr>
      <w:tr w:rsidR="00C572A3" w:rsidRPr="00C572A3" w14:paraId="2CAF7A82" w14:textId="77777777" w:rsidTr="00C572A3">
        <w:trPr>
          <w:trHeight w:val="320"/>
        </w:trPr>
        <w:tc>
          <w:tcPr>
            <w:tcW w:w="3380" w:type="dxa"/>
            <w:tcBorders>
              <w:top w:val="nil"/>
              <w:left w:val="single" w:sz="8" w:space="0" w:color="auto"/>
              <w:bottom w:val="single" w:sz="8" w:space="0" w:color="auto"/>
              <w:right w:val="single" w:sz="8" w:space="0" w:color="auto"/>
            </w:tcBorders>
            <w:shd w:val="clear" w:color="auto" w:fill="auto"/>
            <w:noWrap/>
            <w:vAlign w:val="center"/>
            <w:hideMark/>
          </w:tcPr>
          <w:p w14:paraId="630980DF" w14:textId="77777777" w:rsidR="00C572A3" w:rsidRPr="00C572A3" w:rsidRDefault="00C572A3" w:rsidP="00C572A3">
            <w:pPr>
              <w:spacing w:after="0" w:line="240" w:lineRule="auto"/>
              <w:jc w:val="left"/>
              <w:rPr>
                <w:rFonts w:eastAsia="Times New Roman" w:cs="Calibri"/>
                <w:b/>
                <w:bCs/>
                <w:color w:val="000000"/>
                <w:sz w:val="18"/>
                <w:szCs w:val="18"/>
                <w:lang w:val="en-US"/>
              </w:rPr>
            </w:pPr>
            <w:r w:rsidRPr="00C572A3">
              <w:rPr>
                <w:rFonts w:eastAsia="Times New Roman" w:cs="Calibri"/>
                <w:b/>
                <w:bCs/>
                <w:color w:val="000000"/>
                <w:sz w:val="18"/>
                <w:szCs w:val="18"/>
                <w:lang w:val="en-US"/>
              </w:rPr>
              <w:t>Pagos</w:t>
            </w:r>
          </w:p>
        </w:tc>
        <w:tc>
          <w:tcPr>
            <w:tcW w:w="520" w:type="dxa"/>
            <w:tcBorders>
              <w:top w:val="nil"/>
              <w:left w:val="nil"/>
              <w:bottom w:val="single" w:sz="8" w:space="0" w:color="auto"/>
              <w:right w:val="single" w:sz="8" w:space="0" w:color="auto"/>
            </w:tcBorders>
            <w:shd w:val="clear" w:color="auto" w:fill="auto"/>
            <w:noWrap/>
            <w:vAlign w:val="center"/>
            <w:hideMark/>
          </w:tcPr>
          <w:p w14:paraId="7EA1D22F"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82</w:t>
            </w:r>
          </w:p>
        </w:tc>
        <w:tc>
          <w:tcPr>
            <w:tcW w:w="2200" w:type="dxa"/>
            <w:tcBorders>
              <w:top w:val="nil"/>
              <w:left w:val="nil"/>
              <w:bottom w:val="single" w:sz="8" w:space="0" w:color="auto"/>
              <w:right w:val="single" w:sz="8" w:space="0" w:color="auto"/>
            </w:tcBorders>
            <w:shd w:val="clear" w:color="auto" w:fill="auto"/>
            <w:noWrap/>
            <w:vAlign w:val="center"/>
            <w:hideMark/>
          </w:tcPr>
          <w:p w14:paraId="210959D9"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248 609,67 </w:t>
            </w:r>
          </w:p>
        </w:tc>
        <w:tc>
          <w:tcPr>
            <w:tcW w:w="2200" w:type="dxa"/>
            <w:tcBorders>
              <w:top w:val="nil"/>
              <w:left w:val="nil"/>
              <w:bottom w:val="single" w:sz="8" w:space="0" w:color="auto"/>
              <w:right w:val="single" w:sz="8" w:space="0" w:color="auto"/>
            </w:tcBorders>
            <w:shd w:val="clear" w:color="auto" w:fill="auto"/>
            <w:noWrap/>
            <w:vAlign w:val="center"/>
            <w:hideMark/>
          </w:tcPr>
          <w:p w14:paraId="7EC8AE93"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216 211,81 </w:t>
            </w:r>
          </w:p>
        </w:tc>
        <w:tc>
          <w:tcPr>
            <w:tcW w:w="1080" w:type="dxa"/>
            <w:tcBorders>
              <w:top w:val="nil"/>
              <w:left w:val="nil"/>
              <w:bottom w:val="single" w:sz="8" w:space="0" w:color="auto"/>
              <w:right w:val="single" w:sz="8" w:space="0" w:color="auto"/>
            </w:tcBorders>
            <w:shd w:val="clear" w:color="auto" w:fill="auto"/>
            <w:noWrap/>
            <w:vAlign w:val="center"/>
            <w:hideMark/>
          </w:tcPr>
          <w:p w14:paraId="73DE27F3"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14,98%</w:t>
            </w:r>
          </w:p>
        </w:tc>
      </w:tr>
    </w:tbl>
    <w:p w14:paraId="1C0E36D2" w14:textId="20626FAA" w:rsidR="00694299" w:rsidRPr="00694299" w:rsidRDefault="00C95739" w:rsidP="005C3713">
      <w:pPr>
        <w:spacing w:after="0" w:line="240" w:lineRule="auto"/>
        <w:rPr>
          <w:rFonts w:eastAsia="Times New Roman" w:cs="Calibri"/>
          <w:color w:val="000000"/>
          <w:lang w:eastAsia="es-CR"/>
        </w:rPr>
      </w:pPr>
      <w:r>
        <w:rPr>
          <w:rFonts w:eastAsia="Times New Roman" w:cs="Calibri"/>
          <w:color w:val="000000"/>
          <w:lang w:eastAsia="es-CR"/>
        </w:rPr>
        <w:fldChar w:fldCharType="end"/>
      </w:r>
      <w:r w:rsidR="00E50AC3">
        <w:rPr>
          <w:rFonts w:eastAsia="Times New Roman" w:cs="Calibri"/>
          <w:color w:val="000000"/>
          <w:lang w:eastAsia="es-CR"/>
        </w:rPr>
        <w:fldChar w:fldCharType="begin"/>
      </w:r>
      <w:r w:rsidR="00E50AC3">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NOTAS_POR_CUENTA!F460C8 </w:instrText>
      </w:r>
      <w:r w:rsidR="00E50AC3">
        <w:rPr>
          <w:rFonts w:eastAsia="Times New Roman" w:cs="Calibri"/>
          <w:color w:val="000000"/>
          <w:lang w:eastAsia="es-CR"/>
        </w:rPr>
        <w:instrText xml:space="preserve">\a \f 5 \h  \* MERGEFORMAT </w:instrText>
      </w:r>
      <w:r w:rsidR="00E50AC3">
        <w:rPr>
          <w:rFonts w:eastAsia="Times New Roman" w:cs="Calibri"/>
          <w:color w:val="000000"/>
          <w:lang w:eastAsia="es-CR"/>
        </w:rPr>
        <w:fldChar w:fldCharType="separate"/>
      </w:r>
    </w:p>
    <w:p w14:paraId="1A8F0974" w14:textId="28057AE7" w:rsidR="00694299" w:rsidRPr="00694299" w:rsidRDefault="00694299" w:rsidP="00F879EF">
      <w:pPr>
        <w:spacing w:line="240" w:lineRule="auto"/>
        <w:rPr>
          <w:rFonts w:eastAsia="Times New Roman" w:cs="Calibri"/>
          <w:color w:val="000000"/>
          <w:lang w:eastAsia="es-CR"/>
        </w:rPr>
      </w:pPr>
      <w:r w:rsidRPr="00694299">
        <w:rPr>
          <w:rFonts w:eastAsia="Times New Roman" w:cs="Calibri"/>
          <w:color w:val="000000"/>
          <w:lang w:eastAsia="es-CR"/>
        </w:rPr>
        <w:t xml:space="preserve">Los Pagos de los Flujos de Efectivo de las Actividades de Financiamiento, comparado al periodo anterior genera una variación absoluta de </w:t>
      </w:r>
      <w:r w:rsidR="00F879EF" w:rsidRPr="00F879EF">
        <w:rPr>
          <w:rFonts w:eastAsia="Times New Roman" w:cs="Calibri"/>
          <w:color w:val="000000"/>
          <w:lang w:eastAsia="es-CR"/>
        </w:rPr>
        <w:t xml:space="preserve">32 397,86 </w:t>
      </w:r>
      <w:r w:rsidRPr="00694299">
        <w:rPr>
          <w:rFonts w:eastAsia="Times New Roman" w:cs="Calibri"/>
          <w:color w:val="000000"/>
          <w:lang w:eastAsia="es-CR"/>
        </w:rPr>
        <w:t>que corresponde a un</w:t>
      </w:r>
      <w:r w:rsidR="00545836">
        <w:rPr>
          <w:rFonts w:eastAsia="Times New Roman" w:cs="Calibri"/>
          <w:color w:val="000000"/>
          <w:lang w:eastAsia="es-CR"/>
        </w:rPr>
        <w:t>a Disminución</w:t>
      </w:r>
      <w:r w:rsidRPr="00694299">
        <w:rPr>
          <w:rFonts w:eastAsia="Times New Roman" w:cs="Calibri"/>
          <w:color w:val="000000"/>
          <w:lang w:eastAsia="es-CR"/>
        </w:rPr>
        <w:t xml:space="preserve"> del </w:t>
      </w:r>
      <w:r w:rsidR="00545836">
        <w:rPr>
          <w:rFonts w:eastAsia="Times New Roman" w:cs="Calibri"/>
          <w:color w:val="000000"/>
          <w:lang w:eastAsia="es-CR"/>
        </w:rPr>
        <w:t>1</w:t>
      </w:r>
      <w:r w:rsidR="00F879EF">
        <w:rPr>
          <w:rFonts w:eastAsia="Times New Roman" w:cs="Calibri"/>
          <w:color w:val="000000"/>
          <w:lang w:eastAsia="es-CR"/>
        </w:rPr>
        <w:t>4</w:t>
      </w:r>
      <w:r w:rsidRPr="00694299">
        <w:rPr>
          <w:rFonts w:eastAsia="Times New Roman" w:cs="Calibri"/>
          <w:color w:val="000000"/>
          <w:lang w:eastAsia="es-CR"/>
        </w:rPr>
        <w:t>,</w:t>
      </w:r>
      <w:r w:rsidR="00F879EF">
        <w:rPr>
          <w:rFonts w:eastAsia="Times New Roman" w:cs="Calibri"/>
          <w:color w:val="000000"/>
          <w:lang w:eastAsia="es-CR"/>
        </w:rPr>
        <w:t>98</w:t>
      </w:r>
      <w:r w:rsidRPr="00694299">
        <w:rPr>
          <w:rFonts w:eastAsia="Times New Roman" w:cs="Calibri"/>
          <w:color w:val="000000"/>
          <w:lang w:eastAsia="es-CR"/>
        </w:rPr>
        <w:t>% de recursos disponibles.</w:t>
      </w:r>
    </w:p>
    <w:p w14:paraId="1C93969D" w14:textId="13206804" w:rsidR="00692DC8" w:rsidRDefault="00E50AC3" w:rsidP="00F879EF">
      <w:pPr>
        <w:spacing w:line="240" w:lineRule="auto"/>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D894E81" w14:textId="77777777" w:rsidR="005C3713" w:rsidRDefault="005C3713" w:rsidP="005C3713">
      <w:pPr>
        <w:spacing w:after="0" w:line="240" w:lineRule="auto"/>
        <w:rPr>
          <w:rFonts w:eastAsiaTheme="minorEastAsia" w:cs="Arial Narrow"/>
          <w:color w:val="000000"/>
          <w:lang w:eastAsia="es-CR"/>
        </w:rPr>
      </w:pPr>
      <w:r>
        <w:t xml:space="preserve">Los pagos por operaciones de financiamiento corresponden a la cancelación de cuotas sobre el crédito que mantiene la Municipalidad con el IFAM, según </w:t>
      </w:r>
      <w:r w:rsidRPr="00A91674">
        <w:rPr>
          <w:rFonts w:eastAsiaTheme="minorEastAsia" w:cs="Arial Narrow"/>
          <w:color w:val="000000"/>
          <w:lang w:eastAsia="es-CR"/>
        </w:rPr>
        <w:t>Contrato de Préstamo entre IFAM y La Municipalidad de Buenos Aires, Nº 6-CVL-1457-0718 para el Mejoramiento de la Red Vial Cantonal y Compra de Maquinaría</w:t>
      </w:r>
      <w:r>
        <w:rPr>
          <w:rFonts w:eastAsiaTheme="minorEastAsia" w:cs="Arial Narrow"/>
          <w:color w:val="000000"/>
          <w:lang w:eastAsia="es-CR"/>
        </w:rPr>
        <w:t>.</w:t>
      </w:r>
    </w:p>
    <w:p w14:paraId="679558B8" w14:textId="77777777" w:rsidR="005C3713" w:rsidRPr="00A91674" w:rsidRDefault="005C3713" w:rsidP="005C3713">
      <w:pPr>
        <w:spacing w:after="0" w:line="240" w:lineRule="auto"/>
      </w:pPr>
    </w:p>
    <w:p w14:paraId="6779767A" w14:textId="0BC547F8" w:rsidR="005C3713" w:rsidRPr="00B63913" w:rsidRDefault="005C3713" w:rsidP="005C3713">
      <w:pPr>
        <w:spacing w:after="0" w:line="240" w:lineRule="auto"/>
      </w:pPr>
      <w:r>
        <w:t xml:space="preserve">Como se puede observar en el Estado de Flujo de Efectivo la variación se origina como producto de una mayor salida de efectivo al </w:t>
      </w:r>
      <w:r w:rsidR="00D470B6">
        <w:t>30 de junio</w:t>
      </w:r>
      <w:r>
        <w:t xml:space="preserve"> de 2024 que las salidas al </w:t>
      </w:r>
      <w:r w:rsidR="00D470B6">
        <w:t>30 de junio</w:t>
      </w:r>
      <w:r>
        <w:t xml:space="preserve"> de 2023 en los saldos que conforman este apartado del estado, debido a la cancelación de amortizaciones por </w:t>
      </w:r>
      <w:r w:rsidRPr="00A21A0A">
        <w:rPr>
          <w:rFonts w:ascii="Arial" w:hAnsi="Arial" w:cs="Arial"/>
        </w:rPr>
        <w:t>₡</w:t>
      </w:r>
      <w:r w:rsidR="009D702A">
        <w:rPr>
          <w:rFonts w:cs="Arial"/>
        </w:rPr>
        <w:t>34</w:t>
      </w:r>
      <w:r w:rsidRPr="00A21A0A">
        <w:t> </w:t>
      </w:r>
      <w:r w:rsidR="009D702A">
        <w:t>5</w:t>
      </w:r>
      <w:r w:rsidRPr="00A21A0A">
        <w:t>0</w:t>
      </w:r>
      <w:r w:rsidR="009D702A">
        <w:t>6</w:t>
      </w:r>
      <w:r w:rsidRPr="00A21A0A">
        <w:t>,</w:t>
      </w:r>
      <w:r w:rsidR="009D702A">
        <w:t>3</w:t>
      </w:r>
      <w:r w:rsidRPr="00A21A0A">
        <w:t>6 miles</w:t>
      </w:r>
      <w:r>
        <w:t xml:space="preserve"> más y</w:t>
      </w:r>
      <w:r w:rsidRPr="00B63913">
        <w:t xml:space="preserve"> </w:t>
      </w:r>
      <w:r>
        <w:t>en intereses del citado préstamo por -</w:t>
      </w:r>
      <w:r w:rsidRPr="00A21A0A">
        <w:rPr>
          <w:rFonts w:ascii="Arial" w:hAnsi="Arial" w:cs="Arial"/>
        </w:rPr>
        <w:t>₡</w:t>
      </w:r>
      <w:r w:rsidR="009D702A">
        <w:t>2</w:t>
      </w:r>
      <w:r>
        <w:t> </w:t>
      </w:r>
      <w:r w:rsidR="009D702A">
        <w:t>108</w:t>
      </w:r>
      <w:r>
        <w:t>,</w:t>
      </w:r>
      <w:r w:rsidR="009D702A">
        <w:t>50</w:t>
      </w:r>
      <w:r w:rsidRPr="00B63913">
        <w:t xml:space="preserve"> miles</w:t>
      </w:r>
      <w:r>
        <w:t xml:space="preserve"> menos. Ver al respecto lo comentado en las notas Nros. 15, 20 y 67  </w:t>
      </w:r>
    </w:p>
    <w:p w14:paraId="2705D0F4" w14:textId="77777777" w:rsidR="00692DC8" w:rsidRPr="00692DC8" w:rsidRDefault="00692DC8" w:rsidP="0037354C">
      <w:pPr>
        <w:rPr>
          <w:szCs w:val="24"/>
        </w:rPr>
      </w:pPr>
    </w:p>
    <w:p w14:paraId="252DEF8B" w14:textId="77777777" w:rsidR="00692DC8" w:rsidRPr="00692DC8" w:rsidRDefault="00692DC8" w:rsidP="0037354C">
      <w:pPr>
        <w:pStyle w:val="Ttulo4"/>
        <w:spacing w:after="240"/>
        <w:rPr>
          <w:rFonts w:eastAsia="Times New Roman"/>
        </w:rPr>
      </w:pPr>
      <w:bookmarkStart w:id="1045" w:name="_Toc33601370"/>
      <w:bookmarkStart w:id="1046" w:name="_Toc82769089"/>
      <w:bookmarkStart w:id="1047" w:name="_Toc173245332"/>
      <w:r w:rsidRPr="00692DC8">
        <w:rPr>
          <w:rFonts w:eastAsia="Times New Roman"/>
        </w:rPr>
        <w:t>NOTA N°8</w:t>
      </w:r>
      <w:bookmarkEnd w:id="1045"/>
      <w:bookmarkEnd w:id="1046"/>
      <w:r w:rsidRPr="00692DC8">
        <w:rPr>
          <w:rFonts w:eastAsia="Times New Roman"/>
        </w:rPr>
        <w:t>3</w:t>
      </w:r>
      <w:bookmarkEnd w:id="1047"/>
    </w:p>
    <w:p w14:paraId="02FEC043" w14:textId="77777777" w:rsidR="00694299" w:rsidRDefault="00692DC8" w:rsidP="00C95739">
      <w:pPr>
        <w:spacing w:before="120" w:after="120" w:line="240" w:lineRule="auto"/>
        <w:rPr>
          <w:rFonts w:asciiTheme="minorHAnsi" w:hAnsiTheme="minorHAnsi"/>
          <w:sz w:val="22"/>
        </w:rPr>
      </w:pPr>
      <w:bookmarkStart w:id="1048" w:name="_Toc33601371"/>
      <w:bookmarkStart w:id="1049" w:name="_Toc82769090"/>
      <w:r w:rsidRPr="00692DC8">
        <w:rPr>
          <w:rFonts w:eastAsia="Times New Roman"/>
        </w:rPr>
        <w:t>Efectivo y equivalentes</w:t>
      </w:r>
      <w:bookmarkEnd w:id="1048"/>
      <w:bookmarkEnd w:id="1049"/>
      <w:r w:rsidR="00E50AC3">
        <w:rPr>
          <w:rFonts w:eastAsia="Times New Roman" w:cstheme="majorBidi"/>
          <w:b/>
          <w:iCs/>
          <w:lang w:eastAsia="es-CR"/>
        </w:rPr>
        <w:fldChar w:fldCharType="begin"/>
      </w:r>
      <w:r w:rsidR="00E50AC3">
        <w:rPr>
          <w:rFonts w:eastAsia="Times New Roman"/>
          <w:lang w:eastAsia="es-CR"/>
        </w:rPr>
        <w:instrText xml:space="preserve"> LINK </w:instrText>
      </w:r>
      <w:r w:rsidR="00323752">
        <w:rPr>
          <w:rFonts w:eastAsia="Times New Roman"/>
          <w:lang w:eastAsia="es-CR"/>
        </w:rPr>
        <w:instrText xml:space="preserve">Excel.SheetMacroEnabled.12 "D:\\MORAVIA\\INSUMOS\\NOTAS 2024\\Formato_Notas_EEFF_Vinculadas_2024\\XXXXX_PXX_202X_Anexo_Estado_Notas_Contables_Vinculadas.xlsm" NOTAS_POR_CUENTA!F462C2:F464C6 </w:instrText>
      </w:r>
      <w:r w:rsidR="00E50AC3">
        <w:rPr>
          <w:rFonts w:eastAsia="Times New Roman"/>
          <w:lang w:eastAsia="es-CR"/>
        </w:rPr>
        <w:instrText xml:space="preserve">\a \f 4 \h </w:instrText>
      </w:r>
      <w:r w:rsidR="00E50AC3">
        <w:rPr>
          <w:rFonts w:eastAsia="Times New Roman"/>
          <w:lang w:eastAsia="es-CR"/>
        </w:rPr>
        <w:fldChar w:fldCharType="separate"/>
      </w:r>
    </w:p>
    <w:p w14:paraId="5593E732" w14:textId="3C6EE57E" w:rsidR="00C572A3" w:rsidRDefault="00E50AC3" w:rsidP="005C3713">
      <w:pPr>
        <w:spacing w:after="0" w:line="240" w:lineRule="auto"/>
        <w:rPr>
          <w:rFonts w:asciiTheme="minorHAnsi" w:hAnsiTheme="minorHAnsi"/>
          <w:sz w:val="22"/>
        </w:rPr>
      </w:pPr>
      <w:r>
        <w:rPr>
          <w:rFonts w:eastAsia="Times New Roman" w:cs="Calibri"/>
          <w:color w:val="000000"/>
          <w:lang w:eastAsia="es-CR"/>
        </w:rPr>
        <w:fldChar w:fldCharType="end"/>
      </w:r>
      <w:r w:rsidR="00C95739">
        <w:rPr>
          <w:rFonts w:eastAsia="Times New Roman" w:cs="Calibri"/>
          <w:color w:val="000000"/>
          <w:lang w:eastAsia="es-CR"/>
        </w:rPr>
        <w:fldChar w:fldCharType="begin"/>
      </w:r>
      <w:r w:rsidR="00C95739">
        <w:rPr>
          <w:rFonts w:eastAsia="Times New Roman" w:cs="Calibri"/>
          <w:color w:val="000000"/>
          <w:lang w:eastAsia="es-CR"/>
        </w:rPr>
        <w:instrText xml:space="preserve"> LINK </w:instrText>
      </w:r>
      <w:r w:rsidR="0068177A">
        <w:rPr>
          <w:rFonts w:eastAsia="Times New Roman" w:cs="Calibri"/>
          <w:color w:val="000000"/>
          <w:lang w:eastAsia="es-CR"/>
        </w:rPr>
        <w:instrText xml:space="preserve">Excel.SheetMacroEnabled.12 "C:\\Users\\arges\\OneDrive\\Desktop\\Municipalidades\\Buenos Aires\\Cierre Junio 2024\\Notas Contables\\15603_T02_2024_Anexo_Estado_Notas_Contables_Vinculadas.xlsm" NOTAS_POR_CUENTA!R462C2:R464C6 </w:instrText>
      </w:r>
      <w:r w:rsidR="00C95739">
        <w:rPr>
          <w:rFonts w:eastAsia="Times New Roman" w:cs="Calibri"/>
          <w:color w:val="000000"/>
          <w:lang w:eastAsia="es-CR"/>
        </w:rPr>
        <w:instrText xml:space="preserve">\a \f 4 \h </w:instrText>
      </w:r>
      <w:r w:rsidR="00C95739">
        <w:rPr>
          <w:rFonts w:eastAsia="Times New Roman" w:cs="Calibri"/>
          <w:color w:val="000000"/>
          <w:lang w:eastAsia="es-CR"/>
        </w:rPr>
        <w:fldChar w:fldCharType="separate"/>
      </w:r>
    </w:p>
    <w:tbl>
      <w:tblPr>
        <w:tblW w:w="9380" w:type="dxa"/>
        <w:tblLook w:val="04A0" w:firstRow="1" w:lastRow="0" w:firstColumn="1" w:lastColumn="0" w:noHBand="0" w:noVBand="1"/>
      </w:tblPr>
      <w:tblGrid>
        <w:gridCol w:w="3356"/>
        <w:gridCol w:w="544"/>
        <w:gridCol w:w="2200"/>
        <w:gridCol w:w="2200"/>
        <w:gridCol w:w="1080"/>
      </w:tblGrid>
      <w:tr w:rsidR="00C572A3" w:rsidRPr="00C572A3" w14:paraId="7A9CDB58" w14:textId="77777777" w:rsidTr="00C572A3">
        <w:trPr>
          <w:trHeight w:val="320"/>
        </w:trPr>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8FDB02A" w14:textId="613F545A" w:rsidR="00C572A3" w:rsidRPr="00C572A3" w:rsidRDefault="00C572A3">
            <w:pP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Descripción </w:t>
            </w:r>
          </w:p>
        </w:tc>
        <w:tc>
          <w:tcPr>
            <w:tcW w:w="5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75C2C67"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Nota</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62029AE"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Actual </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AEBF63D"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Anterior </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49526FEE"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Diferencia </w:t>
            </w:r>
          </w:p>
        </w:tc>
      </w:tr>
      <w:tr w:rsidR="00C572A3" w:rsidRPr="00C572A3" w14:paraId="44C07750" w14:textId="77777777" w:rsidTr="00C572A3">
        <w:trPr>
          <w:trHeight w:val="320"/>
        </w:trPr>
        <w:tc>
          <w:tcPr>
            <w:tcW w:w="3380" w:type="dxa"/>
            <w:vMerge/>
            <w:tcBorders>
              <w:top w:val="single" w:sz="8" w:space="0" w:color="auto"/>
              <w:left w:val="single" w:sz="8" w:space="0" w:color="auto"/>
              <w:bottom w:val="single" w:sz="8" w:space="0" w:color="000000"/>
              <w:right w:val="single" w:sz="8" w:space="0" w:color="auto"/>
            </w:tcBorders>
            <w:vAlign w:val="center"/>
            <w:hideMark/>
          </w:tcPr>
          <w:p w14:paraId="6E97AFA9"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14:paraId="4C3AC76D"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06018322"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03105D5D"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1080" w:type="dxa"/>
            <w:tcBorders>
              <w:top w:val="nil"/>
              <w:left w:val="nil"/>
              <w:bottom w:val="single" w:sz="8" w:space="0" w:color="auto"/>
              <w:right w:val="single" w:sz="8" w:space="0" w:color="auto"/>
            </w:tcBorders>
            <w:shd w:val="clear" w:color="000000" w:fill="366092"/>
            <w:noWrap/>
            <w:vAlign w:val="center"/>
            <w:hideMark/>
          </w:tcPr>
          <w:p w14:paraId="25DA5A21" w14:textId="77777777" w:rsidR="00C572A3" w:rsidRPr="00C572A3" w:rsidRDefault="00C572A3" w:rsidP="00C572A3">
            <w:pPr>
              <w:spacing w:after="0" w:line="240" w:lineRule="auto"/>
              <w:jc w:val="center"/>
              <w:rPr>
                <w:rFonts w:eastAsia="Times New Roman" w:cs="Calibri"/>
                <w:color w:val="FFFFFF"/>
                <w:sz w:val="18"/>
                <w:szCs w:val="18"/>
                <w:lang w:val="en-US"/>
              </w:rPr>
            </w:pPr>
            <w:r w:rsidRPr="00C572A3">
              <w:rPr>
                <w:rFonts w:eastAsia="Times New Roman" w:cs="Calibri"/>
                <w:color w:val="FFFFFF"/>
                <w:sz w:val="18"/>
                <w:szCs w:val="18"/>
                <w:lang w:val="en-US"/>
              </w:rPr>
              <w:t>%</w:t>
            </w:r>
          </w:p>
        </w:tc>
      </w:tr>
      <w:tr w:rsidR="00C572A3" w:rsidRPr="00C572A3" w14:paraId="169480F1" w14:textId="77777777" w:rsidTr="00C572A3">
        <w:trPr>
          <w:trHeight w:val="470"/>
        </w:trPr>
        <w:tc>
          <w:tcPr>
            <w:tcW w:w="3380" w:type="dxa"/>
            <w:tcBorders>
              <w:top w:val="nil"/>
              <w:left w:val="single" w:sz="8" w:space="0" w:color="auto"/>
              <w:bottom w:val="single" w:sz="8" w:space="0" w:color="auto"/>
              <w:right w:val="single" w:sz="8" w:space="0" w:color="auto"/>
            </w:tcBorders>
            <w:shd w:val="clear" w:color="auto" w:fill="auto"/>
            <w:vAlign w:val="center"/>
            <w:hideMark/>
          </w:tcPr>
          <w:p w14:paraId="26AE01F2" w14:textId="77777777" w:rsidR="00C572A3" w:rsidRPr="00C572A3" w:rsidRDefault="00C572A3" w:rsidP="00C572A3">
            <w:pPr>
              <w:spacing w:after="0" w:line="240" w:lineRule="auto"/>
              <w:rPr>
                <w:rFonts w:eastAsia="Times New Roman" w:cs="Calibri"/>
                <w:b/>
                <w:bCs/>
                <w:color w:val="000000"/>
                <w:sz w:val="18"/>
                <w:szCs w:val="18"/>
              </w:rPr>
            </w:pPr>
            <w:r w:rsidRPr="00C572A3">
              <w:rPr>
                <w:rFonts w:eastAsia="Times New Roman" w:cs="Calibri"/>
                <w:b/>
                <w:bCs/>
                <w:color w:val="000000"/>
                <w:sz w:val="18"/>
                <w:szCs w:val="18"/>
              </w:rPr>
              <w:t>Efectivo y equivalentes de efectivo al final del ejercicio</w:t>
            </w:r>
          </w:p>
        </w:tc>
        <w:tc>
          <w:tcPr>
            <w:tcW w:w="520" w:type="dxa"/>
            <w:tcBorders>
              <w:top w:val="nil"/>
              <w:left w:val="nil"/>
              <w:bottom w:val="single" w:sz="8" w:space="0" w:color="auto"/>
              <w:right w:val="single" w:sz="8" w:space="0" w:color="auto"/>
            </w:tcBorders>
            <w:shd w:val="clear" w:color="auto" w:fill="auto"/>
            <w:noWrap/>
            <w:vAlign w:val="center"/>
            <w:hideMark/>
          </w:tcPr>
          <w:p w14:paraId="7C8D5822"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83</w:t>
            </w:r>
          </w:p>
        </w:tc>
        <w:tc>
          <w:tcPr>
            <w:tcW w:w="2200" w:type="dxa"/>
            <w:tcBorders>
              <w:top w:val="nil"/>
              <w:left w:val="nil"/>
              <w:bottom w:val="single" w:sz="8" w:space="0" w:color="auto"/>
              <w:right w:val="single" w:sz="8" w:space="0" w:color="auto"/>
            </w:tcBorders>
            <w:shd w:val="clear" w:color="auto" w:fill="auto"/>
            <w:noWrap/>
            <w:vAlign w:val="center"/>
            <w:hideMark/>
          </w:tcPr>
          <w:p w14:paraId="557B0B88"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1 873 754,83 </w:t>
            </w:r>
          </w:p>
        </w:tc>
        <w:tc>
          <w:tcPr>
            <w:tcW w:w="2200" w:type="dxa"/>
            <w:tcBorders>
              <w:top w:val="nil"/>
              <w:left w:val="nil"/>
              <w:bottom w:val="single" w:sz="8" w:space="0" w:color="auto"/>
              <w:right w:val="single" w:sz="8" w:space="0" w:color="auto"/>
            </w:tcBorders>
            <w:shd w:val="clear" w:color="auto" w:fill="auto"/>
            <w:noWrap/>
            <w:vAlign w:val="center"/>
            <w:hideMark/>
          </w:tcPr>
          <w:p w14:paraId="6C7651EC" w14:textId="77777777" w:rsidR="00C572A3" w:rsidRPr="00C572A3" w:rsidRDefault="00C572A3" w:rsidP="00C572A3">
            <w:pPr>
              <w:spacing w:after="0" w:line="240" w:lineRule="auto"/>
              <w:jc w:val="center"/>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2 221 962,60 </w:t>
            </w:r>
          </w:p>
        </w:tc>
        <w:tc>
          <w:tcPr>
            <w:tcW w:w="1080" w:type="dxa"/>
            <w:tcBorders>
              <w:top w:val="nil"/>
              <w:left w:val="nil"/>
              <w:bottom w:val="single" w:sz="8" w:space="0" w:color="auto"/>
              <w:right w:val="single" w:sz="8" w:space="0" w:color="auto"/>
            </w:tcBorders>
            <w:shd w:val="clear" w:color="auto" w:fill="auto"/>
            <w:noWrap/>
            <w:vAlign w:val="center"/>
            <w:hideMark/>
          </w:tcPr>
          <w:p w14:paraId="1231ABB2"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-15,67%</w:t>
            </w:r>
          </w:p>
        </w:tc>
      </w:tr>
    </w:tbl>
    <w:p w14:paraId="346886D8" w14:textId="366FC368" w:rsidR="00694299" w:rsidRPr="00767CFC" w:rsidRDefault="00C95739" w:rsidP="005C3713">
      <w:pPr>
        <w:spacing w:after="0" w:line="240" w:lineRule="auto"/>
        <w:rPr>
          <w:rFonts w:asciiTheme="minorHAnsi" w:hAnsiTheme="minorHAnsi"/>
          <w:sz w:val="22"/>
        </w:rPr>
      </w:pPr>
      <w:r>
        <w:rPr>
          <w:rFonts w:eastAsia="Times New Roman" w:cs="Calibri"/>
          <w:color w:val="000000"/>
          <w:lang w:eastAsia="es-CR"/>
        </w:rPr>
        <w:fldChar w:fldCharType="end"/>
      </w:r>
      <w:r w:rsidR="00F879EF">
        <w:rPr>
          <w:rFonts w:eastAsia="Times New Roman" w:cs="Calibri"/>
          <w:color w:val="000000"/>
          <w:lang w:eastAsia="es-CR"/>
        </w:rPr>
        <w:fldChar w:fldCharType="begin"/>
      </w:r>
      <w:r w:rsidR="00F879EF">
        <w:rPr>
          <w:rFonts w:eastAsia="Times New Roman" w:cs="Calibri"/>
          <w:color w:val="000000"/>
          <w:lang w:eastAsia="es-CR"/>
        </w:rPr>
        <w:instrText xml:space="preserve"> LINK </w:instrText>
      </w:r>
      <w:r w:rsidR="0068177A">
        <w:rPr>
          <w:rFonts w:eastAsia="Times New Roman" w:cs="Calibri"/>
          <w:color w:val="000000"/>
          <w:lang w:eastAsia="es-CR"/>
        </w:rPr>
        <w:instrText xml:space="preserve">Excel.SheetMacroEnabled.12 "C:\\Users\\arges\\OneDrive\\Desktop\\Municipalidades\\Buenos Aires\\Cierre Junio 2024\\Notas Contables\\15603_T02_2024_Anexo_Estado_Notas_Contables_Vinculadas.xlsm" NOTAS_POR_CUENTA!R462C2:R464C6 </w:instrText>
      </w:r>
      <w:r w:rsidR="00F879EF">
        <w:rPr>
          <w:rFonts w:eastAsia="Times New Roman" w:cs="Calibri"/>
          <w:color w:val="000000"/>
          <w:lang w:eastAsia="es-CR"/>
        </w:rPr>
        <w:instrText xml:space="preserve">\a \f 4 \h </w:instrText>
      </w:r>
      <w:r w:rsidR="00F879EF">
        <w:rPr>
          <w:rFonts w:eastAsia="Times New Roman" w:cs="Calibri"/>
          <w:color w:val="000000"/>
          <w:lang w:eastAsia="es-CR"/>
        </w:rPr>
        <w:fldChar w:fldCharType="end"/>
      </w:r>
      <w:r w:rsidR="00E50AC3">
        <w:rPr>
          <w:rFonts w:eastAsia="Times New Roman" w:cs="Calibri"/>
          <w:color w:val="000000"/>
          <w:lang w:eastAsia="es-CR"/>
        </w:rPr>
        <w:fldChar w:fldCharType="begin"/>
      </w:r>
      <w:r w:rsidR="00E50AC3">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NOTAS_POR_CUENTA!F464C8 </w:instrText>
      </w:r>
      <w:r w:rsidR="00E50AC3">
        <w:rPr>
          <w:rFonts w:eastAsia="Times New Roman" w:cs="Calibri"/>
          <w:color w:val="000000"/>
          <w:lang w:eastAsia="es-CR"/>
        </w:rPr>
        <w:instrText xml:space="preserve">\a \f 5 \h  \* MERGEFORMAT </w:instrText>
      </w:r>
      <w:r w:rsidR="00E50AC3">
        <w:rPr>
          <w:rFonts w:eastAsia="Times New Roman" w:cs="Calibri"/>
          <w:color w:val="000000"/>
          <w:lang w:eastAsia="es-CR"/>
        </w:rPr>
        <w:fldChar w:fldCharType="separate"/>
      </w:r>
    </w:p>
    <w:p w14:paraId="015BC712" w14:textId="1F5A47D1" w:rsidR="00694299" w:rsidRPr="00694299" w:rsidRDefault="00694299" w:rsidP="00F879EF">
      <w:pPr>
        <w:spacing w:line="240" w:lineRule="auto"/>
        <w:rPr>
          <w:rFonts w:eastAsia="Times New Roman" w:cs="Calibri"/>
          <w:color w:val="000000"/>
          <w:lang w:eastAsia="es-CR"/>
        </w:rPr>
      </w:pPr>
      <w:r w:rsidRPr="00694299">
        <w:rPr>
          <w:rFonts w:eastAsia="Times New Roman" w:cs="Calibri"/>
          <w:color w:val="000000"/>
          <w:lang w:eastAsia="es-CR"/>
        </w:rPr>
        <w:t xml:space="preserve">La cuenta Efectivo y equivalentes de efectivo al final del ejercicio, comparado al periodo anterior genera una variación absoluta de </w:t>
      </w:r>
      <w:r w:rsidR="00F879EF" w:rsidRPr="00F879EF">
        <w:rPr>
          <w:rFonts w:eastAsia="Times New Roman" w:cs="Calibri"/>
          <w:color w:val="000000"/>
          <w:lang w:eastAsia="es-CR"/>
        </w:rPr>
        <w:t>-348 207,77</w:t>
      </w:r>
      <w:r w:rsidR="00F879EF" w:rsidRPr="00F879EF">
        <w:rPr>
          <w:rFonts w:eastAsia="Times New Roman" w:cs="Calibri"/>
          <w:b/>
          <w:bCs/>
          <w:color w:val="FFFFFF"/>
          <w:szCs w:val="24"/>
        </w:rPr>
        <w:t xml:space="preserve"> </w:t>
      </w:r>
      <w:r w:rsidRPr="00694299">
        <w:rPr>
          <w:rFonts w:eastAsia="Times New Roman" w:cs="Calibri"/>
          <w:color w:val="000000"/>
          <w:lang w:eastAsia="es-CR"/>
        </w:rPr>
        <w:t>que corresponde a un</w:t>
      </w:r>
      <w:r w:rsidR="00545836">
        <w:rPr>
          <w:rFonts w:eastAsia="Times New Roman" w:cs="Calibri"/>
          <w:color w:val="000000"/>
          <w:lang w:eastAsia="es-CR"/>
        </w:rPr>
        <w:t>a</w:t>
      </w:r>
      <w:r w:rsidRPr="00694299">
        <w:rPr>
          <w:rFonts w:eastAsia="Times New Roman" w:cs="Calibri"/>
          <w:color w:val="000000"/>
          <w:lang w:eastAsia="es-CR"/>
        </w:rPr>
        <w:t xml:space="preserve"> </w:t>
      </w:r>
      <w:r w:rsidR="00545836">
        <w:rPr>
          <w:rFonts w:eastAsia="Times New Roman" w:cs="Calibri"/>
          <w:color w:val="000000"/>
          <w:lang w:eastAsia="es-CR"/>
        </w:rPr>
        <w:t>Disminución de</w:t>
      </w:r>
      <w:r w:rsidRPr="00694299">
        <w:rPr>
          <w:rFonts w:eastAsia="Times New Roman" w:cs="Calibri"/>
          <w:color w:val="000000"/>
          <w:lang w:eastAsia="es-CR"/>
        </w:rPr>
        <w:t xml:space="preserve">l </w:t>
      </w:r>
      <w:r w:rsidR="00545836">
        <w:rPr>
          <w:rFonts w:eastAsia="Times New Roman" w:cs="Calibri"/>
          <w:color w:val="000000"/>
          <w:lang w:eastAsia="es-CR"/>
        </w:rPr>
        <w:t>-</w:t>
      </w:r>
      <w:r w:rsidR="00F879EF">
        <w:rPr>
          <w:rFonts w:eastAsia="Times New Roman" w:cs="Calibri"/>
          <w:color w:val="000000"/>
          <w:lang w:eastAsia="es-CR"/>
        </w:rPr>
        <w:t>15</w:t>
      </w:r>
      <w:r w:rsidRPr="00694299">
        <w:rPr>
          <w:rFonts w:eastAsia="Times New Roman" w:cs="Calibri"/>
          <w:color w:val="000000"/>
          <w:lang w:eastAsia="es-CR"/>
        </w:rPr>
        <w:t>,</w:t>
      </w:r>
      <w:r w:rsidR="00F879EF">
        <w:rPr>
          <w:rFonts w:eastAsia="Times New Roman" w:cs="Calibri"/>
          <w:color w:val="000000"/>
          <w:lang w:eastAsia="es-CR"/>
        </w:rPr>
        <w:t>67</w:t>
      </w:r>
      <w:r w:rsidRPr="00694299">
        <w:rPr>
          <w:rFonts w:eastAsia="Times New Roman" w:cs="Calibri"/>
          <w:color w:val="000000"/>
          <w:lang w:eastAsia="es-CR"/>
        </w:rPr>
        <w:t>% de recursos disponibles.</w:t>
      </w:r>
    </w:p>
    <w:p w14:paraId="0573B76A" w14:textId="30C7FA49" w:rsidR="00692DC8" w:rsidRDefault="00E50AC3" w:rsidP="00F879EF">
      <w:pPr>
        <w:spacing w:after="120" w:line="240" w:lineRule="auto"/>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4E9B16C3" w14:textId="77777777" w:rsidR="005C3713" w:rsidRDefault="005C3713" w:rsidP="005C3713">
      <w:pPr>
        <w:spacing w:after="0" w:line="240" w:lineRule="auto"/>
      </w:pPr>
      <w:r>
        <w:t>Al respecto ver lo consignado en la Nota No. 3 de este estado. Adicionalmente, debe indicarse que los recursos que mantiene la municipalidad en cuentas de bancos no están restringidos para su uso ni existe ningún gravamen sobre los mismos a excepción de los recursos depositados en la c</w:t>
      </w:r>
      <w:r w:rsidRPr="00430CD9">
        <w:t xml:space="preserve">uenta </w:t>
      </w:r>
      <w:r>
        <w:t xml:space="preserve">Nº </w:t>
      </w:r>
      <w:r w:rsidRPr="00430CD9">
        <w:t>1640-3</w:t>
      </w:r>
      <w:r>
        <w:t xml:space="preserve"> del</w:t>
      </w:r>
      <w:r w:rsidRPr="00430CD9">
        <w:t xml:space="preserve"> B.N.C.R. </w:t>
      </w:r>
      <w:r>
        <w:t xml:space="preserve">en cual se depositan los dineros percibidos por concepto de </w:t>
      </w:r>
      <w:r w:rsidRPr="00430CD9">
        <w:t>Garantías</w:t>
      </w:r>
      <w:r>
        <w:t>, los cuales deben ser devueltos posteriormente a las personas físicas o jurídicas que las rindieron. Asimismo, debe reiterarse, que los recursos depositados en los fondos de inversión en las sociedades de fondos de inversión del banco Nacional y Banco de Costa Rica, pueden ser utilizados por la Municipalidad en el momento que los requieran para lo cual se debe informar a la sociedad con 24 horas de anticipación.</w:t>
      </w:r>
    </w:p>
    <w:p w14:paraId="2EC509B6" w14:textId="77777777" w:rsidR="005C3713" w:rsidRDefault="005C3713" w:rsidP="005C3713">
      <w:pPr>
        <w:spacing w:after="0" w:line="240" w:lineRule="auto"/>
      </w:pPr>
    </w:p>
    <w:p w14:paraId="581260E9" w14:textId="77777777" w:rsidR="005C3713" w:rsidRPr="00A91674" w:rsidRDefault="005C3713" w:rsidP="005C3713">
      <w:pPr>
        <w:spacing w:after="0" w:line="240" w:lineRule="auto"/>
      </w:pPr>
      <w:r>
        <w:t>Por otra parte, en relación con los recursos de la Caja Única del Estado, los mismos se los van transfiriendo a la Municipalidad con base en la programación previamente elaborada por el Ministerio y la Municipalidad.</w:t>
      </w:r>
    </w:p>
    <w:p w14:paraId="434FFE67" w14:textId="77777777" w:rsidR="00692DC8" w:rsidRPr="00692DC8" w:rsidRDefault="00692DC8" w:rsidP="0037354C"/>
    <w:p w14:paraId="100959DA" w14:textId="77777777" w:rsidR="00692DC8" w:rsidRPr="00692DC8" w:rsidRDefault="00692DC8" w:rsidP="0037354C"/>
    <w:p w14:paraId="1D39CCCB" w14:textId="132A1C40" w:rsidR="00692DC8" w:rsidRPr="0037354C" w:rsidRDefault="00692DC8" w:rsidP="0037354C">
      <w:pPr>
        <w:pStyle w:val="Ttulo2"/>
        <w:jc w:val="center"/>
        <w:rPr>
          <w:rFonts w:eastAsia="Times New Roman"/>
          <w:b/>
        </w:rPr>
      </w:pPr>
      <w:bookmarkStart w:id="1050" w:name="_Toc33601372"/>
      <w:bookmarkStart w:id="1051" w:name="_Toc82769091"/>
      <w:bookmarkStart w:id="1052" w:name="_Toc173245333"/>
      <w:r w:rsidRPr="0037354C">
        <w:rPr>
          <w:rFonts w:eastAsia="Times New Roman"/>
          <w:b/>
        </w:rPr>
        <w:t>NOTAS DEL ESTADO DE CAMBIOS EN EL PATRIMONIO NETO</w:t>
      </w:r>
      <w:bookmarkEnd w:id="1050"/>
      <w:bookmarkEnd w:id="1051"/>
      <w:bookmarkEnd w:id="1052"/>
    </w:p>
    <w:p w14:paraId="4D725765" w14:textId="77777777" w:rsidR="00692DC8" w:rsidRPr="00692DC8" w:rsidRDefault="00692DC8" w:rsidP="0037354C">
      <w:pPr>
        <w:pStyle w:val="Ttulo4"/>
        <w:spacing w:after="240"/>
        <w:rPr>
          <w:rFonts w:eastAsia="Times New Roman"/>
        </w:rPr>
      </w:pPr>
      <w:bookmarkStart w:id="1053" w:name="_Toc33601373"/>
      <w:bookmarkStart w:id="1054" w:name="_Toc82769092"/>
      <w:bookmarkStart w:id="1055" w:name="_Toc173245334"/>
      <w:r w:rsidRPr="00692DC8">
        <w:rPr>
          <w:rFonts w:eastAsia="Times New Roman"/>
        </w:rPr>
        <w:t>NOTA N°8</w:t>
      </w:r>
      <w:bookmarkEnd w:id="1053"/>
      <w:bookmarkEnd w:id="1054"/>
      <w:r w:rsidRPr="00692DC8">
        <w:rPr>
          <w:rFonts w:eastAsia="Times New Roman"/>
        </w:rPr>
        <w:t>4</w:t>
      </w:r>
      <w:bookmarkEnd w:id="1055"/>
    </w:p>
    <w:p w14:paraId="697626B5" w14:textId="77777777" w:rsidR="00694299" w:rsidRDefault="00692DC8" w:rsidP="00C95739">
      <w:pPr>
        <w:spacing w:before="120" w:after="120" w:line="240" w:lineRule="auto"/>
        <w:rPr>
          <w:rFonts w:asciiTheme="minorHAnsi" w:hAnsiTheme="minorHAnsi"/>
          <w:sz w:val="22"/>
        </w:rPr>
      </w:pPr>
      <w:bookmarkStart w:id="1056" w:name="_Toc33601374"/>
      <w:bookmarkStart w:id="1057" w:name="_Toc82769093"/>
      <w:r w:rsidRPr="00692DC8">
        <w:rPr>
          <w:rFonts w:eastAsia="Times New Roman"/>
        </w:rPr>
        <w:t>Saldos del periodo</w:t>
      </w:r>
      <w:bookmarkEnd w:id="1056"/>
      <w:bookmarkEnd w:id="1057"/>
      <w:r w:rsidR="00E50AC3">
        <w:rPr>
          <w:rFonts w:eastAsiaTheme="majorEastAsia" w:cstheme="majorBidi"/>
          <w:b/>
          <w:iCs/>
          <w:lang w:eastAsia="es-CR"/>
        </w:rPr>
        <w:fldChar w:fldCharType="begin"/>
      </w:r>
      <w:r w:rsidR="00E50AC3">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NOTAS_POR_CUENTA!F469C2:F471C6 </w:instrText>
      </w:r>
      <w:r w:rsidR="00E50AC3">
        <w:rPr>
          <w:lang w:eastAsia="es-CR"/>
        </w:rPr>
        <w:instrText xml:space="preserve">\a \f 4 \h </w:instrText>
      </w:r>
      <w:r w:rsidR="00E50AC3">
        <w:rPr>
          <w:lang w:eastAsia="es-CR"/>
        </w:rPr>
        <w:fldChar w:fldCharType="separate"/>
      </w:r>
    </w:p>
    <w:p w14:paraId="37E2D7D6" w14:textId="06D10906" w:rsidR="00C572A3" w:rsidRDefault="00E50AC3" w:rsidP="005C3713">
      <w:pPr>
        <w:spacing w:after="0" w:line="240" w:lineRule="auto"/>
        <w:rPr>
          <w:rFonts w:asciiTheme="minorHAnsi" w:hAnsiTheme="minorHAnsi"/>
          <w:sz w:val="22"/>
        </w:rPr>
      </w:pPr>
      <w:r>
        <w:rPr>
          <w:lang w:eastAsia="es-CR"/>
        </w:rPr>
        <w:fldChar w:fldCharType="end"/>
      </w:r>
      <w:r w:rsidR="00C95739">
        <w:rPr>
          <w:lang w:eastAsia="es-CR"/>
        </w:rPr>
        <w:fldChar w:fldCharType="begin"/>
      </w:r>
      <w:r w:rsidR="00C95739">
        <w:rPr>
          <w:lang w:eastAsia="es-CR"/>
        </w:rPr>
        <w:instrText xml:space="preserve"> LINK </w:instrText>
      </w:r>
      <w:r w:rsidR="0068177A">
        <w:rPr>
          <w:lang w:eastAsia="es-CR"/>
        </w:rPr>
        <w:instrText xml:space="preserve">Excel.SheetMacroEnabled.12 "C:\\Users\\arges\\OneDrive\\Desktop\\Municipalidades\\Buenos Aires\\Cierre Junio 2024\\Notas Contables\\15603_T02_2024_Anexo_Estado_Notas_Contables_Vinculadas.xlsm" NOTAS_POR_CUENTA!R469C2:R471C6 </w:instrText>
      </w:r>
      <w:r w:rsidR="00C95739">
        <w:rPr>
          <w:lang w:eastAsia="es-CR"/>
        </w:rPr>
        <w:instrText xml:space="preserve">\a \f 4 \h </w:instrText>
      </w:r>
      <w:r w:rsidR="00C95739">
        <w:rPr>
          <w:lang w:eastAsia="es-CR"/>
        </w:rPr>
        <w:fldChar w:fldCharType="separate"/>
      </w:r>
    </w:p>
    <w:tbl>
      <w:tblPr>
        <w:tblW w:w="9380" w:type="dxa"/>
        <w:tblLook w:val="04A0" w:firstRow="1" w:lastRow="0" w:firstColumn="1" w:lastColumn="0" w:noHBand="0" w:noVBand="1"/>
      </w:tblPr>
      <w:tblGrid>
        <w:gridCol w:w="3356"/>
        <w:gridCol w:w="544"/>
        <w:gridCol w:w="2200"/>
        <w:gridCol w:w="2200"/>
        <w:gridCol w:w="1080"/>
      </w:tblGrid>
      <w:tr w:rsidR="00C572A3" w:rsidRPr="00C572A3" w14:paraId="692D018F" w14:textId="77777777" w:rsidTr="00C572A3">
        <w:trPr>
          <w:divId w:val="1940941161"/>
          <w:trHeight w:val="320"/>
        </w:trPr>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F84B80D" w14:textId="0822BE15" w:rsidR="00C572A3" w:rsidRPr="00C572A3" w:rsidRDefault="00C572A3" w:rsidP="00C572A3">
            <w:pP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Descripción </w:t>
            </w:r>
          </w:p>
        </w:tc>
        <w:tc>
          <w:tcPr>
            <w:tcW w:w="520" w:type="dxa"/>
            <w:tcBorders>
              <w:top w:val="single" w:sz="8" w:space="0" w:color="auto"/>
              <w:left w:val="nil"/>
              <w:bottom w:val="nil"/>
              <w:right w:val="single" w:sz="8" w:space="0" w:color="auto"/>
            </w:tcBorders>
            <w:shd w:val="clear" w:color="000000" w:fill="366092"/>
            <w:noWrap/>
            <w:vAlign w:val="center"/>
            <w:hideMark/>
          </w:tcPr>
          <w:p w14:paraId="2195C6A8"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Nota </w:t>
            </w:r>
          </w:p>
        </w:tc>
        <w:tc>
          <w:tcPr>
            <w:tcW w:w="2200" w:type="dxa"/>
            <w:tcBorders>
              <w:top w:val="single" w:sz="8" w:space="0" w:color="auto"/>
              <w:left w:val="nil"/>
              <w:bottom w:val="nil"/>
              <w:right w:val="single" w:sz="8" w:space="0" w:color="auto"/>
            </w:tcBorders>
            <w:shd w:val="clear" w:color="000000" w:fill="366092"/>
            <w:noWrap/>
            <w:vAlign w:val="center"/>
            <w:hideMark/>
          </w:tcPr>
          <w:p w14:paraId="09F2DF4B"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Actual </w:t>
            </w:r>
          </w:p>
        </w:tc>
        <w:tc>
          <w:tcPr>
            <w:tcW w:w="2200" w:type="dxa"/>
            <w:tcBorders>
              <w:top w:val="single" w:sz="8" w:space="0" w:color="auto"/>
              <w:left w:val="nil"/>
              <w:bottom w:val="nil"/>
              <w:right w:val="single" w:sz="8" w:space="0" w:color="auto"/>
            </w:tcBorders>
            <w:shd w:val="clear" w:color="000000" w:fill="366092"/>
            <w:noWrap/>
            <w:vAlign w:val="center"/>
            <w:hideMark/>
          </w:tcPr>
          <w:p w14:paraId="456D05EE"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 Periodo Anterior </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02895275"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xml:space="preserve">Diferencia </w:t>
            </w:r>
          </w:p>
        </w:tc>
      </w:tr>
      <w:tr w:rsidR="00C572A3" w:rsidRPr="00C572A3" w14:paraId="3DE1DB21" w14:textId="77777777" w:rsidTr="00C572A3">
        <w:trPr>
          <w:divId w:val="1940941161"/>
          <w:trHeight w:val="320"/>
        </w:trPr>
        <w:tc>
          <w:tcPr>
            <w:tcW w:w="3380" w:type="dxa"/>
            <w:vMerge/>
            <w:tcBorders>
              <w:top w:val="single" w:sz="8" w:space="0" w:color="auto"/>
              <w:left w:val="single" w:sz="8" w:space="0" w:color="auto"/>
              <w:bottom w:val="single" w:sz="8" w:space="0" w:color="000000"/>
              <w:right w:val="single" w:sz="8" w:space="0" w:color="auto"/>
            </w:tcBorders>
            <w:vAlign w:val="center"/>
            <w:hideMark/>
          </w:tcPr>
          <w:p w14:paraId="7EA1A77C" w14:textId="77777777" w:rsidR="00C572A3" w:rsidRPr="00C572A3" w:rsidRDefault="00C572A3" w:rsidP="00C572A3">
            <w:pPr>
              <w:spacing w:after="0" w:line="240" w:lineRule="auto"/>
              <w:jc w:val="left"/>
              <w:rPr>
                <w:rFonts w:eastAsia="Times New Roman" w:cs="Calibri"/>
                <w:b/>
                <w:bCs/>
                <w:color w:val="FFFFFF"/>
                <w:sz w:val="18"/>
                <w:szCs w:val="18"/>
                <w:lang w:val="en-US"/>
              </w:rPr>
            </w:pPr>
          </w:p>
        </w:tc>
        <w:tc>
          <w:tcPr>
            <w:tcW w:w="520" w:type="dxa"/>
            <w:tcBorders>
              <w:top w:val="nil"/>
              <w:left w:val="nil"/>
              <w:bottom w:val="single" w:sz="8" w:space="0" w:color="auto"/>
              <w:right w:val="single" w:sz="8" w:space="0" w:color="auto"/>
            </w:tcBorders>
            <w:shd w:val="clear" w:color="000000" w:fill="366092"/>
            <w:noWrap/>
            <w:vAlign w:val="center"/>
            <w:hideMark/>
          </w:tcPr>
          <w:p w14:paraId="1AA33D68"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w:t>
            </w:r>
          </w:p>
        </w:tc>
        <w:tc>
          <w:tcPr>
            <w:tcW w:w="2200" w:type="dxa"/>
            <w:tcBorders>
              <w:top w:val="nil"/>
              <w:left w:val="nil"/>
              <w:bottom w:val="single" w:sz="8" w:space="0" w:color="auto"/>
              <w:right w:val="single" w:sz="8" w:space="0" w:color="auto"/>
            </w:tcBorders>
            <w:shd w:val="clear" w:color="000000" w:fill="366092"/>
            <w:noWrap/>
            <w:vAlign w:val="center"/>
            <w:hideMark/>
          </w:tcPr>
          <w:p w14:paraId="03776DEA"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w:t>
            </w:r>
          </w:p>
        </w:tc>
        <w:tc>
          <w:tcPr>
            <w:tcW w:w="2200" w:type="dxa"/>
            <w:tcBorders>
              <w:top w:val="nil"/>
              <w:left w:val="nil"/>
              <w:bottom w:val="single" w:sz="8" w:space="0" w:color="auto"/>
              <w:right w:val="single" w:sz="8" w:space="0" w:color="auto"/>
            </w:tcBorders>
            <w:shd w:val="clear" w:color="000000" w:fill="366092"/>
            <w:noWrap/>
            <w:vAlign w:val="center"/>
            <w:hideMark/>
          </w:tcPr>
          <w:p w14:paraId="17C06727"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 </w:t>
            </w:r>
          </w:p>
        </w:tc>
        <w:tc>
          <w:tcPr>
            <w:tcW w:w="1080" w:type="dxa"/>
            <w:tcBorders>
              <w:top w:val="nil"/>
              <w:left w:val="nil"/>
              <w:bottom w:val="single" w:sz="8" w:space="0" w:color="auto"/>
              <w:right w:val="single" w:sz="8" w:space="0" w:color="auto"/>
            </w:tcBorders>
            <w:shd w:val="clear" w:color="000000" w:fill="366092"/>
            <w:noWrap/>
            <w:vAlign w:val="center"/>
            <w:hideMark/>
          </w:tcPr>
          <w:p w14:paraId="4B41FF09" w14:textId="77777777" w:rsidR="00C572A3" w:rsidRPr="00C572A3" w:rsidRDefault="00C572A3" w:rsidP="00C572A3">
            <w:pPr>
              <w:spacing w:after="0" w:line="240" w:lineRule="auto"/>
              <w:jc w:val="center"/>
              <w:rPr>
                <w:rFonts w:eastAsia="Times New Roman" w:cs="Calibri"/>
                <w:b/>
                <w:bCs/>
                <w:color w:val="FFFFFF"/>
                <w:sz w:val="18"/>
                <w:szCs w:val="18"/>
                <w:lang w:val="en-US"/>
              </w:rPr>
            </w:pPr>
            <w:r w:rsidRPr="00C572A3">
              <w:rPr>
                <w:rFonts w:eastAsia="Times New Roman" w:cs="Calibri"/>
                <w:b/>
                <w:bCs/>
                <w:color w:val="FFFFFF"/>
                <w:sz w:val="18"/>
                <w:szCs w:val="18"/>
                <w:lang w:val="en-US"/>
              </w:rPr>
              <w:t>%</w:t>
            </w:r>
          </w:p>
        </w:tc>
      </w:tr>
      <w:tr w:rsidR="00C572A3" w:rsidRPr="00C572A3" w14:paraId="77D1FB53" w14:textId="77777777" w:rsidTr="00C572A3">
        <w:trPr>
          <w:divId w:val="1940941161"/>
          <w:trHeight w:val="320"/>
        </w:trPr>
        <w:tc>
          <w:tcPr>
            <w:tcW w:w="3380" w:type="dxa"/>
            <w:tcBorders>
              <w:top w:val="nil"/>
              <w:left w:val="single" w:sz="8" w:space="0" w:color="auto"/>
              <w:bottom w:val="single" w:sz="8" w:space="0" w:color="auto"/>
              <w:right w:val="single" w:sz="8" w:space="0" w:color="auto"/>
            </w:tcBorders>
            <w:shd w:val="clear" w:color="auto" w:fill="auto"/>
            <w:vAlign w:val="center"/>
            <w:hideMark/>
          </w:tcPr>
          <w:p w14:paraId="1CA0592E" w14:textId="77777777" w:rsidR="00C572A3" w:rsidRPr="00C572A3" w:rsidRDefault="00C572A3" w:rsidP="00C572A3">
            <w:pPr>
              <w:spacing w:after="0" w:line="240" w:lineRule="auto"/>
              <w:rPr>
                <w:rFonts w:eastAsia="Times New Roman" w:cs="Calibri"/>
                <w:b/>
                <w:bCs/>
                <w:color w:val="000000"/>
                <w:sz w:val="18"/>
                <w:szCs w:val="18"/>
                <w:lang w:val="en-US"/>
              </w:rPr>
            </w:pPr>
            <w:r w:rsidRPr="00C572A3">
              <w:rPr>
                <w:rFonts w:eastAsia="Times New Roman" w:cs="Calibri"/>
                <w:b/>
                <w:bCs/>
                <w:color w:val="000000"/>
                <w:sz w:val="18"/>
                <w:szCs w:val="18"/>
                <w:lang w:val="en-US"/>
              </w:rPr>
              <w:t>Saldos del período</w:t>
            </w:r>
          </w:p>
        </w:tc>
        <w:tc>
          <w:tcPr>
            <w:tcW w:w="520" w:type="dxa"/>
            <w:tcBorders>
              <w:top w:val="nil"/>
              <w:left w:val="nil"/>
              <w:bottom w:val="single" w:sz="8" w:space="0" w:color="auto"/>
              <w:right w:val="single" w:sz="8" w:space="0" w:color="auto"/>
            </w:tcBorders>
            <w:shd w:val="clear" w:color="auto" w:fill="auto"/>
            <w:noWrap/>
            <w:vAlign w:val="center"/>
            <w:hideMark/>
          </w:tcPr>
          <w:p w14:paraId="4E8A0B88" w14:textId="77777777" w:rsidR="00C572A3" w:rsidRPr="00C572A3" w:rsidRDefault="00C572A3" w:rsidP="00C572A3">
            <w:pPr>
              <w:spacing w:after="0" w:line="240" w:lineRule="auto"/>
              <w:jc w:val="center"/>
              <w:rPr>
                <w:rFonts w:eastAsia="Times New Roman" w:cs="Calibri"/>
                <w:b/>
                <w:bCs/>
                <w:color w:val="000000"/>
                <w:sz w:val="18"/>
                <w:szCs w:val="18"/>
                <w:lang w:val="en-US"/>
              </w:rPr>
            </w:pPr>
            <w:r w:rsidRPr="00C572A3">
              <w:rPr>
                <w:rFonts w:eastAsia="Times New Roman" w:cs="Calibri"/>
                <w:b/>
                <w:bCs/>
                <w:color w:val="000000"/>
                <w:sz w:val="18"/>
                <w:szCs w:val="18"/>
                <w:lang w:val="en-US"/>
              </w:rPr>
              <w:t>84</w:t>
            </w:r>
          </w:p>
        </w:tc>
        <w:tc>
          <w:tcPr>
            <w:tcW w:w="2200" w:type="dxa"/>
            <w:tcBorders>
              <w:top w:val="nil"/>
              <w:left w:val="nil"/>
              <w:bottom w:val="single" w:sz="8" w:space="0" w:color="auto"/>
              <w:right w:val="single" w:sz="8" w:space="0" w:color="auto"/>
            </w:tcBorders>
            <w:shd w:val="clear" w:color="auto" w:fill="auto"/>
            <w:noWrap/>
            <w:vAlign w:val="center"/>
            <w:hideMark/>
          </w:tcPr>
          <w:p w14:paraId="20E947BC" w14:textId="77777777" w:rsidR="00C572A3" w:rsidRPr="00C572A3" w:rsidRDefault="00C572A3" w:rsidP="00C572A3">
            <w:pPr>
              <w:spacing w:after="0" w:line="240" w:lineRule="auto"/>
              <w:jc w:val="left"/>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166 047 654,65 </w:t>
            </w:r>
          </w:p>
        </w:tc>
        <w:tc>
          <w:tcPr>
            <w:tcW w:w="2200" w:type="dxa"/>
            <w:tcBorders>
              <w:top w:val="nil"/>
              <w:left w:val="nil"/>
              <w:bottom w:val="single" w:sz="8" w:space="0" w:color="auto"/>
              <w:right w:val="single" w:sz="8" w:space="0" w:color="auto"/>
            </w:tcBorders>
            <w:shd w:val="clear" w:color="auto" w:fill="auto"/>
            <w:noWrap/>
            <w:vAlign w:val="center"/>
            <w:hideMark/>
          </w:tcPr>
          <w:p w14:paraId="3071BD48" w14:textId="77777777" w:rsidR="00C572A3" w:rsidRPr="00C572A3" w:rsidRDefault="00C572A3" w:rsidP="00C572A3">
            <w:pPr>
              <w:spacing w:after="0" w:line="240" w:lineRule="auto"/>
              <w:jc w:val="left"/>
              <w:rPr>
                <w:rFonts w:eastAsia="Times New Roman" w:cs="Calibri"/>
                <w:b/>
                <w:bCs/>
                <w:color w:val="000000"/>
                <w:sz w:val="16"/>
                <w:szCs w:val="16"/>
                <w:lang w:val="en-US"/>
              </w:rPr>
            </w:pPr>
            <w:r w:rsidRPr="00C572A3">
              <w:rPr>
                <w:rFonts w:eastAsia="Times New Roman" w:cs="Calibri"/>
                <w:b/>
                <w:bCs/>
                <w:color w:val="000000"/>
                <w:sz w:val="16"/>
                <w:szCs w:val="16"/>
                <w:lang w:val="en-US"/>
              </w:rPr>
              <w:t xml:space="preserve"> 164 812 848,28 </w:t>
            </w:r>
          </w:p>
        </w:tc>
        <w:tc>
          <w:tcPr>
            <w:tcW w:w="1080" w:type="dxa"/>
            <w:tcBorders>
              <w:top w:val="nil"/>
              <w:left w:val="nil"/>
              <w:bottom w:val="single" w:sz="8" w:space="0" w:color="auto"/>
              <w:right w:val="single" w:sz="8" w:space="0" w:color="auto"/>
            </w:tcBorders>
            <w:shd w:val="clear" w:color="auto" w:fill="auto"/>
            <w:noWrap/>
            <w:vAlign w:val="center"/>
            <w:hideMark/>
          </w:tcPr>
          <w:p w14:paraId="16773FA9" w14:textId="77777777" w:rsidR="00C572A3" w:rsidRPr="00C572A3" w:rsidRDefault="00C572A3" w:rsidP="00C572A3">
            <w:pPr>
              <w:spacing w:after="0" w:line="240" w:lineRule="auto"/>
              <w:jc w:val="right"/>
              <w:rPr>
                <w:rFonts w:eastAsia="Times New Roman" w:cs="Calibri"/>
                <w:b/>
                <w:bCs/>
                <w:color w:val="000000"/>
                <w:sz w:val="18"/>
                <w:szCs w:val="18"/>
                <w:lang w:val="en-US"/>
              </w:rPr>
            </w:pPr>
            <w:r w:rsidRPr="00C572A3">
              <w:rPr>
                <w:rFonts w:eastAsia="Times New Roman" w:cs="Calibri"/>
                <w:b/>
                <w:bCs/>
                <w:color w:val="000000"/>
                <w:sz w:val="18"/>
                <w:szCs w:val="18"/>
                <w:lang w:val="en-US"/>
              </w:rPr>
              <w:t>0,75%</w:t>
            </w:r>
          </w:p>
        </w:tc>
      </w:tr>
    </w:tbl>
    <w:p w14:paraId="4E447E17" w14:textId="2C34BD6D" w:rsidR="00694299" w:rsidRPr="00694299" w:rsidRDefault="00C95739" w:rsidP="005C3713">
      <w:pPr>
        <w:spacing w:after="0" w:line="240" w:lineRule="auto"/>
        <w:rPr>
          <w:lang w:eastAsia="es-CR"/>
        </w:rPr>
      </w:pPr>
      <w:r>
        <w:rPr>
          <w:lang w:eastAsia="es-CR"/>
        </w:rPr>
        <w:fldChar w:fldCharType="end"/>
      </w:r>
      <w:r w:rsidR="003A2AFF">
        <w:rPr>
          <w:lang w:eastAsia="es-CR"/>
        </w:rPr>
        <w:fldChar w:fldCharType="begin"/>
      </w:r>
      <w:r w:rsidR="003A2AFF">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NOTAS_POR_CUENTA!F471C8 </w:instrText>
      </w:r>
      <w:r w:rsidR="003A2AFF">
        <w:rPr>
          <w:lang w:eastAsia="es-CR"/>
        </w:rPr>
        <w:instrText xml:space="preserve">\a \f 5 \h  \* MERGEFORMAT </w:instrText>
      </w:r>
      <w:r w:rsidR="003A2AFF">
        <w:rPr>
          <w:lang w:eastAsia="es-CR"/>
        </w:rPr>
        <w:fldChar w:fldCharType="separate"/>
      </w:r>
    </w:p>
    <w:p w14:paraId="29A432DD" w14:textId="528339FE" w:rsidR="00694299" w:rsidRPr="00694299" w:rsidRDefault="00694299" w:rsidP="00694299">
      <w:pPr>
        <w:spacing w:before="240"/>
        <w:rPr>
          <w:lang w:eastAsia="es-CR"/>
        </w:rPr>
      </w:pPr>
      <w:r w:rsidRPr="00694299">
        <w:rPr>
          <w:lang w:eastAsia="es-CR"/>
        </w:rPr>
        <w:t xml:space="preserve">En el Estado de Cambio al Patrimonio, el Saldo del periodo al </w:t>
      </w:r>
      <w:r w:rsidR="00564BDD">
        <w:rPr>
          <w:lang w:eastAsia="es-CR"/>
        </w:rPr>
        <w:t>30 de junio</w:t>
      </w:r>
      <w:r w:rsidRPr="00694299">
        <w:rPr>
          <w:lang w:eastAsia="es-CR"/>
        </w:rPr>
        <w:t xml:space="preserve"> </w:t>
      </w:r>
      <w:r w:rsidR="00BD0CA2">
        <w:rPr>
          <w:lang w:eastAsia="es-CR"/>
        </w:rPr>
        <w:t xml:space="preserve">de </w:t>
      </w:r>
      <w:r w:rsidRPr="00694299">
        <w:rPr>
          <w:lang w:eastAsia="es-CR"/>
        </w:rPr>
        <w:t>202</w:t>
      </w:r>
      <w:r w:rsidR="00BD0CA2">
        <w:rPr>
          <w:lang w:eastAsia="es-CR"/>
        </w:rPr>
        <w:t>4</w:t>
      </w:r>
      <w:r w:rsidRPr="00694299">
        <w:rPr>
          <w:lang w:eastAsia="es-CR"/>
        </w:rPr>
        <w:t>, comparado al periodo anterior genera una variación absoluta de 1 435 812,74 que corresponde a un Aumento del 0,87% de recursos disponibles.</w:t>
      </w:r>
    </w:p>
    <w:p w14:paraId="58D42077" w14:textId="77777777" w:rsidR="00932650" w:rsidRDefault="003A2AFF" w:rsidP="003A2AFF">
      <w:pPr>
        <w:spacing w:before="240"/>
        <w:rPr>
          <w:rFonts w:eastAsia="Calibri" w:cs="Times New Roman"/>
        </w:rPr>
      </w:pPr>
      <w:r>
        <w:rPr>
          <w:lang w:eastAsia="es-CR"/>
        </w:rPr>
        <w:fldChar w:fldCharType="end"/>
      </w:r>
      <w:r w:rsidR="00692DC8" w:rsidRPr="00692DC8">
        <w:rPr>
          <w:rFonts w:eastAsia="Calibri" w:cs="Times New Roman"/>
          <w:highlight w:val="lightGray"/>
        </w:rPr>
        <w:t>Las variaciones de la cuenta son producto de (Indicar la razón de las variaciones de un periodo a otro):</w:t>
      </w:r>
    </w:p>
    <w:p w14:paraId="1375410E" w14:textId="627D09B5" w:rsidR="005C3713" w:rsidRDefault="005C3713" w:rsidP="005C3713">
      <w:pPr>
        <w:spacing w:after="0" w:line="240" w:lineRule="auto"/>
        <w:rPr>
          <w:rFonts w:eastAsiaTheme="minorEastAsia" w:cs="Arial Narrow"/>
          <w:color w:val="000000"/>
          <w:lang w:eastAsia="es-CR"/>
        </w:rPr>
      </w:pPr>
      <w:r w:rsidRPr="00130FD6">
        <w:rPr>
          <w:rFonts w:eastAsia="Calibri"/>
        </w:rPr>
        <w:t xml:space="preserve">Que </w:t>
      </w:r>
      <w:r w:rsidRPr="00130FD6">
        <w:rPr>
          <w:rFonts w:eastAsiaTheme="minorEastAsia" w:cs="Arial Narrow"/>
          <w:color w:val="000000"/>
          <w:lang w:eastAsia="es-CR"/>
        </w:rPr>
        <w:t xml:space="preserve">fundamentalmente </w:t>
      </w:r>
      <w:r>
        <w:rPr>
          <w:rFonts w:eastAsiaTheme="minorEastAsia" w:cs="Arial Narrow"/>
          <w:color w:val="000000"/>
          <w:lang w:eastAsia="es-CR"/>
        </w:rPr>
        <w:t>a los resultados del periodo 2024 y a que se han realizado ajustes a algunos de los saldos de las cuentas, con el fin de que estos representen de una manera más razonable la situación financiera de la Municipalidad.</w:t>
      </w:r>
    </w:p>
    <w:p w14:paraId="144D6538" w14:textId="77777777" w:rsidR="005C3713" w:rsidRDefault="005C3713" w:rsidP="005C3713">
      <w:pPr>
        <w:rPr>
          <w:rFonts w:eastAsia="Calibri"/>
        </w:rPr>
      </w:pPr>
    </w:p>
    <w:p w14:paraId="6D110D0A" w14:textId="71EA41D0" w:rsidR="00692DC8" w:rsidRPr="005C3713" w:rsidRDefault="00692DC8" w:rsidP="005C3713">
      <w:pPr>
        <w:spacing w:before="240"/>
        <w:rPr>
          <w:lang w:eastAsia="es-CR"/>
        </w:rPr>
      </w:pPr>
      <w:r w:rsidRPr="00692DC8">
        <w:rPr>
          <w:rFonts w:eastAsia="Calibri" w:cs="Times New Roman"/>
        </w:rPr>
        <w:t xml:space="preserve"> </w:t>
      </w:r>
    </w:p>
    <w:p w14:paraId="01448722" w14:textId="21EFE4C0" w:rsidR="00692DC8" w:rsidRPr="000748A5" w:rsidRDefault="00692DC8" w:rsidP="000748A5">
      <w:pPr>
        <w:pStyle w:val="Ttulo1"/>
        <w:spacing w:after="240"/>
        <w:rPr>
          <w:rFonts w:eastAsia="Times New Roman"/>
        </w:rPr>
      </w:pPr>
      <w:bookmarkStart w:id="1058" w:name="_Toc82769094"/>
      <w:bookmarkStart w:id="1059" w:name="_Toc173245335"/>
      <w:r w:rsidRPr="00692DC8">
        <w:rPr>
          <w:rFonts w:eastAsia="Times New Roman"/>
        </w:rPr>
        <w:t>NOTAS AL INFORME COMPARATIVO DE EJECUCIÓN PRESUPUESTARIA CON DEVENGADO DE CONTABILIDAD</w:t>
      </w:r>
      <w:bookmarkEnd w:id="1058"/>
      <w:bookmarkEnd w:id="1059"/>
    </w:p>
    <w:p w14:paraId="3D00D09C" w14:textId="77777777" w:rsidR="00692DC8" w:rsidRPr="00692DC8" w:rsidRDefault="00692DC8" w:rsidP="0027138C">
      <w:pPr>
        <w:rPr>
          <w:lang w:eastAsia="es-ES"/>
        </w:rPr>
      </w:pPr>
      <w:r w:rsidRPr="00692DC8">
        <w:rPr>
          <w:lang w:eastAsia="es-ES"/>
        </w:rPr>
        <w:t>A efectos de cumplir con la integración del presupuesto y contabilidad, deberá formularse y exponerse una conciliación entre los resultados contable y presupuestario.</w:t>
      </w:r>
    </w:p>
    <w:p w14:paraId="634FBF6C" w14:textId="77777777" w:rsidR="00692DC8" w:rsidRPr="00692DC8" w:rsidRDefault="00692DC8" w:rsidP="0027138C">
      <w:pPr>
        <w:jc w:val="center"/>
        <w:rPr>
          <w:rFonts w:eastAsia="Calibri" w:cs="Times New Roman"/>
          <w:noProof/>
        </w:rPr>
      </w:pPr>
      <w:r w:rsidRPr="00692DC8">
        <w:rPr>
          <w:rFonts w:eastAsia="Calibri" w:cs="Times New Roman"/>
          <w:noProof/>
          <w:lang w:eastAsia="es-CR"/>
        </w:rPr>
        <w:drawing>
          <wp:inline distT="0" distB="0" distL="0" distR="0" wp14:anchorId="575200AF" wp14:editId="7FF12F82">
            <wp:extent cx="4175760" cy="1074420"/>
            <wp:effectExtent l="0" t="0" r="0" b="0"/>
            <wp:docPr id="5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75760" cy="1074420"/>
                    </a:xfrm>
                    <a:prstGeom prst="rect">
                      <a:avLst/>
                    </a:prstGeom>
                    <a:noFill/>
                    <a:ln>
                      <a:noFill/>
                    </a:ln>
                  </pic:spPr>
                </pic:pic>
              </a:graphicData>
            </a:graphic>
          </wp:inline>
        </w:drawing>
      </w:r>
    </w:p>
    <w:p w14:paraId="1FBCD920" w14:textId="175F7B8D" w:rsidR="00692DC8" w:rsidRPr="001534E5" w:rsidRDefault="00692DC8" w:rsidP="001534E5">
      <w:pPr>
        <w:jc w:val="center"/>
        <w:rPr>
          <w:rFonts w:eastAsia="Times New Roman"/>
          <w:szCs w:val="24"/>
          <w:lang w:eastAsia="es-ES"/>
        </w:rPr>
      </w:pPr>
      <w:r w:rsidRPr="00692DC8">
        <w:rPr>
          <w:noProof/>
          <w:lang w:eastAsia="es-CR"/>
        </w:rPr>
        <w:drawing>
          <wp:inline distT="0" distB="0" distL="0" distR="0" wp14:anchorId="62B88AAE" wp14:editId="5CAD2A2C">
            <wp:extent cx="4152900" cy="1173480"/>
            <wp:effectExtent l="0" t="0" r="0" b="0"/>
            <wp:docPr id="5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52900" cy="1173480"/>
                    </a:xfrm>
                    <a:prstGeom prst="rect">
                      <a:avLst/>
                    </a:prstGeom>
                    <a:noFill/>
                    <a:ln>
                      <a:noFill/>
                    </a:ln>
                  </pic:spPr>
                </pic:pic>
              </a:graphicData>
            </a:graphic>
          </wp:inline>
        </w:drawing>
      </w:r>
    </w:p>
    <w:p w14:paraId="2AE2736C" w14:textId="77777777" w:rsidR="00692DC8" w:rsidRPr="00692DC8" w:rsidRDefault="00692DC8" w:rsidP="0027138C">
      <w:pPr>
        <w:pStyle w:val="Ttulo4"/>
        <w:spacing w:after="240"/>
        <w:rPr>
          <w:rFonts w:eastAsia="Times New Roman"/>
        </w:rPr>
      </w:pPr>
      <w:bookmarkStart w:id="1060" w:name="_Toc82769095"/>
      <w:bookmarkStart w:id="1061" w:name="_Toc173245336"/>
      <w:r w:rsidRPr="00692DC8">
        <w:rPr>
          <w:rFonts w:eastAsia="Times New Roman"/>
        </w:rPr>
        <w:t>NOTA N°8</w:t>
      </w:r>
      <w:bookmarkEnd w:id="1060"/>
      <w:r w:rsidRPr="00692DC8">
        <w:rPr>
          <w:rFonts w:eastAsia="Times New Roman"/>
        </w:rPr>
        <w:t>5</w:t>
      </w:r>
      <w:bookmarkEnd w:id="1061"/>
    </w:p>
    <w:p w14:paraId="4C72C50F" w14:textId="77777777" w:rsidR="00692DC8" w:rsidRPr="00305662" w:rsidRDefault="00692DC8" w:rsidP="00305662">
      <w:pPr>
        <w:rPr>
          <w:b/>
          <w:bCs/>
        </w:rPr>
      </w:pPr>
      <w:bookmarkStart w:id="1062" w:name="_Toc82769096"/>
      <w:r w:rsidRPr="00305662">
        <w:rPr>
          <w:b/>
          <w:bCs/>
        </w:rPr>
        <w:t>Diferencias presupuesto vs. contabilidad (Devengo)</w:t>
      </w:r>
      <w:bookmarkEnd w:id="1062"/>
    </w:p>
    <w:tbl>
      <w:tblPr>
        <w:tblW w:w="8855" w:type="dxa"/>
        <w:jc w:val="center"/>
        <w:tblCellMar>
          <w:left w:w="70" w:type="dxa"/>
          <w:right w:w="70" w:type="dxa"/>
        </w:tblCellMar>
        <w:tblLook w:val="04A0" w:firstRow="1" w:lastRow="0" w:firstColumn="1" w:lastColumn="0" w:noHBand="0" w:noVBand="1"/>
      </w:tblPr>
      <w:tblGrid>
        <w:gridCol w:w="4400"/>
        <w:gridCol w:w="1837"/>
        <w:gridCol w:w="1728"/>
        <w:gridCol w:w="890"/>
      </w:tblGrid>
      <w:tr w:rsidR="001534E5" w:rsidRPr="001534E5" w14:paraId="4CD7B8E4" w14:textId="77777777" w:rsidTr="001534E5">
        <w:trPr>
          <w:trHeight w:val="324"/>
          <w:jc w:val="center"/>
        </w:trPr>
        <w:tc>
          <w:tcPr>
            <w:tcW w:w="4400" w:type="dxa"/>
            <w:tcBorders>
              <w:top w:val="single" w:sz="8" w:space="0" w:color="auto"/>
              <w:left w:val="single" w:sz="8" w:space="0" w:color="auto"/>
              <w:bottom w:val="single" w:sz="8" w:space="0" w:color="auto"/>
              <w:right w:val="single" w:sz="8" w:space="0" w:color="auto"/>
            </w:tcBorders>
            <w:shd w:val="clear" w:color="000000" w:fill="365F91"/>
            <w:noWrap/>
            <w:vAlign w:val="bottom"/>
            <w:hideMark/>
          </w:tcPr>
          <w:p w14:paraId="7334E1AA" w14:textId="77777777" w:rsidR="001534E5" w:rsidRPr="001534E5" w:rsidRDefault="001534E5" w:rsidP="001534E5">
            <w:pPr>
              <w:spacing w:after="0" w:line="240" w:lineRule="auto"/>
              <w:jc w:val="left"/>
              <w:rPr>
                <w:rFonts w:ascii="Calibri" w:eastAsia="Times New Roman" w:hAnsi="Calibri" w:cs="Calibri"/>
                <w:color w:val="000000"/>
                <w:sz w:val="22"/>
                <w:lang w:eastAsia="es-CR"/>
              </w:rPr>
            </w:pPr>
            <w:bookmarkStart w:id="1063" w:name="_Hlk124013511"/>
            <w:r w:rsidRPr="001534E5">
              <w:rPr>
                <w:rFonts w:ascii="Calibri" w:eastAsia="Times New Roman" w:hAnsi="Calibri" w:cs="Calibri"/>
                <w:color w:val="000000"/>
                <w:sz w:val="22"/>
                <w:lang w:eastAsia="es-CR"/>
              </w:rPr>
              <w:t> </w:t>
            </w:r>
          </w:p>
        </w:tc>
        <w:tc>
          <w:tcPr>
            <w:tcW w:w="3565" w:type="dxa"/>
            <w:gridSpan w:val="2"/>
            <w:tcBorders>
              <w:top w:val="single" w:sz="8" w:space="0" w:color="auto"/>
              <w:left w:val="nil"/>
              <w:bottom w:val="single" w:sz="8" w:space="0" w:color="auto"/>
              <w:right w:val="single" w:sz="8" w:space="0" w:color="000000"/>
            </w:tcBorders>
            <w:shd w:val="clear" w:color="000000" w:fill="365F91"/>
            <w:vAlign w:val="center"/>
            <w:hideMark/>
          </w:tcPr>
          <w:p w14:paraId="4EC2322A" w14:textId="77777777" w:rsidR="001534E5" w:rsidRPr="001534E5" w:rsidRDefault="001534E5" w:rsidP="001534E5">
            <w:pPr>
              <w:spacing w:after="0" w:line="240" w:lineRule="auto"/>
              <w:jc w:val="center"/>
              <w:rPr>
                <w:rFonts w:eastAsia="Times New Roman" w:cs="Calibri"/>
                <w:color w:val="FFFFFF"/>
                <w:szCs w:val="24"/>
                <w:lang w:eastAsia="es-CR"/>
              </w:rPr>
            </w:pPr>
            <w:r w:rsidRPr="001534E5">
              <w:rPr>
                <w:rFonts w:eastAsia="Times New Roman" w:cs="Calibri"/>
                <w:color w:val="FFFFFF"/>
                <w:szCs w:val="24"/>
                <w:lang w:val="es-ES" w:eastAsia="es-CR"/>
              </w:rPr>
              <w:t>SALDOS</w:t>
            </w:r>
          </w:p>
        </w:tc>
        <w:tc>
          <w:tcPr>
            <w:tcW w:w="890" w:type="dxa"/>
            <w:tcBorders>
              <w:top w:val="single" w:sz="8" w:space="0" w:color="auto"/>
              <w:left w:val="nil"/>
              <w:bottom w:val="single" w:sz="8" w:space="0" w:color="auto"/>
              <w:right w:val="single" w:sz="8" w:space="0" w:color="auto"/>
            </w:tcBorders>
            <w:shd w:val="clear" w:color="000000" w:fill="365F91"/>
            <w:vAlign w:val="center"/>
            <w:hideMark/>
          </w:tcPr>
          <w:p w14:paraId="0B0B5565" w14:textId="77777777" w:rsidR="001534E5" w:rsidRPr="001534E5" w:rsidRDefault="001534E5" w:rsidP="001534E5">
            <w:pPr>
              <w:spacing w:after="0" w:line="240" w:lineRule="auto"/>
              <w:rPr>
                <w:rFonts w:eastAsia="Times New Roman" w:cs="Calibri"/>
                <w:color w:val="FFFFFF"/>
                <w:szCs w:val="24"/>
                <w:lang w:eastAsia="es-CR"/>
              </w:rPr>
            </w:pPr>
            <w:r w:rsidRPr="001534E5">
              <w:rPr>
                <w:rFonts w:eastAsia="Times New Roman" w:cs="Calibri"/>
                <w:color w:val="FFFFFF"/>
                <w:szCs w:val="24"/>
                <w:lang w:val="es-ES" w:eastAsia="es-CR"/>
              </w:rPr>
              <w:t> </w:t>
            </w:r>
          </w:p>
        </w:tc>
      </w:tr>
      <w:tr w:rsidR="001534E5" w:rsidRPr="001534E5" w14:paraId="56FE1EA9" w14:textId="77777777" w:rsidTr="00160482">
        <w:trPr>
          <w:trHeight w:val="324"/>
          <w:jc w:val="center"/>
        </w:trPr>
        <w:tc>
          <w:tcPr>
            <w:tcW w:w="4400" w:type="dxa"/>
            <w:tcBorders>
              <w:top w:val="nil"/>
              <w:left w:val="single" w:sz="8" w:space="0" w:color="auto"/>
              <w:bottom w:val="single" w:sz="8" w:space="0" w:color="auto"/>
              <w:right w:val="single" w:sz="8" w:space="0" w:color="auto"/>
            </w:tcBorders>
            <w:shd w:val="clear" w:color="000000" w:fill="365F91"/>
            <w:noWrap/>
            <w:vAlign w:val="center"/>
            <w:hideMark/>
          </w:tcPr>
          <w:p w14:paraId="0ADCDB52" w14:textId="77777777" w:rsidR="001534E5" w:rsidRPr="001534E5" w:rsidRDefault="001534E5" w:rsidP="001534E5">
            <w:pPr>
              <w:spacing w:after="0" w:line="240" w:lineRule="auto"/>
              <w:jc w:val="center"/>
              <w:rPr>
                <w:rFonts w:eastAsia="Times New Roman" w:cs="Calibri"/>
                <w:color w:val="FFFFFF"/>
                <w:szCs w:val="24"/>
                <w:lang w:eastAsia="es-CR"/>
              </w:rPr>
            </w:pPr>
            <w:r w:rsidRPr="001534E5">
              <w:rPr>
                <w:rFonts w:eastAsia="Times New Roman" w:cs="Calibri"/>
                <w:color w:val="FFFFFF"/>
                <w:szCs w:val="24"/>
                <w:lang w:val="es-ES" w:eastAsia="es-CR"/>
              </w:rPr>
              <w:t>RUBRO</w:t>
            </w:r>
          </w:p>
        </w:tc>
        <w:tc>
          <w:tcPr>
            <w:tcW w:w="1837" w:type="dxa"/>
            <w:tcBorders>
              <w:top w:val="nil"/>
              <w:left w:val="nil"/>
              <w:bottom w:val="single" w:sz="8" w:space="0" w:color="auto"/>
              <w:right w:val="single" w:sz="8" w:space="0" w:color="auto"/>
            </w:tcBorders>
            <w:shd w:val="clear" w:color="000000" w:fill="365F91"/>
            <w:noWrap/>
            <w:vAlign w:val="center"/>
            <w:hideMark/>
          </w:tcPr>
          <w:p w14:paraId="55D6A01F" w14:textId="77777777" w:rsidR="001534E5" w:rsidRPr="001534E5" w:rsidRDefault="001534E5" w:rsidP="001534E5">
            <w:pPr>
              <w:spacing w:after="0" w:line="240" w:lineRule="auto"/>
              <w:jc w:val="center"/>
              <w:rPr>
                <w:rFonts w:eastAsia="Times New Roman" w:cs="Calibri"/>
                <w:color w:val="FFFFFF"/>
                <w:szCs w:val="24"/>
                <w:lang w:eastAsia="es-CR"/>
              </w:rPr>
            </w:pPr>
            <w:r w:rsidRPr="001534E5">
              <w:rPr>
                <w:rFonts w:eastAsia="Times New Roman" w:cs="Calibri"/>
                <w:color w:val="FFFFFF"/>
                <w:szCs w:val="24"/>
                <w:lang w:val="es-ES" w:eastAsia="es-CR"/>
              </w:rPr>
              <w:t>Periodo Actual</w:t>
            </w:r>
          </w:p>
        </w:tc>
        <w:tc>
          <w:tcPr>
            <w:tcW w:w="1728" w:type="dxa"/>
            <w:tcBorders>
              <w:top w:val="nil"/>
              <w:left w:val="nil"/>
              <w:bottom w:val="single" w:sz="8" w:space="0" w:color="auto"/>
              <w:right w:val="single" w:sz="8" w:space="0" w:color="auto"/>
            </w:tcBorders>
            <w:shd w:val="clear" w:color="000000" w:fill="365F91"/>
            <w:noWrap/>
            <w:vAlign w:val="center"/>
            <w:hideMark/>
          </w:tcPr>
          <w:p w14:paraId="25C99C1B" w14:textId="77777777" w:rsidR="001534E5" w:rsidRPr="001534E5" w:rsidRDefault="001534E5" w:rsidP="001534E5">
            <w:pPr>
              <w:spacing w:after="0" w:line="240" w:lineRule="auto"/>
              <w:jc w:val="center"/>
              <w:rPr>
                <w:rFonts w:eastAsia="Times New Roman" w:cs="Calibri"/>
                <w:color w:val="FFFFFF"/>
                <w:szCs w:val="24"/>
                <w:lang w:eastAsia="es-CR"/>
              </w:rPr>
            </w:pPr>
            <w:r w:rsidRPr="001534E5">
              <w:rPr>
                <w:rFonts w:eastAsia="Times New Roman" w:cs="Calibri"/>
                <w:color w:val="FFFFFF"/>
                <w:szCs w:val="24"/>
                <w:lang w:val="es-ES" w:eastAsia="es-CR"/>
              </w:rPr>
              <w:t>Periodo Anterior</w:t>
            </w:r>
          </w:p>
        </w:tc>
        <w:tc>
          <w:tcPr>
            <w:tcW w:w="890" w:type="dxa"/>
            <w:tcBorders>
              <w:top w:val="nil"/>
              <w:left w:val="nil"/>
              <w:bottom w:val="single" w:sz="8" w:space="0" w:color="auto"/>
              <w:right w:val="single" w:sz="8" w:space="0" w:color="auto"/>
            </w:tcBorders>
            <w:shd w:val="clear" w:color="000000" w:fill="365F91"/>
            <w:vAlign w:val="center"/>
            <w:hideMark/>
          </w:tcPr>
          <w:p w14:paraId="42767F4A" w14:textId="77777777" w:rsidR="001534E5" w:rsidRPr="001534E5" w:rsidRDefault="001534E5" w:rsidP="001534E5">
            <w:pPr>
              <w:spacing w:after="0" w:line="240" w:lineRule="auto"/>
              <w:jc w:val="center"/>
              <w:rPr>
                <w:rFonts w:eastAsia="Times New Roman" w:cs="Calibri"/>
                <w:color w:val="FFFFFF"/>
                <w:szCs w:val="24"/>
                <w:lang w:eastAsia="es-CR"/>
              </w:rPr>
            </w:pPr>
            <w:r w:rsidRPr="001534E5">
              <w:rPr>
                <w:rFonts w:eastAsia="Times New Roman" w:cs="Calibri"/>
                <w:color w:val="FFFFFF"/>
                <w:szCs w:val="24"/>
                <w:lang w:val="es-ES" w:eastAsia="es-CR"/>
              </w:rPr>
              <w:t>%</w:t>
            </w:r>
          </w:p>
        </w:tc>
      </w:tr>
      <w:tr w:rsidR="001534E5" w:rsidRPr="001534E5" w14:paraId="16698561" w14:textId="77777777" w:rsidTr="00160482">
        <w:trPr>
          <w:trHeight w:val="324"/>
          <w:jc w:val="center"/>
        </w:trPr>
        <w:tc>
          <w:tcPr>
            <w:tcW w:w="4400" w:type="dxa"/>
            <w:tcBorders>
              <w:top w:val="nil"/>
              <w:left w:val="single" w:sz="8" w:space="0" w:color="auto"/>
              <w:bottom w:val="single" w:sz="8" w:space="0" w:color="auto"/>
              <w:right w:val="single" w:sz="8" w:space="0" w:color="auto"/>
            </w:tcBorders>
            <w:shd w:val="clear" w:color="auto" w:fill="auto"/>
            <w:noWrap/>
            <w:vAlign w:val="center"/>
            <w:hideMark/>
          </w:tcPr>
          <w:p w14:paraId="6DEB1EFF" w14:textId="77777777" w:rsidR="001534E5" w:rsidRPr="001534E5" w:rsidRDefault="001534E5" w:rsidP="001534E5">
            <w:pPr>
              <w:spacing w:after="0" w:line="240" w:lineRule="auto"/>
              <w:rPr>
                <w:rFonts w:eastAsia="Times New Roman" w:cs="Calibri"/>
                <w:color w:val="000000"/>
                <w:szCs w:val="24"/>
                <w:lang w:eastAsia="es-CR"/>
              </w:rPr>
            </w:pPr>
            <w:r w:rsidRPr="001534E5">
              <w:rPr>
                <w:rFonts w:eastAsia="Times New Roman" w:cs="Calibri"/>
                <w:color w:val="000000"/>
                <w:szCs w:val="24"/>
                <w:lang w:val="es-ES" w:eastAsia="es-CR"/>
              </w:rPr>
              <w:t>SUPERAVIT / DEFICIT PRESUPUESTO</w:t>
            </w:r>
          </w:p>
        </w:tc>
        <w:tc>
          <w:tcPr>
            <w:tcW w:w="1837" w:type="dxa"/>
            <w:tcBorders>
              <w:top w:val="nil"/>
              <w:left w:val="nil"/>
              <w:bottom w:val="single" w:sz="8" w:space="0" w:color="auto"/>
              <w:right w:val="single" w:sz="8" w:space="0" w:color="auto"/>
            </w:tcBorders>
            <w:shd w:val="clear" w:color="auto" w:fill="auto"/>
            <w:noWrap/>
            <w:vAlign w:val="center"/>
            <w:hideMark/>
          </w:tcPr>
          <w:p w14:paraId="70110229" w14:textId="77777777" w:rsidR="001534E5" w:rsidRPr="001534E5" w:rsidRDefault="001534E5" w:rsidP="001534E5">
            <w:pPr>
              <w:spacing w:after="0" w:line="240" w:lineRule="auto"/>
              <w:jc w:val="left"/>
              <w:rPr>
                <w:rFonts w:ascii="Calibri" w:eastAsia="Times New Roman" w:hAnsi="Calibri" w:cs="Calibri"/>
                <w:color w:val="000000"/>
                <w:sz w:val="22"/>
                <w:lang w:eastAsia="es-CR"/>
              </w:rPr>
            </w:pPr>
            <w:r w:rsidRPr="001534E5">
              <w:rPr>
                <w:rFonts w:ascii="Calibri" w:eastAsia="Times New Roman" w:hAnsi="Calibri" w:cs="Calibri"/>
                <w:color w:val="000000"/>
                <w:sz w:val="22"/>
                <w:lang w:eastAsia="es-CR"/>
              </w:rPr>
              <w:t> </w:t>
            </w:r>
          </w:p>
        </w:tc>
        <w:tc>
          <w:tcPr>
            <w:tcW w:w="1728" w:type="dxa"/>
            <w:tcBorders>
              <w:top w:val="nil"/>
              <w:left w:val="nil"/>
              <w:bottom w:val="single" w:sz="8" w:space="0" w:color="auto"/>
              <w:right w:val="single" w:sz="8" w:space="0" w:color="auto"/>
            </w:tcBorders>
            <w:shd w:val="clear" w:color="auto" w:fill="auto"/>
            <w:noWrap/>
            <w:vAlign w:val="center"/>
            <w:hideMark/>
          </w:tcPr>
          <w:p w14:paraId="578CE3E4" w14:textId="77777777" w:rsidR="001534E5" w:rsidRPr="001534E5" w:rsidRDefault="001534E5" w:rsidP="001534E5">
            <w:pPr>
              <w:spacing w:after="0" w:line="240" w:lineRule="auto"/>
              <w:jc w:val="left"/>
              <w:rPr>
                <w:rFonts w:ascii="Calibri" w:eastAsia="Times New Roman" w:hAnsi="Calibri" w:cs="Calibri"/>
                <w:color w:val="000000"/>
                <w:sz w:val="22"/>
                <w:lang w:eastAsia="es-CR"/>
              </w:rPr>
            </w:pPr>
            <w:r w:rsidRPr="001534E5">
              <w:rPr>
                <w:rFonts w:ascii="Calibri" w:eastAsia="Times New Roman" w:hAnsi="Calibri" w:cs="Calibri"/>
                <w:color w:val="000000"/>
                <w:sz w:val="22"/>
                <w:lang w:eastAsia="es-CR"/>
              </w:rPr>
              <w:t> </w:t>
            </w:r>
          </w:p>
        </w:tc>
        <w:tc>
          <w:tcPr>
            <w:tcW w:w="890" w:type="dxa"/>
            <w:tcBorders>
              <w:top w:val="nil"/>
              <w:left w:val="nil"/>
              <w:bottom w:val="single" w:sz="8" w:space="0" w:color="auto"/>
              <w:right w:val="single" w:sz="8" w:space="0" w:color="auto"/>
            </w:tcBorders>
            <w:shd w:val="clear" w:color="auto" w:fill="auto"/>
            <w:vAlign w:val="center"/>
            <w:hideMark/>
          </w:tcPr>
          <w:p w14:paraId="530F8B8D" w14:textId="77777777" w:rsidR="001534E5" w:rsidRPr="001534E5" w:rsidRDefault="001534E5" w:rsidP="001534E5">
            <w:pPr>
              <w:spacing w:after="0" w:line="240" w:lineRule="auto"/>
              <w:jc w:val="center"/>
              <w:rPr>
                <w:rFonts w:eastAsia="Times New Roman" w:cs="Calibri"/>
                <w:color w:val="000000"/>
                <w:szCs w:val="24"/>
                <w:lang w:eastAsia="es-CR"/>
              </w:rPr>
            </w:pPr>
            <w:r w:rsidRPr="001534E5">
              <w:rPr>
                <w:rFonts w:eastAsia="Times New Roman" w:cs="Calibri"/>
                <w:color w:val="000000"/>
                <w:szCs w:val="24"/>
                <w:lang w:val="es-ES" w:eastAsia="es-CR"/>
              </w:rPr>
              <w:t> </w:t>
            </w:r>
          </w:p>
        </w:tc>
      </w:tr>
      <w:tr w:rsidR="00160482" w:rsidRPr="001534E5" w14:paraId="4DD72CD7" w14:textId="77777777" w:rsidTr="00160482">
        <w:trPr>
          <w:trHeight w:val="324"/>
          <w:jc w:val="center"/>
        </w:trPr>
        <w:tc>
          <w:tcPr>
            <w:tcW w:w="4400" w:type="dxa"/>
            <w:tcBorders>
              <w:top w:val="nil"/>
              <w:left w:val="single" w:sz="8" w:space="0" w:color="auto"/>
              <w:bottom w:val="single" w:sz="8" w:space="0" w:color="auto"/>
              <w:right w:val="single" w:sz="8" w:space="0" w:color="auto"/>
            </w:tcBorders>
            <w:shd w:val="clear" w:color="auto" w:fill="auto"/>
            <w:noWrap/>
            <w:vAlign w:val="center"/>
            <w:hideMark/>
          </w:tcPr>
          <w:p w14:paraId="692E95F4" w14:textId="77777777" w:rsidR="00160482" w:rsidRPr="001534E5" w:rsidRDefault="00160482" w:rsidP="00160482">
            <w:pPr>
              <w:spacing w:after="0" w:line="240" w:lineRule="auto"/>
              <w:rPr>
                <w:rFonts w:eastAsia="Times New Roman" w:cs="Calibri"/>
                <w:color w:val="000000"/>
                <w:szCs w:val="24"/>
                <w:lang w:eastAsia="es-CR"/>
              </w:rPr>
            </w:pPr>
            <w:r w:rsidRPr="001534E5">
              <w:rPr>
                <w:rFonts w:eastAsia="Times New Roman" w:cs="Calibri"/>
                <w:color w:val="000000"/>
                <w:szCs w:val="24"/>
                <w:lang w:val="es-ES" w:eastAsia="es-CR"/>
              </w:rPr>
              <w:t>SUPERAVIT / DEFICIT CONTABILIDAD</w:t>
            </w:r>
          </w:p>
        </w:tc>
        <w:tc>
          <w:tcPr>
            <w:tcW w:w="1837" w:type="dxa"/>
            <w:tcBorders>
              <w:top w:val="nil"/>
              <w:left w:val="nil"/>
              <w:bottom w:val="single" w:sz="8" w:space="0" w:color="auto"/>
              <w:right w:val="single" w:sz="8" w:space="0" w:color="auto"/>
            </w:tcBorders>
            <w:shd w:val="clear" w:color="auto" w:fill="auto"/>
            <w:noWrap/>
            <w:vAlign w:val="center"/>
            <w:hideMark/>
          </w:tcPr>
          <w:p w14:paraId="3B3BA8ED" w14:textId="42E5CD9F" w:rsidR="00160482" w:rsidRPr="00175F40" w:rsidRDefault="00175F40" w:rsidP="00175F40">
            <w:pPr>
              <w:spacing w:after="0" w:line="240" w:lineRule="auto"/>
              <w:rPr>
                <w:rFonts w:eastAsia="Times New Roman" w:cs="Calibri"/>
                <w:sz w:val="20"/>
                <w:szCs w:val="20"/>
                <w:lang w:val="en-US"/>
              </w:rPr>
            </w:pPr>
            <w:r w:rsidRPr="00175F40">
              <w:rPr>
                <w:rFonts w:eastAsia="Times New Roman" w:cs="Calibri"/>
                <w:sz w:val="20"/>
                <w:szCs w:val="20"/>
                <w:lang w:val="en-US"/>
              </w:rPr>
              <w:t>1 929 172,99</w:t>
            </w:r>
          </w:p>
        </w:tc>
        <w:tc>
          <w:tcPr>
            <w:tcW w:w="1728" w:type="dxa"/>
            <w:tcBorders>
              <w:top w:val="nil"/>
              <w:left w:val="nil"/>
              <w:bottom w:val="single" w:sz="8" w:space="0" w:color="auto"/>
              <w:right w:val="single" w:sz="8" w:space="0" w:color="auto"/>
            </w:tcBorders>
            <w:shd w:val="clear" w:color="auto" w:fill="auto"/>
            <w:noWrap/>
            <w:vAlign w:val="center"/>
            <w:hideMark/>
          </w:tcPr>
          <w:p w14:paraId="7ACC6C87" w14:textId="4006BB76" w:rsidR="00160482" w:rsidRPr="00175F40" w:rsidRDefault="00175F40" w:rsidP="00175F40">
            <w:pPr>
              <w:spacing w:after="0" w:line="240" w:lineRule="auto"/>
              <w:rPr>
                <w:rFonts w:eastAsia="Times New Roman" w:cs="Calibri"/>
                <w:sz w:val="20"/>
                <w:szCs w:val="20"/>
                <w:lang w:val="en-US"/>
              </w:rPr>
            </w:pPr>
            <w:r w:rsidRPr="00175F40">
              <w:rPr>
                <w:rFonts w:eastAsia="Times New Roman" w:cs="Calibri"/>
                <w:sz w:val="20"/>
                <w:szCs w:val="20"/>
                <w:lang w:val="en-US"/>
              </w:rPr>
              <w:t>1 467 598,24</w:t>
            </w:r>
          </w:p>
        </w:tc>
        <w:tc>
          <w:tcPr>
            <w:tcW w:w="890" w:type="dxa"/>
            <w:tcBorders>
              <w:top w:val="nil"/>
              <w:left w:val="nil"/>
              <w:bottom w:val="single" w:sz="8" w:space="0" w:color="auto"/>
              <w:right w:val="single" w:sz="8" w:space="0" w:color="auto"/>
            </w:tcBorders>
            <w:shd w:val="clear" w:color="auto" w:fill="auto"/>
            <w:vAlign w:val="center"/>
            <w:hideMark/>
          </w:tcPr>
          <w:p w14:paraId="0F6C6E7B" w14:textId="04C39661" w:rsidR="00160482" w:rsidRPr="001534E5" w:rsidRDefault="00160482" w:rsidP="00160482">
            <w:pPr>
              <w:spacing w:after="0" w:line="240" w:lineRule="auto"/>
              <w:jc w:val="center"/>
              <w:rPr>
                <w:rFonts w:eastAsia="Times New Roman" w:cs="Calibri"/>
                <w:color w:val="000000"/>
                <w:szCs w:val="24"/>
                <w:lang w:eastAsia="es-CR"/>
              </w:rPr>
            </w:pPr>
            <w:r w:rsidRPr="005C3713">
              <w:rPr>
                <w:rFonts w:cs="Calibri"/>
                <w:sz w:val="20"/>
                <w:szCs w:val="20"/>
              </w:rPr>
              <w:t> </w:t>
            </w:r>
            <w:r w:rsidR="00175F40">
              <w:rPr>
                <w:rFonts w:cs="Calibri"/>
                <w:sz w:val="20"/>
                <w:szCs w:val="20"/>
              </w:rPr>
              <w:t>31</w:t>
            </w:r>
            <w:r w:rsidRPr="005C3713">
              <w:rPr>
                <w:rFonts w:cs="Calibri"/>
                <w:sz w:val="20"/>
                <w:szCs w:val="20"/>
              </w:rPr>
              <w:t>,</w:t>
            </w:r>
            <w:r w:rsidR="00175F40">
              <w:rPr>
                <w:rFonts w:cs="Calibri"/>
                <w:sz w:val="20"/>
                <w:szCs w:val="20"/>
              </w:rPr>
              <w:t>45</w:t>
            </w:r>
            <w:r w:rsidRPr="005C3713">
              <w:rPr>
                <w:rFonts w:cs="Calibri"/>
                <w:sz w:val="20"/>
                <w:szCs w:val="20"/>
              </w:rPr>
              <w:t>%</w:t>
            </w:r>
          </w:p>
        </w:tc>
      </w:tr>
    </w:tbl>
    <w:bookmarkEnd w:id="1063"/>
    <w:p w14:paraId="11A1C833" w14:textId="03D2AAAE" w:rsidR="00692DC8" w:rsidRDefault="00692DC8" w:rsidP="001534E5">
      <w:pPr>
        <w:spacing w:before="240"/>
      </w:pPr>
      <w:r w:rsidRPr="00692DC8">
        <w:t xml:space="preserve">El </w:t>
      </w:r>
      <w:r w:rsidRPr="00692DC8">
        <w:rPr>
          <w:highlight w:val="lightGray"/>
        </w:rPr>
        <w:t xml:space="preserve">Superávit/ Déficit </w:t>
      </w:r>
      <w:r w:rsidRPr="00692DC8">
        <w:t>Presupuestario, comparado al periodo anterior genera un (</w:t>
      </w:r>
      <w:r w:rsidRPr="00692DC8">
        <w:rPr>
          <w:highlight w:val="lightGray"/>
        </w:rPr>
        <w:t>indicar el aumento o disminución)</w:t>
      </w:r>
      <w:r w:rsidRPr="00692DC8">
        <w:t xml:space="preserve"> del (</w:t>
      </w:r>
      <w:r w:rsidRPr="00692DC8">
        <w:rPr>
          <w:highlight w:val="lightGray"/>
        </w:rPr>
        <w:t>indicar % variación relativa)</w:t>
      </w:r>
      <w:r w:rsidRPr="00692DC8">
        <w:t xml:space="preserve"> % de recursos disponibles, producto de (</w:t>
      </w:r>
      <w:r w:rsidRPr="00692DC8">
        <w:rPr>
          <w:highlight w:val="lightGray"/>
        </w:rPr>
        <w:t>Indicar la razón de las variaciones de un periodo a otro)</w:t>
      </w:r>
      <w:r w:rsidRPr="00692DC8">
        <w:t>.</w:t>
      </w:r>
    </w:p>
    <w:p w14:paraId="6831B397" w14:textId="7B9D1270" w:rsidR="005C3713" w:rsidRPr="00A91674" w:rsidRDefault="005C3713" w:rsidP="005C3713">
      <w:pPr>
        <w:spacing w:after="0" w:line="240" w:lineRule="auto"/>
      </w:pPr>
      <w:r>
        <w:t>En relación con la información presupuestaria debe indicarse que a la fecha de cierre no se recibió la información pertinente de la Unidad de Municipalidad que tiene a cargo el control y registros presupuestarios lo imposibilitó realizar las revelaciones pertinentes sobre esta materia, así como las relacionadas con la NICSP 24 “</w:t>
      </w:r>
      <w:r w:rsidRPr="005B20F8">
        <w:t>PRESENTACIÓN DE INFORMACIÓN DEL PRESUPUESTO EN LOS ESTADOS FINANCIEROS</w:t>
      </w:r>
      <w:r>
        <w:t>”.</w:t>
      </w:r>
    </w:p>
    <w:p w14:paraId="695EC3FD" w14:textId="77777777" w:rsidR="00C3199A" w:rsidRDefault="00C3199A" w:rsidP="00175F40">
      <w:pPr>
        <w:spacing w:after="0" w:line="240" w:lineRule="auto"/>
      </w:pPr>
    </w:p>
    <w:p w14:paraId="5C7F5361" w14:textId="1BBAD3DF" w:rsidR="005C3713" w:rsidRDefault="005C3713" w:rsidP="00175F40">
      <w:pPr>
        <w:spacing w:after="0" w:line="240" w:lineRule="auto"/>
      </w:pPr>
      <w:r w:rsidRPr="00DB70F4">
        <w:t>El Superávit/ Déficit</w:t>
      </w:r>
      <w:r>
        <w:t xml:space="preserve"> de</w:t>
      </w:r>
      <w:r w:rsidRPr="00DB70F4">
        <w:t xml:space="preserve"> Contabilidad, comparado </w:t>
      </w:r>
      <w:r>
        <w:t>con el del</w:t>
      </w:r>
      <w:r w:rsidRPr="00DB70F4">
        <w:t xml:space="preserve"> periodo anterior genera un </w:t>
      </w:r>
      <w:r>
        <w:t>Aumento</w:t>
      </w:r>
      <w:r w:rsidRPr="00DB70F4">
        <w:t xml:space="preserve"> de</w:t>
      </w:r>
      <w:r>
        <w:t xml:space="preserve"> </w:t>
      </w:r>
      <w:r w:rsidRPr="00175F40">
        <w:rPr>
          <w:rFonts w:ascii="Arial" w:hAnsi="Arial" w:cs="Arial"/>
        </w:rPr>
        <w:t>₡</w:t>
      </w:r>
      <w:r w:rsidR="00175F40" w:rsidRPr="00175F40">
        <w:t>461 574,76</w:t>
      </w:r>
      <w:r w:rsidR="00175F40">
        <w:t xml:space="preserve"> </w:t>
      </w:r>
      <w:r>
        <w:t xml:space="preserve">miles, que corresponde a una </w:t>
      </w:r>
      <w:r w:rsidRPr="00D248E2">
        <w:t>variación relativa</w:t>
      </w:r>
      <w:r>
        <w:t xml:space="preserve"> de </w:t>
      </w:r>
      <w:r w:rsidR="00175F40">
        <w:t>31</w:t>
      </w:r>
      <w:r>
        <w:t>,</w:t>
      </w:r>
      <w:r w:rsidR="00175F40">
        <w:t>45</w:t>
      </w:r>
      <w:r>
        <w:t xml:space="preserve">% </w:t>
      </w:r>
      <w:r w:rsidRPr="002802EE">
        <w:t>de recursos disponibles, producto de</w:t>
      </w:r>
      <w:r>
        <w:t xml:space="preserve"> que el total de los ingresos al </w:t>
      </w:r>
      <w:r w:rsidR="00564BDD">
        <w:t>30 de junio</w:t>
      </w:r>
      <w:r w:rsidRPr="00713EA4">
        <w:t xml:space="preserve"> del </w:t>
      </w:r>
      <w:r>
        <w:t>2024</w:t>
      </w:r>
      <w:r w:rsidRPr="00713EA4">
        <w:t xml:space="preserve"> </w:t>
      </w:r>
      <w:r>
        <w:t>(</w:t>
      </w:r>
      <w:r w:rsidRPr="00B63913">
        <w:rPr>
          <w:rFonts w:ascii="Arial" w:hAnsi="Arial" w:cs="Arial"/>
        </w:rPr>
        <w:t>₡</w:t>
      </w:r>
      <w:r>
        <w:rPr>
          <w:rFonts w:ascii="Arial" w:hAnsi="Arial" w:cs="Arial"/>
        </w:rPr>
        <w:t>4</w:t>
      </w:r>
      <w:r w:rsidRPr="00B63913">
        <w:t xml:space="preserve"> </w:t>
      </w:r>
      <w:r w:rsidR="009961A3">
        <w:t>683</w:t>
      </w:r>
      <w:r w:rsidRPr="00B63913">
        <w:t xml:space="preserve"> </w:t>
      </w:r>
      <w:r w:rsidR="009961A3">
        <w:t>031</w:t>
      </w:r>
      <w:r w:rsidRPr="00B63913">
        <w:t>,</w:t>
      </w:r>
      <w:r w:rsidR="009961A3">
        <w:t>75</w:t>
      </w:r>
      <w:r>
        <w:t xml:space="preserve"> </w:t>
      </w:r>
      <w:r w:rsidRPr="00870330">
        <w:t xml:space="preserve">miles) </w:t>
      </w:r>
      <w:r w:rsidRPr="00713EA4">
        <w:t xml:space="preserve">fue </w:t>
      </w:r>
      <w:r w:rsidR="009961A3">
        <w:t>superior</w:t>
      </w:r>
      <w:r w:rsidRPr="00713EA4">
        <w:t xml:space="preserve"> al total de ingresos del </w:t>
      </w:r>
      <w:r>
        <w:t>2023</w:t>
      </w:r>
      <w:r w:rsidRPr="00713EA4">
        <w:t xml:space="preserve"> (</w:t>
      </w:r>
      <w:r w:rsidRPr="0034454C">
        <w:rPr>
          <w:rFonts w:ascii="Arial" w:hAnsi="Arial" w:cs="Arial"/>
        </w:rPr>
        <w:t>₡</w:t>
      </w:r>
      <w:r w:rsidRPr="0034454C">
        <w:t>4 </w:t>
      </w:r>
      <w:r w:rsidR="00285A98">
        <w:t>6</w:t>
      </w:r>
      <w:r w:rsidR="009961A3">
        <w:t>32</w:t>
      </w:r>
      <w:r w:rsidRPr="0034454C">
        <w:t> </w:t>
      </w:r>
      <w:r w:rsidR="009961A3">
        <w:t>09</w:t>
      </w:r>
      <w:r w:rsidR="00285A98">
        <w:t>1</w:t>
      </w:r>
      <w:r w:rsidRPr="0034454C">
        <w:t>,</w:t>
      </w:r>
      <w:r w:rsidR="009961A3">
        <w:t>52</w:t>
      </w:r>
      <w:r>
        <w:t xml:space="preserve"> </w:t>
      </w:r>
      <w:r w:rsidRPr="00870330">
        <w:t>miles)</w:t>
      </w:r>
      <w:r w:rsidRPr="00713EA4">
        <w:t xml:space="preserve"> un </w:t>
      </w:r>
      <w:r w:rsidR="009961A3">
        <w:t>1</w:t>
      </w:r>
      <w:r w:rsidRPr="00713EA4">
        <w:t>,</w:t>
      </w:r>
      <w:r w:rsidR="009961A3">
        <w:t>10</w:t>
      </w:r>
      <w:r w:rsidRPr="00713EA4">
        <w:t>%, (</w:t>
      </w:r>
      <w:r w:rsidRPr="0034454C">
        <w:rPr>
          <w:rFonts w:ascii="Arial" w:hAnsi="Arial" w:cs="Arial"/>
        </w:rPr>
        <w:t>₡</w:t>
      </w:r>
      <w:r w:rsidR="009961A3">
        <w:rPr>
          <w:rFonts w:ascii="Arial" w:hAnsi="Arial" w:cs="Arial"/>
        </w:rPr>
        <w:t>50</w:t>
      </w:r>
      <w:r>
        <w:t> </w:t>
      </w:r>
      <w:r w:rsidR="00285A98">
        <w:t>9</w:t>
      </w:r>
      <w:r w:rsidR="009961A3">
        <w:t>40</w:t>
      </w:r>
      <w:r>
        <w:t>,</w:t>
      </w:r>
      <w:r w:rsidR="009961A3">
        <w:t>2</w:t>
      </w:r>
      <w:r w:rsidR="00285A98">
        <w:t>3</w:t>
      </w:r>
      <w:r>
        <w:t xml:space="preserve"> </w:t>
      </w:r>
      <w:r w:rsidRPr="00713EA4">
        <w:t>miles</w:t>
      </w:r>
      <w:r w:rsidRPr="00D248E2">
        <w:t>)</w:t>
      </w:r>
      <w:r>
        <w:t>,</w:t>
      </w:r>
      <w:r w:rsidRPr="00D248E2">
        <w:t xml:space="preserve"> el </w:t>
      </w:r>
      <w:r w:rsidRPr="00CF6962">
        <w:t xml:space="preserve">total de gastos al </w:t>
      </w:r>
      <w:r w:rsidR="00564BDD">
        <w:t>30 de junio</w:t>
      </w:r>
      <w:r w:rsidRPr="00CF6962">
        <w:t xml:space="preserve"> de </w:t>
      </w:r>
      <w:r>
        <w:t>2024</w:t>
      </w:r>
      <w:r w:rsidRPr="00CF6962">
        <w:t xml:space="preserve"> </w:t>
      </w:r>
      <w:r w:rsidRPr="00713EA4">
        <w:t>(</w:t>
      </w:r>
      <w:r w:rsidR="009961A3">
        <w:t>2</w:t>
      </w:r>
      <w:r w:rsidR="00285A98">
        <w:t> </w:t>
      </w:r>
      <w:r w:rsidR="009961A3">
        <w:t>753</w:t>
      </w:r>
      <w:r w:rsidR="00285A98">
        <w:t> 8</w:t>
      </w:r>
      <w:r w:rsidR="009961A3">
        <w:t>58</w:t>
      </w:r>
      <w:r w:rsidR="00285A98">
        <w:t>,</w:t>
      </w:r>
      <w:r w:rsidR="009961A3">
        <w:t>76</w:t>
      </w:r>
      <w:r>
        <w:t xml:space="preserve"> </w:t>
      </w:r>
      <w:r w:rsidRPr="00870330">
        <w:t>miles)</w:t>
      </w:r>
      <w:r>
        <w:t xml:space="preserve"> fue</w:t>
      </w:r>
      <w:r w:rsidRPr="00CF6962">
        <w:t xml:space="preserve"> </w:t>
      </w:r>
      <w:r w:rsidRPr="00713EA4">
        <w:t xml:space="preserve">un </w:t>
      </w:r>
      <w:r>
        <w:t>-</w:t>
      </w:r>
      <w:r w:rsidR="009961A3">
        <w:t>12</w:t>
      </w:r>
      <w:r w:rsidR="00285A98">
        <w:t>,</w:t>
      </w:r>
      <w:r w:rsidR="009961A3">
        <w:t>9</w:t>
      </w:r>
      <w:r w:rsidR="00285A98">
        <w:t>8</w:t>
      </w:r>
      <w:r w:rsidRPr="00870330">
        <w:t>%</w:t>
      </w:r>
      <w:r w:rsidRPr="00DB70F4">
        <w:t xml:space="preserve"> (</w:t>
      </w:r>
      <w:r>
        <w:t>-</w:t>
      </w:r>
      <w:r w:rsidRPr="00562BD0">
        <w:rPr>
          <w:rFonts w:ascii="Arial" w:hAnsi="Arial" w:cs="Arial"/>
        </w:rPr>
        <w:t>₡</w:t>
      </w:r>
      <w:r w:rsidR="009961A3">
        <w:rPr>
          <w:rFonts w:ascii="Arial" w:hAnsi="Arial" w:cs="Arial"/>
        </w:rPr>
        <w:t>410</w:t>
      </w:r>
      <w:r w:rsidR="00285A98">
        <w:t> </w:t>
      </w:r>
      <w:r w:rsidR="009961A3">
        <w:t>634</w:t>
      </w:r>
      <w:r w:rsidR="00285A98">
        <w:t>,</w:t>
      </w:r>
      <w:r w:rsidR="009961A3">
        <w:t>52</w:t>
      </w:r>
      <w:r>
        <w:t xml:space="preserve"> </w:t>
      </w:r>
      <w:r w:rsidRPr="00713EA4">
        <w:t xml:space="preserve">miles) </w:t>
      </w:r>
      <w:r>
        <w:t>inferior</w:t>
      </w:r>
      <w:r w:rsidRPr="00713EA4">
        <w:t xml:space="preserve"> que el total del gasto al </w:t>
      </w:r>
      <w:r w:rsidR="00564BDD">
        <w:t>30 de junio</w:t>
      </w:r>
      <w:r w:rsidRPr="00713EA4">
        <w:t xml:space="preserve"> del </w:t>
      </w:r>
      <w:r>
        <w:t>2023</w:t>
      </w:r>
      <w:r w:rsidRPr="00713EA4">
        <w:t xml:space="preserve"> que ascendió a </w:t>
      </w:r>
      <w:r w:rsidRPr="00333A0B">
        <w:rPr>
          <w:rFonts w:ascii="Arial" w:hAnsi="Arial" w:cs="Arial"/>
        </w:rPr>
        <w:t>₡</w:t>
      </w:r>
      <w:r w:rsidR="009961A3">
        <w:t>3</w:t>
      </w:r>
      <w:r w:rsidRPr="00333A0B">
        <w:t xml:space="preserve"> </w:t>
      </w:r>
      <w:r w:rsidR="009961A3">
        <w:t>164</w:t>
      </w:r>
      <w:r w:rsidRPr="00562BD0">
        <w:t xml:space="preserve"> </w:t>
      </w:r>
      <w:r w:rsidR="00C3199A">
        <w:t>49</w:t>
      </w:r>
      <w:r w:rsidRPr="00562BD0">
        <w:t>3,</w:t>
      </w:r>
      <w:r w:rsidR="00C3199A">
        <w:t>28</w:t>
      </w:r>
      <w:r>
        <w:t xml:space="preserve"> miles</w:t>
      </w:r>
      <w:r w:rsidRPr="00713EA4">
        <w:t xml:space="preserve">. Es decir, la diferencia entre el total de gastos del </w:t>
      </w:r>
      <w:r>
        <w:t>2023</w:t>
      </w:r>
      <w:r w:rsidRPr="00713EA4">
        <w:t xml:space="preserve"> y </w:t>
      </w:r>
      <w:r>
        <w:t>2024</w:t>
      </w:r>
      <w:r w:rsidRPr="00713EA4">
        <w:t xml:space="preserve">, fue muy superior a la diferencia en </w:t>
      </w:r>
      <w:r w:rsidRPr="00D248E2">
        <w:t>el total de ingresos a es</w:t>
      </w:r>
      <w:r>
        <w:t>e</w:t>
      </w:r>
      <w:r w:rsidRPr="00D248E2">
        <w:t xml:space="preserve"> mism</w:t>
      </w:r>
      <w:r>
        <w:t>o</w:t>
      </w:r>
      <w:r w:rsidRPr="00D248E2">
        <w:t xml:space="preserve"> </w:t>
      </w:r>
      <w:r>
        <w:t>periodo</w:t>
      </w:r>
      <w:r w:rsidRPr="00D248E2">
        <w:t>.</w:t>
      </w:r>
    </w:p>
    <w:p w14:paraId="161416C9" w14:textId="77777777" w:rsidR="00C3199A" w:rsidRPr="00562BD0" w:rsidRDefault="00C3199A" w:rsidP="00175F40">
      <w:pPr>
        <w:spacing w:after="0" w:line="240" w:lineRule="auto"/>
      </w:pPr>
    </w:p>
    <w:p w14:paraId="24F0693E" w14:textId="77777777" w:rsidR="00692DC8" w:rsidRPr="00692DC8" w:rsidRDefault="00692DC8" w:rsidP="0027138C">
      <w:pPr>
        <w:rPr>
          <w:color w:val="000000"/>
          <w:lang w:val="es-ES" w:eastAsia="es-CR"/>
        </w:rPr>
      </w:pPr>
      <w:r w:rsidRPr="00692DC8">
        <w:rPr>
          <w:color w:val="000000"/>
          <w:lang w:val="es-ES" w:eastAsia="es-CR"/>
        </w:rPr>
        <w:t>Revelación para conciliar la Ejecución Presupuestaria con Contabilidad</w:t>
      </w:r>
    </w:p>
    <w:tbl>
      <w:tblPr>
        <w:tblW w:w="8967" w:type="dxa"/>
        <w:jc w:val="center"/>
        <w:tblCellMar>
          <w:left w:w="70" w:type="dxa"/>
          <w:right w:w="70" w:type="dxa"/>
        </w:tblCellMar>
        <w:tblLook w:val="04A0" w:firstRow="1" w:lastRow="0" w:firstColumn="1" w:lastColumn="0" w:noHBand="0" w:noVBand="1"/>
      </w:tblPr>
      <w:tblGrid>
        <w:gridCol w:w="1418"/>
        <w:gridCol w:w="2280"/>
        <w:gridCol w:w="1725"/>
        <w:gridCol w:w="1701"/>
        <w:gridCol w:w="1843"/>
      </w:tblGrid>
      <w:tr w:rsidR="00DB1680" w:rsidRPr="00DB1680" w14:paraId="72BC0B2B" w14:textId="77777777" w:rsidTr="00DB1680">
        <w:trPr>
          <w:trHeight w:val="324"/>
          <w:jc w:val="center"/>
        </w:trPr>
        <w:tc>
          <w:tcPr>
            <w:tcW w:w="1418" w:type="dxa"/>
            <w:tcBorders>
              <w:top w:val="single" w:sz="8" w:space="0" w:color="auto"/>
              <w:left w:val="single" w:sz="8" w:space="0" w:color="auto"/>
              <w:bottom w:val="single" w:sz="8" w:space="0" w:color="auto"/>
              <w:right w:val="single" w:sz="8" w:space="0" w:color="auto"/>
            </w:tcBorders>
            <w:shd w:val="clear" w:color="000000" w:fill="365F91"/>
            <w:noWrap/>
            <w:vAlign w:val="center"/>
            <w:hideMark/>
          </w:tcPr>
          <w:p w14:paraId="21FD3C0A" w14:textId="77777777" w:rsidR="00DB1680" w:rsidRPr="00DB1680" w:rsidRDefault="00DB1680" w:rsidP="00DB1680">
            <w:pPr>
              <w:spacing w:after="0" w:line="240" w:lineRule="auto"/>
              <w:jc w:val="center"/>
              <w:rPr>
                <w:rFonts w:eastAsia="Times New Roman" w:cs="Calibri"/>
                <w:color w:val="FFFFFF"/>
                <w:szCs w:val="24"/>
                <w:lang w:eastAsia="es-CR"/>
              </w:rPr>
            </w:pPr>
            <w:bookmarkStart w:id="1064" w:name="_Hlk124018645"/>
            <w:r w:rsidRPr="00DB1680">
              <w:rPr>
                <w:rFonts w:eastAsia="Times New Roman" w:cs="Calibri"/>
                <w:color w:val="FFFFFF"/>
                <w:szCs w:val="24"/>
                <w:lang w:eastAsia="es-CR"/>
              </w:rPr>
              <w:t>Cuenta</w:t>
            </w:r>
          </w:p>
        </w:tc>
        <w:tc>
          <w:tcPr>
            <w:tcW w:w="2280" w:type="dxa"/>
            <w:tcBorders>
              <w:top w:val="single" w:sz="8" w:space="0" w:color="auto"/>
              <w:left w:val="nil"/>
              <w:bottom w:val="single" w:sz="8" w:space="0" w:color="auto"/>
              <w:right w:val="single" w:sz="8" w:space="0" w:color="auto"/>
            </w:tcBorders>
            <w:shd w:val="clear" w:color="000000" w:fill="365F91"/>
            <w:noWrap/>
            <w:vAlign w:val="center"/>
            <w:hideMark/>
          </w:tcPr>
          <w:p w14:paraId="0AF51B49"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eastAsia="es-CR"/>
              </w:rPr>
              <w:t>Presupuesto</w:t>
            </w:r>
          </w:p>
        </w:tc>
        <w:tc>
          <w:tcPr>
            <w:tcW w:w="1725" w:type="dxa"/>
            <w:tcBorders>
              <w:top w:val="single" w:sz="8" w:space="0" w:color="auto"/>
              <w:left w:val="nil"/>
              <w:bottom w:val="single" w:sz="8" w:space="0" w:color="auto"/>
              <w:right w:val="single" w:sz="8" w:space="0" w:color="auto"/>
            </w:tcBorders>
            <w:shd w:val="clear" w:color="000000" w:fill="365F91"/>
            <w:noWrap/>
            <w:vAlign w:val="center"/>
            <w:hideMark/>
          </w:tcPr>
          <w:p w14:paraId="78247637"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eastAsia="es-CR"/>
              </w:rPr>
              <w:t>Devengo</w:t>
            </w:r>
          </w:p>
        </w:tc>
        <w:tc>
          <w:tcPr>
            <w:tcW w:w="1701" w:type="dxa"/>
            <w:tcBorders>
              <w:top w:val="single" w:sz="8" w:space="0" w:color="auto"/>
              <w:left w:val="nil"/>
              <w:bottom w:val="single" w:sz="8" w:space="0" w:color="auto"/>
              <w:right w:val="single" w:sz="8" w:space="0" w:color="auto"/>
            </w:tcBorders>
            <w:shd w:val="clear" w:color="000000" w:fill="365F91"/>
            <w:noWrap/>
            <w:vAlign w:val="center"/>
            <w:hideMark/>
          </w:tcPr>
          <w:p w14:paraId="29D80CC0"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eastAsia="es-CR"/>
              </w:rPr>
              <w:t>Diferencia</w:t>
            </w:r>
          </w:p>
        </w:tc>
        <w:tc>
          <w:tcPr>
            <w:tcW w:w="1843" w:type="dxa"/>
            <w:tcBorders>
              <w:top w:val="single" w:sz="8" w:space="0" w:color="auto"/>
              <w:left w:val="nil"/>
              <w:bottom w:val="single" w:sz="8" w:space="0" w:color="auto"/>
              <w:right w:val="single" w:sz="8" w:space="0" w:color="auto"/>
            </w:tcBorders>
            <w:shd w:val="clear" w:color="000000" w:fill="365F91"/>
            <w:vAlign w:val="center"/>
            <w:hideMark/>
          </w:tcPr>
          <w:p w14:paraId="606DE376"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eastAsia="es-CR"/>
              </w:rPr>
              <w:t>Justificación</w:t>
            </w:r>
          </w:p>
        </w:tc>
      </w:tr>
      <w:tr w:rsidR="00DB1680" w:rsidRPr="00DB1680" w14:paraId="278F93B5" w14:textId="77777777" w:rsidTr="00DB1680">
        <w:trPr>
          <w:trHeight w:val="324"/>
          <w:jc w:val="center"/>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14:paraId="330560A4"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2280" w:type="dxa"/>
            <w:tcBorders>
              <w:top w:val="nil"/>
              <w:left w:val="nil"/>
              <w:bottom w:val="single" w:sz="8" w:space="0" w:color="auto"/>
              <w:right w:val="single" w:sz="8" w:space="0" w:color="auto"/>
            </w:tcBorders>
            <w:shd w:val="clear" w:color="auto" w:fill="auto"/>
            <w:noWrap/>
            <w:vAlign w:val="center"/>
            <w:hideMark/>
          </w:tcPr>
          <w:p w14:paraId="70593C55"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1725" w:type="dxa"/>
            <w:tcBorders>
              <w:top w:val="nil"/>
              <w:left w:val="nil"/>
              <w:bottom w:val="single" w:sz="8" w:space="0" w:color="auto"/>
              <w:right w:val="single" w:sz="8" w:space="0" w:color="auto"/>
            </w:tcBorders>
            <w:shd w:val="clear" w:color="auto" w:fill="auto"/>
            <w:noWrap/>
            <w:vAlign w:val="center"/>
            <w:hideMark/>
          </w:tcPr>
          <w:p w14:paraId="2A6C7108"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1701" w:type="dxa"/>
            <w:tcBorders>
              <w:top w:val="nil"/>
              <w:left w:val="nil"/>
              <w:bottom w:val="single" w:sz="8" w:space="0" w:color="auto"/>
              <w:right w:val="single" w:sz="8" w:space="0" w:color="auto"/>
            </w:tcBorders>
            <w:shd w:val="clear" w:color="auto" w:fill="auto"/>
            <w:noWrap/>
            <w:vAlign w:val="center"/>
            <w:hideMark/>
          </w:tcPr>
          <w:p w14:paraId="1D3905F7"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1843" w:type="dxa"/>
            <w:tcBorders>
              <w:top w:val="nil"/>
              <w:left w:val="nil"/>
              <w:bottom w:val="single" w:sz="8" w:space="0" w:color="auto"/>
              <w:right w:val="single" w:sz="8" w:space="0" w:color="auto"/>
            </w:tcBorders>
            <w:shd w:val="clear" w:color="auto" w:fill="auto"/>
            <w:vAlign w:val="center"/>
            <w:hideMark/>
          </w:tcPr>
          <w:p w14:paraId="2FA6A834" w14:textId="77777777" w:rsidR="00DB1680" w:rsidRPr="00DB1680" w:rsidRDefault="00DB1680" w:rsidP="00DB1680">
            <w:pPr>
              <w:spacing w:after="0" w:line="240" w:lineRule="auto"/>
              <w:rPr>
                <w:rFonts w:eastAsia="Times New Roman" w:cs="Calibri"/>
                <w:color w:val="000000"/>
                <w:szCs w:val="24"/>
                <w:lang w:eastAsia="es-CR"/>
              </w:rPr>
            </w:pPr>
            <w:r w:rsidRPr="00DB1680">
              <w:rPr>
                <w:rFonts w:eastAsia="Times New Roman" w:cs="Calibri"/>
                <w:color w:val="000000"/>
                <w:szCs w:val="24"/>
                <w:lang w:eastAsia="es-CR"/>
              </w:rPr>
              <w:t> </w:t>
            </w:r>
          </w:p>
        </w:tc>
      </w:tr>
      <w:tr w:rsidR="00DB1680" w:rsidRPr="00DB1680" w14:paraId="714722EA" w14:textId="77777777" w:rsidTr="00DB1680">
        <w:trPr>
          <w:trHeight w:val="324"/>
          <w:jc w:val="center"/>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14:paraId="4A223ECD"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2280" w:type="dxa"/>
            <w:tcBorders>
              <w:top w:val="nil"/>
              <w:left w:val="nil"/>
              <w:bottom w:val="single" w:sz="8" w:space="0" w:color="auto"/>
              <w:right w:val="single" w:sz="8" w:space="0" w:color="auto"/>
            </w:tcBorders>
            <w:shd w:val="clear" w:color="auto" w:fill="auto"/>
            <w:noWrap/>
            <w:vAlign w:val="center"/>
            <w:hideMark/>
          </w:tcPr>
          <w:p w14:paraId="1ED01338"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1725" w:type="dxa"/>
            <w:tcBorders>
              <w:top w:val="nil"/>
              <w:left w:val="nil"/>
              <w:bottom w:val="single" w:sz="8" w:space="0" w:color="auto"/>
              <w:right w:val="single" w:sz="8" w:space="0" w:color="auto"/>
            </w:tcBorders>
            <w:shd w:val="clear" w:color="auto" w:fill="auto"/>
            <w:noWrap/>
            <w:vAlign w:val="center"/>
            <w:hideMark/>
          </w:tcPr>
          <w:p w14:paraId="2F7E0F88"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1701" w:type="dxa"/>
            <w:tcBorders>
              <w:top w:val="nil"/>
              <w:left w:val="nil"/>
              <w:bottom w:val="single" w:sz="8" w:space="0" w:color="auto"/>
              <w:right w:val="single" w:sz="8" w:space="0" w:color="auto"/>
            </w:tcBorders>
            <w:shd w:val="clear" w:color="auto" w:fill="auto"/>
            <w:noWrap/>
            <w:vAlign w:val="center"/>
            <w:hideMark/>
          </w:tcPr>
          <w:p w14:paraId="12269320"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1843" w:type="dxa"/>
            <w:tcBorders>
              <w:top w:val="nil"/>
              <w:left w:val="nil"/>
              <w:bottom w:val="single" w:sz="8" w:space="0" w:color="auto"/>
              <w:right w:val="single" w:sz="8" w:space="0" w:color="auto"/>
            </w:tcBorders>
            <w:shd w:val="clear" w:color="auto" w:fill="auto"/>
            <w:vAlign w:val="center"/>
            <w:hideMark/>
          </w:tcPr>
          <w:p w14:paraId="6CE6E75F" w14:textId="77777777" w:rsidR="00DB1680" w:rsidRPr="00DB1680" w:rsidRDefault="00DB1680" w:rsidP="00DB1680">
            <w:pPr>
              <w:spacing w:after="0" w:line="240" w:lineRule="auto"/>
              <w:jc w:val="center"/>
              <w:rPr>
                <w:rFonts w:eastAsia="Times New Roman" w:cs="Calibri"/>
                <w:color w:val="000000"/>
                <w:szCs w:val="24"/>
                <w:lang w:eastAsia="es-CR"/>
              </w:rPr>
            </w:pPr>
            <w:r w:rsidRPr="00DB1680">
              <w:rPr>
                <w:rFonts w:eastAsia="Times New Roman" w:cs="Calibri"/>
                <w:color w:val="000000"/>
                <w:szCs w:val="24"/>
                <w:lang w:eastAsia="es-CR"/>
              </w:rPr>
              <w:t> </w:t>
            </w:r>
          </w:p>
        </w:tc>
      </w:tr>
      <w:bookmarkEnd w:id="1064"/>
    </w:tbl>
    <w:p w14:paraId="13C53CEB" w14:textId="77777777" w:rsidR="00DB1680" w:rsidRDefault="00DB1680" w:rsidP="00285A98">
      <w:pPr>
        <w:spacing w:after="0" w:line="240" w:lineRule="auto"/>
      </w:pPr>
    </w:p>
    <w:p w14:paraId="5A48EA01" w14:textId="664D1E48" w:rsidR="00285A98" w:rsidRDefault="00285A98" w:rsidP="00285A98">
      <w:pPr>
        <w:spacing w:after="0" w:line="240" w:lineRule="auto"/>
      </w:pPr>
      <w:r>
        <w:t>La Municipalidad está realizando los procedimientos y gestiones pertinentes para en que en el próximo trimestre se logre elaborar la conciliación de la ejecución presupuestaria con contabilidad.</w:t>
      </w:r>
    </w:p>
    <w:p w14:paraId="34DECDB5" w14:textId="77777777" w:rsidR="00285A98" w:rsidRDefault="00285A98" w:rsidP="0027138C"/>
    <w:p w14:paraId="6878229D" w14:textId="77777777" w:rsidR="00285A98" w:rsidRPr="00692DC8" w:rsidRDefault="00285A98" w:rsidP="0027138C"/>
    <w:p w14:paraId="0DFDECD1" w14:textId="2E21286E" w:rsidR="00692DC8" w:rsidRPr="0027138C" w:rsidRDefault="00692DC8" w:rsidP="0027138C">
      <w:pPr>
        <w:pStyle w:val="Ttulo2"/>
        <w:spacing w:after="240"/>
        <w:jc w:val="center"/>
        <w:rPr>
          <w:rFonts w:eastAsia="Times New Roman"/>
          <w:b/>
          <w:smallCaps/>
          <w:color w:val="1F497D"/>
          <w:u w:val="single"/>
        </w:rPr>
      </w:pPr>
      <w:bookmarkStart w:id="1065" w:name="_Toc82769097"/>
      <w:bookmarkStart w:id="1066" w:name="_Toc173245337"/>
      <w:r w:rsidRPr="0027138C">
        <w:rPr>
          <w:rFonts w:eastAsia="Times New Roman"/>
          <w:b/>
        </w:rPr>
        <w:t>NOTAS AL INFORME DEUDA PÚBLICA</w:t>
      </w:r>
      <w:bookmarkEnd w:id="1065"/>
      <w:bookmarkEnd w:id="1066"/>
    </w:p>
    <w:p w14:paraId="6172B988" w14:textId="77777777" w:rsidR="00692DC8" w:rsidRPr="002D1111" w:rsidRDefault="00692DC8" w:rsidP="002D1111">
      <w:pPr>
        <w:pStyle w:val="Ttulo4"/>
        <w:spacing w:after="240"/>
      </w:pPr>
      <w:bookmarkStart w:id="1067" w:name="_Toc82769098"/>
      <w:bookmarkStart w:id="1068" w:name="_Toc173245338"/>
      <w:r w:rsidRPr="002D1111">
        <w:t>NOTA N°8</w:t>
      </w:r>
      <w:bookmarkEnd w:id="1067"/>
      <w:r w:rsidRPr="002D1111">
        <w:t>6</w:t>
      </w:r>
      <w:bookmarkEnd w:id="1068"/>
    </w:p>
    <w:p w14:paraId="09448BAC" w14:textId="77777777" w:rsidR="00692DC8" w:rsidRPr="00305662" w:rsidRDefault="00692DC8" w:rsidP="00305662">
      <w:pPr>
        <w:rPr>
          <w:b/>
          <w:bCs/>
        </w:rPr>
      </w:pPr>
      <w:bookmarkStart w:id="1069" w:name="_Toc82769099"/>
      <w:r w:rsidRPr="00305662">
        <w:rPr>
          <w:b/>
          <w:bCs/>
        </w:rPr>
        <w:t>Saldo Deuda Pública</w:t>
      </w:r>
      <w:bookmarkEnd w:id="1069"/>
    </w:p>
    <w:tbl>
      <w:tblPr>
        <w:tblW w:w="9254" w:type="dxa"/>
        <w:tblInd w:w="-10" w:type="dxa"/>
        <w:tblCellMar>
          <w:left w:w="70" w:type="dxa"/>
          <w:right w:w="70" w:type="dxa"/>
        </w:tblCellMar>
        <w:tblLook w:val="04A0" w:firstRow="1" w:lastRow="0" w:firstColumn="1" w:lastColumn="0" w:noHBand="0" w:noVBand="1"/>
      </w:tblPr>
      <w:tblGrid>
        <w:gridCol w:w="3828"/>
        <w:gridCol w:w="2551"/>
        <w:gridCol w:w="1985"/>
        <w:gridCol w:w="890"/>
      </w:tblGrid>
      <w:tr w:rsidR="00DB1680" w:rsidRPr="00DB1680" w14:paraId="31C7416A" w14:textId="77777777" w:rsidTr="00DB1680">
        <w:trPr>
          <w:trHeight w:val="324"/>
        </w:trPr>
        <w:tc>
          <w:tcPr>
            <w:tcW w:w="3828" w:type="dxa"/>
            <w:tcBorders>
              <w:top w:val="single" w:sz="8" w:space="0" w:color="auto"/>
              <w:left w:val="single" w:sz="8" w:space="0" w:color="auto"/>
              <w:bottom w:val="single" w:sz="8" w:space="0" w:color="auto"/>
              <w:right w:val="single" w:sz="8" w:space="0" w:color="auto"/>
            </w:tcBorders>
            <w:shd w:val="clear" w:color="000000" w:fill="365F91"/>
            <w:noWrap/>
            <w:vAlign w:val="bottom"/>
            <w:hideMark/>
          </w:tcPr>
          <w:p w14:paraId="228B4A97"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bookmarkStart w:id="1070" w:name="_Hlk124018739"/>
            <w:r w:rsidRPr="00DB1680">
              <w:rPr>
                <w:rFonts w:ascii="Calibri" w:eastAsia="Times New Roman" w:hAnsi="Calibri" w:cs="Calibri"/>
                <w:color w:val="000000"/>
                <w:sz w:val="22"/>
                <w:lang w:eastAsia="es-CR"/>
              </w:rPr>
              <w:t> </w:t>
            </w:r>
          </w:p>
        </w:tc>
        <w:tc>
          <w:tcPr>
            <w:tcW w:w="4536" w:type="dxa"/>
            <w:gridSpan w:val="2"/>
            <w:tcBorders>
              <w:top w:val="single" w:sz="8" w:space="0" w:color="auto"/>
              <w:left w:val="nil"/>
              <w:bottom w:val="single" w:sz="8" w:space="0" w:color="auto"/>
              <w:right w:val="single" w:sz="8" w:space="0" w:color="000000"/>
            </w:tcBorders>
            <w:shd w:val="clear" w:color="000000" w:fill="365F91"/>
            <w:vAlign w:val="center"/>
            <w:hideMark/>
          </w:tcPr>
          <w:p w14:paraId="54B959A0"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val="es-ES" w:eastAsia="es-CR"/>
              </w:rPr>
              <w:t>SALDOS</w:t>
            </w:r>
          </w:p>
        </w:tc>
        <w:tc>
          <w:tcPr>
            <w:tcW w:w="890" w:type="dxa"/>
            <w:tcBorders>
              <w:top w:val="single" w:sz="8" w:space="0" w:color="auto"/>
              <w:left w:val="nil"/>
              <w:bottom w:val="single" w:sz="8" w:space="0" w:color="auto"/>
              <w:right w:val="single" w:sz="8" w:space="0" w:color="auto"/>
            </w:tcBorders>
            <w:shd w:val="clear" w:color="000000" w:fill="365F91"/>
            <w:vAlign w:val="center"/>
            <w:hideMark/>
          </w:tcPr>
          <w:p w14:paraId="65B026A4" w14:textId="77777777" w:rsidR="00DB1680" w:rsidRPr="00DB1680" w:rsidRDefault="00DB1680" w:rsidP="00DB1680">
            <w:pPr>
              <w:spacing w:after="0" w:line="240" w:lineRule="auto"/>
              <w:rPr>
                <w:rFonts w:eastAsia="Times New Roman" w:cs="Calibri"/>
                <w:color w:val="FFFFFF"/>
                <w:szCs w:val="24"/>
                <w:lang w:eastAsia="es-CR"/>
              </w:rPr>
            </w:pPr>
            <w:r w:rsidRPr="00DB1680">
              <w:rPr>
                <w:rFonts w:eastAsia="Times New Roman" w:cs="Calibri"/>
                <w:color w:val="FFFFFF"/>
                <w:szCs w:val="24"/>
                <w:lang w:val="es-ES" w:eastAsia="es-CR"/>
              </w:rPr>
              <w:t> </w:t>
            </w:r>
          </w:p>
        </w:tc>
      </w:tr>
      <w:tr w:rsidR="00DB1680" w:rsidRPr="00DB1680" w14:paraId="701F73A7" w14:textId="77777777" w:rsidTr="00DB1680">
        <w:trPr>
          <w:trHeight w:val="324"/>
        </w:trPr>
        <w:tc>
          <w:tcPr>
            <w:tcW w:w="3828" w:type="dxa"/>
            <w:tcBorders>
              <w:top w:val="nil"/>
              <w:left w:val="single" w:sz="8" w:space="0" w:color="auto"/>
              <w:bottom w:val="single" w:sz="8" w:space="0" w:color="auto"/>
              <w:right w:val="single" w:sz="8" w:space="0" w:color="auto"/>
            </w:tcBorders>
            <w:shd w:val="clear" w:color="000000" w:fill="365F91"/>
            <w:noWrap/>
            <w:vAlign w:val="center"/>
            <w:hideMark/>
          </w:tcPr>
          <w:p w14:paraId="44253F32"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val="es-ES" w:eastAsia="es-CR"/>
              </w:rPr>
              <w:t>RUBRO</w:t>
            </w:r>
          </w:p>
        </w:tc>
        <w:tc>
          <w:tcPr>
            <w:tcW w:w="2551" w:type="dxa"/>
            <w:tcBorders>
              <w:top w:val="nil"/>
              <w:left w:val="nil"/>
              <w:bottom w:val="single" w:sz="8" w:space="0" w:color="auto"/>
              <w:right w:val="single" w:sz="8" w:space="0" w:color="auto"/>
            </w:tcBorders>
            <w:shd w:val="clear" w:color="000000" w:fill="365F91"/>
            <w:noWrap/>
            <w:vAlign w:val="center"/>
            <w:hideMark/>
          </w:tcPr>
          <w:p w14:paraId="63F64A23"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val="es-ES" w:eastAsia="es-CR"/>
              </w:rPr>
              <w:t>Periodo Actual</w:t>
            </w:r>
          </w:p>
        </w:tc>
        <w:tc>
          <w:tcPr>
            <w:tcW w:w="1985" w:type="dxa"/>
            <w:tcBorders>
              <w:top w:val="nil"/>
              <w:left w:val="nil"/>
              <w:bottom w:val="single" w:sz="8" w:space="0" w:color="auto"/>
              <w:right w:val="single" w:sz="8" w:space="0" w:color="auto"/>
            </w:tcBorders>
            <w:shd w:val="clear" w:color="000000" w:fill="365F91"/>
            <w:noWrap/>
            <w:vAlign w:val="center"/>
            <w:hideMark/>
          </w:tcPr>
          <w:p w14:paraId="7A870CE8"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val="es-ES" w:eastAsia="es-CR"/>
              </w:rPr>
              <w:t>Periodo Anterior</w:t>
            </w:r>
          </w:p>
        </w:tc>
        <w:tc>
          <w:tcPr>
            <w:tcW w:w="890" w:type="dxa"/>
            <w:tcBorders>
              <w:top w:val="nil"/>
              <w:left w:val="nil"/>
              <w:bottom w:val="single" w:sz="8" w:space="0" w:color="auto"/>
              <w:right w:val="single" w:sz="8" w:space="0" w:color="auto"/>
            </w:tcBorders>
            <w:shd w:val="clear" w:color="000000" w:fill="365F91"/>
            <w:vAlign w:val="center"/>
            <w:hideMark/>
          </w:tcPr>
          <w:p w14:paraId="2A072B93"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val="es-ES" w:eastAsia="es-CR"/>
              </w:rPr>
              <w:t>%</w:t>
            </w:r>
          </w:p>
        </w:tc>
      </w:tr>
      <w:tr w:rsidR="00160482" w:rsidRPr="00DB1680" w14:paraId="3A0D2AAD" w14:textId="77777777" w:rsidTr="00DB1680">
        <w:trPr>
          <w:trHeight w:val="324"/>
        </w:trPr>
        <w:tc>
          <w:tcPr>
            <w:tcW w:w="3828" w:type="dxa"/>
            <w:tcBorders>
              <w:top w:val="nil"/>
              <w:left w:val="single" w:sz="8" w:space="0" w:color="auto"/>
              <w:bottom w:val="single" w:sz="8" w:space="0" w:color="auto"/>
              <w:right w:val="single" w:sz="8" w:space="0" w:color="auto"/>
            </w:tcBorders>
            <w:shd w:val="clear" w:color="auto" w:fill="auto"/>
            <w:noWrap/>
            <w:vAlign w:val="center"/>
            <w:hideMark/>
          </w:tcPr>
          <w:p w14:paraId="01A4B1ED" w14:textId="77777777" w:rsidR="00160482" w:rsidRPr="00DB1680" w:rsidRDefault="00160482" w:rsidP="00160482">
            <w:pPr>
              <w:spacing w:after="0" w:line="240" w:lineRule="auto"/>
              <w:rPr>
                <w:rFonts w:eastAsia="Times New Roman" w:cs="Calibri"/>
                <w:color w:val="000000"/>
                <w:szCs w:val="24"/>
                <w:lang w:eastAsia="es-CR"/>
              </w:rPr>
            </w:pPr>
            <w:r w:rsidRPr="00DB1680">
              <w:rPr>
                <w:rFonts w:eastAsia="Times New Roman" w:cs="Calibri"/>
                <w:color w:val="000000"/>
                <w:szCs w:val="24"/>
                <w:lang w:val="es-ES" w:eastAsia="es-CR"/>
              </w:rPr>
              <w:t>SALDO DE DEUDA PÚBLICA</w:t>
            </w:r>
          </w:p>
        </w:tc>
        <w:tc>
          <w:tcPr>
            <w:tcW w:w="2551" w:type="dxa"/>
            <w:tcBorders>
              <w:top w:val="nil"/>
              <w:left w:val="nil"/>
              <w:bottom w:val="single" w:sz="8" w:space="0" w:color="auto"/>
              <w:right w:val="single" w:sz="8" w:space="0" w:color="auto"/>
            </w:tcBorders>
            <w:shd w:val="clear" w:color="auto" w:fill="auto"/>
            <w:noWrap/>
            <w:vAlign w:val="center"/>
            <w:hideMark/>
          </w:tcPr>
          <w:p w14:paraId="264A8613" w14:textId="0F31568F" w:rsidR="00160482" w:rsidRPr="00175F40" w:rsidRDefault="00160482" w:rsidP="00175F40">
            <w:pPr>
              <w:spacing w:after="0" w:line="240" w:lineRule="auto"/>
              <w:jc w:val="left"/>
              <w:rPr>
                <w:rFonts w:cs="Calibri"/>
                <w:b/>
                <w:bCs/>
                <w:sz w:val="20"/>
                <w:szCs w:val="20"/>
              </w:rPr>
            </w:pPr>
            <w:r>
              <w:rPr>
                <w:rFonts w:ascii="Arial" w:hAnsi="Arial" w:cs="Arial"/>
                <w:b/>
                <w:bCs/>
                <w:sz w:val="20"/>
                <w:szCs w:val="20"/>
              </w:rPr>
              <w:t>₡</w:t>
            </w:r>
            <w:r w:rsidR="00175F40">
              <w:rPr>
                <w:rFonts w:cs="Calibri"/>
                <w:b/>
                <w:bCs/>
                <w:sz w:val="20"/>
                <w:szCs w:val="20"/>
              </w:rPr>
              <w:t xml:space="preserve">1 583 551,96 </w:t>
            </w:r>
          </w:p>
        </w:tc>
        <w:tc>
          <w:tcPr>
            <w:tcW w:w="1985" w:type="dxa"/>
            <w:tcBorders>
              <w:top w:val="nil"/>
              <w:left w:val="nil"/>
              <w:bottom w:val="single" w:sz="8" w:space="0" w:color="auto"/>
              <w:right w:val="single" w:sz="8" w:space="0" w:color="auto"/>
            </w:tcBorders>
            <w:shd w:val="clear" w:color="auto" w:fill="auto"/>
            <w:noWrap/>
            <w:vAlign w:val="center"/>
            <w:hideMark/>
          </w:tcPr>
          <w:p w14:paraId="14064A7E" w14:textId="18A08C31" w:rsidR="00160482" w:rsidRPr="00DB1680" w:rsidRDefault="00160482" w:rsidP="00160482">
            <w:pPr>
              <w:spacing w:after="0" w:line="240" w:lineRule="auto"/>
              <w:jc w:val="left"/>
              <w:rPr>
                <w:rFonts w:ascii="Calibri" w:eastAsia="Times New Roman" w:hAnsi="Calibri" w:cs="Calibri"/>
                <w:color w:val="000000"/>
                <w:sz w:val="22"/>
                <w:lang w:eastAsia="es-CR"/>
              </w:rPr>
            </w:pPr>
            <w:r w:rsidRPr="00302643">
              <w:rPr>
                <w:rFonts w:cs="Arial"/>
                <w:b/>
                <w:bCs/>
                <w:color w:val="000000"/>
                <w:sz w:val="18"/>
                <w:szCs w:val="18"/>
              </w:rPr>
              <w:t> </w:t>
            </w:r>
            <w:r w:rsidRPr="00870330">
              <w:rPr>
                <w:rFonts w:ascii="Arial" w:hAnsi="Arial" w:cs="Arial"/>
                <w:b/>
                <w:bCs/>
                <w:color w:val="000000"/>
                <w:sz w:val="20"/>
                <w:szCs w:val="20"/>
              </w:rPr>
              <w:t>₡</w:t>
            </w:r>
            <w:bookmarkStart w:id="1071" w:name="OLE_LINK1"/>
            <w:r w:rsidR="00C572A3">
              <w:rPr>
                <w:rFonts w:cs="Calibri"/>
                <w:b/>
                <w:bCs/>
                <w:sz w:val="20"/>
                <w:szCs w:val="20"/>
              </w:rPr>
              <w:t>1 482 897,08</w:t>
            </w:r>
            <w:bookmarkEnd w:id="1071"/>
          </w:p>
        </w:tc>
        <w:tc>
          <w:tcPr>
            <w:tcW w:w="890" w:type="dxa"/>
            <w:tcBorders>
              <w:top w:val="nil"/>
              <w:left w:val="nil"/>
              <w:bottom w:val="single" w:sz="8" w:space="0" w:color="auto"/>
              <w:right w:val="single" w:sz="8" w:space="0" w:color="auto"/>
            </w:tcBorders>
            <w:shd w:val="clear" w:color="auto" w:fill="auto"/>
            <w:vAlign w:val="center"/>
            <w:hideMark/>
          </w:tcPr>
          <w:p w14:paraId="50647C9B" w14:textId="5F0753F7" w:rsidR="00160482" w:rsidRPr="00DB1680" w:rsidRDefault="00C572A3" w:rsidP="00160482">
            <w:pPr>
              <w:spacing w:after="0" w:line="240" w:lineRule="auto"/>
              <w:jc w:val="center"/>
              <w:rPr>
                <w:rFonts w:eastAsia="Times New Roman" w:cs="Calibri"/>
                <w:color w:val="000000"/>
                <w:szCs w:val="24"/>
                <w:lang w:eastAsia="es-CR"/>
              </w:rPr>
            </w:pPr>
            <w:r>
              <w:rPr>
                <w:rFonts w:cs="Calibri"/>
                <w:b/>
                <w:bCs/>
                <w:color w:val="000000"/>
                <w:sz w:val="18"/>
                <w:szCs w:val="18"/>
              </w:rPr>
              <w:t>6</w:t>
            </w:r>
            <w:r w:rsidR="00160482">
              <w:rPr>
                <w:rFonts w:cs="Calibri"/>
                <w:b/>
                <w:bCs/>
                <w:color w:val="000000"/>
                <w:sz w:val="18"/>
                <w:szCs w:val="18"/>
              </w:rPr>
              <w:t>,</w:t>
            </w:r>
            <w:r>
              <w:rPr>
                <w:rFonts w:cs="Calibri"/>
                <w:b/>
                <w:bCs/>
                <w:color w:val="000000"/>
                <w:sz w:val="18"/>
                <w:szCs w:val="18"/>
              </w:rPr>
              <w:t>79</w:t>
            </w:r>
            <w:r w:rsidR="00160482" w:rsidRPr="00A91674">
              <w:rPr>
                <w:rFonts w:cs="Arial"/>
                <w:b/>
                <w:bCs/>
                <w:color w:val="000000"/>
                <w:sz w:val="18"/>
                <w:szCs w:val="18"/>
              </w:rPr>
              <w:t>% </w:t>
            </w:r>
          </w:p>
        </w:tc>
      </w:tr>
      <w:bookmarkEnd w:id="1070"/>
    </w:tbl>
    <w:p w14:paraId="71B89EFC" w14:textId="77777777" w:rsidR="00285A98" w:rsidRDefault="00285A98" w:rsidP="00285A98">
      <w:pPr>
        <w:spacing w:after="0" w:line="240" w:lineRule="auto"/>
      </w:pPr>
    </w:p>
    <w:p w14:paraId="1348F32C" w14:textId="094DD89C" w:rsidR="00285A98" w:rsidRDefault="00285A98" w:rsidP="00285A98">
      <w:pPr>
        <w:spacing w:after="0" w:line="240" w:lineRule="auto"/>
      </w:pPr>
      <w:r w:rsidRPr="00A91674">
        <w:t>El Saldo de Deuda Pública, comparado al periodo anterior genera un</w:t>
      </w:r>
      <w:r>
        <w:t>a</w:t>
      </w:r>
      <w:r w:rsidRPr="00A91674">
        <w:t xml:space="preserve"> </w:t>
      </w:r>
      <w:r w:rsidR="00C7726A">
        <w:rPr>
          <w:highlight w:val="lightGray"/>
        </w:rPr>
        <w:t>Aumento</w:t>
      </w:r>
      <w:r>
        <w:rPr>
          <w:highlight w:val="lightGray"/>
        </w:rPr>
        <w:t xml:space="preserve"> absolut</w:t>
      </w:r>
      <w:r w:rsidR="00C7726A">
        <w:rPr>
          <w:highlight w:val="lightGray"/>
        </w:rPr>
        <w:t>o</w:t>
      </w:r>
      <w:r w:rsidRPr="00A91674">
        <w:rPr>
          <w:highlight w:val="lightGray"/>
        </w:rPr>
        <w:t xml:space="preserve"> </w:t>
      </w:r>
      <w:r>
        <w:t xml:space="preserve">de                 </w:t>
      </w:r>
      <w:r w:rsidRPr="00302643">
        <w:rPr>
          <w:rFonts w:ascii="Arial" w:hAnsi="Arial" w:cs="Arial"/>
        </w:rPr>
        <w:t>₡</w:t>
      </w:r>
      <w:r w:rsidR="00C572A3">
        <w:rPr>
          <w:rFonts w:ascii="Arial" w:hAnsi="Arial" w:cs="Arial"/>
        </w:rPr>
        <w:t>10</w:t>
      </w:r>
      <w:r>
        <w:t xml:space="preserve">0 </w:t>
      </w:r>
      <w:r w:rsidR="00C572A3">
        <w:t>654</w:t>
      </w:r>
      <w:r>
        <w:t>,</w:t>
      </w:r>
      <w:r w:rsidR="00C572A3">
        <w:t>8</w:t>
      </w:r>
      <w:r>
        <w:t>8</w:t>
      </w:r>
      <w:r w:rsidRPr="003851C0">
        <w:t xml:space="preserve"> </w:t>
      </w:r>
      <w:r>
        <w:t>miles</w:t>
      </w:r>
      <w:r w:rsidRPr="00A91674">
        <w:t xml:space="preserve"> </w:t>
      </w:r>
      <w:r>
        <w:t xml:space="preserve">que representa </w:t>
      </w:r>
      <w:r w:rsidRPr="00A91674">
        <w:t xml:space="preserve">el </w:t>
      </w:r>
      <w:r w:rsidR="00C572A3">
        <w:t>6</w:t>
      </w:r>
      <w:r>
        <w:t>,</w:t>
      </w:r>
      <w:r w:rsidR="00C572A3">
        <w:t>79</w:t>
      </w:r>
      <w:r w:rsidRPr="00A91674">
        <w:t>% de recursos disponibles, producto de (</w:t>
      </w:r>
      <w:r w:rsidRPr="003851C0">
        <w:t>Indicar la razón d</w:t>
      </w:r>
      <w:r w:rsidRPr="00A91674">
        <w:rPr>
          <w:highlight w:val="lightGray"/>
        </w:rPr>
        <w:t>e las variaciones de un periodo a otro)</w:t>
      </w:r>
      <w:r>
        <w:t xml:space="preserve"> los desembolsos recibidos y las amortizaciones realizadas en el periodo comprendido entre </w:t>
      </w:r>
      <w:r w:rsidR="00E74834">
        <w:t>junio</w:t>
      </w:r>
      <w:r>
        <w:t xml:space="preserve"> 2023 y </w:t>
      </w:r>
      <w:r w:rsidR="00E74834">
        <w:t>junio</w:t>
      </w:r>
      <w:r>
        <w:t xml:space="preserve"> 2024.</w:t>
      </w:r>
      <w:r w:rsidR="00C3199A">
        <w:t xml:space="preserve"> Además, se efectuó un ajuste al saldo inicial del periodo por la suma de </w:t>
      </w:r>
      <w:r w:rsidR="00C3199A" w:rsidRPr="00C3199A">
        <w:rPr>
          <w:rFonts w:ascii="Arial" w:hAnsi="Arial" w:cs="Arial"/>
        </w:rPr>
        <w:t>₡</w:t>
      </w:r>
      <w:r w:rsidR="00C3199A" w:rsidRPr="00C3199A">
        <w:t xml:space="preserve">579,30 miles, producto de </w:t>
      </w:r>
      <w:r w:rsidR="00C3199A">
        <w:t>una diferencia determinada en el proceso de conciliación con el IFAM.</w:t>
      </w:r>
      <w:r w:rsidR="00C3199A">
        <w:rPr>
          <w:rFonts w:ascii="Arial" w:hAnsi="Arial" w:cs="Arial"/>
        </w:rPr>
        <w:t xml:space="preserve"> </w:t>
      </w:r>
    </w:p>
    <w:p w14:paraId="60CC5F6D" w14:textId="77777777" w:rsidR="00285A98" w:rsidRDefault="00285A98" w:rsidP="00285A98">
      <w:pPr>
        <w:spacing w:after="0" w:line="240" w:lineRule="auto"/>
      </w:pPr>
    </w:p>
    <w:p w14:paraId="518A99D3" w14:textId="0F846AC2" w:rsidR="00285A98" w:rsidRPr="00692DC8" w:rsidRDefault="00692DC8" w:rsidP="0027138C">
      <w:pPr>
        <w:rPr>
          <w:szCs w:val="24"/>
          <w:lang w:val="es-ES"/>
        </w:rPr>
      </w:pPr>
      <w:r w:rsidRPr="00692DC8">
        <w:rPr>
          <w:szCs w:val="24"/>
          <w:lang w:val="es-ES"/>
        </w:rPr>
        <w:t>Fundamente los movimientos del periodo</w:t>
      </w:r>
    </w:p>
    <w:tbl>
      <w:tblPr>
        <w:tblW w:w="7541" w:type="dxa"/>
        <w:jc w:val="center"/>
        <w:tblCellMar>
          <w:left w:w="70" w:type="dxa"/>
          <w:right w:w="70" w:type="dxa"/>
        </w:tblCellMar>
        <w:tblLook w:val="04A0" w:firstRow="1" w:lastRow="0" w:firstColumn="1" w:lastColumn="0" w:noHBand="0" w:noVBand="1"/>
      </w:tblPr>
      <w:tblGrid>
        <w:gridCol w:w="1550"/>
        <w:gridCol w:w="2162"/>
        <w:gridCol w:w="1925"/>
        <w:gridCol w:w="1904"/>
      </w:tblGrid>
      <w:tr w:rsidR="00DB1680" w:rsidRPr="00DB1680" w14:paraId="6A5BCA9F" w14:textId="77777777" w:rsidTr="00C7726A">
        <w:trPr>
          <w:trHeight w:val="324"/>
          <w:jc w:val="center"/>
        </w:trPr>
        <w:tc>
          <w:tcPr>
            <w:tcW w:w="1550" w:type="dxa"/>
            <w:tcBorders>
              <w:top w:val="single" w:sz="8" w:space="0" w:color="auto"/>
              <w:left w:val="single" w:sz="8" w:space="0" w:color="auto"/>
              <w:bottom w:val="single" w:sz="8" w:space="0" w:color="auto"/>
              <w:right w:val="single" w:sz="8" w:space="0" w:color="auto"/>
            </w:tcBorders>
            <w:shd w:val="clear" w:color="000000" w:fill="365F91"/>
            <w:noWrap/>
            <w:vAlign w:val="center"/>
            <w:hideMark/>
          </w:tcPr>
          <w:p w14:paraId="2092336B" w14:textId="77777777" w:rsidR="00DB1680" w:rsidRPr="00DB1680" w:rsidRDefault="00DB1680" w:rsidP="00DB1680">
            <w:pPr>
              <w:spacing w:after="0" w:line="240" w:lineRule="auto"/>
              <w:jc w:val="center"/>
              <w:rPr>
                <w:rFonts w:eastAsia="Times New Roman" w:cs="Calibri"/>
                <w:color w:val="FFFFFF"/>
                <w:szCs w:val="24"/>
                <w:lang w:eastAsia="es-CR"/>
              </w:rPr>
            </w:pPr>
            <w:bookmarkStart w:id="1072" w:name="_Hlk124018835"/>
            <w:r w:rsidRPr="00DB1680">
              <w:rPr>
                <w:rFonts w:eastAsia="Times New Roman" w:cs="Calibri"/>
                <w:color w:val="FFFFFF"/>
                <w:szCs w:val="24"/>
                <w:lang w:eastAsia="es-CR"/>
              </w:rPr>
              <w:t>Fecha</w:t>
            </w:r>
          </w:p>
        </w:tc>
        <w:tc>
          <w:tcPr>
            <w:tcW w:w="2162" w:type="dxa"/>
            <w:tcBorders>
              <w:top w:val="single" w:sz="8" w:space="0" w:color="auto"/>
              <w:left w:val="nil"/>
              <w:bottom w:val="single" w:sz="8" w:space="0" w:color="auto"/>
              <w:right w:val="single" w:sz="8" w:space="0" w:color="auto"/>
            </w:tcBorders>
            <w:shd w:val="clear" w:color="000000" w:fill="365F91"/>
            <w:noWrap/>
            <w:vAlign w:val="center"/>
            <w:hideMark/>
          </w:tcPr>
          <w:p w14:paraId="23CB45AC"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eastAsia="es-CR"/>
              </w:rPr>
              <w:t>Incrementos</w:t>
            </w:r>
          </w:p>
        </w:tc>
        <w:tc>
          <w:tcPr>
            <w:tcW w:w="1925" w:type="dxa"/>
            <w:tcBorders>
              <w:top w:val="single" w:sz="8" w:space="0" w:color="auto"/>
              <w:left w:val="nil"/>
              <w:bottom w:val="single" w:sz="8" w:space="0" w:color="auto"/>
              <w:right w:val="single" w:sz="8" w:space="0" w:color="auto"/>
            </w:tcBorders>
            <w:shd w:val="clear" w:color="000000" w:fill="365F91"/>
            <w:noWrap/>
            <w:vAlign w:val="center"/>
            <w:hideMark/>
          </w:tcPr>
          <w:p w14:paraId="483C9AFF"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eastAsia="es-CR"/>
              </w:rPr>
              <w:t>Disminuciones</w:t>
            </w:r>
          </w:p>
        </w:tc>
        <w:tc>
          <w:tcPr>
            <w:tcW w:w="1904" w:type="dxa"/>
            <w:tcBorders>
              <w:top w:val="single" w:sz="8" w:space="0" w:color="auto"/>
              <w:left w:val="nil"/>
              <w:bottom w:val="single" w:sz="8" w:space="0" w:color="auto"/>
              <w:right w:val="single" w:sz="8" w:space="0" w:color="auto"/>
            </w:tcBorders>
            <w:shd w:val="clear" w:color="000000" w:fill="365F91"/>
            <w:noWrap/>
            <w:vAlign w:val="center"/>
            <w:hideMark/>
          </w:tcPr>
          <w:p w14:paraId="5812F55D"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eastAsia="es-CR"/>
              </w:rPr>
              <w:t>Fundamento</w:t>
            </w:r>
          </w:p>
        </w:tc>
      </w:tr>
      <w:tr w:rsidR="00DB1680" w:rsidRPr="00C7726A" w14:paraId="15E40B22" w14:textId="77777777" w:rsidTr="00C7726A">
        <w:trPr>
          <w:trHeight w:val="300"/>
          <w:jc w:val="center"/>
        </w:trPr>
        <w:tc>
          <w:tcPr>
            <w:tcW w:w="1550" w:type="dxa"/>
            <w:tcBorders>
              <w:top w:val="nil"/>
              <w:left w:val="single" w:sz="8" w:space="0" w:color="auto"/>
              <w:bottom w:val="single" w:sz="8" w:space="0" w:color="auto"/>
              <w:right w:val="single" w:sz="8" w:space="0" w:color="auto"/>
            </w:tcBorders>
            <w:shd w:val="clear" w:color="auto" w:fill="auto"/>
            <w:noWrap/>
            <w:vAlign w:val="center"/>
            <w:hideMark/>
          </w:tcPr>
          <w:p w14:paraId="5E792DCC" w14:textId="20C6ED3D" w:rsidR="00DB1680" w:rsidRPr="00C7726A" w:rsidRDefault="00DB1680" w:rsidP="00C7726A">
            <w:pPr>
              <w:spacing w:after="0" w:line="240" w:lineRule="auto"/>
              <w:jc w:val="left"/>
              <w:rPr>
                <w:rFonts w:eastAsia="Times New Roman" w:cs="Calibri"/>
                <w:color w:val="000000"/>
                <w:sz w:val="20"/>
                <w:szCs w:val="20"/>
                <w:lang w:eastAsia="es-CR"/>
              </w:rPr>
            </w:pPr>
            <w:r w:rsidRPr="00C7726A">
              <w:rPr>
                <w:rFonts w:eastAsia="Times New Roman" w:cs="Calibri"/>
                <w:color w:val="000000"/>
                <w:sz w:val="20"/>
                <w:szCs w:val="20"/>
                <w:lang w:eastAsia="es-CR"/>
              </w:rPr>
              <w:t> </w:t>
            </w:r>
            <w:r w:rsidR="00E74834">
              <w:rPr>
                <w:rFonts w:eastAsia="Times New Roman" w:cs="Calibri"/>
                <w:color w:val="000000"/>
                <w:sz w:val="20"/>
                <w:szCs w:val="20"/>
                <w:lang w:eastAsia="es-CR"/>
              </w:rPr>
              <w:t>Junio</w:t>
            </w:r>
            <w:r w:rsidR="00C7726A" w:rsidRPr="00C7726A">
              <w:rPr>
                <w:rFonts w:eastAsia="Times New Roman" w:cs="Calibri"/>
                <w:color w:val="000000"/>
                <w:sz w:val="20"/>
                <w:szCs w:val="20"/>
                <w:lang w:eastAsia="es-CR"/>
              </w:rPr>
              <w:t xml:space="preserve"> 2024</w:t>
            </w:r>
          </w:p>
        </w:tc>
        <w:tc>
          <w:tcPr>
            <w:tcW w:w="2162" w:type="dxa"/>
            <w:tcBorders>
              <w:top w:val="nil"/>
              <w:left w:val="nil"/>
              <w:bottom w:val="single" w:sz="8" w:space="0" w:color="auto"/>
              <w:right w:val="single" w:sz="8" w:space="0" w:color="auto"/>
            </w:tcBorders>
            <w:shd w:val="clear" w:color="auto" w:fill="auto"/>
            <w:noWrap/>
            <w:vAlign w:val="center"/>
            <w:hideMark/>
          </w:tcPr>
          <w:p w14:paraId="69DEC47F" w14:textId="26D50B1F" w:rsidR="00DB1680" w:rsidRPr="00C7726A" w:rsidRDefault="00DB1680" w:rsidP="00C7726A">
            <w:pPr>
              <w:spacing w:after="0" w:line="240" w:lineRule="auto"/>
              <w:jc w:val="left"/>
              <w:rPr>
                <w:rFonts w:cs="Calibri"/>
                <w:b/>
                <w:bCs/>
                <w:sz w:val="20"/>
                <w:szCs w:val="20"/>
              </w:rPr>
            </w:pPr>
            <w:r w:rsidRPr="00C7726A">
              <w:rPr>
                <w:rFonts w:eastAsia="Times New Roman" w:cs="Calibri"/>
                <w:color w:val="000000"/>
                <w:sz w:val="20"/>
                <w:szCs w:val="20"/>
                <w:lang w:eastAsia="es-CR"/>
              </w:rPr>
              <w:t> </w:t>
            </w:r>
            <w:r w:rsidR="00C7726A" w:rsidRPr="00C7726A">
              <w:rPr>
                <w:rFonts w:ascii="Arial" w:hAnsi="Arial" w:cs="Arial"/>
                <w:b/>
                <w:bCs/>
                <w:sz w:val="20"/>
                <w:szCs w:val="20"/>
              </w:rPr>
              <w:t>₡</w:t>
            </w:r>
            <w:r w:rsidR="00C3199A">
              <w:rPr>
                <w:rFonts w:cs="Calibri"/>
                <w:b/>
                <w:bCs/>
                <w:sz w:val="20"/>
                <w:szCs w:val="20"/>
              </w:rPr>
              <w:t>255 415,75</w:t>
            </w:r>
          </w:p>
        </w:tc>
        <w:tc>
          <w:tcPr>
            <w:tcW w:w="1925" w:type="dxa"/>
            <w:tcBorders>
              <w:top w:val="nil"/>
              <w:left w:val="nil"/>
              <w:bottom w:val="single" w:sz="8" w:space="0" w:color="auto"/>
              <w:right w:val="single" w:sz="8" w:space="0" w:color="auto"/>
            </w:tcBorders>
            <w:shd w:val="clear" w:color="auto" w:fill="auto"/>
            <w:noWrap/>
            <w:vAlign w:val="center"/>
            <w:hideMark/>
          </w:tcPr>
          <w:p w14:paraId="222530BA" w14:textId="77777777" w:rsidR="00DB1680" w:rsidRPr="00C7726A" w:rsidRDefault="00DB1680" w:rsidP="00C7726A">
            <w:pPr>
              <w:spacing w:after="0" w:line="240" w:lineRule="auto"/>
              <w:jc w:val="left"/>
              <w:rPr>
                <w:rFonts w:eastAsia="Times New Roman" w:cs="Calibri"/>
                <w:color w:val="000000"/>
                <w:sz w:val="20"/>
                <w:szCs w:val="20"/>
                <w:lang w:eastAsia="es-CR"/>
              </w:rPr>
            </w:pPr>
            <w:r w:rsidRPr="00C7726A">
              <w:rPr>
                <w:rFonts w:eastAsia="Times New Roman" w:cs="Calibri"/>
                <w:color w:val="000000"/>
                <w:sz w:val="20"/>
                <w:szCs w:val="20"/>
                <w:lang w:eastAsia="es-CR"/>
              </w:rPr>
              <w:t> </w:t>
            </w:r>
          </w:p>
        </w:tc>
        <w:tc>
          <w:tcPr>
            <w:tcW w:w="1904" w:type="dxa"/>
            <w:tcBorders>
              <w:top w:val="nil"/>
              <w:left w:val="nil"/>
              <w:bottom w:val="single" w:sz="8" w:space="0" w:color="auto"/>
              <w:right w:val="single" w:sz="8" w:space="0" w:color="auto"/>
            </w:tcBorders>
            <w:shd w:val="clear" w:color="auto" w:fill="auto"/>
            <w:noWrap/>
            <w:vAlign w:val="center"/>
            <w:hideMark/>
          </w:tcPr>
          <w:p w14:paraId="07CB1B54" w14:textId="4394384A" w:rsidR="00DB1680" w:rsidRPr="00C7726A" w:rsidRDefault="00DB1680" w:rsidP="00C7726A">
            <w:pPr>
              <w:spacing w:after="0" w:line="240" w:lineRule="auto"/>
              <w:jc w:val="left"/>
              <w:rPr>
                <w:rFonts w:eastAsia="Times New Roman" w:cs="Calibri"/>
                <w:color w:val="000000"/>
                <w:sz w:val="20"/>
                <w:szCs w:val="20"/>
                <w:lang w:eastAsia="es-CR"/>
              </w:rPr>
            </w:pPr>
            <w:r w:rsidRPr="00C7726A">
              <w:rPr>
                <w:rFonts w:eastAsia="Times New Roman" w:cs="Calibri"/>
                <w:color w:val="000000"/>
                <w:sz w:val="20"/>
                <w:szCs w:val="20"/>
                <w:lang w:eastAsia="es-CR"/>
              </w:rPr>
              <w:t> </w:t>
            </w:r>
            <w:r w:rsidR="00C7726A" w:rsidRPr="00C7726A">
              <w:rPr>
                <w:rFonts w:eastAsia="Times New Roman" w:cs="Calibri"/>
                <w:color w:val="000000"/>
                <w:sz w:val="20"/>
                <w:szCs w:val="20"/>
                <w:lang w:eastAsia="es-CR"/>
              </w:rPr>
              <w:t>Desembolso</w:t>
            </w:r>
          </w:p>
        </w:tc>
      </w:tr>
      <w:tr w:rsidR="00DB1680" w:rsidRPr="00C7726A" w14:paraId="4C9F4676" w14:textId="77777777" w:rsidTr="00C7726A">
        <w:trPr>
          <w:trHeight w:val="300"/>
          <w:jc w:val="center"/>
        </w:trPr>
        <w:tc>
          <w:tcPr>
            <w:tcW w:w="1550" w:type="dxa"/>
            <w:tcBorders>
              <w:top w:val="nil"/>
              <w:left w:val="single" w:sz="8" w:space="0" w:color="auto"/>
              <w:bottom w:val="single" w:sz="8" w:space="0" w:color="auto"/>
              <w:right w:val="single" w:sz="8" w:space="0" w:color="auto"/>
            </w:tcBorders>
            <w:shd w:val="clear" w:color="auto" w:fill="auto"/>
            <w:noWrap/>
            <w:vAlign w:val="center"/>
            <w:hideMark/>
          </w:tcPr>
          <w:p w14:paraId="688BD1DE" w14:textId="1980ABF4" w:rsidR="00DB1680" w:rsidRPr="00C7726A" w:rsidRDefault="00DB1680" w:rsidP="00C7726A">
            <w:pPr>
              <w:spacing w:after="0" w:line="240" w:lineRule="auto"/>
              <w:jc w:val="left"/>
              <w:rPr>
                <w:rFonts w:eastAsia="Times New Roman" w:cs="Calibri"/>
                <w:color w:val="000000"/>
                <w:sz w:val="20"/>
                <w:szCs w:val="20"/>
                <w:lang w:eastAsia="es-CR"/>
              </w:rPr>
            </w:pPr>
            <w:r w:rsidRPr="00C7726A">
              <w:rPr>
                <w:rFonts w:eastAsia="Times New Roman" w:cs="Calibri"/>
                <w:color w:val="000000"/>
                <w:sz w:val="20"/>
                <w:szCs w:val="20"/>
                <w:lang w:eastAsia="es-CR"/>
              </w:rPr>
              <w:t> </w:t>
            </w:r>
            <w:r w:rsidR="00E74834">
              <w:rPr>
                <w:rFonts w:eastAsia="Times New Roman" w:cs="Calibri"/>
                <w:color w:val="000000"/>
                <w:sz w:val="20"/>
                <w:szCs w:val="20"/>
                <w:lang w:eastAsia="es-CR"/>
              </w:rPr>
              <w:t>Junio</w:t>
            </w:r>
            <w:r w:rsidR="00C7726A" w:rsidRPr="00C7726A">
              <w:rPr>
                <w:rFonts w:eastAsia="Times New Roman" w:cs="Calibri"/>
                <w:color w:val="000000"/>
                <w:sz w:val="20"/>
                <w:szCs w:val="20"/>
                <w:lang w:eastAsia="es-CR"/>
              </w:rPr>
              <w:t xml:space="preserve"> 2024</w:t>
            </w:r>
          </w:p>
        </w:tc>
        <w:tc>
          <w:tcPr>
            <w:tcW w:w="2162" w:type="dxa"/>
            <w:tcBorders>
              <w:top w:val="nil"/>
              <w:left w:val="nil"/>
              <w:bottom w:val="single" w:sz="8" w:space="0" w:color="auto"/>
              <w:right w:val="single" w:sz="8" w:space="0" w:color="auto"/>
            </w:tcBorders>
            <w:shd w:val="clear" w:color="auto" w:fill="auto"/>
            <w:noWrap/>
            <w:vAlign w:val="center"/>
            <w:hideMark/>
          </w:tcPr>
          <w:p w14:paraId="56FF2C88" w14:textId="77777777" w:rsidR="00DB1680" w:rsidRPr="00C7726A" w:rsidRDefault="00DB1680" w:rsidP="00C7726A">
            <w:pPr>
              <w:spacing w:after="0" w:line="240" w:lineRule="auto"/>
              <w:jc w:val="left"/>
              <w:rPr>
                <w:rFonts w:eastAsia="Times New Roman" w:cs="Calibri"/>
                <w:color w:val="000000"/>
                <w:sz w:val="20"/>
                <w:szCs w:val="20"/>
                <w:lang w:eastAsia="es-CR"/>
              </w:rPr>
            </w:pPr>
            <w:r w:rsidRPr="00C7726A">
              <w:rPr>
                <w:rFonts w:eastAsia="Times New Roman" w:cs="Calibri"/>
                <w:color w:val="000000"/>
                <w:sz w:val="20"/>
                <w:szCs w:val="20"/>
                <w:lang w:eastAsia="es-CR"/>
              </w:rPr>
              <w:t> </w:t>
            </w:r>
          </w:p>
        </w:tc>
        <w:tc>
          <w:tcPr>
            <w:tcW w:w="1925" w:type="dxa"/>
            <w:tcBorders>
              <w:top w:val="nil"/>
              <w:left w:val="nil"/>
              <w:bottom w:val="single" w:sz="8" w:space="0" w:color="auto"/>
              <w:right w:val="single" w:sz="8" w:space="0" w:color="auto"/>
            </w:tcBorders>
            <w:shd w:val="clear" w:color="auto" w:fill="auto"/>
            <w:noWrap/>
            <w:vAlign w:val="center"/>
            <w:hideMark/>
          </w:tcPr>
          <w:p w14:paraId="165C330D" w14:textId="55FFC4AA" w:rsidR="00DB1680" w:rsidRPr="00C7726A" w:rsidRDefault="00DB1680" w:rsidP="003C5E5E">
            <w:pPr>
              <w:spacing w:after="0" w:line="240" w:lineRule="auto"/>
              <w:jc w:val="left"/>
              <w:rPr>
                <w:rFonts w:cs="Calibri"/>
                <w:b/>
                <w:bCs/>
                <w:sz w:val="20"/>
                <w:szCs w:val="20"/>
              </w:rPr>
            </w:pPr>
            <w:r w:rsidRPr="00C7726A">
              <w:rPr>
                <w:rFonts w:eastAsia="Times New Roman" w:cs="Calibri"/>
                <w:color w:val="000000"/>
                <w:sz w:val="20"/>
                <w:szCs w:val="20"/>
                <w:lang w:eastAsia="es-CR"/>
              </w:rPr>
              <w:t> </w:t>
            </w:r>
            <w:r w:rsidR="00C7726A" w:rsidRPr="00C7726A">
              <w:rPr>
                <w:rFonts w:ascii="Arial" w:hAnsi="Arial" w:cs="Arial"/>
                <w:b/>
                <w:bCs/>
                <w:sz w:val="20"/>
                <w:szCs w:val="20"/>
              </w:rPr>
              <w:t>₡</w:t>
            </w:r>
            <w:r w:rsidR="003C5E5E">
              <w:rPr>
                <w:rFonts w:cs="Calibri"/>
                <w:b/>
                <w:bCs/>
                <w:sz w:val="20"/>
                <w:szCs w:val="20"/>
              </w:rPr>
              <w:t>194.210.37</w:t>
            </w:r>
          </w:p>
        </w:tc>
        <w:tc>
          <w:tcPr>
            <w:tcW w:w="1904" w:type="dxa"/>
            <w:tcBorders>
              <w:top w:val="nil"/>
              <w:left w:val="nil"/>
              <w:bottom w:val="single" w:sz="8" w:space="0" w:color="auto"/>
              <w:right w:val="single" w:sz="8" w:space="0" w:color="auto"/>
            </w:tcBorders>
            <w:shd w:val="clear" w:color="auto" w:fill="auto"/>
            <w:noWrap/>
            <w:vAlign w:val="center"/>
            <w:hideMark/>
          </w:tcPr>
          <w:p w14:paraId="6A1F44CC" w14:textId="467A20EF" w:rsidR="00DB1680" w:rsidRPr="00C7726A" w:rsidRDefault="00C7726A" w:rsidP="00C7726A">
            <w:pPr>
              <w:spacing w:after="0" w:line="240" w:lineRule="auto"/>
              <w:jc w:val="left"/>
              <w:rPr>
                <w:rFonts w:eastAsia="Times New Roman" w:cs="Calibri"/>
                <w:color w:val="000000"/>
                <w:sz w:val="20"/>
                <w:szCs w:val="20"/>
                <w:lang w:eastAsia="es-CR"/>
              </w:rPr>
            </w:pPr>
            <w:r w:rsidRPr="00C7726A">
              <w:rPr>
                <w:rFonts w:eastAsia="Times New Roman" w:cs="Calibri"/>
                <w:color w:val="000000"/>
                <w:sz w:val="20"/>
                <w:szCs w:val="20"/>
                <w:lang w:eastAsia="es-CR"/>
              </w:rPr>
              <w:t>Amortización</w:t>
            </w:r>
          </w:p>
        </w:tc>
      </w:tr>
      <w:bookmarkEnd w:id="1072"/>
    </w:tbl>
    <w:p w14:paraId="4367F10A" w14:textId="5D2E4043" w:rsidR="00692DC8" w:rsidRDefault="00692DC8" w:rsidP="00692DC8">
      <w:pPr>
        <w:autoSpaceDE w:val="0"/>
        <w:autoSpaceDN w:val="0"/>
        <w:adjustRightInd w:val="0"/>
        <w:spacing w:after="0"/>
        <w:rPr>
          <w:rFonts w:eastAsia="Calibri" w:cs="Times New Roman"/>
          <w:color w:val="000000"/>
          <w:sz w:val="22"/>
          <w:lang w:val="es-ES" w:eastAsia="es-CR"/>
        </w:rPr>
      </w:pPr>
    </w:p>
    <w:p w14:paraId="6A021F30" w14:textId="77777777" w:rsidR="001534E5" w:rsidRDefault="001534E5" w:rsidP="00692DC8">
      <w:pPr>
        <w:autoSpaceDE w:val="0"/>
        <w:autoSpaceDN w:val="0"/>
        <w:adjustRightInd w:val="0"/>
        <w:spacing w:after="0"/>
        <w:rPr>
          <w:rFonts w:eastAsia="Calibri" w:cs="Times New Roman"/>
          <w:color w:val="000000"/>
          <w:sz w:val="22"/>
          <w:lang w:val="es-ES" w:eastAsia="es-CR"/>
        </w:rPr>
      </w:pPr>
    </w:p>
    <w:p w14:paraId="0F6C99BE" w14:textId="77777777" w:rsidR="00305662" w:rsidRDefault="00305662" w:rsidP="00692DC8">
      <w:pPr>
        <w:autoSpaceDE w:val="0"/>
        <w:autoSpaceDN w:val="0"/>
        <w:adjustRightInd w:val="0"/>
        <w:spacing w:after="0"/>
        <w:rPr>
          <w:rFonts w:eastAsia="Calibri" w:cs="Times New Roman"/>
          <w:color w:val="000000"/>
          <w:sz w:val="22"/>
          <w:lang w:val="es-ES" w:eastAsia="es-CR"/>
        </w:rPr>
      </w:pPr>
    </w:p>
    <w:p w14:paraId="093D15FD" w14:textId="77777777" w:rsidR="00305662" w:rsidRDefault="00305662" w:rsidP="00692DC8">
      <w:pPr>
        <w:autoSpaceDE w:val="0"/>
        <w:autoSpaceDN w:val="0"/>
        <w:adjustRightInd w:val="0"/>
        <w:spacing w:after="0"/>
        <w:rPr>
          <w:rFonts w:eastAsia="Calibri" w:cs="Times New Roman"/>
          <w:color w:val="000000"/>
          <w:sz w:val="22"/>
          <w:lang w:val="es-ES" w:eastAsia="es-CR"/>
        </w:rPr>
      </w:pPr>
    </w:p>
    <w:p w14:paraId="01443114" w14:textId="77777777" w:rsidR="0027138C" w:rsidRDefault="0027138C" w:rsidP="00692DC8">
      <w:pPr>
        <w:autoSpaceDE w:val="0"/>
        <w:autoSpaceDN w:val="0"/>
        <w:adjustRightInd w:val="0"/>
        <w:spacing w:after="0"/>
        <w:rPr>
          <w:rFonts w:eastAsia="Calibri" w:cs="Times New Roman"/>
          <w:color w:val="000000"/>
          <w:sz w:val="22"/>
          <w:lang w:val="es-ES" w:eastAsia="es-CR"/>
        </w:rPr>
      </w:pPr>
    </w:p>
    <w:p w14:paraId="58C23C59" w14:textId="1CA8FB4C" w:rsidR="0027138C" w:rsidRPr="002D1111" w:rsidRDefault="0027138C" w:rsidP="002D1111">
      <w:pPr>
        <w:pStyle w:val="Ttulo2"/>
        <w:jc w:val="center"/>
        <w:rPr>
          <w:rFonts w:eastAsia="Calibri"/>
          <w:b/>
          <w:lang w:val="es-ES" w:eastAsia="es-CR"/>
        </w:rPr>
      </w:pPr>
      <w:bookmarkStart w:id="1073" w:name="_Toc173245339"/>
      <w:bookmarkStart w:id="1074" w:name="_Hlk124019059"/>
      <w:r w:rsidRPr="0027138C">
        <w:rPr>
          <w:rFonts w:eastAsia="Calibri"/>
          <w:b/>
          <w:lang w:val="es-ES" w:eastAsia="es-CR"/>
        </w:rPr>
        <w:t>NOTAS INFORME ESTADO DE SITUACION Y EVOLUCION DE BIENES NO CONCECIONADOS Y CONCESIONADOS</w:t>
      </w:r>
      <w:bookmarkEnd w:id="1073"/>
    </w:p>
    <w:p w14:paraId="608C89FE" w14:textId="77777777" w:rsidR="00DB1680" w:rsidRPr="00DB1680" w:rsidRDefault="00DB1680" w:rsidP="00DB1680">
      <w:pPr>
        <w:pStyle w:val="Ttulo4"/>
        <w:spacing w:after="240"/>
        <w:rPr>
          <w:rFonts w:eastAsia="Calibri"/>
        </w:rPr>
      </w:pPr>
      <w:bookmarkStart w:id="1075" w:name="_Toc173245340"/>
      <w:r w:rsidRPr="00DB1680">
        <w:rPr>
          <w:rFonts w:eastAsia="Calibri"/>
        </w:rPr>
        <w:t>NOTA N°87</w:t>
      </w:r>
      <w:bookmarkEnd w:id="1075"/>
    </w:p>
    <w:p w14:paraId="0B2D6A28" w14:textId="3E1DFAE6" w:rsidR="00DB1680" w:rsidRPr="00305662" w:rsidRDefault="00DB1680" w:rsidP="00305662">
      <w:pPr>
        <w:rPr>
          <w:b/>
          <w:bCs/>
        </w:rPr>
      </w:pPr>
      <w:r w:rsidRPr="00305662">
        <w:rPr>
          <w:b/>
          <w:bCs/>
        </w:rPr>
        <w:t>Evolución de Bienes</w:t>
      </w:r>
    </w:p>
    <w:p w14:paraId="1F2F2904" w14:textId="255A53C8" w:rsidR="00DB1680" w:rsidRDefault="00DB1680" w:rsidP="00DB1680">
      <w:pPr>
        <w:spacing w:before="240"/>
        <w:jc w:val="center"/>
        <w:rPr>
          <w:rFonts w:eastAsia="Calibri" w:cs="Times New Roman"/>
          <w:szCs w:val="24"/>
        </w:rPr>
      </w:pPr>
      <w:r w:rsidRPr="00692DC8">
        <w:rPr>
          <w:rFonts w:eastAsia="Calibri" w:cs="Times New Roman"/>
          <w:noProof/>
          <w:lang w:eastAsia="es-CR"/>
        </w:rPr>
        <w:drawing>
          <wp:inline distT="0" distB="0" distL="0" distR="0" wp14:anchorId="154CEFD5" wp14:editId="43997F7E">
            <wp:extent cx="4183380" cy="21793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83380" cy="2179320"/>
                    </a:xfrm>
                    <a:prstGeom prst="rect">
                      <a:avLst/>
                    </a:prstGeom>
                    <a:noFill/>
                    <a:ln>
                      <a:noFill/>
                    </a:ln>
                  </pic:spPr>
                </pic:pic>
              </a:graphicData>
            </a:graphic>
          </wp:inline>
        </w:drawing>
      </w:r>
    </w:p>
    <w:tbl>
      <w:tblPr>
        <w:tblW w:w="9395" w:type="dxa"/>
        <w:jc w:val="center"/>
        <w:tblCellMar>
          <w:left w:w="70" w:type="dxa"/>
          <w:right w:w="70" w:type="dxa"/>
        </w:tblCellMar>
        <w:tblLook w:val="04A0" w:firstRow="1" w:lastRow="0" w:firstColumn="1" w:lastColumn="0" w:noHBand="0" w:noVBand="1"/>
      </w:tblPr>
      <w:tblGrid>
        <w:gridCol w:w="4580"/>
        <w:gridCol w:w="2083"/>
        <w:gridCol w:w="1842"/>
        <w:gridCol w:w="890"/>
      </w:tblGrid>
      <w:tr w:rsidR="00DB1680" w:rsidRPr="00DB1680" w14:paraId="3B11E03D" w14:textId="77777777" w:rsidTr="00DB1680">
        <w:trPr>
          <w:trHeight w:val="324"/>
          <w:jc w:val="center"/>
        </w:trPr>
        <w:tc>
          <w:tcPr>
            <w:tcW w:w="4580" w:type="dxa"/>
            <w:tcBorders>
              <w:top w:val="single" w:sz="8" w:space="0" w:color="auto"/>
              <w:left w:val="single" w:sz="8" w:space="0" w:color="auto"/>
              <w:bottom w:val="single" w:sz="8" w:space="0" w:color="auto"/>
              <w:right w:val="single" w:sz="8" w:space="0" w:color="auto"/>
            </w:tcBorders>
            <w:shd w:val="clear" w:color="000000" w:fill="365F91"/>
            <w:noWrap/>
            <w:vAlign w:val="bottom"/>
            <w:hideMark/>
          </w:tcPr>
          <w:p w14:paraId="370BF6A2"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3925" w:type="dxa"/>
            <w:gridSpan w:val="2"/>
            <w:tcBorders>
              <w:top w:val="single" w:sz="8" w:space="0" w:color="auto"/>
              <w:left w:val="nil"/>
              <w:bottom w:val="single" w:sz="8" w:space="0" w:color="auto"/>
              <w:right w:val="single" w:sz="8" w:space="0" w:color="000000"/>
            </w:tcBorders>
            <w:shd w:val="clear" w:color="000000" w:fill="365F91"/>
            <w:vAlign w:val="center"/>
            <w:hideMark/>
          </w:tcPr>
          <w:p w14:paraId="61017C5E"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val="es-ES" w:eastAsia="es-CR"/>
              </w:rPr>
              <w:t>SALDOS</w:t>
            </w:r>
          </w:p>
        </w:tc>
        <w:tc>
          <w:tcPr>
            <w:tcW w:w="890" w:type="dxa"/>
            <w:tcBorders>
              <w:top w:val="single" w:sz="8" w:space="0" w:color="auto"/>
              <w:left w:val="nil"/>
              <w:bottom w:val="single" w:sz="8" w:space="0" w:color="auto"/>
              <w:right w:val="single" w:sz="8" w:space="0" w:color="auto"/>
            </w:tcBorders>
            <w:shd w:val="clear" w:color="000000" w:fill="365F91"/>
            <w:vAlign w:val="center"/>
            <w:hideMark/>
          </w:tcPr>
          <w:p w14:paraId="110D01FC" w14:textId="77777777" w:rsidR="00DB1680" w:rsidRPr="00DB1680" w:rsidRDefault="00DB1680" w:rsidP="00DB1680">
            <w:pPr>
              <w:spacing w:after="0" w:line="240" w:lineRule="auto"/>
              <w:rPr>
                <w:rFonts w:eastAsia="Times New Roman" w:cs="Calibri"/>
                <w:color w:val="FFFFFF"/>
                <w:szCs w:val="24"/>
                <w:lang w:eastAsia="es-CR"/>
              </w:rPr>
            </w:pPr>
            <w:r w:rsidRPr="00DB1680">
              <w:rPr>
                <w:rFonts w:eastAsia="Times New Roman" w:cs="Calibri"/>
                <w:color w:val="FFFFFF"/>
                <w:szCs w:val="24"/>
                <w:lang w:val="es-ES" w:eastAsia="es-CR"/>
              </w:rPr>
              <w:t> </w:t>
            </w:r>
          </w:p>
        </w:tc>
      </w:tr>
      <w:tr w:rsidR="00DB1680" w:rsidRPr="00DB1680" w14:paraId="5FC2404F" w14:textId="77777777" w:rsidTr="00DB1680">
        <w:trPr>
          <w:trHeight w:val="324"/>
          <w:jc w:val="center"/>
        </w:trPr>
        <w:tc>
          <w:tcPr>
            <w:tcW w:w="4580" w:type="dxa"/>
            <w:tcBorders>
              <w:top w:val="nil"/>
              <w:left w:val="single" w:sz="8" w:space="0" w:color="auto"/>
              <w:bottom w:val="single" w:sz="8" w:space="0" w:color="auto"/>
              <w:right w:val="single" w:sz="8" w:space="0" w:color="auto"/>
            </w:tcBorders>
            <w:shd w:val="clear" w:color="000000" w:fill="365F91"/>
            <w:noWrap/>
            <w:vAlign w:val="center"/>
            <w:hideMark/>
          </w:tcPr>
          <w:p w14:paraId="37D446C6"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val="es-ES" w:eastAsia="es-CR"/>
              </w:rPr>
              <w:t>RUBRO</w:t>
            </w:r>
          </w:p>
        </w:tc>
        <w:tc>
          <w:tcPr>
            <w:tcW w:w="2083" w:type="dxa"/>
            <w:tcBorders>
              <w:top w:val="nil"/>
              <w:left w:val="nil"/>
              <w:bottom w:val="single" w:sz="8" w:space="0" w:color="auto"/>
              <w:right w:val="single" w:sz="8" w:space="0" w:color="auto"/>
            </w:tcBorders>
            <w:shd w:val="clear" w:color="000000" w:fill="365F91"/>
            <w:noWrap/>
            <w:vAlign w:val="center"/>
            <w:hideMark/>
          </w:tcPr>
          <w:p w14:paraId="65ABDFC3"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val="es-ES" w:eastAsia="es-CR"/>
              </w:rPr>
              <w:t>Periodo Actual</w:t>
            </w:r>
          </w:p>
        </w:tc>
        <w:tc>
          <w:tcPr>
            <w:tcW w:w="1842" w:type="dxa"/>
            <w:tcBorders>
              <w:top w:val="nil"/>
              <w:left w:val="nil"/>
              <w:bottom w:val="single" w:sz="8" w:space="0" w:color="auto"/>
              <w:right w:val="single" w:sz="8" w:space="0" w:color="auto"/>
            </w:tcBorders>
            <w:shd w:val="clear" w:color="000000" w:fill="365F91"/>
            <w:noWrap/>
            <w:vAlign w:val="center"/>
            <w:hideMark/>
          </w:tcPr>
          <w:p w14:paraId="0DB420C6"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val="es-ES" w:eastAsia="es-CR"/>
              </w:rPr>
              <w:t>Periodo Anterior</w:t>
            </w:r>
          </w:p>
        </w:tc>
        <w:tc>
          <w:tcPr>
            <w:tcW w:w="890" w:type="dxa"/>
            <w:tcBorders>
              <w:top w:val="nil"/>
              <w:left w:val="nil"/>
              <w:bottom w:val="single" w:sz="8" w:space="0" w:color="auto"/>
              <w:right w:val="single" w:sz="8" w:space="0" w:color="auto"/>
            </w:tcBorders>
            <w:shd w:val="clear" w:color="000000" w:fill="365F91"/>
            <w:vAlign w:val="center"/>
            <w:hideMark/>
          </w:tcPr>
          <w:p w14:paraId="5259F2BE"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val="es-ES" w:eastAsia="es-CR"/>
              </w:rPr>
              <w:t>%</w:t>
            </w:r>
          </w:p>
        </w:tc>
      </w:tr>
      <w:tr w:rsidR="00DB1680" w:rsidRPr="00DB1680" w14:paraId="267C5F0B" w14:textId="77777777" w:rsidTr="00DB1680">
        <w:trPr>
          <w:trHeight w:val="324"/>
          <w:jc w:val="center"/>
        </w:trPr>
        <w:tc>
          <w:tcPr>
            <w:tcW w:w="4580" w:type="dxa"/>
            <w:tcBorders>
              <w:top w:val="nil"/>
              <w:left w:val="single" w:sz="8" w:space="0" w:color="auto"/>
              <w:bottom w:val="single" w:sz="8" w:space="0" w:color="auto"/>
              <w:right w:val="single" w:sz="8" w:space="0" w:color="auto"/>
            </w:tcBorders>
            <w:shd w:val="clear" w:color="auto" w:fill="auto"/>
            <w:noWrap/>
            <w:vAlign w:val="center"/>
            <w:hideMark/>
          </w:tcPr>
          <w:p w14:paraId="3A29F602" w14:textId="77777777" w:rsidR="00DB1680" w:rsidRPr="00DB1680" w:rsidRDefault="00DB1680" w:rsidP="00DB1680">
            <w:pPr>
              <w:spacing w:after="0" w:line="240" w:lineRule="auto"/>
              <w:rPr>
                <w:rFonts w:eastAsia="Times New Roman" w:cs="Calibri"/>
                <w:color w:val="000000"/>
                <w:szCs w:val="24"/>
                <w:lang w:eastAsia="es-CR"/>
              </w:rPr>
            </w:pPr>
            <w:r w:rsidRPr="00DB1680">
              <w:rPr>
                <w:rFonts w:eastAsia="Times New Roman" w:cs="Calibri"/>
                <w:color w:val="000000"/>
                <w:szCs w:val="24"/>
                <w:lang w:val="es-ES" w:eastAsia="es-CR"/>
              </w:rPr>
              <w:t>ACTIVOS GENERADORES DE EFECTIVO</w:t>
            </w:r>
          </w:p>
        </w:tc>
        <w:tc>
          <w:tcPr>
            <w:tcW w:w="2083" w:type="dxa"/>
            <w:tcBorders>
              <w:top w:val="nil"/>
              <w:left w:val="nil"/>
              <w:bottom w:val="single" w:sz="8" w:space="0" w:color="auto"/>
              <w:right w:val="single" w:sz="8" w:space="0" w:color="auto"/>
            </w:tcBorders>
            <w:shd w:val="clear" w:color="auto" w:fill="auto"/>
            <w:noWrap/>
            <w:vAlign w:val="center"/>
            <w:hideMark/>
          </w:tcPr>
          <w:p w14:paraId="76CF865C"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1842" w:type="dxa"/>
            <w:tcBorders>
              <w:top w:val="nil"/>
              <w:left w:val="nil"/>
              <w:bottom w:val="single" w:sz="8" w:space="0" w:color="auto"/>
              <w:right w:val="single" w:sz="8" w:space="0" w:color="auto"/>
            </w:tcBorders>
            <w:shd w:val="clear" w:color="auto" w:fill="auto"/>
            <w:noWrap/>
            <w:vAlign w:val="center"/>
            <w:hideMark/>
          </w:tcPr>
          <w:p w14:paraId="12627D3F"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890" w:type="dxa"/>
            <w:tcBorders>
              <w:top w:val="nil"/>
              <w:left w:val="nil"/>
              <w:bottom w:val="single" w:sz="8" w:space="0" w:color="auto"/>
              <w:right w:val="single" w:sz="8" w:space="0" w:color="auto"/>
            </w:tcBorders>
            <w:shd w:val="clear" w:color="auto" w:fill="auto"/>
            <w:vAlign w:val="center"/>
            <w:hideMark/>
          </w:tcPr>
          <w:p w14:paraId="676B9D3F" w14:textId="77777777" w:rsidR="00DB1680" w:rsidRPr="00DB1680" w:rsidRDefault="00DB1680" w:rsidP="00DB1680">
            <w:pPr>
              <w:spacing w:after="0" w:line="240" w:lineRule="auto"/>
              <w:jc w:val="center"/>
              <w:rPr>
                <w:rFonts w:eastAsia="Times New Roman" w:cs="Calibri"/>
                <w:color w:val="000000"/>
                <w:szCs w:val="24"/>
                <w:lang w:eastAsia="es-CR"/>
              </w:rPr>
            </w:pPr>
            <w:r w:rsidRPr="00DB1680">
              <w:rPr>
                <w:rFonts w:eastAsia="Times New Roman" w:cs="Calibri"/>
                <w:color w:val="000000"/>
                <w:szCs w:val="24"/>
                <w:lang w:val="es-ES" w:eastAsia="es-CR"/>
              </w:rPr>
              <w:t> </w:t>
            </w:r>
          </w:p>
        </w:tc>
      </w:tr>
      <w:tr w:rsidR="00DB1680" w:rsidRPr="00DB1680" w14:paraId="22B266F2" w14:textId="77777777" w:rsidTr="00DB1680">
        <w:trPr>
          <w:trHeight w:val="324"/>
          <w:jc w:val="center"/>
        </w:trPr>
        <w:tc>
          <w:tcPr>
            <w:tcW w:w="4580" w:type="dxa"/>
            <w:tcBorders>
              <w:top w:val="nil"/>
              <w:left w:val="single" w:sz="8" w:space="0" w:color="auto"/>
              <w:bottom w:val="single" w:sz="8" w:space="0" w:color="auto"/>
              <w:right w:val="single" w:sz="8" w:space="0" w:color="auto"/>
            </w:tcBorders>
            <w:shd w:val="clear" w:color="auto" w:fill="auto"/>
            <w:noWrap/>
            <w:vAlign w:val="center"/>
            <w:hideMark/>
          </w:tcPr>
          <w:p w14:paraId="0C56E4B8" w14:textId="77777777" w:rsidR="00DB1680" w:rsidRPr="00DB1680" w:rsidRDefault="00DB1680" w:rsidP="00DB1680">
            <w:pPr>
              <w:spacing w:after="0" w:line="240" w:lineRule="auto"/>
              <w:rPr>
                <w:rFonts w:eastAsia="Times New Roman" w:cs="Calibri"/>
                <w:color w:val="000000"/>
                <w:szCs w:val="24"/>
                <w:lang w:eastAsia="es-CR"/>
              </w:rPr>
            </w:pPr>
            <w:r w:rsidRPr="00DB1680">
              <w:rPr>
                <w:rFonts w:eastAsia="Times New Roman" w:cs="Calibri"/>
                <w:color w:val="000000"/>
                <w:szCs w:val="24"/>
                <w:lang w:val="es-ES" w:eastAsia="es-CR"/>
              </w:rPr>
              <w:t>ACTIVOS NO GENERADORES DE EFECTIVO</w:t>
            </w:r>
          </w:p>
        </w:tc>
        <w:tc>
          <w:tcPr>
            <w:tcW w:w="2083" w:type="dxa"/>
            <w:tcBorders>
              <w:top w:val="nil"/>
              <w:left w:val="nil"/>
              <w:bottom w:val="single" w:sz="8" w:space="0" w:color="auto"/>
              <w:right w:val="single" w:sz="8" w:space="0" w:color="auto"/>
            </w:tcBorders>
            <w:shd w:val="clear" w:color="auto" w:fill="auto"/>
            <w:noWrap/>
            <w:vAlign w:val="center"/>
            <w:hideMark/>
          </w:tcPr>
          <w:p w14:paraId="7C911166" w14:textId="77777777" w:rsidR="00DB1680" w:rsidRPr="00DB1680" w:rsidRDefault="00DB1680" w:rsidP="00DB1680">
            <w:pPr>
              <w:spacing w:after="0" w:line="240" w:lineRule="auto"/>
              <w:jc w:val="center"/>
              <w:rPr>
                <w:rFonts w:eastAsia="Times New Roman" w:cs="Calibri"/>
                <w:color w:val="000000"/>
                <w:szCs w:val="24"/>
                <w:lang w:eastAsia="es-CR"/>
              </w:rPr>
            </w:pPr>
            <w:r w:rsidRPr="00DB1680">
              <w:rPr>
                <w:rFonts w:eastAsia="Times New Roman" w:cs="Calibri"/>
                <w:color w:val="000000"/>
                <w:szCs w:val="24"/>
                <w:lang w:val="es-ES" w:eastAsia="es-CR"/>
              </w:rPr>
              <w:t> </w:t>
            </w:r>
          </w:p>
        </w:tc>
        <w:tc>
          <w:tcPr>
            <w:tcW w:w="1842" w:type="dxa"/>
            <w:tcBorders>
              <w:top w:val="nil"/>
              <w:left w:val="nil"/>
              <w:bottom w:val="single" w:sz="8" w:space="0" w:color="auto"/>
              <w:right w:val="single" w:sz="8" w:space="0" w:color="auto"/>
            </w:tcBorders>
            <w:shd w:val="clear" w:color="auto" w:fill="auto"/>
            <w:noWrap/>
            <w:vAlign w:val="center"/>
            <w:hideMark/>
          </w:tcPr>
          <w:p w14:paraId="64557CD9" w14:textId="77777777" w:rsidR="00DB1680" w:rsidRPr="00DB1680" w:rsidRDefault="00DB1680" w:rsidP="00DB1680">
            <w:pPr>
              <w:spacing w:after="0" w:line="240" w:lineRule="auto"/>
              <w:jc w:val="center"/>
              <w:rPr>
                <w:rFonts w:eastAsia="Times New Roman" w:cs="Calibri"/>
                <w:color w:val="000000"/>
                <w:szCs w:val="24"/>
                <w:lang w:eastAsia="es-CR"/>
              </w:rPr>
            </w:pPr>
            <w:r w:rsidRPr="00DB1680">
              <w:rPr>
                <w:rFonts w:eastAsia="Times New Roman" w:cs="Calibri"/>
                <w:color w:val="000000"/>
                <w:szCs w:val="24"/>
                <w:lang w:val="es-ES" w:eastAsia="es-CR"/>
              </w:rPr>
              <w:t> </w:t>
            </w:r>
          </w:p>
        </w:tc>
        <w:tc>
          <w:tcPr>
            <w:tcW w:w="890" w:type="dxa"/>
            <w:tcBorders>
              <w:top w:val="nil"/>
              <w:left w:val="nil"/>
              <w:bottom w:val="single" w:sz="8" w:space="0" w:color="auto"/>
              <w:right w:val="single" w:sz="8" w:space="0" w:color="auto"/>
            </w:tcBorders>
            <w:shd w:val="clear" w:color="auto" w:fill="auto"/>
            <w:vAlign w:val="center"/>
            <w:hideMark/>
          </w:tcPr>
          <w:p w14:paraId="3EA38858" w14:textId="77777777" w:rsidR="00DB1680" w:rsidRPr="00DB1680" w:rsidRDefault="00DB1680" w:rsidP="00DB1680">
            <w:pPr>
              <w:spacing w:after="0" w:line="240" w:lineRule="auto"/>
              <w:jc w:val="center"/>
              <w:rPr>
                <w:rFonts w:eastAsia="Times New Roman" w:cs="Calibri"/>
                <w:color w:val="000000"/>
                <w:szCs w:val="24"/>
                <w:lang w:eastAsia="es-CR"/>
              </w:rPr>
            </w:pPr>
            <w:r w:rsidRPr="00DB1680">
              <w:rPr>
                <w:rFonts w:eastAsia="Times New Roman" w:cs="Calibri"/>
                <w:color w:val="000000"/>
                <w:szCs w:val="24"/>
                <w:lang w:val="es-ES" w:eastAsia="es-CR"/>
              </w:rPr>
              <w:t> </w:t>
            </w:r>
          </w:p>
        </w:tc>
      </w:tr>
    </w:tbl>
    <w:p w14:paraId="787A27F5" w14:textId="43C19B4C" w:rsidR="0027138C" w:rsidRDefault="00692DC8" w:rsidP="0027138C">
      <w:pPr>
        <w:spacing w:before="240"/>
        <w:rPr>
          <w:rFonts w:eastAsia="Calibri" w:cs="Times New Roman"/>
          <w:szCs w:val="24"/>
        </w:rPr>
      </w:pPr>
      <w:r w:rsidRPr="00692DC8">
        <w:rPr>
          <w:rFonts w:eastAsia="Calibri" w:cs="Times New Roman"/>
          <w:szCs w:val="24"/>
        </w:rPr>
        <w:t xml:space="preserve">Los Activos Generadores de Efectivo, comparado al periodo anterior genera un </w:t>
      </w:r>
      <w:r w:rsidRPr="00692DC8">
        <w:rPr>
          <w:rFonts w:eastAsia="Calibri" w:cs="Times New Roman"/>
        </w:rPr>
        <w:t>(</w:t>
      </w:r>
      <w:r w:rsidRPr="00692DC8">
        <w:rPr>
          <w:rFonts w:eastAsia="Calibri" w:cs="Times New Roman"/>
          <w:highlight w:val="lightGray"/>
        </w:rPr>
        <w:t>indicar el aumento o disminución)</w:t>
      </w:r>
      <w:r w:rsidRPr="00692DC8">
        <w:rPr>
          <w:rFonts w:eastAsia="Calibri" w:cs="Times New Roman"/>
        </w:rPr>
        <w:t xml:space="preserve"> </w:t>
      </w:r>
      <w:r w:rsidRPr="00692DC8">
        <w:rPr>
          <w:rFonts w:eastAsia="Calibri" w:cs="Times New Roman"/>
          <w:szCs w:val="24"/>
        </w:rPr>
        <w:t xml:space="preserve">del </w:t>
      </w:r>
      <w:r w:rsidRPr="00692DC8">
        <w:rPr>
          <w:rFonts w:eastAsia="Calibri" w:cs="Times New Roman"/>
        </w:rPr>
        <w:t>(</w:t>
      </w:r>
      <w:r w:rsidRPr="00692DC8">
        <w:rPr>
          <w:rFonts w:eastAsia="Calibri" w:cs="Times New Roman"/>
          <w:highlight w:val="lightGray"/>
        </w:rPr>
        <w:t>indicar % variación relativa)</w:t>
      </w:r>
      <w:r w:rsidRPr="00692DC8">
        <w:rPr>
          <w:rFonts w:eastAsia="Calibri" w:cs="Times New Roman"/>
          <w:szCs w:val="24"/>
        </w:rPr>
        <w:t xml:space="preserve"> % de recursos disponibles, producto de </w:t>
      </w:r>
      <w:r w:rsidRPr="00692DC8">
        <w:rPr>
          <w:rFonts w:eastAsia="Calibri" w:cs="Times New Roman"/>
        </w:rPr>
        <w:t>(</w:t>
      </w:r>
      <w:r w:rsidRPr="00692DC8">
        <w:rPr>
          <w:rFonts w:eastAsia="Calibri" w:cs="Times New Roman"/>
          <w:highlight w:val="lightGray"/>
        </w:rPr>
        <w:t>Indicar la razón de las variaciones de un periodo a otro)</w:t>
      </w:r>
      <w:r w:rsidRPr="00692DC8">
        <w:rPr>
          <w:rFonts w:eastAsia="Calibri" w:cs="Times New Roman"/>
          <w:szCs w:val="24"/>
        </w:rPr>
        <w:t>.</w:t>
      </w:r>
    </w:p>
    <w:p w14:paraId="7BED19BC" w14:textId="77777777" w:rsidR="00692DC8" w:rsidRPr="00692DC8" w:rsidRDefault="00692DC8" w:rsidP="0027138C">
      <w:pPr>
        <w:rPr>
          <w:rFonts w:eastAsia="Calibri" w:cs="Times New Roman"/>
          <w:szCs w:val="24"/>
        </w:rPr>
      </w:pPr>
      <w:r w:rsidRPr="00692DC8">
        <w:rPr>
          <w:rFonts w:eastAsia="Calibri" w:cs="Times New Roman"/>
          <w:szCs w:val="24"/>
        </w:rPr>
        <w:t xml:space="preserve">Los Activos No Generadores de Efectivo, comparado al periodo anterior genera una variación absoluta de </w:t>
      </w:r>
      <w:r w:rsidRPr="00692DC8">
        <w:rPr>
          <w:rFonts w:eastAsia="Calibri" w:cs="Times New Roman"/>
        </w:rPr>
        <w:t>(</w:t>
      </w:r>
      <w:r w:rsidRPr="00692DC8">
        <w:rPr>
          <w:rFonts w:eastAsia="Calibri" w:cs="Times New Roman"/>
          <w:highlight w:val="lightGray"/>
        </w:rPr>
        <w:t>indicar monto de la variación</w:t>
      </w:r>
      <w:r w:rsidRPr="00692DC8">
        <w:rPr>
          <w:rFonts w:eastAsia="Calibri" w:cs="Times New Roman"/>
        </w:rPr>
        <w:t xml:space="preserve">) </w:t>
      </w:r>
      <w:r w:rsidRPr="00692DC8">
        <w:rPr>
          <w:rFonts w:eastAsia="Calibri" w:cs="Times New Roman"/>
          <w:szCs w:val="24"/>
        </w:rPr>
        <w:t xml:space="preserve">que corresponde a un </w:t>
      </w:r>
      <w:r w:rsidRPr="00692DC8">
        <w:rPr>
          <w:rFonts w:eastAsia="Calibri" w:cs="Times New Roman"/>
        </w:rPr>
        <w:t>(</w:t>
      </w:r>
      <w:r w:rsidRPr="00692DC8">
        <w:rPr>
          <w:rFonts w:eastAsia="Calibri" w:cs="Times New Roman"/>
          <w:highlight w:val="lightGray"/>
        </w:rPr>
        <w:t>indicar el aumento o disminución)</w:t>
      </w:r>
      <w:r w:rsidRPr="00692DC8">
        <w:rPr>
          <w:rFonts w:eastAsia="Calibri" w:cs="Times New Roman"/>
        </w:rPr>
        <w:t xml:space="preserve"> </w:t>
      </w:r>
      <w:r w:rsidRPr="00692DC8">
        <w:rPr>
          <w:rFonts w:eastAsia="Calibri" w:cs="Times New Roman"/>
          <w:szCs w:val="24"/>
        </w:rPr>
        <w:t xml:space="preserve">del </w:t>
      </w:r>
      <w:r w:rsidRPr="00692DC8">
        <w:rPr>
          <w:rFonts w:eastAsia="Calibri" w:cs="Times New Roman"/>
        </w:rPr>
        <w:t>(</w:t>
      </w:r>
      <w:r w:rsidRPr="00692DC8">
        <w:rPr>
          <w:rFonts w:eastAsia="Calibri" w:cs="Times New Roman"/>
          <w:highlight w:val="lightGray"/>
        </w:rPr>
        <w:t>indicar % variación relativa)</w:t>
      </w:r>
      <w:r w:rsidRPr="00692DC8">
        <w:rPr>
          <w:rFonts w:eastAsia="Calibri" w:cs="Times New Roman"/>
          <w:szCs w:val="24"/>
        </w:rPr>
        <w:t xml:space="preserve"> % de recursos disponibles, producto de </w:t>
      </w:r>
      <w:r w:rsidRPr="00692DC8">
        <w:rPr>
          <w:rFonts w:eastAsia="Calibri" w:cs="Times New Roman"/>
        </w:rPr>
        <w:t>(</w:t>
      </w:r>
      <w:r w:rsidRPr="00692DC8">
        <w:rPr>
          <w:rFonts w:eastAsia="Calibri" w:cs="Times New Roman"/>
          <w:highlight w:val="lightGray"/>
        </w:rPr>
        <w:t>Indicar la razón de las variaciones de un periodo a otro)</w:t>
      </w:r>
      <w:r w:rsidRPr="00692DC8">
        <w:rPr>
          <w:rFonts w:eastAsia="Calibri" w:cs="Times New Roman"/>
          <w:szCs w:val="24"/>
        </w:rPr>
        <w:t>.</w:t>
      </w:r>
    </w:p>
    <w:bookmarkEnd w:id="1074"/>
    <w:p w14:paraId="5A6DED56" w14:textId="25F4AB44" w:rsidR="00C7726A" w:rsidRDefault="00C7726A" w:rsidP="00C7726A">
      <w:pPr>
        <w:spacing w:after="0" w:line="240" w:lineRule="auto"/>
        <w:rPr>
          <w:rFonts w:cs="Arial"/>
          <w:bCs/>
        </w:rPr>
      </w:pPr>
      <w:r w:rsidRPr="00202484">
        <w:t>En relación con este tema se debe señalar, que l</w:t>
      </w:r>
      <w:r w:rsidRPr="00202484">
        <w:rPr>
          <w:rFonts w:cs="Arial"/>
          <w:bCs/>
        </w:rPr>
        <w:t xml:space="preserve">a Municipalidad de Buenos Aires aún se encuentra realizando un proceso inventario físico de activos, el cual, ha ido permitiendo realizar la actualización y valuación de los activos fijos (propiedad, planta y equipo), en cumplimiento al plan de acción para la implementación de las NICSP definido. Como parte del proceso que se realiza se tiene previsto establecer la clasificación de activos en generadores y no generadores de efectivo, labor que está pendiente al </w:t>
      </w:r>
      <w:r w:rsidR="00564BDD">
        <w:rPr>
          <w:rFonts w:cs="Arial"/>
          <w:bCs/>
        </w:rPr>
        <w:t>30 de junio</w:t>
      </w:r>
      <w:r w:rsidRPr="00202484">
        <w:rPr>
          <w:rFonts w:cs="Arial"/>
          <w:bCs/>
        </w:rPr>
        <w:t xml:space="preserve"> de </w:t>
      </w:r>
      <w:r>
        <w:rPr>
          <w:rFonts w:cs="Arial"/>
          <w:bCs/>
        </w:rPr>
        <w:t>2024</w:t>
      </w:r>
      <w:r w:rsidRPr="00202484">
        <w:rPr>
          <w:rFonts w:cs="Arial"/>
          <w:bCs/>
        </w:rPr>
        <w:t xml:space="preserve"> y se espera finalizar el 30 de </w:t>
      </w:r>
      <w:r w:rsidR="00C3199A">
        <w:rPr>
          <w:rFonts w:cs="Arial"/>
          <w:bCs/>
        </w:rPr>
        <w:t>diciembre</w:t>
      </w:r>
      <w:r w:rsidRPr="00202484">
        <w:rPr>
          <w:rFonts w:cs="Arial"/>
          <w:bCs/>
        </w:rPr>
        <w:t xml:space="preserve"> de 2024.</w:t>
      </w:r>
    </w:p>
    <w:p w14:paraId="154802A4" w14:textId="77777777" w:rsidR="00C572A3" w:rsidRDefault="00C572A3" w:rsidP="00C7726A">
      <w:pPr>
        <w:spacing w:after="0" w:line="240" w:lineRule="auto"/>
        <w:rPr>
          <w:rFonts w:cs="Arial"/>
          <w:bCs/>
        </w:rPr>
      </w:pPr>
    </w:p>
    <w:p w14:paraId="5D412698" w14:textId="77777777" w:rsidR="00C572A3" w:rsidRDefault="00C572A3" w:rsidP="00C7726A">
      <w:pPr>
        <w:spacing w:after="0" w:line="240" w:lineRule="auto"/>
        <w:rPr>
          <w:rFonts w:cs="Arial"/>
          <w:bCs/>
        </w:rPr>
      </w:pPr>
    </w:p>
    <w:p w14:paraId="79B94400" w14:textId="77777777" w:rsidR="00C572A3" w:rsidRDefault="00C572A3" w:rsidP="00C7726A">
      <w:pPr>
        <w:spacing w:after="0" w:line="240" w:lineRule="auto"/>
        <w:rPr>
          <w:rFonts w:cs="Arial"/>
          <w:bCs/>
        </w:rPr>
      </w:pPr>
    </w:p>
    <w:p w14:paraId="5892906E" w14:textId="77777777" w:rsidR="00C572A3" w:rsidRPr="00202484" w:rsidRDefault="00C572A3" w:rsidP="00C7726A">
      <w:pPr>
        <w:spacing w:after="0" w:line="240" w:lineRule="auto"/>
        <w:rPr>
          <w:rFonts w:cs="Arial"/>
          <w:bCs/>
        </w:rPr>
      </w:pPr>
    </w:p>
    <w:p w14:paraId="316510CC" w14:textId="65A93553" w:rsidR="00692DC8" w:rsidRDefault="00692DC8" w:rsidP="002D1111">
      <w:pPr>
        <w:pStyle w:val="Ttulo2"/>
        <w:jc w:val="center"/>
        <w:rPr>
          <w:rFonts w:eastAsia="Times New Roman"/>
          <w:b/>
        </w:rPr>
      </w:pPr>
      <w:bookmarkStart w:id="1076" w:name="_Toc82769103"/>
      <w:bookmarkStart w:id="1077" w:name="_Toc173245341"/>
      <w:r w:rsidRPr="0027138C">
        <w:rPr>
          <w:rFonts w:eastAsia="Times New Roman"/>
          <w:b/>
        </w:rPr>
        <w:t>NOTAS INFORME ESTADO POR SEGMENTOS</w:t>
      </w:r>
      <w:bookmarkEnd w:id="1076"/>
      <w:bookmarkEnd w:id="1077"/>
    </w:p>
    <w:p w14:paraId="276F934F" w14:textId="77777777" w:rsidR="002D1111" w:rsidRPr="002D1111" w:rsidRDefault="002D1111" w:rsidP="002D1111"/>
    <w:p w14:paraId="3F002219" w14:textId="229B4C32" w:rsidR="00692DC8" w:rsidRPr="002D1111" w:rsidRDefault="00692DC8" w:rsidP="002D1111">
      <w:pPr>
        <w:rPr>
          <w:rFonts w:eastAsia="Calibri" w:cs="Arial"/>
          <w:color w:val="000000"/>
        </w:rPr>
      </w:pPr>
      <w:r w:rsidRPr="00692DC8">
        <w:rPr>
          <w:lang w:eastAsia="es-ES"/>
        </w:rPr>
        <w:t>La información financiera por segmentos en Costa Rica se presentará con la clasificación de funciones establecida en el Clasificador Funcional del Gasto para el Sector Público Costarricense</w:t>
      </w:r>
      <w:r w:rsidRPr="00692DC8">
        <w:rPr>
          <w:rFonts w:eastAsia="Calibri" w:cs="Arial"/>
          <w:color w:val="000000"/>
        </w:rPr>
        <w:t>.</w:t>
      </w:r>
    </w:p>
    <w:p w14:paraId="563B2B0D" w14:textId="25622912" w:rsidR="00692DC8" w:rsidRPr="002D1111" w:rsidRDefault="00692DC8" w:rsidP="002D1111">
      <w:pPr>
        <w:autoSpaceDE w:val="0"/>
        <w:autoSpaceDN w:val="0"/>
        <w:adjustRightInd w:val="0"/>
        <w:spacing w:after="0"/>
        <w:jc w:val="center"/>
        <w:rPr>
          <w:rFonts w:eastAsia="Times New Roman" w:cs="Times New Roman"/>
          <w:bCs/>
          <w:color w:val="000000"/>
          <w:sz w:val="22"/>
          <w:lang w:val="es-MX" w:eastAsia="es-ES"/>
        </w:rPr>
      </w:pPr>
      <w:r w:rsidRPr="00692DC8">
        <w:rPr>
          <w:rFonts w:ascii="Times New Roman" w:eastAsia="Calibri" w:hAnsi="Times New Roman" w:cs="Times New Roman"/>
          <w:noProof/>
          <w:color w:val="000000"/>
          <w:szCs w:val="24"/>
          <w:lang w:eastAsia="es-CR"/>
        </w:rPr>
        <w:drawing>
          <wp:inline distT="0" distB="0" distL="0" distR="0" wp14:anchorId="06F11856" wp14:editId="6A3F3EC2">
            <wp:extent cx="4175760" cy="1859280"/>
            <wp:effectExtent l="0" t="0" r="0" b="0"/>
            <wp:docPr id="5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75760" cy="1859280"/>
                    </a:xfrm>
                    <a:prstGeom prst="rect">
                      <a:avLst/>
                    </a:prstGeom>
                    <a:noFill/>
                    <a:ln>
                      <a:noFill/>
                    </a:ln>
                  </pic:spPr>
                </pic:pic>
              </a:graphicData>
            </a:graphic>
          </wp:inline>
        </w:drawing>
      </w:r>
    </w:p>
    <w:p w14:paraId="389D8684" w14:textId="77777777" w:rsidR="00C7726A" w:rsidRDefault="00C7726A" w:rsidP="002D1111">
      <w:pPr>
        <w:rPr>
          <w:b/>
          <w:lang w:val="es-ES" w:eastAsia="es-CR"/>
        </w:rPr>
      </w:pPr>
    </w:p>
    <w:p w14:paraId="36EF6E0A" w14:textId="0799F6CB" w:rsidR="00692DC8" w:rsidRPr="00692DC8" w:rsidRDefault="00692DC8" w:rsidP="002D1111">
      <w:pPr>
        <w:rPr>
          <w:lang w:val="es-ES" w:eastAsia="es-CR"/>
        </w:rPr>
      </w:pPr>
      <w:r w:rsidRPr="00692DC8">
        <w:rPr>
          <w:b/>
          <w:lang w:val="es-ES" w:eastAsia="es-CR"/>
        </w:rPr>
        <w:t>Revelación</w:t>
      </w:r>
      <w:r w:rsidRPr="00692DC8">
        <w:rPr>
          <w:lang w:val="es-ES" w:eastAsia="es-CR"/>
        </w:rPr>
        <w:t xml:space="preserve">: </w:t>
      </w:r>
    </w:p>
    <w:p w14:paraId="1A5D37B9" w14:textId="70C9C510" w:rsidR="00692DC8" w:rsidRPr="00692DC8" w:rsidRDefault="00C7726A" w:rsidP="00C7726A">
      <w:pPr>
        <w:spacing w:line="240" w:lineRule="auto"/>
        <w:rPr>
          <w:rFonts w:eastAsia="Calibri"/>
        </w:rPr>
      </w:pPr>
      <w:r>
        <w:rPr>
          <w:rFonts w:eastAsia="Calibri"/>
        </w:rPr>
        <w:t>La Municipalidad no cuenta con una estructura para la aplicación de la NICSP 18 a la fecha de presentación de los estados financieros.</w:t>
      </w:r>
    </w:p>
    <w:p w14:paraId="00E04C10" w14:textId="77777777" w:rsidR="00320ED0" w:rsidRPr="00BC7C5B" w:rsidRDefault="00320ED0" w:rsidP="00320ED0">
      <w:pPr>
        <w:pStyle w:val="Ttulo1"/>
        <w:rPr>
          <w:rFonts w:eastAsia="Times New Roman"/>
          <w:lang w:val="es-ES" w:eastAsia="es-ES"/>
        </w:rPr>
      </w:pPr>
      <w:bookmarkStart w:id="1078" w:name="_Toc173245342"/>
      <w:r w:rsidRPr="00BC7C5B">
        <w:rPr>
          <w:rFonts w:eastAsia="Times New Roman"/>
          <w:lang w:val="es-ES" w:eastAsia="es-ES"/>
        </w:rPr>
        <w:t>NOTAS PARTICULARES</w:t>
      </w:r>
      <w:bookmarkEnd w:id="1078"/>
    </w:p>
    <w:p w14:paraId="37D2C3D3" w14:textId="77777777" w:rsidR="00320ED0" w:rsidRPr="00BC7C5B" w:rsidRDefault="00320ED0" w:rsidP="00320ED0">
      <w:pPr>
        <w:rPr>
          <w:lang w:val="es-ES"/>
        </w:rPr>
      </w:pPr>
    </w:p>
    <w:p w14:paraId="2BAF5078" w14:textId="6AC60CE0" w:rsidR="00320ED0" w:rsidRPr="004A3A42" w:rsidRDefault="00320ED0" w:rsidP="00320ED0">
      <w:pPr>
        <w:rPr>
          <w:rFonts w:cs="Arial"/>
          <w:b/>
          <w:bCs/>
        </w:rPr>
      </w:pPr>
      <w:r w:rsidRPr="00BC7C5B">
        <w:t xml:space="preserve">Para efectos de revelación, la entidad utilizara este espacio para referirse a señalar políticas particulares, transacciones y otros eventos que considere necesario para el complemento de la información contable al cierre </w:t>
      </w:r>
      <w:r>
        <w:t>del</w:t>
      </w:r>
      <w:r w:rsidRPr="00BC7C5B">
        <w:t xml:space="preserve"> periodo</w:t>
      </w:r>
      <w:r w:rsidRPr="00BC7C5B">
        <w:rPr>
          <w:rFonts w:cs="Arial"/>
        </w:rPr>
        <w:t xml:space="preserve"> </w:t>
      </w:r>
      <w:r w:rsidR="00C236D5">
        <w:rPr>
          <w:rFonts w:cs="Arial"/>
          <w:b/>
          <w:bCs/>
        </w:rPr>
        <w:t>2024</w:t>
      </w:r>
      <w:r w:rsidRPr="00BC7C5B">
        <w:rPr>
          <w:rFonts w:cs="Arial"/>
          <w:b/>
          <w:bCs/>
        </w:rPr>
        <w:t>.</w:t>
      </w:r>
    </w:p>
    <w:p w14:paraId="7FAED039" w14:textId="77777777" w:rsidR="00320ED0" w:rsidRPr="00BC7C5B" w:rsidRDefault="00320ED0" w:rsidP="00320ED0">
      <w:pPr>
        <w:rPr>
          <w:lang w:val="es-ES"/>
        </w:rPr>
      </w:pPr>
    </w:p>
    <w:p w14:paraId="10F99BBB" w14:textId="77777777" w:rsidR="00C572A3" w:rsidRDefault="00C572A3" w:rsidP="00C572A3">
      <w:r>
        <w:rPr>
          <w:lang w:val="es-ES"/>
        </w:rPr>
        <w:t xml:space="preserve">Nosotros, </w:t>
      </w:r>
      <w:r>
        <w:t xml:space="preserve">Ana Margoth Mora Navarro </w:t>
      </w:r>
      <w:r>
        <w:rPr>
          <w:lang w:val="es-ES"/>
        </w:rPr>
        <w:t xml:space="preserve">CÉDULA </w:t>
      </w:r>
      <w:r>
        <w:t>1-0820-0849</w:t>
      </w:r>
      <w:r>
        <w:rPr>
          <w:lang w:val="es-ES"/>
        </w:rPr>
        <w:t xml:space="preserve">, </w:t>
      </w:r>
      <w:r>
        <w:t>Representante Legal y Alcalde de la Municipalidad de Buenos Aires</w:t>
      </w:r>
      <w:r>
        <w:rPr>
          <w:lang w:val="es-ES"/>
        </w:rPr>
        <w:t xml:space="preserve">, </w:t>
      </w:r>
      <w:r>
        <w:t xml:space="preserve">Gerardo Cordero Arguedas Contador Municipal CÉDULA 6-0253-0912, </w:t>
      </w:r>
      <w:r>
        <w:rPr>
          <w:lang w:val="es-ES"/>
        </w:rPr>
        <w:t xml:space="preserve">en condición de encargados y custodios de la información contable de esta institución, damos fe de que </w:t>
      </w:r>
      <w:r>
        <w:t>la preparación y presentación de los estados financieros, certificaciones o constancias e informes que se realizaron bajo los lineamientos, políticas y reglamentos establecidos por el ente regulador.</w:t>
      </w:r>
    </w:p>
    <w:p w14:paraId="2683950C" w14:textId="77777777" w:rsidR="00320ED0" w:rsidRPr="00BC7C5B" w:rsidRDefault="00320ED0" w:rsidP="00320ED0">
      <w:pPr>
        <w:pStyle w:val="Default"/>
        <w:spacing w:line="360" w:lineRule="auto"/>
        <w:jc w:val="both"/>
        <w:rPr>
          <w:rFonts w:ascii="Arial Narrow" w:hAnsi="Arial Narrow"/>
        </w:rPr>
      </w:pPr>
    </w:p>
    <w:tbl>
      <w:tblPr>
        <w:tblW w:w="0" w:type="auto"/>
        <w:tblLook w:val="04A0" w:firstRow="1" w:lastRow="0" w:firstColumn="1" w:lastColumn="0" w:noHBand="0" w:noVBand="1"/>
      </w:tblPr>
      <w:tblGrid>
        <w:gridCol w:w="2395"/>
        <w:gridCol w:w="2293"/>
        <w:gridCol w:w="1901"/>
        <w:gridCol w:w="2200"/>
      </w:tblGrid>
      <w:tr w:rsidR="005B4E0E" w:rsidRPr="00BC7C5B" w14:paraId="5EF95BF2" w14:textId="77777777" w:rsidTr="005B4E0E">
        <w:tc>
          <w:tcPr>
            <w:tcW w:w="2406" w:type="dxa"/>
            <w:tcBorders>
              <w:top w:val="nil"/>
              <w:left w:val="nil"/>
              <w:bottom w:val="single" w:sz="4" w:space="0" w:color="auto"/>
              <w:right w:val="nil"/>
            </w:tcBorders>
          </w:tcPr>
          <w:p w14:paraId="20F9A555" w14:textId="77777777" w:rsidR="005B4E0E" w:rsidRPr="00BC7C5B" w:rsidRDefault="005B4E0E" w:rsidP="006C575E">
            <w:pPr>
              <w:rPr>
                <w:lang w:val="es-ES"/>
              </w:rPr>
            </w:pPr>
          </w:p>
        </w:tc>
        <w:tc>
          <w:tcPr>
            <w:tcW w:w="2306" w:type="dxa"/>
            <w:tcBorders>
              <w:top w:val="nil"/>
              <w:left w:val="nil"/>
              <w:bottom w:val="single" w:sz="4" w:space="0" w:color="auto"/>
              <w:right w:val="nil"/>
            </w:tcBorders>
          </w:tcPr>
          <w:p w14:paraId="24487BA8" w14:textId="77777777" w:rsidR="005B4E0E" w:rsidRPr="00BC7C5B" w:rsidRDefault="005B4E0E" w:rsidP="006C575E">
            <w:pPr>
              <w:rPr>
                <w:lang w:val="es-ES"/>
              </w:rPr>
            </w:pPr>
          </w:p>
        </w:tc>
        <w:tc>
          <w:tcPr>
            <w:tcW w:w="1911" w:type="dxa"/>
            <w:tcBorders>
              <w:top w:val="nil"/>
              <w:left w:val="nil"/>
              <w:bottom w:val="single" w:sz="4" w:space="0" w:color="auto"/>
              <w:right w:val="nil"/>
            </w:tcBorders>
          </w:tcPr>
          <w:p w14:paraId="536BD419" w14:textId="77777777" w:rsidR="005B4E0E" w:rsidRPr="00BC7C5B" w:rsidRDefault="005B4E0E" w:rsidP="006C575E">
            <w:pPr>
              <w:rPr>
                <w:lang w:val="es-ES"/>
              </w:rPr>
            </w:pPr>
          </w:p>
        </w:tc>
        <w:tc>
          <w:tcPr>
            <w:tcW w:w="2215" w:type="dxa"/>
            <w:tcBorders>
              <w:top w:val="nil"/>
              <w:left w:val="nil"/>
              <w:bottom w:val="single" w:sz="4" w:space="0" w:color="auto"/>
              <w:right w:val="nil"/>
            </w:tcBorders>
          </w:tcPr>
          <w:p w14:paraId="0BBCA457" w14:textId="21FF1F98" w:rsidR="005B4E0E" w:rsidRPr="00BC7C5B" w:rsidRDefault="005B4E0E" w:rsidP="006C575E">
            <w:pPr>
              <w:rPr>
                <w:lang w:val="es-ES"/>
              </w:rPr>
            </w:pPr>
          </w:p>
        </w:tc>
      </w:tr>
      <w:tr w:rsidR="005B4E0E" w:rsidRPr="00BC7C5B" w14:paraId="5FB8F058" w14:textId="77777777" w:rsidTr="005B4E0E">
        <w:tc>
          <w:tcPr>
            <w:tcW w:w="2406" w:type="dxa"/>
            <w:tcBorders>
              <w:top w:val="single" w:sz="4" w:space="0" w:color="auto"/>
              <w:left w:val="nil"/>
              <w:bottom w:val="nil"/>
              <w:right w:val="nil"/>
            </w:tcBorders>
            <w:hideMark/>
          </w:tcPr>
          <w:p w14:paraId="1F49318D" w14:textId="77777777" w:rsidR="005B4E0E" w:rsidRPr="00BC7C5B" w:rsidRDefault="005B4E0E" w:rsidP="005B4E0E">
            <w:pPr>
              <w:jc w:val="center"/>
              <w:rPr>
                <w:lang w:val="es-ES"/>
              </w:rPr>
            </w:pPr>
            <w:r w:rsidRPr="00BC7C5B">
              <w:rPr>
                <w:lang w:val="es-ES"/>
              </w:rPr>
              <w:t>Nombre y firma</w:t>
            </w:r>
          </w:p>
        </w:tc>
        <w:tc>
          <w:tcPr>
            <w:tcW w:w="2306" w:type="dxa"/>
            <w:tcBorders>
              <w:top w:val="single" w:sz="4" w:space="0" w:color="auto"/>
              <w:left w:val="nil"/>
              <w:bottom w:val="nil"/>
              <w:right w:val="nil"/>
            </w:tcBorders>
            <w:hideMark/>
          </w:tcPr>
          <w:p w14:paraId="55FEB182" w14:textId="77777777" w:rsidR="005B4E0E" w:rsidRPr="00BC7C5B" w:rsidRDefault="005B4E0E" w:rsidP="005B4E0E">
            <w:pPr>
              <w:jc w:val="center"/>
              <w:rPr>
                <w:lang w:val="es-ES"/>
              </w:rPr>
            </w:pPr>
            <w:r w:rsidRPr="00BC7C5B">
              <w:rPr>
                <w:lang w:val="es-ES"/>
              </w:rPr>
              <w:t>Nombre y firma</w:t>
            </w:r>
          </w:p>
        </w:tc>
        <w:tc>
          <w:tcPr>
            <w:tcW w:w="1911" w:type="dxa"/>
            <w:tcBorders>
              <w:top w:val="single" w:sz="4" w:space="0" w:color="auto"/>
              <w:left w:val="nil"/>
              <w:bottom w:val="nil"/>
              <w:right w:val="nil"/>
            </w:tcBorders>
          </w:tcPr>
          <w:p w14:paraId="2E8494F1" w14:textId="71CBF778" w:rsidR="005B4E0E" w:rsidRPr="00BC7C5B" w:rsidRDefault="005B4E0E" w:rsidP="005B4E0E">
            <w:pPr>
              <w:jc w:val="center"/>
              <w:rPr>
                <w:lang w:val="es-ES"/>
              </w:rPr>
            </w:pPr>
            <w:r w:rsidRPr="00BC7C5B">
              <w:rPr>
                <w:lang w:val="es-ES"/>
              </w:rPr>
              <w:t>Nombre y firma</w:t>
            </w:r>
          </w:p>
        </w:tc>
        <w:tc>
          <w:tcPr>
            <w:tcW w:w="2215" w:type="dxa"/>
            <w:tcBorders>
              <w:top w:val="single" w:sz="4" w:space="0" w:color="auto"/>
              <w:left w:val="nil"/>
              <w:bottom w:val="nil"/>
              <w:right w:val="nil"/>
            </w:tcBorders>
            <w:hideMark/>
          </w:tcPr>
          <w:p w14:paraId="26ECA66A" w14:textId="6AB4A0AA" w:rsidR="005B4E0E" w:rsidRPr="00BC7C5B" w:rsidRDefault="005B4E0E" w:rsidP="005B4E0E">
            <w:pPr>
              <w:jc w:val="center"/>
              <w:rPr>
                <w:lang w:val="es-ES"/>
              </w:rPr>
            </w:pPr>
            <w:r w:rsidRPr="00BC7C5B">
              <w:rPr>
                <w:lang w:val="es-ES"/>
              </w:rPr>
              <w:t>Nombre y firma</w:t>
            </w:r>
          </w:p>
        </w:tc>
      </w:tr>
      <w:tr w:rsidR="005B4E0E" w:rsidRPr="00BC7C5B" w14:paraId="0D2BA352" w14:textId="77777777" w:rsidTr="005B4E0E">
        <w:tc>
          <w:tcPr>
            <w:tcW w:w="2406" w:type="dxa"/>
            <w:hideMark/>
          </w:tcPr>
          <w:p w14:paraId="54E956E1" w14:textId="77777777" w:rsidR="005B4E0E" w:rsidRPr="00BC7C5B" w:rsidRDefault="005B4E0E" w:rsidP="005B4E0E">
            <w:pPr>
              <w:jc w:val="center"/>
              <w:rPr>
                <w:lang w:val="es-ES"/>
              </w:rPr>
            </w:pPr>
            <w:r w:rsidRPr="00BC7C5B">
              <w:rPr>
                <w:lang w:val="es-ES"/>
              </w:rPr>
              <w:t>Representante Legal</w:t>
            </w:r>
          </w:p>
        </w:tc>
        <w:tc>
          <w:tcPr>
            <w:tcW w:w="2306" w:type="dxa"/>
            <w:hideMark/>
          </w:tcPr>
          <w:p w14:paraId="16B6D9B2" w14:textId="77777777" w:rsidR="005B4E0E" w:rsidRPr="00BC7C5B" w:rsidRDefault="005B4E0E" w:rsidP="005B4E0E">
            <w:pPr>
              <w:jc w:val="center"/>
              <w:rPr>
                <w:lang w:val="es-ES"/>
              </w:rPr>
            </w:pPr>
            <w:r w:rsidRPr="00BC7C5B">
              <w:rPr>
                <w:lang w:val="es-ES"/>
              </w:rPr>
              <w:t>Jerarca Institucional</w:t>
            </w:r>
          </w:p>
        </w:tc>
        <w:tc>
          <w:tcPr>
            <w:tcW w:w="1911" w:type="dxa"/>
          </w:tcPr>
          <w:p w14:paraId="11B8565A" w14:textId="06727D7D" w:rsidR="005B4E0E" w:rsidRPr="00BC7C5B" w:rsidRDefault="005B4E0E" w:rsidP="005B4E0E">
            <w:pPr>
              <w:jc w:val="center"/>
              <w:rPr>
                <w:lang w:val="es-ES"/>
              </w:rPr>
            </w:pPr>
            <w:r>
              <w:rPr>
                <w:lang w:val="es-ES"/>
              </w:rPr>
              <w:t>Director Financiero</w:t>
            </w:r>
          </w:p>
        </w:tc>
        <w:tc>
          <w:tcPr>
            <w:tcW w:w="2215" w:type="dxa"/>
            <w:hideMark/>
          </w:tcPr>
          <w:p w14:paraId="7FCA40FA" w14:textId="2F52ACB5" w:rsidR="005B4E0E" w:rsidRPr="00BC7C5B" w:rsidRDefault="005B4E0E" w:rsidP="005B4E0E">
            <w:pPr>
              <w:jc w:val="center"/>
              <w:rPr>
                <w:lang w:val="es-ES"/>
              </w:rPr>
            </w:pPr>
            <w:r w:rsidRPr="00BC7C5B">
              <w:rPr>
                <w:lang w:val="es-ES"/>
              </w:rPr>
              <w:t>Contador (a)</w:t>
            </w:r>
          </w:p>
        </w:tc>
      </w:tr>
    </w:tbl>
    <w:p w14:paraId="5E2534DD" w14:textId="77777777" w:rsidR="00320ED0" w:rsidRPr="00BC7C5B" w:rsidRDefault="00320ED0" w:rsidP="00320ED0">
      <w:pPr>
        <w:jc w:val="right"/>
        <w:rPr>
          <w:lang w:val="es-ES"/>
        </w:rPr>
      </w:pPr>
    </w:p>
    <w:p w14:paraId="5469E557" w14:textId="77777777" w:rsidR="00320ED0" w:rsidRPr="00BC7C5B" w:rsidRDefault="00320ED0" w:rsidP="00320ED0">
      <w:pPr>
        <w:jc w:val="center"/>
        <w:rPr>
          <w:lang w:val="es-ES"/>
        </w:rPr>
      </w:pPr>
      <w:r w:rsidRPr="00BC7C5B">
        <w:rPr>
          <w:noProof/>
          <w:lang w:eastAsia="es-CR"/>
        </w:rPr>
        <mc:AlternateContent>
          <mc:Choice Requires="wps">
            <w:drawing>
              <wp:anchor distT="0" distB="0" distL="114300" distR="114300" simplePos="0" relativeHeight="251659264" behindDoc="0" locked="0" layoutInCell="1" allowOverlap="1" wp14:anchorId="32153193" wp14:editId="721B9DC1">
                <wp:simplePos x="0" y="0"/>
                <wp:positionH relativeFrom="column">
                  <wp:posOffset>3185160</wp:posOffset>
                </wp:positionH>
                <wp:positionV relativeFrom="paragraph">
                  <wp:posOffset>57150</wp:posOffset>
                </wp:positionV>
                <wp:extent cx="1974215" cy="1126490"/>
                <wp:effectExtent l="7620" t="8255" r="8890" b="8255"/>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215" cy="1126490"/>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715F3847" id="Rectangle 4" o:spid="_x0000_s1026" style="position:absolute;margin-left:250.8pt;margin-top:4.5pt;width:155.45pt;height:8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" strokeweight="1pt">
                <v:stroke dashstyle="dash"/>
                <v:shadow color="#868686"/>
              </v:rect>
            </w:pict>
          </mc:Fallback>
        </mc:AlternateContent>
      </w:r>
      <w:r w:rsidRPr="00BC7C5B">
        <w:rPr>
          <w:lang w:val="es-ES"/>
        </w:rPr>
        <w:t>Sello:</w:t>
      </w:r>
    </w:p>
    <w:p w14:paraId="7D901963" w14:textId="77777777" w:rsidR="00320ED0" w:rsidRPr="00BC7C5B" w:rsidRDefault="00320ED0" w:rsidP="00320ED0">
      <w:pPr>
        <w:autoSpaceDE w:val="0"/>
        <w:autoSpaceDN w:val="0"/>
        <w:adjustRightInd w:val="0"/>
        <w:ind w:right="-425"/>
        <w:rPr>
          <w:szCs w:val="24"/>
        </w:rPr>
      </w:pPr>
    </w:p>
    <w:p w14:paraId="1C2AE28E" w14:textId="287FEEA6" w:rsidR="00320ED0" w:rsidRDefault="00320ED0" w:rsidP="00320ED0">
      <w:pPr>
        <w:autoSpaceDE w:val="0"/>
        <w:autoSpaceDN w:val="0"/>
        <w:adjustRightInd w:val="0"/>
        <w:ind w:right="-425"/>
        <w:rPr>
          <w:szCs w:val="24"/>
        </w:rPr>
      </w:pPr>
    </w:p>
    <w:p w14:paraId="4EF321C2" w14:textId="6062E5F1" w:rsidR="00320ED0" w:rsidRDefault="00320ED0" w:rsidP="00320ED0">
      <w:pPr>
        <w:autoSpaceDE w:val="0"/>
        <w:autoSpaceDN w:val="0"/>
        <w:adjustRightInd w:val="0"/>
        <w:ind w:right="-425"/>
        <w:rPr>
          <w:szCs w:val="24"/>
        </w:rPr>
      </w:pPr>
    </w:p>
    <w:p w14:paraId="4D1C3FEB" w14:textId="5D4E8538" w:rsidR="00320ED0" w:rsidRDefault="00320ED0" w:rsidP="00320ED0">
      <w:pPr>
        <w:autoSpaceDE w:val="0"/>
        <w:autoSpaceDN w:val="0"/>
        <w:adjustRightInd w:val="0"/>
        <w:ind w:right="-425"/>
        <w:rPr>
          <w:szCs w:val="24"/>
        </w:rPr>
      </w:pPr>
    </w:p>
    <w:p w14:paraId="2859AE34" w14:textId="24F07377" w:rsidR="00320ED0" w:rsidRDefault="00320ED0" w:rsidP="00320ED0">
      <w:pPr>
        <w:autoSpaceDE w:val="0"/>
        <w:autoSpaceDN w:val="0"/>
        <w:adjustRightInd w:val="0"/>
        <w:ind w:right="-425"/>
        <w:rPr>
          <w:szCs w:val="24"/>
        </w:rPr>
      </w:pPr>
    </w:p>
    <w:p w14:paraId="378A67D5" w14:textId="4E52136D" w:rsidR="00320ED0" w:rsidRDefault="00320ED0" w:rsidP="00320ED0">
      <w:pPr>
        <w:autoSpaceDE w:val="0"/>
        <w:autoSpaceDN w:val="0"/>
        <w:adjustRightInd w:val="0"/>
        <w:ind w:right="-425"/>
        <w:rPr>
          <w:szCs w:val="24"/>
        </w:rPr>
      </w:pPr>
    </w:p>
    <w:p w14:paraId="5EC32BEA" w14:textId="45644D71" w:rsidR="00320ED0" w:rsidRDefault="00320ED0" w:rsidP="00320ED0">
      <w:pPr>
        <w:autoSpaceDE w:val="0"/>
        <w:autoSpaceDN w:val="0"/>
        <w:adjustRightInd w:val="0"/>
        <w:ind w:right="-425"/>
        <w:rPr>
          <w:szCs w:val="24"/>
        </w:rPr>
      </w:pPr>
    </w:p>
    <w:p w14:paraId="03E31AA3" w14:textId="5443BCFF" w:rsidR="00320ED0" w:rsidRPr="00320ED0" w:rsidRDefault="00320ED0" w:rsidP="00320ED0">
      <w:pPr>
        <w:pStyle w:val="Ttulo1"/>
        <w:rPr>
          <w:lang w:val="es-ES"/>
        </w:rPr>
      </w:pPr>
      <w:bookmarkStart w:id="1079" w:name="_Anexos"/>
      <w:bookmarkStart w:id="1080" w:name="_Toc173245343"/>
      <w:bookmarkEnd w:id="1079"/>
      <w:r>
        <w:rPr>
          <w:lang w:val="es-ES"/>
        </w:rPr>
        <w:t>ANEXOS</w:t>
      </w:r>
      <w:bookmarkEnd w:id="1080"/>
    </w:p>
    <w:p w14:paraId="4328F021" w14:textId="17D52105" w:rsidR="0077456B" w:rsidRPr="00112C21" w:rsidRDefault="00320ED0" w:rsidP="00605786">
      <w:pPr>
        <w:spacing w:before="240"/>
      </w:pPr>
      <w:r w:rsidRPr="00FF7793">
        <w:rPr>
          <w:rFonts w:cs="Arial"/>
          <w:bCs/>
        </w:rPr>
        <w:t xml:space="preserve">Se deben copiar los cuadros de los Excel en formato imagen. </w:t>
      </w:r>
    </w:p>
    <w:p w14:paraId="37CE0F2A" w14:textId="43D9D99A" w:rsidR="0077456B" w:rsidRPr="00112C21" w:rsidRDefault="00112C21" w:rsidP="00112C21">
      <w:pPr>
        <w:pStyle w:val="Ttulo2"/>
        <w:rPr>
          <w:rFonts w:eastAsia="Times New Roman"/>
          <w:b/>
        </w:rPr>
      </w:pPr>
      <w:bookmarkStart w:id="1081" w:name="_Toc82769119"/>
      <w:bookmarkStart w:id="1082" w:name="_Toc173245344"/>
      <w:r w:rsidRPr="00112C21">
        <w:rPr>
          <w:rFonts w:eastAsia="Times New Roman"/>
          <w:b/>
        </w:rPr>
        <w:t>NICSP</w:t>
      </w:r>
      <w:bookmarkEnd w:id="1081"/>
      <w:bookmarkEnd w:id="1082"/>
    </w:p>
    <w:p w14:paraId="69D5FA78" w14:textId="49C9E7DA" w:rsidR="0077456B" w:rsidRPr="00112C21" w:rsidRDefault="00112C21" w:rsidP="00112C21">
      <w:pPr>
        <w:pStyle w:val="Ttulo3"/>
        <w:rPr>
          <w:rFonts w:eastAsia="Times New Roman"/>
          <w:color w:val="2F5496"/>
          <w:sz w:val="28"/>
          <w:szCs w:val="28"/>
          <w:lang w:eastAsia="es-CR"/>
        </w:rPr>
      </w:pPr>
      <w:bookmarkStart w:id="1083" w:name="_NICSP_13_Arrendamientos"/>
      <w:bookmarkStart w:id="1084" w:name="_Toc82769120"/>
      <w:bookmarkStart w:id="1085" w:name="_Toc173245345"/>
      <w:bookmarkEnd w:id="1083"/>
      <w:r w:rsidRPr="0077456B">
        <w:rPr>
          <w:rFonts w:eastAsia="Times New Roman"/>
          <w:lang w:eastAsia="es-CR"/>
        </w:rPr>
        <w:t>NICSP 13 ARRENDAMIENTOS</w:t>
      </w:r>
      <w:bookmarkEnd w:id="1084"/>
      <w:bookmarkEnd w:id="1085"/>
    </w:p>
    <w:p w14:paraId="50F6C28E" w14:textId="177E03AD" w:rsidR="0077456B" w:rsidRPr="0077456B" w:rsidRDefault="00C7726A" w:rsidP="0077456B">
      <w:pPr>
        <w:rPr>
          <w:lang w:val="es-ES" w:eastAsia="es-CR"/>
        </w:rPr>
      </w:pPr>
      <w:r>
        <w:rPr>
          <w:noProof/>
          <w:lang w:eastAsia="es-CR"/>
        </w:rPr>
        <w:drawing>
          <wp:inline distT="0" distB="0" distL="0" distR="0" wp14:anchorId="67425C67" wp14:editId="2D43F573">
            <wp:extent cx="6162675" cy="1691967"/>
            <wp:effectExtent l="0" t="0" r="0" b="3810"/>
            <wp:docPr id="9768604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70460" cy="1694104"/>
                    </a:xfrm>
                    <a:prstGeom prst="rect">
                      <a:avLst/>
                    </a:prstGeom>
                    <a:noFill/>
                  </pic:spPr>
                </pic:pic>
              </a:graphicData>
            </a:graphic>
          </wp:inline>
        </w:drawing>
      </w:r>
    </w:p>
    <w:p w14:paraId="2592B02F" w14:textId="77777777" w:rsidR="0077456B" w:rsidRPr="0077456B" w:rsidRDefault="0077456B" w:rsidP="0077456B">
      <w:pPr>
        <w:rPr>
          <w:lang w:val="es-ES" w:eastAsia="es-CR"/>
        </w:rPr>
      </w:pPr>
    </w:p>
    <w:p w14:paraId="077DB273" w14:textId="77777777" w:rsidR="0077456B" w:rsidRPr="0077456B" w:rsidRDefault="0077456B" w:rsidP="0077456B">
      <w:pPr>
        <w:rPr>
          <w:lang w:val="es-ES" w:eastAsia="es-CR"/>
        </w:rPr>
      </w:pPr>
      <w:r w:rsidRPr="0077456B">
        <w:rPr>
          <w:noProof/>
          <w:lang w:eastAsia="es-CR"/>
        </w:rPr>
        <w:drawing>
          <wp:inline distT="0" distB="0" distL="0" distR="0" wp14:anchorId="7FE9818A" wp14:editId="00DAD3F4">
            <wp:extent cx="6143625" cy="1283208"/>
            <wp:effectExtent l="0" t="0" r="0" b="0"/>
            <wp:docPr id="568" name="Imagen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51513" cy="1284856"/>
                    </a:xfrm>
                    <a:prstGeom prst="rect">
                      <a:avLst/>
                    </a:prstGeom>
                    <a:noFill/>
                    <a:ln>
                      <a:noFill/>
                    </a:ln>
                  </pic:spPr>
                </pic:pic>
              </a:graphicData>
            </a:graphic>
          </wp:inline>
        </w:drawing>
      </w:r>
    </w:p>
    <w:p w14:paraId="7C33A22B" w14:textId="77777777" w:rsidR="0077456B" w:rsidRPr="0077456B" w:rsidRDefault="0077456B" w:rsidP="0077456B">
      <w:pPr>
        <w:rPr>
          <w:lang w:val="es-ES" w:eastAsia="es-CR"/>
        </w:rPr>
      </w:pPr>
    </w:p>
    <w:p w14:paraId="51B716F9" w14:textId="6A8D59A5" w:rsidR="0077456B" w:rsidRPr="00112C21" w:rsidRDefault="0077456B" w:rsidP="0077456B">
      <w:pPr>
        <w:rPr>
          <w:szCs w:val="24"/>
        </w:rPr>
      </w:pPr>
      <w:r w:rsidRPr="0077456B">
        <w:rPr>
          <w:noProof/>
          <w:lang w:eastAsia="es-CR"/>
        </w:rPr>
        <w:drawing>
          <wp:inline distT="0" distB="0" distL="0" distR="0" wp14:anchorId="0772775B" wp14:editId="1AB3352A">
            <wp:extent cx="6143625" cy="1287715"/>
            <wp:effectExtent l="0" t="0" r="0" b="8255"/>
            <wp:docPr id="569" name="Imagen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58073" cy="1290743"/>
                    </a:xfrm>
                    <a:prstGeom prst="rect">
                      <a:avLst/>
                    </a:prstGeom>
                    <a:noFill/>
                    <a:ln>
                      <a:noFill/>
                    </a:ln>
                  </pic:spPr>
                </pic:pic>
              </a:graphicData>
            </a:graphic>
          </wp:inline>
        </w:drawing>
      </w:r>
    </w:p>
    <w:p w14:paraId="2CC81A91" w14:textId="1DF0B7CD" w:rsidR="0077456B" w:rsidRPr="00112C21" w:rsidRDefault="00112C21" w:rsidP="00112C21">
      <w:pPr>
        <w:pStyle w:val="Ttulo3"/>
        <w:rPr>
          <w:rFonts w:eastAsia="Times New Roman"/>
          <w:color w:val="2F5496"/>
          <w:sz w:val="28"/>
          <w:szCs w:val="28"/>
          <w:lang w:eastAsia="es-CR"/>
        </w:rPr>
      </w:pPr>
      <w:bookmarkStart w:id="1086" w:name="_NICSP_16-_Propiedades"/>
      <w:bookmarkStart w:id="1087" w:name="_Toc82769121"/>
      <w:bookmarkStart w:id="1088" w:name="_Toc173245346"/>
      <w:bookmarkEnd w:id="1086"/>
      <w:r w:rsidRPr="0077456B">
        <w:rPr>
          <w:rFonts w:eastAsia="Times New Roman"/>
          <w:lang w:eastAsia="es-CR"/>
        </w:rPr>
        <w:t>NICSP 16- PROPIEDADES DE INVERSIÓN</w:t>
      </w:r>
      <w:bookmarkEnd w:id="1087"/>
      <w:bookmarkEnd w:id="1088"/>
    </w:p>
    <w:p w14:paraId="4CDCD648" w14:textId="68C70835" w:rsidR="0077456B" w:rsidRDefault="0077456B" w:rsidP="0077456B">
      <w:pPr>
        <w:rPr>
          <w:lang w:val="es-ES" w:eastAsia="es-CR"/>
        </w:rPr>
      </w:pPr>
      <w:r w:rsidRPr="0077456B">
        <w:rPr>
          <w:noProof/>
          <w:lang w:eastAsia="es-CR"/>
        </w:rPr>
        <w:drawing>
          <wp:inline distT="0" distB="0" distL="0" distR="0" wp14:anchorId="7FFA68E5" wp14:editId="2049C04D">
            <wp:extent cx="6134100" cy="1449619"/>
            <wp:effectExtent l="0" t="0" r="0" b="0"/>
            <wp:docPr id="570" name="Imagen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42532" cy="1451612"/>
                    </a:xfrm>
                    <a:prstGeom prst="rect">
                      <a:avLst/>
                    </a:prstGeom>
                    <a:noFill/>
                    <a:ln>
                      <a:noFill/>
                    </a:ln>
                  </pic:spPr>
                </pic:pic>
              </a:graphicData>
            </a:graphic>
          </wp:inline>
        </w:drawing>
      </w:r>
    </w:p>
    <w:p w14:paraId="3692D3C3" w14:textId="77777777" w:rsidR="00112C21" w:rsidRPr="0077456B" w:rsidRDefault="00112C21" w:rsidP="0077456B">
      <w:pPr>
        <w:rPr>
          <w:lang w:val="es-ES" w:eastAsia="es-CR"/>
        </w:rPr>
      </w:pPr>
    </w:p>
    <w:p w14:paraId="0054FCB9" w14:textId="4D18A28A" w:rsidR="0077456B" w:rsidRPr="00112C21" w:rsidRDefault="00112C21" w:rsidP="00112C21">
      <w:pPr>
        <w:pStyle w:val="Ttulo3"/>
        <w:rPr>
          <w:rFonts w:eastAsia="Times New Roman"/>
          <w:color w:val="2F5496"/>
          <w:sz w:val="28"/>
          <w:szCs w:val="28"/>
          <w:lang w:eastAsia="es-CR"/>
        </w:rPr>
      </w:pPr>
      <w:bookmarkStart w:id="1089" w:name="_NICSP_17-_Propiedad,"/>
      <w:bookmarkStart w:id="1090" w:name="_Toc82769122"/>
      <w:bookmarkStart w:id="1091" w:name="_Toc173245347"/>
      <w:bookmarkEnd w:id="1089"/>
      <w:r w:rsidRPr="0077456B">
        <w:rPr>
          <w:rFonts w:eastAsia="Times New Roman"/>
          <w:lang w:eastAsia="es-CR"/>
        </w:rPr>
        <w:t>NICSP 17- PROPIEDAD, PLANTA Y EQUIPO</w:t>
      </w:r>
      <w:bookmarkEnd w:id="1090"/>
      <w:bookmarkEnd w:id="1091"/>
    </w:p>
    <w:p w14:paraId="576FE2E1" w14:textId="77777777" w:rsidR="0077456B" w:rsidRPr="0077456B" w:rsidRDefault="0077456B" w:rsidP="0077456B">
      <w:pPr>
        <w:rPr>
          <w:lang w:val="es-ES" w:eastAsia="es-CR"/>
        </w:rPr>
      </w:pPr>
      <w:r w:rsidRPr="0077456B">
        <w:rPr>
          <w:noProof/>
          <w:lang w:eastAsia="es-CR"/>
        </w:rPr>
        <w:drawing>
          <wp:inline distT="0" distB="0" distL="0" distR="0" wp14:anchorId="73E12792" wp14:editId="7F5B0606">
            <wp:extent cx="6115050" cy="1614488"/>
            <wp:effectExtent l="0" t="0" r="0" b="5080"/>
            <wp:docPr id="571" name="Imagen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4752" cy="1617050"/>
                    </a:xfrm>
                    <a:prstGeom prst="rect">
                      <a:avLst/>
                    </a:prstGeom>
                    <a:noFill/>
                    <a:ln>
                      <a:noFill/>
                    </a:ln>
                  </pic:spPr>
                </pic:pic>
              </a:graphicData>
            </a:graphic>
          </wp:inline>
        </w:drawing>
      </w:r>
    </w:p>
    <w:p w14:paraId="42DEB17B" w14:textId="638AFB41" w:rsidR="0077456B" w:rsidRPr="0077456B" w:rsidRDefault="0077456B" w:rsidP="00CD40D5">
      <w:pPr>
        <w:spacing w:after="0" w:line="240" w:lineRule="auto"/>
        <w:rPr>
          <w:lang w:val="es-ES" w:eastAsia="es-CR"/>
        </w:rPr>
      </w:pPr>
    </w:p>
    <w:tbl>
      <w:tblPr>
        <w:tblW w:w="9558" w:type="dxa"/>
        <w:tblLook w:val="04A0" w:firstRow="1" w:lastRow="0" w:firstColumn="1" w:lastColumn="0" w:noHBand="0" w:noVBand="1"/>
      </w:tblPr>
      <w:tblGrid>
        <w:gridCol w:w="504"/>
        <w:gridCol w:w="1623"/>
        <w:gridCol w:w="3260"/>
        <w:gridCol w:w="1701"/>
        <w:gridCol w:w="1280"/>
        <w:gridCol w:w="1201"/>
      </w:tblGrid>
      <w:tr w:rsidR="00CD40D5" w:rsidRPr="00CD40D5" w14:paraId="2FB6D9BD" w14:textId="153A376C" w:rsidTr="0003306F">
        <w:trPr>
          <w:trHeight w:val="470"/>
        </w:trPr>
        <w:tc>
          <w:tcPr>
            <w:tcW w:w="504" w:type="dxa"/>
            <w:tcBorders>
              <w:top w:val="nil"/>
              <w:left w:val="nil"/>
              <w:bottom w:val="nil"/>
              <w:right w:val="nil"/>
            </w:tcBorders>
            <w:shd w:val="clear" w:color="auto" w:fill="auto"/>
            <w:noWrap/>
            <w:vAlign w:val="bottom"/>
            <w:hideMark/>
          </w:tcPr>
          <w:p w14:paraId="0EE75CA4" w14:textId="77777777" w:rsidR="00CD40D5" w:rsidRPr="00CD40D5" w:rsidRDefault="00CD40D5" w:rsidP="00CD40D5">
            <w:pPr>
              <w:spacing w:after="0" w:line="240" w:lineRule="auto"/>
              <w:jc w:val="left"/>
              <w:rPr>
                <w:rFonts w:ascii="Times New Roman" w:eastAsia="Times New Roman" w:hAnsi="Times New Roman" w:cs="Times New Roman"/>
                <w:sz w:val="20"/>
                <w:szCs w:val="24"/>
                <w:lang w:val="en-US"/>
              </w:rPr>
            </w:pPr>
          </w:p>
        </w:tc>
        <w:tc>
          <w:tcPr>
            <w:tcW w:w="1623"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5CD9AA36" w14:textId="77777777" w:rsidR="00CD40D5" w:rsidRPr="00CD40D5" w:rsidRDefault="00CD40D5" w:rsidP="00CD40D5">
            <w:pPr>
              <w:spacing w:after="0" w:line="240" w:lineRule="auto"/>
              <w:jc w:val="center"/>
              <w:rPr>
                <w:rFonts w:eastAsia="Times New Roman" w:cs="Times New Roman"/>
                <w:color w:val="FFFFFF"/>
                <w:sz w:val="18"/>
                <w:szCs w:val="18"/>
                <w:lang w:val="en-US"/>
              </w:rPr>
            </w:pPr>
            <w:r w:rsidRPr="00CD40D5">
              <w:rPr>
                <w:rFonts w:eastAsia="Times New Roman" w:cs="Times New Roman"/>
                <w:color w:val="FFFFFF"/>
                <w:sz w:val="18"/>
                <w:szCs w:val="18"/>
                <w:lang w:val="en-US"/>
              </w:rPr>
              <w:t>Inventarios Físicos</w:t>
            </w:r>
          </w:p>
        </w:tc>
        <w:tc>
          <w:tcPr>
            <w:tcW w:w="3260" w:type="dxa"/>
            <w:tcBorders>
              <w:top w:val="nil"/>
              <w:left w:val="nil"/>
              <w:bottom w:val="nil"/>
              <w:right w:val="nil"/>
            </w:tcBorders>
            <w:shd w:val="clear" w:color="auto" w:fill="auto"/>
            <w:noWrap/>
            <w:vAlign w:val="bottom"/>
            <w:hideMark/>
          </w:tcPr>
          <w:p w14:paraId="2563C105" w14:textId="77777777" w:rsidR="00CD40D5" w:rsidRPr="00CD40D5" w:rsidRDefault="00CD40D5" w:rsidP="00CD40D5">
            <w:pPr>
              <w:spacing w:after="0" w:line="240" w:lineRule="auto"/>
              <w:jc w:val="center"/>
              <w:rPr>
                <w:rFonts w:eastAsia="Times New Roman" w:cs="Times New Roman"/>
                <w:color w:val="FFFFFF"/>
                <w:sz w:val="18"/>
                <w:szCs w:val="18"/>
                <w:lang w:val="en-US"/>
              </w:rPr>
            </w:pPr>
          </w:p>
        </w:tc>
        <w:tc>
          <w:tcPr>
            <w:tcW w:w="1701" w:type="dxa"/>
            <w:tcBorders>
              <w:top w:val="nil"/>
              <w:left w:val="nil"/>
              <w:bottom w:val="nil"/>
              <w:right w:val="nil"/>
            </w:tcBorders>
            <w:shd w:val="clear" w:color="auto" w:fill="auto"/>
            <w:noWrap/>
            <w:vAlign w:val="bottom"/>
            <w:hideMark/>
          </w:tcPr>
          <w:p w14:paraId="7EF0A9C4" w14:textId="77777777" w:rsidR="00CD40D5" w:rsidRPr="00CD40D5" w:rsidRDefault="00CD40D5" w:rsidP="00CD40D5">
            <w:pPr>
              <w:spacing w:after="0" w:line="240" w:lineRule="auto"/>
              <w:jc w:val="left"/>
              <w:rPr>
                <w:rFonts w:ascii="Times New Roman" w:eastAsia="Times New Roman" w:hAnsi="Times New Roman" w:cs="Times New Roman"/>
                <w:sz w:val="20"/>
                <w:szCs w:val="20"/>
                <w:lang w:val="en-US"/>
              </w:rPr>
            </w:pPr>
          </w:p>
        </w:tc>
        <w:tc>
          <w:tcPr>
            <w:tcW w:w="1280" w:type="dxa"/>
            <w:tcBorders>
              <w:top w:val="nil"/>
              <w:left w:val="nil"/>
              <w:bottom w:val="nil"/>
              <w:right w:val="nil"/>
            </w:tcBorders>
            <w:shd w:val="clear" w:color="auto" w:fill="auto"/>
            <w:noWrap/>
            <w:vAlign w:val="bottom"/>
            <w:hideMark/>
          </w:tcPr>
          <w:p w14:paraId="71ADB2F2" w14:textId="77777777" w:rsidR="00CD40D5" w:rsidRPr="00CD40D5" w:rsidRDefault="00CD40D5" w:rsidP="00CD40D5">
            <w:pPr>
              <w:spacing w:after="0" w:line="240" w:lineRule="auto"/>
              <w:jc w:val="left"/>
              <w:rPr>
                <w:rFonts w:ascii="Times New Roman" w:eastAsia="Times New Roman" w:hAnsi="Times New Roman" w:cs="Times New Roman"/>
                <w:sz w:val="20"/>
                <w:szCs w:val="20"/>
                <w:lang w:val="en-US"/>
              </w:rPr>
            </w:pPr>
          </w:p>
        </w:tc>
        <w:tc>
          <w:tcPr>
            <w:tcW w:w="1190" w:type="dxa"/>
            <w:tcBorders>
              <w:top w:val="nil"/>
              <w:left w:val="nil"/>
              <w:bottom w:val="nil"/>
              <w:right w:val="nil"/>
            </w:tcBorders>
          </w:tcPr>
          <w:p w14:paraId="756CEE7E" w14:textId="77777777" w:rsidR="00CD40D5" w:rsidRPr="00CD40D5" w:rsidRDefault="00CD40D5" w:rsidP="00CD40D5">
            <w:pPr>
              <w:spacing w:after="0" w:line="240" w:lineRule="auto"/>
              <w:jc w:val="left"/>
              <w:rPr>
                <w:rFonts w:ascii="Times New Roman" w:eastAsia="Times New Roman" w:hAnsi="Times New Roman" w:cs="Times New Roman"/>
                <w:sz w:val="20"/>
                <w:szCs w:val="20"/>
                <w:lang w:val="en-US"/>
              </w:rPr>
            </w:pPr>
          </w:p>
        </w:tc>
      </w:tr>
      <w:tr w:rsidR="00CD40D5" w:rsidRPr="00CD40D5" w14:paraId="045F2BF7" w14:textId="6F0643D1" w:rsidTr="0003306F">
        <w:trPr>
          <w:trHeight w:val="470"/>
        </w:trPr>
        <w:tc>
          <w:tcPr>
            <w:tcW w:w="504" w:type="dxa"/>
            <w:tcBorders>
              <w:top w:val="single" w:sz="8" w:space="0" w:color="auto"/>
              <w:left w:val="nil"/>
              <w:bottom w:val="nil"/>
              <w:right w:val="single" w:sz="8" w:space="0" w:color="auto"/>
            </w:tcBorders>
            <w:shd w:val="clear" w:color="000000" w:fill="17365D"/>
            <w:vAlign w:val="center"/>
            <w:hideMark/>
          </w:tcPr>
          <w:p w14:paraId="14CBE9D3" w14:textId="77777777" w:rsidR="00CD40D5" w:rsidRPr="00CD40D5" w:rsidRDefault="00CD40D5" w:rsidP="00CD40D5">
            <w:pPr>
              <w:spacing w:after="0" w:line="240" w:lineRule="auto"/>
              <w:jc w:val="center"/>
              <w:rPr>
                <w:rFonts w:eastAsia="Times New Roman" w:cs="Times New Roman"/>
                <w:color w:val="FFFFFF"/>
                <w:sz w:val="18"/>
                <w:szCs w:val="18"/>
                <w:lang w:val="en-US"/>
              </w:rPr>
            </w:pPr>
            <w:r w:rsidRPr="00CD40D5">
              <w:rPr>
                <w:rFonts w:eastAsia="Times New Roman" w:cs="Times New Roman"/>
                <w:color w:val="FFFFFF"/>
                <w:sz w:val="18"/>
                <w:szCs w:val="18"/>
                <w:lang w:val="en-US"/>
              </w:rPr>
              <w:t>Item</w:t>
            </w:r>
          </w:p>
        </w:tc>
        <w:tc>
          <w:tcPr>
            <w:tcW w:w="1623" w:type="dxa"/>
            <w:tcBorders>
              <w:top w:val="nil"/>
              <w:left w:val="nil"/>
              <w:bottom w:val="single" w:sz="8" w:space="0" w:color="auto"/>
              <w:right w:val="single" w:sz="8" w:space="0" w:color="auto"/>
            </w:tcBorders>
            <w:shd w:val="clear" w:color="000000" w:fill="1F3864"/>
            <w:vAlign w:val="center"/>
            <w:hideMark/>
          </w:tcPr>
          <w:p w14:paraId="6DD60609" w14:textId="77777777" w:rsidR="00CD40D5" w:rsidRPr="00CD40D5" w:rsidRDefault="00CD40D5" w:rsidP="00CD40D5">
            <w:pPr>
              <w:spacing w:after="0" w:line="240" w:lineRule="auto"/>
              <w:jc w:val="center"/>
              <w:rPr>
                <w:rFonts w:eastAsia="Times New Roman" w:cs="Times New Roman"/>
                <w:color w:val="FFFFFF"/>
                <w:sz w:val="18"/>
                <w:szCs w:val="18"/>
                <w:lang w:val="en-US"/>
              </w:rPr>
            </w:pPr>
            <w:r w:rsidRPr="00CD40D5">
              <w:rPr>
                <w:rFonts w:eastAsia="Times New Roman" w:cs="Times New Roman"/>
                <w:color w:val="FFFFFF"/>
                <w:sz w:val="18"/>
                <w:szCs w:val="18"/>
                <w:lang w:val="en-US"/>
              </w:rPr>
              <w:t>Fecha</w:t>
            </w:r>
          </w:p>
        </w:tc>
        <w:tc>
          <w:tcPr>
            <w:tcW w:w="3260" w:type="dxa"/>
            <w:tcBorders>
              <w:top w:val="single" w:sz="8" w:space="0" w:color="auto"/>
              <w:left w:val="nil"/>
              <w:bottom w:val="single" w:sz="8" w:space="0" w:color="auto"/>
              <w:right w:val="single" w:sz="8" w:space="0" w:color="auto"/>
            </w:tcBorders>
            <w:shd w:val="clear" w:color="000000" w:fill="1F3864"/>
            <w:vAlign w:val="center"/>
            <w:hideMark/>
          </w:tcPr>
          <w:p w14:paraId="46B284ED" w14:textId="77777777" w:rsidR="00CD40D5" w:rsidRPr="00CD40D5" w:rsidRDefault="00CD40D5" w:rsidP="00CD40D5">
            <w:pPr>
              <w:spacing w:after="0" w:line="240" w:lineRule="auto"/>
              <w:jc w:val="center"/>
              <w:rPr>
                <w:rFonts w:eastAsia="Times New Roman" w:cs="Times New Roman"/>
                <w:color w:val="FFFFFF"/>
                <w:sz w:val="18"/>
                <w:szCs w:val="18"/>
                <w:lang w:val="en-US"/>
              </w:rPr>
            </w:pPr>
            <w:r w:rsidRPr="00CD40D5">
              <w:rPr>
                <w:rFonts w:eastAsia="Times New Roman" w:cs="Times New Roman"/>
                <w:color w:val="FFFFFF"/>
                <w:sz w:val="18"/>
                <w:szCs w:val="18"/>
                <w:lang w:val="en-US"/>
              </w:rPr>
              <w:t>Tipo de Activo</w:t>
            </w:r>
          </w:p>
        </w:tc>
        <w:tc>
          <w:tcPr>
            <w:tcW w:w="1701" w:type="dxa"/>
            <w:tcBorders>
              <w:top w:val="nil"/>
              <w:left w:val="nil"/>
              <w:bottom w:val="nil"/>
              <w:right w:val="single" w:sz="8" w:space="0" w:color="auto"/>
            </w:tcBorders>
            <w:shd w:val="clear" w:color="000000" w:fill="1F3864"/>
            <w:vAlign w:val="center"/>
            <w:hideMark/>
          </w:tcPr>
          <w:p w14:paraId="49A2431A" w14:textId="77777777" w:rsidR="00CD40D5" w:rsidRPr="00CD40D5" w:rsidRDefault="00CD40D5" w:rsidP="00CD40D5">
            <w:pPr>
              <w:spacing w:after="0" w:line="240" w:lineRule="auto"/>
              <w:jc w:val="center"/>
              <w:rPr>
                <w:rFonts w:eastAsia="Times New Roman" w:cs="Times New Roman"/>
                <w:color w:val="FFFFFF"/>
                <w:sz w:val="18"/>
                <w:szCs w:val="18"/>
                <w:lang w:val="en-US"/>
              </w:rPr>
            </w:pPr>
            <w:r w:rsidRPr="00CD40D5">
              <w:rPr>
                <w:rFonts w:eastAsia="Times New Roman" w:cs="Times New Roman"/>
                <w:color w:val="FFFFFF"/>
                <w:sz w:val="18"/>
                <w:szCs w:val="18"/>
                <w:lang w:val="en-US"/>
              </w:rPr>
              <w:t>Monto del Resultado</w:t>
            </w:r>
          </w:p>
        </w:tc>
        <w:tc>
          <w:tcPr>
            <w:tcW w:w="1280" w:type="dxa"/>
            <w:tcBorders>
              <w:top w:val="nil"/>
              <w:left w:val="nil"/>
              <w:bottom w:val="nil"/>
              <w:right w:val="single" w:sz="8" w:space="0" w:color="auto"/>
            </w:tcBorders>
            <w:shd w:val="clear" w:color="000000" w:fill="1F3864"/>
            <w:vAlign w:val="center"/>
            <w:hideMark/>
          </w:tcPr>
          <w:p w14:paraId="70F50F77" w14:textId="77777777" w:rsidR="00CD40D5" w:rsidRPr="00CD40D5" w:rsidRDefault="00CD40D5" w:rsidP="00CD40D5">
            <w:pPr>
              <w:spacing w:after="0" w:line="240" w:lineRule="auto"/>
              <w:jc w:val="center"/>
              <w:rPr>
                <w:rFonts w:eastAsia="Times New Roman" w:cs="Times New Roman"/>
                <w:color w:val="FFFFFF"/>
                <w:sz w:val="18"/>
                <w:szCs w:val="18"/>
                <w:lang w:val="en-US"/>
              </w:rPr>
            </w:pPr>
            <w:r w:rsidRPr="00CD40D5">
              <w:rPr>
                <w:rFonts w:eastAsia="Times New Roman" w:cs="Times New Roman"/>
                <w:color w:val="FFFFFF"/>
                <w:sz w:val="18"/>
                <w:szCs w:val="18"/>
                <w:lang w:val="en-US"/>
              </w:rPr>
              <w:t>Mes de registro</w:t>
            </w:r>
          </w:p>
        </w:tc>
        <w:tc>
          <w:tcPr>
            <w:tcW w:w="1190" w:type="dxa"/>
            <w:tcBorders>
              <w:top w:val="nil"/>
              <w:left w:val="nil"/>
              <w:bottom w:val="nil"/>
              <w:right w:val="single" w:sz="8" w:space="0" w:color="auto"/>
            </w:tcBorders>
            <w:shd w:val="clear" w:color="000000" w:fill="1F3864"/>
          </w:tcPr>
          <w:p w14:paraId="5E64A66E" w14:textId="47A98FFF" w:rsidR="00CD40D5" w:rsidRPr="00CD40D5" w:rsidRDefault="00CD40D5" w:rsidP="00CD40D5">
            <w:pPr>
              <w:spacing w:after="0" w:line="240" w:lineRule="auto"/>
              <w:jc w:val="center"/>
              <w:rPr>
                <w:rFonts w:eastAsia="Times New Roman" w:cs="Times New Roman"/>
                <w:color w:val="FFFFFF"/>
                <w:sz w:val="18"/>
                <w:szCs w:val="18"/>
                <w:lang w:val="en-US"/>
              </w:rPr>
            </w:pPr>
            <w:r>
              <w:rPr>
                <w:rFonts w:eastAsia="Times New Roman" w:cs="Times New Roman"/>
                <w:color w:val="FFFFFF"/>
                <w:sz w:val="18"/>
                <w:szCs w:val="18"/>
                <w:lang w:val="en-US"/>
              </w:rPr>
              <w:t>Observaciones</w:t>
            </w:r>
          </w:p>
        </w:tc>
      </w:tr>
      <w:tr w:rsidR="00CD40D5" w:rsidRPr="00CD40D5" w14:paraId="2F3F534D" w14:textId="5651AD64" w:rsidTr="0003306F">
        <w:trPr>
          <w:trHeight w:val="300"/>
        </w:trPr>
        <w:tc>
          <w:tcPr>
            <w:tcW w:w="504" w:type="dxa"/>
            <w:tcBorders>
              <w:top w:val="nil"/>
              <w:left w:val="single" w:sz="8" w:space="0" w:color="auto"/>
              <w:bottom w:val="single" w:sz="8" w:space="0" w:color="auto"/>
              <w:right w:val="single" w:sz="8" w:space="0" w:color="auto"/>
            </w:tcBorders>
            <w:shd w:val="clear" w:color="auto" w:fill="auto"/>
            <w:noWrap/>
            <w:vAlign w:val="center"/>
            <w:hideMark/>
          </w:tcPr>
          <w:p w14:paraId="52264D37"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1</w:t>
            </w:r>
          </w:p>
        </w:tc>
        <w:tc>
          <w:tcPr>
            <w:tcW w:w="1623" w:type="dxa"/>
            <w:tcBorders>
              <w:top w:val="nil"/>
              <w:left w:val="nil"/>
              <w:bottom w:val="single" w:sz="8" w:space="0" w:color="auto"/>
              <w:right w:val="single" w:sz="8" w:space="0" w:color="auto"/>
            </w:tcBorders>
            <w:shd w:val="clear" w:color="auto" w:fill="auto"/>
            <w:noWrap/>
            <w:vAlign w:val="center"/>
            <w:hideMark/>
          </w:tcPr>
          <w:p w14:paraId="226D1072"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Ver detalle</w:t>
            </w:r>
          </w:p>
        </w:tc>
        <w:tc>
          <w:tcPr>
            <w:tcW w:w="3260" w:type="dxa"/>
            <w:tcBorders>
              <w:top w:val="nil"/>
              <w:left w:val="nil"/>
              <w:bottom w:val="single" w:sz="8" w:space="0" w:color="auto"/>
              <w:right w:val="single" w:sz="8" w:space="0" w:color="auto"/>
            </w:tcBorders>
            <w:shd w:val="clear" w:color="auto" w:fill="auto"/>
            <w:noWrap/>
            <w:vAlign w:val="center"/>
            <w:hideMark/>
          </w:tcPr>
          <w:p w14:paraId="4D1CBA9B" w14:textId="77777777" w:rsidR="00CD40D5" w:rsidRPr="00CD40D5" w:rsidRDefault="00CD40D5" w:rsidP="00CD40D5">
            <w:pPr>
              <w:spacing w:after="0" w:line="240" w:lineRule="auto"/>
              <w:jc w:val="left"/>
              <w:rPr>
                <w:rFonts w:eastAsia="Times New Roman" w:cs="Times New Roman"/>
                <w:color w:val="000000"/>
                <w:sz w:val="18"/>
                <w:szCs w:val="18"/>
                <w:lang w:val="en-US"/>
              </w:rPr>
            </w:pPr>
            <w:r w:rsidRPr="00CD40D5">
              <w:rPr>
                <w:rFonts w:eastAsia="Times New Roman" w:cs="Times New Roman"/>
                <w:color w:val="000000"/>
                <w:sz w:val="18"/>
                <w:szCs w:val="18"/>
                <w:lang w:val="en-US"/>
              </w:rPr>
              <w:t>Edificios y Terrenos</w:t>
            </w:r>
          </w:p>
        </w:tc>
        <w:tc>
          <w:tcPr>
            <w:tcW w:w="1701" w:type="dxa"/>
            <w:tcBorders>
              <w:top w:val="nil"/>
              <w:left w:val="nil"/>
              <w:bottom w:val="single" w:sz="8" w:space="0" w:color="auto"/>
              <w:right w:val="single" w:sz="8" w:space="0" w:color="auto"/>
            </w:tcBorders>
            <w:shd w:val="clear" w:color="auto" w:fill="auto"/>
            <w:noWrap/>
            <w:vAlign w:val="center"/>
            <w:hideMark/>
          </w:tcPr>
          <w:p w14:paraId="622FBA4D" w14:textId="0D172D8A" w:rsidR="00CD40D5" w:rsidRPr="00CD40D5" w:rsidRDefault="00CD40D5" w:rsidP="00CD40D5">
            <w:pPr>
              <w:spacing w:after="0" w:line="240" w:lineRule="auto"/>
              <w:jc w:val="right"/>
              <w:rPr>
                <w:rFonts w:eastAsia="Times New Roman" w:cs="Times New Roman"/>
                <w:color w:val="000000"/>
                <w:sz w:val="18"/>
                <w:szCs w:val="18"/>
                <w:lang w:val="en-US"/>
              </w:rPr>
            </w:pPr>
            <w:r w:rsidRPr="00C3199A">
              <w:rPr>
                <w:rFonts w:ascii="Arial" w:hAnsi="Arial" w:cs="Arial"/>
              </w:rPr>
              <w:t>₡</w:t>
            </w:r>
            <w:r w:rsidRPr="00CD40D5">
              <w:rPr>
                <w:rFonts w:eastAsia="Times New Roman" w:cs="Times New Roman"/>
                <w:color w:val="000000"/>
                <w:sz w:val="18"/>
                <w:szCs w:val="18"/>
                <w:lang w:val="en-US"/>
              </w:rPr>
              <w:t>1 298 409,42</w:t>
            </w:r>
          </w:p>
        </w:tc>
        <w:tc>
          <w:tcPr>
            <w:tcW w:w="1280" w:type="dxa"/>
            <w:tcBorders>
              <w:top w:val="nil"/>
              <w:left w:val="nil"/>
              <w:bottom w:val="single" w:sz="8" w:space="0" w:color="auto"/>
              <w:right w:val="single" w:sz="8" w:space="0" w:color="auto"/>
            </w:tcBorders>
            <w:shd w:val="clear" w:color="auto" w:fill="auto"/>
            <w:noWrap/>
            <w:vAlign w:val="center"/>
            <w:hideMark/>
          </w:tcPr>
          <w:p w14:paraId="5C0B0EB0"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Ver detalle</w:t>
            </w:r>
          </w:p>
        </w:tc>
        <w:tc>
          <w:tcPr>
            <w:tcW w:w="1190" w:type="dxa"/>
            <w:tcBorders>
              <w:top w:val="nil"/>
              <w:left w:val="nil"/>
              <w:bottom w:val="single" w:sz="8" w:space="0" w:color="auto"/>
              <w:right w:val="single" w:sz="8" w:space="0" w:color="auto"/>
            </w:tcBorders>
          </w:tcPr>
          <w:p w14:paraId="1675B098" w14:textId="77777777" w:rsidR="00CD40D5" w:rsidRPr="00CD40D5" w:rsidRDefault="00CD40D5" w:rsidP="00CD40D5">
            <w:pPr>
              <w:spacing w:after="0" w:line="240" w:lineRule="auto"/>
              <w:jc w:val="center"/>
              <w:rPr>
                <w:rFonts w:eastAsia="Times New Roman" w:cs="Times New Roman"/>
                <w:color w:val="000000"/>
                <w:sz w:val="18"/>
                <w:szCs w:val="18"/>
                <w:lang w:val="en-US"/>
              </w:rPr>
            </w:pPr>
          </w:p>
        </w:tc>
      </w:tr>
      <w:tr w:rsidR="00CD40D5" w:rsidRPr="00CD40D5" w14:paraId="5905C9F0" w14:textId="3C0473D6" w:rsidTr="0003306F">
        <w:trPr>
          <w:trHeight w:val="300"/>
        </w:trPr>
        <w:tc>
          <w:tcPr>
            <w:tcW w:w="504" w:type="dxa"/>
            <w:tcBorders>
              <w:top w:val="nil"/>
              <w:left w:val="single" w:sz="8" w:space="0" w:color="auto"/>
              <w:bottom w:val="single" w:sz="8" w:space="0" w:color="auto"/>
              <w:right w:val="single" w:sz="8" w:space="0" w:color="auto"/>
            </w:tcBorders>
            <w:shd w:val="clear" w:color="auto" w:fill="auto"/>
            <w:noWrap/>
            <w:vAlign w:val="center"/>
            <w:hideMark/>
          </w:tcPr>
          <w:p w14:paraId="2B6B70E3"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2</w:t>
            </w:r>
          </w:p>
        </w:tc>
        <w:tc>
          <w:tcPr>
            <w:tcW w:w="1623" w:type="dxa"/>
            <w:tcBorders>
              <w:top w:val="nil"/>
              <w:left w:val="nil"/>
              <w:bottom w:val="single" w:sz="8" w:space="0" w:color="auto"/>
              <w:right w:val="single" w:sz="8" w:space="0" w:color="auto"/>
            </w:tcBorders>
            <w:shd w:val="clear" w:color="auto" w:fill="auto"/>
            <w:noWrap/>
            <w:vAlign w:val="center"/>
            <w:hideMark/>
          </w:tcPr>
          <w:p w14:paraId="53D68BFB"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Ver detalle</w:t>
            </w:r>
          </w:p>
        </w:tc>
        <w:tc>
          <w:tcPr>
            <w:tcW w:w="3260" w:type="dxa"/>
            <w:tcBorders>
              <w:top w:val="nil"/>
              <w:left w:val="nil"/>
              <w:bottom w:val="single" w:sz="8" w:space="0" w:color="auto"/>
              <w:right w:val="single" w:sz="8" w:space="0" w:color="auto"/>
            </w:tcBorders>
            <w:shd w:val="clear" w:color="auto" w:fill="auto"/>
            <w:noWrap/>
            <w:vAlign w:val="center"/>
            <w:hideMark/>
          </w:tcPr>
          <w:p w14:paraId="68C4FC04" w14:textId="77777777" w:rsidR="00CD40D5" w:rsidRPr="00CD40D5" w:rsidRDefault="00CD40D5" w:rsidP="00CD40D5">
            <w:pPr>
              <w:spacing w:after="0" w:line="240" w:lineRule="auto"/>
              <w:jc w:val="left"/>
              <w:rPr>
                <w:rFonts w:eastAsia="Times New Roman" w:cs="Times New Roman"/>
                <w:color w:val="000000"/>
                <w:sz w:val="18"/>
                <w:szCs w:val="18"/>
              </w:rPr>
            </w:pPr>
            <w:r w:rsidRPr="00CD40D5">
              <w:rPr>
                <w:rFonts w:eastAsia="Times New Roman" w:cs="Times New Roman"/>
                <w:color w:val="000000"/>
                <w:sz w:val="18"/>
                <w:szCs w:val="18"/>
              </w:rPr>
              <w:t>Maquinaria y equipos para la  producción</w:t>
            </w:r>
          </w:p>
        </w:tc>
        <w:tc>
          <w:tcPr>
            <w:tcW w:w="1701" w:type="dxa"/>
            <w:tcBorders>
              <w:top w:val="nil"/>
              <w:left w:val="nil"/>
              <w:bottom w:val="single" w:sz="8" w:space="0" w:color="auto"/>
              <w:right w:val="single" w:sz="8" w:space="0" w:color="auto"/>
            </w:tcBorders>
            <w:shd w:val="clear" w:color="auto" w:fill="auto"/>
            <w:noWrap/>
            <w:vAlign w:val="center"/>
            <w:hideMark/>
          </w:tcPr>
          <w:p w14:paraId="68050B81" w14:textId="77777777" w:rsidR="00CD40D5" w:rsidRPr="00CD40D5" w:rsidRDefault="00CD40D5" w:rsidP="00CD40D5">
            <w:pPr>
              <w:spacing w:after="0" w:line="240" w:lineRule="auto"/>
              <w:jc w:val="right"/>
              <w:rPr>
                <w:rFonts w:eastAsia="Times New Roman" w:cs="Times New Roman"/>
                <w:color w:val="000000"/>
                <w:sz w:val="18"/>
                <w:szCs w:val="18"/>
                <w:lang w:val="en-US"/>
              </w:rPr>
            </w:pPr>
            <w:r w:rsidRPr="00CD40D5">
              <w:rPr>
                <w:rFonts w:eastAsia="Times New Roman" w:cs="Times New Roman"/>
                <w:color w:val="000000"/>
                <w:sz w:val="18"/>
                <w:szCs w:val="18"/>
                <w:lang w:val="en-US"/>
              </w:rPr>
              <w:t>2 333 904,30</w:t>
            </w:r>
          </w:p>
        </w:tc>
        <w:tc>
          <w:tcPr>
            <w:tcW w:w="1280" w:type="dxa"/>
            <w:tcBorders>
              <w:top w:val="nil"/>
              <w:left w:val="nil"/>
              <w:bottom w:val="single" w:sz="8" w:space="0" w:color="auto"/>
              <w:right w:val="single" w:sz="8" w:space="0" w:color="auto"/>
            </w:tcBorders>
            <w:shd w:val="clear" w:color="auto" w:fill="auto"/>
            <w:noWrap/>
            <w:vAlign w:val="center"/>
            <w:hideMark/>
          </w:tcPr>
          <w:p w14:paraId="24973CD7"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Ver detalle</w:t>
            </w:r>
          </w:p>
        </w:tc>
        <w:tc>
          <w:tcPr>
            <w:tcW w:w="1190" w:type="dxa"/>
            <w:tcBorders>
              <w:top w:val="nil"/>
              <w:left w:val="nil"/>
              <w:bottom w:val="single" w:sz="8" w:space="0" w:color="auto"/>
              <w:right w:val="single" w:sz="8" w:space="0" w:color="auto"/>
            </w:tcBorders>
          </w:tcPr>
          <w:p w14:paraId="11DCB090" w14:textId="77777777" w:rsidR="00CD40D5" w:rsidRPr="00CD40D5" w:rsidRDefault="00CD40D5" w:rsidP="00CD40D5">
            <w:pPr>
              <w:spacing w:after="0" w:line="240" w:lineRule="auto"/>
              <w:jc w:val="center"/>
              <w:rPr>
                <w:rFonts w:eastAsia="Times New Roman" w:cs="Times New Roman"/>
                <w:color w:val="000000"/>
                <w:sz w:val="18"/>
                <w:szCs w:val="18"/>
                <w:lang w:val="en-US"/>
              </w:rPr>
            </w:pPr>
          </w:p>
        </w:tc>
      </w:tr>
      <w:tr w:rsidR="00CD40D5" w:rsidRPr="00CD40D5" w14:paraId="69CFEBA3" w14:textId="5A6E334B" w:rsidTr="0003306F">
        <w:trPr>
          <w:trHeight w:val="300"/>
        </w:trPr>
        <w:tc>
          <w:tcPr>
            <w:tcW w:w="504" w:type="dxa"/>
            <w:tcBorders>
              <w:top w:val="nil"/>
              <w:left w:val="single" w:sz="8" w:space="0" w:color="auto"/>
              <w:bottom w:val="single" w:sz="8" w:space="0" w:color="auto"/>
              <w:right w:val="single" w:sz="8" w:space="0" w:color="auto"/>
            </w:tcBorders>
            <w:shd w:val="clear" w:color="auto" w:fill="auto"/>
            <w:noWrap/>
            <w:vAlign w:val="center"/>
            <w:hideMark/>
          </w:tcPr>
          <w:p w14:paraId="4E20E11E"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3</w:t>
            </w:r>
          </w:p>
        </w:tc>
        <w:tc>
          <w:tcPr>
            <w:tcW w:w="1623" w:type="dxa"/>
            <w:tcBorders>
              <w:top w:val="nil"/>
              <w:left w:val="nil"/>
              <w:bottom w:val="single" w:sz="8" w:space="0" w:color="auto"/>
              <w:right w:val="single" w:sz="8" w:space="0" w:color="auto"/>
            </w:tcBorders>
            <w:shd w:val="clear" w:color="auto" w:fill="auto"/>
            <w:noWrap/>
            <w:vAlign w:val="center"/>
            <w:hideMark/>
          </w:tcPr>
          <w:p w14:paraId="5E690913"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Ver detalle</w:t>
            </w:r>
          </w:p>
        </w:tc>
        <w:tc>
          <w:tcPr>
            <w:tcW w:w="3260" w:type="dxa"/>
            <w:tcBorders>
              <w:top w:val="nil"/>
              <w:left w:val="nil"/>
              <w:bottom w:val="single" w:sz="8" w:space="0" w:color="auto"/>
              <w:right w:val="single" w:sz="8" w:space="0" w:color="auto"/>
            </w:tcBorders>
            <w:shd w:val="clear" w:color="auto" w:fill="auto"/>
            <w:noWrap/>
            <w:vAlign w:val="center"/>
            <w:hideMark/>
          </w:tcPr>
          <w:p w14:paraId="7E8DFB2F" w14:textId="77777777" w:rsidR="00CD40D5" w:rsidRPr="00CD40D5" w:rsidRDefault="00CD40D5" w:rsidP="00CD40D5">
            <w:pPr>
              <w:spacing w:after="0" w:line="240" w:lineRule="auto"/>
              <w:jc w:val="left"/>
              <w:rPr>
                <w:rFonts w:eastAsia="Times New Roman" w:cs="Times New Roman"/>
                <w:color w:val="000000"/>
                <w:sz w:val="18"/>
                <w:szCs w:val="18"/>
              </w:rPr>
            </w:pPr>
            <w:r w:rsidRPr="00CD40D5">
              <w:rPr>
                <w:rFonts w:eastAsia="Times New Roman" w:cs="Times New Roman"/>
                <w:color w:val="000000"/>
                <w:sz w:val="18"/>
                <w:szCs w:val="18"/>
              </w:rPr>
              <w:t>Equipos de transporte, tracción y elevación</w:t>
            </w:r>
          </w:p>
        </w:tc>
        <w:tc>
          <w:tcPr>
            <w:tcW w:w="1701" w:type="dxa"/>
            <w:tcBorders>
              <w:top w:val="nil"/>
              <w:left w:val="nil"/>
              <w:bottom w:val="single" w:sz="8" w:space="0" w:color="auto"/>
              <w:right w:val="single" w:sz="8" w:space="0" w:color="auto"/>
            </w:tcBorders>
            <w:shd w:val="clear" w:color="auto" w:fill="auto"/>
            <w:noWrap/>
            <w:vAlign w:val="center"/>
            <w:hideMark/>
          </w:tcPr>
          <w:p w14:paraId="27EA3FC0" w14:textId="77777777" w:rsidR="00CD40D5" w:rsidRPr="00CD40D5" w:rsidRDefault="00CD40D5" w:rsidP="00CD40D5">
            <w:pPr>
              <w:spacing w:after="0" w:line="240" w:lineRule="auto"/>
              <w:jc w:val="right"/>
              <w:rPr>
                <w:rFonts w:eastAsia="Times New Roman" w:cs="Times New Roman"/>
                <w:color w:val="000000"/>
                <w:sz w:val="18"/>
                <w:szCs w:val="18"/>
                <w:lang w:val="en-US"/>
              </w:rPr>
            </w:pPr>
            <w:r w:rsidRPr="00CD40D5">
              <w:rPr>
                <w:rFonts w:eastAsia="Times New Roman" w:cs="Times New Roman"/>
                <w:color w:val="000000"/>
                <w:sz w:val="18"/>
                <w:szCs w:val="18"/>
                <w:lang w:val="en-US"/>
              </w:rPr>
              <w:t>220 745,45</w:t>
            </w:r>
          </w:p>
        </w:tc>
        <w:tc>
          <w:tcPr>
            <w:tcW w:w="1280" w:type="dxa"/>
            <w:tcBorders>
              <w:top w:val="nil"/>
              <w:left w:val="nil"/>
              <w:bottom w:val="single" w:sz="8" w:space="0" w:color="auto"/>
              <w:right w:val="single" w:sz="8" w:space="0" w:color="auto"/>
            </w:tcBorders>
            <w:shd w:val="clear" w:color="auto" w:fill="auto"/>
            <w:noWrap/>
            <w:vAlign w:val="center"/>
            <w:hideMark/>
          </w:tcPr>
          <w:p w14:paraId="609C5E06"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Ver detalle</w:t>
            </w:r>
          </w:p>
        </w:tc>
        <w:tc>
          <w:tcPr>
            <w:tcW w:w="1190" w:type="dxa"/>
            <w:tcBorders>
              <w:top w:val="nil"/>
              <w:left w:val="nil"/>
              <w:bottom w:val="single" w:sz="8" w:space="0" w:color="auto"/>
              <w:right w:val="single" w:sz="8" w:space="0" w:color="auto"/>
            </w:tcBorders>
          </w:tcPr>
          <w:p w14:paraId="50B299D0" w14:textId="77777777" w:rsidR="00CD40D5" w:rsidRPr="00CD40D5" w:rsidRDefault="00CD40D5" w:rsidP="00CD40D5">
            <w:pPr>
              <w:spacing w:after="0" w:line="240" w:lineRule="auto"/>
              <w:jc w:val="center"/>
              <w:rPr>
                <w:rFonts w:eastAsia="Times New Roman" w:cs="Times New Roman"/>
                <w:color w:val="000000"/>
                <w:sz w:val="18"/>
                <w:szCs w:val="18"/>
                <w:lang w:val="en-US"/>
              </w:rPr>
            </w:pPr>
          </w:p>
        </w:tc>
      </w:tr>
      <w:tr w:rsidR="00CD40D5" w:rsidRPr="00CD40D5" w14:paraId="65F84435" w14:textId="6EC3AB08" w:rsidTr="0003306F">
        <w:trPr>
          <w:trHeight w:val="300"/>
        </w:trPr>
        <w:tc>
          <w:tcPr>
            <w:tcW w:w="504" w:type="dxa"/>
            <w:tcBorders>
              <w:top w:val="nil"/>
              <w:left w:val="single" w:sz="8" w:space="0" w:color="auto"/>
              <w:bottom w:val="single" w:sz="8" w:space="0" w:color="auto"/>
              <w:right w:val="single" w:sz="8" w:space="0" w:color="auto"/>
            </w:tcBorders>
            <w:shd w:val="clear" w:color="auto" w:fill="auto"/>
            <w:noWrap/>
            <w:vAlign w:val="center"/>
            <w:hideMark/>
          </w:tcPr>
          <w:p w14:paraId="688FB5C9"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4</w:t>
            </w:r>
          </w:p>
        </w:tc>
        <w:tc>
          <w:tcPr>
            <w:tcW w:w="1623" w:type="dxa"/>
            <w:tcBorders>
              <w:top w:val="nil"/>
              <w:left w:val="nil"/>
              <w:bottom w:val="single" w:sz="8" w:space="0" w:color="auto"/>
              <w:right w:val="single" w:sz="8" w:space="0" w:color="auto"/>
            </w:tcBorders>
            <w:shd w:val="clear" w:color="auto" w:fill="auto"/>
            <w:noWrap/>
            <w:vAlign w:val="center"/>
            <w:hideMark/>
          </w:tcPr>
          <w:p w14:paraId="6C3DDD99"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Ver detalle</w:t>
            </w:r>
          </w:p>
        </w:tc>
        <w:tc>
          <w:tcPr>
            <w:tcW w:w="3260" w:type="dxa"/>
            <w:tcBorders>
              <w:top w:val="nil"/>
              <w:left w:val="nil"/>
              <w:bottom w:val="single" w:sz="8" w:space="0" w:color="auto"/>
              <w:right w:val="single" w:sz="8" w:space="0" w:color="auto"/>
            </w:tcBorders>
            <w:shd w:val="clear" w:color="auto" w:fill="auto"/>
            <w:noWrap/>
            <w:vAlign w:val="center"/>
            <w:hideMark/>
          </w:tcPr>
          <w:p w14:paraId="1C6B20E8" w14:textId="77777777" w:rsidR="00CD40D5" w:rsidRPr="00CD40D5" w:rsidRDefault="00CD40D5" w:rsidP="00CD40D5">
            <w:pPr>
              <w:spacing w:after="0" w:line="240" w:lineRule="auto"/>
              <w:jc w:val="left"/>
              <w:rPr>
                <w:rFonts w:eastAsia="Times New Roman" w:cs="Times New Roman"/>
                <w:color w:val="000000"/>
                <w:sz w:val="18"/>
                <w:szCs w:val="18"/>
                <w:lang w:val="en-US"/>
              </w:rPr>
            </w:pPr>
            <w:r w:rsidRPr="00CD40D5">
              <w:rPr>
                <w:rFonts w:eastAsia="Times New Roman" w:cs="Times New Roman"/>
                <w:color w:val="000000"/>
                <w:sz w:val="18"/>
                <w:szCs w:val="18"/>
                <w:lang w:val="en-US"/>
              </w:rPr>
              <w:t>Equipos de comunicación</w:t>
            </w:r>
          </w:p>
        </w:tc>
        <w:tc>
          <w:tcPr>
            <w:tcW w:w="1701" w:type="dxa"/>
            <w:tcBorders>
              <w:top w:val="nil"/>
              <w:left w:val="nil"/>
              <w:bottom w:val="single" w:sz="8" w:space="0" w:color="auto"/>
              <w:right w:val="single" w:sz="8" w:space="0" w:color="auto"/>
            </w:tcBorders>
            <w:shd w:val="clear" w:color="auto" w:fill="auto"/>
            <w:noWrap/>
            <w:vAlign w:val="center"/>
            <w:hideMark/>
          </w:tcPr>
          <w:p w14:paraId="54DA3487" w14:textId="77777777" w:rsidR="00CD40D5" w:rsidRPr="00CD40D5" w:rsidRDefault="00CD40D5" w:rsidP="00CD40D5">
            <w:pPr>
              <w:spacing w:after="0" w:line="240" w:lineRule="auto"/>
              <w:jc w:val="right"/>
              <w:rPr>
                <w:rFonts w:eastAsia="Times New Roman" w:cs="Times New Roman"/>
                <w:color w:val="000000"/>
                <w:sz w:val="18"/>
                <w:szCs w:val="18"/>
                <w:lang w:val="en-US"/>
              </w:rPr>
            </w:pPr>
            <w:r w:rsidRPr="00CD40D5">
              <w:rPr>
                <w:rFonts w:eastAsia="Times New Roman" w:cs="Times New Roman"/>
                <w:color w:val="000000"/>
                <w:sz w:val="18"/>
                <w:szCs w:val="18"/>
                <w:lang w:val="en-US"/>
              </w:rPr>
              <w:t>34 282,40</w:t>
            </w:r>
          </w:p>
        </w:tc>
        <w:tc>
          <w:tcPr>
            <w:tcW w:w="1280" w:type="dxa"/>
            <w:tcBorders>
              <w:top w:val="nil"/>
              <w:left w:val="nil"/>
              <w:bottom w:val="single" w:sz="8" w:space="0" w:color="auto"/>
              <w:right w:val="single" w:sz="8" w:space="0" w:color="auto"/>
            </w:tcBorders>
            <w:shd w:val="clear" w:color="auto" w:fill="auto"/>
            <w:noWrap/>
            <w:vAlign w:val="center"/>
            <w:hideMark/>
          </w:tcPr>
          <w:p w14:paraId="521E0D7D"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Ver detalle</w:t>
            </w:r>
          </w:p>
        </w:tc>
        <w:tc>
          <w:tcPr>
            <w:tcW w:w="1190" w:type="dxa"/>
            <w:tcBorders>
              <w:top w:val="nil"/>
              <w:left w:val="nil"/>
              <w:bottom w:val="single" w:sz="8" w:space="0" w:color="auto"/>
              <w:right w:val="single" w:sz="8" w:space="0" w:color="auto"/>
            </w:tcBorders>
          </w:tcPr>
          <w:p w14:paraId="63855661" w14:textId="77777777" w:rsidR="00CD40D5" w:rsidRPr="00CD40D5" w:rsidRDefault="00CD40D5" w:rsidP="00CD40D5">
            <w:pPr>
              <w:spacing w:after="0" w:line="240" w:lineRule="auto"/>
              <w:jc w:val="center"/>
              <w:rPr>
                <w:rFonts w:eastAsia="Times New Roman" w:cs="Times New Roman"/>
                <w:color w:val="000000"/>
                <w:sz w:val="18"/>
                <w:szCs w:val="18"/>
                <w:lang w:val="en-US"/>
              </w:rPr>
            </w:pPr>
          </w:p>
        </w:tc>
      </w:tr>
      <w:tr w:rsidR="00CD40D5" w:rsidRPr="00CD40D5" w14:paraId="4FD982CE" w14:textId="0D4FA67A" w:rsidTr="0003306F">
        <w:trPr>
          <w:trHeight w:val="300"/>
        </w:trPr>
        <w:tc>
          <w:tcPr>
            <w:tcW w:w="504" w:type="dxa"/>
            <w:tcBorders>
              <w:top w:val="nil"/>
              <w:left w:val="single" w:sz="8" w:space="0" w:color="auto"/>
              <w:bottom w:val="single" w:sz="8" w:space="0" w:color="auto"/>
              <w:right w:val="single" w:sz="8" w:space="0" w:color="auto"/>
            </w:tcBorders>
            <w:shd w:val="clear" w:color="auto" w:fill="auto"/>
            <w:noWrap/>
            <w:vAlign w:val="center"/>
            <w:hideMark/>
          </w:tcPr>
          <w:p w14:paraId="005D9041"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5</w:t>
            </w:r>
          </w:p>
        </w:tc>
        <w:tc>
          <w:tcPr>
            <w:tcW w:w="1623" w:type="dxa"/>
            <w:tcBorders>
              <w:top w:val="nil"/>
              <w:left w:val="nil"/>
              <w:bottom w:val="single" w:sz="8" w:space="0" w:color="auto"/>
              <w:right w:val="single" w:sz="8" w:space="0" w:color="auto"/>
            </w:tcBorders>
            <w:shd w:val="clear" w:color="auto" w:fill="auto"/>
            <w:noWrap/>
            <w:vAlign w:val="center"/>
            <w:hideMark/>
          </w:tcPr>
          <w:p w14:paraId="2073CFC7"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Ver detalle</w:t>
            </w:r>
          </w:p>
        </w:tc>
        <w:tc>
          <w:tcPr>
            <w:tcW w:w="3260" w:type="dxa"/>
            <w:tcBorders>
              <w:top w:val="nil"/>
              <w:left w:val="nil"/>
              <w:bottom w:val="single" w:sz="8" w:space="0" w:color="auto"/>
              <w:right w:val="single" w:sz="8" w:space="0" w:color="auto"/>
            </w:tcBorders>
            <w:shd w:val="clear" w:color="auto" w:fill="auto"/>
            <w:noWrap/>
            <w:vAlign w:val="center"/>
            <w:hideMark/>
          </w:tcPr>
          <w:p w14:paraId="15F6C7AF" w14:textId="77777777" w:rsidR="00CD40D5" w:rsidRPr="00CD40D5" w:rsidRDefault="00CD40D5" w:rsidP="00CD40D5">
            <w:pPr>
              <w:spacing w:after="0" w:line="240" w:lineRule="auto"/>
              <w:jc w:val="left"/>
              <w:rPr>
                <w:rFonts w:eastAsia="Times New Roman" w:cs="Times New Roman"/>
                <w:color w:val="000000"/>
                <w:sz w:val="18"/>
                <w:szCs w:val="18"/>
              </w:rPr>
            </w:pPr>
            <w:r w:rsidRPr="00CD40D5">
              <w:rPr>
                <w:rFonts w:eastAsia="Times New Roman" w:cs="Times New Roman"/>
                <w:color w:val="000000"/>
                <w:sz w:val="18"/>
                <w:szCs w:val="18"/>
              </w:rPr>
              <w:t>Equipos y mobiliario de oficina</w:t>
            </w:r>
          </w:p>
        </w:tc>
        <w:tc>
          <w:tcPr>
            <w:tcW w:w="1701" w:type="dxa"/>
            <w:tcBorders>
              <w:top w:val="nil"/>
              <w:left w:val="nil"/>
              <w:bottom w:val="single" w:sz="8" w:space="0" w:color="auto"/>
              <w:right w:val="single" w:sz="8" w:space="0" w:color="auto"/>
            </w:tcBorders>
            <w:shd w:val="clear" w:color="auto" w:fill="auto"/>
            <w:noWrap/>
            <w:vAlign w:val="center"/>
            <w:hideMark/>
          </w:tcPr>
          <w:p w14:paraId="375743E4" w14:textId="77777777" w:rsidR="00CD40D5" w:rsidRPr="00CD40D5" w:rsidRDefault="00CD40D5" w:rsidP="00CD40D5">
            <w:pPr>
              <w:spacing w:after="0" w:line="240" w:lineRule="auto"/>
              <w:jc w:val="right"/>
              <w:rPr>
                <w:rFonts w:eastAsia="Times New Roman" w:cs="Times New Roman"/>
                <w:color w:val="000000"/>
                <w:sz w:val="18"/>
                <w:szCs w:val="18"/>
                <w:lang w:val="en-US"/>
              </w:rPr>
            </w:pPr>
            <w:r w:rsidRPr="00CD40D5">
              <w:rPr>
                <w:rFonts w:eastAsia="Times New Roman" w:cs="Times New Roman"/>
                <w:color w:val="000000"/>
                <w:sz w:val="18"/>
                <w:szCs w:val="18"/>
                <w:lang w:val="en-US"/>
              </w:rPr>
              <w:t>74 802,07</w:t>
            </w:r>
          </w:p>
        </w:tc>
        <w:tc>
          <w:tcPr>
            <w:tcW w:w="1280" w:type="dxa"/>
            <w:tcBorders>
              <w:top w:val="nil"/>
              <w:left w:val="nil"/>
              <w:bottom w:val="single" w:sz="8" w:space="0" w:color="auto"/>
              <w:right w:val="single" w:sz="8" w:space="0" w:color="auto"/>
            </w:tcBorders>
            <w:shd w:val="clear" w:color="auto" w:fill="auto"/>
            <w:noWrap/>
            <w:vAlign w:val="center"/>
            <w:hideMark/>
          </w:tcPr>
          <w:p w14:paraId="29D447F6"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Ver detalle</w:t>
            </w:r>
          </w:p>
        </w:tc>
        <w:tc>
          <w:tcPr>
            <w:tcW w:w="1190" w:type="dxa"/>
            <w:tcBorders>
              <w:top w:val="nil"/>
              <w:left w:val="nil"/>
              <w:bottom w:val="single" w:sz="8" w:space="0" w:color="auto"/>
              <w:right w:val="single" w:sz="8" w:space="0" w:color="auto"/>
            </w:tcBorders>
          </w:tcPr>
          <w:p w14:paraId="43B244A0" w14:textId="77777777" w:rsidR="00CD40D5" w:rsidRPr="00CD40D5" w:rsidRDefault="00CD40D5" w:rsidP="00CD40D5">
            <w:pPr>
              <w:spacing w:after="0" w:line="240" w:lineRule="auto"/>
              <w:jc w:val="center"/>
              <w:rPr>
                <w:rFonts w:eastAsia="Times New Roman" w:cs="Times New Roman"/>
                <w:color w:val="000000"/>
                <w:sz w:val="18"/>
                <w:szCs w:val="18"/>
                <w:lang w:val="en-US"/>
              </w:rPr>
            </w:pPr>
          </w:p>
        </w:tc>
      </w:tr>
      <w:tr w:rsidR="00CD40D5" w:rsidRPr="00CD40D5" w14:paraId="6C0AD0A8" w14:textId="28FF91B5" w:rsidTr="0003306F">
        <w:trPr>
          <w:trHeight w:val="300"/>
        </w:trPr>
        <w:tc>
          <w:tcPr>
            <w:tcW w:w="504" w:type="dxa"/>
            <w:tcBorders>
              <w:top w:val="nil"/>
              <w:left w:val="single" w:sz="8" w:space="0" w:color="auto"/>
              <w:bottom w:val="single" w:sz="8" w:space="0" w:color="auto"/>
              <w:right w:val="single" w:sz="8" w:space="0" w:color="auto"/>
            </w:tcBorders>
            <w:shd w:val="clear" w:color="auto" w:fill="auto"/>
            <w:noWrap/>
            <w:vAlign w:val="center"/>
            <w:hideMark/>
          </w:tcPr>
          <w:p w14:paraId="667BFBE4"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6</w:t>
            </w:r>
          </w:p>
        </w:tc>
        <w:tc>
          <w:tcPr>
            <w:tcW w:w="1623" w:type="dxa"/>
            <w:tcBorders>
              <w:top w:val="nil"/>
              <w:left w:val="nil"/>
              <w:bottom w:val="single" w:sz="8" w:space="0" w:color="auto"/>
              <w:right w:val="single" w:sz="8" w:space="0" w:color="auto"/>
            </w:tcBorders>
            <w:shd w:val="clear" w:color="auto" w:fill="auto"/>
            <w:noWrap/>
            <w:vAlign w:val="center"/>
            <w:hideMark/>
          </w:tcPr>
          <w:p w14:paraId="3D7B389D"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Ver detalle</w:t>
            </w:r>
          </w:p>
        </w:tc>
        <w:tc>
          <w:tcPr>
            <w:tcW w:w="3260" w:type="dxa"/>
            <w:tcBorders>
              <w:top w:val="nil"/>
              <w:left w:val="nil"/>
              <w:bottom w:val="single" w:sz="8" w:space="0" w:color="auto"/>
              <w:right w:val="single" w:sz="8" w:space="0" w:color="auto"/>
            </w:tcBorders>
            <w:shd w:val="clear" w:color="auto" w:fill="auto"/>
            <w:noWrap/>
            <w:vAlign w:val="center"/>
            <w:hideMark/>
          </w:tcPr>
          <w:p w14:paraId="3B37B042" w14:textId="77777777" w:rsidR="00CD40D5" w:rsidRPr="00CD40D5" w:rsidRDefault="00CD40D5" w:rsidP="00CD40D5">
            <w:pPr>
              <w:spacing w:after="0" w:line="240" w:lineRule="auto"/>
              <w:jc w:val="left"/>
              <w:rPr>
                <w:rFonts w:eastAsia="Times New Roman" w:cs="Times New Roman"/>
                <w:color w:val="000000"/>
                <w:sz w:val="18"/>
                <w:szCs w:val="18"/>
                <w:lang w:val="en-US"/>
              </w:rPr>
            </w:pPr>
            <w:r w:rsidRPr="00CD40D5">
              <w:rPr>
                <w:rFonts w:eastAsia="Times New Roman" w:cs="Times New Roman"/>
                <w:color w:val="000000"/>
                <w:sz w:val="18"/>
                <w:szCs w:val="18"/>
                <w:lang w:val="en-US"/>
              </w:rPr>
              <w:t>Equipos para computación</w:t>
            </w:r>
          </w:p>
        </w:tc>
        <w:tc>
          <w:tcPr>
            <w:tcW w:w="1701" w:type="dxa"/>
            <w:tcBorders>
              <w:top w:val="nil"/>
              <w:left w:val="nil"/>
              <w:bottom w:val="single" w:sz="8" w:space="0" w:color="auto"/>
              <w:right w:val="single" w:sz="8" w:space="0" w:color="auto"/>
            </w:tcBorders>
            <w:shd w:val="clear" w:color="auto" w:fill="auto"/>
            <w:noWrap/>
            <w:vAlign w:val="center"/>
            <w:hideMark/>
          </w:tcPr>
          <w:p w14:paraId="6271A9EB" w14:textId="77777777" w:rsidR="00CD40D5" w:rsidRPr="00CD40D5" w:rsidRDefault="00CD40D5" w:rsidP="00CD40D5">
            <w:pPr>
              <w:spacing w:after="0" w:line="240" w:lineRule="auto"/>
              <w:jc w:val="right"/>
              <w:rPr>
                <w:rFonts w:eastAsia="Times New Roman" w:cs="Times New Roman"/>
                <w:color w:val="000000"/>
                <w:sz w:val="18"/>
                <w:szCs w:val="18"/>
                <w:lang w:val="en-US"/>
              </w:rPr>
            </w:pPr>
            <w:r w:rsidRPr="00CD40D5">
              <w:rPr>
                <w:rFonts w:eastAsia="Times New Roman" w:cs="Times New Roman"/>
                <w:color w:val="000000"/>
                <w:sz w:val="18"/>
                <w:szCs w:val="18"/>
                <w:lang w:val="en-US"/>
              </w:rPr>
              <w:t>113 022,55</w:t>
            </w:r>
          </w:p>
        </w:tc>
        <w:tc>
          <w:tcPr>
            <w:tcW w:w="1280" w:type="dxa"/>
            <w:tcBorders>
              <w:top w:val="nil"/>
              <w:left w:val="nil"/>
              <w:bottom w:val="single" w:sz="8" w:space="0" w:color="auto"/>
              <w:right w:val="single" w:sz="8" w:space="0" w:color="auto"/>
            </w:tcBorders>
            <w:shd w:val="clear" w:color="auto" w:fill="auto"/>
            <w:noWrap/>
            <w:vAlign w:val="center"/>
            <w:hideMark/>
          </w:tcPr>
          <w:p w14:paraId="3D908353"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Ver detalle</w:t>
            </w:r>
          </w:p>
        </w:tc>
        <w:tc>
          <w:tcPr>
            <w:tcW w:w="1190" w:type="dxa"/>
            <w:tcBorders>
              <w:top w:val="nil"/>
              <w:left w:val="nil"/>
              <w:bottom w:val="single" w:sz="8" w:space="0" w:color="auto"/>
              <w:right w:val="single" w:sz="8" w:space="0" w:color="auto"/>
            </w:tcBorders>
          </w:tcPr>
          <w:p w14:paraId="6F858F96" w14:textId="77777777" w:rsidR="00CD40D5" w:rsidRPr="00CD40D5" w:rsidRDefault="00CD40D5" w:rsidP="00CD40D5">
            <w:pPr>
              <w:spacing w:after="0" w:line="240" w:lineRule="auto"/>
              <w:jc w:val="center"/>
              <w:rPr>
                <w:rFonts w:eastAsia="Times New Roman" w:cs="Times New Roman"/>
                <w:color w:val="000000"/>
                <w:sz w:val="18"/>
                <w:szCs w:val="18"/>
                <w:lang w:val="en-US"/>
              </w:rPr>
            </w:pPr>
          </w:p>
        </w:tc>
      </w:tr>
      <w:tr w:rsidR="00CD40D5" w:rsidRPr="00CD40D5" w14:paraId="0F4DCF67" w14:textId="71E26E97" w:rsidTr="0003306F">
        <w:trPr>
          <w:trHeight w:val="300"/>
        </w:trPr>
        <w:tc>
          <w:tcPr>
            <w:tcW w:w="504" w:type="dxa"/>
            <w:tcBorders>
              <w:top w:val="nil"/>
              <w:left w:val="single" w:sz="8" w:space="0" w:color="auto"/>
              <w:bottom w:val="single" w:sz="8" w:space="0" w:color="auto"/>
              <w:right w:val="single" w:sz="8" w:space="0" w:color="auto"/>
            </w:tcBorders>
            <w:shd w:val="clear" w:color="auto" w:fill="auto"/>
            <w:noWrap/>
            <w:vAlign w:val="center"/>
            <w:hideMark/>
          </w:tcPr>
          <w:p w14:paraId="75F39E23"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7</w:t>
            </w:r>
          </w:p>
        </w:tc>
        <w:tc>
          <w:tcPr>
            <w:tcW w:w="1623" w:type="dxa"/>
            <w:tcBorders>
              <w:top w:val="nil"/>
              <w:left w:val="nil"/>
              <w:bottom w:val="single" w:sz="8" w:space="0" w:color="auto"/>
              <w:right w:val="single" w:sz="8" w:space="0" w:color="auto"/>
            </w:tcBorders>
            <w:shd w:val="clear" w:color="auto" w:fill="auto"/>
            <w:noWrap/>
            <w:vAlign w:val="center"/>
            <w:hideMark/>
          </w:tcPr>
          <w:p w14:paraId="1E068E24"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Ver detalle</w:t>
            </w:r>
          </w:p>
        </w:tc>
        <w:tc>
          <w:tcPr>
            <w:tcW w:w="3260" w:type="dxa"/>
            <w:tcBorders>
              <w:top w:val="nil"/>
              <w:left w:val="nil"/>
              <w:bottom w:val="single" w:sz="8" w:space="0" w:color="auto"/>
              <w:right w:val="single" w:sz="8" w:space="0" w:color="auto"/>
            </w:tcBorders>
            <w:shd w:val="clear" w:color="auto" w:fill="auto"/>
            <w:noWrap/>
            <w:vAlign w:val="center"/>
            <w:hideMark/>
          </w:tcPr>
          <w:p w14:paraId="7C87C46E" w14:textId="77777777" w:rsidR="00CD40D5" w:rsidRPr="00CD40D5" w:rsidRDefault="00CD40D5" w:rsidP="00CD40D5">
            <w:pPr>
              <w:spacing w:after="0" w:line="240" w:lineRule="auto"/>
              <w:jc w:val="left"/>
              <w:rPr>
                <w:rFonts w:eastAsia="Times New Roman" w:cs="Times New Roman"/>
                <w:color w:val="000000"/>
                <w:sz w:val="18"/>
                <w:szCs w:val="18"/>
              </w:rPr>
            </w:pPr>
            <w:r w:rsidRPr="00CD40D5">
              <w:rPr>
                <w:rFonts w:eastAsia="Times New Roman" w:cs="Times New Roman"/>
                <w:color w:val="000000"/>
                <w:sz w:val="18"/>
                <w:szCs w:val="18"/>
              </w:rPr>
              <w:t>Equipos de seguridad, orden, vigilancia y control público</w:t>
            </w:r>
          </w:p>
        </w:tc>
        <w:tc>
          <w:tcPr>
            <w:tcW w:w="1701" w:type="dxa"/>
            <w:tcBorders>
              <w:top w:val="nil"/>
              <w:left w:val="nil"/>
              <w:bottom w:val="single" w:sz="8" w:space="0" w:color="auto"/>
              <w:right w:val="single" w:sz="8" w:space="0" w:color="auto"/>
            </w:tcBorders>
            <w:shd w:val="clear" w:color="auto" w:fill="auto"/>
            <w:noWrap/>
            <w:vAlign w:val="center"/>
            <w:hideMark/>
          </w:tcPr>
          <w:p w14:paraId="7F87A97E" w14:textId="77777777" w:rsidR="00CD40D5" w:rsidRPr="00CD40D5" w:rsidRDefault="00CD40D5" w:rsidP="00CD40D5">
            <w:pPr>
              <w:spacing w:after="0" w:line="240" w:lineRule="auto"/>
              <w:jc w:val="right"/>
              <w:rPr>
                <w:rFonts w:eastAsia="Times New Roman" w:cs="Times New Roman"/>
                <w:color w:val="000000"/>
                <w:sz w:val="18"/>
                <w:szCs w:val="18"/>
                <w:lang w:val="en-US"/>
              </w:rPr>
            </w:pPr>
            <w:r w:rsidRPr="00CD40D5">
              <w:rPr>
                <w:rFonts w:eastAsia="Times New Roman" w:cs="Times New Roman"/>
                <w:color w:val="000000"/>
                <w:sz w:val="18"/>
                <w:szCs w:val="18"/>
                <w:lang w:val="en-US"/>
              </w:rPr>
              <w:t>3 104,50</w:t>
            </w:r>
          </w:p>
        </w:tc>
        <w:tc>
          <w:tcPr>
            <w:tcW w:w="1280" w:type="dxa"/>
            <w:tcBorders>
              <w:top w:val="nil"/>
              <w:left w:val="nil"/>
              <w:bottom w:val="single" w:sz="8" w:space="0" w:color="auto"/>
              <w:right w:val="single" w:sz="8" w:space="0" w:color="auto"/>
            </w:tcBorders>
            <w:shd w:val="clear" w:color="auto" w:fill="auto"/>
            <w:noWrap/>
            <w:vAlign w:val="center"/>
            <w:hideMark/>
          </w:tcPr>
          <w:p w14:paraId="127E3898"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Ver detalle</w:t>
            </w:r>
          </w:p>
        </w:tc>
        <w:tc>
          <w:tcPr>
            <w:tcW w:w="1190" w:type="dxa"/>
            <w:tcBorders>
              <w:top w:val="nil"/>
              <w:left w:val="nil"/>
              <w:bottom w:val="single" w:sz="8" w:space="0" w:color="auto"/>
              <w:right w:val="single" w:sz="8" w:space="0" w:color="auto"/>
            </w:tcBorders>
          </w:tcPr>
          <w:p w14:paraId="16B995DD" w14:textId="77777777" w:rsidR="00CD40D5" w:rsidRPr="00CD40D5" w:rsidRDefault="00CD40D5" w:rsidP="00CD40D5">
            <w:pPr>
              <w:spacing w:after="0" w:line="240" w:lineRule="auto"/>
              <w:jc w:val="center"/>
              <w:rPr>
                <w:rFonts w:eastAsia="Times New Roman" w:cs="Times New Roman"/>
                <w:color w:val="000000"/>
                <w:sz w:val="18"/>
                <w:szCs w:val="18"/>
                <w:lang w:val="en-US"/>
              </w:rPr>
            </w:pPr>
          </w:p>
        </w:tc>
      </w:tr>
      <w:tr w:rsidR="00CD40D5" w:rsidRPr="00CD40D5" w14:paraId="0C8634D6" w14:textId="68B6EE43" w:rsidTr="0003306F">
        <w:trPr>
          <w:trHeight w:val="300"/>
        </w:trPr>
        <w:tc>
          <w:tcPr>
            <w:tcW w:w="504" w:type="dxa"/>
            <w:tcBorders>
              <w:top w:val="nil"/>
              <w:left w:val="single" w:sz="8" w:space="0" w:color="auto"/>
              <w:bottom w:val="single" w:sz="8" w:space="0" w:color="auto"/>
              <w:right w:val="single" w:sz="8" w:space="0" w:color="auto"/>
            </w:tcBorders>
            <w:shd w:val="clear" w:color="auto" w:fill="auto"/>
            <w:noWrap/>
            <w:vAlign w:val="center"/>
            <w:hideMark/>
          </w:tcPr>
          <w:p w14:paraId="371A4E07"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8</w:t>
            </w:r>
          </w:p>
        </w:tc>
        <w:tc>
          <w:tcPr>
            <w:tcW w:w="1623" w:type="dxa"/>
            <w:tcBorders>
              <w:top w:val="nil"/>
              <w:left w:val="nil"/>
              <w:bottom w:val="single" w:sz="8" w:space="0" w:color="auto"/>
              <w:right w:val="single" w:sz="8" w:space="0" w:color="auto"/>
            </w:tcBorders>
            <w:shd w:val="clear" w:color="auto" w:fill="auto"/>
            <w:noWrap/>
            <w:vAlign w:val="center"/>
            <w:hideMark/>
          </w:tcPr>
          <w:p w14:paraId="07303172"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Ver detalle</w:t>
            </w:r>
          </w:p>
        </w:tc>
        <w:tc>
          <w:tcPr>
            <w:tcW w:w="3260" w:type="dxa"/>
            <w:tcBorders>
              <w:top w:val="nil"/>
              <w:left w:val="nil"/>
              <w:bottom w:val="single" w:sz="8" w:space="0" w:color="auto"/>
              <w:right w:val="single" w:sz="8" w:space="0" w:color="auto"/>
            </w:tcBorders>
            <w:shd w:val="clear" w:color="auto" w:fill="auto"/>
            <w:noWrap/>
            <w:vAlign w:val="center"/>
            <w:hideMark/>
          </w:tcPr>
          <w:p w14:paraId="5EE5A027" w14:textId="77777777" w:rsidR="00CD40D5" w:rsidRPr="00CD40D5" w:rsidRDefault="00CD40D5" w:rsidP="00CD40D5">
            <w:pPr>
              <w:spacing w:after="0" w:line="240" w:lineRule="auto"/>
              <w:jc w:val="left"/>
              <w:rPr>
                <w:rFonts w:eastAsia="Times New Roman" w:cs="Times New Roman"/>
                <w:color w:val="000000"/>
                <w:sz w:val="18"/>
                <w:szCs w:val="18"/>
              </w:rPr>
            </w:pPr>
            <w:r w:rsidRPr="00CD40D5">
              <w:rPr>
                <w:rFonts w:eastAsia="Times New Roman" w:cs="Times New Roman"/>
                <w:color w:val="000000"/>
                <w:sz w:val="18"/>
                <w:szCs w:val="18"/>
              </w:rPr>
              <w:t>Maquinarias, equipos y mobiliarios diversos</w:t>
            </w:r>
          </w:p>
        </w:tc>
        <w:tc>
          <w:tcPr>
            <w:tcW w:w="1701" w:type="dxa"/>
            <w:tcBorders>
              <w:top w:val="nil"/>
              <w:left w:val="nil"/>
              <w:bottom w:val="single" w:sz="8" w:space="0" w:color="auto"/>
              <w:right w:val="single" w:sz="8" w:space="0" w:color="auto"/>
            </w:tcBorders>
            <w:shd w:val="clear" w:color="auto" w:fill="auto"/>
            <w:noWrap/>
            <w:vAlign w:val="center"/>
            <w:hideMark/>
          </w:tcPr>
          <w:p w14:paraId="2A3DEBC9" w14:textId="77777777" w:rsidR="00CD40D5" w:rsidRPr="00CD40D5" w:rsidRDefault="00CD40D5" w:rsidP="00CD40D5">
            <w:pPr>
              <w:spacing w:after="0" w:line="240" w:lineRule="auto"/>
              <w:jc w:val="right"/>
              <w:rPr>
                <w:rFonts w:eastAsia="Times New Roman" w:cs="Times New Roman"/>
                <w:color w:val="000000"/>
                <w:sz w:val="18"/>
                <w:szCs w:val="18"/>
                <w:lang w:val="en-US"/>
              </w:rPr>
            </w:pPr>
            <w:r w:rsidRPr="00CD40D5">
              <w:rPr>
                <w:rFonts w:eastAsia="Times New Roman" w:cs="Times New Roman"/>
                <w:color w:val="000000"/>
                <w:sz w:val="18"/>
                <w:szCs w:val="18"/>
                <w:lang w:val="en-US"/>
              </w:rPr>
              <w:t>18 054,92</w:t>
            </w:r>
          </w:p>
        </w:tc>
        <w:tc>
          <w:tcPr>
            <w:tcW w:w="1280" w:type="dxa"/>
            <w:tcBorders>
              <w:top w:val="nil"/>
              <w:left w:val="nil"/>
              <w:bottom w:val="single" w:sz="8" w:space="0" w:color="auto"/>
              <w:right w:val="single" w:sz="8" w:space="0" w:color="auto"/>
            </w:tcBorders>
            <w:shd w:val="clear" w:color="auto" w:fill="auto"/>
            <w:noWrap/>
            <w:vAlign w:val="center"/>
            <w:hideMark/>
          </w:tcPr>
          <w:p w14:paraId="248B3BEA"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Ver detalle</w:t>
            </w:r>
          </w:p>
        </w:tc>
        <w:tc>
          <w:tcPr>
            <w:tcW w:w="1190" w:type="dxa"/>
            <w:tcBorders>
              <w:top w:val="nil"/>
              <w:left w:val="nil"/>
              <w:bottom w:val="single" w:sz="8" w:space="0" w:color="auto"/>
              <w:right w:val="single" w:sz="8" w:space="0" w:color="auto"/>
            </w:tcBorders>
          </w:tcPr>
          <w:p w14:paraId="4CDF7C45" w14:textId="77777777" w:rsidR="00CD40D5" w:rsidRPr="00CD40D5" w:rsidRDefault="00CD40D5" w:rsidP="00CD40D5">
            <w:pPr>
              <w:spacing w:after="0" w:line="240" w:lineRule="auto"/>
              <w:jc w:val="center"/>
              <w:rPr>
                <w:rFonts w:eastAsia="Times New Roman" w:cs="Times New Roman"/>
                <w:color w:val="000000"/>
                <w:sz w:val="18"/>
                <w:szCs w:val="18"/>
                <w:lang w:val="en-US"/>
              </w:rPr>
            </w:pPr>
          </w:p>
        </w:tc>
      </w:tr>
      <w:tr w:rsidR="00CD40D5" w:rsidRPr="00CD40D5" w14:paraId="25A45223" w14:textId="34AF4D8A" w:rsidTr="0003306F">
        <w:trPr>
          <w:trHeight w:val="300"/>
        </w:trPr>
        <w:tc>
          <w:tcPr>
            <w:tcW w:w="504" w:type="dxa"/>
            <w:tcBorders>
              <w:top w:val="nil"/>
              <w:left w:val="single" w:sz="8" w:space="0" w:color="auto"/>
              <w:bottom w:val="single" w:sz="8" w:space="0" w:color="auto"/>
              <w:right w:val="single" w:sz="8" w:space="0" w:color="auto"/>
            </w:tcBorders>
            <w:shd w:val="clear" w:color="auto" w:fill="auto"/>
            <w:noWrap/>
            <w:vAlign w:val="center"/>
            <w:hideMark/>
          </w:tcPr>
          <w:p w14:paraId="13A5AB65"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9</w:t>
            </w:r>
          </w:p>
        </w:tc>
        <w:tc>
          <w:tcPr>
            <w:tcW w:w="1623" w:type="dxa"/>
            <w:tcBorders>
              <w:top w:val="nil"/>
              <w:left w:val="nil"/>
              <w:bottom w:val="single" w:sz="8" w:space="0" w:color="auto"/>
              <w:right w:val="single" w:sz="8" w:space="0" w:color="auto"/>
            </w:tcBorders>
            <w:shd w:val="clear" w:color="auto" w:fill="auto"/>
            <w:noWrap/>
            <w:vAlign w:val="center"/>
            <w:hideMark/>
          </w:tcPr>
          <w:p w14:paraId="55ACF744"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Ver detalle</w:t>
            </w:r>
          </w:p>
        </w:tc>
        <w:tc>
          <w:tcPr>
            <w:tcW w:w="3260" w:type="dxa"/>
            <w:tcBorders>
              <w:top w:val="nil"/>
              <w:left w:val="nil"/>
              <w:bottom w:val="single" w:sz="8" w:space="0" w:color="auto"/>
              <w:right w:val="single" w:sz="8" w:space="0" w:color="auto"/>
            </w:tcBorders>
            <w:shd w:val="clear" w:color="auto" w:fill="auto"/>
            <w:noWrap/>
            <w:vAlign w:val="center"/>
            <w:hideMark/>
          </w:tcPr>
          <w:p w14:paraId="6796C0AB" w14:textId="77777777" w:rsidR="00CD40D5" w:rsidRPr="00CD40D5" w:rsidRDefault="00CD40D5" w:rsidP="00CD40D5">
            <w:pPr>
              <w:spacing w:after="0" w:line="240" w:lineRule="auto"/>
              <w:jc w:val="left"/>
              <w:rPr>
                <w:rFonts w:eastAsia="Times New Roman" w:cs="Times New Roman"/>
                <w:color w:val="000000"/>
                <w:sz w:val="18"/>
                <w:szCs w:val="18"/>
              </w:rPr>
            </w:pPr>
            <w:r w:rsidRPr="00CD40D5">
              <w:rPr>
                <w:rFonts w:eastAsia="Times New Roman" w:cs="Times New Roman"/>
                <w:color w:val="000000"/>
                <w:sz w:val="18"/>
                <w:szCs w:val="18"/>
              </w:rPr>
              <w:t>Equipos y mobiliario educacional, deportivo y recreativo</w:t>
            </w:r>
          </w:p>
        </w:tc>
        <w:tc>
          <w:tcPr>
            <w:tcW w:w="1701" w:type="dxa"/>
            <w:tcBorders>
              <w:top w:val="nil"/>
              <w:left w:val="nil"/>
              <w:bottom w:val="single" w:sz="8" w:space="0" w:color="auto"/>
              <w:right w:val="single" w:sz="8" w:space="0" w:color="auto"/>
            </w:tcBorders>
            <w:shd w:val="clear" w:color="auto" w:fill="auto"/>
            <w:noWrap/>
            <w:vAlign w:val="center"/>
            <w:hideMark/>
          </w:tcPr>
          <w:p w14:paraId="1D6A5F94" w14:textId="77777777" w:rsidR="00CD40D5" w:rsidRPr="00CD40D5" w:rsidRDefault="00CD40D5" w:rsidP="00CD40D5">
            <w:pPr>
              <w:spacing w:after="0" w:line="240" w:lineRule="auto"/>
              <w:jc w:val="right"/>
              <w:rPr>
                <w:rFonts w:eastAsia="Times New Roman" w:cs="Times New Roman"/>
                <w:color w:val="000000"/>
                <w:sz w:val="18"/>
                <w:szCs w:val="18"/>
                <w:lang w:val="en-US"/>
              </w:rPr>
            </w:pPr>
            <w:r w:rsidRPr="00CD40D5">
              <w:rPr>
                <w:rFonts w:eastAsia="Times New Roman" w:cs="Times New Roman"/>
                <w:color w:val="000000"/>
                <w:sz w:val="18"/>
                <w:szCs w:val="18"/>
                <w:lang w:val="en-US"/>
              </w:rPr>
              <w:t>0,00</w:t>
            </w:r>
          </w:p>
        </w:tc>
        <w:tc>
          <w:tcPr>
            <w:tcW w:w="1280" w:type="dxa"/>
            <w:tcBorders>
              <w:top w:val="nil"/>
              <w:left w:val="nil"/>
              <w:bottom w:val="single" w:sz="8" w:space="0" w:color="auto"/>
              <w:right w:val="single" w:sz="8" w:space="0" w:color="auto"/>
            </w:tcBorders>
            <w:shd w:val="clear" w:color="auto" w:fill="auto"/>
            <w:noWrap/>
            <w:vAlign w:val="center"/>
            <w:hideMark/>
          </w:tcPr>
          <w:p w14:paraId="14E1631F"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Ver detalle</w:t>
            </w:r>
          </w:p>
        </w:tc>
        <w:tc>
          <w:tcPr>
            <w:tcW w:w="1190" w:type="dxa"/>
            <w:tcBorders>
              <w:top w:val="nil"/>
              <w:left w:val="nil"/>
              <w:bottom w:val="single" w:sz="8" w:space="0" w:color="auto"/>
              <w:right w:val="single" w:sz="8" w:space="0" w:color="auto"/>
            </w:tcBorders>
          </w:tcPr>
          <w:p w14:paraId="443E853E" w14:textId="77777777" w:rsidR="00CD40D5" w:rsidRPr="00CD40D5" w:rsidRDefault="00CD40D5" w:rsidP="00CD40D5">
            <w:pPr>
              <w:spacing w:after="0" w:line="240" w:lineRule="auto"/>
              <w:jc w:val="center"/>
              <w:rPr>
                <w:rFonts w:eastAsia="Times New Roman" w:cs="Times New Roman"/>
                <w:color w:val="000000"/>
                <w:sz w:val="18"/>
                <w:szCs w:val="18"/>
                <w:lang w:val="en-US"/>
              </w:rPr>
            </w:pPr>
          </w:p>
        </w:tc>
      </w:tr>
      <w:tr w:rsidR="00CD40D5" w:rsidRPr="00CD40D5" w14:paraId="45744684" w14:textId="2D8A7AC2" w:rsidTr="0003306F">
        <w:trPr>
          <w:trHeight w:val="300"/>
        </w:trPr>
        <w:tc>
          <w:tcPr>
            <w:tcW w:w="504" w:type="dxa"/>
            <w:tcBorders>
              <w:top w:val="nil"/>
              <w:left w:val="single" w:sz="8" w:space="0" w:color="auto"/>
              <w:bottom w:val="single" w:sz="8" w:space="0" w:color="auto"/>
              <w:right w:val="single" w:sz="8" w:space="0" w:color="auto"/>
            </w:tcBorders>
            <w:shd w:val="clear" w:color="auto" w:fill="auto"/>
            <w:noWrap/>
            <w:vAlign w:val="center"/>
            <w:hideMark/>
          </w:tcPr>
          <w:p w14:paraId="2BEFD332"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10</w:t>
            </w:r>
          </w:p>
        </w:tc>
        <w:tc>
          <w:tcPr>
            <w:tcW w:w="1623" w:type="dxa"/>
            <w:tcBorders>
              <w:top w:val="nil"/>
              <w:left w:val="nil"/>
              <w:bottom w:val="single" w:sz="8" w:space="0" w:color="auto"/>
              <w:right w:val="single" w:sz="8" w:space="0" w:color="auto"/>
            </w:tcBorders>
            <w:shd w:val="clear" w:color="auto" w:fill="auto"/>
            <w:noWrap/>
            <w:vAlign w:val="center"/>
            <w:hideMark/>
          </w:tcPr>
          <w:p w14:paraId="2A85EDC5"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Ver detalle</w:t>
            </w:r>
          </w:p>
        </w:tc>
        <w:tc>
          <w:tcPr>
            <w:tcW w:w="3260" w:type="dxa"/>
            <w:tcBorders>
              <w:top w:val="nil"/>
              <w:left w:val="nil"/>
              <w:bottom w:val="single" w:sz="8" w:space="0" w:color="auto"/>
              <w:right w:val="single" w:sz="8" w:space="0" w:color="auto"/>
            </w:tcBorders>
            <w:shd w:val="clear" w:color="auto" w:fill="auto"/>
            <w:vAlign w:val="center"/>
            <w:hideMark/>
          </w:tcPr>
          <w:p w14:paraId="6EFF78C7" w14:textId="77777777" w:rsidR="00CD40D5" w:rsidRPr="00CD40D5" w:rsidRDefault="00CD40D5" w:rsidP="00CD40D5">
            <w:pPr>
              <w:spacing w:after="0" w:line="240" w:lineRule="auto"/>
              <w:jc w:val="left"/>
              <w:rPr>
                <w:rFonts w:eastAsia="Times New Roman" w:cs="Times New Roman"/>
                <w:color w:val="000000"/>
                <w:sz w:val="18"/>
                <w:szCs w:val="18"/>
              </w:rPr>
            </w:pPr>
            <w:r w:rsidRPr="00CD40D5">
              <w:rPr>
                <w:rFonts w:eastAsia="Times New Roman" w:cs="Times New Roman"/>
                <w:color w:val="000000"/>
                <w:sz w:val="18"/>
                <w:szCs w:val="18"/>
              </w:rPr>
              <w:t>Bienes de infraestructura y de beneficio y uso público en servicio</w:t>
            </w:r>
          </w:p>
        </w:tc>
        <w:tc>
          <w:tcPr>
            <w:tcW w:w="1701" w:type="dxa"/>
            <w:tcBorders>
              <w:top w:val="nil"/>
              <w:left w:val="nil"/>
              <w:bottom w:val="single" w:sz="8" w:space="0" w:color="auto"/>
              <w:right w:val="single" w:sz="8" w:space="0" w:color="auto"/>
            </w:tcBorders>
            <w:shd w:val="clear" w:color="auto" w:fill="auto"/>
            <w:noWrap/>
            <w:vAlign w:val="center"/>
            <w:hideMark/>
          </w:tcPr>
          <w:p w14:paraId="59C95ECE" w14:textId="77777777" w:rsidR="00CD40D5" w:rsidRPr="00CD40D5" w:rsidRDefault="00CD40D5" w:rsidP="00CD40D5">
            <w:pPr>
              <w:spacing w:after="0" w:line="240" w:lineRule="auto"/>
              <w:jc w:val="right"/>
              <w:rPr>
                <w:rFonts w:eastAsia="Times New Roman" w:cs="Times New Roman"/>
                <w:color w:val="000000"/>
                <w:sz w:val="18"/>
                <w:szCs w:val="18"/>
                <w:lang w:val="en-US"/>
              </w:rPr>
            </w:pPr>
            <w:r w:rsidRPr="00CD40D5">
              <w:rPr>
                <w:rFonts w:eastAsia="Times New Roman" w:cs="Times New Roman"/>
                <w:color w:val="000000"/>
                <w:sz w:val="18"/>
                <w:szCs w:val="18"/>
                <w:lang w:val="en-US"/>
              </w:rPr>
              <w:t>160 765 498,08</w:t>
            </w:r>
          </w:p>
        </w:tc>
        <w:tc>
          <w:tcPr>
            <w:tcW w:w="1280" w:type="dxa"/>
            <w:tcBorders>
              <w:top w:val="nil"/>
              <w:left w:val="nil"/>
              <w:bottom w:val="single" w:sz="8" w:space="0" w:color="auto"/>
              <w:right w:val="single" w:sz="8" w:space="0" w:color="auto"/>
            </w:tcBorders>
            <w:shd w:val="clear" w:color="auto" w:fill="auto"/>
            <w:noWrap/>
            <w:vAlign w:val="center"/>
            <w:hideMark/>
          </w:tcPr>
          <w:p w14:paraId="1D46F010"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Ver detalle</w:t>
            </w:r>
          </w:p>
        </w:tc>
        <w:tc>
          <w:tcPr>
            <w:tcW w:w="1190" w:type="dxa"/>
            <w:tcBorders>
              <w:top w:val="nil"/>
              <w:left w:val="nil"/>
              <w:bottom w:val="single" w:sz="8" w:space="0" w:color="auto"/>
              <w:right w:val="single" w:sz="8" w:space="0" w:color="auto"/>
            </w:tcBorders>
          </w:tcPr>
          <w:p w14:paraId="34943926" w14:textId="77777777" w:rsidR="00CD40D5" w:rsidRPr="00CD40D5" w:rsidRDefault="00CD40D5" w:rsidP="00CD40D5">
            <w:pPr>
              <w:spacing w:after="0" w:line="240" w:lineRule="auto"/>
              <w:jc w:val="center"/>
              <w:rPr>
                <w:rFonts w:eastAsia="Times New Roman" w:cs="Times New Roman"/>
                <w:color w:val="000000"/>
                <w:sz w:val="18"/>
                <w:szCs w:val="18"/>
                <w:lang w:val="en-US"/>
              </w:rPr>
            </w:pPr>
          </w:p>
        </w:tc>
      </w:tr>
      <w:tr w:rsidR="00CD40D5" w:rsidRPr="00CD40D5" w14:paraId="31324A80" w14:textId="35612406" w:rsidTr="0003306F">
        <w:trPr>
          <w:trHeight w:val="230"/>
        </w:trPr>
        <w:tc>
          <w:tcPr>
            <w:tcW w:w="5387" w:type="dxa"/>
            <w:gridSpan w:val="3"/>
            <w:tcBorders>
              <w:top w:val="nil"/>
              <w:left w:val="single" w:sz="8" w:space="0" w:color="auto"/>
              <w:bottom w:val="single" w:sz="8" w:space="0" w:color="auto"/>
              <w:right w:val="single" w:sz="8" w:space="0" w:color="auto"/>
            </w:tcBorders>
            <w:shd w:val="clear" w:color="auto" w:fill="1F3864" w:themeFill="accent1" w:themeFillShade="80"/>
            <w:noWrap/>
            <w:vAlign w:val="center"/>
            <w:hideMark/>
          </w:tcPr>
          <w:p w14:paraId="70AAE28A" w14:textId="60236AAC" w:rsidR="00CD40D5" w:rsidRPr="00CD40D5" w:rsidRDefault="00CD40D5" w:rsidP="00CD40D5">
            <w:pPr>
              <w:spacing w:after="0" w:line="240" w:lineRule="auto"/>
              <w:jc w:val="center"/>
              <w:rPr>
                <w:rFonts w:eastAsia="Times New Roman" w:cs="Times New Roman"/>
                <w:color w:val="FFFFFF" w:themeColor="background1"/>
                <w:sz w:val="22"/>
                <w:lang w:val="en-US"/>
              </w:rPr>
            </w:pPr>
            <w:r w:rsidRPr="00CD40D5">
              <w:rPr>
                <w:rFonts w:eastAsia="Times New Roman" w:cs="Times New Roman"/>
                <w:color w:val="FFFFFF" w:themeColor="background1"/>
                <w:sz w:val="22"/>
                <w:lang w:val="en-US"/>
              </w:rPr>
              <w:t xml:space="preserve"> </w:t>
            </w:r>
            <w:r>
              <w:rPr>
                <w:rFonts w:eastAsia="Times New Roman" w:cs="Times New Roman"/>
                <w:color w:val="FFFFFF" w:themeColor="background1"/>
                <w:sz w:val="22"/>
                <w:lang w:val="en-US"/>
              </w:rPr>
              <w:t>G</w:t>
            </w:r>
            <w:r w:rsidRPr="00CD40D5">
              <w:rPr>
                <w:rFonts w:eastAsia="Times New Roman" w:cs="Times New Roman"/>
                <w:color w:val="FFFFFF" w:themeColor="background1"/>
                <w:sz w:val="22"/>
                <w:lang w:val="en-US"/>
              </w:rPr>
              <w:t xml:space="preserve">RAN TOTAL </w:t>
            </w:r>
          </w:p>
        </w:tc>
        <w:tc>
          <w:tcPr>
            <w:tcW w:w="1701" w:type="dxa"/>
            <w:tcBorders>
              <w:top w:val="nil"/>
              <w:left w:val="nil"/>
              <w:bottom w:val="single" w:sz="8" w:space="0" w:color="auto"/>
              <w:right w:val="single" w:sz="8" w:space="0" w:color="auto"/>
            </w:tcBorders>
            <w:shd w:val="clear" w:color="auto" w:fill="auto"/>
            <w:noWrap/>
            <w:vAlign w:val="bottom"/>
            <w:hideMark/>
          </w:tcPr>
          <w:p w14:paraId="66C1C975" w14:textId="04AA1C95" w:rsidR="00CD40D5" w:rsidRPr="00CD40D5" w:rsidRDefault="00CD40D5" w:rsidP="00CD40D5">
            <w:pPr>
              <w:spacing w:after="0" w:line="240" w:lineRule="auto"/>
              <w:jc w:val="right"/>
              <w:rPr>
                <w:rFonts w:eastAsia="Times New Roman" w:cs="Times New Roman"/>
                <w:b/>
                <w:bCs/>
                <w:color w:val="000000"/>
                <w:sz w:val="18"/>
                <w:szCs w:val="18"/>
                <w:lang w:val="en-US"/>
              </w:rPr>
            </w:pPr>
            <w:r w:rsidRPr="00C3199A">
              <w:rPr>
                <w:rFonts w:ascii="Arial" w:hAnsi="Arial" w:cs="Arial"/>
              </w:rPr>
              <w:t>₡</w:t>
            </w:r>
            <w:r w:rsidRPr="00CD40D5">
              <w:rPr>
                <w:rFonts w:eastAsia="Times New Roman" w:cs="Times New Roman"/>
                <w:b/>
                <w:bCs/>
                <w:color w:val="000000"/>
                <w:sz w:val="18"/>
                <w:szCs w:val="18"/>
                <w:lang w:val="en-US"/>
              </w:rPr>
              <w:t>164 861 823,69</w:t>
            </w:r>
          </w:p>
        </w:tc>
        <w:tc>
          <w:tcPr>
            <w:tcW w:w="1280" w:type="dxa"/>
            <w:tcBorders>
              <w:top w:val="nil"/>
              <w:left w:val="nil"/>
              <w:bottom w:val="single" w:sz="8" w:space="0" w:color="auto"/>
              <w:right w:val="single" w:sz="8" w:space="0" w:color="auto"/>
            </w:tcBorders>
            <w:shd w:val="clear" w:color="auto" w:fill="1F3864" w:themeFill="accent1" w:themeFillShade="80"/>
            <w:noWrap/>
            <w:vAlign w:val="bottom"/>
            <w:hideMark/>
          </w:tcPr>
          <w:p w14:paraId="335A7B20" w14:textId="77777777" w:rsidR="00CD40D5" w:rsidRPr="00CD40D5" w:rsidRDefault="00CD40D5" w:rsidP="00CD40D5">
            <w:pPr>
              <w:spacing w:after="0" w:line="240" w:lineRule="auto"/>
              <w:jc w:val="left"/>
              <w:rPr>
                <w:rFonts w:eastAsia="Times New Roman" w:cs="Times New Roman"/>
                <w:b/>
                <w:bCs/>
                <w:color w:val="000000"/>
                <w:sz w:val="18"/>
                <w:szCs w:val="18"/>
                <w:lang w:val="en-US"/>
              </w:rPr>
            </w:pPr>
            <w:r w:rsidRPr="00CD40D5">
              <w:rPr>
                <w:rFonts w:eastAsia="Times New Roman" w:cs="Times New Roman"/>
                <w:b/>
                <w:bCs/>
                <w:color w:val="000000"/>
                <w:sz w:val="18"/>
                <w:szCs w:val="18"/>
                <w:lang w:val="en-US"/>
              </w:rPr>
              <w:t xml:space="preserve"> </w:t>
            </w:r>
          </w:p>
        </w:tc>
        <w:tc>
          <w:tcPr>
            <w:tcW w:w="1190" w:type="dxa"/>
            <w:tcBorders>
              <w:top w:val="nil"/>
              <w:left w:val="nil"/>
              <w:bottom w:val="single" w:sz="8" w:space="0" w:color="auto"/>
              <w:right w:val="single" w:sz="8" w:space="0" w:color="auto"/>
            </w:tcBorders>
            <w:shd w:val="clear" w:color="auto" w:fill="1F3864" w:themeFill="accent1" w:themeFillShade="80"/>
          </w:tcPr>
          <w:p w14:paraId="6AAFBD03" w14:textId="77777777" w:rsidR="00CD40D5" w:rsidRPr="00CD40D5" w:rsidRDefault="00CD40D5" w:rsidP="00CD40D5">
            <w:pPr>
              <w:spacing w:after="0" w:line="240" w:lineRule="auto"/>
              <w:jc w:val="left"/>
              <w:rPr>
                <w:rFonts w:eastAsia="Times New Roman" w:cs="Times New Roman"/>
                <w:b/>
                <w:bCs/>
                <w:color w:val="000000"/>
                <w:sz w:val="18"/>
                <w:szCs w:val="18"/>
                <w:lang w:val="en-US"/>
              </w:rPr>
            </w:pPr>
          </w:p>
        </w:tc>
      </w:tr>
    </w:tbl>
    <w:p w14:paraId="744B8B54" w14:textId="77777777" w:rsidR="0077456B" w:rsidRPr="0077456B" w:rsidRDefault="0077456B" w:rsidP="0077456B">
      <w:pPr>
        <w:rPr>
          <w:lang w:val="es-ES" w:eastAsia="es-CR"/>
        </w:rPr>
      </w:pPr>
    </w:p>
    <w:tbl>
      <w:tblPr>
        <w:tblW w:w="9498" w:type="dxa"/>
        <w:tblLook w:val="04A0" w:firstRow="1" w:lastRow="0" w:firstColumn="1" w:lastColumn="0" w:noHBand="0" w:noVBand="1"/>
      </w:tblPr>
      <w:tblGrid>
        <w:gridCol w:w="504"/>
        <w:gridCol w:w="1623"/>
        <w:gridCol w:w="3118"/>
        <w:gridCol w:w="1559"/>
        <w:gridCol w:w="1418"/>
        <w:gridCol w:w="1276"/>
      </w:tblGrid>
      <w:tr w:rsidR="00CD40D5" w:rsidRPr="00CD40D5" w14:paraId="0FF80E2D" w14:textId="77777777" w:rsidTr="0003306F">
        <w:trPr>
          <w:trHeight w:val="470"/>
        </w:trPr>
        <w:tc>
          <w:tcPr>
            <w:tcW w:w="504" w:type="dxa"/>
            <w:tcBorders>
              <w:top w:val="nil"/>
              <w:left w:val="nil"/>
              <w:bottom w:val="nil"/>
              <w:right w:val="nil"/>
            </w:tcBorders>
            <w:shd w:val="clear" w:color="auto" w:fill="auto"/>
            <w:noWrap/>
            <w:vAlign w:val="bottom"/>
            <w:hideMark/>
          </w:tcPr>
          <w:p w14:paraId="46A21442" w14:textId="77777777" w:rsidR="00CD40D5" w:rsidRPr="00CD40D5" w:rsidRDefault="00CD40D5" w:rsidP="004653E2">
            <w:pPr>
              <w:spacing w:after="0" w:line="240" w:lineRule="auto"/>
              <w:jc w:val="left"/>
              <w:rPr>
                <w:rFonts w:ascii="Times New Roman" w:eastAsia="Times New Roman" w:hAnsi="Times New Roman" w:cs="Times New Roman"/>
                <w:sz w:val="20"/>
                <w:szCs w:val="24"/>
                <w:lang w:val="en-US"/>
              </w:rPr>
            </w:pPr>
          </w:p>
        </w:tc>
        <w:tc>
          <w:tcPr>
            <w:tcW w:w="1623"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52EFFE11" w14:textId="5D518082" w:rsidR="00CD40D5" w:rsidRPr="00CD40D5" w:rsidRDefault="00CD40D5" w:rsidP="004653E2">
            <w:pPr>
              <w:spacing w:after="0" w:line="240" w:lineRule="auto"/>
              <w:jc w:val="center"/>
              <w:rPr>
                <w:rFonts w:eastAsia="Times New Roman" w:cs="Times New Roman"/>
                <w:color w:val="FFFFFF"/>
                <w:sz w:val="18"/>
                <w:szCs w:val="18"/>
                <w:lang w:val="en-US"/>
              </w:rPr>
            </w:pPr>
            <w:r>
              <w:rPr>
                <w:rFonts w:eastAsia="Times New Roman" w:cs="Times New Roman"/>
                <w:color w:val="FFFFFF"/>
                <w:sz w:val="18"/>
                <w:szCs w:val="18"/>
                <w:lang w:val="en-US"/>
              </w:rPr>
              <w:t>Ajustes de Depreciación</w:t>
            </w:r>
          </w:p>
        </w:tc>
        <w:tc>
          <w:tcPr>
            <w:tcW w:w="3118" w:type="dxa"/>
            <w:tcBorders>
              <w:top w:val="nil"/>
              <w:left w:val="nil"/>
              <w:bottom w:val="nil"/>
              <w:right w:val="nil"/>
            </w:tcBorders>
            <w:shd w:val="clear" w:color="auto" w:fill="auto"/>
            <w:noWrap/>
            <w:vAlign w:val="bottom"/>
            <w:hideMark/>
          </w:tcPr>
          <w:p w14:paraId="5BF2C710" w14:textId="77777777" w:rsidR="00CD40D5" w:rsidRPr="00CD40D5" w:rsidRDefault="00CD40D5" w:rsidP="004653E2">
            <w:pPr>
              <w:spacing w:after="0" w:line="240" w:lineRule="auto"/>
              <w:jc w:val="center"/>
              <w:rPr>
                <w:rFonts w:eastAsia="Times New Roman" w:cs="Times New Roman"/>
                <w:color w:val="FFFFFF"/>
                <w:sz w:val="18"/>
                <w:szCs w:val="18"/>
                <w:lang w:val="en-US"/>
              </w:rPr>
            </w:pPr>
          </w:p>
        </w:tc>
        <w:tc>
          <w:tcPr>
            <w:tcW w:w="1559" w:type="dxa"/>
            <w:tcBorders>
              <w:top w:val="nil"/>
              <w:left w:val="nil"/>
              <w:bottom w:val="nil"/>
              <w:right w:val="nil"/>
            </w:tcBorders>
            <w:shd w:val="clear" w:color="auto" w:fill="auto"/>
            <w:noWrap/>
            <w:vAlign w:val="bottom"/>
            <w:hideMark/>
          </w:tcPr>
          <w:p w14:paraId="0BCB9871" w14:textId="77777777" w:rsidR="00CD40D5" w:rsidRPr="00CD40D5" w:rsidRDefault="00CD40D5" w:rsidP="004653E2">
            <w:pPr>
              <w:spacing w:after="0" w:line="240" w:lineRule="auto"/>
              <w:jc w:val="left"/>
              <w:rPr>
                <w:rFonts w:ascii="Times New Roman" w:eastAsia="Times New Roman" w:hAnsi="Times New Roman" w:cs="Times New Roman"/>
                <w:sz w:val="20"/>
                <w:szCs w:val="20"/>
                <w:lang w:val="en-US"/>
              </w:rPr>
            </w:pPr>
          </w:p>
        </w:tc>
        <w:tc>
          <w:tcPr>
            <w:tcW w:w="1418" w:type="dxa"/>
            <w:tcBorders>
              <w:top w:val="nil"/>
              <w:left w:val="nil"/>
              <w:bottom w:val="nil"/>
              <w:right w:val="nil"/>
            </w:tcBorders>
            <w:shd w:val="clear" w:color="auto" w:fill="auto"/>
            <w:noWrap/>
            <w:vAlign w:val="bottom"/>
            <w:hideMark/>
          </w:tcPr>
          <w:p w14:paraId="1CA3E28C" w14:textId="77777777" w:rsidR="00CD40D5" w:rsidRPr="00CD40D5" w:rsidRDefault="00CD40D5" w:rsidP="004653E2">
            <w:pPr>
              <w:spacing w:after="0" w:line="240" w:lineRule="auto"/>
              <w:jc w:val="left"/>
              <w:rPr>
                <w:rFonts w:ascii="Times New Roman" w:eastAsia="Times New Roman" w:hAnsi="Times New Roman" w:cs="Times New Roman"/>
                <w:sz w:val="20"/>
                <w:szCs w:val="20"/>
                <w:lang w:val="en-US"/>
              </w:rPr>
            </w:pPr>
          </w:p>
        </w:tc>
        <w:tc>
          <w:tcPr>
            <w:tcW w:w="1276" w:type="dxa"/>
            <w:tcBorders>
              <w:top w:val="nil"/>
              <w:left w:val="nil"/>
              <w:bottom w:val="nil"/>
              <w:right w:val="nil"/>
            </w:tcBorders>
          </w:tcPr>
          <w:p w14:paraId="5636D0E0" w14:textId="77777777" w:rsidR="00CD40D5" w:rsidRPr="00CD40D5" w:rsidRDefault="00CD40D5" w:rsidP="004653E2">
            <w:pPr>
              <w:spacing w:after="0" w:line="240" w:lineRule="auto"/>
              <w:jc w:val="left"/>
              <w:rPr>
                <w:rFonts w:ascii="Times New Roman" w:eastAsia="Times New Roman" w:hAnsi="Times New Roman" w:cs="Times New Roman"/>
                <w:sz w:val="20"/>
                <w:szCs w:val="20"/>
                <w:lang w:val="en-US"/>
              </w:rPr>
            </w:pPr>
          </w:p>
        </w:tc>
      </w:tr>
      <w:tr w:rsidR="00CD40D5" w:rsidRPr="00CD40D5" w14:paraId="4C17F7AA" w14:textId="77777777" w:rsidTr="0003306F">
        <w:trPr>
          <w:trHeight w:val="470"/>
        </w:trPr>
        <w:tc>
          <w:tcPr>
            <w:tcW w:w="504" w:type="dxa"/>
            <w:tcBorders>
              <w:top w:val="single" w:sz="8" w:space="0" w:color="auto"/>
              <w:left w:val="nil"/>
              <w:bottom w:val="nil"/>
              <w:right w:val="single" w:sz="8" w:space="0" w:color="auto"/>
            </w:tcBorders>
            <w:shd w:val="clear" w:color="000000" w:fill="17365D"/>
            <w:vAlign w:val="center"/>
            <w:hideMark/>
          </w:tcPr>
          <w:p w14:paraId="3A447DEF" w14:textId="77777777" w:rsidR="00CD40D5" w:rsidRPr="00CD40D5" w:rsidRDefault="00CD40D5" w:rsidP="004653E2">
            <w:pPr>
              <w:spacing w:after="0" w:line="240" w:lineRule="auto"/>
              <w:jc w:val="center"/>
              <w:rPr>
                <w:rFonts w:eastAsia="Times New Roman" w:cs="Times New Roman"/>
                <w:color w:val="FFFFFF"/>
                <w:sz w:val="18"/>
                <w:szCs w:val="18"/>
                <w:lang w:val="en-US"/>
              </w:rPr>
            </w:pPr>
            <w:r w:rsidRPr="00CD40D5">
              <w:rPr>
                <w:rFonts w:eastAsia="Times New Roman" w:cs="Times New Roman"/>
                <w:color w:val="FFFFFF"/>
                <w:sz w:val="18"/>
                <w:szCs w:val="18"/>
                <w:lang w:val="en-US"/>
              </w:rPr>
              <w:t>Item</w:t>
            </w:r>
          </w:p>
        </w:tc>
        <w:tc>
          <w:tcPr>
            <w:tcW w:w="1623" w:type="dxa"/>
            <w:tcBorders>
              <w:top w:val="nil"/>
              <w:left w:val="nil"/>
              <w:bottom w:val="single" w:sz="8" w:space="0" w:color="auto"/>
              <w:right w:val="single" w:sz="8" w:space="0" w:color="auto"/>
            </w:tcBorders>
            <w:shd w:val="clear" w:color="000000" w:fill="1F3864"/>
            <w:vAlign w:val="center"/>
            <w:hideMark/>
          </w:tcPr>
          <w:p w14:paraId="70A00C64" w14:textId="77777777" w:rsidR="00CD40D5" w:rsidRPr="00CD40D5" w:rsidRDefault="00CD40D5" w:rsidP="004653E2">
            <w:pPr>
              <w:spacing w:after="0" w:line="240" w:lineRule="auto"/>
              <w:jc w:val="center"/>
              <w:rPr>
                <w:rFonts w:eastAsia="Times New Roman" w:cs="Times New Roman"/>
                <w:color w:val="FFFFFF"/>
                <w:sz w:val="18"/>
                <w:szCs w:val="18"/>
                <w:lang w:val="en-US"/>
              </w:rPr>
            </w:pPr>
            <w:r w:rsidRPr="00CD40D5">
              <w:rPr>
                <w:rFonts w:eastAsia="Times New Roman" w:cs="Times New Roman"/>
                <w:color w:val="FFFFFF"/>
                <w:sz w:val="18"/>
                <w:szCs w:val="18"/>
                <w:lang w:val="en-US"/>
              </w:rPr>
              <w:t>Fecha</w:t>
            </w:r>
          </w:p>
        </w:tc>
        <w:tc>
          <w:tcPr>
            <w:tcW w:w="3118" w:type="dxa"/>
            <w:tcBorders>
              <w:top w:val="single" w:sz="8" w:space="0" w:color="auto"/>
              <w:left w:val="nil"/>
              <w:bottom w:val="single" w:sz="8" w:space="0" w:color="auto"/>
              <w:right w:val="single" w:sz="8" w:space="0" w:color="auto"/>
            </w:tcBorders>
            <w:shd w:val="clear" w:color="000000" w:fill="1F3864"/>
            <w:vAlign w:val="center"/>
            <w:hideMark/>
          </w:tcPr>
          <w:p w14:paraId="47085EF9" w14:textId="77777777" w:rsidR="00CD40D5" w:rsidRPr="00CD40D5" w:rsidRDefault="00CD40D5" w:rsidP="004653E2">
            <w:pPr>
              <w:spacing w:after="0" w:line="240" w:lineRule="auto"/>
              <w:jc w:val="center"/>
              <w:rPr>
                <w:rFonts w:eastAsia="Times New Roman" w:cs="Times New Roman"/>
                <w:color w:val="FFFFFF"/>
                <w:sz w:val="18"/>
                <w:szCs w:val="18"/>
                <w:lang w:val="en-US"/>
              </w:rPr>
            </w:pPr>
            <w:r w:rsidRPr="00CD40D5">
              <w:rPr>
                <w:rFonts w:eastAsia="Times New Roman" w:cs="Times New Roman"/>
                <w:color w:val="FFFFFF"/>
                <w:sz w:val="18"/>
                <w:szCs w:val="18"/>
                <w:lang w:val="en-US"/>
              </w:rPr>
              <w:t>Tipo de Activo</w:t>
            </w:r>
          </w:p>
        </w:tc>
        <w:tc>
          <w:tcPr>
            <w:tcW w:w="1559" w:type="dxa"/>
            <w:tcBorders>
              <w:top w:val="nil"/>
              <w:left w:val="nil"/>
              <w:bottom w:val="nil"/>
              <w:right w:val="single" w:sz="8" w:space="0" w:color="auto"/>
            </w:tcBorders>
            <w:shd w:val="clear" w:color="000000" w:fill="1F3864"/>
            <w:vAlign w:val="center"/>
            <w:hideMark/>
          </w:tcPr>
          <w:p w14:paraId="27306008" w14:textId="77777777" w:rsidR="00CD40D5" w:rsidRPr="00CD40D5" w:rsidRDefault="00CD40D5" w:rsidP="00CD40D5">
            <w:pPr>
              <w:spacing w:after="0" w:line="240" w:lineRule="auto"/>
              <w:ind w:left="-246" w:right="-103"/>
              <w:jc w:val="center"/>
              <w:rPr>
                <w:rFonts w:eastAsia="Times New Roman" w:cs="Times New Roman"/>
                <w:color w:val="FFFFFF"/>
                <w:sz w:val="18"/>
                <w:szCs w:val="18"/>
                <w:lang w:val="en-US"/>
              </w:rPr>
            </w:pPr>
            <w:r w:rsidRPr="00CD40D5">
              <w:rPr>
                <w:rFonts w:eastAsia="Times New Roman" w:cs="Times New Roman"/>
                <w:color w:val="FFFFFF"/>
                <w:sz w:val="18"/>
                <w:szCs w:val="18"/>
                <w:lang w:val="en-US"/>
              </w:rPr>
              <w:t>Monto del Resultado</w:t>
            </w:r>
          </w:p>
        </w:tc>
        <w:tc>
          <w:tcPr>
            <w:tcW w:w="1418" w:type="dxa"/>
            <w:tcBorders>
              <w:top w:val="nil"/>
              <w:left w:val="nil"/>
              <w:bottom w:val="nil"/>
              <w:right w:val="single" w:sz="8" w:space="0" w:color="auto"/>
            </w:tcBorders>
            <w:shd w:val="clear" w:color="000000" w:fill="1F3864"/>
            <w:vAlign w:val="center"/>
            <w:hideMark/>
          </w:tcPr>
          <w:p w14:paraId="05E0EA20" w14:textId="53DB6CE5" w:rsidR="00CD40D5" w:rsidRPr="00CD40D5" w:rsidRDefault="00CD40D5" w:rsidP="004653E2">
            <w:pPr>
              <w:spacing w:after="0" w:line="240" w:lineRule="auto"/>
              <w:jc w:val="center"/>
              <w:rPr>
                <w:rFonts w:eastAsia="Times New Roman" w:cs="Times New Roman"/>
                <w:color w:val="FFFFFF"/>
                <w:sz w:val="18"/>
                <w:szCs w:val="18"/>
                <w:lang w:val="en-US"/>
              </w:rPr>
            </w:pPr>
            <w:r w:rsidRPr="00CD40D5">
              <w:rPr>
                <w:rFonts w:eastAsia="Times New Roman" w:cs="Times New Roman"/>
                <w:color w:val="FFFFFF"/>
                <w:sz w:val="18"/>
                <w:szCs w:val="18"/>
                <w:lang w:val="en-US"/>
              </w:rPr>
              <w:t>Mes de</w:t>
            </w:r>
            <w:r>
              <w:rPr>
                <w:rFonts w:eastAsia="Times New Roman" w:cs="Times New Roman"/>
                <w:color w:val="FFFFFF"/>
                <w:sz w:val="18"/>
                <w:szCs w:val="18"/>
                <w:lang w:val="en-US"/>
              </w:rPr>
              <w:t xml:space="preserve"> ajuste Depreciación</w:t>
            </w:r>
          </w:p>
        </w:tc>
        <w:tc>
          <w:tcPr>
            <w:tcW w:w="1276" w:type="dxa"/>
            <w:tcBorders>
              <w:top w:val="nil"/>
              <w:left w:val="nil"/>
              <w:bottom w:val="nil"/>
              <w:right w:val="single" w:sz="8" w:space="0" w:color="auto"/>
            </w:tcBorders>
            <w:shd w:val="clear" w:color="000000" w:fill="1F3864"/>
          </w:tcPr>
          <w:p w14:paraId="20829196" w14:textId="77777777" w:rsidR="00CD40D5" w:rsidRPr="00CD40D5" w:rsidRDefault="00CD40D5" w:rsidP="004653E2">
            <w:pPr>
              <w:spacing w:after="0" w:line="240" w:lineRule="auto"/>
              <w:jc w:val="center"/>
              <w:rPr>
                <w:rFonts w:eastAsia="Times New Roman" w:cs="Times New Roman"/>
                <w:color w:val="FFFFFF"/>
                <w:sz w:val="18"/>
                <w:szCs w:val="18"/>
                <w:lang w:val="en-US"/>
              </w:rPr>
            </w:pPr>
            <w:r>
              <w:rPr>
                <w:rFonts w:eastAsia="Times New Roman" w:cs="Times New Roman"/>
                <w:color w:val="FFFFFF"/>
                <w:sz w:val="18"/>
                <w:szCs w:val="18"/>
                <w:lang w:val="en-US"/>
              </w:rPr>
              <w:t>Observaciones</w:t>
            </w:r>
          </w:p>
        </w:tc>
      </w:tr>
      <w:tr w:rsidR="00CD40D5" w:rsidRPr="00CD40D5" w14:paraId="5178353B" w14:textId="77777777" w:rsidTr="0003306F">
        <w:trPr>
          <w:trHeight w:val="300"/>
        </w:trPr>
        <w:tc>
          <w:tcPr>
            <w:tcW w:w="504" w:type="dxa"/>
            <w:tcBorders>
              <w:top w:val="nil"/>
              <w:left w:val="single" w:sz="8" w:space="0" w:color="auto"/>
              <w:bottom w:val="single" w:sz="8" w:space="0" w:color="auto"/>
              <w:right w:val="single" w:sz="8" w:space="0" w:color="auto"/>
            </w:tcBorders>
            <w:shd w:val="clear" w:color="auto" w:fill="auto"/>
            <w:noWrap/>
            <w:vAlign w:val="center"/>
            <w:hideMark/>
          </w:tcPr>
          <w:p w14:paraId="4E851C3C"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1</w:t>
            </w:r>
          </w:p>
        </w:tc>
        <w:tc>
          <w:tcPr>
            <w:tcW w:w="1623" w:type="dxa"/>
            <w:tcBorders>
              <w:top w:val="nil"/>
              <w:left w:val="nil"/>
              <w:bottom w:val="single" w:sz="8" w:space="0" w:color="auto"/>
              <w:right w:val="single" w:sz="8" w:space="0" w:color="auto"/>
            </w:tcBorders>
            <w:shd w:val="clear" w:color="auto" w:fill="auto"/>
            <w:noWrap/>
            <w:vAlign w:val="center"/>
            <w:hideMark/>
          </w:tcPr>
          <w:p w14:paraId="6398FDB7"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Ver detalle</w:t>
            </w:r>
          </w:p>
        </w:tc>
        <w:tc>
          <w:tcPr>
            <w:tcW w:w="3118" w:type="dxa"/>
            <w:tcBorders>
              <w:top w:val="nil"/>
              <w:left w:val="nil"/>
              <w:bottom w:val="single" w:sz="8" w:space="0" w:color="auto"/>
              <w:right w:val="single" w:sz="8" w:space="0" w:color="auto"/>
            </w:tcBorders>
            <w:shd w:val="clear" w:color="auto" w:fill="auto"/>
            <w:noWrap/>
            <w:vAlign w:val="center"/>
            <w:hideMark/>
          </w:tcPr>
          <w:p w14:paraId="7F4A401A" w14:textId="77777777" w:rsidR="00CD40D5" w:rsidRPr="00CD40D5" w:rsidRDefault="00CD40D5" w:rsidP="00CD40D5">
            <w:pPr>
              <w:spacing w:after="0" w:line="240" w:lineRule="auto"/>
              <w:jc w:val="left"/>
              <w:rPr>
                <w:rFonts w:eastAsia="Times New Roman" w:cs="Times New Roman"/>
                <w:color w:val="000000"/>
                <w:sz w:val="18"/>
                <w:szCs w:val="18"/>
                <w:lang w:val="en-US"/>
              </w:rPr>
            </w:pPr>
            <w:r w:rsidRPr="00CD40D5">
              <w:rPr>
                <w:rFonts w:eastAsia="Times New Roman" w:cs="Times New Roman"/>
                <w:color w:val="000000"/>
                <w:sz w:val="18"/>
                <w:szCs w:val="18"/>
                <w:lang w:val="en-US"/>
              </w:rPr>
              <w:t>Edificios y Terrenos</w:t>
            </w:r>
          </w:p>
        </w:tc>
        <w:tc>
          <w:tcPr>
            <w:tcW w:w="1559" w:type="dxa"/>
            <w:tcBorders>
              <w:top w:val="nil"/>
              <w:left w:val="nil"/>
              <w:bottom w:val="single" w:sz="8" w:space="0" w:color="auto"/>
              <w:right w:val="single" w:sz="8" w:space="0" w:color="auto"/>
            </w:tcBorders>
            <w:shd w:val="clear" w:color="auto" w:fill="auto"/>
            <w:noWrap/>
            <w:vAlign w:val="center"/>
            <w:hideMark/>
          </w:tcPr>
          <w:p w14:paraId="5E8A117E" w14:textId="4D3ABD75" w:rsidR="00CD40D5" w:rsidRPr="00CD40D5" w:rsidRDefault="00CD40D5" w:rsidP="00CD40D5">
            <w:pPr>
              <w:spacing w:after="0" w:line="240" w:lineRule="auto"/>
              <w:jc w:val="right"/>
              <w:rPr>
                <w:rFonts w:eastAsia="Times New Roman" w:cs="Times New Roman"/>
                <w:color w:val="000000"/>
                <w:sz w:val="18"/>
                <w:szCs w:val="18"/>
                <w:lang w:val="en-US"/>
              </w:rPr>
            </w:pPr>
            <w:r w:rsidRPr="00C3199A">
              <w:rPr>
                <w:rFonts w:ascii="Arial" w:hAnsi="Arial" w:cs="Arial"/>
              </w:rPr>
              <w:t>₡</w:t>
            </w:r>
            <w:r>
              <w:rPr>
                <w:color w:val="000000"/>
                <w:sz w:val="18"/>
                <w:szCs w:val="18"/>
              </w:rPr>
              <w:t>44 762,49</w:t>
            </w:r>
          </w:p>
        </w:tc>
        <w:tc>
          <w:tcPr>
            <w:tcW w:w="1418" w:type="dxa"/>
            <w:tcBorders>
              <w:top w:val="nil"/>
              <w:left w:val="nil"/>
              <w:bottom w:val="single" w:sz="8" w:space="0" w:color="auto"/>
              <w:right w:val="single" w:sz="8" w:space="0" w:color="auto"/>
            </w:tcBorders>
            <w:shd w:val="clear" w:color="auto" w:fill="auto"/>
            <w:noWrap/>
            <w:vAlign w:val="center"/>
            <w:hideMark/>
          </w:tcPr>
          <w:p w14:paraId="71CDE5EA"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Ver detalle</w:t>
            </w:r>
          </w:p>
        </w:tc>
        <w:tc>
          <w:tcPr>
            <w:tcW w:w="1276" w:type="dxa"/>
            <w:tcBorders>
              <w:top w:val="nil"/>
              <w:left w:val="nil"/>
              <w:bottom w:val="single" w:sz="8" w:space="0" w:color="auto"/>
              <w:right w:val="single" w:sz="8" w:space="0" w:color="auto"/>
            </w:tcBorders>
          </w:tcPr>
          <w:p w14:paraId="02FA255E" w14:textId="77777777" w:rsidR="00CD40D5" w:rsidRPr="00CD40D5" w:rsidRDefault="00CD40D5" w:rsidP="00CD40D5">
            <w:pPr>
              <w:spacing w:after="0" w:line="240" w:lineRule="auto"/>
              <w:jc w:val="center"/>
              <w:rPr>
                <w:rFonts w:eastAsia="Times New Roman" w:cs="Times New Roman"/>
                <w:color w:val="000000"/>
                <w:sz w:val="18"/>
                <w:szCs w:val="18"/>
                <w:lang w:val="en-US"/>
              </w:rPr>
            </w:pPr>
          </w:p>
        </w:tc>
      </w:tr>
      <w:tr w:rsidR="00CD40D5" w:rsidRPr="00CD40D5" w14:paraId="491DF658" w14:textId="77777777" w:rsidTr="0003306F">
        <w:trPr>
          <w:trHeight w:val="300"/>
        </w:trPr>
        <w:tc>
          <w:tcPr>
            <w:tcW w:w="504" w:type="dxa"/>
            <w:tcBorders>
              <w:top w:val="nil"/>
              <w:left w:val="single" w:sz="8" w:space="0" w:color="auto"/>
              <w:bottom w:val="single" w:sz="8" w:space="0" w:color="auto"/>
              <w:right w:val="single" w:sz="8" w:space="0" w:color="auto"/>
            </w:tcBorders>
            <w:shd w:val="clear" w:color="auto" w:fill="auto"/>
            <w:noWrap/>
            <w:vAlign w:val="center"/>
            <w:hideMark/>
          </w:tcPr>
          <w:p w14:paraId="0B9EE71D"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2</w:t>
            </w:r>
          </w:p>
        </w:tc>
        <w:tc>
          <w:tcPr>
            <w:tcW w:w="1623" w:type="dxa"/>
            <w:tcBorders>
              <w:top w:val="nil"/>
              <w:left w:val="nil"/>
              <w:bottom w:val="single" w:sz="8" w:space="0" w:color="auto"/>
              <w:right w:val="single" w:sz="8" w:space="0" w:color="auto"/>
            </w:tcBorders>
            <w:shd w:val="clear" w:color="auto" w:fill="auto"/>
            <w:noWrap/>
            <w:vAlign w:val="center"/>
            <w:hideMark/>
          </w:tcPr>
          <w:p w14:paraId="6A15035F"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Ver detalle</w:t>
            </w:r>
          </w:p>
        </w:tc>
        <w:tc>
          <w:tcPr>
            <w:tcW w:w="3118" w:type="dxa"/>
            <w:tcBorders>
              <w:top w:val="nil"/>
              <w:left w:val="nil"/>
              <w:bottom w:val="single" w:sz="8" w:space="0" w:color="auto"/>
              <w:right w:val="single" w:sz="8" w:space="0" w:color="auto"/>
            </w:tcBorders>
            <w:shd w:val="clear" w:color="auto" w:fill="auto"/>
            <w:noWrap/>
            <w:vAlign w:val="center"/>
            <w:hideMark/>
          </w:tcPr>
          <w:p w14:paraId="432F4A6C" w14:textId="77777777" w:rsidR="00CD40D5" w:rsidRPr="00CD40D5" w:rsidRDefault="00CD40D5" w:rsidP="00CD40D5">
            <w:pPr>
              <w:spacing w:after="0" w:line="240" w:lineRule="auto"/>
              <w:jc w:val="left"/>
              <w:rPr>
                <w:rFonts w:eastAsia="Times New Roman" w:cs="Times New Roman"/>
                <w:color w:val="000000"/>
                <w:sz w:val="18"/>
                <w:szCs w:val="18"/>
              </w:rPr>
            </w:pPr>
            <w:r w:rsidRPr="00CD40D5">
              <w:rPr>
                <w:rFonts w:eastAsia="Times New Roman" w:cs="Times New Roman"/>
                <w:color w:val="000000"/>
                <w:sz w:val="18"/>
                <w:szCs w:val="18"/>
              </w:rPr>
              <w:t>Maquinaria y equipos para la  producción</w:t>
            </w:r>
          </w:p>
        </w:tc>
        <w:tc>
          <w:tcPr>
            <w:tcW w:w="1559" w:type="dxa"/>
            <w:tcBorders>
              <w:top w:val="nil"/>
              <w:left w:val="nil"/>
              <w:bottom w:val="single" w:sz="8" w:space="0" w:color="auto"/>
              <w:right w:val="single" w:sz="8" w:space="0" w:color="auto"/>
            </w:tcBorders>
            <w:shd w:val="clear" w:color="auto" w:fill="auto"/>
            <w:noWrap/>
            <w:vAlign w:val="center"/>
            <w:hideMark/>
          </w:tcPr>
          <w:p w14:paraId="0846F531" w14:textId="02C4AE8A" w:rsidR="00CD40D5" w:rsidRPr="00CD40D5" w:rsidRDefault="00CD40D5" w:rsidP="00CD40D5">
            <w:pPr>
              <w:spacing w:after="0" w:line="240" w:lineRule="auto"/>
              <w:jc w:val="right"/>
              <w:rPr>
                <w:rFonts w:eastAsia="Times New Roman" w:cs="Times New Roman"/>
                <w:color w:val="000000"/>
                <w:sz w:val="18"/>
                <w:szCs w:val="18"/>
                <w:lang w:val="en-US"/>
              </w:rPr>
            </w:pPr>
            <w:r>
              <w:rPr>
                <w:color w:val="000000"/>
                <w:sz w:val="18"/>
                <w:szCs w:val="18"/>
              </w:rPr>
              <w:t>1 395 577,52</w:t>
            </w:r>
          </w:p>
        </w:tc>
        <w:tc>
          <w:tcPr>
            <w:tcW w:w="1418" w:type="dxa"/>
            <w:tcBorders>
              <w:top w:val="nil"/>
              <w:left w:val="nil"/>
              <w:bottom w:val="single" w:sz="8" w:space="0" w:color="auto"/>
              <w:right w:val="single" w:sz="8" w:space="0" w:color="auto"/>
            </w:tcBorders>
            <w:shd w:val="clear" w:color="auto" w:fill="auto"/>
            <w:noWrap/>
            <w:vAlign w:val="center"/>
            <w:hideMark/>
          </w:tcPr>
          <w:p w14:paraId="2539181E"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Ver detalle</w:t>
            </w:r>
          </w:p>
        </w:tc>
        <w:tc>
          <w:tcPr>
            <w:tcW w:w="1276" w:type="dxa"/>
            <w:tcBorders>
              <w:top w:val="nil"/>
              <w:left w:val="nil"/>
              <w:bottom w:val="single" w:sz="8" w:space="0" w:color="auto"/>
              <w:right w:val="single" w:sz="8" w:space="0" w:color="auto"/>
            </w:tcBorders>
          </w:tcPr>
          <w:p w14:paraId="1A5EFD09" w14:textId="77777777" w:rsidR="00CD40D5" w:rsidRPr="00CD40D5" w:rsidRDefault="00CD40D5" w:rsidP="00CD40D5">
            <w:pPr>
              <w:spacing w:after="0" w:line="240" w:lineRule="auto"/>
              <w:jc w:val="center"/>
              <w:rPr>
                <w:rFonts w:eastAsia="Times New Roman" w:cs="Times New Roman"/>
                <w:color w:val="000000"/>
                <w:sz w:val="18"/>
                <w:szCs w:val="18"/>
                <w:lang w:val="en-US"/>
              </w:rPr>
            </w:pPr>
          </w:p>
        </w:tc>
      </w:tr>
      <w:tr w:rsidR="00CD40D5" w:rsidRPr="00CD40D5" w14:paraId="6738AE75" w14:textId="77777777" w:rsidTr="0003306F">
        <w:trPr>
          <w:trHeight w:val="300"/>
        </w:trPr>
        <w:tc>
          <w:tcPr>
            <w:tcW w:w="504" w:type="dxa"/>
            <w:tcBorders>
              <w:top w:val="nil"/>
              <w:left w:val="single" w:sz="8" w:space="0" w:color="auto"/>
              <w:bottom w:val="single" w:sz="8" w:space="0" w:color="auto"/>
              <w:right w:val="single" w:sz="8" w:space="0" w:color="auto"/>
            </w:tcBorders>
            <w:shd w:val="clear" w:color="auto" w:fill="auto"/>
            <w:noWrap/>
            <w:vAlign w:val="center"/>
            <w:hideMark/>
          </w:tcPr>
          <w:p w14:paraId="1D807107"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3</w:t>
            </w:r>
          </w:p>
        </w:tc>
        <w:tc>
          <w:tcPr>
            <w:tcW w:w="1623" w:type="dxa"/>
            <w:tcBorders>
              <w:top w:val="nil"/>
              <w:left w:val="nil"/>
              <w:bottom w:val="single" w:sz="8" w:space="0" w:color="auto"/>
              <w:right w:val="single" w:sz="8" w:space="0" w:color="auto"/>
            </w:tcBorders>
            <w:shd w:val="clear" w:color="auto" w:fill="auto"/>
            <w:noWrap/>
            <w:vAlign w:val="center"/>
            <w:hideMark/>
          </w:tcPr>
          <w:p w14:paraId="637CD1F6"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Ver detalle</w:t>
            </w:r>
          </w:p>
        </w:tc>
        <w:tc>
          <w:tcPr>
            <w:tcW w:w="3118" w:type="dxa"/>
            <w:tcBorders>
              <w:top w:val="nil"/>
              <w:left w:val="nil"/>
              <w:bottom w:val="single" w:sz="8" w:space="0" w:color="auto"/>
              <w:right w:val="single" w:sz="8" w:space="0" w:color="auto"/>
            </w:tcBorders>
            <w:shd w:val="clear" w:color="auto" w:fill="auto"/>
            <w:noWrap/>
            <w:vAlign w:val="center"/>
            <w:hideMark/>
          </w:tcPr>
          <w:p w14:paraId="468FC1F4" w14:textId="77777777" w:rsidR="00CD40D5" w:rsidRPr="00CD40D5" w:rsidRDefault="00CD40D5" w:rsidP="00CD40D5">
            <w:pPr>
              <w:spacing w:after="0" w:line="240" w:lineRule="auto"/>
              <w:jc w:val="left"/>
              <w:rPr>
                <w:rFonts w:eastAsia="Times New Roman" w:cs="Times New Roman"/>
                <w:color w:val="000000"/>
                <w:sz w:val="18"/>
                <w:szCs w:val="18"/>
              </w:rPr>
            </w:pPr>
            <w:r w:rsidRPr="00CD40D5">
              <w:rPr>
                <w:rFonts w:eastAsia="Times New Roman" w:cs="Times New Roman"/>
                <w:color w:val="000000"/>
                <w:sz w:val="18"/>
                <w:szCs w:val="18"/>
              </w:rPr>
              <w:t>Equipos de transporte, tracción y elevación</w:t>
            </w:r>
          </w:p>
        </w:tc>
        <w:tc>
          <w:tcPr>
            <w:tcW w:w="1559" w:type="dxa"/>
            <w:tcBorders>
              <w:top w:val="nil"/>
              <w:left w:val="nil"/>
              <w:bottom w:val="single" w:sz="8" w:space="0" w:color="auto"/>
              <w:right w:val="single" w:sz="8" w:space="0" w:color="auto"/>
            </w:tcBorders>
            <w:shd w:val="clear" w:color="auto" w:fill="auto"/>
            <w:noWrap/>
            <w:vAlign w:val="center"/>
            <w:hideMark/>
          </w:tcPr>
          <w:p w14:paraId="14108396" w14:textId="1AFDAAD6" w:rsidR="00CD40D5" w:rsidRPr="00CD40D5" w:rsidRDefault="00CD40D5" w:rsidP="00CD40D5">
            <w:pPr>
              <w:spacing w:after="0" w:line="240" w:lineRule="auto"/>
              <w:jc w:val="right"/>
              <w:rPr>
                <w:rFonts w:eastAsia="Times New Roman" w:cs="Times New Roman"/>
                <w:color w:val="000000"/>
                <w:sz w:val="18"/>
                <w:szCs w:val="18"/>
                <w:lang w:val="en-US"/>
              </w:rPr>
            </w:pPr>
            <w:r>
              <w:rPr>
                <w:color w:val="000000"/>
                <w:sz w:val="18"/>
                <w:szCs w:val="18"/>
              </w:rPr>
              <w:t>168 080,37</w:t>
            </w:r>
          </w:p>
        </w:tc>
        <w:tc>
          <w:tcPr>
            <w:tcW w:w="1418" w:type="dxa"/>
            <w:tcBorders>
              <w:top w:val="nil"/>
              <w:left w:val="nil"/>
              <w:bottom w:val="single" w:sz="8" w:space="0" w:color="auto"/>
              <w:right w:val="single" w:sz="8" w:space="0" w:color="auto"/>
            </w:tcBorders>
            <w:shd w:val="clear" w:color="auto" w:fill="auto"/>
            <w:noWrap/>
            <w:vAlign w:val="center"/>
            <w:hideMark/>
          </w:tcPr>
          <w:p w14:paraId="5894D214"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Ver detalle</w:t>
            </w:r>
          </w:p>
        </w:tc>
        <w:tc>
          <w:tcPr>
            <w:tcW w:w="1276" w:type="dxa"/>
            <w:tcBorders>
              <w:top w:val="nil"/>
              <w:left w:val="nil"/>
              <w:bottom w:val="single" w:sz="8" w:space="0" w:color="auto"/>
              <w:right w:val="single" w:sz="8" w:space="0" w:color="auto"/>
            </w:tcBorders>
          </w:tcPr>
          <w:p w14:paraId="604C3922" w14:textId="77777777" w:rsidR="00CD40D5" w:rsidRPr="00CD40D5" w:rsidRDefault="00CD40D5" w:rsidP="00CD40D5">
            <w:pPr>
              <w:spacing w:after="0" w:line="240" w:lineRule="auto"/>
              <w:jc w:val="center"/>
              <w:rPr>
                <w:rFonts w:eastAsia="Times New Roman" w:cs="Times New Roman"/>
                <w:color w:val="000000"/>
                <w:sz w:val="18"/>
                <w:szCs w:val="18"/>
                <w:lang w:val="en-US"/>
              </w:rPr>
            </w:pPr>
          </w:p>
        </w:tc>
      </w:tr>
      <w:tr w:rsidR="00CD40D5" w:rsidRPr="00CD40D5" w14:paraId="2F9E88F8" w14:textId="77777777" w:rsidTr="0003306F">
        <w:trPr>
          <w:trHeight w:val="300"/>
        </w:trPr>
        <w:tc>
          <w:tcPr>
            <w:tcW w:w="504" w:type="dxa"/>
            <w:tcBorders>
              <w:top w:val="nil"/>
              <w:left w:val="single" w:sz="8" w:space="0" w:color="auto"/>
              <w:bottom w:val="single" w:sz="8" w:space="0" w:color="auto"/>
              <w:right w:val="single" w:sz="8" w:space="0" w:color="auto"/>
            </w:tcBorders>
            <w:shd w:val="clear" w:color="auto" w:fill="auto"/>
            <w:noWrap/>
            <w:vAlign w:val="center"/>
            <w:hideMark/>
          </w:tcPr>
          <w:p w14:paraId="0489A7EF"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4</w:t>
            </w:r>
          </w:p>
        </w:tc>
        <w:tc>
          <w:tcPr>
            <w:tcW w:w="1623" w:type="dxa"/>
            <w:tcBorders>
              <w:top w:val="nil"/>
              <w:left w:val="nil"/>
              <w:bottom w:val="single" w:sz="8" w:space="0" w:color="auto"/>
              <w:right w:val="single" w:sz="8" w:space="0" w:color="auto"/>
            </w:tcBorders>
            <w:shd w:val="clear" w:color="auto" w:fill="auto"/>
            <w:noWrap/>
            <w:vAlign w:val="center"/>
            <w:hideMark/>
          </w:tcPr>
          <w:p w14:paraId="2FFC1EBE"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Ver detalle</w:t>
            </w:r>
          </w:p>
        </w:tc>
        <w:tc>
          <w:tcPr>
            <w:tcW w:w="3118" w:type="dxa"/>
            <w:tcBorders>
              <w:top w:val="nil"/>
              <w:left w:val="nil"/>
              <w:bottom w:val="single" w:sz="8" w:space="0" w:color="auto"/>
              <w:right w:val="single" w:sz="8" w:space="0" w:color="auto"/>
            </w:tcBorders>
            <w:shd w:val="clear" w:color="auto" w:fill="auto"/>
            <w:noWrap/>
            <w:vAlign w:val="center"/>
            <w:hideMark/>
          </w:tcPr>
          <w:p w14:paraId="76342B39" w14:textId="77777777" w:rsidR="00CD40D5" w:rsidRPr="00CD40D5" w:rsidRDefault="00CD40D5" w:rsidP="00CD40D5">
            <w:pPr>
              <w:spacing w:after="0" w:line="240" w:lineRule="auto"/>
              <w:jc w:val="left"/>
              <w:rPr>
                <w:rFonts w:eastAsia="Times New Roman" w:cs="Times New Roman"/>
                <w:color w:val="000000"/>
                <w:sz w:val="18"/>
                <w:szCs w:val="18"/>
                <w:lang w:val="en-US"/>
              </w:rPr>
            </w:pPr>
            <w:r w:rsidRPr="00CD40D5">
              <w:rPr>
                <w:rFonts w:eastAsia="Times New Roman" w:cs="Times New Roman"/>
                <w:color w:val="000000"/>
                <w:sz w:val="18"/>
                <w:szCs w:val="18"/>
                <w:lang w:val="en-US"/>
              </w:rPr>
              <w:t>Equipos de comunicación</w:t>
            </w:r>
          </w:p>
        </w:tc>
        <w:tc>
          <w:tcPr>
            <w:tcW w:w="1559" w:type="dxa"/>
            <w:tcBorders>
              <w:top w:val="nil"/>
              <w:left w:val="nil"/>
              <w:bottom w:val="single" w:sz="8" w:space="0" w:color="auto"/>
              <w:right w:val="single" w:sz="8" w:space="0" w:color="auto"/>
            </w:tcBorders>
            <w:shd w:val="clear" w:color="auto" w:fill="auto"/>
            <w:noWrap/>
            <w:vAlign w:val="center"/>
            <w:hideMark/>
          </w:tcPr>
          <w:p w14:paraId="4A6B1F7E" w14:textId="6DB91BB6" w:rsidR="00CD40D5" w:rsidRPr="00CD40D5" w:rsidRDefault="00CD40D5" w:rsidP="00CD40D5">
            <w:pPr>
              <w:spacing w:after="0" w:line="240" w:lineRule="auto"/>
              <w:jc w:val="right"/>
              <w:rPr>
                <w:rFonts w:eastAsia="Times New Roman" w:cs="Times New Roman"/>
                <w:color w:val="000000"/>
                <w:sz w:val="18"/>
                <w:szCs w:val="18"/>
                <w:lang w:val="en-US"/>
              </w:rPr>
            </w:pPr>
            <w:r>
              <w:rPr>
                <w:color w:val="000000"/>
                <w:sz w:val="18"/>
                <w:szCs w:val="18"/>
              </w:rPr>
              <w:t>15 013,16</w:t>
            </w:r>
          </w:p>
        </w:tc>
        <w:tc>
          <w:tcPr>
            <w:tcW w:w="1418" w:type="dxa"/>
            <w:tcBorders>
              <w:top w:val="nil"/>
              <w:left w:val="nil"/>
              <w:bottom w:val="single" w:sz="8" w:space="0" w:color="auto"/>
              <w:right w:val="single" w:sz="8" w:space="0" w:color="auto"/>
            </w:tcBorders>
            <w:shd w:val="clear" w:color="auto" w:fill="auto"/>
            <w:noWrap/>
            <w:vAlign w:val="center"/>
            <w:hideMark/>
          </w:tcPr>
          <w:p w14:paraId="0AA4134C"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Ver detalle</w:t>
            </w:r>
          </w:p>
        </w:tc>
        <w:tc>
          <w:tcPr>
            <w:tcW w:w="1276" w:type="dxa"/>
            <w:tcBorders>
              <w:top w:val="nil"/>
              <w:left w:val="nil"/>
              <w:bottom w:val="single" w:sz="8" w:space="0" w:color="auto"/>
              <w:right w:val="single" w:sz="8" w:space="0" w:color="auto"/>
            </w:tcBorders>
          </w:tcPr>
          <w:p w14:paraId="5384FB03" w14:textId="77777777" w:rsidR="00CD40D5" w:rsidRPr="00CD40D5" w:rsidRDefault="00CD40D5" w:rsidP="00CD40D5">
            <w:pPr>
              <w:spacing w:after="0" w:line="240" w:lineRule="auto"/>
              <w:jc w:val="center"/>
              <w:rPr>
                <w:rFonts w:eastAsia="Times New Roman" w:cs="Times New Roman"/>
                <w:color w:val="000000"/>
                <w:sz w:val="18"/>
                <w:szCs w:val="18"/>
                <w:lang w:val="en-US"/>
              </w:rPr>
            </w:pPr>
          </w:p>
        </w:tc>
      </w:tr>
      <w:tr w:rsidR="00CD40D5" w:rsidRPr="00CD40D5" w14:paraId="4A7729EB" w14:textId="77777777" w:rsidTr="0003306F">
        <w:trPr>
          <w:trHeight w:val="300"/>
        </w:trPr>
        <w:tc>
          <w:tcPr>
            <w:tcW w:w="504" w:type="dxa"/>
            <w:tcBorders>
              <w:top w:val="nil"/>
              <w:left w:val="single" w:sz="8" w:space="0" w:color="auto"/>
              <w:bottom w:val="single" w:sz="8" w:space="0" w:color="auto"/>
              <w:right w:val="single" w:sz="8" w:space="0" w:color="auto"/>
            </w:tcBorders>
            <w:shd w:val="clear" w:color="auto" w:fill="auto"/>
            <w:noWrap/>
            <w:vAlign w:val="center"/>
            <w:hideMark/>
          </w:tcPr>
          <w:p w14:paraId="6FF954A1"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5</w:t>
            </w:r>
          </w:p>
        </w:tc>
        <w:tc>
          <w:tcPr>
            <w:tcW w:w="1623" w:type="dxa"/>
            <w:tcBorders>
              <w:top w:val="nil"/>
              <w:left w:val="nil"/>
              <w:bottom w:val="single" w:sz="8" w:space="0" w:color="auto"/>
              <w:right w:val="single" w:sz="8" w:space="0" w:color="auto"/>
            </w:tcBorders>
            <w:shd w:val="clear" w:color="auto" w:fill="auto"/>
            <w:noWrap/>
            <w:vAlign w:val="center"/>
            <w:hideMark/>
          </w:tcPr>
          <w:p w14:paraId="4B3089B7"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Ver detalle</w:t>
            </w:r>
          </w:p>
        </w:tc>
        <w:tc>
          <w:tcPr>
            <w:tcW w:w="3118" w:type="dxa"/>
            <w:tcBorders>
              <w:top w:val="nil"/>
              <w:left w:val="nil"/>
              <w:bottom w:val="single" w:sz="8" w:space="0" w:color="auto"/>
              <w:right w:val="single" w:sz="8" w:space="0" w:color="auto"/>
            </w:tcBorders>
            <w:shd w:val="clear" w:color="auto" w:fill="auto"/>
            <w:noWrap/>
            <w:vAlign w:val="center"/>
            <w:hideMark/>
          </w:tcPr>
          <w:p w14:paraId="20201A9B" w14:textId="77777777" w:rsidR="00CD40D5" w:rsidRPr="00CD40D5" w:rsidRDefault="00CD40D5" w:rsidP="00CD40D5">
            <w:pPr>
              <w:spacing w:after="0" w:line="240" w:lineRule="auto"/>
              <w:jc w:val="left"/>
              <w:rPr>
                <w:rFonts w:eastAsia="Times New Roman" w:cs="Times New Roman"/>
                <w:color w:val="000000"/>
                <w:sz w:val="18"/>
                <w:szCs w:val="18"/>
              </w:rPr>
            </w:pPr>
            <w:r w:rsidRPr="00CD40D5">
              <w:rPr>
                <w:rFonts w:eastAsia="Times New Roman" w:cs="Times New Roman"/>
                <w:color w:val="000000"/>
                <w:sz w:val="18"/>
                <w:szCs w:val="18"/>
              </w:rPr>
              <w:t>Equipos y mobiliario de oficina</w:t>
            </w:r>
          </w:p>
        </w:tc>
        <w:tc>
          <w:tcPr>
            <w:tcW w:w="1559" w:type="dxa"/>
            <w:tcBorders>
              <w:top w:val="nil"/>
              <w:left w:val="nil"/>
              <w:bottom w:val="single" w:sz="8" w:space="0" w:color="auto"/>
              <w:right w:val="single" w:sz="8" w:space="0" w:color="auto"/>
            </w:tcBorders>
            <w:shd w:val="clear" w:color="auto" w:fill="auto"/>
            <w:noWrap/>
            <w:vAlign w:val="center"/>
            <w:hideMark/>
          </w:tcPr>
          <w:p w14:paraId="0AA98015" w14:textId="64FF7828" w:rsidR="00CD40D5" w:rsidRPr="00CD40D5" w:rsidRDefault="00CD40D5" w:rsidP="00CD40D5">
            <w:pPr>
              <w:spacing w:after="0" w:line="240" w:lineRule="auto"/>
              <w:jc w:val="right"/>
              <w:rPr>
                <w:rFonts w:eastAsia="Times New Roman" w:cs="Times New Roman"/>
                <w:color w:val="000000"/>
                <w:sz w:val="18"/>
                <w:szCs w:val="18"/>
                <w:lang w:val="en-US"/>
              </w:rPr>
            </w:pPr>
            <w:r>
              <w:rPr>
                <w:color w:val="000000"/>
                <w:sz w:val="18"/>
                <w:szCs w:val="18"/>
              </w:rPr>
              <w:t>40 771,21</w:t>
            </w:r>
          </w:p>
        </w:tc>
        <w:tc>
          <w:tcPr>
            <w:tcW w:w="1418" w:type="dxa"/>
            <w:tcBorders>
              <w:top w:val="nil"/>
              <w:left w:val="nil"/>
              <w:bottom w:val="single" w:sz="8" w:space="0" w:color="auto"/>
              <w:right w:val="single" w:sz="8" w:space="0" w:color="auto"/>
            </w:tcBorders>
            <w:shd w:val="clear" w:color="auto" w:fill="auto"/>
            <w:noWrap/>
            <w:vAlign w:val="center"/>
            <w:hideMark/>
          </w:tcPr>
          <w:p w14:paraId="23A35BF4"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Ver detalle</w:t>
            </w:r>
          </w:p>
        </w:tc>
        <w:tc>
          <w:tcPr>
            <w:tcW w:w="1276" w:type="dxa"/>
            <w:tcBorders>
              <w:top w:val="nil"/>
              <w:left w:val="nil"/>
              <w:bottom w:val="single" w:sz="8" w:space="0" w:color="auto"/>
              <w:right w:val="single" w:sz="8" w:space="0" w:color="auto"/>
            </w:tcBorders>
          </w:tcPr>
          <w:p w14:paraId="4D0B6D91" w14:textId="77777777" w:rsidR="00CD40D5" w:rsidRPr="00CD40D5" w:rsidRDefault="00CD40D5" w:rsidP="00CD40D5">
            <w:pPr>
              <w:spacing w:after="0" w:line="240" w:lineRule="auto"/>
              <w:jc w:val="center"/>
              <w:rPr>
                <w:rFonts w:eastAsia="Times New Roman" w:cs="Times New Roman"/>
                <w:color w:val="000000"/>
                <w:sz w:val="18"/>
                <w:szCs w:val="18"/>
                <w:lang w:val="en-US"/>
              </w:rPr>
            </w:pPr>
          </w:p>
        </w:tc>
      </w:tr>
      <w:tr w:rsidR="00CD40D5" w:rsidRPr="00CD40D5" w14:paraId="7E1B82AF" w14:textId="77777777" w:rsidTr="0003306F">
        <w:trPr>
          <w:trHeight w:val="300"/>
        </w:trPr>
        <w:tc>
          <w:tcPr>
            <w:tcW w:w="504" w:type="dxa"/>
            <w:tcBorders>
              <w:top w:val="nil"/>
              <w:left w:val="single" w:sz="8" w:space="0" w:color="auto"/>
              <w:bottom w:val="single" w:sz="8" w:space="0" w:color="auto"/>
              <w:right w:val="single" w:sz="8" w:space="0" w:color="auto"/>
            </w:tcBorders>
            <w:shd w:val="clear" w:color="auto" w:fill="auto"/>
            <w:noWrap/>
            <w:vAlign w:val="center"/>
            <w:hideMark/>
          </w:tcPr>
          <w:p w14:paraId="588FF8D5"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6</w:t>
            </w:r>
          </w:p>
        </w:tc>
        <w:tc>
          <w:tcPr>
            <w:tcW w:w="1623" w:type="dxa"/>
            <w:tcBorders>
              <w:top w:val="nil"/>
              <w:left w:val="nil"/>
              <w:bottom w:val="single" w:sz="8" w:space="0" w:color="auto"/>
              <w:right w:val="single" w:sz="8" w:space="0" w:color="auto"/>
            </w:tcBorders>
            <w:shd w:val="clear" w:color="auto" w:fill="auto"/>
            <w:noWrap/>
            <w:vAlign w:val="center"/>
            <w:hideMark/>
          </w:tcPr>
          <w:p w14:paraId="2649E2C4"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Ver detalle</w:t>
            </w:r>
          </w:p>
        </w:tc>
        <w:tc>
          <w:tcPr>
            <w:tcW w:w="3118" w:type="dxa"/>
            <w:tcBorders>
              <w:top w:val="nil"/>
              <w:left w:val="nil"/>
              <w:bottom w:val="single" w:sz="8" w:space="0" w:color="auto"/>
              <w:right w:val="single" w:sz="8" w:space="0" w:color="auto"/>
            </w:tcBorders>
            <w:shd w:val="clear" w:color="auto" w:fill="auto"/>
            <w:noWrap/>
            <w:vAlign w:val="center"/>
            <w:hideMark/>
          </w:tcPr>
          <w:p w14:paraId="7B8D3571" w14:textId="77777777" w:rsidR="00CD40D5" w:rsidRPr="00CD40D5" w:rsidRDefault="00CD40D5" w:rsidP="00CD40D5">
            <w:pPr>
              <w:spacing w:after="0" w:line="240" w:lineRule="auto"/>
              <w:jc w:val="left"/>
              <w:rPr>
                <w:rFonts w:eastAsia="Times New Roman" w:cs="Times New Roman"/>
                <w:color w:val="000000"/>
                <w:sz w:val="18"/>
                <w:szCs w:val="18"/>
                <w:lang w:val="en-US"/>
              </w:rPr>
            </w:pPr>
            <w:r w:rsidRPr="00CD40D5">
              <w:rPr>
                <w:rFonts w:eastAsia="Times New Roman" w:cs="Times New Roman"/>
                <w:color w:val="000000"/>
                <w:sz w:val="18"/>
                <w:szCs w:val="18"/>
                <w:lang w:val="en-US"/>
              </w:rPr>
              <w:t>Equipos para computación</w:t>
            </w:r>
          </w:p>
        </w:tc>
        <w:tc>
          <w:tcPr>
            <w:tcW w:w="1559" w:type="dxa"/>
            <w:tcBorders>
              <w:top w:val="nil"/>
              <w:left w:val="nil"/>
              <w:bottom w:val="single" w:sz="8" w:space="0" w:color="auto"/>
              <w:right w:val="single" w:sz="8" w:space="0" w:color="auto"/>
            </w:tcBorders>
            <w:shd w:val="clear" w:color="auto" w:fill="auto"/>
            <w:noWrap/>
            <w:vAlign w:val="center"/>
            <w:hideMark/>
          </w:tcPr>
          <w:p w14:paraId="734831C0" w14:textId="2E89AEAA" w:rsidR="00CD40D5" w:rsidRPr="00CD40D5" w:rsidRDefault="00CD40D5" w:rsidP="00CD40D5">
            <w:pPr>
              <w:spacing w:after="0" w:line="240" w:lineRule="auto"/>
              <w:jc w:val="right"/>
              <w:rPr>
                <w:rFonts w:eastAsia="Times New Roman" w:cs="Times New Roman"/>
                <w:color w:val="000000"/>
                <w:sz w:val="18"/>
                <w:szCs w:val="18"/>
                <w:lang w:val="en-US"/>
              </w:rPr>
            </w:pPr>
            <w:r>
              <w:rPr>
                <w:color w:val="000000"/>
                <w:sz w:val="18"/>
                <w:szCs w:val="18"/>
              </w:rPr>
              <w:t>79 859,22</w:t>
            </w:r>
          </w:p>
        </w:tc>
        <w:tc>
          <w:tcPr>
            <w:tcW w:w="1418" w:type="dxa"/>
            <w:tcBorders>
              <w:top w:val="nil"/>
              <w:left w:val="nil"/>
              <w:bottom w:val="single" w:sz="8" w:space="0" w:color="auto"/>
              <w:right w:val="single" w:sz="8" w:space="0" w:color="auto"/>
            </w:tcBorders>
            <w:shd w:val="clear" w:color="auto" w:fill="auto"/>
            <w:noWrap/>
            <w:vAlign w:val="center"/>
            <w:hideMark/>
          </w:tcPr>
          <w:p w14:paraId="33A97CC6"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Ver detalle</w:t>
            </w:r>
          </w:p>
        </w:tc>
        <w:tc>
          <w:tcPr>
            <w:tcW w:w="1276" w:type="dxa"/>
            <w:tcBorders>
              <w:top w:val="nil"/>
              <w:left w:val="nil"/>
              <w:bottom w:val="single" w:sz="8" w:space="0" w:color="auto"/>
              <w:right w:val="single" w:sz="8" w:space="0" w:color="auto"/>
            </w:tcBorders>
          </w:tcPr>
          <w:p w14:paraId="082492AC" w14:textId="77777777" w:rsidR="00CD40D5" w:rsidRPr="00CD40D5" w:rsidRDefault="00CD40D5" w:rsidP="00CD40D5">
            <w:pPr>
              <w:spacing w:after="0" w:line="240" w:lineRule="auto"/>
              <w:jc w:val="center"/>
              <w:rPr>
                <w:rFonts w:eastAsia="Times New Roman" w:cs="Times New Roman"/>
                <w:color w:val="000000"/>
                <w:sz w:val="18"/>
                <w:szCs w:val="18"/>
                <w:lang w:val="en-US"/>
              </w:rPr>
            </w:pPr>
          </w:p>
        </w:tc>
      </w:tr>
      <w:tr w:rsidR="00CD40D5" w:rsidRPr="00CD40D5" w14:paraId="4EABFDDE" w14:textId="77777777" w:rsidTr="0003306F">
        <w:trPr>
          <w:trHeight w:val="300"/>
        </w:trPr>
        <w:tc>
          <w:tcPr>
            <w:tcW w:w="504" w:type="dxa"/>
            <w:tcBorders>
              <w:top w:val="nil"/>
              <w:left w:val="single" w:sz="8" w:space="0" w:color="auto"/>
              <w:bottom w:val="single" w:sz="8" w:space="0" w:color="auto"/>
              <w:right w:val="single" w:sz="8" w:space="0" w:color="auto"/>
            </w:tcBorders>
            <w:shd w:val="clear" w:color="auto" w:fill="auto"/>
            <w:noWrap/>
            <w:vAlign w:val="center"/>
            <w:hideMark/>
          </w:tcPr>
          <w:p w14:paraId="0071683E"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7</w:t>
            </w:r>
          </w:p>
        </w:tc>
        <w:tc>
          <w:tcPr>
            <w:tcW w:w="1623" w:type="dxa"/>
            <w:tcBorders>
              <w:top w:val="nil"/>
              <w:left w:val="nil"/>
              <w:bottom w:val="single" w:sz="8" w:space="0" w:color="auto"/>
              <w:right w:val="single" w:sz="8" w:space="0" w:color="auto"/>
            </w:tcBorders>
            <w:shd w:val="clear" w:color="auto" w:fill="auto"/>
            <w:noWrap/>
            <w:vAlign w:val="center"/>
            <w:hideMark/>
          </w:tcPr>
          <w:p w14:paraId="19B8BEF5"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Ver detalle</w:t>
            </w:r>
          </w:p>
        </w:tc>
        <w:tc>
          <w:tcPr>
            <w:tcW w:w="3118" w:type="dxa"/>
            <w:tcBorders>
              <w:top w:val="nil"/>
              <w:left w:val="nil"/>
              <w:bottom w:val="single" w:sz="8" w:space="0" w:color="auto"/>
              <w:right w:val="single" w:sz="8" w:space="0" w:color="auto"/>
            </w:tcBorders>
            <w:shd w:val="clear" w:color="auto" w:fill="auto"/>
            <w:noWrap/>
            <w:vAlign w:val="center"/>
            <w:hideMark/>
          </w:tcPr>
          <w:p w14:paraId="5F828BD4" w14:textId="77777777" w:rsidR="00CD40D5" w:rsidRPr="00CD40D5" w:rsidRDefault="00CD40D5" w:rsidP="00CD40D5">
            <w:pPr>
              <w:spacing w:after="0" w:line="240" w:lineRule="auto"/>
              <w:jc w:val="left"/>
              <w:rPr>
                <w:rFonts w:eastAsia="Times New Roman" w:cs="Times New Roman"/>
                <w:color w:val="000000"/>
                <w:sz w:val="18"/>
                <w:szCs w:val="18"/>
              </w:rPr>
            </w:pPr>
            <w:r w:rsidRPr="00CD40D5">
              <w:rPr>
                <w:rFonts w:eastAsia="Times New Roman" w:cs="Times New Roman"/>
                <w:color w:val="000000"/>
                <w:sz w:val="18"/>
                <w:szCs w:val="18"/>
              </w:rPr>
              <w:t>Equipos de seguridad, orden, vigilancia y control público</w:t>
            </w:r>
          </w:p>
        </w:tc>
        <w:tc>
          <w:tcPr>
            <w:tcW w:w="1559" w:type="dxa"/>
            <w:tcBorders>
              <w:top w:val="nil"/>
              <w:left w:val="nil"/>
              <w:bottom w:val="single" w:sz="8" w:space="0" w:color="auto"/>
              <w:right w:val="single" w:sz="8" w:space="0" w:color="auto"/>
            </w:tcBorders>
            <w:shd w:val="clear" w:color="auto" w:fill="auto"/>
            <w:noWrap/>
            <w:vAlign w:val="center"/>
            <w:hideMark/>
          </w:tcPr>
          <w:p w14:paraId="2E3B2CA8" w14:textId="2A813DCA" w:rsidR="00CD40D5" w:rsidRPr="00CD40D5" w:rsidRDefault="00CD40D5" w:rsidP="00CD40D5">
            <w:pPr>
              <w:spacing w:after="0" w:line="240" w:lineRule="auto"/>
              <w:jc w:val="right"/>
              <w:rPr>
                <w:rFonts w:eastAsia="Times New Roman" w:cs="Times New Roman"/>
                <w:color w:val="000000"/>
                <w:sz w:val="18"/>
                <w:szCs w:val="18"/>
                <w:lang w:val="en-US"/>
              </w:rPr>
            </w:pPr>
            <w:r>
              <w:rPr>
                <w:color w:val="000000"/>
                <w:sz w:val="18"/>
                <w:szCs w:val="18"/>
              </w:rPr>
              <w:t>1 382,67</w:t>
            </w:r>
          </w:p>
        </w:tc>
        <w:tc>
          <w:tcPr>
            <w:tcW w:w="1418" w:type="dxa"/>
            <w:tcBorders>
              <w:top w:val="nil"/>
              <w:left w:val="nil"/>
              <w:bottom w:val="single" w:sz="8" w:space="0" w:color="auto"/>
              <w:right w:val="single" w:sz="8" w:space="0" w:color="auto"/>
            </w:tcBorders>
            <w:shd w:val="clear" w:color="auto" w:fill="auto"/>
            <w:noWrap/>
            <w:vAlign w:val="center"/>
            <w:hideMark/>
          </w:tcPr>
          <w:p w14:paraId="2F2CE2BA"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Ver detalle</w:t>
            </w:r>
          </w:p>
        </w:tc>
        <w:tc>
          <w:tcPr>
            <w:tcW w:w="1276" w:type="dxa"/>
            <w:tcBorders>
              <w:top w:val="nil"/>
              <w:left w:val="nil"/>
              <w:bottom w:val="single" w:sz="8" w:space="0" w:color="auto"/>
              <w:right w:val="single" w:sz="8" w:space="0" w:color="auto"/>
            </w:tcBorders>
          </w:tcPr>
          <w:p w14:paraId="6802CE2A" w14:textId="77777777" w:rsidR="00CD40D5" w:rsidRPr="00CD40D5" w:rsidRDefault="00CD40D5" w:rsidP="00CD40D5">
            <w:pPr>
              <w:spacing w:after="0" w:line="240" w:lineRule="auto"/>
              <w:jc w:val="center"/>
              <w:rPr>
                <w:rFonts w:eastAsia="Times New Roman" w:cs="Times New Roman"/>
                <w:color w:val="000000"/>
                <w:sz w:val="18"/>
                <w:szCs w:val="18"/>
                <w:lang w:val="en-US"/>
              </w:rPr>
            </w:pPr>
          </w:p>
        </w:tc>
      </w:tr>
      <w:tr w:rsidR="00CD40D5" w:rsidRPr="00CD40D5" w14:paraId="474C7BC3" w14:textId="77777777" w:rsidTr="0003306F">
        <w:trPr>
          <w:trHeight w:val="300"/>
        </w:trPr>
        <w:tc>
          <w:tcPr>
            <w:tcW w:w="504" w:type="dxa"/>
            <w:tcBorders>
              <w:top w:val="nil"/>
              <w:left w:val="single" w:sz="8" w:space="0" w:color="auto"/>
              <w:bottom w:val="single" w:sz="8" w:space="0" w:color="auto"/>
              <w:right w:val="single" w:sz="8" w:space="0" w:color="auto"/>
            </w:tcBorders>
            <w:shd w:val="clear" w:color="auto" w:fill="auto"/>
            <w:noWrap/>
            <w:vAlign w:val="center"/>
            <w:hideMark/>
          </w:tcPr>
          <w:p w14:paraId="37371AF8"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8</w:t>
            </w:r>
          </w:p>
        </w:tc>
        <w:tc>
          <w:tcPr>
            <w:tcW w:w="1623" w:type="dxa"/>
            <w:tcBorders>
              <w:top w:val="nil"/>
              <w:left w:val="nil"/>
              <w:bottom w:val="single" w:sz="8" w:space="0" w:color="auto"/>
              <w:right w:val="single" w:sz="8" w:space="0" w:color="auto"/>
            </w:tcBorders>
            <w:shd w:val="clear" w:color="auto" w:fill="auto"/>
            <w:noWrap/>
            <w:vAlign w:val="center"/>
            <w:hideMark/>
          </w:tcPr>
          <w:p w14:paraId="58127675"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Ver detalle</w:t>
            </w:r>
          </w:p>
        </w:tc>
        <w:tc>
          <w:tcPr>
            <w:tcW w:w="3118" w:type="dxa"/>
            <w:tcBorders>
              <w:top w:val="nil"/>
              <w:left w:val="nil"/>
              <w:bottom w:val="single" w:sz="8" w:space="0" w:color="auto"/>
              <w:right w:val="single" w:sz="8" w:space="0" w:color="auto"/>
            </w:tcBorders>
            <w:shd w:val="clear" w:color="auto" w:fill="auto"/>
            <w:noWrap/>
            <w:vAlign w:val="center"/>
            <w:hideMark/>
          </w:tcPr>
          <w:p w14:paraId="57574297" w14:textId="77777777" w:rsidR="00CD40D5" w:rsidRPr="00CD40D5" w:rsidRDefault="00CD40D5" w:rsidP="00CD40D5">
            <w:pPr>
              <w:spacing w:after="0" w:line="240" w:lineRule="auto"/>
              <w:jc w:val="left"/>
              <w:rPr>
                <w:rFonts w:eastAsia="Times New Roman" w:cs="Times New Roman"/>
                <w:color w:val="000000"/>
                <w:sz w:val="18"/>
                <w:szCs w:val="18"/>
              </w:rPr>
            </w:pPr>
            <w:r w:rsidRPr="00CD40D5">
              <w:rPr>
                <w:rFonts w:eastAsia="Times New Roman" w:cs="Times New Roman"/>
                <w:color w:val="000000"/>
                <w:sz w:val="18"/>
                <w:szCs w:val="18"/>
              </w:rPr>
              <w:t>Maquinarias, equipos y mobiliarios diversos</w:t>
            </w:r>
          </w:p>
        </w:tc>
        <w:tc>
          <w:tcPr>
            <w:tcW w:w="1559" w:type="dxa"/>
            <w:tcBorders>
              <w:top w:val="nil"/>
              <w:left w:val="nil"/>
              <w:bottom w:val="single" w:sz="8" w:space="0" w:color="auto"/>
              <w:right w:val="single" w:sz="8" w:space="0" w:color="auto"/>
            </w:tcBorders>
            <w:shd w:val="clear" w:color="auto" w:fill="auto"/>
            <w:noWrap/>
            <w:vAlign w:val="center"/>
            <w:hideMark/>
          </w:tcPr>
          <w:p w14:paraId="49A27DC3" w14:textId="2AA81DBA" w:rsidR="00CD40D5" w:rsidRPr="00CD40D5" w:rsidRDefault="00CD40D5" w:rsidP="00CD40D5">
            <w:pPr>
              <w:spacing w:after="0" w:line="240" w:lineRule="auto"/>
              <w:jc w:val="right"/>
              <w:rPr>
                <w:rFonts w:eastAsia="Times New Roman" w:cs="Times New Roman"/>
                <w:color w:val="000000"/>
                <w:sz w:val="18"/>
                <w:szCs w:val="18"/>
                <w:lang w:val="en-US"/>
              </w:rPr>
            </w:pPr>
            <w:r>
              <w:rPr>
                <w:color w:val="000000"/>
                <w:sz w:val="18"/>
                <w:szCs w:val="18"/>
              </w:rPr>
              <w:t>3 237,11</w:t>
            </w:r>
          </w:p>
        </w:tc>
        <w:tc>
          <w:tcPr>
            <w:tcW w:w="1418" w:type="dxa"/>
            <w:tcBorders>
              <w:top w:val="nil"/>
              <w:left w:val="nil"/>
              <w:bottom w:val="single" w:sz="8" w:space="0" w:color="auto"/>
              <w:right w:val="single" w:sz="8" w:space="0" w:color="auto"/>
            </w:tcBorders>
            <w:shd w:val="clear" w:color="auto" w:fill="auto"/>
            <w:noWrap/>
            <w:vAlign w:val="center"/>
            <w:hideMark/>
          </w:tcPr>
          <w:p w14:paraId="79BF72AF"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Ver detalle</w:t>
            </w:r>
          </w:p>
        </w:tc>
        <w:tc>
          <w:tcPr>
            <w:tcW w:w="1276" w:type="dxa"/>
            <w:tcBorders>
              <w:top w:val="nil"/>
              <w:left w:val="nil"/>
              <w:bottom w:val="single" w:sz="8" w:space="0" w:color="auto"/>
              <w:right w:val="single" w:sz="8" w:space="0" w:color="auto"/>
            </w:tcBorders>
          </w:tcPr>
          <w:p w14:paraId="409FA367" w14:textId="77777777" w:rsidR="00CD40D5" w:rsidRPr="00CD40D5" w:rsidRDefault="00CD40D5" w:rsidP="00CD40D5">
            <w:pPr>
              <w:spacing w:after="0" w:line="240" w:lineRule="auto"/>
              <w:jc w:val="center"/>
              <w:rPr>
                <w:rFonts w:eastAsia="Times New Roman" w:cs="Times New Roman"/>
                <w:color w:val="000000"/>
                <w:sz w:val="18"/>
                <w:szCs w:val="18"/>
                <w:lang w:val="en-US"/>
              </w:rPr>
            </w:pPr>
          </w:p>
        </w:tc>
      </w:tr>
      <w:tr w:rsidR="00CD40D5" w:rsidRPr="00CD40D5" w14:paraId="6A1E896E" w14:textId="77777777" w:rsidTr="0003306F">
        <w:trPr>
          <w:trHeight w:val="300"/>
        </w:trPr>
        <w:tc>
          <w:tcPr>
            <w:tcW w:w="504" w:type="dxa"/>
            <w:tcBorders>
              <w:top w:val="nil"/>
              <w:left w:val="single" w:sz="8" w:space="0" w:color="auto"/>
              <w:bottom w:val="single" w:sz="8" w:space="0" w:color="auto"/>
              <w:right w:val="single" w:sz="8" w:space="0" w:color="auto"/>
            </w:tcBorders>
            <w:shd w:val="clear" w:color="auto" w:fill="auto"/>
            <w:noWrap/>
            <w:vAlign w:val="center"/>
            <w:hideMark/>
          </w:tcPr>
          <w:p w14:paraId="5C34BD68"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9</w:t>
            </w:r>
          </w:p>
        </w:tc>
        <w:tc>
          <w:tcPr>
            <w:tcW w:w="1623" w:type="dxa"/>
            <w:tcBorders>
              <w:top w:val="nil"/>
              <w:left w:val="nil"/>
              <w:bottom w:val="single" w:sz="8" w:space="0" w:color="auto"/>
              <w:right w:val="single" w:sz="8" w:space="0" w:color="auto"/>
            </w:tcBorders>
            <w:shd w:val="clear" w:color="auto" w:fill="auto"/>
            <w:noWrap/>
            <w:vAlign w:val="center"/>
            <w:hideMark/>
          </w:tcPr>
          <w:p w14:paraId="6E532940"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Ver detalle</w:t>
            </w:r>
          </w:p>
        </w:tc>
        <w:tc>
          <w:tcPr>
            <w:tcW w:w="3118" w:type="dxa"/>
            <w:tcBorders>
              <w:top w:val="nil"/>
              <w:left w:val="nil"/>
              <w:bottom w:val="single" w:sz="8" w:space="0" w:color="auto"/>
              <w:right w:val="single" w:sz="8" w:space="0" w:color="auto"/>
            </w:tcBorders>
            <w:shd w:val="clear" w:color="auto" w:fill="auto"/>
            <w:noWrap/>
            <w:vAlign w:val="center"/>
            <w:hideMark/>
          </w:tcPr>
          <w:p w14:paraId="076280BA" w14:textId="77777777" w:rsidR="00CD40D5" w:rsidRPr="00CD40D5" w:rsidRDefault="00CD40D5" w:rsidP="00CD40D5">
            <w:pPr>
              <w:spacing w:after="0" w:line="240" w:lineRule="auto"/>
              <w:jc w:val="left"/>
              <w:rPr>
                <w:rFonts w:eastAsia="Times New Roman" w:cs="Times New Roman"/>
                <w:color w:val="000000"/>
                <w:sz w:val="18"/>
                <w:szCs w:val="18"/>
              </w:rPr>
            </w:pPr>
            <w:r w:rsidRPr="00CD40D5">
              <w:rPr>
                <w:rFonts w:eastAsia="Times New Roman" w:cs="Times New Roman"/>
                <w:color w:val="000000"/>
                <w:sz w:val="18"/>
                <w:szCs w:val="18"/>
              </w:rPr>
              <w:t>Equipos y mobiliario educacional, deportivo y recreativo</w:t>
            </w:r>
          </w:p>
        </w:tc>
        <w:tc>
          <w:tcPr>
            <w:tcW w:w="1559" w:type="dxa"/>
            <w:tcBorders>
              <w:top w:val="nil"/>
              <w:left w:val="nil"/>
              <w:bottom w:val="single" w:sz="8" w:space="0" w:color="auto"/>
              <w:right w:val="single" w:sz="8" w:space="0" w:color="auto"/>
            </w:tcBorders>
            <w:shd w:val="clear" w:color="auto" w:fill="auto"/>
            <w:noWrap/>
            <w:vAlign w:val="center"/>
            <w:hideMark/>
          </w:tcPr>
          <w:p w14:paraId="68F11870" w14:textId="4304C4F9" w:rsidR="00CD40D5" w:rsidRPr="00CD40D5" w:rsidRDefault="00CD40D5" w:rsidP="00CD40D5">
            <w:pPr>
              <w:spacing w:after="0" w:line="240" w:lineRule="auto"/>
              <w:jc w:val="right"/>
              <w:rPr>
                <w:rFonts w:eastAsia="Times New Roman" w:cs="Times New Roman"/>
                <w:color w:val="000000"/>
                <w:sz w:val="18"/>
                <w:szCs w:val="18"/>
                <w:lang w:val="en-US"/>
              </w:rPr>
            </w:pPr>
            <w:r>
              <w:rPr>
                <w:color w:val="000000"/>
                <w:sz w:val="18"/>
                <w:szCs w:val="18"/>
              </w:rPr>
              <w:t>842,21</w:t>
            </w:r>
          </w:p>
        </w:tc>
        <w:tc>
          <w:tcPr>
            <w:tcW w:w="1418" w:type="dxa"/>
            <w:tcBorders>
              <w:top w:val="nil"/>
              <w:left w:val="nil"/>
              <w:bottom w:val="single" w:sz="8" w:space="0" w:color="auto"/>
              <w:right w:val="single" w:sz="8" w:space="0" w:color="auto"/>
            </w:tcBorders>
            <w:shd w:val="clear" w:color="auto" w:fill="auto"/>
            <w:noWrap/>
            <w:vAlign w:val="center"/>
            <w:hideMark/>
          </w:tcPr>
          <w:p w14:paraId="04437BB9"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Ver detalle</w:t>
            </w:r>
          </w:p>
        </w:tc>
        <w:tc>
          <w:tcPr>
            <w:tcW w:w="1276" w:type="dxa"/>
            <w:tcBorders>
              <w:top w:val="nil"/>
              <w:left w:val="nil"/>
              <w:bottom w:val="single" w:sz="8" w:space="0" w:color="auto"/>
              <w:right w:val="single" w:sz="8" w:space="0" w:color="auto"/>
            </w:tcBorders>
          </w:tcPr>
          <w:p w14:paraId="2BEE256D" w14:textId="77777777" w:rsidR="00CD40D5" w:rsidRPr="00CD40D5" w:rsidRDefault="00CD40D5" w:rsidP="00CD40D5">
            <w:pPr>
              <w:spacing w:after="0" w:line="240" w:lineRule="auto"/>
              <w:jc w:val="center"/>
              <w:rPr>
                <w:rFonts w:eastAsia="Times New Roman" w:cs="Times New Roman"/>
                <w:color w:val="000000"/>
                <w:sz w:val="18"/>
                <w:szCs w:val="18"/>
                <w:lang w:val="en-US"/>
              </w:rPr>
            </w:pPr>
          </w:p>
        </w:tc>
      </w:tr>
      <w:tr w:rsidR="00CD40D5" w:rsidRPr="00CD40D5" w14:paraId="26298734" w14:textId="77777777" w:rsidTr="0003306F">
        <w:trPr>
          <w:trHeight w:val="300"/>
        </w:trPr>
        <w:tc>
          <w:tcPr>
            <w:tcW w:w="504" w:type="dxa"/>
            <w:tcBorders>
              <w:top w:val="nil"/>
              <w:left w:val="single" w:sz="8" w:space="0" w:color="auto"/>
              <w:bottom w:val="single" w:sz="8" w:space="0" w:color="auto"/>
              <w:right w:val="single" w:sz="8" w:space="0" w:color="auto"/>
            </w:tcBorders>
            <w:shd w:val="clear" w:color="auto" w:fill="auto"/>
            <w:noWrap/>
            <w:vAlign w:val="center"/>
            <w:hideMark/>
          </w:tcPr>
          <w:p w14:paraId="308B4210"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10</w:t>
            </w:r>
          </w:p>
        </w:tc>
        <w:tc>
          <w:tcPr>
            <w:tcW w:w="1623" w:type="dxa"/>
            <w:tcBorders>
              <w:top w:val="nil"/>
              <w:left w:val="nil"/>
              <w:bottom w:val="single" w:sz="8" w:space="0" w:color="auto"/>
              <w:right w:val="single" w:sz="8" w:space="0" w:color="auto"/>
            </w:tcBorders>
            <w:shd w:val="clear" w:color="auto" w:fill="auto"/>
            <w:noWrap/>
            <w:vAlign w:val="center"/>
            <w:hideMark/>
          </w:tcPr>
          <w:p w14:paraId="69723860"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Ver detalle</w:t>
            </w:r>
          </w:p>
        </w:tc>
        <w:tc>
          <w:tcPr>
            <w:tcW w:w="3118" w:type="dxa"/>
            <w:tcBorders>
              <w:top w:val="nil"/>
              <w:left w:val="nil"/>
              <w:bottom w:val="single" w:sz="8" w:space="0" w:color="auto"/>
              <w:right w:val="single" w:sz="8" w:space="0" w:color="auto"/>
            </w:tcBorders>
            <w:shd w:val="clear" w:color="auto" w:fill="auto"/>
            <w:vAlign w:val="center"/>
            <w:hideMark/>
          </w:tcPr>
          <w:p w14:paraId="5DE9AF89" w14:textId="77777777" w:rsidR="00CD40D5" w:rsidRPr="00CD40D5" w:rsidRDefault="00CD40D5" w:rsidP="00CD40D5">
            <w:pPr>
              <w:spacing w:after="0" w:line="240" w:lineRule="auto"/>
              <w:jc w:val="left"/>
              <w:rPr>
                <w:rFonts w:eastAsia="Times New Roman" w:cs="Times New Roman"/>
                <w:color w:val="000000"/>
                <w:sz w:val="18"/>
                <w:szCs w:val="18"/>
              </w:rPr>
            </w:pPr>
            <w:r w:rsidRPr="00CD40D5">
              <w:rPr>
                <w:rFonts w:eastAsia="Times New Roman" w:cs="Times New Roman"/>
                <w:color w:val="000000"/>
                <w:sz w:val="18"/>
                <w:szCs w:val="18"/>
              </w:rPr>
              <w:t>Bienes de infraestructura y de beneficio y uso público en servicio</w:t>
            </w:r>
          </w:p>
        </w:tc>
        <w:tc>
          <w:tcPr>
            <w:tcW w:w="1559" w:type="dxa"/>
            <w:tcBorders>
              <w:top w:val="nil"/>
              <w:left w:val="nil"/>
              <w:bottom w:val="single" w:sz="8" w:space="0" w:color="auto"/>
              <w:right w:val="single" w:sz="8" w:space="0" w:color="auto"/>
            </w:tcBorders>
            <w:shd w:val="clear" w:color="auto" w:fill="auto"/>
            <w:noWrap/>
            <w:vAlign w:val="center"/>
            <w:hideMark/>
          </w:tcPr>
          <w:p w14:paraId="690013DA" w14:textId="4BD7741D" w:rsidR="00CD40D5" w:rsidRPr="00CD40D5" w:rsidRDefault="00CD40D5" w:rsidP="00CD40D5">
            <w:pPr>
              <w:spacing w:after="0" w:line="240" w:lineRule="auto"/>
              <w:jc w:val="right"/>
              <w:rPr>
                <w:rFonts w:eastAsia="Times New Roman" w:cs="Times New Roman"/>
                <w:color w:val="000000"/>
                <w:sz w:val="18"/>
                <w:szCs w:val="18"/>
                <w:lang w:val="en-US"/>
              </w:rPr>
            </w:pPr>
            <w:r>
              <w:rPr>
                <w:color w:val="000000"/>
                <w:sz w:val="18"/>
                <w:szCs w:val="18"/>
              </w:rPr>
              <w:t>0,00</w:t>
            </w:r>
          </w:p>
        </w:tc>
        <w:tc>
          <w:tcPr>
            <w:tcW w:w="1418" w:type="dxa"/>
            <w:tcBorders>
              <w:top w:val="nil"/>
              <w:left w:val="nil"/>
              <w:bottom w:val="single" w:sz="8" w:space="0" w:color="auto"/>
              <w:right w:val="single" w:sz="8" w:space="0" w:color="auto"/>
            </w:tcBorders>
            <w:shd w:val="clear" w:color="auto" w:fill="auto"/>
            <w:noWrap/>
            <w:vAlign w:val="center"/>
            <w:hideMark/>
          </w:tcPr>
          <w:p w14:paraId="4306806A" w14:textId="77777777" w:rsidR="00CD40D5" w:rsidRPr="00CD40D5" w:rsidRDefault="00CD40D5" w:rsidP="00CD40D5">
            <w:pPr>
              <w:spacing w:after="0" w:line="240" w:lineRule="auto"/>
              <w:jc w:val="center"/>
              <w:rPr>
                <w:rFonts w:eastAsia="Times New Roman" w:cs="Times New Roman"/>
                <w:color w:val="000000"/>
                <w:sz w:val="18"/>
                <w:szCs w:val="18"/>
                <w:lang w:val="en-US"/>
              </w:rPr>
            </w:pPr>
            <w:r w:rsidRPr="00CD40D5">
              <w:rPr>
                <w:rFonts w:eastAsia="Times New Roman" w:cs="Times New Roman"/>
                <w:color w:val="000000"/>
                <w:sz w:val="18"/>
                <w:szCs w:val="18"/>
                <w:lang w:val="en-US"/>
              </w:rPr>
              <w:t>Ver detalle</w:t>
            </w:r>
          </w:p>
        </w:tc>
        <w:tc>
          <w:tcPr>
            <w:tcW w:w="1276" w:type="dxa"/>
            <w:tcBorders>
              <w:top w:val="nil"/>
              <w:left w:val="nil"/>
              <w:bottom w:val="single" w:sz="8" w:space="0" w:color="auto"/>
              <w:right w:val="single" w:sz="8" w:space="0" w:color="auto"/>
            </w:tcBorders>
          </w:tcPr>
          <w:p w14:paraId="6B7943C3" w14:textId="77777777" w:rsidR="00CD40D5" w:rsidRPr="00CD40D5" w:rsidRDefault="00CD40D5" w:rsidP="00CD40D5">
            <w:pPr>
              <w:spacing w:after="0" w:line="240" w:lineRule="auto"/>
              <w:jc w:val="center"/>
              <w:rPr>
                <w:rFonts w:eastAsia="Times New Roman" w:cs="Times New Roman"/>
                <w:color w:val="000000"/>
                <w:sz w:val="18"/>
                <w:szCs w:val="18"/>
                <w:lang w:val="en-US"/>
              </w:rPr>
            </w:pPr>
          </w:p>
        </w:tc>
      </w:tr>
      <w:tr w:rsidR="00CD40D5" w:rsidRPr="00CD40D5" w14:paraId="1196639A" w14:textId="77777777" w:rsidTr="0003306F">
        <w:trPr>
          <w:trHeight w:val="230"/>
        </w:trPr>
        <w:tc>
          <w:tcPr>
            <w:tcW w:w="5245" w:type="dxa"/>
            <w:gridSpan w:val="3"/>
            <w:tcBorders>
              <w:top w:val="nil"/>
              <w:left w:val="single" w:sz="8" w:space="0" w:color="auto"/>
              <w:bottom w:val="single" w:sz="8" w:space="0" w:color="auto"/>
              <w:right w:val="single" w:sz="8" w:space="0" w:color="auto"/>
            </w:tcBorders>
            <w:shd w:val="clear" w:color="auto" w:fill="1F3864" w:themeFill="accent1" w:themeFillShade="80"/>
            <w:noWrap/>
            <w:vAlign w:val="center"/>
            <w:hideMark/>
          </w:tcPr>
          <w:p w14:paraId="22349701" w14:textId="77777777" w:rsidR="00CD40D5" w:rsidRPr="00CD40D5" w:rsidRDefault="00CD40D5" w:rsidP="00CD40D5">
            <w:pPr>
              <w:spacing w:after="0" w:line="240" w:lineRule="auto"/>
              <w:jc w:val="center"/>
              <w:rPr>
                <w:rFonts w:eastAsia="Times New Roman" w:cs="Times New Roman"/>
                <w:color w:val="FFFFFF" w:themeColor="background1"/>
                <w:sz w:val="22"/>
                <w:lang w:val="en-US"/>
              </w:rPr>
            </w:pPr>
            <w:r w:rsidRPr="00CD40D5">
              <w:rPr>
                <w:rFonts w:eastAsia="Times New Roman" w:cs="Times New Roman"/>
                <w:color w:val="FFFFFF" w:themeColor="background1"/>
                <w:sz w:val="22"/>
                <w:lang w:val="en-US"/>
              </w:rPr>
              <w:t xml:space="preserve"> </w:t>
            </w:r>
            <w:r>
              <w:rPr>
                <w:rFonts w:eastAsia="Times New Roman" w:cs="Times New Roman"/>
                <w:color w:val="FFFFFF" w:themeColor="background1"/>
                <w:sz w:val="22"/>
                <w:lang w:val="en-US"/>
              </w:rPr>
              <w:t>G</w:t>
            </w:r>
            <w:r w:rsidRPr="00CD40D5">
              <w:rPr>
                <w:rFonts w:eastAsia="Times New Roman" w:cs="Times New Roman"/>
                <w:color w:val="FFFFFF" w:themeColor="background1"/>
                <w:sz w:val="22"/>
                <w:lang w:val="en-US"/>
              </w:rPr>
              <w:t xml:space="preserve">RAN TOTAL </w:t>
            </w:r>
          </w:p>
        </w:tc>
        <w:tc>
          <w:tcPr>
            <w:tcW w:w="1559" w:type="dxa"/>
            <w:tcBorders>
              <w:top w:val="nil"/>
              <w:left w:val="nil"/>
              <w:bottom w:val="single" w:sz="8" w:space="0" w:color="auto"/>
              <w:right w:val="single" w:sz="8" w:space="0" w:color="auto"/>
            </w:tcBorders>
            <w:shd w:val="clear" w:color="auto" w:fill="auto"/>
            <w:noWrap/>
            <w:vAlign w:val="bottom"/>
            <w:hideMark/>
          </w:tcPr>
          <w:p w14:paraId="5691D548" w14:textId="6182FF6D" w:rsidR="00CD40D5" w:rsidRPr="00CD40D5" w:rsidRDefault="00CD40D5" w:rsidP="00CD40D5">
            <w:pPr>
              <w:spacing w:after="0" w:line="240" w:lineRule="auto"/>
              <w:jc w:val="right"/>
              <w:rPr>
                <w:rFonts w:eastAsia="Times New Roman" w:cs="Times New Roman"/>
                <w:b/>
                <w:bCs/>
                <w:color w:val="000000"/>
                <w:sz w:val="18"/>
                <w:szCs w:val="18"/>
                <w:lang w:val="en-US"/>
              </w:rPr>
            </w:pPr>
            <w:r w:rsidRPr="00C3199A">
              <w:rPr>
                <w:rFonts w:ascii="Arial" w:hAnsi="Arial" w:cs="Arial"/>
              </w:rPr>
              <w:t>₡</w:t>
            </w:r>
            <w:r>
              <w:rPr>
                <w:rFonts w:eastAsia="Times New Roman" w:cs="Times New Roman"/>
                <w:b/>
                <w:bCs/>
                <w:color w:val="000000"/>
                <w:sz w:val="18"/>
                <w:szCs w:val="18"/>
                <w:lang w:val="en-US"/>
              </w:rPr>
              <w:t>1 749 525,97</w:t>
            </w:r>
          </w:p>
        </w:tc>
        <w:tc>
          <w:tcPr>
            <w:tcW w:w="1418" w:type="dxa"/>
            <w:tcBorders>
              <w:top w:val="nil"/>
              <w:left w:val="nil"/>
              <w:bottom w:val="single" w:sz="8" w:space="0" w:color="auto"/>
              <w:right w:val="single" w:sz="8" w:space="0" w:color="auto"/>
            </w:tcBorders>
            <w:shd w:val="clear" w:color="auto" w:fill="1F3864" w:themeFill="accent1" w:themeFillShade="80"/>
            <w:noWrap/>
            <w:vAlign w:val="bottom"/>
            <w:hideMark/>
          </w:tcPr>
          <w:p w14:paraId="33B015C8" w14:textId="77777777" w:rsidR="00CD40D5" w:rsidRPr="00CD40D5" w:rsidRDefault="00CD40D5" w:rsidP="00CD40D5">
            <w:pPr>
              <w:spacing w:after="0" w:line="240" w:lineRule="auto"/>
              <w:jc w:val="left"/>
              <w:rPr>
                <w:rFonts w:eastAsia="Times New Roman" w:cs="Times New Roman"/>
                <w:b/>
                <w:bCs/>
                <w:color w:val="000000"/>
                <w:sz w:val="18"/>
                <w:szCs w:val="18"/>
                <w:lang w:val="en-US"/>
              </w:rPr>
            </w:pPr>
            <w:r w:rsidRPr="00CD40D5">
              <w:rPr>
                <w:rFonts w:eastAsia="Times New Roman" w:cs="Times New Roman"/>
                <w:b/>
                <w:bCs/>
                <w:color w:val="000000"/>
                <w:sz w:val="18"/>
                <w:szCs w:val="18"/>
                <w:lang w:val="en-US"/>
              </w:rPr>
              <w:t xml:space="preserve"> </w:t>
            </w:r>
          </w:p>
        </w:tc>
        <w:tc>
          <w:tcPr>
            <w:tcW w:w="1276" w:type="dxa"/>
            <w:tcBorders>
              <w:top w:val="nil"/>
              <w:left w:val="nil"/>
              <w:bottom w:val="single" w:sz="8" w:space="0" w:color="auto"/>
              <w:right w:val="single" w:sz="8" w:space="0" w:color="auto"/>
            </w:tcBorders>
            <w:shd w:val="clear" w:color="auto" w:fill="1F3864" w:themeFill="accent1" w:themeFillShade="80"/>
            <w:vAlign w:val="bottom"/>
          </w:tcPr>
          <w:p w14:paraId="05405F58" w14:textId="238E478A" w:rsidR="00CD40D5" w:rsidRPr="00CD40D5" w:rsidRDefault="00CD40D5" w:rsidP="00CD40D5">
            <w:pPr>
              <w:spacing w:after="0" w:line="240" w:lineRule="auto"/>
              <w:jc w:val="left"/>
              <w:rPr>
                <w:rFonts w:eastAsia="Times New Roman" w:cs="Times New Roman"/>
                <w:b/>
                <w:bCs/>
                <w:color w:val="000000"/>
                <w:sz w:val="18"/>
                <w:szCs w:val="18"/>
                <w:lang w:val="en-US"/>
              </w:rPr>
            </w:pPr>
            <w:r>
              <w:rPr>
                <w:b/>
                <w:bCs/>
                <w:color w:val="000000"/>
                <w:sz w:val="18"/>
                <w:szCs w:val="18"/>
              </w:rPr>
              <w:t>1 749 525,97</w:t>
            </w:r>
          </w:p>
        </w:tc>
      </w:tr>
    </w:tbl>
    <w:p w14:paraId="0A22A01C" w14:textId="77777777" w:rsidR="0077456B" w:rsidRPr="0077456B" w:rsidRDefault="0077456B" w:rsidP="0077456B">
      <w:pPr>
        <w:rPr>
          <w:lang w:val="es-ES" w:eastAsia="es-CR"/>
        </w:rPr>
      </w:pPr>
    </w:p>
    <w:p w14:paraId="6D64FB61" w14:textId="77777777" w:rsidR="0077456B" w:rsidRPr="0077456B" w:rsidRDefault="0077456B" w:rsidP="0077456B">
      <w:pPr>
        <w:rPr>
          <w:lang w:val="es-ES" w:eastAsia="es-CR"/>
        </w:rPr>
      </w:pPr>
      <w:r w:rsidRPr="0077456B">
        <w:rPr>
          <w:noProof/>
          <w:lang w:eastAsia="es-CR"/>
        </w:rPr>
        <w:drawing>
          <wp:inline distT="0" distB="0" distL="0" distR="0" wp14:anchorId="408E925E" wp14:editId="26D90137">
            <wp:extent cx="6219825" cy="1606299"/>
            <wp:effectExtent l="0" t="0" r="0" b="0"/>
            <wp:docPr id="574" name="Imagen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22660" cy="1607031"/>
                    </a:xfrm>
                    <a:prstGeom prst="rect">
                      <a:avLst/>
                    </a:prstGeom>
                    <a:noFill/>
                    <a:ln>
                      <a:noFill/>
                    </a:ln>
                  </pic:spPr>
                </pic:pic>
              </a:graphicData>
            </a:graphic>
          </wp:inline>
        </w:drawing>
      </w:r>
    </w:p>
    <w:p w14:paraId="560CB4B1" w14:textId="77777777" w:rsidR="0077456B" w:rsidRPr="0077456B" w:rsidRDefault="0077456B" w:rsidP="0077456B">
      <w:pPr>
        <w:rPr>
          <w:lang w:val="es-ES" w:eastAsia="es-CR"/>
        </w:rPr>
      </w:pPr>
      <w:r w:rsidRPr="0077456B">
        <w:rPr>
          <w:noProof/>
          <w:lang w:eastAsia="es-CR"/>
        </w:rPr>
        <w:drawing>
          <wp:inline distT="0" distB="0" distL="0" distR="0" wp14:anchorId="5116A8C4" wp14:editId="0AFEBD5C">
            <wp:extent cx="6191250" cy="1642726"/>
            <wp:effectExtent l="0" t="0" r="0" b="0"/>
            <wp:docPr id="575" name="Imagen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00544" cy="1645192"/>
                    </a:xfrm>
                    <a:prstGeom prst="rect">
                      <a:avLst/>
                    </a:prstGeom>
                    <a:noFill/>
                    <a:ln>
                      <a:noFill/>
                    </a:ln>
                  </pic:spPr>
                </pic:pic>
              </a:graphicData>
            </a:graphic>
          </wp:inline>
        </w:drawing>
      </w:r>
    </w:p>
    <w:p w14:paraId="407CDF44" w14:textId="77777777" w:rsidR="0077456B" w:rsidRPr="0077456B" w:rsidRDefault="0077456B" w:rsidP="0077456B">
      <w:pPr>
        <w:rPr>
          <w:lang w:val="es-ES" w:eastAsia="es-CR"/>
        </w:rPr>
      </w:pPr>
    </w:p>
    <w:p w14:paraId="118DFBF0" w14:textId="77777777" w:rsidR="0077456B" w:rsidRPr="0077456B" w:rsidRDefault="0077456B" w:rsidP="0077456B">
      <w:pPr>
        <w:rPr>
          <w:lang w:val="es-ES" w:eastAsia="es-CR"/>
        </w:rPr>
      </w:pPr>
      <w:r w:rsidRPr="0077456B">
        <w:rPr>
          <w:noProof/>
          <w:lang w:eastAsia="es-CR"/>
        </w:rPr>
        <w:drawing>
          <wp:inline distT="0" distB="0" distL="0" distR="0" wp14:anchorId="7B1D2F9F" wp14:editId="030CB6AD">
            <wp:extent cx="6267450" cy="1652058"/>
            <wp:effectExtent l="0" t="0" r="0" b="5715"/>
            <wp:docPr id="576" name="Imagen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74364" cy="1653880"/>
                    </a:xfrm>
                    <a:prstGeom prst="rect">
                      <a:avLst/>
                    </a:prstGeom>
                    <a:noFill/>
                    <a:ln>
                      <a:noFill/>
                    </a:ln>
                  </pic:spPr>
                </pic:pic>
              </a:graphicData>
            </a:graphic>
          </wp:inline>
        </w:drawing>
      </w:r>
    </w:p>
    <w:p w14:paraId="0F06DD90" w14:textId="77777777" w:rsidR="0077456B" w:rsidRPr="0077456B" w:rsidRDefault="0077456B" w:rsidP="0077456B">
      <w:pPr>
        <w:rPr>
          <w:lang w:val="es-ES" w:eastAsia="es-CR"/>
        </w:rPr>
      </w:pPr>
    </w:p>
    <w:p w14:paraId="0C9BC72A" w14:textId="630C655E" w:rsidR="0077456B" w:rsidRPr="0077456B" w:rsidRDefault="0077456B" w:rsidP="0077456B">
      <w:pPr>
        <w:rPr>
          <w:lang w:val="es-ES" w:eastAsia="es-CR"/>
        </w:rPr>
      </w:pPr>
      <w:r w:rsidRPr="0077456B">
        <w:rPr>
          <w:noProof/>
          <w:lang w:eastAsia="es-CR"/>
        </w:rPr>
        <w:drawing>
          <wp:inline distT="0" distB="0" distL="0" distR="0" wp14:anchorId="345C30AB" wp14:editId="77FCC908">
            <wp:extent cx="6076950" cy="1667761"/>
            <wp:effectExtent l="0" t="0" r="0" b="8890"/>
            <wp:docPr id="577" name="Imagen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82457" cy="1669272"/>
                    </a:xfrm>
                    <a:prstGeom prst="rect">
                      <a:avLst/>
                    </a:prstGeom>
                    <a:noFill/>
                    <a:ln>
                      <a:noFill/>
                    </a:ln>
                  </pic:spPr>
                </pic:pic>
              </a:graphicData>
            </a:graphic>
          </wp:inline>
        </w:drawing>
      </w:r>
    </w:p>
    <w:p w14:paraId="22E3CFA5" w14:textId="77322C69" w:rsidR="0077456B" w:rsidRPr="00112C21" w:rsidRDefault="00112C21" w:rsidP="00112C21">
      <w:pPr>
        <w:pStyle w:val="Ttulo3"/>
        <w:rPr>
          <w:rFonts w:eastAsia="Times New Roman"/>
          <w:color w:val="2F5496"/>
          <w:sz w:val="28"/>
          <w:szCs w:val="28"/>
          <w:lang w:eastAsia="es-CR"/>
        </w:rPr>
      </w:pPr>
      <w:bookmarkStart w:id="1092" w:name="_NICSP_19-_Activos"/>
      <w:bookmarkStart w:id="1093" w:name="_Toc82769123"/>
      <w:bookmarkStart w:id="1094" w:name="_Toc173245348"/>
      <w:bookmarkEnd w:id="1092"/>
      <w:r w:rsidRPr="0077456B">
        <w:rPr>
          <w:rFonts w:eastAsia="Times New Roman"/>
          <w:lang w:eastAsia="es-CR"/>
        </w:rPr>
        <w:t>NICSP 19- ACTIVOS CONTINGENTES</w:t>
      </w:r>
      <w:bookmarkEnd w:id="1093"/>
      <w:bookmarkEnd w:id="1094"/>
    </w:p>
    <w:p w14:paraId="18A1B433" w14:textId="77777777" w:rsidR="0077456B" w:rsidRPr="0077456B" w:rsidRDefault="0077456B" w:rsidP="0077456B">
      <w:pPr>
        <w:rPr>
          <w:lang w:val="es-ES" w:eastAsia="es-CR"/>
        </w:rPr>
      </w:pPr>
      <w:r w:rsidRPr="0077456B">
        <w:rPr>
          <w:noProof/>
          <w:lang w:eastAsia="es-CR"/>
        </w:rPr>
        <w:drawing>
          <wp:inline distT="0" distB="0" distL="0" distR="0" wp14:anchorId="2AAE2BA2" wp14:editId="240D080B">
            <wp:extent cx="6048375" cy="1512094"/>
            <wp:effectExtent l="0" t="0" r="0" b="0"/>
            <wp:docPr id="578" name="Imagen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52747" cy="1513187"/>
                    </a:xfrm>
                    <a:prstGeom prst="rect">
                      <a:avLst/>
                    </a:prstGeom>
                    <a:noFill/>
                    <a:ln>
                      <a:noFill/>
                    </a:ln>
                  </pic:spPr>
                </pic:pic>
              </a:graphicData>
            </a:graphic>
          </wp:inline>
        </w:drawing>
      </w:r>
    </w:p>
    <w:p w14:paraId="0E8AD867" w14:textId="77777777" w:rsidR="0077456B" w:rsidRPr="0077456B" w:rsidRDefault="0077456B" w:rsidP="0077456B">
      <w:pPr>
        <w:rPr>
          <w:lang w:val="es-ES" w:eastAsia="es-CR"/>
        </w:rPr>
      </w:pPr>
    </w:p>
    <w:p w14:paraId="7F9CB304" w14:textId="77777777" w:rsidR="0077456B" w:rsidRPr="0077456B" w:rsidRDefault="0077456B" w:rsidP="0077456B">
      <w:pPr>
        <w:rPr>
          <w:lang w:val="es-ES" w:eastAsia="es-CR"/>
        </w:rPr>
      </w:pPr>
      <w:r w:rsidRPr="0077456B">
        <w:rPr>
          <w:noProof/>
          <w:lang w:eastAsia="es-CR"/>
        </w:rPr>
        <w:drawing>
          <wp:inline distT="0" distB="0" distL="0" distR="0" wp14:anchorId="27EB5A96" wp14:editId="03C52C85">
            <wp:extent cx="6076950" cy="1521023"/>
            <wp:effectExtent l="0" t="0" r="0" b="3175"/>
            <wp:docPr id="579" name="Imagen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88535" cy="1523923"/>
                    </a:xfrm>
                    <a:prstGeom prst="rect">
                      <a:avLst/>
                    </a:prstGeom>
                    <a:noFill/>
                    <a:ln>
                      <a:noFill/>
                    </a:ln>
                  </pic:spPr>
                </pic:pic>
              </a:graphicData>
            </a:graphic>
          </wp:inline>
        </w:drawing>
      </w:r>
    </w:p>
    <w:p w14:paraId="398CAB39" w14:textId="77777777" w:rsidR="0077456B" w:rsidRPr="0077456B" w:rsidRDefault="0077456B" w:rsidP="0077456B">
      <w:pPr>
        <w:rPr>
          <w:lang w:val="es-ES" w:eastAsia="es-CR"/>
        </w:rPr>
      </w:pPr>
    </w:p>
    <w:p w14:paraId="64916C77" w14:textId="77777777" w:rsidR="0077456B" w:rsidRPr="0077456B" w:rsidRDefault="0077456B" w:rsidP="0077456B">
      <w:pPr>
        <w:rPr>
          <w:lang w:val="es-ES" w:eastAsia="es-CR"/>
        </w:rPr>
      </w:pPr>
      <w:r w:rsidRPr="0077456B">
        <w:rPr>
          <w:noProof/>
          <w:lang w:eastAsia="es-CR"/>
        </w:rPr>
        <w:drawing>
          <wp:inline distT="0" distB="0" distL="0" distR="0" wp14:anchorId="72BA1289" wp14:editId="7FB0C208">
            <wp:extent cx="6019800" cy="1545529"/>
            <wp:effectExtent l="0" t="0" r="0" b="0"/>
            <wp:docPr id="580" name="Imagen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25639" cy="1547028"/>
                    </a:xfrm>
                    <a:prstGeom prst="rect">
                      <a:avLst/>
                    </a:prstGeom>
                    <a:noFill/>
                    <a:ln>
                      <a:noFill/>
                    </a:ln>
                  </pic:spPr>
                </pic:pic>
              </a:graphicData>
            </a:graphic>
          </wp:inline>
        </w:drawing>
      </w:r>
    </w:p>
    <w:p w14:paraId="39FB0B5D" w14:textId="77777777" w:rsidR="0077456B" w:rsidRPr="0077456B" w:rsidRDefault="0077456B" w:rsidP="0077456B">
      <w:pPr>
        <w:rPr>
          <w:lang w:val="es-ES" w:eastAsia="es-CR"/>
        </w:rPr>
      </w:pPr>
    </w:p>
    <w:p w14:paraId="0D07EF03" w14:textId="550CE40B" w:rsidR="00112C21" w:rsidRPr="0077456B" w:rsidRDefault="0077456B" w:rsidP="0077456B">
      <w:pPr>
        <w:rPr>
          <w:lang w:val="es-ES" w:eastAsia="es-CR"/>
        </w:rPr>
      </w:pPr>
      <w:r w:rsidRPr="0077456B">
        <w:rPr>
          <w:noProof/>
          <w:lang w:eastAsia="es-CR"/>
        </w:rPr>
        <w:drawing>
          <wp:inline distT="0" distB="0" distL="0" distR="0" wp14:anchorId="4D7C80DD" wp14:editId="57B9C587">
            <wp:extent cx="5926591" cy="1476375"/>
            <wp:effectExtent l="0" t="0" r="0" b="0"/>
            <wp:docPr id="581" name="Imagen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2293" cy="1480286"/>
                    </a:xfrm>
                    <a:prstGeom prst="rect">
                      <a:avLst/>
                    </a:prstGeom>
                    <a:noFill/>
                    <a:ln>
                      <a:noFill/>
                    </a:ln>
                  </pic:spPr>
                </pic:pic>
              </a:graphicData>
            </a:graphic>
          </wp:inline>
        </w:drawing>
      </w:r>
    </w:p>
    <w:p w14:paraId="0014D48B" w14:textId="6037FB57" w:rsidR="0077456B" w:rsidRPr="00112C21" w:rsidRDefault="00112C21" w:rsidP="00112C21">
      <w:pPr>
        <w:pStyle w:val="Ttulo3"/>
        <w:rPr>
          <w:rFonts w:eastAsia="Times New Roman" w:cstheme="minorBidi"/>
          <w:color w:val="2F5496"/>
          <w:sz w:val="28"/>
          <w:szCs w:val="28"/>
          <w:lang w:eastAsia="es-CR"/>
        </w:rPr>
      </w:pPr>
      <w:bookmarkStart w:id="1095" w:name="_NICSP_19-_PASIVOS"/>
      <w:bookmarkStart w:id="1096" w:name="_Toc82769124"/>
      <w:bookmarkStart w:id="1097" w:name="_Toc173245349"/>
      <w:bookmarkEnd w:id="1095"/>
      <w:r w:rsidRPr="0077456B">
        <w:rPr>
          <w:rFonts w:eastAsia="Times New Roman"/>
          <w:lang w:eastAsia="es-CR"/>
        </w:rPr>
        <w:t>NICSP 19- PASIVOS CONTINGENTES</w:t>
      </w:r>
      <w:bookmarkEnd w:id="1096"/>
      <w:bookmarkEnd w:id="1097"/>
    </w:p>
    <w:p w14:paraId="3A2A9437" w14:textId="77777777" w:rsidR="0077456B" w:rsidRPr="0077456B" w:rsidRDefault="0077456B" w:rsidP="0077456B">
      <w:pPr>
        <w:rPr>
          <w:rFonts w:eastAsia="Times New Roman" w:cs="Calibri"/>
          <w:color w:val="1F3864"/>
          <w:sz w:val="26"/>
          <w:szCs w:val="26"/>
          <w:lang w:eastAsia="es-CR"/>
        </w:rPr>
      </w:pPr>
      <w:r w:rsidRPr="0077456B">
        <w:rPr>
          <w:rFonts w:eastAsia="Times New Roman" w:cs="Calibri"/>
          <w:noProof/>
          <w:color w:val="1F3864"/>
          <w:sz w:val="26"/>
          <w:szCs w:val="26"/>
          <w:lang w:eastAsia="es-CR"/>
        </w:rPr>
        <w:drawing>
          <wp:inline distT="0" distB="0" distL="0" distR="0" wp14:anchorId="113F397F" wp14:editId="58C372F5">
            <wp:extent cx="6238875" cy="1535948"/>
            <wp:effectExtent l="0" t="0" r="0" b="7620"/>
            <wp:docPr id="582" name="Imagen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44669" cy="1537374"/>
                    </a:xfrm>
                    <a:prstGeom prst="rect">
                      <a:avLst/>
                    </a:prstGeom>
                    <a:noFill/>
                    <a:ln>
                      <a:noFill/>
                    </a:ln>
                  </pic:spPr>
                </pic:pic>
              </a:graphicData>
            </a:graphic>
          </wp:inline>
        </w:drawing>
      </w:r>
    </w:p>
    <w:p w14:paraId="0E84D2E8" w14:textId="77777777" w:rsidR="0077456B" w:rsidRPr="0077456B" w:rsidRDefault="0077456B" w:rsidP="0077456B">
      <w:pPr>
        <w:rPr>
          <w:rFonts w:eastAsia="Times New Roman" w:cs="Calibri"/>
          <w:color w:val="1F3864"/>
          <w:sz w:val="26"/>
          <w:szCs w:val="26"/>
          <w:lang w:eastAsia="es-CR"/>
        </w:rPr>
      </w:pPr>
    </w:p>
    <w:p w14:paraId="189BD5FE" w14:textId="77777777" w:rsidR="0077456B" w:rsidRPr="0077456B" w:rsidRDefault="0077456B" w:rsidP="0077456B">
      <w:pPr>
        <w:rPr>
          <w:rFonts w:eastAsia="Times New Roman" w:cs="Calibri"/>
          <w:color w:val="1F3864"/>
          <w:sz w:val="26"/>
          <w:szCs w:val="26"/>
          <w:lang w:eastAsia="es-CR"/>
        </w:rPr>
      </w:pPr>
      <w:r w:rsidRPr="0077456B">
        <w:rPr>
          <w:rFonts w:eastAsia="Times New Roman" w:cs="Calibri"/>
          <w:noProof/>
          <w:color w:val="1F3864"/>
          <w:sz w:val="26"/>
          <w:szCs w:val="26"/>
          <w:lang w:eastAsia="es-CR"/>
        </w:rPr>
        <w:drawing>
          <wp:inline distT="0" distB="0" distL="0" distR="0" wp14:anchorId="6987EFD1" wp14:editId="12216767">
            <wp:extent cx="6276975" cy="1540049"/>
            <wp:effectExtent l="0" t="0" r="0" b="3175"/>
            <wp:docPr id="583" name="Imagen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89624" cy="1543152"/>
                    </a:xfrm>
                    <a:prstGeom prst="rect">
                      <a:avLst/>
                    </a:prstGeom>
                    <a:noFill/>
                    <a:ln>
                      <a:noFill/>
                    </a:ln>
                  </pic:spPr>
                </pic:pic>
              </a:graphicData>
            </a:graphic>
          </wp:inline>
        </w:drawing>
      </w:r>
    </w:p>
    <w:p w14:paraId="2D6D1E3B" w14:textId="77777777" w:rsidR="0077456B" w:rsidRPr="0077456B" w:rsidRDefault="0077456B" w:rsidP="0077456B">
      <w:pPr>
        <w:rPr>
          <w:rFonts w:eastAsia="Times New Roman" w:cs="Calibri"/>
          <w:color w:val="1F3864"/>
          <w:sz w:val="26"/>
          <w:szCs w:val="26"/>
          <w:lang w:eastAsia="es-CR"/>
        </w:rPr>
      </w:pPr>
    </w:p>
    <w:p w14:paraId="4E2D96AC" w14:textId="77777777" w:rsidR="0077456B" w:rsidRPr="0077456B" w:rsidRDefault="0077456B" w:rsidP="0077456B">
      <w:pPr>
        <w:rPr>
          <w:rFonts w:eastAsia="Times New Roman" w:cs="Calibri"/>
          <w:color w:val="1F3864"/>
          <w:sz w:val="26"/>
          <w:szCs w:val="26"/>
          <w:lang w:eastAsia="es-CR"/>
        </w:rPr>
      </w:pPr>
      <w:r w:rsidRPr="0077456B">
        <w:rPr>
          <w:rFonts w:eastAsia="Times New Roman" w:cs="Calibri"/>
          <w:noProof/>
          <w:color w:val="1F3864"/>
          <w:sz w:val="26"/>
          <w:szCs w:val="26"/>
          <w:lang w:eastAsia="es-CR"/>
        </w:rPr>
        <w:drawing>
          <wp:inline distT="0" distB="0" distL="0" distR="0" wp14:anchorId="15ECDB84" wp14:editId="7B5C3D3E">
            <wp:extent cx="6191250" cy="1450398"/>
            <wp:effectExtent l="0" t="0" r="0" b="0"/>
            <wp:docPr id="584" name="Imagen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98622" cy="1452125"/>
                    </a:xfrm>
                    <a:prstGeom prst="rect">
                      <a:avLst/>
                    </a:prstGeom>
                    <a:noFill/>
                    <a:ln>
                      <a:noFill/>
                    </a:ln>
                  </pic:spPr>
                </pic:pic>
              </a:graphicData>
            </a:graphic>
          </wp:inline>
        </w:drawing>
      </w:r>
    </w:p>
    <w:p w14:paraId="45FA2B23" w14:textId="77777777" w:rsidR="0077456B" w:rsidRPr="0077456B" w:rsidRDefault="0077456B" w:rsidP="0077456B">
      <w:pPr>
        <w:rPr>
          <w:rFonts w:eastAsia="Times New Roman" w:cs="Calibri"/>
          <w:color w:val="1F3864"/>
          <w:sz w:val="26"/>
          <w:szCs w:val="26"/>
          <w:lang w:eastAsia="es-CR"/>
        </w:rPr>
      </w:pPr>
    </w:p>
    <w:p w14:paraId="55DEC8C3" w14:textId="092C1B1D" w:rsidR="0077456B" w:rsidRPr="0077456B" w:rsidRDefault="0077456B" w:rsidP="0077456B">
      <w:pPr>
        <w:rPr>
          <w:rFonts w:eastAsia="Times New Roman" w:cs="Calibri"/>
          <w:color w:val="1F3864"/>
          <w:sz w:val="26"/>
          <w:szCs w:val="26"/>
          <w:lang w:eastAsia="es-CR"/>
        </w:rPr>
      </w:pPr>
      <w:r w:rsidRPr="0077456B">
        <w:rPr>
          <w:rFonts w:eastAsia="Times New Roman" w:cs="Calibri"/>
          <w:noProof/>
          <w:color w:val="1F3864"/>
          <w:sz w:val="26"/>
          <w:szCs w:val="26"/>
          <w:lang w:eastAsia="es-CR"/>
        </w:rPr>
        <w:drawing>
          <wp:inline distT="0" distB="0" distL="0" distR="0" wp14:anchorId="45BE227F" wp14:editId="3187E535">
            <wp:extent cx="6076950" cy="1435724"/>
            <wp:effectExtent l="0" t="0" r="0" b="0"/>
            <wp:docPr id="585" name="Imagen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88201" cy="1438382"/>
                    </a:xfrm>
                    <a:prstGeom prst="rect">
                      <a:avLst/>
                    </a:prstGeom>
                    <a:noFill/>
                    <a:ln>
                      <a:noFill/>
                    </a:ln>
                  </pic:spPr>
                </pic:pic>
              </a:graphicData>
            </a:graphic>
          </wp:inline>
        </w:drawing>
      </w:r>
    </w:p>
    <w:p w14:paraId="57D65E0D" w14:textId="49C9756B" w:rsidR="0077456B" w:rsidRPr="00112C21" w:rsidRDefault="00112C21" w:rsidP="00112C21">
      <w:pPr>
        <w:pStyle w:val="Ttulo3"/>
        <w:rPr>
          <w:rFonts w:eastAsia="Times New Roman"/>
          <w:color w:val="2F5496"/>
          <w:sz w:val="28"/>
          <w:szCs w:val="28"/>
          <w:lang w:eastAsia="es-CR"/>
        </w:rPr>
      </w:pPr>
      <w:bookmarkStart w:id="1098" w:name="_NICSP_27-_Agricultura"/>
      <w:bookmarkStart w:id="1099" w:name="_Toc82769125"/>
      <w:bookmarkStart w:id="1100" w:name="_Toc173245350"/>
      <w:bookmarkEnd w:id="1098"/>
      <w:r w:rsidRPr="0077456B">
        <w:rPr>
          <w:rFonts w:eastAsia="Times New Roman"/>
          <w:lang w:eastAsia="es-CR"/>
        </w:rPr>
        <w:t>NICSP 27- AGRICULTURA</w:t>
      </w:r>
      <w:bookmarkEnd w:id="1099"/>
      <w:bookmarkEnd w:id="1100"/>
    </w:p>
    <w:p w14:paraId="0096F7EF" w14:textId="44DC844A" w:rsidR="0077456B" w:rsidRPr="0077456B" w:rsidRDefault="0077456B" w:rsidP="0077456B">
      <w:pPr>
        <w:rPr>
          <w:rFonts w:eastAsia="Times New Roman" w:cs="Calibri"/>
          <w:color w:val="1F3864"/>
          <w:sz w:val="26"/>
          <w:szCs w:val="26"/>
          <w:lang w:eastAsia="es-CR"/>
        </w:rPr>
      </w:pPr>
      <w:r w:rsidRPr="0077456B">
        <w:rPr>
          <w:rFonts w:eastAsia="Times New Roman" w:cs="Calibri"/>
          <w:noProof/>
          <w:color w:val="1F3864"/>
          <w:sz w:val="26"/>
          <w:szCs w:val="26"/>
          <w:lang w:eastAsia="es-CR"/>
        </w:rPr>
        <w:drawing>
          <wp:inline distT="0" distB="0" distL="0" distR="0" wp14:anchorId="336CB684" wp14:editId="6CA2B048">
            <wp:extent cx="4434840" cy="1158240"/>
            <wp:effectExtent l="0" t="0" r="0" b="0"/>
            <wp:docPr id="586" name="Imagen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34840" cy="1158240"/>
                    </a:xfrm>
                    <a:prstGeom prst="rect">
                      <a:avLst/>
                    </a:prstGeom>
                    <a:noFill/>
                    <a:ln>
                      <a:noFill/>
                    </a:ln>
                  </pic:spPr>
                </pic:pic>
              </a:graphicData>
            </a:graphic>
          </wp:inline>
        </w:drawing>
      </w:r>
    </w:p>
    <w:p w14:paraId="633EBE20" w14:textId="47D7FF56" w:rsidR="0077456B" w:rsidRPr="0077456B" w:rsidRDefault="0077456B" w:rsidP="0077456B">
      <w:pPr>
        <w:rPr>
          <w:rFonts w:eastAsia="Times New Roman" w:cs="Calibri"/>
          <w:color w:val="1F3864"/>
          <w:sz w:val="26"/>
          <w:szCs w:val="26"/>
          <w:lang w:eastAsia="es-CR"/>
        </w:rPr>
      </w:pPr>
      <w:r w:rsidRPr="0077456B">
        <w:rPr>
          <w:rFonts w:eastAsia="Times New Roman" w:cs="Calibri"/>
          <w:noProof/>
          <w:color w:val="1F3864"/>
          <w:sz w:val="26"/>
          <w:szCs w:val="26"/>
          <w:lang w:eastAsia="es-CR"/>
        </w:rPr>
        <w:drawing>
          <wp:inline distT="0" distB="0" distL="0" distR="0" wp14:anchorId="38519B30" wp14:editId="2DBB62F8">
            <wp:extent cx="4434840" cy="1158240"/>
            <wp:effectExtent l="0" t="0" r="0" b="0"/>
            <wp:docPr id="587" name="Imagen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34840" cy="1158240"/>
                    </a:xfrm>
                    <a:prstGeom prst="rect">
                      <a:avLst/>
                    </a:prstGeom>
                    <a:noFill/>
                    <a:ln>
                      <a:noFill/>
                    </a:ln>
                  </pic:spPr>
                </pic:pic>
              </a:graphicData>
            </a:graphic>
          </wp:inline>
        </w:drawing>
      </w:r>
    </w:p>
    <w:p w14:paraId="7910CC5B" w14:textId="77777777" w:rsidR="0077456B" w:rsidRPr="0077456B" w:rsidRDefault="0077456B" w:rsidP="0077456B">
      <w:pPr>
        <w:rPr>
          <w:rFonts w:eastAsia="Times New Roman" w:cs="Calibri"/>
          <w:color w:val="1F3864"/>
          <w:sz w:val="26"/>
          <w:szCs w:val="26"/>
          <w:lang w:eastAsia="es-CR"/>
        </w:rPr>
      </w:pPr>
      <w:r w:rsidRPr="0077456B">
        <w:rPr>
          <w:rFonts w:eastAsia="Times New Roman" w:cs="Calibri"/>
          <w:noProof/>
          <w:color w:val="1F3864"/>
          <w:sz w:val="26"/>
          <w:szCs w:val="26"/>
          <w:lang w:eastAsia="es-CR"/>
        </w:rPr>
        <w:drawing>
          <wp:inline distT="0" distB="0" distL="0" distR="0" wp14:anchorId="08D09877" wp14:editId="4575D4F0">
            <wp:extent cx="5059680" cy="1158240"/>
            <wp:effectExtent l="0" t="0" r="0" b="0"/>
            <wp:docPr id="588" name="Imagen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59680" cy="1158240"/>
                    </a:xfrm>
                    <a:prstGeom prst="rect">
                      <a:avLst/>
                    </a:prstGeom>
                    <a:noFill/>
                    <a:ln>
                      <a:noFill/>
                    </a:ln>
                  </pic:spPr>
                </pic:pic>
              </a:graphicData>
            </a:graphic>
          </wp:inline>
        </w:drawing>
      </w:r>
    </w:p>
    <w:p w14:paraId="147CAD22" w14:textId="77777777" w:rsidR="0077456B" w:rsidRPr="0077456B" w:rsidRDefault="0077456B" w:rsidP="0077456B">
      <w:pPr>
        <w:rPr>
          <w:rFonts w:eastAsia="Times New Roman" w:cs="Calibri"/>
          <w:color w:val="1F3864"/>
          <w:sz w:val="26"/>
          <w:szCs w:val="26"/>
          <w:lang w:eastAsia="es-CR"/>
        </w:rPr>
      </w:pPr>
    </w:p>
    <w:p w14:paraId="0E0A9E63" w14:textId="446B66E6" w:rsidR="0077456B" w:rsidRDefault="0077456B" w:rsidP="0077456B">
      <w:pPr>
        <w:rPr>
          <w:rFonts w:eastAsia="Times New Roman" w:cs="Calibri"/>
          <w:color w:val="1F3864"/>
          <w:sz w:val="26"/>
          <w:szCs w:val="26"/>
          <w:lang w:eastAsia="es-CR"/>
        </w:rPr>
      </w:pPr>
    </w:p>
    <w:p w14:paraId="67576B88" w14:textId="1FC5226A" w:rsidR="00112C21" w:rsidRDefault="00112C21" w:rsidP="0077456B">
      <w:pPr>
        <w:rPr>
          <w:rFonts w:eastAsia="Times New Roman" w:cs="Calibri"/>
          <w:color w:val="1F3864"/>
          <w:sz w:val="26"/>
          <w:szCs w:val="26"/>
          <w:lang w:eastAsia="es-CR"/>
        </w:rPr>
      </w:pPr>
    </w:p>
    <w:p w14:paraId="68C60676" w14:textId="77777777" w:rsidR="00112C21" w:rsidRPr="0077456B" w:rsidRDefault="00112C21" w:rsidP="0077456B">
      <w:pPr>
        <w:rPr>
          <w:rFonts w:eastAsia="Times New Roman" w:cs="Calibri"/>
          <w:color w:val="1F3864"/>
          <w:sz w:val="26"/>
          <w:szCs w:val="26"/>
          <w:lang w:eastAsia="es-CR"/>
        </w:rPr>
      </w:pPr>
    </w:p>
    <w:p w14:paraId="4A64E8BB" w14:textId="59F95DAC" w:rsidR="0077456B" w:rsidRPr="00112C21" w:rsidRDefault="00112C21" w:rsidP="00112C21">
      <w:pPr>
        <w:pStyle w:val="Ttulo3"/>
        <w:rPr>
          <w:rFonts w:eastAsia="Times New Roman"/>
          <w:color w:val="2F5496"/>
          <w:sz w:val="28"/>
          <w:szCs w:val="28"/>
          <w:lang w:eastAsia="es-CR"/>
        </w:rPr>
      </w:pPr>
      <w:bookmarkStart w:id="1101" w:name="_NICSP_28-_29-"/>
      <w:bookmarkStart w:id="1102" w:name="_Toc82769126"/>
      <w:bookmarkStart w:id="1103" w:name="_Toc173245351"/>
      <w:bookmarkEnd w:id="1101"/>
      <w:r w:rsidRPr="0077456B">
        <w:rPr>
          <w:rFonts w:eastAsia="Times New Roman"/>
          <w:lang w:eastAsia="es-CR"/>
        </w:rPr>
        <w:t>NICSP 28- 29- 30</w:t>
      </w:r>
      <w:bookmarkEnd w:id="1102"/>
      <w:bookmarkEnd w:id="1103"/>
    </w:p>
    <w:tbl>
      <w:tblPr>
        <w:tblW w:w="10024" w:type="dxa"/>
        <w:tblInd w:w="-10" w:type="dxa"/>
        <w:tblLook w:val="04A0" w:firstRow="1" w:lastRow="0" w:firstColumn="1" w:lastColumn="0" w:noHBand="0" w:noVBand="1"/>
      </w:tblPr>
      <w:tblGrid>
        <w:gridCol w:w="426"/>
        <w:gridCol w:w="3260"/>
        <w:gridCol w:w="1417"/>
        <w:gridCol w:w="1276"/>
        <w:gridCol w:w="1134"/>
        <w:gridCol w:w="1417"/>
        <w:gridCol w:w="1094"/>
      </w:tblGrid>
      <w:tr w:rsidR="00ED77EA" w:rsidRPr="00ED77EA" w14:paraId="0B13DC09" w14:textId="77777777" w:rsidTr="00CD40D5">
        <w:trPr>
          <w:trHeight w:val="290"/>
        </w:trPr>
        <w:tc>
          <w:tcPr>
            <w:tcW w:w="426" w:type="dxa"/>
            <w:tcBorders>
              <w:top w:val="single" w:sz="8" w:space="0" w:color="auto"/>
              <w:left w:val="single" w:sz="8" w:space="0" w:color="auto"/>
              <w:bottom w:val="nil"/>
              <w:right w:val="single" w:sz="8" w:space="0" w:color="auto"/>
            </w:tcBorders>
            <w:shd w:val="clear" w:color="000000" w:fill="17365D"/>
            <w:vAlign w:val="center"/>
            <w:hideMark/>
          </w:tcPr>
          <w:p w14:paraId="532278EA" w14:textId="77777777" w:rsidR="00ED77EA" w:rsidRPr="00ED77EA" w:rsidRDefault="00ED77EA" w:rsidP="004653E2">
            <w:pPr>
              <w:spacing w:after="0" w:line="240" w:lineRule="auto"/>
              <w:jc w:val="center"/>
              <w:rPr>
                <w:rFonts w:eastAsia="Times New Roman" w:cs="Calibri"/>
                <w:color w:val="FFFFFF"/>
                <w:sz w:val="16"/>
                <w:szCs w:val="16"/>
                <w:lang w:val="en-US"/>
              </w:rPr>
            </w:pPr>
            <w:r w:rsidRPr="00ED77EA">
              <w:rPr>
                <w:rFonts w:eastAsia="Times New Roman" w:cs="Calibri"/>
                <w:color w:val="FFFFFF"/>
                <w:sz w:val="16"/>
                <w:szCs w:val="16"/>
                <w:lang w:val="en-US"/>
              </w:rPr>
              <w:t>#</w:t>
            </w:r>
          </w:p>
        </w:tc>
        <w:tc>
          <w:tcPr>
            <w:tcW w:w="3260" w:type="dxa"/>
            <w:tcBorders>
              <w:top w:val="single" w:sz="8" w:space="0" w:color="auto"/>
              <w:left w:val="nil"/>
              <w:bottom w:val="single" w:sz="8" w:space="0" w:color="auto"/>
              <w:right w:val="single" w:sz="8" w:space="0" w:color="auto"/>
            </w:tcBorders>
            <w:shd w:val="clear" w:color="000000" w:fill="1F3864"/>
            <w:vAlign w:val="center"/>
            <w:hideMark/>
          </w:tcPr>
          <w:p w14:paraId="6C8594E7" w14:textId="77777777" w:rsidR="00ED77EA" w:rsidRPr="00ED77EA" w:rsidRDefault="00ED77EA" w:rsidP="004653E2">
            <w:pPr>
              <w:spacing w:after="0" w:line="240" w:lineRule="auto"/>
              <w:jc w:val="center"/>
              <w:rPr>
                <w:rFonts w:eastAsia="Times New Roman" w:cs="Calibri"/>
                <w:color w:val="FFFFFF"/>
                <w:sz w:val="16"/>
                <w:szCs w:val="16"/>
                <w:lang w:val="en-US"/>
              </w:rPr>
            </w:pPr>
            <w:r w:rsidRPr="00ED77EA">
              <w:rPr>
                <w:rFonts w:eastAsia="Times New Roman" w:cs="Calibri"/>
                <w:color w:val="FFFFFF"/>
                <w:sz w:val="16"/>
                <w:szCs w:val="16"/>
                <w:lang w:val="en-US"/>
              </w:rPr>
              <w:t>Categoría Activo Financiero</w:t>
            </w:r>
          </w:p>
        </w:tc>
        <w:tc>
          <w:tcPr>
            <w:tcW w:w="1417" w:type="dxa"/>
            <w:tcBorders>
              <w:top w:val="single" w:sz="8" w:space="0" w:color="auto"/>
              <w:left w:val="nil"/>
              <w:bottom w:val="single" w:sz="8" w:space="0" w:color="auto"/>
              <w:right w:val="single" w:sz="8" w:space="0" w:color="auto"/>
            </w:tcBorders>
            <w:shd w:val="clear" w:color="000000" w:fill="1F3864"/>
            <w:vAlign w:val="center"/>
            <w:hideMark/>
          </w:tcPr>
          <w:p w14:paraId="5BAE5156" w14:textId="77777777" w:rsidR="00ED77EA" w:rsidRPr="00ED77EA" w:rsidRDefault="00ED77EA" w:rsidP="004653E2">
            <w:pPr>
              <w:spacing w:after="0" w:line="240" w:lineRule="auto"/>
              <w:jc w:val="center"/>
              <w:rPr>
                <w:rFonts w:eastAsia="Times New Roman" w:cs="Calibri"/>
                <w:color w:val="FFFFFF"/>
                <w:sz w:val="16"/>
                <w:szCs w:val="16"/>
                <w:lang w:val="en-US"/>
              </w:rPr>
            </w:pPr>
            <w:r w:rsidRPr="00ED77EA">
              <w:rPr>
                <w:rFonts w:eastAsia="Times New Roman" w:cs="Calibri"/>
                <w:color w:val="FFFFFF"/>
                <w:sz w:val="16"/>
                <w:szCs w:val="16"/>
                <w:lang w:val="en-US"/>
              </w:rPr>
              <w:t>Tasa rendimiento</w:t>
            </w:r>
          </w:p>
        </w:tc>
        <w:tc>
          <w:tcPr>
            <w:tcW w:w="1276" w:type="dxa"/>
            <w:tcBorders>
              <w:top w:val="single" w:sz="8" w:space="0" w:color="auto"/>
              <w:left w:val="nil"/>
              <w:bottom w:val="single" w:sz="8" w:space="0" w:color="auto"/>
              <w:right w:val="single" w:sz="8" w:space="0" w:color="auto"/>
            </w:tcBorders>
            <w:shd w:val="clear" w:color="000000" w:fill="1F3864"/>
            <w:noWrap/>
            <w:vAlign w:val="center"/>
            <w:hideMark/>
          </w:tcPr>
          <w:p w14:paraId="49732DFA" w14:textId="77777777" w:rsidR="00ED77EA" w:rsidRPr="00ED77EA" w:rsidRDefault="00ED77EA" w:rsidP="004653E2">
            <w:pPr>
              <w:spacing w:after="0" w:line="240" w:lineRule="auto"/>
              <w:jc w:val="center"/>
              <w:rPr>
                <w:rFonts w:eastAsia="Times New Roman" w:cs="Calibri"/>
                <w:color w:val="FFFFFF"/>
                <w:sz w:val="16"/>
                <w:szCs w:val="16"/>
                <w:lang w:val="en-US"/>
              </w:rPr>
            </w:pPr>
            <w:r w:rsidRPr="00ED77EA">
              <w:rPr>
                <w:rFonts w:eastAsia="Times New Roman" w:cs="Calibri"/>
                <w:color w:val="FFFFFF"/>
                <w:sz w:val="16"/>
                <w:szCs w:val="16"/>
                <w:lang w:val="en-US"/>
              </w:rPr>
              <w:t>Valor libros</w:t>
            </w:r>
          </w:p>
        </w:tc>
        <w:tc>
          <w:tcPr>
            <w:tcW w:w="1134" w:type="dxa"/>
            <w:tcBorders>
              <w:top w:val="single" w:sz="8" w:space="0" w:color="auto"/>
              <w:left w:val="nil"/>
              <w:bottom w:val="single" w:sz="8" w:space="0" w:color="auto"/>
              <w:right w:val="single" w:sz="8" w:space="0" w:color="auto"/>
            </w:tcBorders>
            <w:shd w:val="clear" w:color="000000" w:fill="1F3864"/>
            <w:noWrap/>
            <w:vAlign w:val="center"/>
            <w:hideMark/>
          </w:tcPr>
          <w:p w14:paraId="62B7B293" w14:textId="77777777" w:rsidR="00ED77EA" w:rsidRPr="00ED77EA" w:rsidRDefault="00ED77EA" w:rsidP="004653E2">
            <w:pPr>
              <w:spacing w:after="0" w:line="240" w:lineRule="auto"/>
              <w:jc w:val="center"/>
              <w:rPr>
                <w:rFonts w:eastAsia="Times New Roman" w:cs="Calibri"/>
                <w:color w:val="FFFFFF"/>
                <w:sz w:val="16"/>
                <w:szCs w:val="16"/>
                <w:lang w:val="en-US"/>
              </w:rPr>
            </w:pPr>
            <w:r w:rsidRPr="00ED77EA">
              <w:rPr>
                <w:rFonts w:eastAsia="Times New Roman" w:cs="Calibri"/>
                <w:color w:val="FFFFFF"/>
                <w:sz w:val="16"/>
                <w:szCs w:val="16"/>
                <w:lang w:val="en-US"/>
              </w:rPr>
              <w:t>Valor razonable</w:t>
            </w:r>
          </w:p>
        </w:tc>
        <w:tc>
          <w:tcPr>
            <w:tcW w:w="1417" w:type="dxa"/>
            <w:tcBorders>
              <w:top w:val="single" w:sz="8" w:space="0" w:color="auto"/>
              <w:left w:val="nil"/>
              <w:bottom w:val="single" w:sz="8" w:space="0" w:color="auto"/>
              <w:right w:val="single" w:sz="8" w:space="0" w:color="auto"/>
            </w:tcBorders>
            <w:shd w:val="clear" w:color="000000" w:fill="1F3864"/>
            <w:noWrap/>
            <w:vAlign w:val="center"/>
            <w:hideMark/>
          </w:tcPr>
          <w:p w14:paraId="3C4A9AAD" w14:textId="77777777" w:rsidR="00ED77EA" w:rsidRPr="00ED77EA" w:rsidRDefault="00ED77EA" w:rsidP="004653E2">
            <w:pPr>
              <w:spacing w:after="0" w:line="240" w:lineRule="auto"/>
              <w:jc w:val="center"/>
              <w:rPr>
                <w:rFonts w:eastAsia="Times New Roman" w:cs="Calibri"/>
                <w:color w:val="FFFFFF"/>
                <w:sz w:val="16"/>
                <w:szCs w:val="16"/>
                <w:lang w:val="en-US"/>
              </w:rPr>
            </w:pPr>
            <w:r w:rsidRPr="00ED77EA">
              <w:rPr>
                <w:rFonts w:eastAsia="Times New Roman" w:cs="Calibri"/>
                <w:color w:val="FFFFFF"/>
                <w:sz w:val="16"/>
                <w:szCs w:val="16"/>
                <w:lang w:val="en-US"/>
              </w:rPr>
              <w:t>Nivel riesgo</w:t>
            </w:r>
          </w:p>
        </w:tc>
        <w:tc>
          <w:tcPr>
            <w:tcW w:w="1094" w:type="dxa"/>
            <w:tcBorders>
              <w:top w:val="single" w:sz="8" w:space="0" w:color="auto"/>
              <w:left w:val="nil"/>
              <w:bottom w:val="single" w:sz="8" w:space="0" w:color="auto"/>
              <w:right w:val="single" w:sz="8" w:space="0" w:color="auto"/>
            </w:tcBorders>
            <w:shd w:val="clear" w:color="000000" w:fill="1F3864"/>
            <w:noWrap/>
            <w:vAlign w:val="center"/>
            <w:hideMark/>
          </w:tcPr>
          <w:p w14:paraId="151CC08F" w14:textId="77777777" w:rsidR="00ED77EA" w:rsidRPr="00ED77EA" w:rsidRDefault="00ED77EA" w:rsidP="004653E2">
            <w:pPr>
              <w:spacing w:after="0" w:line="240" w:lineRule="auto"/>
              <w:jc w:val="center"/>
              <w:rPr>
                <w:rFonts w:eastAsia="Times New Roman" w:cs="Calibri"/>
                <w:color w:val="FFFFFF"/>
                <w:sz w:val="16"/>
                <w:szCs w:val="16"/>
                <w:lang w:val="en-US"/>
              </w:rPr>
            </w:pPr>
            <w:r w:rsidRPr="00ED77EA">
              <w:rPr>
                <w:rFonts w:eastAsia="Times New Roman" w:cs="Calibri"/>
                <w:color w:val="FFFFFF"/>
                <w:sz w:val="16"/>
                <w:szCs w:val="16"/>
                <w:lang w:val="en-US"/>
              </w:rPr>
              <w:t>Observaciones</w:t>
            </w:r>
          </w:p>
        </w:tc>
      </w:tr>
      <w:tr w:rsidR="00ED77EA" w:rsidRPr="00ED77EA" w14:paraId="6383E088" w14:textId="77777777" w:rsidTr="00CD40D5">
        <w:trPr>
          <w:trHeight w:val="290"/>
        </w:trPr>
        <w:tc>
          <w:tcPr>
            <w:tcW w:w="426" w:type="dxa"/>
            <w:tcBorders>
              <w:top w:val="nil"/>
              <w:left w:val="single" w:sz="8" w:space="0" w:color="auto"/>
              <w:bottom w:val="single" w:sz="8" w:space="0" w:color="auto"/>
              <w:right w:val="single" w:sz="8" w:space="0" w:color="auto"/>
            </w:tcBorders>
            <w:shd w:val="clear" w:color="auto" w:fill="auto"/>
            <w:noWrap/>
            <w:vAlign w:val="center"/>
            <w:hideMark/>
          </w:tcPr>
          <w:p w14:paraId="13ECED95" w14:textId="77777777" w:rsidR="00ED77EA" w:rsidRPr="00ED77EA" w:rsidRDefault="00ED77EA" w:rsidP="004653E2">
            <w:pPr>
              <w:spacing w:after="0" w:line="240" w:lineRule="auto"/>
              <w:jc w:val="center"/>
              <w:rPr>
                <w:rFonts w:eastAsia="Times New Roman" w:cs="Calibri"/>
                <w:color w:val="000000"/>
                <w:sz w:val="18"/>
                <w:szCs w:val="18"/>
                <w:lang w:val="en-US"/>
              </w:rPr>
            </w:pPr>
            <w:r w:rsidRPr="00ED77EA">
              <w:rPr>
                <w:rFonts w:eastAsia="Times New Roman" w:cs="Calibri"/>
                <w:color w:val="000000"/>
                <w:sz w:val="18"/>
                <w:szCs w:val="18"/>
                <w:lang w:val="en-US"/>
              </w:rPr>
              <w:t>1</w:t>
            </w:r>
          </w:p>
        </w:tc>
        <w:tc>
          <w:tcPr>
            <w:tcW w:w="3260" w:type="dxa"/>
            <w:tcBorders>
              <w:top w:val="nil"/>
              <w:left w:val="nil"/>
              <w:bottom w:val="single" w:sz="8" w:space="0" w:color="auto"/>
              <w:right w:val="single" w:sz="8" w:space="0" w:color="auto"/>
            </w:tcBorders>
            <w:shd w:val="clear" w:color="auto" w:fill="auto"/>
            <w:noWrap/>
            <w:vAlign w:val="center"/>
            <w:hideMark/>
          </w:tcPr>
          <w:p w14:paraId="03633C55" w14:textId="77777777" w:rsidR="00ED77EA" w:rsidRPr="00ED77EA" w:rsidRDefault="00ED77EA" w:rsidP="004653E2">
            <w:pPr>
              <w:spacing w:after="0" w:line="240" w:lineRule="auto"/>
              <w:jc w:val="left"/>
              <w:rPr>
                <w:rFonts w:eastAsia="Times New Roman" w:cs="Calibri"/>
                <w:color w:val="000000"/>
                <w:sz w:val="18"/>
                <w:szCs w:val="18"/>
              </w:rPr>
            </w:pPr>
            <w:r w:rsidRPr="00ED77EA">
              <w:rPr>
                <w:rFonts w:eastAsia="Times New Roman" w:cs="Calibri"/>
                <w:color w:val="000000"/>
                <w:sz w:val="18"/>
                <w:szCs w:val="18"/>
              </w:rPr>
              <w:t>Activo Financiero al Valor Razonable</w:t>
            </w:r>
          </w:p>
        </w:tc>
        <w:tc>
          <w:tcPr>
            <w:tcW w:w="1417" w:type="dxa"/>
            <w:tcBorders>
              <w:top w:val="nil"/>
              <w:left w:val="nil"/>
              <w:bottom w:val="single" w:sz="8" w:space="0" w:color="auto"/>
              <w:right w:val="single" w:sz="8" w:space="0" w:color="auto"/>
            </w:tcBorders>
            <w:shd w:val="clear" w:color="auto" w:fill="auto"/>
            <w:noWrap/>
            <w:vAlign w:val="center"/>
            <w:hideMark/>
          </w:tcPr>
          <w:p w14:paraId="110E3C22" w14:textId="77777777" w:rsidR="00ED77EA" w:rsidRPr="00ED77EA" w:rsidRDefault="00ED77EA" w:rsidP="004653E2">
            <w:pPr>
              <w:spacing w:after="0" w:line="240" w:lineRule="auto"/>
              <w:jc w:val="left"/>
              <w:rPr>
                <w:rFonts w:eastAsia="Times New Roman" w:cs="Calibri"/>
                <w:color w:val="000000"/>
                <w:sz w:val="18"/>
                <w:szCs w:val="18"/>
              </w:rPr>
            </w:pPr>
            <w:r w:rsidRPr="00ED77EA">
              <w:rPr>
                <w:rFonts w:eastAsia="Times New Roman" w:cs="Calibri"/>
                <w:color w:val="000000"/>
                <w:sz w:val="18"/>
                <w:szCs w:val="18"/>
              </w:rPr>
              <w:t> </w:t>
            </w:r>
          </w:p>
        </w:tc>
        <w:tc>
          <w:tcPr>
            <w:tcW w:w="1276" w:type="dxa"/>
            <w:tcBorders>
              <w:top w:val="nil"/>
              <w:left w:val="nil"/>
              <w:bottom w:val="single" w:sz="8" w:space="0" w:color="auto"/>
              <w:right w:val="single" w:sz="8" w:space="0" w:color="auto"/>
            </w:tcBorders>
            <w:shd w:val="clear" w:color="auto" w:fill="auto"/>
            <w:noWrap/>
            <w:vAlign w:val="center"/>
            <w:hideMark/>
          </w:tcPr>
          <w:p w14:paraId="6A25A11E" w14:textId="2EE09761" w:rsidR="00ED77EA" w:rsidRPr="00ED77EA" w:rsidRDefault="00ED77EA" w:rsidP="00CD40D5">
            <w:pPr>
              <w:spacing w:after="0" w:line="240" w:lineRule="auto"/>
              <w:ind w:left="-102"/>
              <w:jc w:val="right"/>
              <w:rPr>
                <w:rFonts w:eastAsia="Times New Roman" w:cs="Calibri"/>
                <w:color w:val="000000"/>
                <w:sz w:val="18"/>
                <w:szCs w:val="18"/>
                <w:lang w:val="en-US"/>
              </w:rPr>
            </w:pPr>
            <w:r w:rsidRPr="00ED77EA">
              <w:rPr>
                <w:rFonts w:eastAsia="Times New Roman" w:cs="Calibri"/>
                <w:color w:val="000000"/>
                <w:sz w:val="18"/>
                <w:szCs w:val="18"/>
              </w:rPr>
              <w:t xml:space="preserve">                         </w:t>
            </w:r>
            <w:r w:rsidR="00CD40D5" w:rsidRPr="00CD40D5">
              <w:rPr>
                <w:rFonts w:ascii="Arial" w:eastAsia="Times New Roman" w:hAnsi="Arial" w:cs="Arial"/>
                <w:color w:val="000000"/>
                <w:sz w:val="18"/>
                <w:szCs w:val="18"/>
                <w:lang w:val="en-US"/>
              </w:rPr>
              <w:t>₡</w:t>
            </w:r>
            <w:r w:rsidRPr="00ED77EA">
              <w:rPr>
                <w:rFonts w:eastAsia="Times New Roman" w:cs="Calibri"/>
                <w:color w:val="000000"/>
                <w:sz w:val="18"/>
                <w:szCs w:val="18"/>
                <w:lang w:val="en-US"/>
              </w:rPr>
              <w:t>1 873 754,83</w:t>
            </w:r>
          </w:p>
        </w:tc>
        <w:tc>
          <w:tcPr>
            <w:tcW w:w="1134" w:type="dxa"/>
            <w:tcBorders>
              <w:top w:val="nil"/>
              <w:left w:val="nil"/>
              <w:bottom w:val="single" w:sz="8" w:space="0" w:color="auto"/>
              <w:right w:val="single" w:sz="8" w:space="0" w:color="auto"/>
            </w:tcBorders>
            <w:shd w:val="clear" w:color="auto" w:fill="auto"/>
            <w:noWrap/>
            <w:vAlign w:val="center"/>
            <w:hideMark/>
          </w:tcPr>
          <w:p w14:paraId="40A2E1A7" w14:textId="620FADD9" w:rsidR="00ED77EA" w:rsidRPr="00ED77EA" w:rsidRDefault="00ED77EA" w:rsidP="00CD40D5">
            <w:pPr>
              <w:spacing w:after="0" w:line="240" w:lineRule="auto"/>
              <w:ind w:left="-106"/>
              <w:jc w:val="right"/>
              <w:rPr>
                <w:rFonts w:eastAsia="Times New Roman" w:cs="Calibri"/>
                <w:color w:val="000000"/>
                <w:sz w:val="18"/>
                <w:szCs w:val="18"/>
                <w:lang w:val="en-US"/>
              </w:rPr>
            </w:pPr>
            <w:r w:rsidRPr="00ED77EA">
              <w:rPr>
                <w:rFonts w:eastAsia="Times New Roman" w:cs="Calibri"/>
                <w:color w:val="000000"/>
                <w:sz w:val="18"/>
                <w:szCs w:val="18"/>
                <w:lang w:val="en-US"/>
              </w:rPr>
              <w:t xml:space="preserve">                          </w:t>
            </w:r>
            <w:r w:rsidR="00CD40D5" w:rsidRPr="00CD40D5">
              <w:rPr>
                <w:rFonts w:ascii="Arial" w:eastAsia="Times New Roman" w:hAnsi="Arial" w:cs="Arial"/>
                <w:color w:val="000000"/>
                <w:sz w:val="18"/>
                <w:szCs w:val="18"/>
                <w:lang w:val="en-US"/>
              </w:rPr>
              <w:t>₡</w:t>
            </w:r>
            <w:r w:rsidRPr="00ED77EA">
              <w:rPr>
                <w:rFonts w:eastAsia="Times New Roman" w:cs="Calibri"/>
                <w:color w:val="000000"/>
                <w:sz w:val="18"/>
                <w:szCs w:val="18"/>
                <w:lang w:val="en-US"/>
              </w:rPr>
              <w:t xml:space="preserve">1 873 754,83 </w:t>
            </w:r>
          </w:p>
        </w:tc>
        <w:tc>
          <w:tcPr>
            <w:tcW w:w="1417" w:type="dxa"/>
            <w:tcBorders>
              <w:top w:val="nil"/>
              <w:left w:val="nil"/>
              <w:bottom w:val="single" w:sz="8" w:space="0" w:color="auto"/>
              <w:right w:val="single" w:sz="8" w:space="0" w:color="auto"/>
            </w:tcBorders>
            <w:shd w:val="clear" w:color="auto" w:fill="auto"/>
            <w:noWrap/>
            <w:vAlign w:val="center"/>
            <w:hideMark/>
          </w:tcPr>
          <w:p w14:paraId="43B790C5" w14:textId="77777777" w:rsidR="00ED77EA" w:rsidRPr="00ED77EA" w:rsidRDefault="00ED77EA" w:rsidP="004653E2">
            <w:pPr>
              <w:spacing w:after="0" w:line="240" w:lineRule="auto"/>
              <w:jc w:val="left"/>
              <w:rPr>
                <w:rFonts w:eastAsia="Times New Roman" w:cs="Calibri"/>
                <w:color w:val="000000"/>
                <w:sz w:val="18"/>
                <w:szCs w:val="18"/>
                <w:lang w:val="en-US"/>
              </w:rPr>
            </w:pPr>
            <w:r w:rsidRPr="00ED77EA">
              <w:rPr>
                <w:rFonts w:eastAsia="Times New Roman" w:cs="Calibri"/>
                <w:color w:val="000000"/>
                <w:sz w:val="18"/>
                <w:szCs w:val="18"/>
                <w:lang w:val="en-US"/>
              </w:rPr>
              <w:t>Riesgo de Liquidez</w:t>
            </w:r>
          </w:p>
        </w:tc>
        <w:tc>
          <w:tcPr>
            <w:tcW w:w="1094" w:type="dxa"/>
            <w:tcBorders>
              <w:top w:val="nil"/>
              <w:left w:val="nil"/>
              <w:bottom w:val="single" w:sz="8" w:space="0" w:color="auto"/>
              <w:right w:val="single" w:sz="8" w:space="0" w:color="auto"/>
            </w:tcBorders>
            <w:shd w:val="clear" w:color="auto" w:fill="auto"/>
            <w:noWrap/>
            <w:vAlign w:val="center"/>
            <w:hideMark/>
          </w:tcPr>
          <w:p w14:paraId="7439ABE2" w14:textId="77777777" w:rsidR="00ED77EA" w:rsidRPr="00ED77EA" w:rsidRDefault="00ED77EA" w:rsidP="004653E2">
            <w:pPr>
              <w:spacing w:after="0" w:line="240" w:lineRule="auto"/>
              <w:jc w:val="left"/>
              <w:rPr>
                <w:rFonts w:eastAsia="Times New Roman" w:cs="Calibri"/>
                <w:color w:val="000000"/>
                <w:sz w:val="18"/>
                <w:szCs w:val="18"/>
                <w:lang w:val="en-US"/>
              </w:rPr>
            </w:pPr>
            <w:r w:rsidRPr="00ED77EA">
              <w:rPr>
                <w:rFonts w:eastAsia="Times New Roman" w:cs="Calibri"/>
                <w:color w:val="000000"/>
                <w:sz w:val="18"/>
                <w:szCs w:val="18"/>
                <w:lang w:val="en-US"/>
              </w:rPr>
              <w:t> </w:t>
            </w:r>
          </w:p>
        </w:tc>
      </w:tr>
      <w:tr w:rsidR="00ED77EA" w:rsidRPr="00ED77EA" w14:paraId="239BDD0A" w14:textId="77777777" w:rsidTr="00CD40D5">
        <w:trPr>
          <w:trHeight w:val="290"/>
        </w:trPr>
        <w:tc>
          <w:tcPr>
            <w:tcW w:w="426" w:type="dxa"/>
            <w:tcBorders>
              <w:top w:val="nil"/>
              <w:left w:val="single" w:sz="8" w:space="0" w:color="auto"/>
              <w:bottom w:val="single" w:sz="8" w:space="0" w:color="auto"/>
              <w:right w:val="single" w:sz="8" w:space="0" w:color="auto"/>
            </w:tcBorders>
            <w:shd w:val="clear" w:color="auto" w:fill="auto"/>
            <w:noWrap/>
            <w:vAlign w:val="center"/>
            <w:hideMark/>
          </w:tcPr>
          <w:p w14:paraId="55499CBE" w14:textId="77777777" w:rsidR="00ED77EA" w:rsidRPr="00ED77EA" w:rsidRDefault="00ED77EA" w:rsidP="004653E2">
            <w:pPr>
              <w:spacing w:after="0" w:line="240" w:lineRule="auto"/>
              <w:jc w:val="center"/>
              <w:rPr>
                <w:rFonts w:eastAsia="Times New Roman" w:cs="Calibri"/>
                <w:color w:val="000000"/>
                <w:sz w:val="18"/>
                <w:szCs w:val="18"/>
                <w:lang w:val="en-US"/>
              </w:rPr>
            </w:pPr>
            <w:r w:rsidRPr="00ED77EA">
              <w:rPr>
                <w:rFonts w:eastAsia="Times New Roman" w:cs="Calibri"/>
                <w:color w:val="000000"/>
                <w:sz w:val="18"/>
                <w:szCs w:val="18"/>
                <w:lang w:val="en-US"/>
              </w:rPr>
              <w:t>2</w:t>
            </w:r>
          </w:p>
        </w:tc>
        <w:tc>
          <w:tcPr>
            <w:tcW w:w="3260" w:type="dxa"/>
            <w:tcBorders>
              <w:top w:val="nil"/>
              <w:left w:val="nil"/>
              <w:bottom w:val="single" w:sz="8" w:space="0" w:color="auto"/>
              <w:right w:val="single" w:sz="8" w:space="0" w:color="auto"/>
            </w:tcBorders>
            <w:shd w:val="clear" w:color="auto" w:fill="auto"/>
            <w:noWrap/>
            <w:vAlign w:val="center"/>
            <w:hideMark/>
          </w:tcPr>
          <w:p w14:paraId="040F0EFA" w14:textId="77777777" w:rsidR="00ED77EA" w:rsidRPr="00ED77EA" w:rsidRDefault="00ED77EA" w:rsidP="004653E2">
            <w:pPr>
              <w:spacing w:after="0" w:line="240" w:lineRule="auto"/>
              <w:jc w:val="left"/>
              <w:rPr>
                <w:rFonts w:eastAsia="Times New Roman" w:cs="Calibri"/>
                <w:color w:val="000000"/>
                <w:sz w:val="18"/>
                <w:szCs w:val="18"/>
              </w:rPr>
            </w:pPr>
            <w:r w:rsidRPr="00ED77EA">
              <w:rPr>
                <w:rFonts w:eastAsia="Times New Roman" w:cs="Calibri"/>
                <w:color w:val="000000"/>
                <w:sz w:val="18"/>
                <w:szCs w:val="18"/>
              </w:rPr>
              <w:t>Activos Financieros disponibles para la venta</w:t>
            </w:r>
          </w:p>
        </w:tc>
        <w:tc>
          <w:tcPr>
            <w:tcW w:w="1417" w:type="dxa"/>
            <w:tcBorders>
              <w:top w:val="nil"/>
              <w:left w:val="nil"/>
              <w:bottom w:val="single" w:sz="8" w:space="0" w:color="auto"/>
              <w:right w:val="single" w:sz="8" w:space="0" w:color="auto"/>
            </w:tcBorders>
            <w:shd w:val="clear" w:color="auto" w:fill="auto"/>
            <w:noWrap/>
            <w:vAlign w:val="center"/>
            <w:hideMark/>
          </w:tcPr>
          <w:p w14:paraId="50BE3A27" w14:textId="77777777" w:rsidR="00ED77EA" w:rsidRPr="00ED77EA" w:rsidRDefault="00ED77EA" w:rsidP="004653E2">
            <w:pPr>
              <w:spacing w:after="0" w:line="240" w:lineRule="auto"/>
              <w:jc w:val="left"/>
              <w:rPr>
                <w:rFonts w:eastAsia="Times New Roman" w:cs="Calibri"/>
                <w:color w:val="000000"/>
                <w:sz w:val="18"/>
                <w:szCs w:val="18"/>
              </w:rPr>
            </w:pPr>
            <w:r w:rsidRPr="00ED77EA">
              <w:rPr>
                <w:rFonts w:eastAsia="Times New Roman" w:cs="Calibri"/>
                <w:color w:val="000000"/>
                <w:sz w:val="18"/>
                <w:szCs w:val="18"/>
              </w:rPr>
              <w:t> </w:t>
            </w:r>
          </w:p>
        </w:tc>
        <w:tc>
          <w:tcPr>
            <w:tcW w:w="1276" w:type="dxa"/>
            <w:tcBorders>
              <w:top w:val="nil"/>
              <w:left w:val="nil"/>
              <w:bottom w:val="single" w:sz="8" w:space="0" w:color="auto"/>
              <w:right w:val="single" w:sz="8" w:space="0" w:color="auto"/>
            </w:tcBorders>
            <w:shd w:val="clear" w:color="auto" w:fill="auto"/>
            <w:noWrap/>
            <w:vAlign w:val="center"/>
            <w:hideMark/>
          </w:tcPr>
          <w:p w14:paraId="2CC9BFE3" w14:textId="77777777" w:rsidR="00ED77EA" w:rsidRPr="00ED77EA" w:rsidRDefault="00ED77EA" w:rsidP="004653E2">
            <w:pPr>
              <w:spacing w:after="0" w:line="240" w:lineRule="auto"/>
              <w:jc w:val="left"/>
              <w:rPr>
                <w:rFonts w:eastAsia="Times New Roman" w:cs="Calibri"/>
                <w:color w:val="000000"/>
                <w:sz w:val="18"/>
                <w:szCs w:val="18"/>
              </w:rPr>
            </w:pPr>
            <w:r w:rsidRPr="00ED77EA">
              <w:rPr>
                <w:rFonts w:eastAsia="Times New Roman" w:cs="Calibri"/>
                <w:color w:val="000000"/>
                <w:sz w:val="18"/>
                <w:szCs w:val="18"/>
              </w:rPr>
              <w:t> </w:t>
            </w:r>
          </w:p>
        </w:tc>
        <w:tc>
          <w:tcPr>
            <w:tcW w:w="1134" w:type="dxa"/>
            <w:tcBorders>
              <w:top w:val="nil"/>
              <w:left w:val="nil"/>
              <w:bottom w:val="single" w:sz="8" w:space="0" w:color="auto"/>
              <w:right w:val="single" w:sz="8" w:space="0" w:color="auto"/>
            </w:tcBorders>
            <w:shd w:val="clear" w:color="auto" w:fill="auto"/>
            <w:noWrap/>
            <w:vAlign w:val="center"/>
            <w:hideMark/>
          </w:tcPr>
          <w:p w14:paraId="52D33983" w14:textId="77777777" w:rsidR="00ED77EA" w:rsidRPr="00ED77EA" w:rsidRDefault="00ED77EA" w:rsidP="004653E2">
            <w:pPr>
              <w:spacing w:after="0" w:line="240" w:lineRule="auto"/>
              <w:jc w:val="left"/>
              <w:rPr>
                <w:rFonts w:eastAsia="Times New Roman" w:cs="Calibri"/>
                <w:color w:val="000000"/>
                <w:sz w:val="18"/>
                <w:szCs w:val="18"/>
              </w:rPr>
            </w:pPr>
            <w:r w:rsidRPr="00ED77EA">
              <w:rPr>
                <w:rFonts w:eastAsia="Times New Roman" w:cs="Calibri"/>
                <w:color w:val="000000"/>
                <w:sz w:val="18"/>
                <w:szCs w:val="18"/>
              </w:rPr>
              <w:t> </w:t>
            </w:r>
          </w:p>
        </w:tc>
        <w:tc>
          <w:tcPr>
            <w:tcW w:w="1417" w:type="dxa"/>
            <w:tcBorders>
              <w:top w:val="nil"/>
              <w:left w:val="nil"/>
              <w:bottom w:val="single" w:sz="8" w:space="0" w:color="auto"/>
              <w:right w:val="single" w:sz="8" w:space="0" w:color="auto"/>
            </w:tcBorders>
            <w:shd w:val="clear" w:color="auto" w:fill="auto"/>
            <w:noWrap/>
            <w:vAlign w:val="center"/>
            <w:hideMark/>
          </w:tcPr>
          <w:p w14:paraId="0C522C76" w14:textId="77777777" w:rsidR="00ED77EA" w:rsidRPr="00ED77EA" w:rsidRDefault="00ED77EA" w:rsidP="004653E2">
            <w:pPr>
              <w:spacing w:after="0" w:line="240" w:lineRule="auto"/>
              <w:jc w:val="left"/>
              <w:rPr>
                <w:rFonts w:eastAsia="Times New Roman" w:cs="Calibri"/>
                <w:color w:val="000000"/>
                <w:sz w:val="18"/>
                <w:szCs w:val="18"/>
              </w:rPr>
            </w:pPr>
            <w:r w:rsidRPr="00ED77EA">
              <w:rPr>
                <w:rFonts w:eastAsia="Times New Roman" w:cs="Calibri"/>
                <w:color w:val="000000"/>
                <w:sz w:val="18"/>
                <w:szCs w:val="18"/>
              </w:rPr>
              <w:t>Riesgo de Tasa de Interés</w:t>
            </w:r>
          </w:p>
        </w:tc>
        <w:tc>
          <w:tcPr>
            <w:tcW w:w="1094" w:type="dxa"/>
            <w:tcBorders>
              <w:top w:val="nil"/>
              <w:left w:val="nil"/>
              <w:bottom w:val="single" w:sz="8" w:space="0" w:color="auto"/>
              <w:right w:val="single" w:sz="8" w:space="0" w:color="auto"/>
            </w:tcBorders>
            <w:shd w:val="clear" w:color="auto" w:fill="auto"/>
            <w:noWrap/>
            <w:vAlign w:val="center"/>
            <w:hideMark/>
          </w:tcPr>
          <w:p w14:paraId="4780647D" w14:textId="77777777" w:rsidR="00ED77EA" w:rsidRPr="00ED77EA" w:rsidRDefault="00ED77EA" w:rsidP="004653E2">
            <w:pPr>
              <w:spacing w:after="0" w:line="240" w:lineRule="auto"/>
              <w:jc w:val="left"/>
              <w:rPr>
                <w:rFonts w:eastAsia="Times New Roman" w:cs="Calibri"/>
                <w:color w:val="000000"/>
                <w:sz w:val="18"/>
                <w:szCs w:val="18"/>
              </w:rPr>
            </w:pPr>
            <w:r w:rsidRPr="00ED77EA">
              <w:rPr>
                <w:rFonts w:eastAsia="Times New Roman" w:cs="Calibri"/>
                <w:color w:val="000000"/>
                <w:sz w:val="18"/>
                <w:szCs w:val="18"/>
              </w:rPr>
              <w:t> </w:t>
            </w:r>
          </w:p>
        </w:tc>
      </w:tr>
      <w:tr w:rsidR="00ED77EA" w:rsidRPr="00ED77EA" w14:paraId="2C33B618" w14:textId="77777777" w:rsidTr="00CD40D5">
        <w:trPr>
          <w:trHeight w:val="290"/>
        </w:trPr>
        <w:tc>
          <w:tcPr>
            <w:tcW w:w="426" w:type="dxa"/>
            <w:tcBorders>
              <w:top w:val="nil"/>
              <w:left w:val="single" w:sz="8" w:space="0" w:color="auto"/>
              <w:bottom w:val="single" w:sz="8" w:space="0" w:color="auto"/>
              <w:right w:val="single" w:sz="8" w:space="0" w:color="auto"/>
            </w:tcBorders>
            <w:shd w:val="clear" w:color="auto" w:fill="auto"/>
            <w:noWrap/>
            <w:vAlign w:val="center"/>
            <w:hideMark/>
          </w:tcPr>
          <w:p w14:paraId="2D7B8301" w14:textId="77777777" w:rsidR="00ED77EA" w:rsidRPr="00ED77EA" w:rsidRDefault="00ED77EA" w:rsidP="004653E2">
            <w:pPr>
              <w:spacing w:after="0" w:line="240" w:lineRule="auto"/>
              <w:jc w:val="center"/>
              <w:rPr>
                <w:rFonts w:eastAsia="Times New Roman" w:cs="Calibri"/>
                <w:color w:val="000000"/>
                <w:sz w:val="18"/>
                <w:szCs w:val="18"/>
                <w:lang w:val="en-US"/>
              </w:rPr>
            </w:pPr>
            <w:r w:rsidRPr="00ED77EA">
              <w:rPr>
                <w:rFonts w:eastAsia="Times New Roman" w:cs="Calibri"/>
                <w:color w:val="000000"/>
                <w:sz w:val="18"/>
                <w:szCs w:val="18"/>
                <w:lang w:val="en-US"/>
              </w:rPr>
              <w:t>3</w:t>
            </w:r>
          </w:p>
        </w:tc>
        <w:tc>
          <w:tcPr>
            <w:tcW w:w="3260" w:type="dxa"/>
            <w:tcBorders>
              <w:top w:val="nil"/>
              <w:left w:val="nil"/>
              <w:bottom w:val="single" w:sz="8" w:space="0" w:color="auto"/>
              <w:right w:val="single" w:sz="8" w:space="0" w:color="auto"/>
            </w:tcBorders>
            <w:shd w:val="clear" w:color="auto" w:fill="auto"/>
            <w:noWrap/>
            <w:vAlign w:val="center"/>
            <w:hideMark/>
          </w:tcPr>
          <w:p w14:paraId="765D83F1" w14:textId="77777777" w:rsidR="00ED77EA" w:rsidRPr="00ED77EA" w:rsidRDefault="00ED77EA" w:rsidP="004653E2">
            <w:pPr>
              <w:spacing w:after="0" w:line="240" w:lineRule="auto"/>
              <w:jc w:val="left"/>
              <w:rPr>
                <w:rFonts w:eastAsia="Times New Roman" w:cs="Calibri"/>
                <w:color w:val="000000"/>
                <w:sz w:val="18"/>
                <w:szCs w:val="18"/>
              </w:rPr>
            </w:pPr>
            <w:r w:rsidRPr="00ED77EA">
              <w:rPr>
                <w:rFonts w:eastAsia="Times New Roman" w:cs="Calibri"/>
                <w:color w:val="000000"/>
                <w:sz w:val="18"/>
                <w:szCs w:val="18"/>
              </w:rPr>
              <w:t>Prestamos y Cuentas por Cobrar</w:t>
            </w:r>
          </w:p>
        </w:tc>
        <w:tc>
          <w:tcPr>
            <w:tcW w:w="1417" w:type="dxa"/>
            <w:tcBorders>
              <w:top w:val="nil"/>
              <w:left w:val="nil"/>
              <w:bottom w:val="single" w:sz="8" w:space="0" w:color="auto"/>
              <w:right w:val="single" w:sz="8" w:space="0" w:color="auto"/>
            </w:tcBorders>
            <w:shd w:val="clear" w:color="auto" w:fill="auto"/>
            <w:noWrap/>
            <w:vAlign w:val="center"/>
            <w:hideMark/>
          </w:tcPr>
          <w:p w14:paraId="7C9BB8CC" w14:textId="77777777" w:rsidR="00ED77EA" w:rsidRPr="00ED77EA" w:rsidRDefault="00ED77EA" w:rsidP="004653E2">
            <w:pPr>
              <w:spacing w:after="0" w:line="240" w:lineRule="auto"/>
              <w:jc w:val="left"/>
              <w:rPr>
                <w:rFonts w:eastAsia="Times New Roman" w:cs="Calibri"/>
                <w:color w:val="000000"/>
                <w:sz w:val="18"/>
                <w:szCs w:val="18"/>
              </w:rPr>
            </w:pPr>
            <w:r w:rsidRPr="00ED77EA">
              <w:rPr>
                <w:rFonts w:eastAsia="Times New Roman" w:cs="Calibri"/>
                <w:color w:val="000000"/>
                <w:sz w:val="18"/>
                <w:szCs w:val="18"/>
              </w:rPr>
              <w:t> </w:t>
            </w:r>
          </w:p>
        </w:tc>
        <w:tc>
          <w:tcPr>
            <w:tcW w:w="1276" w:type="dxa"/>
            <w:tcBorders>
              <w:top w:val="nil"/>
              <w:left w:val="nil"/>
              <w:bottom w:val="single" w:sz="8" w:space="0" w:color="auto"/>
              <w:right w:val="single" w:sz="8" w:space="0" w:color="auto"/>
            </w:tcBorders>
            <w:shd w:val="clear" w:color="auto" w:fill="auto"/>
            <w:noWrap/>
            <w:vAlign w:val="center"/>
            <w:hideMark/>
          </w:tcPr>
          <w:p w14:paraId="7D0D5AE0" w14:textId="3076EAB8" w:rsidR="00ED77EA" w:rsidRPr="00ED77EA" w:rsidRDefault="00ED77EA" w:rsidP="004653E2">
            <w:pPr>
              <w:spacing w:after="0" w:line="240" w:lineRule="auto"/>
              <w:ind w:left="-102"/>
              <w:jc w:val="left"/>
              <w:rPr>
                <w:rFonts w:eastAsia="Times New Roman" w:cs="Calibri"/>
                <w:color w:val="000000"/>
                <w:sz w:val="18"/>
                <w:szCs w:val="18"/>
                <w:lang w:val="en-US"/>
              </w:rPr>
            </w:pPr>
            <w:r w:rsidRPr="00ED77EA">
              <w:rPr>
                <w:rFonts w:eastAsia="Times New Roman" w:cs="Calibri"/>
                <w:color w:val="000000"/>
                <w:sz w:val="18"/>
                <w:szCs w:val="18"/>
              </w:rPr>
              <w:t xml:space="preserve">    </w:t>
            </w:r>
            <w:r w:rsidR="00CD40D5">
              <w:rPr>
                <w:rFonts w:eastAsia="Times New Roman" w:cs="Calibri"/>
                <w:color w:val="000000"/>
                <w:sz w:val="18"/>
                <w:szCs w:val="18"/>
              </w:rPr>
              <w:t xml:space="preserve">  </w:t>
            </w:r>
            <w:r w:rsidRPr="00ED77EA">
              <w:rPr>
                <w:rFonts w:eastAsia="Times New Roman" w:cs="Calibri"/>
                <w:color w:val="000000"/>
                <w:sz w:val="18"/>
                <w:szCs w:val="18"/>
                <w:lang w:val="en-US"/>
              </w:rPr>
              <w:t>2</w:t>
            </w:r>
            <w:r w:rsidR="00CD40D5">
              <w:rPr>
                <w:rFonts w:eastAsia="Times New Roman" w:cs="Calibri"/>
                <w:color w:val="000000"/>
                <w:sz w:val="18"/>
                <w:szCs w:val="18"/>
                <w:lang w:val="en-US"/>
              </w:rPr>
              <w:t xml:space="preserve"> </w:t>
            </w:r>
            <w:r w:rsidRPr="00ED77EA">
              <w:rPr>
                <w:rFonts w:eastAsia="Times New Roman" w:cs="Calibri"/>
                <w:color w:val="000000"/>
                <w:sz w:val="18"/>
                <w:szCs w:val="18"/>
                <w:lang w:val="en-US"/>
              </w:rPr>
              <w:t>685 853,53</w:t>
            </w:r>
          </w:p>
        </w:tc>
        <w:tc>
          <w:tcPr>
            <w:tcW w:w="1134" w:type="dxa"/>
            <w:tcBorders>
              <w:top w:val="nil"/>
              <w:left w:val="nil"/>
              <w:bottom w:val="single" w:sz="8" w:space="0" w:color="auto"/>
              <w:right w:val="single" w:sz="8" w:space="0" w:color="auto"/>
            </w:tcBorders>
            <w:shd w:val="clear" w:color="auto" w:fill="auto"/>
            <w:noWrap/>
            <w:vAlign w:val="center"/>
            <w:hideMark/>
          </w:tcPr>
          <w:p w14:paraId="04642B74" w14:textId="77777777" w:rsidR="00ED77EA" w:rsidRPr="00ED77EA" w:rsidRDefault="00ED77EA" w:rsidP="00CD40D5">
            <w:pPr>
              <w:spacing w:after="0" w:line="240" w:lineRule="auto"/>
              <w:ind w:left="-106"/>
              <w:jc w:val="right"/>
              <w:rPr>
                <w:rFonts w:eastAsia="Times New Roman" w:cs="Calibri"/>
                <w:color w:val="000000"/>
                <w:sz w:val="18"/>
                <w:szCs w:val="18"/>
                <w:lang w:val="en-US"/>
              </w:rPr>
            </w:pPr>
            <w:r w:rsidRPr="00ED77EA">
              <w:rPr>
                <w:rFonts w:eastAsia="Times New Roman" w:cs="Calibri"/>
                <w:color w:val="000000"/>
                <w:sz w:val="18"/>
                <w:szCs w:val="18"/>
                <w:lang w:val="en-US"/>
              </w:rPr>
              <w:t xml:space="preserve">                          2 685 853,53 </w:t>
            </w:r>
          </w:p>
        </w:tc>
        <w:tc>
          <w:tcPr>
            <w:tcW w:w="1417" w:type="dxa"/>
            <w:tcBorders>
              <w:top w:val="nil"/>
              <w:left w:val="nil"/>
              <w:bottom w:val="single" w:sz="8" w:space="0" w:color="auto"/>
              <w:right w:val="single" w:sz="8" w:space="0" w:color="auto"/>
            </w:tcBorders>
            <w:shd w:val="clear" w:color="auto" w:fill="auto"/>
            <w:noWrap/>
            <w:vAlign w:val="center"/>
            <w:hideMark/>
          </w:tcPr>
          <w:p w14:paraId="11E3C029" w14:textId="77777777" w:rsidR="00ED77EA" w:rsidRPr="00ED77EA" w:rsidRDefault="00ED77EA" w:rsidP="004653E2">
            <w:pPr>
              <w:spacing w:after="0" w:line="240" w:lineRule="auto"/>
              <w:jc w:val="left"/>
              <w:rPr>
                <w:rFonts w:eastAsia="Times New Roman" w:cs="Calibri"/>
                <w:color w:val="000000"/>
                <w:sz w:val="18"/>
                <w:szCs w:val="18"/>
                <w:lang w:val="en-US"/>
              </w:rPr>
            </w:pPr>
            <w:r w:rsidRPr="00ED77EA">
              <w:rPr>
                <w:rFonts w:eastAsia="Times New Roman" w:cs="Calibri"/>
                <w:color w:val="000000"/>
                <w:sz w:val="18"/>
                <w:szCs w:val="18"/>
                <w:lang w:val="en-US"/>
              </w:rPr>
              <w:t>Riesgo de Liquidez</w:t>
            </w:r>
          </w:p>
        </w:tc>
        <w:tc>
          <w:tcPr>
            <w:tcW w:w="1094" w:type="dxa"/>
            <w:tcBorders>
              <w:top w:val="nil"/>
              <w:left w:val="nil"/>
              <w:bottom w:val="single" w:sz="8" w:space="0" w:color="auto"/>
              <w:right w:val="single" w:sz="8" w:space="0" w:color="auto"/>
            </w:tcBorders>
            <w:shd w:val="clear" w:color="auto" w:fill="auto"/>
            <w:noWrap/>
            <w:vAlign w:val="center"/>
            <w:hideMark/>
          </w:tcPr>
          <w:p w14:paraId="694F8F27" w14:textId="77777777" w:rsidR="00ED77EA" w:rsidRPr="00ED77EA" w:rsidRDefault="00ED77EA" w:rsidP="004653E2">
            <w:pPr>
              <w:spacing w:after="0" w:line="240" w:lineRule="auto"/>
              <w:jc w:val="left"/>
              <w:rPr>
                <w:rFonts w:eastAsia="Times New Roman" w:cs="Calibri"/>
                <w:color w:val="000000"/>
                <w:sz w:val="18"/>
                <w:szCs w:val="18"/>
                <w:lang w:val="en-US"/>
              </w:rPr>
            </w:pPr>
            <w:r w:rsidRPr="00ED77EA">
              <w:rPr>
                <w:rFonts w:eastAsia="Times New Roman" w:cs="Calibri"/>
                <w:color w:val="000000"/>
                <w:sz w:val="18"/>
                <w:szCs w:val="18"/>
                <w:lang w:val="en-US"/>
              </w:rPr>
              <w:t> </w:t>
            </w:r>
          </w:p>
        </w:tc>
      </w:tr>
      <w:tr w:rsidR="00ED77EA" w:rsidRPr="00ED77EA" w14:paraId="5AC8C686" w14:textId="77777777" w:rsidTr="00CD40D5">
        <w:trPr>
          <w:trHeight w:val="290"/>
        </w:trPr>
        <w:tc>
          <w:tcPr>
            <w:tcW w:w="5103" w:type="dxa"/>
            <w:gridSpan w:val="3"/>
            <w:tcBorders>
              <w:top w:val="single" w:sz="8" w:space="0" w:color="auto"/>
              <w:left w:val="single" w:sz="8" w:space="0" w:color="auto"/>
              <w:bottom w:val="single" w:sz="8" w:space="0" w:color="auto"/>
              <w:right w:val="nil"/>
            </w:tcBorders>
            <w:shd w:val="clear" w:color="000000" w:fill="1F3864"/>
            <w:noWrap/>
            <w:vAlign w:val="center"/>
            <w:hideMark/>
          </w:tcPr>
          <w:p w14:paraId="56DD71E9" w14:textId="77777777" w:rsidR="00ED77EA" w:rsidRPr="00ED77EA" w:rsidRDefault="00ED77EA" w:rsidP="004653E2">
            <w:pPr>
              <w:spacing w:after="0" w:line="240" w:lineRule="auto"/>
              <w:jc w:val="center"/>
              <w:rPr>
                <w:rFonts w:eastAsia="Times New Roman" w:cs="Calibri"/>
                <w:color w:val="FFFFFF"/>
                <w:sz w:val="18"/>
                <w:szCs w:val="18"/>
                <w:lang w:val="en-US"/>
              </w:rPr>
            </w:pPr>
            <w:r w:rsidRPr="00ED77EA">
              <w:rPr>
                <w:rFonts w:eastAsia="Times New Roman" w:cs="Calibri"/>
                <w:color w:val="FFFFFF"/>
                <w:sz w:val="18"/>
                <w:szCs w:val="18"/>
                <w:lang w:val="en-US"/>
              </w:rPr>
              <w:t>GRAN TOTAL</w:t>
            </w:r>
          </w:p>
        </w:tc>
        <w:tc>
          <w:tcPr>
            <w:tcW w:w="1276" w:type="dxa"/>
            <w:tcBorders>
              <w:top w:val="nil"/>
              <w:left w:val="nil"/>
              <w:bottom w:val="single" w:sz="8" w:space="0" w:color="auto"/>
              <w:right w:val="single" w:sz="8" w:space="0" w:color="auto"/>
            </w:tcBorders>
            <w:shd w:val="clear" w:color="auto" w:fill="auto"/>
            <w:noWrap/>
            <w:vAlign w:val="center"/>
            <w:hideMark/>
          </w:tcPr>
          <w:p w14:paraId="0867E485" w14:textId="5C66EEC7" w:rsidR="00ED77EA" w:rsidRPr="00ED77EA" w:rsidRDefault="00CD40D5" w:rsidP="00CD40D5">
            <w:pPr>
              <w:spacing w:after="0" w:line="240" w:lineRule="auto"/>
              <w:jc w:val="right"/>
              <w:rPr>
                <w:rFonts w:eastAsia="Times New Roman" w:cs="Arial"/>
                <w:b/>
                <w:bCs/>
                <w:color w:val="000000"/>
                <w:sz w:val="16"/>
                <w:szCs w:val="16"/>
                <w:lang w:val="en-US"/>
              </w:rPr>
            </w:pPr>
            <w:r w:rsidRPr="00CD40D5">
              <w:rPr>
                <w:rFonts w:ascii="Arial" w:eastAsia="Times New Roman" w:hAnsi="Arial" w:cs="Arial"/>
                <w:b/>
                <w:bCs/>
                <w:color w:val="000000"/>
                <w:sz w:val="16"/>
                <w:szCs w:val="16"/>
                <w:lang w:val="en-US"/>
              </w:rPr>
              <w:t>₡</w:t>
            </w:r>
            <w:r w:rsidR="00ED77EA" w:rsidRPr="00ED77EA">
              <w:rPr>
                <w:rFonts w:eastAsia="Times New Roman" w:cs="Arial"/>
                <w:b/>
                <w:bCs/>
                <w:color w:val="000000"/>
                <w:sz w:val="16"/>
                <w:szCs w:val="16"/>
                <w:lang w:val="en-US"/>
              </w:rPr>
              <w:t>4 559 608,36</w:t>
            </w:r>
          </w:p>
        </w:tc>
        <w:tc>
          <w:tcPr>
            <w:tcW w:w="1134" w:type="dxa"/>
            <w:tcBorders>
              <w:top w:val="nil"/>
              <w:left w:val="nil"/>
              <w:bottom w:val="single" w:sz="8" w:space="0" w:color="auto"/>
              <w:right w:val="single" w:sz="8" w:space="0" w:color="auto"/>
            </w:tcBorders>
            <w:shd w:val="clear" w:color="auto" w:fill="auto"/>
            <w:noWrap/>
            <w:vAlign w:val="center"/>
            <w:hideMark/>
          </w:tcPr>
          <w:p w14:paraId="14B672DF" w14:textId="131EA51B" w:rsidR="00ED77EA" w:rsidRPr="00ED77EA" w:rsidRDefault="00CD40D5" w:rsidP="00CD40D5">
            <w:pPr>
              <w:spacing w:after="0" w:line="240" w:lineRule="auto"/>
              <w:ind w:left="-106"/>
              <w:jc w:val="right"/>
              <w:rPr>
                <w:rFonts w:eastAsia="Times New Roman" w:cs="Arial"/>
                <w:b/>
                <w:bCs/>
                <w:color w:val="000000"/>
                <w:sz w:val="16"/>
                <w:szCs w:val="16"/>
                <w:lang w:val="en-US"/>
              </w:rPr>
            </w:pPr>
            <w:r w:rsidRPr="00CD40D5">
              <w:rPr>
                <w:rFonts w:ascii="Arial" w:eastAsia="Times New Roman" w:hAnsi="Arial" w:cs="Arial"/>
                <w:b/>
                <w:bCs/>
                <w:color w:val="000000"/>
                <w:sz w:val="16"/>
                <w:szCs w:val="16"/>
                <w:lang w:val="en-US"/>
              </w:rPr>
              <w:t>₡</w:t>
            </w:r>
            <w:r w:rsidR="00ED77EA" w:rsidRPr="00ED77EA">
              <w:rPr>
                <w:rFonts w:eastAsia="Times New Roman" w:cs="Arial"/>
                <w:b/>
                <w:bCs/>
                <w:color w:val="000000"/>
                <w:sz w:val="16"/>
                <w:szCs w:val="16"/>
                <w:lang w:val="en-US"/>
              </w:rPr>
              <w:t xml:space="preserve">4 559 608,36 </w:t>
            </w:r>
          </w:p>
        </w:tc>
        <w:tc>
          <w:tcPr>
            <w:tcW w:w="2511" w:type="dxa"/>
            <w:gridSpan w:val="2"/>
            <w:tcBorders>
              <w:top w:val="single" w:sz="8" w:space="0" w:color="auto"/>
              <w:left w:val="nil"/>
              <w:bottom w:val="nil"/>
              <w:right w:val="nil"/>
            </w:tcBorders>
            <w:shd w:val="clear" w:color="000000" w:fill="17365D"/>
            <w:vAlign w:val="center"/>
            <w:hideMark/>
          </w:tcPr>
          <w:p w14:paraId="3661A376" w14:textId="77777777" w:rsidR="00ED77EA" w:rsidRPr="00ED77EA" w:rsidRDefault="00ED77EA" w:rsidP="004653E2">
            <w:pPr>
              <w:spacing w:after="0" w:line="240" w:lineRule="auto"/>
              <w:jc w:val="center"/>
              <w:rPr>
                <w:rFonts w:eastAsia="Times New Roman" w:cs="Calibri"/>
                <w:color w:val="FFFFFF"/>
                <w:sz w:val="18"/>
                <w:szCs w:val="18"/>
                <w:lang w:val="en-US"/>
              </w:rPr>
            </w:pPr>
            <w:r w:rsidRPr="00ED77EA">
              <w:rPr>
                <w:rFonts w:eastAsia="Times New Roman" w:cs="Calibri"/>
                <w:color w:val="FFFFFF"/>
                <w:sz w:val="18"/>
                <w:szCs w:val="18"/>
                <w:lang w:val="en-US"/>
              </w:rPr>
              <w:t> </w:t>
            </w:r>
          </w:p>
        </w:tc>
      </w:tr>
    </w:tbl>
    <w:p w14:paraId="09CDD20C" w14:textId="603C3D5B" w:rsidR="0077456B" w:rsidRDefault="0077456B" w:rsidP="0077456B"/>
    <w:tbl>
      <w:tblPr>
        <w:tblW w:w="9912" w:type="dxa"/>
        <w:tblLook w:val="04A0" w:firstRow="1" w:lastRow="0" w:firstColumn="1" w:lastColumn="0" w:noHBand="0" w:noVBand="1"/>
      </w:tblPr>
      <w:tblGrid>
        <w:gridCol w:w="416"/>
        <w:gridCol w:w="3260"/>
        <w:gridCol w:w="1417"/>
        <w:gridCol w:w="1134"/>
        <w:gridCol w:w="1134"/>
        <w:gridCol w:w="1417"/>
        <w:gridCol w:w="1134"/>
      </w:tblGrid>
      <w:tr w:rsidR="00ED77EA" w:rsidRPr="00ED77EA" w14:paraId="64841700" w14:textId="77777777" w:rsidTr="00CD40D5">
        <w:trPr>
          <w:trHeight w:val="290"/>
        </w:trPr>
        <w:tc>
          <w:tcPr>
            <w:tcW w:w="416" w:type="dxa"/>
            <w:tcBorders>
              <w:top w:val="single" w:sz="8" w:space="0" w:color="auto"/>
              <w:left w:val="single" w:sz="8" w:space="0" w:color="auto"/>
              <w:bottom w:val="nil"/>
              <w:right w:val="single" w:sz="8" w:space="0" w:color="auto"/>
            </w:tcBorders>
            <w:shd w:val="clear" w:color="000000" w:fill="17365D"/>
            <w:vAlign w:val="center"/>
            <w:hideMark/>
          </w:tcPr>
          <w:p w14:paraId="6702BE8E" w14:textId="77777777" w:rsidR="00ED77EA" w:rsidRPr="00ED77EA" w:rsidRDefault="00ED77EA" w:rsidP="00ED77EA">
            <w:pPr>
              <w:spacing w:after="0" w:line="240" w:lineRule="auto"/>
              <w:jc w:val="center"/>
              <w:rPr>
                <w:rFonts w:eastAsia="Times New Roman" w:cs="Calibri"/>
                <w:color w:val="FFFFFF"/>
                <w:sz w:val="16"/>
                <w:szCs w:val="16"/>
                <w:lang w:val="en-US"/>
              </w:rPr>
            </w:pPr>
            <w:r w:rsidRPr="00ED77EA">
              <w:rPr>
                <w:rFonts w:eastAsia="Times New Roman" w:cs="Calibri"/>
                <w:color w:val="FFFFFF"/>
                <w:sz w:val="16"/>
                <w:szCs w:val="16"/>
                <w:lang w:val="en-US"/>
              </w:rPr>
              <w:t>#</w:t>
            </w:r>
          </w:p>
        </w:tc>
        <w:tc>
          <w:tcPr>
            <w:tcW w:w="3260" w:type="dxa"/>
            <w:tcBorders>
              <w:top w:val="single" w:sz="8" w:space="0" w:color="auto"/>
              <w:left w:val="nil"/>
              <w:bottom w:val="single" w:sz="8" w:space="0" w:color="auto"/>
              <w:right w:val="single" w:sz="8" w:space="0" w:color="auto"/>
            </w:tcBorders>
            <w:shd w:val="clear" w:color="000000" w:fill="1F3864"/>
            <w:vAlign w:val="center"/>
            <w:hideMark/>
          </w:tcPr>
          <w:p w14:paraId="6F553DAD" w14:textId="77777777" w:rsidR="00ED77EA" w:rsidRPr="00ED77EA" w:rsidRDefault="00ED77EA" w:rsidP="00ED77EA">
            <w:pPr>
              <w:spacing w:after="0" w:line="240" w:lineRule="auto"/>
              <w:jc w:val="center"/>
              <w:rPr>
                <w:rFonts w:eastAsia="Times New Roman" w:cs="Calibri"/>
                <w:color w:val="FFFFFF"/>
                <w:sz w:val="16"/>
                <w:szCs w:val="16"/>
                <w:lang w:val="en-US"/>
              </w:rPr>
            </w:pPr>
            <w:r w:rsidRPr="00ED77EA">
              <w:rPr>
                <w:rFonts w:eastAsia="Times New Roman" w:cs="Calibri"/>
                <w:color w:val="FFFFFF"/>
                <w:sz w:val="16"/>
                <w:szCs w:val="16"/>
                <w:lang w:val="en-US"/>
              </w:rPr>
              <w:t>Categoría Activo Financiero</w:t>
            </w:r>
          </w:p>
        </w:tc>
        <w:tc>
          <w:tcPr>
            <w:tcW w:w="1417" w:type="dxa"/>
            <w:tcBorders>
              <w:top w:val="single" w:sz="8" w:space="0" w:color="auto"/>
              <w:left w:val="nil"/>
              <w:bottom w:val="single" w:sz="8" w:space="0" w:color="auto"/>
              <w:right w:val="single" w:sz="8" w:space="0" w:color="auto"/>
            </w:tcBorders>
            <w:shd w:val="clear" w:color="000000" w:fill="1F3864"/>
            <w:vAlign w:val="center"/>
            <w:hideMark/>
          </w:tcPr>
          <w:p w14:paraId="342C0BDC" w14:textId="77777777" w:rsidR="00ED77EA" w:rsidRPr="00ED77EA" w:rsidRDefault="00ED77EA" w:rsidP="00ED77EA">
            <w:pPr>
              <w:spacing w:after="0" w:line="240" w:lineRule="auto"/>
              <w:jc w:val="center"/>
              <w:rPr>
                <w:rFonts w:eastAsia="Times New Roman" w:cs="Calibri"/>
                <w:color w:val="FFFFFF"/>
                <w:sz w:val="16"/>
                <w:szCs w:val="16"/>
                <w:lang w:val="en-US"/>
              </w:rPr>
            </w:pPr>
            <w:r w:rsidRPr="00ED77EA">
              <w:rPr>
                <w:rFonts w:eastAsia="Times New Roman" w:cs="Calibri"/>
                <w:color w:val="FFFFFF"/>
                <w:sz w:val="16"/>
                <w:szCs w:val="16"/>
                <w:lang w:val="en-US"/>
              </w:rPr>
              <w:t>Tasa rendimiento</w:t>
            </w:r>
          </w:p>
        </w:tc>
        <w:tc>
          <w:tcPr>
            <w:tcW w:w="1134" w:type="dxa"/>
            <w:tcBorders>
              <w:top w:val="single" w:sz="8" w:space="0" w:color="auto"/>
              <w:left w:val="nil"/>
              <w:bottom w:val="single" w:sz="8" w:space="0" w:color="auto"/>
              <w:right w:val="single" w:sz="8" w:space="0" w:color="auto"/>
            </w:tcBorders>
            <w:shd w:val="clear" w:color="000000" w:fill="1F3864"/>
            <w:noWrap/>
            <w:vAlign w:val="center"/>
            <w:hideMark/>
          </w:tcPr>
          <w:p w14:paraId="18CFD40F" w14:textId="77777777" w:rsidR="00ED77EA" w:rsidRPr="00ED77EA" w:rsidRDefault="00ED77EA" w:rsidP="00ED77EA">
            <w:pPr>
              <w:spacing w:after="0" w:line="240" w:lineRule="auto"/>
              <w:jc w:val="center"/>
              <w:rPr>
                <w:rFonts w:eastAsia="Times New Roman" w:cs="Calibri"/>
                <w:color w:val="FFFFFF"/>
                <w:sz w:val="16"/>
                <w:szCs w:val="16"/>
                <w:lang w:val="en-US"/>
              </w:rPr>
            </w:pPr>
            <w:r w:rsidRPr="00ED77EA">
              <w:rPr>
                <w:rFonts w:eastAsia="Times New Roman" w:cs="Calibri"/>
                <w:color w:val="FFFFFF"/>
                <w:sz w:val="16"/>
                <w:szCs w:val="16"/>
                <w:lang w:val="en-US"/>
              </w:rPr>
              <w:t>Valor libros</w:t>
            </w:r>
          </w:p>
        </w:tc>
        <w:tc>
          <w:tcPr>
            <w:tcW w:w="1134" w:type="dxa"/>
            <w:tcBorders>
              <w:top w:val="single" w:sz="8" w:space="0" w:color="auto"/>
              <w:left w:val="nil"/>
              <w:bottom w:val="single" w:sz="8" w:space="0" w:color="auto"/>
              <w:right w:val="single" w:sz="8" w:space="0" w:color="auto"/>
            </w:tcBorders>
            <w:shd w:val="clear" w:color="000000" w:fill="1F3864"/>
            <w:noWrap/>
            <w:vAlign w:val="center"/>
            <w:hideMark/>
          </w:tcPr>
          <w:p w14:paraId="780714D1" w14:textId="77777777" w:rsidR="00ED77EA" w:rsidRPr="00ED77EA" w:rsidRDefault="00ED77EA" w:rsidP="00ED77EA">
            <w:pPr>
              <w:spacing w:after="0" w:line="240" w:lineRule="auto"/>
              <w:jc w:val="center"/>
              <w:rPr>
                <w:rFonts w:eastAsia="Times New Roman" w:cs="Calibri"/>
                <w:color w:val="FFFFFF"/>
                <w:sz w:val="16"/>
                <w:szCs w:val="16"/>
                <w:lang w:val="en-US"/>
              </w:rPr>
            </w:pPr>
            <w:r w:rsidRPr="00ED77EA">
              <w:rPr>
                <w:rFonts w:eastAsia="Times New Roman" w:cs="Calibri"/>
                <w:color w:val="FFFFFF"/>
                <w:sz w:val="16"/>
                <w:szCs w:val="16"/>
                <w:lang w:val="en-US"/>
              </w:rPr>
              <w:t>Valor razonable</w:t>
            </w:r>
          </w:p>
        </w:tc>
        <w:tc>
          <w:tcPr>
            <w:tcW w:w="1417" w:type="dxa"/>
            <w:tcBorders>
              <w:top w:val="single" w:sz="8" w:space="0" w:color="auto"/>
              <w:left w:val="nil"/>
              <w:bottom w:val="single" w:sz="8" w:space="0" w:color="auto"/>
              <w:right w:val="single" w:sz="8" w:space="0" w:color="auto"/>
            </w:tcBorders>
            <w:shd w:val="clear" w:color="000000" w:fill="1F3864"/>
            <w:noWrap/>
            <w:vAlign w:val="center"/>
            <w:hideMark/>
          </w:tcPr>
          <w:p w14:paraId="42B6A02B" w14:textId="77777777" w:rsidR="00ED77EA" w:rsidRPr="00ED77EA" w:rsidRDefault="00ED77EA" w:rsidP="00ED77EA">
            <w:pPr>
              <w:spacing w:after="0" w:line="240" w:lineRule="auto"/>
              <w:jc w:val="center"/>
              <w:rPr>
                <w:rFonts w:eastAsia="Times New Roman" w:cs="Calibri"/>
                <w:color w:val="FFFFFF"/>
                <w:sz w:val="16"/>
                <w:szCs w:val="16"/>
                <w:lang w:val="en-US"/>
              </w:rPr>
            </w:pPr>
            <w:r w:rsidRPr="00ED77EA">
              <w:rPr>
                <w:rFonts w:eastAsia="Times New Roman" w:cs="Calibri"/>
                <w:color w:val="FFFFFF"/>
                <w:sz w:val="16"/>
                <w:szCs w:val="16"/>
                <w:lang w:val="en-US"/>
              </w:rPr>
              <w:t>Nivel riesgo</w:t>
            </w:r>
          </w:p>
        </w:tc>
        <w:tc>
          <w:tcPr>
            <w:tcW w:w="1134" w:type="dxa"/>
            <w:tcBorders>
              <w:top w:val="single" w:sz="8" w:space="0" w:color="auto"/>
              <w:left w:val="nil"/>
              <w:bottom w:val="single" w:sz="8" w:space="0" w:color="auto"/>
              <w:right w:val="single" w:sz="8" w:space="0" w:color="auto"/>
            </w:tcBorders>
            <w:shd w:val="clear" w:color="000000" w:fill="1F3864"/>
            <w:noWrap/>
            <w:vAlign w:val="center"/>
            <w:hideMark/>
          </w:tcPr>
          <w:p w14:paraId="732B7067" w14:textId="77777777" w:rsidR="00ED77EA" w:rsidRPr="00ED77EA" w:rsidRDefault="00ED77EA" w:rsidP="00ED77EA">
            <w:pPr>
              <w:spacing w:after="0" w:line="240" w:lineRule="auto"/>
              <w:jc w:val="center"/>
              <w:rPr>
                <w:rFonts w:eastAsia="Times New Roman" w:cs="Calibri"/>
                <w:color w:val="FFFFFF"/>
                <w:sz w:val="16"/>
                <w:szCs w:val="16"/>
                <w:lang w:val="en-US"/>
              </w:rPr>
            </w:pPr>
            <w:r w:rsidRPr="00ED77EA">
              <w:rPr>
                <w:rFonts w:eastAsia="Times New Roman" w:cs="Calibri"/>
                <w:color w:val="FFFFFF"/>
                <w:sz w:val="16"/>
                <w:szCs w:val="16"/>
                <w:lang w:val="en-US"/>
              </w:rPr>
              <w:t>Observaciones</w:t>
            </w:r>
          </w:p>
        </w:tc>
      </w:tr>
      <w:tr w:rsidR="00ED77EA" w:rsidRPr="00ED77EA" w14:paraId="73FD6C09" w14:textId="77777777" w:rsidTr="00CD40D5">
        <w:trPr>
          <w:trHeight w:val="290"/>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14:paraId="3A73574F" w14:textId="77777777" w:rsidR="00ED77EA" w:rsidRPr="00ED77EA" w:rsidRDefault="00ED77EA" w:rsidP="00ED77EA">
            <w:pPr>
              <w:spacing w:after="0" w:line="240" w:lineRule="auto"/>
              <w:jc w:val="center"/>
              <w:rPr>
                <w:rFonts w:eastAsia="Times New Roman" w:cs="Calibri"/>
                <w:color w:val="000000"/>
                <w:sz w:val="18"/>
                <w:szCs w:val="18"/>
                <w:lang w:val="en-US"/>
              </w:rPr>
            </w:pPr>
            <w:r w:rsidRPr="00ED77EA">
              <w:rPr>
                <w:rFonts w:eastAsia="Times New Roman" w:cs="Calibri"/>
                <w:color w:val="000000"/>
                <w:sz w:val="18"/>
                <w:szCs w:val="18"/>
                <w:lang w:val="en-US"/>
              </w:rPr>
              <w:t>1</w:t>
            </w:r>
          </w:p>
        </w:tc>
        <w:tc>
          <w:tcPr>
            <w:tcW w:w="3260" w:type="dxa"/>
            <w:tcBorders>
              <w:top w:val="nil"/>
              <w:left w:val="nil"/>
              <w:bottom w:val="single" w:sz="8" w:space="0" w:color="auto"/>
              <w:right w:val="single" w:sz="8" w:space="0" w:color="auto"/>
            </w:tcBorders>
            <w:shd w:val="clear" w:color="auto" w:fill="auto"/>
            <w:noWrap/>
            <w:vAlign w:val="center"/>
            <w:hideMark/>
          </w:tcPr>
          <w:p w14:paraId="75E93249" w14:textId="6083E64B" w:rsidR="00ED77EA" w:rsidRPr="00ED77EA" w:rsidRDefault="00ED77EA" w:rsidP="00ED77EA">
            <w:pPr>
              <w:spacing w:after="0" w:line="240" w:lineRule="auto"/>
              <w:jc w:val="left"/>
              <w:rPr>
                <w:rFonts w:eastAsia="Times New Roman" w:cs="Calibri"/>
                <w:color w:val="000000"/>
                <w:sz w:val="18"/>
                <w:szCs w:val="18"/>
              </w:rPr>
            </w:pPr>
            <w:r>
              <w:rPr>
                <w:rFonts w:eastAsia="Times New Roman" w:cs="Calibri"/>
                <w:color w:val="000000"/>
                <w:sz w:val="18"/>
                <w:szCs w:val="18"/>
              </w:rPr>
              <w:t>Deudas a</w:t>
            </w:r>
            <w:r w:rsidRPr="00ED77EA">
              <w:rPr>
                <w:rFonts w:eastAsia="Times New Roman" w:cs="Calibri"/>
                <w:color w:val="000000"/>
                <w:sz w:val="18"/>
                <w:szCs w:val="18"/>
              </w:rPr>
              <w:t xml:space="preserve"> Corto Plazo</w:t>
            </w:r>
          </w:p>
        </w:tc>
        <w:tc>
          <w:tcPr>
            <w:tcW w:w="1417" w:type="dxa"/>
            <w:tcBorders>
              <w:top w:val="nil"/>
              <w:left w:val="nil"/>
              <w:bottom w:val="single" w:sz="8" w:space="0" w:color="auto"/>
              <w:right w:val="single" w:sz="8" w:space="0" w:color="auto"/>
            </w:tcBorders>
            <w:shd w:val="clear" w:color="auto" w:fill="auto"/>
            <w:noWrap/>
            <w:vAlign w:val="center"/>
            <w:hideMark/>
          </w:tcPr>
          <w:p w14:paraId="0E3B0A64" w14:textId="77777777" w:rsidR="00ED77EA" w:rsidRPr="00ED77EA" w:rsidRDefault="00ED77EA" w:rsidP="00ED77EA">
            <w:pPr>
              <w:spacing w:after="0" w:line="240" w:lineRule="auto"/>
              <w:jc w:val="left"/>
              <w:rPr>
                <w:rFonts w:eastAsia="Times New Roman" w:cs="Calibri"/>
                <w:color w:val="000000"/>
                <w:sz w:val="16"/>
                <w:szCs w:val="16"/>
              </w:rPr>
            </w:pPr>
            <w:r w:rsidRPr="00ED77EA">
              <w:rPr>
                <w:rFonts w:eastAsia="Times New Roman" w:cs="Calibri"/>
                <w:color w:val="000000"/>
                <w:sz w:val="16"/>
                <w:szCs w:val="16"/>
              </w:rPr>
              <w:t> </w:t>
            </w:r>
          </w:p>
        </w:tc>
        <w:tc>
          <w:tcPr>
            <w:tcW w:w="1134" w:type="dxa"/>
            <w:tcBorders>
              <w:top w:val="nil"/>
              <w:left w:val="nil"/>
              <w:bottom w:val="single" w:sz="8" w:space="0" w:color="auto"/>
              <w:right w:val="single" w:sz="8" w:space="0" w:color="auto"/>
            </w:tcBorders>
            <w:shd w:val="clear" w:color="auto" w:fill="auto"/>
            <w:noWrap/>
            <w:vAlign w:val="center"/>
            <w:hideMark/>
          </w:tcPr>
          <w:p w14:paraId="0A0A5927" w14:textId="798DF533" w:rsidR="00ED77EA" w:rsidRPr="00ED77EA" w:rsidRDefault="00ED77EA" w:rsidP="00CD40D5">
            <w:pPr>
              <w:spacing w:after="0" w:line="240" w:lineRule="auto"/>
              <w:jc w:val="right"/>
              <w:rPr>
                <w:rFonts w:eastAsia="Times New Roman" w:cs="Calibri"/>
                <w:color w:val="000000"/>
                <w:sz w:val="18"/>
                <w:szCs w:val="18"/>
                <w:lang w:val="en-US"/>
              </w:rPr>
            </w:pPr>
            <w:r w:rsidRPr="00ED77EA">
              <w:rPr>
                <w:rFonts w:eastAsia="Times New Roman" w:cs="Calibri"/>
                <w:color w:val="000000"/>
                <w:sz w:val="18"/>
                <w:szCs w:val="18"/>
                <w:lang w:val="en-US"/>
              </w:rPr>
              <w:t xml:space="preserve">                             </w:t>
            </w:r>
            <w:r w:rsidR="00CD40D5" w:rsidRPr="00CD40D5">
              <w:rPr>
                <w:rFonts w:ascii="Arial" w:eastAsia="Times New Roman" w:hAnsi="Arial" w:cs="Arial"/>
                <w:color w:val="000000"/>
                <w:sz w:val="18"/>
                <w:szCs w:val="18"/>
                <w:lang w:val="en-US"/>
              </w:rPr>
              <w:t>₡</w:t>
            </w:r>
            <w:r w:rsidRPr="00ED77EA">
              <w:rPr>
                <w:rFonts w:eastAsia="Times New Roman" w:cs="Calibri"/>
                <w:color w:val="000000"/>
                <w:sz w:val="18"/>
                <w:szCs w:val="18"/>
                <w:lang w:val="en-US"/>
              </w:rPr>
              <w:t xml:space="preserve">795 321,93 </w:t>
            </w:r>
          </w:p>
        </w:tc>
        <w:tc>
          <w:tcPr>
            <w:tcW w:w="1134" w:type="dxa"/>
            <w:tcBorders>
              <w:top w:val="nil"/>
              <w:left w:val="nil"/>
              <w:bottom w:val="single" w:sz="8" w:space="0" w:color="auto"/>
              <w:right w:val="single" w:sz="8" w:space="0" w:color="auto"/>
            </w:tcBorders>
            <w:shd w:val="clear" w:color="auto" w:fill="auto"/>
            <w:noWrap/>
            <w:vAlign w:val="center"/>
            <w:hideMark/>
          </w:tcPr>
          <w:p w14:paraId="4A0AD0D5" w14:textId="0BBB643B" w:rsidR="00ED77EA" w:rsidRPr="00ED77EA" w:rsidRDefault="00ED77EA" w:rsidP="00CD40D5">
            <w:pPr>
              <w:spacing w:after="0" w:line="240" w:lineRule="auto"/>
              <w:jc w:val="right"/>
              <w:rPr>
                <w:rFonts w:eastAsia="Times New Roman" w:cs="Calibri"/>
                <w:color w:val="000000"/>
                <w:sz w:val="18"/>
                <w:szCs w:val="18"/>
                <w:lang w:val="en-US"/>
              </w:rPr>
            </w:pPr>
            <w:r w:rsidRPr="00ED77EA">
              <w:rPr>
                <w:rFonts w:eastAsia="Times New Roman" w:cs="Calibri"/>
                <w:color w:val="000000"/>
                <w:sz w:val="18"/>
                <w:szCs w:val="18"/>
                <w:lang w:val="en-US"/>
              </w:rPr>
              <w:t xml:space="preserve">                             </w:t>
            </w:r>
            <w:r w:rsidR="00CD40D5" w:rsidRPr="00CD40D5">
              <w:rPr>
                <w:rFonts w:ascii="Arial" w:eastAsia="Times New Roman" w:hAnsi="Arial" w:cs="Arial"/>
                <w:color w:val="000000"/>
                <w:sz w:val="18"/>
                <w:szCs w:val="18"/>
                <w:lang w:val="en-US"/>
              </w:rPr>
              <w:t>₡</w:t>
            </w:r>
            <w:r w:rsidRPr="00ED77EA">
              <w:rPr>
                <w:rFonts w:eastAsia="Times New Roman" w:cs="Calibri"/>
                <w:color w:val="000000"/>
                <w:sz w:val="18"/>
                <w:szCs w:val="18"/>
                <w:lang w:val="en-US"/>
              </w:rPr>
              <w:t xml:space="preserve">795 321,93 </w:t>
            </w:r>
          </w:p>
        </w:tc>
        <w:tc>
          <w:tcPr>
            <w:tcW w:w="1417" w:type="dxa"/>
            <w:tcBorders>
              <w:top w:val="nil"/>
              <w:left w:val="nil"/>
              <w:bottom w:val="single" w:sz="8" w:space="0" w:color="auto"/>
              <w:right w:val="single" w:sz="8" w:space="0" w:color="auto"/>
            </w:tcBorders>
            <w:shd w:val="clear" w:color="auto" w:fill="auto"/>
            <w:noWrap/>
            <w:vAlign w:val="center"/>
            <w:hideMark/>
          </w:tcPr>
          <w:p w14:paraId="1BFA66E7" w14:textId="77777777" w:rsidR="00ED77EA" w:rsidRPr="00ED77EA" w:rsidRDefault="00ED77EA" w:rsidP="00ED77EA">
            <w:pPr>
              <w:spacing w:after="0" w:line="240" w:lineRule="auto"/>
              <w:jc w:val="left"/>
              <w:rPr>
                <w:rFonts w:eastAsia="Times New Roman" w:cs="Calibri"/>
                <w:color w:val="000000"/>
                <w:sz w:val="18"/>
                <w:szCs w:val="18"/>
                <w:lang w:val="en-US"/>
              </w:rPr>
            </w:pPr>
            <w:r w:rsidRPr="00ED77EA">
              <w:rPr>
                <w:rFonts w:eastAsia="Times New Roman" w:cs="Calibri"/>
                <w:color w:val="000000"/>
                <w:sz w:val="18"/>
                <w:szCs w:val="18"/>
                <w:lang w:val="en-US"/>
              </w:rPr>
              <w:t>Riesgo de Crédito</w:t>
            </w:r>
          </w:p>
        </w:tc>
        <w:tc>
          <w:tcPr>
            <w:tcW w:w="1134" w:type="dxa"/>
            <w:tcBorders>
              <w:top w:val="nil"/>
              <w:left w:val="nil"/>
              <w:bottom w:val="single" w:sz="8" w:space="0" w:color="auto"/>
              <w:right w:val="single" w:sz="8" w:space="0" w:color="auto"/>
            </w:tcBorders>
            <w:shd w:val="clear" w:color="auto" w:fill="auto"/>
            <w:noWrap/>
            <w:vAlign w:val="center"/>
            <w:hideMark/>
          </w:tcPr>
          <w:p w14:paraId="704A787E" w14:textId="77777777" w:rsidR="00ED77EA" w:rsidRPr="00ED77EA" w:rsidRDefault="00ED77EA" w:rsidP="00ED77EA">
            <w:pPr>
              <w:spacing w:after="0" w:line="240" w:lineRule="auto"/>
              <w:jc w:val="left"/>
              <w:rPr>
                <w:rFonts w:eastAsia="Times New Roman" w:cs="Calibri"/>
                <w:color w:val="000000"/>
                <w:sz w:val="16"/>
                <w:szCs w:val="16"/>
                <w:lang w:val="en-US"/>
              </w:rPr>
            </w:pPr>
            <w:r w:rsidRPr="00ED77EA">
              <w:rPr>
                <w:rFonts w:eastAsia="Times New Roman" w:cs="Calibri"/>
                <w:color w:val="000000"/>
                <w:sz w:val="16"/>
                <w:szCs w:val="16"/>
                <w:lang w:val="en-US"/>
              </w:rPr>
              <w:t> </w:t>
            </w:r>
          </w:p>
        </w:tc>
      </w:tr>
      <w:tr w:rsidR="00ED77EA" w:rsidRPr="00ED77EA" w14:paraId="033B319D" w14:textId="77777777" w:rsidTr="00CD40D5">
        <w:trPr>
          <w:trHeight w:val="290"/>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14:paraId="5C26959F" w14:textId="77777777" w:rsidR="00ED77EA" w:rsidRPr="00ED77EA" w:rsidRDefault="00ED77EA" w:rsidP="00ED77EA">
            <w:pPr>
              <w:spacing w:after="0" w:line="240" w:lineRule="auto"/>
              <w:jc w:val="center"/>
              <w:rPr>
                <w:rFonts w:eastAsia="Times New Roman" w:cs="Calibri"/>
                <w:color w:val="000000"/>
                <w:sz w:val="18"/>
                <w:szCs w:val="18"/>
                <w:lang w:val="en-US"/>
              </w:rPr>
            </w:pPr>
            <w:r w:rsidRPr="00ED77EA">
              <w:rPr>
                <w:rFonts w:eastAsia="Times New Roman" w:cs="Calibri"/>
                <w:color w:val="000000"/>
                <w:sz w:val="18"/>
                <w:szCs w:val="18"/>
                <w:lang w:val="en-US"/>
              </w:rPr>
              <w:t>2</w:t>
            </w:r>
          </w:p>
        </w:tc>
        <w:tc>
          <w:tcPr>
            <w:tcW w:w="3260" w:type="dxa"/>
            <w:tcBorders>
              <w:top w:val="nil"/>
              <w:left w:val="nil"/>
              <w:bottom w:val="single" w:sz="8" w:space="0" w:color="auto"/>
              <w:right w:val="single" w:sz="8" w:space="0" w:color="auto"/>
            </w:tcBorders>
            <w:shd w:val="clear" w:color="auto" w:fill="auto"/>
            <w:noWrap/>
            <w:vAlign w:val="center"/>
            <w:hideMark/>
          </w:tcPr>
          <w:p w14:paraId="4F46D472" w14:textId="54D6E1D5" w:rsidR="00ED77EA" w:rsidRPr="00ED77EA" w:rsidRDefault="00ED77EA" w:rsidP="00ED77EA">
            <w:pPr>
              <w:spacing w:after="0" w:line="240" w:lineRule="auto"/>
              <w:jc w:val="left"/>
              <w:rPr>
                <w:rFonts w:eastAsia="Times New Roman" w:cs="Calibri"/>
                <w:color w:val="000000"/>
                <w:sz w:val="18"/>
                <w:szCs w:val="18"/>
              </w:rPr>
            </w:pPr>
            <w:r>
              <w:rPr>
                <w:rFonts w:eastAsia="Times New Roman" w:cs="Calibri"/>
                <w:color w:val="000000"/>
                <w:sz w:val="18"/>
                <w:szCs w:val="18"/>
              </w:rPr>
              <w:t>Deudas a</w:t>
            </w:r>
            <w:r w:rsidRPr="00ED77EA">
              <w:rPr>
                <w:rFonts w:eastAsia="Times New Roman" w:cs="Calibri"/>
                <w:color w:val="000000"/>
                <w:sz w:val="18"/>
                <w:szCs w:val="18"/>
              </w:rPr>
              <w:t xml:space="preserve"> Largo Plazo</w:t>
            </w:r>
          </w:p>
        </w:tc>
        <w:tc>
          <w:tcPr>
            <w:tcW w:w="1417" w:type="dxa"/>
            <w:tcBorders>
              <w:top w:val="nil"/>
              <w:left w:val="nil"/>
              <w:bottom w:val="single" w:sz="8" w:space="0" w:color="auto"/>
              <w:right w:val="single" w:sz="8" w:space="0" w:color="auto"/>
            </w:tcBorders>
            <w:shd w:val="clear" w:color="auto" w:fill="auto"/>
            <w:noWrap/>
            <w:vAlign w:val="center"/>
            <w:hideMark/>
          </w:tcPr>
          <w:p w14:paraId="6B50F187" w14:textId="77777777" w:rsidR="00ED77EA" w:rsidRPr="00ED77EA" w:rsidRDefault="00ED77EA" w:rsidP="00ED77EA">
            <w:pPr>
              <w:spacing w:after="0" w:line="240" w:lineRule="auto"/>
              <w:jc w:val="left"/>
              <w:rPr>
                <w:rFonts w:eastAsia="Times New Roman" w:cs="Calibri"/>
                <w:color w:val="000000"/>
                <w:sz w:val="16"/>
                <w:szCs w:val="16"/>
              </w:rPr>
            </w:pPr>
            <w:r w:rsidRPr="00ED77EA">
              <w:rPr>
                <w:rFonts w:eastAsia="Times New Roman" w:cs="Calibri"/>
                <w:color w:val="000000"/>
                <w:sz w:val="16"/>
                <w:szCs w:val="16"/>
              </w:rPr>
              <w:t> </w:t>
            </w:r>
          </w:p>
        </w:tc>
        <w:tc>
          <w:tcPr>
            <w:tcW w:w="1134" w:type="dxa"/>
            <w:tcBorders>
              <w:top w:val="nil"/>
              <w:left w:val="nil"/>
              <w:bottom w:val="single" w:sz="8" w:space="0" w:color="auto"/>
              <w:right w:val="single" w:sz="8" w:space="0" w:color="auto"/>
            </w:tcBorders>
            <w:shd w:val="clear" w:color="auto" w:fill="auto"/>
            <w:noWrap/>
            <w:vAlign w:val="center"/>
            <w:hideMark/>
          </w:tcPr>
          <w:p w14:paraId="1B4EB943" w14:textId="77777777" w:rsidR="00ED77EA" w:rsidRPr="00ED77EA" w:rsidRDefault="00ED77EA" w:rsidP="00CD40D5">
            <w:pPr>
              <w:spacing w:after="0" w:line="240" w:lineRule="auto"/>
              <w:ind w:left="-102"/>
              <w:jc w:val="right"/>
              <w:rPr>
                <w:rFonts w:eastAsia="Times New Roman" w:cs="Calibri"/>
                <w:color w:val="000000"/>
                <w:sz w:val="18"/>
                <w:szCs w:val="18"/>
                <w:lang w:val="en-US"/>
              </w:rPr>
            </w:pPr>
            <w:r w:rsidRPr="00ED77EA">
              <w:rPr>
                <w:rFonts w:eastAsia="Times New Roman" w:cs="Calibri"/>
                <w:color w:val="000000"/>
                <w:sz w:val="18"/>
                <w:szCs w:val="18"/>
              </w:rPr>
              <w:t xml:space="preserve">                          </w:t>
            </w:r>
            <w:r w:rsidRPr="00ED77EA">
              <w:rPr>
                <w:rFonts w:eastAsia="Times New Roman" w:cs="Calibri"/>
                <w:color w:val="000000"/>
                <w:sz w:val="18"/>
                <w:szCs w:val="18"/>
                <w:lang w:val="en-US"/>
              </w:rPr>
              <w:t xml:space="preserve">1 098 005,36 </w:t>
            </w:r>
          </w:p>
        </w:tc>
        <w:tc>
          <w:tcPr>
            <w:tcW w:w="1134" w:type="dxa"/>
            <w:tcBorders>
              <w:top w:val="nil"/>
              <w:left w:val="nil"/>
              <w:bottom w:val="single" w:sz="8" w:space="0" w:color="auto"/>
              <w:right w:val="single" w:sz="8" w:space="0" w:color="auto"/>
            </w:tcBorders>
            <w:shd w:val="clear" w:color="auto" w:fill="auto"/>
            <w:noWrap/>
            <w:vAlign w:val="center"/>
            <w:hideMark/>
          </w:tcPr>
          <w:p w14:paraId="36260480" w14:textId="77777777" w:rsidR="00ED77EA" w:rsidRPr="00ED77EA" w:rsidRDefault="00ED77EA" w:rsidP="00CD40D5">
            <w:pPr>
              <w:spacing w:after="0" w:line="240" w:lineRule="auto"/>
              <w:ind w:left="-106"/>
              <w:jc w:val="right"/>
              <w:rPr>
                <w:rFonts w:eastAsia="Times New Roman" w:cs="Calibri"/>
                <w:color w:val="000000"/>
                <w:sz w:val="18"/>
                <w:szCs w:val="18"/>
                <w:lang w:val="en-US"/>
              </w:rPr>
            </w:pPr>
            <w:r w:rsidRPr="00ED77EA">
              <w:rPr>
                <w:rFonts w:eastAsia="Times New Roman" w:cs="Calibri"/>
                <w:color w:val="000000"/>
                <w:sz w:val="18"/>
                <w:szCs w:val="18"/>
                <w:lang w:val="en-US"/>
              </w:rPr>
              <w:t xml:space="preserve">                          1 098 005,36 </w:t>
            </w:r>
          </w:p>
        </w:tc>
        <w:tc>
          <w:tcPr>
            <w:tcW w:w="1417" w:type="dxa"/>
            <w:tcBorders>
              <w:top w:val="nil"/>
              <w:left w:val="nil"/>
              <w:bottom w:val="single" w:sz="8" w:space="0" w:color="auto"/>
              <w:right w:val="single" w:sz="8" w:space="0" w:color="auto"/>
            </w:tcBorders>
            <w:shd w:val="clear" w:color="auto" w:fill="auto"/>
            <w:noWrap/>
            <w:vAlign w:val="center"/>
            <w:hideMark/>
          </w:tcPr>
          <w:p w14:paraId="6B876F13" w14:textId="77777777" w:rsidR="00ED77EA" w:rsidRPr="00ED77EA" w:rsidRDefault="00ED77EA" w:rsidP="00ED77EA">
            <w:pPr>
              <w:spacing w:after="0" w:line="240" w:lineRule="auto"/>
              <w:jc w:val="left"/>
              <w:rPr>
                <w:rFonts w:eastAsia="Times New Roman" w:cs="Calibri"/>
                <w:color w:val="000000"/>
                <w:sz w:val="18"/>
                <w:szCs w:val="18"/>
                <w:lang w:val="en-US"/>
              </w:rPr>
            </w:pPr>
            <w:r w:rsidRPr="00ED77EA">
              <w:rPr>
                <w:rFonts w:eastAsia="Times New Roman" w:cs="Calibri"/>
                <w:color w:val="000000"/>
                <w:sz w:val="18"/>
                <w:szCs w:val="18"/>
                <w:lang w:val="en-US"/>
              </w:rPr>
              <w:t>Riesgo de Liquidez</w:t>
            </w:r>
          </w:p>
        </w:tc>
        <w:tc>
          <w:tcPr>
            <w:tcW w:w="1134" w:type="dxa"/>
            <w:tcBorders>
              <w:top w:val="nil"/>
              <w:left w:val="nil"/>
              <w:bottom w:val="single" w:sz="8" w:space="0" w:color="auto"/>
              <w:right w:val="single" w:sz="8" w:space="0" w:color="auto"/>
            </w:tcBorders>
            <w:shd w:val="clear" w:color="auto" w:fill="auto"/>
            <w:noWrap/>
            <w:vAlign w:val="center"/>
            <w:hideMark/>
          </w:tcPr>
          <w:p w14:paraId="45BD1E2B" w14:textId="77777777" w:rsidR="00ED77EA" w:rsidRPr="00ED77EA" w:rsidRDefault="00ED77EA" w:rsidP="00ED77EA">
            <w:pPr>
              <w:spacing w:after="0" w:line="240" w:lineRule="auto"/>
              <w:jc w:val="left"/>
              <w:rPr>
                <w:rFonts w:eastAsia="Times New Roman" w:cs="Calibri"/>
                <w:color w:val="000000"/>
                <w:sz w:val="16"/>
                <w:szCs w:val="16"/>
                <w:lang w:val="en-US"/>
              </w:rPr>
            </w:pPr>
            <w:r w:rsidRPr="00ED77EA">
              <w:rPr>
                <w:rFonts w:eastAsia="Times New Roman" w:cs="Calibri"/>
                <w:color w:val="000000"/>
                <w:sz w:val="16"/>
                <w:szCs w:val="16"/>
                <w:lang w:val="en-US"/>
              </w:rPr>
              <w:t> </w:t>
            </w:r>
          </w:p>
        </w:tc>
      </w:tr>
      <w:tr w:rsidR="00ED77EA" w:rsidRPr="00ED77EA" w14:paraId="67627782" w14:textId="77777777" w:rsidTr="00CD40D5">
        <w:trPr>
          <w:trHeight w:val="290"/>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14:paraId="10EB0D49" w14:textId="77777777" w:rsidR="00ED77EA" w:rsidRPr="00ED77EA" w:rsidRDefault="00ED77EA" w:rsidP="00ED77EA">
            <w:pPr>
              <w:spacing w:after="0" w:line="240" w:lineRule="auto"/>
              <w:jc w:val="center"/>
              <w:rPr>
                <w:rFonts w:eastAsia="Times New Roman" w:cs="Calibri"/>
                <w:color w:val="000000"/>
                <w:sz w:val="18"/>
                <w:szCs w:val="18"/>
                <w:lang w:val="en-US"/>
              </w:rPr>
            </w:pPr>
            <w:r w:rsidRPr="00ED77EA">
              <w:rPr>
                <w:rFonts w:eastAsia="Times New Roman" w:cs="Calibri"/>
                <w:color w:val="000000"/>
                <w:sz w:val="18"/>
                <w:szCs w:val="18"/>
                <w:lang w:val="en-US"/>
              </w:rPr>
              <w:t>3</w:t>
            </w:r>
          </w:p>
        </w:tc>
        <w:tc>
          <w:tcPr>
            <w:tcW w:w="3260" w:type="dxa"/>
            <w:tcBorders>
              <w:top w:val="nil"/>
              <w:left w:val="nil"/>
              <w:bottom w:val="single" w:sz="8" w:space="0" w:color="auto"/>
              <w:right w:val="single" w:sz="8" w:space="0" w:color="auto"/>
            </w:tcBorders>
            <w:shd w:val="clear" w:color="auto" w:fill="auto"/>
            <w:noWrap/>
            <w:vAlign w:val="center"/>
            <w:hideMark/>
          </w:tcPr>
          <w:p w14:paraId="2469544F" w14:textId="77777777" w:rsidR="00ED77EA" w:rsidRPr="00ED77EA" w:rsidRDefault="00ED77EA" w:rsidP="00ED77EA">
            <w:pPr>
              <w:spacing w:after="0" w:line="240" w:lineRule="auto"/>
              <w:jc w:val="left"/>
              <w:rPr>
                <w:rFonts w:eastAsia="Times New Roman" w:cs="Calibri"/>
                <w:color w:val="000000"/>
                <w:sz w:val="18"/>
                <w:szCs w:val="18"/>
                <w:lang w:val="en-US"/>
              </w:rPr>
            </w:pPr>
            <w:r w:rsidRPr="00ED77EA">
              <w:rPr>
                <w:rFonts w:eastAsia="Times New Roman" w:cs="Calibri"/>
                <w:color w:val="000000"/>
                <w:sz w:val="18"/>
                <w:szCs w:val="18"/>
                <w:lang w:val="en-US"/>
              </w:rPr>
              <w:t> </w:t>
            </w:r>
          </w:p>
        </w:tc>
        <w:tc>
          <w:tcPr>
            <w:tcW w:w="1417" w:type="dxa"/>
            <w:tcBorders>
              <w:top w:val="nil"/>
              <w:left w:val="nil"/>
              <w:bottom w:val="single" w:sz="8" w:space="0" w:color="auto"/>
              <w:right w:val="single" w:sz="8" w:space="0" w:color="auto"/>
            </w:tcBorders>
            <w:shd w:val="clear" w:color="auto" w:fill="auto"/>
            <w:noWrap/>
            <w:vAlign w:val="center"/>
            <w:hideMark/>
          </w:tcPr>
          <w:p w14:paraId="77D41A4F" w14:textId="77777777" w:rsidR="00ED77EA" w:rsidRPr="00ED77EA" w:rsidRDefault="00ED77EA" w:rsidP="00ED77EA">
            <w:pPr>
              <w:spacing w:after="0" w:line="240" w:lineRule="auto"/>
              <w:jc w:val="left"/>
              <w:rPr>
                <w:rFonts w:eastAsia="Times New Roman" w:cs="Calibri"/>
                <w:color w:val="000000"/>
                <w:sz w:val="16"/>
                <w:szCs w:val="16"/>
                <w:lang w:val="en-US"/>
              </w:rPr>
            </w:pPr>
            <w:r w:rsidRPr="00ED77EA">
              <w:rPr>
                <w:rFonts w:eastAsia="Times New Roman" w:cs="Calibri"/>
                <w:color w:val="000000"/>
                <w:sz w:val="16"/>
                <w:szCs w:val="16"/>
                <w:lang w:val="en-US"/>
              </w:rPr>
              <w:t> </w:t>
            </w:r>
          </w:p>
        </w:tc>
        <w:tc>
          <w:tcPr>
            <w:tcW w:w="1134" w:type="dxa"/>
            <w:tcBorders>
              <w:top w:val="nil"/>
              <w:left w:val="nil"/>
              <w:bottom w:val="single" w:sz="8" w:space="0" w:color="auto"/>
              <w:right w:val="single" w:sz="8" w:space="0" w:color="auto"/>
            </w:tcBorders>
            <w:shd w:val="clear" w:color="auto" w:fill="auto"/>
            <w:noWrap/>
            <w:vAlign w:val="center"/>
            <w:hideMark/>
          </w:tcPr>
          <w:p w14:paraId="1F025112" w14:textId="77777777" w:rsidR="00ED77EA" w:rsidRPr="00ED77EA" w:rsidRDefault="00ED77EA" w:rsidP="00CD40D5">
            <w:pPr>
              <w:spacing w:after="0" w:line="240" w:lineRule="auto"/>
              <w:jc w:val="right"/>
              <w:rPr>
                <w:rFonts w:eastAsia="Times New Roman" w:cs="Calibri"/>
                <w:color w:val="000000"/>
                <w:sz w:val="16"/>
                <w:szCs w:val="16"/>
                <w:lang w:val="en-US"/>
              </w:rPr>
            </w:pPr>
            <w:r w:rsidRPr="00ED77EA">
              <w:rPr>
                <w:rFonts w:eastAsia="Times New Roman" w:cs="Calibri"/>
                <w:color w:val="000000"/>
                <w:sz w:val="16"/>
                <w:szCs w:val="16"/>
                <w:lang w:val="en-US"/>
              </w:rPr>
              <w:t> </w:t>
            </w:r>
          </w:p>
        </w:tc>
        <w:tc>
          <w:tcPr>
            <w:tcW w:w="1134" w:type="dxa"/>
            <w:tcBorders>
              <w:top w:val="nil"/>
              <w:left w:val="nil"/>
              <w:bottom w:val="single" w:sz="8" w:space="0" w:color="auto"/>
              <w:right w:val="single" w:sz="8" w:space="0" w:color="auto"/>
            </w:tcBorders>
            <w:shd w:val="clear" w:color="auto" w:fill="auto"/>
            <w:noWrap/>
            <w:vAlign w:val="center"/>
            <w:hideMark/>
          </w:tcPr>
          <w:p w14:paraId="36ECE97F" w14:textId="77777777" w:rsidR="00ED77EA" w:rsidRPr="00ED77EA" w:rsidRDefault="00ED77EA" w:rsidP="00CD40D5">
            <w:pPr>
              <w:spacing w:after="0" w:line="240" w:lineRule="auto"/>
              <w:jc w:val="right"/>
              <w:rPr>
                <w:rFonts w:eastAsia="Times New Roman" w:cs="Calibri"/>
                <w:color w:val="000000"/>
                <w:sz w:val="16"/>
                <w:szCs w:val="16"/>
                <w:lang w:val="en-US"/>
              </w:rPr>
            </w:pPr>
            <w:r w:rsidRPr="00ED77EA">
              <w:rPr>
                <w:rFonts w:eastAsia="Times New Roman" w:cs="Calibri"/>
                <w:color w:val="000000"/>
                <w:sz w:val="16"/>
                <w:szCs w:val="16"/>
                <w:lang w:val="en-US"/>
              </w:rPr>
              <w:t> </w:t>
            </w:r>
          </w:p>
        </w:tc>
        <w:tc>
          <w:tcPr>
            <w:tcW w:w="1417" w:type="dxa"/>
            <w:tcBorders>
              <w:top w:val="nil"/>
              <w:left w:val="nil"/>
              <w:bottom w:val="single" w:sz="8" w:space="0" w:color="auto"/>
              <w:right w:val="single" w:sz="8" w:space="0" w:color="auto"/>
            </w:tcBorders>
            <w:shd w:val="clear" w:color="auto" w:fill="auto"/>
            <w:noWrap/>
            <w:vAlign w:val="center"/>
            <w:hideMark/>
          </w:tcPr>
          <w:p w14:paraId="39C66B54" w14:textId="77777777" w:rsidR="00ED77EA" w:rsidRPr="00ED77EA" w:rsidRDefault="00ED77EA" w:rsidP="00ED77EA">
            <w:pPr>
              <w:spacing w:after="0" w:line="240" w:lineRule="auto"/>
              <w:jc w:val="left"/>
              <w:rPr>
                <w:rFonts w:eastAsia="Times New Roman" w:cs="Calibri"/>
                <w:color w:val="000000"/>
                <w:sz w:val="18"/>
                <w:szCs w:val="18"/>
              </w:rPr>
            </w:pPr>
            <w:r w:rsidRPr="00ED77EA">
              <w:rPr>
                <w:rFonts w:eastAsia="Times New Roman" w:cs="Calibri"/>
                <w:color w:val="000000"/>
                <w:sz w:val="18"/>
                <w:szCs w:val="18"/>
              </w:rPr>
              <w:t>Riesgo de Tasa de Cambio</w:t>
            </w:r>
          </w:p>
        </w:tc>
        <w:tc>
          <w:tcPr>
            <w:tcW w:w="1134" w:type="dxa"/>
            <w:tcBorders>
              <w:top w:val="nil"/>
              <w:left w:val="nil"/>
              <w:bottom w:val="single" w:sz="8" w:space="0" w:color="auto"/>
              <w:right w:val="single" w:sz="8" w:space="0" w:color="auto"/>
            </w:tcBorders>
            <w:shd w:val="clear" w:color="auto" w:fill="auto"/>
            <w:noWrap/>
            <w:vAlign w:val="center"/>
            <w:hideMark/>
          </w:tcPr>
          <w:p w14:paraId="0C104638" w14:textId="77777777" w:rsidR="00ED77EA" w:rsidRPr="00ED77EA" w:rsidRDefault="00ED77EA" w:rsidP="00ED77EA">
            <w:pPr>
              <w:spacing w:after="0" w:line="240" w:lineRule="auto"/>
              <w:jc w:val="left"/>
              <w:rPr>
                <w:rFonts w:eastAsia="Times New Roman" w:cs="Calibri"/>
                <w:color w:val="000000"/>
                <w:sz w:val="16"/>
                <w:szCs w:val="16"/>
              </w:rPr>
            </w:pPr>
            <w:r w:rsidRPr="00ED77EA">
              <w:rPr>
                <w:rFonts w:eastAsia="Times New Roman" w:cs="Calibri"/>
                <w:color w:val="000000"/>
                <w:sz w:val="16"/>
                <w:szCs w:val="16"/>
              </w:rPr>
              <w:t> </w:t>
            </w:r>
          </w:p>
        </w:tc>
      </w:tr>
      <w:tr w:rsidR="00ED77EA" w:rsidRPr="00ED77EA" w14:paraId="3048254B" w14:textId="77777777" w:rsidTr="00CD40D5">
        <w:trPr>
          <w:trHeight w:val="290"/>
        </w:trPr>
        <w:tc>
          <w:tcPr>
            <w:tcW w:w="5093" w:type="dxa"/>
            <w:gridSpan w:val="3"/>
            <w:tcBorders>
              <w:top w:val="single" w:sz="8" w:space="0" w:color="auto"/>
              <w:left w:val="single" w:sz="8" w:space="0" w:color="auto"/>
              <w:bottom w:val="single" w:sz="8" w:space="0" w:color="auto"/>
              <w:right w:val="nil"/>
            </w:tcBorders>
            <w:shd w:val="clear" w:color="000000" w:fill="1F3864"/>
            <w:noWrap/>
            <w:vAlign w:val="center"/>
            <w:hideMark/>
          </w:tcPr>
          <w:p w14:paraId="478F93A9" w14:textId="77777777" w:rsidR="00ED77EA" w:rsidRPr="00ED77EA" w:rsidRDefault="00ED77EA" w:rsidP="00CD40D5">
            <w:pPr>
              <w:spacing w:after="0" w:line="240" w:lineRule="auto"/>
              <w:rPr>
                <w:rFonts w:eastAsia="Times New Roman" w:cs="Arial"/>
                <w:b/>
                <w:bCs/>
                <w:color w:val="000000"/>
                <w:sz w:val="16"/>
                <w:szCs w:val="16"/>
                <w:lang w:val="en-US"/>
              </w:rPr>
            </w:pPr>
            <w:r w:rsidRPr="00ED77EA">
              <w:rPr>
                <w:rFonts w:eastAsia="Times New Roman" w:cs="Arial"/>
                <w:b/>
                <w:bCs/>
                <w:color w:val="000000"/>
                <w:sz w:val="16"/>
                <w:szCs w:val="16"/>
                <w:lang w:val="en-US"/>
              </w:rPr>
              <w:t>GRAN TOTAL</w:t>
            </w:r>
          </w:p>
        </w:tc>
        <w:tc>
          <w:tcPr>
            <w:tcW w:w="1134" w:type="dxa"/>
            <w:tcBorders>
              <w:top w:val="nil"/>
              <w:left w:val="nil"/>
              <w:bottom w:val="single" w:sz="8" w:space="0" w:color="auto"/>
              <w:right w:val="single" w:sz="8" w:space="0" w:color="auto"/>
            </w:tcBorders>
            <w:shd w:val="clear" w:color="auto" w:fill="auto"/>
            <w:noWrap/>
            <w:vAlign w:val="center"/>
            <w:hideMark/>
          </w:tcPr>
          <w:p w14:paraId="6A20A7A3" w14:textId="5604A85A" w:rsidR="00ED77EA" w:rsidRPr="00ED77EA" w:rsidRDefault="00CD40D5" w:rsidP="00CD40D5">
            <w:pPr>
              <w:spacing w:after="0" w:line="240" w:lineRule="auto"/>
              <w:jc w:val="right"/>
              <w:rPr>
                <w:rFonts w:eastAsia="Times New Roman" w:cs="Arial"/>
                <w:b/>
                <w:bCs/>
                <w:color w:val="000000"/>
                <w:sz w:val="16"/>
                <w:szCs w:val="16"/>
                <w:lang w:val="en-US"/>
              </w:rPr>
            </w:pPr>
            <w:r w:rsidRPr="00CD40D5">
              <w:rPr>
                <w:rFonts w:ascii="Arial" w:eastAsia="Times New Roman" w:hAnsi="Arial" w:cs="Arial"/>
                <w:b/>
                <w:bCs/>
                <w:color w:val="000000"/>
                <w:sz w:val="16"/>
                <w:szCs w:val="16"/>
                <w:lang w:val="en-US"/>
              </w:rPr>
              <w:t>₡</w:t>
            </w:r>
            <w:r w:rsidR="00ED77EA" w:rsidRPr="00ED77EA">
              <w:rPr>
                <w:rFonts w:eastAsia="Times New Roman" w:cs="Arial"/>
                <w:b/>
                <w:bCs/>
                <w:color w:val="000000"/>
                <w:sz w:val="16"/>
                <w:szCs w:val="16"/>
                <w:lang w:val="en-US"/>
              </w:rPr>
              <w:t xml:space="preserve">1 893 327,29 </w:t>
            </w:r>
          </w:p>
        </w:tc>
        <w:tc>
          <w:tcPr>
            <w:tcW w:w="1134" w:type="dxa"/>
            <w:tcBorders>
              <w:top w:val="nil"/>
              <w:left w:val="nil"/>
              <w:bottom w:val="single" w:sz="8" w:space="0" w:color="auto"/>
              <w:right w:val="single" w:sz="8" w:space="0" w:color="auto"/>
            </w:tcBorders>
            <w:shd w:val="clear" w:color="auto" w:fill="auto"/>
            <w:noWrap/>
            <w:vAlign w:val="center"/>
            <w:hideMark/>
          </w:tcPr>
          <w:p w14:paraId="01CC11FA" w14:textId="2F00F59D" w:rsidR="00ED77EA" w:rsidRPr="00ED77EA" w:rsidRDefault="00CD40D5" w:rsidP="00CD40D5">
            <w:pPr>
              <w:spacing w:after="0" w:line="240" w:lineRule="auto"/>
              <w:jc w:val="right"/>
              <w:rPr>
                <w:rFonts w:eastAsia="Times New Roman" w:cs="Arial"/>
                <w:b/>
                <w:bCs/>
                <w:color w:val="000000"/>
                <w:sz w:val="16"/>
                <w:szCs w:val="16"/>
                <w:lang w:val="en-US"/>
              </w:rPr>
            </w:pPr>
            <w:r w:rsidRPr="00CD40D5">
              <w:rPr>
                <w:rFonts w:ascii="Arial" w:eastAsia="Times New Roman" w:hAnsi="Arial" w:cs="Arial"/>
                <w:b/>
                <w:bCs/>
                <w:color w:val="000000"/>
                <w:sz w:val="16"/>
                <w:szCs w:val="16"/>
                <w:lang w:val="en-US"/>
              </w:rPr>
              <w:t>₡</w:t>
            </w:r>
            <w:r w:rsidR="00ED77EA" w:rsidRPr="00ED77EA">
              <w:rPr>
                <w:rFonts w:eastAsia="Times New Roman" w:cs="Arial"/>
                <w:b/>
                <w:bCs/>
                <w:color w:val="000000"/>
                <w:sz w:val="16"/>
                <w:szCs w:val="16"/>
                <w:lang w:val="en-US"/>
              </w:rPr>
              <w:t xml:space="preserve">1 893 327,29 </w:t>
            </w:r>
          </w:p>
        </w:tc>
        <w:tc>
          <w:tcPr>
            <w:tcW w:w="2551" w:type="dxa"/>
            <w:gridSpan w:val="2"/>
            <w:tcBorders>
              <w:top w:val="single" w:sz="8" w:space="0" w:color="auto"/>
              <w:left w:val="nil"/>
              <w:bottom w:val="nil"/>
              <w:right w:val="nil"/>
            </w:tcBorders>
            <w:shd w:val="clear" w:color="000000" w:fill="17365D"/>
            <w:vAlign w:val="center"/>
            <w:hideMark/>
          </w:tcPr>
          <w:p w14:paraId="0CDA5DAB" w14:textId="77777777" w:rsidR="00ED77EA" w:rsidRPr="00ED77EA" w:rsidRDefault="00ED77EA" w:rsidP="00ED77EA">
            <w:pPr>
              <w:spacing w:after="0" w:line="240" w:lineRule="auto"/>
              <w:jc w:val="center"/>
              <w:rPr>
                <w:rFonts w:eastAsia="Times New Roman" w:cs="Calibri"/>
                <w:color w:val="FFFFFF"/>
                <w:sz w:val="16"/>
                <w:szCs w:val="16"/>
                <w:lang w:val="en-US"/>
              </w:rPr>
            </w:pPr>
            <w:r w:rsidRPr="00ED77EA">
              <w:rPr>
                <w:rFonts w:eastAsia="Times New Roman" w:cs="Calibri"/>
                <w:color w:val="FFFFFF"/>
                <w:sz w:val="16"/>
                <w:szCs w:val="16"/>
                <w:lang w:val="en-US"/>
              </w:rPr>
              <w:t> </w:t>
            </w:r>
          </w:p>
        </w:tc>
      </w:tr>
    </w:tbl>
    <w:p w14:paraId="170E570A" w14:textId="77777777" w:rsidR="00ED77EA" w:rsidRPr="00112C21" w:rsidRDefault="00ED77EA" w:rsidP="0077456B">
      <w:bookmarkStart w:id="1104" w:name="_GoBack"/>
      <w:bookmarkEnd w:id="1104"/>
    </w:p>
    <w:p w14:paraId="7632BA98" w14:textId="16B2F8F9" w:rsidR="0077456B" w:rsidRPr="00112C21" w:rsidRDefault="00112C21" w:rsidP="00112C21">
      <w:pPr>
        <w:pStyle w:val="Ttulo3"/>
        <w:rPr>
          <w:rFonts w:eastAsia="Times New Roman"/>
          <w:lang w:eastAsia="es-CR"/>
        </w:rPr>
      </w:pPr>
      <w:bookmarkStart w:id="1105" w:name="_Fideicomisos"/>
      <w:bookmarkStart w:id="1106" w:name="_Toc82769127"/>
      <w:bookmarkStart w:id="1107" w:name="_Toc173245352"/>
      <w:bookmarkEnd w:id="1105"/>
      <w:r w:rsidRPr="0077456B">
        <w:rPr>
          <w:rFonts w:eastAsia="Times New Roman"/>
          <w:lang w:eastAsia="es-CR"/>
        </w:rPr>
        <w:t>FIDEICOMISOS</w:t>
      </w:r>
      <w:bookmarkEnd w:id="1106"/>
      <w:bookmarkEnd w:id="1107"/>
    </w:p>
    <w:p w14:paraId="132D51EE" w14:textId="77777777" w:rsidR="0077456B" w:rsidRPr="0077456B" w:rsidRDefault="0077456B" w:rsidP="0077456B">
      <w:r w:rsidRPr="0077456B">
        <w:rPr>
          <w:noProof/>
          <w:lang w:eastAsia="es-CR"/>
        </w:rPr>
        <w:drawing>
          <wp:inline distT="0" distB="0" distL="0" distR="0" wp14:anchorId="70CA9920" wp14:editId="27614747">
            <wp:extent cx="4732020" cy="4373880"/>
            <wp:effectExtent l="0" t="0" r="0" b="0"/>
            <wp:docPr id="591" name="Imagen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32020" cy="4373880"/>
                    </a:xfrm>
                    <a:prstGeom prst="rect">
                      <a:avLst/>
                    </a:prstGeom>
                    <a:noFill/>
                    <a:ln>
                      <a:noFill/>
                    </a:ln>
                  </pic:spPr>
                </pic:pic>
              </a:graphicData>
            </a:graphic>
          </wp:inline>
        </w:drawing>
      </w:r>
    </w:p>
    <w:p w14:paraId="4CACE2EA" w14:textId="5E224BC5" w:rsidR="0077456B" w:rsidRDefault="0077456B" w:rsidP="0077456B">
      <w:pPr>
        <w:rPr>
          <w:lang w:eastAsia="es-CR"/>
        </w:rPr>
      </w:pPr>
    </w:p>
    <w:p w14:paraId="64C19C75" w14:textId="77777777" w:rsidR="00112C21" w:rsidRPr="0077456B" w:rsidRDefault="00112C21" w:rsidP="0077456B">
      <w:pPr>
        <w:rPr>
          <w:lang w:eastAsia="es-CR"/>
        </w:rPr>
      </w:pPr>
    </w:p>
    <w:p w14:paraId="751EC14F" w14:textId="77777777" w:rsidR="00246876" w:rsidRDefault="00112C21" w:rsidP="00246876">
      <w:pPr>
        <w:pStyle w:val="Ttulo3"/>
        <w:rPr>
          <w:rFonts w:eastAsia="Times New Roman"/>
          <w:lang w:eastAsia="es-CR"/>
        </w:rPr>
      </w:pPr>
      <w:bookmarkStart w:id="1108" w:name="_NICSP_31"/>
      <w:bookmarkStart w:id="1109" w:name="_Toc82769128"/>
      <w:bookmarkStart w:id="1110" w:name="_Toc173245353"/>
      <w:bookmarkEnd w:id="1108"/>
      <w:r w:rsidRPr="0077456B">
        <w:rPr>
          <w:rFonts w:eastAsia="Times New Roman"/>
          <w:lang w:eastAsia="es-CR"/>
        </w:rPr>
        <w:t>NICSP 31</w:t>
      </w:r>
      <w:bookmarkEnd w:id="1109"/>
      <w:bookmarkEnd w:id="1110"/>
      <w:r w:rsidRPr="0077456B">
        <w:rPr>
          <w:rFonts w:eastAsia="Times New Roman"/>
          <w:lang w:eastAsia="es-CR"/>
        </w:rPr>
        <w:t xml:space="preserve"> </w:t>
      </w:r>
    </w:p>
    <w:p w14:paraId="5E19C2B6" w14:textId="66556E6E" w:rsidR="0077456B" w:rsidRPr="0077456B" w:rsidRDefault="0077456B" w:rsidP="00D95A72">
      <w:pPr>
        <w:spacing w:after="0" w:line="240" w:lineRule="auto"/>
        <w:rPr>
          <w:rFonts w:eastAsia="Times New Roman" w:cs="Calibri"/>
          <w:color w:val="1F3864"/>
          <w:sz w:val="26"/>
          <w:szCs w:val="26"/>
          <w:lang w:eastAsia="es-CR"/>
        </w:rPr>
      </w:pPr>
    </w:p>
    <w:tbl>
      <w:tblPr>
        <w:tblW w:w="8931" w:type="dxa"/>
        <w:tblLook w:val="04A0" w:firstRow="1" w:lastRow="0" w:firstColumn="1" w:lastColumn="0" w:noHBand="0" w:noVBand="1"/>
      </w:tblPr>
      <w:tblGrid>
        <w:gridCol w:w="939"/>
        <w:gridCol w:w="1450"/>
        <w:gridCol w:w="1275"/>
        <w:gridCol w:w="2227"/>
        <w:gridCol w:w="1532"/>
        <w:gridCol w:w="1548"/>
      </w:tblGrid>
      <w:tr w:rsidR="00D95A72" w:rsidRPr="00D95A72" w14:paraId="6D1D2550" w14:textId="77777777" w:rsidTr="00D95A72">
        <w:trPr>
          <w:trHeight w:val="505"/>
        </w:trPr>
        <w:tc>
          <w:tcPr>
            <w:tcW w:w="924" w:type="dxa"/>
            <w:tcBorders>
              <w:top w:val="single" w:sz="8" w:space="0" w:color="auto"/>
              <w:left w:val="nil"/>
              <w:bottom w:val="nil"/>
              <w:right w:val="single" w:sz="8" w:space="0" w:color="auto"/>
            </w:tcBorders>
            <w:shd w:val="clear" w:color="000000" w:fill="17365D"/>
            <w:vAlign w:val="center"/>
            <w:hideMark/>
          </w:tcPr>
          <w:p w14:paraId="26CF4DC8" w14:textId="77777777" w:rsidR="00D95A72" w:rsidRPr="00D95A72" w:rsidRDefault="00D95A72" w:rsidP="00D95A72">
            <w:pPr>
              <w:spacing w:after="0" w:line="240" w:lineRule="auto"/>
              <w:jc w:val="center"/>
              <w:rPr>
                <w:rFonts w:eastAsia="Times New Roman" w:cs="Calibri"/>
                <w:color w:val="FFFFFF"/>
                <w:sz w:val="22"/>
                <w:lang w:val="en-US"/>
              </w:rPr>
            </w:pPr>
            <w:r w:rsidRPr="00D95A72">
              <w:rPr>
                <w:rFonts w:eastAsia="Times New Roman" w:cs="Calibri"/>
                <w:color w:val="FFFFFF"/>
                <w:sz w:val="22"/>
                <w:lang w:val="en-US"/>
              </w:rPr>
              <w:t>Cantidad</w:t>
            </w:r>
          </w:p>
        </w:tc>
        <w:tc>
          <w:tcPr>
            <w:tcW w:w="1425" w:type="dxa"/>
            <w:tcBorders>
              <w:top w:val="single" w:sz="8" w:space="0" w:color="auto"/>
              <w:left w:val="nil"/>
              <w:bottom w:val="single" w:sz="8" w:space="0" w:color="auto"/>
              <w:right w:val="single" w:sz="8" w:space="0" w:color="auto"/>
            </w:tcBorders>
            <w:shd w:val="clear" w:color="000000" w:fill="1F3864"/>
            <w:vAlign w:val="center"/>
            <w:hideMark/>
          </w:tcPr>
          <w:p w14:paraId="79E7C306" w14:textId="77777777" w:rsidR="00D95A72" w:rsidRPr="00D95A72" w:rsidRDefault="00D95A72" w:rsidP="00D95A72">
            <w:pPr>
              <w:spacing w:after="0" w:line="240" w:lineRule="auto"/>
              <w:jc w:val="center"/>
              <w:rPr>
                <w:rFonts w:eastAsia="Times New Roman" w:cs="Calibri"/>
                <w:color w:val="FFFFFF"/>
                <w:sz w:val="22"/>
                <w:lang w:val="en-US"/>
              </w:rPr>
            </w:pPr>
            <w:r w:rsidRPr="00D95A72">
              <w:rPr>
                <w:rFonts w:eastAsia="Times New Roman" w:cs="Calibri"/>
                <w:color w:val="FFFFFF"/>
                <w:sz w:val="22"/>
                <w:lang w:val="en-US"/>
              </w:rPr>
              <w:t>No._inscripción</w:t>
            </w:r>
          </w:p>
        </w:tc>
        <w:tc>
          <w:tcPr>
            <w:tcW w:w="1275" w:type="dxa"/>
            <w:tcBorders>
              <w:top w:val="single" w:sz="8" w:space="0" w:color="auto"/>
              <w:left w:val="nil"/>
              <w:bottom w:val="single" w:sz="8" w:space="0" w:color="auto"/>
              <w:right w:val="single" w:sz="8" w:space="0" w:color="auto"/>
            </w:tcBorders>
            <w:shd w:val="clear" w:color="000000" w:fill="1F3864"/>
            <w:vAlign w:val="center"/>
            <w:hideMark/>
          </w:tcPr>
          <w:p w14:paraId="4B31C76C" w14:textId="77777777" w:rsidR="00D95A72" w:rsidRPr="00D95A72" w:rsidRDefault="00D95A72" w:rsidP="00D95A72">
            <w:pPr>
              <w:spacing w:after="0" w:line="240" w:lineRule="auto"/>
              <w:jc w:val="center"/>
              <w:rPr>
                <w:rFonts w:eastAsia="Times New Roman" w:cs="Calibri"/>
                <w:color w:val="FFFFFF"/>
                <w:sz w:val="22"/>
                <w:lang w:val="en-US"/>
              </w:rPr>
            </w:pPr>
            <w:r w:rsidRPr="00D95A72">
              <w:rPr>
                <w:rFonts w:eastAsia="Times New Roman" w:cs="Calibri"/>
                <w:color w:val="FFFFFF"/>
                <w:sz w:val="22"/>
                <w:lang w:val="en-US"/>
              </w:rPr>
              <w:t>Ubicación</w:t>
            </w:r>
          </w:p>
        </w:tc>
        <w:tc>
          <w:tcPr>
            <w:tcW w:w="2227" w:type="dxa"/>
            <w:tcBorders>
              <w:top w:val="single" w:sz="8" w:space="0" w:color="auto"/>
              <w:left w:val="nil"/>
              <w:bottom w:val="single" w:sz="8" w:space="0" w:color="auto"/>
              <w:right w:val="single" w:sz="8" w:space="0" w:color="auto"/>
            </w:tcBorders>
            <w:shd w:val="clear" w:color="000000" w:fill="1F3864"/>
            <w:vAlign w:val="center"/>
            <w:hideMark/>
          </w:tcPr>
          <w:p w14:paraId="4FBC5905" w14:textId="67859267" w:rsidR="00D95A72" w:rsidRPr="00D95A72" w:rsidRDefault="00D95A72" w:rsidP="00D95A72">
            <w:pPr>
              <w:spacing w:after="0" w:line="240" w:lineRule="auto"/>
              <w:jc w:val="center"/>
              <w:rPr>
                <w:rFonts w:eastAsia="Times New Roman" w:cs="Calibri"/>
                <w:color w:val="FFFFFF"/>
                <w:sz w:val="22"/>
                <w:lang w:val="en-US"/>
              </w:rPr>
            </w:pPr>
            <w:r>
              <w:rPr>
                <w:rFonts w:eastAsia="Times New Roman" w:cs="Calibri"/>
                <w:color w:val="FFFFFF"/>
                <w:sz w:val="22"/>
                <w:lang w:val="en-US"/>
              </w:rPr>
              <w:t xml:space="preserve">Tipo </w:t>
            </w:r>
            <w:r w:rsidRPr="00D95A72">
              <w:rPr>
                <w:rFonts w:eastAsia="Times New Roman" w:cs="Calibri"/>
                <w:color w:val="FFFFFF"/>
                <w:sz w:val="22"/>
                <w:lang w:val="en-US"/>
              </w:rPr>
              <w:t>Activo</w:t>
            </w:r>
          </w:p>
        </w:tc>
        <w:tc>
          <w:tcPr>
            <w:tcW w:w="1532" w:type="dxa"/>
            <w:tcBorders>
              <w:top w:val="single" w:sz="8" w:space="0" w:color="auto"/>
              <w:left w:val="nil"/>
              <w:bottom w:val="single" w:sz="8" w:space="0" w:color="auto"/>
              <w:right w:val="single" w:sz="8" w:space="0" w:color="auto"/>
            </w:tcBorders>
            <w:shd w:val="clear" w:color="000000" w:fill="1F3864"/>
            <w:vAlign w:val="center"/>
            <w:hideMark/>
          </w:tcPr>
          <w:p w14:paraId="0FDF655B" w14:textId="77777777" w:rsidR="00D95A72" w:rsidRPr="00D95A72" w:rsidRDefault="00D95A72" w:rsidP="00D95A72">
            <w:pPr>
              <w:spacing w:after="0" w:line="240" w:lineRule="auto"/>
              <w:jc w:val="center"/>
              <w:rPr>
                <w:rFonts w:eastAsia="Times New Roman" w:cs="Calibri"/>
                <w:color w:val="FFFFFF"/>
                <w:sz w:val="22"/>
                <w:lang w:val="en-US"/>
              </w:rPr>
            </w:pPr>
            <w:r w:rsidRPr="00D95A72">
              <w:rPr>
                <w:rFonts w:eastAsia="Times New Roman" w:cs="Calibri"/>
                <w:color w:val="FFFFFF"/>
                <w:sz w:val="22"/>
                <w:lang w:val="en-US"/>
              </w:rPr>
              <w:t>Vida_Útil</w:t>
            </w:r>
          </w:p>
        </w:tc>
        <w:tc>
          <w:tcPr>
            <w:tcW w:w="1548" w:type="dxa"/>
            <w:tcBorders>
              <w:top w:val="single" w:sz="8" w:space="0" w:color="auto"/>
              <w:left w:val="nil"/>
              <w:bottom w:val="single" w:sz="8" w:space="0" w:color="auto"/>
              <w:right w:val="single" w:sz="8" w:space="0" w:color="auto"/>
            </w:tcBorders>
            <w:shd w:val="clear" w:color="000000" w:fill="1F3864"/>
            <w:vAlign w:val="center"/>
            <w:hideMark/>
          </w:tcPr>
          <w:p w14:paraId="73F3DAC8" w14:textId="313B005A" w:rsidR="00D95A72" w:rsidRPr="00D95A72" w:rsidRDefault="00D95A72" w:rsidP="00D95A72">
            <w:pPr>
              <w:spacing w:after="0" w:line="240" w:lineRule="auto"/>
              <w:jc w:val="center"/>
              <w:rPr>
                <w:rFonts w:eastAsia="Times New Roman" w:cs="Calibri"/>
                <w:color w:val="FFFFFF"/>
                <w:sz w:val="22"/>
                <w:lang w:val="en-US"/>
              </w:rPr>
            </w:pPr>
            <w:r>
              <w:rPr>
                <w:rFonts w:eastAsia="Times New Roman" w:cs="Calibri"/>
                <w:color w:val="FFFFFF"/>
                <w:sz w:val="22"/>
                <w:lang w:val="en-US"/>
              </w:rPr>
              <w:t>Observaciones</w:t>
            </w:r>
          </w:p>
        </w:tc>
      </w:tr>
      <w:tr w:rsidR="00D95A72" w:rsidRPr="00D95A72" w14:paraId="2AEF5A55" w14:textId="77777777" w:rsidTr="00D95A72">
        <w:trPr>
          <w:trHeight w:val="505"/>
        </w:trPr>
        <w:tc>
          <w:tcPr>
            <w:tcW w:w="924" w:type="dxa"/>
            <w:tcBorders>
              <w:top w:val="nil"/>
              <w:left w:val="single" w:sz="8" w:space="0" w:color="auto"/>
              <w:bottom w:val="single" w:sz="8" w:space="0" w:color="auto"/>
              <w:right w:val="single" w:sz="8" w:space="0" w:color="auto"/>
            </w:tcBorders>
            <w:shd w:val="clear" w:color="auto" w:fill="auto"/>
            <w:noWrap/>
            <w:vAlign w:val="center"/>
            <w:hideMark/>
          </w:tcPr>
          <w:p w14:paraId="122D553E" w14:textId="77777777" w:rsidR="00D95A72" w:rsidRPr="00D95A72" w:rsidRDefault="00D95A72" w:rsidP="00D95A72">
            <w:pPr>
              <w:spacing w:after="0" w:line="240" w:lineRule="auto"/>
              <w:jc w:val="center"/>
              <w:rPr>
                <w:rFonts w:eastAsia="Times New Roman" w:cs="Calibri"/>
                <w:color w:val="000000"/>
                <w:sz w:val="22"/>
                <w:lang w:val="en-US"/>
              </w:rPr>
            </w:pPr>
            <w:r w:rsidRPr="00D95A72">
              <w:rPr>
                <w:rFonts w:eastAsia="Times New Roman" w:cs="Calibri"/>
                <w:color w:val="000000"/>
                <w:sz w:val="22"/>
                <w:lang w:val="en-US"/>
              </w:rPr>
              <w:t>7</w:t>
            </w:r>
          </w:p>
        </w:tc>
        <w:tc>
          <w:tcPr>
            <w:tcW w:w="1425" w:type="dxa"/>
            <w:tcBorders>
              <w:top w:val="nil"/>
              <w:left w:val="nil"/>
              <w:bottom w:val="single" w:sz="8" w:space="0" w:color="auto"/>
              <w:right w:val="single" w:sz="8" w:space="0" w:color="auto"/>
            </w:tcBorders>
            <w:shd w:val="clear" w:color="auto" w:fill="auto"/>
            <w:noWrap/>
            <w:vAlign w:val="center"/>
            <w:hideMark/>
          </w:tcPr>
          <w:p w14:paraId="702BE3A4" w14:textId="3BAC90D7" w:rsidR="00D95A72" w:rsidRPr="00D95A72" w:rsidRDefault="00D95A72" w:rsidP="00D95A72">
            <w:pPr>
              <w:spacing w:after="0" w:line="240" w:lineRule="auto"/>
              <w:jc w:val="center"/>
              <w:rPr>
                <w:rFonts w:eastAsia="Times New Roman" w:cs="Calibri"/>
                <w:color w:val="000000"/>
                <w:sz w:val="22"/>
                <w:lang w:val="en-US"/>
              </w:rPr>
            </w:pPr>
            <w:r>
              <w:rPr>
                <w:rFonts w:eastAsia="Times New Roman" w:cs="Calibri"/>
                <w:color w:val="000000"/>
                <w:sz w:val="22"/>
                <w:lang w:val="en-US"/>
              </w:rPr>
              <w:t>N/A</w:t>
            </w:r>
          </w:p>
        </w:tc>
        <w:tc>
          <w:tcPr>
            <w:tcW w:w="1275" w:type="dxa"/>
            <w:tcBorders>
              <w:top w:val="nil"/>
              <w:left w:val="nil"/>
              <w:bottom w:val="single" w:sz="8" w:space="0" w:color="auto"/>
              <w:right w:val="single" w:sz="8" w:space="0" w:color="auto"/>
            </w:tcBorders>
            <w:shd w:val="clear" w:color="auto" w:fill="auto"/>
            <w:noWrap/>
            <w:vAlign w:val="center"/>
            <w:hideMark/>
          </w:tcPr>
          <w:p w14:paraId="5EC90CA7" w14:textId="77777777" w:rsidR="00D95A72" w:rsidRPr="00D95A72" w:rsidRDefault="00D95A72" w:rsidP="00D95A72">
            <w:pPr>
              <w:spacing w:after="0" w:line="240" w:lineRule="auto"/>
              <w:jc w:val="center"/>
              <w:rPr>
                <w:rFonts w:eastAsia="Times New Roman" w:cs="Calibri"/>
                <w:color w:val="000000"/>
                <w:sz w:val="22"/>
                <w:lang w:val="en-US"/>
              </w:rPr>
            </w:pPr>
            <w:r w:rsidRPr="00D95A72">
              <w:rPr>
                <w:rFonts w:eastAsia="Times New Roman" w:cs="Calibri"/>
                <w:color w:val="000000"/>
                <w:sz w:val="22"/>
                <w:lang w:val="en-US"/>
              </w:rPr>
              <w:t>TIC</w:t>
            </w:r>
          </w:p>
        </w:tc>
        <w:tc>
          <w:tcPr>
            <w:tcW w:w="2227" w:type="dxa"/>
            <w:tcBorders>
              <w:top w:val="nil"/>
              <w:left w:val="nil"/>
              <w:bottom w:val="single" w:sz="8" w:space="0" w:color="auto"/>
              <w:right w:val="single" w:sz="8" w:space="0" w:color="auto"/>
            </w:tcBorders>
            <w:shd w:val="clear" w:color="auto" w:fill="auto"/>
            <w:noWrap/>
            <w:vAlign w:val="center"/>
            <w:hideMark/>
          </w:tcPr>
          <w:p w14:paraId="61F74918" w14:textId="77777777" w:rsidR="00D95A72" w:rsidRPr="00D95A72" w:rsidRDefault="00D95A72" w:rsidP="00D95A72">
            <w:pPr>
              <w:spacing w:after="0" w:line="240" w:lineRule="auto"/>
              <w:jc w:val="left"/>
              <w:rPr>
                <w:rFonts w:eastAsia="Times New Roman" w:cs="Calibri"/>
                <w:color w:val="000000"/>
                <w:sz w:val="22"/>
                <w:lang w:val="en-US"/>
              </w:rPr>
            </w:pPr>
            <w:r w:rsidRPr="00D95A72">
              <w:rPr>
                <w:rFonts w:eastAsia="Times New Roman" w:cs="Calibri"/>
                <w:color w:val="000000"/>
                <w:sz w:val="22"/>
                <w:lang w:val="en-US"/>
              </w:rPr>
              <w:t>Derechos de Licencias</w:t>
            </w:r>
          </w:p>
        </w:tc>
        <w:tc>
          <w:tcPr>
            <w:tcW w:w="1532" w:type="dxa"/>
            <w:tcBorders>
              <w:top w:val="nil"/>
              <w:left w:val="nil"/>
              <w:bottom w:val="single" w:sz="8" w:space="0" w:color="auto"/>
              <w:right w:val="single" w:sz="8" w:space="0" w:color="auto"/>
            </w:tcBorders>
            <w:shd w:val="clear" w:color="auto" w:fill="auto"/>
            <w:noWrap/>
            <w:vAlign w:val="center"/>
            <w:hideMark/>
          </w:tcPr>
          <w:p w14:paraId="08819C35" w14:textId="77777777" w:rsidR="00D95A72" w:rsidRPr="00D95A72" w:rsidRDefault="00D95A72" w:rsidP="00D95A72">
            <w:pPr>
              <w:spacing w:after="0" w:line="240" w:lineRule="auto"/>
              <w:jc w:val="left"/>
              <w:rPr>
                <w:rFonts w:eastAsia="Times New Roman" w:cs="Calibri"/>
                <w:color w:val="000000"/>
                <w:sz w:val="22"/>
                <w:lang w:val="en-US"/>
              </w:rPr>
            </w:pPr>
            <w:r w:rsidRPr="00D95A72">
              <w:rPr>
                <w:rFonts w:eastAsia="Times New Roman" w:cs="Calibri"/>
                <w:color w:val="000000"/>
                <w:sz w:val="22"/>
                <w:lang w:val="en-US"/>
              </w:rPr>
              <w:t>Indefinida</w:t>
            </w:r>
          </w:p>
        </w:tc>
        <w:tc>
          <w:tcPr>
            <w:tcW w:w="1548" w:type="dxa"/>
            <w:tcBorders>
              <w:top w:val="nil"/>
              <w:left w:val="nil"/>
              <w:bottom w:val="single" w:sz="8" w:space="0" w:color="auto"/>
              <w:right w:val="single" w:sz="8" w:space="0" w:color="auto"/>
            </w:tcBorders>
            <w:shd w:val="clear" w:color="auto" w:fill="auto"/>
            <w:noWrap/>
            <w:vAlign w:val="center"/>
            <w:hideMark/>
          </w:tcPr>
          <w:p w14:paraId="749FA0F9" w14:textId="30C407FF" w:rsidR="00D95A72" w:rsidRPr="00D95A72" w:rsidRDefault="00D95A72" w:rsidP="00D95A72">
            <w:pPr>
              <w:spacing w:after="0" w:line="240" w:lineRule="auto"/>
              <w:jc w:val="center"/>
              <w:rPr>
                <w:rFonts w:eastAsia="Times New Roman" w:cs="Calibri"/>
                <w:color w:val="000000"/>
                <w:sz w:val="22"/>
                <w:lang w:val="en-US"/>
              </w:rPr>
            </w:pPr>
          </w:p>
        </w:tc>
      </w:tr>
    </w:tbl>
    <w:p w14:paraId="36E1CC5A" w14:textId="77777777" w:rsidR="0077456B" w:rsidRDefault="0077456B" w:rsidP="00AB6161"/>
    <w:p w14:paraId="2A106665" w14:textId="77777777" w:rsidR="00D95A72" w:rsidRPr="002007F6" w:rsidRDefault="00D95A72" w:rsidP="00AB6161"/>
    <w:sectPr w:rsidR="00D95A72" w:rsidRPr="002007F6" w:rsidSect="00B90A36">
      <w:footerReference w:type="default" r:id="rId67"/>
      <w:pgSz w:w="12240" w:h="15840"/>
      <w:pgMar w:top="1417" w:right="175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B3874D" w14:textId="77777777" w:rsidR="00764935" w:rsidRDefault="00764935" w:rsidP="000522B4">
      <w:pPr>
        <w:spacing w:after="0" w:line="240" w:lineRule="auto"/>
      </w:pPr>
      <w:r>
        <w:separator/>
      </w:r>
    </w:p>
  </w:endnote>
  <w:endnote w:type="continuationSeparator" w:id="0">
    <w:p w14:paraId="59B41449" w14:textId="77777777" w:rsidR="00764935" w:rsidRDefault="00764935" w:rsidP="000522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HendersonSansW00-BasicLight">
    <w:altName w:val="Henderson Sans W"/>
    <w:charset w:val="00"/>
    <w:family w:val="auto"/>
    <w:pitch w:val="variable"/>
    <w:sig w:usb0="A0000027" w:usb1="00000000" w:usb2="00000000" w:usb3="00000000" w:csb0="00000001" w:csb1="00000000"/>
  </w:font>
  <w:font w:name="Aptos Narrow">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3999245"/>
      <w:docPartObj>
        <w:docPartGallery w:val="Page Numbers (Bottom of Page)"/>
        <w:docPartUnique/>
      </w:docPartObj>
    </w:sdtPr>
    <w:sdtContent>
      <w:p w14:paraId="3C788DD5" w14:textId="69A0EB15" w:rsidR="00764935" w:rsidRDefault="00764935">
        <w:pPr>
          <w:pStyle w:val="Piedepgina"/>
          <w:jc w:val="right"/>
        </w:pPr>
        <w:r>
          <w:fldChar w:fldCharType="begin"/>
        </w:r>
        <w:r>
          <w:instrText>PAGE   \* MERGEFORMAT</w:instrText>
        </w:r>
        <w:r>
          <w:fldChar w:fldCharType="separate"/>
        </w:r>
        <w:r w:rsidR="0023515C" w:rsidRPr="0023515C">
          <w:rPr>
            <w:noProof/>
            <w:lang w:val="es-ES"/>
          </w:rPr>
          <w:t>231</w:t>
        </w:r>
        <w:r>
          <w:fldChar w:fldCharType="end"/>
        </w:r>
      </w:p>
    </w:sdtContent>
  </w:sdt>
  <w:p w14:paraId="36F29E95" w14:textId="77777777" w:rsidR="00764935" w:rsidRDefault="0076493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E81447" w14:textId="77777777" w:rsidR="00764935" w:rsidRDefault="00764935" w:rsidP="000522B4">
      <w:pPr>
        <w:spacing w:after="0" w:line="240" w:lineRule="auto"/>
      </w:pPr>
      <w:r>
        <w:separator/>
      </w:r>
    </w:p>
  </w:footnote>
  <w:footnote w:type="continuationSeparator" w:id="0">
    <w:p w14:paraId="029BE801" w14:textId="77777777" w:rsidR="00764935" w:rsidRDefault="00764935" w:rsidP="000522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D0851F5"/>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62B969B"/>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1FF3DEC"/>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C8F7675"/>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FFFFF81"/>
    <w:multiLevelType w:val="singleLevel"/>
    <w:tmpl w:val="EDF6784A"/>
    <w:lvl w:ilvl="0">
      <w:start w:val="1"/>
      <w:numFmt w:val="bullet"/>
      <w:pStyle w:val="Listaconvietas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3762FCBE"/>
    <w:lvl w:ilvl="0">
      <w:start w:val="1"/>
      <w:numFmt w:val="bullet"/>
      <w:pStyle w:val="Listaconvietas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3AF8B80E"/>
    <w:lvl w:ilvl="0">
      <w:start w:val="1"/>
      <w:numFmt w:val="bullet"/>
      <w:pStyle w:val="Listaconvietas2"/>
      <w:lvlText w:val=""/>
      <w:lvlJc w:val="left"/>
      <w:pPr>
        <w:tabs>
          <w:tab w:val="num" w:pos="643"/>
        </w:tabs>
        <w:ind w:left="643" w:hanging="360"/>
      </w:pPr>
      <w:rPr>
        <w:rFonts w:ascii="Symbol" w:hAnsi="Symbol" w:hint="default"/>
      </w:rPr>
    </w:lvl>
  </w:abstractNum>
  <w:abstractNum w:abstractNumId="7" w15:restartNumberingAfterBreak="0">
    <w:nsid w:val="00A313D8"/>
    <w:multiLevelType w:val="hybridMultilevel"/>
    <w:tmpl w:val="AA2A9440"/>
    <w:lvl w:ilvl="0" w:tplc="FFFFFFFF">
      <w:start w:val="1"/>
      <w:numFmt w:val="ideographDigital"/>
      <w:lvlText w:val=""/>
      <w:lvlJc w:val="left"/>
    </w:lvl>
    <w:lvl w:ilvl="1" w:tplc="04090017">
      <w:start w:val="1"/>
      <w:numFmt w:val="lowerLetter"/>
      <w:lvlText w:val="%2)"/>
      <w:lvlJc w:val="left"/>
      <w:pPr>
        <w:ind w:left="36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ED40B0"/>
    <w:multiLevelType w:val="hybridMultilevel"/>
    <w:tmpl w:val="230E568A"/>
    <w:lvl w:ilvl="0" w:tplc="C5FE3D1E">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08136183"/>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AF51632"/>
    <w:multiLevelType w:val="hybridMultilevel"/>
    <w:tmpl w:val="F490F09A"/>
    <w:lvl w:ilvl="0" w:tplc="D67E569C">
      <w:start w:val="1"/>
      <w:numFmt w:val="lowerLetter"/>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0B0A3122"/>
    <w:multiLevelType w:val="hybridMultilevel"/>
    <w:tmpl w:val="5DDA09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1D113C"/>
    <w:multiLevelType w:val="hybridMultilevel"/>
    <w:tmpl w:val="0180D350"/>
    <w:lvl w:ilvl="0" w:tplc="140A0017">
      <w:start w:val="1"/>
      <w:numFmt w:val="lowerLetter"/>
      <w:lvlText w:val="%1)"/>
      <w:lvlJc w:val="left"/>
      <w:pPr>
        <w:ind w:left="720"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0FE8624F"/>
    <w:multiLevelType w:val="hybridMultilevel"/>
    <w:tmpl w:val="16B44D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8A1ADB"/>
    <w:multiLevelType w:val="multilevel"/>
    <w:tmpl w:val="23CA65DC"/>
    <w:lvl w:ilvl="0">
      <w:start w:val="1"/>
      <w:numFmt w:val="decimal"/>
      <w:lvlText w:val="%1."/>
      <w:lvlJc w:val="left"/>
      <w:pPr>
        <w:ind w:left="720" w:hanging="360"/>
      </w:pPr>
      <w:rPr>
        <w:rFonts w:hint="default"/>
        <w:b/>
      </w:rPr>
    </w:lvl>
    <w:lvl w:ilvl="1">
      <w:start w:val="1"/>
      <w:numFmt w:val="decimal"/>
      <w:isLgl/>
      <w:lvlText w:val="%1.%2"/>
      <w:lvlJc w:val="left"/>
      <w:pPr>
        <w:ind w:left="792" w:hanging="432"/>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160E4CA9"/>
    <w:multiLevelType w:val="hybridMultilevel"/>
    <w:tmpl w:val="7EFE68D2"/>
    <w:lvl w:ilvl="0" w:tplc="F2CAEEBE">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F71799"/>
    <w:multiLevelType w:val="hybridMultilevel"/>
    <w:tmpl w:val="8692003C"/>
    <w:lvl w:ilvl="0" w:tplc="0409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1BF41310"/>
    <w:multiLevelType w:val="hybridMultilevel"/>
    <w:tmpl w:val="AC42E8E6"/>
    <w:lvl w:ilvl="0" w:tplc="A7A264C8">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28225891"/>
    <w:multiLevelType w:val="hybridMultilevel"/>
    <w:tmpl w:val="D29C3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F423A3"/>
    <w:multiLevelType w:val="hybridMultilevel"/>
    <w:tmpl w:val="3118AB54"/>
    <w:lvl w:ilvl="0" w:tplc="FFFFFFFF">
      <w:start w:val="1"/>
      <w:numFmt w:val="ideographDigital"/>
      <w:lvlText w:val=""/>
      <w:lvlJc w:val="left"/>
    </w:lvl>
    <w:lvl w:ilvl="1" w:tplc="04090017">
      <w:start w:val="1"/>
      <w:numFmt w:val="lowerLetter"/>
      <w:lvlText w:val="%2)"/>
      <w:lvlJc w:val="left"/>
      <w:pPr>
        <w:ind w:left="36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2BE531C1"/>
    <w:multiLevelType w:val="hybridMultilevel"/>
    <w:tmpl w:val="F898A2CE"/>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1" w15:restartNumberingAfterBreak="0">
    <w:nsid w:val="2D64099F"/>
    <w:multiLevelType w:val="hybridMultilevel"/>
    <w:tmpl w:val="8F5EAF68"/>
    <w:lvl w:ilvl="0" w:tplc="04090017">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15:restartNumberingAfterBreak="0">
    <w:nsid w:val="2D78003E"/>
    <w:multiLevelType w:val="hybridMultilevel"/>
    <w:tmpl w:val="BFE65CC8"/>
    <w:lvl w:ilvl="0" w:tplc="0409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30306BFB"/>
    <w:multiLevelType w:val="singleLevel"/>
    <w:tmpl w:val="0F94263C"/>
    <w:lvl w:ilvl="0">
      <w:start w:val="1"/>
      <w:numFmt w:val="bullet"/>
      <w:pStyle w:val="Listaconvietas5"/>
      <w:lvlText w:val=""/>
      <w:lvlJc w:val="left"/>
      <w:pPr>
        <w:tabs>
          <w:tab w:val="num" w:pos="757"/>
        </w:tabs>
        <w:ind w:left="737" w:hanging="340"/>
      </w:pPr>
      <w:rPr>
        <w:rFonts w:ascii="Monotype Sorts" w:hAnsi="Monotype Sorts" w:hint="default"/>
      </w:rPr>
    </w:lvl>
  </w:abstractNum>
  <w:abstractNum w:abstractNumId="24" w15:restartNumberingAfterBreak="0">
    <w:nsid w:val="31067B55"/>
    <w:multiLevelType w:val="hybridMultilevel"/>
    <w:tmpl w:val="95AC71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5233DE0"/>
    <w:multiLevelType w:val="hybridMultilevel"/>
    <w:tmpl w:val="6AC6B804"/>
    <w:lvl w:ilvl="0" w:tplc="0409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36D30C09"/>
    <w:multiLevelType w:val="hybridMultilevel"/>
    <w:tmpl w:val="87F4FF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AF3823C"/>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3D4D79DE"/>
    <w:multiLevelType w:val="hybridMultilevel"/>
    <w:tmpl w:val="2EAA7C60"/>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9" w15:restartNumberingAfterBreak="0">
    <w:nsid w:val="42434579"/>
    <w:multiLevelType w:val="hybridMultilevel"/>
    <w:tmpl w:val="5748D028"/>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431F3EC2"/>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435E253B"/>
    <w:multiLevelType w:val="hybridMultilevel"/>
    <w:tmpl w:val="5BF8998E"/>
    <w:lvl w:ilvl="0" w:tplc="FFFFFFFF">
      <w:start w:val="1"/>
      <w:numFmt w:val="lowerLetter"/>
      <w:lvlText w:val="%1)"/>
      <w:lvlJc w:val="left"/>
      <w:pPr>
        <w:ind w:left="720" w:hanging="360"/>
      </w:pPr>
    </w:lvl>
    <w:lvl w:ilvl="1" w:tplc="0409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58A12E4"/>
    <w:multiLevelType w:val="hybridMultilevel"/>
    <w:tmpl w:val="B08ED4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6863A11"/>
    <w:multiLevelType w:val="hybridMultilevel"/>
    <w:tmpl w:val="13086F48"/>
    <w:lvl w:ilvl="0" w:tplc="082CEF4E">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47CF042E"/>
    <w:multiLevelType w:val="hybridMultilevel"/>
    <w:tmpl w:val="104EF1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7E863DA"/>
    <w:multiLevelType w:val="hybridMultilevel"/>
    <w:tmpl w:val="26609422"/>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6" w15:restartNumberingAfterBreak="0">
    <w:nsid w:val="4FB111D8"/>
    <w:multiLevelType w:val="hybridMultilevel"/>
    <w:tmpl w:val="9C829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C56A4E"/>
    <w:multiLevelType w:val="hybridMultilevel"/>
    <w:tmpl w:val="8012A048"/>
    <w:lvl w:ilvl="0" w:tplc="5C20D2B2">
      <w:start w:val="1"/>
      <w:numFmt w:val="lowerRoman"/>
      <w:lvlText w:val="(%1)"/>
      <w:lvlJc w:val="left"/>
      <w:pPr>
        <w:ind w:left="1440" w:hanging="72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38" w15:restartNumberingAfterBreak="0">
    <w:nsid w:val="60100F40"/>
    <w:multiLevelType w:val="hybridMultilevel"/>
    <w:tmpl w:val="9B06C06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2CC011A"/>
    <w:multiLevelType w:val="singleLevel"/>
    <w:tmpl w:val="CDE67EBC"/>
    <w:lvl w:ilvl="0">
      <w:start w:val="1"/>
      <w:numFmt w:val="bullet"/>
      <w:pStyle w:val="Listaconvietas"/>
      <w:lvlText w:val=""/>
      <w:lvlJc w:val="left"/>
      <w:pPr>
        <w:tabs>
          <w:tab w:val="num" w:pos="851"/>
        </w:tabs>
        <w:ind w:left="851" w:hanging="454"/>
      </w:pPr>
      <w:rPr>
        <w:rFonts w:ascii="Wingdings" w:hAnsi="Wingdings" w:hint="default"/>
      </w:rPr>
    </w:lvl>
  </w:abstractNum>
  <w:abstractNum w:abstractNumId="40" w15:restartNumberingAfterBreak="0">
    <w:nsid w:val="65413D6E"/>
    <w:multiLevelType w:val="hybridMultilevel"/>
    <w:tmpl w:val="797A9A7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6668779E"/>
    <w:multiLevelType w:val="hybridMultilevel"/>
    <w:tmpl w:val="0C5A16BE"/>
    <w:lvl w:ilvl="0" w:tplc="FFFFFFFF">
      <w:start w:val="1"/>
      <w:numFmt w:val="lowerRoman"/>
      <w:lvlText w:val="%1"/>
      <w:lvlJc w:val="left"/>
    </w:lvl>
    <w:lvl w:ilvl="1" w:tplc="082CEF4E">
      <w:start w:val="1"/>
      <w:numFmt w:val="upperRoman"/>
      <w:lvlText w:val="%2-"/>
      <w:lvlJc w:val="left"/>
      <w:pPr>
        <w:ind w:left="720" w:hanging="360"/>
      </w:pPr>
      <w:rPr>
        <w:rFont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67586A2B"/>
    <w:multiLevelType w:val="hybridMultilevel"/>
    <w:tmpl w:val="DBE21FD8"/>
    <w:lvl w:ilvl="0" w:tplc="8754166E">
      <w:start w:val="1"/>
      <w:numFmt w:val="lowerRoman"/>
      <w:lvlText w:val="(%1)"/>
      <w:lvlJc w:val="left"/>
      <w:pPr>
        <w:ind w:left="2160" w:hanging="720"/>
      </w:pPr>
      <w:rPr>
        <w:rFonts w:hint="default"/>
      </w:rPr>
    </w:lvl>
    <w:lvl w:ilvl="1" w:tplc="140A0019" w:tentative="1">
      <w:start w:val="1"/>
      <w:numFmt w:val="lowerLetter"/>
      <w:lvlText w:val="%2."/>
      <w:lvlJc w:val="left"/>
      <w:pPr>
        <w:ind w:left="2520" w:hanging="360"/>
      </w:pPr>
    </w:lvl>
    <w:lvl w:ilvl="2" w:tplc="140A001B" w:tentative="1">
      <w:start w:val="1"/>
      <w:numFmt w:val="lowerRoman"/>
      <w:lvlText w:val="%3."/>
      <w:lvlJc w:val="right"/>
      <w:pPr>
        <w:ind w:left="3240" w:hanging="180"/>
      </w:pPr>
    </w:lvl>
    <w:lvl w:ilvl="3" w:tplc="140A000F" w:tentative="1">
      <w:start w:val="1"/>
      <w:numFmt w:val="decimal"/>
      <w:lvlText w:val="%4."/>
      <w:lvlJc w:val="left"/>
      <w:pPr>
        <w:ind w:left="3960" w:hanging="360"/>
      </w:pPr>
    </w:lvl>
    <w:lvl w:ilvl="4" w:tplc="140A0019" w:tentative="1">
      <w:start w:val="1"/>
      <w:numFmt w:val="lowerLetter"/>
      <w:lvlText w:val="%5."/>
      <w:lvlJc w:val="left"/>
      <w:pPr>
        <w:ind w:left="4680" w:hanging="360"/>
      </w:pPr>
    </w:lvl>
    <w:lvl w:ilvl="5" w:tplc="140A001B" w:tentative="1">
      <w:start w:val="1"/>
      <w:numFmt w:val="lowerRoman"/>
      <w:lvlText w:val="%6."/>
      <w:lvlJc w:val="right"/>
      <w:pPr>
        <w:ind w:left="5400" w:hanging="180"/>
      </w:pPr>
    </w:lvl>
    <w:lvl w:ilvl="6" w:tplc="140A000F" w:tentative="1">
      <w:start w:val="1"/>
      <w:numFmt w:val="decimal"/>
      <w:lvlText w:val="%7."/>
      <w:lvlJc w:val="left"/>
      <w:pPr>
        <w:ind w:left="6120" w:hanging="360"/>
      </w:pPr>
    </w:lvl>
    <w:lvl w:ilvl="7" w:tplc="140A0019" w:tentative="1">
      <w:start w:val="1"/>
      <w:numFmt w:val="lowerLetter"/>
      <w:lvlText w:val="%8."/>
      <w:lvlJc w:val="left"/>
      <w:pPr>
        <w:ind w:left="6840" w:hanging="360"/>
      </w:pPr>
    </w:lvl>
    <w:lvl w:ilvl="8" w:tplc="140A001B" w:tentative="1">
      <w:start w:val="1"/>
      <w:numFmt w:val="lowerRoman"/>
      <w:lvlText w:val="%9."/>
      <w:lvlJc w:val="right"/>
      <w:pPr>
        <w:ind w:left="7560" w:hanging="180"/>
      </w:pPr>
    </w:lvl>
  </w:abstractNum>
  <w:abstractNum w:abstractNumId="43" w15:restartNumberingAfterBreak="0">
    <w:nsid w:val="688D3A71"/>
    <w:multiLevelType w:val="hybridMultilevel"/>
    <w:tmpl w:val="5D04F1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913461A"/>
    <w:multiLevelType w:val="hybridMultilevel"/>
    <w:tmpl w:val="F898A2C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5" w15:restartNumberingAfterBreak="0">
    <w:nsid w:val="6B66E13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6CBE15AB"/>
    <w:multiLevelType w:val="multilevel"/>
    <w:tmpl w:val="5E24E64E"/>
    <w:lvl w:ilvl="0">
      <w:start w:val="1"/>
      <w:numFmt w:val="decimal"/>
      <w:pStyle w:val="NumberedParagraph-BulletelistLeft0Firstline0"/>
      <w:lvlText w:val="%1."/>
      <w:lvlJc w:val="right"/>
      <w:pPr>
        <w:tabs>
          <w:tab w:val="num" w:pos="720"/>
        </w:tabs>
        <w:ind w:left="720" w:hanging="360"/>
      </w:pPr>
      <w:rPr>
        <w:rFonts w:cs="Times New Roman" w:hint="default"/>
        <w:b w:val="0"/>
        <w:i w:val="0"/>
      </w:rPr>
    </w:lvl>
    <w:lvl w:ilvl="1">
      <w:start w:val="1"/>
      <w:numFmt w:val="lowerLetter"/>
      <w:lvlText w:val="(%2)"/>
      <w:lvlJc w:val="right"/>
      <w:pPr>
        <w:tabs>
          <w:tab w:val="num" w:pos="1325"/>
        </w:tabs>
        <w:ind w:left="1325" w:hanging="360"/>
      </w:pPr>
      <w:rPr>
        <w:rFonts w:cs="Times New Roman" w:hint="default"/>
        <w:b w:val="0"/>
      </w:rPr>
    </w:lvl>
    <w:lvl w:ilvl="2">
      <w:start w:val="1"/>
      <w:numFmt w:val="lowerRoman"/>
      <w:lvlText w:val="(%3)"/>
      <w:lvlJc w:val="right"/>
      <w:pPr>
        <w:tabs>
          <w:tab w:val="num" w:pos="1872"/>
        </w:tabs>
        <w:ind w:left="1872" w:hanging="360"/>
      </w:pPr>
      <w:rPr>
        <w:rFonts w:cs="Times New Roman" w:hint="default"/>
        <w:b w:val="0"/>
      </w:rPr>
    </w:lvl>
    <w:lvl w:ilvl="3">
      <w:start w:val="1"/>
      <w:numFmt w:val="decimal"/>
      <w:lvlText w:val="(%4)"/>
      <w:lvlJc w:val="left"/>
      <w:pPr>
        <w:tabs>
          <w:tab w:val="num" w:pos="2160"/>
        </w:tabs>
        <w:ind w:left="2160" w:hanging="360"/>
      </w:pPr>
      <w:rPr>
        <w:rFonts w:cs="Times New Roman" w:hint="default"/>
      </w:rPr>
    </w:lvl>
    <w:lvl w:ilvl="4">
      <w:start w:val="1"/>
      <w:numFmt w:val="lowerLetter"/>
      <w:lvlText w:val="(%5)"/>
      <w:lvlJc w:val="left"/>
      <w:pPr>
        <w:tabs>
          <w:tab w:val="num" w:pos="2520"/>
        </w:tabs>
        <w:ind w:left="2520" w:hanging="360"/>
      </w:pPr>
      <w:rPr>
        <w:rFonts w:cs="Times New Roman" w:hint="default"/>
      </w:rPr>
    </w:lvl>
    <w:lvl w:ilvl="5">
      <w:start w:val="1"/>
      <w:numFmt w:val="lowerRoman"/>
      <w:lvlText w:val="(%6)"/>
      <w:lvlJc w:val="left"/>
      <w:pPr>
        <w:tabs>
          <w:tab w:val="num" w:pos="2880"/>
        </w:tabs>
        <w:ind w:left="2880" w:hanging="360"/>
      </w:pPr>
      <w:rPr>
        <w:rFonts w:cs="Times New Roman" w:hint="default"/>
      </w:rPr>
    </w:lvl>
    <w:lvl w:ilvl="6">
      <w:start w:val="1"/>
      <w:numFmt w:val="decimal"/>
      <w:lvlText w:val="%7."/>
      <w:lvlJc w:val="left"/>
      <w:pPr>
        <w:tabs>
          <w:tab w:val="num" w:pos="3240"/>
        </w:tabs>
        <w:ind w:left="3240" w:hanging="360"/>
      </w:pPr>
      <w:rPr>
        <w:rFonts w:cs="Times New Roman" w:hint="default"/>
      </w:rPr>
    </w:lvl>
    <w:lvl w:ilvl="7">
      <w:start w:val="1"/>
      <w:numFmt w:val="lowerLetter"/>
      <w:lvlText w:val="%8."/>
      <w:lvlJc w:val="left"/>
      <w:pPr>
        <w:tabs>
          <w:tab w:val="num" w:pos="3600"/>
        </w:tabs>
        <w:ind w:left="3600" w:hanging="360"/>
      </w:pPr>
      <w:rPr>
        <w:rFonts w:cs="Times New Roman" w:hint="default"/>
      </w:rPr>
    </w:lvl>
    <w:lvl w:ilvl="8">
      <w:start w:val="1"/>
      <w:numFmt w:val="lowerRoman"/>
      <w:lvlText w:val="%9."/>
      <w:lvlJc w:val="left"/>
      <w:pPr>
        <w:tabs>
          <w:tab w:val="num" w:pos="3960"/>
        </w:tabs>
        <w:ind w:left="3960" w:hanging="360"/>
      </w:pPr>
      <w:rPr>
        <w:rFonts w:cs="Times New Roman" w:hint="default"/>
      </w:rPr>
    </w:lvl>
  </w:abstractNum>
  <w:abstractNum w:abstractNumId="47" w15:restartNumberingAfterBreak="0">
    <w:nsid w:val="6D692076"/>
    <w:multiLevelType w:val="hybridMultilevel"/>
    <w:tmpl w:val="7424017E"/>
    <w:lvl w:ilvl="0" w:tplc="5DACE608">
      <w:start w:val="1"/>
      <w:numFmt w:val="lowerRoman"/>
      <w:lvlText w:val="(%1)"/>
      <w:lvlJc w:val="left"/>
      <w:pPr>
        <w:ind w:left="2160" w:hanging="720"/>
      </w:pPr>
      <w:rPr>
        <w:rFonts w:hint="default"/>
      </w:rPr>
    </w:lvl>
    <w:lvl w:ilvl="1" w:tplc="140A0019" w:tentative="1">
      <w:start w:val="1"/>
      <w:numFmt w:val="lowerLetter"/>
      <w:lvlText w:val="%2."/>
      <w:lvlJc w:val="left"/>
      <w:pPr>
        <w:ind w:left="2520" w:hanging="360"/>
      </w:pPr>
    </w:lvl>
    <w:lvl w:ilvl="2" w:tplc="140A001B" w:tentative="1">
      <w:start w:val="1"/>
      <w:numFmt w:val="lowerRoman"/>
      <w:lvlText w:val="%3."/>
      <w:lvlJc w:val="right"/>
      <w:pPr>
        <w:ind w:left="3240" w:hanging="180"/>
      </w:pPr>
    </w:lvl>
    <w:lvl w:ilvl="3" w:tplc="140A000F" w:tentative="1">
      <w:start w:val="1"/>
      <w:numFmt w:val="decimal"/>
      <w:lvlText w:val="%4."/>
      <w:lvlJc w:val="left"/>
      <w:pPr>
        <w:ind w:left="3960" w:hanging="360"/>
      </w:pPr>
    </w:lvl>
    <w:lvl w:ilvl="4" w:tplc="140A0019" w:tentative="1">
      <w:start w:val="1"/>
      <w:numFmt w:val="lowerLetter"/>
      <w:lvlText w:val="%5."/>
      <w:lvlJc w:val="left"/>
      <w:pPr>
        <w:ind w:left="4680" w:hanging="360"/>
      </w:pPr>
    </w:lvl>
    <w:lvl w:ilvl="5" w:tplc="140A001B" w:tentative="1">
      <w:start w:val="1"/>
      <w:numFmt w:val="lowerRoman"/>
      <w:lvlText w:val="%6."/>
      <w:lvlJc w:val="right"/>
      <w:pPr>
        <w:ind w:left="5400" w:hanging="180"/>
      </w:pPr>
    </w:lvl>
    <w:lvl w:ilvl="6" w:tplc="140A000F" w:tentative="1">
      <w:start w:val="1"/>
      <w:numFmt w:val="decimal"/>
      <w:lvlText w:val="%7."/>
      <w:lvlJc w:val="left"/>
      <w:pPr>
        <w:ind w:left="6120" w:hanging="360"/>
      </w:pPr>
    </w:lvl>
    <w:lvl w:ilvl="7" w:tplc="140A0019" w:tentative="1">
      <w:start w:val="1"/>
      <w:numFmt w:val="lowerLetter"/>
      <w:lvlText w:val="%8."/>
      <w:lvlJc w:val="left"/>
      <w:pPr>
        <w:ind w:left="6840" w:hanging="360"/>
      </w:pPr>
    </w:lvl>
    <w:lvl w:ilvl="8" w:tplc="140A001B" w:tentative="1">
      <w:start w:val="1"/>
      <w:numFmt w:val="lowerRoman"/>
      <w:lvlText w:val="%9."/>
      <w:lvlJc w:val="right"/>
      <w:pPr>
        <w:ind w:left="7560" w:hanging="180"/>
      </w:pPr>
    </w:lvl>
  </w:abstractNum>
  <w:abstractNum w:abstractNumId="48" w15:restartNumberingAfterBreak="0">
    <w:nsid w:val="6EC72179"/>
    <w:multiLevelType w:val="hybridMultilevel"/>
    <w:tmpl w:val="3BF6B2FA"/>
    <w:lvl w:ilvl="0" w:tplc="0409001B">
      <w:start w:val="1"/>
      <w:numFmt w:val="lowerRoman"/>
      <w:lvlText w:val="%1."/>
      <w:lvlJc w:val="righ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9" w15:restartNumberingAfterBreak="0">
    <w:nsid w:val="6FA021A1"/>
    <w:multiLevelType w:val="hybridMultilevel"/>
    <w:tmpl w:val="A80A0F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1B1623A"/>
    <w:multiLevelType w:val="hybridMultilevel"/>
    <w:tmpl w:val="3E0CD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1FB7180"/>
    <w:multiLevelType w:val="hybridMultilevel"/>
    <w:tmpl w:val="6AC815A4"/>
    <w:lvl w:ilvl="0" w:tplc="521C54FA">
      <w:start w:val="1"/>
      <w:numFmt w:val="lowerRoman"/>
      <w:lvlText w:val="(%1)"/>
      <w:lvlJc w:val="left"/>
      <w:pPr>
        <w:ind w:left="1440" w:hanging="72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52" w15:restartNumberingAfterBreak="0">
    <w:nsid w:val="732B1C64"/>
    <w:multiLevelType w:val="hybridMultilevel"/>
    <w:tmpl w:val="9802221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42BF089"/>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75726E26"/>
    <w:multiLevelType w:val="hybridMultilevel"/>
    <w:tmpl w:val="F3243D6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7526221"/>
    <w:multiLevelType w:val="hybridMultilevel"/>
    <w:tmpl w:val="77323CAE"/>
    <w:lvl w:ilvl="0" w:tplc="FFFFFFFF">
      <w:start w:val="1"/>
      <w:numFmt w:val="lowerLetter"/>
      <w:lvlText w:val="%1)"/>
      <w:lvlJc w:val="left"/>
      <w:pPr>
        <w:ind w:left="720" w:hanging="360"/>
      </w:pPr>
      <w:rPr>
        <w:rFonts w:hint="default"/>
      </w:rPr>
    </w:lvl>
    <w:lvl w:ilvl="1" w:tplc="FFFFFFFF">
      <w:start w:val="1"/>
      <w:numFmt w:val="lowerLetter"/>
      <w:lvlText w:val="%2)"/>
      <w:lvlJc w:val="left"/>
      <w:pPr>
        <w:ind w:left="720" w:hanging="360"/>
      </w:pPr>
    </w:lvl>
    <w:lvl w:ilvl="2" w:tplc="04090017">
      <w:start w:val="1"/>
      <w:numFmt w:val="lowerLetter"/>
      <w:lvlText w:val="%3)"/>
      <w:lvlJc w:val="left"/>
      <w:pPr>
        <w:ind w:left="72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757078B"/>
    <w:multiLevelType w:val="hybridMultilevel"/>
    <w:tmpl w:val="C0783EE6"/>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7" w15:restartNumberingAfterBreak="0">
    <w:nsid w:val="78675B66"/>
    <w:multiLevelType w:val="hybridMultilevel"/>
    <w:tmpl w:val="BB8A21B8"/>
    <w:lvl w:ilvl="0" w:tplc="140A0001">
      <w:start w:val="1"/>
      <w:numFmt w:val="bullet"/>
      <w:lvlText w:val=""/>
      <w:lvlJc w:val="left"/>
      <w:pPr>
        <w:ind w:left="720" w:hanging="360"/>
      </w:pPr>
      <w:rPr>
        <w:rFonts w:ascii="Symbol" w:hAnsi="Symbol" w:hint="default"/>
      </w:rPr>
    </w:lvl>
    <w:lvl w:ilvl="1" w:tplc="7DC8D136">
      <w:numFmt w:val="bullet"/>
      <w:lvlText w:val=""/>
      <w:lvlJc w:val="left"/>
      <w:pPr>
        <w:ind w:left="1440" w:hanging="360"/>
      </w:pPr>
      <w:rPr>
        <w:rFonts w:ascii="Arial Narrow" w:eastAsia="Calibri" w:hAnsi="Arial Narrow" w:cs="Times New Roman"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8" w15:restartNumberingAfterBreak="0">
    <w:nsid w:val="79BC6526"/>
    <w:multiLevelType w:val="multilevel"/>
    <w:tmpl w:val="DDDA977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D893B9D"/>
    <w:multiLevelType w:val="hybridMultilevel"/>
    <w:tmpl w:val="D3D8C6F6"/>
    <w:lvl w:ilvl="0" w:tplc="FFFFFFFF">
      <w:start w:val="1"/>
      <w:numFmt w:val="lowerLetter"/>
      <w:lvlText w:val="%1)"/>
      <w:lvlJc w:val="left"/>
      <w:pPr>
        <w:ind w:left="720" w:hanging="360"/>
      </w:pPr>
      <w:rPr>
        <w:rFonts w:hint="default"/>
      </w:rPr>
    </w:lvl>
    <w:lvl w:ilvl="1" w:tplc="04090017">
      <w:start w:val="1"/>
      <w:numFmt w:val="lowerLetter"/>
      <w:lvlText w:val="%2)"/>
      <w:lvlJc w:val="left"/>
      <w:pPr>
        <w:ind w:left="720" w:hanging="360"/>
      </w:pPr>
    </w:lvl>
    <w:lvl w:ilvl="2" w:tplc="8874692C">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3"/>
  </w:num>
  <w:num w:numId="2">
    <w:abstractNumId w:val="29"/>
  </w:num>
  <w:num w:numId="3">
    <w:abstractNumId w:val="8"/>
  </w:num>
  <w:num w:numId="4">
    <w:abstractNumId w:val="56"/>
  </w:num>
  <w:num w:numId="5">
    <w:abstractNumId w:val="14"/>
  </w:num>
  <w:num w:numId="6">
    <w:abstractNumId w:val="12"/>
  </w:num>
  <w:num w:numId="7">
    <w:abstractNumId w:val="23"/>
  </w:num>
  <w:num w:numId="8">
    <w:abstractNumId w:val="39"/>
  </w:num>
  <w:num w:numId="9">
    <w:abstractNumId w:val="46"/>
    <w:lvlOverride w:ilvl="0">
      <w:lvl w:ilvl="0">
        <w:start w:val="1"/>
        <w:numFmt w:val="decimal"/>
        <w:pStyle w:val="NumberedParagraph-BulletelistLeft0Firstline0"/>
        <w:lvlText w:val="%1."/>
        <w:lvlJc w:val="right"/>
        <w:pPr>
          <w:tabs>
            <w:tab w:val="num" w:pos="720"/>
          </w:tabs>
          <w:ind w:left="720" w:hanging="360"/>
        </w:pPr>
        <w:rPr>
          <w:rFonts w:cs="Times New Roman" w:hint="default"/>
          <w:b w:val="0"/>
          <w:i w:val="0"/>
        </w:rPr>
      </w:lvl>
    </w:lvlOverride>
    <w:lvlOverride w:ilvl="1">
      <w:lvl w:ilvl="1">
        <w:start w:val="1"/>
        <w:numFmt w:val="lowerLetter"/>
        <w:lvlText w:val="(%2)"/>
        <w:lvlJc w:val="right"/>
        <w:pPr>
          <w:tabs>
            <w:tab w:val="num" w:pos="1325"/>
          </w:tabs>
          <w:ind w:left="1325" w:hanging="360"/>
        </w:pPr>
        <w:rPr>
          <w:rFonts w:cs="Times New Roman" w:hint="default"/>
          <w:b w:val="0"/>
          <w:i w:val="0"/>
        </w:rPr>
      </w:lvl>
    </w:lvlOverride>
    <w:lvlOverride w:ilvl="2">
      <w:lvl w:ilvl="2">
        <w:start w:val="1"/>
        <w:numFmt w:val="lowerRoman"/>
        <w:lvlText w:val="(%3)"/>
        <w:lvlJc w:val="right"/>
        <w:pPr>
          <w:tabs>
            <w:tab w:val="num" w:pos="1872"/>
          </w:tabs>
          <w:ind w:left="1872" w:hanging="360"/>
        </w:pPr>
        <w:rPr>
          <w:rFonts w:cs="Times New Roman" w:hint="default"/>
          <w:b/>
        </w:rPr>
      </w:lvl>
    </w:lvlOverride>
    <w:lvlOverride w:ilvl="3">
      <w:lvl w:ilvl="3">
        <w:start w:val="1"/>
        <w:numFmt w:val="decimal"/>
        <w:lvlText w:val="(%4)"/>
        <w:lvlJc w:val="left"/>
        <w:pPr>
          <w:tabs>
            <w:tab w:val="num" w:pos="2160"/>
          </w:tabs>
          <w:ind w:left="2160" w:hanging="360"/>
        </w:pPr>
        <w:rPr>
          <w:rFonts w:cs="Times New Roman" w:hint="default"/>
        </w:rPr>
      </w:lvl>
    </w:lvlOverride>
    <w:lvlOverride w:ilvl="4">
      <w:lvl w:ilvl="4">
        <w:start w:val="1"/>
        <w:numFmt w:val="lowerLetter"/>
        <w:lvlText w:val="(%5)"/>
        <w:lvlJc w:val="left"/>
        <w:pPr>
          <w:tabs>
            <w:tab w:val="num" w:pos="2520"/>
          </w:tabs>
          <w:ind w:left="2520" w:hanging="360"/>
        </w:pPr>
        <w:rPr>
          <w:rFonts w:cs="Times New Roman" w:hint="default"/>
        </w:rPr>
      </w:lvl>
    </w:lvlOverride>
    <w:lvlOverride w:ilvl="5">
      <w:lvl w:ilvl="5">
        <w:start w:val="1"/>
        <w:numFmt w:val="lowerRoman"/>
        <w:lvlText w:val="(%6)"/>
        <w:lvlJc w:val="left"/>
        <w:pPr>
          <w:tabs>
            <w:tab w:val="num" w:pos="2880"/>
          </w:tabs>
          <w:ind w:left="2880" w:hanging="360"/>
        </w:pPr>
        <w:rPr>
          <w:rFonts w:cs="Times New Roman" w:hint="default"/>
        </w:rPr>
      </w:lvl>
    </w:lvlOverride>
    <w:lvlOverride w:ilvl="6">
      <w:lvl w:ilvl="6">
        <w:start w:val="1"/>
        <w:numFmt w:val="decimal"/>
        <w:lvlText w:val="%7."/>
        <w:lvlJc w:val="left"/>
        <w:pPr>
          <w:tabs>
            <w:tab w:val="num" w:pos="3240"/>
          </w:tabs>
          <w:ind w:left="3240" w:hanging="360"/>
        </w:pPr>
        <w:rPr>
          <w:rFonts w:cs="Times New Roman" w:hint="default"/>
        </w:rPr>
      </w:lvl>
    </w:lvlOverride>
    <w:lvlOverride w:ilvl="7">
      <w:lvl w:ilvl="7">
        <w:start w:val="1"/>
        <w:numFmt w:val="lowerLetter"/>
        <w:lvlText w:val="%8."/>
        <w:lvlJc w:val="left"/>
        <w:pPr>
          <w:tabs>
            <w:tab w:val="num" w:pos="3600"/>
          </w:tabs>
          <w:ind w:left="3600" w:hanging="360"/>
        </w:pPr>
        <w:rPr>
          <w:rFonts w:cs="Times New Roman" w:hint="default"/>
        </w:rPr>
      </w:lvl>
    </w:lvlOverride>
    <w:lvlOverride w:ilvl="8">
      <w:lvl w:ilvl="8">
        <w:start w:val="1"/>
        <w:numFmt w:val="lowerRoman"/>
        <w:lvlText w:val="%9."/>
        <w:lvlJc w:val="left"/>
        <w:pPr>
          <w:tabs>
            <w:tab w:val="num" w:pos="3960"/>
          </w:tabs>
          <w:ind w:left="3960" w:hanging="360"/>
        </w:pPr>
        <w:rPr>
          <w:rFonts w:cs="Times New Roman" w:hint="default"/>
        </w:rPr>
      </w:lvl>
    </w:lvlOverride>
  </w:num>
  <w:num w:numId="10">
    <w:abstractNumId w:val="6"/>
  </w:num>
  <w:num w:numId="11">
    <w:abstractNumId w:val="5"/>
  </w:num>
  <w:num w:numId="12">
    <w:abstractNumId w:val="4"/>
  </w:num>
  <w:num w:numId="13">
    <w:abstractNumId w:val="40"/>
  </w:num>
  <w:num w:numId="14">
    <w:abstractNumId w:val="10"/>
  </w:num>
  <w:num w:numId="15">
    <w:abstractNumId w:val="47"/>
  </w:num>
  <w:num w:numId="16">
    <w:abstractNumId w:val="17"/>
  </w:num>
  <w:num w:numId="17">
    <w:abstractNumId w:val="42"/>
  </w:num>
  <w:num w:numId="18">
    <w:abstractNumId w:val="37"/>
  </w:num>
  <w:num w:numId="19">
    <w:abstractNumId w:val="51"/>
  </w:num>
  <w:num w:numId="20">
    <w:abstractNumId w:val="57"/>
  </w:num>
  <w:num w:numId="21">
    <w:abstractNumId w:val="58"/>
  </w:num>
  <w:num w:numId="22">
    <w:abstractNumId w:val="15"/>
  </w:num>
  <w:num w:numId="23">
    <w:abstractNumId w:val="45"/>
  </w:num>
  <w:num w:numId="24">
    <w:abstractNumId w:val="9"/>
  </w:num>
  <w:num w:numId="25">
    <w:abstractNumId w:val="53"/>
  </w:num>
  <w:num w:numId="26">
    <w:abstractNumId w:val="34"/>
  </w:num>
  <w:num w:numId="27">
    <w:abstractNumId w:val="11"/>
  </w:num>
  <w:num w:numId="28">
    <w:abstractNumId w:val="43"/>
  </w:num>
  <w:num w:numId="29">
    <w:abstractNumId w:val="59"/>
  </w:num>
  <w:num w:numId="30">
    <w:abstractNumId w:val="52"/>
  </w:num>
  <w:num w:numId="31">
    <w:abstractNumId w:val="41"/>
  </w:num>
  <w:num w:numId="32">
    <w:abstractNumId w:val="3"/>
  </w:num>
  <w:num w:numId="33">
    <w:abstractNumId w:val="7"/>
  </w:num>
  <w:num w:numId="34">
    <w:abstractNumId w:val="16"/>
  </w:num>
  <w:num w:numId="35">
    <w:abstractNumId w:val="26"/>
  </w:num>
  <w:num w:numId="36">
    <w:abstractNumId w:val="31"/>
  </w:num>
  <w:num w:numId="37">
    <w:abstractNumId w:val="30"/>
  </w:num>
  <w:num w:numId="38">
    <w:abstractNumId w:val="27"/>
  </w:num>
  <w:num w:numId="39">
    <w:abstractNumId w:val="49"/>
  </w:num>
  <w:num w:numId="40">
    <w:abstractNumId w:val="25"/>
  </w:num>
  <w:num w:numId="41">
    <w:abstractNumId w:val="19"/>
  </w:num>
  <w:num w:numId="42">
    <w:abstractNumId w:val="0"/>
  </w:num>
  <w:num w:numId="43">
    <w:abstractNumId w:val="38"/>
  </w:num>
  <w:num w:numId="44">
    <w:abstractNumId w:val="54"/>
  </w:num>
  <w:num w:numId="45">
    <w:abstractNumId w:val="55"/>
  </w:num>
  <w:num w:numId="46">
    <w:abstractNumId w:val="32"/>
  </w:num>
  <w:num w:numId="47">
    <w:abstractNumId w:val="24"/>
  </w:num>
  <w:num w:numId="48">
    <w:abstractNumId w:val="22"/>
  </w:num>
  <w:num w:numId="49">
    <w:abstractNumId w:val="1"/>
  </w:num>
  <w:num w:numId="50">
    <w:abstractNumId w:val="2"/>
  </w:num>
  <w:num w:numId="51">
    <w:abstractNumId w:val="48"/>
  </w:num>
  <w:num w:numId="52">
    <w:abstractNumId w:val="13"/>
  </w:num>
  <w:num w:numId="53">
    <w:abstractNumId w:val="36"/>
  </w:num>
  <w:num w:numId="54">
    <w:abstractNumId w:val="18"/>
  </w:num>
  <w:num w:numId="55">
    <w:abstractNumId w:val="50"/>
  </w:num>
  <w:num w:numId="56">
    <w:abstractNumId w:val="28"/>
  </w:num>
  <w:num w:numId="57">
    <w:abstractNumId w:val="21"/>
  </w:num>
  <w:num w:numId="5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4"/>
  </w:num>
  <w:num w:numId="6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B8A"/>
    <w:rsid w:val="00006A63"/>
    <w:rsid w:val="00013032"/>
    <w:rsid w:val="00013AC5"/>
    <w:rsid w:val="00013D62"/>
    <w:rsid w:val="0001456F"/>
    <w:rsid w:val="00016C74"/>
    <w:rsid w:val="00025694"/>
    <w:rsid w:val="00032C56"/>
    <w:rsid w:val="0003306F"/>
    <w:rsid w:val="000368F0"/>
    <w:rsid w:val="0004142E"/>
    <w:rsid w:val="0004771E"/>
    <w:rsid w:val="000522B4"/>
    <w:rsid w:val="00066595"/>
    <w:rsid w:val="000748A5"/>
    <w:rsid w:val="00075AD1"/>
    <w:rsid w:val="00077D18"/>
    <w:rsid w:val="00080C49"/>
    <w:rsid w:val="00081442"/>
    <w:rsid w:val="00082399"/>
    <w:rsid w:val="0008638E"/>
    <w:rsid w:val="00086E46"/>
    <w:rsid w:val="00090B00"/>
    <w:rsid w:val="00090D25"/>
    <w:rsid w:val="00093A79"/>
    <w:rsid w:val="00095223"/>
    <w:rsid w:val="00095E06"/>
    <w:rsid w:val="000A5666"/>
    <w:rsid w:val="000B04D8"/>
    <w:rsid w:val="000B065E"/>
    <w:rsid w:val="000B0D89"/>
    <w:rsid w:val="000B1AD8"/>
    <w:rsid w:val="000B2825"/>
    <w:rsid w:val="000B404C"/>
    <w:rsid w:val="000B4CDA"/>
    <w:rsid w:val="000C0028"/>
    <w:rsid w:val="000C0991"/>
    <w:rsid w:val="000C3947"/>
    <w:rsid w:val="000D6BF7"/>
    <w:rsid w:val="000E036F"/>
    <w:rsid w:val="000E540F"/>
    <w:rsid w:val="000F1D39"/>
    <w:rsid w:val="000F1E77"/>
    <w:rsid w:val="000F565D"/>
    <w:rsid w:val="000F5ACF"/>
    <w:rsid w:val="000F5FB8"/>
    <w:rsid w:val="00100EB9"/>
    <w:rsid w:val="0010459C"/>
    <w:rsid w:val="00104AD0"/>
    <w:rsid w:val="0010714E"/>
    <w:rsid w:val="00112C21"/>
    <w:rsid w:val="0011353D"/>
    <w:rsid w:val="001138BB"/>
    <w:rsid w:val="00115045"/>
    <w:rsid w:val="001152CE"/>
    <w:rsid w:val="0011777B"/>
    <w:rsid w:val="00120249"/>
    <w:rsid w:val="00122A67"/>
    <w:rsid w:val="00122ACD"/>
    <w:rsid w:val="0012360C"/>
    <w:rsid w:val="001242F7"/>
    <w:rsid w:val="00127099"/>
    <w:rsid w:val="00130141"/>
    <w:rsid w:val="00130B2D"/>
    <w:rsid w:val="00136480"/>
    <w:rsid w:val="00141D15"/>
    <w:rsid w:val="00142555"/>
    <w:rsid w:val="00144E1C"/>
    <w:rsid w:val="00150775"/>
    <w:rsid w:val="0015220F"/>
    <w:rsid w:val="001534E5"/>
    <w:rsid w:val="00156556"/>
    <w:rsid w:val="00160482"/>
    <w:rsid w:val="0016451A"/>
    <w:rsid w:val="00166613"/>
    <w:rsid w:val="0016687D"/>
    <w:rsid w:val="001700B2"/>
    <w:rsid w:val="00171A58"/>
    <w:rsid w:val="0017410F"/>
    <w:rsid w:val="00174505"/>
    <w:rsid w:val="00175F40"/>
    <w:rsid w:val="00180F18"/>
    <w:rsid w:val="00181148"/>
    <w:rsid w:val="00186411"/>
    <w:rsid w:val="00194B8A"/>
    <w:rsid w:val="00194EB6"/>
    <w:rsid w:val="001955BB"/>
    <w:rsid w:val="001A11CE"/>
    <w:rsid w:val="001A229E"/>
    <w:rsid w:val="001A48B7"/>
    <w:rsid w:val="001A4A3C"/>
    <w:rsid w:val="001A4EC0"/>
    <w:rsid w:val="001A58DA"/>
    <w:rsid w:val="001A6E5E"/>
    <w:rsid w:val="001C43A6"/>
    <w:rsid w:val="001C7FD6"/>
    <w:rsid w:val="001D0A81"/>
    <w:rsid w:val="001D30E4"/>
    <w:rsid w:val="001E3EAE"/>
    <w:rsid w:val="001E78C3"/>
    <w:rsid w:val="001F1DE1"/>
    <w:rsid w:val="001F4B1E"/>
    <w:rsid w:val="001F57D3"/>
    <w:rsid w:val="00200358"/>
    <w:rsid w:val="002007F6"/>
    <w:rsid w:val="00207BB7"/>
    <w:rsid w:val="002108F5"/>
    <w:rsid w:val="00211F6D"/>
    <w:rsid w:val="0021402F"/>
    <w:rsid w:val="0021412C"/>
    <w:rsid w:val="00217CA2"/>
    <w:rsid w:val="00222CE0"/>
    <w:rsid w:val="00223F69"/>
    <w:rsid w:val="00224CE2"/>
    <w:rsid w:val="00225A39"/>
    <w:rsid w:val="0023515C"/>
    <w:rsid w:val="002354FB"/>
    <w:rsid w:val="0023780A"/>
    <w:rsid w:val="002407A4"/>
    <w:rsid w:val="002407B9"/>
    <w:rsid w:val="00246876"/>
    <w:rsid w:val="0025405A"/>
    <w:rsid w:val="00257A5D"/>
    <w:rsid w:val="00262F46"/>
    <w:rsid w:val="00264609"/>
    <w:rsid w:val="00266FF7"/>
    <w:rsid w:val="0027138C"/>
    <w:rsid w:val="00282E2D"/>
    <w:rsid w:val="00285A98"/>
    <w:rsid w:val="002924BE"/>
    <w:rsid w:val="0029366A"/>
    <w:rsid w:val="00293F0F"/>
    <w:rsid w:val="00294645"/>
    <w:rsid w:val="00294CCF"/>
    <w:rsid w:val="00295C0B"/>
    <w:rsid w:val="002962F2"/>
    <w:rsid w:val="002A0939"/>
    <w:rsid w:val="002A3882"/>
    <w:rsid w:val="002B2617"/>
    <w:rsid w:val="002B2DB1"/>
    <w:rsid w:val="002B378A"/>
    <w:rsid w:val="002B7F13"/>
    <w:rsid w:val="002C1F69"/>
    <w:rsid w:val="002C317C"/>
    <w:rsid w:val="002C4091"/>
    <w:rsid w:val="002C44AD"/>
    <w:rsid w:val="002C53FA"/>
    <w:rsid w:val="002C7DB9"/>
    <w:rsid w:val="002D01B0"/>
    <w:rsid w:val="002D1111"/>
    <w:rsid w:val="002D3D6C"/>
    <w:rsid w:val="002D5C33"/>
    <w:rsid w:val="002E2C5B"/>
    <w:rsid w:val="002F2362"/>
    <w:rsid w:val="002F240A"/>
    <w:rsid w:val="002F2D1F"/>
    <w:rsid w:val="002F52C1"/>
    <w:rsid w:val="002F7A9E"/>
    <w:rsid w:val="00305662"/>
    <w:rsid w:val="003069AC"/>
    <w:rsid w:val="00310FEF"/>
    <w:rsid w:val="00311798"/>
    <w:rsid w:val="00311AE2"/>
    <w:rsid w:val="003124B8"/>
    <w:rsid w:val="00312EFD"/>
    <w:rsid w:val="00316E99"/>
    <w:rsid w:val="0032093B"/>
    <w:rsid w:val="00320ED0"/>
    <w:rsid w:val="00323752"/>
    <w:rsid w:val="00327647"/>
    <w:rsid w:val="00330ADC"/>
    <w:rsid w:val="00332C30"/>
    <w:rsid w:val="00337288"/>
    <w:rsid w:val="003374C9"/>
    <w:rsid w:val="00337C1D"/>
    <w:rsid w:val="00340465"/>
    <w:rsid w:val="003421AB"/>
    <w:rsid w:val="003441B0"/>
    <w:rsid w:val="0034451D"/>
    <w:rsid w:val="003516A2"/>
    <w:rsid w:val="00353F0C"/>
    <w:rsid w:val="00370123"/>
    <w:rsid w:val="0037354C"/>
    <w:rsid w:val="00374FAA"/>
    <w:rsid w:val="00376D6E"/>
    <w:rsid w:val="00383B8E"/>
    <w:rsid w:val="00396EFB"/>
    <w:rsid w:val="00397338"/>
    <w:rsid w:val="00397867"/>
    <w:rsid w:val="003A0A8C"/>
    <w:rsid w:val="003A2AFF"/>
    <w:rsid w:val="003A31CC"/>
    <w:rsid w:val="003A6F04"/>
    <w:rsid w:val="003A7552"/>
    <w:rsid w:val="003A77F3"/>
    <w:rsid w:val="003C0585"/>
    <w:rsid w:val="003C1D9A"/>
    <w:rsid w:val="003C48CE"/>
    <w:rsid w:val="003C5E5E"/>
    <w:rsid w:val="003C740F"/>
    <w:rsid w:val="003D12E6"/>
    <w:rsid w:val="003D3ACE"/>
    <w:rsid w:val="003D796E"/>
    <w:rsid w:val="003E39ED"/>
    <w:rsid w:val="003E41F2"/>
    <w:rsid w:val="003E620A"/>
    <w:rsid w:val="003E7EF1"/>
    <w:rsid w:val="003F293B"/>
    <w:rsid w:val="00405DBC"/>
    <w:rsid w:val="00407F24"/>
    <w:rsid w:val="00410757"/>
    <w:rsid w:val="00410DF8"/>
    <w:rsid w:val="00422EDF"/>
    <w:rsid w:val="00425BFD"/>
    <w:rsid w:val="00427680"/>
    <w:rsid w:val="00427CB3"/>
    <w:rsid w:val="004300B6"/>
    <w:rsid w:val="004337DA"/>
    <w:rsid w:val="00437CCE"/>
    <w:rsid w:val="004414C1"/>
    <w:rsid w:val="00446E8F"/>
    <w:rsid w:val="0045072A"/>
    <w:rsid w:val="0045235E"/>
    <w:rsid w:val="004526F3"/>
    <w:rsid w:val="00453773"/>
    <w:rsid w:val="00455690"/>
    <w:rsid w:val="00457510"/>
    <w:rsid w:val="00464045"/>
    <w:rsid w:val="00464861"/>
    <w:rsid w:val="004653E2"/>
    <w:rsid w:val="00466989"/>
    <w:rsid w:val="00466FEB"/>
    <w:rsid w:val="00467460"/>
    <w:rsid w:val="00470704"/>
    <w:rsid w:val="00473A78"/>
    <w:rsid w:val="00481D7C"/>
    <w:rsid w:val="00486EC5"/>
    <w:rsid w:val="0048714F"/>
    <w:rsid w:val="00495CDD"/>
    <w:rsid w:val="004A2BF0"/>
    <w:rsid w:val="004A3DA2"/>
    <w:rsid w:val="004A4DC7"/>
    <w:rsid w:val="004A7A5A"/>
    <w:rsid w:val="004B1DAC"/>
    <w:rsid w:val="004B3330"/>
    <w:rsid w:val="004B3790"/>
    <w:rsid w:val="004B38F9"/>
    <w:rsid w:val="004B7D88"/>
    <w:rsid w:val="004C631C"/>
    <w:rsid w:val="004C6F83"/>
    <w:rsid w:val="004C7B8C"/>
    <w:rsid w:val="004E036F"/>
    <w:rsid w:val="004F189D"/>
    <w:rsid w:val="004F7350"/>
    <w:rsid w:val="004F7368"/>
    <w:rsid w:val="004F7915"/>
    <w:rsid w:val="005012F5"/>
    <w:rsid w:val="005038C4"/>
    <w:rsid w:val="00503939"/>
    <w:rsid w:val="00504694"/>
    <w:rsid w:val="005067E7"/>
    <w:rsid w:val="00512371"/>
    <w:rsid w:val="005144D0"/>
    <w:rsid w:val="00514516"/>
    <w:rsid w:val="00514ED6"/>
    <w:rsid w:val="00517087"/>
    <w:rsid w:val="0051719B"/>
    <w:rsid w:val="00517972"/>
    <w:rsid w:val="00520325"/>
    <w:rsid w:val="00521099"/>
    <w:rsid w:val="00521DEE"/>
    <w:rsid w:val="00522ED4"/>
    <w:rsid w:val="005352E5"/>
    <w:rsid w:val="00536079"/>
    <w:rsid w:val="00544E9C"/>
    <w:rsid w:val="00545836"/>
    <w:rsid w:val="005501AE"/>
    <w:rsid w:val="005515CA"/>
    <w:rsid w:val="00551C7D"/>
    <w:rsid w:val="005525EB"/>
    <w:rsid w:val="00552BE3"/>
    <w:rsid w:val="00554AAF"/>
    <w:rsid w:val="00554F56"/>
    <w:rsid w:val="00555A63"/>
    <w:rsid w:val="0055610F"/>
    <w:rsid w:val="00557D93"/>
    <w:rsid w:val="00564BDD"/>
    <w:rsid w:val="005675B0"/>
    <w:rsid w:val="00567780"/>
    <w:rsid w:val="00567A65"/>
    <w:rsid w:val="0057029C"/>
    <w:rsid w:val="00570ED3"/>
    <w:rsid w:val="00571AD9"/>
    <w:rsid w:val="005754A8"/>
    <w:rsid w:val="00580A3A"/>
    <w:rsid w:val="00586B6D"/>
    <w:rsid w:val="00586DC5"/>
    <w:rsid w:val="0058713A"/>
    <w:rsid w:val="005907C4"/>
    <w:rsid w:val="00593F90"/>
    <w:rsid w:val="005A2A3B"/>
    <w:rsid w:val="005A516C"/>
    <w:rsid w:val="005A6B5F"/>
    <w:rsid w:val="005A7535"/>
    <w:rsid w:val="005B18AF"/>
    <w:rsid w:val="005B4B63"/>
    <w:rsid w:val="005B4E0E"/>
    <w:rsid w:val="005C245B"/>
    <w:rsid w:val="005C3713"/>
    <w:rsid w:val="005C5598"/>
    <w:rsid w:val="005C6064"/>
    <w:rsid w:val="005C6B34"/>
    <w:rsid w:val="005D05BD"/>
    <w:rsid w:val="005D574A"/>
    <w:rsid w:val="005D6C42"/>
    <w:rsid w:val="005D7680"/>
    <w:rsid w:val="005E39A7"/>
    <w:rsid w:val="005E77EB"/>
    <w:rsid w:val="005F1679"/>
    <w:rsid w:val="005F2549"/>
    <w:rsid w:val="005F4A6B"/>
    <w:rsid w:val="005F4AD5"/>
    <w:rsid w:val="005F7730"/>
    <w:rsid w:val="005F7966"/>
    <w:rsid w:val="006031F8"/>
    <w:rsid w:val="00605786"/>
    <w:rsid w:val="00606715"/>
    <w:rsid w:val="00607C9E"/>
    <w:rsid w:val="00607E08"/>
    <w:rsid w:val="00610772"/>
    <w:rsid w:val="006148F0"/>
    <w:rsid w:val="0062011D"/>
    <w:rsid w:val="00623120"/>
    <w:rsid w:val="006242ED"/>
    <w:rsid w:val="006379CB"/>
    <w:rsid w:val="00640410"/>
    <w:rsid w:val="00641AF6"/>
    <w:rsid w:val="00641DCE"/>
    <w:rsid w:val="00642574"/>
    <w:rsid w:val="00643FE8"/>
    <w:rsid w:val="00644A77"/>
    <w:rsid w:val="006516A4"/>
    <w:rsid w:val="00651C90"/>
    <w:rsid w:val="00653C92"/>
    <w:rsid w:val="006544DD"/>
    <w:rsid w:val="00654C21"/>
    <w:rsid w:val="00655369"/>
    <w:rsid w:val="00655A46"/>
    <w:rsid w:val="00661490"/>
    <w:rsid w:val="006617DB"/>
    <w:rsid w:val="00661954"/>
    <w:rsid w:val="0066400A"/>
    <w:rsid w:val="00675DAD"/>
    <w:rsid w:val="0068083D"/>
    <w:rsid w:val="00680DAC"/>
    <w:rsid w:val="00680E52"/>
    <w:rsid w:val="0068177A"/>
    <w:rsid w:val="006831F4"/>
    <w:rsid w:val="00684B1D"/>
    <w:rsid w:val="0068534F"/>
    <w:rsid w:val="00692DC8"/>
    <w:rsid w:val="00694299"/>
    <w:rsid w:val="00696343"/>
    <w:rsid w:val="00697FA2"/>
    <w:rsid w:val="006A5E3A"/>
    <w:rsid w:val="006A7DCD"/>
    <w:rsid w:val="006B05A3"/>
    <w:rsid w:val="006B0D9E"/>
    <w:rsid w:val="006B104F"/>
    <w:rsid w:val="006B3C19"/>
    <w:rsid w:val="006B4939"/>
    <w:rsid w:val="006B70FF"/>
    <w:rsid w:val="006B75D2"/>
    <w:rsid w:val="006B7DC6"/>
    <w:rsid w:val="006C4FFD"/>
    <w:rsid w:val="006C507E"/>
    <w:rsid w:val="006C575E"/>
    <w:rsid w:val="006C707A"/>
    <w:rsid w:val="006C732B"/>
    <w:rsid w:val="006D1C5F"/>
    <w:rsid w:val="006D2D75"/>
    <w:rsid w:val="006D3C4F"/>
    <w:rsid w:val="006D3E99"/>
    <w:rsid w:val="006D6E93"/>
    <w:rsid w:val="006E066C"/>
    <w:rsid w:val="006E7602"/>
    <w:rsid w:val="006F5BA2"/>
    <w:rsid w:val="0070041E"/>
    <w:rsid w:val="00703625"/>
    <w:rsid w:val="00703B18"/>
    <w:rsid w:val="00707625"/>
    <w:rsid w:val="00711CB6"/>
    <w:rsid w:val="007173EC"/>
    <w:rsid w:val="00722868"/>
    <w:rsid w:val="0072437B"/>
    <w:rsid w:val="00725E95"/>
    <w:rsid w:val="00731FA0"/>
    <w:rsid w:val="00736E00"/>
    <w:rsid w:val="0074114A"/>
    <w:rsid w:val="00741695"/>
    <w:rsid w:val="00741772"/>
    <w:rsid w:val="00742B7B"/>
    <w:rsid w:val="0074522C"/>
    <w:rsid w:val="007469D0"/>
    <w:rsid w:val="007473D3"/>
    <w:rsid w:val="00747D23"/>
    <w:rsid w:val="0075080A"/>
    <w:rsid w:val="00756813"/>
    <w:rsid w:val="00756E35"/>
    <w:rsid w:val="007570F7"/>
    <w:rsid w:val="00760930"/>
    <w:rsid w:val="00764935"/>
    <w:rsid w:val="00767CFC"/>
    <w:rsid w:val="00771BBB"/>
    <w:rsid w:val="00772A67"/>
    <w:rsid w:val="0077456B"/>
    <w:rsid w:val="007777CB"/>
    <w:rsid w:val="007826DE"/>
    <w:rsid w:val="00782C75"/>
    <w:rsid w:val="00783907"/>
    <w:rsid w:val="0079113A"/>
    <w:rsid w:val="007913B3"/>
    <w:rsid w:val="00791EEB"/>
    <w:rsid w:val="0079303B"/>
    <w:rsid w:val="0079351F"/>
    <w:rsid w:val="0079610C"/>
    <w:rsid w:val="007B56BE"/>
    <w:rsid w:val="007B741B"/>
    <w:rsid w:val="007C44D9"/>
    <w:rsid w:val="007C559B"/>
    <w:rsid w:val="007C6967"/>
    <w:rsid w:val="007D3A17"/>
    <w:rsid w:val="007D6FBD"/>
    <w:rsid w:val="007D7231"/>
    <w:rsid w:val="007E1E36"/>
    <w:rsid w:val="007E1F55"/>
    <w:rsid w:val="007E5CDA"/>
    <w:rsid w:val="007F098E"/>
    <w:rsid w:val="007F1543"/>
    <w:rsid w:val="007F611C"/>
    <w:rsid w:val="007F7997"/>
    <w:rsid w:val="00801B52"/>
    <w:rsid w:val="00802DCC"/>
    <w:rsid w:val="00821CA9"/>
    <w:rsid w:val="00822997"/>
    <w:rsid w:val="00844DFE"/>
    <w:rsid w:val="00846655"/>
    <w:rsid w:val="008475DF"/>
    <w:rsid w:val="00847698"/>
    <w:rsid w:val="008477E8"/>
    <w:rsid w:val="008504DB"/>
    <w:rsid w:val="0085078C"/>
    <w:rsid w:val="00855904"/>
    <w:rsid w:val="0086307F"/>
    <w:rsid w:val="008648FD"/>
    <w:rsid w:val="00864B5A"/>
    <w:rsid w:val="00872D55"/>
    <w:rsid w:val="00873B1C"/>
    <w:rsid w:val="00874E06"/>
    <w:rsid w:val="00880E40"/>
    <w:rsid w:val="00884FCC"/>
    <w:rsid w:val="00885143"/>
    <w:rsid w:val="00885B32"/>
    <w:rsid w:val="00885DB6"/>
    <w:rsid w:val="00890C1D"/>
    <w:rsid w:val="008961B6"/>
    <w:rsid w:val="008A22DF"/>
    <w:rsid w:val="008A2CDE"/>
    <w:rsid w:val="008B61A4"/>
    <w:rsid w:val="008C0483"/>
    <w:rsid w:val="008C2B50"/>
    <w:rsid w:val="008C3150"/>
    <w:rsid w:val="008D2F6F"/>
    <w:rsid w:val="008D4DBA"/>
    <w:rsid w:val="008D5116"/>
    <w:rsid w:val="008D76DB"/>
    <w:rsid w:val="008E54F3"/>
    <w:rsid w:val="008E5B78"/>
    <w:rsid w:val="008E6E54"/>
    <w:rsid w:val="008F107F"/>
    <w:rsid w:val="008F3400"/>
    <w:rsid w:val="008F36B9"/>
    <w:rsid w:val="008F4061"/>
    <w:rsid w:val="00900BB0"/>
    <w:rsid w:val="00901D21"/>
    <w:rsid w:val="00903FD8"/>
    <w:rsid w:val="009063FE"/>
    <w:rsid w:val="00907579"/>
    <w:rsid w:val="009131F0"/>
    <w:rsid w:val="00914DD9"/>
    <w:rsid w:val="0092145A"/>
    <w:rsid w:val="009257D4"/>
    <w:rsid w:val="009324EC"/>
    <w:rsid w:val="009324F5"/>
    <w:rsid w:val="00932650"/>
    <w:rsid w:val="0093607C"/>
    <w:rsid w:val="009420FC"/>
    <w:rsid w:val="00942696"/>
    <w:rsid w:val="00943987"/>
    <w:rsid w:val="009512DC"/>
    <w:rsid w:val="00951C06"/>
    <w:rsid w:val="0095484D"/>
    <w:rsid w:val="00962023"/>
    <w:rsid w:val="00963B85"/>
    <w:rsid w:val="00963DCB"/>
    <w:rsid w:val="00965562"/>
    <w:rsid w:val="0096573A"/>
    <w:rsid w:val="0096643F"/>
    <w:rsid w:val="00976677"/>
    <w:rsid w:val="00976F1C"/>
    <w:rsid w:val="00981622"/>
    <w:rsid w:val="009821B3"/>
    <w:rsid w:val="00982595"/>
    <w:rsid w:val="00983C72"/>
    <w:rsid w:val="00985D58"/>
    <w:rsid w:val="00986512"/>
    <w:rsid w:val="00986DC9"/>
    <w:rsid w:val="009929D4"/>
    <w:rsid w:val="00994B95"/>
    <w:rsid w:val="009961A3"/>
    <w:rsid w:val="009A4467"/>
    <w:rsid w:val="009B3929"/>
    <w:rsid w:val="009B7238"/>
    <w:rsid w:val="009C0453"/>
    <w:rsid w:val="009C2A88"/>
    <w:rsid w:val="009C3ADA"/>
    <w:rsid w:val="009C5E5F"/>
    <w:rsid w:val="009C78C0"/>
    <w:rsid w:val="009D16A1"/>
    <w:rsid w:val="009D3E87"/>
    <w:rsid w:val="009D702A"/>
    <w:rsid w:val="009E0ED7"/>
    <w:rsid w:val="009E5DEC"/>
    <w:rsid w:val="009E732C"/>
    <w:rsid w:val="009F352D"/>
    <w:rsid w:val="009F43E5"/>
    <w:rsid w:val="00A027C4"/>
    <w:rsid w:val="00A123AD"/>
    <w:rsid w:val="00A21787"/>
    <w:rsid w:val="00A266AB"/>
    <w:rsid w:val="00A363C5"/>
    <w:rsid w:val="00A4051D"/>
    <w:rsid w:val="00A41CB2"/>
    <w:rsid w:val="00A43C71"/>
    <w:rsid w:val="00A450FF"/>
    <w:rsid w:val="00A4521A"/>
    <w:rsid w:val="00A4562C"/>
    <w:rsid w:val="00A561D7"/>
    <w:rsid w:val="00A6037A"/>
    <w:rsid w:val="00A606BF"/>
    <w:rsid w:val="00A649A4"/>
    <w:rsid w:val="00A64E1A"/>
    <w:rsid w:val="00A66687"/>
    <w:rsid w:val="00A70699"/>
    <w:rsid w:val="00A8206C"/>
    <w:rsid w:val="00A829CE"/>
    <w:rsid w:val="00A8486A"/>
    <w:rsid w:val="00A92C03"/>
    <w:rsid w:val="00AA098E"/>
    <w:rsid w:val="00AA0CD9"/>
    <w:rsid w:val="00AA3177"/>
    <w:rsid w:val="00AA5221"/>
    <w:rsid w:val="00AA6923"/>
    <w:rsid w:val="00AA7229"/>
    <w:rsid w:val="00AB122F"/>
    <w:rsid w:val="00AB27EA"/>
    <w:rsid w:val="00AB5866"/>
    <w:rsid w:val="00AB6161"/>
    <w:rsid w:val="00AB619E"/>
    <w:rsid w:val="00AC508A"/>
    <w:rsid w:val="00AC66F9"/>
    <w:rsid w:val="00AD073E"/>
    <w:rsid w:val="00AD32EB"/>
    <w:rsid w:val="00AD59ED"/>
    <w:rsid w:val="00AD5F9A"/>
    <w:rsid w:val="00AD6E92"/>
    <w:rsid w:val="00AD774D"/>
    <w:rsid w:val="00AD7990"/>
    <w:rsid w:val="00AE31D6"/>
    <w:rsid w:val="00AF0375"/>
    <w:rsid w:val="00B02660"/>
    <w:rsid w:val="00B03685"/>
    <w:rsid w:val="00B10830"/>
    <w:rsid w:val="00B12199"/>
    <w:rsid w:val="00B14FAD"/>
    <w:rsid w:val="00B2071E"/>
    <w:rsid w:val="00B21D69"/>
    <w:rsid w:val="00B22936"/>
    <w:rsid w:val="00B25318"/>
    <w:rsid w:val="00B25AF5"/>
    <w:rsid w:val="00B27058"/>
    <w:rsid w:val="00B3617E"/>
    <w:rsid w:val="00B4271E"/>
    <w:rsid w:val="00B449D6"/>
    <w:rsid w:val="00B4513E"/>
    <w:rsid w:val="00B45699"/>
    <w:rsid w:val="00B456AC"/>
    <w:rsid w:val="00B46A0F"/>
    <w:rsid w:val="00B476B2"/>
    <w:rsid w:val="00B47A6C"/>
    <w:rsid w:val="00B5023C"/>
    <w:rsid w:val="00B53228"/>
    <w:rsid w:val="00B61F5E"/>
    <w:rsid w:val="00B65CDC"/>
    <w:rsid w:val="00B67FFA"/>
    <w:rsid w:val="00B709CA"/>
    <w:rsid w:val="00B70FD4"/>
    <w:rsid w:val="00B71804"/>
    <w:rsid w:val="00B765D4"/>
    <w:rsid w:val="00B80E84"/>
    <w:rsid w:val="00B86404"/>
    <w:rsid w:val="00B8671D"/>
    <w:rsid w:val="00B90A36"/>
    <w:rsid w:val="00B90E93"/>
    <w:rsid w:val="00B948D5"/>
    <w:rsid w:val="00BB1AD7"/>
    <w:rsid w:val="00BB3590"/>
    <w:rsid w:val="00BB6A3C"/>
    <w:rsid w:val="00BC21F2"/>
    <w:rsid w:val="00BC5618"/>
    <w:rsid w:val="00BC7612"/>
    <w:rsid w:val="00BD0CA2"/>
    <w:rsid w:val="00BD1CE4"/>
    <w:rsid w:val="00BD3C24"/>
    <w:rsid w:val="00BD3C40"/>
    <w:rsid w:val="00BD44F5"/>
    <w:rsid w:val="00BD703A"/>
    <w:rsid w:val="00BE0876"/>
    <w:rsid w:val="00BE2A90"/>
    <w:rsid w:val="00BE5090"/>
    <w:rsid w:val="00BF08E8"/>
    <w:rsid w:val="00BF6D99"/>
    <w:rsid w:val="00BF7966"/>
    <w:rsid w:val="00C02C42"/>
    <w:rsid w:val="00C03E1B"/>
    <w:rsid w:val="00C12034"/>
    <w:rsid w:val="00C133BE"/>
    <w:rsid w:val="00C1538B"/>
    <w:rsid w:val="00C1575A"/>
    <w:rsid w:val="00C21533"/>
    <w:rsid w:val="00C236D5"/>
    <w:rsid w:val="00C30C4C"/>
    <w:rsid w:val="00C3199A"/>
    <w:rsid w:val="00C32C84"/>
    <w:rsid w:val="00C3629E"/>
    <w:rsid w:val="00C37113"/>
    <w:rsid w:val="00C37C83"/>
    <w:rsid w:val="00C45890"/>
    <w:rsid w:val="00C5320A"/>
    <w:rsid w:val="00C5447D"/>
    <w:rsid w:val="00C572A3"/>
    <w:rsid w:val="00C60928"/>
    <w:rsid w:val="00C63AF6"/>
    <w:rsid w:val="00C650AA"/>
    <w:rsid w:val="00C72E25"/>
    <w:rsid w:val="00C7314F"/>
    <w:rsid w:val="00C74177"/>
    <w:rsid w:val="00C7605D"/>
    <w:rsid w:val="00C7726A"/>
    <w:rsid w:val="00C77D21"/>
    <w:rsid w:val="00C82B66"/>
    <w:rsid w:val="00C8614A"/>
    <w:rsid w:val="00C92D39"/>
    <w:rsid w:val="00C9412D"/>
    <w:rsid w:val="00C94496"/>
    <w:rsid w:val="00C95739"/>
    <w:rsid w:val="00C9643B"/>
    <w:rsid w:val="00C97267"/>
    <w:rsid w:val="00C9736F"/>
    <w:rsid w:val="00CA79F0"/>
    <w:rsid w:val="00CC5596"/>
    <w:rsid w:val="00CC7BEB"/>
    <w:rsid w:val="00CD01C6"/>
    <w:rsid w:val="00CD0525"/>
    <w:rsid w:val="00CD1227"/>
    <w:rsid w:val="00CD3A05"/>
    <w:rsid w:val="00CD40D5"/>
    <w:rsid w:val="00CD6BB7"/>
    <w:rsid w:val="00CD760D"/>
    <w:rsid w:val="00CE0420"/>
    <w:rsid w:val="00CE551A"/>
    <w:rsid w:val="00CE5B8E"/>
    <w:rsid w:val="00CF0DB5"/>
    <w:rsid w:val="00CF1073"/>
    <w:rsid w:val="00CF38FE"/>
    <w:rsid w:val="00CF4D8B"/>
    <w:rsid w:val="00CF5B5E"/>
    <w:rsid w:val="00CF64F8"/>
    <w:rsid w:val="00D00DC2"/>
    <w:rsid w:val="00D03594"/>
    <w:rsid w:val="00D079B9"/>
    <w:rsid w:val="00D07FD1"/>
    <w:rsid w:val="00D110AF"/>
    <w:rsid w:val="00D1213D"/>
    <w:rsid w:val="00D169E3"/>
    <w:rsid w:val="00D16DB1"/>
    <w:rsid w:val="00D24B8A"/>
    <w:rsid w:val="00D277DD"/>
    <w:rsid w:val="00D33ADF"/>
    <w:rsid w:val="00D34864"/>
    <w:rsid w:val="00D34EFF"/>
    <w:rsid w:val="00D35F7F"/>
    <w:rsid w:val="00D45E38"/>
    <w:rsid w:val="00D4685F"/>
    <w:rsid w:val="00D470B6"/>
    <w:rsid w:val="00D5131A"/>
    <w:rsid w:val="00D516B1"/>
    <w:rsid w:val="00D5406E"/>
    <w:rsid w:val="00D57597"/>
    <w:rsid w:val="00D643D3"/>
    <w:rsid w:val="00D67331"/>
    <w:rsid w:val="00D73D2C"/>
    <w:rsid w:val="00D74068"/>
    <w:rsid w:val="00D80076"/>
    <w:rsid w:val="00D82CF8"/>
    <w:rsid w:val="00D869E8"/>
    <w:rsid w:val="00D91089"/>
    <w:rsid w:val="00D910AF"/>
    <w:rsid w:val="00D91ADA"/>
    <w:rsid w:val="00D9351B"/>
    <w:rsid w:val="00D94B22"/>
    <w:rsid w:val="00D95A72"/>
    <w:rsid w:val="00DB10F3"/>
    <w:rsid w:val="00DB1680"/>
    <w:rsid w:val="00DB7230"/>
    <w:rsid w:val="00DD250F"/>
    <w:rsid w:val="00DD459B"/>
    <w:rsid w:val="00DE0EAC"/>
    <w:rsid w:val="00DE143D"/>
    <w:rsid w:val="00DE2C82"/>
    <w:rsid w:val="00DE4D3E"/>
    <w:rsid w:val="00DE4F1E"/>
    <w:rsid w:val="00DE6AD2"/>
    <w:rsid w:val="00DE6F38"/>
    <w:rsid w:val="00DF3355"/>
    <w:rsid w:val="00DF7432"/>
    <w:rsid w:val="00E0274A"/>
    <w:rsid w:val="00E03810"/>
    <w:rsid w:val="00E03B9B"/>
    <w:rsid w:val="00E044CF"/>
    <w:rsid w:val="00E1025B"/>
    <w:rsid w:val="00E128CA"/>
    <w:rsid w:val="00E1565E"/>
    <w:rsid w:val="00E20A16"/>
    <w:rsid w:val="00E276CE"/>
    <w:rsid w:val="00E319B8"/>
    <w:rsid w:val="00E3289C"/>
    <w:rsid w:val="00E33184"/>
    <w:rsid w:val="00E364AD"/>
    <w:rsid w:val="00E3707A"/>
    <w:rsid w:val="00E44897"/>
    <w:rsid w:val="00E45870"/>
    <w:rsid w:val="00E4611E"/>
    <w:rsid w:val="00E50AC3"/>
    <w:rsid w:val="00E53BE5"/>
    <w:rsid w:val="00E547CB"/>
    <w:rsid w:val="00E6165A"/>
    <w:rsid w:val="00E64969"/>
    <w:rsid w:val="00E64D2A"/>
    <w:rsid w:val="00E66883"/>
    <w:rsid w:val="00E6703C"/>
    <w:rsid w:val="00E716BD"/>
    <w:rsid w:val="00E71EFA"/>
    <w:rsid w:val="00E74834"/>
    <w:rsid w:val="00E75AB1"/>
    <w:rsid w:val="00E778C1"/>
    <w:rsid w:val="00E80180"/>
    <w:rsid w:val="00E82B8D"/>
    <w:rsid w:val="00E837B5"/>
    <w:rsid w:val="00E84A3E"/>
    <w:rsid w:val="00E919B7"/>
    <w:rsid w:val="00EA0543"/>
    <w:rsid w:val="00EB119C"/>
    <w:rsid w:val="00EB24D2"/>
    <w:rsid w:val="00EB34F1"/>
    <w:rsid w:val="00EB3AEF"/>
    <w:rsid w:val="00EB4909"/>
    <w:rsid w:val="00EB791F"/>
    <w:rsid w:val="00EC2994"/>
    <w:rsid w:val="00EC6B89"/>
    <w:rsid w:val="00EC74C1"/>
    <w:rsid w:val="00EC7A41"/>
    <w:rsid w:val="00ED0775"/>
    <w:rsid w:val="00ED6096"/>
    <w:rsid w:val="00ED77EA"/>
    <w:rsid w:val="00EE7445"/>
    <w:rsid w:val="00EF2480"/>
    <w:rsid w:val="00EF2A13"/>
    <w:rsid w:val="00F009E4"/>
    <w:rsid w:val="00F00C06"/>
    <w:rsid w:val="00F06B1F"/>
    <w:rsid w:val="00F11F6C"/>
    <w:rsid w:val="00F15E94"/>
    <w:rsid w:val="00F21F36"/>
    <w:rsid w:val="00F241B4"/>
    <w:rsid w:val="00F241F4"/>
    <w:rsid w:val="00F266E7"/>
    <w:rsid w:val="00F27D37"/>
    <w:rsid w:val="00F35854"/>
    <w:rsid w:val="00F41AFC"/>
    <w:rsid w:val="00F43AAC"/>
    <w:rsid w:val="00F45578"/>
    <w:rsid w:val="00F45A2B"/>
    <w:rsid w:val="00F47F86"/>
    <w:rsid w:val="00F50CDD"/>
    <w:rsid w:val="00F53031"/>
    <w:rsid w:val="00F552F3"/>
    <w:rsid w:val="00F55EFA"/>
    <w:rsid w:val="00F56027"/>
    <w:rsid w:val="00F560B5"/>
    <w:rsid w:val="00F56236"/>
    <w:rsid w:val="00F56F0E"/>
    <w:rsid w:val="00F62790"/>
    <w:rsid w:val="00F641C1"/>
    <w:rsid w:val="00F747CE"/>
    <w:rsid w:val="00F83CA0"/>
    <w:rsid w:val="00F85314"/>
    <w:rsid w:val="00F879EF"/>
    <w:rsid w:val="00F95BCF"/>
    <w:rsid w:val="00FA7F04"/>
    <w:rsid w:val="00FB041D"/>
    <w:rsid w:val="00FB0858"/>
    <w:rsid w:val="00FB0A6D"/>
    <w:rsid w:val="00FB7390"/>
    <w:rsid w:val="00FC0998"/>
    <w:rsid w:val="00FC1340"/>
    <w:rsid w:val="00FC1503"/>
    <w:rsid w:val="00FC48D7"/>
    <w:rsid w:val="00FC4E16"/>
    <w:rsid w:val="00FD02DE"/>
    <w:rsid w:val="00FD461E"/>
    <w:rsid w:val="00FE51BD"/>
    <w:rsid w:val="00FE657D"/>
    <w:rsid w:val="00FF36E9"/>
    <w:rsid w:val="00FF374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D57C43C"/>
  <w15:chartTrackingRefBased/>
  <w15:docId w15:val="{3934F7FD-7595-429C-B474-4C8034CC1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6677"/>
    <w:pPr>
      <w:spacing w:line="360" w:lineRule="auto"/>
      <w:jc w:val="both"/>
    </w:pPr>
    <w:rPr>
      <w:rFonts w:ascii="Arial Narrow" w:hAnsi="Arial Narrow"/>
      <w:sz w:val="24"/>
    </w:rPr>
  </w:style>
  <w:style w:type="paragraph" w:styleId="Ttulo1">
    <w:name w:val="heading 1"/>
    <w:basedOn w:val="Normal"/>
    <w:next w:val="Normal"/>
    <w:link w:val="Ttulo1Car"/>
    <w:uiPriority w:val="9"/>
    <w:qFormat/>
    <w:rsid w:val="00E778C1"/>
    <w:pPr>
      <w:keepNext/>
      <w:keepLines/>
      <w:spacing w:before="240" w:after="0"/>
      <w:jc w:val="center"/>
      <w:outlineLvl w:val="0"/>
    </w:pPr>
    <w:rPr>
      <w:rFonts w:eastAsiaTheme="majorEastAsia" w:cstheme="majorBidi"/>
      <w:b/>
      <w:color w:val="1F3864"/>
      <w:sz w:val="26"/>
      <w:szCs w:val="32"/>
      <w:u w:val="single"/>
    </w:rPr>
  </w:style>
  <w:style w:type="paragraph" w:styleId="Ttulo2">
    <w:name w:val="heading 2"/>
    <w:basedOn w:val="Normal"/>
    <w:next w:val="Normal"/>
    <w:link w:val="Ttulo2Car"/>
    <w:uiPriority w:val="9"/>
    <w:unhideWhenUsed/>
    <w:qFormat/>
    <w:rsid w:val="00E778C1"/>
    <w:pPr>
      <w:keepNext/>
      <w:keepLines/>
      <w:spacing w:before="40" w:after="0"/>
      <w:outlineLvl w:val="1"/>
    </w:pPr>
    <w:rPr>
      <w:rFonts w:eastAsiaTheme="majorEastAsia" w:cstheme="majorBidi"/>
      <w:color w:val="1F3864"/>
      <w:szCs w:val="26"/>
    </w:rPr>
  </w:style>
  <w:style w:type="paragraph" w:styleId="Ttulo3">
    <w:name w:val="heading 3"/>
    <w:basedOn w:val="Normal"/>
    <w:next w:val="Normal"/>
    <w:link w:val="Ttulo3Car"/>
    <w:uiPriority w:val="9"/>
    <w:unhideWhenUsed/>
    <w:qFormat/>
    <w:rsid w:val="00F266E7"/>
    <w:pPr>
      <w:keepNext/>
      <w:keepLines/>
      <w:spacing w:before="40" w:after="0"/>
      <w:outlineLvl w:val="2"/>
    </w:pPr>
    <w:rPr>
      <w:rFonts w:eastAsiaTheme="majorEastAsia" w:cstheme="majorBidi"/>
      <w:b/>
      <w:color w:val="1F3763" w:themeColor="accent1" w:themeShade="7F"/>
      <w:szCs w:val="24"/>
    </w:rPr>
  </w:style>
  <w:style w:type="paragraph" w:styleId="Ttulo4">
    <w:name w:val="heading 4"/>
    <w:basedOn w:val="Normal"/>
    <w:next w:val="Normal"/>
    <w:link w:val="Ttulo4Car"/>
    <w:uiPriority w:val="9"/>
    <w:unhideWhenUsed/>
    <w:qFormat/>
    <w:rsid w:val="002962F2"/>
    <w:pPr>
      <w:keepNext/>
      <w:keepLines/>
      <w:spacing w:before="40" w:after="0"/>
      <w:outlineLvl w:val="3"/>
    </w:pPr>
    <w:rPr>
      <w:rFonts w:eastAsiaTheme="majorEastAsia" w:cstheme="majorBidi"/>
      <w:b/>
      <w:iCs/>
    </w:rPr>
  </w:style>
  <w:style w:type="paragraph" w:styleId="Ttulo5">
    <w:name w:val="heading 5"/>
    <w:basedOn w:val="Normal"/>
    <w:next w:val="Normal"/>
    <w:link w:val="Ttulo5Car"/>
    <w:uiPriority w:val="9"/>
    <w:unhideWhenUsed/>
    <w:qFormat/>
    <w:rsid w:val="00692DC8"/>
    <w:pPr>
      <w:keepNext/>
      <w:keepLines/>
      <w:spacing w:before="120" w:after="0" w:line="259" w:lineRule="auto"/>
      <w:outlineLvl w:val="4"/>
    </w:pPr>
    <w:rPr>
      <w:rFonts w:ascii="Cambria" w:eastAsia="Times New Roman" w:hAnsi="Cambria" w:cs="Times New Roman"/>
      <w:i/>
      <w:iCs/>
      <w:caps/>
      <w:lang w:eastAsia="es-CR"/>
    </w:rPr>
  </w:style>
  <w:style w:type="paragraph" w:styleId="Ttulo6">
    <w:name w:val="heading 6"/>
    <w:basedOn w:val="Normal"/>
    <w:next w:val="Normal"/>
    <w:link w:val="Ttulo6Car"/>
    <w:uiPriority w:val="9"/>
    <w:unhideWhenUsed/>
    <w:qFormat/>
    <w:rsid w:val="00692DC8"/>
    <w:pPr>
      <w:keepNext/>
      <w:keepLines/>
      <w:spacing w:before="120" w:after="0" w:line="259" w:lineRule="auto"/>
      <w:outlineLvl w:val="5"/>
    </w:pPr>
    <w:rPr>
      <w:rFonts w:ascii="Cambria" w:eastAsia="Times New Roman" w:hAnsi="Cambria" w:cs="Times New Roman"/>
      <w:b/>
      <w:bCs/>
      <w:caps/>
      <w:color w:val="262626"/>
      <w:sz w:val="20"/>
      <w:szCs w:val="20"/>
      <w:lang w:eastAsia="es-CR"/>
    </w:rPr>
  </w:style>
  <w:style w:type="paragraph" w:styleId="Ttulo7">
    <w:name w:val="heading 7"/>
    <w:basedOn w:val="Normal"/>
    <w:next w:val="Normal"/>
    <w:link w:val="Ttulo7Car"/>
    <w:uiPriority w:val="9"/>
    <w:unhideWhenUsed/>
    <w:qFormat/>
    <w:rsid w:val="00692DC8"/>
    <w:pPr>
      <w:keepNext/>
      <w:keepLines/>
      <w:spacing w:before="120" w:after="0" w:line="259" w:lineRule="auto"/>
      <w:outlineLvl w:val="6"/>
    </w:pPr>
    <w:rPr>
      <w:rFonts w:ascii="Cambria" w:eastAsia="Times New Roman" w:hAnsi="Cambria" w:cs="Times New Roman"/>
      <w:b/>
      <w:bCs/>
      <w:i/>
      <w:iCs/>
      <w:caps/>
      <w:color w:val="262626"/>
      <w:sz w:val="20"/>
      <w:szCs w:val="20"/>
      <w:lang w:eastAsia="es-CR"/>
    </w:rPr>
  </w:style>
  <w:style w:type="paragraph" w:styleId="Ttulo8">
    <w:name w:val="heading 8"/>
    <w:basedOn w:val="Normal"/>
    <w:next w:val="Normal"/>
    <w:link w:val="Ttulo8Car"/>
    <w:uiPriority w:val="9"/>
    <w:unhideWhenUsed/>
    <w:qFormat/>
    <w:rsid w:val="00692DC8"/>
    <w:pPr>
      <w:keepNext/>
      <w:keepLines/>
      <w:spacing w:before="120" w:after="0" w:line="259" w:lineRule="auto"/>
      <w:outlineLvl w:val="7"/>
    </w:pPr>
    <w:rPr>
      <w:rFonts w:ascii="Cambria" w:eastAsia="Times New Roman" w:hAnsi="Cambria" w:cs="Times New Roman"/>
      <w:b/>
      <w:bCs/>
      <w:caps/>
      <w:color w:val="7F7F7F"/>
      <w:sz w:val="20"/>
      <w:szCs w:val="20"/>
      <w:lang w:eastAsia="es-CR"/>
    </w:rPr>
  </w:style>
  <w:style w:type="paragraph" w:styleId="Ttulo9">
    <w:name w:val="heading 9"/>
    <w:basedOn w:val="Normal"/>
    <w:next w:val="Normal"/>
    <w:link w:val="Ttulo9Car"/>
    <w:uiPriority w:val="9"/>
    <w:unhideWhenUsed/>
    <w:qFormat/>
    <w:rsid w:val="00692DC8"/>
    <w:pPr>
      <w:keepNext/>
      <w:keepLines/>
      <w:spacing w:before="120" w:after="0" w:line="259" w:lineRule="auto"/>
      <w:outlineLvl w:val="8"/>
    </w:pPr>
    <w:rPr>
      <w:rFonts w:ascii="Cambria" w:eastAsia="Times New Roman" w:hAnsi="Cambria" w:cs="Times New Roman"/>
      <w:b/>
      <w:bCs/>
      <w:i/>
      <w:iCs/>
      <w:caps/>
      <w:color w:val="7F7F7F"/>
      <w:sz w:val="20"/>
      <w:szCs w:val="20"/>
      <w:lang w:eastAsia="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778C1"/>
    <w:rPr>
      <w:rFonts w:ascii="Arial Narrow" w:eastAsiaTheme="majorEastAsia" w:hAnsi="Arial Narrow" w:cstheme="majorBidi"/>
      <w:b/>
      <w:color w:val="1F3864"/>
      <w:sz w:val="26"/>
      <w:szCs w:val="32"/>
      <w:u w:val="single"/>
    </w:rPr>
  </w:style>
  <w:style w:type="character" w:customStyle="1" w:styleId="Ttulo2Car">
    <w:name w:val="Título 2 Car"/>
    <w:basedOn w:val="Fuentedeprrafopredeter"/>
    <w:link w:val="Ttulo2"/>
    <w:uiPriority w:val="9"/>
    <w:rsid w:val="00E778C1"/>
    <w:rPr>
      <w:rFonts w:ascii="Arial Narrow" w:eastAsiaTheme="majorEastAsia" w:hAnsi="Arial Narrow" w:cstheme="majorBidi"/>
      <w:color w:val="1F3864"/>
      <w:sz w:val="24"/>
      <w:szCs w:val="26"/>
    </w:rPr>
  </w:style>
  <w:style w:type="paragraph" w:styleId="Prrafodelista">
    <w:name w:val="List Paragraph"/>
    <w:aliases w:val="Bullet 1,Use Case List Paragraph,lp1,titulo 5"/>
    <w:basedOn w:val="Normal"/>
    <w:link w:val="PrrafodelistaCar"/>
    <w:uiPriority w:val="34"/>
    <w:qFormat/>
    <w:rsid w:val="00B4271E"/>
    <w:pPr>
      <w:ind w:left="720"/>
      <w:contextualSpacing/>
    </w:pPr>
  </w:style>
  <w:style w:type="character" w:customStyle="1" w:styleId="Ttulo3Car">
    <w:name w:val="Título 3 Car"/>
    <w:basedOn w:val="Fuentedeprrafopredeter"/>
    <w:link w:val="Ttulo3"/>
    <w:uiPriority w:val="9"/>
    <w:rsid w:val="00F266E7"/>
    <w:rPr>
      <w:rFonts w:ascii="Arial Narrow" w:eastAsiaTheme="majorEastAsia" w:hAnsi="Arial Narrow" w:cstheme="majorBidi"/>
      <w:b/>
      <w:color w:val="1F3763" w:themeColor="accent1" w:themeShade="7F"/>
      <w:sz w:val="24"/>
      <w:szCs w:val="24"/>
    </w:rPr>
  </w:style>
  <w:style w:type="paragraph" w:styleId="NormalWeb">
    <w:name w:val="Normal (Web)"/>
    <w:basedOn w:val="Normal"/>
    <w:uiPriority w:val="99"/>
    <w:unhideWhenUsed/>
    <w:rsid w:val="002962F2"/>
    <w:pPr>
      <w:spacing w:before="100" w:beforeAutospacing="1" w:after="100" w:afterAutospacing="1" w:line="240" w:lineRule="auto"/>
      <w:outlineLvl w:val="0"/>
    </w:pPr>
    <w:rPr>
      <w:rFonts w:ascii="Times New Roman" w:eastAsia="Times New Roman" w:hAnsi="Times New Roman" w:cs="Times New Roman"/>
      <w:szCs w:val="24"/>
      <w:lang w:eastAsia="es-CR"/>
    </w:rPr>
  </w:style>
  <w:style w:type="character" w:styleId="Hipervnculo">
    <w:name w:val="Hyperlink"/>
    <w:uiPriority w:val="99"/>
    <w:unhideWhenUsed/>
    <w:rsid w:val="002962F2"/>
    <w:rPr>
      <w:color w:val="0000FF"/>
      <w:u w:val="single"/>
    </w:rPr>
  </w:style>
  <w:style w:type="character" w:customStyle="1" w:styleId="Ttulo4Car">
    <w:name w:val="Título 4 Car"/>
    <w:basedOn w:val="Fuentedeprrafopredeter"/>
    <w:link w:val="Ttulo4"/>
    <w:uiPriority w:val="9"/>
    <w:rsid w:val="002962F2"/>
    <w:rPr>
      <w:rFonts w:ascii="Arial Narrow" w:eastAsiaTheme="majorEastAsia" w:hAnsi="Arial Narrow" w:cstheme="majorBidi"/>
      <w:b/>
      <w:iCs/>
      <w:sz w:val="24"/>
    </w:rPr>
  </w:style>
  <w:style w:type="character" w:customStyle="1" w:styleId="UnresolvedMention">
    <w:name w:val="Unresolved Mention"/>
    <w:basedOn w:val="Fuentedeprrafopredeter"/>
    <w:uiPriority w:val="99"/>
    <w:semiHidden/>
    <w:unhideWhenUsed/>
    <w:rsid w:val="002962F2"/>
    <w:rPr>
      <w:color w:val="605E5C"/>
      <w:shd w:val="clear" w:color="auto" w:fill="E1DFDD"/>
    </w:rPr>
  </w:style>
  <w:style w:type="character" w:styleId="nfasis">
    <w:name w:val="Emphasis"/>
    <w:aliases w:val="Normativa"/>
    <w:basedOn w:val="Fuentedeprrafopredeter"/>
    <w:uiPriority w:val="20"/>
    <w:qFormat/>
    <w:rsid w:val="00D16DB1"/>
    <w:rPr>
      <w:rFonts w:ascii="Arial Narrow" w:hAnsi="Arial Narrow"/>
      <w:i/>
      <w:iCs/>
      <w:sz w:val="24"/>
    </w:rPr>
  </w:style>
  <w:style w:type="numbering" w:customStyle="1" w:styleId="Sinlista1">
    <w:name w:val="Sin lista1"/>
    <w:next w:val="Sinlista"/>
    <w:uiPriority w:val="99"/>
    <w:semiHidden/>
    <w:unhideWhenUsed/>
    <w:rsid w:val="00A649A4"/>
  </w:style>
  <w:style w:type="paragraph" w:customStyle="1" w:styleId="Default">
    <w:name w:val="Default"/>
    <w:rsid w:val="00A649A4"/>
    <w:pPr>
      <w:autoSpaceDE w:val="0"/>
      <w:autoSpaceDN w:val="0"/>
      <w:adjustRightInd w:val="0"/>
      <w:spacing w:after="0" w:line="240" w:lineRule="auto"/>
    </w:pPr>
    <w:rPr>
      <w:rFonts w:ascii="Times New Roman" w:eastAsia="Calibri" w:hAnsi="Times New Roman" w:cs="Times New Roman"/>
      <w:color w:val="000000"/>
      <w:sz w:val="24"/>
      <w:szCs w:val="24"/>
      <w:lang w:eastAsia="es-CR"/>
    </w:rPr>
  </w:style>
  <w:style w:type="character" w:customStyle="1" w:styleId="Ttulo5Car">
    <w:name w:val="Título 5 Car"/>
    <w:basedOn w:val="Fuentedeprrafopredeter"/>
    <w:link w:val="Ttulo5"/>
    <w:uiPriority w:val="9"/>
    <w:rsid w:val="00692DC8"/>
    <w:rPr>
      <w:rFonts w:ascii="Cambria" w:eastAsia="Times New Roman" w:hAnsi="Cambria" w:cs="Times New Roman"/>
      <w:i/>
      <w:iCs/>
      <w:caps/>
      <w:sz w:val="24"/>
      <w:lang w:eastAsia="es-CR"/>
    </w:rPr>
  </w:style>
  <w:style w:type="character" w:customStyle="1" w:styleId="Ttulo6Car">
    <w:name w:val="Título 6 Car"/>
    <w:basedOn w:val="Fuentedeprrafopredeter"/>
    <w:link w:val="Ttulo6"/>
    <w:uiPriority w:val="9"/>
    <w:rsid w:val="00692DC8"/>
    <w:rPr>
      <w:rFonts w:ascii="Cambria" w:eastAsia="Times New Roman" w:hAnsi="Cambria" w:cs="Times New Roman"/>
      <w:b/>
      <w:bCs/>
      <w:caps/>
      <w:color w:val="262626"/>
      <w:sz w:val="20"/>
      <w:szCs w:val="20"/>
      <w:lang w:eastAsia="es-CR"/>
    </w:rPr>
  </w:style>
  <w:style w:type="character" w:customStyle="1" w:styleId="Ttulo7Car">
    <w:name w:val="Título 7 Car"/>
    <w:basedOn w:val="Fuentedeprrafopredeter"/>
    <w:link w:val="Ttulo7"/>
    <w:uiPriority w:val="9"/>
    <w:rsid w:val="00692DC8"/>
    <w:rPr>
      <w:rFonts w:ascii="Cambria" w:eastAsia="Times New Roman" w:hAnsi="Cambria" w:cs="Times New Roman"/>
      <w:b/>
      <w:bCs/>
      <w:i/>
      <w:iCs/>
      <w:caps/>
      <w:color w:val="262626"/>
      <w:sz w:val="20"/>
      <w:szCs w:val="20"/>
      <w:lang w:eastAsia="es-CR"/>
    </w:rPr>
  </w:style>
  <w:style w:type="character" w:customStyle="1" w:styleId="Ttulo8Car">
    <w:name w:val="Título 8 Car"/>
    <w:basedOn w:val="Fuentedeprrafopredeter"/>
    <w:link w:val="Ttulo8"/>
    <w:uiPriority w:val="9"/>
    <w:rsid w:val="00692DC8"/>
    <w:rPr>
      <w:rFonts w:ascii="Cambria" w:eastAsia="Times New Roman" w:hAnsi="Cambria" w:cs="Times New Roman"/>
      <w:b/>
      <w:bCs/>
      <w:caps/>
      <w:color w:val="7F7F7F"/>
      <w:sz w:val="20"/>
      <w:szCs w:val="20"/>
      <w:lang w:eastAsia="es-CR"/>
    </w:rPr>
  </w:style>
  <w:style w:type="character" w:customStyle="1" w:styleId="Ttulo9Car">
    <w:name w:val="Título 9 Car"/>
    <w:basedOn w:val="Fuentedeprrafopredeter"/>
    <w:link w:val="Ttulo9"/>
    <w:uiPriority w:val="9"/>
    <w:rsid w:val="00692DC8"/>
    <w:rPr>
      <w:rFonts w:ascii="Cambria" w:eastAsia="Times New Roman" w:hAnsi="Cambria" w:cs="Times New Roman"/>
      <w:b/>
      <w:bCs/>
      <w:i/>
      <w:iCs/>
      <w:caps/>
      <w:color w:val="7F7F7F"/>
      <w:sz w:val="20"/>
      <w:szCs w:val="20"/>
      <w:lang w:eastAsia="es-CR"/>
    </w:rPr>
  </w:style>
  <w:style w:type="numbering" w:customStyle="1" w:styleId="Sinlista2">
    <w:name w:val="Sin lista2"/>
    <w:next w:val="Sinlista"/>
    <w:uiPriority w:val="99"/>
    <w:semiHidden/>
    <w:unhideWhenUsed/>
    <w:rsid w:val="00692DC8"/>
  </w:style>
  <w:style w:type="paragraph" w:styleId="Encabezado">
    <w:name w:val="header"/>
    <w:basedOn w:val="Normal"/>
    <w:link w:val="EncabezadoCar"/>
    <w:unhideWhenUsed/>
    <w:rsid w:val="00692DC8"/>
    <w:pPr>
      <w:tabs>
        <w:tab w:val="center" w:pos="4252"/>
        <w:tab w:val="right" w:pos="8504"/>
      </w:tabs>
      <w:spacing w:after="0" w:line="240" w:lineRule="auto"/>
      <w:outlineLvl w:val="0"/>
    </w:pPr>
    <w:rPr>
      <w:rFonts w:eastAsia="Calibri" w:cs="Times New Roman"/>
    </w:rPr>
  </w:style>
  <w:style w:type="character" w:customStyle="1" w:styleId="EncabezadoCar">
    <w:name w:val="Encabezado Car"/>
    <w:basedOn w:val="Fuentedeprrafopredeter"/>
    <w:link w:val="Encabezado"/>
    <w:rsid w:val="00692DC8"/>
    <w:rPr>
      <w:rFonts w:ascii="Arial Narrow" w:eastAsia="Calibri" w:hAnsi="Arial Narrow" w:cs="Times New Roman"/>
      <w:sz w:val="24"/>
    </w:rPr>
  </w:style>
  <w:style w:type="paragraph" w:styleId="Piedepgina">
    <w:name w:val="footer"/>
    <w:basedOn w:val="Normal"/>
    <w:link w:val="PiedepginaCar"/>
    <w:uiPriority w:val="99"/>
    <w:unhideWhenUsed/>
    <w:rsid w:val="00692DC8"/>
    <w:pPr>
      <w:tabs>
        <w:tab w:val="center" w:pos="4252"/>
        <w:tab w:val="right" w:pos="8504"/>
      </w:tabs>
      <w:spacing w:after="0" w:line="240" w:lineRule="auto"/>
      <w:outlineLvl w:val="0"/>
    </w:pPr>
    <w:rPr>
      <w:rFonts w:eastAsia="Calibri" w:cs="Times New Roman"/>
    </w:rPr>
  </w:style>
  <w:style w:type="character" w:customStyle="1" w:styleId="PiedepginaCar">
    <w:name w:val="Pie de página Car"/>
    <w:basedOn w:val="Fuentedeprrafopredeter"/>
    <w:link w:val="Piedepgina"/>
    <w:uiPriority w:val="99"/>
    <w:rsid w:val="00692DC8"/>
    <w:rPr>
      <w:rFonts w:ascii="Arial Narrow" w:eastAsia="Calibri" w:hAnsi="Arial Narrow" w:cs="Times New Roman"/>
      <w:sz w:val="24"/>
    </w:rPr>
  </w:style>
  <w:style w:type="character" w:customStyle="1" w:styleId="apple-converted-space">
    <w:name w:val="apple-converted-space"/>
    <w:rsid w:val="00692DC8"/>
  </w:style>
  <w:style w:type="paragraph" w:styleId="Textonotapie">
    <w:name w:val="footnote text"/>
    <w:aliases w:val="Footnote Text Char Char,Footnote Text Char,Footnote Text Char1,Footnote Text Char2,Footnote Text Char3,Footnote Text Char4,Footnote Text Char5,Footnote New"/>
    <w:basedOn w:val="Normal"/>
    <w:link w:val="TextonotapieCar"/>
    <w:uiPriority w:val="99"/>
    <w:semiHidden/>
    <w:rsid w:val="00692DC8"/>
    <w:pPr>
      <w:spacing w:after="0" w:line="240" w:lineRule="auto"/>
      <w:outlineLvl w:val="0"/>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ar,Footnote Text Char Car,Footnote Text Char1 Car,Footnote Text Char2 Car,Footnote Text Char3 Car,Footnote Text Char4 Car,Footnote Text Char5 Car,Footnote New Car"/>
    <w:basedOn w:val="Fuentedeprrafopredeter"/>
    <w:link w:val="Textonotapie"/>
    <w:uiPriority w:val="99"/>
    <w:semiHidden/>
    <w:rsid w:val="00692DC8"/>
    <w:rPr>
      <w:rFonts w:ascii="Times New Roman" w:eastAsia="Times New Roman" w:hAnsi="Times New Roman" w:cs="Times New Roman"/>
      <w:sz w:val="20"/>
      <w:szCs w:val="20"/>
      <w:lang w:val="es-ES" w:eastAsia="es-ES"/>
    </w:rPr>
  </w:style>
  <w:style w:type="character" w:styleId="Refdenotaalpie">
    <w:name w:val="footnote reference"/>
    <w:uiPriority w:val="99"/>
    <w:semiHidden/>
    <w:rsid w:val="00692DC8"/>
    <w:rPr>
      <w:vertAlign w:val="superscript"/>
    </w:rPr>
  </w:style>
  <w:style w:type="table" w:styleId="Tablaconcuadrcula">
    <w:name w:val="Table Grid"/>
    <w:basedOn w:val="Tablanormal"/>
    <w:uiPriority w:val="39"/>
    <w:rsid w:val="00692DC8"/>
    <w:pPr>
      <w:spacing w:after="0" w:line="240" w:lineRule="auto"/>
    </w:pPr>
    <w:rPr>
      <w:rFonts w:ascii="Calibri" w:eastAsia="Calibri" w:hAnsi="Calibri"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72437B"/>
    <w:rPr>
      <w:rFonts w:ascii="Arial Narrow" w:hAnsi="Arial Narrow"/>
      <w:i w:val="0"/>
      <w:iCs/>
      <w:color w:val="auto"/>
      <w:sz w:val="24"/>
    </w:rPr>
  </w:style>
  <w:style w:type="character" w:styleId="nfasisintenso">
    <w:name w:val="Intense Emphasis"/>
    <w:uiPriority w:val="21"/>
    <w:qFormat/>
    <w:rsid w:val="00692DC8"/>
    <w:rPr>
      <w:b/>
      <w:bCs/>
      <w:i/>
      <w:iCs/>
      <w:color w:val="4F81BD"/>
    </w:rPr>
  </w:style>
  <w:style w:type="paragraph" w:styleId="Textodeglobo">
    <w:name w:val="Balloon Text"/>
    <w:basedOn w:val="Normal"/>
    <w:link w:val="TextodegloboCar"/>
    <w:uiPriority w:val="99"/>
    <w:semiHidden/>
    <w:unhideWhenUsed/>
    <w:rsid w:val="00692DC8"/>
    <w:pPr>
      <w:spacing w:after="0" w:line="240" w:lineRule="auto"/>
      <w:outlineLvl w:val="0"/>
    </w:pPr>
    <w:rPr>
      <w:rFonts w:ascii="Tahoma" w:eastAsia="Calibri" w:hAnsi="Tahoma" w:cs="Tahoma"/>
      <w:sz w:val="16"/>
      <w:szCs w:val="16"/>
    </w:rPr>
  </w:style>
  <w:style w:type="character" w:customStyle="1" w:styleId="TextodegloboCar">
    <w:name w:val="Texto de globo Car"/>
    <w:basedOn w:val="Fuentedeprrafopredeter"/>
    <w:link w:val="Textodeglobo"/>
    <w:uiPriority w:val="99"/>
    <w:semiHidden/>
    <w:rsid w:val="00692DC8"/>
    <w:rPr>
      <w:rFonts w:ascii="Tahoma" w:eastAsia="Calibri" w:hAnsi="Tahoma" w:cs="Tahoma"/>
      <w:sz w:val="16"/>
      <w:szCs w:val="16"/>
    </w:rPr>
  </w:style>
  <w:style w:type="paragraph" w:customStyle="1" w:styleId="xl26">
    <w:name w:val="xl26"/>
    <w:basedOn w:val="Normal"/>
    <w:rsid w:val="00692DC8"/>
    <w:pPr>
      <w:pBdr>
        <w:left w:val="single" w:sz="4" w:space="0" w:color="auto"/>
        <w:right w:val="single" w:sz="4" w:space="0" w:color="auto"/>
      </w:pBdr>
      <w:spacing w:before="100" w:beforeAutospacing="1" w:after="100" w:afterAutospacing="1" w:line="240" w:lineRule="auto"/>
      <w:outlineLvl w:val="0"/>
    </w:pPr>
    <w:rPr>
      <w:rFonts w:ascii="Arial" w:eastAsia="Times New Roman" w:hAnsi="Arial" w:cs="Arial"/>
      <w:b/>
      <w:bCs/>
      <w:szCs w:val="24"/>
      <w:lang w:val="es-ES" w:eastAsia="es-ES"/>
    </w:rPr>
  </w:style>
  <w:style w:type="numbering" w:customStyle="1" w:styleId="Sinlista11">
    <w:name w:val="Sin lista11"/>
    <w:next w:val="Sinlista"/>
    <w:uiPriority w:val="99"/>
    <w:semiHidden/>
    <w:unhideWhenUsed/>
    <w:rsid w:val="00692DC8"/>
  </w:style>
  <w:style w:type="numbering" w:customStyle="1" w:styleId="Sinlista111">
    <w:name w:val="Sin lista111"/>
    <w:next w:val="Sinlista"/>
    <w:uiPriority w:val="99"/>
    <w:semiHidden/>
    <w:unhideWhenUsed/>
    <w:rsid w:val="00692DC8"/>
  </w:style>
  <w:style w:type="table" w:customStyle="1" w:styleId="Tabladecuadrcula2-nfasis31">
    <w:name w:val="Tabla de cuadrícula 2 - Énfasis 31"/>
    <w:basedOn w:val="Tablanormal"/>
    <w:uiPriority w:val="47"/>
    <w:rsid w:val="00692DC8"/>
    <w:pPr>
      <w:spacing w:after="0" w:line="240" w:lineRule="auto"/>
    </w:pPr>
    <w:rPr>
      <w:rFonts w:ascii="Calibri" w:eastAsia="Calibri" w:hAnsi="Calibri" w:cs="Times New Roman"/>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oncuadrcula1">
    <w:name w:val="Tabla con cuadrícula1"/>
    <w:basedOn w:val="Tablanormal"/>
    <w:next w:val="Tablaconcuadrcula"/>
    <w:uiPriority w:val="59"/>
    <w:rsid w:val="00692D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692DC8"/>
  </w:style>
  <w:style w:type="character" w:styleId="Refdecomentario">
    <w:name w:val="annotation reference"/>
    <w:uiPriority w:val="99"/>
    <w:semiHidden/>
    <w:unhideWhenUsed/>
    <w:rsid w:val="00692DC8"/>
    <w:rPr>
      <w:sz w:val="16"/>
      <w:szCs w:val="16"/>
    </w:rPr>
  </w:style>
  <w:style w:type="paragraph" w:styleId="Textocomentario">
    <w:name w:val="annotation text"/>
    <w:basedOn w:val="Normal"/>
    <w:link w:val="TextocomentarioCar"/>
    <w:uiPriority w:val="99"/>
    <w:unhideWhenUsed/>
    <w:rsid w:val="00692DC8"/>
    <w:pPr>
      <w:spacing w:after="0" w:line="240" w:lineRule="auto"/>
      <w:outlineLvl w:val="0"/>
    </w:pPr>
    <w:rPr>
      <w:rFonts w:eastAsia="Calibri" w:cs="Times New Roman"/>
      <w:sz w:val="20"/>
      <w:szCs w:val="20"/>
    </w:rPr>
  </w:style>
  <w:style w:type="character" w:customStyle="1" w:styleId="TextocomentarioCar">
    <w:name w:val="Texto comentario Car"/>
    <w:basedOn w:val="Fuentedeprrafopredeter"/>
    <w:link w:val="Textocomentario"/>
    <w:uiPriority w:val="99"/>
    <w:rsid w:val="00692DC8"/>
    <w:rPr>
      <w:rFonts w:ascii="Arial Narrow" w:eastAsia="Calibri" w:hAnsi="Arial Narrow"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692DC8"/>
    <w:rPr>
      <w:b/>
      <w:bCs/>
    </w:rPr>
  </w:style>
  <w:style w:type="character" w:customStyle="1" w:styleId="AsuntodelcomentarioCar">
    <w:name w:val="Asunto del comentario Car"/>
    <w:basedOn w:val="TextocomentarioCar"/>
    <w:link w:val="Asuntodelcomentario"/>
    <w:uiPriority w:val="99"/>
    <w:semiHidden/>
    <w:rsid w:val="00692DC8"/>
    <w:rPr>
      <w:rFonts w:ascii="Arial Narrow" w:eastAsia="Calibri" w:hAnsi="Arial Narrow" w:cs="Times New Roman"/>
      <w:b/>
      <w:bCs/>
      <w:sz w:val="20"/>
      <w:szCs w:val="20"/>
    </w:rPr>
  </w:style>
  <w:style w:type="paragraph" w:styleId="Textoindependiente2">
    <w:name w:val="Body Text 2"/>
    <w:basedOn w:val="Normal"/>
    <w:link w:val="Textoindependiente2Car"/>
    <w:unhideWhenUsed/>
    <w:rsid w:val="00692DC8"/>
    <w:pPr>
      <w:spacing w:after="120" w:line="480" w:lineRule="auto"/>
      <w:outlineLvl w:val="0"/>
    </w:pPr>
    <w:rPr>
      <w:rFonts w:eastAsia="Times New Roman" w:cs="Times New Roman"/>
      <w:lang w:val="es-ES"/>
    </w:rPr>
  </w:style>
  <w:style w:type="character" w:customStyle="1" w:styleId="Textoindependiente2Car">
    <w:name w:val="Texto independiente 2 Car"/>
    <w:basedOn w:val="Fuentedeprrafopredeter"/>
    <w:link w:val="Textoindependiente2"/>
    <w:rsid w:val="00692DC8"/>
    <w:rPr>
      <w:rFonts w:ascii="Arial Narrow" w:eastAsia="Times New Roman" w:hAnsi="Arial Narrow" w:cs="Times New Roman"/>
      <w:sz w:val="24"/>
      <w:lang w:val="es-ES"/>
    </w:rPr>
  </w:style>
  <w:style w:type="paragraph" w:styleId="Sangradetextonormal">
    <w:name w:val="Body Text Indent"/>
    <w:basedOn w:val="Normal"/>
    <w:link w:val="SangradetextonormalCar"/>
    <w:uiPriority w:val="99"/>
    <w:rsid w:val="00692DC8"/>
    <w:pPr>
      <w:spacing w:after="0" w:line="240" w:lineRule="auto"/>
      <w:ind w:left="360"/>
      <w:outlineLvl w:val="0"/>
    </w:pPr>
    <w:rPr>
      <w:rFonts w:ascii="Garamond" w:eastAsia="Times New Roman" w:hAnsi="Garamond" w:cs="Times New Roman"/>
      <w:szCs w:val="20"/>
      <w:lang w:eastAsia="es-ES"/>
    </w:rPr>
  </w:style>
  <w:style w:type="character" w:customStyle="1" w:styleId="SangradetextonormalCar">
    <w:name w:val="Sangría de texto normal Car"/>
    <w:basedOn w:val="Fuentedeprrafopredeter"/>
    <w:link w:val="Sangradetextonormal"/>
    <w:uiPriority w:val="99"/>
    <w:rsid w:val="00692DC8"/>
    <w:rPr>
      <w:rFonts w:ascii="Garamond" w:eastAsia="Times New Roman" w:hAnsi="Garamond" w:cs="Times New Roman"/>
      <w:sz w:val="24"/>
      <w:szCs w:val="20"/>
      <w:lang w:eastAsia="es-ES"/>
    </w:rPr>
  </w:style>
  <w:style w:type="paragraph" w:styleId="Textoindependiente">
    <w:name w:val="Body Text"/>
    <w:basedOn w:val="Normal"/>
    <w:link w:val="TextoindependienteCar"/>
    <w:uiPriority w:val="99"/>
    <w:unhideWhenUsed/>
    <w:rsid w:val="00692DC8"/>
    <w:pPr>
      <w:spacing w:after="120" w:line="259" w:lineRule="auto"/>
      <w:outlineLvl w:val="0"/>
    </w:pPr>
    <w:rPr>
      <w:rFonts w:eastAsia="Times New Roman" w:cs="Times New Roman"/>
      <w:lang w:eastAsia="es-CR"/>
    </w:rPr>
  </w:style>
  <w:style w:type="character" w:customStyle="1" w:styleId="TextoindependienteCar">
    <w:name w:val="Texto independiente Car"/>
    <w:basedOn w:val="Fuentedeprrafopredeter"/>
    <w:link w:val="Textoindependiente"/>
    <w:uiPriority w:val="99"/>
    <w:rsid w:val="00692DC8"/>
    <w:rPr>
      <w:rFonts w:ascii="Arial Narrow" w:eastAsia="Times New Roman" w:hAnsi="Arial Narrow" w:cs="Times New Roman"/>
      <w:sz w:val="24"/>
      <w:lang w:eastAsia="es-CR"/>
    </w:rPr>
  </w:style>
  <w:style w:type="paragraph" w:styleId="Ttulo">
    <w:name w:val="Title"/>
    <w:basedOn w:val="Normal"/>
    <w:next w:val="Normal"/>
    <w:link w:val="TtuloCar"/>
    <w:uiPriority w:val="10"/>
    <w:qFormat/>
    <w:rsid w:val="00692DC8"/>
    <w:pPr>
      <w:spacing w:after="0" w:line="240" w:lineRule="auto"/>
      <w:contextualSpacing/>
      <w:outlineLvl w:val="0"/>
    </w:pPr>
    <w:rPr>
      <w:rFonts w:ascii="Cambria" w:eastAsia="Times New Roman" w:hAnsi="Cambria" w:cs="Times New Roman"/>
      <w:caps/>
      <w:color w:val="404040"/>
      <w:spacing w:val="-10"/>
      <w:sz w:val="72"/>
      <w:szCs w:val="72"/>
      <w:lang w:eastAsia="es-CR"/>
    </w:rPr>
  </w:style>
  <w:style w:type="character" w:customStyle="1" w:styleId="TtuloCar">
    <w:name w:val="Título Car"/>
    <w:basedOn w:val="Fuentedeprrafopredeter"/>
    <w:link w:val="Ttulo"/>
    <w:uiPriority w:val="10"/>
    <w:rsid w:val="00692DC8"/>
    <w:rPr>
      <w:rFonts w:ascii="Cambria" w:eastAsia="Times New Roman" w:hAnsi="Cambria" w:cs="Times New Roman"/>
      <w:caps/>
      <w:color w:val="404040"/>
      <w:spacing w:val="-10"/>
      <w:sz w:val="72"/>
      <w:szCs w:val="72"/>
      <w:lang w:eastAsia="es-CR"/>
    </w:rPr>
  </w:style>
  <w:style w:type="paragraph" w:styleId="Listaconvietas5">
    <w:name w:val="List Bullet 5"/>
    <w:basedOn w:val="Normal"/>
    <w:autoRedefine/>
    <w:semiHidden/>
    <w:rsid w:val="00692DC8"/>
    <w:pPr>
      <w:numPr>
        <w:numId w:val="7"/>
      </w:numPr>
      <w:tabs>
        <w:tab w:val="clear" w:pos="757"/>
      </w:tabs>
      <w:spacing w:after="0" w:line="240" w:lineRule="auto"/>
      <w:ind w:left="1440" w:hanging="360"/>
      <w:outlineLvl w:val="0"/>
    </w:pPr>
    <w:rPr>
      <w:rFonts w:ascii="Times New Roman" w:eastAsia="Times New Roman" w:hAnsi="Times New Roman" w:cs="Times New Roman"/>
      <w:sz w:val="20"/>
      <w:szCs w:val="20"/>
      <w:lang w:eastAsia="es-ES"/>
    </w:rPr>
  </w:style>
  <w:style w:type="paragraph" w:styleId="Listaconvietas">
    <w:name w:val="List Bullet"/>
    <w:basedOn w:val="Normal"/>
    <w:autoRedefine/>
    <w:semiHidden/>
    <w:rsid w:val="00692DC8"/>
    <w:pPr>
      <w:numPr>
        <w:numId w:val="8"/>
      </w:numPr>
      <w:tabs>
        <w:tab w:val="clear" w:pos="851"/>
      </w:tabs>
      <w:spacing w:after="0" w:line="240" w:lineRule="auto"/>
      <w:ind w:left="720" w:hanging="360"/>
      <w:outlineLvl w:val="0"/>
    </w:pPr>
    <w:rPr>
      <w:rFonts w:ascii="Times New Roman" w:eastAsia="Times New Roman" w:hAnsi="Times New Roman" w:cs="Times New Roman"/>
      <w:sz w:val="20"/>
      <w:szCs w:val="20"/>
      <w:lang w:eastAsia="es-ES"/>
    </w:rPr>
  </w:style>
  <w:style w:type="paragraph" w:styleId="Mapadeldocumento">
    <w:name w:val="Document Map"/>
    <w:basedOn w:val="Normal"/>
    <w:link w:val="MapadeldocumentoCar"/>
    <w:semiHidden/>
    <w:rsid w:val="00692DC8"/>
    <w:pPr>
      <w:shd w:val="clear" w:color="auto" w:fill="000080"/>
      <w:spacing w:after="0" w:line="240" w:lineRule="auto"/>
      <w:outlineLvl w:val="0"/>
    </w:pPr>
    <w:rPr>
      <w:rFonts w:ascii="Tahoma" w:eastAsia="Times New Roman" w:hAnsi="Tahoma" w:cs="Times New Roman"/>
      <w:sz w:val="20"/>
      <w:szCs w:val="20"/>
      <w:lang w:eastAsia="es-ES"/>
    </w:rPr>
  </w:style>
  <w:style w:type="character" w:customStyle="1" w:styleId="MapadeldocumentoCar">
    <w:name w:val="Mapa del documento Car"/>
    <w:basedOn w:val="Fuentedeprrafopredeter"/>
    <w:link w:val="Mapadeldocumento"/>
    <w:semiHidden/>
    <w:rsid w:val="00692DC8"/>
    <w:rPr>
      <w:rFonts w:ascii="Tahoma" w:eastAsia="Times New Roman" w:hAnsi="Tahoma" w:cs="Times New Roman"/>
      <w:sz w:val="20"/>
      <w:szCs w:val="20"/>
      <w:shd w:val="clear" w:color="auto" w:fill="000080"/>
      <w:lang w:eastAsia="es-ES"/>
    </w:rPr>
  </w:style>
  <w:style w:type="paragraph" w:styleId="Sangra2detindependiente">
    <w:name w:val="Body Text Indent 2"/>
    <w:basedOn w:val="Normal"/>
    <w:link w:val="Sangra2detindependienteCar"/>
    <w:semiHidden/>
    <w:rsid w:val="00692DC8"/>
    <w:pPr>
      <w:spacing w:after="0" w:line="240" w:lineRule="auto"/>
      <w:ind w:firstLine="708"/>
      <w:outlineLvl w:val="0"/>
    </w:pPr>
    <w:rPr>
      <w:rFonts w:ascii="Garamond" w:eastAsia="Times New Roman" w:hAnsi="Garamond" w:cs="Times New Roman"/>
      <w:szCs w:val="20"/>
      <w:lang w:eastAsia="es-ES"/>
    </w:rPr>
  </w:style>
  <w:style w:type="character" w:customStyle="1" w:styleId="Sangra2detindependienteCar">
    <w:name w:val="Sangría 2 de t. independiente Car"/>
    <w:basedOn w:val="Fuentedeprrafopredeter"/>
    <w:link w:val="Sangra2detindependiente"/>
    <w:semiHidden/>
    <w:rsid w:val="00692DC8"/>
    <w:rPr>
      <w:rFonts w:ascii="Garamond" w:eastAsia="Times New Roman" w:hAnsi="Garamond" w:cs="Times New Roman"/>
      <w:sz w:val="24"/>
      <w:szCs w:val="20"/>
      <w:lang w:eastAsia="es-ES"/>
    </w:rPr>
  </w:style>
  <w:style w:type="paragraph" w:styleId="Sangra3detindependiente">
    <w:name w:val="Body Text Indent 3"/>
    <w:basedOn w:val="Normal"/>
    <w:link w:val="Sangra3detindependienteCar"/>
    <w:uiPriority w:val="99"/>
    <w:rsid w:val="00692DC8"/>
    <w:pPr>
      <w:spacing w:after="0" w:line="240" w:lineRule="auto"/>
      <w:ind w:left="360" w:firstLine="348"/>
      <w:outlineLvl w:val="0"/>
    </w:pPr>
    <w:rPr>
      <w:rFonts w:ascii="Garamond" w:eastAsia="Times New Roman" w:hAnsi="Garamond" w:cs="Times New Roman"/>
      <w:szCs w:val="20"/>
      <w:lang w:eastAsia="es-ES"/>
    </w:rPr>
  </w:style>
  <w:style w:type="character" w:customStyle="1" w:styleId="Sangra3detindependienteCar">
    <w:name w:val="Sangría 3 de t. independiente Car"/>
    <w:basedOn w:val="Fuentedeprrafopredeter"/>
    <w:link w:val="Sangra3detindependiente"/>
    <w:uiPriority w:val="99"/>
    <w:rsid w:val="00692DC8"/>
    <w:rPr>
      <w:rFonts w:ascii="Garamond" w:eastAsia="Times New Roman" w:hAnsi="Garamond" w:cs="Times New Roman"/>
      <w:sz w:val="24"/>
      <w:szCs w:val="20"/>
      <w:lang w:eastAsia="es-ES"/>
    </w:rPr>
  </w:style>
  <w:style w:type="paragraph" w:styleId="Subttulo">
    <w:name w:val="Subtitle"/>
    <w:basedOn w:val="Normal"/>
    <w:next w:val="Normal"/>
    <w:link w:val="SubttuloCar"/>
    <w:uiPriority w:val="11"/>
    <w:qFormat/>
    <w:rsid w:val="00692DC8"/>
    <w:pPr>
      <w:numPr>
        <w:ilvl w:val="1"/>
      </w:numPr>
      <w:spacing w:line="259" w:lineRule="auto"/>
      <w:outlineLvl w:val="0"/>
    </w:pPr>
    <w:rPr>
      <w:rFonts w:ascii="Cambria" w:eastAsia="Times New Roman" w:hAnsi="Cambria" w:cs="Times New Roman"/>
      <w:smallCaps/>
      <w:color w:val="595959"/>
      <w:sz w:val="28"/>
      <w:szCs w:val="28"/>
      <w:lang w:eastAsia="es-CR"/>
    </w:rPr>
  </w:style>
  <w:style w:type="character" w:customStyle="1" w:styleId="SubttuloCar">
    <w:name w:val="Subtítulo Car"/>
    <w:basedOn w:val="Fuentedeprrafopredeter"/>
    <w:link w:val="Subttulo"/>
    <w:uiPriority w:val="11"/>
    <w:rsid w:val="00692DC8"/>
    <w:rPr>
      <w:rFonts w:ascii="Cambria" w:eastAsia="Times New Roman" w:hAnsi="Cambria" w:cs="Times New Roman"/>
      <w:smallCaps/>
      <w:color w:val="595959"/>
      <w:sz w:val="28"/>
      <w:szCs w:val="28"/>
      <w:lang w:eastAsia="es-CR"/>
    </w:rPr>
  </w:style>
  <w:style w:type="paragraph" w:styleId="Textoindependiente3">
    <w:name w:val="Body Text 3"/>
    <w:basedOn w:val="Normal"/>
    <w:link w:val="Textoindependiente3Car"/>
    <w:uiPriority w:val="99"/>
    <w:rsid w:val="00692DC8"/>
    <w:pPr>
      <w:spacing w:after="0"/>
      <w:outlineLvl w:val="0"/>
    </w:pPr>
    <w:rPr>
      <w:rFonts w:ascii="Garamond" w:eastAsia="Times New Roman" w:hAnsi="Garamond" w:cs="Times New Roman"/>
      <w:b/>
      <w:i/>
      <w:sz w:val="20"/>
      <w:szCs w:val="20"/>
      <w:lang w:eastAsia="es-ES"/>
    </w:rPr>
  </w:style>
  <w:style w:type="character" w:customStyle="1" w:styleId="Textoindependiente3Car">
    <w:name w:val="Texto independiente 3 Car"/>
    <w:basedOn w:val="Fuentedeprrafopredeter"/>
    <w:link w:val="Textoindependiente3"/>
    <w:uiPriority w:val="99"/>
    <w:rsid w:val="00692DC8"/>
    <w:rPr>
      <w:rFonts w:ascii="Garamond" w:eastAsia="Times New Roman" w:hAnsi="Garamond" w:cs="Times New Roman"/>
      <w:b/>
      <w:i/>
      <w:sz w:val="20"/>
      <w:szCs w:val="20"/>
      <w:lang w:eastAsia="es-ES"/>
    </w:rPr>
  </w:style>
  <w:style w:type="paragraph" w:customStyle="1" w:styleId="TtulodeTDC">
    <w:name w:val="Título de TDC"/>
    <w:basedOn w:val="Ttulo1"/>
    <w:next w:val="Normal"/>
    <w:uiPriority w:val="39"/>
    <w:unhideWhenUsed/>
    <w:qFormat/>
    <w:rsid w:val="00692DC8"/>
    <w:pPr>
      <w:spacing w:before="400" w:after="40" w:line="240" w:lineRule="auto"/>
      <w:jc w:val="left"/>
      <w:outlineLvl w:val="9"/>
    </w:pPr>
    <w:rPr>
      <w:rFonts w:ascii="Cambria" w:eastAsia="Times New Roman" w:hAnsi="Cambria" w:cs="Times New Roman"/>
      <w:b w:val="0"/>
      <w:caps/>
      <w:color w:val="auto"/>
      <w:sz w:val="36"/>
      <w:szCs w:val="36"/>
      <w:u w:val="none"/>
      <w:lang w:eastAsia="es-CR"/>
    </w:rPr>
  </w:style>
  <w:style w:type="paragraph" w:styleId="TDC1">
    <w:name w:val="toc 1"/>
    <w:basedOn w:val="Normal"/>
    <w:next w:val="Normal"/>
    <w:autoRedefine/>
    <w:uiPriority w:val="39"/>
    <w:unhideWhenUsed/>
    <w:qFormat/>
    <w:rsid w:val="00692DC8"/>
    <w:pPr>
      <w:spacing w:before="360" w:after="0"/>
      <w:jc w:val="left"/>
    </w:pPr>
    <w:rPr>
      <w:rFonts w:asciiTheme="majorHAnsi" w:hAnsiTheme="majorHAnsi"/>
      <w:b/>
      <w:bCs/>
      <w:caps/>
      <w:szCs w:val="24"/>
    </w:rPr>
  </w:style>
  <w:style w:type="paragraph" w:styleId="TDC2">
    <w:name w:val="toc 2"/>
    <w:basedOn w:val="Normal"/>
    <w:next w:val="Normal"/>
    <w:autoRedefine/>
    <w:uiPriority w:val="39"/>
    <w:unhideWhenUsed/>
    <w:qFormat/>
    <w:rsid w:val="00692DC8"/>
    <w:pPr>
      <w:spacing w:before="240" w:after="0"/>
      <w:jc w:val="left"/>
    </w:pPr>
    <w:rPr>
      <w:rFonts w:asciiTheme="minorHAnsi" w:hAnsiTheme="minorHAnsi" w:cstheme="minorHAnsi"/>
      <w:b/>
      <w:bCs/>
      <w:sz w:val="20"/>
      <w:szCs w:val="20"/>
    </w:rPr>
  </w:style>
  <w:style w:type="paragraph" w:styleId="TDC3">
    <w:name w:val="toc 3"/>
    <w:basedOn w:val="Normal"/>
    <w:next w:val="Normal"/>
    <w:autoRedefine/>
    <w:uiPriority w:val="39"/>
    <w:unhideWhenUsed/>
    <w:qFormat/>
    <w:rsid w:val="00692DC8"/>
    <w:pPr>
      <w:spacing w:after="0"/>
      <w:ind w:left="240"/>
      <w:jc w:val="left"/>
    </w:pPr>
    <w:rPr>
      <w:rFonts w:asciiTheme="minorHAnsi" w:hAnsiTheme="minorHAnsi" w:cstheme="minorHAnsi"/>
      <w:sz w:val="20"/>
      <w:szCs w:val="20"/>
    </w:rPr>
  </w:style>
  <w:style w:type="paragraph" w:styleId="TDC4">
    <w:name w:val="toc 4"/>
    <w:basedOn w:val="Normal"/>
    <w:next w:val="Normal"/>
    <w:autoRedefine/>
    <w:uiPriority w:val="39"/>
    <w:unhideWhenUsed/>
    <w:rsid w:val="00692DC8"/>
    <w:pPr>
      <w:spacing w:after="0"/>
      <w:ind w:left="480"/>
      <w:jc w:val="left"/>
    </w:pPr>
    <w:rPr>
      <w:rFonts w:asciiTheme="minorHAnsi" w:hAnsiTheme="minorHAnsi" w:cstheme="minorHAnsi"/>
      <w:sz w:val="20"/>
      <w:szCs w:val="20"/>
    </w:rPr>
  </w:style>
  <w:style w:type="paragraph" w:styleId="TDC5">
    <w:name w:val="toc 5"/>
    <w:basedOn w:val="Normal"/>
    <w:next w:val="Normal"/>
    <w:autoRedefine/>
    <w:uiPriority w:val="39"/>
    <w:unhideWhenUsed/>
    <w:rsid w:val="00692DC8"/>
    <w:pPr>
      <w:spacing w:after="0"/>
      <w:ind w:left="720"/>
      <w:jc w:val="left"/>
    </w:pPr>
    <w:rPr>
      <w:rFonts w:asciiTheme="minorHAnsi" w:hAnsiTheme="minorHAnsi" w:cstheme="minorHAnsi"/>
      <w:sz w:val="20"/>
      <w:szCs w:val="20"/>
    </w:rPr>
  </w:style>
  <w:style w:type="paragraph" w:styleId="TDC6">
    <w:name w:val="toc 6"/>
    <w:basedOn w:val="Normal"/>
    <w:next w:val="Normal"/>
    <w:autoRedefine/>
    <w:uiPriority w:val="39"/>
    <w:unhideWhenUsed/>
    <w:rsid w:val="00692DC8"/>
    <w:pPr>
      <w:spacing w:after="0"/>
      <w:ind w:left="960"/>
      <w:jc w:val="left"/>
    </w:pPr>
    <w:rPr>
      <w:rFonts w:asciiTheme="minorHAnsi" w:hAnsiTheme="minorHAnsi" w:cstheme="minorHAnsi"/>
      <w:sz w:val="20"/>
      <w:szCs w:val="20"/>
    </w:rPr>
  </w:style>
  <w:style w:type="paragraph" w:styleId="TDC7">
    <w:name w:val="toc 7"/>
    <w:basedOn w:val="Normal"/>
    <w:next w:val="Normal"/>
    <w:autoRedefine/>
    <w:uiPriority w:val="39"/>
    <w:unhideWhenUsed/>
    <w:rsid w:val="00692DC8"/>
    <w:pPr>
      <w:spacing w:after="0"/>
      <w:ind w:left="1200"/>
      <w:jc w:val="left"/>
    </w:pPr>
    <w:rPr>
      <w:rFonts w:asciiTheme="minorHAnsi" w:hAnsiTheme="minorHAnsi" w:cstheme="minorHAnsi"/>
      <w:sz w:val="20"/>
      <w:szCs w:val="20"/>
    </w:rPr>
  </w:style>
  <w:style w:type="paragraph" w:styleId="TDC8">
    <w:name w:val="toc 8"/>
    <w:basedOn w:val="Normal"/>
    <w:next w:val="Normal"/>
    <w:autoRedefine/>
    <w:uiPriority w:val="39"/>
    <w:unhideWhenUsed/>
    <w:rsid w:val="00692DC8"/>
    <w:pPr>
      <w:spacing w:after="0"/>
      <w:ind w:left="1440"/>
      <w:jc w:val="left"/>
    </w:pPr>
    <w:rPr>
      <w:rFonts w:asciiTheme="minorHAnsi" w:hAnsiTheme="minorHAnsi" w:cstheme="minorHAnsi"/>
      <w:sz w:val="20"/>
      <w:szCs w:val="20"/>
    </w:rPr>
  </w:style>
  <w:style w:type="paragraph" w:styleId="TDC9">
    <w:name w:val="toc 9"/>
    <w:basedOn w:val="Normal"/>
    <w:next w:val="Normal"/>
    <w:autoRedefine/>
    <w:uiPriority w:val="39"/>
    <w:unhideWhenUsed/>
    <w:rsid w:val="00692DC8"/>
    <w:pPr>
      <w:spacing w:after="0"/>
      <w:ind w:left="1680"/>
      <w:jc w:val="left"/>
    </w:pPr>
    <w:rPr>
      <w:rFonts w:asciiTheme="minorHAnsi" w:hAnsiTheme="minorHAnsi" w:cstheme="minorHAnsi"/>
      <w:sz w:val="20"/>
      <w:szCs w:val="20"/>
    </w:rPr>
  </w:style>
  <w:style w:type="paragraph" w:customStyle="1" w:styleId="EmptyLayoutCell">
    <w:name w:val="EmptyLayoutCell"/>
    <w:basedOn w:val="Normal"/>
    <w:rsid w:val="00692DC8"/>
    <w:pPr>
      <w:spacing w:after="0" w:line="240" w:lineRule="auto"/>
      <w:outlineLvl w:val="0"/>
    </w:pPr>
    <w:rPr>
      <w:rFonts w:ascii="Times New Roman" w:eastAsia="Times New Roman" w:hAnsi="Times New Roman" w:cs="Times New Roman"/>
      <w:sz w:val="2"/>
      <w:szCs w:val="20"/>
      <w:lang w:val="en-US" w:eastAsia="es-CR"/>
    </w:rPr>
  </w:style>
  <w:style w:type="paragraph" w:customStyle="1" w:styleId="Epgrafe1">
    <w:name w:val="Epígrafe1"/>
    <w:basedOn w:val="Normal"/>
    <w:next w:val="Normal"/>
    <w:uiPriority w:val="35"/>
    <w:unhideWhenUsed/>
    <w:rsid w:val="00692DC8"/>
    <w:pPr>
      <w:spacing w:after="0" w:line="240" w:lineRule="auto"/>
      <w:outlineLvl w:val="0"/>
    </w:pPr>
    <w:rPr>
      <w:rFonts w:ascii="Times New Roman" w:eastAsia="Times New Roman" w:hAnsi="Times New Roman" w:cs="Times New Roman"/>
      <w:b/>
      <w:bCs/>
      <w:sz w:val="20"/>
      <w:szCs w:val="20"/>
      <w:lang w:eastAsia="es-ES"/>
    </w:rPr>
  </w:style>
  <w:style w:type="paragraph" w:customStyle="1" w:styleId="Noparagraphstyle">
    <w:name w:val="[No paragraph style]"/>
    <w:rsid w:val="00692DC8"/>
    <w:pPr>
      <w:widowControl w:val="0"/>
      <w:adjustRightInd w:val="0"/>
      <w:spacing w:line="288" w:lineRule="auto"/>
    </w:pPr>
    <w:rPr>
      <w:rFonts w:ascii="Times New Roman" w:eastAsia="Times New Roman" w:hAnsi="Times New Roman" w:cs="Times New Roman"/>
      <w:color w:val="000000"/>
      <w:sz w:val="24"/>
      <w:szCs w:val="24"/>
      <w:lang w:val="es-ES" w:eastAsia="es-ES"/>
    </w:rPr>
  </w:style>
  <w:style w:type="paragraph" w:styleId="Textonotaalfinal">
    <w:name w:val="endnote text"/>
    <w:basedOn w:val="Normal"/>
    <w:link w:val="TextonotaalfinalCar"/>
    <w:uiPriority w:val="99"/>
    <w:semiHidden/>
    <w:unhideWhenUsed/>
    <w:rsid w:val="00692DC8"/>
    <w:pPr>
      <w:spacing w:after="0" w:line="240" w:lineRule="auto"/>
      <w:outlineLvl w:val="0"/>
    </w:pPr>
    <w:rPr>
      <w:rFonts w:eastAsia="Times New Roman" w:cs="Times New Roman"/>
      <w:sz w:val="20"/>
      <w:szCs w:val="20"/>
      <w:lang w:eastAsia="es-CR"/>
    </w:rPr>
  </w:style>
  <w:style w:type="character" w:customStyle="1" w:styleId="TextonotaalfinalCar">
    <w:name w:val="Texto nota al final Car"/>
    <w:basedOn w:val="Fuentedeprrafopredeter"/>
    <w:link w:val="Textonotaalfinal"/>
    <w:uiPriority w:val="99"/>
    <w:semiHidden/>
    <w:rsid w:val="00692DC8"/>
    <w:rPr>
      <w:rFonts w:ascii="Arial Narrow" w:eastAsia="Times New Roman" w:hAnsi="Arial Narrow" w:cs="Times New Roman"/>
      <w:sz w:val="20"/>
      <w:szCs w:val="20"/>
      <w:lang w:eastAsia="es-CR"/>
    </w:rPr>
  </w:style>
  <w:style w:type="character" w:styleId="Refdenotaalfinal">
    <w:name w:val="endnote reference"/>
    <w:uiPriority w:val="99"/>
    <w:semiHidden/>
    <w:unhideWhenUsed/>
    <w:rsid w:val="00692DC8"/>
    <w:rPr>
      <w:vertAlign w:val="superscript"/>
    </w:rPr>
  </w:style>
  <w:style w:type="paragraph" w:customStyle="1" w:styleId="Epgrafe">
    <w:name w:val="Epígrafe"/>
    <w:basedOn w:val="Normal"/>
    <w:next w:val="Normal"/>
    <w:uiPriority w:val="35"/>
    <w:unhideWhenUsed/>
    <w:qFormat/>
    <w:rsid w:val="00692DC8"/>
    <w:pPr>
      <w:spacing w:line="240" w:lineRule="auto"/>
      <w:outlineLvl w:val="0"/>
    </w:pPr>
    <w:rPr>
      <w:rFonts w:eastAsia="Times New Roman" w:cs="Times New Roman"/>
      <w:b/>
      <w:bCs/>
      <w:smallCaps/>
      <w:color w:val="595959"/>
      <w:lang w:eastAsia="es-CR"/>
    </w:rPr>
  </w:style>
  <w:style w:type="character" w:styleId="Textoennegrita">
    <w:name w:val="Strong"/>
    <w:uiPriority w:val="22"/>
    <w:qFormat/>
    <w:rsid w:val="00692DC8"/>
    <w:rPr>
      <w:b/>
      <w:bCs/>
    </w:rPr>
  </w:style>
  <w:style w:type="paragraph" w:styleId="Sinespaciado">
    <w:name w:val="No Spacing"/>
    <w:link w:val="SinespaciadoCar"/>
    <w:uiPriority w:val="1"/>
    <w:qFormat/>
    <w:rsid w:val="00692DC8"/>
    <w:pPr>
      <w:spacing w:after="0" w:line="240" w:lineRule="auto"/>
    </w:pPr>
    <w:rPr>
      <w:rFonts w:ascii="Calibri" w:eastAsia="Times New Roman" w:hAnsi="Calibri" w:cs="Times New Roman"/>
      <w:lang w:eastAsia="es-CR"/>
    </w:rPr>
  </w:style>
  <w:style w:type="paragraph" w:styleId="Cita">
    <w:name w:val="Quote"/>
    <w:basedOn w:val="Normal"/>
    <w:next w:val="Normal"/>
    <w:link w:val="CitaCar"/>
    <w:uiPriority w:val="29"/>
    <w:qFormat/>
    <w:rsid w:val="00692DC8"/>
    <w:pPr>
      <w:spacing w:before="160" w:line="240" w:lineRule="auto"/>
      <w:ind w:left="720" w:right="720"/>
      <w:outlineLvl w:val="0"/>
    </w:pPr>
    <w:rPr>
      <w:rFonts w:ascii="Cambria" w:eastAsia="Times New Roman" w:hAnsi="Cambria" w:cs="Times New Roman"/>
      <w:sz w:val="25"/>
      <w:szCs w:val="25"/>
      <w:lang w:eastAsia="es-CR"/>
    </w:rPr>
  </w:style>
  <w:style w:type="character" w:customStyle="1" w:styleId="CitaCar">
    <w:name w:val="Cita Car"/>
    <w:basedOn w:val="Fuentedeprrafopredeter"/>
    <w:link w:val="Cita"/>
    <w:uiPriority w:val="29"/>
    <w:rsid w:val="00692DC8"/>
    <w:rPr>
      <w:rFonts w:ascii="Cambria" w:eastAsia="Times New Roman" w:hAnsi="Cambria" w:cs="Times New Roman"/>
      <w:sz w:val="25"/>
      <w:szCs w:val="25"/>
      <w:lang w:eastAsia="es-CR"/>
    </w:rPr>
  </w:style>
  <w:style w:type="paragraph" w:styleId="Citadestacada">
    <w:name w:val="Intense Quote"/>
    <w:basedOn w:val="Normal"/>
    <w:next w:val="Normal"/>
    <w:link w:val="CitadestacadaCar"/>
    <w:uiPriority w:val="30"/>
    <w:qFormat/>
    <w:rsid w:val="00692DC8"/>
    <w:pPr>
      <w:spacing w:before="280" w:after="280" w:line="240" w:lineRule="auto"/>
      <w:ind w:left="1080" w:right="1080"/>
      <w:jc w:val="center"/>
      <w:outlineLvl w:val="0"/>
    </w:pPr>
    <w:rPr>
      <w:rFonts w:eastAsia="Times New Roman" w:cs="Times New Roman"/>
      <w:color w:val="404040"/>
      <w:sz w:val="32"/>
      <w:szCs w:val="32"/>
      <w:lang w:eastAsia="es-CR"/>
    </w:rPr>
  </w:style>
  <w:style w:type="character" w:customStyle="1" w:styleId="CitadestacadaCar">
    <w:name w:val="Cita destacada Car"/>
    <w:basedOn w:val="Fuentedeprrafopredeter"/>
    <w:link w:val="Citadestacada"/>
    <w:uiPriority w:val="30"/>
    <w:rsid w:val="00692DC8"/>
    <w:rPr>
      <w:rFonts w:ascii="Arial Narrow" w:eastAsia="Times New Roman" w:hAnsi="Arial Narrow" w:cs="Times New Roman"/>
      <w:color w:val="404040"/>
      <w:sz w:val="32"/>
      <w:szCs w:val="32"/>
      <w:lang w:eastAsia="es-CR"/>
    </w:rPr>
  </w:style>
  <w:style w:type="character" w:styleId="Referenciasutil">
    <w:name w:val="Subtle Reference"/>
    <w:uiPriority w:val="31"/>
    <w:qFormat/>
    <w:rsid w:val="00692DC8"/>
    <w:rPr>
      <w:smallCaps/>
      <w:color w:val="404040"/>
      <w:u w:val="single" w:color="7F7F7F"/>
    </w:rPr>
  </w:style>
  <w:style w:type="character" w:styleId="Referenciaintensa">
    <w:name w:val="Intense Reference"/>
    <w:uiPriority w:val="32"/>
    <w:qFormat/>
    <w:rsid w:val="00692DC8"/>
    <w:rPr>
      <w:b/>
      <w:bCs/>
      <w:caps w:val="0"/>
      <w:smallCaps/>
      <w:color w:val="auto"/>
      <w:spacing w:val="3"/>
      <w:u w:val="single"/>
    </w:rPr>
  </w:style>
  <w:style w:type="character" w:styleId="Ttulodellibro">
    <w:name w:val="Book Title"/>
    <w:uiPriority w:val="33"/>
    <w:qFormat/>
    <w:rsid w:val="00692DC8"/>
    <w:rPr>
      <w:b/>
      <w:bCs/>
      <w:smallCaps/>
      <w:spacing w:val="7"/>
    </w:rPr>
  </w:style>
  <w:style w:type="paragraph" w:styleId="Revisin">
    <w:name w:val="Revision"/>
    <w:hidden/>
    <w:uiPriority w:val="99"/>
    <w:semiHidden/>
    <w:rsid w:val="00692DC8"/>
    <w:pPr>
      <w:spacing w:after="0" w:line="240" w:lineRule="auto"/>
    </w:pPr>
    <w:rPr>
      <w:rFonts w:ascii="Calibri" w:eastAsia="Times New Roman" w:hAnsi="Calibri" w:cs="Times New Roman"/>
      <w:lang w:eastAsia="es-CR"/>
    </w:rPr>
  </w:style>
  <w:style w:type="character" w:customStyle="1" w:styleId="PuestoCar">
    <w:name w:val="Puesto Car"/>
    <w:uiPriority w:val="10"/>
    <w:rsid w:val="00692DC8"/>
    <w:rPr>
      <w:rFonts w:ascii="Calibri Light" w:eastAsia="Times New Roman" w:hAnsi="Calibri Light" w:cs="Times New Roman"/>
      <w:b/>
      <w:bCs/>
      <w:kern w:val="28"/>
      <w:sz w:val="32"/>
      <w:szCs w:val="32"/>
      <w:lang w:val="es-CR" w:eastAsia="en-US"/>
    </w:rPr>
  </w:style>
  <w:style w:type="character" w:customStyle="1" w:styleId="PrrafodelistaCar">
    <w:name w:val="Párrafo de lista Car"/>
    <w:aliases w:val="Bullet 1 Car,Use Case List Paragraph Car,lp1 Car,titulo 5 Car"/>
    <w:link w:val="Prrafodelista"/>
    <w:uiPriority w:val="34"/>
    <w:locked/>
    <w:rsid w:val="00692DC8"/>
    <w:rPr>
      <w:rFonts w:ascii="Arial Narrow" w:hAnsi="Arial Narrow"/>
      <w:sz w:val="24"/>
    </w:rPr>
  </w:style>
  <w:style w:type="character" w:styleId="Nmerodelnea">
    <w:name w:val="line number"/>
    <w:uiPriority w:val="99"/>
    <w:semiHidden/>
    <w:unhideWhenUsed/>
    <w:rsid w:val="00692DC8"/>
  </w:style>
  <w:style w:type="paragraph" w:customStyle="1" w:styleId="Textonormal">
    <w:name w:val="Texto normal"/>
    <w:basedOn w:val="Normal"/>
    <w:rsid w:val="00692DC8"/>
    <w:pPr>
      <w:spacing w:after="220" w:line="288" w:lineRule="atLeast"/>
      <w:outlineLvl w:val="0"/>
    </w:pPr>
    <w:rPr>
      <w:rFonts w:ascii="Times New Roman" w:eastAsia="Times New Roman" w:hAnsi="Times New Roman" w:cs="Times New Roman"/>
      <w:sz w:val="20"/>
      <w:szCs w:val="20"/>
      <w:lang w:val="en-US"/>
    </w:rPr>
  </w:style>
  <w:style w:type="paragraph" w:customStyle="1" w:styleId="xl104">
    <w:name w:val="xl104"/>
    <w:basedOn w:val="Normal"/>
    <w:rsid w:val="00692DC8"/>
    <w:pPr>
      <w:spacing w:before="100" w:beforeAutospacing="1" w:after="100" w:afterAutospacing="1" w:line="240" w:lineRule="auto"/>
      <w:outlineLvl w:val="0"/>
    </w:pPr>
    <w:rPr>
      <w:rFonts w:ascii="Arial" w:eastAsia="Times New Roman" w:hAnsi="Arial" w:cs="Arial"/>
      <w:b/>
      <w:bCs/>
      <w:szCs w:val="24"/>
      <w:lang w:eastAsia="es-CR"/>
    </w:rPr>
  </w:style>
  <w:style w:type="paragraph" w:customStyle="1" w:styleId="xl105">
    <w:name w:val="xl105"/>
    <w:basedOn w:val="Normal"/>
    <w:rsid w:val="00692DC8"/>
    <w:pPr>
      <w:spacing w:before="100" w:beforeAutospacing="1" w:after="100" w:afterAutospacing="1" w:line="240" w:lineRule="auto"/>
      <w:outlineLvl w:val="0"/>
    </w:pPr>
    <w:rPr>
      <w:rFonts w:ascii="Arial" w:eastAsia="Times New Roman" w:hAnsi="Arial" w:cs="Arial"/>
      <w:b/>
      <w:bCs/>
      <w:szCs w:val="24"/>
      <w:lang w:eastAsia="es-CR"/>
    </w:rPr>
  </w:style>
  <w:style w:type="paragraph" w:customStyle="1" w:styleId="xl106">
    <w:name w:val="xl106"/>
    <w:basedOn w:val="Normal"/>
    <w:rsid w:val="00692DC8"/>
    <w:pPr>
      <w:spacing w:before="100" w:beforeAutospacing="1" w:after="100" w:afterAutospacing="1" w:line="240" w:lineRule="auto"/>
      <w:jc w:val="center"/>
      <w:outlineLvl w:val="0"/>
    </w:pPr>
    <w:rPr>
      <w:rFonts w:ascii="Times New Roman" w:eastAsia="Times New Roman" w:hAnsi="Times New Roman" w:cs="Times New Roman"/>
      <w:szCs w:val="24"/>
      <w:lang w:eastAsia="es-CR"/>
    </w:rPr>
  </w:style>
  <w:style w:type="paragraph" w:customStyle="1" w:styleId="xl107">
    <w:name w:val="xl107"/>
    <w:basedOn w:val="Normal"/>
    <w:rsid w:val="00692DC8"/>
    <w:pPr>
      <w:spacing w:before="100" w:beforeAutospacing="1" w:after="100" w:afterAutospacing="1" w:line="240" w:lineRule="auto"/>
      <w:jc w:val="center"/>
      <w:outlineLvl w:val="0"/>
    </w:pPr>
    <w:rPr>
      <w:rFonts w:ascii="Arial" w:eastAsia="Times New Roman" w:hAnsi="Arial" w:cs="Arial"/>
      <w:szCs w:val="24"/>
      <w:lang w:eastAsia="es-CR"/>
    </w:rPr>
  </w:style>
  <w:style w:type="paragraph" w:customStyle="1" w:styleId="xl108">
    <w:name w:val="xl108"/>
    <w:basedOn w:val="Normal"/>
    <w:rsid w:val="00692DC8"/>
    <w:pPr>
      <w:spacing w:before="100" w:beforeAutospacing="1" w:after="100" w:afterAutospacing="1" w:line="240" w:lineRule="auto"/>
      <w:outlineLvl w:val="0"/>
    </w:pPr>
    <w:rPr>
      <w:rFonts w:ascii="Arial" w:eastAsia="Times New Roman" w:hAnsi="Arial" w:cs="Arial"/>
      <w:i/>
      <w:iCs/>
      <w:sz w:val="16"/>
      <w:szCs w:val="16"/>
      <w:lang w:eastAsia="es-CR"/>
    </w:rPr>
  </w:style>
  <w:style w:type="paragraph" w:customStyle="1" w:styleId="xl109">
    <w:name w:val="xl109"/>
    <w:basedOn w:val="Normal"/>
    <w:rsid w:val="00692DC8"/>
    <w:pPr>
      <w:pBdr>
        <w:top w:val="single" w:sz="4" w:space="0" w:color="auto"/>
        <w:left w:val="single" w:sz="4" w:space="0" w:color="auto"/>
        <w:bottom w:val="single" w:sz="4" w:space="0" w:color="auto"/>
        <w:right w:val="single" w:sz="4" w:space="0" w:color="auto"/>
      </w:pBdr>
      <w:shd w:val="clear" w:color="000000" w:fill="366092"/>
      <w:spacing w:before="100" w:beforeAutospacing="1" w:after="100" w:afterAutospacing="1" w:line="240" w:lineRule="auto"/>
      <w:jc w:val="center"/>
      <w:outlineLvl w:val="0"/>
    </w:pPr>
    <w:rPr>
      <w:rFonts w:ascii="Arial" w:eastAsia="Times New Roman" w:hAnsi="Arial" w:cs="Arial"/>
      <w:b/>
      <w:bCs/>
      <w:color w:val="FFFFFF"/>
      <w:szCs w:val="24"/>
      <w:lang w:eastAsia="es-CR"/>
    </w:rPr>
  </w:style>
  <w:style w:type="paragraph" w:customStyle="1" w:styleId="xl110">
    <w:name w:val="xl110"/>
    <w:basedOn w:val="Normal"/>
    <w:rsid w:val="00692DC8"/>
    <w:pPr>
      <w:spacing w:before="100" w:beforeAutospacing="1" w:after="100" w:afterAutospacing="1" w:line="240" w:lineRule="auto"/>
      <w:jc w:val="center"/>
      <w:outlineLvl w:val="0"/>
    </w:pPr>
    <w:rPr>
      <w:rFonts w:ascii="Arial" w:eastAsia="Times New Roman" w:hAnsi="Arial" w:cs="Arial"/>
      <w:szCs w:val="24"/>
      <w:lang w:eastAsia="es-CR"/>
    </w:rPr>
  </w:style>
  <w:style w:type="paragraph" w:customStyle="1" w:styleId="xl112">
    <w:name w:val="xl112"/>
    <w:basedOn w:val="Normal"/>
    <w:rsid w:val="00692DC8"/>
    <w:pPr>
      <w:shd w:val="clear" w:color="000000" w:fill="366092"/>
      <w:spacing w:before="100" w:beforeAutospacing="1" w:after="100" w:afterAutospacing="1" w:line="240" w:lineRule="auto"/>
      <w:textAlignment w:val="top"/>
      <w:outlineLvl w:val="0"/>
    </w:pPr>
    <w:rPr>
      <w:rFonts w:ascii="Arial" w:eastAsia="Times New Roman" w:hAnsi="Arial" w:cs="Arial"/>
      <w:b/>
      <w:bCs/>
      <w:color w:val="FFFFFF"/>
      <w:szCs w:val="24"/>
      <w:u w:val="single"/>
      <w:lang w:eastAsia="es-CR"/>
    </w:rPr>
  </w:style>
  <w:style w:type="paragraph" w:customStyle="1" w:styleId="xl113">
    <w:name w:val="xl113"/>
    <w:basedOn w:val="Normal"/>
    <w:rsid w:val="00692DC8"/>
    <w:pPr>
      <w:shd w:val="clear" w:color="000000" w:fill="366092"/>
      <w:spacing w:before="100" w:beforeAutospacing="1" w:after="100" w:afterAutospacing="1" w:line="240" w:lineRule="auto"/>
      <w:textAlignment w:val="top"/>
      <w:outlineLvl w:val="0"/>
    </w:pPr>
    <w:rPr>
      <w:rFonts w:ascii="Arial" w:eastAsia="Times New Roman" w:hAnsi="Arial" w:cs="Arial"/>
      <w:b/>
      <w:bCs/>
      <w:color w:val="FFFFFF"/>
      <w:szCs w:val="24"/>
      <w:u w:val="single"/>
      <w:lang w:eastAsia="es-CR"/>
    </w:rPr>
  </w:style>
  <w:style w:type="paragraph" w:customStyle="1" w:styleId="xl114">
    <w:name w:val="xl114"/>
    <w:basedOn w:val="Normal"/>
    <w:rsid w:val="00692DC8"/>
    <w:pPr>
      <w:shd w:val="clear" w:color="000000" w:fill="366092"/>
      <w:spacing w:before="100" w:beforeAutospacing="1" w:after="100" w:afterAutospacing="1" w:line="240" w:lineRule="auto"/>
      <w:textAlignment w:val="top"/>
      <w:outlineLvl w:val="0"/>
    </w:pPr>
    <w:rPr>
      <w:rFonts w:ascii="Arial" w:eastAsia="Times New Roman" w:hAnsi="Arial" w:cs="Arial"/>
      <w:b/>
      <w:bCs/>
      <w:color w:val="FFFFFF"/>
      <w:szCs w:val="24"/>
      <w:lang w:eastAsia="es-CR"/>
    </w:rPr>
  </w:style>
  <w:style w:type="paragraph" w:customStyle="1" w:styleId="xl115">
    <w:name w:val="xl115"/>
    <w:basedOn w:val="Normal"/>
    <w:rsid w:val="00692DC8"/>
    <w:pPr>
      <w:shd w:val="clear" w:color="000000" w:fill="366092"/>
      <w:spacing w:before="100" w:beforeAutospacing="1" w:after="100" w:afterAutospacing="1" w:line="240" w:lineRule="auto"/>
      <w:textAlignment w:val="top"/>
      <w:outlineLvl w:val="0"/>
    </w:pPr>
    <w:rPr>
      <w:rFonts w:ascii="Arial" w:eastAsia="Times New Roman" w:hAnsi="Arial" w:cs="Arial"/>
      <w:b/>
      <w:bCs/>
      <w:color w:val="FFFFFF"/>
      <w:szCs w:val="24"/>
      <w:lang w:eastAsia="es-CR"/>
    </w:rPr>
  </w:style>
  <w:style w:type="paragraph" w:customStyle="1" w:styleId="xl116">
    <w:name w:val="xl116"/>
    <w:basedOn w:val="Normal"/>
    <w:rsid w:val="00692DC8"/>
    <w:pPr>
      <w:shd w:val="clear" w:color="000000" w:fill="B8CCE4"/>
      <w:spacing w:before="100" w:beforeAutospacing="1" w:after="100" w:afterAutospacing="1" w:line="240" w:lineRule="auto"/>
      <w:textAlignment w:val="top"/>
      <w:outlineLvl w:val="0"/>
    </w:pPr>
    <w:rPr>
      <w:rFonts w:ascii="Arial" w:eastAsia="Times New Roman" w:hAnsi="Arial" w:cs="Arial"/>
      <w:b/>
      <w:bCs/>
      <w:szCs w:val="24"/>
      <w:lang w:eastAsia="es-CR"/>
    </w:rPr>
  </w:style>
  <w:style w:type="paragraph" w:customStyle="1" w:styleId="xl117">
    <w:name w:val="xl117"/>
    <w:basedOn w:val="Normal"/>
    <w:rsid w:val="00692DC8"/>
    <w:pPr>
      <w:shd w:val="clear" w:color="000000" w:fill="B8CCE4"/>
      <w:spacing w:before="100" w:beforeAutospacing="1" w:after="100" w:afterAutospacing="1" w:line="240" w:lineRule="auto"/>
      <w:textAlignment w:val="top"/>
      <w:outlineLvl w:val="0"/>
    </w:pPr>
    <w:rPr>
      <w:rFonts w:ascii="Arial" w:eastAsia="Times New Roman" w:hAnsi="Arial" w:cs="Arial"/>
      <w:b/>
      <w:bCs/>
      <w:szCs w:val="24"/>
      <w:lang w:eastAsia="es-CR"/>
    </w:rPr>
  </w:style>
  <w:style w:type="paragraph" w:customStyle="1" w:styleId="xl118">
    <w:name w:val="xl118"/>
    <w:basedOn w:val="Normal"/>
    <w:rsid w:val="00692DC8"/>
    <w:pPr>
      <w:spacing w:before="100" w:beforeAutospacing="1" w:after="100" w:afterAutospacing="1" w:line="240" w:lineRule="auto"/>
      <w:jc w:val="center"/>
      <w:outlineLvl w:val="0"/>
    </w:pPr>
    <w:rPr>
      <w:rFonts w:ascii="Arial" w:eastAsia="Times New Roman" w:hAnsi="Arial" w:cs="Arial"/>
      <w:color w:val="000000"/>
      <w:szCs w:val="24"/>
      <w:lang w:eastAsia="es-CR"/>
    </w:rPr>
  </w:style>
  <w:style w:type="paragraph" w:customStyle="1" w:styleId="xl119">
    <w:name w:val="xl119"/>
    <w:basedOn w:val="Normal"/>
    <w:rsid w:val="00692DC8"/>
    <w:pPr>
      <w:spacing w:before="100" w:beforeAutospacing="1" w:after="100" w:afterAutospacing="1" w:line="240" w:lineRule="auto"/>
      <w:textAlignment w:val="top"/>
      <w:outlineLvl w:val="0"/>
    </w:pPr>
    <w:rPr>
      <w:rFonts w:ascii="Arial" w:eastAsia="Times New Roman" w:hAnsi="Arial" w:cs="Arial"/>
      <w:color w:val="000000"/>
      <w:sz w:val="16"/>
      <w:szCs w:val="16"/>
      <w:lang w:eastAsia="es-CR"/>
    </w:rPr>
  </w:style>
  <w:style w:type="paragraph" w:customStyle="1" w:styleId="xl120">
    <w:name w:val="xl120"/>
    <w:basedOn w:val="Normal"/>
    <w:rsid w:val="00692DC8"/>
    <w:pPr>
      <w:spacing w:before="100" w:beforeAutospacing="1" w:after="100" w:afterAutospacing="1" w:line="240" w:lineRule="auto"/>
      <w:textAlignment w:val="top"/>
      <w:outlineLvl w:val="0"/>
    </w:pPr>
    <w:rPr>
      <w:rFonts w:ascii="Arial" w:eastAsia="Times New Roman" w:hAnsi="Arial" w:cs="Arial"/>
      <w:color w:val="000000"/>
      <w:sz w:val="16"/>
      <w:szCs w:val="16"/>
      <w:lang w:eastAsia="es-CR"/>
    </w:rPr>
  </w:style>
  <w:style w:type="paragraph" w:customStyle="1" w:styleId="xl121">
    <w:name w:val="xl121"/>
    <w:basedOn w:val="Normal"/>
    <w:rsid w:val="00692DC8"/>
    <w:pPr>
      <w:spacing w:before="100" w:beforeAutospacing="1" w:after="100" w:afterAutospacing="1" w:line="240" w:lineRule="auto"/>
      <w:jc w:val="center"/>
      <w:outlineLvl w:val="0"/>
    </w:pPr>
    <w:rPr>
      <w:rFonts w:eastAsia="Times New Roman" w:cs="Times New Roman"/>
      <w:color w:val="000000"/>
      <w:szCs w:val="24"/>
      <w:lang w:eastAsia="es-CR"/>
    </w:rPr>
  </w:style>
  <w:style w:type="paragraph" w:customStyle="1" w:styleId="xl122">
    <w:name w:val="xl122"/>
    <w:basedOn w:val="Normal"/>
    <w:rsid w:val="00692DC8"/>
    <w:pPr>
      <w:spacing w:before="100" w:beforeAutospacing="1" w:after="100" w:afterAutospacing="1" w:line="240" w:lineRule="auto"/>
      <w:textAlignment w:val="top"/>
      <w:outlineLvl w:val="0"/>
    </w:pPr>
    <w:rPr>
      <w:rFonts w:ascii="Arial" w:eastAsia="Times New Roman" w:hAnsi="Arial" w:cs="Arial"/>
      <w:sz w:val="16"/>
      <w:szCs w:val="16"/>
      <w:lang w:eastAsia="es-CR"/>
    </w:rPr>
  </w:style>
  <w:style w:type="paragraph" w:customStyle="1" w:styleId="xl123">
    <w:name w:val="xl123"/>
    <w:basedOn w:val="Normal"/>
    <w:rsid w:val="00692DC8"/>
    <w:pPr>
      <w:spacing w:before="100" w:beforeAutospacing="1" w:after="100" w:afterAutospacing="1" w:line="240" w:lineRule="auto"/>
      <w:textAlignment w:val="top"/>
      <w:outlineLvl w:val="0"/>
    </w:pPr>
    <w:rPr>
      <w:rFonts w:ascii="Arial" w:eastAsia="Times New Roman" w:hAnsi="Arial" w:cs="Arial"/>
      <w:color w:val="000000"/>
      <w:lang w:eastAsia="es-CR"/>
    </w:rPr>
  </w:style>
  <w:style w:type="paragraph" w:customStyle="1" w:styleId="xl124">
    <w:name w:val="xl124"/>
    <w:basedOn w:val="Normal"/>
    <w:rsid w:val="00692DC8"/>
    <w:pPr>
      <w:shd w:val="clear" w:color="000000" w:fill="DCE6F1"/>
      <w:spacing w:before="100" w:beforeAutospacing="1" w:after="100" w:afterAutospacing="1" w:line="240" w:lineRule="auto"/>
      <w:textAlignment w:val="top"/>
      <w:outlineLvl w:val="0"/>
    </w:pPr>
    <w:rPr>
      <w:rFonts w:ascii="Arial" w:eastAsia="Times New Roman" w:hAnsi="Arial" w:cs="Arial"/>
      <w:b/>
      <w:bCs/>
      <w:szCs w:val="24"/>
      <w:lang w:eastAsia="es-CR"/>
    </w:rPr>
  </w:style>
  <w:style w:type="paragraph" w:customStyle="1" w:styleId="xl125">
    <w:name w:val="xl125"/>
    <w:basedOn w:val="Normal"/>
    <w:rsid w:val="00692DC8"/>
    <w:pPr>
      <w:shd w:val="clear" w:color="000000" w:fill="DCE6F1"/>
      <w:spacing w:before="100" w:beforeAutospacing="1" w:after="100" w:afterAutospacing="1" w:line="240" w:lineRule="auto"/>
      <w:jc w:val="center"/>
      <w:outlineLvl w:val="0"/>
    </w:pPr>
    <w:rPr>
      <w:rFonts w:eastAsia="Times New Roman" w:cs="Times New Roman"/>
      <w:color w:val="000000"/>
      <w:szCs w:val="24"/>
      <w:lang w:eastAsia="es-CR"/>
    </w:rPr>
  </w:style>
  <w:style w:type="paragraph" w:customStyle="1" w:styleId="xl126">
    <w:name w:val="xl126"/>
    <w:basedOn w:val="Normal"/>
    <w:rsid w:val="00692DC8"/>
    <w:pPr>
      <w:spacing w:before="100" w:beforeAutospacing="1" w:after="100" w:afterAutospacing="1" w:line="240" w:lineRule="auto"/>
      <w:textAlignment w:val="top"/>
      <w:outlineLvl w:val="0"/>
    </w:pPr>
    <w:rPr>
      <w:rFonts w:ascii="Arial" w:eastAsia="Times New Roman" w:hAnsi="Arial" w:cs="Arial"/>
      <w:color w:val="000000"/>
      <w:lang w:eastAsia="es-CR"/>
    </w:rPr>
  </w:style>
  <w:style w:type="paragraph" w:customStyle="1" w:styleId="xl127">
    <w:name w:val="xl127"/>
    <w:basedOn w:val="Normal"/>
    <w:rsid w:val="00692DC8"/>
    <w:pPr>
      <w:spacing w:before="100" w:beforeAutospacing="1" w:after="100" w:afterAutospacing="1" w:line="240" w:lineRule="auto"/>
      <w:textAlignment w:val="top"/>
      <w:outlineLvl w:val="0"/>
    </w:pPr>
    <w:rPr>
      <w:rFonts w:ascii="Arial" w:eastAsia="Times New Roman" w:hAnsi="Arial" w:cs="Arial"/>
      <w:color w:val="000000"/>
      <w:sz w:val="16"/>
      <w:szCs w:val="16"/>
      <w:lang w:eastAsia="es-CR"/>
    </w:rPr>
  </w:style>
  <w:style w:type="paragraph" w:customStyle="1" w:styleId="xl128">
    <w:name w:val="xl128"/>
    <w:basedOn w:val="Normal"/>
    <w:rsid w:val="00692DC8"/>
    <w:pPr>
      <w:spacing w:before="100" w:beforeAutospacing="1" w:after="100" w:afterAutospacing="1" w:line="240" w:lineRule="auto"/>
      <w:outlineLvl w:val="0"/>
    </w:pPr>
    <w:rPr>
      <w:rFonts w:ascii="Arial" w:eastAsia="Times New Roman" w:hAnsi="Arial" w:cs="Arial"/>
      <w:color w:val="000000"/>
      <w:lang w:eastAsia="es-CR"/>
    </w:rPr>
  </w:style>
  <w:style w:type="paragraph" w:customStyle="1" w:styleId="xl129">
    <w:name w:val="xl129"/>
    <w:basedOn w:val="Normal"/>
    <w:rsid w:val="00692DC8"/>
    <w:pPr>
      <w:shd w:val="clear" w:color="000000" w:fill="366092"/>
      <w:spacing w:before="100" w:beforeAutospacing="1" w:after="100" w:afterAutospacing="1" w:line="240" w:lineRule="auto"/>
      <w:textAlignment w:val="top"/>
      <w:outlineLvl w:val="0"/>
    </w:pPr>
    <w:rPr>
      <w:rFonts w:ascii="Arial" w:eastAsia="Times New Roman" w:hAnsi="Arial" w:cs="Arial"/>
      <w:b/>
      <w:bCs/>
      <w:color w:val="FFFFFF"/>
      <w:szCs w:val="24"/>
      <w:lang w:eastAsia="es-CR"/>
    </w:rPr>
  </w:style>
  <w:style w:type="paragraph" w:customStyle="1" w:styleId="xl130">
    <w:name w:val="xl130"/>
    <w:basedOn w:val="Normal"/>
    <w:rsid w:val="00692DC8"/>
    <w:pPr>
      <w:shd w:val="clear" w:color="000000" w:fill="366092"/>
      <w:spacing w:before="100" w:beforeAutospacing="1" w:after="100" w:afterAutospacing="1" w:line="240" w:lineRule="auto"/>
      <w:jc w:val="center"/>
      <w:outlineLvl w:val="0"/>
    </w:pPr>
    <w:rPr>
      <w:rFonts w:eastAsia="Times New Roman" w:cs="Times New Roman"/>
      <w:color w:val="FFFFFF"/>
      <w:lang w:eastAsia="es-CR"/>
    </w:rPr>
  </w:style>
  <w:style w:type="paragraph" w:customStyle="1" w:styleId="xl131">
    <w:name w:val="xl131"/>
    <w:basedOn w:val="Normal"/>
    <w:rsid w:val="00692DC8"/>
    <w:pPr>
      <w:shd w:val="clear" w:color="000000" w:fill="366092"/>
      <w:spacing w:before="100" w:beforeAutospacing="1" w:after="100" w:afterAutospacing="1" w:line="240" w:lineRule="auto"/>
      <w:outlineLvl w:val="0"/>
    </w:pPr>
    <w:rPr>
      <w:rFonts w:ascii="Arial" w:eastAsia="Times New Roman" w:hAnsi="Arial" w:cs="Arial"/>
      <w:color w:val="FFFFFF"/>
      <w:lang w:eastAsia="es-CR"/>
    </w:rPr>
  </w:style>
  <w:style w:type="paragraph" w:customStyle="1" w:styleId="xl132">
    <w:name w:val="xl132"/>
    <w:basedOn w:val="Normal"/>
    <w:rsid w:val="00692DC8"/>
    <w:pPr>
      <w:shd w:val="clear" w:color="000000" w:fill="366092"/>
      <w:spacing w:before="100" w:beforeAutospacing="1" w:after="100" w:afterAutospacing="1" w:line="240" w:lineRule="auto"/>
      <w:outlineLvl w:val="0"/>
    </w:pPr>
    <w:rPr>
      <w:rFonts w:ascii="Arial" w:eastAsia="Times New Roman" w:hAnsi="Arial" w:cs="Arial"/>
      <w:color w:val="FFFFFF"/>
      <w:lang w:eastAsia="es-CR"/>
    </w:rPr>
  </w:style>
  <w:style w:type="paragraph" w:customStyle="1" w:styleId="xl133">
    <w:name w:val="xl133"/>
    <w:basedOn w:val="Normal"/>
    <w:rsid w:val="00692DC8"/>
    <w:pPr>
      <w:pBdr>
        <w:top w:val="single" w:sz="4" w:space="0" w:color="auto"/>
        <w:left w:val="single" w:sz="4" w:space="0" w:color="auto"/>
        <w:bottom w:val="single" w:sz="4" w:space="0" w:color="auto"/>
        <w:right w:val="single" w:sz="4" w:space="0" w:color="auto"/>
      </w:pBdr>
      <w:shd w:val="clear" w:color="000000" w:fill="366092"/>
      <w:spacing w:before="100" w:beforeAutospacing="1" w:after="100" w:afterAutospacing="1" w:line="240" w:lineRule="auto"/>
      <w:jc w:val="center"/>
      <w:outlineLvl w:val="0"/>
    </w:pPr>
    <w:rPr>
      <w:rFonts w:ascii="Arial" w:eastAsia="Times New Roman" w:hAnsi="Arial" w:cs="Arial"/>
      <w:b/>
      <w:bCs/>
      <w:color w:val="FFFFFF"/>
      <w:szCs w:val="24"/>
      <w:lang w:eastAsia="es-CR"/>
    </w:rPr>
  </w:style>
  <w:style w:type="paragraph" w:customStyle="1" w:styleId="xl134">
    <w:name w:val="xl134"/>
    <w:basedOn w:val="Normal"/>
    <w:rsid w:val="00692DC8"/>
    <w:pPr>
      <w:spacing w:before="100" w:beforeAutospacing="1" w:after="100" w:afterAutospacing="1" w:line="240" w:lineRule="auto"/>
      <w:jc w:val="right"/>
      <w:outlineLvl w:val="0"/>
    </w:pPr>
    <w:rPr>
      <w:rFonts w:ascii="Arial" w:eastAsia="Times New Roman" w:hAnsi="Arial" w:cs="Arial"/>
      <w:szCs w:val="24"/>
      <w:lang w:eastAsia="es-CR"/>
    </w:rPr>
  </w:style>
  <w:style w:type="paragraph" w:customStyle="1" w:styleId="xl135">
    <w:name w:val="xl135"/>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outlineLvl w:val="0"/>
    </w:pPr>
    <w:rPr>
      <w:rFonts w:ascii="Arial" w:eastAsia="Times New Roman" w:hAnsi="Arial" w:cs="Arial"/>
      <w:szCs w:val="24"/>
      <w:lang w:eastAsia="es-CR"/>
    </w:rPr>
  </w:style>
  <w:style w:type="paragraph" w:customStyle="1" w:styleId="xl136">
    <w:name w:val="xl136"/>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outlineLvl w:val="0"/>
    </w:pPr>
    <w:rPr>
      <w:rFonts w:ascii="Times New Roman" w:eastAsia="Times New Roman" w:hAnsi="Times New Roman" w:cs="Times New Roman"/>
      <w:szCs w:val="24"/>
      <w:lang w:eastAsia="es-CR"/>
    </w:rPr>
  </w:style>
  <w:style w:type="paragraph" w:customStyle="1" w:styleId="xl137">
    <w:name w:val="xl137"/>
    <w:basedOn w:val="Normal"/>
    <w:rsid w:val="00692DC8"/>
    <w:pPr>
      <w:shd w:val="clear" w:color="000000" w:fill="DCE6F1"/>
      <w:spacing w:before="100" w:beforeAutospacing="1" w:after="100" w:afterAutospacing="1" w:line="240" w:lineRule="auto"/>
      <w:jc w:val="right"/>
      <w:outlineLvl w:val="0"/>
    </w:pPr>
    <w:rPr>
      <w:rFonts w:ascii="Arial" w:eastAsia="Times New Roman" w:hAnsi="Arial" w:cs="Arial"/>
      <w:b/>
      <w:bCs/>
      <w:lang w:eastAsia="es-CR"/>
    </w:rPr>
  </w:style>
  <w:style w:type="paragraph" w:customStyle="1" w:styleId="xl138">
    <w:name w:val="xl138"/>
    <w:basedOn w:val="Normal"/>
    <w:rsid w:val="00692DC8"/>
    <w:pPr>
      <w:shd w:val="clear" w:color="000000" w:fill="366092"/>
      <w:spacing w:before="100" w:beforeAutospacing="1" w:after="100" w:afterAutospacing="1" w:line="240" w:lineRule="auto"/>
      <w:jc w:val="right"/>
      <w:outlineLvl w:val="0"/>
    </w:pPr>
    <w:rPr>
      <w:rFonts w:ascii="Arial" w:eastAsia="Times New Roman" w:hAnsi="Arial" w:cs="Arial"/>
      <w:color w:val="FFFFFF"/>
      <w:lang w:eastAsia="es-CR"/>
    </w:rPr>
  </w:style>
  <w:style w:type="paragraph" w:customStyle="1" w:styleId="xl139">
    <w:name w:val="xl139"/>
    <w:basedOn w:val="Normal"/>
    <w:rsid w:val="00692DC8"/>
    <w:pPr>
      <w:spacing w:before="100" w:beforeAutospacing="1" w:after="100" w:afterAutospacing="1" w:line="240" w:lineRule="auto"/>
      <w:jc w:val="right"/>
      <w:outlineLvl w:val="0"/>
    </w:pPr>
    <w:rPr>
      <w:rFonts w:ascii="Times New Roman" w:eastAsia="Times New Roman" w:hAnsi="Times New Roman" w:cs="Times New Roman"/>
      <w:szCs w:val="24"/>
      <w:lang w:eastAsia="es-CR"/>
    </w:rPr>
  </w:style>
  <w:style w:type="paragraph" w:customStyle="1" w:styleId="xl140">
    <w:name w:val="xl140"/>
    <w:basedOn w:val="Normal"/>
    <w:rsid w:val="00692DC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outlineLvl w:val="0"/>
    </w:pPr>
    <w:rPr>
      <w:rFonts w:ascii="Arial" w:eastAsia="Times New Roman" w:hAnsi="Arial" w:cs="Arial"/>
      <w:szCs w:val="24"/>
      <w:lang w:eastAsia="es-CR"/>
    </w:rPr>
  </w:style>
  <w:style w:type="paragraph" w:customStyle="1" w:styleId="xl141">
    <w:name w:val="xl141"/>
    <w:basedOn w:val="Normal"/>
    <w:rsid w:val="00692DC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outlineLvl w:val="0"/>
    </w:pPr>
    <w:rPr>
      <w:rFonts w:ascii="Arial" w:eastAsia="Times New Roman" w:hAnsi="Arial" w:cs="Arial"/>
      <w:b/>
      <w:bCs/>
      <w:szCs w:val="24"/>
      <w:lang w:eastAsia="es-CR"/>
    </w:rPr>
  </w:style>
  <w:style w:type="paragraph" w:customStyle="1" w:styleId="xl142">
    <w:name w:val="xl142"/>
    <w:basedOn w:val="Normal"/>
    <w:rsid w:val="00692DC8"/>
    <w:pPr>
      <w:shd w:val="clear" w:color="000000" w:fill="366092"/>
      <w:spacing w:before="100" w:beforeAutospacing="1" w:after="100" w:afterAutospacing="1" w:line="240" w:lineRule="auto"/>
      <w:jc w:val="right"/>
      <w:outlineLvl w:val="0"/>
    </w:pPr>
    <w:rPr>
      <w:rFonts w:ascii="Arial" w:eastAsia="Times New Roman" w:hAnsi="Arial" w:cs="Arial"/>
      <w:b/>
      <w:bCs/>
      <w:color w:val="FFFFFF"/>
      <w:lang w:eastAsia="es-CR"/>
    </w:rPr>
  </w:style>
  <w:style w:type="paragraph" w:customStyle="1" w:styleId="xl143">
    <w:name w:val="xl143"/>
    <w:basedOn w:val="Normal"/>
    <w:rsid w:val="00692DC8"/>
    <w:pPr>
      <w:spacing w:before="100" w:beforeAutospacing="1" w:after="100" w:afterAutospacing="1" w:line="240" w:lineRule="auto"/>
      <w:jc w:val="center"/>
      <w:textAlignment w:val="center"/>
      <w:outlineLvl w:val="0"/>
    </w:pPr>
    <w:rPr>
      <w:rFonts w:ascii="Arial" w:eastAsia="Times New Roman" w:hAnsi="Arial" w:cs="Arial"/>
      <w:b/>
      <w:bCs/>
      <w:szCs w:val="24"/>
      <w:lang w:eastAsia="es-CR"/>
    </w:rPr>
  </w:style>
  <w:style w:type="paragraph" w:customStyle="1" w:styleId="xl144">
    <w:name w:val="xl144"/>
    <w:basedOn w:val="Normal"/>
    <w:rsid w:val="00692DC8"/>
    <w:pPr>
      <w:spacing w:before="100" w:beforeAutospacing="1" w:after="100" w:afterAutospacing="1" w:line="240" w:lineRule="auto"/>
      <w:jc w:val="right"/>
      <w:textAlignment w:val="center"/>
      <w:outlineLvl w:val="0"/>
    </w:pPr>
    <w:rPr>
      <w:rFonts w:ascii="Arial" w:eastAsia="Times New Roman" w:hAnsi="Arial" w:cs="Arial"/>
      <w:b/>
      <w:bCs/>
      <w:szCs w:val="24"/>
      <w:lang w:eastAsia="es-CR"/>
    </w:rPr>
  </w:style>
  <w:style w:type="paragraph" w:customStyle="1" w:styleId="xl145">
    <w:name w:val="xl145"/>
    <w:basedOn w:val="Normal"/>
    <w:rsid w:val="00692DC8"/>
    <w:pPr>
      <w:spacing w:before="100" w:beforeAutospacing="1" w:after="100" w:afterAutospacing="1" w:line="240" w:lineRule="auto"/>
      <w:jc w:val="center"/>
      <w:textAlignment w:val="center"/>
      <w:outlineLvl w:val="0"/>
    </w:pPr>
    <w:rPr>
      <w:rFonts w:ascii="Arial" w:eastAsia="Times New Roman" w:hAnsi="Arial" w:cs="Arial"/>
      <w:b/>
      <w:bCs/>
      <w:sz w:val="28"/>
      <w:szCs w:val="28"/>
      <w:lang w:eastAsia="es-CR"/>
    </w:rPr>
  </w:style>
  <w:style w:type="character" w:styleId="Hipervnculovisitado">
    <w:name w:val="FollowedHyperlink"/>
    <w:uiPriority w:val="99"/>
    <w:semiHidden/>
    <w:unhideWhenUsed/>
    <w:rsid w:val="00692DC8"/>
    <w:rPr>
      <w:color w:val="800080"/>
      <w:u w:val="single"/>
    </w:rPr>
  </w:style>
  <w:style w:type="paragraph" w:customStyle="1" w:styleId="xl66">
    <w:name w:val="xl66"/>
    <w:basedOn w:val="Normal"/>
    <w:rsid w:val="00692DC8"/>
    <w:pPr>
      <w:spacing w:before="100" w:beforeAutospacing="1" w:after="100" w:afterAutospacing="1" w:line="240" w:lineRule="auto"/>
      <w:outlineLvl w:val="0"/>
    </w:pPr>
    <w:rPr>
      <w:rFonts w:ascii="Times New Roman" w:eastAsia="Times New Roman" w:hAnsi="Times New Roman" w:cs="Times New Roman"/>
      <w:sz w:val="20"/>
      <w:szCs w:val="20"/>
      <w:lang w:val="es-ES" w:eastAsia="es-ES"/>
    </w:rPr>
  </w:style>
  <w:style w:type="paragraph" w:customStyle="1" w:styleId="xl67">
    <w:name w:val="xl67"/>
    <w:basedOn w:val="Normal"/>
    <w:rsid w:val="00692DC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68">
    <w:name w:val="xl68"/>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69">
    <w:name w:val="xl69"/>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sz w:val="20"/>
      <w:szCs w:val="20"/>
      <w:lang w:val="es-ES" w:eastAsia="es-ES"/>
    </w:rPr>
  </w:style>
  <w:style w:type="paragraph" w:customStyle="1" w:styleId="xl70">
    <w:name w:val="xl70"/>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sz w:val="20"/>
      <w:szCs w:val="20"/>
      <w:lang w:val="es-ES" w:eastAsia="es-ES"/>
    </w:rPr>
  </w:style>
  <w:style w:type="paragraph" w:customStyle="1" w:styleId="xl71">
    <w:name w:val="xl71"/>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outlineLvl w:val="0"/>
    </w:pPr>
    <w:rPr>
      <w:rFonts w:ascii="Arial" w:eastAsia="Times New Roman" w:hAnsi="Arial" w:cs="Arial"/>
      <w:sz w:val="20"/>
      <w:szCs w:val="20"/>
      <w:lang w:val="es-ES" w:eastAsia="es-ES"/>
    </w:rPr>
  </w:style>
  <w:style w:type="paragraph" w:customStyle="1" w:styleId="xl72">
    <w:name w:val="xl72"/>
    <w:basedOn w:val="Normal"/>
    <w:rsid w:val="00692DC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73">
    <w:name w:val="xl73"/>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color w:val="000000"/>
      <w:sz w:val="20"/>
      <w:szCs w:val="20"/>
      <w:lang w:val="es-ES" w:eastAsia="es-ES"/>
    </w:rPr>
  </w:style>
  <w:style w:type="paragraph" w:customStyle="1" w:styleId="xl74">
    <w:name w:val="xl74"/>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outlineLvl w:val="0"/>
    </w:pPr>
    <w:rPr>
      <w:rFonts w:ascii="Arial" w:eastAsia="Times New Roman" w:hAnsi="Arial" w:cs="Arial"/>
      <w:color w:val="000000"/>
      <w:sz w:val="20"/>
      <w:szCs w:val="20"/>
      <w:lang w:val="es-ES" w:eastAsia="es-ES"/>
    </w:rPr>
  </w:style>
  <w:style w:type="paragraph" w:customStyle="1" w:styleId="xl75">
    <w:name w:val="xl75"/>
    <w:basedOn w:val="Normal"/>
    <w:rsid w:val="00692DC8"/>
    <w:pPr>
      <w:shd w:val="clear" w:color="000000" w:fill="FFFFFF"/>
      <w:spacing w:before="100" w:beforeAutospacing="1" w:after="100" w:afterAutospacing="1" w:line="240" w:lineRule="auto"/>
      <w:outlineLvl w:val="0"/>
    </w:pPr>
    <w:rPr>
      <w:rFonts w:ascii="Times New Roman" w:eastAsia="Times New Roman" w:hAnsi="Times New Roman" w:cs="Times New Roman"/>
      <w:sz w:val="20"/>
      <w:szCs w:val="20"/>
      <w:lang w:val="es-ES" w:eastAsia="es-ES"/>
    </w:rPr>
  </w:style>
  <w:style w:type="paragraph" w:customStyle="1" w:styleId="xl76">
    <w:name w:val="xl76"/>
    <w:basedOn w:val="Normal"/>
    <w:rsid w:val="00692DC8"/>
    <w:pP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77">
    <w:name w:val="xl77"/>
    <w:basedOn w:val="Normal"/>
    <w:rsid w:val="00692DC8"/>
    <w:pP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78">
    <w:name w:val="xl78"/>
    <w:basedOn w:val="Normal"/>
    <w:rsid w:val="00692DC8"/>
    <w:pPr>
      <w:shd w:val="clear" w:color="000000" w:fill="FFFFFF"/>
      <w:spacing w:before="100" w:beforeAutospacing="1" w:after="100" w:afterAutospacing="1" w:line="240" w:lineRule="auto"/>
      <w:jc w:val="center"/>
      <w:outlineLvl w:val="0"/>
    </w:pPr>
    <w:rPr>
      <w:rFonts w:ascii="Arial" w:eastAsia="Times New Roman" w:hAnsi="Arial" w:cs="Arial"/>
      <w:color w:val="000000"/>
      <w:sz w:val="20"/>
      <w:szCs w:val="20"/>
      <w:lang w:val="es-ES" w:eastAsia="es-ES"/>
    </w:rPr>
  </w:style>
  <w:style w:type="paragraph" w:customStyle="1" w:styleId="xl79">
    <w:name w:val="xl79"/>
    <w:basedOn w:val="Normal"/>
    <w:rsid w:val="00692DC8"/>
    <w:pPr>
      <w:shd w:val="clear" w:color="000000" w:fill="FFFFFF"/>
      <w:spacing w:before="100" w:beforeAutospacing="1" w:after="100" w:afterAutospacing="1" w:line="240" w:lineRule="auto"/>
      <w:jc w:val="center"/>
      <w:outlineLvl w:val="0"/>
    </w:pPr>
    <w:rPr>
      <w:rFonts w:ascii="Arial" w:eastAsia="Times New Roman" w:hAnsi="Arial" w:cs="Arial"/>
      <w:sz w:val="20"/>
      <w:szCs w:val="20"/>
      <w:lang w:val="es-ES" w:eastAsia="es-ES"/>
    </w:rPr>
  </w:style>
  <w:style w:type="paragraph" w:customStyle="1" w:styleId="xl80">
    <w:name w:val="xl80"/>
    <w:basedOn w:val="Normal"/>
    <w:rsid w:val="00692DC8"/>
    <w:pPr>
      <w:shd w:val="clear" w:color="000000" w:fill="FFFFFF"/>
      <w:spacing w:before="100" w:beforeAutospacing="1" w:after="100" w:afterAutospacing="1" w:line="240" w:lineRule="auto"/>
      <w:jc w:val="center"/>
      <w:outlineLvl w:val="0"/>
    </w:pPr>
    <w:rPr>
      <w:rFonts w:ascii="Arial" w:eastAsia="Times New Roman" w:hAnsi="Arial" w:cs="Arial"/>
      <w:sz w:val="20"/>
      <w:szCs w:val="20"/>
      <w:lang w:val="es-ES" w:eastAsia="es-ES"/>
    </w:rPr>
  </w:style>
  <w:style w:type="paragraph" w:customStyle="1" w:styleId="xl81">
    <w:name w:val="xl81"/>
    <w:basedOn w:val="Normal"/>
    <w:rsid w:val="00692DC8"/>
    <w:pPr>
      <w:shd w:val="clear" w:color="000000" w:fill="FFFFFF"/>
      <w:spacing w:before="100" w:beforeAutospacing="1" w:after="100" w:afterAutospacing="1" w:line="240" w:lineRule="auto"/>
      <w:jc w:val="right"/>
      <w:outlineLvl w:val="0"/>
    </w:pPr>
    <w:rPr>
      <w:rFonts w:ascii="Arial" w:eastAsia="Times New Roman" w:hAnsi="Arial" w:cs="Arial"/>
      <w:color w:val="000000"/>
      <w:sz w:val="20"/>
      <w:szCs w:val="20"/>
      <w:lang w:val="es-ES" w:eastAsia="es-ES"/>
    </w:rPr>
  </w:style>
  <w:style w:type="paragraph" w:customStyle="1" w:styleId="xl82">
    <w:name w:val="xl82"/>
    <w:basedOn w:val="Normal"/>
    <w:rsid w:val="00692DC8"/>
    <w:pP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83">
    <w:name w:val="xl83"/>
    <w:basedOn w:val="Normal"/>
    <w:rsid w:val="00692DC8"/>
    <w:pPr>
      <w:pBdr>
        <w:top w:val="single" w:sz="8" w:space="0" w:color="auto"/>
        <w:left w:val="single" w:sz="8" w:space="0" w:color="auto"/>
        <w:bottom w:val="single" w:sz="8" w:space="0" w:color="auto"/>
        <w:right w:val="single" w:sz="4" w:space="0" w:color="auto"/>
      </w:pBdr>
      <w:shd w:val="clear" w:color="000000" w:fill="95B3D7"/>
      <w:spacing w:before="100" w:beforeAutospacing="1" w:after="100" w:afterAutospacing="1" w:line="240" w:lineRule="auto"/>
      <w:jc w:val="center"/>
      <w:outlineLvl w:val="0"/>
    </w:pPr>
    <w:rPr>
      <w:rFonts w:ascii="Arial" w:eastAsia="Times New Roman" w:hAnsi="Arial" w:cs="Arial"/>
      <w:b/>
      <w:bCs/>
      <w:color w:val="000000"/>
      <w:sz w:val="20"/>
      <w:szCs w:val="20"/>
      <w:lang w:val="es-ES" w:eastAsia="es-ES"/>
    </w:rPr>
  </w:style>
  <w:style w:type="paragraph" w:customStyle="1" w:styleId="xl84">
    <w:name w:val="xl84"/>
    <w:basedOn w:val="Normal"/>
    <w:rsid w:val="00692DC8"/>
    <w:pPr>
      <w:pBdr>
        <w:top w:val="single" w:sz="8" w:space="0" w:color="auto"/>
        <w:left w:val="single" w:sz="8" w:space="0" w:color="auto"/>
        <w:bottom w:val="single" w:sz="8" w:space="0" w:color="auto"/>
        <w:right w:val="single" w:sz="8" w:space="0" w:color="auto"/>
      </w:pBdr>
      <w:shd w:val="clear" w:color="000000" w:fill="95B3D7"/>
      <w:spacing w:before="100" w:beforeAutospacing="1" w:after="100" w:afterAutospacing="1" w:line="240" w:lineRule="auto"/>
      <w:jc w:val="center"/>
      <w:outlineLvl w:val="0"/>
    </w:pPr>
    <w:rPr>
      <w:rFonts w:ascii="Arial" w:eastAsia="Times New Roman" w:hAnsi="Arial" w:cs="Arial"/>
      <w:b/>
      <w:bCs/>
      <w:color w:val="000000"/>
      <w:sz w:val="20"/>
      <w:szCs w:val="20"/>
      <w:lang w:val="es-ES" w:eastAsia="es-ES"/>
    </w:rPr>
  </w:style>
  <w:style w:type="paragraph" w:customStyle="1" w:styleId="xl85">
    <w:name w:val="xl85"/>
    <w:basedOn w:val="Normal"/>
    <w:rsid w:val="00692DC8"/>
    <w:pPr>
      <w:shd w:val="clear" w:color="000000" w:fill="FFFFFF"/>
      <w:spacing w:before="100" w:beforeAutospacing="1" w:after="100" w:afterAutospacing="1" w:line="240" w:lineRule="auto"/>
      <w:jc w:val="center"/>
      <w:outlineLvl w:val="0"/>
    </w:pPr>
    <w:rPr>
      <w:rFonts w:ascii="Arial" w:eastAsia="Times New Roman" w:hAnsi="Arial" w:cs="Arial"/>
      <w:color w:val="000000"/>
      <w:sz w:val="20"/>
      <w:szCs w:val="20"/>
      <w:lang w:val="es-ES" w:eastAsia="es-ES"/>
    </w:rPr>
  </w:style>
  <w:style w:type="paragraph" w:customStyle="1" w:styleId="xl86">
    <w:name w:val="xl86"/>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sz w:val="20"/>
      <w:szCs w:val="20"/>
      <w:lang w:val="es-ES" w:eastAsia="es-ES"/>
    </w:rPr>
  </w:style>
  <w:style w:type="paragraph" w:customStyle="1" w:styleId="xl87">
    <w:name w:val="xl87"/>
    <w:basedOn w:val="Normal"/>
    <w:rsid w:val="00692DC8"/>
    <w:pPr>
      <w:shd w:val="clear" w:color="000000" w:fill="FFFFFF"/>
      <w:spacing w:before="100" w:beforeAutospacing="1" w:after="100" w:afterAutospacing="1" w:line="240" w:lineRule="auto"/>
      <w:jc w:val="right"/>
      <w:outlineLvl w:val="0"/>
    </w:pPr>
    <w:rPr>
      <w:rFonts w:ascii="Arial" w:eastAsia="Times New Roman" w:hAnsi="Arial" w:cs="Arial"/>
      <w:sz w:val="20"/>
      <w:szCs w:val="20"/>
      <w:lang w:val="es-ES" w:eastAsia="es-ES"/>
    </w:rPr>
  </w:style>
  <w:style w:type="paragraph" w:customStyle="1" w:styleId="xl88">
    <w:name w:val="xl88"/>
    <w:basedOn w:val="Normal"/>
    <w:rsid w:val="00692DC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89">
    <w:name w:val="xl89"/>
    <w:basedOn w:val="Normal"/>
    <w:rsid w:val="00692DC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90">
    <w:name w:val="xl90"/>
    <w:basedOn w:val="Normal"/>
    <w:rsid w:val="00692DC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sz w:val="20"/>
      <w:szCs w:val="20"/>
      <w:lang w:val="es-ES" w:eastAsia="es-ES"/>
    </w:rPr>
  </w:style>
  <w:style w:type="paragraph" w:customStyle="1" w:styleId="xl91">
    <w:name w:val="xl91"/>
    <w:basedOn w:val="Normal"/>
    <w:rsid w:val="00692DC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outlineLvl w:val="0"/>
    </w:pPr>
    <w:rPr>
      <w:rFonts w:ascii="Arial" w:eastAsia="Times New Roman" w:hAnsi="Arial" w:cs="Arial"/>
      <w:color w:val="000000"/>
      <w:sz w:val="20"/>
      <w:szCs w:val="20"/>
      <w:lang w:val="es-ES" w:eastAsia="es-ES"/>
    </w:rPr>
  </w:style>
  <w:style w:type="paragraph" w:customStyle="1" w:styleId="xl92">
    <w:name w:val="xl92"/>
    <w:basedOn w:val="Normal"/>
    <w:rsid w:val="00692DC8"/>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93">
    <w:name w:val="xl93"/>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94">
    <w:name w:val="xl94"/>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95">
    <w:name w:val="xl95"/>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sz w:val="20"/>
      <w:szCs w:val="20"/>
      <w:lang w:val="es-ES" w:eastAsia="es-ES"/>
    </w:rPr>
  </w:style>
  <w:style w:type="paragraph" w:customStyle="1" w:styleId="xl96">
    <w:name w:val="xl96"/>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sz w:val="20"/>
      <w:szCs w:val="20"/>
      <w:lang w:val="es-ES" w:eastAsia="es-ES"/>
    </w:rPr>
  </w:style>
  <w:style w:type="paragraph" w:customStyle="1" w:styleId="xl97">
    <w:name w:val="xl97"/>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98">
    <w:name w:val="xl98"/>
    <w:basedOn w:val="Normal"/>
    <w:rsid w:val="00692DC8"/>
    <w:pPr>
      <w:pBdr>
        <w:top w:val="single" w:sz="4" w:space="0" w:color="auto"/>
        <w:left w:val="single" w:sz="4" w:space="0" w:color="auto"/>
        <w:right w:val="single" w:sz="4"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99">
    <w:name w:val="xl99"/>
    <w:basedOn w:val="Normal"/>
    <w:rsid w:val="00692DC8"/>
    <w:pPr>
      <w:pBdr>
        <w:top w:val="single" w:sz="4" w:space="0" w:color="auto"/>
        <w:left w:val="single" w:sz="4" w:space="0" w:color="auto"/>
        <w:right w:val="single" w:sz="4"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100">
    <w:name w:val="xl100"/>
    <w:basedOn w:val="Normal"/>
    <w:rsid w:val="00692DC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sz w:val="20"/>
      <w:szCs w:val="20"/>
      <w:lang w:val="es-ES" w:eastAsia="es-ES"/>
    </w:rPr>
  </w:style>
  <w:style w:type="paragraph" w:customStyle="1" w:styleId="xl101">
    <w:name w:val="xl101"/>
    <w:basedOn w:val="Normal"/>
    <w:rsid w:val="00692DC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sz w:val="20"/>
      <w:szCs w:val="20"/>
      <w:lang w:val="es-ES" w:eastAsia="es-ES"/>
    </w:rPr>
  </w:style>
  <w:style w:type="paragraph" w:customStyle="1" w:styleId="xl102">
    <w:name w:val="xl102"/>
    <w:basedOn w:val="Normal"/>
    <w:rsid w:val="00692DC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outlineLvl w:val="0"/>
    </w:pPr>
    <w:rPr>
      <w:rFonts w:ascii="Arial" w:eastAsia="Times New Roman" w:hAnsi="Arial" w:cs="Arial"/>
      <w:sz w:val="20"/>
      <w:szCs w:val="20"/>
      <w:lang w:val="es-ES" w:eastAsia="es-ES"/>
    </w:rPr>
  </w:style>
  <w:style w:type="paragraph" w:customStyle="1" w:styleId="xl103">
    <w:name w:val="xl103"/>
    <w:basedOn w:val="Normal"/>
    <w:rsid w:val="00692DC8"/>
    <w:pPr>
      <w:pBdr>
        <w:top w:val="single" w:sz="8" w:space="0" w:color="auto"/>
        <w:left w:val="single" w:sz="8" w:space="0" w:color="auto"/>
        <w:bottom w:val="single" w:sz="8" w:space="0" w:color="auto"/>
      </w:pBdr>
      <w:shd w:val="clear" w:color="000000" w:fill="95B3D7"/>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111">
    <w:name w:val="xl111"/>
    <w:basedOn w:val="Normal"/>
    <w:rsid w:val="00692DC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color w:val="000000"/>
      <w:sz w:val="20"/>
      <w:szCs w:val="20"/>
      <w:lang w:val="es-ES" w:eastAsia="es-ES"/>
    </w:rPr>
  </w:style>
  <w:style w:type="paragraph" w:customStyle="1" w:styleId="xl146">
    <w:name w:val="xl146"/>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outlineLvl w:val="0"/>
    </w:pPr>
    <w:rPr>
      <w:rFonts w:ascii="Arial" w:eastAsia="Times New Roman" w:hAnsi="Arial" w:cs="Arial"/>
      <w:color w:val="000000"/>
      <w:sz w:val="20"/>
      <w:szCs w:val="20"/>
      <w:lang w:val="es-ES" w:eastAsia="es-ES"/>
    </w:rPr>
  </w:style>
  <w:style w:type="paragraph" w:customStyle="1" w:styleId="xl147">
    <w:name w:val="xl147"/>
    <w:basedOn w:val="Normal"/>
    <w:rsid w:val="00692DC8"/>
    <w:pPr>
      <w:shd w:val="clear" w:color="000000" w:fill="FFFFFF"/>
      <w:spacing w:before="100" w:beforeAutospacing="1" w:after="100" w:afterAutospacing="1" w:line="240" w:lineRule="auto"/>
      <w:outlineLvl w:val="0"/>
    </w:pPr>
    <w:rPr>
      <w:rFonts w:ascii="Times New Roman" w:eastAsia="Times New Roman" w:hAnsi="Times New Roman" w:cs="Times New Roman"/>
      <w:sz w:val="20"/>
      <w:szCs w:val="20"/>
      <w:lang w:val="es-ES" w:eastAsia="es-ES"/>
    </w:rPr>
  </w:style>
  <w:style w:type="paragraph" w:customStyle="1" w:styleId="xl148">
    <w:name w:val="xl148"/>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outlineLvl w:val="0"/>
    </w:pPr>
    <w:rPr>
      <w:rFonts w:ascii="Arial" w:eastAsia="Times New Roman" w:hAnsi="Arial" w:cs="Arial"/>
      <w:b/>
      <w:bCs/>
      <w:szCs w:val="24"/>
      <w:lang w:val="es-ES" w:eastAsia="es-ES"/>
    </w:rPr>
  </w:style>
  <w:style w:type="paragraph" w:customStyle="1" w:styleId="xl149">
    <w:name w:val="xl149"/>
    <w:basedOn w:val="Normal"/>
    <w:rsid w:val="00692DC8"/>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outlineLvl w:val="0"/>
    </w:pPr>
    <w:rPr>
      <w:rFonts w:ascii="Arial" w:eastAsia="Times New Roman" w:hAnsi="Arial" w:cs="Arial"/>
      <w:b/>
      <w:bCs/>
      <w:szCs w:val="24"/>
      <w:lang w:val="es-ES" w:eastAsia="es-ES"/>
    </w:rPr>
  </w:style>
  <w:style w:type="paragraph" w:customStyle="1" w:styleId="xl150">
    <w:name w:val="xl150"/>
    <w:basedOn w:val="Normal"/>
    <w:rsid w:val="00692DC8"/>
    <w:pPr>
      <w:spacing w:before="100" w:beforeAutospacing="1" w:after="100" w:afterAutospacing="1" w:line="240" w:lineRule="auto"/>
      <w:outlineLvl w:val="0"/>
    </w:pPr>
    <w:rPr>
      <w:rFonts w:ascii="Times New Roman" w:eastAsia="Times New Roman" w:hAnsi="Times New Roman" w:cs="Times New Roman"/>
      <w:sz w:val="20"/>
      <w:szCs w:val="20"/>
      <w:lang w:val="es-ES" w:eastAsia="es-ES"/>
    </w:rPr>
  </w:style>
  <w:style w:type="paragraph" w:customStyle="1" w:styleId="xl151">
    <w:name w:val="xl151"/>
    <w:basedOn w:val="Normal"/>
    <w:rsid w:val="00692DC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color w:val="000000"/>
      <w:sz w:val="16"/>
      <w:szCs w:val="16"/>
      <w:lang w:val="es-ES" w:eastAsia="es-ES"/>
    </w:rPr>
  </w:style>
  <w:style w:type="paragraph" w:customStyle="1" w:styleId="xl152">
    <w:name w:val="xl152"/>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color w:val="000000"/>
      <w:sz w:val="16"/>
      <w:szCs w:val="16"/>
      <w:lang w:val="es-ES" w:eastAsia="es-ES"/>
    </w:rPr>
  </w:style>
  <w:style w:type="paragraph" w:customStyle="1" w:styleId="xl153">
    <w:name w:val="xl153"/>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outlineLvl w:val="0"/>
    </w:pPr>
    <w:rPr>
      <w:rFonts w:ascii="Arial" w:eastAsia="Times New Roman" w:hAnsi="Arial" w:cs="Arial"/>
      <w:sz w:val="16"/>
      <w:szCs w:val="16"/>
      <w:lang w:val="es-ES" w:eastAsia="es-ES"/>
    </w:rPr>
  </w:style>
  <w:style w:type="paragraph" w:customStyle="1" w:styleId="xl154">
    <w:name w:val="xl154"/>
    <w:basedOn w:val="Normal"/>
    <w:rsid w:val="00692DC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sz w:val="16"/>
      <w:szCs w:val="16"/>
      <w:lang w:val="es-ES" w:eastAsia="es-ES"/>
    </w:rPr>
  </w:style>
  <w:style w:type="paragraph" w:customStyle="1" w:styleId="xl155">
    <w:name w:val="xl155"/>
    <w:basedOn w:val="Normal"/>
    <w:rsid w:val="00692DC8"/>
    <w:pPr>
      <w:pBdr>
        <w:top w:val="single" w:sz="8" w:space="0" w:color="auto"/>
        <w:left w:val="single" w:sz="8" w:space="0" w:color="auto"/>
        <w:bottom w:val="single" w:sz="8" w:space="0" w:color="auto"/>
      </w:pBdr>
      <w:shd w:val="clear" w:color="000000" w:fill="95B3D7"/>
      <w:spacing w:before="100" w:beforeAutospacing="1" w:after="100" w:afterAutospacing="1" w:line="240" w:lineRule="auto"/>
      <w:jc w:val="center"/>
      <w:outlineLvl w:val="0"/>
    </w:pPr>
    <w:rPr>
      <w:rFonts w:ascii="Arial" w:eastAsia="Times New Roman" w:hAnsi="Arial" w:cs="Arial"/>
      <w:b/>
      <w:bCs/>
      <w:color w:val="000000"/>
      <w:sz w:val="20"/>
      <w:szCs w:val="20"/>
      <w:lang w:val="es-ES" w:eastAsia="es-ES"/>
    </w:rPr>
  </w:style>
  <w:style w:type="paragraph" w:customStyle="1" w:styleId="xl156">
    <w:name w:val="xl156"/>
    <w:basedOn w:val="Normal"/>
    <w:rsid w:val="00692DC8"/>
    <w:pPr>
      <w:pBdr>
        <w:top w:val="single" w:sz="8" w:space="0" w:color="auto"/>
        <w:bottom w:val="single" w:sz="8" w:space="0" w:color="auto"/>
      </w:pBdr>
      <w:shd w:val="clear" w:color="000000" w:fill="95B3D7"/>
      <w:spacing w:before="100" w:beforeAutospacing="1" w:after="100" w:afterAutospacing="1" w:line="240" w:lineRule="auto"/>
      <w:jc w:val="center"/>
      <w:outlineLvl w:val="0"/>
    </w:pPr>
    <w:rPr>
      <w:rFonts w:ascii="Arial" w:eastAsia="Times New Roman" w:hAnsi="Arial" w:cs="Arial"/>
      <w:b/>
      <w:bCs/>
      <w:color w:val="000000"/>
      <w:sz w:val="20"/>
      <w:szCs w:val="20"/>
      <w:lang w:val="es-ES" w:eastAsia="es-ES"/>
    </w:rPr>
  </w:style>
  <w:style w:type="paragraph" w:customStyle="1" w:styleId="xl157">
    <w:name w:val="xl157"/>
    <w:basedOn w:val="Normal"/>
    <w:rsid w:val="00692DC8"/>
    <w:pPr>
      <w:pBdr>
        <w:top w:val="single" w:sz="8" w:space="0" w:color="auto"/>
        <w:bottom w:val="single" w:sz="8" w:space="0" w:color="auto"/>
        <w:right w:val="single" w:sz="8" w:space="0" w:color="auto"/>
      </w:pBdr>
      <w:shd w:val="clear" w:color="000000" w:fill="95B3D7"/>
      <w:spacing w:before="100" w:beforeAutospacing="1" w:after="100" w:afterAutospacing="1" w:line="240" w:lineRule="auto"/>
      <w:jc w:val="center"/>
      <w:outlineLvl w:val="0"/>
    </w:pPr>
    <w:rPr>
      <w:rFonts w:ascii="Arial" w:eastAsia="Times New Roman" w:hAnsi="Arial" w:cs="Arial"/>
      <w:b/>
      <w:bCs/>
      <w:color w:val="000000"/>
      <w:sz w:val="20"/>
      <w:szCs w:val="20"/>
      <w:lang w:val="es-ES" w:eastAsia="es-ES"/>
    </w:rPr>
  </w:style>
  <w:style w:type="paragraph" w:customStyle="1" w:styleId="xl158">
    <w:name w:val="xl158"/>
    <w:basedOn w:val="Normal"/>
    <w:rsid w:val="00692DC8"/>
    <w:pPr>
      <w:shd w:val="clear" w:color="000000" w:fill="FFFFFF"/>
      <w:spacing w:before="100" w:beforeAutospacing="1" w:after="100" w:afterAutospacing="1" w:line="240" w:lineRule="auto"/>
      <w:jc w:val="center"/>
      <w:outlineLvl w:val="0"/>
    </w:pPr>
    <w:rPr>
      <w:rFonts w:ascii="Arial" w:eastAsia="Times New Roman" w:hAnsi="Arial" w:cs="Arial"/>
      <w:b/>
      <w:bCs/>
      <w:color w:val="000000"/>
      <w:sz w:val="32"/>
      <w:szCs w:val="32"/>
      <w:lang w:val="es-ES" w:eastAsia="es-ES"/>
    </w:rPr>
  </w:style>
  <w:style w:type="paragraph" w:customStyle="1" w:styleId="xl159">
    <w:name w:val="xl159"/>
    <w:basedOn w:val="Normal"/>
    <w:rsid w:val="00692DC8"/>
    <w:pPr>
      <w:pBdr>
        <w:left w:val="single" w:sz="4" w:space="0" w:color="auto"/>
        <w:bottom w:val="single" w:sz="4" w:space="0" w:color="auto"/>
        <w:right w:val="single" w:sz="8" w:space="0" w:color="auto"/>
      </w:pBdr>
      <w:shd w:val="clear" w:color="000000" w:fill="F2F2F2"/>
      <w:spacing w:before="100" w:beforeAutospacing="1" w:after="100" w:afterAutospacing="1" w:line="240" w:lineRule="auto"/>
      <w:outlineLvl w:val="0"/>
    </w:pPr>
    <w:rPr>
      <w:rFonts w:ascii="Arial" w:eastAsia="Times New Roman" w:hAnsi="Arial" w:cs="Arial"/>
      <w:sz w:val="16"/>
      <w:szCs w:val="16"/>
      <w:lang w:val="es-ES" w:eastAsia="es-ES"/>
    </w:rPr>
  </w:style>
  <w:style w:type="paragraph" w:customStyle="1" w:styleId="xl160">
    <w:name w:val="xl160"/>
    <w:basedOn w:val="Normal"/>
    <w:rsid w:val="00692D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outlineLvl w:val="0"/>
    </w:pPr>
    <w:rPr>
      <w:rFonts w:ascii="Arial" w:eastAsia="Times New Roman" w:hAnsi="Arial" w:cs="Arial"/>
      <w:color w:val="000000"/>
      <w:sz w:val="16"/>
      <w:szCs w:val="16"/>
      <w:lang w:val="es-ES" w:eastAsia="es-ES"/>
    </w:rPr>
  </w:style>
  <w:style w:type="paragraph" w:customStyle="1" w:styleId="xl161">
    <w:name w:val="xl161"/>
    <w:basedOn w:val="Normal"/>
    <w:rsid w:val="00692DC8"/>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line="240" w:lineRule="auto"/>
      <w:outlineLvl w:val="0"/>
    </w:pPr>
    <w:rPr>
      <w:rFonts w:ascii="Arial" w:eastAsia="Times New Roman" w:hAnsi="Arial" w:cs="Arial"/>
      <w:sz w:val="16"/>
      <w:szCs w:val="16"/>
      <w:lang w:val="es-ES" w:eastAsia="es-ES"/>
    </w:rPr>
  </w:style>
  <w:style w:type="paragraph" w:customStyle="1" w:styleId="xl162">
    <w:name w:val="xl162"/>
    <w:basedOn w:val="Normal"/>
    <w:rsid w:val="00692DC8"/>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outlineLvl w:val="0"/>
    </w:pPr>
    <w:rPr>
      <w:rFonts w:ascii="Arial" w:eastAsia="Times New Roman" w:hAnsi="Arial" w:cs="Arial"/>
      <w:sz w:val="16"/>
      <w:szCs w:val="16"/>
      <w:lang w:val="es-ES" w:eastAsia="es-ES"/>
    </w:rPr>
  </w:style>
  <w:style w:type="paragraph" w:customStyle="1" w:styleId="xl163">
    <w:name w:val="xl163"/>
    <w:basedOn w:val="Normal"/>
    <w:rsid w:val="00692DC8"/>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outlineLvl w:val="0"/>
    </w:pPr>
    <w:rPr>
      <w:rFonts w:ascii="Arial" w:eastAsia="Times New Roman" w:hAnsi="Arial" w:cs="Arial"/>
      <w:color w:val="000000"/>
      <w:sz w:val="16"/>
      <w:szCs w:val="16"/>
      <w:lang w:val="es-ES" w:eastAsia="es-ES"/>
    </w:rPr>
  </w:style>
  <w:style w:type="paragraph" w:customStyle="1" w:styleId="xl164">
    <w:name w:val="xl164"/>
    <w:basedOn w:val="Normal"/>
    <w:rsid w:val="00692DC8"/>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outlineLvl w:val="0"/>
    </w:pPr>
    <w:rPr>
      <w:rFonts w:ascii="Arial" w:eastAsia="Times New Roman" w:hAnsi="Arial" w:cs="Arial"/>
      <w:sz w:val="16"/>
      <w:szCs w:val="16"/>
      <w:lang w:val="es-ES" w:eastAsia="es-ES"/>
    </w:rPr>
  </w:style>
  <w:style w:type="paragraph" w:customStyle="1" w:styleId="xl165">
    <w:name w:val="xl165"/>
    <w:basedOn w:val="Normal"/>
    <w:rsid w:val="00692DC8"/>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outlineLvl w:val="0"/>
    </w:pPr>
    <w:rPr>
      <w:rFonts w:ascii="Arial" w:eastAsia="Times New Roman" w:hAnsi="Arial" w:cs="Arial"/>
      <w:sz w:val="16"/>
      <w:szCs w:val="16"/>
      <w:lang w:val="es-ES" w:eastAsia="es-ES"/>
    </w:rPr>
  </w:style>
  <w:style w:type="paragraph" w:customStyle="1" w:styleId="xl166">
    <w:name w:val="xl166"/>
    <w:basedOn w:val="Normal"/>
    <w:rsid w:val="00692DC8"/>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right"/>
      <w:outlineLvl w:val="0"/>
    </w:pPr>
    <w:rPr>
      <w:rFonts w:ascii="Arial" w:eastAsia="Times New Roman" w:hAnsi="Arial" w:cs="Arial"/>
      <w:color w:val="000000"/>
      <w:sz w:val="16"/>
      <w:szCs w:val="16"/>
      <w:lang w:val="es-ES" w:eastAsia="es-ES"/>
    </w:rPr>
  </w:style>
  <w:style w:type="paragraph" w:customStyle="1" w:styleId="xl167">
    <w:name w:val="xl167"/>
    <w:basedOn w:val="Normal"/>
    <w:rsid w:val="00692DC8"/>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line="240" w:lineRule="auto"/>
      <w:outlineLvl w:val="0"/>
    </w:pPr>
    <w:rPr>
      <w:rFonts w:ascii="Arial" w:eastAsia="Times New Roman" w:hAnsi="Arial" w:cs="Arial"/>
      <w:sz w:val="16"/>
      <w:szCs w:val="16"/>
      <w:lang w:val="es-ES" w:eastAsia="es-ES"/>
    </w:rPr>
  </w:style>
  <w:style w:type="paragraph" w:customStyle="1" w:styleId="xl168">
    <w:name w:val="xl168"/>
    <w:basedOn w:val="Normal"/>
    <w:rsid w:val="00692DC8"/>
    <w:pPr>
      <w:shd w:val="clear" w:color="000000" w:fill="FFFFFF"/>
      <w:spacing w:before="100" w:beforeAutospacing="1" w:after="100" w:afterAutospacing="1" w:line="240" w:lineRule="auto"/>
      <w:jc w:val="center"/>
      <w:textAlignment w:val="center"/>
      <w:outlineLvl w:val="0"/>
    </w:pPr>
    <w:rPr>
      <w:rFonts w:ascii="Arial" w:eastAsia="Times New Roman" w:hAnsi="Arial" w:cs="Arial"/>
      <w:b/>
      <w:bCs/>
      <w:sz w:val="16"/>
      <w:szCs w:val="16"/>
      <w:lang w:val="es-ES" w:eastAsia="es-ES"/>
    </w:rPr>
  </w:style>
  <w:style w:type="paragraph" w:customStyle="1" w:styleId="xl169">
    <w:name w:val="xl169"/>
    <w:basedOn w:val="Normal"/>
    <w:rsid w:val="00692DC8"/>
    <w:pPr>
      <w:shd w:val="clear" w:color="000000" w:fill="FFFFFF"/>
      <w:spacing w:before="100" w:beforeAutospacing="1" w:after="100" w:afterAutospacing="1" w:line="240" w:lineRule="auto"/>
      <w:jc w:val="right"/>
      <w:textAlignment w:val="center"/>
      <w:outlineLvl w:val="0"/>
    </w:pPr>
    <w:rPr>
      <w:rFonts w:ascii="Arial" w:eastAsia="Times New Roman" w:hAnsi="Arial" w:cs="Arial"/>
      <w:b/>
      <w:bCs/>
      <w:sz w:val="16"/>
      <w:szCs w:val="16"/>
      <w:lang w:val="es-ES" w:eastAsia="es-ES"/>
    </w:rPr>
  </w:style>
  <w:style w:type="paragraph" w:customStyle="1" w:styleId="xl170">
    <w:name w:val="xl170"/>
    <w:basedOn w:val="Normal"/>
    <w:rsid w:val="00692DC8"/>
    <w:pPr>
      <w:pBdr>
        <w:top w:val="single" w:sz="8" w:space="0" w:color="auto"/>
        <w:left w:val="single" w:sz="8" w:space="0" w:color="auto"/>
        <w:bottom w:val="single" w:sz="4" w:space="0" w:color="auto"/>
        <w:right w:val="single" w:sz="4" w:space="0" w:color="auto"/>
      </w:pBdr>
      <w:spacing w:before="100" w:beforeAutospacing="1" w:after="100" w:afterAutospacing="1" w:line="240" w:lineRule="auto"/>
      <w:outlineLvl w:val="0"/>
    </w:pPr>
    <w:rPr>
      <w:rFonts w:ascii="Arial" w:eastAsia="Times New Roman" w:hAnsi="Arial" w:cs="Arial"/>
      <w:sz w:val="16"/>
      <w:szCs w:val="16"/>
      <w:lang w:val="es-ES" w:eastAsia="es-ES"/>
    </w:rPr>
  </w:style>
  <w:style w:type="paragraph" w:customStyle="1" w:styleId="xl171">
    <w:name w:val="xl171"/>
    <w:basedOn w:val="Normal"/>
    <w:rsid w:val="00692DC8"/>
    <w:pPr>
      <w:pBdr>
        <w:top w:val="single" w:sz="8" w:space="0" w:color="auto"/>
        <w:left w:val="single" w:sz="4" w:space="0" w:color="auto"/>
        <w:bottom w:val="single" w:sz="4" w:space="0" w:color="auto"/>
        <w:right w:val="single" w:sz="4" w:space="0" w:color="auto"/>
      </w:pBdr>
      <w:spacing w:before="100" w:beforeAutospacing="1" w:after="100" w:afterAutospacing="1" w:line="240" w:lineRule="auto"/>
      <w:outlineLvl w:val="0"/>
    </w:pPr>
    <w:rPr>
      <w:rFonts w:ascii="Arial" w:eastAsia="Times New Roman" w:hAnsi="Arial" w:cs="Arial"/>
      <w:sz w:val="16"/>
      <w:szCs w:val="16"/>
      <w:lang w:val="es-ES" w:eastAsia="es-ES"/>
    </w:rPr>
  </w:style>
  <w:style w:type="paragraph" w:customStyle="1" w:styleId="xl172">
    <w:name w:val="xl172"/>
    <w:basedOn w:val="Normal"/>
    <w:rsid w:val="00692DC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outlineLvl w:val="0"/>
    </w:pPr>
    <w:rPr>
      <w:rFonts w:ascii="Arial" w:eastAsia="Times New Roman" w:hAnsi="Arial" w:cs="Arial"/>
      <w:color w:val="000000"/>
      <w:sz w:val="16"/>
      <w:szCs w:val="16"/>
      <w:lang w:val="es-ES" w:eastAsia="es-ES"/>
    </w:rPr>
  </w:style>
  <w:style w:type="paragraph" w:customStyle="1" w:styleId="xl173">
    <w:name w:val="xl173"/>
    <w:basedOn w:val="Normal"/>
    <w:rsid w:val="00692DC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outlineLvl w:val="0"/>
    </w:pPr>
    <w:rPr>
      <w:rFonts w:ascii="Arial" w:eastAsia="Times New Roman" w:hAnsi="Arial" w:cs="Arial"/>
      <w:sz w:val="16"/>
      <w:szCs w:val="16"/>
      <w:lang w:val="es-ES" w:eastAsia="es-ES"/>
    </w:rPr>
  </w:style>
  <w:style w:type="paragraph" w:customStyle="1" w:styleId="xl174">
    <w:name w:val="xl174"/>
    <w:basedOn w:val="Normal"/>
    <w:rsid w:val="00692DC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outlineLvl w:val="0"/>
    </w:pPr>
    <w:rPr>
      <w:rFonts w:ascii="Arial" w:eastAsia="Times New Roman" w:hAnsi="Arial" w:cs="Arial"/>
      <w:color w:val="000000"/>
      <w:sz w:val="16"/>
      <w:szCs w:val="16"/>
      <w:lang w:val="es-ES" w:eastAsia="es-ES"/>
    </w:rPr>
  </w:style>
  <w:style w:type="paragraph" w:customStyle="1" w:styleId="xl175">
    <w:name w:val="xl175"/>
    <w:basedOn w:val="Normal"/>
    <w:rsid w:val="00692DC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outlineLvl w:val="0"/>
    </w:pPr>
    <w:rPr>
      <w:rFonts w:ascii="Arial" w:eastAsia="Times New Roman" w:hAnsi="Arial" w:cs="Arial"/>
      <w:sz w:val="16"/>
      <w:szCs w:val="16"/>
      <w:lang w:val="es-ES" w:eastAsia="es-ES"/>
    </w:rPr>
  </w:style>
  <w:style w:type="paragraph" w:customStyle="1" w:styleId="xl176">
    <w:name w:val="xl176"/>
    <w:basedOn w:val="Normal"/>
    <w:rsid w:val="00692DC8"/>
    <w:pPr>
      <w:pBdr>
        <w:top w:val="single" w:sz="8" w:space="0" w:color="auto"/>
        <w:left w:val="single" w:sz="4" w:space="0" w:color="auto"/>
        <w:bottom w:val="single" w:sz="4" w:space="0" w:color="auto"/>
        <w:right w:val="single" w:sz="8" w:space="0" w:color="auto"/>
      </w:pBdr>
      <w:spacing w:before="100" w:beforeAutospacing="1" w:after="100" w:afterAutospacing="1" w:line="240" w:lineRule="auto"/>
      <w:outlineLvl w:val="0"/>
    </w:pPr>
    <w:rPr>
      <w:rFonts w:ascii="Arial" w:eastAsia="Times New Roman" w:hAnsi="Arial" w:cs="Arial"/>
      <w:sz w:val="16"/>
      <w:szCs w:val="16"/>
      <w:lang w:val="es-ES" w:eastAsia="es-ES"/>
    </w:rPr>
  </w:style>
  <w:style w:type="paragraph" w:customStyle="1" w:styleId="xl177">
    <w:name w:val="xl177"/>
    <w:basedOn w:val="Normal"/>
    <w:rsid w:val="00692DC8"/>
    <w:pPr>
      <w:pBdr>
        <w:top w:val="single" w:sz="4" w:space="0" w:color="auto"/>
        <w:left w:val="single" w:sz="8" w:space="0" w:color="auto"/>
        <w:bottom w:val="single" w:sz="4" w:space="0" w:color="auto"/>
        <w:right w:val="single" w:sz="4" w:space="0" w:color="auto"/>
      </w:pBdr>
      <w:spacing w:before="100" w:beforeAutospacing="1" w:after="100" w:afterAutospacing="1" w:line="240" w:lineRule="auto"/>
      <w:outlineLvl w:val="0"/>
    </w:pPr>
    <w:rPr>
      <w:rFonts w:ascii="Arial" w:eastAsia="Times New Roman" w:hAnsi="Arial" w:cs="Arial"/>
      <w:sz w:val="16"/>
      <w:szCs w:val="16"/>
      <w:lang w:val="es-ES" w:eastAsia="es-ES"/>
    </w:rPr>
  </w:style>
  <w:style w:type="paragraph" w:customStyle="1" w:styleId="xl178">
    <w:name w:val="xl178"/>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outlineLvl w:val="0"/>
    </w:pPr>
    <w:rPr>
      <w:rFonts w:ascii="Arial" w:eastAsia="Times New Roman" w:hAnsi="Arial" w:cs="Arial"/>
      <w:sz w:val="16"/>
      <w:szCs w:val="16"/>
      <w:lang w:val="es-ES" w:eastAsia="es-ES"/>
    </w:rPr>
  </w:style>
  <w:style w:type="paragraph" w:customStyle="1" w:styleId="xl179">
    <w:name w:val="xl179"/>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outlineLvl w:val="0"/>
    </w:pPr>
    <w:rPr>
      <w:rFonts w:ascii="Arial" w:eastAsia="Times New Roman" w:hAnsi="Arial" w:cs="Arial"/>
      <w:color w:val="000000"/>
      <w:sz w:val="16"/>
      <w:szCs w:val="16"/>
      <w:lang w:val="es-ES" w:eastAsia="es-ES"/>
    </w:rPr>
  </w:style>
  <w:style w:type="paragraph" w:customStyle="1" w:styleId="xl180">
    <w:name w:val="xl180"/>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outlineLvl w:val="0"/>
    </w:pPr>
    <w:rPr>
      <w:rFonts w:ascii="Arial" w:eastAsia="Times New Roman" w:hAnsi="Arial" w:cs="Arial"/>
      <w:sz w:val="16"/>
      <w:szCs w:val="16"/>
      <w:lang w:val="es-ES" w:eastAsia="es-ES"/>
    </w:rPr>
  </w:style>
  <w:style w:type="paragraph" w:customStyle="1" w:styleId="xl181">
    <w:name w:val="xl181"/>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outlineLvl w:val="0"/>
    </w:pPr>
    <w:rPr>
      <w:rFonts w:ascii="Arial" w:eastAsia="Times New Roman" w:hAnsi="Arial" w:cs="Arial"/>
      <w:b/>
      <w:bCs/>
      <w:sz w:val="16"/>
      <w:szCs w:val="16"/>
      <w:lang w:val="es-ES" w:eastAsia="es-ES"/>
    </w:rPr>
  </w:style>
  <w:style w:type="paragraph" w:customStyle="1" w:styleId="xl182">
    <w:name w:val="xl182"/>
    <w:basedOn w:val="Normal"/>
    <w:rsid w:val="00692DC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outlineLvl w:val="0"/>
    </w:pPr>
    <w:rPr>
      <w:rFonts w:ascii="Arial" w:eastAsia="Times New Roman" w:hAnsi="Arial" w:cs="Arial"/>
      <w:b/>
      <w:bCs/>
      <w:sz w:val="16"/>
      <w:szCs w:val="16"/>
      <w:lang w:val="es-ES" w:eastAsia="es-ES"/>
    </w:rPr>
  </w:style>
  <w:style w:type="paragraph" w:customStyle="1" w:styleId="xl183">
    <w:name w:val="xl183"/>
    <w:basedOn w:val="Normal"/>
    <w:rsid w:val="00692DC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outlineLvl w:val="0"/>
    </w:pPr>
    <w:rPr>
      <w:rFonts w:ascii="Arial" w:eastAsia="Times New Roman" w:hAnsi="Arial" w:cs="Arial"/>
      <w:b/>
      <w:bCs/>
      <w:sz w:val="16"/>
      <w:szCs w:val="16"/>
      <w:lang w:val="es-ES" w:eastAsia="es-ES"/>
    </w:rPr>
  </w:style>
  <w:style w:type="paragraph" w:customStyle="1" w:styleId="msonormal0">
    <w:name w:val="msonormal"/>
    <w:basedOn w:val="Normal"/>
    <w:rsid w:val="00692DC8"/>
    <w:pPr>
      <w:spacing w:before="100" w:beforeAutospacing="1" w:after="100" w:afterAutospacing="1" w:line="240" w:lineRule="auto"/>
      <w:outlineLvl w:val="0"/>
    </w:pPr>
    <w:rPr>
      <w:rFonts w:ascii="Times New Roman" w:eastAsia="Times New Roman" w:hAnsi="Times New Roman" w:cs="Times New Roman"/>
      <w:szCs w:val="24"/>
      <w:lang w:eastAsia="es-CR"/>
    </w:rPr>
  </w:style>
  <w:style w:type="paragraph" w:customStyle="1" w:styleId="font5">
    <w:name w:val="font5"/>
    <w:basedOn w:val="Normal"/>
    <w:rsid w:val="00692DC8"/>
    <w:pPr>
      <w:spacing w:before="100" w:beforeAutospacing="1" w:after="100" w:afterAutospacing="1" w:line="240" w:lineRule="auto"/>
      <w:outlineLvl w:val="0"/>
    </w:pPr>
    <w:rPr>
      <w:rFonts w:eastAsia="Times New Roman" w:cs="Times New Roman"/>
      <w:b/>
      <w:bCs/>
      <w:color w:val="000000"/>
      <w:sz w:val="28"/>
      <w:szCs w:val="28"/>
      <w:u w:val="single"/>
      <w:lang w:eastAsia="es-CR"/>
    </w:rPr>
  </w:style>
  <w:style w:type="paragraph" w:customStyle="1" w:styleId="font6">
    <w:name w:val="font6"/>
    <w:basedOn w:val="Normal"/>
    <w:rsid w:val="00692DC8"/>
    <w:pPr>
      <w:spacing w:before="100" w:beforeAutospacing="1" w:after="100" w:afterAutospacing="1" w:line="240" w:lineRule="auto"/>
      <w:outlineLvl w:val="0"/>
    </w:pPr>
    <w:rPr>
      <w:rFonts w:eastAsia="Times New Roman" w:cs="Times New Roman"/>
      <w:color w:val="000000"/>
      <w:sz w:val="28"/>
      <w:szCs w:val="28"/>
      <w:lang w:eastAsia="es-CR"/>
    </w:rPr>
  </w:style>
  <w:style w:type="paragraph" w:customStyle="1" w:styleId="font7">
    <w:name w:val="font7"/>
    <w:basedOn w:val="Normal"/>
    <w:rsid w:val="00692DC8"/>
    <w:pPr>
      <w:spacing w:before="100" w:beforeAutospacing="1" w:after="100" w:afterAutospacing="1" w:line="240" w:lineRule="auto"/>
      <w:outlineLvl w:val="0"/>
    </w:pPr>
    <w:rPr>
      <w:rFonts w:ascii="Tahoma" w:eastAsia="Times New Roman" w:hAnsi="Tahoma" w:cs="Tahoma"/>
      <w:b/>
      <w:bCs/>
      <w:color w:val="000000"/>
      <w:sz w:val="18"/>
      <w:szCs w:val="18"/>
      <w:lang w:eastAsia="es-CR"/>
    </w:rPr>
  </w:style>
  <w:style w:type="paragraph" w:customStyle="1" w:styleId="font8">
    <w:name w:val="font8"/>
    <w:basedOn w:val="Normal"/>
    <w:rsid w:val="00692DC8"/>
    <w:pPr>
      <w:spacing w:before="100" w:beforeAutospacing="1" w:after="100" w:afterAutospacing="1" w:line="240" w:lineRule="auto"/>
      <w:outlineLvl w:val="0"/>
    </w:pPr>
    <w:rPr>
      <w:rFonts w:ascii="Tahoma" w:eastAsia="Times New Roman" w:hAnsi="Tahoma" w:cs="Tahoma"/>
      <w:color w:val="000000"/>
      <w:sz w:val="18"/>
      <w:szCs w:val="18"/>
      <w:lang w:eastAsia="es-CR"/>
    </w:rPr>
  </w:style>
  <w:style w:type="paragraph" w:customStyle="1" w:styleId="font9">
    <w:name w:val="font9"/>
    <w:basedOn w:val="Normal"/>
    <w:rsid w:val="00692DC8"/>
    <w:pPr>
      <w:spacing w:before="100" w:beforeAutospacing="1" w:after="100" w:afterAutospacing="1" w:line="240" w:lineRule="auto"/>
      <w:outlineLvl w:val="0"/>
    </w:pPr>
    <w:rPr>
      <w:rFonts w:eastAsia="Times New Roman" w:cs="Times New Roman"/>
      <w:color w:val="000000"/>
      <w:sz w:val="28"/>
      <w:szCs w:val="28"/>
      <w:lang w:eastAsia="es-CR"/>
    </w:rPr>
  </w:style>
  <w:style w:type="paragraph" w:customStyle="1" w:styleId="xl184">
    <w:name w:val="xl184"/>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outlineLvl w:val="0"/>
    </w:pPr>
    <w:rPr>
      <w:rFonts w:ascii="Times New Roman" w:eastAsia="Times New Roman" w:hAnsi="Times New Roman" w:cs="Times New Roman"/>
      <w:b/>
      <w:bCs/>
      <w:szCs w:val="24"/>
      <w:lang w:eastAsia="es-CR"/>
    </w:rPr>
  </w:style>
  <w:style w:type="paragraph" w:customStyle="1" w:styleId="xl185">
    <w:name w:val="xl185"/>
    <w:basedOn w:val="Normal"/>
    <w:rsid w:val="00692DC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outlineLvl w:val="0"/>
    </w:pPr>
    <w:rPr>
      <w:rFonts w:ascii="Times New Roman" w:eastAsia="Times New Roman" w:hAnsi="Times New Roman" w:cs="Times New Roman"/>
      <w:szCs w:val="24"/>
      <w:lang w:eastAsia="es-CR"/>
    </w:rPr>
  </w:style>
  <w:style w:type="paragraph" w:customStyle="1" w:styleId="xl186">
    <w:name w:val="xl186"/>
    <w:basedOn w:val="Normal"/>
    <w:rsid w:val="00692DC8"/>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87">
    <w:name w:val="xl187"/>
    <w:basedOn w:val="Normal"/>
    <w:rsid w:val="00692DC8"/>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88">
    <w:name w:val="xl188"/>
    <w:basedOn w:val="Normal"/>
    <w:rsid w:val="00692DC8"/>
    <w:pPr>
      <w:pBdr>
        <w:left w:val="single" w:sz="8" w:space="0" w:color="auto"/>
        <w:bottom w:val="single" w:sz="4" w:space="0" w:color="auto"/>
      </w:pBdr>
      <w:shd w:val="clear" w:color="000000" w:fill="DAEEF3"/>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189">
    <w:name w:val="xl189"/>
    <w:basedOn w:val="Normal"/>
    <w:rsid w:val="00692DC8"/>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90">
    <w:name w:val="xl190"/>
    <w:basedOn w:val="Normal"/>
    <w:rsid w:val="00692DC8"/>
    <w:pP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91">
    <w:name w:val="xl191"/>
    <w:basedOn w:val="Normal"/>
    <w:rsid w:val="00692DC8"/>
    <w:pPr>
      <w:shd w:val="clear" w:color="000000" w:fill="DAEEF3"/>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92">
    <w:name w:val="xl192"/>
    <w:basedOn w:val="Normal"/>
    <w:rsid w:val="00692DC8"/>
    <w:pPr>
      <w:pBdr>
        <w:right w:val="single" w:sz="8"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93">
    <w:name w:val="xl193"/>
    <w:basedOn w:val="Normal"/>
    <w:rsid w:val="00692DC8"/>
    <w:pPr>
      <w:pBdr>
        <w:left w:val="single" w:sz="8" w:space="0" w:color="auto"/>
      </w:pBd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94">
    <w:name w:val="xl194"/>
    <w:basedOn w:val="Normal"/>
    <w:rsid w:val="00692DC8"/>
    <w:pPr>
      <w:pBdr>
        <w:left w:val="single" w:sz="8"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95">
    <w:name w:val="xl195"/>
    <w:basedOn w:val="Normal"/>
    <w:rsid w:val="00692DC8"/>
    <w:pPr>
      <w:pBdr>
        <w:left w:val="single" w:sz="8" w:space="0" w:color="auto"/>
        <w:right w:val="single" w:sz="8" w:space="0" w:color="auto"/>
      </w:pBd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96">
    <w:name w:val="xl196"/>
    <w:basedOn w:val="Normal"/>
    <w:rsid w:val="00692DC8"/>
    <w:pPr>
      <w:pBdr>
        <w:left w:val="single" w:sz="8"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97">
    <w:name w:val="xl197"/>
    <w:basedOn w:val="Normal"/>
    <w:rsid w:val="00692DC8"/>
    <w:pP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98">
    <w:name w:val="xl198"/>
    <w:basedOn w:val="Normal"/>
    <w:rsid w:val="00692DC8"/>
    <w:pPr>
      <w:pBdr>
        <w:bottom w:val="single" w:sz="8" w:space="0" w:color="auto"/>
      </w:pBd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99">
    <w:name w:val="xl199"/>
    <w:basedOn w:val="Normal"/>
    <w:rsid w:val="00692DC8"/>
    <w:pPr>
      <w:pBdr>
        <w:left w:val="single" w:sz="8" w:space="0" w:color="auto"/>
        <w:right w:val="single" w:sz="4"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00">
    <w:name w:val="xl200"/>
    <w:basedOn w:val="Normal"/>
    <w:rsid w:val="00692DC8"/>
    <w:pPr>
      <w:pBdr>
        <w:right w:val="single" w:sz="4"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01">
    <w:name w:val="xl201"/>
    <w:basedOn w:val="Normal"/>
    <w:rsid w:val="00692DC8"/>
    <w:pPr>
      <w:pBdr>
        <w:left w:val="single" w:sz="8" w:space="0" w:color="auto"/>
        <w:right w:val="single" w:sz="4" w:space="0" w:color="auto"/>
      </w:pBd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02">
    <w:name w:val="xl202"/>
    <w:basedOn w:val="Normal"/>
    <w:rsid w:val="00692DC8"/>
    <w:pPr>
      <w:pBdr>
        <w:right w:val="single" w:sz="8" w:space="0" w:color="auto"/>
      </w:pBd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03">
    <w:name w:val="xl203"/>
    <w:basedOn w:val="Normal"/>
    <w:rsid w:val="00692DC8"/>
    <w:pPr>
      <w:pBdr>
        <w:left w:val="single" w:sz="8"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04">
    <w:name w:val="xl204"/>
    <w:basedOn w:val="Normal"/>
    <w:rsid w:val="00692DC8"/>
    <w:pP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05">
    <w:name w:val="xl205"/>
    <w:basedOn w:val="Normal"/>
    <w:rsid w:val="00692DC8"/>
    <w:pP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06">
    <w:name w:val="xl206"/>
    <w:basedOn w:val="Normal"/>
    <w:rsid w:val="00692DC8"/>
    <w:pPr>
      <w:pBdr>
        <w:bottom w:val="single" w:sz="8"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07">
    <w:name w:val="xl207"/>
    <w:basedOn w:val="Normal"/>
    <w:rsid w:val="00692DC8"/>
    <w:pPr>
      <w:pBdr>
        <w:bottom w:val="single" w:sz="8"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08">
    <w:name w:val="xl208"/>
    <w:basedOn w:val="Normal"/>
    <w:rsid w:val="00692DC8"/>
    <w:pPr>
      <w:pBdr>
        <w:bottom w:val="single" w:sz="8"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09">
    <w:name w:val="xl209"/>
    <w:basedOn w:val="Normal"/>
    <w:rsid w:val="00692DC8"/>
    <w:pPr>
      <w:pBdr>
        <w:bottom w:val="single" w:sz="8" w:space="0" w:color="auto"/>
      </w:pBdr>
      <w:shd w:val="clear" w:color="000000" w:fill="DAEEF3"/>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10">
    <w:name w:val="xl210"/>
    <w:basedOn w:val="Normal"/>
    <w:rsid w:val="00692DC8"/>
    <w:pPr>
      <w:pBdr>
        <w:bottom w:val="single" w:sz="8"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11">
    <w:name w:val="xl211"/>
    <w:basedOn w:val="Normal"/>
    <w:rsid w:val="00692DC8"/>
    <w:pPr>
      <w:pBdr>
        <w:bottom w:val="single" w:sz="8" w:space="0" w:color="auto"/>
        <w:right w:val="single" w:sz="4"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12">
    <w:name w:val="xl212"/>
    <w:basedOn w:val="Normal"/>
    <w:rsid w:val="00692DC8"/>
    <w:pPr>
      <w:pBdr>
        <w:left w:val="single" w:sz="4" w:space="0" w:color="auto"/>
        <w:bottom w:val="single" w:sz="8" w:space="0" w:color="auto"/>
        <w:right w:val="single" w:sz="4"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13">
    <w:name w:val="xl213"/>
    <w:basedOn w:val="Normal"/>
    <w:rsid w:val="00692DC8"/>
    <w:pPr>
      <w:pBdr>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14">
    <w:name w:val="xl214"/>
    <w:basedOn w:val="Normal"/>
    <w:rsid w:val="00692DC8"/>
    <w:pPr>
      <w:pBdr>
        <w:left w:val="single" w:sz="4" w:space="0" w:color="auto"/>
        <w:right w:val="single" w:sz="4" w:space="0" w:color="auto"/>
      </w:pBdr>
      <w:shd w:val="clear" w:color="000000" w:fill="DAEEF3"/>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15">
    <w:name w:val="xl215"/>
    <w:basedOn w:val="Normal"/>
    <w:rsid w:val="00692DC8"/>
    <w:pPr>
      <w:pBdr>
        <w:left w:val="single" w:sz="4" w:space="0" w:color="auto"/>
        <w:right w:val="single" w:sz="4"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16">
    <w:name w:val="xl216"/>
    <w:basedOn w:val="Normal"/>
    <w:rsid w:val="00692DC8"/>
    <w:pPr>
      <w:pBdr>
        <w:right w:val="single" w:sz="4" w:space="0" w:color="auto"/>
      </w:pBdr>
      <w:shd w:val="clear" w:color="000000" w:fill="BFBFBF"/>
      <w:spacing w:before="100" w:beforeAutospacing="1" w:after="100" w:afterAutospacing="1" w:line="240" w:lineRule="auto"/>
      <w:jc w:val="center"/>
      <w:textAlignment w:val="center"/>
      <w:outlineLvl w:val="0"/>
    </w:pPr>
    <w:rPr>
      <w:rFonts w:ascii="Times New Roman" w:eastAsia="Times New Roman" w:hAnsi="Times New Roman" w:cs="Times New Roman"/>
      <w:sz w:val="28"/>
      <w:szCs w:val="28"/>
      <w:lang w:eastAsia="es-CR"/>
    </w:rPr>
  </w:style>
  <w:style w:type="paragraph" w:customStyle="1" w:styleId="xl217">
    <w:name w:val="xl217"/>
    <w:basedOn w:val="Normal"/>
    <w:rsid w:val="00692DC8"/>
    <w:pPr>
      <w:pBdr>
        <w:left w:val="single" w:sz="8" w:space="0" w:color="auto"/>
        <w:right w:val="single" w:sz="8" w:space="0" w:color="auto"/>
      </w:pBdr>
      <w:shd w:val="clear" w:color="000000" w:fill="DAEEF3"/>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18">
    <w:name w:val="xl218"/>
    <w:basedOn w:val="Normal"/>
    <w:rsid w:val="00692DC8"/>
    <w:pPr>
      <w:pBdr>
        <w:left w:val="single" w:sz="8"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19">
    <w:name w:val="xl219"/>
    <w:basedOn w:val="Normal"/>
    <w:rsid w:val="00692DC8"/>
    <w:pP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20">
    <w:name w:val="xl220"/>
    <w:basedOn w:val="Normal"/>
    <w:rsid w:val="00692DC8"/>
    <w:pPr>
      <w:pBdr>
        <w:top w:val="single" w:sz="4" w:space="0" w:color="auto"/>
        <w:bottom w:val="single" w:sz="4" w:space="0" w:color="auto"/>
        <w:right w:val="single" w:sz="8"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21">
    <w:name w:val="xl221"/>
    <w:basedOn w:val="Normal"/>
    <w:rsid w:val="00692DC8"/>
    <w:pPr>
      <w:pBdr>
        <w:bottom w:val="single" w:sz="4" w:space="0" w:color="auto"/>
        <w:right w:val="single" w:sz="8"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22">
    <w:name w:val="xl222"/>
    <w:basedOn w:val="Normal"/>
    <w:rsid w:val="00692DC8"/>
    <w:pPr>
      <w:pBdr>
        <w:right w:val="single" w:sz="8"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23">
    <w:name w:val="xl223"/>
    <w:basedOn w:val="Normal"/>
    <w:rsid w:val="00692DC8"/>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24">
    <w:name w:val="xl224"/>
    <w:basedOn w:val="Normal"/>
    <w:rsid w:val="00692DC8"/>
    <w:pPr>
      <w:pBdr>
        <w:left w:val="single" w:sz="8" w:space="0" w:color="auto"/>
        <w:bottom w:val="single" w:sz="4" w:space="0" w:color="auto"/>
        <w:right w:val="single" w:sz="8" w:space="0" w:color="auto"/>
      </w:pBd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25">
    <w:name w:val="xl225"/>
    <w:basedOn w:val="Normal"/>
    <w:rsid w:val="00692DC8"/>
    <w:pP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26">
    <w:name w:val="xl226"/>
    <w:basedOn w:val="Normal"/>
    <w:rsid w:val="00692DC8"/>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jc w:val="right"/>
      <w:textAlignment w:val="center"/>
      <w:outlineLvl w:val="0"/>
    </w:pPr>
    <w:rPr>
      <w:rFonts w:ascii="Times New Roman" w:eastAsia="Times New Roman" w:hAnsi="Times New Roman" w:cs="Times New Roman"/>
      <w:sz w:val="28"/>
      <w:szCs w:val="28"/>
      <w:lang w:eastAsia="es-CR"/>
    </w:rPr>
  </w:style>
  <w:style w:type="paragraph" w:customStyle="1" w:styleId="xl227">
    <w:name w:val="xl227"/>
    <w:basedOn w:val="Normal"/>
    <w:rsid w:val="00692DC8"/>
    <w:pP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28">
    <w:name w:val="xl228"/>
    <w:basedOn w:val="Normal"/>
    <w:rsid w:val="00692DC8"/>
    <w:pPr>
      <w:pBdr>
        <w:left w:val="single" w:sz="8" w:space="0" w:color="auto"/>
      </w:pBdr>
      <w:shd w:val="clear" w:color="000000" w:fill="DAEEF3"/>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229">
    <w:name w:val="xl229"/>
    <w:basedOn w:val="Normal"/>
    <w:rsid w:val="00692DC8"/>
    <w:pPr>
      <w:pBdr>
        <w:left w:val="single" w:sz="8" w:space="0" w:color="auto"/>
        <w:right w:val="single" w:sz="8" w:space="0" w:color="auto"/>
      </w:pBdr>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230">
    <w:name w:val="xl230"/>
    <w:basedOn w:val="Normal"/>
    <w:rsid w:val="00692DC8"/>
    <w:pPr>
      <w:pBdr>
        <w:left w:val="single" w:sz="8" w:space="0" w:color="auto"/>
        <w:right w:val="single" w:sz="8" w:space="0" w:color="auto"/>
      </w:pBdr>
      <w:shd w:val="clear" w:color="000000" w:fill="FCD5B4"/>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31">
    <w:name w:val="xl231"/>
    <w:basedOn w:val="Normal"/>
    <w:rsid w:val="00692DC8"/>
    <w:pPr>
      <w:pBdr>
        <w:left w:val="single" w:sz="8" w:space="0" w:color="auto"/>
        <w:right w:val="single" w:sz="8"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232">
    <w:name w:val="xl232"/>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outlineLvl w:val="0"/>
    </w:pPr>
    <w:rPr>
      <w:rFonts w:ascii="Times New Roman" w:eastAsia="Times New Roman" w:hAnsi="Times New Roman" w:cs="Times New Roman"/>
      <w:szCs w:val="24"/>
      <w:lang w:eastAsia="es-CR"/>
    </w:rPr>
  </w:style>
  <w:style w:type="paragraph" w:customStyle="1" w:styleId="xl233">
    <w:name w:val="xl233"/>
    <w:basedOn w:val="Normal"/>
    <w:rsid w:val="00692DC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234">
    <w:name w:val="xl234"/>
    <w:basedOn w:val="Normal"/>
    <w:rsid w:val="00692DC8"/>
    <w:pPr>
      <w:pBdr>
        <w:top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35">
    <w:name w:val="xl235"/>
    <w:basedOn w:val="Normal"/>
    <w:rsid w:val="00692DC8"/>
    <w:pPr>
      <w:pBdr>
        <w:top w:val="single" w:sz="8" w:space="0" w:color="auto"/>
        <w:left w:val="single" w:sz="8" w:space="0" w:color="auto"/>
        <w:bottom w:val="single" w:sz="4" w:space="0" w:color="auto"/>
        <w:right w:val="single" w:sz="8" w:space="0" w:color="auto"/>
      </w:pBdr>
      <w:spacing w:before="100" w:beforeAutospacing="1" w:after="100" w:afterAutospacing="1" w:line="240" w:lineRule="auto"/>
      <w:outlineLvl w:val="0"/>
    </w:pPr>
    <w:rPr>
      <w:rFonts w:ascii="Times New Roman" w:eastAsia="Times New Roman" w:hAnsi="Times New Roman" w:cs="Times New Roman"/>
      <w:szCs w:val="24"/>
      <w:lang w:eastAsia="es-CR"/>
    </w:rPr>
  </w:style>
  <w:style w:type="paragraph" w:customStyle="1" w:styleId="xl236">
    <w:name w:val="xl236"/>
    <w:basedOn w:val="Normal"/>
    <w:rsid w:val="00692DC8"/>
    <w:pPr>
      <w:pBdr>
        <w:top w:val="single" w:sz="4" w:space="0" w:color="auto"/>
        <w:left w:val="single" w:sz="8" w:space="0" w:color="auto"/>
        <w:bottom w:val="single" w:sz="4" w:space="0" w:color="auto"/>
        <w:right w:val="single" w:sz="8" w:space="0" w:color="auto"/>
      </w:pBdr>
      <w:spacing w:before="100" w:beforeAutospacing="1" w:after="100" w:afterAutospacing="1" w:line="240" w:lineRule="auto"/>
      <w:outlineLvl w:val="0"/>
    </w:pPr>
    <w:rPr>
      <w:rFonts w:ascii="Times New Roman" w:eastAsia="Times New Roman" w:hAnsi="Times New Roman" w:cs="Times New Roman"/>
      <w:szCs w:val="24"/>
      <w:lang w:eastAsia="es-CR"/>
    </w:rPr>
  </w:style>
  <w:style w:type="paragraph" w:customStyle="1" w:styleId="xl237">
    <w:name w:val="xl237"/>
    <w:basedOn w:val="Normal"/>
    <w:rsid w:val="00692DC8"/>
    <w:pPr>
      <w:pBdr>
        <w:bottom w:val="single" w:sz="4" w:space="0" w:color="auto"/>
      </w:pBdr>
      <w:shd w:val="clear" w:color="000000" w:fill="DAEEF3"/>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38">
    <w:name w:val="xl238"/>
    <w:basedOn w:val="Normal"/>
    <w:rsid w:val="00692DC8"/>
    <w:pPr>
      <w:shd w:val="clear" w:color="000000" w:fill="DAEEF3"/>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39">
    <w:name w:val="xl239"/>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40">
    <w:name w:val="xl240"/>
    <w:basedOn w:val="Normal"/>
    <w:rsid w:val="00692DC8"/>
    <w:pP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41">
    <w:name w:val="xl241"/>
    <w:basedOn w:val="Normal"/>
    <w:rsid w:val="00692DC8"/>
    <w:pPr>
      <w:pBdr>
        <w:top w:val="single" w:sz="4" w:space="0" w:color="auto"/>
        <w:left w:val="single" w:sz="8" w:space="0" w:color="auto"/>
        <w:right w:val="single" w:sz="8" w:space="0" w:color="auto"/>
      </w:pBdr>
      <w:spacing w:before="100" w:beforeAutospacing="1" w:after="100" w:afterAutospacing="1" w:line="240" w:lineRule="auto"/>
      <w:outlineLvl w:val="0"/>
    </w:pPr>
    <w:rPr>
      <w:rFonts w:ascii="Times New Roman" w:eastAsia="Times New Roman" w:hAnsi="Times New Roman" w:cs="Times New Roman"/>
      <w:szCs w:val="24"/>
      <w:lang w:eastAsia="es-CR"/>
    </w:rPr>
  </w:style>
  <w:style w:type="paragraph" w:customStyle="1" w:styleId="xl242">
    <w:name w:val="xl242"/>
    <w:basedOn w:val="Normal"/>
    <w:rsid w:val="00692DC8"/>
    <w:pPr>
      <w:pBdr>
        <w:top w:val="single" w:sz="4" w:space="0" w:color="auto"/>
        <w:right w:val="single" w:sz="4" w:space="0" w:color="auto"/>
      </w:pBdr>
      <w:shd w:val="clear" w:color="000000" w:fill="FCD5B4"/>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43">
    <w:name w:val="xl243"/>
    <w:basedOn w:val="Normal"/>
    <w:rsid w:val="00692DC8"/>
    <w:pPr>
      <w:pBdr>
        <w:top w:val="single" w:sz="4" w:space="0" w:color="auto"/>
        <w:left w:val="single" w:sz="4" w:space="0" w:color="auto"/>
        <w:right w:val="single" w:sz="4" w:space="0" w:color="auto"/>
      </w:pBdr>
      <w:spacing w:before="100" w:beforeAutospacing="1" w:after="100" w:afterAutospacing="1" w:line="240" w:lineRule="auto"/>
      <w:outlineLvl w:val="0"/>
    </w:pPr>
    <w:rPr>
      <w:rFonts w:ascii="Times New Roman" w:eastAsia="Times New Roman" w:hAnsi="Times New Roman" w:cs="Times New Roman"/>
      <w:szCs w:val="24"/>
      <w:lang w:eastAsia="es-CR"/>
    </w:rPr>
  </w:style>
  <w:style w:type="paragraph" w:customStyle="1" w:styleId="xl244">
    <w:name w:val="xl244"/>
    <w:basedOn w:val="Normal"/>
    <w:rsid w:val="00692DC8"/>
    <w:pPr>
      <w:pBdr>
        <w:top w:val="single" w:sz="4" w:space="0" w:color="auto"/>
        <w:left w:val="single" w:sz="4" w:space="0" w:color="auto"/>
        <w:right w:val="single" w:sz="4"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45">
    <w:name w:val="xl245"/>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outlineLvl w:val="0"/>
    </w:pPr>
    <w:rPr>
      <w:rFonts w:ascii="Arial" w:eastAsia="Times New Roman" w:hAnsi="Arial" w:cs="Arial"/>
      <w:color w:val="222222"/>
      <w:szCs w:val="24"/>
      <w:lang w:eastAsia="es-CR"/>
    </w:rPr>
  </w:style>
  <w:style w:type="paragraph" w:customStyle="1" w:styleId="xl246">
    <w:name w:val="xl246"/>
    <w:basedOn w:val="Normal"/>
    <w:rsid w:val="00692DC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47">
    <w:name w:val="xl247"/>
    <w:basedOn w:val="Normal"/>
    <w:rsid w:val="00692D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48">
    <w:name w:val="xl248"/>
    <w:basedOn w:val="Normal"/>
    <w:rsid w:val="00692D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249">
    <w:name w:val="xl249"/>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50">
    <w:name w:val="xl250"/>
    <w:basedOn w:val="Normal"/>
    <w:rsid w:val="00692DC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51">
    <w:name w:val="xl251"/>
    <w:basedOn w:val="Normal"/>
    <w:rsid w:val="00692D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52">
    <w:name w:val="xl252"/>
    <w:basedOn w:val="Normal"/>
    <w:rsid w:val="00692DC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53">
    <w:name w:val="xl253"/>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54">
    <w:name w:val="xl254"/>
    <w:basedOn w:val="Normal"/>
    <w:rsid w:val="00692DC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55">
    <w:name w:val="xl255"/>
    <w:basedOn w:val="Normal"/>
    <w:rsid w:val="00692DC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56">
    <w:name w:val="xl256"/>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57">
    <w:name w:val="xl257"/>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258">
    <w:name w:val="xl258"/>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outlineLvl w:val="0"/>
    </w:pPr>
    <w:rPr>
      <w:rFonts w:ascii="Times New Roman" w:eastAsia="Times New Roman" w:hAnsi="Times New Roman" w:cs="Times New Roman"/>
      <w:sz w:val="28"/>
      <w:szCs w:val="28"/>
      <w:lang w:eastAsia="es-CR"/>
    </w:rPr>
  </w:style>
  <w:style w:type="paragraph" w:customStyle="1" w:styleId="xl259">
    <w:name w:val="xl259"/>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60">
    <w:name w:val="xl260"/>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261">
    <w:name w:val="xl261"/>
    <w:basedOn w:val="Normal"/>
    <w:rsid w:val="00692DC8"/>
    <w:pPr>
      <w:pBdr>
        <w:top w:val="single" w:sz="4" w:space="0" w:color="auto"/>
        <w:left w:val="single" w:sz="4" w:space="0" w:color="auto"/>
        <w:right w:val="single" w:sz="4" w:space="0" w:color="auto"/>
      </w:pBdr>
      <w:spacing w:before="100" w:beforeAutospacing="1" w:after="100" w:afterAutospacing="1" w:line="240" w:lineRule="auto"/>
      <w:outlineLvl w:val="0"/>
    </w:pPr>
    <w:rPr>
      <w:rFonts w:ascii="Arial" w:eastAsia="Times New Roman" w:hAnsi="Arial" w:cs="Arial"/>
      <w:color w:val="222222"/>
      <w:szCs w:val="24"/>
      <w:lang w:eastAsia="es-CR"/>
    </w:rPr>
  </w:style>
  <w:style w:type="paragraph" w:customStyle="1" w:styleId="xl262">
    <w:name w:val="xl262"/>
    <w:basedOn w:val="Normal"/>
    <w:rsid w:val="00692DC8"/>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63">
    <w:name w:val="xl263"/>
    <w:basedOn w:val="Normal"/>
    <w:rsid w:val="00692DC8"/>
    <w:pPr>
      <w:pBdr>
        <w:top w:val="single" w:sz="4" w:space="0" w:color="auto"/>
        <w:left w:val="single" w:sz="4"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264">
    <w:name w:val="xl264"/>
    <w:basedOn w:val="Normal"/>
    <w:rsid w:val="00692DC8"/>
    <w:pPr>
      <w:pBdr>
        <w:top w:val="single" w:sz="4" w:space="0" w:color="auto"/>
        <w:left w:val="single" w:sz="4" w:space="0" w:color="auto"/>
        <w:right w:val="single" w:sz="4" w:space="0" w:color="auto"/>
      </w:pBdr>
      <w:shd w:val="clear" w:color="000000" w:fill="DCE6F1"/>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265">
    <w:name w:val="xl265"/>
    <w:basedOn w:val="Normal"/>
    <w:rsid w:val="00692DC8"/>
    <w:pPr>
      <w:pBdr>
        <w:top w:val="single" w:sz="4" w:space="0" w:color="auto"/>
        <w:left w:val="single" w:sz="4" w:space="0" w:color="auto"/>
        <w:right w:val="single" w:sz="4" w:space="0" w:color="auto"/>
      </w:pBdr>
      <w:spacing w:before="100" w:beforeAutospacing="1" w:after="100" w:afterAutospacing="1" w:line="240" w:lineRule="auto"/>
      <w:jc w:val="right"/>
      <w:textAlignment w:val="center"/>
      <w:outlineLvl w:val="0"/>
    </w:pPr>
    <w:rPr>
      <w:rFonts w:ascii="Times New Roman" w:eastAsia="Times New Roman" w:hAnsi="Times New Roman" w:cs="Times New Roman"/>
      <w:sz w:val="28"/>
      <w:szCs w:val="28"/>
      <w:lang w:eastAsia="es-CR"/>
    </w:rPr>
  </w:style>
  <w:style w:type="paragraph" w:customStyle="1" w:styleId="xl266">
    <w:name w:val="xl266"/>
    <w:basedOn w:val="Normal"/>
    <w:rsid w:val="00692DC8"/>
    <w:pPr>
      <w:pBdr>
        <w:top w:val="single" w:sz="4" w:space="0" w:color="auto"/>
        <w:left w:val="single" w:sz="4" w:space="0" w:color="auto"/>
        <w:right w:val="single" w:sz="4" w:space="0" w:color="auto"/>
      </w:pBdr>
      <w:spacing w:before="100" w:beforeAutospacing="1" w:after="100" w:afterAutospacing="1" w:line="240" w:lineRule="auto"/>
      <w:jc w:val="right"/>
      <w:textAlignment w:val="center"/>
      <w:outlineLvl w:val="0"/>
    </w:pPr>
    <w:rPr>
      <w:rFonts w:ascii="Times New Roman" w:eastAsia="Times New Roman" w:hAnsi="Times New Roman" w:cs="Times New Roman"/>
      <w:sz w:val="28"/>
      <w:szCs w:val="28"/>
      <w:lang w:eastAsia="es-CR"/>
    </w:rPr>
  </w:style>
  <w:style w:type="paragraph" w:customStyle="1" w:styleId="xl267">
    <w:name w:val="xl267"/>
    <w:basedOn w:val="Normal"/>
    <w:rsid w:val="00692DC8"/>
    <w:pPr>
      <w:pBdr>
        <w:top w:val="single" w:sz="4" w:space="0" w:color="auto"/>
        <w:left w:val="single" w:sz="4" w:space="0" w:color="auto"/>
        <w:right w:val="single" w:sz="4"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68">
    <w:name w:val="xl268"/>
    <w:basedOn w:val="Normal"/>
    <w:rsid w:val="00692DC8"/>
    <w:pPr>
      <w:pBdr>
        <w:top w:val="single" w:sz="4" w:space="0" w:color="auto"/>
        <w:left w:val="single" w:sz="4" w:space="0" w:color="auto"/>
        <w:right w:val="single" w:sz="4"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sz w:val="28"/>
      <w:szCs w:val="28"/>
      <w:lang w:eastAsia="es-CR"/>
    </w:rPr>
  </w:style>
  <w:style w:type="paragraph" w:customStyle="1" w:styleId="xl269">
    <w:name w:val="xl269"/>
    <w:basedOn w:val="Normal"/>
    <w:rsid w:val="00692DC8"/>
    <w:pPr>
      <w:pBdr>
        <w:top w:val="single" w:sz="4" w:space="0" w:color="auto"/>
        <w:left w:val="single" w:sz="4" w:space="0" w:color="auto"/>
        <w:right w:val="single" w:sz="4" w:space="0" w:color="auto"/>
      </w:pBdr>
      <w:spacing w:before="100" w:beforeAutospacing="1" w:after="100" w:afterAutospacing="1" w:line="240" w:lineRule="auto"/>
      <w:jc w:val="right"/>
      <w:textAlignment w:val="center"/>
      <w:outlineLvl w:val="0"/>
    </w:pPr>
    <w:rPr>
      <w:rFonts w:ascii="Times New Roman" w:eastAsia="Times New Roman" w:hAnsi="Times New Roman" w:cs="Times New Roman"/>
      <w:sz w:val="28"/>
      <w:szCs w:val="28"/>
      <w:lang w:eastAsia="es-CR"/>
    </w:rPr>
  </w:style>
  <w:style w:type="paragraph" w:customStyle="1" w:styleId="xl270">
    <w:name w:val="xl270"/>
    <w:basedOn w:val="Normal"/>
    <w:rsid w:val="00692DC8"/>
    <w:pPr>
      <w:pBdr>
        <w:top w:val="single" w:sz="4" w:space="0" w:color="auto"/>
        <w:left w:val="single" w:sz="4"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71">
    <w:name w:val="xl271"/>
    <w:basedOn w:val="Normal"/>
    <w:rsid w:val="00692DC8"/>
    <w:pPr>
      <w:pBdr>
        <w:top w:val="single" w:sz="8" w:space="0" w:color="auto"/>
        <w:right w:val="single" w:sz="8"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72">
    <w:name w:val="xl272"/>
    <w:basedOn w:val="Normal"/>
    <w:rsid w:val="00692DC8"/>
    <w:pPr>
      <w:pBdr>
        <w:top w:val="single" w:sz="8" w:space="0" w:color="auto"/>
        <w:left w:val="single" w:sz="8"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73">
    <w:name w:val="xl273"/>
    <w:basedOn w:val="Normal"/>
    <w:rsid w:val="00692DC8"/>
    <w:pPr>
      <w:pBdr>
        <w:top w:val="single" w:sz="8"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74">
    <w:name w:val="xl274"/>
    <w:basedOn w:val="Normal"/>
    <w:rsid w:val="00692DC8"/>
    <w:pPr>
      <w:pBdr>
        <w:top w:val="single" w:sz="8" w:space="0" w:color="auto"/>
        <w:left w:val="single" w:sz="4"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75">
    <w:name w:val="xl275"/>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76">
    <w:name w:val="xl276"/>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277">
    <w:name w:val="xl277"/>
    <w:basedOn w:val="Normal"/>
    <w:rsid w:val="00692DC8"/>
    <w:pPr>
      <w:spacing w:before="100" w:beforeAutospacing="1" w:after="100" w:afterAutospacing="1" w:line="240" w:lineRule="auto"/>
      <w:jc w:val="center"/>
      <w:outlineLvl w:val="0"/>
    </w:pPr>
    <w:rPr>
      <w:rFonts w:ascii="Times New Roman" w:eastAsia="Times New Roman" w:hAnsi="Times New Roman" w:cs="Times New Roman"/>
      <w:b/>
      <w:bCs/>
      <w:sz w:val="48"/>
      <w:szCs w:val="48"/>
      <w:lang w:eastAsia="es-CR"/>
    </w:rPr>
  </w:style>
  <w:style w:type="paragraph" w:customStyle="1" w:styleId="xl278">
    <w:name w:val="xl278"/>
    <w:basedOn w:val="Normal"/>
    <w:rsid w:val="00692DC8"/>
    <w:pPr>
      <w:pBdr>
        <w:top w:val="single" w:sz="8" w:space="0" w:color="auto"/>
        <w:left w:val="single" w:sz="8" w:space="0" w:color="auto"/>
        <w:right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79">
    <w:name w:val="xl279"/>
    <w:basedOn w:val="Normal"/>
    <w:rsid w:val="00692DC8"/>
    <w:pPr>
      <w:pBdr>
        <w:left w:val="single" w:sz="8" w:space="0" w:color="auto"/>
        <w:right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80">
    <w:name w:val="xl280"/>
    <w:basedOn w:val="Normal"/>
    <w:rsid w:val="00692DC8"/>
    <w:pPr>
      <w:pBdr>
        <w:left w:val="single" w:sz="8" w:space="0" w:color="auto"/>
        <w:bottom w:val="single" w:sz="8" w:space="0" w:color="auto"/>
        <w:right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81">
    <w:name w:val="xl281"/>
    <w:basedOn w:val="Normal"/>
    <w:rsid w:val="00692DC8"/>
    <w:pPr>
      <w:pBdr>
        <w:top w:val="single" w:sz="8" w:space="0" w:color="auto"/>
        <w:left w:val="single" w:sz="8" w:space="0" w:color="auto"/>
        <w:bottom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82">
    <w:name w:val="xl282"/>
    <w:basedOn w:val="Normal"/>
    <w:rsid w:val="00692DC8"/>
    <w:pPr>
      <w:pBdr>
        <w:top w:val="single" w:sz="8" w:space="0" w:color="auto"/>
        <w:bottom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83">
    <w:name w:val="xl283"/>
    <w:basedOn w:val="Normal"/>
    <w:rsid w:val="00692DC8"/>
    <w:pPr>
      <w:pBdr>
        <w:top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84">
    <w:name w:val="xl284"/>
    <w:basedOn w:val="Normal"/>
    <w:rsid w:val="00692DC8"/>
    <w:pPr>
      <w:pBdr>
        <w:top w:val="single" w:sz="8" w:space="0" w:color="auto"/>
        <w:right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85">
    <w:name w:val="xl285"/>
    <w:basedOn w:val="Normal"/>
    <w:rsid w:val="00692DC8"/>
    <w:pPr>
      <w:pBdr>
        <w:top w:val="single" w:sz="8" w:space="0" w:color="auto"/>
        <w:left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86">
    <w:name w:val="xl286"/>
    <w:basedOn w:val="Normal"/>
    <w:rsid w:val="00692DC8"/>
    <w:pPr>
      <w:pBdr>
        <w:top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87">
    <w:name w:val="xl287"/>
    <w:basedOn w:val="Normal"/>
    <w:rsid w:val="00692DC8"/>
    <w:pPr>
      <w:pBdr>
        <w:top w:val="single" w:sz="8" w:space="0" w:color="auto"/>
        <w:right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88">
    <w:name w:val="xl288"/>
    <w:basedOn w:val="Normal"/>
    <w:rsid w:val="00692DC8"/>
    <w:pPr>
      <w:pBdr>
        <w:top w:val="single" w:sz="8" w:space="0" w:color="auto"/>
        <w:left w:val="single" w:sz="8" w:space="0" w:color="auto"/>
        <w:bottom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89">
    <w:name w:val="xl289"/>
    <w:basedOn w:val="Normal"/>
    <w:rsid w:val="00692DC8"/>
    <w:pPr>
      <w:pBdr>
        <w:top w:val="single" w:sz="8" w:space="0" w:color="auto"/>
        <w:bottom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90">
    <w:name w:val="xl290"/>
    <w:basedOn w:val="Normal"/>
    <w:rsid w:val="00692DC8"/>
    <w:pPr>
      <w:pBdr>
        <w:top w:val="single" w:sz="8" w:space="0" w:color="auto"/>
        <w:left w:val="single" w:sz="8" w:space="0" w:color="auto"/>
        <w:righ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91">
    <w:name w:val="xl291"/>
    <w:basedOn w:val="Normal"/>
    <w:rsid w:val="00692DC8"/>
    <w:pPr>
      <w:pBdr>
        <w:left w:val="single" w:sz="8" w:space="0" w:color="auto"/>
        <w:bottom w:val="single" w:sz="8" w:space="0" w:color="auto"/>
        <w:righ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92">
    <w:name w:val="xl292"/>
    <w:basedOn w:val="Normal"/>
    <w:rsid w:val="00692DC8"/>
    <w:pPr>
      <w:pBdr>
        <w:top w:val="single" w:sz="8" w:space="0" w:color="auto"/>
        <w:lef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93">
    <w:name w:val="xl293"/>
    <w:basedOn w:val="Normal"/>
    <w:rsid w:val="00692DC8"/>
    <w:pPr>
      <w:pBdr>
        <w:top w:val="single" w:sz="8" w:space="0" w:color="auto"/>
        <w:righ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94">
    <w:name w:val="xl294"/>
    <w:basedOn w:val="Normal"/>
    <w:rsid w:val="00692DC8"/>
    <w:pPr>
      <w:pBdr>
        <w:bottom w:val="single" w:sz="8" w:space="0" w:color="auto"/>
        <w:righ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95">
    <w:name w:val="xl295"/>
    <w:basedOn w:val="Normal"/>
    <w:rsid w:val="00692DC8"/>
    <w:pPr>
      <w:pBdr>
        <w:top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96">
    <w:name w:val="xl296"/>
    <w:basedOn w:val="Normal"/>
    <w:rsid w:val="00692DC8"/>
    <w:pPr>
      <w:pBdr>
        <w:bottom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97">
    <w:name w:val="xl297"/>
    <w:basedOn w:val="Normal"/>
    <w:rsid w:val="00692DC8"/>
    <w:pPr>
      <w:pBdr>
        <w:left w:val="single" w:sz="8" w:space="0" w:color="auto"/>
        <w:bottom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98">
    <w:name w:val="xl298"/>
    <w:basedOn w:val="Normal"/>
    <w:rsid w:val="00692DC8"/>
    <w:pPr>
      <w:pBdr>
        <w:top w:val="single" w:sz="8" w:space="0" w:color="auto"/>
        <w:left w:val="single" w:sz="8" w:space="0" w:color="auto"/>
        <w:righ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99">
    <w:name w:val="xl299"/>
    <w:basedOn w:val="Normal"/>
    <w:rsid w:val="00692DC8"/>
    <w:pPr>
      <w:pBdr>
        <w:left w:val="single" w:sz="8" w:space="0" w:color="auto"/>
        <w:bottom w:val="single" w:sz="8" w:space="0" w:color="auto"/>
        <w:righ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300">
    <w:name w:val="xl300"/>
    <w:basedOn w:val="Normal"/>
    <w:rsid w:val="00692DC8"/>
    <w:pPr>
      <w:pBdr>
        <w:top w:val="single" w:sz="8" w:space="0" w:color="auto"/>
        <w:lef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301">
    <w:name w:val="xl301"/>
    <w:basedOn w:val="Normal"/>
    <w:rsid w:val="00692DC8"/>
    <w:pPr>
      <w:pBdr>
        <w:top w:val="single" w:sz="8" w:space="0" w:color="auto"/>
        <w:righ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302">
    <w:name w:val="xl302"/>
    <w:basedOn w:val="Normal"/>
    <w:rsid w:val="00692DC8"/>
    <w:pPr>
      <w:pBdr>
        <w:top w:val="single" w:sz="8" w:space="0" w:color="auto"/>
        <w:bottom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303">
    <w:name w:val="xl303"/>
    <w:basedOn w:val="Normal"/>
    <w:rsid w:val="00692DC8"/>
    <w:pPr>
      <w:pBdr>
        <w:bottom w:val="single" w:sz="8" w:space="0" w:color="auto"/>
        <w:righ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304">
    <w:name w:val="xl304"/>
    <w:basedOn w:val="Normal"/>
    <w:rsid w:val="00692DC8"/>
    <w:pPr>
      <w:pBdr>
        <w:top w:val="single" w:sz="8" w:space="0" w:color="auto"/>
        <w:left w:val="single" w:sz="8" w:space="0" w:color="auto"/>
        <w:bottom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305">
    <w:name w:val="xl305"/>
    <w:basedOn w:val="Normal"/>
    <w:rsid w:val="00692DC8"/>
    <w:pPr>
      <w:pBdr>
        <w:top w:val="single" w:sz="8" w:space="0" w:color="auto"/>
        <w:bottom w:val="single" w:sz="8" w:space="0" w:color="auto"/>
        <w:righ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306">
    <w:name w:val="xl306"/>
    <w:basedOn w:val="Normal"/>
    <w:rsid w:val="00692DC8"/>
    <w:pPr>
      <w:pBdr>
        <w:top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307">
    <w:name w:val="xl307"/>
    <w:basedOn w:val="Normal"/>
    <w:rsid w:val="00692DC8"/>
    <w:pPr>
      <w:pBdr>
        <w:top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308">
    <w:name w:val="xl308"/>
    <w:basedOn w:val="Normal"/>
    <w:rsid w:val="00692DC8"/>
    <w:pPr>
      <w:pBdr>
        <w:top w:val="single" w:sz="8" w:space="0" w:color="auto"/>
        <w:lef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NumberedParagraph-BulletelistLeft0Firstline0">
    <w:name w:val="Numbered Paragraph - Bullete list + Left:  0&quot; First line:  0&quot;"/>
    <w:basedOn w:val="Normal"/>
    <w:rsid w:val="00692DC8"/>
    <w:pPr>
      <w:numPr>
        <w:numId w:val="9"/>
      </w:numPr>
      <w:spacing w:before="120" w:after="0" w:line="240" w:lineRule="exact"/>
      <w:ind w:right="360"/>
      <w:outlineLvl w:val="0"/>
    </w:pPr>
    <w:rPr>
      <w:rFonts w:ascii="Times New Roman" w:eastAsia="Times New Roman" w:hAnsi="Times New Roman" w:cs="Times New Roman"/>
      <w:snapToGrid w:val="0"/>
      <w:sz w:val="20"/>
      <w:szCs w:val="20"/>
      <w:lang w:val="en-US" w:eastAsia="es-ES"/>
    </w:rPr>
  </w:style>
  <w:style w:type="table" w:customStyle="1" w:styleId="Tabladecuadrcula2-nfasis32">
    <w:name w:val="Tabla de cuadrícula 2 - Énfasis 32"/>
    <w:basedOn w:val="Tablanormal"/>
    <w:uiPriority w:val="47"/>
    <w:rsid w:val="00692DC8"/>
    <w:pPr>
      <w:spacing w:after="0" w:line="240" w:lineRule="auto"/>
    </w:pPr>
    <w:rPr>
      <w:rFonts w:ascii="Calibri" w:eastAsia="Calibri" w:hAnsi="Calibri" w:cs="Times New Roman"/>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2-nfasis33">
    <w:name w:val="Tabla de cuadrícula 2 - Énfasis 33"/>
    <w:basedOn w:val="Tablanormal"/>
    <w:uiPriority w:val="47"/>
    <w:rsid w:val="00692DC8"/>
    <w:pPr>
      <w:spacing w:after="0" w:line="240" w:lineRule="auto"/>
    </w:pPr>
    <w:rPr>
      <w:rFonts w:ascii="Calibri" w:eastAsia="Calibri" w:hAnsi="Calibri" w:cs="Times New Roman"/>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xl63">
    <w:name w:val="xl63"/>
    <w:basedOn w:val="Normal"/>
    <w:rsid w:val="00692DC8"/>
    <w:pPr>
      <w:pBdr>
        <w:top w:val="single" w:sz="8" w:space="0" w:color="auto"/>
        <w:bottom w:val="single" w:sz="8" w:space="0" w:color="auto"/>
        <w:right w:val="single" w:sz="8" w:space="0" w:color="auto"/>
      </w:pBdr>
      <w:shd w:val="clear" w:color="000000" w:fill="365F91"/>
      <w:spacing w:before="100" w:beforeAutospacing="1" w:after="100" w:afterAutospacing="1" w:line="240" w:lineRule="auto"/>
      <w:jc w:val="center"/>
      <w:textAlignment w:val="center"/>
      <w:outlineLvl w:val="0"/>
    </w:pPr>
    <w:rPr>
      <w:rFonts w:eastAsia="Times New Roman" w:cs="Times New Roman"/>
      <w:color w:val="FFFFFF"/>
      <w:szCs w:val="24"/>
      <w:lang w:eastAsia="es-CR"/>
    </w:rPr>
  </w:style>
  <w:style w:type="paragraph" w:customStyle="1" w:styleId="xl64">
    <w:name w:val="xl64"/>
    <w:basedOn w:val="Normal"/>
    <w:rsid w:val="00692DC8"/>
    <w:pPr>
      <w:pBdr>
        <w:bottom w:val="single" w:sz="8" w:space="0" w:color="auto"/>
        <w:right w:val="single" w:sz="8" w:space="0" w:color="auto"/>
      </w:pBdr>
      <w:spacing w:before="100" w:beforeAutospacing="1" w:after="100" w:afterAutospacing="1" w:line="240" w:lineRule="auto"/>
      <w:textAlignment w:val="center"/>
      <w:outlineLvl w:val="0"/>
    </w:pPr>
    <w:rPr>
      <w:rFonts w:eastAsia="Times New Roman" w:cs="Times New Roman"/>
      <w:color w:val="000000"/>
      <w:szCs w:val="24"/>
      <w:lang w:eastAsia="es-CR"/>
    </w:rPr>
  </w:style>
  <w:style w:type="paragraph" w:customStyle="1" w:styleId="xl65">
    <w:name w:val="xl65"/>
    <w:basedOn w:val="Normal"/>
    <w:rsid w:val="00692DC8"/>
    <w:pPr>
      <w:pBdr>
        <w:left w:val="single" w:sz="8" w:space="0" w:color="auto"/>
        <w:bottom w:val="single" w:sz="8" w:space="0" w:color="auto"/>
        <w:right w:val="single" w:sz="8" w:space="0" w:color="auto"/>
      </w:pBdr>
      <w:spacing w:before="100" w:beforeAutospacing="1" w:after="100" w:afterAutospacing="1" w:line="240" w:lineRule="auto"/>
      <w:textAlignment w:val="center"/>
      <w:outlineLvl w:val="0"/>
    </w:pPr>
    <w:rPr>
      <w:rFonts w:eastAsia="Times New Roman" w:cs="Times New Roman"/>
      <w:color w:val="000000"/>
      <w:szCs w:val="24"/>
      <w:lang w:eastAsia="es-CR"/>
    </w:rPr>
  </w:style>
  <w:style w:type="table" w:customStyle="1" w:styleId="Tablaconcuadrcula2-nfasis31">
    <w:name w:val="Tabla con cuadrícula 2 - Énfasis 31"/>
    <w:basedOn w:val="Tablanormal"/>
    <w:uiPriority w:val="47"/>
    <w:rsid w:val="00692DC8"/>
    <w:pPr>
      <w:spacing w:after="0" w:line="240" w:lineRule="auto"/>
    </w:pPr>
    <w:rPr>
      <w:rFonts w:ascii="Calibri" w:eastAsia="Calibri" w:hAnsi="Calibri" w:cs="Times New Roman"/>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Lista">
    <w:name w:val="List"/>
    <w:basedOn w:val="Normal"/>
    <w:uiPriority w:val="99"/>
    <w:unhideWhenUsed/>
    <w:rsid w:val="00692DC8"/>
    <w:pPr>
      <w:spacing w:after="0" w:line="240" w:lineRule="auto"/>
      <w:ind w:left="283" w:hanging="283"/>
      <w:contextualSpacing/>
      <w:outlineLvl w:val="0"/>
    </w:pPr>
    <w:rPr>
      <w:rFonts w:eastAsia="Calibri" w:cs="Times New Roman"/>
    </w:rPr>
  </w:style>
  <w:style w:type="paragraph" w:styleId="Lista2">
    <w:name w:val="List 2"/>
    <w:basedOn w:val="Normal"/>
    <w:uiPriority w:val="99"/>
    <w:unhideWhenUsed/>
    <w:rsid w:val="00692DC8"/>
    <w:pPr>
      <w:spacing w:after="0" w:line="240" w:lineRule="auto"/>
      <w:ind w:left="566" w:hanging="283"/>
      <w:contextualSpacing/>
      <w:outlineLvl w:val="0"/>
    </w:pPr>
    <w:rPr>
      <w:rFonts w:eastAsia="Calibri" w:cs="Times New Roman"/>
    </w:rPr>
  </w:style>
  <w:style w:type="paragraph" w:styleId="Listaconvietas2">
    <w:name w:val="List Bullet 2"/>
    <w:basedOn w:val="Normal"/>
    <w:uiPriority w:val="99"/>
    <w:unhideWhenUsed/>
    <w:rsid w:val="00692DC8"/>
    <w:pPr>
      <w:numPr>
        <w:numId w:val="10"/>
      </w:numPr>
      <w:spacing w:after="0" w:line="240" w:lineRule="auto"/>
      <w:contextualSpacing/>
      <w:outlineLvl w:val="0"/>
    </w:pPr>
    <w:rPr>
      <w:rFonts w:eastAsia="Calibri" w:cs="Times New Roman"/>
    </w:rPr>
  </w:style>
  <w:style w:type="paragraph" w:styleId="Listaconvietas3">
    <w:name w:val="List Bullet 3"/>
    <w:basedOn w:val="Normal"/>
    <w:uiPriority w:val="99"/>
    <w:unhideWhenUsed/>
    <w:rsid w:val="00692DC8"/>
    <w:pPr>
      <w:numPr>
        <w:numId w:val="11"/>
      </w:numPr>
      <w:spacing w:after="0" w:line="240" w:lineRule="auto"/>
      <w:contextualSpacing/>
      <w:outlineLvl w:val="0"/>
    </w:pPr>
    <w:rPr>
      <w:rFonts w:eastAsia="Calibri" w:cs="Times New Roman"/>
    </w:rPr>
  </w:style>
  <w:style w:type="paragraph" w:styleId="Listaconvietas4">
    <w:name w:val="List Bullet 4"/>
    <w:basedOn w:val="Normal"/>
    <w:uiPriority w:val="99"/>
    <w:unhideWhenUsed/>
    <w:rsid w:val="00692DC8"/>
    <w:pPr>
      <w:numPr>
        <w:numId w:val="12"/>
      </w:numPr>
      <w:spacing w:after="0" w:line="240" w:lineRule="auto"/>
      <w:contextualSpacing/>
      <w:outlineLvl w:val="0"/>
    </w:pPr>
    <w:rPr>
      <w:rFonts w:eastAsia="Calibri" w:cs="Times New Roman"/>
    </w:rPr>
  </w:style>
  <w:style w:type="paragraph" w:styleId="Continuarlista3">
    <w:name w:val="List Continue 3"/>
    <w:basedOn w:val="Normal"/>
    <w:uiPriority w:val="99"/>
    <w:unhideWhenUsed/>
    <w:rsid w:val="00692DC8"/>
    <w:pPr>
      <w:spacing w:after="120" w:line="240" w:lineRule="auto"/>
      <w:ind w:left="849"/>
      <w:contextualSpacing/>
      <w:outlineLvl w:val="0"/>
    </w:pPr>
    <w:rPr>
      <w:rFonts w:eastAsia="Calibri" w:cs="Times New Roman"/>
    </w:rPr>
  </w:style>
  <w:style w:type="paragraph" w:customStyle="1" w:styleId="Direccininterior">
    <w:name w:val="Dirección interior"/>
    <w:basedOn w:val="Normal"/>
    <w:rsid w:val="00692DC8"/>
    <w:pPr>
      <w:spacing w:after="0" w:line="240" w:lineRule="auto"/>
      <w:outlineLvl w:val="0"/>
    </w:pPr>
    <w:rPr>
      <w:rFonts w:eastAsia="Calibri" w:cs="Times New Roman"/>
    </w:rPr>
  </w:style>
  <w:style w:type="paragraph" w:styleId="Textoindependienteprimerasangra2">
    <w:name w:val="Body Text First Indent 2"/>
    <w:basedOn w:val="Sangradetextonormal"/>
    <w:link w:val="Textoindependienteprimerasangra2Car"/>
    <w:uiPriority w:val="99"/>
    <w:unhideWhenUsed/>
    <w:rsid w:val="00692DC8"/>
    <w:pPr>
      <w:spacing w:after="200" w:line="276" w:lineRule="auto"/>
      <w:ind w:firstLine="360"/>
      <w:jc w:val="left"/>
    </w:pPr>
    <w:rPr>
      <w:rFonts w:ascii="Calibri" w:eastAsia="Calibri" w:hAnsi="Calibri"/>
      <w:sz w:val="22"/>
      <w:szCs w:val="22"/>
      <w:lang w:eastAsia="en-US"/>
    </w:rPr>
  </w:style>
  <w:style w:type="character" w:customStyle="1" w:styleId="Textoindependienteprimerasangra2Car">
    <w:name w:val="Texto independiente primera sangría 2 Car"/>
    <w:basedOn w:val="SangradetextonormalCar"/>
    <w:link w:val="Textoindependienteprimerasangra2"/>
    <w:uiPriority w:val="99"/>
    <w:rsid w:val="00692DC8"/>
    <w:rPr>
      <w:rFonts w:ascii="Calibri" w:eastAsia="Calibri" w:hAnsi="Calibri" w:cs="Times New Roman"/>
      <w:sz w:val="24"/>
      <w:szCs w:val="20"/>
      <w:lang w:eastAsia="es-ES"/>
    </w:rPr>
  </w:style>
  <w:style w:type="paragraph" w:customStyle="1" w:styleId="Nombredireccininterior">
    <w:name w:val="Nombre dirección interior"/>
    <w:basedOn w:val="Normal"/>
    <w:next w:val="Normal"/>
    <w:rsid w:val="00692DC8"/>
    <w:pPr>
      <w:spacing w:before="220" w:after="0" w:line="240" w:lineRule="atLeast"/>
      <w:outlineLvl w:val="0"/>
    </w:pPr>
    <w:rPr>
      <w:rFonts w:ascii="Arial" w:eastAsia="Batang" w:hAnsi="Arial" w:cs="Times New Roman"/>
      <w:kern w:val="18"/>
      <w:szCs w:val="20"/>
      <w:lang w:val="es-ES"/>
    </w:rPr>
  </w:style>
  <w:style w:type="table" w:customStyle="1" w:styleId="Tablaconcuadrcula11">
    <w:name w:val="Tabla con cuadrícula11"/>
    <w:basedOn w:val="Tablanormal"/>
    <w:next w:val="Tablaconcuadrcula"/>
    <w:uiPriority w:val="59"/>
    <w:rsid w:val="00692DC8"/>
    <w:pPr>
      <w:spacing w:after="0" w:line="240" w:lineRule="auto"/>
    </w:pPr>
    <w:rPr>
      <w:rFonts w:ascii="Calibri" w:eastAsia="Calibri" w:hAnsi="Calibri"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echa">
    <w:name w:val="Date"/>
    <w:basedOn w:val="Normal"/>
    <w:next w:val="Normal"/>
    <w:link w:val="FechaCar"/>
    <w:uiPriority w:val="99"/>
    <w:semiHidden/>
    <w:unhideWhenUsed/>
    <w:rsid w:val="00692DC8"/>
    <w:pPr>
      <w:spacing w:after="0" w:line="240" w:lineRule="auto"/>
      <w:outlineLvl w:val="0"/>
    </w:pPr>
    <w:rPr>
      <w:rFonts w:eastAsia="Calibri" w:cs="Times New Roman"/>
    </w:rPr>
  </w:style>
  <w:style w:type="character" w:customStyle="1" w:styleId="FechaCar">
    <w:name w:val="Fecha Car"/>
    <w:basedOn w:val="Fuentedeprrafopredeter"/>
    <w:link w:val="Fecha"/>
    <w:uiPriority w:val="99"/>
    <w:semiHidden/>
    <w:rsid w:val="00692DC8"/>
    <w:rPr>
      <w:rFonts w:ascii="Arial Narrow" w:eastAsia="Calibri" w:hAnsi="Arial Narrow" w:cs="Times New Roman"/>
      <w:sz w:val="24"/>
    </w:rPr>
  </w:style>
  <w:style w:type="table" w:styleId="Sombreadoclaro-nfasis4">
    <w:name w:val="Light Shading Accent 4"/>
    <w:basedOn w:val="Tablanormal"/>
    <w:uiPriority w:val="60"/>
    <w:rsid w:val="00692DC8"/>
    <w:pPr>
      <w:spacing w:after="0" w:line="240" w:lineRule="auto"/>
    </w:pPr>
    <w:rPr>
      <w:rFonts w:ascii="Calibri" w:eastAsia="Calibri" w:hAnsi="Calibri" w:cs="Times New Roman"/>
      <w:color w:val="5F497A"/>
      <w:sz w:val="20"/>
      <w:szCs w:val="20"/>
      <w:lang w:eastAsia="es-C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anormal41">
    <w:name w:val="Tabla normal 41"/>
    <w:basedOn w:val="Tablanormal"/>
    <w:uiPriority w:val="44"/>
    <w:rsid w:val="00692DC8"/>
    <w:pPr>
      <w:spacing w:after="0" w:line="240" w:lineRule="auto"/>
    </w:pPr>
    <w:rPr>
      <w:rFonts w:ascii="Calibri" w:eastAsia="Calibri" w:hAnsi="Calibri" w:cs="Times New Roman"/>
      <w:sz w:val="20"/>
      <w:szCs w:val="20"/>
      <w:lang w:eastAsia="es-C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
    <w:name w:val="Tabla normal 11"/>
    <w:basedOn w:val="Tablanormal"/>
    <w:uiPriority w:val="41"/>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1">
    <w:name w:val="Tabla de cuadrícula 41"/>
    <w:basedOn w:val="Tablanormal"/>
    <w:uiPriority w:val="49"/>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nfasis61">
    <w:name w:val="Tabla de cuadrícula 4 - Énfasis 61"/>
    <w:basedOn w:val="Tablanormal"/>
    <w:uiPriority w:val="49"/>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11">
    <w:name w:val="Tabla de cuadrícula 4 - Énfasis 11"/>
    <w:basedOn w:val="Tablanormal"/>
    <w:uiPriority w:val="49"/>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2-nfasis41">
    <w:name w:val="Tabla de cuadrícula 2 - Énfasis 41"/>
    <w:basedOn w:val="Tablanormal"/>
    <w:uiPriority w:val="47"/>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cuadrcula6concolores1">
    <w:name w:val="Tabla de cuadrícula 6 con colores1"/>
    <w:basedOn w:val="Tablanormal"/>
    <w:uiPriority w:val="51"/>
    <w:rsid w:val="00692DC8"/>
    <w:pPr>
      <w:spacing w:after="0" w:line="240" w:lineRule="auto"/>
    </w:pPr>
    <w:rPr>
      <w:rFonts w:ascii="Calibri" w:eastAsia="Calibri" w:hAnsi="Calibri" w:cs="Times New Roman"/>
      <w:color w:val="000000"/>
      <w:sz w:val="20"/>
      <w:szCs w:val="20"/>
      <w:lang w:eastAsia="es-C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6concolores-nfasis21">
    <w:name w:val="Tabla de cuadrícula 6 con colores - Énfasis 21"/>
    <w:basedOn w:val="Tablanormal"/>
    <w:uiPriority w:val="51"/>
    <w:rsid w:val="00692DC8"/>
    <w:pPr>
      <w:spacing w:after="0" w:line="240" w:lineRule="auto"/>
    </w:pPr>
    <w:rPr>
      <w:rFonts w:ascii="Calibri" w:eastAsia="Calibri" w:hAnsi="Calibri" w:cs="Times New Roman"/>
      <w:color w:val="C45911"/>
      <w:sz w:val="20"/>
      <w:szCs w:val="20"/>
      <w:lang w:eastAsia="es-C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6concolores-nfasis51">
    <w:name w:val="Tabla de cuadrícula 6 con colores - Énfasis 51"/>
    <w:basedOn w:val="Tablanormal"/>
    <w:uiPriority w:val="51"/>
    <w:rsid w:val="00692DC8"/>
    <w:pPr>
      <w:spacing w:after="0" w:line="240" w:lineRule="auto"/>
    </w:pPr>
    <w:rPr>
      <w:rFonts w:ascii="Calibri" w:eastAsia="Calibri" w:hAnsi="Calibri" w:cs="Times New Roman"/>
      <w:color w:val="2F5496"/>
      <w:sz w:val="20"/>
      <w:szCs w:val="20"/>
      <w:lang w:eastAsia="es-C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6concolores-nfasis11">
    <w:name w:val="Tabla de cuadrícula 6 con colores - Énfasis 11"/>
    <w:basedOn w:val="Tablanormal"/>
    <w:uiPriority w:val="51"/>
    <w:rsid w:val="00692DC8"/>
    <w:pPr>
      <w:spacing w:after="0" w:line="240" w:lineRule="auto"/>
    </w:pPr>
    <w:rPr>
      <w:rFonts w:ascii="Calibri" w:eastAsia="Calibri" w:hAnsi="Calibri" w:cs="Times New Roman"/>
      <w:color w:val="2E74B5"/>
      <w:sz w:val="20"/>
      <w:szCs w:val="20"/>
      <w:lang w:eastAsia="es-C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1clara-nfasis11">
    <w:name w:val="Tabla de cuadrícula 1 clara - Énfasis 11"/>
    <w:basedOn w:val="Tablanormal"/>
    <w:uiPriority w:val="46"/>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normal31">
    <w:name w:val="Tabla normal 31"/>
    <w:basedOn w:val="Tablanormal"/>
    <w:uiPriority w:val="43"/>
    <w:rsid w:val="00692DC8"/>
    <w:pPr>
      <w:spacing w:after="0" w:line="240" w:lineRule="auto"/>
    </w:pPr>
    <w:rPr>
      <w:rFonts w:ascii="Calibri" w:eastAsia="Calibri" w:hAnsi="Calibri" w:cs="Times New Roman"/>
      <w:sz w:val="20"/>
      <w:szCs w:val="20"/>
      <w:lang w:eastAsia="es-C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Listaclara-nfasis1">
    <w:name w:val="Light List Accent 1"/>
    <w:basedOn w:val="Tablanormal"/>
    <w:uiPriority w:val="61"/>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medio2-nfasis1">
    <w:name w:val="Medium Shading 2 Accent 1"/>
    <w:basedOn w:val="Tablanormal"/>
    <w:uiPriority w:val="64"/>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aelegante">
    <w:name w:val="Table Elegant"/>
    <w:basedOn w:val="Tablanormal"/>
    <w:rsid w:val="00692DC8"/>
    <w:pPr>
      <w:spacing w:after="0" w:line="240" w:lineRule="auto"/>
    </w:pPr>
    <w:rPr>
      <w:rFonts w:ascii="Times New Roman" w:eastAsia="Times New Roman" w:hAnsi="Times New Roman" w:cs="Times New Roman"/>
      <w:sz w:val="20"/>
      <w:szCs w:val="20"/>
      <w:lang w:val="es-ES" w:eastAsia="es-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Textoindependienteprimerasangra">
    <w:name w:val="Body Text First Indent"/>
    <w:basedOn w:val="Textoindependiente"/>
    <w:link w:val="TextoindependienteprimerasangraCar"/>
    <w:rsid w:val="00692DC8"/>
    <w:pPr>
      <w:spacing w:after="0" w:line="240" w:lineRule="auto"/>
      <w:ind w:firstLine="360"/>
    </w:pPr>
    <w:rPr>
      <w:rFonts w:ascii="Times New Roman" w:hAnsi="Times New Roman"/>
      <w:szCs w:val="24"/>
      <w:lang w:val="es-ES" w:eastAsia="es-ES"/>
    </w:rPr>
  </w:style>
  <w:style w:type="character" w:customStyle="1" w:styleId="TextoindependienteprimerasangraCar">
    <w:name w:val="Texto independiente primera sangría Car"/>
    <w:basedOn w:val="TextoindependienteCar"/>
    <w:link w:val="Textoindependienteprimerasangra"/>
    <w:rsid w:val="00692DC8"/>
    <w:rPr>
      <w:rFonts w:ascii="Times New Roman" w:eastAsia="Times New Roman" w:hAnsi="Times New Roman" w:cs="Times New Roman"/>
      <w:sz w:val="24"/>
      <w:szCs w:val="24"/>
      <w:lang w:val="es-ES" w:eastAsia="es-ES"/>
    </w:rPr>
  </w:style>
  <w:style w:type="character" w:customStyle="1" w:styleId="SinespaciadoCar">
    <w:name w:val="Sin espaciado Car"/>
    <w:link w:val="Sinespaciado"/>
    <w:uiPriority w:val="1"/>
    <w:locked/>
    <w:rsid w:val="00692DC8"/>
    <w:rPr>
      <w:rFonts w:ascii="Calibri" w:eastAsia="Times New Roman" w:hAnsi="Calibri" w:cs="Times New Roman"/>
      <w:lang w:eastAsia="es-CR"/>
    </w:rPr>
  </w:style>
  <w:style w:type="paragraph" w:customStyle="1" w:styleId="Body">
    <w:name w:val="Body"/>
    <w:basedOn w:val="Normal"/>
    <w:rsid w:val="00692DC8"/>
    <w:pPr>
      <w:spacing w:after="0" w:line="240" w:lineRule="auto"/>
      <w:outlineLvl w:val="0"/>
    </w:pPr>
    <w:rPr>
      <w:rFonts w:eastAsia="Calibri" w:cs="Times New Roman"/>
      <w:color w:val="000000"/>
      <w:lang w:eastAsia="es-CR"/>
    </w:rPr>
  </w:style>
  <w:style w:type="paragraph" w:customStyle="1" w:styleId="Prrafodelista2">
    <w:name w:val="Párrafo de lista2"/>
    <w:basedOn w:val="Normal"/>
    <w:rsid w:val="00692DC8"/>
    <w:pPr>
      <w:autoSpaceDE w:val="0"/>
      <w:autoSpaceDN w:val="0"/>
      <w:spacing w:after="0" w:line="240" w:lineRule="auto"/>
      <w:ind w:left="708"/>
      <w:outlineLvl w:val="0"/>
    </w:pPr>
    <w:rPr>
      <w:rFonts w:eastAsia="Calibri" w:cs="Calibri"/>
      <w:szCs w:val="24"/>
      <w:lang w:val="es-ES" w:eastAsia="es-ES"/>
    </w:rPr>
  </w:style>
  <w:style w:type="paragraph" w:customStyle="1" w:styleId="Prrafodelista1">
    <w:name w:val="Párrafo de lista1"/>
    <w:basedOn w:val="Normal"/>
    <w:rsid w:val="00692DC8"/>
    <w:pPr>
      <w:autoSpaceDE w:val="0"/>
      <w:autoSpaceDN w:val="0"/>
      <w:spacing w:after="0" w:line="240" w:lineRule="auto"/>
      <w:ind w:left="720"/>
      <w:outlineLvl w:val="0"/>
    </w:pPr>
    <w:rPr>
      <w:rFonts w:eastAsia="Calibri" w:cs="Calibri"/>
      <w:szCs w:val="24"/>
      <w:lang w:val="es-ES" w:eastAsia="es-ES"/>
    </w:rPr>
  </w:style>
  <w:style w:type="paragraph" w:customStyle="1" w:styleId="Contenidodelatabla">
    <w:name w:val="Contenido de la tabla"/>
    <w:basedOn w:val="Normal"/>
    <w:rsid w:val="00692DC8"/>
    <w:pPr>
      <w:suppressLineNumbers/>
      <w:suppressAutoHyphens/>
      <w:spacing w:after="0" w:line="240" w:lineRule="auto"/>
      <w:outlineLvl w:val="0"/>
    </w:pPr>
    <w:rPr>
      <w:rFonts w:eastAsia="Calibri" w:cs="Times New Roman"/>
      <w:lang w:eastAsia="zh-CN"/>
    </w:rPr>
  </w:style>
  <w:style w:type="paragraph" w:customStyle="1" w:styleId="Estilo1">
    <w:name w:val="Estilo1"/>
    <w:basedOn w:val="Normal"/>
    <w:uiPriority w:val="99"/>
    <w:rsid w:val="00692DC8"/>
    <w:pPr>
      <w:spacing w:after="0" w:line="240" w:lineRule="auto"/>
      <w:outlineLvl w:val="0"/>
    </w:pPr>
    <w:rPr>
      <w:rFonts w:ascii="Arial" w:eastAsia="Times New Roman" w:hAnsi="Arial" w:cs="Arial"/>
      <w:szCs w:val="24"/>
      <w:lang w:val="es-AR" w:eastAsia="es-ES"/>
    </w:rPr>
  </w:style>
  <w:style w:type="numbering" w:customStyle="1" w:styleId="Sinlista21">
    <w:name w:val="Sin lista21"/>
    <w:next w:val="Sinlista"/>
    <w:uiPriority w:val="99"/>
    <w:semiHidden/>
    <w:unhideWhenUsed/>
    <w:rsid w:val="00692DC8"/>
  </w:style>
  <w:style w:type="numbering" w:customStyle="1" w:styleId="Sinlista12">
    <w:name w:val="Sin lista12"/>
    <w:next w:val="Sinlista"/>
    <w:uiPriority w:val="99"/>
    <w:semiHidden/>
    <w:unhideWhenUsed/>
    <w:rsid w:val="00692DC8"/>
  </w:style>
  <w:style w:type="table" w:customStyle="1" w:styleId="Tabladecuadrcula2-nfasis311">
    <w:name w:val="Tabla de cuadrícula 2 - Énfasis 311"/>
    <w:basedOn w:val="Tablanormal"/>
    <w:uiPriority w:val="47"/>
    <w:rsid w:val="00692DC8"/>
    <w:pPr>
      <w:spacing w:after="0" w:line="240" w:lineRule="auto"/>
    </w:pPr>
    <w:rPr>
      <w:rFonts w:ascii="Calibri" w:eastAsia="Calibri" w:hAnsi="Calibri" w:cs="Times New Roman"/>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oncuadrcula2">
    <w:name w:val="Tabla con cuadrícula2"/>
    <w:basedOn w:val="Tablanormal"/>
    <w:next w:val="Tablaconcuadrcula"/>
    <w:uiPriority w:val="59"/>
    <w:rsid w:val="00692D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692DC8"/>
  </w:style>
  <w:style w:type="table" w:customStyle="1" w:styleId="Tabladecuadrcula2-nfasis321">
    <w:name w:val="Tabla de cuadrícula 2 - Énfasis 321"/>
    <w:basedOn w:val="Tablanormal"/>
    <w:uiPriority w:val="47"/>
    <w:rsid w:val="00692DC8"/>
    <w:pPr>
      <w:spacing w:after="0" w:line="240" w:lineRule="auto"/>
    </w:pPr>
    <w:rPr>
      <w:rFonts w:ascii="Calibri" w:eastAsia="Calibri" w:hAnsi="Calibri" w:cs="Times New Roman"/>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2-nfasis331">
    <w:name w:val="Tabla de cuadrícula 2 - Énfasis 331"/>
    <w:basedOn w:val="Tablanormal"/>
    <w:uiPriority w:val="47"/>
    <w:rsid w:val="00692DC8"/>
    <w:pPr>
      <w:spacing w:after="0" w:line="240" w:lineRule="auto"/>
    </w:pPr>
    <w:rPr>
      <w:rFonts w:ascii="Calibri" w:eastAsia="Calibri" w:hAnsi="Calibri" w:cs="Times New Roman"/>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2Accent31">
    <w:name w:val="Grid Table 2 Accent 31"/>
    <w:basedOn w:val="Tablanormal"/>
    <w:uiPriority w:val="47"/>
    <w:rsid w:val="00692DC8"/>
    <w:pPr>
      <w:spacing w:after="0" w:line="240" w:lineRule="auto"/>
    </w:pPr>
    <w:rPr>
      <w:rFonts w:ascii="Calibri" w:eastAsia="Calibri" w:hAnsi="Calibri" w:cs="Times New Roman"/>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Sombreadoclaro-nfasis41">
    <w:name w:val="Sombreado claro - Énfasis 41"/>
    <w:basedOn w:val="Tablanormal"/>
    <w:next w:val="Sombreadoclaro-nfasis4"/>
    <w:uiPriority w:val="60"/>
    <w:rsid w:val="00692DC8"/>
    <w:pPr>
      <w:spacing w:after="0" w:line="240" w:lineRule="auto"/>
    </w:pPr>
    <w:rPr>
      <w:rFonts w:ascii="Calibri" w:eastAsia="Calibri" w:hAnsi="Calibri" w:cs="Times New Roman"/>
      <w:color w:val="5F497A"/>
      <w:sz w:val="20"/>
      <w:szCs w:val="20"/>
      <w:lang w:eastAsia="es-C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anormal411">
    <w:name w:val="Tabla normal 411"/>
    <w:basedOn w:val="Tablanormal"/>
    <w:uiPriority w:val="44"/>
    <w:rsid w:val="00692DC8"/>
    <w:pPr>
      <w:spacing w:after="0" w:line="240" w:lineRule="auto"/>
    </w:pPr>
    <w:rPr>
      <w:rFonts w:ascii="Calibri" w:eastAsia="Calibri" w:hAnsi="Calibri" w:cs="Times New Roman"/>
      <w:sz w:val="20"/>
      <w:szCs w:val="20"/>
      <w:lang w:eastAsia="es-C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1">
    <w:name w:val="Tabla normal 111"/>
    <w:basedOn w:val="Tablanormal"/>
    <w:uiPriority w:val="41"/>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11">
    <w:name w:val="Tabla de cuadrícula 411"/>
    <w:basedOn w:val="Tablanormal"/>
    <w:uiPriority w:val="49"/>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nfasis611">
    <w:name w:val="Tabla de cuadrícula 4 - Énfasis 611"/>
    <w:basedOn w:val="Tablanormal"/>
    <w:uiPriority w:val="49"/>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111">
    <w:name w:val="Tabla de cuadrícula 4 - Énfasis 111"/>
    <w:basedOn w:val="Tablanormal"/>
    <w:uiPriority w:val="49"/>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2-nfasis411">
    <w:name w:val="Tabla de cuadrícula 2 - Énfasis 411"/>
    <w:basedOn w:val="Tablanormal"/>
    <w:uiPriority w:val="47"/>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cuadrcula6concolores11">
    <w:name w:val="Tabla de cuadrícula 6 con colores11"/>
    <w:basedOn w:val="Tablanormal"/>
    <w:uiPriority w:val="51"/>
    <w:rsid w:val="00692DC8"/>
    <w:pPr>
      <w:spacing w:after="0" w:line="240" w:lineRule="auto"/>
    </w:pPr>
    <w:rPr>
      <w:rFonts w:ascii="Calibri" w:eastAsia="Calibri" w:hAnsi="Calibri" w:cs="Times New Roman"/>
      <w:color w:val="000000"/>
      <w:sz w:val="20"/>
      <w:szCs w:val="20"/>
      <w:lang w:eastAsia="es-C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6concolores-nfasis211">
    <w:name w:val="Tabla de cuadrícula 6 con colores - Énfasis 211"/>
    <w:basedOn w:val="Tablanormal"/>
    <w:uiPriority w:val="51"/>
    <w:rsid w:val="00692DC8"/>
    <w:pPr>
      <w:spacing w:after="0" w:line="240" w:lineRule="auto"/>
    </w:pPr>
    <w:rPr>
      <w:rFonts w:ascii="Calibri" w:eastAsia="Calibri" w:hAnsi="Calibri" w:cs="Times New Roman"/>
      <w:color w:val="C45911"/>
      <w:sz w:val="20"/>
      <w:szCs w:val="20"/>
      <w:lang w:eastAsia="es-C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6concolores-nfasis511">
    <w:name w:val="Tabla de cuadrícula 6 con colores - Énfasis 511"/>
    <w:basedOn w:val="Tablanormal"/>
    <w:uiPriority w:val="51"/>
    <w:rsid w:val="00692DC8"/>
    <w:pPr>
      <w:spacing w:after="0" w:line="240" w:lineRule="auto"/>
    </w:pPr>
    <w:rPr>
      <w:rFonts w:ascii="Calibri" w:eastAsia="Calibri" w:hAnsi="Calibri" w:cs="Times New Roman"/>
      <w:color w:val="2F5496"/>
      <w:sz w:val="20"/>
      <w:szCs w:val="20"/>
      <w:lang w:eastAsia="es-C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6concolores-nfasis111">
    <w:name w:val="Tabla de cuadrícula 6 con colores - Énfasis 111"/>
    <w:basedOn w:val="Tablanormal"/>
    <w:uiPriority w:val="51"/>
    <w:rsid w:val="00692DC8"/>
    <w:pPr>
      <w:spacing w:after="0" w:line="240" w:lineRule="auto"/>
    </w:pPr>
    <w:rPr>
      <w:rFonts w:ascii="Calibri" w:eastAsia="Calibri" w:hAnsi="Calibri" w:cs="Times New Roman"/>
      <w:color w:val="2E74B5"/>
      <w:sz w:val="20"/>
      <w:szCs w:val="20"/>
      <w:lang w:eastAsia="es-C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1clara-nfasis111">
    <w:name w:val="Tabla de cuadrícula 1 clara - Énfasis 111"/>
    <w:basedOn w:val="Tablanormal"/>
    <w:uiPriority w:val="46"/>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normal311">
    <w:name w:val="Tabla normal 311"/>
    <w:basedOn w:val="Tablanormal"/>
    <w:uiPriority w:val="43"/>
    <w:rsid w:val="00692DC8"/>
    <w:pPr>
      <w:spacing w:after="0" w:line="240" w:lineRule="auto"/>
    </w:pPr>
    <w:rPr>
      <w:rFonts w:ascii="Calibri" w:eastAsia="Calibri" w:hAnsi="Calibri" w:cs="Times New Roman"/>
      <w:sz w:val="20"/>
      <w:szCs w:val="20"/>
      <w:lang w:eastAsia="es-C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aclara-nfasis11">
    <w:name w:val="Lista clara - Énfasis 11"/>
    <w:basedOn w:val="Tablanormal"/>
    <w:next w:val="Listaclara-nfasis1"/>
    <w:uiPriority w:val="61"/>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anormal"/>
    <w:next w:val="Sombreadomedio2-nfasis1"/>
    <w:uiPriority w:val="64"/>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elegante1">
    <w:name w:val="Tabla elegante1"/>
    <w:basedOn w:val="Tablanormal"/>
    <w:next w:val="Tablaelegante"/>
    <w:rsid w:val="00692DC8"/>
    <w:pPr>
      <w:spacing w:after="0" w:line="240" w:lineRule="auto"/>
    </w:pPr>
    <w:rPr>
      <w:rFonts w:ascii="Times New Roman" w:eastAsia="Times New Roman" w:hAnsi="Times New Roman" w:cs="Times New Roman"/>
      <w:sz w:val="20"/>
      <w:szCs w:val="20"/>
      <w:lang w:val="es-ES" w:eastAsia="es-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ormalWeb1">
    <w:name w:val="Normal (Web)1"/>
    <w:basedOn w:val="Normal"/>
    <w:rsid w:val="00692DC8"/>
    <w:pPr>
      <w:suppressAutoHyphens/>
      <w:spacing w:before="280" w:after="280" w:line="240" w:lineRule="auto"/>
      <w:outlineLvl w:val="0"/>
    </w:pPr>
    <w:rPr>
      <w:rFonts w:ascii="Times New Roman" w:eastAsia="Times New Roman" w:hAnsi="Times New Roman" w:cs="Times New Roman"/>
      <w:szCs w:val="24"/>
      <w:lang w:eastAsia="zh-CN"/>
    </w:rPr>
  </w:style>
  <w:style w:type="paragraph" w:customStyle="1" w:styleId="paragraph">
    <w:name w:val="paragraph"/>
    <w:basedOn w:val="Normal"/>
    <w:rsid w:val="00692DC8"/>
    <w:pPr>
      <w:spacing w:before="100" w:beforeAutospacing="1" w:after="100" w:afterAutospacing="1" w:line="240" w:lineRule="auto"/>
      <w:outlineLvl w:val="0"/>
    </w:pPr>
    <w:rPr>
      <w:rFonts w:ascii="Times New Roman" w:eastAsia="Times New Roman" w:hAnsi="Times New Roman" w:cs="Times New Roman"/>
      <w:szCs w:val="24"/>
      <w:lang w:eastAsia="es-CR"/>
    </w:rPr>
  </w:style>
  <w:style w:type="character" w:customStyle="1" w:styleId="normaltextrun">
    <w:name w:val="normaltextrun"/>
    <w:basedOn w:val="Fuentedeprrafopredeter"/>
    <w:rsid w:val="00692DC8"/>
  </w:style>
  <w:style w:type="character" w:customStyle="1" w:styleId="eop">
    <w:name w:val="eop"/>
    <w:basedOn w:val="Fuentedeprrafopredeter"/>
    <w:rsid w:val="00692DC8"/>
  </w:style>
  <w:style w:type="paragraph" w:customStyle="1" w:styleId="ui-chatitem">
    <w:name w:val="ui-chat__item"/>
    <w:basedOn w:val="Normal"/>
    <w:rsid w:val="00692DC8"/>
    <w:pPr>
      <w:spacing w:before="100" w:beforeAutospacing="1" w:after="100" w:afterAutospacing="1" w:line="240" w:lineRule="auto"/>
      <w:jc w:val="left"/>
    </w:pPr>
    <w:rPr>
      <w:rFonts w:ascii="Times New Roman" w:eastAsia="Times New Roman" w:hAnsi="Times New Roman" w:cs="Times New Roman"/>
      <w:szCs w:val="24"/>
      <w:lang w:eastAsia="es-CR"/>
    </w:rPr>
  </w:style>
  <w:style w:type="paragraph" w:styleId="TtuloTDC">
    <w:name w:val="TOC Heading"/>
    <w:basedOn w:val="Ttulo1"/>
    <w:next w:val="Normal"/>
    <w:uiPriority w:val="39"/>
    <w:unhideWhenUsed/>
    <w:qFormat/>
    <w:rsid w:val="00CF64F8"/>
    <w:pPr>
      <w:spacing w:line="259" w:lineRule="auto"/>
      <w:jc w:val="left"/>
      <w:outlineLvl w:val="9"/>
    </w:pPr>
    <w:rPr>
      <w:rFonts w:asciiTheme="majorHAnsi" w:hAnsiTheme="majorHAnsi"/>
      <w:b w:val="0"/>
      <w:color w:val="2F5496" w:themeColor="accent1" w:themeShade="BF"/>
      <w:sz w:val="32"/>
      <w:u w:val="none"/>
      <w:lang w:eastAsia="es-CR"/>
    </w:rPr>
  </w:style>
  <w:style w:type="paragraph" w:customStyle="1" w:styleId="Bodycopyheader1">
    <w:name w:val="Body copy header 1"/>
    <w:basedOn w:val="Normal"/>
    <w:rsid w:val="005D05BD"/>
    <w:pPr>
      <w:spacing w:before="20" w:after="0" w:line="210" w:lineRule="exact"/>
      <w:jc w:val="left"/>
    </w:pPr>
    <w:rPr>
      <w:rFonts w:ascii="Arial" w:eastAsia="PMingLiU" w:hAnsi="Arial" w:cs="Arial"/>
      <w:b/>
      <w:color w:val="000000"/>
      <w:sz w:val="17"/>
      <w:szCs w:val="17"/>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041">
      <w:bodyDiv w:val="1"/>
      <w:marLeft w:val="0"/>
      <w:marRight w:val="0"/>
      <w:marTop w:val="0"/>
      <w:marBottom w:val="0"/>
      <w:divBdr>
        <w:top w:val="none" w:sz="0" w:space="0" w:color="auto"/>
        <w:left w:val="none" w:sz="0" w:space="0" w:color="auto"/>
        <w:bottom w:val="none" w:sz="0" w:space="0" w:color="auto"/>
        <w:right w:val="none" w:sz="0" w:space="0" w:color="auto"/>
      </w:divBdr>
    </w:div>
    <w:div w:id="131702">
      <w:bodyDiv w:val="1"/>
      <w:marLeft w:val="0"/>
      <w:marRight w:val="0"/>
      <w:marTop w:val="0"/>
      <w:marBottom w:val="0"/>
      <w:divBdr>
        <w:top w:val="none" w:sz="0" w:space="0" w:color="auto"/>
        <w:left w:val="none" w:sz="0" w:space="0" w:color="auto"/>
        <w:bottom w:val="none" w:sz="0" w:space="0" w:color="auto"/>
        <w:right w:val="none" w:sz="0" w:space="0" w:color="auto"/>
      </w:divBdr>
    </w:div>
    <w:div w:id="203515">
      <w:bodyDiv w:val="1"/>
      <w:marLeft w:val="0"/>
      <w:marRight w:val="0"/>
      <w:marTop w:val="0"/>
      <w:marBottom w:val="0"/>
      <w:divBdr>
        <w:top w:val="none" w:sz="0" w:space="0" w:color="auto"/>
        <w:left w:val="none" w:sz="0" w:space="0" w:color="auto"/>
        <w:bottom w:val="none" w:sz="0" w:space="0" w:color="auto"/>
        <w:right w:val="none" w:sz="0" w:space="0" w:color="auto"/>
      </w:divBdr>
    </w:div>
    <w:div w:id="354282">
      <w:bodyDiv w:val="1"/>
      <w:marLeft w:val="0"/>
      <w:marRight w:val="0"/>
      <w:marTop w:val="0"/>
      <w:marBottom w:val="0"/>
      <w:divBdr>
        <w:top w:val="none" w:sz="0" w:space="0" w:color="auto"/>
        <w:left w:val="none" w:sz="0" w:space="0" w:color="auto"/>
        <w:bottom w:val="none" w:sz="0" w:space="0" w:color="auto"/>
        <w:right w:val="none" w:sz="0" w:space="0" w:color="auto"/>
      </w:divBdr>
    </w:div>
    <w:div w:id="360237">
      <w:bodyDiv w:val="1"/>
      <w:marLeft w:val="0"/>
      <w:marRight w:val="0"/>
      <w:marTop w:val="0"/>
      <w:marBottom w:val="0"/>
      <w:divBdr>
        <w:top w:val="none" w:sz="0" w:space="0" w:color="auto"/>
        <w:left w:val="none" w:sz="0" w:space="0" w:color="auto"/>
        <w:bottom w:val="none" w:sz="0" w:space="0" w:color="auto"/>
        <w:right w:val="none" w:sz="0" w:space="0" w:color="auto"/>
      </w:divBdr>
    </w:div>
    <w:div w:id="470208">
      <w:bodyDiv w:val="1"/>
      <w:marLeft w:val="0"/>
      <w:marRight w:val="0"/>
      <w:marTop w:val="0"/>
      <w:marBottom w:val="0"/>
      <w:divBdr>
        <w:top w:val="none" w:sz="0" w:space="0" w:color="auto"/>
        <w:left w:val="none" w:sz="0" w:space="0" w:color="auto"/>
        <w:bottom w:val="none" w:sz="0" w:space="0" w:color="auto"/>
        <w:right w:val="none" w:sz="0" w:space="0" w:color="auto"/>
      </w:divBdr>
    </w:div>
    <w:div w:id="548496">
      <w:bodyDiv w:val="1"/>
      <w:marLeft w:val="0"/>
      <w:marRight w:val="0"/>
      <w:marTop w:val="0"/>
      <w:marBottom w:val="0"/>
      <w:divBdr>
        <w:top w:val="none" w:sz="0" w:space="0" w:color="auto"/>
        <w:left w:val="none" w:sz="0" w:space="0" w:color="auto"/>
        <w:bottom w:val="none" w:sz="0" w:space="0" w:color="auto"/>
        <w:right w:val="none" w:sz="0" w:space="0" w:color="auto"/>
      </w:divBdr>
    </w:div>
    <w:div w:id="551401">
      <w:bodyDiv w:val="1"/>
      <w:marLeft w:val="0"/>
      <w:marRight w:val="0"/>
      <w:marTop w:val="0"/>
      <w:marBottom w:val="0"/>
      <w:divBdr>
        <w:top w:val="none" w:sz="0" w:space="0" w:color="auto"/>
        <w:left w:val="none" w:sz="0" w:space="0" w:color="auto"/>
        <w:bottom w:val="none" w:sz="0" w:space="0" w:color="auto"/>
        <w:right w:val="none" w:sz="0" w:space="0" w:color="auto"/>
      </w:divBdr>
    </w:div>
    <w:div w:id="620513">
      <w:bodyDiv w:val="1"/>
      <w:marLeft w:val="0"/>
      <w:marRight w:val="0"/>
      <w:marTop w:val="0"/>
      <w:marBottom w:val="0"/>
      <w:divBdr>
        <w:top w:val="none" w:sz="0" w:space="0" w:color="auto"/>
        <w:left w:val="none" w:sz="0" w:space="0" w:color="auto"/>
        <w:bottom w:val="none" w:sz="0" w:space="0" w:color="auto"/>
        <w:right w:val="none" w:sz="0" w:space="0" w:color="auto"/>
      </w:divBdr>
    </w:div>
    <w:div w:id="669060">
      <w:bodyDiv w:val="1"/>
      <w:marLeft w:val="0"/>
      <w:marRight w:val="0"/>
      <w:marTop w:val="0"/>
      <w:marBottom w:val="0"/>
      <w:divBdr>
        <w:top w:val="none" w:sz="0" w:space="0" w:color="auto"/>
        <w:left w:val="none" w:sz="0" w:space="0" w:color="auto"/>
        <w:bottom w:val="none" w:sz="0" w:space="0" w:color="auto"/>
        <w:right w:val="none" w:sz="0" w:space="0" w:color="auto"/>
      </w:divBdr>
    </w:div>
    <w:div w:id="744583">
      <w:bodyDiv w:val="1"/>
      <w:marLeft w:val="0"/>
      <w:marRight w:val="0"/>
      <w:marTop w:val="0"/>
      <w:marBottom w:val="0"/>
      <w:divBdr>
        <w:top w:val="none" w:sz="0" w:space="0" w:color="auto"/>
        <w:left w:val="none" w:sz="0" w:space="0" w:color="auto"/>
        <w:bottom w:val="none" w:sz="0" w:space="0" w:color="auto"/>
        <w:right w:val="none" w:sz="0" w:space="0" w:color="auto"/>
      </w:divBdr>
    </w:div>
    <w:div w:id="1009746">
      <w:bodyDiv w:val="1"/>
      <w:marLeft w:val="0"/>
      <w:marRight w:val="0"/>
      <w:marTop w:val="0"/>
      <w:marBottom w:val="0"/>
      <w:divBdr>
        <w:top w:val="none" w:sz="0" w:space="0" w:color="auto"/>
        <w:left w:val="none" w:sz="0" w:space="0" w:color="auto"/>
        <w:bottom w:val="none" w:sz="0" w:space="0" w:color="auto"/>
        <w:right w:val="none" w:sz="0" w:space="0" w:color="auto"/>
      </w:divBdr>
    </w:div>
    <w:div w:id="1056097">
      <w:bodyDiv w:val="1"/>
      <w:marLeft w:val="0"/>
      <w:marRight w:val="0"/>
      <w:marTop w:val="0"/>
      <w:marBottom w:val="0"/>
      <w:divBdr>
        <w:top w:val="none" w:sz="0" w:space="0" w:color="auto"/>
        <w:left w:val="none" w:sz="0" w:space="0" w:color="auto"/>
        <w:bottom w:val="none" w:sz="0" w:space="0" w:color="auto"/>
        <w:right w:val="none" w:sz="0" w:space="0" w:color="auto"/>
      </w:divBdr>
    </w:div>
    <w:div w:id="1127598">
      <w:bodyDiv w:val="1"/>
      <w:marLeft w:val="0"/>
      <w:marRight w:val="0"/>
      <w:marTop w:val="0"/>
      <w:marBottom w:val="0"/>
      <w:divBdr>
        <w:top w:val="none" w:sz="0" w:space="0" w:color="auto"/>
        <w:left w:val="none" w:sz="0" w:space="0" w:color="auto"/>
        <w:bottom w:val="none" w:sz="0" w:space="0" w:color="auto"/>
        <w:right w:val="none" w:sz="0" w:space="0" w:color="auto"/>
      </w:divBdr>
    </w:div>
    <w:div w:id="1129806">
      <w:bodyDiv w:val="1"/>
      <w:marLeft w:val="0"/>
      <w:marRight w:val="0"/>
      <w:marTop w:val="0"/>
      <w:marBottom w:val="0"/>
      <w:divBdr>
        <w:top w:val="none" w:sz="0" w:space="0" w:color="auto"/>
        <w:left w:val="none" w:sz="0" w:space="0" w:color="auto"/>
        <w:bottom w:val="none" w:sz="0" w:space="0" w:color="auto"/>
        <w:right w:val="none" w:sz="0" w:space="0" w:color="auto"/>
      </w:divBdr>
    </w:div>
    <w:div w:id="1133349">
      <w:bodyDiv w:val="1"/>
      <w:marLeft w:val="0"/>
      <w:marRight w:val="0"/>
      <w:marTop w:val="0"/>
      <w:marBottom w:val="0"/>
      <w:divBdr>
        <w:top w:val="none" w:sz="0" w:space="0" w:color="auto"/>
        <w:left w:val="none" w:sz="0" w:space="0" w:color="auto"/>
        <w:bottom w:val="none" w:sz="0" w:space="0" w:color="auto"/>
        <w:right w:val="none" w:sz="0" w:space="0" w:color="auto"/>
      </w:divBdr>
    </w:div>
    <w:div w:id="1200346">
      <w:bodyDiv w:val="1"/>
      <w:marLeft w:val="0"/>
      <w:marRight w:val="0"/>
      <w:marTop w:val="0"/>
      <w:marBottom w:val="0"/>
      <w:divBdr>
        <w:top w:val="none" w:sz="0" w:space="0" w:color="auto"/>
        <w:left w:val="none" w:sz="0" w:space="0" w:color="auto"/>
        <w:bottom w:val="none" w:sz="0" w:space="0" w:color="auto"/>
        <w:right w:val="none" w:sz="0" w:space="0" w:color="auto"/>
      </w:divBdr>
    </w:div>
    <w:div w:id="1322609">
      <w:bodyDiv w:val="1"/>
      <w:marLeft w:val="0"/>
      <w:marRight w:val="0"/>
      <w:marTop w:val="0"/>
      <w:marBottom w:val="0"/>
      <w:divBdr>
        <w:top w:val="none" w:sz="0" w:space="0" w:color="auto"/>
        <w:left w:val="none" w:sz="0" w:space="0" w:color="auto"/>
        <w:bottom w:val="none" w:sz="0" w:space="0" w:color="auto"/>
        <w:right w:val="none" w:sz="0" w:space="0" w:color="auto"/>
      </w:divBdr>
    </w:div>
    <w:div w:id="1324630">
      <w:bodyDiv w:val="1"/>
      <w:marLeft w:val="0"/>
      <w:marRight w:val="0"/>
      <w:marTop w:val="0"/>
      <w:marBottom w:val="0"/>
      <w:divBdr>
        <w:top w:val="none" w:sz="0" w:space="0" w:color="auto"/>
        <w:left w:val="none" w:sz="0" w:space="0" w:color="auto"/>
        <w:bottom w:val="none" w:sz="0" w:space="0" w:color="auto"/>
        <w:right w:val="none" w:sz="0" w:space="0" w:color="auto"/>
      </w:divBdr>
    </w:div>
    <w:div w:id="1325121">
      <w:bodyDiv w:val="1"/>
      <w:marLeft w:val="0"/>
      <w:marRight w:val="0"/>
      <w:marTop w:val="0"/>
      <w:marBottom w:val="0"/>
      <w:divBdr>
        <w:top w:val="none" w:sz="0" w:space="0" w:color="auto"/>
        <w:left w:val="none" w:sz="0" w:space="0" w:color="auto"/>
        <w:bottom w:val="none" w:sz="0" w:space="0" w:color="auto"/>
        <w:right w:val="none" w:sz="0" w:space="0" w:color="auto"/>
      </w:divBdr>
    </w:div>
    <w:div w:id="1398839">
      <w:bodyDiv w:val="1"/>
      <w:marLeft w:val="0"/>
      <w:marRight w:val="0"/>
      <w:marTop w:val="0"/>
      <w:marBottom w:val="0"/>
      <w:divBdr>
        <w:top w:val="none" w:sz="0" w:space="0" w:color="auto"/>
        <w:left w:val="none" w:sz="0" w:space="0" w:color="auto"/>
        <w:bottom w:val="none" w:sz="0" w:space="0" w:color="auto"/>
        <w:right w:val="none" w:sz="0" w:space="0" w:color="auto"/>
      </w:divBdr>
    </w:div>
    <w:div w:id="1587454">
      <w:bodyDiv w:val="1"/>
      <w:marLeft w:val="0"/>
      <w:marRight w:val="0"/>
      <w:marTop w:val="0"/>
      <w:marBottom w:val="0"/>
      <w:divBdr>
        <w:top w:val="none" w:sz="0" w:space="0" w:color="auto"/>
        <w:left w:val="none" w:sz="0" w:space="0" w:color="auto"/>
        <w:bottom w:val="none" w:sz="0" w:space="0" w:color="auto"/>
        <w:right w:val="none" w:sz="0" w:space="0" w:color="auto"/>
      </w:divBdr>
    </w:div>
    <w:div w:id="1707159">
      <w:bodyDiv w:val="1"/>
      <w:marLeft w:val="0"/>
      <w:marRight w:val="0"/>
      <w:marTop w:val="0"/>
      <w:marBottom w:val="0"/>
      <w:divBdr>
        <w:top w:val="none" w:sz="0" w:space="0" w:color="auto"/>
        <w:left w:val="none" w:sz="0" w:space="0" w:color="auto"/>
        <w:bottom w:val="none" w:sz="0" w:space="0" w:color="auto"/>
        <w:right w:val="none" w:sz="0" w:space="0" w:color="auto"/>
      </w:divBdr>
    </w:div>
    <w:div w:id="1862061">
      <w:bodyDiv w:val="1"/>
      <w:marLeft w:val="0"/>
      <w:marRight w:val="0"/>
      <w:marTop w:val="0"/>
      <w:marBottom w:val="0"/>
      <w:divBdr>
        <w:top w:val="none" w:sz="0" w:space="0" w:color="auto"/>
        <w:left w:val="none" w:sz="0" w:space="0" w:color="auto"/>
        <w:bottom w:val="none" w:sz="0" w:space="0" w:color="auto"/>
        <w:right w:val="none" w:sz="0" w:space="0" w:color="auto"/>
      </w:divBdr>
    </w:div>
    <w:div w:id="2171897">
      <w:bodyDiv w:val="1"/>
      <w:marLeft w:val="0"/>
      <w:marRight w:val="0"/>
      <w:marTop w:val="0"/>
      <w:marBottom w:val="0"/>
      <w:divBdr>
        <w:top w:val="none" w:sz="0" w:space="0" w:color="auto"/>
        <w:left w:val="none" w:sz="0" w:space="0" w:color="auto"/>
        <w:bottom w:val="none" w:sz="0" w:space="0" w:color="auto"/>
        <w:right w:val="none" w:sz="0" w:space="0" w:color="auto"/>
      </w:divBdr>
    </w:div>
    <w:div w:id="2175816">
      <w:bodyDiv w:val="1"/>
      <w:marLeft w:val="0"/>
      <w:marRight w:val="0"/>
      <w:marTop w:val="0"/>
      <w:marBottom w:val="0"/>
      <w:divBdr>
        <w:top w:val="none" w:sz="0" w:space="0" w:color="auto"/>
        <w:left w:val="none" w:sz="0" w:space="0" w:color="auto"/>
        <w:bottom w:val="none" w:sz="0" w:space="0" w:color="auto"/>
        <w:right w:val="none" w:sz="0" w:space="0" w:color="auto"/>
      </w:divBdr>
    </w:div>
    <w:div w:id="2242184">
      <w:bodyDiv w:val="1"/>
      <w:marLeft w:val="0"/>
      <w:marRight w:val="0"/>
      <w:marTop w:val="0"/>
      <w:marBottom w:val="0"/>
      <w:divBdr>
        <w:top w:val="none" w:sz="0" w:space="0" w:color="auto"/>
        <w:left w:val="none" w:sz="0" w:space="0" w:color="auto"/>
        <w:bottom w:val="none" w:sz="0" w:space="0" w:color="auto"/>
        <w:right w:val="none" w:sz="0" w:space="0" w:color="auto"/>
      </w:divBdr>
    </w:div>
    <w:div w:id="2244172">
      <w:bodyDiv w:val="1"/>
      <w:marLeft w:val="0"/>
      <w:marRight w:val="0"/>
      <w:marTop w:val="0"/>
      <w:marBottom w:val="0"/>
      <w:divBdr>
        <w:top w:val="none" w:sz="0" w:space="0" w:color="auto"/>
        <w:left w:val="none" w:sz="0" w:space="0" w:color="auto"/>
        <w:bottom w:val="none" w:sz="0" w:space="0" w:color="auto"/>
        <w:right w:val="none" w:sz="0" w:space="0" w:color="auto"/>
      </w:divBdr>
    </w:div>
    <w:div w:id="2248908">
      <w:bodyDiv w:val="1"/>
      <w:marLeft w:val="0"/>
      <w:marRight w:val="0"/>
      <w:marTop w:val="0"/>
      <w:marBottom w:val="0"/>
      <w:divBdr>
        <w:top w:val="none" w:sz="0" w:space="0" w:color="auto"/>
        <w:left w:val="none" w:sz="0" w:space="0" w:color="auto"/>
        <w:bottom w:val="none" w:sz="0" w:space="0" w:color="auto"/>
        <w:right w:val="none" w:sz="0" w:space="0" w:color="auto"/>
      </w:divBdr>
    </w:div>
    <w:div w:id="2322645">
      <w:bodyDiv w:val="1"/>
      <w:marLeft w:val="0"/>
      <w:marRight w:val="0"/>
      <w:marTop w:val="0"/>
      <w:marBottom w:val="0"/>
      <w:divBdr>
        <w:top w:val="none" w:sz="0" w:space="0" w:color="auto"/>
        <w:left w:val="none" w:sz="0" w:space="0" w:color="auto"/>
        <w:bottom w:val="none" w:sz="0" w:space="0" w:color="auto"/>
        <w:right w:val="none" w:sz="0" w:space="0" w:color="auto"/>
      </w:divBdr>
    </w:div>
    <w:div w:id="2437439">
      <w:bodyDiv w:val="1"/>
      <w:marLeft w:val="0"/>
      <w:marRight w:val="0"/>
      <w:marTop w:val="0"/>
      <w:marBottom w:val="0"/>
      <w:divBdr>
        <w:top w:val="none" w:sz="0" w:space="0" w:color="auto"/>
        <w:left w:val="none" w:sz="0" w:space="0" w:color="auto"/>
        <w:bottom w:val="none" w:sz="0" w:space="0" w:color="auto"/>
        <w:right w:val="none" w:sz="0" w:space="0" w:color="auto"/>
      </w:divBdr>
    </w:div>
    <w:div w:id="2443308">
      <w:bodyDiv w:val="1"/>
      <w:marLeft w:val="0"/>
      <w:marRight w:val="0"/>
      <w:marTop w:val="0"/>
      <w:marBottom w:val="0"/>
      <w:divBdr>
        <w:top w:val="none" w:sz="0" w:space="0" w:color="auto"/>
        <w:left w:val="none" w:sz="0" w:space="0" w:color="auto"/>
        <w:bottom w:val="none" w:sz="0" w:space="0" w:color="auto"/>
        <w:right w:val="none" w:sz="0" w:space="0" w:color="auto"/>
      </w:divBdr>
    </w:div>
    <w:div w:id="2629414">
      <w:bodyDiv w:val="1"/>
      <w:marLeft w:val="0"/>
      <w:marRight w:val="0"/>
      <w:marTop w:val="0"/>
      <w:marBottom w:val="0"/>
      <w:divBdr>
        <w:top w:val="none" w:sz="0" w:space="0" w:color="auto"/>
        <w:left w:val="none" w:sz="0" w:space="0" w:color="auto"/>
        <w:bottom w:val="none" w:sz="0" w:space="0" w:color="auto"/>
        <w:right w:val="none" w:sz="0" w:space="0" w:color="auto"/>
      </w:divBdr>
    </w:div>
    <w:div w:id="2632201">
      <w:bodyDiv w:val="1"/>
      <w:marLeft w:val="0"/>
      <w:marRight w:val="0"/>
      <w:marTop w:val="0"/>
      <w:marBottom w:val="0"/>
      <w:divBdr>
        <w:top w:val="none" w:sz="0" w:space="0" w:color="auto"/>
        <w:left w:val="none" w:sz="0" w:space="0" w:color="auto"/>
        <w:bottom w:val="none" w:sz="0" w:space="0" w:color="auto"/>
        <w:right w:val="none" w:sz="0" w:space="0" w:color="auto"/>
      </w:divBdr>
    </w:div>
    <w:div w:id="2753299">
      <w:bodyDiv w:val="1"/>
      <w:marLeft w:val="0"/>
      <w:marRight w:val="0"/>
      <w:marTop w:val="0"/>
      <w:marBottom w:val="0"/>
      <w:divBdr>
        <w:top w:val="none" w:sz="0" w:space="0" w:color="auto"/>
        <w:left w:val="none" w:sz="0" w:space="0" w:color="auto"/>
        <w:bottom w:val="none" w:sz="0" w:space="0" w:color="auto"/>
        <w:right w:val="none" w:sz="0" w:space="0" w:color="auto"/>
      </w:divBdr>
    </w:div>
    <w:div w:id="2829869">
      <w:bodyDiv w:val="1"/>
      <w:marLeft w:val="0"/>
      <w:marRight w:val="0"/>
      <w:marTop w:val="0"/>
      <w:marBottom w:val="0"/>
      <w:divBdr>
        <w:top w:val="none" w:sz="0" w:space="0" w:color="auto"/>
        <w:left w:val="none" w:sz="0" w:space="0" w:color="auto"/>
        <w:bottom w:val="none" w:sz="0" w:space="0" w:color="auto"/>
        <w:right w:val="none" w:sz="0" w:space="0" w:color="auto"/>
      </w:divBdr>
    </w:div>
    <w:div w:id="3172723">
      <w:bodyDiv w:val="1"/>
      <w:marLeft w:val="0"/>
      <w:marRight w:val="0"/>
      <w:marTop w:val="0"/>
      <w:marBottom w:val="0"/>
      <w:divBdr>
        <w:top w:val="none" w:sz="0" w:space="0" w:color="auto"/>
        <w:left w:val="none" w:sz="0" w:space="0" w:color="auto"/>
        <w:bottom w:val="none" w:sz="0" w:space="0" w:color="auto"/>
        <w:right w:val="none" w:sz="0" w:space="0" w:color="auto"/>
      </w:divBdr>
    </w:div>
    <w:div w:id="3631216">
      <w:bodyDiv w:val="1"/>
      <w:marLeft w:val="0"/>
      <w:marRight w:val="0"/>
      <w:marTop w:val="0"/>
      <w:marBottom w:val="0"/>
      <w:divBdr>
        <w:top w:val="none" w:sz="0" w:space="0" w:color="auto"/>
        <w:left w:val="none" w:sz="0" w:space="0" w:color="auto"/>
        <w:bottom w:val="none" w:sz="0" w:space="0" w:color="auto"/>
        <w:right w:val="none" w:sz="0" w:space="0" w:color="auto"/>
      </w:divBdr>
    </w:div>
    <w:div w:id="3632475">
      <w:bodyDiv w:val="1"/>
      <w:marLeft w:val="0"/>
      <w:marRight w:val="0"/>
      <w:marTop w:val="0"/>
      <w:marBottom w:val="0"/>
      <w:divBdr>
        <w:top w:val="none" w:sz="0" w:space="0" w:color="auto"/>
        <w:left w:val="none" w:sz="0" w:space="0" w:color="auto"/>
        <w:bottom w:val="none" w:sz="0" w:space="0" w:color="auto"/>
        <w:right w:val="none" w:sz="0" w:space="0" w:color="auto"/>
      </w:divBdr>
    </w:div>
    <w:div w:id="3675212">
      <w:bodyDiv w:val="1"/>
      <w:marLeft w:val="0"/>
      <w:marRight w:val="0"/>
      <w:marTop w:val="0"/>
      <w:marBottom w:val="0"/>
      <w:divBdr>
        <w:top w:val="none" w:sz="0" w:space="0" w:color="auto"/>
        <w:left w:val="none" w:sz="0" w:space="0" w:color="auto"/>
        <w:bottom w:val="none" w:sz="0" w:space="0" w:color="auto"/>
        <w:right w:val="none" w:sz="0" w:space="0" w:color="auto"/>
      </w:divBdr>
    </w:div>
    <w:div w:id="3679632">
      <w:bodyDiv w:val="1"/>
      <w:marLeft w:val="0"/>
      <w:marRight w:val="0"/>
      <w:marTop w:val="0"/>
      <w:marBottom w:val="0"/>
      <w:divBdr>
        <w:top w:val="none" w:sz="0" w:space="0" w:color="auto"/>
        <w:left w:val="none" w:sz="0" w:space="0" w:color="auto"/>
        <w:bottom w:val="none" w:sz="0" w:space="0" w:color="auto"/>
        <w:right w:val="none" w:sz="0" w:space="0" w:color="auto"/>
      </w:divBdr>
    </w:div>
    <w:div w:id="3752795">
      <w:bodyDiv w:val="1"/>
      <w:marLeft w:val="0"/>
      <w:marRight w:val="0"/>
      <w:marTop w:val="0"/>
      <w:marBottom w:val="0"/>
      <w:divBdr>
        <w:top w:val="none" w:sz="0" w:space="0" w:color="auto"/>
        <w:left w:val="none" w:sz="0" w:space="0" w:color="auto"/>
        <w:bottom w:val="none" w:sz="0" w:space="0" w:color="auto"/>
        <w:right w:val="none" w:sz="0" w:space="0" w:color="auto"/>
      </w:divBdr>
    </w:div>
    <w:div w:id="4064424">
      <w:bodyDiv w:val="1"/>
      <w:marLeft w:val="0"/>
      <w:marRight w:val="0"/>
      <w:marTop w:val="0"/>
      <w:marBottom w:val="0"/>
      <w:divBdr>
        <w:top w:val="none" w:sz="0" w:space="0" w:color="auto"/>
        <w:left w:val="none" w:sz="0" w:space="0" w:color="auto"/>
        <w:bottom w:val="none" w:sz="0" w:space="0" w:color="auto"/>
        <w:right w:val="none" w:sz="0" w:space="0" w:color="auto"/>
      </w:divBdr>
    </w:div>
    <w:div w:id="4284929">
      <w:bodyDiv w:val="1"/>
      <w:marLeft w:val="0"/>
      <w:marRight w:val="0"/>
      <w:marTop w:val="0"/>
      <w:marBottom w:val="0"/>
      <w:divBdr>
        <w:top w:val="none" w:sz="0" w:space="0" w:color="auto"/>
        <w:left w:val="none" w:sz="0" w:space="0" w:color="auto"/>
        <w:bottom w:val="none" w:sz="0" w:space="0" w:color="auto"/>
        <w:right w:val="none" w:sz="0" w:space="0" w:color="auto"/>
      </w:divBdr>
    </w:div>
    <w:div w:id="4291261">
      <w:bodyDiv w:val="1"/>
      <w:marLeft w:val="0"/>
      <w:marRight w:val="0"/>
      <w:marTop w:val="0"/>
      <w:marBottom w:val="0"/>
      <w:divBdr>
        <w:top w:val="none" w:sz="0" w:space="0" w:color="auto"/>
        <w:left w:val="none" w:sz="0" w:space="0" w:color="auto"/>
        <w:bottom w:val="none" w:sz="0" w:space="0" w:color="auto"/>
        <w:right w:val="none" w:sz="0" w:space="0" w:color="auto"/>
      </w:divBdr>
    </w:div>
    <w:div w:id="4477877">
      <w:bodyDiv w:val="1"/>
      <w:marLeft w:val="0"/>
      <w:marRight w:val="0"/>
      <w:marTop w:val="0"/>
      <w:marBottom w:val="0"/>
      <w:divBdr>
        <w:top w:val="none" w:sz="0" w:space="0" w:color="auto"/>
        <w:left w:val="none" w:sz="0" w:space="0" w:color="auto"/>
        <w:bottom w:val="none" w:sz="0" w:space="0" w:color="auto"/>
        <w:right w:val="none" w:sz="0" w:space="0" w:color="auto"/>
      </w:divBdr>
    </w:div>
    <w:div w:id="4676455">
      <w:bodyDiv w:val="1"/>
      <w:marLeft w:val="0"/>
      <w:marRight w:val="0"/>
      <w:marTop w:val="0"/>
      <w:marBottom w:val="0"/>
      <w:divBdr>
        <w:top w:val="none" w:sz="0" w:space="0" w:color="auto"/>
        <w:left w:val="none" w:sz="0" w:space="0" w:color="auto"/>
        <w:bottom w:val="none" w:sz="0" w:space="0" w:color="auto"/>
        <w:right w:val="none" w:sz="0" w:space="0" w:color="auto"/>
      </w:divBdr>
    </w:div>
    <w:div w:id="4748947">
      <w:bodyDiv w:val="1"/>
      <w:marLeft w:val="0"/>
      <w:marRight w:val="0"/>
      <w:marTop w:val="0"/>
      <w:marBottom w:val="0"/>
      <w:divBdr>
        <w:top w:val="none" w:sz="0" w:space="0" w:color="auto"/>
        <w:left w:val="none" w:sz="0" w:space="0" w:color="auto"/>
        <w:bottom w:val="none" w:sz="0" w:space="0" w:color="auto"/>
        <w:right w:val="none" w:sz="0" w:space="0" w:color="auto"/>
      </w:divBdr>
    </w:div>
    <w:div w:id="4749735">
      <w:bodyDiv w:val="1"/>
      <w:marLeft w:val="0"/>
      <w:marRight w:val="0"/>
      <w:marTop w:val="0"/>
      <w:marBottom w:val="0"/>
      <w:divBdr>
        <w:top w:val="none" w:sz="0" w:space="0" w:color="auto"/>
        <w:left w:val="none" w:sz="0" w:space="0" w:color="auto"/>
        <w:bottom w:val="none" w:sz="0" w:space="0" w:color="auto"/>
        <w:right w:val="none" w:sz="0" w:space="0" w:color="auto"/>
      </w:divBdr>
    </w:div>
    <w:div w:id="4941525">
      <w:bodyDiv w:val="1"/>
      <w:marLeft w:val="0"/>
      <w:marRight w:val="0"/>
      <w:marTop w:val="0"/>
      <w:marBottom w:val="0"/>
      <w:divBdr>
        <w:top w:val="none" w:sz="0" w:space="0" w:color="auto"/>
        <w:left w:val="none" w:sz="0" w:space="0" w:color="auto"/>
        <w:bottom w:val="none" w:sz="0" w:space="0" w:color="auto"/>
        <w:right w:val="none" w:sz="0" w:space="0" w:color="auto"/>
      </w:divBdr>
    </w:div>
    <w:div w:id="4947593">
      <w:bodyDiv w:val="1"/>
      <w:marLeft w:val="0"/>
      <w:marRight w:val="0"/>
      <w:marTop w:val="0"/>
      <w:marBottom w:val="0"/>
      <w:divBdr>
        <w:top w:val="none" w:sz="0" w:space="0" w:color="auto"/>
        <w:left w:val="none" w:sz="0" w:space="0" w:color="auto"/>
        <w:bottom w:val="none" w:sz="0" w:space="0" w:color="auto"/>
        <w:right w:val="none" w:sz="0" w:space="0" w:color="auto"/>
      </w:divBdr>
    </w:div>
    <w:div w:id="4987329">
      <w:bodyDiv w:val="1"/>
      <w:marLeft w:val="0"/>
      <w:marRight w:val="0"/>
      <w:marTop w:val="0"/>
      <w:marBottom w:val="0"/>
      <w:divBdr>
        <w:top w:val="none" w:sz="0" w:space="0" w:color="auto"/>
        <w:left w:val="none" w:sz="0" w:space="0" w:color="auto"/>
        <w:bottom w:val="none" w:sz="0" w:space="0" w:color="auto"/>
        <w:right w:val="none" w:sz="0" w:space="0" w:color="auto"/>
      </w:divBdr>
    </w:div>
    <w:div w:id="5133230">
      <w:bodyDiv w:val="1"/>
      <w:marLeft w:val="0"/>
      <w:marRight w:val="0"/>
      <w:marTop w:val="0"/>
      <w:marBottom w:val="0"/>
      <w:divBdr>
        <w:top w:val="none" w:sz="0" w:space="0" w:color="auto"/>
        <w:left w:val="none" w:sz="0" w:space="0" w:color="auto"/>
        <w:bottom w:val="none" w:sz="0" w:space="0" w:color="auto"/>
        <w:right w:val="none" w:sz="0" w:space="0" w:color="auto"/>
      </w:divBdr>
    </w:div>
    <w:div w:id="5208613">
      <w:bodyDiv w:val="1"/>
      <w:marLeft w:val="0"/>
      <w:marRight w:val="0"/>
      <w:marTop w:val="0"/>
      <w:marBottom w:val="0"/>
      <w:divBdr>
        <w:top w:val="none" w:sz="0" w:space="0" w:color="auto"/>
        <w:left w:val="none" w:sz="0" w:space="0" w:color="auto"/>
        <w:bottom w:val="none" w:sz="0" w:space="0" w:color="auto"/>
        <w:right w:val="none" w:sz="0" w:space="0" w:color="auto"/>
      </w:divBdr>
    </w:div>
    <w:div w:id="5376370">
      <w:bodyDiv w:val="1"/>
      <w:marLeft w:val="0"/>
      <w:marRight w:val="0"/>
      <w:marTop w:val="0"/>
      <w:marBottom w:val="0"/>
      <w:divBdr>
        <w:top w:val="none" w:sz="0" w:space="0" w:color="auto"/>
        <w:left w:val="none" w:sz="0" w:space="0" w:color="auto"/>
        <w:bottom w:val="none" w:sz="0" w:space="0" w:color="auto"/>
        <w:right w:val="none" w:sz="0" w:space="0" w:color="auto"/>
      </w:divBdr>
    </w:div>
    <w:div w:id="5594706">
      <w:bodyDiv w:val="1"/>
      <w:marLeft w:val="0"/>
      <w:marRight w:val="0"/>
      <w:marTop w:val="0"/>
      <w:marBottom w:val="0"/>
      <w:divBdr>
        <w:top w:val="none" w:sz="0" w:space="0" w:color="auto"/>
        <w:left w:val="none" w:sz="0" w:space="0" w:color="auto"/>
        <w:bottom w:val="none" w:sz="0" w:space="0" w:color="auto"/>
        <w:right w:val="none" w:sz="0" w:space="0" w:color="auto"/>
      </w:divBdr>
    </w:div>
    <w:div w:id="5596804">
      <w:bodyDiv w:val="1"/>
      <w:marLeft w:val="0"/>
      <w:marRight w:val="0"/>
      <w:marTop w:val="0"/>
      <w:marBottom w:val="0"/>
      <w:divBdr>
        <w:top w:val="none" w:sz="0" w:space="0" w:color="auto"/>
        <w:left w:val="none" w:sz="0" w:space="0" w:color="auto"/>
        <w:bottom w:val="none" w:sz="0" w:space="0" w:color="auto"/>
        <w:right w:val="none" w:sz="0" w:space="0" w:color="auto"/>
      </w:divBdr>
    </w:div>
    <w:div w:id="5641416">
      <w:bodyDiv w:val="1"/>
      <w:marLeft w:val="0"/>
      <w:marRight w:val="0"/>
      <w:marTop w:val="0"/>
      <w:marBottom w:val="0"/>
      <w:divBdr>
        <w:top w:val="none" w:sz="0" w:space="0" w:color="auto"/>
        <w:left w:val="none" w:sz="0" w:space="0" w:color="auto"/>
        <w:bottom w:val="none" w:sz="0" w:space="0" w:color="auto"/>
        <w:right w:val="none" w:sz="0" w:space="0" w:color="auto"/>
      </w:divBdr>
    </w:div>
    <w:div w:id="5714097">
      <w:bodyDiv w:val="1"/>
      <w:marLeft w:val="0"/>
      <w:marRight w:val="0"/>
      <w:marTop w:val="0"/>
      <w:marBottom w:val="0"/>
      <w:divBdr>
        <w:top w:val="none" w:sz="0" w:space="0" w:color="auto"/>
        <w:left w:val="none" w:sz="0" w:space="0" w:color="auto"/>
        <w:bottom w:val="none" w:sz="0" w:space="0" w:color="auto"/>
        <w:right w:val="none" w:sz="0" w:space="0" w:color="auto"/>
      </w:divBdr>
    </w:div>
    <w:div w:id="5834836">
      <w:bodyDiv w:val="1"/>
      <w:marLeft w:val="0"/>
      <w:marRight w:val="0"/>
      <w:marTop w:val="0"/>
      <w:marBottom w:val="0"/>
      <w:divBdr>
        <w:top w:val="none" w:sz="0" w:space="0" w:color="auto"/>
        <w:left w:val="none" w:sz="0" w:space="0" w:color="auto"/>
        <w:bottom w:val="none" w:sz="0" w:space="0" w:color="auto"/>
        <w:right w:val="none" w:sz="0" w:space="0" w:color="auto"/>
      </w:divBdr>
    </w:div>
    <w:div w:id="5864731">
      <w:bodyDiv w:val="1"/>
      <w:marLeft w:val="0"/>
      <w:marRight w:val="0"/>
      <w:marTop w:val="0"/>
      <w:marBottom w:val="0"/>
      <w:divBdr>
        <w:top w:val="none" w:sz="0" w:space="0" w:color="auto"/>
        <w:left w:val="none" w:sz="0" w:space="0" w:color="auto"/>
        <w:bottom w:val="none" w:sz="0" w:space="0" w:color="auto"/>
        <w:right w:val="none" w:sz="0" w:space="0" w:color="auto"/>
      </w:divBdr>
    </w:div>
    <w:div w:id="5912067">
      <w:bodyDiv w:val="1"/>
      <w:marLeft w:val="0"/>
      <w:marRight w:val="0"/>
      <w:marTop w:val="0"/>
      <w:marBottom w:val="0"/>
      <w:divBdr>
        <w:top w:val="none" w:sz="0" w:space="0" w:color="auto"/>
        <w:left w:val="none" w:sz="0" w:space="0" w:color="auto"/>
        <w:bottom w:val="none" w:sz="0" w:space="0" w:color="auto"/>
        <w:right w:val="none" w:sz="0" w:space="0" w:color="auto"/>
      </w:divBdr>
    </w:div>
    <w:div w:id="6059890">
      <w:bodyDiv w:val="1"/>
      <w:marLeft w:val="0"/>
      <w:marRight w:val="0"/>
      <w:marTop w:val="0"/>
      <w:marBottom w:val="0"/>
      <w:divBdr>
        <w:top w:val="none" w:sz="0" w:space="0" w:color="auto"/>
        <w:left w:val="none" w:sz="0" w:space="0" w:color="auto"/>
        <w:bottom w:val="none" w:sz="0" w:space="0" w:color="auto"/>
        <w:right w:val="none" w:sz="0" w:space="0" w:color="auto"/>
      </w:divBdr>
    </w:div>
    <w:div w:id="6099759">
      <w:bodyDiv w:val="1"/>
      <w:marLeft w:val="0"/>
      <w:marRight w:val="0"/>
      <w:marTop w:val="0"/>
      <w:marBottom w:val="0"/>
      <w:divBdr>
        <w:top w:val="none" w:sz="0" w:space="0" w:color="auto"/>
        <w:left w:val="none" w:sz="0" w:space="0" w:color="auto"/>
        <w:bottom w:val="none" w:sz="0" w:space="0" w:color="auto"/>
        <w:right w:val="none" w:sz="0" w:space="0" w:color="auto"/>
      </w:divBdr>
    </w:div>
    <w:div w:id="6106488">
      <w:bodyDiv w:val="1"/>
      <w:marLeft w:val="0"/>
      <w:marRight w:val="0"/>
      <w:marTop w:val="0"/>
      <w:marBottom w:val="0"/>
      <w:divBdr>
        <w:top w:val="none" w:sz="0" w:space="0" w:color="auto"/>
        <w:left w:val="none" w:sz="0" w:space="0" w:color="auto"/>
        <w:bottom w:val="none" w:sz="0" w:space="0" w:color="auto"/>
        <w:right w:val="none" w:sz="0" w:space="0" w:color="auto"/>
      </w:divBdr>
    </w:div>
    <w:div w:id="6253121">
      <w:bodyDiv w:val="1"/>
      <w:marLeft w:val="0"/>
      <w:marRight w:val="0"/>
      <w:marTop w:val="0"/>
      <w:marBottom w:val="0"/>
      <w:divBdr>
        <w:top w:val="none" w:sz="0" w:space="0" w:color="auto"/>
        <w:left w:val="none" w:sz="0" w:space="0" w:color="auto"/>
        <w:bottom w:val="none" w:sz="0" w:space="0" w:color="auto"/>
        <w:right w:val="none" w:sz="0" w:space="0" w:color="auto"/>
      </w:divBdr>
    </w:div>
    <w:div w:id="6257794">
      <w:bodyDiv w:val="1"/>
      <w:marLeft w:val="0"/>
      <w:marRight w:val="0"/>
      <w:marTop w:val="0"/>
      <w:marBottom w:val="0"/>
      <w:divBdr>
        <w:top w:val="none" w:sz="0" w:space="0" w:color="auto"/>
        <w:left w:val="none" w:sz="0" w:space="0" w:color="auto"/>
        <w:bottom w:val="none" w:sz="0" w:space="0" w:color="auto"/>
        <w:right w:val="none" w:sz="0" w:space="0" w:color="auto"/>
      </w:divBdr>
    </w:div>
    <w:div w:id="6441889">
      <w:bodyDiv w:val="1"/>
      <w:marLeft w:val="0"/>
      <w:marRight w:val="0"/>
      <w:marTop w:val="0"/>
      <w:marBottom w:val="0"/>
      <w:divBdr>
        <w:top w:val="none" w:sz="0" w:space="0" w:color="auto"/>
        <w:left w:val="none" w:sz="0" w:space="0" w:color="auto"/>
        <w:bottom w:val="none" w:sz="0" w:space="0" w:color="auto"/>
        <w:right w:val="none" w:sz="0" w:space="0" w:color="auto"/>
      </w:divBdr>
    </w:div>
    <w:div w:id="6489231">
      <w:bodyDiv w:val="1"/>
      <w:marLeft w:val="0"/>
      <w:marRight w:val="0"/>
      <w:marTop w:val="0"/>
      <w:marBottom w:val="0"/>
      <w:divBdr>
        <w:top w:val="none" w:sz="0" w:space="0" w:color="auto"/>
        <w:left w:val="none" w:sz="0" w:space="0" w:color="auto"/>
        <w:bottom w:val="none" w:sz="0" w:space="0" w:color="auto"/>
        <w:right w:val="none" w:sz="0" w:space="0" w:color="auto"/>
      </w:divBdr>
    </w:div>
    <w:div w:id="6559880">
      <w:bodyDiv w:val="1"/>
      <w:marLeft w:val="0"/>
      <w:marRight w:val="0"/>
      <w:marTop w:val="0"/>
      <w:marBottom w:val="0"/>
      <w:divBdr>
        <w:top w:val="none" w:sz="0" w:space="0" w:color="auto"/>
        <w:left w:val="none" w:sz="0" w:space="0" w:color="auto"/>
        <w:bottom w:val="none" w:sz="0" w:space="0" w:color="auto"/>
        <w:right w:val="none" w:sz="0" w:space="0" w:color="auto"/>
      </w:divBdr>
    </w:div>
    <w:div w:id="6641998">
      <w:bodyDiv w:val="1"/>
      <w:marLeft w:val="0"/>
      <w:marRight w:val="0"/>
      <w:marTop w:val="0"/>
      <w:marBottom w:val="0"/>
      <w:divBdr>
        <w:top w:val="none" w:sz="0" w:space="0" w:color="auto"/>
        <w:left w:val="none" w:sz="0" w:space="0" w:color="auto"/>
        <w:bottom w:val="none" w:sz="0" w:space="0" w:color="auto"/>
        <w:right w:val="none" w:sz="0" w:space="0" w:color="auto"/>
      </w:divBdr>
    </w:div>
    <w:div w:id="6712641">
      <w:bodyDiv w:val="1"/>
      <w:marLeft w:val="0"/>
      <w:marRight w:val="0"/>
      <w:marTop w:val="0"/>
      <w:marBottom w:val="0"/>
      <w:divBdr>
        <w:top w:val="none" w:sz="0" w:space="0" w:color="auto"/>
        <w:left w:val="none" w:sz="0" w:space="0" w:color="auto"/>
        <w:bottom w:val="none" w:sz="0" w:space="0" w:color="auto"/>
        <w:right w:val="none" w:sz="0" w:space="0" w:color="auto"/>
      </w:divBdr>
    </w:div>
    <w:div w:id="6717129">
      <w:bodyDiv w:val="1"/>
      <w:marLeft w:val="0"/>
      <w:marRight w:val="0"/>
      <w:marTop w:val="0"/>
      <w:marBottom w:val="0"/>
      <w:divBdr>
        <w:top w:val="none" w:sz="0" w:space="0" w:color="auto"/>
        <w:left w:val="none" w:sz="0" w:space="0" w:color="auto"/>
        <w:bottom w:val="none" w:sz="0" w:space="0" w:color="auto"/>
        <w:right w:val="none" w:sz="0" w:space="0" w:color="auto"/>
      </w:divBdr>
    </w:div>
    <w:div w:id="6754557">
      <w:bodyDiv w:val="1"/>
      <w:marLeft w:val="0"/>
      <w:marRight w:val="0"/>
      <w:marTop w:val="0"/>
      <w:marBottom w:val="0"/>
      <w:divBdr>
        <w:top w:val="none" w:sz="0" w:space="0" w:color="auto"/>
        <w:left w:val="none" w:sz="0" w:space="0" w:color="auto"/>
        <w:bottom w:val="none" w:sz="0" w:space="0" w:color="auto"/>
        <w:right w:val="none" w:sz="0" w:space="0" w:color="auto"/>
      </w:divBdr>
    </w:div>
    <w:div w:id="6908348">
      <w:bodyDiv w:val="1"/>
      <w:marLeft w:val="0"/>
      <w:marRight w:val="0"/>
      <w:marTop w:val="0"/>
      <w:marBottom w:val="0"/>
      <w:divBdr>
        <w:top w:val="none" w:sz="0" w:space="0" w:color="auto"/>
        <w:left w:val="none" w:sz="0" w:space="0" w:color="auto"/>
        <w:bottom w:val="none" w:sz="0" w:space="0" w:color="auto"/>
        <w:right w:val="none" w:sz="0" w:space="0" w:color="auto"/>
      </w:divBdr>
    </w:div>
    <w:div w:id="6911888">
      <w:bodyDiv w:val="1"/>
      <w:marLeft w:val="0"/>
      <w:marRight w:val="0"/>
      <w:marTop w:val="0"/>
      <w:marBottom w:val="0"/>
      <w:divBdr>
        <w:top w:val="none" w:sz="0" w:space="0" w:color="auto"/>
        <w:left w:val="none" w:sz="0" w:space="0" w:color="auto"/>
        <w:bottom w:val="none" w:sz="0" w:space="0" w:color="auto"/>
        <w:right w:val="none" w:sz="0" w:space="0" w:color="auto"/>
      </w:divBdr>
    </w:div>
    <w:div w:id="7026934">
      <w:bodyDiv w:val="1"/>
      <w:marLeft w:val="0"/>
      <w:marRight w:val="0"/>
      <w:marTop w:val="0"/>
      <w:marBottom w:val="0"/>
      <w:divBdr>
        <w:top w:val="none" w:sz="0" w:space="0" w:color="auto"/>
        <w:left w:val="none" w:sz="0" w:space="0" w:color="auto"/>
        <w:bottom w:val="none" w:sz="0" w:space="0" w:color="auto"/>
        <w:right w:val="none" w:sz="0" w:space="0" w:color="auto"/>
      </w:divBdr>
    </w:div>
    <w:div w:id="7029570">
      <w:bodyDiv w:val="1"/>
      <w:marLeft w:val="0"/>
      <w:marRight w:val="0"/>
      <w:marTop w:val="0"/>
      <w:marBottom w:val="0"/>
      <w:divBdr>
        <w:top w:val="none" w:sz="0" w:space="0" w:color="auto"/>
        <w:left w:val="none" w:sz="0" w:space="0" w:color="auto"/>
        <w:bottom w:val="none" w:sz="0" w:space="0" w:color="auto"/>
        <w:right w:val="none" w:sz="0" w:space="0" w:color="auto"/>
      </w:divBdr>
    </w:div>
    <w:div w:id="7103981">
      <w:bodyDiv w:val="1"/>
      <w:marLeft w:val="0"/>
      <w:marRight w:val="0"/>
      <w:marTop w:val="0"/>
      <w:marBottom w:val="0"/>
      <w:divBdr>
        <w:top w:val="none" w:sz="0" w:space="0" w:color="auto"/>
        <w:left w:val="none" w:sz="0" w:space="0" w:color="auto"/>
        <w:bottom w:val="none" w:sz="0" w:space="0" w:color="auto"/>
        <w:right w:val="none" w:sz="0" w:space="0" w:color="auto"/>
      </w:divBdr>
    </w:div>
    <w:div w:id="7215324">
      <w:bodyDiv w:val="1"/>
      <w:marLeft w:val="0"/>
      <w:marRight w:val="0"/>
      <w:marTop w:val="0"/>
      <w:marBottom w:val="0"/>
      <w:divBdr>
        <w:top w:val="none" w:sz="0" w:space="0" w:color="auto"/>
        <w:left w:val="none" w:sz="0" w:space="0" w:color="auto"/>
        <w:bottom w:val="none" w:sz="0" w:space="0" w:color="auto"/>
        <w:right w:val="none" w:sz="0" w:space="0" w:color="auto"/>
      </w:divBdr>
    </w:div>
    <w:div w:id="7220316">
      <w:bodyDiv w:val="1"/>
      <w:marLeft w:val="0"/>
      <w:marRight w:val="0"/>
      <w:marTop w:val="0"/>
      <w:marBottom w:val="0"/>
      <w:divBdr>
        <w:top w:val="none" w:sz="0" w:space="0" w:color="auto"/>
        <w:left w:val="none" w:sz="0" w:space="0" w:color="auto"/>
        <w:bottom w:val="none" w:sz="0" w:space="0" w:color="auto"/>
        <w:right w:val="none" w:sz="0" w:space="0" w:color="auto"/>
      </w:divBdr>
    </w:div>
    <w:div w:id="7221986">
      <w:bodyDiv w:val="1"/>
      <w:marLeft w:val="0"/>
      <w:marRight w:val="0"/>
      <w:marTop w:val="0"/>
      <w:marBottom w:val="0"/>
      <w:divBdr>
        <w:top w:val="none" w:sz="0" w:space="0" w:color="auto"/>
        <w:left w:val="none" w:sz="0" w:space="0" w:color="auto"/>
        <w:bottom w:val="none" w:sz="0" w:space="0" w:color="auto"/>
        <w:right w:val="none" w:sz="0" w:space="0" w:color="auto"/>
      </w:divBdr>
    </w:div>
    <w:div w:id="7224164">
      <w:bodyDiv w:val="1"/>
      <w:marLeft w:val="0"/>
      <w:marRight w:val="0"/>
      <w:marTop w:val="0"/>
      <w:marBottom w:val="0"/>
      <w:divBdr>
        <w:top w:val="none" w:sz="0" w:space="0" w:color="auto"/>
        <w:left w:val="none" w:sz="0" w:space="0" w:color="auto"/>
        <w:bottom w:val="none" w:sz="0" w:space="0" w:color="auto"/>
        <w:right w:val="none" w:sz="0" w:space="0" w:color="auto"/>
      </w:divBdr>
    </w:div>
    <w:div w:id="7291353">
      <w:bodyDiv w:val="1"/>
      <w:marLeft w:val="0"/>
      <w:marRight w:val="0"/>
      <w:marTop w:val="0"/>
      <w:marBottom w:val="0"/>
      <w:divBdr>
        <w:top w:val="none" w:sz="0" w:space="0" w:color="auto"/>
        <w:left w:val="none" w:sz="0" w:space="0" w:color="auto"/>
        <w:bottom w:val="none" w:sz="0" w:space="0" w:color="auto"/>
        <w:right w:val="none" w:sz="0" w:space="0" w:color="auto"/>
      </w:divBdr>
    </w:div>
    <w:div w:id="7371977">
      <w:bodyDiv w:val="1"/>
      <w:marLeft w:val="0"/>
      <w:marRight w:val="0"/>
      <w:marTop w:val="0"/>
      <w:marBottom w:val="0"/>
      <w:divBdr>
        <w:top w:val="none" w:sz="0" w:space="0" w:color="auto"/>
        <w:left w:val="none" w:sz="0" w:space="0" w:color="auto"/>
        <w:bottom w:val="none" w:sz="0" w:space="0" w:color="auto"/>
        <w:right w:val="none" w:sz="0" w:space="0" w:color="auto"/>
      </w:divBdr>
    </w:div>
    <w:div w:id="7560367">
      <w:bodyDiv w:val="1"/>
      <w:marLeft w:val="0"/>
      <w:marRight w:val="0"/>
      <w:marTop w:val="0"/>
      <w:marBottom w:val="0"/>
      <w:divBdr>
        <w:top w:val="none" w:sz="0" w:space="0" w:color="auto"/>
        <w:left w:val="none" w:sz="0" w:space="0" w:color="auto"/>
        <w:bottom w:val="none" w:sz="0" w:space="0" w:color="auto"/>
        <w:right w:val="none" w:sz="0" w:space="0" w:color="auto"/>
      </w:divBdr>
    </w:div>
    <w:div w:id="7608972">
      <w:bodyDiv w:val="1"/>
      <w:marLeft w:val="0"/>
      <w:marRight w:val="0"/>
      <w:marTop w:val="0"/>
      <w:marBottom w:val="0"/>
      <w:divBdr>
        <w:top w:val="none" w:sz="0" w:space="0" w:color="auto"/>
        <w:left w:val="none" w:sz="0" w:space="0" w:color="auto"/>
        <w:bottom w:val="none" w:sz="0" w:space="0" w:color="auto"/>
        <w:right w:val="none" w:sz="0" w:space="0" w:color="auto"/>
      </w:divBdr>
    </w:div>
    <w:div w:id="7680713">
      <w:bodyDiv w:val="1"/>
      <w:marLeft w:val="0"/>
      <w:marRight w:val="0"/>
      <w:marTop w:val="0"/>
      <w:marBottom w:val="0"/>
      <w:divBdr>
        <w:top w:val="none" w:sz="0" w:space="0" w:color="auto"/>
        <w:left w:val="none" w:sz="0" w:space="0" w:color="auto"/>
        <w:bottom w:val="none" w:sz="0" w:space="0" w:color="auto"/>
        <w:right w:val="none" w:sz="0" w:space="0" w:color="auto"/>
      </w:divBdr>
    </w:div>
    <w:div w:id="7681775">
      <w:bodyDiv w:val="1"/>
      <w:marLeft w:val="0"/>
      <w:marRight w:val="0"/>
      <w:marTop w:val="0"/>
      <w:marBottom w:val="0"/>
      <w:divBdr>
        <w:top w:val="none" w:sz="0" w:space="0" w:color="auto"/>
        <w:left w:val="none" w:sz="0" w:space="0" w:color="auto"/>
        <w:bottom w:val="none" w:sz="0" w:space="0" w:color="auto"/>
        <w:right w:val="none" w:sz="0" w:space="0" w:color="auto"/>
      </w:divBdr>
    </w:div>
    <w:div w:id="7685693">
      <w:bodyDiv w:val="1"/>
      <w:marLeft w:val="0"/>
      <w:marRight w:val="0"/>
      <w:marTop w:val="0"/>
      <w:marBottom w:val="0"/>
      <w:divBdr>
        <w:top w:val="none" w:sz="0" w:space="0" w:color="auto"/>
        <w:left w:val="none" w:sz="0" w:space="0" w:color="auto"/>
        <w:bottom w:val="none" w:sz="0" w:space="0" w:color="auto"/>
        <w:right w:val="none" w:sz="0" w:space="0" w:color="auto"/>
      </w:divBdr>
    </w:div>
    <w:div w:id="7828983">
      <w:bodyDiv w:val="1"/>
      <w:marLeft w:val="0"/>
      <w:marRight w:val="0"/>
      <w:marTop w:val="0"/>
      <w:marBottom w:val="0"/>
      <w:divBdr>
        <w:top w:val="none" w:sz="0" w:space="0" w:color="auto"/>
        <w:left w:val="none" w:sz="0" w:space="0" w:color="auto"/>
        <w:bottom w:val="none" w:sz="0" w:space="0" w:color="auto"/>
        <w:right w:val="none" w:sz="0" w:space="0" w:color="auto"/>
      </w:divBdr>
    </w:div>
    <w:div w:id="7945964">
      <w:bodyDiv w:val="1"/>
      <w:marLeft w:val="0"/>
      <w:marRight w:val="0"/>
      <w:marTop w:val="0"/>
      <w:marBottom w:val="0"/>
      <w:divBdr>
        <w:top w:val="none" w:sz="0" w:space="0" w:color="auto"/>
        <w:left w:val="none" w:sz="0" w:space="0" w:color="auto"/>
        <w:bottom w:val="none" w:sz="0" w:space="0" w:color="auto"/>
        <w:right w:val="none" w:sz="0" w:space="0" w:color="auto"/>
      </w:divBdr>
    </w:div>
    <w:div w:id="7949056">
      <w:bodyDiv w:val="1"/>
      <w:marLeft w:val="0"/>
      <w:marRight w:val="0"/>
      <w:marTop w:val="0"/>
      <w:marBottom w:val="0"/>
      <w:divBdr>
        <w:top w:val="none" w:sz="0" w:space="0" w:color="auto"/>
        <w:left w:val="none" w:sz="0" w:space="0" w:color="auto"/>
        <w:bottom w:val="none" w:sz="0" w:space="0" w:color="auto"/>
        <w:right w:val="none" w:sz="0" w:space="0" w:color="auto"/>
      </w:divBdr>
    </w:div>
    <w:div w:id="7950266">
      <w:bodyDiv w:val="1"/>
      <w:marLeft w:val="0"/>
      <w:marRight w:val="0"/>
      <w:marTop w:val="0"/>
      <w:marBottom w:val="0"/>
      <w:divBdr>
        <w:top w:val="none" w:sz="0" w:space="0" w:color="auto"/>
        <w:left w:val="none" w:sz="0" w:space="0" w:color="auto"/>
        <w:bottom w:val="none" w:sz="0" w:space="0" w:color="auto"/>
        <w:right w:val="none" w:sz="0" w:space="0" w:color="auto"/>
      </w:divBdr>
    </w:div>
    <w:div w:id="7950600">
      <w:bodyDiv w:val="1"/>
      <w:marLeft w:val="0"/>
      <w:marRight w:val="0"/>
      <w:marTop w:val="0"/>
      <w:marBottom w:val="0"/>
      <w:divBdr>
        <w:top w:val="none" w:sz="0" w:space="0" w:color="auto"/>
        <w:left w:val="none" w:sz="0" w:space="0" w:color="auto"/>
        <w:bottom w:val="none" w:sz="0" w:space="0" w:color="auto"/>
        <w:right w:val="none" w:sz="0" w:space="0" w:color="auto"/>
      </w:divBdr>
    </w:div>
    <w:div w:id="8028073">
      <w:bodyDiv w:val="1"/>
      <w:marLeft w:val="0"/>
      <w:marRight w:val="0"/>
      <w:marTop w:val="0"/>
      <w:marBottom w:val="0"/>
      <w:divBdr>
        <w:top w:val="none" w:sz="0" w:space="0" w:color="auto"/>
        <w:left w:val="none" w:sz="0" w:space="0" w:color="auto"/>
        <w:bottom w:val="none" w:sz="0" w:space="0" w:color="auto"/>
        <w:right w:val="none" w:sz="0" w:space="0" w:color="auto"/>
      </w:divBdr>
    </w:div>
    <w:div w:id="8065129">
      <w:bodyDiv w:val="1"/>
      <w:marLeft w:val="0"/>
      <w:marRight w:val="0"/>
      <w:marTop w:val="0"/>
      <w:marBottom w:val="0"/>
      <w:divBdr>
        <w:top w:val="none" w:sz="0" w:space="0" w:color="auto"/>
        <w:left w:val="none" w:sz="0" w:space="0" w:color="auto"/>
        <w:bottom w:val="none" w:sz="0" w:space="0" w:color="auto"/>
        <w:right w:val="none" w:sz="0" w:space="0" w:color="auto"/>
      </w:divBdr>
    </w:div>
    <w:div w:id="8068935">
      <w:bodyDiv w:val="1"/>
      <w:marLeft w:val="0"/>
      <w:marRight w:val="0"/>
      <w:marTop w:val="0"/>
      <w:marBottom w:val="0"/>
      <w:divBdr>
        <w:top w:val="none" w:sz="0" w:space="0" w:color="auto"/>
        <w:left w:val="none" w:sz="0" w:space="0" w:color="auto"/>
        <w:bottom w:val="none" w:sz="0" w:space="0" w:color="auto"/>
        <w:right w:val="none" w:sz="0" w:space="0" w:color="auto"/>
      </w:divBdr>
    </w:div>
    <w:div w:id="8336123">
      <w:bodyDiv w:val="1"/>
      <w:marLeft w:val="0"/>
      <w:marRight w:val="0"/>
      <w:marTop w:val="0"/>
      <w:marBottom w:val="0"/>
      <w:divBdr>
        <w:top w:val="none" w:sz="0" w:space="0" w:color="auto"/>
        <w:left w:val="none" w:sz="0" w:space="0" w:color="auto"/>
        <w:bottom w:val="none" w:sz="0" w:space="0" w:color="auto"/>
        <w:right w:val="none" w:sz="0" w:space="0" w:color="auto"/>
      </w:divBdr>
    </w:div>
    <w:div w:id="8340956">
      <w:bodyDiv w:val="1"/>
      <w:marLeft w:val="0"/>
      <w:marRight w:val="0"/>
      <w:marTop w:val="0"/>
      <w:marBottom w:val="0"/>
      <w:divBdr>
        <w:top w:val="none" w:sz="0" w:space="0" w:color="auto"/>
        <w:left w:val="none" w:sz="0" w:space="0" w:color="auto"/>
        <w:bottom w:val="none" w:sz="0" w:space="0" w:color="auto"/>
        <w:right w:val="none" w:sz="0" w:space="0" w:color="auto"/>
      </w:divBdr>
    </w:div>
    <w:div w:id="8459229">
      <w:bodyDiv w:val="1"/>
      <w:marLeft w:val="0"/>
      <w:marRight w:val="0"/>
      <w:marTop w:val="0"/>
      <w:marBottom w:val="0"/>
      <w:divBdr>
        <w:top w:val="none" w:sz="0" w:space="0" w:color="auto"/>
        <w:left w:val="none" w:sz="0" w:space="0" w:color="auto"/>
        <w:bottom w:val="none" w:sz="0" w:space="0" w:color="auto"/>
        <w:right w:val="none" w:sz="0" w:space="0" w:color="auto"/>
      </w:divBdr>
    </w:div>
    <w:div w:id="8605789">
      <w:bodyDiv w:val="1"/>
      <w:marLeft w:val="0"/>
      <w:marRight w:val="0"/>
      <w:marTop w:val="0"/>
      <w:marBottom w:val="0"/>
      <w:divBdr>
        <w:top w:val="none" w:sz="0" w:space="0" w:color="auto"/>
        <w:left w:val="none" w:sz="0" w:space="0" w:color="auto"/>
        <w:bottom w:val="none" w:sz="0" w:space="0" w:color="auto"/>
        <w:right w:val="none" w:sz="0" w:space="0" w:color="auto"/>
      </w:divBdr>
    </w:div>
    <w:div w:id="8606589">
      <w:bodyDiv w:val="1"/>
      <w:marLeft w:val="0"/>
      <w:marRight w:val="0"/>
      <w:marTop w:val="0"/>
      <w:marBottom w:val="0"/>
      <w:divBdr>
        <w:top w:val="none" w:sz="0" w:space="0" w:color="auto"/>
        <w:left w:val="none" w:sz="0" w:space="0" w:color="auto"/>
        <w:bottom w:val="none" w:sz="0" w:space="0" w:color="auto"/>
        <w:right w:val="none" w:sz="0" w:space="0" w:color="auto"/>
      </w:divBdr>
    </w:div>
    <w:div w:id="8681926">
      <w:bodyDiv w:val="1"/>
      <w:marLeft w:val="0"/>
      <w:marRight w:val="0"/>
      <w:marTop w:val="0"/>
      <w:marBottom w:val="0"/>
      <w:divBdr>
        <w:top w:val="none" w:sz="0" w:space="0" w:color="auto"/>
        <w:left w:val="none" w:sz="0" w:space="0" w:color="auto"/>
        <w:bottom w:val="none" w:sz="0" w:space="0" w:color="auto"/>
        <w:right w:val="none" w:sz="0" w:space="0" w:color="auto"/>
      </w:divBdr>
    </w:div>
    <w:div w:id="8794087">
      <w:bodyDiv w:val="1"/>
      <w:marLeft w:val="0"/>
      <w:marRight w:val="0"/>
      <w:marTop w:val="0"/>
      <w:marBottom w:val="0"/>
      <w:divBdr>
        <w:top w:val="none" w:sz="0" w:space="0" w:color="auto"/>
        <w:left w:val="none" w:sz="0" w:space="0" w:color="auto"/>
        <w:bottom w:val="none" w:sz="0" w:space="0" w:color="auto"/>
        <w:right w:val="none" w:sz="0" w:space="0" w:color="auto"/>
      </w:divBdr>
    </w:div>
    <w:div w:id="8797185">
      <w:bodyDiv w:val="1"/>
      <w:marLeft w:val="0"/>
      <w:marRight w:val="0"/>
      <w:marTop w:val="0"/>
      <w:marBottom w:val="0"/>
      <w:divBdr>
        <w:top w:val="none" w:sz="0" w:space="0" w:color="auto"/>
        <w:left w:val="none" w:sz="0" w:space="0" w:color="auto"/>
        <w:bottom w:val="none" w:sz="0" w:space="0" w:color="auto"/>
        <w:right w:val="none" w:sz="0" w:space="0" w:color="auto"/>
      </w:divBdr>
    </w:div>
    <w:div w:id="8877183">
      <w:bodyDiv w:val="1"/>
      <w:marLeft w:val="0"/>
      <w:marRight w:val="0"/>
      <w:marTop w:val="0"/>
      <w:marBottom w:val="0"/>
      <w:divBdr>
        <w:top w:val="none" w:sz="0" w:space="0" w:color="auto"/>
        <w:left w:val="none" w:sz="0" w:space="0" w:color="auto"/>
        <w:bottom w:val="none" w:sz="0" w:space="0" w:color="auto"/>
        <w:right w:val="none" w:sz="0" w:space="0" w:color="auto"/>
      </w:divBdr>
    </w:div>
    <w:div w:id="8913392">
      <w:bodyDiv w:val="1"/>
      <w:marLeft w:val="0"/>
      <w:marRight w:val="0"/>
      <w:marTop w:val="0"/>
      <w:marBottom w:val="0"/>
      <w:divBdr>
        <w:top w:val="none" w:sz="0" w:space="0" w:color="auto"/>
        <w:left w:val="none" w:sz="0" w:space="0" w:color="auto"/>
        <w:bottom w:val="none" w:sz="0" w:space="0" w:color="auto"/>
        <w:right w:val="none" w:sz="0" w:space="0" w:color="auto"/>
      </w:divBdr>
    </w:div>
    <w:div w:id="9064771">
      <w:bodyDiv w:val="1"/>
      <w:marLeft w:val="0"/>
      <w:marRight w:val="0"/>
      <w:marTop w:val="0"/>
      <w:marBottom w:val="0"/>
      <w:divBdr>
        <w:top w:val="none" w:sz="0" w:space="0" w:color="auto"/>
        <w:left w:val="none" w:sz="0" w:space="0" w:color="auto"/>
        <w:bottom w:val="none" w:sz="0" w:space="0" w:color="auto"/>
        <w:right w:val="none" w:sz="0" w:space="0" w:color="auto"/>
      </w:divBdr>
    </w:div>
    <w:div w:id="9067344">
      <w:bodyDiv w:val="1"/>
      <w:marLeft w:val="0"/>
      <w:marRight w:val="0"/>
      <w:marTop w:val="0"/>
      <w:marBottom w:val="0"/>
      <w:divBdr>
        <w:top w:val="none" w:sz="0" w:space="0" w:color="auto"/>
        <w:left w:val="none" w:sz="0" w:space="0" w:color="auto"/>
        <w:bottom w:val="none" w:sz="0" w:space="0" w:color="auto"/>
        <w:right w:val="none" w:sz="0" w:space="0" w:color="auto"/>
      </w:divBdr>
    </w:div>
    <w:div w:id="9071087">
      <w:bodyDiv w:val="1"/>
      <w:marLeft w:val="0"/>
      <w:marRight w:val="0"/>
      <w:marTop w:val="0"/>
      <w:marBottom w:val="0"/>
      <w:divBdr>
        <w:top w:val="none" w:sz="0" w:space="0" w:color="auto"/>
        <w:left w:val="none" w:sz="0" w:space="0" w:color="auto"/>
        <w:bottom w:val="none" w:sz="0" w:space="0" w:color="auto"/>
        <w:right w:val="none" w:sz="0" w:space="0" w:color="auto"/>
      </w:divBdr>
    </w:div>
    <w:div w:id="9113935">
      <w:bodyDiv w:val="1"/>
      <w:marLeft w:val="0"/>
      <w:marRight w:val="0"/>
      <w:marTop w:val="0"/>
      <w:marBottom w:val="0"/>
      <w:divBdr>
        <w:top w:val="none" w:sz="0" w:space="0" w:color="auto"/>
        <w:left w:val="none" w:sz="0" w:space="0" w:color="auto"/>
        <w:bottom w:val="none" w:sz="0" w:space="0" w:color="auto"/>
        <w:right w:val="none" w:sz="0" w:space="0" w:color="auto"/>
      </w:divBdr>
    </w:div>
    <w:div w:id="9138719">
      <w:bodyDiv w:val="1"/>
      <w:marLeft w:val="0"/>
      <w:marRight w:val="0"/>
      <w:marTop w:val="0"/>
      <w:marBottom w:val="0"/>
      <w:divBdr>
        <w:top w:val="none" w:sz="0" w:space="0" w:color="auto"/>
        <w:left w:val="none" w:sz="0" w:space="0" w:color="auto"/>
        <w:bottom w:val="none" w:sz="0" w:space="0" w:color="auto"/>
        <w:right w:val="none" w:sz="0" w:space="0" w:color="auto"/>
      </w:divBdr>
    </w:div>
    <w:div w:id="9258931">
      <w:bodyDiv w:val="1"/>
      <w:marLeft w:val="0"/>
      <w:marRight w:val="0"/>
      <w:marTop w:val="0"/>
      <w:marBottom w:val="0"/>
      <w:divBdr>
        <w:top w:val="none" w:sz="0" w:space="0" w:color="auto"/>
        <w:left w:val="none" w:sz="0" w:space="0" w:color="auto"/>
        <w:bottom w:val="none" w:sz="0" w:space="0" w:color="auto"/>
        <w:right w:val="none" w:sz="0" w:space="0" w:color="auto"/>
      </w:divBdr>
    </w:div>
    <w:div w:id="9263466">
      <w:bodyDiv w:val="1"/>
      <w:marLeft w:val="0"/>
      <w:marRight w:val="0"/>
      <w:marTop w:val="0"/>
      <w:marBottom w:val="0"/>
      <w:divBdr>
        <w:top w:val="none" w:sz="0" w:space="0" w:color="auto"/>
        <w:left w:val="none" w:sz="0" w:space="0" w:color="auto"/>
        <w:bottom w:val="none" w:sz="0" w:space="0" w:color="auto"/>
        <w:right w:val="none" w:sz="0" w:space="0" w:color="auto"/>
      </w:divBdr>
    </w:div>
    <w:div w:id="9331645">
      <w:bodyDiv w:val="1"/>
      <w:marLeft w:val="0"/>
      <w:marRight w:val="0"/>
      <w:marTop w:val="0"/>
      <w:marBottom w:val="0"/>
      <w:divBdr>
        <w:top w:val="none" w:sz="0" w:space="0" w:color="auto"/>
        <w:left w:val="none" w:sz="0" w:space="0" w:color="auto"/>
        <w:bottom w:val="none" w:sz="0" w:space="0" w:color="auto"/>
        <w:right w:val="none" w:sz="0" w:space="0" w:color="auto"/>
      </w:divBdr>
    </w:div>
    <w:div w:id="9337750">
      <w:bodyDiv w:val="1"/>
      <w:marLeft w:val="0"/>
      <w:marRight w:val="0"/>
      <w:marTop w:val="0"/>
      <w:marBottom w:val="0"/>
      <w:divBdr>
        <w:top w:val="none" w:sz="0" w:space="0" w:color="auto"/>
        <w:left w:val="none" w:sz="0" w:space="0" w:color="auto"/>
        <w:bottom w:val="none" w:sz="0" w:space="0" w:color="auto"/>
        <w:right w:val="none" w:sz="0" w:space="0" w:color="auto"/>
      </w:divBdr>
    </w:div>
    <w:div w:id="9454580">
      <w:bodyDiv w:val="1"/>
      <w:marLeft w:val="0"/>
      <w:marRight w:val="0"/>
      <w:marTop w:val="0"/>
      <w:marBottom w:val="0"/>
      <w:divBdr>
        <w:top w:val="none" w:sz="0" w:space="0" w:color="auto"/>
        <w:left w:val="none" w:sz="0" w:space="0" w:color="auto"/>
        <w:bottom w:val="none" w:sz="0" w:space="0" w:color="auto"/>
        <w:right w:val="none" w:sz="0" w:space="0" w:color="auto"/>
      </w:divBdr>
    </w:div>
    <w:div w:id="9650694">
      <w:bodyDiv w:val="1"/>
      <w:marLeft w:val="0"/>
      <w:marRight w:val="0"/>
      <w:marTop w:val="0"/>
      <w:marBottom w:val="0"/>
      <w:divBdr>
        <w:top w:val="none" w:sz="0" w:space="0" w:color="auto"/>
        <w:left w:val="none" w:sz="0" w:space="0" w:color="auto"/>
        <w:bottom w:val="none" w:sz="0" w:space="0" w:color="auto"/>
        <w:right w:val="none" w:sz="0" w:space="0" w:color="auto"/>
      </w:divBdr>
    </w:div>
    <w:div w:id="9651535">
      <w:bodyDiv w:val="1"/>
      <w:marLeft w:val="0"/>
      <w:marRight w:val="0"/>
      <w:marTop w:val="0"/>
      <w:marBottom w:val="0"/>
      <w:divBdr>
        <w:top w:val="none" w:sz="0" w:space="0" w:color="auto"/>
        <w:left w:val="none" w:sz="0" w:space="0" w:color="auto"/>
        <w:bottom w:val="none" w:sz="0" w:space="0" w:color="auto"/>
        <w:right w:val="none" w:sz="0" w:space="0" w:color="auto"/>
      </w:divBdr>
    </w:div>
    <w:div w:id="9651634">
      <w:bodyDiv w:val="1"/>
      <w:marLeft w:val="0"/>
      <w:marRight w:val="0"/>
      <w:marTop w:val="0"/>
      <w:marBottom w:val="0"/>
      <w:divBdr>
        <w:top w:val="none" w:sz="0" w:space="0" w:color="auto"/>
        <w:left w:val="none" w:sz="0" w:space="0" w:color="auto"/>
        <w:bottom w:val="none" w:sz="0" w:space="0" w:color="auto"/>
        <w:right w:val="none" w:sz="0" w:space="0" w:color="auto"/>
      </w:divBdr>
    </w:div>
    <w:div w:id="9768424">
      <w:bodyDiv w:val="1"/>
      <w:marLeft w:val="0"/>
      <w:marRight w:val="0"/>
      <w:marTop w:val="0"/>
      <w:marBottom w:val="0"/>
      <w:divBdr>
        <w:top w:val="none" w:sz="0" w:space="0" w:color="auto"/>
        <w:left w:val="none" w:sz="0" w:space="0" w:color="auto"/>
        <w:bottom w:val="none" w:sz="0" w:space="0" w:color="auto"/>
        <w:right w:val="none" w:sz="0" w:space="0" w:color="auto"/>
      </w:divBdr>
    </w:div>
    <w:div w:id="9845376">
      <w:bodyDiv w:val="1"/>
      <w:marLeft w:val="0"/>
      <w:marRight w:val="0"/>
      <w:marTop w:val="0"/>
      <w:marBottom w:val="0"/>
      <w:divBdr>
        <w:top w:val="none" w:sz="0" w:space="0" w:color="auto"/>
        <w:left w:val="none" w:sz="0" w:space="0" w:color="auto"/>
        <w:bottom w:val="none" w:sz="0" w:space="0" w:color="auto"/>
        <w:right w:val="none" w:sz="0" w:space="0" w:color="auto"/>
      </w:divBdr>
    </w:div>
    <w:div w:id="9913103">
      <w:bodyDiv w:val="1"/>
      <w:marLeft w:val="0"/>
      <w:marRight w:val="0"/>
      <w:marTop w:val="0"/>
      <w:marBottom w:val="0"/>
      <w:divBdr>
        <w:top w:val="none" w:sz="0" w:space="0" w:color="auto"/>
        <w:left w:val="none" w:sz="0" w:space="0" w:color="auto"/>
        <w:bottom w:val="none" w:sz="0" w:space="0" w:color="auto"/>
        <w:right w:val="none" w:sz="0" w:space="0" w:color="auto"/>
      </w:divBdr>
    </w:div>
    <w:div w:id="9917084">
      <w:bodyDiv w:val="1"/>
      <w:marLeft w:val="0"/>
      <w:marRight w:val="0"/>
      <w:marTop w:val="0"/>
      <w:marBottom w:val="0"/>
      <w:divBdr>
        <w:top w:val="none" w:sz="0" w:space="0" w:color="auto"/>
        <w:left w:val="none" w:sz="0" w:space="0" w:color="auto"/>
        <w:bottom w:val="none" w:sz="0" w:space="0" w:color="auto"/>
        <w:right w:val="none" w:sz="0" w:space="0" w:color="auto"/>
      </w:divBdr>
    </w:div>
    <w:div w:id="10183175">
      <w:bodyDiv w:val="1"/>
      <w:marLeft w:val="0"/>
      <w:marRight w:val="0"/>
      <w:marTop w:val="0"/>
      <w:marBottom w:val="0"/>
      <w:divBdr>
        <w:top w:val="none" w:sz="0" w:space="0" w:color="auto"/>
        <w:left w:val="none" w:sz="0" w:space="0" w:color="auto"/>
        <w:bottom w:val="none" w:sz="0" w:space="0" w:color="auto"/>
        <w:right w:val="none" w:sz="0" w:space="0" w:color="auto"/>
      </w:divBdr>
    </w:div>
    <w:div w:id="10184859">
      <w:bodyDiv w:val="1"/>
      <w:marLeft w:val="0"/>
      <w:marRight w:val="0"/>
      <w:marTop w:val="0"/>
      <w:marBottom w:val="0"/>
      <w:divBdr>
        <w:top w:val="none" w:sz="0" w:space="0" w:color="auto"/>
        <w:left w:val="none" w:sz="0" w:space="0" w:color="auto"/>
        <w:bottom w:val="none" w:sz="0" w:space="0" w:color="auto"/>
        <w:right w:val="none" w:sz="0" w:space="0" w:color="auto"/>
      </w:divBdr>
    </w:div>
    <w:div w:id="10231632">
      <w:bodyDiv w:val="1"/>
      <w:marLeft w:val="0"/>
      <w:marRight w:val="0"/>
      <w:marTop w:val="0"/>
      <w:marBottom w:val="0"/>
      <w:divBdr>
        <w:top w:val="none" w:sz="0" w:space="0" w:color="auto"/>
        <w:left w:val="none" w:sz="0" w:space="0" w:color="auto"/>
        <w:bottom w:val="none" w:sz="0" w:space="0" w:color="auto"/>
        <w:right w:val="none" w:sz="0" w:space="0" w:color="auto"/>
      </w:divBdr>
    </w:div>
    <w:div w:id="10373943">
      <w:bodyDiv w:val="1"/>
      <w:marLeft w:val="0"/>
      <w:marRight w:val="0"/>
      <w:marTop w:val="0"/>
      <w:marBottom w:val="0"/>
      <w:divBdr>
        <w:top w:val="none" w:sz="0" w:space="0" w:color="auto"/>
        <w:left w:val="none" w:sz="0" w:space="0" w:color="auto"/>
        <w:bottom w:val="none" w:sz="0" w:space="0" w:color="auto"/>
        <w:right w:val="none" w:sz="0" w:space="0" w:color="auto"/>
      </w:divBdr>
    </w:div>
    <w:div w:id="10382302">
      <w:bodyDiv w:val="1"/>
      <w:marLeft w:val="0"/>
      <w:marRight w:val="0"/>
      <w:marTop w:val="0"/>
      <w:marBottom w:val="0"/>
      <w:divBdr>
        <w:top w:val="none" w:sz="0" w:space="0" w:color="auto"/>
        <w:left w:val="none" w:sz="0" w:space="0" w:color="auto"/>
        <w:bottom w:val="none" w:sz="0" w:space="0" w:color="auto"/>
        <w:right w:val="none" w:sz="0" w:space="0" w:color="auto"/>
      </w:divBdr>
    </w:div>
    <w:div w:id="10421392">
      <w:bodyDiv w:val="1"/>
      <w:marLeft w:val="0"/>
      <w:marRight w:val="0"/>
      <w:marTop w:val="0"/>
      <w:marBottom w:val="0"/>
      <w:divBdr>
        <w:top w:val="none" w:sz="0" w:space="0" w:color="auto"/>
        <w:left w:val="none" w:sz="0" w:space="0" w:color="auto"/>
        <w:bottom w:val="none" w:sz="0" w:space="0" w:color="auto"/>
        <w:right w:val="none" w:sz="0" w:space="0" w:color="auto"/>
      </w:divBdr>
    </w:div>
    <w:div w:id="10452167">
      <w:bodyDiv w:val="1"/>
      <w:marLeft w:val="0"/>
      <w:marRight w:val="0"/>
      <w:marTop w:val="0"/>
      <w:marBottom w:val="0"/>
      <w:divBdr>
        <w:top w:val="none" w:sz="0" w:space="0" w:color="auto"/>
        <w:left w:val="none" w:sz="0" w:space="0" w:color="auto"/>
        <w:bottom w:val="none" w:sz="0" w:space="0" w:color="auto"/>
        <w:right w:val="none" w:sz="0" w:space="0" w:color="auto"/>
      </w:divBdr>
    </w:div>
    <w:div w:id="10493866">
      <w:bodyDiv w:val="1"/>
      <w:marLeft w:val="0"/>
      <w:marRight w:val="0"/>
      <w:marTop w:val="0"/>
      <w:marBottom w:val="0"/>
      <w:divBdr>
        <w:top w:val="none" w:sz="0" w:space="0" w:color="auto"/>
        <w:left w:val="none" w:sz="0" w:space="0" w:color="auto"/>
        <w:bottom w:val="none" w:sz="0" w:space="0" w:color="auto"/>
        <w:right w:val="none" w:sz="0" w:space="0" w:color="auto"/>
      </w:divBdr>
    </w:div>
    <w:div w:id="10495451">
      <w:bodyDiv w:val="1"/>
      <w:marLeft w:val="0"/>
      <w:marRight w:val="0"/>
      <w:marTop w:val="0"/>
      <w:marBottom w:val="0"/>
      <w:divBdr>
        <w:top w:val="none" w:sz="0" w:space="0" w:color="auto"/>
        <w:left w:val="none" w:sz="0" w:space="0" w:color="auto"/>
        <w:bottom w:val="none" w:sz="0" w:space="0" w:color="auto"/>
        <w:right w:val="none" w:sz="0" w:space="0" w:color="auto"/>
      </w:divBdr>
    </w:div>
    <w:div w:id="10567035">
      <w:bodyDiv w:val="1"/>
      <w:marLeft w:val="0"/>
      <w:marRight w:val="0"/>
      <w:marTop w:val="0"/>
      <w:marBottom w:val="0"/>
      <w:divBdr>
        <w:top w:val="none" w:sz="0" w:space="0" w:color="auto"/>
        <w:left w:val="none" w:sz="0" w:space="0" w:color="auto"/>
        <w:bottom w:val="none" w:sz="0" w:space="0" w:color="auto"/>
        <w:right w:val="none" w:sz="0" w:space="0" w:color="auto"/>
      </w:divBdr>
    </w:div>
    <w:div w:id="10643680">
      <w:bodyDiv w:val="1"/>
      <w:marLeft w:val="0"/>
      <w:marRight w:val="0"/>
      <w:marTop w:val="0"/>
      <w:marBottom w:val="0"/>
      <w:divBdr>
        <w:top w:val="none" w:sz="0" w:space="0" w:color="auto"/>
        <w:left w:val="none" w:sz="0" w:space="0" w:color="auto"/>
        <w:bottom w:val="none" w:sz="0" w:space="0" w:color="auto"/>
        <w:right w:val="none" w:sz="0" w:space="0" w:color="auto"/>
      </w:divBdr>
    </w:div>
    <w:div w:id="10766764">
      <w:bodyDiv w:val="1"/>
      <w:marLeft w:val="0"/>
      <w:marRight w:val="0"/>
      <w:marTop w:val="0"/>
      <w:marBottom w:val="0"/>
      <w:divBdr>
        <w:top w:val="none" w:sz="0" w:space="0" w:color="auto"/>
        <w:left w:val="none" w:sz="0" w:space="0" w:color="auto"/>
        <w:bottom w:val="none" w:sz="0" w:space="0" w:color="auto"/>
        <w:right w:val="none" w:sz="0" w:space="0" w:color="auto"/>
      </w:divBdr>
    </w:div>
    <w:div w:id="10883601">
      <w:bodyDiv w:val="1"/>
      <w:marLeft w:val="0"/>
      <w:marRight w:val="0"/>
      <w:marTop w:val="0"/>
      <w:marBottom w:val="0"/>
      <w:divBdr>
        <w:top w:val="none" w:sz="0" w:space="0" w:color="auto"/>
        <w:left w:val="none" w:sz="0" w:space="0" w:color="auto"/>
        <w:bottom w:val="none" w:sz="0" w:space="0" w:color="auto"/>
        <w:right w:val="none" w:sz="0" w:space="0" w:color="auto"/>
      </w:divBdr>
    </w:div>
    <w:div w:id="10954020">
      <w:bodyDiv w:val="1"/>
      <w:marLeft w:val="0"/>
      <w:marRight w:val="0"/>
      <w:marTop w:val="0"/>
      <w:marBottom w:val="0"/>
      <w:divBdr>
        <w:top w:val="none" w:sz="0" w:space="0" w:color="auto"/>
        <w:left w:val="none" w:sz="0" w:space="0" w:color="auto"/>
        <w:bottom w:val="none" w:sz="0" w:space="0" w:color="auto"/>
        <w:right w:val="none" w:sz="0" w:space="0" w:color="auto"/>
      </w:divBdr>
    </w:div>
    <w:div w:id="10957958">
      <w:bodyDiv w:val="1"/>
      <w:marLeft w:val="0"/>
      <w:marRight w:val="0"/>
      <w:marTop w:val="0"/>
      <w:marBottom w:val="0"/>
      <w:divBdr>
        <w:top w:val="none" w:sz="0" w:space="0" w:color="auto"/>
        <w:left w:val="none" w:sz="0" w:space="0" w:color="auto"/>
        <w:bottom w:val="none" w:sz="0" w:space="0" w:color="auto"/>
        <w:right w:val="none" w:sz="0" w:space="0" w:color="auto"/>
      </w:divBdr>
    </w:div>
    <w:div w:id="10959534">
      <w:bodyDiv w:val="1"/>
      <w:marLeft w:val="0"/>
      <w:marRight w:val="0"/>
      <w:marTop w:val="0"/>
      <w:marBottom w:val="0"/>
      <w:divBdr>
        <w:top w:val="none" w:sz="0" w:space="0" w:color="auto"/>
        <w:left w:val="none" w:sz="0" w:space="0" w:color="auto"/>
        <w:bottom w:val="none" w:sz="0" w:space="0" w:color="auto"/>
        <w:right w:val="none" w:sz="0" w:space="0" w:color="auto"/>
      </w:divBdr>
    </w:div>
    <w:div w:id="10961961">
      <w:bodyDiv w:val="1"/>
      <w:marLeft w:val="0"/>
      <w:marRight w:val="0"/>
      <w:marTop w:val="0"/>
      <w:marBottom w:val="0"/>
      <w:divBdr>
        <w:top w:val="none" w:sz="0" w:space="0" w:color="auto"/>
        <w:left w:val="none" w:sz="0" w:space="0" w:color="auto"/>
        <w:bottom w:val="none" w:sz="0" w:space="0" w:color="auto"/>
        <w:right w:val="none" w:sz="0" w:space="0" w:color="auto"/>
      </w:divBdr>
    </w:div>
    <w:div w:id="11033969">
      <w:bodyDiv w:val="1"/>
      <w:marLeft w:val="0"/>
      <w:marRight w:val="0"/>
      <w:marTop w:val="0"/>
      <w:marBottom w:val="0"/>
      <w:divBdr>
        <w:top w:val="none" w:sz="0" w:space="0" w:color="auto"/>
        <w:left w:val="none" w:sz="0" w:space="0" w:color="auto"/>
        <w:bottom w:val="none" w:sz="0" w:space="0" w:color="auto"/>
        <w:right w:val="none" w:sz="0" w:space="0" w:color="auto"/>
      </w:divBdr>
    </w:div>
    <w:div w:id="11227847">
      <w:bodyDiv w:val="1"/>
      <w:marLeft w:val="0"/>
      <w:marRight w:val="0"/>
      <w:marTop w:val="0"/>
      <w:marBottom w:val="0"/>
      <w:divBdr>
        <w:top w:val="none" w:sz="0" w:space="0" w:color="auto"/>
        <w:left w:val="none" w:sz="0" w:space="0" w:color="auto"/>
        <w:bottom w:val="none" w:sz="0" w:space="0" w:color="auto"/>
        <w:right w:val="none" w:sz="0" w:space="0" w:color="auto"/>
      </w:divBdr>
    </w:div>
    <w:div w:id="11229573">
      <w:bodyDiv w:val="1"/>
      <w:marLeft w:val="0"/>
      <w:marRight w:val="0"/>
      <w:marTop w:val="0"/>
      <w:marBottom w:val="0"/>
      <w:divBdr>
        <w:top w:val="none" w:sz="0" w:space="0" w:color="auto"/>
        <w:left w:val="none" w:sz="0" w:space="0" w:color="auto"/>
        <w:bottom w:val="none" w:sz="0" w:space="0" w:color="auto"/>
        <w:right w:val="none" w:sz="0" w:space="0" w:color="auto"/>
      </w:divBdr>
    </w:div>
    <w:div w:id="11418562">
      <w:bodyDiv w:val="1"/>
      <w:marLeft w:val="0"/>
      <w:marRight w:val="0"/>
      <w:marTop w:val="0"/>
      <w:marBottom w:val="0"/>
      <w:divBdr>
        <w:top w:val="none" w:sz="0" w:space="0" w:color="auto"/>
        <w:left w:val="none" w:sz="0" w:space="0" w:color="auto"/>
        <w:bottom w:val="none" w:sz="0" w:space="0" w:color="auto"/>
        <w:right w:val="none" w:sz="0" w:space="0" w:color="auto"/>
      </w:divBdr>
    </w:div>
    <w:div w:id="11537623">
      <w:bodyDiv w:val="1"/>
      <w:marLeft w:val="0"/>
      <w:marRight w:val="0"/>
      <w:marTop w:val="0"/>
      <w:marBottom w:val="0"/>
      <w:divBdr>
        <w:top w:val="none" w:sz="0" w:space="0" w:color="auto"/>
        <w:left w:val="none" w:sz="0" w:space="0" w:color="auto"/>
        <w:bottom w:val="none" w:sz="0" w:space="0" w:color="auto"/>
        <w:right w:val="none" w:sz="0" w:space="0" w:color="auto"/>
      </w:divBdr>
    </w:div>
    <w:div w:id="11617086">
      <w:bodyDiv w:val="1"/>
      <w:marLeft w:val="0"/>
      <w:marRight w:val="0"/>
      <w:marTop w:val="0"/>
      <w:marBottom w:val="0"/>
      <w:divBdr>
        <w:top w:val="none" w:sz="0" w:space="0" w:color="auto"/>
        <w:left w:val="none" w:sz="0" w:space="0" w:color="auto"/>
        <w:bottom w:val="none" w:sz="0" w:space="0" w:color="auto"/>
        <w:right w:val="none" w:sz="0" w:space="0" w:color="auto"/>
      </w:divBdr>
    </w:div>
    <w:div w:id="11763243">
      <w:bodyDiv w:val="1"/>
      <w:marLeft w:val="0"/>
      <w:marRight w:val="0"/>
      <w:marTop w:val="0"/>
      <w:marBottom w:val="0"/>
      <w:divBdr>
        <w:top w:val="none" w:sz="0" w:space="0" w:color="auto"/>
        <w:left w:val="none" w:sz="0" w:space="0" w:color="auto"/>
        <w:bottom w:val="none" w:sz="0" w:space="0" w:color="auto"/>
        <w:right w:val="none" w:sz="0" w:space="0" w:color="auto"/>
      </w:divBdr>
    </w:div>
    <w:div w:id="11804456">
      <w:bodyDiv w:val="1"/>
      <w:marLeft w:val="0"/>
      <w:marRight w:val="0"/>
      <w:marTop w:val="0"/>
      <w:marBottom w:val="0"/>
      <w:divBdr>
        <w:top w:val="none" w:sz="0" w:space="0" w:color="auto"/>
        <w:left w:val="none" w:sz="0" w:space="0" w:color="auto"/>
        <w:bottom w:val="none" w:sz="0" w:space="0" w:color="auto"/>
        <w:right w:val="none" w:sz="0" w:space="0" w:color="auto"/>
      </w:divBdr>
    </w:div>
    <w:div w:id="11808291">
      <w:bodyDiv w:val="1"/>
      <w:marLeft w:val="0"/>
      <w:marRight w:val="0"/>
      <w:marTop w:val="0"/>
      <w:marBottom w:val="0"/>
      <w:divBdr>
        <w:top w:val="none" w:sz="0" w:space="0" w:color="auto"/>
        <w:left w:val="none" w:sz="0" w:space="0" w:color="auto"/>
        <w:bottom w:val="none" w:sz="0" w:space="0" w:color="auto"/>
        <w:right w:val="none" w:sz="0" w:space="0" w:color="auto"/>
      </w:divBdr>
    </w:div>
    <w:div w:id="11956626">
      <w:bodyDiv w:val="1"/>
      <w:marLeft w:val="0"/>
      <w:marRight w:val="0"/>
      <w:marTop w:val="0"/>
      <w:marBottom w:val="0"/>
      <w:divBdr>
        <w:top w:val="none" w:sz="0" w:space="0" w:color="auto"/>
        <w:left w:val="none" w:sz="0" w:space="0" w:color="auto"/>
        <w:bottom w:val="none" w:sz="0" w:space="0" w:color="auto"/>
        <w:right w:val="none" w:sz="0" w:space="0" w:color="auto"/>
      </w:divBdr>
    </w:div>
    <w:div w:id="11959603">
      <w:bodyDiv w:val="1"/>
      <w:marLeft w:val="0"/>
      <w:marRight w:val="0"/>
      <w:marTop w:val="0"/>
      <w:marBottom w:val="0"/>
      <w:divBdr>
        <w:top w:val="none" w:sz="0" w:space="0" w:color="auto"/>
        <w:left w:val="none" w:sz="0" w:space="0" w:color="auto"/>
        <w:bottom w:val="none" w:sz="0" w:space="0" w:color="auto"/>
        <w:right w:val="none" w:sz="0" w:space="0" w:color="auto"/>
      </w:divBdr>
    </w:div>
    <w:div w:id="11995597">
      <w:bodyDiv w:val="1"/>
      <w:marLeft w:val="0"/>
      <w:marRight w:val="0"/>
      <w:marTop w:val="0"/>
      <w:marBottom w:val="0"/>
      <w:divBdr>
        <w:top w:val="none" w:sz="0" w:space="0" w:color="auto"/>
        <w:left w:val="none" w:sz="0" w:space="0" w:color="auto"/>
        <w:bottom w:val="none" w:sz="0" w:space="0" w:color="auto"/>
        <w:right w:val="none" w:sz="0" w:space="0" w:color="auto"/>
      </w:divBdr>
    </w:div>
    <w:div w:id="12003171">
      <w:bodyDiv w:val="1"/>
      <w:marLeft w:val="0"/>
      <w:marRight w:val="0"/>
      <w:marTop w:val="0"/>
      <w:marBottom w:val="0"/>
      <w:divBdr>
        <w:top w:val="none" w:sz="0" w:space="0" w:color="auto"/>
        <w:left w:val="none" w:sz="0" w:space="0" w:color="auto"/>
        <w:bottom w:val="none" w:sz="0" w:space="0" w:color="auto"/>
        <w:right w:val="none" w:sz="0" w:space="0" w:color="auto"/>
      </w:divBdr>
    </w:div>
    <w:div w:id="12191221">
      <w:bodyDiv w:val="1"/>
      <w:marLeft w:val="0"/>
      <w:marRight w:val="0"/>
      <w:marTop w:val="0"/>
      <w:marBottom w:val="0"/>
      <w:divBdr>
        <w:top w:val="none" w:sz="0" w:space="0" w:color="auto"/>
        <w:left w:val="none" w:sz="0" w:space="0" w:color="auto"/>
        <w:bottom w:val="none" w:sz="0" w:space="0" w:color="auto"/>
        <w:right w:val="none" w:sz="0" w:space="0" w:color="auto"/>
      </w:divBdr>
    </w:div>
    <w:div w:id="12196391">
      <w:bodyDiv w:val="1"/>
      <w:marLeft w:val="0"/>
      <w:marRight w:val="0"/>
      <w:marTop w:val="0"/>
      <w:marBottom w:val="0"/>
      <w:divBdr>
        <w:top w:val="none" w:sz="0" w:space="0" w:color="auto"/>
        <w:left w:val="none" w:sz="0" w:space="0" w:color="auto"/>
        <w:bottom w:val="none" w:sz="0" w:space="0" w:color="auto"/>
        <w:right w:val="none" w:sz="0" w:space="0" w:color="auto"/>
      </w:divBdr>
    </w:div>
    <w:div w:id="12221935">
      <w:bodyDiv w:val="1"/>
      <w:marLeft w:val="0"/>
      <w:marRight w:val="0"/>
      <w:marTop w:val="0"/>
      <w:marBottom w:val="0"/>
      <w:divBdr>
        <w:top w:val="none" w:sz="0" w:space="0" w:color="auto"/>
        <w:left w:val="none" w:sz="0" w:space="0" w:color="auto"/>
        <w:bottom w:val="none" w:sz="0" w:space="0" w:color="auto"/>
        <w:right w:val="none" w:sz="0" w:space="0" w:color="auto"/>
      </w:divBdr>
    </w:div>
    <w:div w:id="12343338">
      <w:bodyDiv w:val="1"/>
      <w:marLeft w:val="0"/>
      <w:marRight w:val="0"/>
      <w:marTop w:val="0"/>
      <w:marBottom w:val="0"/>
      <w:divBdr>
        <w:top w:val="none" w:sz="0" w:space="0" w:color="auto"/>
        <w:left w:val="none" w:sz="0" w:space="0" w:color="auto"/>
        <w:bottom w:val="none" w:sz="0" w:space="0" w:color="auto"/>
        <w:right w:val="none" w:sz="0" w:space="0" w:color="auto"/>
      </w:divBdr>
    </w:div>
    <w:div w:id="12345715">
      <w:bodyDiv w:val="1"/>
      <w:marLeft w:val="0"/>
      <w:marRight w:val="0"/>
      <w:marTop w:val="0"/>
      <w:marBottom w:val="0"/>
      <w:divBdr>
        <w:top w:val="none" w:sz="0" w:space="0" w:color="auto"/>
        <w:left w:val="none" w:sz="0" w:space="0" w:color="auto"/>
        <w:bottom w:val="none" w:sz="0" w:space="0" w:color="auto"/>
        <w:right w:val="none" w:sz="0" w:space="0" w:color="auto"/>
      </w:divBdr>
    </w:div>
    <w:div w:id="12416512">
      <w:bodyDiv w:val="1"/>
      <w:marLeft w:val="0"/>
      <w:marRight w:val="0"/>
      <w:marTop w:val="0"/>
      <w:marBottom w:val="0"/>
      <w:divBdr>
        <w:top w:val="none" w:sz="0" w:space="0" w:color="auto"/>
        <w:left w:val="none" w:sz="0" w:space="0" w:color="auto"/>
        <w:bottom w:val="none" w:sz="0" w:space="0" w:color="auto"/>
        <w:right w:val="none" w:sz="0" w:space="0" w:color="auto"/>
      </w:divBdr>
    </w:div>
    <w:div w:id="12417589">
      <w:bodyDiv w:val="1"/>
      <w:marLeft w:val="0"/>
      <w:marRight w:val="0"/>
      <w:marTop w:val="0"/>
      <w:marBottom w:val="0"/>
      <w:divBdr>
        <w:top w:val="none" w:sz="0" w:space="0" w:color="auto"/>
        <w:left w:val="none" w:sz="0" w:space="0" w:color="auto"/>
        <w:bottom w:val="none" w:sz="0" w:space="0" w:color="auto"/>
        <w:right w:val="none" w:sz="0" w:space="0" w:color="auto"/>
      </w:divBdr>
    </w:div>
    <w:div w:id="12533489">
      <w:bodyDiv w:val="1"/>
      <w:marLeft w:val="0"/>
      <w:marRight w:val="0"/>
      <w:marTop w:val="0"/>
      <w:marBottom w:val="0"/>
      <w:divBdr>
        <w:top w:val="none" w:sz="0" w:space="0" w:color="auto"/>
        <w:left w:val="none" w:sz="0" w:space="0" w:color="auto"/>
        <w:bottom w:val="none" w:sz="0" w:space="0" w:color="auto"/>
        <w:right w:val="none" w:sz="0" w:space="0" w:color="auto"/>
      </w:divBdr>
    </w:div>
    <w:div w:id="12536883">
      <w:bodyDiv w:val="1"/>
      <w:marLeft w:val="0"/>
      <w:marRight w:val="0"/>
      <w:marTop w:val="0"/>
      <w:marBottom w:val="0"/>
      <w:divBdr>
        <w:top w:val="none" w:sz="0" w:space="0" w:color="auto"/>
        <w:left w:val="none" w:sz="0" w:space="0" w:color="auto"/>
        <w:bottom w:val="none" w:sz="0" w:space="0" w:color="auto"/>
        <w:right w:val="none" w:sz="0" w:space="0" w:color="auto"/>
      </w:divBdr>
    </w:div>
    <w:div w:id="12727953">
      <w:bodyDiv w:val="1"/>
      <w:marLeft w:val="0"/>
      <w:marRight w:val="0"/>
      <w:marTop w:val="0"/>
      <w:marBottom w:val="0"/>
      <w:divBdr>
        <w:top w:val="none" w:sz="0" w:space="0" w:color="auto"/>
        <w:left w:val="none" w:sz="0" w:space="0" w:color="auto"/>
        <w:bottom w:val="none" w:sz="0" w:space="0" w:color="auto"/>
        <w:right w:val="none" w:sz="0" w:space="0" w:color="auto"/>
      </w:divBdr>
    </w:div>
    <w:div w:id="12847867">
      <w:bodyDiv w:val="1"/>
      <w:marLeft w:val="0"/>
      <w:marRight w:val="0"/>
      <w:marTop w:val="0"/>
      <w:marBottom w:val="0"/>
      <w:divBdr>
        <w:top w:val="none" w:sz="0" w:space="0" w:color="auto"/>
        <w:left w:val="none" w:sz="0" w:space="0" w:color="auto"/>
        <w:bottom w:val="none" w:sz="0" w:space="0" w:color="auto"/>
        <w:right w:val="none" w:sz="0" w:space="0" w:color="auto"/>
      </w:divBdr>
    </w:div>
    <w:div w:id="13263047">
      <w:bodyDiv w:val="1"/>
      <w:marLeft w:val="0"/>
      <w:marRight w:val="0"/>
      <w:marTop w:val="0"/>
      <w:marBottom w:val="0"/>
      <w:divBdr>
        <w:top w:val="none" w:sz="0" w:space="0" w:color="auto"/>
        <w:left w:val="none" w:sz="0" w:space="0" w:color="auto"/>
        <w:bottom w:val="none" w:sz="0" w:space="0" w:color="auto"/>
        <w:right w:val="none" w:sz="0" w:space="0" w:color="auto"/>
      </w:divBdr>
    </w:div>
    <w:div w:id="13310258">
      <w:bodyDiv w:val="1"/>
      <w:marLeft w:val="0"/>
      <w:marRight w:val="0"/>
      <w:marTop w:val="0"/>
      <w:marBottom w:val="0"/>
      <w:divBdr>
        <w:top w:val="none" w:sz="0" w:space="0" w:color="auto"/>
        <w:left w:val="none" w:sz="0" w:space="0" w:color="auto"/>
        <w:bottom w:val="none" w:sz="0" w:space="0" w:color="auto"/>
        <w:right w:val="none" w:sz="0" w:space="0" w:color="auto"/>
      </w:divBdr>
    </w:div>
    <w:div w:id="13384644">
      <w:bodyDiv w:val="1"/>
      <w:marLeft w:val="0"/>
      <w:marRight w:val="0"/>
      <w:marTop w:val="0"/>
      <w:marBottom w:val="0"/>
      <w:divBdr>
        <w:top w:val="none" w:sz="0" w:space="0" w:color="auto"/>
        <w:left w:val="none" w:sz="0" w:space="0" w:color="auto"/>
        <w:bottom w:val="none" w:sz="0" w:space="0" w:color="auto"/>
        <w:right w:val="none" w:sz="0" w:space="0" w:color="auto"/>
      </w:divBdr>
    </w:div>
    <w:div w:id="13458326">
      <w:bodyDiv w:val="1"/>
      <w:marLeft w:val="0"/>
      <w:marRight w:val="0"/>
      <w:marTop w:val="0"/>
      <w:marBottom w:val="0"/>
      <w:divBdr>
        <w:top w:val="none" w:sz="0" w:space="0" w:color="auto"/>
        <w:left w:val="none" w:sz="0" w:space="0" w:color="auto"/>
        <w:bottom w:val="none" w:sz="0" w:space="0" w:color="auto"/>
        <w:right w:val="none" w:sz="0" w:space="0" w:color="auto"/>
      </w:divBdr>
    </w:div>
    <w:div w:id="13461082">
      <w:bodyDiv w:val="1"/>
      <w:marLeft w:val="0"/>
      <w:marRight w:val="0"/>
      <w:marTop w:val="0"/>
      <w:marBottom w:val="0"/>
      <w:divBdr>
        <w:top w:val="none" w:sz="0" w:space="0" w:color="auto"/>
        <w:left w:val="none" w:sz="0" w:space="0" w:color="auto"/>
        <w:bottom w:val="none" w:sz="0" w:space="0" w:color="auto"/>
        <w:right w:val="none" w:sz="0" w:space="0" w:color="auto"/>
      </w:divBdr>
    </w:div>
    <w:div w:id="13578824">
      <w:bodyDiv w:val="1"/>
      <w:marLeft w:val="0"/>
      <w:marRight w:val="0"/>
      <w:marTop w:val="0"/>
      <w:marBottom w:val="0"/>
      <w:divBdr>
        <w:top w:val="none" w:sz="0" w:space="0" w:color="auto"/>
        <w:left w:val="none" w:sz="0" w:space="0" w:color="auto"/>
        <w:bottom w:val="none" w:sz="0" w:space="0" w:color="auto"/>
        <w:right w:val="none" w:sz="0" w:space="0" w:color="auto"/>
      </w:divBdr>
    </w:div>
    <w:div w:id="13658582">
      <w:bodyDiv w:val="1"/>
      <w:marLeft w:val="0"/>
      <w:marRight w:val="0"/>
      <w:marTop w:val="0"/>
      <w:marBottom w:val="0"/>
      <w:divBdr>
        <w:top w:val="none" w:sz="0" w:space="0" w:color="auto"/>
        <w:left w:val="none" w:sz="0" w:space="0" w:color="auto"/>
        <w:bottom w:val="none" w:sz="0" w:space="0" w:color="auto"/>
        <w:right w:val="none" w:sz="0" w:space="0" w:color="auto"/>
      </w:divBdr>
    </w:div>
    <w:div w:id="13772996">
      <w:bodyDiv w:val="1"/>
      <w:marLeft w:val="0"/>
      <w:marRight w:val="0"/>
      <w:marTop w:val="0"/>
      <w:marBottom w:val="0"/>
      <w:divBdr>
        <w:top w:val="none" w:sz="0" w:space="0" w:color="auto"/>
        <w:left w:val="none" w:sz="0" w:space="0" w:color="auto"/>
        <w:bottom w:val="none" w:sz="0" w:space="0" w:color="auto"/>
        <w:right w:val="none" w:sz="0" w:space="0" w:color="auto"/>
      </w:divBdr>
    </w:div>
    <w:div w:id="13924802">
      <w:bodyDiv w:val="1"/>
      <w:marLeft w:val="0"/>
      <w:marRight w:val="0"/>
      <w:marTop w:val="0"/>
      <w:marBottom w:val="0"/>
      <w:divBdr>
        <w:top w:val="none" w:sz="0" w:space="0" w:color="auto"/>
        <w:left w:val="none" w:sz="0" w:space="0" w:color="auto"/>
        <w:bottom w:val="none" w:sz="0" w:space="0" w:color="auto"/>
        <w:right w:val="none" w:sz="0" w:space="0" w:color="auto"/>
      </w:divBdr>
    </w:div>
    <w:div w:id="14045486">
      <w:bodyDiv w:val="1"/>
      <w:marLeft w:val="0"/>
      <w:marRight w:val="0"/>
      <w:marTop w:val="0"/>
      <w:marBottom w:val="0"/>
      <w:divBdr>
        <w:top w:val="none" w:sz="0" w:space="0" w:color="auto"/>
        <w:left w:val="none" w:sz="0" w:space="0" w:color="auto"/>
        <w:bottom w:val="none" w:sz="0" w:space="0" w:color="auto"/>
        <w:right w:val="none" w:sz="0" w:space="0" w:color="auto"/>
      </w:divBdr>
    </w:div>
    <w:div w:id="14307250">
      <w:bodyDiv w:val="1"/>
      <w:marLeft w:val="0"/>
      <w:marRight w:val="0"/>
      <w:marTop w:val="0"/>
      <w:marBottom w:val="0"/>
      <w:divBdr>
        <w:top w:val="none" w:sz="0" w:space="0" w:color="auto"/>
        <w:left w:val="none" w:sz="0" w:space="0" w:color="auto"/>
        <w:bottom w:val="none" w:sz="0" w:space="0" w:color="auto"/>
        <w:right w:val="none" w:sz="0" w:space="0" w:color="auto"/>
      </w:divBdr>
    </w:div>
    <w:div w:id="14308643">
      <w:bodyDiv w:val="1"/>
      <w:marLeft w:val="0"/>
      <w:marRight w:val="0"/>
      <w:marTop w:val="0"/>
      <w:marBottom w:val="0"/>
      <w:divBdr>
        <w:top w:val="none" w:sz="0" w:space="0" w:color="auto"/>
        <w:left w:val="none" w:sz="0" w:space="0" w:color="auto"/>
        <w:bottom w:val="none" w:sz="0" w:space="0" w:color="auto"/>
        <w:right w:val="none" w:sz="0" w:space="0" w:color="auto"/>
      </w:divBdr>
    </w:div>
    <w:div w:id="14380682">
      <w:bodyDiv w:val="1"/>
      <w:marLeft w:val="0"/>
      <w:marRight w:val="0"/>
      <w:marTop w:val="0"/>
      <w:marBottom w:val="0"/>
      <w:divBdr>
        <w:top w:val="none" w:sz="0" w:space="0" w:color="auto"/>
        <w:left w:val="none" w:sz="0" w:space="0" w:color="auto"/>
        <w:bottom w:val="none" w:sz="0" w:space="0" w:color="auto"/>
        <w:right w:val="none" w:sz="0" w:space="0" w:color="auto"/>
      </w:divBdr>
    </w:div>
    <w:div w:id="14498747">
      <w:bodyDiv w:val="1"/>
      <w:marLeft w:val="0"/>
      <w:marRight w:val="0"/>
      <w:marTop w:val="0"/>
      <w:marBottom w:val="0"/>
      <w:divBdr>
        <w:top w:val="none" w:sz="0" w:space="0" w:color="auto"/>
        <w:left w:val="none" w:sz="0" w:space="0" w:color="auto"/>
        <w:bottom w:val="none" w:sz="0" w:space="0" w:color="auto"/>
        <w:right w:val="none" w:sz="0" w:space="0" w:color="auto"/>
      </w:divBdr>
    </w:div>
    <w:div w:id="14499035">
      <w:bodyDiv w:val="1"/>
      <w:marLeft w:val="0"/>
      <w:marRight w:val="0"/>
      <w:marTop w:val="0"/>
      <w:marBottom w:val="0"/>
      <w:divBdr>
        <w:top w:val="none" w:sz="0" w:space="0" w:color="auto"/>
        <w:left w:val="none" w:sz="0" w:space="0" w:color="auto"/>
        <w:bottom w:val="none" w:sz="0" w:space="0" w:color="auto"/>
        <w:right w:val="none" w:sz="0" w:space="0" w:color="auto"/>
      </w:divBdr>
    </w:div>
    <w:div w:id="14578757">
      <w:bodyDiv w:val="1"/>
      <w:marLeft w:val="0"/>
      <w:marRight w:val="0"/>
      <w:marTop w:val="0"/>
      <w:marBottom w:val="0"/>
      <w:divBdr>
        <w:top w:val="none" w:sz="0" w:space="0" w:color="auto"/>
        <w:left w:val="none" w:sz="0" w:space="0" w:color="auto"/>
        <w:bottom w:val="none" w:sz="0" w:space="0" w:color="auto"/>
        <w:right w:val="none" w:sz="0" w:space="0" w:color="auto"/>
      </w:divBdr>
    </w:div>
    <w:div w:id="14692633">
      <w:bodyDiv w:val="1"/>
      <w:marLeft w:val="0"/>
      <w:marRight w:val="0"/>
      <w:marTop w:val="0"/>
      <w:marBottom w:val="0"/>
      <w:divBdr>
        <w:top w:val="none" w:sz="0" w:space="0" w:color="auto"/>
        <w:left w:val="none" w:sz="0" w:space="0" w:color="auto"/>
        <w:bottom w:val="none" w:sz="0" w:space="0" w:color="auto"/>
        <w:right w:val="none" w:sz="0" w:space="0" w:color="auto"/>
      </w:divBdr>
    </w:div>
    <w:div w:id="14885193">
      <w:bodyDiv w:val="1"/>
      <w:marLeft w:val="0"/>
      <w:marRight w:val="0"/>
      <w:marTop w:val="0"/>
      <w:marBottom w:val="0"/>
      <w:divBdr>
        <w:top w:val="none" w:sz="0" w:space="0" w:color="auto"/>
        <w:left w:val="none" w:sz="0" w:space="0" w:color="auto"/>
        <w:bottom w:val="none" w:sz="0" w:space="0" w:color="auto"/>
        <w:right w:val="none" w:sz="0" w:space="0" w:color="auto"/>
      </w:divBdr>
    </w:div>
    <w:div w:id="14892759">
      <w:bodyDiv w:val="1"/>
      <w:marLeft w:val="0"/>
      <w:marRight w:val="0"/>
      <w:marTop w:val="0"/>
      <w:marBottom w:val="0"/>
      <w:divBdr>
        <w:top w:val="none" w:sz="0" w:space="0" w:color="auto"/>
        <w:left w:val="none" w:sz="0" w:space="0" w:color="auto"/>
        <w:bottom w:val="none" w:sz="0" w:space="0" w:color="auto"/>
        <w:right w:val="none" w:sz="0" w:space="0" w:color="auto"/>
      </w:divBdr>
    </w:div>
    <w:div w:id="14969366">
      <w:bodyDiv w:val="1"/>
      <w:marLeft w:val="0"/>
      <w:marRight w:val="0"/>
      <w:marTop w:val="0"/>
      <w:marBottom w:val="0"/>
      <w:divBdr>
        <w:top w:val="none" w:sz="0" w:space="0" w:color="auto"/>
        <w:left w:val="none" w:sz="0" w:space="0" w:color="auto"/>
        <w:bottom w:val="none" w:sz="0" w:space="0" w:color="auto"/>
        <w:right w:val="none" w:sz="0" w:space="0" w:color="auto"/>
      </w:divBdr>
    </w:div>
    <w:div w:id="15039238">
      <w:bodyDiv w:val="1"/>
      <w:marLeft w:val="0"/>
      <w:marRight w:val="0"/>
      <w:marTop w:val="0"/>
      <w:marBottom w:val="0"/>
      <w:divBdr>
        <w:top w:val="none" w:sz="0" w:space="0" w:color="auto"/>
        <w:left w:val="none" w:sz="0" w:space="0" w:color="auto"/>
        <w:bottom w:val="none" w:sz="0" w:space="0" w:color="auto"/>
        <w:right w:val="none" w:sz="0" w:space="0" w:color="auto"/>
      </w:divBdr>
    </w:div>
    <w:div w:id="15080903">
      <w:bodyDiv w:val="1"/>
      <w:marLeft w:val="0"/>
      <w:marRight w:val="0"/>
      <w:marTop w:val="0"/>
      <w:marBottom w:val="0"/>
      <w:divBdr>
        <w:top w:val="none" w:sz="0" w:space="0" w:color="auto"/>
        <w:left w:val="none" w:sz="0" w:space="0" w:color="auto"/>
        <w:bottom w:val="none" w:sz="0" w:space="0" w:color="auto"/>
        <w:right w:val="none" w:sz="0" w:space="0" w:color="auto"/>
      </w:divBdr>
    </w:div>
    <w:div w:id="15085662">
      <w:bodyDiv w:val="1"/>
      <w:marLeft w:val="0"/>
      <w:marRight w:val="0"/>
      <w:marTop w:val="0"/>
      <w:marBottom w:val="0"/>
      <w:divBdr>
        <w:top w:val="none" w:sz="0" w:space="0" w:color="auto"/>
        <w:left w:val="none" w:sz="0" w:space="0" w:color="auto"/>
        <w:bottom w:val="none" w:sz="0" w:space="0" w:color="auto"/>
        <w:right w:val="none" w:sz="0" w:space="0" w:color="auto"/>
      </w:divBdr>
    </w:div>
    <w:div w:id="15158644">
      <w:bodyDiv w:val="1"/>
      <w:marLeft w:val="0"/>
      <w:marRight w:val="0"/>
      <w:marTop w:val="0"/>
      <w:marBottom w:val="0"/>
      <w:divBdr>
        <w:top w:val="none" w:sz="0" w:space="0" w:color="auto"/>
        <w:left w:val="none" w:sz="0" w:space="0" w:color="auto"/>
        <w:bottom w:val="none" w:sz="0" w:space="0" w:color="auto"/>
        <w:right w:val="none" w:sz="0" w:space="0" w:color="auto"/>
      </w:divBdr>
    </w:div>
    <w:div w:id="15160039">
      <w:bodyDiv w:val="1"/>
      <w:marLeft w:val="0"/>
      <w:marRight w:val="0"/>
      <w:marTop w:val="0"/>
      <w:marBottom w:val="0"/>
      <w:divBdr>
        <w:top w:val="none" w:sz="0" w:space="0" w:color="auto"/>
        <w:left w:val="none" w:sz="0" w:space="0" w:color="auto"/>
        <w:bottom w:val="none" w:sz="0" w:space="0" w:color="auto"/>
        <w:right w:val="none" w:sz="0" w:space="0" w:color="auto"/>
      </w:divBdr>
    </w:div>
    <w:div w:id="15232623">
      <w:bodyDiv w:val="1"/>
      <w:marLeft w:val="0"/>
      <w:marRight w:val="0"/>
      <w:marTop w:val="0"/>
      <w:marBottom w:val="0"/>
      <w:divBdr>
        <w:top w:val="none" w:sz="0" w:space="0" w:color="auto"/>
        <w:left w:val="none" w:sz="0" w:space="0" w:color="auto"/>
        <w:bottom w:val="none" w:sz="0" w:space="0" w:color="auto"/>
        <w:right w:val="none" w:sz="0" w:space="0" w:color="auto"/>
      </w:divBdr>
    </w:div>
    <w:div w:id="15350156">
      <w:bodyDiv w:val="1"/>
      <w:marLeft w:val="0"/>
      <w:marRight w:val="0"/>
      <w:marTop w:val="0"/>
      <w:marBottom w:val="0"/>
      <w:divBdr>
        <w:top w:val="none" w:sz="0" w:space="0" w:color="auto"/>
        <w:left w:val="none" w:sz="0" w:space="0" w:color="auto"/>
        <w:bottom w:val="none" w:sz="0" w:space="0" w:color="auto"/>
        <w:right w:val="none" w:sz="0" w:space="0" w:color="auto"/>
      </w:divBdr>
    </w:div>
    <w:div w:id="15355356">
      <w:bodyDiv w:val="1"/>
      <w:marLeft w:val="0"/>
      <w:marRight w:val="0"/>
      <w:marTop w:val="0"/>
      <w:marBottom w:val="0"/>
      <w:divBdr>
        <w:top w:val="none" w:sz="0" w:space="0" w:color="auto"/>
        <w:left w:val="none" w:sz="0" w:space="0" w:color="auto"/>
        <w:bottom w:val="none" w:sz="0" w:space="0" w:color="auto"/>
        <w:right w:val="none" w:sz="0" w:space="0" w:color="auto"/>
      </w:divBdr>
    </w:div>
    <w:div w:id="15424460">
      <w:bodyDiv w:val="1"/>
      <w:marLeft w:val="0"/>
      <w:marRight w:val="0"/>
      <w:marTop w:val="0"/>
      <w:marBottom w:val="0"/>
      <w:divBdr>
        <w:top w:val="none" w:sz="0" w:space="0" w:color="auto"/>
        <w:left w:val="none" w:sz="0" w:space="0" w:color="auto"/>
        <w:bottom w:val="none" w:sz="0" w:space="0" w:color="auto"/>
        <w:right w:val="none" w:sz="0" w:space="0" w:color="auto"/>
      </w:divBdr>
    </w:div>
    <w:div w:id="15429791">
      <w:bodyDiv w:val="1"/>
      <w:marLeft w:val="0"/>
      <w:marRight w:val="0"/>
      <w:marTop w:val="0"/>
      <w:marBottom w:val="0"/>
      <w:divBdr>
        <w:top w:val="none" w:sz="0" w:space="0" w:color="auto"/>
        <w:left w:val="none" w:sz="0" w:space="0" w:color="auto"/>
        <w:bottom w:val="none" w:sz="0" w:space="0" w:color="auto"/>
        <w:right w:val="none" w:sz="0" w:space="0" w:color="auto"/>
      </w:divBdr>
    </w:div>
    <w:div w:id="15466813">
      <w:bodyDiv w:val="1"/>
      <w:marLeft w:val="0"/>
      <w:marRight w:val="0"/>
      <w:marTop w:val="0"/>
      <w:marBottom w:val="0"/>
      <w:divBdr>
        <w:top w:val="none" w:sz="0" w:space="0" w:color="auto"/>
        <w:left w:val="none" w:sz="0" w:space="0" w:color="auto"/>
        <w:bottom w:val="none" w:sz="0" w:space="0" w:color="auto"/>
        <w:right w:val="none" w:sz="0" w:space="0" w:color="auto"/>
      </w:divBdr>
    </w:div>
    <w:div w:id="15472988">
      <w:bodyDiv w:val="1"/>
      <w:marLeft w:val="0"/>
      <w:marRight w:val="0"/>
      <w:marTop w:val="0"/>
      <w:marBottom w:val="0"/>
      <w:divBdr>
        <w:top w:val="none" w:sz="0" w:space="0" w:color="auto"/>
        <w:left w:val="none" w:sz="0" w:space="0" w:color="auto"/>
        <w:bottom w:val="none" w:sz="0" w:space="0" w:color="auto"/>
        <w:right w:val="none" w:sz="0" w:space="0" w:color="auto"/>
      </w:divBdr>
    </w:div>
    <w:div w:id="15498348">
      <w:bodyDiv w:val="1"/>
      <w:marLeft w:val="0"/>
      <w:marRight w:val="0"/>
      <w:marTop w:val="0"/>
      <w:marBottom w:val="0"/>
      <w:divBdr>
        <w:top w:val="none" w:sz="0" w:space="0" w:color="auto"/>
        <w:left w:val="none" w:sz="0" w:space="0" w:color="auto"/>
        <w:bottom w:val="none" w:sz="0" w:space="0" w:color="auto"/>
        <w:right w:val="none" w:sz="0" w:space="0" w:color="auto"/>
      </w:divBdr>
    </w:div>
    <w:div w:id="15542720">
      <w:bodyDiv w:val="1"/>
      <w:marLeft w:val="0"/>
      <w:marRight w:val="0"/>
      <w:marTop w:val="0"/>
      <w:marBottom w:val="0"/>
      <w:divBdr>
        <w:top w:val="none" w:sz="0" w:space="0" w:color="auto"/>
        <w:left w:val="none" w:sz="0" w:space="0" w:color="auto"/>
        <w:bottom w:val="none" w:sz="0" w:space="0" w:color="auto"/>
        <w:right w:val="none" w:sz="0" w:space="0" w:color="auto"/>
      </w:divBdr>
    </w:div>
    <w:div w:id="15622918">
      <w:bodyDiv w:val="1"/>
      <w:marLeft w:val="0"/>
      <w:marRight w:val="0"/>
      <w:marTop w:val="0"/>
      <w:marBottom w:val="0"/>
      <w:divBdr>
        <w:top w:val="none" w:sz="0" w:space="0" w:color="auto"/>
        <w:left w:val="none" w:sz="0" w:space="0" w:color="auto"/>
        <w:bottom w:val="none" w:sz="0" w:space="0" w:color="auto"/>
        <w:right w:val="none" w:sz="0" w:space="0" w:color="auto"/>
      </w:divBdr>
    </w:div>
    <w:div w:id="15693845">
      <w:bodyDiv w:val="1"/>
      <w:marLeft w:val="0"/>
      <w:marRight w:val="0"/>
      <w:marTop w:val="0"/>
      <w:marBottom w:val="0"/>
      <w:divBdr>
        <w:top w:val="none" w:sz="0" w:space="0" w:color="auto"/>
        <w:left w:val="none" w:sz="0" w:space="0" w:color="auto"/>
        <w:bottom w:val="none" w:sz="0" w:space="0" w:color="auto"/>
        <w:right w:val="none" w:sz="0" w:space="0" w:color="auto"/>
      </w:divBdr>
    </w:div>
    <w:div w:id="15734290">
      <w:bodyDiv w:val="1"/>
      <w:marLeft w:val="0"/>
      <w:marRight w:val="0"/>
      <w:marTop w:val="0"/>
      <w:marBottom w:val="0"/>
      <w:divBdr>
        <w:top w:val="none" w:sz="0" w:space="0" w:color="auto"/>
        <w:left w:val="none" w:sz="0" w:space="0" w:color="auto"/>
        <w:bottom w:val="none" w:sz="0" w:space="0" w:color="auto"/>
        <w:right w:val="none" w:sz="0" w:space="0" w:color="auto"/>
      </w:divBdr>
    </w:div>
    <w:div w:id="15812317">
      <w:bodyDiv w:val="1"/>
      <w:marLeft w:val="0"/>
      <w:marRight w:val="0"/>
      <w:marTop w:val="0"/>
      <w:marBottom w:val="0"/>
      <w:divBdr>
        <w:top w:val="none" w:sz="0" w:space="0" w:color="auto"/>
        <w:left w:val="none" w:sz="0" w:space="0" w:color="auto"/>
        <w:bottom w:val="none" w:sz="0" w:space="0" w:color="auto"/>
        <w:right w:val="none" w:sz="0" w:space="0" w:color="auto"/>
      </w:divBdr>
    </w:div>
    <w:div w:id="15890789">
      <w:bodyDiv w:val="1"/>
      <w:marLeft w:val="0"/>
      <w:marRight w:val="0"/>
      <w:marTop w:val="0"/>
      <w:marBottom w:val="0"/>
      <w:divBdr>
        <w:top w:val="none" w:sz="0" w:space="0" w:color="auto"/>
        <w:left w:val="none" w:sz="0" w:space="0" w:color="auto"/>
        <w:bottom w:val="none" w:sz="0" w:space="0" w:color="auto"/>
        <w:right w:val="none" w:sz="0" w:space="0" w:color="auto"/>
      </w:divBdr>
    </w:div>
    <w:div w:id="16003042">
      <w:bodyDiv w:val="1"/>
      <w:marLeft w:val="0"/>
      <w:marRight w:val="0"/>
      <w:marTop w:val="0"/>
      <w:marBottom w:val="0"/>
      <w:divBdr>
        <w:top w:val="none" w:sz="0" w:space="0" w:color="auto"/>
        <w:left w:val="none" w:sz="0" w:space="0" w:color="auto"/>
        <w:bottom w:val="none" w:sz="0" w:space="0" w:color="auto"/>
        <w:right w:val="none" w:sz="0" w:space="0" w:color="auto"/>
      </w:divBdr>
    </w:div>
    <w:div w:id="16006393">
      <w:bodyDiv w:val="1"/>
      <w:marLeft w:val="0"/>
      <w:marRight w:val="0"/>
      <w:marTop w:val="0"/>
      <w:marBottom w:val="0"/>
      <w:divBdr>
        <w:top w:val="none" w:sz="0" w:space="0" w:color="auto"/>
        <w:left w:val="none" w:sz="0" w:space="0" w:color="auto"/>
        <w:bottom w:val="none" w:sz="0" w:space="0" w:color="auto"/>
        <w:right w:val="none" w:sz="0" w:space="0" w:color="auto"/>
      </w:divBdr>
    </w:div>
    <w:div w:id="16011636">
      <w:bodyDiv w:val="1"/>
      <w:marLeft w:val="0"/>
      <w:marRight w:val="0"/>
      <w:marTop w:val="0"/>
      <w:marBottom w:val="0"/>
      <w:divBdr>
        <w:top w:val="none" w:sz="0" w:space="0" w:color="auto"/>
        <w:left w:val="none" w:sz="0" w:space="0" w:color="auto"/>
        <w:bottom w:val="none" w:sz="0" w:space="0" w:color="auto"/>
        <w:right w:val="none" w:sz="0" w:space="0" w:color="auto"/>
      </w:divBdr>
    </w:div>
    <w:div w:id="16081278">
      <w:bodyDiv w:val="1"/>
      <w:marLeft w:val="0"/>
      <w:marRight w:val="0"/>
      <w:marTop w:val="0"/>
      <w:marBottom w:val="0"/>
      <w:divBdr>
        <w:top w:val="none" w:sz="0" w:space="0" w:color="auto"/>
        <w:left w:val="none" w:sz="0" w:space="0" w:color="auto"/>
        <w:bottom w:val="none" w:sz="0" w:space="0" w:color="auto"/>
        <w:right w:val="none" w:sz="0" w:space="0" w:color="auto"/>
      </w:divBdr>
    </w:div>
    <w:div w:id="16082003">
      <w:bodyDiv w:val="1"/>
      <w:marLeft w:val="0"/>
      <w:marRight w:val="0"/>
      <w:marTop w:val="0"/>
      <w:marBottom w:val="0"/>
      <w:divBdr>
        <w:top w:val="none" w:sz="0" w:space="0" w:color="auto"/>
        <w:left w:val="none" w:sz="0" w:space="0" w:color="auto"/>
        <w:bottom w:val="none" w:sz="0" w:space="0" w:color="auto"/>
        <w:right w:val="none" w:sz="0" w:space="0" w:color="auto"/>
      </w:divBdr>
    </w:div>
    <w:div w:id="16280388">
      <w:bodyDiv w:val="1"/>
      <w:marLeft w:val="0"/>
      <w:marRight w:val="0"/>
      <w:marTop w:val="0"/>
      <w:marBottom w:val="0"/>
      <w:divBdr>
        <w:top w:val="none" w:sz="0" w:space="0" w:color="auto"/>
        <w:left w:val="none" w:sz="0" w:space="0" w:color="auto"/>
        <w:bottom w:val="none" w:sz="0" w:space="0" w:color="auto"/>
        <w:right w:val="none" w:sz="0" w:space="0" w:color="auto"/>
      </w:divBdr>
    </w:div>
    <w:div w:id="16389299">
      <w:bodyDiv w:val="1"/>
      <w:marLeft w:val="0"/>
      <w:marRight w:val="0"/>
      <w:marTop w:val="0"/>
      <w:marBottom w:val="0"/>
      <w:divBdr>
        <w:top w:val="none" w:sz="0" w:space="0" w:color="auto"/>
        <w:left w:val="none" w:sz="0" w:space="0" w:color="auto"/>
        <w:bottom w:val="none" w:sz="0" w:space="0" w:color="auto"/>
        <w:right w:val="none" w:sz="0" w:space="0" w:color="auto"/>
      </w:divBdr>
    </w:div>
    <w:div w:id="16540112">
      <w:bodyDiv w:val="1"/>
      <w:marLeft w:val="0"/>
      <w:marRight w:val="0"/>
      <w:marTop w:val="0"/>
      <w:marBottom w:val="0"/>
      <w:divBdr>
        <w:top w:val="none" w:sz="0" w:space="0" w:color="auto"/>
        <w:left w:val="none" w:sz="0" w:space="0" w:color="auto"/>
        <w:bottom w:val="none" w:sz="0" w:space="0" w:color="auto"/>
        <w:right w:val="none" w:sz="0" w:space="0" w:color="auto"/>
      </w:divBdr>
    </w:div>
    <w:div w:id="16542313">
      <w:bodyDiv w:val="1"/>
      <w:marLeft w:val="0"/>
      <w:marRight w:val="0"/>
      <w:marTop w:val="0"/>
      <w:marBottom w:val="0"/>
      <w:divBdr>
        <w:top w:val="none" w:sz="0" w:space="0" w:color="auto"/>
        <w:left w:val="none" w:sz="0" w:space="0" w:color="auto"/>
        <w:bottom w:val="none" w:sz="0" w:space="0" w:color="auto"/>
        <w:right w:val="none" w:sz="0" w:space="0" w:color="auto"/>
      </w:divBdr>
    </w:div>
    <w:div w:id="16659923">
      <w:bodyDiv w:val="1"/>
      <w:marLeft w:val="0"/>
      <w:marRight w:val="0"/>
      <w:marTop w:val="0"/>
      <w:marBottom w:val="0"/>
      <w:divBdr>
        <w:top w:val="none" w:sz="0" w:space="0" w:color="auto"/>
        <w:left w:val="none" w:sz="0" w:space="0" w:color="auto"/>
        <w:bottom w:val="none" w:sz="0" w:space="0" w:color="auto"/>
        <w:right w:val="none" w:sz="0" w:space="0" w:color="auto"/>
      </w:divBdr>
    </w:div>
    <w:div w:id="16736347">
      <w:bodyDiv w:val="1"/>
      <w:marLeft w:val="0"/>
      <w:marRight w:val="0"/>
      <w:marTop w:val="0"/>
      <w:marBottom w:val="0"/>
      <w:divBdr>
        <w:top w:val="none" w:sz="0" w:space="0" w:color="auto"/>
        <w:left w:val="none" w:sz="0" w:space="0" w:color="auto"/>
        <w:bottom w:val="none" w:sz="0" w:space="0" w:color="auto"/>
        <w:right w:val="none" w:sz="0" w:space="0" w:color="auto"/>
      </w:divBdr>
    </w:div>
    <w:div w:id="16739208">
      <w:bodyDiv w:val="1"/>
      <w:marLeft w:val="0"/>
      <w:marRight w:val="0"/>
      <w:marTop w:val="0"/>
      <w:marBottom w:val="0"/>
      <w:divBdr>
        <w:top w:val="none" w:sz="0" w:space="0" w:color="auto"/>
        <w:left w:val="none" w:sz="0" w:space="0" w:color="auto"/>
        <w:bottom w:val="none" w:sz="0" w:space="0" w:color="auto"/>
        <w:right w:val="none" w:sz="0" w:space="0" w:color="auto"/>
      </w:divBdr>
    </w:div>
    <w:div w:id="17003803">
      <w:bodyDiv w:val="1"/>
      <w:marLeft w:val="0"/>
      <w:marRight w:val="0"/>
      <w:marTop w:val="0"/>
      <w:marBottom w:val="0"/>
      <w:divBdr>
        <w:top w:val="none" w:sz="0" w:space="0" w:color="auto"/>
        <w:left w:val="none" w:sz="0" w:space="0" w:color="auto"/>
        <w:bottom w:val="none" w:sz="0" w:space="0" w:color="auto"/>
        <w:right w:val="none" w:sz="0" w:space="0" w:color="auto"/>
      </w:divBdr>
    </w:div>
    <w:div w:id="17004931">
      <w:bodyDiv w:val="1"/>
      <w:marLeft w:val="0"/>
      <w:marRight w:val="0"/>
      <w:marTop w:val="0"/>
      <w:marBottom w:val="0"/>
      <w:divBdr>
        <w:top w:val="none" w:sz="0" w:space="0" w:color="auto"/>
        <w:left w:val="none" w:sz="0" w:space="0" w:color="auto"/>
        <w:bottom w:val="none" w:sz="0" w:space="0" w:color="auto"/>
        <w:right w:val="none" w:sz="0" w:space="0" w:color="auto"/>
      </w:divBdr>
    </w:div>
    <w:div w:id="17005607">
      <w:bodyDiv w:val="1"/>
      <w:marLeft w:val="0"/>
      <w:marRight w:val="0"/>
      <w:marTop w:val="0"/>
      <w:marBottom w:val="0"/>
      <w:divBdr>
        <w:top w:val="none" w:sz="0" w:space="0" w:color="auto"/>
        <w:left w:val="none" w:sz="0" w:space="0" w:color="auto"/>
        <w:bottom w:val="none" w:sz="0" w:space="0" w:color="auto"/>
        <w:right w:val="none" w:sz="0" w:space="0" w:color="auto"/>
      </w:divBdr>
    </w:div>
    <w:div w:id="17047090">
      <w:bodyDiv w:val="1"/>
      <w:marLeft w:val="0"/>
      <w:marRight w:val="0"/>
      <w:marTop w:val="0"/>
      <w:marBottom w:val="0"/>
      <w:divBdr>
        <w:top w:val="none" w:sz="0" w:space="0" w:color="auto"/>
        <w:left w:val="none" w:sz="0" w:space="0" w:color="auto"/>
        <w:bottom w:val="none" w:sz="0" w:space="0" w:color="auto"/>
        <w:right w:val="none" w:sz="0" w:space="0" w:color="auto"/>
      </w:divBdr>
    </w:div>
    <w:div w:id="17048778">
      <w:bodyDiv w:val="1"/>
      <w:marLeft w:val="0"/>
      <w:marRight w:val="0"/>
      <w:marTop w:val="0"/>
      <w:marBottom w:val="0"/>
      <w:divBdr>
        <w:top w:val="none" w:sz="0" w:space="0" w:color="auto"/>
        <w:left w:val="none" w:sz="0" w:space="0" w:color="auto"/>
        <w:bottom w:val="none" w:sz="0" w:space="0" w:color="auto"/>
        <w:right w:val="none" w:sz="0" w:space="0" w:color="auto"/>
      </w:divBdr>
    </w:div>
    <w:div w:id="17119369">
      <w:bodyDiv w:val="1"/>
      <w:marLeft w:val="0"/>
      <w:marRight w:val="0"/>
      <w:marTop w:val="0"/>
      <w:marBottom w:val="0"/>
      <w:divBdr>
        <w:top w:val="none" w:sz="0" w:space="0" w:color="auto"/>
        <w:left w:val="none" w:sz="0" w:space="0" w:color="auto"/>
        <w:bottom w:val="none" w:sz="0" w:space="0" w:color="auto"/>
        <w:right w:val="none" w:sz="0" w:space="0" w:color="auto"/>
      </w:divBdr>
    </w:div>
    <w:div w:id="17242367">
      <w:bodyDiv w:val="1"/>
      <w:marLeft w:val="0"/>
      <w:marRight w:val="0"/>
      <w:marTop w:val="0"/>
      <w:marBottom w:val="0"/>
      <w:divBdr>
        <w:top w:val="none" w:sz="0" w:space="0" w:color="auto"/>
        <w:left w:val="none" w:sz="0" w:space="0" w:color="auto"/>
        <w:bottom w:val="none" w:sz="0" w:space="0" w:color="auto"/>
        <w:right w:val="none" w:sz="0" w:space="0" w:color="auto"/>
      </w:divBdr>
    </w:div>
    <w:div w:id="17243452">
      <w:bodyDiv w:val="1"/>
      <w:marLeft w:val="0"/>
      <w:marRight w:val="0"/>
      <w:marTop w:val="0"/>
      <w:marBottom w:val="0"/>
      <w:divBdr>
        <w:top w:val="none" w:sz="0" w:space="0" w:color="auto"/>
        <w:left w:val="none" w:sz="0" w:space="0" w:color="auto"/>
        <w:bottom w:val="none" w:sz="0" w:space="0" w:color="auto"/>
        <w:right w:val="none" w:sz="0" w:space="0" w:color="auto"/>
      </w:divBdr>
    </w:div>
    <w:div w:id="17583836">
      <w:bodyDiv w:val="1"/>
      <w:marLeft w:val="0"/>
      <w:marRight w:val="0"/>
      <w:marTop w:val="0"/>
      <w:marBottom w:val="0"/>
      <w:divBdr>
        <w:top w:val="none" w:sz="0" w:space="0" w:color="auto"/>
        <w:left w:val="none" w:sz="0" w:space="0" w:color="auto"/>
        <w:bottom w:val="none" w:sz="0" w:space="0" w:color="auto"/>
        <w:right w:val="none" w:sz="0" w:space="0" w:color="auto"/>
      </w:divBdr>
    </w:div>
    <w:div w:id="17700784">
      <w:bodyDiv w:val="1"/>
      <w:marLeft w:val="0"/>
      <w:marRight w:val="0"/>
      <w:marTop w:val="0"/>
      <w:marBottom w:val="0"/>
      <w:divBdr>
        <w:top w:val="none" w:sz="0" w:space="0" w:color="auto"/>
        <w:left w:val="none" w:sz="0" w:space="0" w:color="auto"/>
        <w:bottom w:val="none" w:sz="0" w:space="0" w:color="auto"/>
        <w:right w:val="none" w:sz="0" w:space="0" w:color="auto"/>
      </w:divBdr>
    </w:div>
    <w:div w:id="17703067">
      <w:bodyDiv w:val="1"/>
      <w:marLeft w:val="0"/>
      <w:marRight w:val="0"/>
      <w:marTop w:val="0"/>
      <w:marBottom w:val="0"/>
      <w:divBdr>
        <w:top w:val="none" w:sz="0" w:space="0" w:color="auto"/>
        <w:left w:val="none" w:sz="0" w:space="0" w:color="auto"/>
        <w:bottom w:val="none" w:sz="0" w:space="0" w:color="auto"/>
        <w:right w:val="none" w:sz="0" w:space="0" w:color="auto"/>
      </w:divBdr>
    </w:div>
    <w:div w:id="17706633">
      <w:bodyDiv w:val="1"/>
      <w:marLeft w:val="0"/>
      <w:marRight w:val="0"/>
      <w:marTop w:val="0"/>
      <w:marBottom w:val="0"/>
      <w:divBdr>
        <w:top w:val="none" w:sz="0" w:space="0" w:color="auto"/>
        <w:left w:val="none" w:sz="0" w:space="0" w:color="auto"/>
        <w:bottom w:val="none" w:sz="0" w:space="0" w:color="auto"/>
        <w:right w:val="none" w:sz="0" w:space="0" w:color="auto"/>
      </w:divBdr>
    </w:div>
    <w:div w:id="17776819">
      <w:bodyDiv w:val="1"/>
      <w:marLeft w:val="0"/>
      <w:marRight w:val="0"/>
      <w:marTop w:val="0"/>
      <w:marBottom w:val="0"/>
      <w:divBdr>
        <w:top w:val="none" w:sz="0" w:space="0" w:color="auto"/>
        <w:left w:val="none" w:sz="0" w:space="0" w:color="auto"/>
        <w:bottom w:val="none" w:sz="0" w:space="0" w:color="auto"/>
        <w:right w:val="none" w:sz="0" w:space="0" w:color="auto"/>
      </w:divBdr>
    </w:div>
    <w:div w:id="17896817">
      <w:bodyDiv w:val="1"/>
      <w:marLeft w:val="0"/>
      <w:marRight w:val="0"/>
      <w:marTop w:val="0"/>
      <w:marBottom w:val="0"/>
      <w:divBdr>
        <w:top w:val="none" w:sz="0" w:space="0" w:color="auto"/>
        <w:left w:val="none" w:sz="0" w:space="0" w:color="auto"/>
        <w:bottom w:val="none" w:sz="0" w:space="0" w:color="auto"/>
        <w:right w:val="none" w:sz="0" w:space="0" w:color="auto"/>
      </w:divBdr>
    </w:div>
    <w:div w:id="17977039">
      <w:bodyDiv w:val="1"/>
      <w:marLeft w:val="0"/>
      <w:marRight w:val="0"/>
      <w:marTop w:val="0"/>
      <w:marBottom w:val="0"/>
      <w:divBdr>
        <w:top w:val="none" w:sz="0" w:space="0" w:color="auto"/>
        <w:left w:val="none" w:sz="0" w:space="0" w:color="auto"/>
        <w:bottom w:val="none" w:sz="0" w:space="0" w:color="auto"/>
        <w:right w:val="none" w:sz="0" w:space="0" w:color="auto"/>
      </w:divBdr>
    </w:div>
    <w:div w:id="18091487">
      <w:bodyDiv w:val="1"/>
      <w:marLeft w:val="0"/>
      <w:marRight w:val="0"/>
      <w:marTop w:val="0"/>
      <w:marBottom w:val="0"/>
      <w:divBdr>
        <w:top w:val="none" w:sz="0" w:space="0" w:color="auto"/>
        <w:left w:val="none" w:sz="0" w:space="0" w:color="auto"/>
        <w:bottom w:val="none" w:sz="0" w:space="0" w:color="auto"/>
        <w:right w:val="none" w:sz="0" w:space="0" w:color="auto"/>
      </w:divBdr>
    </w:div>
    <w:div w:id="18118822">
      <w:bodyDiv w:val="1"/>
      <w:marLeft w:val="0"/>
      <w:marRight w:val="0"/>
      <w:marTop w:val="0"/>
      <w:marBottom w:val="0"/>
      <w:divBdr>
        <w:top w:val="none" w:sz="0" w:space="0" w:color="auto"/>
        <w:left w:val="none" w:sz="0" w:space="0" w:color="auto"/>
        <w:bottom w:val="none" w:sz="0" w:space="0" w:color="auto"/>
        <w:right w:val="none" w:sz="0" w:space="0" w:color="auto"/>
      </w:divBdr>
    </w:div>
    <w:div w:id="18161456">
      <w:bodyDiv w:val="1"/>
      <w:marLeft w:val="0"/>
      <w:marRight w:val="0"/>
      <w:marTop w:val="0"/>
      <w:marBottom w:val="0"/>
      <w:divBdr>
        <w:top w:val="none" w:sz="0" w:space="0" w:color="auto"/>
        <w:left w:val="none" w:sz="0" w:space="0" w:color="auto"/>
        <w:bottom w:val="none" w:sz="0" w:space="0" w:color="auto"/>
        <w:right w:val="none" w:sz="0" w:space="0" w:color="auto"/>
      </w:divBdr>
    </w:div>
    <w:div w:id="18165350">
      <w:bodyDiv w:val="1"/>
      <w:marLeft w:val="0"/>
      <w:marRight w:val="0"/>
      <w:marTop w:val="0"/>
      <w:marBottom w:val="0"/>
      <w:divBdr>
        <w:top w:val="none" w:sz="0" w:space="0" w:color="auto"/>
        <w:left w:val="none" w:sz="0" w:space="0" w:color="auto"/>
        <w:bottom w:val="none" w:sz="0" w:space="0" w:color="auto"/>
        <w:right w:val="none" w:sz="0" w:space="0" w:color="auto"/>
      </w:divBdr>
    </w:div>
    <w:div w:id="18168800">
      <w:bodyDiv w:val="1"/>
      <w:marLeft w:val="0"/>
      <w:marRight w:val="0"/>
      <w:marTop w:val="0"/>
      <w:marBottom w:val="0"/>
      <w:divBdr>
        <w:top w:val="none" w:sz="0" w:space="0" w:color="auto"/>
        <w:left w:val="none" w:sz="0" w:space="0" w:color="auto"/>
        <w:bottom w:val="none" w:sz="0" w:space="0" w:color="auto"/>
        <w:right w:val="none" w:sz="0" w:space="0" w:color="auto"/>
      </w:divBdr>
    </w:div>
    <w:div w:id="18169609">
      <w:bodyDiv w:val="1"/>
      <w:marLeft w:val="0"/>
      <w:marRight w:val="0"/>
      <w:marTop w:val="0"/>
      <w:marBottom w:val="0"/>
      <w:divBdr>
        <w:top w:val="none" w:sz="0" w:space="0" w:color="auto"/>
        <w:left w:val="none" w:sz="0" w:space="0" w:color="auto"/>
        <w:bottom w:val="none" w:sz="0" w:space="0" w:color="auto"/>
        <w:right w:val="none" w:sz="0" w:space="0" w:color="auto"/>
      </w:divBdr>
    </w:div>
    <w:div w:id="18237270">
      <w:bodyDiv w:val="1"/>
      <w:marLeft w:val="0"/>
      <w:marRight w:val="0"/>
      <w:marTop w:val="0"/>
      <w:marBottom w:val="0"/>
      <w:divBdr>
        <w:top w:val="none" w:sz="0" w:space="0" w:color="auto"/>
        <w:left w:val="none" w:sz="0" w:space="0" w:color="auto"/>
        <w:bottom w:val="none" w:sz="0" w:space="0" w:color="auto"/>
        <w:right w:val="none" w:sz="0" w:space="0" w:color="auto"/>
      </w:divBdr>
    </w:div>
    <w:div w:id="18240168">
      <w:bodyDiv w:val="1"/>
      <w:marLeft w:val="0"/>
      <w:marRight w:val="0"/>
      <w:marTop w:val="0"/>
      <w:marBottom w:val="0"/>
      <w:divBdr>
        <w:top w:val="none" w:sz="0" w:space="0" w:color="auto"/>
        <w:left w:val="none" w:sz="0" w:space="0" w:color="auto"/>
        <w:bottom w:val="none" w:sz="0" w:space="0" w:color="auto"/>
        <w:right w:val="none" w:sz="0" w:space="0" w:color="auto"/>
      </w:divBdr>
    </w:div>
    <w:div w:id="18241439">
      <w:bodyDiv w:val="1"/>
      <w:marLeft w:val="0"/>
      <w:marRight w:val="0"/>
      <w:marTop w:val="0"/>
      <w:marBottom w:val="0"/>
      <w:divBdr>
        <w:top w:val="none" w:sz="0" w:space="0" w:color="auto"/>
        <w:left w:val="none" w:sz="0" w:space="0" w:color="auto"/>
        <w:bottom w:val="none" w:sz="0" w:space="0" w:color="auto"/>
        <w:right w:val="none" w:sz="0" w:space="0" w:color="auto"/>
      </w:divBdr>
    </w:div>
    <w:div w:id="18241864">
      <w:bodyDiv w:val="1"/>
      <w:marLeft w:val="0"/>
      <w:marRight w:val="0"/>
      <w:marTop w:val="0"/>
      <w:marBottom w:val="0"/>
      <w:divBdr>
        <w:top w:val="none" w:sz="0" w:space="0" w:color="auto"/>
        <w:left w:val="none" w:sz="0" w:space="0" w:color="auto"/>
        <w:bottom w:val="none" w:sz="0" w:space="0" w:color="auto"/>
        <w:right w:val="none" w:sz="0" w:space="0" w:color="auto"/>
      </w:divBdr>
    </w:div>
    <w:div w:id="18242873">
      <w:bodyDiv w:val="1"/>
      <w:marLeft w:val="0"/>
      <w:marRight w:val="0"/>
      <w:marTop w:val="0"/>
      <w:marBottom w:val="0"/>
      <w:divBdr>
        <w:top w:val="none" w:sz="0" w:space="0" w:color="auto"/>
        <w:left w:val="none" w:sz="0" w:space="0" w:color="auto"/>
        <w:bottom w:val="none" w:sz="0" w:space="0" w:color="auto"/>
        <w:right w:val="none" w:sz="0" w:space="0" w:color="auto"/>
      </w:divBdr>
    </w:div>
    <w:div w:id="18315522">
      <w:bodyDiv w:val="1"/>
      <w:marLeft w:val="0"/>
      <w:marRight w:val="0"/>
      <w:marTop w:val="0"/>
      <w:marBottom w:val="0"/>
      <w:divBdr>
        <w:top w:val="none" w:sz="0" w:space="0" w:color="auto"/>
        <w:left w:val="none" w:sz="0" w:space="0" w:color="auto"/>
        <w:bottom w:val="none" w:sz="0" w:space="0" w:color="auto"/>
        <w:right w:val="none" w:sz="0" w:space="0" w:color="auto"/>
      </w:divBdr>
    </w:div>
    <w:div w:id="18355313">
      <w:bodyDiv w:val="1"/>
      <w:marLeft w:val="0"/>
      <w:marRight w:val="0"/>
      <w:marTop w:val="0"/>
      <w:marBottom w:val="0"/>
      <w:divBdr>
        <w:top w:val="none" w:sz="0" w:space="0" w:color="auto"/>
        <w:left w:val="none" w:sz="0" w:space="0" w:color="auto"/>
        <w:bottom w:val="none" w:sz="0" w:space="0" w:color="auto"/>
        <w:right w:val="none" w:sz="0" w:space="0" w:color="auto"/>
      </w:divBdr>
    </w:div>
    <w:div w:id="18625173">
      <w:bodyDiv w:val="1"/>
      <w:marLeft w:val="0"/>
      <w:marRight w:val="0"/>
      <w:marTop w:val="0"/>
      <w:marBottom w:val="0"/>
      <w:divBdr>
        <w:top w:val="none" w:sz="0" w:space="0" w:color="auto"/>
        <w:left w:val="none" w:sz="0" w:space="0" w:color="auto"/>
        <w:bottom w:val="none" w:sz="0" w:space="0" w:color="auto"/>
        <w:right w:val="none" w:sz="0" w:space="0" w:color="auto"/>
      </w:divBdr>
    </w:div>
    <w:div w:id="18820471">
      <w:bodyDiv w:val="1"/>
      <w:marLeft w:val="0"/>
      <w:marRight w:val="0"/>
      <w:marTop w:val="0"/>
      <w:marBottom w:val="0"/>
      <w:divBdr>
        <w:top w:val="none" w:sz="0" w:space="0" w:color="auto"/>
        <w:left w:val="none" w:sz="0" w:space="0" w:color="auto"/>
        <w:bottom w:val="none" w:sz="0" w:space="0" w:color="auto"/>
        <w:right w:val="none" w:sz="0" w:space="0" w:color="auto"/>
      </w:divBdr>
    </w:div>
    <w:div w:id="18825582">
      <w:bodyDiv w:val="1"/>
      <w:marLeft w:val="0"/>
      <w:marRight w:val="0"/>
      <w:marTop w:val="0"/>
      <w:marBottom w:val="0"/>
      <w:divBdr>
        <w:top w:val="none" w:sz="0" w:space="0" w:color="auto"/>
        <w:left w:val="none" w:sz="0" w:space="0" w:color="auto"/>
        <w:bottom w:val="none" w:sz="0" w:space="0" w:color="auto"/>
        <w:right w:val="none" w:sz="0" w:space="0" w:color="auto"/>
      </w:divBdr>
    </w:div>
    <w:div w:id="18967854">
      <w:bodyDiv w:val="1"/>
      <w:marLeft w:val="0"/>
      <w:marRight w:val="0"/>
      <w:marTop w:val="0"/>
      <w:marBottom w:val="0"/>
      <w:divBdr>
        <w:top w:val="none" w:sz="0" w:space="0" w:color="auto"/>
        <w:left w:val="none" w:sz="0" w:space="0" w:color="auto"/>
        <w:bottom w:val="none" w:sz="0" w:space="0" w:color="auto"/>
        <w:right w:val="none" w:sz="0" w:space="0" w:color="auto"/>
      </w:divBdr>
    </w:div>
    <w:div w:id="18971005">
      <w:bodyDiv w:val="1"/>
      <w:marLeft w:val="0"/>
      <w:marRight w:val="0"/>
      <w:marTop w:val="0"/>
      <w:marBottom w:val="0"/>
      <w:divBdr>
        <w:top w:val="none" w:sz="0" w:space="0" w:color="auto"/>
        <w:left w:val="none" w:sz="0" w:space="0" w:color="auto"/>
        <w:bottom w:val="none" w:sz="0" w:space="0" w:color="auto"/>
        <w:right w:val="none" w:sz="0" w:space="0" w:color="auto"/>
      </w:divBdr>
    </w:div>
    <w:div w:id="19011432">
      <w:bodyDiv w:val="1"/>
      <w:marLeft w:val="0"/>
      <w:marRight w:val="0"/>
      <w:marTop w:val="0"/>
      <w:marBottom w:val="0"/>
      <w:divBdr>
        <w:top w:val="none" w:sz="0" w:space="0" w:color="auto"/>
        <w:left w:val="none" w:sz="0" w:space="0" w:color="auto"/>
        <w:bottom w:val="none" w:sz="0" w:space="0" w:color="auto"/>
        <w:right w:val="none" w:sz="0" w:space="0" w:color="auto"/>
      </w:divBdr>
    </w:div>
    <w:div w:id="19014613">
      <w:bodyDiv w:val="1"/>
      <w:marLeft w:val="0"/>
      <w:marRight w:val="0"/>
      <w:marTop w:val="0"/>
      <w:marBottom w:val="0"/>
      <w:divBdr>
        <w:top w:val="none" w:sz="0" w:space="0" w:color="auto"/>
        <w:left w:val="none" w:sz="0" w:space="0" w:color="auto"/>
        <w:bottom w:val="none" w:sz="0" w:space="0" w:color="auto"/>
        <w:right w:val="none" w:sz="0" w:space="0" w:color="auto"/>
      </w:divBdr>
    </w:div>
    <w:div w:id="19088812">
      <w:bodyDiv w:val="1"/>
      <w:marLeft w:val="0"/>
      <w:marRight w:val="0"/>
      <w:marTop w:val="0"/>
      <w:marBottom w:val="0"/>
      <w:divBdr>
        <w:top w:val="none" w:sz="0" w:space="0" w:color="auto"/>
        <w:left w:val="none" w:sz="0" w:space="0" w:color="auto"/>
        <w:bottom w:val="none" w:sz="0" w:space="0" w:color="auto"/>
        <w:right w:val="none" w:sz="0" w:space="0" w:color="auto"/>
      </w:divBdr>
    </w:div>
    <w:div w:id="19094074">
      <w:bodyDiv w:val="1"/>
      <w:marLeft w:val="0"/>
      <w:marRight w:val="0"/>
      <w:marTop w:val="0"/>
      <w:marBottom w:val="0"/>
      <w:divBdr>
        <w:top w:val="none" w:sz="0" w:space="0" w:color="auto"/>
        <w:left w:val="none" w:sz="0" w:space="0" w:color="auto"/>
        <w:bottom w:val="none" w:sz="0" w:space="0" w:color="auto"/>
        <w:right w:val="none" w:sz="0" w:space="0" w:color="auto"/>
      </w:divBdr>
    </w:div>
    <w:div w:id="19137177">
      <w:bodyDiv w:val="1"/>
      <w:marLeft w:val="0"/>
      <w:marRight w:val="0"/>
      <w:marTop w:val="0"/>
      <w:marBottom w:val="0"/>
      <w:divBdr>
        <w:top w:val="none" w:sz="0" w:space="0" w:color="auto"/>
        <w:left w:val="none" w:sz="0" w:space="0" w:color="auto"/>
        <w:bottom w:val="none" w:sz="0" w:space="0" w:color="auto"/>
        <w:right w:val="none" w:sz="0" w:space="0" w:color="auto"/>
      </w:divBdr>
    </w:div>
    <w:div w:id="19162683">
      <w:bodyDiv w:val="1"/>
      <w:marLeft w:val="0"/>
      <w:marRight w:val="0"/>
      <w:marTop w:val="0"/>
      <w:marBottom w:val="0"/>
      <w:divBdr>
        <w:top w:val="none" w:sz="0" w:space="0" w:color="auto"/>
        <w:left w:val="none" w:sz="0" w:space="0" w:color="auto"/>
        <w:bottom w:val="none" w:sz="0" w:space="0" w:color="auto"/>
        <w:right w:val="none" w:sz="0" w:space="0" w:color="auto"/>
      </w:divBdr>
    </w:div>
    <w:div w:id="19169062">
      <w:bodyDiv w:val="1"/>
      <w:marLeft w:val="0"/>
      <w:marRight w:val="0"/>
      <w:marTop w:val="0"/>
      <w:marBottom w:val="0"/>
      <w:divBdr>
        <w:top w:val="none" w:sz="0" w:space="0" w:color="auto"/>
        <w:left w:val="none" w:sz="0" w:space="0" w:color="auto"/>
        <w:bottom w:val="none" w:sz="0" w:space="0" w:color="auto"/>
        <w:right w:val="none" w:sz="0" w:space="0" w:color="auto"/>
      </w:divBdr>
    </w:div>
    <w:div w:id="19359774">
      <w:bodyDiv w:val="1"/>
      <w:marLeft w:val="0"/>
      <w:marRight w:val="0"/>
      <w:marTop w:val="0"/>
      <w:marBottom w:val="0"/>
      <w:divBdr>
        <w:top w:val="none" w:sz="0" w:space="0" w:color="auto"/>
        <w:left w:val="none" w:sz="0" w:space="0" w:color="auto"/>
        <w:bottom w:val="none" w:sz="0" w:space="0" w:color="auto"/>
        <w:right w:val="none" w:sz="0" w:space="0" w:color="auto"/>
      </w:divBdr>
    </w:div>
    <w:div w:id="19362910">
      <w:bodyDiv w:val="1"/>
      <w:marLeft w:val="0"/>
      <w:marRight w:val="0"/>
      <w:marTop w:val="0"/>
      <w:marBottom w:val="0"/>
      <w:divBdr>
        <w:top w:val="none" w:sz="0" w:space="0" w:color="auto"/>
        <w:left w:val="none" w:sz="0" w:space="0" w:color="auto"/>
        <w:bottom w:val="none" w:sz="0" w:space="0" w:color="auto"/>
        <w:right w:val="none" w:sz="0" w:space="0" w:color="auto"/>
      </w:divBdr>
    </w:div>
    <w:div w:id="19429463">
      <w:bodyDiv w:val="1"/>
      <w:marLeft w:val="0"/>
      <w:marRight w:val="0"/>
      <w:marTop w:val="0"/>
      <w:marBottom w:val="0"/>
      <w:divBdr>
        <w:top w:val="none" w:sz="0" w:space="0" w:color="auto"/>
        <w:left w:val="none" w:sz="0" w:space="0" w:color="auto"/>
        <w:bottom w:val="none" w:sz="0" w:space="0" w:color="auto"/>
        <w:right w:val="none" w:sz="0" w:space="0" w:color="auto"/>
      </w:divBdr>
    </w:div>
    <w:div w:id="19624258">
      <w:bodyDiv w:val="1"/>
      <w:marLeft w:val="0"/>
      <w:marRight w:val="0"/>
      <w:marTop w:val="0"/>
      <w:marBottom w:val="0"/>
      <w:divBdr>
        <w:top w:val="none" w:sz="0" w:space="0" w:color="auto"/>
        <w:left w:val="none" w:sz="0" w:space="0" w:color="auto"/>
        <w:bottom w:val="none" w:sz="0" w:space="0" w:color="auto"/>
        <w:right w:val="none" w:sz="0" w:space="0" w:color="auto"/>
      </w:divBdr>
    </w:div>
    <w:div w:id="19935262">
      <w:bodyDiv w:val="1"/>
      <w:marLeft w:val="0"/>
      <w:marRight w:val="0"/>
      <w:marTop w:val="0"/>
      <w:marBottom w:val="0"/>
      <w:divBdr>
        <w:top w:val="none" w:sz="0" w:space="0" w:color="auto"/>
        <w:left w:val="none" w:sz="0" w:space="0" w:color="auto"/>
        <w:bottom w:val="none" w:sz="0" w:space="0" w:color="auto"/>
        <w:right w:val="none" w:sz="0" w:space="0" w:color="auto"/>
      </w:divBdr>
    </w:div>
    <w:div w:id="20056342">
      <w:bodyDiv w:val="1"/>
      <w:marLeft w:val="0"/>
      <w:marRight w:val="0"/>
      <w:marTop w:val="0"/>
      <w:marBottom w:val="0"/>
      <w:divBdr>
        <w:top w:val="none" w:sz="0" w:space="0" w:color="auto"/>
        <w:left w:val="none" w:sz="0" w:space="0" w:color="auto"/>
        <w:bottom w:val="none" w:sz="0" w:space="0" w:color="auto"/>
        <w:right w:val="none" w:sz="0" w:space="0" w:color="auto"/>
      </w:divBdr>
    </w:div>
    <w:div w:id="20061191">
      <w:bodyDiv w:val="1"/>
      <w:marLeft w:val="0"/>
      <w:marRight w:val="0"/>
      <w:marTop w:val="0"/>
      <w:marBottom w:val="0"/>
      <w:divBdr>
        <w:top w:val="none" w:sz="0" w:space="0" w:color="auto"/>
        <w:left w:val="none" w:sz="0" w:space="0" w:color="auto"/>
        <w:bottom w:val="none" w:sz="0" w:space="0" w:color="auto"/>
        <w:right w:val="none" w:sz="0" w:space="0" w:color="auto"/>
      </w:divBdr>
    </w:div>
    <w:div w:id="20127516">
      <w:bodyDiv w:val="1"/>
      <w:marLeft w:val="0"/>
      <w:marRight w:val="0"/>
      <w:marTop w:val="0"/>
      <w:marBottom w:val="0"/>
      <w:divBdr>
        <w:top w:val="none" w:sz="0" w:space="0" w:color="auto"/>
        <w:left w:val="none" w:sz="0" w:space="0" w:color="auto"/>
        <w:bottom w:val="none" w:sz="0" w:space="0" w:color="auto"/>
        <w:right w:val="none" w:sz="0" w:space="0" w:color="auto"/>
      </w:divBdr>
    </w:div>
    <w:div w:id="20207971">
      <w:bodyDiv w:val="1"/>
      <w:marLeft w:val="0"/>
      <w:marRight w:val="0"/>
      <w:marTop w:val="0"/>
      <w:marBottom w:val="0"/>
      <w:divBdr>
        <w:top w:val="none" w:sz="0" w:space="0" w:color="auto"/>
        <w:left w:val="none" w:sz="0" w:space="0" w:color="auto"/>
        <w:bottom w:val="none" w:sz="0" w:space="0" w:color="auto"/>
        <w:right w:val="none" w:sz="0" w:space="0" w:color="auto"/>
      </w:divBdr>
    </w:div>
    <w:div w:id="20403105">
      <w:bodyDiv w:val="1"/>
      <w:marLeft w:val="0"/>
      <w:marRight w:val="0"/>
      <w:marTop w:val="0"/>
      <w:marBottom w:val="0"/>
      <w:divBdr>
        <w:top w:val="none" w:sz="0" w:space="0" w:color="auto"/>
        <w:left w:val="none" w:sz="0" w:space="0" w:color="auto"/>
        <w:bottom w:val="none" w:sz="0" w:space="0" w:color="auto"/>
        <w:right w:val="none" w:sz="0" w:space="0" w:color="auto"/>
      </w:divBdr>
    </w:div>
    <w:div w:id="20404158">
      <w:bodyDiv w:val="1"/>
      <w:marLeft w:val="0"/>
      <w:marRight w:val="0"/>
      <w:marTop w:val="0"/>
      <w:marBottom w:val="0"/>
      <w:divBdr>
        <w:top w:val="none" w:sz="0" w:space="0" w:color="auto"/>
        <w:left w:val="none" w:sz="0" w:space="0" w:color="auto"/>
        <w:bottom w:val="none" w:sz="0" w:space="0" w:color="auto"/>
        <w:right w:val="none" w:sz="0" w:space="0" w:color="auto"/>
      </w:divBdr>
    </w:div>
    <w:div w:id="20673307">
      <w:bodyDiv w:val="1"/>
      <w:marLeft w:val="0"/>
      <w:marRight w:val="0"/>
      <w:marTop w:val="0"/>
      <w:marBottom w:val="0"/>
      <w:divBdr>
        <w:top w:val="none" w:sz="0" w:space="0" w:color="auto"/>
        <w:left w:val="none" w:sz="0" w:space="0" w:color="auto"/>
        <w:bottom w:val="none" w:sz="0" w:space="0" w:color="auto"/>
        <w:right w:val="none" w:sz="0" w:space="0" w:color="auto"/>
      </w:divBdr>
    </w:div>
    <w:div w:id="20859821">
      <w:bodyDiv w:val="1"/>
      <w:marLeft w:val="0"/>
      <w:marRight w:val="0"/>
      <w:marTop w:val="0"/>
      <w:marBottom w:val="0"/>
      <w:divBdr>
        <w:top w:val="none" w:sz="0" w:space="0" w:color="auto"/>
        <w:left w:val="none" w:sz="0" w:space="0" w:color="auto"/>
        <w:bottom w:val="none" w:sz="0" w:space="0" w:color="auto"/>
        <w:right w:val="none" w:sz="0" w:space="0" w:color="auto"/>
      </w:divBdr>
    </w:div>
    <w:div w:id="20976293">
      <w:bodyDiv w:val="1"/>
      <w:marLeft w:val="0"/>
      <w:marRight w:val="0"/>
      <w:marTop w:val="0"/>
      <w:marBottom w:val="0"/>
      <w:divBdr>
        <w:top w:val="none" w:sz="0" w:space="0" w:color="auto"/>
        <w:left w:val="none" w:sz="0" w:space="0" w:color="auto"/>
        <w:bottom w:val="none" w:sz="0" w:space="0" w:color="auto"/>
        <w:right w:val="none" w:sz="0" w:space="0" w:color="auto"/>
      </w:divBdr>
    </w:div>
    <w:div w:id="20979123">
      <w:bodyDiv w:val="1"/>
      <w:marLeft w:val="0"/>
      <w:marRight w:val="0"/>
      <w:marTop w:val="0"/>
      <w:marBottom w:val="0"/>
      <w:divBdr>
        <w:top w:val="none" w:sz="0" w:space="0" w:color="auto"/>
        <w:left w:val="none" w:sz="0" w:space="0" w:color="auto"/>
        <w:bottom w:val="none" w:sz="0" w:space="0" w:color="auto"/>
        <w:right w:val="none" w:sz="0" w:space="0" w:color="auto"/>
      </w:divBdr>
    </w:div>
    <w:div w:id="20982672">
      <w:bodyDiv w:val="1"/>
      <w:marLeft w:val="0"/>
      <w:marRight w:val="0"/>
      <w:marTop w:val="0"/>
      <w:marBottom w:val="0"/>
      <w:divBdr>
        <w:top w:val="none" w:sz="0" w:space="0" w:color="auto"/>
        <w:left w:val="none" w:sz="0" w:space="0" w:color="auto"/>
        <w:bottom w:val="none" w:sz="0" w:space="0" w:color="auto"/>
        <w:right w:val="none" w:sz="0" w:space="0" w:color="auto"/>
      </w:divBdr>
    </w:div>
    <w:div w:id="21053665">
      <w:bodyDiv w:val="1"/>
      <w:marLeft w:val="0"/>
      <w:marRight w:val="0"/>
      <w:marTop w:val="0"/>
      <w:marBottom w:val="0"/>
      <w:divBdr>
        <w:top w:val="none" w:sz="0" w:space="0" w:color="auto"/>
        <w:left w:val="none" w:sz="0" w:space="0" w:color="auto"/>
        <w:bottom w:val="none" w:sz="0" w:space="0" w:color="auto"/>
        <w:right w:val="none" w:sz="0" w:space="0" w:color="auto"/>
      </w:divBdr>
    </w:div>
    <w:div w:id="21056840">
      <w:bodyDiv w:val="1"/>
      <w:marLeft w:val="0"/>
      <w:marRight w:val="0"/>
      <w:marTop w:val="0"/>
      <w:marBottom w:val="0"/>
      <w:divBdr>
        <w:top w:val="none" w:sz="0" w:space="0" w:color="auto"/>
        <w:left w:val="none" w:sz="0" w:space="0" w:color="auto"/>
        <w:bottom w:val="none" w:sz="0" w:space="0" w:color="auto"/>
        <w:right w:val="none" w:sz="0" w:space="0" w:color="auto"/>
      </w:divBdr>
    </w:div>
    <w:div w:id="21059806">
      <w:bodyDiv w:val="1"/>
      <w:marLeft w:val="0"/>
      <w:marRight w:val="0"/>
      <w:marTop w:val="0"/>
      <w:marBottom w:val="0"/>
      <w:divBdr>
        <w:top w:val="none" w:sz="0" w:space="0" w:color="auto"/>
        <w:left w:val="none" w:sz="0" w:space="0" w:color="auto"/>
        <w:bottom w:val="none" w:sz="0" w:space="0" w:color="auto"/>
        <w:right w:val="none" w:sz="0" w:space="0" w:color="auto"/>
      </w:divBdr>
    </w:div>
    <w:div w:id="21133013">
      <w:bodyDiv w:val="1"/>
      <w:marLeft w:val="0"/>
      <w:marRight w:val="0"/>
      <w:marTop w:val="0"/>
      <w:marBottom w:val="0"/>
      <w:divBdr>
        <w:top w:val="none" w:sz="0" w:space="0" w:color="auto"/>
        <w:left w:val="none" w:sz="0" w:space="0" w:color="auto"/>
        <w:bottom w:val="none" w:sz="0" w:space="0" w:color="auto"/>
        <w:right w:val="none" w:sz="0" w:space="0" w:color="auto"/>
      </w:divBdr>
    </w:div>
    <w:div w:id="21134636">
      <w:bodyDiv w:val="1"/>
      <w:marLeft w:val="0"/>
      <w:marRight w:val="0"/>
      <w:marTop w:val="0"/>
      <w:marBottom w:val="0"/>
      <w:divBdr>
        <w:top w:val="none" w:sz="0" w:space="0" w:color="auto"/>
        <w:left w:val="none" w:sz="0" w:space="0" w:color="auto"/>
        <w:bottom w:val="none" w:sz="0" w:space="0" w:color="auto"/>
        <w:right w:val="none" w:sz="0" w:space="0" w:color="auto"/>
      </w:divBdr>
    </w:div>
    <w:div w:id="21252141">
      <w:bodyDiv w:val="1"/>
      <w:marLeft w:val="0"/>
      <w:marRight w:val="0"/>
      <w:marTop w:val="0"/>
      <w:marBottom w:val="0"/>
      <w:divBdr>
        <w:top w:val="none" w:sz="0" w:space="0" w:color="auto"/>
        <w:left w:val="none" w:sz="0" w:space="0" w:color="auto"/>
        <w:bottom w:val="none" w:sz="0" w:space="0" w:color="auto"/>
        <w:right w:val="none" w:sz="0" w:space="0" w:color="auto"/>
      </w:divBdr>
    </w:div>
    <w:div w:id="21252433">
      <w:bodyDiv w:val="1"/>
      <w:marLeft w:val="0"/>
      <w:marRight w:val="0"/>
      <w:marTop w:val="0"/>
      <w:marBottom w:val="0"/>
      <w:divBdr>
        <w:top w:val="none" w:sz="0" w:space="0" w:color="auto"/>
        <w:left w:val="none" w:sz="0" w:space="0" w:color="auto"/>
        <w:bottom w:val="none" w:sz="0" w:space="0" w:color="auto"/>
        <w:right w:val="none" w:sz="0" w:space="0" w:color="auto"/>
      </w:divBdr>
    </w:div>
    <w:div w:id="21328426">
      <w:bodyDiv w:val="1"/>
      <w:marLeft w:val="0"/>
      <w:marRight w:val="0"/>
      <w:marTop w:val="0"/>
      <w:marBottom w:val="0"/>
      <w:divBdr>
        <w:top w:val="none" w:sz="0" w:space="0" w:color="auto"/>
        <w:left w:val="none" w:sz="0" w:space="0" w:color="auto"/>
        <w:bottom w:val="none" w:sz="0" w:space="0" w:color="auto"/>
        <w:right w:val="none" w:sz="0" w:space="0" w:color="auto"/>
      </w:divBdr>
    </w:div>
    <w:div w:id="21366606">
      <w:bodyDiv w:val="1"/>
      <w:marLeft w:val="0"/>
      <w:marRight w:val="0"/>
      <w:marTop w:val="0"/>
      <w:marBottom w:val="0"/>
      <w:divBdr>
        <w:top w:val="none" w:sz="0" w:space="0" w:color="auto"/>
        <w:left w:val="none" w:sz="0" w:space="0" w:color="auto"/>
        <w:bottom w:val="none" w:sz="0" w:space="0" w:color="auto"/>
        <w:right w:val="none" w:sz="0" w:space="0" w:color="auto"/>
      </w:divBdr>
    </w:div>
    <w:div w:id="21562573">
      <w:bodyDiv w:val="1"/>
      <w:marLeft w:val="0"/>
      <w:marRight w:val="0"/>
      <w:marTop w:val="0"/>
      <w:marBottom w:val="0"/>
      <w:divBdr>
        <w:top w:val="none" w:sz="0" w:space="0" w:color="auto"/>
        <w:left w:val="none" w:sz="0" w:space="0" w:color="auto"/>
        <w:bottom w:val="none" w:sz="0" w:space="0" w:color="auto"/>
        <w:right w:val="none" w:sz="0" w:space="0" w:color="auto"/>
      </w:divBdr>
    </w:div>
    <w:div w:id="21590000">
      <w:bodyDiv w:val="1"/>
      <w:marLeft w:val="0"/>
      <w:marRight w:val="0"/>
      <w:marTop w:val="0"/>
      <w:marBottom w:val="0"/>
      <w:divBdr>
        <w:top w:val="none" w:sz="0" w:space="0" w:color="auto"/>
        <w:left w:val="none" w:sz="0" w:space="0" w:color="auto"/>
        <w:bottom w:val="none" w:sz="0" w:space="0" w:color="auto"/>
        <w:right w:val="none" w:sz="0" w:space="0" w:color="auto"/>
      </w:divBdr>
    </w:div>
    <w:div w:id="21590349">
      <w:bodyDiv w:val="1"/>
      <w:marLeft w:val="0"/>
      <w:marRight w:val="0"/>
      <w:marTop w:val="0"/>
      <w:marBottom w:val="0"/>
      <w:divBdr>
        <w:top w:val="none" w:sz="0" w:space="0" w:color="auto"/>
        <w:left w:val="none" w:sz="0" w:space="0" w:color="auto"/>
        <w:bottom w:val="none" w:sz="0" w:space="0" w:color="auto"/>
        <w:right w:val="none" w:sz="0" w:space="0" w:color="auto"/>
      </w:divBdr>
    </w:div>
    <w:div w:id="21631506">
      <w:bodyDiv w:val="1"/>
      <w:marLeft w:val="0"/>
      <w:marRight w:val="0"/>
      <w:marTop w:val="0"/>
      <w:marBottom w:val="0"/>
      <w:divBdr>
        <w:top w:val="none" w:sz="0" w:space="0" w:color="auto"/>
        <w:left w:val="none" w:sz="0" w:space="0" w:color="auto"/>
        <w:bottom w:val="none" w:sz="0" w:space="0" w:color="auto"/>
        <w:right w:val="none" w:sz="0" w:space="0" w:color="auto"/>
      </w:divBdr>
    </w:div>
    <w:div w:id="21706162">
      <w:bodyDiv w:val="1"/>
      <w:marLeft w:val="0"/>
      <w:marRight w:val="0"/>
      <w:marTop w:val="0"/>
      <w:marBottom w:val="0"/>
      <w:divBdr>
        <w:top w:val="none" w:sz="0" w:space="0" w:color="auto"/>
        <w:left w:val="none" w:sz="0" w:space="0" w:color="auto"/>
        <w:bottom w:val="none" w:sz="0" w:space="0" w:color="auto"/>
        <w:right w:val="none" w:sz="0" w:space="0" w:color="auto"/>
      </w:divBdr>
    </w:div>
    <w:div w:id="21706274">
      <w:bodyDiv w:val="1"/>
      <w:marLeft w:val="0"/>
      <w:marRight w:val="0"/>
      <w:marTop w:val="0"/>
      <w:marBottom w:val="0"/>
      <w:divBdr>
        <w:top w:val="none" w:sz="0" w:space="0" w:color="auto"/>
        <w:left w:val="none" w:sz="0" w:space="0" w:color="auto"/>
        <w:bottom w:val="none" w:sz="0" w:space="0" w:color="auto"/>
        <w:right w:val="none" w:sz="0" w:space="0" w:color="auto"/>
      </w:divBdr>
    </w:div>
    <w:div w:id="21710809">
      <w:bodyDiv w:val="1"/>
      <w:marLeft w:val="0"/>
      <w:marRight w:val="0"/>
      <w:marTop w:val="0"/>
      <w:marBottom w:val="0"/>
      <w:divBdr>
        <w:top w:val="none" w:sz="0" w:space="0" w:color="auto"/>
        <w:left w:val="none" w:sz="0" w:space="0" w:color="auto"/>
        <w:bottom w:val="none" w:sz="0" w:space="0" w:color="auto"/>
        <w:right w:val="none" w:sz="0" w:space="0" w:color="auto"/>
      </w:divBdr>
    </w:div>
    <w:div w:id="21713979">
      <w:bodyDiv w:val="1"/>
      <w:marLeft w:val="0"/>
      <w:marRight w:val="0"/>
      <w:marTop w:val="0"/>
      <w:marBottom w:val="0"/>
      <w:divBdr>
        <w:top w:val="none" w:sz="0" w:space="0" w:color="auto"/>
        <w:left w:val="none" w:sz="0" w:space="0" w:color="auto"/>
        <w:bottom w:val="none" w:sz="0" w:space="0" w:color="auto"/>
        <w:right w:val="none" w:sz="0" w:space="0" w:color="auto"/>
      </w:divBdr>
    </w:div>
    <w:div w:id="21758527">
      <w:bodyDiv w:val="1"/>
      <w:marLeft w:val="0"/>
      <w:marRight w:val="0"/>
      <w:marTop w:val="0"/>
      <w:marBottom w:val="0"/>
      <w:divBdr>
        <w:top w:val="none" w:sz="0" w:space="0" w:color="auto"/>
        <w:left w:val="none" w:sz="0" w:space="0" w:color="auto"/>
        <w:bottom w:val="none" w:sz="0" w:space="0" w:color="auto"/>
        <w:right w:val="none" w:sz="0" w:space="0" w:color="auto"/>
      </w:divBdr>
    </w:div>
    <w:div w:id="21785747">
      <w:bodyDiv w:val="1"/>
      <w:marLeft w:val="0"/>
      <w:marRight w:val="0"/>
      <w:marTop w:val="0"/>
      <w:marBottom w:val="0"/>
      <w:divBdr>
        <w:top w:val="none" w:sz="0" w:space="0" w:color="auto"/>
        <w:left w:val="none" w:sz="0" w:space="0" w:color="auto"/>
        <w:bottom w:val="none" w:sz="0" w:space="0" w:color="auto"/>
        <w:right w:val="none" w:sz="0" w:space="0" w:color="auto"/>
      </w:divBdr>
    </w:div>
    <w:div w:id="21826970">
      <w:bodyDiv w:val="1"/>
      <w:marLeft w:val="0"/>
      <w:marRight w:val="0"/>
      <w:marTop w:val="0"/>
      <w:marBottom w:val="0"/>
      <w:divBdr>
        <w:top w:val="none" w:sz="0" w:space="0" w:color="auto"/>
        <w:left w:val="none" w:sz="0" w:space="0" w:color="auto"/>
        <w:bottom w:val="none" w:sz="0" w:space="0" w:color="auto"/>
        <w:right w:val="none" w:sz="0" w:space="0" w:color="auto"/>
      </w:divBdr>
    </w:div>
    <w:div w:id="22021408">
      <w:bodyDiv w:val="1"/>
      <w:marLeft w:val="0"/>
      <w:marRight w:val="0"/>
      <w:marTop w:val="0"/>
      <w:marBottom w:val="0"/>
      <w:divBdr>
        <w:top w:val="none" w:sz="0" w:space="0" w:color="auto"/>
        <w:left w:val="none" w:sz="0" w:space="0" w:color="auto"/>
        <w:bottom w:val="none" w:sz="0" w:space="0" w:color="auto"/>
        <w:right w:val="none" w:sz="0" w:space="0" w:color="auto"/>
      </w:divBdr>
    </w:div>
    <w:div w:id="22097670">
      <w:bodyDiv w:val="1"/>
      <w:marLeft w:val="0"/>
      <w:marRight w:val="0"/>
      <w:marTop w:val="0"/>
      <w:marBottom w:val="0"/>
      <w:divBdr>
        <w:top w:val="none" w:sz="0" w:space="0" w:color="auto"/>
        <w:left w:val="none" w:sz="0" w:space="0" w:color="auto"/>
        <w:bottom w:val="none" w:sz="0" w:space="0" w:color="auto"/>
        <w:right w:val="none" w:sz="0" w:space="0" w:color="auto"/>
      </w:divBdr>
    </w:div>
    <w:div w:id="22099187">
      <w:bodyDiv w:val="1"/>
      <w:marLeft w:val="0"/>
      <w:marRight w:val="0"/>
      <w:marTop w:val="0"/>
      <w:marBottom w:val="0"/>
      <w:divBdr>
        <w:top w:val="none" w:sz="0" w:space="0" w:color="auto"/>
        <w:left w:val="none" w:sz="0" w:space="0" w:color="auto"/>
        <w:bottom w:val="none" w:sz="0" w:space="0" w:color="auto"/>
        <w:right w:val="none" w:sz="0" w:space="0" w:color="auto"/>
      </w:divBdr>
    </w:div>
    <w:div w:id="22099969">
      <w:bodyDiv w:val="1"/>
      <w:marLeft w:val="0"/>
      <w:marRight w:val="0"/>
      <w:marTop w:val="0"/>
      <w:marBottom w:val="0"/>
      <w:divBdr>
        <w:top w:val="none" w:sz="0" w:space="0" w:color="auto"/>
        <w:left w:val="none" w:sz="0" w:space="0" w:color="auto"/>
        <w:bottom w:val="none" w:sz="0" w:space="0" w:color="auto"/>
        <w:right w:val="none" w:sz="0" w:space="0" w:color="auto"/>
      </w:divBdr>
    </w:div>
    <w:div w:id="22174394">
      <w:bodyDiv w:val="1"/>
      <w:marLeft w:val="0"/>
      <w:marRight w:val="0"/>
      <w:marTop w:val="0"/>
      <w:marBottom w:val="0"/>
      <w:divBdr>
        <w:top w:val="none" w:sz="0" w:space="0" w:color="auto"/>
        <w:left w:val="none" w:sz="0" w:space="0" w:color="auto"/>
        <w:bottom w:val="none" w:sz="0" w:space="0" w:color="auto"/>
        <w:right w:val="none" w:sz="0" w:space="0" w:color="auto"/>
      </w:divBdr>
    </w:div>
    <w:div w:id="22245459">
      <w:bodyDiv w:val="1"/>
      <w:marLeft w:val="0"/>
      <w:marRight w:val="0"/>
      <w:marTop w:val="0"/>
      <w:marBottom w:val="0"/>
      <w:divBdr>
        <w:top w:val="none" w:sz="0" w:space="0" w:color="auto"/>
        <w:left w:val="none" w:sz="0" w:space="0" w:color="auto"/>
        <w:bottom w:val="none" w:sz="0" w:space="0" w:color="auto"/>
        <w:right w:val="none" w:sz="0" w:space="0" w:color="auto"/>
      </w:divBdr>
    </w:div>
    <w:div w:id="22293458">
      <w:bodyDiv w:val="1"/>
      <w:marLeft w:val="0"/>
      <w:marRight w:val="0"/>
      <w:marTop w:val="0"/>
      <w:marBottom w:val="0"/>
      <w:divBdr>
        <w:top w:val="none" w:sz="0" w:space="0" w:color="auto"/>
        <w:left w:val="none" w:sz="0" w:space="0" w:color="auto"/>
        <w:bottom w:val="none" w:sz="0" w:space="0" w:color="auto"/>
        <w:right w:val="none" w:sz="0" w:space="0" w:color="auto"/>
      </w:divBdr>
    </w:div>
    <w:div w:id="22367190">
      <w:bodyDiv w:val="1"/>
      <w:marLeft w:val="0"/>
      <w:marRight w:val="0"/>
      <w:marTop w:val="0"/>
      <w:marBottom w:val="0"/>
      <w:divBdr>
        <w:top w:val="none" w:sz="0" w:space="0" w:color="auto"/>
        <w:left w:val="none" w:sz="0" w:space="0" w:color="auto"/>
        <w:bottom w:val="none" w:sz="0" w:space="0" w:color="auto"/>
        <w:right w:val="none" w:sz="0" w:space="0" w:color="auto"/>
      </w:divBdr>
    </w:div>
    <w:div w:id="22368728">
      <w:bodyDiv w:val="1"/>
      <w:marLeft w:val="0"/>
      <w:marRight w:val="0"/>
      <w:marTop w:val="0"/>
      <w:marBottom w:val="0"/>
      <w:divBdr>
        <w:top w:val="none" w:sz="0" w:space="0" w:color="auto"/>
        <w:left w:val="none" w:sz="0" w:space="0" w:color="auto"/>
        <w:bottom w:val="none" w:sz="0" w:space="0" w:color="auto"/>
        <w:right w:val="none" w:sz="0" w:space="0" w:color="auto"/>
      </w:divBdr>
    </w:div>
    <w:div w:id="22439899">
      <w:bodyDiv w:val="1"/>
      <w:marLeft w:val="0"/>
      <w:marRight w:val="0"/>
      <w:marTop w:val="0"/>
      <w:marBottom w:val="0"/>
      <w:divBdr>
        <w:top w:val="none" w:sz="0" w:space="0" w:color="auto"/>
        <w:left w:val="none" w:sz="0" w:space="0" w:color="auto"/>
        <w:bottom w:val="none" w:sz="0" w:space="0" w:color="auto"/>
        <w:right w:val="none" w:sz="0" w:space="0" w:color="auto"/>
      </w:divBdr>
    </w:div>
    <w:div w:id="22441371">
      <w:bodyDiv w:val="1"/>
      <w:marLeft w:val="0"/>
      <w:marRight w:val="0"/>
      <w:marTop w:val="0"/>
      <w:marBottom w:val="0"/>
      <w:divBdr>
        <w:top w:val="none" w:sz="0" w:space="0" w:color="auto"/>
        <w:left w:val="none" w:sz="0" w:space="0" w:color="auto"/>
        <w:bottom w:val="none" w:sz="0" w:space="0" w:color="auto"/>
        <w:right w:val="none" w:sz="0" w:space="0" w:color="auto"/>
      </w:divBdr>
    </w:div>
    <w:div w:id="22556627">
      <w:bodyDiv w:val="1"/>
      <w:marLeft w:val="0"/>
      <w:marRight w:val="0"/>
      <w:marTop w:val="0"/>
      <w:marBottom w:val="0"/>
      <w:divBdr>
        <w:top w:val="none" w:sz="0" w:space="0" w:color="auto"/>
        <w:left w:val="none" w:sz="0" w:space="0" w:color="auto"/>
        <w:bottom w:val="none" w:sz="0" w:space="0" w:color="auto"/>
        <w:right w:val="none" w:sz="0" w:space="0" w:color="auto"/>
      </w:divBdr>
    </w:div>
    <w:div w:id="22635327">
      <w:bodyDiv w:val="1"/>
      <w:marLeft w:val="0"/>
      <w:marRight w:val="0"/>
      <w:marTop w:val="0"/>
      <w:marBottom w:val="0"/>
      <w:divBdr>
        <w:top w:val="none" w:sz="0" w:space="0" w:color="auto"/>
        <w:left w:val="none" w:sz="0" w:space="0" w:color="auto"/>
        <w:bottom w:val="none" w:sz="0" w:space="0" w:color="auto"/>
        <w:right w:val="none" w:sz="0" w:space="0" w:color="auto"/>
      </w:divBdr>
    </w:div>
    <w:div w:id="22639765">
      <w:bodyDiv w:val="1"/>
      <w:marLeft w:val="0"/>
      <w:marRight w:val="0"/>
      <w:marTop w:val="0"/>
      <w:marBottom w:val="0"/>
      <w:divBdr>
        <w:top w:val="none" w:sz="0" w:space="0" w:color="auto"/>
        <w:left w:val="none" w:sz="0" w:space="0" w:color="auto"/>
        <w:bottom w:val="none" w:sz="0" w:space="0" w:color="auto"/>
        <w:right w:val="none" w:sz="0" w:space="0" w:color="auto"/>
      </w:divBdr>
    </w:div>
    <w:div w:id="22682478">
      <w:bodyDiv w:val="1"/>
      <w:marLeft w:val="0"/>
      <w:marRight w:val="0"/>
      <w:marTop w:val="0"/>
      <w:marBottom w:val="0"/>
      <w:divBdr>
        <w:top w:val="none" w:sz="0" w:space="0" w:color="auto"/>
        <w:left w:val="none" w:sz="0" w:space="0" w:color="auto"/>
        <w:bottom w:val="none" w:sz="0" w:space="0" w:color="auto"/>
        <w:right w:val="none" w:sz="0" w:space="0" w:color="auto"/>
      </w:divBdr>
    </w:div>
    <w:div w:id="22826264">
      <w:bodyDiv w:val="1"/>
      <w:marLeft w:val="0"/>
      <w:marRight w:val="0"/>
      <w:marTop w:val="0"/>
      <w:marBottom w:val="0"/>
      <w:divBdr>
        <w:top w:val="none" w:sz="0" w:space="0" w:color="auto"/>
        <w:left w:val="none" w:sz="0" w:space="0" w:color="auto"/>
        <w:bottom w:val="none" w:sz="0" w:space="0" w:color="auto"/>
        <w:right w:val="none" w:sz="0" w:space="0" w:color="auto"/>
      </w:divBdr>
    </w:div>
    <w:div w:id="22827228">
      <w:bodyDiv w:val="1"/>
      <w:marLeft w:val="0"/>
      <w:marRight w:val="0"/>
      <w:marTop w:val="0"/>
      <w:marBottom w:val="0"/>
      <w:divBdr>
        <w:top w:val="none" w:sz="0" w:space="0" w:color="auto"/>
        <w:left w:val="none" w:sz="0" w:space="0" w:color="auto"/>
        <w:bottom w:val="none" w:sz="0" w:space="0" w:color="auto"/>
        <w:right w:val="none" w:sz="0" w:space="0" w:color="auto"/>
      </w:divBdr>
    </w:div>
    <w:div w:id="22899648">
      <w:bodyDiv w:val="1"/>
      <w:marLeft w:val="0"/>
      <w:marRight w:val="0"/>
      <w:marTop w:val="0"/>
      <w:marBottom w:val="0"/>
      <w:divBdr>
        <w:top w:val="none" w:sz="0" w:space="0" w:color="auto"/>
        <w:left w:val="none" w:sz="0" w:space="0" w:color="auto"/>
        <w:bottom w:val="none" w:sz="0" w:space="0" w:color="auto"/>
        <w:right w:val="none" w:sz="0" w:space="0" w:color="auto"/>
      </w:divBdr>
    </w:div>
    <w:div w:id="22902151">
      <w:bodyDiv w:val="1"/>
      <w:marLeft w:val="0"/>
      <w:marRight w:val="0"/>
      <w:marTop w:val="0"/>
      <w:marBottom w:val="0"/>
      <w:divBdr>
        <w:top w:val="none" w:sz="0" w:space="0" w:color="auto"/>
        <w:left w:val="none" w:sz="0" w:space="0" w:color="auto"/>
        <w:bottom w:val="none" w:sz="0" w:space="0" w:color="auto"/>
        <w:right w:val="none" w:sz="0" w:space="0" w:color="auto"/>
      </w:divBdr>
    </w:div>
    <w:div w:id="22947482">
      <w:bodyDiv w:val="1"/>
      <w:marLeft w:val="0"/>
      <w:marRight w:val="0"/>
      <w:marTop w:val="0"/>
      <w:marBottom w:val="0"/>
      <w:divBdr>
        <w:top w:val="none" w:sz="0" w:space="0" w:color="auto"/>
        <w:left w:val="none" w:sz="0" w:space="0" w:color="auto"/>
        <w:bottom w:val="none" w:sz="0" w:space="0" w:color="auto"/>
        <w:right w:val="none" w:sz="0" w:space="0" w:color="auto"/>
      </w:divBdr>
    </w:div>
    <w:div w:id="22950122">
      <w:bodyDiv w:val="1"/>
      <w:marLeft w:val="0"/>
      <w:marRight w:val="0"/>
      <w:marTop w:val="0"/>
      <w:marBottom w:val="0"/>
      <w:divBdr>
        <w:top w:val="none" w:sz="0" w:space="0" w:color="auto"/>
        <w:left w:val="none" w:sz="0" w:space="0" w:color="auto"/>
        <w:bottom w:val="none" w:sz="0" w:space="0" w:color="auto"/>
        <w:right w:val="none" w:sz="0" w:space="0" w:color="auto"/>
      </w:divBdr>
    </w:div>
    <w:div w:id="23098765">
      <w:bodyDiv w:val="1"/>
      <w:marLeft w:val="0"/>
      <w:marRight w:val="0"/>
      <w:marTop w:val="0"/>
      <w:marBottom w:val="0"/>
      <w:divBdr>
        <w:top w:val="none" w:sz="0" w:space="0" w:color="auto"/>
        <w:left w:val="none" w:sz="0" w:space="0" w:color="auto"/>
        <w:bottom w:val="none" w:sz="0" w:space="0" w:color="auto"/>
        <w:right w:val="none" w:sz="0" w:space="0" w:color="auto"/>
      </w:divBdr>
    </w:div>
    <w:div w:id="23141208">
      <w:bodyDiv w:val="1"/>
      <w:marLeft w:val="0"/>
      <w:marRight w:val="0"/>
      <w:marTop w:val="0"/>
      <w:marBottom w:val="0"/>
      <w:divBdr>
        <w:top w:val="none" w:sz="0" w:space="0" w:color="auto"/>
        <w:left w:val="none" w:sz="0" w:space="0" w:color="auto"/>
        <w:bottom w:val="none" w:sz="0" w:space="0" w:color="auto"/>
        <w:right w:val="none" w:sz="0" w:space="0" w:color="auto"/>
      </w:divBdr>
    </w:div>
    <w:div w:id="23211599">
      <w:bodyDiv w:val="1"/>
      <w:marLeft w:val="0"/>
      <w:marRight w:val="0"/>
      <w:marTop w:val="0"/>
      <w:marBottom w:val="0"/>
      <w:divBdr>
        <w:top w:val="none" w:sz="0" w:space="0" w:color="auto"/>
        <w:left w:val="none" w:sz="0" w:space="0" w:color="auto"/>
        <w:bottom w:val="none" w:sz="0" w:space="0" w:color="auto"/>
        <w:right w:val="none" w:sz="0" w:space="0" w:color="auto"/>
      </w:divBdr>
    </w:div>
    <w:div w:id="23219012">
      <w:bodyDiv w:val="1"/>
      <w:marLeft w:val="0"/>
      <w:marRight w:val="0"/>
      <w:marTop w:val="0"/>
      <w:marBottom w:val="0"/>
      <w:divBdr>
        <w:top w:val="none" w:sz="0" w:space="0" w:color="auto"/>
        <w:left w:val="none" w:sz="0" w:space="0" w:color="auto"/>
        <w:bottom w:val="none" w:sz="0" w:space="0" w:color="auto"/>
        <w:right w:val="none" w:sz="0" w:space="0" w:color="auto"/>
      </w:divBdr>
    </w:div>
    <w:div w:id="23219431">
      <w:bodyDiv w:val="1"/>
      <w:marLeft w:val="0"/>
      <w:marRight w:val="0"/>
      <w:marTop w:val="0"/>
      <w:marBottom w:val="0"/>
      <w:divBdr>
        <w:top w:val="none" w:sz="0" w:space="0" w:color="auto"/>
        <w:left w:val="none" w:sz="0" w:space="0" w:color="auto"/>
        <w:bottom w:val="none" w:sz="0" w:space="0" w:color="auto"/>
        <w:right w:val="none" w:sz="0" w:space="0" w:color="auto"/>
      </w:divBdr>
    </w:div>
    <w:div w:id="23288743">
      <w:bodyDiv w:val="1"/>
      <w:marLeft w:val="0"/>
      <w:marRight w:val="0"/>
      <w:marTop w:val="0"/>
      <w:marBottom w:val="0"/>
      <w:divBdr>
        <w:top w:val="none" w:sz="0" w:space="0" w:color="auto"/>
        <w:left w:val="none" w:sz="0" w:space="0" w:color="auto"/>
        <w:bottom w:val="none" w:sz="0" w:space="0" w:color="auto"/>
        <w:right w:val="none" w:sz="0" w:space="0" w:color="auto"/>
      </w:divBdr>
    </w:div>
    <w:div w:id="23411099">
      <w:bodyDiv w:val="1"/>
      <w:marLeft w:val="0"/>
      <w:marRight w:val="0"/>
      <w:marTop w:val="0"/>
      <w:marBottom w:val="0"/>
      <w:divBdr>
        <w:top w:val="none" w:sz="0" w:space="0" w:color="auto"/>
        <w:left w:val="none" w:sz="0" w:space="0" w:color="auto"/>
        <w:bottom w:val="none" w:sz="0" w:space="0" w:color="auto"/>
        <w:right w:val="none" w:sz="0" w:space="0" w:color="auto"/>
      </w:divBdr>
    </w:div>
    <w:div w:id="23558076">
      <w:bodyDiv w:val="1"/>
      <w:marLeft w:val="0"/>
      <w:marRight w:val="0"/>
      <w:marTop w:val="0"/>
      <w:marBottom w:val="0"/>
      <w:divBdr>
        <w:top w:val="none" w:sz="0" w:space="0" w:color="auto"/>
        <w:left w:val="none" w:sz="0" w:space="0" w:color="auto"/>
        <w:bottom w:val="none" w:sz="0" w:space="0" w:color="auto"/>
        <w:right w:val="none" w:sz="0" w:space="0" w:color="auto"/>
      </w:divBdr>
    </w:div>
    <w:div w:id="23558590">
      <w:bodyDiv w:val="1"/>
      <w:marLeft w:val="0"/>
      <w:marRight w:val="0"/>
      <w:marTop w:val="0"/>
      <w:marBottom w:val="0"/>
      <w:divBdr>
        <w:top w:val="none" w:sz="0" w:space="0" w:color="auto"/>
        <w:left w:val="none" w:sz="0" w:space="0" w:color="auto"/>
        <w:bottom w:val="none" w:sz="0" w:space="0" w:color="auto"/>
        <w:right w:val="none" w:sz="0" w:space="0" w:color="auto"/>
      </w:divBdr>
    </w:div>
    <w:div w:id="23604323">
      <w:bodyDiv w:val="1"/>
      <w:marLeft w:val="0"/>
      <w:marRight w:val="0"/>
      <w:marTop w:val="0"/>
      <w:marBottom w:val="0"/>
      <w:divBdr>
        <w:top w:val="none" w:sz="0" w:space="0" w:color="auto"/>
        <w:left w:val="none" w:sz="0" w:space="0" w:color="auto"/>
        <w:bottom w:val="none" w:sz="0" w:space="0" w:color="auto"/>
        <w:right w:val="none" w:sz="0" w:space="0" w:color="auto"/>
      </w:divBdr>
    </w:div>
    <w:div w:id="23748938">
      <w:bodyDiv w:val="1"/>
      <w:marLeft w:val="0"/>
      <w:marRight w:val="0"/>
      <w:marTop w:val="0"/>
      <w:marBottom w:val="0"/>
      <w:divBdr>
        <w:top w:val="none" w:sz="0" w:space="0" w:color="auto"/>
        <w:left w:val="none" w:sz="0" w:space="0" w:color="auto"/>
        <w:bottom w:val="none" w:sz="0" w:space="0" w:color="auto"/>
        <w:right w:val="none" w:sz="0" w:space="0" w:color="auto"/>
      </w:divBdr>
    </w:div>
    <w:div w:id="23750824">
      <w:bodyDiv w:val="1"/>
      <w:marLeft w:val="0"/>
      <w:marRight w:val="0"/>
      <w:marTop w:val="0"/>
      <w:marBottom w:val="0"/>
      <w:divBdr>
        <w:top w:val="none" w:sz="0" w:space="0" w:color="auto"/>
        <w:left w:val="none" w:sz="0" w:space="0" w:color="auto"/>
        <w:bottom w:val="none" w:sz="0" w:space="0" w:color="auto"/>
        <w:right w:val="none" w:sz="0" w:space="0" w:color="auto"/>
      </w:divBdr>
    </w:div>
    <w:div w:id="23798336">
      <w:bodyDiv w:val="1"/>
      <w:marLeft w:val="0"/>
      <w:marRight w:val="0"/>
      <w:marTop w:val="0"/>
      <w:marBottom w:val="0"/>
      <w:divBdr>
        <w:top w:val="none" w:sz="0" w:space="0" w:color="auto"/>
        <w:left w:val="none" w:sz="0" w:space="0" w:color="auto"/>
        <w:bottom w:val="none" w:sz="0" w:space="0" w:color="auto"/>
        <w:right w:val="none" w:sz="0" w:space="0" w:color="auto"/>
      </w:divBdr>
    </w:div>
    <w:div w:id="23942544">
      <w:bodyDiv w:val="1"/>
      <w:marLeft w:val="0"/>
      <w:marRight w:val="0"/>
      <w:marTop w:val="0"/>
      <w:marBottom w:val="0"/>
      <w:divBdr>
        <w:top w:val="none" w:sz="0" w:space="0" w:color="auto"/>
        <w:left w:val="none" w:sz="0" w:space="0" w:color="auto"/>
        <w:bottom w:val="none" w:sz="0" w:space="0" w:color="auto"/>
        <w:right w:val="none" w:sz="0" w:space="0" w:color="auto"/>
      </w:divBdr>
    </w:div>
    <w:div w:id="23991949">
      <w:bodyDiv w:val="1"/>
      <w:marLeft w:val="0"/>
      <w:marRight w:val="0"/>
      <w:marTop w:val="0"/>
      <w:marBottom w:val="0"/>
      <w:divBdr>
        <w:top w:val="none" w:sz="0" w:space="0" w:color="auto"/>
        <w:left w:val="none" w:sz="0" w:space="0" w:color="auto"/>
        <w:bottom w:val="none" w:sz="0" w:space="0" w:color="auto"/>
        <w:right w:val="none" w:sz="0" w:space="0" w:color="auto"/>
      </w:divBdr>
    </w:div>
    <w:div w:id="24140594">
      <w:bodyDiv w:val="1"/>
      <w:marLeft w:val="0"/>
      <w:marRight w:val="0"/>
      <w:marTop w:val="0"/>
      <w:marBottom w:val="0"/>
      <w:divBdr>
        <w:top w:val="none" w:sz="0" w:space="0" w:color="auto"/>
        <w:left w:val="none" w:sz="0" w:space="0" w:color="auto"/>
        <w:bottom w:val="none" w:sz="0" w:space="0" w:color="auto"/>
        <w:right w:val="none" w:sz="0" w:space="0" w:color="auto"/>
      </w:divBdr>
    </w:div>
    <w:div w:id="24183624">
      <w:bodyDiv w:val="1"/>
      <w:marLeft w:val="0"/>
      <w:marRight w:val="0"/>
      <w:marTop w:val="0"/>
      <w:marBottom w:val="0"/>
      <w:divBdr>
        <w:top w:val="none" w:sz="0" w:space="0" w:color="auto"/>
        <w:left w:val="none" w:sz="0" w:space="0" w:color="auto"/>
        <w:bottom w:val="none" w:sz="0" w:space="0" w:color="auto"/>
        <w:right w:val="none" w:sz="0" w:space="0" w:color="auto"/>
      </w:divBdr>
    </w:div>
    <w:div w:id="24185612">
      <w:bodyDiv w:val="1"/>
      <w:marLeft w:val="0"/>
      <w:marRight w:val="0"/>
      <w:marTop w:val="0"/>
      <w:marBottom w:val="0"/>
      <w:divBdr>
        <w:top w:val="none" w:sz="0" w:space="0" w:color="auto"/>
        <w:left w:val="none" w:sz="0" w:space="0" w:color="auto"/>
        <w:bottom w:val="none" w:sz="0" w:space="0" w:color="auto"/>
        <w:right w:val="none" w:sz="0" w:space="0" w:color="auto"/>
      </w:divBdr>
    </w:div>
    <w:div w:id="24186139">
      <w:bodyDiv w:val="1"/>
      <w:marLeft w:val="0"/>
      <w:marRight w:val="0"/>
      <w:marTop w:val="0"/>
      <w:marBottom w:val="0"/>
      <w:divBdr>
        <w:top w:val="none" w:sz="0" w:space="0" w:color="auto"/>
        <w:left w:val="none" w:sz="0" w:space="0" w:color="auto"/>
        <w:bottom w:val="none" w:sz="0" w:space="0" w:color="auto"/>
        <w:right w:val="none" w:sz="0" w:space="0" w:color="auto"/>
      </w:divBdr>
    </w:div>
    <w:div w:id="24331359">
      <w:bodyDiv w:val="1"/>
      <w:marLeft w:val="0"/>
      <w:marRight w:val="0"/>
      <w:marTop w:val="0"/>
      <w:marBottom w:val="0"/>
      <w:divBdr>
        <w:top w:val="none" w:sz="0" w:space="0" w:color="auto"/>
        <w:left w:val="none" w:sz="0" w:space="0" w:color="auto"/>
        <w:bottom w:val="none" w:sz="0" w:space="0" w:color="auto"/>
        <w:right w:val="none" w:sz="0" w:space="0" w:color="auto"/>
      </w:divBdr>
    </w:div>
    <w:div w:id="24332407">
      <w:bodyDiv w:val="1"/>
      <w:marLeft w:val="0"/>
      <w:marRight w:val="0"/>
      <w:marTop w:val="0"/>
      <w:marBottom w:val="0"/>
      <w:divBdr>
        <w:top w:val="none" w:sz="0" w:space="0" w:color="auto"/>
        <w:left w:val="none" w:sz="0" w:space="0" w:color="auto"/>
        <w:bottom w:val="none" w:sz="0" w:space="0" w:color="auto"/>
        <w:right w:val="none" w:sz="0" w:space="0" w:color="auto"/>
      </w:divBdr>
    </w:div>
    <w:div w:id="24528035">
      <w:bodyDiv w:val="1"/>
      <w:marLeft w:val="0"/>
      <w:marRight w:val="0"/>
      <w:marTop w:val="0"/>
      <w:marBottom w:val="0"/>
      <w:divBdr>
        <w:top w:val="none" w:sz="0" w:space="0" w:color="auto"/>
        <w:left w:val="none" w:sz="0" w:space="0" w:color="auto"/>
        <w:bottom w:val="none" w:sz="0" w:space="0" w:color="auto"/>
        <w:right w:val="none" w:sz="0" w:space="0" w:color="auto"/>
      </w:divBdr>
    </w:div>
    <w:div w:id="24596578">
      <w:bodyDiv w:val="1"/>
      <w:marLeft w:val="0"/>
      <w:marRight w:val="0"/>
      <w:marTop w:val="0"/>
      <w:marBottom w:val="0"/>
      <w:divBdr>
        <w:top w:val="none" w:sz="0" w:space="0" w:color="auto"/>
        <w:left w:val="none" w:sz="0" w:space="0" w:color="auto"/>
        <w:bottom w:val="none" w:sz="0" w:space="0" w:color="auto"/>
        <w:right w:val="none" w:sz="0" w:space="0" w:color="auto"/>
      </w:divBdr>
    </w:div>
    <w:div w:id="24601309">
      <w:bodyDiv w:val="1"/>
      <w:marLeft w:val="0"/>
      <w:marRight w:val="0"/>
      <w:marTop w:val="0"/>
      <w:marBottom w:val="0"/>
      <w:divBdr>
        <w:top w:val="none" w:sz="0" w:space="0" w:color="auto"/>
        <w:left w:val="none" w:sz="0" w:space="0" w:color="auto"/>
        <w:bottom w:val="none" w:sz="0" w:space="0" w:color="auto"/>
        <w:right w:val="none" w:sz="0" w:space="0" w:color="auto"/>
      </w:divBdr>
    </w:div>
    <w:div w:id="24719082">
      <w:bodyDiv w:val="1"/>
      <w:marLeft w:val="0"/>
      <w:marRight w:val="0"/>
      <w:marTop w:val="0"/>
      <w:marBottom w:val="0"/>
      <w:divBdr>
        <w:top w:val="none" w:sz="0" w:space="0" w:color="auto"/>
        <w:left w:val="none" w:sz="0" w:space="0" w:color="auto"/>
        <w:bottom w:val="none" w:sz="0" w:space="0" w:color="auto"/>
        <w:right w:val="none" w:sz="0" w:space="0" w:color="auto"/>
      </w:divBdr>
    </w:div>
    <w:div w:id="24839100">
      <w:bodyDiv w:val="1"/>
      <w:marLeft w:val="0"/>
      <w:marRight w:val="0"/>
      <w:marTop w:val="0"/>
      <w:marBottom w:val="0"/>
      <w:divBdr>
        <w:top w:val="none" w:sz="0" w:space="0" w:color="auto"/>
        <w:left w:val="none" w:sz="0" w:space="0" w:color="auto"/>
        <w:bottom w:val="none" w:sz="0" w:space="0" w:color="auto"/>
        <w:right w:val="none" w:sz="0" w:space="0" w:color="auto"/>
      </w:divBdr>
    </w:div>
    <w:div w:id="24909807">
      <w:bodyDiv w:val="1"/>
      <w:marLeft w:val="0"/>
      <w:marRight w:val="0"/>
      <w:marTop w:val="0"/>
      <w:marBottom w:val="0"/>
      <w:divBdr>
        <w:top w:val="none" w:sz="0" w:space="0" w:color="auto"/>
        <w:left w:val="none" w:sz="0" w:space="0" w:color="auto"/>
        <w:bottom w:val="none" w:sz="0" w:space="0" w:color="auto"/>
        <w:right w:val="none" w:sz="0" w:space="0" w:color="auto"/>
      </w:divBdr>
    </w:div>
    <w:div w:id="24914493">
      <w:bodyDiv w:val="1"/>
      <w:marLeft w:val="0"/>
      <w:marRight w:val="0"/>
      <w:marTop w:val="0"/>
      <w:marBottom w:val="0"/>
      <w:divBdr>
        <w:top w:val="none" w:sz="0" w:space="0" w:color="auto"/>
        <w:left w:val="none" w:sz="0" w:space="0" w:color="auto"/>
        <w:bottom w:val="none" w:sz="0" w:space="0" w:color="auto"/>
        <w:right w:val="none" w:sz="0" w:space="0" w:color="auto"/>
      </w:divBdr>
    </w:div>
    <w:div w:id="25101278">
      <w:bodyDiv w:val="1"/>
      <w:marLeft w:val="0"/>
      <w:marRight w:val="0"/>
      <w:marTop w:val="0"/>
      <w:marBottom w:val="0"/>
      <w:divBdr>
        <w:top w:val="none" w:sz="0" w:space="0" w:color="auto"/>
        <w:left w:val="none" w:sz="0" w:space="0" w:color="auto"/>
        <w:bottom w:val="none" w:sz="0" w:space="0" w:color="auto"/>
        <w:right w:val="none" w:sz="0" w:space="0" w:color="auto"/>
      </w:divBdr>
    </w:div>
    <w:div w:id="25102766">
      <w:bodyDiv w:val="1"/>
      <w:marLeft w:val="0"/>
      <w:marRight w:val="0"/>
      <w:marTop w:val="0"/>
      <w:marBottom w:val="0"/>
      <w:divBdr>
        <w:top w:val="none" w:sz="0" w:space="0" w:color="auto"/>
        <w:left w:val="none" w:sz="0" w:space="0" w:color="auto"/>
        <w:bottom w:val="none" w:sz="0" w:space="0" w:color="auto"/>
        <w:right w:val="none" w:sz="0" w:space="0" w:color="auto"/>
      </w:divBdr>
    </w:div>
    <w:div w:id="25182786">
      <w:bodyDiv w:val="1"/>
      <w:marLeft w:val="0"/>
      <w:marRight w:val="0"/>
      <w:marTop w:val="0"/>
      <w:marBottom w:val="0"/>
      <w:divBdr>
        <w:top w:val="none" w:sz="0" w:space="0" w:color="auto"/>
        <w:left w:val="none" w:sz="0" w:space="0" w:color="auto"/>
        <w:bottom w:val="none" w:sz="0" w:space="0" w:color="auto"/>
        <w:right w:val="none" w:sz="0" w:space="0" w:color="auto"/>
      </w:divBdr>
    </w:div>
    <w:div w:id="25255613">
      <w:bodyDiv w:val="1"/>
      <w:marLeft w:val="0"/>
      <w:marRight w:val="0"/>
      <w:marTop w:val="0"/>
      <w:marBottom w:val="0"/>
      <w:divBdr>
        <w:top w:val="none" w:sz="0" w:space="0" w:color="auto"/>
        <w:left w:val="none" w:sz="0" w:space="0" w:color="auto"/>
        <w:bottom w:val="none" w:sz="0" w:space="0" w:color="auto"/>
        <w:right w:val="none" w:sz="0" w:space="0" w:color="auto"/>
      </w:divBdr>
    </w:div>
    <w:div w:id="25258778">
      <w:bodyDiv w:val="1"/>
      <w:marLeft w:val="0"/>
      <w:marRight w:val="0"/>
      <w:marTop w:val="0"/>
      <w:marBottom w:val="0"/>
      <w:divBdr>
        <w:top w:val="none" w:sz="0" w:space="0" w:color="auto"/>
        <w:left w:val="none" w:sz="0" w:space="0" w:color="auto"/>
        <w:bottom w:val="none" w:sz="0" w:space="0" w:color="auto"/>
        <w:right w:val="none" w:sz="0" w:space="0" w:color="auto"/>
      </w:divBdr>
    </w:div>
    <w:div w:id="25297425">
      <w:bodyDiv w:val="1"/>
      <w:marLeft w:val="0"/>
      <w:marRight w:val="0"/>
      <w:marTop w:val="0"/>
      <w:marBottom w:val="0"/>
      <w:divBdr>
        <w:top w:val="none" w:sz="0" w:space="0" w:color="auto"/>
        <w:left w:val="none" w:sz="0" w:space="0" w:color="auto"/>
        <w:bottom w:val="none" w:sz="0" w:space="0" w:color="auto"/>
        <w:right w:val="none" w:sz="0" w:space="0" w:color="auto"/>
      </w:divBdr>
    </w:div>
    <w:div w:id="25446141">
      <w:bodyDiv w:val="1"/>
      <w:marLeft w:val="0"/>
      <w:marRight w:val="0"/>
      <w:marTop w:val="0"/>
      <w:marBottom w:val="0"/>
      <w:divBdr>
        <w:top w:val="none" w:sz="0" w:space="0" w:color="auto"/>
        <w:left w:val="none" w:sz="0" w:space="0" w:color="auto"/>
        <w:bottom w:val="none" w:sz="0" w:space="0" w:color="auto"/>
        <w:right w:val="none" w:sz="0" w:space="0" w:color="auto"/>
      </w:divBdr>
    </w:div>
    <w:div w:id="25521289">
      <w:bodyDiv w:val="1"/>
      <w:marLeft w:val="0"/>
      <w:marRight w:val="0"/>
      <w:marTop w:val="0"/>
      <w:marBottom w:val="0"/>
      <w:divBdr>
        <w:top w:val="none" w:sz="0" w:space="0" w:color="auto"/>
        <w:left w:val="none" w:sz="0" w:space="0" w:color="auto"/>
        <w:bottom w:val="none" w:sz="0" w:space="0" w:color="auto"/>
        <w:right w:val="none" w:sz="0" w:space="0" w:color="auto"/>
      </w:divBdr>
    </w:div>
    <w:div w:id="25524220">
      <w:bodyDiv w:val="1"/>
      <w:marLeft w:val="0"/>
      <w:marRight w:val="0"/>
      <w:marTop w:val="0"/>
      <w:marBottom w:val="0"/>
      <w:divBdr>
        <w:top w:val="none" w:sz="0" w:space="0" w:color="auto"/>
        <w:left w:val="none" w:sz="0" w:space="0" w:color="auto"/>
        <w:bottom w:val="none" w:sz="0" w:space="0" w:color="auto"/>
        <w:right w:val="none" w:sz="0" w:space="0" w:color="auto"/>
      </w:divBdr>
    </w:div>
    <w:div w:id="25525720">
      <w:bodyDiv w:val="1"/>
      <w:marLeft w:val="0"/>
      <w:marRight w:val="0"/>
      <w:marTop w:val="0"/>
      <w:marBottom w:val="0"/>
      <w:divBdr>
        <w:top w:val="none" w:sz="0" w:space="0" w:color="auto"/>
        <w:left w:val="none" w:sz="0" w:space="0" w:color="auto"/>
        <w:bottom w:val="none" w:sz="0" w:space="0" w:color="auto"/>
        <w:right w:val="none" w:sz="0" w:space="0" w:color="auto"/>
      </w:divBdr>
    </w:div>
    <w:div w:id="25717538">
      <w:bodyDiv w:val="1"/>
      <w:marLeft w:val="0"/>
      <w:marRight w:val="0"/>
      <w:marTop w:val="0"/>
      <w:marBottom w:val="0"/>
      <w:divBdr>
        <w:top w:val="none" w:sz="0" w:space="0" w:color="auto"/>
        <w:left w:val="none" w:sz="0" w:space="0" w:color="auto"/>
        <w:bottom w:val="none" w:sz="0" w:space="0" w:color="auto"/>
        <w:right w:val="none" w:sz="0" w:space="0" w:color="auto"/>
      </w:divBdr>
    </w:div>
    <w:div w:id="25984898">
      <w:bodyDiv w:val="1"/>
      <w:marLeft w:val="0"/>
      <w:marRight w:val="0"/>
      <w:marTop w:val="0"/>
      <w:marBottom w:val="0"/>
      <w:divBdr>
        <w:top w:val="none" w:sz="0" w:space="0" w:color="auto"/>
        <w:left w:val="none" w:sz="0" w:space="0" w:color="auto"/>
        <w:bottom w:val="none" w:sz="0" w:space="0" w:color="auto"/>
        <w:right w:val="none" w:sz="0" w:space="0" w:color="auto"/>
      </w:divBdr>
    </w:div>
    <w:div w:id="26031047">
      <w:bodyDiv w:val="1"/>
      <w:marLeft w:val="0"/>
      <w:marRight w:val="0"/>
      <w:marTop w:val="0"/>
      <w:marBottom w:val="0"/>
      <w:divBdr>
        <w:top w:val="none" w:sz="0" w:space="0" w:color="auto"/>
        <w:left w:val="none" w:sz="0" w:space="0" w:color="auto"/>
        <w:bottom w:val="none" w:sz="0" w:space="0" w:color="auto"/>
        <w:right w:val="none" w:sz="0" w:space="0" w:color="auto"/>
      </w:divBdr>
    </w:div>
    <w:div w:id="26032620">
      <w:bodyDiv w:val="1"/>
      <w:marLeft w:val="0"/>
      <w:marRight w:val="0"/>
      <w:marTop w:val="0"/>
      <w:marBottom w:val="0"/>
      <w:divBdr>
        <w:top w:val="none" w:sz="0" w:space="0" w:color="auto"/>
        <w:left w:val="none" w:sz="0" w:space="0" w:color="auto"/>
        <w:bottom w:val="none" w:sz="0" w:space="0" w:color="auto"/>
        <w:right w:val="none" w:sz="0" w:space="0" w:color="auto"/>
      </w:divBdr>
    </w:div>
    <w:div w:id="26032881">
      <w:bodyDiv w:val="1"/>
      <w:marLeft w:val="0"/>
      <w:marRight w:val="0"/>
      <w:marTop w:val="0"/>
      <w:marBottom w:val="0"/>
      <w:divBdr>
        <w:top w:val="none" w:sz="0" w:space="0" w:color="auto"/>
        <w:left w:val="none" w:sz="0" w:space="0" w:color="auto"/>
        <w:bottom w:val="none" w:sz="0" w:space="0" w:color="auto"/>
        <w:right w:val="none" w:sz="0" w:space="0" w:color="auto"/>
      </w:divBdr>
    </w:div>
    <w:div w:id="26101607">
      <w:bodyDiv w:val="1"/>
      <w:marLeft w:val="0"/>
      <w:marRight w:val="0"/>
      <w:marTop w:val="0"/>
      <w:marBottom w:val="0"/>
      <w:divBdr>
        <w:top w:val="none" w:sz="0" w:space="0" w:color="auto"/>
        <w:left w:val="none" w:sz="0" w:space="0" w:color="auto"/>
        <w:bottom w:val="none" w:sz="0" w:space="0" w:color="auto"/>
        <w:right w:val="none" w:sz="0" w:space="0" w:color="auto"/>
      </w:divBdr>
    </w:div>
    <w:div w:id="26151172">
      <w:bodyDiv w:val="1"/>
      <w:marLeft w:val="0"/>
      <w:marRight w:val="0"/>
      <w:marTop w:val="0"/>
      <w:marBottom w:val="0"/>
      <w:divBdr>
        <w:top w:val="none" w:sz="0" w:space="0" w:color="auto"/>
        <w:left w:val="none" w:sz="0" w:space="0" w:color="auto"/>
        <w:bottom w:val="none" w:sz="0" w:space="0" w:color="auto"/>
        <w:right w:val="none" w:sz="0" w:space="0" w:color="auto"/>
      </w:divBdr>
    </w:div>
    <w:div w:id="26218615">
      <w:bodyDiv w:val="1"/>
      <w:marLeft w:val="0"/>
      <w:marRight w:val="0"/>
      <w:marTop w:val="0"/>
      <w:marBottom w:val="0"/>
      <w:divBdr>
        <w:top w:val="none" w:sz="0" w:space="0" w:color="auto"/>
        <w:left w:val="none" w:sz="0" w:space="0" w:color="auto"/>
        <w:bottom w:val="none" w:sz="0" w:space="0" w:color="auto"/>
        <w:right w:val="none" w:sz="0" w:space="0" w:color="auto"/>
      </w:divBdr>
    </w:div>
    <w:div w:id="26225698">
      <w:bodyDiv w:val="1"/>
      <w:marLeft w:val="0"/>
      <w:marRight w:val="0"/>
      <w:marTop w:val="0"/>
      <w:marBottom w:val="0"/>
      <w:divBdr>
        <w:top w:val="none" w:sz="0" w:space="0" w:color="auto"/>
        <w:left w:val="none" w:sz="0" w:space="0" w:color="auto"/>
        <w:bottom w:val="none" w:sz="0" w:space="0" w:color="auto"/>
        <w:right w:val="none" w:sz="0" w:space="0" w:color="auto"/>
      </w:divBdr>
    </w:div>
    <w:div w:id="26412201">
      <w:bodyDiv w:val="1"/>
      <w:marLeft w:val="0"/>
      <w:marRight w:val="0"/>
      <w:marTop w:val="0"/>
      <w:marBottom w:val="0"/>
      <w:divBdr>
        <w:top w:val="none" w:sz="0" w:space="0" w:color="auto"/>
        <w:left w:val="none" w:sz="0" w:space="0" w:color="auto"/>
        <w:bottom w:val="none" w:sz="0" w:space="0" w:color="auto"/>
        <w:right w:val="none" w:sz="0" w:space="0" w:color="auto"/>
      </w:divBdr>
    </w:div>
    <w:div w:id="26415332">
      <w:bodyDiv w:val="1"/>
      <w:marLeft w:val="0"/>
      <w:marRight w:val="0"/>
      <w:marTop w:val="0"/>
      <w:marBottom w:val="0"/>
      <w:divBdr>
        <w:top w:val="none" w:sz="0" w:space="0" w:color="auto"/>
        <w:left w:val="none" w:sz="0" w:space="0" w:color="auto"/>
        <w:bottom w:val="none" w:sz="0" w:space="0" w:color="auto"/>
        <w:right w:val="none" w:sz="0" w:space="0" w:color="auto"/>
      </w:divBdr>
    </w:div>
    <w:div w:id="26495804">
      <w:bodyDiv w:val="1"/>
      <w:marLeft w:val="0"/>
      <w:marRight w:val="0"/>
      <w:marTop w:val="0"/>
      <w:marBottom w:val="0"/>
      <w:divBdr>
        <w:top w:val="none" w:sz="0" w:space="0" w:color="auto"/>
        <w:left w:val="none" w:sz="0" w:space="0" w:color="auto"/>
        <w:bottom w:val="none" w:sz="0" w:space="0" w:color="auto"/>
        <w:right w:val="none" w:sz="0" w:space="0" w:color="auto"/>
      </w:divBdr>
    </w:div>
    <w:div w:id="26563839">
      <w:bodyDiv w:val="1"/>
      <w:marLeft w:val="0"/>
      <w:marRight w:val="0"/>
      <w:marTop w:val="0"/>
      <w:marBottom w:val="0"/>
      <w:divBdr>
        <w:top w:val="none" w:sz="0" w:space="0" w:color="auto"/>
        <w:left w:val="none" w:sz="0" w:space="0" w:color="auto"/>
        <w:bottom w:val="none" w:sz="0" w:space="0" w:color="auto"/>
        <w:right w:val="none" w:sz="0" w:space="0" w:color="auto"/>
      </w:divBdr>
    </w:div>
    <w:div w:id="26763936">
      <w:bodyDiv w:val="1"/>
      <w:marLeft w:val="0"/>
      <w:marRight w:val="0"/>
      <w:marTop w:val="0"/>
      <w:marBottom w:val="0"/>
      <w:divBdr>
        <w:top w:val="none" w:sz="0" w:space="0" w:color="auto"/>
        <w:left w:val="none" w:sz="0" w:space="0" w:color="auto"/>
        <w:bottom w:val="none" w:sz="0" w:space="0" w:color="auto"/>
        <w:right w:val="none" w:sz="0" w:space="0" w:color="auto"/>
      </w:divBdr>
    </w:div>
    <w:div w:id="26874308">
      <w:bodyDiv w:val="1"/>
      <w:marLeft w:val="0"/>
      <w:marRight w:val="0"/>
      <w:marTop w:val="0"/>
      <w:marBottom w:val="0"/>
      <w:divBdr>
        <w:top w:val="none" w:sz="0" w:space="0" w:color="auto"/>
        <w:left w:val="none" w:sz="0" w:space="0" w:color="auto"/>
        <w:bottom w:val="none" w:sz="0" w:space="0" w:color="auto"/>
        <w:right w:val="none" w:sz="0" w:space="0" w:color="auto"/>
      </w:divBdr>
    </w:div>
    <w:div w:id="26949242">
      <w:bodyDiv w:val="1"/>
      <w:marLeft w:val="0"/>
      <w:marRight w:val="0"/>
      <w:marTop w:val="0"/>
      <w:marBottom w:val="0"/>
      <w:divBdr>
        <w:top w:val="none" w:sz="0" w:space="0" w:color="auto"/>
        <w:left w:val="none" w:sz="0" w:space="0" w:color="auto"/>
        <w:bottom w:val="none" w:sz="0" w:space="0" w:color="auto"/>
        <w:right w:val="none" w:sz="0" w:space="0" w:color="auto"/>
      </w:divBdr>
    </w:div>
    <w:div w:id="26952570">
      <w:bodyDiv w:val="1"/>
      <w:marLeft w:val="0"/>
      <w:marRight w:val="0"/>
      <w:marTop w:val="0"/>
      <w:marBottom w:val="0"/>
      <w:divBdr>
        <w:top w:val="none" w:sz="0" w:space="0" w:color="auto"/>
        <w:left w:val="none" w:sz="0" w:space="0" w:color="auto"/>
        <w:bottom w:val="none" w:sz="0" w:space="0" w:color="auto"/>
        <w:right w:val="none" w:sz="0" w:space="0" w:color="auto"/>
      </w:divBdr>
    </w:div>
    <w:div w:id="27072103">
      <w:bodyDiv w:val="1"/>
      <w:marLeft w:val="0"/>
      <w:marRight w:val="0"/>
      <w:marTop w:val="0"/>
      <w:marBottom w:val="0"/>
      <w:divBdr>
        <w:top w:val="none" w:sz="0" w:space="0" w:color="auto"/>
        <w:left w:val="none" w:sz="0" w:space="0" w:color="auto"/>
        <w:bottom w:val="none" w:sz="0" w:space="0" w:color="auto"/>
        <w:right w:val="none" w:sz="0" w:space="0" w:color="auto"/>
      </w:divBdr>
    </w:div>
    <w:div w:id="27145230">
      <w:bodyDiv w:val="1"/>
      <w:marLeft w:val="0"/>
      <w:marRight w:val="0"/>
      <w:marTop w:val="0"/>
      <w:marBottom w:val="0"/>
      <w:divBdr>
        <w:top w:val="none" w:sz="0" w:space="0" w:color="auto"/>
        <w:left w:val="none" w:sz="0" w:space="0" w:color="auto"/>
        <w:bottom w:val="none" w:sz="0" w:space="0" w:color="auto"/>
        <w:right w:val="none" w:sz="0" w:space="0" w:color="auto"/>
      </w:divBdr>
    </w:div>
    <w:div w:id="27226094">
      <w:bodyDiv w:val="1"/>
      <w:marLeft w:val="0"/>
      <w:marRight w:val="0"/>
      <w:marTop w:val="0"/>
      <w:marBottom w:val="0"/>
      <w:divBdr>
        <w:top w:val="none" w:sz="0" w:space="0" w:color="auto"/>
        <w:left w:val="none" w:sz="0" w:space="0" w:color="auto"/>
        <w:bottom w:val="none" w:sz="0" w:space="0" w:color="auto"/>
        <w:right w:val="none" w:sz="0" w:space="0" w:color="auto"/>
      </w:divBdr>
    </w:div>
    <w:div w:id="27263037">
      <w:bodyDiv w:val="1"/>
      <w:marLeft w:val="0"/>
      <w:marRight w:val="0"/>
      <w:marTop w:val="0"/>
      <w:marBottom w:val="0"/>
      <w:divBdr>
        <w:top w:val="none" w:sz="0" w:space="0" w:color="auto"/>
        <w:left w:val="none" w:sz="0" w:space="0" w:color="auto"/>
        <w:bottom w:val="none" w:sz="0" w:space="0" w:color="auto"/>
        <w:right w:val="none" w:sz="0" w:space="0" w:color="auto"/>
      </w:divBdr>
    </w:div>
    <w:div w:id="27264894">
      <w:bodyDiv w:val="1"/>
      <w:marLeft w:val="0"/>
      <w:marRight w:val="0"/>
      <w:marTop w:val="0"/>
      <w:marBottom w:val="0"/>
      <w:divBdr>
        <w:top w:val="none" w:sz="0" w:space="0" w:color="auto"/>
        <w:left w:val="none" w:sz="0" w:space="0" w:color="auto"/>
        <w:bottom w:val="none" w:sz="0" w:space="0" w:color="auto"/>
        <w:right w:val="none" w:sz="0" w:space="0" w:color="auto"/>
      </w:divBdr>
    </w:div>
    <w:div w:id="27413419">
      <w:bodyDiv w:val="1"/>
      <w:marLeft w:val="0"/>
      <w:marRight w:val="0"/>
      <w:marTop w:val="0"/>
      <w:marBottom w:val="0"/>
      <w:divBdr>
        <w:top w:val="none" w:sz="0" w:space="0" w:color="auto"/>
        <w:left w:val="none" w:sz="0" w:space="0" w:color="auto"/>
        <w:bottom w:val="none" w:sz="0" w:space="0" w:color="auto"/>
        <w:right w:val="none" w:sz="0" w:space="0" w:color="auto"/>
      </w:divBdr>
    </w:div>
    <w:div w:id="27488209">
      <w:bodyDiv w:val="1"/>
      <w:marLeft w:val="0"/>
      <w:marRight w:val="0"/>
      <w:marTop w:val="0"/>
      <w:marBottom w:val="0"/>
      <w:divBdr>
        <w:top w:val="none" w:sz="0" w:space="0" w:color="auto"/>
        <w:left w:val="none" w:sz="0" w:space="0" w:color="auto"/>
        <w:bottom w:val="none" w:sz="0" w:space="0" w:color="auto"/>
        <w:right w:val="none" w:sz="0" w:space="0" w:color="auto"/>
      </w:divBdr>
    </w:div>
    <w:div w:id="27490126">
      <w:bodyDiv w:val="1"/>
      <w:marLeft w:val="0"/>
      <w:marRight w:val="0"/>
      <w:marTop w:val="0"/>
      <w:marBottom w:val="0"/>
      <w:divBdr>
        <w:top w:val="none" w:sz="0" w:space="0" w:color="auto"/>
        <w:left w:val="none" w:sz="0" w:space="0" w:color="auto"/>
        <w:bottom w:val="none" w:sz="0" w:space="0" w:color="auto"/>
        <w:right w:val="none" w:sz="0" w:space="0" w:color="auto"/>
      </w:divBdr>
    </w:div>
    <w:div w:id="27491234">
      <w:bodyDiv w:val="1"/>
      <w:marLeft w:val="0"/>
      <w:marRight w:val="0"/>
      <w:marTop w:val="0"/>
      <w:marBottom w:val="0"/>
      <w:divBdr>
        <w:top w:val="none" w:sz="0" w:space="0" w:color="auto"/>
        <w:left w:val="none" w:sz="0" w:space="0" w:color="auto"/>
        <w:bottom w:val="none" w:sz="0" w:space="0" w:color="auto"/>
        <w:right w:val="none" w:sz="0" w:space="0" w:color="auto"/>
      </w:divBdr>
    </w:div>
    <w:div w:id="27535793">
      <w:bodyDiv w:val="1"/>
      <w:marLeft w:val="0"/>
      <w:marRight w:val="0"/>
      <w:marTop w:val="0"/>
      <w:marBottom w:val="0"/>
      <w:divBdr>
        <w:top w:val="none" w:sz="0" w:space="0" w:color="auto"/>
        <w:left w:val="none" w:sz="0" w:space="0" w:color="auto"/>
        <w:bottom w:val="none" w:sz="0" w:space="0" w:color="auto"/>
        <w:right w:val="none" w:sz="0" w:space="0" w:color="auto"/>
      </w:divBdr>
    </w:div>
    <w:div w:id="27800675">
      <w:bodyDiv w:val="1"/>
      <w:marLeft w:val="0"/>
      <w:marRight w:val="0"/>
      <w:marTop w:val="0"/>
      <w:marBottom w:val="0"/>
      <w:divBdr>
        <w:top w:val="none" w:sz="0" w:space="0" w:color="auto"/>
        <w:left w:val="none" w:sz="0" w:space="0" w:color="auto"/>
        <w:bottom w:val="none" w:sz="0" w:space="0" w:color="auto"/>
        <w:right w:val="none" w:sz="0" w:space="0" w:color="auto"/>
      </w:divBdr>
    </w:div>
    <w:div w:id="27948544">
      <w:bodyDiv w:val="1"/>
      <w:marLeft w:val="0"/>
      <w:marRight w:val="0"/>
      <w:marTop w:val="0"/>
      <w:marBottom w:val="0"/>
      <w:divBdr>
        <w:top w:val="none" w:sz="0" w:space="0" w:color="auto"/>
        <w:left w:val="none" w:sz="0" w:space="0" w:color="auto"/>
        <w:bottom w:val="none" w:sz="0" w:space="0" w:color="auto"/>
        <w:right w:val="none" w:sz="0" w:space="0" w:color="auto"/>
      </w:divBdr>
    </w:div>
    <w:div w:id="27948590">
      <w:bodyDiv w:val="1"/>
      <w:marLeft w:val="0"/>
      <w:marRight w:val="0"/>
      <w:marTop w:val="0"/>
      <w:marBottom w:val="0"/>
      <w:divBdr>
        <w:top w:val="none" w:sz="0" w:space="0" w:color="auto"/>
        <w:left w:val="none" w:sz="0" w:space="0" w:color="auto"/>
        <w:bottom w:val="none" w:sz="0" w:space="0" w:color="auto"/>
        <w:right w:val="none" w:sz="0" w:space="0" w:color="auto"/>
      </w:divBdr>
    </w:div>
    <w:div w:id="27949962">
      <w:bodyDiv w:val="1"/>
      <w:marLeft w:val="0"/>
      <w:marRight w:val="0"/>
      <w:marTop w:val="0"/>
      <w:marBottom w:val="0"/>
      <w:divBdr>
        <w:top w:val="none" w:sz="0" w:space="0" w:color="auto"/>
        <w:left w:val="none" w:sz="0" w:space="0" w:color="auto"/>
        <w:bottom w:val="none" w:sz="0" w:space="0" w:color="auto"/>
        <w:right w:val="none" w:sz="0" w:space="0" w:color="auto"/>
      </w:divBdr>
    </w:div>
    <w:div w:id="28066755">
      <w:bodyDiv w:val="1"/>
      <w:marLeft w:val="0"/>
      <w:marRight w:val="0"/>
      <w:marTop w:val="0"/>
      <w:marBottom w:val="0"/>
      <w:divBdr>
        <w:top w:val="none" w:sz="0" w:space="0" w:color="auto"/>
        <w:left w:val="none" w:sz="0" w:space="0" w:color="auto"/>
        <w:bottom w:val="none" w:sz="0" w:space="0" w:color="auto"/>
        <w:right w:val="none" w:sz="0" w:space="0" w:color="auto"/>
      </w:divBdr>
    </w:div>
    <w:div w:id="28259977">
      <w:bodyDiv w:val="1"/>
      <w:marLeft w:val="0"/>
      <w:marRight w:val="0"/>
      <w:marTop w:val="0"/>
      <w:marBottom w:val="0"/>
      <w:divBdr>
        <w:top w:val="none" w:sz="0" w:space="0" w:color="auto"/>
        <w:left w:val="none" w:sz="0" w:space="0" w:color="auto"/>
        <w:bottom w:val="none" w:sz="0" w:space="0" w:color="auto"/>
        <w:right w:val="none" w:sz="0" w:space="0" w:color="auto"/>
      </w:divBdr>
    </w:div>
    <w:div w:id="28452747">
      <w:bodyDiv w:val="1"/>
      <w:marLeft w:val="0"/>
      <w:marRight w:val="0"/>
      <w:marTop w:val="0"/>
      <w:marBottom w:val="0"/>
      <w:divBdr>
        <w:top w:val="none" w:sz="0" w:space="0" w:color="auto"/>
        <w:left w:val="none" w:sz="0" w:space="0" w:color="auto"/>
        <w:bottom w:val="none" w:sz="0" w:space="0" w:color="auto"/>
        <w:right w:val="none" w:sz="0" w:space="0" w:color="auto"/>
      </w:divBdr>
    </w:div>
    <w:div w:id="28579340">
      <w:bodyDiv w:val="1"/>
      <w:marLeft w:val="0"/>
      <w:marRight w:val="0"/>
      <w:marTop w:val="0"/>
      <w:marBottom w:val="0"/>
      <w:divBdr>
        <w:top w:val="none" w:sz="0" w:space="0" w:color="auto"/>
        <w:left w:val="none" w:sz="0" w:space="0" w:color="auto"/>
        <w:bottom w:val="none" w:sz="0" w:space="0" w:color="auto"/>
        <w:right w:val="none" w:sz="0" w:space="0" w:color="auto"/>
      </w:divBdr>
    </w:div>
    <w:div w:id="28722283">
      <w:bodyDiv w:val="1"/>
      <w:marLeft w:val="0"/>
      <w:marRight w:val="0"/>
      <w:marTop w:val="0"/>
      <w:marBottom w:val="0"/>
      <w:divBdr>
        <w:top w:val="none" w:sz="0" w:space="0" w:color="auto"/>
        <w:left w:val="none" w:sz="0" w:space="0" w:color="auto"/>
        <w:bottom w:val="none" w:sz="0" w:space="0" w:color="auto"/>
        <w:right w:val="none" w:sz="0" w:space="0" w:color="auto"/>
      </w:divBdr>
    </w:div>
    <w:div w:id="28725922">
      <w:bodyDiv w:val="1"/>
      <w:marLeft w:val="0"/>
      <w:marRight w:val="0"/>
      <w:marTop w:val="0"/>
      <w:marBottom w:val="0"/>
      <w:divBdr>
        <w:top w:val="none" w:sz="0" w:space="0" w:color="auto"/>
        <w:left w:val="none" w:sz="0" w:space="0" w:color="auto"/>
        <w:bottom w:val="none" w:sz="0" w:space="0" w:color="auto"/>
        <w:right w:val="none" w:sz="0" w:space="0" w:color="auto"/>
      </w:divBdr>
    </w:div>
    <w:div w:id="28772696">
      <w:bodyDiv w:val="1"/>
      <w:marLeft w:val="0"/>
      <w:marRight w:val="0"/>
      <w:marTop w:val="0"/>
      <w:marBottom w:val="0"/>
      <w:divBdr>
        <w:top w:val="none" w:sz="0" w:space="0" w:color="auto"/>
        <w:left w:val="none" w:sz="0" w:space="0" w:color="auto"/>
        <w:bottom w:val="none" w:sz="0" w:space="0" w:color="auto"/>
        <w:right w:val="none" w:sz="0" w:space="0" w:color="auto"/>
      </w:divBdr>
    </w:div>
    <w:div w:id="28841155">
      <w:bodyDiv w:val="1"/>
      <w:marLeft w:val="0"/>
      <w:marRight w:val="0"/>
      <w:marTop w:val="0"/>
      <w:marBottom w:val="0"/>
      <w:divBdr>
        <w:top w:val="none" w:sz="0" w:space="0" w:color="auto"/>
        <w:left w:val="none" w:sz="0" w:space="0" w:color="auto"/>
        <w:bottom w:val="none" w:sz="0" w:space="0" w:color="auto"/>
        <w:right w:val="none" w:sz="0" w:space="0" w:color="auto"/>
      </w:divBdr>
    </w:div>
    <w:div w:id="28991688">
      <w:bodyDiv w:val="1"/>
      <w:marLeft w:val="0"/>
      <w:marRight w:val="0"/>
      <w:marTop w:val="0"/>
      <w:marBottom w:val="0"/>
      <w:divBdr>
        <w:top w:val="none" w:sz="0" w:space="0" w:color="auto"/>
        <w:left w:val="none" w:sz="0" w:space="0" w:color="auto"/>
        <w:bottom w:val="none" w:sz="0" w:space="0" w:color="auto"/>
        <w:right w:val="none" w:sz="0" w:space="0" w:color="auto"/>
      </w:divBdr>
    </w:div>
    <w:div w:id="29034939">
      <w:bodyDiv w:val="1"/>
      <w:marLeft w:val="0"/>
      <w:marRight w:val="0"/>
      <w:marTop w:val="0"/>
      <w:marBottom w:val="0"/>
      <w:divBdr>
        <w:top w:val="none" w:sz="0" w:space="0" w:color="auto"/>
        <w:left w:val="none" w:sz="0" w:space="0" w:color="auto"/>
        <w:bottom w:val="none" w:sz="0" w:space="0" w:color="auto"/>
        <w:right w:val="none" w:sz="0" w:space="0" w:color="auto"/>
      </w:divBdr>
    </w:div>
    <w:div w:id="29039826">
      <w:bodyDiv w:val="1"/>
      <w:marLeft w:val="0"/>
      <w:marRight w:val="0"/>
      <w:marTop w:val="0"/>
      <w:marBottom w:val="0"/>
      <w:divBdr>
        <w:top w:val="none" w:sz="0" w:space="0" w:color="auto"/>
        <w:left w:val="none" w:sz="0" w:space="0" w:color="auto"/>
        <w:bottom w:val="none" w:sz="0" w:space="0" w:color="auto"/>
        <w:right w:val="none" w:sz="0" w:space="0" w:color="auto"/>
      </w:divBdr>
    </w:div>
    <w:div w:id="29112663">
      <w:bodyDiv w:val="1"/>
      <w:marLeft w:val="0"/>
      <w:marRight w:val="0"/>
      <w:marTop w:val="0"/>
      <w:marBottom w:val="0"/>
      <w:divBdr>
        <w:top w:val="none" w:sz="0" w:space="0" w:color="auto"/>
        <w:left w:val="none" w:sz="0" w:space="0" w:color="auto"/>
        <w:bottom w:val="none" w:sz="0" w:space="0" w:color="auto"/>
        <w:right w:val="none" w:sz="0" w:space="0" w:color="auto"/>
      </w:divBdr>
    </w:div>
    <w:div w:id="29114288">
      <w:bodyDiv w:val="1"/>
      <w:marLeft w:val="0"/>
      <w:marRight w:val="0"/>
      <w:marTop w:val="0"/>
      <w:marBottom w:val="0"/>
      <w:divBdr>
        <w:top w:val="none" w:sz="0" w:space="0" w:color="auto"/>
        <w:left w:val="none" w:sz="0" w:space="0" w:color="auto"/>
        <w:bottom w:val="none" w:sz="0" w:space="0" w:color="auto"/>
        <w:right w:val="none" w:sz="0" w:space="0" w:color="auto"/>
      </w:divBdr>
    </w:div>
    <w:div w:id="29116823">
      <w:bodyDiv w:val="1"/>
      <w:marLeft w:val="0"/>
      <w:marRight w:val="0"/>
      <w:marTop w:val="0"/>
      <w:marBottom w:val="0"/>
      <w:divBdr>
        <w:top w:val="none" w:sz="0" w:space="0" w:color="auto"/>
        <w:left w:val="none" w:sz="0" w:space="0" w:color="auto"/>
        <w:bottom w:val="none" w:sz="0" w:space="0" w:color="auto"/>
        <w:right w:val="none" w:sz="0" w:space="0" w:color="auto"/>
      </w:divBdr>
    </w:div>
    <w:div w:id="29186826">
      <w:bodyDiv w:val="1"/>
      <w:marLeft w:val="0"/>
      <w:marRight w:val="0"/>
      <w:marTop w:val="0"/>
      <w:marBottom w:val="0"/>
      <w:divBdr>
        <w:top w:val="none" w:sz="0" w:space="0" w:color="auto"/>
        <w:left w:val="none" w:sz="0" w:space="0" w:color="auto"/>
        <w:bottom w:val="none" w:sz="0" w:space="0" w:color="auto"/>
        <w:right w:val="none" w:sz="0" w:space="0" w:color="auto"/>
      </w:divBdr>
    </w:div>
    <w:div w:id="29307116">
      <w:bodyDiv w:val="1"/>
      <w:marLeft w:val="0"/>
      <w:marRight w:val="0"/>
      <w:marTop w:val="0"/>
      <w:marBottom w:val="0"/>
      <w:divBdr>
        <w:top w:val="none" w:sz="0" w:space="0" w:color="auto"/>
        <w:left w:val="none" w:sz="0" w:space="0" w:color="auto"/>
        <w:bottom w:val="none" w:sz="0" w:space="0" w:color="auto"/>
        <w:right w:val="none" w:sz="0" w:space="0" w:color="auto"/>
      </w:divBdr>
    </w:div>
    <w:div w:id="29646616">
      <w:bodyDiv w:val="1"/>
      <w:marLeft w:val="0"/>
      <w:marRight w:val="0"/>
      <w:marTop w:val="0"/>
      <w:marBottom w:val="0"/>
      <w:divBdr>
        <w:top w:val="none" w:sz="0" w:space="0" w:color="auto"/>
        <w:left w:val="none" w:sz="0" w:space="0" w:color="auto"/>
        <w:bottom w:val="none" w:sz="0" w:space="0" w:color="auto"/>
        <w:right w:val="none" w:sz="0" w:space="0" w:color="auto"/>
      </w:divBdr>
    </w:div>
    <w:div w:id="29888770">
      <w:bodyDiv w:val="1"/>
      <w:marLeft w:val="0"/>
      <w:marRight w:val="0"/>
      <w:marTop w:val="0"/>
      <w:marBottom w:val="0"/>
      <w:divBdr>
        <w:top w:val="none" w:sz="0" w:space="0" w:color="auto"/>
        <w:left w:val="none" w:sz="0" w:space="0" w:color="auto"/>
        <w:bottom w:val="none" w:sz="0" w:space="0" w:color="auto"/>
        <w:right w:val="none" w:sz="0" w:space="0" w:color="auto"/>
      </w:divBdr>
    </w:div>
    <w:div w:id="29915910">
      <w:bodyDiv w:val="1"/>
      <w:marLeft w:val="0"/>
      <w:marRight w:val="0"/>
      <w:marTop w:val="0"/>
      <w:marBottom w:val="0"/>
      <w:divBdr>
        <w:top w:val="none" w:sz="0" w:space="0" w:color="auto"/>
        <w:left w:val="none" w:sz="0" w:space="0" w:color="auto"/>
        <w:bottom w:val="none" w:sz="0" w:space="0" w:color="auto"/>
        <w:right w:val="none" w:sz="0" w:space="0" w:color="auto"/>
      </w:divBdr>
    </w:div>
    <w:div w:id="29959937">
      <w:bodyDiv w:val="1"/>
      <w:marLeft w:val="0"/>
      <w:marRight w:val="0"/>
      <w:marTop w:val="0"/>
      <w:marBottom w:val="0"/>
      <w:divBdr>
        <w:top w:val="none" w:sz="0" w:space="0" w:color="auto"/>
        <w:left w:val="none" w:sz="0" w:space="0" w:color="auto"/>
        <w:bottom w:val="none" w:sz="0" w:space="0" w:color="auto"/>
        <w:right w:val="none" w:sz="0" w:space="0" w:color="auto"/>
      </w:divBdr>
    </w:div>
    <w:div w:id="30154907">
      <w:bodyDiv w:val="1"/>
      <w:marLeft w:val="0"/>
      <w:marRight w:val="0"/>
      <w:marTop w:val="0"/>
      <w:marBottom w:val="0"/>
      <w:divBdr>
        <w:top w:val="none" w:sz="0" w:space="0" w:color="auto"/>
        <w:left w:val="none" w:sz="0" w:space="0" w:color="auto"/>
        <w:bottom w:val="none" w:sz="0" w:space="0" w:color="auto"/>
        <w:right w:val="none" w:sz="0" w:space="0" w:color="auto"/>
      </w:divBdr>
    </w:div>
    <w:div w:id="30230461">
      <w:bodyDiv w:val="1"/>
      <w:marLeft w:val="0"/>
      <w:marRight w:val="0"/>
      <w:marTop w:val="0"/>
      <w:marBottom w:val="0"/>
      <w:divBdr>
        <w:top w:val="none" w:sz="0" w:space="0" w:color="auto"/>
        <w:left w:val="none" w:sz="0" w:space="0" w:color="auto"/>
        <w:bottom w:val="none" w:sz="0" w:space="0" w:color="auto"/>
        <w:right w:val="none" w:sz="0" w:space="0" w:color="auto"/>
      </w:divBdr>
    </w:div>
    <w:div w:id="30305147">
      <w:bodyDiv w:val="1"/>
      <w:marLeft w:val="0"/>
      <w:marRight w:val="0"/>
      <w:marTop w:val="0"/>
      <w:marBottom w:val="0"/>
      <w:divBdr>
        <w:top w:val="none" w:sz="0" w:space="0" w:color="auto"/>
        <w:left w:val="none" w:sz="0" w:space="0" w:color="auto"/>
        <w:bottom w:val="none" w:sz="0" w:space="0" w:color="auto"/>
        <w:right w:val="none" w:sz="0" w:space="0" w:color="auto"/>
      </w:divBdr>
    </w:div>
    <w:div w:id="30343721">
      <w:bodyDiv w:val="1"/>
      <w:marLeft w:val="0"/>
      <w:marRight w:val="0"/>
      <w:marTop w:val="0"/>
      <w:marBottom w:val="0"/>
      <w:divBdr>
        <w:top w:val="none" w:sz="0" w:space="0" w:color="auto"/>
        <w:left w:val="none" w:sz="0" w:space="0" w:color="auto"/>
        <w:bottom w:val="none" w:sz="0" w:space="0" w:color="auto"/>
        <w:right w:val="none" w:sz="0" w:space="0" w:color="auto"/>
      </w:divBdr>
    </w:div>
    <w:div w:id="30349329">
      <w:bodyDiv w:val="1"/>
      <w:marLeft w:val="0"/>
      <w:marRight w:val="0"/>
      <w:marTop w:val="0"/>
      <w:marBottom w:val="0"/>
      <w:divBdr>
        <w:top w:val="none" w:sz="0" w:space="0" w:color="auto"/>
        <w:left w:val="none" w:sz="0" w:space="0" w:color="auto"/>
        <w:bottom w:val="none" w:sz="0" w:space="0" w:color="auto"/>
        <w:right w:val="none" w:sz="0" w:space="0" w:color="auto"/>
      </w:divBdr>
    </w:div>
    <w:div w:id="30418353">
      <w:bodyDiv w:val="1"/>
      <w:marLeft w:val="0"/>
      <w:marRight w:val="0"/>
      <w:marTop w:val="0"/>
      <w:marBottom w:val="0"/>
      <w:divBdr>
        <w:top w:val="none" w:sz="0" w:space="0" w:color="auto"/>
        <w:left w:val="none" w:sz="0" w:space="0" w:color="auto"/>
        <w:bottom w:val="none" w:sz="0" w:space="0" w:color="auto"/>
        <w:right w:val="none" w:sz="0" w:space="0" w:color="auto"/>
      </w:divBdr>
    </w:div>
    <w:div w:id="30426464">
      <w:bodyDiv w:val="1"/>
      <w:marLeft w:val="0"/>
      <w:marRight w:val="0"/>
      <w:marTop w:val="0"/>
      <w:marBottom w:val="0"/>
      <w:divBdr>
        <w:top w:val="none" w:sz="0" w:space="0" w:color="auto"/>
        <w:left w:val="none" w:sz="0" w:space="0" w:color="auto"/>
        <w:bottom w:val="none" w:sz="0" w:space="0" w:color="auto"/>
        <w:right w:val="none" w:sz="0" w:space="0" w:color="auto"/>
      </w:divBdr>
    </w:div>
    <w:div w:id="30542079">
      <w:bodyDiv w:val="1"/>
      <w:marLeft w:val="0"/>
      <w:marRight w:val="0"/>
      <w:marTop w:val="0"/>
      <w:marBottom w:val="0"/>
      <w:divBdr>
        <w:top w:val="none" w:sz="0" w:space="0" w:color="auto"/>
        <w:left w:val="none" w:sz="0" w:space="0" w:color="auto"/>
        <w:bottom w:val="none" w:sz="0" w:space="0" w:color="auto"/>
        <w:right w:val="none" w:sz="0" w:space="0" w:color="auto"/>
      </w:divBdr>
    </w:div>
    <w:div w:id="30543091">
      <w:bodyDiv w:val="1"/>
      <w:marLeft w:val="0"/>
      <w:marRight w:val="0"/>
      <w:marTop w:val="0"/>
      <w:marBottom w:val="0"/>
      <w:divBdr>
        <w:top w:val="none" w:sz="0" w:space="0" w:color="auto"/>
        <w:left w:val="none" w:sz="0" w:space="0" w:color="auto"/>
        <w:bottom w:val="none" w:sz="0" w:space="0" w:color="auto"/>
        <w:right w:val="none" w:sz="0" w:space="0" w:color="auto"/>
      </w:divBdr>
    </w:div>
    <w:div w:id="30545110">
      <w:bodyDiv w:val="1"/>
      <w:marLeft w:val="0"/>
      <w:marRight w:val="0"/>
      <w:marTop w:val="0"/>
      <w:marBottom w:val="0"/>
      <w:divBdr>
        <w:top w:val="none" w:sz="0" w:space="0" w:color="auto"/>
        <w:left w:val="none" w:sz="0" w:space="0" w:color="auto"/>
        <w:bottom w:val="none" w:sz="0" w:space="0" w:color="auto"/>
        <w:right w:val="none" w:sz="0" w:space="0" w:color="auto"/>
      </w:divBdr>
    </w:div>
    <w:div w:id="30615417">
      <w:bodyDiv w:val="1"/>
      <w:marLeft w:val="0"/>
      <w:marRight w:val="0"/>
      <w:marTop w:val="0"/>
      <w:marBottom w:val="0"/>
      <w:divBdr>
        <w:top w:val="none" w:sz="0" w:space="0" w:color="auto"/>
        <w:left w:val="none" w:sz="0" w:space="0" w:color="auto"/>
        <w:bottom w:val="none" w:sz="0" w:space="0" w:color="auto"/>
        <w:right w:val="none" w:sz="0" w:space="0" w:color="auto"/>
      </w:divBdr>
    </w:div>
    <w:div w:id="30693994">
      <w:bodyDiv w:val="1"/>
      <w:marLeft w:val="0"/>
      <w:marRight w:val="0"/>
      <w:marTop w:val="0"/>
      <w:marBottom w:val="0"/>
      <w:divBdr>
        <w:top w:val="none" w:sz="0" w:space="0" w:color="auto"/>
        <w:left w:val="none" w:sz="0" w:space="0" w:color="auto"/>
        <w:bottom w:val="none" w:sz="0" w:space="0" w:color="auto"/>
        <w:right w:val="none" w:sz="0" w:space="0" w:color="auto"/>
      </w:divBdr>
    </w:div>
    <w:div w:id="30807090">
      <w:bodyDiv w:val="1"/>
      <w:marLeft w:val="0"/>
      <w:marRight w:val="0"/>
      <w:marTop w:val="0"/>
      <w:marBottom w:val="0"/>
      <w:divBdr>
        <w:top w:val="none" w:sz="0" w:space="0" w:color="auto"/>
        <w:left w:val="none" w:sz="0" w:space="0" w:color="auto"/>
        <w:bottom w:val="none" w:sz="0" w:space="0" w:color="auto"/>
        <w:right w:val="none" w:sz="0" w:space="0" w:color="auto"/>
      </w:divBdr>
    </w:div>
    <w:div w:id="30885779">
      <w:bodyDiv w:val="1"/>
      <w:marLeft w:val="0"/>
      <w:marRight w:val="0"/>
      <w:marTop w:val="0"/>
      <w:marBottom w:val="0"/>
      <w:divBdr>
        <w:top w:val="none" w:sz="0" w:space="0" w:color="auto"/>
        <w:left w:val="none" w:sz="0" w:space="0" w:color="auto"/>
        <w:bottom w:val="none" w:sz="0" w:space="0" w:color="auto"/>
        <w:right w:val="none" w:sz="0" w:space="0" w:color="auto"/>
      </w:divBdr>
    </w:div>
    <w:div w:id="30956647">
      <w:bodyDiv w:val="1"/>
      <w:marLeft w:val="0"/>
      <w:marRight w:val="0"/>
      <w:marTop w:val="0"/>
      <w:marBottom w:val="0"/>
      <w:divBdr>
        <w:top w:val="none" w:sz="0" w:space="0" w:color="auto"/>
        <w:left w:val="none" w:sz="0" w:space="0" w:color="auto"/>
        <w:bottom w:val="none" w:sz="0" w:space="0" w:color="auto"/>
        <w:right w:val="none" w:sz="0" w:space="0" w:color="auto"/>
      </w:divBdr>
    </w:div>
    <w:div w:id="30956803">
      <w:bodyDiv w:val="1"/>
      <w:marLeft w:val="0"/>
      <w:marRight w:val="0"/>
      <w:marTop w:val="0"/>
      <w:marBottom w:val="0"/>
      <w:divBdr>
        <w:top w:val="none" w:sz="0" w:space="0" w:color="auto"/>
        <w:left w:val="none" w:sz="0" w:space="0" w:color="auto"/>
        <w:bottom w:val="none" w:sz="0" w:space="0" w:color="auto"/>
        <w:right w:val="none" w:sz="0" w:space="0" w:color="auto"/>
      </w:divBdr>
    </w:div>
    <w:div w:id="30999741">
      <w:bodyDiv w:val="1"/>
      <w:marLeft w:val="0"/>
      <w:marRight w:val="0"/>
      <w:marTop w:val="0"/>
      <w:marBottom w:val="0"/>
      <w:divBdr>
        <w:top w:val="none" w:sz="0" w:space="0" w:color="auto"/>
        <w:left w:val="none" w:sz="0" w:space="0" w:color="auto"/>
        <w:bottom w:val="none" w:sz="0" w:space="0" w:color="auto"/>
        <w:right w:val="none" w:sz="0" w:space="0" w:color="auto"/>
      </w:divBdr>
    </w:div>
    <w:div w:id="31003696">
      <w:bodyDiv w:val="1"/>
      <w:marLeft w:val="0"/>
      <w:marRight w:val="0"/>
      <w:marTop w:val="0"/>
      <w:marBottom w:val="0"/>
      <w:divBdr>
        <w:top w:val="none" w:sz="0" w:space="0" w:color="auto"/>
        <w:left w:val="none" w:sz="0" w:space="0" w:color="auto"/>
        <w:bottom w:val="none" w:sz="0" w:space="0" w:color="auto"/>
        <w:right w:val="none" w:sz="0" w:space="0" w:color="auto"/>
      </w:divBdr>
    </w:div>
    <w:div w:id="31006327">
      <w:bodyDiv w:val="1"/>
      <w:marLeft w:val="0"/>
      <w:marRight w:val="0"/>
      <w:marTop w:val="0"/>
      <w:marBottom w:val="0"/>
      <w:divBdr>
        <w:top w:val="none" w:sz="0" w:space="0" w:color="auto"/>
        <w:left w:val="none" w:sz="0" w:space="0" w:color="auto"/>
        <w:bottom w:val="none" w:sz="0" w:space="0" w:color="auto"/>
        <w:right w:val="none" w:sz="0" w:space="0" w:color="auto"/>
      </w:divBdr>
    </w:div>
    <w:div w:id="31075286">
      <w:bodyDiv w:val="1"/>
      <w:marLeft w:val="0"/>
      <w:marRight w:val="0"/>
      <w:marTop w:val="0"/>
      <w:marBottom w:val="0"/>
      <w:divBdr>
        <w:top w:val="none" w:sz="0" w:space="0" w:color="auto"/>
        <w:left w:val="none" w:sz="0" w:space="0" w:color="auto"/>
        <w:bottom w:val="none" w:sz="0" w:space="0" w:color="auto"/>
        <w:right w:val="none" w:sz="0" w:space="0" w:color="auto"/>
      </w:divBdr>
    </w:div>
    <w:div w:id="31076648">
      <w:bodyDiv w:val="1"/>
      <w:marLeft w:val="0"/>
      <w:marRight w:val="0"/>
      <w:marTop w:val="0"/>
      <w:marBottom w:val="0"/>
      <w:divBdr>
        <w:top w:val="none" w:sz="0" w:space="0" w:color="auto"/>
        <w:left w:val="none" w:sz="0" w:space="0" w:color="auto"/>
        <w:bottom w:val="none" w:sz="0" w:space="0" w:color="auto"/>
        <w:right w:val="none" w:sz="0" w:space="0" w:color="auto"/>
      </w:divBdr>
    </w:div>
    <w:div w:id="31152460">
      <w:bodyDiv w:val="1"/>
      <w:marLeft w:val="0"/>
      <w:marRight w:val="0"/>
      <w:marTop w:val="0"/>
      <w:marBottom w:val="0"/>
      <w:divBdr>
        <w:top w:val="none" w:sz="0" w:space="0" w:color="auto"/>
        <w:left w:val="none" w:sz="0" w:space="0" w:color="auto"/>
        <w:bottom w:val="none" w:sz="0" w:space="0" w:color="auto"/>
        <w:right w:val="none" w:sz="0" w:space="0" w:color="auto"/>
      </w:divBdr>
    </w:div>
    <w:div w:id="31153090">
      <w:bodyDiv w:val="1"/>
      <w:marLeft w:val="0"/>
      <w:marRight w:val="0"/>
      <w:marTop w:val="0"/>
      <w:marBottom w:val="0"/>
      <w:divBdr>
        <w:top w:val="none" w:sz="0" w:space="0" w:color="auto"/>
        <w:left w:val="none" w:sz="0" w:space="0" w:color="auto"/>
        <w:bottom w:val="none" w:sz="0" w:space="0" w:color="auto"/>
        <w:right w:val="none" w:sz="0" w:space="0" w:color="auto"/>
      </w:divBdr>
    </w:div>
    <w:div w:id="31195195">
      <w:bodyDiv w:val="1"/>
      <w:marLeft w:val="0"/>
      <w:marRight w:val="0"/>
      <w:marTop w:val="0"/>
      <w:marBottom w:val="0"/>
      <w:divBdr>
        <w:top w:val="none" w:sz="0" w:space="0" w:color="auto"/>
        <w:left w:val="none" w:sz="0" w:space="0" w:color="auto"/>
        <w:bottom w:val="none" w:sz="0" w:space="0" w:color="auto"/>
        <w:right w:val="none" w:sz="0" w:space="0" w:color="auto"/>
      </w:divBdr>
    </w:div>
    <w:div w:id="31266778">
      <w:bodyDiv w:val="1"/>
      <w:marLeft w:val="0"/>
      <w:marRight w:val="0"/>
      <w:marTop w:val="0"/>
      <w:marBottom w:val="0"/>
      <w:divBdr>
        <w:top w:val="none" w:sz="0" w:space="0" w:color="auto"/>
        <w:left w:val="none" w:sz="0" w:space="0" w:color="auto"/>
        <w:bottom w:val="none" w:sz="0" w:space="0" w:color="auto"/>
        <w:right w:val="none" w:sz="0" w:space="0" w:color="auto"/>
      </w:divBdr>
    </w:div>
    <w:div w:id="31273598">
      <w:bodyDiv w:val="1"/>
      <w:marLeft w:val="0"/>
      <w:marRight w:val="0"/>
      <w:marTop w:val="0"/>
      <w:marBottom w:val="0"/>
      <w:divBdr>
        <w:top w:val="none" w:sz="0" w:space="0" w:color="auto"/>
        <w:left w:val="none" w:sz="0" w:space="0" w:color="auto"/>
        <w:bottom w:val="none" w:sz="0" w:space="0" w:color="auto"/>
        <w:right w:val="none" w:sz="0" w:space="0" w:color="auto"/>
      </w:divBdr>
    </w:div>
    <w:div w:id="31276252">
      <w:bodyDiv w:val="1"/>
      <w:marLeft w:val="0"/>
      <w:marRight w:val="0"/>
      <w:marTop w:val="0"/>
      <w:marBottom w:val="0"/>
      <w:divBdr>
        <w:top w:val="none" w:sz="0" w:space="0" w:color="auto"/>
        <w:left w:val="none" w:sz="0" w:space="0" w:color="auto"/>
        <w:bottom w:val="none" w:sz="0" w:space="0" w:color="auto"/>
        <w:right w:val="none" w:sz="0" w:space="0" w:color="auto"/>
      </w:divBdr>
    </w:div>
    <w:div w:id="31343491">
      <w:bodyDiv w:val="1"/>
      <w:marLeft w:val="0"/>
      <w:marRight w:val="0"/>
      <w:marTop w:val="0"/>
      <w:marBottom w:val="0"/>
      <w:divBdr>
        <w:top w:val="none" w:sz="0" w:space="0" w:color="auto"/>
        <w:left w:val="none" w:sz="0" w:space="0" w:color="auto"/>
        <w:bottom w:val="none" w:sz="0" w:space="0" w:color="auto"/>
        <w:right w:val="none" w:sz="0" w:space="0" w:color="auto"/>
      </w:divBdr>
    </w:div>
    <w:div w:id="31348773">
      <w:bodyDiv w:val="1"/>
      <w:marLeft w:val="0"/>
      <w:marRight w:val="0"/>
      <w:marTop w:val="0"/>
      <w:marBottom w:val="0"/>
      <w:divBdr>
        <w:top w:val="none" w:sz="0" w:space="0" w:color="auto"/>
        <w:left w:val="none" w:sz="0" w:space="0" w:color="auto"/>
        <w:bottom w:val="none" w:sz="0" w:space="0" w:color="auto"/>
        <w:right w:val="none" w:sz="0" w:space="0" w:color="auto"/>
      </w:divBdr>
    </w:div>
    <w:div w:id="31350868">
      <w:bodyDiv w:val="1"/>
      <w:marLeft w:val="0"/>
      <w:marRight w:val="0"/>
      <w:marTop w:val="0"/>
      <w:marBottom w:val="0"/>
      <w:divBdr>
        <w:top w:val="none" w:sz="0" w:space="0" w:color="auto"/>
        <w:left w:val="none" w:sz="0" w:space="0" w:color="auto"/>
        <w:bottom w:val="none" w:sz="0" w:space="0" w:color="auto"/>
        <w:right w:val="none" w:sz="0" w:space="0" w:color="auto"/>
      </w:divBdr>
    </w:div>
    <w:div w:id="31465981">
      <w:bodyDiv w:val="1"/>
      <w:marLeft w:val="0"/>
      <w:marRight w:val="0"/>
      <w:marTop w:val="0"/>
      <w:marBottom w:val="0"/>
      <w:divBdr>
        <w:top w:val="none" w:sz="0" w:space="0" w:color="auto"/>
        <w:left w:val="none" w:sz="0" w:space="0" w:color="auto"/>
        <w:bottom w:val="none" w:sz="0" w:space="0" w:color="auto"/>
        <w:right w:val="none" w:sz="0" w:space="0" w:color="auto"/>
      </w:divBdr>
    </w:div>
    <w:div w:id="31468598">
      <w:bodyDiv w:val="1"/>
      <w:marLeft w:val="0"/>
      <w:marRight w:val="0"/>
      <w:marTop w:val="0"/>
      <w:marBottom w:val="0"/>
      <w:divBdr>
        <w:top w:val="none" w:sz="0" w:space="0" w:color="auto"/>
        <w:left w:val="none" w:sz="0" w:space="0" w:color="auto"/>
        <w:bottom w:val="none" w:sz="0" w:space="0" w:color="auto"/>
        <w:right w:val="none" w:sz="0" w:space="0" w:color="auto"/>
      </w:divBdr>
    </w:div>
    <w:div w:id="31469528">
      <w:bodyDiv w:val="1"/>
      <w:marLeft w:val="0"/>
      <w:marRight w:val="0"/>
      <w:marTop w:val="0"/>
      <w:marBottom w:val="0"/>
      <w:divBdr>
        <w:top w:val="none" w:sz="0" w:space="0" w:color="auto"/>
        <w:left w:val="none" w:sz="0" w:space="0" w:color="auto"/>
        <w:bottom w:val="none" w:sz="0" w:space="0" w:color="auto"/>
        <w:right w:val="none" w:sz="0" w:space="0" w:color="auto"/>
      </w:divBdr>
    </w:div>
    <w:div w:id="31662658">
      <w:bodyDiv w:val="1"/>
      <w:marLeft w:val="0"/>
      <w:marRight w:val="0"/>
      <w:marTop w:val="0"/>
      <w:marBottom w:val="0"/>
      <w:divBdr>
        <w:top w:val="none" w:sz="0" w:space="0" w:color="auto"/>
        <w:left w:val="none" w:sz="0" w:space="0" w:color="auto"/>
        <w:bottom w:val="none" w:sz="0" w:space="0" w:color="auto"/>
        <w:right w:val="none" w:sz="0" w:space="0" w:color="auto"/>
      </w:divBdr>
    </w:div>
    <w:div w:id="31880985">
      <w:bodyDiv w:val="1"/>
      <w:marLeft w:val="0"/>
      <w:marRight w:val="0"/>
      <w:marTop w:val="0"/>
      <w:marBottom w:val="0"/>
      <w:divBdr>
        <w:top w:val="none" w:sz="0" w:space="0" w:color="auto"/>
        <w:left w:val="none" w:sz="0" w:space="0" w:color="auto"/>
        <w:bottom w:val="none" w:sz="0" w:space="0" w:color="auto"/>
        <w:right w:val="none" w:sz="0" w:space="0" w:color="auto"/>
      </w:divBdr>
    </w:div>
    <w:div w:id="31922592">
      <w:bodyDiv w:val="1"/>
      <w:marLeft w:val="0"/>
      <w:marRight w:val="0"/>
      <w:marTop w:val="0"/>
      <w:marBottom w:val="0"/>
      <w:divBdr>
        <w:top w:val="none" w:sz="0" w:space="0" w:color="auto"/>
        <w:left w:val="none" w:sz="0" w:space="0" w:color="auto"/>
        <w:bottom w:val="none" w:sz="0" w:space="0" w:color="auto"/>
        <w:right w:val="none" w:sz="0" w:space="0" w:color="auto"/>
      </w:divBdr>
    </w:div>
    <w:div w:id="32006253">
      <w:bodyDiv w:val="1"/>
      <w:marLeft w:val="0"/>
      <w:marRight w:val="0"/>
      <w:marTop w:val="0"/>
      <w:marBottom w:val="0"/>
      <w:divBdr>
        <w:top w:val="none" w:sz="0" w:space="0" w:color="auto"/>
        <w:left w:val="none" w:sz="0" w:space="0" w:color="auto"/>
        <w:bottom w:val="none" w:sz="0" w:space="0" w:color="auto"/>
        <w:right w:val="none" w:sz="0" w:space="0" w:color="auto"/>
      </w:divBdr>
    </w:div>
    <w:div w:id="32077070">
      <w:bodyDiv w:val="1"/>
      <w:marLeft w:val="0"/>
      <w:marRight w:val="0"/>
      <w:marTop w:val="0"/>
      <w:marBottom w:val="0"/>
      <w:divBdr>
        <w:top w:val="none" w:sz="0" w:space="0" w:color="auto"/>
        <w:left w:val="none" w:sz="0" w:space="0" w:color="auto"/>
        <w:bottom w:val="none" w:sz="0" w:space="0" w:color="auto"/>
        <w:right w:val="none" w:sz="0" w:space="0" w:color="auto"/>
      </w:divBdr>
    </w:div>
    <w:div w:id="32192548">
      <w:bodyDiv w:val="1"/>
      <w:marLeft w:val="0"/>
      <w:marRight w:val="0"/>
      <w:marTop w:val="0"/>
      <w:marBottom w:val="0"/>
      <w:divBdr>
        <w:top w:val="none" w:sz="0" w:space="0" w:color="auto"/>
        <w:left w:val="none" w:sz="0" w:space="0" w:color="auto"/>
        <w:bottom w:val="none" w:sz="0" w:space="0" w:color="auto"/>
        <w:right w:val="none" w:sz="0" w:space="0" w:color="auto"/>
      </w:divBdr>
    </w:div>
    <w:div w:id="32511480">
      <w:bodyDiv w:val="1"/>
      <w:marLeft w:val="0"/>
      <w:marRight w:val="0"/>
      <w:marTop w:val="0"/>
      <w:marBottom w:val="0"/>
      <w:divBdr>
        <w:top w:val="none" w:sz="0" w:space="0" w:color="auto"/>
        <w:left w:val="none" w:sz="0" w:space="0" w:color="auto"/>
        <w:bottom w:val="none" w:sz="0" w:space="0" w:color="auto"/>
        <w:right w:val="none" w:sz="0" w:space="0" w:color="auto"/>
      </w:divBdr>
    </w:div>
    <w:div w:id="32577114">
      <w:bodyDiv w:val="1"/>
      <w:marLeft w:val="0"/>
      <w:marRight w:val="0"/>
      <w:marTop w:val="0"/>
      <w:marBottom w:val="0"/>
      <w:divBdr>
        <w:top w:val="none" w:sz="0" w:space="0" w:color="auto"/>
        <w:left w:val="none" w:sz="0" w:space="0" w:color="auto"/>
        <w:bottom w:val="none" w:sz="0" w:space="0" w:color="auto"/>
        <w:right w:val="none" w:sz="0" w:space="0" w:color="auto"/>
      </w:divBdr>
    </w:div>
    <w:div w:id="32655615">
      <w:bodyDiv w:val="1"/>
      <w:marLeft w:val="0"/>
      <w:marRight w:val="0"/>
      <w:marTop w:val="0"/>
      <w:marBottom w:val="0"/>
      <w:divBdr>
        <w:top w:val="none" w:sz="0" w:space="0" w:color="auto"/>
        <w:left w:val="none" w:sz="0" w:space="0" w:color="auto"/>
        <w:bottom w:val="none" w:sz="0" w:space="0" w:color="auto"/>
        <w:right w:val="none" w:sz="0" w:space="0" w:color="auto"/>
      </w:divBdr>
    </w:div>
    <w:div w:id="32704660">
      <w:bodyDiv w:val="1"/>
      <w:marLeft w:val="0"/>
      <w:marRight w:val="0"/>
      <w:marTop w:val="0"/>
      <w:marBottom w:val="0"/>
      <w:divBdr>
        <w:top w:val="none" w:sz="0" w:space="0" w:color="auto"/>
        <w:left w:val="none" w:sz="0" w:space="0" w:color="auto"/>
        <w:bottom w:val="none" w:sz="0" w:space="0" w:color="auto"/>
        <w:right w:val="none" w:sz="0" w:space="0" w:color="auto"/>
      </w:divBdr>
    </w:div>
    <w:div w:id="32771151">
      <w:bodyDiv w:val="1"/>
      <w:marLeft w:val="0"/>
      <w:marRight w:val="0"/>
      <w:marTop w:val="0"/>
      <w:marBottom w:val="0"/>
      <w:divBdr>
        <w:top w:val="none" w:sz="0" w:space="0" w:color="auto"/>
        <w:left w:val="none" w:sz="0" w:space="0" w:color="auto"/>
        <w:bottom w:val="none" w:sz="0" w:space="0" w:color="auto"/>
        <w:right w:val="none" w:sz="0" w:space="0" w:color="auto"/>
      </w:divBdr>
    </w:div>
    <w:div w:id="32775216">
      <w:bodyDiv w:val="1"/>
      <w:marLeft w:val="0"/>
      <w:marRight w:val="0"/>
      <w:marTop w:val="0"/>
      <w:marBottom w:val="0"/>
      <w:divBdr>
        <w:top w:val="none" w:sz="0" w:space="0" w:color="auto"/>
        <w:left w:val="none" w:sz="0" w:space="0" w:color="auto"/>
        <w:bottom w:val="none" w:sz="0" w:space="0" w:color="auto"/>
        <w:right w:val="none" w:sz="0" w:space="0" w:color="auto"/>
      </w:divBdr>
    </w:div>
    <w:div w:id="32777832">
      <w:bodyDiv w:val="1"/>
      <w:marLeft w:val="0"/>
      <w:marRight w:val="0"/>
      <w:marTop w:val="0"/>
      <w:marBottom w:val="0"/>
      <w:divBdr>
        <w:top w:val="none" w:sz="0" w:space="0" w:color="auto"/>
        <w:left w:val="none" w:sz="0" w:space="0" w:color="auto"/>
        <w:bottom w:val="none" w:sz="0" w:space="0" w:color="auto"/>
        <w:right w:val="none" w:sz="0" w:space="0" w:color="auto"/>
      </w:divBdr>
    </w:div>
    <w:div w:id="32848414">
      <w:bodyDiv w:val="1"/>
      <w:marLeft w:val="0"/>
      <w:marRight w:val="0"/>
      <w:marTop w:val="0"/>
      <w:marBottom w:val="0"/>
      <w:divBdr>
        <w:top w:val="none" w:sz="0" w:space="0" w:color="auto"/>
        <w:left w:val="none" w:sz="0" w:space="0" w:color="auto"/>
        <w:bottom w:val="none" w:sz="0" w:space="0" w:color="auto"/>
        <w:right w:val="none" w:sz="0" w:space="0" w:color="auto"/>
      </w:divBdr>
    </w:div>
    <w:div w:id="32965874">
      <w:bodyDiv w:val="1"/>
      <w:marLeft w:val="0"/>
      <w:marRight w:val="0"/>
      <w:marTop w:val="0"/>
      <w:marBottom w:val="0"/>
      <w:divBdr>
        <w:top w:val="none" w:sz="0" w:space="0" w:color="auto"/>
        <w:left w:val="none" w:sz="0" w:space="0" w:color="auto"/>
        <w:bottom w:val="none" w:sz="0" w:space="0" w:color="auto"/>
        <w:right w:val="none" w:sz="0" w:space="0" w:color="auto"/>
      </w:divBdr>
    </w:div>
    <w:div w:id="33039634">
      <w:bodyDiv w:val="1"/>
      <w:marLeft w:val="0"/>
      <w:marRight w:val="0"/>
      <w:marTop w:val="0"/>
      <w:marBottom w:val="0"/>
      <w:divBdr>
        <w:top w:val="none" w:sz="0" w:space="0" w:color="auto"/>
        <w:left w:val="none" w:sz="0" w:space="0" w:color="auto"/>
        <w:bottom w:val="none" w:sz="0" w:space="0" w:color="auto"/>
        <w:right w:val="none" w:sz="0" w:space="0" w:color="auto"/>
      </w:divBdr>
    </w:div>
    <w:div w:id="33047661">
      <w:bodyDiv w:val="1"/>
      <w:marLeft w:val="0"/>
      <w:marRight w:val="0"/>
      <w:marTop w:val="0"/>
      <w:marBottom w:val="0"/>
      <w:divBdr>
        <w:top w:val="none" w:sz="0" w:space="0" w:color="auto"/>
        <w:left w:val="none" w:sz="0" w:space="0" w:color="auto"/>
        <w:bottom w:val="none" w:sz="0" w:space="0" w:color="auto"/>
        <w:right w:val="none" w:sz="0" w:space="0" w:color="auto"/>
      </w:divBdr>
    </w:div>
    <w:div w:id="33115077">
      <w:bodyDiv w:val="1"/>
      <w:marLeft w:val="0"/>
      <w:marRight w:val="0"/>
      <w:marTop w:val="0"/>
      <w:marBottom w:val="0"/>
      <w:divBdr>
        <w:top w:val="none" w:sz="0" w:space="0" w:color="auto"/>
        <w:left w:val="none" w:sz="0" w:space="0" w:color="auto"/>
        <w:bottom w:val="none" w:sz="0" w:space="0" w:color="auto"/>
        <w:right w:val="none" w:sz="0" w:space="0" w:color="auto"/>
      </w:divBdr>
    </w:div>
    <w:div w:id="33310079">
      <w:bodyDiv w:val="1"/>
      <w:marLeft w:val="0"/>
      <w:marRight w:val="0"/>
      <w:marTop w:val="0"/>
      <w:marBottom w:val="0"/>
      <w:divBdr>
        <w:top w:val="none" w:sz="0" w:space="0" w:color="auto"/>
        <w:left w:val="none" w:sz="0" w:space="0" w:color="auto"/>
        <w:bottom w:val="none" w:sz="0" w:space="0" w:color="auto"/>
        <w:right w:val="none" w:sz="0" w:space="0" w:color="auto"/>
      </w:divBdr>
    </w:div>
    <w:div w:id="33383113">
      <w:bodyDiv w:val="1"/>
      <w:marLeft w:val="0"/>
      <w:marRight w:val="0"/>
      <w:marTop w:val="0"/>
      <w:marBottom w:val="0"/>
      <w:divBdr>
        <w:top w:val="none" w:sz="0" w:space="0" w:color="auto"/>
        <w:left w:val="none" w:sz="0" w:space="0" w:color="auto"/>
        <w:bottom w:val="none" w:sz="0" w:space="0" w:color="auto"/>
        <w:right w:val="none" w:sz="0" w:space="0" w:color="auto"/>
      </w:divBdr>
    </w:div>
    <w:div w:id="33385010">
      <w:bodyDiv w:val="1"/>
      <w:marLeft w:val="0"/>
      <w:marRight w:val="0"/>
      <w:marTop w:val="0"/>
      <w:marBottom w:val="0"/>
      <w:divBdr>
        <w:top w:val="none" w:sz="0" w:space="0" w:color="auto"/>
        <w:left w:val="none" w:sz="0" w:space="0" w:color="auto"/>
        <w:bottom w:val="none" w:sz="0" w:space="0" w:color="auto"/>
        <w:right w:val="none" w:sz="0" w:space="0" w:color="auto"/>
      </w:divBdr>
    </w:div>
    <w:div w:id="33386697">
      <w:bodyDiv w:val="1"/>
      <w:marLeft w:val="0"/>
      <w:marRight w:val="0"/>
      <w:marTop w:val="0"/>
      <w:marBottom w:val="0"/>
      <w:divBdr>
        <w:top w:val="none" w:sz="0" w:space="0" w:color="auto"/>
        <w:left w:val="none" w:sz="0" w:space="0" w:color="auto"/>
        <w:bottom w:val="none" w:sz="0" w:space="0" w:color="auto"/>
        <w:right w:val="none" w:sz="0" w:space="0" w:color="auto"/>
      </w:divBdr>
    </w:div>
    <w:div w:id="33427947">
      <w:bodyDiv w:val="1"/>
      <w:marLeft w:val="0"/>
      <w:marRight w:val="0"/>
      <w:marTop w:val="0"/>
      <w:marBottom w:val="0"/>
      <w:divBdr>
        <w:top w:val="none" w:sz="0" w:space="0" w:color="auto"/>
        <w:left w:val="none" w:sz="0" w:space="0" w:color="auto"/>
        <w:bottom w:val="none" w:sz="0" w:space="0" w:color="auto"/>
        <w:right w:val="none" w:sz="0" w:space="0" w:color="auto"/>
      </w:divBdr>
    </w:div>
    <w:div w:id="33434461">
      <w:bodyDiv w:val="1"/>
      <w:marLeft w:val="0"/>
      <w:marRight w:val="0"/>
      <w:marTop w:val="0"/>
      <w:marBottom w:val="0"/>
      <w:divBdr>
        <w:top w:val="none" w:sz="0" w:space="0" w:color="auto"/>
        <w:left w:val="none" w:sz="0" w:space="0" w:color="auto"/>
        <w:bottom w:val="none" w:sz="0" w:space="0" w:color="auto"/>
        <w:right w:val="none" w:sz="0" w:space="0" w:color="auto"/>
      </w:divBdr>
    </w:div>
    <w:div w:id="33506848">
      <w:bodyDiv w:val="1"/>
      <w:marLeft w:val="0"/>
      <w:marRight w:val="0"/>
      <w:marTop w:val="0"/>
      <w:marBottom w:val="0"/>
      <w:divBdr>
        <w:top w:val="none" w:sz="0" w:space="0" w:color="auto"/>
        <w:left w:val="none" w:sz="0" w:space="0" w:color="auto"/>
        <w:bottom w:val="none" w:sz="0" w:space="0" w:color="auto"/>
        <w:right w:val="none" w:sz="0" w:space="0" w:color="auto"/>
      </w:divBdr>
    </w:div>
    <w:div w:id="33507601">
      <w:bodyDiv w:val="1"/>
      <w:marLeft w:val="0"/>
      <w:marRight w:val="0"/>
      <w:marTop w:val="0"/>
      <w:marBottom w:val="0"/>
      <w:divBdr>
        <w:top w:val="none" w:sz="0" w:space="0" w:color="auto"/>
        <w:left w:val="none" w:sz="0" w:space="0" w:color="auto"/>
        <w:bottom w:val="none" w:sz="0" w:space="0" w:color="auto"/>
        <w:right w:val="none" w:sz="0" w:space="0" w:color="auto"/>
      </w:divBdr>
    </w:div>
    <w:div w:id="33620814">
      <w:bodyDiv w:val="1"/>
      <w:marLeft w:val="0"/>
      <w:marRight w:val="0"/>
      <w:marTop w:val="0"/>
      <w:marBottom w:val="0"/>
      <w:divBdr>
        <w:top w:val="none" w:sz="0" w:space="0" w:color="auto"/>
        <w:left w:val="none" w:sz="0" w:space="0" w:color="auto"/>
        <w:bottom w:val="none" w:sz="0" w:space="0" w:color="auto"/>
        <w:right w:val="none" w:sz="0" w:space="0" w:color="auto"/>
      </w:divBdr>
    </w:div>
    <w:div w:id="33625274">
      <w:bodyDiv w:val="1"/>
      <w:marLeft w:val="0"/>
      <w:marRight w:val="0"/>
      <w:marTop w:val="0"/>
      <w:marBottom w:val="0"/>
      <w:divBdr>
        <w:top w:val="none" w:sz="0" w:space="0" w:color="auto"/>
        <w:left w:val="none" w:sz="0" w:space="0" w:color="auto"/>
        <w:bottom w:val="none" w:sz="0" w:space="0" w:color="auto"/>
        <w:right w:val="none" w:sz="0" w:space="0" w:color="auto"/>
      </w:divBdr>
    </w:div>
    <w:div w:id="33702434">
      <w:bodyDiv w:val="1"/>
      <w:marLeft w:val="0"/>
      <w:marRight w:val="0"/>
      <w:marTop w:val="0"/>
      <w:marBottom w:val="0"/>
      <w:divBdr>
        <w:top w:val="none" w:sz="0" w:space="0" w:color="auto"/>
        <w:left w:val="none" w:sz="0" w:space="0" w:color="auto"/>
        <w:bottom w:val="none" w:sz="0" w:space="0" w:color="auto"/>
        <w:right w:val="none" w:sz="0" w:space="0" w:color="auto"/>
      </w:divBdr>
    </w:div>
    <w:div w:id="33889330">
      <w:bodyDiv w:val="1"/>
      <w:marLeft w:val="0"/>
      <w:marRight w:val="0"/>
      <w:marTop w:val="0"/>
      <w:marBottom w:val="0"/>
      <w:divBdr>
        <w:top w:val="none" w:sz="0" w:space="0" w:color="auto"/>
        <w:left w:val="none" w:sz="0" w:space="0" w:color="auto"/>
        <w:bottom w:val="none" w:sz="0" w:space="0" w:color="auto"/>
        <w:right w:val="none" w:sz="0" w:space="0" w:color="auto"/>
      </w:divBdr>
    </w:div>
    <w:div w:id="33966559">
      <w:bodyDiv w:val="1"/>
      <w:marLeft w:val="0"/>
      <w:marRight w:val="0"/>
      <w:marTop w:val="0"/>
      <w:marBottom w:val="0"/>
      <w:divBdr>
        <w:top w:val="none" w:sz="0" w:space="0" w:color="auto"/>
        <w:left w:val="none" w:sz="0" w:space="0" w:color="auto"/>
        <w:bottom w:val="none" w:sz="0" w:space="0" w:color="auto"/>
        <w:right w:val="none" w:sz="0" w:space="0" w:color="auto"/>
      </w:divBdr>
    </w:div>
    <w:div w:id="34236937">
      <w:bodyDiv w:val="1"/>
      <w:marLeft w:val="0"/>
      <w:marRight w:val="0"/>
      <w:marTop w:val="0"/>
      <w:marBottom w:val="0"/>
      <w:divBdr>
        <w:top w:val="none" w:sz="0" w:space="0" w:color="auto"/>
        <w:left w:val="none" w:sz="0" w:space="0" w:color="auto"/>
        <w:bottom w:val="none" w:sz="0" w:space="0" w:color="auto"/>
        <w:right w:val="none" w:sz="0" w:space="0" w:color="auto"/>
      </w:divBdr>
    </w:div>
    <w:div w:id="34430161">
      <w:bodyDiv w:val="1"/>
      <w:marLeft w:val="0"/>
      <w:marRight w:val="0"/>
      <w:marTop w:val="0"/>
      <w:marBottom w:val="0"/>
      <w:divBdr>
        <w:top w:val="none" w:sz="0" w:space="0" w:color="auto"/>
        <w:left w:val="none" w:sz="0" w:space="0" w:color="auto"/>
        <w:bottom w:val="none" w:sz="0" w:space="0" w:color="auto"/>
        <w:right w:val="none" w:sz="0" w:space="0" w:color="auto"/>
      </w:divBdr>
    </w:div>
    <w:div w:id="34433283">
      <w:bodyDiv w:val="1"/>
      <w:marLeft w:val="0"/>
      <w:marRight w:val="0"/>
      <w:marTop w:val="0"/>
      <w:marBottom w:val="0"/>
      <w:divBdr>
        <w:top w:val="none" w:sz="0" w:space="0" w:color="auto"/>
        <w:left w:val="none" w:sz="0" w:space="0" w:color="auto"/>
        <w:bottom w:val="none" w:sz="0" w:space="0" w:color="auto"/>
        <w:right w:val="none" w:sz="0" w:space="0" w:color="auto"/>
      </w:divBdr>
    </w:div>
    <w:div w:id="34500966">
      <w:bodyDiv w:val="1"/>
      <w:marLeft w:val="0"/>
      <w:marRight w:val="0"/>
      <w:marTop w:val="0"/>
      <w:marBottom w:val="0"/>
      <w:divBdr>
        <w:top w:val="none" w:sz="0" w:space="0" w:color="auto"/>
        <w:left w:val="none" w:sz="0" w:space="0" w:color="auto"/>
        <w:bottom w:val="none" w:sz="0" w:space="0" w:color="auto"/>
        <w:right w:val="none" w:sz="0" w:space="0" w:color="auto"/>
      </w:divBdr>
    </w:div>
    <w:div w:id="34502842">
      <w:bodyDiv w:val="1"/>
      <w:marLeft w:val="0"/>
      <w:marRight w:val="0"/>
      <w:marTop w:val="0"/>
      <w:marBottom w:val="0"/>
      <w:divBdr>
        <w:top w:val="none" w:sz="0" w:space="0" w:color="auto"/>
        <w:left w:val="none" w:sz="0" w:space="0" w:color="auto"/>
        <w:bottom w:val="none" w:sz="0" w:space="0" w:color="auto"/>
        <w:right w:val="none" w:sz="0" w:space="0" w:color="auto"/>
      </w:divBdr>
    </w:div>
    <w:div w:id="34504139">
      <w:bodyDiv w:val="1"/>
      <w:marLeft w:val="0"/>
      <w:marRight w:val="0"/>
      <w:marTop w:val="0"/>
      <w:marBottom w:val="0"/>
      <w:divBdr>
        <w:top w:val="none" w:sz="0" w:space="0" w:color="auto"/>
        <w:left w:val="none" w:sz="0" w:space="0" w:color="auto"/>
        <w:bottom w:val="none" w:sz="0" w:space="0" w:color="auto"/>
        <w:right w:val="none" w:sz="0" w:space="0" w:color="auto"/>
      </w:divBdr>
    </w:div>
    <w:div w:id="34544207">
      <w:bodyDiv w:val="1"/>
      <w:marLeft w:val="0"/>
      <w:marRight w:val="0"/>
      <w:marTop w:val="0"/>
      <w:marBottom w:val="0"/>
      <w:divBdr>
        <w:top w:val="none" w:sz="0" w:space="0" w:color="auto"/>
        <w:left w:val="none" w:sz="0" w:space="0" w:color="auto"/>
        <w:bottom w:val="none" w:sz="0" w:space="0" w:color="auto"/>
        <w:right w:val="none" w:sz="0" w:space="0" w:color="auto"/>
      </w:divBdr>
    </w:div>
    <w:div w:id="34694622">
      <w:bodyDiv w:val="1"/>
      <w:marLeft w:val="0"/>
      <w:marRight w:val="0"/>
      <w:marTop w:val="0"/>
      <w:marBottom w:val="0"/>
      <w:divBdr>
        <w:top w:val="none" w:sz="0" w:space="0" w:color="auto"/>
        <w:left w:val="none" w:sz="0" w:space="0" w:color="auto"/>
        <w:bottom w:val="none" w:sz="0" w:space="0" w:color="auto"/>
        <w:right w:val="none" w:sz="0" w:space="0" w:color="auto"/>
      </w:divBdr>
    </w:div>
    <w:div w:id="34737148">
      <w:bodyDiv w:val="1"/>
      <w:marLeft w:val="0"/>
      <w:marRight w:val="0"/>
      <w:marTop w:val="0"/>
      <w:marBottom w:val="0"/>
      <w:divBdr>
        <w:top w:val="none" w:sz="0" w:space="0" w:color="auto"/>
        <w:left w:val="none" w:sz="0" w:space="0" w:color="auto"/>
        <w:bottom w:val="none" w:sz="0" w:space="0" w:color="auto"/>
        <w:right w:val="none" w:sz="0" w:space="0" w:color="auto"/>
      </w:divBdr>
    </w:div>
    <w:div w:id="34743071">
      <w:bodyDiv w:val="1"/>
      <w:marLeft w:val="0"/>
      <w:marRight w:val="0"/>
      <w:marTop w:val="0"/>
      <w:marBottom w:val="0"/>
      <w:divBdr>
        <w:top w:val="none" w:sz="0" w:space="0" w:color="auto"/>
        <w:left w:val="none" w:sz="0" w:space="0" w:color="auto"/>
        <w:bottom w:val="none" w:sz="0" w:space="0" w:color="auto"/>
        <w:right w:val="none" w:sz="0" w:space="0" w:color="auto"/>
      </w:divBdr>
    </w:div>
    <w:div w:id="34744120">
      <w:bodyDiv w:val="1"/>
      <w:marLeft w:val="0"/>
      <w:marRight w:val="0"/>
      <w:marTop w:val="0"/>
      <w:marBottom w:val="0"/>
      <w:divBdr>
        <w:top w:val="none" w:sz="0" w:space="0" w:color="auto"/>
        <w:left w:val="none" w:sz="0" w:space="0" w:color="auto"/>
        <w:bottom w:val="none" w:sz="0" w:space="0" w:color="auto"/>
        <w:right w:val="none" w:sz="0" w:space="0" w:color="auto"/>
      </w:divBdr>
    </w:div>
    <w:div w:id="34890075">
      <w:bodyDiv w:val="1"/>
      <w:marLeft w:val="0"/>
      <w:marRight w:val="0"/>
      <w:marTop w:val="0"/>
      <w:marBottom w:val="0"/>
      <w:divBdr>
        <w:top w:val="none" w:sz="0" w:space="0" w:color="auto"/>
        <w:left w:val="none" w:sz="0" w:space="0" w:color="auto"/>
        <w:bottom w:val="none" w:sz="0" w:space="0" w:color="auto"/>
        <w:right w:val="none" w:sz="0" w:space="0" w:color="auto"/>
      </w:divBdr>
    </w:div>
    <w:div w:id="34936577">
      <w:bodyDiv w:val="1"/>
      <w:marLeft w:val="0"/>
      <w:marRight w:val="0"/>
      <w:marTop w:val="0"/>
      <w:marBottom w:val="0"/>
      <w:divBdr>
        <w:top w:val="none" w:sz="0" w:space="0" w:color="auto"/>
        <w:left w:val="none" w:sz="0" w:space="0" w:color="auto"/>
        <w:bottom w:val="none" w:sz="0" w:space="0" w:color="auto"/>
        <w:right w:val="none" w:sz="0" w:space="0" w:color="auto"/>
      </w:divBdr>
    </w:div>
    <w:div w:id="35010285">
      <w:bodyDiv w:val="1"/>
      <w:marLeft w:val="0"/>
      <w:marRight w:val="0"/>
      <w:marTop w:val="0"/>
      <w:marBottom w:val="0"/>
      <w:divBdr>
        <w:top w:val="none" w:sz="0" w:space="0" w:color="auto"/>
        <w:left w:val="none" w:sz="0" w:space="0" w:color="auto"/>
        <w:bottom w:val="none" w:sz="0" w:space="0" w:color="auto"/>
        <w:right w:val="none" w:sz="0" w:space="0" w:color="auto"/>
      </w:divBdr>
    </w:div>
    <w:div w:id="35129198">
      <w:bodyDiv w:val="1"/>
      <w:marLeft w:val="0"/>
      <w:marRight w:val="0"/>
      <w:marTop w:val="0"/>
      <w:marBottom w:val="0"/>
      <w:divBdr>
        <w:top w:val="none" w:sz="0" w:space="0" w:color="auto"/>
        <w:left w:val="none" w:sz="0" w:space="0" w:color="auto"/>
        <w:bottom w:val="none" w:sz="0" w:space="0" w:color="auto"/>
        <w:right w:val="none" w:sz="0" w:space="0" w:color="auto"/>
      </w:divBdr>
    </w:div>
    <w:div w:id="35203370">
      <w:bodyDiv w:val="1"/>
      <w:marLeft w:val="0"/>
      <w:marRight w:val="0"/>
      <w:marTop w:val="0"/>
      <w:marBottom w:val="0"/>
      <w:divBdr>
        <w:top w:val="none" w:sz="0" w:space="0" w:color="auto"/>
        <w:left w:val="none" w:sz="0" w:space="0" w:color="auto"/>
        <w:bottom w:val="none" w:sz="0" w:space="0" w:color="auto"/>
        <w:right w:val="none" w:sz="0" w:space="0" w:color="auto"/>
      </w:divBdr>
    </w:div>
    <w:div w:id="35275589">
      <w:bodyDiv w:val="1"/>
      <w:marLeft w:val="0"/>
      <w:marRight w:val="0"/>
      <w:marTop w:val="0"/>
      <w:marBottom w:val="0"/>
      <w:divBdr>
        <w:top w:val="none" w:sz="0" w:space="0" w:color="auto"/>
        <w:left w:val="none" w:sz="0" w:space="0" w:color="auto"/>
        <w:bottom w:val="none" w:sz="0" w:space="0" w:color="auto"/>
        <w:right w:val="none" w:sz="0" w:space="0" w:color="auto"/>
      </w:divBdr>
    </w:div>
    <w:div w:id="35276694">
      <w:bodyDiv w:val="1"/>
      <w:marLeft w:val="0"/>
      <w:marRight w:val="0"/>
      <w:marTop w:val="0"/>
      <w:marBottom w:val="0"/>
      <w:divBdr>
        <w:top w:val="none" w:sz="0" w:space="0" w:color="auto"/>
        <w:left w:val="none" w:sz="0" w:space="0" w:color="auto"/>
        <w:bottom w:val="none" w:sz="0" w:space="0" w:color="auto"/>
        <w:right w:val="none" w:sz="0" w:space="0" w:color="auto"/>
      </w:divBdr>
    </w:div>
    <w:div w:id="35354842">
      <w:bodyDiv w:val="1"/>
      <w:marLeft w:val="0"/>
      <w:marRight w:val="0"/>
      <w:marTop w:val="0"/>
      <w:marBottom w:val="0"/>
      <w:divBdr>
        <w:top w:val="none" w:sz="0" w:space="0" w:color="auto"/>
        <w:left w:val="none" w:sz="0" w:space="0" w:color="auto"/>
        <w:bottom w:val="none" w:sz="0" w:space="0" w:color="auto"/>
        <w:right w:val="none" w:sz="0" w:space="0" w:color="auto"/>
      </w:divBdr>
    </w:div>
    <w:div w:id="35468265">
      <w:bodyDiv w:val="1"/>
      <w:marLeft w:val="0"/>
      <w:marRight w:val="0"/>
      <w:marTop w:val="0"/>
      <w:marBottom w:val="0"/>
      <w:divBdr>
        <w:top w:val="none" w:sz="0" w:space="0" w:color="auto"/>
        <w:left w:val="none" w:sz="0" w:space="0" w:color="auto"/>
        <w:bottom w:val="none" w:sz="0" w:space="0" w:color="auto"/>
        <w:right w:val="none" w:sz="0" w:space="0" w:color="auto"/>
      </w:divBdr>
    </w:div>
    <w:div w:id="35545182">
      <w:bodyDiv w:val="1"/>
      <w:marLeft w:val="0"/>
      <w:marRight w:val="0"/>
      <w:marTop w:val="0"/>
      <w:marBottom w:val="0"/>
      <w:divBdr>
        <w:top w:val="none" w:sz="0" w:space="0" w:color="auto"/>
        <w:left w:val="none" w:sz="0" w:space="0" w:color="auto"/>
        <w:bottom w:val="none" w:sz="0" w:space="0" w:color="auto"/>
        <w:right w:val="none" w:sz="0" w:space="0" w:color="auto"/>
      </w:divBdr>
    </w:div>
    <w:div w:id="35550215">
      <w:bodyDiv w:val="1"/>
      <w:marLeft w:val="0"/>
      <w:marRight w:val="0"/>
      <w:marTop w:val="0"/>
      <w:marBottom w:val="0"/>
      <w:divBdr>
        <w:top w:val="none" w:sz="0" w:space="0" w:color="auto"/>
        <w:left w:val="none" w:sz="0" w:space="0" w:color="auto"/>
        <w:bottom w:val="none" w:sz="0" w:space="0" w:color="auto"/>
        <w:right w:val="none" w:sz="0" w:space="0" w:color="auto"/>
      </w:divBdr>
    </w:div>
    <w:div w:id="35551215">
      <w:bodyDiv w:val="1"/>
      <w:marLeft w:val="0"/>
      <w:marRight w:val="0"/>
      <w:marTop w:val="0"/>
      <w:marBottom w:val="0"/>
      <w:divBdr>
        <w:top w:val="none" w:sz="0" w:space="0" w:color="auto"/>
        <w:left w:val="none" w:sz="0" w:space="0" w:color="auto"/>
        <w:bottom w:val="none" w:sz="0" w:space="0" w:color="auto"/>
        <w:right w:val="none" w:sz="0" w:space="0" w:color="auto"/>
      </w:divBdr>
    </w:div>
    <w:div w:id="35783013">
      <w:bodyDiv w:val="1"/>
      <w:marLeft w:val="0"/>
      <w:marRight w:val="0"/>
      <w:marTop w:val="0"/>
      <w:marBottom w:val="0"/>
      <w:divBdr>
        <w:top w:val="none" w:sz="0" w:space="0" w:color="auto"/>
        <w:left w:val="none" w:sz="0" w:space="0" w:color="auto"/>
        <w:bottom w:val="none" w:sz="0" w:space="0" w:color="auto"/>
        <w:right w:val="none" w:sz="0" w:space="0" w:color="auto"/>
      </w:divBdr>
    </w:div>
    <w:div w:id="35784243">
      <w:bodyDiv w:val="1"/>
      <w:marLeft w:val="0"/>
      <w:marRight w:val="0"/>
      <w:marTop w:val="0"/>
      <w:marBottom w:val="0"/>
      <w:divBdr>
        <w:top w:val="none" w:sz="0" w:space="0" w:color="auto"/>
        <w:left w:val="none" w:sz="0" w:space="0" w:color="auto"/>
        <w:bottom w:val="none" w:sz="0" w:space="0" w:color="auto"/>
        <w:right w:val="none" w:sz="0" w:space="0" w:color="auto"/>
      </w:divBdr>
    </w:div>
    <w:div w:id="35787641">
      <w:bodyDiv w:val="1"/>
      <w:marLeft w:val="0"/>
      <w:marRight w:val="0"/>
      <w:marTop w:val="0"/>
      <w:marBottom w:val="0"/>
      <w:divBdr>
        <w:top w:val="none" w:sz="0" w:space="0" w:color="auto"/>
        <w:left w:val="none" w:sz="0" w:space="0" w:color="auto"/>
        <w:bottom w:val="none" w:sz="0" w:space="0" w:color="auto"/>
        <w:right w:val="none" w:sz="0" w:space="0" w:color="auto"/>
      </w:divBdr>
    </w:div>
    <w:div w:id="35854708">
      <w:bodyDiv w:val="1"/>
      <w:marLeft w:val="0"/>
      <w:marRight w:val="0"/>
      <w:marTop w:val="0"/>
      <w:marBottom w:val="0"/>
      <w:divBdr>
        <w:top w:val="none" w:sz="0" w:space="0" w:color="auto"/>
        <w:left w:val="none" w:sz="0" w:space="0" w:color="auto"/>
        <w:bottom w:val="none" w:sz="0" w:space="0" w:color="auto"/>
        <w:right w:val="none" w:sz="0" w:space="0" w:color="auto"/>
      </w:divBdr>
    </w:div>
    <w:div w:id="36127103">
      <w:bodyDiv w:val="1"/>
      <w:marLeft w:val="0"/>
      <w:marRight w:val="0"/>
      <w:marTop w:val="0"/>
      <w:marBottom w:val="0"/>
      <w:divBdr>
        <w:top w:val="none" w:sz="0" w:space="0" w:color="auto"/>
        <w:left w:val="none" w:sz="0" w:space="0" w:color="auto"/>
        <w:bottom w:val="none" w:sz="0" w:space="0" w:color="auto"/>
        <w:right w:val="none" w:sz="0" w:space="0" w:color="auto"/>
      </w:divBdr>
    </w:div>
    <w:div w:id="36392227">
      <w:bodyDiv w:val="1"/>
      <w:marLeft w:val="0"/>
      <w:marRight w:val="0"/>
      <w:marTop w:val="0"/>
      <w:marBottom w:val="0"/>
      <w:divBdr>
        <w:top w:val="none" w:sz="0" w:space="0" w:color="auto"/>
        <w:left w:val="none" w:sz="0" w:space="0" w:color="auto"/>
        <w:bottom w:val="none" w:sz="0" w:space="0" w:color="auto"/>
        <w:right w:val="none" w:sz="0" w:space="0" w:color="auto"/>
      </w:divBdr>
    </w:div>
    <w:div w:id="36397371">
      <w:bodyDiv w:val="1"/>
      <w:marLeft w:val="0"/>
      <w:marRight w:val="0"/>
      <w:marTop w:val="0"/>
      <w:marBottom w:val="0"/>
      <w:divBdr>
        <w:top w:val="none" w:sz="0" w:space="0" w:color="auto"/>
        <w:left w:val="none" w:sz="0" w:space="0" w:color="auto"/>
        <w:bottom w:val="none" w:sz="0" w:space="0" w:color="auto"/>
        <w:right w:val="none" w:sz="0" w:space="0" w:color="auto"/>
      </w:divBdr>
    </w:div>
    <w:div w:id="36439019">
      <w:bodyDiv w:val="1"/>
      <w:marLeft w:val="0"/>
      <w:marRight w:val="0"/>
      <w:marTop w:val="0"/>
      <w:marBottom w:val="0"/>
      <w:divBdr>
        <w:top w:val="none" w:sz="0" w:space="0" w:color="auto"/>
        <w:left w:val="none" w:sz="0" w:space="0" w:color="auto"/>
        <w:bottom w:val="none" w:sz="0" w:space="0" w:color="auto"/>
        <w:right w:val="none" w:sz="0" w:space="0" w:color="auto"/>
      </w:divBdr>
    </w:div>
    <w:div w:id="36441018">
      <w:bodyDiv w:val="1"/>
      <w:marLeft w:val="0"/>
      <w:marRight w:val="0"/>
      <w:marTop w:val="0"/>
      <w:marBottom w:val="0"/>
      <w:divBdr>
        <w:top w:val="none" w:sz="0" w:space="0" w:color="auto"/>
        <w:left w:val="none" w:sz="0" w:space="0" w:color="auto"/>
        <w:bottom w:val="none" w:sz="0" w:space="0" w:color="auto"/>
        <w:right w:val="none" w:sz="0" w:space="0" w:color="auto"/>
      </w:divBdr>
    </w:div>
    <w:div w:id="36467471">
      <w:bodyDiv w:val="1"/>
      <w:marLeft w:val="0"/>
      <w:marRight w:val="0"/>
      <w:marTop w:val="0"/>
      <w:marBottom w:val="0"/>
      <w:divBdr>
        <w:top w:val="none" w:sz="0" w:space="0" w:color="auto"/>
        <w:left w:val="none" w:sz="0" w:space="0" w:color="auto"/>
        <w:bottom w:val="none" w:sz="0" w:space="0" w:color="auto"/>
        <w:right w:val="none" w:sz="0" w:space="0" w:color="auto"/>
      </w:divBdr>
    </w:div>
    <w:div w:id="36467678">
      <w:bodyDiv w:val="1"/>
      <w:marLeft w:val="0"/>
      <w:marRight w:val="0"/>
      <w:marTop w:val="0"/>
      <w:marBottom w:val="0"/>
      <w:divBdr>
        <w:top w:val="none" w:sz="0" w:space="0" w:color="auto"/>
        <w:left w:val="none" w:sz="0" w:space="0" w:color="auto"/>
        <w:bottom w:val="none" w:sz="0" w:space="0" w:color="auto"/>
        <w:right w:val="none" w:sz="0" w:space="0" w:color="auto"/>
      </w:divBdr>
    </w:div>
    <w:div w:id="36783169">
      <w:bodyDiv w:val="1"/>
      <w:marLeft w:val="0"/>
      <w:marRight w:val="0"/>
      <w:marTop w:val="0"/>
      <w:marBottom w:val="0"/>
      <w:divBdr>
        <w:top w:val="none" w:sz="0" w:space="0" w:color="auto"/>
        <w:left w:val="none" w:sz="0" w:space="0" w:color="auto"/>
        <w:bottom w:val="none" w:sz="0" w:space="0" w:color="auto"/>
        <w:right w:val="none" w:sz="0" w:space="0" w:color="auto"/>
      </w:divBdr>
    </w:div>
    <w:div w:id="36898857">
      <w:bodyDiv w:val="1"/>
      <w:marLeft w:val="0"/>
      <w:marRight w:val="0"/>
      <w:marTop w:val="0"/>
      <w:marBottom w:val="0"/>
      <w:divBdr>
        <w:top w:val="none" w:sz="0" w:space="0" w:color="auto"/>
        <w:left w:val="none" w:sz="0" w:space="0" w:color="auto"/>
        <w:bottom w:val="none" w:sz="0" w:space="0" w:color="auto"/>
        <w:right w:val="none" w:sz="0" w:space="0" w:color="auto"/>
      </w:divBdr>
    </w:div>
    <w:div w:id="37049257">
      <w:bodyDiv w:val="1"/>
      <w:marLeft w:val="0"/>
      <w:marRight w:val="0"/>
      <w:marTop w:val="0"/>
      <w:marBottom w:val="0"/>
      <w:divBdr>
        <w:top w:val="none" w:sz="0" w:space="0" w:color="auto"/>
        <w:left w:val="none" w:sz="0" w:space="0" w:color="auto"/>
        <w:bottom w:val="none" w:sz="0" w:space="0" w:color="auto"/>
        <w:right w:val="none" w:sz="0" w:space="0" w:color="auto"/>
      </w:divBdr>
    </w:div>
    <w:div w:id="37165205">
      <w:bodyDiv w:val="1"/>
      <w:marLeft w:val="0"/>
      <w:marRight w:val="0"/>
      <w:marTop w:val="0"/>
      <w:marBottom w:val="0"/>
      <w:divBdr>
        <w:top w:val="none" w:sz="0" w:space="0" w:color="auto"/>
        <w:left w:val="none" w:sz="0" w:space="0" w:color="auto"/>
        <w:bottom w:val="none" w:sz="0" w:space="0" w:color="auto"/>
        <w:right w:val="none" w:sz="0" w:space="0" w:color="auto"/>
      </w:divBdr>
    </w:div>
    <w:div w:id="37317107">
      <w:bodyDiv w:val="1"/>
      <w:marLeft w:val="0"/>
      <w:marRight w:val="0"/>
      <w:marTop w:val="0"/>
      <w:marBottom w:val="0"/>
      <w:divBdr>
        <w:top w:val="none" w:sz="0" w:space="0" w:color="auto"/>
        <w:left w:val="none" w:sz="0" w:space="0" w:color="auto"/>
        <w:bottom w:val="none" w:sz="0" w:space="0" w:color="auto"/>
        <w:right w:val="none" w:sz="0" w:space="0" w:color="auto"/>
      </w:divBdr>
    </w:div>
    <w:div w:id="37318166">
      <w:bodyDiv w:val="1"/>
      <w:marLeft w:val="0"/>
      <w:marRight w:val="0"/>
      <w:marTop w:val="0"/>
      <w:marBottom w:val="0"/>
      <w:divBdr>
        <w:top w:val="none" w:sz="0" w:space="0" w:color="auto"/>
        <w:left w:val="none" w:sz="0" w:space="0" w:color="auto"/>
        <w:bottom w:val="none" w:sz="0" w:space="0" w:color="auto"/>
        <w:right w:val="none" w:sz="0" w:space="0" w:color="auto"/>
      </w:divBdr>
    </w:div>
    <w:div w:id="37626029">
      <w:bodyDiv w:val="1"/>
      <w:marLeft w:val="0"/>
      <w:marRight w:val="0"/>
      <w:marTop w:val="0"/>
      <w:marBottom w:val="0"/>
      <w:divBdr>
        <w:top w:val="none" w:sz="0" w:space="0" w:color="auto"/>
        <w:left w:val="none" w:sz="0" w:space="0" w:color="auto"/>
        <w:bottom w:val="none" w:sz="0" w:space="0" w:color="auto"/>
        <w:right w:val="none" w:sz="0" w:space="0" w:color="auto"/>
      </w:divBdr>
    </w:div>
    <w:div w:id="37630278">
      <w:bodyDiv w:val="1"/>
      <w:marLeft w:val="0"/>
      <w:marRight w:val="0"/>
      <w:marTop w:val="0"/>
      <w:marBottom w:val="0"/>
      <w:divBdr>
        <w:top w:val="none" w:sz="0" w:space="0" w:color="auto"/>
        <w:left w:val="none" w:sz="0" w:space="0" w:color="auto"/>
        <w:bottom w:val="none" w:sz="0" w:space="0" w:color="auto"/>
        <w:right w:val="none" w:sz="0" w:space="0" w:color="auto"/>
      </w:divBdr>
    </w:div>
    <w:div w:id="37706617">
      <w:bodyDiv w:val="1"/>
      <w:marLeft w:val="0"/>
      <w:marRight w:val="0"/>
      <w:marTop w:val="0"/>
      <w:marBottom w:val="0"/>
      <w:divBdr>
        <w:top w:val="none" w:sz="0" w:space="0" w:color="auto"/>
        <w:left w:val="none" w:sz="0" w:space="0" w:color="auto"/>
        <w:bottom w:val="none" w:sz="0" w:space="0" w:color="auto"/>
        <w:right w:val="none" w:sz="0" w:space="0" w:color="auto"/>
      </w:divBdr>
    </w:div>
    <w:div w:id="37780390">
      <w:bodyDiv w:val="1"/>
      <w:marLeft w:val="0"/>
      <w:marRight w:val="0"/>
      <w:marTop w:val="0"/>
      <w:marBottom w:val="0"/>
      <w:divBdr>
        <w:top w:val="none" w:sz="0" w:space="0" w:color="auto"/>
        <w:left w:val="none" w:sz="0" w:space="0" w:color="auto"/>
        <w:bottom w:val="none" w:sz="0" w:space="0" w:color="auto"/>
        <w:right w:val="none" w:sz="0" w:space="0" w:color="auto"/>
      </w:divBdr>
    </w:div>
    <w:div w:id="37780570">
      <w:bodyDiv w:val="1"/>
      <w:marLeft w:val="0"/>
      <w:marRight w:val="0"/>
      <w:marTop w:val="0"/>
      <w:marBottom w:val="0"/>
      <w:divBdr>
        <w:top w:val="none" w:sz="0" w:space="0" w:color="auto"/>
        <w:left w:val="none" w:sz="0" w:space="0" w:color="auto"/>
        <w:bottom w:val="none" w:sz="0" w:space="0" w:color="auto"/>
        <w:right w:val="none" w:sz="0" w:space="0" w:color="auto"/>
      </w:divBdr>
    </w:div>
    <w:div w:id="37897857">
      <w:bodyDiv w:val="1"/>
      <w:marLeft w:val="0"/>
      <w:marRight w:val="0"/>
      <w:marTop w:val="0"/>
      <w:marBottom w:val="0"/>
      <w:divBdr>
        <w:top w:val="none" w:sz="0" w:space="0" w:color="auto"/>
        <w:left w:val="none" w:sz="0" w:space="0" w:color="auto"/>
        <w:bottom w:val="none" w:sz="0" w:space="0" w:color="auto"/>
        <w:right w:val="none" w:sz="0" w:space="0" w:color="auto"/>
      </w:divBdr>
    </w:div>
    <w:div w:id="37946246">
      <w:bodyDiv w:val="1"/>
      <w:marLeft w:val="0"/>
      <w:marRight w:val="0"/>
      <w:marTop w:val="0"/>
      <w:marBottom w:val="0"/>
      <w:divBdr>
        <w:top w:val="none" w:sz="0" w:space="0" w:color="auto"/>
        <w:left w:val="none" w:sz="0" w:space="0" w:color="auto"/>
        <w:bottom w:val="none" w:sz="0" w:space="0" w:color="auto"/>
        <w:right w:val="none" w:sz="0" w:space="0" w:color="auto"/>
      </w:divBdr>
    </w:div>
    <w:div w:id="37976570">
      <w:bodyDiv w:val="1"/>
      <w:marLeft w:val="0"/>
      <w:marRight w:val="0"/>
      <w:marTop w:val="0"/>
      <w:marBottom w:val="0"/>
      <w:divBdr>
        <w:top w:val="none" w:sz="0" w:space="0" w:color="auto"/>
        <w:left w:val="none" w:sz="0" w:space="0" w:color="auto"/>
        <w:bottom w:val="none" w:sz="0" w:space="0" w:color="auto"/>
        <w:right w:val="none" w:sz="0" w:space="0" w:color="auto"/>
      </w:divBdr>
    </w:div>
    <w:div w:id="37977443">
      <w:bodyDiv w:val="1"/>
      <w:marLeft w:val="0"/>
      <w:marRight w:val="0"/>
      <w:marTop w:val="0"/>
      <w:marBottom w:val="0"/>
      <w:divBdr>
        <w:top w:val="none" w:sz="0" w:space="0" w:color="auto"/>
        <w:left w:val="none" w:sz="0" w:space="0" w:color="auto"/>
        <w:bottom w:val="none" w:sz="0" w:space="0" w:color="auto"/>
        <w:right w:val="none" w:sz="0" w:space="0" w:color="auto"/>
      </w:divBdr>
    </w:div>
    <w:div w:id="38022270">
      <w:bodyDiv w:val="1"/>
      <w:marLeft w:val="0"/>
      <w:marRight w:val="0"/>
      <w:marTop w:val="0"/>
      <w:marBottom w:val="0"/>
      <w:divBdr>
        <w:top w:val="none" w:sz="0" w:space="0" w:color="auto"/>
        <w:left w:val="none" w:sz="0" w:space="0" w:color="auto"/>
        <w:bottom w:val="none" w:sz="0" w:space="0" w:color="auto"/>
        <w:right w:val="none" w:sz="0" w:space="0" w:color="auto"/>
      </w:divBdr>
    </w:div>
    <w:div w:id="38238822">
      <w:bodyDiv w:val="1"/>
      <w:marLeft w:val="0"/>
      <w:marRight w:val="0"/>
      <w:marTop w:val="0"/>
      <w:marBottom w:val="0"/>
      <w:divBdr>
        <w:top w:val="none" w:sz="0" w:space="0" w:color="auto"/>
        <w:left w:val="none" w:sz="0" w:space="0" w:color="auto"/>
        <w:bottom w:val="none" w:sz="0" w:space="0" w:color="auto"/>
        <w:right w:val="none" w:sz="0" w:space="0" w:color="auto"/>
      </w:divBdr>
    </w:div>
    <w:div w:id="38238953">
      <w:bodyDiv w:val="1"/>
      <w:marLeft w:val="0"/>
      <w:marRight w:val="0"/>
      <w:marTop w:val="0"/>
      <w:marBottom w:val="0"/>
      <w:divBdr>
        <w:top w:val="none" w:sz="0" w:space="0" w:color="auto"/>
        <w:left w:val="none" w:sz="0" w:space="0" w:color="auto"/>
        <w:bottom w:val="none" w:sz="0" w:space="0" w:color="auto"/>
        <w:right w:val="none" w:sz="0" w:space="0" w:color="auto"/>
      </w:divBdr>
    </w:div>
    <w:div w:id="38358507">
      <w:bodyDiv w:val="1"/>
      <w:marLeft w:val="0"/>
      <w:marRight w:val="0"/>
      <w:marTop w:val="0"/>
      <w:marBottom w:val="0"/>
      <w:divBdr>
        <w:top w:val="none" w:sz="0" w:space="0" w:color="auto"/>
        <w:left w:val="none" w:sz="0" w:space="0" w:color="auto"/>
        <w:bottom w:val="none" w:sz="0" w:space="0" w:color="auto"/>
        <w:right w:val="none" w:sz="0" w:space="0" w:color="auto"/>
      </w:divBdr>
    </w:div>
    <w:div w:id="38363041">
      <w:bodyDiv w:val="1"/>
      <w:marLeft w:val="0"/>
      <w:marRight w:val="0"/>
      <w:marTop w:val="0"/>
      <w:marBottom w:val="0"/>
      <w:divBdr>
        <w:top w:val="none" w:sz="0" w:space="0" w:color="auto"/>
        <w:left w:val="none" w:sz="0" w:space="0" w:color="auto"/>
        <w:bottom w:val="none" w:sz="0" w:space="0" w:color="auto"/>
        <w:right w:val="none" w:sz="0" w:space="0" w:color="auto"/>
      </w:divBdr>
    </w:div>
    <w:div w:id="38408131">
      <w:bodyDiv w:val="1"/>
      <w:marLeft w:val="0"/>
      <w:marRight w:val="0"/>
      <w:marTop w:val="0"/>
      <w:marBottom w:val="0"/>
      <w:divBdr>
        <w:top w:val="none" w:sz="0" w:space="0" w:color="auto"/>
        <w:left w:val="none" w:sz="0" w:space="0" w:color="auto"/>
        <w:bottom w:val="none" w:sz="0" w:space="0" w:color="auto"/>
        <w:right w:val="none" w:sz="0" w:space="0" w:color="auto"/>
      </w:divBdr>
    </w:div>
    <w:div w:id="38480360">
      <w:bodyDiv w:val="1"/>
      <w:marLeft w:val="0"/>
      <w:marRight w:val="0"/>
      <w:marTop w:val="0"/>
      <w:marBottom w:val="0"/>
      <w:divBdr>
        <w:top w:val="none" w:sz="0" w:space="0" w:color="auto"/>
        <w:left w:val="none" w:sz="0" w:space="0" w:color="auto"/>
        <w:bottom w:val="none" w:sz="0" w:space="0" w:color="auto"/>
        <w:right w:val="none" w:sz="0" w:space="0" w:color="auto"/>
      </w:divBdr>
    </w:div>
    <w:div w:id="38554858">
      <w:bodyDiv w:val="1"/>
      <w:marLeft w:val="0"/>
      <w:marRight w:val="0"/>
      <w:marTop w:val="0"/>
      <w:marBottom w:val="0"/>
      <w:divBdr>
        <w:top w:val="none" w:sz="0" w:space="0" w:color="auto"/>
        <w:left w:val="none" w:sz="0" w:space="0" w:color="auto"/>
        <w:bottom w:val="none" w:sz="0" w:space="0" w:color="auto"/>
        <w:right w:val="none" w:sz="0" w:space="0" w:color="auto"/>
      </w:divBdr>
    </w:div>
    <w:div w:id="38555676">
      <w:bodyDiv w:val="1"/>
      <w:marLeft w:val="0"/>
      <w:marRight w:val="0"/>
      <w:marTop w:val="0"/>
      <w:marBottom w:val="0"/>
      <w:divBdr>
        <w:top w:val="none" w:sz="0" w:space="0" w:color="auto"/>
        <w:left w:val="none" w:sz="0" w:space="0" w:color="auto"/>
        <w:bottom w:val="none" w:sz="0" w:space="0" w:color="auto"/>
        <w:right w:val="none" w:sz="0" w:space="0" w:color="auto"/>
      </w:divBdr>
    </w:div>
    <w:div w:id="38558016">
      <w:bodyDiv w:val="1"/>
      <w:marLeft w:val="0"/>
      <w:marRight w:val="0"/>
      <w:marTop w:val="0"/>
      <w:marBottom w:val="0"/>
      <w:divBdr>
        <w:top w:val="none" w:sz="0" w:space="0" w:color="auto"/>
        <w:left w:val="none" w:sz="0" w:space="0" w:color="auto"/>
        <w:bottom w:val="none" w:sz="0" w:space="0" w:color="auto"/>
        <w:right w:val="none" w:sz="0" w:space="0" w:color="auto"/>
      </w:divBdr>
    </w:div>
    <w:div w:id="38668630">
      <w:bodyDiv w:val="1"/>
      <w:marLeft w:val="0"/>
      <w:marRight w:val="0"/>
      <w:marTop w:val="0"/>
      <w:marBottom w:val="0"/>
      <w:divBdr>
        <w:top w:val="none" w:sz="0" w:space="0" w:color="auto"/>
        <w:left w:val="none" w:sz="0" w:space="0" w:color="auto"/>
        <w:bottom w:val="none" w:sz="0" w:space="0" w:color="auto"/>
        <w:right w:val="none" w:sz="0" w:space="0" w:color="auto"/>
      </w:divBdr>
    </w:div>
    <w:div w:id="38673000">
      <w:bodyDiv w:val="1"/>
      <w:marLeft w:val="0"/>
      <w:marRight w:val="0"/>
      <w:marTop w:val="0"/>
      <w:marBottom w:val="0"/>
      <w:divBdr>
        <w:top w:val="none" w:sz="0" w:space="0" w:color="auto"/>
        <w:left w:val="none" w:sz="0" w:space="0" w:color="auto"/>
        <w:bottom w:val="none" w:sz="0" w:space="0" w:color="auto"/>
        <w:right w:val="none" w:sz="0" w:space="0" w:color="auto"/>
      </w:divBdr>
    </w:div>
    <w:div w:id="38751240">
      <w:bodyDiv w:val="1"/>
      <w:marLeft w:val="0"/>
      <w:marRight w:val="0"/>
      <w:marTop w:val="0"/>
      <w:marBottom w:val="0"/>
      <w:divBdr>
        <w:top w:val="none" w:sz="0" w:space="0" w:color="auto"/>
        <w:left w:val="none" w:sz="0" w:space="0" w:color="auto"/>
        <w:bottom w:val="none" w:sz="0" w:space="0" w:color="auto"/>
        <w:right w:val="none" w:sz="0" w:space="0" w:color="auto"/>
      </w:divBdr>
    </w:div>
    <w:div w:id="38866050">
      <w:bodyDiv w:val="1"/>
      <w:marLeft w:val="0"/>
      <w:marRight w:val="0"/>
      <w:marTop w:val="0"/>
      <w:marBottom w:val="0"/>
      <w:divBdr>
        <w:top w:val="none" w:sz="0" w:space="0" w:color="auto"/>
        <w:left w:val="none" w:sz="0" w:space="0" w:color="auto"/>
        <w:bottom w:val="none" w:sz="0" w:space="0" w:color="auto"/>
        <w:right w:val="none" w:sz="0" w:space="0" w:color="auto"/>
      </w:divBdr>
    </w:div>
    <w:div w:id="39063113">
      <w:bodyDiv w:val="1"/>
      <w:marLeft w:val="0"/>
      <w:marRight w:val="0"/>
      <w:marTop w:val="0"/>
      <w:marBottom w:val="0"/>
      <w:divBdr>
        <w:top w:val="none" w:sz="0" w:space="0" w:color="auto"/>
        <w:left w:val="none" w:sz="0" w:space="0" w:color="auto"/>
        <w:bottom w:val="none" w:sz="0" w:space="0" w:color="auto"/>
        <w:right w:val="none" w:sz="0" w:space="0" w:color="auto"/>
      </w:divBdr>
    </w:div>
    <w:div w:id="39208883">
      <w:bodyDiv w:val="1"/>
      <w:marLeft w:val="0"/>
      <w:marRight w:val="0"/>
      <w:marTop w:val="0"/>
      <w:marBottom w:val="0"/>
      <w:divBdr>
        <w:top w:val="none" w:sz="0" w:space="0" w:color="auto"/>
        <w:left w:val="none" w:sz="0" w:space="0" w:color="auto"/>
        <w:bottom w:val="none" w:sz="0" w:space="0" w:color="auto"/>
        <w:right w:val="none" w:sz="0" w:space="0" w:color="auto"/>
      </w:divBdr>
    </w:div>
    <w:div w:id="39284993">
      <w:bodyDiv w:val="1"/>
      <w:marLeft w:val="0"/>
      <w:marRight w:val="0"/>
      <w:marTop w:val="0"/>
      <w:marBottom w:val="0"/>
      <w:divBdr>
        <w:top w:val="none" w:sz="0" w:space="0" w:color="auto"/>
        <w:left w:val="none" w:sz="0" w:space="0" w:color="auto"/>
        <w:bottom w:val="none" w:sz="0" w:space="0" w:color="auto"/>
        <w:right w:val="none" w:sz="0" w:space="0" w:color="auto"/>
      </w:divBdr>
    </w:div>
    <w:div w:id="39331072">
      <w:bodyDiv w:val="1"/>
      <w:marLeft w:val="0"/>
      <w:marRight w:val="0"/>
      <w:marTop w:val="0"/>
      <w:marBottom w:val="0"/>
      <w:divBdr>
        <w:top w:val="none" w:sz="0" w:space="0" w:color="auto"/>
        <w:left w:val="none" w:sz="0" w:space="0" w:color="auto"/>
        <w:bottom w:val="none" w:sz="0" w:space="0" w:color="auto"/>
        <w:right w:val="none" w:sz="0" w:space="0" w:color="auto"/>
      </w:divBdr>
    </w:div>
    <w:div w:id="39398911">
      <w:bodyDiv w:val="1"/>
      <w:marLeft w:val="0"/>
      <w:marRight w:val="0"/>
      <w:marTop w:val="0"/>
      <w:marBottom w:val="0"/>
      <w:divBdr>
        <w:top w:val="none" w:sz="0" w:space="0" w:color="auto"/>
        <w:left w:val="none" w:sz="0" w:space="0" w:color="auto"/>
        <w:bottom w:val="none" w:sz="0" w:space="0" w:color="auto"/>
        <w:right w:val="none" w:sz="0" w:space="0" w:color="auto"/>
      </w:divBdr>
    </w:div>
    <w:div w:id="39403077">
      <w:bodyDiv w:val="1"/>
      <w:marLeft w:val="0"/>
      <w:marRight w:val="0"/>
      <w:marTop w:val="0"/>
      <w:marBottom w:val="0"/>
      <w:divBdr>
        <w:top w:val="none" w:sz="0" w:space="0" w:color="auto"/>
        <w:left w:val="none" w:sz="0" w:space="0" w:color="auto"/>
        <w:bottom w:val="none" w:sz="0" w:space="0" w:color="auto"/>
        <w:right w:val="none" w:sz="0" w:space="0" w:color="auto"/>
      </w:divBdr>
    </w:div>
    <w:div w:id="39406895">
      <w:bodyDiv w:val="1"/>
      <w:marLeft w:val="0"/>
      <w:marRight w:val="0"/>
      <w:marTop w:val="0"/>
      <w:marBottom w:val="0"/>
      <w:divBdr>
        <w:top w:val="none" w:sz="0" w:space="0" w:color="auto"/>
        <w:left w:val="none" w:sz="0" w:space="0" w:color="auto"/>
        <w:bottom w:val="none" w:sz="0" w:space="0" w:color="auto"/>
        <w:right w:val="none" w:sz="0" w:space="0" w:color="auto"/>
      </w:divBdr>
    </w:div>
    <w:div w:id="39480395">
      <w:bodyDiv w:val="1"/>
      <w:marLeft w:val="0"/>
      <w:marRight w:val="0"/>
      <w:marTop w:val="0"/>
      <w:marBottom w:val="0"/>
      <w:divBdr>
        <w:top w:val="none" w:sz="0" w:space="0" w:color="auto"/>
        <w:left w:val="none" w:sz="0" w:space="0" w:color="auto"/>
        <w:bottom w:val="none" w:sz="0" w:space="0" w:color="auto"/>
        <w:right w:val="none" w:sz="0" w:space="0" w:color="auto"/>
      </w:divBdr>
    </w:div>
    <w:div w:id="39480533">
      <w:bodyDiv w:val="1"/>
      <w:marLeft w:val="0"/>
      <w:marRight w:val="0"/>
      <w:marTop w:val="0"/>
      <w:marBottom w:val="0"/>
      <w:divBdr>
        <w:top w:val="none" w:sz="0" w:space="0" w:color="auto"/>
        <w:left w:val="none" w:sz="0" w:space="0" w:color="auto"/>
        <w:bottom w:val="none" w:sz="0" w:space="0" w:color="auto"/>
        <w:right w:val="none" w:sz="0" w:space="0" w:color="auto"/>
      </w:divBdr>
    </w:div>
    <w:div w:id="39715472">
      <w:bodyDiv w:val="1"/>
      <w:marLeft w:val="0"/>
      <w:marRight w:val="0"/>
      <w:marTop w:val="0"/>
      <w:marBottom w:val="0"/>
      <w:divBdr>
        <w:top w:val="none" w:sz="0" w:space="0" w:color="auto"/>
        <w:left w:val="none" w:sz="0" w:space="0" w:color="auto"/>
        <w:bottom w:val="none" w:sz="0" w:space="0" w:color="auto"/>
        <w:right w:val="none" w:sz="0" w:space="0" w:color="auto"/>
      </w:divBdr>
    </w:div>
    <w:div w:id="39744077">
      <w:bodyDiv w:val="1"/>
      <w:marLeft w:val="0"/>
      <w:marRight w:val="0"/>
      <w:marTop w:val="0"/>
      <w:marBottom w:val="0"/>
      <w:divBdr>
        <w:top w:val="none" w:sz="0" w:space="0" w:color="auto"/>
        <w:left w:val="none" w:sz="0" w:space="0" w:color="auto"/>
        <w:bottom w:val="none" w:sz="0" w:space="0" w:color="auto"/>
        <w:right w:val="none" w:sz="0" w:space="0" w:color="auto"/>
      </w:divBdr>
    </w:div>
    <w:div w:id="39793606">
      <w:bodyDiv w:val="1"/>
      <w:marLeft w:val="0"/>
      <w:marRight w:val="0"/>
      <w:marTop w:val="0"/>
      <w:marBottom w:val="0"/>
      <w:divBdr>
        <w:top w:val="none" w:sz="0" w:space="0" w:color="auto"/>
        <w:left w:val="none" w:sz="0" w:space="0" w:color="auto"/>
        <w:bottom w:val="none" w:sz="0" w:space="0" w:color="auto"/>
        <w:right w:val="none" w:sz="0" w:space="0" w:color="auto"/>
      </w:divBdr>
    </w:div>
    <w:div w:id="39860656">
      <w:bodyDiv w:val="1"/>
      <w:marLeft w:val="0"/>
      <w:marRight w:val="0"/>
      <w:marTop w:val="0"/>
      <w:marBottom w:val="0"/>
      <w:divBdr>
        <w:top w:val="none" w:sz="0" w:space="0" w:color="auto"/>
        <w:left w:val="none" w:sz="0" w:space="0" w:color="auto"/>
        <w:bottom w:val="none" w:sz="0" w:space="0" w:color="auto"/>
        <w:right w:val="none" w:sz="0" w:space="0" w:color="auto"/>
      </w:divBdr>
    </w:div>
    <w:div w:id="39912529">
      <w:bodyDiv w:val="1"/>
      <w:marLeft w:val="0"/>
      <w:marRight w:val="0"/>
      <w:marTop w:val="0"/>
      <w:marBottom w:val="0"/>
      <w:divBdr>
        <w:top w:val="none" w:sz="0" w:space="0" w:color="auto"/>
        <w:left w:val="none" w:sz="0" w:space="0" w:color="auto"/>
        <w:bottom w:val="none" w:sz="0" w:space="0" w:color="auto"/>
        <w:right w:val="none" w:sz="0" w:space="0" w:color="auto"/>
      </w:divBdr>
    </w:div>
    <w:div w:id="40061518">
      <w:bodyDiv w:val="1"/>
      <w:marLeft w:val="0"/>
      <w:marRight w:val="0"/>
      <w:marTop w:val="0"/>
      <w:marBottom w:val="0"/>
      <w:divBdr>
        <w:top w:val="none" w:sz="0" w:space="0" w:color="auto"/>
        <w:left w:val="none" w:sz="0" w:space="0" w:color="auto"/>
        <w:bottom w:val="none" w:sz="0" w:space="0" w:color="auto"/>
        <w:right w:val="none" w:sz="0" w:space="0" w:color="auto"/>
      </w:divBdr>
    </w:div>
    <w:div w:id="40138245">
      <w:bodyDiv w:val="1"/>
      <w:marLeft w:val="0"/>
      <w:marRight w:val="0"/>
      <w:marTop w:val="0"/>
      <w:marBottom w:val="0"/>
      <w:divBdr>
        <w:top w:val="none" w:sz="0" w:space="0" w:color="auto"/>
        <w:left w:val="none" w:sz="0" w:space="0" w:color="auto"/>
        <w:bottom w:val="none" w:sz="0" w:space="0" w:color="auto"/>
        <w:right w:val="none" w:sz="0" w:space="0" w:color="auto"/>
      </w:divBdr>
    </w:div>
    <w:div w:id="40177259">
      <w:bodyDiv w:val="1"/>
      <w:marLeft w:val="0"/>
      <w:marRight w:val="0"/>
      <w:marTop w:val="0"/>
      <w:marBottom w:val="0"/>
      <w:divBdr>
        <w:top w:val="none" w:sz="0" w:space="0" w:color="auto"/>
        <w:left w:val="none" w:sz="0" w:space="0" w:color="auto"/>
        <w:bottom w:val="none" w:sz="0" w:space="0" w:color="auto"/>
        <w:right w:val="none" w:sz="0" w:space="0" w:color="auto"/>
      </w:divBdr>
    </w:div>
    <w:div w:id="40181063">
      <w:bodyDiv w:val="1"/>
      <w:marLeft w:val="0"/>
      <w:marRight w:val="0"/>
      <w:marTop w:val="0"/>
      <w:marBottom w:val="0"/>
      <w:divBdr>
        <w:top w:val="none" w:sz="0" w:space="0" w:color="auto"/>
        <w:left w:val="none" w:sz="0" w:space="0" w:color="auto"/>
        <w:bottom w:val="none" w:sz="0" w:space="0" w:color="auto"/>
        <w:right w:val="none" w:sz="0" w:space="0" w:color="auto"/>
      </w:divBdr>
    </w:div>
    <w:div w:id="40370694">
      <w:bodyDiv w:val="1"/>
      <w:marLeft w:val="0"/>
      <w:marRight w:val="0"/>
      <w:marTop w:val="0"/>
      <w:marBottom w:val="0"/>
      <w:divBdr>
        <w:top w:val="none" w:sz="0" w:space="0" w:color="auto"/>
        <w:left w:val="none" w:sz="0" w:space="0" w:color="auto"/>
        <w:bottom w:val="none" w:sz="0" w:space="0" w:color="auto"/>
        <w:right w:val="none" w:sz="0" w:space="0" w:color="auto"/>
      </w:divBdr>
    </w:div>
    <w:div w:id="40440757">
      <w:bodyDiv w:val="1"/>
      <w:marLeft w:val="0"/>
      <w:marRight w:val="0"/>
      <w:marTop w:val="0"/>
      <w:marBottom w:val="0"/>
      <w:divBdr>
        <w:top w:val="none" w:sz="0" w:space="0" w:color="auto"/>
        <w:left w:val="none" w:sz="0" w:space="0" w:color="auto"/>
        <w:bottom w:val="none" w:sz="0" w:space="0" w:color="auto"/>
        <w:right w:val="none" w:sz="0" w:space="0" w:color="auto"/>
      </w:divBdr>
    </w:div>
    <w:div w:id="40718556">
      <w:bodyDiv w:val="1"/>
      <w:marLeft w:val="0"/>
      <w:marRight w:val="0"/>
      <w:marTop w:val="0"/>
      <w:marBottom w:val="0"/>
      <w:divBdr>
        <w:top w:val="none" w:sz="0" w:space="0" w:color="auto"/>
        <w:left w:val="none" w:sz="0" w:space="0" w:color="auto"/>
        <w:bottom w:val="none" w:sz="0" w:space="0" w:color="auto"/>
        <w:right w:val="none" w:sz="0" w:space="0" w:color="auto"/>
      </w:divBdr>
    </w:div>
    <w:div w:id="40793437">
      <w:bodyDiv w:val="1"/>
      <w:marLeft w:val="0"/>
      <w:marRight w:val="0"/>
      <w:marTop w:val="0"/>
      <w:marBottom w:val="0"/>
      <w:divBdr>
        <w:top w:val="none" w:sz="0" w:space="0" w:color="auto"/>
        <w:left w:val="none" w:sz="0" w:space="0" w:color="auto"/>
        <w:bottom w:val="none" w:sz="0" w:space="0" w:color="auto"/>
        <w:right w:val="none" w:sz="0" w:space="0" w:color="auto"/>
      </w:divBdr>
    </w:div>
    <w:div w:id="40908395">
      <w:bodyDiv w:val="1"/>
      <w:marLeft w:val="0"/>
      <w:marRight w:val="0"/>
      <w:marTop w:val="0"/>
      <w:marBottom w:val="0"/>
      <w:divBdr>
        <w:top w:val="none" w:sz="0" w:space="0" w:color="auto"/>
        <w:left w:val="none" w:sz="0" w:space="0" w:color="auto"/>
        <w:bottom w:val="none" w:sz="0" w:space="0" w:color="auto"/>
        <w:right w:val="none" w:sz="0" w:space="0" w:color="auto"/>
      </w:divBdr>
    </w:div>
    <w:div w:id="40909065">
      <w:bodyDiv w:val="1"/>
      <w:marLeft w:val="0"/>
      <w:marRight w:val="0"/>
      <w:marTop w:val="0"/>
      <w:marBottom w:val="0"/>
      <w:divBdr>
        <w:top w:val="none" w:sz="0" w:space="0" w:color="auto"/>
        <w:left w:val="none" w:sz="0" w:space="0" w:color="auto"/>
        <w:bottom w:val="none" w:sz="0" w:space="0" w:color="auto"/>
        <w:right w:val="none" w:sz="0" w:space="0" w:color="auto"/>
      </w:divBdr>
    </w:div>
    <w:div w:id="40985681">
      <w:bodyDiv w:val="1"/>
      <w:marLeft w:val="0"/>
      <w:marRight w:val="0"/>
      <w:marTop w:val="0"/>
      <w:marBottom w:val="0"/>
      <w:divBdr>
        <w:top w:val="none" w:sz="0" w:space="0" w:color="auto"/>
        <w:left w:val="none" w:sz="0" w:space="0" w:color="auto"/>
        <w:bottom w:val="none" w:sz="0" w:space="0" w:color="auto"/>
        <w:right w:val="none" w:sz="0" w:space="0" w:color="auto"/>
      </w:divBdr>
    </w:div>
    <w:div w:id="41029664">
      <w:bodyDiv w:val="1"/>
      <w:marLeft w:val="0"/>
      <w:marRight w:val="0"/>
      <w:marTop w:val="0"/>
      <w:marBottom w:val="0"/>
      <w:divBdr>
        <w:top w:val="none" w:sz="0" w:space="0" w:color="auto"/>
        <w:left w:val="none" w:sz="0" w:space="0" w:color="auto"/>
        <w:bottom w:val="none" w:sz="0" w:space="0" w:color="auto"/>
        <w:right w:val="none" w:sz="0" w:space="0" w:color="auto"/>
      </w:divBdr>
    </w:div>
    <w:div w:id="41098208">
      <w:bodyDiv w:val="1"/>
      <w:marLeft w:val="0"/>
      <w:marRight w:val="0"/>
      <w:marTop w:val="0"/>
      <w:marBottom w:val="0"/>
      <w:divBdr>
        <w:top w:val="none" w:sz="0" w:space="0" w:color="auto"/>
        <w:left w:val="none" w:sz="0" w:space="0" w:color="auto"/>
        <w:bottom w:val="none" w:sz="0" w:space="0" w:color="auto"/>
        <w:right w:val="none" w:sz="0" w:space="0" w:color="auto"/>
      </w:divBdr>
    </w:div>
    <w:div w:id="41098756">
      <w:bodyDiv w:val="1"/>
      <w:marLeft w:val="0"/>
      <w:marRight w:val="0"/>
      <w:marTop w:val="0"/>
      <w:marBottom w:val="0"/>
      <w:divBdr>
        <w:top w:val="none" w:sz="0" w:space="0" w:color="auto"/>
        <w:left w:val="none" w:sz="0" w:space="0" w:color="auto"/>
        <w:bottom w:val="none" w:sz="0" w:space="0" w:color="auto"/>
        <w:right w:val="none" w:sz="0" w:space="0" w:color="auto"/>
      </w:divBdr>
    </w:div>
    <w:div w:id="41640891">
      <w:bodyDiv w:val="1"/>
      <w:marLeft w:val="0"/>
      <w:marRight w:val="0"/>
      <w:marTop w:val="0"/>
      <w:marBottom w:val="0"/>
      <w:divBdr>
        <w:top w:val="none" w:sz="0" w:space="0" w:color="auto"/>
        <w:left w:val="none" w:sz="0" w:space="0" w:color="auto"/>
        <w:bottom w:val="none" w:sz="0" w:space="0" w:color="auto"/>
        <w:right w:val="none" w:sz="0" w:space="0" w:color="auto"/>
      </w:divBdr>
    </w:div>
    <w:div w:id="41834275">
      <w:bodyDiv w:val="1"/>
      <w:marLeft w:val="0"/>
      <w:marRight w:val="0"/>
      <w:marTop w:val="0"/>
      <w:marBottom w:val="0"/>
      <w:divBdr>
        <w:top w:val="none" w:sz="0" w:space="0" w:color="auto"/>
        <w:left w:val="none" w:sz="0" w:space="0" w:color="auto"/>
        <w:bottom w:val="none" w:sz="0" w:space="0" w:color="auto"/>
        <w:right w:val="none" w:sz="0" w:space="0" w:color="auto"/>
      </w:divBdr>
    </w:div>
    <w:div w:id="41908081">
      <w:bodyDiv w:val="1"/>
      <w:marLeft w:val="0"/>
      <w:marRight w:val="0"/>
      <w:marTop w:val="0"/>
      <w:marBottom w:val="0"/>
      <w:divBdr>
        <w:top w:val="none" w:sz="0" w:space="0" w:color="auto"/>
        <w:left w:val="none" w:sz="0" w:space="0" w:color="auto"/>
        <w:bottom w:val="none" w:sz="0" w:space="0" w:color="auto"/>
        <w:right w:val="none" w:sz="0" w:space="0" w:color="auto"/>
      </w:divBdr>
    </w:div>
    <w:div w:id="41951793">
      <w:bodyDiv w:val="1"/>
      <w:marLeft w:val="0"/>
      <w:marRight w:val="0"/>
      <w:marTop w:val="0"/>
      <w:marBottom w:val="0"/>
      <w:divBdr>
        <w:top w:val="none" w:sz="0" w:space="0" w:color="auto"/>
        <w:left w:val="none" w:sz="0" w:space="0" w:color="auto"/>
        <w:bottom w:val="none" w:sz="0" w:space="0" w:color="auto"/>
        <w:right w:val="none" w:sz="0" w:space="0" w:color="auto"/>
      </w:divBdr>
    </w:div>
    <w:div w:id="42023360">
      <w:bodyDiv w:val="1"/>
      <w:marLeft w:val="0"/>
      <w:marRight w:val="0"/>
      <w:marTop w:val="0"/>
      <w:marBottom w:val="0"/>
      <w:divBdr>
        <w:top w:val="none" w:sz="0" w:space="0" w:color="auto"/>
        <w:left w:val="none" w:sz="0" w:space="0" w:color="auto"/>
        <w:bottom w:val="none" w:sz="0" w:space="0" w:color="auto"/>
        <w:right w:val="none" w:sz="0" w:space="0" w:color="auto"/>
      </w:divBdr>
    </w:div>
    <w:div w:id="42217612">
      <w:bodyDiv w:val="1"/>
      <w:marLeft w:val="0"/>
      <w:marRight w:val="0"/>
      <w:marTop w:val="0"/>
      <w:marBottom w:val="0"/>
      <w:divBdr>
        <w:top w:val="none" w:sz="0" w:space="0" w:color="auto"/>
        <w:left w:val="none" w:sz="0" w:space="0" w:color="auto"/>
        <w:bottom w:val="none" w:sz="0" w:space="0" w:color="auto"/>
        <w:right w:val="none" w:sz="0" w:space="0" w:color="auto"/>
      </w:divBdr>
    </w:div>
    <w:div w:id="42290188">
      <w:bodyDiv w:val="1"/>
      <w:marLeft w:val="0"/>
      <w:marRight w:val="0"/>
      <w:marTop w:val="0"/>
      <w:marBottom w:val="0"/>
      <w:divBdr>
        <w:top w:val="none" w:sz="0" w:space="0" w:color="auto"/>
        <w:left w:val="none" w:sz="0" w:space="0" w:color="auto"/>
        <w:bottom w:val="none" w:sz="0" w:space="0" w:color="auto"/>
        <w:right w:val="none" w:sz="0" w:space="0" w:color="auto"/>
      </w:divBdr>
    </w:div>
    <w:div w:id="42296936">
      <w:bodyDiv w:val="1"/>
      <w:marLeft w:val="0"/>
      <w:marRight w:val="0"/>
      <w:marTop w:val="0"/>
      <w:marBottom w:val="0"/>
      <w:divBdr>
        <w:top w:val="none" w:sz="0" w:space="0" w:color="auto"/>
        <w:left w:val="none" w:sz="0" w:space="0" w:color="auto"/>
        <w:bottom w:val="none" w:sz="0" w:space="0" w:color="auto"/>
        <w:right w:val="none" w:sz="0" w:space="0" w:color="auto"/>
      </w:divBdr>
    </w:div>
    <w:div w:id="42602184">
      <w:bodyDiv w:val="1"/>
      <w:marLeft w:val="0"/>
      <w:marRight w:val="0"/>
      <w:marTop w:val="0"/>
      <w:marBottom w:val="0"/>
      <w:divBdr>
        <w:top w:val="none" w:sz="0" w:space="0" w:color="auto"/>
        <w:left w:val="none" w:sz="0" w:space="0" w:color="auto"/>
        <w:bottom w:val="none" w:sz="0" w:space="0" w:color="auto"/>
        <w:right w:val="none" w:sz="0" w:space="0" w:color="auto"/>
      </w:divBdr>
    </w:div>
    <w:div w:id="42603945">
      <w:bodyDiv w:val="1"/>
      <w:marLeft w:val="0"/>
      <w:marRight w:val="0"/>
      <w:marTop w:val="0"/>
      <w:marBottom w:val="0"/>
      <w:divBdr>
        <w:top w:val="none" w:sz="0" w:space="0" w:color="auto"/>
        <w:left w:val="none" w:sz="0" w:space="0" w:color="auto"/>
        <w:bottom w:val="none" w:sz="0" w:space="0" w:color="auto"/>
        <w:right w:val="none" w:sz="0" w:space="0" w:color="auto"/>
      </w:divBdr>
    </w:div>
    <w:div w:id="42683577">
      <w:bodyDiv w:val="1"/>
      <w:marLeft w:val="0"/>
      <w:marRight w:val="0"/>
      <w:marTop w:val="0"/>
      <w:marBottom w:val="0"/>
      <w:divBdr>
        <w:top w:val="none" w:sz="0" w:space="0" w:color="auto"/>
        <w:left w:val="none" w:sz="0" w:space="0" w:color="auto"/>
        <w:bottom w:val="none" w:sz="0" w:space="0" w:color="auto"/>
        <w:right w:val="none" w:sz="0" w:space="0" w:color="auto"/>
      </w:divBdr>
    </w:div>
    <w:div w:id="42683642">
      <w:bodyDiv w:val="1"/>
      <w:marLeft w:val="0"/>
      <w:marRight w:val="0"/>
      <w:marTop w:val="0"/>
      <w:marBottom w:val="0"/>
      <w:divBdr>
        <w:top w:val="none" w:sz="0" w:space="0" w:color="auto"/>
        <w:left w:val="none" w:sz="0" w:space="0" w:color="auto"/>
        <w:bottom w:val="none" w:sz="0" w:space="0" w:color="auto"/>
        <w:right w:val="none" w:sz="0" w:space="0" w:color="auto"/>
      </w:divBdr>
    </w:div>
    <w:div w:id="42684394">
      <w:bodyDiv w:val="1"/>
      <w:marLeft w:val="0"/>
      <w:marRight w:val="0"/>
      <w:marTop w:val="0"/>
      <w:marBottom w:val="0"/>
      <w:divBdr>
        <w:top w:val="none" w:sz="0" w:space="0" w:color="auto"/>
        <w:left w:val="none" w:sz="0" w:space="0" w:color="auto"/>
        <w:bottom w:val="none" w:sz="0" w:space="0" w:color="auto"/>
        <w:right w:val="none" w:sz="0" w:space="0" w:color="auto"/>
      </w:divBdr>
    </w:div>
    <w:div w:id="42750276">
      <w:bodyDiv w:val="1"/>
      <w:marLeft w:val="0"/>
      <w:marRight w:val="0"/>
      <w:marTop w:val="0"/>
      <w:marBottom w:val="0"/>
      <w:divBdr>
        <w:top w:val="none" w:sz="0" w:space="0" w:color="auto"/>
        <w:left w:val="none" w:sz="0" w:space="0" w:color="auto"/>
        <w:bottom w:val="none" w:sz="0" w:space="0" w:color="auto"/>
        <w:right w:val="none" w:sz="0" w:space="0" w:color="auto"/>
      </w:divBdr>
    </w:div>
    <w:div w:id="42754373">
      <w:bodyDiv w:val="1"/>
      <w:marLeft w:val="0"/>
      <w:marRight w:val="0"/>
      <w:marTop w:val="0"/>
      <w:marBottom w:val="0"/>
      <w:divBdr>
        <w:top w:val="none" w:sz="0" w:space="0" w:color="auto"/>
        <w:left w:val="none" w:sz="0" w:space="0" w:color="auto"/>
        <w:bottom w:val="none" w:sz="0" w:space="0" w:color="auto"/>
        <w:right w:val="none" w:sz="0" w:space="0" w:color="auto"/>
      </w:divBdr>
    </w:div>
    <w:div w:id="42755178">
      <w:bodyDiv w:val="1"/>
      <w:marLeft w:val="0"/>
      <w:marRight w:val="0"/>
      <w:marTop w:val="0"/>
      <w:marBottom w:val="0"/>
      <w:divBdr>
        <w:top w:val="none" w:sz="0" w:space="0" w:color="auto"/>
        <w:left w:val="none" w:sz="0" w:space="0" w:color="auto"/>
        <w:bottom w:val="none" w:sz="0" w:space="0" w:color="auto"/>
        <w:right w:val="none" w:sz="0" w:space="0" w:color="auto"/>
      </w:divBdr>
    </w:div>
    <w:div w:id="42799406">
      <w:bodyDiv w:val="1"/>
      <w:marLeft w:val="0"/>
      <w:marRight w:val="0"/>
      <w:marTop w:val="0"/>
      <w:marBottom w:val="0"/>
      <w:divBdr>
        <w:top w:val="none" w:sz="0" w:space="0" w:color="auto"/>
        <w:left w:val="none" w:sz="0" w:space="0" w:color="auto"/>
        <w:bottom w:val="none" w:sz="0" w:space="0" w:color="auto"/>
        <w:right w:val="none" w:sz="0" w:space="0" w:color="auto"/>
      </w:divBdr>
    </w:div>
    <w:div w:id="42869982">
      <w:bodyDiv w:val="1"/>
      <w:marLeft w:val="0"/>
      <w:marRight w:val="0"/>
      <w:marTop w:val="0"/>
      <w:marBottom w:val="0"/>
      <w:divBdr>
        <w:top w:val="none" w:sz="0" w:space="0" w:color="auto"/>
        <w:left w:val="none" w:sz="0" w:space="0" w:color="auto"/>
        <w:bottom w:val="none" w:sz="0" w:space="0" w:color="auto"/>
        <w:right w:val="none" w:sz="0" w:space="0" w:color="auto"/>
      </w:divBdr>
    </w:div>
    <w:div w:id="42875150">
      <w:bodyDiv w:val="1"/>
      <w:marLeft w:val="0"/>
      <w:marRight w:val="0"/>
      <w:marTop w:val="0"/>
      <w:marBottom w:val="0"/>
      <w:divBdr>
        <w:top w:val="none" w:sz="0" w:space="0" w:color="auto"/>
        <w:left w:val="none" w:sz="0" w:space="0" w:color="auto"/>
        <w:bottom w:val="none" w:sz="0" w:space="0" w:color="auto"/>
        <w:right w:val="none" w:sz="0" w:space="0" w:color="auto"/>
      </w:divBdr>
    </w:div>
    <w:div w:id="42946473">
      <w:bodyDiv w:val="1"/>
      <w:marLeft w:val="0"/>
      <w:marRight w:val="0"/>
      <w:marTop w:val="0"/>
      <w:marBottom w:val="0"/>
      <w:divBdr>
        <w:top w:val="none" w:sz="0" w:space="0" w:color="auto"/>
        <w:left w:val="none" w:sz="0" w:space="0" w:color="auto"/>
        <w:bottom w:val="none" w:sz="0" w:space="0" w:color="auto"/>
        <w:right w:val="none" w:sz="0" w:space="0" w:color="auto"/>
      </w:divBdr>
    </w:div>
    <w:div w:id="43061671">
      <w:bodyDiv w:val="1"/>
      <w:marLeft w:val="0"/>
      <w:marRight w:val="0"/>
      <w:marTop w:val="0"/>
      <w:marBottom w:val="0"/>
      <w:divBdr>
        <w:top w:val="none" w:sz="0" w:space="0" w:color="auto"/>
        <w:left w:val="none" w:sz="0" w:space="0" w:color="auto"/>
        <w:bottom w:val="none" w:sz="0" w:space="0" w:color="auto"/>
        <w:right w:val="none" w:sz="0" w:space="0" w:color="auto"/>
      </w:divBdr>
    </w:div>
    <w:div w:id="43062529">
      <w:bodyDiv w:val="1"/>
      <w:marLeft w:val="0"/>
      <w:marRight w:val="0"/>
      <w:marTop w:val="0"/>
      <w:marBottom w:val="0"/>
      <w:divBdr>
        <w:top w:val="none" w:sz="0" w:space="0" w:color="auto"/>
        <w:left w:val="none" w:sz="0" w:space="0" w:color="auto"/>
        <w:bottom w:val="none" w:sz="0" w:space="0" w:color="auto"/>
        <w:right w:val="none" w:sz="0" w:space="0" w:color="auto"/>
      </w:divBdr>
    </w:div>
    <w:div w:id="43144971">
      <w:bodyDiv w:val="1"/>
      <w:marLeft w:val="0"/>
      <w:marRight w:val="0"/>
      <w:marTop w:val="0"/>
      <w:marBottom w:val="0"/>
      <w:divBdr>
        <w:top w:val="none" w:sz="0" w:space="0" w:color="auto"/>
        <w:left w:val="none" w:sz="0" w:space="0" w:color="auto"/>
        <w:bottom w:val="none" w:sz="0" w:space="0" w:color="auto"/>
        <w:right w:val="none" w:sz="0" w:space="0" w:color="auto"/>
      </w:divBdr>
    </w:div>
    <w:div w:id="43255316">
      <w:bodyDiv w:val="1"/>
      <w:marLeft w:val="0"/>
      <w:marRight w:val="0"/>
      <w:marTop w:val="0"/>
      <w:marBottom w:val="0"/>
      <w:divBdr>
        <w:top w:val="none" w:sz="0" w:space="0" w:color="auto"/>
        <w:left w:val="none" w:sz="0" w:space="0" w:color="auto"/>
        <w:bottom w:val="none" w:sz="0" w:space="0" w:color="auto"/>
        <w:right w:val="none" w:sz="0" w:space="0" w:color="auto"/>
      </w:divBdr>
    </w:div>
    <w:div w:id="43405504">
      <w:bodyDiv w:val="1"/>
      <w:marLeft w:val="0"/>
      <w:marRight w:val="0"/>
      <w:marTop w:val="0"/>
      <w:marBottom w:val="0"/>
      <w:divBdr>
        <w:top w:val="none" w:sz="0" w:space="0" w:color="auto"/>
        <w:left w:val="none" w:sz="0" w:space="0" w:color="auto"/>
        <w:bottom w:val="none" w:sz="0" w:space="0" w:color="auto"/>
        <w:right w:val="none" w:sz="0" w:space="0" w:color="auto"/>
      </w:divBdr>
    </w:div>
    <w:div w:id="43408480">
      <w:bodyDiv w:val="1"/>
      <w:marLeft w:val="0"/>
      <w:marRight w:val="0"/>
      <w:marTop w:val="0"/>
      <w:marBottom w:val="0"/>
      <w:divBdr>
        <w:top w:val="none" w:sz="0" w:space="0" w:color="auto"/>
        <w:left w:val="none" w:sz="0" w:space="0" w:color="auto"/>
        <w:bottom w:val="none" w:sz="0" w:space="0" w:color="auto"/>
        <w:right w:val="none" w:sz="0" w:space="0" w:color="auto"/>
      </w:divBdr>
    </w:div>
    <w:div w:id="43452379">
      <w:bodyDiv w:val="1"/>
      <w:marLeft w:val="0"/>
      <w:marRight w:val="0"/>
      <w:marTop w:val="0"/>
      <w:marBottom w:val="0"/>
      <w:divBdr>
        <w:top w:val="none" w:sz="0" w:space="0" w:color="auto"/>
        <w:left w:val="none" w:sz="0" w:space="0" w:color="auto"/>
        <w:bottom w:val="none" w:sz="0" w:space="0" w:color="auto"/>
        <w:right w:val="none" w:sz="0" w:space="0" w:color="auto"/>
      </w:divBdr>
    </w:div>
    <w:div w:id="43453511">
      <w:bodyDiv w:val="1"/>
      <w:marLeft w:val="0"/>
      <w:marRight w:val="0"/>
      <w:marTop w:val="0"/>
      <w:marBottom w:val="0"/>
      <w:divBdr>
        <w:top w:val="none" w:sz="0" w:space="0" w:color="auto"/>
        <w:left w:val="none" w:sz="0" w:space="0" w:color="auto"/>
        <w:bottom w:val="none" w:sz="0" w:space="0" w:color="auto"/>
        <w:right w:val="none" w:sz="0" w:space="0" w:color="auto"/>
      </w:divBdr>
    </w:div>
    <w:div w:id="43529305">
      <w:bodyDiv w:val="1"/>
      <w:marLeft w:val="0"/>
      <w:marRight w:val="0"/>
      <w:marTop w:val="0"/>
      <w:marBottom w:val="0"/>
      <w:divBdr>
        <w:top w:val="none" w:sz="0" w:space="0" w:color="auto"/>
        <w:left w:val="none" w:sz="0" w:space="0" w:color="auto"/>
        <w:bottom w:val="none" w:sz="0" w:space="0" w:color="auto"/>
        <w:right w:val="none" w:sz="0" w:space="0" w:color="auto"/>
      </w:divBdr>
    </w:div>
    <w:div w:id="43607904">
      <w:bodyDiv w:val="1"/>
      <w:marLeft w:val="0"/>
      <w:marRight w:val="0"/>
      <w:marTop w:val="0"/>
      <w:marBottom w:val="0"/>
      <w:divBdr>
        <w:top w:val="none" w:sz="0" w:space="0" w:color="auto"/>
        <w:left w:val="none" w:sz="0" w:space="0" w:color="auto"/>
        <w:bottom w:val="none" w:sz="0" w:space="0" w:color="auto"/>
        <w:right w:val="none" w:sz="0" w:space="0" w:color="auto"/>
      </w:divBdr>
    </w:div>
    <w:div w:id="43676347">
      <w:bodyDiv w:val="1"/>
      <w:marLeft w:val="0"/>
      <w:marRight w:val="0"/>
      <w:marTop w:val="0"/>
      <w:marBottom w:val="0"/>
      <w:divBdr>
        <w:top w:val="none" w:sz="0" w:space="0" w:color="auto"/>
        <w:left w:val="none" w:sz="0" w:space="0" w:color="auto"/>
        <w:bottom w:val="none" w:sz="0" w:space="0" w:color="auto"/>
        <w:right w:val="none" w:sz="0" w:space="0" w:color="auto"/>
      </w:divBdr>
    </w:div>
    <w:div w:id="43720174">
      <w:bodyDiv w:val="1"/>
      <w:marLeft w:val="0"/>
      <w:marRight w:val="0"/>
      <w:marTop w:val="0"/>
      <w:marBottom w:val="0"/>
      <w:divBdr>
        <w:top w:val="none" w:sz="0" w:space="0" w:color="auto"/>
        <w:left w:val="none" w:sz="0" w:space="0" w:color="auto"/>
        <w:bottom w:val="none" w:sz="0" w:space="0" w:color="auto"/>
        <w:right w:val="none" w:sz="0" w:space="0" w:color="auto"/>
      </w:divBdr>
    </w:div>
    <w:div w:id="43800291">
      <w:bodyDiv w:val="1"/>
      <w:marLeft w:val="0"/>
      <w:marRight w:val="0"/>
      <w:marTop w:val="0"/>
      <w:marBottom w:val="0"/>
      <w:divBdr>
        <w:top w:val="none" w:sz="0" w:space="0" w:color="auto"/>
        <w:left w:val="none" w:sz="0" w:space="0" w:color="auto"/>
        <w:bottom w:val="none" w:sz="0" w:space="0" w:color="auto"/>
        <w:right w:val="none" w:sz="0" w:space="0" w:color="auto"/>
      </w:divBdr>
    </w:div>
    <w:div w:id="44187716">
      <w:bodyDiv w:val="1"/>
      <w:marLeft w:val="0"/>
      <w:marRight w:val="0"/>
      <w:marTop w:val="0"/>
      <w:marBottom w:val="0"/>
      <w:divBdr>
        <w:top w:val="none" w:sz="0" w:space="0" w:color="auto"/>
        <w:left w:val="none" w:sz="0" w:space="0" w:color="auto"/>
        <w:bottom w:val="none" w:sz="0" w:space="0" w:color="auto"/>
        <w:right w:val="none" w:sz="0" w:space="0" w:color="auto"/>
      </w:divBdr>
    </w:div>
    <w:div w:id="44254084">
      <w:bodyDiv w:val="1"/>
      <w:marLeft w:val="0"/>
      <w:marRight w:val="0"/>
      <w:marTop w:val="0"/>
      <w:marBottom w:val="0"/>
      <w:divBdr>
        <w:top w:val="none" w:sz="0" w:space="0" w:color="auto"/>
        <w:left w:val="none" w:sz="0" w:space="0" w:color="auto"/>
        <w:bottom w:val="none" w:sz="0" w:space="0" w:color="auto"/>
        <w:right w:val="none" w:sz="0" w:space="0" w:color="auto"/>
      </w:divBdr>
    </w:div>
    <w:div w:id="44377576">
      <w:bodyDiv w:val="1"/>
      <w:marLeft w:val="0"/>
      <w:marRight w:val="0"/>
      <w:marTop w:val="0"/>
      <w:marBottom w:val="0"/>
      <w:divBdr>
        <w:top w:val="none" w:sz="0" w:space="0" w:color="auto"/>
        <w:left w:val="none" w:sz="0" w:space="0" w:color="auto"/>
        <w:bottom w:val="none" w:sz="0" w:space="0" w:color="auto"/>
        <w:right w:val="none" w:sz="0" w:space="0" w:color="auto"/>
      </w:divBdr>
    </w:div>
    <w:div w:id="44452506">
      <w:bodyDiv w:val="1"/>
      <w:marLeft w:val="0"/>
      <w:marRight w:val="0"/>
      <w:marTop w:val="0"/>
      <w:marBottom w:val="0"/>
      <w:divBdr>
        <w:top w:val="none" w:sz="0" w:space="0" w:color="auto"/>
        <w:left w:val="none" w:sz="0" w:space="0" w:color="auto"/>
        <w:bottom w:val="none" w:sz="0" w:space="0" w:color="auto"/>
        <w:right w:val="none" w:sz="0" w:space="0" w:color="auto"/>
      </w:divBdr>
    </w:div>
    <w:div w:id="44565233">
      <w:bodyDiv w:val="1"/>
      <w:marLeft w:val="0"/>
      <w:marRight w:val="0"/>
      <w:marTop w:val="0"/>
      <w:marBottom w:val="0"/>
      <w:divBdr>
        <w:top w:val="none" w:sz="0" w:space="0" w:color="auto"/>
        <w:left w:val="none" w:sz="0" w:space="0" w:color="auto"/>
        <w:bottom w:val="none" w:sz="0" w:space="0" w:color="auto"/>
        <w:right w:val="none" w:sz="0" w:space="0" w:color="auto"/>
      </w:divBdr>
    </w:div>
    <w:div w:id="44571748">
      <w:bodyDiv w:val="1"/>
      <w:marLeft w:val="0"/>
      <w:marRight w:val="0"/>
      <w:marTop w:val="0"/>
      <w:marBottom w:val="0"/>
      <w:divBdr>
        <w:top w:val="none" w:sz="0" w:space="0" w:color="auto"/>
        <w:left w:val="none" w:sz="0" w:space="0" w:color="auto"/>
        <w:bottom w:val="none" w:sz="0" w:space="0" w:color="auto"/>
        <w:right w:val="none" w:sz="0" w:space="0" w:color="auto"/>
      </w:divBdr>
    </w:div>
    <w:div w:id="44571813">
      <w:bodyDiv w:val="1"/>
      <w:marLeft w:val="0"/>
      <w:marRight w:val="0"/>
      <w:marTop w:val="0"/>
      <w:marBottom w:val="0"/>
      <w:divBdr>
        <w:top w:val="none" w:sz="0" w:space="0" w:color="auto"/>
        <w:left w:val="none" w:sz="0" w:space="0" w:color="auto"/>
        <w:bottom w:val="none" w:sz="0" w:space="0" w:color="auto"/>
        <w:right w:val="none" w:sz="0" w:space="0" w:color="auto"/>
      </w:divBdr>
    </w:div>
    <w:div w:id="44573445">
      <w:bodyDiv w:val="1"/>
      <w:marLeft w:val="0"/>
      <w:marRight w:val="0"/>
      <w:marTop w:val="0"/>
      <w:marBottom w:val="0"/>
      <w:divBdr>
        <w:top w:val="none" w:sz="0" w:space="0" w:color="auto"/>
        <w:left w:val="none" w:sz="0" w:space="0" w:color="auto"/>
        <w:bottom w:val="none" w:sz="0" w:space="0" w:color="auto"/>
        <w:right w:val="none" w:sz="0" w:space="0" w:color="auto"/>
      </w:divBdr>
    </w:div>
    <w:div w:id="44766803">
      <w:bodyDiv w:val="1"/>
      <w:marLeft w:val="0"/>
      <w:marRight w:val="0"/>
      <w:marTop w:val="0"/>
      <w:marBottom w:val="0"/>
      <w:divBdr>
        <w:top w:val="none" w:sz="0" w:space="0" w:color="auto"/>
        <w:left w:val="none" w:sz="0" w:space="0" w:color="auto"/>
        <w:bottom w:val="none" w:sz="0" w:space="0" w:color="auto"/>
        <w:right w:val="none" w:sz="0" w:space="0" w:color="auto"/>
      </w:divBdr>
    </w:div>
    <w:div w:id="44840109">
      <w:bodyDiv w:val="1"/>
      <w:marLeft w:val="0"/>
      <w:marRight w:val="0"/>
      <w:marTop w:val="0"/>
      <w:marBottom w:val="0"/>
      <w:divBdr>
        <w:top w:val="none" w:sz="0" w:space="0" w:color="auto"/>
        <w:left w:val="none" w:sz="0" w:space="0" w:color="auto"/>
        <w:bottom w:val="none" w:sz="0" w:space="0" w:color="auto"/>
        <w:right w:val="none" w:sz="0" w:space="0" w:color="auto"/>
      </w:divBdr>
    </w:div>
    <w:div w:id="44841317">
      <w:bodyDiv w:val="1"/>
      <w:marLeft w:val="0"/>
      <w:marRight w:val="0"/>
      <w:marTop w:val="0"/>
      <w:marBottom w:val="0"/>
      <w:divBdr>
        <w:top w:val="none" w:sz="0" w:space="0" w:color="auto"/>
        <w:left w:val="none" w:sz="0" w:space="0" w:color="auto"/>
        <w:bottom w:val="none" w:sz="0" w:space="0" w:color="auto"/>
        <w:right w:val="none" w:sz="0" w:space="0" w:color="auto"/>
      </w:divBdr>
    </w:div>
    <w:div w:id="45027758">
      <w:bodyDiv w:val="1"/>
      <w:marLeft w:val="0"/>
      <w:marRight w:val="0"/>
      <w:marTop w:val="0"/>
      <w:marBottom w:val="0"/>
      <w:divBdr>
        <w:top w:val="none" w:sz="0" w:space="0" w:color="auto"/>
        <w:left w:val="none" w:sz="0" w:space="0" w:color="auto"/>
        <w:bottom w:val="none" w:sz="0" w:space="0" w:color="auto"/>
        <w:right w:val="none" w:sz="0" w:space="0" w:color="auto"/>
      </w:divBdr>
    </w:div>
    <w:div w:id="45111928">
      <w:bodyDiv w:val="1"/>
      <w:marLeft w:val="0"/>
      <w:marRight w:val="0"/>
      <w:marTop w:val="0"/>
      <w:marBottom w:val="0"/>
      <w:divBdr>
        <w:top w:val="none" w:sz="0" w:space="0" w:color="auto"/>
        <w:left w:val="none" w:sz="0" w:space="0" w:color="auto"/>
        <w:bottom w:val="none" w:sz="0" w:space="0" w:color="auto"/>
        <w:right w:val="none" w:sz="0" w:space="0" w:color="auto"/>
      </w:divBdr>
    </w:div>
    <w:div w:id="45185033">
      <w:bodyDiv w:val="1"/>
      <w:marLeft w:val="0"/>
      <w:marRight w:val="0"/>
      <w:marTop w:val="0"/>
      <w:marBottom w:val="0"/>
      <w:divBdr>
        <w:top w:val="none" w:sz="0" w:space="0" w:color="auto"/>
        <w:left w:val="none" w:sz="0" w:space="0" w:color="auto"/>
        <w:bottom w:val="none" w:sz="0" w:space="0" w:color="auto"/>
        <w:right w:val="none" w:sz="0" w:space="0" w:color="auto"/>
      </w:divBdr>
    </w:div>
    <w:div w:id="45227153">
      <w:bodyDiv w:val="1"/>
      <w:marLeft w:val="0"/>
      <w:marRight w:val="0"/>
      <w:marTop w:val="0"/>
      <w:marBottom w:val="0"/>
      <w:divBdr>
        <w:top w:val="none" w:sz="0" w:space="0" w:color="auto"/>
        <w:left w:val="none" w:sz="0" w:space="0" w:color="auto"/>
        <w:bottom w:val="none" w:sz="0" w:space="0" w:color="auto"/>
        <w:right w:val="none" w:sz="0" w:space="0" w:color="auto"/>
      </w:divBdr>
    </w:div>
    <w:div w:id="45373799">
      <w:bodyDiv w:val="1"/>
      <w:marLeft w:val="0"/>
      <w:marRight w:val="0"/>
      <w:marTop w:val="0"/>
      <w:marBottom w:val="0"/>
      <w:divBdr>
        <w:top w:val="none" w:sz="0" w:space="0" w:color="auto"/>
        <w:left w:val="none" w:sz="0" w:space="0" w:color="auto"/>
        <w:bottom w:val="none" w:sz="0" w:space="0" w:color="auto"/>
        <w:right w:val="none" w:sz="0" w:space="0" w:color="auto"/>
      </w:divBdr>
    </w:div>
    <w:div w:id="45421822">
      <w:bodyDiv w:val="1"/>
      <w:marLeft w:val="0"/>
      <w:marRight w:val="0"/>
      <w:marTop w:val="0"/>
      <w:marBottom w:val="0"/>
      <w:divBdr>
        <w:top w:val="none" w:sz="0" w:space="0" w:color="auto"/>
        <w:left w:val="none" w:sz="0" w:space="0" w:color="auto"/>
        <w:bottom w:val="none" w:sz="0" w:space="0" w:color="auto"/>
        <w:right w:val="none" w:sz="0" w:space="0" w:color="auto"/>
      </w:divBdr>
    </w:div>
    <w:div w:id="45489568">
      <w:bodyDiv w:val="1"/>
      <w:marLeft w:val="0"/>
      <w:marRight w:val="0"/>
      <w:marTop w:val="0"/>
      <w:marBottom w:val="0"/>
      <w:divBdr>
        <w:top w:val="none" w:sz="0" w:space="0" w:color="auto"/>
        <w:left w:val="none" w:sz="0" w:space="0" w:color="auto"/>
        <w:bottom w:val="none" w:sz="0" w:space="0" w:color="auto"/>
        <w:right w:val="none" w:sz="0" w:space="0" w:color="auto"/>
      </w:divBdr>
    </w:div>
    <w:div w:id="45498211">
      <w:bodyDiv w:val="1"/>
      <w:marLeft w:val="0"/>
      <w:marRight w:val="0"/>
      <w:marTop w:val="0"/>
      <w:marBottom w:val="0"/>
      <w:divBdr>
        <w:top w:val="none" w:sz="0" w:space="0" w:color="auto"/>
        <w:left w:val="none" w:sz="0" w:space="0" w:color="auto"/>
        <w:bottom w:val="none" w:sz="0" w:space="0" w:color="auto"/>
        <w:right w:val="none" w:sz="0" w:space="0" w:color="auto"/>
      </w:divBdr>
    </w:div>
    <w:div w:id="45574279">
      <w:bodyDiv w:val="1"/>
      <w:marLeft w:val="0"/>
      <w:marRight w:val="0"/>
      <w:marTop w:val="0"/>
      <w:marBottom w:val="0"/>
      <w:divBdr>
        <w:top w:val="none" w:sz="0" w:space="0" w:color="auto"/>
        <w:left w:val="none" w:sz="0" w:space="0" w:color="auto"/>
        <w:bottom w:val="none" w:sz="0" w:space="0" w:color="auto"/>
        <w:right w:val="none" w:sz="0" w:space="0" w:color="auto"/>
      </w:divBdr>
    </w:div>
    <w:div w:id="45763630">
      <w:bodyDiv w:val="1"/>
      <w:marLeft w:val="0"/>
      <w:marRight w:val="0"/>
      <w:marTop w:val="0"/>
      <w:marBottom w:val="0"/>
      <w:divBdr>
        <w:top w:val="none" w:sz="0" w:space="0" w:color="auto"/>
        <w:left w:val="none" w:sz="0" w:space="0" w:color="auto"/>
        <w:bottom w:val="none" w:sz="0" w:space="0" w:color="auto"/>
        <w:right w:val="none" w:sz="0" w:space="0" w:color="auto"/>
      </w:divBdr>
    </w:div>
    <w:div w:id="45837780">
      <w:bodyDiv w:val="1"/>
      <w:marLeft w:val="0"/>
      <w:marRight w:val="0"/>
      <w:marTop w:val="0"/>
      <w:marBottom w:val="0"/>
      <w:divBdr>
        <w:top w:val="none" w:sz="0" w:space="0" w:color="auto"/>
        <w:left w:val="none" w:sz="0" w:space="0" w:color="auto"/>
        <w:bottom w:val="none" w:sz="0" w:space="0" w:color="auto"/>
        <w:right w:val="none" w:sz="0" w:space="0" w:color="auto"/>
      </w:divBdr>
    </w:div>
    <w:div w:id="45837788">
      <w:bodyDiv w:val="1"/>
      <w:marLeft w:val="0"/>
      <w:marRight w:val="0"/>
      <w:marTop w:val="0"/>
      <w:marBottom w:val="0"/>
      <w:divBdr>
        <w:top w:val="none" w:sz="0" w:space="0" w:color="auto"/>
        <w:left w:val="none" w:sz="0" w:space="0" w:color="auto"/>
        <w:bottom w:val="none" w:sz="0" w:space="0" w:color="auto"/>
        <w:right w:val="none" w:sz="0" w:space="0" w:color="auto"/>
      </w:divBdr>
    </w:div>
    <w:div w:id="45839499">
      <w:bodyDiv w:val="1"/>
      <w:marLeft w:val="0"/>
      <w:marRight w:val="0"/>
      <w:marTop w:val="0"/>
      <w:marBottom w:val="0"/>
      <w:divBdr>
        <w:top w:val="none" w:sz="0" w:space="0" w:color="auto"/>
        <w:left w:val="none" w:sz="0" w:space="0" w:color="auto"/>
        <w:bottom w:val="none" w:sz="0" w:space="0" w:color="auto"/>
        <w:right w:val="none" w:sz="0" w:space="0" w:color="auto"/>
      </w:divBdr>
    </w:div>
    <w:div w:id="46078163">
      <w:bodyDiv w:val="1"/>
      <w:marLeft w:val="0"/>
      <w:marRight w:val="0"/>
      <w:marTop w:val="0"/>
      <w:marBottom w:val="0"/>
      <w:divBdr>
        <w:top w:val="none" w:sz="0" w:space="0" w:color="auto"/>
        <w:left w:val="none" w:sz="0" w:space="0" w:color="auto"/>
        <w:bottom w:val="none" w:sz="0" w:space="0" w:color="auto"/>
        <w:right w:val="none" w:sz="0" w:space="0" w:color="auto"/>
      </w:divBdr>
    </w:div>
    <w:div w:id="46154131">
      <w:bodyDiv w:val="1"/>
      <w:marLeft w:val="0"/>
      <w:marRight w:val="0"/>
      <w:marTop w:val="0"/>
      <w:marBottom w:val="0"/>
      <w:divBdr>
        <w:top w:val="none" w:sz="0" w:space="0" w:color="auto"/>
        <w:left w:val="none" w:sz="0" w:space="0" w:color="auto"/>
        <w:bottom w:val="none" w:sz="0" w:space="0" w:color="auto"/>
        <w:right w:val="none" w:sz="0" w:space="0" w:color="auto"/>
      </w:divBdr>
    </w:div>
    <w:div w:id="46340483">
      <w:bodyDiv w:val="1"/>
      <w:marLeft w:val="0"/>
      <w:marRight w:val="0"/>
      <w:marTop w:val="0"/>
      <w:marBottom w:val="0"/>
      <w:divBdr>
        <w:top w:val="none" w:sz="0" w:space="0" w:color="auto"/>
        <w:left w:val="none" w:sz="0" w:space="0" w:color="auto"/>
        <w:bottom w:val="none" w:sz="0" w:space="0" w:color="auto"/>
        <w:right w:val="none" w:sz="0" w:space="0" w:color="auto"/>
      </w:divBdr>
    </w:div>
    <w:div w:id="46344648">
      <w:bodyDiv w:val="1"/>
      <w:marLeft w:val="0"/>
      <w:marRight w:val="0"/>
      <w:marTop w:val="0"/>
      <w:marBottom w:val="0"/>
      <w:divBdr>
        <w:top w:val="none" w:sz="0" w:space="0" w:color="auto"/>
        <w:left w:val="none" w:sz="0" w:space="0" w:color="auto"/>
        <w:bottom w:val="none" w:sz="0" w:space="0" w:color="auto"/>
        <w:right w:val="none" w:sz="0" w:space="0" w:color="auto"/>
      </w:divBdr>
    </w:div>
    <w:div w:id="46496278">
      <w:bodyDiv w:val="1"/>
      <w:marLeft w:val="0"/>
      <w:marRight w:val="0"/>
      <w:marTop w:val="0"/>
      <w:marBottom w:val="0"/>
      <w:divBdr>
        <w:top w:val="none" w:sz="0" w:space="0" w:color="auto"/>
        <w:left w:val="none" w:sz="0" w:space="0" w:color="auto"/>
        <w:bottom w:val="none" w:sz="0" w:space="0" w:color="auto"/>
        <w:right w:val="none" w:sz="0" w:space="0" w:color="auto"/>
      </w:divBdr>
    </w:div>
    <w:div w:id="46534133">
      <w:bodyDiv w:val="1"/>
      <w:marLeft w:val="0"/>
      <w:marRight w:val="0"/>
      <w:marTop w:val="0"/>
      <w:marBottom w:val="0"/>
      <w:divBdr>
        <w:top w:val="none" w:sz="0" w:space="0" w:color="auto"/>
        <w:left w:val="none" w:sz="0" w:space="0" w:color="auto"/>
        <w:bottom w:val="none" w:sz="0" w:space="0" w:color="auto"/>
        <w:right w:val="none" w:sz="0" w:space="0" w:color="auto"/>
      </w:divBdr>
    </w:div>
    <w:div w:id="46538831">
      <w:bodyDiv w:val="1"/>
      <w:marLeft w:val="0"/>
      <w:marRight w:val="0"/>
      <w:marTop w:val="0"/>
      <w:marBottom w:val="0"/>
      <w:divBdr>
        <w:top w:val="none" w:sz="0" w:space="0" w:color="auto"/>
        <w:left w:val="none" w:sz="0" w:space="0" w:color="auto"/>
        <w:bottom w:val="none" w:sz="0" w:space="0" w:color="auto"/>
        <w:right w:val="none" w:sz="0" w:space="0" w:color="auto"/>
      </w:divBdr>
    </w:div>
    <w:div w:id="46616043">
      <w:bodyDiv w:val="1"/>
      <w:marLeft w:val="0"/>
      <w:marRight w:val="0"/>
      <w:marTop w:val="0"/>
      <w:marBottom w:val="0"/>
      <w:divBdr>
        <w:top w:val="none" w:sz="0" w:space="0" w:color="auto"/>
        <w:left w:val="none" w:sz="0" w:space="0" w:color="auto"/>
        <w:bottom w:val="none" w:sz="0" w:space="0" w:color="auto"/>
        <w:right w:val="none" w:sz="0" w:space="0" w:color="auto"/>
      </w:divBdr>
    </w:div>
    <w:div w:id="46877616">
      <w:bodyDiv w:val="1"/>
      <w:marLeft w:val="0"/>
      <w:marRight w:val="0"/>
      <w:marTop w:val="0"/>
      <w:marBottom w:val="0"/>
      <w:divBdr>
        <w:top w:val="none" w:sz="0" w:space="0" w:color="auto"/>
        <w:left w:val="none" w:sz="0" w:space="0" w:color="auto"/>
        <w:bottom w:val="none" w:sz="0" w:space="0" w:color="auto"/>
        <w:right w:val="none" w:sz="0" w:space="0" w:color="auto"/>
      </w:divBdr>
    </w:div>
    <w:div w:id="46883651">
      <w:bodyDiv w:val="1"/>
      <w:marLeft w:val="0"/>
      <w:marRight w:val="0"/>
      <w:marTop w:val="0"/>
      <w:marBottom w:val="0"/>
      <w:divBdr>
        <w:top w:val="none" w:sz="0" w:space="0" w:color="auto"/>
        <w:left w:val="none" w:sz="0" w:space="0" w:color="auto"/>
        <w:bottom w:val="none" w:sz="0" w:space="0" w:color="auto"/>
        <w:right w:val="none" w:sz="0" w:space="0" w:color="auto"/>
      </w:divBdr>
    </w:div>
    <w:div w:id="47075507">
      <w:bodyDiv w:val="1"/>
      <w:marLeft w:val="0"/>
      <w:marRight w:val="0"/>
      <w:marTop w:val="0"/>
      <w:marBottom w:val="0"/>
      <w:divBdr>
        <w:top w:val="none" w:sz="0" w:space="0" w:color="auto"/>
        <w:left w:val="none" w:sz="0" w:space="0" w:color="auto"/>
        <w:bottom w:val="none" w:sz="0" w:space="0" w:color="auto"/>
        <w:right w:val="none" w:sz="0" w:space="0" w:color="auto"/>
      </w:divBdr>
    </w:div>
    <w:div w:id="47076491">
      <w:bodyDiv w:val="1"/>
      <w:marLeft w:val="0"/>
      <w:marRight w:val="0"/>
      <w:marTop w:val="0"/>
      <w:marBottom w:val="0"/>
      <w:divBdr>
        <w:top w:val="none" w:sz="0" w:space="0" w:color="auto"/>
        <w:left w:val="none" w:sz="0" w:space="0" w:color="auto"/>
        <w:bottom w:val="none" w:sz="0" w:space="0" w:color="auto"/>
        <w:right w:val="none" w:sz="0" w:space="0" w:color="auto"/>
      </w:divBdr>
    </w:div>
    <w:div w:id="47076969">
      <w:bodyDiv w:val="1"/>
      <w:marLeft w:val="0"/>
      <w:marRight w:val="0"/>
      <w:marTop w:val="0"/>
      <w:marBottom w:val="0"/>
      <w:divBdr>
        <w:top w:val="none" w:sz="0" w:space="0" w:color="auto"/>
        <w:left w:val="none" w:sz="0" w:space="0" w:color="auto"/>
        <w:bottom w:val="none" w:sz="0" w:space="0" w:color="auto"/>
        <w:right w:val="none" w:sz="0" w:space="0" w:color="auto"/>
      </w:divBdr>
    </w:div>
    <w:div w:id="47188573">
      <w:bodyDiv w:val="1"/>
      <w:marLeft w:val="0"/>
      <w:marRight w:val="0"/>
      <w:marTop w:val="0"/>
      <w:marBottom w:val="0"/>
      <w:divBdr>
        <w:top w:val="none" w:sz="0" w:space="0" w:color="auto"/>
        <w:left w:val="none" w:sz="0" w:space="0" w:color="auto"/>
        <w:bottom w:val="none" w:sz="0" w:space="0" w:color="auto"/>
        <w:right w:val="none" w:sz="0" w:space="0" w:color="auto"/>
      </w:divBdr>
    </w:div>
    <w:div w:id="47190237">
      <w:bodyDiv w:val="1"/>
      <w:marLeft w:val="0"/>
      <w:marRight w:val="0"/>
      <w:marTop w:val="0"/>
      <w:marBottom w:val="0"/>
      <w:divBdr>
        <w:top w:val="none" w:sz="0" w:space="0" w:color="auto"/>
        <w:left w:val="none" w:sz="0" w:space="0" w:color="auto"/>
        <w:bottom w:val="none" w:sz="0" w:space="0" w:color="auto"/>
        <w:right w:val="none" w:sz="0" w:space="0" w:color="auto"/>
      </w:divBdr>
    </w:div>
    <w:div w:id="47191861">
      <w:bodyDiv w:val="1"/>
      <w:marLeft w:val="0"/>
      <w:marRight w:val="0"/>
      <w:marTop w:val="0"/>
      <w:marBottom w:val="0"/>
      <w:divBdr>
        <w:top w:val="none" w:sz="0" w:space="0" w:color="auto"/>
        <w:left w:val="none" w:sz="0" w:space="0" w:color="auto"/>
        <w:bottom w:val="none" w:sz="0" w:space="0" w:color="auto"/>
        <w:right w:val="none" w:sz="0" w:space="0" w:color="auto"/>
      </w:divBdr>
    </w:div>
    <w:div w:id="47337564">
      <w:bodyDiv w:val="1"/>
      <w:marLeft w:val="0"/>
      <w:marRight w:val="0"/>
      <w:marTop w:val="0"/>
      <w:marBottom w:val="0"/>
      <w:divBdr>
        <w:top w:val="none" w:sz="0" w:space="0" w:color="auto"/>
        <w:left w:val="none" w:sz="0" w:space="0" w:color="auto"/>
        <w:bottom w:val="none" w:sz="0" w:space="0" w:color="auto"/>
        <w:right w:val="none" w:sz="0" w:space="0" w:color="auto"/>
      </w:divBdr>
    </w:div>
    <w:div w:id="47341048">
      <w:bodyDiv w:val="1"/>
      <w:marLeft w:val="0"/>
      <w:marRight w:val="0"/>
      <w:marTop w:val="0"/>
      <w:marBottom w:val="0"/>
      <w:divBdr>
        <w:top w:val="none" w:sz="0" w:space="0" w:color="auto"/>
        <w:left w:val="none" w:sz="0" w:space="0" w:color="auto"/>
        <w:bottom w:val="none" w:sz="0" w:space="0" w:color="auto"/>
        <w:right w:val="none" w:sz="0" w:space="0" w:color="auto"/>
      </w:divBdr>
    </w:div>
    <w:div w:id="47414311">
      <w:bodyDiv w:val="1"/>
      <w:marLeft w:val="0"/>
      <w:marRight w:val="0"/>
      <w:marTop w:val="0"/>
      <w:marBottom w:val="0"/>
      <w:divBdr>
        <w:top w:val="none" w:sz="0" w:space="0" w:color="auto"/>
        <w:left w:val="none" w:sz="0" w:space="0" w:color="auto"/>
        <w:bottom w:val="none" w:sz="0" w:space="0" w:color="auto"/>
        <w:right w:val="none" w:sz="0" w:space="0" w:color="auto"/>
      </w:divBdr>
    </w:div>
    <w:div w:id="47415274">
      <w:bodyDiv w:val="1"/>
      <w:marLeft w:val="0"/>
      <w:marRight w:val="0"/>
      <w:marTop w:val="0"/>
      <w:marBottom w:val="0"/>
      <w:divBdr>
        <w:top w:val="none" w:sz="0" w:space="0" w:color="auto"/>
        <w:left w:val="none" w:sz="0" w:space="0" w:color="auto"/>
        <w:bottom w:val="none" w:sz="0" w:space="0" w:color="auto"/>
        <w:right w:val="none" w:sz="0" w:space="0" w:color="auto"/>
      </w:divBdr>
    </w:div>
    <w:div w:id="47459546">
      <w:bodyDiv w:val="1"/>
      <w:marLeft w:val="0"/>
      <w:marRight w:val="0"/>
      <w:marTop w:val="0"/>
      <w:marBottom w:val="0"/>
      <w:divBdr>
        <w:top w:val="none" w:sz="0" w:space="0" w:color="auto"/>
        <w:left w:val="none" w:sz="0" w:space="0" w:color="auto"/>
        <w:bottom w:val="none" w:sz="0" w:space="0" w:color="auto"/>
        <w:right w:val="none" w:sz="0" w:space="0" w:color="auto"/>
      </w:divBdr>
    </w:div>
    <w:div w:id="47463873">
      <w:bodyDiv w:val="1"/>
      <w:marLeft w:val="0"/>
      <w:marRight w:val="0"/>
      <w:marTop w:val="0"/>
      <w:marBottom w:val="0"/>
      <w:divBdr>
        <w:top w:val="none" w:sz="0" w:space="0" w:color="auto"/>
        <w:left w:val="none" w:sz="0" w:space="0" w:color="auto"/>
        <w:bottom w:val="none" w:sz="0" w:space="0" w:color="auto"/>
        <w:right w:val="none" w:sz="0" w:space="0" w:color="auto"/>
      </w:divBdr>
    </w:div>
    <w:div w:id="47648993">
      <w:bodyDiv w:val="1"/>
      <w:marLeft w:val="0"/>
      <w:marRight w:val="0"/>
      <w:marTop w:val="0"/>
      <w:marBottom w:val="0"/>
      <w:divBdr>
        <w:top w:val="none" w:sz="0" w:space="0" w:color="auto"/>
        <w:left w:val="none" w:sz="0" w:space="0" w:color="auto"/>
        <w:bottom w:val="none" w:sz="0" w:space="0" w:color="auto"/>
        <w:right w:val="none" w:sz="0" w:space="0" w:color="auto"/>
      </w:divBdr>
    </w:div>
    <w:div w:id="47655820">
      <w:bodyDiv w:val="1"/>
      <w:marLeft w:val="0"/>
      <w:marRight w:val="0"/>
      <w:marTop w:val="0"/>
      <w:marBottom w:val="0"/>
      <w:divBdr>
        <w:top w:val="none" w:sz="0" w:space="0" w:color="auto"/>
        <w:left w:val="none" w:sz="0" w:space="0" w:color="auto"/>
        <w:bottom w:val="none" w:sz="0" w:space="0" w:color="auto"/>
        <w:right w:val="none" w:sz="0" w:space="0" w:color="auto"/>
      </w:divBdr>
    </w:div>
    <w:div w:id="47657233">
      <w:bodyDiv w:val="1"/>
      <w:marLeft w:val="0"/>
      <w:marRight w:val="0"/>
      <w:marTop w:val="0"/>
      <w:marBottom w:val="0"/>
      <w:divBdr>
        <w:top w:val="none" w:sz="0" w:space="0" w:color="auto"/>
        <w:left w:val="none" w:sz="0" w:space="0" w:color="auto"/>
        <w:bottom w:val="none" w:sz="0" w:space="0" w:color="auto"/>
        <w:right w:val="none" w:sz="0" w:space="0" w:color="auto"/>
      </w:divBdr>
    </w:div>
    <w:div w:id="47992927">
      <w:bodyDiv w:val="1"/>
      <w:marLeft w:val="0"/>
      <w:marRight w:val="0"/>
      <w:marTop w:val="0"/>
      <w:marBottom w:val="0"/>
      <w:divBdr>
        <w:top w:val="none" w:sz="0" w:space="0" w:color="auto"/>
        <w:left w:val="none" w:sz="0" w:space="0" w:color="auto"/>
        <w:bottom w:val="none" w:sz="0" w:space="0" w:color="auto"/>
        <w:right w:val="none" w:sz="0" w:space="0" w:color="auto"/>
      </w:divBdr>
    </w:div>
    <w:div w:id="47995945">
      <w:bodyDiv w:val="1"/>
      <w:marLeft w:val="0"/>
      <w:marRight w:val="0"/>
      <w:marTop w:val="0"/>
      <w:marBottom w:val="0"/>
      <w:divBdr>
        <w:top w:val="none" w:sz="0" w:space="0" w:color="auto"/>
        <w:left w:val="none" w:sz="0" w:space="0" w:color="auto"/>
        <w:bottom w:val="none" w:sz="0" w:space="0" w:color="auto"/>
        <w:right w:val="none" w:sz="0" w:space="0" w:color="auto"/>
      </w:divBdr>
    </w:div>
    <w:div w:id="47997520">
      <w:bodyDiv w:val="1"/>
      <w:marLeft w:val="0"/>
      <w:marRight w:val="0"/>
      <w:marTop w:val="0"/>
      <w:marBottom w:val="0"/>
      <w:divBdr>
        <w:top w:val="none" w:sz="0" w:space="0" w:color="auto"/>
        <w:left w:val="none" w:sz="0" w:space="0" w:color="auto"/>
        <w:bottom w:val="none" w:sz="0" w:space="0" w:color="auto"/>
        <w:right w:val="none" w:sz="0" w:space="0" w:color="auto"/>
      </w:divBdr>
    </w:div>
    <w:div w:id="48002038">
      <w:bodyDiv w:val="1"/>
      <w:marLeft w:val="0"/>
      <w:marRight w:val="0"/>
      <w:marTop w:val="0"/>
      <w:marBottom w:val="0"/>
      <w:divBdr>
        <w:top w:val="none" w:sz="0" w:space="0" w:color="auto"/>
        <w:left w:val="none" w:sz="0" w:space="0" w:color="auto"/>
        <w:bottom w:val="none" w:sz="0" w:space="0" w:color="auto"/>
        <w:right w:val="none" w:sz="0" w:space="0" w:color="auto"/>
      </w:divBdr>
    </w:div>
    <w:div w:id="48388446">
      <w:bodyDiv w:val="1"/>
      <w:marLeft w:val="0"/>
      <w:marRight w:val="0"/>
      <w:marTop w:val="0"/>
      <w:marBottom w:val="0"/>
      <w:divBdr>
        <w:top w:val="none" w:sz="0" w:space="0" w:color="auto"/>
        <w:left w:val="none" w:sz="0" w:space="0" w:color="auto"/>
        <w:bottom w:val="none" w:sz="0" w:space="0" w:color="auto"/>
        <w:right w:val="none" w:sz="0" w:space="0" w:color="auto"/>
      </w:divBdr>
    </w:div>
    <w:div w:id="48501794">
      <w:bodyDiv w:val="1"/>
      <w:marLeft w:val="0"/>
      <w:marRight w:val="0"/>
      <w:marTop w:val="0"/>
      <w:marBottom w:val="0"/>
      <w:divBdr>
        <w:top w:val="none" w:sz="0" w:space="0" w:color="auto"/>
        <w:left w:val="none" w:sz="0" w:space="0" w:color="auto"/>
        <w:bottom w:val="none" w:sz="0" w:space="0" w:color="auto"/>
        <w:right w:val="none" w:sz="0" w:space="0" w:color="auto"/>
      </w:divBdr>
    </w:div>
    <w:div w:id="48581822">
      <w:bodyDiv w:val="1"/>
      <w:marLeft w:val="0"/>
      <w:marRight w:val="0"/>
      <w:marTop w:val="0"/>
      <w:marBottom w:val="0"/>
      <w:divBdr>
        <w:top w:val="none" w:sz="0" w:space="0" w:color="auto"/>
        <w:left w:val="none" w:sz="0" w:space="0" w:color="auto"/>
        <w:bottom w:val="none" w:sz="0" w:space="0" w:color="auto"/>
        <w:right w:val="none" w:sz="0" w:space="0" w:color="auto"/>
      </w:divBdr>
    </w:div>
    <w:div w:id="48722970">
      <w:bodyDiv w:val="1"/>
      <w:marLeft w:val="0"/>
      <w:marRight w:val="0"/>
      <w:marTop w:val="0"/>
      <w:marBottom w:val="0"/>
      <w:divBdr>
        <w:top w:val="none" w:sz="0" w:space="0" w:color="auto"/>
        <w:left w:val="none" w:sz="0" w:space="0" w:color="auto"/>
        <w:bottom w:val="none" w:sz="0" w:space="0" w:color="auto"/>
        <w:right w:val="none" w:sz="0" w:space="0" w:color="auto"/>
      </w:divBdr>
    </w:div>
    <w:div w:id="48723183">
      <w:bodyDiv w:val="1"/>
      <w:marLeft w:val="0"/>
      <w:marRight w:val="0"/>
      <w:marTop w:val="0"/>
      <w:marBottom w:val="0"/>
      <w:divBdr>
        <w:top w:val="none" w:sz="0" w:space="0" w:color="auto"/>
        <w:left w:val="none" w:sz="0" w:space="0" w:color="auto"/>
        <w:bottom w:val="none" w:sz="0" w:space="0" w:color="auto"/>
        <w:right w:val="none" w:sz="0" w:space="0" w:color="auto"/>
      </w:divBdr>
    </w:div>
    <w:div w:id="48766859">
      <w:bodyDiv w:val="1"/>
      <w:marLeft w:val="0"/>
      <w:marRight w:val="0"/>
      <w:marTop w:val="0"/>
      <w:marBottom w:val="0"/>
      <w:divBdr>
        <w:top w:val="none" w:sz="0" w:space="0" w:color="auto"/>
        <w:left w:val="none" w:sz="0" w:space="0" w:color="auto"/>
        <w:bottom w:val="none" w:sz="0" w:space="0" w:color="auto"/>
        <w:right w:val="none" w:sz="0" w:space="0" w:color="auto"/>
      </w:divBdr>
    </w:div>
    <w:div w:id="48772315">
      <w:bodyDiv w:val="1"/>
      <w:marLeft w:val="0"/>
      <w:marRight w:val="0"/>
      <w:marTop w:val="0"/>
      <w:marBottom w:val="0"/>
      <w:divBdr>
        <w:top w:val="none" w:sz="0" w:space="0" w:color="auto"/>
        <w:left w:val="none" w:sz="0" w:space="0" w:color="auto"/>
        <w:bottom w:val="none" w:sz="0" w:space="0" w:color="auto"/>
        <w:right w:val="none" w:sz="0" w:space="0" w:color="auto"/>
      </w:divBdr>
    </w:div>
    <w:div w:id="48847332">
      <w:bodyDiv w:val="1"/>
      <w:marLeft w:val="0"/>
      <w:marRight w:val="0"/>
      <w:marTop w:val="0"/>
      <w:marBottom w:val="0"/>
      <w:divBdr>
        <w:top w:val="none" w:sz="0" w:space="0" w:color="auto"/>
        <w:left w:val="none" w:sz="0" w:space="0" w:color="auto"/>
        <w:bottom w:val="none" w:sz="0" w:space="0" w:color="auto"/>
        <w:right w:val="none" w:sz="0" w:space="0" w:color="auto"/>
      </w:divBdr>
    </w:div>
    <w:div w:id="48849222">
      <w:bodyDiv w:val="1"/>
      <w:marLeft w:val="0"/>
      <w:marRight w:val="0"/>
      <w:marTop w:val="0"/>
      <w:marBottom w:val="0"/>
      <w:divBdr>
        <w:top w:val="none" w:sz="0" w:space="0" w:color="auto"/>
        <w:left w:val="none" w:sz="0" w:space="0" w:color="auto"/>
        <w:bottom w:val="none" w:sz="0" w:space="0" w:color="auto"/>
        <w:right w:val="none" w:sz="0" w:space="0" w:color="auto"/>
      </w:divBdr>
    </w:div>
    <w:div w:id="49034940">
      <w:bodyDiv w:val="1"/>
      <w:marLeft w:val="0"/>
      <w:marRight w:val="0"/>
      <w:marTop w:val="0"/>
      <w:marBottom w:val="0"/>
      <w:divBdr>
        <w:top w:val="none" w:sz="0" w:space="0" w:color="auto"/>
        <w:left w:val="none" w:sz="0" w:space="0" w:color="auto"/>
        <w:bottom w:val="none" w:sz="0" w:space="0" w:color="auto"/>
        <w:right w:val="none" w:sz="0" w:space="0" w:color="auto"/>
      </w:divBdr>
    </w:div>
    <w:div w:id="49039713">
      <w:bodyDiv w:val="1"/>
      <w:marLeft w:val="0"/>
      <w:marRight w:val="0"/>
      <w:marTop w:val="0"/>
      <w:marBottom w:val="0"/>
      <w:divBdr>
        <w:top w:val="none" w:sz="0" w:space="0" w:color="auto"/>
        <w:left w:val="none" w:sz="0" w:space="0" w:color="auto"/>
        <w:bottom w:val="none" w:sz="0" w:space="0" w:color="auto"/>
        <w:right w:val="none" w:sz="0" w:space="0" w:color="auto"/>
      </w:divBdr>
    </w:div>
    <w:div w:id="49118813">
      <w:bodyDiv w:val="1"/>
      <w:marLeft w:val="0"/>
      <w:marRight w:val="0"/>
      <w:marTop w:val="0"/>
      <w:marBottom w:val="0"/>
      <w:divBdr>
        <w:top w:val="none" w:sz="0" w:space="0" w:color="auto"/>
        <w:left w:val="none" w:sz="0" w:space="0" w:color="auto"/>
        <w:bottom w:val="none" w:sz="0" w:space="0" w:color="auto"/>
        <w:right w:val="none" w:sz="0" w:space="0" w:color="auto"/>
      </w:divBdr>
    </w:div>
    <w:div w:id="49158518">
      <w:bodyDiv w:val="1"/>
      <w:marLeft w:val="0"/>
      <w:marRight w:val="0"/>
      <w:marTop w:val="0"/>
      <w:marBottom w:val="0"/>
      <w:divBdr>
        <w:top w:val="none" w:sz="0" w:space="0" w:color="auto"/>
        <w:left w:val="none" w:sz="0" w:space="0" w:color="auto"/>
        <w:bottom w:val="none" w:sz="0" w:space="0" w:color="auto"/>
        <w:right w:val="none" w:sz="0" w:space="0" w:color="auto"/>
      </w:divBdr>
    </w:div>
    <w:div w:id="49237064">
      <w:bodyDiv w:val="1"/>
      <w:marLeft w:val="0"/>
      <w:marRight w:val="0"/>
      <w:marTop w:val="0"/>
      <w:marBottom w:val="0"/>
      <w:divBdr>
        <w:top w:val="none" w:sz="0" w:space="0" w:color="auto"/>
        <w:left w:val="none" w:sz="0" w:space="0" w:color="auto"/>
        <w:bottom w:val="none" w:sz="0" w:space="0" w:color="auto"/>
        <w:right w:val="none" w:sz="0" w:space="0" w:color="auto"/>
      </w:divBdr>
    </w:div>
    <w:div w:id="49302980">
      <w:bodyDiv w:val="1"/>
      <w:marLeft w:val="0"/>
      <w:marRight w:val="0"/>
      <w:marTop w:val="0"/>
      <w:marBottom w:val="0"/>
      <w:divBdr>
        <w:top w:val="none" w:sz="0" w:space="0" w:color="auto"/>
        <w:left w:val="none" w:sz="0" w:space="0" w:color="auto"/>
        <w:bottom w:val="none" w:sz="0" w:space="0" w:color="auto"/>
        <w:right w:val="none" w:sz="0" w:space="0" w:color="auto"/>
      </w:divBdr>
    </w:div>
    <w:div w:id="49306367">
      <w:bodyDiv w:val="1"/>
      <w:marLeft w:val="0"/>
      <w:marRight w:val="0"/>
      <w:marTop w:val="0"/>
      <w:marBottom w:val="0"/>
      <w:divBdr>
        <w:top w:val="none" w:sz="0" w:space="0" w:color="auto"/>
        <w:left w:val="none" w:sz="0" w:space="0" w:color="auto"/>
        <w:bottom w:val="none" w:sz="0" w:space="0" w:color="auto"/>
        <w:right w:val="none" w:sz="0" w:space="0" w:color="auto"/>
      </w:divBdr>
    </w:div>
    <w:div w:id="49308831">
      <w:bodyDiv w:val="1"/>
      <w:marLeft w:val="0"/>
      <w:marRight w:val="0"/>
      <w:marTop w:val="0"/>
      <w:marBottom w:val="0"/>
      <w:divBdr>
        <w:top w:val="none" w:sz="0" w:space="0" w:color="auto"/>
        <w:left w:val="none" w:sz="0" w:space="0" w:color="auto"/>
        <w:bottom w:val="none" w:sz="0" w:space="0" w:color="auto"/>
        <w:right w:val="none" w:sz="0" w:space="0" w:color="auto"/>
      </w:divBdr>
    </w:div>
    <w:div w:id="49501687">
      <w:bodyDiv w:val="1"/>
      <w:marLeft w:val="0"/>
      <w:marRight w:val="0"/>
      <w:marTop w:val="0"/>
      <w:marBottom w:val="0"/>
      <w:divBdr>
        <w:top w:val="none" w:sz="0" w:space="0" w:color="auto"/>
        <w:left w:val="none" w:sz="0" w:space="0" w:color="auto"/>
        <w:bottom w:val="none" w:sz="0" w:space="0" w:color="auto"/>
        <w:right w:val="none" w:sz="0" w:space="0" w:color="auto"/>
      </w:divBdr>
    </w:div>
    <w:div w:id="49571846">
      <w:bodyDiv w:val="1"/>
      <w:marLeft w:val="0"/>
      <w:marRight w:val="0"/>
      <w:marTop w:val="0"/>
      <w:marBottom w:val="0"/>
      <w:divBdr>
        <w:top w:val="none" w:sz="0" w:space="0" w:color="auto"/>
        <w:left w:val="none" w:sz="0" w:space="0" w:color="auto"/>
        <w:bottom w:val="none" w:sz="0" w:space="0" w:color="auto"/>
        <w:right w:val="none" w:sz="0" w:space="0" w:color="auto"/>
      </w:divBdr>
    </w:div>
    <w:div w:id="49576568">
      <w:bodyDiv w:val="1"/>
      <w:marLeft w:val="0"/>
      <w:marRight w:val="0"/>
      <w:marTop w:val="0"/>
      <w:marBottom w:val="0"/>
      <w:divBdr>
        <w:top w:val="none" w:sz="0" w:space="0" w:color="auto"/>
        <w:left w:val="none" w:sz="0" w:space="0" w:color="auto"/>
        <w:bottom w:val="none" w:sz="0" w:space="0" w:color="auto"/>
        <w:right w:val="none" w:sz="0" w:space="0" w:color="auto"/>
      </w:divBdr>
    </w:div>
    <w:div w:id="49769048">
      <w:bodyDiv w:val="1"/>
      <w:marLeft w:val="0"/>
      <w:marRight w:val="0"/>
      <w:marTop w:val="0"/>
      <w:marBottom w:val="0"/>
      <w:divBdr>
        <w:top w:val="none" w:sz="0" w:space="0" w:color="auto"/>
        <w:left w:val="none" w:sz="0" w:space="0" w:color="auto"/>
        <w:bottom w:val="none" w:sz="0" w:space="0" w:color="auto"/>
        <w:right w:val="none" w:sz="0" w:space="0" w:color="auto"/>
      </w:divBdr>
    </w:div>
    <w:div w:id="49769188">
      <w:bodyDiv w:val="1"/>
      <w:marLeft w:val="0"/>
      <w:marRight w:val="0"/>
      <w:marTop w:val="0"/>
      <w:marBottom w:val="0"/>
      <w:divBdr>
        <w:top w:val="none" w:sz="0" w:space="0" w:color="auto"/>
        <w:left w:val="none" w:sz="0" w:space="0" w:color="auto"/>
        <w:bottom w:val="none" w:sz="0" w:space="0" w:color="auto"/>
        <w:right w:val="none" w:sz="0" w:space="0" w:color="auto"/>
      </w:divBdr>
    </w:div>
    <w:div w:id="49811326">
      <w:bodyDiv w:val="1"/>
      <w:marLeft w:val="0"/>
      <w:marRight w:val="0"/>
      <w:marTop w:val="0"/>
      <w:marBottom w:val="0"/>
      <w:divBdr>
        <w:top w:val="none" w:sz="0" w:space="0" w:color="auto"/>
        <w:left w:val="none" w:sz="0" w:space="0" w:color="auto"/>
        <w:bottom w:val="none" w:sz="0" w:space="0" w:color="auto"/>
        <w:right w:val="none" w:sz="0" w:space="0" w:color="auto"/>
      </w:divBdr>
    </w:div>
    <w:div w:id="49816166">
      <w:bodyDiv w:val="1"/>
      <w:marLeft w:val="0"/>
      <w:marRight w:val="0"/>
      <w:marTop w:val="0"/>
      <w:marBottom w:val="0"/>
      <w:divBdr>
        <w:top w:val="none" w:sz="0" w:space="0" w:color="auto"/>
        <w:left w:val="none" w:sz="0" w:space="0" w:color="auto"/>
        <w:bottom w:val="none" w:sz="0" w:space="0" w:color="auto"/>
        <w:right w:val="none" w:sz="0" w:space="0" w:color="auto"/>
      </w:divBdr>
    </w:div>
    <w:div w:id="49960242">
      <w:bodyDiv w:val="1"/>
      <w:marLeft w:val="0"/>
      <w:marRight w:val="0"/>
      <w:marTop w:val="0"/>
      <w:marBottom w:val="0"/>
      <w:divBdr>
        <w:top w:val="none" w:sz="0" w:space="0" w:color="auto"/>
        <w:left w:val="none" w:sz="0" w:space="0" w:color="auto"/>
        <w:bottom w:val="none" w:sz="0" w:space="0" w:color="auto"/>
        <w:right w:val="none" w:sz="0" w:space="0" w:color="auto"/>
      </w:divBdr>
    </w:div>
    <w:div w:id="50009649">
      <w:bodyDiv w:val="1"/>
      <w:marLeft w:val="0"/>
      <w:marRight w:val="0"/>
      <w:marTop w:val="0"/>
      <w:marBottom w:val="0"/>
      <w:divBdr>
        <w:top w:val="none" w:sz="0" w:space="0" w:color="auto"/>
        <w:left w:val="none" w:sz="0" w:space="0" w:color="auto"/>
        <w:bottom w:val="none" w:sz="0" w:space="0" w:color="auto"/>
        <w:right w:val="none" w:sz="0" w:space="0" w:color="auto"/>
      </w:divBdr>
    </w:div>
    <w:div w:id="50080287">
      <w:bodyDiv w:val="1"/>
      <w:marLeft w:val="0"/>
      <w:marRight w:val="0"/>
      <w:marTop w:val="0"/>
      <w:marBottom w:val="0"/>
      <w:divBdr>
        <w:top w:val="none" w:sz="0" w:space="0" w:color="auto"/>
        <w:left w:val="none" w:sz="0" w:space="0" w:color="auto"/>
        <w:bottom w:val="none" w:sz="0" w:space="0" w:color="auto"/>
        <w:right w:val="none" w:sz="0" w:space="0" w:color="auto"/>
      </w:divBdr>
    </w:div>
    <w:div w:id="50157222">
      <w:bodyDiv w:val="1"/>
      <w:marLeft w:val="0"/>
      <w:marRight w:val="0"/>
      <w:marTop w:val="0"/>
      <w:marBottom w:val="0"/>
      <w:divBdr>
        <w:top w:val="none" w:sz="0" w:space="0" w:color="auto"/>
        <w:left w:val="none" w:sz="0" w:space="0" w:color="auto"/>
        <w:bottom w:val="none" w:sz="0" w:space="0" w:color="auto"/>
        <w:right w:val="none" w:sz="0" w:space="0" w:color="auto"/>
      </w:divBdr>
    </w:div>
    <w:div w:id="50161102">
      <w:bodyDiv w:val="1"/>
      <w:marLeft w:val="0"/>
      <w:marRight w:val="0"/>
      <w:marTop w:val="0"/>
      <w:marBottom w:val="0"/>
      <w:divBdr>
        <w:top w:val="none" w:sz="0" w:space="0" w:color="auto"/>
        <w:left w:val="none" w:sz="0" w:space="0" w:color="auto"/>
        <w:bottom w:val="none" w:sz="0" w:space="0" w:color="auto"/>
        <w:right w:val="none" w:sz="0" w:space="0" w:color="auto"/>
      </w:divBdr>
    </w:div>
    <w:div w:id="50351008">
      <w:bodyDiv w:val="1"/>
      <w:marLeft w:val="0"/>
      <w:marRight w:val="0"/>
      <w:marTop w:val="0"/>
      <w:marBottom w:val="0"/>
      <w:divBdr>
        <w:top w:val="none" w:sz="0" w:space="0" w:color="auto"/>
        <w:left w:val="none" w:sz="0" w:space="0" w:color="auto"/>
        <w:bottom w:val="none" w:sz="0" w:space="0" w:color="auto"/>
        <w:right w:val="none" w:sz="0" w:space="0" w:color="auto"/>
      </w:divBdr>
    </w:div>
    <w:div w:id="50427574">
      <w:bodyDiv w:val="1"/>
      <w:marLeft w:val="0"/>
      <w:marRight w:val="0"/>
      <w:marTop w:val="0"/>
      <w:marBottom w:val="0"/>
      <w:divBdr>
        <w:top w:val="none" w:sz="0" w:space="0" w:color="auto"/>
        <w:left w:val="none" w:sz="0" w:space="0" w:color="auto"/>
        <w:bottom w:val="none" w:sz="0" w:space="0" w:color="auto"/>
        <w:right w:val="none" w:sz="0" w:space="0" w:color="auto"/>
      </w:divBdr>
    </w:div>
    <w:div w:id="50688728">
      <w:bodyDiv w:val="1"/>
      <w:marLeft w:val="0"/>
      <w:marRight w:val="0"/>
      <w:marTop w:val="0"/>
      <w:marBottom w:val="0"/>
      <w:divBdr>
        <w:top w:val="none" w:sz="0" w:space="0" w:color="auto"/>
        <w:left w:val="none" w:sz="0" w:space="0" w:color="auto"/>
        <w:bottom w:val="none" w:sz="0" w:space="0" w:color="auto"/>
        <w:right w:val="none" w:sz="0" w:space="0" w:color="auto"/>
      </w:divBdr>
    </w:div>
    <w:div w:id="51083204">
      <w:bodyDiv w:val="1"/>
      <w:marLeft w:val="0"/>
      <w:marRight w:val="0"/>
      <w:marTop w:val="0"/>
      <w:marBottom w:val="0"/>
      <w:divBdr>
        <w:top w:val="none" w:sz="0" w:space="0" w:color="auto"/>
        <w:left w:val="none" w:sz="0" w:space="0" w:color="auto"/>
        <w:bottom w:val="none" w:sz="0" w:space="0" w:color="auto"/>
        <w:right w:val="none" w:sz="0" w:space="0" w:color="auto"/>
      </w:divBdr>
    </w:div>
    <w:div w:id="51083311">
      <w:bodyDiv w:val="1"/>
      <w:marLeft w:val="0"/>
      <w:marRight w:val="0"/>
      <w:marTop w:val="0"/>
      <w:marBottom w:val="0"/>
      <w:divBdr>
        <w:top w:val="none" w:sz="0" w:space="0" w:color="auto"/>
        <w:left w:val="none" w:sz="0" w:space="0" w:color="auto"/>
        <w:bottom w:val="none" w:sz="0" w:space="0" w:color="auto"/>
        <w:right w:val="none" w:sz="0" w:space="0" w:color="auto"/>
      </w:divBdr>
    </w:div>
    <w:div w:id="51121174">
      <w:bodyDiv w:val="1"/>
      <w:marLeft w:val="0"/>
      <w:marRight w:val="0"/>
      <w:marTop w:val="0"/>
      <w:marBottom w:val="0"/>
      <w:divBdr>
        <w:top w:val="none" w:sz="0" w:space="0" w:color="auto"/>
        <w:left w:val="none" w:sz="0" w:space="0" w:color="auto"/>
        <w:bottom w:val="none" w:sz="0" w:space="0" w:color="auto"/>
        <w:right w:val="none" w:sz="0" w:space="0" w:color="auto"/>
      </w:divBdr>
    </w:div>
    <w:div w:id="51317682">
      <w:bodyDiv w:val="1"/>
      <w:marLeft w:val="0"/>
      <w:marRight w:val="0"/>
      <w:marTop w:val="0"/>
      <w:marBottom w:val="0"/>
      <w:divBdr>
        <w:top w:val="none" w:sz="0" w:space="0" w:color="auto"/>
        <w:left w:val="none" w:sz="0" w:space="0" w:color="auto"/>
        <w:bottom w:val="none" w:sz="0" w:space="0" w:color="auto"/>
        <w:right w:val="none" w:sz="0" w:space="0" w:color="auto"/>
      </w:divBdr>
    </w:div>
    <w:div w:id="51463720">
      <w:bodyDiv w:val="1"/>
      <w:marLeft w:val="0"/>
      <w:marRight w:val="0"/>
      <w:marTop w:val="0"/>
      <w:marBottom w:val="0"/>
      <w:divBdr>
        <w:top w:val="none" w:sz="0" w:space="0" w:color="auto"/>
        <w:left w:val="none" w:sz="0" w:space="0" w:color="auto"/>
        <w:bottom w:val="none" w:sz="0" w:space="0" w:color="auto"/>
        <w:right w:val="none" w:sz="0" w:space="0" w:color="auto"/>
      </w:divBdr>
    </w:div>
    <w:div w:id="51661492">
      <w:bodyDiv w:val="1"/>
      <w:marLeft w:val="0"/>
      <w:marRight w:val="0"/>
      <w:marTop w:val="0"/>
      <w:marBottom w:val="0"/>
      <w:divBdr>
        <w:top w:val="none" w:sz="0" w:space="0" w:color="auto"/>
        <w:left w:val="none" w:sz="0" w:space="0" w:color="auto"/>
        <w:bottom w:val="none" w:sz="0" w:space="0" w:color="auto"/>
        <w:right w:val="none" w:sz="0" w:space="0" w:color="auto"/>
      </w:divBdr>
    </w:div>
    <w:div w:id="51780046">
      <w:bodyDiv w:val="1"/>
      <w:marLeft w:val="0"/>
      <w:marRight w:val="0"/>
      <w:marTop w:val="0"/>
      <w:marBottom w:val="0"/>
      <w:divBdr>
        <w:top w:val="none" w:sz="0" w:space="0" w:color="auto"/>
        <w:left w:val="none" w:sz="0" w:space="0" w:color="auto"/>
        <w:bottom w:val="none" w:sz="0" w:space="0" w:color="auto"/>
        <w:right w:val="none" w:sz="0" w:space="0" w:color="auto"/>
      </w:divBdr>
    </w:div>
    <w:div w:id="51848676">
      <w:bodyDiv w:val="1"/>
      <w:marLeft w:val="0"/>
      <w:marRight w:val="0"/>
      <w:marTop w:val="0"/>
      <w:marBottom w:val="0"/>
      <w:divBdr>
        <w:top w:val="none" w:sz="0" w:space="0" w:color="auto"/>
        <w:left w:val="none" w:sz="0" w:space="0" w:color="auto"/>
        <w:bottom w:val="none" w:sz="0" w:space="0" w:color="auto"/>
        <w:right w:val="none" w:sz="0" w:space="0" w:color="auto"/>
      </w:divBdr>
    </w:div>
    <w:div w:id="51853810">
      <w:bodyDiv w:val="1"/>
      <w:marLeft w:val="0"/>
      <w:marRight w:val="0"/>
      <w:marTop w:val="0"/>
      <w:marBottom w:val="0"/>
      <w:divBdr>
        <w:top w:val="none" w:sz="0" w:space="0" w:color="auto"/>
        <w:left w:val="none" w:sz="0" w:space="0" w:color="auto"/>
        <w:bottom w:val="none" w:sz="0" w:space="0" w:color="auto"/>
        <w:right w:val="none" w:sz="0" w:space="0" w:color="auto"/>
      </w:divBdr>
    </w:div>
    <w:div w:id="52042798">
      <w:bodyDiv w:val="1"/>
      <w:marLeft w:val="0"/>
      <w:marRight w:val="0"/>
      <w:marTop w:val="0"/>
      <w:marBottom w:val="0"/>
      <w:divBdr>
        <w:top w:val="none" w:sz="0" w:space="0" w:color="auto"/>
        <w:left w:val="none" w:sz="0" w:space="0" w:color="auto"/>
        <w:bottom w:val="none" w:sz="0" w:space="0" w:color="auto"/>
        <w:right w:val="none" w:sz="0" w:space="0" w:color="auto"/>
      </w:divBdr>
    </w:div>
    <w:div w:id="52048148">
      <w:bodyDiv w:val="1"/>
      <w:marLeft w:val="0"/>
      <w:marRight w:val="0"/>
      <w:marTop w:val="0"/>
      <w:marBottom w:val="0"/>
      <w:divBdr>
        <w:top w:val="none" w:sz="0" w:space="0" w:color="auto"/>
        <w:left w:val="none" w:sz="0" w:space="0" w:color="auto"/>
        <w:bottom w:val="none" w:sz="0" w:space="0" w:color="auto"/>
        <w:right w:val="none" w:sz="0" w:space="0" w:color="auto"/>
      </w:divBdr>
    </w:div>
    <w:div w:id="52117814">
      <w:bodyDiv w:val="1"/>
      <w:marLeft w:val="0"/>
      <w:marRight w:val="0"/>
      <w:marTop w:val="0"/>
      <w:marBottom w:val="0"/>
      <w:divBdr>
        <w:top w:val="none" w:sz="0" w:space="0" w:color="auto"/>
        <w:left w:val="none" w:sz="0" w:space="0" w:color="auto"/>
        <w:bottom w:val="none" w:sz="0" w:space="0" w:color="auto"/>
        <w:right w:val="none" w:sz="0" w:space="0" w:color="auto"/>
      </w:divBdr>
    </w:div>
    <w:div w:id="52121634">
      <w:bodyDiv w:val="1"/>
      <w:marLeft w:val="0"/>
      <w:marRight w:val="0"/>
      <w:marTop w:val="0"/>
      <w:marBottom w:val="0"/>
      <w:divBdr>
        <w:top w:val="none" w:sz="0" w:space="0" w:color="auto"/>
        <w:left w:val="none" w:sz="0" w:space="0" w:color="auto"/>
        <w:bottom w:val="none" w:sz="0" w:space="0" w:color="auto"/>
        <w:right w:val="none" w:sz="0" w:space="0" w:color="auto"/>
      </w:divBdr>
    </w:div>
    <w:div w:id="52195178">
      <w:bodyDiv w:val="1"/>
      <w:marLeft w:val="0"/>
      <w:marRight w:val="0"/>
      <w:marTop w:val="0"/>
      <w:marBottom w:val="0"/>
      <w:divBdr>
        <w:top w:val="none" w:sz="0" w:space="0" w:color="auto"/>
        <w:left w:val="none" w:sz="0" w:space="0" w:color="auto"/>
        <w:bottom w:val="none" w:sz="0" w:space="0" w:color="auto"/>
        <w:right w:val="none" w:sz="0" w:space="0" w:color="auto"/>
      </w:divBdr>
    </w:div>
    <w:div w:id="52588281">
      <w:bodyDiv w:val="1"/>
      <w:marLeft w:val="0"/>
      <w:marRight w:val="0"/>
      <w:marTop w:val="0"/>
      <w:marBottom w:val="0"/>
      <w:divBdr>
        <w:top w:val="none" w:sz="0" w:space="0" w:color="auto"/>
        <w:left w:val="none" w:sz="0" w:space="0" w:color="auto"/>
        <w:bottom w:val="none" w:sz="0" w:space="0" w:color="auto"/>
        <w:right w:val="none" w:sz="0" w:space="0" w:color="auto"/>
      </w:divBdr>
    </w:div>
    <w:div w:id="52626603">
      <w:bodyDiv w:val="1"/>
      <w:marLeft w:val="0"/>
      <w:marRight w:val="0"/>
      <w:marTop w:val="0"/>
      <w:marBottom w:val="0"/>
      <w:divBdr>
        <w:top w:val="none" w:sz="0" w:space="0" w:color="auto"/>
        <w:left w:val="none" w:sz="0" w:space="0" w:color="auto"/>
        <w:bottom w:val="none" w:sz="0" w:space="0" w:color="auto"/>
        <w:right w:val="none" w:sz="0" w:space="0" w:color="auto"/>
      </w:divBdr>
    </w:div>
    <w:div w:id="52657555">
      <w:bodyDiv w:val="1"/>
      <w:marLeft w:val="0"/>
      <w:marRight w:val="0"/>
      <w:marTop w:val="0"/>
      <w:marBottom w:val="0"/>
      <w:divBdr>
        <w:top w:val="none" w:sz="0" w:space="0" w:color="auto"/>
        <w:left w:val="none" w:sz="0" w:space="0" w:color="auto"/>
        <w:bottom w:val="none" w:sz="0" w:space="0" w:color="auto"/>
        <w:right w:val="none" w:sz="0" w:space="0" w:color="auto"/>
      </w:divBdr>
    </w:div>
    <w:div w:id="52700908">
      <w:bodyDiv w:val="1"/>
      <w:marLeft w:val="0"/>
      <w:marRight w:val="0"/>
      <w:marTop w:val="0"/>
      <w:marBottom w:val="0"/>
      <w:divBdr>
        <w:top w:val="none" w:sz="0" w:space="0" w:color="auto"/>
        <w:left w:val="none" w:sz="0" w:space="0" w:color="auto"/>
        <w:bottom w:val="none" w:sz="0" w:space="0" w:color="auto"/>
        <w:right w:val="none" w:sz="0" w:space="0" w:color="auto"/>
      </w:divBdr>
    </w:div>
    <w:div w:id="52851593">
      <w:bodyDiv w:val="1"/>
      <w:marLeft w:val="0"/>
      <w:marRight w:val="0"/>
      <w:marTop w:val="0"/>
      <w:marBottom w:val="0"/>
      <w:divBdr>
        <w:top w:val="none" w:sz="0" w:space="0" w:color="auto"/>
        <w:left w:val="none" w:sz="0" w:space="0" w:color="auto"/>
        <w:bottom w:val="none" w:sz="0" w:space="0" w:color="auto"/>
        <w:right w:val="none" w:sz="0" w:space="0" w:color="auto"/>
      </w:divBdr>
    </w:div>
    <w:div w:id="52853068">
      <w:bodyDiv w:val="1"/>
      <w:marLeft w:val="0"/>
      <w:marRight w:val="0"/>
      <w:marTop w:val="0"/>
      <w:marBottom w:val="0"/>
      <w:divBdr>
        <w:top w:val="none" w:sz="0" w:space="0" w:color="auto"/>
        <w:left w:val="none" w:sz="0" w:space="0" w:color="auto"/>
        <w:bottom w:val="none" w:sz="0" w:space="0" w:color="auto"/>
        <w:right w:val="none" w:sz="0" w:space="0" w:color="auto"/>
      </w:divBdr>
    </w:div>
    <w:div w:id="52854247">
      <w:bodyDiv w:val="1"/>
      <w:marLeft w:val="0"/>
      <w:marRight w:val="0"/>
      <w:marTop w:val="0"/>
      <w:marBottom w:val="0"/>
      <w:divBdr>
        <w:top w:val="none" w:sz="0" w:space="0" w:color="auto"/>
        <w:left w:val="none" w:sz="0" w:space="0" w:color="auto"/>
        <w:bottom w:val="none" w:sz="0" w:space="0" w:color="auto"/>
        <w:right w:val="none" w:sz="0" w:space="0" w:color="auto"/>
      </w:divBdr>
    </w:div>
    <w:div w:id="52969686">
      <w:bodyDiv w:val="1"/>
      <w:marLeft w:val="0"/>
      <w:marRight w:val="0"/>
      <w:marTop w:val="0"/>
      <w:marBottom w:val="0"/>
      <w:divBdr>
        <w:top w:val="none" w:sz="0" w:space="0" w:color="auto"/>
        <w:left w:val="none" w:sz="0" w:space="0" w:color="auto"/>
        <w:bottom w:val="none" w:sz="0" w:space="0" w:color="auto"/>
        <w:right w:val="none" w:sz="0" w:space="0" w:color="auto"/>
      </w:divBdr>
    </w:div>
    <w:div w:id="52971224">
      <w:bodyDiv w:val="1"/>
      <w:marLeft w:val="0"/>
      <w:marRight w:val="0"/>
      <w:marTop w:val="0"/>
      <w:marBottom w:val="0"/>
      <w:divBdr>
        <w:top w:val="none" w:sz="0" w:space="0" w:color="auto"/>
        <w:left w:val="none" w:sz="0" w:space="0" w:color="auto"/>
        <w:bottom w:val="none" w:sz="0" w:space="0" w:color="auto"/>
        <w:right w:val="none" w:sz="0" w:space="0" w:color="auto"/>
      </w:divBdr>
    </w:div>
    <w:div w:id="53084628">
      <w:bodyDiv w:val="1"/>
      <w:marLeft w:val="0"/>
      <w:marRight w:val="0"/>
      <w:marTop w:val="0"/>
      <w:marBottom w:val="0"/>
      <w:divBdr>
        <w:top w:val="none" w:sz="0" w:space="0" w:color="auto"/>
        <w:left w:val="none" w:sz="0" w:space="0" w:color="auto"/>
        <w:bottom w:val="none" w:sz="0" w:space="0" w:color="auto"/>
        <w:right w:val="none" w:sz="0" w:space="0" w:color="auto"/>
      </w:divBdr>
    </w:div>
    <w:div w:id="53165229">
      <w:bodyDiv w:val="1"/>
      <w:marLeft w:val="0"/>
      <w:marRight w:val="0"/>
      <w:marTop w:val="0"/>
      <w:marBottom w:val="0"/>
      <w:divBdr>
        <w:top w:val="none" w:sz="0" w:space="0" w:color="auto"/>
        <w:left w:val="none" w:sz="0" w:space="0" w:color="auto"/>
        <w:bottom w:val="none" w:sz="0" w:space="0" w:color="auto"/>
        <w:right w:val="none" w:sz="0" w:space="0" w:color="auto"/>
      </w:divBdr>
    </w:div>
    <w:div w:id="53241216">
      <w:bodyDiv w:val="1"/>
      <w:marLeft w:val="0"/>
      <w:marRight w:val="0"/>
      <w:marTop w:val="0"/>
      <w:marBottom w:val="0"/>
      <w:divBdr>
        <w:top w:val="none" w:sz="0" w:space="0" w:color="auto"/>
        <w:left w:val="none" w:sz="0" w:space="0" w:color="auto"/>
        <w:bottom w:val="none" w:sz="0" w:space="0" w:color="auto"/>
        <w:right w:val="none" w:sz="0" w:space="0" w:color="auto"/>
      </w:divBdr>
    </w:div>
    <w:div w:id="53354441">
      <w:bodyDiv w:val="1"/>
      <w:marLeft w:val="0"/>
      <w:marRight w:val="0"/>
      <w:marTop w:val="0"/>
      <w:marBottom w:val="0"/>
      <w:divBdr>
        <w:top w:val="none" w:sz="0" w:space="0" w:color="auto"/>
        <w:left w:val="none" w:sz="0" w:space="0" w:color="auto"/>
        <w:bottom w:val="none" w:sz="0" w:space="0" w:color="auto"/>
        <w:right w:val="none" w:sz="0" w:space="0" w:color="auto"/>
      </w:divBdr>
    </w:div>
    <w:div w:id="53503714">
      <w:bodyDiv w:val="1"/>
      <w:marLeft w:val="0"/>
      <w:marRight w:val="0"/>
      <w:marTop w:val="0"/>
      <w:marBottom w:val="0"/>
      <w:divBdr>
        <w:top w:val="none" w:sz="0" w:space="0" w:color="auto"/>
        <w:left w:val="none" w:sz="0" w:space="0" w:color="auto"/>
        <w:bottom w:val="none" w:sz="0" w:space="0" w:color="auto"/>
        <w:right w:val="none" w:sz="0" w:space="0" w:color="auto"/>
      </w:divBdr>
    </w:div>
    <w:div w:id="53507448">
      <w:bodyDiv w:val="1"/>
      <w:marLeft w:val="0"/>
      <w:marRight w:val="0"/>
      <w:marTop w:val="0"/>
      <w:marBottom w:val="0"/>
      <w:divBdr>
        <w:top w:val="none" w:sz="0" w:space="0" w:color="auto"/>
        <w:left w:val="none" w:sz="0" w:space="0" w:color="auto"/>
        <w:bottom w:val="none" w:sz="0" w:space="0" w:color="auto"/>
        <w:right w:val="none" w:sz="0" w:space="0" w:color="auto"/>
      </w:divBdr>
    </w:div>
    <w:div w:id="53625829">
      <w:bodyDiv w:val="1"/>
      <w:marLeft w:val="0"/>
      <w:marRight w:val="0"/>
      <w:marTop w:val="0"/>
      <w:marBottom w:val="0"/>
      <w:divBdr>
        <w:top w:val="none" w:sz="0" w:space="0" w:color="auto"/>
        <w:left w:val="none" w:sz="0" w:space="0" w:color="auto"/>
        <w:bottom w:val="none" w:sz="0" w:space="0" w:color="auto"/>
        <w:right w:val="none" w:sz="0" w:space="0" w:color="auto"/>
      </w:divBdr>
    </w:div>
    <w:div w:id="53702341">
      <w:bodyDiv w:val="1"/>
      <w:marLeft w:val="0"/>
      <w:marRight w:val="0"/>
      <w:marTop w:val="0"/>
      <w:marBottom w:val="0"/>
      <w:divBdr>
        <w:top w:val="none" w:sz="0" w:space="0" w:color="auto"/>
        <w:left w:val="none" w:sz="0" w:space="0" w:color="auto"/>
        <w:bottom w:val="none" w:sz="0" w:space="0" w:color="auto"/>
        <w:right w:val="none" w:sz="0" w:space="0" w:color="auto"/>
      </w:divBdr>
    </w:div>
    <w:div w:id="53742972">
      <w:bodyDiv w:val="1"/>
      <w:marLeft w:val="0"/>
      <w:marRight w:val="0"/>
      <w:marTop w:val="0"/>
      <w:marBottom w:val="0"/>
      <w:divBdr>
        <w:top w:val="none" w:sz="0" w:space="0" w:color="auto"/>
        <w:left w:val="none" w:sz="0" w:space="0" w:color="auto"/>
        <w:bottom w:val="none" w:sz="0" w:space="0" w:color="auto"/>
        <w:right w:val="none" w:sz="0" w:space="0" w:color="auto"/>
      </w:divBdr>
    </w:div>
    <w:div w:id="53822680">
      <w:bodyDiv w:val="1"/>
      <w:marLeft w:val="0"/>
      <w:marRight w:val="0"/>
      <w:marTop w:val="0"/>
      <w:marBottom w:val="0"/>
      <w:divBdr>
        <w:top w:val="none" w:sz="0" w:space="0" w:color="auto"/>
        <w:left w:val="none" w:sz="0" w:space="0" w:color="auto"/>
        <w:bottom w:val="none" w:sz="0" w:space="0" w:color="auto"/>
        <w:right w:val="none" w:sz="0" w:space="0" w:color="auto"/>
      </w:divBdr>
    </w:div>
    <w:div w:id="53822967">
      <w:bodyDiv w:val="1"/>
      <w:marLeft w:val="0"/>
      <w:marRight w:val="0"/>
      <w:marTop w:val="0"/>
      <w:marBottom w:val="0"/>
      <w:divBdr>
        <w:top w:val="none" w:sz="0" w:space="0" w:color="auto"/>
        <w:left w:val="none" w:sz="0" w:space="0" w:color="auto"/>
        <w:bottom w:val="none" w:sz="0" w:space="0" w:color="auto"/>
        <w:right w:val="none" w:sz="0" w:space="0" w:color="auto"/>
      </w:divBdr>
    </w:div>
    <w:div w:id="53896519">
      <w:bodyDiv w:val="1"/>
      <w:marLeft w:val="0"/>
      <w:marRight w:val="0"/>
      <w:marTop w:val="0"/>
      <w:marBottom w:val="0"/>
      <w:divBdr>
        <w:top w:val="none" w:sz="0" w:space="0" w:color="auto"/>
        <w:left w:val="none" w:sz="0" w:space="0" w:color="auto"/>
        <w:bottom w:val="none" w:sz="0" w:space="0" w:color="auto"/>
        <w:right w:val="none" w:sz="0" w:space="0" w:color="auto"/>
      </w:divBdr>
    </w:div>
    <w:div w:id="53939981">
      <w:bodyDiv w:val="1"/>
      <w:marLeft w:val="0"/>
      <w:marRight w:val="0"/>
      <w:marTop w:val="0"/>
      <w:marBottom w:val="0"/>
      <w:divBdr>
        <w:top w:val="none" w:sz="0" w:space="0" w:color="auto"/>
        <w:left w:val="none" w:sz="0" w:space="0" w:color="auto"/>
        <w:bottom w:val="none" w:sz="0" w:space="0" w:color="auto"/>
        <w:right w:val="none" w:sz="0" w:space="0" w:color="auto"/>
      </w:divBdr>
    </w:div>
    <w:div w:id="54008172">
      <w:bodyDiv w:val="1"/>
      <w:marLeft w:val="0"/>
      <w:marRight w:val="0"/>
      <w:marTop w:val="0"/>
      <w:marBottom w:val="0"/>
      <w:divBdr>
        <w:top w:val="none" w:sz="0" w:space="0" w:color="auto"/>
        <w:left w:val="none" w:sz="0" w:space="0" w:color="auto"/>
        <w:bottom w:val="none" w:sz="0" w:space="0" w:color="auto"/>
        <w:right w:val="none" w:sz="0" w:space="0" w:color="auto"/>
      </w:divBdr>
    </w:div>
    <w:div w:id="54015048">
      <w:bodyDiv w:val="1"/>
      <w:marLeft w:val="0"/>
      <w:marRight w:val="0"/>
      <w:marTop w:val="0"/>
      <w:marBottom w:val="0"/>
      <w:divBdr>
        <w:top w:val="none" w:sz="0" w:space="0" w:color="auto"/>
        <w:left w:val="none" w:sz="0" w:space="0" w:color="auto"/>
        <w:bottom w:val="none" w:sz="0" w:space="0" w:color="auto"/>
        <w:right w:val="none" w:sz="0" w:space="0" w:color="auto"/>
      </w:divBdr>
    </w:div>
    <w:div w:id="54280102">
      <w:bodyDiv w:val="1"/>
      <w:marLeft w:val="0"/>
      <w:marRight w:val="0"/>
      <w:marTop w:val="0"/>
      <w:marBottom w:val="0"/>
      <w:divBdr>
        <w:top w:val="none" w:sz="0" w:space="0" w:color="auto"/>
        <w:left w:val="none" w:sz="0" w:space="0" w:color="auto"/>
        <w:bottom w:val="none" w:sz="0" w:space="0" w:color="auto"/>
        <w:right w:val="none" w:sz="0" w:space="0" w:color="auto"/>
      </w:divBdr>
    </w:div>
    <w:div w:id="54545240">
      <w:bodyDiv w:val="1"/>
      <w:marLeft w:val="0"/>
      <w:marRight w:val="0"/>
      <w:marTop w:val="0"/>
      <w:marBottom w:val="0"/>
      <w:divBdr>
        <w:top w:val="none" w:sz="0" w:space="0" w:color="auto"/>
        <w:left w:val="none" w:sz="0" w:space="0" w:color="auto"/>
        <w:bottom w:val="none" w:sz="0" w:space="0" w:color="auto"/>
        <w:right w:val="none" w:sz="0" w:space="0" w:color="auto"/>
      </w:divBdr>
    </w:div>
    <w:div w:id="54596685">
      <w:bodyDiv w:val="1"/>
      <w:marLeft w:val="0"/>
      <w:marRight w:val="0"/>
      <w:marTop w:val="0"/>
      <w:marBottom w:val="0"/>
      <w:divBdr>
        <w:top w:val="none" w:sz="0" w:space="0" w:color="auto"/>
        <w:left w:val="none" w:sz="0" w:space="0" w:color="auto"/>
        <w:bottom w:val="none" w:sz="0" w:space="0" w:color="auto"/>
        <w:right w:val="none" w:sz="0" w:space="0" w:color="auto"/>
      </w:divBdr>
    </w:div>
    <w:div w:id="54818179">
      <w:bodyDiv w:val="1"/>
      <w:marLeft w:val="0"/>
      <w:marRight w:val="0"/>
      <w:marTop w:val="0"/>
      <w:marBottom w:val="0"/>
      <w:divBdr>
        <w:top w:val="none" w:sz="0" w:space="0" w:color="auto"/>
        <w:left w:val="none" w:sz="0" w:space="0" w:color="auto"/>
        <w:bottom w:val="none" w:sz="0" w:space="0" w:color="auto"/>
        <w:right w:val="none" w:sz="0" w:space="0" w:color="auto"/>
      </w:divBdr>
    </w:div>
    <w:div w:id="54819037">
      <w:bodyDiv w:val="1"/>
      <w:marLeft w:val="0"/>
      <w:marRight w:val="0"/>
      <w:marTop w:val="0"/>
      <w:marBottom w:val="0"/>
      <w:divBdr>
        <w:top w:val="none" w:sz="0" w:space="0" w:color="auto"/>
        <w:left w:val="none" w:sz="0" w:space="0" w:color="auto"/>
        <w:bottom w:val="none" w:sz="0" w:space="0" w:color="auto"/>
        <w:right w:val="none" w:sz="0" w:space="0" w:color="auto"/>
      </w:divBdr>
    </w:div>
    <w:div w:id="54937447">
      <w:bodyDiv w:val="1"/>
      <w:marLeft w:val="0"/>
      <w:marRight w:val="0"/>
      <w:marTop w:val="0"/>
      <w:marBottom w:val="0"/>
      <w:divBdr>
        <w:top w:val="none" w:sz="0" w:space="0" w:color="auto"/>
        <w:left w:val="none" w:sz="0" w:space="0" w:color="auto"/>
        <w:bottom w:val="none" w:sz="0" w:space="0" w:color="auto"/>
        <w:right w:val="none" w:sz="0" w:space="0" w:color="auto"/>
      </w:divBdr>
    </w:div>
    <w:div w:id="55015767">
      <w:bodyDiv w:val="1"/>
      <w:marLeft w:val="0"/>
      <w:marRight w:val="0"/>
      <w:marTop w:val="0"/>
      <w:marBottom w:val="0"/>
      <w:divBdr>
        <w:top w:val="none" w:sz="0" w:space="0" w:color="auto"/>
        <w:left w:val="none" w:sz="0" w:space="0" w:color="auto"/>
        <w:bottom w:val="none" w:sz="0" w:space="0" w:color="auto"/>
        <w:right w:val="none" w:sz="0" w:space="0" w:color="auto"/>
      </w:divBdr>
    </w:div>
    <w:div w:id="55050456">
      <w:bodyDiv w:val="1"/>
      <w:marLeft w:val="0"/>
      <w:marRight w:val="0"/>
      <w:marTop w:val="0"/>
      <w:marBottom w:val="0"/>
      <w:divBdr>
        <w:top w:val="none" w:sz="0" w:space="0" w:color="auto"/>
        <w:left w:val="none" w:sz="0" w:space="0" w:color="auto"/>
        <w:bottom w:val="none" w:sz="0" w:space="0" w:color="auto"/>
        <w:right w:val="none" w:sz="0" w:space="0" w:color="auto"/>
      </w:divBdr>
    </w:div>
    <w:div w:id="55131643">
      <w:bodyDiv w:val="1"/>
      <w:marLeft w:val="0"/>
      <w:marRight w:val="0"/>
      <w:marTop w:val="0"/>
      <w:marBottom w:val="0"/>
      <w:divBdr>
        <w:top w:val="none" w:sz="0" w:space="0" w:color="auto"/>
        <w:left w:val="none" w:sz="0" w:space="0" w:color="auto"/>
        <w:bottom w:val="none" w:sz="0" w:space="0" w:color="auto"/>
        <w:right w:val="none" w:sz="0" w:space="0" w:color="auto"/>
      </w:divBdr>
    </w:div>
    <w:div w:id="55251656">
      <w:bodyDiv w:val="1"/>
      <w:marLeft w:val="0"/>
      <w:marRight w:val="0"/>
      <w:marTop w:val="0"/>
      <w:marBottom w:val="0"/>
      <w:divBdr>
        <w:top w:val="none" w:sz="0" w:space="0" w:color="auto"/>
        <w:left w:val="none" w:sz="0" w:space="0" w:color="auto"/>
        <w:bottom w:val="none" w:sz="0" w:space="0" w:color="auto"/>
        <w:right w:val="none" w:sz="0" w:space="0" w:color="auto"/>
      </w:divBdr>
    </w:div>
    <w:div w:id="55277603">
      <w:bodyDiv w:val="1"/>
      <w:marLeft w:val="0"/>
      <w:marRight w:val="0"/>
      <w:marTop w:val="0"/>
      <w:marBottom w:val="0"/>
      <w:divBdr>
        <w:top w:val="none" w:sz="0" w:space="0" w:color="auto"/>
        <w:left w:val="none" w:sz="0" w:space="0" w:color="auto"/>
        <w:bottom w:val="none" w:sz="0" w:space="0" w:color="auto"/>
        <w:right w:val="none" w:sz="0" w:space="0" w:color="auto"/>
      </w:divBdr>
    </w:div>
    <w:div w:id="55319569">
      <w:bodyDiv w:val="1"/>
      <w:marLeft w:val="0"/>
      <w:marRight w:val="0"/>
      <w:marTop w:val="0"/>
      <w:marBottom w:val="0"/>
      <w:divBdr>
        <w:top w:val="none" w:sz="0" w:space="0" w:color="auto"/>
        <w:left w:val="none" w:sz="0" w:space="0" w:color="auto"/>
        <w:bottom w:val="none" w:sz="0" w:space="0" w:color="auto"/>
        <w:right w:val="none" w:sz="0" w:space="0" w:color="auto"/>
      </w:divBdr>
    </w:div>
    <w:div w:id="55323023">
      <w:bodyDiv w:val="1"/>
      <w:marLeft w:val="0"/>
      <w:marRight w:val="0"/>
      <w:marTop w:val="0"/>
      <w:marBottom w:val="0"/>
      <w:divBdr>
        <w:top w:val="none" w:sz="0" w:space="0" w:color="auto"/>
        <w:left w:val="none" w:sz="0" w:space="0" w:color="auto"/>
        <w:bottom w:val="none" w:sz="0" w:space="0" w:color="auto"/>
        <w:right w:val="none" w:sz="0" w:space="0" w:color="auto"/>
      </w:divBdr>
    </w:div>
    <w:div w:id="55470007">
      <w:bodyDiv w:val="1"/>
      <w:marLeft w:val="0"/>
      <w:marRight w:val="0"/>
      <w:marTop w:val="0"/>
      <w:marBottom w:val="0"/>
      <w:divBdr>
        <w:top w:val="none" w:sz="0" w:space="0" w:color="auto"/>
        <w:left w:val="none" w:sz="0" w:space="0" w:color="auto"/>
        <w:bottom w:val="none" w:sz="0" w:space="0" w:color="auto"/>
        <w:right w:val="none" w:sz="0" w:space="0" w:color="auto"/>
      </w:divBdr>
    </w:div>
    <w:div w:id="55737830">
      <w:bodyDiv w:val="1"/>
      <w:marLeft w:val="0"/>
      <w:marRight w:val="0"/>
      <w:marTop w:val="0"/>
      <w:marBottom w:val="0"/>
      <w:divBdr>
        <w:top w:val="none" w:sz="0" w:space="0" w:color="auto"/>
        <w:left w:val="none" w:sz="0" w:space="0" w:color="auto"/>
        <w:bottom w:val="none" w:sz="0" w:space="0" w:color="auto"/>
        <w:right w:val="none" w:sz="0" w:space="0" w:color="auto"/>
      </w:divBdr>
    </w:div>
    <w:div w:id="55783192">
      <w:bodyDiv w:val="1"/>
      <w:marLeft w:val="0"/>
      <w:marRight w:val="0"/>
      <w:marTop w:val="0"/>
      <w:marBottom w:val="0"/>
      <w:divBdr>
        <w:top w:val="none" w:sz="0" w:space="0" w:color="auto"/>
        <w:left w:val="none" w:sz="0" w:space="0" w:color="auto"/>
        <w:bottom w:val="none" w:sz="0" w:space="0" w:color="auto"/>
        <w:right w:val="none" w:sz="0" w:space="0" w:color="auto"/>
      </w:divBdr>
    </w:div>
    <w:div w:id="55860134">
      <w:bodyDiv w:val="1"/>
      <w:marLeft w:val="0"/>
      <w:marRight w:val="0"/>
      <w:marTop w:val="0"/>
      <w:marBottom w:val="0"/>
      <w:divBdr>
        <w:top w:val="none" w:sz="0" w:space="0" w:color="auto"/>
        <w:left w:val="none" w:sz="0" w:space="0" w:color="auto"/>
        <w:bottom w:val="none" w:sz="0" w:space="0" w:color="auto"/>
        <w:right w:val="none" w:sz="0" w:space="0" w:color="auto"/>
      </w:divBdr>
    </w:div>
    <w:div w:id="55865303">
      <w:bodyDiv w:val="1"/>
      <w:marLeft w:val="0"/>
      <w:marRight w:val="0"/>
      <w:marTop w:val="0"/>
      <w:marBottom w:val="0"/>
      <w:divBdr>
        <w:top w:val="none" w:sz="0" w:space="0" w:color="auto"/>
        <w:left w:val="none" w:sz="0" w:space="0" w:color="auto"/>
        <w:bottom w:val="none" w:sz="0" w:space="0" w:color="auto"/>
        <w:right w:val="none" w:sz="0" w:space="0" w:color="auto"/>
      </w:divBdr>
    </w:div>
    <w:div w:id="55905180">
      <w:bodyDiv w:val="1"/>
      <w:marLeft w:val="0"/>
      <w:marRight w:val="0"/>
      <w:marTop w:val="0"/>
      <w:marBottom w:val="0"/>
      <w:divBdr>
        <w:top w:val="none" w:sz="0" w:space="0" w:color="auto"/>
        <w:left w:val="none" w:sz="0" w:space="0" w:color="auto"/>
        <w:bottom w:val="none" w:sz="0" w:space="0" w:color="auto"/>
        <w:right w:val="none" w:sz="0" w:space="0" w:color="auto"/>
      </w:divBdr>
    </w:div>
    <w:div w:id="55973534">
      <w:bodyDiv w:val="1"/>
      <w:marLeft w:val="0"/>
      <w:marRight w:val="0"/>
      <w:marTop w:val="0"/>
      <w:marBottom w:val="0"/>
      <w:divBdr>
        <w:top w:val="none" w:sz="0" w:space="0" w:color="auto"/>
        <w:left w:val="none" w:sz="0" w:space="0" w:color="auto"/>
        <w:bottom w:val="none" w:sz="0" w:space="0" w:color="auto"/>
        <w:right w:val="none" w:sz="0" w:space="0" w:color="auto"/>
      </w:divBdr>
    </w:div>
    <w:div w:id="56051425">
      <w:bodyDiv w:val="1"/>
      <w:marLeft w:val="0"/>
      <w:marRight w:val="0"/>
      <w:marTop w:val="0"/>
      <w:marBottom w:val="0"/>
      <w:divBdr>
        <w:top w:val="none" w:sz="0" w:space="0" w:color="auto"/>
        <w:left w:val="none" w:sz="0" w:space="0" w:color="auto"/>
        <w:bottom w:val="none" w:sz="0" w:space="0" w:color="auto"/>
        <w:right w:val="none" w:sz="0" w:space="0" w:color="auto"/>
      </w:divBdr>
    </w:div>
    <w:div w:id="56055882">
      <w:bodyDiv w:val="1"/>
      <w:marLeft w:val="0"/>
      <w:marRight w:val="0"/>
      <w:marTop w:val="0"/>
      <w:marBottom w:val="0"/>
      <w:divBdr>
        <w:top w:val="none" w:sz="0" w:space="0" w:color="auto"/>
        <w:left w:val="none" w:sz="0" w:space="0" w:color="auto"/>
        <w:bottom w:val="none" w:sz="0" w:space="0" w:color="auto"/>
        <w:right w:val="none" w:sz="0" w:space="0" w:color="auto"/>
      </w:divBdr>
    </w:div>
    <w:div w:id="56169848">
      <w:bodyDiv w:val="1"/>
      <w:marLeft w:val="0"/>
      <w:marRight w:val="0"/>
      <w:marTop w:val="0"/>
      <w:marBottom w:val="0"/>
      <w:divBdr>
        <w:top w:val="none" w:sz="0" w:space="0" w:color="auto"/>
        <w:left w:val="none" w:sz="0" w:space="0" w:color="auto"/>
        <w:bottom w:val="none" w:sz="0" w:space="0" w:color="auto"/>
        <w:right w:val="none" w:sz="0" w:space="0" w:color="auto"/>
      </w:divBdr>
    </w:div>
    <w:div w:id="56173510">
      <w:bodyDiv w:val="1"/>
      <w:marLeft w:val="0"/>
      <w:marRight w:val="0"/>
      <w:marTop w:val="0"/>
      <w:marBottom w:val="0"/>
      <w:divBdr>
        <w:top w:val="none" w:sz="0" w:space="0" w:color="auto"/>
        <w:left w:val="none" w:sz="0" w:space="0" w:color="auto"/>
        <w:bottom w:val="none" w:sz="0" w:space="0" w:color="auto"/>
        <w:right w:val="none" w:sz="0" w:space="0" w:color="auto"/>
      </w:divBdr>
    </w:div>
    <w:div w:id="56443322">
      <w:bodyDiv w:val="1"/>
      <w:marLeft w:val="0"/>
      <w:marRight w:val="0"/>
      <w:marTop w:val="0"/>
      <w:marBottom w:val="0"/>
      <w:divBdr>
        <w:top w:val="none" w:sz="0" w:space="0" w:color="auto"/>
        <w:left w:val="none" w:sz="0" w:space="0" w:color="auto"/>
        <w:bottom w:val="none" w:sz="0" w:space="0" w:color="auto"/>
        <w:right w:val="none" w:sz="0" w:space="0" w:color="auto"/>
      </w:divBdr>
    </w:div>
    <w:div w:id="56511939">
      <w:bodyDiv w:val="1"/>
      <w:marLeft w:val="0"/>
      <w:marRight w:val="0"/>
      <w:marTop w:val="0"/>
      <w:marBottom w:val="0"/>
      <w:divBdr>
        <w:top w:val="none" w:sz="0" w:space="0" w:color="auto"/>
        <w:left w:val="none" w:sz="0" w:space="0" w:color="auto"/>
        <w:bottom w:val="none" w:sz="0" w:space="0" w:color="auto"/>
        <w:right w:val="none" w:sz="0" w:space="0" w:color="auto"/>
      </w:divBdr>
    </w:div>
    <w:div w:id="56586252">
      <w:bodyDiv w:val="1"/>
      <w:marLeft w:val="0"/>
      <w:marRight w:val="0"/>
      <w:marTop w:val="0"/>
      <w:marBottom w:val="0"/>
      <w:divBdr>
        <w:top w:val="none" w:sz="0" w:space="0" w:color="auto"/>
        <w:left w:val="none" w:sz="0" w:space="0" w:color="auto"/>
        <w:bottom w:val="none" w:sz="0" w:space="0" w:color="auto"/>
        <w:right w:val="none" w:sz="0" w:space="0" w:color="auto"/>
      </w:divBdr>
    </w:div>
    <w:div w:id="56586832">
      <w:bodyDiv w:val="1"/>
      <w:marLeft w:val="0"/>
      <w:marRight w:val="0"/>
      <w:marTop w:val="0"/>
      <w:marBottom w:val="0"/>
      <w:divBdr>
        <w:top w:val="none" w:sz="0" w:space="0" w:color="auto"/>
        <w:left w:val="none" w:sz="0" w:space="0" w:color="auto"/>
        <w:bottom w:val="none" w:sz="0" w:space="0" w:color="auto"/>
        <w:right w:val="none" w:sz="0" w:space="0" w:color="auto"/>
      </w:divBdr>
    </w:div>
    <w:div w:id="56631849">
      <w:bodyDiv w:val="1"/>
      <w:marLeft w:val="0"/>
      <w:marRight w:val="0"/>
      <w:marTop w:val="0"/>
      <w:marBottom w:val="0"/>
      <w:divBdr>
        <w:top w:val="none" w:sz="0" w:space="0" w:color="auto"/>
        <w:left w:val="none" w:sz="0" w:space="0" w:color="auto"/>
        <w:bottom w:val="none" w:sz="0" w:space="0" w:color="auto"/>
        <w:right w:val="none" w:sz="0" w:space="0" w:color="auto"/>
      </w:divBdr>
    </w:div>
    <w:div w:id="56705908">
      <w:bodyDiv w:val="1"/>
      <w:marLeft w:val="0"/>
      <w:marRight w:val="0"/>
      <w:marTop w:val="0"/>
      <w:marBottom w:val="0"/>
      <w:divBdr>
        <w:top w:val="none" w:sz="0" w:space="0" w:color="auto"/>
        <w:left w:val="none" w:sz="0" w:space="0" w:color="auto"/>
        <w:bottom w:val="none" w:sz="0" w:space="0" w:color="auto"/>
        <w:right w:val="none" w:sz="0" w:space="0" w:color="auto"/>
      </w:divBdr>
    </w:div>
    <w:div w:id="56711517">
      <w:bodyDiv w:val="1"/>
      <w:marLeft w:val="0"/>
      <w:marRight w:val="0"/>
      <w:marTop w:val="0"/>
      <w:marBottom w:val="0"/>
      <w:divBdr>
        <w:top w:val="none" w:sz="0" w:space="0" w:color="auto"/>
        <w:left w:val="none" w:sz="0" w:space="0" w:color="auto"/>
        <w:bottom w:val="none" w:sz="0" w:space="0" w:color="auto"/>
        <w:right w:val="none" w:sz="0" w:space="0" w:color="auto"/>
      </w:divBdr>
    </w:div>
    <w:div w:id="57091071">
      <w:bodyDiv w:val="1"/>
      <w:marLeft w:val="0"/>
      <w:marRight w:val="0"/>
      <w:marTop w:val="0"/>
      <w:marBottom w:val="0"/>
      <w:divBdr>
        <w:top w:val="none" w:sz="0" w:space="0" w:color="auto"/>
        <w:left w:val="none" w:sz="0" w:space="0" w:color="auto"/>
        <w:bottom w:val="none" w:sz="0" w:space="0" w:color="auto"/>
        <w:right w:val="none" w:sz="0" w:space="0" w:color="auto"/>
      </w:divBdr>
    </w:div>
    <w:div w:id="57479014">
      <w:bodyDiv w:val="1"/>
      <w:marLeft w:val="0"/>
      <w:marRight w:val="0"/>
      <w:marTop w:val="0"/>
      <w:marBottom w:val="0"/>
      <w:divBdr>
        <w:top w:val="none" w:sz="0" w:space="0" w:color="auto"/>
        <w:left w:val="none" w:sz="0" w:space="0" w:color="auto"/>
        <w:bottom w:val="none" w:sz="0" w:space="0" w:color="auto"/>
        <w:right w:val="none" w:sz="0" w:space="0" w:color="auto"/>
      </w:divBdr>
    </w:div>
    <w:div w:id="57482467">
      <w:bodyDiv w:val="1"/>
      <w:marLeft w:val="0"/>
      <w:marRight w:val="0"/>
      <w:marTop w:val="0"/>
      <w:marBottom w:val="0"/>
      <w:divBdr>
        <w:top w:val="none" w:sz="0" w:space="0" w:color="auto"/>
        <w:left w:val="none" w:sz="0" w:space="0" w:color="auto"/>
        <w:bottom w:val="none" w:sz="0" w:space="0" w:color="auto"/>
        <w:right w:val="none" w:sz="0" w:space="0" w:color="auto"/>
      </w:divBdr>
    </w:div>
    <w:div w:id="57557763">
      <w:bodyDiv w:val="1"/>
      <w:marLeft w:val="0"/>
      <w:marRight w:val="0"/>
      <w:marTop w:val="0"/>
      <w:marBottom w:val="0"/>
      <w:divBdr>
        <w:top w:val="none" w:sz="0" w:space="0" w:color="auto"/>
        <w:left w:val="none" w:sz="0" w:space="0" w:color="auto"/>
        <w:bottom w:val="none" w:sz="0" w:space="0" w:color="auto"/>
        <w:right w:val="none" w:sz="0" w:space="0" w:color="auto"/>
      </w:divBdr>
    </w:div>
    <w:div w:id="57674585">
      <w:bodyDiv w:val="1"/>
      <w:marLeft w:val="0"/>
      <w:marRight w:val="0"/>
      <w:marTop w:val="0"/>
      <w:marBottom w:val="0"/>
      <w:divBdr>
        <w:top w:val="none" w:sz="0" w:space="0" w:color="auto"/>
        <w:left w:val="none" w:sz="0" w:space="0" w:color="auto"/>
        <w:bottom w:val="none" w:sz="0" w:space="0" w:color="auto"/>
        <w:right w:val="none" w:sz="0" w:space="0" w:color="auto"/>
      </w:divBdr>
    </w:div>
    <w:div w:id="57746824">
      <w:bodyDiv w:val="1"/>
      <w:marLeft w:val="0"/>
      <w:marRight w:val="0"/>
      <w:marTop w:val="0"/>
      <w:marBottom w:val="0"/>
      <w:divBdr>
        <w:top w:val="none" w:sz="0" w:space="0" w:color="auto"/>
        <w:left w:val="none" w:sz="0" w:space="0" w:color="auto"/>
        <w:bottom w:val="none" w:sz="0" w:space="0" w:color="auto"/>
        <w:right w:val="none" w:sz="0" w:space="0" w:color="auto"/>
      </w:divBdr>
    </w:div>
    <w:div w:id="57749970">
      <w:bodyDiv w:val="1"/>
      <w:marLeft w:val="0"/>
      <w:marRight w:val="0"/>
      <w:marTop w:val="0"/>
      <w:marBottom w:val="0"/>
      <w:divBdr>
        <w:top w:val="none" w:sz="0" w:space="0" w:color="auto"/>
        <w:left w:val="none" w:sz="0" w:space="0" w:color="auto"/>
        <w:bottom w:val="none" w:sz="0" w:space="0" w:color="auto"/>
        <w:right w:val="none" w:sz="0" w:space="0" w:color="auto"/>
      </w:divBdr>
    </w:div>
    <w:div w:id="57753257">
      <w:bodyDiv w:val="1"/>
      <w:marLeft w:val="0"/>
      <w:marRight w:val="0"/>
      <w:marTop w:val="0"/>
      <w:marBottom w:val="0"/>
      <w:divBdr>
        <w:top w:val="none" w:sz="0" w:space="0" w:color="auto"/>
        <w:left w:val="none" w:sz="0" w:space="0" w:color="auto"/>
        <w:bottom w:val="none" w:sz="0" w:space="0" w:color="auto"/>
        <w:right w:val="none" w:sz="0" w:space="0" w:color="auto"/>
      </w:divBdr>
    </w:div>
    <w:div w:id="57821698">
      <w:bodyDiv w:val="1"/>
      <w:marLeft w:val="0"/>
      <w:marRight w:val="0"/>
      <w:marTop w:val="0"/>
      <w:marBottom w:val="0"/>
      <w:divBdr>
        <w:top w:val="none" w:sz="0" w:space="0" w:color="auto"/>
        <w:left w:val="none" w:sz="0" w:space="0" w:color="auto"/>
        <w:bottom w:val="none" w:sz="0" w:space="0" w:color="auto"/>
        <w:right w:val="none" w:sz="0" w:space="0" w:color="auto"/>
      </w:divBdr>
    </w:div>
    <w:div w:id="57946952">
      <w:bodyDiv w:val="1"/>
      <w:marLeft w:val="0"/>
      <w:marRight w:val="0"/>
      <w:marTop w:val="0"/>
      <w:marBottom w:val="0"/>
      <w:divBdr>
        <w:top w:val="none" w:sz="0" w:space="0" w:color="auto"/>
        <w:left w:val="none" w:sz="0" w:space="0" w:color="auto"/>
        <w:bottom w:val="none" w:sz="0" w:space="0" w:color="auto"/>
        <w:right w:val="none" w:sz="0" w:space="0" w:color="auto"/>
      </w:divBdr>
    </w:div>
    <w:div w:id="58016080">
      <w:bodyDiv w:val="1"/>
      <w:marLeft w:val="0"/>
      <w:marRight w:val="0"/>
      <w:marTop w:val="0"/>
      <w:marBottom w:val="0"/>
      <w:divBdr>
        <w:top w:val="none" w:sz="0" w:space="0" w:color="auto"/>
        <w:left w:val="none" w:sz="0" w:space="0" w:color="auto"/>
        <w:bottom w:val="none" w:sz="0" w:space="0" w:color="auto"/>
        <w:right w:val="none" w:sz="0" w:space="0" w:color="auto"/>
      </w:divBdr>
    </w:div>
    <w:div w:id="58022286">
      <w:bodyDiv w:val="1"/>
      <w:marLeft w:val="0"/>
      <w:marRight w:val="0"/>
      <w:marTop w:val="0"/>
      <w:marBottom w:val="0"/>
      <w:divBdr>
        <w:top w:val="none" w:sz="0" w:space="0" w:color="auto"/>
        <w:left w:val="none" w:sz="0" w:space="0" w:color="auto"/>
        <w:bottom w:val="none" w:sz="0" w:space="0" w:color="auto"/>
        <w:right w:val="none" w:sz="0" w:space="0" w:color="auto"/>
      </w:divBdr>
    </w:div>
    <w:div w:id="58023493">
      <w:bodyDiv w:val="1"/>
      <w:marLeft w:val="0"/>
      <w:marRight w:val="0"/>
      <w:marTop w:val="0"/>
      <w:marBottom w:val="0"/>
      <w:divBdr>
        <w:top w:val="none" w:sz="0" w:space="0" w:color="auto"/>
        <w:left w:val="none" w:sz="0" w:space="0" w:color="auto"/>
        <w:bottom w:val="none" w:sz="0" w:space="0" w:color="auto"/>
        <w:right w:val="none" w:sz="0" w:space="0" w:color="auto"/>
      </w:divBdr>
    </w:div>
    <w:div w:id="58215266">
      <w:bodyDiv w:val="1"/>
      <w:marLeft w:val="0"/>
      <w:marRight w:val="0"/>
      <w:marTop w:val="0"/>
      <w:marBottom w:val="0"/>
      <w:divBdr>
        <w:top w:val="none" w:sz="0" w:space="0" w:color="auto"/>
        <w:left w:val="none" w:sz="0" w:space="0" w:color="auto"/>
        <w:bottom w:val="none" w:sz="0" w:space="0" w:color="auto"/>
        <w:right w:val="none" w:sz="0" w:space="0" w:color="auto"/>
      </w:divBdr>
    </w:div>
    <w:div w:id="58286589">
      <w:bodyDiv w:val="1"/>
      <w:marLeft w:val="0"/>
      <w:marRight w:val="0"/>
      <w:marTop w:val="0"/>
      <w:marBottom w:val="0"/>
      <w:divBdr>
        <w:top w:val="none" w:sz="0" w:space="0" w:color="auto"/>
        <w:left w:val="none" w:sz="0" w:space="0" w:color="auto"/>
        <w:bottom w:val="none" w:sz="0" w:space="0" w:color="auto"/>
        <w:right w:val="none" w:sz="0" w:space="0" w:color="auto"/>
      </w:divBdr>
    </w:div>
    <w:div w:id="58328302">
      <w:bodyDiv w:val="1"/>
      <w:marLeft w:val="0"/>
      <w:marRight w:val="0"/>
      <w:marTop w:val="0"/>
      <w:marBottom w:val="0"/>
      <w:divBdr>
        <w:top w:val="none" w:sz="0" w:space="0" w:color="auto"/>
        <w:left w:val="none" w:sz="0" w:space="0" w:color="auto"/>
        <w:bottom w:val="none" w:sz="0" w:space="0" w:color="auto"/>
        <w:right w:val="none" w:sz="0" w:space="0" w:color="auto"/>
      </w:divBdr>
    </w:div>
    <w:div w:id="58526069">
      <w:bodyDiv w:val="1"/>
      <w:marLeft w:val="0"/>
      <w:marRight w:val="0"/>
      <w:marTop w:val="0"/>
      <w:marBottom w:val="0"/>
      <w:divBdr>
        <w:top w:val="none" w:sz="0" w:space="0" w:color="auto"/>
        <w:left w:val="none" w:sz="0" w:space="0" w:color="auto"/>
        <w:bottom w:val="none" w:sz="0" w:space="0" w:color="auto"/>
        <w:right w:val="none" w:sz="0" w:space="0" w:color="auto"/>
      </w:divBdr>
    </w:div>
    <w:div w:id="58595964">
      <w:bodyDiv w:val="1"/>
      <w:marLeft w:val="0"/>
      <w:marRight w:val="0"/>
      <w:marTop w:val="0"/>
      <w:marBottom w:val="0"/>
      <w:divBdr>
        <w:top w:val="none" w:sz="0" w:space="0" w:color="auto"/>
        <w:left w:val="none" w:sz="0" w:space="0" w:color="auto"/>
        <w:bottom w:val="none" w:sz="0" w:space="0" w:color="auto"/>
        <w:right w:val="none" w:sz="0" w:space="0" w:color="auto"/>
      </w:divBdr>
    </w:div>
    <w:div w:id="58679368">
      <w:bodyDiv w:val="1"/>
      <w:marLeft w:val="0"/>
      <w:marRight w:val="0"/>
      <w:marTop w:val="0"/>
      <w:marBottom w:val="0"/>
      <w:divBdr>
        <w:top w:val="none" w:sz="0" w:space="0" w:color="auto"/>
        <w:left w:val="none" w:sz="0" w:space="0" w:color="auto"/>
        <w:bottom w:val="none" w:sz="0" w:space="0" w:color="auto"/>
        <w:right w:val="none" w:sz="0" w:space="0" w:color="auto"/>
      </w:divBdr>
    </w:div>
    <w:div w:id="58788351">
      <w:bodyDiv w:val="1"/>
      <w:marLeft w:val="0"/>
      <w:marRight w:val="0"/>
      <w:marTop w:val="0"/>
      <w:marBottom w:val="0"/>
      <w:divBdr>
        <w:top w:val="none" w:sz="0" w:space="0" w:color="auto"/>
        <w:left w:val="none" w:sz="0" w:space="0" w:color="auto"/>
        <w:bottom w:val="none" w:sz="0" w:space="0" w:color="auto"/>
        <w:right w:val="none" w:sz="0" w:space="0" w:color="auto"/>
      </w:divBdr>
    </w:div>
    <w:div w:id="58789138">
      <w:bodyDiv w:val="1"/>
      <w:marLeft w:val="0"/>
      <w:marRight w:val="0"/>
      <w:marTop w:val="0"/>
      <w:marBottom w:val="0"/>
      <w:divBdr>
        <w:top w:val="none" w:sz="0" w:space="0" w:color="auto"/>
        <w:left w:val="none" w:sz="0" w:space="0" w:color="auto"/>
        <w:bottom w:val="none" w:sz="0" w:space="0" w:color="auto"/>
        <w:right w:val="none" w:sz="0" w:space="0" w:color="auto"/>
      </w:divBdr>
    </w:div>
    <w:div w:id="58795155">
      <w:bodyDiv w:val="1"/>
      <w:marLeft w:val="0"/>
      <w:marRight w:val="0"/>
      <w:marTop w:val="0"/>
      <w:marBottom w:val="0"/>
      <w:divBdr>
        <w:top w:val="none" w:sz="0" w:space="0" w:color="auto"/>
        <w:left w:val="none" w:sz="0" w:space="0" w:color="auto"/>
        <w:bottom w:val="none" w:sz="0" w:space="0" w:color="auto"/>
        <w:right w:val="none" w:sz="0" w:space="0" w:color="auto"/>
      </w:divBdr>
    </w:div>
    <w:div w:id="58863212">
      <w:bodyDiv w:val="1"/>
      <w:marLeft w:val="0"/>
      <w:marRight w:val="0"/>
      <w:marTop w:val="0"/>
      <w:marBottom w:val="0"/>
      <w:divBdr>
        <w:top w:val="none" w:sz="0" w:space="0" w:color="auto"/>
        <w:left w:val="none" w:sz="0" w:space="0" w:color="auto"/>
        <w:bottom w:val="none" w:sz="0" w:space="0" w:color="auto"/>
        <w:right w:val="none" w:sz="0" w:space="0" w:color="auto"/>
      </w:divBdr>
    </w:div>
    <w:div w:id="58864515">
      <w:bodyDiv w:val="1"/>
      <w:marLeft w:val="0"/>
      <w:marRight w:val="0"/>
      <w:marTop w:val="0"/>
      <w:marBottom w:val="0"/>
      <w:divBdr>
        <w:top w:val="none" w:sz="0" w:space="0" w:color="auto"/>
        <w:left w:val="none" w:sz="0" w:space="0" w:color="auto"/>
        <w:bottom w:val="none" w:sz="0" w:space="0" w:color="auto"/>
        <w:right w:val="none" w:sz="0" w:space="0" w:color="auto"/>
      </w:divBdr>
    </w:div>
    <w:div w:id="59058287">
      <w:bodyDiv w:val="1"/>
      <w:marLeft w:val="0"/>
      <w:marRight w:val="0"/>
      <w:marTop w:val="0"/>
      <w:marBottom w:val="0"/>
      <w:divBdr>
        <w:top w:val="none" w:sz="0" w:space="0" w:color="auto"/>
        <w:left w:val="none" w:sz="0" w:space="0" w:color="auto"/>
        <w:bottom w:val="none" w:sz="0" w:space="0" w:color="auto"/>
        <w:right w:val="none" w:sz="0" w:space="0" w:color="auto"/>
      </w:divBdr>
    </w:div>
    <w:div w:id="59136617">
      <w:bodyDiv w:val="1"/>
      <w:marLeft w:val="0"/>
      <w:marRight w:val="0"/>
      <w:marTop w:val="0"/>
      <w:marBottom w:val="0"/>
      <w:divBdr>
        <w:top w:val="none" w:sz="0" w:space="0" w:color="auto"/>
        <w:left w:val="none" w:sz="0" w:space="0" w:color="auto"/>
        <w:bottom w:val="none" w:sz="0" w:space="0" w:color="auto"/>
        <w:right w:val="none" w:sz="0" w:space="0" w:color="auto"/>
      </w:divBdr>
    </w:div>
    <w:div w:id="59179978">
      <w:bodyDiv w:val="1"/>
      <w:marLeft w:val="0"/>
      <w:marRight w:val="0"/>
      <w:marTop w:val="0"/>
      <w:marBottom w:val="0"/>
      <w:divBdr>
        <w:top w:val="none" w:sz="0" w:space="0" w:color="auto"/>
        <w:left w:val="none" w:sz="0" w:space="0" w:color="auto"/>
        <w:bottom w:val="none" w:sz="0" w:space="0" w:color="auto"/>
        <w:right w:val="none" w:sz="0" w:space="0" w:color="auto"/>
      </w:divBdr>
    </w:div>
    <w:div w:id="59328857">
      <w:bodyDiv w:val="1"/>
      <w:marLeft w:val="0"/>
      <w:marRight w:val="0"/>
      <w:marTop w:val="0"/>
      <w:marBottom w:val="0"/>
      <w:divBdr>
        <w:top w:val="none" w:sz="0" w:space="0" w:color="auto"/>
        <w:left w:val="none" w:sz="0" w:space="0" w:color="auto"/>
        <w:bottom w:val="none" w:sz="0" w:space="0" w:color="auto"/>
        <w:right w:val="none" w:sz="0" w:space="0" w:color="auto"/>
      </w:divBdr>
    </w:div>
    <w:div w:id="59445580">
      <w:bodyDiv w:val="1"/>
      <w:marLeft w:val="0"/>
      <w:marRight w:val="0"/>
      <w:marTop w:val="0"/>
      <w:marBottom w:val="0"/>
      <w:divBdr>
        <w:top w:val="none" w:sz="0" w:space="0" w:color="auto"/>
        <w:left w:val="none" w:sz="0" w:space="0" w:color="auto"/>
        <w:bottom w:val="none" w:sz="0" w:space="0" w:color="auto"/>
        <w:right w:val="none" w:sz="0" w:space="0" w:color="auto"/>
      </w:divBdr>
    </w:div>
    <w:div w:id="59446703">
      <w:bodyDiv w:val="1"/>
      <w:marLeft w:val="0"/>
      <w:marRight w:val="0"/>
      <w:marTop w:val="0"/>
      <w:marBottom w:val="0"/>
      <w:divBdr>
        <w:top w:val="none" w:sz="0" w:space="0" w:color="auto"/>
        <w:left w:val="none" w:sz="0" w:space="0" w:color="auto"/>
        <w:bottom w:val="none" w:sz="0" w:space="0" w:color="auto"/>
        <w:right w:val="none" w:sz="0" w:space="0" w:color="auto"/>
      </w:divBdr>
    </w:div>
    <w:div w:id="59639754">
      <w:bodyDiv w:val="1"/>
      <w:marLeft w:val="0"/>
      <w:marRight w:val="0"/>
      <w:marTop w:val="0"/>
      <w:marBottom w:val="0"/>
      <w:divBdr>
        <w:top w:val="none" w:sz="0" w:space="0" w:color="auto"/>
        <w:left w:val="none" w:sz="0" w:space="0" w:color="auto"/>
        <w:bottom w:val="none" w:sz="0" w:space="0" w:color="auto"/>
        <w:right w:val="none" w:sz="0" w:space="0" w:color="auto"/>
      </w:divBdr>
    </w:div>
    <w:div w:id="59642553">
      <w:bodyDiv w:val="1"/>
      <w:marLeft w:val="0"/>
      <w:marRight w:val="0"/>
      <w:marTop w:val="0"/>
      <w:marBottom w:val="0"/>
      <w:divBdr>
        <w:top w:val="none" w:sz="0" w:space="0" w:color="auto"/>
        <w:left w:val="none" w:sz="0" w:space="0" w:color="auto"/>
        <w:bottom w:val="none" w:sz="0" w:space="0" w:color="auto"/>
        <w:right w:val="none" w:sz="0" w:space="0" w:color="auto"/>
      </w:divBdr>
    </w:div>
    <w:div w:id="59790001">
      <w:bodyDiv w:val="1"/>
      <w:marLeft w:val="0"/>
      <w:marRight w:val="0"/>
      <w:marTop w:val="0"/>
      <w:marBottom w:val="0"/>
      <w:divBdr>
        <w:top w:val="none" w:sz="0" w:space="0" w:color="auto"/>
        <w:left w:val="none" w:sz="0" w:space="0" w:color="auto"/>
        <w:bottom w:val="none" w:sz="0" w:space="0" w:color="auto"/>
        <w:right w:val="none" w:sz="0" w:space="0" w:color="auto"/>
      </w:divBdr>
    </w:div>
    <w:div w:id="59906663">
      <w:bodyDiv w:val="1"/>
      <w:marLeft w:val="0"/>
      <w:marRight w:val="0"/>
      <w:marTop w:val="0"/>
      <w:marBottom w:val="0"/>
      <w:divBdr>
        <w:top w:val="none" w:sz="0" w:space="0" w:color="auto"/>
        <w:left w:val="none" w:sz="0" w:space="0" w:color="auto"/>
        <w:bottom w:val="none" w:sz="0" w:space="0" w:color="auto"/>
        <w:right w:val="none" w:sz="0" w:space="0" w:color="auto"/>
      </w:divBdr>
    </w:div>
    <w:div w:id="59912557">
      <w:bodyDiv w:val="1"/>
      <w:marLeft w:val="0"/>
      <w:marRight w:val="0"/>
      <w:marTop w:val="0"/>
      <w:marBottom w:val="0"/>
      <w:divBdr>
        <w:top w:val="none" w:sz="0" w:space="0" w:color="auto"/>
        <w:left w:val="none" w:sz="0" w:space="0" w:color="auto"/>
        <w:bottom w:val="none" w:sz="0" w:space="0" w:color="auto"/>
        <w:right w:val="none" w:sz="0" w:space="0" w:color="auto"/>
      </w:divBdr>
    </w:div>
    <w:div w:id="59914577">
      <w:bodyDiv w:val="1"/>
      <w:marLeft w:val="0"/>
      <w:marRight w:val="0"/>
      <w:marTop w:val="0"/>
      <w:marBottom w:val="0"/>
      <w:divBdr>
        <w:top w:val="none" w:sz="0" w:space="0" w:color="auto"/>
        <w:left w:val="none" w:sz="0" w:space="0" w:color="auto"/>
        <w:bottom w:val="none" w:sz="0" w:space="0" w:color="auto"/>
        <w:right w:val="none" w:sz="0" w:space="0" w:color="auto"/>
      </w:divBdr>
    </w:div>
    <w:div w:id="60179401">
      <w:bodyDiv w:val="1"/>
      <w:marLeft w:val="0"/>
      <w:marRight w:val="0"/>
      <w:marTop w:val="0"/>
      <w:marBottom w:val="0"/>
      <w:divBdr>
        <w:top w:val="none" w:sz="0" w:space="0" w:color="auto"/>
        <w:left w:val="none" w:sz="0" w:space="0" w:color="auto"/>
        <w:bottom w:val="none" w:sz="0" w:space="0" w:color="auto"/>
        <w:right w:val="none" w:sz="0" w:space="0" w:color="auto"/>
      </w:divBdr>
    </w:div>
    <w:div w:id="60324821">
      <w:bodyDiv w:val="1"/>
      <w:marLeft w:val="0"/>
      <w:marRight w:val="0"/>
      <w:marTop w:val="0"/>
      <w:marBottom w:val="0"/>
      <w:divBdr>
        <w:top w:val="none" w:sz="0" w:space="0" w:color="auto"/>
        <w:left w:val="none" w:sz="0" w:space="0" w:color="auto"/>
        <w:bottom w:val="none" w:sz="0" w:space="0" w:color="auto"/>
        <w:right w:val="none" w:sz="0" w:space="0" w:color="auto"/>
      </w:divBdr>
    </w:div>
    <w:div w:id="60369618">
      <w:bodyDiv w:val="1"/>
      <w:marLeft w:val="0"/>
      <w:marRight w:val="0"/>
      <w:marTop w:val="0"/>
      <w:marBottom w:val="0"/>
      <w:divBdr>
        <w:top w:val="none" w:sz="0" w:space="0" w:color="auto"/>
        <w:left w:val="none" w:sz="0" w:space="0" w:color="auto"/>
        <w:bottom w:val="none" w:sz="0" w:space="0" w:color="auto"/>
        <w:right w:val="none" w:sz="0" w:space="0" w:color="auto"/>
      </w:divBdr>
    </w:div>
    <w:div w:id="60446232">
      <w:bodyDiv w:val="1"/>
      <w:marLeft w:val="0"/>
      <w:marRight w:val="0"/>
      <w:marTop w:val="0"/>
      <w:marBottom w:val="0"/>
      <w:divBdr>
        <w:top w:val="none" w:sz="0" w:space="0" w:color="auto"/>
        <w:left w:val="none" w:sz="0" w:space="0" w:color="auto"/>
        <w:bottom w:val="none" w:sz="0" w:space="0" w:color="auto"/>
        <w:right w:val="none" w:sz="0" w:space="0" w:color="auto"/>
      </w:divBdr>
    </w:div>
    <w:div w:id="60451737">
      <w:bodyDiv w:val="1"/>
      <w:marLeft w:val="0"/>
      <w:marRight w:val="0"/>
      <w:marTop w:val="0"/>
      <w:marBottom w:val="0"/>
      <w:divBdr>
        <w:top w:val="none" w:sz="0" w:space="0" w:color="auto"/>
        <w:left w:val="none" w:sz="0" w:space="0" w:color="auto"/>
        <w:bottom w:val="none" w:sz="0" w:space="0" w:color="auto"/>
        <w:right w:val="none" w:sz="0" w:space="0" w:color="auto"/>
      </w:divBdr>
    </w:div>
    <w:div w:id="60564662">
      <w:bodyDiv w:val="1"/>
      <w:marLeft w:val="0"/>
      <w:marRight w:val="0"/>
      <w:marTop w:val="0"/>
      <w:marBottom w:val="0"/>
      <w:divBdr>
        <w:top w:val="none" w:sz="0" w:space="0" w:color="auto"/>
        <w:left w:val="none" w:sz="0" w:space="0" w:color="auto"/>
        <w:bottom w:val="none" w:sz="0" w:space="0" w:color="auto"/>
        <w:right w:val="none" w:sz="0" w:space="0" w:color="auto"/>
      </w:divBdr>
    </w:div>
    <w:div w:id="60569638">
      <w:bodyDiv w:val="1"/>
      <w:marLeft w:val="0"/>
      <w:marRight w:val="0"/>
      <w:marTop w:val="0"/>
      <w:marBottom w:val="0"/>
      <w:divBdr>
        <w:top w:val="none" w:sz="0" w:space="0" w:color="auto"/>
        <w:left w:val="none" w:sz="0" w:space="0" w:color="auto"/>
        <w:bottom w:val="none" w:sz="0" w:space="0" w:color="auto"/>
        <w:right w:val="none" w:sz="0" w:space="0" w:color="auto"/>
      </w:divBdr>
    </w:div>
    <w:div w:id="60832279">
      <w:bodyDiv w:val="1"/>
      <w:marLeft w:val="0"/>
      <w:marRight w:val="0"/>
      <w:marTop w:val="0"/>
      <w:marBottom w:val="0"/>
      <w:divBdr>
        <w:top w:val="none" w:sz="0" w:space="0" w:color="auto"/>
        <w:left w:val="none" w:sz="0" w:space="0" w:color="auto"/>
        <w:bottom w:val="none" w:sz="0" w:space="0" w:color="auto"/>
        <w:right w:val="none" w:sz="0" w:space="0" w:color="auto"/>
      </w:divBdr>
    </w:div>
    <w:div w:id="60954660">
      <w:bodyDiv w:val="1"/>
      <w:marLeft w:val="0"/>
      <w:marRight w:val="0"/>
      <w:marTop w:val="0"/>
      <w:marBottom w:val="0"/>
      <w:divBdr>
        <w:top w:val="none" w:sz="0" w:space="0" w:color="auto"/>
        <w:left w:val="none" w:sz="0" w:space="0" w:color="auto"/>
        <w:bottom w:val="none" w:sz="0" w:space="0" w:color="auto"/>
        <w:right w:val="none" w:sz="0" w:space="0" w:color="auto"/>
      </w:divBdr>
    </w:div>
    <w:div w:id="61032058">
      <w:bodyDiv w:val="1"/>
      <w:marLeft w:val="0"/>
      <w:marRight w:val="0"/>
      <w:marTop w:val="0"/>
      <w:marBottom w:val="0"/>
      <w:divBdr>
        <w:top w:val="none" w:sz="0" w:space="0" w:color="auto"/>
        <w:left w:val="none" w:sz="0" w:space="0" w:color="auto"/>
        <w:bottom w:val="none" w:sz="0" w:space="0" w:color="auto"/>
        <w:right w:val="none" w:sz="0" w:space="0" w:color="auto"/>
      </w:divBdr>
    </w:div>
    <w:div w:id="61149296">
      <w:bodyDiv w:val="1"/>
      <w:marLeft w:val="0"/>
      <w:marRight w:val="0"/>
      <w:marTop w:val="0"/>
      <w:marBottom w:val="0"/>
      <w:divBdr>
        <w:top w:val="none" w:sz="0" w:space="0" w:color="auto"/>
        <w:left w:val="none" w:sz="0" w:space="0" w:color="auto"/>
        <w:bottom w:val="none" w:sz="0" w:space="0" w:color="auto"/>
        <w:right w:val="none" w:sz="0" w:space="0" w:color="auto"/>
      </w:divBdr>
    </w:div>
    <w:div w:id="61173673">
      <w:bodyDiv w:val="1"/>
      <w:marLeft w:val="0"/>
      <w:marRight w:val="0"/>
      <w:marTop w:val="0"/>
      <w:marBottom w:val="0"/>
      <w:divBdr>
        <w:top w:val="none" w:sz="0" w:space="0" w:color="auto"/>
        <w:left w:val="none" w:sz="0" w:space="0" w:color="auto"/>
        <w:bottom w:val="none" w:sz="0" w:space="0" w:color="auto"/>
        <w:right w:val="none" w:sz="0" w:space="0" w:color="auto"/>
      </w:divBdr>
    </w:div>
    <w:div w:id="61300223">
      <w:bodyDiv w:val="1"/>
      <w:marLeft w:val="0"/>
      <w:marRight w:val="0"/>
      <w:marTop w:val="0"/>
      <w:marBottom w:val="0"/>
      <w:divBdr>
        <w:top w:val="none" w:sz="0" w:space="0" w:color="auto"/>
        <w:left w:val="none" w:sz="0" w:space="0" w:color="auto"/>
        <w:bottom w:val="none" w:sz="0" w:space="0" w:color="auto"/>
        <w:right w:val="none" w:sz="0" w:space="0" w:color="auto"/>
      </w:divBdr>
    </w:div>
    <w:div w:id="61300701">
      <w:bodyDiv w:val="1"/>
      <w:marLeft w:val="0"/>
      <w:marRight w:val="0"/>
      <w:marTop w:val="0"/>
      <w:marBottom w:val="0"/>
      <w:divBdr>
        <w:top w:val="none" w:sz="0" w:space="0" w:color="auto"/>
        <w:left w:val="none" w:sz="0" w:space="0" w:color="auto"/>
        <w:bottom w:val="none" w:sz="0" w:space="0" w:color="auto"/>
        <w:right w:val="none" w:sz="0" w:space="0" w:color="auto"/>
      </w:divBdr>
    </w:div>
    <w:div w:id="61342873">
      <w:bodyDiv w:val="1"/>
      <w:marLeft w:val="0"/>
      <w:marRight w:val="0"/>
      <w:marTop w:val="0"/>
      <w:marBottom w:val="0"/>
      <w:divBdr>
        <w:top w:val="none" w:sz="0" w:space="0" w:color="auto"/>
        <w:left w:val="none" w:sz="0" w:space="0" w:color="auto"/>
        <w:bottom w:val="none" w:sz="0" w:space="0" w:color="auto"/>
        <w:right w:val="none" w:sz="0" w:space="0" w:color="auto"/>
      </w:divBdr>
    </w:div>
    <w:div w:id="61409394">
      <w:bodyDiv w:val="1"/>
      <w:marLeft w:val="0"/>
      <w:marRight w:val="0"/>
      <w:marTop w:val="0"/>
      <w:marBottom w:val="0"/>
      <w:divBdr>
        <w:top w:val="none" w:sz="0" w:space="0" w:color="auto"/>
        <w:left w:val="none" w:sz="0" w:space="0" w:color="auto"/>
        <w:bottom w:val="none" w:sz="0" w:space="0" w:color="auto"/>
        <w:right w:val="none" w:sz="0" w:space="0" w:color="auto"/>
      </w:divBdr>
    </w:div>
    <w:div w:id="61486791">
      <w:bodyDiv w:val="1"/>
      <w:marLeft w:val="0"/>
      <w:marRight w:val="0"/>
      <w:marTop w:val="0"/>
      <w:marBottom w:val="0"/>
      <w:divBdr>
        <w:top w:val="none" w:sz="0" w:space="0" w:color="auto"/>
        <w:left w:val="none" w:sz="0" w:space="0" w:color="auto"/>
        <w:bottom w:val="none" w:sz="0" w:space="0" w:color="auto"/>
        <w:right w:val="none" w:sz="0" w:space="0" w:color="auto"/>
      </w:divBdr>
    </w:div>
    <w:div w:id="61562262">
      <w:bodyDiv w:val="1"/>
      <w:marLeft w:val="0"/>
      <w:marRight w:val="0"/>
      <w:marTop w:val="0"/>
      <w:marBottom w:val="0"/>
      <w:divBdr>
        <w:top w:val="none" w:sz="0" w:space="0" w:color="auto"/>
        <w:left w:val="none" w:sz="0" w:space="0" w:color="auto"/>
        <w:bottom w:val="none" w:sz="0" w:space="0" w:color="auto"/>
        <w:right w:val="none" w:sz="0" w:space="0" w:color="auto"/>
      </w:divBdr>
    </w:div>
    <w:div w:id="61567584">
      <w:bodyDiv w:val="1"/>
      <w:marLeft w:val="0"/>
      <w:marRight w:val="0"/>
      <w:marTop w:val="0"/>
      <w:marBottom w:val="0"/>
      <w:divBdr>
        <w:top w:val="none" w:sz="0" w:space="0" w:color="auto"/>
        <w:left w:val="none" w:sz="0" w:space="0" w:color="auto"/>
        <w:bottom w:val="none" w:sz="0" w:space="0" w:color="auto"/>
        <w:right w:val="none" w:sz="0" w:space="0" w:color="auto"/>
      </w:divBdr>
    </w:div>
    <w:div w:id="61607195">
      <w:bodyDiv w:val="1"/>
      <w:marLeft w:val="0"/>
      <w:marRight w:val="0"/>
      <w:marTop w:val="0"/>
      <w:marBottom w:val="0"/>
      <w:divBdr>
        <w:top w:val="none" w:sz="0" w:space="0" w:color="auto"/>
        <w:left w:val="none" w:sz="0" w:space="0" w:color="auto"/>
        <w:bottom w:val="none" w:sz="0" w:space="0" w:color="auto"/>
        <w:right w:val="none" w:sz="0" w:space="0" w:color="auto"/>
      </w:divBdr>
    </w:div>
    <w:div w:id="61607305">
      <w:bodyDiv w:val="1"/>
      <w:marLeft w:val="0"/>
      <w:marRight w:val="0"/>
      <w:marTop w:val="0"/>
      <w:marBottom w:val="0"/>
      <w:divBdr>
        <w:top w:val="none" w:sz="0" w:space="0" w:color="auto"/>
        <w:left w:val="none" w:sz="0" w:space="0" w:color="auto"/>
        <w:bottom w:val="none" w:sz="0" w:space="0" w:color="auto"/>
        <w:right w:val="none" w:sz="0" w:space="0" w:color="auto"/>
      </w:divBdr>
    </w:div>
    <w:div w:id="61681185">
      <w:bodyDiv w:val="1"/>
      <w:marLeft w:val="0"/>
      <w:marRight w:val="0"/>
      <w:marTop w:val="0"/>
      <w:marBottom w:val="0"/>
      <w:divBdr>
        <w:top w:val="none" w:sz="0" w:space="0" w:color="auto"/>
        <w:left w:val="none" w:sz="0" w:space="0" w:color="auto"/>
        <w:bottom w:val="none" w:sz="0" w:space="0" w:color="auto"/>
        <w:right w:val="none" w:sz="0" w:space="0" w:color="auto"/>
      </w:divBdr>
    </w:div>
    <w:div w:id="61684080">
      <w:bodyDiv w:val="1"/>
      <w:marLeft w:val="0"/>
      <w:marRight w:val="0"/>
      <w:marTop w:val="0"/>
      <w:marBottom w:val="0"/>
      <w:divBdr>
        <w:top w:val="none" w:sz="0" w:space="0" w:color="auto"/>
        <w:left w:val="none" w:sz="0" w:space="0" w:color="auto"/>
        <w:bottom w:val="none" w:sz="0" w:space="0" w:color="auto"/>
        <w:right w:val="none" w:sz="0" w:space="0" w:color="auto"/>
      </w:divBdr>
    </w:div>
    <w:div w:id="62021695">
      <w:bodyDiv w:val="1"/>
      <w:marLeft w:val="0"/>
      <w:marRight w:val="0"/>
      <w:marTop w:val="0"/>
      <w:marBottom w:val="0"/>
      <w:divBdr>
        <w:top w:val="none" w:sz="0" w:space="0" w:color="auto"/>
        <w:left w:val="none" w:sz="0" w:space="0" w:color="auto"/>
        <w:bottom w:val="none" w:sz="0" w:space="0" w:color="auto"/>
        <w:right w:val="none" w:sz="0" w:space="0" w:color="auto"/>
      </w:divBdr>
    </w:div>
    <w:div w:id="62064939">
      <w:bodyDiv w:val="1"/>
      <w:marLeft w:val="0"/>
      <w:marRight w:val="0"/>
      <w:marTop w:val="0"/>
      <w:marBottom w:val="0"/>
      <w:divBdr>
        <w:top w:val="none" w:sz="0" w:space="0" w:color="auto"/>
        <w:left w:val="none" w:sz="0" w:space="0" w:color="auto"/>
        <w:bottom w:val="none" w:sz="0" w:space="0" w:color="auto"/>
        <w:right w:val="none" w:sz="0" w:space="0" w:color="auto"/>
      </w:divBdr>
    </w:div>
    <w:div w:id="62147164">
      <w:bodyDiv w:val="1"/>
      <w:marLeft w:val="0"/>
      <w:marRight w:val="0"/>
      <w:marTop w:val="0"/>
      <w:marBottom w:val="0"/>
      <w:divBdr>
        <w:top w:val="none" w:sz="0" w:space="0" w:color="auto"/>
        <w:left w:val="none" w:sz="0" w:space="0" w:color="auto"/>
        <w:bottom w:val="none" w:sz="0" w:space="0" w:color="auto"/>
        <w:right w:val="none" w:sz="0" w:space="0" w:color="auto"/>
      </w:divBdr>
    </w:div>
    <w:div w:id="62149218">
      <w:bodyDiv w:val="1"/>
      <w:marLeft w:val="0"/>
      <w:marRight w:val="0"/>
      <w:marTop w:val="0"/>
      <w:marBottom w:val="0"/>
      <w:divBdr>
        <w:top w:val="none" w:sz="0" w:space="0" w:color="auto"/>
        <w:left w:val="none" w:sz="0" w:space="0" w:color="auto"/>
        <w:bottom w:val="none" w:sz="0" w:space="0" w:color="auto"/>
        <w:right w:val="none" w:sz="0" w:space="0" w:color="auto"/>
      </w:divBdr>
    </w:div>
    <w:div w:id="62339471">
      <w:bodyDiv w:val="1"/>
      <w:marLeft w:val="0"/>
      <w:marRight w:val="0"/>
      <w:marTop w:val="0"/>
      <w:marBottom w:val="0"/>
      <w:divBdr>
        <w:top w:val="none" w:sz="0" w:space="0" w:color="auto"/>
        <w:left w:val="none" w:sz="0" w:space="0" w:color="auto"/>
        <w:bottom w:val="none" w:sz="0" w:space="0" w:color="auto"/>
        <w:right w:val="none" w:sz="0" w:space="0" w:color="auto"/>
      </w:divBdr>
    </w:div>
    <w:div w:id="62340357">
      <w:bodyDiv w:val="1"/>
      <w:marLeft w:val="0"/>
      <w:marRight w:val="0"/>
      <w:marTop w:val="0"/>
      <w:marBottom w:val="0"/>
      <w:divBdr>
        <w:top w:val="none" w:sz="0" w:space="0" w:color="auto"/>
        <w:left w:val="none" w:sz="0" w:space="0" w:color="auto"/>
        <w:bottom w:val="none" w:sz="0" w:space="0" w:color="auto"/>
        <w:right w:val="none" w:sz="0" w:space="0" w:color="auto"/>
      </w:divBdr>
    </w:div>
    <w:div w:id="62532757">
      <w:bodyDiv w:val="1"/>
      <w:marLeft w:val="0"/>
      <w:marRight w:val="0"/>
      <w:marTop w:val="0"/>
      <w:marBottom w:val="0"/>
      <w:divBdr>
        <w:top w:val="none" w:sz="0" w:space="0" w:color="auto"/>
        <w:left w:val="none" w:sz="0" w:space="0" w:color="auto"/>
        <w:bottom w:val="none" w:sz="0" w:space="0" w:color="auto"/>
        <w:right w:val="none" w:sz="0" w:space="0" w:color="auto"/>
      </w:divBdr>
    </w:div>
    <w:div w:id="62800354">
      <w:bodyDiv w:val="1"/>
      <w:marLeft w:val="0"/>
      <w:marRight w:val="0"/>
      <w:marTop w:val="0"/>
      <w:marBottom w:val="0"/>
      <w:divBdr>
        <w:top w:val="none" w:sz="0" w:space="0" w:color="auto"/>
        <w:left w:val="none" w:sz="0" w:space="0" w:color="auto"/>
        <w:bottom w:val="none" w:sz="0" w:space="0" w:color="auto"/>
        <w:right w:val="none" w:sz="0" w:space="0" w:color="auto"/>
      </w:divBdr>
    </w:div>
    <w:div w:id="62921202">
      <w:bodyDiv w:val="1"/>
      <w:marLeft w:val="0"/>
      <w:marRight w:val="0"/>
      <w:marTop w:val="0"/>
      <w:marBottom w:val="0"/>
      <w:divBdr>
        <w:top w:val="none" w:sz="0" w:space="0" w:color="auto"/>
        <w:left w:val="none" w:sz="0" w:space="0" w:color="auto"/>
        <w:bottom w:val="none" w:sz="0" w:space="0" w:color="auto"/>
        <w:right w:val="none" w:sz="0" w:space="0" w:color="auto"/>
      </w:divBdr>
    </w:div>
    <w:div w:id="63453255">
      <w:bodyDiv w:val="1"/>
      <w:marLeft w:val="0"/>
      <w:marRight w:val="0"/>
      <w:marTop w:val="0"/>
      <w:marBottom w:val="0"/>
      <w:divBdr>
        <w:top w:val="none" w:sz="0" w:space="0" w:color="auto"/>
        <w:left w:val="none" w:sz="0" w:space="0" w:color="auto"/>
        <w:bottom w:val="none" w:sz="0" w:space="0" w:color="auto"/>
        <w:right w:val="none" w:sz="0" w:space="0" w:color="auto"/>
      </w:divBdr>
    </w:div>
    <w:div w:id="63602546">
      <w:bodyDiv w:val="1"/>
      <w:marLeft w:val="0"/>
      <w:marRight w:val="0"/>
      <w:marTop w:val="0"/>
      <w:marBottom w:val="0"/>
      <w:divBdr>
        <w:top w:val="none" w:sz="0" w:space="0" w:color="auto"/>
        <w:left w:val="none" w:sz="0" w:space="0" w:color="auto"/>
        <w:bottom w:val="none" w:sz="0" w:space="0" w:color="auto"/>
        <w:right w:val="none" w:sz="0" w:space="0" w:color="auto"/>
      </w:divBdr>
    </w:div>
    <w:div w:id="63646312">
      <w:bodyDiv w:val="1"/>
      <w:marLeft w:val="0"/>
      <w:marRight w:val="0"/>
      <w:marTop w:val="0"/>
      <w:marBottom w:val="0"/>
      <w:divBdr>
        <w:top w:val="none" w:sz="0" w:space="0" w:color="auto"/>
        <w:left w:val="none" w:sz="0" w:space="0" w:color="auto"/>
        <w:bottom w:val="none" w:sz="0" w:space="0" w:color="auto"/>
        <w:right w:val="none" w:sz="0" w:space="0" w:color="auto"/>
      </w:divBdr>
    </w:div>
    <w:div w:id="63646502">
      <w:bodyDiv w:val="1"/>
      <w:marLeft w:val="0"/>
      <w:marRight w:val="0"/>
      <w:marTop w:val="0"/>
      <w:marBottom w:val="0"/>
      <w:divBdr>
        <w:top w:val="none" w:sz="0" w:space="0" w:color="auto"/>
        <w:left w:val="none" w:sz="0" w:space="0" w:color="auto"/>
        <w:bottom w:val="none" w:sz="0" w:space="0" w:color="auto"/>
        <w:right w:val="none" w:sz="0" w:space="0" w:color="auto"/>
      </w:divBdr>
    </w:div>
    <w:div w:id="63652742">
      <w:bodyDiv w:val="1"/>
      <w:marLeft w:val="0"/>
      <w:marRight w:val="0"/>
      <w:marTop w:val="0"/>
      <w:marBottom w:val="0"/>
      <w:divBdr>
        <w:top w:val="none" w:sz="0" w:space="0" w:color="auto"/>
        <w:left w:val="none" w:sz="0" w:space="0" w:color="auto"/>
        <w:bottom w:val="none" w:sz="0" w:space="0" w:color="auto"/>
        <w:right w:val="none" w:sz="0" w:space="0" w:color="auto"/>
      </w:divBdr>
    </w:div>
    <w:div w:id="63841507">
      <w:bodyDiv w:val="1"/>
      <w:marLeft w:val="0"/>
      <w:marRight w:val="0"/>
      <w:marTop w:val="0"/>
      <w:marBottom w:val="0"/>
      <w:divBdr>
        <w:top w:val="none" w:sz="0" w:space="0" w:color="auto"/>
        <w:left w:val="none" w:sz="0" w:space="0" w:color="auto"/>
        <w:bottom w:val="none" w:sz="0" w:space="0" w:color="auto"/>
        <w:right w:val="none" w:sz="0" w:space="0" w:color="auto"/>
      </w:divBdr>
    </w:div>
    <w:div w:id="63843415">
      <w:bodyDiv w:val="1"/>
      <w:marLeft w:val="0"/>
      <w:marRight w:val="0"/>
      <w:marTop w:val="0"/>
      <w:marBottom w:val="0"/>
      <w:divBdr>
        <w:top w:val="none" w:sz="0" w:space="0" w:color="auto"/>
        <w:left w:val="none" w:sz="0" w:space="0" w:color="auto"/>
        <w:bottom w:val="none" w:sz="0" w:space="0" w:color="auto"/>
        <w:right w:val="none" w:sz="0" w:space="0" w:color="auto"/>
      </w:divBdr>
    </w:div>
    <w:div w:id="63913456">
      <w:bodyDiv w:val="1"/>
      <w:marLeft w:val="0"/>
      <w:marRight w:val="0"/>
      <w:marTop w:val="0"/>
      <w:marBottom w:val="0"/>
      <w:divBdr>
        <w:top w:val="none" w:sz="0" w:space="0" w:color="auto"/>
        <w:left w:val="none" w:sz="0" w:space="0" w:color="auto"/>
        <w:bottom w:val="none" w:sz="0" w:space="0" w:color="auto"/>
        <w:right w:val="none" w:sz="0" w:space="0" w:color="auto"/>
      </w:divBdr>
    </w:div>
    <w:div w:id="63918308">
      <w:bodyDiv w:val="1"/>
      <w:marLeft w:val="0"/>
      <w:marRight w:val="0"/>
      <w:marTop w:val="0"/>
      <w:marBottom w:val="0"/>
      <w:divBdr>
        <w:top w:val="none" w:sz="0" w:space="0" w:color="auto"/>
        <w:left w:val="none" w:sz="0" w:space="0" w:color="auto"/>
        <w:bottom w:val="none" w:sz="0" w:space="0" w:color="auto"/>
        <w:right w:val="none" w:sz="0" w:space="0" w:color="auto"/>
      </w:divBdr>
    </w:div>
    <w:div w:id="63918926">
      <w:bodyDiv w:val="1"/>
      <w:marLeft w:val="0"/>
      <w:marRight w:val="0"/>
      <w:marTop w:val="0"/>
      <w:marBottom w:val="0"/>
      <w:divBdr>
        <w:top w:val="none" w:sz="0" w:space="0" w:color="auto"/>
        <w:left w:val="none" w:sz="0" w:space="0" w:color="auto"/>
        <w:bottom w:val="none" w:sz="0" w:space="0" w:color="auto"/>
        <w:right w:val="none" w:sz="0" w:space="0" w:color="auto"/>
      </w:divBdr>
    </w:div>
    <w:div w:id="63989929">
      <w:bodyDiv w:val="1"/>
      <w:marLeft w:val="0"/>
      <w:marRight w:val="0"/>
      <w:marTop w:val="0"/>
      <w:marBottom w:val="0"/>
      <w:divBdr>
        <w:top w:val="none" w:sz="0" w:space="0" w:color="auto"/>
        <w:left w:val="none" w:sz="0" w:space="0" w:color="auto"/>
        <w:bottom w:val="none" w:sz="0" w:space="0" w:color="auto"/>
        <w:right w:val="none" w:sz="0" w:space="0" w:color="auto"/>
      </w:divBdr>
    </w:div>
    <w:div w:id="64300779">
      <w:bodyDiv w:val="1"/>
      <w:marLeft w:val="0"/>
      <w:marRight w:val="0"/>
      <w:marTop w:val="0"/>
      <w:marBottom w:val="0"/>
      <w:divBdr>
        <w:top w:val="none" w:sz="0" w:space="0" w:color="auto"/>
        <w:left w:val="none" w:sz="0" w:space="0" w:color="auto"/>
        <w:bottom w:val="none" w:sz="0" w:space="0" w:color="auto"/>
        <w:right w:val="none" w:sz="0" w:space="0" w:color="auto"/>
      </w:divBdr>
    </w:div>
    <w:div w:id="64306867">
      <w:bodyDiv w:val="1"/>
      <w:marLeft w:val="0"/>
      <w:marRight w:val="0"/>
      <w:marTop w:val="0"/>
      <w:marBottom w:val="0"/>
      <w:divBdr>
        <w:top w:val="none" w:sz="0" w:space="0" w:color="auto"/>
        <w:left w:val="none" w:sz="0" w:space="0" w:color="auto"/>
        <w:bottom w:val="none" w:sz="0" w:space="0" w:color="auto"/>
        <w:right w:val="none" w:sz="0" w:space="0" w:color="auto"/>
      </w:divBdr>
    </w:div>
    <w:div w:id="64378791">
      <w:bodyDiv w:val="1"/>
      <w:marLeft w:val="0"/>
      <w:marRight w:val="0"/>
      <w:marTop w:val="0"/>
      <w:marBottom w:val="0"/>
      <w:divBdr>
        <w:top w:val="none" w:sz="0" w:space="0" w:color="auto"/>
        <w:left w:val="none" w:sz="0" w:space="0" w:color="auto"/>
        <w:bottom w:val="none" w:sz="0" w:space="0" w:color="auto"/>
        <w:right w:val="none" w:sz="0" w:space="0" w:color="auto"/>
      </w:divBdr>
    </w:div>
    <w:div w:id="64378978">
      <w:bodyDiv w:val="1"/>
      <w:marLeft w:val="0"/>
      <w:marRight w:val="0"/>
      <w:marTop w:val="0"/>
      <w:marBottom w:val="0"/>
      <w:divBdr>
        <w:top w:val="none" w:sz="0" w:space="0" w:color="auto"/>
        <w:left w:val="none" w:sz="0" w:space="0" w:color="auto"/>
        <w:bottom w:val="none" w:sz="0" w:space="0" w:color="auto"/>
        <w:right w:val="none" w:sz="0" w:space="0" w:color="auto"/>
      </w:divBdr>
    </w:div>
    <w:div w:id="64379265">
      <w:bodyDiv w:val="1"/>
      <w:marLeft w:val="0"/>
      <w:marRight w:val="0"/>
      <w:marTop w:val="0"/>
      <w:marBottom w:val="0"/>
      <w:divBdr>
        <w:top w:val="none" w:sz="0" w:space="0" w:color="auto"/>
        <w:left w:val="none" w:sz="0" w:space="0" w:color="auto"/>
        <w:bottom w:val="none" w:sz="0" w:space="0" w:color="auto"/>
        <w:right w:val="none" w:sz="0" w:space="0" w:color="auto"/>
      </w:divBdr>
    </w:div>
    <w:div w:id="64450088">
      <w:bodyDiv w:val="1"/>
      <w:marLeft w:val="0"/>
      <w:marRight w:val="0"/>
      <w:marTop w:val="0"/>
      <w:marBottom w:val="0"/>
      <w:divBdr>
        <w:top w:val="none" w:sz="0" w:space="0" w:color="auto"/>
        <w:left w:val="none" w:sz="0" w:space="0" w:color="auto"/>
        <w:bottom w:val="none" w:sz="0" w:space="0" w:color="auto"/>
        <w:right w:val="none" w:sz="0" w:space="0" w:color="auto"/>
      </w:divBdr>
    </w:div>
    <w:div w:id="64643610">
      <w:bodyDiv w:val="1"/>
      <w:marLeft w:val="0"/>
      <w:marRight w:val="0"/>
      <w:marTop w:val="0"/>
      <w:marBottom w:val="0"/>
      <w:divBdr>
        <w:top w:val="none" w:sz="0" w:space="0" w:color="auto"/>
        <w:left w:val="none" w:sz="0" w:space="0" w:color="auto"/>
        <w:bottom w:val="none" w:sz="0" w:space="0" w:color="auto"/>
        <w:right w:val="none" w:sz="0" w:space="0" w:color="auto"/>
      </w:divBdr>
    </w:div>
    <w:div w:id="64648355">
      <w:bodyDiv w:val="1"/>
      <w:marLeft w:val="0"/>
      <w:marRight w:val="0"/>
      <w:marTop w:val="0"/>
      <w:marBottom w:val="0"/>
      <w:divBdr>
        <w:top w:val="none" w:sz="0" w:space="0" w:color="auto"/>
        <w:left w:val="none" w:sz="0" w:space="0" w:color="auto"/>
        <w:bottom w:val="none" w:sz="0" w:space="0" w:color="auto"/>
        <w:right w:val="none" w:sz="0" w:space="0" w:color="auto"/>
      </w:divBdr>
    </w:div>
    <w:div w:id="64689566">
      <w:bodyDiv w:val="1"/>
      <w:marLeft w:val="0"/>
      <w:marRight w:val="0"/>
      <w:marTop w:val="0"/>
      <w:marBottom w:val="0"/>
      <w:divBdr>
        <w:top w:val="none" w:sz="0" w:space="0" w:color="auto"/>
        <w:left w:val="none" w:sz="0" w:space="0" w:color="auto"/>
        <w:bottom w:val="none" w:sz="0" w:space="0" w:color="auto"/>
        <w:right w:val="none" w:sz="0" w:space="0" w:color="auto"/>
      </w:divBdr>
    </w:div>
    <w:div w:id="64692253">
      <w:bodyDiv w:val="1"/>
      <w:marLeft w:val="0"/>
      <w:marRight w:val="0"/>
      <w:marTop w:val="0"/>
      <w:marBottom w:val="0"/>
      <w:divBdr>
        <w:top w:val="none" w:sz="0" w:space="0" w:color="auto"/>
        <w:left w:val="none" w:sz="0" w:space="0" w:color="auto"/>
        <w:bottom w:val="none" w:sz="0" w:space="0" w:color="auto"/>
        <w:right w:val="none" w:sz="0" w:space="0" w:color="auto"/>
      </w:divBdr>
    </w:div>
    <w:div w:id="64693882">
      <w:bodyDiv w:val="1"/>
      <w:marLeft w:val="0"/>
      <w:marRight w:val="0"/>
      <w:marTop w:val="0"/>
      <w:marBottom w:val="0"/>
      <w:divBdr>
        <w:top w:val="none" w:sz="0" w:space="0" w:color="auto"/>
        <w:left w:val="none" w:sz="0" w:space="0" w:color="auto"/>
        <w:bottom w:val="none" w:sz="0" w:space="0" w:color="auto"/>
        <w:right w:val="none" w:sz="0" w:space="0" w:color="auto"/>
      </w:divBdr>
    </w:div>
    <w:div w:id="64769745">
      <w:bodyDiv w:val="1"/>
      <w:marLeft w:val="0"/>
      <w:marRight w:val="0"/>
      <w:marTop w:val="0"/>
      <w:marBottom w:val="0"/>
      <w:divBdr>
        <w:top w:val="none" w:sz="0" w:space="0" w:color="auto"/>
        <w:left w:val="none" w:sz="0" w:space="0" w:color="auto"/>
        <w:bottom w:val="none" w:sz="0" w:space="0" w:color="auto"/>
        <w:right w:val="none" w:sz="0" w:space="0" w:color="auto"/>
      </w:divBdr>
    </w:div>
    <w:div w:id="64887618">
      <w:bodyDiv w:val="1"/>
      <w:marLeft w:val="0"/>
      <w:marRight w:val="0"/>
      <w:marTop w:val="0"/>
      <w:marBottom w:val="0"/>
      <w:divBdr>
        <w:top w:val="none" w:sz="0" w:space="0" w:color="auto"/>
        <w:left w:val="none" w:sz="0" w:space="0" w:color="auto"/>
        <w:bottom w:val="none" w:sz="0" w:space="0" w:color="auto"/>
        <w:right w:val="none" w:sz="0" w:space="0" w:color="auto"/>
      </w:divBdr>
    </w:div>
    <w:div w:id="64912774">
      <w:bodyDiv w:val="1"/>
      <w:marLeft w:val="0"/>
      <w:marRight w:val="0"/>
      <w:marTop w:val="0"/>
      <w:marBottom w:val="0"/>
      <w:divBdr>
        <w:top w:val="none" w:sz="0" w:space="0" w:color="auto"/>
        <w:left w:val="none" w:sz="0" w:space="0" w:color="auto"/>
        <w:bottom w:val="none" w:sz="0" w:space="0" w:color="auto"/>
        <w:right w:val="none" w:sz="0" w:space="0" w:color="auto"/>
      </w:divBdr>
    </w:div>
    <w:div w:id="64954885">
      <w:bodyDiv w:val="1"/>
      <w:marLeft w:val="0"/>
      <w:marRight w:val="0"/>
      <w:marTop w:val="0"/>
      <w:marBottom w:val="0"/>
      <w:divBdr>
        <w:top w:val="none" w:sz="0" w:space="0" w:color="auto"/>
        <w:left w:val="none" w:sz="0" w:space="0" w:color="auto"/>
        <w:bottom w:val="none" w:sz="0" w:space="0" w:color="auto"/>
        <w:right w:val="none" w:sz="0" w:space="0" w:color="auto"/>
      </w:divBdr>
    </w:div>
    <w:div w:id="64960451">
      <w:bodyDiv w:val="1"/>
      <w:marLeft w:val="0"/>
      <w:marRight w:val="0"/>
      <w:marTop w:val="0"/>
      <w:marBottom w:val="0"/>
      <w:divBdr>
        <w:top w:val="none" w:sz="0" w:space="0" w:color="auto"/>
        <w:left w:val="none" w:sz="0" w:space="0" w:color="auto"/>
        <w:bottom w:val="none" w:sz="0" w:space="0" w:color="auto"/>
        <w:right w:val="none" w:sz="0" w:space="0" w:color="auto"/>
      </w:divBdr>
    </w:div>
    <w:div w:id="65148067">
      <w:bodyDiv w:val="1"/>
      <w:marLeft w:val="0"/>
      <w:marRight w:val="0"/>
      <w:marTop w:val="0"/>
      <w:marBottom w:val="0"/>
      <w:divBdr>
        <w:top w:val="none" w:sz="0" w:space="0" w:color="auto"/>
        <w:left w:val="none" w:sz="0" w:space="0" w:color="auto"/>
        <w:bottom w:val="none" w:sz="0" w:space="0" w:color="auto"/>
        <w:right w:val="none" w:sz="0" w:space="0" w:color="auto"/>
      </w:divBdr>
    </w:div>
    <w:div w:id="65155679">
      <w:bodyDiv w:val="1"/>
      <w:marLeft w:val="0"/>
      <w:marRight w:val="0"/>
      <w:marTop w:val="0"/>
      <w:marBottom w:val="0"/>
      <w:divBdr>
        <w:top w:val="none" w:sz="0" w:space="0" w:color="auto"/>
        <w:left w:val="none" w:sz="0" w:space="0" w:color="auto"/>
        <w:bottom w:val="none" w:sz="0" w:space="0" w:color="auto"/>
        <w:right w:val="none" w:sz="0" w:space="0" w:color="auto"/>
      </w:divBdr>
    </w:div>
    <w:div w:id="65230765">
      <w:bodyDiv w:val="1"/>
      <w:marLeft w:val="0"/>
      <w:marRight w:val="0"/>
      <w:marTop w:val="0"/>
      <w:marBottom w:val="0"/>
      <w:divBdr>
        <w:top w:val="none" w:sz="0" w:space="0" w:color="auto"/>
        <w:left w:val="none" w:sz="0" w:space="0" w:color="auto"/>
        <w:bottom w:val="none" w:sz="0" w:space="0" w:color="auto"/>
        <w:right w:val="none" w:sz="0" w:space="0" w:color="auto"/>
      </w:divBdr>
    </w:div>
    <w:div w:id="65302029">
      <w:bodyDiv w:val="1"/>
      <w:marLeft w:val="0"/>
      <w:marRight w:val="0"/>
      <w:marTop w:val="0"/>
      <w:marBottom w:val="0"/>
      <w:divBdr>
        <w:top w:val="none" w:sz="0" w:space="0" w:color="auto"/>
        <w:left w:val="none" w:sz="0" w:space="0" w:color="auto"/>
        <w:bottom w:val="none" w:sz="0" w:space="0" w:color="auto"/>
        <w:right w:val="none" w:sz="0" w:space="0" w:color="auto"/>
      </w:divBdr>
    </w:div>
    <w:div w:id="65423024">
      <w:bodyDiv w:val="1"/>
      <w:marLeft w:val="0"/>
      <w:marRight w:val="0"/>
      <w:marTop w:val="0"/>
      <w:marBottom w:val="0"/>
      <w:divBdr>
        <w:top w:val="none" w:sz="0" w:space="0" w:color="auto"/>
        <w:left w:val="none" w:sz="0" w:space="0" w:color="auto"/>
        <w:bottom w:val="none" w:sz="0" w:space="0" w:color="auto"/>
        <w:right w:val="none" w:sz="0" w:space="0" w:color="auto"/>
      </w:divBdr>
    </w:div>
    <w:div w:id="65539810">
      <w:bodyDiv w:val="1"/>
      <w:marLeft w:val="0"/>
      <w:marRight w:val="0"/>
      <w:marTop w:val="0"/>
      <w:marBottom w:val="0"/>
      <w:divBdr>
        <w:top w:val="none" w:sz="0" w:space="0" w:color="auto"/>
        <w:left w:val="none" w:sz="0" w:space="0" w:color="auto"/>
        <w:bottom w:val="none" w:sz="0" w:space="0" w:color="auto"/>
        <w:right w:val="none" w:sz="0" w:space="0" w:color="auto"/>
      </w:divBdr>
    </w:div>
    <w:div w:id="65542185">
      <w:bodyDiv w:val="1"/>
      <w:marLeft w:val="0"/>
      <w:marRight w:val="0"/>
      <w:marTop w:val="0"/>
      <w:marBottom w:val="0"/>
      <w:divBdr>
        <w:top w:val="none" w:sz="0" w:space="0" w:color="auto"/>
        <w:left w:val="none" w:sz="0" w:space="0" w:color="auto"/>
        <w:bottom w:val="none" w:sz="0" w:space="0" w:color="auto"/>
        <w:right w:val="none" w:sz="0" w:space="0" w:color="auto"/>
      </w:divBdr>
    </w:div>
    <w:div w:id="65542445">
      <w:bodyDiv w:val="1"/>
      <w:marLeft w:val="0"/>
      <w:marRight w:val="0"/>
      <w:marTop w:val="0"/>
      <w:marBottom w:val="0"/>
      <w:divBdr>
        <w:top w:val="none" w:sz="0" w:space="0" w:color="auto"/>
        <w:left w:val="none" w:sz="0" w:space="0" w:color="auto"/>
        <w:bottom w:val="none" w:sz="0" w:space="0" w:color="auto"/>
        <w:right w:val="none" w:sz="0" w:space="0" w:color="auto"/>
      </w:divBdr>
    </w:div>
    <w:div w:id="65687351">
      <w:bodyDiv w:val="1"/>
      <w:marLeft w:val="0"/>
      <w:marRight w:val="0"/>
      <w:marTop w:val="0"/>
      <w:marBottom w:val="0"/>
      <w:divBdr>
        <w:top w:val="none" w:sz="0" w:space="0" w:color="auto"/>
        <w:left w:val="none" w:sz="0" w:space="0" w:color="auto"/>
        <w:bottom w:val="none" w:sz="0" w:space="0" w:color="auto"/>
        <w:right w:val="none" w:sz="0" w:space="0" w:color="auto"/>
      </w:divBdr>
    </w:div>
    <w:div w:id="65694204">
      <w:bodyDiv w:val="1"/>
      <w:marLeft w:val="0"/>
      <w:marRight w:val="0"/>
      <w:marTop w:val="0"/>
      <w:marBottom w:val="0"/>
      <w:divBdr>
        <w:top w:val="none" w:sz="0" w:space="0" w:color="auto"/>
        <w:left w:val="none" w:sz="0" w:space="0" w:color="auto"/>
        <w:bottom w:val="none" w:sz="0" w:space="0" w:color="auto"/>
        <w:right w:val="none" w:sz="0" w:space="0" w:color="auto"/>
      </w:divBdr>
    </w:div>
    <w:div w:id="65733057">
      <w:bodyDiv w:val="1"/>
      <w:marLeft w:val="0"/>
      <w:marRight w:val="0"/>
      <w:marTop w:val="0"/>
      <w:marBottom w:val="0"/>
      <w:divBdr>
        <w:top w:val="none" w:sz="0" w:space="0" w:color="auto"/>
        <w:left w:val="none" w:sz="0" w:space="0" w:color="auto"/>
        <w:bottom w:val="none" w:sz="0" w:space="0" w:color="auto"/>
        <w:right w:val="none" w:sz="0" w:space="0" w:color="auto"/>
      </w:divBdr>
    </w:div>
    <w:div w:id="65954365">
      <w:bodyDiv w:val="1"/>
      <w:marLeft w:val="0"/>
      <w:marRight w:val="0"/>
      <w:marTop w:val="0"/>
      <w:marBottom w:val="0"/>
      <w:divBdr>
        <w:top w:val="none" w:sz="0" w:space="0" w:color="auto"/>
        <w:left w:val="none" w:sz="0" w:space="0" w:color="auto"/>
        <w:bottom w:val="none" w:sz="0" w:space="0" w:color="auto"/>
        <w:right w:val="none" w:sz="0" w:space="0" w:color="auto"/>
      </w:divBdr>
    </w:div>
    <w:div w:id="66072530">
      <w:bodyDiv w:val="1"/>
      <w:marLeft w:val="0"/>
      <w:marRight w:val="0"/>
      <w:marTop w:val="0"/>
      <w:marBottom w:val="0"/>
      <w:divBdr>
        <w:top w:val="none" w:sz="0" w:space="0" w:color="auto"/>
        <w:left w:val="none" w:sz="0" w:space="0" w:color="auto"/>
        <w:bottom w:val="none" w:sz="0" w:space="0" w:color="auto"/>
        <w:right w:val="none" w:sz="0" w:space="0" w:color="auto"/>
      </w:divBdr>
    </w:div>
    <w:div w:id="66074903">
      <w:bodyDiv w:val="1"/>
      <w:marLeft w:val="0"/>
      <w:marRight w:val="0"/>
      <w:marTop w:val="0"/>
      <w:marBottom w:val="0"/>
      <w:divBdr>
        <w:top w:val="none" w:sz="0" w:space="0" w:color="auto"/>
        <w:left w:val="none" w:sz="0" w:space="0" w:color="auto"/>
        <w:bottom w:val="none" w:sz="0" w:space="0" w:color="auto"/>
        <w:right w:val="none" w:sz="0" w:space="0" w:color="auto"/>
      </w:divBdr>
    </w:div>
    <w:div w:id="66223075">
      <w:bodyDiv w:val="1"/>
      <w:marLeft w:val="0"/>
      <w:marRight w:val="0"/>
      <w:marTop w:val="0"/>
      <w:marBottom w:val="0"/>
      <w:divBdr>
        <w:top w:val="none" w:sz="0" w:space="0" w:color="auto"/>
        <w:left w:val="none" w:sz="0" w:space="0" w:color="auto"/>
        <w:bottom w:val="none" w:sz="0" w:space="0" w:color="auto"/>
        <w:right w:val="none" w:sz="0" w:space="0" w:color="auto"/>
      </w:divBdr>
    </w:div>
    <w:div w:id="66270742">
      <w:bodyDiv w:val="1"/>
      <w:marLeft w:val="0"/>
      <w:marRight w:val="0"/>
      <w:marTop w:val="0"/>
      <w:marBottom w:val="0"/>
      <w:divBdr>
        <w:top w:val="none" w:sz="0" w:space="0" w:color="auto"/>
        <w:left w:val="none" w:sz="0" w:space="0" w:color="auto"/>
        <w:bottom w:val="none" w:sz="0" w:space="0" w:color="auto"/>
        <w:right w:val="none" w:sz="0" w:space="0" w:color="auto"/>
      </w:divBdr>
    </w:div>
    <w:div w:id="66391777">
      <w:bodyDiv w:val="1"/>
      <w:marLeft w:val="0"/>
      <w:marRight w:val="0"/>
      <w:marTop w:val="0"/>
      <w:marBottom w:val="0"/>
      <w:divBdr>
        <w:top w:val="none" w:sz="0" w:space="0" w:color="auto"/>
        <w:left w:val="none" w:sz="0" w:space="0" w:color="auto"/>
        <w:bottom w:val="none" w:sz="0" w:space="0" w:color="auto"/>
        <w:right w:val="none" w:sz="0" w:space="0" w:color="auto"/>
      </w:divBdr>
    </w:div>
    <w:div w:id="66462109">
      <w:bodyDiv w:val="1"/>
      <w:marLeft w:val="0"/>
      <w:marRight w:val="0"/>
      <w:marTop w:val="0"/>
      <w:marBottom w:val="0"/>
      <w:divBdr>
        <w:top w:val="none" w:sz="0" w:space="0" w:color="auto"/>
        <w:left w:val="none" w:sz="0" w:space="0" w:color="auto"/>
        <w:bottom w:val="none" w:sz="0" w:space="0" w:color="auto"/>
        <w:right w:val="none" w:sz="0" w:space="0" w:color="auto"/>
      </w:divBdr>
    </w:div>
    <w:div w:id="66732555">
      <w:bodyDiv w:val="1"/>
      <w:marLeft w:val="0"/>
      <w:marRight w:val="0"/>
      <w:marTop w:val="0"/>
      <w:marBottom w:val="0"/>
      <w:divBdr>
        <w:top w:val="none" w:sz="0" w:space="0" w:color="auto"/>
        <w:left w:val="none" w:sz="0" w:space="0" w:color="auto"/>
        <w:bottom w:val="none" w:sz="0" w:space="0" w:color="auto"/>
        <w:right w:val="none" w:sz="0" w:space="0" w:color="auto"/>
      </w:divBdr>
    </w:div>
    <w:div w:id="66802636">
      <w:bodyDiv w:val="1"/>
      <w:marLeft w:val="0"/>
      <w:marRight w:val="0"/>
      <w:marTop w:val="0"/>
      <w:marBottom w:val="0"/>
      <w:divBdr>
        <w:top w:val="none" w:sz="0" w:space="0" w:color="auto"/>
        <w:left w:val="none" w:sz="0" w:space="0" w:color="auto"/>
        <w:bottom w:val="none" w:sz="0" w:space="0" w:color="auto"/>
        <w:right w:val="none" w:sz="0" w:space="0" w:color="auto"/>
      </w:divBdr>
    </w:div>
    <w:div w:id="66807083">
      <w:bodyDiv w:val="1"/>
      <w:marLeft w:val="0"/>
      <w:marRight w:val="0"/>
      <w:marTop w:val="0"/>
      <w:marBottom w:val="0"/>
      <w:divBdr>
        <w:top w:val="none" w:sz="0" w:space="0" w:color="auto"/>
        <w:left w:val="none" w:sz="0" w:space="0" w:color="auto"/>
        <w:bottom w:val="none" w:sz="0" w:space="0" w:color="auto"/>
        <w:right w:val="none" w:sz="0" w:space="0" w:color="auto"/>
      </w:divBdr>
    </w:div>
    <w:div w:id="66808160">
      <w:bodyDiv w:val="1"/>
      <w:marLeft w:val="0"/>
      <w:marRight w:val="0"/>
      <w:marTop w:val="0"/>
      <w:marBottom w:val="0"/>
      <w:divBdr>
        <w:top w:val="none" w:sz="0" w:space="0" w:color="auto"/>
        <w:left w:val="none" w:sz="0" w:space="0" w:color="auto"/>
        <w:bottom w:val="none" w:sz="0" w:space="0" w:color="auto"/>
        <w:right w:val="none" w:sz="0" w:space="0" w:color="auto"/>
      </w:divBdr>
    </w:div>
    <w:div w:id="66878878">
      <w:bodyDiv w:val="1"/>
      <w:marLeft w:val="0"/>
      <w:marRight w:val="0"/>
      <w:marTop w:val="0"/>
      <w:marBottom w:val="0"/>
      <w:divBdr>
        <w:top w:val="none" w:sz="0" w:space="0" w:color="auto"/>
        <w:left w:val="none" w:sz="0" w:space="0" w:color="auto"/>
        <w:bottom w:val="none" w:sz="0" w:space="0" w:color="auto"/>
        <w:right w:val="none" w:sz="0" w:space="0" w:color="auto"/>
      </w:divBdr>
    </w:div>
    <w:div w:id="67000764">
      <w:bodyDiv w:val="1"/>
      <w:marLeft w:val="0"/>
      <w:marRight w:val="0"/>
      <w:marTop w:val="0"/>
      <w:marBottom w:val="0"/>
      <w:divBdr>
        <w:top w:val="none" w:sz="0" w:space="0" w:color="auto"/>
        <w:left w:val="none" w:sz="0" w:space="0" w:color="auto"/>
        <w:bottom w:val="none" w:sz="0" w:space="0" w:color="auto"/>
        <w:right w:val="none" w:sz="0" w:space="0" w:color="auto"/>
      </w:divBdr>
    </w:div>
    <w:div w:id="67045255">
      <w:bodyDiv w:val="1"/>
      <w:marLeft w:val="0"/>
      <w:marRight w:val="0"/>
      <w:marTop w:val="0"/>
      <w:marBottom w:val="0"/>
      <w:divBdr>
        <w:top w:val="none" w:sz="0" w:space="0" w:color="auto"/>
        <w:left w:val="none" w:sz="0" w:space="0" w:color="auto"/>
        <w:bottom w:val="none" w:sz="0" w:space="0" w:color="auto"/>
        <w:right w:val="none" w:sz="0" w:space="0" w:color="auto"/>
      </w:divBdr>
    </w:div>
    <w:div w:id="67191679">
      <w:bodyDiv w:val="1"/>
      <w:marLeft w:val="0"/>
      <w:marRight w:val="0"/>
      <w:marTop w:val="0"/>
      <w:marBottom w:val="0"/>
      <w:divBdr>
        <w:top w:val="none" w:sz="0" w:space="0" w:color="auto"/>
        <w:left w:val="none" w:sz="0" w:space="0" w:color="auto"/>
        <w:bottom w:val="none" w:sz="0" w:space="0" w:color="auto"/>
        <w:right w:val="none" w:sz="0" w:space="0" w:color="auto"/>
      </w:divBdr>
    </w:div>
    <w:div w:id="67271474">
      <w:bodyDiv w:val="1"/>
      <w:marLeft w:val="0"/>
      <w:marRight w:val="0"/>
      <w:marTop w:val="0"/>
      <w:marBottom w:val="0"/>
      <w:divBdr>
        <w:top w:val="none" w:sz="0" w:space="0" w:color="auto"/>
        <w:left w:val="none" w:sz="0" w:space="0" w:color="auto"/>
        <w:bottom w:val="none" w:sz="0" w:space="0" w:color="auto"/>
        <w:right w:val="none" w:sz="0" w:space="0" w:color="auto"/>
      </w:divBdr>
    </w:div>
    <w:div w:id="67310884">
      <w:bodyDiv w:val="1"/>
      <w:marLeft w:val="0"/>
      <w:marRight w:val="0"/>
      <w:marTop w:val="0"/>
      <w:marBottom w:val="0"/>
      <w:divBdr>
        <w:top w:val="none" w:sz="0" w:space="0" w:color="auto"/>
        <w:left w:val="none" w:sz="0" w:space="0" w:color="auto"/>
        <w:bottom w:val="none" w:sz="0" w:space="0" w:color="auto"/>
        <w:right w:val="none" w:sz="0" w:space="0" w:color="auto"/>
      </w:divBdr>
    </w:div>
    <w:div w:id="67457306">
      <w:bodyDiv w:val="1"/>
      <w:marLeft w:val="0"/>
      <w:marRight w:val="0"/>
      <w:marTop w:val="0"/>
      <w:marBottom w:val="0"/>
      <w:divBdr>
        <w:top w:val="none" w:sz="0" w:space="0" w:color="auto"/>
        <w:left w:val="none" w:sz="0" w:space="0" w:color="auto"/>
        <w:bottom w:val="none" w:sz="0" w:space="0" w:color="auto"/>
        <w:right w:val="none" w:sz="0" w:space="0" w:color="auto"/>
      </w:divBdr>
    </w:div>
    <w:div w:id="67461704">
      <w:bodyDiv w:val="1"/>
      <w:marLeft w:val="0"/>
      <w:marRight w:val="0"/>
      <w:marTop w:val="0"/>
      <w:marBottom w:val="0"/>
      <w:divBdr>
        <w:top w:val="none" w:sz="0" w:space="0" w:color="auto"/>
        <w:left w:val="none" w:sz="0" w:space="0" w:color="auto"/>
        <w:bottom w:val="none" w:sz="0" w:space="0" w:color="auto"/>
        <w:right w:val="none" w:sz="0" w:space="0" w:color="auto"/>
      </w:divBdr>
    </w:div>
    <w:div w:id="67462766">
      <w:bodyDiv w:val="1"/>
      <w:marLeft w:val="0"/>
      <w:marRight w:val="0"/>
      <w:marTop w:val="0"/>
      <w:marBottom w:val="0"/>
      <w:divBdr>
        <w:top w:val="none" w:sz="0" w:space="0" w:color="auto"/>
        <w:left w:val="none" w:sz="0" w:space="0" w:color="auto"/>
        <w:bottom w:val="none" w:sz="0" w:space="0" w:color="auto"/>
        <w:right w:val="none" w:sz="0" w:space="0" w:color="auto"/>
      </w:divBdr>
    </w:div>
    <w:div w:id="67464423">
      <w:bodyDiv w:val="1"/>
      <w:marLeft w:val="0"/>
      <w:marRight w:val="0"/>
      <w:marTop w:val="0"/>
      <w:marBottom w:val="0"/>
      <w:divBdr>
        <w:top w:val="none" w:sz="0" w:space="0" w:color="auto"/>
        <w:left w:val="none" w:sz="0" w:space="0" w:color="auto"/>
        <w:bottom w:val="none" w:sz="0" w:space="0" w:color="auto"/>
        <w:right w:val="none" w:sz="0" w:space="0" w:color="auto"/>
      </w:divBdr>
    </w:div>
    <w:div w:id="67466358">
      <w:bodyDiv w:val="1"/>
      <w:marLeft w:val="0"/>
      <w:marRight w:val="0"/>
      <w:marTop w:val="0"/>
      <w:marBottom w:val="0"/>
      <w:divBdr>
        <w:top w:val="none" w:sz="0" w:space="0" w:color="auto"/>
        <w:left w:val="none" w:sz="0" w:space="0" w:color="auto"/>
        <w:bottom w:val="none" w:sz="0" w:space="0" w:color="auto"/>
        <w:right w:val="none" w:sz="0" w:space="0" w:color="auto"/>
      </w:divBdr>
    </w:div>
    <w:div w:id="67652480">
      <w:bodyDiv w:val="1"/>
      <w:marLeft w:val="0"/>
      <w:marRight w:val="0"/>
      <w:marTop w:val="0"/>
      <w:marBottom w:val="0"/>
      <w:divBdr>
        <w:top w:val="none" w:sz="0" w:space="0" w:color="auto"/>
        <w:left w:val="none" w:sz="0" w:space="0" w:color="auto"/>
        <w:bottom w:val="none" w:sz="0" w:space="0" w:color="auto"/>
        <w:right w:val="none" w:sz="0" w:space="0" w:color="auto"/>
      </w:divBdr>
    </w:div>
    <w:div w:id="67844732">
      <w:bodyDiv w:val="1"/>
      <w:marLeft w:val="0"/>
      <w:marRight w:val="0"/>
      <w:marTop w:val="0"/>
      <w:marBottom w:val="0"/>
      <w:divBdr>
        <w:top w:val="none" w:sz="0" w:space="0" w:color="auto"/>
        <w:left w:val="none" w:sz="0" w:space="0" w:color="auto"/>
        <w:bottom w:val="none" w:sz="0" w:space="0" w:color="auto"/>
        <w:right w:val="none" w:sz="0" w:space="0" w:color="auto"/>
      </w:divBdr>
    </w:div>
    <w:div w:id="67850025">
      <w:bodyDiv w:val="1"/>
      <w:marLeft w:val="0"/>
      <w:marRight w:val="0"/>
      <w:marTop w:val="0"/>
      <w:marBottom w:val="0"/>
      <w:divBdr>
        <w:top w:val="none" w:sz="0" w:space="0" w:color="auto"/>
        <w:left w:val="none" w:sz="0" w:space="0" w:color="auto"/>
        <w:bottom w:val="none" w:sz="0" w:space="0" w:color="auto"/>
        <w:right w:val="none" w:sz="0" w:space="0" w:color="auto"/>
      </w:divBdr>
    </w:div>
    <w:div w:id="67919984">
      <w:bodyDiv w:val="1"/>
      <w:marLeft w:val="0"/>
      <w:marRight w:val="0"/>
      <w:marTop w:val="0"/>
      <w:marBottom w:val="0"/>
      <w:divBdr>
        <w:top w:val="none" w:sz="0" w:space="0" w:color="auto"/>
        <w:left w:val="none" w:sz="0" w:space="0" w:color="auto"/>
        <w:bottom w:val="none" w:sz="0" w:space="0" w:color="auto"/>
        <w:right w:val="none" w:sz="0" w:space="0" w:color="auto"/>
      </w:divBdr>
    </w:div>
    <w:div w:id="67966770">
      <w:bodyDiv w:val="1"/>
      <w:marLeft w:val="0"/>
      <w:marRight w:val="0"/>
      <w:marTop w:val="0"/>
      <w:marBottom w:val="0"/>
      <w:divBdr>
        <w:top w:val="none" w:sz="0" w:space="0" w:color="auto"/>
        <w:left w:val="none" w:sz="0" w:space="0" w:color="auto"/>
        <w:bottom w:val="none" w:sz="0" w:space="0" w:color="auto"/>
        <w:right w:val="none" w:sz="0" w:space="0" w:color="auto"/>
      </w:divBdr>
    </w:div>
    <w:div w:id="68041709">
      <w:bodyDiv w:val="1"/>
      <w:marLeft w:val="0"/>
      <w:marRight w:val="0"/>
      <w:marTop w:val="0"/>
      <w:marBottom w:val="0"/>
      <w:divBdr>
        <w:top w:val="none" w:sz="0" w:space="0" w:color="auto"/>
        <w:left w:val="none" w:sz="0" w:space="0" w:color="auto"/>
        <w:bottom w:val="none" w:sz="0" w:space="0" w:color="auto"/>
        <w:right w:val="none" w:sz="0" w:space="0" w:color="auto"/>
      </w:divBdr>
    </w:div>
    <w:div w:id="68043911">
      <w:bodyDiv w:val="1"/>
      <w:marLeft w:val="0"/>
      <w:marRight w:val="0"/>
      <w:marTop w:val="0"/>
      <w:marBottom w:val="0"/>
      <w:divBdr>
        <w:top w:val="none" w:sz="0" w:space="0" w:color="auto"/>
        <w:left w:val="none" w:sz="0" w:space="0" w:color="auto"/>
        <w:bottom w:val="none" w:sz="0" w:space="0" w:color="auto"/>
        <w:right w:val="none" w:sz="0" w:space="0" w:color="auto"/>
      </w:divBdr>
    </w:div>
    <w:div w:id="68120328">
      <w:bodyDiv w:val="1"/>
      <w:marLeft w:val="0"/>
      <w:marRight w:val="0"/>
      <w:marTop w:val="0"/>
      <w:marBottom w:val="0"/>
      <w:divBdr>
        <w:top w:val="none" w:sz="0" w:space="0" w:color="auto"/>
        <w:left w:val="none" w:sz="0" w:space="0" w:color="auto"/>
        <w:bottom w:val="none" w:sz="0" w:space="0" w:color="auto"/>
        <w:right w:val="none" w:sz="0" w:space="0" w:color="auto"/>
      </w:divBdr>
    </w:div>
    <w:div w:id="68121467">
      <w:bodyDiv w:val="1"/>
      <w:marLeft w:val="0"/>
      <w:marRight w:val="0"/>
      <w:marTop w:val="0"/>
      <w:marBottom w:val="0"/>
      <w:divBdr>
        <w:top w:val="none" w:sz="0" w:space="0" w:color="auto"/>
        <w:left w:val="none" w:sz="0" w:space="0" w:color="auto"/>
        <w:bottom w:val="none" w:sz="0" w:space="0" w:color="auto"/>
        <w:right w:val="none" w:sz="0" w:space="0" w:color="auto"/>
      </w:divBdr>
    </w:div>
    <w:div w:id="68187995">
      <w:bodyDiv w:val="1"/>
      <w:marLeft w:val="0"/>
      <w:marRight w:val="0"/>
      <w:marTop w:val="0"/>
      <w:marBottom w:val="0"/>
      <w:divBdr>
        <w:top w:val="none" w:sz="0" w:space="0" w:color="auto"/>
        <w:left w:val="none" w:sz="0" w:space="0" w:color="auto"/>
        <w:bottom w:val="none" w:sz="0" w:space="0" w:color="auto"/>
        <w:right w:val="none" w:sz="0" w:space="0" w:color="auto"/>
      </w:divBdr>
    </w:div>
    <w:div w:id="68430007">
      <w:bodyDiv w:val="1"/>
      <w:marLeft w:val="0"/>
      <w:marRight w:val="0"/>
      <w:marTop w:val="0"/>
      <w:marBottom w:val="0"/>
      <w:divBdr>
        <w:top w:val="none" w:sz="0" w:space="0" w:color="auto"/>
        <w:left w:val="none" w:sz="0" w:space="0" w:color="auto"/>
        <w:bottom w:val="none" w:sz="0" w:space="0" w:color="auto"/>
        <w:right w:val="none" w:sz="0" w:space="0" w:color="auto"/>
      </w:divBdr>
    </w:div>
    <w:div w:id="68582230">
      <w:bodyDiv w:val="1"/>
      <w:marLeft w:val="0"/>
      <w:marRight w:val="0"/>
      <w:marTop w:val="0"/>
      <w:marBottom w:val="0"/>
      <w:divBdr>
        <w:top w:val="none" w:sz="0" w:space="0" w:color="auto"/>
        <w:left w:val="none" w:sz="0" w:space="0" w:color="auto"/>
        <w:bottom w:val="none" w:sz="0" w:space="0" w:color="auto"/>
        <w:right w:val="none" w:sz="0" w:space="0" w:color="auto"/>
      </w:divBdr>
    </w:div>
    <w:div w:id="68583121">
      <w:bodyDiv w:val="1"/>
      <w:marLeft w:val="0"/>
      <w:marRight w:val="0"/>
      <w:marTop w:val="0"/>
      <w:marBottom w:val="0"/>
      <w:divBdr>
        <w:top w:val="none" w:sz="0" w:space="0" w:color="auto"/>
        <w:left w:val="none" w:sz="0" w:space="0" w:color="auto"/>
        <w:bottom w:val="none" w:sz="0" w:space="0" w:color="auto"/>
        <w:right w:val="none" w:sz="0" w:space="0" w:color="auto"/>
      </w:divBdr>
    </w:div>
    <w:div w:id="68622113">
      <w:bodyDiv w:val="1"/>
      <w:marLeft w:val="0"/>
      <w:marRight w:val="0"/>
      <w:marTop w:val="0"/>
      <w:marBottom w:val="0"/>
      <w:divBdr>
        <w:top w:val="none" w:sz="0" w:space="0" w:color="auto"/>
        <w:left w:val="none" w:sz="0" w:space="0" w:color="auto"/>
        <w:bottom w:val="none" w:sz="0" w:space="0" w:color="auto"/>
        <w:right w:val="none" w:sz="0" w:space="0" w:color="auto"/>
      </w:divBdr>
    </w:div>
    <w:div w:id="68768035">
      <w:bodyDiv w:val="1"/>
      <w:marLeft w:val="0"/>
      <w:marRight w:val="0"/>
      <w:marTop w:val="0"/>
      <w:marBottom w:val="0"/>
      <w:divBdr>
        <w:top w:val="none" w:sz="0" w:space="0" w:color="auto"/>
        <w:left w:val="none" w:sz="0" w:space="0" w:color="auto"/>
        <w:bottom w:val="none" w:sz="0" w:space="0" w:color="auto"/>
        <w:right w:val="none" w:sz="0" w:space="0" w:color="auto"/>
      </w:divBdr>
    </w:div>
    <w:div w:id="68961491">
      <w:bodyDiv w:val="1"/>
      <w:marLeft w:val="0"/>
      <w:marRight w:val="0"/>
      <w:marTop w:val="0"/>
      <w:marBottom w:val="0"/>
      <w:divBdr>
        <w:top w:val="none" w:sz="0" w:space="0" w:color="auto"/>
        <w:left w:val="none" w:sz="0" w:space="0" w:color="auto"/>
        <w:bottom w:val="none" w:sz="0" w:space="0" w:color="auto"/>
        <w:right w:val="none" w:sz="0" w:space="0" w:color="auto"/>
      </w:divBdr>
    </w:div>
    <w:div w:id="68962755">
      <w:bodyDiv w:val="1"/>
      <w:marLeft w:val="0"/>
      <w:marRight w:val="0"/>
      <w:marTop w:val="0"/>
      <w:marBottom w:val="0"/>
      <w:divBdr>
        <w:top w:val="none" w:sz="0" w:space="0" w:color="auto"/>
        <w:left w:val="none" w:sz="0" w:space="0" w:color="auto"/>
        <w:bottom w:val="none" w:sz="0" w:space="0" w:color="auto"/>
        <w:right w:val="none" w:sz="0" w:space="0" w:color="auto"/>
      </w:divBdr>
    </w:div>
    <w:div w:id="69010225">
      <w:bodyDiv w:val="1"/>
      <w:marLeft w:val="0"/>
      <w:marRight w:val="0"/>
      <w:marTop w:val="0"/>
      <w:marBottom w:val="0"/>
      <w:divBdr>
        <w:top w:val="none" w:sz="0" w:space="0" w:color="auto"/>
        <w:left w:val="none" w:sz="0" w:space="0" w:color="auto"/>
        <w:bottom w:val="none" w:sz="0" w:space="0" w:color="auto"/>
        <w:right w:val="none" w:sz="0" w:space="0" w:color="auto"/>
      </w:divBdr>
    </w:div>
    <w:div w:id="69039280">
      <w:bodyDiv w:val="1"/>
      <w:marLeft w:val="0"/>
      <w:marRight w:val="0"/>
      <w:marTop w:val="0"/>
      <w:marBottom w:val="0"/>
      <w:divBdr>
        <w:top w:val="none" w:sz="0" w:space="0" w:color="auto"/>
        <w:left w:val="none" w:sz="0" w:space="0" w:color="auto"/>
        <w:bottom w:val="none" w:sz="0" w:space="0" w:color="auto"/>
        <w:right w:val="none" w:sz="0" w:space="0" w:color="auto"/>
      </w:divBdr>
    </w:div>
    <w:div w:id="69234322">
      <w:bodyDiv w:val="1"/>
      <w:marLeft w:val="0"/>
      <w:marRight w:val="0"/>
      <w:marTop w:val="0"/>
      <w:marBottom w:val="0"/>
      <w:divBdr>
        <w:top w:val="none" w:sz="0" w:space="0" w:color="auto"/>
        <w:left w:val="none" w:sz="0" w:space="0" w:color="auto"/>
        <w:bottom w:val="none" w:sz="0" w:space="0" w:color="auto"/>
        <w:right w:val="none" w:sz="0" w:space="0" w:color="auto"/>
      </w:divBdr>
    </w:div>
    <w:div w:id="69237842">
      <w:bodyDiv w:val="1"/>
      <w:marLeft w:val="0"/>
      <w:marRight w:val="0"/>
      <w:marTop w:val="0"/>
      <w:marBottom w:val="0"/>
      <w:divBdr>
        <w:top w:val="none" w:sz="0" w:space="0" w:color="auto"/>
        <w:left w:val="none" w:sz="0" w:space="0" w:color="auto"/>
        <w:bottom w:val="none" w:sz="0" w:space="0" w:color="auto"/>
        <w:right w:val="none" w:sz="0" w:space="0" w:color="auto"/>
      </w:divBdr>
    </w:div>
    <w:div w:id="69274269">
      <w:bodyDiv w:val="1"/>
      <w:marLeft w:val="0"/>
      <w:marRight w:val="0"/>
      <w:marTop w:val="0"/>
      <w:marBottom w:val="0"/>
      <w:divBdr>
        <w:top w:val="none" w:sz="0" w:space="0" w:color="auto"/>
        <w:left w:val="none" w:sz="0" w:space="0" w:color="auto"/>
        <w:bottom w:val="none" w:sz="0" w:space="0" w:color="auto"/>
        <w:right w:val="none" w:sz="0" w:space="0" w:color="auto"/>
      </w:divBdr>
    </w:div>
    <w:div w:id="69550015">
      <w:bodyDiv w:val="1"/>
      <w:marLeft w:val="0"/>
      <w:marRight w:val="0"/>
      <w:marTop w:val="0"/>
      <w:marBottom w:val="0"/>
      <w:divBdr>
        <w:top w:val="none" w:sz="0" w:space="0" w:color="auto"/>
        <w:left w:val="none" w:sz="0" w:space="0" w:color="auto"/>
        <w:bottom w:val="none" w:sz="0" w:space="0" w:color="auto"/>
        <w:right w:val="none" w:sz="0" w:space="0" w:color="auto"/>
      </w:divBdr>
    </w:div>
    <w:div w:id="69619303">
      <w:bodyDiv w:val="1"/>
      <w:marLeft w:val="0"/>
      <w:marRight w:val="0"/>
      <w:marTop w:val="0"/>
      <w:marBottom w:val="0"/>
      <w:divBdr>
        <w:top w:val="none" w:sz="0" w:space="0" w:color="auto"/>
        <w:left w:val="none" w:sz="0" w:space="0" w:color="auto"/>
        <w:bottom w:val="none" w:sz="0" w:space="0" w:color="auto"/>
        <w:right w:val="none" w:sz="0" w:space="0" w:color="auto"/>
      </w:divBdr>
    </w:div>
    <w:div w:id="69621664">
      <w:bodyDiv w:val="1"/>
      <w:marLeft w:val="0"/>
      <w:marRight w:val="0"/>
      <w:marTop w:val="0"/>
      <w:marBottom w:val="0"/>
      <w:divBdr>
        <w:top w:val="none" w:sz="0" w:space="0" w:color="auto"/>
        <w:left w:val="none" w:sz="0" w:space="0" w:color="auto"/>
        <w:bottom w:val="none" w:sz="0" w:space="0" w:color="auto"/>
        <w:right w:val="none" w:sz="0" w:space="0" w:color="auto"/>
      </w:divBdr>
    </w:div>
    <w:div w:id="69693678">
      <w:bodyDiv w:val="1"/>
      <w:marLeft w:val="0"/>
      <w:marRight w:val="0"/>
      <w:marTop w:val="0"/>
      <w:marBottom w:val="0"/>
      <w:divBdr>
        <w:top w:val="none" w:sz="0" w:space="0" w:color="auto"/>
        <w:left w:val="none" w:sz="0" w:space="0" w:color="auto"/>
        <w:bottom w:val="none" w:sz="0" w:space="0" w:color="auto"/>
        <w:right w:val="none" w:sz="0" w:space="0" w:color="auto"/>
      </w:divBdr>
    </w:div>
    <w:div w:id="69888905">
      <w:bodyDiv w:val="1"/>
      <w:marLeft w:val="0"/>
      <w:marRight w:val="0"/>
      <w:marTop w:val="0"/>
      <w:marBottom w:val="0"/>
      <w:divBdr>
        <w:top w:val="none" w:sz="0" w:space="0" w:color="auto"/>
        <w:left w:val="none" w:sz="0" w:space="0" w:color="auto"/>
        <w:bottom w:val="none" w:sz="0" w:space="0" w:color="auto"/>
        <w:right w:val="none" w:sz="0" w:space="0" w:color="auto"/>
      </w:divBdr>
    </w:div>
    <w:div w:id="69890662">
      <w:bodyDiv w:val="1"/>
      <w:marLeft w:val="0"/>
      <w:marRight w:val="0"/>
      <w:marTop w:val="0"/>
      <w:marBottom w:val="0"/>
      <w:divBdr>
        <w:top w:val="none" w:sz="0" w:space="0" w:color="auto"/>
        <w:left w:val="none" w:sz="0" w:space="0" w:color="auto"/>
        <w:bottom w:val="none" w:sz="0" w:space="0" w:color="auto"/>
        <w:right w:val="none" w:sz="0" w:space="0" w:color="auto"/>
      </w:divBdr>
    </w:div>
    <w:div w:id="69929863">
      <w:bodyDiv w:val="1"/>
      <w:marLeft w:val="0"/>
      <w:marRight w:val="0"/>
      <w:marTop w:val="0"/>
      <w:marBottom w:val="0"/>
      <w:divBdr>
        <w:top w:val="none" w:sz="0" w:space="0" w:color="auto"/>
        <w:left w:val="none" w:sz="0" w:space="0" w:color="auto"/>
        <w:bottom w:val="none" w:sz="0" w:space="0" w:color="auto"/>
        <w:right w:val="none" w:sz="0" w:space="0" w:color="auto"/>
      </w:divBdr>
    </w:div>
    <w:div w:id="69934594">
      <w:bodyDiv w:val="1"/>
      <w:marLeft w:val="0"/>
      <w:marRight w:val="0"/>
      <w:marTop w:val="0"/>
      <w:marBottom w:val="0"/>
      <w:divBdr>
        <w:top w:val="none" w:sz="0" w:space="0" w:color="auto"/>
        <w:left w:val="none" w:sz="0" w:space="0" w:color="auto"/>
        <w:bottom w:val="none" w:sz="0" w:space="0" w:color="auto"/>
        <w:right w:val="none" w:sz="0" w:space="0" w:color="auto"/>
      </w:divBdr>
    </w:div>
    <w:div w:id="70012130">
      <w:bodyDiv w:val="1"/>
      <w:marLeft w:val="0"/>
      <w:marRight w:val="0"/>
      <w:marTop w:val="0"/>
      <w:marBottom w:val="0"/>
      <w:divBdr>
        <w:top w:val="none" w:sz="0" w:space="0" w:color="auto"/>
        <w:left w:val="none" w:sz="0" w:space="0" w:color="auto"/>
        <w:bottom w:val="none" w:sz="0" w:space="0" w:color="auto"/>
        <w:right w:val="none" w:sz="0" w:space="0" w:color="auto"/>
      </w:divBdr>
    </w:div>
    <w:div w:id="70079980">
      <w:bodyDiv w:val="1"/>
      <w:marLeft w:val="0"/>
      <w:marRight w:val="0"/>
      <w:marTop w:val="0"/>
      <w:marBottom w:val="0"/>
      <w:divBdr>
        <w:top w:val="none" w:sz="0" w:space="0" w:color="auto"/>
        <w:left w:val="none" w:sz="0" w:space="0" w:color="auto"/>
        <w:bottom w:val="none" w:sz="0" w:space="0" w:color="auto"/>
        <w:right w:val="none" w:sz="0" w:space="0" w:color="auto"/>
      </w:divBdr>
    </w:div>
    <w:div w:id="70086950">
      <w:bodyDiv w:val="1"/>
      <w:marLeft w:val="0"/>
      <w:marRight w:val="0"/>
      <w:marTop w:val="0"/>
      <w:marBottom w:val="0"/>
      <w:divBdr>
        <w:top w:val="none" w:sz="0" w:space="0" w:color="auto"/>
        <w:left w:val="none" w:sz="0" w:space="0" w:color="auto"/>
        <w:bottom w:val="none" w:sz="0" w:space="0" w:color="auto"/>
        <w:right w:val="none" w:sz="0" w:space="0" w:color="auto"/>
      </w:divBdr>
    </w:div>
    <w:div w:id="70127272">
      <w:bodyDiv w:val="1"/>
      <w:marLeft w:val="0"/>
      <w:marRight w:val="0"/>
      <w:marTop w:val="0"/>
      <w:marBottom w:val="0"/>
      <w:divBdr>
        <w:top w:val="none" w:sz="0" w:space="0" w:color="auto"/>
        <w:left w:val="none" w:sz="0" w:space="0" w:color="auto"/>
        <w:bottom w:val="none" w:sz="0" w:space="0" w:color="auto"/>
        <w:right w:val="none" w:sz="0" w:space="0" w:color="auto"/>
      </w:divBdr>
    </w:div>
    <w:div w:id="70273672">
      <w:bodyDiv w:val="1"/>
      <w:marLeft w:val="0"/>
      <w:marRight w:val="0"/>
      <w:marTop w:val="0"/>
      <w:marBottom w:val="0"/>
      <w:divBdr>
        <w:top w:val="none" w:sz="0" w:space="0" w:color="auto"/>
        <w:left w:val="none" w:sz="0" w:space="0" w:color="auto"/>
        <w:bottom w:val="none" w:sz="0" w:space="0" w:color="auto"/>
        <w:right w:val="none" w:sz="0" w:space="0" w:color="auto"/>
      </w:divBdr>
    </w:div>
    <w:div w:id="70395729">
      <w:bodyDiv w:val="1"/>
      <w:marLeft w:val="0"/>
      <w:marRight w:val="0"/>
      <w:marTop w:val="0"/>
      <w:marBottom w:val="0"/>
      <w:divBdr>
        <w:top w:val="none" w:sz="0" w:space="0" w:color="auto"/>
        <w:left w:val="none" w:sz="0" w:space="0" w:color="auto"/>
        <w:bottom w:val="none" w:sz="0" w:space="0" w:color="auto"/>
        <w:right w:val="none" w:sz="0" w:space="0" w:color="auto"/>
      </w:divBdr>
    </w:div>
    <w:div w:id="70544366">
      <w:bodyDiv w:val="1"/>
      <w:marLeft w:val="0"/>
      <w:marRight w:val="0"/>
      <w:marTop w:val="0"/>
      <w:marBottom w:val="0"/>
      <w:divBdr>
        <w:top w:val="none" w:sz="0" w:space="0" w:color="auto"/>
        <w:left w:val="none" w:sz="0" w:space="0" w:color="auto"/>
        <w:bottom w:val="none" w:sz="0" w:space="0" w:color="auto"/>
        <w:right w:val="none" w:sz="0" w:space="0" w:color="auto"/>
      </w:divBdr>
    </w:div>
    <w:div w:id="70584835">
      <w:bodyDiv w:val="1"/>
      <w:marLeft w:val="0"/>
      <w:marRight w:val="0"/>
      <w:marTop w:val="0"/>
      <w:marBottom w:val="0"/>
      <w:divBdr>
        <w:top w:val="none" w:sz="0" w:space="0" w:color="auto"/>
        <w:left w:val="none" w:sz="0" w:space="0" w:color="auto"/>
        <w:bottom w:val="none" w:sz="0" w:space="0" w:color="auto"/>
        <w:right w:val="none" w:sz="0" w:space="0" w:color="auto"/>
      </w:divBdr>
    </w:div>
    <w:div w:id="70590724">
      <w:bodyDiv w:val="1"/>
      <w:marLeft w:val="0"/>
      <w:marRight w:val="0"/>
      <w:marTop w:val="0"/>
      <w:marBottom w:val="0"/>
      <w:divBdr>
        <w:top w:val="none" w:sz="0" w:space="0" w:color="auto"/>
        <w:left w:val="none" w:sz="0" w:space="0" w:color="auto"/>
        <w:bottom w:val="none" w:sz="0" w:space="0" w:color="auto"/>
        <w:right w:val="none" w:sz="0" w:space="0" w:color="auto"/>
      </w:divBdr>
    </w:div>
    <w:div w:id="70664830">
      <w:bodyDiv w:val="1"/>
      <w:marLeft w:val="0"/>
      <w:marRight w:val="0"/>
      <w:marTop w:val="0"/>
      <w:marBottom w:val="0"/>
      <w:divBdr>
        <w:top w:val="none" w:sz="0" w:space="0" w:color="auto"/>
        <w:left w:val="none" w:sz="0" w:space="0" w:color="auto"/>
        <w:bottom w:val="none" w:sz="0" w:space="0" w:color="auto"/>
        <w:right w:val="none" w:sz="0" w:space="0" w:color="auto"/>
      </w:divBdr>
    </w:div>
    <w:div w:id="70667208">
      <w:bodyDiv w:val="1"/>
      <w:marLeft w:val="0"/>
      <w:marRight w:val="0"/>
      <w:marTop w:val="0"/>
      <w:marBottom w:val="0"/>
      <w:divBdr>
        <w:top w:val="none" w:sz="0" w:space="0" w:color="auto"/>
        <w:left w:val="none" w:sz="0" w:space="0" w:color="auto"/>
        <w:bottom w:val="none" w:sz="0" w:space="0" w:color="auto"/>
        <w:right w:val="none" w:sz="0" w:space="0" w:color="auto"/>
      </w:divBdr>
    </w:div>
    <w:div w:id="70928287">
      <w:bodyDiv w:val="1"/>
      <w:marLeft w:val="0"/>
      <w:marRight w:val="0"/>
      <w:marTop w:val="0"/>
      <w:marBottom w:val="0"/>
      <w:divBdr>
        <w:top w:val="none" w:sz="0" w:space="0" w:color="auto"/>
        <w:left w:val="none" w:sz="0" w:space="0" w:color="auto"/>
        <w:bottom w:val="none" w:sz="0" w:space="0" w:color="auto"/>
        <w:right w:val="none" w:sz="0" w:space="0" w:color="auto"/>
      </w:divBdr>
    </w:div>
    <w:div w:id="71199415">
      <w:bodyDiv w:val="1"/>
      <w:marLeft w:val="0"/>
      <w:marRight w:val="0"/>
      <w:marTop w:val="0"/>
      <w:marBottom w:val="0"/>
      <w:divBdr>
        <w:top w:val="none" w:sz="0" w:space="0" w:color="auto"/>
        <w:left w:val="none" w:sz="0" w:space="0" w:color="auto"/>
        <w:bottom w:val="none" w:sz="0" w:space="0" w:color="auto"/>
        <w:right w:val="none" w:sz="0" w:space="0" w:color="auto"/>
      </w:divBdr>
    </w:div>
    <w:div w:id="71514281">
      <w:bodyDiv w:val="1"/>
      <w:marLeft w:val="0"/>
      <w:marRight w:val="0"/>
      <w:marTop w:val="0"/>
      <w:marBottom w:val="0"/>
      <w:divBdr>
        <w:top w:val="none" w:sz="0" w:space="0" w:color="auto"/>
        <w:left w:val="none" w:sz="0" w:space="0" w:color="auto"/>
        <w:bottom w:val="none" w:sz="0" w:space="0" w:color="auto"/>
        <w:right w:val="none" w:sz="0" w:space="0" w:color="auto"/>
      </w:divBdr>
    </w:div>
    <w:div w:id="71582847">
      <w:bodyDiv w:val="1"/>
      <w:marLeft w:val="0"/>
      <w:marRight w:val="0"/>
      <w:marTop w:val="0"/>
      <w:marBottom w:val="0"/>
      <w:divBdr>
        <w:top w:val="none" w:sz="0" w:space="0" w:color="auto"/>
        <w:left w:val="none" w:sz="0" w:space="0" w:color="auto"/>
        <w:bottom w:val="none" w:sz="0" w:space="0" w:color="auto"/>
        <w:right w:val="none" w:sz="0" w:space="0" w:color="auto"/>
      </w:divBdr>
    </w:div>
    <w:div w:id="71582903">
      <w:bodyDiv w:val="1"/>
      <w:marLeft w:val="0"/>
      <w:marRight w:val="0"/>
      <w:marTop w:val="0"/>
      <w:marBottom w:val="0"/>
      <w:divBdr>
        <w:top w:val="none" w:sz="0" w:space="0" w:color="auto"/>
        <w:left w:val="none" w:sz="0" w:space="0" w:color="auto"/>
        <w:bottom w:val="none" w:sz="0" w:space="0" w:color="auto"/>
        <w:right w:val="none" w:sz="0" w:space="0" w:color="auto"/>
      </w:divBdr>
    </w:div>
    <w:div w:id="71851609">
      <w:bodyDiv w:val="1"/>
      <w:marLeft w:val="0"/>
      <w:marRight w:val="0"/>
      <w:marTop w:val="0"/>
      <w:marBottom w:val="0"/>
      <w:divBdr>
        <w:top w:val="none" w:sz="0" w:space="0" w:color="auto"/>
        <w:left w:val="none" w:sz="0" w:space="0" w:color="auto"/>
        <w:bottom w:val="none" w:sz="0" w:space="0" w:color="auto"/>
        <w:right w:val="none" w:sz="0" w:space="0" w:color="auto"/>
      </w:divBdr>
    </w:div>
    <w:div w:id="71971413">
      <w:bodyDiv w:val="1"/>
      <w:marLeft w:val="0"/>
      <w:marRight w:val="0"/>
      <w:marTop w:val="0"/>
      <w:marBottom w:val="0"/>
      <w:divBdr>
        <w:top w:val="none" w:sz="0" w:space="0" w:color="auto"/>
        <w:left w:val="none" w:sz="0" w:space="0" w:color="auto"/>
        <w:bottom w:val="none" w:sz="0" w:space="0" w:color="auto"/>
        <w:right w:val="none" w:sz="0" w:space="0" w:color="auto"/>
      </w:divBdr>
    </w:div>
    <w:div w:id="72052055">
      <w:bodyDiv w:val="1"/>
      <w:marLeft w:val="0"/>
      <w:marRight w:val="0"/>
      <w:marTop w:val="0"/>
      <w:marBottom w:val="0"/>
      <w:divBdr>
        <w:top w:val="none" w:sz="0" w:space="0" w:color="auto"/>
        <w:left w:val="none" w:sz="0" w:space="0" w:color="auto"/>
        <w:bottom w:val="none" w:sz="0" w:space="0" w:color="auto"/>
        <w:right w:val="none" w:sz="0" w:space="0" w:color="auto"/>
      </w:divBdr>
    </w:div>
    <w:div w:id="72053387">
      <w:bodyDiv w:val="1"/>
      <w:marLeft w:val="0"/>
      <w:marRight w:val="0"/>
      <w:marTop w:val="0"/>
      <w:marBottom w:val="0"/>
      <w:divBdr>
        <w:top w:val="none" w:sz="0" w:space="0" w:color="auto"/>
        <w:left w:val="none" w:sz="0" w:space="0" w:color="auto"/>
        <w:bottom w:val="none" w:sz="0" w:space="0" w:color="auto"/>
        <w:right w:val="none" w:sz="0" w:space="0" w:color="auto"/>
      </w:divBdr>
    </w:div>
    <w:div w:id="72166197">
      <w:bodyDiv w:val="1"/>
      <w:marLeft w:val="0"/>
      <w:marRight w:val="0"/>
      <w:marTop w:val="0"/>
      <w:marBottom w:val="0"/>
      <w:divBdr>
        <w:top w:val="none" w:sz="0" w:space="0" w:color="auto"/>
        <w:left w:val="none" w:sz="0" w:space="0" w:color="auto"/>
        <w:bottom w:val="none" w:sz="0" w:space="0" w:color="auto"/>
        <w:right w:val="none" w:sz="0" w:space="0" w:color="auto"/>
      </w:divBdr>
    </w:div>
    <w:div w:id="72318609">
      <w:bodyDiv w:val="1"/>
      <w:marLeft w:val="0"/>
      <w:marRight w:val="0"/>
      <w:marTop w:val="0"/>
      <w:marBottom w:val="0"/>
      <w:divBdr>
        <w:top w:val="none" w:sz="0" w:space="0" w:color="auto"/>
        <w:left w:val="none" w:sz="0" w:space="0" w:color="auto"/>
        <w:bottom w:val="none" w:sz="0" w:space="0" w:color="auto"/>
        <w:right w:val="none" w:sz="0" w:space="0" w:color="auto"/>
      </w:divBdr>
    </w:div>
    <w:div w:id="72355422">
      <w:bodyDiv w:val="1"/>
      <w:marLeft w:val="0"/>
      <w:marRight w:val="0"/>
      <w:marTop w:val="0"/>
      <w:marBottom w:val="0"/>
      <w:divBdr>
        <w:top w:val="none" w:sz="0" w:space="0" w:color="auto"/>
        <w:left w:val="none" w:sz="0" w:space="0" w:color="auto"/>
        <w:bottom w:val="none" w:sz="0" w:space="0" w:color="auto"/>
        <w:right w:val="none" w:sz="0" w:space="0" w:color="auto"/>
      </w:divBdr>
    </w:div>
    <w:div w:id="72359042">
      <w:bodyDiv w:val="1"/>
      <w:marLeft w:val="0"/>
      <w:marRight w:val="0"/>
      <w:marTop w:val="0"/>
      <w:marBottom w:val="0"/>
      <w:divBdr>
        <w:top w:val="none" w:sz="0" w:space="0" w:color="auto"/>
        <w:left w:val="none" w:sz="0" w:space="0" w:color="auto"/>
        <w:bottom w:val="none" w:sz="0" w:space="0" w:color="auto"/>
        <w:right w:val="none" w:sz="0" w:space="0" w:color="auto"/>
      </w:divBdr>
    </w:div>
    <w:div w:id="72364506">
      <w:bodyDiv w:val="1"/>
      <w:marLeft w:val="0"/>
      <w:marRight w:val="0"/>
      <w:marTop w:val="0"/>
      <w:marBottom w:val="0"/>
      <w:divBdr>
        <w:top w:val="none" w:sz="0" w:space="0" w:color="auto"/>
        <w:left w:val="none" w:sz="0" w:space="0" w:color="auto"/>
        <w:bottom w:val="none" w:sz="0" w:space="0" w:color="auto"/>
        <w:right w:val="none" w:sz="0" w:space="0" w:color="auto"/>
      </w:divBdr>
    </w:div>
    <w:div w:id="72435116">
      <w:bodyDiv w:val="1"/>
      <w:marLeft w:val="0"/>
      <w:marRight w:val="0"/>
      <w:marTop w:val="0"/>
      <w:marBottom w:val="0"/>
      <w:divBdr>
        <w:top w:val="none" w:sz="0" w:space="0" w:color="auto"/>
        <w:left w:val="none" w:sz="0" w:space="0" w:color="auto"/>
        <w:bottom w:val="none" w:sz="0" w:space="0" w:color="auto"/>
        <w:right w:val="none" w:sz="0" w:space="0" w:color="auto"/>
      </w:divBdr>
    </w:div>
    <w:div w:id="72625490">
      <w:bodyDiv w:val="1"/>
      <w:marLeft w:val="0"/>
      <w:marRight w:val="0"/>
      <w:marTop w:val="0"/>
      <w:marBottom w:val="0"/>
      <w:divBdr>
        <w:top w:val="none" w:sz="0" w:space="0" w:color="auto"/>
        <w:left w:val="none" w:sz="0" w:space="0" w:color="auto"/>
        <w:bottom w:val="none" w:sz="0" w:space="0" w:color="auto"/>
        <w:right w:val="none" w:sz="0" w:space="0" w:color="auto"/>
      </w:divBdr>
    </w:div>
    <w:div w:id="72703984">
      <w:bodyDiv w:val="1"/>
      <w:marLeft w:val="0"/>
      <w:marRight w:val="0"/>
      <w:marTop w:val="0"/>
      <w:marBottom w:val="0"/>
      <w:divBdr>
        <w:top w:val="none" w:sz="0" w:space="0" w:color="auto"/>
        <w:left w:val="none" w:sz="0" w:space="0" w:color="auto"/>
        <w:bottom w:val="none" w:sz="0" w:space="0" w:color="auto"/>
        <w:right w:val="none" w:sz="0" w:space="0" w:color="auto"/>
      </w:divBdr>
    </w:div>
    <w:div w:id="72775560">
      <w:bodyDiv w:val="1"/>
      <w:marLeft w:val="0"/>
      <w:marRight w:val="0"/>
      <w:marTop w:val="0"/>
      <w:marBottom w:val="0"/>
      <w:divBdr>
        <w:top w:val="none" w:sz="0" w:space="0" w:color="auto"/>
        <w:left w:val="none" w:sz="0" w:space="0" w:color="auto"/>
        <w:bottom w:val="none" w:sz="0" w:space="0" w:color="auto"/>
        <w:right w:val="none" w:sz="0" w:space="0" w:color="auto"/>
      </w:divBdr>
    </w:div>
    <w:div w:id="72823092">
      <w:bodyDiv w:val="1"/>
      <w:marLeft w:val="0"/>
      <w:marRight w:val="0"/>
      <w:marTop w:val="0"/>
      <w:marBottom w:val="0"/>
      <w:divBdr>
        <w:top w:val="none" w:sz="0" w:space="0" w:color="auto"/>
        <w:left w:val="none" w:sz="0" w:space="0" w:color="auto"/>
        <w:bottom w:val="none" w:sz="0" w:space="0" w:color="auto"/>
        <w:right w:val="none" w:sz="0" w:space="0" w:color="auto"/>
      </w:divBdr>
    </w:div>
    <w:div w:id="72900557">
      <w:bodyDiv w:val="1"/>
      <w:marLeft w:val="0"/>
      <w:marRight w:val="0"/>
      <w:marTop w:val="0"/>
      <w:marBottom w:val="0"/>
      <w:divBdr>
        <w:top w:val="none" w:sz="0" w:space="0" w:color="auto"/>
        <w:left w:val="none" w:sz="0" w:space="0" w:color="auto"/>
        <w:bottom w:val="none" w:sz="0" w:space="0" w:color="auto"/>
        <w:right w:val="none" w:sz="0" w:space="0" w:color="auto"/>
      </w:divBdr>
    </w:div>
    <w:div w:id="72974223">
      <w:bodyDiv w:val="1"/>
      <w:marLeft w:val="0"/>
      <w:marRight w:val="0"/>
      <w:marTop w:val="0"/>
      <w:marBottom w:val="0"/>
      <w:divBdr>
        <w:top w:val="none" w:sz="0" w:space="0" w:color="auto"/>
        <w:left w:val="none" w:sz="0" w:space="0" w:color="auto"/>
        <w:bottom w:val="none" w:sz="0" w:space="0" w:color="auto"/>
        <w:right w:val="none" w:sz="0" w:space="0" w:color="auto"/>
      </w:divBdr>
    </w:div>
    <w:div w:id="73086401">
      <w:bodyDiv w:val="1"/>
      <w:marLeft w:val="0"/>
      <w:marRight w:val="0"/>
      <w:marTop w:val="0"/>
      <w:marBottom w:val="0"/>
      <w:divBdr>
        <w:top w:val="none" w:sz="0" w:space="0" w:color="auto"/>
        <w:left w:val="none" w:sz="0" w:space="0" w:color="auto"/>
        <w:bottom w:val="none" w:sz="0" w:space="0" w:color="auto"/>
        <w:right w:val="none" w:sz="0" w:space="0" w:color="auto"/>
      </w:divBdr>
    </w:div>
    <w:div w:id="73165453">
      <w:bodyDiv w:val="1"/>
      <w:marLeft w:val="0"/>
      <w:marRight w:val="0"/>
      <w:marTop w:val="0"/>
      <w:marBottom w:val="0"/>
      <w:divBdr>
        <w:top w:val="none" w:sz="0" w:space="0" w:color="auto"/>
        <w:left w:val="none" w:sz="0" w:space="0" w:color="auto"/>
        <w:bottom w:val="none" w:sz="0" w:space="0" w:color="auto"/>
        <w:right w:val="none" w:sz="0" w:space="0" w:color="auto"/>
      </w:divBdr>
    </w:div>
    <w:div w:id="73170575">
      <w:bodyDiv w:val="1"/>
      <w:marLeft w:val="0"/>
      <w:marRight w:val="0"/>
      <w:marTop w:val="0"/>
      <w:marBottom w:val="0"/>
      <w:divBdr>
        <w:top w:val="none" w:sz="0" w:space="0" w:color="auto"/>
        <w:left w:val="none" w:sz="0" w:space="0" w:color="auto"/>
        <w:bottom w:val="none" w:sz="0" w:space="0" w:color="auto"/>
        <w:right w:val="none" w:sz="0" w:space="0" w:color="auto"/>
      </w:divBdr>
    </w:div>
    <w:div w:id="73209506">
      <w:bodyDiv w:val="1"/>
      <w:marLeft w:val="0"/>
      <w:marRight w:val="0"/>
      <w:marTop w:val="0"/>
      <w:marBottom w:val="0"/>
      <w:divBdr>
        <w:top w:val="none" w:sz="0" w:space="0" w:color="auto"/>
        <w:left w:val="none" w:sz="0" w:space="0" w:color="auto"/>
        <w:bottom w:val="none" w:sz="0" w:space="0" w:color="auto"/>
        <w:right w:val="none" w:sz="0" w:space="0" w:color="auto"/>
      </w:divBdr>
    </w:div>
    <w:div w:id="73280320">
      <w:bodyDiv w:val="1"/>
      <w:marLeft w:val="0"/>
      <w:marRight w:val="0"/>
      <w:marTop w:val="0"/>
      <w:marBottom w:val="0"/>
      <w:divBdr>
        <w:top w:val="none" w:sz="0" w:space="0" w:color="auto"/>
        <w:left w:val="none" w:sz="0" w:space="0" w:color="auto"/>
        <w:bottom w:val="none" w:sz="0" w:space="0" w:color="auto"/>
        <w:right w:val="none" w:sz="0" w:space="0" w:color="auto"/>
      </w:divBdr>
    </w:div>
    <w:div w:id="73430440">
      <w:bodyDiv w:val="1"/>
      <w:marLeft w:val="0"/>
      <w:marRight w:val="0"/>
      <w:marTop w:val="0"/>
      <w:marBottom w:val="0"/>
      <w:divBdr>
        <w:top w:val="none" w:sz="0" w:space="0" w:color="auto"/>
        <w:left w:val="none" w:sz="0" w:space="0" w:color="auto"/>
        <w:bottom w:val="none" w:sz="0" w:space="0" w:color="auto"/>
        <w:right w:val="none" w:sz="0" w:space="0" w:color="auto"/>
      </w:divBdr>
    </w:div>
    <w:div w:id="73474224">
      <w:bodyDiv w:val="1"/>
      <w:marLeft w:val="0"/>
      <w:marRight w:val="0"/>
      <w:marTop w:val="0"/>
      <w:marBottom w:val="0"/>
      <w:divBdr>
        <w:top w:val="none" w:sz="0" w:space="0" w:color="auto"/>
        <w:left w:val="none" w:sz="0" w:space="0" w:color="auto"/>
        <w:bottom w:val="none" w:sz="0" w:space="0" w:color="auto"/>
        <w:right w:val="none" w:sz="0" w:space="0" w:color="auto"/>
      </w:divBdr>
    </w:div>
    <w:div w:id="73476554">
      <w:bodyDiv w:val="1"/>
      <w:marLeft w:val="0"/>
      <w:marRight w:val="0"/>
      <w:marTop w:val="0"/>
      <w:marBottom w:val="0"/>
      <w:divBdr>
        <w:top w:val="none" w:sz="0" w:space="0" w:color="auto"/>
        <w:left w:val="none" w:sz="0" w:space="0" w:color="auto"/>
        <w:bottom w:val="none" w:sz="0" w:space="0" w:color="auto"/>
        <w:right w:val="none" w:sz="0" w:space="0" w:color="auto"/>
      </w:divBdr>
    </w:div>
    <w:div w:id="73476906">
      <w:bodyDiv w:val="1"/>
      <w:marLeft w:val="0"/>
      <w:marRight w:val="0"/>
      <w:marTop w:val="0"/>
      <w:marBottom w:val="0"/>
      <w:divBdr>
        <w:top w:val="none" w:sz="0" w:space="0" w:color="auto"/>
        <w:left w:val="none" w:sz="0" w:space="0" w:color="auto"/>
        <w:bottom w:val="none" w:sz="0" w:space="0" w:color="auto"/>
        <w:right w:val="none" w:sz="0" w:space="0" w:color="auto"/>
      </w:divBdr>
    </w:div>
    <w:div w:id="73548876">
      <w:bodyDiv w:val="1"/>
      <w:marLeft w:val="0"/>
      <w:marRight w:val="0"/>
      <w:marTop w:val="0"/>
      <w:marBottom w:val="0"/>
      <w:divBdr>
        <w:top w:val="none" w:sz="0" w:space="0" w:color="auto"/>
        <w:left w:val="none" w:sz="0" w:space="0" w:color="auto"/>
        <w:bottom w:val="none" w:sz="0" w:space="0" w:color="auto"/>
        <w:right w:val="none" w:sz="0" w:space="0" w:color="auto"/>
      </w:divBdr>
    </w:div>
    <w:div w:id="73552662">
      <w:bodyDiv w:val="1"/>
      <w:marLeft w:val="0"/>
      <w:marRight w:val="0"/>
      <w:marTop w:val="0"/>
      <w:marBottom w:val="0"/>
      <w:divBdr>
        <w:top w:val="none" w:sz="0" w:space="0" w:color="auto"/>
        <w:left w:val="none" w:sz="0" w:space="0" w:color="auto"/>
        <w:bottom w:val="none" w:sz="0" w:space="0" w:color="auto"/>
        <w:right w:val="none" w:sz="0" w:space="0" w:color="auto"/>
      </w:divBdr>
    </w:div>
    <w:div w:id="73553055">
      <w:bodyDiv w:val="1"/>
      <w:marLeft w:val="0"/>
      <w:marRight w:val="0"/>
      <w:marTop w:val="0"/>
      <w:marBottom w:val="0"/>
      <w:divBdr>
        <w:top w:val="none" w:sz="0" w:space="0" w:color="auto"/>
        <w:left w:val="none" w:sz="0" w:space="0" w:color="auto"/>
        <w:bottom w:val="none" w:sz="0" w:space="0" w:color="auto"/>
        <w:right w:val="none" w:sz="0" w:space="0" w:color="auto"/>
      </w:divBdr>
    </w:div>
    <w:div w:id="73671502">
      <w:bodyDiv w:val="1"/>
      <w:marLeft w:val="0"/>
      <w:marRight w:val="0"/>
      <w:marTop w:val="0"/>
      <w:marBottom w:val="0"/>
      <w:divBdr>
        <w:top w:val="none" w:sz="0" w:space="0" w:color="auto"/>
        <w:left w:val="none" w:sz="0" w:space="0" w:color="auto"/>
        <w:bottom w:val="none" w:sz="0" w:space="0" w:color="auto"/>
        <w:right w:val="none" w:sz="0" w:space="0" w:color="auto"/>
      </w:divBdr>
    </w:div>
    <w:div w:id="73672784">
      <w:bodyDiv w:val="1"/>
      <w:marLeft w:val="0"/>
      <w:marRight w:val="0"/>
      <w:marTop w:val="0"/>
      <w:marBottom w:val="0"/>
      <w:divBdr>
        <w:top w:val="none" w:sz="0" w:space="0" w:color="auto"/>
        <w:left w:val="none" w:sz="0" w:space="0" w:color="auto"/>
        <w:bottom w:val="none" w:sz="0" w:space="0" w:color="auto"/>
        <w:right w:val="none" w:sz="0" w:space="0" w:color="auto"/>
      </w:divBdr>
    </w:div>
    <w:div w:id="73825891">
      <w:bodyDiv w:val="1"/>
      <w:marLeft w:val="0"/>
      <w:marRight w:val="0"/>
      <w:marTop w:val="0"/>
      <w:marBottom w:val="0"/>
      <w:divBdr>
        <w:top w:val="none" w:sz="0" w:space="0" w:color="auto"/>
        <w:left w:val="none" w:sz="0" w:space="0" w:color="auto"/>
        <w:bottom w:val="none" w:sz="0" w:space="0" w:color="auto"/>
        <w:right w:val="none" w:sz="0" w:space="0" w:color="auto"/>
      </w:divBdr>
    </w:div>
    <w:div w:id="73863559">
      <w:bodyDiv w:val="1"/>
      <w:marLeft w:val="0"/>
      <w:marRight w:val="0"/>
      <w:marTop w:val="0"/>
      <w:marBottom w:val="0"/>
      <w:divBdr>
        <w:top w:val="none" w:sz="0" w:space="0" w:color="auto"/>
        <w:left w:val="none" w:sz="0" w:space="0" w:color="auto"/>
        <w:bottom w:val="none" w:sz="0" w:space="0" w:color="auto"/>
        <w:right w:val="none" w:sz="0" w:space="0" w:color="auto"/>
      </w:divBdr>
    </w:div>
    <w:div w:id="73935876">
      <w:bodyDiv w:val="1"/>
      <w:marLeft w:val="0"/>
      <w:marRight w:val="0"/>
      <w:marTop w:val="0"/>
      <w:marBottom w:val="0"/>
      <w:divBdr>
        <w:top w:val="none" w:sz="0" w:space="0" w:color="auto"/>
        <w:left w:val="none" w:sz="0" w:space="0" w:color="auto"/>
        <w:bottom w:val="none" w:sz="0" w:space="0" w:color="auto"/>
        <w:right w:val="none" w:sz="0" w:space="0" w:color="auto"/>
      </w:divBdr>
    </w:div>
    <w:div w:id="73939881">
      <w:bodyDiv w:val="1"/>
      <w:marLeft w:val="0"/>
      <w:marRight w:val="0"/>
      <w:marTop w:val="0"/>
      <w:marBottom w:val="0"/>
      <w:divBdr>
        <w:top w:val="none" w:sz="0" w:space="0" w:color="auto"/>
        <w:left w:val="none" w:sz="0" w:space="0" w:color="auto"/>
        <w:bottom w:val="none" w:sz="0" w:space="0" w:color="auto"/>
        <w:right w:val="none" w:sz="0" w:space="0" w:color="auto"/>
      </w:divBdr>
    </w:div>
    <w:div w:id="74130920">
      <w:bodyDiv w:val="1"/>
      <w:marLeft w:val="0"/>
      <w:marRight w:val="0"/>
      <w:marTop w:val="0"/>
      <w:marBottom w:val="0"/>
      <w:divBdr>
        <w:top w:val="none" w:sz="0" w:space="0" w:color="auto"/>
        <w:left w:val="none" w:sz="0" w:space="0" w:color="auto"/>
        <w:bottom w:val="none" w:sz="0" w:space="0" w:color="auto"/>
        <w:right w:val="none" w:sz="0" w:space="0" w:color="auto"/>
      </w:divBdr>
    </w:div>
    <w:div w:id="74208290">
      <w:bodyDiv w:val="1"/>
      <w:marLeft w:val="0"/>
      <w:marRight w:val="0"/>
      <w:marTop w:val="0"/>
      <w:marBottom w:val="0"/>
      <w:divBdr>
        <w:top w:val="none" w:sz="0" w:space="0" w:color="auto"/>
        <w:left w:val="none" w:sz="0" w:space="0" w:color="auto"/>
        <w:bottom w:val="none" w:sz="0" w:space="0" w:color="auto"/>
        <w:right w:val="none" w:sz="0" w:space="0" w:color="auto"/>
      </w:divBdr>
    </w:div>
    <w:div w:id="74282864">
      <w:bodyDiv w:val="1"/>
      <w:marLeft w:val="0"/>
      <w:marRight w:val="0"/>
      <w:marTop w:val="0"/>
      <w:marBottom w:val="0"/>
      <w:divBdr>
        <w:top w:val="none" w:sz="0" w:space="0" w:color="auto"/>
        <w:left w:val="none" w:sz="0" w:space="0" w:color="auto"/>
        <w:bottom w:val="none" w:sz="0" w:space="0" w:color="auto"/>
        <w:right w:val="none" w:sz="0" w:space="0" w:color="auto"/>
      </w:divBdr>
    </w:div>
    <w:div w:id="74326629">
      <w:bodyDiv w:val="1"/>
      <w:marLeft w:val="0"/>
      <w:marRight w:val="0"/>
      <w:marTop w:val="0"/>
      <w:marBottom w:val="0"/>
      <w:divBdr>
        <w:top w:val="none" w:sz="0" w:space="0" w:color="auto"/>
        <w:left w:val="none" w:sz="0" w:space="0" w:color="auto"/>
        <w:bottom w:val="none" w:sz="0" w:space="0" w:color="auto"/>
        <w:right w:val="none" w:sz="0" w:space="0" w:color="auto"/>
      </w:divBdr>
    </w:div>
    <w:div w:id="74520746">
      <w:bodyDiv w:val="1"/>
      <w:marLeft w:val="0"/>
      <w:marRight w:val="0"/>
      <w:marTop w:val="0"/>
      <w:marBottom w:val="0"/>
      <w:divBdr>
        <w:top w:val="none" w:sz="0" w:space="0" w:color="auto"/>
        <w:left w:val="none" w:sz="0" w:space="0" w:color="auto"/>
        <w:bottom w:val="none" w:sz="0" w:space="0" w:color="auto"/>
        <w:right w:val="none" w:sz="0" w:space="0" w:color="auto"/>
      </w:divBdr>
    </w:div>
    <w:div w:id="74594492">
      <w:bodyDiv w:val="1"/>
      <w:marLeft w:val="0"/>
      <w:marRight w:val="0"/>
      <w:marTop w:val="0"/>
      <w:marBottom w:val="0"/>
      <w:divBdr>
        <w:top w:val="none" w:sz="0" w:space="0" w:color="auto"/>
        <w:left w:val="none" w:sz="0" w:space="0" w:color="auto"/>
        <w:bottom w:val="none" w:sz="0" w:space="0" w:color="auto"/>
        <w:right w:val="none" w:sz="0" w:space="0" w:color="auto"/>
      </w:divBdr>
    </w:div>
    <w:div w:id="74596868">
      <w:bodyDiv w:val="1"/>
      <w:marLeft w:val="0"/>
      <w:marRight w:val="0"/>
      <w:marTop w:val="0"/>
      <w:marBottom w:val="0"/>
      <w:divBdr>
        <w:top w:val="none" w:sz="0" w:space="0" w:color="auto"/>
        <w:left w:val="none" w:sz="0" w:space="0" w:color="auto"/>
        <w:bottom w:val="none" w:sz="0" w:space="0" w:color="auto"/>
        <w:right w:val="none" w:sz="0" w:space="0" w:color="auto"/>
      </w:divBdr>
    </w:div>
    <w:div w:id="74713871">
      <w:bodyDiv w:val="1"/>
      <w:marLeft w:val="0"/>
      <w:marRight w:val="0"/>
      <w:marTop w:val="0"/>
      <w:marBottom w:val="0"/>
      <w:divBdr>
        <w:top w:val="none" w:sz="0" w:space="0" w:color="auto"/>
        <w:left w:val="none" w:sz="0" w:space="0" w:color="auto"/>
        <w:bottom w:val="none" w:sz="0" w:space="0" w:color="auto"/>
        <w:right w:val="none" w:sz="0" w:space="0" w:color="auto"/>
      </w:divBdr>
    </w:div>
    <w:div w:id="74743127">
      <w:bodyDiv w:val="1"/>
      <w:marLeft w:val="0"/>
      <w:marRight w:val="0"/>
      <w:marTop w:val="0"/>
      <w:marBottom w:val="0"/>
      <w:divBdr>
        <w:top w:val="none" w:sz="0" w:space="0" w:color="auto"/>
        <w:left w:val="none" w:sz="0" w:space="0" w:color="auto"/>
        <w:bottom w:val="none" w:sz="0" w:space="0" w:color="auto"/>
        <w:right w:val="none" w:sz="0" w:space="0" w:color="auto"/>
      </w:divBdr>
    </w:div>
    <w:div w:id="75059302">
      <w:bodyDiv w:val="1"/>
      <w:marLeft w:val="0"/>
      <w:marRight w:val="0"/>
      <w:marTop w:val="0"/>
      <w:marBottom w:val="0"/>
      <w:divBdr>
        <w:top w:val="none" w:sz="0" w:space="0" w:color="auto"/>
        <w:left w:val="none" w:sz="0" w:space="0" w:color="auto"/>
        <w:bottom w:val="none" w:sz="0" w:space="0" w:color="auto"/>
        <w:right w:val="none" w:sz="0" w:space="0" w:color="auto"/>
      </w:divBdr>
    </w:div>
    <w:div w:id="75130728">
      <w:bodyDiv w:val="1"/>
      <w:marLeft w:val="0"/>
      <w:marRight w:val="0"/>
      <w:marTop w:val="0"/>
      <w:marBottom w:val="0"/>
      <w:divBdr>
        <w:top w:val="none" w:sz="0" w:space="0" w:color="auto"/>
        <w:left w:val="none" w:sz="0" w:space="0" w:color="auto"/>
        <w:bottom w:val="none" w:sz="0" w:space="0" w:color="auto"/>
        <w:right w:val="none" w:sz="0" w:space="0" w:color="auto"/>
      </w:divBdr>
    </w:div>
    <w:div w:id="75178136">
      <w:bodyDiv w:val="1"/>
      <w:marLeft w:val="0"/>
      <w:marRight w:val="0"/>
      <w:marTop w:val="0"/>
      <w:marBottom w:val="0"/>
      <w:divBdr>
        <w:top w:val="none" w:sz="0" w:space="0" w:color="auto"/>
        <w:left w:val="none" w:sz="0" w:space="0" w:color="auto"/>
        <w:bottom w:val="none" w:sz="0" w:space="0" w:color="auto"/>
        <w:right w:val="none" w:sz="0" w:space="0" w:color="auto"/>
      </w:divBdr>
    </w:div>
    <w:div w:id="75249249">
      <w:bodyDiv w:val="1"/>
      <w:marLeft w:val="0"/>
      <w:marRight w:val="0"/>
      <w:marTop w:val="0"/>
      <w:marBottom w:val="0"/>
      <w:divBdr>
        <w:top w:val="none" w:sz="0" w:space="0" w:color="auto"/>
        <w:left w:val="none" w:sz="0" w:space="0" w:color="auto"/>
        <w:bottom w:val="none" w:sz="0" w:space="0" w:color="auto"/>
        <w:right w:val="none" w:sz="0" w:space="0" w:color="auto"/>
      </w:divBdr>
    </w:div>
    <w:div w:id="75447528">
      <w:bodyDiv w:val="1"/>
      <w:marLeft w:val="0"/>
      <w:marRight w:val="0"/>
      <w:marTop w:val="0"/>
      <w:marBottom w:val="0"/>
      <w:divBdr>
        <w:top w:val="none" w:sz="0" w:space="0" w:color="auto"/>
        <w:left w:val="none" w:sz="0" w:space="0" w:color="auto"/>
        <w:bottom w:val="none" w:sz="0" w:space="0" w:color="auto"/>
        <w:right w:val="none" w:sz="0" w:space="0" w:color="auto"/>
      </w:divBdr>
    </w:div>
    <w:div w:id="75564703">
      <w:bodyDiv w:val="1"/>
      <w:marLeft w:val="0"/>
      <w:marRight w:val="0"/>
      <w:marTop w:val="0"/>
      <w:marBottom w:val="0"/>
      <w:divBdr>
        <w:top w:val="none" w:sz="0" w:space="0" w:color="auto"/>
        <w:left w:val="none" w:sz="0" w:space="0" w:color="auto"/>
        <w:bottom w:val="none" w:sz="0" w:space="0" w:color="auto"/>
        <w:right w:val="none" w:sz="0" w:space="0" w:color="auto"/>
      </w:divBdr>
    </w:div>
    <w:div w:id="75592777">
      <w:bodyDiv w:val="1"/>
      <w:marLeft w:val="0"/>
      <w:marRight w:val="0"/>
      <w:marTop w:val="0"/>
      <w:marBottom w:val="0"/>
      <w:divBdr>
        <w:top w:val="none" w:sz="0" w:space="0" w:color="auto"/>
        <w:left w:val="none" w:sz="0" w:space="0" w:color="auto"/>
        <w:bottom w:val="none" w:sz="0" w:space="0" w:color="auto"/>
        <w:right w:val="none" w:sz="0" w:space="0" w:color="auto"/>
      </w:divBdr>
    </w:div>
    <w:div w:id="75593852">
      <w:bodyDiv w:val="1"/>
      <w:marLeft w:val="0"/>
      <w:marRight w:val="0"/>
      <w:marTop w:val="0"/>
      <w:marBottom w:val="0"/>
      <w:divBdr>
        <w:top w:val="none" w:sz="0" w:space="0" w:color="auto"/>
        <w:left w:val="none" w:sz="0" w:space="0" w:color="auto"/>
        <w:bottom w:val="none" w:sz="0" w:space="0" w:color="auto"/>
        <w:right w:val="none" w:sz="0" w:space="0" w:color="auto"/>
      </w:divBdr>
    </w:div>
    <w:div w:id="75784294">
      <w:bodyDiv w:val="1"/>
      <w:marLeft w:val="0"/>
      <w:marRight w:val="0"/>
      <w:marTop w:val="0"/>
      <w:marBottom w:val="0"/>
      <w:divBdr>
        <w:top w:val="none" w:sz="0" w:space="0" w:color="auto"/>
        <w:left w:val="none" w:sz="0" w:space="0" w:color="auto"/>
        <w:bottom w:val="none" w:sz="0" w:space="0" w:color="auto"/>
        <w:right w:val="none" w:sz="0" w:space="0" w:color="auto"/>
      </w:divBdr>
    </w:div>
    <w:div w:id="75834115">
      <w:bodyDiv w:val="1"/>
      <w:marLeft w:val="0"/>
      <w:marRight w:val="0"/>
      <w:marTop w:val="0"/>
      <w:marBottom w:val="0"/>
      <w:divBdr>
        <w:top w:val="none" w:sz="0" w:space="0" w:color="auto"/>
        <w:left w:val="none" w:sz="0" w:space="0" w:color="auto"/>
        <w:bottom w:val="none" w:sz="0" w:space="0" w:color="auto"/>
        <w:right w:val="none" w:sz="0" w:space="0" w:color="auto"/>
      </w:divBdr>
    </w:div>
    <w:div w:id="75857601">
      <w:bodyDiv w:val="1"/>
      <w:marLeft w:val="0"/>
      <w:marRight w:val="0"/>
      <w:marTop w:val="0"/>
      <w:marBottom w:val="0"/>
      <w:divBdr>
        <w:top w:val="none" w:sz="0" w:space="0" w:color="auto"/>
        <w:left w:val="none" w:sz="0" w:space="0" w:color="auto"/>
        <w:bottom w:val="none" w:sz="0" w:space="0" w:color="auto"/>
        <w:right w:val="none" w:sz="0" w:space="0" w:color="auto"/>
      </w:divBdr>
    </w:div>
    <w:div w:id="75902946">
      <w:bodyDiv w:val="1"/>
      <w:marLeft w:val="0"/>
      <w:marRight w:val="0"/>
      <w:marTop w:val="0"/>
      <w:marBottom w:val="0"/>
      <w:divBdr>
        <w:top w:val="none" w:sz="0" w:space="0" w:color="auto"/>
        <w:left w:val="none" w:sz="0" w:space="0" w:color="auto"/>
        <w:bottom w:val="none" w:sz="0" w:space="0" w:color="auto"/>
        <w:right w:val="none" w:sz="0" w:space="0" w:color="auto"/>
      </w:divBdr>
    </w:div>
    <w:div w:id="75905085">
      <w:bodyDiv w:val="1"/>
      <w:marLeft w:val="0"/>
      <w:marRight w:val="0"/>
      <w:marTop w:val="0"/>
      <w:marBottom w:val="0"/>
      <w:divBdr>
        <w:top w:val="none" w:sz="0" w:space="0" w:color="auto"/>
        <w:left w:val="none" w:sz="0" w:space="0" w:color="auto"/>
        <w:bottom w:val="none" w:sz="0" w:space="0" w:color="auto"/>
        <w:right w:val="none" w:sz="0" w:space="0" w:color="auto"/>
      </w:divBdr>
    </w:div>
    <w:div w:id="75977919">
      <w:bodyDiv w:val="1"/>
      <w:marLeft w:val="0"/>
      <w:marRight w:val="0"/>
      <w:marTop w:val="0"/>
      <w:marBottom w:val="0"/>
      <w:divBdr>
        <w:top w:val="none" w:sz="0" w:space="0" w:color="auto"/>
        <w:left w:val="none" w:sz="0" w:space="0" w:color="auto"/>
        <w:bottom w:val="none" w:sz="0" w:space="0" w:color="auto"/>
        <w:right w:val="none" w:sz="0" w:space="0" w:color="auto"/>
      </w:divBdr>
    </w:div>
    <w:div w:id="76051724">
      <w:bodyDiv w:val="1"/>
      <w:marLeft w:val="0"/>
      <w:marRight w:val="0"/>
      <w:marTop w:val="0"/>
      <w:marBottom w:val="0"/>
      <w:divBdr>
        <w:top w:val="none" w:sz="0" w:space="0" w:color="auto"/>
        <w:left w:val="none" w:sz="0" w:space="0" w:color="auto"/>
        <w:bottom w:val="none" w:sz="0" w:space="0" w:color="auto"/>
        <w:right w:val="none" w:sz="0" w:space="0" w:color="auto"/>
      </w:divBdr>
    </w:div>
    <w:div w:id="76096048">
      <w:bodyDiv w:val="1"/>
      <w:marLeft w:val="0"/>
      <w:marRight w:val="0"/>
      <w:marTop w:val="0"/>
      <w:marBottom w:val="0"/>
      <w:divBdr>
        <w:top w:val="none" w:sz="0" w:space="0" w:color="auto"/>
        <w:left w:val="none" w:sz="0" w:space="0" w:color="auto"/>
        <w:bottom w:val="none" w:sz="0" w:space="0" w:color="auto"/>
        <w:right w:val="none" w:sz="0" w:space="0" w:color="auto"/>
      </w:divBdr>
    </w:div>
    <w:div w:id="76099565">
      <w:bodyDiv w:val="1"/>
      <w:marLeft w:val="0"/>
      <w:marRight w:val="0"/>
      <w:marTop w:val="0"/>
      <w:marBottom w:val="0"/>
      <w:divBdr>
        <w:top w:val="none" w:sz="0" w:space="0" w:color="auto"/>
        <w:left w:val="none" w:sz="0" w:space="0" w:color="auto"/>
        <w:bottom w:val="none" w:sz="0" w:space="0" w:color="auto"/>
        <w:right w:val="none" w:sz="0" w:space="0" w:color="auto"/>
      </w:divBdr>
    </w:div>
    <w:div w:id="76102532">
      <w:bodyDiv w:val="1"/>
      <w:marLeft w:val="0"/>
      <w:marRight w:val="0"/>
      <w:marTop w:val="0"/>
      <w:marBottom w:val="0"/>
      <w:divBdr>
        <w:top w:val="none" w:sz="0" w:space="0" w:color="auto"/>
        <w:left w:val="none" w:sz="0" w:space="0" w:color="auto"/>
        <w:bottom w:val="none" w:sz="0" w:space="0" w:color="auto"/>
        <w:right w:val="none" w:sz="0" w:space="0" w:color="auto"/>
      </w:divBdr>
    </w:div>
    <w:div w:id="76169641">
      <w:bodyDiv w:val="1"/>
      <w:marLeft w:val="0"/>
      <w:marRight w:val="0"/>
      <w:marTop w:val="0"/>
      <w:marBottom w:val="0"/>
      <w:divBdr>
        <w:top w:val="none" w:sz="0" w:space="0" w:color="auto"/>
        <w:left w:val="none" w:sz="0" w:space="0" w:color="auto"/>
        <w:bottom w:val="none" w:sz="0" w:space="0" w:color="auto"/>
        <w:right w:val="none" w:sz="0" w:space="0" w:color="auto"/>
      </w:divBdr>
    </w:div>
    <w:div w:id="76177478">
      <w:bodyDiv w:val="1"/>
      <w:marLeft w:val="0"/>
      <w:marRight w:val="0"/>
      <w:marTop w:val="0"/>
      <w:marBottom w:val="0"/>
      <w:divBdr>
        <w:top w:val="none" w:sz="0" w:space="0" w:color="auto"/>
        <w:left w:val="none" w:sz="0" w:space="0" w:color="auto"/>
        <w:bottom w:val="none" w:sz="0" w:space="0" w:color="auto"/>
        <w:right w:val="none" w:sz="0" w:space="0" w:color="auto"/>
      </w:divBdr>
    </w:div>
    <w:div w:id="76365746">
      <w:bodyDiv w:val="1"/>
      <w:marLeft w:val="0"/>
      <w:marRight w:val="0"/>
      <w:marTop w:val="0"/>
      <w:marBottom w:val="0"/>
      <w:divBdr>
        <w:top w:val="none" w:sz="0" w:space="0" w:color="auto"/>
        <w:left w:val="none" w:sz="0" w:space="0" w:color="auto"/>
        <w:bottom w:val="none" w:sz="0" w:space="0" w:color="auto"/>
        <w:right w:val="none" w:sz="0" w:space="0" w:color="auto"/>
      </w:divBdr>
    </w:div>
    <w:div w:id="76439860">
      <w:bodyDiv w:val="1"/>
      <w:marLeft w:val="0"/>
      <w:marRight w:val="0"/>
      <w:marTop w:val="0"/>
      <w:marBottom w:val="0"/>
      <w:divBdr>
        <w:top w:val="none" w:sz="0" w:space="0" w:color="auto"/>
        <w:left w:val="none" w:sz="0" w:space="0" w:color="auto"/>
        <w:bottom w:val="none" w:sz="0" w:space="0" w:color="auto"/>
        <w:right w:val="none" w:sz="0" w:space="0" w:color="auto"/>
      </w:divBdr>
    </w:div>
    <w:div w:id="76441430">
      <w:bodyDiv w:val="1"/>
      <w:marLeft w:val="0"/>
      <w:marRight w:val="0"/>
      <w:marTop w:val="0"/>
      <w:marBottom w:val="0"/>
      <w:divBdr>
        <w:top w:val="none" w:sz="0" w:space="0" w:color="auto"/>
        <w:left w:val="none" w:sz="0" w:space="0" w:color="auto"/>
        <w:bottom w:val="none" w:sz="0" w:space="0" w:color="auto"/>
        <w:right w:val="none" w:sz="0" w:space="0" w:color="auto"/>
      </w:divBdr>
    </w:div>
    <w:div w:id="76444215">
      <w:bodyDiv w:val="1"/>
      <w:marLeft w:val="0"/>
      <w:marRight w:val="0"/>
      <w:marTop w:val="0"/>
      <w:marBottom w:val="0"/>
      <w:divBdr>
        <w:top w:val="none" w:sz="0" w:space="0" w:color="auto"/>
        <w:left w:val="none" w:sz="0" w:space="0" w:color="auto"/>
        <w:bottom w:val="none" w:sz="0" w:space="0" w:color="auto"/>
        <w:right w:val="none" w:sz="0" w:space="0" w:color="auto"/>
      </w:divBdr>
    </w:div>
    <w:div w:id="76444382">
      <w:bodyDiv w:val="1"/>
      <w:marLeft w:val="0"/>
      <w:marRight w:val="0"/>
      <w:marTop w:val="0"/>
      <w:marBottom w:val="0"/>
      <w:divBdr>
        <w:top w:val="none" w:sz="0" w:space="0" w:color="auto"/>
        <w:left w:val="none" w:sz="0" w:space="0" w:color="auto"/>
        <w:bottom w:val="none" w:sz="0" w:space="0" w:color="auto"/>
        <w:right w:val="none" w:sz="0" w:space="0" w:color="auto"/>
      </w:divBdr>
    </w:div>
    <w:div w:id="76444487">
      <w:bodyDiv w:val="1"/>
      <w:marLeft w:val="0"/>
      <w:marRight w:val="0"/>
      <w:marTop w:val="0"/>
      <w:marBottom w:val="0"/>
      <w:divBdr>
        <w:top w:val="none" w:sz="0" w:space="0" w:color="auto"/>
        <w:left w:val="none" w:sz="0" w:space="0" w:color="auto"/>
        <w:bottom w:val="none" w:sz="0" w:space="0" w:color="auto"/>
        <w:right w:val="none" w:sz="0" w:space="0" w:color="auto"/>
      </w:divBdr>
    </w:div>
    <w:div w:id="76445225">
      <w:bodyDiv w:val="1"/>
      <w:marLeft w:val="0"/>
      <w:marRight w:val="0"/>
      <w:marTop w:val="0"/>
      <w:marBottom w:val="0"/>
      <w:divBdr>
        <w:top w:val="none" w:sz="0" w:space="0" w:color="auto"/>
        <w:left w:val="none" w:sz="0" w:space="0" w:color="auto"/>
        <w:bottom w:val="none" w:sz="0" w:space="0" w:color="auto"/>
        <w:right w:val="none" w:sz="0" w:space="0" w:color="auto"/>
      </w:divBdr>
    </w:div>
    <w:div w:id="76446950">
      <w:bodyDiv w:val="1"/>
      <w:marLeft w:val="0"/>
      <w:marRight w:val="0"/>
      <w:marTop w:val="0"/>
      <w:marBottom w:val="0"/>
      <w:divBdr>
        <w:top w:val="none" w:sz="0" w:space="0" w:color="auto"/>
        <w:left w:val="none" w:sz="0" w:space="0" w:color="auto"/>
        <w:bottom w:val="none" w:sz="0" w:space="0" w:color="auto"/>
        <w:right w:val="none" w:sz="0" w:space="0" w:color="auto"/>
      </w:divBdr>
    </w:div>
    <w:div w:id="76487562">
      <w:bodyDiv w:val="1"/>
      <w:marLeft w:val="0"/>
      <w:marRight w:val="0"/>
      <w:marTop w:val="0"/>
      <w:marBottom w:val="0"/>
      <w:divBdr>
        <w:top w:val="none" w:sz="0" w:space="0" w:color="auto"/>
        <w:left w:val="none" w:sz="0" w:space="0" w:color="auto"/>
        <w:bottom w:val="none" w:sz="0" w:space="0" w:color="auto"/>
        <w:right w:val="none" w:sz="0" w:space="0" w:color="auto"/>
      </w:divBdr>
    </w:div>
    <w:div w:id="76631629">
      <w:bodyDiv w:val="1"/>
      <w:marLeft w:val="0"/>
      <w:marRight w:val="0"/>
      <w:marTop w:val="0"/>
      <w:marBottom w:val="0"/>
      <w:divBdr>
        <w:top w:val="none" w:sz="0" w:space="0" w:color="auto"/>
        <w:left w:val="none" w:sz="0" w:space="0" w:color="auto"/>
        <w:bottom w:val="none" w:sz="0" w:space="0" w:color="auto"/>
        <w:right w:val="none" w:sz="0" w:space="0" w:color="auto"/>
      </w:divBdr>
    </w:div>
    <w:div w:id="76677657">
      <w:bodyDiv w:val="1"/>
      <w:marLeft w:val="0"/>
      <w:marRight w:val="0"/>
      <w:marTop w:val="0"/>
      <w:marBottom w:val="0"/>
      <w:divBdr>
        <w:top w:val="none" w:sz="0" w:space="0" w:color="auto"/>
        <w:left w:val="none" w:sz="0" w:space="0" w:color="auto"/>
        <w:bottom w:val="none" w:sz="0" w:space="0" w:color="auto"/>
        <w:right w:val="none" w:sz="0" w:space="0" w:color="auto"/>
      </w:divBdr>
    </w:div>
    <w:div w:id="76749437">
      <w:bodyDiv w:val="1"/>
      <w:marLeft w:val="0"/>
      <w:marRight w:val="0"/>
      <w:marTop w:val="0"/>
      <w:marBottom w:val="0"/>
      <w:divBdr>
        <w:top w:val="none" w:sz="0" w:space="0" w:color="auto"/>
        <w:left w:val="none" w:sz="0" w:space="0" w:color="auto"/>
        <w:bottom w:val="none" w:sz="0" w:space="0" w:color="auto"/>
        <w:right w:val="none" w:sz="0" w:space="0" w:color="auto"/>
      </w:divBdr>
    </w:div>
    <w:div w:id="76757048">
      <w:bodyDiv w:val="1"/>
      <w:marLeft w:val="0"/>
      <w:marRight w:val="0"/>
      <w:marTop w:val="0"/>
      <w:marBottom w:val="0"/>
      <w:divBdr>
        <w:top w:val="none" w:sz="0" w:space="0" w:color="auto"/>
        <w:left w:val="none" w:sz="0" w:space="0" w:color="auto"/>
        <w:bottom w:val="none" w:sz="0" w:space="0" w:color="auto"/>
        <w:right w:val="none" w:sz="0" w:space="0" w:color="auto"/>
      </w:divBdr>
    </w:div>
    <w:div w:id="76903883">
      <w:bodyDiv w:val="1"/>
      <w:marLeft w:val="0"/>
      <w:marRight w:val="0"/>
      <w:marTop w:val="0"/>
      <w:marBottom w:val="0"/>
      <w:divBdr>
        <w:top w:val="none" w:sz="0" w:space="0" w:color="auto"/>
        <w:left w:val="none" w:sz="0" w:space="0" w:color="auto"/>
        <w:bottom w:val="none" w:sz="0" w:space="0" w:color="auto"/>
        <w:right w:val="none" w:sz="0" w:space="0" w:color="auto"/>
      </w:divBdr>
    </w:div>
    <w:div w:id="76942173">
      <w:bodyDiv w:val="1"/>
      <w:marLeft w:val="0"/>
      <w:marRight w:val="0"/>
      <w:marTop w:val="0"/>
      <w:marBottom w:val="0"/>
      <w:divBdr>
        <w:top w:val="none" w:sz="0" w:space="0" w:color="auto"/>
        <w:left w:val="none" w:sz="0" w:space="0" w:color="auto"/>
        <w:bottom w:val="none" w:sz="0" w:space="0" w:color="auto"/>
        <w:right w:val="none" w:sz="0" w:space="0" w:color="auto"/>
      </w:divBdr>
    </w:div>
    <w:div w:id="76944453">
      <w:bodyDiv w:val="1"/>
      <w:marLeft w:val="0"/>
      <w:marRight w:val="0"/>
      <w:marTop w:val="0"/>
      <w:marBottom w:val="0"/>
      <w:divBdr>
        <w:top w:val="none" w:sz="0" w:space="0" w:color="auto"/>
        <w:left w:val="none" w:sz="0" w:space="0" w:color="auto"/>
        <w:bottom w:val="none" w:sz="0" w:space="0" w:color="auto"/>
        <w:right w:val="none" w:sz="0" w:space="0" w:color="auto"/>
      </w:divBdr>
    </w:div>
    <w:div w:id="76949597">
      <w:bodyDiv w:val="1"/>
      <w:marLeft w:val="0"/>
      <w:marRight w:val="0"/>
      <w:marTop w:val="0"/>
      <w:marBottom w:val="0"/>
      <w:divBdr>
        <w:top w:val="none" w:sz="0" w:space="0" w:color="auto"/>
        <w:left w:val="none" w:sz="0" w:space="0" w:color="auto"/>
        <w:bottom w:val="none" w:sz="0" w:space="0" w:color="auto"/>
        <w:right w:val="none" w:sz="0" w:space="0" w:color="auto"/>
      </w:divBdr>
    </w:div>
    <w:div w:id="76951595">
      <w:bodyDiv w:val="1"/>
      <w:marLeft w:val="0"/>
      <w:marRight w:val="0"/>
      <w:marTop w:val="0"/>
      <w:marBottom w:val="0"/>
      <w:divBdr>
        <w:top w:val="none" w:sz="0" w:space="0" w:color="auto"/>
        <w:left w:val="none" w:sz="0" w:space="0" w:color="auto"/>
        <w:bottom w:val="none" w:sz="0" w:space="0" w:color="auto"/>
        <w:right w:val="none" w:sz="0" w:space="0" w:color="auto"/>
      </w:divBdr>
    </w:div>
    <w:div w:id="77025614">
      <w:bodyDiv w:val="1"/>
      <w:marLeft w:val="0"/>
      <w:marRight w:val="0"/>
      <w:marTop w:val="0"/>
      <w:marBottom w:val="0"/>
      <w:divBdr>
        <w:top w:val="none" w:sz="0" w:space="0" w:color="auto"/>
        <w:left w:val="none" w:sz="0" w:space="0" w:color="auto"/>
        <w:bottom w:val="none" w:sz="0" w:space="0" w:color="auto"/>
        <w:right w:val="none" w:sz="0" w:space="0" w:color="auto"/>
      </w:divBdr>
    </w:div>
    <w:div w:id="77094612">
      <w:bodyDiv w:val="1"/>
      <w:marLeft w:val="0"/>
      <w:marRight w:val="0"/>
      <w:marTop w:val="0"/>
      <w:marBottom w:val="0"/>
      <w:divBdr>
        <w:top w:val="none" w:sz="0" w:space="0" w:color="auto"/>
        <w:left w:val="none" w:sz="0" w:space="0" w:color="auto"/>
        <w:bottom w:val="none" w:sz="0" w:space="0" w:color="auto"/>
        <w:right w:val="none" w:sz="0" w:space="0" w:color="auto"/>
      </w:divBdr>
    </w:div>
    <w:div w:id="77213889">
      <w:bodyDiv w:val="1"/>
      <w:marLeft w:val="0"/>
      <w:marRight w:val="0"/>
      <w:marTop w:val="0"/>
      <w:marBottom w:val="0"/>
      <w:divBdr>
        <w:top w:val="none" w:sz="0" w:space="0" w:color="auto"/>
        <w:left w:val="none" w:sz="0" w:space="0" w:color="auto"/>
        <w:bottom w:val="none" w:sz="0" w:space="0" w:color="auto"/>
        <w:right w:val="none" w:sz="0" w:space="0" w:color="auto"/>
      </w:divBdr>
    </w:div>
    <w:div w:id="77217383">
      <w:bodyDiv w:val="1"/>
      <w:marLeft w:val="0"/>
      <w:marRight w:val="0"/>
      <w:marTop w:val="0"/>
      <w:marBottom w:val="0"/>
      <w:divBdr>
        <w:top w:val="none" w:sz="0" w:space="0" w:color="auto"/>
        <w:left w:val="none" w:sz="0" w:space="0" w:color="auto"/>
        <w:bottom w:val="none" w:sz="0" w:space="0" w:color="auto"/>
        <w:right w:val="none" w:sz="0" w:space="0" w:color="auto"/>
      </w:divBdr>
    </w:div>
    <w:div w:id="77218431">
      <w:bodyDiv w:val="1"/>
      <w:marLeft w:val="0"/>
      <w:marRight w:val="0"/>
      <w:marTop w:val="0"/>
      <w:marBottom w:val="0"/>
      <w:divBdr>
        <w:top w:val="none" w:sz="0" w:space="0" w:color="auto"/>
        <w:left w:val="none" w:sz="0" w:space="0" w:color="auto"/>
        <w:bottom w:val="none" w:sz="0" w:space="0" w:color="auto"/>
        <w:right w:val="none" w:sz="0" w:space="0" w:color="auto"/>
      </w:divBdr>
    </w:div>
    <w:div w:id="77219011">
      <w:bodyDiv w:val="1"/>
      <w:marLeft w:val="0"/>
      <w:marRight w:val="0"/>
      <w:marTop w:val="0"/>
      <w:marBottom w:val="0"/>
      <w:divBdr>
        <w:top w:val="none" w:sz="0" w:space="0" w:color="auto"/>
        <w:left w:val="none" w:sz="0" w:space="0" w:color="auto"/>
        <w:bottom w:val="none" w:sz="0" w:space="0" w:color="auto"/>
        <w:right w:val="none" w:sz="0" w:space="0" w:color="auto"/>
      </w:divBdr>
    </w:div>
    <w:div w:id="77289754">
      <w:bodyDiv w:val="1"/>
      <w:marLeft w:val="0"/>
      <w:marRight w:val="0"/>
      <w:marTop w:val="0"/>
      <w:marBottom w:val="0"/>
      <w:divBdr>
        <w:top w:val="none" w:sz="0" w:space="0" w:color="auto"/>
        <w:left w:val="none" w:sz="0" w:space="0" w:color="auto"/>
        <w:bottom w:val="none" w:sz="0" w:space="0" w:color="auto"/>
        <w:right w:val="none" w:sz="0" w:space="0" w:color="auto"/>
      </w:divBdr>
    </w:div>
    <w:div w:id="77404509">
      <w:bodyDiv w:val="1"/>
      <w:marLeft w:val="0"/>
      <w:marRight w:val="0"/>
      <w:marTop w:val="0"/>
      <w:marBottom w:val="0"/>
      <w:divBdr>
        <w:top w:val="none" w:sz="0" w:space="0" w:color="auto"/>
        <w:left w:val="none" w:sz="0" w:space="0" w:color="auto"/>
        <w:bottom w:val="none" w:sz="0" w:space="0" w:color="auto"/>
        <w:right w:val="none" w:sz="0" w:space="0" w:color="auto"/>
      </w:divBdr>
    </w:div>
    <w:div w:id="77598700">
      <w:bodyDiv w:val="1"/>
      <w:marLeft w:val="0"/>
      <w:marRight w:val="0"/>
      <w:marTop w:val="0"/>
      <w:marBottom w:val="0"/>
      <w:divBdr>
        <w:top w:val="none" w:sz="0" w:space="0" w:color="auto"/>
        <w:left w:val="none" w:sz="0" w:space="0" w:color="auto"/>
        <w:bottom w:val="none" w:sz="0" w:space="0" w:color="auto"/>
        <w:right w:val="none" w:sz="0" w:space="0" w:color="auto"/>
      </w:divBdr>
    </w:div>
    <w:div w:id="77601553">
      <w:bodyDiv w:val="1"/>
      <w:marLeft w:val="0"/>
      <w:marRight w:val="0"/>
      <w:marTop w:val="0"/>
      <w:marBottom w:val="0"/>
      <w:divBdr>
        <w:top w:val="none" w:sz="0" w:space="0" w:color="auto"/>
        <w:left w:val="none" w:sz="0" w:space="0" w:color="auto"/>
        <w:bottom w:val="none" w:sz="0" w:space="0" w:color="auto"/>
        <w:right w:val="none" w:sz="0" w:space="0" w:color="auto"/>
      </w:divBdr>
    </w:div>
    <w:div w:id="77606934">
      <w:bodyDiv w:val="1"/>
      <w:marLeft w:val="0"/>
      <w:marRight w:val="0"/>
      <w:marTop w:val="0"/>
      <w:marBottom w:val="0"/>
      <w:divBdr>
        <w:top w:val="none" w:sz="0" w:space="0" w:color="auto"/>
        <w:left w:val="none" w:sz="0" w:space="0" w:color="auto"/>
        <w:bottom w:val="none" w:sz="0" w:space="0" w:color="auto"/>
        <w:right w:val="none" w:sz="0" w:space="0" w:color="auto"/>
      </w:divBdr>
    </w:div>
    <w:div w:id="77794371">
      <w:bodyDiv w:val="1"/>
      <w:marLeft w:val="0"/>
      <w:marRight w:val="0"/>
      <w:marTop w:val="0"/>
      <w:marBottom w:val="0"/>
      <w:divBdr>
        <w:top w:val="none" w:sz="0" w:space="0" w:color="auto"/>
        <w:left w:val="none" w:sz="0" w:space="0" w:color="auto"/>
        <w:bottom w:val="none" w:sz="0" w:space="0" w:color="auto"/>
        <w:right w:val="none" w:sz="0" w:space="0" w:color="auto"/>
      </w:divBdr>
    </w:div>
    <w:div w:id="77868556">
      <w:bodyDiv w:val="1"/>
      <w:marLeft w:val="0"/>
      <w:marRight w:val="0"/>
      <w:marTop w:val="0"/>
      <w:marBottom w:val="0"/>
      <w:divBdr>
        <w:top w:val="none" w:sz="0" w:space="0" w:color="auto"/>
        <w:left w:val="none" w:sz="0" w:space="0" w:color="auto"/>
        <w:bottom w:val="none" w:sz="0" w:space="0" w:color="auto"/>
        <w:right w:val="none" w:sz="0" w:space="0" w:color="auto"/>
      </w:divBdr>
    </w:div>
    <w:div w:id="77874318">
      <w:bodyDiv w:val="1"/>
      <w:marLeft w:val="0"/>
      <w:marRight w:val="0"/>
      <w:marTop w:val="0"/>
      <w:marBottom w:val="0"/>
      <w:divBdr>
        <w:top w:val="none" w:sz="0" w:space="0" w:color="auto"/>
        <w:left w:val="none" w:sz="0" w:space="0" w:color="auto"/>
        <w:bottom w:val="none" w:sz="0" w:space="0" w:color="auto"/>
        <w:right w:val="none" w:sz="0" w:space="0" w:color="auto"/>
      </w:divBdr>
    </w:div>
    <w:div w:id="77945394">
      <w:bodyDiv w:val="1"/>
      <w:marLeft w:val="0"/>
      <w:marRight w:val="0"/>
      <w:marTop w:val="0"/>
      <w:marBottom w:val="0"/>
      <w:divBdr>
        <w:top w:val="none" w:sz="0" w:space="0" w:color="auto"/>
        <w:left w:val="none" w:sz="0" w:space="0" w:color="auto"/>
        <w:bottom w:val="none" w:sz="0" w:space="0" w:color="auto"/>
        <w:right w:val="none" w:sz="0" w:space="0" w:color="auto"/>
      </w:divBdr>
    </w:div>
    <w:div w:id="77945578">
      <w:bodyDiv w:val="1"/>
      <w:marLeft w:val="0"/>
      <w:marRight w:val="0"/>
      <w:marTop w:val="0"/>
      <w:marBottom w:val="0"/>
      <w:divBdr>
        <w:top w:val="none" w:sz="0" w:space="0" w:color="auto"/>
        <w:left w:val="none" w:sz="0" w:space="0" w:color="auto"/>
        <w:bottom w:val="none" w:sz="0" w:space="0" w:color="auto"/>
        <w:right w:val="none" w:sz="0" w:space="0" w:color="auto"/>
      </w:divBdr>
    </w:div>
    <w:div w:id="77947691">
      <w:bodyDiv w:val="1"/>
      <w:marLeft w:val="0"/>
      <w:marRight w:val="0"/>
      <w:marTop w:val="0"/>
      <w:marBottom w:val="0"/>
      <w:divBdr>
        <w:top w:val="none" w:sz="0" w:space="0" w:color="auto"/>
        <w:left w:val="none" w:sz="0" w:space="0" w:color="auto"/>
        <w:bottom w:val="none" w:sz="0" w:space="0" w:color="auto"/>
        <w:right w:val="none" w:sz="0" w:space="0" w:color="auto"/>
      </w:divBdr>
    </w:div>
    <w:div w:id="77949202">
      <w:bodyDiv w:val="1"/>
      <w:marLeft w:val="0"/>
      <w:marRight w:val="0"/>
      <w:marTop w:val="0"/>
      <w:marBottom w:val="0"/>
      <w:divBdr>
        <w:top w:val="none" w:sz="0" w:space="0" w:color="auto"/>
        <w:left w:val="none" w:sz="0" w:space="0" w:color="auto"/>
        <w:bottom w:val="none" w:sz="0" w:space="0" w:color="auto"/>
        <w:right w:val="none" w:sz="0" w:space="0" w:color="auto"/>
      </w:divBdr>
    </w:div>
    <w:div w:id="78062894">
      <w:bodyDiv w:val="1"/>
      <w:marLeft w:val="0"/>
      <w:marRight w:val="0"/>
      <w:marTop w:val="0"/>
      <w:marBottom w:val="0"/>
      <w:divBdr>
        <w:top w:val="none" w:sz="0" w:space="0" w:color="auto"/>
        <w:left w:val="none" w:sz="0" w:space="0" w:color="auto"/>
        <w:bottom w:val="none" w:sz="0" w:space="0" w:color="auto"/>
        <w:right w:val="none" w:sz="0" w:space="0" w:color="auto"/>
      </w:divBdr>
    </w:div>
    <w:div w:id="78066822">
      <w:bodyDiv w:val="1"/>
      <w:marLeft w:val="0"/>
      <w:marRight w:val="0"/>
      <w:marTop w:val="0"/>
      <w:marBottom w:val="0"/>
      <w:divBdr>
        <w:top w:val="none" w:sz="0" w:space="0" w:color="auto"/>
        <w:left w:val="none" w:sz="0" w:space="0" w:color="auto"/>
        <w:bottom w:val="none" w:sz="0" w:space="0" w:color="auto"/>
        <w:right w:val="none" w:sz="0" w:space="0" w:color="auto"/>
      </w:divBdr>
    </w:div>
    <w:div w:id="78137447">
      <w:bodyDiv w:val="1"/>
      <w:marLeft w:val="0"/>
      <w:marRight w:val="0"/>
      <w:marTop w:val="0"/>
      <w:marBottom w:val="0"/>
      <w:divBdr>
        <w:top w:val="none" w:sz="0" w:space="0" w:color="auto"/>
        <w:left w:val="none" w:sz="0" w:space="0" w:color="auto"/>
        <w:bottom w:val="none" w:sz="0" w:space="0" w:color="auto"/>
        <w:right w:val="none" w:sz="0" w:space="0" w:color="auto"/>
      </w:divBdr>
    </w:div>
    <w:div w:id="78139185">
      <w:bodyDiv w:val="1"/>
      <w:marLeft w:val="0"/>
      <w:marRight w:val="0"/>
      <w:marTop w:val="0"/>
      <w:marBottom w:val="0"/>
      <w:divBdr>
        <w:top w:val="none" w:sz="0" w:space="0" w:color="auto"/>
        <w:left w:val="none" w:sz="0" w:space="0" w:color="auto"/>
        <w:bottom w:val="none" w:sz="0" w:space="0" w:color="auto"/>
        <w:right w:val="none" w:sz="0" w:space="0" w:color="auto"/>
      </w:divBdr>
    </w:div>
    <w:div w:id="78140229">
      <w:bodyDiv w:val="1"/>
      <w:marLeft w:val="0"/>
      <w:marRight w:val="0"/>
      <w:marTop w:val="0"/>
      <w:marBottom w:val="0"/>
      <w:divBdr>
        <w:top w:val="none" w:sz="0" w:space="0" w:color="auto"/>
        <w:left w:val="none" w:sz="0" w:space="0" w:color="auto"/>
        <w:bottom w:val="none" w:sz="0" w:space="0" w:color="auto"/>
        <w:right w:val="none" w:sz="0" w:space="0" w:color="auto"/>
      </w:divBdr>
    </w:div>
    <w:div w:id="78214759">
      <w:bodyDiv w:val="1"/>
      <w:marLeft w:val="0"/>
      <w:marRight w:val="0"/>
      <w:marTop w:val="0"/>
      <w:marBottom w:val="0"/>
      <w:divBdr>
        <w:top w:val="none" w:sz="0" w:space="0" w:color="auto"/>
        <w:left w:val="none" w:sz="0" w:space="0" w:color="auto"/>
        <w:bottom w:val="none" w:sz="0" w:space="0" w:color="auto"/>
        <w:right w:val="none" w:sz="0" w:space="0" w:color="auto"/>
      </w:divBdr>
    </w:div>
    <w:div w:id="78406572">
      <w:bodyDiv w:val="1"/>
      <w:marLeft w:val="0"/>
      <w:marRight w:val="0"/>
      <w:marTop w:val="0"/>
      <w:marBottom w:val="0"/>
      <w:divBdr>
        <w:top w:val="none" w:sz="0" w:space="0" w:color="auto"/>
        <w:left w:val="none" w:sz="0" w:space="0" w:color="auto"/>
        <w:bottom w:val="none" w:sz="0" w:space="0" w:color="auto"/>
        <w:right w:val="none" w:sz="0" w:space="0" w:color="auto"/>
      </w:divBdr>
    </w:div>
    <w:div w:id="78715312">
      <w:bodyDiv w:val="1"/>
      <w:marLeft w:val="0"/>
      <w:marRight w:val="0"/>
      <w:marTop w:val="0"/>
      <w:marBottom w:val="0"/>
      <w:divBdr>
        <w:top w:val="none" w:sz="0" w:space="0" w:color="auto"/>
        <w:left w:val="none" w:sz="0" w:space="0" w:color="auto"/>
        <w:bottom w:val="none" w:sz="0" w:space="0" w:color="auto"/>
        <w:right w:val="none" w:sz="0" w:space="0" w:color="auto"/>
      </w:divBdr>
    </w:div>
    <w:div w:id="78717445">
      <w:bodyDiv w:val="1"/>
      <w:marLeft w:val="0"/>
      <w:marRight w:val="0"/>
      <w:marTop w:val="0"/>
      <w:marBottom w:val="0"/>
      <w:divBdr>
        <w:top w:val="none" w:sz="0" w:space="0" w:color="auto"/>
        <w:left w:val="none" w:sz="0" w:space="0" w:color="auto"/>
        <w:bottom w:val="none" w:sz="0" w:space="0" w:color="auto"/>
        <w:right w:val="none" w:sz="0" w:space="0" w:color="auto"/>
      </w:divBdr>
    </w:div>
    <w:div w:id="78722651">
      <w:bodyDiv w:val="1"/>
      <w:marLeft w:val="0"/>
      <w:marRight w:val="0"/>
      <w:marTop w:val="0"/>
      <w:marBottom w:val="0"/>
      <w:divBdr>
        <w:top w:val="none" w:sz="0" w:space="0" w:color="auto"/>
        <w:left w:val="none" w:sz="0" w:space="0" w:color="auto"/>
        <w:bottom w:val="none" w:sz="0" w:space="0" w:color="auto"/>
        <w:right w:val="none" w:sz="0" w:space="0" w:color="auto"/>
      </w:divBdr>
    </w:div>
    <w:div w:id="78908881">
      <w:bodyDiv w:val="1"/>
      <w:marLeft w:val="0"/>
      <w:marRight w:val="0"/>
      <w:marTop w:val="0"/>
      <w:marBottom w:val="0"/>
      <w:divBdr>
        <w:top w:val="none" w:sz="0" w:space="0" w:color="auto"/>
        <w:left w:val="none" w:sz="0" w:space="0" w:color="auto"/>
        <w:bottom w:val="none" w:sz="0" w:space="0" w:color="auto"/>
        <w:right w:val="none" w:sz="0" w:space="0" w:color="auto"/>
      </w:divBdr>
    </w:div>
    <w:div w:id="78912533">
      <w:bodyDiv w:val="1"/>
      <w:marLeft w:val="0"/>
      <w:marRight w:val="0"/>
      <w:marTop w:val="0"/>
      <w:marBottom w:val="0"/>
      <w:divBdr>
        <w:top w:val="none" w:sz="0" w:space="0" w:color="auto"/>
        <w:left w:val="none" w:sz="0" w:space="0" w:color="auto"/>
        <w:bottom w:val="none" w:sz="0" w:space="0" w:color="auto"/>
        <w:right w:val="none" w:sz="0" w:space="0" w:color="auto"/>
      </w:divBdr>
    </w:div>
    <w:div w:id="78914829">
      <w:bodyDiv w:val="1"/>
      <w:marLeft w:val="0"/>
      <w:marRight w:val="0"/>
      <w:marTop w:val="0"/>
      <w:marBottom w:val="0"/>
      <w:divBdr>
        <w:top w:val="none" w:sz="0" w:space="0" w:color="auto"/>
        <w:left w:val="none" w:sz="0" w:space="0" w:color="auto"/>
        <w:bottom w:val="none" w:sz="0" w:space="0" w:color="auto"/>
        <w:right w:val="none" w:sz="0" w:space="0" w:color="auto"/>
      </w:divBdr>
    </w:div>
    <w:div w:id="78986022">
      <w:bodyDiv w:val="1"/>
      <w:marLeft w:val="0"/>
      <w:marRight w:val="0"/>
      <w:marTop w:val="0"/>
      <w:marBottom w:val="0"/>
      <w:divBdr>
        <w:top w:val="none" w:sz="0" w:space="0" w:color="auto"/>
        <w:left w:val="none" w:sz="0" w:space="0" w:color="auto"/>
        <w:bottom w:val="none" w:sz="0" w:space="0" w:color="auto"/>
        <w:right w:val="none" w:sz="0" w:space="0" w:color="auto"/>
      </w:divBdr>
    </w:div>
    <w:div w:id="78986192">
      <w:bodyDiv w:val="1"/>
      <w:marLeft w:val="0"/>
      <w:marRight w:val="0"/>
      <w:marTop w:val="0"/>
      <w:marBottom w:val="0"/>
      <w:divBdr>
        <w:top w:val="none" w:sz="0" w:space="0" w:color="auto"/>
        <w:left w:val="none" w:sz="0" w:space="0" w:color="auto"/>
        <w:bottom w:val="none" w:sz="0" w:space="0" w:color="auto"/>
        <w:right w:val="none" w:sz="0" w:space="0" w:color="auto"/>
      </w:divBdr>
    </w:div>
    <w:div w:id="78991528">
      <w:bodyDiv w:val="1"/>
      <w:marLeft w:val="0"/>
      <w:marRight w:val="0"/>
      <w:marTop w:val="0"/>
      <w:marBottom w:val="0"/>
      <w:divBdr>
        <w:top w:val="none" w:sz="0" w:space="0" w:color="auto"/>
        <w:left w:val="none" w:sz="0" w:space="0" w:color="auto"/>
        <w:bottom w:val="none" w:sz="0" w:space="0" w:color="auto"/>
        <w:right w:val="none" w:sz="0" w:space="0" w:color="auto"/>
      </w:divBdr>
    </w:div>
    <w:div w:id="79059343">
      <w:bodyDiv w:val="1"/>
      <w:marLeft w:val="0"/>
      <w:marRight w:val="0"/>
      <w:marTop w:val="0"/>
      <w:marBottom w:val="0"/>
      <w:divBdr>
        <w:top w:val="none" w:sz="0" w:space="0" w:color="auto"/>
        <w:left w:val="none" w:sz="0" w:space="0" w:color="auto"/>
        <w:bottom w:val="none" w:sz="0" w:space="0" w:color="auto"/>
        <w:right w:val="none" w:sz="0" w:space="0" w:color="auto"/>
      </w:divBdr>
    </w:div>
    <w:div w:id="79065751">
      <w:bodyDiv w:val="1"/>
      <w:marLeft w:val="0"/>
      <w:marRight w:val="0"/>
      <w:marTop w:val="0"/>
      <w:marBottom w:val="0"/>
      <w:divBdr>
        <w:top w:val="none" w:sz="0" w:space="0" w:color="auto"/>
        <w:left w:val="none" w:sz="0" w:space="0" w:color="auto"/>
        <w:bottom w:val="none" w:sz="0" w:space="0" w:color="auto"/>
        <w:right w:val="none" w:sz="0" w:space="0" w:color="auto"/>
      </w:divBdr>
    </w:div>
    <w:div w:id="79179197">
      <w:bodyDiv w:val="1"/>
      <w:marLeft w:val="0"/>
      <w:marRight w:val="0"/>
      <w:marTop w:val="0"/>
      <w:marBottom w:val="0"/>
      <w:divBdr>
        <w:top w:val="none" w:sz="0" w:space="0" w:color="auto"/>
        <w:left w:val="none" w:sz="0" w:space="0" w:color="auto"/>
        <w:bottom w:val="none" w:sz="0" w:space="0" w:color="auto"/>
        <w:right w:val="none" w:sz="0" w:space="0" w:color="auto"/>
      </w:divBdr>
    </w:div>
    <w:div w:id="79257143">
      <w:bodyDiv w:val="1"/>
      <w:marLeft w:val="0"/>
      <w:marRight w:val="0"/>
      <w:marTop w:val="0"/>
      <w:marBottom w:val="0"/>
      <w:divBdr>
        <w:top w:val="none" w:sz="0" w:space="0" w:color="auto"/>
        <w:left w:val="none" w:sz="0" w:space="0" w:color="auto"/>
        <w:bottom w:val="none" w:sz="0" w:space="0" w:color="auto"/>
        <w:right w:val="none" w:sz="0" w:space="0" w:color="auto"/>
      </w:divBdr>
    </w:div>
    <w:div w:id="79373638">
      <w:bodyDiv w:val="1"/>
      <w:marLeft w:val="0"/>
      <w:marRight w:val="0"/>
      <w:marTop w:val="0"/>
      <w:marBottom w:val="0"/>
      <w:divBdr>
        <w:top w:val="none" w:sz="0" w:space="0" w:color="auto"/>
        <w:left w:val="none" w:sz="0" w:space="0" w:color="auto"/>
        <w:bottom w:val="none" w:sz="0" w:space="0" w:color="auto"/>
        <w:right w:val="none" w:sz="0" w:space="0" w:color="auto"/>
      </w:divBdr>
    </w:div>
    <w:div w:id="79379386">
      <w:bodyDiv w:val="1"/>
      <w:marLeft w:val="0"/>
      <w:marRight w:val="0"/>
      <w:marTop w:val="0"/>
      <w:marBottom w:val="0"/>
      <w:divBdr>
        <w:top w:val="none" w:sz="0" w:space="0" w:color="auto"/>
        <w:left w:val="none" w:sz="0" w:space="0" w:color="auto"/>
        <w:bottom w:val="none" w:sz="0" w:space="0" w:color="auto"/>
        <w:right w:val="none" w:sz="0" w:space="0" w:color="auto"/>
      </w:divBdr>
    </w:div>
    <w:div w:id="79446104">
      <w:bodyDiv w:val="1"/>
      <w:marLeft w:val="0"/>
      <w:marRight w:val="0"/>
      <w:marTop w:val="0"/>
      <w:marBottom w:val="0"/>
      <w:divBdr>
        <w:top w:val="none" w:sz="0" w:space="0" w:color="auto"/>
        <w:left w:val="none" w:sz="0" w:space="0" w:color="auto"/>
        <w:bottom w:val="none" w:sz="0" w:space="0" w:color="auto"/>
        <w:right w:val="none" w:sz="0" w:space="0" w:color="auto"/>
      </w:divBdr>
    </w:div>
    <w:div w:id="79447068">
      <w:bodyDiv w:val="1"/>
      <w:marLeft w:val="0"/>
      <w:marRight w:val="0"/>
      <w:marTop w:val="0"/>
      <w:marBottom w:val="0"/>
      <w:divBdr>
        <w:top w:val="none" w:sz="0" w:space="0" w:color="auto"/>
        <w:left w:val="none" w:sz="0" w:space="0" w:color="auto"/>
        <w:bottom w:val="none" w:sz="0" w:space="0" w:color="auto"/>
        <w:right w:val="none" w:sz="0" w:space="0" w:color="auto"/>
      </w:divBdr>
    </w:div>
    <w:div w:id="79714057">
      <w:bodyDiv w:val="1"/>
      <w:marLeft w:val="0"/>
      <w:marRight w:val="0"/>
      <w:marTop w:val="0"/>
      <w:marBottom w:val="0"/>
      <w:divBdr>
        <w:top w:val="none" w:sz="0" w:space="0" w:color="auto"/>
        <w:left w:val="none" w:sz="0" w:space="0" w:color="auto"/>
        <w:bottom w:val="none" w:sz="0" w:space="0" w:color="auto"/>
        <w:right w:val="none" w:sz="0" w:space="0" w:color="auto"/>
      </w:divBdr>
    </w:div>
    <w:div w:id="79757338">
      <w:bodyDiv w:val="1"/>
      <w:marLeft w:val="0"/>
      <w:marRight w:val="0"/>
      <w:marTop w:val="0"/>
      <w:marBottom w:val="0"/>
      <w:divBdr>
        <w:top w:val="none" w:sz="0" w:space="0" w:color="auto"/>
        <w:left w:val="none" w:sz="0" w:space="0" w:color="auto"/>
        <w:bottom w:val="none" w:sz="0" w:space="0" w:color="auto"/>
        <w:right w:val="none" w:sz="0" w:space="0" w:color="auto"/>
      </w:divBdr>
    </w:div>
    <w:div w:id="79764139">
      <w:bodyDiv w:val="1"/>
      <w:marLeft w:val="0"/>
      <w:marRight w:val="0"/>
      <w:marTop w:val="0"/>
      <w:marBottom w:val="0"/>
      <w:divBdr>
        <w:top w:val="none" w:sz="0" w:space="0" w:color="auto"/>
        <w:left w:val="none" w:sz="0" w:space="0" w:color="auto"/>
        <w:bottom w:val="none" w:sz="0" w:space="0" w:color="auto"/>
        <w:right w:val="none" w:sz="0" w:space="0" w:color="auto"/>
      </w:divBdr>
    </w:div>
    <w:div w:id="79914058">
      <w:bodyDiv w:val="1"/>
      <w:marLeft w:val="0"/>
      <w:marRight w:val="0"/>
      <w:marTop w:val="0"/>
      <w:marBottom w:val="0"/>
      <w:divBdr>
        <w:top w:val="none" w:sz="0" w:space="0" w:color="auto"/>
        <w:left w:val="none" w:sz="0" w:space="0" w:color="auto"/>
        <w:bottom w:val="none" w:sz="0" w:space="0" w:color="auto"/>
        <w:right w:val="none" w:sz="0" w:space="0" w:color="auto"/>
      </w:divBdr>
    </w:div>
    <w:div w:id="79958682">
      <w:bodyDiv w:val="1"/>
      <w:marLeft w:val="0"/>
      <w:marRight w:val="0"/>
      <w:marTop w:val="0"/>
      <w:marBottom w:val="0"/>
      <w:divBdr>
        <w:top w:val="none" w:sz="0" w:space="0" w:color="auto"/>
        <w:left w:val="none" w:sz="0" w:space="0" w:color="auto"/>
        <w:bottom w:val="none" w:sz="0" w:space="0" w:color="auto"/>
        <w:right w:val="none" w:sz="0" w:space="0" w:color="auto"/>
      </w:divBdr>
    </w:div>
    <w:div w:id="79983776">
      <w:bodyDiv w:val="1"/>
      <w:marLeft w:val="0"/>
      <w:marRight w:val="0"/>
      <w:marTop w:val="0"/>
      <w:marBottom w:val="0"/>
      <w:divBdr>
        <w:top w:val="none" w:sz="0" w:space="0" w:color="auto"/>
        <w:left w:val="none" w:sz="0" w:space="0" w:color="auto"/>
        <w:bottom w:val="none" w:sz="0" w:space="0" w:color="auto"/>
        <w:right w:val="none" w:sz="0" w:space="0" w:color="auto"/>
      </w:divBdr>
    </w:div>
    <w:div w:id="80029359">
      <w:bodyDiv w:val="1"/>
      <w:marLeft w:val="0"/>
      <w:marRight w:val="0"/>
      <w:marTop w:val="0"/>
      <w:marBottom w:val="0"/>
      <w:divBdr>
        <w:top w:val="none" w:sz="0" w:space="0" w:color="auto"/>
        <w:left w:val="none" w:sz="0" w:space="0" w:color="auto"/>
        <w:bottom w:val="none" w:sz="0" w:space="0" w:color="auto"/>
        <w:right w:val="none" w:sz="0" w:space="0" w:color="auto"/>
      </w:divBdr>
    </w:div>
    <w:div w:id="80029793">
      <w:bodyDiv w:val="1"/>
      <w:marLeft w:val="0"/>
      <w:marRight w:val="0"/>
      <w:marTop w:val="0"/>
      <w:marBottom w:val="0"/>
      <w:divBdr>
        <w:top w:val="none" w:sz="0" w:space="0" w:color="auto"/>
        <w:left w:val="none" w:sz="0" w:space="0" w:color="auto"/>
        <w:bottom w:val="none" w:sz="0" w:space="0" w:color="auto"/>
        <w:right w:val="none" w:sz="0" w:space="0" w:color="auto"/>
      </w:divBdr>
    </w:div>
    <w:div w:id="80108213">
      <w:bodyDiv w:val="1"/>
      <w:marLeft w:val="0"/>
      <w:marRight w:val="0"/>
      <w:marTop w:val="0"/>
      <w:marBottom w:val="0"/>
      <w:divBdr>
        <w:top w:val="none" w:sz="0" w:space="0" w:color="auto"/>
        <w:left w:val="none" w:sz="0" w:space="0" w:color="auto"/>
        <w:bottom w:val="none" w:sz="0" w:space="0" w:color="auto"/>
        <w:right w:val="none" w:sz="0" w:space="0" w:color="auto"/>
      </w:divBdr>
    </w:div>
    <w:div w:id="80221433">
      <w:bodyDiv w:val="1"/>
      <w:marLeft w:val="0"/>
      <w:marRight w:val="0"/>
      <w:marTop w:val="0"/>
      <w:marBottom w:val="0"/>
      <w:divBdr>
        <w:top w:val="none" w:sz="0" w:space="0" w:color="auto"/>
        <w:left w:val="none" w:sz="0" w:space="0" w:color="auto"/>
        <w:bottom w:val="none" w:sz="0" w:space="0" w:color="auto"/>
        <w:right w:val="none" w:sz="0" w:space="0" w:color="auto"/>
      </w:divBdr>
    </w:div>
    <w:div w:id="80301299">
      <w:bodyDiv w:val="1"/>
      <w:marLeft w:val="0"/>
      <w:marRight w:val="0"/>
      <w:marTop w:val="0"/>
      <w:marBottom w:val="0"/>
      <w:divBdr>
        <w:top w:val="none" w:sz="0" w:space="0" w:color="auto"/>
        <w:left w:val="none" w:sz="0" w:space="0" w:color="auto"/>
        <w:bottom w:val="none" w:sz="0" w:space="0" w:color="auto"/>
        <w:right w:val="none" w:sz="0" w:space="0" w:color="auto"/>
      </w:divBdr>
    </w:div>
    <w:div w:id="80414016">
      <w:bodyDiv w:val="1"/>
      <w:marLeft w:val="0"/>
      <w:marRight w:val="0"/>
      <w:marTop w:val="0"/>
      <w:marBottom w:val="0"/>
      <w:divBdr>
        <w:top w:val="none" w:sz="0" w:space="0" w:color="auto"/>
        <w:left w:val="none" w:sz="0" w:space="0" w:color="auto"/>
        <w:bottom w:val="none" w:sz="0" w:space="0" w:color="auto"/>
        <w:right w:val="none" w:sz="0" w:space="0" w:color="auto"/>
      </w:divBdr>
    </w:div>
    <w:div w:id="80416547">
      <w:bodyDiv w:val="1"/>
      <w:marLeft w:val="0"/>
      <w:marRight w:val="0"/>
      <w:marTop w:val="0"/>
      <w:marBottom w:val="0"/>
      <w:divBdr>
        <w:top w:val="none" w:sz="0" w:space="0" w:color="auto"/>
        <w:left w:val="none" w:sz="0" w:space="0" w:color="auto"/>
        <w:bottom w:val="none" w:sz="0" w:space="0" w:color="auto"/>
        <w:right w:val="none" w:sz="0" w:space="0" w:color="auto"/>
      </w:divBdr>
    </w:div>
    <w:div w:id="80417490">
      <w:bodyDiv w:val="1"/>
      <w:marLeft w:val="0"/>
      <w:marRight w:val="0"/>
      <w:marTop w:val="0"/>
      <w:marBottom w:val="0"/>
      <w:divBdr>
        <w:top w:val="none" w:sz="0" w:space="0" w:color="auto"/>
        <w:left w:val="none" w:sz="0" w:space="0" w:color="auto"/>
        <w:bottom w:val="none" w:sz="0" w:space="0" w:color="auto"/>
        <w:right w:val="none" w:sz="0" w:space="0" w:color="auto"/>
      </w:divBdr>
    </w:div>
    <w:div w:id="80490034">
      <w:bodyDiv w:val="1"/>
      <w:marLeft w:val="0"/>
      <w:marRight w:val="0"/>
      <w:marTop w:val="0"/>
      <w:marBottom w:val="0"/>
      <w:divBdr>
        <w:top w:val="none" w:sz="0" w:space="0" w:color="auto"/>
        <w:left w:val="none" w:sz="0" w:space="0" w:color="auto"/>
        <w:bottom w:val="none" w:sz="0" w:space="0" w:color="auto"/>
        <w:right w:val="none" w:sz="0" w:space="0" w:color="auto"/>
      </w:divBdr>
    </w:div>
    <w:div w:id="80568059">
      <w:bodyDiv w:val="1"/>
      <w:marLeft w:val="0"/>
      <w:marRight w:val="0"/>
      <w:marTop w:val="0"/>
      <w:marBottom w:val="0"/>
      <w:divBdr>
        <w:top w:val="none" w:sz="0" w:space="0" w:color="auto"/>
        <w:left w:val="none" w:sz="0" w:space="0" w:color="auto"/>
        <w:bottom w:val="none" w:sz="0" w:space="0" w:color="auto"/>
        <w:right w:val="none" w:sz="0" w:space="0" w:color="auto"/>
      </w:divBdr>
    </w:div>
    <w:div w:id="80688582">
      <w:bodyDiv w:val="1"/>
      <w:marLeft w:val="0"/>
      <w:marRight w:val="0"/>
      <w:marTop w:val="0"/>
      <w:marBottom w:val="0"/>
      <w:divBdr>
        <w:top w:val="none" w:sz="0" w:space="0" w:color="auto"/>
        <w:left w:val="none" w:sz="0" w:space="0" w:color="auto"/>
        <w:bottom w:val="none" w:sz="0" w:space="0" w:color="auto"/>
        <w:right w:val="none" w:sz="0" w:space="0" w:color="auto"/>
      </w:divBdr>
    </w:div>
    <w:div w:id="80758312">
      <w:bodyDiv w:val="1"/>
      <w:marLeft w:val="0"/>
      <w:marRight w:val="0"/>
      <w:marTop w:val="0"/>
      <w:marBottom w:val="0"/>
      <w:divBdr>
        <w:top w:val="none" w:sz="0" w:space="0" w:color="auto"/>
        <w:left w:val="none" w:sz="0" w:space="0" w:color="auto"/>
        <w:bottom w:val="none" w:sz="0" w:space="0" w:color="auto"/>
        <w:right w:val="none" w:sz="0" w:space="0" w:color="auto"/>
      </w:divBdr>
    </w:div>
    <w:div w:id="80764563">
      <w:bodyDiv w:val="1"/>
      <w:marLeft w:val="0"/>
      <w:marRight w:val="0"/>
      <w:marTop w:val="0"/>
      <w:marBottom w:val="0"/>
      <w:divBdr>
        <w:top w:val="none" w:sz="0" w:space="0" w:color="auto"/>
        <w:left w:val="none" w:sz="0" w:space="0" w:color="auto"/>
        <w:bottom w:val="none" w:sz="0" w:space="0" w:color="auto"/>
        <w:right w:val="none" w:sz="0" w:space="0" w:color="auto"/>
      </w:divBdr>
    </w:div>
    <w:div w:id="80806980">
      <w:bodyDiv w:val="1"/>
      <w:marLeft w:val="0"/>
      <w:marRight w:val="0"/>
      <w:marTop w:val="0"/>
      <w:marBottom w:val="0"/>
      <w:divBdr>
        <w:top w:val="none" w:sz="0" w:space="0" w:color="auto"/>
        <w:left w:val="none" w:sz="0" w:space="0" w:color="auto"/>
        <w:bottom w:val="none" w:sz="0" w:space="0" w:color="auto"/>
        <w:right w:val="none" w:sz="0" w:space="0" w:color="auto"/>
      </w:divBdr>
    </w:div>
    <w:div w:id="80807708">
      <w:bodyDiv w:val="1"/>
      <w:marLeft w:val="0"/>
      <w:marRight w:val="0"/>
      <w:marTop w:val="0"/>
      <w:marBottom w:val="0"/>
      <w:divBdr>
        <w:top w:val="none" w:sz="0" w:space="0" w:color="auto"/>
        <w:left w:val="none" w:sz="0" w:space="0" w:color="auto"/>
        <w:bottom w:val="none" w:sz="0" w:space="0" w:color="auto"/>
        <w:right w:val="none" w:sz="0" w:space="0" w:color="auto"/>
      </w:divBdr>
    </w:div>
    <w:div w:id="80876640">
      <w:bodyDiv w:val="1"/>
      <w:marLeft w:val="0"/>
      <w:marRight w:val="0"/>
      <w:marTop w:val="0"/>
      <w:marBottom w:val="0"/>
      <w:divBdr>
        <w:top w:val="none" w:sz="0" w:space="0" w:color="auto"/>
        <w:left w:val="none" w:sz="0" w:space="0" w:color="auto"/>
        <w:bottom w:val="none" w:sz="0" w:space="0" w:color="auto"/>
        <w:right w:val="none" w:sz="0" w:space="0" w:color="auto"/>
      </w:divBdr>
    </w:div>
    <w:div w:id="80877185">
      <w:bodyDiv w:val="1"/>
      <w:marLeft w:val="0"/>
      <w:marRight w:val="0"/>
      <w:marTop w:val="0"/>
      <w:marBottom w:val="0"/>
      <w:divBdr>
        <w:top w:val="none" w:sz="0" w:space="0" w:color="auto"/>
        <w:left w:val="none" w:sz="0" w:space="0" w:color="auto"/>
        <w:bottom w:val="none" w:sz="0" w:space="0" w:color="auto"/>
        <w:right w:val="none" w:sz="0" w:space="0" w:color="auto"/>
      </w:divBdr>
    </w:div>
    <w:div w:id="80879745">
      <w:bodyDiv w:val="1"/>
      <w:marLeft w:val="0"/>
      <w:marRight w:val="0"/>
      <w:marTop w:val="0"/>
      <w:marBottom w:val="0"/>
      <w:divBdr>
        <w:top w:val="none" w:sz="0" w:space="0" w:color="auto"/>
        <w:left w:val="none" w:sz="0" w:space="0" w:color="auto"/>
        <w:bottom w:val="none" w:sz="0" w:space="0" w:color="auto"/>
        <w:right w:val="none" w:sz="0" w:space="0" w:color="auto"/>
      </w:divBdr>
    </w:div>
    <w:div w:id="81029527">
      <w:bodyDiv w:val="1"/>
      <w:marLeft w:val="0"/>
      <w:marRight w:val="0"/>
      <w:marTop w:val="0"/>
      <w:marBottom w:val="0"/>
      <w:divBdr>
        <w:top w:val="none" w:sz="0" w:space="0" w:color="auto"/>
        <w:left w:val="none" w:sz="0" w:space="0" w:color="auto"/>
        <w:bottom w:val="none" w:sz="0" w:space="0" w:color="auto"/>
        <w:right w:val="none" w:sz="0" w:space="0" w:color="auto"/>
      </w:divBdr>
    </w:div>
    <w:div w:id="81294485">
      <w:bodyDiv w:val="1"/>
      <w:marLeft w:val="0"/>
      <w:marRight w:val="0"/>
      <w:marTop w:val="0"/>
      <w:marBottom w:val="0"/>
      <w:divBdr>
        <w:top w:val="none" w:sz="0" w:space="0" w:color="auto"/>
        <w:left w:val="none" w:sz="0" w:space="0" w:color="auto"/>
        <w:bottom w:val="none" w:sz="0" w:space="0" w:color="auto"/>
        <w:right w:val="none" w:sz="0" w:space="0" w:color="auto"/>
      </w:divBdr>
    </w:div>
    <w:div w:id="81336175">
      <w:bodyDiv w:val="1"/>
      <w:marLeft w:val="0"/>
      <w:marRight w:val="0"/>
      <w:marTop w:val="0"/>
      <w:marBottom w:val="0"/>
      <w:divBdr>
        <w:top w:val="none" w:sz="0" w:space="0" w:color="auto"/>
        <w:left w:val="none" w:sz="0" w:space="0" w:color="auto"/>
        <w:bottom w:val="none" w:sz="0" w:space="0" w:color="auto"/>
        <w:right w:val="none" w:sz="0" w:space="0" w:color="auto"/>
      </w:divBdr>
    </w:div>
    <w:div w:id="81420623">
      <w:bodyDiv w:val="1"/>
      <w:marLeft w:val="0"/>
      <w:marRight w:val="0"/>
      <w:marTop w:val="0"/>
      <w:marBottom w:val="0"/>
      <w:divBdr>
        <w:top w:val="none" w:sz="0" w:space="0" w:color="auto"/>
        <w:left w:val="none" w:sz="0" w:space="0" w:color="auto"/>
        <w:bottom w:val="none" w:sz="0" w:space="0" w:color="auto"/>
        <w:right w:val="none" w:sz="0" w:space="0" w:color="auto"/>
      </w:divBdr>
    </w:div>
    <w:div w:id="81491576">
      <w:bodyDiv w:val="1"/>
      <w:marLeft w:val="0"/>
      <w:marRight w:val="0"/>
      <w:marTop w:val="0"/>
      <w:marBottom w:val="0"/>
      <w:divBdr>
        <w:top w:val="none" w:sz="0" w:space="0" w:color="auto"/>
        <w:left w:val="none" w:sz="0" w:space="0" w:color="auto"/>
        <w:bottom w:val="none" w:sz="0" w:space="0" w:color="auto"/>
        <w:right w:val="none" w:sz="0" w:space="0" w:color="auto"/>
      </w:divBdr>
    </w:div>
    <w:div w:id="81609432">
      <w:bodyDiv w:val="1"/>
      <w:marLeft w:val="0"/>
      <w:marRight w:val="0"/>
      <w:marTop w:val="0"/>
      <w:marBottom w:val="0"/>
      <w:divBdr>
        <w:top w:val="none" w:sz="0" w:space="0" w:color="auto"/>
        <w:left w:val="none" w:sz="0" w:space="0" w:color="auto"/>
        <w:bottom w:val="none" w:sz="0" w:space="0" w:color="auto"/>
        <w:right w:val="none" w:sz="0" w:space="0" w:color="auto"/>
      </w:divBdr>
    </w:div>
    <w:div w:id="81684014">
      <w:bodyDiv w:val="1"/>
      <w:marLeft w:val="0"/>
      <w:marRight w:val="0"/>
      <w:marTop w:val="0"/>
      <w:marBottom w:val="0"/>
      <w:divBdr>
        <w:top w:val="none" w:sz="0" w:space="0" w:color="auto"/>
        <w:left w:val="none" w:sz="0" w:space="0" w:color="auto"/>
        <w:bottom w:val="none" w:sz="0" w:space="0" w:color="auto"/>
        <w:right w:val="none" w:sz="0" w:space="0" w:color="auto"/>
      </w:divBdr>
    </w:div>
    <w:div w:id="81686653">
      <w:bodyDiv w:val="1"/>
      <w:marLeft w:val="0"/>
      <w:marRight w:val="0"/>
      <w:marTop w:val="0"/>
      <w:marBottom w:val="0"/>
      <w:divBdr>
        <w:top w:val="none" w:sz="0" w:space="0" w:color="auto"/>
        <w:left w:val="none" w:sz="0" w:space="0" w:color="auto"/>
        <w:bottom w:val="none" w:sz="0" w:space="0" w:color="auto"/>
        <w:right w:val="none" w:sz="0" w:space="0" w:color="auto"/>
      </w:divBdr>
    </w:div>
    <w:div w:id="81729056">
      <w:bodyDiv w:val="1"/>
      <w:marLeft w:val="0"/>
      <w:marRight w:val="0"/>
      <w:marTop w:val="0"/>
      <w:marBottom w:val="0"/>
      <w:divBdr>
        <w:top w:val="none" w:sz="0" w:space="0" w:color="auto"/>
        <w:left w:val="none" w:sz="0" w:space="0" w:color="auto"/>
        <w:bottom w:val="none" w:sz="0" w:space="0" w:color="auto"/>
        <w:right w:val="none" w:sz="0" w:space="0" w:color="auto"/>
      </w:divBdr>
    </w:div>
    <w:div w:id="81729421">
      <w:bodyDiv w:val="1"/>
      <w:marLeft w:val="0"/>
      <w:marRight w:val="0"/>
      <w:marTop w:val="0"/>
      <w:marBottom w:val="0"/>
      <w:divBdr>
        <w:top w:val="none" w:sz="0" w:space="0" w:color="auto"/>
        <w:left w:val="none" w:sz="0" w:space="0" w:color="auto"/>
        <w:bottom w:val="none" w:sz="0" w:space="0" w:color="auto"/>
        <w:right w:val="none" w:sz="0" w:space="0" w:color="auto"/>
      </w:divBdr>
    </w:div>
    <w:div w:id="81731790">
      <w:bodyDiv w:val="1"/>
      <w:marLeft w:val="0"/>
      <w:marRight w:val="0"/>
      <w:marTop w:val="0"/>
      <w:marBottom w:val="0"/>
      <w:divBdr>
        <w:top w:val="none" w:sz="0" w:space="0" w:color="auto"/>
        <w:left w:val="none" w:sz="0" w:space="0" w:color="auto"/>
        <w:bottom w:val="none" w:sz="0" w:space="0" w:color="auto"/>
        <w:right w:val="none" w:sz="0" w:space="0" w:color="auto"/>
      </w:divBdr>
    </w:div>
    <w:div w:id="81922854">
      <w:bodyDiv w:val="1"/>
      <w:marLeft w:val="0"/>
      <w:marRight w:val="0"/>
      <w:marTop w:val="0"/>
      <w:marBottom w:val="0"/>
      <w:divBdr>
        <w:top w:val="none" w:sz="0" w:space="0" w:color="auto"/>
        <w:left w:val="none" w:sz="0" w:space="0" w:color="auto"/>
        <w:bottom w:val="none" w:sz="0" w:space="0" w:color="auto"/>
        <w:right w:val="none" w:sz="0" w:space="0" w:color="auto"/>
      </w:divBdr>
    </w:div>
    <w:div w:id="81991852">
      <w:bodyDiv w:val="1"/>
      <w:marLeft w:val="0"/>
      <w:marRight w:val="0"/>
      <w:marTop w:val="0"/>
      <w:marBottom w:val="0"/>
      <w:divBdr>
        <w:top w:val="none" w:sz="0" w:space="0" w:color="auto"/>
        <w:left w:val="none" w:sz="0" w:space="0" w:color="auto"/>
        <w:bottom w:val="none" w:sz="0" w:space="0" w:color="auto"/>
        <w:right w:val="none" w:sz="0" w:space="0" w:color="auto"/>
      </w:divBdr>
    </w:div>
    <w:div w:id="81995323">
      <w:bodyDiv w:val="1"/>
      <w:marLeft w:val="0"/>
      <w:marRight w:val="0"/>
      <w:marTop w:val="0"/>
      <w:marBottom w:val="0"/>
      <w:divBdr>
        <w:top w:val="none" w:sz="0" w:space="0" w:color="auto"/>
        <w:left w:val="none" w:sz="0" w:space="0" w:color="auto"/>
        <w:bottom w:val="none" w:sz="0" w:space="0" w:color="auto"/>
        <w:right w:val="none" w:sz="0" w:space="0" w:color="auto"/>
      </w:divBdr>
    </w:div>
    <w:div w:id="81995356">
      <w:bodyDiv w:val="1"/>
      <w:marLeft w:val="0"/>
      <w:marRight w:val="0"/>
      <w:marTop w:val="0"/>
      <w:marBottom w:val="0"/>
      <w:divBdr>
        <w:top w:val="none" w:sz="0" w:space="0" w:color="auto"/>
        <w:left w:val="none" w:sz="0" w:space="0" w:color="auto"/>
        <w:bottom w:val="none" w:sz="0" w:space="0" w:color="auto"/>
        <w:right w:val="none" w:sz="0" w:space="0" w:color="auto"/>
      </w:divBdr>
    </w:div>
    <w:div w:id="81996706">
      <w:bodyDiv w:val="1"/>
      <w:marLeft w:val="0"/>
      <w:marRight w:val="0"/>
      <w:marTop w:val="0"/>
      <w:marBottom w:val="0"/>
      <w:divBdr>
        <w:top w:val="none" w:sz="0" w:space="0" w:color="auto"/>
        <w:left w:val="none" w:sz="0" w:space="0" w:color="auto"/>
        <w:bottom w:val="none" w:sz="0" w:space="0" w:color="auto"/>
        <w:right w:val="none" w:sz="0" w:space="0" w:color="auto"/>
      </w:divBdr>
    </w:div>
    <w:div w:id="82069618">
      <w:bodyDiv w:val="1"/>
      <w:marLeft w:val="0"/>
      <w:marRight w:val="0"/>
      <w:marTop w:val="0"/>
      <w:marBottom w:val="0"/>
      <w:divBdr>
        <w:top w:val="none" w:sz="0" w:space="0" w:color="auto"/>
        <w:left w:val="none" w:sz="0" w:space="0" w:color="auto"/>
        <w:bottom w:val="none" w:sz="0" w:space="0" w:color="auto"/>
        <w:right w:val="none" w:sz="0" w:space="0" w:color="auto"/>
      </w:divBdr>
    </w:div>
    <w:div w:id="82116622">
      <w:bodyDiv w:val="1"/>
      <w:marLeft w:val="0"/>
      <w:marRight w:val="0"/>
      <w:marTop w:val="0"/>
      <w:marBottom w:val="0"/>
      <w:divBdr>
        <w:top w:val="none" w:sz="0" w:space="0" w:color="auto"/>
        <w:left w:val="none" w:sz="0" w:space="0" w:color="auto"/>
        <w:bottom w:val="none" w:sz="0" w:space="0" w:color="auto"/>
        <w:right w:val="none" w:sz="0" w:space="0" w:color="auto"/>
      </w:divBdr>
    </w:div>
    <w:div w:id="82116664">
      <w:bodyDiv w:val="1"/>
      <w:marLeft w:val="0"/>
      <w:marRight w:val="0"/>
      <w:marTop w:val="0"/>
      <w:marBottom w:val="0"/>
      <w:divBdr>
        <w:top w:val="none" w:sz="0" w:space="0" w:color="auto"/>
        <w:left w:val="none" w:sz="0" w:space="0" w:color="auto"/>
        <w:bottom w:val="none" w:sz="0" w:space="0" w:color="auto"/>
        <w:right w:val="none" w:sz="0" w:space="0" w:color="auto"/>
      </w:divBdr>
    </w:div>
    <w:div w:id="82141885">
      <w:bodyDiv w:val="1"/>
      <w:marLeft w:val="0"/>
      <w:marRight w:val="0"/>
      <w:marTop w:val="0"/>
      <w:marBottom w:val="0"/>
      <w:divBdr>
        <w:top w:val="none" w:sz="0" w:space="0" w:color="auto"/>
        <w:left w:val="none" w:sz="0" w:space="0" w:color="auto"/>
        <w:bottom w:val="none" w:sz="0" w:space="0" w:color="auto"/>
        <w:right w:val="none" w:sz="0" w:space="0" w:color="auto"/>
      </w:divBdr>
    </w:div>
    <w:div w:id="82141934">
      <w:bodyDiv w:val="1"/>
      <w:marLeft w:val="0"/>
      <w:marRight w:val="0"/>
      <w:marTop w:val="0"/>
      <w:marBottom w:val="0"/>
      <w:divBdr>
        <w:top w:val="none" w:sz="0" w:space="0" w:color="auto"/>
        <w:left w:val="none" w:sz="0" w:space="0" w:color="auto"/>
        <w:bottom w:val="none" w:sz="0" w:space="0" w:color="auto"/>
        <w:right w:val="none" w:sz="0" w:space="0" w:color="auto"/>
      </w:divBdr>
    </w:div>
    <w:div w:id="82142895">
      <w:bodyDiv w:val="1"/>
      <w:marLeft w:val="0"/>
      <w:marRight w:val="0"/>
      <w:marTop w:val="0"/>
      <w:marBottom w:val="0"/>
      <w:divBdr>
        <w:top w:val="none" w:sz="0" w:space="0" w:color="auto"/>
        <w:left w:val="none" w:sz="0" w:space="0" w:color="auto"/>
        <w:bottom w:val="none" w:sz="0" w:space="0" w:color="auto"/>
        <w:right w:val="none" w:sz="0" w:space="0" w:color="auto"/>
      </w:divBdr>
    </w:div>
    <w:div w:id="82146418">
      <w:bodyDiv w:val="1"/>
      <w:marLeft w:val="0"/>
      <w:marRight w:val="0"/>
      <w:marTop w:val="0"/>
      <w:marBottom w:val="0"/>
      <w:divBdr>
        <w:top w:val="none" w:sz="0" w:space="0" w:color="auto"/>
        <w:left w:val="none" w:sz="0" w:space="0" w:color="auto"/>
        <w:bottom w:val="none" w:sz="0" w:space="0" w:color="auto"/>
        <w:right w:val="none" w:sz="0" w:space="0" w:color="auto"/>
      </w:divBdr>
    </w:div>
    <w:div w:id="82268163">
      <w:bodyDiv w:val="1"/>
      <w:marLeft w:val="0"/>
      <w:marRight w:val="0"/>
      <w:marTop w:val="0"/>
      <w:marBottom w:val="0"/>
      <w:divBdr>
        <w:top w:val="none" w:sz="0" w:space="0" w:color="auto"/>
        <w:left w:val="none" w:sz="0" w:space="0" w:color="auto"/>
        <w:bottom w:val="none" w:sz="0" w:space="0" w:color="auto"/>
        <w:right w:val="none" w:sz="0" w:space="0" w:color="auto"/>
      </w:divBdr>
    </w:div>
    <w:div w:id="82728813">
      <w:bodyDiv w:val="1"/>
      <w:marLeft w:val="0"/>
      <w:marRight w:val="0"/>
      <w:marTop w:val="0"/>
      <w:marBottom w:val="0"/>
      <w:divBdr>
        <w:top w:val="none" w:sz="0" w:space="0" w:color="auto"/>
        <w:left w:val="none" w:sz="0" w:space="0" w:color="auto"/>
        <w:bottom w:val="none" w:sz="0" w:space="0" w:color="auto"/>
        <w:right w:val="none" w:sz="0" w:space="0" w:color="auto"/>
      </w:divBdr>
    </w:div>
    <w:div w:id="82729212">
      <w:bodyDiv w:val="1"/>
      <w:marLeft w:val="0"/>
      <w:marRight w:val="0"/>
      <w:marTop w:val="0"/>
      <w:marBottom w:val="0"/>
      <w:divBdr>
        <w:top w:val="none" w:sz="0" w:space="0" w:color="auto"/>
        <w:left w:val="none" w:sz="0" w:space="0" w:color="auto"/>
        <w:bottom w:val="none" w:sz="0" w:space="0" w:color="auto"/>
        <w:right w:val="none" w:sz="0" w:space="0" w:color="auto"/>
      </w:divBdr>
    </w:div>
    <w:div w:id="82803539">
      <w:bodyDiv w:val="1"/>
      <w:marLeft w:val="0"/>
      <w:marRight w:val="0"/>
      <w:marTop w:val="0"/>
      <w:marBottom w:val="0"/>
      <w:divBdr>
        <w:top w:val="none" w:sz="0" w:space="0" w:color="auto"/>
        <w:left w:val="none" w:sz="0" w:space="0" w:color="auto"/>
        <w:bottom w:val="none" w:sz="0" w:space="0" w:color="auto"/>
        <w:right w:val="none" w:sz="0" w:space="0" w:color="auto"/>
      </w:divBdr>
    </w:div>
    <w:div w:id="82920635">
      <w:bodyDiv w:val="1"/>
      <w:marLeft w:val="0"/>
      <w:marRight w:val="0"/>
      <w:marTop w:val="0"/>
      <w:marBottom w:val="0"/>
      <w:divBdr>
        <w:top w:val="none" w:sz="0" w:space="0" w:color="auto"/>
        <w:left w:val="none" w:sz="0" w:space="0" w:color="auto"/>
        <w:bottom w:val="none" w:sz="0" w:space="0" w:color="auto"/>
        <w:right w:val="none" w:sz="0" w:space="0" w:color="auto"/>
      </w:divBdr>
    </w:div>
    <w:div w:id="82922494">
      <w:bodyDiv w:val="1"/>
      <w:marLeft w:val="0"/>
      <w:marRight w:val="0"/>
      <w:marTop w:val="0"/>
      <w:marBottom w:val="0"/>
      <w:divBdr>
        <w:top w:val="none" w:sz="0" w:space="0" w:color="auto"/>
        <w:left w:val="none" w:sz="0" w:space="0" w:color="auto"/>
        <w:bottom w:val="none" w:sz="0" w:space="0" w:color="auto"/>
        <w:right w:val="none" w:sz="0" w:space="0" w:color="auto"/>
      </w:divBdr>
    </w:div>
    <w:div w:id="82991997">
      <w:bodyDiv w:val="1"/>
      <w:marLeft w:val="0"/>
      <w:marRight w:val="0"/>
      <w:marTop w:val="0"/>
      <w:marBottom w:val="0"/>
      <w:divBdr>
        <w:top w:val="none" w:sz="0" w:space="0" w:color="auto"/>
        <w:left w:val="none" w:sz="0" w:space="0" w:color="auto"/>
        <w:bottom w:val="none" w:sz="0" w:space="0" w:color="auto"/>
        <w:right w:val="none" w:sz="0" w:space="0" w:color="auto"/>
      </w:divBdr>
    </w:div>
    <w:div w:id="83108748">
      <w:bodyDiv w:val="1"/>
      <w:marLeft w:val="0"/>
      <w:marRight w:val="0"/>
      <w:marTop w:val="0"/>
      <w:marBottom w:val="0"/>
      <w:divBdr>
        <w:top w:val="none" w:sz="0" w:space="0" w:color="auto"/>
        <w:left w:val="none" w:sz="0" w:space="0" w:color="auto"/>
        <w:bottom w:val="none" w:sz="0" w:space="0" w:color="auto"/>
        <w:right w:val="none" w:sz="0" w:space="0" w:color="auto"/>
      </w:divBdr>
    </w:div>
    <w:div w:id="83190367">
      <w:bodyDiv w:val="1"/>
      <w:marLeft w:val="0"/>
      <w:marRight w:val="0"/>
      <w:marTop w:val="0"/>
      <w:marBottom w:val="0"/>
      <w:divBdr>
        <w:top w:val="none" w:sz="0" w:space="0" w:color="auto"/>
        <w:left w:val="none" w:sz="0" w:space="0" w:color="auto"/>
        <w:bottom w:val="none" w:sz="0" w:space="0" w:color="auto"/>
        <w:right w:val="none" w:sz="0" w:space="0" w:color="auto"/>
      </w:divBdr>
    </w:div>
    <w:div w:id="83261865">
      <w:bodyDiv w:val="1"/>
      <w:marLeft w:val="0"/>
      <w:marRight w:val="0"/>
      <w:marTop w:val="0"/>
      <w:marBottom w:val="0"/>
      <w:divBdr>
        <w:top w:val="none" w:sz="0" w:space="0" w:color="auto"/>
        <w:left w:val="none" w:sz="0" w:space="0" w:color="auto"/>
        <w:bottom w:val="none" w:sz="0" w:space="0" w:color="auto"/>
        <w:right w:val="none" w:sz="0" w:space="0" w:color="auto"/>
      </w:divBdr>
    </w:div>
    <w:div w:id="83301961">
      <w:bodyDiv w:val="1"/>
      <w:marLeft w:val="0"/>
      <w:marRight w:val="0"/>
      <w:marTop w:val="0"/>
      <w:marBottom w:val="0"/>
      <w:divBdr>
        <w:top w:val="none" w:sz="0" w:space="0" w:color="auto"/>
        <w:left w:val="none" w:sz="0" w:space="0" w:color="auto"/>
        <w:bottom w:val="none" w:sz="0" w:space="0" w:color="auto"/>
        <w:right w:val="none" w:sz="0" w:space="0" w:color="auto"/>
      </w:divBdr>
    </w:div>
    <w:div w:id="83303513">
      <w:bodyDiv w:val="1"/>
      <w:marLeft w:val="0"/>
      <w:marRight w:val="0"/>
      <w:marTop w:val="0"/>
      <w:marBottom w:val="0"/>
      <w:divBdr>
        <w:top w:val="none" w:sz="0" w:space="0" w:color="auto"/>
        <w:left w:val="none" w:sz="0" w:space="0" w:color="auto"/>
        <w:bottom w:val="none" w:sz="0" w:space="0" w:color="auto"/>
        <w:right w:val="none" w:sz="0" w:space="0" w:color="auto"/>
      </w:divBdr>
    </w:div>
    <w:div w:id="83310465">
      <w:bodyDiv w:val="1"/>
      <w:marLeft w:val="0"/>
      <w:marRight w:val="0"/>
      <w:marTop w:val="0"/>
      <w:marBottom w:val="0"/>
      <w:divBdr>
        <w:top w:val="none" w:sz="0" w:space="0" w:color="auto"/>
        <w:left w:val="none" w:sz="0" w:space="0" w:color="auto"/>
        <w:bottom w:val="none" w:sz="0" w:space="0" w:color="auto"/>
        <w:right w:val="none" w:sz="0" w:space="0" w:color="auto"/>
      </w:divBdr>
    </w:div>
    <w:div w:id="83382848">
      <w:bodyDiv w:val="1"/>
      <w:marLeft w:val="0"/>
      <w:marRight w:val="0"/>
      <w:marTop w:val="0"/>
      <w:marBottom w:val="0"/>
      <w:divBdr>
        <w:top w:val="none" w:sz="0" w:space="0" w:color="auto"/>
        <w:left w:val="none" w:sz="0" w:space="0" w:color="auto"/>
        <w:bottom w:val="none" w:sz="0" w:space="0" w:color="auto"/>
        <w:right w:val="none" w:sz="0" w:space="0" w:color="auto"/>
      </w:divBdr>
    </w:div>
    <w:div w:id="83383101">
      <w:bodyDiv w:val="1"/>
      <w:marLeft w:val="0"/>
      <w:marRight w:val="0"/>
      <w:marTop w:val="0"/>
      <w:marBottom w:val="0"/>
      <w:divBdr>
        <w:top w:val="none" w:sz="0" w:space="0" w:color="auto"/>
        <w:left w:val="none" w:sz="0" w:space="0" w:color="auto"/>
        <w:bottom w:val="none" w:sz="0" w:space="0" w:color="auto"/>
        <w:right w:val="none" w:sz="0" w:space="0" w:color="auto"/>
      </w:divBdr>
    </w:div>
    <w:div w:id="83574278">
      <w:bodyDiv w:val="1"/>
      <w:marLeft w:val="0"/>
      <w:marRight w:val="0"/>
      <w:marTop w:val="0"/>
      <w:marBottom w:val="0"/>
      <w:divBdr>
        <w:top w:val="none" w:sz="0" w:space="0" w:color="auto"/>
        <w:left w:val="none" w:sz="0" w:space="0" w:color="auto"/>
        <w:bottom w:val="none" w:sz="0" w:space="0" w:color="auto"/>
        <w:right w:val="none" w:sz="0" w:space="0" w:color="auto"/>
      </w:divBdr>
    </w:div>
    <w:div w:id="83579698">
      <w:bodyDiv w:val="1"/>
      <w:marLeft w:val="0"/>
      <w:marRight w:val="0"/>
      <w:marTop w:val="0"/>
      <w:marBottom w:val="0"/>
      <w:divBdr>
        <w:top w:val="none" w:sz="0" w:space="0" w:color="auto"/>
        <w:left w:val="none" w:sz="0" w:space="0" w:color="auto"/>
        <w:bottom w:val="none" w:sz="0" w:space="0" w:color="auto"/>
        <w:right w:val="none" w:sz="0" w:space="0" w:color="auto"/>
      </w:divBdr>
    </w:div>
    <w:div w:id="83647677">
      <w:bodyDiv w:val="1"/>
      <w:marLeft w:val="0"/>
      <w:marRight w:val="0"/>
      <w:marTop w:val="0"/>
      <w:marBottom w:val="0"/>
      <w:divBdr>
        <w:top w:val="none" w:sz="0" w:space="0" w:color="auto"/>
        <w:left w:val="none" w:sz="0" w:space="0" w:color="auto"/>
        <w:bottom w:val="none" w:sz="0" w:space="0" w:color="auto"/>
        <w:right w:val="none" w:sz="0" w:space="0" w:color="auto"/>
      </w:divBdr>
    </w:div>
    <w:div w:id="83653372">
      <w:bodyDiv w:val="1"/>
      <w:marLeft w:val="0"/>
      <w:marRight w:val="0"/>
      <w:marTop w:val="0"/>
      <w:marBottom w:val="0"/>
      <w:divBdr>
        <w:top w:val="none" w:sz="0" w:space="0" w:color="auto"/>
        <w:left w:val="none" w:sz="0" w:space="0" w:color="auto"/>
        <w:bottom w:val="none" w:sz="0" w:space="0" w:color="auto"/>
        <w:right w:val="none" w:sz="0" w:space="0" w:color="auto"/>
      </w:divBdr>
    </w:div>
    <w:div w:id="83694583">
      <w:bodyDiv w:val="1"/>
      <w:marLeft w:val="0"/>
      <w:marRight w:val="0"/>
      <w:marTop w:val="0"/>
      <w:marBottom w:val="0"/>
      <w:divBdr>
        <w:top w:val="none" w:sz="0" w:space="0" w:color="auto"/>
        <w:left w:val="none" w:sz="0" w:space="0" w:color="auto"/>
        <w:bottom w:val="none" w:sz="0" w:space="0" w:color="auto"/>
        <w:right w:val="none" w:sz="0" w:space="0" w:color="auto"/>
      </w:divBdr>
    </w:div>
    <w:div w:id="83697753">
      <w:bodyDiv w:val="1"/>
      <w:marLeft w:val="0"/>
      <w:marRight w:val="0"/>
      <w:marTop w:val="0"/>
      <w:marBottom w:val="0"/>
      <w:divBdr>
        <w:top w:val="none" w:sz="0" w:space="0" w:color="auto"/>
        <w:left w:val="none" w:sz="0" w:space="0" w:color="auto"/>
        <w:bottom w:val="none" w:sz="0" w:space="0" w:color="auto"/>
        <w:right w:val="none" w:sz="0" w:space="0" w:color="auto"/>
      </w:divBdr>
    </w:div>
    <w:div w:id="83767475">
      <w:bodyDiv w:val="1"/>
      <w:marLeft w:val="0"/>
      <w:marRight w:val="0"/>
      <w:marTop w:val="0"/>
      <w:marBottom w:val="0"/>
      <w:divBdr>
        <w:top w:val="none" w:sz="0" w:space="0" w:color="auto"/>
        <w:left w:val="none" w:sz="0" w:space="0" w:color="auto"/>
        <w:bottom w:val="none" w:sz="0" w:space="0" w:color="auto"/>
        <w:right w:val="none" w:sz="0" w:space="0" w:color="auto"/>
      </w:divBdr>
    </w:div>
    <w:div w:id="83915309">
      <w:bodyDiv w:val="1"/>
      <w:marLeft w:val="0"/>
      <w:marRight w:val="0"/>
      <w:marTop w:val="0"/>
      <w:marBottom w:val="0"/>
      <w:divBdr>
        <w:top w:val="none" w:sz="0" w:space="0" w:color="auto"/>
        <w:left w:val="none" w:sz="0" w:space="0" w:color="auto"/>
        <w:bottom w:val="none" w:sz="0" w:space="0" w:color="auto"/>
        <w:right w:val="none" w:sz="0" w:space="0" w:color="auto"/>
      </w:divBdr>
    </w:div>
    <w:div w:id="83961621">
      <w:bodyDiv w:val="1"/>
      <w:marLeft w:val="0"/>
      <w:marRight w:val="0"/>
      <w:marTop w:val="0"/>
      <w:marBottom w:val="0"/>
      <w:divBdr>
        <w:top w:val="none" w:sz="0" w:space="0" w:color="auto"/>
        <w:left w:val="none" w:sz="0" w:space="0" w:color="auto"/>
        <w:bottom w:val="none" w:sz="0" w:space="0" w:color="auto"/>
        <w:right w:val="none" w:sz="0" w:space="0" w:color="auto"/>
      </w:divBdr>
    </w:div>
    <w:div w:id="83963064">
      <w:bodyDiv w:val="1"/>
      <w:marLeft w:val="0"/>
      <w:marRight w:val="0"/>
      <w:marTop w:val="0"/>
      <w:marBottom w:val="0"/>
      <w:divBdr>
        <w:top w:val="none" w:sz="0" w:space="0" w:color="auto"/>
        <w:left w:val="none" w:sz="0" w:space="0" w:color="auto"/>
        <w:bottom w:val="none" w:sz="0" w:space="0" w:color="auto"/>
        <w:right w:val="none" w:sz="0" w:space="0" w:color="auto"/>
      </w:divBdr>
    </w:div>
    <w:div w:id="84114955">
      <w:bodyDiv w:val="1"/>
      <w:marLeft w:val="0"/>
      <w:marRight w:val="0"/>
      <w:marTop w:val="0"/>
      <w:marBottom w:val="0"/>
      <w:divBdr>
        <w:top w:val="none" w:sz="0" w:space="0" w:color="auto"/>
        <w:left w:val="none" w:sz="0" w:space="0" w:color="auto"/>
        <w:bottom w:val="none" w:sz="0" w:space="0" w:color="auto"/>
        <w:right w:val="none" w:sz="0" w:space="0" w:color="auto"/>
      </w:divBdr>
    </w:div>
    <w:div w:id="84231850">
      <w:bodyDiv w:val="1"/>
      <w:marLeft w:val="0"/>
      <w:marRight w:val="0"/>
      <w:marTop w:val="0"/>
      <w:marBottom w:val="0"/>
      <w:divBdr>
        <w:top w:val="none" w:sz="0" w:space="0" w:color="auto"/>
        <w:left w:val="none" w:sz="0" w:space="0" w:color="auto"/>
        <w:bottom w:val="none" w:sz="0" w:space="0" w:color="auto"/>
        <w:right w:val="none" w:sz="0" w:space="0" w:color="auto"/>
      </w:divBdr>
    </w:div>
    <w:div w:id="84304082">
      <w:bodyDiv w:val="1"/>
      <w:marLeft w:val="0"/>
      <w:marRight w:val="0"/>
      <w:marTop w:val="0"/>
      <w:marBottom w:val="0"/>
      <w:divBdr>
        <w:top w:val="none" w:sz="0" w:space="0" w:color="auto"/>
        <w:left w:val="none" w:sz="0" w:space="0" w:color="auto"/>
        <w:bottom w:val="none" w:sz="0" w:space="0" w:color="auto"/>
        <w:right w:val="none" w:sz="0" w:space="0" w:color="auto"/>
      </w:divBdr>
    </w:div>
    <w:div w:id="84349549">
      <w:bodyDiv w:val="1"/>
      <w:marLeft w:val="0"/>
      <w:marRight w:val="0"/>
      <w:marTop w:val="0"/>
      <w:marBottom w:val="0"/>
      <w:divBdr>
        <w:top w:val="none" w:sz="0" w:space="0" w:color="auto"/>
        <w:left w:val="none" w:sz="0" w:space="0" w:color="auto"/>
        <w:bottom w:val="none" w:sz="0" w:space="0" w:color="auto"/>
        <w:right w:val="none" w:sz="0" w:space="0" w:color="auto"/>
      </w:divBdr>
    </w:div>
    <w:div w:id="84424883">
      <w:bodyDiv w:val="1"/>
      <w:marLeft w:val="0"/>
      <w:marRight w:val="0"/>
      <w:marTop w:val="0"/>
      <w:marBottom w:val="0"/>
      <w:divBdr>
        <w:top w:val="none" w:sz="0" w:space="0" w:color="auto"/>
        <w:left w:val="none" w:sz="0" w:space="0" w:color="auto"/>
        <w:bottom w:val="none" w:sz="0" w:space="0" w:color="auto"/>
        <w:right w:val="none" w:sz="0" w:space="0" w:color="auto"/>
      </w:divBdr>
    </w:div>
    <w:div w:id="84425898">
      <w:bodyDiv w:val="1"/>
      <w:marLeft w:val="0"/>
      <w:marRight w:val="0"/>
      <w:marTop w:val="0"/>
      <w:marBottom w:val="0"/>
      <w:divBdr>
        <w:top w:val="none" w:sz="0" w:space="0" w:color="auto"/>
        <w:left w:val="none" w:sz="0" w:space="0" w:color="auto"/>
        <w:bottom w:val="none" w:sz="0" w:space="0" w:color="auto"/>
        <w:right w:val="none" w:sz="0" w:space="0" w:color="auto"/>
      </w:divBdr>
    </w:div>
    <w:div w:id="84500568">
      <w:bodyDiv w:val="1"/>
      <w:marLeft w:val="0"/>
      <w:marRight w:val="0"/>
      <w:marTop w:val="0"/>
      <w:marBottom w:val="0"/>
      <w:divBdr>
        <w:top w:val="none" w:sz="0" w:space="0" w:color="auto"/>
        <w:left w:val="none" w:sz="0" w:space="0" w:color="auto"/>
        <w:bottom w:val="none" w:sz="0" w:space="0" w:color="auto"/>
        <w:right w:val="none" w:sz="0" w:space="0" w:color="auto"/>
      </w:divBdr>
    </w:div>
    <w:div w:id="84616929">
      <w:bodyDiv w:val="1"/>
      <w:marLeft w:val="0"/>
      <w:marRight w:val="0"/>
      <w:marTop w:val="0"/>
      <w:marBottom w:val="0"/>
      <w:divBdr>
        <w:top w:val="none" w:sz="0" w:space="0" w:color="auto"/>
        <w:left w:val="none" w:sz="0" w:space="0" w:color="auto"/>
        <w:bottom w:val="none" w:sz="0" w:space="0" w:color="auto"/>
        <w:right w:val="none" w:sz="0" w:space="0" w:color="auto"/>
      </w:divBdr>
    </w:div>
    <w:div w:id="84882386">
      <w:bodyDiv w:val="1"/>
      <w:marLeft w:val="0"/>
      <w:marRight w:val="0"/>
      <w:marTop w:val="0"/>
      <w:marBottom w:val="0"/>
      <w:divBdr>
        <w:top w:val="none" w:sz="0" w:space="0" w:color="auto"/>
        <w:left w:val="none" w:sz="0" w:space="0" w:color="auto"/>
        <w:bottom w:val="none" w:sz="0" w:space="0" w:color="auto"/>
        <w:right w:val="none" w:sz="0" w:space="0" w:color="auto"/>
      </w:divBdr>
    </w:div>
    <w:div w:id="84886434">
      <w:bodyDiv w:val="1"/>
      <w:marLeft w:val="0"/>
      <w:marRight w:val="0"/>
      <w:marTop w:val="0"/>
      <w:marBottom w:val="0"/>
      <w:divBdr>
        <w:top w:val="none" w:sz="0" w:space="0" w:color="auto"/>
        <w:left w:val="none" w:sz="0" w:space="0" w:color="auto"/>
        <w:bottom w:val="none" w:sz="0" w:space="0" w:color="auto"/>
        <w:right w:val="none" w:sz="0" w:space="0" w:color="auto"/>
      </w:divBdr>
    </w:div>
    <w:div w:id="84962516">
      <w:bodyDiv w:val="1"/>
      <w:marLeft w:val="0"/>
      <w:marRight w:val="0"/>
      <w:marTop w:val="0"/>
      <w:marBottom w:val="0"/>
      <w:divBdr>
        <w:top w:val="none" w:sz="0" w:space="0" w:color="auto"/>
        <w:left w:val="none" w:sz="0" w:space="0" w:color="auto"/>
        <w:bottom w:val="none" w:sz="0" w:space="0" w:color="auto"/>
        <w:right w:val="none" w:sz="0" w:space="0" w:color="auto"/>
      </w:divBdr>
    </w:div>
    <w:div w:id="84964766">
      <w:bodyDiv w:val="1"/>
      <w:marLeft w:val="0"/>
      <w:marRight w:val="0"/>
      <w:marTop w:val="0"/>
      <w:marBottom w:val="0"/>
      <w:divBdr>
        <w:top w:val="none" w:sz="0" w:space="0" w:color="auto"/>
        <w:left w:val="none" w:sz="0" w:space="0" w:color="auto"/>
        <w:bottom w:val="none" w:sz="0" w:space="0" w:color="auto"/>
        <w:right w:val="none" w:sz="0" w:space="0" w:color="auto"/>
      </w:divBdr>
    </w:div>
    <w:div w:id="85002347">
      <w:bodyDiv w:val="1"/>
      <w:marLeft w:val="0"/>
      <w:marRight w:val="0"/>
      <w:marTop w:val="0"/>
      <w:marBottom w:val="0"/>
      <w:divBdr>
        <w:top w:val="none" w:sz="0" w:space="0" w:color="auto"/>
        <w:left w:val="none" w:sz="0" w:space="0" w:color="auto"/>
        <w:bottom w:val="none" w:sz="0" w:space="0" w:color="auto"/>
        <w:right w:val="none" w:sz="0" w:space="0" w:color="auto"/>
      </w:divBdr>
    </w:div>
    <w:div w:id="85007032">
      <w:bodyDiv w:val="1"/>
      <w:marLeft w:val="0"/>
      <w:marRight w:val="0"/>
      <w:marTop w:val="0"/>
      <w:marBottom w:val="0"/>
      <w:divBdr>
        <w:top w:val="none" w:sz="0" w:space="0" w:color="auto"/>
        <w:left w:val="none" w:sz="0" w:space="0" w:color="auto"/>
        <w:bottom w:val="none" w:sz="0" w:space="0" w:color="auto"/>
        <w:right w:val="none" w:sz="0" w:space="0" w:color="auto"/>
      </w:divBdr>
    </w:div>
    <w:div w:id="85031634">
      <w:bodyDiv w:val="1"/>
      <w:marLeft w:val="0"/>
      <w:marRight w:val="0"/>
      <w:marTop w:val="0"/>
      <w:marBottom w:val="0"/>
      <w:divBdr>
        <w:top w:val="none" w:sz="0" w:space="0" w:color="auto"/>
        <w:left w:val="none" w:sz="0" w:space="0" w:color="auto"/>
        <w:bottom w:val="none" w:sz="0" w:space="0" w:color="auto"/>
        <w:right w:val="none" w:sz="0" w:space="0" w:color="auto"/>
      </w:divBdr>
    </w:div>
    <w:div w:id="85080559">
      <w:bodyDiv w:val="1"/>
      <w:marLeft w:val="0"/>
      <w:marRight w:val="0"/>
      <w:marTop w:val="0"/>
      <w:marBottom w:val="0"/>
      <w:divBdr>
        <w:top w:val="none" w:sz="0" w:space="0" w:color="auto"/>
        <w:left w:val="none" w:sz="0" w:space="0" w:color="auto"/>
        <w:bottom w:val="none" w:sz="0" w:space="0" w:color="auto"/>
        <w:right w:val="none" w:sz="0" w:space="0" w:color="auto"/>
      </w:divBdr>
    </w:div>
    <w:div w:id="85156553">
      <w:bodyDiv w:val="1"/>
      <w:marLeft w:val="0"/>
      <w:marRight w:val="0"/>
      <w:marTop w:val="0"/>
      <w:marBottom w:val="0"/>
      <w:divBdr>
        <w:top w:val="none" w:sz="0" w:space="0" w:color="auto"/>
        <w:left w:val="none" w:sz="0" w:space="0" w:color="auto"/>
        <w:bottom w:val="none" w:sz="0" w:space="0" w:color="auto"/>
        <w:right w:val="none" w:sz="0" w:space="0" w:color="auto"/>
      </w:divBdr>
    </w:div>
    <w:div w:id="85274739">
      <w:bodyDiv w:val="1"/>
      <w:marLeft w:val="0"/>
      <w:marRight w:val="0"/>
      <w:marTop w:val="0"/>
      <w:marBottom w:val="0"/>
      <w:divBdr>
        <w:top w:val="none" w:sz="0" w:space="0" w:color="auto"/>
        <w:left w:val="none" w:sz="0" w:space="0" w:color="auto"/>
        <w:bottom w:val="none" w:sz="0" w:space="0" w:color="auto"/>
        <w:right w:val="none" w:sz="0" w:space="0" w:color="auto"/>
      </w:divBdr>
    </w:div>
    <w:div w:id="85347424">
      <w:bodyDiv w:val="1"/>
      <w:marLeft w:val="0"/>
      <w:marRight w:val="0"/>
      <w:marTop w:val="0"/>
      <w:marBottom w:val="0"/>
      <w:divBdr>
        <w:top w:val="none" w:sz="0" w:space="0" w:color="auto"/>
        <w:left w:val="none" w:sz="0" w:space="0" w:color="auto"/>
        <w:bottom w:val="none" w:sz="0" w:space="0" w:color="auto"/>
        <w:right w:val="none" w:sz="0" w:space="0" w:color="auto"/>
      </w:divBdr>
    </w:div>
    <w:div w:id="85421879">
      <w:bodyDiv w:val="1"/>
      <w:marLeft w:val="0"/>
      <w:marRight w:val="0"/>
      <w:marTop w:val="0"/>
      <w:marBottom w:val="0"/>
      <w:divBdr>
        <w:top w:val="none" w:sz="0" w:space="0" w:color="auto"/>
        <w:left w:val="none" w:sz="0" w:space="0" w:color="auto"/>
        <w:bottom w:val="none" w:sz="0" w:space="0" w:color="auto"/>
        <w:right w:val="none" w:sz="0" w:space="0" w:color="auto"/>
      </w:divBdr>
    </w:div>
    <w:div w:id="85423497">
      <w:bodyDiv w:val="1"/>
      <w:marLeft w:val="0"/>
      <w:marRight w:val="0"/>
      <w:marTop w:val="0"/>
      <w:marBottom w:val="0"/>
      <w:divBdr>
        <w:top w:val="none" w:sz="0" w:space="0" w:color="auto"/>
        <w:left w:val="none" w:sz="0" w:space="0" w:color="auto"/>
        <w:bottom w:val="none" w:sz="0" w:space="0" w:color="auto"/>
        <w:right w:val="none" w:sz="0" w:space="0" w:color="auto"/>
      </w:divBdr>
    </w:div>
    <w:div w:id="85657476">
      <w:bodyDiv w:val="1"/>
      <w:marLeft w:val="0"/>
      <w:marRight w:val="0"/>
      <w:marTop w:val="0"/>
      <w:marBottom w:val="0"/>
      <w:divBdr>
        <w:top w:val="none" w:sz="0" w:space="0" w:color="auto"/>
        <w:left w:val="none" w:sz="0" w:space="0" w:color="auto"/>
        <w:bottom w:val="none" w:sz="0" w:space="0" w:color="auto"/>
        <w:right w:val="none" w:sz="0" w:space="0" w:color="auto"/>
      </w:divBdr>
    </w:div>
    <w:div w:id="85807382">
      <w:bodyDiv w:val="1"/>
      <w:marLeft w:val="0"/>
      <w:marRight w:val="0"/>
      <w:marTop w:val="0"/>
      <w:marBottom w:val="0"/>
      <w:divBdr>
        <w:top w:val="none" w:sz="0" w:space="0" w:color="auto"/>
        <w:left w:val="none" w:sz="0" w:space="0" w:color="auto"/>
        <w:bottom w:val="none" w:sz="0" w:space="0" w:color="auto"/>
        <w:right w:val="none" w:sz="0" w:space="0" w:color="auto"/>
      </w:divBdr>
    </w:div>
    <w:div w:id="85810286">
      <w:bodyDiv w:val="1"/>
      <w:marLeft w:val="0"/>
      <w:marRight w:val="0"/>
      <w:marTop w:val="0"/>
      <w:marBottom w:val="0"/>
      <w:divBdr>
        <w:top w:val="none" w:sz="0" w:space="0" w:color="auto"/>
        <w:left w:val="none" w:sz="0" w:space="0" w:color="auto"/>
        <w:bottom w:val="none" w:sz="0" w:space="0" w:color="auto"/>
        <w:right w:val="none" w:sz="0" w:space="0" w:color="auto"/>
      </w:divBdr>
    </w:div>
    <w:div w:id="86048980">
      <w:bodyDiv w:val="1"/>
      <w:marLeft w:val="0"/>
      <w:marRight w:val="0"/>
      <w:marTop w:val="0"/>
      <w:marBottom w:val="0"/>
      <w:divBdr>
        <w:top w:val="none" w:sz="0" w:space="0" w:color="auto"/>
        <w:left w:val="none" w:sz="0" w:space="0" w:color="auto"/>
        <w:bottom w:val="none" w:sz="0" w:space="0" w:color="auto"/>
        <w:right w:val="none" w:sz="0" w:space="0" w:color="auto"/>
      </w:divBdr>
    </w:div>
    <w:div w:id="86121032">
      <w:bodyDiv w:val="1"/>
      <w:marLeft w:val="0"/>
      <w:marRight w:val="0"/>
      <w:marTop w:val="0"/>
      <w:marBottom w:val="0"/>
      <w:divBdr>
        <w:top w:val="none" w:sz="0" w:space="0" w:color="auto"/>
        <w:left w:val="none" w:sz="0" w:space="0" w:color="auto"/>
        <w:bottom w:val="none" w:sz="0" w:space="0" w:color="auto"/>
        <w:right w:val="none" w:sz="0" w:space="0" w:color="auto"/>
      </w:divBdr>
    </w:div>
    <w:div w:id="86123141">
      <w:bodyDiv w:val="1"/>
      <w:marLeft w:val="0"/>
      <w:marRight w:val="0"/>
      <w:marTop w:val="0"/>
      <w:marBottom w:val="0"/>
      <w:divBdr>
        <w:top w:val="none" w:sz="0" w:space="0" w:color="auto"/>
        <w:left w:val="none" w:sz="0" w:space="0" w:color="auto"/>
        <w:bottom w:val="none" w:sz="0" w:space="0" w:color="auto"/>
        <w:right w:val="none" w:sz="0" w:space="0" w:color="auto"/>
      </w:divBdr>
    </w:div>
    <w:div w:id="86192697">
      <w:bodyDiv w:val="1"/>
      <w:marLeft w:val="0"/>
      <w:marRight w:val="0"/>
      <w:marTop w:val="0"/>
      <w:marBottom w:val="0"/>
      <w:divBdr>
        <w:top w:val="none" w:sz="0" w:space="0" w:color="auto"/>
        <w:left w:val="none" w:sz="0" w:space="0" w:color="auto"/>
        <w:bottom w:val="none" w:sz="0" w:space="0" w:color="auto"/>
        <w:right w:val="none" w:sz="0" w:space="0" w:color="auto"/>
      </w:divBdr>
    </w:div>
    <w:div w:id="86273438">
      <w:bodyDiv w:val="1"/>
      <w:marLeft w:val="0"/>
      <w:marRight w:val="0"/>
      <w:marTop w:val="0"/>
      <w:marBottom w:val="0"/>
      <w:divBdr>
        <w:top w:val="none" w:sz="0" w:space="0" w:color="auto"/>
        <w:left w:val="none" w:sz="0" w:space="0" w:color="auto"/>
        <w:bottom w:val="none" w:sz="0" w:space="0" w:color="auto"/>
        <w:right w:val="none" w:sz="0" w:space="0" w:color="auto"/>
      </w:divBdr>
    </w:div>
    <w:div w:id="86274149">
      <w:bodyDiv w:val="1"/>
      <w:marLeft w:val="0"/>
      <w:marRight w:val="0"/>
      <w:marTop w:val="0"/>
      <w:marBottom w:val="0"/>
      <w:divBdr>
        <w:top w:val="none" w:sz="0" w:space="0" w:color="auto"/>
        <w:left w:val="none" w:sz="0" w:space="0" w:color="auto"/>
        <w:bottom w:val="none" w:sz="0" w:space="0" w:color="auto"/>
        <w:right w:val="none" w:sz="0" w:space="0" w:color="auto"/>
      </w:divBdr>
    </w:div>
    <w:div w:id="86316759">
      <w:bodyDiv w:val="1"/>
      <w:marLeft w:val="0"/>
      <w:marRight w:val="0"/>
      <w:marTop w:val="0"/>
      <w:marBottom w:val="0"/>
      <w:divBdr>
        <w:top w:val="none" w:sz="0" w:space="0" w:color="auto"/>
        <w:left w:val="none" w:sz="0" w:space="0" w:color="auto"/>
        <w:bottom w:val="none" w:sz="0" w:space="0" w:color="auto"/>
        <w:right w:val="none" w:sz="0" w:space="0" w:color="auto"/>
      </w:divBdr>
    </w:div>
    <w:div w:id="86317872">
      <w:bodyDiv w:val="1"/>
      <w:marLeft w:val="0"/>
      <w:marRight w:val="0"/>
      <w:marTop w:val="0"/>
      <w:marBottom w:val="0"/>
      <w:divBdr>
        <w:top w:val="none" w:sz="0" w:space="0" w:color="auto"/>
        <w:left w:val="none" w:sz="0" w:space="0" w:color="auto"/>
        <w:bottom w:val="none" w:sz="0" w:space="0" w:color="auto"/>
        <w:right w:val="none" w:sz="0" w:space="0" w:color="auto"/>
      </w:divBdr>
    </w:div>
    <w:div w:id="86509491">
      <w:bodyDiv w:val="1"/>
      <w:marLeft w:val="0"/>
      <w:marRight w:val="0"/>
      <w:marTop w:val="0"/>
      <w:marBottom w:val="0"/>
      <w:divBdr>
        <w:top w:val="none" w:sz="0" w:space="0" w:color="auto"/>
        <w:left w:val="none" w:sz="0" w:space="0" w:color="auto"/>
        <w:bottom w:val="none" w:sz="0" w:space="0" w:color="auto"/>
        <w:right w:val="none" w:sz="0" w:space="0" w:color="auto"/>
      </w:divBdr>
    </w:div>
    <w:div w:id="86656166">
      <w:bodyDiv w:val="1"/>
      <w:marLeft w:val="0"/>
      <w:marRight w:val="0"/>
      <w:marTop w:val="0"/>
      <w:marBottom w:val="0"/>
      <w:divBdr>
        <w:top w:val="none" w:sz="0" w:space="0" w:color="auto"/>
        <w:left w:val="none" w:sz="0" w:space="0" w:color="auto"/>
        <w:bottom w:val="none" w:sz="0" w:space="0" w:color="auto"/>
        <w:right w:val="none" w:sz="0" w:space="0" w:color="auto"/>
      </w:divBdr>
    </w:div>
    <w:div w:id="86731767">
      <w:bodyDiv w:val="1"/>
      <w:marLeft w:val="0"/>
      <w:marRight w:val="0"/>
      <w:marTop w:val="0"/>
      <w:marBottom w:val="0"/>
      <w:divBdr>
        <w:top w:val="none" w:sz="0" w:space="0" w:color="auto"/>
        <w:left w:val="none" w:sz="0" w:space="0" w:color="auto"/>
        <w:bottom w:val="none" w:sz="0" w:space="0" w:color="auto"/>
        <w:right w:val="none" w:sz="0" w:space="0" w:color="auto"/>
      </w:divBdr>
    </w:div>
    <w:div w:id="86734219">
      <w:bodyDiv w:val="1"/>
      <w:marLeft w:val="0"/>
      <w:marRight w:val="0"/>
      <w:marTop w:val="0"/>
      <w:marBottom w:val="0"/>
      <w:divBdr>
        <w:top w:val="none" w:sz="0" w:space="0" w:color="auto"/>
        <w:left w:val="none" w:sz="0" w:space="0" w:color="auto"/>
        <w:bottom w:val="none" w:sz="0" w:space="0" w:color="auto"/>
        <w:right w:val="none" w:sz="0" w:space="0" w:color="auto"/>
      </w:divBdr>
    </w:div>
    <w:div w:id="86777618">
      <w:bodyDiv w:val="1"/>
      <w:marLeft w:val="0"/>
      <w:marRight w:val="0"/>
      <w:marTop w:val="0"/>
      <w:marBottom w:val="0"/>
      <w:divBdr>
        <w:top w:val="none" w:sz="0" w:space="0" w:color="auto"/>
        <w:left w:val="none" w:sz="0" w:space="0" w:color="auto"/>
        <w:bottom w:val="none" w:sz="0" w:space="0" w:color="auto"/>
        <w:right w:val="none" w:sz="0" w:space="0" w:color="auto"/>
      </w:divBdr>
    </w:div>
    <w:div w:id="86779236">
      <w:bodyDiv w:val="1"/>
      <w:marLeft w:val="0"/>
      <w:marRight w:val="0"/>
      <w:marTop w:val="0"/>
      <w:marBottom w:val="0"/>
      <w:divBdr>
        <w:top w:val="none" w:sz="0" w:space="0" w:color="auto"/>
        <w:left w:val="none" w:sz="0" w:space="0" w:color="auto"/>
        <w:bottom w:val="none" w:sz="0" w:space="0" w:color="auto"/>
        <w:right w:val="none" w:sz="0" w:space="0" w:color="auto"/>
      </w:divBdr>
    </w:div>
    <w:div w:id="86779368">
      <w:bodyDiv w:val="1"/>
      <w:marLeft w:val="0"/>
      <w:marRight w:val="0"/>
      <w:marTop w:val="0"/>
      <w:marBottom w:val="0"/>
      <w:divBdr>
        <w:top w:val="none" w:sz="0" w:space="0" w:color="auto"/>
        <w:left w:val="none" w:sz="0" w:space="0" w:color="auto"/>
        <w:bottom w:val="none" w:sz="0" w:space="0" w:color="auto"/>
        <w:right w:val="none" w:sz="0" w:space="0" w:color="auto"/>
      </w:divBdr>
    </w:div>
    <w:div w:id="86847586">
      <w:bodyDiv w:val="1"/>
      <w:marLeft w:val="0"/>
      <w:marRight w:val="0"/>
      <w:marTop w:val="0"/>
      <w:marBottom w:val="0"/>
      <w:divBdr>
        <w:top w:val="none" w:sz="0" w:space="0" w:color="auto"/>
        <w:left w:val="none" w:sz="0" w:space="0" w:color="auto"/>
        <w:bottom w:val="none" w:sz="0" w:space="0" w:color="auto"/>
        <w:right w:val="none" w:sz="0" w:space="0" w:color="auto"/>
      </w:divBdr>
    </w:div>
    <w:div w:id="86848218">
      <w:bodyDiv w:val="1"/>
      <w:marLeft w:val="0"/>
      <w:marRight w:val="0"/>
      <w:marTop w:val="0"/>
      <w:marBottom w:val="0"/>
      <w:divBdr>
        <w:top w:val="none" w:sz="0" w:space="0" w:color="auto"/>
        <w:left w:val="none" w:sz="0" w:space="0" w:color="auto"/>
        <w:bottom w:val="none" w:sz="0" w:space="0" w:color="auto"/>
        <w:right w:val="none" w:sz="0" w:space="0" w:color="auto"/>
      </w:divBdr>
    </w:div>
    <w:div w:id="86922935">
      <w:bodyDiv w:val="1"/>
      <w:marLeft w:val="0"/>
      <w:marRight w:val="0"/>
      <w:marTop w:val="0"/>
      <w:marBottom w:val="0"/>
      <w:divBdr>
        <w:top w:val="none" w:sz="0" w:space="0" w:color="auto"/>
        <w:left w:val="none" w:sz="0" w:space="0" w:color="auto"/>
        <w:bottom w:val="none" w:sz="0" w:space="0" w:color="auto"/>
        <w:right w:val="none" w:sz="0" w:space="0" w:color="auto"/>
      </w:divBdr>
    </w:div>
    <w:div w:id="86971740">
      <w:bodyDiv w:val="1"/>
      <w:marLeft w:val="0"/>
      <w:marRight w:val="0"/>
      <w:marTop w:val="0"/>
      <w:marBottom w:val="0"/>
      <w:divBdr>
        <w:top w:val="none" w:sz="0" w:space="0" w:color="auto"/>
        <w:left w:val="none" w:sz="0" w:space="0" w:color="auto"/>
        <w:bottom w:val="none" w:sz="0" w:space="0" w:color="auto"/>
        <w:right w:val="none" w:sz="0" w:space="0" w:color="auto"/>
      </w:divBdr>
    </w:div>
    <w:div w:id="86971743">
      <w:bodyDiv w:val="1"/>
      <w:marLeft w:val="0"/>
      <w:marRight w:val="0"/>
      <w:marTop w:val="0"/>
      <w:marBottom w:val="0"/>
      <w:divBdr>
        <w:top w:val="none" w:sz="0" w:space="0" w:color="auto"/>
        <w:left w:val="none" w:sz="0" w:space="0" w:color="auto"/>
        <w:bottom w:val="none" w:sz="0" w:space="0" w:color="auto"/>
        <w:right w:val="none" w:sz="0" w:space="0" w:color="auto"/>
      </w:divBdr>
    </w:div>
    <w:div w:id="86972767">
      <w:bodyDiv w:val="1"/>
      <w:marLeft w:val="0"/>
      <w:marRight w:val="0"/>
      <w:marTop w:val="0"/>
      <w:marBottom w:val="0"/>
      <w:divBdr>
        <w:top w:val="none" w:sz="0" w:space="0" w:color="auto"/>
        <w:left w:val="none" w:sz="0" w:space="0" w:color="auto"/>
        <w:bottom w:val="none" w:sz="0" w:space="0" w:color="auto"/>
        <w:right w:val="none" w:sz="0" w:space="0" w:color="auto"/>
      </w:divBdr>
    </w:div>
    <w:div w:id="87043902">
      <w:bodyDiv w:val="1"/>
      <w:marLeft w:val="0"/>
      <w:marRight w:val="0"/>
      <w:marTop w:val="0"/>
      <w:marBottom w:val="0"/>
      <w:divBdr>
        <w:top w:val="none" w:sz="0" w:space="0" w:color="auto"/>
        <w:left w:val="none" w:sz="0" w:space="0" w:color="auto"/>
        <w:bottom w:val="none" w:sz="0" w:space="0" w:color="auto"/>
        <w:right w:val="none" w:sz="0" w:space="0" w:color="auto"/>
      </w:divBdr>
    </w:div>
    <w:div w:id="87237451">
      <w:bodyDiv w:val="1"/>
      <w:marLeft w:val="0"/>
      <w:marRight w:val="0"/>
      <w:marTop w:val="0"/>
      <w:marBottom w:val="0"/>
      <w:divBdr>
        <w:top w:val="none" w:sz="0" w:space="0" w:color="auto"/>
        <w:left w:val="none" w:sz="0" w:space="0" w:color="auto"/>
        <w:bottom w:val="none" w:sz="0" w:space="0" w:color="auto"/>
        <w:right w:val="none" w:sz="0" w:space="0" w:color="auto"/>
      </w:divBdr>
    </w:div>
    <w:div w:id="87316329">
      <w:bodyDiv w:val="1"/>
      <w:marLeft w:val="0"/>
      <w:marRight w:val="0"/>
      <w:marTop w:val="0"/>
      <w:marBottom w:val="0"/>
      <w:divBdr>
        <w:top w:val="none" w:sz="0" w:space="0" w:color="auto"/>
        <w:left w:val="none" w:sz="0" w:space="0" w:color="auto"/>
        <w:bottom w:val="none" w:sz="0" w:space="0" w:color="auto"/>
        <w:right w:val="none" w:sz="0" w:space="0" w:color="auto"/>
      </w:divBdr>
    </w:div>
    <w:div w:id="87389649">
      <w:bodyDiv w:val="1"/>
      <w:marLeft w:val="0"/>
      <w:marRight w:val="0"/>
      <w:marTop w:val="0"/>
      <w:marBottom w:val="0"/>
      <w:divBdr>
        <w:top w:val="none" w:sz="0" w:space="0" w:color="auto"/>
        <w:left w:val="none" w:sz="0" w:space="0" w:color="auto"/>
        <w:bottom w:val="none" w:sz="0" w:space="0" w:color="auto"/>
        <w:right w:val="none" w:sz="0" w:space="0" w:color="auto"/>
      </w:divBdr>
    </w:div>
    <w:div w:id="87426524">
      <w:bodyDiv w:val="1"/>
      <w:marLeft w:val="0"/>
      <w:marRight w:val="0"/>
      <w:marTop w:val="0"/>
      <w:marBottom w:val="0"/>
      <w:divBdr>
        <w:top w:val="none" w:sz="0" w:space="0" w:color="auto"/>
        <w:left w:val="none" w:sz="0" w:space="0" w:color="auto"/>
        <w:bottom w:val="none" w:sz="0" w:space="0" w:color="auto"/>
        <w:right w:val="none" w:sz="0" w:space="0" w:color="auto"/>
      </w:divBdr>
    </w:div>
    <w:div w:id="87430768">
      <w:bodyDiv w:val="1"/>
      <w:marLeft w:val="0"/>
      <w:marRight w:val="0"/>
      <w:marTop w:val="0"/>
      <w:marBottom w:val="0"/>
      <w:divBdr>
        <w:top w:val="none" w:sz="0" w:space="0" w:color="auto"/>
        <w:left w:val="none" w:sz="0" w:space="0" w:color="auto"/>
        <w:bottom w:val="none" w:sz="0" w:space="0" w:color="auto"/>
        <w:right w:val="none" w:sz="0" w:space="0" w:color="auto"/>
      </w:divBdr>
    </w:div>
    <w:div w:id="87622261">
      <w:bodyDiv w:val="1"/>
      <w:marLeft w:val="0"/>
      <w:marRight w:val="0"/>
      <w:marTop w:val="0"/>
      <w:marBottom w:val="0"/>
      <w:divBdr>
        <w:top w:val="none" w:sz="0" w:space="0" w:color="auto"/>
        <w:left w:val="none" w:sz="0" w:space="0" w:color="auto"/>
        <w:bottom w:val="none" w:sz="0" w:space="0" w:color="auto"/>
        <w:right w:val="none" w:sz="0" w:space="0" w:color="auto"/>
      </w:divBdr>
    </w:div>
    <w:div w:id="87701969">
      <w:bodyDiv w:val="1"/>
      <w:marLeft w:val="0"/>
      <w:marRight w:val="0"/>
      <w:marTop w:val="0"/>
      <w:marBottom w:val="0"/>
      <w:divBdr>
        <w:top w:val="none" w:sz="0" w:space="0" w:color="auto"/>
        <w:left w:val="none" w:sz="0" w:space="0" w:color="auto"/>
        <w:bottom w:val="none" w:sz="0" w:space="0" w:color="auto"/>
        <w:right w:val="none" w:sz="0" w:space="0" w:color="auto"/>
      </w:divBdr>
    </w:div>
    <w:div w:id="87704227">
      <w:bodyDiv w:val="1"/>
      <w:marLeft w:val="0"/>
      <w:marRight w:val="0"/>
      <w:marTop w:val="0"/>
      <w:marBottom w:val="0"/>
      <w:divBdr>
        <w:top w:val="none" w:sz="0" w:space="0" w:color="auto"/>
        <w:left w:val="none" w:sz="0" w:space="0" w:color="auto"/>
        <w:bottom w:val="none" w:sz="0" w:space="0" w:color="auto"/>
        <w:right w:val="none" w:sz="0" w:space="0" w:color="auto"/>
      </w:divBdr>
    </w:div>
    <w:div w:id="87704801">
      <w:bodyDiv w:val="1"/>
      <w:marLeft w:val="0"/>
      <w:marRight w:val="0"/>
      <w:marTop w:val="0"/>
      <w:marBottom w:val="0"/>
      <w:divBdr>
        <w:top w:val="none" w:sz="0" w:space="0" w:color="auto"/>
        <w:left w:val="none" w:sz="0" w:space="0" w:color="auto"/>
        <w:bottom w:val="none" w:sz="0" w:space="0" w:color="auto"/>
        <w:right w:val="none" w:sz="0" w:space="0" w:color="auto"/>
      </w:divBdr>
    </w:div>
    <w:div w:id="87774313">
      <w:bodyDiv w:val="1"/>
      <w:marLeft w:val="0"/>
      <w:marRight w:val="0"/>
      <w:marTop w:val="0"/>
      <w:marBottom w:val="0"/>
      <w:divBdr>
        <w:top w:val="none" w:sz="0" w:space="0" w:color="auto"/>
        <w:left w:val="none" w:sz="0" w:space="0" w:color="auto"/>
        <w:bottom w:val="none" w:sz="0" w:space="0" w:color="auto"/>
        <w:right w:val="none" w:sz="0" w:space="0" w:color="auto"/>
      </w:divBdr>
    </w:div>
    <w:div w:id="87774585">
      <w:bodyDiv w:val="1"/>
      <w:marLeft w:val="0"/>
      <w:marRight w:val="0"/>
      <w:marTop w:val="0"/>
      <w:marBottom w:val="0"/>
      <w:divBdr>
        <w:top w:val="none" w:sz="0" w:space="0" w:color="auto"/>
        <w:left w:val="none" w:sz="0" w:space="0" w:color="auto"/>
        <w:bottom w:val="none" w:sz="0" w:space="0" w:color="auto"/>
        <w:right w:val="none" w:sz="0" w:space="0" w:color="auto"/>
      </w:divBdr>
    </w:div>
    <w:div w:id="87775024">
      <w:bodyDiv w:val="1"/>
      <w:marLeft w:val="0"/>
      <w:marRight w:val="0"/>
      <w:marTop w:val="0"/>
      <w:marBottom w:val="0"/>
      <w:divBdr>
        <w:top w:val="none" w:sz="0" w:space="0" w:color="auto"/>
        <w:left w:val="none" w:sz="0" w:space="0" w:color="auto"/>
        <w:bottom w:val="none" w:sz="0" w:space="0" w:color="auto"/>
        <w:right w:val="none" w:sz="0" w:space="0" w:color="auto"/>
      </w:divBdr>
    </w:div>
    <w:div w:id="87973469">
      <w:bodyDiv w:val="1"/>
      <w:marLeft w:val="0"/>
      <w:marRight w:val="0"/>
      <w:marTop w:val="0"/>
      <w:marBottom w:val="0"/>
      <w:divBdr>
        <w:top w:val="none" w:sz="0" w:space="0" w:color="auto"/>
        <w:left w:val="none" w:sz="0" w:space="0" w:color="auto"/>
        <w:bottom w:val="none" w:sz="0" w:space="0" w:color="auto"/>
        <w:right w:val="none" w:sz="0" w:space="0" w:color="auto"/>
      </w:divBdr>
    </w:div>
    <w:div w:id="88043623">
      <w:bodyDiv w:val="1"/>
      <w:marLeft w:val="0"/>
      <w:marRight w:val="0"/>
      <w:marTop w:val="0"/>
      <w:marBottom w:val="0"/>
      <w:divBdr>
        <w:top w:val="none" w:sz="0" w:space="0" w:color="auto"/>
        <w:left w:val="none" w:sz="0" w:space="0" w:color="auto"/>
        <w:bottom w:val="none" w:sz="0" w:space="0" w:color="auto"/>
        <w:right w:val="none" w:sz="0" w:space="0" w:color="auto"/>
      </w:divBdr>
    </w:div>
    <w:div w:id="88088115">
      <w:bodyDiv w:val="1"/>
      <w:marLeft w:val="0"/>
      <w:marRight w:val="0"/>
      <w:marTop w:val="0"/>
      <w:marBottom w:val="0"/>
      <w:divBdr>
        <w:top w:val="none" w:sz="0" w:space="0" w:color="auto"/>
        <w:left w:val="none" w:sz="0" w:space="0" w:color="auto"/>
        <w:bottom w:val="none" w:sz="0" w:space="0" w:color="auto"/>
        <w:right w:val="none" w:sz="0" w:space="0" w:color="auto"/>
      </w:divBdr>
    </w:div>
    <w:div w:id="88284614">
      <w:bodyDiv w:val="1"/>
      <w:marLeft w:val="0"/>
      <w:marRight w:val="0"/>
      <w:marTop w:val="0"/>
      <w:marBottom w:val="0"/>
      <w:divBdr>
        <w:top w:val="none" w:sz="0" w:space="0" w:color="auto"/>
        <w:left w:val="none" w:sz="0" w:space="0" w:color="auto"/>
        <w:bottom w:val="none" w:sz="0" w:space="0" w:color="auto"/>
        <w:right w:val="none" w:sz="0" w:space="0" w:color="auto"/>
      </w:divBdr>
    </w:div>
    <w:div w:id="88433224">
      <w:bodyDiv w:val="1"/>
      <w:marLeft w:val="0"/>
      <w:marRight w:val="0"/>
      <w:marTop w:val="0"/>
      <w:marBottom w:val="0"/>
      <w:divBdr>
        <w:top w:val="none" w:sz="0" w:space="0" w:color="auto"/>
        <w:left w:val="none" w:sz="0" w:space="0" w:color="auto"/>
        <w:bottom w:val="none" w:sz="0" w:space="0" w:color="auto"/>
        <w:right w:val="none" w:sz="0" w:space="0" w:color="auto"/>
      </w:divBdr>
    </w:div>
    <w:div w:id="88474265">
      <w:bodyDiv w:val="1"/>
      <w:marLeft w:val="0"/>
      <w:marRight w:val="0"/>
      <w:marTop w:val="0"/>
      <w:marBottom w:val="0"/>
      <w:divBdr>
        <w:top w:val="none" w:sz="0" w:space="0" w:color="auto"/>
        <w:left w:val="none" w:sz="0" w:space="0" w:color="auto"/>
        <w:bottom w:val="none" w:sz="0" w:space="0" w:color="auto"/>
        <w:right w:val="none" w:sz="0" w:space="0" w:color="auto"/>
      </w:divBdr>
    </w:div>
    <w:div w:id="88475371">
      <w:bodyDiv w:val="1"/>
      <w:marLeft w:val="0"/>
      <w:marRight w:val="0"/>
      <w:marTop w:val="0"/>
      <w:marBottom w:val="0"/>
      <w:divBdr>
        <w:top w:val="none" w:sz="0" w:space="0" w:color="auto"/>
        <w:left w:val="none" w:sz="0" w:space="0" w:color="auto"/>
        <w:bottom w:val="none" w:sz="0" w:space="0" w:color="auto"/>
        <w:right w:val="none" w:sz="0" w:space="0" w:color="auto"/>
      </w:divBdr>
    </w:div>
    <w:div w:id="88544153">
      <w:bodyDiv w:val="1"/>
      <w:marLeft w:val="0"/>
      <w:marRight w:val="0"/>
      <w:marTop w:val="0"/>
      <w:marBottom w:val="0"/>
      <w:divBdr>
        <w:top w:val="none" w:sz="0" w:space="0" w:color="auto"/>
        <w:left w:val="none" w:sz="0" w:space="0" w:color="auto"/>
        <w:bottom w:val="none" w:sz="0" w:space="0" w:color="auto"/>
        <w:right w:val="none" w:sz="0" w:space="0" w:color="auto"/>
      </w:divBdr>
    </w:div>
    <w:div w:id="88695767">
      <w:bodyDiv w:val="1"/>
      <w:marLeft w:val="0"/>
      <w:marRight w:val="0"/>
      <w:marTop w:val="0"/>
      <w:marBottom w:val="0"/>
      <w:divBdr>
        <w:top w:val="none" w:sz="0" w:space="0" w:color="auto"/>
        <w:left w:val="none" w:sz="0" w:space="0" w:color="auto"/>
        <w:bottom w:val="none" w:sz="0" w:space="0" w:color="auto"/>
        <w:right w:val="none" w:sz="0" w:space="0" w:color="auto"/>
      </w:divBdr>
    </w:div>
    <w:div w:id="88699559">
      <w:bodyDiv w:val="1"/>
      <w:marLeft w:val="0"/>
      <w:marRight w:val="0"/>
      <w:marTop w:val="0"/>
      <w:marBottom w:val="0"/>
      <w:divBdr>
        <w:top w:val="none" w:sz="0" w:space="0" w:color="auto"/>
        <w:left w:val="none" w:sz="0" w:space="0" w:color="auto"/>
        <w:bottom w:val="none" w:sz="0" w:space="0" w:color="auto"/>
        <w:right w:val="none" w:sz="0" w:space="0" w:color="auto"/>
      </w:divBdr>
    </w:div>
    <w:div w:id="88700547">
      <w:bodyDiv w:val="1"/>
      <w:marLeft w:val="0"/>
      <w:marRight w:val="0"/>
      <w:marTop w:val="0"/>
      <w:marBottom w:val="0"/>
      <w:divBdr>
        <w:top w:val="none" w:sz="0" w:space="0" w:color="auto"/>
        <w:left w:val="none" w:sz="0" w:space="0" w:color="auto"/>
        <w:bottom w:val="none" w:sz="0" w:space="0" w:color="auto"/>
        <w:right w:val="none" w:sz="0" w:space="0" w:color="auto"/>
      </w:divBdr>
    </w:div>
    <w:div w:id="88817823">
      <w:bodyDiv w:val="1"/>
      <w:marLeft w:val="0"/>
      <w:marRight w:val="0"/>
      <w:marTop w:val="0"/>
      <w:marBottom w:val="0"/>
      <w:divBdr>
        <w:top w:val="none" w:sz="0" w:space="0" w:color="auto"/>
        <w:left w:val="none" w:sz="0" w:space="0" w:color="auto"/>
        <w:bottom w:val="none" w:sz="0" w:space="0" w:color="auto"/>
        <w:right w:val="none" w:sz="0" w:space="0" w:color="auto"/>
      </w:divBdr>
    </w:div>
    <w:div w:id="88891483">
      <w:bodyDiv w:val="1"/>
      <w:marLeft w:val="0"/>
      <w:marRight w:val="0"/>
      <w:marTop w:val="0"/>
      <w:marBottom w:val="0"/>
      <w:divBdr>
        <w:top w:val="none" w:sz="0" w:space="0" w:color="auto"/>
        <w:left w:val="none" w:sz="0" w:space="0" w:color="auto"/>
        <w:bottom w:val="none" w:sz="0" w:space="0" w:color="auto"/>
        <w:right w:val="none" w:sz="0" w:space="0" w:color="auto"/>
      </w:divBdr>
    </w:div>
    <w:div w:id="89008677">
      <w:bodyDiv w:val="1"/>
      <w:marLeft w:val="0"/>
      <w:marRight w:val="0"/>
      <w:marTop w:val="0"/>
      <w:marBottom w:val="0"/>
      <w:divBdr>
        <w:top w:val="none" w:sz="0" w:space="0" w:color="auto"/>
        <w:left w:val="none" w:sz="0" w:space="0" w:color="auto"/>
        <w:bottom w:val="none" w:sz="0" w:space="0" w:color="auto"/>
        <w:right w:val="none" w:sz="0" w:space="0" w:color="auto"/>
      </w:divBdr>
    </w:div>
    <w:div w:id="89013864">
      <w:bodyDiv w:val="1"/>
      <w:marLeft w:val="0"/>
      <w:marRight w:val="0"/>
      <w:marTop w:val="0"/>
      <w:marBottom w:val="0"/>
      <w:divBdr>
        <w:top w:val="none" w:sz="0" w:space="0" w:color="auto"/>
        <w:left w:val="none" w:sz="0" w:space="0" w:color="auto"/>
        <w:bottom w:val="none" w:sz="0" w:space="0" w:color="auto"/>
        <w:right w:val="none" w:sz="0" w:space="0" w:color="auto"/>
      </w:divBdr>
    </w:div>
    <w:div w:id="89015178">
      <w:bodyDiv w:val="1"/>
      <w:marLeft w:val="0"/>
      <w:marRight w:val="0"/>
      <w:marTop w:val="0"/>
      <w:marBottom w:val="0"/>
      <w:divBdr>
        <w:top w:val="none" w:sz="0" w:space="0" w:color="auto"/>
        <w:left w:val="none" w:sz="0" w:space="0" w:color="auto"/>
        <w:bottom w:val="none" w:sz="0" w:space="0" w:color="auto"/>
        <w:right w:val="none" w:sz="0" w:space="0" w:color="auto"/>
      </w:divBdr>
    </w:div>
    <w:div w:id="89083483">
      <w:bodyDiv w:val="1"/>
      <w:marLeft w:val="0"/>
      <w:marRight w:val="0"/>
      <w:marTop w:val="0"/>
      <w:marBottom w:val="0"/>
      <w:divBdr>
        <w:top w:val="none" w:sz="0" w:space="0" w:color="auto"/>
        <w:left w:val="none" w:sz="0" w:space="0" w:color="auto"/>
        <w:bottom w:val="none" w:sz="0" w:space="0" w:color="auto"/>
        <w:right w:val="none" w:sz="0" w:space="0" w:color="auto"/>
      </w:divBdr>
    </w:div>
    <w:div w:id="89202783">
      <w:bodyDiv w:val="1"/>
      <w:marLeft w:val="0"/>
      <w:marRight w:val="0"/>
      <w:marTop w:val="0"/>
      <w:marBottom w:val="0"/>
      <w:divBdr>
        <w:top w:val="none" w:sz="0" w:space="0" w:color="auto"/>
        <w:left w:val="none" w:sz="0" w:space="0" w:color="auto"/>
        <w:bottom w:val="none" w:sz="0" w:space="0" w:color="auto"/>
        <w:right w:val="none" w:sz="0" w:space="0" w:color="auto"/>
      </w:divBdr>
    </w:div>
    <w:div w:id="89350575">
      <w:bodyDiv w:val="1"/>
      <w:marLeft w:val="0"/>
      <w:marRight w:val="0"/>
      <w:marTop w:val="0"/>
      <w:marBottom w:val="0"/>
      <w:divBdr>
        <w:top w:val="none" w:sz="0" w:space="0" w:color="auto"/>
        <w:left w:val="none" w:sz="0" w:space="0" w:color="auto"/>
        <w:bottom w:val="none" w:sz="0" w:space="0" w:color="auto"/>
        <w:right w:val="none" w:sz="0" w:space="0" w:color="auto"/>
      </w:divBdr>
    </w:div>
    <w:div w:id="89352995">
      <w:bodyDiv w:val="1"/>
      <w:marLeft w:val="0"/>
      <w:marRight w:val="0"/>
      <w:marTop w:val="0"/>
      <w:marBottom w:val="0"/>
      <w:divBdr>
        <w:top w:val="none" w:sz="0" w:space="0" w:color="auto"/>
        <w:left w:val="none" w:sz="0" w:space="0" w:color="auto"/>
        <w:bottom w:val="none" w:sz="0" w:space="0" w:color="auto"/>
        <w:right w:val="none" w:sz="0" w:space="0" w:color="auto"/>
      </w:divBdr>
    </w:div>
    <w:div w:id="89392933">
      <w:bodyDiv w:val="1"/>
      <w:marLeft w:val="0"/>
      <w:marRight w:val="0"/>
      <w:marTop w:val="0"/>
      <w:marBottom w:val="0"/>
      <w:divBdr>
        <w:top w:val="none" w:sz="0" w:space="0" w:color="auto"/>
        <w:left w:val="none" w:sz="0" w:space="0" w:color="auto"/>
        <w:bottom w:val="none" w:sz="0" w:space="0" w:color="auto"/>
        <w:right w:val="none" w:sz="0" w:space="0" w:color="auto"/>
      </w:divBdr>
    </w:div>
    <w:div w:id="89588557">
      <w:bodyDiv w:val="1"/>
      <w:marLeft w:val="0"/>
      <w:marRight w:val="0"/>
      <w:marTop w:val="0"/>
      <w:marBottom w:val="0"/>
      <w:divBdr>
        <w:top w:val="none" w:sz="0" w:space="0" w:color="auto"/>
        <w:left w:val="none" w:sz="0" w:space="0" w:color="auto"/>
        <w:bottom w:val="none" w:sz="0" w:space="0" w:color="auto"/>
        <w:right w:val="none" w:sz="0" w:space="0" w:color="auto"/>
      </w:divBdr>
    </w:div>
    <w:div w:id="89591477">
      <w:bodyDiv w:val="1"/>
      <w:marLeft w:val="0"/>
      <w:marRight w:val="0"/>
      <w:marTop w:val="0"/>
      <w:marBottom w:val="0"/>
      <w:divBdr>
        <w:top w:val="none" w:sz="0" w:space="0" w:color="auto"/>
        <w:left w:val="none" w:sz="0" w:space="0" w:color="auto"/>
        <w:bottom w:val="none" w:sz="0" w:space="0" w:color="auto"/>
        <w:right w:val="none" w:sz="0" w:space="0" w:color="auto"/>
      </w:divBdr>
    </w:div>
    <w:div w:id="89593337">
      <w:bodyDiv w:val="1"/>
      <w:marLeft w:val="0"/>
      <w:marRight w:val="0"/>
      <w:marTop w:val="0"/>
      <w:marBottom w:val="0"/>
      <w:divBdr>
        <w:top w:val="none" w:sz="0" w:space="0" w:color="auto"/>
        <w:left w:val="none" w:sz="0" w:space="0" w:color="auto"/>
        <w:bottom w:val="none" w:sz="0" w:space="0" w:color="auto"/>
        <w:right w:val="none" w:sz="0" w:space="0" w:color="auto"/>
      </w:divBdr>
    </w:div>
    <w:div w:id="89741796">
      <w:bodyDiv w:val="1"/>
      <w:marLeft w:val="0"/>
      <w:marRight w:val="0"/>
      <w:marTop w:val="0"/>
      <w:marBottom w:val="0"/>
      <w:divBdr>
        <w:top w:val="none" w:sz="0" w:space="0" w:color="auto"/>
        <w:left w:val="none" w:sz="0" w:space="0" w:color="auto"/>
        <w:bottom w:val="none" w:sz="0" w:space="0" w:color="auto"/>
        <w:right w:val="none" w:sz="0" w:space="0" w:color="auto"/>
      </w:divBdr>
    </w:div>
    <w:div w:id="89743399">
      <w:bodyDiv w:val="1"/>
      <w:marLeft w:val="0"/>
      <w:marRight w:val="0"/>
      <w:marTop w:val="0"/>
      <w:marBottom w:val="0"/>
      <w:divBdr>
        <w:top w:val="none" w:sz="0" w:space="0" w:color="auto"/>
        <w:left w:val="none" w:sz="0" w:space="0" w:color="auto"/>
        <w:bottom w:val="none" w:sz="0" w:space="0" w:color="auto"/>
        <w:right w:val="none" w:sz="0" w:space="0" w:color="auto"/>
      </w:divBdr>
    </w:div>
    <w:div w:id="89814853">
      <w:bodyDiv w:val="1"/>
      <w:marLeft w:val="0"/>
      <w:marRight w:val="0"/>
      <w:marTop w:val="0"/>
      <w:marBottom w:val="0"/>
      <w:divBdr>
        <w:top w:val="none" w:sz="0" w:space="0" w:color="auto"/>
        <w:left w:val="none" w:sz="0" w:space="0" w:color="auto"/>
        <w:bottom w:val="none" w:sz="0" w:space="0" w:color="auto"/>
        <w:right w:val="none" w:sz="0" w:space="0" w:color="auto"/>
      </w:divBdr>
    </w:div>
    <w:div w:id="89862683">
      <w:bodyDiv w:val="1"/>
      <w:marLeft w:val="0"/>
      <w:marRight w:val="0"/>
      <w:marTop w:val="0"/>
      <w:marBottom w:val="0"/>
      <w:divBdr>
        <w:top w:val="none" w:sz="0" w:space="0" w:color="auto"/>
        <w:left w:val="none" w:sz="0" w:space="0" w:color="auto"/>
        <w:bottom w:val="none" w:sz="0" w:space="0" w:color="auto"/>
        <w:right w:val="none" w:sz="0" w:space="0" w:color="auto"/>
      </w:divBdr>
    </w:div>
    <w:div w:id="90048165">
      <w:bodyDiv w:val="1"/>
      <w:marLeft w:val="0"/>
      <w:marRight w:val="0"/>
      <w:marTop w:val="0"/>
      <w:marBottom w:val="0"/>
      <w:divBdr>
        <w:top w:val="none" w:sz="0" w:space="0" w:color="auto"/>
        <w:left w:val="none" w:sz="0" w:space="0" w:color="auto"/>
        <w:bottom w:val="none" w:sz="0" w:space="0" w:color="auto"/>
        <w:right w:val="none" w:sz="0" w:space="0" w:color="auto"/>
      </w:divBdr>
    </w:div>
    <w:div w:id="90055491">
      <w:bodyDiv w:val="1"/>
      <w:marLeft w:val="0"/>
      <w:marRight w:val="0"/>
      <w:marTop w:val="0"/>
      <w:marBottom w:val="0"/>
      <w:divBdr>
        <w:top w:val="none" w:sz="0" w:space="0" w:color="auto"/>
        <w:left w:val="none" w:sz="0" w:space="0" w:color="auto"/>
        <w:bottom w:val="none" w:sz="0" w:space="0" w:color="auto"/>
        <w:right w:val="none" w:sz="0" w:space="0" w:color="auto"/>
      </w:divBdr>
    </w:div>
    <w:div w:id="90124672">
      <w:bodyDiv w:val="1"/>
      <w:marLeft w:val="0"/>
      <w:marRight w:val="0"/>
      <w:marTop w:val="0"/>
      <w:marBottom w:val="0"/>
      <w:divBdr>
        <w:top w:val="none" w:sz="0" w:space="0" w:color="auto"/>
        <w:left w:val="none" w:sz="0" w:space="0" w:color="auto"/>
        <w:bottom w:val="none" w:sz="0" w:space="0" w:color="auto"/>
        <w:right w:val="none" w:sz="0" w:space="0" w:color="auto"/>
      </w:divBdr>
    </w:div>
    <w:div w:id="90124878">
      <w:bodyDiv w:val="1"/>
      <w:marLeft w:val="0"/>
      <w:marRight w:val="0"/>
      <w:marTop w:val="0"/>
      <w:marBottom w:val="0"/>
      <w:divBdr>
        <w:top w:val="none" w:sz="0" w:space="0" w:color="auto"/>
        <w:left w:val="none" w:sz="0" w:space="0" w:color="auto"/>
        <w:bottom w:val="none" w:sz="0" w:space="0" w:color="auto"/>
        <w:right w:val="none" w:sz="0" w:space="0" w:color="auto"/>
      </w:divBdr>
    </w:div>
    <w:div w:id="90128638">
      <w:bodyDiv w:val="1"/>
      <w:marLeft w:val="0"/>
      <w:marRight w:val="0"/>
      <w:marTop w:val="0"/>
      <w:marBottom w:val="0"/>
      <w:divBdr>
        <w:top w:val="none" w:sz="0" w:space="0" w:color="auto"/>
        <w:left w:val="none" w:sz="0" w:space="0" w:color="auto"/>
        <w:bottom w:val="none" w:sz="0" w:space="0" w:color="auto"/>
        <w:right w:val="none" w:sz="0" w:space="0" w:color="auto"/>
      </w:divBdr>
    </w:div>
    <w:div w:id="90200461">
      <w:bodyDiv w:val="1"/>
      <w:marLeft w:val="0"/>
      <w:marRight w:val="0"/>
      <w:marTop w:val="0"/>
      <w:marBottom w:val="0"/>
      <w:divBdr>
        <w:top w:val="none" w:sz="0" w:space="0" w:color="auto"/>
        <w:left w:val="none" w:sz="0" w:space="0" w:color="auto"/>
        <w:bottom w:val="none" w:sz="0" w:space="0" w:color="auto"/>
        <w:right w:val="none" w:sz="0" w:space="0" w:color="auto"/>
      </w:divBdr>
    </w:div>
    <w:div w:id="90201559">
      <w:bodyDiv w:val="1"/>
      <w:marLeft w:val="0"/>
      <w:marRight w:val="0"/>
      <w:marTop w:val="0"/>
      <w:marBottom w:val="0"/>
      <w:divBdr>
        <w:top w:val="none" w:sz="0" w:space="0" w:color="auto"/>
        <w:left w:val="none" w:sz="0" w:space="0" w:color="auto"/>
        <w:bottom w:val="none" w:sz="0" w:space="0" w:color="auto"/>
        <w:right w:val="none" w:sz="0" w:space="0" w:color="auto"/>
      </w:divBdr>
    </w:div>
    <w:div w:id="90246413">
      <w:bodyDiv w:val="1"/>
      <w:marLeft w:val="0"/>
      <w:marRight w:val="0"/>
      <w:marTop w:val="0"/>
      <w:marBottom w:val="0"/>
      <w:divBdr>
        <w:top w:val="none" w:sz="0" w:space="0" w:color="auto"/>
        <w:left w:val="none" w:sz="0" w:space="0" w:color="auto"/>
        <w:bottom w:val="none" w:sz="0" w:space="0" w:color="auto"/>
        <w:right w:val="none" w:sz="0" w:space="0" w:color="auto"/>
      </w:divBdr>
    </w:div>
    <w:div w:id="90274814">
      <w:bodyDiv w:val="1"/>
      <w:marLeft w:val="0"/>
      <w:marRight w:val="0"/>
      <w:marTop w:val="0"/>
      <w:marBottom w:val="0"/>
      <w:divBdr>
        <w:top w:val="none" w:sz="0" w:space="0" w:color="auto"/>
        <w:left w:val="none" w:sz="0" w:space="0" w:color="auto"/>
        <w:bottom w:val="none" w:sz="0" w:space="0" w:color="auto"/>
        <w:right w:val="none" w:sz="0" w:space="0" w:color="auto"/>
      </w:divBdr>
    </w:div>
    <w:div w:id="90321631">
      <w:bodyDiv w:val="1"/>
      <w:marLeft w:val="0"/>
      <w:marRight w:val="0"/>
      <w:marTop w:val="0"/>
      <w:marBottom w:val="0"/>
      <w:divBdr>
        <w:top w:val="none" w:sz="0" w:space="0" w:color="auto"/>
        <w:left w:val="none" w:sz="0" w:space="0" w:color="auto"/>
        <w:bottom w:val="none" w:sz="0" w:space="0" w:color="auto"/>
        <w:right w:val="none" w:sz="0" w:space="0" w:color="auto"/>
      </w:divBdr>
    </w:div>
    <w:div w:id="90397894">
      <w:bodyDiv w:val="1"/>
      <w:marLeft w:val="0"/>
      <w:marRight w:val="0"/>
      <w:marTop w:val="0"/>
      <w:marBottom w:val="0"/>
      <w:divBdr>
        <w:top w:val="none" w:sz="0" w:space="0" w:color="auto"/>
        <w:left w:val="none" w:sz="0" w:space="0" w:color="auto"/>
        <w:bottom w:val="none" w:sz="0" w:space="0" w:color="auto"/>
        <w:right w:val="none" w:sz="0" w:space="0" w:color="auto"/>
      </w:divBdr>
    </w:div>
    <w:div w:id="90398268">
      <w:bodyDiv w:val="1"/>
      <w:marLeft w:val="0"/>
      <w:marRight w:val="0"/>
      <w:marTop w:val="0"/>
      <w:marBottom w:val="0"/>
      <w:divBdr>
        <w:top w:val="none" w:sz="0" w:space="0" w:color="auto"/>
        <w:left w:val="none" w:sz="0" w:space="0" w:color="auto"/>
        <w:bottom w:val="none" w:sz="0" w:space="0" w:color="auto"/>
        <w:right w:val="none" w:sz="0" w:space="0" w:color="auto"/>
      </w:divBdr>
    </w:div>
    <w:div w:id="90466992">
      <w:bodyDiv w:val="1"/>
      <w:marLeft w:val="0"/>
      <w:marRight w:val="0"/>
      <w:marTop w:val="0"/>
      <w:marBottom w:val="0"/>
      <w:divBdr>
        <w:top w:val="none" w:sz="0" w:space="0" w:color="auto"/>
        <w:left w:val="none" w:sz="0" w:space="0" w:color="auto"/>
        <w:bottom w:val="none" w:sz="0" w:space="0" w:color="auto"/>
        <w:right w:val="none" w:sz="0" w:space="0" w:color="auto"/>
      </w:divBdr>
    </w:div>
    <w:div w:id="90470698">
      <w:bodyDiv w:val="1"/>
      <w:marLeft w:val="0"/>
      <w:marRight w:val="0"/>
      <w:marTop w:val="0"/>
      <w:marBottom w:val="0"/>
      <w:divBdr>
        <w:top w:val="none" w:sz="0" w:space="0" w:color="auto"/>
        <w:left w:val="none" w:sz="0" w:space="0" w:color="auto"/>
        <w:bottom w:val="none" w:sz="0" w:space="0" w:color="auto"/>
        <w:right w:val="none" w:sz="0" w:space="0" w:color="auto"/>
      </w:divBdr>
    </w:div>
    <w:div w:id="90511395">
      <w:bodyDiv w:val="1"/>
      <w:marLeft w:val="0"/>
      <w:marRight w:val="0"/>
      <w:marTop w:val="0"/>
      <w:marBottom w:val="0"/>
      <w:divBdr>
        <w:top w:val="none" w:sz="0" w:space="0" w:color="auto"/>
        <w:left w:val="none" w:sz="0" w:space="0" w:color="auto"/>
        <w:bottom w:val="none" w:sz="0" w:space="0" w:color="auto"/>
        <w:right w:val="none" w:sz="0" w:space="0" w:color="auto"/>
      </w:divBdr>
    </w:div>
    <w:div w:id="90517644">
      <w:bodyDiv w:val="1"/>
      <w:marLeft w:val="0"/>
      <w:marRight w:val="0"/>
      <w:marTop w:val="0"/>
      <w:marBottom w:val="0"/>
      <w:divBdr>
        <w:top w:val="none" w:sz="0" w:space="0" w:color="auto"/>
        <w:left w:val="none" w:sz="0" w:space="0" w:color="auto"/>
        <w:bottom w:val="none" w:sz="0" w:space="0" w:color="auto"/>
        <w:right w:val="none" w:sz="0" w:space="0" w:color="auto"/>
      </w:divBdr>
    </w:div>
    <w:div w:id="90665964">
      <w:bodyDiv w:val="1"/>
      <w:marLeft w:val="0"/>
      <w:marRight w:val="0"/>
      <w:marTop w:val="0"/>
      <w:marBottom w:val="0"/>
      <w:divBdr>
        <w:top w:val="none" w:sz="0" w:space="0" w:color="auto"/>
        <w:left w:val="none" w:sz="0" w:space="0" w:color="auto"/>
        <w:bottom w:val="none" w:sz="0" w:space="0" w:color="auto"/>
        <w:right w:val="none" w:sz="0" w:space="0" w:color="auto"/>
      </w:divBdr>
    </w:div>
    <w:div w:id="90708223">
      <w:bodyDiv w:val="1"/>
      <w:marLeft w:val="0"/>
      <w:marRight w:val="0"/>
      <w:marTop w:val="0"/>
      <w:marBottom w:val="0"/>
      <w:divBdr>
        <w:top w:val="none" w:sz="0" w:space="0" w:color="auto"/>
        <w:left w:val="none" w:sz="0" w:space="0" w:color="auto"/>
        <w:bottom w:val="none" w:sz="0" w:space="0" w:color="auto"/>
        <w:right w:val="none" w:sz="0" w:space="0" w:color="auto"/>
      </w:divBdr>
    </w:div>
    <w:div w:id="90709692">
      <w:bodyDiv w:val="1"/>
      <w:marLeft w:val="0"/>
      <w:marRight w:val="0"/>
      <w:marTop w:val="0"/>
      <w:marBottom w:val="0"/>
      <w:divBdr>
        <w:top w:val="none" w:sz="0" w:space="0" w:color="auto"/>
        <w:left w:val="none" w:sz="0" w:space="0" w:color="auto"/>
        <w:bottom w:val="none" w:sz="0" w:space="0" w:color="auto"/>
        <w:right w:val="none" w:sz="0" w:space="0" w:color="auto"/>
      </w:divBdr>
    </w:div>
    <w:div w:id="90899505">
      <w:bodyDiv w:val="1"/>
      <w:marLeft w:val="0"/>
      <w:marRight w:val="0"/>
      <w:marTop w:val="0"/>
      <w:marBottom w:val="0"/>
      <w:divBdr>
        <w:top w:val="none" w:sz="0" w:space="0" w:color="auto"/>
        <w:left w:val="none" w:sz="0" w:space="0" w:color="auto"/>
        <w:bottom w:val="none" w:sz="0" w:space="0" w:color="auto"/>
        <w:right w:val="none" w:sz="0" w:space="0" w:color="auto"/>
      </w:divBdr>
    </w:div>
    <w:div w:id="90900480">
      <w:bodyDiv w:val="1"/>
      <w:marLeft w:val="0"/>
      <w:marRight w:val="0"/>
      <w:marTop w:val="0"/>
      <w:marBottom w:val="0"/>
      <w:divBdr>
        <w:top w:val="none" w:sz="0" w:space="0" w:color="auto"/>
        <w:left w:val="none" w:sz="0" w:space="0" w:color="auto"/>
        <w:bottom w:val="none" w:sz="0" w:space="0" w:color="auto"/>
        <w:right w:val="none" w:sz="0" w:space="0" w:color="auto"/>
      </w:divBdr>
    </w:div>
    <w:div w:id="90904663">
      <w:bodyDiv w:val="1"/>
      <w:marLeft w:val="0"/>
      <w:marRight w:val="0"/>
      <w:marTop w:val="0"/>
      <w:marBottom w:val="0"/>
      <w:divBdr>
        <w:top w:val="none" w:sz="0" w:space="0" w:color="auto"/>
        <w:left w:val="none" w:sz="0" w:space="0" w:color="auto"/>
        <w:bottom w:val="none" w:sz="0" w:space="0" w:color="auto"/>
        <w:right w:val="none" w:sz="0" w:space="0" w:color="auto"/>
      </w:divBdr>
    </w:div>
    <w:div w:id="91123161">
      <w:bodyDiv w:val="1"/>
      <w:marLeft w:val="0"/>
      <w:marRight w:val="0"/>
      <w:marTop w:val="0"/>
      <w:marBottom w:val="0"/>
      <w:divBdr>
        <w:top w:val="none" w:sz="0" w:space="0" w:color="auto"/>
        <w:left w:val="none" w:sz="0" w:space="0" w:color="auto"/>
        <w:bottom w:val="none" w:sz="0" w:space="0" w:color="auto"/>
        <w:right w:val="none" w:sz="0" w:space="0" w:color="auto"/>
      </w:divBdr>
    </w:div>
    <w:div w:id="91123543">
      <w:bodyDiv w:val="1"/>
      <w:marLeft w:val="0"/>
      <w:marRight w:val="0"/>
      <w:marTop w:val="0"/>
      <w:marBottom w:val="0"/>
      <w:divBdr>
        <w:top w:val="none" w:sz="0" w:space="0" w:color="auto"/>
        <w:left w:val="none" w:sz="0" w:space="0" w:color="auto"/>
        <w:bottom w:val="none" w:sz="0" w:space="0" w:color="auto"/>
        <w:right w:val="none" w:sz="0" w:space="0" w:color="auto"/>
      </w:divBdr>
    </w:div>
    <w:div w:id="91124587">
      <w:bodyDiv w:val="1"/>
      <w:marLeft w:val="0"/>
      <w:marRight w:val="0"/>
      <w:marTop w:val="0"/>
      <w:marBottom w:val="0"/>
      <w:divBdr>
        <w:top w:val="none" w:sz="0" w:space="0" w:color="auto"/>
        <w:left w:val="none" w:sz="0" w:space="0" w:color="auto"/>
        <w:bottom w:val="none" w:sz="0" w:space="0" w:color="auto"/>
        <w:right w:val="none" w:sz="0" w:space="0" w:color="auto"/>
      </w:divBdr>
    </w:div>
    <w:div w:id="91169846">
      <w:bodyDiv w:val="1"/>
      <w:marLeft w:val="0"/>
      <w:marRight w:val="0"/>
      <w:marTop w:val="0"/>
      <w:marBottom w:val="0"/>
      <w:divBdr>
        <w:top w:val="none" w:sz="0" w:space="0" w:color="auto"/>
        <w:left w:val="none" w:sz="0" w:space="0" w:color="auto"/>
        <w:bottom w:val="none" w:sz="0" w:space="0" w:color="auto"/>
        <w:right w:val="none" w:sz="0" w:space="0" w:color="auto"/>
      </w:divBdr>
    </w:div>
    <w:div w:id="91359831">
      <w:bodyDiv w:val="1"/>
      <w:marLeft w:val="0"/>
      <w:marRight w:val="0"/>
      <w:marTop w:val="0"/>
      <w:marBottom w:val="0"/>
      <w:divBdr>
        <w:top w:val="none" w:sz="0" w:space="0" w:color="auto"/>
        <w:left w:val="none" w:sz="0" w:space="0" w:color="auto"/>
        <w:bottom w:val="none" w:sz="0" w:space="0" w:color="auto"/>
        <w:right w:val="none" w:sz="0" w:space="0" w:color="auto"/>
      </w:divBdr>
    </w:div>
    <w:div w:id="91442693">
      <w:bodyDiv w:val="1"/>
      <w:marLeft w:val="0"/>
      <w:marRight w:val="0"/>
      <w:marTop w:val="0"/>
      <w:marBottom w:val="0"/>
      <w:divBdr>
        <w:top w:val="none" w:sz="0" w:space="0" w:color="auto"/>
        <w:left w:val="none" w:sz="0" w:space="0" w:color="auto"/>
        <w:bottom w:val="none" w:sz="0" w:space="0" w:color="auto"/>
        <w:right w:val="none" w:sz="0" w:space="0" w:color="auto"/>
      </w:divBdr>
    </w:div>
    <w:div w:id="91515022">
      <w:bodyDiv w:val="1"/>
      <w:marLeft w:val="0"/>
      <w:marRight w:val="0"/>
      <w:marTop w:val="0"/>
      <w:marBottom w:val="0"/>
      <w:divBdr>
        <w:top w:val="none" w:sz="0" w:space="0" w:color="auto"/>
        <w:left w:val="none" w:sz="0" w:space="0" w:color="auto"/>
        <w:bottom w:val="none" w:sz="0" w:space="0" w:color="auto"/>
        <w:right w:val="none" w:sz="0" w:space="0" w:color="auto"/>
      </w:divBdr>
    </w:div>
    <w:div w:id="91516747">
      <w:bodyDiv w:val="1"/>
      <w:marLeft w:val="0"/>
      <w:marRight w:val="0"/>
      <w:marTop w:val="0"/>
      <w:marBottom w:val="0"/>
      <w:divBdr>
        <w:top w:val="none" w:sz="0" w:space="0" w:color="auto"/>
        <w:left w:val="none" w:sz="0" w:space="0" w:color="auto"/>
        <w:bottom w:val="none" w:sz="0" w:space="0" w:color="auto"/>
        <w:right w:val="none" w:sz="0" w:space="0" w:color="auto"/>
      </w:divBdr>
    </w:div>
    <w:div w:id="91558343">
      <w:bodyDiv w:val="1"/>
      <w:marLeft w:val="0"/>
      <w:marRight w:val="0"/>
      <w:marTop w:val="0"/>
      <w:marBottom w:val="0"/>
      <w:divBdr>
        <w:top w:val="none" w:sz="0" w:space="0" w:color="auto"/>
        <w:left w:val="none" w:sz="0" w:space="0" w:color="auto"/>
        <w:bottom w:val="none" w:sz="0" w:space="0" w:color="auto"/>
        <w:right w:val="none" w:sz="0" w:space="0" w:color="auto"/>
      </w:divBdr>
    </w:div>
    <w:div w:id="91706467">
      <w:bodyDiv w:val="1"/>
      <w:marLeft w:val="0"/>
      <w:marRight w:val="0"/>
      <w:marTop w:val="0"/>
      <w:marBottom w:val="0"/>
      <w:divBdr>
        <w:top w:val="none" w:sz="0" w:space="0" w:color="auto"/>
        <w:left w:val="none" w:sz="0" w:space="0" w:color="auto"/>
        <w:bottom w:val="none" w:sz="0" w:space="0" w:color="auto"/>
        <w:right w:val="none" w:sz="0" w:space="0" w:color="auto"/>
      </w:divBdr>
    </w:div>
    <w:div w:id="91975144">
      <w:bodyDiv w:val="1"/>
      <w:marLeft w:val="0"/>
      <w:marRight w:val="0"/>
      <w:marTop w:val="0"/>
      <w:marBottom w:val="0"/>
      <w:divBdr>
        <w:top w:val="none" w:sz="0" w:space="0" w:color="auto"/>
        <w:left w:val="none" w:sz="0" w:space="0" w:color="auto"/>
        <w:bottom w:val="none" w:sz="0" w:space="0" w:color="auto"/>
        <w:right w:val="none" w:sz="0" w:space="0" w:color="auto"/>
      </w:divBdr>
    </w:div>
    <w:div w:id="91979735">
      <w:bodyDiv w:val="1"/>
      <w:marLeft w:val="0"/>
      <w:marRight w:val="0"/>
      <w:marTop w:val="0"/>
      <w:marBottom w:val="0"/>
      <w:divBdr>
        <w:top w:val="none" w:sz="0" w:space="0" w:color="auto"/>
        <w:left w:val="none" w:sz="0" w:space="0" w:color="auto"/>
        <w:bottom w:val="none" w:sz="0" w:space="0" w:color="auto"/>
        <w:right w:val="none" w:sz="0" w:space="0" w:color="auto"/>
      </w:divBdr>
    </w:div>
    <w:div w:id="92022827">
      <w:bodyDiv w:val="1"/>
      <w:marLeft w:val="0"/>
      <w:marRight w:val="0"/>
      <w:marTop w:val="0"/>
      <w:marBottom w:val="0"/>
      <w:divBdr>
        <w:top w:val="none" w:sz="0" w:space="0" w:color="auto"/>
        <w:left w:val="none" w:sz="0" w:space="0" w:color="auto"/>
        <w:bottom w:val="none" w:sz="0" w:space="0" w:color="auto"/>
        <w:right w:val="none" w:sz="0" w:space="0" w:color="auto"/>
      </w:divBdr>
    </w:div>
    <w:div w:id="92091249">
      <w:bodyDiv w:val="1"/>
      <w:marLeft w:val="0"/>
      <w:marRight w:val="0"/>
      <w:marTop w:val="0"/>
      <w:marBottom w:val="0"/>
      <w:divBdr>
        <w:top w:val="none" w:sz="0" w:space="0" w:color="auto"/>
        <w:left w:val="none" w:sz="0" w:space="0" w:color="auto"/>
        <w:bottom w:val="none" w:sz="0" w:space="0" w:color="auto"/>
        <w:right w:val="none" w:sz="0" w:space="0" w:color="auto"/>
      </w:divBdr>
    </w:div>
    <w:div w:id="92091548">
      <w:bodyDiv w:val="1"/>
      <w:marLeft w:val="0"/>
      <w:marRight w:val="0"/>
      <w:marTop w:val="0"/>
      <w:marBottom w:val="0"/>
      <w:divBdr>
        <w:top w:val="none" w:sz="0" w:space="0" w:color="auto"/>
        <w:left w:val="none" w:sz="0" w:space="0" w:color="auto"/>
        <w:bottom w:val="none" w:sz="0" w:space="0" w:color="auto"/>
        <w:right w:val="none" w:sz="0" w:space="0" w:color="auto"/>
      </w:divBdr>
    </w:div>
    <w:div w:id="92164337">
      <w:bodyDiv w:val="1"/>
      <w:marLeft w:val="0"/>
      <w:marRight w:val="0"/>
      <w:marTop w:val="0"/>
      <w:marBottom w:val="0"/>
      <w:divBdr>
        <w:top w:val="none" w:sz="0" w:space="0" w:color="auto"/>
        <w:left w:val="none" w:sz="0" w:space="0" w:color="auto"/>
        <w:bottom w:val="none" w:sz="0" w:space="0" w:color="auto"/>
        <w:right w:val="none" w:sz="0" w:space="0" w:color="auto"/>
      </w:divBdr>
    </w:div>
    <w:div w:id="92167708">
      <w:bodyDiv w:val="1"/>
      <w:marLeft w:val="0"/>
      <w:marRight w:val="0"/>
      <w:marTop w:val="0"/>
      <w:marBottom w:val="0"/>
      <w:divBdr>
        <w:top w:val="none" w:sz="0" w:space="0" w:color="auto"/>
        <w:left w:val="none" w:sz="0" w:space="0" w:color="auto"/>
        <w:bottom w:val="none" w:sz="0" w:space="0" w:color="auto"/>
        <w:right w:val="none" w:sz="0" w:space="0" w:color="auto"/>
      </w:divBdr>
    </w:div>
    <w:div w:id="92210212">
      <w:bodyDiv w:val="1"/>
      <w:marLeft w:val="0"/>
      <w:marRight w:val="0"/>
      <w:marTop w:val="0"/>
      <w:marBottom w:val="0"/>
      <w:divBdr>
        <w:top w:val="none" w:sz="0" w:space="0" w:color="auto"/>
        <w:left w:val="none" w:sz="0" w:space="0" w:color="auto"/>
        <w:bottom w:val="none" w:sz="0" w:space="0" w:color="auto"/>
        <w:right w:val="none" w:sz="0" w:space="0" w:color="auto"/>
      </w:divBdr>
    </w:div>
    <w:div w:id="92288037">
      <w:bodyDiv w:val="1"/>
      <w:marLeft w:val="0"/>
      <w:marRight w:val="0"/>
      <w:marTop w:val="0"/>
      <w:marBottom w:val="0"/>
      <w:divBdr>
        <w:top w:val="none" w:sz="0" w:space="0" w:color="auto"/>
        <w:left w:val="none" w:sz="0" w:space="0" w:color="auto"/>
        <w:bottom w:val="none" w:sz="0" w:space="0" w:color="auto"/>
        <w:right w:val="none" w:sz="0" w:space="0" w:color="auto"/>
      </w:divBdr>
    </w:div>
    <w:div w:id="92363406">
      <w:bodyDiv w:val="1"/>
      <w:marLeft w:val="0"/>
      <w:marRight w:val="0"/>
      <w:marTop w:val="0"/>
      <w:marBottom w:val="0"/>
      <w:divBdr>
        <w:top w:val="none" w:sz="0" w:space="0" w:color="auto"/>
        <w:left w:val="none" w:sz="0" w:space="0" w:color="auto"/>
        <w:bottom w:val="none" w:sz="0" w:space="0" w:color="auto"/>
        <w:right w:val="none" w:sz="0" w:space="0" w:color="auto"/>
      </w:divBdr>
    </w:div>
    <w:div w:id="92476096">
      <w:bodyDiv w:val="1"/>
      <w:marLeft w:val="0"/>
      <w:marRight w:val="0"/>
      <w:marTop w:val="0"/>
      <w:marBottom w:val="0"/>
      <w:divBdr>
        <w:top w:val="none" w:sz="0" w:space="0" w:color="auto"/>
        <w:left w:val="none" w:sz="0" w:space="0" w:color="auto"/>
        <w:bottom w:val="none" w:sz="0" w:space="0" w:color="auto"/>
        <w:right w:val="none" w:sz="0" w:space="0" w:color="auto"/>
      </w:divBdr>
    </w:div>
    <w:div w:id="92484631">
      <w:bodyDiv w:val="1"/>
      <w:marLeft w:val="0"/>
      <w:marRight w:val="0"/>
      <w:marTop w:val="0"/>
      <w:marBottom w:val="0"/>
      <w:divBdr>
        <w:top w:val="none" w:sz="0" w:space="0" w:color="auto"/>
        <w:left w:val="none" w:sz="0" w:space="0" w:color="auto"/>
        <w:bottom w:val="none" w:sz="0" w:space="0" w:color="auto"/>
        <w:right w:val="none" w:sz="0" w:space="0" w:color="auto"/>
      </w:divBdr>
    </w:div>
    <w:div w:id="92555596">
      <w:bodyDiv w:val="1"/>
      <w:marLeft w:val="0"/>
      <w:marRight w:val="0"/>
      <w:marTop w:val="0"/>
      <w:marBottom w:val="0"/>
      <w:divBdr>
        <w:top w:val="none" w:sz="0" w:space="0" w:color="auto"/>
        <w:left w:val="none" w:sz="0" w:space="0" w:color="auto"/>
        <w:bottom w:val="none" w:sz="0" w:space="0" w:color="auto"/>
        <w:right w:val="none" w:sz="0" w:space="0" w:color="auto"/>
      </w:divBdr>
    </w:div>
    <w:div w:id="92674460">
      <w:bodyDiv w:val="1"/>
      <w:marLeft w:val="0"/>
      <w:marRight w:val="0"/>
      <w:marTop w:val="0"/>
      <w:marBottom w:val="0"/>
      <w:divBdr>
        <w:top w:val="none" w:sz="0" w:space="0" w:color="auto"/>
        <w:left w:val="none" w:sz="0" w:space="0" w:color="auto"/>
        <w:bottom w:val="none" w:sz="0" w:space="0" w:color="auto"/>
        <w:right w:val="none" w:sz="0" w:space="0" w:color="auto"/>
      </w:divBdr>
    </w:div>
    <w:div w:id="92824654">
      <w:bodyDiv w:val="1"/>
      <w:marLeft w:val="0"/>
      <w:marRight w:val="0"/>
      <w:marTop w:val="0"/>
      <w:marBottom w:val="0"/>
      <w:divBdr>
        <w:top w:val="none" w:sz="0" w:space="0" w:color="auto"/>
        <w:left w:val="none" w:sz="0" w:space="0" w:color="auto"/>
        <w:bottom w:val="none" w:sz="0" w:space="0" w:color="auto"/>
        <w:right w:val="none" w:sz="0" w:space="0" w:color="auto"/>
      </w:divBdr>
    </w:div>
    <w:div w:id="92826688">
      <w:bodyDiv w:val="1"/>
      <w:marLeft w:val="0"/>
      <w:marRight w:val="0"/>
      <w:marTop w:val="0"/>
      <w:marBottom w:val="0"/>
      <w:divBdr>
        <w:top w:val="none" w:sz="0" w:space="0" w:color="auto"/>
        <w:left w:val="none" w:sz="0" w:space="0" w:color="auto"/>
        <w:bottom w:val="none" w:sz="0" w:space="0" w:color="auto"/>
        <w:right w:val="none" w:sz="0" w:space="0" w:color="auto"/>
      </w:divBdr>
    </w:div>
    <w:div w:id="93063895">
      <w:bodyDiv w:val="1"/>
      <w:marLeft w:val="0"/>
      <w:marRight w:val="0"/>
      <w:marTop w:val="0"/>
      <w:marBottom w:val="0"/>
      <w:divBdr>
        <w:top w:val="none" w:sz="0" w:space="0" w:color="auto"/>
        <w:left w:val="none" w:sz="0" w:space="0" w:color="auto"/>
        <w:bottom w:val="none" w:sz="0" w:space="0" w:color="auto"/>
        <w:right w:val="none" w:sz="0" w:space="0" w:color="auto"/>
      </w:divBdr>
    </w:div>
    <w:div w:id="93093527">
      <w:bodyDiv w:val="1"/>
      <w:marLeft w:val="0"/>
      <w:marRight w:val="0"/>
      <w:marTop w:val="0"/>
      <w:marBottom w:val="0"/>
      <w:divBdr>
        <w:top w:val="none" w:sz="0" w:space="0" w:color="auto"/>
        <w:left w:val="none" w:sz="0" w:space="0" w:color="auto"/>
        <w:bottom w:val="none" w:sz="0" w:space="0" w:color="auto"/>
        <w:right w:val="none" w:sz="0" w:space="0" w:color="auto"/>
      </w:divBdr>
    </w:div>
    <w:div w:id="93208117">
      <w:bodyDiv w:val="1"/>
      <w:marLeft w:val="0"/>
      <w:marRight w:val="0"/>
      <w:marTop w:val="0"/>
      <w:marBottom w:val="0"/>
      <w:divBdr>
        <w:top w:val="none" w:sz="0" w:space="0" w:color="auto"/>
        <w:left w:val="none" w:sz="0" w:space="0" w:color="auto"/>
        <w:bottom w:val="none" w:sz="0" w:space="0" w:color="auto"/>
        <w:right w:val="none" w:sz="0" w:space="0" w:color="auto"/>
      </w:divBdr>
    </w:div>
    <w:div w:id="93481367">
      <w:bodyDiv w:val="1"/>
      <w:marLeft w:val="0"/>
      <w:marRight w:val="0"/>
      <w:marTop w:val="0"/>
      <w:marBottom w:val="0"/>
      <w:divBdr>
        <w:top w:val="none" w:sz="0" w:space="0" w:color="auto"/>
        <w:left w:val="none" w:sz="0" w:space="0" w:color="auto"/>
        <w:bottom w:val="none" w:sz="0" w:space="0" w:color="auto"/>
        <w:right w:val="none" w:sz="0" w:space="0" w:color="auto"/>
      </w:divBdr>
    </w:div>
    <w:div w:id="93482790">
      <w:bodyDiv w:val="1"/>
      <w:marLeft w:val="0"/>
      <w:marRight w:val="0"/>
      <w:marTop w:val="0"/>
      <w:marBottom w:val="0"/>
      <w:divBdr>
        <w:top w:val="none" w:sz="0" w:space="0" w:color="auto"/>
        <w:left w:val="none" w:sz="0" w:space="0" w:color="auto"/>
        <w:bottom w:val="none" w:sz="0" w:space="0" w:color="auto"/>
        <w:right w:val="none" w:sz="0" w:space="0" w:color="auto"/>
      </w:divBdr>
    </w:div>
    <w:div w:id="93483838">
      <w:bodyDiv w:val="1"/>
      <w:marLeft w:val="0"/>
      <w:marRight w:val="0"/>
      <w:marTop w:val="0"/>
      <w:marBottom w:val="0"/>
      <w:divBdr>
        <w:top w:val="none" w:sz="0" w:space="0" w:color="auto"/>
        <w:left w:val="none" w:sz="0" w:space="0" w:color="auto"/>
        <w:bottom w:val="none" w:sz="0" w:space="0" w:color="auto"/>
        <w:right w:val="none" w:sz="0" w:space="0" w:color="auto"/>
      </w:divBdr>
    </w:div>
    <w:div w:id="93594223">
      <w:bodyDiv w:val="1"/>
      <w:marLeft w:val="0"/>
      <w:marRight w:val="0"/>
      <w:marTop w:val="0"/>
      <w:marBottom w:val="0"/>
      <w:divBdr>
        <w:top w:val="none" w:sz="0" w:space="0" w:color="auto"/>
        <w:left w:val="none" w:sz="0" w:space="0" w:color="auto"/>
        <w:bottom w:val="none" w:sz="0" w:space="0" w:color="auto"/>
        <w:right w:val="none" w:sz="0" w:space="0" w:color="auto"/>
      </w:divBdr>
    </w:div>
    <w:div w:id="93675255">
      <w:bodyDiv w:val="1"/>
      <w:marLeft w:val="0"/>
      <w:marRight w:val="0"/>
      <w:marTop w:val="0"/>
      <w:marBottom w:val="0"/>
      <w:divBdr>
        <w:top w:val="none" w:sz="0" w:space="0" w:color="auto"/>
        <w:left w:val="none" w:sz="0" w:space="0" w:color="auto"/>
        <w:bottom w:val="none" w:sz="0" w:space="0" w:color="auto"/>
        <w:right w:val="none" w:sz="0" w:space="0" w:color="auto"/>
      </w:divBdr>
    </w:div>
    <w:div w:id="93677470">
      <w:bodyDiv w:val="1"/>
      <w:marLeft w:val="0"/>
      <w:marRight w:val="0"/>
      <w:marTop w:val="0"/>
      <w:marBottom w:val="0"/>
      <w:divBdr>
        <w:top w:val="none" w:sz="0" w:space="0" w:color="auto"/>
        <w:left w:val="none" w:sz="0" w:space="0" w:color="auto"/>
        <w:bottom w:val="none" w:sz="0" w:space="0" w:color="auto"/>
        <w:right w:val="none" w:sz="0" w:space="0" w:color="auto"/>
      </w:divBdr>
    </w:div>
    <w:div w:id="93913112">
      <w:bodyDiv w:val="1"/>
      <w:marLeft w:val="0"/>
      <w:marRight w:val="0"/>
      <w:marTop w:val="0"/>
      <w:marBottom w:val="0"/>
      <w:divBdr>
        <w:top w:val="none" w:sz="0" w:space="0" w:color="auto"/>
        <w:left w:val="none" w:sz="0" w:space="0" w:color="auto"/>
        <w:bottom w:val="none" w:sz="0" w:space="0" w:color="auto"/>
        <w:right w:val="none" w:sz="0" w:space="0" w:color="auto"/>
      </w:divBdr>
    </w:div>
    <w:div w:id="93938070">
      <w:bodyDiv w:val="1"/>
      <w:marLeft w:val="0"/>
      <w:marRight w:val="0"/>
      <w:marTop w:val="0"/>
      <w:marBottom w:val="0"/>
      <w:divBdr>
        <w:top w:val="none" w:sz="0" w:space="0" w:color="auto"/>
        <w:left w:val="none" w:sz="0" w:space="0" w:color="auto"/>
        <w:bottom w:val="none" w:sz="0" w:space="0" w:color="auto"/>
        <w:right w:val="none" w:sz="0" w:space="0" w:color="auto"/>
      </w:divBdr>
    </w:div>
    <w:div w:id="93979422">
      <w:bodyDiv w:val="1"/>
      <w:marLeft w:val="0"/>
      <w:marRight w:val="0"/>
      <w:marTop w:val="0"/>
      <w:marBottom w:val="0"/>
      <w:divBdr>
        <w:top w:val="none" w:sz="0" w:space="0" w:color="auto"/>
        <w:left w:val="none" w:sz="0" w:space="0" w:color="auto"/>
        <w:bottom w:val="none" w:sz="0" w:space="0" w:color="auto"/>
        <w:right w:val="none" w:sz="0" w:space="0" w:color="auto"/>
      </w:divBdr>
    </w:div>
    <w:div w:id="94060809">
      <w:bodyDiv w:val="1"/>
      <w:marLeft w:val="0"/>
      <w:marRight w:val="0"/>
      <w:marTop w:val="0"/>
      <w:marBottom w:val="0"/>
      <w:divBdr>
        <w:top w:val="none" w:sz="0" w:space="0" w:color="auto"/>
        <w:left w:val="none" w:sz="0" w:space="0" w:color="auto"/>
        <w:bottom w:val="none" w:sz="0" w:space="0" w:color="auto"/>
        <w:right w:val="none" w:sz="0" w:space="0" w:color="auto"/>
      </w:divBdr>
    </w:div>
    <w:div w:id="94063781">
      <w:bodyDiv w:val="1"/>
      <w:marLeft w:val="0"/>
      <w:marRight w:val="0"/>
      <w:marTop w:val="0"/>
      <w:marBottom w:val="0"/>
      <w:divBdr>
        <w:top w:val="none" w:sz="0" w:space="0" w:color="auto"/>
        <w:left w:val="none" w:sz="0" w:space="0" w:color="auto"/>
        <w:bottom w:val="none" w:sz="0" w:space="0" w:color="auto"/>
        <w:right w:val="none" w:sz="0" w:space="0" w:color="auto"/>
      </w:divBdr>
    </w:div>
    <w:div w:id="94179074">
      <w:bodyDiv w:val="1"/>
      <w:marLeft w:val="0"/>
      <w:marRight w:val="0"/>
      <w:marTop w:val="0"/>
      <w:marBottom w:val="0"/>
      <w:divBdr>
        <w:top w:val="none" w:sz="0" w:space="0" w:color="auto"/>
        <w:left w:val="none" w:sz="0" w:space="0" w:color="auto"/>
        <w:bottom w:val="none" w:sz="0" w:space="0" w:color="auto"/>
        <w:right w:val="none" w:sz="0" w:space="0" w:color="auto"/>
      </w:divBdr>
    </w:div>
    <w:div w:id="94374719">
      <w:bodyDiv w:val="1"/>
      <w:marLeft w:val="0"/>
      <w:marRight w:val="0"/>
      <w:marTop w:val="0"/>
      <w:marBottom w:val="0"/>
      <w:divBdr>
        <w:top w:val="none" w:sz="0" w:space="0" w:color="auto"/>
        <w:left w:val="none" w:sz="0" w:space="0" w:color="auto"/>
        <w:bottom w:val="none" w:sz="0" w:space="0" w:color="auto"/>
        <w:right w:val="none" w:sz="0" w:space="0" w:color="auto"/>
      </w:divBdr>
    </w:div>
    <w:div w:id="94446563">
      <w:bodyDiv w:val="1"/>
      <w:marLeft w:val="0"/>
      <w:marRight w:val="0"/>
      <w:marTop w:val="0"/>
      <w:marBottom w:val="0"/>
      <w:divBdr>
        <w:top w:val="none" w:sz="0" w:space="0" w:color="auto"/>
        <w:left w:val="none" w:sz="0" w:space="0" w:color="auto"/>
        <w:bottom w:val="none" w:sz="0" w:space="0" w:color="auto"/>
        <w:right w:val="none" w:sz="0" w:space="0" w:color="auto"/>
      </w:divBdr>
    </w:div>
    <w:div w:id="94447515">
      <w:bodyDiv w:val="1"/>
      <w:marLeft w:val="0"/>
      <w:marRight w:val="0"/>
      <w:marTop w:val="0"/>
      <w:marBottom w:val="0"/>
      <w:divBdr>
        <w:top w:val="none" w:sz="0" w:space="0" w:color="auto"/>
        <w:left w:val="none" w:sz="0" w:space="0" w:color="auto"/>
        <w:bottom w:val="none" w:sz="0" w:space="0" w:color="auto"/>
        <w:right w:val="none" w:sz="0" w:space="0" w:color="auto"/>
      </w:divBdr>
    </w:div>
    <w:div w:id="94448520">
      <w:bodyDiv w:val="1"/>
      <w:marLeft w:val="0"/>
      <w:marRight w:val="0"/>
      <w:marTop w:val="0"/>
      <w:marBottom w:val="0"/>
      <w:divBdr>
        <w:top w:val="none" w:sz="0" w:space="0" w:color="auto"/>
        <w:left w:val="none" w:sz="0" w:space="0" w:color="auto"/>
        <w:bottom w:val="none" w:sz="0" w:space="0" w:color="auto"/>
        <w:right w:val="none" w:sz="0" w:space="0" w:color="auto"/>
      </w:divBdr>
    </w:div>
    <w:div w:id="94450318">
      <w:bodyDiv w:val="1"/>
      <w:marLeft w:val="0"/>
      <w:marRight w:val="0"/>
      <w:marTop w:val="0"/>
      <w:marBottom w:val="0"/>
      <w:divBdr>
        <w:top w:val="none" w:sz="0" w:space="0" w:color="auto"/>
        <w:left w:val="none" w:sz="0" w:space="0" w:color="auto"/>
        <w:bottom w:val="none" w:sz="0" w:space="0" w:color="auto"/>
        <w:right w:val="none" w:sz="0" w:space="0" w:color="auto"/>
      </w:divBdr>
    </w:div>
    <w:div w:id="94521040">
      <w:bodyDiv w:val="1"/>
      <w:marLeft w:val="0"/>
      <w:marRight w:val="0"/>
      <w:marTop w:val="0"/>
      <w:marBottom w:val="0"/>
      <w:divBdr>
        <w:top w:val="none" w:sz="0" w:space="0" w:color="auto"/>
        <w:left w:val="none" w:sz="0" w:space="0" w:color="auto"/>
        <w:bottom w:val="none" w:sz="0" w:space="0" w:color="auto"/>
        <w:right w:val="none" w:sz="0" w:space="0" w:color="auto"/>
      </w:divBdr>
    </w:div>
    <w:div w:id="94525500">
      <w:bodyDiv w:val="1"/>
      <w:marLeft w:val="0"/>
      <w:marRight w:val="0"/>
      <w:marTop w:val="0"/>
      <w:marBottom w:val="0"/>
      <w:divBdr>
        <w:top w:val="none" w:sz="0" w:space="0" w:color="auto"/>
        <w:left w:val="none" w:sz="0" w:space="0" w:color="auto"/>
        <w:bottom w:val="none" w:sz="0" w:space="0" w:color="auto"/>
        <w:right w:val="none" w:sz="0" w:space="0" w:color="auto"/>
      </w:divBdr>
    </w:div>
    <w:div w:id="94597177">
      <w:bodyDiv w:val="1"/>
      <w:marLeft w:val="0"/>
      <w:marRight w:val="0"/>
      <w:marTop w:val="0"/>
      <w:marBottom w:val="0"/>
      <w:divBdr>
        <w:top w:val="none" w:sz="0" w:space="0" w:color="auto"/>
        <w:left w:val="none" w:sz="0" w:space="0" w:color="auto"/>
        <w:bottom w:val="none" w:sz="0" w:space="0" w:color="auto"/>
        <w:right w:val="none" w:sz="0" w:space="0" w:color="auto"/>
      </w:divBdr>
    </w:div>
    <w:div w:id="94710762">
      <w:bodyDiv w:val="1"/>
      <w:marLeft w:val="0"/>
      <w:marRight w:val="0"/>
      <w:marTop w:val="0"/>
      <w:marBottom w:val="0"/>
      <w:divBdr>
        <w:top w:val="none" w:sz="0" w:space="0" w:color="auto"/>
        <w:left w:val="none" w:sz="0" w:space="0" w:color="auto"/>
        <w:bottom w:val="none" w:sz="0" w:space="0" w:color="auto"/>
        <w:right w:val="none" w:sz="0" w:space="0" w:color="auto"/>
      </w:divBdr>
    </w:div>
    <w:div w:id="94716356">
      <w:bodyDiv w:val="1"/>
      <w:marLeft w:val="0"/>
      <w:marRight w:val="0"/>
      <w:marTop w:val="0"/>
      <w:marBottom w:val="0"/>
      <w:divBdr>
        <w:top w:val="none" w:sz="0" w:space="0" w:color="auto"/>
        <w:left w:val="none" w:sz="0" w:space="0" w:color="auto"/>
        <w:bottom w:val="none" w:sz="0" w:space="0" w:color="auto"/>
        <w:right w:val="none" w:sz="0" w:space="0" w:color="auto"/>
      </w:divBdr>
    </w:div>
    <w:div w:id="94790328">
      <w:bodyDiv w:val="1"/>
      <w:marLeft w:val="0"/>
      <w:marRight w:val="0"/>
      <w:marTop w:val="0"/>
      <w:marBottom w:val="0"/>
      <w:divBdr>
        <w:top w:val="none" w:sz="0" w:space="0" w:color="auto"/>
        <w:left w:val="none" w:sz="0" w:space="0" w:color="auto"/>
        <w:bottom w:val="none" w:sz="0" w:space="0" w:color="auto"/>
        <w:right w:val="none" w:sz="0" w:space="0" w:color="auto"/>
      </w:divBdr>
    </w:div>
    <w:div w:id="94985825">
      <w:bodyDiv w:val="1"/>
      <w:marLeft w:val="0"/>
      <w:marRight w:val="0"/>
      <w:marTop w:val="0"/>
      <w:marBottom w:val="0"/>
      <w:divBdr>
        <w:top w:val="none" w:sz="0" w:space="0" w:color="auto"/>
        <w:left w:val="none" w:sz="0" w:space="0" w:color="auto"/>
        <w:bottom w:val="none" w:sz="0" w:space="0" w:color="auto"/>
        <w:right w:val="none" w:sz="0" w:space="0" w:color="auto"/>
      </w:divBdr>
    </w:div>
    <w:div w:id="95103122">
      <w:bodyDiv w:val="1"/>
      <w:marLeft w:val="0"/>
      <w:marRight w:val="0"/>
      <w:marTop w:val="0"/>
      <w:marBottom w:val="0"/>
      <w:divBdr>
        <w:top w:val="none" w:sz="0" w:space="0" w:color="auto"/>
        <w:left w:val="none" w:sz="0" w:space="0" w:color="auto"/>
        <w:bottom w:val="none" w:sz="0" w:space="0" w:color="auto"/>
        <w:right w:val="none" w:sz="0" w:space="0" w:color="auto"/>
      </w:divBdr>
    </w:div>
    <w:div w:id="95177856">
      <w:bodyDiv w:val="1"/>
      <w:marLeft w:val="0"/>
      <w:marRight w:val="0"/>
      <w:marTop w:val="0"/>
      <w:marBottom w:val="0"/>
      <w:divBdr>
        <w:top w:val="none" w:sz="0" w:space="0" w:color="auto"/>
        <w:left w:val="none" w:sz="0" w:space="0" w:color="auto"/>
        <w:bottom w:val="none" w:sz="0" w:space="0" w:color="auto"/>
        <w:right w:val="none" w:sz="0" w:space="0" w:color="auto"/>
      </w:divBdr>
    </w:div>
    <w:div w:id="95178469">
      <w:bodyDiv w:val="1"/>
      <w:marLeft w:val="0"/>
      <w:marRight w:val="0"/>
      <w:marTop w:val="0"/>
      <w:marBottom w:val="0"/>
      <w:divBdr>
        <w:top w:val="none" w:sz="0" w:space="0" w:color="auto"/>
        <w:left w:val="none" w:sz="0" w:space="0" w:color="auto"/>
        <w:bottom w:val="none" w:sz="0" w:space="0" w:color="auto"/>
        <w:right w:val="none" w:sz="0" w:space="0" w:color="auto"/>
      </w:divBdr>
    </w:div>
    <w:div w:id="95179900">
      <w:bodyDiv w:val="1"/>
      <w:marLeft w:val="0"/>
      <w:marRight w:val="0"/>
      <w:marTop w:val="0"/>
      <w:marBottom w:val="0"/>
      <w:divBdr>
        <w:top w:val="none" w:sz="0" w:space="0" w:color="auto"/>
        <w:left w:val="none" w:sz="0" w:space="0" w:color="auto"/>
        <w:bottom w:val="none" w:sz="0" w:space="0" w:color="auto"/>
        <w:right w:val="none" w:sz="0" w:space="0" w:color="auto"/>
      </w:divBdr>
    </w:div>
    <w:div w:id="95247679">
      <w:bodyDiv w:val="1"/>
      <w:marLeft w:val="0"/>
      <w:marRight w:val="0"/>
      <w:marTop w:val="0"/>
      <w:marBottom w:val="0"/>
      <w:divBdr>
        <w:top w:val="none" w:sz="0" w:space="0" w:color="auto"/>
        <w:left w:val="none" w:sz="0" w:space="0" w:color="auto"/>
        <w:bottom w:val="none" w:sz="0" w:space="0" w:color="auto"/>
        <w:right w:val="none" w:sz="0" w:space="0" w:color="auto"/>
      </w:divBdr>
    </w:div>
    <w:div w:id="95290378">
      <w:bodyDiv w:val="1"/>
      <w:marLeft w:val="0"/>
      <w:marRight w:val="0"/>
      <w:marTop w:val="0"/>
      <w:marBottom w:val="0"/>
      <w:divBdr>
        <w:top w:val="none" w:sz="0" w:space="0" w:color="auto"/>
        <w:left w:val="none" w:sz="0" w:space="0" w:color="auto"/>
        <w:bottom w:val="none" w:sz="0" w:space="0" w:color="auto"/>
        <w:right w:val="none" w:sz="0" w:space="0" w:color="auto"/>
      </w:divBdr>
    </w:div>
    <w:div w:id="95488597">
      <w:bodyDiv w:val="1"/>
      <w:marLeft w:val="0"/>
      <w:marRight w:val="0"/>
      <w:marTop w:val="0"/>
      <w:marBottom w:val="0"/>
      <w:divBdr>
        <w:top w:val="none" w:sz="0" w:space="0" w:color="auto"/>
        <w:left w:val="none" w:sz="0" w:space="0" w:color="auto"/>
        <w:bottom w:val="none" w:sz="0" w:space="0" w:color="auto"/>
        <w:right w:val="none" w:sz="0" w:space="0" w:color="auto"/>
      </w:divBdr>
    </w:div>
    <w:div w:id="95490953">
      <w:bodyDiv w:val="1"/>
      <w:marLeft w:val="0"/>
      <w:marRight w:val="0"/>
      <w:marTop w:val="0"/>
      <w:marBottom w:val="0"/>
      <w:divBdr>
        <w:top w:val="none" w:sz="0" w:space="0" w:color="auto"/>
        <w:left w:val="none" w:sz="0" w:space="0" w:color="auto"/>
        <w:bottom w:val="none" w:sz="0" w:space="0" w:color="auto"/>
        <w:right w:val="none" w:sz="0" w:space="0" w:color="auto"/>
      </w:divBdr>
    </w:div>
    <w:div w:id="95637360">
      <w:bodyDiv w:val="1"/>
      <w:marLeft w:val="0"/>
      <w:marRight w:val="0"/>
      <w:marTop w:val="0"/>
      <w:marBottom w:val="0"/>
      <w:divBdr>
        <w:top w:val="none" w:sz="0" w:space="0" w:color="auto"/>
        <w:left w:val="none" w:sz="0" w:space="0" w:color="auto"/>
        <w:bottom w:val="none" w:sz="0" w:space="0" w:color="auto"/>
        <w:right w:val="none" w:sz="0" w:space="0" w:color="auto"/>
      </w:divBdr>
    </w:div>
    <w:div w:id="95638682">
      <w:bodyDiv w:val="1"/>
      <w:marLeft w:val="0"/>
      <w:marRight w:val="0"/>
      <w:marTop w:val="0"/>
      <w:marBottom w:val="0"/>
      <w:divBdr>
        <w:top w:val="none" w:sz="0" w:space="0" w:color="auto"/>
        <w:left w:val="none" w:sz="0" w:space="0" w:color="auto"/>
        <w:bottom w:val="none" w:sz="0" w:space="0" w:color="auto"/>
        <w:right w:val="none" w:sz="0" w:space="0" w:color="auto"/>
      </w:divBdr>
    </w:div>
    <w:div w:id="95642775">
      <w:bodyDiv w:val="1"/>
      <w:marLeft w:val="0"/>
      <w:marRight w:val="0"/>
      <w:marTop w:val="0"/>
      <w:marBottom w:val="0"/>
      <w:divBdr>
        <w:top w:val="none" w:sz="0" w:space="0" w:color="auto"/>
        <w:left w:val="none" w:sz="0" w:space="0" w:color="auto"/>
        <w:bottom w:val="none" w:sz="0" w:space="0" w:color="auto"/>
        <w:right w:val="none" w:sz="0" w:space="0" w:color="auto"/>
      </w:divBdr>
    </w:div>
    <w:div w:id="95832664">
      <w:bodyDiv w:val="1"/>
      <w:marLeft w:val="0"/>
      <w:marRight w:val="0"/>
      <w:marTop w:val="0"/>
      <w:marBottom w:val="0"/>
      <w:divBdr>
        <w:top w:val="none" w:sz="0" w:space="0" w:color="auto"/>
        <w:left w:val="none" w:sz="0" w:space="0" w:color="auto"/>
        <w:bottom w:val="none" w:sz="0" w:space="0" w:color="auto"/>
        <w:right w:val="none" w:sz="0" w:space="0" w:color="auto"/>
      </w:divBdr>
    </w:div>
    <w:div w:id="95907195">
      <w:bodyDiv w:val="1"/>
      <w:marLeft w:val="0"/>
      <w:marRight w:val="0"/>
      <w:marTop w:val="0"/>
      <w:marBottom w:val="0"/>
      <w:divBdr>
        <w:top w:val="none" w:sz="0" w:space="0" w:color="auto"/>
        <w:left w:val="none" w:sz="0" w:space="0" w:color="auto"/>
        <w:bottom w:val="none" w:sz="0" w:space="0" w:color="auto"/>
        <w:right w:val="none" w:sz="0" w:space="0" w:color="auto"/>
      </w:divBdr>
    </w:div>
    <w:div w:id="95910955">
      <w:bodyDiv w:val="1"/>
      <w:marLeft w:val="0"/>
      <w:marRight w:val="0"/>
      <w:marTop w:val="0"/>
      <w:marBottom w:val="0"/>
      <w:divBdr>
        <w:top w:val="none" w:sz="0" w:space="0" w:color="auto"/>
        <w:left w:val="none" w:sz="0" w:space="0" w:color="auto"/>
        <w:bottom w:val="none" w:sz="0" w:space="0" w:color="auto"/>
        <w:right w:val="none" w:sz="0" w:space="0" w:color="auto"/>
      </w:divBdr>
    </w:div>
    <w:div w:id="95946650">
      <w:bodyDiv w:val="1"/>
      <w:marLeft w:val="0"/>
      <w:marRight w:val="0"/>
      <w:marTop w:val="0"/>
      <w:marBottom w:val="0"/>
      <w:divBdr>
        <w:top w:val="none" w:sz="0" w:space="0" w:color="auto"/>
        <w:left w:val="none" w:sz="0" w:space="0" w:color="auto"/>
        <w:bottom w:val="none" w:sz="0" w:space="0" w:color="auto"/>
        <w:right w:val="none" w:sz="0" w:space="0" w:color="auto"/>
      </w:divBdr>
    </w:div>
    <w:div w:id="96026170">
      <w:bodyDiv w:val="1"/>
      <w:marLeft w:val="0"/>
      <w:marRight w:val="0"/>
      <w:marTop w:val="0"/>
      <w:marBottom w:val="0"/>
      <w:divBdr>
        <w:top w:val="none" w:sz="0" w:space="0" w:color="auto"/>
        <w:left w:val="none" w:sz="0" w:space="0" w:color="auto"/>
        <w:bottom w:val="none" w:sz="0" w:space="0" w:color="auto"/>
        <w:right w:val="none" w:sz="0" w:space="0" w:color="auto"/>
      </w:divBdr>
    </w:div>
    <w:div w:id="96098458">
      <w:bodyDiv w:val="1"/>
      <w:marLeft w:val="0"/>
      <w:marRight w:val="0"/>
      <w:marTop w:val="0"/>
      <w:marBottom w:val="0"/>
      <w:divBdr>
        <w:top w:val="none" w:sz="0" w:space="0" w:color="auto"/>
        <w:left w:val="none" w:sz="0" w:space="0" w:color="auto"/>
        <w:bottom w:val="none" w:sz="0" w:space="0" w:color="auto"/>
        <w:right w:val="none" w:sz="0" w:space="0" w:color="auto"/>
      </w:divBdr>
    </w:div>
    <w:div w:id="96172010">
      <w:bodyDiv w:val="1"/>
      <w:marLeft w:val="0"/>
      <w:marRight w:val="0"/>
      <w:marTop w:val="0"/>
      <w:marBottom w:val="0"/>
      <w:divBdr>
        <w:top w:val="none" w:sz="0" w:space="0" w:color="auto"/>
        <w:left w:val="none" w:sz="0" w:space="0" w:color="auto"/>
        <w:bottom w:val="none" w:sz="0" w:space="0" w:color="auto"/>
        <w:right w:val="none" w:sz="0" w:space="0" w:color="auto"/>
      </w:divBdr>
    </w:div>
    <w:div w:id="96221852">
      <w:bodyDiv w:val="1"/>
      <w:marLeft w:val="0"/>
      <w:marRight w:val="0"/>
      <w:marTop w:val="0"/>
      <w:marBottom w:val="0"/>
      <w:divBdr>
        <w:top w:val="none" w:sz="0" w:space="0" w:color="auto"/>
        <w:left w:val="none" w:sz="0" w:space="0" w:color="auto"/>
        <w:bottom w:val="none" w:sz="0" w:space="0" w:color="auto"/>
        <w:right w:val="none" w:sz="0" w:space="0" w:color="auto"/>
      </w:divBdr>
    </w:div>
    <w:div w:id="96292909">
      <w:bodyDiv w:val="1"/>
      <w:marLeft w:val="0"/>
      <w:marRight w:val="0"/>
      <w:marTop w:val="0"/>
      <w:marBottom w:val="0"/>
      <w:divBdr>
        <w:top w:val="none" w:sz="0" w:space="0" w:color="auto"/>
        <w:left w:val="none" w:sz="0" w:space="0" w:color="auto"/>
        <w:bottom w:val="none" w:sz="0" w:space="0" w:color="auto"/>
        <w:right w:val="none" w:sz="0" w:space="0" w:color="auto"/>
      </w:divBdr>
    </w:div>
    <w:div w:id="96295787">
      <w:bodyDiv w:val="1"/>
      <w:marLeft w:val="0"/>
      <w:marRight w:val="0"/>
      <w:marTop w:val="0"/>
      <w:marBottom w:val="0"/>
      <w:divBdr>
        <w:top w:val="none" w:sz="0" w:space="0" w:color="auto"/>
        <w:left w:val="none" w:sz="0" w:space="0" w:color="auto"/>
        <w:bottom w:val="none" w:sz="0" w:space="0" w:color="auto"/>
        <w:right w:val="none" w:sz="0" w:space="0" w:color="auto"/>
      </w:divBdr>
    </w:div>
    <w:div w:id="96415231">
      <w:bodyDiv w:val="1"/>
      <w:marLeft w:val="0"/>
      <w:marRight w:val="0"/>
      <w:marTop w:val="0"/>
      <w:marBottom w:val="0"/>
      <w:divBdr>
        <w:top w:val="none" w:sz="0" w:space="0" w:color="auto"/>
        <w:left w:val="none" w:sz="0" w:space="0" w:color="auto"/>
        <w:bottom w:val="none" w:sz="0" w:space="0" w:color="auto"/>
        <w:right w:val="none" w:sz="0" w:space="0" w:color="auto"/>
      </w:divBdr>
    </w:div>
    <w:div w:id="96415750">
      <w:bodyDiv w:val="1"/>
      <w:marLeft w:val="0"/>
      <w:marRight w:val="0"/>
      <w:marTop w:val="0"/>
      <w:marBottom w:val="0"/>
      <w:divBdr>
        <w:top w:val="none" w:sz="0" w:space="0" w:color="auto"/>
        <w:left w:val="none" w:sz="0" w:space="0" w:color="auto"/>
        <w:bottom w:val="none" w:sz="0" w:space="0" w:color="auto"/>
        <w:right w:val="none" w:sz="0" w:space="0" w:color="auto"/>
      </w:divBdr>
    </w:div>
    <w:div w:id="96491434">
      <w:bodyDiv w:val="1"/>
      <w:marLeft w:val="0"/>
      <w:marRight w:val="0"/>
      <w:marTop w:val="0"/>
      <w:marBottom w:val="0"/>
      <w:divBdr>
        <w:top w:val="none" w:sz="0" w:space="0" w:color="auto"/>
        <w:left w:val="none" w:sz="0" w:space="0" w:color="auto"/>
        <w:bottom w:val="none" w:sz="0" w:space="0" w:color="auto"/>
        <w:right w:val="none" w:sz="0" w:space="0" w:color="auto"/>
      </w:divBdr>
    </w:div>
    <w:div w:id="96603039">
      <w:bodyDiv w:val="1"/>
      <w:marLeft w:val="0"/>
      <w:marRight w:val="0"/>
      <w:marTop w:val="0"/>
      <w:marBottom w:val="0"/>
      <w:divBdr>
        <w:top w:val="none" w:sz="0" w:space="0" w:color="auto"/>
        <w:left w:val="none" w:sz="0" w:space="0" w:color="auto"/>
        <w:bottom w:val="none" w:sz="0" w:space="0" w:color="auto"/>
        <w:right w:val="none" w:sz="0" w:space="0" w:color="auto"/>
      </w:divBdr>
    </w:div>
    <w:div w:id="96605780">
      <w:bodyDiv w:val="1"/>
      <w:marLeft w:val="0"/>
      <w:marRight w:val="0"/>
      <w:marTop w:val="0"/>
      <w:marBottom w:val="0"/>
      <w:divBdr>
        <w:top w:val="none" w:sz="0" w:space="0" w:color="auto"/>
        <w:left w:val="none" w:sz="0" w:space="0" w:color="auto"/>
        <w:bottom w:val="none" w:sz="0" w:space="0" w:color="auto"/>
        <w:right w:val="none" w:sz="0" w:space="0" w:color="auto"/>
      </w:divBdr>
    </w:div>
    <w:div w:id="96681744">
      <w:bodyDiv w:val="1"/>
      <w:marLeft w:val="0"/>
      <w:marRight w:val="0"/>
      <w:marTop w:val="0"/>
      <w:marBottom w:val="0"/>
      <w:divBdr>
        <w:top w:val="none" w:sz="0" w:space="0" w:color="auto"/>
        <w:left w:val="none" w:sz="0" w:space="0" w:color="auto"/>
        <w:bottom w:val="none" w:sz="0" w:space="0" w:color="auto"/>
        <w:right w:val="none" w:sz="0" w:space="0" w:color="auto"/>
      </w:divBdr>
    </w:div>
    <w:div w:id="96797248">
      <w:bodyDiv w:val="1"/>
      <w:marLeft w:val="0"/>
      <w:marRight w:val="0"/>
      <w:marTop w:val="0"/>
      <w:marBottom w:val="0"/>
      <w:divBdr>
        <w:top w:val="none" w:sz="0" w:space="0" w:color="auto"/>
        <w:left w:val="none" w:sz="0" w:space="0" w:color="auto"/>
        <w:bottom w:val="none" w:sz="0" w:space="0" w:color="auto"/>
        <w:right w:val="none" w:sz="0" w:space="0" w:color="auto"/>
      </w:divBdr>
    </w:div>
    <w:div w:id="96801567">
      <w:bodyDiv w:val="1"/>
      <w:marLeft w:val="0"/>
      <w:marRight w:val="0"/>
      <w:marTop w:val="0"/>
      <w:marBottom w:val="0"/>
      <w:divBdr>
        <w:top w:val="none" w:sz="0" w:space="0" w:color="auto"/>
        <w:left w:val="none" w:sz="0" w:space="0" w:color="auto"/>
        <w:bottom w:val="none" w:sz="0" w:space="0" w:color="auto"/>
        <w:right w:val="none" w:sz="0" w:space="0" w:color="auto"/>
      </w:divBdr>
    </w:div>
    <w:div w:id="96802670">
      <w:bodyDiv w:val="1"/>
      <w:marLeft w:val="0"/>
      <w:marRight w:val="0"/>
      <w:marTop w:val="0"/>
      <w:marBottom w:val="0"/>
      <w:divBdr>
        <w:top w:val="none" w:sz="0" w:space="0" w:color="auto"/>
        <w:left w:val="none" w:sz="0" w:space="0" w:color="auto"/>
        <w:bottom w:val="none" w:sz="0" w:space="0" w:color="auto"/>
        <w:right w:val="none" w:sz="0" w:space="0" w:color="auto"/>
      </w:divBdr>
    </w:div>
    <w:div w:id="96950970">
      <w:bodyDiv w:val="1"/>
      <w:marLeft w:val="0"/>
      <w:marRight w:val="0"/>
      <w:marTop w:val="0"/>
      <w:marBottom w:val="0"/>
      <w:divBdr>
        <w:top w:val="none" w:sz="0" w:space="0" w:color="auto"/>
        <w:left w:val="none" w:sz="0" w:space="0" w:color="auto"/>
        <w:bottom w:val="none" w:sz="0" w:space="0" w:color="auto"/>
        <w:right w:val="none" w:sz="0" w:space="0" w:color="auto"/>
      </w:divBdr>
    </w:div>
    <w:div w:id="96995604">
      <w:bodyDiv w:val="1"/>
      <w:marLeft w:val="0"/>
      <w:marRight w:val="0"/>
      <w:marTop w:val="0"/>
      <w:marBottom w:val="0"/>
      <w:divBdr>
        <w:top w:val="none" w:sz="0" w:space="0" w:color="auto"/>
        <w:left w:val="none" w:sz="0" w:space="0" w:color="auto"/>
        <w:bottom w:val="none" w:sz="0" w:space="0" w:color="auto"/>
        <w:right w:val="none" w:sz="0" w:space="0" w:color="auto"/>
      </w:divBdr>
    </w:div>
    <w:div w:id="97066084">
      <w:bodyDiv w:val="1"/>
      <w:marLeft w:val="0"/>
      <w:marRight w:val="0"/>
      <w:marTop w:val="0"/>
      <w:marBottom w:val="0"/>
      <w:divBdr>
        <w:top w:val="none" w:sz="0" w:space="0" w:color="auto"/>
        <w:left w:val="none" w:sz="0" w:space="0" w:color="auto"/>
        <w:bottom w:val="none" w:sz="0" w:space="0" w:color="auto"/>
        <w:right w:val="none" w:sz="0" w:space="0" w:color="auto"/>
      </w:divBdr>
    </w:div>
    <w:div w:id="97139576">
      <w:bodyDiv w:val="1"/>
      <w:marLeft w:val="0"/>
      <w:marRight w:val="0"/>
      <w:marTop w:val="0"/>
      <w:marBottom w:val="0"/>
      <w:divBdr>
        <w:top w:val="none" w:sz="0" w:space="0" w:color="auto"/>
        <w:left w:val="none" w:sz="0" w:space="0" w:color="auto"/>
        <w:bottom w:val="none" w:sz="0" w:space="0" w:color="auto"/>
        <w:right w:val="none" w:sz="0" w:space="0" w:color="auto"/>
      </w:divBdr>
    </w:div>
    <w:div w:id="97141765">
      <w:bodyDiv w:val="1"/>
      <w:marLeft w:val="0"/>
      <w:marRight w:val="0"/>
      <w:marTop w:val="0"/>
      <w:marBottom w:val="0"/>
      <w:divBdr>
        <w:top w:val="none" w:sz="0" w:space="0" w:color="auto"/>
        <w:left w:val="none" w:sz="0" w:space="0" w:color="auto"/>
        <w:bottom w:val="none" w:sz="0" w:space="0" w:color="auto"/>
        <w:right w:val="none" w:sz="0" w:space="0" w:color="auto"/>
      </w:divBdr>
    </w:div>
    <w:div w:id="97256246">
      <w:bodyDiv w:val="1"/>
      <w:marLeft w:val="0"/>
      <w:marRight w:val="0"/>
      <w:marTop w:val="0"/>
      <w:marBottom w:val="0"/>
      <w:divBdr>
        <w:top w:val="none" w:sz="0" w:space="0" w:color="auto"/>
        <w:left w:val="none" w:sz="0" w:space="0" w:color="auto"/>
        <w:bottom w:val="none" w:sz="0" w:space="0" w:color="auto"/>
        <w:right w:val="none" w:sz="0" w:space="0" w:color="auto"/>
      </w:divBdr>
    </w:div>
    <w:div w:id="97258358">
      <w:bodyDiv w:val="1"/>
      <w:marLeft w:val="0"/>
      <w:marRight w:val="0"/>
      <w:marTop w:val="0"/>
      <w:marBottom w:val="0"/>
      <w:divBdr>
        <w:top w:val="none" w:sz="0" w:space="0" w:color="auto"/>
        <w:left w:val="none" w:sz="0" w:space="0" w:color="auto"/>
        <w:bottom w:val="none" w:sz="0" w:space="0" w:color="auto"/>
        <w:right w:val="none" w:sz="0" w:space="0" w:color="auto"/>
      </w:divBdr>
    </w:div>
    <w:div w:id="97262489">
      <w:bodyDiv w:val="1"/>
      <w:marLeft w:val="0"/>
      <w:marRight w:val="0"/>
      <w:marTop w:val="0"/>
      <w:marBottom w:val="0"/>
      <w:divBdr>
        <w:top w:val="none" w:sz="0" w:space="0" w:color="auto"/>
        <w:left w:val="none" w:sz="0" w:space="0" w:color="auto"/>
        <w:bottom w:val="none" w:sz="0" w:space="0" w:color="auto"/>
        <w:right w:val="none" w:sz="0" w:space="0" w:color="auto"/>
      </w:divBdr>
    </w:div>
    <w:div w:id="97264184">
      <w:bodyDiv w:val="1"/>
      <w:marLeft w:val="0"/>
      <w:marRight w:val="0"/>
      <w:marTop w:val="0"/>
      <w:marBottom w:val="0"/>
      <w:divBdr>
        <w:top w:val="none" w:sz="0" w:space="0" w:color="auto"/>
        <w:left w:val="none" w:sz="0" w:space="0" w:color="auto"/>
        <w:bottom w:val="none" w:sz="0" w:space="0" w:color="auto"/>
        <w:right w:val="none" w:sz="0" w:space="0" w:color="auto"/>
      </w:divBdr>
    </w:div>
    <w:div w:id="97264828">
      <w:bodyDiv w:val="1"/>
      <w:marLeft w:val="0"/>
      <w:marRight w:val="0"/>
      <w:marTop w:val="0"/>
      <w:marBottom w:val="0"/>
      <w:divBdr>
        <w:top w:val="none" w:sz="0" w:space="0" w:color="auto"/>
        <w:left w:val="none" w:sz="0" w:space="0" w:color="auto"/>
        <w:bottom w:val="none" w:sz="0" w:space="0" w:color="auto"/>
        <w:right w:val="none" w:sz="0" w:space="0" w:color="auto"/>
      </w:divBdr>
    </w:div>
    <w:div w:id="97407722">
      <w:bodyDiv w:val="1"/>
      <w:marLeft w:val="0"/>
      <w:marRight w:val="0"/>
      <w:marTop w:val="0"/>
      <w:marBottom w:val="0"/>
      <w:divBdr>
        <w:top w:val="none" w:sz="0" w:space="0" w:color="auto"/>
        <w:left w:val="none" w:sz="0" w:space="0" w:color="auto"/>
        <w:bottom w:val="none" w:sz="0" w:space="0" w:color="auto"/>
        <w:right w:val="none" w:sz="0" w:space="0" w:color="auto"/>
      </w:divBdr>
    </w:div>
    <w:div w:id="97452397">
      <w:bodyDiv w:val="1"/>
      <w:marLeft w:val="0"/>
      <w:marRight w:val="0"/>
      <w:marTop w:val="0"/>
      <w:marBottom w:val="0"/>
      <w:divBdr>
        <w:top w:val="none" w:sz="0" w:space="0" w:color="auto"/>
        <w:left w:val="none" w:sz="0" w:space="0" w:color="auto"/>
        <w:bottom w:val="none" w:sz="0" w:space="0" w:color="auto"/>
        <w:right w:val="none" w:sz="0" w:space="0" w:color="auto"/>
      </w:divBdr>
    </w:div>
    <w:div w:id="97456278">
      <w:bodyDiv w:val="1"/>
      <w:marLeft w:val="0"/>
      <w:marRight w:val="0"/>
      <w:marTop w:val="0"/>
      <w:marBottom w:val="0"/>
      <w:divBdr>
        <w:top w:val="none" w:sz="0" w:space="0" w:color="auto"/>
        <w:left w:val="none" w:sz="0" w:space="0" w:color="auto"/>
        <w:bottom w:val="none" w:sz="0" w:space="0" w:color="auto"/>
        <w:right w:val="none" w:sz="0" w:space="0" w:color="auto"/>
      </w:divBdr>
    </w:div>
    <w:div w:id="97679591">
      <w:bodyDiv w:val="1"/>
      <w:marLeft w:val="0"/>
      <w:marRight w:val="0"/>
      <w:marTop w:val="0"/>
      <w:marBottom w:val="0"/>
      <w:divBdr>
        <w:top w:val="none" w:sz="0" w:space="0" w:color="auto"/>
        <w:left w:val="none" w:sz="0" w:space="0" w:color="auto"/>
        <w:bottom w:val="none" w:sz="0" w:space="0" w:color="auto"/>
        <w:right w:val="none" w:sz="0" w:space="0" w:color="auto"/>
      </w:divBdr>
    </w:div>
    <w:div w:id="97721468">
      <w:bodyDiv w:val="1"/>
      <w:marLeft w:val="0"/>
      <w:marRight w:val="0"/>
      <w:marTop w:val="0"/>
      <w:marBottom w:val="0"/>
      <w:divBdr>
        <w:top w:val="none" w:sz="0" w:space="0" w:color="auto"/>
        <w:left w:val="none" w:sz="0" w:space="0" w:color="auto"/>
        <w:bottom w:val="none" w:sz="0" w:space="0" w:color="auto"/>
        <w:right w:val="none" w:sz="0" w:space="0" w:color="auto"/>
      </w:divBdr>
    </w:div>
    <w:div w:id="97911684">
      <w:bodyDiv w:val="1"/>
      <w:marLeft w:val="0"/>
      <w:marRight w:val="0"/>
      <w:marTop w:val="0"/>
      <w:marBottom w:val="0"/>
      <w:divBdr>
        <w:top w:val="none" w:sz="0" w:space="0" w:color="auto"/>
        <w:left w:val="none" w:sz="0" w:space="0" w:color="auto"/>
        <w:bottom w:val="none" w:sz="0" w:space="0" w:color="auto"/>
        <w:right w:val="none" w:sz="0" w:space="0" w:color="auto"/>
      </w:divBdr>
    </w:div>
    <w:div w:id="98068324">
      <w:bodyDiv w:val="1"/>
      <w:marLeft w:val="0"/>
      <w:marRight w:val="0"/>
      <w:marTop w:val="0"/>
      <w:marBottom w:val="0"/>
      <w:divBdr>
        <w:top w:val="none" w:sz="0" w:space="0" w:color="auto"/>
        <w:left w:val="none" w:sz="0" w:space="0" w:color="auto"/>
        <w:bottom w:val="none" w:sz="0" w:space="0" w:color="auto"/>
        <w:right w:val="none" w:sz="0" w:space="0" w:color="auto"/>
      </w:divBdr>
    </w:div>
    <w:div w:id="98107606">
      <w:bodyDiv w:val="1"/>
      <w:marLeft w:val="0"/>
      <w:marRight w:val="0"/>
      <w:marTop w:val="0"/>
      <w:marBottom w:val="0"/>
      <w:divBdr>
        <w:top w:val="none" w:sz="0" w:space="0" w:color="auto"/>
        <w:left w:val="none" w:sz="0" w:space="0" w:color="auto"/>
        <w:bottom w:val="none" w:sz="0" w:space="0" w:color="auto"/>
        <w:right w:val="none" w:sz="0" w:space="0" w:color="auto"/>
      </w:divBdr>
    </w:div>
    <w:div w:id="98110890">
      <w:bodyDiv w:val="1"/>
      <w:marLeft w:val="0"/>
      <w:marRight w:val="0"/>
      <w:marTop w:val="0"/>
      <w:marBottom w:val="0"/>
      <w:divBdr>
        <w:top w:val="none" w:sz="0" w:space="0" w:color="auto"/>
        <w:left w:val="none" w:sz="0" w:space="0" w:color="auto"/>
        <w:bottom w:val="none" w:sz="0" w:space="0" w:color="auto"/>
        <w:right w:val="none" w:sz="0" w:space="0" w:color="auto"/>
      </w:divBdr>
    </w:div>
    <w:div w:id="98111133">
      <w:bodyDiv w:val="1"/>
      <w:marLeft w:val="0"/>
      <w:marRight w:val="0"/>
      <w:marTop w:val="0"/>
      <w:marBottom w:val="0"/>
      <w:divBdr>
        <w:top w:val="none" w:sz="0" w:space="0" w:color="auto"/>
        <w:left w:val="none" w:sz="0" w:space="0" w:color="auto"/>
        <w:bottom w:val="none" w:sz="0" w:space="0" w:color="auto"/>
        <w:right w:val="none" w:sz="0" w:space="0" w:color="auto"/>
      </w:divBdr>
    </w:div>
    <w:div w:id="98330616">
      <w:bodyDiv w:val="1"/>
      <w:marLeft w:val="0"/>
      <w:marRight w:val="0"/>
      <w:marTop w:val="0"/>
      <w:marBottom w:val="0"/>
      <w:divBdr>
        <w:top w:val="none" w:sz="0" w:space="0" w:color="auto"/>
        <w:left w:val="none" w:sz="0" w:space="0" w:color="auto"/>
        <w:bottom w:val="none" w:sz="0" w:space="0" w:color="auto"/>
        <w:right w:val="none" w:sz="0" w:space="0" w:color="auto"/>
      </w:divBdr>
    </w:div>
    <w:div w:id="98377872">
      <w:bodyDiv w:val="1"/>
      <w:marLeft w:val="0"/>
      <w:marRight w:val="0"/>
      <w:marTop w:val="0"/>
      <w:marBottom w:val="0"/>
      <w:divBdr>
        <w:top w:val="none" w:sz="0" w:space="0" w:color="auto"/>
        <w:left w:val="none" w:sz="0" w:space="0" w:color="auto"/>
        <w:bottom w:val="none" w:sz="0" w:space="0" w:color="auto"/>
        <w:right w:val="none" w:sz="0" w:space="0" w:color="auto"/>
      </w:divBdr>
    </w:div>
    <w:div w:id="98378394">
      <w:bodyDiv w:val="1"/>
      <w:marLeft w:val="0"/>
      <w:marRight w:val="0"/>
      <w:marTop w:val="0"/>
      <w:marBottom w:val="0"/>
      <w:divBdr>
        <w:top w:val="none" w:sz="0" w:space="0" w:color="auto"/>
        <w:left w:val="none" w:sz="0" w:space="0" w:color="auto"/>
        <w:bottom w:val="none" w:sz="0" w:space="0" w:color="auto"/>
        <w:right w:val="none" w:sz="0" w:space="0" w:color="auto"/>
      </w:divBdr>
    </w:div>
    <w:div w:id="98451510">
      <w:bodyDiv w:val="1"/>
      <w:marLeft w:val="0"/>
      <w:marRight w:val="0"/>
      <w:marTop w:val="0"/>
      <w:marBottom w:val="0"/>
      <w:divBdr>
        <w:top w:val="none" w:sz="0" w:space="0" w:color="auto"/>
        <w:left w:val="none" w:sz="0" w:space="0" w:color="auto"/>
        <w:bottom w:val="none" w:sz="0" w:space="0" w:color="auto"/>
        <w:right w:val="none" w:sz="0" w:space="0" w:color="auto"/>
      </w:divBdr>
    </w:div>
    <w:div w:id="98455590">
      <w:bodyDiv w:val="1"/>
      <w:marLeft w:val="0"/>
      <w:marRight w:val="0"/>
      <w:marTop w:val="0"/>
      <w:marBottom w:val="0"/>
      <w:divBdr>
        <w:top w:val="none" w:sz="0" w:space="0" w:color="auto"/>
        <w:left w:val="none" w:sz="0" w:space="0" w:color="auto"/>
        <w:bottom w:val="none" w:sz="0" w:space="0" w:color="auto"/>
        <w:right w:val="none" w:sz="0" w:space="0" w:color="auto"/>
      </w:divBdr>
    </w:div>
    <w:div w:id="98456712">
      <w:bodyDiv w:val="1"/>
      <w:marLeft w:val="0"/>
      <w:marRight w:val="0"/>
      <w:marTop w:val="0"/>
      <w:marBottom w:val="0"/>
      <w:divBdr>
        <w:top w:val="none" w:sz="0" w:space="0" w:color="auto"/>
        <w:left w:val="none" w:sz="0" w:space="0" w:color="auto"/>
        <w:bottom w:val="none" w:sz="0" w:space="0" w:color="auto"/>
        <w:right w:val="none" w:sz="0" w:space="0" w:color="auto"/>
      </w:divBdr>
    </w:div>
    <w:div w:id="98525600">
      <w:bodyDiv w:val="1"/>
      <w:marLeft w:val="0"/>
      <w:marRight w:val="0"/>
      <w:marTop w:val="0"/>
      <w:marBottom w:val="0"/>
      <w:divBdr>
        <w:top w:val="none" w:sz="0" w:space="0" w:color="auto"/>
        <w:left w:val="none" w:sz="0" w:space="0" w:color="auto"/>
        <w:bottom w:val="none" w:sz="0" w:space="0" w:color="auto"/>
        <w:right w:val="none" w:sz="0" w:space="0" w:color="auto"/>
      </w:divBdr>
    </w:div>
    <w:div w:id="98532387">
      <w:bodyDiv w:val="1"/>
      <w:marLeft w:val="0"/>
      <w:marRight w:val="0"/>
      <w:marTop w:val="0"/>
      <w:marBottom w:val="0"/>
      <w:divBdr>
        <w:top w:val="none" w:sz="0" w:space="0" w:color="auto"/>
        <w:left w:val="none" w:sz="0" w:space="0" w:color="auto"/>
        <w:bottom w:val="none" w:sz="0" w:space="0" w:color="auto"/>
        <w:right w:val="none" w:sz="0" w:space="0" w:color="auto"/>
      </w:divBdr>
    </w:div>
    <w:div w:id="98644785">
      <w:bodyDiv w:val="1"/>
      <w:marLeft w:val="0"/>
      <w:marRight w:val="0"/>
      <w:marTop w:val="0"/>
      <w:marBottom w:val="0"/>
      <w:divBdr>
        <w:top w:val="none" w:sz="0" w:space="0" w:color="auto"/>
        <w:left w:val="none" w:sz="0" w:space="0" w:color="auto"/>
        <w:bottom w:val="none" w:sz="0" w:space="0" w:color="auto"/>
        <w:right w:val="none" w:sz="0" w:space="0" w:color="auto"/>
      </w:divBdr>
    </w:div>
    <w:div w:id="98722238">
      <w:bodyDiv w:val="1"/>
      <w:marLeft w:val="0"/>
      <w:marRight w:val="0"/>
      <w:marTop w:val="0"/>
      <w:marBottom w:val="0"/>
      <w:divBdr>
        <w:top w:val="none" w:sz="0" w:space="0" w:color="auto"/>
        <w:left w:val="none" w:sz="0" w:space="0" w:color="auto"/>
        <w:bottom w:val="none" w:sz="0" w:space="0" w:color="auto"/>
        <w:right w:val="none" w:sz="0" w:space="0" w:color="auto"/>
      </w:divBdr>
    </w:div>
    <w:div w:id="98723691">
      <w:bodyDiv w:val="1"/>
      <w:marLeft w:val="0"/>
      <w:marRight w:val="0"/>
      <w:marTop w:val="0"/>
      <w:marBottom w:val="0"/>
      <w:divBdr>
        <w:top w:val="none" w:sz="0" w:space="0" w:color="auto"/>
        <w:left w:val="none" w:sz="0" w:space="0" w:color="auto"/>
        <w:bottom w:val="none" w:sz="0" w:space="0" w:color="auto"/>
        <w:right w:val="none" w:sz="0" w:space="0" w:color="auto"/>
      </w:divBdr>
    </w:div>
    <w:div w:id="98725595">
      <w:bodyDiv w:val="1"/>
      <w:marLeft w:val="0"/>
      <w:marRight w:val="0"/>
      <w:marTop w:val="0"/>
      <w:marBottom w:val="0"/>
      <w:divBdr>
        <w:top w:val="none" w:sz="0" w:space="0" w:color="auto"/>
        <w:left w:val="none" w:sz="0" w:space="0" w:color="auto"/>
        <w:bottom w:val="none" w:sz="0" w:space="0" w:color="auto"/>
        <w:right w:val="none" w:sz="0" w:space="0" w:color="auto"/>
      </w:divBdr>
    </w:div>
    <w:div w:id="98837811">
      <w:bodyDiv w:val="1"/>
      <w:marLeft w:val="0"/>
      <w:marRight w:val="0"/>
      <w:marTop w:val="0"/>
      <w:marBottom w:val="0"/>
      <w:divBdr>
        <w:top w:val="none" w:sz="0" w:space="0" w:color="auto"/>
        <w:left w:val="none" w:sz="0" w:space="0" w:color="auto"/>
        <w:bottom w:val="none" w:sz="0" w:space="0" w:color="auto"/>
        <w:right w:val="none" w:sz="0" w:space="0" w:color="auto"/>
      </w:divBdr>
    </w:div>
    <w:div w:id="98919509">
      <w:bodyDiv w:val="1"/>
      <w:marLeft w:val="0"/>
      <w:marRight w:val="0"/>
      <w:marTop w:val="0"/>
      <w:marBottom w:val="0"/>
      <w:divBdr>
        <w:top w:val="none" w:sz="0" w:space="0" w:color="auto"/>
        <w:left w:val="none" w:sz="0" w:space="0" w:color="auto"/>
        <w:bottom w:val="none" w:sz="0" w:space="0" w:color="auto"/>
        <w:right w:val="none" w:sz="0" w:space="0" w:color="auto"/>
      </w:divBdr>
    </w:div>
    <w:div w:id="98987721">
      <w:bodyDiv w:val="1"/>
      <w:marLeft w:val="0"/>
      <w:marRight w:val="0"/>
      <w:marTop w:val="0"/>
      <w:marBottom w:val="0"/>
      <w:divBdr>
        <w:top w:val="none" w:sz="0" w:space="0" w:color="auto"/>
        <w:left w:val="none" w:sz="0" w:space="0" w:color="auto"/>
        <w:bottom w:val="none" w:sz="0" w:space="0" w:color="auto"/>
        <w:right w:val="none" w:sz="0" w:space="0" w:color="auto"/>
      </w:divBdr>
    </w:div>
    <w:div w:id="99182198">
      <w:bodyDiv w:val="1"/>
      <w:marLeft w:val="0"/>
      <w:marRight w:val="0"/>
      <w:marTop w:val="0"/>
      <w:marBottom w:val="0"/>
      <w:divBdr>
        <w:top w:val="none" w:sz="0" w:space="0" w:color="auto"/>
        <w:left w:val="none" w:sz="0" w:space="0" w:color="auto"/>
        <w:bottom w:val="none" w:sz="0" w:space="0" w:color="auto"/>
        <w:right w:val="none" w:sz="0" w:space="0" w:color="auto"/>
      </w:divBdr>
    </w:div>
    <w:div w:id="99182943">
      <w:bodyDiv w:val="1"/>
      <w:marLeft w:val="0"/>
      <w:marRight w:val="0"/>
      <w:marTop w:val="0"/>
      <w:marBottom w:val="0"/>
      <w:divBdr>
        <w:top w:val="none" w:sz="0" w:space="0" w:color="auto"/>
        <w:left w:val="none" w:sz="0" w:space="0" w:color="auto"/>
        <w:bottom w:val="none" w:sz="0" w:space="0" w:color="auto"/>
        <w:right w:val="none" w:sz="0" w:space="0" w:color="auto"/>
      </w:divBdr>
    </w:div>
    <w:div w:id="99497894">
      <w:bodyDiv w:val="1"/>
      <w:marLeft w:val="0"/>
      <w:marRight w:val="0"/>
      <w:marTop w:val="0"/>
      <w:marBottom w:val="0"/>
      <w:divBdr>
        <w:top w:val="none" w:sz="0" w:space="0" w:color="auto"/>
        <w:left w:val="none" w:sz="0" w:space="0" w:color="auto"/>
        <w:bottom w:val="none" w:sz="0" w:space="0" w:color="auto"/>
        <w:right w:val="none" w:sz="0" w:space="0" w:color="auto"/>
      </w:divBdr>
    </w:div>
    <w:div w:id="99570145">
      <w:bodyDiv w:val="1"/>
      <w:marLeft w:val="0"/>
      <w:marRight w:val="0"/>
      <w:marTop w:val="0"/>
      <w:marBottom w:val="0"/>
      <w:divBdr>
        <w:top w:val="none" w:sz="0" w:space="0" w:color="auto"/>
        <w:left w:val="none" w:sz="0" w:space="0" w:color="auto"/>
        <w:bottom w:val="none" w:sz="0" w:space="0" w:color="auto"/>
        <w:right w:val="none" w:sz="0" w:space="0" w:color="auto"/>
      </w:divBdr>
    </w:div>
    <w:div w:id="99572848">
      <w:bodyDiv w:val="1"/>
      <w:marLeft w:val="0"/>
      <w:marRight w:val="0"/>
      <w:marTop w:val="0"/>
      <w:marBottom w:val="0"/>
      <w:divBdr>
        <w:top w:val="none" w:sz="0" w:space="0" w:color="auto"/>
        <w:left w:val="none" w:sz="0" w:space="0" w:color="auto"/>
        <w:bottom w:val="none" w:sz="0" w:space="0" w:color="auto"/>
        <w:right w:val="none" w:sz="0" w:space="0" w:color="auto"/>
      </w:divBdr>
    </w:div>
    <w:div w:id="99683379">
      <w:bodyDiv w:val="1"/>
      <w:marLeft w:val="0"/>
      <w:marRight w:val="0"/>
      <w:marTop w:val="0"/>
      <w:marBottom w:val="0"/>
      <w:divBdr>
        <w:top w:val="none" w:sz="0" w:space="0" w:color="auto"/>
        <w:left w:val="none" w:sz="0" w:space="0" w:color="auto"/>
        <w:bottom w:val="none" w:sz="0" w:space="0" w:color="auto"/>
        <w:right w:val="none" w:sz="0" w:space="0" w:color="auto"/>
      </w:divBdr>
    </w:div>
    <w:div w:id="99762649">
      <w:bodyDiv w:val="1"/>
      <w:marLeft w:val="0"/>
      <w:marRight w:val="0"/>
      <w:marTop w:val="0"/>
      <w:marBottom w:val="0"/>
      <w:divBdr>
        <w:top w:val="none" w:sz="0" w:space="0" w:color="auto"/>
        <w:left w:val="none" w:sz="0" w:space="0" w:color="auto"/>
        <w:bottom w:val="none" w:sz="0" w:space="0" w:color="auto"/>
        <w:right w:val="none" w:sz="0" w:space="0" w:color="auto"/>
      </w:divBdr>
    </w:div>
    <w:div w:id="99878389">
      <w:bodyDiv w:val="1"/>
      <w:marLeft w:val="0"/>
      <w:marRight w:val="0"/>
      <w:marTop w:val="0"/>
      <w:marBottom w:val="0"/>
      <w:divBdr>
        <w:top w:val="none" w:sz="0" w:space="0" w:color="auto"/>
        <w:left w:val="none" w:sz="0" w:space="0" w:color="auto"/>
        <w:bottom w:val="none" w:sz="0" w:space="0" w:color="auto"/>
        <w:right w:val="none" w:sz="0" w:space="0" w:color="auto"/>
      </w:divBdr>
    </w:div>
    <w:div w:id="99956755">
      <w:bodyDiv w:val="1"/>
      <w:marLeft w:val="0"/>
      <w:marRight w:val="0"/>
      <w:marTop w:val="0"/>
      <w:marBottom w:val="0"/>
      <w:divBdr>
        <w:top w:val="none" w:sz="0" w:space="0" w:color="auto"/>
        <w:left w:val="none" w:sz="0" w:space="0" w:color="auto"/>
        <w:bottom w:val="none" w:sz="0" w:space="0" w:color="auto"/>
        <w:right w:val="none" w:sz="0" w:space="0" w:color="auto"/>
      </w:divBdr>
    </w:div>
    <w:div w:id="99961406">
      <w:bodyDiv w:val="1"/>
      <w:marLeft w:val="0"/>
      <w:marRight w:val="0"/>
      <w:marTop w:val="0"/>
      <w:marBottom w:val="0"/>
      <w:divBdr>
        <w:top w:val="none" w:sz="0" w:space="0" w:color="auto"/>
        <w:left w:val="none" w:sz="0" w:space="0" w:color="auto"/>
        <w:bottom w:val="none" w:sz="0" w:space="0" w:color="auto"/>
        <w:right w:val="none" w:sz="0" w:space="0" w:color="auto"/>
      </w:divBdr>
    </w:div>
    <w:div w:id="100033137">
      <w:bodyDiv w:val="1"/>
      <w:marLeft w:val="0"/>
      <w:marRight w:val="0"/>
      <w:marTop w:val="0"/>
      <w:marBottom w:val="0"/>
      <w:divBdr>
        <w:top w:val="none" w:sz="0" w:space="0" w:color="auto"/>
        <w:left w:val="none" w:sz="0" w:space="0" w:color="auto"/>
        <w:bottom w:val="none" w:sz="0" w:space="0" w:color="auto"/>
        <w:right w:val="none" w:sz="0" w:space="0" w:color="auto"/>
      </w:divBdr>
    </w:div>
    <w:div w:id="100150235">
      <w:bodyDiv w:val="1"/>
      <w:marLeft w:val="0"/>
      <w:marRight w:val="0"/>
      <w:marTop w:val="0"/>
      <w:marBottom w:val="0"/>
      <w:divBdr>
        <w:top w:val="none" w:sz="0" w:space="0" w:color="auto"/>
        <w:left w:val="none" w:sz="0" w:space="0" w:color="auto"/>
        <w:bottom w:val="none" w:sz="0" w:space="0" w:color="auto"/>
        <w:right w:val="none" w:sz="0" w:space="0" w:color="auto"/>
      </w:divBdr>
    </w:div>
    <w:div w:id="100498939">
      <w:bodyDiv w:val="1"/>
      <w:marLeft w:val="0"/>
      <w:marRight w:val="0"/>
      <w:marTop w:val="0"/>
      <w:marBottom w:val="0"/>
      <w:divBdr>
        <w:top w:val="none" w:sz="0" w:space="0" w:color="auto"/>
        <w:left w:val="none" w:sz="0" w:space="0" w:color="auto"/>
        <w:bottom w:val="none" w:sz="0" w:space="0" w:color="auto"/>
        <w:right w:val="none" w:sz="0" w:space="0" w:color="auto"/>
      </w:divBdr>
    </w:div>
    <w:div w:id="100534765">
      <w:bodyDiv w:val="1"/>
      <w:marLeft w:val="0"/>
      <w:marRight w:val="0"/>
      <w:marTop w:val="0"/>
      <w:marBottom w:val="0"/>
      <w:divBdr>
        <w:top w:val="none" w:sz="0" w:space="0" w:color="auto"/>
        <w:left w:val="none" w:sz="0" w:space="0" w:color="auto"/>
        <w:bottom w:val="none" w:sz="0" w:space="0" w:color="auto"/>
        <w:right w:val="none" w:sz="0" w:space="0" w:color="auto"/>
      </w:divBdr>
    </w:div>
    <w:div w:id="100536143">
      <w:bodyDiv w:val="1"/>
      <w:marLeft w:val="0"/>
      <w:marRight w:val="0"/>
      <w:marTop w:val="0"/>
      <w:marBottom w:val="0"/>
      <w:divBdr>
        <w:top w:val="none" w:sz="0" w:space="0" w:color="auto"/>
        <w:left w:val="none" w:sz="0" w:space="0" w:color="auto"/>
        <w:bottom w:val="none" w:sz="0" w:space="0" w:color="auto"/>
        <w:right w:val="none" w:sz="0" w:space="0" w:color="auto"/>
      </w:divBdr>
    </w:div>
    <w:div w:id="100539161">
      <w:bodyDiv w:val="1"/>
      <w:marLeft w:val="0"/>
      <w:marRight w:val="0"/>
      <w:marTop w:val="0"/>
      <w:marBottom w:val="0"/>
      <w:divBdr>
        <w:top w:val="none" w:sz="0" w:space="0" w:color="auto"/>
        <w:left w:val="none" w:sz="0" w:space="0" w:color="auto"/>
        <w:bottom w:val="none" w:sz="0" w:space="0" w:color="auto"/>
        <w:right w:val="none" w:sz="0" w:space="0" w:color="auto"/>
      </w:divBdr>
    </w:div>
    <w:div w:id="100608254">
      <w:bodyDiv w:val="1"/>
      <w:marLeft w:val="0"/>
      <w:marRight w:val="0"/>
      <w:marTop w:val="0"/>
      <w:marBottom w:val="0"/>
      <w:divBdr>
        <w:top w:val="none" w:sz="0" w:space="0" w:color="auto"/>
        <w:left w:val="none" w:sz="0" w:space="0" w:color="auto"/>
        <w:bottom w:val="none" w:sz="0" w:space="0" w:color="auto"/>
        <w:right w:val="none" w:sz="0" w:space="0" w:color="auto"/>
      </w:divBdr>
    </w:div>
    <w:div w:id="100613561">
      <w:bodyDiv w:val="1"/>
      <w:marLeft w:val="0"/>
      <w:marRight w:val="0"/>
      <w:marTop w:val="0"/>
      <w:marBottom w:val="0"/>
      <w:divBdr>
        <w:top w:val="none" w:sz="0" w:space="0" w:color="auto"/>
        <w:left w:val="none" w:sz="0" w:space="0" w:color="auto"/>
        <w:bottom w:val="none" w:sz="0" w:space="0" w:color="auto"/>
        <w:right w:val="none" w:sz="0" w:space="0" w:color="auto"/>
      </w:divBdr>
    </w:div>
    <w:div w:id="100801592">
      <w:bodyDiv w:val="1"/>
      <w:marLeft w:val="0"/>
      <w:marRight w:val="0"/>
      <w:marTop w:val="0"/>
      <w:marBottom w:val="0"/>
      <w:divBdr>
        <w:top w:val="none" w:sz="0" w:space="0" w:color="auto"/>
        <w:left w:val="none" w:sz="0" w:space="0" w:color="auto"/>
        <w:bottom w:val="none" w:sz="0" w:space="0" w:color="auto"/>
        <w:right w:val="none" w:sz="0" w:space="0" w:color="auto"/>
      </w:divBdr>
    </w:div>
    <w:div w:id="100803418">
      <w:bodyDiv w:val="1"/>
      <w:marLeft w:val="0"/>
      <w:marRight w:val="0"/>
      <w:marTop w:val="0"/>
      <w:marBottom w:val="0"/>
      <w:divBdr>
        <w:top w:val="none" w:sz="0" w:space="0" w:color="auto"/>
        <w:left w:val="none" w:sz="0" w:space="0" w:color="auto"/>
        <w:bottom w:val="none" w:sz="0" w:space="0" w:color="auto"/>
        <w:right w:val="none" w:sz="0" w:space="0" w:color="auto"/>
      </w:divBdr>
    </w:div>
    <w:div w:id="100993867">
      <w:bodyDiv w:val="1"/>
      <w:marLeft w:val="0"/>
      <w:marRight w:val="0"/>
      <w:marTop w:val="0"/>
      <w:marBottom w:val="0"/>
      <w:divBdr>
        <w:top w:val="none" w:sz="0" w:space="0" w:color="auto"/>
        <w:left w:val="none" w:sz="0" w:space="0" w:color="auto"/>
        <w:bottom w:val="none" w:sz="0" w:space="0" w:color="auto"/>
        <w:right w:val="none" w:sz="0" w:space="0" w:color="auto"/>
      </w:divBdr>
    </w:div>
    <w:div w:id="100997488">
      <w:bodyDiv w:val="1"/>
      <w:marLeft w:val="0"/>
      <w:marRight w:val="0"/>
      <w:marTop w:val="0"/>
      <w:marBottom w:val="0"/>
      <w:divBdr>
        <w:top w:val="none" w:sz="0" w:space="0" w:color="auto"/>
        <w:left w:val="none" w:sz="0" w:space="0" w:color="auto"/>
        <w:bottom w:val="none" w:sz="0" w:space="0" w:color="auto"/>
        <w:right w:val="none" w:sz="0" w:space="0" w:color="auto"/>
      </w:divBdr>
    </w:div>
    <w:div w:id="101069293">
      <w:bodyDiv w:val="1"/>
      <w:marLeft w:val="0"/>
      <w:marRight w:val="0"/>
      <w:marTop w:val="0"/>
      <w:marBottom w:val="0"/>
      <w:divBdr>
        <w:top w:val="none" w:sz="0" w:space="0" w:color="auto"/>
        <w:left w:val="none" w:sz="0" w:space="0" w:color="auto"/>
        <w:bottom w:val="none" w:sz="0" w:space="0" w:color="auto"/>
        <w:right w:val="none" w:sz="0" w:space="0" w:color="auto"/>
      </w:divBdr>
    </w:div>
    <w:div w:id="101070270">
      <w:bodyDiv w:val="1"/>
      <w:marLeft w:val="0"/>
      <w:marRight w:val="0"/>
      <w:marTop w:val="0"/>
      <w:marBottom w:val="0"/>
      <w:divBdr>
        <w:top w:val="none" w:sz="0" w:space="0" w:color="auto"/>
        <w:left w:val="none" w:sz="0" w:space="0" w:color="auto"/>
        <w:bottom w:val="none" w:sz="0" w:space="0" w:color="auto"/>
        <w:right w:val="none" w:sz="0" w:space="0" w:color="auto"/>
      </w:divBdr>
    </w:div>
    <w:div w:id="101075978">
      <w:bodyDiv w:val="1"/>
      <w:marLeft w:val="0"/>
      <w:marRight w:val="0"/>
      <w:marTop w:val="0"/>
      <w:marBottom w:val="0"/>
      <w:divBdr>
        <w:top w:val="none" w:sz="0" w:space="0" w:color="auto"/>
        <w:left w:val="none" w:sz="0" w:space="0" w:color="auto"/>
        <w:bottom w:val="none" w:sz="0" w:space="0" w:color="auto"/>
        <w:right w:val="none" w:sz="0" w:space="0" w:color="auto"/>
      </w:divBdr>
    </w:div>
    <w:div w:id="101145476">
      <w:bodyDiv w:val="1"/>
      <w:marLeft w:val="0"/>
      <w:marRight w:val="0"/>
      <w:marTop w:val="0"/>
      <w:marBottom w:val="0"/>
      <w:divBdr>
        <w:top w:val="none" w:sz="0" w:space="0" w:color="auto"/>
        <w:left w:val="none" w:sz="0" w:space="0" w:color="auto"/>
        <w:bottom w:val="none" w:sz="0" w:space="0" w:color="auto"/>
        <w:right w:val="none" w:sz="0" w:space="0" w:color="auto"/>
      </w:divBdr>
    </w:div>
    <w:div w:id="101148277">
      <w:bodyDiv w:val="1"/>
      <w:marLeft w:val="0"/>
      <w:marRight w:val="0"/>
      <w:marTop w:val="0"/>
      <w:marBottom w:val="0"/>
      <w:divBdr>
        <w:top w:val="none" w:sz="0" w:space="0" w:color="auto"/>
        <w:left w:val="none" w:sz="0" w:space="0" w:color="auto"/>
        <w:bottom w:val="none" w:sz="0" w:space="0" w:color="auto"/>
        <w:right w:val="none" w:sz="0" w:space="0" w:color="auto"/>
      </w:divBdr>
    </w:div>
    <w:div w:id="101531411">
      <w:bodyDiv w:val="1"/>
      <w:marLeft w:val="0"/>
      <w:marRight w:val="0"/>
      <w:marTop w:val="0"/>
      <w:marBottom w:val="0"/>
      <w:divBdr>
        <w:top w:val="none" w:sz="0" w:space="0" w:color="auto"/>
        <w:left w:val="none" w:sz="0" w:space="0" w:color="auto"/>
        <w:bottom w:val="none" w:sz="0" w:space="0" w:color="auto"/>
        <w:right w:val="none" w:sz="0" w:space="0" w:color="auto"/>
      </w:divBdr>
    </w:div>
    <w:div w:id="101583163">
      <w:bodyDiv w:val="1"/>
      <w:marLeft w:val="0"/>
      <w:marRight w:val="0"/>
      <w:marTop w:val="0"/>
      <w:marBottom w:val="0"/>
      <w:divBdr>
        <w:top w:val="none" w:sz="0" w:space="0" w:color="auto"/>
        <w:left w:val="none" w:sz="0" w:space="0" w:color="auto"/>
        <w:bottom w:val="none" w:sz="0" w:space="0" w:color="auto"/>
        <w:right w:val="none" w:sz="0" w:space="0" w:color="auto"/>
      </w:divBdr>
    </w:div>
    <w:div w:id="101650763">
      <w:bodyDiv w:val="1"/>
      <w:marLeft w:val="0"/>
      <w:marRight w:val="0"/>
      <w:marTop w:val="0"/>
      <w:marBottom w:val="0"/>
      <w:divBdr>
        <w:top w:val="none" w:sz="0" w:space="0" w:color="auto"/>
        <w:left w:val="none" w:sz="0" w:space="0" w:color="auto"/>
        <w:bottom w:val="none" w:sz="0" w:space="0" w:color="auto"/>
        <w:right w:val="none" w:sz="0" w:space="0" w:color="auto"/>
      </w:divBdr>
    </w:div>
    <w:div w:id="101651946">
      <w:bodyDiv w:val="1"/>
      <w:marLeft w:val="0"/>
      <w:marRight w:val="0"/>
      <w:marTop w:val="0"/>
      <w:marBottom w:val="0"/>
      <w:divBdr>
        <w:top w:val="none" w:sz="0" w:space="0" w:color="auto"/>
        <w:left w:val="none" w:sz="0" w:space="0" w:color="auto"/>
        <w:bottom w:val="none" w:sz="0" w:space="0" w:color="auto"/>
        <w:right w:val="none" w:sz="0" w:space="0" w:color="auto"/>
      </w:divBdr>
    </w:div>
    <w:div w:id="101657687">
      <w:bodyDiv w:val="1"/>
      <w:marLeft w:val="0"/>
      <w:marRight w:val="0"/>
      <w:marTop w:val="0"/>
      <w:marBottom w:val="0"/>
      <w:divBdr>
        <w:top w:val="none" w:sz="0" w:space="0" w:color="auto"/>
        <w:left w:val="none" w:sz="0" w:space="0" w:color="auto"/>
        <w:bottom w:val="none" w:sz="0" w:space="0" w:color="auto"/>
        <w:right w:val="none" w:sz="0" w:space="0" w:color="auto"/>
      </w:divBdr>
    </w:div>
    <w:div w:id="101726159">
      <w:bodyDiv w:val="1"/>
      <w:marLeft w:val="0"/>
      <w:marRight w:val="0"/>
      <w:marTop w:val="0"/>
      <w:marBottom w:val="0"/>
      <w:divBdr>
        <w:top w:val="none" w:sz="0" w:space="0" w:color="auto"/>
        <w:left w:val="none" w:sz="0" w:space="0" w:color="auto"/>
        <w:bottom w:val="none" w:sz="0" w:space="0" w:color="auto"/>
        <w:right w:val="none" w:sz="0" w:space="0" w:color="auto"/>
      </w:divBdr>
    </w:div>
    <w:div w:id="101994744">
      <w:bodyDiv w:val="1"/>
      <w:marLeft w:val="0"/>
      <w:marRight w:val="0"/>
      <w:marTop w:val="0"/>
      <w:marBottom w:val="0"/>
      <w:divBdr>
        <w:top w:val="none" w:sz="0" w:space="0" w:color="auto"/>
        <w:left w:val="none" w:sz="0" w:space="0" w:color="auto"/>
        <w:bottom w:val="none" w:sz="0" w:space="0" w:color="auto"/>
        <w:right w:val="none" w:sz="0" w:space="0" w:color="auto"/>
      </w:divBdr>
    </w:div>
    <w:div w:id="101996903">
      <w:bodyDiv w:val="1"/>
      <w:marLeft w:val="0"/>
      <w:marRight w:val="0"/>
      <w:marTop w:val="0"/>
      <w:marBottom w:val="0"/>
      <w:divBdr>
        <w:top w:val="none" w:sz="0" w:space="0" w:color="auto"/>
        <w:left w:val="none" w:sz="0" w:space="0" w:color="auto"/>
        <w:bottom w:val="none" w:sz="0" w:space="0" w:color="auto"/>
        <w:right w:val="none" w:sz="0" w:space="0" w:color="auto"/>
      </w:divBdr>
    </w:div>
    <w:div w:id="102001222">
      <w:bodyDiv w:val="1"/>
      <w:marLeft w:val="0"/>
      <w:marRight w:val="0"/>
      <w:marTop w:val="0"/>
      <w:marBottom w:val="0"/>
      <w:divBdr>
        <w:top w:val="none" w:sz="0" w:space="0" w:color="auto"/>
        <w:left w:val="none" w:sz="0" w:space="0" w:color="auto"/>
        <w:bottom w:val="none" w:sz="0" w:space="0" w:color="auto"/>
        <w:right w:val="none" w:sz="0" w:space="0" w:color="auto"/>
      </w:divBdr>
    </w:div>
    <w:div w:id="102071891">
      <w:bodyDiv w:val="1"/>
      <w:marLeft w:val="0"/>
      <w:marRight w:val="0"/>
      <w:marTop w:val="0"/>
      <w:marBottom w:val="0"/>
      <w:divBdr>
        <w:top w:val="none" w:sz="0" w:space="0" w:color="auto"/>
        <w:left w:val="none" w:sz="0" w:space="0" w:color="auto"/>
        <w:bottom w:val="none" w:sz="0" w:space="0" w:color="auto"/>
        <w:right w:val="none" w:sz="0" w:space="0" w:color="auto"/>
      </w:divBdr>
    </w:div>
    <w:div w:id="102113122">
      <w:bodyDiv w:val="1"/>
      <w:marLeft w:val="0"/>
      <w:marRight w:val="0"/>
      <w:marTop w:val="0"/>
      <w:marBottom w:val="0"/>
      <w:divBdr>
        <w:top w:val="none" w:sz="0" w:space="0" w:color="auto"/>
        <w:left w:val="none" w:sz="0" w:space="0" w:color="auto"/>
        <w:bottom w:val="none" w:sz="0" w:space="0" w:color="auto"/>
        <w:right w:val="none" w:sz="0" w:space="0" w:color="auto"/>
      </w:divBdr>
    </w:div>
    <w:div w:id="102189754">
      <w:bodyDiv w:val="1"/>
      <w:marLeft w:val="0"/>
      <w:marRight w:val="0"/>
      <w:marTop w:val="0"/>
      <w:marBottom w:val="0"/>
      <w:divBdr>
        <w:top w:val="none" w:sz="0" w:space="0" w:color="auto"/>
        <w:left w:val="none" w:sz="0" w:space="0" w:color="auto"/>
        <w:bottom w:val="none" w:sz="0" w:space="0" w:color="auto"/>
        <w:right w:val="none" w:sz="0" w:space="0" w:color="auto"/>
      </w:divBdr>
    </w:div>
    <w:div w:id="102195183">
      <w:bodyDiv w:val="1"/>
      <w:marLeft w:val="0"/>
      <w:marRight w:val="0"/>
      <w:marTop w:val="0"/>
      <w:marBottom w:val="0"/>
      <w:divBdr>
        <w:top w:val="none" w:sz="0" w:space="0" w:color="auto"/>
        <w:left w:val="none" w:sz="0" w:space="0" w:color="auto"/>
        <w:bottom w:val="none" w:sz="0" w:space="0" w:color="auto"/>
        <w:right w:val="none" w:sz="0" w:space="0" w:color="auto"/>
      </w:divBdr>
    </w:div>
    <w:div w:id="102456694">
      <w:bodyDiv w:val="1"/>
      <w:marLeft w:val="0"/>
      <w:marRight w:val="0"/>
      <w:marTop w:val="0"/>
      <w:marBottom w:val="0"/>
      <w:divBdr>
        <w:top w:val="none" w:sz="0" w:space="0" w:color="auto"/>
        <w:left w:val="none" w:sz="0" w:space="0" w:color="auto"/>
        <w:bottom w:val="none" w:sz="0" w:space="0" w:color="auto"/>
        <w:right w:val="none" w:sz="0" w:space="0" w:color="auto"/>
      </w:divBdr>
    </w:div>
    <w:div w:id="102504584">
      <w:bodyDiv w:val="1"/>
      <w:marLeft w:val="0"/>
      <w:marRight w:val="0"/>
      <w:marTop w:val="0"/>
      <w:marBottom w:val="0"/>
      <w:divBdr>
        <w:top w:val="none" w:sz="0" w:space="0" w:color="auto"/>
        <w:left w:val="none" w:sz="0" w:space="0" w:color="auto"/>
        <w:bottom w:val="none" w:sz="0" w:space="0" w:color="auto"/>
        <w:right w:val="none" w:sz="0" w:space="0" w:color="auto"/>
      </w:divBdr>
    </w:div>
    <w:div w:id="102845990">
      <w:bodyDiv w:val="1"/>
      <w:marLeft w:val="0"/>
      <w:marRight w:val="0"/>
      <w:marTop w:val="0"/>
      <w:marBottom w:val="0"/>
      <w:divBdr>
        <w:top w:val="none" w:sz="0" w:space="0" w:color="auto"/>
        <w:left w:val="none" w:sz="0" w:space="0" w:color="auto"/>
        <w:bottom w:val="none" w:sz="0" w:space="0" w:color="auto"/>
        <w:right w:val="none" w:sz="0" w:space="0" w:color="auto"/>
      </w:divBdr>
    </w:div>
    <w:div w:id="102849579">
      <w:bodyDiv w:val="1"/>
      <w:marLeft w:val="0"/>
      <w:marRight w:val="0"/>
      <w:marTop w:val="0"/>
      <w:marBottom w:val="0"/>
      <w:divBdr>
        <w:top w:val="none" w:sz="0" w:space="0" w:color="auto"/>
        <w:left w:val="none" w:sz="0" w:space="0" w:color="auto"/>
        <w:bottom w:val="none" w:sz="0" w:space="0" w:color="auto"/>
        <w:right w:val="none" w:sz="0" w:space="0" w:color="auto"/>
      </w:divBdr>
    </w:div>
    <w:div w:id="102850564">
      <w:bodyDiv w:val="1"/>
      <w:marLeft w:val="0"/>
      <w:marRight w:val="0"/>
      <w:marTop w:val="0"/>
      <w:marBottom w:val="0"/>
      <w:divBdr>
        <w:top w:val="none" w:sz="0" w:space="0" w:color="auto"/>
        <w:left w:val="none" w:sz="0" w:space="0" w:color="auto"/>
        <w:bottom w:val="none" w:sz="0" w:space="0" w:color="auto"/>
        <w:right w:val="none" w:sz="0" w:space="0" w:color="auto"/>
      </w:divBdr>
    </w:div>
    <w:div w:id="102919167">
      <w:bodyDiv w:val="1"/>
      <w:marLeft w:val="0"/>
      <w:marRight w:val="0"/>
      <w:marTop w:val="0"/>
      <w:marBottom w:val="0"/>
      <w:divBdr>
        <w:top w:val="none" w:sz="0" w:space="0" w:color="auto"/>
        <w:left w:val="none" w:sz="0" w:space="0" w:color="auto"/>
        <w:bottom w:val="none" w:sz="0" w:space="0" w:color="auto"/>
        <w:right w:val="none" w:sz="0" w:space="0" w:color="auto"/>
      </w:divBdr>
    </w:div>
    <w:div w:id="102924238">
      <w:bodyDiv w:val="1"/>
      <w:marLeft w:val="0"/>
      <w:marRight w:val="0"/>
      <w:marTop w:val="0"/>
      <w:marBottom w:val="0"/>
      <w:divBdr>
        <w:top w:val="none" w:sz="0" w:space="0" w:color="auto"/>
        <w:left w:val="none" w:sz="0" w:space="0" w:color="auto"/>
        <w:bottom w:val="none" w:sz="0" w:space="0" w:color="auto"/>
        <w:right w:val="none" w:sz="0" w:space="0" w:color="auto"/>
      </w:divBdr>
    </w:div>
    <w:div w:id="103230657">
      <w:bodyDiv w:val="1"/>
      <w:marLeft w:val="0"/>
      <w:marRight w:val="0"/>
      <w:marTop w:val="0"/>
      <w:marBottom w:val="0"/>
      <w:divBdr>
        <w:top w:val="none" w:sz="0" w:space="0" w:color="auto"/>
        <w:left w:val="none" w:sz="0" w:space="0" w:color="auto"/>
        <w:bottom w:val="none" w:sz="0" w:space="0" w:color="auto"/>
        <w:right w:val="none" w:sz="0" w:space="0" w:color="auto"/>
      </w:divBdr>
    </w:div>
    <w:div w:id="103306677">
      <w:bodyDiv w:val="1"/>
      <w:marLeft w:val="0"/>
      <w:marRight w:val="0"/>
      <w:marTop w:val="0"/>
      <w:marBottom w:val="0"/>
      <w:divBdr>
        <w:top w:val="none" w:sz="0" w:space="0" w:color="auto"/>
        <w:left w:val="none" w:sz="0" w:space="0" w:color="auto"/>
        <w:bottom w:val="none" w:sz="0" w:space="0" w:color="auto"/>
        <w:right w:val="none" w:sz="0" w:space="0" w:color="auto"/>
      </w:divBdr>
    </w:div>
    <w:div w:id="103381420">
      <w:bodyDiv w:val="1"/>
      <w:marLeft w:val="0"/>
      <w:marRight w:val="0"/>
      <w:marTop w:val="0"/>
      <w:marBottom w:val="0"/>
      <w:divBdr>
        <w:top w:val="none" w:sz="0" w:space="0" w:color="auto"/>
        <w:left w:val="none" w:sz="0" w:space="0" w:color="auto"/>
        <w:bottom w:val="none" w:sz="0" w:space="0" w:color="auto"/>
        <w:right w:val="none" w:sz="0" w:space="0" w:color="auto"/>
      </w:divBdr>
    </w:div>
    <w:div w:id="103576626">
      <w:bodyDiv w:val="1"/>
      <w:marLeft w:val="0"/>
      <w:marRight w:val="0"/>
      <w:marTop w:val="0"/>
      <w:marBottom w:val="0"/>
      <w:divBdr>
        <w:top w:val="none" w:sz="0" w:space="0" w:color="auto"/>
        <w:left w:val="none" w:sz="0" w:space="0" w:color="auto"/>
        <w:bottom w:val="none" w:sz="0" w:space="0" w:color="auto"/>
        <w:right w:val="none" w:sz="0" w:space="0" w:color="auto"/>
      </w:divBdr>
    </w:div>
    <w:div w:id="103695098">
      <w:bodyDiv w:val="1"/>
      <w:marLeft w:val="0"/>
      <w:marRight w:val="0"/>
      <w:marTop w:val="0"/>
      <w:marBottom w:val="0"/>
      <w:divBdr>
        <w:top w:val="none" w:sz="0" w:space="0" w:color="auto"/>
        <w:left w:val="none" w:sz="0" w:space="0" w:color="auto"/>
        <w:bottom w:val="none" w:sz="0" w:space="0" w:color="auto"/>
        <w:right w:val="none" w:sz="0" w:space="0" w:color="auto"/>
      </w:divBdr>
    </w:div>
    <w:div w:id="103891171">
      <w:bodyDiv w:val="1"/>
      <w:marLeft w:val="0"/>
      <w:marRight w:val="0"/>
      <w:marTop w:val="0"/>
      <w:marBottom w:val="0"/>
      <w:divBdr>
        <w:top w:val="none" w:sz="0" w:space="0" w:color="auto"/>
        <w:left w:val="none" w:sz="0" w:space="0" w:color="auto"/>
        <w:bottom w:val="none" w:sz="0" w:space="0" w:color="auto"/>
        <w:right w:val="none" w:sz="0" w:space="0" w:color="auto"/>
      </w:divBdr>
    </w:div>
    <w:div w:id="103963228">
      <w:bodyDiv w:val="1"/>
      <w:marLeft w:val="0"/>
      <w:marRight w:val="0"/>
      <w:marTop w:val="0"/>
      <w:marBottom w:val="0"/>
      <w:divBdr>
        <w:top w:val="none" w:sz="0" w:space="0" w:color="auto"/>
        <w:left w:val="none" w:sz="0" w:space="0" w:color="auto"/>
        <w:bottom w:val="none" w:sz="0" w:space="0" w:color="auto"/>
        <w:right w:val="none" w:sz="0" w:space="0" w:color="auto"/>
      </w:divBdr>
    </w:div>
    <w:div w:id="104271103">
      <w:bodyDiv w:val="1"/>
      <w:marLeft w:val="0"/>
      <w:marRight w:val="0"/>
      <w:marTop w:val="0"/>
      <w:marBottom w:val="0"/>
      <w:divBdr>
        <w:top w:val="none" w:sz="0" w:space="0" w:color="auto"/>
        <w:left w:val="none" w:sz="0" w:space="0" w:color="auto"/>
        <w:bottom w:val="none" w:sz="0" w:space="0" w:color="auto"/>
        <w:right w:val="none" w:sz="0" w:space="0" w:color="auto"/>
      </w:divBdr>
    </w:div>
    <w:div w:id="104275393">
      <w:bodyDiv w:val="1"/>
      <w:marLeft w:val="0"/>
      <w:marRight w:val="0"/>
      <w:marTop w:val="0"/>
      <w:marBottom w:val="0"/>
      <w:divBdr>
        <w:top w:val="none" w:sz="0" w:space="0" w:color="auto"/>
        <w:left w:val="none" w:sz="0" w:space="0" w:color="auto"/>
        <w:bottom w:val="none" w:sz="0" w:space="0" w:color="auto"/>
        <w:right w:val="none" w:sz="0" w:space="0" w:color="auto"/>
      </w:divBdr>
    </w:div>
    <w:div w:id="104276268">
      <w:bodyDiv w:val="1"/>
      <w:marLeft w:val="0"/>
      <w:marRight w:val="0"/>
      <w:marTop w:val="0"/>
      <w:marBottom w:val="0"/>
      <w:divBdr>
        <w:top w:val="none" w:sz="0" w:space="0" w:color="auto"/>
        <w:left w:val="none" w:sz="0" w:space="0" w:color="auto"/>
        <w:bottom w:val="none" w:sz="0" w:space="0" w:color="auto"/>
        <w:right w:val="none" w:sz="0" w:space="0" w:color="auto"/>
      </w:divBdr>
    </w:div>
    <w:div w:id="104346340">
      <w:bodyDiv w:val="1"/>
      <w:marLeft w:val="0"/>
      <w:marRight w:val="0"/>
      <w:marTop w:val="0"/>
      <w:marBottom w:val="0"/>
      <w:divBdr>
        <w:top w:val="none" w:sz="0" w:space="0" w:color="auto"/>
        <w:left w:val="none" w:sz="0" w:space="0" w:color="auto"/>
        <w:bottom w:val="none" w:sz="0" w:space="0" w:color="auto"/>
        <w:right w:val="none" w:sz="0" w:space="0" w:color="auto"/>
      </w:divBdr>
    </w:div>
    <w:div w:id="104623639">
      <w:bodyDiv w:val="1"/>
      <w:marLeft w:val="0"/>
      <w:marRight w:val="0"/>
      <w:marTop w:val="0"/>
      <w:marBottom w:val="0"/>
      <w:divBdr>
        <w:top w:val="none" w:sz="0" w:space="0" w:color="auto"/>
        <w:left w:val="none" w:sz="0" w:space="0" w:color="auto"/>
        <w:bottom w:val="none" w:sz="0" w:space="0" w:color="auto"/>
        <w:right w:val="none" w:sz="0" w:space="0" w:color="auto"/>
      </w:divBdr>
    </w:div>
    <w:div w:id="104858482">
      <w:bodyDiv w:val="1"/>
      <w:marLeft w:val="0"/>
      <w:marRight w:val="0"/>
      <w:marTop w:val="0"/>
      <w:marBottom w:val="0"/>
      <w:divBdr>
        <w:top w:val="none" w:sz="0" w:space="0" w:color="auto"/>
        <w:left w:val="none" w:sz="0" w:space="0" w:color="auto"/>
        <w:bottom w:val="none" w:sz="0" w:space="0" w:color="auto"/>
        <w:right w:val="none" w:sz="0" w:space="0" w:color="auto"/>
      </w:divBdr>
    </w:div>
    <w:div w:id="104888612">
      <w:bodyDiv w:val="1"/>
      <w:marLeft w:val="0"/>
      <w:marRight w:val="0"/>
      <w:marTop w:val="0"/>
      <w:marBottom w:val="0"/>
      <w:divBdr>
        <w:top w:val="none" w:sz="0" w:space="0" w:color="auto"/>
        <w:left w:val="none" w:sz="0" w:space="0" w:color="auto"/>
        <w:bottom w:val="none" w:sz="0" w:space="0" w:color="auto"/>
        <w:right w:val="none" w:sz="0" w:space="0" w:color="auto"/>
      </w:divBdr>
    </w:div>
    <w:div w:id="104932186">
      <w:bodyDiv w:val="1"/>
      <w:marLeft w:val="0"/>
      <w:marRight w:val="0"/>
      <w:marTop w:val="0"/>
      <w:marBottom w:val="0"/>
      <w:divBdr>
        <w:top w:val="none" w:sz="0" w:space="0" w:color="auto"/>
        <w:left w:val="none" w:sz="0" w:space="0" w:color="auto"/>
        <w:bottom w:val="none" w:sz="0" w:space="0" w:color="auto"/>
        <w:right w:val="none" w:sz="0" w:space="0" w:color="auto"/>
      </w:divBdr>
    </w:div>
    <w:div w:id="105001775">
      <w:bodyDiv w:val="1"/>
      <w:marLeft w:val="0"/>
      <w:marRight w:val="0"/>
      <w:marTop w:val="0"/>
      <w:marBottom w:val="0"/>
      <w:divBdr>
        <w:top w:val="none" w:sz="0" w:space="0" w:color="auto"/>
        <w:left w:val="none" w:sz="0" w:space="0" w:color="auto"/>
        <w:bottom w:val="none" w:sz="0" w:space="0" w:color="auto"/>
        <w:right w:val="none" w:sz="0" w:space="0" w:color="auto"/>
      </w:divBdr>
    </w:div>
    <w:div w:id="105001796">
      <w:bodyDiv w:val="1"/>
      <w:marLeft w:val="0"/>
      <w:marRight w:val="0"/>
      <w:marTop w:val="0"/>
      <w:marBottom w:val="0"/>
      <w:divBdr>
        <w:top w:val="none" w:sz="0" w:space="0" w:color="auto"/>
        <w:left w:val="none" w:sz="0" w:space="0" w:color="auto"/>
        <w:bottom w:val="none" w:sz="0" w:space="0" w:color="auto"/>
        <w:right w:val="none" w:sz="0" w:space="0" w:color="auto"/>
      </w:divBdr>
    </w:div>
    <w:div w:id="105084453">
      <w:bodyDiv w:val="1"/>
      <w:marLeft w:val="0"/>
      <w:marRight w:val="0"/>
      <w:marTop w:val="0"/>
      <w:marBottom w:val="0"/>
      <w:divBdr>
        <w:top w:val="none" w:sz="0" w:space="0" w:color="auto"/>
        <w:left w:val="none" w:sz="0" w:space="0" w:color="auto"/>
        <w:bottom w:val="none" w:sz="0" w:space="0" w:color="auto"/>
        <w:right w:val="none" w:sz="0" w:space="0" w:color="auto"/>
      </w:divBdr>
    </w:div>
    <w:div w:id="105151640">
      <w:bodyDiv w:val="1"/>
      <w:marLeft w:val="0"/>
      <w:marRight w:val="0"/>
      <w:marTop w:val="0"/>
      <w:marBottom w:val="0"/>
      <w:divBdr>
        <w:top w:val="none" w:sz="0" w:space="0" w:color="auto"/>
        <w:left w:val="none" w:sz="0" w:space="0" w:color="auto"/>
        <w:bottom w:val="none" w:sz="0" w:space="0" w:color="auto"/>
        <w:right w:val="none" w:sz="0" w:space="0" w:color="auto"/>
      </w:divBdr>
    </w:div>
    <w:div w:id="105271245">
      <w:bodyDiv w:val="1"/>
      <w:marLeft w:val="0"/>
      <w:marRight w:val="0"/>
      <w:marTop w:val="0"/>
      <w:marBottom w:val="0"/>
      <w:divBdr>
        <w:top w:val="none" w:sz="0" w:space="0" w:color="auto"/>
        <w:left w:val="none" w:sz="0" w:space="0" w:color="auto"/>
        <w:bottom w:val="none" w:sz="0" w:space="0" w:color="auto"/>
        <w:right w:val="none" w:sz="0" w:space="0" w:color="auto"/>
      </w:divBdr>
    </w:div>
    <w:div w:id="105273160">
      <w:bodyDiv w:val="1"/>
      <w:marLeft w:val="0"/>
      <w:marRight w:val="0"/>
      <w:marTop w:val="0"/>
      <w:marBottom w:val="0"/>
      <w:divBdr>
        <w:top w:val="none" w:sz="0" w:space="0" w:color="auto"/>
        <w:left w:val="none" w:sz="0" w:space="0" w:color="auto"/>
        <w:bottom w:val="none" w:sz="0" w:space="0" w:color="auto"/>
        <w:right w:val="none" w:sz="0" w:space="0" w:color="auto"/>
      </w:divBdr>
    </w:div>
    <w:div w:id="105318793">
      <w:bodyDiv w:val="1"/>
      <w:marLeft w:val="0"/>
      <w:marRight w:val="0"/>
      <w:marTop w:val="0"/>
      <w:marBottom w:val="0"/>
      <w:divBdr>
        <w:top w:val="none" w:sz="0" w:space="0" w:color="auto"/>
        <w:left w:val="none" w:sz="0" w:space="0" w:color="auto"/>
        <w:bottom w:val="none" w:sz="0" w:space="0" w:color="auto"/>
        <w:right w:val="none" w:sz="0" w:space="0" w:color="auto"/>
      </w:divBdr>
    </w:div>
    <w:div w:id="105391947">
      <w:bodyDiv w:val="1"/>
      <w:marLeft w:val="0"/>
      <w:marRight w:val="0"/>
      <w:marTop w:val="0"/>
      <w:marBottom w:val="0"/>
      <w:divBdr>
        <w:top w:val="none" w:sz="0" w:space="0" w:color="auto"/>
        <w:left w:val="none" w:sz="0" w:space="0" w:color="auto"/>
        <w:bottom w:val="none" w:sz="0" w:space="0" w:color="auto"/>
        <w:right w:val="none" w:sz="0" w:space="0" w:color="auto"/>
      </w:divBdr>
    </w:div>
    <w:div w:id="105590411">
      <w:bodyDiv w:val="1"/>
      <w:marLeft w:val="0"/>
      <w:marRight w:val="0"/>
      <w:marTop w:val="0"/>
      <w:marBottom w:val="0"/>
      <w:divBdr>
        <w:top w:val="none" w:sz="0" w:space="0" w:color="auto"/>
        <w:left w:val="none" w:sz="0" w:space="0" w:color="auto"/>
        <w:bottom w:val="none" w:sz="0" w:space="0" w:color="auto"/>
        <w:right w:val="none" w:sz="0" w:space="0" w:color="auto"/>
      </w:divBdr>
    </w:div>
    <w:div w:id="105657896">
      <w:bodyDiv w:val="1"/>
      <w:marLeft w:val="0"/>
      <w:marRight w:val="0"/>
      <w:marTop w:val="0"/>
      <w:marBottom w:val="0"/>
      <w:divBdr>
        <w:top w:val="none" w:sz="0" w:space="0" w:color="auto"/>
        <w:left w:val="none" w:sz="0" w:space="0" w:color="auto"/>
        <w:bottom w:val="none" w:sz="0" w:space="0" w:color="auto"/>
        <w:right w:val="none" w:sz="0" w:space="0" w:color="auto"/>
      </w:divBdr>
    </w:div>
    <w:div w:id="105734525">
      <w:bodyDiv w:val="1"/>
      <w:marLeft w:val="0"/>
      <w:marRight w:val="0"/>
      <w:marTop w:val="0"/>
      <w:marBottom w:val="0"/>
      <w:divBdr>
        <w:top w:val="none" w:sz="0" w:space="0" w:color="auto"/>
        <w:left w:val="none" w:sz="0" w:space="0" w:color="auto"/>
        <w:bottom w:val="none" w:sz="0" w:space="0" w:color="auto"/>
        <w:right w:val="none" w:sz="0" w:space="0" w:color="auto"/>
      </w:divBdr>
    </w:div>
    <w:div w:id="105778913">
      <w:bodyDiv w:val="1"/>
      <w:marLeft w:val="0"/>
      <w:marRight w:val="0"/>
      <w:marTop w:val="0"/>
      <w:marBottom w:val="0"/>
      <w:divBdr>
        <w:top w:val="none" w:sz="0" w:space="0" w:color="auto"/>
        <w:left w:val="none" w:sz="0" w:space="0" w:color="auto"/>
        <w:bottom w:val="none" w:sz="0" w:space="0" w:color="auto"/>
        <w:right w:val="none" w:sz="0" w:space="0" w:color="auto"/>
      </w:divBdr>
    </w:div>
    <w:div w:id="106048722">
      <w:bodyDiv w:val="1"/>
      <w:marLeft w:val="0"/>
      <w:marRight w:val="0"/>
      <w:marTop w:val="0"/>
      <w:marBottom w:val="0"/>
      <w:divBdr>
        <w:top w:val="none" w:sz="0" w:space="0" w:color="auto"/>
        <w:left w:val="none" w:sz="0" w:space="0" w:color="auto"/>
        <w:bottom w:val="none" w:sz="0" w:space="0" w:color="auto"/>
        <w:right w:val="none" w:sz="0" w:space="0" w:color="auto"/>
      </w:divBdr>
    </w:div>
    <w:div w:id="106242146">
      <w:bodyDiv w:val="1"/>
      <w:marLeft w:val="0"/>
      <w:marRight w:val="0"/>
      <w:marTop w:val="0"/>
      <w:marBottom w:val="0"/>
      <w:divBdr>
        <w:top w:val="none" w:sz="0" w:space="0" w:color="auto"/>
        <w:left w:val="none" w:sz="0" w:space="0" w:color="auto"/>
        <w:bottom w:val="none" w:sz="0" w:space="0" w:color="auto"/>
        <w:right w:val="none" w:sz="0" w:space="0" w:color="auto"/>
      </w:divBdr>
    </w:div>
    <w:div w:id="106312697">
      <w:bodyDiv w:val="1"/>
      <w:marLeft w:val="0"/>
      <w:marRight w:val="0"/>
      <w:marTop w:val="0"/>
      <w:marBottom w:val="0"/>
      <w:divBdr>
        <w:top w:val="none" w:sz="0" w:space="0" w:color="auto"/>
        <w:left w:val="none" w:sz="0" w:space="0" w:color="auto"/>
        <w:bottom w:val="none" w:sz="0" w:space="0" w:color="auto"/>
        <w:right w:val="none" w:sz="0" w:space="0" w:color="auto"/>
      </w:divBdr>
    </w:div>
    <w:div w:id="106388638">
      <w:bodyDiv w:val="1"/>
      <w:marLeft w:val="0"/>
      <w:marRight w:val="0"/>
      <w:marTop w:val="0"/>
      <w:marBottom w:val="0"/>
      <w:divBdr>
        <w:top w:val="none" w:sz="0" w:space="0" w:color="auto"/>
        <w:left w:val="none" w:sz="0" w:space="0" w:color="auto"/>
        <w:bottom w:val="none" w:sz="0" w:space="0" w:color="auto"/>
        <w:right w:val="none" w:sz="0" w:space="0" w:color="auto"/>
      </w:divBdr>
    </w:div>
    <w:div w:id="106389413">
      <w:bodyDiv w:val="1"/>
      <w:marLeft w:val="0"/>
      <w:marRight w:val="0"/>
      <w:marTop w:val="0"/>
      <w:marBottom w:val="0"/>
      <w:divBdr>
        <w:top w:val="none" w:sz="0" w:space="0" w:color="auto"/>
        <w:left w:val="none" w:sz="0" w:space="0" w:color="auto"/>
        <w:bottom w:val="none" w:sz="0" w:space="0" w:color="auto"/>
        <w:right w:val="none" w:sz="0" w:space="0" w:color="auto"/>
      </w:divBdr>
    </w:div>
    <w:div w:id="106580304">
      <w:bodyDiv w:val="1"/>
      <w:marLeft w:val="0"/>
      <w:marRight w:val="0"/>
      <w:marTop w:val="0"/>
      <w:marBottom w:val="0"/>
      <w:divBdr>
        <w:top w:val="none" w:sz="0" w:space="0" w:color="auto"/>
        <w:left w:val="none" w:sz="0" w:space="0" w:color="auto"/>
        <w:bottom w:val="none" w:sz="0" w:space="0" w:color="auto"/>
        <w:right w:val="none" w:sz="0" w:space="0" w:color="auto"/>
      </w:divBdr>
    </w:div>
    <w:div w:id="106659754">
      <w:bodyDiv w:val="1"/>
      <w:marLeft w:val="0"/>
      <w:marRight w:val="0"/>
      <w:marTop w:val="0"/>
      <w:marBottom w:val="0"/>
      <w:divBdr>
        <w:top w:val="none" w:sz="0" w:space="0" w:color="auto"/>
        <w:left w:val="none" w:sz="0" w:space="0" w:color="auto"/>
        <w:bottom w:val="none" w:sz="0" w:space="0" w:color="auto"/>
        <w:right w:val="none" w:sz="0" w:space="0" w:color="auto"/>
      </w:divBdr>
    </w:div>
    <w:div w:id="106782616">
      <w:bodyDiv w:val="1"/>
      <w:marLeft w:val="0"/>
      <w:marRight w:val="0"/>
      <w:marTop w:val="0"/>
      <w:marBottom w:val="0"/>
      <w:divBdr>
        <w:top w:val="none" w:sz="0" w:space="0" w:color="auto"/>
        <w:left w:val="none" w:sz="0" w:space="0" w:color="auto"/>
        <w:bottom w:val="none" w:sz="0" w:space="0" w:color="auto"/>
        <w:right w:val="none" w:sz="0" w:space="0" w:color="auto"/>
      </w:divBdr>
    </w:div>
    <w:div w:id="106825343">
      <w:bodyDiv w:val="1"/>
      <w:marLeft w:val="0"/>
      <w:marRight w:val="0"/>
      <w:marTop w:val="0"/>
      <w:marBottom w:val="0"/>
      <w:divBdr>
        <w:top w:val="none" w:sz="0" w:space="0" w:color="auto"/>
        <w:left w:val="none" w:sz="0" w:space="0" w:color="auto"/>
        <w:bottom w:val="none" w:sz="0" w:space="0" w:color="auto"/>
        <w:right w:val="none" w:sz="0" w:space="0" w:color="auto"/>
      </w:divBdr>
    </w:div>
    <w:div w:id="106854201">
      <w:bodyDiv w:val="1"/>
      <w:marLeft w:val="0"/>
      <w:marRight w:val="0"/>
      <w:marTop w:val="0"/>
      <w:marBottom w:val="0"/>
      <w:divBdr>
        <w:top w:val="none" w:sz="0" w:space="0" w:color="auto"/>
        <w:left w:val="none" w:sz="0" w:space="0" w:color="auto"/>
        <w:bottom w:val="none" w:sz="0" w:space="0" w:color="auto"/>
        <w:right w:val="none" w:sz="0" w:space="0" w:color="auto"/>
      </w:divBdr>
    </w:div>
    <w:div w:id="106855254">
      <w:bodyDiv w:val="1"/>
      <w:marLeft w:val="0"/>
      <w:marRight w:val="0"/>
      <w:marTop w:val="0"/>
      <w:marBottom w:val="0"/>
      <w:divBdr>
        <w:top w:val="none" w:sz="0" w:space="0" w:color="auto"/>
        <w:left w:val="none" w:sz="0" w:space="0" w:color="auto"/>
        <w:bottom w:val="none" w:sz="0" w:space="0" w:color="auto"/>
        <w:right w:val="none" w:sz="0" w:space="0" w:color="auto"/>
      </w:divBdr>
    </w:div>
    <w:div w:id="106896818">
      <w:bodyDiv w:val="1"/>
      <w:marLeft w:val="0"/>
      <w:marRight w:val="0"/>
      <w:marTop w:val="0"/>
      <w:marBottom w:val="0"/>
      <w:divBdr>
        <w:top w:val="none" w:sz="0" w:space="0" w:color="auto"/>
        <w:left w:val="none" w:sz="0" w:space="0" w:color="auto"/>
        <w:bottom w:val="none" w:sz="0" w:space="0" w:color="auto"/>
        <w:right w:val="none" w:sz="0" w:space="0" w:color="auto"/>
      </w:divBdr>
    </w:div>
    <w:div w:id="106975147">
      <w:bodyDiv w:val="1"/>
      <w:marLeft w:val="0"/>
      <w:marRight w:val="0"/>
      <w:marTop w:val="0"/>
      <w:marBottom w:val="0"/>
      <w:divBdr>
        <w:top w:val="none" w:sz="0" w:space="0" w:color="auto"/>
        <w:left w:val="none" w:sz="0" w:space="0" w:color="auto"/>
        <w:bottom w:val="none" w:sz="0" w:space="0" w:color="auto"/>
        <w:right w:val="none" w:sz="0" w:space="0" w:color="auto"/>
      </w:divBdr>
    </w:div>
    <w:div w:id="107047861">
      <w:bodyDiv w:val="1"/>
      <w:marLeft w:val="0"/>
      <w:marRight w:val="0"/>
      <w:marTop w:val="0"/>
      <w:marBottom w:val="0"/>
      <w:divBdr>
        <w:top w:val="none" w:sz="0" w:space="0" w:color="auto"/>
        <w:left w:val="none" w:sz="0" w:space="0" w:color="auto"/>
        <w:bottom w:val="none" w:sz="0" w:space="0" w:color="auto"/>
        <w:right w:val="none" w:sz="0" w:space="0" w:color="auto"/>
      </w:divBdr>
    </w:div>
    <w:div w:id="107047895">
      <w:bodyDiv w:val="1"/>
      <w:marLeft w:val="0"/>
      <w:marRight w:val="0"/>
      <w:marTop w:val="0"/>
      <w:marBottom w:val="0"/>
      <w:divBdr>
        <w:top w:val="none" w:sz="0" w:space="0" w:color="auto"/>
        <w:left w:val="none" w:sz="0" w:space="0" w:color="auto"/>
        <w:bottom w:val="none" w:sz="0" w:space="0" w:color="auto"/>
        <w:right w:val="none" w:sz="0" w:space="0" w:color="auto"/>
      </w:divBdr>
    </w:div>
    <w:div w:id="107165045">
      <w:bodyDiv w:val="1"/>
      <w:marLeft w:val="0"/>
      <w:marRight w:val="0"/>
      <w:marTop w:val="0"/>
      <w:marBottom w:val="0"/>
      <w:divBdr>
        <w:top w:val="none" w:sz="0" w:space="0" w:color="auto"/>
        <w:left w:val="none" w:sz="0" w:space="0" w:color="auto"/>
        <w:bottom w:val="none" w:sz="0" w:space="0" w:color="auto"/>
        <w:right w:val="none" w:sz="0" w:space="0" w:color="auto"/>
      </w:divBdr>
    </w:div>
    <w:div w:id="107285694">
      <w:bodyDiv w:val="1"/>
      <w:marLeft w:val="0"/>
      <w:marRight w:val="0"/>
      <w:marTop w:val="0"/>
      <w:marBottom w:val="0"/>
      <w:divBdr>
        <w:top w:val="none" w:sz="0" w:space="0" w:color="auto"/>
        <w:left w:val="none" w:sz="0" w:space="0" w:color="auto"/>
        <w:bottom w:val="none" w:sz="0" w:space="0" w:color="auto"/>
        <w:right w:val="none" w:sz="0" w:space="0" w:color="auto"/>
      </w:divBdr>
    </w:div>
    <w:div w:id="107625293">
      <w:bodyDiv w:val="1"/>
      <w:marLeft w:val="0"/>
      <w:marRight w:val="0"/>
      <w:marTop w:val="0"/>
      <w:marBottom w:val="0"/>
      <w:divBdr>
        <w:top w:val="none" w:sz="0" w:space="0" w:color="auto"/>
        <w:left w:val="none" w:sz="0" w:space="0" w:color="auto"/>
        <w:bottom w:val="none" w:sz="0" w:space="0" w:color="auto"/>
        <w:right w:val="none" w:sz="0" w:space="0" w:color="auto"/>
      </w:divBdr>
    </w:div>
    <w:div w:id="107702295">
      <w:bodyDiv w:val="1"/>
      <w:marLeft w:val="0"/>
      <w:marRight w:val="0"/>
      <w:marTop w:val="0"/>
      <w:marBottom w:val="0"/>
      <w:divBdr>
        <w:top w:val="none" w:sz="0" w:space="0" w:color="auto"/>
        <w:left w:val="none" w:sz="0" w:space="0" w:color="auto"/>
        <w:bottom w:val="none" w:sz="0" w:space="0" w:color="auto"/>
        <w:right w:val="none" w:sz="0" w:space="0" w:color="auto"/>
      </w:divBdr>
    </w:div>
    <w:div w:id="107704014">
      <w:bodyDiv w:val="1"/>
      <w:marLeft w:val="0"/>
      <w:marRight w:val="0"/>
      <w:marTop w:val="0"/>
      <w:marBottom w:val="0"/>
      <w:divBdr>
        <w:top w:val="none" w:sz="0" w:space="0" w:color="auto"/>
        <w:left w:val="none" w:sz="0" w:space="0" w:color="auto"/>
        <w:bottom w:val="none" w:sz="0" w:space="0" w:color="auto"/>
        <w:right w:val="none" w:sz="0" w:space="0" w:color="auto"/>
      </w:divBdr>
    </w:div>
    <w:div w:id="107704471">
      <w:bodyDiv w:val="1"/>
      <w:marLeft w:val="0"/>
      <w:marRight w:val="0"/>
      <w:marTop w:val="0"/>
      <w:marBottom w:val="0"/>
      <w:divBdr>
        <w:top w:val="none" w:sz="0" w:space="0" w:color="auto"/>
        <w:left w:val="none" w:sz="0" w:space="0" w:color="auto"/>
        <w:bottom w:val="none" w:sz="0" w:space="0" w:color="auto"/>
        <w:right w:val="none" w:sz="0" w:space="0" w:color="auto"/>
      </w:divBdr>
    </w:div>
    <w:div w:id="107706760">
      <w:bodyDiv w:val="1"/>
      <w:marLeft w:val="0"/>
      <w:marRight w:val="0"/>
      <w:marTop w:val="0"/>
      <w:marBottom w:val="0"/>
      <w:divBdr>
        <w:top w:val="none" w:sz="0" w:space="0" w:color="auto"/>
        <w:left w:val="none" w:sz="0" w:space="0" w:color="auto"/>
        <w:bottom w:val="none" w:sz="0" w:space="0" w:color="auto"/>
        <w:right w:val="none" w:sz="0" w:space="0" w:color="auto"/>
      </w:divBdr>
    </w:div>
    <w:div w:id="108551145">
      <w:bodyDiv w:val="1"/>
      <w:marLeft w:val="0"/>
      <w:marRight w:val="0"/>
      <w:marTop w:val="0"/>
      <w:marBottom w:val="0"/>
      <w:divBdr>
        <w:top w:val="none" w:sz="0" w:space="0" w:color="auto"/>
        <w:left w:val="none" w:sz="0" w:space="0" w:color="auto"/>
        <w:bottom w:val="none" w:sz="0" w:space="0" w:color="auto"/>
        <w:right w:val="none" w:sz="0" w:space="0" w:color="auto"/>
      </w:divBdr>
    </w:div>
    <w:div w:id="108747896">
      <w:bodyDiv w:val="1"/>
      <w:marLeft w:val="0"/>
      <w:marRight w:val="0"/>
      <w:marTop w:val="0"/>
      <w:marBottom w:val="0"/>
      <w:divBdr>
        <w:top w:val="none" w:sz="0" w:space="0" w:color="auto"/>
        <w:left w:val="none" w:sz="0" w:space="0" w:color="auto"/>
        <w:bottom w:val="none" w:sz="0" w:space="0" w:color="auto"/>
        <w:right w:val="none" w:sz="0" w:space="0" w:color="auto"/>
      </w:divBdr>
    </w:div>
    <w:div w:id="108814421">
      <w:bodyDiv w:val="1"/>
      <w:marLeft w:val="0"/>
      <w:marRight w:val="0"/>
      <w:marTop w:val="0"/>
      <w:marBottom w:val="0"/>
      <w:divBdr>
        <w:top w:val="none" w:sz="0" w:space="0" w:color="auto"/>
        <w:left w:val="none" w:sz="0" w:space="0" w:color="auto"/>
        <w:bottom w:val="none" w:sz="0" w:space="0" w:color="auto"/>
        <w:right w:val="none" w:sz="0" w:space="0" w:color="auto"/>
      </w:divBdr>
    </w:div>
    <w:div w:id="108859664">
      <w:bodyDiv w:val="1"/>
      <w:marLeft w:val="0"/>
      <w:marRight w:val="0"/>
      <w:marTop w:val="0"/>
      <w:marBottom w:val="0"/>
      <w:divBdr>
        <w:top w:val="none" w:sz="0" w:space="0" w:color="auto"/>
        <w:left w:val="none" w:sz="0" w:space="0" w:color="auto"/>
        <w:bottom w:val="none" w:sz="0" w:space="0" w:color="auto"/>
        <w:right w:val="none" w:sz="0" w:space="0" w:color="auto"/>
      </w:divBdr>
    </w:div>
    <w:div w:id="108935941">
      <w:bodyDiv w:val="1"/>
      <w:marLeft w:val="0"/>
      <w:marRight w:val="0"/>
      <w:marTop w:val="0"/>
      <w:marBottom w:val="0"/>
      <w:divBdr>
        <w:top w:val="none" w:sz="0" w:space="0" w:color="auto"/>
        <w:left w:val="none" w:sz="0" w:space="0" w:color="auto"/>
        <w:bottom w:val="none" w:sz="0" w:space="0" w:color="auto"/>
        <w:right w:val="none" w:sz="0" w:space="0" w:color="auto"/>
      </w:divBdr>
    </w:div>
    <w:div w:id="109250465">
      <w:bodyDiv w:val="1"/>
      <w:marLeft w:val="0"/>
      <w:marRight w:val="0"/>
      <w:marTop w:val="0"/>
      <w:marBottom w:val="0"/>
      <w:divBdr>
        <w:top w:val="none" w:sz="0" w:space="0" w:color="auto"/>
        <w:left w:val="none" w:sz="0" w:space="0" w:color="auto"/>
        <w:bottom w:val="none" w:sz="0" w:space="0" w:color="auto"/>
        <w:right w:val="none" w:sz="0" w:space="0" w:color="auto"/>
      </w:divBdr>
    </w:div>
    <w:div w:id="109279076">
      <w:bodyDiv w:val="1"/>
      <w:marLeft w:val="0"/>
      <w:marRight w:val="0"/>
      <w:marTop w:val="0"/>
      <w:marBottom w:val="0"/>
      <w:divBdr>
        <w:top w:val="none" w:sz="0" w:space="0" w:color="auto"/>
        <w:left w:val="none" w:sz="0" w:space="0" w:color="auto"/>
        <w:bottom w:val="none" w:sz="0" w:space="0" w:color="auto"/>
        <w:right w:val="none" w:sz="0" w:space="0" w:color="auto"/>
      </w:divBdr>
    </w:div>
    <w:div w:id="109323371">
      <w:bodyDiv w:val="1"/>
      <w:marLeft w:val="0"/>
      <w:marRight w:val="0"/>
      <w:marTop w:val="0"/>
      <w:marBottom w:val="0"/>
      <w:divBdr>
        <w:top w:val="none" w:sz="0" w:space="0" w:color="auto"/>
        <w:left w:val="none" w:sz="0" w:space="0" w:color="auto"/>
        <w:bottom w:val="none" w:sz="0" w:space="0" w:color="auto"/>
        <w:right w:val="none" w:sz="0" w:space="0" w:color="auto"/>
      </w:divBdr>
    </w:div>
    <w:div w:id="109395750">
      <w:bodyDiv w:val="1"/>
      <w:marLeft w:val="0"/>
      <w:marRight w:val="0"/>
      <w:marTop w:val="0"/>
      <w:marBottom w:val="0"/>
      <w:divBdr>
        <w:top w:val="none" w:sz="0" w:space="0" w:color="auto"/>
        <w:left w:val="none" w:sz="0" w:space="0" w:color="auto"/>
        <w:bottom w:val="none" w:sz="0" w:space="0" w:color="auto"/>
        <w:right w:val="none" w:sz="0" w:space="0" w:color="auto"/>
      </w:divBdr>
    </w:div>
    <w:div w:id="109399576">
      <w:bodyDiv w:val="1"/>
      <w:marLeft w:val="0"/>
      <w:marRight w:val="0"/>
      <w:marTop w:val="0"/>
      <w:marBottom w:val="0"/>
      <w:divBdr>
        <w:top w:val="none" w:sz="0" w:space="0" w:color="auto"/>
        <w:left w:val="none" w:sz="0" w:space="0" w:color="auto"/>
        <w:bottom w:val="none" w:sz="0" w:space="0" w:color="auto"/>
        <w:right w:val="none" w:sz="0" w:space="0" w:color="auto"/>
      </w:divBdr>
    </w:div>
    <w:div w:id="109520003">
      <w:bodyDiv w:val="1"/>
      <w:marLeft w:val="0"/>
      <w:marRight w:val="0"/>
      <w:marTop w:val="0"/>
      <w:marBottom w:val="0"/>
      <w:divBdr>
        <w:top w:val="none" w:sz="0" w:space="0" w:color="auto"/>
        <w:left w:val="none" w:sz="0" w:space="0" w:color="auto"/>
        <w:bottom w:val="none" w:sz="0" w:space="0" w:color="auto"/>
        <w:right w:val="none" w:sz="0" w:space="0" w:color="auto"/>
      </w:divBdr>
    </w:div>
    <w:div w:id="109597095">
      <w:bodyDiv w:val="1"/>
      <w:marLeft w:val="0"/>
      <w:marRight w:val="0"/>
      <w:marTop w:val="0"/>
      <w:marBottom w:val="0"/>
      <w:divBdr>
        <w:top w:val="none" w:sz="0" w:space="0" w:color="auto"/>
        <w:left w:val="none" w:sz="0" w:space="0" w:color="auto"/>
        <w:bottom w:val="none" w:sz="0" w:space="0" w:color="auto"/>
        <w:right w:val="none" w:sz="0" w:space="0" w:color="auto"/>
      </w:divBdr>
    </w:div>
    <w:div w:id="109707796">
      <w:bodyDiv w:val="1"/>
      <w:marLeft w:val="0"/>
      <w:marRight w:val="0"/>
      <w:marTop w:val="0"/>
      <w:marBottom w:val="0"/>
      <w:divBdr>
        <w:top w:val="none" w:sz="0" w:space="0" w:color="auto"/>
        <w:left w:val="none" w:sz="0" w:space="0" w:color="auto"/>
        <w:bottom w:val="none" w:sz="0" w:space="0" w:color="auto"/>
        <w:right w:val="none" w:sz="0" w:space="0" w:color="auto"/>
      </w:divBdr>
    </w:div>
    <w:div w:id="109856363">
      <w:bodyDiv w:val="1"/>
      <w:marLeft w:val="0"/>
      <w:marRight w:val="0"/>
      <w:marTop w:val="0"/>
      <w:marBottom w:val="0"/>
      <w:divBdr>
        <w:top w:val="none" w:sz="0" w:space="0" w:color="auto"/>
        <w:left w:val="none" w:sz="0" w:space="0" w:color="auto"/>
        <w:bottom w:val="none" w:sz="0" w:space="0" w:color="auto"/>
        <w:right w:val="none" w:sz="0" w:space="0" w:color="auto"/>
      </w:divBdr>
    </w:div>
    <w:div w:id="109904555">
      <w:bodyDiv w:val="1"/>
      <w:marLeft w:val="0"/>
      <w:marRight w:val="0"/>
      <w:marTop w:val="0"/>
      <w:marBottom w:val="0"/>
      <w:divBdr>
        <w:top w:val="none" w:sz="0" w:space="0" w:color="auto"/>
        <w:left w:val="none" w:sz="0" w:space="0" w:color="auto"/>
        <w:bottom w:val="none" w:sz="0" w:space="0" w:color="auto"/>
        <w:right w:val="none" w:sz="0" w:space="0" w:color="auto"/>
      </w:divBdr>
    </w:div>
    <w:div w:id="109983572">
      <w:bodyDiv w:val="1"/>
      <w:marLeft w:val="0"/>
      <w:marRight w:val="0"/>
      <w:marTop w:val="0"/>
      <w:marBottom w:val="0"/>
      <w:divBdr>
        <w:top w:val="none" w:sz="0" w:space="0" w:color="auto"/>
        <w:left w:val="none" w:sz="0" w:space="0" w:color="auto"/>
        <w:bottom w:val="none" w:sz="0" w:space="0" w:color="auto"/>
        <w:right w:val="none" w:sz="0" w:space="0" w:color="auto"/>
      </w:divBdr>
    </w:div>
    <w:div w:id="110049967">
      <w:bodyDiv w:val="1"/>
      <w:marLeft w:val="0"/>
      <w:marRight w:val="0"/>
      <w:marTop w:val="0"/>
      <w:marBottom w:val="0"/>
      <w:divBdr>
        <w:top w:val="none" w:sz="0" w:space="0" w:color="auto"/>
        <w:left w:val="none" w:sz="0" w:space="0" w:color="auto"/>
        <w:bottom w:val="none" w:sz="0" w:space="0" w:color="auto"/>
        <w:right w:val="none" w:sz="0" w:space="0" w:color="auto"/>
      </w:divBdr>
    </w:div>
    <w:div w:id="110176147">
      <w:bodyDiv w:val="1"/>
      <w:marLeft w:val="0"/>
      <w:marRight w:val="0"/>
      <w:marTop w:val="0"/>
      <w:marBottom w:val="0"/>
      <w:divBdr>
        <w:top w:val="none" w:sz="0" w:space="0" w:color="auto"/>
        <w:left w:val="none" w:sz="0" w:space="0" w:color="auto"/>
        <w:bottom w:val="none" w:sz="0" w:space="0" w:color="auto"/>
        <w:right w:val="none" w:sz="0" w:space="0" w:color="auto"/>
      </w:divBdr>
    </w:div>
    <w:div w:id="110327689">
      <w:bodyDiv w:val="1"/>
      <w:marLeft w:val="0"/>
      <w:marRight w:val="0"/>
      <w:marTop w:val="0"/>
      <w:marBottom w:val="0"/>
      <w:divBdr>
        <w:top w:val="none" w:sz="0" w:space="0" w:color="auto"/>
        <w:left w:val="none" w:sz="0" w:space="0" w:color="auto"/>
        <w:bottom w:val="none" w:sz="0" w:space="0" w:color="auto"/>
        <w:right w:val="none" w:sz="0" w:space="0" w:color="auto"/>
      </w:divBdr>
    </w:div>
    <w:div w:id="110367949">
      <w:bodyDiv w:val="1"/>
      <w:marLeft w:val="0"/>
      <w:marRight w:val="0"/>
      <w:marTop w:val="0"/>
      <w:marBottom w:val="0"/>
      <w:divBdr>
        <w:top w:val="none" w:sz="0" w:space="0" w:color="auto"/>
        <w:left w:val="none" w:sz="0" w:space="0" w:color="auto"/>
        <w:bottom w:val="none" w:sz="0" w:space="0" w:color="auto"/>
        <w:right w:val="none" w:sz="0" w:space="0" w:color="auto"/>
      </w:divBdr>
    </w:div>
    <w:div w:id="110436603">
      <w:bodyDiv w:val="1"/>
      <w:marLeft w:val="0"/>
      <w:marRight w:val="0"/>
      <w:marTop w:val="0"/>
      <w:marBottom w:val="0"/>
      <w:divBdr>
        <w:top w:val="none" w:sz="0" w:space="0" w:color="auto"/>
        <w:left w:val="none" w:sz="0" w:space="0" w:color="auto"/>
        <w:bottom w:val="none" w:sz="0" w:space="0" w:color="auto"/>
        <w:right w:val="none" w:sz="0" w:space="0" w:color="auto"/>
      </w:divBdr>
    </w:div>
    <w:div w:id="110518533">
      <w:bodyDiv w:val="1"/>
      <w:marLeft w:val="0"/>
      <w:marRight w:val="0"/>
      <w:marTop w:val="0"/>
      <w:marBottom w:val="0"/>
      <w:divBdr>
        <w:top w:val="none" w:sz="0" w:space="0" w:color="auto"/>
        <w:left w:val="none" w:sz="0" w:space="0" w:color="auto"/>
        <w:bottom w:val="none" w:sz="0" w:space="0" w:color="auto"/>
        <w:right w:val="none" w:sz="0" w:space="0" w:color="auto"/>
      </w:divBdr>
    </w:div>
    <w:div w:id="110561710">
      <w:bodyDiv w:val="1"/>
      <w:marLeft w:val="0"/>
      <w:marRight w:val="0"/>
      <w:marTop w:val="0"/>
      <w:marBottom w:val="0"/>
      <w:divBdr>
        <w:top w:val="none" w:sz="0" w:space="0" w:color="auto"/>
        <w:left w:val="none" w:sz="0" w:space="0" w:color="auto"/>
        <w:bottom w:val="none" w:sz="0" w:space="0" w:color="auto"/>
        <w:right w:val="none" w:sz="0" w:space="0" w:color="auto"/>
      </w:divBdr>
    </w:div>
    <w:div w:id="110587589">
      <w:bodyDiv w:val="1"/>
      <w:marLeft w:val="0"/>
      <w:marRight w:val="0"/>
      <w:marTop w:val="0"/>
      <w:marBottom w:val="0"/>
      <w:divBdr>
        <w:top w:val="none" w:sz="0" w:space="0" w:color="auto"/>
        <w:left w:val="none" w:sz="0" w:space="0" w:color="auto"/>
        <w:bottom w:val="none" w:sz="0" w:space="0" w:color="auto"/>
        <w:right w:val="none" w:sz="0" w:space="0" w:color="auto"/>
      </w:divBdr>
    </w:div>
    <w:div w:id="110714144">
      <w:bodyDiv w:val="1"/>
      <w:marLeft w:val="0"/>
      <w:marRight w:val="0"/>
      <w:marTop w:val="0"/>
      <w:marBottom w:val="0"/>
      <w:divBdr>
        <w:top w:val="none" w:sz="0" w:space="0" w:color="auto"/>
        <w:left w:val="none" w:sz="0" w:space="0" w:color="auto"/>
        <w:bottom w:val="none" w:sz="0" w:space="0" w:color="auto"/>
        <w:right w:val="none" w:sz="0" w:space="0" w:color="auto"/>
      </w:divBdr>
    </w:div>
    <w:div w:id="111245438">
      <w:bodyDiv w:val="1"/>
      <w:marLeft w:val="0"/>
      <w:marRight w:val="0"/>
      <w:marTop w:val="0"/>
      <w:marBottom w:val="0"/>
      <w:divBdr>
        <w:top w:val="none" w:sz="0" w:space="0" w:color="auto"/>
        <w:left w:val="none" w:sz="0" w:space="0" w:color="auto"/>
        <w:bottom w:val="none" w:sz="0" w:space="0" w:color="auto"/>
        <w:right w:val="none" w:sz="0" w:space="0" w:color="auto"/>
      </w:divBdr>
    </w:div>
    <w:div w:id="111365117">
      <w:bodyDiv w:val="1"/>
      <w:marLeft w:val="0"/>
      <w:marRight w:val="0"/>
      <w:marTop w:val="0"/>
      <w:marBottom w:val="0"/>
      <w:divBdr>
        <w:top w:val="none" w:sz="0" w:space="0" w:color="auto"/>
        <w:left w:val="none" w:sz="0" w:space="0" w:color="auto"/>
        <w:bottom w:val="none" w:sz="0" w:space="0" w:color="auto"/>
        <w:right w:val="none" w:sz="0" w:space="0" w:color="auto"/>
      </w:divBdr>
    </w:div>
    <w:div w:id="111830526">
      <w:bodyDiv w:val="1"/>
      <w:marLeft w:val="0"/>
      <w:marRight w:val="0"/>
      <w:marTop w:val="0"/>
      <w:marBottom w:val="0"/>
      <w:divBdr>
        <w:top w:val="none" w:sz="0" w:space="0" w:color="auto"/>
        <w:left w:val="none" w:sz="0" w:space="0" w:color="auto"/>
        <w:bottom w:val="none" w:sz="0" w:space="0" w:color="auto"/>
        <w:right w:val="none" w:sz="0" w:space="0" w:color="auto"/>
      </w:divBdr>
    </w:div>
    <w:div w:id="111873965">
      <w:bodyDiv w:val="1"/>
      <w:marLeft w:val="0"/>
      <w:marRight w:val="0"/>
      <w:marTop w:val="0"/>
      <w:marBottom w:val="0"/>
      <w:divBdr>
        <w:top w:val="none" w:sz="0" w:space="0" w:color="auto"/>
        <w:left w:val="none" w:sz="0" w:space="0" w:color="auto"/>
        <w:bottom w:val="none" w:sz="0" w:space="0" w:color="auto"/>
        <w:right w:val="none" w:sz="0" w:space="0" w:color="auto"/>
      </w:divBdr>
    </w:div>
    <w:div w:id="111948444">
      <w:bodyDiv w:val="1"/>
      <w:marLeft w:val="0"/>
      <w:marRight w:val="0"/>
      <w:marTop w:val="0"/>
      <w:marBottom w:val="0"/>
      <w:divBdr>
        <w:top w:val="none" w:sz="0" w:space="0" w:color="auto"/>
        <w:left w:val="none" w:sz="0" w:space="0" w:color="auto"/>
        <w:bottom w:val="none" w:sz="0" w:space="0" w:color="auto"/>
        <w:right w:val="none" w:sz="0" w:space="0" w:color="auto"/>
      </w:divBdr>
    </w:div>
    <w:div w:id="111949110">
      <w:bodyDiv w:val="1"/>
      <w:marLeft w:val="0"/>
      <w:marRight w:val="0"/>
      <w:marTop w:val="0"/>
      <w:marBottom w:val="0"/>
      <w:divBdr>
        <w:top w:val="none" w:sz="0" w:space="0" w:color="auto"/>
        <w:left w:val="none" w:sz="0" w:space="0" w:color="auto"/>
        <w:bottom w:val="none" w:sz="0" w:space="0" w:color="auto"/>
        <w:right w:val="none" w:sz="0" w:space="0" w:color="auto"/>
      </w:divBdr>
    </w:div>
    <w:div w:id="112093499">
      <w:bodyDiv w:val="1"/>
      <w:marLeft w:val="0"/>
      <w:marRight w:val="0"/>
      <w:marTop w:val="0"/>
      <w:marBottom w:val="0"/>
      <w:divBdr>
        <w:top w:val="none" w:sz="0" w:space="0" w:color="auto"/>
        <w:left w:val="none" w:sz="0" w:space="0" w:color="auto"/>
        <w:bottom w:val="none" w:sz="0" w:space="0" w:color="auto"/>
        <w:right w:val="none" w:sz="0" w:space="0" w:color="auto"/>
      </w:divBdr>
    </w:div>
    <w:div w:id="112097260">
      <w:bodyDiv w:val="1"/>
      <w:marLeft w:val="0"/>
      <w:marRight w:val="0"/>
      <w:marTop w:val="0"/>
      <w:marBottom w:val="0"/>
      <w:divBdr>
        <w:top w:val="none" w:sz="0" w:space="0" w:color="auto"/>
        <w:left w:val="none" w:sz="0" w:space="0" w:color="auto"/>
        <w:bottom w:val="none" w:sz="0" w:space="0" w:color="auto"/>
        <w:right w:val="none" w:sz="0" w:space="0" w:color="auto"/>
      </w:divBdr>
    </w:div>
    <w:div w:id="112329649">
      <w:bodyDiv w:val="1"/>
      <w:marLeft w:val="0"/>
      <w:marRight w:val="0"/>
      <w:marTop w:val="0"/>
      <w:marBottom w:val="0"/>
      <w:divBdr>
        <w:top w:val="none" w:sz="0" w:space="0" w:color="auto"/>
        <w:left w:val="none" w:sz="0" w:space="0" w:color="auto"/>
        <w:bottom w:val="none" w:sz="0" w:space="0" w:color="auto"/>
        <w:right w:val="none" w:sz="0" w:space="0" w:color="auto"/>
      </w:divBdr>
    </w:div>
    <w:div w:id="112526468">
      <w:bodyDiv w:val="1"/>
      <w:marLeft w:val="0"/>
      <w:marRight w:val="0"/>
      <w:marTop w:val="0"/>
      <w:marBottom w:val="0"/>
      <w:divBdr>
        <w:top w:val="none" w:sz="0" w:space="0" w:color="auto"/>
        <w:left w:val="none" w:sz="0" w:space="0" w:color="auto"/>
        <w:bottom w:val="none" w:sz="0" w:space="0" w:color="auto"/>
        <w:right w:val="none" w:sz="0" w:space="0" w:color="auto"/>
      </w:divBdr>
    </w:div>
    <w:div w:id="112552824">
      <w:bodyDiv w:val="1"/>
      <w:marLeft w:val="0"/>
      <w:marRight w:val="0"/>
      <w:marTop w:val="0"/>
      <w:marBottom w:val="0"/>
      <w:divBdr>
        <w:top w:val="none" w:sz="0" w:space="0" w:color="auto"/>
        <w:left w:val="none" w:sz="0" w:space="0" w:color="auto"/>
        <w:bottom w:val="none" w:sz="0" w:space="0" w:color="auto"/>
        <w:right w:val="none" w:sz="0" w:space="0" w:color="auto"/>
      </w:divBdr>
    </w:div>
    <w:div w:id="112597342">
      <w:bodyDiv w:val="1"/>
      <w:marLeft w:val="0"/>
      <w:marRight w:val="0"/>
      <w:marTop w:val="0"/>
      <w:marBottom w:val="0"/>
      <w:divBdr>
        <w:top w:val="none" w:sz="0" w:space="0" w:color="auto"/>
        <w:left w:val="none" w:sz="0" w:space="0" w:color="auto"/>
        <w:bottom w:val="none" w:sz="0" w:space="0" w:color="auto"/>
        <w:right w:val="none" w:sz="0" w:space="0" w:color="auto"/>
      </w:divBdr>
    </w:div>
    <w:div w:id="112671739">
      <w:bodyDiv w:val="1"/>
      <w:marLeft w:val="0"/>
      <w:marRight w:val="0"/>
      <w:marTop w:val="0"/>
      <w:marBottom w:val="0"/>
      <w:divBdr>
        <w:top w:val="none" w:sz="0" w:space="0" w:color="auto"/>
        <w:left w:val="none" w:sz="0" w:space="0" w:color="auto"/>
        <w:bottom w:val="none" w:sz="0" w:space="0" w:color="auto"/>
        <w:right w:val="none" w:sz="0" w:space="0" w:color="auto"/>
      </w:divBdr>
    </w:div>
    <w:div w:id="112679031">
      <w:bodyDiv w:val="1"/>
      <w:marLeft w:val="0"/>
      <w:marRight w:val="0"/>
      <w:marTop w:val="0"/>
      <w:marBottom w:val="0"/>
      <w:divBdr>
        <w:top w:val="none" w:sz="0" w:space="0" w:color="auto"/>
        <w:left w:val="none" w:sz="0" w:space="0" w:color="auto"/>
        <w:bottom w:val="none" w:sz="0" w:space="0" w:color="auto"/>
        <w:right w:val="none" w:sz="0" w:space="0" w:color="auto"/>
      </w:divBdr>
    </w:div>
    <w:div w:id="112680401">
      <w:bodyDiv w:val="1"/>
      <w:marLeft w:val="0"/>
      <w:marRight w:val="0"/>
      <w:marTop w:val="0"/>
      <w:marBottom w:val="0"/>
      <w:divBdr>
        <w:top w:val="none" w:sz="0" w:space="0" w:color="auto"/>
        <w:left w:val="none" w:sz="0" w:space="0" w:color="auto"/>
        <w:bottom w:val="none" w:sz="0" w:space="0" w:color="auto"/>
        <w:right w:val="none" w:sz="0" w:space="0" w:color="auto"/>
      </w:divBdr>
    </w:div>
    <w:div w:id="112747024">
      <w:bodyDiv w:val="1"/>
      <w:marLeft w:val="0"/>
      <w:marRight w:val="0"/>
      <w:marTop w:val="0"/>
      <w:marBottom w:val="0"/>
      <w:divBdr>
        <w:top w:val="none" w:sz="0" w:space="0" w:color="auto"/>
        <w:left w:val="none" w:sz="0" w:space="0" w:color="auto"/>
        <w:bottom w:val="none" w:sz="0" w:space="0" w:color="auto"/>
        <w:right w:val="none" w:sz="0" w:space="0" w:color="auto"/>
      </w:divBdr>
    </w:div>
    <w:div w:id="112790229">
      <w:bodyDiv w:val="1"/>
      <w:marLeft w:val="0"/>
      <w:marRight w:val="0"/>
      <w:marTop w:val="0"/>
      <w:marBottom w:val="0"/>
      <w:divBdr>
        <w:top w:val="none" w:sz="0" w:space="0" w:color="auto"/>
        <w:left w:val="none" w:sz="0" w:space="0" w:color="auto"/>
        <w:bottom w:val="none" w:sz="0" w:space="0" w:color="auto"/>
        <w:right w:val="none" w:sz="0" w:space="0" w:color="auto"/>
      </w:divBdr>
    </w:div>
    <w:div w:id="112865773">
      <w:bodyDiv w:val="1"/>
      <w:marLeft w:val="0"/>
      <w:marRight w:val="0"/>
      <w:marTop w:val="0"/>
      <w:marBottom w:val="0"/>
      <w:divBdr>
        <w:top w:val="none" w:sz="0" w:space="0" w:color="auto"/>
        <w:left w:val="none" w:sz="0" w:space="0" w:color="auto"/>
        <w:bottom w:val="none" w:sz="0" w:space="0" w:color="auto"/>
        <w:right w:val="none" w:sz="0" w:space="0" w:color="auto"/>
      </w:divBdr>
    </w:div>
    <w:div w:id="112941605">
      <w:bodyDiv w:val="1"/>
      <w:marLeft w:val="0"/>
      <w:marRight w:val="0"/>
      <w:marTop w:val="0"/>
      <w:marBottom w:val="0"/>
      <w:divBdr>
        <w:top w:val="none" w:sz="0" w:space="0" w:color="auto"/>
        <w:left w:val="none" w:sz="0" w:space="0" w:color="auto"/>
        <w:bottom w:val="none" w:sz="0" w:space="0" w:color="auto"/>
        <w:right w:val="none" w:sz="0" w:space="0" w:color="auto"/>
      </w:divBdr>
    </w:div>
    <w:div w:id="112949071">
      <w:bodyDiv w:val="1"/>
      <w:marLeft w:val="0"/>
      <w:marRight w:val="0"/>
      <w:marTop w:val="0"/>
      <w:marBottom w:val="0"/>
      <w:divBdr>
        <w:top w:val="none" w:sz="0" w:space="0" w:color="auto"/>
        <w:left w:val="none" w:sz="0" w:space="0" w:color="auto"/>
        <w:bottom w:val="none" w:sz="0" w:space="0" w:color="auto"/>
        <w:right w:val="none" w:sz="0" w:space="0" w:color="auto"/>
      </w:divBdr>
    </w:div>
    <w:div w:id="113061255">
      <w:bodyDiv w:val="1"/>
      <w:marLeft w:val="0"/>
      <w:marRight w:val="0"/>
      <w:marTop w:val="0"/>
      <w:marBottom w:val="0"/>
      <w:divBdr>
        <w:top w:val="none" w:sz="0" w:space="0" w:color="auto"/>
        <w:left w:val="none" w:sz="0" w:space="0" w:color="auto"/>
        <w:bottom w:val="none" w:sz="0" w:space="0" w:color="auto"/>
        <w:right w:val="none" w:sz="0" w:space="0" w:color="auto"/>
      </w:divBdr>
    </w:div>
    <w:div w:id="113138145">
      <w:bodyDiv w:val="1"/>
      <w:marLeft w:val="0"/>
      <w:marRight w:val="0"/>
      <w:marTop w:val="0"/>
      <w:marBottom w:val="0"/>
      <w:divBdr>
        <w:top w:val="none" w:sz="0" w:space="0" w:color="auto"/>
        <w:left w:val="none" w:sz="0" w:space="0" w:color="auto"/>
        <w:bottom w:val="none" w:sz="0" w:space="0" w:color="auto"/>
        <w:right w:val="none" w:sz="0" w:space="0" w:color="auto"/>
      </w:divBdr>
    </w:div>
    <w:div w:id="113326680">
      <w:bodyDiv w:val="1"/>
      <w:marLeft w:val="0"/>
      <w:marRight w:val="0"/>
      <w:marTop w:val="0"/>
      <w:marBottom w:val="0"/>
      <w:divBdr>
        <w:top w:val="none" w:sz="0" w:space="0" w:color="auto"/>
        <w:left w:val="none" w:sz="0" w:space="0" w:color="auto"/>
        <w:bottom w:val="none" w:sz="0" w:space="0" w:color="auto"/>
        <w:right w:val="none" w:sz="0" w:space="0" w:color="auto"/>
      </w:divBdr>
    </w:div>
    <w:div w:id="113330496">
      <w:bodyDiv w:val="1"/>
      <w:marLeft w:val="0"/>
      <w:marRight w:val="0"/>
      <w:marTop w:val="0"/>
      <w:marBottom w:val="0"/>
      <w:divBdr>
        <w:top w:val="none" w:sz="0" w:space="0" w:color="auto"/>
        <w:left w:val="none" w:sz="0" w:space="0" w:color="auto"/>
        <w:bottom w:val="none" w:sz="0" w:space="0" w:color="auto"/>
        <w:right w:val="none" w:sz="0" w:space="0" w:color="auto"/>
      </w:divBdr>
    </w:div>
    <w:div w:id="113332064">
      <w:bodyDiv w:val="1"/>
      <w:marLeft w:val="0"/>
      <w:marRight w:val="0"/>
      <w:marTop w:val="0"/>
      <w:marBottom w:val="0"/>
      <w:divBdr>
        <w:top w:val="none" w:sz="0" w:space="0" w:color="auto"/>
        <w:left w:val="none" w:sz="0" w:space="0" w:color="auto"/>
        <w:bottom w:val="none" w:sz="0" w:space="0" w:color="auto"/>
        <w:right w:val="none" w:sz="0" w:space="0" w:color="auto"/>
      </w:divBdr>
    </w:div>
    <w:div w:id="113791425">
      <w:bodyDiv w:val="1"/>
      <w:marLeft w:val="0"/>
      <w:marRight w:val="0"/>
      <w:marTop w:val="0"/>
      <w:marBottom w:val="0"/>
      <w:divBdr>
        <w:top w:val="none" w:sz="0" w:space="0" w:color="auto"/>
        <w:left w:val="none" w:sz="0" w:space="0" w:color="auto"/>
        <w:bottom w:val="none" w:sz="0" w:space="0" w:color="auto"/>
        <w:right w:val="none" w:sz="0" w:space="0" w:color="auto"/>
      </w:divBdr>
    </w:div>
    <w:div w:id="113795317">
      <w:bodyDiv w:val="1"/>
      <w:marLeft w:val="0"/>
      <w:marRight w:val="0"/>
      <w:marTop w:val="0"/>
      <w:marBottom w:val="0"/>
      <w:divBdr>
        <w:top w:val="none" w:sz="0" w:space="0" w:color="auto"/>
        <w:left w:val="none" w:sz="0" w:space="0" w:color="auto"/>
        <w:bottom w:val="none" w:sz="0" w:space="0" w:color="auto"/>
        <w:right w:val="none" w:sz="0" w:space="0" w:color="auto"/>
      </w:divBdr>
    </w:div>
    <w:div w:id="113797096">
      <w:bodyDiv w:val="1"/>
      <w:marLeft w:val="0"/>
      <w:marRight w:val="0"/>
      <w:marTop w:val="0"/>
      <w:marBottom w:val="0"/>
      <w:divBdr>
        <w:top w:val="none" w:sz="0" w:space="0" w:color="auto"/>
        <w:left w:val="none" w:sz="0" w:space="0" w:color="auto"/>
        <w:bottom w:val="none" w:sz="0" w:space="0" w:color="auto"/>
        <w:right w:val="none" w:sz="0" w:space="0" w:color="auto"/>
      </w:divBdr>
    </w:div>
    <w:div w:id="113836349">
      <w:bodyDiv w:val="1"/>
      <w:marLeft w:val="0"/>
      <w:marRight w:val="0"/>
      <w:marTop w:val="0"/>
      <w:marBottom w:val="0"/>
      <w:divBdr>
        <w:top w:val="none" w:sz="0" w:space="0" w:color="auto"/>
        <w:left w:val="none" w:sz="0" w:space="0" w:color="auto"/>
        <w:bottom w:val="none" w:sz="0" w:space="0" w:color="auto"/>
        <w:right w:val="none" w:sz="0" w:space="0" w:color="auto"/>
      </w:divBdr>
    </w:div>
    <w:div w:id="113915000">
      <w:bodyDiv w:val="1"/>
      <w:marLeft w:val="0"/>
      <w:marRight w:val="0"/>
      <w:marTop w:val="0"/>
      <w:marBottom w:val="0"/>
      <w:divBdr>
        <w:top w:val="none" w:sz="0" w:space="0" w:color="auto"/>
        <w:left w:val="none" w:sz="0" w:space="0" w:color="auto"/>
        <w:bottom w:val="none" w:sz="0" w:space="0" w:color="auto"/>
        <w:right w:val="none" w:sz="0" w:space="0" w:color="auto"/>
      </w:divBdr>
    </w:div>
    <w:div w:id="113984639">
      <w:bodyDiv w:val="1"/>
      <w:marLeft w:val="0"/>
      <w:marRight w:val="0"/>
      <w:marTop w:val="0"/>
      <w:marBottom w:val="0"/>
      <w:divBdr>
        <w:top w:val="none" w:sz="0" w:space="0" w:color="auto"/>
        <w:left w:val="none" w:sz="0" w:space="0" w:color="auto"/>
        <w:bottom w:val="none" w:sz="0" w:space="0" w:color="auto"/>
        <w:right w:val="none" w:sz="0" w:space="0" w:color="auto"/>
      </w:divBdr>
    </w:div>
    <w:div w:id="114056980">
      <w:bodyDiv w:val="1"/>
      <w:marLeft w:val="0"/>
      <w:marRight w:val="0"/>
      <w:marTop w:val="0"/>
      <w:marBottom w:val="0"/>
      <w:divBdr>
        <w:top w:val="none" w:sz="0" w:space="0" w:color="auto"/>
        <w:left w:val="none" w:sz="0" w:space="0" w:color="auto"/>
        <w:bottom w:val="none" w:sz="0" w:space="0" w:color="auto"/>
        <w:right w:val="none" w:sz="0" w:space="0" w:color="auto"/>
      </w:divBdr>
    </w:div>
    <w:div w:id="114108895">
      <w:bodyDiv w:val="1"/>
      <w:marLeft w:val="0"/>
      <w:marRight w:val="0"/>
      <w:marTop w:val="0"/>
      <w:marBottom w:val="0"/>
      <w:divBdr>
        <w:top w:val="none" w:sz="0" w:space="0" w:color="auto"/>
        <w:left w:val="none" w:sz="0" w:space="0" w:color="auto"/>
        <w:bottom w:val="none" w:sz="0" w:space="0" w:color="auto"/>
        <w:right w:val="none" w:sz="0" w:space="0" w:color="auto"/>
      </w:divBdr>
    </w:div>
    <w:div w:id="114250057">
      <w:bodyDiv w:val="1"/>
      <w:marLeft w:val="0"/>
      <w:marRight w:val="0"/>
      <w:marTop w:val="0"/>
      <w:marBottom w:val="0"/>
      <w:divBdr>
        <w:top w:val="none" w:sz="0" w:space="0" w:color="auto"/>
        <w:left w:val="none" w:sz="0" w:space="0" w:color="auto"/>
        <w:bottom w:val="none" w:sz="0" w:space="0" w:color="auto"/>
        <w:right w:val="none" w:sz="0" w:space="0" w:color="auto"/>
      </w:divBdr>
    </w:div>
    <w:div w:id="114253590">
      <w:bodyDiv w:val="1"/>
      <w:marLeft w:val="0"/>
      <w:marRight w:val="0"/>
      <w:marTop w:val="0"/>
      <w:marBottom w:val="0"/>
      <w:divBdr>
        <w:top w:val="none" w:sz="0" w:space="0" w:color="auto"/>
        <w:left w:val="none" w:sz="0" w:space="0" w:color="auto"/>
        <w:bottom w:val="none" w:sz="0" w:space="0" w:color="auto"/>
        <w:right w:val="none" w:sz="0" w:space="0" w:color="auto"/>
      </w:divBdr>
    </w:div>
    <w:div w:id="114254124">
      <w:bodyDiv w:val="1"/>
      <w:marLeft w:val="0"/>
      <w:marRight w:val="0"/>
      <w:marTop w:val="0"/>
      <w:marBottom w:val="0"/>
      <w:divBdr>
        <w:top w:val="none" w:sz="0" w:space="0" w:color="auto"/>
        <w:left w:val="none" w:sz="0" w:space="0" w:color="auto"/>
        <w:bottom w:val="none" w:sz="0" w:space="0" w:color="auto"/>
        <w:right w:val="none" w:sz="0" w:space="0" w:color="auto"/>
      </w:divBdr>
    </w:div>
    <w:div w:id="114294958">
      <w:bodyDiv w:val="1"/>
      <w:marLeft w:val="0"/>
      <w:marRight w:val="0"/>
      <w:marTop w:val="0"/>
      <w:marBottom w:val="0"/>
      <w:divBdr>
        <w:top w:val="none" w:sz="0" w:space="0" w:color="auto"/>
        <w:left w:val="none" w:sz="0" w:space="0" w:color="auto"/>
        <w:bottom w:val="none" w:sz="0" w:space="0" w:color="auto"/>
        <w:right w:val="none" w:sz="0" w:space="0" w:color="auto"/>
      </w:divBdr>
    </w:div>
    <w:div w:id="114299223">
      <w:bodyDiv w:val="1"/>
      <w:marLeft w:val="0"/>
      <w:marRight w:val="0"/>
      <w:marTop w:val="0"/>
      <w:marBottom w:val="0"/>
      <w:divBdr>
        <w:top w:val="none" w:sz="0" w:space="0" w:color="auto"/>
        <w:left w:val="none" w:sz="0" w:space="0" w:color="auto"/>
        <w:bottom w:val="none" w:sz="0" w:space="0" w:color="auto"/>
        <w:right w:val="none" w:sz="0" w:space="0" w:color="auto"/>
      </w:divBdr>
    </w:div>
    <w:div w:id="114326288">
      <w:bodyDiv w:val="1"/>
      <w:marLeft w:val="0"/>
      <w:marRight w:val="0"/>
      <w:marTop w:val="0"/>
      <w:marBottom w:val="0"/>
      <w:divBdr>
        <w:top w:val="none" w:sz="0" w:space="0" w:color="auto"/>
        <w:left w:val="none" w:sz="0" w:space="0" w:color="auto"/>
        <w:bottom w:val="none" w:sz="0" w:space="0" w:color="auto"/>
        <w:right w:val="none" w:sz="0" w:space="0" w:color="auto"/>
      </w:divBdr>
    </w:div>
    <w:div w:id="114326565">
      <w:bodyDiv w:val="1"/>
      <w:marLeft w:val="0"/>
      <w:marRight w:val="0"/>
      <w:marTop w:val="0"/>
      <w:marBottom w:val="0"/>
      <w:divBdr>
        <w:top w:val="none" w:sz="0" w:space="0" w:color="auto"/>
        <w:left w:val="none" w:sz="0" w:space="0" w:color="auto"/>
        <w:bottom w:val="none" w:sz="0" w:space="0" w:color="auto"/>
        <w:right w:val="none" w:sz="0" w:space="0" w:color="auto"/>
      </w:divBdr>
    </w:div>
    <w:div w:id="114368979">
      <w:bodyDiv w:val="1"/>
      <w:marLeft w:val="0"/>
      <w:marRight w:val="0"/>
      <w:marTop w:val="0"/>
      <w:marBottom w:val="0"/>
      <w:divBdr>
        <w:top w:val="none" w:sz="0" w:space="0" w:color="auto"/>
        <w:left w:val="none" w:sz="0" w:space="0" w:color="auto"/>
        <w:bottom w:val="none" w:sz="0" w:space="0" w:color="auto"/>
        <w:right w:val="none" w:sz="0" w:space="0" w:color="auto"/>
      </w:divBdr>
    </w:div>
    <w:div w:id="114375355">
      <w:bodyDiv w:val="1"/>
      <w:marLeft w:val="0"/>
      <w:marRight w:val="0"/>
      <w:marTop w:val="0"/>
      <w:marBottom w:val="0"/>
      <w:divBdr>
        <w:top w:val="none" w:sz="0" w:space="0" w:color="auto"/>
        <w:left w:val="none" w:sz="0" w:space="0" w:color="auto"/>
        <w:bottom w:val="none" w:sz="0" w:space="0" w:color="auto"/>
        <w:right w:val="none" w:sz="0" w:space="0" w:color="auto"/>
      </w:divBdr>
    </w:div>
    <w:div w:id="114375604">
      <w:bodyDiv w:val="1"/>
      <w:marLeft w:val="0"/>
      <w:marRight w:val="0"/>
      <w:marTop w:val="0"/>
      <w:marBottom w:val="0"/>
      <w:divBdr>
        <w:top w:val="none" w:sz="0" w:space="0" w:color="auto"/>
        <w:left w:val="none" w:sz="0" w:space="0" w:color="auto"/>
        <w:bottom w:val="none" w:sz="0" w:space="0" w:color="auto"/>
        <w:right w:val="none" w:sz="0" w:space="0" w:color="auto"/>
      </w:divBdr>
    </w:div>
    <w:div w:id="114562640">
      <w:bodyDiv w:val="1"/>
      <w:marLeft w:val="0"/>
      <w:marRight w:val="0"/>
      <w:marTop w:val="0"/>
      <w:marBottom w:val="0"/>
      <w:divBdr>
        <w:top w:val="none" w:sz="0" w:space="0" w:color="auto"/>
        <w:left w:val="none" w:sz="0" w:space="0" w:color="auto"/>
        <w:bottom w:val="none" w:sz="0" w:space="0" w:color="auto"/>
        <w:right w:val="none" w:sz="0" w:space="0" w:color="auto"/>
      </w:divBdr>
    </w:div>
    <w:div w:id="114570826">
      <w:bodyDiv w:val="1"/>
      <w:marLeft w:val="0"/>
      <w:marRight w:val="0"/>
      <w:marTop w:val="0"/>
      <w:marBottom w:val="0"/>
      <w:divBdr>
        <w:top w:val="none" w:sz="0" w:space="0" w:color="auto"/>
        <w:left w:val="none" w:sz="0" w:space="0" w:color="auto"/>
        <w:bottom w:val="none" w:sz="0" w:space="0" w:color="auto"/>
        <w:right w:val="none" w:sz="0" w:space="0" w:color="auto"/>
      </w:divBdr>
    </w:div>
    <w:div w:id="114637370">
      <w:bodyDiv w:val="1"/>
      <w:marLeft w:val="0"/>
      <w:marRight w:val="0"/>
      <w:marTop w:val="0"/>
      <w:marBottom w:val="0"/>
      <w:divBdr>
        <w:top w:val="none" w:sz="0" w:space="0" w:color="auto"/>
        <w:left w:val="none" w:sz="0" w:space="0" w:color="auto"/>
        <w:bottom w:val="none" w:sz="0" w:space="0" w:color="auto"/>
        <w:right w:val="none" w:sz="0" w:space="0" w:color="auto"/>
      </w:divBdr>
    </w:div>
    <w:div w:id="114716679">
      <w:bodyDiv w:val="1"/>
      <w:marLeft w:val="0"/>
      <w:marRight w:val="0"/>
      <w:marTop w:val="0"/>
      <w:marBottom w:val="0"/>
      <w:divBdr>
        <w:top w:val="none" w:sz="0" w:space="0" w:color="auto"/>
        <w:left w:val="none" w:sz="0" w:space="0" w:color="auto"/>
        <w:bottom w:val="none" w:sz="0" w:space="0" w:color="auto"/>
        <w:right w:val="none" w:sz="0" w:space="0" w:color="auto"/>
      </w:divBdr>
    </w:div>
    <w:div w:id="114763249">
      <w:bodyDiv w:val="1"/>
      <w:marLeft w:val="0"/>
      <w:marRight w:val="0"/>
      <w:marTop w:val="0"/>
      <w:marBottom w:val="0"/>
      <w:divBdr>
        <w:top w:val="none" w:sz="0" w:space="0" w:color="auto"/>
        <w:left w:val="none" w:sz="0" w:space="0" w:color="auto"/>
        <w:bottom w:val="none" w:sz="0" w:space="0" w:color="auto"/>
        <w:right w:val="none" w:sz="0" w:space="0" w:color="auto"/>
      </w:divBdr>
    </w:div>
    <w:div w:id="114835343">
      <w:bodyDiv w:val="1"/>
      <w:marLeft w:val="0"/>
      <w:marRight w:val="0"/>
      <w:marTop w:val="0"/>
      <w:marBottom w:val="0"/>
      <w:divBdr>
        <w:top w:val="none" w:sz="0" w:space="0" w:color="auto"/>
        <w:left w:val="none" w:sz="0" w:space="0" w:color="auto"/>
        <w:bottom w:val="none" w:sz="0" w:space="0" w:color="auto"/>
        <w:right w:val="none" w:sz="0" w:space="0" w:color="auto"/>
      </w:divBdr>
    </w:div>
    <w:div w:id="115025500">
      <w:bodyDiv w:val="1"/>
      <w:marLeft w:val="0"/>
      <w:marRight w:val="0"/>
      <w:marTop w:val="0"/>
      <w:marBottom w:val="0"/>
      <w:divBdr>
        <w:top w:val="none" w:sz="0" w:space="0" w:color="auto"/>
        <w:left w:val="none" w:sz="0" w:space="0" w:color="auto"/>
        <w:bottom w:val="none" w:sz="0" w:space="0" w:color="auto"/>
        <w:right w:val="none" w:sz="0" w:space="0" w:color="auto"/>
      </w:divBdr>
    </w:div>
    <w:div w:id="115027179">
      <w:bodyDiv w:val="1"/>
      <w:marLeft w:val="0"/>
      <w:marRight w:val="0"/>
      <w:marTop w:val="0"/>
      <w:marBottom w:val="0"/>
      <w:divBdr>
        <w:top w:val="none" w:sz="0" w:space="0" w:color="auto"/>
        <w:left w:val="none" w:sz="0" w:space="0" w:color="auto"/>
        <w:bottom w:val="none" w:sz="0" w:space="0" w:color="auto"/>
        <w:right w:val="none" w:sz="0" w:space="0" w:color="auto"/>
      </w:divBdr>
    </w:div>
    <w:div w:id="115099735">
      <w:bodyDiv w:val="1"/>
      <w:marLeft w:val="0"/>
      <w:marRight w:val="0"/>
      <w:marTop w:val="0"/>
      <w:marBottom w:val="0"/>
      <w:divBdr>
        <w:top w:val="none" w:sz="0" w:space="0" w:color="auto"/>
        <w:left w:val="none" w:sz="0" w:space="0" w:color="auto"/>
        <w:bottom w:val="none" w:sz="0" w:space="0" w:color="auto"/>
        <w:right w:val="none" w:sz="0" w:space="0" w:color="auto"/>
      </w:divBdr>
    </w:div>
    <w:div w:id="115147801">
      <w:bodyDiv w:val="1"/>
      <w:marLeft w:val="0"/>
      <w:marRight w:val="0"/>
      <w:marTop w:val="0"/>
      <w:marBottom w:val="0"/>
      <w:divBdr>
        <w:top w:val="none" w:sz="0" w:space="0" w:color="auto"/>
        <w:left w:val="none" w:sz="0" w:space="0" w:color="auto"/>
        <w:bottom w:val="none" w:sz="0" w:space="0" w:color="auto"/>
        <w:right w:val="none" w:sz="0" w:space="0" w:color="auto"/>
      </w:divBdr>
    </w:div>
    <w:div w:id="115224633">
      <w:bodyDiv w:val="1"/>
      <w:marLeft w:val="0"/>
      <w:marRight w:val="0"/>
      <w:marTop w:val="0"/>
      <w:marBottom w:val="0"/>
      <w:divBdr>
        <w:top w:val="none" w:sz="0" w:space="0" w:color="auto"/>
        <w:left w:val="none" w:sz="0" w:space="0" w:color="auto"/>
        <w:bottom w:val="none" w:sz="0" w:space="0" w:color="auto"/>
        <w:right w:val="none" w:sz="0" w:space="0" w:color="auto"/>
      </w:divBdr>
    </w:div>
    <w:div w:id="115294204">
      <w:bodyDiv w:val="1"/>
      <w:marLeft w:val="0"/>
      <w:marRight w:val="0"/>
      <w:marTop w:val="0"/>
      <w:marBottom w:val="0"/>
      <w:divBdr>
        <w:top w:val="none" w:sz="0" w:space="0" w:color="auto"/>
        <w:left w:val="none" w:sz="0" w:space="0" w:color="auto"/>
        <w:bottom w:val="none" w:sz="0" w:space="0" w:color="auto"/>
        <w:right w:val="none" w:sz="0" w:space="0" w:color="auto"/>
      </w:divBdr>
    </w:div>
    <w:div w:id="115295778">
      <w:bodyDiv w:val="1"/>
      <w:marLeft w:val="0"/>
      <w:marRight w:val="0"/>
      <w:marTop w:val="0"/>
      <w:marBottom w:val="0"/>
      <w:divBdr>
        <w:top w:val="none" w:sz="0" w:space="0" w:color="auto"/>
        <w:left w:val="none" w:sz="0" w:space="0" w:color="auto"/>
        <w:bottom w:val="none" w:sz="0" w:space="0" w:color="auto"/>
        <w:right w:val="none" w:sz="0" w:space="0" w:color="auto"/>
      </w:divBdr>
    </w:div>
    <w:div w:id="115368563">
      <w:bodyDiv w:val="1"/>
      <w:marLeft w:val="0"/>
      <w:marRight w:val="0"/>
      <w:marTop w:val="0"/>
      <w:marBottom w:val="0"/>
      <w:divBdr>
        <w:top w:val="none" w:sz="0" w:space="0" w:color="auto"/>
        <w:left w:val="none" w:sz="0" w:space="0" w:color="auto"/>
        <w:bottom w:val="none" w:sz="0" w:space="0" w:color="auto"/>
        <w:right w:val="none" w:sz="0" w:space="0" w:color="auto"/>
      </w:divBdr>
    </w:div>
    <w:div w:id="115608570">
      <w:bodyDiv w:val="1"/>
      <w:marLeft w:val="0"/>
      <w:marRight w:val="0"/>
      <w:marTop w:val="0"/>
      <w:marBottom w:val="0"/>
      <w:divBdr>
        <w:top w:val="none" w:sz="0" w:space="0" w:color="auto"/>
        <w:left w:val="none" w:sz="0" w:space="0" w:color="auto"/>
        <w:bottom w:val="none" w:sz="0" w:space="0" w:color="auto"/>
        <w:right w:val="none" w:sz="0" w:space="0" w:color="auto"/>
      </w:divBdr>
    </w:div>
    <w:div w:id="115756485">
      <w:bodyDiv w:val="1"/>
      <w:marLeft w:val="0"/>
      <w:marRight w:val="0"/>
      <w:marTop w:val="0"/>
      <w:marBottom w:val="0"/>
      <w:divBdr>
        <w:top w:val="none" w:sz="0" w:space="0" w:color="auto"/>
        <w:left w:val="none" w:sz="0" w:space="0" w:color="auto"/>
        <w:bottom w:val="none" w:sz="0" w:space="0" w:color="auto"/>
        <w:right w:val="none" w:sz="0" w:space="0" w:color="auto"/>
      </w:divBdr>
    </w:div>
    <w:div w:id="115872267">
      <w:bodyDiv w:val="1"/>
      <w:marLeft w:val="0"/>
      <w:marRight w:val="0"/>
      <w:marTop w:val="0"/>
      <w:marBottom w:val="0"/>
      <w:divBdr>
        <w:top w:val="none" w:sz="0" w:space="0" w:color="auto"/>
        <w:left w:val="none" w:sz="0" w:space="0" w:color="auto"/>
        <w:bottom w:val="none" w:sz="0" w:space="0" w:color="auto"/>
        <w:right w:val="none" w:sz="0" w:space="0" w:color="auto"/>
      </w:divBdr>
    </w:div>
    <w:div w:id="115948659">
      <w:bodyDiv w:val="1"/>
      <w:marLeft w:val="0"/>
      <w:marRight w:val="0"/>
      <w:marTop w:val="0"/>
      <w:marBottom w:val="0"/>
      <w:divBdr>
        <w:top w:val="none" w:sz="0" w:space="0" w:color="auto"/>
        <w:left w:val="none" w:sz="0" w:space="0" w:color="auto"/>
        <w:bottom w:val="none" w:sz="0" w:space="0" w:color="auto"/>
        <w:right w:val="none" w:sz="0" w:space="0" w:color="auto"/>
      </w:divBdr>
    </w:div>
    <w:div w:id="115956556">
      <w:bodyDiv w:val="1"/>
      <w:marLeft w:val="0"/>
      <w:marRight w:val="0"/>
      <w:marTop w:val="0"/>
      <w:marBottom w:val="0"/>
      <w:divBdr>
        <w:top w:val="none" w:sz="0" w:space="0" w:color="auto"/>
        <w:left w:val="none" w:sz="0" w:space="0" w:color="auto"/>
        <w:bottom w:val="none" w:sz="0" w:space="0" w:color="auto"/>
        <w:right w:val="none" w:sz="0" w:space="0" w:color="auto"/>
      </w:divBdr>
    </w:div>
    <w:div w:id="116023336">
      <w:bodyDiv w:val="1"/>
      <w:marLeft w:val="0"/>
      <w:marRight w:val="0"/>
      <w:marTop w:val="0"/>
      <w:marBottom w:val="0"/>
      <w:divBdr>
        <w:top w:val="none" w:sz="0" w:space="0" w:color="auto"/>
        <w:left w:val="none" w:sz="0" w:space="0" w:color="auto"/>
        <w:bottom w:val="none" w:sz="0" w:space="0" w:color="auto"/>
        <w:right w:val="none" w:sz="0" w:space="0" w:color="auto"/>
      </w:divBdr>
    </w:div>
    <w:div w:id="116025121">
      <w:bodyDiv w:val="1"/>
      <w:marLeft w:val="0"/>
      <w:marRight w:val="0"/>
      <w:marTop w:val="0"/>
      <w:marBottom w:val="0"/>
      <w:divBdr>
        <w:top w:val="none" w:sz="0" w:space="0" w:color="auto"/>
        <w:left w:val="none" w:sz="0" w:space="0" w:color="auto"/>
        <w:bottom w:val="none" w:sz="0" w:space="0" w:color="auto"/>
        <w:right w:val="none" w:sz="0" w:space="0" w:color="auto"/>
      </w:divBdr>
    </w:div>
    <w:div w:id="116065051">
      <w:bodyDiv w:val="1"/>
      <w:marLeft w:val="0"/>
      <w:marRight w:val="0"/>
      <w:marTop w:val="0"/>
      <w:marBottom w:val="0"/>
      <w:divBdr>
        <w:top w:val="none" w:sz="0" w:space="0" w:color="auto"/>
        <w:left w:val="none" w:sz="0" w:space="0" w:color="auto"/>
        <w:bottom w:val="none" w:sz="0" w:space="0" w:color="auto"/>
        <w:right w:val="none" w:sz="0" w:space="0" w:color="auto"/>
      </w:divBdr>
    </w:div>
    <w:div w:id="116142214">
      <w:bodyDiv w:val="1"/>
      <w:marLeft w:val="0"/>
      <w:marRight w:val="0"/>
      <w:marTop w:val="0"/>
      <w:marBottom w:val="0"/>
      <w:divBdr>
        <w:top w:val="none" w:sz="0" w:space="0" w:color="auto"/>
        <w:left w:val="none" w:sz="0" w:space="0" w:color="auto"/>
        <w:bottom w:val="none" w:sz="0" w:space="0" w:color="auto"/>
        <w:right w:val="none" w:sz="0" w:space="0" w:color="auto"/>
      </w:divBdr>
    </w:div>
    <w:div w:id="116340243">
      <w:bodyDiv w:val="1"/>
      <w:marLeft w:val="0"/>
      <w:marRight w:val="0"/>
      <w:marTop w:val="0"/>
      <w:marBottom w:val="0"/>
      <w:divBdr>
        <w:top w:val="none" w:sz="0" w:space="0" w:color="auto"/>
        <w:left w:val="none" w:sz="0" w:space="0" w:color="auto"/>
        <w:bottom w:val="none" w:sz="0" w:space="0" w:color="auto"/>
        <w:right w:val="none" w:sz="0" w:space="0" w:color="auto"/>
      </w:divBdr>
    </w:div>
    <w:div w:id="116341007">
      <w:bodyDiv w:val="1"/>
      <w:marLeft w:val="0"/>
      <w:marRight w:val="0"/>
      <w:marTop w:val="0"/>
      <w:marBottom w:val="0"/>
      <w:divBdr>
        <w:top w:val="none" w:sz="0" w:space="0" w:color="auto"/>
        <w:left w:val="none" w:sz="0" w:space="0" w:color="auto"/>
        <w:bottom w:val="none" w:sz="0" w:space="0" w:color="auto"/>
        <w:right w:val="none" w:sz="0" w:space="0" w:color="auto"/>
      </w:divBdr>
    </w:div>
    <w:div w:id="116341558">
      <w:bodyDiv w:val="1"/>
      <w:marLeft w:val="0"/>
      <w:marRight w:val="0"/>
      <w:marTop w:val="0"/>
      <w:marBottom w:val="0"/>
      <w:divBdr>
        <w:top w:val="none" w:sz="0" w:space="0" w:color="auto"/>
        <w:left w:val="none" w:sz="0" w:space="0" w:color="auto"/>
        <w:bottom w:val="none" w:sz="0" w:space="0" w:color="auto"/>
        <w:right w:val="none" w:sz="0" w:space="0" w:color="auto"/>
      </w:divBdr>
    </w:div>
    <w:div w:id="116413468">
      <w:bodyDiv w:val="1"/>
      <w:marLeft w:val="0"/>
      <w:marRight w:val="0"/>
      <w:marTop w:val="0"/>
      <w:marBottom w:val="0"/>
      <w:divBdr>
        <w:top w:val="none" w:sz="0" w:space="0" w:color="auto"/>
        <w:left w:val="none" w:sz="0" w:space="0" w:color="auto"/>
        <w:bottom w:val="none" w:sz="0" w:space="0" w:color="auto"/>
        <w:right w:val="none" w:sz="0" w:space="0" w:color="auto"/>
      </w:divBdr>
    </w:div>
    <w:div w:id="117071053">
      <w:bodyDiv w:val="1"/>
      <w:marLeft w:val="0"/>
      <w:marRight w:val="0"/>
      <w:marTop w:val="0"/>
      <w:marBottom w:val="0"/>
      <w:divBdr>
        <w:top w:val="none" w:sz="0" w:space="0" w:color="auto"/>
        <w:left w:val="none" w:sz="0" w:space="0" w:color="auto"/>
        <w:bottom w:val="none" w:sz="0" w:space="0" w:color="auto"/>
        <w:right w:val="none" w:sz="0" w:space="0" w:color="auto"/>
      </w:divBdr>
    </w:div>
    <w:div w:id="117183094">
      <w:bodyDiv w:val="1"/>
      <w:marLeft w:val="0"/>
      <w:marRight w:val="0"/>
      <w:marTop w:val="0"/>
      <w:marBottom w:val="0"/>
      <w:divBdr>
        <w:top w:val="none" w:sz="0" w:space="0" w:color="auto"/>
        <w:left w:val="none" w:sz="0" w:space="0" w:color="auto"/>
        <w:bottom w:val="none" w:sz="0" w:space="0" w:color="auto"/>
        <w:right w:val="none" w:sz="0" w:space="0" w:color="auto"/>
      </w:divBdr>
    </w:div>
    <w:div w:id="117190689">
      <w:bodyDiv w:val="1"/>
      <w:marLeft w:val="0"/>
      <w:marRight w:val="0"/>
      <w:marTop w:val="0"/>
      <w:marBottom w:val="0"/>
      <w:divBdr>
        <w:top w:val="none" w:sz="0" w:space="0" w:color="auto"/>
        <w:left w:val="none" w:sz="0" w:space="0" w:color="auto"/>
        <w:bottom w:val="none" w:sz="0" w:space="0" w:color="auto"/>
        <w:right w:val="none" w:sz="0" w:space="0" w:color="auto"/>
      </w:divBdr>
    </w:div>
    <w:div w:id="117264824">
      <w:bodyDiv w:val="1"/>
      <w:marLeft w:val="0"/>
      <w:marRight w:val="0"/>
      <w:marTop w:val="0"/>
      <w:marBottom w:val="0"/>
      <w:divBdr>
        <w:top w:val="none" w:sz="0" w:space="0" w:color="auto"/>
        <w:left w:val="none" w:sz="0" w:space="0" w:color="auto"/>
        <w:bottom w:val="none" w:sz="0" w:space="0" w:color="auto"/>
        <w:right w:val="none" w:sz="0" w:space="0" w:color="auto"/>
      </w:divBdr>
    </w:div>
    <w:div w:id="117340479">
      <w:bodyDiv w:val="1"/>
      <w:marLeft w:val="0"/>
      <w:marRight w:val="0"/>
      <w:marTop w:val="0"/>
      <w:marBottom w:val="0"/>
      <w:divBdr>
        <w:top w:val="none" w:sz="0" w:space="0" w:color="auto"/>
        <w:left w:val="none" w:sz="0" w:space="0" w:color="auto"/>
        <w:bottom w:val="none" w:sz="0" w:space="0" w:color="auto"/>
        <w:right w:val="none" w:sz="0" w:space="0" w:color="auto"/>
      </w:divBdr>
    </w:div>
    <w:div w:id="117377889">
      <w:bodyDiv w:val="1"/>
      <w:marLeft w:val="0"/>
      <w:marRight w:val="0"/>
      <w:marTop w:val="0"/>
      <w:marBottom w:val="0"/>
      <w:divBdr>
        <w:top w:val="none" w:sz="0" w:space="0" w:color="auto"/>
        <w:left w:val="none" w:sz="0" w:space="0" w:color="auto"/>
        <w:bottom w:val="none" w:sz="0" w:space="0" w:color="auto"/>
        <w:right w:val="none" w:sz="0" w:space="0" w:color="auto"/>
      </w:divBdr>
    </w:div>
    <w:div w:id="117574608">
      <w:bodyDiv w:val="1"/>
      <w:marLeft w:val="0"/>
      <w:marRight w:val="0"/>
      <w:marTop w:val="0"/>
      <w:marBottom w:val="0"/>
      <w:divBdr>
        <w:top w:val="none" w:sz="0" w:space="0" w:color="auto"/>
        <w:left w:val="none" w:sz="0" w:space="0" w:color="auto"/>
        <w:bottom w:val="none" w:sz="0" w:space="0" w:color="auto"/>
        <w:right w:val="none" w:sz="0" w:space="0" w:color="auto"/>
      </w:divBdr>
    </w:div>
    <w:div w:id="117575672">
      <w:bodyDiv w:val="1"/>
      <w:marLeft w:val="0"/>
      <w:marRight w:val="0"/>
      <w:marTop w:val="0"/>
      <w:marBottom w:val="0"/>
      <w:divBdr>
        <w:top w:val="none" w:sz="0" w:space="0" w:color="auto"/>
        <w:left w:val="none" w:sz="0" w:space="0" w:color="auto"/>
        <w:bottom w:val="none" w:sz="0" w:space="0" w:color="auto"/>
        <w:right w:val="none" w:sz="0" w:space="0" w:color="auto"/>
      </w:divBdr>
    </w:div>
    <w:div w:id="117575877">
      <w:bodyDiv w:val="1"/>
      <w:marLeft w:val="0"/>
      <w:marRight w:val="0"/>
      <w:marTop w:val="0"/>
      <w:marBottom w:val="0"/>
      <w:divBdr>
        <w:top w:val="none" w:sz="0" w:space="0" w:color="auto"/>
        <w:left w:val="none" w:sz="0" w:space="0" w:color="auto"/>
        <w:bottom w:val="none" w:sz="0" w:space="0" w:color="auto"/>
        <w:right w:val="none" w:sz="0" w:space="0" w:color="auto"/>
      </w:divBdr>
    </w:div>
    <w:div w:id="117727041">
      <w:bodyDiv w:val="1"/>
      <w:marLeft w:val="0"/>
      <w:marRight w:val="0"/>
      <w:marTop w:val="0"/>
      <w:marBottom w:val="0"/>
      <w:divBdr>
        <w:top w:val="none" w:sz="0" w:space="0" w:color="auto"/>
        <w:left w:val="none" w:sz="0" w:space="0" w:color="auto"/>
        <w:bottom w:val="none" w:sz="0" w:space="0" w:color="auto"/>
        <w:right w:val="none" w:sz="0" w:space="0" w:color="auto"/>
      </w:divBdr>
    </w:div>
    <w:div w:id="117799709">
      <w:bodyDiv w:val="1"/>
      <w:marLeft w:val="0"/>
      <w:marRight w:val="0"/>
      <w:marTop w:val="0"/>
      <w:marBottom w:val="0"/>
      <w:divBdr>
        <w:top w:val="none" w:sz="0" w:space="0" w:color="auto"/>
        <w:left w:val="none" w:sz="0" w:space="0" w:color="auto"/>
        <w:bottom w:val="none" w:sz="0" w:space="0" w:color="auto"/>
        <w:right w:val="none" w:sz="0" w:space="0" w:color="auto"/>
      </w:divBdr>
    </w:div>
    <w:div w:id="117921573">
      <w:bodyDiv w:val="1"/>
      <w:marLeft w:val="0"/>
      <w:marRight w:val="0"/>
      <w:marTop w:val="0"/>
      <w:marBottom w:val="0"/>
      <w:divBdr>
        <w:top w:val="none" w:sz="0" w:space="0" w:color="auto"/>
        <w:left w:val="none" w:sz="0" w:space="0" w:color="auto"/>
        <w:bottom w:val="none" w:sz="0" w:space="0" w:color="auto"/>
        <w:right w:val="none" w:sz="0" w:space="0" w:color="auto"/>
      </w:divBdr>
    </w:div>
    <w:div w:id="117991072">
      <w:bodyDiv w:val="1"/>
      <w:marLeft w:val="0"/>
      <w:marRight w:val="0"/>
      <w:marTop w:val="0"/>
      <w:marBottom w:val="0"/>
      <w:divBdr>
        <w:top w:val="none" w:sz="0" w:space="0" w:color="auto"/>
        <w:left w:val="none" w:sz="0" w:space="0" w:color="auto"/>
        <w:bottom w:val="none" w:sz="0" w:space="0" w:color="auto"/>
        <w:right w:val="none" w:sz="0" w:space="0" w:color="auto"/>
      </w:divBdr>
    </w:div>
    <w:div w:id="117992082">
      <w:bodyDiv w:val="1"/>
      <w:marLeft w:val="0"/>
      <w:marRight w:val="0"/>
      <w:marTop w:val="0"/>
      <w:marBottom w:val="0"/>
      <w:divBdr>
        <w:top w:val="none" w:sz="0" w:space="0" w:color="auto"/>
        <w:left w:val="none" w:sz="0" w:space="0" w:color="auto"/>
        <w:bottom w:val="none" w:sz="0" w:space="0" w:color="auto"/>
        <w:right w:val="none" w:sz="0" w:space="0" w:color="auto"/>
      </w:divBdr>
    </w:div>
    <w:div w:id="117993634">
      <w:bodyDiv w:val="1"/>
      <w:marLeft w:val="0"/>
      <w:marRight w:val="0"/>
      <w:marTop w:val="0"/>
      <w:marBottom w:val="0"/>
      <w:divBdr>
        <w:top w:val="none" w:sz="0" w:space="0" w:color="auto"/>
        <w:left w:val="none" w:sz="0" w:space="0" w:color="auto"/>
        <w:bottom w:val="none" w:sz="0" w:space="0" w:color="auto"/>
        <w:right w:val="none" w:sz="0" w:space="0" w:color="auto"/>
      </w:divBdr>
    </w:div>
    <w:div w:id="118109116">
      <w:bodyDiv w:val="1"/>
      <w:marLeft w:val="0"/>
      <w:marRight w:val="0"/>
      <w:marTop w:val="0"/>
      <w:marBottom w:val="0"/>
      <w:divBdr>
        <w:top w:val="none" w:sz="0" w:space="0" w:color="auto"/>
        <w:left w:val="none" w:sz="0" w:space="0" w:color="auto"/>
        <w:bottom w:val="none" w:sz="0" w:space="0" w:color="auto"/>
        <w:right w:val="none" w:sz="0" w:space="0" w:color="auto"/>
      </w:divBdr>
    </w:div>
    <w:div w:id="118189079">
      <w:bodyDiv w:val="1"/>
      <w:marLeft w:val="0"/>
      <w:marRight w:val="0"/>
      <w:marTop w:val="0"/>
      <w:marBottom w:val="0"/>
      <w:divBdr>
        <w:top w:val="none" w:sz="0" w:space="0" w:color="auto"/>
        <w:left w:val="none" w:sz="0" w:space="0" w:color="auto"/>
        <w:bottom w:val="none" w:sz="0" w:space="0" w:color="auto"/>
        <w:right w:val="none" w:sz="0" w:space="0" w:color="auto"/>
      </w:divBdr>
    </w:div>
    <w:div w:id="118378200">
      <w:bodyDiv w:val="1"/>
      <w:marLeft w:val="0"/>
      <w:marRight w:val="0"/>
      <w:marTop w:val="0"/>
      <w:marBottom w:val="0"/>
      <w:divBdr>
        <w:top w:val="none" w:sz="0" w:space="0" w:color="auto"/>
        <w:left w:val="none" w:sz="0" w:space="0" w:color="auto"/>
        <w:bottom w:val="none" w:sz="0" w:space="0" w:color="auto"/>
        <w:right w:val="none" w:sz="0" w:space="0" w:color="auto"/>
      </w:divBdr>
    </w:div>
    <w:div w:id="118494804">
      <w:bodyDiv w:val="1"/>
      <w:marLeft w:val="0"/>
      <w:marRight w:val="0"/>
      <w:marTop w:val="0"/>
      <w:marBottom w:val="0"/>
      <w:divBdr>
        <w:top w:val="none" w:sz="0" w:space="0" w:color="auto"/>
        <w:left w:val="none" w:sz="0" w:space="0" w:color="auto"/>
        <w:bottom w:val="none" w:sz="0" w:space="0" w:color="auto"/>
        <w:right w:val="none" w:sz="0" w:space="0" w:color="auto"/>
      </w:divBdr>
    </w:div>
    <w:div w:id="118502082">
      <w:bodyDiv w:val="1"/>
      <w:marLeft w:val="0"/>
      <w:marRight w:val="0"/>
      <w:marTop w:val="0"/>
      <w:marBottom w:val="0"/>
      <w:divBdr>
        <w:top w:val="none" w:sz="0" w:space="0" w:color="auto"/>
        <w:left w:val="none" w:sz="0" w:space="0" w:color="auto"/>
        <w:bottom w:val="none" w:sz="0" w:space="0" w:color="auto"/>
        <w:right w:val="none" w:sz="0" w:space="0" w:color="auto"/>
      </w:divBdr>
    </w:div>
    <w:div w:id="118620301">
      <w:bodyDiv w:val="1"/>
      <w:marLeft w:val="0"/>
      <w:marRight w:val="0"/>
      <w:marTop w:val="0"/>
      <w:marBottom w:val="0"/>
      <w:divBdr>
        <w:top w:val="none" w:sz="0" w:space="0" w:color="auto"/>
        <w:left w:val="none" w:sz="0" w:space="0" w:color="auto"/>
        <w:bottom w:val="none" w:sz="0" w:space="0" w:color="auto"/>
        <w:right w:val="none" w:sz="0" w:space="0" w:color="auto"/>
      </w:divBdr>
    </w:div>
    <w:div w:id="118648471">
      <w:bodyDiv w:val="1"/>
      <w:marLeft w:val="0"/>
      <w:marRight w:val="0"/>
      <w:marTop w:val="0"/>
      <w:marBottom w:val="0"/>
      <w:divBdr>
        <w:top w:val="none" w:sz="0" w:space="0" w:color="auto"/>
        <w:left w:val="none" w:sz="0" w:space="0" w:color="auto"/>
        <w:bottom w:val="none" w:sz="0" w:space="0" w:color="auto"/>
        <w:right w:val="none" w:sz="0" w:space="0" w:color="auto"/>
      </w:divBdr>
    </w:div>
    <w:div w:id="118652121">
      <w:bodyDiv w:val="1"/>
      <w:marLeft w:val="0"/>
      <w:marRight w:val="0"/>
      <w:marTop w:val="0"/>
      <w:marBottom w:val="0"/>
      <w:divBdr>
        <w:top w:val="none" w:sz="0" w:space="0" w:color="auto"/>
        <w:left w:val="none" w:sz="0" w:space="0" w:color="auto"/>
        <w:bottom w:val="none" w:sz="0" w:space="0" w:color="auto"/>
        <w:right w:val="none" w:sz="0" w:space="0" w:color="auto"/>
      </w:divBdr>
    </w:div>
    <w:div w:id="118914349">
      <w:bodyDiv w:val="1"/>
      <w:marLeft w:val="0"/>
      <w:marRight w:val="0"/>
      <w:marTop w:val="0"/>
      <w:marBottom w:val="0"/>
      <w:divBdr>
        <w:top w:val="none" w:sz="0" w:space="0" w:color="auto"/>
        <w:left w:val="none" w:sz="0" w:space="0" w:color="auto"/>
        <w:bottom w:val="none" w:sz="0" w:space="0" w:color="auto"/>
        <w:right w:val="none" w:sz="0" w:space="0" w:color="auto"/>
      </w:divBdr>
    </w:div>
    <w:div w:id="119030614">
      <w:bodyDiv w:val="1"/>
      <w:marLeft w:val="0"/>
      <w:marRight w:val="0"/>
      <w:marTop w:val="0"/>
      <w:marBottom w:val="0"/>
      <w:divBdr>
        <w:top w:val="none" w:sz="0" w:space="0" w:color="auto"/>
        <w:left w:val="none" w:sz="0" w:space="0" w:color="auto"/>
        <w:bottom w:val="none" w:sz="0" w:space="0" w:color="auto"/>
        <w:right w:val="none" w:sz="0" w:space="0" w:color="auto"/>
      </w:divBdr>
    </w:div>
    <w:div w:id="119157600">
      <w:bodyDiv w:val="1"/>
      <w:marLeft w:val="0"/>
      <w:marRight w:val="0"/>
      <w:marTop w:val="0"/>
      <w:marBottom w:val="0"/>
      <w:divBdr>
        <w:top w:val="none" w:sz="0" w:space="0" w:color="auto"/>
        <w:left w:val="none" w:sz="0" w:space="0" w:color="auto"/>
        <w:bottom w:val="none" w:sz="0" w:space="0" w:color="auto"/>
        <w:right w:val="none" w:sz="0" w:space="0" w:color="auto"/>
      </w:divBdr>
    </w:div>
    <w:div w:id="119157737">
      <w:bodyDiv w:val="1"/>
      <w:marLeft w:val="0"/>
      <w:marRight w:val="0"/>
      <w:marTop w:val="0"/>
      <w:marBottom w:val="0"/>
      <w:divBdr>
        <w:top w:val="none" w:sz="0" w:space="0" w:color="auto"/>
        <w:left w:val="none" w:sz="0" w:space="0" w:color="auto"/>
        <w:bottom w:val="none" w:sz="0" w:space="0" w:color="auto"/>
        <w:right w:val="none" w:sz="0" w:space="0" w:color="auto"/>
      </w:divBdr>
    </w:div>
    <w:div w:id="119226030">
      <w:bodyDiv w:val="1"/>
      <w:marLeft w:val="0"/>
      <w:marRight w:val="0"/>
      <w:marTop w:val="0"/>
      <w:marBottom w:val="0"/>
      <w:divBdr>
        <w:top w:val="none" w:sz="0" w:space="0" w:color="auto"/>
        <w:left w:val="none" w:sz="0" w:space="0" w:color="auto"/>
        <w:bottom w:val="none" w:sz="0" w:space="0" w:color="auto"/>
        <w:right w:val="none" w:sz="0" w:space="0" w:color="auto"/>
      </w:divBdr>
    </w:div>
    <w:div w:id="119300605">
      <w:bodyDiv w:val="1"/>
      <w:marLeft w:val="0"/>
      <w:marRight w:val="0"/>
      <w:marTop w:val="0"/>
      <w:marBottom w:val="0"/>
      <w:divBdr>
        <w:top w:val="none" w:sz="0" w:space="0" w:color="auto"/>
        <w:left w:val="none" w:sz="0" w:space="0" w:color="auto"/>
        <w:bottom w:val="none" w:sz="0" w:space="0" w:color="auto"/>
        <w:right w:val="none" w:sz="0" w:space="0" w:color="auto"/>
      </w:divBdr>
    </w:div>
    <w:div w:id="119301796">
      <w:bodyDiv w:val="1"/>
      <w:marLeft w:val="0"/>
      <w:marRight w:val="0"/>
      <w:marTop w:val="0"/>
      <w:marBottom w:val="0"/>
      <w:divBdr>
        <w:top w:val="none" w:sz="0" w:space="0" w:color="auto"/>
        <w:left w:val="none" w:sz="0" w:space="0" w:color="auto"/>
        <w:bottom w:val="none" w:sz="0" w:space="0" w:color="auto"/>
        <w:right w:val="none" w:sz="0" w:space="0" w:color="auto"/>
      </w:divBdr>
    </w:div>
    <w:div w:id="119303824">
      <w:bodyDiv w:val="1"/>
      <w:marLeft w:val="0"/>
      <w:marRight w:val="0"/>
      <w:marTop w:val="0"/>
      <w:marBottom w:val="0"/>
      <w:divBdr>
        <w:top w:val="none" w:sz="0" w:space="0" w:color="auto"/>
        <w:left w:val="none" w:sz="0" w:space="0" w:color="auto"/>
        <w:bottom w:val="none" w:sz="0" w:space="0" w:color="auto"/>
        <w:right w:val="none" w:sz="0" w:space="0" w:color="auto"/>
      </w:divBdr>
    </w:div>
    <w:div w:id="119416914">
      <w:bodyDiv w:val="1"/>
      <w:marLeft w:val="0"/>
      <w:marRight w:val="0"/>
      <w:marTop w:val="0"/>
      <w:marBottom w:val="0"/>
      <w:divBdr>
        <w:top w:val="none" w:sz="0" w:space="0" w:color="auto"/>
        <w:left w:val="none" w:sz="0" w:space="0" w:color="auto"/>
        <w:bottom w:val="none" w:sz="0" w:space="0" w:color="auto"/>
        <w:right w:val="none" w:sz="0" w:space="0" w:color="auto"/>
      </w:divBdr>
    </w:div>
    <w:div w:id="119419977">
      <w:bodyDiv w:val="1"/>
      <w:marLeft w:val="0"/>
      <w:marRight w:val="0"/>
      <w:marTop w:val="0"/>
      <w:marBottom w:val="0"/>
      <w:divBdr>
        <w:top w:val="none" w:sz="0" w:space="0" w:color="auto"/>
        <w:left w:val="none" w:sz="0" w:space="0" w:color="auto"/>
        <w:bottom w:val="none" w:sz="0" w:space="0" w:color="auto"/>
        <w:right w:val="none" w:sz="0" w:space="0" w:color="auto"/>
      </w:divBdr>
    </w:div>
    <w:div w:id="119422325">
      <w:bodyDiv w:val="1"/>
      <w:marLeft w:val="0"/>
      <w:marRight w:val="0"/>
      <w:marTop w:val="0"/>
      <w:marBottom w:val="0"/>
      <w:divBdr>
        <w:top w:val="none" w:sz="0" w:space="0" w:color="auto"/>
        <w:left w:val="none" w:sz="0" w:space="0" w:color="auto"/>
        <w:bottom w:val="none" w:sz="0" w:space="0" w:color="auto"/>
        <w:right w:val="none" w:sz="0" w:space="0" w:color="auto"/>
      </w:divBdr>
    </w:div>
    <w:div w:id="119494100">
      <w:bodyDiv w:val="1"/>
      <w:marLeft w:val="0"/>
      <w:marRight w:val="0"/>
      <w:marTop w:val="0"/>
      <w:marBottom w:val="0"/>
      <w:divBdr>
        <w:top w:val="none" w:sz="0" w:space="0" w:color="auto"/>
        <w:left w:val="none" w:sz="0" w:space="0" w:color="auto"/>
        <w:bottom w:val="none" w:sz="0" w:space="0" w:color="auto"/>
        <w:right w:val="none" w:sz="0" w:space="0" w:color="auto"/>
      </w:divBdr>
    </w:div>
    <w:div w:id="119498421">
      <w:bodyDiv w:val="1"/>
      <w:marLeft w:val="0"/>
      <w:marRight w:val="0"/>
      <w:marTop w:val="0"/>
      <w:marBottom w:val="0"/>
      <w:divBdr>
        <w:top w:val="none" w:sz="0" w:space="0" w:color="auto"/>
        <w:left w:val="none" w:sz="0" w:space="0" w:color="auto"/>
        <w:bottom w:val="none" w:sz="0" w:space="0" w:color="auto"/>
        <w:right w:val="none" w:sz="0" w:space="0" w:color="auto"/>
      </w:divBdr>
    </w:div>
    <w:div w:id="119501478">
      <w:bodyDiv w:val="1"/>
      <w:marLeft w:val="0"/>
      <w:marRight w:val="0"/>
      <w:marTop w:val="0"/>
      <w:marBottom w:val="0"/>
      <w:divBdr>
        <w:top w:val="none" w:sz="0" w:space="0" w:color="auto"/>
        <w:left w:val="none" w:sz="0" w:space="0" w:color="auto"/>
        <w:bottom w:val="none" w:sz="0" w:space="0" w:color="auto"/>
        <w:right w:val="none" w:sz="0" w:space="0" w:color="auto"/>
      </w:divBdr>
    </w:div>
    <w:div w:id="119567752">
      <w:bodyDiv w:val="1"/>
      <w:marLeft w:val="0"/>
      <w:marRight w:val="0"/>
      <w:marTop w:val="0"/>
      <w:marBottom w:val="0"/>
      <w:divBdr>
        <w:top w:val="none" w:sz="0" w:space="0" w:color="auto"/>
        <w:left w:val="none" w:sz="0" w:space="0" w:color="auto"/>
        <w:bottom w:val="none" w:sz="0" w:space="0" w:color="auto"/>
        <w:right w:val="none" w:sz="0" w:space="0" w:color="auto"/>
      </w:divBdr>
    </w:div>
    <w:div w:id="119958678">
      <w:bodyDiv w:val="1"/>
      <w:marLeft w:val="0"/>
      <w:marRight w:val="0"/>
      <w:marTop w:val="0"/>
      <w:marBottom w:val="0"/>
      <w:divBdr>
        <w:top w:val="none" w:sz="0" w:space="0" w:color="auto"/>
        <w:left w:val="none" w:sz="0" w:space="0" w:color="auto"/>
        <w:bottom w:val="none" w:sz="0" w:space="0" w:color="auto"/>
        <w:right w:val="none" w:sz="0" w:space="0" w:color="auto"/>
      </w:divBdr>
    </w:div>
    <w:div w:id="119961003">
      <w:bodyDiv w:val="1"/>
      <w:marLeft w:val="0"/>
      <w:marRight w:val="0"/>
      <w:marTop w:val="0"/>
      <w:marBottom w:val="0"/>
      <w:divBdr>
        <w:top w:val="none" w:sz="0" w:space="0" w:color="auto"/>
        <w:left w:val="none" w:sz="0" w:space="0" w:color="auto"/>
        <w:bottom w:val="none" w:sz="0" w:space="0" w:color="auto"/>
        <w:right w:val="none" w:sz="0" w:space="0" w:color="auto"/>
      </w:divBdr>
    </w:div>
    <w:div w:id="120002844">
      <w:bodyDiv w:val="1"/>
      <w:marLeft w:val="0"/>
      <w:marRight w:val="0"/>
      <w:marTop w:val="0"/>
      <w:marBottom w:val="0"/>
      <w:divBdr>
        <w:top w:val="none" w:sz="0" w:space="0" w:color="auto"/>
        <w:left w:val="none" w:sz="0" w:space="0" w:color="auto"/>
        <w:bottom w:val="none" w:sz="0" w:space="0" w:color="auto"/>
        <w:right w:val="none" w:sz="0" w:space="0" w:color="auto"/>
      </w:divBdr>
    </w:div>
    <w:div w:id="120149734">
      <w:bodyDiv w:val="1"/>
      <w:marLeft w:val="0"/>
      <w:marRight w:val="0"/>
      <w:marTop w:val="0"/>
      <w:marBottom w:val="0"/>
      <w:divBdr>
        <w:top w:val="none" w:sz="0" w:space="0" w:color="auto"/>
        <w:left w:val="none" w:sz="0" w:space="0" w:color="auto"/>
        <w:bottom w:val="none" w:sz="0" w:space="0" w:color="auto"/>
        <w:right w:val="none" w:sz="0" w:space="0" w:color="auto"/>
      </w:divBdr>
    </w:div>
    <w:div w:id="120151649">
      <w:bodyDiv w:val="1"/>
      <w:marLeft w:val="0"/>
      <w:marRight w:val="0"/>
      <w:marTop w:val="0"/>
      <w:marBottom w:val="0"/>
      <w:divBdr>
        <w:top w:val="none" w:sz="0" w:space="0" w:color="auto"/>
        <w:left w:val="none" w:sz="0" w:space="0" w:color="auto"/>
        <w:bottom w:val="none" w:sz="0" w:space="0" w:color="auto"/>
        <w:right w:val="none" w:sz="0" w:space="0" w:color="auto"/>
      </w:divBdr>
    </w:div>
    <w:div w:id="120151724">
      <w:bodyDiv w:val="1"/>
      <w:marLeft w:val="0"/>
      <w:marRight w:val="0"/>
      <w:marTop w:val="0"/>
      <w:marBottom w:val="0"/>
      <w:divBdr>
        <w:top w:val="none" w:sz="0" w:space="0" w:color="auto"/>
        <w:left w:val="none" w:sz="0" w:space="0" w:color="auto"/>
        <w:bottom w:val="none" w:sz="0" w:space="0" w:color="auto"/>
        <w:right w:val="none" w:sz="0" w:space="0" w:color="auto"/>
      </w:divBdr>
    </w:div>
    <w:div w:id="120340669">
      <w:bodyDiv w:val="1"/>
      <w:marLeft w:val="0"/>
      <w:marRight w:val="0"/>
      <w:marTop w:val="0"/>
      <w:marBottom w:val="0"/>
      <w:divBdr>
        <w:top w:val="none" w:sz="0" w:space="0" w:color="auto"/>
        <w:left w:val="none" w:sz="0" w:space="0" w:color="auto"/>
        <w:bottom w:val="none" w:sz="0" w:space="0" w:color="auto"/>
        <w:right w:val="none" w:sz="0" w:space="0" w:color="auto"/>
      </w:divBdr>
    </w:div>
    <w:div w:id="120349745">
      <w:bodyDiv w:val="1"/>
      <w:marLeft w:val="0"/>
      <w:marRight w:val="0"/>
      <w:marTop w:val="0"/>
      <w:marBottom w:val="0"/>
      <w:divBdr>
        <w:top w:val="none" w:sz="0" w:space="0" w:color="auto"/>
        <w:left w:val="none" w:sz="0" w:space="0" w:color="auto"/>
        <w:bottom w:val="none" w:sz="0" w:space="0" w:color="auto"/>
        <w:right w:val="none" w:sz="0" w:space="0" w:color="auto"/>
      </w:divBdr>
    </w:div>
    <w:div w:id="120540814">
      <w:bodyDiv w:val="1"/>
      <w:marLeft w:val="0"/>
      <w:marRight w:val="0"/>
      <w:marTop w:val="0"/>
      <w:marBottom w:val="0"/>
      <w:divBdr>
        <w:top w:val="none" w:sz="0" w:space="0" w:color="auto"/>
        <w:left w:val="none" w:sz="0" w:space="0" w:color="auto"/>
        <w:bottom w:val="none" w:sz="0" w:space="0" w:color="auto"/>
        <w:right w:val="none" w:sz="0" w:space="0" w:color="auto"/>
      </w:divBdr>
    </w:div>
    <w:div w:id="120728214">
      <w:bodyDiv w:val="1"/>
      <w:marLeft w:val="0"/>
      <w:marRight w:val="0"/>
      <w:marTop w:val="0"/>
      <w:marBottom w:val="0"/>
      <w:divBdr>
        <w:top w:val="none" w:sz="0" w:space="0" w:color="auto"/>
        <w:left w:val="none" w:sz="0" w:space="0" w:color="auto"/>
        <w:bottom w:val="none" w:sz="0" w:space="0" w:color="auto"/>
        <w:right w:val="none" w:sz="0" w:space="0" w:color="auto"/>
      </w:divBdr>
    </w:div>
    <w:div w:id="120736536">
      <w:bodyDiv w:val="1"/>
      <w:marLeft w:val="0"/>
      <w:marRight w:val="0"/>
      <w:marTop w:val="0"/>
      <w:marBottom w:val="0"/>
      <w:divBdr>
        <w:top w:val="none" w:sz="0" w:space="0" w:color="auto"/>
        <w:left w:val="none" w:sz="0" w:space="0" w:color="auto"/>
        <w:bottom w:val="none" w:sz="0" w:space="0" w:color="auto"/>
        <w:right w:val="none" w:sz="0" w:space="0" w:color="auto"/>
      </w:divBdr>
    </w:div>
    <w:div w:id="120804118">
      <w:bodyDiv w:val="1"/>
      <w:marLeft w:val="0"/>
      <w:marRight w:val="0"/>
      <w:marTop w:val="0"/>
      <w:marBottom w:val="0"/>
      <w:divBdr>
        <w:top w:val="none" w:sz="0" w:space="0" w:color="auto"/>
        <w:left w:val="none" w:sz="0" w:space="0" w:color="auto"/>
        <w:bottom w:val="none" w:sz="0" w:space="0" w:color="auto"/>
        <w:right w:val="none" w:sz="0" w:space="0" w:color="auto"/>
      </w:divBdr>
    </w:div>
    <w:div w:id="120806439">
      <w:bodyDiv w:val="1"/>
      <w:marLeft w:val="0"/>
      <w:marRight w:val="0"/>
      <w:marTop w:val="0"/>
      <w:marBottom w:val="0"/>
      <w:divBdr>
        <w:top w:val="none" w:sz="0" w:space="0" w:color="auto"/>
        <w:left w:val="none" w:sz="0" w:space="0" w:color="auto"/>
        <w:bottom w:val="none" w:sz="0" w:space="0" w:color="auto"/>
        <w:right w:val="none" w:sz="0" w:space="0" w:color="auto"/>
      </w:divBdr>
    </w:div>
    <w:div w:id="121002713">
      <w:bodyDiv w:val="1"/>
      <w:marLeft w:val="0"/>
      <w:marRight w:val="0"/>
      <w:marTop w:val="0"/>
      <w:marBottom w:val="0"/>
      <w:divBdr>
        <w:top w:val="none" w:sz="0" w:space="0" w:color="auto"/>
        <w:left w:val="none" w:sz="0" w:space="0" w:color="auto"/>
        <w:bottom w:val="none" w:sz="0" w:space="0" w:color="auto"/>
        <w:right w:val="none" w:sz="0" w:space="0" w:color="auto"/>
      </w:divBdr>
    </w:div>
    <w:div w:id="121075706">
      <w:bodyDiv w:val="1"/>
      <w:marLeft w:val="0"/>
      <w:marRight w:val="0"/>
      <w:marTop w:val="0"/>
      <w:marBottom w:val="0"/>
      <w:divBdr>
        <w:top w:val="none" w:sz="0" w:space="0" w:color="auto"/>
        <w:left w:val="none" w:sz="0" w:space="0" w:color="auto"/>
        <w:bottom w:val="none" w:sz="0" w:space="0" w:color="auto"/>
        <w:right w:val="none" w:sz="0" w:space="0" w:color="auto"/>
      </w:divBdr>
    </w:div>
    <w:div w:id="121118795">
      <w:bodyDiv w:val="1"/>
      <w:marLeft w:val="0"/>
      <w:marRight w:val="0"/>
      <w:marTop w:val="0"/>
      <w:marBottom w:val="0"/>
      <w:divBdr>
        <w:top w:val="none" w:sz="0" w:space="0" w:color="auto"/>
        <w:left w:val="none" w:sz="0" w:space="0" w:color="auto"/>
        <w:bottom w:val="none" w:sz="0" w:space="0" w:color="auto"/>
        <w:right w:val="none" w:sz="0" w:space="0" w:color="auto"/>
      </w:divBdr>
    </w:div>
    <w:div w:id="121189364">
      <w:bodyDiv w:val="1"/>
      <w:marLeft w:val="0"/>
      <w:marRight w:val="0"/>
      <w:marTop w:val="0"/>
      <w:marBottom w:val="0"/>
      <w:divBdr>
        <w:top w:val="none" w:sz="0" w:space="0" w:color="auto"/>
        <w:left w:val="none" w:sz="0" w:space="0" w:color="auto"/>
        <w:bottom w:val="none" w:sz="0" w:space="0" w:color="auto"/>
        <w:right w:val="none" w:sz="0" w:space="0" w:color="auto"/>
      </w:divBdr>
    </w:div>
    <w:div w:id="121193615">
      <w:bodyDiv w:val="1"/>
      <w:marLeft w:val="0"/>
      <w:marRight w:val="0"/>
      <w:marTop w:val="0"/>
      <w:marBottom w:val="0"/>
      <w:divBdr>
        <w:top w:val="none" w:sz="0" w:space="0" w:color="auto"/>
        <w:left w:val="none" w:sz="0" w:space="0" w:color="auto"/>
        <w:bottom w:val="none" w:sz="0" w:space="0" w:color="auto"/>
        <w:right w:val="none" w:sz="0" w:space="0" w:color="auto"/>
      </w:divBdr>
    </w:div>
    <w:div w:id="121266654">
      <w:bodyDiv w:val="1"/>
      <w:marLeft w:val="0"/>
      <w:marRight w:val="0"/>
      <w:marTop w:val="0"/>
      <w:marBottom w:val="0"/>
      <w:divBdr>
        <w:top w:val="none" w:sz="0" w:space="0" w:color="auto"/>
        <w:left w:val="none" w:sz="0" w:space="0" w:color="auto"/>
        <w:bottom w:val="none" w:sz="0" w:space="0" w:color="auto"/>
        <w:right w:val="none" w:sz="0" w:space="0" w:color="auto"/>
      </w:divBdr>
    </w:div>
    <w:div w:id="121312790">
      <w:bodyDiv w:val="1"/>
      <w:marLeft w:val="0"/>
      <w:marRight w:val="0"/>
      <w:marTop w:val="0"/>
      <w:marBottom w:val="0"/>
      <w:divBdr>
        <w:top w:val="none" w:sz="0" w:space="0" w:color="auto"/>
        <w:left w:val="none" w:sz="0" w:space="0" w:color="auto"/>
        <w:bottom w:val="none" w:sz="0" w:space="0" w:color="auto"/>
        <w:right w:val="none" w:sz="0" w:space="0" w:color="auto"/>
      </w:divBdr>
    </w:div>
    <w:div w:id="121313475">
      <w:bodyDiv w:val="1"/>
      <w:marLeft w:val="0"/>
      <w:marRight w:val="0"/>
      <w:marTop w:val="0"/>
      <w:marBottom w:val="0"/>
      <w:divBdr>
        <w:top w:val="none" w:sz="0" w:space="0" w:color="auto"/>
        <w:left w:val="none" w:sz="0" w:space="0" w:color="auto"/>
        <w:bottom w:val="none" w:sz="0" w:space="0" w:color="auto"/>
        <w:right w:val="none" w:sz="0" w:space="0" w:color="auto"/>
      </w:divBdr>
    </w:div>
    <w:div w:id="121385177">
      <w:bodyDiv w:val="1"/>
      <w:marLeft w:val="0"/>
      <w:marRight w:val="0"/>
      <w:marTop w:val="0"/>
      <w:marBottom w:val="0"/>
      <w:divBdr>
        <w:top w:val="none" w:sz="0" w:space="0" w:color="auto"/>
        <w:left w:val="none" w:sz="0" w:space="0" w:color="auto"/>
        <w:bottom w:val="none" w:sz="0" w:space="0" w:color="auto"/>
        <w:right w:val="none" w:sz="0" w:space="0" w:color="auto"/>
      </w:divBdr>
    </w:div>
    <w:div w:id="121389194">
      <w:bodyDiv w:val="1"/>
      <w:marLeft w:val="0"/>
      <w:marRight w:val="0"/>
      <w:marTop w:val="0"/>
      <w:marBottom w:val="0"/>
      <w:divBdr>
        <w:top w:val="none" w:sz="0" w:space="0" w:color="auto"/>
        <w:left w:val="none" w:sz="0" w:space="0" w:color="auto"/>
        <w:bottom w:val="none" w:sz="0" w:space="0" w:color="auto"/>
        <w:right w:val="none" w:sz="0" w:space="0" w:color="auto"/>
      </w:divBdr>
    </w:div>
    <w:div w:id="121389466">
      <w:bodyDiv w:val="1"/>
      <w:marLeft w:val="0"/>
      <w:marRight w:val="0"/>
      <w:marTop w:val="0"/>
      <w:marBottom w:val="0"/>
      <w:divBdr>
        <w:top w:val="none" w:sz="0" w:space="0" w:color="auto"/>
        <w:left w:val="none" w:sz="0" w:space="0" w:color="auto"/>
        <w:bottom w:val="none" w:sz="0" w:space="0" w:color="auto"/>
        <w:right w:val="none" w:sz="0" w:space="0" w:color="auto"/>
      </w:divBdr>
    </w:div>
    <w:div w:id="121458546">
      <w:bodyDiv w:val="1"/>
      <w:marLeft w:val="0"/>
      <w:marRight w:val="0"/>
      <w:marTop w:val="0"/>
      <w:marBottom w:val="0"/>
      <w:divBdr>
        <w:top w:val="none" w:sz="0" w:space="0" w:color="auto"/>
        <w:left w:val="none" w:sz="0" w:space="0" w:color="auto"/>
        <w:bottom w:val="none" w:sz="0" w:space="0" w:color="auto"/>
        <w:right w:val="none" w:sz="0" w:space="0" w:color="auto"/>
      </w:divBdr>
    </w:div>
    <w:div w:id="121533397">
      <w:bodyDiv w:val="1"/>
      <w:marLeft w:val="0"/>
      <w:marRight w:val="0"/>
      <w:marTop w:val="0"/>
      <w:marBottom w:val="0"/>
      <w:divBdr>
        <w:top w:val="none" w:sz="0" w:space="0" w:color="auto"/>
        <w:left w:val="none" w:sz="0" w:space="0" w:color="auto"/>
        <w:bottom w:val="none" w:sz="0" w:space="0" w:color="auto"/>
        <w:right w:val="none" w:sz="0" w:space="0" w:color="auto"/>
      </w:divBdr>
    </w:div>
    <w:div w:id="121728722">
      <w:bodyDiv w:val="1"/>
      <w:marLeft w:val="0"/>
      <w:marRight w:val="0"/>
      <w:marTop w:val="0"/>
      <w:marBottom w:val="0"/>
      <w:divBdr>
        <w:top w:val="none" w:sz="0" w:space="0" w:color="auto"/>
        <w:left w:val="none" w:sz="0" w:space="0" w:color="auto"/>
        <w:bottom w:val="none" w:sz="0" w:space="0" w:color="auto"/>
        <w:right w:val="none" w:sz="0" w:space="0" w:color="auto"/>
      </w:divBdr>
    </w:div>
    <w:div w:id="121771797">
      <w:bodyDiv w:val="1"/>
      <w:marLeft w:val="0"/>
      <w:marRight w:val="0"/>
      <w:marTop w:val="0"/>
      <w:marBottom w:val="0"/>
      <w:divBdr>
        <w:top w:val="none" w:sz="0" w:space="0" w:color="auto"/>
        <w:left w:val="none" w:sz="0" w:space="0" w:color="auto"/>
        <w:bottom w:val="none" w:sz="0" w:space="0" w:color="auto"/>
        <w:right w:val="none" w:sz="0" w:space="0" w:color="auto"/>
      </w:divBdr>
    </w:div>
    <w:div w:id="121776009">
      <w:bodyDiv w:val="1"/>
      <w:marLeft w:val="0"/>
      <w:marRight w:val="0"/>
      <w:marTop w:val="0"/>
      <w:marBottom w:val="0"/>
      <w:divBdr>
        <w:top w:val="none" w:sz="0" w:space="0" w:color="auto"/>
        <w:left w:val="none" w:sz="0" w:space="0" w:color="auto"/>
        <w:bottom w:val="none" w:sz="0" w:space="0" w:color="auto"/>
        <w:right w:val="none" w:sz="0" w:space="0" w:color="auto"/>
      </w:divBdr>
    </w:div>
    <w:div w:id="121777386">
      <w:bodyDiv w:val="1"/>
      <w:marLeft w:val="0"/>
      <w:marRight w:val="0"/>
      <w:marTop w:val="0"/>
      <w:marBottom w:val="0"/>
      <w:divBdr>
        <w:top w:val="none" w:sz="0" w:space="0" w:color="auto"/>
        <w:left w:val="none" w:sz="0" w:space="0" w:color="auto"/>
        <w:bottom w:val="none" w:sz="0" w:space="0" w:color="auto"/>
        <w:right w:val="none" w:sz="0" w:space="0" w:color="auto"/>
      </w:divBdr>
    </w:div>
    <w:div w:id="121846177">
      <w:bodyDiv w:val="1"/>
      <w:marLeft w:val="0"/>
      <w:marRight w:val="0"/>
      <w:marTop w:val="0"/>
      <w:marBottom w:val="0"/>
      <w:divBdr>
        <w:top w:val="none" w:sz="0" w:space="0" w:color="auto"/>
        <w:left w:val="none" w:sz="0" w:space="0" w:color="auto"/>
        <w:bottom w:val="none" w:sz="0" w:space="0" w:color="auto"/>
        <w:right w:val="none" w:sz="0" w:space="0" w:color="auto"/>
      </w:divBdr>
    </w:div>
    <w:div w:id="121846678">
      <w:bodyDiv w:val="1"/>
      <w:marLeft w:val="0"/>
      <w:marRight w:val="0"/>
      <w:marTop w:val="0"/>
      <w:marBottom w:val="0"/>
      <w:divBdr>
        <w:top w:val="none" w:sz="0" w:space="0" w:color="auto"/>
        <w:left w:val="none" w:sz="0" w:space="0" w:color="auto"/>
        <w:bottom w:val="none" w:sz="0" w:space="0" w:color="auto"/>
        <w:right w:val="none" w:sz="0" w:space="0" w:color="auto"/>
      </w:divBdr>
    </w:div>
    <w:div w:id="122039648">
      <w:bodyDiv w:val="1"/>
      <w:marLeft w:val="0"/>
      <w:marRight w:val="0"/>
      <w:marTop w:val="0"/>
      <w:marBottom w:val="0"/>
      <w:divBdr>
        <w:top w:val="none" w:sz="0" w:space="0" w:color="auto"/>
        <w:left w:val="none" w:sz="0" w:space="0" w:color="auto"/>
        <w:bottom w:val="none" w:sz="0" w:space="0" w:color="auto"/>
        <w:right w:val="none" w:sz="0" w:space="0" w:color="auto"/>
      </w:divBdr>
    </w:div>
    <w:div w:id="122043653">
      <w:bodyDiv w:val="1"/>
      <w:marLeft w:val="0"/>
      <w:marRight w:val="0"/>
      <w:marTop w:val="0"/>
      <w:marBottom w:val="0"/>
      <w:divBdr>
        <w:top w:val="none" w:sz="0" w:space="0" w:color="auto"/>
        <w:left w:val="none" w:sz="0" w:space="0" w:color="auto"/>
        <w:bottom w:val="none" w:sz="0" w:space="0" w:color="auto"/>
        <w:right w:val="none" w:sz="0" w:space="0" w:color="auto"/>
      </w:divBdr>
    </w:div>
    <w:div w:id="122045859">
      <w:bodyDiv w:val="1"/>
      <w:marLeft w:val="0"/>
      <w:marRight w:val="0"/>
      <w:marTop w:val="0"/>
      <w:marBottom w:val="0"/>
      <w:divBdr>
        <w:top w:val="none" w:sz="0" w:space="0" w:color="auto"/>
        <w:left w:val="none" w:sz="0" w:space="0" w:color="auto"/>
        <w:bottom w:val="none" w:sz="0" w:space="0" w:color="auto"/>
        <w:right w:val="none" w:sz="0" w:space="0" w:color="auto"/>
      </w:divBdr>
    </w:div>
    <w:div w:id="122235945">
      <w:bodyDiv w:val="1"/>
      <w:marLeft w:val="0"/>
      <w:marRight w:val="0"/>
      <w:marTop w:val="0"/>
      <w:marBottom w:val="0"/>
      <w:divBdr>
        <w:top w:val="none" w:sz="0" w:space="0" w:color="auto"/>
        <w:left w:val="none" w:sz="0" w:space="0" w:color="auto"/>
        <w:bottom w:val="none" w:sz="0" w:space="0" w:color="auto"/>
        <w:right w:val="none" w:sz="0" w:space="0" w:color="auto"/>
      </w:divBdr>
    </w:div>
    <w:div w:id="122499684">
      <w:bodyDiv w:val="1"/>
      <w:marLeft w:val="0"/>
      <w:marRight w:val="0"/>
      <w:marTop w:val="0"/>
      <w:marBottom w:val="0"/>
      <w:divBdr>
        <w:top w:val="none" w:sz="0" w:space="0" w:color="auto"/>
        <w:left w:val="none" w:sz="0" w:space="0" w:color="auto"/>
        <w:bottom w:val="none" w:sz="0" w:space="0" w:color="auto"/>
        <w:right w:val="none" w:sz="0" w:space="0" w:color="auto"/>
      </w:divBdr>
    </w:div>
    <w:div w:id="122584626">
      <w:bodyDiv w:val="1"/>
      <w:marLeft w:val="0"/>
      <w:marRight w:val="0"/>
      <w:marTop w:val="0"/>
      <w:marBottom w:val="0"/>
      <w:divBdr>
        <w:top w:val="none" w:sz="0" w:space="0" w:color="auto"/>
        <w:left w:val="none" w:sz="0" w:space="0" w:color="auto"/>
        <w:bottom w:val="none" w:sz="0" w:space="0" w:color="auto"/>
        <w:right w:val="none" w:sz="0" w:space="0" w:color="auto"/>
      </w:divBdr>
    </w:div>
    <w:div w:id="122774781">
      <w:bodyDiv w:val="1"/>
      <w:marLeft w:val="0"/>
      <w:marRight w:val="0"/>
      <w:marTop w:val="0"/>
      <w:marBottom w:val="0"/>
      <w:divBdr>
        <w:top w:val="none" w:sz="0" w:space="0" w:color="auto"/>
        <w:left w:val="none" w:sz="0" w:space="0" w:color="auto"/>
        <w:bottom w:val="none" w:sz="0" w:space="0" w:color="auto"/>
        <w:right w:val="none" w:sz="0" w:space="0" w:color="auto"/>
      </w:divBdr>
    </w:div>
    <w:div w:id="122815334">
      <w:bodyDiv w:val="1"/>
      <w:marLeft w:val="0"/>
      <w:marRight w:val="0"/>
      <w:marTop w:val="0"/>
      <w:marBottom w:val="0"/>
      <w:divBdr>
        <w:top w:val="none" w:sz="0" w:space="0" w:color="auto"/>
        <w:left w:val="none" w:sz="0" w:space="0" w:color="auto"/>
        <w:bottom w:val="none" w:sz="0" w:space="0" w:color="auto"/>
        <w:right w:val="none" w:sz="0" w:space="0" w:color="auto"/>
      </w:divBdr>
    </w:div>
    <w:div w:id="122820523">
      <w:bodyDiv w:val="1"/>
      <w:marLeft w:val="0"/>
      <w:marRight w:val="0"/>
      <w:marTop w:val="0"/>
      <w:marBottom w:val="0"/>
      <w:divBdr>
        <w:top w:val="none" w:sz="0" w:space="0" w:color="auto"/>
        <w:left w:val="none" w:sz="0" w:space="0" w:color="auto"/>
        <w:bottom w:val="none" w:sz="0" w:space="0" w:color="auto"/>
        <w:right w:val="none" w:sz="0" w:space="0" w:color="auto"/>
      </w:divBdr>
    </w:div>
    <w:div w:id="122962039">
      <w:bodyDiv w:val="1"/>
      <w:marLeft w:val="0"/>
      <w:marRight w:val="0"/>
      <w:marTop w:val="0"/>
      <w:marBottom w:val="0"/>
      <w:divBdr>
        <w:top w:val="none" w:sz="0" w:space="0" w:color="auto"/>
        <w:left w:val="none" w:sz="0" w:space="0" w:color="auto"/>
        <w:bottom w:val="none" w:sz="0" w:space="0" w:color="auto"/>
        <w:right w:val="none" w:sz="0" w:space="0" w:color="auto"/>
      </w:divBdr>
    </w:div>
    <w:div w:id="122963051">
      <w:bodyDiv w:val="1"/>
      <w:marLeft w:val="0"/>
      <w:marRight w:val="0"/>
      <w:marTop w:val="0"/>
      <w:marBottom w:val="0"/>
      <w:divBdr>
        <w:top w:val="none" w:sz="0" w:space="0" w:color="auto"/>
        <w:left w:val="none" w:sz="0" w:space="0" w:color="auto"/>
        <w:bottom w:val="none" w:sz="0" w:space="0" w:color="auto"/>
        <w:right w:val="none" w:sz="0" w:space="0" w:color="auto"/>
      </w:divBdr>
    </w:div>
    <w:div w:id="122968439">
      <w:bodyDiv w:val="1"/>
      <w:marLeft w:val="0"/>
      <w:marRight w:val="0"/>
      <w:marTop w:val="0"/>
      <w:marBottom w:val="0"/>
      <w:divBdr>
        <w:top w:val="none" w:sz="0" w:space="0" w:color="auto"/>
        <w:left w:val="none" w:sz="0" w:space="0" w:color="auto"/>
        <w:bottom w:val="none" w:sz="0" w:space="0" w:color="auto"/>
        <w:right w:val="none" w:sz="0" w:space="0" w:color="auto"/>
      </w:divBdr>
    </w:div>
    <w:div w:id="123038835">
      <w:bodyDiv w:val="1"/>
      <w:marLeft w:val="0"/>
      <w:marRight w:val="0"/>
      <w:marTop w:val="0"/>
      <w:marBottom w:val="0"/>
      <w:divBdr>
        <w:top w:val="none" w:sz="0" w:space="0" w:color="auto"/>
        <w:left w:val="none" w:sz="0" w:space="0" w:color="auto"/>
        <w:bottom w:val="none" w:sz="0" w:space="0" w:color="auto"/>
        <w:right w:val="none" w:sz="0" w:space="0" w:color="auto"/>
      </w:divBdr>
    </w:div>
    <w:div w:id="123081960">
      <w:bodyDiv w:val="1"/>
      <w:marLeft w:val="0"/>
      <w:marRight w:val="0"/>
      <w:marTop w:val="0"/>
      <w:marBottom w:val="0"/>
      <w:divBdr>
        <w:top w:val="none" w:sz="0" w:space="0" w:color="auto"/>
        <w:left w:val="none" w:sz="0" w:space="0" w:color="auto"/>
        <w:bottom w:val="none" w:sz="0" w:space="0" w:color="auto"/>
        <w:right w:val="none" w:sz="0" w:space="0" w:color="auto"/>
      </w:divBdr>
    </w:div>
    <w:div w:id="123233229">
      <w:bodyDiv w:val="1"/>
      <w:marLeft w:val="0"/>
      <w:marRight w:val="0"/>
      <w:marTop w:val="0"/>
      <w:marBottom w:val="0"/>
      <w:divBdr>
        <w:top w:val="none" w:sz="0" w:space="0" w:color="auto"/>
        <w:left w:val="none" w:sz="0" w:space="0" w:color="auto"/>
        <w:bottom w:val="none" w:sz="0" w:space="0" w:color="auto"/>
        <w:right w:val="none" w:sz="0" w:space="0" w:color="auto"/>
      </w:divBdr>
    </w:div>
    <w:div w:id="123234672">
      <w:bodyDiv w:val="1"/>
      <w:marLeft w:val="0"/>
      <w:marRight w:val="0"/>
      <w:marTop w:val="0"/>
      <w:marBottom w:val="0"/>
      <w:divBdr>
        <w:top w:val="none" w:sz="0" w:space="0" w:color="auto"/>
        <w:left w:val="none" w:sz="0" w:space="0" w:color="auto"/>
        <w:bottom w:val="none" w:sz="0" w:space="0" w:color="auto"/>
        <w:right w:val="none" w:sz="0" w:space="0" w:color="auto"/>
      </w:divBdr>
    </w:div>
    <w:div w:id="123235683">
      <w:bodyDiv w:val="1"/>
      <w:marLeft w:val="0"/>
      <w:marRight w:val="0"/>
      <w:marTop w:val="0"/>
      <w:marBottom w:val="0"/>
      <w:divBdr>
        <w:top w:val="none" w:sz="0" w:space="0" w:color="auto"/>
        <w:left w:val="none" w:sz="0" w:space="0" w:color="auto"/>
        <w:bottom w:val="none" w:sz="0" w:space="0" w:color="auto"/>
        <w:right w:val="none" w:sz="0" w:space="0" w:color="auto"/>
      </w:divBdr>
    </w:div>
    <w:div w:id="123305898">
      <w:bodyDiv w:val="1"/>
      <w:marLeft w:val="0"/>
      <w:marRight w:val="0"/>
      <w:marTop w:val="0"/>
      <w:marBottom w:val="0"/>
      <w:divBdr>
        <w:top w:val="none" w:sz="0" w:space="0" w:color="auto"/>
        <w:left w:val="none" w:sz="0" w:space="0" w:color="auto"/>
        <w:bottom w:val="none" w:sz="0" w:space="0" w:color="auto"/>
        <w:right w:val="none" w:sz="0" w:space="0" w:color="auto"/>
      </w:divBdr>
    </w:div>
    <w:div w:id="123475318">
      <w:bodyDiv w:val="1"/>
      <w:marLeft w:val="0"/>
      <w:marRight w:val="0"/>
      <w:marTop w:val="0"/>
      <w:marBottom w:val="0"/>
      <w:divBdr>
        <w:top w:val="none" w:sz="0" w:space="0" w:color="auto"/>
        <w:left w:val="none" w:sz="0" w:space="0" w:color="auto"/>
        <w:bottom w:val="none" w:sz="0" w:space="0" w:color="auto"/>
        <w:right w:val="none" w:sz="0" w:space="0" w:color="auto"/>
      </w:divBdr>
    </w:div>
    <w:div w:id="123618487">
      <w:bodyDiv w:val="1"/>
      <w:marLeft w:val="0"/>
      <w:marRight w:val="0"/>
      <w:marTop w:val="0"/>
      <w:marBottom w:val="0"/>
      <w:divBdr>
        <w:top w:val="none" w:sz="0" w:space="0" w:color="auto"/>
        <w:left w:val="none" w:sz="0" w:space="0" w:color="auto"/>
        <w:bottom w:val="none" w:sz="0" w:space="0" w:color="auto"/>
        <w:right w:val="none" w:sz="0" w:space="0" w:color="auto"/>
      </w:divBdr>
    </w:div>
    <w:div w:id="123693318">
      <w:bodyDiv w:val="1"/>
      <w:marLeft w:val="0"/>
      <w:marRight w:val="0"/>
      <w:marTop w:val="0"/>
      <w:marBottom w:val="0"/>
      <w:divBdr>
        <w:top w:val="none" w:sz="0" w:space="0" w:color="auto"/>
        <w:left w:val="none" w:sz="0" w:space="0" w:color="auto"/>
        <w:bottom w:val="none" w:sz="0" w:space="0" w:color="auto"/>
        <w:right w:val="none" w:sz="0" w:space="0" w:color="auto"/>
      </w:divBdr>
    </w:div>
    <w:div w:id="123740518">
      <w:bodyDiv w:val="1"/>
      <w:marLeft w:val="0"/>
      <w:marRight w:val="0"/>
      <w:marTop w:val="0"/>
      <w:marBottom w:val="0"/>
      <w:divBdr>
        <w:top w:val="none" w:sz="0" w:space="0" w:color="auto"/>
        <w:left w:val="none" w:sz="0" w:space="0" w:color="auto"/>
        <w:bottom w:val="none" w:sz="0" w:space="0" w:color="auto"/>
        <w:right w:val="none" w:sz="0" w:space="0" w:color="auto"/>
      </w:divBdr>
    </w:div>
    <w:div w:id="123887043">
      <w:bodyDiv w:val="1"/>
      <w:marLeft w:val="0"/>
      <w:marRight w:val="0"/>
      <w:marTop w:val="0"/>
      <w:marBottom w:val="0"/>
      <w:divBdr>
        <w:top w:val="none" w:sz="0" w:space="0" w:color="auto"/>
        <w:left w:val="none" w:sz="0" w:space="0" w:color="auto"/>
        <w:bottom w:val="none" w:sz="0" w:space="0" w:color="auto"/>
        <w:right w:val="none" w:sz="0" w:space="0" w:color="auto"/>
      </w:divBdr>
    </w:div>
    <w:div w:id="123934184">
      <w:bodyDiv w:val="1"/>
      <w:marLeft w:val="0"/>
      <w:marRight w:val="0"/>
      <w:marTop w:val="0"/>
      <w:marBottom w:val="0"/>
      <w:divBdr>
        <w:top w:val="none" w:sz="0" w:space="0" w:color="auto"/>
        <w:left w:val="none" w:sz="0" w:space="0" w:color="auto"/>
        <w:bottom w:val="none" w:sz="0" w:space="0" w:color="auto"/>
        <w:right w:val="none" w:sz="0" w:space="0" w:color="auto"/>
      </w:divBdr>
    </w:div>
    <w:div w:id="123937184">
      <w:bodyDiv w:val="1"/>
      <w:marLeft w:val="0"/>
      <w:marRight w:val="0"/>
      <w:marTop w:val="0"/>
      <w:marBottom w:val="0"/>
      <w:divBdr>
        <w:top w:val="none" w:sz="0" w:space="0" w:color="auto"/>
        <w:left w:val="none" w:sz="0" w:space="0" w:color="auto"/>
        <w:bottom w:val="none" w:sz="0" w:space="0" w:color="auto"/>
        <w:right w:val="none" w:sz="0" w:space="0" w:color="auto"/>
      </w:divBdr>
    </w:div>
    <w:div w:id="124087855">
      <w:bodyDiv w:val="1"/>
      <w:marLeft w:val="0"/>
      <w:marRight w:val="0"/>
      <w:marTop w:val="0"/>
      <w:marBottom w:val="0"/>
      <w:divBdr>
        <w:top w:val="none" w:sz="0" w:space="0" w:color="auto"/>
        <w:left w:val="none" w:sz="0" w:space="0" w:color="auto"/>
        <w:bottom w:val="none" w:sz="0" w:space="0" w:color="auto"/>
        <w:right w:val="none" w:sz="0" w:space="0" w:color="auto"/>
      </w:divBdr>
    </w:div>
    <w:div w:id="124199994">
      <w:bodyDiv w:val="1"/>
      <w:marLeft w:val="0"/>
      <w:marRight w:val="0"/>
      <w:marTop w:val="0"/>
      <w:marBottom w:val="0"/>
      <w:divBdr>
        <w:top w:val="none" w:sz="0" w:space="0" w:color="auto"/>
        <w:left w:val="none" w:sz="0" w:space="0" w:color="auto"/>
        <w:bottom w:val="none" w:sz="0" w:space="0" w:color="auto"/>
        <w:right w:val="none" w:sz="0" w:space="0" w:color="auto"/>
      </w:divBdr>
    </w:div>
    <w:div w:id="124278803">
      <w:bodyDiv w:val="1"/>
      <w:marLeft w:val="0"/>
      <w:marRight w:val="0"/>
      <w:marTop w:val="0"/>
      <w:marBottom w:val="0"/>
      <w:divBdr>
        <w:top w:val="none" w:sz="0" w:space="0" w:color="auto"/>
        <w:left w:val="none" w:sz="0" w:space="0" w:color="auto"/>
        <w:bottom w:val="none" w:sz="0" w:space="0" w:color="auto"/>
        <w:right w:val="none" w:sz="0" w:space="0" w:color="auto"/>
      </w:divBdr>
    </w:div>
    <w:div w:id="124347531">
      <w:bodyDiv w:val="1"/>
      <w:marLeft w:val="0"/>
      <w:marRight w:val="0"/>
      <w:marTop w:val="0"/>
      <w:marBottom w:val="0"/>
      <w:divBdr>
        <w:top w:val="none" w:sz="0" w:space="0" w:color="auto"/>
        <w:left w:val="none" w:sz="0" w:space="0" w:color="auto"/>
        <w:bottom w:val="none" w:sz="0" w:space="0" w:color="auto"/>
        <w:right w:val="none" w:sz="0" w:space="0" w:color="auto"/>
      </w:divBdr>
    </w:div>
    <w:div w:id="124349106">
      <w:bodyDiv w:val="1"/>
      <w:marLeft w:val="0"/>
      <w:marRight w:val="0"/>
      <w:marTop w:val="0"/>
      <w:marBottom w:val="0"/>
      <w:divBdr>
        <w:top w:val="none" w:sz="0" w:space="0" w:color="auto"/>
        <w:left w:val="none" w:sz="0" w:space="0" w:color="auto"/>
        <w:bottom w:val="none" w:sz="0" w:space="0" w:color="auto"/>
        <w:right w:val="none" w:sz="0" w:space="0" w:color="auto"/>
      </w:divBdr>
    </w:div>
    <w:div w:id="124544459">
      <w:bodyDiv w:val="1"/>
      <w:marLeft w:val="0"/>
      <w:marRight w:val="0"/>
      <w:marTop w:val="0"/>
      <w:marBottom w:val="0"/>
      <w:divBdr>
        <w:top w:val="none" w:sz="0" w:space="0" w:color="auto"/>
        <w:left w:val="none" w:sz="0" w:space="0" w:color="auto"/>
        <w:bottom w:val="none" w:sz="0" w:space="0" w:color="auto"/>
        <w:right w:val="none" w:sz="0" w:space="0" w:color="auto"/>
      </w:divBdr>
    </w:div>
    <w:div w:id="124592168">
      <w:bodyDiv w:val="1"/>
      <w:marLeft w:val="0"/>
      <w:marRight w:val="0"/>
      <w:marTop w:val="0"/>
      <w:marBottom w:val="0"/>
      <w:divBdr>
        <w:top w:val="none" w:sz="0" w:space="0" w:color="auto"/>
        <w:left w:val="none" w:sz="0" w:space="0" w:color="auto"/>
        <w:bottom w:val="none" w:sz="0" w:space="0" w:color="auto"/>
        <w:right w:val="none" w:sz="0" w:space="0" w:color="auto"/>
      </w:divBdr>
    </w:div>
    <w:div w:id="124592707">
      <w:bodyDiv w:val="1"/>
      <w:marLeft w:val="0"/>
      <w:marRight w:val="0"/>
      <w:marTop w:val="0"/>
      <w:marBottom w:val="0"/>
      <w:divBdr>
        <w:top w:val="none" w:sz="0" w:space="0" w:color="auto"/>
        <w:left w:val="none" w:sz="0" w:space="0" w:color="auto"/>
        <w:bottom w:val="none" w:sz="0" w:space="0" w:color="auto"/>
        <w:right w:val="none" w:sz="0" w:space="0" w:color="auto"/>
      </w:divBdr>
    </w:div>
    <w:div w:id="124735831">
      <w:bodyDiv w:val="1"/>
      <w:marLeft w:val="0"/>
      <w:marRight w:val="0"/>
      <w:marTop w:val="0"/>
      <w:marBottom w:val="0"/>
      <w:divBdr>
        <w:top w:val="none" w:sz="0" w:space="0" w:color="auto"/>
        <w:left w:val="none" w:sz="0" w:space="0" w:color="auto"/>
        <w:bottom w:val="none" w:sz="0" w:space="0" w:color="auto"/>
        <w:right w:val="none" w:sz="0" w:space="0" w:color="auto"/>
      </w:divBdr>
    </w:div>
    <w:div w:id="125051760">
      <w:bodyDiv w:val="1"/>
      <w:marLeft w:val="0"/>
      <w:marRight w:val="0"/>
      <w:marTop w:val="0"/>
      <w:marBottom w:val="0"/>
      <w:divBdr>
        <w:top w:val="none" w:sz="0" w:space="0" w:color="auto"/>
        <w:left w:val="none" w:sz="0" w:space="0" w:color="auto"/>
        <w:bottom w:val="none" w:sz="0" w:space="0" w:color="auto"/>
        <w:right w:val="none" w:sz="0" w:space="0" w:color="auto"/>
      </w:divBdr>
    </w:div>
    <w:div w:id="125196428">
      <w:bodyDiv w:val="1"/>
      <w:marLeft w:val="0"/>
      <w:marRight w:val="0"/>
      <w:marTop w:val="0"/>
      <w:marBottom w:val="0"/>
      <w:divBdr>
        <w:top w:val="none" w:sz="0" w:space="0" w:color="auto"/>
        <w:left w:val="none" w:sz="0" w:space="0" w:color="auto"/>
        <w:bottom w:val="none" w:sz="0" w:space="0" w:color="auto"/>
        <w:right w:val="none" w:sz="0" w:space="0" w:color="auto"/>
      </w:divBdr>
    </w:div>
    <w:div w:id="125240804">
      <w:bodyDiv w:val="1"/>
      <w:marLeft w:val="0"/>
      <w:marRight w:val="0"/>
      <w:marTop w:val="0"/>
      <w:marBottom w:val="0"/>
      <w:divBdr>
        <w:top w:val="none" w:sz="0" w:space="0" w:color="auto"/>
        <w:left w:val="none" w:sz="0" w:space="0" w:color="auto"/>
        <w:bottom w:val="none" w:sz="0" w:space="0" w:color="auto"/>
        <w:right w:val="none" w:sz="0" w:space="0" w:color="auto"/>
      </w:divBdr>
    </w:div>
    <w:div w:id="125509262">
      <w:bodyDiv w:val="1"/>
      <w:marLeft w:val="0"/>
      <w:marRight w:val="0"/>
      <w:marTop w:val="0"/>
      <w:marBottom w:val="0"/>
      <w:divBdr>
        <w:top w:val="none" w:sz="0" w:space="0" w:color="auto"/>
        <w:left w:val="none" w:sz="0" w:space="0" w:color="auto"/>
        <w:bottom w:val="none" w:sz="0" w:space="0" w:color="auto"/>
        <w:right w:val="none" w:sz="0" w:space="0" w:color="auto"/>
      </w:divBdr>
    </w:div>
    <w:div w:id="125510278">
      <w:bodyDiv w:val="1"/>
      <w:marLeft w:val="0"/>
      <w:marRight w:val="0"/>
      <w:marTop w:val="0"/>
      <w:marBottom w:val="0"/>
      <w:divBdr>
        <w:top w:val="none" w:sz="0" w:space="0" w:color="auto"/>
        <w:left w:val="none" w:sz="0" w:space="0" w:color="auto"/>
        <w:bottom w:val="none" w:sz="0" w:space="0" w:color="auto"/>
        <w:right w:val="none" w:sz="0" w:space="0" w:color="auto"/>
      </w:divBdr>
    </w:div>
    <w:div w:id="125663152">
      <w:bodyDiv w:val="1"/>
      <w:marLeft w:val="0"/>
      <w:marRight w:val="0"/>
      <w:marTop w:val="0"/>
      <w:marBottom w:val="0"/>
      <w:divBdr>
        <w:top w:val="none" w:sz="0" w:space="0" w:color="auto"/>
        <w:left w:val="none" w:sz="0" w:space="0" w:color="auto"/>
        <w:bottom w:val="none" w:sz="0" w:space="0" w:color="auto"/>
        <w:right w:val="none" w:sz="0" w:space="0" w:color="auto"/>
      </w:divBdr>
    </w:div>
    <w:div w:id="125663328">
      <w:bodyDiv w:val="1"/>
      <w:marLeft w:val="0"/>
      <w:marRight w:val="0"/>
      <w:marTop w:val="0"/>
      <w:marBottom w:val="0"/>
      <w:divBdr>
        <w:top w:val="none" w:sz="0" w:space="0" w:color="auto"/>
        <w:left w:val="none" w:sz="0" w:space="0" w:color="auto"/>
        <w:bottom w:val="none" w:sz="0" w:space="0" w:color="auto"/>
        <w:right w:val="none" w:sz="0" w:space="0" w:color="auto"/>
      </w:divBdr>
    </w:div>
    <w:div w:id="125701258">
      <w:bodyDiv w:val="1"/>
      <w:marLeft w:val="0"/>
      <w:marRight w:val="0"/>
      <w:marTop w:val="0"/>
      <w:marBottom w:val="0"/>
      <w:divBdr>
        <w:top w:val="none" w:sz="0" w:space="0" w:color="auto"/>
        <w:left w:val="none" w:sz="0" w:space="0" w:color="auto"/>
        <w:bottom w:val="none" w:sz="0" w:space="0" w:color="auto"/>
        <w:right w:val="none" w:sz="0" w:space="0" w:color="auto"/>
      </w:divBdr>
    </w:div>
    <w:div w:id="125703748">
      <w:bodyDiv w:val="1"/>
      <w:marLeft w:val="0"/>
      <w:marRight w:val="0"/>
      <w:marTop w:val="0"/>
      <w:marBottom w:val="0"/>
      <w:divBdr>
        <w:top w:val="none" w:sz="0" w:space="0" w:color="auto"/>
        <w:left w:val="none" w:sz="0" w:space="0" w:color="auto"/>
        <w:bottom w:val="none" w:sz="0" w:space="0" w:color="auto"/>
        <w:right w:val="none" w:sz="0" w:space="0" w:color="auto"/>
      </w:divBdr>
    </w:div>
    <w:div w:id="125783880">
      <w:bodyDiv w:val="1"/>
      <w:marLeft w:val="0"/>
      <w:marRight w:val="0"/>
      <w:marTop w:val="0"/>
      <w:marBottom w:val="0"/>
      <w:divBdr>
        <w:top w:val="none" w:sz="0" w:space="0" w:color="auto"/>
        <w:left w:val="none" w:sz="0" w:space="0" w:color="auto"/>
        <w:bottom w:val="none" w:sz="0" w:space="0" w:color="auto"/>
        <w:right w:val="none" w:sz="0" w:space="0" w:color="auto"/>
      </w:divBdr>
    </w:div>
    <w:div w:id="125899471">
      <w:bodyDiv w:val="1"/>
      <w:marLeft w:val="0"/>
      <w:marRight w:val="0"/>
      <w:marTop w:val="0"/>
      <w:marBottom w:val="0"/>
      <w:divBdr>
        <w:top w:val="none" w:sz="0" w:space="0" w:color="auto"/>
        <w:left w:val="none" w:sz="0" w:space="0" w:color="auto"/>
        <w:bottom w:val="none" w:sz="0" w:space="0" w:color="auto"/>
        <w:right w:val="none" w:sz="0" w:space="0" w:color="auto"/>
      </w:divBdr>
    </w:div>
    <w:div w:id="125927251">
      <w:bodyDiv w:val="1"/>
      <w:marLeft w:val="0"/>
      <w:marRight w:val="0"/>
      <w:marTop w:val="0"/>
      <w:marBottom w:val="0"/>
      <w:divBdr>
        <w:top w:val="none" w:sz="0" w:space="0" w:color="auto"/>
        <w:left w:val="none" w:sz="0" w:space="0" w:color="auto"/>
        <w:bottom w:val="none" w:sz="0" w:space="0" w:color="auto"/>
        <w:right w:val="none" w:sz="0" w:space="0" w:color="auto"/>
      </w:divBdr>
    </w:div>
    <w:div w:id="125978650">
      <w:bodyDiv w:val="1"/>
      <w:marLeft w:val="0"/>
      <w:marRight w:val="0"/>
      <w:marTop w:val="0"/>
      <w:marBottom w:val="0"/>
      <w:divBdr>
        <w:top w:val="none" w:sz="0" w:space="0" w:color="auto"/>
        <w:left w:val="none" w:sz="0" w:space="0" w:color="auto"/>
        <w:bottom w:val="none" w:sz="0" w:space="0" w:color="auto"/>
        <w:right w:val="none" w:sz="0" w:space="0" w:color="auto"/>
      </w:divBdr>
    </w:div>
    <w:div w:id="126242463">
      <w:bodyDiv w:val="1"/>
      <w:marLeft w:val="0"/>
      <w:marRight w:val="0"/>
      <w:marTop w:val="0"/>
      <w:marBottom w:val="0"/>
      <w:divBdr>
        <w:top w:val="none" w:sz="0" w:space="0" w:color="auto"/>
        <w:left w:val="none" w:sz="0" w:space="0" w:color="auto"/>
        <w:bottom w:val="none" w:sz="0" w:space="0" w:color="auto"/>
        <w:right w:val="none" w:sz="0" w:space="0" w:color="auto"/>
      </w:divBdr>
    </w:div>
    <w:div w:id="126433410">
      <w:bodyDiv w:val="1"/>
      <w:marLeft w:val="0"/>
      <w:marRight w:val="0"/>
      <w:marTop w:val="0"/>
      <w:marBottom w:val="0"/>
      <w:divBdr>
        <w:top w:val="none" w:sz="0" w:space="0" w:color="auto"/>
        <w:left w:val="none" w:sz="0" w:space="0" w:color="auto"/>
        <w:bottom w:val="none" w:sz="0" w:space="0" w:color="auto"/>
        <w:right w:val="none" w:sz="0" w:space="0" w:color="auto"/>
      </w:divBdr>
    </w:div>
    <w:div w:id="126625964">
      <w:bodyDiv w:val="1"/>
      <w:marLeft w:val="0"/>
      <w:marRight w:val="0"/>
      <w:marTop w:val="0"/>
      <w:marBottom w:val="0"/>
      <w:divBdr>
        <w:top w:val="none" w:sz="0" w:space="0" w:color="auto"/>
        <w:left w:val="none" w:sz="0" w:space="0" w:color="auto"/>
        <w:bottom w:val="none" w:sz="0" w:space="0" w:color="auto"/>
        <w:right w:val="none" w:sz="0" w:space="0" w:color="auto"/>
      </w:divBdr>
    </w:div>
    <w:div w:id="126630765">
      <w:bodyDiv w:val="1"/>
      <w:marLeft w:val="0"/>
      <w:marRight w:val="0"/>
      <w:marTop w:val="0"/>
      <w:marBottom w:val="0"/>
      <w:divBdr>
        <w:top w:val="none" w:sz="0" w:space="0" w:color="auto"/>
        <w:left w:val="none" w:sz="0" w:space="0" w:color="auto"/>
        <w:bottom w:val="none" w:sz="0" w:space="0" w:color="auto"/>
        <w:right w:val="none" w:sz="0" w:space="0" w:color="auto"/>
      </w:divBdr>
    </w:div>
    <w:div w:id="126749895">
      <w:bodyDiv w:val="1"/>
      <w:marLeft w:val="0"/>
      <w:marRight w:val="0"/>
      <w:marTop w:val="0"/>
      <w:marBottom w:val="0"/>
      <w:divBdr>
        <w:top w:val="none" w:sz="0" w:space="0" w:color="auto"/>
        <w:left w:val="none" w:sz="0" w:space="0" w:color="auto"/>
        <w:bottom w:val="none" w:sz="0" w:space="0" w:color="auto"/>
        <w:right w:val="none" w:sz="0" w:space="0" w:color="auto"/>
      </w:divBdr>
    </w:div>
    <w:div w:id="126777030">
      <w:bodyDiv w:val="1"/>
      <w:marLeft w:val="0"/>
      <w:marRight w:val="0"/>
      <w:marTop w:val="0"/>
      <w:marBottom w:val="0"/>
      <w:divBdr>
        <w:top w:val="none" w:sz="0" w:space="0" w:color="auto"/>
        <w:left w:val="none" w:sz="0" w:space="0" w:color="auto"/>
        <w:bottom w:val="none" w:sz="0" w:space="0" w:color="auto"/>
        <w:right w:val="none" w:sz="0" w:space="0" w:color="auto"/>
      </w:divBdr>
    </w:div>
    <w:div w:id="126898604">
      <w:bodyDiv w:val="1"/>
      <w:marLeft w:val="0"/>
      <w:marRight w:val="0"/>
      <w:marTop w:val="0"/>
      <w:marBottom w:val="0"/>
      <w:divBdr>
        <w:top w:val="none" w:sz="0" w:space="0" w:color="auto"/>
        <w:left w:val="none" w:sz="0" w:space="0" w:color="auto"/>
        <w:bottom w:val="none" w:sz="0" w:space="0" w:color="auto"/>
        <w:right w:val="none" w:sz="0" w:space="0" w:color="auto"/>
      </w:divBdr>
    </w:div>
    <w:div w:id="126970678">
      <w:bodyDiv w:val="1"/>
      <w:marLeft w:val="0"/>
      <w:marRight w:val="0"/>
      <w:marTop w:val="0"/>
      <w:marBottom w:val="0"/>
      <w:divBdr>
        <w:top w:val="none" w:sz="0" w:space="0" w:color="auto"/>
        <w:left w:val="none" w:sz="0" w:space="0" w:color="auto"/>
        <w:bottom w:val="none" w:sz="0" w:space="0" w:color="auto"/>
        <w:right w:val="none" w:sz="0" w:space="0" w:color="auto"/>
      </w:divBdr>
    </w:div>
    <w:div w:id="127163285">
      <w:bodyDiv w:val="1"/>
      <w:marLeft w:val="0"/>
      <w:marRight w:val="0"/>
      <w:marTop w:val="0"/>
      <w:marBottom w:val="0"/>
      <w:divBdr>
        <w:top w:val="none" w:sz="0" w:space="0" w:color="auto"/>
        <w:left w:val="none" w:sz="0" w:space="0" w:color="auto"/>
        <w:bottom w:val="none" w:sz="0" w:space="0" w:color="auto"/>
        <w:right w:val="none" w:sz="0" w:space="0" w:color="auto"/>
      </w:divBdr>
    </w:div>
    <w:div w:id="127166981">
      <w:bodyDiv w:val="1"/>
      <w:marLeft w:val="0"/>
      <w:marRight w:val="0"/>
      <w:marTop w:val="0"/>
      <w:marBottom w:val="0"/>
      <w:divBdr>
        <w:top w:val="none" w:sz="0" w:space="0" w:color="auto"/>
        <w:left w:val="none" w:sz="0" w:space="0" w:color="auto"/>
        <w:bottom w:val="none" w:sz="0" w:space="0" w:color="auto"/>
        <w:right w:val="none" w:sz="0" w:space="0" w:color="auto"/>
      </w:divBdr>
    </w:div>
    <w:div w:id="127212011">
      <w:bodyDiv w:val="1"/>
      <w:marLeft w:val="0"/>
      <w:marRight w:val="0"/>
      <w:marTop w:val="0"/>
      <w:marBottom w:val="0"/>
      <w:divBdr>
        <w:top w:val="none" w:sz="0" w:space="0" w:color="auto"/>
        <w:left w:val="none" w:sz="0" w:space="0" w:color="auto"/>
        <w:bottom w:val="none" w:sz="0" w:space="0" w:color="auto"/>
        <w:right w:val="none" w:sz="0" w:space="0" w:color="auto"/>
      </w:divBdr>
    </w:div>
    <w:div w:id="127406933">
      <w:bodyDiv w:val="1"/>
      <w:marLeft w:val="0"/>
      <w:marRight w:val="0"/>
      <w:marTop w:val="0"/>
      <w:marBottom w:val="0"/>
      <w:divBdr>
        <w:top w:val="none" w:sz="0" w:space="0" w:color="auto"/>
        <w:left w:val="none" w:sz="0" w:space="0" w:color="auto"/>
        <w:bottom w:val="none" w:sz="0" w:space="0" w:color="auto"/>
        <w:right w:val="none" w:sz="0" w:space="0" w:color="auto"/>
      </w:divBdr>
    </w:div>
    <w:div w:id="127432122">
      <w:bodyDiv w:val="1"/>
      <w:marLeft w:val="0"/>
      <w:marRight w:val="0"/>
      <w:marTop w:val="0"/>
      <w:marBottom w:val="0"/>
      <w:divBdr>
        <w:top w:val="none" w:sz="0" w:space="0" w:color="auto"/>
        <w:left w:val="none" w:sz="0" w:space="0" w:color="auto"/>
        <w:bottom w:val="none" w:sz="0" w:space="0" w:color="auto"/>
        <w:right w:val="none" w:sz="0" w:space="0" w:color="auto"/>
      </w:divBdr>
    </w:div>
    <w:div w:id="127554408">
      <w:bodyDiv w:val="1"/>
      <w:marLeft w:val="0"/>
      <w:marRight w:val="0"/>
      <w:marTop w:val="0"/>
      <w:marBottom w:val="0"/>
      <w:divBdr>
        <w:top w:val="none" w:sz="0" w:space="0" w:color="auto"/>
        <w:left w:val="none" w:sz="0" w:space="0" w:color="auto"/>
        <w:bottom w:val="none" w:sz="0" w:space="0" w:color="auto"/>
        <w:right w:val="none" w:sz="0" w:space="0" w:color="auto"/>
      </w:divBdr>
    </w:div>
    <w:div w:id="127598714">
      <w:bodyDiv w:val="1"/>
      <w:marLeft w:val="0"/>
      <w:marRight w:val="0"/>
      <w:marTop w:val="0"/>
      <w:marBottom w:val="0"/>
      <w:divBdr>
        <w:top w:val="none" w:sz="0" w:space="0" w:color="auto"/>
        <w:left w:val="none" w:sz="0" w:space="0" w:color="auto"/>
        <w:bottom w:val="none" w:sz="0" w:space="0" w:color="auto"/>
        <w:right w:val="none" w:sz="0" w:space="0" w:color="auto"/>
      </w:divBdr>
    </w:div>
    <w:div w:id="127674771">
      <w:bodyDiv w:val="1"/>
      <w:marLeft w:val="0"/>
      <w:marRight w:val="0"/>
      <w:marTop w:val="0"/>
      <w:marBottom w:val="0"/>
      <w:divBdr>
        <w:top w:val="none" w:sz="0" w:space="0" w:color="auto"/>
        <w:left w:val="none" w:sz="0" w:space="0" w:color="auto"/>
        <w:bottom w:val="none" w:sz="0" w:space="0" w:color="auto"/>
        <w:right w:val="none" w:sz="0" w:space="0" w:color="auto"/>
      </w:divBdr>
    </w:div>
    <w:div w:id="127825148">
      <w:bodyDiv w:val="1"/>
      <w:marLeft w:val="0"/>
      <w:marRight w:val="0"/>
      <w:marTop w:val="0"/>
      <w:marBottom w:val="0"/>
      <w:divBdr>
        <w:top w:val="none" w:sz="0" w:space="0" w:color="auto"/>
        <w:left w:val="none" w:sz="0" w:space="0" w:color="auto"/>
        <w:bottom w:val="none" w:sz="0" w:space="0" w:color="auto"/>
        <w:right w:val="none" w:sz="0" w:space="0" w:color="auto"/>
      </w:divBdr>
    </w:div>
    <w:div w:id="127826521">
      <w:bodyDiv w:val="1"/>
      <w:marLeft w:val="0"/>
      <w:marRight w:val="0"/>
      <w:marTop w:val="0"/>
      <w:marBottom w:val="0"/>
      <w:divBdr>
        <w:top w:val="none" w:sz="0" w:space="0" w:color="auto"/>
        <w:left w:val="none" w:sz="0" w:space="0" w:color="auto"/>
        <w:bottom w:val="none" w:sz="0" w:space="0" w:color="auto"/>
        <w:right w:val="none" w:sz="0" w:space="0" w:color="auto"/>
      </w:divBdr>
    </w:div>
    <w:div w:id="128213052">
      <w:bodyDiv w:val="1"/>
      <w:marLeft w:val="0"/>
      <w:marRight w:val="0"/>
      <w:marTop w:val="0"/>
      <w:marBottom w:val="0"/>
      <w:divBdr>
        <w:top w:val="none" w:sz="0" w:space="0" w:color="auto"/>
        <w:left w:val="none" w:sz="0" w:space="0" w:color="auto"/>
        <w:bottom w:val="none" w:sz="0" w:space="0" w:color="auto"/>
        <w:right w:val="none" w:sz="0" w:space="0" w:color="auto"/>
      </w:divBdr>
    </w:div>
    <w:div w:id="128399605">
      <w:bodyDiv w:val="1"/>
      <w:marLeft w:val="0"/>
      <w:marRight w:val="0"/>
      <w:marTop w:val="0"/>
      <w:marBottom w:val="0"/>
      <w:divBdr>
        <w:top w:val="none" w:sz="0" w:space="0" w:color="auto"/>
        <w:left w:val="none" w:sz="0" w:space="0" w:color="auto"/>
        <w:bottom w:val="none" w:sz="0" w:space="0" w:color="auto"/>
        <w:right w:val="none" w:sz="0" w:space="0" w:color="auto"/>
      </w:divBdr>
    </w:div>
    <w:div w:id="128666910">
      <w:bodyDiv w:val="1"/>
      <w:marLeft w:val="0"/>
      <w:marRight w:val="0"/>
      <w:marTop w:val="0"/>
      <w:marBottom w:val="0"/>
      <w:divBdr>
        <w:top w:val="none" w:sz="0" w:space="0" w:color="auto"/>
        <w:left w:val="none" w:sz="0" w:space="0" w:color="auto"/>
        <w:bottom w:val="none" w:sz="0" w:space="0" w:color="auto"/>
        <w:right w:val="none" w:sz="0" w:space="0" w:color="auto"/>
      </w:divBdr>
    </w:div>
    <w:div w:id="128674047">
      <w:bodyDiv w:val="1"/>
      <w:marLeft w:val="0"/>
      <w:marRight w:val="0"/>
      <w:marTop w:val="0"/>
      <w:marBottom w:val="0"/>
      <w:divBdr>
        <w:top w:val="none" w:sz="0" w:space="0" w:color="auto"/>
        <w:left w:val="none" w:sz="0" w:space="0" w:color="auto"/>
        <w:bottom w:val="none" w:sz="0" w:space="0" w:color="auto"/>
        <w:right w:val="none" w:sz="0" w:space="0" w:color="auto"/>
      </w:divBdr>
    </w:div>
    <w:div w:id="128712785">
      <w:bodyDiv w:val="1"/>
      <w:marLeft w:val="0"/>
      <w:marRight w:val="0"/>
      <w:marTop w:val="0"/>
      <w:marBottom w:val="0"/>
      <w:divBdr>
        <w:top w:val="none" w:sz="0" w:space="0" w:color="auto"/>
        <w:left w:val="none" w:sz="0" w:space="0" w:color="auto"/>
        <w:bottom w:val="none" w:sz="0" w:space="0" w:color="auto"/>
        <w:right w:val="none" w:sz="0" w:space="0" w:color="auto"/>
      </w:divBdr>
    </w:div>
    <w:div w:id="128790449">
      <w:bodyDiv w:val="1"/>
      <w:marLeft w:val="0"/>
      <w:marRight w:val="0"/>
      <w:marTop w:val="0"/>
      <w:marBottom w:val="0"/>
      <w:divBdr>
        <w:top w:val="none" w:sz="0" w:space="0" w:color="auto"/>
        <w:left w:val="none" w:sz="0" w:space="0" w:color="auto"/>
        <w:bottom w:val="none" w:sz="0" w:space="0" w:color="auto"/>
        <w:right w:val="none" w:sz="0" w:space="0" w:color="auto"/>
      </w:divBdr>
    </w:div>
    <w:div w:id="128941659">
      <w:bodyDiv w:val="1"/>
      <w:marLeft w:val="0"/>
      <w:marRight w:val="0"/>
      <w:marTop w:val="0"/>
      <w:marBottom w:val="0"/>
      <w:divBdr>
        <w:top w:val="none" w:sz="0" w:space="0" w:color="auto"/>
        <w:left w:val="none" w:sz="0" w:space="0" w:color="auto"/>
        <w:bottom w:val="none" w:sz="0" w:space="0" w:color="auto"/>
        <w:right w:val="none" w:sz="0" w:space="0" w:color="auto"/>
      </w:divBdr>
    </w:div>
    <w:div w:id="129127834">
      <w:bodyDiv w:val="1"/>
      <w:marLeft w:val="0"/>
      <w:marRight w:val="0"/>
      <w:marTop w:val="0"/>
      <w:marBottom w:val="0"/>
      <w:divBdr>
        <w:top w:val="none" w:sz="0" w:space="0" w:color="auto"/>
        <w:left w:val="none" w:sz="0" w:space="0" w:color="auto"/>
        <w:bottom w:val="none" w:sz="0" w:space="0" w:color="auto"/>
        <w:right w:val="none" w:sz="0" w:space="0" w:color="auto"/>
      </w:divBdr>
    </w:div>
    <w:div w:id="129129252">
      <w:bodyDiv w:val="1"/>
      <w:marLeft w:val="0"/>
      <w:marRight w:val="0"/>
      <w:marTop w:val="0"/>
      <w:marBottom w:val="0"/>
      <w:divBdr>
        <w:top w:val="none" w:sz="0" w:space="0" w:color="auto"/>
        <w:left w:val="none" w:sz="0" w:space="0" w:color="auto"/>
        <w:bottom w:val="none" w:sz="0" w:space="0" w:color="auto"/>
        <w:right w:val="none" w:sz="0" w:space="0" w:color="auto"/>
      </w:divBdr>
    </w:div>
    <w:div w:id="129135958">
      <w:bodyDiv w:val="1"/>
      <w:marLeft w:val="0"/>
      <w:marRight w:val="0"/>
      <w:marTop w:val="0"/>
      <w:marBottom w:val="0"/>
      <w:divBdr>
        <w:top w:val="none" w:sz="0" w:space="0" w:color="auto"/>
        <w:left w:val="none" w:sz="0" w:space="0" w:color="auto"/>
        <w:bottom w:val="none" w:sz="0" w:space="0" w:color="auto"/>
        <w:right w:val="none" w:sz="0" w:space="0" w:color="auto"/>
      </w:divBdr>
    </w:div>
    <w:div w:id="129176487">
      <w:bodyDiv w:val="1"/>
      <w:marLeft w:val="0"/>
      <w:marRight w:val="0"/>
      <w:marTop w:val="0"/>
      <w:marBottom w:val="0"/>
      <w:divBdr>
        <w:top w:val="none" w:sz="0" w:space="0" w:color="auto"/>
        <w:left w:val="none" w:sz="0" w:space="0" w:color="auto"/>
        <w:bottom w:val="none" w:sz="0" w:space="0" w:color="auto"/>
        <w:right w:val="none" w:sz="0" w:space="0" w:color="auto"/>
      </w:divBdr>
    </w:div>
    <w:div w:id="129178795">
      <w:bodyDiv w:val="1"/>
      <w:marLeft w:val="0"/>
      <w:marRight w:val="0"/>
      <w:marTop w:val="0"/>
      <w:marBottom w:val="0"/>
      <w:divBdr>
        <w:top w:val="none" w:sz="0" w:space="0" w:color="auto"/>
        <w:left w:val="none" w:sz="0" w:space="0" w:color="auto"/>
        <w:bottom w:val="none" w:sz="0" w:space="0" w:color="auto"/>
        <w:right w:val="none" w:sz="0" w:space="0" w:color="auto"/>
      </w:divBdr>
    </w:div>
    <w:div w:id="129246523">
      <w:bodyDiv w:val="1"/>
      <w:marLeft w:val="0"/>
      <w:marRight w:val="0"/>
      <w:marTop w:val="0"/>
      <w:marBottom w:val="0"/>
      <w:divBdr>
        <w:top w:val="none" w:sz="0" w:space="0" w:color="auto"/>
        <w:left w:val="none" w:sz="0" w:space="0" w:color="auto"/>
        <w:bottom w:val="none" w:sz="0" w:space="0" w:color="auto"/>
        <w:right w:val="none" w:sz="0" w:space="0" w:color="auto"/>
      </w:divBdr>
    </w:div>
    <w:div w:id="129248333">
      <w:bodyDiv w:val="1"/>
      <w:marLeft w:val="0"/>
      <w:marRight w:val="0"/>
      <w:marTop w:val="0"/>
      <w:marBottom w:val="0"/>
      <w:divBdr>
        <w:top w:val="none" w:sz="0" w:space="0" w:color="auto"/>
        <w:left w:val="none" w:sz="0" w:space="0" w:color="auto"/>
        <w:bottom w:val="none" w:sz="0" w:space="0" w:color="auto"/>
        <w:right w:val="none" w:sz="0" w:space="0" w:color="auto"/>
      </w:divBdr>
    </w:div>
    <w:div w:id="129322088">
      <w:bodyDiv w:val="1"/>
      <w:marLeft w:val="0"/>
      <w:marRight w:val="0"/>
      <w:marTop w:val="0"/>
      <w:marBottom w:val="0"/>
      <w:divBdr>
        <w:top w:val="none" w:sz="0" w:space="0" w:color="auto"/>
        <w:left w:val="none" w:sz="0" w:space="0" w:color="auto"/>
        <w:bottom w:val="none" w:sz="0" w:space="0" w:color="auto"/>
        <w:right w:val="none" w:sz="0" w:space="0" w:color="auto"/>
      </w:divBdr>
    </w:div>
    <w:div w:id="129590342">
      <w:bodyDiv w:val="1"/>
      <w:marLeft w:val="0"/>
      <w:marRight w:val="0"/>
      <w:marTop w:val="0"/>
      <w:marBottom w:val="0"/>
      <w:divBdr>
        <w:top w:val="none" w:sz="0" w:space="0" w:color="auto"/>
        <w:left w:val="none" w:sz="0" w:space="0" w:color="auto"/>
        <w:bottom w:val="none" w:sz="0" w:space="0" w:color="auto"/>
        <w:right w:val="none" w:sz="0" w:space="0" w:color="auto"/>
      </w:divBdr>
    </w:div>
    <w:div w:id="129641476">
      <w:bodyDiv w:val="1"/>
      <w:marLeft w:val="0"/>
      <w:marRight w:val="0"/>
      <w:marTop w:val="0"/>
      <w:marBottom w:val="0"/>
      <w:divBdr>
        <w:top w:val="none" w:sz="0" w:space="0" w:color="auto"/>
        <w:left w:val="none" w:sz="0" w:space="0" w:color="auto"/>
        <w:bottom w:val="none" w:sz="0" w:space="0" w:color="auto"/>
        <w:right w:val="none" w:sz="0" w:space="0" w:color="auto"/>
      </w:divBdr>
    </w:div>
    <w:div w:id="129717091">
      <w:bodyDiv w:val="1"/>
      <w:marLeft w:val="0"/>
      <w:marRight w:val="0"/>
      <w:marTop w:val="0"/>
      <w:marBottom w:val="0"/>
      <w:divBdr>
        <w:top w:val="none" w:sz="0" w:space="0" w:color="auto"/>
        <w:left w:val="none" w:sz="0" w:space="0" w:color="auto"/>
        <w:bottom w:val="none" w:sz="0" w:space="0" w:color="auto"/>
        <w:right w:val="none" w:sz="0" w:space="0" w:color="auto"/>
      </w:divBdr>
    </w:div>
    <w:div w:id="129792439">
      <w:bodyDiv w:val="1"/>
      <w:marLeft w:val="0"/>
      <w:marRight w:val="0"/>
      <w:marTop w:val="0"/>
      <w:marBottom w:val="0"/>
      <w:divBdr>
        <w:top w:val="none" w:sz="0" w:space="0" w:color="auto"/>
        <w:left w:val="none" w:sz="0" w:space="0" w:color="auto"/>
        <w:bottom w:val="none" w:sz="0" w:space="0" w:color="auto"/>
        <w:right w:val="none" w:sz="0" w:space="0" w:color="auto"/>
      </w:divBdr>
    </w:div>
    <w:div w:id="129833087">
      <w:bodyDiv w:val="1"/>
      <w:marLeft w:val="0"/>
      <w:marRight w:val="0"/>
      <w:marTop w:val="0"/>
      <w:marBottom w:val="0"/>
      <w:divBdr>
        <w:top w:val="none" w:sz="0" w:space="0" w:color="auto"/>
        <w:left w:val="none" w:sz="0" w:space="0" w:color="auto"/>
        <w:bottom w:val="none" w:sz="0" w:space="0" w:color="auto"/>
        <w:right w:val="none" w:sz="0" w:space="0" w:color="auto"/>
      </w:divBdr>
    </w:div>
    <w:div w:id="129833363">
      <w:bodyDiv w:val="1"/>
      <w:marLeft w:val="0"/>
      <w:marRight w:val="0"/>
      <w:marTop w:val="0"/>
      <w:marBottom w:val="0"/>
      <w:divBdr>
        <w:top w:val="none" w:sz="0" w:space="0" w:color="auto"/>
        <w:left w:val="none" w:sz="0" w:space="0" w:color="auto"/>
        <w:bottom w:val="none" w:sz="0" w:space="0" w:color="auto"/>
        <w:right w:val="none" w:sz="0" w:space="0" w:color="auto"/>
      </w:divBdr>
    </w:div>
    <w:div w:id="129981046">
      <w:bodyDiv w:val="1"/>
      <w:marLeft w:val="0"/>
      <w:marRight w:val="0"/>
      <w:marTop w:val="0"/>
      <w:marBottom w:val="0"/>
      <w:divBdr>
        <w:top w:val="none" w:sz="0" w:space="0" w:color="auto"/>
        <w:left w:val="none" w:sz="0" w:space="0" w:color="auto"/>
        <w:bottom w:val="none" w:sz="0" w:space="0" w:color="auto"/>
        <w:right w:val="none" w:sz="0" w:space="0" w:color="auto"/>
      </w:divBdr>
    </w:div>
    <w:div w:id="129983105">
      <w:bodyDiv w:val="1"/>
      <w:marLeft w:val="0"/>
      <w:marRight w:val="0"/>
      <w:marTop w:val="0"/>
      <w:marBottom w:val="0"/>
      <w:divBdr>
        <w:top w:val="none" w:sz="0" w:space="0" w:color="auto"/>
        <w:left w:val="none" w:sz="0" w:space="0" w:color="auto"/>
        <w:bottom w:val="none" w:sz="0" w:space="0" w:color="auto"/>
        <w:right w:val="none" w:sz="0" w:space="0" w:color="auto"/>
      </w:divBdr>
    </w:div>
    <w:div w:id="130024830">
      <w:bodyDiv w:val="1"/>
      <w:marLeft w:val="0"/>
      <w:marRight w:val="0"/>
      <w:marTop w:val="0"/>
      <w:marBottom w:val="0"/>
      <w:divBdr>
        <w:top w:val="none" w:sz="0" w:space="0" w:color="auto"/>
        <w:left w:val="none" w:sz="0" w:space="0" w:color="auto"/>
        <w:bottom w:val="none" w:sz="0" w:space="0" w:color="auto"/>
        <w:right w:val="none" w:sz="0" w:space="0" w:color="auto"/>
      </w:divBdr>
    </w:div>
    <w:div w:id="130094434">
      <w:bodyDiv w:val="1"/>
      <w:marLeft w:val="0"/>
      <w:marRight w:val="0"/>
      <w:marTop w:val="0"/>
      <w:marBottom w:val="0"/>
      <w:divBdr>
        <w:top w:val="none" w:sz="0" w:space="0" w:color="auto"/>
        <w:left w:val="none" w:sz="0" w:space="0" w:color="auto"/>
        <w:bottom w:val="none" w:sz="0" w:space="0" w:color="auto"/>
        <w:right w:val="none" w:sz="0" w:space="0" w:color="auto"/>
      </w:divBdr>
    </w:div>
    <w:div w:id="130098588">
      <w:bodyDiv w:val="1"/>
      <w:marLeft w:val="0"/>
      <w:marRight w:val="0"/>
      <w:marTop w:val="0"/>
      <w:marBottom w:val="0"/>
      <w:divBdr>
        <w:top w:val="none" w:sz="0" w:space="0" w:color="auto"/>
        <w:left w:val="none" w:sz="0" w:space="0" w:color="auto"/>
        <w:bottom w:val="none" w:sz="0" w:space="0" w:color="auto"/>
        <w:right w:val="none" w:sz="0" w:space="0" w:color="auto"/>
      </w:divBdr>
    </w:div>
    <w:div w:id="130175396">
      <w:bodyDiv w:val="1"/>
      <w:marLeft w:val="0"/>
      <w:marRight w:val="0"/>
      <w:marTop w:val="0"/>
      <w:marBottom w:val="0"/>
      <w:divBdr>
        <w:top w:val="none" w:sz="0" w:space="0" w:color="auto"/>
        <w:left w:val="none" w:sz="0" w:space="0" w:color="auto"/>
        <w:bottom w:val="none" w:sz="0" w:space="0" w:color="auto"/>
        <w:right w:val="none" w:sz="0" w:space="0" w:color="auto"/>
      </w:divBdr>
    </w:div>
    <w:div w:id="130221760">
      <w:bodyDiv w:val="1"/>
      <w:marLeft w:val="0"/>
      <w:marRight w:val="0"/>
      <w:marTop w:val="0"/>
      <w:marBottom w:val="0"/>
      <w:divBdr>
        <w:top w:val="none" w:sz="0" w:space="0" w:color="auto"/>
        <w:left w:val="none" w:sz="0" w:space="0" w:color="auto"/>
        <w:bottom w:val="none" w:sz="0" w:space="0" w:color="auto"/>
        <w:right w:val="none" w:sz="0" w:space="0" w:color="auto"/>
      </w:divBdr>
    </w:div>
    <w:div w:id="130295169">
      <w:bodyDiv w:val="1"/>
      <w:marLeft w:val="0"/>
      <w:marRight w:val="0"/>
      <w:marTop w:val="0"/>
      <w:marBottom w:val="0"/>
      <w:divBdr>
        <w:top w:val="none" w:sz="0" w:space="0" w:color="auto"/>
        <w:left w:val="none" w:sz="0" w:space="0" w:color="auto"/>
        <w:bottom w:val="none" w:sz="0" w:space="0" w:color="auto"/>
        <w:right w:val="none" w:sz="0" w:space="0" w:color="auto"/>
      </w:divBdr>
    </w:div>
    <w:div w:id="130445153">
      <w:bodyDiv w:val="1"/>
      <w:marLeft w:val="0"/>
      <w:marRight w:val="0"/>
      <w:marTop w:val="0"/>
      <w:marBottom w:val="0"/>
      <w:divBdr>
        <w:top w:val="none" w:sz="0" w:space="0" w:color="auto"/>
        <w:left w:val="none" w:sz="0" w:space="0" w:color="auto"/>
        <w:bottom w:val="none" w:sz="0" w:space="0" w:color="auto"/>
        <w:right w:val="none" w:sz="0" w:space="0" w:color="auto"/>
      </w:divBdr>
    </w:div>
    <w:div w:id="130561984">
      <w:bodyDiv w:val="1"/>
      <w:marLeft w:val="0"/>
      <w:marRight w:val="0"/>
      <w:marTop w:val="0"/>
      <w:marBottom w:val="0"/>
      <w:divBdr>
        <w:top w:val="none" w:sz="0" w:space="0" w:color="auto"/>
        <w:left w:val="none" w:sz="0" w:space="0" w:color="auto"/>
        <w:bottom w:val="none" w:sz="0" w:space="0" w:color="auto"/>
        <w:right w:val="none" w:sz="0" w:space="0" w:color="auto"/>
      </w:divBdr>
    </w:div>
    <w:div w:id="130564605">
      <w:bodyDiv w:val="1"/>
      <w:marLeft w:val="0"/>
      <w:marRight w:val="0"/>
      <w:marTop w:val="0"/>
      <w:marBottom w:val="0"/>
      <w:divBdr>
        <w:top w:val="none" w:sz="0" w:space="0" w:color="auto"/>
        <w:left w:val="none" w:sz="0" w:space="0" w:color="auto"/>
        <w:bottom w:val="none" w:sz="0" w:space="0" w:color="auto"/>
        <w:right w:val="none" w:sz="0" w:space="0" w:color="auto"/>
      </w:divBdr>
    </w:div>
    <w:div w:id="130679969">
      <w:bodyDiv w:val="1"/>
      <w:marLeft w:val="0"/>
      <w:marRight w:val="0"/>
      <w:marTop w:val="0"/>
      <w:marBottom w:val="0"/>
      <w:divBdr>
        <w:top w:val="none" w:sz="0" w:space="0" w:color="auto"/>
        <w:left w:val="none" w:sz="0" w:space="0" w:color="auto"/>
        <w:bottom w:val="none" w:sz="0" w:space="0" w:color="auto"/>
        <w:right w:val="none" w:sz="0" w:space="0" w:color="auto"/>
      </w:divBdr>
    </w:div>
    <w:div w:id="130901945">
      <w:bodyDiv w:val="1"/>
      <w:marLeft w:val="0"/>
      <w:marRight w:val="0"/>
      <w:marTop w:val="0"/>
      <w:marBottom w:val="0"/>
      <w:divBdr>
        <w:top w:val="none" w:sz="0" w:space="0" w:color="auto"/>
        <w:left w:val="none" w:sz="0" w:space="0" w:color="auto"/>
        <w:bottom w:val="none" w:sz="0" w:space="0" w:color="auto"/>
        <w:right w:val="none" w:sz="0" w:space="0" w:color="auto"/>
      </w:divBdr>
    </w:div>
    <w:div w:id="130945771">
      <w:bodyDiv w:val="1"/>
      <w:marLeft w:val="0"/>
      <w:marRight w:val="0"/>
      <w:marTop w:val="0"/>
      <w:marBottom w:val="0"/>
      <w:divBdr>
        <w:top w:val="none" w:sz="0" w:space="0" w:color="auto"/>
        <w:left w:val="none" w:sz="0" w:space="0" w:color="auto"/>
        <w:bottom w:val="none" w:sz="0" w:space="0" w:color="auto"/>
        <w:right w:val="none" w:sz="0" w:space="0" w:color="auto"/>
      </w:divBdr>
    </w:div>
    <w:div w:id="131025697">
      <w:bodyDiv w:val="1"/>
      <w:marLeft w:val="0"/>
      <w:marRight w:val="0"/>
      <w:marTop w:val="0"/>
      <w:marBottom w:val="0"/>
      <w:divBdr>
        <w:top w:val="none" w:sz="0" w:space="0" w:color="auto"/>
        <w:left w:val="none" w:sz="0" w:space="0" w:color="auto"/>
        <w:bottom w:val="none" w:sz="0" w:space="0" w:color="auto"/>
        <w:right w:val="none" w:sz="0" w:space="0" w:color="auto"/>
      </w:divBdr>
    </w:div>
    <w:div w:id="131025763">
      <w:bodyDiv w:val="1"/>
      <w:marLeft w:val="0"/>
      <w:marRight w:val="0"/>
      <w:marTop w:val="0"/>
      <w:marBottom w:val="0"/>
      <w:divBdr>
        <w:top w:val="none" w:sz="0" w:space="0" w:color="auto"/>
        <w:left w:val="none" w:sz="0" w:space="0" w:color="auto"/>
        <w:bottom w:val="none" w:sz="0" w:space="0" w:color="auto"/>
        <w:right w:val="none" w:sz="0" w:space="0" w:color="auto"/>
      </w:divBdr>
    </w:div>
    <w:div w:id="131094040">
      <w:bodyDiv w:val="1"/>
      <w:marLeft w:val="0"/>
      <w:marRight w:val="0"/>
      <w:marTop w:val="0"/>
      <w:marBottom w:val="0"/>
      <w:divBdr>
        <w:top w:val="none" w:sz="0" w:space="0" w:color="auto"/>
        <w:left w:val="none" w:sz="0" w:space="0" w:color="auto"/>
        <w:bottom w:val="none" w:sz="0" w:space="0" w:color="auto"/>
        <w:right w:val="none" w:sz="0" w:space="0" w:color="auto"/>
      </w:divBdr>
    </w:div>
    <w:div w:id="131139766">
      <w:bodyDiv w:val="1"/>
      <w:marLeft w:val="0"/>
      <w:marRight w:val="0"/>
      <w:marTop w:val="0"/>
      <w:marBottom w:val="0"/>
      <w:divBdr>
        <w:top w:val="none" w:sz="0" w:space="0" w:color="auto"/>
        <w:left w:val="none" w:sz="0" w:space="0" w:color="auto"/>
        <w:bottom w:val="none" w:sz="0" w:space="0" w:color="auto"/>
        <w:right w:val="none" w:sz="0" w:space="0" w:color="auto"/>
      </w:divBdr>
    </w:div>
    <w:div w:id="131214659">
      <w:bodyDiv w:val="1"/>
      <w:marLeft w:val="0"/>
      <w:marRight w:val="0"/>
      <w:marTop w:val="0"/>
      <w:marBottom w:val="0"/>
      <w:divBdr>
        <w:top w:val="none" w:sz="0" w:space="0" w:color="auto"/>
        <w:left w:val="none" w:sz="0" w:space="0" w:color="auto"/>
        <w:bottom w:val="none" w:sz="0" w:space="0" w:color="auto"/>
        <w:right w:val="none" w:sz="0" w:space="0" w:color="auto"/>
      </w:divBdr>
    </w:div>
    <w:div w:id="131293617">
      <w:bodyDiv w:val="1"/>
      <w:marLeft w:val="0"/>
      <w:marRight w:val="0"/>
      <w:marTop w:val="0"/>
      <w:marBottom w:val="0"/>
      <w:divBdr>
        <w:top w:val="none" w:sz="0" w:space="0" w:color="auto"/>
        <w:left w:val="none" w:sz="0" w:space="0" w:color="auto"/>
        <w:bottom w:val="none" w:sz="0" w:space="0" w:color="auto"/>
        <w:right w:val="none" w:sz="0" w:space="0" w:color="auto"/>
      </w:divBdr>
    </w:div>
    <w:div w:id="131480723">
      <w:bodyDiv w:val="1"/>
      <w:marLeft w:val="0"/>
      <w:marRight w:val="0"/>
      <w:marTop w:val="0"/>
      <w:marBottom w:val="0"/>
      <w:divBdr>
        <w:top w:val="none" w:sz="0" w:space="0" w:color="auto"/>
        <w:left w:val="none" w:sz="0" w:space="0" w:color="auto"/>
        <w:bottom w:val="none" w:sz="0" w:space="0" w:color="auto"/>
        <w:right w:val="none" w:sz="0" w:space="0" w:color="auto"/>
      </w:divBdr>
    </w:div>
    <w:div w:id="131673953">
      <w:bodyDiv w:val="1"/>
      <w:marLeft w:val="0"/>
      <w:marRight w:val="0"/>
      <w:marTop w:val="0"/>
      <w:marBottom w:val="0"/>
      <w:divBdr>
        <w:top w:val="none" w:sz="0" w:space="0" w:color="auto"/>
        <w:left w:val="none" w:sz="0" w:space="0" w:color="auto"/>
        <w:bottom w:val="none" w:sz="0" w:space="0" w:color="auto"/>
        <w:right w:val="none" w:sz="0" w:space="0" w:color="auto"/>
      </w:divBdr>
    </w:div>
    <w:div w:id="131872176">
      <w:bodyDiv w:val="1"/>
      <w:marLeft w:val="0"/>
      <w:marRight w:val="0"/>
      <w:marTop w:val="0"/>
      <w:marBottom w:val="0"/>
      <w:divBdr>
        <w:top w:val="none" w:sz="0" w:space="0" w:color="auto"/>
        <w:left w:val="none" w:sz="0" w:space="0" w:color="auto"/>
        <w:bottom w:val="none" w:sz="0" w:space="0" w:color="auto"/>
        <w:right w:val="none" w:sz="0" w:space="0" w:color="auto"/>
      </w:divBdr>
    </w:div>
    <w:div w:id="131943534">
      <w:bodyDiv w:val="1"/>
      <w:marLeft w:val="0"/>
      <w:marRight w:val="0"/>
      <w:marTop w:val="0"/>
      <w:marBottom w:val="0"/>
      <w:divBdr>
        <w:top w:val="none" w:sz="0" w:space="0" w:color="auto"/>
        <w:left w:val="none" w:sz="0" w:space="0" w:color="auto"/>
        <w:bottom w:val="none" w:sz="0" w:space="0" w:color="auto"/>
        <w:right w:val="none" w:sz="0" w:space="0" w:color="auto"/>
      </w:divBdr>
    </w:div>
    <w:div w:id="131994152">
      <w:bodyDiv w:val="1"/>
      <w:marLeft w:val="0"/>
      <w:marRight w:val="0"/>
      <w:marTop w:val="0"/>
      <w:marBottom w:val="0"/>
      <w:divBdr>
        <w:top w:val="none" w:sz="0" w:space="0" w:color="auto"/>
        <w:left w:val="none" w:sz="0" w:space="0" w:color="auto"/>
        <w:bottom w:val="none" w:sz="0" w:space="0" w:color="auto"/>
        <w:right w:val="none" w:sz="0" w:space="0" w:color="auto"/>
      </w:divBdr>
    </w:div>
    <w:div w:id="132138722">
      <w:bodyDiv w:val="1"/>
      <w:marLeft w:val="0"/>
      <w:marRight w:val="0"/>
      <w:marTop w:val="0"/>
      <w:marBottom w:val="0"/>
      <w:divBdr>
        <w:top w:val="none" w:sz="0" w:space="0" w:color="auto"/>
        <w:left w:val="none" w:sz="0" w:space="0" w:color="auto"/>
        <w:bottom w:val="none" w:sz="0" w:space="0" w:color="auto"/>
        <w:right w:val="none" w:sz="0" w:space="0" w:color="auto"/>
      </w:divBdr>
    </w:div>
    <w:div w:id="132213901">
      <w:bodyDiv w:val="1"/>
      <w:marLeft w:val="0"/>
      <w:marRight w:val="0"/>
      <w:marTop w:val="0"/>
      <w:marBottom w:val="0"/>
      <w:divBdr>
        <w:top w:val="none" w:sz="0" w:space="0" w:color="auto"/>
        <w:left w:val="none" w:sz="0" w:space="0" w:color="auto"/>
        <w:bottom w:val="none" w:sz="0" w:space="0" w:color="auto"/>
        <w:right w:val="none" w:sz="0" w:space="0" w:color="auto"/>
      </w:divBdr>
    </w:div>
    <w:div w:id="132261925">
      <w:bodyDiv w:val="1"/>
      <w:marLeft w:val="0"/>
      <w:marRight w:val="0"/>
      <w:marTop w:val="0"/>
      <w:marBottom w:val="0"/>
      <w:divBdr>
        <w:top w:val="none" w:sz="0" w:space="0" w:color="auto"/>
        <w:left w:val="none" w:sz="0" w:space="0" w:color="auto"/>
        <w:bottom w:val="none" w:sz="0" w:space="0" w:color="auto"/>
        <w:right w:val="none" w:sz="0" w:space="0" w:color="auto"/>
      </w:divBdr>
    </w:div>
    <w:div w:id="132331343">
      <w:bodyDiv w:val="1"/>
      <w:marLeft w:val="0"/>
      <w:marRight w:val="0"/>
      <w:marTop w:val="0"/>
      <w:marBottom w:val="0"/>
      <w:divBdr>
        <w:top w:val="none" w:sz="0" w:space="0" w:color="auto"/>
        <w:left w:val="none" w:sz="0" w:space="0" w:color="auto"/>
        <w:bottom w:val="none" w:sz="0" w:space="0" w:color="auto"/>
        <w:right w:val="none" w:sz="0" w:space="0" w:color="auto"/>
      </w:divBdr>
    </w:div>
    <w:div w:id="132332645">
      <w:bodyDiv w:val="1"/>
      <w:marLeft w:val="0"/>
      <w:marRight w:val="0"/>
      <w:marTop w:val="0"/>
      <w:marBottom w:val="0"/>
      <w:divBdr>
        <w:top w:val="none" w:sz="0" w:space="0" w:color="auto"/>
        <w:left w:val="none" w:sz="0" w:space="0" w:color="auto"/>
        <w:bottom w:val="none" w:sz="0" w:space="0" w:color="auto"/>
        <w:right w:val="none" w:sz="0" w:space="0" w:color="auto"/>
      </w:divBdr>
    </w:div>
    <w:div w:id="132406318">
      <w:bodyDiv w:val="1"/>
      <w:marLeft w:val="0"/>
      <w:marRight w:val="0"/>
      <w:marTop w:val="0"/>
      <w:marBottom w:val="0"/>
      <w:divBdr>
        <w:top w:val="none" w:sz="0" w:space="0" w:color="auto"/>
        <w:left w:val="none" w:sz="0" w:space="0" w:color="auto"/>
        <w:bottom w:val="none" w:sz="0" w:space="0" w:color="auto"/>
        <w:right w:val="none" w:sz="0" w:space="0" w:color="auto"/>
      </w:divBdr>
    </w:div>
    <w:div w:id="132406850">
      <w:bodyDiv w:val="1"/>
      <w:marLeft w:val="0"/>
      <w:marRight w:val="0"/>
      <w:marTop w:val="0"/>
      <w:marBottom w:val="0"/>
      <w:divBdr>
        <w:top w:val="none" w:sz="0" w:space="0" w:color="auto"/>
        <w:left w:val="none" w:sz="0" w:space="0" w:color="auto"/>
        <w:bottom w:val="none" w:sz="0" w:space="0" w:color="auto"/>
        <w:right w:val="none" w:sz="0" w:space="0" w:color="auto"/>
      </w:divBdr>
    </w:div>
    <w:div w:id="132411383">
      <w:bodyDiv w:val="1"/>
      <w:marLeft w:val="0"/>
      <w:marRight w:val="0"/>
      <w:marTop w:val="0"/>
      <w:marBottom w:val="0"/>
      <w:divBdr>
        <w:top w:val="none" w:sz="0" w:space="0" w:color="auto"/>
        <w:left w:val="none" w:sz="0" w:space="0" w:color="auto"/>
        <w:bottom w:val="none" w:sz="0" w:space="0" w:color="auto"/>
        <w:right w:val="none" w:sz="0" w:space="0" w:color="auto"/>
      </w:divBdr>
    </w:div>
    <w:div w:id="132412193">
      <w:bodyDiv w:val="1"/>
      <w:marLeft w:val="0"/>
      <w:marRight w:val="0"/>
      <w:marTop w:val="0"/>
      <w:marBottom w:val="0"/>
      <w:divBdr>
        <w:top w:val="none" w:sz="0" w:space="0" w:color="auto"/>
        <w:left w:val="none" w:sz="0" w:space="0" w:color="auto"/>
        <w:bottom w:val="none" w:sz="0" w:space="0" w:color="auto"/>
        <w:right w:val="none" w:sz="0" w:space="0" w:color="auto"/>
      </w:divBdr>
    </w:div>
    <w:div w:id="132451393">
      <w:bodyDiv w:val="1"/>
      <w:marLeft w:val="0"/>
      <w:marRight w:val="0"/>
      <w:marTop w:val="0"/>
      <w:marBottom w:val="0"/>
      <w:divBdr>
        <w:top w:val="none" w:sz="0" w:space="0" w:color="auto"/>
        <w:left w:val="none" w:sz="0" w:space="0" w:color="auto"/>
        <w:bottom w:val="none" w:sz="0" w:space="0" w:color="auto"/>
        <w:right w:val="none" w:sz="0" w:space="0" w:color="auto"/>
      </w:divBdr>
    </w:div>
    <w:div w:id="132525499">
      <w:bodyDiv w:val="1"/>
      <w:marLeft w:val="0"/>
      <w:marRight w:val="0"/>
      <w:marTop w:val="0"/>
      <w:marBottom w:val="0"/>
      <w:divBdr>
        <w:top w:val="none" w:sz="0" w:space="0" w:color="auto"/>
        <w:left w:val="none" w:sz="0" w:space="0" w:color="auto"/>
        <w:bottom w:val="none" w:sz="0" w:space="0" w:color="auto"/>
        <w:right w:val="none" w:sz="0" w:space="0" w:color="auto"/>
      </w:divBdr>
    </w:div>
    <w:div w:id="132530503">
      <w:bodyDiv w:val="1"/>
      <w:marLeft w:val="0"/>
      <w:marRight w:val="0"/>
      <w:marTop w:val="0"/>
      <w:marBottom w:val="0"/>
      <w:divBdr>
        <w:top w:val="none" w:sz="0" w:space="0" w:color="auto"/>
        <w:left w:val="none" w:sz="0" w:space="0" w:color="auto"/>
        <w:bottom w:val="none" w:sz="0" w:space="0" w:color="auto"/>
        <w:right w:val="none" w:sz="0" w:space="0" w:color="auto"/>
      </w:divBdr>
    </w:div>
    <w:div w:id="132598064">
      <w:bodyDiv w:val="1"/>
      <w:marLeft w:val="0"/>
      <w:marRight w:val="0"/>
      <w:marTop w:val="0"/>
      <w:marBottom w:val="0"/>
      <w:divBdr>
        <w:top w:val="none" w:sz="0" w:space="0" w:color="auto"/>
        <w:left w:val="none" w:sz="0" w:space="0" w:color="auto"/>
        <w:bottom w:val="none" w:sz="0" w:space="0" w:color="auto"/>
        <w:right w:val="none" w:sz="0" w:space="0" w:color="auto"/>
      </w:divBdr>
    </w:div>
    <w:div w:id="132674982">
      <w:bodyDiv w:val="1"/>
      <w:marLeft w:val="0"/>
      <w:marRight w:val="0"/>
      <w:marTop w:val="0"/>
      <w:marBottom w:val="0"/>
      <w:divBdr>
        <w:top w:val="none" w:sz="0" w:space="0" w:color="auto"/>
        <w:left w:val="none" w:sz="0" w:space="0" w:color="auto"/>
        <w:bottom w:val="none" w:sz="0" w:space="0" w:color="auto"/>
        <w:right w:val="none" w:sz="0" w:space="0" w:color="auto"/>
      </w:divBdr>
    </w:div>
    <w:div w:id="132721851">
      <w:bodyDiv w:val="1"/>
      <w:marLeft w:val="0"/>
      <w:marRight w:val="0"/>
      <w:marTop w:val="0"/>
      <w:marBottom w:val="0"/>
      <w:divBdr>
        <w:top w:val="none" w:sz="0" w:space="0" w:color="auto"/>
        <w:left w:val="none" w:sz="0" w:space="0" w:color="auto"/>
        <w:bottom w:val="none" w:sz="0" w:space="0" w:color="auto"/>
        <w:right w:val="none" w:sz="0" w:space="0" w:color="auto"/>
      </w:divBdr>
    </w:div>
    <w:div w:id="132870610">
      <w:bodyDiv w:val="1"/>
      <w:marLeft w:val="0"/>
      <w:marRight w:val="0"/>
      <w:marTop w:val="0"/>
      <w:marBottom w:val="0"/>
      <w:divBdr>
        <w:top w:val="none" w:sz="0" w:space="0" w:color="auto"/>
        <w:left w:val="none" w:sz="0" w:space="0" w:color="auto"/>
        <w:bottom w:val="none" w:sz="0" w:space="0" w:color="auto"/>
        <w:right w:val="none" w:sz="0" w:space="0" w:color="auto"/>
      </w:divBdr>
    </w:div>
    <w:div w:id="132916182">
      <w:bodyDiv w:val="1"/>
      <w:marLeft w:val="0"/>
      <w:marRight w:val="0"/>
      <w:marTop w:val="0"/>
      <w:marBottom w:val="0"/>
      <w:divBdr>
        <w:top w:val="none" w:sz="0" w:space="0" w:color="auto"/>
        <w:left w:val="none" w:sz="0" w:space="0" w:color="auto"/>
        <w:bottom w:val="none" w:sz="0" w:space="0" w:color="auto"/>
        <w:right w:val="none" w:sz="0" w:space="0" w:color="auto"/>
      </w:divBdr>
    </w:div>
    <w:div w:id="133253114">
      <w:bodyDiv w:val="1"/>
      <w:marLeft w:val="0"/>
      <w:marRight w:val="0"/>
      <w:marTop w:val="0"/>
      <w:marBottom w:val="0"/>
      <w:divBdr>
        <w:top w:val="none" w:sz="0" w:space="0" w:color="auto"/>
        <w:left w:val="none" w:sz="0" w:space="0" w:color="auto"/>
        <w:bottom w:val="none" w:sz="0" w:space="0" w:color="auto"/>
        <w:right w:val="none" w:sz="0" w:space="0" w:color="auto"/>
      </w:divBdr>
    </w:div>
    <w:div w:id="133253526">
      <w:bodyDiv w:val="1"/>
      <w:marLeft w:val="0"/>
      <w:marRight w:val="0"/>
      <w:marTop w:val="0"/>
      <w:marBottom w:val="0"/>
      <w:divBdr>
        <w:top w:val="none" w:sz="0" w:space="0" w:color="auto"/>
        <w:left w:val="none" w:sz="0" w:space="0" w:color="auto"/>
        <w:bottom w:val="none" w:sz="0" w:space="0" w:color="auto"/>
        <w:right w:val="none" w:sz="0" w:space="0" w:color="auto"/>
      </w:divBdr>
    </w:div>
    <w:div w:id="133259407">
      <w:bodyDiv w:val="1"/>
      <w:marLeft w:val="0"/>
      <w:marRight w:val="0"/>
      <w:marTop w:val="0"/>
      <w:marBottom w:val="0"/>
      <w:divBdr>
        <w:top w:val="none" w:sz="0" w:space="0" w:color="auto"/>
        <w:left w:val="none" w:sz="0" w:space="0" w:color="auto"/>
        <w:bottom w:val="none" w:sz="0" w:space="0" w:color="auto"/>
        <w:right w:val="none" w:sz="0" w:space="0" w:color="auto"/>
      </w:divBdr>
    </w:div>
    <w:div w:id="133379889">
      <w:bodyDiv w:val="1"/>
      <w:marLeft w:val="0"/>
      <w:marRight w:val="0"/>
      <w:marTop w:val="0"/>
      <w:marBottom w:val="0"/>
      <w:divBdr>
        <w:top w:val="none" w:sz="0" w:space="0" w:color="auto"/>
        <w:left w:val="none" w:sz="0" w:space="0" w:color="auto"/>
        <w:bottom w:val="none" w:sz="0" w:space="0" w:color="auto"/>
        <w:right w:val="none" w:sz="0" w:space="0" w:color="auto"/>
      </w:divBdr>
    </w:div>
    <w:div w:id="133454582">
      <w:bodyDiv w:val="1"/>
      <w:marLeft w:val="0"/>
      <w:marRight w:val="0"/>
      <w:marTop w:val="0"/>
      <w:marBottom w:val="0"/>
      <w:divBdr>
        <w:top w:val="none" w:sz="0" w:space="0" w:color="auto"/>
        <w:left w:val="none" w:sz="0" w:space="0" w:color="auto"/>
        <w:bottom w:val="none" w:sz="0" w:space="0" w:color="auto"/>
        <w:right w:val="none" w:sz="0" w:space="0" w:color="auto"/>
      </w:divBdr>
    </w:div>
    <w:div w:id="133525796">
      <w:bodyDiv w:val="1"/>
      <w:marLeft w:val="0"/>
      <w:marRight w:val="0"/>
      <w:marTop w:val="0"/>
      <w:marBottom w:val="0"/>
      <w:divBdr>
        <w:top w:val="none" w:sz="0" w:space="0" w:color="auto"/>
        <w:left w:val="none" w:sz="0" w:space="0" w:color="auto"/>
        <w:bottom w:val="none" w:sz="0" w:space="0" w:color="auto"/>
        <w:right w:val="none" w:sz="0" w:space="0" w:color="auto"/>
      </w:divBdr>
    </w:div>
    <w:div w:id="133527696">
      <w:bodyDiv w:val="1"/>
      <w:marLeft w:val="0"/>
      <w:marRight w:val="0"/>
      <w:marTop w:val="0"/>
      <w:marBottom w:val="0"/>
      <w:divBdr>
        <w:top w:val="none" w:sz="0" w:space="0" w:color="auto"/>
        <w:left w:val="none" w:sz="0" w:space="0" w:color="auto"/>
        <w:bottom w:val="none" w:sz="0" w:space="0" w:color="auto"/>
        <w:right w:val="none" w:sz="0" w:space="0" w:color="auto"/>
      </w:divBdr>
    </w:div>
    <w:div w:id="133569041">
      <w:bodyDiv w:val="1"/>
      <w:marLeft w:val="0"/>
      <w:marRight w:val="0"/>
      <w:marTop w:val="0"/>
      <w:marBottom w:val="0"/>
      <w:divBdr>
        <w:top w:val="none" w:sz="0" w:space="0" w:color="auto"/>
        <w:left w:val="none" w:sz="0" w:space="0" w:color="auto"/>
        <w:bottom w:val="none" w:sz="0" w:space="0" w:color="auto"/>
        <w:right w:val="none" w:sz="0" w:space="0" w:color="auto"/>
      </w:divBdr>
    </w:div>
    <w:div w:id="133569045">
      <w:bodyDiv w:val="1"/>
      <w:marLeft w:val="0"/>
      <w:marRight w:val="0"/>
      <w:marTop w:val="0"/>
      <w:marBottom w:val="0"/>
      <w:divBdr>
        <w:top w:val="none" w:sz="0" w:space="0" w:color="auto"/>
        <w:left w:val="none" w:sz="0" w:space="0" w:color="auto"/>
        <w:bottom w:val="none" w:sz="0" w:space="0" w:color="auto"/>
        <w:right w:val="none" w:sz="0" w:space="0" w:color="auto"/>
      </w:divBdr>
    </w:div>
    <w:div w:id="133648290">
      <w:bodyDiv w:val="1"/>
      <w:marLeft w:val="0"/>
      <w:marRight w:val="0"/>
      <w:marTop w:val="0"/>
      <w:marBottom w:val="0"/>
      <w:divBdr>
        <w:top w:val="none" w:sz="0" w:space="0" w:color="auto"/>
        <w:left w:val="none" w:sz="0" w:space="0" w:color="auto"/>
        <w:bottom w:val="none" w:sz="0" w:space="0" w:color="auto"/>
        <w:right w:val="none" w:sz="0" w:space="0" w:color="auto"/>
      </w:divBdr>
    </w:div>
    <w:div w:id="133763646">
      <w:bodyDiv w:val="1"/>
      <w:marLeft w:val="0"/>
      <w:marRight w:val="0"/>
      <w:marTop w:val="0"/>
      <w:marBottom w:val="0"/>
      <w:divBdr>
        <w:top w:val="none" w:sz="0" w:space="0" w:color="auto"/>
        <w:left w:val="none" w:sz="0" w:space="0" w:color="auto"/>
        <w:bottom w:val="none" w:sz="0" w:space="0" w:color="auto"/>
        <w:right w:val="none" w:sz="0" w:space="0" w:color="auto"/>
      </w:divBdr>
    </w:div>
    <w:div w:id="133840969">
      <w:bodyDiv w:val="1"/>
      <w:marLeft w:val="0"/>
      <w:marRight w:val="0"/>
      <w:marTop w:val="0"/>
      <w:marBottom w:val="0"/>
      <w:divBdr>
        <w:top w:val="none" w:sz="0" w:space="0" w:color="auto"/>
        <w:left w:val="none" w:sz="0" w:space="0" w:color="auto"/>
        <w:bottom w:val="none" w:sz="0" w:space="0" w:color="auto"/>
        <w:right w:val="none" w:sz="0" w:space="0" w:color="auto"/>
      </w:divBdr>
    </w:div>
    <w:div w:id="133841908">
      <w:bodyDiv w:val="1"/>
      <w:marLeft w:val="0"/>
      <w:marRight w:val="0"/>
      <w:marTop w:val="0"/>
      <w:marBottom w:val="0"/>
      <w:divBdr>
        <w:top w:val="none" w:sz="0" w:space="0" w:color="auto"/>
        <w:left w:val="none" w:sz="0" w:space="0" w:color="auto"/>
        <w:bottom w:val="none" w:sz="0" w:space="0" w:color="auto"/>
        <w:right w:val="none" w:sz="0" w:space="0" w:color="auto"/>
      </w:divBdr>
    </w:div>
    <w:div w:id="133915831">
      <w:bodyDiv w:val="1"/>
      <w:marLeft w:val="0"/>
      <w:marRight w:val="0"/>
      <w:marTop w:val="0"/>
      <w:marBottom w:val="0"/>
      <w:divBdr>
        <w:top w:val="none" w:sz="0" w:space="0" w:color="auto"/>
        <w:left w:val="none" w:sz="0" w:space="0" w:color="auto"/>
        <w:bottom w:val="none" w:sz="0" w:space="0" w:color="auto"/>
        <w:right w:val="none" w:sz="0" w:space="0" w:color="auto"/>
      </w:divBdr>
    </w:div>
    <w:div w:id="134180996">
      <w:bodyDiv w:val="1"/>
      <w:marLeft w:val="0"/>
      <w:marRight w:val="0"/>
      <w:marTop w:val="0"/>
      <w:marBottom w:val="0"/>
      <w:divBdr>
        <w:top w:val="none" w:sz="0" w:space="0" w:color="auto"/>
        <w:left w:val="none" w:sz="0" w:space="0" w:color="auto"/>
        <w:bottom w:val="none" w:sz="0" w:space="0" w:color="auto"/>
        <w:right w:val="none" w:sz="0" w:space="0" w:color="auto"/>
      </w:divBdr>
    </w:div>
    <w:div w:id="134220578">
      <w:bodyDiv w:val="1"/>
      <w:marLeft w:val="0"/>
      <w:marRight w:val="0"/>
      <w:marTop w:val="0"/>
      <w:marBottom w:val="0"/>
      <w:divBdr>
        <w:top w:val="none" w:sz="0" w:space="0" w:color="auto"/>
        <w:left w:val="none" w:sz="0" w:space="0" w:color="auto"/>
        <w:bottom w:val="none" w:sz="0" w:space="0" w:color="auto"/>
        <w:right w:val="none" w:sz="0" w:space="0" w:color="auto"/>
      </w:divBdr>
    </w:div>
    <w:div w:id="134370782">
      <w:bodyDiv w:val="1"/>
      <w:marLeft w:val="0"/>
      <w:marRight w:val="0"/>
      <w:marTop w:val="0"/>
      <w:marBottom w:val="0"/>
      <w:divBdr>
        <w:top w:val="none" w:sz="0" w:space="0" w:color="auto"/>
        <w:left w:val="none" w:sz="0" w:space="0" w:color="auto"/>
        <w:bottom w:val="none" w:sz="0" w:space="0" w:color="auto"/>
        <w:right w:val="none" w:sz="0" w:space="0" w:color="auto"/>
      </w:divBdr>
    </w:div>
    <w:div w:id="134373298">
      <w:bodyDiv w:val="1"/>
      <w:marLeft w:val="0"/>
      <w:marRight w:val="0"/>
      <w:marTop w:val="0"/>
      <w:marBottom w:val="0"/>
      <w:divBdr>
        <w:top w:val="none" w:sz="0" w:space="0" w:color="auto"/>
        <w:left w:val="none" w:sz="0" w:space="0" w:color="auto"/>
        <w:bottom w:val="none" w:sz="0" w:space="0" w:color="auto"/>
        <w:right w:val="none" w:sz="0" w:space="0" w:color="auto"/>
      </w:divBdr>
    </w:div>
    <w:div w:id="134488439">
      <w:bodyDiv w:val="1"/>
      <w:marLeft w:val="0"/>
      <w:marRight w:val="0"/>
      <w:marTop w:val="0"/>
      <w:marBottom w:val="0"/>
      <w:divBdr>
        <w:top w:val="none" w:sz="0" w:space="0" w:color="auto"/>
        <w:left w:val="none" w:sz="0" w:space="0" w:color="auto"/>
        <w:bottom w:val="none" w:sz="0" w:space="0" w:color="auto"/>
        <w:right w:val="none" w:sz="0" w:space="0" w:color="auto"/>
      </w:divBdr>
    </w:div>
    <w:div w:id="134496227">
      <w:bodyDiv w:val="1"/>
      <w:marLeft w:val="0"/>
      <w:marRight w:val="0"/>
      <w:marTop w:val="0"/>
      <w:marBottom w:val="0"/>
      <w:divBdr>
        <w:top w:val="none" w:sz="0" w:space="0" w:color="auto"/>
        <w:left w:val="none" w:sz="0" w:space="0" w:color="auto"/>
        <w:bottom w:val="none" w:sz="0" w:space="0" w:color="auto"/>
        <w:right w:val="none" w:sz="0" w:space="0" w:color="auto"/>
      </w:divBdr>
    </w:div>
    <w:div w:id="134682129">
      <w:bodyDiv w:val="1"/>
      <w:marLeft w:val="0"/>
      <w:marRight w:val="0"/>
      <w:marTop w:val="0"/>
      <w:marBottom w:val="0"/>
      <w:divBdr>
        <w:top w:val="none" w:sz="0" w:space="0" w:color="auto"/>
        <w:left w:val="none" w:sz="0" w:space="0" w:color="auto"/>
        <w:bottom w:val="none" w:sz="0" w:space="0" w:color="auto"/>
        <w:right w:val="none" w:sz="0" w:space="0" w:color="auto"/>
      </w:divBdr>
    </w:div>
    <w:div w:id="134879768">
      <w:bodyDiv w:val="1"/>
      <w:marLeft w:val="0"/>
      <w:marRight w:val="0"/>
      <w:marTop w:val="0"/>
      <w:marBottom w:val="0"/>
      <w:divBdr>
        <w:top w:val="none" w:sz="0" w:space="0" w:color="auto"/>
        <w:left w:val="none" w:sz="0" w:space="0" w:color="auto"/>
        <w:bottom w:val="none" w:sz="0" w:space="0" w:color="auto"/>
        <w:right w:val="none" w:sz="0" w:space="0" w:color="auto"/>
      </w:divBdr>
    </w:div>
    <w:div w:id="134882082">
      <w:bodyDiv w:val="1"/>
      <w:marLeft w:val="0"/>
      <w:marRight w:val="0"/>
      <w:marTop w:val="0"/>
      <w:marBottom w:val="0"/>
      <w:divBdr>
        <w:top w:val="none" w:sz="0" w:space="0" w:color="auto"/>
        <w:left w:val="none" w:sz="0" w:space="0" w:color="auto"/>
        <w:bottom w:val="none" w:sz="0" w:space="0" w:color="auto"/>
        <w:right w:val="none" w:sz="0" w:space="0" w:color="auto"/>
      </w:divBdr>
    </w:div>
    <w:div w:id="134957691">
      <w:bodyDiv w:val="1"/>
      <w:marLeft w:val="0"/>
      <w:marRight w:val="0"/>
      <w:marTop w:val="0"/>
      <w:marBottom w:val="0"/>
      <w:divBdr>
        <w:top w:val="none" w:sz="0" w:space="0" w:color="auto"/>
        <w:left w:val="none" w:sz="0" w:space="0" w:color="auto"/>
        <w:bottom w:val="none" w:sz="0" w:space="0" w:color="auto"/>
        <w:right w:val="none" w:sz="0" w:space="0" w:color="auto"/>
      </w:divBdr>
    </w:div>
    <w:div w:id="135029993">
      <w:bodyDiv w:val="1"/>
      <w:marLeft w:val="0"/>
      <w:marRight w:val="0"/>
      <w:marTop w:val="0"/>
      <w:marBottom w:val="0"/>
      <w:divBdr>
        <w:top w:val="none" w:sz="0" w:space="0" w:color="auto"/>
        <w:left w:val="none" w:sz="0" w:space="0" w:color="auto"/>
        <w:bottom w:val="none" w:sz="0" w:space="0" w:color="auto"/>
        <w:right w:val="none" w:sz="0" w:space="0" w:color="auto"/>
      </w:divBdr>
    </w:div>
    <w:div w:id="135419436">
      <w:bodyDiv w:val="1"/>
      <w:marLeft w:val="0"/>
      <w:marRight w:val="0"/>
      <w:marTop w:val="0"/>
      <w:marBottom w:val="0"/>
      <w:divBdr>
        <w:top w:val="none" w:sz="0" w:space="0" w:color="auto"/>
        <w:left w:val="none" w:sz="0" w:space="0" w:color="auto"/>
        <w:bottom w:val="none" w:sz="0" w:space="0" w:color="auto"/>
        <w:right w:val="none" w:sz="0" w:space="0" w:color="auto"/>
      </w:divBdr>
    </w:div>
    <w:div w:id="135419993">
      <w:bodyDiv w:val="1"/>
      <w:marLeft w:val="0"/>
      <w:marRight w:val="0"/>
      <w:marTop w:val="0"/>
      <w:marBottom w:val="0"/>
      <w:divBdr>
        <w:top w:val="none" w:sz="0" w:space="0" w:color="auto"/>
        <w:left w:val="none" w:sz="0" w:space="0" w:color="auto"/>
        <w:bottom w:val="none" w:sz="0" w:space="0" w:color="auto"/>
        <w:right w:val="none" w:sz="0" w:space="0" w:color="auto"/>
      </w:divBdr>
    </w:div>
    <w:div w:id="135491566">
      <w:bodyDiv w:val="1"/>
      <w:marLeft w:val="0"/>
      <w:marRight w:val="0"/>
      <w:marTop w:val="0"/>
      <w:marBottom w:val="0"/>
      <w:divBdr>
        <w:top w:val="none" w:sz="0" w:space="0" w:color="auto"/>
        <w:left w:val="none" w:sz="0" w:space="0" w:color="auto"/>
        <w:bottom w:val="none" w:sz="0" w:space="0" w:color="auto"/>
        <w:right w:val="none" w:sz="0" w:space="0" w:color="auto"/>
      </w:divBdr>
    </w:div>
    <w:div w:id="135607901">
      <w:bodyDiv w:val="1"/>
      <w:marLeft w:val="0"/>
      <w:marRight w:val="0"/>
      <w:marTop w:val="0"/>
      <w:marBottom w:val="0"/>
      <w:divBdr>
        <w:top w:val="none" w:sz="0" w:space="0" w:color="auto"/>
        <w:left w:val="none" w:sz="0" w:space="0" w:color="auto"/>
        <w:bottom w:val="none" w:sz="0" w:space="0" w:color="auto"/>
        <w:right w:val="none" w:sz="0" w:space="0" w:color="auto"/>
      </w:divBdr>
    </w:div>
    <w:div w:id="135613127">
      <w:bodyDiv w:val="1"/>
      <w:marLeft w:val="0"/>
      <w:marRight w:val="0"/>
      <w:marTop w:val="0"/>
      <w:marBottom w:val="0"/>
      <w:divBdr>
        <w:top w:val="none" w:sz="0" w:space="0" w:color="auto"/>
        <w:left w:val="none" w:sz="0" w:space="0" w:color="auto"/>
        <w:bottom w:val="none" w:sz="0" w:space="0" w:color="auto"/>
        <w:right w:val="none" w:sz="0" w:space="0" w:color="auto"/>
      </w:divBdr>
    </w:div>
    <w:div w:id="135683792">
      <w:bodyDiv w:val="1"/>
      <w:marLeft w:val="0"/>
      <w:marRight w:val="0"/>
      <w:marTop w:val="0"/>
      <w:marBottom w:val="0"/>
      <w:divBdr>
        <w:top w:val="none" w:sz="0" w:space="0" w:color="auto"/>
        <w:left w:val="none" w:sz="0" w:space="0" w:color="auto"/>
        <w:bottom w:val="none" w:sz="0" w:space="0" w:color="auto"/>
        <w:right w:val="none" w:sz="0" w:space="0" w:color="auto"/>
      </w:divBdr>
    </w:div>
    <w:div w:id="135685929">
      <w:bodyDiv w:val="1"/>
      <w:marLeft w:val="0"/>
      <w:marRight w:val="0"/>
      <w:marTop w:val="0"/>
      <w:marBottom w:val="0"/>
      <w:divBdr>
        <w:top w:val="none" w:sz="0" w:space="0" w:color="auto"/>
        <w:left w:val="none" w:sz="0" w:space="0" w:color="auto"/>
        <w:bottom w:val="none" w:sz="0" w:space="0" w:color="auto"/>
        <w:right w:val="none" w:sz="0" w:space="0" w:color="auto"/>
      </w:divBdr>
    </w:div>
    <w:div w:id="135727740">
      <w:bodyDiv w:val="1"/>
      <w:marLeft w:val="0"/>
      <w:marRight w:val="0"/>
      <w:marTop w:val="0"/>
      <w:marBottom w:val="0"/>
      <w:divBdr>
        <w:top w:val="none" w:sz="0" w:space="0" w:color="auto"/>
        <w:left w:val="none" w:sz="0" w:space="0" w:color="auto"/>
        <w:bottom w:val="none" w:sz="0" w:space="0" w:color="auto"/>
        <w:right w:val="none" w:sz="0" w:space="0" w:color="auto"/>
      </w:divBdr>
    </w:div>
    <w:div w:id="135801694">
      <w:bodyDiv w:val="1"/>
      <w:marLeft w:val="0"/>
      <w:marRight w:val="0"/>
      <w:marTop w:val="0"/>
      <w:marBottom w:val="0"/>
      <w:divBdr>
        <w:top w:val="none" w:sz="0" w:space="0" w:color="auto"/>
        <w:left w:val="none" w:sz="0" w:space="0" w:color="auto"/>
        <w:bottom w:val="none" w:sz="0" w:space="0" w:color="auto"/>
        <w:right w:val="none" w:sz="0" w:space="0" w:color="auto"/>
      </w:divBdr>
    </w:div>
    <w:div w:id="135873978">
      <w:bodyDiv w:val="1"/>
      <w:marLeft w:val="0"/>
      <w:marRight w:val="0"/>
      <w:marTop w:val="0"/>
      <w:marBottom w:val="0"/>
      <w:divBdr>
        <w:top w:val="none" w:sz="0" w:space="0" w:color="auto"/>
        <w:left w:val="none" w:sz="0" w:space="0" w:color="auto"/>
        <w:bottom w:val="none" w:sz="0" w:space="0" w:color="auto"/>
        <w:right w:val="none" w:sz="0" w:space="0" w:color="auto"/>
      </w:divBdr>
    </w:div>
    <w:div w:id="136069507">
      <w:bodyDiv w:val="1"/>
      <w:marLeft w:val="0"/>
      <w:marRight w:val="0"/>
      <w:marTop w:val="0"/>
      <w:marBottom w:val="0"/>
      <w:divBdr>
        <w:top w:val="none" w:sz="0" w:space="0" w:color="auto"/>
        <w:left w:val="none" w:sz="0" w:space="0" w:color="auto"/>
        <w:bottom w:val="none" w:sz="0" w:space="0" w:color="auto"/>
        <w:right w:val="none" w:sz="0" w:space="0" w:color="auto"/>
      </w:divBdr>
    </w:div>
    <w:div w:id="136260343">
      <w:bodyDiv w:val="1"/>
      <w:marLeft w:val="0"/>
      <w:marRight w:val="0"/>
      <w:marTop w:val="0"/>
      <w:marBottom w:val="0"/>
      <w:divBdr>
        <w:top w:val="none" w:sz="0" w:space="0" w:color="auto"/>
        <w:left w:val="none" w:sz="0" w:space="0" w:color="auto"/>
        <w:bottom w:val="none" w:sz="0" w:space="0" w:color="auto"/>
        <w:right w:val="none" w:sz="0" w:space="0" w:color="auto"/>
      </w:divBdr>
    </w:div>
    <w:div w:id="136387536">
      <w:bodyDiv w:val="1"/>
      <w:marLeft w:val="0"/>
      <w:marRight w:val="0"/>
      <w:marTop w:val="0"/>
      <w:marBottom w:val="0"/>
      <w:divBdr>
        <w:top w:val="none" w:sz="0" w:space="0" w:color="auto"/>
        <w:left w:val="none" w:sz="0" w:space="0" w:color="auto"/>
        <w:bottom w:val="none" w:sz="0" w:space="0" w:color="auto"/>
        <w:right w:val="none" w:sz="0" w:space="0" w:color="auto"/>
      </w:divBdr>
    </w:div>
    <w:div w:id="136412286">
      <w:bodyDiv w:val="1"/>
      <w:marLeft w:val="0"/>
      <w:marRight w:val="0"/>
      <w:marTop w:val="0"/>
      <w:marBottom w:val="0"/>
      <w:divBdr>
        <w:top w:val="none" w:sz="0" w:space="0" w:color="auto"/>
        <w:left w:val="none" w:sz="0" w:space="0" w:color="auto"/>
        <w:bottom w:val="none" w:sz="0" w:space="0" w:color="auto"/>
        <w:right w:val="none" w:sz="0" w:space="0" w:color="auto"/>
      </w:divBdr>
    </w:div>
    <w:div w:id="136577998">
      <w:bodyDiv w:val="1"/>
      <w:marLeft w:val="0"/>
      <w:marRight w:val="0"/>
      <w:marTop w:val="0"/>
      <w:marBottom w:val="0"/>
      <w:divBdr>
        <w:top w:val="none" w:sz="0" w:space="0" w:color="auto"/>
        <w:left w:val="none" w:sz="0" w:space="0" w:color="auto"/>
        <w:bottom w:val="none" w:sz="0" w:space="0" w:color="auto"/>
        <w:right w:val="none" w:sz="0" w:space="0" w:color="auto"/>
      </w:divBdr>
    </w:div>
    <w:div w:id="136607508">
      <w:bodyDiv w:val="1"/>
      <w:marLeft w:val="0"/>
      <w:marRight w:val="0"/>
      <w:marTop w:val="0"/>
      <w:marBottom w:val="0"/>
      <w:divBdr>
        <w:top w:val="none" w:sz="0" w:space="0" w:color="auto"/>
        <w:left w:val="none" w:sz="0" w:space="0" w:color="auto"/>
        <w:bottom w:val="none" w:sz="0" w:space="0" w:color="auto"/>
        <w:right w:val="none" w:sz="0" w:space="0" w:color="auto"/>
      </w:divBdr>
    </w:div>
    <w:div w:id="136724815">
      <w:bodyDiv w:val="1"/>
      <w:marLeft w:val="0"/>
      <w:marRight w:val="0"/>
      <w:marTop w:val="0"/>
      <w:marBottom w:val="0"/>
      <w:divBdr>
        <w:top w:val="none" w:sz="0" w:space="0" w:color="auto"/>
        <w:left w:val="none" w:sz="0" w:space="0" w:color="auto"/>
        <w:bottom w:val="none" w:sz="0" w:space="0" w:color="auto"/>
        <w:right w:val="none" w:sz="0" w:space="0" w:color="auto"/>
      </w:divBdr>
    </w:div>
    <w:div w:id="136729161">
      <w:bodyDiv w:val="1"/>
      <w:marLeft w:val="0"/>
      <w:marRight w:val="0"/>
      <w:marTop w:val="0"/>
      <w:marBottom w:val="0"/>
      <w:divBdr>
        <w:top w:val="none" w:sz="0" w:space="0" w:color="auto"/>
        <w:left w:val="none" w:sz="0" w:space="0" w:color="auto"/>
        <w:bottom w:val="none" w:sz="0" w:space="0" w:color="auto"/>
        <w:right w:val="none" w:sz="0" w:space="0" w:color="auto"/>
      </w:divBdr>
    </w:div>
    <w:div w:id="136799954">
      <w:bodyDiv w:val="1"/>
      <w:marLeft w:val="0"/>
      <w:marRight w:val="0"/>
      <w:marTop w:val="0"/>
      <w:marBottom w:val="0"/>
      <w:divBdr>
        <w:top w:val="none" w:sz="0" w:space="0" w:color="auto"/>
        <w:left w:val="none" w:sz="0" w:space="0" w:color="auto"/>
        <w:bottom w:val="none" w:sz="0" w:space="0" w:color="auto"/>
        <w:right w:val="none" w:sz="0" w:space="0" w:color="auto"/>
      </w:divBdr>
    </w:div>
    <w:div w:id="136993268">
      <w:bodyDiv w:val="1"/>
      <w:marLeft w:val="0"/>
      <w:marRight w:val="0"/>
      <w:marTop w:val="0"/>
      <w:marBottom w:val="0"/>
      <w:divBdr>
        <w:top w:val="none" w:sz="0" w:space="0" w:color="auto"/>
        <w:left w:val="none" w:sz="0" w:space="0" w:color="auto"/>
        <w:bottom w:val="none" w:sz="0" w:space="0" w:color="auto"/>
        <w:right w:val="none" w:sz="0" w:space="0" w:color="auto"/>
      </w:divBdr>
    </w:div>
    <w:div w:id="136998241">
      <w:bodyDiv w:val="1"/>
      <w:marLeft w:val="0"/>
      <w:marRight w:val="0"/>
      <w:marTop w:val="0"/>
      <w:marBottom w:val="0"/>
      <w:divBdr>
        <w:top w:val="none" w:sz="0" w:space="0" w:color="auto"/>
        <w:left w:val="none" w:sz="0" w:space="0" w:color="auto"/>
        <w:bottom w:val="none" w:sz="0" w:space="0" w:color="auto"/>
        <w:right w:val="none" w:sz="0" w:space="0" w:color="auto"/>
      </w:divBdr>
    </w:div>
    <w:div w:id="137038998">
      <w:bodyDiv w:val="1"/>
      <w:marLeft w:val="0"/>
      <w:marRight w:val="0"/>
      <w:marTop w:val="0"/>
      <w:marBottom w:val="0"/>
      <w:divBdr>
        <w:top w:val="none" w:sz="0" w:space="0" w:color="auto"/>
        <w:left w:val="none" w:sz="0" w:space="0" w:color="auto"/>
        <w:bottom w:val="none" w:sz="0" w:space="0" w:color="auto"/>
        <w:right w:val="none" w:sz="0" w:space="0" w:color="auto"/>
      </w:divBdr>
    </w:div>
    <w:div w:id="137187643">
      <w:bodyDiv w:val="1"/>
      <w:marLeft w:val="0"/>
      <w:marRight w:val="0"/>
      <w:marTop w:val="0"/>
      <w:marBottom w:val="0"/>
      <w:divBdr>
        <w:top w:val="none" w:sz="0" w:space="0" w:color="auto"/>
        <w:left w:val="none" w:sz="0" w:space="0" w:color="auto"/>
        <w:bottom w:val="none" w:sz="0" w:space="0" w:color="auto"/>
        <w:right w:val="none" w:sz="0" w:space="0" w:color="auto"/>
      </w:divBdr>
    </w:div>
    <w:div w:id="137453423">
      <w:bodyDiv w:val="1"/>
      <w:marLeft w:val="0"/>
      <w:marRight w:val="0"/>
      <w:marTop w:val="0"/>
      <w:marBottom w:val="0"/>
      <w:divBdr>
        <w:top w:val="none" w:sz="0" w:space="0" w:color="auto"/>
        <w:left w:val="none" w:sz="0" w:space="0" w:color="auto"/>
        <w:bottom w:val="none" w:sz="0" w:space="0" w:color="auto"/>
        <w:right w:val="none" w:sz="0" w:space="0" w:color="auto"/>
      </w:divBdr>
    </w:div>
    <w:div w:id="137454274">
      <w:bodyDiv w:val="1"/>
      <w:marLeft w:val="0"/>
      <w:marRight w:val="0"/>
      <w:marTop w:val="0"/>
      <w:marBottom w:val="0"/>
      <w:divBdr>
        <w:top w:val="none" w:sz="0" w:space="0" w:color="auto"/>
        <w:left w:val="none" w:sz="0" w:space="0" w:color="auto"/>
        <w:bottom w:val="none" w:sz="0" w:space="0" w:color="auto"/>
        <w:right w:val="none" w:sz="0" w:space="0" w:color="auto"/>
      </w:divBdr>
    </w:div>
    <w:div w:id="137458275">
      <w:bodyDiv w:val="1"/>
      <w:marLeft w:val="0"/>
      <w:marRight w:val="0"/>
      <w:marTop w:val="0"/>
      <w:marBottom w:val="0"/>
      <w:divBdr>
        <w:top w:val="none" w:sz="0" w:space="0" w:color="auto"/>
        <w:left w:val="none" w:sz="0" w:space="0" w:color="auto"/>
        <w:bottom w:val="none" w:sz="0" w:space="0" w:color="auto"/>
        <w:right w:val="none" w:sz="0" w:space="0" w:color="auto"/>
      </w:divBdr>
    </w:div>
    <w:div w:id="137500162">
      <w:bodyDiv w:val="1"/>
      <w:marLeft w:val="0"/>
      <w:marRight w:val="0"/>
      <w:marTop w:val="0"/>
      <w:marBottom w:val="0"/>
      <w:divBdr>
        <w:top w:val="none" w:sz="0" w:space="0" w:color="auto"/>
        <w:left w:val="none" w:sz="0" w:space="0" w:color="auto"/>
        <w:bottom w:val="none" w:sz="0" w:space="0" w:color="auto"/>
        <w:right w:val="none" w:sz="0" w:space="0" w:color="auto"/>
      </w:divBdr>
    </w:div>
    <w:div w:id="137576198">
      <w:bodyDiv w:val="1"/>
      <w:marLeft w:val="0"/>
      <w:marRight w:val="0"/>
      <w:marTop w:val="0"/>
      <w:marBottom w:val="0"/>
      <w:divBdr>
        <w:top w:val="none" w:sz="0" w:space="0" w:color="auto"/>
        <w:left w:val="none" w:sz="0" w:space="0" w:color="auto"/>
        <w:bottom w:val="none" w:sz="0" w:space="0" w:color="auto"/>
        <w:right w:val="none" w:sz="0" w:space="0" w:color="auto"/>
      </w:divBdr>
    </w:div>
    <w:div w:id="137576714">
      <w:bodyDiv w:val="1"/>
      <w:marLeft w:val="0"/>
      <w:marRight w:val="0"/>
      <w:marTop w:val="0"/>
      <w:marBottom w:val="0"/>
      <w:divBdr>
        <w:top w:val="none" w:sz="0" w:space="0" w:color="auto"/>
        <w:left w:val="none" w:sz="0" w:space="0" w:color="auto"/>
        <w:bottom w:val="none" w:sz="0" w:space="0" w:color="auto"/>
        <w:right w:val="none" w:sz="0" w:space="0" w:color="auto"/>
      </w:divBdr>
    </w:div>
    <w:div w:id="137693048">
      <w:bodyDiv w:val="1"/>
      <w:marLeft w:val="0"/>
      <w:marRight w:val="0"/>
      <w:marTop w:val="0"/>
      <w:marBottom w:val="0"/>
      <w:divBdr>
        <w:top w:val="none" w:sz="0" w:space="0" w:color="auto"/>
        <w:left w:val="none" w:sz="0" w:space="0" w:color="auto"/>
        <w:bottom w:val="none" w:sz="0" w:space="0" w:color="auto"/>
        <w:right w:val="none" w:sz="0" w:space="0" w:color="auto"/>
      </w:divBdr>
    </w:div>
    <w:div w:id="137693085">
      <w:bodyDiv w:val="1"/>
      <w:marLeft w:val="0"/>
      <w:marRight w:val="0"/>
      <w:marTop w:val="0"/>
      <w:marBottom w:val="0"/>
      <w:divBdr>
        <w:top w:val="none" w:sz="0" w:space="0" w:color="auto"/>
        <w:left w:val="none" w:sz="0" w:space="0" w:color="auto"/>
        <w:bottom w:val="none" w:sz="0" w:space="0" w:color="auto"/>
        <w:right w:val="none" w:sz="0" w:space="0" w:color="auto"/>
      </w:divBdr>
    </w:div>
    <w:div w:id="137769403">
      <w:bodyDiv w:val="1"/>
      <w:marLeft w:val="0"/>
      <w:marRight w:val="0"/>
      <w:marTop w:val="0"/>
      <w:marBottom w:val="0"/>
      <w:divBdr>
        <w:top w:val="none" w:sz="0" w:space="0" w:color="auto"/>
        <w:left w:val="none" w:sz="0" w:space="0" w:color="auto"/>
        <w:bottom w:val="none" w:sz="0" w:space="0" w:color="auto"/>
        <w:right w:val="none" w:sz="0" w:space="0" w:color="auto"/>
      </w:divBdr>
    </w:div>
    <w:div w:id="138033317">
      <w:bodyDiv w:val="1"/>
      <w:marLeft w:val="0"/>
      <w:marRight w:val="0"/>
      <w:marTop w:val="0"/>
      <w:marBottom w:val="0"/>
      <w:divBdr>
        <w:top w:val="none" w:sz="0" w:space="0" w:color="auto"/>
        <w:left w:val="none" w:sz="0" w:space="0" w:color="auto"/>
        <w:bottom w:val="none" w:sz="0" w:space="0" w:color="auto"/>
        <w:right w:val="none" w:sz="0" w:space="0" w:color="auto"/>
      </w:divBdr>
    </w:div>
    <w:div w:id="138041182">
      <w:bodyDiv w:val="1"/>
      <w:marLeft w:val="0"/>
      <w:marRight w:val="0"/>
      <w:marTop w:val="0"/>
      <w:marBottom w:val="0"/>
      <w:divBdr>
        <w:top w:val="none" w:sz="0" w:space="0" w:color="auto"/>
        <w:left w:val="none" w:sz="0" w:space="0" w:color="auto"/>
        <w:bottom w:val="none" w:sz="0" w:space="0" w:color="auto"/>
        <w:right w:val="none" w:sz="0" w:space="0" w:color="auto"/>
      </w:divBdr>
    </w:div>
    <w:div w:id="138110735">
      <w:bodyDiv w:val="1"/>
      <w:marLeft w:val="0"/>
      <w:marRight w:val="0"/>
      <w:marTop w:val="0"/>
      <w:marBottom w:val="0"/>
      <w:divBdr>
        <w:top w:val="none" w:sz="0" w:space="0" w:color="auto"/>
        <w:left w:val="none" w:sz="0" w:space="0" w:color="auto"/>
        <w:bottom w:val="none" w:sz="0" w:space="0" w:color="auto"/>
        <w:right w:val="none" w:sz="0" w:space="0" w:color="auto"/>
      </w:divBdr>
    </w:div>
    <w:div w:id="138153078">
      <w:bodyDiv w:val="1"/>
      <w:marLeft w:val="0"/>
      <w:marRight w:val="0"/>
      <w:marTop w:val="0"/>
      <w:marBottom w:val="0"/>
      <w:divBdr>
        <w:top w:val="none" w:sz="0" w:space="0" w:color="auto"/>
        <w:left w:val="none" w:sz="0" w:space="0" w:color="auto"/>
        <w:bottom w:val="none" w:sz="0" w:space="0" w:color="auto"/>
        <w:right w:val="none" w:sz="0" w:space="0" w:color="auto"/>
      </w:divBdr>
    </w:div>
    <w:div w:id="138301462">
      <w:bodyDiv w:val="1"/>
      <w:marLeft w:val="0"/>
      <w:marRight w:val="0"/>
      <w:marTop w:val="0"/>
      <w:marBottom w:val="0"/>
      <w:divBdr>
        <w:top w:val="none" w:sz="0" w:space="0" w:color="auto"/>
        <w:left w:val="none" w:sz="0" w:space="0" w:color="auto"/>
        <w:bottom w:val="none" w:sz="0" w:space="0" w:color="auto"/>
        <w:right w:val="none" w:sz="0" w:space="0" w:color="auto"/>
      </w:divBdr>
    </w:div>
    <w:div w:id="138303231">
      <w:bodyDiv w:val="1"/>
      <w:marLeft w:val="0"/>
      <w:marRight w:val="0"/>
      <w:marTop w:val="0"/>
      <w:marBottom w:val="0"/>
      <w:divBdr>
        <w:top w:val="none" w:sz="0" w:space="0" w:color="auto"/>
        <w:left w:val="none" w:sz="0" w:space="0" w:color="auto"/>
        <w:bottom w:val="none" w:sz="0" w:space="0" w:color="auto"/>
        <w:right w:val="none" w:sz="0" w:space="0" w:color="auto"/>
      </w:divBdr>
    </w:div>
    <w:div w:id="138303496">
      <w:bodyDiv w:val="1"/>
      <w:marLeft w:val="0"/>
      <w:marRight w:val="0"/>
      <w:marTop w:val="0"/>
      <w:marBottom w:val="0"/>
      <w:divBdr>
        <w:top w:val="none" w:sz="0" w:space="0" w:color="auto"/>
        <w:left w:val="none" w:sz="0" w:space="0" w:color="auto"/>
        <w:bottom w:val="none" w:sz="0" w:space="0" w:color="auto"/>
        <w:right w:val="none" w:sz="0" w:space="0" w:color="auto"/>
      </w:divBdr>
    </w:div>
    <w:div w:id="138422700">
      <w:bodyDiv w:val="1"/>
      <w:marLeft w:val="0"/>
      <w:marRight w:val="0"/>
      <w:marTop w:val="0"/>
      <w:marBottom w:val="0"/>
      <w:divBdr>
        <w:top w:val="none" w:sz="0" w:space="0" w:color="auto"/>
        <w:left w:val="none" w:sz="0" w:space="0" w:color="auto"/>
        <w:bottom w:val="none" w:sz="0" w:space="0" w:color="auto"/>
        <w:right w:val="none" w:sz="0" w:space="0" w:color="auto"/>
      </w:divBdr>
    </w:div>
    <w:div w:id="138500696">
      <w:bodyDiv w:val="1"/>
      <w:marLeft w:val="0"/>
      <w:marRight w:val="0"/>
      <w:marTop w:val="0"/>
      <w:marBottom w:val="0"/>
      <w:divBdr>
        <w:top w:val="none" w:sz="0" w:space="0" w:color="auto"/>
        <w:left w:val="none" w:sz="0" w:space="0" w:color="auto"/>
        <w:bottom w:val="none" w:sz="0" w:space="0" w:color="auto"/>
        <w:right w:val="none" w:sz="0" w:space="0" w:color="auto"/>
      </w:divBdr>
    </w:div>
    <w:div w:id="138571257">
      <w:bodyDiv w:val="1"/>
      <w:marLeft w:val="0"/>
      <w:marRight w:val="0"/>
      <w:marTop w:val="0"/>
      <w:marBottom w:val="0"/>
      <w:divBdr>
        <w:top w:val="none" w:sz="0" w:space="0" w:color="auto"/>
        <w:left w:val="none" w:sz="0" w:space="0" w:color="auto"/>
        <w:bottom w:val="none" w:sz="0" w:space="0" w:color="auto"/>
        <w:right w:val="none" w:sz="0" w:space="0" w:color="auto"/>
      </w:divBdr>
    </w:div>
    <w:div w:id="138574643">
      <w:bodyDiv w:val="1"/>
      <w:marLeft w:val="0"/>
      <w:marRight w:val="0"/>
      <w:marTop w:val="0"/>
      <w:marBottom w:val="0"/>
      <w:divBdr>
        <w:top w:val="none" w:sz="0" w:space="0" w:color="auto"/>
        <w:left w:val="none" w:sz="0" w:space="0" w:color="auto"/>
        <w:bottom w:val="none" w:sz="0" w:space="0" w:color="auto"/>
        <w:right w:val="none" w:sz="0" w:space="0" w:color="auto"/>
      </w:divBdr>
    </w:div>
    <w:div w:id="138772116">
      <w:bodyDiv w:val="1"/>
      <w:marLeft w:val="0"/>
      <w:marRight w:val="0"/>
      <w:marTop w:val="0"/>
      <w:marBottom w:val="0"/>
      <w:divBdr>
        <w:top w:val="none" w:sz="0" w:space="0" w:color="auto"/>
        <w:left w:val="none" w:sz="0" w:space="0" w:color="auto"/>
        <w:bottom w:val="none" w:sz="0" w:space="0" w:color="auto"/>
        <w:right w:val="none" w:sz="0" w:space="0" w:color="auto"/>
      </w:divBdr>
    </w:div>
    <w:div w:id="138882265">
      <w:bodyDiv w:val="1"/>
      <w:marLeft w:val="0"/>
      <w:marRight w:val="0"/>
      <w:marTop w:val="0"/>
      <w:marBottom w:val="0"/>
      <w:divBdr>
        <w:top w:val="none" w:sz="0" w:space="0" w:color="auto"/>
        <w:left w:val="none" w:sz="0" w:space="0" w:color="auto"/>
        <w:bottom w:val="none" w:sz="0" w:space="0" w:color="auto"/>
        <w:right w:val="none" w:sz="0" w:space="0" w:color="auto"/>
      </w:divBdr>
    </w:div>
    <w:div w:id="138884028">
      <w:bodyDiv w:val="1"/>
      <w:marLeft w:val="0"/>
      <w:marRight w:val="0"/>
      <w:marTop w:val="0"/>
      <w:marBottom w:val="0"/>
      <w:divBdr>
        <w:top w:val="none" w:sz="0" w:space="0" w:color="auto"/>
        <w:left w:val="none" w:sz="0" w:space="0" w:color="auto"/>
        <w:bottom w:val="none" w:sz="0" w:space="0" w:color="auto"/>
        <w:right w:val="none" w:sz="0" w:space="0" w:color="auto"/>
      </w:divBdr>
    </w:div>
    <w:div w:id="138884122">
      <w:bodyDiv w:val="1"/>
      <w:marLeft w:val="0"/>
      <w:marRight w:val="0"/>
      <w:marTop w:val="0"/>
      <w:marBottom w:val="0"/>
      <w:divBdr>
        <w:top w:val="none" w:sz="0" w:space="0" w:color="auto"/>
        <w:left w:val="none" w:sz="0" w:space="0" w:color="auto"/>
        <w:bottom w:val="none" w:sz="0" w:space="0" w:color="auto"/>
        <w:right w:val="none" w:sz="0" w:space="0" w:color="auto"/>
      </w:divBdr>
    </w:div>
    <w:div w:id="138888233">
      <w:bodyDiv w:val="1"/>
      <w:marLeft w:val="0"/>
      <w:marRight w:val="0"/>
      <w:marTop w:val="0"/>
      <w:marBottom w:val="0"/>
      <w:divBdr>
        <w:top w:val="none" w:sz="0" w:space="0" w:color="auto"/>
        <w:left w:val="none" w:sz="0" w:space="0" w:color="auto"/>
        <w:bottom w:val="none" w:sz="0" w:space="0" w:color="auto"/>
        <w:right w:val="none" w:sz="0" w:space="0" w:color="auto"/>
      </w:divBdr>
    </w:div>
    <w:div w:id="139002612">
      <w:bodyDiv w:val="1"/>
      <w:marLeft w:val="0"/>
      <w:marRight w:val="0"/>
      <w:marTop w:val="0"/>
      <w:marBottom w:val="0"/>
      <w:divBdr>
        <w:top w:val="none" w:sz="0" w:space="0" w:color="auto"/>
        <w:left w:val="none" w:sz="0" w:space="0" w:color="auto"/>
        <w:bottom w:val="none" w:sz="0" w:space="0" w:color="auto"/>
        <w:right w:val="none" w:sz="0" w:space="0" w:color="auto"/>
      </w:divBdr>
    </w:div>
    <w:div w:id="139269261">
      <w:bodyDiv w:val="1"/>
      <w:marLeft w:val="0"/>
      <w:marRight w:val="0"/>
      <w:marTop w:val="0"/>
      <w:marBottom w:val="0"/>
      <w:divBdr>
        <w:top w:val="none" w:sz="0" w:space="0" w:color="auto"/>
        <w:left w:val="none" w:sz="0" w:space="0" w:color="auto"/>
        <w:bottom w:val="none" w:sz="0" w:space="0" w:color="auto"/>
        <w:right w:val="none" w:sz="0" w:space="0" w:color="auto"/>
      </w:divBdr>
    </w:div>
    <w:div w:id="139272090">
      <w:bodyDiv w:val="1"/>
      <w:marLeft w:val="0"/>
      <w:marRight w:val="0"/>
      <w:marTop w:val="0"/>
      <w:marBottom w:val="0"/>
      <w:divBdr>
        <w:top w:val="none" w:sz="0" w:space="0" w:color="auto"/>
        <w:left w:val="none" w:sz="0" w:space="0" w:color="auto"/>
        <w:bottom w:val="none" w:sz="0" w:space="0" w:color="auto"/>
        <w:right w:val="none" w:sz="0" w:space="0" w:color="auto"/>
      </w:divBdr>
    </w:div>
    <w:div w:id="139467647">
      <w:bodyDiv w:val="1"/>
      <w:marLeft w:val="0"/>
      <w:marRight w:val="0"/>
      <w:marTop w:val="0"/>
      <w:marBottom w:val="0"/>
      <w:divBdr>
        <w:top w:val="none" w:sz="0" w:space="0" w:color="auto"/>
        <w:left w:val="none" w:sz="0" w:space="0" w:color="auto"/>
        <w:bottom w:val="none" w:sz="0" w:space="0" w:color="auto"/>
        <w:right w:val="none" w:sz="0" w:space="0" w:color="auto"/>
      </w:divBdr>
    </w:div>
    <w:div w:id="139814351">
      <w:bodyDiv w:val="1"/>
      <w:marLeft w:val="0"/>
      <w:marRight w:val="0"/>
      <w:marTop w:val="0"/>
      <w:marBottom w:val="0"/>
      <w:divBdr>
        <w:top w:val="none" w:sz="0" w:space="0" w:color="auto"/>
        <w:left w:val="none" w:sz="0" w:space="0" w:color="auto"/>
        <w:bottom w:val="none" w:sz="0" w:space="0" w:color="auto"/>
        <w:right w:val="none" w:sz="0" w:space="0" w:color="auto"/>
      </w:divBdr>
    </w:div>
    <w:div w:id="139856333">
      <w:bodyDiv w:val="1"/>
      <w:marLeft w:val="0"/>
      <w:marRight w:val="0"/>
      <w:marTop w:val="0"/>
      <w:marBottom w:val="0"/>
      <w:divBdr>
        <w:top w:val="none" w:sz="0" w:space="0" w:color="auto"/>
        <w:left w:val="none" w:sz="0" w:space="0" w:color="auto"/>
        <w:bottom w:val="none" w:sz="0" w:space="0" w:color="auto"/>
        <w:right w:val="none" w:sz="0" w:space="0" w:color="auto"/>
      </w:divBdr>
    </w:div>
    <w:div w:id="139924089">
      <w:bodyDiv w:val="1"/>
      <w:marLeft w:val="0"/>
      <w:marRight w:val="0"/>
      <w:marTop w:val="0"/>
      <w:marBottom w:val="0"/>
      <w:divBdr>
        <w:top w:val="none" w:sz="0" w:space="0" w:color="auto"/>
        <w:left w:val="none" w:sz="0" w:space="0" w:color="auto"/>
        <w:bottom w:val="none" w:sz="0" w:space="0" w:color="auto"/>
        <w:right w:val="none" w:sz="0" w:space="0" w:color="auto"/>
      </w:divBdr>
    </w:div>
    <w:div w:id="140000200">
      <w:bodyDiv w:val="1"/>
      <w:marLeft w:val="0"/>
      <w:marRight w:val="0"/>
      <w:marTop w:val="0"/>
      <w:marBottom w:val="0"/>
      <w:divBdr>
        <w:top w:val="none" w:sz="0" w:space="0" w:color="auto"/>
        <w:left w:val="none" w:sz="0" w:space="0" w:color="auto"/>
        <w:bottom w:val="none" w:sz="0" w:space="0" w:color="auto"/>
        <w:right w:val="none" w:sz="0" w:space="0" w:color="auto"/>
      </w:divBdr>
    </w:div>
    <w:div w:id="140008278">
      <w:bodyDiv w:val="1"/>
      <w:marLeft w:val="0"/>
      <w:marRight w:val="0"/>
      <w:marTop w:val="0"/>
      <w:marBottom w:val="0"/>
      <w:divBdr>
        <w:top w:val="none" w:sz="0" w:space="0" w:color="auto"/>
        <w:left w:val="none" w:sz="0" w:space="0" w:color="auto"/>
        <w:bottom w:val="none" w:sz="0" w:space="0" w:color="auto"/>
        <w:right w:val="none" w:sz="0" w:space="0" w:color="auto"/>
      </w:divBdr>
    </w:div>
    <w:div w:id="140118072">
      <w:bodyDiv w:val="1"/>
      <w:marLeft w:val="0"/>
      <w:marRight w:val="0"/>
      <w:marTop w:val="0"/>
      <w:marBottom w:val="0"/>
      <w:divBdr>
        <w:top w:val="none" w:sz="0" w:space="0" w:color="auto"/>
        <w:left w:val="none" w:sz="0" w:space="0" w:color="auto"/>
        <w:bottom w:val="none" w:sz="0" w:space="0" w:color="auto"/>
        <w:right w:val="none" w:sz="0" w:space="0" w:color="auto"/>
      </w:divBdr>
    </w:div>
    <w:div w:id="140193945">
      <w:bodyDiv w:val="1"/>
      <w:marLeft w:val="0"/>
      <w:marRight w:val="0"/>
      <w:marTop w:val="0"/>
      <w:marBottom w:val="0"/>
      <w:divBdr>
        <w:top w:val="none" w:sz="0" w:space="0" w:color="auto"/>
        <w:left w:val="none" w:sz="0" w:space="0" w:color="auto"/>
        <w:bottom w:val="none" w:sz="0" w:space="0" w:color="auto"/>
        <w:right w:val="none" w:sz="0" w:space="0" w:color="auto"/>
      </w:divBdr>
    </w:div>
    <w:div w:id="140194125">
      <w:bodyDiv w:val="1"/>
      <w:marLeft w:val="0"/>
      <w:marRight w:val="0"/>
      <w:marTop w:val="0"/>
      <w:marBottom w:val="0"/>
      <w:divBdr>
        <w:top w:val="none" w:sz="0" w:space="0" w:color="auto"/>
        <w:left w:val="none" w:sz="0" w:space="0" w:color="auto"/>
        <w:bottom w:val="none" w:sz="0" w:space="0" w:color="auto"/>
        <w:right w:val="none" w:sz="0" w:space="0" w:color="auto"/>
      </w:divBdr>
    </w:div>
    <w:div w:id="140387761">
      <w:bodyDiv w:val="1"/>
      <w:marLeft w:val="0"/>
      <w:marRight w:val="0"/>
      <w:marTop w:val="0"/>
      <w:marBottom w:val="0"/>
      <w:divBdr>
        <w:top w:val="none" w:sz="0" w:space="0" w:color="auto"/>
        <w:left w:val="none" w:sz="0" w:space="0" w:color="auto"/>
        <w:bottom w:val="none" w:sz="0" w:space="0" w:color="auto"/>
        <w:right w:val="none" w:sz="0" w:space="0" w:color="auto"/>
      </w:divBdr>
    </w:div>
    <w:div w:id="140389821">
      <w:bodyDiv w:val="1"/>
      <w:marLeft w:val="0"/>
      <w:marRight w:val="0"/>
      <w:marTop w:val="0"/>
      <w:marBottom w:val="0"/>
      <w:divBdr>
        <w:top w:val="none" w:sz="0" w:space="0" w:color="auto"/>
        <w:left w:val="none" w:sz="0" w:space="0" w:color="auto"/>
        <w:bottom w:val="none" w:sz="0" w:space="0" w:color="auto"/>
        <w:right w:val="none" w:sz="0" w:space="0" w:color="auto"/>
      </w:divBdr>
    </w:div>
    <w:div w:id="140537980">
      <w:bodyDiv w:val="1"/>
      <w:marLeft w:val="0"/>
      <w:marRight w:val="0"/>
      <w:marTop w:val="0"/>
      <w:marBottom w:val="0"/>
      <w:divBdr>
        <w:top w:val="none" w:sz="0" w:space="0" w:color="auto"/>
        <w:left w:val="none" w:sz="0" w:space="0" w:color="auto"/>
        <w:bottom w:val="none" w:sz="0" w:space="0" w:color="auto"/>
        <w:right w:val="none" w:sz="0" w:space="0" w:color="auto"/>
      </w:divBdr>
    </w:div>
    <w:div w:id="140657858">
      <w:bodyDiv w:val="1"/>
      <w:marLeft w:val="0"/>
      <w:marRight w:val="0"/>
      <w:marTop w:val="0"/>
      <w:marBottom w:val="0"/>
      <w:divBdr>
        <w:top w:val="none" w:sz="0" w:space="0" w:color="auto"/>
        <w:left w:val="none" w:sz="0" w:space="0" w:color="auto"/>
        <w:bottom w:val="none" w:sz="0" w:space="0" w:color="auto"/>
        <w:right w:val="none" w:sz="0" w:space="0" w:color="auto"/>
      </w:divBdr>
    </w:div>
    <w:div w:id="140729680">
      <w:bodyDiv w:val="1"/>
      <w:marLeft w:val="0"/>
      <w:marRight w:val="0"/>
      <w:marTop w:val="0"/>
      <w:marBottom w:val="0"/>
      <w:divBdr>
        <w:top w:val="none" w:sz="0" w:space="0" w:color="auto"/>
        <w:left w:val="none" w:sz="0" w:space="0" w:color="auto"/>
        <w:bottom w:val="none" w:sz="0" w:space="0" w:color="auto"/>
        <w:right w:val="none" w:sz="0" w:space="0" w:color="auto"/>
      </w:divBdr>
    </w:div>
    <w:div w:id="140733674">
      <w:bodyDiv w:val="1"/>
      <w:marLeft w:val="0"/>
      <w:marRight w:val="0"/>
      <w:marTop w:val="0"/>
      <w:marBottom w:val="0"/>
      <w:divBdr>
        <w:top w:val="none" w:sz="0" w:space="0" w:color="auto"/>
        <w:left w:val="none" w:sz="0" w:space="0" w:color="auto"/>
        <w:bottom w:val="none" w:sz="0" w:space="0" w:color="auto"/>
        <w:right w:val="none" w:sz="0" w:space="0" w:color="auto"/>
      </w:divBdr>
    </w:div>
    <w:div w:id="140734049">
      <w:bodyDiv w:val="1"/>
      <w:marLeft w:val="0"/>
      <w:marRight w:val="0"/>
      <w:marTop w:val="0"/>
      <w:marBottom w:val="0"/>
      <w:divBdr>
        <w:top w:val="none" w:sz="0" w:space="0" w:color="auto"/>
        <w:left w:val="none" w:sz="0" w:space="0" w:color="auto"/>
        <w:bottom w:val="none" w:sz="0" w:space="0" w:color="auto"/>
        <w:right w:val="none" w:sz="0" w:space="0" w:color="auto"/>
      </w:divBdr>
    </w:div>
    <w:div w:id="140734195">
      <w:bodyDiv w:val="1"/>
      <w:marLeft w:val="0"/>
      <w:marRight w:val="0"/>
      <w:marTop w:val="0"/>
      <w:marBottom w:val="0"/>
      <w:divBdr>
        <w:top w:val="none" w:sz="0" w:space="0" w:color="auto"/>
        <w:left w:val="none" w:sz="0" w:space="0" w:color="auto"/>
        <w:bottom w:val="none" w:sz="0" w:space="0" w:color="auto"/>
        <w:right w:val="none" w:sz="0" w:space="0" w:color="auto"/>
      </w:divBdr>
    </w:div>
    <w:div w:id="140776735">
      <w:bodyDiv w:val="1"/>
      <w:marLeft w:val="0"/>
      <w:marRight w:val="0"/>
      <w:marTop w:val="0"/>
      <w:marBottom w:val="0"/>
      <w:divBdr>
        <w:top w:val="none" w:sz="0" w:space="0" w:color="auto"/>
        <w:left w:val="none" w:sz="0" w:space="0" w:color="auto"/>
        <w:bottom w:val="none" w:sz="0" w:space="0" w:color="auto"/>
        <w:right w:val="none" w:sz="0" w:space="0" w:color="auto"/>
      </w:divBdr>
    </w:div>
    <w:div w:id="140778824">
      <w:bodyDiv w:val="1"/>
      <w:marLeft w:val="0"/>
      <w:marRight w:val="0"/>
      <w:marTop w:val="0"/>
      <w:marBottom w:val="0"/>
      <w:divBdr>
        <w:top w:val="none" w:sz="0" w:space="0" w:color="auto"/>
        <w:left w:val="none" w:sz="0" w:space="0" w:color="auto"/>
        <w:bottom w:val="none" w:sz="0" w:space="0" w:color="auto"/>
        <w:right w:val="none" w:sz="0" w:space="0" w:color="auto"/>
      </w:divBdr>
    </w:div>
    <w:div w:id="140854827">
      <w:bodyDiv w:val="1"/>
      <w:marLeft w:val="0"/>
      <w:marRight w:val="0"/>
      <w:marTop w:val="0"/>
      <w:marBottom w:val="0"/>
      <w:divBdr>
        <w:top w:val="none" w:sz="0" w:space="0" w:color="auto"/>
        <w:left w:val="none" w:sz="0" w:space="0" w:color="auto"/>
        <w:bottom w:val="none" w:sz="0" w:space="0" w:color="auto"/>
        <w:right w:val="none" w:sz="0" w:space="0" w:color="auto"/>
      </w:divBdr>
    </w:div>
    <w:div w:id="140968725">
      <w:bodyDiv w:val="1"/>
      <w:marLeft w:val="0"/>
      <w:marRight w:val="0"/>
      <w:marTop w:val="0"/>
      <w:marBottom w:val="0"/>
      <w:divBdr>
        <w:top w:val="none" w:sz="0" w:space="0" w:color="auto"/>
        <w:left w:val="none" w:sz="0" w:space="0" w:color="auto"/>
        <w:bottom w:val="none" w:sz="0" w:space="0" w:color="auto"/>
        <w:right w:val="none" w:sz="0" w:space="0" w:color="auto"/>
      </w:divBdr>
    </w:div>
    <w:div w:id="141045502">
      <w:bodyDiv w:val="1"/>
      <w:marLeft w:val="0"/>
      <w:marRight w:val="0"/>
      <w:marTop w:val="0"/>
      <w:marBottom w:val="0"/>
      <w:divBdr>
        <w:top w:val="none" w:sz="0" w:space="0" w:color="auto"/>
        <w:left w:val="none" w:sz="0" w:space="0" w:color="auto"/>
        <w:bottom w:val="none" w:sz="0" w:space="0" w:color="auto"/>
        <w:right w:val="none" w:sz="0" w:space="0" w:color="auto"/>
      </w:divBdr>
    </w:div>
    <w:div w:id="141193622">
      <w:bodyDiv w:val="1"/>
      <w:marLeft w:val="0"/>
      <w:marRight w:val="0"/>
      <w:marTop w:val="0"/>
      <w:marBottom w:val="0"/>
      <w:divBdr>
        <w:top w:val="none" w:sz="0" w:space="0" w:color="auto"/>
        <w:left w:val="none" w:sz="0" w:space="0" w:color="auto"/>
        <w:bottom w:val="none" w:sz="0" w:space="0" w:color="auto"/>
        <w:right w:val="none" w:sz="0" w:space="0" w:color="auto"/>
      </w:divBdr>
    </w:div>
    <w:div w:id="141195318">
      <w:bodyDiv w:val="1"/>
      <w:marLeft w:val="0"/>
      <w:marRight w:val="0"/>
      <w:marTop w:val="0"/>
      <w:marBottom w:val="0"/>
      <w:divBdr>
        <w:top w:val="none" w:sz="0" w:space="0" w:color="auto"/>
        <w:left w:val="none" w:sz="0" w:space="0" w:color="auto"/>
        <w:bottom w:val="none" w:sz="0" w:space="0" w:color="auto"/>
        <w:right w:val="none" w:sz="0" w:space="0" w:color="auto"/>
      </w:divBdr>
    </w:div>
    <w:div w:id="141387814">
      <w:bodyDiv w:val="1"/>
      <w:marLeft w:val="0"/>
      <w:marRight w:val="0"/>
      <w:marTop w:val="0"/>
      <w:marBottom w:val="0"/>
      <w:divBdr>
        <w:top w:val="none" w:sz="0" w:space="0" w:color="auto"/>
        <w:left w:val="none" w:sz="0" w:space="0" w:color="auto"/>
        <w:bottom w:val="none" w:sz="0" w:space="0" w:color="auto"/>
        <w:right w:val="none" w:sz="0" w:space="0" w:color="auto"/>
      </w:divBdr>
    </w:div>
    <w:div w:id="141428427">
      <w:bodyDiv w:val="1"/>
      <w:marLeft w:val="0"/>
      <w:marRight w:val="0"/>
      <w:marTop w:val="0"/>
      <w:marBottom w:val="0"/>
      <w:divBdr>
        <w:top w:val="none" w:sz="0" w:space="0" w:color="auto"/>
        <w:left w:val="none" w:sz="0" w:space="0" w:color="auto"/>
        <w:bottom w:val="none" w:sz="0" w:space="0" w:color="auto"/>
        <w:right w:val="none" w:sz="0" w:space="0" w:color="auto"/>
      </w:divBdr>
    </w:div>
    <w:div w:id="141503250">
      <w:bodyDiv w:val="1"/>
      <w:marLeft w:val="0"/>
      <w:marRight w:val="0"/>
      <w:marTop w:val="0"/>
      <w:marBottom w:val="0"/>
      <w:divBdr>
        <w:top w:val="none" w:sz="0" w:space="0" w:color="auto"/>
        <w:left w:val="none" w:sz="0" w:space="0" w:color="auto"/>
        <w:bottom w:val="none" w:sz="0" w:space="0" w:color="auto"/>
        <w:right w:val="none" w:sz="0" w:space="0" w:color="auto"/>
      </w:divBdr>
    </w:div>
    <w:div w:id="141578687">
      <w:bodyDiv w:val="1"/>
      <w:marLeft w:val="0"/>
      <w:marRight w:val="0"/>
      <w:marTop w:val="0"/>
      <w:marBottom w:val="0"/>
      <w:divBdr>
        <w:top w:val="none" w:sz="0" w:space="0" w:color="auto"/>
        <w:left w:val="none" w:sz="0" w:space="0" w:color="auto"/>
        <w:bottom w:val="none" w:sz="0" w:space="0" w:color="auto"/>
        <w:right w:val="none" w:sz="0" w:space="0" w:color="auto"/>
      </w:divBdr>
    </w:div>
    <w:div w:id="141623503">
      <w:bodyDiv w:val="1"/>
      <w:marLeft w:val="0"/>
      <w:marRight w:val="0"/>
      <w:marTop w:val="0"/>
      <w:marBottom w:val="0"/>
      <w:divBdr>
        <w:top w:val="none" w:sz="0" w:space="0" w:color="auto"/>
        <w:left w:val="none" w:sz="0" w:space="0" w:color="auto"/>
        <w:bottom w:val="none" w:sz="0" w:space="0" w:color="auto"/>
        <w:right w:val="none" w:sz="0" w:space="0" w:color="auto"/>
      </w:divBdr>
    </w:div>
    <w:div w:id="141624694">
      <w:bodyDiv w:val="1"/>
      <w:marLeft w:val="0"/>
      <w:marRight w:val="0"/>
      <w:marTop w:val="0"/>
      <w:marBottom w:val="0"/>
      <w:divBdr>
        <w:top w:val="none" w:sz="0" w:space="0" w:color="auto"/>
        <w:left w:val="none" w:sz="0" w:space="0" w:color="auto"/>
        <w:bottom w:val="none" w:sz="0" w:space="0" w:color="auto"/>
        <w:right w:val="none" w:sz="0" w:space="0" w:color="auto"/>
      </w:divBdr>
    </w:div>
    <w:div w:id="141627682">
      <w:bodyDiv w:val="1"/>
      <w:marLeft w:val="0"/>
      <w:marRight w:val="0"/>
      <w:marTop w:val="0"/>
      <w:marBottom w:val="0"/>
      <w:divBdr>
        <w:top w:val="none" w:sz="0" w:space="0" w:color="auto"/>
        <w:left w:val="none" w:sz="0" w:space="0" w:color="auto"/>
        <w:bottom w:val="none" w:sz="0" w:space="0" w:color="auto"/>
        <w:right w:val="none" w:sz="0" w:space="0" w:color="auto"/>
      </w:divBdr>
    </w:div>
    <w:div w:id="141696693">
      <w:bodyDiv w:val="1"/>
      <w:marLeft w:val="0"/>
      <w:marRight w:val="0"/>
      <w:marTop w:val="0"/>
      <w:marBottom w:val="0"/>
      <w:divBdr>
        <w:top w:val="none" w:sz="0" w:space="0" w:color="auto"/>
        <w:left w:val="none" w:sz="0" w:space="0" w:color="auto"/>
        <w:bottom w:val="none" w:sz="0" w:space="0" w:color="auto"/>
        <w:right w:val="none" w:sz="0" w:space="0" w:color="auto"/>
      </w:divBdr>
    </w:div>
    <w:div w:id="141895033">
      <w:bodyDiv w:val="1"/>
      <w:marLeft w:val="0"/>
      <w:marRight w:val="0"/>
      <w:marTop w:val="0"/>
      <w:marBottom w:val="0"/>
      <w:divBdr>
        <w:top w:val="none" w:sz="0" w:space="0" w:color="auto"/>
        <w:left w:val="none" w:sz="0" w:space="0" w:color="auto"/>
        <w:bottom w:val="none" w:sz="0" w:space="0" w:color="auto"/>
        <w:right w:val="none" w:sz="0" w:space="0" w:color="auto"/>
      </w:divBdr>
    </w:div>
    <w:div w:id="142042996">
      <w:bodyDiv w:val="1"/>
      <w:marLeft w:val="0"/>
      <w:marRight w:val="0"/>
      <w:marTop w:val="0"/>
      <w:marBottom w:val="0"/>
      <w:divBdr>
        <w:top w:val="none" w:sz="0" w:space="0" w:color="auto"/>
        <w:left w:val="none" w:sz="0" w:space="0" w:color="auto"/>
        <w:bottom w:val="none" w:sz="0" w:space="0" w:color="auto"/>
        <w:right w:val="none" w:sz="0" w:space="0" w:color="auto"/>
      </w:divBdr>
    </w:div>
    <w:div w:id="142086006">
      <w:bodyDiv w:val="1"/>
      <w:marLeft w:val="0"/>
      <w:marRight w:val="0"/>
      <w:marTop w:val="0"/>
      <w:marBottom w:val="0"/>
      <w:divBdr>
        <w:top w:val="none" w:sz="0" w:space="0" w:color="auto"/>
        <w:left w:val="none" w:sz="0" w:space="0" w:color="auto"/>
        <w:bottom w:val="none" w:sz="0" w:space="0" w:color="auto"/>
        <w:right w:val="none" w:sz="0" w:space="0" w:color="auto"/>
      </w:divBdr>
    </w:div>
    <w:div w:id="142160686">
      <w:bodyDiv w:val="1"/>
      <w:marLeft w:val="0"/>
      <w:marRight w:val="0"/>
      <w:marTop w:val="0"/>
      <w:marBottom w:val="0"/>
      <w:divBdr>
        <w:top w:val="none" w:sz="0" w:space="0" w:color="auto"/>
        <w:left w:val="none" w:sz="0" w:space="0" w:color="auto"/>
        <w:bottom w:val="none" w:sz="0" w:space="0" w:color="auto"/>
        <w:right w:val="none" w:sz="0" w:space="0" w:color="auto"/>
      </w:divBdr>
    </w:div>
    <w:div w:id="142236690">
      <w:bodyDiv w:val="1"/>
      <w:marLeft w:val="0"/>
      <w:marRight w:val="0"/>
      <w:marTop w:val="0"/>
      <w:marBottom w:val="0"/>
      <w:divBdr>
        <w:top w:val="none" w:sz="0" w:space="0" w:color="auto"/>
        <w:left w:val="none" w:sz="0" w:space="0" w:color="auto"/>
        <w:bottom w:val="none" w:sz="0" w:space="0" w:color="auto"/>
        <w:right w:val="none" w:sz="0" w:space="0" w:color="auto"/>
      </w:divBdr>
    </w:div>
    <w:div w:id="142284386">
      <w:bodyDiv w:val="1"/>
      <w:marLeft w:val="0"/>
      <w:marRight w:val="0"/>
      <w:marTop w:val="0"/>
      <w:marBottom w:val="0"/>
      <w:divBdr>
        <w:top w:val="none" w:sz="0" w:space="0" w:color="auto"/>
        <w:left w:val="none" w:sz="0" w:space="0" w:color="auto"/>
        <w:bottom w:val="none" w:sz="0" w:space="0" w:color="auto"/>
        <w:right w:val="none" w:sz="0" w:space="0" w:color="auto"/>
      </w:divBdr>
    </w:div>
    <w:div w:id="142285251">
      <w:bodyDiv w:val="1"/>
      <w:marLeft w:val="0"/>
      <w:marRight w:val="0"/>
      <w:marTop w:val="0"/>
      <w:marBottom w:val="0"/>
      <w:divBdr>
        <w:top w:val="none" w:sz="0" w:space="0" w:color="auto"/>
        <w:left w:val="none" w:sz="0" w:space="0" w:color="auto"/>
        <w:bottom w:val="none" w:sz="0" w:space="0" w:color="auto"/>
        <w:right w:val="none" w:sz="0" w:space="0" w:color="auto"/>
      </w:divBdr>
    </w:div>
    <w:div w:id="142431742">
      <w:bodyDiv w:val="1"/>
      <w:marLeft w:val="0"/>
      <w:marRight w:val="0"/>
      <w:marTop w:val="0"/>
      <w:marBottom w:val="0"/>
      <w:divBdr>
        <w:top w:val="none" w:sz="0" w:space="0" w:color="auto"/>
        <w:left w:val="none" w:sz="0" w:space="0" w:color="auto"/>
        <w:bottom w:val="none" w:sz="0" w:space="0" w:color="auto"/>
        <w:right w:val="none" w:sz="0" w:space="0" w:color="auto"/>
      </w:divBdr>
    </w:div>
    <w:div w:id="142503927">
      <w:bodyDiv w:val="1"/>
      <w:marLeft w:val="0"/>
      <w:marRight w:val="0"/>
      <w:marTop w:val="0"/>
      <w:marBottom w:val="0"/>
      <w:divBdr>
        <w:top w:val="none" w:sz="0" w:space="0" w:color="auto"/>
        <w:left w:val="none" w:sz="0" w:space="0" w:color="auto"/>
        <w:bottom w:val="none" w:sz="0" w:space="0" w:color="auto"/>
        <w:right w:val="none" w:sz="0" w:space="0" w:color="auto"/>
      </w:divBdr>
    </w:div>
    <w:div w:id="142619804">
      <w:bodyDiv w:val="1"/>
      <w:marLeft w:val="0"/>
      <w:marRight w:val="0"/>
      <w:marTop w:val="0"/>
      <w:marBottom w:val="0"/>
      <w:divBdr>
        <w:top w:val="none" w:sz="0" w:space="0" w:color="auto"/>
        <w:left w:val="none" w:sz="0" w:space="0" w:color="auto"/>
        <w:bottom w:val="none" w:sz="0" w:space="0" w:color="auto"/>
        <w:right w:val="none" w:sz="0" w:space="0" w:color="auto"/>
      </w:divBdr>
    </w:div>
    <w:div w:id="142620187">
      <w:bodyDiv w:val="1"/>
      <w:marLeft w:val="0"/>
      <w:marRight w:val="0"/>
      <w:marTop w:val="0"/>
      <w:marBottom w:val="0"/>
      <w:divBdr>
        <w:top w:val="none" w:sz="0" w:space="0" w:color="auto"/>
        <w:left w:val="none" w:sz="0" w:space="0" w:color="auto"/>
        <w:bottom w:val="none" w:sz="0" w:space="0" w:color="auto"/>
        <w:right w:val="none" w:sz="0" w:space="0" w:color="auto"/>
      </w:divBdr>
    </w:div>
    <w:div w:id="142699832">
      <w:bodyDiv w:val="1"/>
      <w:marLeft w:val="0"/>
      <w:marRight w:val="0"/>
      <w:marTop w:val="0"/>
      <w:marBottom w:val="0"/>
      <w:divBdr>
        <w:top w:val="none" w:sz="0" w:space="0" w:color="auto"/>
        <w:left w:val="none" w:sz="0" w:space="0" w:color="auto"/>
        <w:bottom w:val="none" w:sz="0" w:space="0" w:color="auto"/>
        <w:right w:val="none" w:sz="0" w:space="0" w:color="auto"/>
      </w:divBdr>
    </w:div>
    <w:div w:id="142745732">
      <w:bodyDiv w:val="1"/>
      <w:marLeft w:val="0"/>
      <w:marRight w:val="0"/>
      <w:marTop w:val="0"/>
      <w:marBottom w:val="0"/>
      <w:divBdr>
        <w:top w:val="none" w:sz="0" w:space="0" w:color="auto"/>
        <w:left w:val="none" w:sz="0" w:space="0" w:color="auto"/>
        <w:bottom w:val="none" w:sz="0" w:space="0" w:color="auto"/>
        <w:right w:val="none" w:sz="0" w:space="0" w:color="auto"/>
      </w:divBdr>
    </w:div>
    <w:div w:id="142896002">
      <w:bodyDiv w:val="1"/>
      <w:marLeft w:val="0"/>
      <w:marRight w:val="0"/>
      <w:marTop w:val="0"/>
      <w:marBottom w:val="0"/>
      <w:divBdr>
        <w:top w:val="none" w:sz="0" w:space="0" w:color="auto"/>
        <w:left w:val="none" w:sz="0" w:space="0" w:color="auto"/>
        <w:bottom w:val="none" w:sz="0" w:space="0" w:color="auto"/>
        <w:right w:val="none" w:sz="0" w:space="0" w:color="auto"/>
      </w:divBdr>
    </w:div>
    <w:div w:id="142936853">
      <w:bodyDiv w:val="1"/>
      <w:marLeft w:val="0"/>
      <w:marRight w:val="0"/>
      <w:marTop w:val="0"/>
      <w:marBottom w:val="0"/>
      <w:divBdr>
        <w:top w:val="none" w:sz="0" w:space="0" w:color="auto"/>
        <w:left w:val="none" w:sz="0" w:space="0" w:color="auto"/>
        <w:bottom w:val="none" w:sz="0" w:space="0" w:color="auto"/>
        <w:right w:val="none" w:sz="0" w:space="0" w:color="auto"/>
      </w:divBdr>
    </w:div>
    <w:div w:id="143011298">
      <w:bodyDiv w:val="1"/>
      <w:marLeft w:val="0"/>
      <w:marRight w:val="0"/>
      <w:marTop w:val="0"/>
      <w:marBottom w:val="0"/>
      <w:divBdr>
        <w:top w:val="none" w:sz="0" w:space="0" w:color="auto"/>
        <w:left w:val="none" w:sz="0" w:space="0" w:color="auto"/>
        <w:bottom w:val="none" w:sz="0" w:space="0" w:color="auto"/>
        <w:right w:val="none" w:sz="0" w:space="0" w:color="auto"/>
      </w:divBdr>
    </w:div>
    <w:div w:id="143091415">
      <w:bodyDiv w:val="1"/>
      <w:marLeft w:val="0"/>
      <w:marRight w:val="0"/>
      <w:marTop w:val="0"/>
      <w:marBottom w:val="0"/>
      <w:divBdr>
        <w:top w:val="none" w:sz="0" w:space="0" w:color="auto"/>
        <w:left w:val="none" w:sz="0" w:space="0" w:color="auto"/>
        <w:bottom w:val="none" w:sz="0" w:space="0" w:color="auto"/>
        <w:right w:val="none" w:sz="0" w:space="0" w:color="auto"/>
      </w:divBdr>
    </w:div>
    <w:div w:id="143160031">
      <w:bodyDiv w:val="1"/>
      <w:marLeft w:val="0"/>
      <w:marRight w:val="0"/>
      <w:marTop w:val="0"/>
      <w:marBottom w:val="0"/>
      <w:divBdr>
        <w:top w:val="none" w:sz="0" w:space="0" w:color="auto"/>
        <w:left w:val="none" w:sz="0" w:space="0" w:color="auto"/>
        <w:bottom w:val="none" w:sz="0" w:space="0" w:color="auto"/>
        <w:right w:val="none" w:sz="0" w:space="0" w:color="auto"/>
      </w:divBdr>
    </w:div>
    <w:div w:id="143161361">
      <w:bodyDiv w:val="1"/>
      <w:marLeft w:val="0"/>
      <w:marRight w:val="0"/>
      <w:marTop w:val="0"/>
      <w:marBottom w:val="0"/>
      <w:divBdr>
        <w:top w:val="none" w:sz="0" w:space="0" w:color="auto"/>
        <w:left w:val="none" w:sz="0" w:space="0" w:color="auto"/>
        <w:bottom w:val="none" w:sz="0" w:space="0" w:color="auto"/>
        <w:right w:val="none" w:sz="0" w:space="0" w:color="auto"/>
      </w:divBdr>
    </w:div>
    <w:div w:id="143162900">
      <w:bodyDiv w:val="1"/>
      <w:marLeft w:val="0"/>
      <w:marRight w:val="0"/>
      <w:marTop w:val="0"/>
      <w:marBottom w:val="0"/>
      <w:divBdr>
        <w:top w:val="none" w:sz="0" w:space="0" w:color="auto"/>
        <w:left w:val="none" w:sz="0" w:space="0" w:color="auto"/>
        <w:bottom w:val="none" w:sz="0" w:space="0" w:color="auto"/>
        <w:right w:val="none" w:sz="0" w:space="0" w:color="auto"/>
      </w:divBdr>
    </w:div>
    <w:div w:id="143354899">
      <w:bodyDiv w:val="1"/>
      <w:marLeft w:val="0"/>
      <w:marRight w:val="0"/>
      <w:marTop w:val="0"/>
      <w:marBottom w:val="0"/>
      <w:divBdr>
        <w:top w:val="none" w:sz="0" w:space="0" w:color="auto"/>
        <w:left w:val="none" w:sz="0" w:space="0" w:color="auto"/>
        <w:bottom w:val="none" w:sz="0" w:space="0" w:color="auto"/>
        <w:right w:val="none" w:sz="0" w:space="0" w:color="auto"/>
      </w:divBdr>
    </w:div>
    <w:div w:id="143468500">
      <w:bodyDiv w:val="1"/>
      <w:marLeft w:val="0"/>
      <w:marRight w:val="0"/>
      <w:marTop w:val="0"/>
      <w:marBottom w:val="0"/>
      <w:divBdr>
        <w:top w:val="none" w:sz="0" w:space="0" w:color="auto"/>
        <w:left w:val="none" w:sz="0" w:space="0" w:color="auto"/>
        <w:bottom w:val="none" w:sz="0" w:space="0" w:color="auto"/>
        <w:right w:val="none" w:sz="0" w:space="0" w:color="auto"/>
      </w:divBdr>
    </w:div>
    <w:div w:id="143473247">
      <w:bodyDiv w:val="1"/>
      <w:marLeft w:val="0"/>
      <w:marRight w:val="0"/>
      <w:marTop w:val="0"/>
      <w:marBottom w:val="0"/>
      <w:divBdr>
        <w:top w:val="none" w:sz="0" w:space="0" w:color="auto"/>
        <w:left w:val="none" w:sz="0" w:space="0" w:color="auto"/>
        <w:bottom w:val="none" w:sz="0" w:space="0" w:color="auto"/>
        <w:right w:val="none" w:sz="0" w:space="0" w:color="auto"/>
      </w:divBdr>
    </w:div>
    <w:div w:id="143545179">
      <w:bodyDiv w:val="1"/>
      <w:marLeft w:val="0"/>
      <w:marRight w:val="0"/>
      <w:marTop w:val="0"/>
      <w:marBottom w:val="0"/>
      <w:divBdr>
        <w:top w:val="none" w:sz="0" w:space="0" w:color="auto"/>
        <w:left w:val="none" w:sz="0" w:space="0" w:color="auto"/>
        <w:bottom w:val="none" w:sz="0" w:space="0" w:color="auto"/>
        <w:right w:val="none" w:sz="0" w:space="0" w:color="auto"/>
      </w:divBdr>
    </w:div>
    <w:div w:id="143545994">
      <w:bodyDiv w:val="1"/>
      <w:marLeft w:val="0"/>
      <w:marRight w:val="0"/>
      <w:marTop w:val="0"/>
      <w:marBottom w:val="0"/>
      <w:divBdr>
        <w:top w:val="none" w:sz="0" w:space="0" w:color="auto"/>
        <w:left w:val="none" w:sz="0" w:space="0" w:color="auto"/>
        <w:bottom w:val="none" w:sz="0" w:space="0" w:color="auto"/>
        <w:right w:val="none" w:sz="0" w:space="0" w:color="auto"/>
      </w:divBdr>
    </w:div>
    <w:div w:id="143551042">
      <w:bodyDiv w:val="1"/>
      <w:marLeft w:val="0"/>
      <w:marRight w:val="0"/>
      <w:marTop w:val="0"/>
      <w:marBottom w:val="0"/>
      <w:divBdr>
        <w:top w:val="none" w:sz="0" w:space="0" w:color="auto"/>
        <w:left w:val="none" w:sz="0" w:space="0" w:color="auto"/>
        <w:bottom w:val="none" w:sz="0" w:space="0" w:color="auto"/>
        <w:right w:val="none" w:sz="0" w:space="0" w:color="auto"/>
      </w:divBdr>
    </w:div>
    <w:div w:id="143620128">
      <w:bodyDiv w:val="1"/>
      <w:marLeft w:val="0"/>
      <w:marRight w:val="0"/>
      <w:marTop w:val="0"/>
      <w:marBottom w:val="0"/>
      <w:divBdr>
        <w:top w:val="none" w:sz="0" w:space="0" w:color="auto"/>
        <w:left w:val="none" w:sz="0" w:space="0" w:color="auto"/>
        <w:bottom w:val="none" w:sz="0" w:space="0" w:color="auto"/>
        <w:right w:val="none" w:sz="0" w:space="0" w:color="auto"/>
      </w:divBdr>
    </w:div>
    <w:div w:id="143665447">
      <w:bodyDiv w:val="1"/>
      <w:marLeft w:val="0"/>
      <w:marRight w:val="0"/>
      <w:marTop w:val="0"/>
      <w:marBottom w:val="0"/>
      <w:divBdr>
        <w:top w:val="none" w:sz="0" w:space="0" w:color="auto"/>
        <w:left w:val="none" w:sz="0" w:space="0" w:color="auto"/>
        <w:bottom w:val="none" w:sz="0" w:space="0" w:color="auto"/>
        <w:right w:val="none" w:sz="0" w:space="0" w:color="auto"/>
      </w:divBdr>
    </w:div>
    <w:div w:id="143668592">
      <w:bodyDiv w:val="1"/>
      <w:marLeft w:val="0"/>
      <w:marRight w:val="0"/>
      <w:marTop w:val="0"/>
      <w:marBottom w:val="0"/>
      <w:divBdr>
        <w:top w:val="none" w:sz="0" w:space="0" w:color="auto"/>
        <w:left w:val="none" w:sz="0" w:space="0" w:color="auto"/>
        <w:bottom w:val="none" w:sz="0" w:space="0" w:color="auto"/>
        <w:right w:val="none" w:sz="0" w:space="0" w:color="auto"/>
      </w:divBdr>
    </w:div>
    <w:div w:id="143737209">
      <w:bodyDiv w:val="1"/>
      <w:marLeft w:val="0"/>
      <w:marRight w:val="0"/>
      <w:marTop w:val="0"/>
      <w:marBottom w:val="0"/>
      <w:divBdr>
        <w:top w:val="none" w:sz="0" w:space="0" w:color="auto"/>
        <w:left w:val="none" w:sz="0" w:space="0" w:color="auto"/>
        <w:bottom w:val="none" w:sz="0" w:space="0" w:color="auto"/>
        <w:right w:val="none" w:sz="0" w:space="0" w:color="auto"/>
      </w:divBdr>
    </w:div>
    <w:div w:id="143816860">
      <w:bodyDiv w:val="1"/>
      <w:marLeft w:val="0"/>
      <w:marRight w:val="0"/>
      <w:marTop w:val="0"/>
      <w:marBottom w:val="0"/>
      <w:divBdr>
        <w:top w:val="none" w:sz="0" w:space="0" w:color="auto"/>
        <w:left w:val="none" w:sz="0" w:space="0" w:color="auto"/>
        <w:bottom w:val="none" w:sz="0" w:space="0" w:color="auto"/>
        <w:right w:val="none" w:sz="0" w:space="0" w:color="auto"/>
      </w:divBdr>
    </w:div>
    <w:div w:id="143818041">
      <w:bodyDiv w:val="1"/>
      <w:marLeft w:val="0"/>
      <w:marRight w:val="0"/>
      <w:marTop w:val="0"/>
      <w:marBottom w:val="0"/>
      <w:divBdr>
        <w:top w:val="none" w:sz="0" w:space="0" w:color="auto"/>
        <w:left w:val="none" w:sz="0" w:space="0" w:color="auto"/>
        <w:bottom w:val="none" w:sz="0" w:space="0" w:color="auto"/>
        <w:right w:val="none" w:sz="0" w:space="0" w:color="auto"/>
      </w:divBdr>
    </w:div>
    <w:div w:id="144014652">
      <w:bodyDiv w:val="1"/>
      <w:marLeft w:val="0"/>
      <w:marRight w:val="0"/>
      <w:marTop w:val="0"/>
      <w:marBottom w:val="0"/>
      <w:divBdr>
        <w:top w:val="none" w:sz="0" w:space="0" w:color="auto"/>
        <w:left w:val="none" w:sz="0" w:space="0" w:color="auto"/>
        <w:bottom w:val="none" w:sz="0" w:space="0" w:color="auto"/>
        <w:right w:val="none" w:sz="0" w:space="0" w:color="auto"/>
      </w:divBdr>
    </w:div>
    <w:div w:id="144051437">
      <w:bodyDiv w:val="1"/>
      <w:marLeft w:val="0"/>
      <w:marRight w:val="0"/>
      <w:marTop w:val="0"/>
      <w:marBottom w:val="0"/>
      <w:divBdr>
        <w:top w:val="none" w:sz="0" w:space="0" w:color="auto"/>
        <w:left w:val="none" w:sz="0" w:space="0" w:color="auto"/>
        <w:bottom w:val="none" w:sz="0" w:space="0" w:color="auto"/>
        <w:right w:val="none" w:sz="0" w:space="0" w:color="auto"/>
      </w:divBdr>
    </w:div>
    <w:div w:id="144133278">
      <w:bodyDiv w:val="1"/>
      <w:marLeft w:val="0"/>
      <w:marRight w:val="0"/>
      <w:marTop w:val="0"/>
      <w:marBottom w:val="0"/>
      <w:divBdr>
        <w:top w:val="none" w:sz="0" w:space="0" w:color="auto"/>
        <w:left w:val="none" w:sz="0" w:space="0" w:color="auto"/>
        <w:bottom w:val="none" w:sz="0" w:space="0" w:color="auto"/>
        <w:right w:val="none" w:sz="0" w:space="0" w:color="auto"/>
      </w:divBdr>
    </w:div>
    <w:div w:id="144245813">
      <w:bodyDiv w:val="1"/>
      <w:marLeft w:val="0"/>
      <w:marRight w:val="0"/>
      <w:marTop w:val="0"/>
      <w:marBottom w:val="0"/>
      <w:divBdr>
        <w:top w:val="none" w:sz="0" w:space="0" w:color="auto"/>
        <w:left w:val="none" w:sz="0" w:space="0" w:color="auto"/>
        <w:bottom w:val="none" w:sz="0" w:space="0" w:color="auto"/>
        <w:right w:val="none" w:sz="0" w:space="0" w:color="auto"/>
      </w:divBdr>
    </w:div>
    <w:div w:id="144249362">
      <w:bodyDiv w:val="1"/>
      <w:marLeft w:val="0"/>
      <w:marRight w:val="0"/>
      <w:marTop w:val="0"/>
      <w:marBottom w:val="0"/>
      <w:divBdr>
        <w:top w:val="none" w:sz="0" w:space="0" w:color="auto"/>
        <w:left w:val="none" w:sz="0" w:space="0" w:color="auto"/>
        <w:bottom w:val="none" w:sz="0" w:space="0" w:color="auto"/>
        <w:right w:val="none" w:sz="0" w:space="0" w:color="auto"/>
      </w:divBdr>
    </w:div>
    <w:div w:id="144274923">
      <w:bodyDiv w:val="1"/>
      <w:marLeft w:val="0"/>
      <w:marRight w:val="0"/>
      <w:marTop w:val="0"/>
      <w:marBottom w:val="0"/>
      <w:divBdr>
        <w:top w:val="none" w:sz="0" w:space="0" w:color="auto"/>
        <w:left w:val="none" w:sz="0" w:space="0" w:color="auto"/>
        <w:bottom w:val="none" w:sz="0" w:space="0" w:color="auto"/>
        <w:right w:val="none" w:sz="0" w:space="0" w:color="auto"/>
      </w:divBdr>
    </w:div>
    <w:div w:id="144275600">
      <w:bodyDiv w:val="1"/>
      <w:marLeft w:val="0"/>
      <w:marRight w:val="0"/>
      <w:marTop w:val="0"/>
      <w:marBottom w:val="0"/>
      <w:divBdr>
        <w:top w:val="none" w:sz="0" w:space="0" w:color="auto"/>
        <w:left w:val="none" w:sz="0" w:space="0" w:color="auto"/>
        <w:bottom w:val="none" w:sz="0" w:space="0" w:color="auto"/>
        <w:right w:val="none" w:sz="0" w:space="0" w:color="auto"/>
      </w:divBdr>
    </w:div>
    <w:div w:id="144320011">
      <w:bodyDiv w:val="1"/>
      <w:marLeft w:val="0"/>
      <w:marRight w:val="0"/>
      <w:marTop w:val="0"/>
      <w:marBottom w:val="0"/>
      <w:divBdr>
        <w:top w:val="none" w:sz="0" w:space="0" w:color="auto"/>
        <w:left w:val="none" w:sz="0" w:space="0" w:color="auto"/>
        <w:bottom w:val="none" w:sz="0" w:space="0" w:color="auto"/>
        <w:right w:val="none" w:sz="0" w:space="0" w:color="auto"/>
      </w:divBdr>
    </w:div>
    <w:div w:id="144322071">
      <w:bodyDiv w:val="1"/>
      <w:marLeft w:val="0"/>
      <w:marRight w:val="0"/>
      <w:marTop w:val="0"/>
      <w:marBottom w:val="0"/>
      <w:divBdr>
        <w:top w:val="none" w:sz="0" w:space="0" w:color="auto"/>
        <w:left w:val="none" w:sz="0" w:space="0" w:color="auto"/>
        <w:bottom w:val="none" w:sz="0" w:space="0" w:color="auto"/>
        <w:right w:val="none" w:sz="0" w:space="0" w:color="auto"/>
      </w:divBdr>
    </w:div>
    <w:div w:id="144325694">
      <w:bodyDiv w:val="1"/>
      <w:marLeft w:val="0"/>
      <w:marRight w:val="0"/>
      <w:marTop w:val="0"/>
      <w:marBottom w:val="0"/>
      <w:divBdr>
        <w:top w:val="none" w:sz="0" w:space="0" w:color="auto"/>
        <w:left w:val="none" w:sz="0" w:space="0" w:color="auto"/>
        <w:bottom w:val="none" w:sz="0" w:space="0" w:color="auto"/>
        <w:right w:val="none" w:sz="0" w:space="0" w:color="auto"/>
      </w:divBdr>
    </w:div>
    <w:div w:id="144394484">
      <w:bodyDiv w:val="1"/>
      <w:marLeft w:val="0"/>
      <w:marRight w:val="0"/>
      <w:marTop w:val="0"/>
      <w:marBottom w:val="0"/>
      <w:divBdr>
        <w:top w:val="none" w:sz="0" w:space="0" w:color="auto"/>
        <w:left w:val="none" w:sz="0" w:space="0" w:color="auto"/>
        <w:bottom w:val="none" w:sz="0" w:space="0" w:color="auto"/>
        <w:right w:val="none" w:sz="0" w:space="0" w:color="auto"/>
      </w:divBdr>
    </w:div>
    <w:div w:id="144394773">
      <w:bodyDiv w:val="1"/>
      <w:marLeft w:val="0"/>
      <w:marRight w:val="0"/>
      <w:marTop w:val="0"/>
      <w:marBottom w:val="0"/>
      <w:divBdr>
        <w:top w:val="none" w:sz="0" w:space="0" w:color="auto"/>
        <w:left w:val="none" w:sz="0" w:space="0" w:color="auto"/>
        <w:bottom w:val="none" w:sz="0" w:space="0" w:color="auto"/>
        <w:right w:val="none" w:sz="0" w:space="0" w:color="auto"/>
      </w:divBdr>
    </w:div>
    <w:div w:id="144512059">
      <w:bodyDiv w:val="1"/>
      <w:marLeft w:val="0"/>
      <w:marRight w:val="0"/>
      <w:marTop w:val="0"/>
      <w:marBottom w:val="0"/>
      <w:divBdr>
        <w:top w:val="none" w:sz="0" w:space="0" w:color="auto"/>
        <w:left w:val="none" w:sz="0" w:space="0" w:color="auto"/>
        <w:bottom w:val="none" w:sz="0" w:space="0" w:color="auto"/>
        <w:right w:val="none" w:sz="0" w:space="0" w:color="auto"/>
      </w:divBdr>
    </w:div>
    <w:div w:id="144588455">
      <w:bodyDiv w:val="1"/>
      <w:marLeft w:val="0"/>
      <w:marRight w:val="0"/>
      <w:marTop w:val="0"/>
      <w:marBottom w:val="0"/>
      <w:divBdr>
        <w:top w:val="none" w:sz="0" w:space="0" w:color="auto"/>
        <w:left w:val="none" w:sz="0" w:space="0" w:color="auto"/>
        <w:bottom w:val="none" w:sz="0" w:space="0" w:color="auto"/>
        <w:right w:val="none" w:sz="0" w:space="0" w:color="auto"/>
      </w:divBdr>
    </w:div>
    <w:div w:id="144594165">
      <w:bodyDiv w:val="1"/>
      <w:marLeft w:val="0"/>
      <w:marRight w:val="0"/>
      <w:marTop w:val="0"/>
      <w:marBottom w:val="0"/>
      <w:divBdr>
        <w:top w:val="none" w:sz="0" w:space="0" w:color="auto"/>
        <w:left w:val="none" w:sz="0" w:space="0" w:color="auto"/>
        <w:bottom w:val="none" w:sz="0" w:space="0" w:color="auto"/>
        <w:right w:val="none" w:sz="0" w:space="0" w:color="auto"/>
      </w:divBdr>
    </w:div>
    <w:div w:id="144669866">
      <w:bodyDiv w:val="1"/>
      <w:marLeft w:val="0"/>
      <w:marRight w:val="0"/>
      <w:marTop w:val="0"/>
      <w:marBottom w:val="0"/>
      <w:divBdr>
        <w:top w:val="none" w:sz="0" w:space="0" w:color="auto"/>
        <w:left w:val="none" w:sz="0" w:space="0" w:color="auto"/>
        <w:bottom w:val="none" w:sz="0" w:space="0" w:color="auto"/>
        <w:right w:val="none" w:sz="0" w:space="0" w:color="auto"/>
      </w:divBdr>
    </w:div>
    <w:div w:id="144779378">
      <w:bodyDiv w:val="1"/>
      <w:marLeft w:val="0"/>
      <w:marRight w:val="0"/>
      <w:marTop w:val="0"/>
      <w:marBottom w:val="0"/>
      <w:divBdr>
        <w:top w:val="none" w:sz="0" w:space="0" w:color="auto"/>
        <w:left w:val="none" w:sz="0" w:space="0" w:color="auto"/>
        <w:bottom w:val="none" w:sz="0" w:space="0" w:color="auto"/>
        <w:right w:val="none" w:sz="0" w:space="0" w:color="auto"/>
      </w:divBdr>
    </w:div>
    <w:div w:id="144977096">
      <w:bodyDiv w:val="1"/>
      <w:marLeft w:val="0"/>
      <w:marRight w:val="0"/>
      <w:marTop w:val="0"/>
      <w:marBottom w:val="0"/>
      <w:divBdr>
        <w:top w:val="none" w:sz="0" w:space="0" w:color="auto"/>
        <w:left w:val="none" w:sz="0" w:space="0" w:color="auto"/>
        <w:bottom w:val="none" w:sz="0" w:space="0" w:color="auto"/>
        <w:right w:val="none" w:sz="0" w:space="0" w:color="auto"/>
      </w:divBdr>
    </w:div>
    <w:div w:id="144979449">
      <w:bodyDiv w:val="1"/>
      <w:marLeft w:val="0"/>
      <w:marRight w:val="0"/>
      <w:marTop w:val="0"/>
      <w:marBottom w:val="0"/>
      <w:divBdr>
        <w:top w:val="none" w:sz="0" w:space="0" w:color="auto"/>
        <w:left w:val="none" w:sz="0" w:space="0" w:color="auto"/>
        <w:bottom w:val="none" w:sz="0" w:space="0" w:color="auto"/>
        <w:right w:val="none" w:sz="0" w:space="0" w:color="auto"/>
      </w:divBdr>
    </w:div>
    <w:div w:id="145050298">
      <w:bodyDiv w:val="1"/>
      <w:marLeft w:val="0"/>
      <w:marRight w:val="0"/>
      <w:marTop w:val="0"/>
      <w:marBottom w:val="0"/>
      <w:divBdr>
        <w:top w:val="none" w:sz="0" w:space="0" w:color="auto"/>
        <w:left w:val="none" w:sz="0" w:space="0" w:color="auto"/>
        <w:bottom w:val="none" w:sz="0" w:space="0" w:color="auto"/>
        <w:right w:val="none" w:sz="0" w:space="0" w:color="auto"/>
      </w:divBdr>
    </w:div>
    <w:div w:id="145170320">
      <w:bodyDiv w:val="1"/>
      <w:marLeft w:val="0"/>
      <w:marRight w:val="0"/>
      <w:marTop w:val="0"/>
      <w:marBottom w:val="0"/>
      <w:divBdr>
        <w:top w:val="none" w:sz="0" w:space="0" w:color="auto"/>
        <w:left w:val="none" w:sz="0" w:space="0" w:color="auto"/>
        <w:bottom w:val="none" w:sz="0" w:space="0" w:color="auto"/>
        <w:right w:val="none" w:sz="0" w:space="0" w:color="auto"/>
      </w:divBdr>
    </w:div>
    <w:div w:id="145362153">
      <w:bodyDiv w:val="1"/>
      <w:marLeft w:val="0"/>
      <w:marRight w:val="0"/>
      <w:marTop w:val="0"/>
      <w:marBottom w:val="0"/>
      <w:divBdr>
        <w:top w:val="none" w:sz="0" w:space="0" w:color="auto"/>
        <w:left w:val="none" w:sz="0" w:space="0" w:color="auto"/>
        <w:bottom w:val="none" w:sz="0" w:space="0" w:color="auto"/>
        <w:right w:val="none" w:sz="0" w:space="0" w:color="auto"/>
      </w:divBdr>
    </w:div>
    <w:div w:id="145364998">
      <w:bodyDiv w:val="1"/>
      <w:marLeft w:val="0"/>
      <w:marRight w:val="0"/>
      <w:marTop w:val="0"/>
      <w:marBottom w:val="0"/>
      <w:divBdr>
        <w:top w:val="none" w:sz="0" w:space="0" w:color="auto"/>
        <w:left w:val="none" w:sz="0" w:space="0" w:color="auto"/>
        <w:bottom w:val="none" w:sz="0" w:space="0" w:color="auto"/>
        <w:right w:val="none" w:sz="0" w:space="0" w:color="auto"/>
      </w:divBdr>
    </w:div>
    <w:div w:id="145557239">
      <w:bodyDiv w:val="1"/>
      <w:marLeft w:val="0"/>
      <w:marRight w:val="0"/>
      <w:marTop w:val="0"/>
      <w:marBottom w:val="0"/>
      <w:divBdr>
        <w:top w:val="none" w:sz="0" w:space="0" w:color="auto"/>
        <w:left w:val="none" w:sz="0" w:space="0" w:color="auto"/>
        <w:bottom w:val="none" w:sz="0" w:space="0" w:color="auto"/>
        <w:right w:val="none" w:sz="0" w:space="0" w:color="auto"/>
      </w:divBdr>
    </w:div>
    <w:div w:id="145710487">
      <w:bodyDiv w:val="1"/>
      <w:marLeft w:val="0"/>
      <w:marRight w:val="0"/>
      <w:marTop w:val="0"/>
      <w:marBottom w:val="0"/>
      <w:divBdr>
        <w:top w:val="none" w:sz="0" w:space="0" w:color="auto"/>
        <w:left w:val="none" w:sz="0" w:space="0" w:color="auto"/>
        <w:bottom w:val="none" w:sz="0" w:space="0" w:color="auto"/>
        <w:right w:val="none" w:sz="0" w:space="0" w:color="auto"/>
      </w:divBdr>
    </w:div>
    <w:div w:id="145827813">
      <w:bodyDiv w:val="1"/>
      <w:marLeft w:val="0"/>
      <w:marRight w:val="0"/>
      <w:marTop w:val="0"/>
      <w:marBottom w:val="0"/>
      <w:divBdr>
        <w:top w:val="none" w:sz="0" w:space="0" w:color="auto"/>
        <w:left w:val="none" w:sz="0" w:space="0" w:color="auto"/>
        <w:bottom w:val="none" w:sz="0" w:space="0" w:color="auto"/>
        <w:right w:val="none" w:sz="0" w:space="0" w:color="auto"/>
      </w:divBdr>
    </w:div>
    <w:div w:id="145829039">
      <w:bodyDiv w:val="1"/>
      <w:marLeft w:val="0"/>
      <w:marRight w:val="0"/>
      <w:marTop w:val="0"/>
      <w:marBottom w:val="0"/>
      <w:divBdr>
        <w:top w:val="none" w:sz="0" w:space="0" w:color="auto"/>
        <w:left w:val="none" w:sz="0" w:space="0" w:color="auto"/>
        <w:bottom w:val="none" w:sz="0" w:space="0" w:color="auto"/>
        <w:right w:val="none" w:sz="0" w:space="0" w:color="auto"/>
      </w:divBdr>
    </w:div>
    <w:div w:id="146090324">
      <w:bodyDiv w:val="1"/>
      <w:marLeft w:val="0"/>
      <w:marRight w:val="0"/>
      <w:marTop w:val="0"/>
      <w:marBottom w:val="0"/>
      <w:divBdr>
        <w:top w:val="none" w:sz="0" w:space="0" w:color="auto"/>
        <w:left w:val="none" w:sz="0" w:space="0" w:color="auto"/>
        <w:bottom w:val="none" w:sz="0" w:space="0" w:color="auto"/>
        <w:right w:val="none" w:sz="0" w:space="0" w:color="auto"/>
      </w:divBdr>
    </w:div>
    <w:div w:id="146090672">
      <w:bodyDiv w:val="1"/>
      <w:marLeft w:val="0"/>
      <w:marRight w:val="0"/>
      <w:marTop w:val="0"/>
      <w:marBottom w:val="0"/>
      <w:divBdr>
        <w:top w:val="none" w:sz="0" w:space="0" w:color="auto"/>
        <w:left w:val="none" w:sz="0" w:space="0" w:color="auto"/>
        <w:bottom w:val="none" w:sz="0" w:space="0" w:color="auto"/>
        <w:right w:val="none" w:sz="0" w:space="0" w:color="auto"/>
      </w:divBdr>
    </w:div>
    <w:div w:id="146090954">
      <w:bodyDiv w:val="1"/>
      <w:marLeft w:val="0"/>
      <w:marRight w:val="0"/>
      <w:marTop w:val="0"/>
      <w:marBottom w:val="0"/>
      <w:divBdr>
        <w:top w:val="none" w:sz="0" w:space="0" w:color="auto"/>
        <w:left w:val="none" w:sz="0" w:space="0" w:color="auto"/>
        <w:bottom w:val="none" w:sz="0" w:space="0" w:color="auto"/>
        <w:right w:val="none" w:sz="0" w:space="0" w:color="auto"/>
      </w:divBdr>
    </w:div>
    <w:div w:id="146094386">
      <w:bodyDiv w:val="1"/>
      <w:marLeft w:val="0"/>
      <w:marRight w:val="0"/>
      <w:marTop w:val="0"/>
      <w:marBottom w:val="0"/>
      <w:divBdr>
        <w:top w:val="none" w:sz="0" w:space="0" w:color="auto"/>
        <w:left w:val="none" w:sz="0" w:space="0" w:color="auto"/>
        <w:bottom w:val="none" w:sz="0" w:space="0" w:color="auto"/>
        <w:right w:val="none" w:sz="0" w:space="0" w:color="auto"/>
      </w:divBdr>
    </w:div>
    <w:div w:id="146095267">
      <w:bodyDiv w:val="1"/>
      <w:marLeft w:val="0"/>
      <w:marRight w:val="0"/>
      <w:marTop w:val="0"/>
      <w:marBottom w:val="0"/>
      <w:divBdr>
        <w:top w:val="none" w:sz="0" w:space="0" w:color="auto"/>
        <w:left w:val="none" w:sz="0" w:space="0" w:color="auto"/>
        <w:bottom w:val="none" w:sz="0" w:space="0" w:color="auto"/>
        <w:right w:val="none" w:sz="0" w:space="0" w:color="auto"/>
      </w:divBdr>
    </w:div>
    <w:div w:id="146169170">
      <w:bodyDiv w:val="1"/>
      <w:marLeft w:val="0"/>
      <w:marRight w:val="0"/>
      <w:marTop w:val="0"/>
      <w:marBottom w:val="0"/>
      <w:divBdr>
        <w:top w:val="none" w:sz="0" w:space="0" w:color="auto"/>
        <w:left w:val="none" w:sz="0" w:space="0" w:color="auto"/>
        <w:bottom w:val="none" w:sz="0" w:space="0" w:color="auto"/>
        <w:right w:val="none" w:sz="0" w:space="0" w:color="auto"/>
      </w:divBdr>
    </w:div>
    <w:div w:id="146212970">
      <w:bodyDiv w:val="1"/>
      <w:marLeft w:val="0"/>
      <w:marRight w:val="0"/>
      <w:marTop w:val="0"/>
      <w:marBottom w:val="0"/>
      <w:divBdr>
        <w:top w:val="none" w:sz="0" w:space="0" w:color="auto"/>
        <w:left w:val="none" w:sz="0" w:space="0" w:color="auto"/>
        <w:bottom w:val="none" w:sz="0" w:space="0" w:color="auto"/>
        <w:right w:val="none" w:sz="0" w:space="0" w:color="auto"/>
      </w:divBdr>
    </w:div>
    <w:div w:id="146213116">
      <w:bodyDiv w:val="1"/>
      <w:marLeft w:val="0"/>
      <w:marRight w:val="0"/>
      <w:marTop w:val="0"/>
      <w:marBottom w:val="0"/>
      <w:divBdr>
        <w:top w:val="none" w:sz="0" w:space="0" w:color="auto"/>
        <w:left w:val="none" w:sz="0" w:space="0" w:color="auto"/>
        <w:bottom w:val="none" w:sz="0" w:space="0" w:color="auto"/>
        <w:right w:val="none" w:sz="0" w:space="0" w:color="auto"/>
      </w:divBdr>
    </w:div>
    <w:div w:id="146216285">
      <w:bodyDiv w:val="1"/>
      <w:marLeft w:val="0"/>
      <w:marRight w:val="0"/>
      <w:marTop w:val="0"/>
      <w:marBottom w:val="0"/>
      <w:divBdr>
        <w:top w:val="none" w:sz="0" w:space="0" w:color="auto"/>
        <w:left w:val="none" w:sz="0" w:space="0" w:color="auto"/>
        <w:bottom w:val="none" w:sz="0" w:space="0" w:color="auto"/>
        <w:right w:val="none" w:sz="0" w:space="0" w:color="auto"/>
      </w:divBdr>
    </w:div>
    <w:div w:id="146286965">
      <w:bodyDiv w:val="1"/>
      <w:marLeft w:val="0"/>
      <w:marRight w:val="0"/>
      <w:marTop w:val="0"/>
      <w:marBottom w:val="0"/>
      <w:divBdr>
        <w:top w:val="none" w:sz="0" w:space="0" w:color="auto"/>
        <w:left w:val="none" w:sz="0" w:space="0" w:color="auto"/>
        <w:bottom w:val="none" w:sz="0" w:space="0" w:color="auto"/>
        <w:right w:val="none" w:sz="0" w:space="0" w:color="auto"/>
      </w:divBdr>
    </w:div>
    <w:div w:id="146289842">
      <w:bodyDiv w:val="1"/>
      <w:marLeft w:val="0"/>
      <w:marRight w:val="0"/>
      <w:marTop w:val="0"/>
      <w:marBottom w:val="0"/>
      <w:divBdr>
        <w:top w:val="none" w:sz="0" w:space="0" w:color="auto"/>
        <w:left w:val="none" w:sz="0" w:space="0" w:color="auto"/>
        <w:bottom w:val="none" w:sz="0" w:space="0" w:color="auto"/>
        <w:right w:val="none" w:sz="0" w:space="0" w:color="auto"/>
      </w:divBdr>
    </w:div>
    <w:div w:id="146436896">
      <w:bodyDiv w:val="1"/>
      <w:marLeft w:val="0"/>
      <w:marRight w:val="0"/>
      <w:marTop w:val="0"/>
      <w:marBottom w:val="0"/>
      <w:divBdr>
        <w:top w:val="none" w:sz="0" w:space="0" w:color="auto"/>
        <w:left w:val="none" w:sz="0" w:space="0" w:color="auto"/>
        <w:bottom w:val="none" w:sz="0" w:space="0" w:color="auto"/>
        <w:right w:val="none" w:sz="0" w:space="0" w:color="auto"/>
      </w:divBdr>
    </w:div>
    <w:div w:id="146897680">
      <w:bodyDiv w:val="1"/>
      <w:marLeft w:val="0"/>
      <w:marRight w:val="0"/>
      <w:marTop w:val="0"/>
      <w:marBottom w:val="0"/>
      <w:divBdr>
        <w:top w:val="none" w:sz="0" w:space="0" w:color="auto"/>
        <w:left w:val="none" w:sz="0" w:space="0" w:color="auto"/>
        <w:bottom w:val="none" w:sz="0" w:space="0" w:color="auto"/>
        <w:right w:val="none" w:sz="0" w:space="0" w:color="auto"/>
      </w:divBdr>
    </w:div>
    <w:div w:id="146897799">
      <w:bodyDiv w:val="1"/>
      <w:marLeft w:val="0"/>
      <w:marRight w:val="0"/>
      <w:marTop w:val="0"/>
      <w:marBottom w:val="0"/>
      <w:divBdr>
        <w:top w:val="none" w:sz="0" w:space="0" w:color="auto"/>
        <w:left w:val="none" w:sz="0" w:space="0" w:color="auto"/>
        <w:bottom w:val="none" w:sz="0" w:space="0" w:color="auto"/>
        <w:right w:val="none" w:sz="0" w:space="0" w:color="auto"/>
      </w:divBdr>
    </w:div>
    <w:div w:id="146898931">
      <w:bodyDiv w:val="1"/>
      <w:marLeft w:val="0"/>
      <w:marRight w:val="0"/>
      <w:marTop w:val="0"/>
      <w:marBottom w:val="0"/>
      <w:divBdr>
        <w:top w:val="none" w:sz="0" w:space="0" w:color="auto"/>
        <w:left w:val="none" w:sz="0" w:space="0" w:color="auto"/>
        <w:bottom w:val="none" w:sz="0" w:space="0" w:color="auto"/>
        <w:right w:val="none" w:sz="0" w:space="0" w:color="auto"/>
      </w:divBdr>
    </w:div>
    <w:div w:id="147017805">
      <w:bodyDiv w:val="1"/>
      <w:marLeft w:val="0"/>
      <w:marRight w:val="0"/>
      <w:marTop w:val="0"/>
      <w:marBottom w:val="0"/>
      <w:divBdr>
        <w:top w:val="none" w:sz="0" w:space="0" w:color="auto"/>
        <w:left w:val="none" w:sz="0" w:space="0" w:color="auto"/>
        <w:bottom w:val="none" w:sz="0" w:space="0" w:color="auto"/>
        <w:right w:val="none" w:sz="0" w:space="0" w:color="auto"/>
      </w:divBdr>
    </w:div>
    <w:div w:id="147020027">
      <w:bodyDiv w:val="1"/>
      <w:marLeft w:val="0"/>
      <w:marRight w:val="0"/>
      <w:marTop w:val="0"/>
      <w:marBottom w:val="0"/>
      <w:divBdr>
        <w:top w:val="none" w:sz="0" w:space="0" w:color="auto"/>
        <w:left w:val="none" w:sz="0" w:space="0" w:color="auto"/>
        <w:bottom w:val="none" w:sz="0" w:space="0" w:color="auto"/>
        <w:right w:val="none" w:sz="0" w:space="0" w:color="auto"/>
      </w:divBdr>
    </w:div>
    <w:div w:id="147138545">
      <w:bodyDiv w:val="1"/>
      <w:marLeft w:val="0"/>
      <w:marRight w:val="0"/>
      <w:marTop w:val="0"/>
      <w:marBottom w:val="0"/>
      <w:divBdr>
        <w:top w:val="none" w:sz="0" w:space="0" w:color="auto"/>
        <w:left w:val="none" w:sz="0" w:space="0" w:color="auto"/>
        <w:bottom w:val="none" w:sz="0" w:space="0" w:color="auto"/>
        <w:right w:val="none" w:sz="0" w:space="0" w:color="auto"/>
      </w:divBdr>
    </w:div>
    <w:div w:id="147139184">
      <w:bodyDiv w:val="1"/>
      <w:marLeft w:val="0"/>
      <w:marRight w:val="0"/>
      <w:marTop w:val="0"/>
      <w:marBottom w:val="0"/>
      <w:divBdr>
        <w:top w:val="none" w:sz="0" w:space="0" w:color="auto"/>
        <w:left w:val="none" w:sz="0" w:space="0" w:color="auto"/>
        <w:bottom w:val="none" w:sz="0" w:space="0" w:color="auto"/>
        <w:right w:val="none" w:sz="0" w:space="0" w:color="auto"/>
      </w:divBdr>
    </w:div>
    <w:div w:id="147289981">
      <w:bodyDiv w:val="1"/>
      <w:marLeft w:val="0"/>
      <w:marRight w:val="0"/>
      <w:marTop w:val="0"/>
      <w:marBottom w:val="0"/>
      <w:divBdr>
        <w:top w:val="none" w:sz="0" w:space="0" w:color="auto"/>
        <w:left w:val="none" w:sz="0" w:space="0" w:color="auto"/>
        <w:bottom w:val="none" w:sz="0" w:space="0" w:color="auto"/>
        <w:right w:val="none" w:sz="0" w:space="0" w:color="auto"/>
      </w:divBdr>
    </w:div>
    <w:div w:id="147290678">
      <w:bodyDiv w:val="1"/>
      <w:marLeft w:val="0"/>
      <w:marRight w:val="0"/>
      <w:marTop w:val="0"/>
      <w:marBottom w:val="0"/>
      <w:divBdr>
        <w:top w:val="none" w:sz="0" w:space="0" w:color="auto"/>
        <w:left w:val="none" w:sz="0" w:space="0" w:color="auto"/>
        <w:bottom w:val="none" w:sz="0" w:space="0" w:color="auto"/>
        <w:right w:val="none" w:sz="0" w:space="0" w:color="auto"/>
      </w:divBdr>
    </w:div>
    <w:div w:id="147401037">
      <w:bodyDiv w:val="1"/>
      <w:marLeft w:val="0"/>
      <w:marRight w:val="0"/>
      <w:marTop w:val="0"/>
      <w:marBottom w:val="0"/>
      <w:divBdr>
        <w:top w:val="none" w:sz="0" w:space="0" w:color="auto"/>
        <w:left w:val="none" w:sz="0" w:space="0" w:color="auto"/>
        <w:bottom w:val="none" w:sz="0" w:space="0" w:color="auto"/>
        <w:right w:val="none" w:sz="0" w:space="0" w:color="auto"/>
      </w:divBdr>
    </w:div>
    <w:div w:id="147402032">
      <w:bodyDiv w:val="1"/>
      <w:marLeft w:val="0"/>
      <w:marRight w:val="0"/>
      <w:marTop w:val="0"/>
      <w:marBottom w:val="0"/>
      <w:divBdr>
        <w:top w:val="none" w:sz="0" w:space="0" w:color="auto"/>
        <w:left w:val="none" w:sz="0" w:space="0" w:color="auto"/>
        <w:bottom w:val="none" w:sz="0" w:space="0" w:color="auto"/>
        <w:right w:val="none" w:sz="0" w:space="0" w:color="auto"/>
      </w:divBdr>
    </w:div>
    <w:div w:id="147481065">
      <w:bodyDiv w:val="1"/>
      <w:marLeft w:val="0"/>
      <w:marRight w:val="0"/>
      <w:marTop w:val="0"/>
      <w:marBottom w:val="0"/>
      <w:divBdr>
        <w:top w:val="none" w:sz="0" w:space="0" w:color="auto"/>
        <w:left w:val="none" w:sz="0" w:space="0" w:color="auto"/>
        <w:bottom w:val="none" w:sz="0" w:space="0" w:color="auto"/>
        <w:right w:val="none" w:sz="0" w:space="0" w:color="auto"/>
      </w:divBdr>
    </w:div>
    <w:div w:id="147522416">
      <w:bodyDiv w:val="1"/>
      <w:marLeft w:val="0"/>
      <w:marRight w:val="0"/>
      <w:marTop w:val="0"/>
      <w:marBottom w:val="0"/>
      <w:divBdr>
        <w:top w:val="none" w:sz="0" w:space="0" w:color="auto"/>
        <w:left w:val="none" w:sz="0" w:space="0" w:color="auto"/>
        <w:bottom w:val="none" w:sz="0" w:space="0" w:color="auto"/>
        <w:right w:val="none" w:sz="0" w:space="0" w:color="auto"/>
      </w:divBdr>
    </w:div>
    <w:div w:id="147550674">
      <w:bodyDiv w:val="1"/>
      <w:marLeft w:val="0"/>
      <w:marRight w:val="0"/>
      <w:marTop w:val="0"/>
      <w:marBottom w:val="0"/>
      <w:divBdr>
        <w:top w:val="none" w:sz="0" w:space="0" w:color="auto"/>
        <w:left w:val="none" w:sz="0" w:space="0" w:color="auto"/>
        <w:bottom w:val="none" w:sz="0" w:space="0" w:color="auto"/>
        <w:right w:val="none" w:sz="0" w:space="0" w:color="auto"/>
      </w:divBdr>
    </w:div>
    <w:div w:id="147550909">
      <w:bodyDiv w:val="1"/>
      <w:marLeft w:val="0"/>
      <w:marRight w:val="0"/>
      <w:marTop w:val="0"/>
      <w:marBottom w:val="0"/>
      <w:divBdr>
        <w:top w:val="none" w:sz="0" w:space="0" w:color="auto"/>
        <w:left w:val="none" w:sz="0" w:space="0" w:color="auto"/>
        <w:bottom w:val="none" w:sz="0" w:space="0" w:color="auto"/>
        <w:right w:val="none" w:sz="0" w:space="0" w:color="auto"/>
      </w:divBdr>
    </w:div>
    <w:div w:id="147601367">
      <w:bodyDiv w:val="1"/>
      <w:marLeft w:val="0"/>
      <w:marRight w:val="0"/>
      <w:marTop w:val="0"/>
      <w:marBottom w:val="0"/>
      <w:divBdr>
        <w:top w:val="none" w:sz="0" w:space="0" w:color="auto"/>
        <w:left w:val="none" w:sz="0" w:space="0" w:color="auto"/>
        <w:bottom w:val="none" w:sz="0" w:space="0" w:color="auto"/>
        <w:right w:val="none" w:sz="0" w:space="0" w:color="auto"/>
      </w:divBdr>
    </w:div>
    <w:div w:id="147719971">
      <w:bodyDiv w:val="1"/>
      <w:marLeft w:val="0"/>
      <w:marRight w:val="0"/>
      <w:marTop w:val="0"/>
      <w:marBottom w:val="0"/>
      <w:divBdr>
        <w:top w:val="none" w:sz="0" w:space="0" w:color="auto"/>
        <w:left w:val="none" w:sz="0" w:space="0" w:color="auto"/>
        <w:bottom w:val="none" w:sz="0" w:space="0" w:color="auto"/>
        <w:right w:val="none" w:sz="0" w:space="0" w:color="auto"/>
      </w:divBdr>
    </w:div>
    <w:div w:id="148057856">
      <w:bodyDiv w:val="1"/>
      <w:marLeft w:val="0"/>
      <w:marRight w:val="0"/>
      <w:marTop w:val="0"/>
      <w:marBottom w:val="0"/>
      <w:divBdr>
        <w:top w:val="none" w:sz="0" w:space="0" w:color="auto"/>
        <w:left w:val="none" w:sz="0" w:space="0" w:color="auto"/>
        <w:bottom w:val="none" w:sz="0" w:space="0" w:color="auto"/>
        <w:right w:val="none" w:sz="0" w:space="0" w:color="auto"/>
      </w:divBdr>
    </w:div>
    <w:div w:id="148138772">
      <w:bodyDiv w:val="1"/>
      <w:marLeft w:val="0"/>
      <w:marRight w:val="0"/>
      <w:marTop w:val="0"/>
      <w:marBottom w:val="0"/>
      <w:divBdr>
        <w:top w:val="none" w:sz="0" w:space="0" w:color="auto"/>
        <w:left w:val="none" w:sz="0" w:space="0" w:color="auto"/>
        <w:bottom w:val="none" w:sz="0" w:space="0" w:color="auto"/>
        <w:right w:val="none" w:sz="0" w:space="0" w:color="auto"/>
      </w:divBdr>
    </w:div>
    <w:div w:id="148180402">
      <w:bodyDiv w:val="1"/>
      <w:marLeft w:val="0"/>
      <w:marRight w:val="0"/>
      <w:marTop w:val="0"/>
      <w:marBottom w:val="0"/>
      <w:divBdr>
        <w:top w:val="none" w:sz="0" w:space="0" w:color="auto"/>
        <w:left w:val="none" w:sz="0" w:space="0" w:color="auto"/>
        <w:bottom w:val="none" w:sz="0" w:space="0" w:color="auto"/>
        <w:right w:val="none" w:sz="0" w:space="0" w:color="auto"/>
      </w:divBdr>
    </w:div>
    <w:div w:id="148257898">
      <w:bodyDiv w:val="1"/>
      <w:marLeft w:val="0"/>
      <w:marRight w:val="0"/>
      <w:marTop w:val="0"/>
      <w:marBottom w:val="0"/>
      <w:divBdr>
        <w:top w:val="none" w:sz="0" w:space="0" w:color="auto"/>
        <w:left w:val="none" w:sz="0" w:space="0" w:color="auto"/>
        <w:bottom w:val="none" w:sz="0" w:space="0" w:color="auto"/>
        <w:right w:val="none" w:sz="0" w:space="0" w:color="auto"/>
      </w:divBdr>
    </w:div>
    <w:div w:id="148326788">
      <w:bodyDiv w:val="1"/>
      <w:marLeft w:val="0"/>
      <w:marRight w:val="0"/>
      <w:marTop w:val="0"/>
      <w:marBottom w:val="0"/>
      <w:divBdr>
        <w:top w:val="none" w:sz="0" w:space="0" w:color="auto"/>
        <w:left w:val="none" w:sz="0" w:space="0" w:color="auto"/>
        <w:bottom w:val="none" w:sz="0" w:space="0" w:color="auto"/>
        <w:right w:val="none" w:sz="0" w:space="0" w:color="auto"/>
      </w:divBdr>
    </w:div>
    <w:div w:id="148331982">
      <w:bodyDiv w:val="1"/>
      <w:marLeft w:val="0"/>
      <w:marRight w:val="0"/>
      <w:marTop w:val="0"/>
      <w:marBottom w:val="0"/>
      <w:divBdr>
        <w:top w:val="none" w:sz="0" w:space="0" w:color="auto"/>
        <w:left w:val="none" w:sz="0" w:space="0" w:color="auto"/>
        <w:bottom w:val="none" w:sz="0" w:space="0" w:color="auto"/>
        <w:right w:val="none" w:sz="0" w:space="0" w:color="auto"/>
      </w:divBdr>
    </w:div>
    <w:div w:id="148374623">
      <w:bodyDiv w:val="1"/>
      <w:marLeft w:val="0"/>
      <w:marRight w:val="0"/>
      <w:marTop w:val="0"/>
      <w:marBottom w:val="0"/>
      <w:divBdr>
        <w:top w:val="none" w:sz="0" w:space="0" w:color="auto"/>
        <w:left w:val="none" w:sz="0" w:space="0" w:color="auto"/>
        <w:bottom w:val="none" w:sz="0" w:space="0" w:color="auto"/>
        <w:right w:val="none" w:sz="0" w:space="0" w:color="auto"/>
      </w:divBdr>
    </w:div>
    <w:div w:id="148636174">
      <w:bodyDiv w:val="1"/>
      <w:marLeft w:val="0"/>
      <w:marRight w:val="0"/>
      <w:marTop w:val="0"/>
      <w:marBottom w:val="0"/>
      <w:divBdr>
        <w:top w:val="none" w:sz="0" w:space="0" w:color="auto"/>
        <w:left w:val="none" w:sz="0" w:space="0" w:color="auto"/>
        <w:bottom w:val="none" w:sz="0" w:space="0" w:color="auto"/>
        <w:right w:val="none" w:sz="0" w:space="0" w:color="auto"/>
      </w:divBdr>
    </w:div>
    <w:div w:id="148667920">
      <w:bodyDiv w:val="1"/>
      <w:marLeft w:val="0"/>
      <w:marRight w:val="0"/>
      <w:marTop w:val="0"/>
      <w:marBottom w:val="0"/>
      <w:divBdr>
        <w:top w:val="none" w:sz="0" w:space="0" w:color="auto"/>
        <w:left w:val="none" w:sz="0" w:space="0" w:color="auto"/>
        <w:bottom w:val="none" w:sz="0" w:space="0" w:color="auto"/>
        <w:right w:val="none" w:sz="0" w:space="0" w:color="auto"/>
      </w:divBdr>
    </w:div>
    <w:div w:id="148834303">
      <w:bodyDiv w:val="1"/>
      <w:marLeft w:val="0"/>
      <w:marRight w:val="0"/>
      <w:marTop w:val="0"/>
      <w:marBottom w:val="0"/>
      <w:divBdr>
        <w:top w:val="none" w:sz="0" w:space="0" w:color="auto"/>
        <w:left w:val="none" w:sz="0" w:space="0" w:color="auto"/>
        <w:bottom w:val="none" w:sz="0" w:space="0" w:color="auto"/>
        <w:right w:val="none" w:sz="0" w:space="0" w:color="auto"/>
      </w:divBdr>
    </w:div>
    <w:div w:id="148982411">
      <w:bodyDiv w:val="1"/>
      <w:marLeft w:val="0"/>
      <w:marRight w:val="0"/>
      <w:marTop w:val="0"/>
      <w:marBottom w:val="0"/>
      <w:divBdr>
        <w:top w:val="none" w:sz="0" w:space="0" w:color="auto"/>
        <w:left w:val="none" w:sz="0" w:space="0" w:color="auto"/>
        <w:bottom w:val="none" w:sz="0" w:space="0" w:color="auto"/>
        <w:right w:val="none" w:sz="0" w:space="0" w:color="auto"/>
      </w:divBdr>
    </w:div>
    <w:div w:id="149104323">
      <w:bodyDiv w:val="1"/>
      <w:marLeft w:val="0"/>
      <w:marRight w:val="0"/>
      <w:marTop w:val="0"/>
      <w:marBottom w:val="0"/>
      <w:divBdr>
        <w:top w:val="none" w:sz="0" w:space="0" w:color="auto"/>
        <w:left w:val="none" w:sz="0" w:space="0" w:color="auto"/>
        <w:bottom w:val="none" w:sz="0" w:space="0" w:color="auto"/>
        <w:right w:val="none" w:sz="0" w:space="0" w:color="auto"/>
      </w:divBdr>
    </w:div>
    <w:div w:id="149175587">
      <w:bodyDiv w:val="1"/>
      <w:marLeft w:val="0"/>
      <w:marRight w:val="0"/>
      <w:marTop w:val="0"/>
      <w:marBottom w:val="0"/>
      <w:divBdr>
        <w:top w:val="none" w:sz="0" w:space="0" w:color="auto"/>
        <w:left w:val="none" w:sz="0" w:space="0" w:color="auto"/>
        <w:bottom w:val="none" w:sz="0" w:space="0" w:color="auto"/>
        <w:right w:val="none" w:sz="0" w:space="0" w:color="auto"/>
      </w:divBdr>
    </w:div>
    <w:div w:id="149250461">
      <w:bodyDiv w:val="1"/>
      <w:marLeft w:val="0"/>
      <w:marRight w:val="0"/>
      <w:marTop w:val="0"/>
      <w:marBottom w:val="0"/>
      <w:divBdr>
        <w:top w:val="none" w:sz="0" w:space="0" w:color="auto"/>
        <w:left w:val="none" w:sz="0" w:space="0" w:color="auto"/>
        <w:bottom w:val="none" w:sz="0" w:space="0" w:color="auto"/>
        <w:right w:val="none" w:sz="0" w:space="0" w:color="auto"/>
      </w:divBdr>
    </w:div>
    <w:div w:id="149255482">
      <w:bodyDiv w:val="1"/>
      <w:marLeft w:val="0"/>
      <w:marRight w:val="0"/>
      <w:marTop w:val="0"/>
      <w:marBottom w:val="0"/>
      <w:divBdr>
        <w:top w:val="none" w:sz="0" w:space="0" w:color="auto"/>
        <w:left w:val="none" w:sz="0" w:space="0" w:color="auto"/>
        <w:bottom w:val="none" w:sz="0" w:space="0" w:color="auto"/>
        <w:right w:val="none" w:sz="0" w:space="0" w:color="auto"/>
      </w:divBdr>
    </w:div>
    <w:div w:id="149441411">
      <w:bodyDiv w:val="1"/>
      <w:marLeft w:val="0"/>
      <w:marRight w:val="0"/>
      <w:marTop w:val="0"/>
      <w:marBottom w:val="0"/>
      <w:divBdr>
        <w:top w:val="none" w:sz="0" w:space="0" w:color="auto"/>
        <w:left w:val="none" w:sz="0" w:space="0" w:color="auto"/>
        <w:bottom w:val="none" w:sz="0" w:space="0" w:color="auto"/>
        <w:right w:val="none" w:sz="0" w:space="0" w:color="auto"/>
      </w:divBdr>
    </w:div>
    <w:div w:id="149444634">
      <w:bodyDiv w:val="1"/>
      <w:marLeft w:val="0"/>
      <w:marRight w:val="0"/>
      <w:marTop w:val="0"/>
      <w:marBottom w:val="0"/>
      <w:divBdr>
        <w:top w:val="none" w:sz="0" w:space="0" w:color="auto"/>
        <w:left w:val="none" w:sz="0" w:space="0" w:color="auto"/>
        <w:bottom w:val="none" w:sz="0" w:space="0" w:color="auto"/>
        <w:right w:val="none" w:sz="0" w:space="0" w:color="auto"/>
      </w:divBdr>
    </w:div>
    <w:div w:id="149491052">
      <w:bodyDiv w:val="1"/>
      <w:marLeft w:val="0"/>
      <w:marRight w:val="0"/>
      <w:marTop w:val="0"/>
      <w:marBottom w:val="0"/>
      <w:divBdr>
        <w:top w:val="none" w:sz="0" w:space="0" w:color="auto"/>
        <w:left w:val="none" w:sz="0" w:space="0" w:color="auto"/>
        <w:bottom w:val="none" w:sz="0" w:space="0" w:color="auto"/>
        <w:right w:val="none" w:sz="0" w:space="0" w:color="auto"/>
      </w:divBdr>
    </w:div>
    <w:div w:id="149643194">
      <w:bodyDiv w:val="1"/>
      <w:marLeft w:val="0"/>
      <w:marRight w:val="0"/>
      <w:marTop w:val="0"/>
      <w:marBottom w:val="0"/>
      <w:divBdr>
        <w:top w:val="none" w:sz="0" w:space="0" w:color="auto"/>
        <w:left w:val="none" w:sz="0" w:space="0" w:color="auto"/>
        <w:bottom w:val="none" w:sz="0" w:space="0" w:color="auto"/>
        <w:right w:val="none" w:sz="0" w:space="0" w:color="auto"/>
      </w:divBdr>
    </w:div>
    <w:div w:id="149714163">
      <w:bodyDiv w:val="1"/>
      <w:marLeft w:val="0"/>
      <w:marRight w:val="0"/>
      <w:marTop w:val="0"/>
      <w:marBottom w:val="0"/>
      <w:divBdr>
        <w:top w:val="none" w:sz="0" w:space="0" w:color="auto"/>
        <w:left w:val="none" w:sz="0" w:space="0" w:color="auto"/>
        <w:bottom w:val="none" w:sz="0" w:space="0" w:color="auto"/>
        <w:right w:val="none" w:sz="0" w:space="0" w:color="auto"/>
      </w:divBdr>
    </w:div>
    <w:div w:id="149947369">
      <w:bodyDiv w:val="1"/>
      <w:marLeft w:val="0"/>
      <w:marRight w:val="0"/>
      <w:marTop w:val="0"/>
      <w:marBottom w:val="0"/>
      <w:divBdr>
        <w:top w:val="none" w:sz="0" w:space="0" w:color="auto"/>
        <w:left w:val="none" w:sz="0" w:space="0" w:color="auto"/>
        <w:bottom w:val="none" w:sz="0" w:space="0" w:color="auto"/>
        <w:right w:val="none" w:sz="0" w:space="0" w:color="auto"/>
      </w:divBdr>
    </w:div>
    <w:div w:id="150021456">
      <w:bodyDiv w:val="1"/>
      <w:marLeft w:val="0"/>
      <w:marRight w:val="0"/>
      <w:marTop w:val="0"/>
      <w:marBottom w:val="0"/>
      <w:divBdr>
        <w:top w:val="none" w:sz="0" w:space="0" w:color="auto"/>
        <w:left w:val="none" w:sz="0" w:space="0" w:color="auto"/>
        <w:bottom w:val="none" w:sz="0" w:space="0" w:color="auto"/>
        <w:right w:val="none" w:sz="0" w:space="0" w:color="auto"/>
      </w:divBdr>
    </w:div>
    <w:div w:id="150101600">
      <w:bodyDiv w:val="1"/>
      <w:marLeft w:val="0"/>
      <w:marRight w:val="0"/>
      <w:marTop w:val="0"/>
      <w:marBottom w:val="0"/>
      <w:divBdr>
        <w:top w:val="none" w:sz="0" w:space="0" w:color="auto"/>
        <w:left w:val="none" w:sz="0" w:space="0" w:color="auto"/>
        <w:bottom w:val="none" w:sz="0" w:space="0" w:color="auto"/>
        <w:right w:val="none" w:sz="0" w:space="0" w:color="auto"/>
      </w:divBdr>
    </w:div>
    <w:div w:id="150145123">
      <w:bodyDiv w:val="1"/>
      <w:marLeft w:val="0"/>
      <w:marRight w:val="0"/>
      <w:marTop w:val="0"/>
      <w:marBottom w:val="0"/>
      <w:divBdr>
        <w:top w:val="none" w:sz="0" w:space="0" w:color="auto"/>
        <w:left w:val="none" w:sz="0" w:space="0" w:color="auto"/>
        <w:bottom w:val="none" w:sz="0" w:space="0" w:color="auto"/>
        <w:right w:val="none" w:sz="0" w:space="0" w:color="auto"/>
      </w:divBdr>
    </w:div>
    <w:div w:id="150146029">
      <w:bodyDiv w:val="1"/>
      <w:marLeft w:val="0"/>
      <w:marRight w:val="0"/>
      <w:marTop w:val="0"/>
      <w:marBottom w:val="0"/>
      <w:divBdr>
        <w:top w:val="none" w:sz="0" w:space="0" w:color="auto"/>
        <w:left w:val="none" w:sz="0" w:space="0" w:color="auto"/>
        <w:bottom w:val="none" w:sz="0" w:space="0" w:color="auto"/>
        <w:right w:val="none" w:sz="0" w:space="0" w:color="auto"/>
      </w:divBdr>
    </w:div>
    <w:div w:id="150148302">
      <w:bodyDiv w:val="1"/>
      <w:marLeft w:val="0"/>
      <w:marRight w:val="0"/>
      <w:marTop w:val="0"/>
      <w:marBottom w:val="0"/>
      <w:divBdr>
        <w:top w:val="none" w:sz="0" w:space="0" w:color="auto"/>
        <w:left w:val="none" w:sz="0" w:space="0" w:color="auto"/>
        <w:bottom w:val="none" w:sz="0" w:space="0" w:color="auto"/>
        <w:right w:val="none" w:sz="0" w:space="0" w:color="auto"/>
      </w:divBdr>
    </w:div>
    <w:div w:id="150172354">
      <w:bodyDiv w:val="1"/>
      <w:marLeft w:val="0"/>
      <w:marRight w:val="0"/>
      <w:marTop w:val="0"/>
      <w:marBottom w:val="0"/>
      <w:divBdr>
        <w:top w:val="none" w:sz="0" w:space="0" w:color="auto"/>
        <w:left w:val="none" w:sz="0" w:space="0" w:color="auto"/>
        <w:bottom w:val="none" w:sz="0" w:space="0" w:color="auto"/>
        <w:right w:val="none" w:sz="0" w:space="0" w:color="auto"/>
      </w:divBdr>
    </w:div>
    <w:div w:id="150222060">
      <w:bodyDiv w:val="1"/>
      <w:marLeft w:val="0"/>
      <w:marRight w:val="0"/>
      <w:marTop w:val="0"/>
      <w:marBottom w:val="0"/>
      <w:divBdr>
        <w:top w:val="none" w:sz="0" w:space="0" w:color="auto"/>
        <w:left w:val="none" w:sz="0" w:space="0" w:color="auto"/>
        <w:bottom w:val="none" w:sz="0" w:space="0" w:color="auto"/>
        <w:right w:val="none" w:sz="0" w:space="0" w:color="auto"/>
      </w:divBdr>
    </w:div>
    <w:div w:id="150409384">
      <w:bodyDiv w:val="1"/>
      <w:marLeft w:val="0"/>
      <w:marRight w:val="0"/>
      <w:marTop w:val="0"/>
      <w:marBottom w:val="0"/>
      <w:divBdr>
        <w:top w:val="none" w:sz="0" w:space="0" w:color="auto"/>
        <w:left w:val="none" w:sz="0" w:space="0" w:color="auto"/>
        <w:bottom w:val="none" w:sz="0" w:space="0" w:color="auto"/>
        <w:right w:val="none" w:sz="0" w:space="0" w:color="auto"/>
      </w:divBdr>
    </w:div>
    <w:div w:id="150560095">
      <w:bodyDiv w:val="1"/>
      <w:marLeft w:val="0"/>
      <w:marRight w:val="0"/>
      <w:marTop w:val="0"/>
      <w:marBottom w:val="0"/>
      <w:divBdr>
        <w:top w:val="none" w:sz="0" w:space="0" w:color="auto"/>
        <w:left w:val="none" w:sz="0" w:space="0" w:color="auto"/>
        <w:bottom w:val="none" w:sz="0" w:space="0" w:color="auto"/>
        <w:right w:val="none" w:sz="0" w:space="0" w:color="auto"/>
      </w:divBdr>
    </w:div>
    <w:div w:id="150566091">
      <w:bodyDiv w:val="1"/>
      <w:marLeft w:val="0"/>
      <w:marRight w:val="0"/>
      <w:marTop w:val="0"/>
      <w:marBottom w:val="0"/>
      <w:divBdr>
        <w:top w:val="none" w:sz="0" w:space="0" w:color="auto"/>
        <w:left w:val="none" w:sz="0" w:space="0" w:color="auto"/>
        <w:bottom w:val="none" w:sz="0" w:space="0" w:color="auto"/>
        <w:right w:val="none" w:sz="0" w:space="0" w:color="auto"/>
      </w:divBdr>
    </w:div>
    <w:div w:id="150566399">
      <w:bodyDiv w:val="1"/>
      <w:marLeft w:val="0"/>
      <w:marRight w:val="0"/>
      <w:marTop w:val="0"/>
      <w:marBottom w:val="0"/>
      <w:divBdr>
        <w:top w:val="none" w:sz="0" w:space="0" w:color="auto"/>
        <w:left w:val="none" w:sz="0" w:space="0" w:color="auto"/>
        <w:bottom w:val="none" w:sz="0" w:space="0" w:color="auto"/>
        <w:right w:val="none" w:sz="0" w:space="0" w:color="auto"/>
      </w:divBdr>
    </w:div>
    <w:div w:id="150609685">
      <w:bodyDiv w:val="1"/>
      <w:marLeft w:val="0"/>
      <w:marRight w:val="0"/>
      <w:marTop w:val="0"/>
      <w:marBottom w:val="0"/>
      <w:divBdr>
        <w:top w:val="none" w:sz="0" w:space="0" w:color="auto"/>
        <w:left w:val="none" w:sz="0" w:space="0" w:color="auto"/>
        <w:bottom w:val="none" w:sz="0" w:space="0" w:color="auto"/>
        <w:right w:val="none" w:sz="0" w:space="0" w:color="auto"/>
      </w:divBdr>
    </w:div>
    <w:div w:id="150754521">
      <w:bodyDiv w:val="1"/>
      <w:marLeft w:val="0"/>
      <w:marRight w:val="0"/>
      <w:marTop w:val="0"/>
      <w:marBottom w:val="0"/>
      <w:divBdr>
        <w:top w:val="none" w:sz="0" w:space="0" w:color="auto"/>
        <w:left w:val="none" w:sz="0" w:space="0" w:color="auto"/>
        <w:bottom w:val="none" w:sz="0" w:space="0" w:color="auto"/>
        <w:right w:val="none" w:sz="0" w:space="0" w:color="auto"/>
      </w:divBdr>
    </w:div>
    <w:div w:id="150798390">
      <w:bodyDiv w:val="1"/>
      <w:marLeft w:val="0"/>
      <w:marRight w:val="0"/>
      <w:marTop w:val="0"/>
      <w:marBottom w:val="0"/>
      <w:divBdr>
        <w:top w:val="none" w:sz="0" w:space="0" w:color="auto"/>
        <w:left w:val="none" w:sz="0" w:space="0" w:color="auto"/>
        <w:bottom w:val="none" w:sz="0" w:space="0" w:color="auto"/>
        <w:right w:val="none" w:sz="0" w:space="0" w:color="auto"/>
      </w:divBdr>
    </w:div>
    <w:div w:id="150829532">
      <w:bodyDiv w:val="1"/>
      <w:marLeft w:val="0"/>
      <w:marRight w:val="0"/>
      <w:marTop w:val="0"/>
      <w:marBottom w:val="0"/>
      <w:divBdr>
        <w:top w:val="none" w:sz="0" w:space="0" w:color="auto"/>
        <w:left w:val="none" w:sz="0" w:space="0" w:color="auto"/>
        <w:bottom w:val="none" w:sz="0" w:space="0" w:color="auto"/>
        <w:right w:val="none" w:sz="0" w:space="0" w:color="auto"/>
      </w:divBdr>
    </w:div>
    <w:div w:id="150878931">
      <w:bodyDiv w:val="1"/>
      <w:marLeft w:val="0"/>
      <w:marRight w:val="0"/>
      <w:marTop w:val="0"/>
      <w:marBottom w:val="0"/>
      <w:divBdr>
        <w:top w:val="none" w:sz="0" w:space="0" w:color="auto"/>
        <w:left w:val="none" w:sz="0" w:space="0" w:color="auto"/>
        <w:bottom w:val="none" w:sz="0" w:space="0" w:color="auto"/>
        <w:right w:val="none" w:sz="0" w:space="0" w:color="auto"/>
      </w:divBdr>
    </w:div>
    <w:div w:id="150948806">
      <w:bodyDiv w:val="1"/>
      <w:marLeft w:val="0"/>
      <w:marRight w:val="0"/>
      <w:marTop w:val="0"/>
      <w:marBottom w:val="0"/>
      <w:divBdr>
        <w:top w:val="none" w:sz="0" w:space="0" w:color="auto"/>
        <w:left w:val="none" w:sz="0" w:space="0" w:color="auto"/>
        <w:bottom w:val="none" w:sz="0" w:space="0" w:color="auto"/>
        <w:right w:val="none" w:sz="0" w:space="0" w:color="auto"/>
      </w:divBdr>
    </w:div>
    <w:div w:id="151026027">
      <w:bodyDiv w:val="1"/>
      <w:marLeft w:val="0"/>
      <w:marRight w:val="0"/>
      <w:marTop w:val="0"/>
      <w:marBottom w:val="0"/>
      <w:divBdr>
        <w:top w:val="none" w:sz="0" w:space="0" w:color="auto"/>
        <w:left w:val="none" w:sz="0" w:space="0" w:color="auto"/>
        <w:bottom w:val="none" w:sz="0" w:space="0" w:color="auto"/>
        <w:right w:val="none" w:sz="0" w:space="0" w:color="auto"/>
      </w:divBdr>
    </w:div>
    <w:div w:id="151143720">
      <w:bodyDiv w:val="1"/>
      <w:marLeft w:val="0"/>
      <w:marRight w:val="0"/>
      <w:marTop w:val="0"/>
      <w:marBottom w:val="0"/>
      <w:divBdr>
        <w:top w:val="none" w:sz="0" w:space="0" w:color="auto"/>
        <w:left w:val="none" w:sz="0" w:space="0" w:color="auto"/>
        <w:bottom w:val="none" w:sz="0" w:space="0" w:color="auto"/>
        <w:right w:val="none" w:sz="0" w:space="0" w:color="auto"/>
      </w:divBdr>
    </w:div>
    <w:div w:id="151263154">
      <w:bodyDiv w:val="1"/>
      <w:marLeft w:val="0"/>
      <w:marRight w:val="0"/>
      <w:marTop w:val="0"/>
      <w:marBottom w:val="0"/>
      <w:divBdr>
        <w:top w:val="none" w:sz="0" w:space="0" w:color="auto"/>
        <w:left w:val="none" w:sz="0" w:space="0" w:color="auto"/>
        <w:bottom w:val="none" w:sz="0" w:space="0" w:color="auto"/>
        <w:right w:val="none" w:sz="0" w:space="0" w:color="auto"/>
      </w:divBdr>
    </w:div>
    <w:div w:id="151332815">
      <w:bodyDiv w:val="1"/>
      <w:marLeft w:val="0"/>
      <w:marRight w:val="0"/>
      <w:marTop w:val="0"/>
      <w:marBottom w:val="0"/>
      <w:divBdr>
        <w:top w:val="none" w:sz="0" w:space="0" w:color="auto"/>
        <w:left w:val="none" w:sz="0" w:space="0" w:color="auto"/>
        <w:bottom w:val="none" w:sz="0" w:space="0" w:color="auto"/>
        <w:right w:val="none" w:sz="0" w:space="0" w:color="auto"/>
      </w:divBdr>
    </w:div>
    <w:div w:id="151340107">
      <w:bodyDiv w:val="1"/>
      <w:marLeft w:val="0"/>
      <w:marRight w:val="0"/>
      <w:marTop w:val="0"/>
      <w:marBottom w:val="0"/>
      <w:divBdr>
        <w:top w:val="none" w:sz="0" w:space="0" w:color="auto"/>
        <w:left w:val="none" w:sz="0" w:space="0" w:color="auto"/>
        <w:bottom w:val="none" w:sz="0" w:space="0" w:color="auto"/>
        <w:right w:val="none" w:sz="0" w:space="0" w:color="auto"/>
      </w:divBdr>
    </w:div>
    <w:div w:id="151530672">
      <w:bodyDiv w:val="1"/>
      <w:marLeft w:val="0"/>
      <w:marRight w:val="0"/>
      <w:marTop w:val="0"/>
      <w:marBottom w:val="0"/>
      <w:divBdr>
        <w:top w:val="none" w:sz="0" w:space="0" w:color="auto"/>
        <w:left w:val="none" w:sz="0" w:space="0" w:color="auto"/>
        <w:bottom w:val="none" w:sz="0" w:space="0" w:color="auto"/>
        <w:right w:val="none" w:sz="0" w:space="0" w:color="auto"/>
      </w:divBdr>
    </w:div>
    <w:div w:id="151601358">
      <w:bodyDiv w:val="1"/>
      <w:marLeft w:val="0"/>
      <w:marRight w:val="0"/>
      <w:marTop w:val="0"/>
      <w:marBottom w:val="0"/>
      <w:divBdr>
        <w:top w:val="none" w:sz="0" w:space="0" w:color="auto"/>
        <w:left w:val="none" w:sz="0" w:space="0" w:color="auto"/>
        <w:bottom w:val="none" w:sz="0" w:space="0" w:color="auto"/>
        <w:right w:val="none" w:sz="0" w:space="0" w:color="auto"/>
      </w:divBdr>
    </w:div>
    <w:div w:id="151801301">
      <w:bodyDiv w:val="1"/>
      <w:marLeft w:val="0"/>
      <w:marRight w:val="0"/>
      <w:marTop w:val="0"/>
      <w:marBottom w:val="0"/>
      <w:divBdr>
        <w:top w:val="none" w:sz="0" w:space="0" w:color="auto"/>
        <w:left w:val="none" w:sz="0" w:space="0" w:color="auto"/>
        <w:bottom w:val="none" w:sz="0" w:space="0" w:color="auto"/>
        <w:right w:val="none" w:sz="0" w:space="0" w:color="auto"/>
      </w:divBdr>
    </w:div>
    <w:div w:id="151801816">
      <w:bodyDiv w:val="1"/>
      <w:marLeft w:val="0"/>
      <w:marRight w:val="0"/>
      <w:marTop w:val="0"/>
      <w:marBottom w:val="0"/>
      <w:divBdr>
        <w:top w:val="none" w:sz="0" w:space="0" w:color="auto"/>
        <w:left w:val="none" w:sz="0" w:space="0" w:color="auto"/>
        <w:bottom w:val="none" w:sz="0" w:space="0" w:color="auto"/>
        <w:right w:val="none" w:sz="0" w:space="0" w:color="auto"/>
      </w:divBdr>
    </w:div>
    <w:div w:id="151915547">
      <w:bodyDiv w:val="1"/>
      <w:marLeft w:val="0"/>
      <w:marRight w:val="0"/>
      <w:marTop w:val="0"/>
      <w:marBottom w:val="0"/>
      <w:divBdr>
        <w:top w:val="none" w:sz="0" w:space="0" w:color="auto"/>
        <w:left w:val="none" w:sz="0" w:space="0" w:color="auto"/>
        <w:bottom w:val="none" w:sz="0" w:space="0" w:color="auto"/>
        <w:right w:val="none" w:sz="0" w:space="0" w:color="auto"/>
      </w:divBdr>
    </w:div>
    <w:div w:id="151921111">
      <w:bodyDiv w:val="1"/>
      <w:marLeft w:val="0"/>
      <w:marRight w:val="0"/>
      <w:marTop w:val="0"/>
      <w:marBottom w:val="0"/>
      <w:divBdr>
        <w:top w:val="none" w:sz="0" w:space="0" w:color="auto"/>
        <w:left w:val="none" w:sz="0" w:space="0" w:color="auto"/>
        <w:bottom w:val="none" w:sz="0" w:space="0" w:color="auto"/>
        <w:right w:val="none" w:sz="0" w:space="0" w:color="auto"/>
      </w:divBdr>
    </w:div>
    <w:div w:id="151994457">
      <w:bodyDiv w:val="1"/>
      <w:marLeft w:val="0"/>
      <w:marRight w:val="0"/>
      <w:marTop w:val="0"/>
      <w:marBottom w:val="0"/>
      <w:divBdr>
        <w:top w:val="none" w:sz="0" w:space="0" w:color="auto"/>
        <w:left w:val="none" w:sz="0" w:space="0" w:color="auto"/>
        <w:bottom w:val="none" w:sz="0" w:space="0" w:color="auto"/>
        <w:right w:val="none" w:sz="0" w:space="0" w:color="auto"/>
      </w:divBdr>
    </w:div>
    <w:div w:id="152069373">
      <w:bodyDiv w:val="1"/>
      <w:marLeft w:val="0"/>
      <w:marRight w:val="0"/>
      <w:marTop w:val="0"/>
      <w:marBottom w:val="0"/>
      <w:divBdr>
        <w:top w:val="none" w:sz="0" w:space="0" w:color="auto"/>
        <w:left w:val="none" w:sz="0" w:space="0" w:color="auto"/>
        <w:bottom w:val="none" w:sz="0" w:space="0" w:color="auto"/>
        <w:right w:val="none" w:sz="0" w:space="0" w:color="auto"/>
      </w:divBdr>
    </w:div>
    <w:div w:id="152185086">
      <w:bodyDiv w:val="1"/>
      <w:marLeft w:val="0"/>
      <w:marRight w:val="0"/>
      <w:marTop w:val="0"/>
      <w:marBottom w:val="0"/>
      <w:divBdr>
        <w:top w:val="none" w:sz="0" w:space="0" w:color="auto"/>
        <w:left w:val="none" w:sz="0" w:space="0" w:color="auto"/>
        <w:bottom w:val="none" w:sz="0" w:space="0" w:color="auto"/>
        <w:right w:val="none" w:sz="0" w:space="0" w:color="auto"/>
      </w:divBdr>
    </w:div>
    <w:div w:id="152332481">
      <w:bodyDiv w:val="1"/>
      <w:marLeft w:val="0"/>
      <w:marRight w:val="0"/>
      <w:marTop w:val="0"/>
      <w:marBottom w:val="0"/>
      <w:divBdr>
        <w:top w:val="none" w:sz="0" w:space="0" w:color="auto"/>
        <w:left w:val="none" w:sz="0" w:space="0" w:color="auto"/>
        <w:bottom w:val="none" w:sz="0" w:space="0" w:color="auto"/>
        <w:right w:val="none" w:sz="0" w:space="0" w:color="auto"/>
      </w:divBdr>
    </w:div>
    <w:div w:id="152379288">
      <w:bodyDiv w:val="1"/>
      <w:marLeft w:val="0"/>
      <w:marRight w:val="0"/>
      <w:marTop w:val="0"/>
      <w:marBottom w:val="0"/>
      <w:divBdr>
        <w:top w:val="none" w:sz="0" w:space="0" w:color="auto"/>
        <w:left w:val="none" w:sz="0" w:space="0" w:color="auto"/>
        <w:bottom w:val="none" w:sz="0" w:space="0" w:color="auto"/>
        <w:right w:val="none" w:sz="0" w:space="0" w:color="auto"/>
      </w:divBdr>
    </w:div>
    <w:div w:id="152454916">
      <w:bodyDiv w:val="1"/>
      <w:marLeft w:val="0"/>
      <w:marRight w:val="0"/>
      <w:marTop w:val="0"/>
      <w:marBottom w:val="0"/>
      <w:divBdr>
        <w:top w:val="none" w:sz="0" w:space="0" w:color="auto"/>
        <w:left w:val="none" w:sz="0" w:space="0" w:color="auto"/>
        <w:bottom w:val="none" w:sz="0" w:space="0" w:color="auto"/>
        <w:right w:val="none" w:sz="0" w:space="0" w:color="auto"/>
      </w:divBdr>
    </w:div>
    <w:div w:id="152455795">
      <w:bodyDiv w:val="1"/>
      <w:marLeft w:val="0"/>
      <w:marRight w:val="0"/>
      <w:marTop w:val="0"/>
      <w:marBottom w:val="0"/>
      <w:divBdr>
        <w:top w:val="none" w:sz="0" w:space="0" w:color="auto"/>
        <w:left w:val="none" w:sz="0" w:space="0" w:color="auto"/>
        <w:bottom w:val="none" w:sz="0" w:space="0" w:color="auto"/>
        <w:right w:val="none" w:sz="0" w:space="0" w:color="auto"/>
      </w:divBdr>
    </w:div>
    <w:div w:id="152458078">
      <w:bodyDiv w:val="1"/>
      <w:marLeft w:val="0"/>
      <w:marRight w:val="0"/>
      <w:marTop w:val="0"/>
      <w:marBottom w:val="0"/>
      <w:divBdr>
        <w:top w:val="none" w:sz="0" w:space="0" w:color="auto"/>
        <w:left w:val="none" w:sz="0" w:space="0" w:color="auto"/>
        <w:bottom w:val="none" w:sz="0" w:space="0" w:color="auto"/>
        <w:right w:val="none" w:sz="0" w:space="0" w:color="auto"/>
      </w:divBdr>
    </w:div>
    <w:div w:id="152525759">
      <w:bodyDiv w:val="1"/>
      <w:marLeft w:val="0"/>
      <w:marRight w:val="0"/>
      <w:marTop w:val="0"/>
      <w:marBottom w:val="0"/>
      <w:divBdr>
        <w:top w:val="none" w:sz="0" w:space="0" w:color="auto"/>
        <w:left w:val="none" w:sz="0" w:space="0" w:color="auto"/>
        <w:bottom w:val="none" w:sz="0" w:space="0" w:color="auto"/>
        <w:right w:val="none" w:sz="0" w:space="0" w:color="auto"/>
      </w:divBdr>
    </w:div>
    <w:div w:id="152527000">
      <w:bodyDiv w:val="1"/>
      <w:marLeft w:val="0"/>
      <w:marRight w:val="0"/>
      <w:marTop w:val="0"/>
      <w:marBottom w:val="0"/>
      <w:divBdr>
        <w:top w:val="none" w:sz="0" w:space="0" w:color="auto"/>
        <w:left w:val="none" w:sz="0" w:space="0" w:color="auto"/>
        <w:bottom w:val="none" w:sz="0" w:space="0" w:color="auto"/>
        <w:right w:val="none" w:sz="0" w:space="0" w:color="auto"/>
      </w:divBdr>
    </w:div>
    <w:div w:id="152528143">
      <w:bodyDiv w:val="1"/>
      <w:marLeft w:val="0"/>
      <w:marRight w:val="0"/>
      <w:marTop w:val="0"/>
      <w:marBottom w:val="0"/>
      <w:divBdr>
        <w:top w:val="none" w:sz="0" w:space="0" w:color="auto"/>
        <w:left w:val="none" w:sz="0" w:space="0" w:color="auto"/>
        <w:bottom w:val="none" w:sz="0" w:space="0" w:color="auto"/>
        <w:right w:val="none" w:sz="0" w:space="0" w:color="auto"/>
      </w:divBdr>
    </w:div>
    <w:div w:id="152533235">
      <w:bodyDiv w:val="1"/>
      <w:marLeft w:val="0"/>
      <w:marRight w:val="0"/>
      <w:marTop w:val="0"/>
      <w:marBottom w:val="0"/>
      <w:divBdr>
        <w:top w:val="none" w:sz="0" w:space="0" w:color="auto"/>
        <w:left w:val="none" w:sz="0" w:space="0" w:color="auto"/>
        <w:bottom w:val="none" w:sz="0" w:space="0" w:color="auto"/>
        <w:right w:val="none" w:sz="0" w:space="0" w:color="auto"/>
      </w:divBdr>
    </w:div>
    <w:div w:id="152569587">
      <w:bodyDiv w:val="1"/>
      <w:marLeft w:val="0"/>
      <w:marRight w:val="0"/>
      <w:marTop w:val="0"/>
      <w:marBottom w:val="0"/>
      <w:divBdr>
        <w:top w:val="none" w:sz="0" w:space="0" w:color="auto"/>
        <w:left w:val="none" w:sz="0" w:space="0" w:color="auto"/>
        <w:bottom w:val="none" w:sz="0" w:space="0" w:color="auto"/>
        <w:right w:val="none" w:sz="0" w:space="0" w:color="auto"/>
      </w:divBdr>
    </w:div>
    <w:div w:id="152569821">
      <w:bodyDiv w:val="1"/>
      <w:marLeft w:val="0"/>
      <w:marRight w:val="0"/>
      <w:marTop w:val="0"/>
      <w:marBottom w:val="0"/>
      <w:divBdr>
        <w:top w:val="none" w:sz="0" w:space="0" w:color="auto"/>
        <w:left w:val="none" w:sz="0" w:space="0" w:color="auto"/>
        <w:bottom w:val="none" w:sz="0" w:space="0" w:color="auto"/>
        <w:right w:val="none" w:sz="0" w:space="0" w:color="auto"/>
      </w:divBdr>
    </w:div>
    <w:div w:id="152720998">
      <w:bodyDiv w:val="1"/>
      <w:marLeft w:val="0"/>
      <w:marRight w:val="0"/>
      <w:marTop w:val="0"/>
      <w:marBottom w:val="0"/>
      <w:divBdr>
        <w:top w:val="none" w:sz="0" w:space="0" w:color="auto"/>
        <w:left w:val="none" w:sz="0" w:space="0" w:color="auto"/>
        <w:bottom w:val="none" w:sz="0" w:space="0" w:color="auto"/>
        <w:right w:val="none" w:sz="0" w:space="0" w:color="auto"/>
      </w:divBdr>
    </w:div>
    <w:div w:id="152835752">
      <w:bodyDiv w:val="1"/>
      <w:marLeft w:val="0"/>
      <w:marRight w:val="0"/>
      <w:marTop w:val="0"/>
      <w:marBottom w:val="0"/>
      <w:divBdr>
        <w:top w:val="none" w:sz="0" w:space="0" w:color="auto"/>
        <w:left w:val="none" w:sz="0" w:space="0" w:color="auto"/>
        <w:bottom w:val="none" w:sz="0" w:space="0" w:color="auto"/>
        <w:right w:val="none" w:sz="0" w:space="0" w:color="auto"/>
      </w:divBdr>
    </w:div>
    <w:div w:id="152839430">
      <w:bodyDiv w:val="1"/>
      <w:marLeft w:val="0"/>
      <w:marRight w:val="0"/>
      <w:marTop w:val="0"/>
      <w:marBottom w:val="0"/>
      <w:divBdr>
        <w:top w:val="none" w:sz="0" w:space="0" w:color="auto"/>
        <w:left w:val="none" w:sz="0" w:space="0" w:color="auto"/>
        <w:bottom w:val="none" w:sz="0" w:space="0" w:color="auto"/>
        <w:right w:val="none" w:sz="0" w:space="0" w:color="auto"/>
      </w:divBdr>
    </w:div>
    <w:div w:id="152842313">
      <w:bodyDiv w:val="1"/>
      <w:marLeft w:val="0"/>
      <w:marRight w:val="0"/>
      <w:marTop w:val="0"/>
      <w:marBottom w:val="0"/>
      <w:divBdr>
        <w:top w:val="none" w:sz="0" w:space="0" w:color="auto"/>
        <w:left w:val="none" w:sz="0" w:space="0" w:color="auto"/>
        <w:bottom w:val="none" w:sz="0" w:space="0" w:color="auto"/>
        <w:right w:val="none" w:sz="0" w:space="0" w:color="auto"/>
      </w:divBdr>
    </w:div>
    <w:div w:id="152913418">
      <w:bodyDiv w:val="1"/>
      <w:marLeft w:val="0"/>
      <w:marRight w:val="0"/>
      <w:marTop w:val="0"/>
      <w:marBottom w:val="0"/>
      <w:divBdr>
        <w:top w:val="none" w:sz="0" w:space="0" w:color="auto"/>
        <w:left w:val="none" w:sz="0" w:space="0" w:color="auto"/>
        <w:bottom w:val="none" w:sz="0" w:space="0" w:color="auto"/>
        <w:right w:val="none" w:sz="0" w:space="0" w:color="auto"/>
      </w:divBdr>
    </w:div>
    <w:div w:id="152914364">
      <w:bodyDiv w:val="1"/>
      <w:marLeft w:val="0"/>
      <w:marRight w:val="0"/>
      <w:marTop w:val="0"/>
      <w:marBottom w:val="0"/>
      <w:divBdr>
        <w:top w:val="none" w:sz="0" w:space="0" w:color="auto"/>
        <w:left w:val="none" w:sz="0" w:space="0" w:color="auto"/>
        <w:bottom w:val="none" w:sz="0" w:space="0" w:color="auto"/>
        <w:right w:val="none" w:sz="0" w:space="0" w:color="auto"/>
      </w:divBdr>
    </w:div>
    <w:div w:id="152962824">
      <w:bodyDiv w:val="1"/>
      <w:marLeft w:val="0"/>
      <w:marRight w:val="0"/>
      <w:marTop w:val="0"/>
      <w:marBottom w:val="0"/>
      <w:divBdr>
        <w:top w:val="none" w:sz="0" w:space="0" w:color="auto"/>
        <w:left w:val="none" w:sz="0" w:space="0" w:color="auto"/>
        <w:bottom w:val="none" w:sz="0" w:space="0" w:color="auto"/>
        <w:right w:val="none" w:sz="0" w:space="0" w:color="auto"/>
      </w:divBdr>
    </w:div>
    <w:div w:id="152992477">
      <w:bodyDiv w:val="1"/>
      <w:marLeft w:val="0"/>
      <w:marRight w:val="0"/>
      <w:marTop w:val="0"/>
      <w:marBottom w:val="0"/>
      <w:divBdr>
        <w:top w:val="none" w:sz="0" w:space="0" w:color="auto"/>
        <w:left w:val="none" w:sz="0" w:space="0" w:color="auto"/>
        <w:bottom w:val="none" w:sz="0" w:space="0" w:color="auto"/>
        <w:right w:val="none" w:sz="0" w:space="0" w:color="auto"/>
      </w:divBdr>
    </w:div>
    <w:div w:id="153181401">
      <w:bodyDiv w:val="1"/>
      <w:marLeft w:val="0"/>
      <w:marRight w:val="0"/>
      <w:marTop w:val="0"/>
      <w:marBottom w:val="0"/>
      <w:divBdr>
        <w:top w:val="none" w:sz="0" w:space="0" w:color="auto"/>
        <w:left w:val="none" w:sz="0" w:space="0" w:color="auto"/>
        <w:bottom w:val="none" w:sz="0" w:space="0" w:color="auto"/>
        <w:right w:val="none" w:sz="0" w:space="0" w:color="auto"/>
      </w:divBdr>
    </w:div>
    <w:div w:id="153299134">
      <w:bodyDiv w:val="1"/>
      <w:marLeft w:val="0"/>
      <w:marRight w:val="0"/>
      <w:marTop w:val="0"/>
      <w:marBottom w:val="0"/>
      <w:divBdr>
        <w:top w:val="none" w:sz="0" w:space="0" w:color="auto"/>
        <w:left w:val="none" w:sz="0" w:space="0" w:color="auto"/>
        <w:bottom w:val="none" w:sz="0" w:space="0" w:color="auto"/>
        <w:right w:val="none" w:sz="0" w:space="0" w:color="auto"/>
      </w:divBdr>
    </w:div>
    <w:div w:id="153375669">
      <w:bodyDiv w:val="1"/>
      <w:marLeft w:val="0"/>
      <w:marRight w:val="0"/>
      <w:marTop w:val="0"/>
      <w:marBottom w:val="0"/>
      <w:divBdr>
        <w:top w:val="none" w:sz="0" w:space="0" w:color="auto"/>
        <w:left w:val="none" w:sz="0" w:space="0" w:color="auto"/>
        <w:bottom w:val="none" w:sz="0" w:space="0" w:color="auto"/>
        <w:right w:val="none" w:sz="0" w:space="0" w:color="auto"/>
      </w:divBdr>
    </w:div>
    <w:div w:id="153422435">
      <w:bodyDiv w:val="1"/>
      <w:marLeft w:val="0"/>
      <w:marRight w:val="0"/>
      <w:marTop w:val="0"/>
      <w:marBottom w:val="0"/>
      <w:divBdr>
        <w:top w:val="none" w:sz="0" w:space="0" w:color="auto"/>
        <w:left w:val="none" w:sz="0" w:space="0" w:color="auto"/>
        <w:bottom w:val="none" w:sz="0" w:space="0" w:color="auto"/>
        <w:right w:val="none" w:sz="0" w:space="0" w:color="auto"/>
      </w:divBdr>
    </w:div>
    <w:div w:id="153495834">
      <w:bodyDiv w:val="1"/>
      <w:marLeft w:val="0"/>
      <w:marRight w:val="0"/>
      <w:marTop w:val="0"/>
      <w:marBottom w:val="0"/>
      <w:divBdr>
        <w:top w:val="none" w:sz="0" w:space="0" w:color="auto"/>
        <w:left w:val="none" w:sz="0" w:space="0" w:color="auto"/>
        <w:bottom w:val="none" w:sz="0" w:space="0" w:color="auto"/>
        <w:right w:val="none" w:sz="0" w:space="0" w:color="auto"/>
      </w:divBdr>
    </w:div>
    <w:div w:id="153575281">
      <w:bodyDiv w:val="1"/>
      <w:marLeft w:val="0"/>
      <w:marRight w:val="0"/>
      <w:marTop w:val="0"/>
      <w:marBottom w:val="0"/>
      <w:divBdr>
        <w:top w:val="none" w:sz="0" w:space="0" w:color="auto"/>
        <w:left w:val="none" w:sz="0" w:space="0" w:color="auto"/>
        <w:bottom w:val="none" w:sz="0" w:space="0" w:color="auto"/>
        <w:right w:val="none" w:sz="0" w:space="0" w:color="auto"/>
      </w:divBdr>
    </w:div>
    <w:div w:id="153684628">
      <w:bodyDiv w:val="1"/>
      <w:marLeft w:val="0"/>
      <w:marRight w:val="0"/>
      <w:marTop w:val="0"/>
      <w:marBottom w:val="0"/>
      <w:divBdr>
        <w:top w:val="none" w:sz="0" w:space="0" w:color="auto"/>
        <w:left w:val="none" w:sz="0" w:space="0" w:color="auto"/>
        <w:bottom w:val="none" w:sz="0" w:space="0" w:color="auto"/>
        <w:right w:val="none" w:sz="0" w:space="0" w:color="auto"/>
      </w:divBdr>
    </w:div>
    <w:div w:id="153689236">
      <w:bodyDiv w:val="1"/>
      <w:marLeft w:val="0"/>
      <w:marRight w:val="0"/>
      <w:marTop w:val="0"/>
      <w:marBottom w:val="0"/>
      <w:divBdr>
        <w:top w:val="none" w:sz="0" w:space="0" w:color="auto"/>
        <w:left w:val="none" w:sz="0" w:space="0" w:color="auto"/>
        <w:bottom w:val="none" w:sz="0" w:space="0" w:color="auto"/>
        <w:right w:val="none" w:sz="0" w:space="0" w:color="auto"/>
      </w:divBdr>
    </w:div>
    <w:div w:id="153836133">
      <w:bodyDiv w:val="1"/>
      <w:marLeft w:val="0"/>
      <w:marRight w:val="0"/>
      <w:marTop w:val="0"/>
      <w:marBottom w:val="0"/>
      <w:divBdr>
        <w:top w:val="none" w:sz="0" w:space="0" w:color="auto"/>
        <w:left w:val="none" w:sz="0" w:space="0" w:color="auto"/>
        <w:bottom w:val="none" w:sz="0" w:space="0" w:color="auto"/>
        <w:right w:val="none" w:sz="0" w:space="0" w:color="auto"/>
      </w:divBdr>
    </w:div>
    <w:div w:id="154106116">
      <w:bodyDiv w:val="1"/>
      <w:marLeft w:val="0"/>
      <w:marRight w:val="0"/>
      <w:marTop w:val="0"/>
      <w:marBottom w:val="0"/>
      <w:divBdr>
        <w:top w:val="none" w:sz="0" w:space="0" w:color="auto"/>
        <w:left w:val="none" w:sz="0" w:space="0" w:color="auto"/>
        <w:bottom w:val="none" w:sz="0" w:space="0" w:color="auto"/>
        <w:right w:val="none" w:sz="0" w:space="0" w:color="auto"/>
      </w:divBdr>
    </w:div>
    <w:div w:id="154153973">
      <w:bodyDiv w:val="1"/>
      <w:marLeft w:val="0"/>
      <w:marRight w:val="0"/>
      <w:marTop w:val="0"/>
      <w:marBottom w:val="0"/>
      <w:divBdr>
        <w:top w:val="none" w:sz="0" w:space="0" w:color="auto"/>
        <w:left w:val="none" w:sz="0" w:space="0" w:color="auto"/>
        <w:bottom w:val="none" w:sz="0" w:space="0" w:color="auto"/>
        <w:right w:val="none" w:sz="0" w:space="0" w:color="auto"/>
      </w:divBdr>
    </w:div>
    <w:div w:id="154226490">
      <w:bodyDiv w:val="1"/>
      <w:marLeft w:val="0"/>
      <w:marRight w:val="0"/>
      <w:marTop w:val="0"/>
      <w:marBottom w:val="0"/>
      <w:divBdr>
        <w:top w:val="none" w:sz="0" w:space="0" w:color="auto"/>
        <w:left w:val="none" w:sz="0" w:space="0" w:color="auto"/>
        <w:bottom w:val="none" w:sz="0" w:space="0" w:color="auto"/>
        <w:right w:val="none" w:sz="0" w:space="0" w:color="auto"/>
      </w:divBdr>
    </w:div>
    <w:div w:id="154230859">
      <w:bodyDiv w:val="1"/>
      <w:marLeft w:val="0"/>
      <w:marRight w:val="0"/>
      <w:marTop w:val="0"/>
      <w:marBottom w:val="0"/>
      <w:divBdr>
        <w:top w:val="none" w:sz="0" w:space="0" w:color="auto"/>
        <w:left w:val="none" w:sz="0" w:space="0" w:color="auto"/>
        <w:bottom w:val="none" w:sz="0" w:space="0" w:color="auto"/>
        <w:right w:val="none" w:sz="0" w:space="0" w:color="auto"/>
      </w:divBdr>
    </w:div>
    <w:div w:id="154300615">
      <w:bodyDiv w:val="1"/>
      <w:marLeft w:val="0"/>
      <w:marRight w:val="0"/>
      <w:marTop w:val="0"/>
      <w:marBottom w:val="0"/>
      <w:divBdr>
        <w:top w:val="none" w:sz="0" w:space="0" w:color="auto"/>
        <w:left w:val="none" w:sz="0" w:space="0" w:color="auto"/>
        <w:bottom w:val="none" w:sz="0" w:space="0" w:color="auto"/>
        <w:right w:val="none" w:sz="0" w:space="0" w:color="auto"/>
      </w:divBdr>
    </w:div>
    <w:div w:id="154341613">
      <w:bodyDiv w:val="1"/>
      <w:marLeft w:val="0"/>
      <w:marRight w:val="0"/>
      <w:marTop w:val="0"/>
      <w:marBottom w:val="0"/>
      <w:divBdr>
        <w:top w:val="none" w:sz="0" w:space="0" w:color="auto"/>
        <w:left w:val="none" w:sz="0" w:space="0" w:color="auto"/>
        <w:bottom w:val="none" w:sz="0" w:space="0" w:color="auto"/>
        <w:right w:val="none" w:sz="0" w:space="0" w:color="auto"/>
      </w:divBdr>
    </w:div>
    <w:div w:id="154876488">
      <w:bodyDiv w:val="1"/>
      <w:marLeft w:val="0"/>
      <w:marRight w:val="0"/>
      <w:marTop w:val="0"/>
      <w:marBottom w:val="0"/>
      <w:divBdr>
        <w:top w:val="none" w:sz="0" w:space="0" w:color="auto"/>
        <w:left w:val="none" w:sz="0" w:space="0" w:color="auto"/>
        <w:bottom w:val="none" w:sz="0" w:space="0" w:color="auto"/>
        <w:right w:val="none" w:sz="0" w:space="0" w:color="auto"/>
      </w:divBdr>
    </w:div>
    <w:div w:id="154882506">
      <w:bodyDiv w:val="1"/>
      <w:marLeft w:val="0"/>
      <w:marRight w:val="0"/>
      <w:marTop w:val="0"/>
      <w:marBottom w:val="0"/>
      <w:divBdr>
        <w:top w:val="none" w:sz="0" w:space="0" w:color="auto"/>
        <w:left w:val="none" w:sz="0" w:space="0" w:color="auto"/>
        <w:bottom w:val="none" w:sz="0" w:space="0" w:color="auto"/>
        <w:right w:val="none" w:sz="0" w:space="0" w:color="auto"/>
      </w:divBdr>
    </w:div>
    <w:div w:id="154958612">
      <w:bodyDiv w:val="1"/>
      <w:marLeft w:val="0"/>
      <w:marRight w:val="0"/>
      <w:marTop w:val="0"/>
      <w:marBottom w:val="0"/>
      <w:divBdr>
        <w:top w:val="none" w:sz="0" w:space="0" w:color="auto"/>
        <w:left w:val="none" w:sz="0" w:space="0" w:color="auto"/>
        <w:bottom w:val="none" w:sz="0" w:space="0" w:color="auto"/>
        <w:right w:val="none" w:sz="0" w:space="0" w:color="auto"/>
      </w:divBdr>
    </w:div>
    <w:div w:id="154995222">
      <w:bodyDiv w:val="1"/>
      <w:marLeft w:val="0"/>
      <w:marRight w:val="0"/>
      <w:marTop w:val="0"/>
      <w:marBottom w:val="0"/>
      <w:divBdr>
        <w:top w:val="none" w:sz="0" w:space="0" w:color="auto"/>
        <w:left w:val="none" w:sz="0" w:space="0" w:color="auto"/>
        <w:bottom w:val="none" w:sz="0" w:space="0" w:color="auto"/>
        <w:right w:val="none" w:sz="0" w:space="0" w:color="auto"/>
      </w:divBdr>
    </w:div>
    <w:div w:id="155153248">
      <w:bodyDiv w:val="1"/>
      <w:marLeft w:val="0"/>
      <w:marRight w:val="0"/>
      <w:marTop w:val="0"/>
      <w:marBottom w:val="0"/>
      <w:divBdr>
        <w:top w:val="none" w:sz="0" w:space="0" w:color="auto"/>
        <w:left w:val="none" w:sz="0" w:space="0" w:color="auto"/>
        <w:bottom w:val="none" w:sz="0" w:space="0" w:color="auto"/>
        <w:right w:val="none" w:sz="0" w:space="0" w:color="auto"/>
      </w:divBdr>
    </w:div>
    <w:div w:id="155189790">
      <w:bodyDiv w:val="1"/>
      <w:marLeft w:val="0"/>
      <w:marRight w:val="0"/>
      <w:marTop w:val="0"/>
      <w:marBottom w:val="0"/>
      <w:divBdr>
        <w:top w:val="none" w:sz="0" w:space="0" w:color="auto"/>
        <w:left w:val="none" w:sz="0" w:space="0" w:color="auto"/>
        <w:bottom w:val="none" w:sz="0" w:space="0" w:color="auto"/>
        <w:right w:val="none" w:sz="0" w:space="0" w:color="auto"/>
      </w:divBdr>
    </w:div>
    <w:div w:id="155193812">
      <w:bodyDiv w:val="1"/>
      <w:marLeft w:val="0"/>
      <w:marRight w:val="0"/>
      <w:marTop w:val="0"/>
      <w:marBottom w:val="0"/>
      <w:divBdr>
        <w:top w:val="none" w:sz="0" w:space="0" w:color="auto"/>
        <w:left w:val="none" w:sz="0" w:space="0" w:color="auto"/>
        <w:bottom w:val="none" w:sz="0" w:space="0" w:color="auto"/>
        <w:right w:val="none" w:sz="0" w:space="0" w:color="auto"/>
      </w:divBdr>
    </w:div>
    <w:div w:id="155196624">
      <w:bodyDiv w:val="1"/>
      <w:marLeft w:val="0"/>
      <w:marRight w:val="0"/>
      <w:marTop w:val="0"/>
      <w:marBottom w:val="0"/>
      <w:divBdr>
        <w:top w:val="none" w:sz="0" w:space="0" w:color="auto"/>
        <w:left w:val="none" w:sz="0" w:space="0" w:color="auto"/>
        <w:bottom w:val="none" w:sz="0" w:space="0" w:color="auto"/>
        <w:right w:val="none" w:sz="0" w:space="0" w:color="auto"/>
      </w:divBdr>
    </w:div>
    <w:div w:id="155342397">
      <w:bodyDiv w:val="1"/>
      <w:marLeft w:val="0"/>
      <w:marRight w:val="0"/>
      <w:marTop w:val="0"/>
      <w:marBottom w:val="0"/>
      <w:divBdr>
        <w:top w:val="none" w:sz="0" w:space="0" w:color="auto"/>
        <w:left w:val="none" w:sz="0" w:space="0" w:color="auto"/>
        <w:bottom w:val="none" w:sz="0" w:space="0" w:color="auto"/>
        <w:right w:val="none" w:sz="0" w:space="0" w:color="auto"/>
      </w:divBdr>
    </w:div>
    <w:div w:id="155533084">
      <w:bodyDiv w:val="1"/>
      <w:marLeft w:val="0"/>
      <w:marRight w:val="0"/>
      <w:marTop w:val="0"/>
      <w:marBottom w:val="0"/>
      <w:divBdr>
        <w:top w:val="none" w:sz="0" w:space="0" w:color="auto"/>
        <w:left w:val="none" w:sz="0" w:space="0" w:color="auto"/>
        <w:bottom w:val="none" w:sz="0" w:space="0" w:color="auto"/>
        <w:right w:val="none" w:sz="0" w:space="0" w:color="auto"/>
      </w:divBdr>
    </w:div>
    <w:div w:id="155733824">
      <w:bodyDiv w:val="1"/>
      <w:marLeft w:val="0"/>
      <w:marRight w:val="0"/>
      <w:marTop w:val="0"/>
      <w:marBottom w:val="0"/>
      <w:divBdr>
        <w:top w:val="none" w:sz="0" w:space="0" w:color="auto"/>
        <w:left w:val="none" w:sz="0" w:space="0" w:color="auto"/>
        <w:bottom w:val="none" w:sz="0" w:space="0" w:color="auto"/>
        <w:right w:val="none" w:sz="0" w:space="0" w:color="auto"/>
      </w:divBdr>
    </w:div>
    <w:div w:id="155801866">
      <w:bodyDiv w:val="1"/>
      <w:marLeft w:val="0"/>
      <w:marRight w:val="0"/>
      <w:marTop w:val="0"/>
      <w:marBottom w:val="0"/>
      <w:divBdr>
        <w:top w:val="none" w:sz="0" w:space="0" w:color="auto"/>
        <w:left w:val="none" w:sz="0" w:space="0" w:color="auto"/>
        <w:bottom w:val="none" w:sz="0" w:space="0" w:color="auto"/>
        <w:right w:val="none" w:sz="0" w:space="0" w:color="auto"/>
      </w:divBdr>
    </w:div>
    <w:div w:id="155920746">
      <w:bodyDiv w:val="1"/>
      <w:marLeft w:val="0"/>
      <w:marRight w:val="0"/>
      <w:marTop w:val="0"/>
      <w:marBottom w:val="0"/>
      <w:divBdr>
        <w:top w:val="none" w:sz="0" w:space="0" w:color="auto"/>
        <w:left w:val="none" w:sz="0" w:space="0" w:color="auto"/>
        <w:bottom w:val="none" w:sz="0" w:space="0" w:color="auto"/>
        <w:right w:val="none" w:sz="0" w:space="0" w:color="auto"/>
      </w:divBdr>
    </w:div>
    <w:div w:id="155921935">
      <w:bodyDiv w:val="1"/>
      <w:marLeft w:val="0"/>
      <w:marRight w:val="0"/>
      <w:marTop w:val="0"/>
      <w:marBottom w:val="0"/>
      <w:divBdr>
        <w:top w:val="none" w:sz="0" w:space="0" w:color="auto"/>
        <w:left w:val="none" w:sz="0" w:space="0" w:color="auto"/>
        <w:bottom w:val="none" w:sz="0" w:space="0" w:color="auto"/>
        <w:right w:val="none" w:sz="0" w:space="0" w:color="auto"/>
      </w:divBdr>
    </w:div>
    <w:div w:id="155925049">
      <w:bodyDiv w:val="1"/>
      <w:marLeft w:val="0"/>
      <w:marRight w:val="0"/>
      <w:marTop w:val="0"/>
      <w:marBottom w:val="0"/>
      <w:divBdr>
        <w:top w:val="none" w:sz="0" w:space="0" w:color="auto"/>
        <w:left w:val="none" w:sz="0" w:space="0" w:color="auto"/>
        <w:bottom w:val="none" w:sz="0" w:space="0" w:color="auto"/>
        <w:right w:val="none" w:sz="0" w:space="0" w:color="auto"/>
      </w:divBdr>
    </w:div>
    <w:div w:id="155996850">
      <w:bodyDiv w:val="1"/>
      <w:marLeft w:val="0"/>
      <w:marRight w:val="0"/>
      <w:marTop w:val="0"/>
      <w:marBottom w:val="0"/>
      <w:divBdr>
        <w:top w:val="none" w:sz="0" w:space="0" w:color="auto"/>
        <w:left w:val="none" w:sz="0" w:space="0" w:color="auto"/>
        <w:bottom w:val="none" w:sz="0" w:space="0" w:color="auto"/>
        <w:right w:val="none" w:sz="0" w:space="0" w:color="auto"/>
      </w:divBdr>
    </w:div>
    <w:div w:id="156120798">
      <w:bodyDiv w:val="1"/>
      <w:marLeft w:val="0"/>
      <w:marRight w:val="0"/>
      <w:marTop w:val="0"/>
      <w:marBottom w:val="0"/>
      <w:divBdr>
        <w:top w:val="none" w:sz="0" w:space="0" w:color="auto"/>
        <w:left w:val="none" w:sz="0" w:space="0" w:color="auto"/>
        <w:bottom w:val="none" w:sz="0" w:space="0" w:color="auto"/>
        <w:right w:val="none" w:sz="0" w:space="0" w:color="auto"/>
      </w:divBdr>
    </w:div>
    <w:div w:id="156191242">
      <w:bodyDiv w:val="1"/>
      <w:marLeft w:val="0"/>
      <w:marRight w:val="0"/>
      <w:marTop w:val="0"/>
      <w:marBottom w:val="0"/>
      <w:divBdr>
        <w:top w:val="none" w:sz="0" w:space="0" w:color="auto"/>
        <w:left w:val="none" w:sz="0" w:space="0" w:color="auto"/>
        <w:bottom w:val="none" w:sz="0" w:space="0" w:color="auto"/>
        <w:right w:val="none" w:sz="0" w:space="0" w:color="auto"/>
      </w:divBdr>
    </w:div>
    <w:div w:id="156387793">
      <w:bodyDiv w:val="1"/>
      <w:marLeft w:val="0"/>
      <w:marRight w:val="0"/>
      <w:marTop w:val="0"/>
      <w:marBottom w:val="0"/>
      <w:divBdr>
        <w:top w:val="none" w:sz="0" w:space="0" w:color="auto"/>
        <w:left w:val="none" w:sz="0" w:space="0" w:color="auto"/>
        <w:bottom w:val="none" w:sz="0" w:space="0" w:color="auto"/>
        <w:right w:val="none" w:sz="0" w:space="0" w:color="auto"/>
      </w:divBdr>
    </w:div>
    <w:div w:id="156389566">
      <w:bodyDiv w:val="1"/>
      <w:marLeft w:val="0"/>
      <w:marRight w:val="0"/>
      <w:marTop w:val="0"/>
      <w:marBottom w:val="0"/>
      <w:divBdr>
        <w:top w:val="none" w:sz="0" w:space="0" w:color="auto"/>
        <w:left w:val="none" w:sz="0" w:space="0" w:color="auto"/>
        <w:bottom w:val="none" w:sz="0" w:space="0" w:color="auto"/>
        <w:right w:val="none" w:sz="0" w:space="0" w:color="auto"/>
      </w:divBdr>
    </w:div>
    <w:div w:id="156502477">
      <w:bodyDiv w:val="1"/>
      <w:marLeft w:val="0"/>
      <w:marRight w:val="0"/>
      <w:marTop w:val="0"/>
      <w:marBottom w:val="0"/>
      <w:divBdr>
        <w:top w:val="none" w:sz="0" w:space="0" w:color="auto"/>
        <w:left w:val="none" w:sz="0" w:space="0" w:color="auto"/>
        <w:bottom w:val="none" w:sz="0" w:space="0" w:color="auto"/>
        <w:right w:val="none" w:sz="0" w:space="0" w:color="auto"/>
      </w:divBdr>
    </w:div>
    <w:div w:id="156502799">
      <w:bodyDiv w:val="1"/>
      <w:marLeft w:val="0"/>
      <w:marRight w:val="0"/>
      <w:marTop w:val="0"/>
      <w:marBottom w:val="0"/>
      <w:divBdr>
        <w:top w:val="none" w:sz="0" w:space="0" w:color="auto"/>
        <w:left w:val="none" w:sz="0" w:space="0" w:color="auto"/>
        <w:bottom w:val="none" w:sz="0" w:space="0" w:color="auto"/>
        <w:right w:val="none" w:sz="0" w:space="0" w:color="auto"/>
      </w:divBdr>
    </w:div>
    <w:div w:id="156700538">
      <w:bodyDiv w:val="1"/>
      <w:marLeft w:val="0"/>
      <w:marRight w:val="0"/>
      <w:marTop w:val="0"/>
      <w:marBottom w:val="0"/>
      <w:divBdr>
        <w:top w:val="none" w:sz="0" w:space="0" w:color="auto"/>
        <w:left w:val="none" w:sz="0" w:space="0" w:color="auto"/>
        <w:bottom w:val="none" w:sz="0" w:space="0" w:color="auto"/>
        <w:right w:val="none" w:sz="0" w:space="0" w:color="auto"/>
      </w:divBdr>
    </w:div>
    <w:div w:id="156701289">
      <w:bodyDiv w:val="1"/>
      <w:marLeft w:val="0"/>
      <w:marRight w:val="0"/>
      <w:marTop w:val="0"/>
      <w:marBottom w:val="0"/>
      <w:divBdr>
        <w:top w:val="none" w:sz="0" w:space="0" w:color="auto"/>
        <w:left w:val="none" w:sz="0" w:space="0" w:color="auto"/>
        <w:bottom w:val="none" w:sz="0" w:space="0" w:color="auto"/>
        <w:right w:val="none" w:sz="0" w:space="0" w:color="auto"/>
      </w:divBdr>
    </w:div>
    <w:div w:id="156771108">
      <w:bodyDiv w:val="1"/>
      <w:marLeft w:val="0"/>
      <w:marRight w:val="0"/>
      <w:marTop w:val="0"/>
      <w:marBottom w:val="0"/>
      <w:divBdr>
        <w:top w:val="none" w:sz="0" w:space="0" w:color="auto"/>
        <w:left w:val="none" w:sz="0" w:space="0" w:color="auto"/>
        <w:bottom w:val="none" w:sz="0" w:space="0" w:color="auto"/>
        <w:right w:val="none" w:sz="0" w:space="0" w:color="auto"/>
      </w:divBdr>
    </w:div>
    <w:div w:id="156920926">
      <w:bodyDiv w:val="1"/>
      <w:marLeft w:val="0"/>
      <w:marRight w:val="0"/>
      <w:marTop w:val="0"/>
      <w:marBottom w:val="0"/>
      <w:divBdr>
        <w:top w:val="none" w:sz="0" w:space="0" w:color="auto"/>
        <w:left w:val="none" w:sz="0" w:space="0" w:color="auto"/>
        <w:bottom w:val="none" w:sz="0" w:space="0" w:color="auto"/>
        <w:right w:val="none" w:sz="0" w:space="0" w:color="auto"/>
      </w:divBdr>
    </w:div>
    <w:div w:id="156967277">
      <w:bodyDiv w:val="1"/>
      <w:marLeft w:val="0"/>
      <w:marRight w:val="0"/>
      <w:marTop w:val="0"/>
      <w:marBottom w:val="0"/>
      <w:divBdr>
        <w:top w:val="none" w:sz="0" w:space="0" w:color="auto"/>
        <w:left w:val="none" w:sz="0" w:space="0" w:color="auto"/>
        <w:bottom w:val="none" w:sz="0" w:space="0" w:color="auto"/>
        <w:right w:val="none" w:sz="0" w:space="0" w:color="auto"/>
      </w:divBdr>
    </w:div>
    <w:div w:id="157113087">
      <w:bodyDiv w:val="1"/>
      <w:marLeft w:val="0"/>
      <w:marRight w:val="0"/>
      <w:marTop w:val="0"/>
      <w:marBottom w:val="0"/>
      <w:divBdr>
        <w:top w:val="none" w:sz="0" w:space="0" w:color="auto"/>
        <w:left w:val="none" w:sz="0" w:space="0" w:color="auto"/>
        <w:bottom w:val="none" w:sz="0" w:space="0" w:color="auto"/>
        <w:right w:val="none" w:sz="0" w:space="0" w:color="auto"/>
      </w:divBdr>
    </w:div>
    <w:div w:id="157156980">
      <w:bodyDiv w:val="1"/>
      <w:marLeft w:val="0"/>
      <w:marRight w:val="0"/>
      <w:marTop w:val="0"/>
      <w:marBottom w:val="0"/>
      <w:divBdr>
        <w:top w:val="none" w:sz="0" w:space="0" w:color="auto"/>
        <w:left w:val="none" w:sz="0" w:space="0" w:color="auto"/>
        <w:bottom w:val="none" w:sz="0" w:space="0" w:color="auto"/>
        <w:right w:val="none" w:sz="0" w:space="0" w:color="auto"/>
      </w:divBdr>
    </w:div>
    <w:div w:id="157237034">
      <w:bodyDiv w:val="1"/>
      <w:marLeft w:val="0"/>
      <w:marRight w:val="0"/>
      <w:marTop w:val="0"/>
      <w:marBottom w:val="0"/>
      <w:divBdr>
        <w:top w:val="none" w:sz="0" w:space="0" w:color="auto"/>
        <w:left w:val="none" w:sz="0" w:space="0" w:color="auto"/>
        <w:bottom w:val="none" w:sz="0" w:space="0" w:color="auto"/>
        <w:right w:val="none" w:sz="0" w:space="0" w:color="auto"/>
      </w:divBdr>
    </w:div>
    <w:div w:id="157310556">
      <w:bodyDiv w:val="1"/>
      <w:marLeft w:val="0"/>
      <w:marRight w:val="0"/>
      <w:marTop w:val="0"/>
      <w:marBottom w:val="0"/>
      <w:divBdr>
        <w:top w:val="none" w:sz="0" w:space="0" w:color="auto"/>
        <w:left w:val="none" w:sz="0" w:space="0" w:color="auto"/>
        <w:bottom w:val="none" w:sz="0" w:space="0" w:color="auto"/>
        <w:right w:val="none" w:sz="0" w:space="0" w:color="auto"/>
      </w:divBdr>
    </w:div>
    <w:div w:id="157311772">
      <w:bodyDiv w:val="1"/>
      <w:marLeft w:val="0"/>
      <w:marRight w:val="0"/>
      <w:marTop w:val="0"/>
      <w:marBottom w:val="0"/>
      <w:divBdr>
        <w:top w:val="none" w:sz="0" w:space="0" w:color="auto"/>
        <w:left w:val="none" w:sz="0" w:space="0" w:color="auto"/>
        <w:bottom w:val="none" w:sz="0" w:space="0" w:color="auto"/>
        <w:right w:val="none" w:sz="0" w:space="0" w:color="auto"/>
      </w:divBdr>
    </w:div>
    <w:div w:id="157355362">
      <w:bodyDiv w:val="1"/>
      <w:marLeft w:val="0"/>
      <w:marRight w:val="0"/>
      <w:marTop w:val="0"/>
      <w:marBottom w:val="0"/>
      <w:divBdr>
        <w:top w:val="none" w:sz="0" w:space="0" w:color="auto"/>
        <w:left w:val="none" w:sz="0" w:space="0" w:color="auto"/>
        <w:bottom w:val="none" w:sz="0" w:space="0" w:color="auto"/>
        <w:right w:val="none" w:sz="0" w:space="0" w:color="auto"/>
      </w:divBdr>
    </w:div>
    <w:div w:id="157381319">
      <w:bodyDiv w:val="1"/>
      <w:marLeft w:val="0"/>
      <w:marRight w:val="0"/>
      <w:marTop w:val="0"/>
      <w:marBottom w:val="0"/>
      <w:divBdr>
        <w:top w:val="none" w:sz="0" w:space="0" w:color="auto"/>
        <w:left w:val="none" w:sz="0" w:space="0" w:color="auto"/>
        <w:bottom w:val="none" w:sz="0" w:space="0" w:color="auto"/>
        <w:right w:val="none" w:sz="0" w:space="0" w:color="auto"/>
      </w:divBdr>
    </w:div>
    <w:div w:id="157422754">
      <w:bodyDiv w:val="1"/>
      <w:marLeft w:val="0"/>
      <w:marRight w:val="0"/>
      <w:marTop w:val="0"/>
      <w:marBottom w:val="0"/>
      <w:divBdr>
        <w:top w:val="none" w:sz="0" w:space="0" w:color="auto"/>
        <w:left w:val="none" w:sz="0" w:space="0" w:color="auto"/>
        <w:bottom w:val="none" w:sz="0" w:space="0" w:color="auto"/>
        <w:right w:val="none" w:sz="0" w:space="0" w:color="auto"/>
      </w:divBdr>
    </w:div>
    <w:div w:id="157579067">
      <w:bodyDiv w:val="1"/>
      <w:marLeft w:val="0"/>
      <w:marRight w:val="0"/>
      <w:marTop w:val="0"/>
      <w:marBottom w:val="0"/>
      <w:divBdr>
        <w:top w:val="none" w:sz="0" w:space="0" w:color="auto"/>
        <w:left w:val="none" w:sz="0" w:space="0" w:color="auto"/>
        <w:bottom w:val="none" w:sz="0" w:space="0" w:color="auto"/>
        <w:right w:val="none" w:sz="0" w:space="0" w:color="auto"/>
      </w:divBdr>
    </w:div>
    <w:div w:id="157622533">
      <w:bodyDiv w:val="1"/>
      <w:marLeft w:val="0"/>
      <w:marRight w:val="0"/>
      <w:marTop w:val="0"/>
      <w:marBottom w:val="0"/>
      <w:divBdr>
        <w:top w:val="none" w:sz="0" w:space="0" w:color="auto"/>
        <w:left w:val="none" w:sz="0" w:space="0" w:color="auto"/>
        <w:bottom w:val="none" w:sz="0" w:space="0" w:color="auto"/>
        <w:right w:val="none" w:sz="0" w:space="0" w:color="auto"/>
      </w:divBdr>
    </w:div>
    <w:div w:id="157693714">
      <w:bodyDiv w:val="1"/>
      <w:marLeft w:val="0"/>
      <w:marRight w:val="0"/>
      <w:marTop w:val="0"/>
      <w:marBottom w:val="0"/>
      <w:divBdr>
        <w:top w:val="none" w:sz="0" w:space="0" w:color="auto"/>
        <w:left w:val="none" w:sz="0" w:space="0" w:color="auto"/>
        <w:bottom w:val="none" w:sz="0" w:space="0" w:color="auto"/>
        <w:right w:val="none" w:sz="0" w:space="0" w:color="auto"/>
      </w:divBdr>
    </w:div>
    <w:div w:id="157892554">
      <w:bodyDiv w:val="1"/>
      <w:marLeft w:val="0"/>
      <w:marRight w:val="0"/>
      <w:marTop w:val="0"/>
      <w:marBottom w:val="0"/>
      <w:divBdr>
        <w:top w:val="none" w:sz="0" w:space="0" w:color="auto"/>
        <w:left w:val="none" w:sz="0" w:space="0" w:color="auto"/>
        <w:bottom w:val="none" w:sz="0" w:space="0" w:color="auto"/>
        <w:right w:val="none" w:sz="0" w:space="0" w:color="auto"/>
      </w:divBdr>
    </w:div>
    <w:div w:id="157893790">
      <w:bodyDiv w:val="1"/>
      <w:marLeft w:val="0"/>
      <w:marRight w:val="0"/>
      <w:marTop w:val="0"/>
      <w:marBottom w:val="0"/>
      <w:divBdr>
        <w:top w:val="none" w:sz="0" w:space="0" w:color="auto"/>
        <w:left w:val="none" w:sz="0" w:space="0" w:color="auto"/>
        <w:bottom w:val="none" w:sz="0" w:space="0" w:color="auto"/>
        <w:right w:val="none" w:sz="0" w:space="0" w:color="auto"/>
      </w:divBdr>
    </w:div>
    <w:div w:id="157962911">
      <w:bodyDiv w:val="1"/>
      <w:marLeft w:val="0"/>
      <w:marRight w:val="0"/>
      <w:marTop w:val="0"/>
      <w:marBottom w:val="0"/>
      <w:divBdr>
        <w:top w:val="none" w:sz="0" w:space="0" w:color="auto"/>
        <w:left w:val="none" w:sz="0" w:space="0" w:color="auto"/>
        <w:bottom w:val="none" w:sz="0" w:space="0" w:color="auto"/>
        <w:right w:val="none" w:sz="0" w:space="0" w:color="auto"/>
      </w:divBdr>
    </w:div>
    <w:div w:id="157963662">
      <w:bodyDiv w:val="1"/>
      <w:marLeft w:val="0"/>
      <w:marRight w:val="0"/>
      <w:marTop w:val="0"/>
      <w:marBottom w:val="0"/>
      <w:divBdr>
        <w:top w:val="none" w:sz="0" w:space="0" w:color="auto"/>
        <w:left w:val="none" w:sz="0" w:space="0" w:color="auto"/>
        <w:bottom w:val="none" w:sz="0" w:space="0" w:color="auto"/>
        <w:right w:val="none" w:sz="0" w:space="0" w:color="auto"/>
      </w:divBdr>
    </w:div>
    <w:div w:id="157967383">
      <w:bodyDiv w:val="1"/>
      <w:marLeft w:val="0"/>
      <w:marRight w:val="0"/>
      <w:marTop w:val="0"/>
      <w:marBottom w:val="0"/>
      <w:divBdr>
        <w:top w:val="none" w:sz="0" w:space="0" w:color="auto"/>
        <w:left w:val="none" w:sz="0" w:space="0" w:color="auto"/>
        <w:bottom w:val="none" w:sz="0" w:space="0" w:color="auto"/>
        <w:right w:val="none" w:sz="0" w:space="0" w:color="auto"/>
      </w:divBdr>
    </w:div>
    <w:div w:id="158009663">
      <w:bodyDiv w:val="1"/>
      <w:marLeft w:val="0"/>
      <w:marRight w:val="0"/>
      <w:marTop w:val="0"/>
      <w:marBottom w:val="0"/>
      <w:divBdr>
        <w:top w:val="none" w:sz="0" w:space="0" w:color="auto"/>
        <w:left w:val="none" w:sz="0" w:space="0" w:color="auto"/>
        <w:bottom w:val="none" w:sz="0" w:space="0" w:color="auto"/>
        <w:right w:val="none" w:sz="0" w:space="0" w:color="auto"/>
      </w:divBdr>
    </w:div>
    <w:div w:id="158011204">
      <w:bodyDiv w:val="1"/>
      <w:marLeft w:val="0"/>
      <w:marRight w:val="0"/>
      <w:marTop w:val="0"/>
      <w:marBottom w:val="0"/>
      <w:divBdr>
        <w:top w:val="none" w:sz="0" w:space="0" w:color="auto"/>
        <w:left w:val="none" w:sz="0" w:space="0" w:color="auto"/>
        <w:bottom w:val="none" w:sz="0" w:space="0" w:color="auto"/>
        <w:right w:val="none" w:sz="0" w:space="0" w:color="auto"/>
      </w:divBdr>
    </w:div>
    <w:div w:id="158081948">
      <w:bodyDiv w:val="1"/>
      <w:marLeft w:val="0"/>
      <w:marRight w:val="0"/>
      <w:marTop w:val="0"/>
      <w:marBottom w:val="0"/>
      <w:divBdr>
        <w:top w:val="none" w:sz="0" w:space="0" w:color="auto"/>
        <w:left w:val="none" w:sz="0" w:space="0" w:color="auto"/>
        <w:bottom w:val="none" w:sz="0" w:space="0" w:color="auto"/>
        <w:right w:val="none" w:sz="0" w:space="0" w:color="auto"/>
      </w:divBdr>
    </w:div>
    <w:div w:id="158082655">
      <w:bodyDiv w:val="1"/>
      <w:marLeft w:val="0"/>
      <w:marRight w:val="0"/>
      <w:marTop w:val="0"/>
      <w:marBottom w:val="0"/>
      <w:divBdr>
        <w:top w:val="none" w:sz="0" w:space="0" w:color="auto"/>
        <w:left w:val="none" w:sz="0" w:space="0" w:color="auto"/>
        <w:bottom w:val="none" w:sz="0" w:space="0" w:color="auto"/>
        <w:right w:val="none" w:sz="0" w:space="0" w:color="auto"/>
      </w:divBdr>
    </w:div>
    <w:div w:id="158084668">
      <w:bodyDiv w:val="1"/>
      <w:marLeft w:val="0"/>
      <w:marRight w:val="0"/>
      <w:marTop w:val="0"/>
      <w:marBottom w:val="0"/>
      <w:divBdr>
        <w:top w:val="none" w:sz="0" w:space="0" w:color="auto"/>
        <w:left w:val="none" w:sz="0" w:space="0" w:color="auto"/>
        <w:bottom w:val="none" w:sz="0" w:space="0" w:color="auto"/>
        <w:right w:val="none" w:sz="0" w:space="0" w:color="auto"/>
      </w:divBdr>
    </w:div>
    <w:div w:id="158158698">
      <w:bodyDiv w:val="1"/>
      <w:marLeft w:val="0"/>
      <w:marRight w:val="0"/>
      <w:marTop w:val="0"/>
      <w:marBottom w:val="0"/>
      <w:divBdr>
        <w:top w:val="none" w:sz="0" w:space="0" w:color="auto"/>
        <w:left w:val="none" w:sz="0" w:space="0" w:color="auto"/>
        <w:bottom w:val="none" w:sz="0" w:space="0" w:color="auto"/>
        <w:right w:val="none" w:sz="0" w:space="0" w:color="auto"/>
      </w:divBdr>
    </w:div>
    <w:div w:id="158235796">
      <w:bodyDiv w:val="1"/>
      <w:marLeft w:val="0"/>
      <w:marRight w:val="0"/>
      <w:marTop w:val="0"/>
      <w:marBottom w:val="0"/>
      <w:divBdr>
        <w:top w:val="none" w:sz="0" w:space="0" w:color="auto"/>
        <w:left w:val="none" w:sz="0" w:space="0" w:color="auto"/>
        <w:bottom w:val="none" w:sz="0" w:space="0" w:color="auto"/>
        <w:right w:val="none" w:sz="0" w:space="0" w:color="auto"/>
      </w:divBdr>
    </w:div>
    <w:div w:id="158468795">
      <w:bodyDiv w:val="1"/>
      <w:marLeft w:val="0"/>
      <w:marRight w:val="0"/>
      <w:marTop w:val="0"/>
      <w:marBottom w:val="0"/>
      <w:divBdr>
        <w:top w:val="none" w:sz="0" w:space="0" w:color="auto"/>
        <w:left w:val="none" w:sz="0" w:space="0" w:color="auto"/>
        <w:bottom w:val="none" w:sz="0" w:space="0" w:color="auto"/>
        <w:right w:val="none" w:sz="0" w:space="0" w:color="auto"/>
      </w:divBdr>
    </w:div>
    <w:div w:id="158541523">
      <w:bodyDiv w:val="1"/>
      <w:marLeft w:val="0"/>
      <w:marRight w:val="0"/>
      <w:marTop w:val="0"/>
      <w:marBottom w:val="0"/>
      <w:divBdr>
        <w:top w:val="none" w:sz="0" w:space="0" w:color="auto"/>
        <w:left w:val="none" w:sz="0" w:space="0" w:color="auto"/>
        <w:bottom w:val="none" w:sz="0" w:space="0" w:color="auto"/>
        <w:right w:val="none" w:sz="0" w:space="0" w:color="auto"/>
      </w:divBdr>
    </w:div>
    <w:div w:id="158547336">
      <w:bodyDiv w:val="1"/>
      <w:marLeft w:val="0"/>
      <w:marRight w:val="0"/>
      <w:marTop w:val="0"/>
      <w:marBottom w:val="0"/>
      <w:divBdr>
        <w:top w:val="none" w:sz="0" w:space="0" w:color="auto"/>
        <w:left w:val="none" w:sz="0" w:space="0" w:color="auto"/>
        <w:bottom w:val="none" w:sz="0" w:space="0" w:color="auto"/>
        <w:right w:val="none" w:sz="0" w:space="0" w:color="auto"/>
      </w:divBdr>
    </w:div>
    <w:div w:id="158621887">
      <w:bodyDiv w:val="1"/>
      <w:marLeft w:val="0"/>
      <w:marRight w:val="0"/>
      <w:marTop w:val="0"/>
      <w:marBottom w:val="0"/>
      <w:divBdr>
        <w:top w:val="none" w:sz="0" w:space="0" w:color="auto"/>
        <w:left w:val="none" w:sz="0" w:space="0" w:color="auto"/>
        <w:bottom w:val="none" w:sz="0" w:space="0" w:color="auto"/>
        <w:right w:val="none" w:sz="0" w:space="0" w:color="auto"/>
      </w:divBdr>
    </w:div>
    <w:div w:id="158663682">
      <w:bodyDiv w:val="1"/>
      <w:marLeft w:val="0"/>
      <w:marRight w:val="0"/>
      <w:marTop w:val="0"/>
      <w:marBottom w:val="0"/>
      <w:divBdr>
        <w:top w:val="none" w:sz="0" w:space="0" w:color="auto"/>
        <w:left w:val="none" w:sz="0" w:space="0" w:color="auto"/>
        <w:bottom w:val="none" w:sz="0" w:space="0" w:color="auto"/>
        <w:right w:val="none" w:sz="0" w:space="0" w:color="auto"/>
      </w:divBdr>
    </w:div>
    <w:div w:id="158742457">
      <w:bodyDiv w:val="1"/>
      <w:marLeft w:val="0"/>
      <w:marRight w:val="0"/>
      <w:marTop w:val="0"/>
      <w:marBottom w:val="0"/>
      <w:divBdr>
        <w:top w:val="none" w:sz="0" w:space="0" w:color="auto"/>
        <w:left w:val="none" w:sz="0" w:space="0" w:color="auto"/>
        <w:bottom w:val="none" w:sz="0" w:space="0" w:color="auto"/>
        <w:right w:val="none" w:sz="0" w:space="0" w:color="auto"/>
      </w:divBdr>
    </w:div>
    <w:div w:id="158926202">
      <w:bodyDiv w:val="1"/>
      <w:marLeft w:val="0"/>
      <w:marRight w:val="0"/>
      <w:marTop w:val="0"/>
      <w:marBottom w:val="0"/>
      <w:divBdr>
        <w:top w:val="none" w:sz="0" w:space="0" w:color="auto"/>
        <w:left w:val="none" w:sz="0" w:space="0" w:color="auto"/>
        <w:bottom w:val="none" w:sz="0" w:space="0" w:color="auto"/>
        <w:right w:val="none" w:sz="0" w:space="0" w:color="auto"/>
      </w:divBdr>
    </w:div>
    <w:div w:id="159003809">
      <w:bodyDiv w:val="1"/>
      <w:marLeft w:val="0"/>
      <w:marRight w:val="0"/>
      <w:marTop w:val="0"/>
      <w:marBottom w:val="0"/>
      <w:divBdr>
        <w:top w:val="none" w:sz="0" w:space="0" w:color="auto"/>
        <w:left w:val="none" w:sz="0" w:space="0" w:color="auto"/>
        <w:bottom w:val="none" w:sz="0" w:space="0" w:color="auto"/>
        <w:right w:val="none" w:sz="0" w:space="0" w:color="auto"/>
      </w:divBdr>
    </w:div>
    <w:div w:id="159127763">
      <w:bodyDiv w:val="1"/>
      <w:marLeft w:val="0"/>
      <w:marRight w:val="0"/>
      <w:marTop w:val="0"/>
      <w:marBottom w:val="0"/>
      <w:divBdr>
        <w:top w:val="none" w:sz="0" w:space="0" w:color="auto"/>
        <w:left w:val="none" w:sz="0" w:space="0" w:color="auto"/>
        <w:bottom w:val="none" w:sz="0" w:space="0" w:color="auto"/>
        <w:right w:val="none" w:sz="0" w:space="0" w:color="auto"/>
      </w:divBdr>
    </w:div>
    <w:div w:id="159153450">
      <w:bodyDiv w:val="1"/>
      <w:marLeft w:val="0"/>
      <w:marRight w:val="0"/>
      <w:marTop w:val="0"/>
      <w:marBottom w:val="0"/>
      <w:divBdr>
        <w:top w:val="none" w:sz="0" w:space="0" w:color="auto"/>
        <w:left w:val="none" w:sz="0" w:space="0" w:color="auto"/>
        <w:bottom w:val="none" w:sz="0" w:space="0" w:color="auto"/>
        <w:right w:val="none" w:sz="0" w:space="0" w:color="auto"/>
      </w:divBdr>
    </w:div>
    <w:div w:id="159318053">
      <w:bodyDiv w:val="1"/>
      <w:marLeft w:val="0"/>
      <w:marRight w:val="0"/>
      <w:marTop w:val="0"/>
      <w:marBottom w:val="0"/>
      <w:divBdr>
        <w:top w:val="none" w:sz="0" w:space="0" w:color="auto"/>
        <w:left w:val="none" w:sz="0" w:space="0" w:color="auto"/>
        <w:bottom w:val="none" w:sz="0" w:space="0" w:color="auto"/>
        <w:right w:val="none" w:sz="0" w:space="0" w:color="auto"/>
      </w:divBdr>
    </w:div>
    <w:div w:id="159393015">
      <w:bodyDiv w:val="1"/>
      <w:marLeft w:val="0"/>
      <w:marRight w:val="0"/>
      <w:marTop w:val="0"/>
      <w:marBottom w:val="0"/>
      <w:divBdr>
        <w:top w:val="none" w:sz="0" w:space="0" w:color="auto"/>
        <w:left w:val="none" w:sz="0" w:space="0" w:color="auto"/>
        <w:bottom w:val="none" w:sz="0" w:space="0" w:color="auto"/>
        <w:right w:val="none" w:sz="0" w:space="0" w:color="auto"/>
      </w:divBdr>
    </w:div>
    <w:div w:id="159470506">
      <w:bodyDiv w:val="1"/>
      <w:marLeft w:val="0"/>
      <w:marRight w:val="0"/>
      <w:marTop w:val="0"/>
      <w:marBottom w:val="0"/>
      <w:divBdr>
        <w:top w:val="none" w:sz="0" w:space="0" w:color="auto"/>
        <w:left w:val="none" w:sz="0" w:space="0" w:color="auto"/>
        <w:bottom w:val="none" w:sz="0" w:space="0" w:color="auto"/>
        <w:right w:val="none" w:sz="0" w:space="0" w:color="auto"/>
      </w:divBdr>
    </w:div>
    <w:div w:id="159539756">
      <w:bodyDiv w:val="1"/>
      <w:marLeft w:val="0"/>
      <w:marRight w:val="0"/>
      <w:marTop w:val="0"/>
      <w:marBottom w:val="0"/>
      <w:divBdr>
        <w:top w:val="none" w:sz="0" w:space="0" w:color="auto"/>
        <w:left w:val="none" w:sz="0" w:space="0" w:color="auto"/>
        <w:bottom w:val="none" w:sz="0" w:space="0" w:color="auto"/>
        <w:right w:val="none" w:sz="0" w:space="0" w:color="auto"/>
      </w:divBdr>
    </w:div>
    <w:div w:id="159662739">
      <w:bodyDiv w:val="1"/>
      <w:marLeft w:val="0"/>
      <w:marRight w:val="0"/>
      <w:marTop w:val="0"/>
      <w:marBottom w:val="0"/>
      <w:divBdr>
        <w:top w:val="none" w:sz="0" w:space="0" w:color="auto"/>
        <w:left w:val="none" w:sz="0" w:space="0" w:color="auto"/>
        <w:bottom w:val="none" w:sz="0" w:space="0" w:color="auto"/>
        <w:right w:val="none" w:sz="0" w:space="0" w:color="auto"/>
      </w:divBdr>
    </w:div>
    <w:div w:id="159780918">
      <w:bodyDiv w:val="1"/>
      <w:marLeft w:val="0"/>
      <w:marRight w:val="0"/>
      <w:marTop w:val="0"/>
      <w:marBottom w:val="0"/>
      <w:divBdr>
        <w:top w:val="none" w:sz="0" w:space="0" w:color="auto"/>
        <w:left w:val="none" w:sz="0" w:space="0" w:color="auto"/>
        <w:bottom w:val="none" w:sz="0" w:space="0" w:color="auto"/>
        <w:right w:val="none" w:sz="0" w:space="0" w:color="auto"/>
      </w:divBdr>
    </w:div>
    <w:div w:id="159784246">
      <w:bodyDiv w:val="1"/>
      <w:marLeft w:val="0"/>
      <w:marRight w:val="0"/>
      <w:marTop w:val="0"/>
      <w:marBottom w:val="0"/>
      <w:divBdr>
        <w:top w:val="none" w:sz="0" w:space="0" w:color="auto"/>
        <w:left w:val="none" w:sz="0" w:space="0" w:color="auto"/>
        <w:bottom w:val="none" w:sz="0" w:space="0" w:color="auto"/>
        <w:right w:val="none" w:sz="0" w:space="0" w:color="auto"/>
      </w:divBdr>
    </w:div>
    <w:div w:id="159808609">
      <w:bodyDiv w:val="1"/>
      <w:marLeft w:val="0"/>
      <w:marRight w:val="0"/>
      <w:marTop w:val="0"/>
      <w:marBottom w:val="0"/>
      <w:divBdr>
        <w:top w:val="none" w:sz="0" w:space="0" w:color="auto"/>
        <w:left w:val="none" w:sz="0" w:space="0" w:color="auto"/>
        <w:bottom w:val="none" w:sz="0" w:space="0" w:color="auto"/>
        <w:right w:val="none" w:sz="0" w:space="0" w:color="auto"/>
      </w:divBdr>
    </w:div>
    <w:div w:id="159976046">
      <w:bodyDiv w:val="1"/>
      <w:marLeft w:val="0"/>
      <w:marRight w:val="0"/>
      <w:marTop w:val="0"/>
      <w:marBottom w:val="0"/>
      <w:divBdr>
        <w:top w:val="none" w:sz="0" w:space="0" w:color="auto"/>
        <w:left w:val="none" w:sz="0" w:space="0" w:color="auto"/>
        <w:bottom w:val="none" w:sz="0" w:space="0" w:color="auto"/>
        <w:right w:val="none" w:sz="0" w:space="0" w:color="auto"/>
      </w:divBdr>
    </w:div>
    <w:div w:id="160043645">
      <w:bodyDiv w:val="1"/>
      <w:marLeft w:val="0"/>
      <w:marRight w:val="0"/>
      <w:marTop w:val="0"/>
      <w:marBottom w:val="0"/>
      <w:divBdr>
        <w:top w:val="none" w:sz="0" w:space="0" w:color="auto"/>
        <w:left w:val="none" w:sz="0" w:space="0" w:color="auto"/>
        <w:bottom w:val="none" w:sz="0" w:space="0" w:color="auto"/>
        <w:right w:val="none" w:sz="0" w:space="0" w:color="auto"/>
      </w:divBdr>
    </w:div>
    <w:div w:id="160124079">
      <w:bodyDiv w:val="1"/>
      <w:marLeft w:val="0"/>
      <w:marRight w:val="0"/>
      <w:marTop w:val="0"/>
      <w:marBottom w:val="0"/>
      <w:divBdr>
        <w:top w:val="none" w:sz="0" w:space="0" w:color="auto"/>
        <w:left w:val="none" w:sz="0" w:space="0" w:color="auto"/>
        <w:bottom w:val="none" w:sz="0" w:space="0" w:color="auto"/>
        <w:right w:val="none" w:sz="0" w:space="0" w:color="auto"/>
      </w:divBdr>
    </w:div>
    <w:div w:id="160194839">
      <w:bodyDiv w:val="1"/>
      <w:marLeft w:val="0"/>
      <w:marRight w:val="0"/>
      <w:marTop w:val="0"/>
      <w:marBottom w:val="0"/>
      <w:divBdr>
        <w:top w:val="none" w:sz="0" w:space="0" w:color="auto"/>
        <w:left w:val="none" w:sz="0" w:space="0" w:color="auto"/>
        <w:bottom w:val="none" w:sz="0" w:space="0" w:color="auto"/>
        <w:right w:val="none" w:sz="0" w:space="0" w:color="auto"/>
      </w:divBdr>
    </w:div>
    <w:div w:id="160195741">
      <w:bodyDiv w:val="1"/>
      <w:marLeft w:val="0"/>
      <w:marRight w:val="0"/>
      <w:marTop w:val="0"/>
      <w:marBottom w:val="0"/>
      <w:divBdr>
        <w:top w:val="none" w:sz="0" w:space="0" w:color="auto"/>
        <w:left w:val="none" w:sz="0" w:space="0" w:color="auto"/>
        <w:bottom w:val="none" w:sz="0" w:space="0" w:color="auto"/>
        <w:right w:val="none" w:sz="0" w:space="0" w:color="auto"/>
      </w:divBdr>
    </w:div>
    <w:div w:id="160198779">
      <w:bodyDiv w:val="1"/>
      <w:marLeft w:val="0"/>
      <w:marRight w:val="0"/>
      <w:marTop w:val="0"/>
      <w:marBottom w:val="0"/>
      <w:divBdr>
        <w:top w:val="none" w:sz="0" w:space="0" w:color="auto"/>
        <w:left w:val="none" w:sz="0" w:space="0" w:color="auto"/>
        <w:bottom w:val="none" w:sz="0" w:space="0" w:color="auto"/>
        <w:right w:val="none" w:sz="0" w:space="0" w:color="auto"/>
      </w:divBdr>
    </w:div>
    <w:div w:id="160200433">
      <w:bodyDiv w:val="1"/>
      <w:marLeft w:val="0"/>
      <w:marRight w:val="0"/>
      <w:marTop w:val="0"/>
      <w:marBottom w:val="0"/>
      <w:divBdr>
        <w:top w:val="none" w:sz="0" w:space="0" w:color="auto"/>
        <w:left w:val="none" w:sz="0" w:space="0" w:color="auto"/>
        <w:bottom w:val="none" w:sz="0" w:space="0" w:color="auto"/>
        <w:right w:val="none" w:sz="0" w:space="0" w:color="auto"/>
      </w:divBdr>
    </w:div>
    <w:div w:id="160238486">
      <w:bodyDiv w:val="1"/>
      <w:marLeft w:val="0"/>
      <w:marRight w:val="0"/>
      <w:marTop w:val="0"/>
      <w:marBottom w:val="0"/>
      <w:divBdr>
        <w:top w:val="none" w:sz="0" w:space="0" w:color="auto"/>
        <w:left w:val="none" w:sz="0" w:space="0" w:color="auto"/>
        <w:bottom w:val="none" w:sz="0" w:space="0" w:color="auto"/>
        <w:right w:val="none" w:sz="0" w:space="0" w:color="auto"/>
      </w:divBdr>
    </w:div>
    <w:div w:id="160312114">
      <w:bodyDiv w:val="1"/>
      <w:marLeft w:val="0"/>
      <w:marRight w:val="0"/>
      <w:marTop w:val="0"/>
      <w:marBottom w:val="0"/>
      <w:divBdr>
        <w:top w:val="none" w:sz="0" w:space="0" w:color="auto"/>
        <w:left w:val="none" w:sz="0" w:space="0" w:color="auto"/>
        <w:bottom w:val="none" w:sz="0" w:space="0" w:color="auto"/>
        <w:right w:val="none" w:sz="0" w:space="0" w:color="auto"/>
      </w:divBdr>
    </w:div>
    <w:div w:id="160586315">
      <w:bodyDiv w:val="1"/>
      <w:marLeft w:val="0"/>
      <w:marRight w:val="0"/>
      <w:marTop w:val="0"/>
      <w:marBottom w:val="0"/>
      <w:divBdr>
        <w:top w:val="none" w:sz="0" w:space="0" w:color="auto"/>
        <w:left w:val="none" w:sz="0" w:space="0" w:color="auto"/>
        <w:bottom w:val="none" w:sz="0" w:space="0" w:color="auto"/>
        <w:right w:val="none" w:sz="0" w:space="0" w:color="auto"/>
      </w:divBdr>
    </w:div>
    <w:div w:id="160656195">
      <w:bodyDiv w:val="1"/>
      <w:marLeft w:val="0"/>
      <w:marRight w:val="0"/>
      <w:marTop w:val="0"/>
      <w:marBottom w:val="0"/>
      <w:divBdr>
        <w:top w:val="none" w:sz="0" w:space="0" w:color="auto"/>
        <w:left w:val="none" w:sz="0" w:space="0" w:color="auto"/>
        <w:bottom w:val="none" w:sz="0" w:space="0" w:color="auto"/>
        <w:right w:val="none" w:sz="0" w:space="0" w:color="auto"/>
      </w:divBdr>
    </w:div>
    <w:div w:id="160775146">
      <w:bodyDiv w:val="1"/>
      <w:marLeft w:val="0"/>
      <w:marRight w:val="0"/>
      <w:marTop w:val="0"/>
      <w:marBottom w:val="0"/>
      <w:divBdr>
        <w:top w:val="none" w:sz="0" w:space="0" w:color="auto"/>
        <w:left w:val="none" w:sz="0" w:space="0" w:color="auto"/>
        <w:bottom w:val="none" w:sz="0" w:space="0" w:color="auto"/>
        <w:right w:val="none" w:sz="0" w:space="0" w:color="auto"/>
      </w:divBdr>
    </w:div>
    <w:div w:id="160780059">
      <w:bodyDiv w:val="1"/>
      <w:marLeft w:val="0"/>
      <w:marRight w:val="0"/>
      <w:marTop w:val="0"/>
      <w:marBottom w:val="0"/>
      <w:divBdr>
        <w:top w:val="none" w:sz="0" w:space="0" w:color="auto"/>
        <w:left w:val="none" w:sz="0" w:space="0" w:color="auto"/>
        <w:bottom w:val="none" w:sz="0" w:space="0" w:color="auto"/>
        <w:right w:val="none" w:sz="0" w:space="0" w:color="auto"/>
      </w:divBdr>
    </w:div>
    <w:div w:id="160781281">
      <w:bodyDiv w:val="1"/>
      <w:marLeft w:val="0"/>
      <w:marRight w:val="0"/>
      <w:marTop w:val="0"/>
      <w:marBottom w:val="0"/>
      <w:divBdr>
        <w:top w:val="none" w:sz="0" w:space="0" w:color="auto"/>
        <w:left w:val="none" w:sz="0" w:space="0" w:color="auto"/>
        <w:bottom w:val="none" w:sz="0" w:space="0" w:color="auto"/>
        <w:right w:val="none" w:sz="0" w:space="0" w:color="auto"/>
      </w:divBdr>
    </w:div>
    <w:div w:id="161092813">
      <w:bodyDiv w:val="1"/>
      <w:marLeft w:val="0"/>
      <w:marRight w:val="0"/>
      <w:marTop w:val="0"/>
      <w:marBottom w:val="0"/>
      <w:divBdr>
        <w:top w:val="none" w:sz="0" w:space="0" w:color="auto"/>
        <w:left w:val="none" w:sz="0" w:space="0" w:color="auto"/>
        <w:bottom w:val="none" w:sz="0" w:space="0" w:color="auto"/>
        <w:right w:val="none" w:sz="0" w:space="0" w:color="auto"/>
      </w:divBdr>
    </w:div>
    <w:div w:id="161162351">
      <w:bodyDiv w:val="1"/>
      <w:marLeft w:val="0"/>
      <w:marRight w:val="0"/>
      <w:marTop w:val="0"/>
      <w:marBottom w:val="0"/>
      <w:divBdr>
        <w:top w:val="none" w:sz="0" w:space="0" w:color="auto"/>
        <w:left w:val="none" w:sz="0" w:space="0" w:color="auto"/>
        <w:bottom w:val="none" w:sz="0" w:space="0" w:color="auto"/>
        <w:right w:val="none" w:sz="0" w:space="0" w:color="auto"/>
      </w:divBdr>
    </w:div>
    <w:div w:id="161162506">
      <w:bodyDiv w:val="1"/>
      <w:marLeft w:val="0"/>
      <w:marRight w:val="0"/>
      <w:marTop w:val="0"/>
      <w:marBottom w:val="0"/>
      <w:divBdr>
        <w:top w:val="none" w:sz="0" w:space="0" w:color="auto"/>
        <w:left w:val="none" w:sz="0" w:space="0" w:color="auto"/>
        <w:bottom w:val="none" w:sz="0" w:space="0" w:color="auto"/>
        <w:right w:val="none" w:sz="0" w:space="0" w:color="auto"/>
      </w:divBdr>
    </w:div>
    <w:div w:id="161242632">
      <w:bodyDiv w:val="1"/>
      <w:marLeft w:val="0"/>
      <w:marRight w:val="0"/>
      <w:marTop w:val="0"/>
      <w:marBottom w:val="0"/>
      <w:divBdr>
        <w:top w:val="none" w:sz="0" w:space="0" w:color="auto"/>
        <w:left w:val="none" w:sz="0" w:space="0" w:color="auto"/>
        <w:bottom w:val="none" w:sz="0" w:space="0" w:color="auto"/>
        <w:right w:val="none" w:sz="0" w:space="0" w:color="auto"/>
      </w:divBdr>
    </w:div>
    <w:div w:id="161313551">
      <w:bodyDiv w:val="1"/>
      <w:marLeft w:val="0"/>
      <w:marRight w:val="0"/>
      <w:marTop w:val="0"/>
      <w:marBottom w:val="0"/>
      <w:divBdr>
        <w:top w:val="none" w:sz="0" w:space="0" w:color="auto"/>
        <w:left w:val="none" w:sz="0" w:space="0" w:color="auto"/>
        <w:bottom w:val="none" w:sz="0" w:space="0" w:color="auto"/>
        <w:right w:val="none" w:sz="0" w:space="0" w:color="auto"/>
      </w:divBdr>
    </w:div>
    <w:div w:id="161623834">
      <w:bodyDiv w:val="1"/>
      <w:marLeft w:val="0"/>
      <w:marRight w:val="0"/>
      <w:marTop w:val="0"/>
      <w:marBottom w:val="0"/>
      <w:divBdr>
        <w:top w:val="none" w:sz="0" w:space="0" w:color="auto"/>
        <w:left w:val="none" w:sz="0" w:space="0" w:color="auto"/>
        <w:bottom w:val="none" w:sz="0" w:space="0" w:color="auto"/>
        <w:right w:val="none" w:sz="0" w:space="0" w:color="auto"/>
      </w:divBdr>
    </w:div>
    <w:div w:id="161817674">
      <w:bodyDiv w:val="1"/>
      <w:marLeft w:val="0"/>
      <w:marRight w:val="0"/>
      <w:marTop w:val="0"/>
      <w:marBottom w:val="0"/>
      <w:divBdr>
        <w:top w:val="none" w:sz="0" w:space="0" w:color="auto"/>
        <w:left w:val="none" w:sz="0" w:space="0" w:color="auto"/>
        <w:bottom w:val="none" w:sz="0" w:space="0" w:color="auto"/>
        <w:right w:val="none" w:sz="0" w:space="0" w:color="auto"/>
      </w:divBdr>
    </w:div>
    <w:div w:id="161894419">
      <w:bodyDiv w:val="1"/>
      <w:marLeft w:val="0"/>
      <w:marRight w:val="0"/>
      <w:marTop w:val="0"/>
      <w:marBottom w:val="0"/>
      <w:divBdr>
        <w:top w:val="none" w:sz="0" w:space="0" w:color="auto"/>
        <w:left w:val="none" w:sz="0" w:space="0" w:color="auto"/>
        <w:bottom w:val="none" w:sz="0" w:space="0" w:color="auto"/>
        <w:right w:val="none" w:sz="0" w:space="0" w:color="auto"/>
      </w:divBdr>
    </w:div>
    <w:div w:id="161941158">
      <w:bodyDiv w:val="1"/>
      <w:marLeft w:val="0"/>
      <w:marRight w:val="0"/>
      <w:marTop w:val="0"/>
      <w:marBottom w:val="0"/>
      <w:divBdr>
        <w:top w:val="none" w:sz="0" w:space="0" w:color="auto"/>
        <w:left w:val="none" w:sz="0" w:space="0" w:color="auto"/>
        <w:bottom w:val="none" w:sz="0" w:space="0" w:color="auto"/>
        <w:right w:val="none" w:sz="0" w:space="0" w:color="auto"/>
      </w:divBdr>
    </w:div>
    <w:div w:id="162013260">
      <w:bodyDiv w:val="1"/>
      <w:marLeft w:val="0"/>
      <w:marRight w:val="0"/>
      <w:marTop w:val="0"/>
      <w:marBottom w:val="0"/>
      <w:divBdr>
        <w:top w:val="none" w:sz="0" w:space="0" w:color="auto"/>
        <w:left w:val="none" w:sz="0" w:space="0" w:color="auto"/>
        <w:bottom w:val="none" w:sz="0" w:space="0" w:color="auto"/>
        <w:right w:val="none" w:sz="0" w:space="0" w:color="auto"/>
      </w:divBdr>
    </w:div>
    <w:div w:id="162163937">
      <w:bodyDiv w:val="1"/>
      <w:marLeft w:val="0"/>
      <w:marRight w:val="0"/>
      <w:marTop w:val="0"/>
      <w:marBottom w:val="0"/>
      <w:divBdr>
        <w:top w:val="none" w:sz="0" w:space="0" w:color="auto"/>
        <w:left w:val="none" w:sz="0" w:space="0" w:color="auto"/>
        <w:bottom w:val="none" w:sz="0" w:space="0" w:color="auto"/>
        <w:right w:val="none" w:sz="0" w:space="0" w:color="auto"/>
      </w:divBdr>
    </w:div>
    <w:div w:id="162209545">
      <w:bodyDiv w:val="1"/>
      <w:marLeft w:val="0"/>
      <w:marRight w:val="0"/>
      <w:marTop w:val="0"/>
      <w:marBottom w:val="0"/>
      <w:divBdr>
        <w:top w:val="none" w:sz="0" w:space="0" w:color="auto"/>
        <w:left w:val="none" w:sz="0" w:space="0" w:color="auto"/>
        <w:bottom w:val="none" w:sz="0" w:space="0" w:color="auto"/>
        <w:right w:val="none" w:sz="0" w:space="0" w:color="auto"/>
      </w:divBdr>
    </w:div>
    <w:div w:id="162285579">
      <w:bodyDiv w:val="1"/>
      <w:marLeft w:val="0"/>
      <w:marRight w:val="0"/>
      <w:marTop w:val="0"/>
      <w:marBottom w:val="0"/>
      <w:divBdr>
        <w:top w:val="none" w:sz="0" w:space="0" w:color="auto"/>
        <w:left w:val="none" w:sz="0" w:space="0" w:color="auto"/>
        <w:bottom w:val="none" w:sz="0" w:space="0" w:color="auto"/>
        <w:right w:val="none" w:sz="0" w:space="0" w:color="auto"/>
      </w:divBdr>
    </w:div>
    <w:div w:id="162353334">
      <w:bodyDiv w:val="1"/>
      <w:marLeft w:val="0"/>
      <w:marRight w:val="0"/>
      <w:marTop w:val="0"/>
      <w:marBottom w:val="0"/>
      <w:divBdr>
        <w:top w:val="none" w:sz="0" w:space="0" w:color="auto"/>
        <w:left w:val="none" w:sz="0" w:space="0" w:color="auto"/>
        <w:bottom w:val="none" w:sz="0" w:space="0" w:color="auto"/>
        <w:right w:val="none" w:sz="0" w:space="0" w:color="auto"/>
      </w:divBdr>
    </w:div>
    <w:div w:id="162355676">
      <w:bodyDiv w:val="1"/>
      <w:marLeft w:val="0"/>
      <w:marRight w:val="0"/>
      <w:marTop w:val="0"/>
      <w:marBottom w:val="0"/>
      <w:divBdr>
        <w:top w:val="none" w:sz="0" w:space="0" w:color="auto"/>
        <w:left w:val="none" w:sz="0" w:space="0" w:color="auto"/>
        <w:bottom w:val="none" w:sz="0" w:space="0" w:color="auto"/>
        <w:right w:val="none" w:sz="0" w:space="0" w:color="auto"/>
      </w:divBdr>
    </w:div>
    <w:div w:id="162360629">
      <w:bodyDiv w:val="1"/>
      <w:marLeft w:val="0"/>
      <w:marRight w:val="0"/>
      <w:marTop w:val="0"/>
      <w:marBottom w:val="0"/>
      <w:divBdr>
        <w:top w:val="none" w:sz="0" w:space="0" w:color="auto"/>
        <w:left w:val="none" w:sz="0" w:space="0" w:color="auto"/>
        <w:bottom w:val="none" w:sz="0" w:space="0" w:color="auto"/>
        <w:right w:val="none" w:sz="0" w:space="0" w:color="auto"/>
      </w:divBdr>
    </w:div>
    <w:div w:id="162360964">
      <w:bodyDiv w:val="1"/>
      <w:marLeft w:val="0"/>
      <w:marRight w:val="0"/>
      <w:marTop w:val="0"/>
      <w:marBottom w:val="0"/>
      <w:divBdr>
        <w:top w:val="none" w:sz="0" w:space="0" w:color="auto"/>
        <w:left w:val="none" w:sz="0" w:space="0" w:color="auto"/>
        <w:bottom w:val="none" w:sz="0" w:space="0" w:color="auto"/>
        <w:right w:val="none" w:sz="0" w:space="0" w:color="auto"/>
      </w:divBdr>
    </w:div>
    <w:div w:id="162480460">
      <w:bodyDiv w:val="1"/>
      <w:marLeft w:val="0"/>
      <w:marRight w:val="0"/>
      <w:marTop w:val="0"/>
      <w:marBottom w:val="0"/>
      <w:divBdr>
        <w:top w:val="none" w:sz="0" w:space="0" w:color="auto"/>
        <w:left w:val="none" w:sz="0" w:space="0" w:color="auto"/>
        <w:bottom w:val="none" w:sz="0" w:space="0" w:color="auto"/>
        <w:right w:val="none" w:sz="0" w:space="0" w:color="auto"/>
      </w:divBdr>
    </w:div>
    <w:div w:id="162626227">
      <w:bodyDiv w:val="1"/>
      <w:marLeft w:val="0"/>
      <w:marRight w:val="0"/>
      <w:marTop w:val="0"/>
      <w:marBottom w:val="0"/>
      <w:divBdr>
        <w:top w:val="none" w:sz="0" w:space="0" w:color="auto"/>
        <w:left w:val="none" w:sz="0" w:space="0" w:color="auto"/>
        <w:bottom w:val="none" w:sz="0" w:space="0" w:color="auto"/>
        <w:right w:val="none" w:sz="0" w:space="0" w:color="auto"/>
      </w:divBdr>
    </w:div>
    <w:div w:id="162739774">
      <w:bodyDiv w:val="1"/>
      <w:marLeft w:val="0"/>
      <w:marRight w:val="0"/>
      <w:marTop w:val="0"/>
      <w:marBottom w:val="0"/>
      <w:divBdr>
        <w:top w:val="none" w:sz="0" w:space="0" w:color="auto"/>
        <w:left w:val="none" w:sz="0" w:space="0" w:color="auto"/>
        <w:bottom w:val="none" w:sz="0" w:space="0" w:color="auto"/>
        <w:right w:val="none" w:sz="0" w:space="0" w:color="auto"/>
      </w:divBdr>
    </w:div>
    <w:div w:id="162864480">
      <w:bodyDiv w:val="1"/>
      <w:marLeft w:val="0"/>
      <w:marRight w:val="0"/>
      <w:marTop w:val="0"/>
      <w:marBottom w:val="0"/>
      <w:divBdr>
        <w:top w:val="none" w:sz="0" w:space="0" w:color="auto"/>
        <w:left w:val="none" w:sz="0" w:space="0" w:color="auto"/>
        <w:bottom w:val="none" w:sz="0" w:space="0" w:color="auto"/>
        <w:right w:val="none" w:sz="0" w:space="0" w:color="auto"/>
      </w:divBdr>
    </w:div>
    <w:div w:id="162865044">
      <w:bodyDiv w:val="1"/>
      <w:marLeft w:val="0"/>
      <w:marRight w:val="0"/>
      <w:marTop w:val="0"/>
      <w:marBottom w:val="0"/>
      <w:divBdr>
        <w:top w:val="none" w:sz="0" w:space="0" w:color="auto"/>
        <w:left w:val="none" w:sz="0" w:space="0" w:color="auto"/>
        <w:bottom w:val="none" w:sz="0" w:space="0" w:color="auto"/>
        <w:right w:val="none" w:sz="0" w:space="0" w:color="auto"/>
      </w:divBdr>
    </w:div>
    <w:div w:id="162867372">
      <w:bodyDiv w:val="1"/>
      <w:marLeft w:val="0"/>
      <w:marRight w:val="0"/>
      <w:marTop w:val="0"/>
      <w:marBottom w:val="0"/>
      <w:divBdr>
        <w:top w:val="none" w:sz="0" w:space="0" w:color="auto"/>
        <w:left w:val="none" w:sz="0" w:space="0" w:color="auto"/>
        <w:bottom w:val="none" w:sz="0" w:space="0" w:color="auto"/>
        <w:right w:val="none" w:sz="0" w:space="0" w:color="auto"/>
      </w:divBdr>
    </w:div>
    <w:div w:id="162941759">
      <w:bodyDiv w:val="1"/>
      <w:marLeft w:val="0"/>
      <w:marRight w:val="0"/>
      <w:marTop w:val="0"/>
      <w:marBottom w:val="0"/>
      <w:divBdr>
        <w:top w:val="none" w:sz="0" w:space="0" w:color="auto"/>
        <w:left w:val="none" w:sz="0" w:space="0" w:color="auto"/>
        <w:bottom w:val="none" w:sz="0" w:space="0" w:color="auto"/>
        <w:right w:val="none" w:sz="0" w:space="0" w:color="auto"/>
      </w:divBdr>
    </w:div>
    <w:div w:id="163011234">
      <w:bodyDiv w:val="1"/>
      <w:marLeft w:val="0"/>
      <w:marRight w:val="0"/>
      <w:marTop w:val="0"/>
      <w:marBottom w:val="0"/>
      <w:divBdr>
        <w:top w:val="none" w:sz="0" w:space="0" w:color="auto"/>
        <w:left w:val="none" w:sz="0" w:space="0" w:color="auto"/>
        <w:bottom w:val="none" w:sz="0" w:space="0" w:color="auto"/>
        <w:right w:val="none" w:sz="0" w:space="0" w:color="auto"/>
      </w:divBdr>
    </w:div>
    <w:div w:id="163012072">
      <w:bodyDiv w:val="1"/>
      <w:marLeft w:val="0"/>
      <w:marRight w:val="0"/>
      <w:marTop w:val="0"/>
      <w:marBottom w:val="0"/>
      <w:divBdr>
        <w:top w:val="none" w:sz="0" w:space="0" w:color="auto"/>
        <w:left w:val="none" w:sz="0" w:space="0" w:color="auto"/>
        <w:bottom w:val="none" w:sz="0" w:space="0" w:color="auto"/>
        <w:right w:val="none" w:sz="0" w:space="0" w:color="auto"/>
      </w:divBdr>
    </w:div>
    <w:div w:id="163130961">
      <w:bodyDiv w:val="1"/>
      <w:marLeft w:val="0"/>
      <w:marRight w:val="0"/>
      <w:marTop w:val="0"/>
      <w:marBottom w:val="0"/>
      <w:divBdr>
        <w:top w:val="none" w:sz="0" w:space="0" w:color="auto"/>
        <w:left w:val="none" w:sz="0" w:space="0" w:color="auto"/>
        <w:bottom w:val="none" w:sz="0" w:space="0" w:color="auto"/>
        <w:right w:val="none" w:sz="0" w:space="0" w:color="auto"/>
      </w:divBdr>
    </w:div>
    <w:div w:id="163278929">
      <w:bodyDiv w:val="1"/>
      <w:marLeft w:val="0"/>
      <w:marRight w:val="0"/>
      <w:marTop w:val="0"/>
      <w:marBottom w:val="0"/>
      <w:divBdr>
        <w:top w:val="none" w:sz="0" w:space="0" w:color="auto"/>
        <w:left w:val="none" w:sz="0" w:space="0" w:color="auto"/>
        <w:bottom w:val="none" w:sz="0" w:space="0" w:color="auto"/>
        <w:right w:val="none" w:sz="0" w:space="0" w:color="auto"/>
      </w:divBdr>
    </w:div>
    <w:div w:id="163320732">
      <w:bodyDiv w:val="1"/>
      <w:marLeft w:val="0"/>
      <w:marRight w:val="0"/>
      <w:marTop w:val="0"/>
      <w:marBottom w:val="0"/>
      <w:divBdr>
        <w:top w:val="none" w:sz="0" w:space="0" w:color="auto"/>
        <w:left w:val="none" w:sz="0" w:space="0" w:color="auto"/>
        <w:bottom w:val="none" w:sz="0" w:space="0" w:color="auto"/>
        <w:right w:val="none" w:sz="0" w:space="0" w:color="auto"/>
      </w:divBdr>
    </w:div>
    <w:div w:id="163472300">
      <w:bodyDiv w:val="1"/>
      <w:marLeft w:val="0"/>
      <w:marRight w:val="0"/>
      <w:marTop w:val="0"/>
      <w:marBottom w:val="0"/>
      <w:divBdr>
        <w:top w:val="none" w:sz="0" w:space="0" w:color="auto"/>
        <w:left w:val="none" w:sz="0" w:space="0" w:color="auto"/>
        <w:bottom w:val="none" w:sz="0" w:space="0" w:color="auto"/>
        <w:right w:val="none" w:sz="0" w:space="0" w:color="auto"/>
      </w:divBdr>
    </w:div>
    <w:div w:id="163667304">
      <w:bodyDiv w:val="1"/>
      <w:marLeft w:val="0"/>
      <w:marRight w:val="0"/>
      <w:marTop w:val="0"/>
      <w:marBottom w:val="0"/>
      <w:divBdr>
        <w:top w:val="none" w:sz="0" w:space="0" w:color="auto"/>
        <w:left w:val="none" w:sz="0" w:space="0" w:color="auto"/>
        <w:bottom w:val="none" w:sz="0" w:space="0" w:color="auto"/>
        <w:right w:val="none" w:sz="0" w:space="0" w:color="auto"/>
      </w:divBdr>
    </w:div>
    <w:div w:id="163671752">
      <w:bodyDiv w:val="1"/>
      <w:marLeft w:val="0"/>
      <w:marRight w:val="0"/>
      <w:marTop w:val="0"/>
      <w:marBottom w:val="0"/>
      <w:divBdr>
        <w:top w:val="none" w:sz="0" w:space="0" w:color="auto"/>
        <w:left w:val="none" w:sz="0" w:space="0" w:color="auto"/>
        <w:bottom w:val="none" w:sz="0" w:space="0" w:color="auto"/>
        <w:right w:val="none" w:sz="0" w:space="0" w:color="auto"/>
      </w:divBdr>
    </w:div>
    <w:div w:id="163785080">
      <w:bodyDiv w:val="1"/>
      <w:marLeft w:val="0"/>
      <w:marRight w:val="0"/>
      <w:marTop w:val="0"/>
      <w:marBottom w:val="0"/>
      <w:divBdr>
        <w:top w:val="none" w:sz="0" w:space="0" w:color="auto"/>
        <w:left w:val="none" w:sz="0" w:space="0" w:color="auto"/>
        <w:bottom w:val="none" w:sz="0" w:space="0" w:color="auto"/>
        <w:right w:val="none" w:sz="0" w:space="0" w:color="auto"/>
      </w:divBdr>
    </w:div>
    <w:div w:id="163863942">
      <w:bodyDiv w:val="1"/>
      <w:marLeft w:val="0"/>
      <w:marRight w:val="0"/>
      <w:marTop w:val="0"/>
      <w:marBottom w:val="0"/>
      <w:divBdr>
        <w:top w:val="none" w:sz="0" w:space="0" w:color="auto"/>
        <w:left w:val="none" w:sz="0" w:space="0" w:color="auto"/>
        <w:bottom w:val="none" w:sz="0" w:space="0" w:color="auto"/>
        <w:right w:val="none" w:sz="0" w:space="0" w:color="auto"/>
      </w:divBdr>
    </w:div>
    <w:div w:id="164058588">
      <w:bodyDiv w:val="1"/>
      <w:marLeft w:val="0"/>
      <w:marRight w:val="0"/>
      <w:marTop w:val="0"/>
      <w:marBottom w:val="0"/>
      <w:divBdr>
        <w:top w:val="none" w:sz="0" w:space="0" w:color="auto"/>
        <w:left w:val="none" w:sz="0" w:space="0" w:color="auto"/>
        <w:bottom w:val="none" w:sz="0" w:space="0" w:color="auto"/>
        <w:right w:val="none" w:sz="0" w:space="0" w:color="auto"/>
      </w:divBdr>
    </w:div>
    <w:div w:id="164059353">
      <w:bodyDiv w:val="1"/>
      <w:marLeft w:val="0"/>
      <w:marRight w:val="0"/>
      <w:marTop w:val="0"/>
      <w:marBottom w:val="0"/>
      <w:divBdr>
        <w:top w:val="none" w:sz="0" w:space="0" w:color="auto"/>
        <w:left w:val="none" w:sz="0" w:space="0" w:color="auto"/>
        <w:bottom w:val="none" w:sz="0" w:space="0" w:color="auto"/>
        <w:right w:val="none" w:sz="0" w:space="0" w:color="auto"/>
      </w:divBdr>
    </w:div>
    <w:div w:id="164168417">
      <w:bodyDiv w:val="1"/>
      <w:marLeft w:val="0"/>
      <w:marRight w:val="0"/>
      <w:marTop w:val="0"/>
      <w:marBottom w:val="0"/>
      <w:divBdr>
        <w:top w:val="none" w:sz="0" w:space="0" w:color="auto"/>
        <w:left w:val="none" w:sz="0" w:space="0" w:color="auto"/>
        <w:bottom w:val="none" w:sz="0" w:space="0" w:color="auto"/>
        <w:right w:val="none" w:sz="0" w:space="0" w:color="auto"/>
      </w:divBdr>
    </w:div>
    <w:div w:id="164364403">
      <w:bodyDiv w:val="1"/>
      <w:marLeft w:val="0"/>
      <w:marRight w:val="0"/>
      <w:marTop w:val="0"/>
      <w:marBottom w:val="0"/>
      <w:divBdr>
        <w:top w:val="none" w:sz="0" w:space="0" w:color="auto"/>
        <w:left w:val="none" w:sz="0" w:space="0" w:color="auto"/>
        <w:bottom w:val="none" w:sz="0" w:space="0" w:color="auto"/>
        <w:right w:val="none" w:sz="0" w:space="0" w:color="auto"/>
      </w:divBdr>
    </w:div>
    <w:div w:id="164365556">
      <w:bodyDiv w:val="1"/>
      <w:marLeft w:val="0"/>
      <w:marRight w:val="0"/>
      <w:marTop w:val="0"/>
      <w:marBottom w:val="0"/>
      <w:divBdr>
        <w:top w:val="none" w:sz="0" w:space="0" w:color="auto"/>
        <w:left w:val="none" w:sz="0" w:space="0" w:color="auto"/>
        <w:bottom w:val="none" w:sz="0" w:space="0" w:color="auto"/>
        <w:right w:val="none" w:sz="0" w:space="0" w:color="auto"/>
      </w:divBdr>
    </w:div>
    <w:div w:id="164367995">
      <w:bodyDiv w:val="1"/>
      <w:marLeft w:val="0"/>
      <w:marRight w:val="0"/>
      <w:marTop w:val="0"/>
      <w:marBottom w:val="0"/>
      <w:divBdr>
        <w:top w:val="none" w:sz="0" w:space="0" w:color="auto"/>
        <w:left w:val="none" w:sz="0" w:space="0" w:color="auto"/>
        <w:bottom w:val="none" w:sz="0" w:space="0" w:color="auto"/>
        <w:right w:val="none" w:sz="0" w:space="0" w:color="auto"/>
      </w:divBdr>
    </w:div>
    <w:div w:id="164370843">
      <w:bodyDiv w:val="1"/>
      <w:marLeft w:val="0"/>
      <w:marRight w:val="0"/>
      <w:marTop w:val="0"/>
      <w:marBottom w:val="0"/>
      <w:divBdr>
        <w:top w:val="none" w:sz="0" w:space="0" w:color="auto"/>
        <w:left w:val="none" w:sz="0" w:space="0" w:color="auto"/>
        <w:bottom w:val="none" w:sz="0" w:space="0" w:color="auto"/>
        <w:right w:val="none" w:sz="0" w:space="0" w:color="auto"/>
      </w:divBdr>
    </w:div>
    <w:div w:id="164515521">
      <w:bodyDiv w:val="1"/>
      <w:marLeft w:val="0"/>
      <w:marRight w:val="0"/>
      <w:marTop w:val="0"/>
      <w:marBottom w:val="0"/>
      <w:divBdr>
        <w:top w:val="none" w:sz="0" w:space="0" w:color="auto"/>
        <w:left w:val="none" w:sz="0" w:space="0" w:color="auto"/>
        <w:bottom w:val="none" w:sz="0" w:space="0" w:color="auto"/>
        <w:right w:val="none" w:sz="0" w:space="0" w:color="auto"/>
      </w:divBdr>
    </w:div>
    <w:div w:id="164589652">
      <w:bodyDiv w:val="1"/>
      <w:marLeft w:val="0"/>
      <w:marRight w:val="0"/>
      <w:marTop w:val="0"/>
      <w:marBottom w:val="0"/>
      <w:divBdr>
        <w:top w:val="none" w:sz="0" w:space="0" w:color="auto"/>
        <w:left w:val="none" w:sz="0" w:space="0" w:color="auto"/>
        <w:bottom w:val="none" w:sz="0" w:space="0" w:color="auto"/>
        <w:right w:val="none" w:sz="0" w:space="0" w:color="auto"/>
      </w:divBdr>
    </w:div>
    <w:div w:id="164591491">
      <w:bodyDiv w:val="1"/>
      <w:marLeft w:val="0"/>
      <w:marRight w:val="0"/>
      <w:marTop w:val="0"/>
      <w:marBottom w:val="0"/>
      <w:divBdr>
        <w:top w:val="none" w:sz="0" w:space="0" w:color="auto"/>
        <w:left w:val="none" w:sz="0" w:space="0" w:color="auto"/>
        <w:bottom w:val="none" w:sz="0" w:space="0" w:color="auto"/>
        <w:right w:val="none" w:sz="0" w:space="0" w:color="auto"/>
      </w:divBdr>
    </w:div>
    <w:div w:id="164592621">
      <w:bodyDiv w:val="1"/>
      <w:marLeft w:val="0"/>
      <w:marRight w:val="0"/>
      <w:marTop w:val="0"/>
      <w:marBottom w:val="0"/>
      <w:divBdr>
        <w:top w:val="none" w:sz="0" w:space="0" w:color="auto"/>
        <w:left w:val="none" w:sz="0" w:space="0" w:color="auto"/>
        <w:bottom w:val="none" w:sz="0" w:space="0" w:color="auto"/>
        <w:right w:val="none" w:sz="0" w:space="0" w:color="auto"/>
      </w:divBdr>
    </w:div>
    <w:div w:id="164637953">
      <w:bodyDiv w:val="1"/>
      <w:marLeft w:val="0"/>
      <w:marRight w:val="0"/>
      <w:marTop w:val="0"/>
      <w:marBottom w:val="0"/>
      <w:divBdr>
        <w:top w:val="none" w:sz="0" w:space="0" w:color="auto"/>
        <w:left w:val="none" w:sz="0" w:space="0" w:color="auto"/>
        <w:bottom w:val="none" w:sz="0" w:space="0" w:color="auto"/>
        <w:right w:val="none" w:sz="0" w:space="0" w:color="auto"/>
      </w:divBdr>
    </w:div>
    <w:div w:id="164788780">
      <w:bodyDiv w:val="1"/>
      <w:marLeft w:val="0"/>
      <w:marRight w:val="0"/>
      <w:marTop w:val="0"/>
      <w:marBottom w:val="0"/>
      <w:divBdr>
        <w:top w:val="none" w:sz="0" w:space="0" w:color="auto"/>
        <w:left w:val="none" w:sz="0" w:space="0" w:color="auto"/>
        <w:bottom w:val="none" w:sz="0" w:space="0" w:color="auto"/>
        <w:right w:val="none" w:sz="0" w:space="0" w:color="auto"/>
      </w:divBdr>
    </w:div>
    <w:div w:id="164826392">
      <w:bodyDiv w:val="1"/>
      <w:marLeft w:val="0"/>
      <w:marRight w:val="0"/>
      <w:marTop w:val="0"/>
      <w:marBottom w:val="0"/>
      <w:divBdr>
        <w:top w:val="none" w:sz="0" w:space="0" w:color="auto"/>
        <w:left w:val="none" w:sz="0" w:space="0" w:color="auto"/>
        <w:bottom w:val="none" w:sz="0" w:space="0" w:color="auto"/>
        <w:right w:val="none" w:sz="0" w:space="0" w:color="auto"/>
      </w:divBdr>
    </w:div>
    <w:div w:id="164907673">
      <w:bodyDiv w:val="1"/>
      <w:marLeft w:val="0"/>
      <w:marRight w:val="0"/>
      <w:marTop w:val="0"/>
      <w:marBottom w:val="0"/>
      <w:divBdr>
        <w:top w:val="none" w:sz="0" w:space="0" w:color="auto"/>
        <w:left w:val="none" w:sz="0" w:space="0" w:color="auto"/>
        <w:bottom w:val="none" w:sz="0" w:space="0" w:color="auto"/>
        <w:right w:val="none" w:sz="0" w:space="0" w:color="auto"/>
      </w:divBdr>
    </w:div>
    <w:div w:id="164907832">
      <w:bodyDiv w:val="1"/>
      <w:marLeft w:val="0"/>
      <w:marRight w:val="0"/>
      <w:marTop w:val="0"/>
      <w:marBottom w:val="0"/>
      <w:divBdr>
        <w:top w:val="none" w:sz="0" w:space="0" w:color="auto"/>
        <w:left w:val="none" w:sz="0" w:space="0" w:color="auto"/>
        <w:bottom w:val="none" w:sz="0" w:space="0" w:color="auto"/>
        <w:right w:val="none" w:sz="0" w:space="0" w:color="auto"/>
      </w:divBdr>
    </w:div>
    <w:div w:id="164975235">
      <w:bodyDiv w:val="1"/>
      <w:marLeft w:val="0"/>
      <w:marRight w:val="0"/>
      <w:marTop w:val="0"/>
      <w:marBottom w:val="0"/>
      <w:divBdr>
        <w:top w:val="none" w:sz="0" w:space="0" w:color="auto"/>
        <w:left w:val="none" w:sz="0" w:space="0" w:color="auto"/>
        <w:bottom w:val="none" w:sz="0" w:space="0" w:color="auto"/>
        <w:right w:val="none" w:sz="0" w:space="0" w:color="auto"/>
      </w:divBdr>
    </w:div>
    <w:div w:id="164977128">
      <w:bodyDiv w:val="1"/>
      <w:marLeft w:val="0"/>
      <w:marRight w:val="0"/>
      <w:marTop w:val="0"/>
      <w:marBottom w:val="0"/>
      <w:divBdr>
        <w:top w:val="none" w:sz="0" w:space="0" w:color="auto"/>
        <w:left w:val="none" w:sz="0" w:space="0" w:color="auto"/>
        <w:bottom w:val="none" w:sz="0" w:space="0" w:color="auto"/>
        <w:right w:val="none" w:sz="0" w:space="0" w:color="auto"/>
      </w:divBdr>
    </w:div>
    <w:div w:id="164983002">
      <w:bodyDiv w:val="1"/>
      <w:marLeft w:val="0"/>
      <w:marRight w:val="0"/>
      <w:marTop w:val="0"/>
      <w:marBottom w:val="0"/>
      <w:divBdr>
        <w:top w:val="none" w:sz="0" w:space="0" w:color="auto"/>
        <w:left w:val="none" w:sz="0" w:space="0" w:color="auto"/>
        <w:bottom w:val="none" w:sz="0" w:space="0" w:color="auto"/>
        <w:right w:val="none" w:sz="0" w:space="0" w:color="auto"/>
      </w:divBdr>
    </w:div>
    <w:div w:id="165216847">
      <w:bodyDiv w:val="1"/>
      <w:marLeft w:val="0"/>
      <w:marRight w:val="0"/>
      <w:marTop w:val="0"/>
      <w:marBottom w:val="0"/>
      <w:divBdr>
        <w:top w:val="none" w:sz="0" w:space="0" w:color="auto"/>
        <w:left w:val="none" w:sz="0" w:space="0" w:color="auto"/>
        <w:bottom w:val="none" w:sz="0" w:space="0" w:color="auto"/>
        <w:right w:val="none" w:sz="0" w:space="0" w:color="auto"/>
      </w:divBdr>
    </w:div>
    <w:div w:id="165364072">
      <w:bodyDiv w:val="1"/>
      <w:marLeft w:val="0"/>
      <w:marRight w:val="0"/>
      <w:marTop w:val="0"/>
      <w:marBottom w:val="0"/>
      <w:divBdr>
        <w:top w:val="none" w:sz="0" w:space="0" w:color="auto"/>
        <w:left w:val="none" w:sz="0" w:space="0" w:color="auto"/>
        <w:bottom w:val="none" w:sz="0" w:space="0" w:color="auto"/>
        <w:right w:val="none" w:sz="0" w:space="0" w:color="auto"/>
      </w:divBdr>
    </w:div>
    <w:div w:id="165440030">
      <w:bodyDiv w:val="1"/>
      <w:marLeft w:val="0"/>
      <w:marRight w:val="0"/>
      <w:marTop w:val="0"/>
      <w:marBottom w:val="0"/>
      <w:divBdr>
        <w:top w:val="none" w:sz="0" w:space="0" w:color="auto"/>
        <w:left w:val="none" w:sz="0" w:space="0" w:color="auto"/>
        <w:bottom w:val="none" w:sz="0" w:space="0" w:color="auto"/>
        <w:right w:val="none" w:sz="0" w:space="0" w:color="auto"/>
      </w:divBdr>
    </w:div>
    <w:div w:id="165555143">
      <w:bodyDiv w:val="1"/>
      <w:marLeft w:val="0"/>
      <w:marRight w:val="0"/>
      <w:marTop w:val="0"/>
      <w:marBottom w:val="0"/>
      <w:divBdr>
        <w:top w:val="none" w:sz="0" w:space="0" w:color="auto"/>
        <w:left w:val="none" w:sz="0" w:space="0" w:color="auto"/>
        <w:bottom w:val="none" w:sz="0" w:space="0" w:color="auto"/>
        <w:right w:val="none" w:sz="0" w:space="0" w:color="auto"/>
      </w:divBdr>
    </w:div>
    <w:div w:id="165561912">
      <w:bodyDiv w:val="1"/>
      <w:marLeft w:val="0"/>
      <w:marRight w:val="0"/>
      <w:marTop w:val="0"/>
      <w:marBottom w:val="0"/>
      <w:divBdr>
        <w:top w:val="none" w:sz="0" w:space="0" w:color="auto"/>
        <w:left w:val="none" w:sz="0" w:space="0" w:color="auto"/>
        <w:bottom w:val="none" w:sz="0" w:space="0" w:color="auto"/>
        <w:right w:val="none" w:sz="0" w:space="0" w:color="auto"/>
      </w:divBdr>
    </w:div>
    <w:div w:id="165634084">
      <w:bodyDiv w:val="1"/>
      <w:marLeft w:val="0"/>
      <w:marRight w:val="0"/>
      <w:marTop w:val="0"/>
      <w:marBottom w:val="0"/>
      <w:divBdr>
        <w:top w:val="none" w:sz="0" w:space="0" w:color="auto"/>
        <w:left w:val="none" w:sz="0" w:space="0" w:color="auto"/>
        <w:bottom w:val="none" w:sz="0" w:space="0" w:color="auto"/>
        <w:right w:val="none" w:sz="0" w:space="0" w:color="auto"/>
      </w:divBdr>
    </w:div>
    <w:div w:id="165636249">
      <w:bodyDiv w:val="1"/>
      <w:marLeft w:val="0"/>
      <w:marRight w:val="0"/>
      <w:marTop w:val="0"/>
      <w:marBottom w:val="0"/>
      <w:divBdr>
        <w:top w:val="none" w:sz="0" w:space="0" w:color="auto"/>
        <w:left w:val="none" w:sz="0" w:space="0" w:color="auto"/>
        <w:bottom w:val="none" w:sz="0" w:space="0" w:color="auto"/>
        <w:right w:val="none" w:sz="0" w:space="0" w:color="auto"/>
      </w:divBdr>
    </w:div>
    <w:div w:id="165748637">
      <w:bodyDiv w:val="1"/>
      <w:marLeft w:val="0"/>
      <w:marRight w:val="0"/>
      <w:marTop w:val="0"/>
      <w:marBottom w:val="0"/>
      <w:divBdr>
        <w:top w:val="none" w:sz="0" w:space="0" w:color="auto"/>
        <w:left w:val="none" w:sz="0" w:space="0" w:color="auto"/>
        <w:bottom w:val="none" w:sz="0" w:space="0" w:color="auto"/>
        <w:right w:val="none" w:sz="0" w:space="0" w:color="auto"/>
      </w:divBdr>
    </w:div>
    <w:div w:id="165750606">
      <w:bodyDiv w:val="1"/>
      <w:marLeft w:val="0"/>
      <w:marRight w:val="0"/>
      <w:marTop w:val="0"/>
      <w:marBottom w:val="0"/>
      <w:divBdr>
        <w:top w:val="none" w:sz="0" w:space="0" w:color="auto"/>
        <w:left w:val="none" w:sz="0" w:space="0" w:color="auto"/>
        <w:bottom w:val="none" w:sz="0" w:space="0" w:color="auto"/>
        <w:right w:val="none" w:sz="0" w:space="0" w:color="auto"/>
      </w:divBdr>
    </w:div>
    <w:div w:id="165750836">
      <w:bodyDiv w:val="1"/>
      <w:marLeft w:val="0"/>
      <w:marRight w:val="0"/>
      <w:marTop w:val="0"/>
      <w:marBottom w:val="0"/>
      <w:divBdr>
        <w:top w:val="none" w:sz="0" w:space="0" w:color="auto"/>
        <w:left w:val="none" w:sz="0" w:space="0" w:color="auto"/>
        <w:bottom w:val="none" w:sz="0" w:space="0" w:color="auto"/>
        <w:right w:val="none" w:sz="0" w:space="0" w:color="auto"/>
      </w:divBdr>
    </w:div>
    <w:div w:id="165752817">
      <w:bodyDiv w:val="1"/>
      <w:marLeft w:val="0"/>
      <w:marRight w:val="0"/>
      <w:marTop w:val="0"/>
      <w:marBottom w:val="0"/>
      <w:divBdr>
        <w:top w:val="none" w:sz="0" w:space="0" w:color="auto"/>
        <w:left w:val="none" w:sz="0" w:space="0" w:color="auto"/>
        <w:bottom w:val="none" w:sz="0" w:space="0" w:color="auto"/>
        <w:right w:val="none" w:sz="0" w:space="0" w:color="auto"/>
      </w:divBdr>
    </w:div>
    <w:div w:id="165829961">
      <w:bodyDiv w:val="1"/>
      <w:marLeft w:val="0"/>
      <w:marRight w:val="0"/>
      <w:marTop w:val="0"/>
      <w:marBottom w:val="0"/>
      <w:divBdr>
        <w:top w:val="none" w:sz="0" w:space="0" w:color="auto"/>
        <w:left w:val="none" w:sz="0" w:space="0" w:color="auto"/>
        <w:bottom w:val="none" w:sz="0" w:space="0" w:color="auto"/>
        <w:right w:val="none" w:sz="0" w:space="0" w:color="auto"/>
      </w:divBdr>
    </w:div>
    <w:div w:id="165903203">
      <w:bodyDiv w:val="1"/>
      <w:marLeft w:val="0"/>
      <w:marRight w:val="0"/>
      <w:marTop w:val="0"/>
      <w:marBottom w:val="0"/>
      <w:divBdr>
        <w:top w:val="none" w:sz="0" w:space="0" w:color="auto"/>
        <w:left w:val="none" w:sz="0" w:space="0" w:color="auto"/>
        <w:bottom w:val="none" w:sz="0" w:space="0" w:color="auto"/>
        <w:right w:val="none" w:sz="0" w:space="0" w:color="auto"/>
      </w:divBdr>
    </w:div>
    <w:div w:id="165903484">
      <w:bodyDiv w:val="1"/>
      <w:marLeft w:val="0"/>
      <w:marRight w:val="0"/>
      <w:marTop w:val="0"/>
      <w:marBottom w:val="0"/>
      <w:divBdr>
        <w:top w:val="none" w:sz="0" w:space="0" w:color="auto"/>
        <w:left w:val="none" w:sz="0" w:space="0" w:color="auto"/>
        <w:bottom w:val="none" w:sz="0" w:space="0" w:color="auto"/>
        <w:right w:val="none" w:sz="0" w:space="0" w:color="auto"/>
      </w:divBdr>
    </w:div>
    <w:div w:id="166016236">
      <w:bodyDiv w:val="1"/>
      <w:marLeft w:val="0"/>
      <w:marRight w:val="0"/>
      <w:marTop w:val="0"/>
      <w:marBottom w:val="0"/>
      <w:divBdr>
        <w:top w:val="none" w:sz="0" w:space="0" w:color="auto"/>
        <w:left w:val="none" w:sz="0" w:space="0" w:color="auto"/>
        <w:bottom w:val="none" w:sz="0" w:space="0" w:color="auto"/>
        <w:right w:val="none" w:sz="0" w:space="0" w:color="auto"/>
      </w:divBdr>
    </w:div>
    <w:div w:id="166024796">
      <w:bodyDiv w:val="1"/>
      <w:marLeft w:val="0"/>
      <w:marRight w:val="0"/>
      <w:marTop w:val="0"/>
      <w:marBottom w:val="0"/>
      <w:divBdr>
        <w:top w:val="none" w:sz="0" w:space="0" w:color="auto"/>
        <w:left w:val="none" w:sz="0" w:space="0" w:color="auto"/>
        <w:bottom w:val="none" w:sz="0" w:space="0" w:color="auto"/>
        <w:right w:val="none" w:sz="0" w:space="0" w:color="auto"/>
      </w:divBdr>
    </w:div>
    <w:div w:id="166210487">
      <w:bodyDiv w:val="1"/>
      <w:marLeft w:val="0"/>
      <w:marRight w:val="0"/>
      <w:marTop w:val="0"/>
      <w:marBottom w:val="0"/>
      <w:divBdr>
        <w:top w:val="none" w:sz="0" w:space="0" w:color="auto"/>
        <w:left w:val="none" w:sz="0" w:space="0" w:color="auto"/>
        <w:bottom w:val="none" w:sz="0" w:space="0" w:color="auto"/>
        <w:right w:val="none" w:sz="0" w:space="0" w:color="auto"/>
      </w:divBdr>
    </w:div>
    <w:div w:id="166215737">
      <w:bodyDiv w:val="1"/>
      <w:marLeft w:val="0"/>
      <w:marRight w:val="0"/>
      <w:marTop w:val="0"/>
      <w:marBottom w:val="0"/>
      <w:divBdr>
        <w:top w:val="none" w:sz="0" w:space="0" w:color="auto"/>
        <w:left w:val="none" w:sz="0" w:space="0" w:color="auto"/>
        <w:bottom w:val="none" w:sz="0" w:space="0" w:color="auto"/>
        <w:right w:val="none" w:sz="0" w:space="0" w:color="auto"/>
      </w:divBdr>
    </w:div>
    <w:div w:id="166216935">
      <w:bodyDiv w:val="1"/>
      <w:marLeft w:val="0"/>
      <w:marRight w:val="0"/>
      <w:marTop w:val="0"/>
      <w:marBottom w:val="0"/>
      <w:divBdr>
        <w:top w:val="none" w:sz="0" w:space="0" w:color="auto"/>
        <w:left w:val="none" w:sz="0" w:space="0" w:color="auto"/>
        <w:bottom w:val="none" w:sz="0" w:space="0" w:color="auto"/>
        <w:right w:val="none" w:sz="0" w:space="0" w:color="auto"/>
      </w:divBdr>
    </w:div>
    <w:div w:id="166291800">
      <w:bodyDiv w:val="1"/>
      <w:marLeft w:val="0"/>
      <w:marRight w:val="0"/>
      <w:marTop w:val="0"/>
      <w:marBottom w:val="0"/>
      <w:divBdr>
        <w:top w:val="none" w:sz="0" w:space="0" w:color="auto"/>
        <w:left w:val="none" w:sz="0" w:space="0" w:color="auto"/>
        <w:bottom w:val="none" w:sz="0" w:space="0" w:color="auto"/>
        <w:right w:val="none" w:sz="0" w:space="0" w:color="auto"/>
      </w:divBdr>
    </w:div>
    <w:div w:id="166330604">
      <w:bodyDiv w:val="1"/>
      <w:marLeft w:val="0"/>
      <w:marRight w:val="0"/>
      <w:marTop w:val="0"/>
      <w:marBottom w:val="0"/>
      <w:divBdr>
        <w:top w:val="none" w:sz="0" w:space="0" w:color="auto"/>
        <w:left w:val="none" w:sz="0" w:space="0" w:color="auto"/>
        <w:bottom w:val="none" w:sz="0" w:space="0" w:color="auto"/>
        <w:right w:val="none" w:sz="0" w:space="0" w:color="auto"/>
      </w:divBdr>
    </w:div>
    <w:div w:id="166403136">
      <w:bodyDiv w:val="1"/>
      <w:marLeft w:val="0"/>
      <w:marRight w:val="0"/>
      <w:marTop w:val="0"/>
      <w:marBottom w:val="0"/>
      <w:divBdr>
        <w:top w:val="none" w:sz="0" w:space="0" w:color="auto"/>
        <w:left w:val="none" w:sz="0" w:space="0" w:color="auto"/>
        <w:bottom w:val="none" w:sz="0" w:space="0" w:color="auto"/>
        <w:right w:val="none" w:sz="0" w:space="0" w:color="auto"/>
      </w:divBdr>
    </w:div>
    <w:div w:id="166479471">
      <w:bodyDiv w:val="1"/>
      <w:marLeft w:val="0"/>
      <w:marRight w:val="0"/>
      <w:marTop w:val="0"/>
      <w:marBottom w:val="0"/>
      <w:divBdr>
        <w:top w:val="none" w:sz="0" w:space="0" w:color="auto"/>
        <w:left w:val="none" w:sz="0" w:space="0" w:color="auto"/>
        <w:bottom w:val="none" w:sz="0" w:space="0" w:color="auto"/>
        <w:right w:val="none" w:sz="0" w:space="0" w:color="auto"/>
      </w:divBdr>
    </w:div>
    <w:div w:id="166553406">
      <w:bodyDiv w:val="1"/>
      <w:marLeft w:val="0"/>
      <w:marRight w:val="0"/>
      <w:marTop w:val="0"/>
      <w:marBottom w:val="0"/>
      <w:divBdr>
        <w:top w:val="none" w:sz="0" w:space="0" w:color="auto"/>
        <w:left w:val="none" w:sz="0" w:space="0" w:color="auto"/>
        <w:bottom w:val="none" w:sz="0" w:space="0" w:color="auto"/>
        <w:right w:val="none" w:sz="0" w:space="0" w:color="auto"/>
      </w:divBdr>
    </w:div>
    <w:div w:id="166554659">
      <w:bodyDiv w:val="1"/>
      <w:marLeft w:val="0"/>
      <w:marRight w:val="0"/>
      <w:marTop w:val="0"/>
      <w:marBottom w:val="0"/>
      <w:divBdr>
        <w:top w:val="none" w:sz="0" w:space="0" w:color="auto"/>
        <w:left w:val="none" w:sz="0" w:space="0" w:color="auto"/>
        <w:bottom w:val="none" w:sz="0" w:space="0" w:color="auto"/>
        <w:right w:val="none" w:sz="0" w:space="0" w:color="auto"/>
      </w:divBdr>
    </w:div>
    <w:div w:id="166789583">
      <w:bodyDiv w:val="1"/>
      <w:marLeft w:val="0"/>
      <w:marRight w:val="0"/>
      <w:marTop w:val="0"/>
      <w:marBottom w:val="0"/>
      <w:divBdr>
        <w:top w:val="none" w:sz="0" w:space="0" w:color="auto"/>
        <w:left w:val="none" w:sz="0" w:space="0" w:color="auto"/>
        <w:bottom w:val="none" w:sz="0" w:space="0" w:color="auto"/>
        <w:right w:val="none" w:sz="0" w:space="0" w:color="auto"/>
      </w:divBdr>
    </w:div>
    <w:div w:id="166791546">
      <w:bodyDiv w:val="1"/>
      <w:marLeft w:val="0"/>
      <w:marRight w:val="0"/>
      <w:marTop w:val="0"/>
      <w:marBottom w:val="0"/>
      <w:divBdr>
        <w:top w:val="none" w:sz="0" w:space="0" w:color="auto"/>
        <w:left w:val="none" w:sz="0" w:space="0" w:color="auto"/>
        <w:bottom w:val="none" w:sz="0" w:space="0" w:color="auto"/>
        <w:right w:val="none" w:sz="0" w:space="0" w:color="auto"/>
      </w:divBdr>
    </w:div>
    <w:div w:id="166795685">
      <w:bodyDiv w:val="1"/>
      <w:marLeft w:val="0"/>
      <w:marRight w:val="0"/>
      <w:marTop w:val="0"/>
      <w:marBottom w:val="0"/>
      <w:divBdr>
        <w:top w:val="none" w:sz="0" w:space="0" w:color="auto"/>
        <w:left w:val="none" w:sz="0" w:space="0" w:color="auto"/>
        <w:bottom w:val="none" w:sz="0" w:space="0" w:color="auto"/>
        <w:right w:val="none" w:sz="0" w:space="0" w:color="auto"/>
      </w:divBdr>
    </w:div>
    <w:div w:id="166992121">
      <w:bodyDiv w:val="1"/>
      <w:marLeft w:val="0"/>
      <w:marRight w:val="0"/>
      <w:marTop w:val="0"/>
      <w:marBottom w:val="0"/>
      <w:divBdr>
        <w:top w:val="none" w:sz="0" w:space="0" w:color="auto"/>
        <w:left w:val="none" w:sz="0" w:space="0" w:color="auto"/>
        <w:bottom w:val="none" w:sz="0" w:space="0" w:color="auto"/>
        <w:right w:val="none" w:sz="0" w:space="0" w:color="auto"/>
      </w:divBdr>
    </w:div>
    <w:div w:id="167017094">
      <w:bodyDiv w:val="1"/>
      <w:marLeft w:val="0"/>
      <w:marRight w:val="0"/>
      <w:marTop w:val="0"/>
      <w:marBottom w:val="0"/>
      <w:divBdr>
        <w:top w:val="none" w:sz="0" w:space="0" w:color="auto"/>
        <w:left w:val="none" w:sz="0" w:space="0" w:color="auto"/>
        <w:bottom w:val="none" w:sz="0" w:space="0" w:color="auto"/>
        <w:right w:val="none" w:sz="0" w:space="0" w:color="auto"/>
      </w:divBdr>
    </w:div>
    <w:div w:id="167017997">
      <w:bodyDiv w:val="1"/>
      <w:marLeft w:val="0"/>
      <w:marRight w:val="0"/>
      <w:marTop w:val="0"/>
      <w:marBottom w:val="0"/>
      <w:divBdr>
        <w:top w:val="none" w:sz="0" w:space="0" w:color="auto"/>
        <w:left w:val="none" w:sz="0" w:space="0" w:color="auto"/>
        <w:bottom w:val="none" w:sz="0" w:space="0" w:color="auto"/>
        <w:right w:val="none" w:sz="0" w:space="0" w:color="auto"/>
      </w:divBdr>
    </w:div>
    <w:div w:id="167062612">
      <w:bodyDiv w:val="1"/>
      <w:marLeft w:val="0"/>
      <w:marRight w:val="0"/>
      <w:marTop w:val="0"/>
      <w:marBottom w:val="0"/>
      <w:divBdr>
        <w:top w:val="none" w:sz="0" w:space="0" w:color="auto"/>
        <w:left w:val="none" w:sz="0" w:space="0" w:color="auto"/>
        <w:bottom w:val="none" w:sz="0" w:space="0" w:color="auto"/>
        <w:right w:val="none" w:sz="0" w:space="0" w:color="auto"/>
      </w:divBdr>
    </w:div>
    <w:div w:id="167139029">
      <w:bodyDiv w:val="1"/>
      <w:marLeft w:val="0"/>
      <w:marRight w:val="0"/>
      <w:marTop w:val="0"/>
      <w:marBottom w:val="0"/>
      <w:divBdr>
        <w:top w:val="none" w:sz="0" w:space="0" w:color="auto"/>
        <w:left w:val="none" w:sz="0" w:space="0" w:color="auto"/>
        <w:bottom w:val="none" w:sz="0" w:space="0" w:color="auto"/>
        <w:right w:val="none" w:sz="0" w:space="0" w:color="auto"/>
      </w:divBdr>
    </w:div>
    <w:div w:id="167212062">
      <w:bodyDiv w:val="1"/>
      <w:marLeft w:val="0"/>
      <w:marRight w:val="0"/>
      <w:marTop w:val="0"/>
      <w:marBottom w:val="0"/>
      <w:divBdr>
        <w:top w:val="none" w:sz="0" w:space="0" w:color="auto"/>
        <w:left w:val="none" w:sz="0" w:space="0" w:color="auto"/>
        <w:bottom w:val="none" w:sz="0" w:space="0" w:color="auto"/>
        <w:right w:val="none" w:sz="0" w:space="0" w:color="auto"/>
      </w:divBdr>
    </w:div>
    <w:div w:id="167212565">
      <w:bodyDiv w:val="1"/>
      <w:marLeft w:val="0"/>
      <w:marRight w:val="0"/>
      <w:marTop w:val="0"/>
      <w:marBottom w:val="0"/>
      <w:divBdr>
        <w:top w:val="none" w:sz="0" w:space="0" w:color="auto"/>
        <w:left w:val="none" w:sz="0" w:space="0" w:color="auto"/>
        <w:bottom w:val="none" w:sz="0" w:space="0" w:color="auto"/>
        <w:right w:val="none" w:sz="0" w:space="0" w:color="auto"/>
      </w:divBdr>
    </w:div>
    <w:div w:id="167251845">
      <w:bodyDiv w:val="1"/>
      <w:marLeft w:val="0"/>
      <w:marRight w:val="0"/>
      <w:marTop w:val="0"/>
      <w:marBottom w:val="0"/>
      <w:divBdr>
        <w:top w:val="none" w:sz="0" w:space="0" w:color="auto"/>
        <w:left w:val="none" w:sz="0" w:space="0" w:color="auto"/>
        <w:bottom w:val="none" w:sz="0" w:space="0" w:color="auto"/>
        <w:right w:val="none" w:sz="0" w:space="0" w:color="auto"/>
      </w:divBdr>
    </w:div>
    <w:div w:id="167257834">
      <w:bodyDiv w:val="1"/>
      <w:marLeft w:val="0"/>
      <w:marRight w:val="0"/>
      <w:marTop w:val="0"/>
      <w:marBottom w:val="0"/>
      <w:divBdr>
        <w:top w:val="none" w:sz="0" w:space="0" w:color="auto"/>
        <w:left w:val="none" w:sz="0" w:space="0" w:color="auto"/>
        <w:bottom w:val="none" w:sz="0" w:space="0" w:color="auto"/>
        <w:right w:val="none" w:sz="0" w:space="0" w:color="auto"/>
      </w:divBdr>
    </w:div>
    <w:div w:id="167335910">
      <w:bodyDiv w:val="1"/>
      <w:marLeft w:val="0"/>
      <w:marRight w:val="0"/>
      <w:marTop w:val="0"/>
      <w:marBottom w:val="0"/>
      <w:divBdr>
        <w:top w:val="none" w:sz="0" w:space="0" w:color="auto"/>
        <w:left w:val="none" w:sz="0" w:space="0" w:color="auto"/>
        <w:bottom w:val="none" w:sz="0" w:space="0" w:color="auto"/>
        <w:right w:val="none" w:sz="0" w:space="0" w:color="auto"/>
      </w:divBdr>
    </w:div>
    <w:div w:id="167451386">
      <w:bodyDiv w:val="1"/>
      <w:marLeft w:val="0"/>
      <w:marRight w:val="0"/>
      <w:marTop w:val="0"/>
      <w:marBottom w:val="0"/>
      <w:divBdr>
        <w:top w:val="none" w:sz="0" w:space="0" w:color="auto"/>
        <w:left w:val="none" w:sz="0" w:space="0" w:color="auto"/>
        <w:bottom w:val="none" w:sz="0" w:space="0" w:color="auto"/>
        <w:right w:val="none" w:sz="0" w:space="0" w:color="auto"/>
      </w:divBdr>
    </w:div>
    <w:div w:id="167526495">
      <w:bodyDiv w:val="1"/>
      <w:marLeft w:val="0"/>
      <w:marRight w:val="0"/>
      <w:marTop w:val="0"/>
      <w:marBottom w:val="0"/>
      <w:divBdr>
        <w:top w:val="none" w:sz="0" w:space="0" w:color="auto"/>
        <w:left w:val="none" w:sz="0" w:space="0" w:color="auto"/>
        <w:bottom w:val="none" w:sz="0" w:space="0" w:color="auto"/>
        <w:right w:val="none" w:sz="0" w:space="0" w:color="auto"/>
      </w:divBdr>
    </w:div>
    <w:div w:id="167794218">
      <w:bodyDiv w:val="1"/>
      <w:marLeft w:val="0"/>
      <w:marRight w:val="0"/>
      <w:marTop w:val="0"/>
      <w:marBottom w:val="0"/>
      <w:divBdr>
        <w:top w:val="none" w:sz="0" w:space="0" w:color="auto"/>
        <w:left w:val="none" w:sz="0" w:space="0" w:color="auto"/>
        <w:bottom w:val="none" w:sz="0" w:space="0" w:color="auto"/>
        <w:right w:val="none" w:sz="0" w:space="0" w:color="auto"/>
      </w:divBdr>
    </w:div>
    <w:div w:id="167795538">
      <w:bodyDiv w:val="1"/>
      <w:marLeft w:val="0"/>
      <w:marRight w:val="0"/>
      <w:marTop w:val="0"/>
      <w:marBottom w:val="0"/>
      <w:divBdr>
        <w:top w:val="none" w:sz="0" w:space="0" w:color="auto"/>
        <w:left w:val="none" w:sz="0" w:space="0" w:color="auto"/>
        <w:bottom w:val="none" w:sz="0" w:space="0" w:color="auto"/>
        <w:right w:val="none" w:sz="0" w:space="0" w:color="auto"/>
      </w:divBdr>
    </w:div>
    <w:div w:id="168059284">
      <w:bodyDiv w:val="1"/>
      <w:marLeft w:val="0"/>
      <w:marRight w:val="0"/>
      <w:marTop w:val="0"/>
      <w:marBottom w:val="0"/>
      <w:divBdr>
        <w:top w:val="none" w:sz="0" w:space="0" w:color="auto"/>
        <w:left w:val="none" w:sz="0" w:space="0" w:color="auto"/>
        <w:bottom w:val="none" w:sz="0" w:space="0" w:color="auto"/>
        <w:right w:val="none" w:sz="0" w:space="0" w:color="auto"/>
      </w:divBdr>
    </w:div>
    <w:div w:id="168064428">
      <w:bodyDiv w:val="1"/>
      <w:marLeft w:val="0"/>
      <w:marRight w:val="0"/>
      <w:marTop w:val="0"/>
      <w:marBottom w:val="0"/>
      <w:divBdr>
        <w:top w:val="none" w:sz="0" w:space="0" w:color="auto"/>
        <w:left w:val="none" w:sz="0" w:space="0" w:color="auto"/>
        <w:bottom w:val="none" w:sz="0" w:space="0" w:color="auto"/>
        <w:right w:val="none" w:sz="0" w:space="0" w:color="auto"/>
      </w:divBdr>
    </w:div>
    <w:div w:id="168101023">
      <w:bodyDiv w:val="1"/>
      <w:marLeft w:val="0"/>
      <w:marRight w:val="0"/>
      <w:marTop w:val="0"/>
      <w:marBottom w:val="0"/>
      <w:divBdr>
        <w:top w:val="none" w:sz="0" w:space="0" w:color="auto"/>
        <w:left w:val="none" w:sz="0" w:space="0" w:color="auto"/>
        <w:bottom w:val="none" w:sz="0" w:space="0" w:color="auto"/>
        <w:right w:val="none" w:sz="0" w:space="0" w:color="auto"/>
      </w:divBdr>
    </w:div>
    <w:div w:id="168105784">
      <w:bodyDiv w:val="1"/>
      <w:marLeft w:val="0"/>
      <w:marRight w:val="0"/>
      <w:marTop w:val="0"/>
      <w:marBottom w:val="0"/>
      <w:divBdr>
        <w:top w:val="none" w:sz="0" w:space="0" w:color="auto"/>
        <w:left w:val="none" w:sz="0" w:space="0" w:color="auto"/>
        <w:bottom w:val="none" w:sz="0" w:space="0" w:color="auto"/>
        <w:right w:val="none" w:sz="0" w:space="0" w:color="auto"/>
      </w:divBdr>
    </w:div>
    <w:div w:id="168106624">
      <w:bodyDiv w:val="1"/>
      <w:marLeft w:val="0"/>
      <w:marRight w:val="0"/>
      <w:marTop w:val="0"/>
      <w:marBottom w:val="0"/>
      <w:divBdr>
        <w:top w:val="none" w:sz="0" w:space="0" w:color="auto"/>
        <w:left w:val="none" w:sz="0" w:space="0" w:color="auto"/>
        <w:bottom w:val="none" w:sz="0" w:space="0" w:color="auto"/>
        <w:right w:val="none" w:sz="0" w:space="0" w:color="auto"/>
      </w:divBdr>
    </w:div>
    <w:div w:id="168176023">
      <w:bodyDiv w:val="1"/>
      <w:marLeft w:val="0"/>
      <w:marRight w:val="0"/>
      <w:marTop w:val="0"/>
      <w:marBottom w:val="0"/>
      <w:divBdr>
        <w:top w:val="none" w:sz="0" w:space="0" w:color="auto"/>
        <w:left w:val="none" w:sz="0" w:space="0" w:color="auto"/>
        <w:bottom w:val="none" w:sz="0" w:space="0" w:color="auto"/>
        <w:right w:val="none" w:sz="0" w:space="0" w:color="auto"/>
      </w:divBdr>
    </w:div>
    <w:div w:id="168182627">
      <w:bodyDiv w:val="1"/>
      <w:marLeft w:val="0"/>
      <w:marRight w:val="0"/>
      <w:marTop w:val="0"/>
      <w:marBottom w:val="0"/>
      <w:divBdr>
        <w:top w:val="none" w:sz="0" w:space="0" w:color="auto"/>
        <w:left w:val="none" w:sz="0" w:space="0" w:color="auto"/>
        <w:bottom w:val="none" w:sz="0" w:space="0" w:color="auto"/>
        <w:right w:val="none" w:sz="0" w:space="0" w:color="auto"/>
      </w:divBdr>
    </w:div>
    <w:div w:id="168252251">
      <w:bodyDiv w:val="1"/>
      <w:marLeft w:val="0"/>
      <w:marRight w:val="0"/>
      <w:marTop w:val="0"/>
      <w:marBottom w:val="0"/>
      <w:divBdr>
        <w:top w:val="none" w:sz="0" w:space="0" w:color="auto"/>
        <w:left w:val="none" w:sz="0" w:space="0" w:color="auto"/>
        <w:bottom w:val="none" w:sz="0" w:space="0" w:color="auto"/>
        <w:right w:val="none" w:sz="0" w:space="0" w:color="auto"/>
      </w:divBdr>
    </w:div>
    <w:div w:id="168257115">
      <w:bodyDiv w:val="1"/>
      <w:marLeft w:val="0"/>
      <w:marRight w:val="0"/>
      <w:marTop w:val="0"/>
      <w:marBottom w:val="0"/>
      <w:divBdr>
        <w:top w:val="none" w:sz="0" w:space="0" w:color="auto"/>
        <w:left w:val="none" w:sz="0" w:space="0" w:color="auto"/>
        <w:bottom w:val="none" w:sz="0" w:space="0" w:color="auto"/>
        <w:right w:val="none" w:sz="0" w:space="0" w:color="auto"/>
      </w:divBdr>
    </w:div>
    <w:div w:id="168327751">
      <w:bodyDiv w:val="1"/>
      <w:marLeft w:val="0"/>
      <w:marRight w:val="0"/>
      <w:marTop w:val="0"/>
      <w:marBottom w:val="0"/>
      <w:divBdr>
        <w:top w:val="none" w:sz="0" w:space="0" w:color="auto"/>
        <w:left w:val="none" w:sz="0" w:space="0" w:color="auto"/>
        <w:bottom w:val="none" w:sz="0" w:space="0" w:color="auto"/>
        <w:right w:val="none" w:sz="0" w:space="0" w:color="auto"/>
      </w:divBdr>
    </w:div>
    <w:div w:id="168328043">
      <w:bodyDiv w:val="1"/>
      <w:marLeft w:val="0"/>
      <w:marRight w:val="0"/>
      <w:marTop w:val="0"/>
      <w:marBottom w:val="0"/>
      <w:divBdr>
        <w:top w:val="none" w:sz="0" w:space="0" w:color="auto"/>
        <w:left w:val="none" w:sz="0" w:space="0" w:color="auto"/>
        <w:bottom w:val="none" w:sz="0" w:space="0" w:color="auto"/>
        <w:right w:val="none" w:sz="0" w:space="0" w:color="auto"/>
      </w:divBdr>
    </w:div>
    <w:div w:id="168369812">
      <w:bodyDiv w:val="1"/>
      <w:marLeft w:val="0"/>
      <w:marRight w:val="0"/>
      <w:marTop w:val="0"/>
      <w:marBottom w:val="0"/>
      <w:divBdr>
        <w:top w:val="none" w:sz="0" w:space="0" w:color="auto"/>
        <w:left w:val="none" w:sz="0" w:space="0" w:color="auto"/>
        <w:bottom w:val="none" w:sz="0" w:space="0" w:color="auto"/>
        <w:right w:val="none" w:sz="0" w:space="0" w:color="auto"/>
      </w:divBdr>
    </w:div>
    <w:div w:id="168376582">
      <w:bodyDiv w:val="1"/>
      <w:marLeft w:val="0"/>
      <w:marRight w:val="0"/>
      <w:marTop w:val="0"/>
      <w:marBottom w:val="0"/>
      <w:divBdr>
        <w:top w:val="none" w:sz="0" w:space="0" w:color="auto"/>
        <w:left w:val="none" w:sz="0" w:space="0" w:color="auto"/>
        <w:bottom w:val="none" w:sz="0" w:space="0" w:color="auto"/>
        <w:right w:val="none" w:sz="0" w:space="0" w:color="auto"/>
      </w:divBdr>
    </w:div>
    <w:div w:id="168449248">
      <w:bodyDiv w:val="1"/>
      <w:marLeft w:val="0"/>
      <w:marRight w:val="0"/>
      <w:marTop w:val="0"/>
      <w:marBottom w:val="0"/>
      <w:divBdr>
        <w:top w:val="none" w:sz="0" w:space="0" w:color="auto"/>
        <w:left w:val="none" w:sz="0" w:space="0" w:color="auto"/>
        <w:bottom w:val="none" w:sz="0" w:space="0" w:color="auto"/>
        <w:right w:val="none" w:sz="0" w:space="0" w:color="auto"/>
      </w:divBdr>
    </w:div>
    <w:div w:id="168449962">
      <w:bodyDiv w:val="1"/>
      <w:marLeft w:val="0"/>
      <w:marRight w:val="0"/>
      <w:marTop w:val="0"/>
      <w:marBottom w:val="0"/>
      <w:divBdr>
        <w:top w:val="none" w:sz="0" w:space="0" w:color="auto"/>
        <w:left w:val="none" w:sz="0" w:space="0" w:color="auto"/>
        <w:bottom w:val="none" w:sz="0" w:space="0" w:color="auto"/>
        <w:right w:val="none" w:sz="0" w:space="0" w:color="auto"/>
      </w:divBdr>
    </w:div>
    <w:div w:id="168569031">
      <w:bodyDiv w:val="1"/>
      <w:marLeft w:val="0"/>
      <w:marRight w:val="0"/>
      <w:marTop w:val="0"/>
      <w:marBottom w:val="0"/>
      <w:divBdr>
        <w:top w:val="none" w:sz="0" w:space="0" w:color="auto"/>
        <w:left w:val="none" w:sz="0" w:space="0" w:color="auto"/>
        <w:bottom w:val="none" w:sz="0" w:space="0" w:color="auto"/>
        <w:right w:val="none" w:sz="0" w:space="0" w:color="auto"/>
      </w:divBdr>
    </w:div>
    <w:div w:id="168914011">
      <w:bodyDiv w:val="1"/>
      <w:marLeft w:val="0"/>
      <w:marRight w:val="0"/>
      <w:marTop w:val="0"/>
      <w:marBottom w:val="0"/>
      <w:divBdr>
        <w:top w:val="none" w:sz="0" w:space="0" w:color="auto"/>
        <w:left w:val="none" w:sz="0" w:space="0" w:color="auto"/>
        <w:bottom w:val="none" w:sz="0" w:space="0" w:color="auto"/>
        <w:right w:val="none" w:sz="0" w:space="0" w:color="auto"/>
      </w:divBdr>
    </w:div>
    <w:div w:id="169029358">
      <w:bodyDiv w:val="1"/>
      <w:marLeft w:val="0"/>
      <w:marRight w:val="0"/>
      <w:marTop w:val="0"/>
      <w:marBottom w:val="0"/>
      <w:divBdr>
        <w:top w:val="none" w:sz="0" w:space="0" w:color="auto"/>
        <w:left w:val="none" w:sz="0" w:space="0" w:color="auto"/>
        <w:bottom w:val="none" w:sz="0" w:space="0" w:color="auto"/>
        <w:right w:val="none" w:sz="0" w:space="0" w:color="auto"/>
      </w:divBdr>
    </w:div>
    <w:div w:id="169031490">
      <w:bodyDiv w:val="1"/>
      <w:marLeft w:val="0"/>
      <w:marRight w:val="0"/>
      <w:marTop w:val="0"/>
      <w:marBottom w:val="0"/>
      <w:divBdr>
        <w:top w:val="none" w:sz="0" w:space="0" w:color="auto"/>
        <w:left w:val="none" w:sz="0" w:space="0" w:color="auto"/>
        <w:bottom w:val="none" w:sz="0" w:space="0" w:color="auto"/>
        <w:right w:val="none" w:sz="0" w:space="0" w:color="auto"/>
      </w:divBdr>
    </w:div>
    <w:div w:id="169178066">
      <w:bodyDiv w:val="1"/>
      <w:marLeft w:val="0"/>
      <w:marRight w:val="0"/>
      <w:marTop w:val="0"/>
      <w:marBottom w:val="0"/>
      <w:divBdr>
        <w:top w:val="none" w:sz="0" w:space="0" w:color="auto"/>
        <w:left w:val="none" w:sz="0" w:space="0" w:color="auto"/>
        <w:bottom w:val="none" w:sz="0" w:space="0" w:color="auto"/>
        <w:right w:val="none" w:sz="0" w:space="0" w:color="auto"/>
      </w:divBdr>
    </w:div>
    <w:div w:id="169373687">
      <w:bodyDiv w:val="1"/>
      <w:marLeft w:val="0"/>
      <w:marRight w:val="0"/>
      <w:marTop w:val="0"/>
      <w:marBottom w:val="0"/>
      <w:divBdr>
        <w:top w:val="none" w:sz="0" w:space="0" w:color="auto"/>
        <w:left w:val="none" w:sz="0" w:space="0" w:color="auto"/>
        <w:bottom w:val="none" w:sz="0" w:space="0" w:color="auto"/>
        <w:right w:val="none" w:sz="0" w:space="0" w:color="auto"/>
      </w:divBdr>
    </w:div>
    <w:div w:id="169412676">
      <w:bodyDiv w:val="1"/>
      <w:marLeft w:val="0"/>
      <w:marRight w:val="0"/>
      <w:marTop w:val="0"/>
      <w:marBottom w:val="0"/>
      <w:divBdr>
        <w:top w:val="none" w:sz="0" w:space="0" w:color="auto"/>
        <w:left w:val="none" w:sz="0" w:space="0" w:color="auto"/>
        <w:bottom w:val="none" w:sz="0" w:space="0" w:color="auto"/>
        <w:right w:val="none" w:sz="0" w:space="0" w:color="auto"/>
      </w:divBdr>
    </w:div>
    <w:div w:id="169567632">
      <w:bodyDiv w:val="1"/>
      <w:marLeft w:val="0"/>
      <w:marRight w:val="0"/>
      <w:marTop w:val="0"/>
      <w:marBottom w:val="0"/>
      <w:divBdr>
        <w:top w:val="none" w:sz="0" w:space="0" w:color="auto"/>
        <w:left w:val="none" w:sz="0" w:space="0" w:color="auto"/>
        <w:bottom w:val="none" w:sz="0" w:space="0" w:color="auto"/>
        <w:right w:val="none" w:sz="0" w:space="0" w:color="auto"/>
      </w:divBdr>
    </w:div>
    <w:div w:id="169608178">
      <w:bodyDiv w:val="1"/>
      <w:marLeft w:val="0"/>
      <w:marRight w:val="0"/>
      <w:marTop w:val="0"/>
      <w:marBottom w:val="0"/>
      <w:divBdr>
        <w:top w:val="none" w:sz="0" w:space="0" w:color="auto"/>
        <w:left w:val="none" w:sz="0" w:space="0" w:color="auto"/>
        <w:bottom w:val="none" w:sz="0" w:space="0" w:color="auto"/>
        <w:right w:val="none" w:sz="0" w:space="0" w:color="auto"/>
      </w:divBdr>
    </w:div>
    <w:div w:id="169636871">
      <w:bodyDiv w:val="1"/>
      <w:marLeft w:val="0"/>
      <w:marRight w:val="0"/>
      <w:marTop w:val="0"/>
      <w:marBottom w:val="0"/>
      <w:divBdr>
        <w:top w:val="none" w:sz="0" w:space="0" w:color="auto"/>
        <w:left w:val="none" w:sz="0" w:space="0" w:color="auto"/>
        <w:bottom w:val="none" w:sz="0" w:space="0" w:color="auto"/>
        <w:right w:val="none" w:sz="0" w:space="0" w:color="auto"/>
      </w:divBdr>
    </w:div>
    <w:div w:id="169805768">
      <w:bodyDiv w:val="1"/>
      <w:marLeft w:val="0"/>
      <w:marRight w:val="0"/>
      <w:marTop w:val="0"/>
      <w:marBottom w:val="0"/>
      <w:divBdr>
        <w:top w:val="none" w:sz="0" w:space="0" w:color="auto"/>
        <w:left w:val="none" w:sz="0" w:space="0" w:color="auto"/>
        <w:bottom w:val="none" w:sz="0" w:space="0" w:color="auto"/>
        <w:right w:val="none" w:sz="0" w:space="0" w:color="auto"/>
      </w:divBdr>
    </w:div>
    <w:div w:id="169834797">
      <w:bodyDiv w:val="1"/>
      <w:marLeft w:val="0"/>
      <w:marRight w:val="0"/>
      <w:marTop w:val="0"/>
      <w:marBottom w:val="0"/>
      <w:divBdr>
        <w:top w:val="none" w:sz="0" w:space="0" w:color="auto"/>
        <w:left w:val="none" w:sz="0" w:space="0" w:color="auto"/>
        <w:bottom w:val="none" w:sz="0" w:space="0" w:color="auto"/>
        <w:right w:val="none" w:sz="0" w:space="0" w:color="auto"/>
      </w:divBdr>
    </w:div>
    <w:div w:id="170142772">
      <w:bodyDiv w:val="1"/>
      <w:marLeft w:val="0"/>
      <w:marRight w:val="0"/>
      <w:marTop w:val="0"/>
      <w:marBottom w:val="0"/>
      <w:divBdr>
        <w:top w:val="none" w:sz="0" w:space="0" w:color="auto"/>
        <w:left w:val="none" w:sz="0" w:space="0" w:color="auto"/>
        <w:bottom w:val="none" w:sz="0" w:space="0" w:color="auto"/>
        <w:right w:val="none" w:sz="0" w:space="0" w:color="auto"/>
      </w:divBdr>
    </w:div>
    <w:div w:id="170410654">
      <w:bodyDiv w:val="1"/>
      <w:marLeft w:val="0"/>
      <w:marRight w:val="0"/>
      <w:marTop w:val="0"/>
      <w:marBottom w:val="0"/>
      <w:divBdr>
        <w:top w:val="none" w:sz="0" w:space="0" w:color="auto"/>
        <w:left w:val="none" w:sz="0" w:space="0" w:color="auto"/>
        <w:bottom w:val="none" w:sz="0" w:space="0" w:color="auto"/>
        <w:right w:val="none" w:sz="0" w:space="0" w:color="auto"/>
      </w:divBdr>
    </w:div>
    <w:div w:id="170415219">
      <w:bodyDiv w:val="1"/>
      <w:marLeft w:val="0"/>
      <w:marRight w:val="0"/>
      <w:marTop w:val="0"/>
      <w:marBottom w:val="0"/>
      <w:divBdr>
        <w:top w:val="none" w:sz="0" w:space="0" w:color="auto"/>
        <w:left w:val="none" w:sz="0" w:space="0" w:color="auto"/>
        <w:bottom w:val="none" w:sz="0" w:space="0" w:color="auto"/>
        <w:right w:val="none" w:sz="0" w:space="0" w:color="auto"/>
      </w:divBdr>
    </w:div>
    <w:div w:id="170527625">
      <w:bodyDiv w:val="1"/>
      <w:marLeft w:val="0"/>
      <w:marRight w:val="0"/>
      <w:marTop w:val="0"/>
      <w:marBottom w:val="0"/>
      <w:divBdr>
        <w:top w:val="none" w:sz="0" w:space="0" w:color="auto"/>
        <w:left w:val="none" w:sz="0" w:space="0" w:color="auto"/>
        <w:bottom w:val="none" w:sz="0" w:space="0" w:color="auto"/>
        <w:right w:val="none" w:sz="0" w:space="0" w:color="auto"/>
      </w:divBdr>
    </w:div>
    <w:div w:id="170534508">
      <w:bodyDiv w:val="1"/>
      <w:marLeft w:val="0"/>
      <w:marRight w:val="0"/>
      <w:marTop w:val="0"/>
      <w:marBottom w:val="0"/>
      <w:divBdr>
        <w:top w:val="none" w:sz="0" w:space="0" w:color="auto"/>
        <w:left w:val="none" w:sz="0" w:space="0" w:color="auto"/>
        <w:bottom w:val="none" w:sz="0" w:space="0" w:color="auto"/>
        <w:right w:val="none" w:sz="0" w:space="0" w:color="auto"/>
      </w:divBdr>
    </w:div>
    <w:div w:id="170682131">
      <w:bodyDiv w:val="1"/>
      <w:marLeft w:val="0"/>
      <w:marRight w:val="0"/>
      <w:marTop w:val="0"/>
      <w:marBottom w:val="0"/>
      <w:divBdr>
        <w:top w:val="none" w:sz="0" w:space="0" w:color="auto"/>
        <w:left w:val="none" w:sz="0" w:space="0" w:color="auto"/>
        <w:bottom w:val="none" w:sz="0" w:space="0" w:color="auto"/>
        <w:right w:val="none" w:sz="0" w:space="0" w:color="auto"/>
      </w:divBdr>
    </w:div>
    <w:div w:id="170686034">
      <w:bodyDiv w:val="1"/>
      <w:marLeft w:val="0"/>
      <w:marRight w:val="0"/>
      <w:marTop w:val="0"/>
      <w:marBottom w:val="0"/>
      <w:divBdr>
        <w:top w:val="none" w:sz="0" w:space="0" w:color="auto"/>
        <w:left w:val="none" w:sz="0" w:space="0" w:color="auto"/>
        <w:bottom w:val="none" w:sz="0" w:space="0" w:color="auto"/>
        <w:right w:val="none" w:sz="0" w:space="0" w:color="auto"/>
      </w:divBdr>
    </w:div>
    <w:div w:id="170800045">
      <w:bodyDiv w:val="1"/>
      <w:marLeft w:val="0"/>
      <w:marRight w:val="0"/>
      <w:marTop w:val="0"/>
      <w:marBottom w:val="0"/>
      <w:divBdr>
        <w:top w:val="none" w:sz="0" w:space="0" w:color="auto"/>
        <w:left w:val="none" w:sz="0" w:space="0" w:color="auto"/>
        <w:bottom w:val="none" w:sz="0" w:space="0" w:color="auto"/>
        <w:right w:val="none" w:sz="0" w:space="0" w:color="auto"/>
      </w:divBdr>
    </w:div>
    <w:div w:id="170801664">
      <w:bodyDiv w:val="1"/>
      <w:marLeft w:val="0"/>
      <w:marRight w:val="0"/>
      <w:marTop w:val="0"/>
      <w:marBottom w:val="0"/>
      <w:divBdr>
        <w:top w:val="none" w:sz="0" w:space="0" w:color="auto"/>
        <w:left w:val="none" w:sz="0" w:space="0" w:color="auto"/>
        <w:bottom w:val="none" w:sz="0" w:space="0" w:color="auto"/>
        <w:right w:val="none" w:sz="0" w:space="0" w:color="auto"/>
      </w:divBdr>
    </w:div>
    <w:div w:id="170873060">
      <w:bodyDiv w:val="1"/>
      <w:marLeft w:val="0"/>
      <w:marRight w:val="0"/>
      <w:marTop w:val="0"/>
      <w:marBottom w:val="0"/>
      <w:divBdr>
        <w:top w:val="none" w:sz="0" w:space="0" w:color="auto"/>
        <w:left w:val="none" w:sz="0" w:space="0" w:color="auto"/>
        <w:bottom w:val="none" w:sz="0" w:space="0" w:color="auto"/>
        <w:right w:val="none" w:sz="0" w:space="0" w:color="auto"/>
      </w:divBdr>
    </w:div>
    <w:div w:id="170918997">
      <w:bodyDiv w:val="1"/>
      <w:marLeft w:val="0"/>
      <w:marRight w:val="0"/>
      <w:marTop w:val="0"/>
      <w:marBottom w:val="0"/>
      <w:divBdr>
        <w:top w:val="none" w:sz="0" w:space="0" w:color="auto"/>
        <w:left w:val="none" w:sz="0" w:space="0" w:color="auto"/>
        <w:bottom w:val="none" w:sz="0" w:space="0" w:color="auto"/>
        <w:right w:val="none" w:sz="0" w:space="0" w:color="auto"/>
      </w:divBdr>
    </w:div>
    <w:div w:id="170998723">
      <w:bodyDiv w:val="1"/>
      <w:marLeft w:val="0"/>
      <w:marRight w:val="0"/>
      <w:marTop w:val="0"/>
      <w:marBottom w:val="0"/>
      <w:divBdr>
        <w:top w:val="none" w:sz="0" w:space="0" w:color="auto"/>
        <w:left w:val="none" w:sz="0" w:space="0" w:color="auto"/>
        <w:bottom w:val="none" w:sz="0" w:space="0" w:color="auto"/>
        <w:right w:val="none" w:sz="0" w:space="0" w:color="auto"/>
      </w:divBdr>
    </w:div>
    <w:div w:id="171115282">
      <w:bodyDiv w:val="1"/>
      <w:marLeft w:val="0"/>
      <w:marRight w:val="0"/>
      <w:marTop w:val="0"/>
      <w:marBottom w:val="0"/>
      <w:divBdr>
        <w:top w:val="none" w:sz="0" w:space="0" w:color="auto"/>
        <w:left w:val="none" w:sz="0" w:space="0" w:color="auto"/>
        <w:bottom w:val="none" w:sz="0" w:space="0" w:color="auto"/>
        <w:right w:val="none" w:sz="0" w:space="0" w:color="auto"/>
      </w:divBdr>
    </w:div>
    <w:div w:id="171146495">
      <w:bodyDiv w:val="1"/>
      <w:marLeft w:val="0"/>
      <w:marRight w:val="0"/>
      <w:marTop w:val="0"/>
      <w:marBottom w:val="0"/>
      <w:divBdr>
        <w:top w:val="none" w:sz="0" w:space="0" w:color="auto"/>
        <w:left w:val="none" w:sz="0" w:space="0" w:color="auto"/>
        <w:bottom w:val="none" w:sz="0" w:space="0" w:color="auto"/>
        <w:right w:val="none" w:sz="0" w:space="0" w:color="auto"/>
      </w:divBdr>
    </w:div>
    <w:div w:id="171185153">
      <w:bodyDiv w:val="1"/>
      <w:marLeft w:val="0"/>
      <w:marRight w:val="0"/>
      <w:marTop w:val="0"/>
      <w:marBottom w:val="0"/>
      <w:divBdr>
        <w:top w:val="none" w:sz="0" w:space="0" w:color="auto"/>
        <w:left w:val="none" w:sz="0" w:space="0" w:color="auto"/>
        <w:bottom w:val="none" w:sz="0" w:space="0" w:color="auto"/>
        <w:right w:val="none" w:sz="0" w:space="0" w:color="auto"/>
      </w:divBdr>
    </w:div>
    <w:div w:id="171187920">
      <w:bodyDiv w:val="1"/>
      <w:marLeft w:val="0"/>
      <w:marRight w:val="0"/>
      <w:marTop w:val="0"/>
      <w:marBottom w:val="0"/>
      <w:divBdr>
        <w:top w:val="none" w:sz="0" w:space="0" w:color="auto"/>
        <w:left w:val="none" w:sz="0" w:space="0" w:color="auto"/>
        <w:bottom w:val="none" w:sz="0" w:space="0" w:color="auto"/>
        <w:right w:val="none" w:sz="0" w:space="0" w:color="auto"/>
      </w:divBdr>
    </w:div>
    <w:div w:id="171262607">
      <w:bodyDiv w:val="1"/>
      <w:marLeft w:val="0"/>
      <w:marRight w:val="0"/>
      <w:marTop w:val="0"/>
      <w:marBottom w:val="0"/>
      <w:divBdr>
        <w:top w:val="none" w:sz="0" w:space="0" w:color="auto"/>
        <w:left w:val="none" w:sz="0" w:space="0" w:color="auto"/>
        <w:bottom w:val="none" w:sz="0" w:space="0" w:color="auto"/>
        <w:right w:val="none" w:sz="0" w:space="0" w:color="auto"/>
      </w:divBdr>
    </w:div>
    <w:div w:id="171531681">
      <w:bodyDiv w:val="1"/>
      <w:marLeft w:val="0"/>
      <w:marRight w:val="0"/>
      <w:marTop w:val="0"/>
      <w:marBottom w:val="0"/>
      <w:divBdr>
        <w:top w:val="none" w:sz="0" w:space="0" w:color="auto"/>
        <w:left w:val="none" w:sz="0" w:space="0" w:color="auto"/>
        <w:bottom w:val="none" w:sz="0" w:space="0" w:color="auto"/>
        <w:right w:val="none" w:sz="0" w:space="0" w:color="auto"/>
      </w:divBdr>
    </w:div>
    <w:div w:id="171653870">
      <w:bodyDiv w:val="1"/>
      <w:marLeft w:val="0"/>
      <w:marRight w:val="0"/>
      <w:marTop w:val="0"/>
      <w:marBottom w:val="0"/>
      <w:divBdr>
        <w:top w:val="none" w:sz="0" w:space="0" w:color="auto"/>
        <w:left w:val="none" w:sz="0" w:space="0" w:color="auto"/>
        <w:bottom w:val="none" w:sz="0" w:space="0" w:color="auto"/>
        <w:right w:val="none" w:sz="0" w:space="0" w:color="auto"/>
      </w:divBdr>
    </w:div>
    <w:div w:id="171770626">
      <w:bodyDiv w:val="1"/>
      <w:marLeft w:val="0"/>
      <w:marRight w:val="0"/>
      <w:marTop w:val="0"/>
      <w:marBottom w:val="0"/>
      <w:divBdr>
        <w:top w:val="none" w:sz="0" w:space="0" w:color="auto"/>
        <w:left w:val="none" w:sz="0" w:space="0" w:color="auto"/>
        <w:bottom w:val="none" w:sz="0" w:space="0" w:color="auto"/>
        <w:right w:val="none" w:sz="0" w:space="0" w:color="auto"/>
      </w:divBdr>
    </w:div>
    <w:div w:id="171843654">
      <w:bodyDiv w:val="1"/>
      <w:marLeft w:val="0"/>
      <w:marRight w:val="0"/>
      <w:marTop w:val="0"/>
      <w:marBottom w:val="0"/>
      <w:divBdr>
        <w:top w:val="none" w:sz="0" w:space="0" w:color="auto"/>
        <w:left w:val="none" w:sz="0" w:space="0" w:color="auto"/>
        <w:bottom w:val="none" w:sz="0" w:space="0" w:color="auto"/>
        <w:right w:val="none" w:sz="0" w:space="0" w:color="auto"/>
      </w:divBdr>
    </w:div>
    <w:div w:id="172064577">
      <w:bodyDiv w:val="1"/>
      <w:marLeft w:val="0"/>
      <w:marRight w:val="0"/>
      <w:marTop w:val="0"/>
      <w:marBottom w:val="0"/>
      <w:divBdr>
        <w:top w:val="none" w:sz="0" w:space="0" w:color="auto"/>
        <w:left w:val="none" w:sz="0" w:space="0" w:color="auto"/>
        <w:bottom w:val="none" w:sz="0" w:space="0" w:color="auto"/>
        <w:right w:val="none" w:sz="0" w:space="0" w:color="auto"/>
      </w:divBdr>
    </w:div>
    <w:div w:id="172110891">
      <w:bodyDiv w:val="1"/>
      <w:marLeft w:val="0"/>
      <w:marRight w:val="0"/>
      <w:marTop w:val="0"/>
      <w:marBottom w:val="0"/>
      <w:divBdr>
        <w:top w:val="none" w:sz="0" w:space="0" w:color="auto"/>
        <w:left w:val="none" w:sz="0" w:space="0" w:color="auto"/>
        <w:bottom w:val="none" w:sz="0" w:space="0" w:color="auto"/>
        <w:right w:val="none" w:sz="0" w:space="0" w:color="auto"/>
      </w:divBdr>
    </w:div>
    <w:div w:id="172183227">
      <w:bodyDiv w:val="1"/>
      <w:marLeft w:val="0"/>
      <w:marRight w:val="0"/>
      <w:marTop w:val="0"/>
      <w:marBottom w:val="0"/>
      <w:divBdr>
        <w:top w:val="none" w:sz="0" w:space="0" w:color="auto"/>
        <w:left w:val="none" w:sz="0" w:space="0" w:color="auto"/>
        <w:bottom w:val="none" w:sz="0" w:space="0" w:color="auto"/>
        <w:right w:val="none" w:sz="0" w:space="0" w:color="auto"/>
      </w:divBdr>
    </w:div>
    <w:div w:id="172183248">
      <w:bodyDiv w:val="1"/>
      <w:marLeft w:val="0"/>
      <w:marRight w:val="0"/>
      <w:marTop w:val="0"/>
      <w:marBottom w:val="0"/>
      <w:divBdr>
        <w:top w:val="none" w:sz="0" w:space="0" w:color="auto"/>
        <w:left w:val="none" w:sz="0" w:space="0" w:color="auto"/>
        <w:bottom w:val="none" w:sz="0" w:space="0" w:color="auto"/>
        <w:right w:val="none" w:sz="0" w:space="0" w:color="auto"/>
      </w:divBdr>
    </w:div>
    <w:div w:id="172456059">
      <w:bodyDiv w:val="1"/>
      <w:marLeft w:val="0"/>
      <w:marRight w:val="0"/>
      <w:marTop w:val="0"/>
      <w:marBottom w:val="0"/>
      <w:divBdr>
        <w:top w:val="none" w:sz="0" w:space="0" w:color="auto"/>
        <w:left w:val="none" w:sz="0" w:space="0" w:color="auto"/>
        <w:bottom w:val="none" w:sz="0" w:space="0" w:color="auto"/>
        <w:right w:val="none" w:sz="0" w:space="0" w:color="auto"/>
      </w:divBdr>
    </w:div>
    <w:div w:id="172495481">
      <w:bodyDiv w:val="1"/>
      <w:marLeft w:val="0"/>
      <w:marRight w:val="0"/>
      <w:marTop w:val="0"/>
      <w:marBottom w:val="0"/>
      <w:divBdr>
        <w:top w:val="none" w:sz="0" w:space="0" w:color="auto"/>
        <w:left w:val="none" w:sz="0" w:space="0" w:color="auto"/>
        <w:bottom w:val="none" w:sz="0" w:space="0" w:color="auto"/>
        <w:right w:val="none" w:sz="0" w:space="0" w:color="auto"/>
      </w:divBdr>
    </w:div>
    <w:div w:id="172572656">
      <w:bodyDiv w:val="1"/>
      <w:marLeft w:val="0"/>
      <w:marRight w:val="0"/>
      <w:marTop w:val="0"/>
      <w:marBottom w:val="0"/>
      <w:divBdr>
        <w:top w:val="none" w:sz="0" w:space="0" w:color="auto"/>
        <w:left w:val="none" w:sz="0" w:space="0" w:color="auto"/>
        <w:bottom w:val="none" w:sz="0" w:space="0" w:color="auto"/>
        <w:right w:val="none" w:sz="0" w:space="0" w:color="auto"/>
      </w:divBdr>
    </w:div>
    <w:div w:id="172652255">
      <w:bodyDiv w:val="1"/>
      <w:marLeft w:val="0"/>
      <w:marRight w:val="0"/>
      <w:marTop w:val="0"/>
      <w:marBottom w:val="0"/>
      <w:divBdr>
        <w:top w:val="none" w:sz="0" w:space="0" w:color="auto"/>
        <w:left w:val="none" w:sz="0" w:space="0" w:color="auto"/>
        <w:bottom w:val="none" w:sz="0" w:space="0" w:color="auto"/>
        <w:right w:val="none" w:sz="0" w:space="0" w:color="auto"/>
      </w:divBdr>
    </w:div>
    <w:div w:id="172693938">
      <w:bodyDiv w:val="1"/>
      <w:marLeft w:val="0"/>
      <w:marRight w:val="0"/>
      <w:marTop w:val="0"/>
      <w:marBottom w:val="0"/>
      <w:divBdr>
        <w:top w:val="none" w:sz="0" w:space="0" w:color="auto"/>
        <w:left w:val="none" w:sz="0" w:space="0" w:color="auto"/>
        <w:bottom w:val="none" w:sz="0" w:space="0" w:color="auto"/>
        <w:right w:val="none" w:sz="0" w:space="0" w:color="auto"/>
      </w:divBdr>
    </w:div>
    <w:div w:id="172694940">
      <w:bodyDiv w:val="1"/>
      <w:marLeft w:val="0"/>
      <w:marRight w:val="0"/>
      <w:marTop w:val="0"/>
      <w:marBottom w:val="0"/>
      <w:divBdr>
        <w:top w:val="none" w:sz="0" w:space="0" w:color="auto"/>
        <w:left w:val="none" w:sz="0" w:space="0" w:color="auto"/>
        <w:bottom w:val="none" w:sz="0" w:space="0" w:color="auto"/>
        <w:right w:val="none" w:sz="0" w:space="0" w:color="auto"/>
      </w:divBdr>
    </w:div>
    <w:div w:id="172839185">
      <w:bodyDiv w:val="1"/>
      <w:marLeft w:val="0"/>
      <w:marRight w:val="0"/>
      <w:marTop w:val="0"/>
      <w:marBottom w:val="0"/>
      <w:divBdr>
        <w:top w:val="none" w:sz="0" w:space="0" w:color="auto"/>
        <w:left w:val="none" w:sz="0" w:space="0" w:color="auto"/>
        <w:bottom w:val="none" w:sz="0" w:space="0" w:color="auto"/>
        <w:right w:val="none" w:sz="0" w:space="0" w:color="auto"/>
      </w:divBdr>
    </w:div>
    <w:div w:id="172839315">
      <w:bodyDiv w:val="1"/>
      <w:marLeft w:val="0"/>
      <w:marRight w:val="0"/>
      <w:marTop w:val="0"/>
      <w:marBottom w:val="0"/>
      <w:divBdr>
        <w:top w:val="none" w:sz="0" w:space="0" w:color="auto"/>
        <w:left w:val="none" w:sz="0" w:space="0" w:color="auto"/>
        <w:bottom w:val="none" w:sz="0" w:space="0" w:color="auto"/>
        <w:right w:val="none" w:sz="0" w:space="0" w:color="auto"/>
      </w:divBdr>
    </w:div>
    <w:div w:id="172845945">
      <w:bodyDiv w:val="1"/>
      <w:marLeft w:val="0"/>
      <w:marRight w:val="0"/>
      <w:marTop w:val="0"/>
      <w:marBottom w:val="0"/>
      <w:divBdr>
        <w:top w:val="none" w:sz="0" w:space="0" w:color="auto"/>
        <w:left w:val="none" w:sz="0" w:space="0" w:color="auto"/>
        <w:bottom w:val="none" w:sz="0" w:space="0" w:color="auto"/>
        <w:right w:val="none" w:sz="0" w:space="0" w:color="auto"/>
      </w:divBdr>
    </w:div>
    <w:div w:id="173035305">
      <w:bodyDiv w:val="1"/>
      <w:marLeft w:val="0"/>
      <w:marRight w:val="0"/>
      <w:marTop w:val="0"/>
      <w:marBottom w:val="0"/>
      <w:divBdr>
        <w:top w:val="none" w:sz="0" w:space="0" w:color="auto"/>
        <w:left w:val="none" w:sz="0" w:space="0" w:color="auto"/>
        <w:bottom w:val="none" w:sz="0" w:space="0" w:color="auto"/>
        <w:right w:val="none" w:sz="0" w:space="0" w:color="auto"/>
      </w:divBdr>
    </w:div>
    <w:div w:id="173038104">
      <w:bodyDiv w:val="1"/>
      <w:marLeft w:val="0"/>
      <w:marRight w:val="0"/>
      <w:marTop w:val="0"/>
      <w:marBottom w:val="0"/>
      <w:divBdr>
        <w:top w:val="none" w:sz="0" w:space="0" w:color="auto"/>
        <w:left w:val="none" w:sz="0" w:space="0" w:color="auto"/>
        <w:bottom w:val="none" w:sz="0" w:space="0" w:color="auto"/>
        <w:right w:val="none" w:sz="0" w:space="0" w:color="auto"/>
      </w:divBdr>
    </w:div>
    <w:div w:id="173154634">
      <w:bodyDiv w:val="1"/>
      <w:marLeft w:val="0"/>
      <w:marRight w:val="0"/>
      <w:marTop w:val="0"/>
      <w:marBottom w:val="0"/>
      <w:divBdr>
        <w:top w:val="none" w:sz="0" w:space="0" w:color="auto"/>
        <w:left w:val="none" w:sz="0" w:space="0" w:color="auto"/>
        <w:bottom w:val="none" w:sz="0" w:space="0" w:color="auto"/>
        <w:right w:val="none" w:sz="0" w:space="0" w:color="auto"/>
      </w:divBdr>
    </w:div>
    <w:div w:id="173154812">
      <w:bodyDiv w:val="1"/>
      <w:marLeft w:val="0"/>
      <w:marRight w:val="0"/>
      <w:marTop w:val="0"/>
      <w:marBottom w:val="0"/>
      <w:divBdr>
        <w:top w:val="none" w:sz="0" w:space="0" w:color="auto"/>
        <w:left w:val="none" w:sz="0" w:space="0" w:color="auto"/>
        <w:bottom w:val="none" w:sz="0" w:space="0" w:color="auto"/>
        <w:right w:val="none" w:sz="0" w:space="0" w:color="auto"/>
      </w:divBdr>
    </w:div>
    <w:div w:id="173227958">
      <w:bodyDiv w:val="1"/>
      <w:marLeft w:val="0"/>
      <w:marRight w:val="0"/>
      <w:marTop w:val="0"/>
      <w:marBottom w:val="0"/>
      <w:divBdr>
        <w:top w:val="none" w:sz="0" w:space="0" w:color="auto"/>
        <w:left w:val="none" w:sz="0" w:space="0" w:color="auto"/>
        <w:bottom w:val="none" w:sz="0" w:space="0" w:color="auto"/>
        <w:right w:val="none" w:sz="0" w:space="0" w:color="auto"/>
      </w:divBdr>
    </w:div>
    <w:div w:id="173499431">
      <w:bodyDiv w:val="1"/>
      <w:marLeft w:val="0"/>
      <w:marRight w:val="0"/>
      <w:marTop w:val="0"/>
      <w:marBottom w:val="0"/>
      <w:divBdr>
        <w:top w:val="none" w:sz="0" w:space="0" w:color="auto"/>
        <w:left w:val="none" w:sz="0" w:space="0" w:color="auto"/>
        <w:bottom w:val="none" w:sz="0" w:space="0" w:color="auto"/>
        <w:right w:val="none" w:sz="0" w:space="0" w:color="auto"/>
      </w:divBdr>
    </w:div>
    <w:div w:id="173540726">
      <w:bodyDiv w:val="1"/>
      <w:marLeft w:val="0"/>
      <w:marRight w:val="0"/>
      <w:marTop w:val="0"/>
      <w:marBottom w:val="0"/>
      <w:divBdr>
        <w:top w:val="none" w:sz="0" w:space="0" w:color="auto"/>
        <w:left w:val="none" w:sz="0" w:space="0" w:color="auto"/>
        <w:bottom w:val="none" w:sz="0" w:space="0" w:color="auto"/>
        <w:right w:val="none" w:sz="0" w:space="0" w:color="auto"/>
      </w:divBdr>
    </w:div>
    <w:div w:id="173571029">
      <w:bodyDiv w:val="1"/>
      <w:marLeft w:val="0"/>
      <w:marRight w:val="0"/>
      <w:marTop w:val="0"/>
      <w:marBottom w:val="0"/>
      <w:divBdr>
        <w:top w:val="none" w:sz="0" w:space="0" w:color="auto"/>
        <w:left w:val="none" w:sz="0" w:space="0" w:color="auto"/>
        <w:bottom w:val="none" w:sz="0" w:space="0" w:color="auto"/>
        <w:right w:val="none" w:sz="0" w:space="0" w:color="auto"/>
      </w:divBdr>
    </w:div>
    <w:div w:id="173619511">
      <w:bodyDiv w:val="1"/>
      <w:marLeft w:val="0"/>
      <w:marRight w:val="0"/>
      <w:marTop w:val="0"/>
      <w:marBottom w:val="0"/>
      <w:divBdr>
        <w:top w:val="none" w:sz="0" w:space="0" w:color="auto"/>
        <w:left w:val="none" w:sz="0" w:space="0" w:color="auto"/>
        <w:bottom w:val="none" w:sz="0" w:space="0" w:color="auto"/>
        <w:right w:val="none" w:sz="0" w:space="0" w:color="auto"/>
      </w:divBdr>
    </w:div>
    <w:div w:id="173767344">
      <w:bodyDiv w:val="1"/>
      <w:marLeft w:val="0"/>
      <w:marRight w:val="0"/>
      <w:marTop w:val="0"/>
      <w:marBottom w:val="0"/>
      <w:divBdr>
        <w:top w:val="none" w:sz="0" w:space="0" w:color="auto"/>
        <w:left w:val="none" w:sz="0" w:space="0" w:color="auto"/>
        <w:bottom w:val="none" w:sz="0" w:space="0" w:color="auto"/>
        <w:right w:val="none" w:sz="0" w:space="0" w:color="auto"/>
      </w:divBdr>
    </w:div>
    <w:div w:id="173882962">
      <w:bodyDiv w:val="1"/>
      <w:marLeft w:val="0"/>
      <w:marRight w:val="0"/>
      <w:marTop w:val="0"/>
      <w:marBottom w:val="0"/>
      <w:divBdr>
        <w:top w:val="none" w:sz="0" w:space="0" w:color="auto"/>
        <w:left w:val="none" w:sz="0" w:space="0" w:color="auto"/>
        <w:bottom w:val="none" w:sz="0" w:space="0" w:color="auto"/>
        <w:right w:val="none" w:sz="0" w:space="0" w:color="auto"/>
      </w:divBdr>
    </w:div>
    <w:div w:id="173956434">
      <w:bodyDiv w:val="1"/>
      <w:marLeft w:val="0"/>
      <w:marRight w:val="0"/>
      <w:marTop w:val="0"/>
      <w:marBottom w:val="0"/>
      <w:divBdr>
        <w:top w:val="none" w:sz="0" w:space="0" w:color="auto"/>
        <w:left w:val="none" w:sz="0" w:space="0" w:color="auto"/>
        <w:bottom w:val="none" w:sz="0" w:space="0" w:color="auto"/>
        <w:right w:val="none" w:sz="0" w:space="0" w:color="auto"/>
      </w:divBdr>
    </w:div>
    <w:div w:id="173958532">
      <w:bodyDiv w:val="1"/>
      <w:marLeft w:val="0"/>
      <w:marRight w:val="0"/>
      <w:marTop w:val="0"/>
      <w:marBottom w:val="0"/>
      <w:divBdr>
        <w:top w:val="none" w:sz="0" w:space="0" w:color="auto"/>
        <w:left w:val="none" w:sz="0" w:space="0" w:color="auto"/>
        <w:bottom w:val="none" w:sz="0" w:space="0" w:color="auto"/>
        <w:right w:val="none" w:sz="0" w:space="0" w:color="auto"/>
      </w:divBdr>
    </w:div>
    <w:div w:id="174153892">
      <w:bodyDiv w:val="1"/>
      <w:marLeft w:val="0"/>
      <w:marRight w:val="0"/>
      <w:marTop w:val="0"/>
      <w:marBottom w:val="0"/>
      <w:divBdr>
        <w:top w:val="none" w:sz="0" w:space="0" w:color="auto"/>
        <w:left w:val="none" w:sz="0" w:space="0" w:color="auto"/>
        <w:bottom w:val="none" w:sz="0" w:space="0" w:color="auto"/>
        <w:right w:val="none" w:sz="0" w:space="0" w:color="auto"/>
      </w:divBdr>
    </w:div>
    <w:div w:id="174157298">
      <w:bodyDiv w:val="1"/>
      <w:marLeft w:val="0"/>
      <w:marRight w:val="0"/>
      <w:marTop w:val="0"/>
      <w:marBottom w:val="0"/>
      <w:divBdr>
        <w:top w:val="none" w:sz="0" w:space="0" w:color="auto"/>
        <w:left w:val="none" w:sz="0" w:space="0" w:color="auto"/>
        <w:bottom w:val="none" w:sz="0" w:space="0" w:color="auto"/>
        <w:right w:val="none" w:sz="0" w:space="0" w:color="auto"/>
      </w:divBdr>
    </w:div>
    <w:div w:id="174198145">
      <w:bodyDiv w:val="1"/>
      <w:marLeft w:val="0"/>
      <w:marRight w:val="0"/>
      <w:marTop w:val="0"/>
      <w:marBottom w:val="0"/>
      <w:divBdr>
        <w:top w:val="none" w:sz="0" w:space="0" w:color="auto"/>
        <w:left w:val="none" w:sz="0" w:space="0" w:color="auto"/>
        <w:bottom w:val="none" w:sz="0" w:space="0" w:color="auto"/>
        <w:right w:val="none" w:sz="0" w:space="0" w:color="auto"/>
      </w:divBdr>
    </w:div>
    <w:div w:id="174198810">
      <w:bodyDiv w:val="1"/>
      <w:marLeft w:val="0"/>
      <w:marRight w:val="0"/>
      <w:marTop w:val="0"/>
      <w:marBottom w:val="0"/>
      <w:divBdr>
        <w:top w:val="none" w:sz="0" w:space="0" w:color="auto"/>
        <w:left w:val="none" w:sz="0" w:space="0" w:color="auto"/>
        <w:bottom w:val="none" w:sz="0" w:space="0" w:color="auto"/>
        <w:right w:val="none" w:sz="0" w:space="0" w:color="auto"/>
      </w:divBdr>
    </w:div>
    <w:div w:id="174272058">
      <w:bodyDiv w:val="1"/>
      <w:marLeft w:val="0"/>
      <w:marRight w:val="0"/>
      <w:marTop w:val="0"/>
      <w:marBottom w:val="0"/>
      <w:divBdr>
        <w:top w:val="none" w:sz="0" w:space="0" w:color="auto"/>
        <w:left w:val="none" w:sz="0" w:space="0" w:color="auto"/>
        <w:bottom w:val="none" w:sz="0" w:space="0" w:color="auto"/>
        <w:right w:val="none" w:sz="0" w:space="0" w:color="auto"/>
      </w:divBdr>
    </w:div>
    <w:div w:id="174344011">
      <w:bodyDiv w:val="1"/>
      <w:marLeft w:val="0"/>
      <w:marRight w:val="0"/>
      <w:marTop w:val="0"/>
      <w:marBottom w:val="0"/>
      <w:divBdr>
        <w:top w:val="none" w:sz="0" w:space="0" w:color="auto"/>
        <w:left w:val="none" w:sz="0" w:space="0" w:color="auto"/>
        <w:bottom w:val="none" w:sz="0" w:space="0" w:color="auto"/>
        <w:right w:val="none" w:sz="0" w:space="0" w:color="auto"/>
      </w:divBdr>
    </w:div>
    <w:div w:id="174344576">
      <w:bodyDiv w:val="1"/>
      <w:marLeft w:val="0"/>
      <w:marRight w:val="0"/>
      <w:marTop w:val="0"/>
      <w:marBottom w:val="0"/>
      <w:divBdr>
        <w:top w:val="none" w:sz="0" w:space="0" w:color="auto"/>
        <w:left w:val="none" w:sz="0" w:space="0" w:color="auto"/>
        <w:bottom w:val="none" w:sz="0" w:space="0" w:color="auto"/>
        <w:right w:val="none" w:sz="0" w:space="0" w:color="auto"/>
      </w:divBdr>
    </w:div>
    <w:div w:id="174419854">
      <w:bodyDiv w:val="1"/>
      <w:marLeft w:val="0"/>
      <w:marRight w:val="0"/>
      <w:marTop w:val="0"/>
      <w:marBottom w:val="0"/>
      <w:divBdr>
        <w:top w:val="none" w:sz="0" w:space="0" w:color="auto"/>
        <w:left w:val="none" w:sz="0" w:space="0" w:color="auto"/>
        <w:bottom w:val="none" w:sz="0" w:space="0" w:color="auto"/>
        <w:right w:val="none" w:sz="0" w:space="0" w:color="auto"/>
      </w:divBdr>
    </w:div>
    <w:div w:id="174459574">
      <w:bodyDiv w:val="1"/>
      <w:marLeft w:val="0"/>
      <w:marRight w:val="0"/>
      <w:marTop w:val="0"/>
      <w:marBottom w:val="0"/>
      <w:divBdr>
        <w:top w:val="none" w:sz="0" w:space="0" w:color="auto"/>
        <w:left w:val="none" w:sz="0" w:space="0" w:color="auto"/>
        <w:bottom w:val="none" w:sz="0" w:space="0" w:color="auto"/>
        <w:right w:val="none" w:sz="0" w:space="0" w:color="auto"/>
      </w:divBdr>
    </w:div>
    <w:div w:id="174464289">
      <w:bodyDiv w:val="1"/>
      <w:marLeft w:val="0"/>
      <w:marRight w:val="0"/>
      <w:marTop w:val="0"/>
      <w:marBottom w:val="0"/>
      <w:divBdr>
        <w:top w:val="none" w:sz="0" w:space="0" w:color="auto"/>
        <w:left w:val="none" w:sz="0" w:space="0" w:color="auto"/>
        <w:bottom w:val="none" w:sz="0" w:space="0" w:color="auto"/>
        <w:right w:val="none" w:sz="0" w:space="0" w:color="auto"/>
      </w:divBdr>
    </w:div>
    <w:div w:id="174619079">
      <w:bodyDiv w:val="1"/>
      <w:marLeft w:val="0"/>
      <w:marRight w:val="0"/>
      <w:marTop w:val="0"/>
      <w:marBottom w:val="0"/>
      <w:divBdr>
        <w:top w:val="none" w:sz="0" w:space="0" w:color="auto"/>
        <w:left w:val="none" w:sz="0" w:space="0" w:color="auto"/>
        <w:bottom w:val="none" w:sz="0" w:space="0" w:color="auto"/>
        <w:right w:val="none" w:sz="0" w:space="0" w:color="auto"/>
      </w:divBdr>
    </w:div>
    <w:div w:id="174660115">
      <w:bodyDiv w:val="1"/>
      <w:marLeft w:val="0"/>
      <w:marRight w:val="0"/>
      <w:marTop w:val="0"/>
      <w:marBottom w:val="0"/>
      <w:divBdr>
        <w:top w:val="none" w:sz="0" w:space="0" w:color="auto"/>
        <w:left w:val="none" w:sz="0" w:space="0" w:color="auto"/>
        <w:bottom w:val="none" w:sz="0" w:space="0" w:color="auto"/>
        <w:right w:val="none" w:sz="0" w:space="0" w:color="auto"/>
      </w:divBdr>
    </w:div>
    <w:div w:id="174660948">
      <w:bodyDiv w:val="1"/>
      <w:marLeft w:val="0"/>
      <w:marRight w:val="0"/>
      <w:marTop w:val="0"/>
      <w:marBottom w:val="0"/>
      <w:divBdr>
        <w:top w:val="none" w:sz="0" w:space="0" w:color="auto"/>
        <w:left w:val="none" w:sz="0" w:space="0" w:color="auto"/>
        <w:bottom w:val="none" w:sz="0" w:space="0" w:color="auto"/>
        <w:right w:val="none" w:sz="0" w:space="0" w:color="auto"/>
      </w:divBdr>
    </w:div>
    <w:div w:id="174734926">
      <w:bodyDiv w:val="1"/>
      <w:marLeft w:val="0"/>
      <w:marRight w:val="0"/>
      <w:marTop w:val="0"/>
      <w:marBottom w:val="0"/>
      <w:divBdr>
        <w:top w:val="none" w:sz="0" w:space="0" w:color="auto"/>
        <w:left w:val="none" w:sz="0" w:space="0" w:color="auto"/>
        <w:bottom w:val="none" w:sz="0" w:space="0" w:color="auto"/>
        <w:right w:val="none" w:sz="0" w:space="0" w:color="auto"/>
      </w:divBdr>
    </w:div>
    <w:div w:id="174852039">
      <w:bodyDiv w:val="1"/>
      <w:marLeft w:val="0"/>
      <w:marRight w:val="0"/>
      <w:marTop w:val="0"/>
      <w:marBottom w:val="0"/>
      <w:divBdr>
        <w:top w:val="none" w:sz="0" w:space="0" w:color="auto"/>
        <w:left w:val="none" w:sz="0" w:space="0" w:color="auto"/>
        <w:bottom w:val="none" w:sz="0" w:space="0" w:color="auto"/>
        <w:right w:val="none" w:sz="0" w:space="0" w:color="auto"/>
      </w:divBdr>
    </w:div>
    <w:div w:id="174878808">
      <w:bodyDiv w:val="1"/>
      <w:marLeft w:val="0"/>
      <w:marRight w:val="0"/>
      <w:marTop w:val="0"/>
      <w:marBottom w:val="0"/>
      <w:divBdr>
        <w:top w:val="none" w:sz="0" w:space="0" w:color="auto"/>
        <w:left w:val="none" w:sz="0" w:space="0" w:color="auto"/>
        <w:bottom w:val="none" w:sz="0" w:space="0" w:color="auto"/>
        <w:right w:val="none" w:sz="0" w:space="0" w:color="auto"/>
      </w:divBdr>
    </w:div>
    <w:div w:id="174921746">
      <w:bodyDiv w:val="1"/>
      <w:marLeft w:val="0"/>
      <w:marRight w:val="0"/>
      <w:marTop w:val="0"/>
      <w:marBottom w:val="0"/>
      <w:divBdr>
        <w:top w:val="none" w:sz="0" w:space="0" w:color="auto"/>
        <w:left w:val="none" w:sz="0" w:space="0" w:color="auto"/>
        <w:bottom w:val="none" w:sz="0" w:space="0" w:color="auto"/>
        <w:right w:val="none" w:sz="0" w:space="0" w:color="auto"/>
      </w:divBdr>
    </w:div>
    <w:div w:id="174922054">
      <w:bodyDiv w:val="1"/>
      <w:marLeft w:val="0"/>
      <w:marRight w:val="0"/>
      <w:marTop w:val="0"/>
      <w:marBottom w:val="0"/>
      <w:divBdr>
        <w:top w:val="none" w:sz="0" w:space="0" w:color="auto"/>
        <w:left w:val="none" w:sz="0" w:space="0" w:color="auto"/>
        <w:bottom w:val="none" w:sz="0" w:space="0" w:color="auto"/>
        <w:right w:val="none" w:sz="0" w:space="0" w:color="auto"/>
      </w:divBdr>
    </w:div>
    <w:div w:id="174923233">
      <w:bodyDiv w:val="1"/>
      <w:marLeft w:val="0"/>
      <w:marRight w:val="0"/>
      <w:marTop w:val="0"/>
      <w:marBottom w:val="0"/>
      <w:divBdr>
        <w:top w:val="none" w:sz="0" w:space="0" w:color="auto"/>
        <w:left w:val="none" w:sz="0" w:space="0" w:color="auto"/>
        <w:bottom w:val="none" w:sz="0" w:space="0" w:color="auto"/>
        <w:right w:val="none" w:sz="0" w:space="0" w:color="auto"/>
      </w:divBdr>
    </w:div>
    <w:div w:id="174926640">
      <w:bodyDiv w:val="1"/>
      <w:marLeft w:val="0"/>
      <w:marRight w:val="0"/>
      <w:marTop w:val="0"/>
      <w:marBottom w:val="0"/>
      <w:divBdr>
        <w:top w:val="none" w:sz="0" w:space="0" w:color="auto"/>
        <w:left w:val="none" w:sz="0" w:space="0" w:color="auto"/>
        <w:bottom w:val="none" w:sz="0" w:space="0" w:color="auto"/>
        <w:right w:val="none" w:sz="0" w:space="0" w:color="auto"/>
      </w:divBdr>
    </w:div>
    <w:div w:id="175002303">
      <w:bodyDiv w:val="1"/>
      <w:marLeft w:val="0"/>
      <w:marRight w:val="0"/>
      <w:marTop w:val="0"/>
      <w:marBottom w:val="0"/>
      <w:divBdr>
        <w:top w:val="none" w:sz="0" w:space="0" w:color="auto"/>
        <w:left w:val="none" w:sz="0" w:space="0" w:color="auto"/>
        <w:bottom w:val="none" w:sz="0" w:space="0" w:color="auto"/>
        <w:right w:val="none" w:sz="0" w:space="0" w:color="auto"/>
      </w:divBdr>
    </w:div>
    <w:div w:id="175075471">
      <w:bodyDiv w:val="1"/>
      <w:marLeft w:val="0"/>
      <w:marRight w:val="0"/>
      <w:marTop w:val="0"/>
      <w:marBottom w:val="0"/>
      <w:divBdr>
        <w:top w:val="none" w:sz="0" w:space="0" w:color="auto"/>
        <w:left w:val="none" w:sz="0" w:space="0" w:color="auto"/>
        <w:bottom w:val="none" w:sz="0" w:space="0" w:color="auto"/>
        <w:right w:val="none" w:sz="0" w:space="0" w:color="auto"/>
      </w:divBdr>
    </w:div>
    <w:div w:id="175119661">
      <w:bodyDiv w:val="1"/>
      <w:marLeft w:val="0"/>
      <w:marRight w:val="0"/>
      <w:marTop w:val="0"/>
      <w:marBottom w:val="0"/>
      <w:divBdr>
        <w:top w:val="none" w:sz="0" w:space="0" w:color="auto"/>
        <w:left w:val="none" w:sz="0" w:space="0" w:color="auto"/>
        <w:bottom w:val="none" w:sz="0" w:space="0" w:color="auto"/>
        <w:right w:val="none" w:sz="0" w:space="0" w:color="auto"/>
      </w:divBdr>
    </w:div>
    <w:div w:id="175123629">
      <w:bodyDiv w:val="1"/>
      <w:marLeft w:val="0"/>
      <w:marRight w:val="0"/>
      <w:marTop w:val="0"/>
      <w:marBottom w:val="0"/>
      <w:divBdr>
        <w:top w:val="none" w:sz="0" w:space="0" w:color="auto"/>
        <w:left w:val="none" w:sz="0" w:space="0" w:color="auto"/>
        <w:bottom w:val="none" w:sz="0" w:space="0" w:color="auto"/>
        <w:right w:val="none" w:sz="0" w:space="0" w:color="auto"/>
      </w:divBdr>
    </w:div>
    <w:div w:id="175190348">
      <w:bodyDiv w:val="1"/>
      <w:marLeft w:val="0"/>
      <w:marRight w:val="0"/>
      <w:marTop w:val="0"/>
      <w:marBottom w:val="0"/>
      <w:divBdr>
        <w:top w:val="none" w:sz="0" w:space="0" w:color="auto"/>
        <w:left w:val="none" w:sz="0" w:space="0" w:color="auto"/>
        <w:bottom w:val="none" w:sz="0" w:space="0" w:color="auto"/>
        <w:right w:val="none" w:sz="0" w:space="0" w:color="auto"/>
      </w:divBdr>
    </w:div>
    <w:div w:id="175191211">
      <w:bodyDiv w:val="1"/>
      <w:marLeft w:val="0"/>
      <w:marRight w:val="0"/>
      <w:marTop w:val="0"/>
      <w:marBottom w:val="0"/>
      <w:divBdr>
        <w:top w:val="none" w:sz="0" w:space="0" w:color="auto"/>
        <w:left w:val="none" w:sz="0" w:space="0" w:color="auto"/>
        <w:bottom w:val="none" w:sz="0" w:space="0" w:color="auto"/>
        <w:right w:val="none" w:sz="0" w:space="0" w:color="auto"/>
      </w:divBdr>
    </w:div>
    <w:div w:id="175272610">
      <w:bodyDiv w:val="1"/>
      <w:marLeft w:val="0"/>
      <w:marRight w:val="0"/>
      <w:marTop w:val="0"/>
      <w:marBottom w:val="0"/>
      <w:divBdr>
        <w:top w:val="none" w:sz="0" w:space="0" w:color="auto"/>
        <w:left w:val="none" w:sz="0" w:space="0" w:color="auto"/>
        <w:bottom w:val="none" w:sz="0" w:space="0" w:color="auto"/>
        <w:right w:val="none" w:sz="0" w:space="0" w:color="auto"/>
      </w:divBdr>
    </w:div>
    <w:div w:id="175468150">
      <w:bodyDiv w:val="1"/>
      <w:marLeft w:val="0"/>
      <w:marRight w:val="0"/>
      <w:marTop w:val="0"/>
      <w:marBottom w:val="0"/>
      <w:divBdr>
        <w:top w:val="none" w:sz="0" w:space="0" w:color="auto"/>
        <w:left w:val="none" w:sz="0" w:space="0" w:color="auto"/>
        <w:bottom w:val="none" w:sz="0" w:space="0" w:color="auto"/>
        <w:right w:val="none" w:sz="0" w:space="0" w:color="auto"/>
      </w:divBdr>
    </w:div>
    <w:div w:id="175510295">
      <w:bodyDiv w:val="1"/>
      <w:marLeft w:val="0"/>
      <w:marRight w:val="0"/>
      <w:marTop w:val="0"/>
      <w:marBottom w:val="0"/>
      <w:divBdr>
        <w:top w:val="none" w:sz="0" w:space="0" w:color="auto"/>
        <w:left w:val="none" w:sz="0" w:space="0" w:color="auto"/>
        <w:bottom w:val="none" w:sz="0" w:space="0" w:color="auto"/>
        <w:right w:val="none" w:sz="0" w:space="0" w:color="auto"/>
      </w:divBdr>
    </w:div>
    <w:div w:id="175580370">
      <w:bodyDiv w:val="1"/>
      <w:marLeft w:val="0"/>
      <w:marRight w:val="0"/>
      <w:marTop w:val="0"/>
      <w:marBottom w:val="0"/>
      <w:divBdr>
        <w:top w:val="none" w:sz="0" w:space="0" w:color="auto"/>
        <w:left w:val="none" w:sz="0" w:space="0" w:color="auto"/>
        <w:bottom w:val="none" w:sz="0" w:space="0" w:color="auto"/>
        <w:right w:val="none" w:sz="0" w:space="0" w:color="auto"/>
      </w:divBdr>
    </w:div>
    <w:div w:id="175656965">
      <w:bodyDiv w:val="1"/>
      <w:marLeft w:val="0"/>
      <w:marRight w:val="0"/>
      <w:marTop w:val="0"/>
      <w:marBottom w:val="0"/>
      <w:divBdr>
        <w:top w:val="none" w:sz="0" w:space="0" w:color="auto"/>
        <w:left w:val="none" w:sz="0" w:space="0" w:color="auto"/>
        <w:bottom w:val="none" w:sz="0" w:space="0" w:color="auto"/>
        <w:right w:val="none" w:sz="0" w:space="0" w:color="auto"/>
      </w:divBdr>
    </w:div>
    <w:div w:id="175703305">
      <w:bodyDiv w:val="1"/>
      <w:marLeft w:val="0"/>
      <w:marRight w:val="0"/>
      <w:marTop w:val="0"/>
      <w:marBottom w:val="0"/>
      <w:divBdr>
        <w:top w:val="none" w:sz="0" w:space="0" w:color="auto"/>
        <w:left w:val="none" w:sz="0" w:space="0" w:color="auto"/>
        <w:bottom w:val="none" w:sz="0" w:space="0" w:color="auto"/>
        <w:right w:val="none" w:sz="0" w:space="0" w:color="auto"/>
      </w:divBdr>
    </w:div>
    <w:div w:id="175733259">
      <w:bodyDiv w:val="1"/>
      <w:marLeft w:val="0"/>
      <w:marRight w:val="0"/>
      <w:marTop w:val="0"/>
      <w:marBottom w:val="0"/>
      <w:divBdr>
        <w:top w:val="none" w:sz="0" w:space="0" w:color="auto"/>
        <w:left w:val="none" w:sz="0" w:space="0" w:color="auto"/>
        <w:bottom w:val="none" w:sz="0" w:space="0" w:color="auto"/>
        <w:right w:val="none" w:sz="0" w:space="0" w:color="auto"/>
      </w:divBdr>
    </w:div>
    <w:div w:id="175770215">
      <w:bodyDiv w:val="1"/>
      <w:marLeft w:val="0"/>
      <w:marRight w:val="0"/>
      <w:marTop w:val="0"/>
      <w:marBottom w:val="0"/>
      <w:divBdr>
        <w:top w:val="none" w:sz="0" w:space="0" w:color="auto"/>
        <w:left w:val="none" w:sz="0" w:space="0" w:color="auto"/>
        <w:bottom w:val="none" w:sz="0" w:space="0" w:color="auto"/>
        <w:right w:val="none" w:sz="0" w:space="0" w:color="auto"/>
      </w:divBdr>
    </w:div>
    <w:div w:id="175777340">
      <w:bodyDiv w:val="1"/>
      <w:marLeft w:val="0"/>
      <w:marRight w:val="0"/>
      <w:marTop w:val="0"/>
      <w:marBottom w:val="0"/>
      <w:divBdr>
        <w:top w:val="none" w:sz="0" w:space="0" w:color="auto"/>
        <w:left w:val="none" w:sz="0" w:space="0" w:color="auto"/>
        <w:bottom w:val="none" w:sz="0" w:space="0" w:color="auto"/>
        <w:right w:val="none" w:sz="0" w:space="0" w:color="auto"/>
      </w:divBdr>
    </w:div>
    <w:div w:id="175847194">
      <w:bodyDiv w:val="1"/>
      <w:marLeft w:val="0"/>
      <w:marRight w:val="0"/>
      <w:marTop w:val="0"/>
      <w:marBottom w:val="0"/>
      <w:divBdr>
        <w:top w:val="none" w:sz="0" w:space="0" w:color="auto"/>
        <w:left w:val="none" w:sz="0" w:space="0" w:color="auto"/>
        <w:bottom w:val="none" w:sz="0" w:space="0" w:color="auto"/>
        <w:right w:val="none" w:sz="0" w:space="0" w:color="auto"/>
      </w:divBdr>
    </w:div>
    <w:div w:id="175850684">
      <w:bodyDiv w:val="1"/>
      <w:marLeft w:val="0"/>
      <w:marRight w:val="0"/>
      <w:marTop w:val="0"/>
      <w:marBottom w:val="0"/>
      <w:divBdr>
        <w:top w:val="none" w:sz="0" w:space="0" w:color="auto"/>
        <w:left w:val="none" w:sz="0" w:space="0" w:color="auto"/>
        <w:bottom w:val="none" w:sz="0" w:space="0" w:color="auto"/>
        <w:right w:val="none" w:sz="0" w:space="0" w:color="auto"/>
      </w:divBdr>
    </w:div>
    <w:div w:id="175966106">
      <w:bodyDiv w:val="1"/>
      <w:marLeft w:val="0"/>
      <w:marRight w:val="0"/>
      <w:marTop w:val="0"/>
      <w:marBottom w:val="0"/>
      <w:divBdr>
        <w:top w:val="none" w:sz="0" w:space="0" w:color="auto"/>
        <w:left w:val="none" w:sz="0" w:space="0" w:color="auto"/>
        <w:bottom w:val="none" w:sz="0" w:space="0" w:color="auto"/>
        <w:right w:val="none" w:sz="0" w:space="0" w:color="auto"/>
      </w:divBdr>
    </w:div>
    <w:div w:id="176040472">
      <w:bodyDiv w:val="1"/>
      <w:marLeft w:val="0"/>
      <w:marRight w:val="0"/>
      <w:marTop w:val="0"/>
      <w:marBottom w:val="0"/>
      <w:divBdr>
        <w:top w:val="none" w:sz="0" w:space="0" w:color="auto"/>
        <w:left w:val="none" w:sz="0" w:space="0" w:color="auto"/>
        <w:bottom w:val="none" w:sz="0" w:space="0" w:color="auto"/>
        <w:right w:val="none" w:sz="0" w:space="0" w:color="auto"/>
      </w:divBdr>
    </w:div>
    <w:div w:id="176044280">
      <w:bodyDiv w:val="1"/>
      <w:marLeft w:val="0"/>
      <w:marRight w:val="0"/>
      <w:marTop w:val="0"/>
      <w:marBottom w:val="0"/>
      <w:divBdr>
        <w:top w:val="none" w:sz="0" w:space="0" w:color="auto"/>
        <w:left w:val="none" w:sz="0" w:space="0" w:color="auto"/>
        <w:bottom w:val="none" w:sz="0" w:space="0" w:color="auto"/>
        <w:right w:val="none" w:sz="0" w:space="0" w:color="auto"/>
      </w:divBdr>
    </w:div>
    <w:div w:id="176115237">
      <w:bodyDiv w:val="1"/>
      <w:marLeft w:val="0"/>
      <w:marRight w:val="0"/>
      <w:marTop w:val="0"/>
      <w:marBottom w:val="0"/>
      <w:divBdr>
        <w:top w:val="none" w:sz="0" w:space="0" w:color="auto"/>
        <w:left w:val="none" w:sz="0" w:space="0" w:color="auto"/>
        <w:bottom w:val="none" w:sz="0" w:space="0" w:color="auto"/>
        <w:right w:val="none" w:sz="0" w:space="0" w:color="auto"/>
      </w:divBdr>
    </w:div>
    <w:div w:id="176121018">
      <w:bodyDiv w:val="1"/>
      <w:marLeft w:val="0"/>
      <w:marRight w:val="0"/>
      <w:marTop w:val="0"/>
      <w:marBottom w:val="0"/>
      <w:divBdr>
        <w:top w:val="none" w:sz="0" w:space="0" w:color="auto"/>
        <w:left w:val="none" w:sz="0" w:space="0" w:color="auto"/>
        <w:bottom w:val="none" w:sz="0" w:space="0" w:color="auto"/>
        <w:right w:val="none" w:sz="0" w:space="0" w:color="auto"/>
      </w:divBdr>
    </w:div>
    <w:div w:id="176236695">
      <w:bodyDiv w:val="1"/>
      <w:marLeft w:val="0"/>
      <w:marRight w:val="0"/>
      <w:marTop w:val="0"/>
      <w:marBottom w:val="0"/>
      <w:divBdr>
        <w:top w:val="none" w:sz="0" w:space="0" w:color="auto"/>
        <w:left w:val="none" w:sz="0" w:space="0" w:color="auto"/>
        <w:bottom w:val="none" w:sz="0" w:space="0" w:color="auto"/>
        <w:right w:val="none" w:sz="0" w:space="0" w:color="auto"/>
      </w:divBdr>
    </w:div>
    <w:div w:id="176308148">
      <w:bodyDiv w:val="1"/>
      <w:marLeft w:val="0"/>
      <w:marRight w:val="0"/>
      <w:marTop w:val="0"/>
      <w:marBottom w:val="0"/>
      <w:divBdr>
        <w:top w:val="none" w:sz="0" w:space="0" w:color="auto"/>
        <w:left w:val="none" w:sz="0" w:space="0" w:color="auto"/>
        <w:bottom w:val="none" w:sz="0" w:space="0" w:color="auto"/>
        <w:right w:val="none" w:sz="0" w:space="0" w:color="auto"/>
      </w:divBdr>
    </w:div>
    <w:div w:id="176310320">
      <w:bodyDiv w:val="1"/>
      <w:marLeft w:val="0"/>
      <w:marRight w:val="0"/>
      <w:marTop w:val="0"/>
      <w:marBottom w:val="0"/>
      <w:divBdr>
        <w:top w:val="none" w:sz="0" w:space="0" w:color="auto"/>
        <w:left w:val="none" w:sz="0" w:space="0" w:color="auto"/>
        <w:bottom w:val="none" w:sz="0" w:space="0" w:color="auto"/>
        <w:right w:val="none" w:sz="0" w:space="0" w:color="auto"/>
      </w:divBdr>
    </w:div>
    <w:div w:id="176316856">
      <w:bodyDiv w:val="1"/>
      <w:marLeft w:val="0"/>
      <w:marRight w:val="0"/>
      <w:marTop w:val="0"/>
      <w:marBottom w:val="0"/>
      <w:divBdr>
        <w:top w:val="none" w:sz="0" w:space="0" w:color="auto"/>
        <w:left w:val="none" w:sz="0" w:space="0" w:color="auto"/>
        <w:bottom w:val="none" w:sz="0" w:space="0" w:color="auto"/>
        <w:right w:val="none" w:sz="0" w:space="0" w:color="auto"/>
      </w:divBdr>
    </w:div>
    <w:div w:id="176383681">
      <w:bodyDiv w:val="1"/>
      <w:marLeft w:val="0"/>
      <w:marRight w:val="0"/>
      <w:marTop w:val="0"/>
      <w:marBottom w:val="0"/>
      <w:divBdr>
        <w:top w:val="none" w:sz="0" w:space="0" w:color="auto"/>
        <w:left w:val="none" w:sz="0" w:space="0" w:color="auto"/>
        <w:bottom w:val="none" w:sz="0" w:space="0" w:color="auto"/>
        <w:right w:val="none" w:sz="0" w:space="0" w:color="auto"/>
      </w:divBdr>
    </w:div>
    <w:div w:id="176387199">
      <w:bodyDiv w:val="1"/>
      <w:marLeft w:val="0"/>
      <w:marRight w:val="0"/>
      <w:marTop w:val="0"/>
      <w:marBottom w:val="0"/>
      <w:divBdr>
        <w:top w:val="none" w:sz="0" w:space="0" w:color="auto"/>
        <w:left w:val="none" w:sz="0" w:space="0" w:color="auto"/>
        <w:bottom w:val="none" w:sz="0" w:space="0" w:color="auto"/>
        <w:right w:val="none" w:sz="0" w:space="0" w:color="auto"/>
      </w:divBdr>
    </w:div>
    <w:div w:id="176430776">
      <w:bodyDiv w:val="1"/>
      <w:marLeft w:val="0"/>
      <w:marRight w:val="0"/>
      <w:marTop w:val="0"/>
      <w:marBottom w:val="0"/>
      <w:divBdr>
        <w:top w:val="none" w:sz="0" w:space="0" w:color="auto"/>
        <w:left w:val="none" w:sz="0" w:space="0" w:color="auto"/>
        <w:bottom w:val="none" w:sz="0" w:space="0" w:color="auto"/>
        <w:right w:val="none" w:sz="0" w:space="0" w:color="auto"/>
      </w:divBdr>
    </w:div>
    <w:div w:id="176505465">
      <w:bodyDiv w:val="1"/>
      <w:marLeft w:val="0"/>
      <w:marRight w:val="0"/>
      <w:marTop w:val="0"/>
      <w:marBottom w:val="0"/>
      <w:divBdr>
        <w:top w:val="none" w:sz="0" w:space="0" w:color="auto"/>
        <w:left w:val="none" w:sz="0" w:space="0" w:color="auto"/>
        <w:bottom w:val="none" w:sz="0" w:space="0" w:color="auto"/>
        <w:right w:val="none" w:sz="0" w:space="0" w:color="auto"/>
      </w:divBdr>
    </w:div>
    <w:div w:id="176584154">
      <w:bodyDiv w:val="1"/>
      <w:marLeft w:val="0"/>
      <w:marRight w:val="0"/>
      <w:marTop w:val="0"/>
      <w:marBottom w:val="0"/>
      <w:divBdr>
        <w:top w:val="none" w:sz="0" w:space="0" w:color="auto"/>
        <w:left w:val="none" w:sz="0" w:space="0" w:color="auto"/>
        <w:bottom w:val="none" w:sz="0" w:space="0" w:color="auto"/>
        <w:right w:val="none" w:sz="0" w:space="0" w:color="auto"/>
      </w:divBdr>
    </w:div>
    <w:div w:id="176622416">
      <w:bodyDiv w:val="1"/>
      <w:marLeft w:val="0"/>
      <w:marRight w:val="0"/>
      <w:marTop w:val="0"/>
      <w:marBottom w:val="0"/>
      <w:divBdr>
        <w:top w:val="none" w:sz="0" w:space="0" w:color="auto"/>
        <w:left w:val="none" w:sz="0" w:space="0" w:color="auto"/>
        <w:bottom w:val="none" w:sz="0" w:space="0" w:color="auto"/>
        <w:right w:val="none" w:sz="0" w:space="0" w:color="auto"/>
      </w:divBdr>
    </w:div>
    <w:div w:id="176623041">
      <w:bodyDiv w:val="1"/>
      <w:marLeft w:val="0"/>
      <w:marRight w:val="0"/>
      <w:marTop w:val="0"/>
      <w:marBottom w:val="0"/>
      <w:divBdr>
        <w:top w:val="none" w:sz="0" w:space="0" w:color="auto"/>
        <w:left w:val="none" w:sz="0" w:space="0" w:color="auto"/>
        <w:bottom w:val="none" w:sz="0" w:space="0" w:color="auto"/>
        <w:right w:val="none" w:sz="0" w:space="0" w:color="auto"/>
      </w:divBdr>
    </w:div>
    <w:div w:id="176773072">
      <w:bodyDiv w:val="1"/>
      <w:marLeft w:val="0"/>
      <w:marRight w:val="0"/>
      <w:marTop w:val="0"/>
      <w:marBottom w:val="0"/>
      <w:divBdr>
        <w:top w:val="none" w:sz="0" w:space="0" w:color="auto"/>
        <w:left w:val="none" w:sz="0" w:space="0" w:color="auto"/>
        <w:bottom w:val="none" w:sz="0" w:space="0" w:color="auto"/>
        <w:right w:val="none" w:sz="0" w:space="0" w:color="auto"/>
      </w:divBdr>
    </w:div>
    <w:div w:id="176890629">
      <w:bodyDiv w:val="1"/>
      <w:marLeft w:val="0"/>
      <w:marRight w:val="0"/>
      <w:marTop w:val="0"/>
      <w:marBottom w:val="0"/>
      <w:divBdr>
        <w:top w:val="none" w:sz="0" w:space="0" w:color="auto"/>
        <w:left w:val="none" w:sz="0" w:space="0" w:color="auto"/>
        <w:bottom w:val="none" w:sz="0" w:space="0" w:color="auto"/>
        <w:right w:val="none" w:sz="0" w:space="0" w:color="auto"/>
      </w:divBdr>
    </w:div>
    <w:div w:id="177040829">
      <w:bodyDiv w:val="1"/>
      <w:marLeft w:val="0"/>
      <w:marRight w:val="0"/>
      <w:marTop w:val="0"/>
      <w:marBottom w:val="0"/>
      <w:divBdr>
        <w:top w:val="none" w:sz="0" w:space="0" w:color="auto"/>
        <w:left w:val="none" w:sz="0" w:space="0" w:color="auto"/>
        <w:bottom w:val="none" w:sz="0" w:space="0" w:color="auto"/>
        <w:right w:val="none" w:sz="0" w:space="0" w:color="auto"/>
      </w:divBdr>
    </w:div>
    <w:div w:id="177231089">
      <w:bodyDiv w:val="1"/>
      <w:marLeft w:val="0"/>
      <w:marRight w:val="0"/>
      <w:marTop w:val="0"/>
      <w:marBottom w:val="0"/>
      <w:divBdr>
        <w:top w:val="none" w:sz="0" w:space="0" w:color="auto"/>
        <w:left w:val="none" w:sz="0" w:space="0" w:color="auto"/>
        <w:bottom w:val="none" w:sz="0" w:space="0" w:color="auto"/>
        <w:right w:val="none" w:sz="0" w:space="0" w:color="auto"/>
      </w:divBdr>
    </w:div>
    <w:div w:id="177239516">
      <w:bodyDiv w:val="1"/>
      <w:marLeft w:val="0"/>
      <w:marRight w:val="0"/>
      <w:marTop w:val="0"/>
      <w:marBottom w:val="0"/>
      <w:divBdr>
        <w:top w:val="none" w:sz="0" w:space="0" w:color="auto"/>
        <w:left w:val="none" w:sz="0" w:space="0" w:color="auto"/>
        <w:bottom w:val="none" w:sz="0" w:space="0" w:color="auto"/>
        <w:right w:val="none" w:sz="0" w:space="0" w:color="auto"/>
      </w:divBdr>
    </w:div>
    <w:div w:id="177282437">
      <w:bodyDiv w:val="1"/>
      <w:marLeft w:val="0"/>
      <w:marRight w:val="0"/>
      <w:marTop w:val="0"/>
      <w:marBottom w:val="0"/>
      <w:divBdr>
        <w:top w:val="none" w:sz="0" w:space="0" w:color="auto"/>
        <w:left w:val="none" w:sz="0" w:space="0" w:color="auto"/>
        <w:bottom w:val="none" w:sz="0" w:space="0" w:color="auto"/>
        <w:right w:val="none" w:sz="0" w:space="0" w:color="auto"/>
      </w:divBdr>
    </w:div>
    <w:div w:id="177430128">
      <w:bodyDiv w:val="1"/>
      <w:marLeft w:val="0"/>
      <w:marRight w:val="0"/>
      <w:marTop w:val="0"/>
      <w:marBottom w:val="0"/>
      <w:divBdr>
        <w:top w:val="none" w:sz="0" w:space="0" w:color="auto"/>
        <w:left w:val="none" w:sz="0" w:space="0" w:color="auto"/>
        <w:bottom w:val="none" w:sz="0" w:space="0" w:color="auto"/>
        <w:right w:val="none" w:sz="0" w:space="0" w:color="auto"/>
      </w:divBdr>
    </w:div>
    <w:div w:id="177430869">
      <w:bodyDiv w:val="1"/>
      <w:marLeft w:val="0"/>
      <w:marRight w:val="0"/>
      <w:marTop w:val="0"/>
      <w:marBottom w:val="0"/>
      <w:divBdr>
        <w:top w:val="none" w:sz="0" w:space="0" w:color="auto"/>
        <w:left w:val="none" w:sz="0" w:space="0" w:color="auto"/>
        <w:bottom w:val="none" w:sz="0" w:space="0" w:color="auto"/>
        <w:right w:val="none" w:sz="0" w:space="0" w:color="auto"/>
      </w:divBdr>
    </w:div>
    <w:div w:id="177472648">
      <w:bodyDiv w:val="1"/>
      <w:marLeft w:val="0"/>
      <w:marRight w:val="0"/>
      <w:marTop w:val="0"/>
      <w:marBottom w:val="0"/>
      <w:divBdr>
        <w:top w:val="none" w:sz="0" w:space="0" w:color="auto"/>
        <w:left w:val="none" w:sz="0" w:space="0" w:color="auto"/>
        <w:bottom w:val="none" w:sz="0" w:space="0" w:color="auto"/>
        <w:right w:val="none" w:sz="0" w:space="0" w:color="auto"/>
      </w:divBdr>
    </w:div>
    <w:div w:id="177500489">
      <w:bodyDiv w:val="1"/>
      <w:marLeft w:val="0"/>
      <w:marRight w:val="0"/>
      <w:marTop w:val="0"/>
      <w:marBottom w:val="0"/>
      <w:divBdr>
        <w:top w:val="none" w:sz="0" w:space="0" w:color="auto"/>
        <w:left w:val="none" w:sz="0" w:space="0" w:color="auto"/>
        <w:bottom w:val="none" w:sz="0" w:space="0" w:color="auto"/>
        <w:right w:val="none" w:sz="0" w:space="0" w:color="auto"/>
      </w:divBdr>
    </w:div>
    <w:div w:id="177545528">
      <w:bodyDiv w:val="1"/>
      <w:marLeft w:val="0"/>
      <w:marRight w:val="0"/>
      <w:marTop w:val="0"/>
      <w:marBottom w:val="0"/>
      <w:divBdr>
        <w:top w:val="none" w:sz="0" w:space="0" w:color="auto"/>
        <w:left w:val="none" w:sz="0" w:space="0" w:color="auto"/>
        <w:bottom w:val="none" w:sz="0" w:space="0" w:color="auto"/>
        <w:right w:val="none" w:sz="0" w:space="0" w:color="auto"/>
      </w:divBdr>
    </w:div>
    <w:div w:id="177737603">
      <w:bodyDiv w:val="1"/>
      <w:marLeft w:val="0"/>
      <w:marRight w:val="0"/>
      <w:marTop w:val="0"/>
      <w:marBottom w:val="0"/>
      <w:divBdr>
        <w:top w:val="none" w:sz="0" w:space="0" w:color="auto"/>
        <w:left w:val="none" w:sz="0" w:space="0" w:color="auto"/>
        <w:bottom w:val="none" w:sz="0" w:space="0" w:color="auto"/>
        <w:right w:val="none" w:sz="0" w:space="0" w:color="auto"/>
      </w:divBdr>
    </w:div>
    <w:div w:id="177811740">
      <w:bodyDiv w:val="1"/>
      <w:marLeft w:val="0"/>
      <w:marRight w:val="0"/>
      <w:marTop w:val="0"/>
      <w:marBottom w:val="0"/>
      <w:divBdr>
        <w:top w:val="none" w:sz="0" w:space="0" w:color="auto"/>
        <w:left w:val="none" w:sz="0" w:space="0" w:color="auto"/>
        <w:bottom w:val="none" w:sz="0" w:space="0" w:color="auto"/>
        <w:right w:val="none" w:sz="0" w:space="0" w:color="auto"/>
      </w:divBdr>
    </w:div>
    <w:div w:id="177932629">
      <w:bodyDiv w:val="1"/>
      <w:marLeft w:val="0"/>
      <w:marRight w:val="0"/>
      <w:marTop w:val="0"/>
      <w:marBottom w:val="0"/>
      <w:divBdr>
        <w:top w:val="none" w:sz="0" w:space="0" w:color="auto"/>
        <w:left w:val="none" w:sz="0" w:space="0" w:color="auto"/>
        <w:bottom w:val="none" w:sz="0" w:space="0" w:color="auto"/>
        <w:right w:val="none" w:sz="0" w:space="0" w:color="auto"/>
      </w:divBdr>
    </w:div>
    <w:div w:id="177932995">
      <w:bodyDiv w:val="1"/>
      <w:marLeft w:val="0"/>
      <w:marRight w:val="0"/>
      <w:marTop w:val="0"/>
      <w:marBottom w:val="0"/>
      <w:divBdr>
        <w:top w:val="none" w:sz="0" w:space="0" w:color="auto"/>
        <w:left w:val="none" w:sz="0" w:space="0" w:color="auto"/>
        <w:bottom w:val="none" w:sz="0" w:space="0" w:color="auto"/>
        <w:right w:val="none" w:sz="0" w:space="0" w:color="auto"/>
      </w:divBdr>
    </w:div>
    <w:div w:id="177935835">
      <w:bodyDiv w:val="1"/>
      <w:marLeft w:val="0"/>
      <w:marRight w:val="0"/>
      <w:marTop w:val="0"/>
      <w:marBottom w:val="0"/>
      <w:divBdr>
        <w:top w:val="none" w:sz="0" w:space="0" w:color="auto"/>
        <w:left w:val="none" w:sz="0" w:space="0" w:color="auto"/>
        <w:bottom w:val="none" w:sz="0" w:space="0" w:color="auto"/>
        <w:right w:val="none" w:sz="0" w:space="0" w:color="auto"/>
      </w:divBdr>
    </w:div>
    <w:div w:id="178088619">
      <w:bodyDiv w:val="1"/>
      <w:marLeft w:val="0"/>
      <w:marRight w:val="0"/>
      <w:marTop w:val="0"/>
      <w:marBottom w:val="0"/>
      <w:divBdr>
        <w:top w:val="none" w:sz="0" w:space="0" w:color="auto"/>
        <w:left w:val="none" w:sz="0" w:space="0" w:color="auto"/>
        <w:bottom w:val="none" w:sz="0" w:space="0" w:color="auto"/>
        <w:right w:val="none" w:sz="0" w:space="0" w:color="auto"/>
      </w:divBdr>
    </w:div>
    <w:div w:id="178199420">
      <w:bodyDiv w:val="1"/>
      <w:marLeft w:val="0"/>
      <w:marRight w:val="0"/>
      <w:marTop w:val="0"/>
      <w:marBottom w:val="0"/>
      <w:divBdr>
        <w:top w:val="none" w:sz="0" w:space="0" w:color="auto"/>
        <w:left w:val="none" w:sz="0" w:space="0" w:color="auto"/>
        <w:bottom w:val="none" w:sz="0" w:space="0" w:color="auto"/>
        <w:right w:val="none" w:sz="0" w:space="0" w:color="auto"/>
      </w:divBdr>
    </w:div>
    <w:div w:id="178355866">
      <w:bodyDiv w:val="1"/>
      <w:marLeft w:val="0"/>
      <w:marRight w:val="0"/>
      <w:marTop w:val="0"/>
      <w:marBottom w:val="0"/>
      <w:divBdr>
        <w:top w:val="none" w:sz="0" w:space="0" w:color="auto"/>
        <w:left w:val="none" w:sz="0" w:space="0" w:color="auto"/>
        <w:bottom w:val="none" w:sz="0" w:space="0" w:color="auto"/>
        <w:right w:val="none" w:sz="0" w:space="0" w:color="auto"/>
      </w:divBdr>
    </w:div>
    <w:div w:id="178399297">
      <w:bodyDiv w:val="1"/>
      <w:marLeft w:val="0"/>
      <w:marRight w:val="0"/>
      <w:marTop w:val="0"/>
      <w:marBottom w:val="0"/>
      <w:divBdr>
        <w:top w:val="none" w:sz="0" w:space="0" w:color="auto"/>
        <w:left w:val="none" w:sz="0" w:space="0" w:color="auto"/>
        <w:bottom w:val="none" w:sz="0" w:space="0" w:color="auto"/>
        <w:right w:val="none" w:sz="0" w:space="0" w:color="auto"/>
      </w:divBdr>
    </w:div>
    <w:div w:id="178399935">
      <w:bodyDiv w:val="1"/>
      <w:marLeft w:val="0"/>
      <w:marRight w:val="0"/>
      <w:marTop w:val="0"/>
      <w:marBottom w:val="0"/>
      <w:divBdr>
        <w:top w:val="none" w:sz="0" w:space="0" w:color="auto"/>
        <w:left w:val="none" w:sz="0" w:space="0" w:color="auto"/>
        <w:bottom w:val="none" w:sz="0" w:space="0" w:color="auto"/>
        <w:right w:val="none" w:sz="0" w:space="0" w:color="auto"/>
      </w:divBdr>
    </w:div>
    <w:div w:id="178548298">
      <w:bodyDiv w:val="1"/>
      <w:marLeft w:val="0"/>
      <w:marRight w:val="0"/>
      <w:marTop w:val="0"/>
      <w:marBottom w:val="0"/>
      <w:divBdr>
        <w:top w:val="none" w:sz="0" w:space="0" w:color="auto"/>
        <w:left w:val="none" w:sz="0" w:space="0" w:color="auto"/>
        <w:bottom w:val="none" w:sz="0" w:space="0" w:color="auto"/>
        <w:right w:val="none" w:sz="0" w:space="0" w:color="auto"/>
      </w:divBdr>
    </w:div>
    <w:div w:id="178617210">
      <w:bodyDiv w:val="1"/>
      <w:marLeft w:val="0"/>
      <w:marRight w:val="0"/>
      <w:marTop w:val="0"/>
      <w:marBottom w:val="0"/>
      <w:divBdr>
        <w:top w:val="none" w:sz="0" w:space="0" w:color="auto"/>
        <w:left w:val="none" w:sz="0" w:space="0" w:color="auto"/>
        <w:bottom w:val="none" w:sz="0" w:space="0" w:color="auto"/>
        <w:right w:val="none" w:sz="0" w:space="0" w:color="auto"/>
      </w:divBdr>
    </w:div>
    <w:div w:id="178617691">
      <w:bodyDiv w:val="1"/>
      <w:marLeft w:val="0"/>
      <w:marRight w:val="0"/>
      <w:marTop w:val="0"/>
      <w:marBottom w:val="0"/>
      <w:divBdr>
        <w:top w:val="none" w:sz="0" w:space="0" w:color="auto"/>
        <w:left w:val="none" w:sz="0" w:space="0" w:color="auto"/>
        <w:bottom w:val="none" w:sz="0" w:space="0" w:color="auto"/>
        <w:right w:val="none" w:sz="0" w:space="0" w:color="auto"/>
      </w:divBdr>
    </w:div>
    <w:div w:id="178742022">
      <w:bodyDiv w:val="1"/>
      <w:marLeft w:val="0"/>
      <w:marRight w:val="0"/>
      <w:marTop w:val="0"/>
      <w:marBottom w:val="0"/>
      <w:divBdr>
        <w:top w:val="none" w:sz="0" w:space="0" w:color="auto"/>
        <w:left w:val="none" w:sz="0" w:space="0" w:color="auto"/>
        <w:bottom w:val="none" w:sz="0" w:space="0" w:color="auto"/>
        <w:right w:val="none" w:sz="0" w:space="0" w:color="auto"/>
      </w:divBdr>
    </w:div>
    <w:div w:id="178857095">
      <w:bodyDiv w:val="1"/>
      <w:marLeft w:val="0"/>
      <w:marRight w:val="0"/>
      <w:marTop w:val="0"/>
      <w:marBottom w:val="0"/>
      <w:divBdr>
        <w:top w:val="none" w:sz="0" w:space="0" w:color="auto"/>
        <w:left w:val="none" w:sz="0" w:space="0" w:color="auto"/>
        <w:bottom w:val="none" w:sz="0" w:space="0" w:color="auto"/>
        <w:right w:val="none" w:sz="0" w:space="0" w:color="auto"/>
      </w:divBdr>
    </w:div>
    <w:div w:id="178861495">
      <w:bodyDiv w:val="1"/>
      <w:marLeft w:val="0"/>
      <w:marRight w:val="0"/>
      <w:marTop w:val="0"/>
      <w:marBottom w:val="0"/>
      <w:divBdr>
        <w:top w:val="none" w:sz="0" w:space="0" w:color="auto"/>
        <w:left w:val="none" w:sz="0" w:space="0" w:color="auto"/>
        <w:bottom w:val="none" w:sz="0" w:space="0" w:color="auto"/>
        <w:right w:val="none" w:sz="0" w:space="0" w:color="auto"/>
      </w:divBdr>
    </w:div>
    <w:div w:id="178935290">
      <w:bodyDiv w:val="1"/>
      <w:marLeft w:val="0"/>
      <w:marRight w:val="0"/>
      <w:marTop w:val="0"/>
      <w:marBottom w:val="0"/>
      <w:divBdr>
        <w:top w:val="none" w:sz="0" w:space="0" w:color="auto"/>
        <w:left w:val="none" w:sz="0" w:space="0" w:color="auto"/>
        <w:bottom w:val="none" w:sz="0" w:space="0" w:color="auto"/>
        <w:right w:val="none" w:sz="0" w:space="0" w:color="auto"/>
      </w:divBdr>
    </w:div>
    <w:div w:id="179009819">
      <w:bodyDiv w:val="1"/>
      <w:marLeft w:val="0"/>
      <w:marRight w:val="0"/>
      <w:marTop w:val="0"/>
      <w:marBottom w:val="0"/>
      <w:divBdr>
        <w:top w:val="none" w:sz="0" w:space="0" w:color="auto"/>
        <w:left w:val="none" w:sz="0" w:space="0" w:color="auto"/>
        <w:bottom w:val="none" w:sz="0" w:space="0" w:color="auto"/>
        <w:right w:val="none" w:sz="0" w:space="0" w:color="auto"/>
      </w:divBdr>
    </w:div>
    <w:div w:id="179201793">
      <w:bodyDiv w:val="1"/>
      <w:marLeft w:val="0"/>
      <w:marRight w:val="0"/>
      <w:marTop w:val="0"/>
      <w:marBottom w:val="0"/>
      <w:divBdr>
        <w:top w:val="none" w:sz="0" w:space="0" w:color="auto"/>
        <w:left w:val="none" w:sz="0" w:space="0" w:color="auto"/>
        <w:bottom w:val="none" w:sz="0" w:space="0" w:color="auto"/>
        <w:right w:val="none" w:sz="0" w:space="0" w:color="auto"/>
      </w:divBdr>
    </w:div>
    <w:div w:id="179203683">
      <w:bodyDiv w:val="1"/>
      <w:marLeft w:val="0"/>
      <w:marRight w:val="0"/>
      <w:marTop w:val="0"/>
      <w:marBottom w:val="0"/>
      <w:divBdr>
        <w:top w:val="none" w:sz="0" w:space="0" w:color="auto"/>
        <w:left w:val="none" w:sz="0" w:space="0" w:color="auto"/>
        <w:bottom w:val="none" w:sz="0" w:space="0" w:color="auto"/>
        <w:right w:val="none" w:sz="0" w:space="0" w:color="auto"/>
      </w:divBdr>
    </w:div>
    <w:div w:id="179393473">
      <w:bodyDiv w:val="1"/>
      <w:marLeft w:val="0"/>
      <w:marRight w:val="0"/>
      <w:marTop w:val="0"/>
      <w:marBottom w:val="0"/>
      <w:divBdr>
        <w:top w:val="none" w:sz="0" w:space="0" w:color="auto"/>
        <w:left w:val="none" w:sz="0" w:space="0" w:color="auto"/>
        <w:bottom w:val="none" w:sz="0" w:space="0" w:color="auto"/>
        <w:right w:val="none" w:sz="0" w:space="0" w:color="auto"/>
      </w:divBdr>
    </w:div>
    <w:div w:id="179438315">
      <w:bodyDiv w:val="1"/>
      <w:marLeft w:val="0"/>
      <w:marRight w:val="0"/>
      <w:marTop w:val="0"/>
      <w:marBottom w:val="0"/>
      <w:divBdr>
        <w:top w:val="none" w:sz="0" w:space="0" w:color="auto"/>
        <w:left w:val="none" w:sz="0" w:space="0" w:color="auto"/>
        <w:bottom w:val="none" w:sz="0" w:space="0" w:color="auto"/>
        <w:right w:val="none" w:sz="0" w:space="0" w:color="auto"/>
      </w:divBdr>
    </w:div>
    <w:div w:id="179510982">
      <w:bodyDiv w:val="1"/>
      <w:marLeft w:val="0"/>
      <w:marRight w:val="0"/>
      <w:marTop w:val="0"/>
      <w:marBottom w:val="0"/>
      <w:divBdr>
        <w:top w:val="none" w:sz="0" w:space="0" w:color="auto"/>
        <w:left w:val="none" w:sz="0" w:space="0" w:color="auto"/>
        <w:bottom w:val="none" w:sz="0" w:space="0" w:color="auto"/>
        <w:right w:val="none" w:sz="0" w:space="0" w:color="auto"/>
      </w:divBdr>
    </w:div>
    <w:div w:id="179662558">
      <w:bodyDiv w:val="1"/>
      <w:marLeft w:val="0"/>
      <w:marRight w:val="0"/>
      <w:marTop w:val="0"/>
      <w:marBottom w:val="0"/>
      <w:divBdr>
        <w:top w:val="none" w:sz="0" w:space="0" w:color="auto"/>
        <w:left w:val="none" w:sz="0" w:space="0" w:color="auto"/>
        <w:bottom w:val="none" w:sz="0" w:space="0" w:color="auto"/>
        <w:right w:val="none" w:sz="0" w:space="0" w:color="auto"/>
      </w:divBdr>
    </w:div>
    <w:div w:id="179706692">
      <w:bodyDiv w:val="1"/>
      <w:marLeft w:val="0"/>
      <w:marRight w:val="0"/>
      <w:marTop w:val="0"/>
      <w:marBottom w:val="0"/>
      <w:divBdr>
        <w:top w:val="none" w:sz="0" w:space="0" w:color="auto"/>
        <w:left w:val="none" w:sz="0" w:space="0" w:color="auto"/>
        <w:bottom w:val="none" w:sz="0" w:space="0" w:color="auto"/>
        <w:right w:val="none" w:sz="0" w:space="0" w:color="auto"/>
      </w:divBdr>
    </w:div>
    <w:div w:id="179778467">
      <w:bodyDiv w:val="1"/>
      <w:marLeft w:val="0"/>
      <w:marRight w:val="0"/>
      <w:marTop w:val="0"/>
      <w:marBottom w:val="0"/>
      <w:divBdr>
        <w:top w:val="none" w:sz="0" w:space="0" w:color="auto"/>
        <w:left w:val="none" w:sz="0" w:space="0" w:color="auto"/>
        <w:bottom w:val="none" w:sz="0" w:space="0" w:color="auto"/>
        <w:right w:val="none" w:sz="0" w:space="0" w:color="auto"/>
      </w:divBdr>
    </w:div>
    <w:div w:id="179778695">
      <w:bodyDiv w:val="1"/>
      <w:marLeft w:val="0"/>
      <w:marRight w:val="0"/>
      <w:marTop w:val="0"/>
      <w:marBottom w:val="0"/>
      <w:divBdr>
        <w:top w:val="none" w:sz="0" w:space="0" w:color="auto"/>
        <w:left w:val="none" w:sz="0" w:space="0" w:color="auto"/>
        <w:bottom w:val="none" w:sz="0" w:space="0" w:color="auto"/>
        <w:right w:val="none" w:sz="0" w:space="0" w:color="auto"/>
      </w:divBdr>
    </w:div>
    <w:div w:id="179896400">
      <w:bodyDiv w:val="1"/>
      <w:marLeft w:val="0"/>
      <w:marRight w:val="0"/>
      <w:marTop w:val="0"/>
      <w:marBottom w:val="0"/>
      <w:divBdr>
        <w:top w:val="none" w:sz="0" w:space="0" w:color="auto"/>
        <w:left w:val="none" w:sz="0" w:space="0" w:color="auto"/>
        <w:bottom w:val="none" w:sz="0" w:space="0" w:color="auto"/>
        <w:right w:val="none" w:sz="0" w:space="0" w:color="auto"/>
      </w:divBdr>
    </w:div>
    <w:div w:id="179897277">
      <w:bodyDiv w:val="1"/>
      <w:marLeft w:val="0"/>
      <w:marRight w:val="0"/>
      <w:marTop w:val="0"/>
      <w:marBottom w:val="0"/>
      <w:divBdr>
        <w:top w:val="none" w:sz="0" w:space="0" w:color="auto"/>
        <w:left w:val="none" w:sz="0" w:space="0" w:color="auto"/>
        <w:bottom w:val="none" w:sz="0" w:space="0" w:color="auto"/>
        <w:right w:val="none" w:sz="0" w:space="0" w:color="auto"/>
      </w:divBdr>
    </w:div>
    <w:div w:id="179972556">
      <w:bodyDiv w:val="1"/>
      <w:marLeft w:val="0"/>
      <w:marRight w:val="0"/>
      <w:marTop w:val="0"/>
      <w:marBottom w:val="0"/>
      <w:divBdr>
        <w:top w:val="none" w:sz="0" w:space="0" w:color="auto"/>
        <w:left w:val="none" w:sz="0" w:space="0" w:color="auto"/>
        <w:bottom w:val="none" w:sz="0" w:space="0" w:color="auto"/>
        <w:right w:val="none" w:sz="0" w:space="0" w:color="auto"/>
      </w:divBdr>
    </w:div>
    <w:div w:id="180045669">
      <w:bodyDiv w:val="1"/>
      <w:marLeft w:val="0"/>
      <w:marRight w:val="0"/>
      <w:marTop w:val="0"/>
      <w:marBottom w:val="0"/>
      <w:divBdr>
        <w:top w:val="none" w:sz="0" w:space="0" w:color="auto"/>
        <w:left w:val="none" w:sz="0" w:space="0" w:color="auto"/>
        <w:bottom w:val="none" w:sz="0" w:space="0" w:color="auto"/>
        <w:right w:val="none" w:sz="0" w:space="0" w:color="auto"/>
      </w:divBdr>
    </w:div>
    <w:div w:id="180093158">
      <w:bodyDiv w:val="1"/>
      <w:marLeft w:val="0"/>
      <w:marRight w:val="0"/>
      <w:marTop w:val="0"/>
      <w:marBottom w:val="0"/>
      <w:divBdr>
        <w:top w:val="none" w:sz="0" w:space="0" w:color="auto"/>
        <w:left w:val="none" w:sz="0" w:space="0" w:color="auto"/>
        <w:bottom w:val="none" w:sz="0" w:space="0" w:color="auto"/>
        <w:right w:val="none" w:sz="0" w:space="0" w:color="auto"/>
      </w:divBdr>
    </w:div>
    <w:div w:id="180165831">
      <w:bodyDiv w:val="1"/>
      <w:marLeft w:val="0"/>
      <w:marRight w:val="0"/>
      <w:marTop w:val="0"/>
      <w:marBottom w:val="0"/>
      <w:divBdr>
        <w:top w:val="none" w:sz="0" w:space="0" w:color="auto"/>
        <w:left w:val="none" w:sz="0" w:space="0" w:color="auto"/>
        <w:bottom w:val="none" w:sz="0" w:space="0" w:color="auto"/>
        <w:right w:val="none" w:sz="0" w:space="0" w:color="auto"/>
      </w:divBdr>
    </w:div>
    <w:div w:id="180167238">
      <w:bodyDiv w:val="1"/>
      <w:marLeft w:val="0"/>
      <w:marRight w:val="0"/>
      <w:marTop w:val="0"/>
      <w:marBottom w:val="0"/>
      <w:divBdr>
        <w:top w:val="none" w:sz="0" w:space="0" w:color="auto"/>
        <w:left w:val="none" w:sz="0" w:space="0" w:color="auto"/>
        <w:bottom w:val="none" w:sz="0" w:space="0" w:color="auto"/>
        <w:right w:val="none" w:sz="0" w:space="0" w:color="auto"/>
      </w:divBdr>
    </w:div>
    <w:div w:id="180441519">
      <w:bodyDiv w:val="1"/>
      <w:marLeft w:val="0"/>
      <w:marRight w:val="0"/>
      <w:marTop w:val="0"/>
      <w:marBottom w:val="0"/>
      <w:divBdr>
        <w:top w:val="none" w:sz="0" w:space="0" w:color="auto"/>
        <w:left w:val="none" w:sz="0" w:space="0" w:color="auto"/>
        <w:bottom w:val="none" w:sz="0" w:space="0" w:color="auto"/>
        <w:right w:val="none" w:sz="0" w:space="0" w:color="auto"/>
      </w:divBdr>
    </w:div>
    <w:div w:id="180515128">
      <w:bodyDiv w:val="1"/>
      <w:marLeft w:val="0"/>
      <w:marRight w:val="0"/>
      <w:marTop w:val="0"/>
      <w:marBottom w:val="0"/>
      <w:divBdr>
        <w:top w:val="none" w:sz="0" w:space="0" w:color="auto"/>
        <w:left w:val="none" w:sz="0" w:space="0" w:color="auto"/>
        <w:bottom w:val="none" w:sz="0" w:space="0" w:color="auto"/>
        <w:right w:val="none" w:sz="0" w:space="0" w:color="auto"/>
      </w:divBdr>
    </w:div>
    <w:div w:id="180633940">
      <w:bodyDiv w:val="1"/>
      <w:marLeft w:val="0"/>
      <w:marRight w:val="0"/>
      <w:marTop w:val="0"/>
      <w:marBottom w:val="0"/>
      <w:divBdr>
        <w:top w:val="none" w:sz="0" w:space="0" w:color="auto"/>
        <w:left w:val="none" w:sz="0" w:space="0" w:color="auto"/>
        <w:bottom w:val="none" w:sz="0" w:space="0" w:color="auto"/>
        <w:right w:val="none" w:sz="0" w:space="0" w:color="auto"/>
      </w:divBdr>
    </w:div>
    <w:div w:id="180752885">
      <w:bodyDiv w:val="1"/>
      <w:marLeft w:val="0"/>
      <w:marRight w:val="0"/>
      <w:marTop w:val="0"/>
      <w:marBottom w:val="0"/>
      <w:divBdr>
        <w:top w:val="none" w:sz="0" w:space="0" w:color="auto"/>
        <w:left w:val="none" w:sz="0" w:space="0" w:color="auto"/>
        <w:bottom w:val="none" w:sz="0" w:space="0" w:color="auto"/>
        <w:right w:val="none" w:sz="0" w:space="0" w:color="auto"/>
      </w:divBdr>
    </w:div>
    <w:div w:id="180824853">
      <w:bodyDiv w:val="1"/>
      <w:marLeft w:val="0"/>
      <w:marRight w:val="0"/>
      <w:marTop w:val="0"/>
      <w:marBottom w:val="0"/>
      <w:divBdr>
        <w:top w:val="none" w:sz="0" w:space="0" w:color="auto"/>
        <w:left w:val="none" w:sz="0" w:space="0" w:color="auto"/>
        <w:bottom w:val="none" w:sz="0" w:space="0" w:color="auto"/>
        <w:right w:val="none" w:sz="0" w:space="0" w:color="auto"/>
      </w:divBdr>
    </w:div>
    <w:div w:id="180975318">
      <w:bodyDiv w:val="1"/>
      <w:marLeft w:val="0"/>
      <w:marRight w:val="0"/>
      <w:marTop w:val="0"/>
      <w:marBottom w:val="0"/>
      <w:divBdr>
        <w:top w:val="none" w:sz="0" w:space="0" w:color="auto"/>
        <w:left w:val="none" w:sz="0" w:space="0" w:color="auto"/>
        <w:bottom w:val="none" w:sz="0" w:space="0" w:color="auto"/>
        <w:right w:val="none" w:sz="0" w:space="0" w:color="auto"/>
      </w:divBdr>
    </w:div>
    <w:div w:id="181018315">
      <w:bodyDiv w:val="1"/>
      <w:marLeft w:val="0"/>
      <w:marRight w:val="0"/>
      <w:marTop w:val="0"/>
      <w:marBottom w:val="0"/>
      <w:divBdr>
        <w:top w:val="none" w:sz="0" w:space="0" w:color="auto"/>
        <w:left w:val="none" w:sz="0" w:space="0" w:color="auto"/>
        <w:bottom w:val="none" w:sz="0" w:space="0" w:color="auto"/>
        <w:right w:val="none" w:sz="0" w:space="0" w:color="auto"/>
      </w:divBdr>
    </w:div>
    <w:div w:id="181018804">
      <w:bodyDiv w:val="1"/>
      <w:marLeft w:val="0"/>
      <w:marRight w:val="0"/>
      <w:marTop w:val="0"/>
      <w:marBottom w:val="0"/>
      <w:divBdr>
        <w:top w:val="none" w:sz="0" w:space="0" w:color="auto"/>
        <w:left w:val="none" w:sz="0" w:space="0" w:color="auto"/>
        <w:bottom w:val="none" w:sz="0" w:space="0" w:color="auto"/>
        <w:right w:val="none" w:sz="0" w:space="0" w:color="auto"/>
      </w:divBdr>
    </w:div>
    <w:div w:id="181096311">
      <w:bodyDiv w:val="1"/>
      <w:marLeft w:val="0"/>
      <w:marRight w:val="0"/>
      <w:marTop w:val="0"/>
      <w:marBottom w:val="0"/>
      <w:divBdr>
        <w:top w:val="none" w:sz="0" w:space="0" w:color="auto"/>
        <w:left w:val="none" w:sz="0" w:space="0" w:color="auto"/>
        <w:bottom w:val="none" w:sz="0" w:space="0" w:color="auto"/>
        <w:right w:val="none" w:sz="0" w:space="0" w:color="auto"/>
      </w:divBdr>
    </w:div>
    <w:div w:id="181165502">
      <w:bodyDiv w:val="1"/>
      <w:marLeft w:val="0"/>
      <w:marRight w:val="0"/>
      <w:marTop w:val="0"/>
      <w:marBottom w:val="0"/>
      <w:divBdr>
        <w:top w:val="none" w:sz="0" w:space="0" w:color="auto"/>
        <w:left w:val="none" w:sz="0" w:space="0" w:color="auto"/>
        <w:bottom w:val="none" w:sz="0" w:space="0" w:color="auto"/>
        <w:right w:val="none" w:sz="0" w:space="0" w:color="auto"/>
      </w:divBdr>
    </w:div>
    <w:div w:id="181168683">
      <w:bodyDiv w:val="1"/>
      <w:marLeft w:val="0"/>
      <w:marRight w:val="0"/>
      <w:marTop w:val="0"/>
      <w:marBottom w:val="0"/>
      <w:divBdr>
        <w:top w:val="none" w:sz="0" w:space="0" w:color="auto"/>
        <w:left w:val="none" w:sz="0" w:space="0" w:color="auto"/>
        <w:bottom w:val="none" w:sz="0" w:space="0" w:color="auto"/>
        <w:right w:val="none" w:sz="0" w:space="0" w:color="auto"/>
      </w:divBdr>
    </w:div>
    <w:div w:id="181214059">
      <w:bodyDiv w:val="1"/>
      <w:marLeft w:val="0"/>
      <w:marRight w:val="0"/>
      <w:marTop w:val="0"/>
      <w:marBottom w:val="0"/>
      <w:divBdr>
        <w:top w:val="none" w:sz="0" w:space="0" w:color="auto"/>
        <w:left w:val="none" w:sz="0" w:space="0" w:color="auto"/>
        <w:bottom w:val="none" w:sz="0" w:space="0" w:color="auto"/>
        <w:right w:val="none" w:sz="0" w:space="0" w:color="auto"/>
      </w:divBdr>
    </w:div>
    <w:div w:id="181214974">
      <w:bodyDiv w:val="1"/>
      <w:marLeft w:val="0"/>
      <w:marRight w:val="0"/>
      <w:marTop w:val="0"/>
      <w:marBottom w:val="0"/>
      <w:divBdr>
        <w:top w:val="none" w:sz="0" w:space="0" w:color="auto"/>
        <w:left w:val="none" w:sz="0" w:space="0" w:color="auto"/>
        <w:bottom w:val="none" w:sz="0" w:space="0" w:color="auto"/>
        <w:right w:val="none" w:sz="0" w:space="0" w:color="auto"/>
      </w:divBdr>
    </w:div>
    <w:div w:id="181284046">
      <w:bodyDiv w:val="1"/>
      <w:marLeft w:val="0"/>
      <w:marRight w:val="0"/>
      <w:marTop w:val="0"/>
      <w:marBottom w:val="0"/>
      <w:divBdr>
        <w:top w:val="none" w:sz="0" w:space="0" w:color="auto"/>
        <w:left w:val="none" w:sz="0" w:space="0" w:color="auto"/>
        <w:bottom w:val="none" w:sz="0" w:space="0" w:color="auto"/>
        <w:right w:val="none" w:sz="0" w:space="0" w:color="auto"/>
      </w:divBdr>
    </w:div>
    <w:div w:id="181362059">
      <w:bodyDiv w:val="1"/>
      <w:marLeft w:val="0"/>
      <w:marRight w:val="0"/>
      <w:marTop w:val="0"/>
      <w:marBottom w:val="0"/>
      <w:divBdr>
        <w:top w:val="none" w:sz="0" w:space="0" w:color="auto"/>
        <w:left w:val="none" w:sz="0" w:space="0" w:color="auto"/>
        <w:bottom w:val="none" w:sz="0" w:space="0" w:color="auto"/>
        <w:right w:val="none" w:sz="0" w:space="0" w:color="auto"/>
      </w:divBdr>
    </w:div>
    <w:div w:id="181431460">
      <w:bodyDiv w:val="1"/>
      <w:marLeft w:val="0"/>
      <w:marRight w:val="0"/>
      <w:marTop w:val="0"/>
      <w:marBottom w:val="0"/>
      <w:divBdr>
        <w:top w:val="none" w:sz="0" w:space="0" w:color="auto"/>
        <w:left w:val="none" w:sz="0" w:space="0" w:color="auto"/>
        <w:bottom w:val="none" w:sz="0" w:space="0" w:color="auto"/>
        <w:right w:val="none" w:sz="0" w:space="0" w:color="auto"/>
      </w:divBdr>
    </w:div>
    <w:div w:id="181433164">
      <w:bodyDiv w:val="1"/>
      <w:marLeft w:val="0"/>
      <w:marRight w:val="0"/>
      <w:marTop w:val="0"/>
      <w:marBottom w:val="0"/>
      <w:divBdr>
        <w:top w:val="none" w:sz="0" w:space="0" w:color="auto"/>
        <w:left w:val="none" w:sz="0" w:space="0" w:color="auto"/>
        <w:bottom w:val="none" w:sz="0" w:space="0" w:color="auto"/>
        <w:right w:val="none" w:sz="0" w:space="0" w:color="auto"/>
      </w:divBdr>
    </w:div>
    <w:div w:id="181474324">
      <w:bodyDiv w:val="1"/>
      <w:marLeft w:val="0"/>
      <w:marRight w:val="0"/>
      <w:marTop w:val="0"/>
      <w:marBottom w:val="0"/>
      <w:divBdr>
        <w:top w:val="none" w:sz="0" w:space="0" w:color="auto"/>
        <w:left w:val="none" w:sz="0" w:space="0" w:color="auto"/>
        <w:bottom w:val="none" w:sz="0" w:space="0" w:color="auto"/>
        <w:right w:val="none" w:sz="0" w:space="0" w:color="auto"/>
      </w:divBdr>
    </w:div>
    <w:div w:id="181479693">
      <w:bodyDiv w:val="1"/>
      <w:marLeft w:val="0"/>
      <w:marRight w:val="0"/>
      <w:marTop w:val="0"/>
      <w:marBottom w:val="0"/>
      <w:divBdr>
        <w:top w:val="none" w:sz="0" w:space="0" w:color="auto"/>
        <w:left w:val="none" w:sz="0" w:space="0" w:color="auto"/>
        <w:bottom w:val="none" w:sz="0" w:space="0" w:color="auto"/>
        <w:right w:val="none" w:sz="0" w:space="0" w:color="auto"/>
      </w:divBdr>
    </w:div>
    <w:div w:id="181481804">
      <w:bodyDiv w:val="1"/>
      <w:marLeft w:val="0"/>
      <w:marRight w:val="0"/>
      <w:marTop w:val="0"/>
      <w:marBottom w:val="0"/>
      <w:divBdr>
        <w:top w:val="none" w:sz="0" w:space="0" w:color="auto"/>
        <w:left w:val="none" w:sz="0" w:space="0" w:color="auto"/>
        <w:bottom w:val="none" w:sz="0" w:space="0" w:color="auto"/>
        <w:right w:val="none" w:sz="0" w:space="0" w:color="auto"/>
      </w:divBdr>
    </w:div>
    <w:div w:id="181556569">
      <w:bodyDiv w:val="1"/>
      <w:marLeft w:val="0"/>
      <w:marRight w:val="0"/>
      <w:marTop w:val="0"/>
      <w:marBottom w:val="0"/>
      <w:divBdr>
        <w:top w:val="none" w:sz="0" w:space="0" w:color="auto"/>
        <w:left w:val="none" w:sz="0" w:space="0" w:color="auto"/>
        <w:bottom w:val="none" w:sz="0" w:space="0" w:color="auto"/>
        <w:right w:val="none" w:sz="0" w:space="0" w:color="auto"/>
      </w:divBdr>
    </w:div>
    <w:div w:id="181632537">
      <w:bodyDiv w:val="1"/>
      <w:marLeft w:val="0"/>
      <w:marRight w:val="0"/>
      <w:marTop w:val="0"/>
      <w:marBottom w:val="0"/>
      <w:divBdr>
        <w:top w:val="none" w:sz="0" w:space="0" w:color="auto"/>
        <w:left w:val="none" w:sz="0" w:space="0" w:color="auto"/>
        <w:bottom w:val="none" w:sz="0" w:space="0" w:color="auto"/>
        <w:right w:val="none" w:sz="0" w:space="0" w:color="auto"/>
      </w:divBdr>
    </w:div>
    <w:div w:id="181668370">
      <w:bodyDiv w:val="1"/>
      <w:marLeft w:val="0"/>
      <w:marRight w:val="0"/>
      <w:marTop w:val="0"/>
      <w:marBottom w:val="0"/>
      <w:divBdr>
        <w:top w:val="none" w:sz="0" w:space="0" w:color="auto"/>
        <w:left w:val="none" w:sz="0" w:space="0" w:color="auto"/>
        <w:bottom w:val="none" w:sz="0" w:space="0" w:color="auto"/>
        <w:right w:val="none" w:sz="0" w:space="0" w:color="auto"/>
      </w:divBdr>
    </w:div>
    <w:div w:id="181672581">
      <w:bodyDiv w:val="1"/>
      <w:marLeft w:val="0"/>
      <w:marRight w:val="0"/>
      <w:marTop w:val="0"/>
      <w:marBottom w:val="0"/>
      <w:divBdr>
        <w:top w:val="none" w:sz="0" w:space="0" w:color="auto"/>
        <w:left w:val="none" w:sz="0" w:space="0" w:color="auto"/>
        <w:bottom w:val="none" w:sz="0" w:space="0" w:color="auto"/>
        <w:right w:val="none" w:sz="0" w:space="0" w:color="auto"/>
      </w:divBdr>
    </w:div>
    <w:div w:id="181673540">
      <w:bodyDiv w:val="1"/>
      <w:marLeft w:val="0"/>
      <w:marRight w:val="0"/>
      <w:marTop w:val="0"/>
      <w:marBottom w:val="0"/>
      <w:divBdr>
        <w:top w:val="none" w:sz="0" w:space="0" w:color="auto"/>
        <w:left w:val="none" w:sz="0" w:space="0" w:color="auto"/>
        <w:bottom w:val="none" w:sz="0" w:space="0" w:color="auto"/>
        <w:right w:val="none" w:sz="0" w:space="0" w:color="auto"/>
      </w:divBdr>
    </w:div>
    <w:div w:id="181823381">
      <w:bodyDiv w:val="1"/>
      <w:marLeft w:val="0"/>
      <w:marRight w:val="0"/>
      <w:marTop w:val="0"/>
      <w:marBottom w:val="0"/>
      <w:divBdr>
        <w:top w:val="none" w:sz="0" w:space="0" w:color="auto"/>
        <w:left w:val="none" w:sz="0" w:space="0" w:color="auto"/>
        <w:bottom w:val="none" w:sz="0" w:space="0" w:color="auto"/>
        <w:right w:val="none" w:sz="0" w:space="0" w:color="auto"/>
      </w:divBdr>
    </w:div>
    <w:div w:id="181938388">
      <w:bodyDiv w:val="1"/>
      <w:marLeft w:val="0"/>
      <w:marRight w:val="0"/>
      <w:marTop w:val="0"/>
      <w:marBottom w:val="0"/>
      <w:divBdr>
        <w:top w:val="none" w:sz="0" w:space="0" w:color="auto"/>
        <w:left w:val="none" w:sz="0" w:space="0" w:color="auto"/>
        <w:bottom w:val="none" w:sz="0" w:space="0" w:color="auto"/>
        <w:right w:val="none" w:sz="0" w:space="0" w:color="auto"/>
      </w:divBdr>
    </w:div>
    <w:div w:id="182062912">
      <w:bodyDiv w:val="1"/>
      <w:marLeft w:val="0"/>
      <w:marRight w:val="0"/>
      <w:marTop w:val="0"/>
      <w:marBottom w:val="0"/>
      <w:divBdr>
        <w:top w:val="none" w:sz="0" w:space="0" w:color="auto"/>
        <w:left w:val="none" w:sz="0" w:space="0" w:color="auto"/>
        <w:bottom w:val="none" w:sz="0" w:space="0" w:color="auto"/>
        <w:right w:val="none" w:sz="0" w:space="0" w:color="auto"/>
      </w:divBdr>
    </w:div>
    <w:div w:id="182134164">
      <w:bodyDiv w:val="1"/>
      <w:marLeft w:val="0"/>
      <w:marRight w:val="0"/>
      <w:marTop w:val="0"/>
      <w:marBottom w:val="0"/>
      <w:divBdr>
        <w:top w:val="none" w:sz="0" w:space="0" w:color="auto"/>
        <w:left w:val="none" w:sz="0" w:space="0" w:color="auto"/>
        <w:bottom w:val="none" w:sz="0" w:space="0" w:color="auto"/>
        <w:right w:val="none" w:sz="0" w:space="0" w:color="auto"/>
      </w:divBdr>
    </w:div>
    <w:div w:id="182137674">
      <w:bodyDiv w:val="1"/>
      <w:marLeft w:val="0"/>
      <w:marRight w:val="0"/>
      <w:marTop w:val="0"/>
      <w:marBottom w:val="0"/>
      <w:divBdr>
        <w:top w:val="none" w:sz="0" w:space="0" w:color="auto"/>
        <w:left w:val="none" w:sz="0" w:space="0" w:color="auto"/>
        <w:bottom w:val="none" w:sz="0" w:space="0" w:color="auto"/>
        <w:right w:val="none" w:sz="0" w:space="0" w:color="auto"/>
      </w:divBdr>
    </w:div>
    <w:div w:id="182205455">
      <w:bodyDiv w:val="1"/>
      <w:marLeft w:val="0"/>
      <w:marRight w:val="0"/>
      <w:marTop w:val="0"/>
      <w:marBottom w:val="0"/>
      <w:divBdr>
        <w:top w:val="none" w:sz="0" w:space="0" w:color="auto"/>
        <w:left w:val="none" w:sz="0" w:space="0" w:color="auto"/>
        <w:bottom w:val="none" w:sz="0" w:space="0" w:color="auto"/>
        <w:right w:val="none" w:sz="0" w:space="0" w:color="auto"/>
      </w:divBdr>
    </w:div>
    <w:div w:id="182207079">
      <w:bodyDiv w:val="1"/>
      <w:marLeft w:val="0"/>
      <w:marRight w:val="0"/>
      <w:marTop w:val="0"/>
      <w:marBottom w:val="0"/>
      <w:divBdr>
        <w:top w:val="none" w:sz="0" w:space="0" w:color="auto"/>
        <w:left w:val="none" w:sz="0" w:space="0" w:color="auto"/>
        <w:bottom w:val="none" w:sz="0" w:space="0" w:color="auto"/>
        <w:right w:val="none" w:sz="0" w:space="0" w:color="auto"/>
      </w:divBdr>
    </w:div>
    <w:div w:id="182327128">
      <w:bodyDiv w:val="1"/>
      <w:marLeft w:val="0"/>
      <w:marRight w:val="0"/>
      <w:marTop w:val="0"/>
      <w:marBottom w:val="0"/>
      <w:divBdr>
        <w:top w:val="none" w:sz="0" w:space="0" w:color="auto"/>
        <w:left w:val="none" w:sz="0" w:space="0" w:color="auto"/>
        <w:bottom w:val="none" w:sz="0" w:space="0" w:color="auto"/>
        <w:right w:val="none" w:sz="0" w:space="0" w:color="auto"/>
      </w:divBdr>
    </w:div>
    <w:div w:id="182327368">
      <w:bodyDiv w:val="1"/>
      <w:marLeft w:val="0"/>
      <w:marRight w:val="0"/>
      <w:marTop w:val="0"/>
      <w:marBottom w:val="0"/>
      <w:divBdr>
        <w:top w:val="none" w:sz="0" w:space="0" w:color="auto"/>
        <w:left w:val="none" w:sz="0" w:space="0" w:color="auto"/>
        <w:bottom w:val="none" w:sz="0" w:space="0" w:color="auto"/>
        <w:right w:val="none" w:sz="0" w:space="0" w:color="auto"/>
      </w:divBdr>
    </w:div>
    <w:div w:id="182399824">
      <w:bodyDiv w:val="1"/>
      <w:marLeft w:val="0"/>
      <w:marRight w:val="0"/>
      <w:marTop w:val="0"/>
      <w:marBottom w:val="0"/>
      <w:divBdr>
        <w:top w:val="none" w:sz="0" w:space="0" w:color="auto"/>
        <w:left w:val="none" w:sz="0" w:space="0" w:color="auto"/>
        <w:bottom w:val="none" w:sz="0" w:space="0" w:color="auto"/>
        <w:right w:val="none" w:sz="0" w:space="0" w:color="auto"/>
      </w:divBdr>
    </w:div>
    <w:div w:id="182479175">
      <w:bodyDiv w:val="1"/>
      <w:marLeft w:val="0"/>
      <w:marRight w:val="0"/>
      <w:marTop w:val="0"/>
      <w:marBottom w:val="0"/>
      <w:divBdr>
        <w:top w:val="none" w:sz="0" w:space="0" w:color="auto"/>
        <w:left w:val="none" w:sz="0" w:space="0" w:color="auto"/>
        <w:bottom w:val="none" w:sz="0" w:space="0" w:color="auto"/>
        <w:right w:val="none" w:sz="0" w:space="0" w:color="auto"/>
      </w:divBdr>
    </w:div>
    <w:div w:id="182517921">
      <w:bodyDiv w:val="1"/>
      <w:marLeft w:val="0"/>
      <w:marRight w:val="0"/>
      <w:marTop w:val="0"/>
      <w:marBottom w:val="0"/>
      <w:divBdr>
        <w:top w:val="none" w:sz="0" w:space="0" w:color="auto"/>
        <w:left w:val="none" w:sz="0" w:space="0" w:color="auto"/>
        <w:bottom w:val="none" w:sz="0" w:space="0" w:color="auto"/>
        <w:right w:val="none" w:sz="0" w:space="0" w:color="auto"/>
      </w:divBdr>
    </w:div>
    <w:div w:id="182714577">
      <w:bodyDiv w:val="1"/>
      <w:marLeft w:val="0"/>
      <w:marRight w:val="0"/>
      <w:marTop w:val="0"/>
      <w:marBottom w:val="0"/>
      <w:divBdr>
        <w:top w:val="none" w:sz="0" w:space="0" w:color="auto"/>
        <w:left w:val="none" w:sz="0" w:space="0" w:color="auto"/>
        <w:bottom w:val="none" w:sz="0" w:space="0" w:color="auto"/>
        <w:right w:val="none" w:sz="0" w:space="0" w:color="auto"/>
      </w:divBdr>
    </w:div>
    <w:div w:id="182791646">
      <w:bodyDiv w:val="1"/>
      <w:marLeft w:val="0"/>
      <w:marRight w:val="0"/>
      <w:marTop w:val="0"/>
      <w:marBottom w:val="0"/>
      <w:divBdr>
        <w:top w:val="none" w:sz="0" w:space="0" w:color="auto"/>
        <w:left w:val="none" w:sz="0" w:space="0" w:color="auto"/>
        <w:bottom w:val="none" w:sz="0" w:space="0" w:color="auto"/>
        <w:right w:val="none" w:sz="0" w:space="0" w:color="auto"/>
      </w:divBdr>
    </w:div>
    <w:div w:id="182860332">
      <w:bodyDiv w:val="1"/>
      <w:marLeft w:val="0"/>
      <w:marRight w:val="0"/>
      <w:marTop w:val="0"/>
      <w:marBottom w:val="0"/>
      <w:divBdr>
        <w:top w:val="none" w:sz="0" w:space="0" w:color="auto"/>
        <w:left w:val="none" w:sz="0" w:space="0" w:color="auto"/>
        <w:bottom w:val="none" w:sz="0" w:space="0" w:color="auto"/>
        <w:right w:val="none" w:sz="0" w:space="0" w:color="auto"/>
      </w:divBdr>
    </w:div>
    <w:div w:id="182863324">
      <w:bodyDiv w:val="1"/>
      <w:marLeft w:val="0"/>
      <w:marRight w:val="0"/>
      <w:marTop w:val="0"/>
      <w:marBottom w:val="0"/>
      <w:divBdr>
        <w:top w:val="none" w:sz="0" w:space="0" w:color="auto"/>
        <w:left w:val="none" w:sz="0" w:space="0" w:color="auto"/>
        <w:bottom w:val="none" w:sz="0" w:space="0" w:color="auto"/>
        <w:right w:val="none" w:sz="0" w:space="0" w:color="auto"/>
      </w:divBdr>
    </w:div>
    <w:div w:id="183053826">
      <w:bodyDiv w:val="1"/>
      <w:marLeft w:val="0"/>
      <w:marRight w:val="0"/>
      <w:marTop w:val="0"/>
      <w:marBottom w:val="0"/>
      <w:divBdr>
        <w:top w:val="none" w:sz="0" w:space="0" w:color="auto"/>
        <w:left w:val="none" w:sz="0" w:space="0" w:color="auto"/>
        <w:bottom w:val="none" w:sz="0" w:space="0" w:color="auto"/>
        <w:right w:val="none" w:sz="0" w:space="0" w:color="auto"/>
      </w:divBdr>
    </w:div>
    <w:div w:id="183056982">
      <w:bodyDiv w:val="1"/>
      <w:marLeft w:val="0"/>
      <w:marRight w:val="0"/>
      <w:marTop w:val="0"/>
      <w:marBottom w:val="0"/>
      <w:divBdr>
        <w:top w:val="none" w:sz="0" w:space="0" w:color="auto"/>
        <w:left w:val="none" w:sz="0" w:space="0" w:color="auto"/>
        <w:bottom w:val="none" w:sz="0" w:space="0" w:color="auto"/>
        <w:right w:val="none" w:sz="0" w:space="0" w:color="auto"/>
      </w:divBdr>
    </w:div>
    <w:div w:id="183446707">
      <w:bodyDiv w:val="1"/>
      <w:marLeft w:val="0"/>
      <w:marRight w:val="0"/>
      <w:marTop w:val="0"/>
      <w:marBottom w:val="0"/>
      <w:divBdr>
        <w:top w:val="none" w:sz="0" w:space="0" w:color="auto"/>
        <w:left w:val="none" w:sz="0" w:space="0" w:color="auto"/>
        <w:bottom w:val="none" w:sz="0" w:space="0" w:color="auto"/>
        <w:right w:val="none" w:sz="0" w:space="0" w:color="auto"/>
      </w:divBdr>
    </w:div>
    <w:div w:id="183523547">
      <w:bodyDiv w:val="1"/>
      <w:marLeft w:val="0"/>
      <w:marRight w:val="0"/>
      <w:marTop w:val="0"/>
      <w:marBottom w:val="0"/>
      <w:divBdr>
        <w:top w:val="none" w:sz="0" w:space="0" w:color="auto"/>
        <w:left w:val="none" w:sz="0" w:space="0" w:color="auto"/>
        <w:bottom w:val="none" w:sz="0" w:space="0" w:color="auto"/>
        <w:right w:val="none" w:sz="0" w:space="0" w:color="auto"/>
      </w:divBdr>
    </w:div>
    <w:div w:id="183787908">
      <w:bodyDiv w:val="1"/>
      <w:marLeft w:val="0"/>
      <w:marRight w:val="0"/>
      <w:marTop w:val="0"/>
      <w:marBottom w:val="0"/>
      <w:divBdr>
        <w:top w:val="none" w:sz="0" w:space="0" w:color="auto"/>
        <w:left w:val="none" w:sz="0" w:space="0" w:color="auto"/>
        <w:bottom w:val="none" w:sz="0" w:space="0" w:color="auto"/>
        <w:right w:val="none" w:sz="0" w:space="0" w:color="auto"/>
      </w:divBdr>
    </w:div>
    <w:div w:id="183828914">
      <w:bodyDiv w:val="1"/>
      <w:marLeft w:val="0"/>
      <w:marRight w:val="0"/>
      <w:marTop w:val="0"/>
      <w:marBottom w:val="0"/>
      <w:divBdr>
        <w:top w:val="none" w:sz="0" w:space="0" w:color="auto"/>
        <w:left w:val="none" w:sz="0" w:space="0" w:color="auto"/>
        <w:bottom w:val="none" w:sz="0" w:space="0" w:color="auto"/>
        <w:right w:val="none" w:sz="0" w:space="0" w:color="auto"/>
      </w:divBdr>
    </w:div>
    <w:div w:id="183860751">
      <w:bodyDiv w:val="1"/>
      <w:marLeft w:val="0"/>
      <w:marRight w:val="0"/>
      <w:marTop w:val="0"/>
      <w:marBottom w:val="0"/>
      <w:divBdr>
        <w:top w:val="none" w:sz="0" w:space="0" w:color="auto"/>
        <w:left w:val="none" w:sz="0" w:space="0" w:color="auto"/>
        <w:bottom w:val="none" w:sz="0" w:space="0" w:color="auto"/>
        <w:right w:val="none" w:sz="0" w:space="0" w:color="auto"/>
      </w:divBdr>
    </w:div>
    <w:div w:id="183908261">
      <w:bodyDiv w:val="1"/>
      <w:marLeft w:val="0"/>
      <w:marRight w:val="0"/>
      <w:marTop w:val="0"/>
      <w:marBottom w:val="0"/>
      <w:divBdr>
        <w:top w:val="none" w:sz="0" w:space="0" w:color="auto"/>
        <w:left w:val="none" w:sz="0" w:space="0" w:color="auto"/>
        <w:bottom w:val="none" w:sz="0" w:space="0" w:color="auto"/>
        <w:right w:val="none" w:sz="0" w:space="0" w:color="auto"/>
      </w:divBdr>
    </w:div>
    <w:div w:id="184179483">
      <w:bodyDiv w:val="1"/>
      <w:marLeft w:val="0"/>
      <w:marRight w:val="0"/>
      <w:marTop w:val="0"/>
      <w:marBottom w:val="0"/>
      <w:divBdr>
        <w:top w:val="none" w:sz="0" w:space="0" w:color="auto"/>
        <w:left w:val="none" w:sz="0" w:space="0" w:color="auto"/>
        <w:bottom w:val="none" w:sz="0" w:space="0" w:color="auto"/>
        <w:right w:val="none" w:sz="0" w:space="0" w:color="auto"/>
      </w:divBdr>
    </w:div>
    <w:div w:id="184222437">
      <w:bodyDiv w:val="1"/>
      <w:marLeft w:val="0"/>
      <w:marRight w:val="0"/>
      <w:marTop w:val="0"/>
      <w:marBottom w:val="0"/>
      <w:divBdr>
        <w:top w:val="none" w:sz="0" w:space="0" w:color="auto"/>
        <w:left w:val="none" w:sz="0" w:space="0" w:color="auto"/>
        <w:bottom w:val="none" w:sz="0" w:space="0" w:color="auto"/>
        <w:right w:val="none" w:sz="0" w:space="0" w:color="auto"/>
      </w:divBdr>
    </w:div>
    <w:div w:id="184248192">
      <w:bodyDiv w:val="1"/>
      <w:marLeft w:val="0"/>
      <w:marRight w:val="0"/>
      <w:marTop w:val="0"/>
      <w:marBottom w:val="0"/>
      <w:divBdr>
        <w:top w:val="none" w:sz="0" w:space="0" w:color="auto"/>
        <w:left w:val="none" w:sz="0" w:space="0" w:color="auto"/>
        <w:bottom w:val="none" w:sz="0" w:space="0" w:color="auto"/>
        <w:right w:val="none" w:sz="0" w:space="0" w:color="auto"/>
      </w:divBdr>
    </w:div>
    <w:div w:id="184248649">
      <w:bodyDiv w:val="1"/>
      <w:marLeft w:val="0"/>
      <w:marRight w:val="0"/>
      <w:marTop w:val="0"/>
      <w:marBottom w:val="0"/>
      <w:divBdr>
        <w:top w:val="none" w:sz="0" w:space="0" w:color="auto"/>
        <w:left w:val="none" w:sz="0" w:space="0" w:color="auto"/>
        <w:bottom w:val="none" w:sz="0" w:space="0" w:color="auto"/>
        <w:right w:val="none" w:sz="0" w:space="0" w:color="auto"/>
      </w:divBdr>
    </w:div>
    <w:div w:id="184248658">
      <w:bodyDiv w:val="1"/>
      <w:marLeft w:val="0"/>
      <w:marRight w:val="0"/>
      <w:marTop w:val="0"/>
      <w:marBottom w:val="0"/>
      <w:divBdr>
        <w:top w:val="none" w:sz="0" w:space="0" w:color="auto"/>
        <w:left w:val="none" w:sz="0" w:space="0" w:color="auto"/>
        <w:bottom w:val="none" w:sz="0" w:space="0" w:color="auto"/>
        <w:right w:val="none" w:sz="0" w:space="0" w:color="auto"/>
      </w:divBdr>
    </w:div>
    <w:div w:id="184365554">
      <w:bodyDiv w:val="1"/>
      <w:marLeft w:val="0"/>
      <w:marRight w:val="0"/>
      <w:marTop w:val="0"/>
      <w:marBottom w:val="0"/>
      <w:divBdr>
        <w:top w:val="none" w:sz="0" w:space="0" w:color="auto"/>
        <w:left w:val="none" w:sz="0" w:space="0" w:color="auto"/>
        <w:bottom w:val="none" w:sz="0" w:space="0" w:color="auto"/>
        <w:right w:val="none" w:sz="0" w:space="0" w:color="auto"/>
      </w:divBdr>
    </w:div>
    <w:div w:id="184447320">
      <w:bodyDiv w:val="1"/>
      <w:marLeft w:val="0"/>
      <w:marRight w:val="0"/>
      <w:marTop w:val="0"/>
      <w:marBottom w:val="0"/>
      <w:divBdr>
        <w:top w:val="none" w:sz="0" w:space="0" w:color="auto"/>
        <w:left w:val="none" w:sz="0" w:space="0" w:color="auto"/>
        <w:bottom w:val="none" w:sz="0" w:space="0" w:color="auto"/>
        <w:right w:val="none" w:sz="0" w:space="0" w:color="auto"/>
      </w:divBdr>
    </w:div>
    <w:div w:id="184559654">
      <w:bodyDiv w:val="1"/>
      <w:marLeft w:val="0"/>
      <w:marRight w:val="0"/>
      <w:marTop w:val="0"/>
      <w:marBottom w:val="0"/>
      <w:divBdr>
        <w:top w:val="none" w:sz="0" w:space="0" w:color="auto"/>
        <w:left w:val="none" w:sz="0" w:space="0" w:color="auto"/>
        <w:bottom w:val="none" w:sz="0" w:space="0" w:color="auto"/>
        <w:right w:val="none" w:sz="0" w:space="0" w:color="auto"/>
      </w:divBdr>
    </w:div>
    <w:div w:id="184632947">
      <w:bodyDiv w:val="1"/>
      <w:marLeft w:val="0"/>
      <w:marRight w:val="0"/>
      <w:marTop w:val="0"/>
      <w:marBottom w:val="0"/>
      <w:divBdr>
        <w:top w:val="none" w:sz="0" w:space="0" w:color="auto"/>
        <w:left w:val="none" w:sz="0" w:space="0" w:color="auto"/>
        <w:bottom w:val="none" w:sz="0" w:space="0" w:color="auto"/>
        <w:right w:val="none" w:sz="0" w:space="0" w:color="auto"/>
      </w:divBdr>
    </w:div>
    <w:div w:id="184832812">
      <w:bodyDiv w:val="1"/>
      <w:marLeft w:val="0"/>
      <w:marRight w:val="0"/>
      <w:marTop w:val="0"/>
      <w:marBottom w:val="0"/>
      <w:divBdr>
        <w:top w:val="none" w:sz="0" w:space="0" w:color="auto"/>
        <w:left w:val="none" w:sz="0" w:space="0" w:color="auto"/>
        <w:bottom w:val="none" w:sz="0" w:space="0" w:color="auto"/>
        <w:right w:val="none" w:sz="0" w:space="0" w:color="auto"/>
      </w:divBdr>
    </w:div>
    <w:div w:id="184877192">
      <w:bodyDiv w:val="1"/>
      <w:marLeft w:val="0"/>
      <w:marRight w:val="0"/>
      <w:marTop w:val="0"/>
      <w:marBottom w:val="0"/>
      <w:divBdr>
        <w:top w:val="none" w:sz="0" w:space="0" w:color="auto"/>
        <w:left w:val="none" w:sz="0" w:space="0" w:color="auto"/>
        <w:bottom w:val="none" w:sz="0" w:space="0" w:color="auto"/>
        <w:right w:val="none" w:sz="0" w:space="0" w:color="auto"/>
      </w:divBdr>
    </w:div>
    <w:div w:id="184903964">
      <w:bodyDiv w:val="1"/>
      <w:marLeft w:val="0"/>
      <w:marRight w:val="0"/>
      <w:marTop w:val="0"/>
      <w:marBottom w:val="0"/>
      <w:divBdr>
        <w:top w:val="none" w:sz="0" w:space="0" w:color="auto"/>
        <w:left w:val="none" w:sz="0" w:space="0" w:color="auto"/>
        <w:bottom w:val="none" w:sz="0" w:space="0" w:color="auto"/>
        <w:right w:val="none" w:sz="0" w:space="0" w:color="auto"/>
      </w:divBdr>
    </w:div>
    <w:div w:id="184908640">
      <w:bodyDiv w:val="1"/>
      <w:marLeft w:val="0"/>
      <w:marRight w:val="0"/>
      <w:marTop w:val="0"/>
      <w:marBottom w:val="0"/>
      <w:divBdr>
        <w:top w:val="none" w:sz="0" w:space="0" w:color="auto"/>
        <w:left w:val="none" w:sz="0" w:space="0" w:color="auto"/>
        <w:bottom w:val="none" w:sz="0" w:space="0" w:color="auto"/>
        <w:right w:val="none" w:sz="0" w:space="0" w:color="auto"/>
      </w:divBdr>
    </w:div>
    <w:div w:id="185094760">
      <w:bodyDiv w:val="1"/>
      <w:marLeft w:val="0"/>
      <w:marRight w:val="0"/>
      <w:marTop w:val="0"/>
      <w:marBottom w:val="0"/>
      <w:divBdr>
        <w:top w:val="none" w:sz="0" w:space="0" w:color="auto"/>
        <w:left w:val="none" w:sz="0" w:space="0" w:color="auto"/>
        <w:bottom w:val="none" w:sz="0" w:space="0" w:color="auto"/>
        <w:right w:val="none" w:sz="0" w:space="0" w:color="auto"/>
      </w:divBdr>
    </w:div>
    <w:div w:id="185171489">
      <w:bodyDiv w:val="1"/>
      <w:marLeft w:val="0"/>
      <w:marRight w:val="0"/>
      <w:marTop w:val="0"/>
      <w:marBottom w:val="0"/>
      <w:divBdr>
        <w:top w:val="none" w:sz="0" w:space="0" w:color="auto"/>
        <w:left w:val="none" w:sz="0" w:space="0" w:color="auto"/>
        <w:bottom w:val="none" w:sz="0" w:space="0" w:color="auto"/>
        <w:right w:val="none" w:sz="0" w:space="0" w:color="auto"/>
      </w:divBdr>
    </w:div>
    <w:div w:id="185220272">
      <w:bodyDiv w:val="1"/>
      <w:marLeft w:val="0"/>
      <w:marRight w:val="0"/>
      <w:marTop w:val="0"/>
      <w:marBottom w:val="0"/>
      <w:divBdr>
        <w:top w:val="none" w:sz="0" w:space="0" w:color="auto"/>
        <w:left w:val="none" w:sz="0" w:space="0" w:color="auto"/>
        <w:bottom w:val="none" w:sz="0" w:space="0" w:color="auto"/>
        <w:right w:val="none" w:sz="0" w:space="0" w:color="auto"/>
      </w:divBdr>
    </w:div>
    <w:div w:id="185291269">
      <w:bodyDiv w:val="1"/>
      <w:marLeft w:val="0"/>
      <w:marRight w:val="0"/>
      <w:marTop w:val="0"/>
      <w:marBottom w:val="0"/>
      <w:divBdr>
        <w:top w:val="none" w:sz="0" w:space="0" w:color="auto"/>
        <w:left w:val="none" w:sz="0" w:space="0" w:color="auto"/>
        <w:bottom w:val="none" w:sz="0" w:space="0" w:color="auto"/>
        <w:right w:val="none" w:sz="0" w:space="0" w:color="auto"/>
      </w:divBdr>
    </w:div>
    <w:div w:id="185337810">
      <w:bodyDiv w:val="1"/>
      <w:marLeft w:val="0"/>
      <w:marRight w:val="0"/>
      <w:marTop w:val="0"/>
      <w:marBottom w:val="0"/>
      <w:divBdr>
        <w:top w:val="none" w:sz="0" w:space="0" w:color="auto"/>
        <w:left w:val="none" w:sz="0" w:space="0" w:color="auto"/>
        <w:bottom w:val="none" w:sz="0" w:space="0" w:color="auto"/>
        <w:right w:val="none" w:sz="0" w:space="0" w:color="auto"/>
      </w:divBdr>
    </w:div>
    <w:div w:id="185364966">
      <w:bodyDiv w:val="1"/>
      <w:marLeft w:val="0"/>
      <w:marRight w:val="0"/>
      <w:marTop w:val="0"/>
      <w:marBottom w:val="0"/>
      <w:divBdr>
        <w:top w:val="none" w:sz="0" w:space="0" w:color="auto"/>
        <w:left w:val="none" w:sz="0" w:space="0" w:color="auto"/>
        <w:bottom w:val="none" w:sz="0" w:space="0" w:color="auto"/>
        <w:right w:val="none" w:sz="0" w:space="0" w:color="auto"/>
      </w:divBdr>
    </w:div>
    <w:div w:id="185406875">
      <w:bodyDiv w:val="1"/>
      <w:marLeft w:val="0"/>
      <w:marRight w:val="0"/>
      <w:marTop w:val="0"/>
      <w:marBottom w:val="0"/>
      <w:divBdr>
        <w:top w:val="none" w:sz="0" w:space="0" w:color="auto"/>
        <w:left w:val="none" w:sz="0" w:space="0" w:color="auto"/>
        <w:bottom w:val="none" w:sz="0" w:space="0" w:color="auto"/>
        <w:right w:val="none" w:sz="0" w:space="0" w:color="auto"/>
      </w:divBdr>
    </w:div>
    <w:div w:id="185408120">
      <w:bodyDiv w:val="1"/>
      <w:marLeft w:val="0"/>
      <w:marRight w:val="0"/>
      <w:marTop w:val="0"/>
      <w:marBottom w:val="0"/>
      <w:divBdr>
        <w:top w:val="none" w:sz="0" w:space="0" w:color="auto"/>
        <w:left w:val="none" w:sz="0" w:space="0" w:color="auto"/>
        <w:bottom w:val="none" w:sz="0" w:space="0" w:color="auto"/>
        <w:right w:val="none" w:sz="0" w:space="0" w:color="auto"/>
      </w:divBdr>
    </w:div>
    <w:div w:id="185482093">
      <w:bodyDiv w:val="1"/>
      <w:marLeft w:val="0"/>
      <w:marRight w:val="0"/>
      <w:marTop w:val="0"/>
      <w:marBottom w:val="0"/>
      <w:divBdr>
        <w:top w:val="none" w:sz="0" w:space="0" w:color="auto"/>
        <w:left w:val="none" w:sz="0" w:space="0" w:color="auto"/>
        <w:bottom w:val="none" w:sz="0" w:space="0" w:color="auto"/>
        <w:right w:val="none" w:sz="0" w:space="0" w:color="auto"/>
      </w:divBdr>
    </w:div>
    <w:div w:id="185484898">
      <w:bodyDiv w:val="1"/>
      <w:marLeft w:val="0"/>
      <w:marRight w:val="0"/>
      <w:marTop w:val="0"/>
      <w:marBottom w:val="0"/>
      <w:divBdr>
        <w:top w:val="none" w:sz="0" w:space="0" w:color="auto"/>
        <w:left w:val="none" w:sz="0" w:space="0" w:color="auto"/>
        <w:bottom w:val="none" w:sz="0" w:space="0" w:color="auto"/>
        <w:right w:val="none" w:sz="0" w:space="0" w:color="auto"/>
      </w:divBdr>
    </w:div>
    <w:div w:id="185825708">
      <w:bodyDiv w:val="1"/>
      <w:marLeft w:val="0"/>
      <w:marRight w:val="0"/>
      <w:marTop w:val="0"/>
      <w:marBottom w:val="0"/>
      <w:divBdr>
        <w:top w:val="none" w:sz="0" w:space="0" w:color="auto"/>
        <w:left w:val="none" w:sz="0" w:space="0" w:color="auto"/>
        <w:bottom w:val="none" w:sz="0" w:space="0" w:color="auto"/>
        <w:right w:val="none" w:sz="0" w:space="0" w:color="auto"/>
      </w:divBdr>
    </w:div>
    <w:div w:id="185946632">
      <w:bodyDiv w:val="1"/>
      <w:marLeft w:val="0"/>
      <w:marRight w:val="0"/>
      <w:marTop w:val="0"/>
      <w:marBottom w:val="0"/>
      <w:divBdr>
        <w:top w:val="none" w:sz="0" w:space="0" w:color="auto"/>
        <w:left w:val="none" w:sz="0" w:space="0" w:color="auto"/>
        <w:bottom w:val="none" w:sz="0" w:space="0" w:color="auto"/>
        <w:right w:val="none" w:sz="0" w:space="0" w:color="auto"/>
      </w:divBdr>
    </w:div>
    <w:div w:id="186018926">
      <w:bodyDiv w:val="1"/>
      <w:marLeft w:val="0"/>
      <w:marRight w:val="0"/>
      <w:marTop w:val="0"/>
      <w:marBottom w:val="0"/>
      <w:divBdr>
        <w:top w:val="none" w:sz="0" w:space="0" w:color="auto"/>
        <w:left w:val="none" w:sz="0" w:space="0" w:color="auto"/>
        <w:bottom w:val="none" w:sz="0" w:space="0" w:color="auto"/>
        <w:right w:val="none" w:sz="0" w:space="0" w:color="auto"/>
      </w:divBdr>
    </w:div>
    <w:div w:id="186022122">
      <w:bodyDiv w:val="1"/>
      <w:marLeft w:val="0"/>
      <w:marRight w:val="0"/>
      <w:marTop w:val="0"/>
      <w:marBottom w:val="0"/>
      <w:divBdr>
        <w:top w:val="none" w:sz="0" w:space="0" w:color="auto"/>
        <w:left w:val="none" w:sz="0" w:space="0" w:color="auto"/>
        <w:bottom w:val="none" w:sz="0" w:space="0" w:color="auto"/>
        <w:right w:val="none" w:sz="0" w:space="0" w:color="auto"/>
      </w:divBdr>
    </w:div>
    <w:div w:id="186068708">
      <w:bodyDiv w:val="1"/>
      <w:marLeft w:val="0"/>
      <w:marRight w:val="0"/>
      <w:marTop w:val="0"/>
      <w:marBottom w:val="0"/>
      <w:divBdr>
        <w:top w:val="none" w:sz="0" w:space="0" w:color="auto"/>
        <w:left w:val="none" w:sz="0" w:space="0" w:color="auto"/>
        <w:bottom w:val="none" w:sz="0" w:space="0" w:color="auto"/>
        <w:right w:val="none" w:sz="0" w:space="0" w:color="auto"/>
      </w:divBdr>
    </w:div>
    <w:div w:id="186404989">
      <w:bodyDiv w:val="1"/>
      <w:marLeft w:val="0"/>
      <w:marRight w:val="0"/>
      <w:marTop w:val="0"/>
      <w:marBottom w:val="0"/>
      <w:divBdr>
        <w:top w:val="none" w:sz="0" w:space="0" w:color="auto"/>
        <w:left w:val="none" w:sz="0" w:space="0" w:color="auto"/>
        <w:bottom w:val="none" w:sz="0" w:space="0" w:color="auto"/>
        <w:right w:val="none" w:sz="0" w:space="0" w:color="auto"/>
      </w:divBdr>
    </w:div>
    <w:div w:id="186523110">
      <w:bodyDiv w:val="1"/>
      <w:marLeft w:val="0"/>
      <w:marRight w:val="0"/>
      <w:marTop w:val="0"/>
      <w:marBottom w:val="0"/>
      <w:divBdr>
        <w:top w:val="none" w:sz="0" w:space="0" w:color="auto"/>
        <w:left w:val="none" w:sz="0" w:space="0" w:color="auto"/>
        <w:bottom w:val="none" w:sz="0" w:space="0" w:color="auto"/>
        <w:right w:val="none" w:sz="0" w:space="0" w:color="auto"/>
      </w:divBdr>
    </w:div>
    <w:div w:id="186527367">
      <w:bodyDiv w:val="1"/>
      <w:marLeft w:val="0"/>
      <w:marRight w:val="0"/>
      <w:marTop w:val="0"/>
      <w:marBottom w:val="0"/>
      <w:divBdr>
        <w:top w:val="none" w:sz="0" w:space="0" w:color="auto"/>
        <w:left w:val="none" w:sz="0" w:space="0" w:color="auto"/>
        <w:bottom w:val="none" w:sz="0" w:space="0" w:color="auto"/>
        <w:right w:val="none" w:sz="0" w:space="0" w:color="auto"/>
      </w:divBdr>
    </w:div>
    <w:div w:id="186531997">
      <w:bodyDiv w:val="1"/>
      <w:marLeft w:val="0"/>
      <w:marRight w:val="0"/>
      <w:marTop w:val="0"/>
      <w:marBottom w:val="0"/>
      <w:divBdr>
        <w:top w:val="none" w:sz="0" w:space="0" w:color="auto"/>
        <w:left w:val="none" w:sz="0" w:space="0" w:color="auto"/>
        <w:bottom w:val="none" w:sz="0" w:space="0" w:color="auto"/>
        <w:right w:val="none" w:sz="0" w:space="0" w:color="auto"/>
      </w:divBdr>
    </w:div>
    <w:div w:id="186603941">
      <w:bodyDiv w:val="1"/>
      <w:marLeft w:val="0"/>
      <w:marRight w:val="0"/>
      <w:marTop w:val="0"/>
      <w:marBottom w:val="0"/>
      <w:divBdr>
        <w:top w:val="none" w:sz="0" w:space="0" w:color="auto"/>
        <w:left w:val="none" w:sz="0" w:space="0" w:color="auto"/>
        <w:bottom w:val="none" w:sz="0" w:space="0" w:color="auto"/>
        <w:right w:val="none" w:sz="0" w:space="0" w:color="auto"/>
      </w:divBdr>
    </w:div>
    <w:div w:id="186647144">
      <w:bodyDiv w:val="1"/>
      <w:marLeft w:val="0"/>
      <w:marRight w:val="0"/>
      <w:marTop w:val="0"/>
      <w:marBottom w:val="0"/>
      <w:divBdr>
        <w:top w:val="none" w:sz="0" w:space="0" w:color="auto"/>
        <w:left w:val="none" w:sz="0" w:space="0" w:color="auto"/>
        <w:bottom w:val="none" w:sz="0" w:space="0" w:color="auto"/>
        <w:right w:val="none" w:sz="0" w:space="0" w:color="auto"/>
      </w:divBdr>
    </w:div>
    <w:div w:id="187067565">
      <w:bodyDiv w:val="1"/>
      <w:marLeft w:val="0"/>
      <w:marRight w:val="0"/>
      <w:marTop w:val="0"/>
      <w:marBottom w:val="0"/>
      <w:divBdr>
        <w:top w:val="none" w:sz="0" w:space="0" w:color="auto"/>
        <w:left w:val="none" w:sz="0" w:space="0" w:color="auto"/>
        <w:bottom w:val="none" w:sz="0" w:space="0" w:color="auto"/>
        <w:right w:val="none" w:sz="0" w:space="0" w:color="auto"/>
      </w:divBdr>
    </w:div>
    <w:div w:id="187183534">
      <w:bodyDiv w:val="1"/>
      <w:marLeft w:val="0"/>
      <w:marRight w:val="0"/>
      <w:marTop w:val="0"/>
      <w:marBottom w:val="0"/>
      <w:divBdr>
        <w:top w:val="none" w:sz="0" w:space="0" w:color="auto"/>
        <w:left w:val="none" w:sz="0" w:space="0" w:color="auto"/>
        <w:bottom w:val="none" w:sz="0" w:space="0" w:color="auto"/>
        <w:right w:val="none" w:sz="0" w:space="0" w:color="auto"/>
      </w:divBdr>
    </w:div>
    <w:div w:id="187186277">
      <w:bodyDiv w:val="1"/>
      <w:marLeft w:val="0"/>
      <w:marRight w:val="0"/>
      <w:marTop w:val="0"/>
      <w:marBottom w:val="0"/>
      <w:divBdr>
        <w:top w:val="none" w:sz="0" w:space="0" w:color="auto"/>
        <w:left w:val="none" w:sz="0" w:space="0" w:color="auto"/>
        <w:bottom w:val="none" w:sz="0" w:space="0" w:color="auto"/>
        <w:right w:val="none" w:sz="0" w:space="0" w:color="auto"/>
      </w:divBdr>
    </w:div>
    <w:div w:id="187379338">
      <w:bodyDiv w:val="1"/>
      <w:marLeft w:val="0"/>
      <w:marRight w:val="0"/>
      <w:marTop w:val="0"/>
      <w:marBottom w:val="0"/>
      <w:divBdr>
        <w:top w:val="none" w:sz="0" w:space="0" w:color="auto"/>
        <w:left w:val="none" w:sz="0" w:space="0" w:color="auto"/>
        <w:bottom w:val="none" w:sz="0" w:space="0" w:color="auto"/>
        <w:right w:val="none" w:sz="0" w:space="0" w:color="auto"/>
      </w:divBdr>
    </w:div>
    <w:div w:id="187452889">
      <w:bodyDiv w:val="1"/>
      <w:marLeft w:val="0"/>
      <w:marRight w:val="0"/>
      <w:marTop w:val="0"/>
      <w:marBottom w:val="0"/>
      <w:divBdr>
        <w:top w:val="none" w:sz="0" w:space="0" w:color="auto"/>
        <w:left w:val="none" w:sz="0" w:space="0" w:color="auto"/>
        <w:bottom w:val="none" w:sz="0" w:space="0" w:color="auto"/>
        <w:right w:val="none" w:sz="0" w:space="0" w:color="auto"/>
      </w:divBdr>
    </w:div>
    <w:div w:id="187454541">
      <w:bodyDiv w:val="1"/>
      <w:marLeft w:val="0"/>
      <w:marRight w:val="0"/>
      <w:marTop w:val="0"/>
      <w:marBottom w:val="0"/>
      <w:divBdr>
        <w:top w:val="none" w:sz="0" w:space="0" w:color="auto"/>
        <w:left w:val="none" w:sz="0" w:space="0" w:color="auto"/>
        <w:bottom w:val="none" w:sz="0" w:space="0" w:color="auto"/>
        <w:right w:val="none" w:sz="0" w:space="0" w:color="auto"/>
      </w:divBdr>
    </w:div>
    <w:div w:id="187456209">
      <w:bodyDiv w:val="1"/>
      <w:marLeft w:val="0"/>
      <w:marRight w:val="0"/>
      <w:marTop w:val="0"/>
      <w:marBottom w:val="0"/>
      <w:divBdr>
        <w:top w:val="none" w:sz="0" w:space="0" w:color="auto"/>
        <w:left w:val="none" w:sz="0" w:space="0" w:color="auto"/>
        <w:bottom w:val="none" w:sz="0" w:space="0" w:color="auto"/>
        <w:right w:val="none" w:sz="0" w:space="0" w:color="auto"/>
      </w:divBdr>
    </w:div>
    <w:div w:id="187527129">
      <w:bodyDiv w:val="1"/>
      <w:marLeft w:val="0"/>
      <w:marRight w:val="0"/>
      <w:marTop w:val="0"/>
      <w:marBottom w:val="0"/>
      <w:divBdr>
        <w:top w:val="none" w:sz="0" w:space="0" w:color="auto"/>
        <w:left w:val="none" w:sz="0" w:space="0" w:color="auto"/>
        <w:bottom w:val="none" w:sz="0" w:space="0" w:color="auto"/>
        <w:right w:val="none" w:sz="0" w:space="0" w:color="auto"/>
      </w:divBdr>
    </w:div>
    <w:div w:id="187530250">
      <w:bodyDiv w:val="1"/>
      <w:marLeft w:val="0"/>
      <w:marRight w:val="0"/>
      <w:marTop w:val="0"/>
      <w:marBottom w:val="0"/>
      <w:divBdr>
        <w:top w:val="none" w:sz="0" w:space="0" w:color="auto"/>
        <w:left w:val="none" w:sz="0" w:space="0" w:color="auto"/>
        <w:bottom w:val="none" w:sz="0" w:space="0" w:color="auto"/>
        <w:right w:val="none" w:sz="0" w:space="0" w:color="auto"/>
      </w:divBdr>
    </w:div>
    <w:div w:id="187565036">
      <w:bodyDiv w:val="1"/>
      <w:marLeft w:val="0"/>
      <w:marRight w:val="0"/>
      <w:marTop w:val="0"/>
      <w:marBottom w:val="0"/>
      <w:divBdr>
        <w:top w:val="none" w:sz="0" w:space="0" w:color="auto"/>
        <w:left w:val="none" w:sz="0" w:space="0" w:color="auto"/>
        <w:bottom w:val="none" w:sz="0" w:space="0" w:color="auto"/>
        <w:right w:val="none" w:sz="0" w:space="0" w:color="auto"/>
      </w:divBdr>
    </w:div>
    <w:div w:id="187641490">
      <w:bodyDiv w:val="1"/>
      <w:marLeft w:val="0"/>
      <w:marRight w:val="0"/>
      <w:marTop w:val="0"/>
      <w:marBottom w:val="0"/>
      <w:divBdr>
        <w:top w:val="none" w:sz="0" w:space="0" w:color="auto"/>
        <w:left w:val="none" w:sz="0" w:space="0" w:color="auto"/>
        <w:bottom w:val="none" w:sz="0" w:space="0" w:color="auto"/>
        <w:right w:val="none" w:sz="0" w:space="0" w:color="auto"/>
      </w:divBdr>
    </w:div>
    <w:div w:id="187646607">
      <w:bodyDiv w:val="1"/>
      <w:marLeft w:val="0"/>
      <w:marRight w:val="0"/>
      <w:marTop w:val="0"/>
      <w:marBottom w:val="0"/>
      <w:divBdr>
        <w:top w:val="none" w:sz="0" w:space="0" w:color="auto"/>
        <w:left w:val="none" w:sz="0" w:space="0" w:color="auto"/>
        <w:bottom w:val="none" w:sz="0" w:space="0" w:color="auto"/>
        <w:right w:val="none" w:sz="0" w:space="0" w:color="auto"/>
      </w:divBdr>
    </w:div>
    <w:div w:id="187838636">
      <w:bodyDiv w:val="1"/>
      <w:marLeft w:val="0"/>
      <w:marRight w:val="0"/>
      <w:marTop w:val="0"/>
      <w:marBottom w:val="0"/>
      <w:divBdr>
        <w:top w:val="none" w:sz="0" w:space="0" w:color="auto"/>
        <w:left w:val="none" w:sz="0" w:space="0" w:color="auto"/>
        <w:bottom w:val="none" w:sz="0" w:space="0" w:color="auto"/>
        <w:right w:val="none" w:sz="0" w:space="0" w:color="auto"/>
      </w:divBdr>
    </w:div>
    <w:div w:id="187915029">
      <w:bodyDiv w:val="1"/>
      <w:marLeft w:val="0"/>
      <w:marRight w:val="0"/>
      <w:marTop w:val="0"/>
      <w:marBottom w:val="0"/>
      <w:divBdr>
        <w:top w:val="none" w:sz="0" w:space="0" w:color="auto"/>
        <w:left w:val="none" w:sz="0" w:space="0" w:color="auto"/>
        <w:bottom w:val="none" w:sz="0" w:space="0" w:color="auto"/>
        <w:right w:val="none" w:sz="0" w:space="0" w:color="auto"/>
      </w:divBdr>
    </w:div>
    <w:div w:id="187915931">
      <w:bodyDiv w:val="1"/>
      <w:marLeft w:val="0"/>
      <w:marRight w:val="0"/>
      <w:marTop w:val="0"/>
      <w:marBottom w:val="0"/>
      <w:divBdr>
        <w:top w:val="none" w:sz="0" w:space="0" w:color="auto"/>
        <w:left w:val="none" w:sz="0" w:space="0" w:color="auto"/>
        <w:bottom w:val="none" w:sz="0" w:space="0" w:color="auto"/>
        <w:right w:val="none" w:sz="0" w:space="0" w:color="auto"/>
      </w:divBdr>
    </w:div>
    <w:div w:id="187917156">
      <w:bodyDiv w:val="1"/>
      <w:marLeft w:val="0"/>
      <w:marRight w:val="0"/>
      <w:marTop w:val="0"/>
      <w:marBottom w:val="0"/>
      <w:divBdr>
        <w:top w:val="none" w:sz="0" w:space="0" w:color="auto"/>
        <w:left w:val="none" w:sz="0" w:space="0" w:color="auto"/>
        <w:bottom w:val="none" w:sz="0" w:space="0" w:color="auto"/>
        <w:right w:val="none" w:sz="0" w:space="0" w:color="auto"/>
      </w:divBdr>
    </w:div>
    <w:div w:id="187958377">
      <w:bodyDiv w:val="1"/>
      <w:marLeft w:val="0"/>
      <w:marRight w:val="0"/>
      <w:marTop w:val="0"/>
      <w:marBottom w:val="0"/>
      <w:divBdr>
        <w:top w:val="none" w:sz="0" w:space="0" w:color="auto"/>
        <w:left w:val="none" w:sz="0" w:space="0" w:color="auto"/>
        <w:bottom w:val="none" w:sz="0" w:space="0" w:color="auto"/>
        <w:right w:val="none" w:sz="0" w:space="0" w:color="auto"/>
      </w:divBdr>
    </w:div>
    <w:div w:id="187987548">
      <w:bodyDiv w:val="1"/>
      <w:marLeft w:val="0"/>
      <w:marRight w:val="0"/>
      <w:marTop w:val="0"/>
      <w:marBottom w:val="0"/>
      <w:divBdr>
        <w:top w:val="none" w:sz="0" w:space="0" w:color="auto"/>
        <w:left w:val="none" w:sz="0" w:space="0" w:color="auto"/>
        <w:bottom w:val="none" w:sz="0" w:space="0" w:color="auto"/>
        <w:right w:val="none" w:sz="0" w:space="0" w:color="auto"/>
      </w:divBdr>
    </w:div>
    <w:div w:id="188027475">
      <w:bodyDiv w:val="1"/>
      <w:marLeft w:val="0"/>
      <w:marRight w:val="0"/>
      <w:marTop w:val="0"/>
      <w:marBottom w:val="0"/>
      <w:divBdr>
        <w:top w:val="none" w:sz="0" w:space="0" w:color="auto"/>
        <w:left w:val="none" w:sz="0" w:space="0" w:color="auto"/>
        <w:bottom w:val="none" w:sz="0" w:space="0" w:color="auto"/>
        <w:right w:val="none" w:sz="0" w:space="0" w:color="auto"/>
      </w:divBdr>
    </w:div>
    <w:div w:id="188224421">
      <w:bodyDiv w:val="1"/>
      <w:marLeft w:val="0"/>
      <w:marRight w:val="0"/>
      <w:marTop w:val="0"/>
      <w:marBottom w:val="0"/>
      <w:divBdr>
        <w:top w:val="none" w:sz="0" w:space="0" w:color="auto"/>
        <w:left w:val="none" w:sz="0" w:space="0" w:color="auto"/>
        <w:bottom w:val="none" w:sz="0" w:space="0" w:color="auto"/>
        <w:right w:val="none" w:sz="0" w:space="0" w:color="auto"/>
      </w:divBdr>
    </w:div>
    <w:div w:id="188225489">
      <w:bodyDiv w:val="1"/>
      <w:marLeft w:val="0"/>
      <w:marRight w:val="0"/>
      <w:marTop w:val="0"/>
      <w:marBottom w:val="0"/>
      <w:divBdr>
        <w:top w:val="none" w:sz="0" w:space="0" w:color="auto"/>
        <w:left w:val="none" w:sz="0" w:space="0" w:color="auto"/>
        <w:bottom w:val="none" w:sz="0" w:space="0" w:color="auto"/>
        <w:right w:val="none" w:sz="0" w:space="0" w:color="auto"/>
      </w:divBdr>
    </w:div>
    <w:div w:id="188302249">
      <w:bodyDiv w:val="1"/>
      <w:marLeft w:val="0"/>
      <w:marRight w:val="0"/>
      <w:marTop w:val="0"/>
      <w:marBottom w:val="0"/>
      <w:divBdr>
        <w:top w:val="none" w:sz="0" w:space="0" w:color="auto"/>
        <w:left w:val="none" w:sz="0" w:space="0" w:color="auto"/>
        <w:bottom w:val="none" w:sz="0" w:space="0" w:color="auto"/>
        <w:right w:val="none" w:sz="0" w:space="0" w:color="auto"/>
      </w:divBdr>
    </w:div>
    <w:div w:id="188420632">
      <w:bodyDiv w:val="1"/>
      <w:marLeft w:val="0"/>
      <w:marRight w:val="0"/>
      <w:marTop w:val="0"/>
      <w:marBottom w:val="0"/>
      <w:divBdr>
        <w:top w:val="none" w:sz="0" w:space="0" w:color="auto"/>
        <w:left w:val="none" w:sz="0" w:space="0" w:color="auto"/>
        <w:bottom w:val="none" w:sz="0" w:space="0" w:color="auto"/>
        <w:right w:val="none" w:sz="0" w:space="0" w:color="auto"/>
      </w:divBdr>
    </w:div>
    <w:div w:id="188489825">
      <w:bodyDiv w:val="1"/>
      <w:marLeft w:val="0"/>
      <w:marRight w:val="0"/>
      <w:marTop w:val="0"/>
      <w:marBottom w:val="0"/>
      <w:divBdr>
        <w:top w:val="none" w:sz="0" w:space="0" w:color="auto"/>
        <w:left w:val="none" w:sz="0" w:space="0" w:color="auto"/>
        <w:bottom w:val="none" w:sz="0" w:space="0" w:color="auto"/>
        <w:right w:val="none" w:sz="0" w:space="0" w:color="auto"/>
      </w:divBdr>
    </w:div>
    <w:div w:id="188568071">
      <w:bodyDiv w:val="1"/>
      <w:marLeft w:val="0"/>
      <w:marRight w:val="0"/>
      <w:marTop w:val="0"/>
      <w:marBottom w:val="0"/>
      <w:divBdr>
        <w:top w:val="none" w:sz="0" w:space="0" w:color="auto"/>
        <w:left w:val="none" w:sz="0" w:space="0" w:color="auto"/>
        <w:bottom w:val="none" w:sz="0" w:space="0" w:color="auto"/>
        <w:right w:val="none" w:sz="0" w:space="0" w:color="auto"/>
      </w:divBdr>
    </w:div>
    <w:div w:id="188757413">
      <w:bodyDiv w:val="1"/>
      <w:marLeft w:val="0"/>
      <w:marRight w:val="0"/>
      <w:marTop w:val="0"/>
      <w:marBottom w:val="0"/>
      <w:divBdr>
        <w:top w:val="none" w:sz="0" w:space="0" w:color="auto"/>
        <w:left w:val="none" w:sz="0" w:space="0" w:color="auto"/>
        <w:bottom w:val="none" w:sz="0" w:space="0" w:color="auto"/>
        <w:right w:val="none" w:sz="0" w:space="0" w:color="auto"/>
      </w:divBdr>
    </w:div>
    <w:div w:id="188958633">
      <w:bodyDiv w:val="1"/>
      <w:marLeft w:val="0"/>
      <w:marRight w:val="0"/>
      <w:marTop w:val="0"/>
      <w:marBottom w:val="0"/>
      <w:divBdr>
        <w:top w:val="none" w:sz="0" w:space="0" w:color="auto"/>
        <w:left w:val="none" w:sz="0" w:space="0" w:color="auto"/>
        <w:bottom w:val="none" w:sz="0" w:space="0" w:color="auto"/>
        <w:right w:val="none" w:sz="0" w:space="0" w:color="auto"/>
      </w:divBdr>
    </w:div>
    <w:div w:id="189034439">
      <w:bodyDiv w:val="1"/>
      <w:marLeft w:val="0"/>
      <w:marRight w:val="0"/>
      <w:marTop w:val="0"/>
      <w:marBottom w:val="0"/>
      <w:divBdr>
        <w:top w:val="none" w:sz="0" w:space="0" w:color="auto"/>
        <w:left w:val="none" w:sz="0" w:space="0" w:color="auto"/>
        <w:bottom w:val="none" w:sz="0" w:space="0" w:color="auto"/>
        <w:right w:val="none" w:sz="0" w:space="0" w:color="auto"/>
      </w:divBdr>
    </w:div>
    <w:div w:id="189219214">
      <w:bodyDiv w:val="1"/>
      <w:marLeft w:val="0"/>
      <w:marRight w:val="0"/>
      <w:marTop w:val="0"/>
      <w:marBottom w:val="0"/>
      <w:divBdr>
        <w:top w:val="none" w:sz="0" w:space="0" w:color="auto"/>
        <w:left w:val="none" w:sz="0" w:space="0" w:color="auto"/>
        <w:bottom w:val="none" w:sz="0" w:space="0" w:color="auto"/>
        <w:right w:val="none" w:sz="0" w:space="0" w:color="auto"/>
      </w:divBdr>
    </w:div>
    <w:div w:id="189299232">
      <w:bodyDiv w:val="1"/>
      <w:marLeft w:val="0"/>
      <w:marRight w:val="0"/>
      <w:marTop w:val="0"/>
      <w:marBottom w:val="0"/>
      <w:divBdr>
        <w:top w:val="none" w:sz="0" w:space="0" w:color="auto"/>
        <w:left w:val="none" w:sz="0" w:space="0" w:color="auto"/>
        <w:bottom w:val="none" w:sz="0" w:space="0" w:color="auto"/>
        <w:right w:val="none" w:sz="0" w:space="0" w:color="auto"/>
      </w:divBdr>
    </w:div>
    <w:div w:id="189346491">
      <w:bodyDiv w:val="1"/>
      <w:marLeft w:val="0"/>
      <w:marRight w:val="0"/>
      <w:marTop w:val="0"/>
      <w:marBottom w:val="0"/>
      <w:divBdr>
        <w:top w:val="none" w:sz="0" w:space="0" w:color="auto"/>
        <w:left w:val="none" w:sz="0" w:space="0" w:color="auto"/>
        <w:bottom w:val="none" w:sz="0" w:space="0" w:color="auto"/>
        <w:right w:val="none" w:sz="0" w:space="0" w:color="auto"/>
      </w:divBdr>
    </w:div>
    <w:div w:id="189413662">
      <w:bodyDiv w:val="1"/>
      <w:marLeft w:val="0"/>
      <w:marRight w:val="0"/>
      <w:marTop w:val="0"/>
      <w:marBottom w:val="0"/>
      <w:divBdr>
        <w:top w:val="none" w:sz="0" w:space="0" w:color="auto"/>
        <w:left w:val="none" w:sz="0" w:space="0" w:color="auto"/>
        <w:bottom w:val="none" w:sz="0" w:space="0" w:color="auto"/>
        <w:right w:val="none" w:sz="0" w:space="0" w:color="auto"/>
      </w:divBdr>
    </w:div>
    <w:div w:id="189415996">
      <w:bodyDiv w:val="1"/>
      <w:marLeft w:val="0"/>
      <w:marRight w:val="0"/>
      <w:marTop w:val="0"/>
      <w:marBottom w:val="0"/>
      <w:divBdr>
        <w:top w:val="none" w:sz="0" w:space="0" w:color="auto"/>
        <w:left w:val="none" w:sz="0" w:space="0" w:color="auto"/>
        <w:bottom w:val="none" w:sz="0" w:space="0" w:color="auto"/>
        <w:right w:val="none" w:sz="0" w:space="0" w:color="auto"/>
      </w:divBdr>
    </w:div>
    <w:div w:id="189419192">
      <w:bodyDiv w:val="1"/>
      <w:marLeft w:val="0"/>
      <w:marRight w:val="0"/>
      <w:marTop w:val="0"/>
      <w:marBottom w:val="0"/>
      <w:divBdr>
        <w:top w:val="none" w:sz="0" w:space="0" w:color="auto"/>
        <w:left w:val="none" w:sz="0" w:space="0" w:color="auto"/>
        <w:bottom w:val="none" w:sz="0" w:space="0" w:color="auto"/>
        <w:right w:val="none" w:sz="0" w:space="0" w:color="auto"/>
      </w:divBdr>
    </w:div>
    <w:div w:id="189420691">
      <w:bodyDiv w:val="1"/>
      <w:marLeft w:val="0"/>
      <w:marRight w:val="0"/>
      <w:marTop w:val="0"/>
      <w:marBottom w:val="0"/>
      <w:divBdr>
        <w:top w:val="none" w:sz="0" w:space="0" w:color="auto"/>
        <w:left w:val="none" w:sz="0" w:space="0" w:color="auto"/>
        <w:bottom w:val="none" w:sz="0" w:space="0" w:color="auto"/>
        <w:right w:val="none" w:sz="0" w:space="0" w:color="auto"/>
      </w:divBdr>
    </w:div>
    <w:div w:id="189491571">
      <w:bodyDiv w:val="1"/>
      <w:marLeft w:val="0"/>
      <w:marRight w:val="0"/>
      <w:marTop w:val="0"/>
      <w:marBottom w:val="0"/>
      <w:divBdr>
        <w:top w:val="none" w:sz="0" w:space="0" w:color="auto"/>
        <w:left w:val="none" w:sz="0" w:space="0" w:color="auto"/>
        <w:bottom w:val="none" w:sz="0" w:space="0" w:color="auto"/>
        <w:right w:val="none" w:sz="0" w:space="0" w:color="auto"/>
      </w:divBdr>
    </w:div>
    <w:div w:id="189606307">
      <w:bodyDiv w:val="1"/>
      <w:marLeft w:val="0"/>
      <w:marRight w:val="0"/>
      <w:marTop w:val="0"/>
      <w:marBottom w:val="0"/>
      <w:divBdr>
        <w:top w:val="none" w:sz="0" w:space="0" w:color="auto"/>
        <w:left w:val="none" w:sz="0" w:space="0" w:color="auto"/>
        <w:bottom w:val="none" w:sz="0" w:space="0" w:color="auto"/>
        <w:right w:val="none" w:sz="0" w:space="0" w:color="auto"/>
      </w:divBdr>
    </w:div>
    <w:div w:id="189611922">
      <w:bodyDiv w:val="1"/>
      <w:marLeft w:val="0"/>
      <w:marRight w:val="0"/>
      <w:marTop w:val="0"/>
      <w:marBottom w:val="0"/>
      <w:divBdr>
        <w:top w:val="none" w:sz="0" w:space="0" w:color="auto"/>
        <w:left w:val="none" w:sz="0" w:space="0" w:color="auto"/>
        <w:bottom w:val="none" w:sz="0" w:space="0" w:color="auto"/>
        <w:right w:val="none" w:sz="0" w:space="0" w:color="auto"/>
      </w:divBdr>
    </w:div>
    <w:div w:id="189758750">
      <w:bodyDiv w:val="1"/>
      <w:marLeft w:val="0"/>
      <w:marRight w:val="0"/>
      <w:marTop w:val="0"/>
      <w:marBottom w:val="0"/>
      <w:divBdr>
        <w:top w:val="none" w:sz="0" w:space="0" w:color="auto"/>
        <w:left w:val="none" w:sz="0" w:space="0" w:color="auto"/>
        <w:bottom w:val="none" w:sz="0" w:space="0" w:color="auto"/>
        <w:right w:val="none" w:sz="0" w:space="0" w:color="auto"/>
      </w:divBdr>
    </w:div>
    <w:div w:id="189806483">
      <w:bodyDiv w:val="1"/>
      <w:marLeft w:val="0"/>
      <w:marRight w:val="0"/>
      <w:marTop w:val="0"/>
      <w:marBottom w:val="0"/>
      <w:divBdr>
        <w:top w:val="none" w:sz="0" w:space="0" w:color="auto"/>
        <w:left w:val="none" w:sz="0" w:space="0" w:color="auto"/>
        <w:bottom w:val="none" w:sz="0" w:space="0" w:color="auto"/>
        <w:right w:val="none" w:sz="0" w:space="0" w:color="auto"/>
      </w:divBdr>
    </w:div>
    <w:div w:id="189993309">
      <w:bodyDiv w:val="1"/>
      <w:marLeft w:val="0"/>
      <w:marRight w:val="0"/>
      <w:marTop w:val="0"/>
      <w:marBottom w:val="0"/>
      <w:divBdr>
        <w:top w:val="none" w:sz="0" w:space="0" w:color="auto"/>
        <w:left w:val="none" w:sz="0" w:space="0" w:color="auto"/>
        <w:bottom w:val="none" w:sz="0" w:space="0" w:color="auto"/>
        <w:right w:val="none" w:sz="0" w:space="0" w:color="auto"/>
      </w:divBdr>
    </w:div>
    <w:div w:id="189997973">
      <w:bodyDiv w:val="1"/>
      <w:marLeft w:val="0"/>
      <w:marRight w:val="0"/>
      <w:marTop w:val="0"/>
      <w:marBottom w:val="0"/>
      <w:divBdr>
        <w:top w:val="none" w:sz="0" w:space="0" w:color="auto"/>
        <w:left w:val="none" w:sz="0" w:space="0" w:color="auto"/>
        <w:bottom w:val="none" w:sz="0" w:space="0" w:color="auto"/>
        <w:right w:val="none" w:sz="0" w:space="0" w:color="auto"/>
      </w:divBdr>
    </w:div>
    <w:div w:id="189999796">
      <w:bodyDiv w:val="1"/>
      <w:marLeft w:val="0"/>
      <w:marRight w:val="0"/>
      <w:marTop w:val="0"/>
      <w:marBottom w:val="0"/>
      <w:divBdr>
        <w:top w:val="none" w:sz="0" w:space="0" w:color="auto"/>
        <w:left w:val="none" w:sz="0" w:space="0" w:color="auto"/>
        <w:bottom w:val="none" w:sz="0" w:space="0" w:color="auto"/>
        <w:right w:val="none" w:sz="0" w:space="0" w:color="auto"/>
      </w:divBdr>
    </w:div>
    <w:div w:id="190068005">
      <w:bodyDiv w:val="1"/>
      <w:marLeft w:val="0"/>
      <w:marRight w:val="0"/>
      <w:marTop w:val="0"/>
      <w:marBottom w:val="0"/>
      <w:divBdr>
        <w:top w:val="none" w:sz="0" w:space="0" w:color="auto"/>
        <w:left w:val="none" w:sz="0" w:space="0" w:color="auto"/>
        <w:bottom w:val="none" w:sz="0" w:space="0" w:color="auto"/>
        <w:right w:val="none" w:sz="0" w:space="0" w:color="auto"/>
      </w:divBdr>
    </w:div>
    <w:div w:id="190073327">
      <w:bodyDiv w:val="1"/>
      <w:marLeft w:val="0"/>
      <w:marRight w:val="0"/>
      <w:marTop w:val="0"/>
      <w:marBottom w:val="0"/>
      <w:divBdr>
        <w:top w:val="none" w:sz="0" w:space="0" w:color="auto"/>
        <w:left w:val="none" w:sz="0" w:space="0" w:color="auto"/>
        <w:bottom w:val="none" w:sz="0" w:space="0" w:color="auto"/>
        <w:right w:val="none" w:sz="0" w:space="0" w:color="auto"/>
      </w:divBdr>
    </w:div>
    <w:div w:id="190191206">
      <w:bodyDiv w:val="1"/>
      <w:marLeft w:val="0"/>
      <w:marRight w:val="0"/>
      <w:marTop w:val="0"/>
      <w:marBottom w:val="0"/>
      <w:divBdr>
        <w:top w:val="none" w:sz="0" w:space="0" w:color="auto"/>
        <w:left w:val="none" w:sz="0" w:space="0" w:color="auto"/>
        <w:bottom w:val="none" w:sz="0" w:space="0" w:color="auto"/>
        <w:right w:val="none" w:sz="0" w:space="0" w:color="auto"/>
      </w:divBdr>
    </w:div>
    <w:div w:id="190193391">
      <w:bodyDiv w:val="1"/>
      <w:marLeft w:val="0"/>
      <w:marRight w:val="0"/>
      <w:marTop w:val="0"/>
      <w:marBottom w:val="0"/>
      <w:divBdr>
        <w:top w:val="none" w:sz="0" w:space="0" w:color="auto"/>
        <w:left w:val="none" w:sz="0" w:space="0" w:color="auto"/>
        <w:bottom w:val="none" w:sz="0" w:space="0" w:color="auto"/>
        <w:right w:val="none" w:sz="0" w:space="0" w:color="auto"/>
      </w:divBdr>
    </w:div>
    <w:div w:id="190195451">
      <w:bodyDiv w:val="1"/>
      <w:marLeft w:val="0"/>
      <w:marRight w:val="0"/>
      <w:marTop w:val="0"/>
      <w:marBottom w:val="0"/>
      <w:divBdr>
        <w:top w:val="none" w:sz="0" w:space="0" w:color="auto"/>
        <w:left w:val="none" w:sz="0" w:space="0" w:color="auto"/>
        <w:bottom w:val="none" w:sz="0" w:space="0" w:color="auto"/>
        <w:right w:val="none" w:sz="0" w:space="0" w:color="auto"/>
      </w:divBdr>
    </w:div>
    <w:div w:id="190269390">
      <w:bodyDiv w:val="1"/>
      <w:marLeft w:val="0"/>
      <w:marRight w:val="0"/>
      <w:marTop w:val="0"/>
      <w:marBottom w:val="0"/>
      <w:divBdr>
        <w:top w:val="none" w:sz="0" w:space="0" w:color="auto"/>
        <w:left w:val="none" w:sz="0" w:space="0" w:color="auto"/>
        <w:bottom w:val="none" w:sz="0" w:space="0" w:color="auto"/>
        <w:right w:val="none" w:sz="0" w:space="0" w:color="auto"/>
      </w:divBdr>
    </w:div>
    <w:div w:id="190338387">
      <w:bodyDiv w:val="1"/>
      <w:marLeft w:val="0"/>
      <w:marRight w:val="0"/>
      <w:marTop w:val="0"/>
      <w:marBottom w:val="0"/>
      <w:divBdr>
        <w:top w:val="none" w:sz="0" w:space="0" w:color="auto"/>
        <w:left w:val="none" w:sz="0" w:space="0" w:color="auto"/>
        <w:bottom w:val="none" w:sz="0" w:space="0" w:color="auto"/>
        <w:right w:val="none" w:sz="0" w:space="0" w:color="auto"/>
      </w:divBdr>
    </w:div>
    <w:div w:id="190343323">
      <w:bodyDiv w:val="1"/>
      <w:marLeft w:val="0"/>
      <w:marRight w:val="0"/>
      <w:marTop w:val="0"/>
      <w:marBottom w:val="0"/>
      <w:divBdr>
        <w:top w:val="none" w:sz="0" w:space="0" w:color="auto"/>
        <w:left w:val="none" w:sz="0" w:space="0" w:color="auto"/>
        <w:bottom w:val="none" w:sz="0" w:space="0" w:color="auto"/>
        <w:right w:val="none" w:sz="0" w:space="0" w:color="auto"/>
      </w:divBdr>
    </w:div>
    <w:div w:id="190344333">
      <w:bodyDiv w:val="1"/>
      <w:marLeft w:val="0"/>
      <w:marRight w:val="0"/>
      <w:marTop w:val="0"/>
      <w:marBottom w:val="0"/>
      <w:divBdr>
        <w:top w:val="none" w:sz="0" w:space="0" w:color="auto"/>
        <w:left w:val="none" w:sz="0" w:space="0" w:color="auto"/>
        <w:bottom w:val="none" w:sz="0" w:space="0" w:color="auto"/>
        <w:right w:val="none" w:sz="0" w:space="0" w:color="auto"/>
      </w:divBdr>
    </w:div>
    <w:div w:id="190345490">
      <w:bodyDiv w:val="1"/>
      <w:marLeft w:val="0"/>
      <w:marRight w:val="0"/>
      <w:marTop w:val="0"/>
      <w:marBottom w:val="0"/>
      <w:divBdr>
        <w:top w:val="none" w:sz="0" w:space="0" w:color="auto"/>
        <w:left w:val="none" w:sz="0" w:space="0" w:color="auto"/>
        <w:bottom w:val="none" w:sz="0" w:space="0" w:color="auto"/>
        <w:right w:val="none" w:sz="0" w:space="0" w:color="auto"/>
      </w:divBdr>
    </w:div>
    <w:div w:id="190412489">
      <w:bodyDiv w:val="1"/>
      <w:marLeft w:val="0"/>
      <w:marRight w:val="0"/>
      <w:marTop w:val="0"/>
      <w:marBottom w:val="0"/>
      <w:divBdr>
        <w:top w:val="none" w:sz="0" w:space="0" w:color="auto"/>
        <w:left w:val="none" w:sz="0" w:space="0" w:color="auto"/>
        <w:bottom w:val="none" w:sz="0" w:space="0" w:color="auto"/>
        <w:right w:val="none" w:sz="0" w:space="0" w:color="auto"/>
      </w:divBdr>
    </w:div>
    <w:div w:id="190454570">
      <w:bodyDiv w:val="1"/>
      <w:marLeft w:val="0"/>
      <w:marRight w:val="0"/>
      <w:marTop w:val="0"/>
      <w:marBottom w:val="0"/>
      <w:divBdr>
        <w:top w:val="none" w:sz="0" w:space="0" w:color="auto"/>
        <w:left w:val="none" w:sz="0" w:space="0" w:color="auto"/>
        <w:bottom w:val="none" w:sz="0" w:space="0" w:color="auto"/>
        <w:right w:val="none" w:sz="0" w:space="0" w:color="auto"/>
      </w:divBdr>
    </w:div>
    <w:div w:id="190457902">
      <w:bodyDiv w:val="1"/>
      <w:marLeft w:val="0"/>
      <w:marRight w:val="0"/>
      <w:marTop w:val="0"/>
      <w:marBottom w:val="0"/>
      <w:divBdr>
        <w:top w:val="none" w:sz="0" w:space="0" w:color="auto"/>
        <w:left w:val="none" w:sz="0" w:space="0" w:color="auto"/>
        <w:bottom w:val="none" w:sz="0" w:space="0" w:color="auto"/>
        <w:right w:val="none" w:sz="0" w:space="0" w:color="auto"/>
      </w:divBdr>
    </w:div>
    <w:div w:id="190459102">
      <w:bodyDiv w:val="1"/>
      <w:marLeft w:val="0"/>
      <w:marRight w:val="0"/>
      <w:marTop w:val="0"/>
      <w:marBottom w:val="0"/>
      <w:divBdr>
        <w:top w:val="none" w:sz="0" w:space="0" w:color="auto"/>
        <w:left w:val="none" w:sz="0" w:space="0" w:color="auto"/>
        <w:bottom w:val="none" w:sz="0" w:space="0" w:color="auto"/>
        <w:right w:val="none" w:sz="0" w:space="0" w:color="auto"/>
      </w:divBdr>
    </w:div>
    <w:div w:id="190539190">
      <w:bodyDiv w:val="1"/>
      <w:marLeft w:val="0"/>
      <w:marRight w:val="0"/>
      <w:marTop w:val="0"/>
      <w:marBottom w:val="0"/>
      <w:divBdr>
        <w:top w:val="none" w:sz="0" w:space="0" w:color="auto"/>
        <w:left w:val="none" w:sz="0" w:space="0" w:color="auto"/>
        <w:bottom w:val="none" w:sz="0" w:space="0" w:color="auto"/>
        <w:right w:val="none" w:sz="0" w:space="0" w:color="auto"/>
      </w:divBdr>
    </w:div>
    <w:div w:id="190580183">
      <w:bodyDiv w:val="1"/>
      <w:marLeft w:val="0"/>
      <w:marRight w:val="0"/>
      <w:marTop w:val="0"/>
      <w:marBottom w:val="0"/>
      <w:divBdr>
        <w:top w:val="none" w:sz="0" w:space="0" w:color="auto"/>
        <w:left w:val="none" w:sz="0" w:space="0" w:color="auto"/>
        <w:bottom w:val="none" w:sz="0" w:space="0" w:color="auto"/>
        <w:right w:val="none" w:sz="0" w:space="0" w:color="auto"/>
      </w:divBdr>
    </w:div>
    <w:div w:id="190607585">
      <w:bodyDiv w:val="1"/>
      <w:marLeft w:val="0"/>
      <w:marRight w:val="0"/>
      <w:marTop w:val="0"/>
      <w:marBottom w:val="0"/>
      <w:divBdr>
        <w:top w:val="none" w:sz="0" w:space="0" w:color="auto"/>
        <w:left w:val="none" w:sz="0" w:space="0" w:color="auto"/>
        <w:bottom w:val="none" w:sz="0" w:space="0" w:color="auto"/>
        <w:right w:val="none" w:sz="0" w:space="0" w:color="auto"/>
      </w:divBdr>
    </w:div>
    <w:div w:id="191111743">
      <w:bodyDiv w:val="1"/>
      <w:marLeft w:val="0"/>
      <w:marRight w:val="0"/>
      <w:marTop w:val="0"/>
      <w:marBottom w:val="0"/>
      <w:divBdr>
        <w:top w:val="none" w:sz="0" w:space="0" w:color="auto"/>
        <w:left w:val="none" w:sz="0" w:space="0" w:color="auto"/>
        <w:bottom w:val="none" w:sz="0" w:space="0" w:color="auto"/>
        <w:right w:val="none" w:sz="0" w:space="0" w:color="auto"/>
      </w:divBdr>
    </w:div>
    <w:div w:id="191265311">
      <w:bodyDiv w:val="1"/>
      <w:marLeft w:val="0"/>
      <w:marRight w:val="0"/>
      <w:marTop w:val="0"/>
      <w:marBottom w:val="0"/>
      <w:divBdr>
        <w:top w:val="none" w:sz="0" w:space="0" w:color="auto"/>
        <w:left w:val="none" w:sz="0" w:space="0" w:color="auto"/>
        <w:bottom w:val="none" w:sz="0" w:space="0" w:color="auto"/>
        <w:right w:val="none" w:sz="0" w:space="0" w:color="auto"/>
      </w:divBdr>
    </w:div>
    <w:div w:id="191265739">
      <w:bodyDiv w:val="1"/>
      <w:marLeft w:val="0"/>
      <w:marRight w:val="0"/>
      <w:marTop w:val="0"/>
      <w:marBottom w:val="0"/>
      <w:divBdr>
        <w:top w:val="none" w:sz="0" w:space="0" w:color="auto"/>
        <w:left w:val="none" w:sz="0" w:space="0" w:color="auto"/>
        <w:bottom w:val="none" w:sz="0" w:space="0" w:color="auto"/>
        <w:right w:val="none" w:sz="0" w:space="0" w:color="auto"/>
      </w:divBdr>
    </w:div>
    <w:div w:id="191305448">
      <w:bodyDiv w:val="1"/>
      <w:marLeft w:val="0"/>
      <w:marRight w:val="0"/>
      <w:marTop w:val="0"/>
      <w:marBottom w:val="0"/>
      <w:divBdr>
        <w:top w:val="none" w:sz="0" w:space="0" w:color="auto"/>
        <w:left w:val="none" w:sz="0" w:space="0" w:color="auto"/>
        <w:bottom w:val="none" w:sz="0" w:space="0" w:color="auto"/>
        <w:right w:val="none" w:sz="0" w:space="0" w:color="auto"/>
      </w:divBdr>
    </w:div>
    <w:div w:id="191309777">
      <w:bodyDiv w:val="1"/>
      <w:marLeft w:val="0"/>
      <w:marRight w:val="0"/>
      <w:marTop w:val="0"/>
      <w:marBottom w:val="0"/>
      <w:divBdr>
        <w:top w:val="none" w:sz="0" w:space="0" w:color="auto"/>
        <w:left w:val="none" w:sz="0" w:space="0" w:color="auto"/>
        <w:bottom w:val="none" w:sz="0" w:space="0" w:color="auto"/>
        <w:right w:val="none" w:sz="0" w:space="0" w:color="auto"/>
      </w:divBdr>
    </w:div>
    <w:div w:id="191385663">
      <w:bodyDiv w:val="1"/>
      <w:marLeft w:val="0"/>
      <w:marRight w:val="0"/>
      <w:marTop w:val="0"/>
      <w:marBottom w:val="0"/>
      <w:divBdr>
        <w:top w:val="none" w:sz="0" w:space="0" w:color="auto"/>
        <w:left w:val="none" w:sz="0" w:space="0" w:color="auto"/>
        <w:bottom w:val="none" w:sz="0" w:space="0" w:color="auto"/>
        <w:right w:val="none" w:sz="0" w:space="0" w:color="auto"/>
      </w:divBdr>
    </w:div>
    <w:div w:id="191575821">
      <w:bodyDiv w:val="1"/>
      <w:marLeft w:val="0"/>
      <w:marRight w:val="0"/>
      <w:marTop w:val="0"/>
      <w:marBottom w:val="0"/>
      <w:divBdr>
        <w:top w:val="none" w:sz="0" w:space="0" w:color="auto"/>
        <w:left w:val="none" w:sz="0" w:space="0" w:color="auto"/>
        <w:bottom w:val="none" w:sz="0" w:space="0" w:color="auto"/>
        <w:right w:val="none" w:sz="0" w:space="0" w:color="auto"/>
      </w:divBdr>
    </w:div>
    <w:div w:id="191652106">
      <w:bodyDiv w:val="1"/>
      <w:marLeft w:val="0"/>
      <w:marRight w:val="0"/>
      <w:marTop w:val="0"/>
      <w:marBottom w:val="0"/>
      <w:divBdr>
        <w:top w:val="none" w:sz="0" w:space="0" w:color="auto"/>
        <w:left w:val="none" w:sz="0" w:space="0" w:color="auto"/>
        <w:bottom w:val="none" w:sz="0" w:space="0" w:color="auto"/>
        <w:right w:val="none" w:sz="0" w:space="0" w:color="auto"/>
      </w:divBdr>
    </w:div>
    <w:div w:id="191652487">
      <w:bodyDiv w:val="1"/>
      <w:marLeft w:val="0"/>
      <w:marRight w:val="0"/>
      <w:marTop w:val="0"/>
      <w:marBottom w:val="0"/>
      <w:divBdr>
        <w:top w:val="none" w:sz="0" w:space="0" w:color="auto"/>
        <w:left w:val="none" w:sz="0" w:space="0" w:color="auto"/>
        <w:bottom w:val="none" w:sz="0" w:space="0" w:color="auto"/>
        <w:right w:val="none" w:sz="0" w:space="0" w:color="auto"/>
      </w:divBdr>
    </w:div>
    <w:div w:id="191771463">
      <w:bodyDiv w:val="1"/>
      <w:marLeft w:val="0"/>
      <w:marRight w:val="0"/>
      <w:marTop w:val="0"/>
      <w:marBottom w:val="0"/>
      <w:divBdr>
        <w:top w:val="none" w:sz="0" w:space="0" w:color="auto"/>
        <w:left w:val="none" w:sz="0" w:space="0" w:color="auto"/>
        <w:bottom w:val="none" w:sz="0" w:space="0" w:color="auto"/>
        <w:right w:val="none" w:sz="0" w:space="0" w:color="auto"/>
      </w:divBdr>
    </w:div>
    <w:div w:id="191842878">
      <w:bodyDiv w:val="1"/>
      <w:marLeft w:val="0"/>
      <w:marRight w:val="0"/>
      <w:marTop w:val="0"/>
      <w:marBottom w:val="0"/>
      <w:divBdr>
        <w:top w:val="none" w:sz="0" w:space="0" w:color="auto"/>
        <w:left w:val="none" w:sz="0" w:space="0" w:color="auto"/>
        <w:bottom w:val="none" w:sz="0" w:space="0" w:color="auto"/>
        <w:right w:val="none" w:sz="0" w:space="0" w:color="auto"/>
      </w:divBdr>
    </w:div>
    <w:div w:id="191966525">
      <w:bodyDiv w:val="1"/>
      <w:marLeft w:val="0"/>
      <w:marRight w:val="0"/>
      <w:marTop w:val="0"/>
      <w:marBottom w:val="0"/>
      <w:divBdr>
        <w:top w:val="none" w:sz="0" w:space="0" w:color="auto"/>
        <w:left w:val="none" w:sz="0" w:space="0" w:color="auto"/>
        <w:bottom w:val="none" w:sz="0" w:space="0" w:color="auto"/>
        <w:right w:val="none" w:sz="0" w:space="0" w:color="auto"/>
      </w:divBdr>
    </w:div>
    <w:div w:id="192109869">
      <w:bodyDiv w:val="1"/>
      <w:marLeft w:val="0"/>
      <w:marRight w:val="0"/>
      <w:marTop w:val="0"/>
      <w:marBottom w:val="0"/>
      <w:divBdr>
        <w:top w:val="none" w:sz="0" w:space="0" w:color="auto"/>
        <w:left w:val="none" w:sz="0" w:space="0" w:color="auto"/>
        <w:bottom w:val="none" w:sz="0" w:space="0" w:color="auto"/>
        <w:right w:val="none" w:sz="0" w:space="0" w:color="auto"/>
      </w:divBdr>
    </w:div>
    <w:div w:id="192152853">
      <w:bodyDiv w:val="1"/>
      <w:marLeft w:val="0"/>
      <w:marRight w:val="0"/>
      <w:marTop w:val="0"/>
      <w:marBottom w:val="0"/>
      <w:divBdr>
        <w:top w:val="none" w:sz="0" w:space="0" w:color="auto"/>
        <w:left w:val="none" w:sz="0" w:space="0" w:color="auto"/>
        <w:bottom w:val="none" w:sz="0" w:space="0" w:color="auto"/>
        <w:right w:val="none" w:sz="0" w:space="0" w:color="auto"/>
      </w:divBdr>
    </w:div>
    <w:div w:id="192309668">
      <w:bodyDiv w:val="1"/>
      <w:marLeft w:val="0"/>
      <w:marRight w:val="0"/>
      <w:marTop w:val="0"/>
      <w:marBottom w:val="0"/>
      <w:divBdr>
        <w:top w:val="none" w:sz="0" w:space="0" w:color="auto"/>
        <w:left w:val="none" w:sz="0" w:space="0" w:color="auto"/>
        <w:bottom w:val="none" w:sz="0" w:space="0" w:color="auto"/>
        <w:right w:val="none" w:sz="0" w:space="0" w:color="auto"/>
      </w:divBdr>
    </w:div>
    <w:div w:id="192501375">
      <w:bodyDiv w:val="1"/>
      <w:marLeft w:val="0"/>
      <w:marRight w:val="0"/>
      <w:marTop w:val="0"/>
      <w:marBottom w:val="0"/>
      <w:divBdr>
        <w:top w:val="none" w:sz="0" w:space="0" w:color="auto"/>
        <w:left w:val="none" w:sz="0" w:space="0" w:color="auto"/>
        <w:bottom w:val="none" w:sz="0" w:space="0" w:color="auto"/>
        <w:right w:val="none" w:sz="0" w:space="0" w:color="auto"/>
      </w:divBdr>
    </w:div>
    <w:div w:id="192576555">
      <w:bodyDiv w:val="1"/>
      <w:marLeft w:val="0"/>
      <w:marRight w:val="0"/>
      <w:marTop w:val="0"/>
      <w:marBottom w:val="0"/>
      <w:divBdr>
        <w:top w:val="none" w:sz="0" w:space="0" w:color="auto"/>
        <w:left w:val="none" w:sz="0" w:space="0" w:color="auto"/>
        <w:bottom w:val="none" w:sz="0" w:space="0" w:color="auto"/>
        <w:right w:val="none" w:sz="0" w:space="0" w:color="auto"/>
      </w:divBdr>
    </w:div>
    <w:div w:id="192694485">
      <w:bodyDiv w:val="1"/>
      <w:marLeft w:val="0"/>
      <w:marRight w:val="0"/>
      <w:marTop w:val="0"/>
      <w:marBottom w:val="0"/>
      <w:divBdr>
        <w:top w:val="none" w:sz="0" w:space="0" w:color="auto"/>
        <w:left w:val="none" w:sz="0" w:space="0" w:color="auto"/>
        <w:bottom w:val="none" w:sz="0" w:space="0" w:color="auto"/>
        <w:right w:val="none" w:sz="0" w:space="0" w:color="auto"/>
      </w:divBdr>
    </w:div>
    <w:div w:id="192694698">
      <w:bodyDiv w:val="1"/>
      <w:marLeft w:val="0"/>
      <w:marRight w:val="0"/>
      <w:marTop w:val="0"/>
      <w:marBottom w:val="0"/>
      <w:divBdr>
        <w:top w:val="none" w:sz="0" w:space="0" w:color="auto"/>
        <w:left w:val="none" w:sz="0" w:space="0" w:color="auto"/>
        <w:bottom w:val="none" w:sz="0" w:space="0" w:color="auto"/>
        <w:right w:val="none" w:sz="0" w:space="0" w:color="auto"/>
      </w:divBdr>
    </w:div>
    <w:div w:id="192810013">
      <w:bodyDiv w:val="1"/>
      <w:marLeft w:val="0"/>
      <w:marRight w:val="0"/>
      <w:marTop w:val="0"/>
      <w:marBottom w:val="0"/>
      <w:divBdr>
        <w:top w:val="none" w:sz="0" w:space="0" w:color="auto"/>
        <w:left w:val="none" w:sz="0" w:space="0" w:color="auto"/>
        <w:bottom w:val="none" w:sz="0" w:space="0" w:color="auto"/>
        <w:right w:val="none" w:sz="0" w:space="0" w:color="auto"/>
      </w:divBdr>
    </w:div>
    <w:div w:id="193003696">
      <w:bodyDiv w:val="1"/>
      <w:marLeft w:val="0"/>
      <w:marRight w:val="0"/>
      <w:marTop w:val="0"/>
      <w:marBottom w:val="0"/>
      <w:divBdr>
        <w:top w:val="none" w:sz="0" w:space="0" w:color="auto"/>
        <w:left w:val="none" w:sz="0" w:space="0" w:color="auto"/>
        <w:bottom w:val="none" w:sz="0" w:space="0" w:color="auto"/>
        <w:right w:val="none" w:sz="0" w:space="0" w:color="auto"/>
      </w:divBdr>
    </w:div>
    <w:div w:id="193008968">
      <w:bodyDiv w:val="1"/>
      <w:marLeft w:val="0"/>
      <w:marRight w:val="0"/>
      <w:marTop w:val="0"/>
      <w:marBottom w:val="0"/>
      <w:divBdr>
        <w:top w:val="none" w:sz="0" w:space="0" w:color="auto"/>
        <w:left w:val="none" w:sz="0" w:space="0" w:color="auto"/>
        <w:bottom w:val="none" w:sz="0" w:space="0" w:color="auto"/>
        <w:right w:val="none" w:sz="0" w:space="0" w:color="auto"/>
      </w:divBdr>
    </w:div>
    <w:div w:id="193033378">
      <w:bodyDiv w:val="1"/>
      <w:marLeft w:val="0"/>
      <w:marRight w:val="0"/>
      <w:marTop w:val="0"/>
      <w:marBottom w:val="0"/>
      <w:divBdr>
        <w:top w:val="none" w:sz="0" w:space="0" w:color="auto"/>
        <w:left w:val="none" w:sz="0" w:space="0" w:color="auto"/>
        <w:bottom w:val="none" w:sz="0" w:space="0" w:color="auto"/>
        <w:right w:val="none" w:sz="0" w:space="0" w:color="auto"/>
      </w:divBdr>
    </w:div>
    <w:div w:id="193227302">
      <w:bodyDiv w:val="1"/>
      <w:marLeft w:val="0"/>
      <w:marRight w:val="0"/>
      <w:marTop w:val="0"/>
      <w:marBottom w:val="0"/>
      <w:divBdr>
        <w:top w:val="none" w:sz="0" w:space="0" w:color="auto"/>
        <w:left w:val="none" w:sz="0" w:space="0" w:color="auto"/>
        <w:bottom w:val="none" w:sz="0" w:space="0" w:color="auto"/>
        <w:right w:val="none" w:sz="0" w:space="0" w:color="auto"/>
      </w:divBdr>
    </w:div>
    <w:div w:id="193227782">
      <w:bodyDiv w:val="1"/>
      <w:marLeft w:val="0"/>
      <w:marRight w:val="0"/>
      <w:marTop w:val="0"/>
      <w:marBottom w:val="0"/>
      <w:divBdr>
        <w:top w:val="none" w:sz="0" w:space="0" w:color="auto"/>
        <w:left w:val="none" w:sz="0" w:space="0" w:color="auto"/>
        <w:bottom w:val="none" w:sz="0" w:space="0" w:color="auto"/>
        <w:right w:val="none" w:sz="0" w:space="0" w:color="auto"/>
      </w:divBdr>
    </w:div>
    <w:div w:id="193228921">
      <w:bodyDiv w:val="1"/>
      <w:marLeft w:val="0"/>
      <w:marRight w:val="0"/>
      <w:marTop w:val="0"/>
      <w:marBottom w:val="0"/>
      <w:divBdr>
        <w:top w:val="none" w:sz="0" w:space="0" w:color="auto"/>
        <w:left w:val="none" w:sz="0" w:space="0" w:color="auto"/>
        <w:bottom w:val="none" w:sz="0" w:space="0" w:color="auto"/>
        <w:right w:val="none" w:sz="0" w:space="0" w:color="auto"/>
      </w:divBdr>
    </w:div>
    <w:div w:id="193276954">
      <w:bodyDiv w:val="1"/>
      <w:marLeft w:val="0"/>
      <w:marRight w:val="0"/>
      <w:marTop w:val="0"/>
      <w:marBottom w:val="0"/>
      <w:divBdr>
        <w:top w:val="none" w:sz="0" w:space="0" w:color="auto"/>
        <w:left w:val="none" w:sz="0" w:space="0" w:color="auto"/>
        <w:bottom w:val="none" w:sz="0" w:space="0" w:color="auto"/>
        <w:right w:val="none" w:sz="0" w:space="0" w:color="auto"/>
      </w:divBdr>
    </w:div>
    <w:div w:id="193350289">
      <w:bodyDiv w:val="1"/>
      <w:marLeft w:val="0"/>
      <w:marRight w:val="0"/>
      <w:marTop w:val="0"/>
      <w:marBottom w:val="0"/>
      <w:divBdr>
        <w:top w:val="none" w:sz="0" w:space="0" w:color="auto"/>
        <w:left w:val="none" w:sz="0" w:space="0" w:color="auto"/>
        <w:bottom w:val="none" w:sz="0" w:space="0" w:color="auto"/>
        <w:right w:val="none" w:sz="0" w:space="0" w:color="auto"/>
      </w:divBdr>
    </w:div>
    <w:div w:id="193420189">
      <w:bodyDiv w:val="1"/>
      <w:marLeft w:val="0"/>
      <w:marRight w:val="0"/>
      <w:marTop w:val="0"/>
      <w:marBottom w:val="0"/>
      <w:divBdr>
        <w:top w:val="none" w:sz="0" w:space="0" w:color="auto"/>
        <w:left w:val="none" w:sz="0" w:space="0" w:color="auto"/>
        <w:bottom w:val="none" w:sz="0" w:space="0" w:color="auto"/>
        <w:right w:val="none" w:sz="0" w:space="0" w:color="auto"/>
      </w:divBdr>
    </w:div>
    <w:div w:id="193425547">
      <w:bodyDiv w:val="1"/>
      <w:marLeft w:val="0"/>
      <w:marRight w:val="0"/>
      <w:marTop w:val="0"/>
      <w:marBottom w:val="0"/>
      <w:divBdr>
        <w:top w:val="none" w:sz="0" w:space="0" w:color="auto"/>
        <w:left w:val="none" w:sz="0" w:space="0" w:color="auto"/>
        <w:bottom w:val="none" w:sz="0" w:space="0" w:color="auto"/>
        <w:right w:val="none" w:sz="0" w:space="0" w:color="auto"/>
      </w:divBdr>
    </w:div>
    <w:div w:id="193537749">
      <w:bodyDiv w:val="1"/>
      <w:marLeft w:val="0"/>
      <w:marRight w:val="0"/>
      <w:marTop w:val="0"/>
      <w:marBottom w:val="0"/>
      <w:divBdr>
        <w:top w:val="none" w:sz="0" w:space="0" w:color="auto"/>
        <w:left w:val="none" w:sz="0" w:space="0" w:color="auto"/>
        <w:bottom w:val="none" w:sz="0" w:space="0" w:color="auto"/>
        <w:right w:val="none" w:sz="0" w:space="0" w:color="auto"/>
      </w:divBdr>
    </w:div>
    <w:div w:id="193689079">
      <w:bodyDiv w:val="1"/>
      <w:marLeft w:val="0"/>
      <w:marRight w:val="0"/>
      <w:marTop w:val="0"/>
      <w:marBottom w:val="0"/>
      <w:divBdr>
        <w:top w:val="none" w:sz="0" w:space="0" w:color="auto"/>
        <w:left w:val="none" w:sz="0" w:space="0" w:color="auto"/>
        <w:bottom w:val="none" w:sz="0" w:space="0" w:color="auto"/>
        <w:right w:val="none" w:sz="0" w:space="0" w:color="auto"/>
      </w:divBdr>
    </w:div>
    <w:div w:id="193886638">
      <w:bodyDiv w:val="1"/>
      <w:marLeft w:val="0"/>
      <w:marRight w:val="0"/>
      <w:marTop w:val="0"/>
      <w:marBottom w:val="0"/>
      <w:divBdr>
        <w:top w:val="none" w:sz="0" w:space="0" w:color="auto"/>
        <w:left w:val="none" w:sz="0" w:space="0" w:color="auto"/>
        <w:bottom w:val="none" w:sz="0" w:space="0" w:color="auto"/>
        <w:right w:val="none" w:sz="0" w:space="0" w:color="auto"/>
      </w:divBdr>
    </w:div>
    <w:div w:id="193927718">
      <w:bodyDiv w:val="1"/>
      <w:marLeft w:val="0"/>
      <w:marRight w:val="0"/>
      <w:marTop w:val="0"/>
      <w:marBottom w:val="0"/>
      <w:divBdr>
        <w:top w:val="none" w:sz="0" w:space="0" w:color="auto"/>
        <w:left w:val="none" w:sz="0" w:space="0" w:color="auto"/>
        <w:bottom w:val="none" w:sz="0" w:space="0" w:color="auto"/>
        <w:right w:val="none" w:sz="0" w:space="0" w:color="auto"/>
      </w:divBdr>
    </w:div>
    <w:div w:id="193933775">
      <w:bodyDiv w:val="1"/>
      <w:marLeft w:val="0"/>
      <w:marRight w:val="0"/>
      <w:marTop w:val="0"/>
      <w:marBottom w:val="0"/>
      <w:divBdr>
        <w:top w:val="none" w:sz="0" w:space="0" w:color="auto"/>
        <w:left w:val="none" w:sz="0" w:space="0" w:color="auto"/>
        <w:bottom w:val="none" w:sz="0" w:space="0" w:color="auto"/>
        <w:right w:val="none" w:sz="0" w:space="0" w:color="auto"/>
      </w:divBdr>
    </w:div>
    <w:div w:id="194000480">
      <w:bodyDiv w:val="1"/>
      <w:marLeft w:val="0"/>
      <w:marRight w:val="0"/>
      <w:marTop w:val="0"/>
      <w:marBottom w:val="0"/>
      <w:divBdr>
        <w:top w:val="none" w:sz="0" w:space="0" w:color="auto"/>
        <w:left w:val="none" w:sz="0" w:space="0" w:color="auto"/>
        <w:bottom w:val="none" w:sz="0" w:space="0" w:color="auto"/>
        <w:right w:val="none" w:sz="0" w:space="0" w:color="auto"/>
      </w:divBdr>
    </w:div>
    <w:div w:id="194001259">
      <w:bodyDiv w:val="1"/>
      <w:marLeft w:val="0"/>
      <w:marRight w:val="0"/>
      <w:marTop w:val="0"/>
      <w:marBottom w:val="0"/>
      <w:divBdr>
        <w:top w:val="none" w:sz="0" w:space="0" w:color="auto"/>
        <w:left w:val="none" w:sz="0" w:space="0" w:color="auto"/>
        <w:bottom w:val="none" w:sz="0" w:space="0" w:color="auto"/>
        <w:right w:val="none" w:sz="0" w:space="0" w:color="auto"/>
      </w:divBdr>
    </w:div>
    <w:div w:id="194201366">
      <w:bodyDiv w:val="1"/>
      <w:marLeft w:val="0"/>
      <w:marRight w:val="0"/>
      <w:marTop w:val="0"/>
      <w:marBottom w:val="0"/>
      <w:divBdr>
        <w:top w:val="none" w:sz="0" w:space="0" w:color="auto"/>
        <w:left w:val="none" w:sz="0" w:space="0" w:color="auto"/>
        <w:bottom w:val="none" w:sz="0" w:space="0" w:color="auto"/>
        <w:right w:val="none" w:sz="0" w:space="0" w:color="auto"/>
      </w:divBdr>
    </w:div>
    <w:div w:id="194276762">
      <w:bodyDiv w:val="1"/>
      <w:marLeft w:val="0"/>
      <w:marRight w:val="0"/>
      <w:marTop w:val="0"/>
      <w:marBottom w:val="0"/>
      <w:divBdr>
        <w:top w:val="none" w:sz="0" w:space="0" w:color="auto"/>
        <w:left w:val="none" w:sz="0" w:space="0" w:color="auto"/>
        <w:bottom w:val="none" w:sz="0" w:space="0" w:color="auto"/>
        <w:right w:val="none" w:sz="0" w:space="0" w:color="auto"/>
      </w:divBdr>
    </w:div>
    <w:div w:id="194390605">
      <w:bodyDiv w:val="1"/>
      <w:marLeft w:val="0"/>
      <w:marRight w:val="0"/>
      <w:marTop w:val="0"/>
      <w:marBottom w:val="0"/>
      <w:divBdr>
        <w:top w:val="none" w:sz="0" w:space="0" w:color="auto"/>
        <w:left w:val="none" w:sz="0" w:space="0" w:color="auto"/>
        <w:bottom w:val="none" w:sz="0" w:space="0" w:color="auto"/>
        <w:right w:val="none" w:sz="0" w:space="0" w:color="auto"/>
      </w:divBdr>
    </w:div>
    <w:div w:id="194539748">
      <w:bodyDiv w:val="1"/>
      <w:marLeft w:val="0"/>
      <w:marRight w:val="0"/>
      <w:marTop w:val="0"/>
      <w:marBottom w:val="0"/>
      <w:divBdr>
        <w:top w:val="none" w:sz="0" w:space="0" w:color="auto"/>
        <w:left w:val="none" w:sz="0" w:space="0" w:color="auto"/>
        <w:bottom w:val="none" w:sz="0" w:space="0" w:color="auto"/>
        <w:right w:val="none" w:sz="0" w:space="0" w:color="auto"/>
      </w:divBdr>
    </w:div>
    <w:div w:id="194732323">
      <w:bodyDiv w:val="1"/>
      <w:marLeft w:val="0"/>
      <w:marRight w:val="0"/>
      <w:marTop w:val="0"/>
      <w:marBottom w:val="0"/>
      <w:divBdr>
        <w:top w:val="none" w:sz="0" w:space="0" w:color="auto"/>
        <w:left w:val="none" w:sz="0" w:space="0" w:color="auto"/>
        <w:bottom w:val="none" w:sz="0" w:space="0" w:color="auto"/>
        <w:right w:val="none" w:sz="0" w:space="0" w:color="auto"/>
      </w:divBdr>
    </w:div>
    <w:div w:id="194773381">
      <w:bodyDiv w:val="1"/>
      <w:marLeft w:val="0"/>
      <w:marRight w:val="0"/>
      <w:marTop w:val="0"/>
      <w:marBottom w:val="0"/>
      <w:divBdr>
        <w:top w:val="none" w:sz="0" w:space="0" w:color="auto"/>
        <w:left w:val="none" w:sz="0" w:space="0" w:color="auto"/>
        <w:bottom w:val="none" w:sz="0" w:space="0" w:color="auto"/>
        <w:right w:val="none" w:sz="0" w:space="0" w:color="auto"/>
      </w:divBdr>
    </w:div>
    <w:div w:id="194774173">
      <w:bodyDiv w:val="1"/>
      <w:marLeft w:val="0"/>
      <w:marRight w:val="0"/>
      <w:marTop w:val="0"/>
      <w:marBottom w:val="0"/>
      <w:divBdr>
        <w:top w:val="none" w:sz="0" w:space="0" w:color="auto"/>
        <w:left w:val="none" w:sz="0" w:space="0" w:color="auto"/>
        <w:bottom w:val="none" w:sz="0" w:space="0" w:color="auto"/>
        <w:right w:val="none" w:sz="0" w:space="0" w:color="auto"/>
      </w:divBdr>
    </w:div>
    <w:div w:id="195050486">
      <w:bodyDiv w:val="1"/>
      <w:marLeft w:val="0"/>
      <w:marRight w:val="0"/>
      <w:marTop w:val="0"/>
      <w:marBottom w:val="0"/>
      <w:divBdr>
        <w:top w:val="none" w:sz="0" w:space="0" w:color="auto"/>
        <w:left w:val="none" w:sz="0" w:space="0" w:color="auto"/>
        <w:bottom w:val="none" w:sz="0" w:space="0" w:color="auto"/>
        <w:right w:val="none" w:sz="0" w:space="0" w:color="auto"/>
      </w:divBdr>
    </w:div>
    <w:div w:id="195126274">
      <w:bodyDiv w:val="1"/>
      <w:marLeft w:val="0"/>
      <w:marRight w:val="0"/>
      <w:marTop w:val="0"/>
      <w:marBottom w:val="0"/>
      <w:divBdr>
        <w:top w:val="none" w:sz="0" w:space="0" w:color="auto"/>
        <w:left w:val="none" w:sz="0" w:space="0" w:color="auto"/>
        <w:bottom w:val="none" w:sz="0" w:space="0" w:color="auto"/>
        <w:right w:val="none" w:sz="0" w:space="0" w:color="auto"/>
      </w:divBdr>
    </w:div>
    <w:div w:id="195238871">
      <w:bodyDiv w:val="1"/>
      <w:marLeft w:val="0"/>
      <w:marRight w:val="0"/>
      <w:marTop w:val="0"/>
      <w:marBottom w:val="0"/>
      <w:divBdr>
        <w:top w:val="none" w:sz="0" w:space="0" w:color="auto"/>
        <w:left w:val="none" w:sz="0" w:space="0" w:color="auto"/>
        <w:bottom w:val="none" w:sz="0" w:space="0" w:color="auto"/>
        <w:right w:val="none" w:sz="0" w:space="0" w:color="auto"/>
      </w:divBdr>
    </w:div>
    <w:div w:id="195240474">
      <w:bodyDiv w:val="1"/>
      <w:marLeft w:val="0"/>
      <w:marRight w:val="0"/>
      <w:marTop w:val="0"/>
      <w:marBottom w:val="0"/>
      <w:divBdr>
        <w:top w:val="none" w:sz="0" w:space="0" w:color="auto"/>
        <w:left w:val="none" w:sz="0" w:space="0" w:color="auto"/>
        <w:bottom w:val="none" w:sz="0" w:space="0" w:color="auto"/>
        <w:right w:val="none" w:sz="0" w:space="0" w:color="auto"/>
      </w:divBdr>
    </w:div>
    <w:div w:id="195318239">
      <w:bodyDiv w:val="1"/>
      <w:marLeft w:val="0"/>
      <w:marRight w:val="0"/>
      <w:marTop w:val="0"/>
      <w:marBottom w:val="0"/>
      <w:divBdr>
        <w:top w:val="none" w:sz="0" w:space="0" w:color="auto"/>
        <w:left w:val="none" w:sz="0" w:space="0" w:color="auto"/>
        <w:bottom w:val="none" w:sz="0" w:space="0" w:color="auto"/>
        <w:right w:val="none" w:sz="0" w:space="0" w:color="auto"/>
      </w:divBdr>
    </w:div>
    <w:div w:id="195386904">
      <w:bodyDiv w:val="1"/>
      <w:marLeft w:val="0"/>
      <w:marRight w:val="0"/>
      <w:marTop w:val="0"/>
      <w:marBottom w:val="0"/>
      <w:divBdr>
        <w:top w:val="none" w:sz="0" w:space="0" w:color="auto"/>
        <w:left w:val="none" w:sz="0" w:space="0" w:color="auto"/>
        <w:bottom w:val="none" w:sz="0" w:space="0" w:color="auto"/>
        <w:right w:val="none" w:sz="0" w:space="0" w:color="auto"/>
      </w:divBdr>
    </w:div>
    <w:div w:id="195510124">
      <w:bodyDiv w:val="1"/>
      <w:marLeft w:val="0"/>
      <w:marRight w:val="0"/>
      <w:marTop w:val="0"/>
      <w:marBottom w:val="0"/>
      <w:divBdr>
        <w:top w:val="none" w:sz="0" w:space="0" w:color="auto"/>
        <w:left w:val="none" w:sz="0" w:space="0" w:color="auto"/>
        <w:bottom w:val="none" w:sz="0" w:space="0" w:color="auto"/>
        <w:right w:val="none" w:sz="0" w:space="0" w:color="auto"/>
      </w:divBdr>
    </w:div>
    <w:div w:id="195587531">
      <w:bodyDiv w:val="1"/>
      <w:marLeft w:val="0"/>
      <w:marRight w:val="0"/>
      <w:marTop w:val="0"/>
      <w:marBottom w:val="0"/>
      <w:divBdr>
        <w:top w:val="none" w:sz="0" w:space="0" w:color="auto"/>
        <w:left w:val="none" w:sz="0" w:space="0" w:color="auto"/>
        <w:bottom w:val="none" w:sz="0" w:space="0" w:color="auto"/>
        <w:right w:val="none" w:sz="0" w:space="0" w:color="auto"/>
      </w:divBdr>
    </w:div>
    <w:div w:id="195625582">
      <w:bodyDiv w:val="1"/>
      <w:marLeft w:val="0"/>
      <w:marRight w:val="0"/>
      <w:marTop w:val="0"/>
      <w:marBottom w:val="0"/>
      <w:divBdr>
        <w:top w:val="none" w:sz="0" w:space="0" w:color="auto"/>
        <w:left w:val="none" w:sz="0" w:space="0" w:color="auto"/>
        <w:bottom w:val="none" w:sz="0" w:space="0" w:color="auto"/>
        <w:right w:val="none" w:sz="0" w:space="0" w:color="auto"/>
      </w:divBdr>
    </w:div>
    <w:div w:id="195702316">
      <w:bodyDiv w:val="1"/>
      <w:marLeft w:val="0"/>
      <w:marRight w:val="0"/>
      <w:marTop w:val="0"/>
      <w:marBottom w:val="0"/>
      <w:divBdr>
        <w:top w:val="none" w:sz="0" w:space="0" w:color="auto"/>
        <w:left w:val="none" w:sz="0" w:space="0" w:color="auto"/>
        <w:bottom w:val="none" w:sz="0" w:space="0" w:color="auto"/>
        <w:right w:val="none" w:sz="0" w:space="0" w:color="auto"/>
      </w:divBdr>
    </w:div>
    <w:div w:id="195777011">
      <w:bodyDiv w:val="1"/>
      <w:marLeft w:val="0"/>
      <w:marRight w:val="0"/>
      <w:marTop w:val="0"/>
      <w:marBottom w:val="0"/>
      <w:divBdr>
        <w:top w:val="none" w:sz="0" w:space="0" w:color="auto"/>
        <w:left w:val="none" w:sz="0" w:space="0" w:color="auto"/>
        <w:bottom w:val="none" w:sz="0" w:space="0" w:color="auto"/>
        <w:right w:val="none" w:sz="0" w:space="0" w:color="auto"/>
      </w:divBdr>
    </w:div>
    <w:div w:id="195848999">
      <w:bodyDiv w:val="1"/>
      <w:marLeft w:val="0"/>
      <w:marRight w:val="0"/>
      <w:marTop w:val="0"/>
      <w:marBottom w:val="0"/>
      <w:divBdr>
        <w:top w:val="none" w:sz="0" w:space="0" w:color="auto"/>
        <w:left w:val="none" w:sz="0" w:space="0" w:color="auto"/>
        <w:bottom w:val="none" w:sz="0" w:space="0" w:color="auto"/>
        <w:right w:val="none" w:sz="0" w:space="0" w:color="auto"/>
      </w:divBdr>
    </w:div>
    <w:div w:id="196044705">
      <w:bodyDiv w:val="1"/>
      <w:marLeft w:val="0"/>
      <w:marRight w:val="0"/>
      <w:marTop w:val="0"/>
      <w:marBottom w:val="0"/>
      <w:divBdr>
        <w:top w:val="none" w:sz="0" w:space="0" w:color="auto"/>
        <w:left w:val="none" w:sz="0" w:space="0" w:color="auto"/>
        <w:bottom w:val="none" w:sz="0" w:space="0" w:color="auto"/>
        <w:right w:val="none" w:sz="0" w:space="0" w:color="auto"/>
      </w:divBdr>
    </w:div>
    <w:div w:id="196048602">
      <w:bodyDiv w:val="1"/>
      <w:marLeft w:val="0"/>
      <w:marRight w:val="0"/>
      <w:marTop w:val="0"/>
      <w:marBottom w:val="0"/>
      <w:divBdr>
        <w:top w:val="none" w:sz="0" w:space="0" w:color="auto"/>
        <w:left w:val="none" w:sz="0" w:space="0" w:color="auto"/>
        <w:bottom w:val="none" w:sz="0" w:space="0" w:color="auto"/>
        <w:right w:val="none" w:sz="0" w:space="0" w:color="auto"/>
      </w:divBdr>
    </w:div>
    <w:div w:id="196085097">
      <w:bodyDiv w:val="1"/>
      <w:marLeft w:val="0"/>
      <w:marRight w:val="0"/>
      <w:marTop w:val="0"/>
      <w:marBottom w:val="0"/>
      <w:divBdr>
        <w:top w:val="none" w:sz="0" w:space="0" w:color="auto"/>
        <w:left w:val="none" w:sz="0" w:space="0" w:color="auto"/>
        <w:bottom w:val="none" w:sz="0" w:space="0" w:color="auto"/>
        <w:right w:val="none" w:sz="0" w:space="0" w:color="auto"/>
      </w:divBdr>
    </w:div>
    <w:div w:id="196164256">
      <w:bodyDiv w:val="1"/>
      <w:marLeft w:val="0"/>
      <w:marRight w:val="0"/>
      <w:marTop w:val="0"/>
      <w:marBottom w:val="0"/>
      <w:divBdr>
        <w:top w:val="none" w:sz="0" w:space="0" w:color="auto"/>
        <w:left w:val="none" w:sz="0" w:space="0" w:color="auto"/>
        <w:bottom w:val="none" w:sz="0" w:space="0" w:color="auto"/>
        <w:right w:val="none" w:sz="0" w:space="0" w:color="auto"/>
      </w:divBdr>
    </w:div>
    <w:div w:id="196237456">
      <w:bodyDiv w:val="1"/>
      <w:marLeft w:val="0"/>
      <w:marRight w:val="0"/>
      <w:marTop w:val="0"/>
      <w:marBottom w:val="0"/>
      <w:divBdr>
        <w:top w:val="none" w:sz="0" w:space="0" w:color="auto"/>
        <w:left w:val="none" w:sz="0" w:space="0" w:color="auto"/>
        <w:bottom w:val="none" w:sz="0" w:space="0" w:color="auto"/>
        <w:right w:val="none" w:sz="0" w:space="0" w:color="auto"/>
      </w:divBdr>
    </w:div>
    <w:div w:id="196242659">
      <w:bodyDiv w:val="1"/>
      <w:marLeft w:val="0"/>
      <w:marRight w:val="0"/>
      <w:marTop w:val="0"/>
      <w:marBottom w:val="0"/>
      <w:divBdr>
        <w:top w:val="none" w:sz="0" w:space="0" w:color="auto"/>
        <w:left w:val="none" w:sz="0" w:space="0" w:color="auto"/>
        <w:bottom w:val="none" w:sz="0" w:space="0" w:color="auto"/>
        <w:right w:val="none" w:sz="0" w:space="0" w:color="auto"/>
      </w:divBdr>
    </w:div>
    <w:div w:id="196243516">
      <w:bodyDiv w:val="1"/>
      <w:marLeft w:val="0"/>
      <w:marRight w:val="0"/>
      <w:marTop w:val="0"/>
      <w:marBottom w:val="0"/>
      <w:divBdr>
        <w:top w:val="none" w:sz="0" w:space="0" w:color="auto"/>
        <w:left w:val="none" w:sz="0" w:space="0" w:color="auto"/>
        <w:bottom w:val="none" w:sz="0" w:space="0" w:color="auto"/>
        <w:right w:val="none" w:sz="0" w:space="0" w:color="auto"/>
      </w:divBdr>
    </w:div>
    <w:div w:id="196361012">
      <w:bodyDiv w:val="1"/>
      <w:marLeft w:val="0"/>
      <w:marRight w:val="0"/>
      <w:marTop w:val="0"/>
      <w:marBottom w:val="0"/>
      <w:divBdr>
        <w:top w:val="none" w:sz="0" w:space="0" w:color="auto"/>
        <w:left w:val="none" w:sz="0" w:space="0" w:color="auto"/>
        <w:bottom w:val="none" w:sz="0" w:space="0" w:color="auto"/>
        <w:right w:val="none" w:sz="0" w:space="0" w:color="auto"/>
      </w:divBdr>
    </w:div>
    <w:div w:id="196430149">
      <w:bodyDiv w:val="1"/>
      <w:marLeft w:val="0"/>
      <w:marRight w:val="0"/>
      <w:marTop w:val="0"/>
      <w:marBottom w:val="0"/>
      <w:divBdr>
        <w:top w:val="none" w:sz="0" w:space="0" w:color="auto"/>
        <w:left w:val="none" w:sz="0" w:space="0" w:color="auto"/>
        <w:bottom w:val="none" w:sz="0" w:space="0" w:color="auto"/>
        <w:right w:val="none" w:sz="0" w:space="0" w:color="auto"/>
      </w:divBdr>
    </w:div>
    <w:div w:id="196436636">
      <w:bodyDiv w:val="1"/>
      <w:marLeft w:val="0"/>
      <w:marRight w:val="0"/>
      <w:marTop w:val="0"/>
      <w:marBottom w:val="0"/>
      <w:divBdr>
        <w:top w:val="none" w:sz="0" w:space="0" w:color="auto"/>
        <w:left w:val="none" w:sz="0" w:space="0" w:color="auto"/>
        <w:bottom w:val="none" w:sz="0" w:space="0" w:color="auto"/>
        <w:right w:val="none" w:sz="0" w:space="0" w:color="auto"/>
      </w:divBdr>
    </w:div>
    <w:div w:id="196507581">
      <w:bodyDiv w:val="1"/>
      <w:marLeft w:val="0"/>
      <w:marRight w:val="0"/>
      <w:marTop w:val="0"/>
      <w:marBottom w:val="0"/>
      <w:divBdr>
        <w:top w:val="none" w:sz="0" w:space="0" w:color="auto"/>
        <w:left w:val="none" w:sz="0" w:space="0" w:color="auto"/>
        <w:bottom w:val="none" w:sz="0" w:space="0" w:color="auto"/>
        <w:right w:val="none" w:sz="0" w:space="0" w:color="auto"/>
      </w:divBdr>
    </w:div>
    <w:div w:id="196550426">
      <w:bodyDiv w:val="1"/>
      <w:marLeft w:val="0"/>
      <w:marRight w:val="0"/>
      <w:marTop w:val="0"/>
      <w:marBottom w:val="0"/>
      <w:divBdr>
        <w:top w:val="none" w:sz="0" w:space="0" w:color="auto"/>
        <w:left w:val="none" w:sz="0" w:space="0" w:color="auto"/>
        <w:bottom w:val="none" w:sz="0" w:space="0" w:color="auto"/>
        <w:right w:val="none" w:sz="0" w:space="0" w:color="auto"/>
      </w:divBdr>
    </w:div>
    <w:div w:id="196628572">
      <w:bodyDiv w:val="1"/>
      <w:marLeft w:val="0"/>
      <w:marRight w:val="0"/>
      <w:marTop w:val="0"/>
      <w:marBottom w:val="0"/>
      <w:divBdr>
        <w:top w:val="none" w:sz="0" w:space="0" w:color="auto"/>
        <w:left w:val="none" w:sz="0" w:space="0" w:color="auto"/>
        <w:bottom w:val="none" w:sz="0" w:space="0" w:color="auto"/>
        <w:right w:val="none" w:sz="0" w:space="0" w:color="auto"/>
      </w:divBdr>
    </w:div>
    <w:div w:id="196699803">
      <w:bodyDiv w:val="1"/>
      <w:marLeft w:val="0"/>
      <w:marRight w:val="0"/>
      <w:marTop w:val="0"/>
      <w:marBottom w:val="0"/>
      <w:divBdr>
        <w:top w:val="none" w:sz="0" w:space="0" w:color="auto"/>
        <w:left w:val="none" w:sz="0" w:space="0" w:color="auto"/>
        <w:bottom w:val="none" w:sz="0" w:space="0" w:color="auto"/>
        <w:right w:val="none" w:sz="0" w:space="0" w:color="auto"/>
      </w:divBdr>
    </w:div>
    <w:div w:id="196704454">
      <w:bodyDiv w:val="1"/>
      <w:marLeft w:val="0"/>
      <w:marRight w:val="0"/>
      <w:marTop w:val="0"/>
      <w:marBottom w:val="0"/>
      <w:divBdr>
        <w:top w:val="none" w:sz="0" w:space="0" w:color="auto"/>
        <w:left w:val="none" w:sz="0" w:space="0" w:color="auto"/>
        <w:bottom w:val="none" w:sz="0" w:space="0" w:color="auto"/>
        <w:right w:val="none" w:sz="0" w:space="0" w:color="auto"/>
      </w:divBdr>
    </w:div>
    <w:div w:id="196746066">
      <w:bodyDiv w:val="1"/>
      <w:marLeft w:val="0"/>
      <w:marRight w:val="0"/>
      <w:marTop w:val="0"/>
      <w:marBottom w:val="0"/>
      <w:divBdr>
        <w:top w:val="none" w:sz="0" w:space="0" w:color="auto"/>
        <w:left w:val="none" w:sz="0" w:space="0" w:color="auto"/>
        <w:bottom w:val="none" w:sz="0" w:space="0" w:color="auto"/>
        <w:right w:val="none" w:sz="0" w:space="0" w:color="auto"/>
      </w:divBdr>
    </w:div>
    <w:div w:id="196747104">
      <w:bodyDiv w:val="1"/>
      <w:marLeft w:val="0"/>
      <w:marRight w:val="0"/>
      <w:marTop w:val="0"/>
      <w:marBottom w:val="0"/>
      <w:divBdr>
        <w:top w:val="none" w:sz="0" w:space="0" w:color="auto"/>
        <w:left w:val="none" w:sz="0" w:space="0" w:color="auto"/>
        <w:bottom w:val="none" w:sz="0" w:space="0" w:color="auto"/>
        <w:right w:val="none" w:sz="0" w:space="0" w:color="auto"/>
      </w:divBdr>
    </w:div>
    <w:div w:id="196816780">
      <w:bodyDiv w:val="1"/>
      <w:marLeft w:val="0"/>
      <w:marRight w:val="0"/>
      <w:marTop w:val="0"/>
      <w:marBottom w:val="0"/>
      <w:divBdr>
        <w:top w:val="none" w:sz="0" w:space="0" w:color="auto"/>
        <w:left w:val="none" w:sz="0" w:space="0" w:color="auto"/>
        <w:bottom w:val="none" w:sz="0" w:space="0" w:color="auto"/>
        <w:right w:val="none" w:sz="0" w:space="0" w:color="auto"/>
      </w:divBdr>
    </w:div>
    <w:div w:id="196822987">
      <w:bodyDiv w:val="1"/>
      <w:marLeft w:val="0"/>
      <w:marRight w:val="0"/>
      <w:marTop w:val="0"/>
      <w:marBottom w:val="0"/>
      <w:divBdr>
        <w:top w:val="none" w:sz="0" w:space="0" w:color="auto"/>
        <w:left w:val="none" w:sz="0" w:space="0" w:color="auto"/>
        <w:bottom w:val="none" w:sz="0" w:space="0" w:color="auto"/>
        <w:right w:val="none" w:sz="0" w:space="0" w:color="auto"/>
      </w:divBdr>
    </w:div>
    <w:div w:id="196891773">
      <w:bodyDiv w:val="1"/>
      <w:marLeft w:val="0"/>
      <w:marRight w:val="0"/>
      <w:marTop w:val="0"/>
      <w:marBottom w:val="0"/>
      <w:divBdr>
        <w:top w:val="none" w:sz="0" w:space="0" w:color="auto"/>
        <w:left w:val="none" w:sz="0" w:space="0" w:color="auto"/>
        <w:bottom w:val="none" w:sz="0" w:space="0" w:color="auto"/>
        <w:right w:val="none" w:sz="0" w:space="0" w:color="auto"/>
      </w:divBdr>
    </w:div>
    <w:div w:id="196893912">
      <w:bodyDiv w:val="1"/>
      <w:marLeft w:val="0"/>
      <w:marRight w:val="0"/>
      <w:marTop w:val="0"/>
      <w:marBottom w:val="0"/>
      <w:divBdr>
        <w:top w:val="none" w:sz="0" w:space="0" w:color="auto"/>
        <w:left w:val="none" w:sz="0" w:space="0" w:color="auto"/>
        <w:bottom w:val="none" w:sz="0" w:space="0" w:color="auto"/>
        <w:right w:val="none" w:sz="0" w:space="0" w:color="auto"/>
      </w:divBdr>
    </w:div>
    <w:div w:id="196897471">
      <w:bodyDiv w:val="1"/>
      <w:marLeft w:val="0"/>
      <w:marRight w:val="0"/>
      <w:marTop w:val="0"/>
      <w:marBottom w:val="0"/>
      <w:divBdr>
        <w:top w:val="none" w:sz="0" w:space="0" w:color="auto"/>
        <w:left w:val="none" w:sz="0" w:space="0" w:color="auto"/>
        <w:bottom w:val="none" w:sz="0" w:space="0" w:color="auto"/>
        <w:right w:val="none" w:sz="0" w:space="0" w:color="auto"/>
      </w:divBdr>
    </w:div>
    <w:div w:id="196965199">
      <w:bodyDiv w:val="1"/>
      <w:marLeft w:val="0"/>
      <w:marRight w:val="0"/>
      <w:marTop w:val="0"/>
      <w:marBottom w:val="0"/>
      <w:divBdr>
        <w:top w:val="none" w:sz="0" w:space="0" w:color="auto"/>
        <w:left w:val="none" w:sz="0" w:space="0" w:color="auto"/>
        <w:bottom w:val="none" w:sz="0" w:space="0" w:color="auto"/>
        <w:right w:val="none" w:sz="0" w:space="0" w:color="auto"/>
      </w:divBdr>
    </w:div>
    <w:div w:id="196966812">
      <w:bodyDiv w:val="1"/>
      <w:marLeft w:val="0"/>
      <w:marRight w:val="0"/>
      <w:marTop w:val="0"/>
      <w:marBottom w:val="0"/>
      <w:divBdr>
        <w:top w:val="none" w:sz="0" w:space="0" w:color="auto"/>
        <w:left w:val="none" w:sz="0" w:space="0" w:color="auto"/>
        <w:bottom w:val="none" w:sz="0" w:space="0" w:color="auto"/>
        <w:right w:val="none" w:sz="0" w:space="0" w:color="auto"/>
      </w:divBdr>
    </w:div>
    <w:div w:id="197009321">
      <w:bodyDiv w:val="1"/>
      <w:marLeft w:val="0"/>
      <w:marRight w:val="0"/>
      <w:marTop w:val="0"/>
      <w:marBottom w:val="0"/>
      <w:divBdr>
        <w:top w:val="none" w:sz="0" w:space="0" w:color="auto"/>
        <w:left w:val="none" w:sz="0" w:space="0" w:color="auto"/>
        <w:bottom w:val="none" w:sz="0" w:space="0" w:color="auto"/>
        <w:right w:val="none" w:sz="0" w:space="0" w:color="auto"/>
      </w:divBdr>
    </w:div>
    <w:div w:id="197086090">
      <w:bodyDiv w:val="1"/>
      <w:marLeft w:val="0"/>
      <w:marRight w:val="0"/>
      <w:marTop w:val="0"/>
      <w:marBottom w:val="0"/>
      <w:divBdr>
        <w:top w:val="none" w:sz="0" w:space="0" w:color="auto"/>
        <w:left w:val="none" w:sz="0" w:space="0" w:color="auto"/>
        <w:bottom w:val="none" w:sz="0" w:space="0" w:color="auto"/>
        <w:right w:val="none" w:sz="0" w:space="0" w:color="auto"/>
      </w:divBdr>
    </w:div>
    <w:div w:id="197134673">
      <w:bodyDiv w:val="1"/>
      <w:marLeft w:val="0"/>
      <w:marRight w:val="0"/>
      <w:marTop w:val="0"/>
      <w:marBottom w:val="0"/>
      <w:divBdr>
        <w:top w:val="none" w:sz="0" w:space="0" w:color="auto"/>
        <w:left w:val="none" w:sz="0" w:space="0" w:color="auto"/>
        <w:bottom w:val="none" w:sz="0" w:space="0" w:color="auto"/>
        <w:right w:val="none" w:sz="0" w:space="0" w:color="auto"/>
      </w:divBdr>
    </w:div>
    <w:div w:id="197206756">
      <w:bodyDiv w:val="1"/>
      <w:marLeft w:val="0"/>
      <w:marRight w:val="0"/>
      <w:marTop w:val="0"/>
      <w:marBottom w:val="0"/>
      <w:divBdr>
        <w:top w:val="none" w:sz="0" w:space="0" w:color="auto"/>
        <w:left w:val="none" w:sz="0" w:space="0" w:color="auto"/>
        <w:bottom w:val="none" w:sz="0" w:space="0" w:color="auto"/>
        <w:right w:val="none" w:sz="0" w:space="0" w:color="auto"/>
      </w:divBdr>
    </w:div>
    <w:div w:id="197209780">
      <w:bodyDiv w:val="1"/>
      <w:marLeft w:val="0"/>
      <w:marRight w:val="0"/>
      <w:marTop w:val="0"/>
      <w:marBottom w:val="0"/>
      <w:divBdr>
        <w:top w:val="none" w:sz="0" w:space="0" w:color="auto"/>
        <w:left w:val="none" w:sz="0" w:space="0" w:color="auto"/>
        <w:bottom w:val="none" w:sz="0" w:space="0" w:color="auto"/>
        <w:right w:val="none" w:sz="0" w:space="0" w:color="auto"/>
      </w:divBdr>
    </w:div>
    <w:div w:id="197353103">
      <w:bodyDiv w:val="1"/>
      <w:marLeft w:val="0"/>
      <w:marRight w:val="0"/>
      <w:marTop w:val="0"/>
      <w:marBottom w:val="0"/>
      <w:divBdr>
        <w:top w:val="none" w:sz="0" w:space="0" w:color="auto"/>
        <w:left w:val="none" w:sz="0" w:space="0" w:color="auto"/>
        <w:bottom w:val="none" w:sz="0" w:space="0" w:color="auto"/>
        <w:right w:val="none" w:sz="0" w:space="0" w:color="auto"/>
      </w:divBdr>
    </w:div>
    <w:div w:id="197355464">
      <w:bodyDiv w:val="1"/>
      <w:marLeft w:val="0"/>
      <w:marRight w:val="0"/>
      <w:marTop w:val="0"/>
      <w:marBottom w:val="0"/>
      <w:divBdr>
        <w:top w:val="none" w:sz="0" w:space="0" w:color="auto"/>
        <w:left w:val="none" w:sz="0" w:space="0" w:color="auto"/>
        <w:bottom w:val="none" w:sz="0" w:space="0" w:color="auto"/>
        <w:right w:val="none" w:sz="0" w:space="0" w:color="auto"/>
      </w:divBdr>
    </w:div>
    <w:div w:id="197402086">
      <w:bodyDiv w:val="1"/>
      <w:marLeft w:val="0"/>
      <w:marRight w:val="0"/>
      <w:marTop w:val="0"/>
      <w:marBottom w:val="0"/>
      <w:divBdr>
        <w:top w:val="none" w:sz="0" w:space="0" w:color="auto"/>
        <w:left w:val="none" w:sz="0" w:space="0" w:color="auto"/>
        <w:bottom w:val="none" w:sz="0" w:space="0" w:color="auto"/>
        <w:right w:val="none" w:sz="0" w:space="0" w:color="auto"/>
      </w:divBdr>
    </w:div>
    <w:div w:id="197591744">
      <w:bodyDiv w:val="1"/>
      <w:marLeft w:val="0"/>
      <w:marRight w:val="0"/>
      <w:marTop w:val="0"/>
      <w:marBottom w:val="0"/>
      <w:divBdr>
        <w:top w:val="none" w:sz="0" w:space="0" w:color="auto"/>
        <w:left w:val="none" w:sz="0" w:space="0" w:color="auto"/>
        <w:bottom w:val="none" w:sz="0" w:space="0" w:color="auto"/>
        <w:right w:val="none" w:sz="0" w:space="0" w:color="auto"/>
      </w:divBdr>
    </w:div>
    <w:div w:id="197663503">
      <w:bodyDiv w:val="1"/>
      <w:marLeft w:val="0"/>
      <w:marRight w:val="0"/>
      <w:marTop w:val="0"/>
      <w:marBottom w:val="0"/>
      <w:divBdr>
        <w:top w:val="none" w:sz="0" w:space="0" w:color="auto"/>
        <w:left w:val="none" w:sz="0" w:space="0" w:color="auto"/>
        <w:bottom w:val="none" w:sz="0" w:space="0" w:color="auto"/>
        <w:right w:val="none" w:sz="0" w:space="0" w:color="auto"/>
      </w:divBdr>
    </w:div>
    <w:div w:id="197940577">
      <w:bodyDiv w:val="1"/>
      <w:marLeft w:val="0"/>
      <w:marRight w:val="0"/>
      <w:marTop w:val="0"/>
      <w:marBottom w:val="0"/>
      <w:divBdr>
        <w:top w:val="none" w:sz="0" w:space="0" w:color="auto"/>
        <w:left w:val="none" w:sz="0" w:space="0" w:color="auto"/>
        <w:bottom w:val="none" w:sz="0" w:space="0" w:color="auto"/>
        <w:right w:val="none" w:sz="0" w:space="0" w:color="auto"/>
      </w:divBdr>
    </w:div>
    <w:div w:id="198008419">
      <w:bodyDiv w:val="1"/>
      <w:marLeft w:val="0"/>
      <w:marRight w:val="0"/>
      <w:marTop w:val="0"/>
      <w:marBottom w:val="0"/>
      <w:divBdr>
        <w:top w:val="none" w:sz="0" w:space="0" w:color="auto"/>
        <w:left w:val="none" w:sz="0" w:space="0" w:color="auto"/>
        <w:bottom w:val="none" w:sz="0" w:space="0" w:color="auto"/>
        <w:right w:val="none" w:sz="0" w:space="0" w:color="auto"/>
      </w:divBdr>
    </w:div>
    <w:div w:id="198050073">
      <w:bodyDiv w:val="1"/>
      <w:marLeft w:val="0"/>
      <w:marRight w:val="0"/>
      <w:marTop w:val="0"/>
      <w:marBottom w:val="0"/>
      <w:divBdr>
        <w:top w:val="none" w:sz="0" w:space="0" w:color="auto"/>
        <w:left w:val="none" w:sz="0" w:space="0" w:color="auto"/>
        <w:bottom w:val="none" w:sz="0" w:space="0" w:color="auto"/>
        <w:right w:val="none" w:sz="0" w:space="0" w:color="auto"/>
      </w:divBdr>
    </w:div>
    <w:div w:id="198321008">
      <w:bodyDiv w:val="1"/>
      <w:marLeft w:val="0"/>
      <w:marRight w:val="0"/>
      <w:marTop w:val="0"/>
      <w:marBottom w:val="0"/>
      <w:divBdr>
        <w:top w:val="none" w:sz="0" w:space="0" w:color="auto"/>
        <w:left w:val="none" w:sz="0" w:space="0" w:color="auto"/>
        <w:bottom w:val="none" w:sz="0" w:space="0" w:color="auto"/>
        <w:right w:val="none" w:sz="0" w:space="0" w:color="auto"/>
      </w:divBdr>
    </w:div>
    <w:div w:id="198323132">
      <w:bodyDiv w:val="1"/>
      <w:marLeft w:val="0"/>
      <w:marRight w:val="0"/>
      <w:marTop w:val="0"/>
      <w:marBottom w:val="0"/>
      <w:divBdr>
        <w:top w:val="none" w:sz="0" w:space="0" w:color="auto"/>
        <w:left w:val="none" w:sz="0" w:space="0" w:color="auto"/>
        <w:bottom w:val="none" w:sz="0" w:space="0" w:color="auto"/>
        <w:right w:val="none" w:sz="0" w:space="0" w:color="auto"/>
      </w:divBdr>
    </w:div>
    <w:div w:id="198325327">
      <w:bodyDiv w:val="1"/>
      <w:marLeft w:val="0"/>
      <w:marRight w:val="0"/>
      <w:marTop w:val="0"/>
      <w:marBottom w:val="0"/>
      <w:divBdr>
        <w:top w:val="none" w:sz="0" w:space="0" w:color="auto"/>
        <w:left w:val="none" w:sz="0" w:space="0" w:color="auto"/>
        <w:bottom w:val="none" w:sz="0" w:space="0" w:color="auto"/>
        <w:right w:val="none" w:sz="0" w:space="0" w:color="auto"/>
      </w:divBdr>
    </w:div>
    <w:div w:id="198443324">
      <w:bodyDiv w:val="1"/>
      <w:marLeft w:val="0"/>
      <w:marRight w:val="0"/>
      <w:marTop w:val="0"/>
      <w:marBottom w:val="0"/>
      <w:divBdr>
        <w:top w:val="none" w:sz="0" w:space="0" w:color="auto"/>
        <w:left w:val="none" w:sz="0" w:space="0" w:color="auto"/>
        <w:bottom w:val="none" w:sz="0" w:space="0" w:color="auto"/>
        <w:right w:val="none" w:sz="0" w:space="0" w:color="auto"/>
      </w:divBdr>
    </w:div>
    <w:div w:id="198516283">
      <w:bodyDiv w:val="1"/>
      <w:marLeft w:val="0"/>
      <w:marRight w:val="0"/>
      <w:marTop w:val="0"/>
      <w:marBottom w:val="0"/>
      <w:divBdr>
        <w:top w:val="none" w:sz="0" w:space="0" w:color="auto"/>
        <w:left w:val="none" w:sz="0" w:space="0" w:color="auto"/>
        <w:bottom w:val="none" w:sz="0" w:space="0" w:color="auto"/>
        <w:right w:val="none" w:sz="0" w:space="0" w:color="auto"/>
      </w:divBdr>
    </w:div>
    <w:div w:id="198783201">
      <w:bodyDiv w:val="1"/>
      <w:marLeft w:val="0"/>
      <w:marRight w:val="0"/>
      <w:marTop w:val="0"/>
      <w:marBottom w:val="0"/>
      <w:divBdr>
        <w:top w:val="none" w:sz="0" w:space="0" w:color="auto"/>
        <w:left w:val="none" w:sz="0" w:space="0" w:color="auto"/>
        <w:bottom w:val="none" w:sz="0" w:space="0" w:color="auto"/>
        <w:right w:val="none" w:sz="0" w:space="0" w:color="auto"/>
      </w:divBdr>
    </w:div>
    <w:div w:id="199130968">
      <w:bodyDiv w:val="1"/>
      <w:marLeft w:val="0"/>
      <w:marRight w:val="0"/>
      <w:marTop w:val="0"/>
      <w:marBottom w:val="0"/>
      <w:divBdr>
        <w:top w:val="none" w:sz="0" w:space="0" w:color="auto"/>
        <w:left w:val="none" w:sz="0" w:space="0" w:color="auto"/>
        <w:bottom w:val="none" w:sz="0" w:space="0" w:color="auto"/>
        <w:right w:val="none" w:sz="0" w:space="0" w:color="auto"/>
      </w:divBdr>
    </w:div>
    <w:div w:id="199167380">
      <w:bodyDiv w:val="1"/>
      <w:marLeft w:val="0"/>
      <w:marRight w:val="0"/>
      <w:marTop w:val="0"/>
      <w:marBottom w:val="0"/>
      <w:divBdr>
        <w:top w:val="none" w:sz="0" w:space="0" w:color="auto"/>
        <w:left w:val="none" w:sz="0" w:space="0" w:color="auto"/>
        <w:bottom w:val="none" w:sz="0" w:space="0" w:color="auto"/>
        <w:right w:val="none" w:sz="0" w:space="0" w:color="auto"/>
      </w:divBdr>
    </w:div>
    <w:div w:id="199169601">
      <w:bodyDiv w:val="1"/>
      <w:marLeft w:val="0"/>
      <w:marRight w:val="0"/>
      <w:marTop w:val="0"/>
      <w:marBottom w:val="0"/>
      <w:divBdr>
        <w:top w:val="none" w:sz="0" w:space="0" w:color="auto"/>
        <w:left w:val="none" w:sz="0" w:space="0" w:color="auto"/>
        <w:bottom w:val="none" w:sz="0" w:space="0" w:color="auto"/>
        <w:right w:val="none" w:sz="0" w:space="0" w:color="auto"/>
      </w:divBdr>
    </w:div>
    <w:div w:id="199321832">
      <w:bodyDiv w:val="1"/>
      <w:marLeft w:val="0"/>
      <w:marRight w:val="0"/>
      <w:marTop w:val="0"/>
      <w:marBottom w:val="0"/>
      <w:divBdr>
        <w:top w:val="none" w:sz="0" w:space="0" w:color="auto"/>
        <w:left w:val="none" w:sz="0" w:space="0" w:color="auto"/>
        <w:bottom w:val="none" w:sz="0" w:space="0" w:color="auto"/>
        <w:right w:val="none" w:sz="0" w:space="0" w:color="auto"/>
      </w:divBdr>
    </w:div>
    <w:div w:id="199439754">
      <w:bodyDiv w:val="1"/>
      <w:marLeft w:val="0"/>
      <w:marRight w:val="0"/>
      <w:marTop w:val="0"/>
      <w:marBottom w:val="0"/>
      <w:divBdr>
        <w:top w:val="none" w:sz="0" w:space="0" w:color="auto"/>
        <w:left w:val="none" w:sz="0" w:space="0" w:color="auto"/>
        <w:bottom w:val="none" w:sz="0" w:space="0" w:color="auto"/>
        <w:right w:val="none" w:sz="0" w:space="0" w:color="auto"/>
      </w:divBdr>
    </w:div>
    <w:div w:id="199511730">
      <w:bodyDiv w:val="1"/>
      <w:marLeft w:val="0"/>
      <w:marRight w:val="0"/>
      <w:marTop w:val="0"/>
      <w:marBottom w:val="0"/>
      <w:divBdr>
        <w:top w:val="none" w:sz="0" w:space="0" w:color="auto"/>
        <w:left w:val="none" w:sz="0" w:space="0" w:color="auto"/>
        <w:bottom w:val="none" w:sz="0" w:space="0" w:color="auto"/>
        <w:right w:val="none" w:sz="0" w:space="0" w:color="auto"/>
      </w:divBdr>
    </w:div>
    <w:div w:id="199635157">
      <w:bodyDiv w:val="1"/>
      <w:marLeft w:val="0"/>
      <w:marRight w:val="0"/>
      <w:marTop w:val="0"/>
      <w:marBottom w:val="0"/>
      <w:divBdr>
        <w:top w:val="none" w:sz="0" w:space="0" w:color="auto"/>
        <w:left w:val="none" w:sz="0" w:space="0" w:color="auto"/>
        <w:bottom w:val="none" w:sz="0" w:space="0" w:color="auto"/>
        <w:right w:val="none" w:sz="0" w:space="0" w:color="auto"/>
      </w:divBdr>
    </w:div>
    <w:div w:id="199822068">
      <w:bodyDiv w:val="1"/>
      <w:marLeft w:val="0"/>
      <w:marRight w:val="0"/>
      <w:marTop w:val="0"/>
      <w:marBottom w:val="0"/>
      <w:divBdr>
        <w:top w:val="none" w:sz="0" w:space="0" w:color="auto"/>
        <w:left w:val="none" w:sz="0" w:space="0" w:color="auto"/>
        <w:bottom w:val="none" w:sz="0" w:space="0" w:color="auto"/>
        <w:right w:val="none" w:sz="0" w:space="0" w:color="auto"/>
      </w:divBdr>
    </w:div>
    <w:div w:id="199827774">
      <w:bodyDiv w:val="1"/>
      <w:marLeft w:val="0"/>
      <w:marRight w:val="0"/>
      <w:marTop w:val="0"/>
      <w:marBottom w:val="0"/>
      <w:divBdr>
        <w:top w:val="none" w:sz="0" w:space="0" w:color="auto"/>
        <w:left w:val="none" w:sz="0" w:space="0" w:color="auto"/>
        <w:bottom w:val="none" w:sz="0" w:space="0" w:color="auto"/>
        <w:right w:val="none" w:sz="0" w:space="0" w:color="auto"/>
      </w:divBdr>
    </w:div>
    <w:div w:id="199828149">
      <w:bodyDiv w:val="1"/>
      <w:marLeft w:val="0"/>
      <w:marRight w:val="0"/>
      <w:marTop w:val="0"/>
      <w:marBottom w:val="0"/>
      <w:divBdr>
        <w:top w:val="none" w:sz="0" w:space="0" w:color="auto"/>
        <w:left w:val="none" w:sz="0" w:space="0" w:color="auto"/>
        <w:bottom w:val="none" w:sz="0" w:space="0" w:color="auto"/>
        <w:right w:val="none" w:sz="0" w:space="0" w:color="auto"/>
      </w:divBdr>
    </w:div>
    <w:div w:id="199898691">
      <w:bodyDiv w:val="1"/>
      <w:marLeft w:val="0"/>
      <w:marRight w:val="0"/>
      <w:marTop w:val="0"/>
      <w:marBottom w:val="0"/>
      <w:divBdr>
        <w:top w:val="none" w:sz="0" w:space="0" w:color="auto"/>
        <w:left w:val="none" w:sz="0" w:space="0" w:color="auto"/>
        <w:bottom w:val="none" w:sz="0" w:space="0" w:color="auto"/>
        <w:right w:val="none" w:sz="0" w:space="0" w:color="auto"/>
      </w:divBdr>
    </w:div>
    <w:div w:id="200091311">
      <w:bodyDiv w:val="1"/>
      <w:marLeft w:val="0"/>
      <w:marRight w:val="0"/>
      <w:marTop w:val="0"/>
      <w:marBottom w:val="0"/>
      <w:divBdr>
        <w:top w:val="none" w:sz="0" w:space="0" w:color="auto"/>
        <w:left w:val="none" w:sz="0" w:space="0" w:color="auto"/>
        <w:bottom w:val="none" w:sz="0" w:space="0" w:color="auto"/>
        <w:right w:val="none" w:sz="0" w:space="0" w:color="auto"/>
      </w:divBdr>
    </w:div>
    <w:div w:id="200169574">
      <w:bodyDiv w:val="1"/>
      <w:marLeft w:val="0"/>
      <w:marRight w:val="0"/>
      <w:marTop w:val="0"/>
      <w:marBottom w:val="0"/>
      <w:divBdr>
        <w:top w:val="none" w:sz="0" w:space="0" w:color="auto"/>
        <w:left w:val="none" w:sz="0" w:space="0" w:color="auto"/>
        <w:bottom w:val="none" w:sz="0" w:space="0" w:color="auto"/>
        <w:right w:val="none" w:sz="0" w:space="0" w:color="auto"/>
      </w:divBdr>
    </w:div>
    <w:div w:id="200291239">
      <w:bodyDiv w:val="1"/>
      <w:marLeft w:val="0"/>
      <w:marRight w:val="0"/>
      <w:marTop w:val="0"/>
      <w:marBottom w:val="0"/>
      <w:divBdr>
        <w:top w:val="none" w:sz="0" w:space="0" w:color="auto"/>
        <w:left w:val="none" w:sz="0" w:space="0" w:color="auto"/>
        <w:bottom w:val="none" w:sz="0" w:space="0" w:color="auto"/>
        <w:right w:val="none" w:sz="0" w:space="0" w:color="auto"/>
      </w:divBdr>
    </w:div>
    <w:div w:id="200360945">
      <w:bodyDiv w:val="1"/>
      <w:marLeft w:val="0"/>
      <w:marRight w:val="0"/>
      <w:marTop w:val="0"/>
      <w:marBottom w:val="0"/>
      <w:divBdr>
        <w:top w:val="none" w:sz="0" w:space="0" w:color="auto"/>
        <w:left w:val="none" w:sz="0" w:space="0" w:color="auto"/>
        <w:bottom w:val="none" w:sz="0" w:space="0" w:color="auto"/>
        <w:right w:val="none" w:sz="0" w:space="0" w:color="auto"/>
      </w:divBdr>
    </w:div>
    <w:div w:id="200365609">
      <w:bodyDiv w:val="1"/>
      <w:marLeft w:val="0"/>
      <w:marRight w:val="0"/>
      <w:marTop w:val="0"/>
      <w:marBottom w:val="0"/>
      <w:divBdr>
        <w:top w:val="none" w:sz="0" w:space="0" w:color="auto"/>
        <w:left w:val="none" w:sz="0" w:space="0" w:color="auto"/>
        <w:bottom w:val="none" w:sz="0" w:space="0" w:color="auto"/>
        <w:right w:val="none" w:sz="0" w:space="0" w:color="auto"/>
      </w:divBdr>
    </w:div>
    <w:div w:id="200436603">
      <w:bodyDiv w:val="1"/>
      <w:marLeft w:val="0"/>
      <w:marRight w:val="0"/>
      <w:marTop w:val="0"/>
      <w:marBottom w:val="0"/>
      <w:divBdr>
        <w:top w:val="none" w:sz="0" w:space="0" w:color="auto"/>
        <w:left w:val="none" w:sz="0" w:space="0" w:color="auto"/>
        <w:bottom w:val="none" w:sz="0" w:space="0" w:color="auto"/>
        <w:right w:val="none" w:sz="0" w:space="0" w:color="auto"/>
      </w:divBdr>
    </w:div>
    <w:div w:id="200480483">
      <w:bodyDiv w:val="1"/>
      <w:marLeft w:val="0"/>
      <w:marRight w:val="0"/>
      <w:marTop w:val="0"/>
      <w:marBottom w:val="0"/>
      <w:divBdr>
        <w:top w:val="none" w:sz="0" w:space="0" w:color="auto"/>
        <w:left w:val="none" w:sz="0" w:space="0" w:color="auto"/>
        <w:bottom w:val="none" w:sz="0" w:space="0" w:color="auto"/>
        <w:right w:val="none" w:sz="0" w:space="0" w:color="auto"/>
      </w:divBdr>
    </w:div>
    <w:div w:id="200483093">
      <w:bodyDiv w:val="1"/>
      <w:marLeft w:val="0"/>
      <w:marRight w:val="0"/>
      <w:marTop w:val="0"/>
      <w:marBottom w:val="0"/>
      <w:divBdr>
        <w:top w:val="none" w:sz="0" w:space="0" w:color="auto"/>
        <w:left w:val="none" w:sz="0" w:space="0" w:color="auto"/>
        <w:bottom w:val="none" w:sz="0" w:space="0" w:color="auto"/>
        <w:right w:val="none" w:sz="0" w:space="0" w:color="auto"/>
      </w:divBdr>
    </w:div>
    <w:div w:id="200552405">
      <w:bodyDiv w:val="1"/>
      <w:marLeft w:val="0"/>
      <w:marRight w:val="0"/>
      <w:marTop w:val="0"/>
      <w:marBottom w:val="0"/>
      <w:divBdr>
        <w:top w:val="none" w:sz="0" w:space="0" w:color="auto"/>
        <w:left w:val="none" w:sz="0" w:space="0" w:color="auto"/>
        <w:bottom w:val="none" w:sz="0" w:space="0" w:color="auto"/>
        <w:right w:val="none" w:sz="0" w:space="0" w:color="auto"/>
      </w:divBdr>
    </w:div>
    <w:div w:id="200555534">
      <w:bodyDiv w:val="1"/>
      <w:marLeft w:val="0"/>
      <w:marRight w:val="0"/>
      <w:marTop w:val="0"/>
      <w:marBottom w:val="0"/>
      <w:divBdr>
        <w:top w:val="none" w:sz="0" w:space="0" w:color="auto"/>
        <w:left w:val="none" w:sz="0" w:space="0" w:color="auto"/>
        <w:bottom w:val="none" w:sz="0" w:space="0" w:color="auto"/>
        <w:right w:val="none" w:sz="0" w:space="0" w:color="auto"/>
      </w:divBdr>
    </w:div>
    <w:div w:id="200633176">
      <w:bodyDiv w:val="1"/>
      <w:marLeft w:val="0"/>
      <w:marRight w:val="0"/>
      <w:marTop w:val="0"/>
      <w:marBottom w:val="0"/>
      <w:divBdr>
        <w:top w:val="none" w:sz="0" w:space="0" w:color="auto"/>
        <w:left w:val="none" w:sz="0" w:space="0" w:color="auto"/>
        <w:bottom w:val="none" w:sz="0" w:space="0" w:color="auto"/>
        <w:right w:val="none" w:sz="0" w:space="0" w:color="auto"/>
      </w:divBdr>
    </w:div>
    <w:div w:id="200671852">
      <w:bodyDiv w:val="1"/>
      <w:marLeft w:val="0"/>
      <w:marRight w:val="0"/>
      <w:marTop w:val="0"/>
      <w:marBottom w:val="0"/>
      <w:divBdr>
        <w:top w:val="none" w:sz="0" w:space="0" w:color="auto"/>
        <w:left w:val="none" w:sz="0" w:space="0" w:color="auto"/>
        <w:bottom w:val="none" w:sz="0" w:space="0" w:color="auto"/>
        <w:right w:val="none" w:sz="0" w:space="0" w:color="auto"/>
      </w:divBdr>
    </w:div>
    <w:div w:id="200749687">
      <w:bodyDiv w:val="1"/>
      <w:marLeft w:val="0"/>
      <w:marRight w:val="0"/>
      <w:marTop w:val="0"/>
      <w:marBottom w:val="0"/>
      <w:divBdr>
        <w:top w:val="none" w:sz="0" w:space="0" w:color="auto"/>
        <w:left w:val="none" w:sz="0" w:space="0" w:color="auto"/>
        <w:bottom w:val="none" w:sz="0" w:space="0" w:color="auto"/>
        <w:right w:val="none" w:sz="0" w:space="0" w:color="auto"/>
      </w:divBdr>
    </w:div>
    <w:div w:id="200896835">
      <w:bodyDiv w:val="1"/>
      <w:marLeft w:val="0"/>
      <w:marRight w:val="0"/>
      <w:marTop w:val="0"/>
      <w:marBottom w:val="0"/>
      <w:divBdr>
        <w:top w:val="none" w:sz="0" w:space="0" w:color="auto"/>
        <w:left w:val="none" w:sz="0" w:space="0" w:color="auto"/>
        <w:bottom w:val="none" w:sz="0" w:space="0" w:color="auto"/>
        <w:right w:val="none" w:sz="0" w:space="0" w:color="auto"/>
      </w:divBdr>
    </w:div>
    <w:div w:id="200943538">
      <w:bodyDiv w:val="1"/>
      <w:marLeft w:val="0"/>
      <w:marRight w:val="0"/>
      <w:marTop w:val="0"/>
      <w:marBottom w:val="0"/>
      <w:divBdr>
        <w:top w:val="none" w:sz="0" w:space="0" w:color="auto"/>
        <w:left w:val="none" w:sz="0" w:space="0" w:color="auto"/>
        <w:bottom w:val="none" w:sz="0" w:space="0" w:color="auto"/>
        <w:right w:val="none" w:sz="0" w:space="0" w:color="auto"/>
      </w:divBdr>
    </w:div>
    <w:div w:id="201138524">
      <w:bodyDiv w:val="1"/>
      <w:marLeft w:val="0"/>
      <w:marRight w:val="0"/>
      <w:marTop w:val="0"/>
      <w:marBottom w:val="0"/>
      <w:divBdr>
        <w:top w:val="none" w:sz="0" w:space="0" w:color="auto"/>
        <w:left w:val="none" w:sz="0" w:space="0" w:color="auto"/>
        <w:bottom w:val="none" w:sz="0" w:space="0" w:color="auto"/>
        <w:right w:val="none" w:sz="0" w:space="0" w:color="auto"/>
      </w:divBdr>
    </w:div>
    <w:div w:id="201405653">
      <w:bodyDiv w:val="1"/>
      <w:marLeft w:val="0"/>
      <w:marRight w:val="0"/>
      <w:marTop w:val="0"/>
      <w:marBottom w:val="0"/>
      <w:divBdr>
        <w:top w:val="none" w:sz="0" w:space="0" w:color="auto"/>
        <w:left w:val="none" w:sz="0" w:space="0" w:color="auto"/>
        <w:bottom w:val="none" w:sz="0" w:space="0" w:color="auto"/>
        <w:right w:val="none" w:sz="0" w:space="0" w:color="auto"/>
      </w:divBdr>
    </w:div>
    <w:div w:id="201479346">
      <w:bodyDiv w:val="1"/>
      <w:marLeft w:val="0"/>
      <w:marRight w:val="0"/>
      <w:marTop w:val="0"/>
      <w:marBottom w:val="0"/>
      <w:divBdr>
        <w:top w:val="none" w:sz="0" w:space="0" w:color="auto"/>
        <w:left w:val="none" w:sz="0" w:space="0" w:color="auto"/>
        <w:bottom w:val="none" w:sz="0" w:space="0" w:color="auto"/>
        <w:right w:val="none" w:sz="0" w:space="0" w:color="auto"/>
      </w:divBdr>
    </w:div>
    <w:div w:id="201525622">
      <w:bodyDiv w:val="1"/>
      <w:marLeft w:val="0"/>
      <w:marRight w:val="0"/>
      <w:marTop w:val="0"/>
      <w:marBottom w:val="0"/>
      <w:divBdr>
        <w:top w:val="none" w:sz="0" w:space="0" w:color="auto"/>
        <w:left w:val="none" w:sz="0" w:space="0" w:color="auto"/>
        <w:bottom w:val="none" w:sz="0" w:space="0" w:color="auto"/>
        <w:right w:val="none" w:sz="0" w:space="0" w:color="auto"/>
      </w:divBdr>
    </w:div>
    <w:div w:id="201601603">
      <w:bodyDiv w:val="1"/>
      <w:marLeft w:val="0"/>
      <w:marRight w:val="0"/>
      <w:marTop w:val="0"/>
      <w:marBottom w:val="0"/>
      <w:divBdr>
        <w:top w:val="none" w:sz="0" w:space="0" w:color="auto"/>
        <w:left w:val="none" w:sz="0" w:space="0" w:color="auto"/>
        <w:bottom w:val="none" w:sz="0" w:space="0" w:color="auto"/>
        <w:right w:val="none" w:sz="0" w:space="0" w:color="auto"/>
      </w:divBdr>
    </w:div>
    <w:div w:id="201752221">
      <w:bodyDiv w:val="1"/>
      <w:marLeft w:val="0"/>
      <w:marRight w:val="0"/>
      <w:marTop w:val="0"/>
      <w:marBottom w:val="0"/>
      <w:divBdr>
        <w:top w:val="none" w:sz="0" w:space="0" w:color="auto"/>
        <w:left w:val="none" w:sz="0" w:space="0" w:color="auto"/>
        <w:bottom w:val="none" w:sz="0" w:space="0" w:color="auto"/>
        <w:right w:val="none" w:sz="0" w:space="0" w:color="auto"/>
      </w:divBdr>
    </w:div>
    <w:div w:id="201863931">
      <w:bodyDiv w:val="1"/>
      <w:marLeft w:val="0"/>
      <w:marRight w:val="0"/>
      <w:marTop w:val="0"/>
      <w:marBottom w:val="0"/>
      <w:divBdr>
        <w:top w:val="none" w:sz="0" w:space="0" w:color="auto"/>
        <w:left w:val="none" w:sz="0" w:space="0" w:color="auto"/>
        <w:bottom w:val="none" w:sz="0" w:space="0" w:color="auto"/>
        <w:right w:val="none" w:sz="0" w:space="0" w:color="auto"/>
      </w:divBdr>
    </w:div>
    <w:div w:id="202057622">
      <w:bodyDiv w:val="1"/>
      <w:marLeft w:val="0"/>
      <w:marRight w:val="0"/>
      <w:marTop w:val="0"/>
      <w:marBottom w:val="0"/>
      <w:divBdr>
        <w:top w:val="none" w:sz="0" w:space="0" w:color="auto"/>
        <w:left w:val="none" w:sz="0" w:space="0" w:color="auto"/>
        <w:bottom w:val="none" w:sz="0" w:space="0" w:color="auto"/>
        <w:right w:val="none" w:sz="0" w:space="0" w:color="auto"/>
      </w:divBdr>
    </w:div>
    <w:div w:id="202179959">
      <w:bodyDiv w:val="1"/>
      <w:marLeft w:val="0"/>
      <w:marRight w:val="0"/>
      <w:marTop w:val="0"/>
      <w:marBottom w:val="0"/>
      <w:divBdr>
        <w:top w:val="none" w:sz="0" w:space="0" w:color="auto"/>
        <w:left w:val="none" w:sz="0" w:space="0" w:color="auto"/>
        <w:bottom w:val="none" w:sz="0" w:space="0" w:color="auto"/>
        <w:right w:val="none" w:sz="0" w:space="0" w:color="auto"/>
      </w:divBdr>
    </w:div>
    <w:div w:id="202256131">
      <w:bodyDiv w:val="1"/>
      <w:marLeft w:val="0"/>
      <w:marRight w:val="0"/>
      <w:marTop w:val="0"/>
      <w:marBottom w:val="0"/>
      <w:divBdr>
        <w:top w:val="none" w:sz="0" w:space="0" w:color="auto"/>
        <w:left w:val="none" w:sz="0" w:space="0" w:color="auto"/>
        <w:bottom w:val="none" w:sz="0" w:space="0" w:color="auto"/>
        <w:right w:val="none" w:sz="0" w:space="0" w:color="auto"/>
      </w:divBdr>
    </w:div>
    <w:div w:id="202333315">
      <w:bodyDiv w:val="1"/>
      <w:marLeft w:val="0"/>
      <w:marRight w:val="0"/>
      <w:marTop w:val="0"/>
      <w:marBottom w:val="0"/>
      <w:divBdr>
        <w:top w:val="none" w:sz="0" w:space="0" w:color="auto"/>
        <w:left w:val="none" w:sz="0" w:space="0" w:color="auto"/>
        <w:bottom w:val="none" w:sz="0" w:space="0" w:color="auto"/>
        <w:right w:val="none" w:sz="0" w:space="0" w:color="auto"/>
      </w:divBdr>
    </w:div>
    <w:div w:id="202445574">
      <w:bodyDiv w:val="1"/>
      <w:marLeft w:val="0"/>
      <w:marRight w:val="0"/>
      <w:marTop w:val="0"/>
      <w:marBottom w:val="0"/>
      <w:divBdr>
        <w:top w:val="none" w:sz="0" w:space="0" w:color="auto"/>
        <w:left w:val="none" w:sz="0" w:space="0" w:color="auto"/>
        <w:bottom w:val="none" w:sz="0" w:space="0" w:color="auto"/>
        <w:right w:val="none" w:sz="0" w:space="0" w:color="auto"/>
      </w:divBdr>
    </w:div>
    <w:div w:id="202720833">
      <w:bodyDiv w:val="1"/>
      <w:marLeft w:val="0"/>
      <w:marRight w:val="0"/>
      <w:marTop w:val="0"/>
      <w:marBottom w:val="0"/>
      <w:divBdr>
        <w:top w:val="none" w:sz="0" w:space="0" w:color="auto"/>
        <w:left w:val="none" w:sz="0" w:space="0" w:color="auto"/>
        <w:bottom w:val="none" w:sz="0" w:space="0" w:color="auto"/>
        <w:right w:val="none" w:sz="0" w:space="0" w:color="auto"/>
      </w:divBdr>
    </w:div>
    <w:div w:id="202912732">
      <w:bodyDiv w:val="1"/>
      <w:marLeft w:val="0"/>
      <w:marRight w:val="0"/>
      <w:marTop w:val="0"/>
      <w:marBottom w:val="0"/>
      <w:divBdr>
        <w:top w:val="none" w:sz="0" w:space="0" w:color="auto"/>
        <w:left w:val="none" w:sz="0" w:space="0" w:color="auto"/>
        <w:bottom w:val="none" w:sz="0" w:space="0" w:color="auto"/>
        <w:right w:val="none" w:sz="0" w:space="0" w:color="auto"/>
      </w:divBdr>
    </w:div>
    <w:div w:id="203098850">
      <w:bodyDiv w:val="1"/>
      <w:marLeft w:val="0"/>
      <w:marRight w:val="0"/>
      <w:marTop w:val="0"/>
      <w:marBottom w:val="0"/>
      <w:divBdr>
        <w:top w:val="none" w:sz="0" w:space="0" w:color="auto"/>
        <w:left w:val="none" w:sz="0" w:space="0" w:color="auto"/>
        <w:bottom w:val="none" w:sz="0" w:space="0" w:color="auto"/>
        <w:right w:val="none" w:sz="0" w:space="0" w:color="auto"/>
      </w:divBdr>
    </w:div>
    <w:div w:id="203100521">
      <w:bodyDiv w:val="1"/>
      <w:marLeft w:val="0"/>
      <w:marRight w:val="0"/>
      <w:marTop w:val="0"/>
      <w:marBottom w:val="0"/>
      <w:divBdr>
        <w:top w:val="none" w:sz="0" w:space="0" w:color="auto"/>
        <w:left w:val="none" w:sz="0" w:space="0" w:color="auto"/>
        <w:bottom w:val="none" w:sz="0" w:space="0" w:color="auto"/>
        <w:right w:val="none" w:sz="0" w:space="0" w:color="auto"/>
      </w:divBdr>
    </w:div>
    <w:div w:id="203100969">
      <w:bodyDiv w:val="1"/>
      <w:marLeft w:val="0"/>
      <w:marRight w:val="0"/>
      <w:marTop w:val="0"/>
      <w:marBottom w:val="0"/>
      <w:divBdr>
        <w:top w:val="none" w:sz="0" w:space="0" w:color="auto"/>
        <w:left w:val="none" w:sz="0" w:space="0" w:color="auto"/>
        <w:bottom w:val="none" w:sz="0" w:space="0" w:color="auto"/>
        <w:right w:val="none" w:sz="0" w:space="0" w:color="auto"/>
      </w:divBdr>
    </w:div>
    <w:div w:id="203179050">
      <w:bodyDiv w:val="1"/>
      <w:marLeft w:val="0"/>
      <w:marRight w:val="0"/>
      <w:marTop w:val="0"/>
      <w:marBottom w:val="0"/>
      <w:divBdr>
        <w:top w:val="none" w:sz="0" w:space="0" w:color="auto"/>
        <w:left w:val="none" w:sz="0" w:space="0" w:color="auto"/>
        <w:bottom w:val="none" w:sz="0" w:space="0" w:color="auto"/>
        <w:right w:val="none" w:sz="0" w:space="0" w:color="auto"/>
      </w:divBdr>
    </w:div>
    <w:div w:id="203374086">
      <w:bodyDiv w:val="1"/>
      <w:marLeft w:val="0"/>
      <w:marRight w:val="0"/>
      <w:marTop w:val="0"/>
      <w:marBottom w:val="0"/>
      <w:divBdr>
        <w:top w:val="none" w:sz="0" w:space="0" w:color="auto"/>
        <w:left w:val="none" w:sz="0" w:space="0" w:color="auto"/>
        <w:bottom w:val="none" w:sz="0" w:space="0" w:color="auto"/>
        <w:right w:val="none" w:sz="0" w:space="0" w:color="auto"/>
      </w:divBdr>
    </w:div>
    <w:div w:id="203636727">
      <w:bodyDiv w:val="1"/>
      <w:marLeft w:val="0"/>
      <w:marRight w:val="0"/>
      <w:marTop w:val="0"/>
      <w:marBottom w:val="0"/>
      <w:divBdr>
        <w:top w:val="none" w:sz="0" w:space="0" w:color="auto"/>
        <w:left w:val="none" w:sz="0" w:space="0" w:color="auto"/>
        <w:bottom w:val="none" w:sz="0" w:space="0" w:color="auto"/>
        <w:right w:val="none" w:sz="0" w:space="0" w:color="auto"/>
      </w:divBdr>
    </w:div>
    <w:div w:id="203638991">
      <w:bodyDiv w:val="1"/>
      <w:marLeft w:val="0"/>
      <w:marRight w:val="0"/>
      <w:marTop w:val="0"/>
      <w:marBottom w:val="0"/>
      <w:divBdr>
        <w:top w:val="none" w:sz="0" w:space="0" w:color="auto"/>
        <w:left w:val="none" w:sz="0" w:space="0" w:color="auto"/>
        <w:bottom w:val="none" w:sz="0" w:space="0" w:color="auto"/>
        <w:right w:val="none" w:sz="0" w:space="0" w:color="auto"/>
      </w:divBdr>
    </w:div>
    <w:div w:id="203641066">
      <w:bodyDiv w:val="1"/>
      <w:marLeft w:val="0"/>
      <w:marRight w:val="0"/>
      <w:marTop w:val="0"/>
      <w:marBottom w:val="0"/>
      <w:divBdr>
        <w:top w:val="none" w:sz="0" w:space="0" w:color="auto"/>
        <w:left w:val="none" w:sz="0" w:space="0" w:color="auto"/>
        <w:bottom w:val="none" w:sz="0" w:space="0" w:color="auto"/>
        <w:right w:val="none" w:sz="0" w:space="0" w:color="auto"/>
      </w:divBdr>
    </w:div>
    <w:div w:id="203685967">
      <w:bodyDiv w:val="1"/>
      <w:marLeft w:val="0"/>
      <w:marRight w:val="0"/>
      <w:marTop w:val="0"/>
      <w:marBottom w:val="0"/>
      <w:divBdr>
        <w:top w:val="none" w:sz="0" w:space="0" w:color="auto"/>
        <w:left w:val="none" w:sz="0" w:space="0" w:color="auto"/>
        <w:bottom w:val="none" w:sz="0" w:space="0" w:color="auto"/>
        <w:right w:val="none" w:sz="0" w:space="0" w:color="auto"/>
      </w:divBdr>
    </w:div>
    <w:div w:id="203710506">
      <w:bodyDiv w:val="1"/>
      <w:marLeft w:val="0"/>
      <w:marRight w:val="0"/>
      <w:marTop w:val="0"/>
      <w:marBottom w:val="0"/>
      <w:divBdr>
        <w:top w:val="none" w:sz="0" w:space="0" w:color="auto"/>
        <w:left w:val="none" w:sz="0" w:space="0" w:color="auto"/>
        <w:bottom w:val="none" w:sz="0" w:space="0" w:color="auto"/>
        <w:right w:val="none" w:sz="0" w:space="0" w:color="auto"/>
      </w:divBdr>
    </w:div>
    <w:div w:id="203713053">
      <w:bodyDiv w:val="1"/>
      <w:marLeft w:val="0"/>
      <w:marRight w:val="0"/>
      <w:marTop w:val="0"/>
      <w:marBottom w:val="0"/>
      <w:divBdr>
        <w:top w:val="none" w:sz="0" w:space="0" w:color="auto"/>
        <w:left w:val="none" w:sz="0" w:space="0" w:color="auto"/>
        <w:bottom w:val="none" w:sz="0" w:space="0" w:color="auto"/>
        <w:right w:val="none" w:sz="0" w:space="0" w:color="auto"/>
      </w:divBdr>
    </w:div>
    <w:div w:id="203755812">
      <w:bodyDiv w:val="1"/>
      <w:marLeft w:val="0"/>
      <w:marRight w:val="0"/>
      <w:marTop w:val="0"/>
      <w:marBottom w:val="0"/>
      <w:divBdr>
        <w:top w:val="none" w:sz="0" w:space="0" w:color="auto"/>
        <w:left w:val="none" w:sz="0" w:space="0" w:color="auto"/>
        <w:bottom w:val="none" w:sz="0" w:space="0" w:color="auto"/>
        <w:right w:val="none" w:sz="0" w:space="0" w:color="auto"/>
      </w:divBdr>
    </w:div>
    <w:div w:id="203829436">
      <w:bodyDiv w:val="1"/>
      <w:marLeft w:val="0"/>
      <w:marRight w:val="0"/>
      <w:marTop w:val="0"/>
      <w:marBottom w:val="0"/>
      <w:divBdr>
        <w:top w:val="none" w:sz="0" w:space="0" w:color="auto"/>
        <w:left w:val="none" w:sz="0" w:space="0" w:color="auto"/>
        <w:bottom w:val="none" w:sz="0" w:space="0" w:color="auto"/>
        <w:right w:val="none" w:sz="0" w:space="0" w:color="auto"/>
      </w:divBdr>
    </w:div>
    <w:div w:id="203907958">
      <w:bodyDiv w:val="1"/>
      <w:marLeft w:val="0"/>
      <w:marRight w:val="0"/>
      <w:marTop w:val="0"/>
      <w:marBottom w:val="0"/>
      <w:divBdr>
        <w:top w:val="none" w:sz="0" w:space="0" w:color="auto"/>
        <w:left w:val="none" w:sz="0" w:space="0" w:color="auto"/>
        <w:bottom w:val="none" w:sz="0" w:space="0" w:color="auto"/>
        <w:right w:val="none" w:sz="0" w:space="0" w:color="auto"/>
      </w:divBdr>
    </w:div>
    <w:div w:id="203912476">
      <w:bodyDiv w:val="1"/>
      <w:marLeft w:val="0"/>
      <w:marRight w:val="0"/>
      <w:marTop w:val="0"/>
      <w:marBottom w:val="0"/>
      <w:divBdr>
        <w:top w:val="none" w:sz="0" w:space="0" w:color="auto"/>
        <w:left w:val="none" w:sz="0" w:space="0" w:color="auto"/>
        <w:bottom w:val="none" w:sz="0" w:space="0" w:color="auto"/>
        <w:right w:val="none" w:sz="0" w:space="0" w:color="auto"/>
      </w:divBdr>
    </w:div>
    <w:div w:id="203912620">
      <w:bodyDiv w:val="1"/>
      <w:marLeft w:val="0"/>
      <w:marRight w:val="0"/>
      <w:marTop w:val="0"/>
      <w:marBottom w:val="0"/>
      <w:divBdr>
        <w:top w:val="none" w:sz="0" w:space="0" w:color="auto"/>
        <w:left w:val="none" w:sz="0" w:space="0" w:color="auto"/>
        <w:bottom w:val="none" w:sz="0" w:space="0" w:color="auto"/>
        <w:right w:val="none" w:sz="0" w:space="0" w:color="auto"/>
      </w:divBdr>
    </w:div>
    <w:div w:id="204026880">
      <w:bodyDiv w:val="1"/>
      <w:marLeft w:val="0"/>
      <w:marRight w:val="0"/>
      <w:marTop w:val="0"/>
      <w:marBottom w:val="0"/>
      <w:divBdr>
        <w:top w:val="none" w:sz="0" w:space="0" w:color="auto"/>
        <w:left w:val="none" w:sz="0" w:space="0" w:color="auto"/>
        <w:bottom w:val="none" w:sz="0" w:space="0" w:color="auto"/>
        <w:right w:val="none" w:sz="0" w:space="0" w:color="auto"/>
      </w:divBdr>
    </w:div>
    <w:div w:id="204027454">
      <w:bodyDiv w:val="1"/>
      <w:marLeft w:val="0"/>
      <w:marRight w:val="0"/>
      <w:marTop w:val="0"/>
      <w:marBottom w:val="0"/>
      <w:divBdr>
        <w:top w:val="none" w:sz="0" w:space="0" w:color="auto"/>
        <w:left w:val="none" w:sz="0" w:space="0" w:color="auto"/>
        <w:bottom w:val="none" w:sz="0" w:space="0" w:color="auto"/>
        <w:right w:val="none" w:sz="0" w:space="0" w:color="auto"/>
      </w:divBdr>
    </w:div>
    <w:div w:id="204031030">
      <w:bodyDiv w:val="1"/>
      <w:marLeft w:val="0"/>
      <w:marRight w:val="0"/>
      <w:marTop w:val="0"/>
      <w:marBottom w:val="0"/>
      <w:divBdr>
        <w:top w:val="none" w:sz="0" w:space="0" w:color="auto"/>
        <w:left w:val="none" w:sz="0" w:space="0" w:color="auto"/>
        <w:bottom w:val="none" w:sz="0" w:space="0" w:color="auto"/>
        <w:right w:val="none" w:sz="0" w:space="0" w:color="auto"/>
      </w:divBdr>
    </w:div>
    <w:div w:id="204100209">
      <w:bodyDiv w:val="1"/>
      <w:marLeft w:val="0"/>
      <w:marRight w:val="0"/>
      <w:marTop w:val="0"/>
      <w:marBottom w:val="0"/>
      <w:divBdr>
        <w:top w:val="none" w:sz="0" w:space="0" w:color="auto"/>
        <w:left w:val="none" w:sz="0" w:space="0" w:color="auto"/>
        <w:bottom w:val="none" w:sz="0" w:space="0" w:color="auto"/>
        <w:right w:val="none" w:sz="0" w:space="0" w:color="auto"/>
      </w:divBdr>
    </w:div>
    <w:div w:id="204101541">
      <w:bodyDiv w:val="1"/>
      <w:marLeft w:val="0"/>
      <w:marRight w:val="0"/>
      <w:marTop w:val="0"/>
      <w:marBottom w:val="0"/>
      <w:divBdr>
        <w:top w:val="none" w:sz="0" w:space="0" w:color="auto"/>
        <w:left w:val="none" w:sz="0" w:space="0" w:color="auto"/>
        <w:bottom w:val="none" w:sz="0" w:space="0" w:color="auto"/>
        <w:right w:val="none" w:sz="0" w:space="0" w:color="auto"/>
      </w:divBdr>
    </w:div>
    <w:div w:id="204146213">
      <w:bodyDiv w:val="1"/>
      <w:marLeft w:val="0"/>
      <w:marRight w:val="0"/>
      <w:marTop w:val="0"/>
      <w:marBottom w:val="0"/>
      <w:divBdr>
        <w:top w:val="none" w:sz="0" w:space="0" w:color="auto"/>
        <w:left w:val="none" w:sz="0" w:space="0" w:color="auto"/>
        <w:bottom w:val="none" w:sz="0" w:space="0" w:color="auto"/>
        <w:right w:val="none" w:sz="0" w:space="0" w:color="auto"/>
      </w:divBdr>
    </w:div>
    <w:div w:id="204223506">
      <w:bodyDiv w:val="1"/>
      <w:marLeft w:val="0"/>
      <w:marRight w:val="0"/>
      <w:marTop w:val="0"/>
      <w:marBottom w:val="0"/>
      <w:divBdr>
        <w:top w:val="none" w:sz="0" w:space="0" w:color="auto"/>
        <w:left w:val="none" w:sz="0" w:space="0" w:color="auto"/>
        <w:bottom w:val="none" w:sz="0" w:space="0" w:color="auto"/>
        <w:right w:val="none" w:sz="0" w:space="0" w:color="auto"/>
      </w:divBdr>
    </w:div>
    <w:div w:id="204293953">
      <w:bodyDiv w:val="1"/>
      <w:marLeft w:val="0"/>
      <w:marRight w:val="0"/>
      <w:marTop w:val="0"/>
      <w:marBottom w:val="0"/>
      <w:divBdr>
        <w:top w:val="none" w:sz="0" w:space="0" w:color="auto"/>
        <w:left w:val="none" w:sz="0" w:space="0" w:color="auto"/>
        <w:bottom w:val="none" w:sz="0" w:space="0" w:color="auto"/>
        <w:right w:val="none" w:sz="0" w:space="0" w:color="auto"/>
      </w:divBdr>
    </w:div>
    <w:div w:id="204415311">
      <w:bodyDiv w:val="1"/>
      <w:marLeft w:val="0"/>
      <w:marRight w:val="0"/>
      <w:marTop w:val="0"/>
      <w:marBottom w:val="0"/>
      <w:divBdr>
        <w:top w:val="none" w:sz="0" w:space="0" w:color="auto"/>
        <w:left w:val="none" w:sz="0" w:space="0" w:color="auto"/>
        <w:bottom w:val="none" w:sz="0" w:space="0" w:color="auto"/>
        <w:right w:val="none" w:sz="0" w:space="0" w:color="auto"/>
      </w:divBdr>
    </w:div>
    <w:div w:id="204484494">
      <w:bodyDiv w:val="1"/>
      <w:marLeft w:val="0"/>
      <w:marRight w:val="0"/>
      <w:marTop w:val="0"/>
      <w:marBottom w:val="0"/>
      <w:divBdr>
        <w:top w:val="none" w:sz="0" w:space="0" w:color="auto"/>
        <w:left w:val="none" w:sz="0" w:space="0" w:color="auto"/>
        <w:bottom w:val="none" w:sz="0" w:space="0" w:color="auto"/>
        <w:right w:val="none" w:sz="0" w:space="0" w:color="auto"/>
      </w:divBdr>
    </w:div>
    <w:div w:id="204486211">
      <w:bodyDiv w:val="1"/>
      <w:marLeft w:val="0"/>
      <w:marRight w:val="0"/>
      <w:marTop w:val="0"/>
      <w:marBottom w:val="0"/>
      <w:divBdr>
        <w:top w:val="none" w:sz="0" w:space="0" w:color="auto"/>
        <w:left w:val="none" w:sz="0" w:space="0" w:color="auto"/>
        <w:bottom w:val="none" w:sz="0" w:space="0" w:color="auto"/>
        <w:right w:val="none" w:sz="0" w:space="0" w:color="auto"/>
      </w:divBdr>
    </w:div>
    <w:div w:id="204605311">
      <w:bodyDiv w:val="1"/>
      <w:marLeft w:val="0"/>
      <w:marRight w:val="0"/>
      <w:marTop w:val="0"/>
      <w:marBottom w:val="0"/>
      <w:divBdr>
        <w:top w:val="none" w:sz="0" w:space="0" w:color="auto"/>
        <w:left w:val="none" w:sz="0" w:space="0" w:color="auto"/>
        <w:bottom w:val="none" w:sz="0" w:space="0" w:color="auto"/>
        <w:right w:val="none" w:sz="0" w:space="0" w:color="auto"/>
      </w:divBdr>
    </w:div>
    <w:div w:id="204609331">
      <w:bodyDiv w:val="1"/>
      <w:marLeft w:val="0"/>
      <w:marRight w:val="0"/>
      <w:marTop w:val="0"/>
      <w:marBottom w:val="0"/>
      <w:divBdr>
        <w:top w:val="none" w:sz="0" w:space="0" w:color="auto"/>
        <w:left w:val="none" w:sz="0" w:space="0" w:color="auto"/>
        <w:bottom w:val="none" w:sz="0" w:space="0" w:color="auto"/>
        <w:right w:val="none" w:sz="0" w:space="0" w:color="auto"/>
      </w:divBdr>
    </w:div>
    <w:div w:id="204755811">
      <w:bodyDiv w:val="1"/>
      <w:marLeft w:val="0"/>
      <w:marRight w:val="0"/>
      <w:marTop w:val="0"/>
      <w:marBottom w:val="0"/>
      <w:divBdr>
        <w:top w:val="none" w:sz="0" w:space="0" w:color="auto"/>
        <w:left w:val="none" w:sz="0" w:space="0" w:color="auto"/>
        <w:bottom w:val="none" w:sz="0" w:space="0" w:color="auto"/>
        <w:right w:val="none" w:sz="0" w:space="0" w:color="auto"/>
      </w:divBdr>
    </w:div>
    <w:div w:id="204871995">
      <w:bodyDiv w:val="1"/>
      <w:marLeft w:val="0"/>
      <w:marRight w:val="0"/>
      <w:marTop w:val="0"/>
      <w:marBottom w:val="0"/>
      <w:divBdr>
        <w:top w:val="none" w:sz="0" w:space="0" w:color="auto"/>
        <w:left w:val="none" w:sz="0" w:space="0" w:color="auto"/>
        <w:bottom w:val="none" w:sz="0" w:space="0" w:color="auto"/>
        <w:right w:val="none" w:sz="0" w:space="0" w:color="auto"/>
      </w:divBdr>
    </w:div>
    <w:div w:id="205029267">
      <w:bodyDiv w:val="1"/>
      <w:marLeft w:val="0"/>
      <w:marRight w:val="0"/>
      <w:marTop w:val="0"/>
      <w:marBottom w:val="0"/>
      <w:divBdr>
        <w:top w:val="none" w:sz="0" w:space="0" w:color="auto"/>
        <w:left w:val="none" w:sz="0" w:space="0" w:color="auto"/>
        <w:bottom w:val="none" w:sz="0" w:space="0" w:color="auto"/>
        <w:right w:val="none" w:sz="0" w:space="0" w:color="auto"/>
      </w:divBdr>
    </w:div>
    <w:div w:id="205220320">
      <w:bodyDiv w:val="1"/>
      <w:marLeft w:val="0"/>
      <w:marRight w:val="0"/>
      <w:marTop w:val="0"/>
      <w:marBottom w:val="0"/>
      <w:divBdr>
        <w:top w:val="none" w:sz="0" w:space="0" w:color="auto"/>
        <w:left w:val="none" w:sz="0" w:space="0" w:color="auto"/>
        <w:bottom w:val="none" w:sz="0" w:space="0" w:color="auto"/>
        <w:right w:val="none" w:sz="0" w:space="0" w:color="auto"/>
      </w:divBdr>
    </w:div>
    <w:div w:id="205290505">
      <w:bodyDiv w:val="1"/>
      <w:marLeft w:val="0"/>
      <w:marRight w:val="0"/>
      <w:marTop w:val="0"/>
      <w:marBottom w:val="0"/>
      <w:divBdr>
        <w:top w:val="none" w:sz="0" w:space="0" w:color="auto"/>
        <w:left w:val="none" w:sz="0" w:space="0" w:color="auto"/>
        <w:bottom w:val="none" w:sz="0" w:space="0" w:color="auto"/>
        <w:right w:val="none" w:sz="0" w:space="0" w:color="auto"/>
      </w:divBdr>
    </w:div>
    <w:div w:id="205416240">
      <w:bodyDiv w:val="1"/>
      <w:marLeft w:val="0"/>
      <w:marRight w:val="0"/>
      <w:marTop w:val="0"/>
      <w:marBottom w:val="0"/>
      <w:divBdr>
        <w:top w:val="none" w:sz="0" w:space="0" w:color="auto"/>
        <w:left w:val="none" w:sz="0" w:space="0" w:color="auto"/>
        <w:bottom w:val="none" w:sz="0" w:space="0" w:color="auto"/>
        <w:right w:val="none" w:sz="0" w:space="0" w:color="auto"/>
      </w:divBdr>
    </w:div>
    <w:div w:id="205456937">
      <w:bodyDiv w:val="1"/>
      <w:marLeft w:val="0"/>
      <w:marRight w:val="0"/>
      <w:marTop w:val="0"/>
      <w:marBottom w:val="0"/>
      <w:divBdr>
        <w:top w:val="none" w:sz="0" w:space="0" w:color="auto"/>
        <w:left w:val="none" w:sz="0" w:space="0" w:color="auto"/>
        <w:bottom w:val="none" w:sz="0" w:space="0" w:color="auto"/>
        <w:right w:val="none" w:sz="0" w:space="0" w:color="auto"/>
      </w:divBdr>
    </w:div>
    <w:div w:id="205458223">
      <w:bodyDiv w:val="1"/>
      <w:marLeft w:val="0"/>
      <w:marRight w:val="0"/>
      <w:marTop w:val="0"/>
      <w:marBottom w:val="0"/>
      <w:divBdr>
        <w:top w:val="none" w:sz="0" w:space="0" w:color="auto"/>
        <w:left w:val="none" w:sz="0" w:space="0" w:color="auto"/>
        <w:bottom w:val="none" w:sz="0" w:space="0" w:color="auto"/>
        <w:right w:val="none" w:sz="0" w:space="0" w:color="auto"/>
      </w:divBdr>
    </w:div>
    <w:div w:id="205482909">
      <w:bodyDiv w:val="1"/>
      <w:marLeft w:val="0"/>
      <w:marRight w:val="0"/>
      <w:marTop w:val="0"/>
      <w:marBottom w:val="0"/>
      <w:divBdr>
        <w:top w:val="none" w:sz="0" w:space="0" w:color="auto"/>
        <w:left w:val="none" w:sz="0" w:space="0" w:color="auto"/>
        <w:bottom w:val="none" w:sz="0" w:space="0" w:color="auto"/>
        <w:right w:val="none" w:sz="0" w:space="0" w:color="auto"/>
      </w:divBdr>
    </w:div>
    <w:div w:id="205527599">
      <w:bodyDiv w:val="1"/>
      <w:marLeft w:val="0"/>
      <w:marRight w:val="0"/>
      <w:marTop w:val="0"/>
      <w:marBottom w:val="0"/>
      <w:divBdr>
        <w:top w:val="none" w:sz="0" w:space="0" w:color="auto"/>
        <w:left w:val="none" w:sz="0" w:space="0" w:color="auto"/>
        <w:bottom w:val="none" w:sz="0" w:space="0" w:color="auto"/>
        <w:right w:val="none" w:sz="0" w:space="0" w:color="auto"/>
      </w:divBdr>
    </w:div>
    <w:div w:id="205528337">
      <w:bodyDiv w:val="1"/>
      <w:marLeft w:val="0"/>
      <w:marRight w:val="0"/>
      <w:marTop w:val="0"/>
      <w:marBottom w:val="0"/>
      <w:divBdr>
        <w:top w:val="none" w:sz="0" w:space="0" w:color="auto"/>
        <w:left w:val="none" w:sz="0" w:space="0" w:color="auto"/>
        <w:bottom w:val="none" w:sz="0" w:space="0" w:color="auto"/>
        <w:right w:val="none" w:sz="0" w:space="0" w:color="auto"/>
      </w:divBdr>
    </w:div>
    <w:div w:id="205530035">
      <w:bodyDiv w:val="1"/>
      <w:marLeft w:val="0"/>
      <w:marRight w:val="0"/>
      <w:marTop w:val="0"/>
      <w:marBottom w:val="0"/>
      <w:divBdr>
        <w:top w:val="none" w:sz="0" w:space="0" w:color="auto"/>
        <w:left w:val="none" w:sz="0" w:space="0" w:color="auto"/>
        <w:bottom w:val="none" w:sz="0" w:space="0" w:color="auto"/>
        <w:right w:val="none" w:sz="0" w:space="0" w:color="auto"/>
      </w:divBdr>
    </w:div>
    <w:div w:id="205604590">
      <w:bodyDiv w:val="1"/>
      <w:marLeft w:val="0"/>
      <w:marRight w:val="0"/>
      <w:marTop w:val="0"/>
      <w:marBottom w:val="0"/>
      <w:divBdr>
        <w:top w:val="none" w:sz="0" w:space="0" w:color="auto"/>
        <w:left w:val="none" w:sz="0" w:space="0" w:color="auto"/>
        <w:bottom w:val="none" w:sz="0" w:space="0" w:color="auto"/>
        <w:right w:val="none" w:sz="0" w:space="0" w:color="auto"/>
      </w:divBdr>
    </w:div>
    <w:div w:id="205606188">
      <w:bodyDiv w:val="1"/>
      <w:marLeft w:val="0"/>
      <w:marRight w:val="0"/>
      <w:marTop w:val="0"/>
      <w:marBottom w:val="0"/>
      <w:divBdr>
        <w:top w:val="none" w:sz="0" w:space="0" w:color="auto"/>
        <w:left w:val="none" w:sz="0" w:space="0" w:color="auto"/>
        <w:bottom w:val="none" w:sz="0" w:space="0" w:color="auto"/>
        <w:right w:val="none" w:sz="0" w:space="0" w:color="auto"/>
      </w:divBdr>
    </w:div>
    <w:div w:id="205795148">
      <w:bodyDiv w:val="1"/>
      <w:marLeft w:val="0"/>
      <w:marRight w:val="0"/>
      <w:marTop w:val="0"/>
      <w:marBottom w:val="0"/>
      <w:divBdr>
        <w:top w:val="none" w:sz="0" w:space="0" w:color="auto"/>
        <w:left w:val="none" w:sz="0" w:space="0" w:color="auto"/>
        <w:bottom w:val="none" w:sz="0" w:space="0" w:color="auto"/>
        <w:right w:val="none" w:sz="0" w:space="0" w:color="auto"/>
      </w:divBdr>
    </w:div>
    <w:div w:id="205987837">
      <w:bodyDiv w:val="1"/>
      <w:marLeft w:val="0"/>
      <w:marRight w:val="0"/>
      <w:marTop w:val="0"/>
      <w:marBottom w:val="0"/>
      <w:divBdr>
        <w:top w:val="none" w:sz="0" w:space="0" w:color="auto"/>
        <w:left w:val="none" w:sz="0" w:space="0" w:color="auto"/>
        <w:bottom w:val="none" w:sz="0" w:space="0" w:color="auto"/>
        <w:right w:val="none" w:sz="0" w:space="0" w:color="auto"/>
      </w:divBdr>
    </w:div>
    <w:div w:id="206071384">
      <w:bodyDiv w:val="1"/>
      <w:marLeft w:val="0"/>
      <w:marRight w:val="0"/>
      <w:marTop w:val="0"/>
      <w:marBottom w:val="0"/>
      <w:divBdr>
        <w:top w:val="none" w:sz="0" w:space="0" w:color="auto"/>
        <w:left w:val="none" w:sz="0" w:space="0" w:color="auto"/>
        <w:bottom w:val="none" w:sz="0" w:space="0" w:color="auto"/>
        <w:right w:val="none" w:sz="0" w:space="0" w:color="auto"/>
      </w:divBdr>
    </w:div>
    <w:div w:id="206185787">
      <w:bodyDiv w:val="1"/>
      <w:marLeft w:val="0"/>
      <w:marRight w:val="0"/>
      <w:marTop w:val="0"/>
      <w:marBottom w:val="0"/>
      <w:divBdr>
        <w:top w:val="none" w:sz="0" w:space="0" w:color="auto"/>
        <w:left w:val="none" w:sz="0" w:space="0" w:color="auto"/>
        <w:bottom w:val="none" w:sz="0" w:space="0" w:color="auto"/>
        <w:right w:val="none" w:sz="0" w:space="0" w:color="auto"/>
      </w:divBdr>
    </w:div>
    <w:div w:id="206262268">
      <w:bodyDiv w:val="1"/>
      <w:marLeft w:val="0"/>
      <w:marRight w:val="0"/>
      <w:marTop w:val="0"/>
      <w:marBottom w:val="0"/>
      <w:divBdr>
        <w:top w:val="none" w:sz="0" w:space="0" w:color="auto"/>
        <w:left w:val="none" w:sz="0" w:space="0" w:color="auto"/>
        <w:bottom w:val="none" w:sz="0" w:space="0" w:color="auto"/>
        <w:right w:val="none" w:sz="0" w:space="0" w:color="auto"/>
      </w:divBdr>
    </w:div>
    <w:div w:id="206338192">
      <w:bodyDiv w:val="1"/>
      <w:marLeft w:val="0"/>
      <w:marRight w:val="0"/>
      <w:marTop w:val="0"/>
      <w:marBottom w:val="0"/>
      <w:divBdr>
        <w:top w:val="none" w:sz="0" w:space="0" w:color="auto"/>
        <w:left w:val="none" w:sz="0" w:space="0" w:color="auto"/>
        <w:bottom w:val="none" w:sz="0" w:space="0" w:color="auto"/>
        <w:right w:val="none" w:sz="0" w:space="0" w:color="auto"/>
      </w:divBdr>
    </w:div>
    <w:div w:id="206376108">
      <w:bodyDiv w:val="1"/>
      <w:marLeft w:val="0"/>
      <w:marRight w:val="0"/>
      <w:marTop w:val="0"/>
      <w:marBottom w:val="0"/>
      <w:divBdr>
        <w:top w:val="none" w:sz="0" w:space="0" w:color="auto"/>
        <w:left w:val="none" w:sz="0" w:space="0" w:color="auto"/>
        <w:bottom w:val="none" w:sz="0" w:space="0" w:color="auto"/>
        <w:right w:val="none" w:sz="0" w:space="0" w:color="auto"/>
      </w:divBdr>
    </w:div>
    <w:div w:id="206377374">
      <w:bodyDiv w:val="1"/>
      <w:marLeft w:val="0"/>
      <w:marRight w:val="0"/>
      <w:marTop w:val="0"/>
      <w:marBottom w:val="0"/>
      <w:divBdr>
        <w:top w:val="none" w:sz="0" w:space="0" w:color="auto"/>
        <w:left w:val="none" w:sz="0" w:space="0" w:color="auto"/>
        <w:bottom w:val="none" w:sz="0" w:space="0" w:color="auto"/>
        <w:right w:val="none" w:sz="0" w:space="0" w:color="auto"/>
      </w:divBdr>
    </w:div>
    <w:div w:id="206455380">
      <w:bodyDiv w:val="1"/>
      <w:marLeft w:val="0"/>
      <w:marRight w:val="0"/>
      <w:marTop w:val="0"/>
      <w:marBottom w:val="0"/>
      <w:divBdr>
        <w:top w:val="none" w:sz="0" w:space="0" w:color="auto"/>
        <w:left w:val="none" w:sz="0" w:space="0" w:color="auto"/>
        <w:bottom w:val="none" w:sz="0" w:space="0" w:color="auto"/>
        <w:right w:val="none" w:sz="0" w:space="0" w:color="auto"/>
      </w:divBdr>
    </w:div>
    <w:div w:id="206456313">
      <w:bodyDiv w:val="1"/>
      <w:marLeft w:val="0"/>
      <w:marRight w:val="0"/>
      <w:marTop w:val="0"/>
      <w:marBottom w:val="0"/>
      <w:divBdr>
        <w:top w:val="none" w:sz="0" w:space="0" w:color="auto"/>
        <w:left w:val="none" w:sz="0" w:space="0" w:color="auto"/>
        <w:bottom w:val="none" w:sz="0" w:space="0" w:color="auto"/>
        <w:right w:val="none" w:sz="0" w:space="0" w:color="auto"/>
      </w:divBdr>
    </w:div>
    <w:div w:id="206573850">
      <w:bodyDiv w:val="1"/>
      <w:marLeft w:val="0"/>
      <w:marRight w:val="0"/>
      <w:marTop w:val="0"/>
      <w:marBottom w:val="0"/>
      <w:divBdr>
        <w:top w:val="none" w:sz="0" w:space="0" w:color="auto"/>
        <w:left w:val="none" w:sz="0" w:space="0" w:color="auto"/>
        <w:bottom w:val="none" w:sz="0" w:space="0" w:color="auto"/>
        <w:right w:val="none" w:sz="0" w:space="0" w:color="auto"/>
      </w:divBdr>
    </w:div>
    <w:div w:id="206766887">
      <w:bodyDiv w:val="1"/>
      <w:marLeft w:val="0"/>
      <w:marRight w:val="0"/>
      <w:marTop w:val="0"/>
      <w:marBottom w:val="0"/>
      <w:divBdr>
        <w:top w:val="none" w:sz="0" w:space="0" w:color="auto"/>
        <w:left w:val="none" w:sz="0" w:space="0" w:color="auto"/>
        <w:bottom w:val="none" w:sz="0" w:space="0" w:color="auto"/>
        <w:right w:val="none" w:sz="0" w:space="0" w:color="auto"/>
      </w:divBdr>
    </w:div>
    <w:div w:id="206836174">
      <w:bodyDiv w:val="1"/>
      <w:marLeft w:val="0"/>
      <w:marRight w:val="0"/>
      <w:marTop w:val="0"/>
      <w:marBottom w:val="0"/>
      <w:divBdr>
        <w:top w:val="none" w:sz="0" w:space="0" w:color="auto"/>
        <w:left w:val="none" w:sz="0" w:space="0" w:color="auto"/>
        <w:bottom w:val="none" w:sz="0" w:space="0" w:color="auto"/>
        <w:right w:val="none" w:sz="0" w:space="0" w:color="auto"/>
      </w:divBdr>
    </w:div>
    <w:div w:id="206837899">
      <w:bodyDiv w:val="1"/>
      <w:marLeft w:val="0"/>
      <w:marRight w:val="0"/>
      <w:marTop w:val="0"/>
      <w:marBottom w:val="0"/>
      <w:divBdr>
        <w:top w:val="none" w:sz="0" w:space="0" w:color="auto"/>
        <w:left w:val="none" w:sz="0" w:space="0" w:color="auto"/>
        <w:bottom w:val="none" w:sz="0" w:space="0" w:color="auto"/>
        <w:right w:val="none" w:sz="0" w:space="0" w:color="auto"/>
      </w:divBdr>
    </w:div>
    <w:div w:id="206838970">
      <w:bodyDiv w:val="1"/>
      <w:marLeft w:val="0"/>
      <w:marRight w:val="0"/>
      <w:marTop w:val="0"/>
      <w:marBottom w:val="0"/>
      <w:divBdr>
        <w:top w:val="none" w:sz="0" w:space="0" w:color="auto"/>
        <w:left w:val="none" w:sz="0" w:space="0" w:color="auto"/>
        <w:bottom w:val="none" w:sz="0" w:space="0" w:color="auto"/>
        <w:right w:val="none" w:sz="0" w:space="0" w:color="auto"/>
      </w:divBdr>
    </w:div>
    <w:div w:id="206841176">
      <w:bodyDiv w:val="1"/>
      <w:marLeft w:val="0"/>
      <w:marRight w:val="0"/>
      <w:marTop w:val="0"/>
      <w:marBottom w:val="0"/>
      <w:divBdr>
        <w:top w:val="none" w:sz="0" w:space="0" w:color="auto"/>
        <w:left w:val="none" w:sz="0" w:space="0" w:color="auto"/>
        <w:bottom w:val="none" w:sz="0" w:space="0" w:color="auto"/>
        <w:right w:val="none" w:sz="0" w:space="0" w:color="auto"/>
      </w:divBdr>
    </w:div>
    <w:div w:id="206844978">
      <w:bodyDiv w:val="1"/>
      <w:marLeft w:val="0"/>
      <w:marRight w:val="0"/>
      <w:marTop w:val="0"/>
      <w:marBottom w:val="0"/>
      <w:divBdr>
        <w:top w:val="none" w:sz="0" w:space="0" w:color="auto"/>
        <w:left w:val="none" w:sz="0" w:space="0" w:color="auto"/>
        <w:bottom w:val="none" w:sz="0" w:space="0" w:color="auto"/>
        <w:right w:val="none" w:sz="0" w:space="0" w:color="auto"/>
      </w:divBdr>
    </w:div>
    <w:div w:id="206915077">
      <w:bodyDiv w:val="1"/>
      <w:marLeft w:val="0"/>
      <w:marRight w:val="0"/>
      <w:marTop w:val="0"/>
      <w:marBottom w:val="0"/>
      <w:divBdr>
        <w:top w:val="none" w:sz="0" w:space="0" w:color="auto"/>
        <w:left w:val="none" w:sz="0" w:space="0" w:color="auto"/>
        <w:bottom w:val="none" w:sz="0" w:space="0" w:color="auto"/>
        <w:right w:val="none" w:sz="0" w:space="0" w:color="auto"/>
      </w:divBdr>
    </w:div>
    <w:div w:id="206920679">
      <w:bodyDiv w:val="1"/>
      <w:marLeft w:val="0"/>
      <w:marRight w:val="0"/>
      <w:marTop w:val="0"/>
      <w:marBottom w:val="0"/>
      <w:divBdr>
        <w:top w:val="none" w:sz="0" w:space="0" w:color="auto"/>
        <w:left w:val="none" w:sz="0" w:space="0" w:color="auto"/>
        <w:bottom w:val="none" w:sz="0" w:space="0" w:color="auto"/>
        <w:right w:val="none" w:sz="0" w:space="0" w:color="auto"/>
      </w:divBdr>
    </w:div>
    <w:div w:id="206993910">
      <w:bodyDiv w:val="1"/>
      <w:marLeft w:val="0"/>
      <w:marRight w:val="0"/>
      <w:marTop w:val="0"/>
      <w:marBottom w:val="0"/>
      <w:divBdr>
        <w:top w:val="none" w:sz="0" w:space="0" w:color="auto"/>
        <w:left w:val="none" w:sz="0" w:space="0" w:color="auto"/>
        <w:bottom w:val="none" w:sz="0" w:space="0" w:color="auto"/>
        <w:right w:val="none" w:sz="0" w:space="0" w:color="auto"/>
      </w:divBdr>
    </w:div>
    <w:div w:id="207105263">
      <w:bodyDiv w:val="1"/>
      <w:marLeft w:val="0"/>
      <w:marRight w:val="0"/>
      <w:marTop w:val="0"/>
      <w:marBottom w:val="0"/>
      <w:divBdr>
        <w:top w:val="none" w:sz="0" w:space="0" w:color="auto"/>
        <w:left w:val="none" w:sz="0" w:space="0" w:color="auto"/>
        <w:bottom w:val="none" w:sz="0" w:space="0" w:color="auto"/>
        <w:right w:val="none" w:sz="0" w:space="0" w:color="auto"/>
      </w:divBdr>
    </w:div>
    <w:div w:id="207109531">
      <w:bodyDiv w:val="1"/>
      <w:marLeft w:val="0"/>
      <w:marRight w:val="0"/>
      <w:marTop w:val="0"/>
      <w:marBottom w:val="0"/>
      <w:divBdr>
        <w:top w:val="none" w:sz="0" w:space="0" w:color="auto"/>
        <w:left w:val="none" w:sz="0" w:space="0" w:color="auto"/>
        <w:bottom w:val="none" w:sz="0" w:space="0" w:color="auto"/>
        <w:right w:val="none" w:sz="0" w:space="0" w:color="auto"/>
      </w:divBdr>
    </w:div>
    <w:div w:id="207187285">
      <w:bodyDiv w:val="1"/>
      <w:marLeft w:val="0"/>
      <w:marRight w:val="0"/>
      <w:marTop w:val="0"/>
      <w:marBottom w:val="0"/>
      <w:divBdr>
        <w:top w:val="none" w:sz="0" w:space="0" w:color="auto"/>
        <w:left w:val="none" w:sz="0" w:space="0" w:color="auto"/>
        <w:bottom w:val="none" w:sz="0" w:space="0" w:color="auto"/>
        <w:right w:val="none" w:sz="0" w:space="0" w:color="auto"/>
      </w:divBdr>
    </w:div>
    <w:div w:id="207225361">
      <w:bodyDiv w:val="1"/>
      <w:marLeft w:val="0"/>
      <w:marRight w:val="0"/>
      <w:marTop w:val="0"/>
      <w:marBottom w:val="0"/>
      <w:divBdr>
        <w:top w:val="none" w:sz="0" w:space="0" w:color="auto"/>
        <w:left w:val="none" w:sz="0" w:space="0" w:color="auto"/>
        <w:bottom w:val="none" w:sz="0" w:space="0" w:color="auto"/>
        <w:right w:val="none" w:sz="0" w:space="0" w:color="auto"/>
      </w:divBdr>
    </w:div>
    <w:div w:id="207227367">
      <w:bodyDiv w:val="1"/>
      <w:marLeft w:val="0"/>
      <w:marRight w:val="0"/>
      <w:marTop w:val="0"/>
      <w:marBottom w:val="0"/>
      <w:divBdr>
        <w:top w:val="none" w:sz="0" w:space="0" w:color="auto"/>
        <w:left w:val="none" w:sz="0" w:space="0" w:color="auto"/>
        <w:bottom w:val="none" w:sz="0" w:space="0" w:color="auto"/>
        <w:right w:val="none" w:sz="0" w:space="0" w:color="auto"/>
      </w:divBdr>
    </w:div>
    <w:div w:id="207299199">
      <w:bodyDiv w:val="1"/>
      <w:marLeft w:val="0"/>
      <w:marRight w:val="0"/>
      <w:marTop w:val="0"/>
      <w:marBottom w:val="0"/>
      <w:divBdr>
        <w:top w:val="none" w:sz="0" w:space="0" w:color="auto"/>
        <w:left w:val="none" w:sz="0" w:space="0" w:color="auto"/>
        <w:bottom w:val="none" w:sz="0" w:space="0" w:color="auto"/>
        <w:right w:val="none" w:sz="0" w:space="0" w:color="auto"/>
      </w:divBdr>
    </w:div>
    <w:div w:id="207302810">
      <w:bodyDiv w:val="1"/>
      <w:marLeft w:val="0"/>
      <w:marRight w:val="0"/>
      <w:marTop w:val="0"/>
      <w:marBottom w:val="0"/>
      <w:divBdr>
        <w:top w:val="none" w:sz="0" w:space="0" w:color="auto"/>
        <w:left w:val="none" w:sz="0" w:space="0" w:color="auto"/>
        <w:bottom w:val="none" w:sz="0" w:space="0" w:color="auto"/>
        <w:right w:val="none" w:sz="0" w:space="0" w:color="auto"/>
      </w:divBdr>
    </w:div>
    <w:div w:id="207306437">
      <w:bodyDiv w:val="1"/>
      <w:marLeft w:val="0"/>
      <w:marRight w:val="0"/>
      <w:marTop w:val="0"/>
      <w:marBottom w:val="0"/>
      <w:divBdr>
        <w:top w:val="none" w:sz="0" w:space="0" w:color="auto"/>
        <w:left w:val="none" w:sz="0" w:space="0" w:color="auto"/>
        <w:bottom w:val="none" w:sz="0" w:space="0" w:color="auto"/>
        <w:right w:val="none" w:sz="0" w:space="0" w:color="auto"/>
      </w:divBdr>
    </w:div>
    <w:div w:id="207424120">
      <w:bodyDiv w:val="1"/>
      <w:marLeft w:val="0"/>
      <w:marRight w:val="0"/>
      <w:marTop w:val="0"/>
      <w:marBottom w:val="0"/>
      <w:divBdr>
        <w:top w:val="none" w:sz="0" w:space="0" w:color="auto"/>
        <w:left w:val="none" w:sz="0" w:space="0" w:color="auto"/>
        <w:bottom w:val="none" w:sz="0" w:space="0" w:color="auto"/>
        <w:right w:val="none" w:sz="0" w:space="0" w:color="auto"/>
      </w:divBdr>
    </w:div>
    <w:div w:id="207570623">
      <w:bodyDiv w:val="1"/>
      <w:marLeft w:val="0"/>
      <w:marRight w:val="0"/>
      <w:marTop w:val="0"/>
      <w:marBottom w:val="0"/>
      <w:divBdr>
        <w:top w:val="none" w:sz="0" w:space="0" w:color="auto"/>
        <w:left w:val="none" w:sz="0" w:space="0" w:color="auto"/>
        <w:bottom w:val="none" w:sz="0" w:space="0" w:color="auto"/>
        <w:right w:val="none" w:sz="0" w:space="0" w:color="auto"/>
      </w:divBdr>
    </w:div>
    <w:div w:id="207573852">
      <w:bodyDiv w:val="1"/>
      <w:marLeft w:val="0"/>
      <w:marRight w:val="0"/>
      <w:marTop w:val="0"/>
      <w:marBottom w:val="0"/>
      <w:divBdr>
        <w:top w:val="none" w:sz="0" w:space="0" w:color="auto"/>
        <w:left w:val="none" w:sz="0" w:space="0" w:color="auto"/>
        <w:bottom w:val="none" w:sz="0" w:space="0" w:color="auto"/>
        <w:right w:val="none" w:sz="0" w:space="0" w:color="auto"/>
      </w:divBdr>
    </w:div>
    <w:div w:id="207650388">
      <w:bodyDiv w:val="1"/>
      <w:marLeft w:val="0"/>
      <w:marRight w:val="0"/>
      <w:marTop w:val="0"/>
      <w:marBottom w:val="0"/>
      <w:divBdr>
        <w:top w:val="none" w:sz="0" w:space="0" w:color="auto"/>
        <w:left w:val="none" w:sz="0" w:space="0" w:color="auto"/>
        <w:bottom w:val="none" w:sz="0" w:space="0" w:color="auto"/>
        <w:right w:val="none" w:sz="0" w:space="0" w:color="auto"/>
      </w:divBdr>
    </w:div>
    <w:div w:id="207691441">
      <w:bodyDiv w:val="1"/>
      <w:marLeft w:val="0"/>
      <w:marRight w:val="0"/>
      <w:marTop w:val="0"/>
      <w:marBottom w:val="0"/>
      <w:divBdr>
        <w:top w:val="none" w:sz="0" w:space="0" w:color="auto"/>
        <w:left w:val="none" w:sz="0" w:space="0" w:color="auto"/>
        <w:bottom w:val="none" w:sz="0" w:space="0" w:color="auto"/>
        <w:right w:val="none" w:sz="0" w:space="0" w:color="auto"/>
      </w:divBdr>
    </w:div>
    <w:div w:id="207694279">
      <w:bodyDiv w:val="1"/>
      <w:marLeft w:val="0"/>
      <w:marRight w:val="0"/>
      <w:marTop w:val="0"/>
      <w:marBottom w:val="0"/>
      <w:divBdr>
        <w:top w:val="none" w:sz="0" w:space="0" w:color="auto"/>
        <w:left w:val="none" w:sz="0" w:space="0" w:color="auto"/>
        <w:bottom w:val="none" w:sz="0" w:space="0" w:color="auto"/>
        <w:right w:val="none" w:sz="0" w:space="0" w:color="auto"/>
      </w:divBdr>
    </w:div>
    <w:div w:id="207766009">
      <w:bodyDiv w:val="1"/>
      <w:marLeft w:val="0"/>
      <w:marRight w:val="0"/>
      <w:marTop w:val="0"/>
      <w:marBottom w:val="0"/>
      <w:divBdr>
        <w:top w:val="none" w:sz="0" w:space="0" w:color="auto"/>
        <w:left w:val="none" w:sz="0" w:space="0" w:color="auto"/>
        <w:bottom w:val="none" w:sz="0" w:space="0" w:color="auto"/>
        <w:right w:val="none" w:sz="0" w:space="0" w:color="auto"/>
      </w:divBdr>
    </w:div>
    <w:div w:id="207961474">
      <w:bodyDiv w:val="1"/>
      <w:marLeft w:val="0"/>
      <w:marRight w:val="0"/>
      <w:marTop w:val="0"/>
      <w:marBottom w:val="0"/>
      <w:divBdr>
        <w:top w:val="none" w:sz="0" w:space="0" w:color="auto"/>
        <w:left w:val="none" w:sz="0" w:space="0" w:color="auto"/>
        <w:bottom w:val="none" w:sz="0" w:space="0" w:color="auto"/>
        <w:right w:val="none" w:sz="0" w:space="0" w:color="auto"/>
      </w:divBdr>
    </w:div>
    <w:div w:id="208036625">
      <w:bodyDiv w:val="1"/>
      <w:marLeft w:val="0"/>
      <w:marRight w:val="0"/>
      <w:marTop w:val="0"/>
      <w:marBottom w:val="0"/>
      <w:divBdr>
        <w:top w:val="none" w:sz="0" w:space="0" w:color="auto"/>
        <w:left w:val="none" w:sz="0" w:space="0" w:color="auto"/>
        <w:bottom w:val="none" w:sz="0" w:space="0" w:color="auto"/>
        <w:right w:val="none" w:sz="0" w:space="0" w:color="auto"/>
      </w:divBdr>
    </w:div>
    <w:div w:id="208225008">
      <w:bodyDiv w:val="1"/>
      <w:marLeft w:val="0"/>
      <w:marRight w:val="0"/>
      <w:marTop w:val="0"/>
      <w:marBottom w:val="0"/>
      <w:divBdr>
        <w:top w:val="none" w:sz="0" w:space="0" w:color="auto"/>
        <w:left w:val="none" w:sz="0" w:space="0" w:color="auto"/>
        <w:bottom w:val="none" w:sz="0" w:space="0" w:color="auto"/>
        <w:right w:val="none" w:sz="0" w:space="0" w:color="auto"/>
      </w:divBdr>
    </w:div>
    <w:div w:id="208341345">
      <w:bodyDiv w:val="1"/>
      <w:marLeft w:val="0"/>
      <w:marRight w:val="0"/>
      <w:marTop w:val="0"/>
      <w:marBottom w:val="0"/>
      <w:divBdr>
        <w:top w:val="none" w:sz="0" w:space="0" w:color="auto"/>
        <w:left w:val="none" w:sz="0" w:space="0" w:color="auto"/>
        <w:bottom w:val="none" w:sz="0" w:space="0" w:color="auto"/>
        <w:right w:val="none" w:sz="0" w:space="0" w:color="auto"/>
      </w:divBdr>
    </w:div>
    <w:div w:id="208343854">
      <w:bodyDiv w:val="1"/>
      <w:marLeft w:val="0"/>
      <w:marRight w:val="0"/>
      <w:marTop w:val="0"/>
      <w:marBottom w:val="0"/>
      <w:divBdr>
        <w:top w:val="none" w:sz="0" w:space="0" w:color="auto"/>
        <w:left w:val="none" w:sz="0" w:space="0" w:color="auto"/>
        <w:bottom w:val="none" w:sz="0" w:space="0" w:color="auto"/>
        <w:right w:val="none" w:sz="0" w:space="0" w:color="auto"/>
      </w:divBdr>
    </w:div>
    <w:div w:id="208418487">
      <w:bodyDiv w:val="1"/>
      <w:marLeft w:val="0"/>
      <w:marRight w:val="0"/>
      <w:marTop w:val="0"/>
      <w:marBottom w:val="0"/>
      <w:divBdr>
        <w:top w:val="none" w:sz="0" w:space="0" w:color="auto"/>
        <w:left w:val="none" w:sz="0" w:space="0" w:color="auto"/>
        <w:bottom w:val="none" w:sz="0" w:space="0" w:color="auto"/>
        <w:right w:val="none" w:sz="0" w:space="0" w:color="auto"/>
      </w:divBdr>
    </w:div>
    <w:div w:id="208419499">
      <w:bodyDiv w:val="1"/>
      <w:marLeft w:val="0"/>
      <w:marRight w:val="0"/>
      <w:marTop w:val="0"/>
      <w:marBottom w:val="0"/>
      <w:divBdr>
        <w:top w:val="none" w:sz="0" w:space="0" w:color="auto"/>
        <w:left w:val="none" w:sz="0" w:space="0" w:color="auto"/>
        <w:bottom w:val="none" w:sz="0" w:space="0" w:color="auto"/>
        <w:right w:val="none" w:sz="0" w:space="0" w:color="auto"/>
      </w:divBdr>
    </w:div>
    <w:div w:id="208567201">
      <w:bodyDiv w:val="1"/>
      <w:marLeft w:val="0"/>
      <w:marRight w:val="0"/>
      <w:marTop w:val="0"/>
      <w:marBottom w:val="0"/>
      <w:divBdr>
        <w:top w:val="none" w:sz="0" w:space="0" w:color="auto"/>
        <w:left w:val="none" w:sz="0" w:space="0" w:color="auto"/>
        <w:bottom w:val="none" w:sz="0" w:space="0" w:color="auto"/>
        <w:right w:val="none" w:sz="0" w:space="0" w:color="auto"/>
      </w:divBdr>
    </w:div>
    <w:div w:id="208691482">
      <w:bodyDiv w:val="1"/>
      <w:marLeft w:val="0"/>
      <w:marRight w:val="0"/>
      <w:marTop w:val="0"/>
      <w:marBottom w:val="0"/>
      <w:divBdr>
        <w:top w:val="none" w:sz="0" w:space="0" w:color="auto"/>
        <w:left w:val="none" w:sz="0" w:space="0" w:color="auto"/>
        <w:bottom w:val="none" w:sz="0" w:space="0" w:color="auto"/>
        <w:right w:val="none" w:sz="0" w:space="0" w:color="auto"/>
      </w:divBdr>
    </w:div>
    <w:div w:id="208762469">
      <w:bodyDiv w:val="1"/>
      <w:marLeft w:val="0"/>
      <w:marRight w:val="0"/>
      <w:marTop w:val="0"/>
      <w:marBottom w:val="0"/>
      <w:divBdr>
        <w:top w:val="none" w:sz="0" w:space="0" w:color="auto"/>
        <w:left w:val="none" w:sz="0" w:space="0" w:color="auto"/>
        <w:bottom w:val="none" w:sz="0" w:space="0" w:color="auto"/>
        <w:right w:val="none" w:sz="0" w:space="0" w:color="auto"/>
      </w:divBdr>
    </w:div>
    <w:div w:id="208763405">
      <w:bodyDiv w:val="1"/>
      <w:marLeft w:val="0"/>
      <w:marRight w:val="0"/>
      <w:marTop w:val="0"/>
      <w:marBottom w:val="0"/>
      <w:divBdr>
        <w:top w:val="none" w:sz="0" w:space="0" w:color="auto"/>
        <w:left w:val="none" w:sz="0" w:space="0" w:color="auto"/>
        <w:bottom w:val="none" w:sz="0" w:space="0" w:color="auto"/>
        <w:right w:val="none" w:sz="0" w:space="0" w:color="auto"/>
      </w:divBdr>
    </w:div>
    <w:div w:id="208884960">
      <w:bodyDiv w:val="1"/>
      <w:marLeft w:val="0"/>
      <w:marRight w:val="0"/>
      <w:marTop w:val="0"/>
      <w:marBottom w:val="0"/>
      <w:divBdr>
        <w:top w:val="none" w:sz="0" w:space="0" w:color="auto"/>
        <w:left w:val="none" w:sz="0" w:space="0" w:color="auto"/>
        <w:bottom w:val="none" w:sz="0" w:space="0" w:color="auto"/>
        <w:right w:val="none" w:sz="0" w:space="0" w:color="auto"/>
      </w:divBdr>
    </w:div>
    <w:div w:id="208960287">
      <w:bodyDiv w:val="1"/>
      <w:marLeft w:val="0"/>
      <w:marRight w:val="0"/>
      <w:marTop w:val="0"/>
      <w:marBottom w:val="0"/>
      <w:divBdr>
        <w:top w:val="none" w:sz="0" w:space="0" w:color="auto"/>
        <w:left w:val="none" w:sz="0" w:space="0" w:color="auto"/>
        <w:bottom w:val="none" w:sz="0" w:space="0" w:color="auto"/>
        <w:right w:val="none" w:sz="0" w:space="0" w:color="auto"/>
      </w:divBdr>
    </w:div>
    <w:div w:id="208998256">
      <w:bodyDiv w:val="1"/>
      <w:marLeft w:val="0"/>
      <w:marRight w:val="0"/>
      <w:marTop w:val="0"/>
      <w:marBottom w:val="0"/>
      <w:divBdr>
        <w:top w:val="none" w:sz="0" w:space="0" w:color="auto"/>
        <w:left w:val="none" w:sz="0" w:space="0" w:color="auto"/>
        <w:bottom w:val="none" w:sz="0" w:space="0" w:color="auto"/>
        <w:right w:val="none" w:sz="0" w:space="0" w:color="auto"/>
      </w:divBdr>
    </w:div>
    <w:div w:id="209147176">
      <w:bodyDiv w:val="1"/>
      <w:marLeft w:val="0"/>
      <w:marRight w:val="0"/>
      <w:marTop w:val="0"/>
      <w:marBottom w:val="0"/>
      <w:divBdr>
        <w:top w:val="none" w:sz="0" w:space="0" w:color="auto"/>
        <w:left w:val="none" w:sz="0" w:space="0" w:color="auto"/>
        <w:bottom w:val="none" w:sz="0" w:space="0" w:color="auto"/>
        <w:right w:val="none" w:sz="0" w:space="0" w:color="auto"/>
      </w:divBdr>
    </w:div>
    <w:div w:id="209341520">
      <w:bodyDiv w:val="1"/>
      <w:marLeft w:val="0"/>
      <w:marRight w:val="0"/>
      <w:marTop w:val="0"/>
      <w:marBottom w:val="0"/>
      <w:divBdr>
        <w:top w:val="none" w:sz="0" w:space="0" w:color="auto"/>
        <w:left w:val="none" w:sz="0" w:space="0" w:color="auto"/>
        <w:bottom w:val="none" w:sz="0" w:space="0" w:color="auto"/>
        <w:right w:val="none" w:sz="0" w:space="0" w:color="auto"/>
      </w:divBdr>
    </w:div>
    <w:div w:id="209387717">
      <w:bodyDiv w:val="1"/>
      <w:marLeft w:val="0"/>
      <w:marRight w:val="0"/>
      <w:marTop w:val="0"/>
      <w:marBottom w:val="0"/>
      <w:divBdr>
        <w:top w:val="none" w:sz="0" w:space="0" w:color="auto"/>
        <w:left w:val="none" w:sz="0" w:space="0" w:color="auto"/>
        <w:bottom w:val="none" w:sz="0" w:space="0" w:color="auto"/>
        <w:right w:val="none" w:sz="0" w:space="0" w:color="auto"/>
      </w:divBdr>
    </w:div>
    <w:div w:id="209388025">
      <w:bodyDiv w:val="1"/>
      <w:marLeft w:val="0"/>
      <w:marRight w:val="0"/>
      <w:marTop w:val="0"/>
      <w:marBottom w:val="0"/>
      <w:divBdr>
        <w:top w:val="none" w:sz="0" w:space="0" w:color="auto"/>
        <w:left w:val="none" w:sz="0" w:space="0" w:color="auto"/>
        <w:bottom w:val="none" w:sz="0" w:space="0" w:color="auto"/>
        <w:right w:val="none" w:sz="0" w:space="0" w:color="auto"/>
      </w:divBdr>
    </w:div>
    <w:div w:id="209415164">
      <w:bodyDiv w:val="1"/>
      <w:marLeft w:val="0"/>
      <w:marRight w:val="0"/>
      <w:marTop w:val="0"/>
      <w:marBottom w:val="0"/>
      <w:divBdr>
        <w:top w:val="none" w:sz="0" w:space="0" w:color="auto"/>
        <w:left w:val="none" w:sz="0" w:space="0" w:color="auto"/>
        <w:bottom w:val="none" w:sz="0" w:space="0" w:color="auto"/>
        <w:right w:val="none" w:sz="0" w:space="0" w:color="auto"/>
      </w:divBdr>
    </w:div>
    <w:div w:id="209611228">
      <w:bodyDiv w:val="1"/>
      <w:marLeft w:val="0"/>
      <w:marRight w:val="0"/>
      <w:marTop w:val="0"/>
      <w:marBottom w:val="0"/>
      <w:divBdr>
        <w:top w:val="none" w:sz="0" w:space="0" w:color="auto"/>
        <w:left w:val="none" w:sz="0" w:space="0" w:color="auto"/>
        <w:bottom w:val="none" w:sz="0" w:space="0" w:color="auto"/>
        <w:right w:val="none" w:sz="0" w:space="0" w:color="auto"/>
      </w:divBdr>
    </w:div>
    <w:div w:id="209729123">
      <w:bodyDiv w:val="1"/>
      <w:marLeft w:val="0"/>
      <w:marRight w:val="0"/>
      <w:marTop w:val="0"/>
      <w:marBottom w:val="0"/>
      <w:divBdr>
        <w:top w:val="none" w:sz="0" w:space="0" w:color="auto"/>
        <w:left w:val="none" w:sz="0" w:space="0" w:color="auto"/>
        <w:bottom w:val="none" w:sz="0" w:space="0" w:color="auto"/>
        <w:right w:val="none" w:sz="0" w:space="0" w:color="auto"/>
      </w:divBdr>
    </w:div>
    <w:div w:id="209805563">
      <w:bodyDiv w:val="1"/>
      <w:marLeft w:val="0"/>
      <w:marRight w:val="0"/>
      <w:marTop w:val="0"/>
      <w:marBottom w:val="0"/>
      <w:divBdr>
        <w:top w:val="none" w:sz="0" w:space="0" w:color="auto"/>
        <w:left w:val="none" w:sz="0" w:space="0" w:color="auto"/>
        <w:bottom w:val="none" w:sz="0" w:space="0" w:color="auto"/>
        <w:right w:val="none" w:sz="0" w:space="0" w:color="auto"/>
      </w:divBdr>
    </w:div>
    <w:div w:id="209810472">
      <w:bodyDiv w:val="1"/>
      <w:marLeft w:val="0"/>
      <w:marRight w:val="0"/>
      <w:marTop w:val="0"/>
      <w:marBottom w:val="0"/>
      <w:divBdr>
        <w:top w:val="none" w:sz="0" w:space="0" w:color="auto"/>
        <w:left w:val="none" w:sz="0" w:space="0" w:color="auto"/>
        <w:bottom w:val="none" w:sz="0" w:space="0" w:color="auto"/>
        <w:right w:val="none" w:sz="0" w:space="0" w:color="auto"/>
      </w:divBdr>
    </w:div>
    <w:div w:id="209926349">
      <w:bodyDiv w:val="1"/>
      <w:marLeft w:val="0"/>
      <w:marRight w:val="0"/>
      <w:marTop w:val="0"/>
      <w:marBottom w:val="0"/>
      <w:divBdr>
        <w:top w:val="none" w:sz="0" w:space="0" w:color="auto"/>
        <w:left w:val="none" w:sz="0" w:space="0" w:color="auto"/>
        <w:bottom w:val="none" w:sz="0" w:space="0" w:color="auto"/>
        <w:right w:val="none" w:sz="0" w:space="0" w:color="auto"/>
      </w:divBdr>
    </w:div>
    <w:div w:id="209926405">
      <w:bodyDiv w:val="1"/>
      <w:marLeft w:val="0"/>
      <w:marRight w:val="0"/>
      <w:marTop w:val="0"/>
      <w:marBottom w:val="0"/>
      <w:divBdr>
        <w:top w:val="none" w:sz="0" w:space="0" w:color="auto"/>
        <w:left w:val="none" w:sz="0" w:space="0" w:color="auto"/>
        <w:bottom w:val="none" w:sz="0" w:space="0" w:color="auto"/>
        <w:right w:val="none" w:sz="0" w:space="0" w:color="auto"/>
      </w:divBdr>
    </w:div>
    <w:div w:id="210003823">
      <w:bodyDiv w:val="1"/>
      <w:marLeft w:val="0"/>
      <w:marRight w:val="0"/>
      <w:marTop w:val="0"/>
      <w:marBottom w:val="0"/>
      <w:divBdr>
        <w:top w:val="none" w:sz="0" w:space="0" w:color="auto"/>
        <w:left w:val="none" w:sz="0" w:space="0" w:color="auto"/>
        <w:bottom w:val="none" w:sz="0" w:space="0" w:color="auto"/>
        <w:right w:val="none" w:sz="0" w:space="0" w:color="auto"/>
      </w:divBdr>
    </w:div>
    <w:div w:id="210045759">
      <w:bodyDiv w:val="1"/>
      <w:marLeft w:val="0"/>
      <w:marRight w:val="0"/>
      <w:marTop w:val="0"/>
      <w:marBottom w:val="0"/>
      <w:divBdr>
        <w:top w:val="none" w:sz="0" w:space="0" w:color="auto"/>
        <w:left w:val="none" w:sz="0" w:space="0" w:color="auto"/>
        <w:bottom w:val="none" w:sz="0" w:space="0" w:color="auto"/>
        <w:right w:val="none" w:sz="0" w:space="0" w:color="auto"/>
      </w:divBdr>
    </w:div>
    <w:div w:id="210112630">
      <w:bodyDiv w:val="1"/>
      <w:marLeft w:val="0"/>
      <w:marRight w:val="0"/>
      <w:marTop w:val="0"/>
      <w:marBottom w:val="0"/>
      <w:divBdr>
        <w:top w:val="none" w:sz="0" w:space="0" w:color="auto"/>
        <w:left w:val="none" w:sz="0" w:space="0" w:color="auto"/>
        <w:bottom w:val="none" w:sz="0" w:space="0" w:color="auto"/>
        <w:right w:val="none" w:sz="0" w:space="0" w:color="auto"/>
      </w:divBdr>
    </w:div>
    <w:div w:id="210190710">
      <w:bodyDiv w:val="1"/>
      <w:marLeft w:val="0"/>
      <w:marRight w:val="0"/>
      <w:marTop w:val="0"/>
      <w:marBottom w:val="0"/>
      <w:divBdr>
        <w:top w:val="none" w:sz="0" w:space="0" w:color="auto"/>
        <w:left w:val="none" w:sz="0" w:space="0" w:color="auto"/>
        <w:bottom w:val="none" w:sz="0" w:space="0" w:color="auto"/>
        <w:right w:val="none" w:sz="0" w:space="0" w:color="auto"/>
      </w:divBdr>
    </w:div>
    <w:div w:id="210193255">
      <w:bodyDiv w:val="1"/>
      <w:marLeft w:val="0"/>
      <w:marRight w:val="0"/>
      <w:marTop w:val="0"/>
      <w:marBottom w:val="0"/>
      <w:divBdr>
        <w:top w:val="none" w:sz="0" w:space="0" w:color="auto"/>
        <w:left w:val="none" w:sz="0" w:space="0" w:color="auto"/>
        <w:bottom w:val="none" w:sz="0" w:space="0" w:color="auto"/>
        <w:right w:val="none" w:sz="0" w:space="0" w:color="auto"/>
      </w:divBdr>
    </w:div>
    <w:div w:id="210385867">
      <w:bodyDiv w:val="1"/>
      <w:marLeft w:val="0"/>
      <w:marRight w:val="0"/>
      <w:marTop w:val="0"/>
      <w:marBottom w:val="0"/>
      <w:divBdr>
        <w:top w:val="none" w:sz="0" w:space="0" w:color="auto"/>
        <w:left w:val="none" w:sz="0" w:space="0" w:color="auto"/>
        <w:bottom w:val="none" w:sz="0" w:space="0" w:color="auto"/>
        <w:right w:val="none" w:sz="0" w:space="0" w:color="auto"/>
      </w:divBdr>
    </w:div>
    <w:div w:id="210386233">
      <w:bodyDiv w:val="1"/>
      <w:marLeft w:val="0"/>
      <w:marRight w:val="0"/>
      <w:marTop w:val="0"/>
      <w:marBottom w:val="0"/>
      <w:divBdr>
        <w:top w:val="none" w:sz="0" w:space="0" w:color="auto"/>
        <w:left w:val="none" w:sz="0" w:space="0" w:color="auto"/>
        <w:bottom w:val="none" w:sz="0" w:space="0" w:color="auto"/>
        <w:right w:val="none" w:sz="0" w:space="0" w:color="auto"/>
      </w:divBdr>
    </w:div>
    <w:div w:id="210386564">
      <w:bodyDiv w:val="1"/>
      <w:marLeft w:val="0"/>
      <w:marRight w:val="0"/>
      <w:marTop w:val="0"/>
      <w:marBottom w:val="0"/>
      <w:divBdr>
        <w:top w:val="none" w:sz="0" w:space="0" w:color="auto"/>
        <w:left w:val="none" w:sz="0" w:space="0" w:color="auto"/>
        <w:bottom w:val="none" w:sz="0" w:space="0" w:color="auto"/>
        <w:right w:val="none" w:sz="0" w:space="0" w:color="auto"/>
      </w:divBdr>
    </w:div>
    <w:div w:id="210457511">
      <w:bodyDiv w:val="1"/>
      <w:marLeft w:val="0"/>
      <w:marRight w:val="0"/>
      <w:marTop w:val="0"/>
      <w:marBottom w:val="0"/>
      <w:divBdr>
        <w:top w:val="none" w:sz="0" w:space="0" w:color="auto"/>
        <w:left w:val="none" w:sz="0" w:space="0" w:color="auto"/>
        <w:bottom w:val="none" w:sz="0" w:space="0" w:color="auto"/>
        <w:right w:val="none" w:sz="0" w:space="0" w:color="auto"/>
      </w:divBdr>
    </w:div>
    <w:div w:id="210504932">
      <w:bodyDiv w:val="1"/>
      <w:marLeft w:val="0"/>
      <w:marRight w:val="0"/>
      <w:marTop w:val="0"/>
      <w:marBottom w:val="0"/>
      <w:divBdr>
        <w:top w:val="none" w:sz="0" w:space="0" w:color="auto"/>
        <w:left w:val="none" w:sz="0" w:space="0" w:color="auto"/>
        <w:bottom w:val="none" w:sz="0" w:space="0" w:color="auto"/>
        <w:right w:val="none" w:sz="0" w:space="0" w:color="auto"/>
      </w:divBdr>
    </w:div>
    <w:div w:id="210532088">
      <w:bodyDiv w:val="1"/>
      <w:marLeft w:val="0"/>
      <w:marRight w:val="0"/>
      <w:marTop w:val="0"/>
      <w:marBottom w:val="0"/>
      <w:divBdr>
        <w:top w:val="none" w:sz="0" w:space="0" w:color="auto"/>
        <w:left w:val="none" w:sz="0" w:space="0" w:color="auto"/>
        <w:bottom w:val="none" w:sz="0" w:space="0" w:color="auto"/>
        <w:right w:val="none" w:sz="0" w:space="0" w:color="auto"/>
      </w:divBdr>
    </w:div>
    <w:div w:id="210653709">
      <w:bodyDiv w:val="1"/>
      <w:marLeft w:val="0"/>
      <w:marRight w:val="0"/>
      <w:marTop w:val="0"/>
      <w:marBottom w:val="0"/>
      <w:divBdr>
        <w:top w:val="none" w:sz="0" w:space="0" w:color="auto"/>
        <w:left w:val="none" w:sz="0" w:space="0" w:color="auto"/>
        <w:bottom w:val="none" w:sz="0" w:space="0" w:color="auto"/>
        <w:right w:val="none" w:sz="0" w:space="0" w:color="auto"/>
      </w:divBdr>
    </w:div>
    <w:div w:id="210725726">
      <w:bodyDiv w:val="1"/>
      <w:marLeft w:val="0"/>
      <w:marRight w:val="0"/>
      <w:marTop w:val="0"/>
      <w:marBottom w:val="0"/>
      <w:divBdr>
        <w:top w:val="none" w:sz="0" w:space="0" w:color="auto"/>
        <w:left w:val="none" w:sz="0" w:space="0" w:color="auto"/>
        <w:bottom w:val="none" w:sz="0" w:space="0" w:color="auto"/>
        <w:right w:val="none" w:sz="0" w:space="0" w:color="auto"/>
      </w:divBdr>
    </w:div>
    <w:div w:id="210726382">
      <w:bodyDiv w:val="1"/>
      <w:marLeft w:val="0"/>
      <w:marRight w:val="0"/>
      <w:marTop w:val="0"/>
      <w:marBottom w:val="0"/>
      <w:divBdr>
        <w:top w:val="none" w:sz="0" w:space="0" w:color="auto"/>
        <w:left w:val="none" w:sz="0" w:space="0" w:color="auto"/>
        <w:bottom w:val="none" w:sz="0" w:space="0" w:color="auto"/>
        <w:right w:val="none" w:sz="0" w:space="0" w:color="auto"/>
      </w:divBdr>
    </w:div>
    <w:div w:id="210773876">
      <w:bodyDiv w:val="1"/>
      <w:marLeft w:val="0"/>
      <w:marRight w:val="0"/>
      <w:marTop w:val="0"/>
      <w:marBottom w:val="0"/>
      <w:divBdr>
        <w:top w:val="none" w:sz="0" w:space="0" w:color="auto"/>
        <w:left w:val="none" w:sz="0" w:space="0" w:color="auto"/>
        <w:bottom w:val="none" w:sz="0" w:space="0" w:color="auto"/>
        <w:right w:val="none" w:sz="0" w:space="0" w:color="auto"/>
      </w:divBdr>
    </w:div>
    <w:div w:id="211038547">
      <w:bodyDiv w:val="1"/>
      <w:marLeft w:val="0"/>
      <w:marRight w:val="0"/>
      <w:marTop w:val="0"/>
      <w:marBottom w:val="0"/>
      <w:divBdr>
        <w:top w:val="none" w:sz="0" w:space="0" w:color="auto"/>
        <w:left w:val="none" w:sz="0" w:space="0" w:color="auto"/>
        <w:bottom w:val="none" w:sz="0" w:space="0" w:color="auto"/>
        <w:right w:val="none" w:sz="0" w:space="0" w:color="auto"/>
      </w:divBdr>
    </w:div>
    <w:div w:id="211046052">
      <w:bodyDiv w:val="1"/>
      <w:marLeft w:val="0"/>
      <w:marRight w:val="0"/>
      <w:marTop w:val="0"/>
      <w:marBottom w:val="0"/>
      <w:divBdr>
        <w:top w:val="none" w:sz="0" w:space="0" w:color="auto"/>
        <w:left w:val="none" w:sz="0" w:space="0" w:color="auto"/>
        <w:bottom w:val="none" w:sz="0" w:space="0" w:color="auto"/>
        <w:right w:val="none" w:sz="0" w:space="0" w:color="auto"/>
      </w:divBdr>
    </w:div>
    <w:div w:id="211232302">
      <w:bodyDiv w:val="1"/>
      <w:marLeft w:val="0"/>
      <w:marRight w:val="0"/>
      <w:marTop w:val="0"/>
      <w:marBottom w:val="0"/>
      <w:divBdr>
        <w:top w:val="none" w:sz="0" w:space="0" w:color="auto"/>
        <w:left w:val="none" w:sz="0" w:space="0" w:color="auto"/>
        <w:bottom w:val="none" w:sz="0" w:space="0" w:color="auto"/>
        <w:right w:val="none" w:sz="0" w:space="0" w:color="auto"/>
      </w:divBdr>
    </w:div>
    <w:div w:id="211355064">
      <w:bodyDiv w:val="1"/>
      <w:marLeft w:val="0"/>
      <w:marRight w:val="0"/>
      <w:marTop w:val="0"/>
      <w:marBottom w:val="0"/>
      <w:divBdr>
        <w:top w:val="none" w:sz="0" w:space="0" w:color="auto"/>
        <w:left w:val="none" w:sz="0" w:space="0" w:color="auto"/>
        <w:bottom w:val="none" w:sz="0" w:space="0" w:color="auto"/>
        <w:right w:val="none" w:sz="0" w:space="0" w:color="auto"/>
      </w:divBdr>
    </w:div>
    <w:div w:id="211356885">
      <w:bodyDiv w:val="1"/>
      <w:marLeft w:val="0"/>
      <w:marRight w:val="0"/>
      <w:marTop w:val="0"/>
      <w:marBottom w:val="0"/>
      <w:divBdr>
        <w:top w:val="none" w:sz="0" w:space="0" w:color="auto"/>
        <w:left w:val="none" w:sz="0" w:space="0" w:color="auto"/>
        <w:bottom w:val="none" w:sz="0" w:space="0" w:color="auto"/>
        <w:right w:val="none" w:sz="0" w:space="0" w:color="auto"/>
      </w:divBdr>
    </w:div>
    <w:div w:id="211382322">
      <w:bodyDiv w:val="1"/>
      <w:marLeft w:val="0"/>
      <w:marRight w:val="0"/>
      <w:marTop w:val="0"/>
      <w:marBottom w:val="0"/>
      <w:divBdr>
        <w:top w:val="none" w:sz="0" w:space="0" w:color="auto"/>
        <w:left w:val="none" w:sz="0" w:space="0" w:color="auto"/>
        <w:bottom w:val="none" w:sz="0" w:space="0" w:color="auto"/>
        <w:right w:val="none" w:sz="0" w:space="0" w:color="auto"/>
      </w:divBdr>
    </w:div>
    <w:div w:id="211574787">
      <w:bodyDiv w:val="1"/>
      <w:marLeft w:val="0"/>
      <w:marRight w:val="0"/>
      <w:marTop w:val="0"/>
      <w:marBottom w:val="0"/>
      <w:divBdr>
        <w:top w:val="none" w:sz="0" w:space="0" w:color="auto"/>
        <w:left w:val="none" w:sz="0" w:space="0" w:color="auto"/>
        <w:bottom w:val="none" w:sz="0" w:space="0" w:color="auto"/>
        <w:right w:val="none" w:sz="0" w:space="0" w:color="auto"/>
      </w:divBdr>
    </w:div>
    <w:div w:id="211578032">
      <w:bodyDiv w:val="1"/>
      <w:marLeft w:val="0"/>
      <w:marRight w:val="0"/>
      <w:marTop w:val="0"/>
      <w:marBottom w:val="0"/>
      <w:divBdr>
        <w:top w:val="none" w:sz="0" w:space="0" w:color="auto"/>
        <w:left w:val="none" w:sz="0" w:space="0" w:color="auto"/>
        <w:bottom w:val="none" w:sz="0" w:space="0" w:color="auto"/>
        <w:right w:val="none" w:sz="0" w:space="0" w:color="auto"/>
      </w:divBdr>
    </w:div>
    <w:div w:id="211623609">
      <w:bodyDiv w:val="1"/>
      <w:marLeft w:val="0"/>
      <w:marRight w:val="0"/>
      <w:marTop w:val="0"/>
      <w:marBottom w:val="0"/>
      <w:divBdr>
        <w:top w:val="none" w:sz="0" w:space="0" w:color="auto"/>
        <w:left w:val="none" w:sz="0" w:space="0" w:color="auto"/>
        <w:bottom w:val="none" w:sz="0" w:space="0" w:color="auto"/>
        <w:right w:val="none" w:sz="0" w:space="0" w:color="auto"/>
      </w:divBdr>
    </w:div>
    <w:div w:id="211694721">
      <w:bodyDiv w:val="1"/>
      <w:marLeft w:val="0"/>
      <w:marRight w:val="0"/>
      <w:marTop w:val="0"/>
      <w:marBottom w:val="0"/>
      <w:divBdr>
        <w:top w:val="none" w:sz="0" w:space="0" w:color="auto"/>
        <w:left w:val="none" w:sz="0" w:space="0" w:color="auto"/>
        <w:bottom w:val="none" w:sz="0" w:space="0" w:color="auto"/>
        <w:right w:val="none" w:sz="0" w:space="0" w:color="auto"/>
      </w:divBdr>
    </w:div>
    <w:div w:id="211816645">
      <w:bodyDiv w:val="1"/>
      <w:marLeft w:val="0"/>
      <w:marRight w:val="0"/>
      <w:marTop w:val="0"/>
      <w:marBottom w:val="0"/>
      <w:divBdr>
        <w:top w:val="none" w:sz="0" w:space="0" w:color="auto"/>
        <w:left w:val="none" w:sz="0" w:space="0" w:color="auto"/>
        <w:bottom w:val="none" w:sz="0" w:space="0" w:color="auto"/>
        <w:right w:val="none" w:sz="0" w:space="0" w:color="auto"/>
      </w:divBdr>
    </w:div>
    <w:div w:id="211892857">
      <w:bodyDiv w:val="1"/>
      <w:marLeft w:val="0"/>
      <w:marRight w:val="0"/>
      <w:marTop w:val="0"/>
      <w:marBottom w:val="0"/>
      <w:divBdr>
        <w:top w:val="none" w:sz="0" w:space="0" w:color="auto"/>
        <w:left w:val="none" w:sz="0" w:space="0" w:color="auto"/>
        <w:bottom w:val="none" w:sz="0" w:space="0" w:color="auto"/>
        <w:right w:val="none" w:sz="0" w:space="0" w:color="auto"/>
      </w:divBdr>
    </w:div>
    <w:div w:id="211963304">
      <w:bodyDiv w:val="1"/>
      <w:marLeft w:val="0"/>
      <w:marRight w:val="0"/>
      <w:marTop w:val="0"/>
      <w:marBottom w:val="0"/>
      <w:divBdr>
        <w:top w:val="none" w:sz="0" w:space="0" w:color="auto"/>
        <w:left w:val="none" w:sz="0" w:space="0" w:color="auto"/>
        <w:bottom w:val="none" w:sz="0" w:space="0" w:color="auto"/>
        <w:right w:val="none" w:sz="0" w:space="0" w:color="auto"/>
      </w:divBdr>
    </w:div>
    <w:div w:id="211968628">
      <w:bodyDiv w:val="1"/>
      <w:marLeft w:val="0"/>
      <w:marRight w:val="0"/>
      <w:marTop w:val="0"/>
      <w:marBottom w:val="0"/>
      <w:divBdr>
        <w:top w:val="none" w:sz="0" w:space="0" w:color="auto"/>
        <w:left w:val="none" w:sz="0" w:space="0" w:color="auto"/>
        <w:bottom w:val="none" w:sz="0" w:space="0" w:color="auto"/>
        <w:right w:val="none" w:sz="0" w:space="0" w:color="auto"/>
      </w:divBdr>
    </w:div>
    <w:div w:id="212079290">
      <w:bodyDiv w:val="1"/>
      <w:marLeft w:val="0"/>
      <w:marRight w:val="0"/>
      <w:marTop w:val="0"/>
      <w:marBottom w:val="0"/>
      <w:divBdr>
        <w:top w:val="none" w:sz="0" w:space="0" w:color="auto"/>
        <w:left w:val="none" w:sz="0" w:space="0" w:color="auto"/>
        <w:bottom w:val="none" w:sz="0" w:space="0" w:color="auto"/>
        <w:right w:val="none" w:sz="0" w:space="0" w:color="auto"/>
      </w:divBdr>
    </w:div>
    <w:div w:id="212080218">
      <w:bodyDiv w:val="1"/>
      <w:marLeft w:val="0"/>
      <w:marRight w:val="0"/>
      <w:marTop w:val="0"/>
      <w:marBottom w:val="0"/>
      <w:divBdr>
        <w:top w:val="none" w:sz="0" w:space="0" w:color="auto"/>
        <w:left w:val="none" w:sz="0" w:space="0" w:color="auto"/>
        <w:bottom w:val="none" w:sz="0" w:space="0" w:color="auto"/>
        <w:right w:val="none" w:sz="0" w:space="0" w:color="auto"/>
      </w:divBdr>
    </w:div>
    <w:div w:id="212083052">
      <w:bodyDiv w:val="1"/>
      <w:marLeft w:val="0"/>
      <w:marRight w:val="0"/>
      <w:marTop w:val="0"/>
      <w:marBottom w:val="0"/>
      <w:divBdr>
        <w:top w:val="none" w:sz="0" w:space="0" w:color="auto"/>
        <w:left w:val="none" w:sz="0" w:space="0" w:color="auto"/>
        <w:bottom w:val="none" w:sz="0" w:space="0" w:color="auto"/>
        <w:right w:val="none" w:sz="0" w:space="0" w:color="auto"/>
      </w:divBdr>
    </w:div>
    <w:div w:id="212084285">
      <w:bodyDiv w:val="1"/>
      <w:marLeft w:val="0"/>
      <w:marRight w:val="0"/>
      <w:marTop w:val="0"/>
      <w:marBottom w:val="0"/>
      <w:divBdr>
        <w:top w:val="none" w:sz="0" w:space="0" w:color="auto"/>
        <w:left w:val="none" w:sz="0" w:space="0" w:color="auto"/>
        <w:bottom w:val="none" w:sz="0" w:space="0" w:color="auto"/>
        <w:right w:val="none" w:sz="0" w:space="0" w:color="auto"/>
      </w:divBdr>
    </w:div>
    <w:div w:id="212160908">
      <w:bodyDiv w:val="1"/>
      <w:marLeft w:val="0"/>
      <w:marRight w:val="0"/>
      <w:marTop w:val="0"/>
      <w:marBottom w:val="0"/>
      <w:divBdr>
        <w:top w:val="none" w:sz="0" w:space="0" w:color="auto"/>
        <w:left w:val="none" w:sz="0" w:space="0" w:color="auto"/>
        <w:bottom w:val="none" w:sz="0" w:space="0" w:color="auto"/>
        <w:right w:val="none" w:sz="0" w:space="0" w:color="auto"/>
      </w:divBdr>
    </w:div>
    <w:div w:id="212162514">
      <w:bodyDiv w:val="1"/>
      <w:marLeft w:val="0"/>
      <w:marRight w:val="0"/>
      <w:marTop w:val="0"/>
      <w:marBottom w:val="0"/>
      <w:divBdr>
        <w:top w:val="none" w:sz="0" w:space="0" w:color="auto"/>
        <w:left w:val="none" w:sz="0" w:space="0" w:color="auto"/>
        <w:bottom w:val="none" w:sz="0" w:space="0" w:color="auto"/>
        <w:right w:val="none" w:sz="0" w:space="0" w:color="auto"/>
      </w:divBdr>
    </w:div>
    <w:div w:id="212162811">
      <w:bodyDiv w:val="1"/>
      <w:marLeft w:val="0"/>
      <w:marRight w:val="0"/>
      <w:marTop w:val="0"/>
      <w:marBottom w:val="0"/>
      <w:divBdr>
        <w:top w:val="none" w:sz="0" w:space="0" w:color="auto"/>
        <w:left w:val="none" w:sz="0" w:space="0" w:color="auto"/>
        <w:bottom w:val="none" w:sz="0" w:space="0" w:color="auto"/>
        <w:right w:val="none" w:sz="0" w:space="0" w:color="auto"/>
      </w:divBdr>
    </w:div>
    <w:div w:id="212236378">
      <w:bodyDiv w:val="1"/>
      <w:marLeft w:val="0"/>
      <w:marRight w:val="0"/>
      <w:marTop w:val="0"/>
      <w:marBottom w:val="0"/>
      <w:divBdr>
        <w:top w:val="none" w:sz="0" w:space="0" w:color="auto"/>
        <w:left w:val="none" w:sz="0" w:space="0" w:color="auto"/>
        <w:bottom w:val="none" w:sz="0" w:space="0" w:color="auto"/>
        <w:right w:val="none" w:sz="0" w:space="0" w:color="auto"/>
      </w:divBdr>
    </w:div>
    <w:div w:id="212273057">
      <w:bodyDiv w:val="1"/>
      <w:marLeft w:val="0"/>
      <w:marRight w:val="0"/>
      <w:marTop w:val="0"/>
      <w:marBottom w:val="0"/>
      <w:divBdr>
        <w:top w:val="none" w:sz="0" w:space="0" w:color="auto"/>
        <w:left w:val="none" w:sz="0" w:space="0" w:color="auto"/>
        <w:bottom w:val="none" w:sz="0" w:space="0" w:color="auto"/>
        <w:right w:val="none" w:sz="0" w:space="0" w:color="auto"/>
      </w:divBdr>
    </w:div>
    <w:div w:id="212355883">
      <w:bodyDiv w:val="1"/>
      <w:marLeft w:val="0"/>
      <w:marRight w:val="0"/>
      <w:marTop w:val="0"/>
      <w:marBottom w:val="0"/>
      <w:divBdr>
        <w:top w:val="none" w:sz="0" w:space="0" w:color="auto"/>
        <w:left w:val="none" w:sz="0" w:space="0" w:color="auto"/>
        <w:bottom w:val="none" w:sz="0" w:space="0" w:color="auto"/>
        <w:right w:val="none" w:sz="0" w:space="0" w:color="auto"/>
      </w:divBdr>
    </w:div>
    <w:div w:id="212426828">
      <w:bodyDiv w:val="1"/>
      <w:marLeft w:val="0"/>
      <w:marRight w:val="0"/>
      <w:marTop w:val="0"/>
      <w:marBottom w:val="0"/>
      <w:divBdr>
        <w:top w:val="none" w:sz="0" w:space="0" w:color="auto"/>
        <w:left w:val="none" w:sz="0" w:space="0" w:color="auto"/>
        <w:bottom w:val="none" w:sz="0" w:space="0" w:color="auto"/>
        <w:right w:val="none" w:sz="0" w:space="0" w:color="auto"/>
      </w:divBdr>
    </w:div>
    <w:div w:id="212499056">
      <w:bodyDiv w:val="1"/>
      <w:marLeft w:val="0"/>
      <w:marRight w:val="0"/>
      <w:marTop w:val="0"/>
      <w:marBottom w:val="0"/>
      <w:divBdr>
        <w:top w:val="none" w:sz="0" w:space="0" w:color="auto"/>
        <w:left w:val="none" w:sz="0" w:space="0" w:color="auto"/>
        <w:bottom w:val="none" w:sz="0" w:space="0" w:color="auto"/>
        <w:right w:val="none" w:sz="0" w:space="0" w:color="auto"/>
      </w:divBdr>
    </w:div>
    <w:div w:id="212549270">
      <w:bodyDiv w:val="1"/>
      <w:marLeft w:val="0"/>
      <w:marRight w:val="0"/>
      <w:marTop w:val="0"/>
      <w:marBottom w:val="0"/>
      <w:divBdr>
        <w:top w:val="none" w:sz="0" w:space="0" w:color="auto"/>
        <w:left w:val="none" w:sz="0" w:space="0" w:color="auto"/>
        <w:bottom w:val="none" w:sz="0" w:space="0" w:color="auto"/>
        <w:right w:val="none" w:sz="0" w:space="0" w:color="auto"/>
      </w:divBdr>
    </w:div>
    <w:div w:id="212691815">
      <w:bodyDiv w:val="1"/>
      <w:marLeft w:val="0"/>
      <w:marRight w:val="0"/>
      <w:marTop w:val="0"/>
      <w:marBottom w:val="0"/>
      <w:divBdr>
        <w:top w:val="none" w:sz="0" w:space="0" w:color="auto"/>
        <w:left w:val="none" w:sz="0" w:space="0" w:color="auto"/>
        <w:bottom w:val="none" w:sz="0" w:space="0" w:color="auto"/>
        <w:right w:val="none" w:sz="0" w:space="0" w:color="auto"/>
      </w:divBdr>
    </w:div>
    <w:div w:id="212889022">
      <w:bodyDiv w:val="1"/>
      <w:marLeft w:val="0"/>
      <w:marRight w:val="0"/>
      <w:marTop w:val="0"/>
      <w:marBottom w:val="0"/>
      <w:divBdr>
        <w:top w:val="none" w:sz="0" w:space="0" w:color="auto"/>
        <w:left w:val="none" w:sz="0" w:space="0" w:color="auto"/>
        <w:bottom w:val="none" w:sz="0" w:space="0" w:color="auto"/>
        <w:right w:val="none" w:sz="0" w:space="0" w:color="auto"/>
      </w:divBdr>
    </w:div>
    <w:div w:id="212932278">
      <w:bodyDiv w:val="1"/>
      <w:marLeft w:val="0"/>
      <w:marRight w:val="0"/>
      <w:marTop w:val="0"/>
      <w:marBottom w:val="0"/>
      <w:divBdr>
        <w:top w:val="none" w:sz="0" w:space="0" w:color="auto"/>
        <w:left w:val="none" w:sz="0" w:space="0" w:color="auto"/>
        <w:bottom w:val="none" w:sz="0" w:space="0" w:color="auto"/>
        <w:right w:val="none" w:sz="0" w:space="0" w:color="auto"/>
      </w:divBdr>
    </w:div>
    <w:div w:id="213006920">
      <w:bodyDiv w:val="1"/>
      <w:marLeft w:val="0"/>
      <w:marRight w:val="0"/>
      <w:marTop w:val="0"/>
      <w:marBottom w:val="0"/>
      <w:divBdr>
        <w:top w:val="none" w:sz="0" w:space="0" w:color="auto"/>
        <w:left w:val="none" w:sz="0" w:space="0" w:color="auto"/>
        <w:bottom w:val="none" w:sz="0" w:space="0" w:color="auto"/>
        <w:right w:val="none" w:sz="0" w:space="0" w:color="auto"/>
      </w:divBdr>
    </w:div>
    <w:div w:id="213084428">
      <w:bodyDiv w:val="1"/>
      <w:marLeft w:val="0"/>
      <w:marRight w:val="0"/>
      <w:marTop w:val="0"/>
      <w:marBottom w:val="0"/>
      <w:divBdr>
        <w:top w:val="none" w:sz="0" w:space="0" w:color="auto"/>
        <w:left w:val="none" w:sz="0" w:space="0" w:color="auto"/>
        <w:bottom w:val="none" w:sz="0" w:space="0" w:color="auto"/>
        <w:right w:val="none" w:sz="0" w:space="0" w:color="auto"/>
      </w:divBdr>
    </w:div>
    <w:div w:id="213128042">
      <w:bodyDiv w:val="1"/>
      <w:marLeft w:val="0"/>
      <w:marRight w:val="0"/>
      <w:marTop w:val="0"/>
      <w:marBottom w:val="0"/>
      <w:divBdr>
        <w:top w:val="none" w:sz="0" w:space="0" w:color="auto"/>
        <w:left w:val="none" w:sz="0" w:space="0" w:color="auto"/>
        <w:bottom w:val="none" w:sz="0" w:space="0" w:color="auto"/>
        <w:right w:val="none" w:sz="0" w:space="0" w:color="auto"/>
      </w:divBdr>
    </w:div>
    <w:div w:id="213391875">
      <w:bodyDiv w:val="1"/>
      <w:marLeft w:val="0"/>
      <w:marRight w:val="0"/>
      <w:marTop w:val="0"/>
      <w:marBottom w:val="0"/>
      <w:divBdr>
        <w:top w:val="none" w:sz="0" w:space="0" w:color="auto"/>
        <w:left w:val="none" w:sz="0" w:space="0" w:color="auto"/>
        <w:bottom w:val="none" w:sz="0" w:space="0" w:color="auto"/>
        <w:right w:val="none" w:sz="0" w:space="0" w:color="auto"/>
      </w:divBdr>
    </w:div>
    <w:div w:id="213392820">
      <w:bodyDiv w:val="1"/>
      <w:marLeft w:val="0"/>
      <w:marRight w:val="0"/>
      <w:marTop w:val="0"/>
      <w:marBottom w:val="0"/>
      <w:divBdr>
        <w:top w:val="none" w:sz="0" w:space="0" w:color="auto"/>
        <w:left w:val="none" w:sz="0" w:space="0" w:color="auto"/>
        <w:bottom w:val="none" w:sz="0" w:space="0" w:color="auto"/>
        <w:right w:val="none" w:sz="0" w:space="0" w:color="auto"/>
      </w:divBdr>
    </w:div>
    <w:div w:id="213548117">
      <w:bodyDiv w:val="1"/>
      <w:marLeft w:val="0"/>
      <w:marRight w:val="0"/>
      <w:marTop w:val="0"/>
      <w:marBottom w:val="0"/>
      <w:divBdr>
        <w:top w:val="none" w:sz="0" w:space="0" w:color="auto"/>
        <w:left w:val="none" w:sz="0" w:space="0" w:color="auto"/>
        <w:bottom w:val="none" w:sz="0" w:space="0" w:color="auto"/>
        <w:right w:val="none" w:sz="0" w:space="0" w:color="auto"/>
      </w:divBdr>
    </w:div>
    <w:div w:id="213586671">
      <w:bodyDiv w:val="1"/>
      <w:marLeft w:val="0"/>
      <w:marRight w:val="0"/>
      <w:marTop w:val="0"/>
      <w:marBottom w:val="0"/>
      <w:divBdr>
        <w:top w:val="none" w:sz="0" w:space="0" w:color="auto"/>
        <w:left w:val="none" w:sz="0" w:space="0" w:color="auto"/>
        <w:bottom w:val="none" w:sz="0" w:space="0" w:color="auto"/>
        <w:right w:val="none" w:sz="0" w:space="0" w:color="auto"/>
      </w:divBdr>
    </w:div>
    <w:div w:id="213780896">
      <w:bodyDiv w:val="1"/>
      <w:marLeft w:val="0"/>
      <w:marRight w:val="0"/>
      <w:marTop w:val="0"/>
      <w:marBottom w:val="0"/>
      <w:divBdr>
        <w:top w:val="none" w:sz="0" w:space="0" w:color="auto"/>
        <w:left w:val="none" w:sz="0" w:space="0" w:color="auto"/>
        <w:bottom w:val="none" w:sz="0" w:space="0" w:color="auto"/>
        <w:right w:val="none" w:sz="0" w:space="0" w:color="auto"/>
      </w:divBdr>
    </w:div>
    <w:div w:id="213859914">
      <w:bodyDiv w:val="1"/>
      <w:marLeft w:val="0"/>
      <w:marRight w:val="0"/>
      <w:marTop w:val="0"/>
      <w:marBottom w:val="0"/>
      <w:divBdr>
        <w:top w:val="none" w:sz="0" w:space="0" w:color="auto"/>
        <w:left w:val="none" w:sz="0" w:space="0" w:color="auto"/>
        <w:bottom w:val="none" w:sz="0" w:space="0" w:color="auto"/>
        <w:right w:val="none" w:sz="0" w:space="0" w:color="auto"/>
      </w:divBdr>
    </w:div>
    <w:div w:id="213976781">
      <w:bodyDiv w:val="1"/>
      <w:marLeft w:val="0"/>
      <w:marRight w:val="0"/>
      <w:marTop w:val="0"/>
      <w:marBottom w:val="0"/>
      <w:divBdr>
        <w:top w:val="none" w:sz="0" w:space="0" w:color="auto"/>
        <w:left w:val="none" w:sz="0" w:space="0" w:color="auto"/>
        <w:bottom w:val="none" w:sz="0" w:space="0" w:color="auto"/>
        <w:right w:val="none" w:sz="0" w:space="0" w:color="auto"/>
      </w:divBdr>
    </w:div>
    <w:div w:id="214050687">
      <w:bodyDiv w:val="1"/>
      <w:marLeft w:val="0"/>
      <w:marRight w:val="0"/>
      <w:marTop w:val="0"/>
      <w:marBottom w:val="0"/>
      <w:divBdr>
        <w:top w:val="none" w:sz="0" w:space="0" w:color="auto"/>
        <w:left w:val="none" w:sz="0" w:space="0" w:color="auto"/>
        <w:bottom w:val="none" w:sz="0" w:space="0" w:color="auto"/>
        <w:right w:val="none" w:sz="0" w:space="0" w:color="auto"/>
      </w:divBdr>
    </w:div>
    <w:div w:id="214238750">
      <w:bodyDiv w:val="1"/>
      <w:marLeft w:val="0"/>
      <w:marRight w:val="0"/>
      <w:marTop w:val="0"/>
      <w:marBottom w:val="0"/>
      <w:divBdr>
        <w:top w:val="none" w:sz="0" w:space="0" w:color="auto"/>
        <w:left w:val="none" w:sz="0" w:space="0" w:color="auto"/>
        <w:bottom w:val="none" w:sz="0" w:space="0" w:color="auto"/>
        <w:right w:val="none" w:sz="0" w:space="0" w:color="auto"/>
      </w:divBdr>
    </w:div>
    <w:div w:id="214389159">
      <w:bodyDiv w:val="1"/>
      <w:marLeft w:val="0"/>
      <w:marRight w:val="0"/>
      <w:marTop w:val="0"/>
      <w:marBottom w:val="0"/>
      <w:divBdr>
        <w:top w:val="none" w:sz="0" w:space="0" w:color="auto"/>
        <w:left w:val="none" w:sz="0" w:space="0" w:color="auto"/>
        <w:bottom w:val="none" w:sz="0" w:space="0" w:color="auto"/>
        <w:right w:val="none" w:sz="0" w:space="0" w:color="auto"/>
      </w:divBdr>
    </w:div>
    <w:div w:id="214435343">
      <w:bodyDiv w:val="1"/>
      <w:marLeft w:val="0"/>
      <w:marRight w:val="0"/>
      <w:marTop w:val="0"/>
      <w:marBottom w:val="0"/>
      <w:divBdr>
        <w:top w:val="none" w:sz="0" w:space="0" w:color="auto"/>
        <w:left w:val="none" w:sz="0" w:space="0" w:color="auto"/>
        <w:bottom w:val="none" w:sz="0" w:space="0" w:color="auto"/>
        <w:right w:val="none" w:sz="0" w:space="0" w:color="auto"/>
      </w:divBdr>
    </w:div>
    <w:div w:id="214438889">
      <w:bodyDiv w:val="1"/>
      <w:marLeft w:val="0"/>
      <w:marRight w:val="0"/>
      <w:marTop w:val="0"/>
      <w:marBottom w:val="0"/>
      <w:divBdr>
        <w:top w:val="none" w:sz="0" w:space="0" w:color="auto"/>
        <w:left w:val="none" w:sz="0" w:space="0" w:color="auto"/>
        <w:bottom w:val="none" w:sz="0" w:space="0" w:color="auto"/>
        <w:right w:val="none" w:sz="0" w:space="0" w:color="auto"/>
      </w:divBdr>
    </w:div>
    <w:div w:id="214587209">
      <w:bodyDiv w:val="1"/>
      <w:marLeft w:val="0"/>
      <w:marRight w:val="0"/>
      <w:marTop w:val="0"/>
      <w:marBottom w:val="0"/>
      <w:divBdr>
        <w:top w:val="none" w:sz="0" w:space="0" w:color="auto"/>
        <w:left w:val="none" w:sz="0" w:space="0" w:color="auto"/>
        <w:bottom w:val="none" w:sz="0" w:space="0" w:color="auto"/>
        <w:right w:val="none" w:sz="0" w:space="0" w:color="auto"/>
      </w:divBdr>
    </w:div>
    <w:div w:id="214656972">
      <w:bodyDiv w:val="1"/>
      <w:marLeft w:val="0"/>
      <w:marRight w:val="0"/>
      <w:marTop w:val="0"/>
      <w:marBottom w:val="0"/>
      <w:divBdr>
        <w:top w:val="none" w:sz="0" w:space="0" w:color="auto"/>
        <w:left w:val="none" w:sz="0" w:space="0" w:color="auto"/>
        <w:bottom w:val="none" w:sz="0" w:space="0" w:color="auto"/>
        <w:right w:val="none" w:sz="0" w:space="0" w:color="auto"/>
      </w:divBdr>
    </w:div>
    <w:div w:id="214778377">
      <w:bodyDiv w:val="1"/>
      <w:marLeft w:val="0"/>
      <w:marRight w:val="0"/>
      <w:marTop w:val="0"/>
      <w:marBottom w:val="0"/>
      <w:divBdr>
        <w:top w:val="none" w:sz="0" w:space="0" w:color="auto"/>
        <w:left w:val="none" w:sz="0" w:space="0" w:color="auto"/>
        <w:bottom w:val="none" w:sz="0" w:space="0" w:color="auto"/>
        <w:right w:val="none" w:sz="0" w:space="0" w:color="auto"/>
      </w:divBdr>
    </w:div>
    <w:div w:id="214780994">
      <w:bodyDiv w:val="1"/>
      <w:marLeft w:val="0"/>
      <w:marRight w:val="0"/>
      <w:marTop w:val="0"/>
      <w:marBottom w:val="0"/>
      <w:divBdr>
        <w:top w:val="none" w:sz="0" w:space="0" w:color="auto"/>
        <w:left w:val="none" w:sz="0" w:space="0" w:color="auto"/>
        <w:bottom w:val="none" w:sz="0" w:space="0" w:color="auto"/>
        <w:right w:val="none" w:sz="0" w:space="0" w:color="auto"/>
      </w:divBdr>
    </w:div>
    <w:div w:id="214851075">
      <w:bodyDiv w:val="1"/>
      <w:marLeft w:val="0"/>
      <w:marRight w:val="0"/>
      <w:marTop w:val="0"/>
      <w:marBottom w:val="0"/>
      <w:divBdr>
        <w:top w:val="none" w:sz="0" w:space="0" w:color="auto"/>
        <w:left w:val="none" w:sz="0" w:space="0" w:color="auto"/>
        <w:bottom w:val="none" w:sz="0" w:space="0" w:color="auto"/>
        <w:right w:val="none" w:sz="0" w:space="0" w:color="auto"/>
      </w:divBdr>
    </w:div>
    <w:div w:id="214894195">
      <w:bodyDiv w:val="1"/>
      <w:marLeft w:val="0"/>
      <w:marRight w:val="0"/>
      <w:marTop w:val="0"/>
      <w:marBottom w:val="0"/>
      <w:divBdr>
        <w:top w:val="none" w:sz="0" w:space="0" w:color="auto"/>
        <w:left w:val="none" w:sz="0" w:space="0" w:color="auto"/>
        <w:bottom w:val="none" w:sz="0" w:space="0" w:color="auto"/>
        <w:right w:val="none" w:sz="0" w:space="0" w:color="auto"/>
      </w:divBdr>
    </w:div>
    <w:div w:id="214896528">
      <w:bodyDiv w:val="1"/>
      <w:marLeft w:val="0"/>
      <w:marRight w:val="0"/>
      <w:marTop w:val="0"/>
      <w:marBottom w:val="0"/>
      <w:divBdr>
        <w:top w:val="none" w:sz="0" w:space="0" w:color="auto"/>
        <w:left w:val="none" w:sz="0" w:space="0" w:color="auto"/>
        <w:bottom w:val="none" w:sz="0" w:space="0" w:color="auto"/>
        <w:right w:val="none" w:sz="0" w:space="0" w:color="auto"/>
      </w:divBdr>
    </w:div>
    <w:div w:id="215286751">
      <w:bodyDiv w:val="1"/>
      <w:marLeft w:val="0"/>
      <w:marRight w:val="0"/>
      <w:marTop w:val="0"/>
      <w:marBottom w:val="0"/>
      <w:divBdr>
        <w:top w:val="none" w:sz="0" w:space="0" w:color="auto"/>
        <w:left w:val="none" w:sz="0" w:space="0" w:color="auto"/>
        <w:bottom w:val="none" w:sz="0" w:space="0" w:color="auto"/>
        <w:right w:val="none" w:sz="0" w:space="0" w:color="auto"/>
      </w:divBdr>
    </w:div>
    <w:div w:id="215623958">
      <w:bodyDiv w:val="1"/>
      <w:marLeft w:val="0"/>
      <w:marRight w:val="0"/>
      <w:marTop w:val="0"/>
      <w:marBottom w:val="0"/>
      <w:divBdr>
        <w:top w:val="none" w:sz="0" w:space="0" w:color="auto"/>
        <w:left w:val="none" w:sz="0" w:space="0" w:color="auto"/>
        <w:bottom w:val="none" w:sz="0" w:space="0" w:color="auto"/>
        <w:right w:val="none" w:sz="0" w:space="0" w:color="auto"/>
      </w:divBdr>
    </w:div>
    <w:div w:id="215625891">
      <w:bodyDiv w:val="1"/>
      <w:marLeft w:val="0"/>
      <w:marRight w:val="0"/>
      <w:marTop w:val="0"/>
      <w:marBottom w:val="0"/>
      <w:divBdr>
        <w:top w:val="none" w:sz="0" w:space="0" w:color="auto"/>
        <w:left w:val="none" w:sz="0" w:space="0" w:color="auto"/>
        <w:bottom w:val="none" w:sz="0" w:space="0" w:color="auto"/>
        <w:right w:val="none" w:sz="0" w:space="0" w:color="auto"/>
      </w:divBdr>
    </w:div>
    <w:div w:id="215632259">
      <w:bodyDiv w:val="1"/>
      <w:marLeft w:val="0"/>
      <w:marRight w:val="0"/>
      <w:marTop w:val="0"/>
      <w:marBottom w:val="0"/>
      <w:divBdr>
        <w:top w:val="none" w:sz="0" w:space="0" w:color="auto"/>
        <w:left w:val="none" w:sz="0" w:space="0" w:color="auto"/>
        <w:bottom w:val="none" w:sz="0" w:space="0" w:color="auto"/>
        <w:right w:val="none" w:sz="0" w:space="0" w:color="auto"/>
      </w:divBdr>
    </w:div>
    <w:div w:id="215819818">
      <w:bodyDiv w:val="1"/>
      <w:marLeft w:val="0"/>
      <w:marRight w:val="0"/>
      <w:marTop w:val="0"/>
      <w:marBottom w:val="0"/>
      <w:divBdr>
        <w:top w:val="none" w:sz="0" w:space="0" w:color="auto"/>
        <w:left w:val="none" w:sz="0" w:space="0" w:color="auto"/>
        <w:bottom w:val="none" w:sz="0" w:space="0" w:color="auto"/>
        <w:right w:val="none" w:sz="0" w:space="0" w:color="auto"/>
      </w:divBdr>
    </w:div>
    <w:div w:id="215820455">
      <w:bodyDiv w:val="1"/>
      <w:marLeft w:val="0"/>
      <w:marRight w:val="0"/>
      <w:marTop w:val="0"/>
      <w:marBottom w:val="0"/>
      <w:divBdr>
        <w:top w:val="none" w:sz="0" w:space="0" w:color="auto"/>
        <w:left w:val="none" w:sz="0" w:space="0" w:color="auto"/>
        <w:bottom w:val="none" w:sz="0" w:space="0" w:color="auto"/>
        <w:right w:val="none" w:sz="0" w:space="0" w:color="auto"/>
      </w:divBdr>
    </w:div>
    <w:div w:id="215820713">
      <w:bodyDiv w:val="1"/>
      <w:marLeft w:val="0"/>
      <w:marRight w:val="0"/>
      <w:marTop w:val="0"/>
      <w:marBottom w:val="0"/>
      <w:divBdr>
        <w:top w:val="none" w:sz="0" w:space="0" w:color="auto"/>
        <w:left w:val="none" w:sz="0" w:space="0" w:color="auto"/>
        <w:bottom w:val="none" w:sz="0" w:space="0" w:color="auto"/>
        <w:right w:val="none" w:sz="0" w:space="0" w:color="auto"/>
      </w:divBdr>
    </w:div>
    <w:div w:id="215892773">
      <w:bodyDiv w:val="1"/>
      <w:marLeft w:val="0"/>
      <w:marRight w:val="0"/>
      <w:marTop w:val="0"/>
      <w:marBottom w:val="0"/>
      <w:divBdr>
        <w:top w:val="none" w:sz="0" w:space="0" w:color="auto"/>
        <w:left w:val="none" w:sz="0" w:space="0" w:color="auto"/>
        <w:bottom w:val="none" w:sz="0" w:space="0" w:color="auto"/>
        <w:right w:val="none" w:sz="0" w:space="0" w:color="auto"/>
      </w:divBdr>
    </w:div>
    <w:div w:id="215893855">
      <w:bodyDiv w:val="1"/>
      <w:marLeft w:val="0"/>
      <w:marRight w:val="0"/>
      <w:marTop w:val="0"/>
      <w:marBottom w:val="0"/>
      <w:divBdr>
        <w:top w:val="none" w:sz="0" w:space="0" w:color="auto"/>
        <w:left w:val="none" w:sz="0" w:space="0" w:color="auto"/>
        <w:bottom w:val="none" w:sz="0" w:space="0" w:color="auto"/>
        <w:right w:val="none" w:sz="0" w:space="0" w:color="auto"/>
      </w:divBdr>
    </w:div>
    <w:div w:id="216019122">
      <w:bodyDiv w:val="1"/>
      <w:marLeft w:val="0"/>
      <w:marRight w:val="0"/>
      <w:marTop w:val="0"/>
      <w:marBottom w:val="0"/>
      <w:divBdr>
        <w:top w:val="none" w:sz="0" w:space="0" w:color="auto"/>
        <w:left w:val="none" w:sz="0" w:space="0" w:color="auto"/>
        <w:bottom w:val="none" w:sz="0" w:space="0" w:color="auto"/>
        <w:right w:val="none" w:sz="0" w:space="0" w:color="auto"/>
      </w:divBdr>
    </w:div>
    <w:div w:id="216092730">
      <w:bodyDiv w:val="1"/>
      <w:marLeft w:val="0"/>
      <w:marRight w:val="0"/>
      <w:marTop w:val="0"/>
      <w:marBottom w:val="0"/>
      <w:divBdr>
        <w:top w:val="none" w:sz="0" w:space="0" w:color="auto"/>
        <w:left w:val="none" w:sz="0" w:space="0" w:color="auto"/>
        <w:bottom w:val="none" w:sz="0" w:space="0" w:color="auto"/>
        <w:right w:val="none" w:sz="0" w:space="0" w:color="auto"/>
      </w:divBdr>
    </w:div>
    <w:div w:id="216283741">
      <w:bodyDiv w:val="1"/>
      <w:marLeft w:val="0"/>
      <w:marRight w:val="0"/>
      <w:marTop w:val="0"/>
      <w:marBottom w:val="0"/>
      <w:divBdr>
        <w:top w:val="none" w:sz="0" w:space="0" w:color="auto"/>
        <w:left w:val="none" w:sz="0" w:space="0" w:color="auto"/>
        <w:bottom w:val="none" w:sz="0" w:space="0" w:color="auto"/>
        <w:right w:val="none" w:sz="0" w:space="0" w:color="auto"/>
      </w:divBdr>
    </w:div>
    <w:div w:id="216284156">
      <w:bodyDiv w:val="1"/>
      <w:marLeft w:val="0"/>
      <w:marRight w:val="0"/>
      <w:marTop w:val="0"/>
      <w:marBottom w:val="0"/>
      <w:divBdr>
        <w:top w:val="none" w:sz="0" w:space="0" w:color="auto"/>
        <w:left w:val="none" w:sz="0" w:space="0" w:color="auto"/>
        <w:bottom w:val="none" w:sz="0" w:space="0" w:color="auto"/>
        <w:right w:val="none" w:sz="0" w:space="0" w:color="auto"/>
      </w:divBdr>
    </w:div>
    <w:div w:id="216354094">
      <w:bodyDiv w:val="1"/>
      <w:marLeft w:val="0"/>
      <w:marRight w:val="0"/>
      <w:marTop w:val="0"/>
      <w:marBottom w:val="0"/>
      <w:divBdr>
        <w:top w:val="none" w:sz="0" w:space="0" w:color="auto"/>
        <w:left w:val="none" w:sz="0" w:space="0" w:color="auto"/>
        <w:bottom w:val="none" w:sz="0" w:space="0" w:color="auto"/>
        <w:right w:val="none" w:sz="0" w:space="0" w:color="auto"/>
      </w:divBdr>
    </w:div>
    <w:div w:id="216358603">
      <w:bodyDiv w:val="1"/>
      <w:marLeft w:val="0"/>
      <w:marRight w:val="0"/>
      <w:marTop w:val="0"/>
      <w:marBottom w:val="0"/>
      <w:divBdr>
        <w:top w:val="none" w:sz="0" w:space="0" w:color="auto"/>
        <w:left w:val="none" w:sz="0" w:space="0" w:color="auto"/>
        <w:bottom w:val="none" w:sz="0" w:space="0" w:color="auto"/>
        <w:right w:val="none" w:sz="0" w:space="0" w:color="auto"/>
      </w:divBdr>
    </w:div>
    <w:div w:id="216474942">
      <w:bodyDiv w:val="1"/>
      <w:marLeft w:val="0"/>
      <w:marRight w:val="0"/>
      <w:marTop w:val="0"/>
      <w:marBottom w:val="0"/>
      <w:divBdr>
        <w:top w:val="none" w:sz="0" w:space="0" w:color="auto"/>
        <w:left w:val="none" w:sz="0" w:space="0" w:color="auto"/>
        <w:bottom w:val="none" w:sz="0" w:space="0" w:color="auto"/>
        <w:right w:val="none" w:sz="0" w:space="0" w:color="auto"/>
      </w:divBdr>
    </w:div>
    <w:div w:id="216549935">
      <w:bodyDiv w:val="1"/>
      <w:marLeft w:val="0"/>
      <w:marRight w:val="0"/>
      <w:marTop w:val="0"/>
      <w:marBottom w:val="0"/>
      <w:divBdr>
        <w:top w:val="none" w:sz="0" w:space="0" w:color="auto"/>
        <w:left w:val="none" w:sz="0" w:space="0" w:color="auto"/>
        <w:bottom w:val="none" w:sz="0" w:space="0" w:color="auto"/>
        <w:right w:val="none" w:sz="0" w:space="0" w:color="auto"/>
      </w:divBdr>
    </w:div>
    <w:div w:id="216553154">
      <w:bodyDiv w:val="1"/>
      <w:marLeft w:val="0"/>
      <w:marRight w:val="0"/>
      <w:marTop w:val="0"/>
      <w:marBottom w:val="0"/>
      <w:divBdr>
        <w:top w:val="none" w:sz="0" w:space="0" w:color="auto"/>
        <w:left w:val="none" w:sz="0" w:space="0" w:color="auto"/>
        <w:bottom w:val="none" w:sz="0" w:space="0" w:color="auto"/>
        <w:right w:val="none" w:sz="0" w:space="0" w:color="auto"/>
      </w:divBdr>
    </w:div>
    <w:div w:id="216556029">
      <w:bodyDiv w:val="1"/>
      <w:marLeft w:val="0"/>
      <w:marRight w:val="0"/>
      <w:marTop w:val="0"/>
      <w:marBottom w:val="0"/>
      <w:divBdr>
        <w:top w:val="none" w:sz="0" w:space="0" w:color="auto"/>
        <w:left w:val="none" w:sz="0" w:space="0" w:color="auto"/>
        <w:bottom w:val="none" w:sz="0" w:space="0" w:color="auto"/>
        <w:right w:val="none" w:sz="0" w:space="0" w:color="auto"/>
      </w:divBdr>
    </w:div>
    <w:div w:id="216623308">
      <w:bodyDiv w:val="1"/>
      <w:marLeft w:val="0"/>
      <w:marRight w:val="0"/>
      <w:marTop w:val="0"/>
      <w:marBottom w:val="0"/>
      <w:divBdr>
        <w:top w:val="none" w:sz="0" w:space="0" w:color="auto"/>
        <w:left w:val="none" w:sz="0" w:space="0" w:color="auto"/>
        <w:bottom w:val="none" w:sz="0" w:space="0" w:color="auto"/>
        <w:right w:val="none" w:sz="0" w:space="0" w:color="auto"/>
      </w:divBdr>
    </w:div>
    <w:div w:id="216626582">
      <w:bodyDiv w:val="1"/>
      <w:marLeft w:val="0"/>
      <w:marRight w:val="0"/>
      <w:marTop w:val="0"/>
      <w:marBottom w:val="0"/>
      <w:divBdr>
        <w:top w:val="none" w:sz="0" w:space="0" w:color="auto"/>
        <w:left w:val="none" w:sz="0" w:space="0" w:color="auto"/>
        <w:bottom w:val="none" w:sz="0" w:space="0" w:color="auto"/>
        <w:right w:val="none" w:sz="0" w:space="0" w:color="auto"/>
      </w:divBdr>
    </w:div>
    <w:div w:id="216668775">
      <w:bodyDiv w:val="1"/>
      <w:marLeft w:val="0"/>
      <w:marRight w:val="0"/>
      <w:marTop w:val="0"/>
      <w:marBottom w:val="0"/>
      <w:divBdr>
        <w:top w:val="none" w:sz="0" w:space="0" w:color="auto"/>
        <w:left w:val="none" w:sz="0" w:space="0" w:color="auto"/>
        <w:bottom w:val="none" w:sz="0" w:space="0" w:color="auto"/>
        <w:right w:val="none" w:sz="0" w:space="0" w:color="auto"/>
      </w:divBdr>
    </w:div>
    <w:div w:id="216674655">
      <w:bodyDiv w:val="1"/>
      <w:marLeft w:val="0"/>
      <w:marRight w:val="0"/>
      <w:marTop w:val="0"/>
      <w:marBottom w:val="0"/>
      <w:divBdr>
        <w:top w:val="none" w:sz="0" w:space="0" w:color="auto"/>
        <w:left w:val="none" w:sz="0" w:space="0" w:color="auto"/>
        <w:bottom w:val="none" w:sz="0" w:space="0" w:color="auto"/>
        <w:right w:val="none" w:sz="0" w:space="0" w:color="auto"/>
      </w:divBdr>
    </w:div>
    <w:div w:id="216745815">
      <w:bodyDiv w:val="1"/>
      <w:marLeft w:val="0"/>
      <w:marRight w:val="0"/>
      <w:marTop w:val="0"/>
      <w:marBottom w:val="0"/>
      <w:divBdr>
        <w:top w:val="none" w:sz="0" w:space="0" w:color="auto"/>
        <w:left w:val="none" w:sz="0" w:space="0" w:color="auto"/>
        <w:bottom w:val="none" w:sz="0" w:space="0" w:color="auto"/>
        <w:right w:val="none" w:sz="0" w:space="0" w:color="auto"/>
      </w:divBdr>
    </w:div>
    <w:div w:id="216817199">
      <w:bodyDiv w:val="1"/>
      <w:marLeft w:val="0"/>
      <w:marRight w:val="0"/>
      <w:marTop w:val="0"/>
      <w:marBottom w:val="0"/>
      <w:divBdr>
        <w:top w:val="none" w:sz="0" w:space="0" w:color="auto"/>
        <w:left w:val="none" w:sz="0" w:space="0" w:color="auto"/>
        <w:bottom w:val="none" w:sz="0" w:space="0" w:color="auto"/>
        <w:right w:val="none" w:sz="0" w:space="0" w:color="auto"/>
      </w:divBdr>
    </w:div>
    <w:div w:id="217013739">
      <w:bodyDiv w:val="1"/>
      <w:marLeft w:val="0"/>
      <w:marRight w:val="0"/>
      <w:marTop w:val="0"/>
      <w:marBottom w:val="0"/>
      <w:divBdr>
        <w:top w:val="none" w:sz="0" w:space="0" w:color="auto"/>
        <w:left w:val="none" w:sz="0" w:space="0" w:color="auto"/>
        <w:bottom w:val="none" w:sz="0" w:space="0" w:color="auto"/>
        <w:right w:val="none" w:sz="0" w:space="0" w:color="auto"/>
      </w:divBdr>
    </w:div>
    <w:div w:id="217058721">
      <w:bodyDiv w:val="1"/>
      <w:marLeft w:val="0"/>
      <w:marRight w:val="0"/>
      <w:marTop w:val="0"/>
      <w:marBottom w:val="0"/>
      <w:divBdr>
        <w:top w:val="none" w:sz="0" w:space="0" w:color="auto"/>
        <w:left w:val="none" w:sz="0" w:space="0" w:color="auto"/>
        <w:bottom w:val="none" w:sz="0" w:space="0" w:color="auto"/>
        <w:right w:val="none" w:sz="0" w:space="0" w:color="auto"/>
      </w:divBdr>
    </w:div>
    <w:div w:id="217059945">
      <w:bodyDiv w:val="1"/>
      <w:marLeft w:val="0"/>
      <w:marRight w:val="0"/>
      <w:marTop w:val="0"/>
      <w:marBottom w:val="0"/>
      <w:divBdr>
        <w:top w:val="none" w:sz="0" w:space="0" w:color="auto"/>
        <w:left w:val="none" w:sz="0" w:space="0" w:color="auto"/>
        <w:bottom w:val="none" w:sz="0" w:space="0" w:color="auto"/>
        <w:right w:val="none" w:sz="0" w:space="0" w:color="auto"/>
      </w:divBdr>
    </w:div>
    <w:div w:id="217134289">
      <w:bodyDiv w:val="1"/>
      <w:marLeft w:val="0"/>
      <w:marRight w:val="0"/>
      <w:marTop w:val="0"/>
      <w:marBottom w:val="0"/>
      <w:divBdr>
        <w:top w:val="none" w:sz="0" w:space="0" w:color="auto"/>
        <w:left w:val="none" w:sz="0" w:space="0" w:color="auto"/>
        <w:bottom w:val="none" w:sz="0" w:space="0" w:color="auto"/>
        <w:right w:val="none" w:sz="0" w:space="0" w:color="auto"/>
      </w:divBdr>
    </w:div>
    <w:div w:id="217203895">
      <w:bodyDiv w:val="1"/>
      <w:marLeft w:val="0"/>
      <w:marRight w:val="0"/>
      <w:marTop w:val="0"/>
      <w:marBottom w:val="0"/>
      <w:divBdr>
        <w:top w:val="none" w:sz="0" w:space="0" w:color="auto"/>
        <w:left w:val="none" w:sz="0" w:space="0" w:color="auto"/>
        <w:bottom w:val="none" w:sz="0" w:space="0" w:color="auto"/>
        <w:right w:val="none" w:sz="0" w:space="0" w:color="auto"/>
      </w:divBdr>
    </w:div>
    <w:div w:id="217205250">
      <w:bodyDiv w:val="1"/>
      <w:marLeft w:val="0"/>
      <w:marRight w:val="0"/>
      <w:marTop w:val="0"/>
      <w:marBottom w:val="0"/>
      <w:divBdr>
        <w:top w:val="none" w:sz="0" w:space="0" w:color="auto"/>
        <w:left w:val="none" w:sz="0" w:space="0" w:color="auto"/>
        <w:bottom w:val="none" w:sz="0" w:space="0" w:color="auto"/>
        <w:right w:val="none" w:sz="0" w:space="0" w:color="auto"/>
      </w:divBdr>
    </w:div>
    <w:div w:id="217320792">
      <w:bodyDiv w:val="1"/>
      <w:marLeft w:val="0"/>
      <w:marRight w:val="0"/>
      <w:marTop w:val="0"/>
      <w:marBottom w:val="0"/>
      <w:divBdr>
        <w:top w:val="none" w:sz="0" w:space="0" w:color="auto"/>
        <w:left w:val="none" w:sz="0" w:space="0" w:color="auto"/>
        <w:bottom w:val="none" w:sz="0" w:space="0" w:color="auto"/>
        <w:right w:val="none" w:sz="0" w:space="0" w:color="auto"/>
      </w:divBdr>
    </w:div>
    <w:div w:id="217403315">
      <w:bodyDiv w:val="1"/>
      <w:marLeft w:val="0"/>
      <w:marRight w:val="0"/>
      <w:marTop w:val="0"/>
      <w:marBottom w:val="0"/>
      <w:divBdr>
        <w:top w:val="none" w:sz="0" w:space="0" w:color="auto"/>
        <w:left w:val="none" w:sz="0" w:space="0" w:color="auto"/>
        <w:bottom w:val="none" w:sz="0" w:space="0" w:color="auto"/>
        <w:right w:val="none" w:sz="0" w:space="0" w:color="auto"/>
      </w:divBdr>
    </w:div>
    <w:div w:id="217593814">
      <w:bodyDiv w:val="1"/>
      <w:marLeft w:val="0"/>
      <w:marRight w:val="0"/>
      <w:marTop w:val="0"/>
      <w:marBottom w:val="0"/>
      <w:divBdr>
        <w:top w:val="none" w:sz="0" w:space="0" w:color="auto"/>
        <w:left w:val="none" w:sz="0" w:space="0" w:color="auto"/>
        <w:bottom w:val="none" w:sz="0" w:space="0" w:color="auto"/>
        <w:right w:val="none" w:sz="0" w:space="0" w:color="auto"/>
      </w:divBdr>
    </w:div>
    <w:div w:id="217982413">
      <w:bodyDiv w:val="1"/>
      <w:marLeft w:val="0"/>
      <w:marRight w:val="0"/>
      <w:marTop w:val="0"/>
      <w:marBottom w:val="0"/>
      <w:divBdr>
        <w:top w:val="none" w:sz="0" w:space="0" w:color="auto"/>
        <w:left w:val="none" w:sz="0" w:space="0" w:color="auto"/>
        <w:bottom w:val="none" w:sz="0" w:space="0" w:color="auto"/>
        <w:right w:val="none" w:sz="0" w:space="0" w:color="auto"/>
      </w:divBdr>
    </w:div>
    <w:div w:id="218134614">
      <w:bodyDiv w:val="1"/>
      <w:marLeft w:val="0"/>
      <w:marRight w:val="0"/>
      <w:marTop w:val="0"/>
      <w:marBottom w:val="0"/>
      <w:divBdr>
        <w:top w:val="none" w:sz="0" w:space="0" w:color="auto"/>
        <w:left w:val="none" w:sz="0" w:space="0" w:color="auto"/>
        <w:bottom w:val="none" w:sz="0" w:space="0" w:color="auto"/>
        <w:right w:val="none" w:sz="0" w:space="0" w:color="auto"/>
      </w:divBdr>
    </w:div>
    <w:div w:id="218173721">
      <w:bodyDiv w:val="1"/>
      <w:marLeft w:val="0"/>
      <w:marRight w:val="0"/>
      <w:marTop w:val="0"/>
      <w:marBottom w:val="0"/>
      <w:divBdr>
        <w:top w:val="none" w:sz="0" w:space="0" w:color="auto"/>
        <w:left w:val="none" w:sz="0" w:space="0" w:color="auto"/>
        <w:bottom w:val="none" w:sz="0" w:space="0" w:color="auto"/>
        <w:right w:val="none" w:sz="0" w:space="0" w:color="auto"/>
      </w:divBdr>
    </w:div>
    <w:div w:id="218323425">
      <w:bodyDiv w:val="1"/>
      <w:marLeft w:val="0"/>
      <w:marRight w:val="0"/>
      <w:marTop w:val="0"/>
      <w:marBottom w:val="0"/>
      <w:divBdr>
        <w:top w:val="none" w:sz="0" w:space="0" w:color="auto"/>
        <w:left w:val="none" w:sz="0" w:space="0" w:color="auto"/>
        <w:bottom w:val="none" w:sz="0" w:space="0" w:color="auto"/>
        <w:right w:val="none" w:sz="0" w:space="0" w:color="auto"/>
      </w:divBdr>
    </w:div>
    <w:div w:id="218323647">
      <w:bodyDiv w:val="1"/>
      <w:marLeft w:val="0"/>
      <w:marRight w:val="0"/>
      <w:marTop w:val="0"/>
      <w:marBottom w:val="0"/>
      <w:divBdr>
        <w:top w:val="none" w:sz="0" w:space="0" w:color="auto"/>
        <w:left w:val="none" w:sz="0" w:space="0" w:color="auto"/>
        <w:bottom w:val="none" w:sz="0" w:space="0" w:color="auto"/>
        <w:right w:val="none" w:sz="0" w:space="0" w:color="auto"/>
      </w:divBdr>
    </w:div>
    <w:div w:id="218370302">
      <w:bodyDiv w:val="1"/>
      <w:marLeft w:val="0"/>
      <w:marRight w:val="0"/>
      <w:marTop w:val="0"/>
      <w:marBottom w:val="0"/>
      <w:divBdr>
        <w:top w:val="none" w:sz="0" w:space="0" w:color="auto"/>
        <w:left w:val="none" w:sz="0" w:space="0" w:color="auto"/>
        <w:bottom w:val="none" w:sz="0" w:space="0" w:color="auto"/>
        <w:right w:val="none" w:sz="0" w:space="0" w:color="auto"/>
      </w:divBdr>
    </w:div>
    <w:div w:id="218438847">
      <w:bodyDiv w:val="1"/>
      <w:marLeft w:val="0"/>
      <w:marRight w:val="0"/>
      <w:marTop w:val="0"/>
      <w:marBottom w:val="0"/>
      <w:divBdr>
        <w:top w:val="none" w:sz="0" w:space="0" w:color="auto"/>
        <w:left w:val="none" w:sz="0" w:space="0" w:color="auto"/>
        <w:bottom w:val="none" w:sz="0" w:space="0" w:color="auto"/>
        <w:right w:val="none" w:sz="0" w:space="0" w:color="auto"/>
      </w:divBdr>
    </w:div>
    <w:div w:id="218563279">
      <w:bodyDiv w:val="1"/>
      <w:marLeft w:val="0"/>
      <w:marRight w:val="0"/>
      <w:marTop w:val="0"/>
      <w:marBottom w:val="0"/>
      <w:divBdr>
        <w:top w:val="none" w:sz="0" w:space="0" w:color="auto"/>
        <w:left w:val="none" w:sz="0" w:space="0" w:color="auto"/>
        <w:bottom w:val="none" w:sz="0" w:space="0" w:color="auto"/>
        <w:right w:val="none" w:sz="0" w:space="0" w:color="auto"/>
      </w:divBdr>
    </w:div>
    <w:div w:id="218788465">
      <w:bodyDiv w:val="1"/>
      <w:marLeft w:val="0"/>
      <w:marRight w:val="0"/>
      <w:marTop w:val="0"/>
      <w:marBottom w:val="0"/>
      <w:divBdr>
        <w:top w:val="none" w:sz="0" w:space="0" w:color="auto"/>
        <w:left w:val="none" w:sz="0" w:space="0" w:color="auto"/>
        <w:bottom w:val="none" w:sz="0" w:space="0" w:color="auto"/>
        <w:right w:val="none" w:sz="0" w:space="0" w:color="auto"/>
      </w:divBdr>
    </w:div>
    <w:div w:id="218831902">
      <w:bodyDiv w:val="1"/>
      <w:marLeft w:val="0"/>
      <w:marRight w:val="0"/>
      <w:marTop w:val="0"/>
      <w:marBottom w:val="0"/>
      <w:divBdr>
        <w:top w:val="none" w:sz="0" w:space="0" w:color="auto"/>
        <w:left w:val="none" w:sz="0" w:space="0" w:color="auto"/>
        <w:bottom w:val="none" w:sz="0" w:space="0" w:color="auto"/>
        <w:right w:val="none" w:sz="0" w:space="0" w:color="auto"/>
      </w:divBdr>
    </w:div>
    <w:div w:id="219050385">
      <w:bodyDiv w:val="1"/>
      <w:marLeft w:val="0"/>
      <w:marRight w:val="0"/>
      <w:marTop w:val="0"/>
      <w:marBottom w:val="0"/>
      <w:divBdr>
        <w:top w:val="none" w:sz="0" w:space="0" w:color="auto"/>
        <w:left w:val="none" w:sz="0" w:space="0" w:color="auto"/>
        <w:bottom w:val="none" w:sz="0" w:space="0" w:color="auto"/>
        <w:right w:val="none" w:sz="0" w:space="0" w:color="auto"/>
      </w:divBdr>
    </w:div>
    <w:div w:id="219249887">
      <w:bodyDiv w:val="1"/>
      <w:marLeft w:val="0"/>
      <w:marRight w:val="0"/>
      <w:marTop w:val="0"/>
      <w:marBottom w:val="0"/>
      <w:divBdr>
        <w:top w:val="none" w:sz="0" w:space="0" w:color="auto"/>
        <w:left w:val="none" w:sz="0" w:space="0" w:color="auto"/>
        <w:bottom w:val="none" w:sz="0" w:space="0" w:color="auto"/>
        <w:right w:val="none" w:sz="0" w:space="0" w:color="auto"/>
      </w:divBdr>
    </w:div>
    <w:div w:id="219291284">
      <w:bodyDiv w:val="1"/>
      <w:marLeft w:val="0"/>
      <w:marRight w:val="0"/>
      <w:marTop w:val="0"/>
      <w:marBottom w:val="0"/>
      <w:divBdr>
        <w:top w:val="none" w:sz="0" w:space="0" w:color="auto"/>
        <w:left w:val="none" w:sz="0" w:space="0" w:color="auto"/>
        <w:bottom w:val="none" w:sz="0" w:space="0" w:color="auto"/>
        <w:right w:val="none" w:sz="0" w:space="0" w:color="auto"/>
      </w:divBdr>
    </w:div>
    <w:div w:id="219442208">
      <w:bodyDiv w:val="1"/>
      <w:marLeft w:val="0"/>
      <w:marRight w:val="0"/>
      <w:marTop w:val="0"/>
      <w:marBottom w:val="0"/>
      <w:divBdr>
        <w:top w:val="none" w:sz="0" w:space="0" w:color="auto"/>
        <w:left w:val="none" w:sz="0" w:space="0" w:color="auto"/>
        <w:bottom w:val="none" w:sz="0" w:space="0" w:color="auto"/>
        <w:right w:val="none" w:sz="0" w:space="0" w:color="auto"/>
      </w:divBdr>
    </w:div>
    <w:div w:id="219562571">
      <w:bodyDiv w:val="1"/>
      <w:marLeft w:val="0"/>
      <w:marRight w:val="0"/>
      <w:marTop w:val="0"/>
      <w:marBottom w:val="0"/>
      <w:divBdr>
        <w:top w:val="none" w:sz="0" w:space="0" w:color="auto"/>
        <w:left w:val="none" w:sz="0" w:space="0" w:color="auto"/>
        <w:bottom w:val="none" w:sz="0" w:space="0" w:color="auto"/>
        <w:right w:val="none" w:sz="0" w:space="0" w:color="auto"/>
      </w:divBdr>
    </w:div>
    <w:div w:id="219637697">
      <w:bodyDiv w:val="1"/>
      <w:marLeft w:val="0"/>
      <w:marRight w:val="0"/>
      <w:marTop w:val="0"/>
      <w:marBottom w:val="0"/>
      <w:divBdr>
        <w:top w:val="none" w:sz="0" w:space="0" w:color="auto"/>
        <w:left w:val="none" w:sz="0" w:space="0" w:color="auto"/>
        <w:bottom w:val="none" w:sz="0" w:space="0" w:color="auto"/>
        <w:right w:val="none" w:sz="0" w:space="0" w:color="auto"/>
      </w:divBdr>
    </w:div>
    <w:div w:id="219680107">
      <w:bodyDiv w:val="1"/>
      <w:marLeft w:val="0"/>
      <w:marRight w:val="0"/>
      <w:marTop w:val="0"/>
      <w:marBottom w:val="0"/>
      <w:divBdr>
        <w:top w:val="none" w:sz="0" w:space="0" w:color="auto"/>
        <w:left w:val="none" w:sz="0" w:space="0" w:color="auto"/>
        <w:bottom w:val="none" w:sz="0" w:space="0" w:color="auto"/>
        <w:right w:val="none" w:sz="0" w:space="0" w:color="auto"/>
      </w:divBdr>
    </w:div>
    <w:div w:id="219707131">
      <w:bodyDiv w:val="1"/>
      <w:marLeft w:val="0"/>
      <w:marRight w:val="0"/>
      <w:marTop w:val="0"/>
      <w:marBottom w:val="0"/>
      <w:divBdr>
        <w:top w:val="none" w:sz="0" w:space="0" w:color="auto"/>
        <w:left w:val="none" w:sz="0" w:space="0" w:color="auto"/>
        <w:bottom w:val="none" w:sz="0" w:space="0" w:color="auto"/>
        <w:right w:val="none" w:sz="0" w:space="0" w:color="auto"/>
      </w:divBdr>
    </w:div>
    <w:div w:id="219707246">
      <w:bodyDiv w:val="1"/>
      <w:marLeft w:val="0"/>
      <w:marRight w:val="0"/>
      <w:marTop w:val="0"/>
      <w:marBottom w:val="0"/>
      <w:divBdr>
        <w:top w:val="none" w:sz="0" w:space="0" w:color="auto"/>
        <w:left w:val="none" w:sz="0" w:space="0" w:color="auto"/>
        <w:bottom w:val="none" w:sz="0" w:space="0" w:color="auto"/>
        <w:right w:val="none" w:sz="0" w:space="0" w:color="auto"/>
      </w:divBdr>
    </w:div>
    <w:div w:id="219751038">
      <w:bodyDiv w:val="1"/>
      <w:marLeft w:val="0"/>
      <w:marRight w:val="0"/>
      <w:marTop w:val="0"/>
      <w:marBottom w:val="0"/>
      <w:divBdr>
        <w:top w:val="none" w:sz="0" w:space="0" w:color="auto"/>
        <w:left w:val="none" w:sz="0" w:space="0" w:color="auto"/>
        <w:bottom w:val="none" w:sz="0" w:space="0" w:color="auto"/>
        <w:right w:val="none" w:sz="0" w:space="0" w:color="auto"/>
      </w:divBdr>
    </w:div>
    <w:div w:id="219751761">
      <w:bodyDiv w:val="1"/>
      <w:marLeft w:val="0"/>
      <w:marRight w:val="0"/>
      <w:marTop w:val="0"/>
      <w:marBottom w:val="0"/>
      <w:divBdr>
        <w:top w:val="none" w:sz="0" w:space="0" w:color="auto"/>
        <w:left w:val="none" w:sz="0" w:space="0" w:color="auto"/>
        <w:bottom w:val="none" w:sz="0" w:space="0" w:color="auto"/>
        <w:right w:val="none" w:sz="0" w:space="0" w:color="auto"/>
      </w:divBdr>
    </w:div>
    <w:div w:id="219751980">
      <w:bodyDiv w:val="1"/>
      <w:marLeft w:val="0"/>
      <w:marRight w:val="0"/>
      <w:marTop w:val="0"/>
      <w:marBottom w:val="0"/>
      <w:divBdr>
        <w:top w:val="none" w:sz="0" w:space="0" w:color="auto"/>
        <w:left w:val="none" w:sz="0" w:space="0" w:color="auto"/>
        <w:bottom w:val="none" w:sz="0" w:space="0" w:color="auto"/>
        <w:right w:val="none" w:sz="0" w:space="0" w:color="auto"/>
      </w:divBdr>
    </w:div>
    <w:div w:id="219941464">
      <w:bodyDiv w:val="1"/>
      <w:marLeft w:val="0"/>
      <w:marRight w:val="0"/>
      <w:marTop w:val="0"/>
      <w:marBottom w:val="0"/>
      <w:divBdr>
        <w:top w:val="none" w:sz="0" w:space="0" w:color="auto"/>
        <w:left w:val="none" w:sz="0" w:space="0" w:color="auto"/>
        <w:bottom w:val="none" w:sz="0" w:space="0" w:color="auto"/>
        <w:right w:val="none" w:sz="0" w:space="0" w:color="auto"/>
      </w:divBdr>
    </w:div>
    <w:div w:id="220093248">
      <w:bodyDiv w:val="1"/>
      <w:marLeft w:val="0"/>
      <w:marRight w:val="0"/>
      <w:marTop w:val="0"/>
      <w:marBottom w:val="0"/>
      <w:divBdr>
        <w:top w:val="none" w:sz="0" w:space="0" w:color="auto"/>
        <w:left w:val="none" w:sz="0" w:space="0" w:color="auto"/>
        <w:bottom w:val="none" w:sz="0" w:space="0" w:color="auto"/>
        <w:right w:val="none" w:sz="0" w:space="0" w:color="auto"/>
      </w:divBdr>
    </w:div>
    <w:div w:id="220215216">
      <w:bodyDiv w:val="1"/>
      <w:marLeft w:val="0"/>
      <w:marRight w:val="0"/>
      <w:marTop w:val="0"/>
      <w:marBottom w:val="0"/>
      <w:divBdr>
        <w:top w:val="none" w:sz="0" w:space="0" w:color="auto"/>
        <w:left w:val="none" w:sz="0" w:space="0" w:color="auto"/>
        <w:bottom w:val="none" w:sz="0" w:space="0" w:color="auto"/>
        <w:right w:val="none" w:sz="0" w:space="0" w:color="auto"/>
      </w:divBdr>
    </w:div>
    <w:div w:id="220218042">
      <w:bodyDiv w:val="1"/>
      <w:marLeft w:val="0"/>
      <w:marRight w:val="0"/>
      <w:marTop w:val="0"/>
      <w:marBottom w:val="0"/>
      <w:divBdr>
        <w:top w:val="none" w:sz="0" w:space="0" w:color="auto"/>
        <w:left w:val="none" w:sz="0" w:space="0" w:color="auto"/>
        <w:bottom w:val="none" w:sz="0" w:space="0" w:color="auto"/>
        <w:right w:val="none" w:sz="0" w:space="0" w:color="auto"/>
      </w:divBdr>
    </w:div>
    <w:div w:id="220364732">
      <w:bodyDiv w:val="1"/>
      <w:marLeft w:val="0"/>
      <w:marRight w:val="0"/>
      <w:marTop w:val="0"/>
      <w:marBottom w:val="0"/>
      <w:divBdr>
        <w:top w:val="none" w:sz="0" w:space="0" w:color="auto"/>
        <w:left w:val="none" w:sz="0" w:space="0" w:color="auto"/>
        <w:bottom w:val="none" w:sz="0" w:space="0" w:color="auto"/>
        <w:right w:val="none" w:sz="0" w:space="0" w:color="auto"/>
      </w:divBdr>
    </w:div>
    <w:div w:id="220406703">
      <w:bodyDiv w:val="1"/>
      <w:marLeft w:val="0"/>
      <w:marRight w:val="0"/>
      <w:marTop w:val="0"/>
      <w:marBottom w:val="0"/>
      <w:divBdr>
        <w:top w:val="none" w:sz="0" w:space="0" w:color="auto"/>
        <w:left w:val="none" w:sz="0" w:space="0" w:color="auto"/>
        <w:bottom w:val="none" w:sz="0" w:space="0" w:color="auto"/>
        <w:right w:val="none" w:sz="0" w:space="0" w:color="auto"/>
      </w:divBdr>
    </w:div>
    <w:div w:id="220407114">
      <w:bodyDiv w:val="1"/>
      <w:marLeft w:val="0"/>
      <w:marRight w:val="0"/>
      <w:marTop w:val="0"/>
      <w:marBottom w:val="0"/>
      <w:divBdr>
        <w:top w:val="none" w:sz="0" w:space="0" w:color="auto"/>
        <w:left w:val="none" w:sz="0" w:space="0" w:color="auto"/>
        <w:bottom w:val="none" w:sz="0" w:space="0" w:color="auto"/>
        <w:right w:val="none" w:sz="0" w:space="0" w:color="auto"/>
      </w:divBdr>
    </w:div>
    <w:div w:id="220483894">
      <w:bodyDiv w:val="1"/>
      <w:marLeft w:val="0"/>
      <w:marRight w:val="0"/>
      <w:marTop w:val="0"/>
      <w:marBottom w:val="0"/>
      <w:divBdr>
        <w:top w:val="none" w:sz="0" w:space="0" w:color="auto"/>
        <w:left w:val="none" w:sz="0" w:space="0" w:color="auto"/>
        <w:bottom w:val="none" w:sz="0" w:space="0" w:color="auto"/>
        <w:right w:val="none" w:sz="0" w:space="0" w:color="auto"/>
      </w:divBdr>
    </w:div>
    <w:div w:id="220559020">
      <w:bodyDiv w:val="1"/>
      <w:marLeft w:val="0"/>
      <w:marRight w:val="0"/>
      <w:marTop w:val="0"/>
      <w:marBottom w:val="0"/>
      <w:divBdr>
        <w:top w:val="none" w:sz="0" w:space="0" w:color="auto"/>
        <w:left w:val="none" w:sz="0" w:space="0" w:color="auto"/>
        <w:bottom w:val="none" w:sz="0" w:space="0" w:color="auto"/>
        <w:right w:val="none" w:sz="0" w:space="0" w:color="auto"/>
      </w:divBdr>
    </w:div>
    <w:div w:id="220601901">
      <w:bodyDiv w:val="1"/>
      <w:marLeft w:val="0"/>
      <w:marRight w:val="0"/>
      <w:marTop w:val="0"/>
      <w:marBottom w:val="0"/>
      <w:divBdr>
        <w:top w:val="none" w:sz="0" w:space="0" w:color="auto"/>
        <w:left w:val="none" w:sz="0" w:space="0" w:color="auto"/>
        <w:bottom w:val="none" w:sz="0" w:space="0" w:color="auto"/>
        <w:right w:val="none" w:sz="0" w:space="0" w:color="auto"/>
      </w:divBdr>
    </w:div>
    <w:div w:id="220603026">
      <w:bodyDiv w:val="1"/>
      <w:marLeft w:val="0"/>
      <w:marRight w:val="0"/>
      <w:marTop w:val="0"/>
      <w:marBottom w:val="0"/>
      <w:divBdr>
        <w:top w:val="none" w:sz="0" w:space="0" w:color="auto"/>
        <w:left w:val="none" w:sz="0" w:space="0" w:color="auto"/>
        <w:bottom w:val="none" w:sz="0" w:space="0" w:color="auto"/>
        <w:right w:val="none" w:sz="0" w:space="0" w:color="auto"/>
      </w:divBdr>
    </w:div>
    <w:div w:id="220751344">
      <w:bodyDiv w:val="1"/>
      <w:marLeft w:val="0"/>
      <w:marRight w:val="0"/>
      <w:marTop w:val="0"/>
      <w:marBottom w:val="0"/>
      <w:divBdr>
        <w:top w:val="none" w:sz="0" w:space="0" w:color="auto"/>
        <w:left w:val="none" w:sz="0" w:space="0" w:color="auto"/>
        <w:bottom w:val="none" w:sz="0" w:space="0" w:color="auto"/>
        <w:right w:val="none" w:sz="0" w:space="0" w:color="auto"/>
      </w:divBdr>
    </w:div>
    <w:div w:id="220792787">
      <w:bodyDiv w:val="1"/>
      <w:marLeft w:val="0"/>
      <w:marRight w:val="0"/>
      <w:marTop w:val="0"/>
      <w:marBottom w:val="0"/>
      <w:divBdr>
        <w:top w:val="none" w:sz="0" w:space="0" w:color="auto"/>
        <w:left w:val="none" w:sz="0" w:space="0" w:color="auto"/>
        <w:bottom w:val="none" w:sz="0" w:space="0" w:color="auto"/>
        <w:right w:val="none" w:sz="0" w:space="0" w:color="auto"/>
      </w:divBdr>
    </w:div>
    <w:div w:id="221060402">
      <w:bodyDiv w:val="1"/>
      <w:marLeft w:val="0"/>
      <w:marRight w:val="0"/>
      <w:marTop w:val="0"/>
      <w:marBottom w:val="0"/>
      <w:divBdr>
        <w:top w:val="none" w:sz="0" w:space="0" w:color="auto"/>
        <w:left w:val="none" w:sz="0" w:space="0" w:color="auto"/>
        <w:bottom w:val="none" w:sz="0" w:space="0" w:color="auto"/>
        <w:right w:val="none" w:sz="0" w:space="0" w:color="auto"/>
      </w:divBdr>
    </w:div>
    <w:div w:id="221066275">
      <w:bodyDiv w:val="1"/>
      <w:marLeft w:val="0"/>
      <w:marRight w:val="0"/>
      <w:marTop w:val="0"/>
      <w:marBottom w:val="0"/>
      <w:divBdr>
        <w:top w:val="none" w:sz="0" w:space="0" w:color="auto"/>
        <w:left w:val="none" w:sz="0" w:space="0" w:color="auto"/>
        <w:bottom w:val="none" w:sz="0" w:space="0" w:color="auto"/>
        <w:right w:val="none" w:sz="0" w:space="0" w:color="auto"/>
      </w:divBdr>
    </w:div>
    <w:div w:id="221256194">
      <w:bodyDiv w:val="1"/>
      <w:marLeft w:val="0"/>
      <w:marRight w:val="0"/>
      <w:marTop w:val="0"/>
      <w:marBottom w:val="0"/>
      <w:divBdr>
        <w:top w:val="none" w:sz="0" w:space="0" w:color="auto"/>
        <w:left w:val="none" w:sz="0" w:space="0" w:color="auto"/>
        <w:bottom w:val="none" w:sz="0" w:space="0" w:color="auto"/>
        <w:right w:val="none" w:sz="0" w:space="0" w:color="auto"/>
      </w:divBdr>
    </w:div>
    <w:div w:id="221257209">
      <w:bodyDiv w:val="1"/>
      <w:marLeft w:val="0"/>
      <w:marRight w:val="0"/>
      <w:marTop w:val="0"/>
      <w:marBottom w:val="0"/>
      <w:divBdr>
        <w:top w:val="none" w:sz="0" w:space="0" w:color="auto"/>
        <w:left w:val="none" w:sz="0" w:space="0" w:color="auto"/>
        <w:bottom w:val="none" w:sz="0" w:space="0" w:color="auto"/>
        <w:right w:val="none" w:sz="0" w:space="0" w:color="auto"/>
      </w:divBdr>
    </w:div>
    <w:div w:id="221448828">
      <w:bodyDiv w:val="1"/>
      <w:marLeft w:val="0"/>
      <w:marRight w:val="0"/>
      <w:marTop w:val="0"/>
      <w:marBottom w:val="0"/>
      <w:divBdr>
        <w:top w:val="none" w:sz="0" w:space="0" w:color="auto"/>
        <w:left w:val="none" w:sz="0" w:space="0" w:color="auto"/>
        <w:bottom w:val="none" w:sz="0" w:space="0" w:color="auto"/>
        <w:right w:val="none" w:sz="0" w:space="0" w:color="auto"/>
      </w:divBdr>
    </w:div>
    <w:div w:id="221528993">
      <w:bodyDiv w:val="1"/>
      <w:marLeft w:val="0"/>
      <w:marRight w:val="0"/>
      <w:marTop w:val="0"/>
      <w:marBottom w:val="0"/>
      <w:divBdr>
        <w:top w:val="none" w:sz="0" w:space="0" w:color="auto"/>
        <w:left w:val="none" w:sz="0" w:space="0" w:color="auto"/>
        <w:bottom w:val="none" w:sz="0" w:space="0" w:color="auto"/>
        <w:right w:val="none" w:sz="0" w:space="0" w:color="auto"/>
      </w:divBdr>
    </w:div>
    <w:div w:id="221673140">
      <w:bodyDiv w:val="1"/>
      <w:marLeft w:val="0"/>
      <w:marRight w:val="0"/>
      <w:marTop w:val="0"/>
      <w:marBottom w:val="0"/>
      <w:divBdr>
        <w:top w:val="none" w:sz="0" w:space="0" w:color="auto"/>
        <w:left w:val="none" w:sz="0" w:space="0" w:color="auto"/>
        <w:bottom w:val="none" w:sz="0" w:space="0" w:color="auto"/>
        <w:right w:val="none" w:sz="0" w:space="0" w:color="auto"/>
      </w:divBdr>
    </w:div>
    <w:div w:id="221719522">
      <w:bodyDiv w:val="1"/>
      <w:marLeft w:val="0"/>
      <w:marRight w:val="0"/>
      <w:marTop w:val="0"/>
      <w:marBottom w:val="0"/>
      <w:divBdr>
        <w:top w:val="none" w:sz="0" w:space="0" w:color="auto"/>
        <w:left w:val="none" w:sz="0" w:space="0" w:color="auto"/>
        <w:bottom w:val="none" w:sz="0" w:space="0" w:color="auto"/>
        <w:right w:val="none" w:sz="0" w:space="0" w:color="auto"/>
      </w:divBdr>
    </w:div>
    <w:div w:id="221865097">
      <w:bodyDiv w:val="1"/>
      <w:marLeft w:val="0"/>
      <w:marRight w:val="0"/>
      <w:marTop w:val="0"/>
      <w:marBottom w:val="0"/>
      <w:divBdr>
        <w:top w:val="none" w:sz="0" w:space="0" w:color="auto"/>
        <w:left w:val="none" w:sz="0" w:space="0" w:color="auto"/>
        <w:bottom w:val="none" w:sz="0" w:space="0" w:color="auto"/>
        <w:right w:val="none" w:sz="0" w:space="0" w:color="auto"/>
      </w:divBdr>
    </w:div>
    <w:div w:id="221865972">
      <w:bodyDiv w:val="1"/>
      <w:marLeft w:val="0"/>
      <w:marRight w:val="0"/>
      <w:marTop w:val="0"/>
      <w:marBottom w:val="0"/>
      <w:divBdr>
        <w:top w:val="none" w:sz="0" w:space="0" w:color="auto"/>
        <w:left w:val="none" w:sz="0" w:space="0" w:color="auto"/>
        <w:bottom w:val="none" w:sz="0" w:space="0" w:color="auto"/>
        <w:right w:val="none" w:sz="0" w:space="0" w:color="auto"/>
      </w:divBdr>
    </w:div>
    <w:div w:id="221985520">
      <w:bodyDiv w:val="1"/>
      <w:marLeft w:val="0"/>
      <w:marRight w:val="0"/>
      <w:marTop w:val="0"/>
      <w:marBottom w:val="0"/>
      <w:divBdr>
        <w:top w:val="none" w:sz="0" w:space="0" w:color="auto"/>
        <w:left w:val="none" w:sz="0" w:space="0" w:color="auto"/>
        <w:bottom w:val="none" w:sz="0" w:space="0" w:color="auto"/>
        <w:right w:val="none" w:sz="0" w:space="0" w:color="auto"/>
      </w:divBdr>
    </w:div>
    <w:div w:id="222108880">
      <w:bodyDiv w:val="1"/>
      <w:marLeft w:val="0"/>
      <w:marRight w:val="0"/>
      <w:marTop w:val="0"/>
      <w:marBottom w:val="0"/>
      <w:divBdr>
        <w:top w:val="none" w:sz="0" w:space="0" w:color="auto"/>
        <w:left w:val="none" w:sz="0" w:space="0" w:color="auto"/>
        <w:bottom w:val="none" w:sz="0" w:space="0" w:color="auto"/>
        <w:right w:val="none" w:sz="0" w:space="0" w:color="auto"/>
      </w:divBdr>
    </w:div>
    <w:div w:id="222181306">
      <w:bodyDiv w:val="1"/>
      <w:marLeft w:val="0"/>
      <w:marRight w:val="0"/>
      <w:marTop w:val="0"/>
      <w:marBottom w:val="0"/>
      <w:divBdr>
        <w:top w:val="none" w:sz="0" w:space="0" w:color="auto"/>
        <w:left w:val="none" w:sz="0" w:space="0" w:color="auto"/>
        <w:bottom w:val="none" w:sz="0" w:space="0" w:color="auto"/>
        <w:right w:val="none" w:sz="0" w:space="0" w:color="auto"/>
      </w:divBdr>
    </w:div>
    <w:div w:id="222839189">
      <w:bodyDiv w:val="1"/>
      <w:marLeft w:val="0"/>
      <w:marRight w:val="0"/>
      <w:marTop w:val="0"/>
      <w:marBottom w:val="0"/>
      <w:divBdr>
        <w:top w:val="none" w:sz="0" w:space="0" w:color="auto"/>
        <w:left w:val="none" w:sz="0" w:space="0" w:color="auto"/>
        <w:bottom w:val="none" w:sz="0" w:space="0" w:color="auto"/>
        <w:right w:val="none" w:sz="0" w:space="0" w:color="auto"/>
      </w:divBdr>
    </w:div>
    <w:div w:id="222955816">
      <w:bodyDiv w:val="1"/>
      <w:marLeft w:val="0"/>
      <w:marRight w:val="0"/>
      <w:marTop w:val="0"/>
      <w:marBottom w:val="0"/>
      <w:divBdr>
        <w:top w:val="none" w:sz="0" w:space="0" w:color="auto"/>
        <w:left w:val="none" w:sz="0" w:space="0" w:color="auto"/>
        <w:bottom w:val="none" w:sz="0" w:space="0" w:color="auto"/>
        <w:right w:val="none" w:sz="0" w:space="0" w:color="auto"/>
      </w:divBdr>
    </w:div>
    <w:div w:id="223177910">
      <w:bodyDiv w:val="1"/>
      <w:marLeft w:val="0"/>
      <w:marRight w:val="0"/>
      <w:marTop w:val="0"/>
      <w:marBottom w:val="0"/>
      <w:divBdr>
        <w:top w:val="none" w:sz="0" w:space="0" w:color="auto"/>
        <w:left w:val="none" w:sz="0" w:space="0" w:color="auto"/>
        <w:bottom w:val="none" w:sz="0" w:space="0" w:color="auto"/>
        <w:right w:val="none" w:sz="0" w:space="0" w:color="auto"/>
      </w:divBdr>
    </w:div>
    <w:div w:id="223294394">
      <w:bodyDiv w:val="1"/>
      <w:marLeft w:val="0"/>
      <w:marRight w:val="0"/>
      <w:marTop w:val="0"/>
      <w:marBottom w:val="0"/>
      <w:divBdr>
        <w:top w:val="none" w:sz="0" w:space="0" w:color="auto"/>
        <w:left w:val="none" w:sz="0" w:space="0" w:color="auto"/>
        <w:bottom w:val="none" w:sz="0" w:space="0" w:color="auto"/>
        <w:right w:val="none" w:sz="0" w:space="0" w:color="auto"/>
      </w:divBdr>
    </w:div>
    <w:div w:id="223487277">
      <w:bodyDiv w:val="1"/>
      <w:marLeft w:val="0"/>
      <w:marRight w:val="0"/>
      <w:marTop w:val="0"/>
      <w:marBottom w:val="0"/>
      <w:divBdr>
        <w:top w:val="none" w:sz="0" w:space="0" w:color="auto"/>
        <w:left w:val="none" w:sz="0" w:space="0" w:color="auto"/>
        <w:bottom w:val="none" w:sz="0" w:space="0" w:color="auto"/>
        <w:right w:val="none" w:sz="0" w:space="0" w:color="auto"/>
      </w:divBdr>
    </w:div>
    <w:div w:id="223682456">
      <w:bodyDiv w:val="1"/>
      <w:marLeft w:val="0"/>
      <w:marRight w:val="0"/>
      <w:marTop w:val="0"/>
      <w:marBottom w:val="0"/>
      <w:divBdr>
        <w:top w:val="none" w:sz="0" w:space="0" w:color="auto"/>
        <w:left w:val="none" w:sz="0" w:space="0" w:color="auto"/>
        <w:bottom w:val="none" w:sz="0" w:space="0" w:color="auto"/>
        <w:right w:val="none" w:sz="0" w:space="0" w:color="auto"/>
      </w:divBdr>
    </w:div>
    <w:div w:id="223683580">
      <w:bodyDiv w:val="1"/>
      <w:marLeft w:val="0"/>
      <w:marRight w:val="0"/>
      <w:marTop w:val="0"/>
      <w:marBottom w:val="0"/>
      <w:divBdr>
        <w:top w:val="none" w:sz="0" w:space="0" w:color="auto"/>
        <w:left w:val="none" w:sz="0" w:space="0" w:color="auto"/>
        <w:bottom w:val="none" w:sz="0" w:space="0" w:color="auto"/>
        <w:right w:val="none" w:sz="0" w:space="0" w:color="auto"/>
      </w:divBdr>
    </w:div>
    <w:div w:id="223832188">
      <w:bodyDiv w:val="1"/>
      <w:marLeft w:val="0"/>
      <w:marRight w:val="0"/>
      <w:marTop w:val="0"/>
      <w:marBottom w:val="0"/>
      <w:divBdr>
        <w:top w:val="none" w:sz="0" w:space="0" w:color="auto"/>
        <w:left w:val="none" w:sz="0" w:space="0" w:color="auto"/>
        <w:bottom w:val="none" w:sz="0" w:space="0" w:color="auto"/>
        <w:right w:val="none" w:sz="0" w:space="0" w:color="auto"/>
      </w:divBdr>
    </w:div>
    <w:div w:id="223834952">
      <w:bodyDiv w:val="1"/>
      <w:marLeft w:val="0"/>
      <w:marRight w:val="0"/>
      <w:marTop w:val="0"/>
      <w:marBottom w:val="0"/>
      <w:divBdr>
        <w:top w:val="none" w:sz="0" w:space="0" w:color="auto"/>
        <w:left w:val="none" w:sz="0" w:space="0" w:color="auto"/>
        <w:bottom w:val="none" w:sz="0" w:space="0" w:color="auto"/>
        <w:right w:val="none" w:sz="0" w:space="0" w:color="auto"/>
      </w:divBdr>
    </w:div>
    <w:div w:id="223837916">
      <w:bodyDiv w:val="1"/>
      <w:marLeft w:val="0"/>
      <w:marRight w:val="0"/>
      <w:marTop w:val="0"/>
      <w:marBottom w:val="0"/>
      <w:divBdr>
        <w:top w:val="none" w:sz="0" w:space="0" w:color="auto"/>
        <w:left w:val="none" w:sz="0" w:space="0" w:color="auto"/>
        <w:bottom w:val="none" w:sz="0" w:space="0" w:color="auto"/>
        <w:right w:val="none" w:sz="0" w:space="0" w:color="auto"/>
      </w:divBdr>
    </w:div>
    <w:div w:id="223878233">
      <w:bodyDiv w:val="1"/>
      <w:marLeft w:val="0"/>
      <w:marRight w:val="0"/>
      <w:marTop w:val="0"/>
      <w:marBottom w:val="0"/>
      <w:divBdr>
        <w:top w:val="none" w:sz="0" w:space="0" w:color="auto"/>
        <w:left w:val="none" w:sz="0" w:space="0" w:color="auto"/>
        <w:bottom w:val="none" w:sz="0" w:space="0" w:color="auto"/>
        <w:right w:val="none" w:sz="0" w:space="0" w:color="auto"/>
      </w:divBdr>
    </w:div>
    <w:div w:id="223951070">
      <w:bodyDiv w:val="1"/>
      <w:marLeft w:val="0"/>
      <w:marRight w:val="0"/>
      <w:marTop w:val="0"/>
      <w:marBottom w:val="0"/>
      <w:divBdr>
        <w:top w:val="none" w:sz="0" w:space="0" w:color="auto"/>
        <w:left w:val="none" w:sz="0" w:space="0" w:color="auto"/>
        <w:bottom w:val="none" w:sz="0" w:space="0" w:color="auto"/>
        <w:right w:val="none" w:sz="0" w:space="0" w:color="auto"/>
      </w:divBdr>
    </w:div>
    <w:div w:id="223951555">
      <w:bodyDiv w:val="1"/>
      <w:marLeft w:val="0"/>
      <w:marRight w:val="0"/>
      <w:marTop w:val="0"/>
      <w:marBottom w:val="0"/>
      <w:divBdr>
        <w:top w:val="none" w:sz="0" w:space="0" w:color="auto"/>
        <w:left w:val="none" w:sz="0" w:space="0" w:color="auto"/>
        <w:bottom w:val="none" w:sz="0" w:space="0" w:color="auto"/>
        <w:right w:val="none" w:sz="0" w:space="0" w:color="auto"/>
      </w:divBdr>
    </w:div>
    <w:div w:id="224224884">
      <w:bodyDiv w:val="1"/>
      <w:marLeft w:val="0"/>
      <w:marRight w:val="0"/>
      <w:marTop w:val="0"/>
      <w:marBottom w:val="0"/>
      <w:divBdr>
        <w:top w:val="none" w:sz="0" w:space="0" w:color="auto"/>
        <w:left w:val="none" w:sz="0" w:space="0" w:color="auto"/>
        <w:bottom w:val="none" w:sz="0" w:space="0" w:color="auto"/>
        <w:right w:val="none" w:sz="0" w:space="0" w:color="auto"/>
      </w:divBdr>
    </w:div>
    <w:div w:id="224267857">
      <w:bodyDiv w:val="1"/>
      <w:marLeft w:val="0"/>
      <w:marRight w:val="0"/>
      <w:marTop w:val="0"/>
      <w:marBottom w:val="0"/>
      <w:divBdr>
        <w:top w:val="none" w:sz="0" w:space="0" w:color="auto"/>
        <w:left w:val="none" w:sz="0" w:space="0" w:color="auto"/>
        <w:bottom w:val="none" w:sz="0" w:space="0" w:color="auto"/>
        <w:right w:val="none" w:sz="0" w:space="0" w:color="auto"/>
      </w:divBdr>
    </w:div>
    <w:div w:id="224335387">
      <w:bodyDiv w:val="1"/>
      <w:marLeft w:val="0"/>
      <w:marRight w:val="0"/>
      <w:marTop w:val="0"/>
      <w:marBottom w:val="0"/>
      <w:divBdr>
        <w:top w:val="none" w:sz="0" w:space="0" w:color="auto"/>
        <w:left w:val="none" w:sz="0" w:space="0" w:color="auto"/>
        <w:bottom w:val="none" w:sz="0" w:space="0" w:color="auto"/>
        <w:right w:val="none" w:sz="0" w:space="0" w:color="auto"/>
      </w:divBdr>
    </w:div>
    <w:div w:id="224337713">
      <w:bodyDiv w:val="1"/>
      <w:marLeft w:val="0"/>
      <w:marRight w:val="0"/>
      <w:marTop w:val="0"/>
      <w:marBottom w:val="0"/>
      <w:divBdr>
        <w:top w:val="none" w:sz="0" w:space="0" w:color="auto"/>
        <w:left w:val="none" w:sz="0" w:space="0" w:color="auto"/>
        <w:bottom w:val="none" w:sz="0" w:space="0" w:color="auto"/>
        <w:right w:val="none" w:sz="0" w:space="0" w:color="auto"/>
      </w:divBdr>
    </w:div>
    <w:div w:id="224416268">
      <w:bodyDiv w:val="1"/>
      <w:marLeft w:val="0"/>
      <w:marRight w:val="0"/>
      <w:marTop w:val="0"/>
      <w:marBottom w:val="0"/>
      <w:divBdr>
        <w:top w:val="none" w:sz="0" w:space="0" w:color="auto"/>
        <w:left w:val="none" w:sz="0" w:space="0" w:color="auto"/>
        <w:bottom w:val="none" w:sz="0" w:space="0" w:color="auto"/>
        <w:right w:val="none" w:sz="0" w:space="0" w:color="auto"/>
      </w:divBdr>
    </w:div>
    <w:div w:id="224488035">
      <w:bodyDiv w:val="1"/>
      <w:marLeft w:val="0"/>
      <w:marRight w:val="0"/>
      <w:marTop w:val="0"/>
      <w:marBottom w:val="0"/>
      <w:divBdr>
        <w:top w:val="none" w:sz="0" w:space="0" w:color="auto"/>
        <w:left w:val="none" w:sz="0" w:space="0" w:color="auto"/>
        <w:bottom w:val="none" w:sz="0" w:space="0" w:color="auto"/>
        <w:right w:val="none" w:sz="0" w:space="0" w:color="auto"/>
      </w:divBdr>
    </w:div>
    <w:div w:id="224608162">
      <w:bodyDiv w:val="1"/>
      <w:marLeft w:val="0"/>
      <w:marRight w:val="0"/>
      <w:marTop w:val="0"/>
      <w:marBottom w:val="0"/>
      <w:divBdr>
        <w:top w:val="none" w:sz="0" w:space="0" w:color="auto"/>
        <w:left w:val="none" w:sz="0" w:space="0" w:color="auto"/>
        <w:bottom w:val="none" w:sz="0" w:space="0" w:color="auto"/>
        <w:right w:val="none" w:sz="0" w:space="0" w:color="auto"/>
      </w:divBdr>
    </w:div>
    <w:div w:id="224797239">
      <w:bodyDiv w:val="1"/>
      <w:marLeft w:val="0"/>
      <w:marRight w:val="0"/>
      <w:marTop w:val="0"/>
      <w:marBottom w:val="0"/>
      <w:divBdr>
        <w:top w:val="none" w:sz="0" w:space="0" w:color="auto"/>
        <w:left w:val="none" w:sz="0" w:space="0" w:color="auto"/>
        <w:bottom w:val="none" w:sz="0" w:space="0" w:color="auto"/>
        <w:right w:val="none" w:sz="0" w:space="0" w:color="auto"/>
      </w:divBdr>
    </w:div>
    <w:div w:id="224804869">
      <w:bodyDiv w:val="1"/>
      <w:marLeft w:val="0"/>
      <w:marRight w:val="0"/>
      <w:marTop w:val="0"/>
      <w:marBottom w:val="0"/>
      <w:divBdr>
        <w:top w:val="none" w:sz="0" w:space="0" w:color="auto"/>
        <w:left w:val="none" w:sz="0" w:space="0" w:color="auto"/>
        <w:bottom w:val="none" w:sz="0" w:space="0" w:color="auto"/>
        <w:right w:val="none" w:sz="0" w:space="0" w:color="auto"/>
      </w:divBdr>
    </w:div>
    <w:div w:id="224872808">
      <w:bodyDiv w:val="1"/>
      <w:marLeft w:val="0"/>
      <w:marRight w:val="0"/>
      <w:marTop w:val="0"/>
      <w:marBottom w:val="0"/>
      <w:divBdr>
        <w:top w:val="none" w:sz="0" w:space="0" w:color="auto"/>
        <w:left w:val="none" w:sz="0" w:space="0" w:color="auto"/>
        <w:bottom w:val="none" w:sz="0" w:space="0" w:color="auto"/>
        <w:right w:val="none" w:sz="0" w:space="0" w:color="auto"/>
      </w:divBdr>
    </w:div>
    <w:div w:id="224877673">
      <w:bodyDiv w:val="1"/>
      <w:marLeft w:val="0"/>
      <w:marRight w:val="0"/>
      <w:marTop w:val="0"/>
      <w:marBottom w:val="0"/>
      <w:divBdr>
        <w:top w:val="none" w:sz="0" w:space="0" w:color="auto"/>
        <w:left w:val="none" w:sz="0" w:space="0" w:color="auto"/>
        <w:bottom w:val="none" w:sz="0" w:space="0" w:color="auto"/>
        <w:right w:val="none" w:sz="0" w:space="0" w:color="auto"/>
      </w:divBdr>
    </w:div>
    <w:div w:id="224948815">
      <w:bodyDiv w:val="1"/>
      <w:marLeft w:val="0"/>
      <w:marRight w:val="0"/>
      <w:marTop w:val="0"/>
      <w:marBottom w:val="0"/>
      <w:divBdr>
        <w:top w:val="none" w:sz="0" w:space="0" w:color="auto"/>
        <w:left w:val="none" w:sz="0" w:space="0" w:color="auto"/>
        <w:bottom w:val="none" w:sz="0" w:space="0" w:color="auto"/>
        <w:right w:val="none" w:sz="0" w:space="0" w:color="auto"/>
      </w:divBdr>
    </w:div>
    <w:div w:id="224992433">
      <w:bodyDiv w:val="1"/>
      <w:marLeft w:val="0"/>
      <w:marRight w:val="0"/>
      <w:marTop w:val="0"/>
      <w:marBottom w:val="0"/>
      <w:divBdr>
        <w:top w:val="none" w:sz="0" w:space="0" w:color="auto"/>
        <w:left w:val="none" w:sz="0" w:space="0" w:color="auto"/>
        <w:bottom w:val="none" w:sz="0" w:space="0" w:color="auto"/>
        <w:right w:val="none" w:sz="0" w:space="0" w:color="auto"/>
      </w:divBdr>
    </w:div>
    <w:div w:id="224998966">
      <w:bodyDiv w:val="1"/>
      <w:marLeft w:val="0"/>
      <w:marRight w:val="0"/>
      <w:marTop w:val="0"/>
      <w:marBottom w:val="0"/>
      <w:divBdr>
        <w:top w:val="none" w:sz="0" w:space="0" w:color="auto"/>
        <w:left w:val="none" w:sz="0" w:space="0" w:color="auto"/>
        <w:bottom w:val="none" w:sz="0" w:space="0" w:color="auto"/>
        <w:right w:val="none" w:sz="0" w:space="0" w:color="auto"/>
      </w:divBdr>
    </w:div>
    <w:div w:id="225117976">
      <w:bodyDiv w:val="1"/>
      <w:marLeft w:val="0"/>
      <w:marRight w:val="0"/>
      <w:marTop w:val="0"/>
      <w:marBottom w:val="0"/>
      <w:divBdr>
        <w:top w:val="none" w:sz="0" w:space="0" w:color="auto"/>
        <w:left w:val="none" w:sz="0" w:space="0" w:color="auto"/>
        <w:bottom w:val="none" w:sz="0" w:space="0" w:color="auto"/>
        <w:right w:val="none" w:sz="0" w:space="0" w:color="auto"/>
      </w:divBdr>
    </w:div>
    <w:div w:id="225262312">
      <w:bodyDiv w:val="1"/>
      <w:marLeft w:val="0"/>
      <w:marRight w:val="0"/>
      <w:marTop w:val="0"/>
      <w:marBottom w:val="0"/>
      <w:divBdr>
        <w:top w:val="none" w:sz="0" w:space="0" w:color="auto"/>
        <w:left w:val="none" w:sz="0" w:space="0" w:color="auto"/>
        <w:bottom w:val="none" w:sz="0" w:space="0" w:color="auto"/>
        <w:right w:val="none" w:sz="0" w:space="0" w:color="auto"/>
      </w:divBdr>
    </w:div>
    <w:div w:id="225343262">
      <w:bodyDiv w:val="1"/>
      <w:marLeft w:val="0"/>
      <w:marRight w:val="0"/>
      <w:marTop w:val="0"/>
      <w:marBottom w:val="0"/>
      <w:divBdr>
        <w:top w:val="none" w:sz="0" w:space="0" w:color="auto"/>
        <w:left w:val="none" w:sz="0" w:space="0" w:color="auto"/>
        <w:bottom w:val="none" w:sz="0" w:space="0" w:color="auto"/>
        <w:right w:val="none" w:sz="0" w:space="0" w:color="auto"/>
      </w:divBdr>
    </w:div>
    <w:div w:id="225381522">
      <w:bodyDiv w:val="1"/>
      <w:marLeft w:val="0"/>
      <w:marRight w:val="0"/>
      <w:marTop w:val="0"/>
      <w:marBottom w:val="0"/>
      <w:divBdr>
        <w:top w:val="none" w:sz="0" w:space="0" w:color="auto"/>
        <w:left w:val="none" w:sz="0" w:space="0" w:color="auto"/>
        <w:bottom w:val="none" w:sz="0" w:space="0" w:color="auto"/>
        <w:right w:val="none" w:sz="0" w:space="0" w:color="auto"/>
      </w:divBdr>
    </w:div>
    <w:div w:id="225577727">
      <w:bodyDiv w:val="1"/>
      <w:marLeft w:val="0"/>
      <w:marRight w:val="0"/>
      <w:marTop w:val="0"/>
      <w:marBottom w:val="0"/>
      <w:divBdr>
        <w:top w:val="none" w:sz="0" w:space="0" w:color="auto"/>
        <w:left w:val="none" w:sz="0" w:space="0" w:color="auto"/>
        <w:bottom w:val="none" w:sz="0" w:space="0" w:color="auto"/>
        <w:right w:val="none" w:sz="0" w:space="0" w:color="auto"/>
      </w:divBdr>
    </w:div>
    <w:div w:id="225605483">
      <w:bodyDiv w:val="1"/>
      <w:marLeft w:val="0"/>
      <w:marRight w:val="0"/>
      <w:marTop w:val="0"/>
      <w:marBottom w:val="0"/>
      <w:divBdr>
        <w:top w:val="none" w:sz="0" w:space="0" w:color="auto"/>
        <w:left w:val="none" w:sz="0" w:space="0" w:color="auto"/>
        <w:bottom w:val="none" w:sz="0" w:space="0" w:color="auto"/>
        <w:right w:val="none" w:sz="0" w:space="0" w:color="auto"/>
      </w:divBdr>
    </w:div>
    <w:div w:id="225796767">
      <w:bodyDiv w:val="1"/>
      <w:marLeft w:val="0"/>
      <w:marRight w:val="0"/>
      <w:marTop w:val="0"/>
      <w:marBottom w:val="0"/>
      <w:divBdr>
        <w:top w:val="none" w:sz="0" w:space="0" w:color="auto"/>
        <w:left w:val="none" w:sz="0" w:space="0" w:color="auto"/>
        <w:bottom w:val="none" w:sz="0" w:space="0" w:color="auto"/>
        <w:right w:val="none" w:sz="0" w:space="0" w:color="auto"/>
      </w:divBdr>
    </w:div>
    <w:div w:id="225842274">
      <w:bodyDiv w:val="1"/>
      <w:marLeft w:val="0"/>
      <w:marRight w:val="0"/>
      <w:marTop w:val="0"/>
      <w:marBottom w:val="0"/>
      <w:divBdr>
        <w:top w:val="none" w:sz="0" w:space="0" w:color="auto"/>
        <w:left w:val="none" w:sz="0" w:space="0" w:color="auto"/>
        <w:bottom w:val="none" w:sz="0" w:space="0" w:color="auto"/>
        <w:right w:val="none" w:sz="0" w:space="0" w:color="auto"/>
      </w:divBdr>
    </w:div>
    <w:div w:id="226066287">
      <w:bodyDiv w:val="1"/>
      <w:marLeft w:val="0"/>
      <w:marRight w:val="0"/>
      <w:marTop w:val="0"/>
      <w:marBottom w:val="0"/>
      <w:divBdr>
        <w:top w:val="none" w:sz="0" w:space="0" w:color="auto"/>
        <w:left w:val="none" w:sz="0" w:space="0" w:color="auto"/>
        <w:bottom w:val="none" w:sz="0" w:space="0" w:color="auto"/>
        <w:right w:val="none" w:sz="0" w:space="0" w:color="auto"/>
      </w:divBdr>
    </w:div>
    <w:div w:id="226109466">
      <w:bodyDiv w:val="1"/>
      <w:marLeft w:val="0"/>
      <w:marRight w:val="0"/>
      <w:marTop w:val="0"/>
      <w:marBottom w:val="0"/>
      <w:divBdr>
        <w:top w:val="none" w:sz="0" w:space="0" w:color="auto"/>
        <w:left w:val="none" w:sz="0" w:space="0" w:color="auto"/>
        <w:bottom w:val="none" w:sz="0" w:space="0" w:color="auto"/>
        <w:right w:val="none" w:sz="0" w:space="0" w:color="auto"/>
      </w:divBdr>
    </w:div>
    <w:div w:id="226191582">
      <w:bodyDiv w:val="1"/>
      <w:marLeft w:val="0"/>
      <w:marRight w:val="0"/>
      <w:marTop w:val="0"/>
      <w:marBottom w:val="0"/>
      <w:divBdr>
        <w:top w:val="none" w:sz="0" w:space="0" w:color="auto"/>
        <w:left w:val="none" w:sz="0" w:space="0" w:color="auto"/>
        <w:bottom w:val="none" w:sz="0" w:space="0" w:color="auto"/>
        <w:right w:val="none" w:sz="0" w:space="0" w:color="auto"/>
      </w:divBdr>
    </w:div>
    <w:div w:id="226308649">
      <w:bodyDiv w:val="1"/>
      <w:marLeft w:val="0"/>
      <w:marRight w:val="0"/>
      <w:marTop w:val="0"/>
      <w:marBottom w:val="0"/>
      <w:divBdr>
        <w:top w:val="none" w:sz="0" w:space="0" w:color="auto"/>
        <w:left w:val="none" w:sz="0" w:space="0" w:color="auto"/>
        <w:bottom w:val="none" w:sz="0" w:space="0" w:color="auto"/>
        <w:right w:val="none" w:sz="0" w:space="0" w:color="auto"/>
      </w:divBdr>
    </w:div>
    <w:div w:id="226378598">
      <w:bodyDiv w:val="1"/>
      <w:marLeft w:val="0"/>
      <w:marRight w:val="0"/>
      <w:marTop w:val="0"/>
      <w:marBottom w:val="0"/>
      <w:divBdr>
        <w:top w:val="none" w:sz="0" w:space="0" w:color="auto"/>
        <w:left w:val="none" w:sz="0" w:space="0" w:color="auto"/>
        <w:bottom w:val="none" w:sz="0" w:space="0" w:color="auto"/>
        <w:right w:val="none" w:sz="0" w:space="0" w:color="auto"/>
      </w:divBdr>
    </w:div>
    <w:div w:id="226385659">
      <w:bodyDiv w:val="1"/>
      <w:marLeft w:val="0"/>
      <w:marRight w:val="0"/>
      <w:marTop w:val="0"/>
      <w:marBottom w:val="0"/>
      <w:divBdr>
        <w:top w:val="none" w:sz="0" w:space="0" w:color="auto"/>
        <w:left w:val="none" w:sz="0" w:space="0" w:color="auto"/>
        <w:bottom w:val="none" w:sz="0" w:space="0" w:color="auto"/>
        <w:right w:val="none" w:sz="0" w:space="0" w:color="auto"/>
      </w:divBdr>
    </w:div>
    <w:div w:id="226455515">
      <w:bodyDiv w:val="1"/>
      <w:marLeft w:val="0"/>
      <w:marRight w:val="0"/>
      <w:marTop w:val="0"/>
      <w:marBottom w:val="0"/>
      <w:divBdr>
        <w:top w:val="none" w:sz="0" w:space="0" w:color="auto"/>
        <w:left w:val="none" w:sz="0" w:space="0" w:color="auto"/>
        <w:bottom w:val="none" w:sz="0" w:space="0" w:color="auto"/>
        <w:right w:val="none" w:sz="0" w:space="0" w:color="auto"/>
      </w:divBdr>
    </w:div>
    <w:div w:id="226457925">
      <w:bodyDiv w:val="1"/>
      <w:marLeft w:val="0"/>
      <w:marRight w:val="0"/>
      <w:marTop w:val="0"/>
      <w:marBottom w:val="0"/>
      <w:divBdr>
        <w:top w:val="none" w:sz="0" w:space="0" w:color="auto"/>
        <w:left w:val="none" w:sz="0" w:space="0" w:color="auto"/>
        <w:bottom w:val="none" w:sz="0" w:space="0" w:color="auto"/>
        <w:right w:val="none" w:sz="0" w:space="0" w:color="auto"/>
      </w:divBdr>
    </w:div>
    <w:div w:id="226652320">
      <w:bodyDiv w:val="1"/>
      <w:marLeft w:val="0"/>
      <w:marRight w:val="0"/>
      <w:marTop w:val="0"/>
      <w:marBottom w:val="0"/>
      <w:divBdr>
        <w:top w:val="none" w:sz="0" w:space="0" w:color="auto"/>
        <w:left w:val="none" w:sz="0" w:space="0" w:color="auto"/>
        <w:bottom w:val="none" w:sz="0" w:space="0" w:color="auto"/>
        <w:right w:val="none" w:sz="0" w:space="0" w:color="auto"/>
      </w:divBdr>
    </w:div>
    <w:div w:id="226766619">
      <w:bodyDiv w:val="1"/>
      <w:marLeft w:val="0"/>
      <w:marRight w:val="0"/>
      <w:marTop w:val="0"/>
      <w:marBottom w:val="0"/>
      <w:divBdr>
        <w:top w:val="none" w:sz="0" w:space="0" w:color="auto"/>
        <w:left w:val="none" w:sz="0" w:space="0" w:color="auto"/>
        <w:bottom w:val="none" w:sz="0" w:space="0" w:color="auto"/>
        <w:right w:val="none" w:sz="0" w:space="0" w:color="auto"/>
      </w:divBdr>
    </w:div>
    <w:div w:id="226916883">
      <w:bodyDiv w:val="1"/>
      <w:marLeft w:val="0"/>
      <w:marRight w:val="0"/>
      <w:marTop w:val="0"/>
      <w:marBottom w:val="0"/>
      <w:divBdr>
        <w:top w:val="none" w:sz="0" w:space="0" w:color="auto"/>
        <w:left w:val="none" w:sz="0" w:space="0" w:color="auto"/>
        <w:bottom w:val="none" w:sz="0" w:space="0" w:color="auto"/>
        <w:right w:val="none" w:sz="0" w:space="0" w:color="auto"/>
      </w:divBdr>
    </w:div>
    <w:div w:id="226959572">
      <w:bodyDiv w:val="1"/>
      <w:marLeft w:val="0"/>
      <w:marRight w:val="0"/>
      <w:marTop w:val="0"/>
      <w:marBottom w:val="0"/>
      <w:divBdr>
        <w:top w:val="none" w:sz="0" w:space="0" w:color="auto"/>
        <w:left w:val="none" w:sz="0" w:space="0" w:color="auto"/>
        <w:bottom w:val="none" w:sz="0" w:space="0" w:color="auto"/>
        <w:right w:val="none" w:sz="0" w:space="0" w:color="auto"/>
      </w:divBdr>
    </w:div>
    <w:div w:id="227033986">
      <w:bodyDiv w:val="1"/>
      <w:marLeft w:val="0"/>
      <w:marRight w:val="0"/>
      <w:marTop w:val="0"/>
      <w:marBottom w:val="0"/>
      <w:divBdr>
        <w:top w:val="none" w:sz="0" w:space="0" w:color="auto"/>
        <w:left w:val="none" w:sz="0" w:space="0" w:color="auto"/>
        <w:bottom w:val="none" w:sz="0" w:space="0" w:color="auto"/>
        <w:right w:val="none" w:sz="0" w:space="0" w:color="auto"/>
      </w:divBdr>
    </w:div>
    <w:div w:id="227040070">
      <w:bodyDiv w:val="1"/>
      <w:marLeft w:val="0"/>
      <w:marRight w:val="0"/>
      <w:marTop w:val="0"/>
      <w:marBottom w:val="0"/>
      <w:divBdr>
        <w:top w:val="none" w:sz="0" w:space="0" w:color="auto"/>
        <w:left w:val="none" w:sz="0" w:space="0" w:color="auto"/>
        <w:bottom w:val="none" w:sz="0" w:space="0" w:color="auto"/>
        <w:right w:val="none" w:sz="0" w:space="0" w:color="auto"/>
      </w:divBdr>
    </w:div>
    <w:div w:id="227083037">
      <w:bodyDiv w:val="1"/>
      <w:marLeft w:val="0"/>
      <w:marRight w:val="0"/>
      <w:marTop w:val="0"/>
      <w:marBottom w:val="0"/>
      <w:divBdr>
        <w:top w:val="none" w:sz="0" w:space="0" w:color="auto"/>
        <w:left w:val="none" w:sz="0" w:space="0" w:color="auto"/>
        <w:bottom w:val="none" w:sz="0" w:space="0" w:color="auto"/>
        <w:right w:val="none" w:sz="0" w:space="0" w:color="auto"/>
      </w:divBdr>
    </w:div>
    <w:div w:id="227303427">
      <w:bodyDiv w:val="1"/>
      <w:marLeft w:val="0"/>
      <w:marRight w:val="0"/>
      <w:marTop w:val="0"/>
      <w:marBottom w:val="0"/>
      <w:divBdr>
        <w:top w:val="none" w:sz="0" w:space="0" w:color="auto"/>
        <w:left w:val="none" w:sz="0" w:space="0" w:color="auto"/>
        <w:bottom w:val="none" w:sz="0" w:space="0" w:color="auto"/>
        <w:right w:val="none" w:sz="0" w:space="0" w:color="auto"/>
      </w:divBdr>
    </w:div>
    <w:div w:id="227303633">
      <w:bodyDiv w:val="1"/>
      <w:marLeft w:val="0"/>
      <w:marRight w:val="0"/>
      <w:marTop w:val="0"/>
      <w:marBottom w:val="0"/>
      <w:divBdr>
        <w:top w:val="none" w:sz="0" w:space="0" w:color="auto"/>
        <w:left w:val="none" w:sz="0" w:space="0" w:color="auto"/>
        <w:bottom w:val="none" w:sz="0" w:space="0" w:color="auto"/>
        <w:right w:val="none" w:sz="0" w:space="0" w:color="auto"/>
      </w:divBdr>
    </w:div>
    <w:div w:id="227495572">
      <w:bodyDiv w:val="1"/>
      <w:marLeft w:val="0"/>
      <w:marRight w:val="0"/>
      <w:marTop w:val="0"/>
      <w:marBottom w:val="0"/>
      <w:divBdr>
        <w:top w:val="none" w:sz="0" w:space="0" w:color="auto"/>
        <w:left w:val="none" w:sz="0" w:space="0" w:color="auto"/>
        <w:bottom w:val="none" w:sz="0" w:space="0" w:color="auto"/>
        <w:right w:val="none" w:sz="0" w:space="0" w:color="auto"/>
      </w:divBdr>
    </w:div>
    <w:div w:id="227694404">
      <w:bodyDiv w:val="1"/>
      <w:marLeft w:val="0"/>
      <w:marRight w:val="0"/>
      <w:marTop w:val="0"/>
      <w:marBottom w:val="0"/>
      <w:divBdr>
        <w:top w:val="none" w:sz="0" w:space="0" w:color="auto"/>
        <w:left w:val="none" w:sz="0" w:space="0" w:color="auto"/>
        <w:bottom w:val="none" w:sz="0" w:space="0" w:color="auto"/>
        <w:right w:val="none" w:sz="0" w:space="0" w:color="auto"/>
      </w:divBdr>
    </w:div>
    <w:div w:id="227766956">
      <w:bodyDiv w:val="1"/>
      <w:marLeft w:val="0"/>
      <w:marRight w:val="0"/>
      <w:marTop w:val="0"/>
      <w:marBottom w:val="0"/>
      <w:divBdr>
        <w:top w:val="none" w:sz="0" w:space="0" w:color="auto"/>
        <w:left w:val="none" w:sz="0" w:space="0" w:color="auto"/>
        <w:bottom w:val="none" w:sz="0" w:space="0" w:color="auto"/>
        <w:right w:val="none" w:sz="0" w:space="0" w:color="auto"/>
      </w:divBdr>
    </w:div>
    <w:div w:id="227767781">
      <w:bodyDiv w:val="1"/>
      <w:marLeft w:val="0"/>
      <w:marRight w:val="0"/>
      <w:marTop w:val="0"/>
      <w:marBottom w:val="0"/>
      <w:divBdr>
        <w:top w:val="none" w:sz="0" w:space="0" w:color="auto"/>
        <w:left w:val="none" w:sz="0" w:space="0" w:color="auto"/>
        <w:bottom w:val="none" w:sz="0" w:space="0" w:color="auto"/>
        <w:right w:val="none" w:sz="0" w:space="0" w:color="auto"/>
      </w:divBdr>
    </w:div>
    <w:div w:id="227882028">
      <w:bodyDiv w:val="1"/>
      <w:marLeft w:val="0"/>
      <w:marRight w:val="0"/>
      <w:marTop w:val="0"/>
      <w:marBottom w:val="0"/>
      <w:divBdr>
        <w:top w:val="none" w:sz="0" w:space="0" w:color="auto"/>
        <w:left w:val="none" w:sz="0" w:space="0" w:color="auto"/>
        <w:bottom w:val="none" w:sz="0" w:space="0" w:color="auto"/>
        <w:right w:val="none" w:sz="0" w:space="0" w:color="auto"/>
      </w:divBdr>
    </w:div>
    <w:div w:id="228003324">
      <w:bodyDiv w:val="1"/>
      <w:marLeft w:val="0"/>
      <w:marRight w:val="0"/>
      <w:marTop w:val="0"/>
      <w:marBottom w:val="0"/>
      <w:divBdr>
        <w:top w:val="none" w:sz="0" w:space="0" w:color="auto"/>
        <w:left w:val="none" w:sz="0" w:space="0" w:color="auto"/>
        <w:bottom w:val="none" w:sz="0" w:space="0" w:color="auto"/>
        <w:right w:val="none" w:sz="0" w:space="0" w:color="auto"/>
      </w:divBdr>
    </w:div>
    <w:div w:id="228151499">
      <w:bodyDiv w:val="1"/>
      <w:marLeft w:val="0"/>
      <w:marRight w:val="0"/>
      <w:marTop w:val="0"/>
      <w:marBottom w:val="0"/>
      <w:divBdr>
        <w:top w:val="none" w:sz="0" w:space="0" w:color="auto"/>
        <w:left w:val="none" w:sz="0" w:space="0" w:color="auto"/>
        <w:bottom w:val="none" w:sz="0" w:space="0" w:color="auto"/>
        <w:right w:val="none" w:sz="0" w:space="0" w:color="auto"/>
      </w:divBdr>
    </w:div>
    <w:div w:id="228197646">
      <w:bodyDiv w:val="1"/>
      <w:marLeft w:val="0"/>
      <w:marRight w:val="0"/>
      <w:marTop w:val="0"/>
      <w:marBottom w:val="0"/>
      <w:divBdr>
        <w:top w:val="none" w:sz="0" w:space="0" w:color="auto"/>
        <w:left w:val="none" w:sz="0" w:space="0" w:color="auto"/>
        <w:bottom w:val="none" w:sz="0" w:space="0" w:color="auto"/>
        <w:right w:val="none" w:sz="0" w:space="0" w:color="auto"/>
      </w:divBdr>
    </w:div>
    <w:div w:id="228228138">
      <w:bodyDiv w:val="1"/>
      <w:marLeft w:val="0"/>
      <w:marRight w:val="0"/>
      <w:marTop w:val="0"/>
      <w:marBottom w:val="0"/>
      <w:divBdr>
        <w:top w:val="none" w:sz="0" w:space="0" w:color="auto"/>
        <w:left w:val="none" w:sz="0" w:space="0" w:color="auto"/>
        <w:bottom w:val="none" w:sz="0" w:space="0" w:color="auto"/>
        <w:right w:val="none" w:sz="0" w:space="0" w:color="auto"/>
      </w:divBdr>
    </w:div>
    <w:div w:id="228342424">
      <w:bodyDiv w:val="1"/>
      <w:marLeft w:val="0"/>
      <w:marRight w:val="0"/>
      <w:marTop w:val="0"/>
      <w:marBottom w:val="0"/>
      <w:divBdr>
        <w:top w:val="none" w:sz="0" w:space="0" w:color="auto"/>
        <w:left w:val="none" w:sz="0" w:space="0" w:color="auto"/>
        <w:bottom w:val="none" w:sz="0" w:space="0" w:color="auto"/>
        <w:right w:val="none" w:sz="0" w:space="0" w:color="auto"/>
      </w:divBdr>
    </w:div>
    <w:div w:id="228349656">
      <w:bodyDiv w:val="1"/>
      <w:marLeft w:val="0"/>
      <w:marRight w:val="0"/>
      <w:marTop w:val="0"/>
      <w:marBottom w:val="0"/>
      <w:divBdr>
        <w:top w:val="none" w:sz="0" w:space="0" w:color="auto"/>
        <w:left w:val="none" w:sz="0" w:space="0" w:color="auto"/>
        <w:bottom w:val="none" w:sz="0" w:space="0" w:color="auto"/>
        <w:right w:val="none" w:sz="0" w:space="0" w:color="auto"/>
      </w:divBdr>
    </w:div>
    <w:div w:id="228350312">
      <w:bodyDiv w:val="1"/>
      <w:marLeft w:val="0"/>
      <w:marRight w:val="0"/>
      <w:marTop w:val="0"/>
      <w:marBottom w:val="0"/>
      <w:divBdr>
        <w:top w:val="none" w:sz="0" w:space="0" w:color="auto"/>
        <w:left w:val="none" w:sz="0" w:space="0" w:color="auto"/>
        <w:bottom w:val="none" w:sz="0" w:space="0" w:color="auto"/>
        <w:right w:val="none" w:sz="0" w:space="0" w:color="auto"/>
      </w:divBdr>
    </w:div>
    <w:div w:id="228418009">
      <w:bodyDiv w:val="1"/>
      <w:marLeft w:val="0"/>
      <w:marRight w:val="0"/>
      <w:marTop w:val="0"/>
      <w:marBottom w:val="0"/>
      <w:divBdr>
        <w:top w:val="none" w:sz="0" w:space="0" w:color="auto"/>
        <w:left w:val="none" w:sz="0" w:space="0" w:color="auto"/>
        <w:bottom w:val="none" w:sz="0" w:space="0" w:color="auto"/>
        <w:right w:val="none" w:sz="0" w:space="0" w:color="auto"/>
      </w:divBdr>
    </w:div>
    <w:div w:id="228425431">
      <w:bodyDiv w:val="1"/>
      <w:marLeft w:val="0"/>
      <w:marRight w:val="0"/>
      <w:marTop w:val="0"/>
      <w:marBottom w:val="0"/>
      <w:divBdr>
        <w:top w:val="none" w:sz="0" w:space="0" w:color="auto"/>
        <w:left w:val="none" w:sz="0" w:space="0" w:color="auto"/>
        <w:bottom w:val="none" w:sz="0" w:space="0" w:color="auto"/>
        <w:right w:val="none" w:sz="0" w:space="0" w:color="auto"/>
      </w:divBdr>
    </w:div>
    <w:div w:id="228539172">
      <w:bodyDiv w:val="1"/>
      <w:marLeft w:val="0"/>
      <w:marRight w:val="0"/>
      <w:marTop w:val="0"/>
      <w:marBottom w:val="0"/>
      <w:divBdr>
        <w:top w:val="none" w:sz="0" w:space="0" w:color="auto"/>
        <w:left w:val="none" w:sz="0" w:space="0" w:color="auto"/>
        <w:bottom w:val="none" w:sz="0" w:space="0" w:color="auto"/>
        <w:right w:val="none" w:sz="0" w:space="0" w:color="auto"/>
      </w:divBdr>
    </w:div>
    <w:div w:id="228614919">
      <w:bodyDiv w:val="1"/>
      <w:marLeft w:val="0"/>
      <w:marRight w:val="0"/>
      <w:marTop w:val="0"/>
      <w:marBottom w:val="0"/>
      <w:divBdr>
        <w:top w:val="none" w:sz="0" w:space="0" w:color="auto"/>
        <w:left w:val="none" w:sz="0" w:space="0" w:color="auto"/>
        <w:bottom w:val="none" w:sz="0" w:space="0" w:color="auto"/>
        <w:right w:val="none" w:sz="0" w:space="0" w:color="auto"/>
      </w:divBdr>
    </w:div>
    <w:div w:id="228662019">
      <w:bodyDiv w:val="1"/>
      <w:marLeft w:val="0"/>
      <w:marRight w:val="0"/>
      <w:marTop w:val="0"/>
      <w:marBottom w:val="0"/>
      <w:divBdr>
        <w:top w:val="none" w:sz="0" w:space="0" w:color="auto"/>
        <w:left w:val="none" w:sz="0" w:space="0" w:color="auto"/>
        <w:bottom w:val="none" w:sz="0" w:space="0" w:color="auto"/>
        <w:right w:val="none" w:sz="0" w:space="0" w:color="auto"/>
      </w:divBdr>
    </w:div>
    <w:div w:id="228805824">
      <w:bodyDiv w:val="1"/>
      <w:marLeft w:val="0"/>
      <w:marRight w:val="0"/>
      <w:marTop w:val="0"/>
      <w:marBottom w:val="0"/>
      <w:divBdr>
        <w:top w:val="none" w:sz="0" w:space="0" w:color="auto"/>
        <w:left w:val="none" w:sz="0" w:space="0" w:color="auto"/>
        <w:bottom w:val="none" w:sz="0" w:space="0" w:color="auto"/>
        <w:right w:val="none" w:sz="0" w:space="0" w:color="auto"/>
      </w:divBdr>
    </w:div>
    <w:div w:id="228854802">
      <w:bodyDiv w:val="1"/>
      <w:marLeft w:val="0"/>
      <w:marRight w:val="0"/>
      <w:marTop w:val="0"/>
      <w:marBottom w:val="0"/>
      <w:divBdr>
        <w:top w:val="none" w:sz="0" w:space="0" w:color="auto"/>
        <w:left w:val="none" w:sz="0" w:space="0" w:color="auto"/>
        <w:bottom w:val="none" w:sz="0" w:space="0" w:color="auto"/>
        <w:right w:val="none" w:sz="0" w:space="0" w:color="auto"/>
      </w:divBdr>
    </w:div>
    <w:div w:id="228922887">
      <w:bodyDiv w:val="1"/>
      <w:marLeft w:val="0"/>
      <w:marRight w:val="0"/>
      <w:marTop w:val="0"/>
      <w:marBottom w:val="0"/>
      <w:divBdr>
        <w:top w:val="none" w:sz="0" w:space="0" w:color="auto"/>
        <w:left w:val="none" w:sz="0" w:space="0" w:color="auto"/>
        <w:bottom w:val="none" w:sz="0" w:space="0" w:color="auto"/>
        <w:right w:val="none" w:sz="0" w:space="0" w:color="auto"/>
      </w:divBdr>
    </w:div>
    <w:div w:id="229004862">
      <w:bodyDiv w:val="1"/>
      <w:marLeft w:val="0"/>
      <w:marRight w:val="0"/>
      <w:marTop w:val="0"/>
      <w:marBottom w:val="0"/>
      <w:divBdr>
        <w:top w:val="none" w:sz="0" w:space="0" w:color="auto"/>
        <w:left w:val="none" w:sz="0" w:space="0" w:color="auto"/>
        <w:bottom w:val="none" w:sz="0" w:space="0" w:color="auto"/>
        <w:right w:val="none" w:sz="0" w:space="0" w:color="auto"/>
      </w:divBdr>
    </w:div>
    <w:div w:id="229048802">
      <w:bodyDiv w:val="1"/>
      <w:marLeft w:val="0"/>
      <w:marRight w:val="0"/>
      <w:marTop w:val="0"/>
      <w:marBottom w:val="0"/>
      <w:divBdr>
        <w:top w:val="none" w:sz="0" w:space="0" w:color="auto"/>
        <w:left w:val="none" w:sz="0" w:space="0" w:color="auto"/>
        <w:bottom w:val="none" w:sz="0" w:space="0" w:color="auto"/>
        <w:right w:val="none" w:sz="0" w:space="0" w:color="auto"/>
      </w:divBdr>
    </w:div>
    <w:div w:id="229115469">
      <w:bodyDiv w:val="1"/>
      <w:marLeft w:val="0"/>
      <w:marRight w:val="0"/>
      <w:marTop w:val="0"/>
      <w:marBottom w:val="0"/>
      <w:divBdr>
        <w:top w:val="none" w:sz="0" w:space="0" w:color="auto"/>
        <w:left w:val="none" w:sz="0" w:space="0" w:color="auto"/>
        <w:bottom w:val="none" w:sz="0" w:space="0" w:color="auto"/>
        <w:right w:val="none" w:sz="0" w:space="0" w:color="auto"/>
      </w:divBdr>
    </w:div>
    <w:div w:id="229273255">
      <w:bodyDiv w:val="1"/>
      <w:marLeft w:val="0"/>
      <w:marRight w:val="0"/>
      <w:marTop w:val="0"/>
      <w:marBottom w:val="0"/>
      <w:divBdr>
        <w:top w:val="none" w:sz="0" w:space="0" w:color="auto"/>
        <w:left w:val="none" w:sz="0" w:space="0" w:color="auto"/>
        <w:bottom w:val="none" w:sz="0" w:space="0" w:color="auto"/>
        <w:right w:val="none" w:sz="0" w:space="0" w:color="auto"/>
      </w:divBdr>
    </w:div>
    <w:div w:id="229393329">
      <w:bodyDiv w:val="1"/>
      <w:marLeft w:val="0"/>
      <w:marRight w:val="0"/>
      <w:marTop w:val="0"/>
      <w:marBottom w:val="0"/>
      <w:divBdr>
        <w:top w:val="none" w:sz="0" w:space="0" w:color="auto"/>
        <w:left w:val="none" w:sz="0" w:space="0" w:color="auto"/>
        <w:bottom w:val="none" w:sz="0" w:space="0" w:color="auto"/>
        <w:right w:val="none" w:sz="0" w:space="0" w:color="auto"/>
      </w:divBdr>
    </w:div>
    <w:div w:id="229508549">
      <w:bodyDiv w:val="1"/>
      <w:marLeft w:val="0"/>
      <w:marRight w:val="0"/>
      <w:marTop w:val="0"/>
      <w:marBottom w:val="0"/>
      <w:divBdr>
        <w:top w:val="none" w:sz="0" w:space="0" w:color="auto"/>
        <w:left w:val="none" w:sz="0" w:space="0" w:color="auto"/>
        <w:bottom w:val="none" w:sz="0" w:space="0" w:color="auto"/>
        <w:right w:val="none" w:sz="0" w:space="0" w:color="auto"/>
      </w:divBdr>
    </w:div>
    <w:div w:id="229579425">
      <w:bodyDiv w:val="1"/>
      <w:marLeft w:val="0"/>
      <w:marRight w:val="0"/>
      <w:marTop w:val="0"/>
      <w:marBottom w:val="0"/>
      <w:divBdr>
        <w:top w:val="none" w:sz="0" w:space="0" w:color="auto"/>
        <w:left w:val="none" w:sz="0" w:space="0" w:color="auto"/>
        <w:bottom w:val="none" w:sz="0" w:space="0" w:color="auto"/>
        <w:right w:val="none" w:sz="0" w:space="0" w:color="auto"/>
      </w:divBdr>
    </w:div>
    <w:div w:id="229584116">
      <w:bodyDiv w:val="1"/>
      <w:marLeft w:val="0"/>
      <w:marRight w:val="0"/>
      <w:marTop w:val="0"/>
      <w:marBottom w:val="0"/>
      <w:divBdr>
        <w:top w:val="none" w:sz="0" w:space="0" w:color="auto"/>
        <w:left w:val="none" w:sz="0" w:space="0" w:color="auto"/>
        <w:bottom w:val="none" w:sz="0" w:space="0" w:color="auto"/>
        <w:right w:val="none" w:sz="0" w:space="0" w:color="auto"/>
      </w:divBdr>
    </w:div>
    <w:div w:id="229770516">
      <w:bodyDiv w:val="1"/>
      <w:marLeft w:val="0"/>
      <w:marRight w:val="0"/>
      <w:marTop w:val="0"/>
      <w:marBottom w:val="0"/>
      <w:divBdr>
        <w:top w:val="none" w:sz="0" w:space="0" w:color="auto"/>
        <w:left w:val="none" w:sz="0" w:space="0" w:color="auto"/>
        <w:bottom w:val="none" w:sz="0" w:space="0" w:color="auto"/>
        <w:right w:val="none" w:sz="0" w:space="0" w:color="auto"/>
      </w:divBdr>
    </w:div>
    <w:div w:id="229774073">
      <w:bodyDiv w:val="1"/>
      <w:marLeft w:val="0"/>
      <w:marRight w:val="0"/>
      <w:marTop w:val="0"/>
      <w:marBottom w:val="0"/>
      <w:divBdr>
        <w:top w:val="none" w:sz="0" w:space="0" w:color="auto"/>
        <w:left w:val="none" w:sz="0" w:space="0" w:color="auto"/>
        <w:bottom w:val="none" w:sz="0" w:space="0" w:color="auto"/>
        <w:right w:val="none" w:sz="0" w:space="0" w:color="auto"/>
      </w:divBdr>
    </w:div>
    <w:div w:id="230047726">
      <w:bodyDiv w:val="1"/>
      <w:marLeft w:val="0"/>
      <w:marRight w:val="0"/>
      <w:marTop w:val="0"/>
      <w:marBottom w:val="0"/>
      <w:divBdr>
        <w:top w:val="none" w:sz="0" w:space="0" w:color="auto"/>
        <w:left w:val="none" w:sz="0" w:space="0" w:color="auto"/>
        <w:bottom w:val="none" w:sz="0" w:space="0" w:color="auto"/>
        <w:right w:val="none" w:sz="0" w:space="0" w:color="auto"/>
      </w:divBdr>
    </w:div>
    <w:div w:id="230122142">
      <w:bodyDiv w:val="1"/>
      <w:marLeft w:val="0"/>
      <w:marRight w:val="0"/>
      <w:marTop w:val="0"/>
      <w:marBottom w:val="0"/>
      <w:divBdr>
        <w:top w:val="none" w:sz="0" w:space="0" w:color="auto"/>
        <w:left w:val="none" w:sz="0" w:space="0" w:color="auto"/>
        <w:bottom w:val="none" w:sz="0" w:space="0" w:color="auto"/>
        <w:right w:val="none" w:sz="0" w:space="0" w:color="auto"/>
      </w:divBdr>
    </w:div>
    <w:div w:id="230237655">
      <w:bodyDiv w:val="1"/>
      <w:marLeft w:val="0"/>
      <w:marRight w:val="0"/>
      <w:marTop w:val="0"/>
      <w:marBottom w:val="0"/>
      <w:divBdr>
        <w:top w:val="none" w:sz="0" w:space="0" w:color="auto"/>
        <w:left w:val="none" w:sz="0" w:space="0" w:color="auto"/>
        <w:bottom w:val="none" w:sz="0" w:space="0" w:color="auto"/>
        <w:right w:val="none" w:sz="0" w:space="0" w:color="auto"/>
      </w:divBdr>
    </w:div>
    <w:div w:id="230312266">
      <w:bodyDiv w:val="1"/>
      <w:marLeft w:val="0"/>
      <w:marRight w:val="0"/>
      <w:marTop w:val="0"/>
      <w:marBottom w:val="0"/>
      <w:divBdr>
        <w:top w:val="none" w:sz="0" w:space="0" w:color="auto"/>
        <w:left w:val="none" w:sz="0" w:space="0" w:color="auto"/>
        <w:bottom w:val="none" w:sz="0" w:space="0" w:color="auto"/>
        <w:right w:val="none" w:sz="0" w:space="0" w:color="auto"/>
      </w:divBdr>
    </w:div>
    <w:div w:id="230383148">
      <w:bodyDiv w:val="1"/>
      <w:marLeft w:val="0"/>
      <w:marRight w:val="0"/>
      <w:marTop w:val="0"/>
      <w:marBottom w:val="0"/>
      <w:divBdr>
        <w:top w:val="none" w:sz="0" w:space="0" w:color="auto"/>
        <w:left w:val="none" w:sz="0" w:space="0" w:color="auto"/>
        <w:bottom w:val="none" w:sz="0" w:space="0" w:color="auto"/>
        <w:right w:val="none" w:sz="0" w:space="0" w:color="auto"/>
      </w:divBdr>
    </w:div>
    <w:div w:id="230383534">
      <w:bodyDiv w:val="1"/>
      <w:marLeft w:val="0"/>
      <w:marRight w:val="0"/>
      <w:marTop w:val="0"/>
      <w:marBottom w:val="0"/>
      <w:divBdr>
        <w:top w:val="none" w:sz="0" w:space="0" w:color="auto"/>
        <w:left w:val="none" w:sz="0" w:space="0" w:color="auto"/>
        <w:bottom w:val="none" w:sz="0" w:space="0" w:color="auto"/>
        <w:right w:val="none" w:sz="0" w:space="0" w:color="auto"/>
      </w:divBdr>
    </w:div>
    <w:div w:id="230384365">
      <w:bodyDiv w:val="1"/>
      <w:marLeft w:val="0"/>
      <w:marRight w:val="0"/>
      <w:marTop w:val="0"/>
      <w:marBottom w:val="0"/>
      <w:divBdr>
        <w:top w:val="none" w:sz="0" w:space="0" w:color="auto"/>
        <w:left w:val="none" w:sz="0" w:space="0" w:color="auto"/>
        <w:bottom w:val="none" w:sz="0" w:space="0" w:color="auto"/>
        <w:right w:val="none" w:sz="0" w:space="0" w:color="auto"/>
      </w:divBdr>
    </w:div>
    <w:div w:id="230435285">
      <w:bodyDiv w:val="1"/>
      <w:marLeft w:val="0"/>
      <w:marRight w:val="0"/>
      <w:marTop w:val="0"/>
      <w:marBottom w:val="0"/>
      <w:divBdr>
        <w:top w:val="none" w:sz="0" w:space="0" w:color="auto"/>
        <w:left w:val="none" w:sz="0" w:space="0" w:color="auto"/>
        <w:bottom w:val="none" w:sz="0" w:space="0" w:color="auto"/>
        <w:right w:val="none" w:sz="0" w:space="0" w:color="auto"/>
      </w:divBdr>
    </w:div>
    <w:div w:id="230502924">
      <w:bodyDiv w:val="1"/>
      <w:marLeft w:val="0"/>
      <w:marRight w:val="0"/>
      <w:marTop w:val="0"/>
      <w:marBottom w:val="0"/>
      <w:divBdr>
        <w:top w:val="none" w:sz="0" w:space="0" w:color="auto"/>
        <w:left w:val="none" w:sz="0" w:space="0" w:color="auto"/>
        <w:bottom w:val="none" w:sz="0" w:space="0" w:color="auto"/>
        <w:right w:val="none" w:sz="0" w:space="0" w:color="auto"/>
      </w:divBdr>
    </w:div>
    <w:div w:id="230510059">
      <w:bodyDiv w:val="1"/>
      <w:marLeft w:val="0"/>
      <w:marRight w:val="0"/>
      <w:marTop w:val="0"/>
      <w:marBottom w:val="0"/>
      <w:divBdr>
        <w:top w:val="none" w:sz="0" w:space="0" w:color="auto"/>
        <w:left w:val="none" w:sz="0" w:space="0" w:color="auto"/>
        <w:bottom w:val="none" w:sz="0" w:space="0" w:color="auto"/>
        <w:right w:val="none" w:sz="0" w:space="0" w:color="auto"/>
      </w:divBdr>
    </w:div>
    <w:div w:id="230577318">
      <w:bodyDiv w:val="1"/>
      <w:marLeft w:val="0"/>
      <w:marRight w:val="0"/>
      <w:marTop w:val="0"/>
      <w:marBottom w:val="0"/>
      <w:divBdr>
        <w:top w:val="none" w:sz="0" w:space="0" w:color="auto"/>
        <w:left w:val="none" w:sz="0" w:space="0" w:color="auto"/>
        <w:bottom w:val="none" w:sz="0" w:space="0" w:color="auto"/>
        <w:right w:val="none" w:sz="0" w:space="0" w:color="auto"/>
      </w:divBdr>
    </w:div>
    <w:div w:id="230778395">
      <w:bodyDiv w:val="1"/>
      <w:marLeft w:val="0"/>
      <w:marRight w:val="0"/>
      <w:marTop w:val="0"/>
      <w:marBottom w:val="0"/>
      <w:divBdr>
        <w:top w:val="none" w:sz="0" w:space="0" w:color="auto"/>
        <w:left w:val="none" w:sz="0" w:space="0" w:color="auto"/>
        <w:bottom w:val="none" w:sz="0" w:space="0" w:color="auto"/>
        <w:right w:val="none" w:sz="0" w:space="0" w:color="auto"/>
      </w:divBdr>
    </w:div>
    <w:div w:id="230779229">
      <w:bodyDiv w:val="1"/>
      <w:marLeft w:val="0"/>
      <w:marRight w:val="0"/>
      <w:marTop w:val="0"/>
      <w:marBottom w:val="0"/>
      <w:divBdr>
        <w:top w:val="none" w:sz="0" w:space="0" w:color="auto"/>
        <w:left w:val="none" w:sz="0" w:space="0" w:color="auto"/>
        <w:bottom w:val="none" w:sz="0" w:space="0" w:color="auto"/>
        <w:right w:val="none" w:sz="0" w:space="0" w:color="auto"/>
      </w:divBdr>
    </w:div>
    <w:div w:id="230969261">
      <w:bodyDiv w:val="1"/>
      <w:marLeft w:val="0"/>
      <w:marRight w:val="0"/>
      <w:marTop w:val="0"/>
      <w:marBottom w:val="0"/>
      <w:divBdr>
        <w:top w:val="none" w:sz="0" w:space="0" w:color="auto"/>
        <w:left w:val="none" w:sz="0" w:space="0" w:color="auto"/>
        <w:bottom w:val="none" w:sz="0" w:space="0" w:color="auto"/>
        <w:right w:val="none" w:sz="0" w:space="0" w:color="auto"/>
      </w:divBdr>
    </w:div>
    <w:div w:id="230969999">
      <w:bodyDiv w:val="1"/>
      <w:marLeft w:val="0"/>
      <w:marRight w:val="0"/>
      <w:marTop w:val="0"/>
      <w:marBottom w:val="0"/>
      <w:divBdr>
        <w:top w:val="none" w:sz="0" w:space="0" w:color="auto"/>
        <w:left w:val="none" w:sz="0" w:space="0" w:color="auto"/>
        <w:bottom w:val="none" w:sz="0" w:space="0" w:color="auto"/>
        <w:right w:val="none" w:sz="0" w:space="0" w:color="auto"/>
      </w:divBdr>
    </w:div>
    <w:div w:id="231044214">
      <w:bodyDiv w:val="1"/>
      <w:marLeft w:val="0"/>
      <w:marRight w:val="0"/>
      <w:marTop w:val="0"/>
      <w:marBottom w:val="0"/>
      <w:divBdr>
        <w:top w:val="none" w:sz="0" w:space="0" w:color="auto"/>
        <w:left w:val="none" w:sz="0" w:space="0" w:color="auto"/>
        <w:bottom w:val="none" w:sz="0" w:space="0" w:color="auto"/>
        <w:right w:val="none" w:sz="0" w:space="0" w:color="auto"/>
      </w:divBdr>
    </w:div>
    <w:div w:id="231084644">
      <w:bodyDiv w:val="1"/>
      <w:marLeft w:val="0"/>
      <w:marRight w:val="0"/>
      <w:marTop w:val="0"/>
      <w:marBottom w:val="0"/>
      <w:divBdr>
        <w:top w:val="none" w:sz="0" w:space="0" w:color="auto"/>
        <w:left w:val="none" w:sz="0" w:space="0" w:color="auto"/>
        <w:bottom w:val="none" w:sz="0" w:space="0" w:color="auto"/>
        <w:right w:val="none" w:sz="0" w:space="0" w:color="auto"/>
      </w:divBdr>
    </w:div>
    <w:div w:id="231163005">
      <w:bodyDiv w:val="1"/>
      <w:marLeft w:val="0"/>
      <w:marRight w:val="0"/>
      <w:marTop w:val="0"/>
      <w:marBottom w:val="0"/>
      <w:divBdr>
        <w:top w:val="none" w:sz="0" w:space="0" w:color="auto"/>
        <w:left w:val="none" w:sz="0" w:space="0" w:color="auto"/>
        <w:bottom w:val="none" w:sz="0" w:space="0" w:color="auto"/>
        <w:right w:val="none" w:sz="0" w:space="0" w:color="auto"/>
      </w:divBdr>
    </w:div>
    <w:div w:id="231233537">
      <w:bodyDiv w:val="1"/>
      <w:marLeft w:val="0"/>
      <w:marRight w:val="0"/>
      <w:marTop w:val="0"/>
      <w:marBottom w:val="0"/>
      <w:divBdr>
        <w:top w:val="none" w:sz="0" w:space="0" w:color="auto"/>
        <w:left w:val="none" w:sz="0" w:space="0" w:color="auto"/>
        <w:bottom w:val="none" w:sz="0" w:space="0" w:color="auto"/>
        <w:right w:val="none" w:sz="0" w:space="0" w:color="auto"/>
      </w:divBdr>
    </w:div>
    <w:div w:id="231278705">
      <w:bodyDiv w:val="1"/>
      <w:marLeft w:val="0"/>
      <w:marRight w:val="0"/>
      <w:marTop w:val="0"/>
      <w:marBottom w:val="0"/>
      <w:divBdr>
        <w:top w:val="none" w:sz="0" w:space="0" w:color="auto"/>
        <w:left w:val="none" w:sz="0" w:space="0" w:color="auto"/>
        <w:bottom w:val="none" w:sz="0" w:space="0" w:color="auto"/>
        <w:right w:val="none" w:sz="0" w:space="0" w:color="auto"/>
      </w:divBdr>
    </w:div>
    <w:div w:id="231307574">
      <w:bodyDiv w:val="1"/>
      <w:marLeft w:val="0"/>
      <w:marRight w:val="0"/>
      <w:marTop w:val="0"/>
      <w:marBottom w:val="0"/>
      <w:divBdr>
        <w:top w:val="none" w:sz="0" w:space="0" w:color="auto"/>
        <w:left w:val="none" w:sz="0" w:space="0" w:color="auto"/>
        <w:bottom w:val="none" w:sz="0" w:space="0" w:color="auto"/>
        <w:right w:val="none" w:sz="0" w:space="0" w:color="auto"/>
      </w:divBdr>
    </w:div>
    <w:div w:id="231502500">
      <w:bodyDiv w:val="1"/>
      <w:marLeft w:val="0"/>
      <w:marRight w:val="0"/>
      <w:marTop w:val="0"/>
      <w:marBottom w:val="0"/>
      <w:divBdr>
        <w:top w:val="none" w:sz="0" w:space="0" w:color="auto"/>
        <w:left w:val="none" w:sz="0" w:space="0" w:color="auto"/>
        <w:bottom w:val="none" w:sz="0" w:space="0" w:color="auto"/>
        <w:right w:val="none" w:sz="0" w:space="0" w:color="auto"/>
      </w:divBdr>
    </w:div>
    <w:div w:id="231626636">
      <w:bodyDiv w:val="1"/>
      <w:marLeft w:val="0"/>
      <w:marRight w:val="0"/>
      <w:marTop w:val="0"/>
      <w:marBottom w:val="0"/>
      <w:divBdr>
        <w:top w:val="none" w:sz="0" w:space="0" w:color="auto"/>
        <w:left w:val="none" w:sz="0" w:space="0" w:color="auto"/>
        <w:bottom w:val="none" w:sz="0" w:space="0" w:color="auto"/>
        <w:right w:val="none" w:sz="0" w:space="0" w:color="auto"/>
      </w:divBdr>
    </w:div>
    <w:div w:id="231701360">
      <w:bodyDiv w:val="1"/>
      <w:marLeft w:val="0"/>
      <w:marRight w:val="0"/>
      <w:marTop w:val="0"/>
      <w:marBottom w:val="0"/>
      <w:divBdr>
        <w:top w:val="none" w:sz="0" w:space="0" w:color="auto"/>
        <w:left w:val="none" w:sz="0" w:space="0" w:color="auto"/>
        <w:bottom w:val="none" w:sz="0" w:space="0" w:color="auto"/>
        <w:right w:val="none" w:sz="0" w:space="0" w:color="auto"/>
      </w:divBdr>
    </w:div>
    <w:div w:id="232005444">
      <w:bodyDiv w:val="1"/>
      <w:marLeft w:val="0"/>
      <w:marRight w:val="0"/>
      <w:marTop w:val="0"/>
      <w:marBottom w:val="0"/>
      <w:divBdr>
        <w:top w:val="none" w:sz="0" w:space="0" w:color="auto"/>
        <w:left w:val="none" w:sz="0" w:space="0" w:color="auto"/>
        <w:bottom w:val="none" w:sz="0" w:space="0" w:color="auto"/>
        <w:right w:val="none" w:sz="0" w:space="0" w:color="auto"/>
      </w:divBdr>
    </w:div>
    <w:div w:id="232009412">
      <w:bodyDiv w:val="1"/>
      <w:marLeft w:val="0"/>
      <w:marRight w:val="0"/>
      <w:marTop w:val="0"/>
      <w:marBottom w:val="0"/>
      <w:divBdr>
        <w:top w:val="none" w:sz="0" w:space="0" w:color="auto"/>
        <w:left w:val="none" w:sz="0" w:space="0" w:color="auto"/>
        <w:bottom w:val="none" w:sz="0" w:space="0" w:color="auto"/>
        <w:right w:val="none" w:sz="0" w:space="0" w:color="auto"/>
      </w:divBdr>
    </w:div>
    <w:div w:id="232083073">
      <w:bodyDiv w:val="1"/>
      <w:marLeft w:val="0"/>
      <w:marRight w:val="0"/>
      <w:marTop w:val="0"/>
      <w:marBottom w:val="0"/>
      <w:divBdr>
        <w:top w:val="none" w:sz="0" w:space="0" w:color="auto"/>
        <w:left w:val="none" w:sz="0" w:space="0" w:color="auto"/>
        <w:bottom w:val="none" w:sz="0" w:space="0" w:color="auto"/>
        <w:right w:val="none" w:sz="0" w:space="0" w:color="auto"/>
      </w:divBdr>
    </w:div>
    <w:div w:id="232155958">
      <w:bodyDiv w:val="1"/>
      <w:marLeft w:val="0"/>
      <w:marRight w:val="0"/>
      <w:marTop w:val="0"/>
      <w:marBottom w:val="0"/>
      <w:divBdr>
        <w:top w:val="none" w:sz="0" w:space="0" w:color="auto"/>
        <w:left w:val="none" w:sz="0" w:space="0" w:color="auto"/>
        <w:bottom w:val="none" w:sz="0" w:space="0" w:color="auto"/>
        <w:right w:val="none" w:sz="0" w:space="0" w:color="auto"/>
      </w:divBdr>
    </w:div>
    <w:div w:id="232206415">
      <w:bodyDiv w:val="1"/>
      <w:marLeft w:val="0"/>
      <w:marRight w:val="0"/>
      <w:marTop w:val="0"/>
      <w:marBottom w:val="0"/>
      <w:divBdr>
        <w:top w:val="none" w:sz="0" w:space="0" w:color="auto"/>
        <w:left w:val="none" w:sz="0" w:space="0" w:color="auto"/>
        <w:bottom w:val="none" w:sz="0" w:space="0" w:color="auto"/>
        <w:right w:val="none" w:sz="0" w:space="0" w:color="auto"/>
      </w:divBdr>
    </w:div>
    <w:div w:id="232279326">
      <w:bodyDiv w:val="1"/>
      <w:marLeft w:val="0"/>
      <w:marRight w:val="0"/>
      <w:marTop w:val="0"/>
      <w:marBottom w:val="0"/>
      <w:divBdr>
        <w:top w:val="none" w:sz="0" w:space="0" w:color="auto"/>
        <w:left w:val="none" w:sz="0" w:space="0" w:color="auto"/>
        <w:bottom w:val="none" w:sz="0" w:space="0" w:color="auto"/>
        <w:right w:val="none" w:sz="0" w:space="0" w:color="auto"/>
      </w:divBdr>
    </w:div>
    <w:div w:id="232357649">
      <w:bodyDiv w:val="1"/>
      <w:marLeft w:val="0"/>
      <w:marRight w:val="0"/>
      <w:marTop w:val="0"/>
      <w:marBottom w:val="0"/>
      <w:divBdr>
        <w:top w:val="none" w:sz="0" w:space="0" w:color="auto"/>
        <w:left w:val="none" w:sz="0" w:space="0" w:color="auto"/>
        <w:bottom w:val="none" w:sz="0" w:space="0" w:color="auto"/>
        <w:right w:val="none" w:sz="0" w:space="0" w:color="auto"/>
      </w:divBdr>
    </w:div>
    <w:div w:id="232399147">
      <w:bodyDiv w:val="1"/>
      <w:marLeft w:val="0"/>
      <w:marRight w:val="0"/>
      <w:marTop w:val="0"/>
      <w:marBottom w:val="0"/>
      <w:divBdr>
        <w:top w:val="none" w:sz="0" w:space="0" w:color="auto"/>
        <w:left w:val="none" w:sz="0" w:space="0" w:color="auto"/>
        <w:bottom w:val="none" w:sz="0" w:space="0" w:color="auto"/>
        <w:right w:val="none" w:sz="0" w:space="0" w:color="auto"/>
      </w:divBdr>
    </w:div>
    <w:div w:id="232593534">
      <w:bodyDiv w:val="1"/>
      <w:marLeft w:val="0"/>
      <w:marRight w:val="0"/>
      <w:marTop w:val="0"/>
      <w:marBottom w:val="0"/>
      <w:divBdr>
        <w:top w:val="none" w:sz="0" w:space="0" w:color="auto"/>
        <w:left w:val="none" w:sz="0" w:space="0" w:color="auto"/>
        <w:bottom w:val="none" w:sz="0" w:space="0" w:color="auto"/>
        <w:right w:val="none" w:sz="0" w:space="0" w:color="auto"/>
      </w:divBdr>
    </w:div>
    <w:div w:id="232593970">
      <w:bodyDiv w:val="1"/>
      <w:marLeft w:val="0"/>
      <w:marRight w:val="0"/>
      <w:marTop w:val="0"/>
      <w:marBottom w:val="0"/>
      <w:divBdr>
        <w:top w:val="none" w:sz="0" w:space="0" w:color="auto"/>
        <w:left w:val="none" w:sz="0" w:space="0" w:color="auto"/>
        <w:bottom w:val="none" w:sz="0" w:space="0" w:color="auto"/>
        <w:right w:val="none" w:sz="0" w:space="0" w:color="auto"/>
      </w:divBdr>
    </w:div>
    <w:div w:id="232594290">
      <w:bodyDiv w:val="1"/>
      <w:marLeft w:val="0"/>
      <w:marRight w:val="0"/>
      <w:marTop w:val="0"/>
      <w:marBottom w:val="0"/>
      <w:divBdr>
        <w:top w:val="none" w:sz="0" w:space="0" w:color="auto"/>
        <w:left w:val="none" w:sz="0" w:space="0" w:color="auto"/>
        <w:bottom w:val="none" w:sz="0" w:space="0" w:color="auto"/>
        <w:right w:val="none" w:sz="0" w:space="0" w:color="auto"/>
      </w:divBdr>
    </w:div>
    <w:div w:id="232665520">
      <w:bodyDiv w:val="1"/>
      <w:marLeft w:val="0"/>
      <w:marRight w:val="0"/>
      <w:marTop w:val="0"/>
      <w:marBottom w:val="0"/>
      <w:divBdr>
        <w:top w:val="none" w:sz="0" w:space="0" w:color="auto"/>
        <w:left w:val="none" w:sz="0" w:space="0" w:color="auto"/>
        <w:bottom w:val="none" w:sz="0" w:space="0" w:color="auto"/>
        <w:right w:val="none" w:sz="0" w:space="0" w:color="auto"/>
      </w:divBdr>
    </w:div>
    <w:div w:id="232812992">
      <w:bodyDiv w:val="1"/>
      <w:marLeft w:val="0"/>
      <w:marRight w:val="0"/>
      <w:marTop w:val="0"/>
      <w:marBottom w:val="0"/>
      <w:divBdr>
        <w:top w:val="none" w:sz="0" w:space="0" w:color="auto"/>
        <w:left w:val="none" w:sz="0" w:space="0" w:color="auto"/>
        <w:bottom w:val="none" w:sz="0" w:space="0" w:color="auto"/>
        <w:right w:val="none" w:sz="0" w:space="0" w:color="auto"/>
      </w:divBdr>
    </w:div>
    <w:div w:id="232814037">
      <w:bodyDiv w:val="1"/>
      <w:marLeft w:val="0"/>
      <w:marRight w:val="0"/>
      <w:marTop w:val="0"/>
      <w:marBottom w:val="0"/>
      <w:divBdr>
        <w:top w:val="none" w:sz="0" w:space="0" w:color="auto"/>
        <w:left w:val="none" w:sz="0" w:space="0" w:color="auto"/>
        <w:bottom w:val="none" w:sz="0" w:space="0" w:color="auto"/>
        <w:right w:val="none" w:sz="0" w:space="0" w:color="auto"/>
      </w:divBdr>
    </w:div>
    <w:div w:id="232857512">
      <w:bodyDiv w:val="1"/>
      <w:marLeft w:val="0"/>
      <w:marRight w:val="0"/>
      <w:marTop w:val="0"/>
      <w:marBottom w:val="0"/>
      <w:divBdr>
        <w:top w:val="none" w:sz="0" w:space="0" w:color="auto"/>
        <w:left w:val="none" w:sz="0" w:space="0" w:color="auto"/>
        <w:bottom w:val="none" w:sz="0" w:space="0" w:color="auto"/>
        <w:right w:val="none" w:sz="0" w:space="0" w:color="auto"/>
      </w:divBdr>
    </w:div>
    <w:div w:id="233006533">
      <w:bodyDiv w:val="1"/>
      <w:marLeft w:val="0"/>
      <w:marRight w:val="0"/>
      <w:marTop w:val="0"/>
      <w:marBottom w:val="0"/>
      <w:divBdr>
        <w:top w:val="none" w:sz="0" w:space="0" w:color="auto"/>
        <w:left w:val="none" w:sz="0" w:space="0" w:color="auto"/>
        <w:bottom w:val="none" w:sz="0" w:space="0" w:color="auto"/>
        <w:right w:val="none" w:sz="0" w:space="0" w:color="auto"/>
      </w:divBdr>
    </w:div>
    <w:div w:id="233046819">
      <w:bodyDiv w:val="1"/>
      <w:marLeft w:val="0"/>
      <w:marRight w:val="0"/>
      <w:marTop w:val="0"/>
      <w:marBottom w:val="0"/>
      <w:divBdr>
        <w:top w:val="none" w:sz="0" w:space="0" w:color="auto"/>
        <w:left w:val="none" w:sz="0" w:space="0" w:color="auto"/>
        <w:bottom w:val="none" w:sz="0" w:space="0" w:color="auto"/>
        <w:right w:val="none" w:sz="0" w:space="0" w:color="auto"/>
      </w:divBdr>
    </w:div>
    <w:div w:id="233126391">
      <w:bodyDiv w:val="1"/>
      <w:marLeft w:val="0"/>
      <w:marRight w:val="0"/>
      <w:marTop w:val="0"/>
      <w:marBottom w:val="0"/>
      <w:divBdr>
        <w:top w:val="none" w:sz="0" w:space="0" w:color="auto"/>
        <w:left w:val="none" w:sz="0" w:space="0" w:color="auto"/>
        <w:bottom w:val="none" w:sz="0" w:space="0" w:color="auto"/>
        <w:right w:val="none" w:sz="0" w:space="0" w:color="auto"/>
      </w:divBdr>
    </w:div>
    <w:div w:id="233130342">
      <w:bodyDiv w:val="1"/>
      <w:marLeft w:val="0"/>
      <w:marRight w:val="0"/>
      <w:marTop w:val="0"/>
      <w:marBottom w:val="0"/>
      <w:divBdr>
        <w:top w:val="none" w:sz="0" w:space="0" w:color="auto"/>
        <w:left w:val="none" w:sz="0" w:space="0" w:color="auto"/>
        <w:bottom w:val="none" w:sz="0" w:space="0" w:color="auto"/>
        <w:right w:val="none" w:sz="0" w:space="0" w:color="auto"/>
      </w:divBdr>
    </w:div>
    <w:div w:id="233203334">
      <w:bodyDiv w:val="1"/>
      <w:marLeft w:val="0"/>
      <w:marRight w:val="0"/>
      <w:marTop w:val="0"/>
      <w:marBottom w:val="0"/>
      <w:divBdr>
        <w:top w:val="none" w:sz="0" w:space="0" w:color="auto"/>
        <w:left w:val="none" w:sz="0" w:space="0" w:color="auto"/>
        <w:bottom w:val="none" w:sz="0" w:space="0" w:color="auto"/>
        <w:right w:val="none" w:sz="0" w:space="0" w:color="auto"/>
      </w:divBdr>
    </w:div>
    <w:div w:id="233246022">
      <w:bodyDiv w:val="1"/>
      <w:marLeft w:val="0"/>
      <w:marRight w:val="0"/>
      <w:marTop w:val="0"/>
      <w:marBottom w:val="0"/>
      <w:divBdr>
        <w:top w:val="none" w:sz="0" w:space="0" w:color="auto"/>
        <w:left w:val="none" w:sz="0" w:space="0" w:color="auto"/>
        <w:bottom w:val="none" w:sz="0" w:space="0" w:color="auto"/>
        <w:right w:val="none" w:sz="0" w:space="0" w:color="auto"/>
      </w:divBdr>
    </w:div>
    <w:div w:id="233318352">
      <w:bodyDiv w:val="1"/>
      <w:marLeft w:val="0"/>
      <w:marRight w:val="0"/>
      <w:marTop w:val="0"/>
      <w:marBottom w:val="0"/>
      <w:divBdr>
        <w:top w:val="none" w:sz="0" w:space="0" w:color="auto"/>
        <w:left w:val="none" w:sz="0" w:space="0" w:color="auto"/>
        <w:bottom w:val="none" w:sz="0" w:space="0" w:color="auto"/>
        <w:right w:val="none" w:sz="0" w:space="0" w:color="auto"/>
      </w:divBdr>
    </w:div>
    <w:div w:id="233397591">
      <w:bodyDiv w:val="1"/>
      <w:marLeft w:val="0"/>
      <w:marRight w:val="0"/>
      <w:marTop w:val="0"/>
      <w:marBottom w:val="0"/>
      <w:divBdr>
        <w:top w:val="none" w:sz="0" w:space="0" w:color="auto"/>
        <w:left w:val="none" w:sz="0" w:space="0" w:color="auto"/>
        <w:bottom w:val="none" w:sz="0" w:space="0" w:color="auto"/>
        <w:right w:val="none" w:sz="0" w:space="0" w:color="auto"/>
      </w:divBdr>
    </w:div>
    <w:div w:id="233470611">
      <w:bodyDiv w:val="1"/>
      <w:marLeft w:val="0"/>
      <w:marRight w:val="0"/>
      <w:marTop w:val="0"/>
      <w:marBottom w:val="0"/>
      <w:divBdr>
        <w:top w:val="none" w:sz="0" w:space="0" w:color="auto"/>
        <w:left w:val="none" w:sz="0" w:space="0" w:color="auto"/>
        <w:bottom w:val="none" w:sz="0" w:space="0" w:color="auto"/>
        <w:right w:val="none" w:sz="0" w:space="0" w:color="auto"/>
      </w:divBdr>
    </w:div>
    <w:div w:id="233584220">
      <w:bodyDiv w:val="1"/>
      <w:marLeft w:val="0"/>
      <w:marRight w:val="0"/>
      <w:marTop w:val="0"/>
      <w:marBottom w:val="0"/>
      <w:divBdr>
        <w:top w:val="none" w:sz="0" w:space="0" w:color="auto"/>
        <w:left w:val="none" w:sz="0" w:space="0" w:color="auto"/>
        <w:bottom w:val="none" w:sz="0" w:space="0" w:color="auto"/>
        <w:right w:val="none" w:sz="0" w:space="0" w:color="auto"/>
      </w:divBdr>
    </w:div>
    <w:div w:id="233584649">
      <w:bodyDiv w:val="1"/>
      <w:marLeft w:val="0"/>
      <w:marRight w:val="0"/>
      <w:marTop w:val="0"/>
      <w:marBottom w:val="0"/>
      <w:divBdr>
        <w:top w:val="none" w:sz="0" w:space="0" w:color="auto"/>
        <w:left w:val="none" w:sz="0" w:space="0" w:color="auto"/>
        <w:bottom w:val="none" w:sz="0" w:space="0" w:color="auto"/>
        <w:right w:val="none" w:sz="0" w:space="0" w:color="auto"/>
      </w:divBdr>
    </w:div>
    <w:div w:id="233593661">
      <w:bodyDiv w:val="1"/>
      <w:marLeft w:val="0"/>
      <w:marRight w:val="0"/>
      <w:marTop w:val="0"/>
      <w:marBottom w:val="0"/>
      <w:divBdr>
        <w:top w:val="none" w:sz="0" w:space="0" w:color="auto"/>
        <w:left w:val="none" w:sz="0" w:space="0" w:color="auto"/>
        <w:bottom w:val="none" w:sz="0" w:space="0" w:color="auto"/>
        <w:right w:val="none" w:sz="0" w:space="0" w:color="auto"/>
      </w:divBdr>
    </w:div>
    <w:div w:id="233662348">
      <w:bodyDiv w:val="1"/>
      <w:marLeft w:val="0"/>
      <w:marRight w:val="0"/>
      <w:marTop w:val="0"/>
      <w:marBottom w:val="0"/>
      <w:divBdr>
        <w:top w:val="none" w:sz="0" w:space="0" w:color="auto"/>
        <w:left w:val="none" w:sz="0" w:space="0" w:color="auto"/>
        <w:bottom w:val="none" w:sz="0" w:space="0" w:color="auto"/>
        <w:right w:val="none" w:sz="0" w:space="0" w:color="auto"/>
      </w:divBdr>
    </w:div>
    <w:div w:id="233710860">
      <w:bodyDiv w:val="1"/>
      <w:marLeft w:val="0"/>
      <w:marRight w:val="0"/>
      <w:marTop w:val="0"/>
      <w:marBottom w:val="0"/>
      <w:divBdr>
        <w:top w:val="none" w:sz="0" w:space="0" w:color="auto"/>
        <w:left w:val="none" w:sz="0" w:space="0" w:color="auto"/>
        <w:bottom w:val="none" w:sz="0" w:space="0" w:color="auto"/>
        <w:right w:val="none" w:sz="0" w:space="0" w:color="auto"/>
      </w:divBdr>
    </w:div>
    <w:div w:id="233975379">
      <w:bodyDiv w:val="1"/>
      <w:marLeft w:val="0"/>
      <w:marRight w:val="0"/>
      <w:marTop w:val="0"/>
      <w:marBottom w:val="0"/>
      <w:divBdr>
        <w:top w:val="none" w:sz="0" w:space="0" w:color="auto"/>
        <w:left w:val="none" w:sz="0" w:space="0" w:color="auto"/>
        <w:bottom w:val="none" w:sz="0" w:space="0" w:color="auto"/>
        <w:right w:val="none" w:sz="0" w:space="0" w:color="auto"/>
      </w:divBdr>
    </w:div>
    <w:div w:id="233975909">
      <w:bodyDiv w:val="1"/>
      <w:marLeft w:val="0"/>
      <w:marRight w:val="0"/>
      <w:marTop w:val="0"/>
      <w:marBottom w:val="0"/>
      <w:divBdr>
        <w:top w:val="none" w:sz="0" w:space="0" w:color="auto"/>
        <w:left w:val="none" w:sz="0" w:space="0" w:color="auto"/>
        <w:bottom w:val="none" w:sz="0" w:space="0" w:color="auto"/>
        <w:right w:val="none" w:sz="0" w:space="0" w:color="auto"/>
      </w:divBdr>
    </w:div>
    <w:div w:id="234046797">
      <w:bodyDiv w:val="1"/>
      <w:marLeft w:val="0"/>
      <w:marRight w:val="0"/>
      <w:marTop w:val="0"/>
      <w:marBottom w:val="0"/>
      <w:divBdr>
        <w:top w:val="none" w:sz="0" w:space="0" w:color="auto"/>
        <w:left w:val="none" w:sz="0" w:space="0" w:color="auto"/>
        <w:bottom w:val="none" w:sz="0" w:space="0" w:color="auto"/>
        <w:right w:val="none" w:sz="0" w:space="0" w:color="auto"/>
      </w:divBdr>
    </w:div>
    <w:div w:id="234046960">
      <w:bodyDiv w:val="1"/>
      <w:marLeft w:val="0"/>
      <w:marRight w:val="0"/>
      <w:marTop w:val="0"/>
      <w:marBottom w:val="0"/>
      <w:divBdr>
        <w:top w:val="none" w:sz="0" w:space="0" w:color="auto"/>
        <w:left w:val="none" w:sz="0" w:space="0" w:color="auto"/>
        <w:bottom w:val="none" w:sz="0" w:space="0" w:color="auto"/>
        <w:right w:val="none" w:sz="0" w:space="0" w:color="auto"/>
      </w:divBdr>
    </w:div>
    <w:div w:id="234095464">
      <w:bodyDiv w:val="1"/>
      <w:marLeft w:val="0"/>
      <w:marRight w:val="0"/>
      <w:marTop w:val="0"/>
      <w:marBottom w:val="0"/>
      <w:divBdr>
        <w:top w:val="none" w:sz="0" w:space="0" w:color="auto"/>
        <w:left w:val="none" w:sz="0" w:space="0" w:color="auto"/>
        <w:bottom w:val="none" w:sz="0" w:space="0" w:color="auto"/>
        <w:right w:val="none" w:sz="0" w:space="0" w:color="auto"/>
      </w:divBdr>
    </w:div>
    <w:div w:id="234096417">
      <w:bodyDiv w:val="1"/>
      <w:marLeft w:val="0"/>
      <w:marRight w:val="0"/>
      <w:marTop w:val="0"/>
      <w:marBottom w:val="0"/>
      <w:divBdr>
        <w:top w:val="none" w:sz="0" w:space="0" w:color="auto"/>
        <w:left w:val="none" w:sz="0" w:space="0" w:color="auto"/>
        <w:bottom w:val="none" w:sz="0" w:space="0" w:color="auto"/>
        <w:right w:val="none" w:sz="0" w:space="0" w:color="auto"/>
      </w:divBdr>
    </w:div>
    <w:div w:id="234243102">
      <w:bodyDiv w:val="1"/>
      <w:marLeft w:val="0"/>
      <w:marRight w:val="0"/>
      <w:marTop w:val="0"/>
      <w:marBottom w:val="0"/>
      <w:divBdr>
        <w:top w:val="none" w:sz="0" w:space="0" w:color="auto"/>
        <w:left w:val="none" w:sz="0" w:space="0" w:color="auto"/>
        <w:bottom w:val="none" w:sz="0" w:space="0" w:color="auto"/>
        <w:right w:val="none" w:sz="0" w:space="0" w:color="auto"/>
      </w:divBdr>
    </w:div>
    <w:div w:id="234245235">
      <w:bodyDiv w:val="1"/>
      <w:marLeft w:val="0"/>
      <w:marRight w:val="0"/>
      <w:marTop w:val="0"/>
      <w:marBottom w:val="0"/>
      <w:divBdr>
        <w:top w:val="none" w:sz="0" w:space="0" w:color="auto"/>
        <w:left w:val="none" w:sz="0" w:space="0" w:color="auto"/>
        <w:bottom w:val="none" w:sz="0" w:space="0" w:color="auto"/>
        <w:right w:val="none" w:sz="0" w:space="0" w:color="auto"/>
      </w:divBdr>
    </w:div>
    <w:div w:id="234319423">
      <w:bodyDiv w:val="1"/>
      <w:marLeft w:val="0"/>
      <w:marRight w:val="0"/>
      <w:marTop w:val="0"/>
      <w:marBottom w:val="0"/>
      <w:divBdr>
        <w:top w:val="none" w:sz="0" w:space="0" w:color="auto"/>
        <w:left w:val="none" w:sz="0" w:space="0" w:color="auto"/>
        <w:bottom w:val="none" w:sz="0" w:space="0" w:color="auto"/>
        <w:right w:val="none" w:sz="0" w:space="0" w:color="auto"/>
      </w:divBdr>
    </w:div>
    <w:div w:id="234514003">
      <w:bodyDiv w:val="1"/>
      <w:marLeft w:val="0"/>
      <w:marRight w:val="0"/>
      <w:marTop w:val="0"/>
      <w:marBottom w:val="0"/>
      <w:divBdr>
        <w:top w:val="none" w:sz="0" w:space="0" w:color="auto"/>
        <w:left w:val="none" w:sz="0" w:space="0" w:color="auto"/>
        <w:bottom w:val="none" w:sz="0" w:space="0" w:color="auto"/>
        <w:right w:val="none" w:sz="0" w:space="0" w:color="auto"/>
      </w:divBdr>
    </w:div>
    <w:div w:id="234630987">
      <w:bodyDiv w:val="1"/>
      <w:marLeft w:val="0"/>
      <w:marRight w:val="0"/>
      <w:marTop w:val="0"/>
      <w:marBottom w:val="0"/>
      <w:divBdr>
        <w:top w:val="none" w:sz="0" w:space="0" w:color="auto"/>
        <w:left w:val="none" w:sz="0" w:space="0" w:color="auto"/>
        <w:bottom w:val="none" w:sz="0" w:space="0" w:color="auto"/>
        <w:right w:val="none" w:sz="0" w:space="0" w:color="auto"/>
      </w:divBdr>
    </w:div>
    <w:div w:id="234635600">
      <w:bodyDiv w:val="1"/>
      <w:marLeft w:val="0"/>
      <w:marRight w:val="0"/>
      <w:marTop w:val="0"/>
      <w:marBottom w:val="0"/>
      <w:divBdr>
        <w:top w:val="none" w:sz="0" w:space="0" w:color="auto"/>
        <w:left w:val="none" w:sz="0" w:space="0" w:color="auto"/>
        <w:bottom w:val="none" w:sz="0" w:space="0" w:color="auto"/>
        <w:right w:val="none" w:sz="0" w:space="0" w:color="auto"/>
      </w:divBdr>
    </w:div>
    <w:div w:id="234946881">
      <w:bodyDiv w:val="1"/>
      <w:marLeft w:val="0"/>
      <w:marRight w:val="0"/>
      <w:marTop w:val="0"/>
      <w:marBottom w:val="0"/>
      <w:divBdr>
        <w:top w:val="none" w:sz="0" w:space="0" w:color="auto"/>
        <w:left w:val="none" w:sz="0" w:space="0" w:color="auto"/>
        <w:bottom w:val="none" w:sz="0" w:space="0" w:color="auto"/>
        <w:right w:val="none" w:sz="0" w:space="0" w:color="auto"/>
      </w:divBdr>
    </w:div>
    <w:div w:id="235095984">
      <w:bodyDiv w:val="1"/>
      <w:marLeft w:val="0"/>
      <w:marRight w:val="0"/>
      <w:marTop w:val="0"/>
      <w:marBottom w:val="0"/>
      <w:divBdr>
        <w:top w:val="none" w:sz="0" w:space="0" w:color="auto"/>
        <w:left w:val="none" w:sz="0" w:space="0" w:color="auto"/>
        <w:bottom w:val="none" w:sz="0" w:space="0" w:color="auto"/>
        <w:right w:val="none" w:sz="0" w:space="0" w:color="auto"/>
      </w:divBdr>
    </w:div>
    <w:div w:id="235240215">
      <w:bodyDiv w:val="1"/>
      <w:marLeft w:val="0"/>
      <w:marRight w:val="0"/>
      <w:marTop w:val="0"/>
      <w:marBottom w:val="0"/>
      <w:divBdr>
        <w:top w:val="none" w:sz="0" w:space="0" w:color="auto"/>
        <w:left w:val="none" w:sz="0" w:space="0" w:color="auto"/>
        <w:bottom w:val="none" w:sz="0" w:space="0" w:color="auto"/>
        <w:right w:val="none" w:sz="0" w:space="0" w:color="auto"/>
      </w:divBdr>
    </w:div>
    <w:div w:id="235281551">
      <w:bodyDiv w:val="1"/>
      <w:marLeft w:val="0"/>
      <w:marRight w:val="0"/>
      <w:marTop w:val="0"/>
      <w:marBottom w:val="0"/>
      <w:divBdr>
        <w:top w:val="none" w:sz="0" w:space="0" w:color="auto"/>
        <w:left w:val="none" w:sz="0" w:space="0" w:color="auto"/>
        <w:bottom w:val="none" w:sz="0" w:space="0" w:color="auto"/>
        <w:right w:val="none" w:sz="0" w:space="0" w:color="auto"/>
      </w:divBdr>
    </w:div>
    <w:div w:id="235365733">
      <w:bodyDiv w:val="1"/>
      <w:marLeft w:val="0"/>
      <w:marRight w:val="0"/>
      <w:marTop w:val="0"/>
      <w:marBottom w:val="0"/>
      <w:divBdr>
        <w:top w:val="none" w:sz="0" w:space="0" w:color="auto"/>
        <w:left w:val="none" w:sz="0" w:space="0" w:color="auto"/>
        <w:bottom w:val="none" w:sz="0" w:space="0" w:color="auto"/>
        <w:right w:val="none" w:sz="0" w:space="0" w:color="auto"/>
      </w:divBdr>
    </w:div>
    <w:div w:id="235435022">
      <w:bodyDiv w:val="1"/>
      <w:marLeft w:val="0"/>
      <w:marRight w:val="0"/>
      <w:marTop w:val="0"/>
      <w:marBottom w:val="0"/>
      <w:divBdr>
        <w:top w:val="none" w:sz="0" w:space="0" w:color="auto"/>
        <w:left w:val="none" w:sz="0" w:space="0" w:color="auto"/>
        <w:bottom w:val="none" w:sz="0" w:space="0" w:color="auto"/>
        <w:right w:val="none" w:sz="0" w:space="0" w:color="auto"/>
      </w:divBdr>
    </w:div>
    <w:div w:id="235555121">
      <w:bodyDiv w:val="1"/>
      <w:marLeft w:val="0"/>
      <w:marRight w:val="0"/>
      <w:marTop w:val="0"/>
      <w:marBottom w:val="0"/>
      <w:divBdr>
        <w:top w:val="none" w:sz="0" w:space="0" w:color="auto"/>
        <w:left w:val="none" w:sz="0" w:space="0" w:color="auto"/>
        <w:bottom w:val="none" w:sz="0" w:space="0" w:color="auto"/>
        <w:right w:val="none" w:sz="0" w:space="0" w:color="auto"/>
      </w:divBdr>
    </w:div>
    <w:div w:id="235629843">
      <w:bodyDiv w:val="1"/>
      <w:marLeft w:val="0"/>
      <w:marRight w:val="0"/>
      <w:marTop w:val="0"/>
      <w:marBottom w:val="0"/>
      <w:divBdr>
        <w:top w:val="none" w:sz="0" w:space="0" w:color="auto"/>
        <w:left w:val="none" w:sz="0" w:space="0" w:color="auto"/>
        <w:bottom w:val="none" w:sz="0" w:space="0" w:color="auto"/>
        <w:right w:val="none" w:sz="0" w:space="0" w:color="auto"/>
      </w:divBdr>
    </w:div>
    <w:div w:id="235629853">
      <w:bodyDiv w:val="1"/>
      <w:marLeft w:val="0"/>
      <w:marRight w:val="0"/>
      <w:marTop w:val="0"/>
      <w:marBottom w:val="0"/>
      <w:divBdr>
        <w:top w:val="none" w:sz="0" w:space="0" w:color="auto"/>
        <w:left w:val="none" w:sz="0" w:space="0" w:color="auto"/>
        <w:bottom w:val="none" w:sz="0" w:space="0" w:color="auto"/>
        <w:right w:val="none" w:sz="0" w:space="0" w:color="auto"/>
      </w:divBdr>
    </w:div>
    <w:div w:id="235751813">
      <w:bodyDiv w:val="1"/>
      <w:marLeft w:val="0"/>
      <w:marRight w:val="0"/>
      <w:marTop w:val="0"/>
      <w:marBottom w:val="0"/>
      <w:divBdr>
        <w:top w:val="none" w:sz="0" w:space="0" w:color="auto"/>
        <w:left w:val="none" w:sz="0" w:space="0" w:color="auto"/>
        <w:bottom w:val="none" w:sz="0" w:space="0" w:color="auto"/>
        <w:right w:val="none" w:sz="0" w:space="0" w:color="auto"/>
      </w:divBdr>
    </w:div>
    <w:div w:id="235822123">
      <w:bodyDiv w:val="1"/>
      <w:marLeft w:val="0"/>
      <w:marRight w:val="0"/>
      <w:marTop w:val="0"/>
      <w:marBottom w:val="0"/>
      <w:divBdr>
        <w:top w:val="none" w:sz="0" w:space="0" w:color="auto"/>
        <w:left w:val="none" w:sz="0" w:space="0" w:color="auto"/>
        <w:bottom w:val="none" w:sz="0" w:space="0" w:color="auto"/>
        <w:right w:val="none" w:sz="0" w:space="0" w:color="auto"/>
      </w:divBdr>
    </w:div>
    <w:div w:id="235826042">
      <w:bodyDiv w:val="1"/>
      <w:marLeft w:val="0"/>
      <w:marRight w:val="0"/>
      <w:marTop w:val="0"/>
      <w:marBottom w:val="0"/>
      <w:divBdr>
        <w:top w:val="none" w:sz="0" w:space="0" w:color="auto"/>
        <w:left w:val="none" w:sz="0" w:space="0" w:color="auto"/>
        <w:bottom w:val="none" w:sz="0" w:space="0" w:color="auto"/>
        <w:right w:val="none" w:sz="0" w:space="0" w:color="auto"/>
      </w:divBdr>
    </w:div>
    <w:div w:id="235942306">
      <w:bodyDiv w:val="1"/>
      <w:marLeft w:val="0"/>
      <w:marRight w:val="0"/>
      <w:marTop w:val="0"/>
      <w:marBottom w:val="0"/>
      <w:divBdr>
        <w:top w:val="none" w:sz="0" w:space="0" w:color="auto"/>
        <w:left w:val="none" w:sz="0" w:space="0" w:color="auto"/>
        <w:bottom w:val="none" w:sz="0" w:space="0" w:color="auto"/>
        <w:right w:val="none" w:sz="0" w:space="0" w:color="auto"/>
      </w:divBdr>
    </w:div>
    <w:div w:id="236213984">
      <w:bodyDiv w:val="1"/>
      <w:marLeft w:val="0"/>
      <w:marRight w:val="0"/>
      <w:marTop w:val="0"/>
      <w:marBottom w:val="0"/>
      <w:divBdr>
        <w:top w:val="none" w:sz="0" w:space="0" w:color="auto"/>
        <w:left w:val="none" w:sz="0" w:space="0" w:color="auto"/>
        <w:bottom w:val="none" w:sz="0" w:space="0" w:color="auto"/>
        <w:right w:val="none" w:sz="0" w:space="0" w:color="auto"/>
      </w:divBdr>
    </w:div>
    <w:div w:id="236289420">
      <w:bodyDiv w:val="1"/>
      <w:marLeft w:val="0"/>
      <w:marRight w:val="0"/>
      <w:marTop w:val="0"/>
      <w:marBottom w:val="0"/>
      <w:divBdr>
        <w:top w:val="none" w:sz="0" w:space="0" w:color="auto"/>
        <w:left w:val="none" w:sz="0" w:space="0" w:color="auto"/>
        <w:bottom w:val="none" w:sz="0" w:space="0" w:color="auto"/>
        <w:right w:val="none" w:sz="0" w:space="0" w:color="auto"/>
      </w:divBdr>
    </w:div>
    <w:div w:id="236329991">
      <w:bodyDiv w:val="1"/>
      <w:marLeft w:val="0"/>
      <w:marRight w:val="0"/>
      <w:marTop w:val="0"/>
      <w:marBottom w:val="0"/>
      <w:divBdr>
        <w:top w:val="none" w:sz="0" w:space="0" w:color="auto"/>
        <w:left w:val="none" w:sz="0" w:space="0" w:color="auto"/>
        <w:bottom w:val="none" w:sz="0" w:space="0" w:color="auto"/>
        <w:right w:val="none" w:sz="0" w:space="0" w:color="auto"/>
      </w:divBdr>
    </w:div>
    <w:div w:id="236405855">
      <w:bodyDiv w:val="1"/>
      <w:marLeft w:val="0"/>
      <w:marRight w:val="0"/>
      <w:marTop w:val="0"/>
      <w:marBottom w:val="0"/>
      <w:divBdr>
        <w:top w:val="none" w:sz="0" w:space="0" w:color="auto"/>
        <w:left w:val="none" w:sz="0" w:space="0" w:color="auto"/>
        <w:bottom w:val="none" w:sz="0" w:space="0" w:color="auto"/>
        <w:right w:val="none" w:sz="0" w:space="0" w:color="auto"/>
      </w:divBdr>
    </w:div>
    <w:div w:id="236523177">
      <w:bodyDiv w:val="1"/>
      <w:marLeft w:val="0"/>
      <w:marRight w:val="0"/>
      <w:marTop w:val="0"/>
      <w:marBottom w:val="0"/>
      <w:divBdr>
        <w:top w:val="none" w:sz="0" w:space="0" w:color="auto"/>
        <w:left w:val="none" w:sz="0" w:space="0" w:color="auto"/>
        <w:bottom w:val="none" w:sz="0" w:space="0" w:color="auto"/>
        <w:right w:val="none" w:sz="0" w:space="0" w:color="auto"/>
      </w:divBdr>
    </w:div>
    <w:div w:id="236524620">
      <w:bodyDiv w:val="1"/>
      <w:marLeft w:val="0"/>
      <w:marRight w:val="0"/>
      <w:marTop w:val="0"/>
      <w:marBottom w:val="0"/>
      <w:divBdr>
        <w:top w:val="none" w:sz="0" w:space="0" w:color="auto"/>
        <w:left w:val="none" w:sz="0" w:space="0" w:color="auto"/>
        <w:bottom w:val="none" w:sz="0" w:space="0" w:color="auto"/>
        <w:right w:val="none" w:sz="0" w:space="0" w:color="auto"/>
      </w:divBdr>
    </w:div>
    <w:div w:id="236672045">
      <w:bodyDiv w:val="1"/>
      <w:marLeft w:val="0"/>
      <w:marRight w:val="0"/>
      <w:marTop w:val="0"/>
      <w:marBottom w:val="0"/>
      <w:divBdr>
        <w:top w:val="none" w:sz="0" w:space="0" w:color="auto"/>
        <w:left w:val="none" w:sz="0" w:space="0" w:color="auto"/>
        <w:bottom w:val="none" w:sz="0" w:space="0" w:color="auto"/>
        <w:right w:val="none" w:sz="0" w:space="0" w:color="auto"/>
      </w:divBdr>
    </w:div>
    <w:div w:id="236674062">
      <w:bodyDiv w:val="1"/>
      <w:marLeft w:val="0"/>
      <w:marRight w:val="0"/>
      <w:marTop w:val="0"/>
      <w:marBottom w:val="0"/>
      <w:divBdr>
        <w:top w:val="none" w:sz="0" w:space="0" w:color="auto"/>
        <w:left w:val="none" w:sz="0" w:space="0" w:color="auto"/>
        <w:bottom w:val="none" w:sz="0" w:space="0" w:color="auto"/>
        <w:right w:val="none" w:sz="0" w:space="0" w:color="auto"/>
      </w:divBdr>
    </w:div>
    <w:div w:id="236675356">
      <w:bodyDiv w:val="1"/>
      <w:marLeft w:val="0"/>
      <w:marRight w:val="0"/>
      <w:marTop w:val="0"/>
      <w:marBottom w:val="0"/>
      <w:divBdr>
        <w:top w:val="none" w:sz="0" w:space="0" w:color="auto"/>
        <w:left w:val="none" w:sz="0" w:space="0" w:color="auto"/>
        <w:bottom w:val="none" w:sz="0" w:space="0" w:color="auto"/>
        <w:right w:val="none" w:sz="0" w:space="0" w:color="auto"/>
      </w:divBdr>
    </w:div>
    <w:div w:id="236742934">
      <w:bodyDiv w:val="1"/>
      <w:marLeft w:val="0"/>
      <w:marRight w:val="0"/>
      <w:marTop w:val="0"/>
      <w:marBottom w:val="0"/>
      <w:divBdr>
        <w:top w:val="none" w:sz="0" w:space="0" w:color="auto"/>
        <w:left w:val="none" w:sz="0" w:space="0" w:color="auto"/>
        <w:bottom w:val="none" w:sz="0" w:space="0" w:color="auto"/>
        <w:right w:val="none" w:sz="0" w:space="0" w:color="auto"/>
      </w:divBdr>
    </w:div>
    <w:div w:id="236743290">
      <w:bodyDiv w:val="1"/>
      <w:marLeft w:val="0"/>
      <w:marRight w:val="0"/>
      <w:marTop w:val="0"/>
      <w:marBottom w:val="0"/>
      <w:divBdr>
        <w:top w:val="none" w:sz="0" w:space="0" w:color="auto"/>
        <w:left w:val="none" w:sz="0" w:space="0" w:color="auto"/>
        <w:bottom w:val="none" w:sz="0" w:space="0" w:color="auto"/>
        <w:right w:val="none" w:sz="0" w:space="0" w:color="auto"/>
      </w:divBdr>
    </w:div>
    <w:div w:id="236744897">
      <w:bodyDiv w:val="1"/>
      <w:marLeft w:val="0"/>
      <w:marRight w:val="0"/>
      <w:marTop w:val="0"/>
      <w:marBottom w:val="0"/>
      <w:divBdr>
        <w:top w:val="none" w:sz="0" w:space="0" w:color="auto"/>
        <w:left w:val="none" w:sz="0" w:space="0" w:color="auto"/>
        <w:bottom w:val="none" w:sz="0" w:space="0" w:color="auto"/>
        <w:right w:val="none" w:sz="0" w:space="0" w:color="auto"/>
      </w:divBdr>
    </w:div>
    <w:div w:id="236785998">
      <w:bodyDiv w:val="1"/>
      <w:marLeft w:val="0"/>
      <w:marRight w:val="0"/>
      <w:marTop w:val="0"/>
      <w:marBottom w:val="0"/>
      <w:divBdr>
        <w:top w:val="none" w:sz="0" w:space="0" w:color="auto"/>
        <w:left w:val="none" w:sz="0" w:space="0" w:color="auto"/>
        <w:bottom w:val="none" w:sz="0" w:space="0" w:color="auto"/>
        <w:right w:val="none" w:sz="0" w:space="0" w:color="auto"/>
      </w:divBdr>
    </w:div>
    <w:div w:id="236788662">
      <w:bodyDiv w:val="1"/>
      <w:marLeft w:val="0"/>
      <w:marRight w:val="0"/>
      <w:marTop w:val="0"/>
      <w:marBottom w:val="0"/>
      <w:divBdr>
        <w:top w:val="none" w:sz="0" w:space="0" w:color="auto"/>
        <w:left w:val="none" w:sz="0" w:space="0" w:color="auto"/>
        <w:bottom w:val="none" w:sz="0" w:space="0" w:color="auto"/>
        <w:right w:val="none" w:sz="0" w:space="0" w:color="auto"/>
      </w:divBdr>
    </w:div>
    <w:div w:id="236791773">
      <w:bodyDiv w:val="1"/>
      <w:marLeft w:val="0"/>
      <w:marRight w:val="0"/>
      <w:marTop w:val="0"/>
      <w:marBottom w:val="0"/>
      <w:divBdr>
        <w:top w:val="none" w:sz="0" w:space="0" w:color="auto"/>
        <w:left w:val="none" w:sz="0" w:space="0" w:color="auto"/>
        <w:bottom w:val="none" w:sz="0" w:space="0" w:color="auto"/>
        <w:right w:val="none" w:sz="0" w:space="0" w:color="auto"/>
      </w:divBdr>
    </w:div>
    <w:div w:id="236862422">
      <w:bodyDiv w:val="1"/>
      <w:marLeft w:val="0"/>
      <w:marRight w:val="0"/>
      <w:marTop w:val="0"/>
      <w:marBottom w:val="0"/>
      <w:divBdr>
        <w:top w:val="none" w:sz="0" w:space="0" w:color="auto"/>
        <w:left w:val="none" w:sz="0" w:space="0" w:color="auto"/>
        <w:bottom w:val="none" w:sz="0" w:space="0" w:color="auto"/>
        <w:right w:val="none" w:sz="0" w:space="0" w:color="auto"/>
      </w:divBdr>
    </w:div>
    <w:div w:id="237178461">
      <w:bodyDiv w:val="1"/>
      <w:marLeft w:val="0"/>
      <w:marRight w:val="0"/>
      <w:marTop w:val="0"/>
      <w:marBottom w:val="0"/>
      <w:divBdr>
        <w:top w:val="none" w:sz="0" w:space="0" w:color="auto"/>
        <w:left w:val="none" w:sz="0" w:space="0" w:color="auto"/>
        <w:bottom w:val="none" w:sz="0" w:space="0" w:color="auto"/>
        <w:right w:val="none" w:sz="0" w:space="0" w:color="auto"/>
      </w:divBdr>
    </w:div>
    <w:div w:id="237180390">
      <w:bodyDiv w:val="1"/>
      <w:marLeft w:val="0"/>
      <w:marRight w:val="0"/>
      <w:marTop w:val="0"/>
      <w:marBottom w:val="0"/>
      <w:divBdr>
        <w:top w:val="none" w:sz="0" w:space="0" w:color="auto"/>
        <w:left w:val="none" w:sz="0" w:space="0" w:color="auto"/>
        <w:bottom w:val="none" w:sz="0" w:space="0" w:color="auto"/>
        <w:right w:val="none" w:sz="0" w:space="0" w:color="auto"/>
      </w:divBdr>
    </w:div>
    <w:div w:id="237446769">
      <w:bodyDiv w:val="1"/>
      <w:marLeft w:val="0"/>
      <w:marRight w:val="0"/>
      <w:marTop w:val="0"/>
      <w:marBottom w:val="0"/>
      <w:divBdr>
        <w:top w:val="none" w:sz="0" w:space="0" w:color="auto"/>
        <w:left w:val="none" w:sz="0" w:space="0" w:color="auto"/>
        <w:bottom w:val="none" w:sz="0" w:space="0" w:color="auto"/>
        <w:right w:val="none" w:sz="0" w:space="0" w:color="auto"/>
      </w:divBdr>
    </w:div>
    <w:div w:id="237447694">
      <w:bodyDiv w:val="1"/>
      <w:marLeft w:val="0"/>
      <w:marRight w:val="0"/>
      <w:marTop w:val="0"/>
      <w:marBottom w:val="0"/>
      <w:divBdr>
        <w:top w:val="none" w:sz="0" w:space="0" w:color="auto"/>
        <w:left w:val="none" w:sz="0" w:space="0" w:color="auto"/>
        <w:bottom w:val="none" w:sz="0" w:space="0" w:color="auto"/>
        <w:right w:val="none" w:sz="0" w:space="0" w:color="auto"/>
      </w:divBdr>
    </w:div>
    <w:div w:id="237516668">
      <w:bodyDiv w:val="1"/>
      <w:marLeft w:val="0"/>
      <w:marRight w:val="0"/>
      <w:marTop w:val="0"/>
      <w:marBottom w:val="0"/>
      <w:divBdr>
        <w:top w:val="none" w:sz="0" w:space="0" w:color="auto"/>
        <w:left w:val="none" w:sz="0" w:space="0" w:color="auto"/>
        <w:bottom w:val="none" w:sz="0" w:space="0" w:color="auto"/>
        <w:right w:val="none" w:sz="0" w:space="0" w:color="auto"/>
      </w:divBdr>
    </w:div>
    <w:div w:id="237712755">
      <w:bodyDiv w:val="1"/>
      <w:marLeft w:val="0"/>
      <w:marRight w:val="0"/>
      <w:marTop w:val="0"/>
      <w:marBottom w:val="0"/>
      <w:divBdr>
        <w:top w:val="none" w:sz="0" w:space="0" w:color="auto"/>
        <w:left w:val="none" w:sz="0" w:space="0" w:color="auto"/>
        <w:bottom w:val="none" w:sz="0" w:space="0" w:color="auto"/>
        <w:right w:val="none" w:sz="0" w:space="0" w:color="auto"/>
      </w:divBdr>
    </w:div>
    <w:div w:id="237791549">
      <w:bodyDiv w:val="1"/>
      <w:marLeft w:val="0"/>
      <w:marRight w:val="0"/>
      <w:marTop w:val="0"/>
      <w:marBottom w:val="0"/>
      <w:divBdr>
        <w:top w:val="none" w:sz="0" w:space="0" w:color="auto"/>
        <w:left w:val="none" w:sz="0" w:space="0" w:color="auto"/>
        <w:bottom w:val="none" w:sz="0" w:space="0" w:color="auto"/>
        <w:right w:val="none" w:sz="0" w:space="0" w:color="auto"/>
      </w:divBdr>
    </w:div>
    <w:div w:id="237860493">
      <w:bodyDiv w:val="1"/>
      <w:marLeft w:val="0"/>
      <w:marRight w:val="0"/>
      <w:marTop w:val="0"/>
      <w:marBottom w:val="0"/>
      <w:divBdr>
        <w:top w:val="none" w:sz="0" w:space="0" w:color="auto"/>
        <w:left w:val="none" w:sz="0" w:space="0" w:color="auto"/>
        <w:bottom w:val="none" w:sz="0" w:space="0" w:color="auto"/>
        <w:right w:val="none" w:sz="0" w:space="0" w:color="auto"/>
      </w:divBdr>
    </w:div>
    <w:div w:id="237909992">
      <w:bodyDiv w:val="1"/>
      <w:marLeft w:val="0"/>
      <w:marRight w:val="0"/>
      <w:marTop w:val="0"/>
      <w:marBottom w:val="0"/>
      <w:divBdr>
        <w:top w:val="none" w:sz="0" w:space="0" w:color="auto"/>
        <w:left w:val="none" w:sz="0" w:space="0" w:color="auto"/>
        <w:bottom w:val="none" w:sz="0" w:space="0" w:color="auto"/>
        <w:right w:val="none" w:sz="0" w:space="0" w:color="auto"/>
      </w:divBdr>
    </w:div>
    <w:div w:id="237978079">
      <w:bodyDiv w:val="1"/>
      <w:marLeft w:val="0"/>
      <w:marRight w:val="0"/>
      <w:marTop w:val="0"/>
      <w:marBottom w:val="0"/>
      <w:divBdr>
        <w:top w:val="none" w:sz="0" w:space="0" w:color="auto"/>
        <w:left w:val="none" w:sz="0" w:space="0" w:color="auto"/>
        <w:bottom w:val="none" w:sz="0" w:space="0" w:color="auto"/>
        <w:right w:val="none" w:sz="0" w:space="0" w:color="auto"/>
      </w:divBdr>
    </w:div>
    <w:div w:id="237979829">
      <w:bodyDiv w:val="1"/>
      <w:marLeft w:val="0"/>
      <w:marRight w:val="0"/>
      <w:marTop w:val="0"/>
      <w:marBottom w:val="0"/>
      <w:divBdr>
        <w:top w:val="none" w:sz="0" w:space="0" w:color="auto"/>
        <w:left w:val="none" w:sz="0" w:space="0" w:color="auto"/>
        <w:bottom w:val="none" w:sz="0" w:space="0" w:color="auto"/>
        <w:right w:val="none" w:sz="0" w:space="0" w:color="auto"/>
      </w:divBdr>
    </w:div>
    <w:div w:id="237983745">
      <w:bodyDiv w:val="1"/>
      <w:marLeft w:val="0"/>
      <w:marRight w:val="0"/>
      <w:marTop w:val="0"/>
      <w:marBottom w:val="0"/>
      <w:divBdr>
        <w:top w:val="none" w:sz="0" w:space="0" w:color="auto"/>
        <w:left w:val="none" w:sz="0" w:space="0" w:color="auto"/>
        <w:bottom w:val="none" w:sz="0" w:space="0" w:color="auto"/>
        <w:right w:val="none" w:sz="0" w:space="0" w:color="auto"/>
      </w:divBdr>
    </w:div>
    <w:div w:id="238104778">
      <w:bodyDiv w:val="1"/>
      <w:marLeft w:val="0"/>
      <w:marRight w:val="0"/>
      <w:marTop w:val="0"/>
      <w:marBottom w:val="0"/>
      <w:divBdr>
        <w:top w:val="none" w:sz="0" w:space="0" w:color="auto"/>
        <w:left w:val="none" w:sz="0" w:space="0" w:color="auto"/>
        <w:bottom w:val="none" w:sz="0" w:space="0" w:color="auto"/>
        <w:right w:val="none" w:sz="0" w:space="0" w:color="auto"/>
      </w:divBdr>
    </w:div>
    <w:div w:id="238173354">
      <w:bodyDiv w:val="1"/>
      <w:marLeft w:val="0"/>
      <w:marRight w:val="0"/>
      <w:marTop w:val="0"/>
      <w:marBottom w:val="0"/>
      <w:divBdr>
        <w:top w:val="none" w:sz="0" w:space="0" w:color="auto"/>
        <w:left w:val="none" w:sz="0" w:space="0" w:color="auto"/>
        <w:bottom w:val="none" w:sz="0" w:space="0" w:color="auto"/>
        <w:right w:val="none" w:sz="0" w:space="0" w:color="auto"/>
      </w:divBdr>
    </w:div>
    <w:div w:id="238173372">
      <w:bodyDiv w:val="1"/>
      <w:marLeft w:val="0"/>
      <w:marRight w:val="0"/>
      <w:marTop w:val="0"/>
      <w:marBottom w:val="0"/>
      <w:divBdr>
        <w:top w:val="none" w:sz="0" w:space="0" w:color="auto"/>
        <w:left w:val="none" w:sz="0" w:space="0" w:color="auto"/>
        <w:bottom w:val="none" w:sz="0" w:space="0" w:color="auto"/>
        <w:right w:val="none" w:sz="0" w:space="0" w:color="auto"/>
      </w:divBdr>
    </w:div>
    <w:div w:id="238179840">
      <w:bodyDiv w:val="1"/>
      <w:marLeft w:val="0"/>
      <w:marRight w:val="0"/>
      <w:marTop w:val="0"/>
      <w:marBottom w:val="0"/>
      <w:divBdr>
        <w:top w:val="none" w:sz="0" w:space="0" w:color="auto"/>
        <w:left w:val="none" w:sz="0" w:space="0" w:color="auto"/>
        <w:bottom w:val="none" w:sz="0" w:space="0" w:color="auto"/>
        <w:right w:val="none" w:sz="0" w:space="0" w:color="auto"/>
      </w:divBdr>
    </w:div>
    <w:div w:id="238289586">
      <w:bodyDiv w:val="1"/>
      <w:marLeft w:val="0"/>
      <w:marRight w:val="0"/>
      <w:marTop w:val="0"/>
      <w:marBottom w:val="0"/>
      <w:divBdr>
        <w:top w:val="none" w:sz="0" w:space="0" w:color="auto"/>
        <w:left w:val="none" w:sz="0" w:space="0" w:color="auto"/>
        <w:bottom w:val="none" w:sz="0" w:space="0" w:color="auto"/>
        <w:right w:val="none" w:sz="0" w:space="0" w:color="auto"/>
      </w:divBdr>
    </w:div>
    <w:div w:id="238296000">
      <w:bodyDiv w:val="1"/>
      <w:marLeft w:val="0"/>
      <w:marRight w:val="0"/>
      <w:marTop w:val="0"/>
      <w:marBottom w:val="0"/>
      <w:divBdr>
        <w:top w:val="none" w:sz="0" w:space="0" w:color="auto"/>
        <w:left w:val="none" w:sz="0" w:space="0" w:color="auto"/>
        <w:bottom w:val="none" w:sz="0" w:space="0" w:color="auto"/>
        <w:right w:val="none" w:sz="0" w:space="0" w:color="auto"/>
      </w:divBdr>
    </w:div>
    <w:div w:id="238296049">
      <w:bodyDiv w:val="1"/>
      <w:marLeft w:val="0"/>
      <w:marRight w:val="0"/>
      <w:marTop w:val="0"/>
      <w:marBottom w:val="0"/>
      <w:divBdr>
        <w:top w:val="none" w:sz="0" w:space="0" w:color="auto"/>
        <w:left w:val="none" w:sz="0" w:space="0" w:color="auto"/>
        <w:bottom w:val="none" w:sz="0" w:space="0" w:color="auto"/>
        <w:right w:val="none" w:sz="0" w:space="0" w:color="auto"/>
      </w:divBdr>
    </w:div>
    <w:div w:id="238367716">
      <w:bodyDiv w:val="1"/>
      <w:marLeft w:val="0"/>
      <w:marRight w:val="0"/>
      <w:marTop w:val="0"/>
      <w:marBottom w:val="0"/>
      <w:divBdr>
        <w:top w:val="none" w:sz="0" w:space="0" w:color="auto"/>
        <w:left w:val="none" w:sz="0" w:space="0" w:color="auto"/>
        <w:bottom w:val="none" w:sz="0" w:space="0" w:color="auto"/>
        <w:right w:val="none" w:sz="0" w:space="0" w:color="auto"/>
      </w:divBdr>
    </w:div>
    <w:div w:id="238369817">
      <w:bodyDiv w:val="1"/>
      <w:marLeft w:val="0"/>
      <w:marRight w:val="0"/>
      <w:marTop w:val="0"/>
      <w:marBottom w:val="0"/>
      <w:divBdr>
        <w:top w:val="none" w:sz="0" w:space="0" w:color="auto"/>
        <w:left w:val="none" w:sz="0" w:space="0" w:color="auto"/>
        <w:bottom w:val="none" w:sz="0" w:space="0" w:color="auto"/>
        <w:right w:val="none" w:sz="0" w:space="0" w:color="auto"/>
      </w:divBdr>
    </w:div>
    <w:div w:id="238636626">
      <w:bodyDiv w:val="1"/>
      <w:marLeft w:val="0"/>
      <w:marRight w:val="0"/>
      <w:marTop w:val="0"/>
      <w:marBottom w:val="0"/>
      <w:divBdr>
        <w:top w:val="none" w:sz="0" w:space="0" w:color="auto"/>
        <w:left w:val="none" w:sz="0" w:space="0" w:color="auto"/>
        <w:bottom w:val="none" w:sz="0" w:space="0" w:color="auto"/>
        <w:right w:val="none" w:sz="0" w:space="0" w:color="auto"/>
      </w:divBdr>
    </w:div>
    <w:div w:id="238684673">
      <w:bodyDiv w:val="1"/>
      <w:marLeft w:val="0"/>
      <w:marRight w:val="0"/>
      <w:marTop w:val="0"/>
      <w:marBottom w:val="0"/>
      <w:divBdr>
        <w:top w:val="none" w:sz="0" w:space="0" w:color="auto"/>
        <w:left w:val="none" w:sz="0" w:space="0" w:color="auto"/>
        <w:bottom w:val="none" w:sz="0" w:space="0" w:color="auto"/>
        <w:right w:val="none" w:sz="0" w:space="0" w:color="auto"/>
      </w:divBdr>
    </w:div>
    <w:div w:id="238756263">
      <w:bodyDiv w:val="1"/>
      <w:marLeft w:val="0"/>
      <w:marRight w:val="0"/>
      <w:marTop w:val="0"/>
      <w:marBottom w:val="0"/>
      <w:divBdr>
        <w:top w:val="none" w:sz="0" w:space="0" w:color="auto"/>
        <w:left w:val="none" w:sz="0" w:space="0" w:color="auto"/>
        <w:bottom w:val="none" w:sz="0" w:space="0" w:color="auto"/>
        <w:right w:val="none" w:sz="0" w:space="0" w:color="auto"/>
      </w:divBdr>
    </w:div>
    <w:div w:id="238828835">
      <w:bodyDiv w:val="1"/>
      <w:marLeft w:val="0"/>
      <w:marRight w:val="0"/>
      <w:marTop w:val="0"/>
      <w:marBottom w:val="0"/>
      <w:divBdr>
        <w:top w:val="none" w:sz="0" w:space="0" w:color="auto"/>
        <w:left w:val="none" w:sz="0" w:space="0" w:color="auto"/>
        <w:bottom w:val="none" w:sz="0" w:space="0" w:color="auto"/>
        <w:right w:val="none" w:sz="0" w:space="0" w:color="auto"/>
      </w:divBdr>
    </w:div>
    <w:div w:id="238835850">
      <w:bodyDiv w:val="1"/>
      <w:marLeft w:val="0"/>
      <w:marRight w:val="0"/>
      <w:marTop w:val="0"/>
      <w:marBottom w:val="0"/>
      <w:divBdr>
        <w:top w:val="none" w:sz="0" w:space="0" w:color="auto"/>
        <w:left w:val="none" w:sz="0" w:space="0" w:color="auto"/>
        <w:bottom w:val="none" w:sz="0" w:space="0" w:color="auto"/>
        <w:right w:val="none" w:sz="0" w:space="0" w:color="auto"/>
      </w:divBdr>
    </w:div>
    <w:div w:id="239143991">
      <w:bodyDiv w:val="1"/>
      <w:marLeft w:val="0"/>
      <w:marRight w:val="0"/>
      <w:marTop w:val="0"/>
      <w:marBottom w:val="0"/>
      <w:divBdr>
        <w:top w:val="none" w:sz="0" w:space="0" w:color="auto"/>
        <w:left w:val="none" w:sz="0" w:space="0" w:color="auto"/>
        <w:bottom w:val="none" w:sz="0" w:space="0" w:color="auto"/>
        <w:right w:val="none" w:sz="0" w:space="0" w:color="auto"/>
      </w:divBdr>
    </w:div>
    <w:div w:id="239219173">
      <w:bodyDiv w:val="1"/>
      <w:marLeft w:val="0"/>
      <w:marRight w:val="0"/>
      <w:marTop w:val="0"/>
      <w:marBottom w:val="0"/>
      <w:divBdr>
        <w:top w:val="none" w:sz="0" w:space="0" w:color="auto"/>
        <w:left w:val="none" w:sz="0" w:space="0" w:color="auto"/>
        <w:bottom w:val="none" w:sz="0" w:space="0" w:color="auto"/>
        <w:right w:val="none" w:sz="0" w:space="0" w:color="auto"/>
      </w:divBdr>
    </w:div>
    <w:div w:id="239363763">
      <w:bodyDiv w:val="1"/>
      <w:marLeft w:val="0"/>
      <w:marRight w:val="0"/>
      <w:marTop w:val="0"/>
      <w:marBottom w:val="0"/>
      <w:divBdr>
        <w:top w:val="none" w:sz="0" w:space="0" w:color="auto"/>
        <w:left w:val="none" w:sz="0" w:space="0" w:color="auto"/>
        <w:bottom w:val="none" w:sz="0" w:space="0" w:color="auto"/>
        <w:right w:val="none" w:sz="0" w:space="0" w:color="auto"/>
      </w:divBdr>
    </w:div>
    <w:div w:id="239367205">
      <w:bodyDiv w:val="1"/>
      <w:marLeft w:val="0"/>
      <w:marRight w:val="0"/>
      <w:marTop w:val="0"/>
      <w:marBottom w:val="0"/>
      <w:divBdr>
        <w:top w:val="none" w:sz="0" w:space="0" w:color="auto"/>
        <w:left w:val="none" w:sz="0" w:space="0" w:color="auto"/>
        <w:bottom w:val="none" w:sz="0" w:space="0" w:color="auto"/>
        <w:right w:val="none" w:sz="0" w:space="0" w:color="auto"/>
      </w:divBdr>
    </w:div>
    <w:div w:id="239487081">
      <w:bodyDiv w:val="1"/>
      <w:marLeft w:val="0"/>
      <w:marRight w:val="0"/>
      <w:marTop w:val="0"/>
      <w:marBottom w:val="0"/>
      <w:divBdr>
        <w:top w:val="none" w:sz="0" w:space="0" w:color="auto"/>
        <w:left w:val="none" w:sz="0" w:space="0" w:color="auto"/>
        <w:bottom w:val="none" w:sz="0" w:space="0" w:color="auto"/>
        <w:right w:val="none" w:sz="0" w:space="0" w:color="auto"/>
      </w:divBdr>
    </w:div>
    <w:div w:id="239602142">
      <w:bodyDiv w:val="1"/>
      <w:marLeft w:val="0"/>
      <w:marRight w:val="0"/>
      <w:marTop w:val="0"/>
      <w:marBottom w:val="0"/>
      <w:divBdr>
        <w:top w:val="none" w:sz="0" w:space="0" w:color="auto"/>
        <w:left w:val="none" w:sz="0" w:space="0" w:color="auto"/>
        <w:bottom w:val="none" w:sz="0" w:space="0" w:color="auto"/>
        <w:right w:val="none" w:sz="0" w:space="0" w:color="auto"/>
      </w:divBdr>
    </w:div>
    <w:div w:id="239603291">
      <w:bodyDiv w:val="1"/>
      <w:marLeft w:val="0"/>
      <w:marRight w:val="0"/>
      <w:marTop w:val="0"/>
      <w:marBottom w:val="0"/>
      <w:divBdr>
        <w:top w:val="none" w:sz="0" w:space="0" w:color="auto"/>
        <w:left w:val="none" w:sz="0" w:space="0" w:color="auto"/>
        <w:bottom w:val="none" w:sz="0" w:space="0" w:color="auto"/>
        <w:right w:val="none" w:sz="0" w:space="0" w:color="auto"/>
      </w:divBdr>
    </w:div>
    <w:div w:id="239754545">
      <w:bodyDiv w:val="1"/>
      <w:marLeft w:val="0"/>
      <w:marRight w:val="0"/>
      <w:marTop w:val="0"/>
      <w:marBottom w:val="0"/>
      <w:divBdr>
        <w:top w:val="none" w:sz="0" w:space="0" w:color="auto"/>
        <w:left w:val="none" w:sz="0" w:space="0" w:color="auto"/>
        <w:bottom w:val="none" w:sz="0" w:space="0" w:color="auto"/>
        <w:right w:val="none" w:sz="0" w:space="0" w:color="auto"/>
      </w:divBdr>
    </w:div>
    <w:div w:id="239798126">
      <w:bodyDiv w:val="1"/>
      <w:marLeft w:val="0"/>
      <w:marRight w:val="0"/>
      <w:marTop w:val="0"/>
      <w:marBottom w:val="0"/>
      <w:divBdr>
        <w:top w:val="none" w:sz="0" w:space="0" w:color="auto"/>
        <w:left w:val="none" w:sz="0" w:space="0" w:color="auto"/>
        <w:bottom w:val="none" w:sz="0" w:space="0" w:color="auto"/>
        <w:right w:val="none" w:sz="0" w:space="0" w:color="auto"/>
      </w:divBdr>
    </w:div>
    <w:div w:id="239951155">
      <w:bodyDiv w:val="1"/>
      <w:marLeft w:val="0"/>
      <w:marRight w:val="0"/>
      <w:marTop w:val="0"/>
      <w:marBottom w:val="0"/>
      <w:divBdr>
        <w:top w:val="none" w:sz="0" w:space="0" w:color="auto"/>
        <w:left w:val="none" w:sz="0" w:space="0" w:color="auto"/>
        <w:bottom w:val="none" w:sz="0" w:space="0" w:color="auto"/>
        <w:right w:val="none" w:sz="0" w:space="0" w:color="auto"/>
      </w:divBdr>
    </w:div>
    <w:div w:id="239951511">
      <w:bodyDiv w:val="1"/>
      <w:marLeft w:val="0"/>
      <w:marRight w:val="0"/>
      <w:marTop w:val="0"/>
      <w:marBottom w:val="0"/>
      <w:divBdr>
        <w:top w:val="none" w:sz="0" w:space="0" w:color="auto"/>
        <w:left w:val="none" w:sz="0" w:space="0" w:color="auto"/>
        <w:bottom w:val="none" w:sz="0" w:space="0" w:color="auto"/>
        <w:right w:val="none" w:sz="0" w:space="0" w:color="auto"/>
      </w:divBdr>
    </w:div>
    <w:div w:id="239952265">
      <w:bodyDiv w:val="1"/>
      <w:marLeft w:val="0"/>
      <w:marRight w:val="0"/>
      <w:marTop w:val="0"/>
      <w:marBottom w:val="0"/>
      <w:divBdr>
        <w:top w:val="none" w:sz="0" w:space="0" w:color="auto"/>
        <w:left w:val="none" w:sz="0" w:space="0" w:color="auto"/>
        <w:bottom w:val="none" w:sz="0" w:space="0" w:color="auto"/>
        <w:right w:val="none" w:sz="0" w:space="0" w:color="auto"/>
      </w:divBdr>
    </w:div>
    <w:div w:id="240020622">
      <w:bodyDiv w:val="1"/>
      <w:marLeft w:val="0"/>
      <w:marRight w:val="0"/>
      <w:marTop w:val="0"/>
      <w:marBottom w:val="0"/>
      <w:divBdr>
        <w:top w:val="none" w:sz="0" w:space="0" w:color="auto"/>
        <w:left w:val="none" w:sz="0" w:space="0" w:color="auto"/>
        <w:bottom w:val="none" w:sz="0" w:space="0" w:color="auto"/>
        <w:right w:val="none" w:sz="0" w:space="0" w:color="auto"/>
      </w:divBdr>
    </w:div>
    <w:div w:id="240062249">
      <w:bodyDiv w:val="1"/>
      <w:marLeft w:val="0"/>
      <w:marRight w:val="0"/>
      <w:marTop w:val="0"/>
      <w:marBottom w:val="0"/>
      <w:divBdr>
        <w:top w:val="none" w:sz="0" w:space="0" w:color="auto"/>
        <w:left w:val="none" w:sz="0" w:space="0" w:color="auto"/>
        <w:bottom w:val="none" w:sz="0" w:space="0" w:color="auto"/>
        <w:right w:val="none" w:sz="0" w:space="0" w:color="auto"/>
      </w:divBdr>
    </w:div>
    <w:div w:id="240064849">
      <w:bodyDiv w:val="1"/>
      <w:marLeft w:val="0"/>
      <w:marRight w:val="0"/>
      <w:marTop w:val="0"/>
      <w:marBottom w:val="0"/>
      <w:divBdr>
        <w:top w:val="none" w:sz="0" w:space="0" w:color="auto"/>
        <w:left w:val="none" w:sz="0" w:space="0" w:color="auto"/>
        <w:bottom w:val="none" w:sz="0" w:space="0" w:color="auto"/>
        <w:right w:val="none" w:sz="0" w:space="0" w:color="auto"/>
      </w:divBdr>
    </w:div>
    <w:div w:id="240139748">
      <w:bodyDiv w:val="1"/>
      <w:marLeft w:val="0"/>
      <w:marRight w:val="0"/>
      <w:marTop w:val="0"/>
      <w:marBottom w:val="0"/>
      <w:divBdr>
        <w:top w:val="none" w:sz="0" w:space="0" w:color="auto"/>
        <w:left w:val="none" w:sz="0" w:space="0" w:color="auto"/>
        <w:bottom w:val="none" w:sz="0" w:space="0" w:color="auto"/>
        <w:right w:val="none" w:sz="0" w:space="0" w:color="auto"/>
      </w:divBdr>
    </w:div>
    <w:div w:id="240258772">
      <w:bodyDiv w:val="1"/>
      <w:marLeft w:val="0"/>
      <w:marRight w:val="0"/>
      <w:marTop w:val="0"/>
      <w:marBottom w:val="0"/>
      <w:divBdr>
        <w:top w:val="none" w:sz="0" w:space="0" w:color="auto"/>
        <w:left w:val="none" w:sz="0" w:space="0" w:color="auto"/>
        <w:bottom w:val="none" w:sz="0" w:space="0" w:color="auto"/>
        <w:right w:val="none" w:sz="0" w:space="0" w:color="auto"/>
      </w:divBdr>
    </w:div>
    <w:div w:id="240408960">
      <w:bodyDiv w:val="1"/>
      <w:marLeft w:val="0"/>
      <w:marRight w:val="0"/>
      <w:marTop w:val="0"/>
      <w:marBottom w:val="0"/>
      <w:divBdr>
        <w:top w:val="none" w:sz="0" w:space="0" w:color="auto"/>
        <w:left w:val="none" w:sz="0" w:space="0" w:color="auto"/>
        <w:bottom w:val="none" w:sz="0" w:space="0" w:color="auto"/>
        <w:right w:val="none" w:sz="0" w:space="0" w:color="auto"/>
      </w:divBdr>
    </w:div>
    <w:div w:id="240412088">
      <w:bodyDiv w:val="1"/>
      <w:marLeft w:val="0"/>
      <w:marRight w:val="0"/>
      <w:marTop w:val="0"/>
      <w:marBottom w:val="0"/>
      <w:divBdr>
        <w:top w:val="none" w:sz="0" w:space="0" w:color="auto"/>
        <w:left w:val="none" w:sz="0" w:space="0" w:color="auto"/>
        <w:bottom w:val="none" w:sz="0" w:space="0" w:color="auto"/>
        <w:right w:val="none" w:sz="0" w:space="0" w:color="auto"/>
      </w:divBdr>
    </w:div>
    <w:div w:id="240454526">
      <w:bodyDiv w:val="1"/>
      <w:marLeft w:val="0"/>
      <w:marRight w:val="0"/>
      <w:marTop w:val="0"/>
      <w:marBottom w:val="0"/>
      <w:divBdr>
        <w:top w:val="none" w:sz="0" w:space="0" w:color="auto"/>
        <w:left w:val="none" w:sz="0" w:space="0" w:color="auto"/>
        <w:bottom w:val="none" w:sz="0" w:space="0" w:color="auto"/>
        <w:right w:val="none" w:sz="0" w:space="0" w:color="auto"/>
      </w:divBdr>
    </w:div>
    <w:div w:id="240603739">
      <w:bodyDiv w:val="1"/>
      <w:marLeft w:val="0"/>
      <w:marRight w:val="0"/>
      <w:marTop w:val="0"/>
      <w:marBottom w:val="0"/>
      <w:divBdr>
        <w:top w:val="none" w:sz="0" w:space="0" w:color="auto"/>
        <w:left w:val="none" w:sz="0" w:space="0" w:color="auto"/>
        <w:bottom w:val="none" w:sz="0" w:space="0" w:color="auto"/>
        <w:right w:val="none" w:sz="0" w:space="0" w:color="auto"/>
      </w:divBdr>
    </w:div>
    <w:div w:id="240603807">
      <w:bodyDiv w:val="1"/>
      <w:marLeft w:val="0"/>
      <w:marRight w:val="0"/>
      <w:marTop w:val="0"/>
      <w:marBottom w:val="0"/>
      <w:divBdr>
        <w:top w:val="none" w:sz="0" w:space="0" w:color="auto"/>
        <w:left w:val="none" w:sz="0" w:space="0" w:color="auto"/>
        <w:bottom w:val="none" w:sz="0" w:space="0" w:color="auto"/>
        <w:right w:val="none" w:sz="0" w:space="0" w:color="auto"/>
      </w:divBdr>
    </w:div>
    <w:div w:id="240606334">
      <w:bodyDiv w:val="1"/>
      <w:marLeft w:val="0"/>
      <w:marRight w:val="0"/>
      <w:marTop w:val="0"/>
      <w:marBottom w:val="0"/>
      <w:divBdr>
        <w:top w:val="none" w:sz="0" w:space="0" w:color="auto"/>
        <w:left w:val="none" w:sz="0" w:space="0" w:color="auto"/>
        <w:bottom w:val="none" w:sz="0" w:space="0" w:color="auto"/>
        <w:right w:val="none" w:sz="0" w:space="0" w:color="auto"/>
      </w:divBdr>
    </w:div>
    <w:div w:id="240608366">
      <w:bodyDiv w:val="1"/>
      <w:marLeft w:val="0"/>
      <w:marRight w:val="0"/>
      <w:marTop w:val="0"/>
      <w:marBottom w:val="0"/>
      <w:divBdr>
        <w:top w:val="none" w:sz="0" w:space="0" w:color="auto"/>
        <w:left w:val="none" w:sz="0" w:space="0" w:color="auto"/>
        <w:bottom w:val="none" w:sz="0" w:space="0" w:color="auto"/>
        <w:right w:val="none" w:sz="0" w:space="0" w:color="auto"/>
      </w:divBdr>
    </w:div>
    <w:div w:id="240913267">
      <w:bodyDiv w:val="1"/>
      <w:marLeft w:val="0"/>
      <w:marRight w:val="0"/>
      <w:marTop w:val="0"/>
      <w:marBottom w:val="0"/>
      <w:divBdr>
        <w:top w:val="none" w:sz="0" w:space="0" w:color="auto"/>
        <w:left w:val="none" w:sz="0" w:space="0" w:color="auto"/>
        <w:bottom w:val="none" w:sz="0" w:space="0" w:color="auto"/>
        <w:right w:val="none" w:sz="0" w:space="0" w:color="auto"/>
      </w:divBdr>
    </w:div>
    <w:div w:id="240916567">
      <w:bodyDiv w:val="1"/>
      <w:marLeft w:val="0"/>
      <w:marRight w:val="0"/>
      <w:marTop w:val="0"/>
      <w:marBottom w:val="0"/>
      <w:divBdr>
        <w:top w:val="none" w:sz="0" w:space="0" w:color="auto"/>
        <w:left w:val="none" w:sz="0" w:space="0" w:color="auto"/>
        <w:bottom w:val="none" w:sz="0" w:space="0" w:color="auto"/>
        <w:right w:val="none" w:sz="0" w:space="0" w:color="auto"/>
      </w:divBdr>
    </w:div>
    <w:div w:id="241179582">
      <w:bodyDiv w:val="1"/>
      <w:marLeft w:val="0"/>
      <w:marRight w:val="0"/>
      <w:marTop w:val="0"/>
      <w:marBottom w:val="0"/>
      <w:divBdr>
        <w:top w:val="none" w:sz="0" w:space="0" w:color="auto"/>
        <w:left w:val="none" w:sz="0" w:space="0" w:color="auto"/>
        <w:bottom w:val="none" w:sz="0" w:space="0" w:color="auto"/>
        <w:right w:val="none" w:sz="0" w:space="0" w:color="auto"/>
      </w:divBdr>
    </w:div>
    <w:div w:id="241188013">
      <w:bodyDiv w:val="1"/>
      <w:marLeft w:val="0"/>
      <w:marRight w:val="0"/>
      <w:marTop w:val="0"/>
      <w:marBottom w:val="0"/>
      <w:divBdr>
        <w:top w:val="none" w:sz="0" w:space="0" w:color="auto"/>
        <w:left w:val="none" w:sz="0" w:space="0" w:color="auto"/>
        <w:bottom w:val="none" w:sz="0" w:space="0" w:color="auto"/>
        <w:right w:val="none" w:sz="0" w:space="0" w:color="auto"/>
      </w:divBdr>
    </w:div>
    <w:div w:id="241258935">
      <w:bodyDiv w:val="1"/>
      <w:marLeft w:val="0"/>
      <w:marRight w:val="0"/>
      <w:marTop w:val="0"/>
      <w:marBottom w:val="0"/>
      <w:divBdr>
        <w:top w:val="none" w:sz="0" w:space="0" w:color="auto"/>
        <w:left w:val="none" w:sz="0" w:space="0" w:color="auto"/>
        <w:bottom w:val="none" w:sz="0" w:space="0" w:color="auto"/>
        <w:right w:val="none" w:sz="0" w:space="0" w:color="auto"/>
      </w:divBdr>
    </w:div>
    <w:div w:id="241380151">
      <w:bodyDiv w:val="1"/>
      <w:marLeft w:val="0"/>
      <w:marRight w:val="0"/>
      <w:marTop w:val="0"/>
      <w:marBottom w:val="0"/>
      <w:divBdr>
        <w:top w:val="none" w:sz="0" w:space="0" w:color="auto"/>
        <w:left w:val="none" w:sz="0" w:space="0" w:color="auto"/>
        <w:bottom w:val="none" w:sz="0" w:space="0" w:color="auto"/>
        <w:right w:val="none" w:sz="0" w:space="0" w:color="auto"/>
      </w:divBdr>
    </w:div>
    <w:div w:id="241530650">
      <w:bodyDiv w:val="1"/>
      <w:marLeft w:val="0"/>
      <w:marRight w:val="0"/>
      <w:marTop w:val="0"/>
      <w:marBottom w:val="0"/>
      <w:divBdr>
        <w:top w:val="none" w:sz="0" w:space="0" w:color="auto"/>
        <w:left w:val="none" w:sz="0" w:space="0" w:color="auto"/>
        <w:bottom w:val="none" w:sz="0" w:space="0" w:color="auto"/>
        <w:right w:val="none" w:sz="0" w:space="0" w:color="auto"/>
      </w:divBdr>
    </w:div>
    <w:div w:id="241568786">
      <w:bodyDiv w:val="1"/>
      <w:marLeft w:val="0"/>
      <w:marRight w:val="0"/>
      <w:marTop w:val="0"/>
      <w:marBottom w:val="0"/>
      <w:divBdr>
        <w:top w:val="none" w:sz="0" w:space="0" w:color="auto"/>
        <w:left w:val="none" w:sz="0" w:space="0" w:color="auto"/>
        <w:bottom w:val="none" w:sz="0" w:space="0" w:color="auto"/>
        <w:right w:val="none" w:sz="0" w:space="0" w:color="auto"/>
      </w:divBdr>
    </w:div>
    <w:div w:id="241575072">
      <w:bodyDiv w:val="1"/>
      <w:marLeft w:val="0"/>
      <w:marRight w:val="0"/>
      <w:marTop w:val="0"/>
      <w:marBottom w:val="0"/>
      <w:divBdr>
        <w:top w:val="none" w:sz="0" w:space="0" w:color="auto"/>
        <w:left w:val="none" w:sz="0" w:space="0" w:color="auto"/>
        <w:bottom w:val="none" w:sz="0" w:space="0" w:color="auto"/>
        <w:right w:val="none" w:sz="0" w:space="0" w:color="auto"/>
      </w:divBdr>
    </w:div>
    <w:div w:id="241717619">
      <w:bodyDiv w:val="1"/>
      <w:marLeft w:val="0"/>
      <w:marRight w:val="0"/>
      <w:marTop w:val="0"/>
      <w:marBottom w:val="0"/>
      <w:divBdr>
        <w:top w:val="none" w:sz="0" w:space="0" w:color="auto"/>
        <w:left w:val="none" w:sz="0" w:space="0" w:color="auto"/>
        <w:bottom w:val="none" w:sz="0" w:space="0" w:color="auto"/>
        <w:right w:val="none" w:sz="0" w:space="0" w:color="auto"/>
      </w:divBdr>
    </w:div>
    <w:div w:id="241720795">
      <w:bodyDiv w:val="1"/>
      <w:marLeft w:val="0"/>
      <w:marRight w:val="0"/>
      <w:marTop w:val="0"/>
      <w:marBottom w:val="0"/>
      <w:divBdr>
        <w:top w:val="none" w:sz="0" w:space="0" w:color="auto"/>
        <w:left w:val="none" w:sz="0" w:space="0" w:color="auto"/>
        <w:bottom w:val="none" w:sz="0" w:space="0" w:color="auto"/>
        <w:right w:val="none" w:sz="0" w:space="0" w:color="auto"/>
      </w:divBdr>
    </w:div>
    <w:div w:id="241764271">
      <w:bodyDiv w:val="1"/>
      <w:marLeft w:val="0"/>
      <w:marRight w:val="0"/>
      <w:marTop w:val="0"/>
      <w:marBottom w:val="0"/>
      <w:divBdr>
        <w:top w:val="none" w:sz="0" w:space="0" w:color="auto"/>
        <w:left w:val="none" w:sz="0" w:space="0" w:color="auto"/>
        <w:bottom w:val="none" w:sz="0" w:space="0" w:color="auto"/>
        <w:right w:val="none" w:sz="0" w:space="0" w:color="auto"/>
      </w:divBdr>
    </w:div>
    <w:div w:id="241834805">
      <w:bodyDiv w:val="1"/>
      <w:marLeft w:val="0"/>
      <w:marRight w:val="0"/>
      <w:marTop w:val="0"/>
      <w:marBottom w:val="0"/>
      <w:divBdr>
        <w:top w:val="none" w:sz="0" w:space="0" w:color="auto"/>
        <w:left w:val="none" w:sz="0" w:space="0" w:color="auto"/>
        <w:bottom w:val="none" w:sz="0" w:space="0" w:color="auto"/>
        <w:right w:val="none" w:sz="0" w:space="0" w:color="auto"/>
      </w:divBdr>
    </w:div>
    <w:div w:id="241990177">
      <w:bodyDiv w:val="1"/>
      <w:marLeft w:val="0"/>
      <w:marRight w:val="0"/>
      <w:marTop w:val="0"/>
      <w:marBottom w:val="0"/>
      <w:divBdr>
        <w:top w:val="none" w:sz="0" w:space="0" w:color="auto"/>
        <w:left w:val="none" w:sz="0" w:space="0" w:color="auto"/>
        <w:bottom w:val="none" w:sz="0" w:space="0" w:color="auto"/>
        <w:right w:val="none" w:sz="0" w:space="0" w:color="auto"/>
      </w:divBdr>
    </w:div>
    <w:div w:id="242031678">
      <w:bodyDiv w:val="1"/>
      <w:marLeft w:val="0"/>
      <w:marRight w:val="0"/>
      <w:marTop w:val="0"/>
      <w:marBottom w:val="0"/>
      <w:divBdr>
        <w:top w:val="none" w:sz="0" w:space="0" w:color="auto"/>
        <w:left w:val="none" w:sz="0" w:space="0" w:color="auto"/>
        <w:bottom w:val="none" w:sz="0" w:space="0" w:color="auto"/>
        <w:right w:val="none" w:sz="0" w:space="0" w:color="auto"/>
      </w:divBdr>
    </w:div>
    <w:div w:id="242179130">
      <w:bodyDiv w:val="1"/>
      <w:marLeft w:val="0"/>
      <w:marRight w:val="0"/>
      <w:marTop w:val="0"/>
      <w:marBottom w:val="0"/>
      <w:divBdr>
        <w:top w:val="none" w:sz="0" w:space="0" w:color="auto"/>
        <w:left w:val="none" w:sz="0" w:space="0" w:color="auto"/>
        <w:bottom w:val="none" w:sz="0" w:space="0" w:color="auto"/>
        <w:right w:val="none" w:sz="0" w:space="0" w:color="auto"/>
      </w:divBdr>
    </w:div>
    <w:div w:id="242181578">
      <w:bodyDiv w:val="1"/>
      <w:marLeft w:val="0"/>
      <w:marRight w:val="0"/>
      <w:marTop w:val="0"/>
      <w:marBottom w:val="0"/>
      <w:divBdr>
        <w:top w:val="none" w:sz="0" w:space="0" w:color="auto"/>
        <w:left w:val="none" w:sz="0" w:space="0" w:color="auto"/>
        <w:bottom w:val="none" w:sz="0" w:space="0" w:color="auto"/>
        <w:right w:val="none" w:sz="0" w:space="0" w:color="auto"/>
      </w:divBdr>
    </w:div>
    <w:div w:id="242230254">
      <w:bodyDiv w:val="1"/>
      <w:marLeft w:val="0"/>
      <w:marRight w:val="0"/>
      <w:marTop w:val="0"/>
      <w:marBottom w:val="0"/>
      <w:divBdr>
        <w:top w:val="none" w:sz="0" w:space="0" w:color="auto"/>
        <w:left w:val="none" w:sz="0" w:space="0" w:color="auto"/>
        <w:bottom w:val="none" w:sz="0" w:space="0" w:color="auto"/>
        <w:right w:val="none" w:sz="0" w:space="0" w:color="auto"/>
      </w:divBdr>
    </w:div>
    <w:div w:id="242298204">
      <w:bodyDiv w:val="1"/>
      <w:marLeft w:val="0"/>
      <w:marRight w:val="0"/>
      <w:marTop w:val="0"/>
      <w:marBottom w:val="0"/>
      <w:divBdr>
        <w:top w:val="none" w:sz="0" w:space="0" w:color="auto"/>
        <w:left w:val="none" w:sz="0" w:space="0" w:color="auto"/>
        <w:bottom w:val="none" w:sz="0" w:space="0" w:color="auto"/>
        <w:right w:val="none" w:sz="0" w:space="0" w:color="auto"/>
      </w:divBdr>
    </w:div>
    <w:div w:id="242298458">
      <w:bodyDiv w:val="1"/>
      <w:marLeft w:val="0"/>
      <w:marRight w:val="0"/>
      <w:marTop w:val="0"/>
      <w:marBottom w:val="0"/>
      <w:divBdr>
        <w:top w:val="none" w:sz="0" w:space="0" w:color="auto"/>
        <w:left w:val="none" w:sz="0" w:space="0" w:color="auto"/>
        <w:bottom w:val="none" w:sz="0" w:space="0" w:color="auto"/>
        <w:right w:val="none" w:sz="0" w:space="0" w:color="auto"/>
      </w:divBdr>
    </w:div>
    <w:div w:id="242379715">
      <w:bodyDiv w:val="1"/>
      <w:marLeft w:val="0"/>
      <w:marRight w:val="0"/>
      <w:marTop w:val="0"/>
      <w:marBottom w:val="0"/>
      <w:divBdr>
        <w:top w:val="none" w:sz="0" w:space="0" w:color="auto"/>
        <w:left w:val="none" w:sz="0" w:space="0" w:color="auto"/>
        <w:bottom w:val="none" w:sz="0" w:space="0" w:color="auto"/>
        <w:right w:val="none" w:sz="0" w:space="0" w:color="auto"/>
      </w:divBdr>
    </w:div>
    <w:div w:id="242446823">
      <w:bodyDiv w:val="1"/>
      <w:marLeft w:val="0"/>
      <w:marRight w:val="0"/>
      <w:marTop w:val="0"/>
      <w:marBottom w:val="0"/>
      <w:divBdr>
        <w:top w:val="none" w:sz="0" w:space="0" w:color="auto"/>
        <w:left w:val="none" w:sz="0" w:space="0" w:color="auto"/>
        <w:bottom w:val="none" w:sz="0" w:space="0" w:color="auto"/>
        <w:right w:val="none" w:sz="0" w:space="0" w:color="auto"/>
      </w:divBdr>
    </w:div>
    <w:div w:id="242448174">
      <w:bodyDiv w:val="1"/>
      <w:marLeft w:val="0"/>
      <w:marRight w:val="0"/>
      <w:marTop w:val="0"/>
      <w:marBottom w:val="0"/>
      <w:divBdr>
        <w:top w:val="none" w:sz="0" w:space="0" w:color="auto"/>
        <w:left w:val="none" w:sz="0" w:space="0" w:color="auto"/>
        <w:bottom w:val="none" w:sz="0" w:space="0" w:color="auto"/>
        <w:right w:val="none" w:sz="0" w:space="0" w:color="auto"/>
      </w:divBdr>
    </w:div>
    <w:div w:id="242495701">
      <w:bodyDiv w:val="1"/>
      <w:marLeft w:val="0"/>
      <w:marRight w:val="0"/>
      <w:marTop w:val="0"/>
      <w:marBottom w:val="0"/>
      <w:divBdr>
        <w:top w:val="none" w:sz="0" w:space="0" w:color="auto"/>
        <w:left w:val="none" w:sz="0" w:space="0" w:color="auto"/>
        <w:bottom w:val="none" w:sz="0" w:space="0" w:color="auto"/>
        <w:right w:val="none" w:sz="0" w:space="0" w:color="auto"/>
      </w:divBdr>
    </w:div>
    <w:div w:id="242566233">
      <w:bodyDiv w:val="1"/>
      <w:marLeft w:val="0"/>
      <w:marRight w:val="0"/>
      <w:marTop w:val="0"/>
      <w:marBottom w:val="0"/>
      <w:divBdr>
        <w:top w:val="none" w:sz="0" w:space="0" w:color="auto"/>
        <w:left w:val="none" w:sz="0" w:space="0" w:color="auto"/>
        <w:bottom w:val="none" w:sz="0" w:space="0" w:color="auto"/>
        <w:right w:val="none" w:sz="0" w:space="0" w:color="auto"/>
      </w:divBdr>
    </w:div>
    <w:div w:id="242569400">
      <w:bodyDiv w:val="1"/>
      <w:marLeft w:val="0"/>
      <w:marRight w:val="0"/>
      <w:marTop w:val="0"/>
      <w:marBottom w:val="0"/>
      <w:divBdr>
        <w:top w:val="none" w:sz="0" w:space="0" w:color="auto"/>
        <w:left w:val="none" w:sz="0" w:space="0" w:color="auto"/>
        <w:bottom w:val="none" w:sz="0" w:space="0" w:color="auto"/>
        <w:right w:val="none" w:sz="0" w:space="0" w:color="auto"/>
      </w:divBdr>
    </w:div>
    <w:div w:id="242683054">
      <w:bodyDiv w:val="1"/>
      <w:marLeft w:val="0"/>
      <w:marRight w:val="0"/>
      <w:marTop w:val="0"/>
      <w:marBottom w:val="0"/>
      <w:divBdr>
        <w:top w:val="none" w:sz="0" w:space="0" w:color="auto"/>
        <w:left w:val="none" w:sz="0" w:space="0" w:color="auto"/>
        <w:bottom w:val="none" w:sz="0" w:space="0" w:color="auto"/>
        <w:right w:val="none" w:sz="0" w:space="0" w:color="auto"/>
      </w:divBdr>
    </w:div>
    <w:div w:id="242687141">
      <w:bodyDiv w:val="1"/>
      <w:marLeft w:val="0"/>
      <w:marRight w:val="0"/>
      <w:marTop w:val="0"/>
      <w:marBottom w:val="0"/>
      <w:divBdr>
        <w:top w:val="none" w:sz="0" w:space="0" w:color="auto"/>
        <w:left w:val="none" w:sz="0" w:space="0" w:color="auto"/>
        <w:bottom w:val="none" w:sz="0" w:space="0" w:color="auto"/>
        <w:right w:val="none" w:sz="0" w:space="0" w:color="auto"/>
      </w:divBdr>
    </w:div>
    <w:div w:id="242763711">
      <w:bodyDiv w:val="1"/>
      <w:marLeft w:val="0"/>
      <w:marRight w:val="0"/>
      <w:marTop w:val="0"/>
      <w:marBottom w:val="0"/>
      <w:divBdr>
        <w:top w:val="none" w:sz="0" w:space="0" w:color="auto"/>
        <w:left w:val="none" w:sz="0" w:space="0" w:color="auto"/>
        <w:bottom w:val="none" w:sz="0" w:space="0" w:color="auto"/>
        <w:right w:val="none" w:sz="0" w:space="0" w:color="auto"/>
      </w:divBdr>
    </w:div>
    <w:div w:id="242841430">
      <w:bodyDiv w:val="1"/>
      <w:marLeft w:val="0"/>
      <w:marRight w:val="0"/>
      <w:marTop w:val="0"/>
      <w:marBottom w:val="0"/>
      <w:divBdr>
        <w:top w:val="none" w:sz="0" w:space="0" w:color="auto"/>
        <w:left w:val="none" w:sz="0" w:space="0" w:color="auto"/>
        <w:bottom w:val="none" w:sz="0" w:space="0" w:color="auto"/>
        <w:right w:val="none" w:sz="0" w:space="0" w:color="auto"/>
      </w:divBdr>
    </w:div>
    <w:div w:id="242883180">
      <w:bodyDiv w:val="1"/>
      <w:marLeft w:val="0"/>
      <w:marRight w:val="0"/>
      <w:marTop w:val="0"/>
      <w:marBottom w:val="0"/>
      <w:divBdr>
        <w:top w:val="none" w:sz="0" w:space="0" w:color="auto"/>
        <w:left w:val="none" w:sz="0" w:space="0" w:color="auto"/>
        <w:bottom w:val="none" w:sz="0" w:space="0" w:color="auto"/>
        <w:right w:val="none" w:sz="0" w:space="0" w:color="auto"/>
      </w:divBdr>
    </w:div>
    <w:div w:id="242952995">
      <w:bodyDiv w:val="1"/>
      <w:marLeft w:val="0"/>
      <w:marRight w:val="0"/>
      <w:marTop w:val="0"/>
      <w:marBottom w:val="0"/>
      <w:divBdr>
        <w:top w:val="none" w:sz="0" w:space="0" w:color="auto"/>
        <w:left w:val="none" w:sz="0" w:space="0" w:color="auto"/>
        <w:bottom w:val="none" w:sz="0" w:space="0" w:color="auto"/>
        <w:right w:val="none" w:sz="0" w:space="0" w:color="auto"/>
      </w:divBdr>
    </w:div>
    <w:div w:id="243074993">
      <w:bodyDiv w:val="1"/>
      <w:marLeft w:val="0"/>
      <w:marRight w:val="0"/>
      <w:marTop w:val="0"/>
      <w:marBottom w:val="0"/>
      <w:divBdr>
        <w:top w:val="none" w:sz="0" w:space="0" w:color="auto"/>
        <w:left w:val="none" w:sz="0" w:space="0" w:color="auto"/>
        <w:bottom w:val="none" w:sz="0" w:space="0" w:color="auto"/>
        <w:right w:val="none" w:sz="0" w:space="0" w:color="auto"/>
      </w:divBdr>
    </w:div>
    <w:div w:id="243150347">
      <w:bodyDiv w:val="1"/>
      <w:marLeft w:val="0"/>
      <w:marRight w:val="0"/>
      <w:marTop w:val="0"/>
      <w:marBottom w:val="0"/>
      <w:divBdr>
        <w:top w:val="none" w:sz="0" w:space="0" w:color="auto"/>
        <w:left w:val="none" w:sz="0" w:space="0" w:color="auto"/>
        <w:bottom w:val="none" w:sz="0" w:space="0" w:color="auto"/>
        <w:right w:val="none" w:sz="0" w:space="0" w:color="auto"/>
      </w:divBdr>
    </w:div>
    <w:div w:id="243229367">
      <w:bodyDiv w:val="1"/>
      <w:marLeft w:val="0"/>
      <w:marRight w:val="0"/>
      <w:marTop w:val="0"/>
      <w:marBottom w:val="0"/>
      <w:divBdr>
        <w:top w:val="none" w:sz="0" w:space="0" w:color="auto"/>
        <w:left w:val="none" w:sz="0" w:space="0" w:color="auto"/>
        <w:bottom w:val="none" w:sz="0" w:space="0" w:color="auto"/>
        <w:right w:val="none" w:sz="0" w:space="0" w:color="auto"/>
      </w:divBdr>
    </w:div>
    <w:div w:id="243295506">
      <w:bodyDiv w:val="1"/>
      <w:marLeft w:val="0"/>
      <w:marRight w:val="0"/>
      <w:marTop w:val="0"/>
      <w:marBottom w:val="0"/>
      <w:divBdr>
        <w:top w:val="none" w:sz="0" w:space="0" w:color="auto"/>
        <w:left w:val="none" w:sz="0" w:space="0" w:color="auto"/>
        <w:bottom w:val="none" w:sz="0" w:space="0" w:color="auto"/>
        <w:right w:val="none" w:sz="0" w:space="0" w:color="auto"/>
      </w:divBdr>
    </w:div>
    <w:div w:id="243422386">
      <w:bodyDiv w:val="1"/>
      <w:marLeft w:val="0"/>
      <w:marRight w:val="0"/>
      <w:marTop w:val="0"/>
      <w:marBottom w:val="0"/>
      <w:divBdr>
        <w:top w:val="none" w:sz="0" w:space="0" w:color="auto"/>
        <w:left w:val="none" w:sz="0" w:space="0" w:color="auto"/>
        <w:bottom w:val="none" w:sz="0" w:space="0" w:color="auto"/>
        <w:right w:val="none" w:sz="0" w:space="0" w:color="auto"/>
      </w:divBdr>
    </w:div>
    <w:div w:id="243491779">
      <w:bodyDiv w:val="1"/>
      <w:marLeft w:val="0"/>
      <w:marRight w:val="0"/>
      <w:marTop w:val="0"/>
      <w:marBottom w:val="0"/>
      <w:divBdr>
        <w:top w:val="none" w:sz="0" w:space="0" w:color="auto"/>
        <w:left w:val="none" w:sz="0" w:space="0" w:color="auto"/>
        <w:bottom w:val="none" w:sz="0" w:space="0" w:color="auto"/>
        <w:right w:val="none" w:sz="0" w:space="0" w:color="auto"/>
      </w:divBdr>
    </w:div>
    <w:div w:id="243533256">
      <w:bodyDiv w:val="1"/>
      <w:marLeft w:val="0"/>
      <w:marRight w:val="0"/>
      <w:marTop w:val="0"/>
      <w:marBottom w:val="0"/>
      <w:divBdr>
        <w:top w:val="none" w:sz="0" w:space="0" w:color="auto"/>
        <w:left w:val="none" w:sz="0" w:space="0" w:color="auto"/>
        <w:bottom w:val="none" w:sz="0" w:space="0" w:color="auto"/>
        <w:right w:val="none" w:sz="0" w:space="0" w:color="auto"/>
      </w:divBdr>
    </w:div>
    <w:div w:id="243539827">
      <w:bodyDiv w:val="1"/>
      <w:marLeft w:val="0"/>
      <w:marRight w:val="0"/>
      <w:marTop w:val="0"/>
      <w:marBottom w:val="0"/>
      <w:divBdr>
        <w:top w:val="none" w:sz="0" w:space="0" w:color="auto"/>
        <w:left w:val="none" w:sz="0" w:space="0" w:color="auto"/>
        <w:bottom w:val="none" w:sz="0" w:space="0" w:color="auto"/>
        <w:right w:val="none" w:sz="0" w:space="0" w:color="auto"/>
      </w:divBdr>
    </w:div>
    <w:div w:id="243688926">
      <w:bodyDiv w:val="1"/>
      <w:marLeft w:val="0"/>
      <w:marRight w:val="0"/>
      <w:marTop w:val="0"/>
      <w:marBottom w:val="0"/>
      <w:divBdr>
        <w:top w:val="none" w:sz="0" w:space="0" w:color="auto"/>
        <w:left w:val="none" w:sz="0" w:space="0" w:color="auto"/>
        <w:bottom w:val="none" w:sz="0" w:space="0" w:color="auto"/>
        <w:right w:val="none" w:sz="0" w:space="0" w:color="auto"/>
      </w:divBdr>
    </w:div>
    <w:div w:id="243801470">
      <w:bodyDiv w:val="1"/>
      <w:marLeft w:val="0"/>
      <w:marRight w:val="0"/>
      <w:marTop w:val="0"/>
      <w:marBottom w:val="0"/>
      <w:divBdr>
        <w:top w:val="none" w:sz="0" w:space="0" w:color="auto"/>
        <w:left w:val="none" w:sz="0" w:space="0" w:color="auto"/>
        <w:bottom w:val="none" w:sz="0" w:space="0" w:color="auto"/>
        <w:right w:val="none" w:sz="0" w:space="0" w:color="auto"/>
      </w:divBdr>
    </w:div>
    <w:div w:id="243803700">
      <w:bodyDiv w:val="1"/>
      <w:marLeft w:val="0"/>
      <w:marRight w:val="0"/>
      <w:marTop w:val="0"/>
      <w:marBottom w:val="0"/>
      <w:divBdr>
        <w:top w:val="none" w:sz="0" w:space="0" w:color="auto"/>
        <w:left w:val="none" w:sz="0" w:space="0" w:color="auto"/>
        <w:bottom w:val="none" w:sz="0" w:space="0" w:color="auto"/>
        <w:right w:val="none" w:sz="0" w:space="0" w:color="auto"/>
      </w:divBdr>
    </w:div>
    <w:div w:id="243877688">
      <w:bodyDiv w:val="1"/>
      <w:marLeft w:val="0"/>
      <w:marRight w:val="0"/>
      <w:marTop w:val="0"/>
      <w:marBottom w:val="0"/>
      <w:divBdr>
        <w:top w:val="none" w:sz="0" w:space="0" w:color="auto"/>
        <w:left w:val="none" w:sz="0" w:space="0" w:color="auto"/>
        <w:bottom w:val="none" w:sz="0" w:space="0" w:color="auto"/>
        <w:right w:val="none" w:sz="0" w:space="0" w:color="auto"/>
      </w:divBdr>
    </w:div>
    <w:div w:id="243879912">
      <w:bodyDiv w:val="1"/>
      <w:marLeft w:val="0"/>
      <w:marRight w:val="0"/>
      <w:marTop w:val="0"/>
      <w:marBottom w:val="0"/>
      <w:divBdr>
        <w:top w:val="none" w:sz="0" w:space="0" w:color="auto"/>
        <w:left w:val="none" w:sz="0" w:space="0" w:color="auto"/>
        <w:bottom w:val="none" w:sz="0" w:space="0" w:color="auto"/>
        <w:right w:val="none" w:sz="0" w:space="0" w:color="auto"/>
      </w:divBdr>
    </w:div>
    <w:div w:id="243925177">
      <w:bodyDiv w:val="1"/>
      <w:marLeft w:val="0"/>
      <w:marRight w:val="0"/>
      <w:marTop w:val="0"/>
      <w:marBottom w:val="0"/>
      <w:divBdr>
        <w:top w:val="none" w:sz="0" w:space="0" w:color="auto"/>
        <w:left w:val="none" w:sz="0" w:space="0" w:color="auto"/>
        <w:bottom w:val="none" w:sz="0" w:space="0" w:color="auto"/>
        <w:right w:val="none" w:sz="0" w:space="0" w:color="auto"/>
      </w:divBdr>
    </w:div>
    <w:div w:id="244000029">
      <w:bodyDiv w:val="1"/>
      <w:marLeft w:val="0"/>
      <w:marRight w:val="0"/>
      <w:marTop w:val="0"/>
      <w:marBottom w:val="0"/>
      <w:divBdr>
        <w:top w:val="none" w:sz="0" w:space="0" w:color="auto"/>
        <w:left w:val="none" w:sz="0" w:space="0" w:color="auto"/>
        <w:bottom w:val="none" w:sz="0" w:space="0" w:color="auto"/>
        <w:right w:val="none" w:sz="0" w:space="0" w:color="auto"/>
      </w:divBdr>
    </w:div>
    <w:div w:id="244075711">
      <w:bodyDiv w:val="1"/>
      <w:marLeft w:val="0"/>
      <w:marRight w:val="0"/>
      <w:marTop w:val="0"/>
      <w:marBottom w:val="0"/>
      <w:divBdr>
        <w:top w:val="none" w:sz="0" w:space="0" w:color="auto"/>
        <w:left w:val="none" w:sz="0" w:space="0" w:color="auto"/>
        <w:bottom w:val="none" w:sz="0" w:space="0" w:color="auto"/>
        <w:right w:val="none" w:sz="0" w:space="0" w:color="auto"/>
      </w:divBdr>
    </w:div>
    <w:div w:id="244077001">
      <w:bodyDiv w:val="1"/>
      <w:marLeft w:val="0"/>
      <w:marRight w:val="0"/>
      <w:marTop w:val="0"/>
      <w:marBottom w:val="0"/>
      <w:divBdr>
        <w:top w:val="none" w:sz="0" w:space="0" w:color="auto"/>
        <w:left w:val="none" w:sz="0" w:space="0" w:color="auto"/>
        <w:bottom w:val="none" w:sz="0" w:space="0" w:color="auto"/>
        <w:right w:val="none" w:sz="0" w:space="0" w:color="auto"/>
      </w:divBdr>
    </w:div>
    <w:div w:id="244150415">
      <w:bodyDiv w:val="1"/>
      <w:marLeft w:val="0"/>
      <w:marRight w:val="0"/>
      <w:marTop w:val="0"/>
      <w:marBottom w:val="0"/>
      <w:divBdr>
        <w:top w:val="none" w:sz="0" w:space="0" w:color="auto"/>
        <w:left w:val="none" w:sz="0" w:space="0" w:color="auto"/>
        <w:bottom w:val="none" w:sz="0" w:space="0" w:color="auto"/>
        <w:right w:val="none" w:sz="0" w:space="0" w:color="auto"/>
      </w:divBdr>
    </w:div>
    <w:div w:id="244263973">
      <w:bodyDiv w:val="1"/>
      <w:marLeft w:val="0"/>
      <w:marRight w:val="0"/>
      <w:marTop w:val="0"/>
      <w:marBottom w:val="0"/>
      <w:divBdr>
        <w:top w:val="none" w:sz="0" w:space="0" w:color="auto"/>
        <w:left w:val="none" w:sz="0" w:space="0" w:color="auto"/>
        <w:bottom w:val="none" w:sz="0" w:space="0" w:color="auto"/>
        <w:right w:val="none" w:sz="0" w:space="0" w:color="auto"/>
      </w:divBdr>
    </w:div>
    <w:div w:id="244338043">
      <w:bodyDiv w:val="1"/>
      <w:marLeft w:val="0"/>
      <w:marRight w:val="0"/>
      <w:marTop w:val="0"/>
      <w:marBottom w:val="0"/>
      <w:divBdr>
        <w:top w:val="none" w:sz="0" w:space="0" w:color="auto"/>
        <w:left w:val="none" w:sz="0" w:space="0" w:color="auto"/>
        <w:bottom w:val="none" w:sz="0" w:space="0" w:color="auto"/>
        <w:right w:val="none" w:sz="0" w:space="0" w:color="auto"/>
      </w:divBdr>
    </w:div>
    <w:div w:id="244343079">
      <w:bodyDiv w:val="1"/>
      <w:marLeft w:val="0"/>
      <w:marRight w:val="0"/>
      <w:marTop w:val="0"/>
      <w:marBottom w:val="0"/>
      <w:divBdr>
        <w:top w:val="none" w:sz="0" w:space="0" w:color="auto"/>
        <w:left w:val="none" w:sz="0" w:space="0" w:color="auto"/>
        <w:bottom w:val="none" w:sz="0" w:space="0" w:color="auto"/>
        <w:right w:val="none" w:sz="0" w:space="0" w:color="auto"/>
      </w:divBdr>
    </w:div>
    <w:div w:id="244608927">
      <w:bodyDiv w:val="1"/>
      <w:marLeft w:val="0"/>
      <w:marRight w:val="0"/>
      <w:marTop w:val="0"/>
      <w:marBottom w:val="0"/>
      <w:divBdr>
        <w:top w:val="none" w:sz="0" w:space="0" w:color="auto"/>
        <w:left w:val="none" w:sz="0" w:space="0" w:color="auto"/>
        <w:bottom w:val="none" w:sz="0" w:space="0" w:color="auto"/>
        <w:right w:val="none" w:sz="0" w:space="0" w:color="auto"/>
      </w:divBdr>
    </w:div>
    <w:div w:id="244649150">
      <w:bodyDiv w:val="1"/>
      <w:marLeft w:val="0"/>
      <w:marRight w:val="0"/>
      <w:marTop w:val="0"/>
      <w:marBottom w:val="0"/>
      <w:divBdr>
        <w:top w:val="none" w:sz="0" w:space="0" w:color="auto"/>
        <w:left w:val="none" w:sz="0" w:space="0" w:color="auto"/>
        <w:bottom w:val="none" w:sz="0" w:space="0" w:color="auto"/>
        <w:right w:val="none" w:sz="0" w:space="0" w:color="auto"/>
      </w:divBdr>
    </w:div>
    <w:div w:id="244651056">
      <w:bodyDiv w:val="1"/>
      <w:marLeft w:val="0"/>
      <w:marRight w:val="0"/>
      <w:marTop w:val="0"/>
      <w:marBottom w:val="0"/>
      <w:divBdr>
        <w:top w:val="none" w:sz="0" w:space="0" w:color="auto"/>
        <w:left w:val="none" w:sz="0" w:space="0" w:color="auto"/>
        <w:bottom w:val="none" w:sz="0" w:space="0" w:color="auto"/>
        <w:right w:val="none" w:sz="0" w:space="0" w:color="auto"/>
      </w:divBdr>
    </w:div>
    <w:div w:id="244651349">
      <w:bodyDiv w:val="1"/>
      <w:marLeft w:val="0"/>
      <w:marRight w:val="0"/>
      <w:marTop w:val="0"/>
      <w:marBottom w:val="0"/>
      <w:divBdr>
        <w:top w:val="none" w:sz="0" w:space="0" w:color="auto"/>
        <w:left w:val="none" w:sz="0" w:space="0" w:color="auto"/>
        <w:bottom w:val="none" w:sz="0" w:space="0" w:color="auto"/>
        <w:right w:val="none" w:sz="0" w:space="0" w:color="auto"/>
      </w:divBdr>
    </w:div>
    <w:div w:id="244652493">
      <w:bodyDiv w:val="1"/>
      <w:marLeft w:val="0"/>
      <w:marRight w:val="0"/>
      <w:marTop w:val="0"/>
      <w:marBottom w:val="0"/>
      <w:divBdr>
        <w:top w:val="none" w:sz="0" w:space="0" w:color="auto"/>
        <w:left w:val="none" w:sz="0" w:space="0" w:color="auto"/>
        <w:bottom w:val="none" w:sz="0" w:space="0" w:color="auto"/>
        <w:right w:val="none" w:sz="0" w:space="0" w:color="auto"/>
      </w:divBdr>
    </w:div>
    <w:div w:id="244733328">
      <w:bodyDiv w:val="1"/>
      <w:marLeft w:val="0"/>
      <w:marRight w:val="0"/>
      <w:marTop w:val="0"/>
      <w:marBottom w:val="0"/>
      <w:divBdr>
        <w:top w:val="none" w:sz="0" w:space="0" w:color="auto"/>
        <w:left w:val="none" w:sz="0" w:space="0" w:color="auto"/>
        <w:bottom w:val="none" w:sz="0" w:space="0" w:color="auto"/>
        <w:right w:val="none" w:sz="0" w:space="0" w:color="auto"/>
      </w:divBdr>
    </w:div>
    <w:div w:id="244801477">
      <w:bodyDiv w:val="1"/>
      <w:marLeft w:val="0"/>
      <w:marRight w:val="0"/>
      <w:marTop w:val="0"/>
      <w:marBottom w:val="0"/>
      <w:divBdr>
        <w:top w:val="none" w:sz="0" w:space="0" w:color="auto"/>
        <w:left w:val="none" w:sz="0" w:space="0" w:color="auto"/>
        <w:bottom w:val="none" w:sz="0" w:space="0" w:color="auto"/>
        <w:right w:val="none" w:sz="0" w:space="0" w:color="auto"/>
      </w:divBdr>
    </w:div>
    <w:div w:id="244849367">
      <w:bodyDiv w:val="1"/>
      <w:marLeft w:val="0"/>
      <w:marRight w:val="0"/>
      <w:marTop w:val="0"/>
      <w:marBottom w:val="0"/>
      <w:divBdr>
        <w:top w:val="none" w:sz="0" w:space="0" w:color="auto"/>
        <w:left w:val="none" w:sz="0" w:space="0" w:color="auto"/>
        <w:bottom w:val="none" w:sz="0" w:space="0" w:color="auto"/>
        <w:right w:val="none" w:sz="0" w:space="0" w:color="auto"/>
      </w:divBdr>
    </w:div>
    <w:div w:id="244920161">
      <w:bodyDiv w:val="1"/>
      <w:marLeft w:val="0"/>
      <w:marRight w:val="0"/>
      <w:marTop w:val="0"/>
      <w:marBottom w:val="0"/>
      <w:divBdr>
        <w:top w:val="none" w:sz="0" w:space="0" w:color="auto"/>
        <w:left w:val="none" w:sz="0" w:space="0" w:color="auto"/>
        <w:bottom w:val="none" w:sz="0" w:space="0" w:color="auto"/>
        <w:right w:val="none" w:sz="0" w:space="0" w:color="auto"/>
      </w:divBdr>
    </w:div>
    <w:div w:id="245042966">
      <w:bodyDiv w:val="1"/>
      <w:marLeft w:val="0"/>
      <w:marRight w:val="0"/>
      <w:marTop w:val="0"/>
      <w:marBottom w:val="0"/>
      <w:divBdr>
        <w:top w:val="none" w:sz="0" w:space="0" w:color="auto"/>
        <w:left w:val="none" w:sz="0" w:space="0" w:color="auto"/>
        <w:bottom w:val="none" w:sz="0" w:space="0" w:color="auto"/>
        <w:right w:val="none" w:sz="0" w:space="0" w:color="auto"/>
      </w:divBdr>
    </w:div>
    <w:div w:id="245266525">
      <w:bodyDiv w:val="1"/>
      <w:marLeft w:val="0"/>
      <w:marRight w:val="0"/>
      <w:marTop w:val="0"/>
      <w:marBottom w:val="0"/>
      <w:divBdr>
        <w:top w:val="none" w:sz="0" w:space="0" w:color="auto"/>
        <w:left w:val="none" w:sz="0" w:space="0" w:color="auto"/>
        <w:bottom w:val="none" w:sz="0" w:space="0" w:color="auto"/>
        <w:right w:val="none" w:sz="0" w:space="0" w:color="auto"/>
      </w:divBdr>
    </w:div>
    <w:div w:id="245309330">
      <w:bodyDiv w:val="1"/>
      <w:marLeft w:val="0"/>
      <w:marRight w:val="0"/>
      <w:marTop w:val="0"/>
      <w:marBottom w:val="0"/>
      <w:divBdr>
        <w:top w:val="none" w:sz="0" w:space="0" w:color="auto"/>
        <w:left w:val="none" w:sz="0" w:space="0" w:color="auto"/>
        <w:bottom w:val="none" w:sz="0" w:space="0" w:color="auto"/>
        <w:right w:val="none" w:sz="0" w:space="0" w:color="auto"/>
      </w:divBdr>
    </w:div>
    <w:div w:id="245381447">
      <w:bodyDiv w:val="1"/>
      <w:marLeft w:val="0"/>
      <w:marRight w:val="0"/>
      <w:marTop w:val="0"/>
      <w:marBottom w:val="0"/>
      <w:divBdr>
        <w:top w:val="none" w:sz="0" w:space="0" w:color="auto"/>
        <w:left w:val="none" w:sz="0" w:space="0" w:color="auto"/>
        <w:bottom w:val="none" w:sz="0" w:space="0" w:color="auto"/>
        <w:right w:val="none" w:sz="0" w:space="0" w:color="auto"/>
      </w:divBdr>
    </w:div>
    <w:div w:id="245387572">
      <w:bodyDiv w:val="1"/>
      <w:marLeft w:val="0"/>
      <w:marRight w:val="0"/>
      <w:marTop w:val="0"/>
      <w:marBottom w:val="0"/>
      <w:divBdr>
        <w:top w:val="none" w:sz="0" w:space="0" w:color="auto"/>
        <w:left w:val="none" w:sz="0" w:space="0" w:color="auto"/>
        <w:bottom w:val="none" w:sz="0" w:space="0" w:color="auto"/>
        <w:right w:val="none" w:sz="0" w:space="0" w:color="auto"/>
      </w:divBdr>
    </w:div>
    <w:div w:id="245505358">
      <w:bodyDiv w:val="1"/>
      <w:marLeft w:val="0"/>
      <w:marRight w:val="0"/>
      <w:marTop w:val="0"/>
      <w:marBottom w:val="0"/>
      <w:divBdr>
        <w:top w:val="none" w:sz="0" w:space="0" w:color="auto"/>
        <w:left w:val="none" w:sz="0" w:space="0" w:color="auto"/>
        <w:bottom w:val="none" w:sz="0" w:space="0" w:color="auto"/>
        <w:right w:val="none" w:sz="0" w:space="0" w:color="auto"/>
      </w:divBdr>
    </w:div>
    <w:div w:id="245579769">
      <w:bodyDiv w:val="1"/>
      <w:marLeft w:val="0"/>
      <w:marRight w:val="0"/>
      <w:marTop w:val="0"/>
      <w:marBottom w:val="0"/>
      <w:divBdr>
        <w:top w:val="none" w:sz="0" w:space="0" w:color="auto"/>
        <w:left w:val="none" w:sz="0" w:space="0" w:color="auto"/>
        <w:bottom w:val="none" w:sz="0" w:space="0" w:color="auto"/>
        <w:right w:val="none" w:sz="0" w:space="0" w:color="auto"/>
      </w:divBdr>
    </w:div>
    <w:div w:id="245649841">
      <w:bodyDiv w:val="1"/>
      <w:marLeft w:val="0"/>
      <w:marRight w:val="0"/>
      <w:marTop w:val="0"/>
      <w:marBottom w:val="0"/>
      <w:divBdr>
        <w:top w:val="none" w:sz="0" w:space="0" w:color="auto"/>
        <w:left w:val="none" w:sz="0" w:space="0" w:color="auto"/>
        <w:bottom w:val="none" w:sz="0" w:space="0" w:color="auto"/>
        <w:right w:val="none" w:sz="0" w:space="0" w:color="auto"/>
      </w:divBdr>
    </w:div>
    <w:div w:id="245650323">
      <w:bodyDiv w:val="1"/>
      <w:marLeft w:val="0"/>
      <w:marRight w:val="0"/>
      <w:marTop w:val="0"/>
      <w:marBottom w:val="0"/>
      <w:divBdr>
        <w:top w:val="none" w:sz="0" w:space="0" w:color="auto"/>
        <w:left w:val="none" w:sz="0" w:space="0" w:color="auto"/>
        <w:bottom w:val="none" w:sz="0" w:space="0" w:color="auto"/>
        <w:right w:val="none" w:sz="0" w:space="0" w:color="auto"/>
      </w:divBdr>
    </w:div>
    <w:div w:id="245655015">
      <w:bodyDiv w:val="1"/>
      <w:marLeft w:val="0"/>
      <w:marRight w:val="0"/>
      <w:marTop w:val="0"/>
      <w:marBottom w:val="0"/>
      <w:divBdr>
        <w:top w:val="none" w:sz="0" w:space="0" w:color="auto"/>
        <w:left w:val="none" w:sz="0" w:space="0" w:color="auto"/>
        <w:bottom w:val="none" w:sz="0" w:space="0" w:color="auto"/>
        <w:right w:val="none" w:sz="0" w:space="0" w:color="auto"/>
      </w:divBdr>
    </w:div>
    <w:div w:id="245657252">
      <w:bodyDiv w:val="1"/>
      <w:marLeft w:val="0"/>
      <w:marRight w:val="0"/>
      <w:marTop w:val="0"/>
      <w:marBottom w:val="0"/>
      <w:divBdr>
        <w:top w:val="none" w:sz="0" w:space="0" w:color="auto"/>
        <w:left w:val="none" w:sz="0" w:space="0" w:color="auto"/>
        <w:bottom w:val="none" w:sz="0" w:space="0" w:color="auto"/>
        <w:right w:val="none" w:sz="0" w:space="0" w:color="auto"/>
      </w:divBdr>
    </w:div>
    <w:div w:id="245724781">
      <w:bodyDiv w:val="1"/>
      <w:marLeft w:val="0"/>
      <w:marRight w:val="0"/>
      <w:marTop w:val="0"/>
      <w:marBottom w:val="0"/>
      <w:divBdr>
        <w:top w:val="none" w:sz="0" w:space="0" w:color="auto"/>
        <w:left w:val="none" w:sz="0" w:space="0" w:color="auto"/>
        <w:bottom w:val="none" w:sz="0" w:space="0" w:color="auto"/>
        <w:right w:val="none" w:sz="0" w:space="0" w:color="auto"/>
      </w:divBdr>
    </w:div>
    <w:div w:id="245766561">
      <w:bodyDiv w:val="1"/>
      <w:marLeft w:val="0"/>
      <w:marRight w:val="0"/>
      <w:marTop w:val="0"/>
      <w:marBottom w:val="0"/>
      <w:divBdr>
        <w:top w:val="none" w:sz="0" w:space="0" w:color="auto"/>
        <w:left w:val="none" w:sz="0" w:space="0" w:color="auto"/>
        <w:bottom w:val="none" w:sz="0" w:space="0" w:color="auto"/>
        <w:right w:val="none" w:sz="0" w:space="0" w:color="auto"/>
      </w:divBdr>
    </w:div>
    <w:div w:id="245766936">
      <w:bodyDiv w:val="1"/>
      <w:marLeft w:val="0"/>
      <w:marRight w:val="0"/>
      <w:marTop w:val="0"/>
      <w:marBottom w:val="0"/>
      <w:divBdr>
        <w:top w:val="none" w:sz="0" w:space="0" w:color="auto"/>
        <w:left w:val="none" w:sz="0" w:space="0" w:color="auto"/>
        <w:bottom w:val="none" w:sz="0" w:space="0" w:color="auto"/>
        <w:right w:val="none" w:sz="0" w:space="0" w:color="auto"/>
      </w:divBdr>
    </w:div>
    <w:div w:id="245849286">
      <w:bodyDiv w:val="1"/>
      <w:marLeft w:val="0"/>
      <w:marRight w:val="0"/>
      <w:marTop w:val="0"/>
      <w:marBottom w:val="0"/>
      <w:divBdr>
        <w:top w:val="none" w:sz="0" w:space="0" w:color="auto"/>
        <w:left w:val="none" w:sz="0" w:space="0" w:color="auto"/>
        <w:bottom w:val="none" w:sz="0" w:space="0" w:color="auto"/>
        <w:right w:val="none" w:sz="0" w:space="0" w:color="auto"/>
      </w:divBdr>
    </w:div>
    <w:div w:id="245891892">
      <w:bodyDiv w:val="1"/>
      <w:marLeft w:val="0"/>
      <w:marRight w:val="0"/>
      <w:marTop w:val="0"/>
      <w:marBottom w:val="0"/>
      <w:divBdr>
        <w:top w:val="none" w:sz="0" w:space="0" w:color="auto"/>
        <w:left w:val="none" w:sz="0" w:space="0" w:color="auto"/>
        <w:bottom w:val="none" w:sz="0" w:space="0" w:color="auto"/>
        <w:right w:val="none" w:sz="0" w:space="0" w:color="auto"/>
      </w:divBdr>
    </w:div>
    <w:div w:id="246036375">
      <w:bodyDiv w:val="1"/>
      <w:marLeft w:val="0"/>
      <w:marRight w:val="0"/>
      <w:marTop w:val="0"/>
      <w:marBottom w:val="0"/>
      <w:divBdr>
        <w:top w:val="none" w:sz="0" w:space="0" w:color="auto"/>
        <w:left w:val="none" w:sz="0" w:space="0" w:color="auto"/>
        <w:bottom w:val="none" w:sz="0" w:space="0" w:color="auto"/>
        <w:right w:val="none" w:sz="0" w:space="0" w:color="auto"/>
      </w:divBdr>
    </w:div>
    <w:div w:id="246110119">
      <w:bodyDiv w:val="1"/>
      <w:marLeft w:val="0"/>
      <w:marRight w:val="0"/>
      <w:marTop w:val="0"/>
      <w:marBottom w:val="0"/>
      <w:divBdr>
        <w:top w:val="none" w:sz="0" w:space="0" w:color="auto"/>
        <w:left w:val="none" w:sz="0" w:space="0" w:color="auto"/>
        <w:bottom w:val="none" w:sz="0" w:space="0" w:color="auto"/>
        <w:right w:val="none" w:sz="0" w:space="0" w:color="auto"/>
      </w:divBdr>
    </w:div>
    <w:div w:id="246113951">
      <w:bodyDiv w:val="1"/>
      <w:marLeft w:val="0"/>
      <w:marRight w:val="0"/>
      <w:marTop w:val="0"/>
      <w:marBottom w:val="0"/>
      <w:divBdr>
        <w:top w:val="none" w:sz="0" w:space="0" w:color="auto"/>
        <w:left w:val="none" w:sz="0" w:space="0" w:color="auto"/>
        <w:bottom w:val="none" w:sz="0" w:space="0" w:color="auto"/>
        <w:right w:val="none" w:sz="0" w:space="0" w:color="auto"/>
      </w:divBdr>
    </w:div>
    <w:div w:id="246117200">
      <w:bodyDiv w:val="1"/>
      <w:marLeft w:val="0"/>
      <w:marRight w:val="0"/>
      <w:marTop w:val="0"/>
      <w:marBottom w:val="0"/>
      <w:divBdr>
        <w:top w:val="none" w:sz="0" w:space="0" w:color="auto"/>
        <w:left w:val="none" w:sz="0" w:space="0" w:color="auto"/>
        <w:bottom w:val="none" w:sz="0" w:space="0" w:color="auto"/>
        <w:right w:val="none" w:sz="0" w:space="0" w:color="auto"/>
      </w:divBdr>
    </w:div>
    <w:div w:id="246156305">
      <w:bodyDiv w:val="1"/>
      <w:marLeft w:val="0"/>
      <w:marRight w:val="0"/>
      <w:marTop w:val="0"/>
      <w:marBottom w:val="0"/>
      <w:divBdr>
        <w:top w:val="none" w:sz="0" w:space="0" w:color="auto"/>
        <w:left w:val="none" w:sz="0" w:space="0" w:color="auto"/>
        <w:bottom w:val="none" w:sz="0" w:space="0" w:color="auto"/>
        <w:right w:val="none" w:sz="0" w:space="0" w:color="auto"/>
      </w:divBdr>
    </w:div>
    <w:div w:id="246353667">
      <w:bodyDiv w:val="1"/>
      <w:marLeft w:val="0"/>
      <w:marRight w:val="0"/>
      <w:marTop w:val="0"/>
      <w:marBottom w:val="0"/>
      <w:divBdr>
        <w:top w:val="none" w:sz="0" w:space="0" w:color="auto"/>
        <w:left w:val="none" w:sz="0" w:space="0" w:color="auto"/>
        <w:bottom w:val="none" w:sz="0" w:space="0" w:color="auto"/>
        <w:right w:val="none" w:sz="0" w:space="0" w:color="auto"/>
      </w:divBdr>
    </w:div>
    <w:div w:id="246500987">
      <w:bodyDiv w:val="1"/>
      <w:marLeft w:val="0"/>
      <w:marRight w:val="0"/>
      <w:marTop w:val="0"/>
      <w:marBottom w:val="0"/>
      <w:divBdr>
        <w:top w:val="none" w:sz="0" w:space="0" w:color="auto"/>
        <w:left w:val="none" w:sz="0" w:space="0" w:color="auto"/>
        <w:bottom w:val="none" w:sz="0" w:space="0" w:color="auto"/>
        <w:right w:val="none" w:sz="0" w:space="0" w:color="auto"/>
      </w:divBdr>
    </w:div>
    <w:div w:id="246623733">
      <w:bodyDiv w:val="1"/>
      <w:marLeft w:val="0"/>
      <w:marRight w:val="0"/>
      <w:marTop w:val="0"/>
      <w:marBottom w:val="0"/>
      <w:divBdr>
        <w:top w:val="none" w:sz="0" w:space="0" w:color="auto"/>
        <w:left w:val="none" w:sz="0" w:space="0" w:color="auto"/>
        <w:bottom w:val="none" w:sz="0" w:space="0" w:color="auto"/>
        <w:right w:val="none" w:sz="0" w:space="0" w:color="auto"/>
      </w:divBdr>
    </w:div>
    <w:div w:id="246811606">
      <w:bodyDiv w:val="1"/>
      <w:marLeft w:val="0"/>
      <w:marRight w:val="0"/>
      <w:marTop w:val="0"/>
      <w:marBottom w:val="0"/>
      <w:divBdr>
        <w:top w:val="none" w:sz="0" w:space="0" w:color="auto"/>
        <w:left w:val="none" w:sz="0" w:space="0" w:color="auto"/>
        <w:bottom w:val="none" w:sz="0" w:space="0" w:color="auto"/>
        <w:right w:val="none" w:sz="0" w:space="0" w:color="auto"/>
      </w:divBdr>
    </w:div>
    <w:div w:id="246817233">
      <w:bodyDiv w:val="1"/>
      <w:marLeft w:val="0"/>
      <w:marRight w:val="0"/>
      <w:marTop w:val="0"/>
      <w:marBottom w:val="0"/>
      <w:divBdr>
        <w:top w:val="none" w:sz="0" w:space="0" w:color="auto"/>
        <w:left w:val="none" w:sz="0" w:space="0" w:color="auto"/>
        <w:bottom w:val="none" w:sz="0" w:space="0" w:color="auto"/>
        <w:right w:val="none" w:sz="0" w:space="0" w:color="auto"/>
      </w:divBdr>
    </w:div>
    <w:div w:id="246840416">
      <w:bodyDiv w:val="1"/>
      <w:marLeft w:val="0"/>
      <w:marRight w:val="0"/>
      <w:marTop w:val="0"/>
      <w:marBottom w:val="0"/>
      <w:divBdr>
        <w:top w:val="none" w:sz="0" w:space="0" w:color="auto"/>
        <w:left w:val="none" w:sz="0" w:space="0" w:color="auto"/>
        <w:bottom w:val="none" w:sz="0" w:space="0" w:color="auto"/>
        <w:right w:val="none" w:sz="0" w:space="0" w:color="auto"/>
      </w:divBdr>
    </w:div>
    <w:div w:id="246892061">
      <w:bodyDiv w:val="1"/>
      <w:marLeft w:val="0"/>
      <w:marRight w:val="0"/>
      <w:marTop w:val="0"/>
      <w:marBottom w:val="0"/>
      <w:divBdr>
        <w:top w:val="none" w:sz="0" w:space="0" w:color="auto"/>
        <w:left w:val="none" w:sz="0" w:space="0" w:color="auto"/>
        <w:bottom w:val="none" w:sz="0" w:space="0" w:color="auto"/>
        <w:right w:val="none" w:sz="0" w:space="0" w:color="auto"/>
      </w:divBdr>
    </w:div>
    <w:div w:id="246961639">
      <w:bodyDiv w:val="1"/>
      <w:marLeft w:val="0"/>
      <w:marRight w:val="0"/>
      <w:marTop w:val="0"/>
      <w:marBottom w:val="0"/>
      <w:divBdr>
        <w:top w:val="none" w:sz="0" w:space="0" w:color="auto"/>
        <w:left w:val="none" w:sz="0" w:space="0" w:color="auto"/>
        <w:bottom w:val="none" w:sz="0" w:space="0" w:color="auto"/>
        <w:right w:val="none" w:sz="0" w:space="0" w:color="auto"/>
      </w:divBdr>
    </w:div>
    <w:div w:id="246966587">
      <w:bodyDiv w:val="1"/>
      <w:marLeft w:val="0"/>
      <w:marRight w:val="0"/>
      <w:marTop w:val="0"/>
      <w:marBottom w:val="0"/>
      <w:divBdr>
        <w:top w:val="none" w:sz="0" w:space="0" w:color="auto"/>
        <w:left w:val="none" w:sz="0" w:space="0" w:color="auto"/>
        <w:bottom w:val="none" w:sz="0" w:space="0" w:color="auto"/>
        <w:right w:val="none" w:sz="0" w:space="0" w:color="auto"/>
      </w:divBdr>
    </w:div>
    <w:div w:id="247008354">
      <w:bodyDiv w:val="1"/>
      <w:marLeft w:val="0"/>
      <w:marRight w:val="0"/>
      <w:marTop w:val="0"/>
      <w:marBottom w:val="0"/>
      <w:divBdr>
        <w:top w:val="none" w:sz="0" w:space="0" w:color="auto"/>
        <w:left w:val="none" w:sz="0" w:space="0" w:color="auto"/>
        <w:bottom w:val="none" w:sz="0" w:space="0" w:color="auto"/>
        <w:right w:val="none" w:sz="0" w:space="0" w:color="auto"/>
      </w:divBdr>
    </w:div>
    <w:div w:id="247160411">
      <w:bodyDiv w:val="1"/>
      <w:marLeft w:val="0"/>
      <w:marRight w:val="0"/>
      <w:marTop w:val="0"/>
      <w:marBottom w:val="0"/>
      <w:divBdr>
        <w:top w:val="none" w:sz="0" w:space="0" w:color="auto"/>
        <w:left w:val="none" w:sz="0" w:space="0" w:color="auto"/>
        <w:bottom w:val="none" w:sz="0" w:space="0" w:color="auto"/>
        <w:right w:val="none" w:sz="0" w:space="0" w:color="auto"/>
      </w:divBdr>
    </w:div>
    <w:div w:id="247270202">
      <w:bodyDiv w:val="1"/>
      <w:marLeft w:val="0"/>
      <w:marRight w:val="0"/>
      <w:marTop w:val="0"/>
      <w:marBottom w:val="0"/>
      <w:divBdr>
        <w:top w:val="none" w:sz="0" w:space="0" w:color="auto"/>
        <w:left w:val="none" w:sz="0" w:space="0" w:color="auto"/>
        <w:bottom w:val="none" w:sz="0" w:space="0" w:color="auto"/>
        <w:right w:val="none" w:sz="0" w:space="0" w:color="auto"/>
      </w:divBdr>
    </w:div>
    <w:div w:id="247270314">
      <w:bodyDiv w:val="1"/>
      <w:marLeft w:val="0"/>
      <w:marRight w:val="0"/>
      <w:marTop w:val="0"/>
      <w:marBottom w:val="0"/>
      <w:divBdr>
        <w:top w:val="none" w:sz="0" w:space="0" w:color="auto"/>
        <w:left w:val="none" w:sz="0" w:space="0" w:color="auto"/>
        <w:bottom w:val="none" w:sz="0" w:space="0" w:color="auto"/>
        <w:right w:val="none" w:sz="0" w:space="0" w:color="auto"/>
      </w:divBdr>
    </w:div>
    <w:div w:id="247344843">
      <w:bodyDiv w:val="1"/>
      <w:marLeft w:val="0"/>
      <w:marRight w:val="0"/>
      <w:marTop w:val="0"/>
      <w:marBottom w:val="0"/>
      <w:divBdr>
        <w:top w:val="none" w:sz="0" w:space="0" w:color="auto"/>
        <w:left w:val="none" w:sz="0" w:space="0" w:color="auto"/>
        <w:bottom w:val="none" w:sz="0" w:space="0" w:color="auto"/>
        <w:right w:val="none" w:sz="0" w:space="0" w:color="auto"/>
      </w:divBdr>
    </w:div>
    <w:div w:id="247691477">
      <w:bodyDiv w:val="1"/>
      <w:marLeft w:val="0"/>
      <w:marRight w:val="0"/>
      <w:marTop w:val="0"/>
      <w:marBottom w:val="0"/>
      <w:divBdr>
        <w:top w:val="none" w:sz="0" w:space="0" w:color="auto"/>
        <w:left w:val="none" w:sz="0" w:space="0" w:color="auto"/>
        <w:bottom w:val="none" w:sz="0" w:space="0" w:color="auto"/>
        <w:right w:val="none" w:sz="0" w:space="0" w:color="auto"/>
      </w:divBdr>
    </w:div>
    <w:div w:id="247811896">
      <w:bodyDiv w:val="1"/>
      <w:marLeft w:val="0"/>
      <w:marRight w:val="0"/>
      <w:marTop w:val="0"/>
      <w:marBottom w:val="0"/>
      <w:divBdr>
        <w:top w:val="none" w:sz="0" w:space="0" w:color="auto"/>
        <w:left w:val="none" w:sz="0" w:space="0" w:color="auto"/>
        <w:bottom w:val="none" w:sz="0" w:space="0" w:color="auto"/>
        <w:right w:val="none" w:sz="0" w:space="0" w:color="auto"/>
      </w:divBdr>
    </w:div>
    <w:div w:id="247812893">
      <w:bodyDiv w:val="1"/>
      <w:marLeft w:val="0"/>
      <w:marRight w:val="0"/>
      <w:marTop w:val="0"/>
      <w:marBottom w:val="0"/>
      <w:divBdr>
        <w:top w:val="none" w:sz="0" w:space="0" w:color="auto"/>
        <w:left w:val="none" w:sz="0" w:space="0" w:color="auto"/>
        <w:bottom w:val="none" w:sz="0" w:space="0" w:color="auto"/>
        <w:right w:val="none" w:sz="0" w:space="0" w:color="auto"/>
      </w:divBdr>
    </w:div>
    <w:div w:id="247931225">
      <w:bodyDiv w:val="1"/>
      <w:marLeft w:val="0"/>
      <w:marRight w:val="0"/>
      <w:marTop w:val="0"/>
      <w:marBottom w:val="0"/>
      <w:divBdr>
        <w:top w:val="none" w:sz="0" w:space="0" w:color="auto"/>
        <w:left w:val="none" w:sz="0" w:space="0" w:color="auto"/>
        <w:bottom w:val="none" w:sz="0" w:space="0" w:color="auto"/>
        <w:right w:val="none" w:sz="0" w:space="0" w:color="auto"/>
      </w:divBdr>
    </w:div>
    <w:div w:id="248004662">
      <w:bodyDiv w:val="1"/>
      <w:marLeft w:val="0"/>
      <w:marRight w:val="0"/>
      <w:marTop w:val="0"/>
      <w:marBottom w:val="0"/>
      <w:divBdr>
        <w:top w:val="none" w:sz="0" w:space="0" w:color="auto"/>
        <w:left w:val="none" w:sz="0" w:space="0" w:color="auto"/>
        <w:bottom w:val="none" w:sz="0" w:space="0" w:color="auto"/>
        <w:right w:val="none" w:sz="0" w:space="0" w:color="auto"/>
      </w:divBdr>
    </w:div>
    <w:div w:id="248121980">
      <w:bodyDiv w:val="1"/>
      <w:marLeft w:val="0"/>
      <w:marRight w:val="0"/>
      <w:marTop w:val="0"/>
      <w:marBottom w:val="0"/>
      <w:divBdr>
        <w:top w:val="none" w:sz="0" w:space="0" w:color="auto"/>
        <w:left w:val="none" w:sz="0" w:space="0" w:color="auto"/>
        <w:bottom w:val="none" w:sz="0" w:space="0" w:color="auto"/>
        <w:right w:val="none" w:sz="0" w:space="0" w:color="auto"/>
      </w:divBdr>
    </w:div>
    <w:div w:id="248122576">
      <w:bodyDiv w:val="1"/>
      <w:marLeft w:val="0"/>
      <w:marRight w:val="0"/>
      <w:marTop w:val="0"/>
      <w:marBottom w:val="0"/>
      <w:divBdr>
        <w:top w:val="none" w:sz="0" w:space="0" w:color="auto"/>
        <w:left w:val="none" w:sz="0" w:space="0" w:color="auto"/>
        <w:bottom w:val="none" w:sz="0" w:space="0" w:color="auto"/>
        <w:right w:val="none" w:sz="0" w:space="0" w:color="auto"/>
      </w:divBdr>
    </w:div>
    <w:div w:id="248127139">
      <w:bodyDiv w:val="1"/>
      <w:marLeft w:val="0"/>
      <w:marRight w:val="0"/>
      <w:marTop w:val="0"/>
      <w:marBottom w:val="0"/>
      <w:divBdr>
        <w:top w:val="none" w:sz="0" w:space="0" w:color="auto"/>
        <w:left w:val="none" w:sz="0" w:space="0" w:color="auto"/>
        <w:bottom w:val="none" w:sz="0" w:space="0" w:color="auto"/>
        <w:right w:val="none" w:sz="0" w:space="0" w:color="auto"/>
      </w:divBdr>
    </w:div>
    <w:div w:id="248127228">
      <w:bodyDiv w:val="1"/>
      <w:marLeft w:val="0"/>
      <w:marRight w:val="0"/>
      <w:marTop w:val="0"/>
      <w:marBottom w:val="0"/>
      <w:divBdr>
        <w:top w:val="none" w:sz="0" w:space="0" w:color="auto"/>
        <w:left w:val="none" w:sz="0" w:space="0" w:color="auto"/>
        <w:bottom w:val="none" w:sz="0" w:space="0" w:color="auto"/>
        <w:right w:val="none" w:sz="0" w:space="0" w:color="auto"/>
      </w:divBdr>
    </w:div>
    <w:div w:id="248127428">
      <w:bodyDiv w:val="1"/>
      <w:marLeft w:val="0"/>
      <w:marRight w:val="0"/>
      <w:marTop w:val="0"/>
      <w:marBottom w:val="0"/>
      <w:divBdr>
        <w:top w:val="none" w:sz="0" w:space="0" w:color="auto"/>
        <w:left w:val="none" w:sz="0" w:space="0" w:color="auto"/>
        <w:bottom w:val="none" w:sz="0" w:space="0" w:color="auto"/>
        <w:right w:val="none" w:sz="0" w:space="0" w:color="auto"/>
      </w:divBdr>
    </w:div>
    <w:div w:id="248197121">
      <w:bodyDiv w:val="1"/>
      <w:marLeft w:val="0"/>
      <w:marRight w:val="0"/>
      <w:marTop w:val="0"/>
      <w:marBottom w:val="0"/>
      <w:divBdr>
        <w:top w:val="none" w:sz="0" w:space="0" w:color="auto"/>
        <w:left w:val="none" w:sz="0" w:space="0" w:color="auto"/>
        <w:bottom w:val="none" w:sz="0" w:space="0" w:color="auto"/>
        <w:right w:val="none" w:sz="0" w:space="0" w:color="auto"/>
      </w:divBdr>
    </w:div>
    <w:div w:id="248201402">
      <w:bodyDiv w:val="1"/>
      <w:marLeft w:val="0"/>
      <w:marRight w:val="0"/>
      <w:marTop w:val="0"/>
      <w:marBottom w:val="0"/>
      <w:divBdr>
        <w:top w:val="none" w:sz="0" w:space="0" w:color="auto"/>
        <w:left w:val="none" w:sz="0" w:space="0" w:color="auto"/>
        <w:bottom w:val="none" w:sz="0" w:space="0" w:color="auto"/>
        <w:right w:val="none" w:sz="0" w:space="0" w:color="auto"/>
      </w:divBdr>
    </w:div>
    <w:div w:id="248345246">
      <w:bodyDiv w:val="1"/>
      <w:marLeft w:val="0"/>
      <w:marRight w:val="0"/>
      <w:marTop w:val="0"/>
      <w:marBottom w:val="0"/>
      <w:divBdr>
        <w:top w:val="none" w:sz="0" w:space="0" w:color="auto"/>
        <w:left w:val="none" w:sz="0" w:space="0" w:color="auto"/>
        <w:bottom w:val="none" w:sz="0" w:space="0" w:color="auto"/>
        <w:right w:val="none" w:sz="0" w:space="0" w:color="auto"/>
      </w:divBdr>
    </w:div>
    <w:div w:id="248345417">
      <w:bodyDiv w:val="1"/>
      <w:marLeft w:val="0"/>
      <w:marRight w:val="0"/>
      <w:marTop w:val="0"/>
      <w:marBottom w:val="0"/>
      <w:divBdr>
        <w:top w:val="none" w:sz="0" w:space="0" w:color="auto"/>
        <w:left w:val="none" w:sz="0" w:space="0" w:color="auto"/>
        <w:bottom w:val="none" w:sz="0" w:space="0" w:color="auto"/>
        <w:right w:val="none" w:sz="0" w:space="0" w:color="auto"/>
      </w:divBdr>
    </w:div>
    <w:div w:id="248538401">
      <w:bodyDiv w:val="1"/>
      <w:marLeft w:val="0"/>
      <w:marRight w:val="0"/>
      <w:marTop w:val="0"/>
      <w:marBottom w:val="0"/>
      <w:divBdr>
        <w:top w:val="none" w:sz="0" w:space="0" w:color="auto"/>
        <w:left w:val="none" w:sz="0" w:space="0" w:color="auto"/>
        <w:bottom w:val="none" w:sz="0" w:space="0" w:color="auto"/>
        <w:right w:val="none" w:sz="0" w:space="0" w:color="auto"/>
      </w:divBdr>
    </w:div>
    <w:div w:id="248655663">
      <w:bodyDiv w:val="1"/>
      <w:marLeft w:val="0"/>
      <w:marRight w:val="0"/>
      <w:marTop w:val="0"/>
      <w:marBottom w:val="0"/>
      <w:divBdr>
        <w:top w:val="none" w:sz="0" w:space="0" w:color="auto"/>
        <w:left w:val="none" w:sz="0" w:space="0" w:color="auto"/>
        <w:bottom w:val="none" w:sz="0" w:space="0" w:color="auto"/>
        <w:right w:val="none" w:sz="0" w:space="0" w:color="auto"/>
      </w:divBdr>
    </w:div>
    <w:div w:id="248658900">
      <w:bodyDiv w:val="1"/>
      <w:marLeft w:val="0"/>
      <w:marRight w:val="0"/>
      <w:marTop w:val="0"/>
      <w:marBottom w:val="0"/>
      <w:divBdr>
        <w:top w:val="none" w:sz="0" w:space="0" w:color="auto"/>
        <w:left w:val="none" w:sz="0" w:space="0" w:color="auto"/>
        <w:bottom w:val="none" w:sz="0" w:space="0" w:color="auto"/>
        <w:right w:val="none" w:sz="0" w:space="0" w:color="auto"/>
      </w:divBdr>
    </w:div>
    <w:div w:id="248660512">
      <w:bodyDiv w:val="1"/>
      <w:marLeft w:val="0"/>
      <w:marRight w:val="0"/>
      <w:marTop w:val="0"/>
      <w:marBottom w:val="0"/>
      <w:divBdr>
        <w:top w:val="none" w:sz="0" w:space="0" w:color="auto"/>
        <w:left w:val="none" w:sz="0" w:space="0" w:color="auto"/>
        <w:bottom w:val="none" w:sz="0" w:space="0" w:color="auto"/>
        <w:right w:val="none" w:sz="0" w:space="0" w:color="auto"/>
      </w:divBdr>
    </w:div>
    <w:div w:id="248740188">
      <w:bodyDiv w:val="1"/>
      <w:marLeft w:val="0"/>
      <w:marRight w:val="0"/>
      <w:marTop w:val="0"/>
      <w:marBottom w:val="0"/>
      <w:divBdr>
        <w:top w:val="none" w:sz="0" w:space="0" w:color="auto"/>
        <w:left w:val="none" w:sz="0" w:space="0" w:color="auto"/>
        <w:bottom w:val="none" w:sz="0" w:space="0" w:color="auto"/>
        <w:right w:val="none" w:sz="0" w:space="0" w:color="auto"/>
      </w:divBdr>
    </w:div>
    <w:div w:id="248933429">
      <w:bodyDiv w:val="1"/>
      <w:marLeft w:val="0"/>
      <w:marRight w:val="0"/>
      <w:marTop w:val="0"/>
      <w:marBottom w:val="0"/>
      <w:divBdr>
        <w:top w:val="none" w:sz="0" w:space="0" w:color="auto"/>
        <w:left w:val="none" w:sz="0" w:space="0" w:color="auto"/>
        <w:bottom w:val="none" w:sz="0" w:space="0" w:color="auto"/>
        <w:right w:val="none" w:sz="0" w:space="0" w:color="auto"/>
      </w:divBdr>
    </w:div>
    <w:div w:id="248971798">
      <w:bodyDiv w:val="1"/>
      <w:marLeft w:val="0"/>
      <w:marRight w:val="0"/>
      <w:marTop w:val="0"/>
      <w:marBottom w:val="0"/>
      <w:divBdr>
        <w:top w:val="none" w:sz="0" w:space="0" w:color="auto"/>
        <w:left w:val="none" w:sz="0" w:space="0" w:color="auto"/>
        <w:bottom w:val="none" w:sz="0" w:space="0" w:color="auto"/>
        <w:right w:val="none" w:sz="0" w:space="0" w:color="auto"/>
      </w:divBdr>
    </w:div>
    <w:div w:id="249047874">
      <w:bodyDiv w:val="1"/>
      <w:marLeft w:val="0"/>
      <w:marRight w:val="0"/>
      <w:marTop w:val="0"/>
      <w:marBottom w:val="0"/>
      <w:divBdr>
        <w:top w:val="none" w:sz="0" w:space="0" w:color="auto"/>
        <w:left w:val="none" w:sz="0" w:space="0" w:color="auto"/>
        <w:bottom w:val="none" w:sz="0" w:space="0" w:color="auto"/>
        <w:right w:val="none" w:sz="0" w:space="0" w:color="auto"/>
      </w:divBdr>
    </w:div>
    <w:div w:id="249048453">
      <w:bodyDiv w:val="1"/>
      <w:marLeft w:val="0"/>
      <w:marRight w:val="0"/>
      <w:marTop w:val="0"/>
      <w:marBottom w:val="0"/>
      <w:divBdr>
        <w:top w:val="none" w:sz="0" w:space="0" w:color="auto"/>
        <w:left w:val="none" w:sz="0" w:space="0" w:color="auto"/>
        <w:bottom w:val="none" w:sz="0" w:space="0" w:color="auto"/>
        <w:right w:val="none" w:sz="0" w:space="0" w:color="auto"/>
      </w:divBdr>
    </w:div>
    <w:div w:id="249050309">
      <w:bodyDiv w:val="1"/>
      <w:marLeft w:val="0"/>
      <w:marRight w:val="0"/>
      <w:marTop w:val="0"/>
      <w:marBottom w:val="0"/>
      <w:divBdr>
        <w:top w:val="none" w:sz="0" w:space="0" w:color="auto"/>
        <w:left w:val="none" w:sz="0" w:space="0" w:color="auto"/>
        <w:bottom w:val="none" w:sz="0" w:space="0" w:color="auto"/>
        <w:right w:val="none" w:sz="0" w:space="0" w:color="auto"/>
      </w:divBdr>
    </w:div>
    <w:div w:id="249200319">
      <w:bodyDiv w:val="1"/>
      <w:marLeft w:val="0"/>
      <w:marRight w:val="0"/>
      <w:marTop w:val="0"/>
      <w:marBottom w:val="0"/>
      <w:divBdr>
        <w:top w:val="none" w:sz="0" w:space="0" w:color="auto"/>
        <w:left w:val="none" w:sz="0" w:space="0" w:color="auto"/>
        <w:bottom w:val="none" w:sz="0" w:space="0" w:color="auto"/>
        <w:right w:val="none" w:sz="0" w:space="0" w:color="auto"/>
      </w:divBdr>
    </w:div>
    <w:div w:id="249244696">
      <w:bodyDiv w:val="1"/>
      <w:marLeft w:val="0"/>
      <w:marRight w:val="0"/>
      <w:marTop w:val="0"/>
      <w:marBottom w:val="0"/>
      <w:divBdr>
        <w:top w:val="none" w:sz="0" w:space="0" w:color="auto"/>
        <w:left w:val="none" w:sz="0" w:space="0" w:color="auto"/>
        <w:bottom w:val="none" w:sz="0" w:space="0" w:color="auto"/>
        <w:right w:val="none" w:sz="0" w:space="0" w:color="auto"/>
      </w:divBdr>
    </w:div>
    <w:div w:id="249314577">
      <w:bodyDiv w:val="1"/>
      <w:marLeft w:val="0"/>
      <w:marRight w:val="0"/>
      <w:marTop w:val="0"/>
      <w:marBottom w:val="0"/>
      <w:divBdr>
        <w:top w:val="none" w:sz="0" w:space="0" w:color="auto"/>
        <w:left w:val="none" w:sz="0" w:space="0" w:color="auto"/>
        <w:bottom w:val="none" w:sz="0" w:space="0" w:color="auto"/>
        <w:right w:val="none" w:sz="0" w:space="0" w:color="auto"/>
      </w:divBdr>
    </w:div>
    <w:div w:id="249430494">
      <w:bodyDiv w:val="1"/>
      <w:marLeft w:val="0"/>
      <w:marRight w:val="0"/>
      <w:marTop w:val="0"/>
      <w:marBottom w:val="0"/>
      <w:divBdr>
        <w:top w:val="none" w:sz="0" w:space="0" w:color="auto"/>
        <w:left w:val="none" w:sz="0" w:space="0" w:color="auto"/>
        <w:bottom w:val="none" w:sz="0" w:space="0" w:color="auto"/>
        <w:right w:val="none" w:sz="0" w:space="0" w:color="auto"/>
      </w:divBdr>
    </w:div>
    <w:div w:id="249434940">
      <w:bodyDiv w:val="1"/>
      <w:marLeft w:val="0"/>
      <w:marRight w:val="0"/>
      <w:marTop w:val="0"/>
      <w:marBottom w:val="0"/>
      <w:divBdr>
        <w:top w:val="none" w:sz="0" w:space="0" w:color="auto"/>
        <w:left w:val="none" w:sz="0" w:space="0" w:color="auto"/>
        <w:bottom w:val="none" w:sz="0" w:space="0" w:color="auto"/>
        <w:right w:val="none" w:sz="0" w:space="0" w:color="auto"/>
      </w:divBdr>
    </w:div>
    <w:div w:id="249436961">
      <w:bodyDiv w:val="1"/>
      <w:marLeft w:val="0"/>
      <w:marRight w:val="0"/>
      <w:marTop w:val="0"/>
      <w:marBottom w:val="0"/>
      <w:divBdr>
        <w:top w:val="none" w:sz="0" w:space="0" w:color="auto"/>
        <w:left w:val="none" w:sz="0" w:space="0" w:color="auto"/>
        <w:bottom w:val="none" w:sz="0" w:space="0" w:color="auto"/>
        <w:right w:val="none" w:sz="0" w:space="0" w:color="auto"/>
      </w:divBdr>
    </w:div>
    <w:div w:id="249462360">
      <w:bodyDiv w:val="1"/>
      <w:marLeft w:val="0"/>
      <w:marRight w:val="0"/>
      <w:marTop w:val="0"/>
      <w:marBottom w:val="0"/>
      <w:divBdr>
        <w:top w:val="none" w:sz="0" w:space="0" w:color="auto"/>
        <w:left w:val="none" w:sz="0" w:space="0" w:color="auto"/>
        <w:bottom w:val="none" w:sz="0" w:space="0" w:color="auto"/>
        <w:right w:val="none" w:sz="0" w:space="0" w:color="auto"/>
      </w:divBdr>
    </w:div>
    <w:div w:id="249697990">
      <w:bodyDiv w:val="1"/>
      <w:marLeft w:val="0"/>
      <w:marRight w:val="0"/>
      <w:marTop w:val="0"/>
      <w:marBottom w:val="0"/>
      <w:divBdr>
        <w:top w:val="none" w:sz="0" w:space="0" w:color="auto"/>
        <w:left w:val="none" w:sz="0" w:space="0" w:color="auto"/>
        <w:bottom w:val="none" w:sz="0" w:space="0" w:color="auto"/>
        <w:right w:val="none" w:sz="0" w:space="0" w:color="auto"/>
      </w:divBdr>
    </w:div>
    <w:div w:id="249700210">
      <w:bodyDiv w:val="1"/>
      <w:marLeft w:val="0"/>
      <w:marRight w:val="0"/>
      <w:marTop w:val="0"/>
      <w:marBottom w:val="0"/>
      <w:divBdr>
        <w:top w:val="none" w:sz="0" w:space="0" w:color="auto"/>
        <w:left w:val="none" w:sz="0" w:space="0" w:color="auto"/>
        <w:bottom w:val="none" w:sz="0" w:space="0" w:color="auto"/>
        <w:right w:val="none" w:sz="0" w:space="0" w:color="auto"/>
      </w:divBdr>
    </w:div>
    <w:div w:id="249706947">
      <w:bodyDiv w:val="1"/>
      <w:marLeft w:val="0"/>
      <w:marRight w:val="0"/>
      <w:marTop w:val="0"/>
      <w:marBottom w:val="0"/>
      <w:divBdr>
        <w:top w:val="none" w:sz="0" w:space="0" w:color="auto"/>
        <w:left w:val="none" w:sz="0" w:space="0" w:color="auto"/>
        <w:bottom w:val="none" w:sz="0" w:space="0" w:color="auto"/>
        <w:right w:val="none" w:sz="0" w:space="0" w:color="auto"/>
      </w:divBdr>
    </w:div>
    <w:div w:id="249891315">
      <w:bodyDiv w:val="1"/>
      <w:marLeft w:val="0"/>
      <w:marRight w:val="0"/>
      <w:marTop w:val="0"/>
      <w:marBottom w:val="0"/>
      <w:divBdr>
        <w:top w:val="none" w:sz="0" w:space="0" w:color="auto"/>
        <w:left w:val="none" w:sz="0" w:space="0" w:color="auto"/>
        <w:bottom w:val="none" w:sz="0" w:space="0" w:color="auto"/>
        <w:right w:val="none" w:sz="0" w:space="0" w:color="auto"/>
      </w:divBdr>
    </w:div>
    <w:div w:id="249968147">
      <w:bodyDiv w:val="1"/>
      <w:marLeft w:val="0"/>
      <w:marRight w:val="0"/>
      <w:marTop w:val="0"/>
      <w:marBottom w:val="0"/>
      <w:divBdr>
        <w:top w:val="none" w:sz="0" w:space="0" w:color="auto"/>
        <w:left w:val="none" w:sz="0" w:space="0" w:color="auto"/>
        <w:bottom w:val="none" w:sz="0" w:space="0" w:color="auto"/>
        <w:right w:val="none" w:sz="0" w:space="0" w:color="auto"/>
      </w:divBdr>
    </w:div>
    <w:div w:id="250117433">
      <w:bodyDiv w:val="1"/>
      <w:marLeft w:val="0"/>
      <w:marRight w:val="0"/>
      <w:marTop w:val="0"/>
      <w:marBottom w:val="0"/>
      <w:divBdr>
        <w:top w:val="none" w:sz="0" w:space="0" w:color="auto"/>
        <w:left w:val="none" w:sz="0" w:space="0" w:color="auto"/>
        <w:bottom w:val="none" w:sz="0" w:space="0" w:color="auto"/>
        <w:right w:val="none" w:sz="0" w:space="0" w:color="auto"/>
      </w:divBdr>
    </w:div>
    <w:div w:id="250160237">
      <w:bodyDiv w:val="1"/>
      <w:marLeft w:val="0"/>
      <w:marRight w:val="0"/>
      <w:marTop w:val="0"/>
      <w:marBottom w:val="0"/>
      <w:divBdr>
        <w:top w:val="none" w:sz="0" w:space="0" w:color="auto"/>
        <w:left w:val="none" w:sz="0" w:space="0" w:color="auto"/>
        <w:bottom w:val="none" w:sz="0" w:space="0" w:color="auto"/>
        <w:right w:val="none" w:sz="0" w:space="0" w:color="auto"/>
      </w:divBdr>
    </w:div>
    <w:div w:id="250160326">
      <w:bodyDiv w:val="1"/>
      <w:marLeft w:val="0"/>
      <w:marRight w:val="0"/>
      <w:marTop w:val="0"/>
      <w:marBottom w:val="0"/>
      <w:divBdr>
        <w:top w:val="none" w:sz="0" w:space="0" w:color="auto"/>
        <w:left w:val="none" w:sz="0" w:space="0" w:color="auto"/>
        <w:bottom w:val="none" w:sz="0" w:space="0" w:color="auto"/>
        <w:right w:val="none" w:sz="0" w:space="0" w:color="auto"/>
      </w:divBdr>
    </w:div>
    <w:div w:id="250241113">
      <w:bodyDiv w:val="1"/>
      <w:marLeft w:val="0"/>
      <w:marRight w:val="0"/>
      <w:marTop w:val="0"/>
      <w:marBottom w:val="0"/>
      <w:divBdr>
        <w:top w:val="none" w:sz="0" w:space="0" w:color="auto"/>
        <w:left w:val="none" w:sz="0" w:space="0" w:color="auto"/>
        <w:bottom w:val="none" w:sz="0" w:space="0" w:color="auto"/>
        <w:right w:val="none" w:sz="0" w:space="0" w:color="auto"/>
      </w:divBdr>
    </w:div>
    <w:div w:id="250243684">
      <w:bodyDiv w:val="1"/>
      <w:marLeft w:val="0"/>
      <w:marRight w:val="0"/>
      <w:marTop w:val="0"/>
      <w:marBottom w:val="0"/>
      <w:divBdr>
        <w:top w:val="none" w:sz="0" w:space="0" w:color="auto"/>
        <w:left w:val="none" w:sz="0" w:space="0" w:color="auto"/>
        <w:bottom w:val="none" w:sz="0" w:space="0" w:color="auto"/>
        <w:right w:val="none" w:sz="0" w:space="0" w:color="auto"/>
      </w:divBdr>
    </w:div>
    <w:div w:id="250286006">
      <w:bodyDiv w:val="1"/>
      <w:marLeft w:val="0"/>
      <w:marRight w:val="0"/>
      <w:marTop w:val="0"/>
      <w:marBottom w:val="0"/>
      <w:divBdr>
        <w:top w:val="none" w:sz="0" w:space="0" w:color="auto"/>
        <w:left w:val="none" w:sz="0" w:space="0" w:color="auto"/>
        <w:bottom w:val="none" w:sz="0" w:space="0" w:color="auto"/>
        <w:right w:val="none" w:sz="0" w:space="0" w:color="auto"/>
      </w:divBdr>
    </w:div>
    <w:div w:id="250479912">
      <w:bodyDiv w:val="1"/>
      <w:marLeft w:val="0"/>
      <w:marRight w:val="0"/>
      <w:marTop w:val="0"/>
      <w:marBottom w:val="0"/>
      <w:divBdr>
        <w:top w:val="none" w:sz="0" w:space="0" w:color="auto"/>
        <w:left w:val="none" w:sz="0" w:space="0" w:color="auto"/>
        <w:bottom w:val="none" w:sz="0" w:space="0" w:color="auto"/>
        <w:right w:val="none" w:sz="0" w:space="0" w:color="auto"/>
      </w:divBdr>
    </w:div>
    <w:div w:id="250510890">
      <w:bodyDiv w:val="1"/>
      <w:marLeft w:val="0"/>
      <w:marRight w:val="0"/>
      <w:marTop w:val="0"/>
      <w:marBottom w:val="0"/>
      <w:divBdr>
        <w:top w:val="none" w:sz="0" w:space="0" w:color="auto"/>
        <w:left w:val="none" w:sz="0" w:space="0" w:color="auto"/>
        <w:bottom w:val="none" w:sz="0" w:space="0" w:color="auto"/>
        <w:right w:val="none" w:sz="0" w:space="0" w:color="auto"/>
      </w:divBdr>
    </w:div>
    <w:div w:id="250624837">
      <w:bodyDiv w:val="1"/>
      <w:marLeft w:val="0"/>
      <w:marRight w:val="0"/>
      <w:marTop w:val="0"/>
      <w:marBottom w:val="0"/>
      <w:divBdr>
        <w:top w:val="none" w:sz="0" w:space="0" w:color="auto"/>
        <w:left w:val="none" w:sz="0" w:space="0" w:color="auto"/>
        <w:bottom w:val="none" w:sz="0" w:space="0" w:color="auto"/>
        <w:right w:val="none" w:sz="0" w:space="0" w:color="auto"/>
      </w:divBdr>
    </w:div>
    <w:div w:id="250818484">
      <w:bodyDiv w:val="1"/>
      <w:marLeft w:val="0"/>
      <w:marRight w:val="0"/>
      <w:marTop w:val="0"/>
      <w:marBottom w:val="0"/>
      <w:divBdr>
        <w:top w:val="none" w:sz="0" w:space="0" w:color="auto"/>
        <w:left w:val="none" w:sz="0" w:space="0" w:color="auto"/>
        <w:bottom w:val="none" w:sz="0" w:space="0" w:color="auto"/>
        <w:right w:val="none" w:sz="0" w:space="0" w:color="auto"/>
      </w:divBdr>
    </w:div>
    <w:div w:id="250819572">
      <w:bodyDiv w:val="1"/>
      <w:marLeft w:val="0"/>
      <w:marRight w:val="0"/>
      <w:marTop w:val="0"/>
      <w:marBottom w:val="0"/>
      <w:divBdr>
        <w:top w:val="none" w:sz="0" w:space="0" w:color="auto"/>
        <w:left w:val="none" w:sz="0" w:space="0" w:color="auto"/>
        <w:bottom w:val="none" w:sz="0" w:space="0" w:color="auto"/>
        <w:right w:val="none" w:sz="0" w:space="0" w:color="auto"/>
      </w:divBdr>
    </w:div>
    <w:div w:id="250899120">
      <w:bodyDiv w:val="1"/>
      <w:marLeft w:val="0"/>
      <w:marRight w:val="0"/>
      <w:marTop w:val="0"/>
      <w:marBottom w:val="0"/>
      <w:divBdr>
        <w:top w:val="none" w:sz="0" w:space="0" w:color="auto"/>
        <w:left w:val="none" w:sz="0" w:space="0" w:color="auto"/>
        <w:bottom w:val="none" w:sz="0" w:space="0" w:color="auto"/>
        <w:right w:val="none" w:sz="0" w:space="0" w:color="auto"/>
      </w:divBdr>
    </w:div>
    <w:div w:id="250939398">
      <w:bodyDiv w:val="1"/>
      <w:marLeft w:val="0"/>
      <w:marRight w:val="0"/>
      <w:marTop w:val="0"/>
      <w:marBottom w:val="0"/>
      <w:divBdr>
        <w:top w:val="none" w:sz="0" w:space="0" w:color="auto"/>
        <w:left w:val="none" w:sz="0" w:space="0" w:color="auto"/>
        <w:bottom w:val="none" w:sz="0" w:space="0" w:color="auto"/>
        <w:right w:val="none" w:sz="0" w:space="0" w:color="auto"/>
      </w:divBdr>
    </w:div>
    <w:div w:id="251014180">
      <w:bodyDiv w:val="1"/>
      <w:marLeft w:val="0"/>
      <w:marRight w:val="0"/>
      <w:marTop w:val="0"/>
      <w:marBottom w:val="0"/>
      <w:divBdr>
        <w:top w:val="none" w:sz="0" w:space="0" w:color="auto"/>
        <w:left w:val="none" w:sz="0" w:space="0" w:color="auto"/>
        <w:bottom w:val="none" w:sz="0" w:space="0" w:color="auto"/>
        <w:right w:val="none" w:sz="0" w:space="0" w:color="auto"/>
      </w:divBdr>
    </w:div>
    <w:div w:id="251203354">
      <w:bodyDiv w:val="1"/>
      <w:marLeft w:val="0"/>
      <w:marRight w:val="0"/>
      <w:marTop w:val="0"/>
      <w:marBottom w:val="0"/>
      <w:divBdr>
        <w:top w:val="none" w:sz="0" w:space="0" w:color="auto"/>
        <w:left w:val="none" w:sz="0" w:space="0" w:color="auto"/>
        <w:bottom w:val="none" w:sz="0" w:space="0" w:color="auto"/>
        <w:right w:val="none" w:sz="0" w:space="0" w:color="auto"/>
      </w:divBdr>
    </w:div>
    <w:div w:id="251283161">
      <w:bodyDiv w:val="1"/>
      <w:marLeft w:val="0"/>
      <w:marRight w:val="0"/>
      <w:marTop w:val="0"/>
      <w:marBottom w:val="0"/>
      <w:divBdr>
        <w:top w:val="none" w:sz="0" w:space="0" w:color="auto"/>
        <w:left w:val="none" w:sz="0" w:space="0" w:color="auto"/>
        <w:bottom w:val="none" w:sz="0" w:space="0" w:color="auto"/>
        <w:right w:val="none" w:sz="0" w:space="0" w:color="auto"/>
      </w:divBdr>
    </w:div>
    <w:div w:id="251355549">
      <w:bodyDiv w:val="1"/>
      <w:marLeft w:val="0"/>
      <w:marRight w:val="0"/>
      <w:marTop w:val="0"/>
      <w:marBottom w:val="0"/>
      <w:divBdr>
        <w:top w:val="none" w:sz="0" w:space="0" w:color="auto"/>
        <w:left w:val="none" w:sz="0" w:space="0" w:color="auto"/>
        <w:bottom w:val="none" w:sz="0" w:space="0" w:color="auto"/>
        <w:right w:val="none" w:sz="0" w:space="0" w:color="auto"/>
      </w:divBdr>
    </w:div>
    <w:div w:id="251359428">
      <w:bodyDiv w:val="1"/>
      <w:marLeft w:val="0"/>
      <w:marRight w:val="0"/>
      <w:marTop w:val="0"/>
      <w:marBottom w:val="0"/>
      <w:divBdr>
        <w:top w:val="none" w:sz="0" w:space="0" w:color="auto"/>
        <w:left w:val="none" w:sz="0" w:space="0" w:color="auto"/>
        <w:bottom w:val="none" w:sz="0" w:space="0" w:color="auto"/>
        <w:right w:val="none" w:sz="0" w:space="0" w:color="auto"/>
      </w:divBdr>
    </w:div>
    <w:div w:id="251403395">
      <w:bodyDiv w:val="1"/>
      <w:marLeft w:val="0"/>
      <w:marRight w:val="0"/>
      <w:marTop w:val="0"/>
      <w:marBottom w:val="0"/>
      <w:divBdr>
        <w:top w:val="none" w:sz="0" w:space="0" w:color="auto"/>
        <w:left w:val="none" w:sz="0" w:space="0" w:color="auto"/>
        <w:bottom w:val="none" w:sz="0" w:space="0" w:color="auto"/>
        <w:right w:val="none" w:sz="0" w:space="0" w:color="auto"/>
      </w:divBdr>
    </w:div>
    <w:div w:id="251476184">
      <w:bodyDiv w:val="1"/>
      <w:marLeft w:val="0"/>
      <w:marRight w:val="0"/>
      <w:marTop w:val="0"/>
      <w:marBottom w:val="0"/>
      <w:divBdr>
        <w:top w:val="none" w:sz="0" w:space="0" w:color="auto"/>
        <w:left w:val="none" w:sz="0" w:space="0" w:color="auto"/>
        <w:bottom w:val="none" w:sz="0" w:space="0" w:color="auto"/>
        <w:right w:val="none" w:sz="0" w:space="0" w:color="auto"/>
      </w:divBdr>
    </w:div>
    <w:div w:id="251478945">
      <w:bodyDiv w:val="1"/>
      <w:marLeft w:val="0"/>
      <w:marRight w:val="0"/>
      <w:marTop w:val="0"/>
      <w:marBottom w:val="0"/>
      <w:divBdr>
        <w:top w:val="none" w:sz="0" w:space="0" w:color="auto"/>
        <w:left w:val="none" w:sz="0" w:space="0" w:color="auto"/>
        <w:bottom w:val="none" w:sz="0" w:space="0" w:color="auto"/>
        <w:right w:val="none" w:sz="0" w:space="0" w:color="auto"/>
      </w:divBdr>
    </w:div>
    <w:div w:id="251554690">
      <w:bodyDiv w:val="1"/>
      <w:marLeft w:val="0"/>
      <w:marRight w:val="0"/>
      <w:marTop w:val="0"/>
      <w:marBottom w:val="0"/>
      <w:divBdr>
        <w:top w:val="none" w:sz="0" w:space="0" w:color="auto"/>
        <w:left w:val="none" w:sz="0" w:space="0" w:color="auto"/>
        <w:bottom w:val="none" w:sz="0" w:space="0" w:color="auto"/>
        <w:right w:val="none" w:sz="0" w:space="0" w:color="auto"/>
      </w:divBdr>
    </w:div>
    <w:div w:id="251669217">
      <w:bodyDiv w:val="1"/>
      <w:marLeft w:val="0"/>
      <w:marRight w:val="0"/>
      <w:marTop w:val="0"/>
      <w:marBottom w:val="0"/>
      <w:divBdr>
        <w:top w:val="none" w:sz="0" w:space="0" w:color="auto"/>
        <w:left w:val="none" w:sz="0" w:space="0" w:color="auto"/>
        <w:bottom w:val="none" w:sz="0" w:space="0" w:color="auto"/>
        <w:right w:val="none" w:sz="0" w:space="0" w:color="auto"/>
      </w:divBdr>
    </w:div>
    <w:div w:id="251671816">
      <w:bodyDiv w:val="1"/>
      <w:marLeft w:val="0"/>
      <w:marRight w:val="0"/>
      <w:marTop w:val="0"/>
      <w:marBottom w:val="0"/>
      <w:divBdr>
        <w:top w:val="none" w:sz="0" w:space="0" w:color="auto"/>
        <w:left w:val="none" w:sz="0" w:space="0" w:color="auto"/>
        <w:bottom w:val="none" w:sz="0" w:space="0" w:color="auto"/>
        <w:right w:val="none" w:sz="0" w:space="0" w:color="auto"/>
      </w:divBdr>
    </w:div>
    <w:div w:id="251864014">
      <w:bodyDiv w:val="1"/>
      <w:marLeft w:val="0"/>
      <w:marRight w:val="0"/>
      <w:marTop w:val="0"/>
      <w:marBottom w:val="0"/>
      <w:divBdr>
        <w:top w:val="none" w:sz="0" w:space="0" w:color="auto"/>
        <w:left w:val="none" w:sz="0" w:space="0" w:color="auto"/>
        <w:bottom w:val="none" w:sz="0" w:space="0" w:color="auto"/>
        <w:right w:val="none" w:sz="0" w:space="0" w:color="auto"/>
      </w:divBdr>
    </w:div>
    <w:div w:id="252010114">
      <w:bodyDiv w:val="1"/>
      <w:marLeft w:val="0"/>
      <w:marRight w:val="0"/>
      <w:marTop w:val="0"/>
      <w:marBottom w:val="0"/>
      <w:divBdr>
        <w:top w:val="none" w:sz="0" w:space="0" w:color="auto"/>
        <w:left w:val="none" w:sz="0" w:space="0" w:color="auto"/>
        <w:bottom w:val="none" w:sz="0" w:space="0" w:color="auto"/>
        <w:right w:val="none" w:sz="0" w:space="0" w:color="auto"/>
      </w:divBdr>
    </w:div>
    <w:div w:id="252201119">
      <w:bodyDiv w:val="1"/>
      <w:marLeft w:val="0"/>
      <w:marRight w:val="0"/>
      <w:marTop w:val="0"/>
      <w:marBottom w:val="0"/>
      <w:divBdr>
        <w:top w:val="none" w:sz="0" w:space="0" w:color="auto"/>
        <w:left w:val="none" w:sz="0" w:space="0" w:color="auto"/>
        <w:bottom w:val="none" w:sz="0" w:space="0" w:color="auto"/>
        <w:right w:val="none" w:sz="0" w:space="0" w:color="auto"/>
      </w:divBdr>
    </w:div>
    <w:div w:id="252276807">
      <w:bodyDiv w:val="1"/>
      <w:marLeft w:val="0"/>
      <w:marRight w:val="0"/>
      <w:marTop w:val="0"/>
      <w:marBottom w:val="0"/>
      <w:divBdr>
        <w:top w:val="none" w:sz="0" w:space="0" w:color="auto"/>
        <w:left w:val="none" w:sz="0" w:space="0" w:color="auto"/>
        <w:bottom w:val="none" w:sz="0" w:space="0" w:color="auto"/>
        <w:right w:val="none" w:sz="0" w:space="0" w:color="auto"/>
      </w:divBdr>
    </w:div>
    <w:div w:id="252393876">
      <w:bodyDiv w:val="1"/>
      <w:marLeft w:val="0"/>
      <w:marRight w:val="0"/>
      <w:marTop w:val="0"/>
      <w:marBottom w:val="0"/>
      <w:divBdr>
        <w:top w:val="none" w:sz="0" w:space="0" w:color="auto"/>
        <w:left w:val="none" w:sz="0" w:space="0" w:color="auto"/>
        <w:bottom w:val="none" w:sz="0" w:space="0" w:color="auto"/>
        <w:right w:val="none" w:sz="0" w:space="0" w:color="auto"/>
      </w:divBdr>
    </w:div>
    <w:div w:id="252445474">
      <w:bodyDiv w:val="1"/>
      <w:marLeft w:val="0"/>
      <w:marRight w:val="0"/>
      <w:marTop w:val="0"/>
      <w:marBottom w:val="0"/>
      <w:divBdr>
        <w:top w:val="none" w:sz="0" w:space="0" w:color="auto"/>
        <w:left w:val="none" w:sz="0" w:space="0" w:color="auto"/>
        <w:bottom w:val="none" w:sz="0" w:space="0" w:color="auto"/>
        <w:right w:val="none" w:sz="0" w:space="0" w:color="auto"/>
      </w:divBdr>
    </w:div>
    <w:div w:id="252713418">
      <w:bodyDiv w:val="1"/>
      <w:marLeft w:val="0"/>
      <w:marRight w:val="0"/>
      <w:marTop w:val="0"/>
      <w:marBottom w:val="0"/>
      <w:divBdr>
        <w:top w:val="none" w:sz="0" w:space="0" w:color="auto"/>
        <w:left w:val="none" w:sz="0" w:space="0" w:color="auto"/>
        <w:bottom w:val="none" w:sz="0" w:space="0" w:color="auto"/>
        <w:right w:val="none" w:sz="0" w:space="0" w:color="auto"/>
      </w:divBdr>
    </w:div>
    <w:div w:id="252787259">
      <w:bodyDiv w:val="1"/>
      <w:marLeft w:val="0"/>
      <w:marRight w:val="0"/>
      <w:marTop w:val="0"/>
      <w:marBottom w:val="0"/>
      <w:divBdr>
        <w:top w:val="none" w:sz="0" w:space="0" w:color="auto"/>
        <w:left w:val="none" w:sz="0" w:space="0" w:color="auto"/>
        <w:bottom w:val="none" w:sz="0" w:space="0" w:color="auto"/>
        <w:right w:val="none" w:sz="0" w:space="0" w:color="auto"/>
      </w:divBdr>
    </w:div>
    <w:div w:id="252862100">
      <w:bodyDiv w:val="1"/>
      <w:marLeft w:val="0"/>
      <w:marRight w:val="0"/>
      <w:marTop w:val="0"/>
      <w:marBottom w:val="0"/>
      <w:divBdr>
        <w:top w:val="none" w:sz="0" w:space="0" w:color="auto"/>
        <w:left w:val="none" w:sz="0" w:space="0" w:color="auto"/>
        <w:bottom w:val="none" w:sz="0" w:space="0" w:color="auto"/>
        <w:right w:val="none" w:sz="0" w:space="0" w:color="auto"/>
      </w:divBdr>
    </w:div>
    <w:div w:id="252863020">
      <w:bodyDiv w:val="1"/>
      <w:marLeft w:val="0"/>
      <w:marRight w:val="0"/>
      <w:marTop w:val="0"/>
      <w:marBottom w:val="0"/>
      <w:divBdr>
        <w:top w:val="none" w:sz="0" w:space="0" w:color="auto"/>
        <w:left w:val="none" w:sz="0" w:space="0" w:color="auto"/>
        <w:bottom w:val="none" w:sz="0" w:space="0" w:color="auto"/>
        <w:right w:val="none" w:sz="0" w:space="0" w:color="auto"/>
      </w:divBdr>
    </w:div>
    <w:div w:id="252935710">
      <w:bodyDiv w:val="1"/>
      <w:marLeft w:val="0"/>
      <w:marRight w:val="0"/>
      <w:marTop w:val="0"/>
      <w:marBottom w:val="0"/>
      <w:divBdr>
        <w:top w:val="none" w:sz="0" w:space="0" w:color="auto"/>
        <w:left w:val="none" w:sz="0" w:space="0" w:color="auto"/>
        <w:bottom w:val="none" w:sz="0" w:space="0" w:color="auto"/>
        <w:right w:val="none" w:sz="0" w:space="0" w:color="auto"/>
      </w:divBdr>
    </w:div>
    <w:div w:id="252977010">
      <w:bodyDiv w:val="1"/>
      <w:marLeft w:val="0"/>
      <w:marRight w:val="0"/>
      <w:marTop w:val="0"/>
      <w:marBottom w:val="0"/>
      <w:divBdr>
        <w:top w:val="none" w:sz="0" w:space="0" w:color="auto"/>
        <w:left w:val="none" w:sz="0" w:space="0" w:color="auto"/>
        <w:bottom w:val="none" w:sz="0" w:space="0" w:color="auto"/>
        <w:right w:val="none" w:sz="0" w:space="0" w:color="auto"/>
      </w:divBdr>
    </w:div>
    <w:div w:id="252980611">
      <w:bodyDiv w:val="1"/>
      <w:marLeft w:val="0"/>
      <w:marRight w:val="0"/>
      <w:marTop w:val="0"/>
      <w:marBottom w:val="0"/>
      <w:divBdr>
        <w:top w:val="none" w:sz="0" w:space="0" w:color="auto"/>
        <w:left w:val="none" w:sz="0" w:space="0" w:color="auto"/>
        <w:bottom w:val="none" w:sz="0" w:space="0" w:color="auto"/>
        <w:right w:val="none" w:sz="0" w:space="0" w:color="auto"/>
      </w:divBdr>
    </w:div>
    <w:div w:id="253049780">
      <w:bodyDiv w:val="1"/>
      <w:marLeft w:val="0"/>
      <w:marRight w:val="0"/>
      <w:marTop w:val="0"/>
      <w:marBottom w:val="0"/>
      <w:divBdr>
        <w:top w:val="none" w:sz="0" w:space="0" w:color="auto"/>
        <w:left w:val="none" w:sz="0" w:space="0" w:color="auto"/>
        <w:bottom w:val="none" w:sz="0" w:space="0" w:color="auto"/>
        <w:right w:val="none" w:sz="0" w:space="0" w:color="auto"/>
      </w:divBdr>
    </w:div>
    <w:div w:id="253053369">
      <w:bodyDiv w:val="1"/>
      <w:marLeft w:val="0"/>
      <w:marRight w:val="0"/>
      <w:marTop w:val="0"/>
      <w:marBottom w:val="0"/>
      <w:divBdr>
        <w:top w:val="none" w:sz="0" w:space="0" w:color="auto"/>
        <w:left w:val="none" w:sz="0" w:space="0" w:color="auto"/>
        <w:bottom w:val="none" w:sz="0" w:space="0" w:color="auto"/>
        <w:right w:val="none" w:sz="0" w:space="0" w:color="auto"/>
      </w:divBdr>
    </w:div>
    <w:div w:id="253053591">
      <w:bodyDiv w:val="1"/>
      <w:marLeft w:val="0"/>
      <w:marRight w:val="0"/>
      <w:marTop w:val="0"/>
      <w:marBottom w:val="0"/>
      <w:divBdr>
        <w:top w:val="none" w:sz="0" w:space="0" w:color="auto"/>
        <w:left w:val="none" w:sz="0" w:space="0" w:color="auto"/>
        <w:bottom w:val="none" w:sz="0" w:space="0" w:color="auto"/>
        <w:right w:val="none" w:sz="0" w:space="0" w:color="auto"/>
      </w:divBdr>
    </w:div>
    <w:div w:id="253054520">
      <w:bodyDiv w:val="1"/>
      <w:marLeft w:val="0"/>
      <w:marRight w:val="0"/>
      <w:marTop w:val="0"/>
      <w:marBottom w:val="0"/>
      <w:divBdr>
        <w:top w:val="none" w:sz="0" w:space="0" w:color="auto"/>
        <w:left w:val="none" w:sz="0" w:space="0" w:color="auto"/>
        <w:bottom w:val="none" w:sz="0" w:space="0" w:color="auto"/>
        <w:right w:val="none" w:sz="0" w:space="0" w:color="auto"/>
      </w:divBdr>
    </w:div>
    <w:div w:id="253125728">
      <w:bodyDiv w:val="1"/>
      <w:marLeft w:val="0"/>
      <w:marRight w:val="0"/>
      <w:marTop w:val="0"/>
      <w:marBottom w:val="0"/>
      <w:divBdr>
        <w:top w:val="none" w:sz="0" w:space="0" w:color="auto"/>
        <w:left w:val="none" w:sz="0" w:space="0" w:color="auto"/>
        <w:bottom w:val="none" w:sz="0" w:space="0" w:color="auto"/>
        <w:right w:val="none" w:sz="0" w:space="0" w:color="auto"/>
      </w:divBdr>
    </w:div>
    <w:div w:id="253127387">
      <w:bodyDiv w:val="1"/>
      <w:marLeft w:val="0"/>
      <w:marRight w:val="0"/>
      <w:marTop w:val="0"/>
      <w:marBottom w:val="0"/>
      <w:divBdr>
        <w:top w:val="none" w:sz="0" w:space="0" w:color="auto"/>
        <w:left w:val="none" w:sz="0" w:space="0" w:color="auto"/>
        <w:bottom w:val="none" w:sz="0" w:space="0" w:color="auto"/>
        <w:right w:val="none" w:sz="0" w:space="0" w:color="auto"/>
      </w:divBdr>
    </w:div>
    <w:div w:id="253128575">
      <w:bodyDiv w:val="1"/>
      <w:marLeft w:val="0"/>
      <w:marRight w:val="0"/>
      <w:marTop w:val="0"/>
      <w:marBottom w:val="0"/>
      <w:divBdr>
        <w:top w:val="none" w:sz="0" w:space="0" w:color="auto"/>
        <w:left w:val="none" w:sz="0" w:space="0" w:color="auto"/>
        <w:bottom w:val="none" w:sz="0" w:space="0" w:color="auto"/>
        <w:right w:val="none" w:sz="0" w:space="0" w:color="auto"/>
      </w:divBdr>
    </w:div>
    <w:div w:id="253369403">
      <w:bodyDiv w:val="1"/>
      <w:marLeft w:val="0"/>
      <w:marRight w:val="0"/>
      <w:marTop w:val="0"/>
      <w:marBottom w:val="0"/>
      <w:divBdr>
        <w:top w:val="none" w:sz="0" w:space="0" w:color="auto"/>
        <w:left w:val="none" w:sz="0" w:space="0" w:color="auto"/>
        <w:bottom w:val="none" w:sz="0" w:space="0" w:color="auto"/>
        <w:right w:val="none" w:sz="0" w:space="0" w:color="auto"/>
      </w:divBdr>
    </w:div>
    <w:div w:id="253439227">
      <w:bodyDiv w:val="1"/>
      <w:marLeft w:val="0"/>
      <w:marRight w:val="0"/>
      <w:marTop w:val="0"/>
      <w:marBottom w:val="0"/>
      <w:divBdr>
        <w:top w:val="none" w:sz="0" w:space="0" w:color="auto"/>
        <w:left w:val="none" w:sz="0" w:space="0" w:color="auto"/>
        <w:bottom w:val="none" w:sz="0" w:space="0" w:color="auto"/>
        <w:right w:val="none" w:sz="0" w:space="0" w:color="auto"/>
      </w:divBdr>
    </w:div>
    <w:div w:id="253441985">
      <w:bodyDiv w:val="1"/>
      <w:marLeft w:val="0"/>
      <w:marRight w:val="0"/>
      <w:marTop w:val="0"/>
      <w:marBottom w:val="0"/>
      <w:divBdr>
        <w:top w:val="none" w:sz="0" w:space="0" w:color="auto"/>
        <w:left w:val="none" w:sz="0" w:space="0" w:color="auto"/>
        <w:bottom w:val="none" w:sz="0" w:space="0" w:color="auto"/>
        <w:right w:val="none" w:sz="0" w:space="0" w:color="auto"/>
      </w:divBdr>
    </w:div>
    <w:div w:id="253590082">
      <w:bodyDiv w:val="1"/>
      <w:marLeft w:val="0"/>
      <w:marRight w:val="0"/>
      <w:marTop w:val="0"/>
      <w:marBottom w:val="0"/>
      <w:divBdr>
        <w:top w:val="none" w:sz="0" w:space="0" w:color="auto"/>
        <w:left w:val="none" w:sz="0" w:space="0" w:color="auto"/>
        <w:bottom w:val="none" w:sz="0" w:space="0" w:color="auto"/>
        <w:right w:val="none" w:sz="0" w:space="0" w:color="auto"/>
      </w:divBdr>
    </w:div>
    <w:div w:id="253830784">
      <w:bodyDiv w:val="1"/>
      <w:marLeft w:val="0"/>
      <w:marRight w:val="0"/>
      <w:marTop w:val="0"/>
      <w:marBottom w:val="0"/>
      <w:divBdr>
        <w:top w:val="none" w:sz="0" w:space="0" w:color="auto"/>
        <w:left w:val="none" w:sz="0" w:space="0" w:color="auto"/>
        <w:bottom w:val="none" w:sz="0" w:space="0" w:color="auto"/>
        <w:right w:val="none" w:sz="0" w:space="0" w:color="auto"/>
      </w:divBdr>
    </w:div>
    <w:div w:id="253898175">
      <w:bodyDiv w:val="1"/>
      <w:marLeft w:val="0"/>
      <w:marRight w:val="0"/>
      <w:marTop w:val="0"/>
      <w:marBottom w:val="0"/>
      <w:divBdr>
        <w:top w:val="none" w:sz="0" w:space="0" w:color="auto"/>
        <w:left w:val="none" w:sz="0" w:space="0" w:color="auto"/>
        <w:bottom w:val="none" w:sz="0" w:space="0" w:color="auto"/>
        <w:right w:val="none" w:sz="0" w:space="0" w:color="auto"/>
      </w:divBdr>
    </w:div>
    <w:div w:id="254093326">
      <w:bodyDiv w:val="1"/>
      <w:marLeft w:val="0"/>
      <w:marRight w:val="0"/>
      <w:marTop w:val="0"/>
      <w:marBottom w:val="0"/>
      <w:divBdr>
        <w:top w:val="none" w:sz="0" w:space="0" w:color="auto"/>
        <w:left w:val="none" w:sz="0" w:space="0" w:color="auto"/>
        <w:bottom w:val="none" w:sz="0" w:space="0" w:color="auto"/>
        <w:right w:val="none" w:sz="0" w:space="0" w:color="auto"/>
      </w:divBdr>
    </w:div>
    <w:div w:id="254094808">
      <w:bodyDiv w:val="1"/>
      <w:marLeft w:val="0"/>
      <w:marRight w:val="0"/>
      <w:marTop w:val="0"/>
      <w:marBottom w:val="0"/>
      <w:divBdr>
        <w:top w:val="none" w:sz="0" w:space="0" w:color="auto"/>
        <w:left w:val="none" w:sz="0" w:space="0" w:color="auto"/>
        <w:bottom w:val="none" w:sz="0" w:space="0" w:color="auto"/>
        <w:right w:val="none" w:sz="0" w:space="0" w:color="auto"/>
      </w:divBdr>
    </w:div>
    <w:div w:id="254096261">
      <w:bodyDiv w:val="1"/>
      <w:marLeft w:val="0"/>
      <w:marRight w:val="0"/>
      <w:marTop w:val="0"/>
      <w:marBottom w:val="0"/>
      <w:divBdr>
        <w:top w:val="none" w:sz="0" w:space="0" w:color="auto"/>
        <w:left w:val="none" w:sz="0" w:space="0" w:color="auto"/>
        <w:bottom w:val="none" w:sz="0" w:space="0" w:color="auto"/>
        <w:right w:val="none" w:sz="0" w:space="0" w:color="auto"/>
      </w:divBdr>
    </w:div>
    <w:div w:id="254099665">
      <w:bodyDiv w:val="1"/>
      <w:marLeft w:val="0"/>
      <w:marRight w:val="0"/>
      <w:marTop w:val="0"/>
      <w:marBottom w:val="0"/>
      <w:divBdr>
        <w:top w:val="none" w:sz="0" w:space="0" w:color="auto"/>
        <w:left w:val="none" w:sz="0" w:space="0" w:color="auto"/>
        <w:bottom w:val="none" w:sz="0" w:space="0" w:color="auto"/>
        <w:right w:val="none" w:sz="0" w:space="0" w:color="auto"/>
      </w:divBdr>
    </w:div>
    <w:div w:id="254174195">
      <w:bodyDiv w:val="1"/>
      <w:marLeft w:val="0"/>
      <w:marRight w:val="0"/>
      <w:marTop w:val="0"/>
      <w:marBottom w:val="0"/>
      <w:divBdr>
        <w:top w:val="none" w:sz="0" w:space="0" w:color="auto"/>
        <w:left w:val="none" w:sz="0" w:space="0" w:color="auto"/>
        <w:bottom w:val="none" w:sz="0" w:space="0" w:color="auto"/>
        <w:right w:val="none" w:sz="0" w:space="0" w:color="auto"/>
      </w:divBdr>
    </w:div>
    <w:div w:id="254214405">
      <w:bodyDiv w:val="1"/>
      <w:marLeft w:val="0"/>
      <w:marRight w:val="0"/>
      <w:marTop w:val="0"/>
      <w:marBottom w:val="0"/>
      <w:divBdr>
        <w:top w:val="none" w:sz="0" w:space="0" w:color="auto"/>
        <w:left w:val="none" w:sz="0" w:space="0" w:color="auto"/>
        <w:bottom w:val="none" w:sz="0" w:space="0" w:color="auto"/>
        <w:right w:val="none" w:sz="0" w:space="0" w:color="auto"/>
      </w:divBdr>
    </w:div>
    <w:div w:id="254368138">
      <w:bodyDiv w:val="1"/>
      <w:marLeft w:val="0"/>
      <w:marRight w:val="0"/>
      <w:marTop w:val="0"/>
      <w:marBottom w:val="0"/>
      <w:divBdr>
        <w:top w:val="none" w:sz="0" w:space="0" w:color="auto"/>
        <w:left w:val="none" w:sz="0" w:space="0" w:color="auto"/>
        <w:bottom w:val="none" w:sz="0" w:space="0" w:color="auto"/>
        <w:right w:val="none" w:sz="0" w:space="0" w:color="auto"/>
      </w:divBdr>
    </w:div>
    <w:div w:id="254477823">
      <w:bodyDiv w:val="1"/>
      <w:marLeft w:val="0"/>
      <w:marRight w:val="0"/>
      <w:marTop w:val="0"/>
      <w:marBottom w:val="0"/>
      <w:divBdr>
        <w:top w:val="none" w:sz="0" w:space="0" w:color="auto"/>
        <w:left w:val="none" w:sz="0" w:space="0" w:color="auto"/>
        <w:bottom w:val="none" w:sz="0" w:space="0" w:color="auto"/>
        <w:right w:val="none" w:sz="0" w:space="0" w:color="auto"/>
      </w:divBdr>
    </w:div>
    <w:div w:id="254486121">
      <w:bodyDiv w:val="1"/>
      <w:marLeft w:val="0"/>
      <w:marRight w:val="0"/>
      <w:marTop w:val="0"/>
      <w:marBottom w:val="0"/>
      <w:divBdr>
        <w:top w:val="none" w:sz="0" w:space="0" w:color="auto"/>
        <w:left w:val="none" w:sz="0" w:space="0" w:color="auto"/>
        <w:bottom w:val="none" w:sz="0" w:space="0" w:color="auto"/>
        <w:right w:val="none" w:sz="0" w:space="0" w:color="auto"/>
      </w:divBdr>
    </w:div>
    <w:div w:id="254552831">
      <w:bodyDiv w:val="1"/>
      <w:marLeft w:val="0"/>
      <w:marRight w:val="0"/>
      <w:marTop w:val="0"/>
      <w:marBottom w:val="0"/>
      <w:divBdr>
        <w:top w:val="none" w:sz="0" w:space="0" w:color="auto"/>
        <w:left w:val="none" w:sz="0" w:space="0" w:color="auto"/>
        <w:bottom w:val="none" w:sz="0" w:space="0" w:color="auto"/>
        <w:right w:val="none" w:sz="0" w:space="0" w:color="auto"/>
      </w:divBdr>
    </w:div>
    <w:div w:id="254555505">
      <w:bodyDiv w:val="1"/>
      <w:marLeft w:val="0"/>
      <w:marRight w:val="0"/>
      <w:marTop w:val="0"/>
      <w:marBottom w:val="0"/>
      <w:divBdr>
        <w:top w:val="none" w:sz="0" w:space="0" w:color="auto"/>
        <w:left w:val="none" w:sz="0" w:space="0" w:color="auto"/>
        <w:bottom w:val="none" w:sz="0" w:space="0" w:color="auto"/>
        <w:right w:val="none" w:sz="0" w:space="0" w:color="auto"/>
      </w:divBdr>
    </w:div>
    <w:div w:id="254557691">
      <w:bodyDiv w:val="1"/>
      <w:marLeft w:val="0"/>
      <w:marRight w:val="0"/>
      <w:marTop w:val="0"/>
      <w:marBottom w:val="0"/>
      <w:divBdr>
        <w:top w:val="none" w:sz="0" w:space="0" w:color="auto"/>
        <w:left w:val="none" w:sz="0" w:space="0" w:color="auto"/>
        <w:bottom w:val="none" w:sz="0" w:space="0" w:color="auto"/>
        <w:right w:val="none" w:sz="0" w:space="0" w:color="auto"/>
      </w:divBdr>
    </w:div>
    <w:div w:id="254637016">
      <w:bodyDiv w:val="1"/>
      <w:marLeft w:val="0"/>
      <w:marRight w:val="0"/>
      <w:marTop w:val="0"/>
      <w:marBottom w:val="0"/>
      <w:divBdr>
        <w:top w:val="none" w:sz="0" w:space="0" w:color="auto"/>
        <w:left w:val="none" w:sz="0" w:space="0" w:color="auto"/>
        <w:bottom w:val="none" w:sz="0" w:space="0" w:color="auto"/>
        <w:right w:val="none" w:sz="0" w:space="0" w:color="auto"/>
      </w:divBdr>
    </w:div>
    <w:div w:id="254674643">
      <w:bodyDiv w:val="1"/>
      <w:marLeft w:val="0"/>
      <w:marRight w:val="0"/>
      <w:marTop w:val="0"/>
      <w:marBottom w:val="0"/>
      <w:divBdr>
        <w:top w:val="none" w:sz="0" w:space="0" w:color="auto"/>
        <w:left w:val="none" w:sz="0" w:space="0" w:color="auto"/>
        <w:bottom w:val="none" w:sz="0" w:space="0" w:color="auto"/>
        <w:right w:val="none" w:sz="0" w:space="0" w:color="auto"/>
      </w:divBdr>
    </w:div>
    <w:div w:id="254678043">
      <w:bodyDiv w:val="1"/>
      <w:marLeft w:val="0"/>
      <w:marRight w:val="0"/>
      <w:marTop w:val="0"/>
      <w:marBottom w:val="0"/>
      <w:divBdr>
        <w:top w:val="none" w:sz="0" w:space="0" w:color="auto"/>
        <w:left w:val="none" w:sz="0" w:space="0" w:color="auto"/>
        <w:bottom w:val="none" w:sz="0" w:space="0" w:color="auto"/>
        <w:right w:val="none" w:sz="0" w:space="0" w:color="auto"/>
      </w:divBdr>
    </w:div>
    <w:div w:id="254678690">
      <w:bodyDiv w:val="1"/>
      <w:marLeft w:val="0"/>
      <w:marRight w:val="0"/>
      <w:marTop w:val="0"/>
      <w:marBottom w:val="0"/>
      <w:divBdr>
        <w:top w:val="none" w:sz="0" w:space="0" w:color="auto"/>
        <w:left w:val="none" w:sz="0" w:space="0" w:color="auto"/>
        <w:bottom w:val="none" w:sz="0" w:space="0" w:color="auto"/>
        <w:right w:val="none" w:sz="0" w:space="0" w:color="auto"/>
      </w:divBdr>
    </w:div>
    <w:div w:id="254751647">
      <w:bodyDiv w:val="1"/>
      <w:marLeft w:val="0"/>
      <w:marRight w:val="0"/>
      <w:marTop w:val="0"/>
      <w:marBottom w:val="0"/>
      <w:divBdr>
        <w:top w:val="none" w:sz="0" w:space="0" w:color="auto"/>
        <w:left w:val="none" w:sz="0" w:space="0" w:color="auto"/>
        <w:bottom w:val="none" w:sz="0" w:space="0" w:color="auto"/>
        <w:right w:val="none" w:sz="0" w:space="0" w:color="auto"/>
      </w:divBdr>
    </w:div>
    <w:div w:id="254821685">
      <w:bodyDiv w:val="1"/>
      <w:marLeft w:val="0"/>
      <w:marRight w:val="0"/>
      <w:marTop w:val="0"/>
      <w:marBottom w:val="0"/>
      <w:divBdr>
        <w:top w:val="none" w:sz="0" w:space="0" w:color="auto"/>
        <w:left w:val="none" w:sz="0" w:space="0" w:color="auto"/>
        <w:bottom w:val="none" w:sz="0" w:space="0" w:color="auto"/>
        <w:right w:val="none" w:sz="0" w:space="0" w:color="auto"/>
      </w:divBdr>
    </w:div>
    <w:div w:id="254830101">
      <w:bodyDiv w:val="1"/>
      <w:marLeft w:val="0"/>
      <w:marRight w:val="0"/>
      <w:marTop w:val="0"/>
      <w:marBottom w:val="0"/>
      <w:divBdr>
        <w:top w:val="none" w:sz="0" w:space="0" w:color="auto"/>
        <w:left w:val="none" w:sz="0" w:space="0" w:color="auto"/>
        <w:bottom w:val="none" w:sz="0" w:space="0" w:color="auto"/>
        <w:right w:val="none" w:sz="0" w:space="0" w:color="auto"/>
      </w:divBdr>
    </w:div>
    <w:div w:id="254871749">
      <w:bodyDiv w:val="1"/>
      <w:marLeft w:val="0"/>
      <w:marRight w:val="0"/>
      <w:marTop w:val="0"/>
      <w:marBottom w:val="0"/>
      <w:divBdr>
        <w:top w:val="none" w:sz="0" w:space="0" w:color="auto"/>
        <w:left w:val="none" w:sz="0" w:space="0" w:color="auto"/>
        <w:bottom w:val="none" w:sz="0" w:space="0" w:color="auto"/>
        <w:right w:val="none" w:sz="0" w:space="0" w:color="auto"/>
      </w:divBdr>
    </w:div>
    <w:div w:id="255016516">
      <w:bodyDiv w:val="1"/>
      <w:marLeft w:val="0"/>
      <w:marRight w:val="0"/>
      <w:marTop w:val="0"/>
      <w:marBottom w:val="0"/>
      <w:divBdr>
        <w:top w:val="none" w:sz="0" w:space="0" w:color="auto"/>
        <w:left w:val="none" w:sz="0" w:space="0" w:color="auto"/>
        <w:bottom w:val="none" w:sz="0" w:space="0" w:color="auto"/>
        <w:right w:val="none" w:sz="0" w:space="0" w:color="auto"/>
      </w:divBdr>
    </w:div>
    <w:div w:id="255208167">
      <w:bodyDiv w:val="1"/>
      <w:marLeft w:val="0"/>
      <w:marRight w:val="0"/>
      <w:marTop w:val="0"/>
      <w:marBottom w:val="0"/>
      <w:divBdr>
        <w:top w:val="none" w:sz="0" w:space="0" w:color="auto"/>
        <w:left w:val="none" w:sz="0" w:space="0" w:color="auto"/>
        <w:bottom w:val="none" w:sz="0" w:space="0" w:color="auto"/>
        <w:right w:val="none" w:sz="0" w:space="0" w:color="auto"/>
      </w:divBdr>
    </w:div>
    <w:div w:id="255286982">
      <w:bodyDiv w:val="1"/>
      <w:marLeft w:val="0"/>
      <w:marRight w:val="0"/>
      <w:marTop w:val="0"/>
      <w:marBottom w:val="0"/>
      <w:divBdr>
        <w:top w:val="none" w:sz="0" w:space="0" w:color="auto"/>
        <w:left w:val="none" w:sz="0" w:space="0" w:color="auto"/>
        <w:bottom w:val="none" w:sz="0" w:space="0" w:color="auto"/>
        <w:right w:val="none" w:sz="0" w:space="0" w:color="auto"/>
      </w:divBdr>
    </w:div>
    <w:div w:id="255359722">
      <w:bodyDiv w:val="1"/>
      <w:marLeft w:val="0"/>
      <w:marRight w:val="0"/>
      <w:marTop w:val="0"/>
      <w:marBottom w:val="0"/>
      <w:divBdr>
        <w:top w:val="none" w:sz="0" w:space="0" w:color="auto"/>
        <w:left w:val="none" w:sz="0" w:space="0" w:color="auto"/>
        <w:bottom w:val="none" w:sz="0" w:space="0" w:color="auto"/>
        <w:right w:val="none" w:sz="0" w:space="0" w:color="auto"/>
      </w:divBdr>
    </w:div>
    <w:div w:id="255480333">
      <w:bodyDiv w:val="1"/>
      <w:marLeft w:val="0"/>
      <w:marRight w:val="0"/>
      <w:marTop w:val="0"/>
      <w:marBottom w:val="0"/>
      <w:divBdr>
        <w:top w:val="none" w:sz="0" w:space="0" w:color="auto"/>
        <w:left w:val="none" w:sz="0" w:space="0" w:color="auto"/>
        <w:bottom w:val="none" w:sz="0" w:space="0" w:color="auto"/>
        <w:right w:val="none" w:sz="0" w:space="0" w:color="auto"/>
      </w:divBdr>
    </w:div>
    <w:div w:id="255525803">
      <w:bodyDiv w:val="1"/>
      <w:marLeft w:val="0"/>
      <w:marRight w:val="0"/>
      <w:marTop w:val="0"/>
      <w:marBottom w:val="0"/>
      <w:divBdr>
        <w:top w:val="none" w:sz="0" w:space="0" w:color="auto"/>
        <w:left w:val="none" w:sz="0" w:space="0" w:color="auto"/>
        <w:bottom w:val="none" w:sz="0" w:space="0" w:color="auto"/>
        <w:right w:val="none" w:sz="0" w:space="0" w:color="auto"/>
      </w:divBdr>
    </w:div>
    <w:div w:id="255527849">
      <w:bodyDiv w:val="1"/>
      <w:marLeft w:val="0"/>
      <w:marRight w:val="0"/>
      <w:marTop w:val="0"/>
      <w:marBottom w:val="0"/>
      <w:divBdr>
        <w:top w:val="none" w:sz="0" w:space="0" w:color="auto"/>
        <w:left w:val="none" w:sz="0" w:space="0" w:color="auto"/>
        <w:bottom w:val="none" w:sz="0" w:space="0" w:color="auto"/>
        <w:right w:val="none" w:sz="0" w:space="0" w:color="auto"/>
      </w:divBdr>
    </w:div>
    <w:div w:id="255596990">
      <w:bodyDiv w:val="1"/>
      <w:marLeft w:val="0"/>
      <w:marRight w:val="0"/>
      <w:marTop w:val="0"/>
      <w:marBottom w:val="0"/>
      <w:divBdr>
        <w:top w:val="none" w:sz="0" w:space="0" w:color="auto"/>
        <w:left w:val="none" w:sz="0" w:space="0" w:color="auto"/>
        <w:bottom w:val="none" w:sz="0" w:space="0" w:color="auto"/>
        <w:right w:val="none" w:sz="0" w:space="0" w:color="auto"/>
      </w:divBdr>
    </w:div>
    <w:div w:id="255867808">
      <w:bodyDiv w:val="1"/>
      <w:marLeft w:val="0"/>
      <w:marRight w:val="0"/>
      <w:marTop w:val="0"/>
      <w:marBottom w:val="0"/>
      <w:divBdr>
        <w:top w:val="none" w:sz="0" w:space="0" w:color="auto"/>
        <w:left w:val="none" w:sz="0" w:space="0" w:color="auto"/>
        <w:bottom w:val="none" w:sz="0" w:space="0" w:color="auto"/>
        <w:right w:val="none" w:sz="0" w:space="0" w:color="auto"/>
      </w:divBdr>
    </w:div>
    <w:div w:id="255942732">
      <w:bodyDiv w:val="1"/>
      <w:marLeft w:val="0"/>
      <w:marRight w:val="0"/>
      <w:marTop w:val="0"/>
      <w:marBottom w:val="0"/>
      <w:divBdr>
        <w:top w:val="none" w:sz="0" w:space="0" w:color="auto"/>
        <w:left w:val="none" w:sz="0" w:space="0" w:color="auto"/>
        <w:bottom w:val="none" w:sz="0" w:space="0" w:color="auto"/>
        <w:right w:val="none" w:sz="0" w:space="0" w:color="auto"/>
      </w:divBdr>
    </w:div>
    <w:div w:id="256135444">
      <w:bodyDiv w:val="1"/>
      <w:marLeft w:val="0"/>
      <w:marRight w:val="0"/>
      <w:marTop w:val="0"/>
      <w:marBottom w:val="0"/>
      <w:divBdr>
        <w:top w:val="none" w:sz="0" w:space="0" w:color="auto"/>
        <w:left w:val="none" w:sz="0" w:space="0" w:color="auto"/>
        <w:bottom w:val="none" w:sz="0" w:space="0" w:color="auto"/>
        <w:right w:val="none" w:sz="0" w:space="0" w:color="auto"/>
      </w:divBdr>
    </w:div>
    <w:div w:id="256210498">
      <w:bodyDiv w:val="1"/>
      <w:marLeft w:val="0"/>
      <w:marRight w:val="0"/>
      <w:marTop w:val="0"/>
      <w:marBottom w:val="0"/>
      <w:divBdr>
        <w:top w:val="none" w:sz="0" w:space="0" w:color="auto"/>
        <w:left w:val="none" w:sz="0" w:space="0" w:color="auto"/>
        <w:bottom w:val="none" w:sz="0" w:space="0" w:color="auto"/>
        <w:right w:val="none" w:sz="0" w:space="0" w:color="auto"/>
      </w:divBdr>
    </w:div>
    <w:div w:id="256255521">
      <w:bodyDiv w:val="1"/>
      <w:marLeft w:val="0"/>
      <w:marRight w:val="0"/>
      <w:marTop w:val="0"/>
      <w:marBottom w:val="0"/>
      <w:divBdr>
        <w:top w:val="none" w:sz="0" w:space="0" w:color="auto"/>
        <w:left w:val="none" w:sz="0" w:space="0" w:color="auto"/>
        <w:bottom w:val="none" w:sz="0" w:space="0" w:color="auto"/>
        <w:right w:val="none" w:sz="0" w:space="0" w:color="auto"/>
      </w:divBdr>
    </w:div>
    <w:div w:id="256325289">
      <w:bodyDiv w:val="1"/>
      <w:marLeft w:val="0"/>
      <w:marRight w:val="0"/>
      <w:marTop w:val="0"/>
      <w:marBottom w:val="0"/>
      <w:divBdr>
        <w:top w:val="none" w:sz="0" w:space="0" w:color="auto"/>
        <w:left w:val="none" w:sz="0" w:space="0" w:color="auto"/>
        <w:bottom w:val="none" w:sz="0" w:space="0" w:color="auto"/>
        <w:right w:val="none" w:sz="0" w:space="0" w:color="auto"/>
      </w:divBdr>
    </w:div>
    <w:div w:id="256449738">
      <w:bodyDiv w:val="1"/>
      <w:marLeft w:val="0"/>
      <w:marRight w:val="0"/>
      <w:marTop w:val="0"/>
      <w:marBottom w:val="0"/>
      <w:divBdr>
        <w:top w:val="none" w:sz="0" w:space="0" w:color="auto"/>
        <w:left w:val="none" w:sz="0" w:space="0" w:color="auto"/>
        <w:bottom w:val="none" w:sz="0" w:space="0" w:color="auto"/>
        <w:right w:val="none" w:sz="0" w:space="0" w:color="auto"/>
      </w:divBdr>
    </w:div>
    <w:div w:id="256524515">
      <w:bodyDiv w:val="1"/>
      <w:marLeft w:val="0"/>
      <w:marRight w:val="0"/>
      <w:marTop w:val="0"/>
      <w:marBottom w:val="0"/>
      <w:divBdr>
        <w:top w:val="none" w:sz="0" w:space="0" w:color="auto"/>
        <w:left w:val="none" w:sz="0" w:space="0" w:color="auto"/>
        <w:bottom w:val="none" w:sz="0" w:space="0" w:color="auto"/>
        <w:right w:val="none" w:sz="0" w:space="0" w:color="auto"/>
      </w:divBdr>
    </w:div>
    <w:div w:id="256643217">
      <w:bodyDiv w:val="1"/>
      <w:marLeft w:val="0"/>
      <w:marRight w:val="0"/>
      <w:marTop w:val="0"/>
      <w:marBottom w:val="0"/>
      <w:divBdr>
        <w:top w:val="none" w:sz="0" w:space="0" w:color="auto"/>
        <w:left w:val="none" w:sz="0" w:space="0" w:color="auto"/>
        <w:bottom w:val="none" w:sz="0" w:space="0" w:color="auto"/>
        <w:right w:val="none" w:sz="0" w:space="0" w:color="auto"/>
      </w:divBdr>
    </w:div>
    <w:div w:id="256788547">
      <w:bodyDiv w:val="1"/>
      <w:marLeft w:val="0"/>
      <w:marRight w:val="0"/>
      <w:marTop w:val="0"/>
      <w:marBottom w:val="0"/>
      <w:divBdr>
        <w:top w:val="none" w:sz="0" w:space="0" w:color="auto"/>
        <w:left w:val="none" w:sz="0" w:space="0" w:color="auto"/>
        <w:bottom w:val="none" w:sz="0" w:space="0" w:color="auto"/>
        <w:right w:val="none" w:sz="0" w:space="0" w:color="auto"/>
      </w:divBdr>
    </w:div>
    <w:div w:id="256913634">
      <w:bodyDiv w:val="1"/>
      <w:marLeft w:val="0"/>
      <w:marRight w:val="0"/>
      <w:marTop w:val="0"/>
      <w:marBottom w:val="0"/>
      <w:divBdr>
        <w:top w:val="none" w:sz="0" w:space="0" w:color="auto"/>
        <w:left w:val="none" w:sz="0" w:space="0" w:color="auto"/>
        <w:bottom w:val="none" w:sz="0" w:space="0" w:color="auto"/>
        <w:right w:val="none" w:sz="0" w:space="0" w:color="auto"/>
      </w:divBdr>
    </w:div>
    <w:div w:id="256914925">
      <w:bodyDiv w:val="1"/>
      <w:marLeft w:val="0"/>
      <w:marRight w:val="0"/>
      <w:marTop w:val="0"/>
      <w:marBottom w:val="0"/>
      <w:divBdr>
        <w:top w:val="none" w:sz="0" w:space="0" w:color="auto"/>
        <w:left w:val="none" w:sz="0" w:space="0" w:color="auto"/>
        <w:bottom w:val="none" w:sz="0" w:space="0" w:color="auto"/>
        <w:right w:val="none" w:sz="0" w:space="0" w:color="auto"/>
      </w:divBdr>
    </w:div>
    <w:div w:id="257058974">
      <w:bodyDiv w:val="1"/>
      <w:marLeft w:val="0"/>
      <w:marRight w:val="0"/>
      <w:marTop w:val="0"/>
      <w:marBottom w:val="0"/>
      <w:divBdr>
        <w:top w:val="none" w:sz="0" w:space="0" w:color="auto"/>
        <w:left w:val="none" w:sz="0" w:space="0" w:color="auto"/>
        <w:bottom w:val="none" w:sz="0" w:space="0" w:color="auto"/>
        <w:right w:val="none" w:sz="0" w:space="0" w:color="auto"/>
      </w:divBdr>
    </w:div>
    <w:div w:id="257062381">
      <w:bodyDiv w:val="1"/>
      <w:marLeft w:val="0"/>
      <w:marRight w:val="0"/>
      <w:marTop w:val="0"/>
      <w:marBottom w:val="0"/>
      <w:divBdr>
        <w:top w:val="none" w:sz="0" w:space="0" w:color="auto"/>
        <w:left w:val="none" w:sz="0" w:space="0" w:color="auto"/>
        <w:bottom w:val="none" w:sz="0" w:space="0" w:color="auto"/>
        <w:right w:val="none" w:sz="0" w:space="0" w:color="auto"/>
      </w:divBdr>
    </w:div>
    <w:div w:id="257182490">
      <w:bodyDiv w:val="1"/>
      <w:marLeft w:val="0"/>
      <w:marRight w:val="0"/>
      <w:marTop w:val="0"/>
      <w:marBottom w:val="0"/>
      <w:divBdr>
        <w:top w:val="none" w:sz="0" w:space="0" w:color="auto"/>
        <w:left w:val="none" w:sz="0" w:space="0" w:color="auto"/>
        <w:bottom w:val="none" w:sz="0" w:space="0" w:color="auto"/>
        <w:right w:val="none" w:sz="0" w:space="0" w:color="auto"/>
      </w:divBdr>
    </w:div>
    <w:div w:id="257249339">
      <w:bodyDiv w:val="1"/>
      <w:marLeft w:val="0"/>
      <w:marRight w:val="0"/>
      <w:marTop w:val="0"/>
      <w:marBottom w:val="0"/>
      <w:divBdr>
        <w:top w:val="none" w:sz="0" w:space="0" w:color="auto"/>
        <w:left w:val="none" w:sz="0" w:space="0" w:color="auto"/>
        <w:bottom w:val="none" w:sz="0" w:space="0" w:color="auto"/>
        <w:right w:val="none" w:sz="0" w:space="0" w:color="auto"/>
      </w:divBdr>
    </w:div>
    <w:div w:id="257257752">
      <w:bodyDiv w:val="1"/>
      <w:marLeft w:val="0"/>
      <w:marRight w:val="0"/>
      <w:marTop w:val="0"/>
      <w:marBottom w:val="0"/>
      <w:divBdr>
        <w:top w:val="none" w:sz="0" w:space="0" w:color="auto"/>
        <w:left w:val="none" w:sz="0" w:space="0" w:color="auto"/>
        <w:bottom w:val="none" w:sz="0" w:space="0" w:color="auto"/>
        <w:right w:val="none" w:sz="0" w:space="0" w:color="auto"/>
      </w:divBdr>
    </w:div>
    <w:div w:id="257372824">
      <w:bodyDiv w:val="1"/>
      <w:marLeft w:val="0"/>
      <w:marRight w:val="0"/>
      <w:marTop w:val="0"/>
      <w:marBottom w:val="0"/>
      <w:divBdr>
        <w:top w:val="none" w:sz="0" w:space="0" w:color="auto"/>
        <w:left w:val="none" w:sz="0" w:space="0" w:color="auto"/>
        <w:bottom w:val="none" w:sz="0" w:space="0" w:color="auto"/>
        <w:right w:val="none" w:sz="0" w:space="0" w:color="auto"/>
      </w:divBdr>
    </w:div>
    <w:div w:id="257521000">
      <w:bodyDiv w:val="1"/>
      <w:marLeft w:val="0"/>
      <w:marRight w:val="0"/>
      <w:marTop w:val="0"/>
      <w:marBottom w:val="0"/>
      <w:divBdr>
        <w:top w:val="none" w:sz="0" w:space="0" w:color="auto"/>
        <w:left w:val="none" w:sz="0" w:space="0" w:color="auto"/>
        <w:bottom w:val="none" w:sz="0" w:space="0" w:color="auto"/>
        <w:right w:val="none" w:sz="0" w:space="0" w:color="auto"/>
      </w:divBdr>
    </w:div>
    <w:div w:id="257638941">
      <w:bodyDiv w:val="1"/>
      <w:marLeft w:val="0"/>
      <w:marRight w:val="0"/>
      <w:marTop w:val="0"/>
      <w:marBottom w:val="0"/>
      <w:divBdr>
        <w:top w:val="none" w:sz="0" w:space="0" w:color="auto"/>
        <w:left w:val="none" w:sz="0" w:space="0" w:color="auto"/>
        <w:bottom w:val="none" w:sz="0" w:space="0" w:color="auto"/>
        <w:right w:val="none" w:sz="0" w:space="0" w:color="auto"/>
      </w:divBdr>
    </w:div>
    <w:div w:id="257829419">
      <w:bodyDiv w:val="1"/>
      <w:marLeft w:val="0"/>
      <w:marRight w:val="0"/>
      <w:marTop w:val="0"/>
      <w:marBottom w:val="0"/>
      <w:divBdr>
        <w:top w:val="none" w:sz="0" w:space="0" w:color="auto"/>
        <w:left w:val="none" w:sz="0" w:space="0" w:color="auto"/>
        <w:bottom w:val="none" w:sz="0" w:space="0" w:color="auto"/>
        <w:right w:val="none" w:sz="0" w:space="0" w:color="auto"/>
      </w:divBdr>
    </w:div>
    <w:div w:id="257833800">
      <w:bodyDiv w:val="1"/>
      <w:marLeft w:val="0"/>
      <w:marRight w:val="0"/>
      <w:marTop w:val="0"/>
      <w:marBottom w:val="0"/>
      <w:divBdr>
        <w:top w:val="none" w:sz="0" w:space="0" w:color="auto"/>
        <w:left w:val="none" w:sz="0" w:space="0" w:color="auto"/>
        <w:bottom w:val="none" w:sz="0" w:space="0" w:color="auto"/>
        <w:right w:val="none" w:sz="0" w:space="0" w:color="auto"/>
      </w:divBdr>
    </w:div>
    <w:div w:id="257836823">
      <w:bodyDiv w:val="1"/>
      <w:marLeft w:val="0"/>
      <w:marRight w:val="0"/>
      <w:marTop w:val="0"/>
      <w:marBottom w:val="0"/>
      <w:divBdr>
        <w:top w:val="none" w:sz="0" w:space="0" w:color="auto"/>
        <w:left w:val="none" w:sz="0" w:space="0" w:color="auto"/>
        <w:bottom w:val="none" w:sz="0" w:space="0" w:color="auto"/>
        <w:right w:val="none" w:sz="0" w:space="0" w:color="auto"/>
      </w:divBdr>
    </w:div>
    <w:div w:id="258029730">
      <w:bodyDiv w:val="1"/>
      <w:marLeft w:val="0"/>
      <w:marRight w:val="0"/>
      <w:marTop w:val="0"/>
      <w:marBottom w:val="0"/>
      <w:divBdr>
        <w:top w:val="none" w:sz="0" w:space="0" w:color="auto"/>
        <w:left w:val="none" w:sz="0" w:space="0" w:color="auto"/>
        <w:bottom w:val="none" w:sz="0" w:space="0" w:color="auto"/>
        <w:right w:val="none" w:sz="0" w:space="0" w:color="auto"/>
      </w:divBdr>
    </w:div>
    <w:div w:id="258220661">
      <w:bodyDiv w:val="1"/>
      <w:marLeft w:val="0"/>
      <w:marRight w:val="0"/>
      <w:marTop w:val="0"/>
      <w:marBottom w:val="0"/>
      <w:divBdr>
        <w:top w:val="none" w:sz="0" w:space="0" w:color="auto"/>
        <w:left w:val="none" w:sz="0" w:space="0" w:color="auto"/>
        <w:bottom w:val="none" w:sz="0" w:space="0" w:color="auto"/>
        <w:right w:val="none" w:sz="0" w:space="0" w:color="auto"/>
      </w:divBdr>
    </w:div>
    <w:div w:id="258297693">
      <w:bodyDiv w:val="1"/>
      <w:marLeft w:val="0"/>
      <w:marRight w:val="0"/>
      <w:marTop w:val="0"/>
      <w:marBottom w:val="0"/>
      <w:divBdr>
        <w:top w:val="none" w:sz="0" w:space="0" w:color="auto"/>
        <w:left w:val="none" w:sz="0" w:space="0" w:color="auto"/>
        <w:bottom w:val="none" w:sz="0" w:space="0" w:color="auto"/>
        <w:right w:val="none" w:sz="0" w:space="0" w:color="auto"/>
      </w:divBdr>
    </w:div>
    <w:div w:id="258417598">
      <w:bodyDiv w:val="1"/>
      <w:marLeft w:val="0"/>
      <w:marRight w:val="0"/>
      <w:marTop w:val="0"/>
      <w:marBottom w:val="0"/>
      <w:divBdr>
        <w:top w:val="none" w:sz="0" w:space="0" w:color="auto"/>
        <w:left w:val="none" w:sz="0" w:space="0" w:color="auto"/>
        <w:bottom w:val="none" w:sz="0" w:space="0" w:color="auto"/>
        <w:right w:val="none" w:sz="0" w:space="0" w:color="auto"/>
      </w:divBdr>
    </w:div>
    <w:div w:id="258679951">
      <w:bodyDiv w:val="1"/>
      <w:marLeft w:val="0"/>
      <w:marRight w:val="0"/>
      <w:marTop w:val="0"/>
      <w:marBottom w:val="0"/>
      <w:divBdr>
        <w:top w:val="none" w:sz="0" w:space="0" w:color="auto"/>
        <w:left w:val="none" w:sz="0" w:space="0" w:color="auto"/>
        <w:bottom w:val="none" w:sz="0" w:space="0" w:color="auto"/>
        <w:right w:val="none" w:sz="0" w:space="0" w:color="auto"/>
      </w:divBdr>
    </w:div>
    <w:div w:id="258831287">
      <w:bodyDiv w:val="1"/>
      <w:marLeft w:val="0"/>
      <w:marRight w:val="0"/>
      <w:marTop w:val="0"/>
      <w:marBottom w:val="0"/>
      <w:divBdr>
        <w:top w:val="none" w:sz="0" w:space="0" w:color="auto"/>
        <w:left w:val="none" w:sz="0" w:space="0" w:color="auto"/>
        <w:bottom w:val="none" w:sz="0" w:space="0" w:color="auto"/>
        <w:right w:val="none" w:sz="0" w:space="0" w:color="auto"/>
      </w:divBdr>
    </w:div>
    <w:div w:id="258834038">
      <w:bodyDiv w:val="1"/>
      <w:marLeft w:val="0"/>
      <w:marRight w:val="0"/>
      <w:marTop w:val="0"/>
      <w:marBottom w:val="0"/>
      <w:divBdr>
        <w:top w:val="none" w:sz="0" w:space="0" w:color="auto"/>
        <w:left w:val="none" w:sz="0" w:space="0" w:color="auto"/>
        <w:bottom w:val="none" w:sz="0" w:space="0" w:color="auto"/>
        <w:right w:val="none" w:sz="0" w:space="0" w:color="auto"/>
      </w:divBdr>
    </w:div>
    <w:div w:id="258872605">
      <w:bodyDiv w:val="1"/>
      <w:marLeft w:val="0"/>
      <w:marRight w:val="0"/>
      <w:marTop w:val="0"/>
      <w:marBottom w:val="0"/>
      <w:divBdr>
        <w:top w:val="none" w:sz="0" w:space="0" w:color="auto"/>
        <w:left w:val="none" w:sz="0" w:space="0" w:color="auto"/>
        <w:bottom w:val="none" w:sz="0" w:space="0" w:color="auto"/>
        <w:right w:val="none" w:sz="0" w:space="0" w:color="auto"/>
      </w:divBdr>
    </w:div>
    <w:div w:id="258947086">
      <w:bodyDiv w:val="1"/>
      <w:marLeft w:val="0"/>
      <w:marRight w:val="0"/>
      <w:marTop w:val="0"/>
      <w:marBottom w:val="0"/>
      <w:divBdr>
        <w:top w:val="none" w:sz="0" w:space="0" w:color="auto"/>
        <w:left w:val="none" w:sz="0" w:space="0" w:color="auto"/>
        <w:bottom w:val="none" w:sz="0" w:space="0" w:color="auto"/>
        <w:right w:val="none" w:sz="0" w:space="0" w:color="auto"/>
      </w:divBdr>
    </w:div>
    <w:div w:id="259065290">
      <w:bodyDiv w:val="1"/>
      <w:marLeft w:val="0"/>
      <w:marRight w:val="0"/>
      <w:marTop w:val="0"/>
      <w:marBottom w:val="0"/>
      <w:divBdr>
        <w:top w:val="none" w:sz="0" w:space="0" w:color="auto"/>
        <w:left w:val="none" w:sz="0" w:space="0" w:color="auto"/>
        <w:bottom w:val="none" w:sz="0" w:space="0" w:color="auto"/>
        <w:right w:val="none" w:sz="0" w:space="0" w:color="auto"/>
      </w:divBdr>
    </w:div>
    <w:div w:id="259223627">
      <w:bodyDiv w:val="1"/>
      <w:marLeft w:val="0"/>
      <w:marRight w:val="0"/>
      <w:marTop w:val="0"/>
      <w:marBottom w:val="0"/>
      <w:divBdr>
        <w:top w:val="none" w:sz="0" w:space="0" w:color="auto"/>
        <w:left w:val="none" w:sz="0" w:space="0" w:color="auto"/>
        <w:bottom w:val="none" w:sz="0" w:space="0" w:color="auto"/>
        <w:right w:val="none" w:sz="0" w:space="0" w:color="auto"/>
      </w:divBdr>
    </w:div>
    <w:div w:id="259292518">
      <w:bodyDiv w:val="1"/>
      <w:marLeft w:val="0"/>
      <w:marRight w:val="0"/>
      <w:marTop w:val="0"/>
      <w:marBottom w:val="0"/>
      <w:divBdr>
        <w:top w:val="none" w:sz="0" w:space="0" w:color="auto"/>
        <w:left w:val="none" w:sz="0" w:space="0" w:color="auto"/>
        <w:bottom w:val="none" w:sz="0" w:space="0" w:color="auto"/>
        <w:right w:val="none" w:sz="0" w:space="0" w:color="auto"/>
      </w:divBdr>
    </w:div>
    <w:div w:id="259485109">
      <w:bodyDiv w:val="1"/>
      <w:marLeft w:val="0"/>
      <w:marRight w:val="0"/>
      <w:marTop w:val="0"/>
      <w:marBottom w:val="0"/>
      <w:divBdr>
        <w:top w:val="none" w:sz="0" w:space="0" w:color="auto"/>
        <w:left w:val="none" w:sz="0" w:space="0" w:color="auto"/>
        <w:bottom w:val="none" w:sz="0" w:space="0" w:color="auto"/>
        <w:right w:val="none" w:sz="0" w:space="0" w:color="auto"/>
      </w:divBdr>
    </w:div>
    <w:div w:id="259528049">
      <w:bodyDiv w:val="1"/>
      <w:marLeft w:val="0"/>
      <w:marRight w:val="0"/>
      <w:marTop w:val="0"/>
      <w:marBottom w:val="0"/>
      <w:divBdr>
        <w:top w:val="none" w:sz="0" w:space="0" w:color="auto"/>
        <w:left w:val="none" w:sz="0" w:space="0" w:color="auto"/>
        <w:bottom w:val="none" w:sz="0" w:space="0" w:color="auto"/>
        <w:right w:val="none" w:sz="0" w:space="0" w:color="auto"/>
      </w:divBdr>
    </w:div>
    <w:div w:id="259603681">
      <w:bodyDiv w:val="1"/>
      <w:marLeft w:val="0"/>
      <w:marRight w:val="0"/>
      <w:marTop w:val="0"/>
      <w:marBottom w:val="0"/>
      <w:divBdr>
        <w:top w:val="none" w:sz="0" w:space="0" w:color="auto"/>
        <w:left w:val="none" w:sz="0" w:space="0" w:color="auto"/>
        <w:bottom w:val="none" w:sz="0" w:space="0" w:color="auto"/>
        <w:right w:val="none" w:sz="0" w:space="0" w:color="auto"/>
      </w:divBdr>
    </w:div>
    <w:div w:id="259609640">
      <w:bodyDiv w:val="1"/>
      <w:marLeft w:val="0"/>
      <w:marRight w:val="0"/>
      <w:marTop w:val="0"/>
      <w:marBottom w:val="0"/>
      <w:divBdr>
        <w:top w:val="none" w:sz="0" w:space="0" w:color="auto"/>
        <w:left w:val="none" w:sz="0" w:space="0" w:color="auto"/>
        <w:bottom w:val="none" w:sz="0" w:space="0" w:color="auto"/>
        <w:right w:val="none" w:sz="0" w:space="0" w:color="auto"/>
      </w:divBdr>
    </w:div>
    <w:div w:id="259722324">
      <w:bodyDiv w:val="1"/>
      <w:marLeft w:val="0"/>
      <w:marRight w:val="0"/>
      <w:marTop w:val="0"/>
      <w:marBottom w:val="0"/>
      <w:divBdr>
        <w:top w:val="none" w:sz="0" w:space="0" w:color="auto"/>
        <w:left w:val="none" w:sz="0" w:space="0" w:color="auto"/>
        <w:bottom w:val="none" w:sz="0" w:space="0" w:color="auto"/>
        <w:right w:val="none" w:sz="0" w:space="0" w:color="auto"/>
      </w:divBdr>
    </w:div>
    <w:div w:id="259803630">
      <w:bodyDiv w:val="1"/>
      <w:marLeft w:val="0"/>
      <w:marRight w:val="0"/>
      <w:marTop w:val="0"/>
      <w:marBottom w:val="0"/>
      <w:divBdr>
        <w:top w:val="none" w:sz="0" w:space="0" w:color="auto"/>
        <w:left w:val="none" w:sz="0" w:space="0" w:color="auto"/>
        <w:bottom w:val="none" w:sz="0" w:space="0" w:color="auto"/>
        <w:right w:val="none" w:sz="0" w:space="0" w:color="auto"/>
      </w:divBdr>
    </w:div>
    <w:div w:id="259871114">
      <w:bodyDiv w:val="1"/>
      <w:marLeft w:val="0"/>
      <w:marRight w:val="0"/>
      <w:marTop w:val="0"/>
      <w:marBottom w:val="0"/>
      <w:divBdr>
        <w:top w:val="none" w:sz="0" w:space="0" w:color="auto"/>
        <w:left w:val="none" w:sz="0" w:space="0" w:color="auto"/>
        <w:bottom w:val="none" w:sz="0" w:space="0" w:color="auto"/>
        <w:right w:val="none" w:sz="0" w:space="0" w:color="auto"/>
      </w:divBdr>
    </w:div>
    <w:div w:id="259874541">
      <w:bodyDiv w:val="1"/>
      <w:marLeft w:val="0"/>
      <w:marRight w:val="0"/>
      <w:marTop w:val="0"/>
      <w:marBottom w:val="0"/>
      <w:divBdr>
        <w:top w:val="none" w:sz="0" w:space="0" w:color="auto"/>
        <w:left w:val="none" w:sz="0" w:space="0" w:color="auto"/>
        <w:bottom w:val="none" w:sz="0" w:space="0" w:color="auto"/>
        <w:right w:val="none" w:sz="0" w:space="0" w:color="auto"/>
      </w:divBdr>
    </w:div>
    <w:div w:id="259919047">
      <w:bodyDiv w:val="1"/>
      <w:marLeft w:val="0"/>
      <w:marRight w:val="0"/>
      <w:marTop w:val="0"/>
      <w:marBottom w:val="0"/>
      <w:divBdr>
        <w:top w:val="none" w:sz="0" w:space="0" w:color="auto"/>
        <w:left w:val="none" w:sz="0" w:space="0" w:color="auto"/>
        <w:bottom w:val="none" w:sz="0" w:space="0" w:color="auto"/>
        <w:right w:val="none" w:sz="0" w:space="0" w:color="auto"/>
      </w:divBdr>
    </w:div>
    <w:div w:id="259919375">
      <w:bodyDiv w:val="1"/>
      <w:marLeft w:val="0"/>
      <w:marRight w:val="0"/>
      <w:marTop w:val="0"/>
      <w:marBottom w:val="0"/>
      <w:divBdr>
        <w:top w:val="none" w:sz="0" w:space="0" w:color="auto"/>
        <w:left w:val="none" w:sz="0" w:space="0" w:color="auto"/>
        <w:bottom w:val="none" w:sz="0" w:space="0" w:color="auto"/>
        <w:right w:val="none" w:sz="0" w:space="0" w:color="auto"/>
      </w:divBdr>
    </w:div>
    <w:div w:id="260113172">
      <w:bodyDiv w:val="1"/>
      <w:marLeft w:val="0"/>
      <w:marRight w:val="0"/>
      <w:marTop w:val="0"/>
      <w:marBottom w:val="0"/>
      <w:divBdr>
        <w:top w:val="none" w:sz="0" w:space="0" w:color="auto"/>
        <w:left w:val="none" w:sz="0" w:space="0" w:color="auto"/>
        <w:bottom w:val="none" w:sz="0" w:space="0" w:color="auto"/>
        <w:right w:val="none" w:sz="0" w:space="0" w:color="auto"/>
      </w:divBdr>
    </w:div>
    <w:div w:id="260142033">
      <w:bodyDiv w:val="1"/>
      <w:marLeft w:val="0"/>
      <w:marRight w:val="0"/>
      <w:marTop w:val="0"/>
      <w:marBottom w:val="0"/>
      <w:divBdr>
        <w:top w:val="none" w:sz="0" w:space="0" w:color="auto"/>
        <w:left w:val="none" w:sz="0" w:space="0" w:color="auto"/>
        <w:bottom w:val="none" w:sz="0" w:space="0" w:color="auto"/>
        <w:right w:val="none" w:sz="0" w:space="0" w:color="auto"/>
      </w:divBdr>
    </w:div>
    <w:div w:id="260186149">
      <w:bodyDiv w:val="1"/>
      <w:marLeft w:val="0"/>
      <w:marRight w:val="0"/>
      <w:marTop w:val="0"/>
      <w:marBottom w:val="0"/>
      <w:divBdr>
        <w:top w:val="none" w:sz="0" w:space="0" w:color="auto"/>
        <w:left w:val="none" w:sz="0" w:space="0" w:color="auto"/>
        <w:bottom w:val="none" w:sz="0" w:space="0" w:color="auto"/>
        <w:right w:val="none" w:sz="0" w:space="0" w:color="auto"/>
      </w:divBdr>
    </w:div>
    <w:div w:id="260188215">
      <w:bodyDiv w:val="1"/>
      <w:marLeft w:val="0"/>
      <w:marRight w:val="0"/>
      <w:marTop w:val="0"/>
      <w:marBottom w:val="0"/>
      <w:divBdr>
        <w:top w:val="none" w:sz="0" w:space="0" w:color="auto"/>
        <w:left w:val="none" w:sz="0" w:space="0" w:color="auto"/>
        <w:bottom w:val="none" w:sz="0" w:space="0" w:color="auto"/>
        <w:right w:val="none" w:sz="0" w:space="0" w:color="auto"/>
      </w:divBdr>
    </w:div>
    <w:div w:id="260337676">
      <w:bodyDiv w:val="1"/>
      <w:marLeft w:val="0"/>
      <w:marRight w:val="0"/>
      <w:marTop w:val="0"/>
      <w:marBottom w:val="0"/>
      <w:divBdr>
        <w:top w:val="none" w:sz="0" w:space="0" w:color="auto"/>
        <w:left w:val="none" w:sz="0" w:space="0" w:color="auto"/>
        <w:bottom w:val="none" w:sz="0" w:space="0" w:color="auto"/>
        <w:right w:val="none" w:sz="0" w:space="0" w:color="auto"/>
      </w:divBdr>
    </w:div>
    <w:div w:id="260525733">
      <w:bodyDiv w:val="1"/>
      <w:marLeft w:val="0"/>
      <w:marRight w:val="0"/>
      <w:marTop w:val="0"/>
      <w:marBottom w:val="0"/>
      <w:divBdr>
        <w:top w:val="none" w:sz="0" w:space="0" w:color="auto"/>
        <w:left w:val="none" w:sz="0" w:space="0" w:color="auto"/>
        <w:bottom w:val="none" w:sz="0" w:space="0" w:color="auto"/>
        <w:right w:val="none" w:sz="0" w:space="0" w:color="auto"/>
      </w:divBdr>
    </w:div>
    <w:div w:id="260527797">
      <w:bodyDiv w:val="1"/>
      <w:marLeft w:val="0"/>
      <w:marRight w:val="0"/>
      <w:marTop w:val="0"/>
      <w:marBottom w:val="0"/>
      <w:divBdr>
        <w:top w:val="none" w:sz="0" w:space="0" w:color="auto"/>
        <w:left w:val="none" w:sz="0" w:space="0" w:color="auto"/>
        <w:bottom w:val="none" w:sz="0" w:space="0" w:color="auto"/>
        <w:right w:val="none" w:sz="0" w:space="0" w:color="auto"/>
      </w:divBdr>
    </w:div>
    <w:div w:id="260648644">
      <w:bodyDiv w:val="1"/>
      <w:marLeft w:val="0"/>
      <w:marRight w:val="0"/>
      <w:marTop w:val="0"/>
      <w:marBottom w:val="0"/>
      <w:divBdr>
        <w:top w:val="none" w:sz="0" w:space="0" w:color="auto"/>
        <w:left w:val="none" w:sz="0" w:space="0" w:color="auto"/>
        <w:bottom w:val="none" w:sz="0" w:space="0" w:color="auto"/>
        <w:right w:val="none" w:sz="0" w:space="0" w:color="auto"/>
      </w:divBdr>
    </w:div>
    <w:div w:id="260720796">
      <w:bodyDiv w:val="1"/>
      <w:marLeft w:val="0"/>
      <w:marRight w:val="0"/>
      <w:marTop w:val="0"/>
      <w:marBottom w:val="0"/>
      <w:divBdr>
        <w:top w:val="none" w:sz="0" w:space="0" w:color="auto"/>
        <w:left w:val="none" w:sz="0" w:space="0" w:color="auto"/>
        <w:bottom w:val="none" w:sz="0" w:space="0" w:color="auto"/>
        <w:right w:val="none" w:sz="0" w:space="0" w:color="auto"/>
      </w:divBdr>
    </w:div>
    <w:div w:id="260845466">
      <w:bodyDiv w:val="1"/>
      <w:marLeft w:val="0"/>
      <w:marRight w:val="0"/>
      <w:marTop w:val="0"/>
      <w:marBottom w:val="0"/>
      <w:divBdr>
        <w:top w:val="none" w:sz="0" w:space="0" w:color="auto"/>
        <w:left w:val="none" w:sz="0" w:space="0" w:color="auto"/>
        <w:bottom w:val="none" w:sz="0" w:space="0" w:color="auto"/>
        <w:right w:val="none" w:sz="0" w:space="0" w:color="auto"/>
      </w:divBdr>
    </w:div>
    <w:div w:id="260989255">
      <w:bodyDiv w:val="1"/>
      <w:marLeft w:val="0"/>
      <w:marRight w:val="0"/>
      <w:marTop w:val="0"/>
      <w:marBottom w:val="0"/>
      <w:divBdr>
        <w:top w:val="none" w:sz="0" w:space="0" w:color="auto"/>
        <w:left w:val="none" w:sz="0" w:space="0" w:color="auto"/>
        <w:bottom w:val="none" w:sz="0" w:space="0" w:color="auto"/>
        <w:right w:val="none" w:sz="0" w:space="0" w:color="auto"/>
      </w:divBdr>
    </w:div>
    <w:div w:id="261033756">
      <w:bodyDiv w:val="1"/>
      <w:marLeft w:val="0"/>
      <w:marRight w:val="0"/>
      <w:marTop w:val="0"/>
      <w:marBottom w:val="0"/>
      <w:divBdr>
        <w:top w:val="none" w:sz="0" w:space="0" w:color="auto"/>
        <w:left w:val="none" w:sz="0" w:space="0" w:color="auto"/>
        <w:bottom w:val="none" w:sz="0" w:space="0" w:color="auto"/>
        <w:right w:val="none" w:sz="0" w:space="0" w:color="auto"/>
      </w:divBdr>
    </w:div>
    <w:div w:id="261111007">
      <w:bodyDiv w:val="1"/>
      <w:marLeft w:val="0"/>
      <w:marRight w:val="0"/>
      <w:marTop w:val="0"/>
      <w:marBottom w:val="0"/>
      <w:divBdr>
        <w:top w:val="none" w:sz="0" w:space="0" w:color="auto"/>
        <w:left w:val="none" w:sz="0" w:space="0" w:color="auto"/>
        <w:bottom w:val="none" w:sz="0" w:space="0" w:color="auto"/>
        <w:right w:val="none" w:sz="0" w:space="0" w:color="auto"/>
      </w:divBdr>
    </w:div>
    <w:div w:id="261187640">
      <w:bodyDiv w:val="1"/>
      <w:marLeft w:val="0"/>
      <w:marRight w:val="0"/>
      <w:marTop w:val="0"/>
      <w:marBottom w:val="0"/>
      <w:divBdr>
        <w:top w:val="none" w:sz="0" w:space="0" w:color="auto"/>
        <w:left w:val="none" w:sz="0" w:space="0" w:color="auto"/>
        <w:bottom w:val="none" w:sz="0" w:space="0" w:color="auto"/>
        <w:right w:val="none" w:sz="0" w:space="0" w:color="auto"/>
      </w:divBdr>
    </w:div>
    <w:div w:id="261228036">
      <w:bodyDiv w:val="1"/>
      <w:marLeft w:val="0"/>
      <w:marRight w:val="0"/>
      <w:marTop w:val="0"/>
      <w:marBottom w:val="0"/>
      <w:divBdr>
        <w:top w:val="none" w:sz="0" w:space="0" w:color="auto"/>
        <w:left w:val="none" w:sz="0" w:space="0" w:color="auto"/>
        <w:bottom w:val="none" w:sz="0" w:space="0" w:color="auto"/>
        <w:right w:val="none" w:sz="0" w:space="0" w:color="auto"/>
      </w:divBdr>
    </w:div>
    <w:div w:id="261425332">
      <w:bodyDiv w:val="1"/>
      <w:marLeft w:val="0"/>
      <w:marRight w:val="0"/>
      <w:marTop w:val="0"/>
      <w:marBottom w:val="0"/>
      <w:divBdr>
        <w:top w:val="none" w:sz="0" w:space="0" w:color="auto"/>
        <w:left w:val="none" w:sz="0" w:space="0" w:color="auto"/>
        <w:bottom w:val="none" w:sz="0" w:space="0" w:color="auto"/>
        <w:right w:val="none" w:sz="0" w:space="0" w:color="auto"/>
      </w:divBdr>
    </w:div>
    <w:div w:id="261571885">
      <w:bodyDiv w:val="1"/>
      <w:marLeft w:val="0"/>
      <w:marRight w:val="0"/>
      <w:marTop w:val="0"/>
      <w:marBottom w:val="0"/>
      <w:divBdr>
        <w:top w:val="none" w:sz="0" w:space="0" w:color="auto"/>
        <w:left w:val="none" w:sz="0" w:space="0" w:color="auto"/>
        <w:bottom w:val="none" w:sz="0" w:space="0" w:color="auto"/>
        <w:right w:val="none" w:sz="0" w:space="0" w:color="auto"/>
      </w:divBdr>
    </w:div>
    <w:div w:id="261650398">
      <w:bodyDiv w:val="1"/>
      <w:marLeft w:val="0"/>
      <w:marRight w:val="0"/>
      <w:marTop w:val="0"/>
      <w:marBottom w:val="0"/>
      <w:divBdr>
        <w:top w:val="none" w:sz="0" w:space="0" w:color="auto"/>
        <w:left w:val="none" w:sz="0" w:space="0" w:color="auto"/>
        <w:bottom w:val="none" w:sz="0" w:space="0" w:color="auto"/>
        <w:right w:val="none" w:sz="0" w:space="0" w:color="auto"/>
      </w:divBdr>
    </w:div>
    <w:div w:id="261769116">
      <w:bodyDiv w:val="1"/>
      <w:marLeft w:val="0"/>
      <w:marRight w:val="0"/>
      <w:marTop w:val="0"/>
      <w:marBottom w:val="0"/>
      <w:divBdr>
        <w:top w:val="none" w:sz="0" w:space="0" w:color="auto"/>
        <w:left w:val="none" w:sz="0" w:space="0" w:color="auto"/>
        <w:bottom w:val="none" w:sz="0" w:space="0" w:color="auto"/>
        <w:right w:val="none" w:sz="0" w:space="0" w:color="auto"/>
      </w:divBdr>
    </w:div>
    <w:div w:id="261887408">
      <w:bodyDiv w:val="1"/>
      <w:marLeft w:val="0"/>
      <w:marRight w:val="0"/>
      <w:marTop w:val="0"/>
      <w:marBottom w:val="0"/>
      <w:divBdr>
        <w:top w:val="none" w:sz="0" w:space="0" w:color="auto"/>
        <w:left w:val="none" w:sz="0" w:space="0" w:color="auto"/>
        <w:bottom w:val="none" w:sz="0" w:space="0" w:color="auto"/>
        <w:right w:val="none" w:sz="0" w:space="0" w:color="auto"/>
      </w:divBdr>
    </w:div>
    <w:div w:id="262031692">
      <w:bodyDiv w:val="1"/>
      <w:marLeft w:val="0"/>
      <w:marRight w:val="0"/>
      <w:marTop w:val="0"/>
      <w:marBottom w:val="0"/>
      <w:divBdr>
        <w:top w:val="none" w:sz="0" w:space="0" w:color="auto"/>
        <w:left w:val="none" w:sz="0" w:space="0" w:color="auto"/>
        <w:bottom w:val="none" w:sz="0" w:space="0" w:color="auto"/>
        <w:right w:val="none" w:sz="0" w:space="0" w:color="auto"/>
      </w:divBdr>
    </w:div>
    <w:div w:id="262110443">
      <w:bodyDiv w:val="1"/>
      <w:marLeft w:val="0"/>
      <w:marRight w:val="0"/>
      <w:marTop w:val="0"/>
      <w:marBottom w:val="0"/>
      <w:divBdr>
        <w:top w:val="none" w:sz="0" w:space="0" w:color="auto"/>
        <w:left w:val="none" w:sz="0" w:space="0" w:color="auto"/>
        <w:bottom w:val="none" w:sz="0" w:space="0" w:color="auto"/>
        <w:right w:val="none" w:sz="0" w:space="0" w:color="auto"/>
      </w:divBdr>
    </w:div>
    <w:div w:id="262300311">
      <w:bodyDiv w:val="1"/>
      <w:marLeft w:val="0"/>
      <w:marRight w:val="0"/>
      <w:marTop w:val="0"/>
      <w:marBottom w:val="0"/>
      <w:divBdr>
        <w:top w:val="none" w:sz="0" w:space="0" w:color="auto"/>
        <w:left w:val="none" w:sz="0" w:space="0" w:color="auto"/>
        <w:bottom w:val="none" w:sz="0" w:space="0" w:color="auto"/>
        <w:right w:val="none" w:sz="0" w:space="0" w:color="auto"/>
      </w:divBdr>
    </w:div>
    <w:div w:id="262418537">
      <w:bodyDiv w:val="1"/>
      <w:marLeft w:val="0"/>
      <w:marRight w:val="0"/>
      <w:marTop w:val="0"/>
      <w:marBottom w:val="0"/>
      <w:divBdr>
        <w:top w:val="none" w:sz="0" w:space="0" w:color="auto"/>
        <w:left w:val="none" w:sz="0" w:space="0" w:color="auto"/>
        <w:bottom w:val="none" w:sz="0" w:space="0" w:color="auto"/>
        <w:right w:val="none" w:sz="0" w:space="0" w:color="auto"/>
      </w:divBdr>
    </w:div>
    <w:div w:id="262543056">
      <w:bodyDiv w:val="1"/>
      <w:marLeft w:val="0"/>
      <w:marRight w:val="0"/>
      <w:marTop w:val="0"/>
      <w:marBottom w:val="0"/>
      <w:divBdr>
        <w:top w:val="none" w:sz="0" w:space="0" w:color="auto"/>
        <w:left w:val="none" w:sz="0" w:space="0" w:color="auto"/>
        <w:bottom w:val="none" w:sz="0" w:space="0" w:color="auto"/>
        <w:right w:val="none" w:sz="0" w:space="0" w:color="auto"/>
      </w:divBdr>
    </w:div>
    <w:div w:id="262736587">
      <w:bodyDiv w:val="1"/>
      <w:marLeft w:val="0"/>
      <w:marRight w:val="0"/>
      <w:marTop w:val="0"/>
      <w:marBottom w:val="0"/>
      <w:divBdr>
        <w:top w:val="none" w:sz="0" w:space="0" w:color="auto"/>
        <w:left w:val="none" w:sz="0" w:space="0" w:color="auto"/>
        <w:bottom w:val="none" w:sz="0" w:space="0" w:color="auto"/>
        <w:right w:val="none" w:sz="0" w:space="0" w:color="auto"/>
      </w:divBdr>
    </w:div>
    <w:div w:id="262761341">
      <w:bodyDiv w:val="1"/>
      <w:marLeft w:val="0"/>
      <w:marRight w:val="0"/>
      <w:marTop w:val="0"/>
      <w:marBottom w:val="0"/>
      <w:divBdr>
        <w:top w:val="none" w:sz="0" w:space="0" w:color="auto"/>
        <w:left w:val="none" w:sz="0" w:space="0" w:color="auto"/>
        <w:bottom w:val="none" w:sz="0" w:space="0" w:color="auto"/>
        <w:right w:val="none" w:sz="0" w:space="0" w:color="auto"/>
      </w:divBdr>
    </w:div>
    <w:div w:id="262809400">
      <w:bodyDiv w:val="1"/>
      <w:marLeft w:val="0"/>
      <w:marRight w:val="0"/>
      <w:marTop w:val="0"/>
      <w:marBottom w:val="0"/>
      <w:divBdr>
        <w:top w:val="none" w:sz="0" w:space="0" w:color="auto"/>
        <w:left w:val="none" w:sz="0" w:space="0" w:color="auto"/>
        <w:bottom w:val="none" w:sz="0" w:space="0" w:color="auto"/>
        <w:right w:val="none" w:sz="0" w:space="0" w:color="auto"/>
      </w:divBdr>
    </w:div>
    <w:div w:id="262953867">
      <w:bodyDiv w:val="1"/>
      <w:marLeft w:val="0"/>
      <w:marRight w:val="0"/>
      <w:marTop w:val="0"/>
      <w:marBottom w:val="0"/>
      <w:divBdr>
        <w:top w:val="none" w:sz="0" w:space="0" w:color="auto"/>
        <w:left w:val="none" w:sz="0" w:space="0" w:color="auto"/>
        <w:bottom w:val="none" w:sz="0" w:space="0" w:color="auto"/>
        <w:right w:val="none" w:sz="0" w:space="0" w:color="auto"/>
      </w:divBdr>
    </w:div>
    <w:div w:id="263271964">
      <w:bodyDiv w:val="1"/>
      <w:marLeft w:val="0"/>
      <w:marRight w:val="0"/>
      <w:marTop w:val="0"/>
      <w:marBottom w:val="0"/>
      <w:divBdr>
        <w:top w:val="none" w:sz="0" w:space="0" w:color="auto"/>
        <w:left w:val="none" w:sz="0" w:space="0" w:color="auto"/>
        <w:bottom w:val="none" w:sz="0" w:space="0" w:color="auto"/>
        <w:right w:val="none" w:sz="0" w:space="0" w:color="auto"/>
      </w:divBdr>
    </w:div>
    <w:div w:id="263340037">
      <w:bodyDiv w:val="1"/>
      <w:marLeft w:val="0"/>
      <w:marRight w:val="0"/>
      <w:marTop w:val="0"/>
      <w:marBottom w:val="0"/>
      <w:divBdr>
        <w:top w:val="none" w:sz="0" w:space="0" w:color="auto"/>
        <w:left w:val="none" w:sz="0" w:space="0" w:color="auto"/>
        <w:bottom w:val="none" w:sz="0" w:space="0" w:color="auto"/>
        <w:right w:val="none" w:sz="0" w:space="0" w:color="auto"/>
      </w:divBdr>
    </w:div>
    <w:div w:id="263344879">
      <w:bodyDiv w:val="1"/>
      <w:marLeft w:val="0"/>
      <w:marRight w:val="0"/>
      <w:marTop w:val="0"/>
      <w:marBottom w:val="0"/>
      <w:divBdr>
        <w:top w:val="none" w:sz="0" w:space="0" w:color="auto"/>
        <w:left w:val="none" w:sz="0" w:space="0" w:color="auto"/>
        <w:bottom w:val="none" w:sz="0" w:space="0" w:color="auto"/>
        <w:right w:val="none" w:sz="0" w:space="0" w:color="auto"/>
      </w:divBdr>
    </w:div>
    <w:div w:id="263538027">
      <w:bodyDiv w:val="1"/>
      <w:marLeft w:val="0"/>
      <w:marRight w:val="0"/>
      <w:marTop w:val="0"/>
      <w:marBottom w:val="0"/>
      <w:divBdr>
        <w:top w:val="none" w:sz="0" w:space="0" w:color="auto"/>
        <w:left w:val="none" w:sz="0" w:space="0" w:color="auto"/>
        <w:bottom w:val="none" w:sz="0" w:space="0" w:color="auto"/>
        <w:right w:val="none" w:sz="0" w:space="0" w:color="auto"/>
      </w:divBdr>
    </w:div>
    <w:div w:id="263802097">
      <w:bodyDiv w:val="1"/>
      <w:marLeft w:val="0"/>
      <w:marRight w:val="0"/>
      <w:marTop w:val="0"/>
      <w:marBottom w:val="0"/>
      <w:divBdr>
        <w:top w:val="none" w:sz="0" w:space="0" w:color="auto"/>
        <w:left w:val="none" w:sz="0" w:space="0" w:color="auto"/>
        <w:bottom w:val="none" w:sz="0" w:space="0" w:color="auto"/>
        <w:right w:val="none" w:sz="0" w:space="0" w:color="auto"/>
      </w:divBdr>
    </w:div>
    <w:div w:id="263811469">
      <w:bodyDiv w:val="1"/>
      <w:marLeft w:val="0"/>
      <w:marRight w:val="0"/>
      <w:marTop w:val="0"/>
      <w:marBottom w:val="0"/>
      <w:divBdr>
        <w:top w:val="none" w:sz="0" w:space="0" w:color="auto"/>
        <w:left w:val="none" w:sz="0" w:space="0" w:color="auto"/>
        <w:bottom w:val="none" w:sz="0" w:space="0" w:color="auto"/>
        <w:right w:val="none" w:sz="0" w:space="0" w:color="auto"/>
      </w:divBdr>
    </w:div>
    <w:div w:id="263848408">
      <w:bodyDiv w:val="1"/>
      <w:marLeft w:val="0"/>
      <w:marRight w:val="0"/>
      <w:marTop w:val="0"/>
      <w:marBottom w:val="0"/>
      <w:divBdr>
        <w:top w:val="none" w:sz="0" w:space="0" w:color="auto"/>
        <w:left w:val="none" w:sz="0" w:space="0" w:color="auto"/>
        <w:bottom w:val="none" w:sz="0" w:space="0" w:color="auto"/>
        <w:right w:val="none" w:sz="0" w:space="0" w:color="auto"/>
      </w:divBdr>
    </w:div>
    <w:div w:id="263849731">
      <w:bodyDiv w:val="1"/>
      <w:marLeft w:val="0"/>
      <w:marRight w:val="0"/>
      <w:marTop w:val="0"/>
      <w:marBottom w:val="0"/>
      <w:divBdr>
        <w:top w:val="none" w:sz="0" w:space="0" w:color="auto"/>
        <w:left w:val="none" w:sz="0" w:space="0" w:color="auto"/>
        <w:bottom w:val="none" w:sz="0" w:space="0" w:color="auto"/>
        <w:right w:val="none" w:sz="0" w:space="0" w:color="auto"/>
      </w:divBdr>
    </w:div>
    <w:div w:id="263996651">
      <w:bodyDiv w:val="1"/>
      <w:marLeft w:val="0"/>
      <w:marRight w:val="0"/>
      <w:marTop w:val="0"/>
      <w:marBottom w:val="0"/>
      <w:divBdr>
        <w:top w:val="none" w:sz="0" w:space="0" w:color="auto"/>
        <w:left w:val="none" w:sz="0" w:space="0" w:color="auto"/>
        <w:bottom w:val="none" w:sz="0" w:space="0" w:color="auto"/>
        <w:right w:val="none" w:sz="0" w:space="0" w:color="auto"/>
      </w:divBdr>
    </w:div>
    <w:div w:id="263999227">
      <w:bodyDiv w:val="1"/>
      <w:marLeft w:val="0"/>
      <w:marRight w:val="0"/>
      <w:marTop w:val="0"/>
      <w:marBottom w:val="0"/>
      <w:divBdr>
        <w:top w:val="none" w:sz="0" w:space="0" w:color="auto"/>
        <w:left w:val="none" w:sz="0" w:space="0" w:color="auto"/>
        <w:bottom w:val="none" w:sz="0" w:space="0" w:color="auto"/>
        <w:right w:val="none" w:sz="0" w:space="0" w:color="auto"/>
      </w:divBdr>
    </w:div>
    <w:div w:id="264045641">
      <w:bodyDiv w:val="1"/>
      <w:marLeft w:val="0"/>
      <w:marRight w:val="0"/>
      <w:marTop w:val="0"/>
      <w:marBottom w:val="0"/>
      <w:divBdr>
        <w:top w:val="none" w:sz="0" w:space="0" w:color="auto"/>
        <w:left w:val="none" w:sz="0" w:space="0" w:color="auto"/>
        <w:bottom w:val="none" w:sz="0" w:space="0" w:color="auto"/>
        <w:right w:val="none" w:sz="0" w:space="0" w:color="auto"/>
      </w:divBdr>
    </w:div>
    <w:div w:id="264268814">
      <w:bodyDiv w:val="1"/>
      <w:marLeft w:val="0"/>
      <w:marRight w:val="0"/>
      <w:marTop w:val="0"/>
      <w:marBottom w:val="0"/>
      <w:divBdr>
        <w:top w:val="none" w:sz="0" w:space="0" w:color="auto"/>
        <w:left w:val="none" w:sz="0" w:space="0" w:color="auto"/>
        <w:bottom w:val="none" w:sz="0" w:space="0" w:color="auto"/>
        <w:right w:val="none" w:sz="0" w:space="0" w:color="auto"/>
      </w:divBdr>
    </w:div>
    <w:div w:id="264271963">
      <w:bodyDiv w:val="1"/>
      <w:marLeft w:val="0"/>
      <w:marRight w:val="0"/>
      <w:marTop w:val="0"/>
      <w:marBottom w:val="0"/>
      <w:divBdr>
        <w:top w:val="none" w:sz="0" w:space="0" w:color="auto"/>
        <w:left w:val="none" w:sz="0" w:space="0" w:color="auto"/>
        <w:bottom w:val="none" w:sz="0" w:space="0" w:color="auto"/>
        <w:right w:val="none" w:sz="0" w:space="0" w:color="auto"/>
      </w:divBdr>
    </w:div>
    <w:div w:id="264310261">
      <w:bodyDiv w:val="1"/>
      <w:marLeft w:val="0"/>
      <w:marRight w:val="0"/>
      <w:marTop w:val="0"/>
      <w:marBottom w:val="0"/>
      <w:divBdr>
        <w:top w:val="none" w:sz="0" w:space="0" w:color="auto"/>
        <w:left w:val="none" w:sz="0" w:space="0" w:color="auto"/>
        <w:bottom w:val="none" w:sz="0" w:space="0" w:color="auto"/>
        <w:right w:val="none" w:sz="0" w:space="0" w:color="auto"/>
      </w:divBdr>
    </w:div>
    <w:div w:id="264311457">
      <w:bodyDiv w:val="1"/>
      <w:marLeft w:val="0"/>
      <w:marRight w:val="0"/>
      <w:marTop w:val="0"/>
      <w:marBottom w:val="0"/>
      <w:divBdr>
        <w:top w:val="none" w:sz="0" w:space="0" w:color="auto"/>
        <w:left w:val="none" w:sz="0" w:space="0" w:color="auto"/>
        <w:bottom w:val="none" w:sz="0" w:space="0" w:color="auto"/>
        <w:right w:val="none" w:sz="0" w:space="0" w:color="auto"/>
      </w:divBdr>
    </w:div>
    <w:div w:id="264314145">
      <w:bodyDiv w:val="1"/>
      <w:marLeft w:val="0"/>
      <w:marRight w:val="0"/>
      <w:marTop w:val="0"/>
      <w:marBottom w:val="0"/>
      <w:divBdr>
        <w:top w:val="none" w:sz="0" w:space="0" w:color="auto"/>
        <w:left w:val="none" w:sz="0" w:space="0" w:color="auto"/>
        <w:bottom w:val="none" w:sz="0" w:space="0" w:color="auto"/>
        <w:right w:val="none" w:sz="0" w:space="0" w:color="auto"/>
      </w:divBdr>
    </w:div>
    <w:div w:id="264339259">
      <w:bodyDiv w:val="1"/>
      <w:marLeft w:val="0"/>
      <w:marRight w:val="0"/>
      <w:marTop w:val="0"/>
      <w:marBottom w:val="0"/>
      <w:divBdr>
        <w:top w:val="none" w:sz="0" w:space="0" w:color="auto"/>
        <w:left w:val="none" w:sz="0" w:space="0" w:color="auto"/>
        <w:bottom w:val="none" w:sz="0" w:space="0" w:color="auto"/>
        <w:right w:val="none" w:sz="0" w:space="0" w:color="auto"/>
      </w:divBdr>
    </w:div>
    <w:div w:id="264384272">
      <w:bodyDiv w:val="1"/>
      <w:marLeft w:val="0"/>
      <w:marRight w:val="0"/>
      <w:marTop w:val="0"/>
      <w:marBottom w:val="0"/>
      <w:divBdr>
        <w:top w:val="none" w:sz="0" w:space="0" w:color="auto"/>
        <w:left w:val="none" w:sz="0" w:space="0" w:color="auto"/>
        <w:bottom w:val="none" w:sz="0" w:space="0" w:color="auto"/>
        <w:right w:val="none" w:sz="0" w:space="0" w:color="auto"/>
      </w:divBdr>
    </w:div>
    <w:div w:id="264462485">
      <w:bodyDiv w:val="1"/>
      <w:marLeft w:val="0"/>
      <w:marRight w:val="0"/>
      <w:marTop w:val="0"/>
      <w:marBottom w:val="0"/>
      <w:divBdr>
        <w:top w:val="none" w:sz="0" w:space="0" w:color="auto"/>
        <w:left w:val="none" w:sz="0" w:space="0" w:color="auto"/>
        <w:bottom w:val="none" w:sz="0" w:space="0" w:color="auto"/>
        <w:right w:val="none" w:sz="0" w:space="0" w:color="auto"/>
      </w:divBdr>
    </w:div>
    <w:div w:id="264465100">
      <w:bodyDiv w:val="1"/>
      <w:marLeft w:val="0"/>
      <w:marRight w:val="0"/>
      <w:marTop w:val="0"/>
      <w:marBottom w:val="0"/>
      <w:divBdr>
        <w:top w:val="none" w:sz="0" w:space="0" w:color="auto"/>
        <w:left w:val="none" w:sz="0" w:space="0" w:color="auto"/>
        <w:bottom w:val="none" w:sz="0" w:space="0" w:color="auto"/>
        <w:right w:val="none" w:sz="0" w:space="0" w:color="auto"/>
      </w:divBdr>
    </w:div>
    <w:div w:id="264505572">
      <w:bodyDiv w:val="1"/>
      <w:marLeft w:val="0"/>
      <w:marRight w:val="0"/>
      <w:marTop w:val="0"/>
      <w:marBottom w:val="0"/>
      <w:divBdr>
        <w:top w:val="none" w:sz="0" w:space="0" w:color="auto"/>
        <w:left w:val="none" w:sz="0" w:space="0" w:color="auto"/>
        <w:bottom w:val="none" w:sz="0" w:space="0" w:color="auto"/>
        <w:right w:val="none" w:sz="0" w:space="0" w:color="auto"/>
      </w:divBdr>
    </w:div>
    <w:div w:id="264583016">
      <w:bodyDiv w:val="1"/>
      <w:marLeft w:val="0"/>
      <w:marRight w:val="0"/>
      <w:marTop w:val="0"/>
      <w:marBottom w:val="0"/>
      <w:divBdr>
        <w:top w:val="none" w:sz="0" w:space="0" w:color="auto"/>
        <w:left w:val="none" w:sz="0" w:space="0" w:color="auto"/>
        <w:bottom w:val="none" w:sz="0" w:space="0" w:color="auto"/>
        <w:right w:val="none" w:sz="0" w:space="0" w:color="auto"/>
      </w:divBdr>
    </w:div>
    <w:div w:id="264847210">
      <w:bodyDiv w:val="1"/>
      <w:marLeft w:val="0"/>
      <w:marRight w:val="0"/>
      <w:marTop w:val="0"/>
      <w:marBottom w:val="0"/>
      <w:divBdr>
        <w:top w:val="none" w:sz="0" w:space="0" w:color="auto"/>
        <w:left w:val="none" w:sz="0" w:space="0" w:color="auto"/>
        <w:bottom w:val="none" w:sz="0" w:space="0" w:color="auto"/>
        <w:right w:val="none" w:sz="0" w:space="0" w:color="auto"/>
      </w:divBdr>
    </w:div>
    <w:div w:id="264920560">
      <w:bodyDiv w:val="1"/>
      <w:marLeft w:val="0"/>
      <w:marRight w:val="0"/>
      <w:marTop w:val="0"/>
      <w:marBottom w:val="0"/>
      <w:divBdr>
        <w:top w:val="none" w:sz="0" w:space="0" w:color="auto"/>
        <w:left w:val="none" w:sz="0" w:space="0" w:color="auto"/>
        <w:bottom w:val="none" w:sz="0" w:space="0" w:color="auto"/>
        <w:right w:val="none" w:sz="0" w:space="0" w:color="auto"/>
      </w:divBdr>
    </w:div>
    <w:div w:id="265163162">
      <w:bodyDiv w:val="1"/>
      <w:marLeft w:val="0"/>
      <w:marRight w:val="0"/>
      <w:marTop w:val="0"/>
      <w:marBottom w:val="0"/>
      <w:divBdr>
        <w:top w:val="none" w:sz="0" w:space="0" w:color="auto"/>
        <w:left w:val="none" w:sz="0" w:space="0" w:color="auto"/>
        <w:bottom w:val="none" w:sz="0" w:space="0" w:color="auto"/>
        <w:right w:val="none" w:sz="0" w:space="0" w:color="auto"/>
      </w:divBdr>
    </w:div>
    <w:div w:id="265307760">
      <w:bodyDiv w:val="1"/>
      <w:marLeft w:val="0"/>
      <w:marRight w:val="0"/>
      <w:marTop w:val="0"/>
      <w:marBottom w:val="0"/>
      <w:divBdr>
        <w:top w:val="none" w:sz="0" w:space="0" w:color="auto"/>
        <w:left w:val="none" w:sz="0" w:space="0" w:color="auto"/>
        <w:bottom w:val="none" w:sz="0" w:space="0" w:color="auto"/>
        <w:right w:val="none" w:sz="0" w:space="0" w:color="auto"/>
      </w:divBdr>
    </w:div>
    <w:div w:id="265582522">
      <w:bodyDiv w:val="1"/>
      <w:marLeft w:val="0"/>
      <w:marRight w:val="0"/>
      <w:marTop w:val="0"/>
      <w:marBottom w:val="0"/>
      <w:divBdr>
        <w:top w:val="none" w:sz="0" w:space="0" w:color="auto"/>
        <w:left w:val="none" w:sz="0" w:space="0" w:color="auto"/>
        <w:bottom w:val="none" w:sz="0" w:space="0" w:color="auto"/>
        <w:right w:val="none" w:sz="0" w:space="0" w:color="auto"/>
      </w:divBdr>
    </w:div>
    <w:div w:id="265623429">
      <w:bodyDiv w:val="1"/>
      <w:marLeft w:val="0"/>
      <w:marRight w:val="0"/>
      <w:marTop w:val="0"/>
      <w:marBottom w:val="0"/>
      <w:divBdr>
        <w:top w:val="none" w:sz="0" w:space="0" w:color="auto"/>
        <w:left w:val="none" w:sz="0" w:space="0" w:color="auto"/>
        <w:bottom w:val="none" w:sz="0" w:space="0" w:color="auto"/>
        <w:right w:val="none" w:sz="0" w:space="0" w:color="auto"/>
      </w:divBdr>
    </w:div>
    <w:div w:id="265693084">
      <w:bodyDiv w:val="1"/>
      <w:marLeft w:val="0"/>
      <w:marRight w:val="0"/>
      <w:marTop w:val="0"/>
      <w:marBottom w:val="0"/>
      <w:divBdr>
        <w:top w:val="none" w:sz="0" w:space="0" w:color="auto"/>
        <w:left w:val="none" w:sz="0" w:space="0" w:color="auto"/>
        <w:bottom w:val="none" w:sz="0" w:space="0" w:color="auto"/>
        <w:right w:val="none" w:sz="0" w:space="0" w:color="auto"/>
      </w:divBdr>
    </w:div>
    <w:div w:id="265774776">
      <w:bodyDiv w:val="1"/>
      <w:marLeft w:val="0"/>
      <w:marRight w:val="0"/>
      <w:marTop w:val="0"/>
      <w:marBottom w:val="0"/>
      <w:divBdr>
        <w:top w:val="none" w:sz="0" w:space="0" w:color="auto"/>
        <w:left w:val="none" w:sz="0" w:space="0" w:color="auto"/>
        <w:bottom w:val="none" w:sz="0" w:space="0" w:color="auto"/>
        <w:right w:val="none" w:sz="0" w:space="0" w:color="auto"/>
      </w:divBdr>
    </w:div>
    <w:div w:id="265885619">
      <w:bodyDiv w:val="1"/>
      <w:marLeft w:val="0"/>
      <w:marRight w:val="0"/>
      <w:marTop w:val="0"/>
      <w:marBottom w:val="0"/>
      <w:divBdr>
        <w:top w:val="none" w:sz="0" w:space="0" w:color="auto"/>
        <w:left w:val="none" w:sz="0" w:space="0" w:color="auto"/>
        <w:bottom w:val="none" w:sz="0" w:space="0" w:color="auto"/>
        <w:right w:val="none" w:sz="0" w:space="0" w:color="auto"/>
      </w:divBdr>
    </w:div>
    <w:div w:id="265888215">
      <w:bodyDiv w:val="1"/>
      <w:marLeft w:val="0"/>
      <w:marRight w:val="0"/>
      <w:marTop w:val="0"/>
      <w:marBottom w:val="0"/>
      <w:divBdr>
        <w:top w:val="none" w:sz="0" w:space="0" w:color="auto"/>
        <w:left w:val="none" w:sz="0" w:space="0" w:color="auto"/>
        <w:bottom w:val="none" w:sz="0" w:space="0" w:color="auto"/>
        <w:right w:val="none" w:sz="0" w:space="0" w:color="auto"/>
      </w:divBdr>
    </w:div>
    <w:div w:id="266276359">
      <w:bodyDiv w:val="1"/>
      <w:marLeft w:val="0"/>
      <w:marRight w:val="0"/>
      <w:marTop w:val="0"/>
      <w:marBottom w:val="0"/>
      <w:divBdr>
        <w:top w:val="none" w:sz="0" w:space="0" w:color="auto"/>
        <w:left w:val="none" w:sz="0" w:space="0" w:color="auto"/>
        <w:bottom w:val="none" w:sz="0" w:space="0" w:color="auto"/>
        <w:right w:val="none" w:sz="0" w:space="0" w:color="auto"/>
      </w:divBdr>
    </w:div>
    <w:div w:id="266351965">
      <w:bodyDiv w:val="1"/>
      <w:marLeft w:val="0"/>
      <w:marRight w:val="0"/>
      <w:marTop w:val="0"/>
      <w:marBottom w:val="0"/>
      <w:divBdr>
        <w:top w:val="none" w:sz="0" w:space="0" w:color="auto"/>
        <w:left w:val="none" w:sz="0" w:space="0" w:color="auto"/>
        <w:bottom w:val="none" w:sz="0" w:space="0" w:color="auto"/>
        <w:right w:val="none" w:sz="0" w:space="0" w:color="auto"/>
      </w:divBdr>
    </w:div>
    <w:div w:id="266546672">
      <w:bodyDiv w:val="1"/>
      <w:marLeft w:val="0"/>
      <w:marRight w:val="0"/>
      <w:marTop w:val="0"/>
      <w:marBottom w:val="0"/>
      <w:divBdr>
        <w:top w:val="none" w:sz="0" w:space="0" w:color="auto"/>
        <w:left w:val="none" w:sz="0" w:space="0" w:color="auto"/>
        <w:bottom w:val="none" w:sz="0" w:space="0" w:color="auto"/>
        <w:right w:val="none" w:sz="0" w:space="0" w:color="auto"/>
      </w:divBdr>
    </w:div>
    <w:div w:id="266666372">
      <w:bodyDiv w:val="1"/>
      <w:marLeft w:val="0"/>
      <w:marRight w:val="0"/>
      <w:marTop w:val="0"/>
      <w:marBottom w:val="0"/>
      <w:divBdr>
        <w:top w:val="none" w:sz="0" w:space="0" w:color="auto"/>
        <w:left w:val="none" w:sz="0" w:space="0" w:color="auto"/>
        <w:bottom w:val="none" w:sz="0" w:space="0" w:color="auto"/>
        <w:right w:val="none" w:sz="0" w:space="0" w:color="auto"/>
      </w:divBdr>
    </w:div>
    <w:div w:id="266737164">
      <w:bodyDiv w:val="1"/>
      <w:marLeft w:val="0"/>
      <w:marRight w:val="0"/>
      <w:marTop w:val="0"/>
      <w:marBottom w:val="0"/>
      <w:divBdr>
        <w:top w:val="none" w:sz="0" w:space="0" w:color="auto"/>
        <w:left w:val="none" w:sz="0" w:space="0" w:color="auto"/>
        <w:bottom w:val="none" w:sz="0" w:space="0" w:color="auto"/>
        <w:right w:val="none" w:sz="0" w:space="0" w:color="auto"/>
      </w:divBdr>
    </w:div>
    <w:div w:id="266819079">
      <w:bodyDiv w:val="1"/>
      <w:marLeft w:val="0"/>
      <w:marRight w:val="0"/>
      <w:marTop w:val="0"/>
      <w:marBottom w:val="0"/>
      <w:divBdr>
        <w:top w:val="none" w:sz="0" w:space="0" w:color="auto"/>
        <w:left w:val="none" w:sz="0" w:space="0" w:color="auto"/>
        <w:bottom w:val="none" w:sz="0" w:space="0" w:color="auto"/>
        <w:right w:val="none" w:sz="0" w:space="0" w:color="auto"/>
      </w:divBdr>
    </w:div>
    <w:div w:id="266819194">
      <w:bodyDiv w:val="1"/>
      <w:marLeft w:val="0"/>
      <w:marRight w:val="0"/>
      <w:marTop w:val="0"/>
      <w:marBottom w:val="0"/>
      <w:divBdr>
        <w:top w:val="none" w:sz="0" w:space="0" w:color="auto"/>
        <w:left w:val="none" w:sz="0" w:space="0" w:color="auto"/>
        <w:bottom w:val="none" w:sz="0" w:space="0" w:color="auto"/>
        <w:right w:val="none" w:sz="0" w:space="0" w:color="auto"/>
      </w:divBdr>
    </w:div>
    <w:div w:id="266887147">
      <w:bodyDiv w:val="1"/>
      <w:marLeft w:val="0"/>
      <w:marRight w:val="0"/>
      <w:marTop w:val="0"/>
      <w:marBottom w:val="0"/>
      <w:divBdr>
        <w:top w:val="none" w:sz="0" w:space="0" w:color="auto"/>
        <w:left w:val="none" w:sz="0" w:space="0" w:color="auto"/>
        <w:bottom w:val="none" w:sz="0" w:space="0" w:color="auto"/>
        <w:right w:val="none" w:sz="0" w:space="0" w:color="auto"/>
      </w:divBdr>
    </w:div>
    <w:div w:id="266888482">
      <w:bodyDiv w:val="1"/>
      <w:marLeft w:val="0"/>
      <w:marRight w:val="0"/>
      <w:marTop w:val="0"/>
      <w:marBottom w:val="0"/>
      <w:divBdr>
        <w:top w:val="none" w:sz="0" w:space="0" w:color="auto"/>
        <w:left w:val="none" w:sz="0" w:space="0" w:color="auto"/>
        <w:bottom w:val="none" w:sz="0" w:space="0" w:color="auto"/>
        <w:right w:val="none" w:sz="0" w:space="0" w:color="auto"/>
      </w:divBdr>
    </w:div>
    <w:div w:id="266930803">
      <w:bodyDiv w:val="1"/>
      <w:marLeft w:val="0"/>
      <w:marRight w:val="0"/>
      <w:marTop w:val="0"/>
      <w:marBottom w:val="0"/>
      <w:divBdr>
        <w:top w:val="none" w:sz="0" w:space="0" w:color="auto"/>
        <w:left w:val="none" w:sz="0" w:space="0" w:color="auto"/>
        <w:bottom w:val="none" w:sz="0" w:space="0" w:color="auto"/>
        <w:right w:val="none" w:sz="0" w:space="0" w:color="auto"/>
      </w:divBdr>
    </w:div>
    <w:div w:id="267003607">
      <w:bodyDiv w:val="1"/>
      <w:marLeft w:val="0"/>
      <w:marRight w:val="0"/>
      <w:marTop w:val="0"/>
      <w:marBottom w:val="0"/>
      <w:divBdr>
        <w:top w:val="none" w:sz="0" w:space="0" w:color="auto"/>
        <w:left w:val="none" w:sz="0" w:space="0" w:color="auto"/>
        <w:bottom w:val="none" w:sz="0" w:space="0" w:color="auto"/>
        <w:right w:val="none" w:sz="0" w:space="0" w:color="auto"/>
      </w:divBdr>
    </w:div>
    <w:div w:id="267004385">
      <w:bodyDiv w:val="1"/>
      <w:marLeft w:val="0"/>
      <w:marRight w:val="0"/>
      <w:marTop w:val="0"/>
      <w:marBottom w:val="0"/>
      <w:divBdr>
        <w:top w:val="none" w:sz="0" w:space="0" w:color="auto"/>
        <w:left w:val="none" w:sz="0" w:space="0" w:color="auto"/>
        <w:bottom w:val="none" w:sz="0" w:space="0" w:color="auto"/>
        <w:right w:val="none" w:sz="0" w:space="0" w:color="auto"/>
      </w:divBdr>
    </w:div>
    <w:div w:id="267007575">
      <w:bodyDiv w:val="1"/>
      <w:marLeft w:val="0"/>
      <w:marRight w:val="0"/>
      <w:marTop w:val="0"/>
      <w:marBottom w:val="0"/>
      <w:divBdr>
        <w:top w:val="none" w:sz="0" w:space="0" w:color="auto"/>
        <w:left w:val="none" w:sz="0" w:space="0" w:color="auto"/>
        <w:bottom w:val="none" w:sz="0" w:space="0" w:color="auto"/>
        <w:right w:val="none" w:sz="0" w:space="0" w:color="auto"/>
      </w:divBdr>
    </w:div>
    <w:div w:id="267154524">
      <w:bodyDiv w:val="1"/>
      <w:marLeft w:val="0"/>
      <w:marRight w:val="0"/>
      <w:marTop w:val="0"/>
      <w:marBottom w:val="0"/>
      <w:divBdr>
        <w:top w:val="none" w:sz="0" w:space="0" w:color="auto"/>
        <w:left w:val="none" w:sz="0" w:space="0" w:color="auto"/>
        <w:bottom w:val="none" w:sz="0" w:space="0" w:color="auto"/>
        <w:right w:val="none" w:sz="0" w:space="0" w:color="auto"/>
      </w:divBdr>
    </w:div>
    <w:div w:id="267157439">
      <w:bodyDiv w:val="1"/>
      <w:marLeft w:val="0"/>
      <w:marRight w:val="0"/>
      <w:marTop w:val="0"/>
      <w:marBottom w:val="0"/>
      <w:divBdr>
        <w:top w:val="none" w:sz="0" w:space="0" w:color="auto"/>
        <w:left w:val="none" w:sz="0" w:space="0" w:color="auto"/>
        <w:bottom w:val="none" w:sz="0" w:space="0" w:color="auto"/>
        <w:right w:val="none" w:sz="0" w:space="0" w:color="auto"/>
      </w:divBdr>
    </w:div>
    <w:div w:id="267274696">
      <w:bodyDiv w:val="1"/>
      <w:marLeft w:val="0"/>
      <w:marRight w:val="0"/>
      <w:marTop w:val="0"/>
      <w:marBottom w:val="0"/>
      <w:divBdr>
        <w:top w:val="none" w:sz="0" w:space="0" w:color="auto"/>
        <w:left w:val="none" w:sz="0" w:space="0" w:color="auto"/>
        <w:bottom w:val="none" w:sz="0" w:space="0" w:color="auto"/>
        <w:right w:val="none" w:sz="0" w:space="0" w:color="auto"/>
      </w:divBdr>
    </w:div>
    <w:div w:id="267275953">
      <w:bodyDiv w:val="1"/>
      <w:marLeft w:val="0"/>
      <w:marRight w:val="0"/>
      <w:marTop w:val="0"/>
      <w:marBottom w:val="0"/>
      <w:divBdr>
        <w:top w:val="none" w:sz="0" w:space="0" w:color="auto"/>
        <w:left w:val="none" w:sz="0" w:space="0" w:color="auto"/>
        <w:bottom w:val="none" w:sz="0" w:space="0" w:color="auto"/>
        <w:right w:val="none" w:sz="0" w:space="0" w:color="auto"/>
      </w:divBdr>
    </w:div>
    <w:div w:id="267279387">
      <w:bodyDiv w:val="1"/>
      <w:marLeft w:val="0"/>
      <w:marRight w:val="0"/>
      <w:marTop w:val="0"/>
      <w:marBottom w:val="0"/>
      <w:divBdr>
        <w:top w:val="none" w:sz="0" w:space="0" w:color="auto"/>
        <w:left w:val="none" w:sz="0" w:space="0" w:color="auto"/>
        <w:bottom w:val="none" w:sz="0" w:space="0" w:color="auto"/>
        <w:right w:val="none" w:sz="0" w:space="0" w:color="auto"/>
      </w:divBdr>
    </w:div>
    <w:div w:id="267470478">
      <w:bodyDiv w:val="1"/>
      <w:marLeft w:val="0"/>
      <w:marRight w:val="0"/>
      <w:marTop w:val="0"/>
      <w:marBottom w:val="0"/>
      <w:divBdr>
        <w:top w:val="none" w:sz="0" w:space="0" w:color="auto"/>
        <w:left w:val="none" w:sz="0" w:space="0" w:color="auto"/>
        <w:bottom w:val="none" w:sz="0" w:space="0" w:color="auto"/>
        <w:right w:val="none" w:sz="0" w:space="0" w:color="auto"/>
      </w:divBdr>
    </w:div>
    <w:div w:id="267472232">
      <w:bodyDiv w:val="1"/>
      <w:marLeft w:val="0"/>
      <w:marRight w:val="0"/>
      <w:marTop w:val="0"/>
      <w:marBottom w:val="0"/>
      <w:divBdr>
        <w:top w:val="none" w:sz="0" w:space="0" w:color="auto"/>
        <w:left w:val="none" w:sz="0" w:space="0" w:color="auto"/>
        <w:bottom w:val="none" w:sz="0" w:space="0" w:color="auto"/>
        <w:right w:val="none" w:sz="0" w:space="0" w:color="auto"/>
      </w:divBdr>
    </w:div>
    <w:div w:id="267542398">
      <w:bodyDiv w:val="1"/>
      <w:marLeft w:val="0"/>
      <w:marRight w:val="0"/>
      <w:marTop w:val="0"/>
      <w:marBottom w:val="0"/>
      <w:divBdr>
        <w:top w:val="none" w:sz="0" w:space="0" w:color="auto"/>
        <w:left w:val="none" w:sz="0" w:space="0" w:color="auto"/>
        <w:bottom w:val="none" w:sz="0" w:space="0" w:color="auto"/>
        <w:right w:val="none" w:sz="0" w:space="0" w:color="auto"/>
      </w:divBdr>
    </w:div>
    <w:div w:id="267543244">
      <w:bodyDiv w:val="1"/>
      <w:marLeft w:val="0"/>
      <w:marRight w:val="0"/>
      <w:marTop w:val="0"/>
      <w:marBottom w:val="0"/>
      <w:divBdr>
        <w:top w:val="none" w:sz="0" w:space="0" w:color="auto"/>
        <w:left w:val="none" w:sz="0" w:space="0" w:color="auto"/>
        <w:bottom w:val="none" w:sz="0" w:space="0" w:color="auto"/>
        <w:right w:val="none" w:sz="0" w:space="0" w:color="auto"/>
      </w:divBdr>
    </w:div>
    <w:div w:id="267735774">
      <w:bodyDiv w:val="1"/>
      <w:marLeft w:val="0"/>
      <w:marRight w:val="0"/>
      <w:marTop w:val="0"/>
      <w:marBottom w:val="0"/>
      <w:divBdr>
        <w:top w:val="none" w:sz="0" w:space="0" w:color="auto"/>
        <w:left w:val="none" w:sz="0" w:space="0" w:color="auto"/>
        <w:bottom w:val="none" w:sz="0" w:space="0" w:color="auto"/>
        <w:right w:val="none" w:sz="0" w:space="0" w:color="auto"/>
      </w:divBdr>
    </w:div>
    <w:div w:id="267739061">
      <w:bodyDiv w:val="1"/>
      <w:marLeft w:val="0"/>
      <w:marRight w:val="0"/>
      <w:marTop w:val="0"/>
      <w:marBottom w:val="0"/>
      <w:divBdr>
        <w:top w:val="none" w:sz="0" w:space="0" w:color="auto"/>
        <w:left w:val="none" w:sz="0" w:space="0" w:color="auto"/>
        <w:bottom w:val="none" w:sz="0" w:space="0" w:color="auto"/>
        <w:right w:val="none" w:sz="0" w:space="0" w:color="auto"/>
      </w:divBdr>
    </w:div>
    <w:div w:id="267781997">
      <w:bodyDiv w:val="1"/>
      <w:marLeft w:val="0"/>
      <w:marRight w:val="0"/>
      <w:marTop w:val="0"/>
      <w:marBottom w:val="0"/>
      <w:divBdr>
        <w:top w:val="none" w:sz="0" w:space="0" w:color="auto"/>
        <w:left w:val="none" w:sz="0" w:space="0" w:color="auto"/>
        <w:bottom w:val="none" w:sz="0" w:space="0" w:color="auto"/>
        <w:right w:val="none" w:sz="0" w:space="0" w:color="auto"/>
      </w:divBdr>
    </w:div>
    <w:div w:id="267785856">
      <w:bodyDiv w:val="1"/>
      <w:marLeft w:val="0"/>
      <w:marRight w:val="0"/>
      <w:marTop w:val="0"/>
      <w:marBottom w:val="0"/>
      <w:divBdr>
        <w:top w:val="none" w:sz="0" w:space="0" w:color="auto"/>
        <w:left w:val="none" w:sz="0" w:space="0" w:color="auto"/>
        <w:bottom w:val="none" w:sz="0" w:space="0" w:color="auto"/>
        <w:right w:val="none" w:sz="0" w:space="0" w:color="auto"/>
      </w:divBdr>
    </w:div>
    <w:div w:id="267858597">
      <w:bodyDiv w:val="1"/>
      <w:marLeft w:val="0"/>
      <w:marRight w:val="0"/>
      <w:marTop w:val="0"/>
      <w:marBottom w:val="0"/>
      <w:divBdr>
        <w:top w:val="none" w:sz="0" w:space="0" w:color="auto"/>
        <w:left w:val="none" w:sz="0" w:space="0" w:color="auto"/>
        <w:bottom w:val="none" w:sz="0" w:space="0" w:color="auto"/>
        <w:right w:val="none" w:sz="0" w:space="0" w:color="auto"/>
      </w:divBdr>
    </w:div>
    <w:div w:id="268006732">
      <w:bodyDiv w:val="1"/>
      <w:marLeft w:val="0"/>
      <w:marRight w:val="0"/>
      <w:marTop w:val="0"/>
      <w:marBottom w:val="0"/>
      <w:divBdr>
        <w:top w:val="none" w:sz="0" w:space="0" w:color="auto"/>
        <w:left w:val="none" w:sz="0" w:space="0" w:color="auto"/>
        <w:bottom w:val="none" w:sz="0" w:space="0" w:color="auto"/>
        <w:right w:val="none" w:sz="0" w:space="0" w:color="auto"/>
      </w:divBdr>
    </w:div>
    <w:div w:id="268051258">
      <w:bodyDiv w:val="1"/>
      <w:marLeft w:val="0"/>
      <w:marRight w:val="0"/>
      <w:marTop w:val="0"/>
      <w:marBottom w:val="0"/>
      <w:divBdr>
        <w:top w:val="none" w:sz="0" w:space="0" w:color="auto"/>
        <w:left w:val="none" w:sz="0" w:space="0" w:color="auto"/>
        <w:bottom w:val="none" w:sz="0" w:space="0" w:color="auto"/>
        <w:right w:val="none" w:sz="0" w:space="0" w:color="auto"/>
      </w:divBdr>
    </w:div>
    <w:div w:id="268053348">
      <w:bodyDiv w:val="1"/>
      <w:marLeft w:val="0"/>
      <w:marRight w:val="0"/>
      <w:marTop w:val="0"/>
      <w:marBottom w:val="0"/>
      <w:divBdr>
        <w:top w:val="none" w:sz="0" w:space="0" w:color="auto"/>
        <w:left w:val="none" w:sz="0" w:space="0" w:color="auto"/>
        <w:bottom w:val="none" w:sz="0" w:space="0" w:color="auto"/>
        <w:right w:val="none" w:sz="0" w:space="0" w:color="auto"/>
      </w:divBdr>
    </w:div>
    <w:div w:id="268120141">
      <w:bodyDiv w:val="1"/>
      <w:marLeft w:val="0"/>
      <w:marRight w:val="0"/>
      <w:marTop w:val="0"/>
      <w:marBottom w:val="0"/>
      <w:divBdr>
        <w:top w:val="none" w:sz="0" w:space="0" w:color="auto"/>
        <w:left w:val="none" w:sz="0" w:space="0" w:color="auto"/>
        <w:bottom w:val="none" w:sz="0" w:space="0" w:color="auto"/>
        <w:right w:val="none" w:sz="0" w:space="0" w:color="auto"/>
      </w:divBdr>
    </w:div>
    <w:div w:id="268126393">
      <w:bodyDiv w:val="1"/>
      <w:marLeft w:val="0"/>
      <w:marRight w:val="0"/>
      <w:marTop w:val="0"/>
      <w:marBottom w:val="0"/>
      <w:divBdr>
        <w:top w:val="none" w:sz="0" w:space="0" w:color="auto"/>
        <w:left w:val="none" w:sz="0" w:space="0" w:color="auto"/>
        <w:bottom w:val="none" w:sz="0" w:space="0" w:color="auto"/>
        <w:right w:val="none" w:sz="0" w:space="0" w:color="auto"/>
      </w:divBdr>
    </w:div>
    <w:div w:id="268196957">
      <w:bodyDiv w:val="1"/>
      <w:marLeft w:val="0"/>
      <w:marRight w:val="0"/>
      <w:marTop w:val="0"/>
      <w:marBottom w:val="0"/>
      <w:divBdr>
        <w:top w:val="none" w:sz="0" w:space="0" w:color="auto"/>
        <w:left w:val="none" w:sz="0" w:space="0" w:color="auto"/>
        <w:bottom w:val="none" w:sz="0" w:space="0" w:color="auto"/>
        <w:right w:val="none" w:sz="0" w:space="0" w:color="auto"/>
      </w:divBdr>
    </w:div>
    <w:div w:id="268436452">
      <w:bodyDiv w:val="1"/>
      <w:marLeft w:val="0"/>
      <w:marRight w:val="0"/>
      <w:marTop w:val="0"/>
      <w:marBottom w:val="0"/>
      <w:divBdr>
        <w:top w:val="none" w:sz="0" w:space="0" w:color="auto"/>
        <w:left w:val="none" w:sz="0" w:space="0" w:color="auto"/>
        <w:bottom w:val="none" w:sz="0" w:space="0" w:color="auto"/>
        <w:right w:val="none" w:sz="0" w:space="0" w:color="auto"/>
      </w:divBdr>
    </w:div>
    <w:div w:id="268438940">
      <w:bodyDiv w:val="1"/>
      <w:marLeft w:val="0"/>
      <w:marRight w:val="0"/>
      <w:marTop w:val="0"/>
      <w:marBottom w:val="0"/>
      <w:divBdr>
        <w:top w:val="none" w:sz="0" w:space="0" w:color="auto"/>
        <w:left w:val="none" w:sz="0" w:space="0" w:color="auto"/>
        <w:bottom w:val="none" w:sz="0" w:space="0" w:color="auto"/>
        <w:right w:val="none" w:sz="0" w:space="0" w:color="auto"/>
      </w:divBdr>
    </w:div>
    <w:div w:id="268507560">
      <w:bodyDiv w:val="1"/>
      <w:marLeft w:val="0"/>
      <w:marRight w:val="0"/>
      <w:marTop w:val="0"/>
      <w:marBottom w:val="0"/>
      <w:divBdr>
        <w:top w:val="none" w:sz="0" w:space="0" w:color="auto"/>
        <w:left w:val="none" w:sz="0" w:space="0" w:color="auto"/>
        <w:bottom w:val="none" w:sz="0" w:space="0" w:color="auto"/>
        <w:right w:val="none" w:sz="0" w:space="0" w:color="auto"/>
      </w:divBdr>
    </w:div>
    <w:div w:id="268507896">
      <w:bodyDiv w:val="1"/>
      <w:marLeft w:val="0"/>
      <w:marRight w:val="0"/>
      <w:marTop w:val="0"/>
      <w:marBottom w:val="0"/>
      <w:divBdr>
        <w:top w:val="none" w:sz="0" w:space="0" w:color="auto"/>
        <w:left w:val="none" w:sz="0" w:space="0" w:color="auto"/>
        <w:bottom w:val="none" w:sz="0" w:space="0" w:color="auto"/>
        <w:right w:val="none" w:sz="0" w:space="0" w:color="auto"/>
      </w:divBdr>
    </w:div>
    <w:div w:id="268510412">
      <w:bodyDiv w:val="1"/>
      <w:marLeft w:val="0"/>
      <w:marRight w:val="0"/>
      <w:marTop w:val="0"/>
      <w:marBottom w:val="0"/>
      <w:divBdr>
        <w:top w:val="none" w:sz="0" w:space="0" w:color="auto"/>
        <w:left w:val="none" w:sz="0" w:space="0" w:color="auto"/>
        <w:bottom w:val="none" w:sz="0" w:space="0" w:color="auto"/>
        <w:right w:val="none" w:sz="0" w:space="0" w:color="auto"/>
      </w:divBdr>
    </w:div>
    <w:div w:id="268512276">
      <w:bodyDiv w:val="1"/>
      <w:marLeft w:val="0"/>
      <w:marRight w:val="0"/>
      <w:marTop w:val="0"/>
      <w:marBottom w:val="0"/>
      <w:divBdr>
        <w:top w:val="none" w:sz="0" w:space="0" w:color="auto"/>
        <w:left w:val="none" w:sz="0" w:space="0" w:color="auto"/>
        <w:bottom w:val="none" w:sz="0" w:space="0" w:color="auto"/>
        <w:right w:val="none" w:sz="0" w:space="0" w:color="auto"/>
      </w:divBdr>
    </w:div>
    <w:div w:id="268514239">
      <w:bodyDiv w:val="1"/>
      <w:marLeft w:val="0"/>
      <w:marRight w:val="0"/>
      <w:marTop w:val="0"/>
      <w:marBottom w:val="0"/>
      <w:divBdr>
        <w:top w:val="none" w:sz="0" w:space="0" w:color="auto"/>
        <w:left w:val="none" w:sz="0" w:space="0" w:color="auto"/>
        <w:bottom w:val="none" w:sz="0" w:space="0" w:color="auto"/>
        <w:right w:val="none" w:sz="0" w:space="0" w:color="auto"/>
      </w:divBdr>
    </w:div>
    <w:div w:id="268585338">
      <w:bodyDiv w:val="1"/>
      <w:marLeft w:val="0"/>
      <w:marRight w:val="0"/>
      <w:marTop w:val="0"/>
      <w:marBottom w:val="0"/>
      <w:divBdr>
        <w:top w:val="none" w:sz="0" w:space="0" w:color="auto"/>
        <w:left w:val="none" w:sz="0" w:space="0" w:color="auto"/>
        <w:bottom w:val="none" w:sz="0" w:space="0" w:color="auto"/>
        <w:right w:val="none" w:sz="0" w:space="0" w:color="auto"/>
      </w:divBdr>
    </w:div>
    <w:div w:id="268587164">
      <w:bodyDiv w:val="1"/>
      <w:marLeft w:val="0"/>
      <w:marRight w:val="0"/>
      <w:marTop w:val="0"/>
      <w:marBottom w:val="0"/>
      <w:divBdr>
        <w:top w:val="none" w:sz="0" w:space="0" w:color="auto"/>
        <w:left w:val="none" w:sz="0" w:space="0" w:color="auto"/>
        <w:bottom w:val="none" w:sz="0" w:space="0" w:color="auto"/>
        <w:right w:val="none" w:sz="0" w:space="0" w:color="auto"/>
      </w:divBdr>
    </w:div>
    <w:div w:id="268777284">
      <w:bodyDiv w:val="1"/>
      <w:marLeft w:val="0"/>
      <w:marRight w:val="0"/>
      <w:marTop w:val="0"/>
      <w:marBottom w:val="0"/>
      <w:divBdr>
        <w:top w:val="none" w:sz="0" w:space="0" w:color="auto"/>
        <w:left w:val="none" w:sz="0" w:space="0" w:color="auto"/>
        <w:bottom w:val="none" w:sz="0" w:space="0" w:color="auto"/>
        <w:right w:val="none" w:sz="0" w:space="0" w:color="auto"/>
      </w:divBdr>
    </w:div>
    <w:div w:id="268851898">
      <w:bodyDiv w:val="1"/>
      <w:marLeft w:val="0"/>
      <w:marRight w:val="0"/>
      <w:marTop w:val="0"/>
      <w:marBottom w:val="0"/>
      <w:divBdr>
        <w:top w:val="none" w:sz="0" w:space="0" w:color="auto"/>
        <w:left w:val="none" w:sz="0" w:space="0" w:color="auto"/>
        <w:bottom w:val="none" w:sz="0" w:space="0" w:color="auto"/>
        <w:right w:val="none" w:sz="0" w:space="0" w:color="auto"/>
      </w:divBdr>
    </w:div>
    <w:div w:id="268901417">
      <w:bodyDiv w:val="1"/>
      <w:marLeft w:val="0"/>
      <w:marRight w:val="0"/>
      <w:marTop w:val="0"/>
      <w:marBottom w:val="0"/>
      <w:divBdr>
        <w:top w:val="none" w:sz="0" w:space="0" w:color="auto"/>
        <w:left w:val="none" w:sz="0" w:space="0" w:color="auto"/>
        <w:bottom w:val="none" w:sz="0" w:space="0" w:color="auto"/>
        <w:right w:val="none" w:sz="0" w:space="0" w:color="auto"/>
      </w:divBdr>
    </w:div>
    <w:div w:id="268902116">
      <w:bodyDiv w:val="1"/>
      <w:marLeft w:val="0"/>
      <w:marRight w:val="0"/>
      <w:marTop w:val="0"/>
      <w:marBottom w:val="0"/>
      <w:divBdr>
        <w:top w:val="none" w:sz="0" w:space="0" w:color="auto"/>
        <w:left w:val="none" w:sz="0" w:space="0" w:color="auto"/>
        <w:bottom w:val="none" w:sz="0" w:space="0" w:color="auto"/>
        <w:right w:val="none" w:sz="0" w:space="0" w:color="auto"/>
      </w:divBdr>
    </w:div>
    <w:div w:id="268968765">
      <w:bodyDiv w:val="1"/>
      <w:marLeft w:val="0"/>
      <w:marRight w:val="0"/>
      <w:marTop w:val="0"/>
      <w:marBottom w:val="0"/>
      <w:divBdr>
        <w:top w:val="none" w:sz="0" w:space="0" w:color="auto"/>
        <w:left w:val="none" w:sz="0" w:space="0" w:color="auto"/>
        <w:bottom w:val="none" w:sz="0" w:space="0" w:color="auto"/>
        <w:right w:val="none" w:sz="0" w:space="0" w:color="auto"/>
      </w:divBdr>
    </w:div>
    <w:div w:id="269048716">
      <w:bodyDiv w:val="1"/>
      <w:marLeft w:val="0"/>
      <w:marRight w:val="0"/>
      <w:marTop w:val="0"/>
      <w:marBottom w:val="0"/>
      <w:divBdr>
        <w:top w:val="none" w:sz="0" w:space="0" w:color="auto"/>
        <w:left w:val="none" w:sz="0" w:space="0" w:color="auto"/>
        <w:bottom w:val="none" w:sz="0" w:space="0" w:color="auto"/>
        <w:right w:val="none" w:sz="0" w:space="0" w:color="auto"/>
      </w:divBdr>
    </w:div>
    <w:div w:id="269092416">
      <w:bodyDiv w:val="1"/>
      <w:marLeft w:val="0"/>
      <w:marRight w:val="0"/>
      <w:marTop w:val="0"/>
      <w:marBottom w:val="0"/>
      <w:divBdr>
        <w:top w:val="none" w:sz="0" w:space="0" w:color="auto"/>
        <w:left w:val="none" w:sz="0" w:space="0" w:color="auto"/>
        <w:bottom w:val="none" w:sz="0" w:space="0" w:color="auto"/>
        <w:right w:val="none" w:sz="0" w:space="0" w:color="auto"/>
      </w:divBdr>
    </w:div>
    <w:div w:id="269093487">
      <w:bodyDiv w:val="1"/>
      <w:marLeft w:val="0"/>
      <w:marRight w:val="0"/>
      <w:marTop w:val="0"/>
      <w:marBottom w:val="0"/>
      <w:divBdr>
        <w:top w:val="none" w:sz="0" w:space="0" w:color="auto"/>
        <w:left w:val="none" w:sz="0" w:space="0" w:color="auto"/>
        <w:bottom w:val="none" w:sz="0" w:space="0" w:color="auto"/>
        <w:right w:val="none" w:sz="0" w:space="0" w:color="auto"/>
      </w:divBdr>
    </w:div>
    <w:div w:id="269121962">
      <w:bodyDiv w:val="1"/>
      <w:marLeft w:val="0"/>
      <w:marRight w:val="0"/>
      <w:marTop w:val="0"/>
      <w:marBottom w:val="0"/>
      <w:divBdr>
        <w:top w:val="none" w:sz="0" w:space="0" w:color="auto"/>
        <w:left w:val="none" w:sz="0" w:space="0" w:color="auto"/>
        <w:bottom w:val="none" w:sz="0" w:space="0" w:color="auto"/>
        <w:right w:val="none" w:sz="0" w:space="0" w:color="auto"/>
      </w:divBdr>
    </w:div>
    <w:div w:id="269242890">
      <w:bodyDiv w:val="1"/>
      <w:marLeft w:val="0"/>
      <w:marRight w:val="0"/>
      <w:marTop w:val="0"/>
      <w:marBottom w:val="0"/>
      <w:divBdr>
        <w:top w:val="none" w:sz="0" w:space="0" w:color="auto"/>
        <w:left w:val="none" w:sz="0" w:space="0" w:color="auto"/>
        <w:bottom w:val="none" w:sz="0" w:space="0" w:color="auto"/>
        <w:right w:val="none" w:sz="0" w:space="0" w:color="auto"/>
      </w:divBdr>
    </w:div>
    <w:div w:id="269244593">
      <w:bodyDiv w:val="1"/>
      <w:marLeft w:val="0"/>
      <w:marRight w:val="0"/>
      <w:marTop w:val="0"/>
      <w:marBottom w:val="0"/>
      <w:divBdr>
        <w:top w:val="none" w:sz="0" w:space="0" w:color="auto"/>
        <w:left w:val="none" w:sz="0" w:space="0" w:color="auto"/>
        <w:bottom w:val="none" w:sz="0" w:space="0" w:color="auto"/>
        <w:right w:val="none" w:sz="0" w:space="0" w:color="auto"/>
      </w:divBdr>
    </w:div>
    <w:div w:id="269357169">
      <w:bodyDiv w:val="1"/>
      <w:marLeft w:val="0"/>
      <w:marRight w:val="0"/>
      <w:marTop w:val="0"/>
      <w:marBottom w:val="0"/>
      <w:divBdr>
        <w:top w:val="none" w:sz="0" w:space="0" w:color="auto"/>
        <w:left w:val="none" w:sz="0" w:space="0" w:color="auto"/>
        <w:bottom w:val="none" w:sz="0" w:space="0" w:color="auto"/>
        <w:right w:val="none" w:sz="0" w:space="0" w:color="auto"/>
      </w:divBdr>
    </w:div>
    <w:div w:id="269433579">
      <w:bodyDiv w:val="1"/>
      <w:marLeft w:val="0"/>
      <w:marRight w:val="0"/>
      <w:marTop w:val="0"/>
      <w:marBottom w:val="0"/>
      <w:divBdr>
        <w:top w:val="none" w:sz="0" w:space="0" w:color="auto"/>
        <w:left w:val="none" w:sz="0" w:space="0" w:color="auto"/>
        <w:bottom w:val="none" w:sz="0" w:space="0" w:color="auto"/>
        <w:right w:val="none" w:sz="0" w:space="0" w:color="auto"/>
      </w:divBdr>
    </w:div>
    <w:div w:id="269437109">
      <w:bodyDiv w:val="1"/>
      <w:marLeft w:val="0"/>
      <w:marRight w:val="0"/>
      <w:marTop w:val="0"/>
      <w:marBottom w:val="0"/>
      <w:divBdr>
        <w:top w:val="none" w:sz="0" w:space="0" w:color="auto"/>
        <w:left w:val="none" w:sz="0" w:space="0" w:color="auto"/>
        <w:bottom w:val="none" w:sz="0" w:space="0" w:color="auto"/>
        <w:right w:val="none" w:sz="0" w:space="0" w:color="auto"/>
      </w:divBdr>
    </w:div>
    <w:div w:id="269514439">
      <w:bodyDiv w:val="1"/>
      <w:marLeft w:val="0"/>
      <w:marRight w:val="0"/>
      <w:marTop w:val="0"/>
      <w:marBottom w:val="0"/>
      <w:divBdr>
        <w:top w:val="none" w:sz="0" w:space="0" w:color="auto"/>
        <w:left w:val="none" w:sz="0" w:space="0" w:color="auto"/>
        <w:bottom w:val="none" w:sz="0" w:space="0" w:color="auto"/>
        <w:right w:val="none" w:sz="0" w:space="0" w:color="auto"/>
      </w:divBdr>
    </w:div>
    <w:div w:id="269556128">
      <w:bodyDiv w:val="1"/>
      <w:marLeft w:val="0"/>
      <w:marRight w:val="0"/>
      <w:marTop w:val="0"/>
      <w:marBottom w:val="0"/>
      <w:divBdr>
        <w:top w:val="none" w:sz="0" w:space="0" w:color="auto"/>
        <w:left w:val="none" w:sz="0" w:space="0" w:color="auto"/>
        <w:bottom w:val="none" w:sz="0" w:space="0" w:color="auto"/>
        <w:right w:val="none" w:sz="0" w:space="0" w:color="auto"/>
      </w:divBdr>
    </w:div>
    <w:div w:id="269632208">
      <w:bodyDiv w:val="1"/>
      <w:marLeft w:val="0"/>
      <w:marRight w:val="0"/>
      <w:marTop w:val="0"/>
      <w:marBottom w:val="0"/>
      <w:divBdr>
        <w:top w:val="none" w:sz="0" w:space="0" w:color="auto"/>
        <w:left w:val="none" w:sz="0" w:space="0" w:color="auto"/>
        <w:bottom w:val="none" w:sz="0" w:space="0" w:color="auto"/>
        <w:right w:val="none" w:sz="0" w:space="0" w:color="auto"/>
      </w:divBdr>
    </w:div>
    <w:div w:id="269820777">
      <w:bodyDiv w:val="1"/>
      <w:marLeft w:val="0"/>
      <w:marRight w:val="0"/>
      <w:marTop w:val="0"/>
      <w:marBottom w:val="0"/>
      <w:divBdr>
        <w:top w:val="none" w:sz="0" w:space="0" w:color="auto"/>
        <w:left w:val="none" w:sz="0" w:space="0" w:color="auto"/>
        <w:bottom w:val="none" w:sz="0" w:space="0" w:color="auto"/>
        <w:right w:val="none" w:sz="0" w:space="0" w:color="auto"/>
      </w:divBdr>
    </w:div>
    <w:div w:id="269896810">
      <w:bodyDiv w:val="1"/>
      <w:marLeft w:val="0"/>
      <w:marRight w:val="0"/>
      <w:marTop w:val="0"/>
      <w:marBottom w:val="0"/>
      <w:divBdr>
        <w:top w:val="none" w:sz="0" w:space="0" w:color="auto"/>
        <w:left w:val="none" w:sz="0" w:space="0" w:color="auto"/>
        <w:bottom w:val="none" w:sz="0" w:space="0" w:color="auto"/>
        <w:right w:val="none" w:sz="0" w:space="0" w:color="auto"/>
      </w:divBdr>
    </w:div>
    <w:div w:id="270092850">
      <w:bodyDiv w:val="1"/>
      <w:marLeft w:val="0"/>
      <w:marRight w:val="0"/>
      <w:marTop w:val="0"/>
      <w:marBottom w:val="0"/>
      <w:divBdr>
        <w:top w:val="none" w:sz="0" w:space="0" w:color="auto"/>
        <w:left w:val="none" w:sz="0" w:space="0" w:color="auto"/>
        <w:bottom w:val="none" w:sz="0" w:space="0" w:color="auto"/>
        <w:right w:val="none" w:sz="0" w:space="0" w:color="auto"/>
      </w:divBdr>
    </w:div>
    <w:div w:id="270167012">
      <w:bodyDiv w:val="1"/>
      <w:marLeft w:val="0"/>
      <w:marRight w:val="0"/>
      <w:marTop w:val="0"/>
      <w:marBottom w:val="0"/>
      <w:divBdr>
        <w:top w:val="none" w:sz="0" w:space="0" w:color="auto"/>
        <w:left w:val="none" w:sz="0" w:space="0" w:color="auto"/>
        <w:bottom w:val="none" w:sz="0" w:space="0" w:color="auto"/>
        <w:right w:val="none" w:sz="0" w:space="0" w:color="auto"/>
      </w:divBdr>
    </w:div>
    <w:div w:id="270279650">
      <w:bodyDiv w:val="1"/>
      <w:marLeft w:val="0"/>
      <w:marRight w:val="0"/>
      <w:marTop w:val="0"/>
      <w:marBottom w:val="0"/>
      <w:divBdr>
        <w:top w:val="none" w:sz="0" w:space="0" w:color="auto"/>
        <w:left w:val="none" w:sz="0" w:space="0" w:color="auto"/>
        <w:bottom w:val="none" w:sz="0" w:space="0" w:color="auto"/>
        <w:right w:val="none" w:sz="0" w:space="0" w:color="auto"/>
      </w:divBdr>
    </w:div>
    <w:div w:id="270287075">
      <w:bodyDiv w:val="1"/>
      <w:marLeft w:val="0"/>
      <w:marRight w:val="0"/>
      <w:marTop w:val="0"/>
      <w:marBottom w:val="0"/>
      <w:divBdr>
        <w:top w:val="none" w:sz="0" w:space="0" w:color="auto"/>
        <w:left w:val="none" w:sz="0" w:space="0" w:color="auto"/>
        <w:bottom w:val="none" w:sz="0" w:space="0" w:color="auto"/>
        <w:right w:val="none" w:sz="0" w:space="0" w:color="auto"/>
      </w:divBdr>
    </w:div>
    <w:div w:id="270670923">
      <w:bodyDiv w:val="1"/>
      <w:marLeft w:val="0"/>
      <w:marRight w:val="0"/>
      <w:marTop w:val="0"/>
      <w:marBottom w:val="0"/>
      <w:divBdr>
        <w:top w:val="none" w:sz="0" w:space="0" w:color="auto"/>
        <w:left w:val="none" w:sz="0" w:space="0" w:color="auto"/>
        <w:bottom w:val="none" w:sz="0" w:space="0" w:color="auto"/>
        <w:right w:val="none" w:sz="0" w:space="0" w:color="auto"/>
      </w:divBdr>
    </w:div>
    <w:div w:id="270822667">
      <w:bodyDiv w:val="1"/>
      <w:marLeft w:val="0"/>
      <w:marRight w:val="0"/>
      <w:marTop w:val="0"/>
      <w:marBottom w:val="0"/>
      <w:divBdr>
        <w:top w:val="none" w:sz="0" w:space="0" w:color="auto"/>
        <w:left w:val="none" w:sz="0" w:space="0" w:color="auto"/>
        <w:bottom w:val="none" w:sz="0" w:space="0" w:color="auto"/>
        <w:right w:val="none" w:sz="0" w:space="0" w:color="auto"/>
      </w:divBdr>
    </w:div>
    <w:div w:id="270825667">
      <w:bodyDiv w:val="1"/>
      <w:marLeft w:val="0"/>
      <w:marRight w:val="0"/>
      <w:marTop w:val="0"/>
      <w:marBottom w:val="0"/>
      <w:divBdr>
        <w:top w:val="none" w:sz="0" w:space="0" w:color="auto"/>
        <w:left w:val="none" w:sz="0" w:space="0" w:color="auto"/>
        <w:bottom w:val="none" w:sz="0" w:space="0" w:color="auto"/>
        <w:right w:val="none" w:sz="0" w:space="0" w:color="auto"/>
      </w:divBdr>
    </w:div>
    <w:div w:id="270892567">
      <w:bodyDiv w:val="1"/>
      <w:marLeft w:val="0"/>
      <w:marRight w:val="0"/>
      <w:marTop w:val="0"/>
      <w:marBottom w:val="0"/>
      <w:divBdr>
        <w:top w:val="none" w:sz="0" w:space="0" w:color="auto"/>
        <w:left w:val="none" w:sz="0" w:space="0" w:color="auto"/>
        <w:bottom w:val="none" w:sz="0" w:space="0" w:color="auto"/>
        <w:right w:val="none" w:sz="0" w:space="0" w:color="auto"/>
      </w:divBdr>
    </w:div>
    <w:div w:id="270938019">
      <w:bodyDiv w:val="1"/>
      <w:marLeft w:val="0"/>
      <w:marRight w:val="0"/>
      <w:marTop w:val="0"/>
      <w:marBottom w:val="0"/>
      <w:divBdr>
        <w:top w:val="none" w:sz="0" w:space="0" w:color="auto"/>
        <w:left w:val="none" w:sz="0" w:space="0" w:color="auto"/>
        <w:bottom w:val="none" w:sz="0" w:space="0" w:color="auto"/>
        <w:right w:val="none" w:sz="0" w:space="0" w:color="auto"/>
      </w:divBdr>
    </w:div>
    <w:div w:id="271010637">
      <w:bodyDiv w:val="1"/>
      <w:marLeft w:val="0"/>
      <w:marRight w:val="0"/>
      <w:marTop w:val="0"/>
      <w:marBottom w:val="0"/>
      <w:divBdr>
        <w:top w:val="none" w:sz="0" w:space="0" w:color="auto"/>
        <w:left w:val="none" w:sz="0" w:space="0" w:color="auto"/>
        <w:bottom w:val="none" w:sz="0" w:space="0" w:color="auto"/>
        <w:right w:val="none" w:sz="0" w:space="0" w:color="auto"/>
      </w:divBdr>
    </w:div>
    <w:div w:id="271135457">
      <w:bodyDiv w:val="1"/>
      <w:marLeft w:val="0"/>
      <w:marRight w:val="0"/>
      <w:marTop w:val="0"/>
      <w:marBottom w:val="0"/>
      <w:divBdr>
        <w:top w:val="none" w:sz="0" w:space="0" w:color="auto"/>
        <w:left w:val="none" w:sz="0" w:space="0" w:color="auto"/>
        <w:bottom w:val="none" w:sz="0" w:space="0" w:color="auto"/>
        <w:right w:val="none" w:sz="0" w:space="0" w:color="auto"/>
      </w:divBdr>
    </w:div>
    <w:div w:id="271136229">
      <w:bodyDiv w:val="1"/>
      <w:marLeft w:val="0"/>
      <w:marRight w:val="0"/>
      <w:marTop w:val="0"/>
      <w:marBottom w:val="0"/>
      <w:divBdr>
        <w:top w:val="none" w:sz="0" w:space="0" w:color="auto"/>
        <w:left w:val="none" w:sz="0" w:space="0" w:color="auto"/>
        <w:bottom w:val="none" w:sz="0" w:space="0" w:color="auto"/>
        <w:right w:val="none" w:sz="0" w:space="0" w:color="auto"/>
      </w:divBdr>
    </w:div>
    <w:div w:id="271203153">
      <w:bodyDiv w:val="1"/>
      <w:marLeft w:val="0"/>
      <w:marRight w:val="0"/>
      <w:marTop w:val="0"/>
      <w:marBottom w:val="0"/>
      <w:divBdr>
        <w:top w:val="none" w:sz="0" w:space="0" w:color="auto"/>
        <w:left w:val="none" w:sz="0" w:space="0" w:color="auto"/>
        <w:bottom w:val="none" w:sz="0" w:space="0" w:color="auto"/>
        <w:right w:val="none" w:sz="0" w:space="0" w:color="auto"/>
      </w:divBdr>
    </w:div>
    <w:div w:id="271325217">
      <w:bodyDiv w:val="1"/>
      <w:marLeft w:val="0"/>
      <w:marRight w:val="0"/>
      <w:marTop w:val="0"/>
      <w:marBottom w:val="0"/>
      <w:divBdr>
        <w:top w:val="none" w:sz="0" w:space="0" w:color="auto"/>
        <w:left w:val="none" w:sz="0" w:space="0" w:color="auto"/>
        <w:bottom w:val="none" w:sz="0" w:space="0" w:color="auto"/>
        <w:right w:val="none" w:sz="0" w:space="0" w:color="auto"/>
      </w:divBdr>
    </w:div>
    <w:div w:id="271471874">
      <w:bodyDiv w:val="1"/>
      <w:marLeft w:val="0"/>
      <w:marRight w:val="0"/>
      <w:marTop w:val="0"/>
      <w:marBottom w:val="0"/>
      <w:divBdr>
        <w:top w:val="none" w:sz="0" w:space="0" w:color="auto"/>
        <w:left w:val="none" w:sz="0" w:space="0" w:color="auto"/>
        <w:bottom w:val="none" w:sz="0" w:space="0" w:color="auto"/>
        <w:right w:val="none" w:sz="0" w:space="0" w:color="auto"/>
      </w:divBdr>
    </w:div>
    <w:div w:id="271476618">
      <w:bodyDiv w:val="1"/>
      <w:marLeft w:val="0"/>
      <w:marRight w:val="0"/>
      <w:marTop w:val="0"/>
      <w:marBottom w:val="0"/>
      <w:divBdr>
        <w:top w:val="none" w:sz="0" w:space="0" w:color="auto"/>
        <w:left w:val="none" w:sz="0" w:space="0" w:color="auto"/>
        <w:bottom w:val="none" w:sz="0" w:space="0" w:color="auto"/>
        <w:right w:val="none" w:sz="0" w:space="0" w:color="auto"/>
      </w:divBdr>
    </w:div>
    <w:div w:id="271592673">
      <w:bodyDiv w:val="1"/>
      <w:marLeft w:val="0"/>
      <w:marRight w:val="0"/>
      <w:marTop w:val="0"/>
      <w:marBottom w:val="0"/>
      <w:divBdr>
        <w:top w:val="none" w:sz="0" w:space="0" w:color="auto"/>
        <w:left w:val="none" w:sz="0" w:space="0" w:color="auto"/>
        <w:bottom w:val="none" w:sz="0" w:space="0" w:color="auto"/>
        <w:right w:val="none" w:sz="0" w:space="0" w:color="auto"/>
      </w:divBdr>
    </w:div>
    <w:div w:id="271593311">
      <w:bodyDiv w:val="1"/>
      <w:marLeft w:val="0"/>
      <w:marRight w:val="0"/>
      <w:marTop w:val="0"/>
      <w:marBottom w:val="0"/>
      <w:divBdr>
        <w:top w:val="none" w:sz="0" w:space="0" w:color="auto"/>
        <w:left w:val="none" w:sz="0" w:space="0" w:color="auto"/>
        <w:bottom w:val="none" w:sz="0" w:space="0" w:color="auto"/>
        <w:right w:val="none" w:sz="0" w:space="0" w:color="auto"/>
      </w:divBdr>
    </w:div>
    <w:div w:id="271713091">
      <w:bodyDiv w:val="1"/>
      <w:marLeft w:val="0"/>
      <w:marRight w:val="0"/>
      <w:marTop w:val="0"/>
      <w:marBottom w:val="0"/>
      <w:divBdr>
        <w:top w:val="none" w:sz="0" w:space="0" w:color="auto"/>
        <w:left w:val="none" w:sz="0" w:space="0" w:color="auto"/>
        <w:bottom w:val="none" w:sz="0" w:space="0" w:color="auto"/>
        <w:right w:val="none" w:sz="0" w:space="0" w:color="auto"/>
      </w:divBdr>
    </w:div>
    <w:div w:id="271742076">
      <w:bodyDiv w:val="1"/>
      <w:marLeft w:val="0"/>
      <w:marRight w:val="0"/>
      <w:marTop w:val="0"/>
      <w:marBottom w:val="0"/>
      <w:divBdr>
        <w:top w:val="none" w:sz="0" w:space="0" w:color="auto"/>
        <w:left w:val="none" w:sz="0" w:space="0" w:color="auto"/>
        <w:bottom w:val="none" w:sz="0" w:space="0" w:color="auto"/>
        <w:right w:val="none" w:sz="0" w:space="0" w:color="auto"/>
      </w:divBdr>
    </w:div>
    <w:div w:id="271867671">
      <w:bodyDiv w:val="1"/>
      <w:marLeft w:val="0"/>
      <w:marRight w:val="0"/>
      <w:marTop w:val="0"/>
      <w:marBottom w:val="0"/>
      <w:divBdr>
        <w:top w:val="none" w:sz="0" w:space="0" w:color="auto"/>
        <w:left w:val="none" w:sz="0" w:space="0" w:color="auto"/>
        <w:bottom w:val="none" w:sz="0" w:space="0" w:color="auto"/>
        <w:right w:val="none" w:sz="0" w:space="0" w:color="auto"/>
      </w:divBdr>
    </w:div>
    <w:div w:id="271937041">
      <w:bodyDiv w:val="1"/>
      <w:marLeft w:val="0"/>
      <w:marRight w:val="0"/>
      <w:marTop w:val="0"/>
      <w:marBottom w:val="0"/>
      <w:divBdr>
        <w:top w:val="none" w:sz="0" w:space="0" w:color="auto"/>
        <w:left w:val="none" w:sz="0" w:space="0" w:color="auto"/>
        <w:bottom w:val="none" w:sz="0" w:space="0" w:color="auto"/>
        <w:right w:val="none" w:sz="0" w:space="0" w:color="auto"/>
      </w:divBdr>
    </w:div>
    <w:div w:id="271940931">
      <w:bodyDiv w:val="1"/>
      <w:marLeft w:val="0"/>
      <w:marRight w:val="0"/>
      <w:marTop w:val="0"/>
      <w:marBottom w:val="0"/>
      <w:divBdr>
        <w:top w:val="none" w:sz="0" w:space="0" w:color="auto"/>
        <w:left w:val="none" w:sz="0" w:space="0" w:color="auto"/>
        <w:bottom w:val="none" w:sz="0" w:space="0" w:color="auto"/>
        <w:right w:val="none" w:sz="0" w:space="0" w:color="auto"/>
      </w:divBdr>
    </w:div>
    <w:div w:id="272058779">
      <w:bodyDiv w:val="1"/>
      <w:marLeft w:val="0"/>
      <w:marRight w:val="0"/>
      <w:marTop w:val="0"/>
      <w:marBottom w:val="0"/>
      <w:divBdr>
        <w:top w:val="none" w:sz="0" w:space="0" w:color="auto"/>
        <w:left w:val="none" w:sz="0" w:space="0" w:color="auto"/>
        <w:bottom w:val="none" w:sz="0" w:space="0" w:color="auto"/>
        <w:right w:val="none" w:sz="0" w:space="0" w:color="auto"/>
      </w:divBdr>
    </w:div>
    <w:div w:id="272135758">
      <w:bodyDiv w:val="1"/>
      <w:marLeft w:val="0"/>
      <w:marRight w:val="0"/>
      <w:marTop w:val="0"/>
      <w:marBottom w:val="0"/>
      <w:divBdr>
        <w:top w:val="none" w:sz="0" w:space="0" w:color="auto"/>
        <w:left w:val="none" w:sz="0" w:space="0" w:color="auto"/>
        <w:bottom w:val="none" w:sz="0" w:space="0" w:color="auto"/>
        <w:right w:val="none" w:sz="0" w:space="0" w:color="auto"/>
      </w:divBdr>
    </w:div>
    <w:div w:id="272172019">
      <w:bodyDiv w:val="1"/>
      <w:marLeft w:val="0"/>
      <w:marRight w:val="0"/>
      <w:marTop w:val="0"/>
      <w:marBottom w:val="0"/>
      <w:divBdr>
        <w:top w:val="none" w:sz="0" w:space="0" w:color="auto"/>
        <w:left w:val="none" w:sz="0" w:space="0" w:color="auto"/>
        <w:bottom w:val="none" w:sz="0" w:space="0" w:color="auto"/>
        <w:right w:val="none" w:sz="0" w:space="0" w:color="auto"/>
      </w:divBdr>
    </w:div>
    <w:div w:id="272177913">
      <w:bodyDiv w:val="1"/>
      <w:marLeft w:val="0"/>
      <w:marRight w:val="0"/>
      <w:marTop w:val="0"/>
      <w:marBottom w:val="0"/>
      <w:divBdr>
        <w:top w:val="none" w:sz="0" w:space="0" w:color="auto"/>
        <w:left w:val="none" w:sz="0" w:space="0" w:color="auto"/>
        <w:bottom w:val="none" w:sz="0" w:space="0" w:color="auto"/>
        <w:right w:val="none" w:sz="0" w:space="0" w:color="auto"/>
      </w:divBdr>
    </w:div>
    <w:div w:id="272443808">
      <w:bodyDiv w:val="1"/>
      <w:marLeft w:val="0"/>
      <w:marRight w:val="0"/>
      <w:marTop w:val="0"/>
      <w:marBottom w:val="0"/>
      <w:divBdr>
        <w:top w:val="none" w:sz="0" w:space="0" w:color="auto"/>
        <w:left w:val="none" w:sz="0" w:space="0" w:color="auto"/>
        <w:bottom w:val="none" w:sz="0" w:space="0" w:color="auto"/>
        <w:right w:val="none" w:sz="0" w:space="0" w:color="auto"/>
      </w:divBdr>
    </w:div>
    <w:div w:id="272595474">
      <w:bodyDiv w:val="1"/>
      <w:marLeft w:val="0"/>
      <w:marRight w:val="0"/>
      <w:marTop w:val="0"/>
      <w:marBottom w:val="0"/>
      <w:divBdr>
        <w:top w:val="none" w:sz="0" w:space="0" w:color="auto"/>
        <w:left w:val="none" w:sz="0" w:space="0" w:color="auto"/>
        <w:bottom w:val="none" w:sz="0" w:space="0" w:color="auto"/>
        <w:right w:val="none" w:sz="0" w:space="0" w:color="auto"/>
      </w:divBdr>
    </w:div>
    <w:div w:id="272633199">
      <w:bodyDiv w:val="1"/>
      <w:marLeft w:val="0"/>
      <w:marRight w:val="0"/>
      <w:marTop w:val="0"/>
      <w:marBottom w:val="0"/>
      <w:divBdr>
        <w:top w:val="none" w:sz="0" w:space="0" w:color="auto"/>
        <w:left w:val="none" w:sz="0" w:space="0" w:color="auto"/>
        <w:bottom w:val="none" w:sz="0" w:space="0" w:color="auto"/>
        <w:right w:val="none" w:sz="0" w:space="0" w:color="auto"/>
      </w:divBdr>
    </w:div>
    <w:div w:id="272707204">
      <w:bodyDiv w:val="1"/>
      <w:marLeft w:val="0"/>
      <w:marRight w:val="0"/>
      <w:marTop w:val="0"/>
      <w:marBottom w:val="0"/>
      <w:divBdr>
        <w:top w:val="none" w:sz="0" w:space="0" w:color="auto"/>
        <w:left w:val="none" w:sz="0" w:space="0" w:color="auto"/>
        <w:bottom w:val="none" w:sz="0" w:space="0" w:color="auto"/>
        <w:right w:val="none" w:sz="0" w:space="0" w:color="auto"/>
      </w:divBdr>
    </w:div>
    <w:div w:id="273169340">
      <w:bodyDiv w:val="1"/>
      <w:marLeft w:val="0"/>
      <w:marRight w:val="0"/>
      <w:marTop w:val="0"/>
      <w:marBottom w:val="0"/>
      <w:divBdr>
        <w:top w:val="none" w:sz="0" w:space="0" w:color="auto"/>
        <w:left w:val="none" w:sz="0" w:space="0" w:color="auto"/>
        <w:bottom w:val="none" w:sz="0" w:space="0" w:color="auto"/>
        <w:right w:val="none" w:sz="0" w:space="0" w:color="auto"/>
      </w:divBdr>
    </w:div>
    <w:div w:id="273173701">
      <w:bodyDiv w:val="1"/>
      <w:marLeft w:val="0"/>
      <w:marRight w:val="0"/>
      <w:marTop w:val="0"/>
      <w:marBottom w:val="0"/>
      <w:divBdr>
        <w:top w:val="none" w:sz="0" w:space="0" w:color="auto"/>
        <w:left w:val="none" w:sz="0" w:space="0" w:color="auto"/>
        <w:bottom w:val="none" w:sz="0" w:space="0" w:color="auto"/>
        <w:right w:val="none" w:sz="0" w:space="0" w:color="auto"/>
      </w:divBdr>
    </w:div>
    <w:div w:id="273366230">
      <w:bodyDiv w:val="1"/>
      <w:marLeft w:val="0"/>
      <w:marRight w:val="0"/>
      <w:marTop w:val="0"/>
      <w:marBottom w:val="0"/>
      <w:divBdr>
        <w:top w:val="none" w:sz="0" w:space="0" w:color="auto"/>
        <w:left w:val="none" w:sz="0" w:space="0" w:color="auto"/>
        <w:bottom w:val="none" w:sz="0" w:space="0" w:color="auto"/>
        <w:right w:val="none" w:sz="0" w:space="0" w:color="auto"/>
      </w:divBdr>
    </w:div>
    <w:div w:id="273443263">
      <w:bodyDiv w:val="1"/>
      <w:marLeft w:val="0"/>
      <w:marRight w:val="0"/>
      <w:marTop w:val="0"/>
      <w:marBottom w:val="0"/>
      <w:divBdr>
        <w:top w:val="none" w:sz="0" w:space="0" w:color="auto"/>
        <w:left w:val="none" w:sz="0" w:space="0" w:color="auto"/>
        <w:bottom w:val="none" w:sz="0" w:space="0" w:color="auto"/>
        <w:right w:val="none" w:sz="0" w:space="0" w:color="auto"/>
      </w:divBdr>
    </w:div>
    <w:div w:id="273486097">
      <w:bodyDiv w:val="1"/>
      <w:marLeft w:val="0"/>
      <w:marRight w:val="0"/>
      <w:marTop w:val="0"/>
      <w:marBottom w:val="0"/>
      <w:divBdr>
        <w:top w:val="none" w:sz="0" w:space="0" w:color="auto"/>
        <w:left w:val="none" w:sz="0" w:space="0" w:color="auto"/>
        <w:bottom w:val="none" w:sz="0" w:space="0" w:color="auto"/>
        <w:right w:val="none" w:sz="0" w:space="0" w:color="auto"/>
      </w:divBdr>
    </w:div>
    <w:div w:id="273682724">
      <w:bodyDiv w:val="1"/>
      <w:marLeft w:val="0"/>
      <w:marRight w:val="0"/>
      <w:marTop w:val="0"/>
      <w:marBottom w:val="0"/>
      <w:divBdr>
        <w:top w:val="none" w:sz="0" w:space="0" w:color="auto"/>
        <w:left w:val="none" w:sz="0" w:space="0" w:color="auto"/>
        <w:bottom w:val="none" w:sz="0" w:space="0" w:color="auto"/>
        <w:right w:val="none" w:sz="0" w:space="0" w:color="auto"/>
      </w:divBdr>
    </w:div>
    <w:div w:id="274093053">
      <w:bodyDiv w:val="1"/>
      <w:marLeft w:val="0"/>
      <w:marRight w:val="0"/>
      <w:marTop w:val="0"/>
      <w:marBottom w:val="0"/>
      <w:divBdr>
        <w:top w:val="none" w:sz="0" w:space="0" w:color="auto"/>
        <w:left w:val="none" w:sz="0" w:space="0" w:color="auto"/>
        <w:bottom w:val="none" w:sz="0" w:space="0" w:color="auto"/>
        <w:right w:val="none" w:sz="0" w:space="0" w:color="auto"/>
      </w:divBdr>
    </w:div>
    <w:div w:id="274169529">
      <w:bodyDiv w:val="1"/>
      <w:marLeft w:val="0"/>
      <w:marRight w:val="0"/>
      <w:marTop w:val="0"/>
      <w:marBottom w:val="0"/>
      <w:divBdr>
        <w:top w:val="none" w:sz="0" w:space="0" w:color="auto"/>
        <w:left w:val="none" w:sz="0" w:space="0" w:color="auto"/>
        <w:bottom w:val="none" w:sz="0" w:space="0" w:color="auto"/>
        <w:right w:val="none" w:sz="0" w:space="0" w:color="auto"/>
      </w:divBdr>
    </w:div>
    <w:div w:id="274213900">
      <w:bodyDiv w:val="1"/>
      <w:marLeft w:val="0"/>
      <w:marRight w:val="0"/>
      <w:marTop w:val="0"/>
      <w:marBottom w:val="0"/>
      <w:divBdr>
        <w:top w:val="none" w:sz="0" w:space="0" w:color="auto"/>
        <w:left w:val="none" w:sz="0" w:space="0" w:color="auto"/>
        <w:bottom w:val="none" w:sz="0" w:space="0" w:color="auto"/>
        <w:right w:val="none" w:sz="0" w:space="0" w:color="auto"/>
      </w:divBdr>
    </w:div>
    <w:div w:id="274290023">
      <w:bodyDiv w:val="1"/>
      <w:marLeft w:val="0"/>
      <w:marRight w:val="0"/>
      <w:marTop w:val="0"/>
      <w:marBottom w:val="0"/>
      <w:divBdr>
        <w:top w:val="none" w:sz="0" w:space="0" w:color="auto"/>
        <w:left w:val="none" w:sz="0" w:space="0" w:color="auto"/>
        <w:bottom w:val="none" w:sz="0" w:space="0" w:color="auto"/>
        <w:right w:val="none" w:sz="0" w:space="0" w:color="auto"/>
      </w:divBdr>
    </w:div>
    <w:div w:id="274334206">
      <w:bodyDiv w:val="1"/>
      <w:marLeft w:val="0"/>
      <w:marRight w:val="0"/>
      <w:marTop w:val="0"/>
      <w:marBottom w:val="0"/>
      <w:divBdr>
        <w:top w:val="none" w:sz="0" w:space="0" w:color="auto"/>
        <w:left w:val="none" w:sz="0" w:space="0" w:color="auto"/>
        <w:bottom w:val="none" w:sz="0" w:space="0" w:color="auto"/>
        <w:right w:val="none" w:sz="0" w:space="0" w:color="auto"/>
      </w:divBdr>
    </w:div>
    <w:div w:id="274488543">
      <w:bodyDiv w:val="1"/>
      <w:marLeft w:val="0"/>
      <w:marRight w:val="0"/>
      <w:marTop w:val="0"/>
      <w:marBottom w:val="0"/>
      <w:divBdr>
        <w:top w:val="none" w:sz="0" w:space="0" w:color="auto"/>
        <w:left w:val="none" w:sz="0" w:space="0" w:color="auto"/>
        <w:bottom w:val="none" w:sz="0" w:space="0" w:color="auto"/>
        <w:right w:val="none" w:sz="0" w:space="0" w:color="auto"/>
      </w:divBdr>
    </w:div>
    <w:div w:id="274600978">
      <w:bodyDiv w:val="1"/>
      <w:marLeft w:val="0"/>
      <w:marRight w:val="0"/>
      <w:marTop w:val="0"/>
      <w:marBottom w:val="0"/>
      <w:divBdr>
        <w:top w:val="none" w:sz="0" w:space="0" w:color="auto"/>
        <w:left w:val="none" w:sz="0" w:space="0" w:color="auto"/>
        <w:bottom w:val="none" w:sz="0" w:space="0" w:color="auto"/>
        <w:right w:val="none" w:sz="0" w:space="0" w:color="auto"/>
      </w:divBdr>
    </w:div>
    <w:div w:id="274601626">
      <w:bodyDiv w:val="1"/>
      <w:marLeft w:val="0"/>
      <w:marRight w:val="0"/>
      <w:marTop w:val="0"/>
      <w:marBottom w:val="0"/>
      <w:divBdr>
        <w:top w:val="none" w:sz="0" w:space="0" w:color="auto"/>
        <w:left w:val="none" w:sz="0" w:space="0" w:color="auto"/>
        <w:bottom w:val="none" w:sz="0" w:space="0" w:color="auto"/>
        <w:right w:val="none" w:sz="0" w:space="0" w:color="auto"/>
      </w:divBdr>
    </w:div>
    <w:div w:id="274603514">
      <w:bodyDiv w:val="1"/>
      <w:marLeft w:val="0"/>
      <w:marRight w:val="0"/>
      <w:marTop w:val="0"/>
      <w:marBottom w:val="0"/>
      <w:divBdr>
        <w:top w:val="none" w:sz="0" w:space="0" w:color="auto"/>
        <w:left w:val="none" w:sz="0" w:space="0" w:color="auto"/>
        <w:bottom w:val="none" w:sz="0" w:space="0" w:color="auto"/>
        <w:right w:val="none" w:sz="0" w:space="0" w:color="auto"/>
      </w:divBdr>
    </w:div>
    <w:div w:id="274867904">
      <w:bodyDiv w:val="1"/>
      <w:marLeft w:val="0"/>
      <w:marRight w:val="0"/>
      <w:marTop w:val="0"/>
      <w:marBottom w:val="0"/>
      <w:divBdr>
        <w:top w:val="none" w:sz="0" w:space="0" w:color="auto"/>
        <w:left w:val="none" w:sz="0" w:space="0" w:color="auto"/>
        <w:bottom w:val="none" w:sz="0" w:space="0" w:color="auto"/>
        <w:right w:val="none" w:sz="0" w:space="0" w:color="auto"/>
      </w:divBdr>
    </w:div>
    <w:div w:id="274948342">
      <w:bodyDiv w:val="1"/>
      <w:marLeft w:val="0"/>
      <w:marRight w:val="0"/>
      <w:marTop w:val="0"/>
      <w:marBottom w:val="0"/>
      <w:divBdr>
        <w:top w:val="none" w:sz="0" w:space="0" w:color="auto"/>
        <w:left w:val="none" w:sz="0" w:space="0" w:color="auto"/>
        <w:bottom w:val="none" w:sz="0" w:space="0" w:color="auto"/>
        <w:right w:val="none" w:sz="0" w:space="0" w:color="auto"/>
      </w:divBdr>
    </w:div>
    <w:div w:id="274990815">
      <w:bodyDiv w:val="1"/>
      <w:marLeft w:val="0"/>
      <w:marRight w:val="0"/>
      <w:marTop w:val="0"/>
      <w:marBottom w:val="0"/>
      <w:divBdr>
        <w:top w:val="none" w:sz="0" w:space="0" w:color="auto"/>
        <w:left w:val="none" w:sz="0" w:space="0" w:color="auto"/>
        <w:bottom w:val="none" w:sz="0" w:space="0" w:color="auto"/>
        <w:right w:val="none" w:sz="0" w:space="0" w:color="auto"/>
      </w:divBdr>
    </w:div>
    <w:div w:id="275059640">
      <w:bodyDiv w:val="1"/>
      <w:marLeft w:val="0"/>
      <w:marRight w:val="0"/>
      <w:marTop w:val="0"/>
      <w:marBottom w:val="0"/>
      <w:divBdr>
        <w:top w:val="none" w:sz="0" w:space="0" w:color="auto"/>
        <w:left w:val="none" w:sz="0" w:space="0" w:color="auto"/>
        <w:bottom w:val="none" w:sz="0" w:space="0" w:color="auto"/>
        <w:right w:val="none" w:sz="0" w:space="0" w:color="auto"/>
      </w:divBdr>
    </w:div>
    <w:div w:id="275062709">
      <w:bodyDiv w:val="1"/>
      <w:marLeft w:val="0"/>
      <w:marRight w:val="0"/>
      <w:marTop w:val="0"/>
      <w:marBottom w:val="0"/>
      <w:divBdr>
        <w:top w:val="none" w:sz="0" w:space="0" w:color="auto"/>
        <w:left w:val="none" w:sz="0" w:space="0" w:color="auto"/>
        <w:bottom w:val="none" w:sz="0" w:space="0" w:color="auto"/>
        <w:right w:val="none" w:sz="0" w:space="0" w:color="auto"/>
      </w:divBdr>
    </w:div>
    <w:div w:id="275210871">
      <w:bodyDiv w:val="1"/>
      <w:marLeft w:val="0"/>
      <w:marRight w:val="0"/>
      <w:marTop w:val="0"/>
      <w:marBottom w:val="0"/>
      <w:divBdr>
        <w:top w:val="none" w:sz="0" w:space="0" w:color="auto"/>
        <w:left w:val="none" w:sz="0" w:space="0" w:color="auto"/>
        <w:bottom w:val="none" w:sz="0" w:space="0" w:color="auto"/>
        <w:right w:val="none" w:sz="0" w:space="0" w:color="auto"/>
      </w:divBdr>
    </w:div>
    <w:div w:id="275214709">
      <w:bodyDiv w:val="1"/>
      <w:marLeft w:val="0"/>
      <w:marRight w:val="0"/>
      <w:marTop w:val="0"/>
      <w:marBottom w:val="0"/>
      <w:divBdr>
        <w:top w:val="none" w:sz="0" w:space="0" w:color="auto"/>
        <w:left w:val="none" w:sz="0" w:space="0" w:color="auto"/>
        <w:bottom w:val="none" w:sz="0" w:space="0" w:color="auto"/>
        <w:right w:val="none" w:sz="0" w:space="0" w:color="auto"/>
      </w:divBdr>
    </w:div>
    <w:div w:id="275403559">
      <w:bodyDiv w:val="1"/>
      <w:marLeft w:val="0"/>
      <w:marRight w:val="0"/>
      <w:marTop w:val="0"/>
      <w:marBottom w:val="0"/>
      <w:divBdr>
        <w:top w:val="none" w:sz="0" w:space="0" w:color="auto"/>
        <w:left w:val="none" w:sz="0" w:space="0" w:color="auto"/>
        <w:bottom w:val="none" w:sz="0" w:space="0" w:color="auto"/>
        <w:right w:val="none" w:sz="0" w:space="0" w:color="auto"/>
      </w:divBdr>
    </w:div>
    <w:div w:id="275410778">
      <w:bodyDiv w:val="1"/>
      <w:marLeft w:val="0"/>
      <w:marRight w:val="0"/>
      <w:marTop w:val="0"/>
      <w:marBottom w:val="0"/>
      <w:divBdr>
        <w:top w:val="none" w:sz="0" w:space="0" w:color="auto"/>
        <w:left w:val="none" w:sz="0" w:space="0" w:color="auto"/>
        <w:bottom w:val="none" w:sz="0" w:space="0" w:color="auto"/>
        <w:right w:val="none" w:sz="0" w:space="0" w:color="auto"/>
      </w:divBdr>
    </w:div>
    <w:div w:id="275522661">
      <w:bodyDiv w:val="1"/>
      <w:marLeft w:val="0"/>
      <w:marRight w:val="0"/>
      <w:marTop w:val="0"/>
      <w:marBottom w:val="0"/>
      <w:divBdr>
        <w:top w:val="none" w:sz="0" w:space="0" w:color="auto"/>
        <w:left w:val="none" w:sz="0" w:space="0" w:color="auto"/>
        <w:bottom w:val="none" w:sz="0" w:space="0" w:color="auto"/>
        <w:right w:val="none" w:sz="0" w:space="0" w:color="auto"/>
      </w:divBdr>
    </w:div>
    <w:div w:id="275602683">
      <w:bodyDiv w:val="1"/>
      <w:marLeft w:val="0"/>
      <w:marRight w:val="0"/>
      <w:marTop w:val="0"/>
      <w:marBottom w:val="0"/>
      <w:divBdr>
        <w:top w:val="none" w:sz="0" w:space="0" w:color="auto"/>
        <w:left w:val="none" w:sz="0" w:space="0" w:color="auto"/>
        <w:bottom w:val="none" w:sz="0" w:space="0" w:color="auto"/>
        <w:right w:val="none" w:sz="0" w:space="0" w:color="auto"/>
      </w:divBdr>
    </w:div>
    <w:div w:id="275647226">
      <w:bodyDiv w:val="1"/>
      <w:marLeft w:val="0"/>
      <w:marRight w:val="0"/>
      <w:marTop w:val="0"/>
      <w:marBottom w:val="0"/>
      <w:divBdr>
        <w:top w:val="none" w:sz="0" w:space="0" w:color="auto"/>
        <w:left w:val="none" w:sz="0" w:space="0" w:color="auto"/>
        <w:bottom w:val="none" w:sz="0" w:space="0" w:color="auto"/>
        <w:right w:val="none" w:sz="0" w:space="0" w:color="auto"/>
      </w:divBdr>
    </w:div>
    <w:div w:id="275672946">
      <w:bodyDiv w:val="1"/>
      <w:marLeft w:val="0"/>
      <w:marRight w:val="0"/>
      <w:marTop w:val="0"/>
      <w:marBottom w:val="0"/>
      <w:divBdr>
        <w:top w:val="none" w:sz="0" w:space="0" w:color="auto"/>
        <w:left w:val="none" w:sz="0" w:space="0" w:color="auto"/>
        <w:bottom w:val="none" w:sz="0" w:space="0" w:color="auto"/>
        <w:right w:val="none" w:sz="0" w:space="0" w:color="auto"/>
      </w:divBdr>
    </w:div>
    <w:div w:id="275676675">
      <w:bodyDiv w:val="1"/>
      <w:marLeft w:val="0"/>
      <w:marRight w:val="0"/>
      <w:marTop w:val="0"/>
      <w:marBottom w:val="0"/>
      <w:divBdr>
        <w:top w:val="none" w:sz="0" w:space="0" w:color="auto"/>
        <w:left w:val="none" w:sz="0" w:space="0" w:color="auto"/>
        <w:bottom w:val="none" w:sz="0" w:space="0" w:color="auto"/>
        <w:right w:val="none" w:sz="0" w:space="0" w:color="auto"/>
      </w:divBdr>
    </w:div>
    <w:div w:id="275790346">
      <w:bodyDiv w:val="1"/>
      <w:marLeft w:val="0"/>
      <w:marRight w:val="0"/>
      <w:marTop w:val="0"/>
      <w:marBottom w:val="0"/>
      <w:divBdr>
        <w:top w:val="none" w:sz="0" w:space="0" w:color="auto"/>
        <w:left w:val="none" w:sz="0" w:space="0" w:color="auto"/>
        <w:bottom w:val="none" w:sz="0" w:space="0" w:color="auto"/>
        <w:right w:val="none" w:sz="0" w:space="0" w:color="auto"/>
      </w:divBdr>
    </w:div>
    <w:div w:id="275794008">
      <w:bodyDiv w:val="1"/>
      <w:marLeft w:val="0"/>
      <w:marRight w:val="0"/>
      <w:marTop w:val="0"/>
      <w:marBottom w:val="0"/>
      <w:divBdr>
        <w:top w:val="none" w:sz="0" w:space="0" w:color="auto"/>
        <w:left w:val="none" w:sz="0" w:space="0" w:color="auto"/>
        <w:bottom w:val="none" w:sz="0" w:space="0" w:color="auto"/>
        <w:right w:val="none" w:sz="0" w:space="0" w:color="auto"/>
      </w:divBdr>
    </w:div>
    <w:div w:id="275797064">
      <w:bodyDiv w:val="1"/>
      <w:marLeft w:val="0"/>
      <w:marRight w:val="0"/>
      <w:marTop w:val="0"/>
      <w:marBottom w:val="0"/>
      <w:divBdr>
        <w:top w:val="none" w:sz="0" w:space="0" w:color="auto"/>
        <w:left w:val="none" w:sz="0" w:space="0" w:color="auto"/>
        <w:bottom w:val="none" w:sz="0" w:space="0" w:color="auto"/>
        <w:right w:val="none" w:sz="0" w:space="0" w:color="auto"/>
      </w:divBdr>
    </w:div>
    <w:div w:id="275914616">
      <w:bodyDiv w:val="1"/>
      <w:marLeft w:val="0"/>
      <w:marRight w:val="0"/>
      <w:marTop w:val="0"/>
      <w:marBottom w:val="0"/>
      <w:divBdr>
        <w:top w:val="none" w:sz="0" w:space="0" w:color="auto"/>
        <w:left w:val="none" w:sz="0" w:space="0" w:color="auto"/>
        <w:bottom w:val="none" w:sz="0" w:space="0" w:color="auto"/>
        <w:right w:val="none" w:sz="0" w:space="0" w:color="auto"/>
      </w:divBdr>
    </w:div>
    <w:div w:id="275989105">
      <w:bodyDiv w:val="1"/>
      <w:marLeft w:val="0"/>
      <w:marRight w:val="0"/>
      <w:marTop w:val="0"/>
      <w:marBottom w:val="0"/>
      <w:divBdr>
        <w:top w:val="none" w:sz="0" w:space="0" w:color="auto"/>
        <w:left w:val="none" w:sz="0" w:space="0" w:color="auto"/>
        <w:bottom w:val="none" w:sz="0" w:space="0" w:color="auto"/>
        <w:right w:val="none" w:sz="0" w:space="0" w:color="auto"/>
      </w:divBdr>
    </w:div>
    <w:div w:id="276062485">
      <w:bodyDiv w:val="1"/>
      <w:marLeft w:val="0"/>
      <w:marRight w:val="0"/>
      <w:marTop w:val="0"/>
      <w:marBottom w:val="0"/>
      <w:divBdr>
        <w:top w:val="none" w:sz="0" w:space="0" w:color="auto"/>
        <w:left w:val="none" w:sz="0" w:space="0" w:color="auto"/>
        <w:bottom w:val="none" w:sz="0" w:space="0" w:color="auto"/>
        <w:right w:val="none" w:sz="0" w:space="0" w:color="auto"/>
      </w:divBdr>
    </w:div>
    <w:div w:id="276063719">
      <w:bodyDiv w:val="1"/>
      <w:marLeft w:val="0"/>
      <w:marRight w:val="0"/>
      <w:marTop w:val="0"/>
      <w:marBottom w:val="0"/>
      <w:divBdr>
        <w:top w:val="none" w:sz="0" w:space="0" w:color="auto"/>
        <w:left w:val="none" w:sz="0" w:space="0" w:color="auto"/>
        <w:bottom w:val="none" w:sz="0" w:space="0" w:color="auto"/>
        <w:right w:val="none" w:sz="0" w:space="0" w:color="auto"/>
      </w:divBdr>
    </w:div>
    <w:div w:id="276065972">
      <w:bodyDiv w:val="1"/>
      <w:marLeft w:val="0"/>
      <w:marRight w:val="0"/>
      <w:marTop w:val="0"/>
      <w:marBottom w:val="0"/>
      <w:divBdr>
        <w:top w:val="none" w:sz="0" w:space="0" w:color="auto"/>
        <w:left w:val="none" w:sz="0" w:space="0" w:color="auto"/>
        <w:bottom w:val="none" w:sz="0" w:space="0" w:color="auto"/>
        <w:right w:val="none" w:sz="0" w:space="0" w:color="auto"/>
      </w:divBdr>
    </w:div>
    <w:div w:id="276180983">
      <w:bodyDiv w:val="1"/>
      <w:marLeft w:val="0"/>
      <w:marRight w:val="0"/>
      <w:marTop w:val="0"/>
      <w:marBottom w:val="0"/>
      <w:divBdr>
        <w:top w:val="none" w:sz="0" w:space="0" w:color="auto"/>
        <w:left w:val="none" w:sz="0" w:space="0" w:color="auto"/>
        <w:bottom w:val="none" w:sz="0" w:space="0" w:color="auto"/>
        <w:right w:val="none" w:sz="0" w:space="0" w:color="auto"/>
      </w:divBdr>
    </w:div>
    <w:div w:id="276186371">
      <w:bodyDiv w:val="1"/>
      <w:marLeft w:val="0"/>
      <w:marRight w:val="0"/>
      <w:marTop w:val="0"/>
      <w:marBottom w:val="0"/>
      <w:divBdr>
        <w:top w:val="none" w:sz="0" w:space="0" w:color="auto"/>
        <w:left w:val="none" w:sz="0" w:space="0" w:color="auto"/>
        <w:bottom w:val="none" w:sz="0" w:space="0" w:color="auto"/>
        <w:right w:val="none" w:sz="0" w:space="0" w:color="auto"/>
      </w:divBdr>
    </w:div>
    <w:div w:id="276256661">
      <w:bodyDiv w:val="1"/>
      <w:marLeft w:val="0"/>
      <w:marRight w:val="0"/>
      <w:marTop w:val="0"/>
      <w:marBottom w:val="0"/>
      <w:divBdr>
        <w:top w:val="none" w:sz="0" w:space="0" w:color="auto"/>
        <w:left w:val="none" w:sz="0" w:space="0" w:color="auto"/>
        <w:bottom w:val="none" w:sz="0" w:space="0" w:color="auto"/>
        <w:right w:val="none" w:sz="0" w:space="0" w:color="auto"/>
      </w:divBdr>
    </w:div>
    <w:div w:id="276448226">
      <w:bodyDiv w:val="1"/>
      <w:marLeft w:val="0"/>
      <w:marRight w:val="0"/>
      <w:marTop w:val="0"/>
      <w:marBottom w:val="0"/>
      <w:divBdr>
        <w:top w:val="none" w:sz="0" w:space="0" w:color="auto"/>
        <w:left w:val="none" w:sz="0" w:space="0" w:color="auto"/>
        <w:bottom w:val="none" w:sz="0" w:space="0" w:color="auto"/>
        <w:right w:val="none" w:sz="0" w:space="0" w:color="auto"/>
      </w:divBdr>
    </w:div>
    <w:div w:id="276523426">
      <w:bodyDiv w:val="1"/>
      <w:marLeft w:val="0"/>
      <w:marRight w:val="0"/>
      <w:marTop w:val="0"/>
      <w:marBottom w:val="0"/>
      <w:divBdr>
        <w:top w:val="none" w:sz="0" w:space="0" w:color="auto"/>
        <w:left w:val="none" w:sz="0" w:space="0" w:color="auto"/>
        <w:bottom w:val="none" w:sz="0" w:space="0" w:color="auto"/>
        <w:right w:val="none" w:sz="0" w:space="0" w:color="auto"/>
      </w:divBdr>
    </w:div>
    <w:div w:id="276572778">
      <w:bodyDiv w:val="1"/>
      <w:marLeft w:val="0"/>
      <w:marRight w:val="0"/>
      <w:marTop w:val="0"/>
      <w:marBottom w:val="0"/>
      <w:divBdr>
        <w:top w:val="none" w:sz="0" w:space="0" w:color="auto"/>
        <w:left w:val="none" w:sz="0" w:space="0" w:color="auto"/>
        <w:bottom w:val="none" w:sz="0" w:space="0" w:color="auto"/>
        <w:right w:val="none" w:sz="0" w:space="0" w:color="auto"/>
      </w:divBdr>
    </w:div>
    <w:div w:id="276714137">
      <w:bodyDiv w:val="1"/>
      <w:marLeft w:val="0"/>
      <w:marRight w:val="0"/>
      <w:marTop w:val="0"/>
      <w:marBottom w:val="0"/>
      <w:divBdr>
        <w:top w:val="none" w:sz="0" w:space="0" w:color="auto"/>
        <w:left w:val="none" w:sz="0" w:space="0" w:color="auto"/>
        <w:bottom w:val="none" w:sz="0" w:space="0" w:color="auto"/>
        <w:right w:val="none" w:sz="0" w:space="0" w:color="auto"/>
      </w:divBdr>
    </w:div>
    <w:div w:id="276760994">
      <w:bodyDiv w:val="1"/>
      <w:marLeft w:val="0"/>
      <w:marRight w:val="0"/>
      <w:marTop w:val="0"/>
      <w:marBottom w:val="0"/>
      <w:divBdr>
        <w:top w:val="none" w:sz="0" w:space="0" w:color="auto"/>
        <w:left w:val="none" w:sz="0" w:space="0" w:color="auto"/>
        <w:bottom w:val="none" w:sz="0" w:space="0" w:color="auto"/>
        <w:right w:val="none" w:sz="0" w:space="0" w:color="auto"/>
      </w:divBdr>
    </w:div>
    <w:div w:id="277180560">
      <w:bodyDiv w:val="1"/>
      <w:marLeft w:val="0"/>
      <w:marRight w:val="0"/>
      <w:marTop w:val="0"/>
      <w:marBottom w:val="0"/>
      <w:divBdr>
        <w:top w:val="none" w:sz="0" w:space="0" w:color="auto"/>
        <w:left w:val="none" w:sz="0" w:space="0" w:color="auto"/>
        <w:bottom w:val="none" w:sz="0" w:space="0" w:color="auto"/>
        <w:right w:val="none" w:sz="0" w:space="0" w:color="auto"/>
      </w:divBdr>
    </w:div>
    <w:div w:id="277221527">
      <w:bodyDiv w:val="1"/>
      <w:marLeft w:val="0"/>
      <w:marRight w:val="0"/>
      <w:marTop w:val="0"/>
      <w:marBottom w:val="0"/>
      <w:divBdr>
        <w:top w:val="none" w:sz="0" w:space="0" w:color="auto"/>
        <w:left w:val="none" w:sz="0" w:space="0" w:color="auto"/>
        <w:bottom w:val="none" w:sz="0" w:space="0" w:color="auto"/>
        <w:right w:val="none" w:sz="0" w:space="0" w:color="auto"/>
      </w:divBdr>
    </w:div>
    <w:div w:id="277294289">
      <w:bodyDiv w:val="1"/>
      <w:marLeft w:val="0"/>
      <w:marRight w:val="0"/>
      <w:marTop w:val="0"/>
      <w:marBottom w:val="0"/>
      <w:divBdr>
        <w:top w:val="none" w:sz="0" w:space="0" w:color="auto"/>
        <w:left w:val="none" w:sz="0" w:space="0" w:color="auto"/>
        <w:bottom w:val="none" w:sz="0" w:space="0" w:color="auto"/>
        <w:right w:val="none" w:sz="0" w:space="0" w:color="auto"/>
      </w:divBdr>
    </w:div>
    <w:div w:id="277301841">
      <w:bodyDiv w:val="1"/>
      <w:marLeft w:val="0"/>
      <w:marRight w:val="0"/>
      <w:marTop w:val="0"/>
      <w:marBottom w:val="0"/>
      <w:divBdr>
        <w:top w:val="none" w:sz="0" w:space="0" w:color="auto"/>
        <w:left w:val="none" w:sz="0" w:space="0" w:color="auto"/>
        <w:bottom w:val="none" w:sz="0" w:space="0" w:color="auto"/>
        <w:right w:val="none" w:sz="0" w:space="0" w:color="auto"/>
      </w:divBdr>
    </w:div>
    <w:div w:id="277301880">
      <w:bodyDiv w:val="1"/>
      <w:marLeft w:val="0"/>
      <w:marRight w:val="0"/>
      <w:marTop w:val="0"/>
      <w:marBottom w:val="0"/>
      <w:divBdr>
        <w:top w:val="none" w:sz="0" w:space="0" w:color="auto"/>
        <w:left w:val="none" w:sz="0" w:space="0" w:color="auto"/>
        <w:bottom w:val="none" w:sz="0" w:space="0" w:color="auto"/>
        <w:right w:val="none" w:sz="0" w:space="0" w:color="auto"/>
      </w:divBdr>
    </w:div>
    <w:div w:id="277374529">
      <w:bodyDiv w:val="1"/>
      <w:marLeft w:val="0"/>
      <w:marRight w:val="0"/>
      <w:marTop w:val="0"/>
      <w:marBottom w:val="0"/>
      <w:divBdr>
        <w:top w:val="none" w:sz="0" w:space="0" w:color="auto"/>
        <w:left w:val="none" w:sz="0" w:space="0" w:color="auto"/>
        <w:bottom w:val="none" w:sz="0" w:space="0" w:color="auto"/>
        <w:right w:val="none" w:sz="0" w:space="0" w:color="auto"/>
      </w:divBdr>
    </w:div>
    <w:div w:id="277378248">
      <w:bodyDiv w:val="1"/>
      <w:marLeft w:val="0"/>
      <w:marRight w:val="0"/>
      <w:marTop w:val="0"/>
      <w:marBottom w:val="0"/>
      <w:divBdr>
        <w:top w:val="none" w:sz="0" w:space="0" w:color="auto"/>
        <w:left w:val="none" w:sz="0" w:space="0" w:color="auto"/>
        <w:bottom w:val="none" w:sz="0" w:space="0" w:color="auto"/>
        <w:right w:val="none" w:sz="0" w:space="0" w:color="auto"/>
      </w:divBdr>
    </w:div>
    <w:div w:id="277420011">
      <w:bodyDiv w:val="1"/>
      <w:marLeft w:val="0"/>
      <w:marRight w:val="0"/>
      <w:marTop w:val="0"/>
      <w:marBottom w:val="0"/>
      <w:divBdr>
        <w:top w:val="none" w:sz="0" w:space="0" w:color="auto"/>
        <w:left w:val="none" w:sz="0" w:space="0" w:color="auto"/>
        <w:bottom w:val="none" w:sz="0" w:space="0" w:color="auto"/>
        <w:right w:val="none" w:sz="0" w:space="0" w:color="auto"/>
      </w:divBdr>
    </w:div>
    <w:div w:id="277488457">
      <w:bodyDiv w:val="1"/>
      <w:marLeft w:val="0"/>
      <w:marRight w:val="0"/>
      <w:marTop w:val="0"/>
      <w:marBottom w:val="0"/>
      <w:divBdr>
        <w:top w:val="none" w:sz="0" w:space="0" w:color="auto"/>
        <w:left w:val="none" w:sz="0" w:space="0" w:color="auto"/>
        <w:bottom w:val="none" w:sz="0" w:space="0" w:color="auto"/>
        <w:right w:val="none" w:sz="0" w:space="0" w:color="auto"/>
      </w:divBdr>
    </w:div>
    <w:div w:id="277493832">
      <w:bodyDiv w:val="1"/>
      <w:marLeft w:val="0"/>
      <w:marRight w:val="0"/>
      <w:marTop w:val="0"/>
      <w:marBottom w:val="0"/>
      <w:divBdr>
        <w:top w:val="none" w:sz="0" w:space="0" w:color="auto"/>
        <w:left w:val="none" w:sz="0" w:space="0" w:color="auto"/>
        <w:bottom w:val="none" w:sz="0" w:space="0" w:color="auto"/>
        <w:right w:val="none" w:sz="0" w:space="0" w:color="auto"/>
      </w:divBdr>
    </w:div>
    <w:div w:id="277570663">
      <w:bodyDiv w:val="1"/>
      <w:marLeft w:val="0"/>
      <w:marRight w:val="0"/>
      <w:marTop w:val="0"/>
      <w:marBottom w:val="0"/>
      <w:divBdr>
        <w:top w:val="none" w:sz="0" w:space="0" w:color="auto"/>
        <w:left w:val="none" w:sz="0" w:space="0" w:color="auto"/>
        <w:bottom w:val="none" w:sz="0" w:space="0" w:color="auto"/>
        <w:right w:val="none" w:sz="0" w:space="0" w:color="auto"/>
      </w:divBdr>
    </w:div>
    <w:div w:id="277611160">
      <w:bodyDiv w:val="1"/>
      <w:marLeft w:val="0"/>
      <w:marRight w:val="0"/>
      <w:marTop w:val="0"/>
      <w:marBottom w:val="0"/>
      <w:divBdr>
        <w:top w:val="none" w:sz="0" w:space="0" w:color="auto"/>
        <w:left w:val="none" w:sz="0" w:space="0" w:color="auto"/>
        <w:bottom w:val="none" w:sz="0" w:space="0" w:color="auto"/>
        <w:right w:val="none" w:sz="0" w:space="0" w:color="auto"/>
      </w:divBdr>
    </w:div>
    <w:div w:id="277838623">
      <w:bodyDiv w:val="1"/>
      <w:marLeft w:val="0"/>
      <w:marRight w:val="0"/>
      <w:marTop w:val="0"/>
      <w:marBottom w:val="0"/>
      <w:divBdr>
        <w:top w:val="none" w:sz="0" w:space="0" w:color="auto"/>
        <w:left w:val="none" w:sz="0" w:space="0" w:color="auto"/>
        <w:bottom w:val="none" w:sz="0" w:space="0" w:color="auto"/>
        <w:right w:val="none" w:sz="0" w:space="0" w:color="auto"/>
      </w:divBdr>
    </w:div>
    <w:div w:id="277952557">
      <w:bodyDiv w:val="1"/>
      <w:marLeft w:val="0"/>
      <w:marRight w:val="0"/>
      <w:marTop w:val="0"/>
      <w:marBottom w:val="0"/>
      <w:divBdr>
        <w:top w:val="none" w:sz="0" w:space="0" w:color="auto"/>
        <w:left w:val="none" w:sz="0" w:space="0" w:color="auto"/>
        <w:bottom w:val="none" w:sz="0" w:space="0" w:color="auto"/>
        <w:right w:val="none" w:sz="0" w:space="0" w:color="auto"/>
      </w:divBdr>
    </w:div>
    <w:div w:id="277953800">
      <w:bodyDiv w:val="1"/>
      <w:marLeft w:val="0"/>
      <w:marRight w:val="0"/>
      <w:marTop w:val="0"/>
      <w:marBottom w:val="0"/>
      <w:divBdr>
        <w:top w:val="none" w:sz="0" w:space="0" w:color="auto"/>
        <w:left w:val="none" w:sz="0" w:space="0" w:color="auto"/>
        <w:bottom w:val="none" w:sz="0" w:space="0" w:color="auto"/>
        <w:right w:val="none" w:sz="0" w:space="0" w:color="auto"/>
      </w:divBdr>
    </w:div>
    <w:div w:id="277954448">
      <w:bodyDiv w:val="1"/>
      <w:marLeft w:val="0"/>
      <w:marRight w:val="0"/>
      <w:marTop w:val="0"/>
      <w:marBottom w:val="0"/>
      <w:divBdr>
        <w:top w:val="none" w:sz="0" w:space="0" w:color="auto"/>
        <w:left w:val="none" w:sz="0" w:space="0" w:color="auto"/>
        <w:bottom w:val="none" w:sz="0" w:space="0" w:color="auto"/>
        <w:right w:val="none" w:sz="0" w:space="0" w:color="auto"/>
      </w:divBdr>
    </w:div>
    <w:div w:id="278028484">
      <w:bodyDiv w:val="1"/>
      <w:marLeft w:val="0"/>
      <w:marRight w:val="0"/>
      <w:marTop w:val="0"/>
      <w:marBottom w:val="0"/>
      <w:divBdr>
        <w:top w:val="none" w:sz="0" w:space="0" w:color="auto"/>
        <w:left w:val="none" w:sz="0" w:space="0" w:color="auto"/>
        <w:bottom w:val="none" w:sz="0" w:space="0" w:color="auto"/>
        <w:right w:val="none" w:sz="0" w:space="0" w:color="auto"/>
      </w:divBdr>
    </w:div>
    <w:div w:id="278145512">
      <w:bodyDiv w:val="1"/>
      <w:marLeft w:val="0"/>
      <w:marRight w:val="0"/>
      <w:marTop w:val="0"/>
      <w:marBottom w:val="0"/>
      <w:divBdr>
        <w:top w:val="none" w:sz="0" w:space="0" w:color="auto"/>
        <w:left w:val="none" w:sz="0" w:space="0" w:color="auto"/>
        <w:bottom w:val="none" w:sz="0" w:space="0" w:color="auto"/>
        <w:right w:val="none" w:sz="0" w:space="0" w:color="auto"/>
      </w:divBdr>
    </w:div>
    <w:div w:id="278149006">
      <w:bodyDiv w:val="1"/>
      <w:marLeft w:val="0"/>
      <w:marRight w:val="0"/>
      <w:marTop w:val="0"/>
      <w:marBottom w:val="0"/>
      <w:divBdr>
        <w:top w:val="none" w:sz="0" w:space="0" w:color="auto"/>
        <w:left w:val="none" w:sz="0" w:space="0" w:color="auto"/>
        <w:bottom w:val="none" w:sz="0" w:space="0" w:color="auto"/>
        <w:right w:val="none" w:sz="0" w:space="0" w:color="auto"/>
      </w:divBdr>
    </w:div>
    <w:div w:id="278225982">
      <w:bodyDiv w:val="1"/>
      <w:marLeft w:val="0"/>
      <w:marRight w:val="0"/>
      <w:marTop w:val="0"/>
      <w:marBottom w:val="0"/>
      <w:divBdr>
        <w:top w:val="none" w:sz="0" w:space="0" w:color="auto"/>
        <w:left w:val="none" w:sz="0" w:space="0" w:color="auto"/>
        <w:bottom w:val="none" w:sz="0" w:space="0" w:color="auto"/>
        <w:right w:val="none" w:sz="0" w:space="0" w:color="auto"/>
      </w:divBdr>
    </w:div>
    <w:div w:id="278339596">
      <w:bodyDiv w:val="1"/>
      <w:marLeft w:val="0"/>
      <w:marRight w:val="0"/>
      <w:marTop w:val="0"/>
      <w:marBottom w:val="0"/>
      <w:divBdr>
        <w:top w:val="none" w:sz="0" w:space="0" w:color="auto"/>
        <w:left w:val="none" w:sz="0" w:space="0" w:color="auto"/>
        <w:bottom w:val="none" w:sz="0" w:space="0" w:color="auto"/>
        <w:right w:val="none" w:sz="0" w:space="0" w:color="auto"/>
      </w:divBdr>
    </w:div>
    <w:div w:id="278417500">
      <w:bodyDiv w:val="1"/>
      <w:marLeft w:val="0"/>
      <w:marRight w:val="0"/>
      <w:marTop w:val="0"/>
      <w:marBottom w:val="0"/>
      <w:divBdr>
        <w:top w:val="none" w:sz="0" w:space="0" w:color="auto"/>
        <w:left w:val="none" w:sz="0" w:space="0" w:color="auto"/>
        <w:bottom w:val="none" w:sz="0" w:space="0" w:color="auto"/>
        <w:right w:val="none" w:sz="0" w:space="0" w:color="auto"/>
      </w:divBdr>
    </w:div>
    <w:div w:id="278418565">
      <w:bodyDiv w:val="1"/>
      <w:marLeft w:val="0"/>
      <w:marRight w:val="0"/>
      <w:marTop w:val="0"/>
      <w:marBottom w:val="0"/>
      <w:divBdr>
        <w:top w:val="none" w:sz="0" w:space="0" w:color="auto"/>
        <w:left w:val="none" w:sz="0" w:space="0" w:color="auto"/>
        <w:bottom w:val="none" w:sz="0" w:space="0" w:color="auto"/>
        <w:right w:val="none" w:sz="0" w:space="0" w:color="auto"/>
      </w:divBdr>
    </w:div>
    <w:div w:id="278494356">
      <w:bodyDiv w:val="1"/>
      <w:marLeft w:val="0"/>
      <w:marRight w:val="0"/>
      <w:marTop w:val="0"/>
      <w:marBottom w:val="0"/>
      <w:divBdr>
        <w:top w:val="none" w:sz="0" w:space="0" w:color="auto"/>
        <w:left w:val="none" w:sz="0" w:space="0" w:color="auto"/>
        <w:bottom w:val="none" w:sz="0" w:space="0" w:color="auto"/>
        <w:right w:val="none" w:sz="0" w:space="0" w:color="auto"/>
      </w:divBdr>
    </w:div>
    <w:div w:id="278533325">
      <w:bodyDiv w:val="1"/>
      <w:marLeft w:val="0"/>
      <w:marRight w:val="0"/>
      <w:marTop w:val="0"/>
      <w:marBottom w:val="0"/>
      <w:divBdr>
        <w:top w:val="none" w:sz="0" w:space="0" w:color="auto"/>
        <w:left w:val="none" w:sz="0" w:space="0" w:color="auto"/>
        <w:bottom w:val="none" w:sz="0" w:space="0" w:color="auto"/>
        <w:right w:val="none" w:sz="0" w:space="0" w:color="auto"/>
      </w:divBdr>
    </w:div>
    <w:div w:id="278534672">
      <w:bodyDiv w:val="1"/>
      <w:marLeft w:val="0"/>
      <w:marRight w:val="0"/>
      <w:marTop w:val="0"/>
      <w:marBottom w:val="0"/>
      <w:divBdr>
        <w:top w:val="none" w:sz="0" w:space="0" w:color="auto"/>
        <w:left w:val="none" w:sz="0" w:space="0" w:color="auto"/>
        <w:bottom w:val="none" w:sz="0" w:space="0" w:color="auto"/>
        <w:right w:val="none" w:sz="0" w:space="0" w:color="auto"/>
      </w:divBdr>
    </w:div>
    <w:div w:id="278683931">
      <w:bodyDiv w:val="1"/>
      <w:marLeft w:val="0"/>
      <w:marRight w:val="0"/>
      <w:marTop w:val="0"/>
      <w:marBottom w:val="0"/>
      <w:divBdr>
        <w:top w:val="none" w:sz="0" w:space="0" w:color="auto"/>
        <w:left w:val="none" w:sz="0" w:space="0" w:color="auto"/>
        <w:bottom w:val="none" w:sz="0" w:space="0" w:color="auto"/>
        <w:right w:val="none" w:sz="0" w:space="0" w:color="auto"/>
      </w:divBdr>
    </w:div>
    <w:div w:id="278874974">
      <w:bodyDiv w:val="1"/>
      <w:marLeft w:val="0"/>
      <w:marRight w:val="0"/>
      <w:marTop w:val="0"/>
      <w:marBottom w:val="0"/>
      <w:divBdr>
        <w:top w:val="none" w:sz="0" w:space="0" w:color="auto"/>
        <w:left w:val="none" w:sz="0" w:space="0" w:color="auto"/>
        <w:bottom w:val="none" w:sz="0" w:space="0" w:color="auto"/>
        <w:right w:val="none" w:sz="0" w:space="0" w:color="auto"/>
      </w:divBdr>
    </w:div>
    <w:div w:id="278880188">
      <w:bodyDiv w:val="1"/>
      <w:marLeft w:val="0"/>
      <w:marRight w:val="0"/>
      <w:marTop w:val="0"/>
      <w:marBottom w:val="0"/>
      <w:divBdr>
        <w:top w:val="none" w:sz="0" w:space="0" w:color="auto"/>
        <w:left w:val="none" w:sz="0" w:space="0" w:color="auto"/>
        <w:bottom w:val="none" w:sz="0" w:space="0" w:color="auto"/>
        <w:right w:val="none" w:sz="0" w:space="0" w:color="auto"/>
      </w:divBdr>
    </w:div>
    <w:div w:id="278921369">
      <w:bodyDiv w:val="1"/>
      <w:marLeft w:val="0"/>
      <w:marRight w:val="0"/>
      <w:marTop w:val="0"/>
      <w:marBottom w:val="0"/>
      <w:divBdr>
        <w:top w:val="none" w:sz="0" w:space="0" w:color="auto"/>
        <w:left w:val="none" w:sz="0" w:space="0" w:color="auto"/>
        <w:bottom w:val="none" w:sz="0" w:space="0" w:color="auto"/>
        <w:right w:val="none" w:sz="0" w:space="0" w:color="auto"/>
      </w:divBdr>
    </w:div>
    <w:div w:id="278950803">
      <w:bodyDiv w:val="1"/>
      <w:marLeft w:val="0"/>
      <w:marRight w:val="0"/>
      <w:marTop w:val="0"/>
      <w:marBottom w:val="0"/>
      <w:divBdr>
        <w:top w:val="none" w:sz="0" w:space="0" w:color="auto"/>
        <w:left w:val="none" w:sz="0" w:space="0" w:color="auto"/>
        <w:bottom w:val="none" w:sz="0" w:space="0" w:color="auto"/>
        <w:right w:val="none" w:sz="0" w:space="0" w:color="auto"/>
      </w:divBdr>
    </w:div>
    <w:div w:id="279143330">
      <w:bodyDiv w:val="1"/>
      <w:marLeft w:val="0"/>
      <w:marRight w:val="0"/>
      <w:marTop w:val="0"/>
      <w:marBottom w:val="0"/>
      <w:divBdr>
        <w:top w:val="none" w:sz="0" w:space="0" w:color="auto"/>
        <w:left w:val="none" w:sz="0" w:space="0" w:color="auto"/>
        <w:bottom w:val="none" w:sz="0" w:space="0" w:color="auto"/>
        <w:right w:val="none" w:sz="0" w:space="0" w:color="auto"/>
      </w:divBdr>
    </w:div>
    <w:div w:id="279146114">
      <w:bodyDiv w:val="1"/>
      <w:marLeft w:val="0"/>
      <w:marRight w:val="0"/>
      <w:marTop w:val="0"/>
      <w:marBottom w:val="0"/>
      <w:divBdr>
        <w:top w:val="none" w:sz="0" w:space="0" w:color="auto"/>
        <w:left w:val="none" w:sz="0" w:space="0" w:color="auto"/>
        <w:bottom w:val="none" w:sz="0" w:space="0" w:color="auto"/>
        <w:right w:val="none" w:sz="0" w:space="0" w:color="auto"/>
      </w:divBdr>
    </w:div>
    <w:div w:id="279186742">
      <w:bodyDiv w:val="1"/>
      <w:marLeft w:val="0"/>
      <w:marRight w:val="0"/>
      <w:marTop w:val="0"/>
      <w:marBottom w:val="0"/>
      <w:divBdr>
        <w:top w:val="none" w:sz="0" w:space="0" w:color="auto"/>
        <w:left w:val="none" w:sz="0" w:space="0" w:color="auto"/>
        <w:bottom w:val="none" w:sz="0" w:space="0" w:color="auto"/>
        <w:right w:val="none" w:sz="0" w:space="0" w:color="auto"/>
      </w:divBdr>
    </w:div>
    <w:div w:id="279192882">
      <w:bodyDiv w:val="1"/>
      <w:marLeft w:val="0"/>
      <w:marRight w:val="0"/>
      <w:marTop w:val="0"/>
      <w:marBottom w:val="0"/>
      <w:divBdr>
        <w:top w:val="none" w:sz="0" w:space="0" w:color="auto"/>
        <w:left w:val="none" w:sz="0" w:space="0" w:color="auto"/>
        <w:bottom w:val="none" w:sz="0" w:space="0" w:color="auto"/>
        <w:right w:val="none" w:sz="0" w:space="0" w:color="auto"/>
      </w:divBdr>
    </w:div>
    <w:div w:id="279384979">
      <w:bodyDiv w:val="1"/>
      <w:marLeft w:val="0"/>
      <w:marRight w:val="0"/>
      <w:marTop w:val="0"/>
      <w:marBottom w:val="0"/>
      <w:divBdr>
        <w:top w:val="none" w:sz="0" w:space="0" w:color="auto"/>
        <w:left w:val="none" w:sz="0" w:space="0" w:color="auto"/>
        <w:bottom w:val="none" w:sz="0" w:space="0" w:color="auto"/>
        <w:right w:val="none" w:sz="0" w:space="0" w:color="auto"/>
      </w:divBdr>
    </w:div>
    <w:div w:id="279528388">
      <w:bodyDiv w:val="1"/>
      <w:marLeft w:val="0"/>
      <w:marRight w:val="0"/>
      <w:marTop w:val="0"/>
      <w:marBottom w:val="0"/>
      <w:divBdr>
        <w:top w:val="none" w:sz="0" w:space="0" w:color="auto"/>
        <w:left w:val="none" w:sz="0" w:space="0" w:color="auto"/>
        <w:bottom w:val="none" w:sz="0" w:space="0" w:color="auto"/>
        <w:right w:val="none" w:sz="0" w:space="0" w:color="auto"/>
      </w:divBdr>
    </w:div>
    <w:div w:id="279647186">
      <w:bodyDiv w:val="1"/>
      <w:marLeft w:val="0"/>
      <w:marRight w:val="0"/>
      <w:marTop w:val="0"/>
      <w:marBottom w:val="0"/>
      <w:divBdr>
        <w:top w:val="none" w:sz="0" w:space="0" w:color="auto"/>
        <w:left w:val="none" w:sz="0" w:space="0" w:color="auto"/>
        <w:bottom w:val="none" w:sz="0" w:space="0" w:color="auto"/>
        <w:right w:val="none" w:sz="0" w:space="0" w:color="auto"/>
      </w:divBdr>
    </w:div>
    <w:div w:id="279802136">
      <w:bodyDiv w:val="1"/>
      <w:marLeft w:val="0"/>
      <w:marRight w:val="0"/>
      <w:marTop w:val="0"/>
      <w:marBottom w:val="0"/>
      <w:divBdr>
        <w:top w:val="none" w:sz="0" w:space="0" w:color="auto"/>
        <w:left w:val="none" w:sz="0" w:space="0" w:color="auto"/>
        <w:bottom w:val="none" w:sz="0" w:space="0" w:color="auto"/>
        <w:right w:val="none" w:sz="0" w:space="0" w:color="auto"/>
      </w:divBdr>
    </w:div>
    <w:div w:id="280035663">
      <w:bodyDiv w:val="1"/>
      <w:marLeft w:val="0"/>
      <w:marRight w:val="0"/>
      <w:marTop w:val="0"/>
      <w:marBottom w:val="0"/>
      <w:divBdr>
        <w:top w:val="none" w:sz="0" w:space="0" w:color="auto"/>
        <w:left w:val="none" w:sz="0" w:space="0" w:color="auto"/>
        <w:bottom w:val="none" w:sz="0" w:space="0" w:color="auto"/>
        <w:right w:val="none" w:sz="0" w:space="0" w:color="auto"/>
      </w:divBdr>
    </w:div>
    <w:div w:id="280109878">
      <w:bodyDiv w:val="1"/>
      <w:marLeft w:val="0"/>
      <w:marRight w:val="0"/>
      <w:marTop w:val="0"/>
      <w:marBottom w:val="0"/>
      <w:divBdr>
        <w:top w:val="none" w:sz="0" w:space="0" w:color="auto"/>
        <w:left w:val="none" w:sz="0" w:space="0" w:color="auto"/>
        <w:bottom w:val="none" w:sz="0" w:space="0" w:color="auto"/>
        <w:right w:val="none" w:sz="0" w:space="0" w:color="auto"/>
      </w:divBdr>
    </w:div>
    <w:div w:id="280116625">
      <w:bodyDiv w:val="1"/>
      <w:marLeft w:val="0"/>
      <w:marRight w:val="0"/>
      <w:marTop w:val="0"/>
      <w:marBottom w:val="0"/>
      <w:divBdr>
        <w:top w:val="none" w:sz="0" w:space="0" w:color="auto"/>
        <w:left w:val="none" w:sz="0" w:space="0" w:color="auto"/>
        <w:bottom w:val="none" w:sz="0" w:space="0" w:color="auto"/>
        <w:right w:val="none" w:sz="0" w:space="0" w:color="auto"/>
      </w:divBdr>
    </w:div>
    <w:div w:id="280116911">
      <w:bodyDiv w:val="1"/>
      <w:marLeft w:val="0"/>
      <w:marRight w:val="0"/>
      <w:marTop w:val="0"/>
      <w:marBottom w:val="0"/>
      <w:divBdr>
        <w:top w:val="none" w:sz="0" w:space="0" w:color="auto"/>
        <w:left w:val="none" w:sz="0" w:space="0" w:color="auto"/>
        <w:bottom w:val="none" w:sz="0" w:space="0" w:color="auto"/>
        <w:right w:val="none" w:sz="0" w:space="0" w:color="auto"/>
      </w:divBdr>
    </w:div>
    <w:div w:id="280308801">
      <w:bodyDiv w:val="1"/>
      <w:marLeft w:val="0"/>
      <w:marRight w:val="0"/>
      <w:marTop w:val="0"/>
      <w:marBottom w:val="0"/>
      <w:divBdr>
        <w:top w:val="none" w:sz="0" w:space="0" w:color="auto"/>
        <w:left w:val="none" w:sz="0" w:space="0" w:color="auto"/>
        <w:bottom w:val="none" w:sz="0" w:space="0" w:color="auto"/>
        <w:right w:val="none" w:sz="0" w:space="0" w:color="auto"/>
      </w:divBdr>
    </w:div>
    <w:div w:id="280456433">
      <w:bodyDiv w:val="1"/>
      <w:marLeft w:val="0"/>
      <w:marRight w:val="0"/>
      <w:marTop w:val="0"/>
      <w:marBottom w:val="0"/>
      <w:divBdr>
        <w:top w:val="none" w:sz="0" w:space="0" w:color="auto"/>
        <w:left w:val="none" w:sz="0" w:space="0" w:color="auto"/>
        <w:bottom w:val="none" w:sz="0" w:space="0" w:color="auto"/>
        <w:right w:val="none" w:sz="0" w:space="0" w:color="auto"/>
      </w:divBdr>
    </w:div>
    <w:div w:id="280574011">
      <w:bodyDiv w:val="1"/>
      <w:marLeft w:val="0"/>
      <w:marRight w:val="0"/>
      <w:marTop w:val="0"/>
      <w:marBottom w:val="0"/>
      <w:divBdr>
        <w:top w:val="none" w:sz="0" w:space="0" w:color="auto"/>
        <w:left w:val="none" w:sz="0" w:space="0" w:color="auto"/>
        <w:bottom w:val="none" w:sz="0" w:space="0" w:color="auto"/>
        <w:right w:val="none" w:sz="0" w:space="0" w:color="auto"/>
      </w:divBdr>
    </w:div>
    <w:div w:id="280576574">
      <w:bodyDiv w:val="1"/>
      <w:marLeft w:val="0"/>
      <w:marRight w:val="0"/>
      <w:marTop w:val="0"/>
      <w:marBottom w:val="0"/>
      <w:divBdr>
        <w:top w:val="none" w:sz="0" w:space="0" w:color="auto"/>
        <w:left w:val="none" w:sz="0" w:space="0" w:color="auto"/>
        <w:bottom w:val="none" w:sz="0" w:space="0" w:color="auto"/>
        <w:right w:val="none" w:sz="0" w:space="0" w:color="auto"/>
      </w:divBdr>
    </w:div>
    <w:div w:id="280695397">
      <w:bodyDiv w:val="1"/>
      <w:marLeft w:val="0"/>
      <w:marRight w:val="0"/>
      <w:marTop w:val="0"/>
      <w:marBottom w:val="0"/>
      <w:divBdr>
        <w:top w:val="none" w:sz="0" w:space="0" w:color="auto"/>
        <w:left w:val="none" w:sz="0" w:space="0" w:color="auto"/>
        <w:bottom w:val="none" w:sz="0" w:space="0" w:color="auto"/>
        <w:right w:val="none" w:sz="0" w:space="0" w:color="auto"/>
      </w:divBdr>
    </w:div>
    <w:div w:id="280697673">
      <w:bodyDiv w:val="1"/>
      <w:marLeft w:val="0"/>
      <w:marRight w:val="0"/>
      <w:marTop w:val="0"/>
      <w:marBottom w:val="0"/>
      <w:divBdr>
        <w:top w:val="none" w:sz="0" w:space="0" w:color="auto"/>
        <w:left w:val="none" w:sz="0" w:space="0" w:color="auto"/>
        <w:bottom w:val="none" w:sz="0" w:space="0" w:color="auto"/>
        <w:right w:val="none" w:sz="0" w:space="0" w:color="auto"/>
      </w:divBdr>
    </w:div>
    <w:div w:id="280764279">
      <w:bodyDiv w:val="1"/>
      <w:marLeft w:val="0"/>
      <w:marRight w:val="0"/>
      <w:marTop w:val="0"/>
      <w:marBottom w:val="0"/>
      <w:divBdr>
        <w:top w:val="none" w:sz="0" w:space="0" w:color="auto"/>
        <w:left w:val="none" w:sz="0" w:space="0" w:color="auto"/>
        <w:bottom w:val="none" w:sz="0" w:space="0" w:color="auto"/>
        <w:right w:val="none" w:sz="0" w:space="0" w:color="auto"/>
      </w:divBdr>
    </w:div>
    <w:div w:id="280839180">
      <w:bodyDiv w:val="1"/>
      <w:marLeft w:val="0"/>
      <w:marRight w:val="0"/>
      <w:marTop w:val="0"/>
      <w:marBottom w:val="0"/>
      <w:divBdr>
        <w:top w:val="none" w:sz="0" w:space="0" w:color="auto"/>
        <w:left w:val="none" w:sz="0" w:space="0" w:color="auto"/>
        <w:bottom w:val="none" w:sz="0" w:space="0" w:color="auto"/>
        <w:right w:val="none" w:sz="0" w:space="0" w:color="auto"/>
      </w:divBdr>
    </w:div>
    <w:div w:id="281040318">
      <w:bodyDiv w:val="1"/>
      <w:marLeft w:val="0"/>
      <w:marRight w:val="0"/>
      <w:marTop w:val="0"/>
      <w:marBottom w:val="0"/>
      <w:divBdr>
        <w:top w:val="none" w:sz="0" w:space="0" w:color="auto"/>
        <w:left w:val="none" w:sz="0" w:space="0" w:color="auto"/>
        <w:bottom w:val="none" w:sz="0" w:space="0" w:color="auto"/>
        <w:right w:val="none" w:sz="0" w:space="0" w:color="auto"/>
      </w:divBdr>
    </w:div>
    <w:div w:id="281151325">
      <w:bodyDiv w:val="1"/>
      <w:marLeft w:val="0"/>
      <w:marRight w:val="0"/>
      <w:marTop w:val="0"/>
      <w:marBottom w:val="0"/>
      <w:divBdr>
        <w:top w:val="none" w:sz="0" w:space="0" w:color="auto"/>
        <w:left w:val="none" w:sz="0" w:space="0" w:color="auto"/>
        <w:bottom w:val="none" w:sz="0" w:space="0" w:color="auto"/>
        <w:right w:val="none" w:sz="0" w:space="0" w:color="auto"/>
      </w:divBdr>
    </w:div>
    <w:div w:id="281157196">
      <w:bodyDiv w:val="1"/>
      <w:marLeft w:val="0"/>
      <w:marRight w:val="0"/>
      <w:marTop w:val="0"/>
      <w:marBottom w:val="0"/>
      <w:divBdr>
        <w:top w:val="none" w:sz="0" w:space="0" w:color="auto"/>
        <w:left w:val="none" w:sz="0" w:space="0" w:color="auto"/>
        <w:bottom w:val="none" w:sz="0" w:space="0" w:color="auto"/>
        <w:right w:val="none" w:sz="0" w:space="0" w:color="auto"/>
      </w:divBdr>
    </w:div>
    <w:div w:id="281302497">
      <w:bodyDiv w:val="1"/>
      <w:marLeft w:val="0"/>
      <w:marRight w:val="0"/>
      <w:marTop w:val="0"/>
      <w:marBottom w:val="0"/>
      <w:divBdr>
        <w:top w:val="none" w:sz="0" w:space="0" w:color="auto"/>
        <w:left w:val="none" w:sz="0" w:space="0" w:color="auto"/>
        <w:bottom w:val="none" w:sz="0" w:space="0" w:color="auto"/>
        <w:right w:val="none" w:sz="0" w:space="0" w:color="auto"/>
      </w:divBdr>
    </w:div>
    <w:div w:id="281349451">
      <w:bodyDiv w:val="1"/>
      <w:marLeft w:val="0"/>
      <w:marRight w:val="0"/>
      <w:marTop w:val="0"/>
      <w:marBottom w:val="0"/>
      <w:divBdr>
        <w:top w:val="none" w:sz="0" w:space="0" w:color="auto"/>
        <w:left w:val="none" w:sz="0" w:space="0" w:color="auto"/>
        <w:bottom w:val="none" w:sz="0" w:space="0" w:color="auto"/>
        <w:right w:val="none" w:sz="0" w:space="0" w:color="auto"/>
      </w:divBdr>
    </w:div>
    <w:div w:id="281499632">
      <w:bodyDiv w:val="1"/>
      <w:marLeft w:val="0"/>
      <w:marRight w:val="0"/>
      <w:marTop w:val="0"/>
      <w:marBottom w:val="0"/>
      <w:divBdr>
        <w:top w:val="none" w:sz="0" w:space="0" w:color="auto"/>
        <w:left w:val="none" w:sz="0" w:space="0" w:color="auto"/>
        <w:bottom w:val="none" w:sz="0" w:space="0" w:color="auto"/>
        <w:right w:val="none" w:sz="0" w:space="0" w:color="auto"/>
      </w:divBdr>
    </w:div>
    <w:div w:id="281502221">
      <w:bodyDiv w:val="1"/>
      <w:marLeft w:val="0"/>
      <w:marRight w:val="0"/>
      <w:marTop w:val="0"/>
      <w:marBottom w:val="0"/>
      <w:divBdr>
        <w:top w:val="none" w:sz="0" w:space="0" w:color="auto"/>
        <w:left w:val="none" w:sz="0" w:space="0" w:color="auto"/>
        <w:bottom w:val="none" w:sz="0" w:space="0" w:color="auto"/>
        <w:right w:val="none" w:sz="0" w:space="0" w:color="auto"/>
      </w:divBdr>
    </w:div>
    <w:div w:id="281574336">
      <w:bodyDiv w:val="1"/>
      <w:marLeft w:val="0"/>
      <w:marRight w:val="0"/>
      <w:marTop w:val="0"/>
      <w:marBottom w:val="0"/>
      <w:divBdr>
        <w:top w:val="none" w:sz="0" w:space="0" w:color="auto"/>
        <w:left w:val="none" w:sz="0" w:space="0" w:color="auto"/>
        <w:bottom w:val="none" w:sz="0" w:space="0" w:color="auto"/>
        <w:right w:val="none" w:sz="0" w:space="0" w:color="auto"/>
      </w:divBdr>
    </w:div>
    <w:div w:id="281613022">
      <w:bodyDiv w:val="1"/>
      <w:marLeft w:val="0"/>
      <w:marRight w:val="0"/>
      <w:marTop w:val="0"/>
      <w:marBottom w:val="0"/>
      <w:divBdr>
        <w:top w:val="none" w:sz="0" w:space="0" w:color="auto"/>
        <w:left w:val="none" w:sz="0" w:space="0" w:color="auto"/>
        <w:bottom w:val="none" w:sz="0" w:space="0" w:color="auto"/>
        <w:right w:val="none" w:sz="0" w:space="0" w:color="auto"/>
      </w:divBdr>
    </w:div>
    <w:div w:id="281615959">
      <w:bodyDiv w:val="1"/>
      <w:marLeft w:val="0"/>
      <w:marRight w:val="0"/>
      <w:marTop w:val="0"/>
      <w:marBottom w:val="0"/>
      <w:divBdr>
        <w:top w:val="none" w:sz="0" w:space="0" w:color="auto"/>
        <w:left w:val="none" w:sz="0" w:space="0" w:color="auto"/>
        <w:bottom w:val="none" w:sz="0" w:space="0" w:color="auto"/>
        <w:right w:val="none" w:sz="0" w:space="0" w:color="auto"/>
      </w:divBdr>
    </w:div>
    <w:div w:id="281619575">
      <w:bodyDiv w:val="1"/>
      <w:marLeft w:val="0"/>
      <w:marRight w:val="0"/>
      <w:marTop w:val="0"/>
      <w:marBottom w:val="0"/>
      <w:divBdr>
        <w:top w:val="none" w:sz="0" w:space="0" w:color="auto"/>
        <w:left w:val="none" w:sz="0" w:space="0" w:color="auto"/>
        <w:bottom w:val="none" w:sz="0" w:space="0" w:color="auto"/>
        <w:right w:val="none" w:sz="0" w:space="0" w:color="auto"/>
      </w:divBdr>
    </w:div>
    <w:div w:id="281688241">
      <w:bodyDiv w:val="1"/>
      <w:marLeft w:val="0"/>
      <w:marRight w:val="0"/>
      <w:marTop w:val="0"/>
      <w:marBottom w:val="0"/>
      <w:divBdr>
        <w:top w:val="none" w:sz="0" w:space="0" w:color="auto"/>
        <w:left w:val="none" w:sz="0" w:space="0" w:color="auto"/>
        <w:bottom w:val="none" w:sz="0" w:space="0" w:color="auto"/>
        <w:right w:val="none" w:sz="0" w:space="0" w:color="auto"/>
      </w:divBdr>
    </w:div>
    <w:div w:id="281805911">
      <w:bodyDiv w:val="1"/>
      <w:marLeft w:val="0"/>
      <w:marRight w:val="0"/>
      <w:marTop w:val="0"/>
      <w:marBottom w:val="0"/>
      <w:divBdr>
        <w:top w:val="none" w:sz="0" w:space="0" w:color="auto"/>
        <w:left w:val="none" w:sz="0" w:space="0" w:color="auto"/>
        <w:bottom w:val="none" w:sz="0" w:space="0" w:color="auto"/>
        <w:right w:val="none" w:sz="0" w:space="0" w:color="auto"/>
      </w:divBdr>
    </w:div>
    <w:div w:id="281812111">
      <w:bodyDiv w:val="1"/>
      <w:marLeft w:val="0"/>
      <w:marRight w:val="0"/>
      <w:marTop w:val="0"/>
      <w:marBottom w:val="0"/>
      <w:divBdr>
        <w:top w:val="none" w:sz="0" w:space="0" w:color="auto"/>
        <w:left w:val="none" w:sz="0" w:space="0" w:color="auto"/>
        <w:bottom w:val="none" w:sz="0" w:space="0" w:color="auto"/>
        <w:right w:val="none" w:sz="0" w:space="0" w:color="auto"/>
      </w:divBdr>
    </w:div>
    <w:div w:id="281814277">
      <w:bodyDiv w:val="1"/>
      <w:marLeft w:val="0"/>
      <w:marRight w:val="0"/>
      <w:marTop w:val="0"/>
      <w:marBottom w:val="0"/>
      <w:divBdr>
        <w:top w:val="none" w:sz="0" w:space="0" w:color="auto"/>
        <w:left w:val="none" w:sz="0" w:space="0" w:color="auto"/>
        <w:bottom w:val="none" w:sz="0" w:space="0" w:color="auto"/>
        <w:right w:val="none" w:sz="0" w:space="0" w:color="auto"/>
      </w:divBdr>
    </w:div>
    <w:div w:id="281962488">
      <w:bodyDiv w:val="1"/>
      <w:marLeft w:val="0"/>
      <w:marRight w:val="0"/>
      <w:marTop w:val="0"/>
      <w:marBottom w:val="0"/>
      <w:divBdr>
        <w:top w:val="none" w:sz="0" w:space="0" w:color="auto"/>
        <w:left w:val="none" w:sz="0" w:space="0" w:color="auto"/>
        <w:bottom w:val="none" w:sz="0" w:space="0" w:color="auto"/>
        <w:right w:val="none" w:sz="0" w:space="0" w:color="auto"/>
      </w:divBdr>
    </w:div>
    <w:div w:id="281965755">
      <w:bodyDiv w:val="1"/>
      <w:marLeft w:val="0"/>
      <w:marRight w:val="0"/>
      <w:marTop w:val="0"/>
      <w:marBottom w:val="0"/>
      <w:divBdr>
        <w:top w:val="none" w:sz="0" w:space="0" w:color="auto"/>
        <w:left w:val="none" w:sz="0" w:space="0" w:color="auto"/>
        <w:bottom w:val="none" w:sz="0" w:space="0" w:color="auto"/>
        <w:right w:val="none" w:sz="0" w:space="0" w:color="auto"/>
      </w:divBdr>
    </w:div>
    <w:div w:id="282074487">
      <w:bodyDiv w:val="1"/>
      <w:marLeft w:val="0"/>
      <w:marRight w:val="0"/>
      <w:marTop w:val="0"/>
      <w:marBottom w:val="0"/>
      <w:divBdr>
        <w:top w:val="none" w:sz="0" w:space="0" w:color="auto"/>
        <w:left w:val="none" w:sz="0" w:space="0" w:color="auto"/>
        <w:bottom w:val="none" w:sz="0" w:space="0" w:color="auto"/>
        <w:right w:val="none" w:sz="0" w:space="0" w:color="auto"/>
      </w:divBdr>
    </w:div>
    <w:div w:id="282201307">
      <w:bodyDiv w:val="1"/>
      <w:marLeft w:val="0"/>
      <w:marRight w:val="0"/>
      <w:marTop w:val="0"/>
      <w:marBottom w:val="0"/>
      <w:divBdr>
        <w:top w:val="none" w:sz="0" w:space="0" w:color="auto"/>
        <w:left w:val="none" w:sz="0" w:space="0" w:color="auto"/>
        <w:bottom w:val="none" w:sz="0" w:space="0" w:color="auto"/>
        <w:right w:val="none" w:sz="0" w:space="0" w:color="auto"/>
      </w:divBdr>
    </w:div>
    <w:div w:id="282344950">
      <w:bodyDiv w:val="1"/>
      <w:marLeft w:val="0"/>
      <w:marRight w:val="0"/>
      <w:marTop w:val="0"/>
      <w:marBottom w:val="0"/>
      <w:divBdr>
        <w:top w:val="none" w:sz="0" w:space="0" w:color="auto"/>
        <w:left w:val="none" w:sz="0" w:space="0" w:color="auto"/>
        <w:bottom w:val="none" w:sz="0" w:space="0" w:color="auto"/>
        <w:right w:val="none" w:sz="0" w:space="0" w:color="auto"/>
      </w:divBdr>
    </w:div>
    <w:div w:id="282346348">
      <w:bodyDiv w:val="1"/>
      <w:marLeft w:val="0"/>
      <w:marRight w:val="0"/>
      <w:marTop w:val="0"/>
      <w:marBottom w:val="0"/>
      <w:divBdr>
        <w:top w:val="none" w:sz="0" w:space="0" w:color="auto"/>
        <w:left w:val="none" w:sz="0" w:space="0" w:color="auto"/>
        <w:bottom w:val="none" w:sz="0" w:space="0" w:color="auto"/>
        <w:right w:val="none" w:sz="0" w:space="0" w:color="auto"/>
      </w:divBdr>
    </w:div>
    <w:div w:id="282543436">
      <w:bodyDiv w:val="1"/>
      <w:marLeft w:val="0"/>
      <w:marRight w:val="0"/>
      <w:marTop w:val="0"/>
      <w:marBottom w:val="0"/>
      <w:divBdr>
        <w:top w:val="none" w:sz="0" w:space="0" w:color="auto"/>
        <w:left w:val="none" w:sz="0" w:space="0" w:color="auto"/>
        <w:bottom w:val="none" w:sz="0" w:space="0" w:color="auto"/>
        <w:right w:val="none" w:sz="0" w:space="0" w:color="auto"/>
      </w:divBdr>
    </w:div>
    <w:div w:id="282618612">
      <w:bodyDiv w:val="1"/>
      <w:marLeft w:val="0"/>
      <w:marRight w:val="0"/>
      <w:marTop w:val="0"/>
      <w:marBottom w:val="0"/>
      <w:divBdr>
        <w:top w:val="none" w:sz="0" w:space="0" w:color="auto"/>
        <w:left w:val="none" w:sz="0" w:space="0" w:color="auto"/>
        <w:bottom w:val="none" w:sz="0" w:space="0" w:color="auto"/>
        <w:right w:val="none" w:sz="0" w:space="0" w:color="auto"/>
      </w:divBdr>
    </w:div>
    <w:div w:id="282661683">
      <w:bodyDiv w:val="1"/>
      <w:marLeft w:val="0"/>
      <w:marRight w:val="0"/>
      <w:marTop w:val="0"/>
      <w:marBottom w:val="0"/>
      <w:divBdr>
        <w:top w:val="none" w:sz="0" w:space="0" w:color="auto"/>
        <w:left w:val="none" w:sz="0" w:space="0" w:color="auto"/>
        <w:bottom w:val="none" w:sz="0" w:space="0" w:color="auto"/>
        <w:right w:val="none" w:sz="0" w:space="0" w:color="auto"/>
      </w:divBdr>
    </w:div>
    <w:div w:id="282662761">
      <w:bodyDiv w:val="1"/>
      <w:marLeft w:val="0"/>
      <w:marRight w:val="0"/>
      <w:marTop w:val="0"/>
      <w:marBottom w:val="0"/>
      <w:divBdr>
        <w:top w:val="none" w:sz="0" w:space="0" w:color="auto"/>
        <w:left w:val="none" w:sz="0" w:space="0" w:color="auto"/>
        <w:bottom w:val="none" w:sz="0" w:space="0" w:color="auto"/>
        <w:right w:val="none" w:sz="0" w:space="0" w:color="auto"/>
      </w:divBdr>
    </w:div>
    <w:div w:id="282687242">
      <w:bodyDiv w:val="1"/>
      <w:marLeft w:val="0"/>
      <w:marRight w:val="0"/>
      <w:marTop w:val="0"/>
      <w:marBottom w:val="0"/>
      <w:divBdr>
        <w:top w:val="none" w:sz="0" w:space="0" w:color="auto"/>
        <w:left w:val="none" w:sz="0" w:space="0" w:color="auto"/>
        <w:bottom w:val="none" w:sz="0" w:space="0" w:color="auto"/>
        <w:right w:val="none" w:sz="0" w:space="0" w:color="auto"/>
      </w:divBdr>
    </w:div>
    <w:div w:id="282809995">
      <w:bodyDiv w:val="1"/>
      <w:marLeft w:val="0"/>
      <w:marRight w:val="0"/>
      <w:marTop w:val="0"/>
      <w:marBottom w:val="0"/>
      <w:divBdr>
        <w:top w:val="none" w:sz="0" w:space="0" w:color="auto"/>
        <w:left w:val="none" w:sz="0" w:space="0" w:color="auto"/>
        <w:bottom w:val="none" w:sz="0" w:space="0" w:color="auto"/>
        <w:right w:val="none" w:sz="0" w:space="0" w:color="auto"/>
      </w:divBdr>
    </w:div>
    <w:div w:id="282882263">
      <w:bodyDiv w:val="1"/>
      <w:marLeft w:val="0"/>
      <w:marRight w:val="0"/>
      <w:marTop w:val="0"/>
      <w:marBottom w:val="0"/>
      <w:divBdr>
        <w:top w:val="none" w:sz="0" w:space="0" w:color="auto"/>
        <w:left w:val="none" w:sz="0" w:space="0" w:color="auto"/>
        <w:bottom w:val="none" w:sz="0" w:space="0" w:color="auto"/>
        <w:right w:val="none" w:sz="0" w:space="0" w:color="auto"/>
      </w:divBdr>
    </w:div>
    <w:div w:id="282926204">
      <w:bodyDiv w:val="1"/>
      <w:marLeft w:val="0"/>
      <w:marRight w:val="0"/>
      <w:marTop w:val="0"/>
      <w:marBottom w:val="0"/>
      <w:divBdr>
        <w:top w:val="none" w:sz="0" w:space="0" w:color="auto"/>
        <w:left w:val="none" w:sz="0" w:space="0" w:color="auto"/>
        <w:bottom w:val="none" w:sz="0" w:space="0" w:color="auto"/>
        <w:right w:val="none" w:sz="0" w:space="0" w:color="auto"/>
      </w:divBdr>
    </w:div>
    <w:div w:id="282931059">
      <w:bodyDiv w:val="1"/>
      <w:marLeft w:val="0"/>
      <w:marRight w:val="0"/>
      <w:marTop w:val="0"/>
      <w:marBottom w:val="0"/>
      <w:divBdr>
        <w:top w:val="none" w:sz="0" w:space="0" w:color="auto"/>
        <w:left w:val="none" w:sz="0" w:space="0" w:color="auto"/>
        <w:bottom w:val="none" w:sz="0" w:space="0" w:color="auto"/>
        <w:right w:val="none" w:sz="0" w:space="0" w:color="auto"/>
      </w:divBdr>
    </w:div>
    <w:div w:id="283003651">
      <w:bodyDiv w:val="1"/>
      <w:marLeft w:val="0"/>
      <w:marRight w:val="0"/>
      <w:marTop w:val="0"/>
      <w:marBottom w:val="0"/>
      <w:divBdr>
        <w:top w:val="none" w:sz="0" w:space="0" w:color="auto"/>
        <w:left w:val="none" w:sz="0" w:space="0" w:color="auto"/>
        <w:bottom w:val="none" w:sz="0" w:space="0" w:color="auto"/>
        <w:right w:val="none" w:sz="0" w:space="0" w:color="auto"/>
      </w:divBdr>
    </w:div>
    <w:div w:id="283003889">
      <w:bodyDiv w:val="1"/>
      <w:marLeft w:val="0"/>
      <w:marRight w:val="0"/>
      <w:marTop w:val="0"/>
      <w:marBottom w:val="0"/>
      <w:divBdr>
        <w:top w:val="none" w:sz="0" w:space="0" w:color="auto"/>
        <w:left w:val="none" w:sz="0" w:space="0" w:color="auto"/>
        <w:bottom w:val="none" w:sz="0" w:space="0" w:color="auto"/>
        <w:right w:val="none" w:sz="0" w:space="0" w:color="auto"/>
      </w:divBdr>
    </w:div>
    <w:div w:id="283271562">
      <w:bodyDiv w:val="1"/>
      <w:marLeft w:val="0"/>
      <w:marRight w:val="0"/>
      <w:marTop w:val="0"/>
      <w:marBottom w:val="0"/>
      <w:divBdr>
        <w:top w:val="none" w:sz="0" w:space="0" w:color="auto"/>
        <w:left w:val="none" w:sz="0" w:space="0" w:color="auto"/>
        <w:bottom w:val="none" w:sz="0" w:space="0" w:color="auto"/>
        <w:right w:val="none" w:sz="0" w:space="0" w:color="auto"/>
      </w:divBdr>
    </w:div>
    <w:div w:id="283274748">
      <w:bodyDiv w:val="1"/>
      <w:marLeft w:val="0"/>
      <w:marRight w:val="0"/>
      <w:marTop w:val="0"/>
      <w:marBottom w:val="0"/>
      <w:divBdr>
        <w:top w:val="none" w:sz="0" w:space="0" w:color="auto"/>
        <w:left w:val="none" w:sz="0" w:space="0" w:color="auto"/>
        <w:bottom w:val="none" w:sz="0" w:space="0" w:color="auto"/>
        <w:right w:val="none" w:sz="0" w:space="0" w:color="auto"/>
      </w:divBdr>
    </w:div>
    <w:div w:id="283316076">
      <w:bodyDiv w:val="1"/>
      <w:marLeft w:val="0"/>
      <w:marRight w:val="0"/>
      <w:marTop w:val="0"/>
      <w:marBottom w:val="0"/>
      <w:divBdr>
        <w:top w:val="none" w:sz="0" w:space="0" w:color="auto"/>
        <w:left w:val="none" w:sz="0" w:space="0" w:color="auto"/>
        <w:bottom w:val="none" w:sz="0" w:space="0" w:color="auto"/>
        <w:right w:val="none" w:sz="0" w:space="0" w:color="auto"/>
      </w:divBdr>
    </w:div>
    <w:div w:id="283391001">
      <w:bodyDiv w:val="1"/>
      <w:marLeft w:val="0"/>
      <w:marRight w:val="0"/>
      <w:marTop w:val="0"/>
      <w:marBottom w:val="0"/>
      <w:divBdr>
        <w:top w:val="none" w:sz="0" w:space="0" w:color="auto"/>
        <w:left w:val="none" w:sz="0" w:space="0" w:color="auto"/>
        <w:bottom w:val="none" w:sz="0" w:space="0" w:color="auto"/>
        <w:right w:val="none" w:sz="0" w:space="0" w:color="auto"/>
      </w:divBdr>
    </w:div>
    <w:div w:id="283392035">
      <w:bodyDiv w:val="1"/>
      <w:marLeft w:val="0"/>
      <w:marRight w:val="0"/>
      <w:marTop w:val="0"/>
      <w:marBottom w:val="0"/>
      <w:divBdr>
        <w:top w:val="none" w:sz="0" w:space="0" w:color="auto"/>
        <w:left w:val="none" w:sz="0" w:space="0" w:color="auto"/>
        <w:bottom w:val="none" w:sz="0" w:space="0" w:color="auto"/>
        <w:right w:val="none" w:sz="0" w:space="0" w:color="auto"/>
      </w:divBdr>
    </w:div>
    <w:div w:id="283466268">
      <w:bodyDiv w:val="1"/>
      <w:marLeft w:val="0"/>
      <w:marRight w:val="0"/>
      <w:marTop w:val="0"/>
      <w:marBottom w:val="0"/>
      <w:divBdr>
        <w:top w:val="none" w:sz="0" w:space="0" w:color="auto"/>
        <w:left w:val="none" w:sz="0" w:space="0" w:color="auto"/>
        <w:bottom w:val="none" w:sz="0" w:space="0" w:color="auto"/>
        <w:right w:val="none" w:sz="0" w:space="0" w:color="auto"/>
      </w:divBdr>
    </w:div>
    <w:div w:id="283538271">
      <w:bodyDiv w:val="1"/>
      <w:marLeft w:val="0"/>
      <w:marRight w:val="0"/>
      <w:marTop w:val="0"/>
      <w:marBottom w:val="0"/>
      <w:divBdr>
        <w:top w:val="none" w:sz="0" w:space="0" w:color="auto"/>
        <w:left w:val="none" w:sz="0" w:space="0" w:color="auto"/>
        <w:bottom w:val="none" w:sz="0" w:space="0" w:color="auto"/>
        <w:right w:val="none" w:sz="0" w:space="0" w:color="auto"/>
      </w:divBdr>
    </w:div>
    <w:div w:id="283581065">
      <w:bodyDiv w:val="1"/>
      <w:marLeft w:val="0"/>
      <w:marRight w:val="0"/>
      <w:marTop w:val="0"/>
      <w:marBottom w:val="0"/>
      <w:divBdr>
        <w:top w:val="none" w:sz="0" w:space="0" w:color="auto"/>
        <w:left w:val="none" w:sz="0" w:space="0" w:color="auto"/>
        <w:bottom w:val="none" w:sz="0" w:space="0" w:color="auto"/>
        <w:right w:val="none" w:sz="0" w:space="0" w:color="auto"/>
      </w:divBdr>
    </w:div>
    <w:div w:id="283656537">
      <w:bodyDiv w:val="1"/>
      <w:marLeft w:val="0"/>
      <w:marRight w:val="0"/>
      <w:marTop w:val="0"/>
      <w:marBottom w:val="0"/>
      <w:divBdr>
        <w:top w:val="none" w:sz="0" w:space="0" w:color="auto"/>
        <w:left w:val="none" w:sz="0" w:space="0" w:color="auto"/>
        <w:bottom w:val="none" w:sz="0" w:space="0" w:color="auto"/>
        <w:right w:val="none" w:sz="0" w:space="0" w:color="auto"/>
      </w:divBdr>
    </w:div>
    <w:div w:id="283660965">
      <w:bodyDiv w:val="1"/>
      <w:marLeft w:val="0"/>
      <w:marRight w:val="0"/>
      <w:marTop w:val="0"/>
      <w:marBottom w:val="0"/>
      <w:divBdr>
        <w:top w:val="none" w:sz="0" w:space="0" w:color="auto"/>
        <w:left w:val="none" w:sz="0" w:space="0" w:color="auto"/>
        <w:bottom w:val="none" w:sz="0" w:space="0" w:color="auto"/>
        <w:right w:val="none" w:sz="0" w:space="0" w:color="auto"/>
      </w:divBdr>
    </w:div>
    <w:div w:id="283662484">
      <w:bodyDiv w:val="1"/>
      <w:marLeft w:val="0"/>
      <w:marRight w:val="0"/>
      <w:marTop w:val="0"/>
      <w:marBottom w:val="0"/>
      <w:divBdr>
        <w:top w:val="none" w:sz="0" w:space="0" w:color="auto"/>
        <w:left w:val="none" w:sz="0" w:space="0" w:color="auto"/>
        <w:bottom w:val="none" w:sz="0" w:space="0" w:color="auto"/>
        <w:right w:val="none" w:sz="0" w:space="0" w:color="auto"/>
      </w:divBdr>
    </w:div>
    <w:div w:id="283925448">
      <w:bodyDiv w:val="1"/>
      <w:marLeft w:val="0"/>
      <w:marRight w:val="0"/>
      <w:marTop w:val="0"/>
      <w:marBottom w:val="0"/>
      <w:divBdr>
        <w:top w:val="none" w:sz="0" w:space="0" w:color="auto"/>
        <w:left w:val="none" w:sz="0" w:space="0" w:color="auto"/>
        <w:bottom w:val="none" w:sz="0" w:space="0" w:color="auto"/>
        <w:right w:val="none" w:sz="0" w:space="0" w:color="auto"/>
      </w:divBdr>
    </w:div>
    <w:div w:id="283973226">
      <w:bodyDiv w:val="1"/>
      <w:marLeft w:val="0"/>
      <w:marRight w:val="0"/>
      <w:marTop w:val="0"/>
      <w:marBottom w:val="0"/>
      <w:divBdr>
        <w:top w:val="none" w:sz="0" w:space="0" w:color="auto"/>
        <w:left w:val="none" w:sz="0" w:space="0" w:color="auto"/>
        <w:bottom w:val="none" w:sz="0" w:space="0" w:color="auto"/>
        <w:right w:val="none" w:sz="0" w:space="0" w:color="auto"/>
      </w:divBdr>
    </w:div>
    <w:div w:id="284120111">
      <w:bodyDiv w:val="1"/>
      <w:marLeft w:val="0"/>
      <w:marRight w:val="0"/>
      <w:marTop w:val="0"/>
      <w:marBottom w:val="0"/>
      <w:divBdr>
        <w:top w:val="none" w:sz="0" w:space="0" w:color="auto"/>
        <w:left w:val="none" w:sz="0" w:space="0" w:color="auto"/>
        <w:bottom w:val="none" w:sz="0" w:space="0" w:color="auto"/>
        <w:right w:val="none" w:sz="0" w:space="0" w:color="auto"/>
      </w:divBdr>
    </w:div>
    <w:div w:id="284239752">
      <w:bodyDiv w:val="1"/>
      <w:marLeft w:val="0"/>
      <w:marRight w:val="0"/>
      <w:marTop w:val="0"/>
      <w:marBottom w:val="0"/>
      <w:divBdr>
        <w:top w:val="none" w:sz="0" w:space="0" w:color="auto"/>
        <w:left w:val="none" w:sz="0" w:space="0" w:color="auto"/>
        <w:bottom w:val="none" w:sz="0" w:space="0" w:color="auto"/>
        <w:right w:val="none" w:sz="0" w:space="0" w:color="auto"/>
      </w:divBdr>
    </w:div>
    <w:div w:id="284241886">
      <w:bodyDiv w:val="1"/>
      <w:marLeft w:val="0"/>
      <w:marRight w:val="0"/>
      <w:marTop w:val="0"/>
      <w:marBottom w:val="0"/>
      <w:divBdr>
        <w:top w:val="none" w:sz="0" w:space="0" w:color="auto"/>
        <w:left w:val="none" w:sz="0" w:space="0" w:color="auto"/>
        <w:bottom w:val="none" w:sz="0" w:space="0" w:color="auto"/>
        <w:right w:val="none" w:sz="0" w:space="0" w:color="auto"/>
      </w:divBdr>
    </w:div>
    <w:div w:id="284317402">
      <w:bodyDiv w:val="1"/>
      <w:marLeft w:val="0"/>
      <w:marRight w:val="0"/>
      <w:marTop w:val="0"/>
      <w:marBottom w:val="0"/>
      <w:divBdr>
        <w:top w:val="none" w:sz="0" w:space="0" w:color="auto"/>
        <w:left w:val="none" w:sz="0" w:space="0" w:color="auto"/>
        <w:bottom w:val="none" w:sz="0" w:space="0" w:color="auto"/>
        <w:right w:val="none" w:sz="0" w:space="0" w:color="auto"/>
      </w:divBdr>
    </w:div>
    <w:div w:id="284387860">
      <w:bodyDiv w:val="1"/>
      <w:marLeft w:val="0"/>
      <w:marRight w:val="0"/>
      <w:marTop w:val="0"/>
      <w:marBottom w:val="0"/>
      <w:divBdr>
        <w:top w:val="none" w:sz="0" w:space="0" w:color="auto"/>
        <w:left w:val="none" w:sz="0" w:space="0" w:color="auto"/>
        <w:bottom w:val="none" w:sz="0" w:space="0" w:color="auto"/>
        <w:right w:val="none" w:sz="0" w:space="0" w:color="auto"/>
      </w:divBdr>
    </w:div>
    <w:div w:id="284849663">
      <w:bodyDiv w:val="1"/>
      <w:marLeft w:val="0"/>
      <w:marRight w:val="0"/>
      <w:marTop w:val="0"/>
      <w:marBottom w:val="0"/>
      <w:divBdr>
        <w:top w:val="none" w:sz="0" w:space="0" w:color="auto"/>
        <w:left w:val="none" w:sz="0" w:space="0" w:color="auto"/>
        <w:bottom w:val="none" w:sz="0" w:space="0" w:color="auto"/>
        <w:right w:val="none" w:sz="0" w:space="0" w:color="auto"/>
      </w:divBdr>
    </w:div>
    <w:div w:id="284897758">
      <w:bodyDiv w:val="1"/>
      <w:marLeft w:val="0"/>
      <w:marRight w:val="0"/>
      <w:marTop w:val="0"/>
      <w:marBottom w:val="0"/>
      <w:divBdr>
        <w:top w:val="none" w:sz="0" w:space="0" w:color="auto"/>
        <w:left w:val="none" w:sz="0" w:space="0" w:color="auto"/>
        <w:bottom w:val="none" w:sz="0" w:space="0" w:color="auto"/>
        <w:right w:val="none" w:sz="0" w:space="0" w:color="auto"/>
      </w:divBdr>
    </w:div>
    <w:div w:id="284970050">
      <w:bodyDiv w:val="1"/>
      <w:marLeft w:val="0"/>
      <w:marRight w:val="0"/>
      <w:marTop w:val="0"/>
      <w:marBottom w:val="0"/>
      <w:divBdr>
        <w:top w:val="none" w:sz="0" w:space="0" w:color="auto"/>
        <w:left w:val="none" w:sz="0" w:space="0" w:color="auto"/>
        <w:bottom w:val="none" w:sz="0" w:space="0" w:color="auto"/>
        <w:right w:val="none" w:sz="0" w:space="0" w:color="auto"/>
      </w:divBdr>
    </w:div>
    <w:div w:id="284972557">
      <w:bodyDiv w:val="1"/>
      <w:marLeft w:val="0"/>
      <w:marRight w:val="0"/>
      <w:marTop w:val="0"/>
      <w:marBottom w:val="0"/>
      <w:divBdr>
        <w:top w:val="none" w:sz="0" w:space="0" w:color="auto"/>
        <w:left w:val="none" w:sz="0" w:space="0" w:color="auto"/>
        <w:bottom w:val="none" w:sz="0" w:space="0" w:color="auto"/>
        <w:right w:val="none" w:sz="0" w:space="0" w:color="auto"/>
      </w:divBdr>
    </w:div>
    <w:div w:id="285236420">
      <w:bodyDiv w:val="1"/>
      <w:marLeft w:val="0"/>
      <w:marRight w:val="0"/>
      <w:marTop w:val="0"/>
      <w:marBottom w:val="0"/>
      <w:divBdr>
        <w:top w:val="none" w:sz="0" w:space="0" w:color="auto"/>
        <w:left w:val="none" w:sz="0" w:space="0" w:color="auto"/>
        <w:bottom w:val="none" w:sz="0" w:space="0" w:color="auto"/>
        <w:right w:val="none" w:sz="0" w:space="0" w:color="auto"/>
      </w:divBdr>
    </w:div>
    <w:div w:id="285238207">
      <w:bodyDiv w:val="1"/>
      <w:marLeft w:val="0"/>
      <w:marRight w:val="0"/>
      <w:marTop w:val="0"/>
      <w:marBottom w:val="0"/>
      <w:divBdr>
        <w:top w:val="none" w:sz="0" w:space="0" w:color="auto"/>
        <w:left w:val="none" w:sz="0" w:space="0" w:color="auto"/>
        <w:bottom w:val="none" w:sz="0" w:space="0" w:color="auto"/>
        <w:right w:val="none" w:sz="0" w:space="0" w:color="auto"/>
      </w:divBdr>
    </w:div>
    <w:div w:id="285307872">
      <w:bodyDiv w:val="1"/>
      <w:marLeft w:val="0"/>
      <w:marRight w:val="0"/>
      <w:marTop w:val="0"/>
      <w:marBottom w:val="0"/>
      <w:divBdr>
        <w:top w:val="none" w:sz="0" w:space="0" w:color="auto"/>
        <w:left w:val="none" w:sz="0" w:space="0" w:color="auto"/>
        <w:bottom w:val="none" w:sz="0" w:space="0" w:color="auto"/>
        <w:right w:val="none" w:sz="0" w:space="0" w:color="auto"/>
      </w:divBdr>
    </w:div>
    <w:div w:id="285433804">
      <w:bodyDiv w:val="1"/>
      <w:marLeft w:val="0"/>
      <w:marRight w:val="0"/>
      <w:marTop w:val="0"/>
      <w:marBottom w:val="0"/>
      <w:divBdr>
        <w:top w:val="none" w:sz="0" w:space="0" w:color="auto"/>
        <w:left w:val="none" w:sz="0" w:space="0" w:color="auto"/>
        <w:bottom w:val="none" w:sz="0" w:space="0" w:color="auto"/>
        <w:right w:val="none" w:sz="0" w:space="0" w:color="auto"/>
      </w:divBdr>
    </w:div>
    <w:div w:id="285475778">
      <w:bodyDiv w:val="1"/>
      <w:marLeft w:val="0"/>
      <w:marRight w:val="0"/>
      <w:marTop w:val="0"/>
      <w:marBottom w:val="0"/>
      <w:divBdr>
        <w:top w:val="none" w:sz="0" w:space="0" w:color="auto"/>
        <w:left w:val="none" w:sz="0" w:space="0" w:color="auto"/>
        <w:bottom w:val="none" w:sz="0" w:space="0" w:color="auto"/>
        <w:right w:val="none" w:sz="0" w:space="0" w:color="auto"/>
      </w:divBdr>
    </w:div>
    <w:div w:id="285544133">
      <w:bodyDiv w:val="1"/>
      <w:marLeft w:val="0"/>
      <w:marRight w:val="0"/>
      <w:marTop w:val="0"/>
      <w:marBottom w:val="0"/>
      <w:divBdr>
        <w:top w:val="none" w:sz="0" w:space="0" w:color="auto"/>
        <w:left w:val="none" w:sz="0" w:space="0" w:color="auto"/>
        <w:bottom w:val="none" w:sz="0" w:space="0" w:color="auto"/>
        <w:right w:val="none" w:sz="0" w:space="0" w:color="auto"/>
      </w:divBdr>
    </w:div>
    <w:div w:id="285546690">
      <w:bodyDiv w:val="1"/>
      <w:marLeft w:val="0"/>
      <w:marRight w:val="0"/>
      <w:marTop w:val="0"/>
      <w:marBottom w:val="0"/>
      <w:divBdr>
        <w:top w:val="none" w:sz="0" w:space="0" w:color="auto"/>
        <w:left w:val="none" w:sz="0" w:space="0" w:color="auto"/>
        <w:bottom w:val="none" w:sz="0" w:space="0" w:color="auto"/>
        <w:right w:val="none" w:sz="0" w:space="0" w:color="auto"/>
      </w:divBdr>
    </w:div>
    <w:div w:id="285551605">
      <w:bodyDiv w:val="1"/>
      <w:marLeft w:val="0"/>
      <w:marRight w:val="0"/>
      <w:marTop w:val="0"/>
      <w:marBottom w:val="0"/>
      <w:divBdr>
        <w:top w:val="none" w:sz="0" w:space="0" w:color="auto"/>
        <w:left w:val="none" w:sz="0" w:space="0" w:color="auto"/>
        <w:bottom w:val="none" w:sz="0" w:space="0" w:color="auto"/>
        <w:right w:val="none" w:sz="0" w:space="0" w:color="auto"/>
      </w:divBdr>
    </w:div>
    <w:div w:id="285622182">
      <w:bodyDiv w:val="1"/>
      <w:marLeft w:val="0"/>
      <w:marRight w:val="0"/>
      <w:marTop w:val="0"/>
      <w:marBottom w:val="0"/>
      <w:divBdr>
        <w:top w:val="none" w:sz="0" w:space="0" w:color="auto"/>
        <w:left w:val="none" w:sz="0" w:space="0" w:color="auto"/>
        <w:bottom w:val="none" w:sz="0" w:space="0" w:color="auto"/>
        <w:right w:val="none" w:sz="0" w:space="0" w:color="auto"/>
      </w:divBdr>
    </w:div>
    <w:div w:id="285622416">
      <w:bodyDiv w:val="1"/>
      <w:marLeft w:val="0"/>
      <w:marRight w:val="0"/>
      <w:marTop w:val="0"/>
      <w:marBottom w:val="0"/>
      <w:divBdr>
        <w:top w:val="none" w:sz="0" w:space="0" w:color="auto"/>
        <w:left w:val="none" w:sz="0" w:space="0" w:color="auto"/>
        <w:bottom w:val="none" w:sz="0" w:space="0" w:color="auto"/>
        <w:right w:val="none" w:sz="0" w:space="0" w:color="auto"/>
      </w:divBdr>
    </w:div>
    <w:div w:id="285701370">
      <w:bodyDiv w:val="1"/>
      <w:marLeft w:val="0"/>
      <w:marRight w:val="0"/>
      <w:marTop w:val="0"/>
      <w:marBottom w:val="0"/>
      <w:divBdr>
        <w:top w:val="none" w:sz="0" w:space="0" w:color="auto"/>
        <w:left w:val="none" w:sz="0" w:space="0" w:color="auto"/>
        <w:bottom w:val="none" w:sz="0" w:space="0" w:color="auto"/>
        <w:right w:val="none" w:sz="0" w:space="0" w:color="auto"/>
      </w:divBdr>
    </w:div>
    <w:div w:id="285887901">
      <w:bodyDiv w:val="1"/>
      <w:marLeft w:val="0"/>
      <w:marRight w:val="0"/>
      <w:marTop w:val="0"/>
      <w:marBottom w:val="0"/>
      <w:divBdr>
        <w:top w:val="none" w:sz="0" w:space="0" w:color="auto"/>
        <w:left w:val="none" w:sz="0" w:space="0" w:color="auto"/>
        <w:bottom w:val="none" w:sz="0" w:space="0" w:color="auto"/>
        <w:right w:val="none" w:sz="0" w:space="0" w:color="auto"/>
      </w:divBdr>
    </w:div>
    <w:div w:id="285888359">
      <w:bodyDiv w:val="1"/>
      <w:marLeft w:val="0"/>
      <w:marRight w:val="0"/>
      <w:marTop w:val="0"/>
      <w:marBottom w:val="0"/>
      <w:divBdr>
        <w:top w:val="none" w:sz="0" w:space="0" w:color="auto"/>
        <w:left w:val="none" w:sz="0" w:space="0" w:color="auto"/>
        <w:bottom w:val="none" w:sz="0" w:space="0" w:color="auto"/>
        <w:right w:val="none" w:sz="0" w:space="0" w:color="auto"/>
      </w:divBdr>
    </w:div>
    <w:div w:id="285888530">
      <w:bodyDiv w:val="1"/>
      <w:marLeft w:val="0"/>
      <w:marRight w:val="0"/>
      <w:marTop w:val="0"/>
      <w:marBottom w:val="0"/>
      <w:divBdr>
        <w:top w:val="none" w:sz="0" w:space="0" w:color="auto"/>
        <w:left w:val="none" w:sz="0" w:space="0" w:color="auto"/>
        <w:bottom w:val="none" w:sz="0" w:space="0" w:color="auto"/>
        <w:right w:val="none" w:sz="0" w:space="0" w:color="auto"/>
      </w:divBdr>
    </w:div>
    <w:div w:id="285890680">
      <w:bodyDiv w:val="1"/>
      <w:marLeft w:val="0"/>
      <w:marRight w:val="0"/>
      <w:marTop w:val="0"/>
      <w:marBottom w:val="0"/>
      <w:divBdr>
        <w:top w:val="none" w:sz="0" w:space="0" w:color="auto"/>
        <w:left w:val="none" w:sz="0" w:space="0" w:color="auto"/>
        <w:bottom w:val="none" w:sz="0" w:space="0" w:color="auto"/>
        <w:right w:val="none" w:sz="0" w:space="0" w:color="auto"/>
      </w:divBdr>
    </w:div>
    <w:div w:id="285935292">
      <w:bodyDiv w:val="1"/>
      <w:marLeft w:val="0"/>
      <w:marRight w:val="0"/>
      <w:marTop w:val="0"/>
      <w:marBottom w:val="0"/>
      <w:divBdr>
        <w:top w:val="none" w:sz="0" w:space="0" w:color="auto"/>
        <w:left w:val="none" w:sz="0" w:space="0" w:color="auto"/>
        <w:bottom w:val="none" w:sz="0" w:space="0" w:color="auto"/>
        <w:right w:val="none" w:sz="0" w:space="0" w:color="auto"/>
      </w:divBdr>
    </w:div>
    <w:div w:id="286083857">
      <w:bodyDiv w:val="1"/>
      <w:marLeft w:val="0"/>
      <w:marRight w:val="0"/>
      <w:marTop w:val="0"/>
      <w:marBottom w:val="0"/>
      <w:divBdr>
        <w:top w:val="none" w:sz="0" w:space="0" w:color="auto"/>
        <w:left w:val="none" w:sz="0" w:space="0" w:color="auto"/>
        <w:bottom w:val="none" w:sz="0" w:space="0" w:color="auto"/>
        <w:right w:val="none" w:sz="0" w:space="0" w:color="auto"/>
      </w:divBdr>
    </w:div>
    <w:div w:id="286203514">
      <w:bodyDiv w:val="1"/>
      <w:marLeft w:val="0"/>
      <w:marRight w:val="0"/>
      <w:marTop w:val="0"/>
      <w:marBottom w:val="0"/>
      <w:divBdr>
        <w:top w:val="none" w:sz="0" w:space="0" w:color="auto"/>
        <w:left w:val="none" w:sz="0" w:space="0" w:color="auto"/>
        <w:bottom w:val="none" w:sz="0" w:space="0" w:color="auto"/>
        <w:right w:val="none" w:sz="0" w:space="0" w:color="auto"/>
      </w:divBdr>
    </w:div>
    <w:div w:id="286350030">
      <w:bodyDiv w:val="1"/>
      <w:marLeft w:val="0"/>
      <w:marRight w:val="0"/>
      <w:marTop w:val="0"/>
      <w:marBottom w:val="0"/>
      <w:divBdr>
        <w:top w:val="none" w:sz="0" w:space="0" w:color="auto"/>
        <w:left w:val="none" w:sz="0" w:space="0" w:color="auto"/>
        <w:bottom w:val="none" w:sz="0" w:space="0" w:color="auto"/>
        <w:right w:val="none" w:sz="0" w:space="0" w:color="auto"/>
      </w:divBdr>
    </w:div>
    <w:div w:id="286352721">
      <w:bodyDiv w:val="1"/>
      <w:marLeft w:val="0"/>
      <w:marRight w:val="0"/>
      <w:marTop w:val="0"/>
      <w:marBottom w:val="0"/>
      <w:divBdr>
        <w:top w:val="none" w:sz="0" w:space="0" w:color="auto"/>
        <w:left w:val="none" w:sz="0" w:space="0" w:color="auto"/>
        <w:bottom w:val="none" w:sz="0" w:space="0" w:color="auto"/>
        <w:right w:val="none" w:sz="0" w:space="0" w:color="auto"/>
      </w:divBdr>
    </w:div>
    <w:div w:id="286401620">
      <w:bodyDiv w:val="1"/>
      <w:marLeft w:val="0"/>
      <w:marRight w:val="0"/>
      <w:marTop w:val="0"/>
      <w:marBottom w:val="0"/>
      <w:divBdr>
        <w:top w:val="none" w:sz="0" w:space="0" w:color="auto"/>
        <w:left w:val="none" w:sz="0" w:space="0" w:color="auto"/>
        <w:bottom w:val="none" w:sz="0" w:space="0" w:color="auto"/>
        <w:right w:val="none" w:sz="0" w:space="0" w:color="auto"/>
      </w:divBdr>
    </w:div>
    <w:div w:id="286550289">
      <w:bodyDiv w:val="1"/>
      <w:marLeft w:val="0"/>
      <w:marRight w:val="0"/>
      <w:marTop w:val="0"/>
      <w:marBottom w:val="0"/>
      <w:divBdr>
        <w:top w:val="none" w:sz="0" w:space="0" w:color="auto"/>
        <w:left w:val="none" w:sz="0" w:space="0" w:color="auto"/>
        <w:bottom w:val="none" w:sz="0" w:space="0" w:color="auto"/>
        <w:right w:val="none" w:sz="0" w:space="0" w:color="auto"/>
      </w:divBdr>
    </w:div>
    <w:div w:id="286619872">
      <w:bodyDiv w:val="1"/>
      <w:marLeft w:val="0"/>
      <w:marRight w:val="0"/>
      <w:marTop w:val="0"/>
      <w:marBottom w:val="0"/>
      <w:divBdr>
        <w:top w:val="none" w:sz="0" w:space="0" w:color="auto"/>
        <w:left w:val="none" w:sz="0" w:space="0" w:color="auto"/>
        <w:bottom w:val="none" w:sz="0" w:space="0" w:color="auto"/>
        <w:right w:val="none" w:sz="0" w:space="0" w:color="auto"/>
      </w:divBdr>
    </w:div>
    <w:div w:id="286661352">
      <w:bodyDiv w:val="1"/>
      <w:marLeft w:val="0"/>
      <w:marRight w:val="0"/>
      <w:marTop w:val="0"/>
      <w:marBottom w:val="0"/>
      <w:divBdr>
        <w:top w:val="none" w:sz="0" w:space="0" w:color="auto"/>
        <w:left w:val="none" w:sz="0" w:space="0" w:color="auto"/>
        <w:bottom w:val="none" w:sz="0" w:space="0" w:color="auto"/>
        <w:right w:val="none" w:sz="0" w:space="0" w:color="auto"/>
      </w:divBdr>
    </w:div>
    <w:div w:id="286663942">
      <w:bodyDiv w:val="1"/>
      <w:marLeft w:val="0"/>
      <w:marRight w:val="0"/>
      <w:marTop w:val="0"/>
      <w:marBottom w:val="0"/>
      <w:divBdr>
        <w:top w:val="none" w:sz="0" w:space="0" w:color="auto"/>
        <w:left w:val="none" w:sz="0" w:space="0" w:color="auto"/>
        <w:bottom w:val="none" w:sz="0" w:space="0" w:color="auto"/>
        <w:right w:val="none" w:sz="0" w:space="0" w:color="auto"/>
      </w:divBdr>
    </w:div>
    <w:div w:id="286667833">
      <w:bodyDiv w:val="1"/>
      <w:marLeft w:val="0"/>
      <w:marRight w:val="0"/>
      <w:marTop w:val="0"/>
      <w:marBottom w:val="0"/>
      <w:divBdr>
        <w:top w:val="none" w:sz="0" w:space="0" w:color="auto"/>
        <w:left w:val="none" w:sz="0" w:space="0" w:color="auto"/>
        <w:bottom w:val="none" w:sz="0" w:space="0" w:color="auto"/>
        <w:right w:val="none" w:sz="0" w:space="0" w:color="auto"/>
      </w:divBdr>
    </w:div>
    <w:div w:id="286744137">
      <w:bodyDiv w:val="1"/>
      <w:marLeft w:val="0"/>
      <w:marRight w:val="0"/>
      <w:marTop w:val="0"/>
      <w:marBottom w:val="0"/>
      <w:divBdr>
        <w:top w:val="none" w:sz="0" w:space="0" w:color="auto"/>
        <w:left w:val="none" w:sz="0" w:space="0" w:color="auto"/>
        <w:bottom w:val="none" w:sz="0" w:space="0" w:color="auto"/>
        <w:right w:val="none" w:sz="0" w:space="0" w:color="auto"/>
      </w:divBdr>
    </w:div>
    <w:div w:id="286817069">
      <w:bodyDiv w:val="1"/>
      <w:marLeft w:val="0"/>
      <w:marRight w:val="0"/>
      <w:marTop w:val="0"/>
      <w:marBottom w:val="0"/>
      <w:divBdr>
        <w:top w:val="none" w:sz="0" w:space="0" w:color="auto"/>
        <w:left w:val="none" w:sz="0" w:space="0" w:color="auto"/>
        <w:bottom w:val="none" w:sz="0" w:space="0" w:color="auto"/>
        <w:right w:val="none" w:sz="0" w:space="0" w:color="auto"/>
      </w:divBdr>
    </w:div>
    <w:div w:id="286931320">
      <w:bodyDiv w:val="1"/>
      <w:marLeft w:val="0"/>
      <w:marRight w:val="0"/>
      <w:marTop w:val="0"/>
      <w:marBottom w:val="0"/>
      <w:divBdr>
        <w:top w:val="none" w:sz="0" w:space="0" w:color="auto"/>
        <w:left w:val="none" w:sz="0" w:space="0" w:color="auto"/>
        <w:bottom w:val="none" w:sz="0" w:space="0" w:color="auto"/>
        <w:right w:val="none" w:sz="0" w:space="0" w:color="auto"/>
      </w:divBdr>
    </w:div>
    <w:div w:id="286933927">
      <w:bodyDiv w:val="1"/>
      <w:marLeft w:val="0"/>
      <w:marRight w:val="0"/>
      <w:marTop w:val="0"/>
      <w:marBottom w:val="0"/>
      <w:divBdr>
        <w:top w:val="none" w:sz="0" w:space="0" w:color="auto"/>
        <w:left w:val="none" w:sz="0" w:space="0" w:color="auto"/>
        <w:bottom w:val="none" w:sz="0" w:space="0" w:color="auto"/>
        <w:right w:val="none" w:sz="0" w:space="0" w:color="auto"/>
      </w:divBdr>
    </w:div>
    <w:div w:id="287053338">
      <w:bodyDiv w:val="1"/>
      <w:marLeft w:val="0"/>
      <w:marRight w:val="0"/>
      <w:marTop w:val="0"/>
      <w:marBottom w:val="0"/>
      <w:divBdr>
        <w:top w:val="none" w:sz="0" w:space="0" w:color="auto"/>
        <w:left w:val="none" w:sz="0" w:space="0" w:color="auto"/>
        <w:bottom w:val="none" w:sz="0" w:space="0" w:color="auto"/>
        <w:right w:val="none" w:sz="0" w:space="0" w:color="auto"/>
      </w:divBdr>
    </w:div>
    <w:div w:id="287056844">
      <w:bodyDiv w:val="1"/>
      <w:marLeft w:val="0"/>
      <w:marRight w:val="0"/>
      <w:marTop w:val="0"/>
      <w:marBottom w:val="0"/>
      <w:divBdr>
        <w:top w:val="none" w:sz="0" w:space="0" w:color="auto"/>
        <w:left w:val="none" w:sz="0" w:space="0" w:color="auto"/>
        <w:bottom w:val="none" w:sz="0" w:space="0" w:color="auto"/>
        <w:right w:val="none" w:sz="0" w:space="0" w:color="auto"/>
      </w:divBdr>
    </w:div>
    <w:div w:id="287201851">
      <w:bodyDiv w:val="1"/>
      <w:marLeft w:val="0"/>
      <w:marRight w:val="0"/>
      <w:marTop w:val="0"/>
      <w:marBottom w:val="0"/>
      <w:divBdr>
        <w:top w:val="none" w:sz="0" w:space="0" w:color="auto"/>
        <w:left w:val="none" w:sz="0" w:space="0" w:color="auto"/>
        <w:bottom w:val="none" w:sz="0" w:space="0" w:color="auto"/>
        <w:right w:val="none" w:sz="0" w:space="0" w:color="auto"/>
      </w:divBdr>
    </w:div>
    <w:div w:id="287276450">
      <w:bodyDiv w:val="1"/>
      <w:marLeft w:val="0"/>
      <w:marRight w:val="0"/>
      <w:marTop w:val="0"/>
      <w:marBottom w:val="0"/>
      <w:divBdr>
        <w:top w:val="none" w:sz="0" w:space="0" w:color="auto"/>
        <w:left w:val="none" w:sz="0" w:space="0" w:color="auto"/>
        <w:bottom w:val="none" w:sz="0" w:space="0" w:color="auto"/>
        <w:right w:val="none" w:sz="0" w:space="0" w:color="auto"/>
      </w:divBdr>
    </w:div>
    <w:div w:id="287472249">
      <w:bodyDiv w:val="1"/>
      <w:marLeft w:val="0"/>
      <w:marRight w:val="0"/>
      <w:marTop w:val="0"/>
      <w:marBottom w:val="0"/>
      <w:divBdr>
        <w:top w:val="none" w:sz="0" w:space="0" w:color="auto"/>
        <w:left w:val="none" w:sz="0" w:space="0" w:color="auto"/>
        <w:bottom w:val="none" w:sz="0" w:space="0" w:color="auto"/>
        <w:right w:val="none" w:sz="0" w:space="0" w:color="auto"/>
      </w:divBdr>
    </w:div>
    <w:div w:id="287669094">
      <w:bodyDiv w:val="1"/>
      <w:marLeft w:val="0"/>
      <w:marRight w:val="0"/>
      <w:marTop w:val="0"/>
      <w:marBottom w:val="0"/>
      <w:divBdr>
        <w:top w:val="none" w:sz="0" w:space="0" w:color="auto"/>
        <w:left w:val="none" w:sz="0" w:space="0" w:color="auto"/>
        <w:bottom w:val="none" w:sz="0" w:space="0" w:color="auto"/>
        <w:right w:val="none" w:sz="0" w:space="0" w:color="auto"/>
      </w:divBdr>
    </w:div>
    <w:div w:id="287930375">
      <w:bodyDiv w:val="1"/>
      <w:marLeft w:val="0"/>
      <w:marRight w:val="0"/>
      <w:marTop w:val="0"/>
      <w:marBottom w:val="0"/>
      <w:divBdr>
        <w:top w:val="none" w:sz="0" w:space="0" w:color="auto"/>
        <w:left w:val="none" w:sz="0" w:space="0" w:color="auto"/>
        <w:bottom w:val="none" w:sz="0" w:space="0" w:color="auto"/>
        <w:right w:val="none" w:sz="0" w:space="0" w:color="auto"/>
      </w:divBdr>
    </w:div>
    <w:div w:id="287971710">
      <w:bodyDiv w:val="1"/>
      <w:marLeft w:val="0"/>
      <w:marRight w:val="0"/>
      <w:marTop w:val="0"/>
      <w:marBottom w:val="0"/>
      <w:divBdr>
        <w:top w:val="none" w:sz="0" w:space="0" w:color="auto"/>
        <w:left w:val="none" w:sz="0" w:space="0" w:color="auto"/>
        <w:bottom w:val="none" w:sz="0" w:space="0" w:color="auto"/>
        <w:right w:val="none" w:sz="0" w:space="0" w:color="auto"/>
      </w:divBdr>
    </w:div>
    <w:div w:id="287979114">
      <w:bodyDiv w:val="1"/>
      <w:marLeft w:val="0"/>
      <w:marRight w:val="0"/>
      <w:marTop w:val="0"/>
      <w:marBottom w:val="0"/>
      <w:divBdr>
        <w:top w:val="none" w:sz="0" w:space="0" w:color="auto"/>
        <w:left w:val="none" w:sz="0" w:space="0" w:color="auto"/>
        <w:bottom w:val="none" w:sz="0" w:space="0" w:color="auto"/>
        <w:right w:val="none" w:sz="0" w:space="0" w:color="auto"/>
      </w:divBdr>
    </w:div>
    <w:div w:id="288051203">
      <w:bodyDiv w:val="1"/>
      <w:marLeft w:val="0"/>
      <w:marRight w:val="0"/>
      <w:marTop w:val="0"/>
      <w:marBottom w:val="0"/>
      <w:divBdr>
        <w:top w:val="none" w:sz="0" w:space="0" w:color="auto"/>
        <w:left w:val="none" w:sz="0" w:space="0" w:color="auto"/>
        <w:bottom w:val="none" w:sz="0" w:space="0" w:color="auto"/>
        <w:right w:val="none" w:sz="0" w:space="0" w:color="auto"/>
      </w:divBdr>
    </w:div>
    <w:div w:id="288126547">
      <w:bodyDiv w:val="1"/>
      <w:marLeft w:val="0"/>
      <w:marRight w:val="0"/>
      <w:marTop w:val="0"/>
      <w:marBottom w:val="0"/>
      <w:divBdr>
        <w:top w:val="none" w:sz="0" w:space="0" w:color="auto"/>
        <w:left w:val="none" w:sz="0" w:space="0" w:color="auto"/>
        <w:bottom w:val="none" w:sz="0" w:space="0" w:color="auto"/>
        <w:right w:val="none" w:sz="0" w:space="0" w:color="auto"/>
      </w:divBdr>
    </w:div>
    <w:div w:id="288240499">
      <w:bodyDiv w:val="1"/>
      <w:marLeft w:val="0"/>
      <w:marRight w:val="0"/>
      <w:marTop w:val="0"/>
      <w:marBottom w:val="0"/>
      <w:divBdr>
        <w:top w:val="none" w:sz="0" w:space="0" w:color="auto"/>
        <w:left w:val="none" w:sz="0" w:space="0" w:color="auto"/>
        <w:bottom w:val="none" w:sz="0" w:space="0" w:color="auto"/>
        <w:right w:val="none" w:sz="0" w:space="0" w:color="auto"/>
      </w:divBdr>
    </w:div>
    <w:div w:id="288322720">
      <w:bodyDiv w:val="1"/>
      <w:marLeft w:val="0"/>
      <w:marRight w:val="0"/>
      <w:marTop w:val="0"/>
      <w:marBottom w:val="0"/>
      <w:divBdr>
        <w:top w:val="none" w:sz="0" w:space="0" w:color="auto"/>
        <w:left w:val="none" w:sz="0" w:space="0" w:color="auto"/>
        <w:bottom w:val="none" w:sz="0" w:space="0" w:color="auto"/>
        <w:right w:val="none" w:sz="0" w:space="0" w:color="auto"/>
      </w:divBdr>
    </w:div>
    <w:div w:id="288442958">
      <w:bodyDiv w:val="1"/>
      <w:marLeft w:val="0"/>
      <w:marRight w:val="0"/>
      <w:marTop w:val="0"/>
      <w:marBottom w:val="0"/>
      <w:divBdr>
        <w:top w:val="none" w:sz="0" w:space="0" w:color="auto"/>
        <w:left w:val="none" w:sz="0" w:space="0" w:color="auto"/>
        <w:bottom w:val="none" w:sz="0" w:space="0" w:color="auto"/>
        <w:right w:val="none" w:sz="0" w:space="0" w:color="auto"/>
      </w:divBdr>
    </w:div>
    <w:div w:id="288516678">
      <w:bodyDiv w:val="1"/>
      <w:marLeft w:val="0"/>
      <w:marRight w:val="0"/>
      <w:marTop w:val="0"/>
      <w:marBottom w:val="0"/>
      <w:divBdr>
        <w:top w:val="none" w:sz="0" w:space="0" w:color="auto"/>
        <w:left w:val="none" w:sz="0" w:space="0" w:color="auto"/>
        <w:bottom w:val="none" w:sz="0" w:space="0" w:color="auto"/>
        <w:right w:val="none" w:sz="0" w:space="0" w:color="auto"/>
      </w:divBdr>
    </w:div>
    <w:div w:id="288628158">
      <w:bodyDiv w:val="1"/>
      <w:marLeft w:val="0"/>
      <w:marRight w:val="0"/>
      <w:marTop w:val="0"/>
      <w:marBottom w:val="0"/>
      <w:divBdr>
        <w:top w:val="none" w:sz="0" w:space="0" w:color="auto"/>
        <w:left w:val="none" w:sz="0" w:space="0" w:color="auto"/>
        <w:bottom w:val="none" w:sz="0" w:space="0" w:color="auto"/>
        <w:right w:val="none" w:sz="0" w:space="0" w:color="auto"/>
      </w:divBdr>
    </w:div>
    <w:div w:id="288635414">
      <w:bodyDiv w:val="1"/>
      <w:marLeft w:val="0"/>
      <w:marRight w:val="0"/>
      <w:marTop w:val="0"/>
      <w:marBottom w:val="0"/>
      <w:divBdr>
        <w:top w:val="none" w:sz="0" w:space="0" w:color="auto"/>
        <w:left w:val="none" w:sz="0" w:space="0" w:color="auto"/>
        <w:bottom w:val="none" w:sz="0" w:space="0" w:color="auto"/>
        <w:right w:val="none" w:sz="0" w:space="0" w:color="auto"/>
      </w:divBdr>
    </w:div>
    <w:div w:id="289021707">
      <w:bodyDiv w:val="1"/>
      <w:marLeft w:val="0"/>
      <w:marRight w:val="0"/>
      <w:marTop w:val="0"/>
      <w:marBottom w:val="0"/>
      <w:divBdr>
        <w:top w:val="none" w:sz="0" w:space="0" w:color="auto"/>
        <w:left w:val="none" w:sz="0" w:space="0" w:color="auto"/>
        <w:bottom w:val="none" w:sz="0" w:space="0" w:color="auto"/>
        <w:right w:val="none" w:sz="0" w:space="0" w:color="auto"/>
      </w:divBdr>
    </w:div>
    <w:div w:id="289240416">
      <w:bodyDiv w:val="1"/>
      <w:marLeft w:val="0"/>
      <w:marRight w:val="0"/>
      <w:marTop w:val="0"/>
      <w:marBottom w:val="0"/>
      <w:divBdr>
        <w:top w:val="none" w:sz="0" w:space="0" w:color="auto"/>
        <w:left w:val="none" w:sz="0" w:space="0" w:color="auto"/>
        <w:bottom w:val="none" w:sz="0" w:space="0" w:color="auto"/>
        <w:right w:val="none" w:sz="0" w:space="0" w:color="auto"/>
      </w:divBdr>
    </w:div>
    <w:div w:id="289241387">
      <w:bodyDiv w:val="1"/>
      <w:marLeft w:val="0"/>
      <w:marRight w:val="0"/>
      <w:marTop w:val="0"/>
      <w:marBottom w:val="0"/>
      <w:divBdr>
        <w:top w:val="none" w:sz="0" w:space="0" w:color="auto"/>
        <w:left w:val="none" w:sz="0" w:space="0" w:color="auto"/>
        <w:bottom w:val="none" w:sz="0" w:space="0" w:color="auto"/>
        <w:right w:val="none" w:sz="0" w:space="0" w:color="auto"/>
      </w:divBdr>
    </w:div>
    <w:div w:id="289241857">
      <w:bodyDiv w:val="1"/>
      <w:marLeft w:val="0"/>
      <w:marRight w:val="0"/>
      <w:marTop w:val="0"/>
      <w:marBottom w:val="0"/>
      <w:divBdr>
        <w:top w:val="none" w:sz="0" w:space="0" w:color="auto"/>
        <w:left w:val="none" w:sz="0" w:space="0" w:color="auto"/>
        <w:bottom w:val="none" w:sz="0" w:space="0" w:color="auto"/>
        <w:right w:val="none" w:sz="0" w:space="0" w:color="auto"/>
      </w:divBdr>
    </w:div>
    <w:div w:id="289285730">
      <w:bodyDiv w:val="1"/>
      <w:marLeft w:val="0"/>
      <w:marRight w:val="0"/>
      <w:marTop w:val="0"/>
      <w:marBottom w:val="0"/>
      <w:divBdr>
        <w:top w:val="none" w:sz="0" w:space="0" w:color="auto"/>
        <w:left w:val="none" w:sz="0" w:space="0" w:color="auto"/>
        <w:bottom w:val="none" w:sz="0" w:space="0" w:color="auto"/>
        <w:right w:val="none" w:sz="0" w:space="0" w:color="auto"/>
      </w:divBdr>
    </w:div>
    <w:div w:id="289437886">
      <w:bodyDiv w:val="1"/>
      <w:marLeft w:val="0"/>
      <w:marRight w:val="0"/>
      <w:marTop w:val="0"/>
      <w:marBottom w:val="0"/>
      <w:divBdr>
        <w:top w:val="none" w:sz="0" w:space="0" w:color="auto"/>
        <w:left w:val="none" w:sz="0" w:space="0" w:color="auto"/>
        <w:bottom w:val="none" w:sz="0" w:space="0" w:color="auto"/>
        <w:right w:val="none" w:sz="0" w:space="0" w:color="auto"/>
      </w:divBdr>
    </w:div>
    <w:div w:id="289749407">
      <w:bodyDiv w:val="1"/>
      <w:marLeft w:val="0"/>
      <w:marRight w:val="0"/>
      <w:marTop w:val="0"/>
      <w:marBottom w:val="0"/>
      <w:divBdr>
        <w:top w:val="none" w:sz="0" w:space="0" w:color="auto"/>
        <w:left w:val="none" w:sz="0" w:space="0" w:color="auto"/>
        <w:bottom w:val="none" w:sz="0" w:space="0" w:color="auto"/>
        <w:right w:val="none" w:sz="0" w:space="0" w:color="auto"/>
      </w:divBdr>
    </w:div>
    <w:div w:id="289751669">
      <w:bodyDiv w:val="1"/>
      <w:marLeft w:val="0"/>
      <w:marRight w:val="0"/>
      <w:marTop w:val="0"/>
      <w:marBottom w:val="0"/>
      <w:divBdr>
        <w:top w:val="none" w:sz="0" w:space="0" w:color="auto"/>
        <w:left w:val="none" w:sz="0" w:space="0" w:color="auto"/>
        <w:bottom w:val="none" w:sz="0" w:space="0" w:color="auto"/>
        <w:right w:val="none" w:sz="0" w:space="0" w:color="auto"/>
      </w:divBdr>
    </w:div>
    <w:div w:id="289826507">
      <w:bodyDiv w:val="1"/>
      <w:marLeft w:val="0"/>
      <w:marRight w:val="0"/>
      <w:marTop w:val="0"/>
      <w:marBottom w:val="0"/>
      <w:divBdr>
        <w:top w:val="none" w:sz="0" w:space="0" w:color="auto"/>
        <w:left w:val="none" w:sz="0" w:space="0" w:color="auto"/>
        <w:bottom w:val="none" w:sz="0" w:space="0" w:color="auto"/>
        <w:right w:val="none" w:sz="0" w:space="0" w:color="auto"/>
      </w:divBdr>
    </w:div>
    <w:div w:id="289943403">
      <w:bodyDiv w:val="1"/>
      <w:marLeft w:val="0"/>
      <w:marRight w:val="0"/>
      <w:marTop w:val="0"/>
      <w:marBottom w:val="0"/>
      <w:divBdr>
        <w:top w:val="none" w:sz="0" w:space="0" w:color="auto"/>
        <w:left w:val="none" w:sz="0" w:space="0" w:color="auto"/>
        <w:bottom w:val="none" w:sz="0" w:space="0" w:color="auto"/>
        <w:right w:val="none" w:sz="0" w:space="0" w:color="auto"/>
      </w:divBdr>
    </w:div>
    <w:div w:id="290092275">
      <w:bodyDiv w:val="1"/>
      <w:marLeft w:val="0"/>
      <w:marRight w:val="0"/>
      <w:marTop w:val="0"/>
      <w:marBottom w:val="0"/>
      <w:divBdr>
        <w:top w:val="none" w:sz="0" w:space="0" w:color="auto"/>
        <w:left w:val="none" w:sz="0" w:space="0" w:color="auto"/>
        <w:bottom w:val="none" w:sz="0" w:space="0" w:color="auto"/>
        <w:right w:val="none" w:sz="0" w:space="0" w:color="auto"/>
      </w:divBdr>
    </w:div>
    <w:div w:id="290287447">
      <w:bodyDiv w:val="1"/>
      <w:marLeft w:val="0"/>
      <w:marRight w:val="0"/>
      <w:marTop w:val="0"/>
      <w:marBottom w:val="0"/>
      <w:divBdr>
        <w:top w:val="none" w:sz="0" w:space="0" w:color="auto"/>
        <w:left w:val="none" w:sz="0" w:space="0" w:color="auto"/>
        <w:bottom w:val="none" w:sz="0" w:space="0" w:color="auto"/>
        <w:right w:val="none" w:sz="0" w:space="0" w:color="auto"/>
      </w:divBdr>
    </w:div>
    <w:div w:id="290291007">
      <w:bodyDiv w:val="1"/>
      <w:marLeft w:val="0"/>
      <w:marRight w:val="0"/>
      <w:marTop w:val="0"/>
      <w:marBottom w:val="0"/>
      <w:divBdr>
        <w:top w:val="none" w:sz="0" w:space="0" w:color="auto"/>
        <w:left w:val="none" w:sz="0" w:space="0" w:color="auto"/>
        <w:bottom w:val="none" w:sz="0" w:space="0" w:color="auto"/>
        <w:right w:val="none" w:sz="0" w:space="0" w:color="auto"/>
      </w:divBdr>
    </w:div>
    <w:div w:id="290401796">
      <w:bodyDiv w:val="1"/>
      <w:marLeft w:val="0"/>
      <w:marRight w:val="0"/>
      <w:marTop w:val="0"/>
      <w:marBottom w:val="0"/>
      <w:divBdr>
        <w:top w:val="none" w:sz="0" w:space="0" w:color="auto"/>
        <w:left w:val="none" w:sz="0" w:space="0" w:color="auto"/>
        <w:bottom w:val="none" w:sz="0" w:space="0" w:color="auto"/>
        <w:right w:val="none" w:sz="0" w:space="0" w:color="auto"/>
      </w:divBdr>
    </w:div>
    <w:div w:id="290405594">
      <w:bodyDiv w:val="1"/>
      <w:marLeft w:val="0"/>
      <w:marRight w:val="0"/>
      <w:marTop w:val="0"/>
      <w:marBottom w:val="0"/>
      <w:divBdr>
        <w:top w:val="none" w:sz="0" w:space="0" w:color="auto"/>
        <w:left w:val="none" w:sz="0" w:space="0" w:color="auto"/>
        <w:bottom w:val="none" w:sz="0" w:space="0" w:color="auto"/>
        <w:right w:val="none" w:sz="0" w:space="0" w:color="auto"/>
      </w:divBdr>
    </w:div>
    <w:div w:id="290675337">
      <w:bodyDiv w:val="1"/>
      <w:marLeft w:val="0"/>
      <w:marRight w:val="0"/>
      <w:marTop w:val="0"/>
      <w:marBottom w:val="0"/>
      <w:divBdr>
        <w:top w:val="none" w:sz="0" w:space="0" w:color="auto"/>
        <w:left w:val="none" w:sz="0" w:space="0" w:color="auto"/>
        <w:bottom w:val="none" w:sz="0" w:space="0" w:color="auto"/>
        <w:right w:val="none" w:sz="0" w:space="0" w:color="auto"/>
      </w:divBdr>
    </w:div>
    <w:div w:id="290676736">
      <w:bodyDiv w:val="1"/>
      <w:marLeft w:val="0"/>
      <w:marRight w:val="0"/>
      <w:marTop w:val="0"/>
      <w:marBottom w:val="0"/>
      <w:divBdr>
        <w:top w:val="none" w:sz="0" w:space="0" w:color="auto"/>
        <w:left w:val="none" w:sz="0" w:space="0" w:color="auto"/>
        <w:bottom w:val="none" w:sz="0" w:space="0" w:color="auto"/>
        <w:right w:val="none" w:sz="0" w:space="0" w:color="auto"/>
      </w:divBdr>
    </w:div>
    <w:div w:id="290864137">
      <w:bodyDiv w:val="1"/>
      <w:marLeft w:val="0"/>
      <w:marRight w:val="0"/>
      <w:marTop w:val="0"/>
      <w:marBottom w:val="0"/>
      <w:divBdr>
        <w:top w:val="none" w:sz="0" w:space="0" w:color="auto"/>
        <w:left w:val="none" w:sz="0" w:space="0" w:color="auto"/>
        <w:bottom w:val="none" w:sz="0" w:space="0" w:color="auto"/>
        <w:right w:val="none" w:sz="0" w:space="0" w:color="auto"/>
      </w:divBdr>
    </w:div>
    <w:div w:id="290864759">
      <w:bodyDiv w:val="1"/>
      <w:marLeft w:val="0"/>
      <w:marRight w:val="0"/>
      <w:marTop w:val="0"/>
      <w:marBottom w:val="0"/>
      <w:divBdr>
        <w:top w:val="none" w:sz="0" w:space="0" w:color="auto"/>
        <w:left w:val="none" w:sz="0" w:space="0" w:color="auto"/>
        <w:bottom w:val="none" w:sz="0" w:space="0" w:color="auto"/>
        <w:right w:val="none" w:sz="0" w:space="0" w:color="auto"/>
      </w:divBdr>
    </w:div>
    <w:div w:id="290985921">
      <w:bodyDiv w:val="1"/>
      <w:marLeft w:val="0"/>
      <w:marRight w:val="0"/>
      <w:marTop w:val="0"/>
      <w:marBottom w:val="0"/>
      <w:divBdr>
        <w:top w:val="none" w:sz="0" w:space="0" w:color="auto"/>
        <w:left w:val="none" w:sz="0" w:space="0" w:color="auto"/>
        <w:bottom w:val="none" w:sz="0" w:space="0" w:color="auto"/>
        <w:right w:val="none" w:sz="0" w:space="0" w:color="auto"/>
      </w:divBdr>
    </w:div>
    <w:div w:id="291133032">
      <w:bodyDiv w:val="1"/>
      <w:marLeft w:val="0"/>
      <w:marRight w:val="0"/>
      <w:marTop w:val="0"/>
      <w:marBottom w:val="0"/>
      <w:divBdr>
        <w:top w:val="none" w:sz="0" w:space="0" w:color="auto"/>
        <w:left w:val="none" w:sz="0" w:space="0" w:color="auto"/>
        <w:bottom w:val="none" w:sz="0" w:space="0" w:color="auto"/>
        <w:right w:val="none" w:sz="0" w:space="0" w:color="auto"/>
      </w:divBdr>
    </w:div>
    <w:div w:id="291324680">
      <w:bodyDiv w:val="1"/>
      <w:marLeft w:val="0"/>
      <w:marRight w:val="0"/>
      <w:marTop w:val="0"/>
      <w:marBottom w:val="0"/>
      <w:divBdr>
        <w:top w:val="none" w:sz="0" w:space="0" w:color="auto"/>
        <w:left w:val="none" w:sz="0" w:space="0" w:color="auto"/>
        <w:bottom w:val="none" w:sz="0" w:space="0" w:color="auto"/>
        <w:right w:val="none" w:sz="0" w:space="0" w:color="auto"/>
      </w:divBdr>
    </w:div>
    <w:div w:id="291592992">
      <w:bodyDiv w:val="1"/>
      <w:marLeft w:val="0"/>
      <w:marRight w:val="0"/>
      <w:marTop w:val="0"/>
      <w:marBottom w:val="0"/>
      <w:divBdr>
        <w:top w:val="none" w:sz="0" w:space="0" w:color="auto"/>
        <w:left w:val="none" w:sz="0" w:space="0" w:color="auto"/>
        <w:bottom w:val="none" w:sz="0" w:space="0" w:color="auto"/>
        <w:right w:val="none" w:sz="0" w:space="0" w:color="auto"/>
      </w:divBdr>
    </w:div>
    <w:div w:id="291596566">
      <w:bodyDiv w:val="1"/>
      <w:marLeft w:val="0"/>
      <w:marRight w:val="0"/>
      <w:marTop w:val="0"/>
      <w:marBottom w:val="0"/>
      <w:divBdr>
        <w:top w:val="none" w:sz="0" w:space="0" w:color="auto"/>
        <w:left w:val="none" w:sz="0" w:space="0" w:color="auto"/>
        <w:bottom w:val="none" w:sz="0" w:space="0" w:color="auto"/>
        <w:right w:val="none" w:sz="0" w:space="0" w:color="auto"/>
      </w:divBdr>
    </w:div>
    <w:div w:id="291636411">
      <w:bodyDiv w:val="1"/>
      <w:marLeft w:val="0"/>
      <w:marRight w:val="0"/>
      <w:marTop w:val="0"/>
      <w:marBottom w:val="0"/>
      <w:divBdr>
        <w:top w:val="none" w:sz="0" w:space="0" w:color="auto"/>
        <w:left w:val="none" w:sz="0" w:space="0" w:color="auto"/>
        <w:bottom w:val="none" w:sz="0" w:space="0" w:color="auto"/>
        <w:right w:val="none" w:sz="0" w:space="0" w:color="auto"/>
      </w:divBdr>
    </w:div>
    <w:div w:id="291714663">
      <w:bodyDiv w:val="1"/>
      <w:marLeft w:val="0"/>
      <w:marRight w:val="0"/>
      <w:marTop w:val="0"/>
      <w:marBottom w:val="0"/>
      <w:divBdr>
        <w:top w:val="none" w:sz="0" w:space="0" w:color="auto"/>
        <w:left w:val="none" w:sz="0" w:space="0" w:color="auto"/>
        <w:bottom w:val="none" w:sz="0" w:space="0" w:color="auto"/>
        <w:right w:val="none" w:sz="0" w:space="0" w:color="auto"/>
      </w:divBdr>
    </w:div>
    <w:div w:id="291716449">
      <w:bodyDiv w:val="1"/>
      <w:marLeft w:val="0"/>
      <w:marRight w:val="0"/>
      <w:marTop w:val="0"/>
      <w:marBottom w:val="0"/>
      <w:divBdr>
        <w:top w:val="none" w:sz="0" w:space="0" w:color="auto"/>
        <w:left w:val="none" w:sz="0" w:space="0" w:color="auto"/>
        <w:bottom w:val="none" w:sz="0" w:space="0" w:color="auto"/>
        <w:right w:val="none" w:sz="0" w:space="0" w:color="auto"/>
      </w:divBdr>
    </w:div>
    <w:div w:id="291789642">
      <w:bodyDiv w:val="1"/>
      <w:marLeft w:val="0"/>
      <w:marRight w:val="0"/>
      <w:marTop w:val="0"/>
      <w:marBottom w:val="0"/>
      <w:divBdr>
        <w:top w:val="none" w:sz="0" w:space="0" w:color="auto"/>
        <w:left w:val="none" w:sz="0" w:space="0" w:color="auto"/>
        <w:bottom w:val="none" w:sz="0" w:space="0" w:color="auto"/>
        <w:right w:val="none" w:sz="0" w:space="0" w:color="auto"/>
      </w:divBdr>
    </w:div>
    <w:div w:id="291791043">
      <w:bodyDiv w:val="1"/>
      <w:marLeft w:val="0"/>
      <w:marRight w:val="0"/>
      <w:marTop w:val="0"/>
      <w:marBottom w:val="0"/>
      <w:divBdr>
        <w:top w:val="none" w:sz="0" w:space="0" w:color="auto"/>
        <w:left w:val="none" w:sz="0" w:space="0" w:color="auto"/>
        <w:bottom w:val="none" w:sz="0" w:space="0" w:color="auto"/>
        <w:right w:val="none" w:sz="0" w:space="0" w:color="auto"/>
      </w:divBdr>
    </w:div>
    <w:div w:id="291903246">
      <w:bodyDiv w:val="1"/>
      <w:marLeft w:val="0"/>
      <w:marRight w:val="0"/>
      <w:marTop w:val="0"/>
      <w:marBottom w:val="0"/>
      <w:divBdr>
        <w:top w:val="none" w:sz="0" w:space="0" w:color="auto"/>
        <w:left w:val="none" w:sz="0" w:space="0" w:color="auto"/>
        <w:bottom w:val="none" w:sz="0" w:space="0" w:color="auto"/>
        <w:right w:val="none" w:sz="0" w:space="0" w:color="auto"/>
      </w:divBdr>
    </w:div>
    <w:div w:id="292059015">
      <w:bodyDiv w:val="1"/>
      <w:marLeft w:val="0"/>
      <w:marRight w:val="0"/>
      <w:marTop w:val="0"/>
      <w:marBottom w:val="0"/>
      <w:divBdr>
        <w:top w:val="none" w:sz="0" w:space="0" w:color="auto"/>
        <w:left w:val="none" w:sz="0" w:space="0" w:color="auto"/>
        <w:bottom w:val="none" w:sz="0" w:space="0" w:color="auto"/>
        <w:right w:val="none" w:sz="0" w:space="0" w:color="auto"/>
      </w:divBdr>
    </w:div>
    <w:div w:id="292060453">
      <w:bodyDiv w:val="1"/>
      <w:marLeft w:val="0"/>
      <w:marRight w:val="0"/>
      <w:marTop w:val="0"/>
      <w:marBottom w:val="0"/>
      <w:divBdr>
        <w:top w:val="none" w:sz="0" w:space="0" w:color="auto"/>
        <w:left w:val="none" w:sz="0" w:space="0" w:color="auto"/>
        <w:bottom w:val="none" w:sz="0" w:space="0" w:color="auto"/>
        <w:right w:val="none" w:sz="0" w:space="0" w:color="auto"/>
      </w:divBdr>
    </w:div>
    <w:div w:id="292172555">
      <w:bodyDiv w:val="1"/>
      <w:marLeft w:val="0"/>
      <w:marRight w:val="0"/>
      <w:marTop w:val="0"/>
      <w:marBottom w:val="0"/>
      <w:divBdr>
        <w:top w:val="none" w:sz="0" w:space="0" w:color="auto"/>
        <w:left w:val="none" w:sz="0" w:space="0" w:color="auto"/>
        <w:bottom w:val="none" w:sz="0" w:space="0" w:color="auto"/>
        <w:right w:val="none" w:sz="0" w:space="0" w:color="auto"/>
      </w:divBdr>
    </w:div>
    <w:div w:id="292175825">
      <w:bodyDiv w:val="1"/>
      <w:marLeft w:val="0"/>
      <w:marRight w:val="0"/>
      <w:marTop w:val="0"/>
      <w:marBottom w:val="0"/>
      <w:divBdr>
        <w:top w:val="none" w:sz="0" w:space="0" w:color="auto"/>
        <w:left w:val="none" w:sz="0" w:space="0" w:color="auto"/>
        <w:bottom w:val="none" w:sz="0" w:space="0" w:color="auto"/>
        <w:right w:val="none" w:sz="0" w:space="0" w:color="auto"/>
      </w:divBdr>
    </w:div>
    <w:div w:id="292296004">
      <w:bodyDiv w:val="1"/>
      <w:marLeft w:val="0"/>
      <w:marRight w:val="0"/>
      <w:marTop w:val="0"/>
      <w:marBottom w:val="0"/>
      <w:divBdr>
        <w:top w:val="none" w:sz="0" w:space="0" w:color="auto"/>
        <w:left w:val="none" w:sz="0" w:space="0" w:color="auto"/>
        <w:bottom w:val="none" w:sz="0" w:space="0" w:color="auto"/>
        <w:right w:val="none" w:sz="0" w:space="0" w:color="auto"/>
      </w:divBdr>
    </w:div>
    <w:div w:id="292323251">
      <w:bodyDiv w:val="1"/>
      <w:marLeft w:val="0"/>
      <w:marRight w:val="0"/>
      <w:marTop w:val="0"/>
      <w:marBottom w:val="0"/>
      <w:divBdr>
        <w:top w:val="none" w:sz="0" w:space="0" w:color="auto"/>
        <w:left w:val="none" w:sz="0" w:space="0" w:color="auto"/>
        <w:bottom w:val="none" w:sz="0" w:space="0" w:color="auto"/>
        <w:right w:val="none" w:sz="0" w:space="0" w:color="auto"/>
      </w:divBdr>
    </w:div>
    <w:div w:id="292371095">
      <w:bodyDiv w:val="1"/>
      <w:marLeft w:val="0"/>
      <w:marRight w:val="0"/>
      <w:marTop w:val="0"/>
      <w:marBottom w:val="0"/>
      <w:divBdr>
        <w:top w:val="none" w:sz="0" w:space="0" w:color="auto"/>
        <w:left w:val="none" w:sz="0" w:space="0" w:color="auto"/>
        <w:bottom w:val="none" w:sz="0" w:space="0" w:color="auto"/>
        <w:right w:val="none" w:sz="0" w:space="0" w:color="auto"/>
      </w:divBdr>
    </w:div>
    <w:div w:id="292446859">
      <w:bodyDiv w:val="1"/>
      <w:marLeft w:val="0"/>
      <w:marRight w:val="0"/>
      <w:marTop w:val="0"/>
      <w:marBottom w:val="0"/>
      <w:divBdr>
        <w:top w:val="none" w:sz="0" w:space="0" w:color="auto"/>
        <w:left w:val="none" w:sz="0" w:space="0" w:color="auto"/>
        <w:bottom w:val="none" w:sz="0" w:space="0" w:color="auto"/>
        <w:right w:val="none" w:sz="0" w:space="0" w:color="auto"/>
      </w:divBdr>
    </w:div>
    <w:div w:id="292489722">
      <w:bodyDiv w:val="1"/>
      <w:marLeft w:val="0"/>
      <w:marRight w:val="0"/>
      <w:marTop w:val="0"/>
      <w:marBottom w:val="0"/>
      <w:divBdr>
        <w:top w:val="none" w:sz="0" w:space="0" w:color="auto"/>
        <w:left w:val="none" w:sz="0" w:space="0" w:color="auto"/>
        <w:bottom w:val="none" w:sz="0" w:space="0" w:color="auto"/>
        <w:right w:val="none" w:sz="0" w:space="0" w:color="auto"/>
      </w:divBdr>
    </w:div>
    <w:div w:id="292558595">
      <w:bodyDiv w:val="1"/>
      <w:marLeft w:val="0"/>
      <w:marRight w:val="0"/>
      <w:marTop w:val="0"/>
      <w:marBottom w:val="0"/>
      <w:divBdr>
        <w:top w:val="none" w:sz="0" w:space="0" w:color="auto"/>
        <w:left w:val="none" w:sz="0" w:space="0" w:color="auto"/>
        <w:bottom w:val="none" w:sz="0" w:space="0" w:color="auto"/>
        <w:right w:val="none" w:sz="0" w:space="0" w:color="auto"/>
      </w:divBdr>
    </w:div>
    <w:div w:id="292567732">
      <w:bodyDiv w:val="1"/>
      <w:marLeft w:val="0"/>
      <w:marRight w:val="0"/>
      <w:marTop w:val="0"/>
      <w:marBottom w:val="0"/>
      <w:divBdr>
        <w:top w:val="none" w:sz="0" w:space="0" w:color="auto"/>
        <w:left w:val="none" w:sz="0" w:space="0" w:color="auto"/>
        <w:bottom w:val="none" w:sz="0" w:space="0" w:color="auto"/>
        <w:right w:val="none" w:sz="0" w:space="0" w:color="auto"/>
      </w:divBdr>
    </w:div>
    <w:div w:id="292640593">
      <w:bodyDiv w:val="1"/>
      <w:marLeft w:val="0"/>
      <w:marRight w:val="0"/>
      <w:marTop w:val="0"/>
      <w:marBottom w:val="0"/>
      <w:divBdr>
        <w:top w:val="none" w:sz="0" w:space="0" w:color="auto"/>
        <w:left w:val="none" w:sz="0" w:space="0" w:color="auto"/>
        <w:bottom w:val="none" w:sz="0" w:space="0" w:color="auto"/>
        <w:right w:val="none" w:sz="0" w:space="0" w:color="auto"/>
      </w:divBdr>
    </w:div>
    <w:div w:id="292714382">
      <w:bodyDiv w:val="1"/>
      <w:marLeft w:val="0"/>
      <w:marRight w:val="0"/>
      <w:marTop w:val="0"/>
      <w:marBottom w:val="0"/>
      <w:divBdr>
        <w:top w:val="none" w:sz="0" w:space="0" w:color="auto"/>
        <w:left w:val="none" w:sz="0" w:space="0" w:color="auto"/>
        <w:bottom w:val="none" w:sz="0" w:space="0" w:color="auto"/>
        <w:right w:val="none" w:sz="0" w:space="0" w:color="auto"/>
      </w:divBdr>
    </w:div>
    <w:div w:id="292828763">
      <w:bodyDiv w:val="1"/>
      <w:marLeft w:val="0"/>
      <w:marRight w:val="0"/>
      <w:marTop w:val="0"/>
      <w:marBottom w:val="0"/>
      <w:divBdr>
        <w:top w:val="none" w:sz="0" w:space="0" w:color="auto"/>
        <w:left w:val="none" w:sz="0" w:space="0" w:color="auto"/>
        <w:bottom w:val="none" w:sz="0" w:space="0" w:color="auto"/>
        <w:right w:val="none" w:sz="0" w:space="0" w:color="auto"/>
      </w:divBdr>
    </w:div>
    <w:div w:id="292907346">
      <w:bodyDiv w:val="1"/>
      <w:marLeft w:val="0"/>
      <w:marRight w:val="0"/>
      <w:marTop w:val="0"/>
      <w:marBottom w:val="0"/>
      <w:divBdr>
        <w:top w:val="none" w:sz="0" w:space="0" w:color="auto"/>
        <w:left w:val="none" w:sz="0" w:space="0" w:color="auto"/>
        <w:bottom w:val="none" w:sz="0" w:space="0" w:color="auto"/>
        <w:right w:val="none" w:sz="0" w:space="0" w:color="auto"/>
      </w:divBdr>
    </w:div>
    <w:div w:id="292977920">
      <w:bodyDiv w:val="1"/>
      <w:marLeft w:val="0"/>
      <w:marRight w:val="0"/>
      <w:marTop w:val="0"/>
      <w:marBottom w:val="0"/>
      <w:divBdr>
        <w:top w:val="none" w:sz="0" w:space="0" w:color="auto"/>
        <w:left w:val="none" w:sz="0" w:space="0" w:color="auto"/>
        <w:bottom w:val="none" w:sz="0" w:space="0" w:color="auto"/>
        <w:right w:val="none" w:sz="0" w:space="0" w:color="auto"/>
      </w:divBdr>
    </w:div>
    <w:div w:id="293144783">
      <w:bodyDiv w:val="1"/>
      <w:marLeft w:val="0"/>
      <w:marRight w:val="0"/>
      <w:marTop w:val="0"/>
      <w:marBottom w:val="0"/>
      <w:divBdr>
        <w:top w:val="none" w:sz="0" w:space="0" w:color="auto"/>
        <w:left w:val="none" w:sz="0" w:space="0" w:color="auto"/>
        <w:bottom w:val="none" w:sz="0" w:space="0" w:color="auto"/>
        <w:right w:val="none" w:sz="0" w:space="0" w:color="auto"/>
      </w:divBdr>
    </w:div>
    <w:div w:id="293147574">
      <w:bodyDiv w:val="1"/>
      <w:marLeft w:val="0"/>
      <w:marRight w:val="0"/>
      <w:marTop w:val="0"/>
      <w:marBottom w:val="0"/>
      <w:divBdr>
        <w:top w:val="none" w:sz="0" w:space="0" w:color="auto"/>
        <w:left w:val="none" w:sz="0" w:space="0" w:color="auto"/>
        <w:bottom w:val="none" w:sz="0" w:space="0" w:color="auto"/>
        <w:right w:val="none" w:sz="0" w:space="0" w:color="auto"/>
      </w:divBdr>
    </w:div>
    <w:div w:id="293213860">
      <w:bodyDiv w:val="1"/>
      <w:marLeft w:val="0"/>
      <w:marRight w:val="0"/>
      <w:marTop w:val="0"/>
      <w:marBottom w:val="0"/>
      <w:divBdr>
        <w:top w:val="none" w:sz="0" w:space="0" w:color="auto"/>
        <w:left w:val="none" w:sz="0" w:space="0" w:color="auto"/>
        <w:bottom w:val="none" w:sz="0" w:space="0" w:color="auto"/>
        <w:right w:val="none" w:sz="0" w:space="0" w:color="auto"/>
      </w:divBdr>
    </w:div>
    <w:div w:id="293213967">
      <w:bodyDiv w:val="1"/>
      <w:marLeft w:val="0"/>
      <w:marRight w:val="0"/>
      <w:marTop w:val="0"/>
      <w:marBottom w:val="0"/>
      <w:divBdr>
        <w:top w:val="none" w:sz="0" w:space="0" w:color="auto"/>
        <w:left w:val="none" w:sz="0" w:space="0" w:color="auto"/>
        <w:bottom w:val="none" w:sz="0" w:space="0" w:color="auto"/>
        <w:right w:val="none" w:sz="0" w:space="0" w:color="auto"/>
      </w:divBdr>
    </w:div>
    <w:div w:id="293221674">
      <w:bodyDiv w:val="1"/>
      <w:marLeft w:val="0"/>
      <w:marRight w:val="0"/>
      <w:marTop w:val="0"/>
      <w:marBottom w:val="0"/>
      <w:divBdr>
        <w:top w:val="none" w:sz="0" w:space="0" w:color="auto"/>
        <w:left w:val="none" w:sz="0" w:space="0" w:color="auto"/>
        <w:bottom w:val="none" w:sz="0" w:space="0" w:color="auto"/>
        <w:right w:val="none" w:sz="0" w:space="0" w:color="auto"/>
      </w:divBdr>
    </w:div>
    <w:div w:id="293291437">
      <w:bodyDiv w:val="1"/>
      <w:marLeft w:val="0"/>
      <w:marRight w:val="0"/>
      <w:marTop w:val="0"/>
      <w:marBottom w:val="0"/>
      <w:divBdr>
        <w:top w:val="none" w:sz="0" w:space="0" w:color="auto"/>
        <w:left w:val="none" w:sz="0" w:space="0" w:color="auto"/>
        <w:bottom w:val="none" w:sz="0" w:space="0" w:color="auto"/>
        <w:right w:val="none" w:sz="0" w:space="0" w:color="auto"/>
      </w:divBdr>
    </w:div>
    <w:div w:id="293292605">
      <w:bodyDiv w:val="1"/>
      <w:marLeft w:val="0"/>
      <w:marRight w:val="0"/>
      <w:marTop w:val="0"/>
      <w:marBottom w:val="0"/>
      <w:divBdr>
        <w:top w:val="none" w:sz="0" w:space="0" w:color="auto"/>
        <w:left w:val="none" w:sz="0" w:space="0" w:color="auto"/>
        <w:bottom w:val="none" w:sz="0" w:space="0" w:color="auto"/>
        <w:right w:val="none" w:sz="0" w:space="0" w:color="auto"/>
      </w:divBdr>
    </w:div>
    <w:div w:id="293339511">
      <w:bodyDiv w:val="1"/>
      <w:marLeft w:val="0"/>
      <w:marRight w:val="0"/>
      <w:marTop w:val="0"/>
      <w:marBottom w:val="0"/>
      <w:divBdr>
        <w:top w:val="none" w:sz="0" w:space="0" w:color="auto"/>
        <w:left w:val="none" w:sz="0" w:space="0" w:color="auto"/>
        <w:bottom w:val="none" w:sz="0" w:space="0" w:color="auto"/>
        <w:right w:val="none" w:sz="0" w:space="0" w:color="auto"/>
      </w:divBdr>
    </w:div>
    <w:div w:id="293370115">
      <w:bodyDiv w:val="1"/>
      <w:marLeft w:val="0"/>
      <w:marRight w:val="0"/>
      <w:marTop w:val="0"/>
      <w:marBottom w:val="0"/>
      <w:divBdr>
        <w:top w:val="none" w:sz="0" w:space="0" w:color="auto"/>
        <w:left w:val="none" w:sz="0" w:space="0" w:color="auto"/>
        <w:bottom w:val="none" w:sz="0" w:space="0" w:color="auto"/>
        <w:right w:val="none" w:sz="0" w:space="0" w:color="auto"/>
      </w:divBdr>
    </w:div>
    <w:div w:id="293410148">
      <w:bodyDiv w:val="1"/>
      <w:marLeft w:val="0"/>
      <w:marRight w:val="0"/>
      <w:marTop w:val="0"/>
      <w:marBottom w:val="0"/>
      <w:divBdr>
        <w:top w:val="none" w:sz="0" w:space="0" w:color="auto"/>
        <w:left w:val="none" w:sz="0" w:space="0" w:color="auto"/>
        <w:bottom w:val="none" w:sz="0" w:space="0" w:color="auto"/>
        <w:right w:val="none" w:sz="0" w:space="0" w:color="auto"/>
      </w:divBdr>
    </w:div>
    <w:div w:id="293685254">
      <w:bodyDiv w:val="1"/>
      <w:marLeft w:val="0"/>
      <w:marRight w:val="0"/>
      <w:marTop w:val="0"/>
      <w:marBottom w:val="0"/>
      <w:divBdr>
        <w:top w:val="none" w:sz="0" w:space="0" w:color="auto"/>
        <w:left w:val="none" w:sz="0" w:space="0" w:color="auto"/>
        <w:bottom w:val="none" w:sz="0" w:space="0" w:color="auto"/>
        <w:right w:val="none" w:sz="0" w:space="0" w:color="auto"/>
      </w:divBdr>
    </w:div>
    <w:div w:id="293871170">
      <w:bodyDiv w:val="1"/>
      <w:marLeft w:val="0"/>
      <w:marRight w:val="0"/>
      <w:marTop w:val="0"/>
      <w:marBottom w:val="0"/>
      <w:divBdr>
        <w:top w:val="none" w:sz="0" w:space="0" w:color="auto"/>
        <w:left w:val="none" w:sz="0" w:space="0" w:color="auto"/>
        <w:bottom w:val="none" w:sz="0" w:space="0" w:color="auto"/>
        <w:right w:val="none" w:sz="0" w:space="0" w:color="auto"/>
      </w:divBdr>
    </w:div>
    <w:div w:id="293946765">
      <w:bodyDiv w:val="1"/>
      <w:marLeft w:val="0"/>
      <w:marRight w:val="0"/>
      <w:marTop w:val="0"/>
      <w:marBottom w:val="0"/>
      <w:divBdr>
        <w:top w:val="none" w:sz="0" w:space="0" w:color="auto"/>
        <w:left w:val="none" w:sz="0" w:space="0" w:color="auto"/>
        <w:bottom w:val="none" w:sz="0" w:space="0" w:color="auto"/>
        <w:right w:val="none" w:sz="0" w:space="0" w:color="auto"/>
      </w:divBdr>
    </w:div>
    <w:div w:id="294264952">
      <w:bodyDiv w:val="1"/>
      <w:marLeft w:val="0"/>
      <w:marRight w:val="0"/>
      <w:marTop w:val="0"/>
      <w:marBottom w:val="0"/>
      <w:divBdr>
        <w:top w:val="none" w:sz="0" w:space="0" w:color="auto"/>
        <w:left w:val="none" w:sz="0" w:space="0" w:color="auto"/>
        <w:bottom w:val="none" w:sz="0" w:space="0" w:color="auto"/>
        <w:right w:val="none" w:sz="0" w:space="0" w:color="auto"/>
      </w:divBdr>
    </w:div>
    <w:div w:id="294338644">
      <w:bodyDiv w:val="1"/>
      <w:marLeft w:val="0"/>
      <w:marRight w:val="0"/>
      <w:marTop w:val="0"/>
      <w:marBottom w:val="0"/>
      <w:divBdr>
        <w:top w:val="none" w:sz="0" w:space="0" w:color="auto"/>
        <w:left w:val="none" w:sz="0" w:space="0" w:color="auto"/>
        <w:bottom w:val="none" w:sz="0" w:space="0" w:color="auto"/>
        <w:right w:val="none" w:sz="0" w:space="0" w:color="auto"/>
      </w:divBdr>
    </w:div>
    <w:div w:id="294408386">
      <w:bodyDiv w:val="1"/>
      <w:marLeft w:val="0"/>
      <w:marRight w:val="0"/>
      <w:marTop w:val="0"/>
      <w:marBottom w:val="0"/>
      <w:divBdr>
        <w:top w:val="none" w:sz="0" w:space="0" w:color="auto"/>
        <w:left w:val="none" w:sz="0" w:space="0" w:color="auto"/>
        <w:bottom w:val="none" w:sz="0" w:space="0" w:color="auto"/>
        <w:right w:val="none" w:sz="0" w:space="0" w:color="auto"/>
      </w:divBdr>
    </w:div>
    <w:div w:id="294408456">
      <w:bodyDiv w:val="1"/>
      <w:marLeft w:val="0"/>
      <w:marRight w:val="0"/>
      <w:marTop w:val="0"/>
      <w:marBottom w:val="0"/>
      <w:divBdr>
        <w:top w:val="none" w:sz="0" w:space="0" w:color="auto"/>
        <w:left w:val="none" w:sz="0" w:space="0" w:color="auto"/>
        <w:bottom w:val="none" w:sz="0" w:space="0" w:color="auto"/>
        <w:right w:val="none" w:sz="0" w:space="0" w:color="auto"/>
      </w:divBdr>
    </w:div>
    <w:div w:id="294410682">
      <w:bodyDiv w:val="1"/>
      <w:marLeft w:val="0"/>
      <w:marRight w:val="0"/>
      <w:marTop w:val="0"/>
      <w:marBottom w:val="0"/>
      <w:divBdr>
        <w:top w:val="none" w:sz="0" w:space="0" w:color="auto"/>
        <w:left w:val="none" w:sz="0" w:space="0" w:color="auto"/>
        <w:bottom w:val="none" w:sz="0" w:space="0" w:color="auto"/>
        <w:right w:val="none" w:sz="0" w:space="0" w:color="auto"/>
      </w:divBdr>
    </w:div>
    <w:div w:id="294600375">
      <w:bodyDiv w:val="1"/>
      <w:marLeft w:val="0"/>
      <w:marRight w:val="0"/>
      <w:marTop w:val="0"/>
      <w:marBottom w:val="0"/>
      <w:divBdr>
        <w:top w:val="none" w:sz="0" w:space="0" w:color="auto"/>
        <w:left w:val="none" w:sz="0" w:space="0" w:color="auto"/>
        <w:bottom w:val="none" w:sz="0" w:space="0" w:color="auto"/>
        <w:right w:val="none" w:sz="0" w:space="0" w:color="auto"/>
      </w:divBdr>
    </w:div>
    <w:div w:id="294604107">
      <w:bodyDiv w:val="1"/>
      <w:marLeft w:val="0"/>
      <w:marRight w:val="0"/>
      <w:marTop w:val="0"/>
      <w:marBottom w:val="0"/>
      <w:divBdr>
        <w:top w:val="none" w:sz="0" w:space="0" w:color="auto"/>
        <w:left w:val="none" w:sz="0" w:space="0" w:color="auto"/>
        <w:bottom w:val="none" w:sz="0" w:space="0" w:color="auto"/>
        <w:right w:val="none" w:sz="0" w:space="0" w:color="auto"/>
      </w:divBdr>
    </w:div>
    <w:div w:id="294724161">
      <w:bodyDiv w:val="1"/>
      <w:marLeft w:val="0"/>
      <w:marRight w:val="0"/>
      <w:marTop w:val="0"/>
      <w:marBottom w:val="0"/>
      <w:divBdr>
        <w:top w:val="none" w:sz="0" w:space="0" w:color="auto"/>
        <w:left w:val="none" w:sz="0" w:space="0" w:color="auto"/>
        <w:bottom w:val="none" w:sz="0" w:space="0" w:color="auto"/>
        <w:right w:val="none" w:sz="0" w:space="0" w:color="auto"/>
      </w:divBdr>
    </w:div>
    <w:div w:id="294913967">
      <w:bodyDiv w:val="1"/>
      <w:marLeft w:val="0"/>
      <w:marRight w:val="0"/>
      <w:marTop w:val="0"/>
      <w:marBottom w:val="0"/>
      <w:divBdr>
        <w:top w:val="none" w:sz="0" w:space="0" w:color="auto"/>
        <w:left w:val="none" w:sz="0" w:space="0" w:color="auto"/>
        <w:bottom w:val="none" w:sz="0" w:space="0" w:color="auto"/>
        <w:right w:val="none" w:sz="0" w:space="0" w:color="auto"/>
      </w:divBdr>
    </w:div>
    <w:div w:id="294916668">
      <w:bodyDiv w:val="1"/>
      <w:marLeft w:val="0"/>
      <w:marRight w:val="0"/>
      <w:marTop w:val="0"/>
      <w:marBottom w:val="0"/>
      <w:divBdr>
        <w:top w:val="none" w:sz="0" w:space="0" w:color="auto"/>
        <w:left w:val="none" w:sz="0" w:space="0" w:color="auto"/>
        <w:bottom w:val="none" w:sz="0" w:space="0" w:color="auto"/>
        <w:right w:val="none" w:sz="0" w:space="0" w:color="auto"/>
      </w:divBdr>
    </w:div>
    <w:div w:id="294992260">
      <w:bodyDiv w:val="1"/>
      <w:marLeft w:val="0"/>
      <w:marRight w:val="0"/>
      <w:marTop w:val="0"/>
      <w:marBottom w:val="0"/>
      <w:divBdr>
        <w:top w:val="none" w:sz="0" w:space="0" w:color="auto"/>
        <w:left w:val="none" w:sz="0" w:space="0" w:color="auto"/>
        <w:bottom w:val="none" w:sz="0" w:space="0" w:color="auto"/>
        <w:right w:val="none" w:sz="0" w:space="0" w:color="auto"/>
      </w:divBdr>
    </w:div>
    <w:div w:id="294992900">
      <w:bodyDiv w:val="1"/>
      <w:marLeft w:val="0"/>
      <w:marRight w:val="0"/>
      <w:marTop w:val="0"/>
      <w:marBottom w:val="0"/>
      <w:divBdr>
        <w:top w:val="none" w:sz="0" w:space="0" w:color="auto"/>
        <w:left w:val="none" w:sz="0" w:space="0" w:color="auto"/>
        <w:bottom w:val="none" w:sz="0" w:space="0" w:color="auto"/>
        <w:right w:val="none" w:sz="0" w:space="0" w:color="auto"/>
      </w:divBdr>
    </w:div>
    <w:div w:id="295063190">
      <w:bodyDiv w:val="1"/>
      <w:marLeft w:val="0"/>
      <w:marRight w:val="0"/>
      <w:marTop w:val="0"/>
      <w:marBottom w:val="0"/>
      <w:divBdr>
        <w:top w:val="none" w:sz="0" w:space="0" w:color="auto"/>
        <w:left w:val="none" w:sz="0" w:space="0" w:color="auto"/>
        <w:bottom w:val="none" w:sz="0" w:space="0" w:color="auto"/>
        <w:right w:val="none" w:sz="0" w:space="0" w:color="auto"/>
      </w:divBdr>
    </w:div>
    <w:div w:id="295257295">
      <w:bodyDiv w:val="1"/>
      <w:marLeft w:val="0"/>
      <w:marRight w:val="0"/>
      <w:marTop w:val="0"/>
      <w:marBottom w:val="0"/>
      <w:divBdr>
        <w:top w:val="none" w:sz="0" w:space="0" w:color="auto"/>
        <w:left w:val="none" w:sz="0" w:space="0" w:color="auto"/>
        <w:bottom w:val="none" w:sz="0" w:space="0" w:color="auto"/>
        <w:right w:val="none" w:sz="0" w:space="0" w:color="auto"/>
      </w:divBdr>
    </w:div>
    <w:div w:id="295331230">
      <w:bodyDiv w:val="1"/>
      <w:marLeft w:val="0"/>
      <w:marRight w:val="0"/>
      <w:marTop w:val="0"/>
      <w:marBottom w:val="0"/>
      <w:divBdr>
        <w:top w:val="none" w:sz="0" w:space="0" w:color="auto"/>
        <w:left w:val="none" w:sz="0" w:space="0" w:color="auto"/>
        <w:bottom w:val="none" w:sz="0" w:space="0" w:color="auto"/>
        <w:right w:val="none" w:sz="0" w:space="0" w:color="auto"/>
      </w:divBdr>
    </w:div>
    <w:div w:id="295335091">
      <w:bodyDiv w:val="1"/>
      <w:marLeft w:val="0"/>
      <w:marRight w:val="0"/>
      <w:marTop w:val="0"/>
      <w:marBottom w:val="0"/>
      <w:divBdr>
        <w:top w:val="none" w:sz="0" w:space="0" w:color="auto"/>
        <w:left w:val="none" w:sz="0" w:space="0" w:color="auto"/>
        <w:bottom w:val="none" w:sz="0" w:space="0" w:color="auto"/>
        <w:right w:val="none" w:sz="0" w:space="0" w:color="auto"/>
      </w:divBdr>
    </w:div>
    <w:div w:id="295374554">
      <w:bodyDiv w:val="1"/>
      <w:marLeft w:val="0"/>
      <w:marRight w:val="0"/>
      <w:marTop w:val="0"/>
      <w:marBottom w:val="0"/>
      <w:divBdr>
        <w:top w:val="none" w:sz="0" w:space="0" w:color="auto"/>
        <w:left w:val="none" w:sz="0" w:space="0" w:color="auto"/>
        <w:bottom w:val="none" w:sz="0" w:space="0" w:color="auto"/>
        <w:right w:val="none" w:sz="0" w:space="0" w:color="auto"/>
      </w:divBdr>
    </w:div>
    <w:div w:id="295575471">
      <w:bodyDiv w:val="1"/>
      <w:marLeft w:val="0"/>
      <w:marRight w:val="0"/>
      <w:marTop w:val="0"/>
      <w:marBottom w:val="0"/>
      <w:divBdr>
        <w:top w:val="none" w:sz="0" w:space="0" w:color="auto"/>
        <w:left w:val="none" w:sz="0" w:space="0" w:color="auto"/>
        <w:bottom w:val="none" w:sz="0" w:space="0" w:color="auto"/>
        <w:right w:val="none" w:sz="0" w:space="0" w:color="auto"/>
      </w:divBdr>
    </w:div>
    <w:div w:id="295645086">
      <w:bodyDiv w:val="1"/>
      <w:marLeft w:val="0"/>
      <w:marRight w:val="0"/>
      <w:marTop w:val="0"/>
      <w:marBottom w:val="0"/>
      <w:divBdr>
        <w:top w:val="none" w:sz="0" w:space="0" w:color="auto"/>
        <w:left w:val="none" w:sz="0" w:space="0" w:color="auto"/>
        <w:bottom w:val="none" w:sz="0" w:space="0" w:color="auto"/>
        <w:right w:val="none" w:sz="0" w:space="0" w:color="auto"/>
      </w:divBdr>
    </w:div>
    <w:div w:id="295720741">
      <w:bodyDiv w:val="1"/>
      <w:marLeft w:val="0"/>
      <w:marRight w:val="0"/>
      <w:marTop w:val="0"/>
      <w:marBottom w:val="0"/>
      <w:divBdr>
        <w:top w:val="none" w:sz="0" w:space="0" w:color="auto"/>
        <w:left w:val="none" w:sz="0" w:space="0" w:color="auto"/>
        <w:bottom w:val="none" w:sz="0" w:space="0" w:color="auto"/>
        <w:right w:val="none" w:sz="0" w:space="0" w:color="auto"/>
      </w:divBdr>
    </w:div>
    <w:div w:id="295842467">
      <w:bodyDiv w:val="1"/>
      <w:marLeft w:val="0"/>
      <w:marRight w:val="0"/>
      <w:marTop w:val="0"/>
      <w:marBottom w:val="0"/>
      <w:divBdr>
        <w:top w:val="none" w:sz="0" w:space="0" w:color="auto"/>
        <w:left w:val="none" w:sz="0" w:space="0" w:color="auto"/>
        <w:bottom w:val="none" w:sz="0" w:space="0" w:color="auto"/>
        <w:right w:val="none" w:sz="0" w:space="0" w:color="auto"/>
      </w:divBdr>
    </w:div>
    <w:div w:id="295986695">
      <w:bodyDiv w:val="1"/>
      <w:marLeft w:val="0"/>
      <w:marRight w:val="0"/>
      <w:marTop w:val="0"/>
      <w:marBottom w:val="0"/>
      <w:divBdr>
        <w:top w:val="none" w:sz="0" w:space="0" w:color="auto"/>
        <w:left w:val="none" w:sz="0" w:space="0" w:color="auto"/>
        <w:bottom w:val="none" w:sz="0" w:space="0" w:color="auto"/>
        <w:right w:val="none" w:sz="0" w:space="0" w:color="auto"/>
      </w:divBdr>
    </w:div>
    <w:div w:id="296028361">
      <w:bodyDiv w:val="1"/>
      <w:marLeft w:val="0"/>
      <w:marRight w:val="0"/>
      <w:marTop w:val="0"/>
      <w:marBottom w:val="0"/>
      <w:divBdr>
        <w:top w:val="none" w:sz="0" w:space="0" w:color="auto"/>
        <w:left w:val="none" w:sz="0" w:space="0" w:color="auto"/>
        <w:bottom w:val="none" w:sz="0" w:space="0" w:color="auto"/>
        <w:right w:val="none" w:sz="0" w:space="0" w:color="auto"/>
      </w:divBdr>
    </w:div>
    <w:div w:id="296182930">
      <w:bodyDiv w:val="1"/>
      <w:marLeft w:val="0"/>
      <w:marRight w:val="0"/>
      <w:marTop w:val="0"/>
      <w:marBottom w:val="0"/>
      <w:divBdr>
        <w:top w:val="none" w:sz="0" w:space="0" w:color="auto"/>
        <w:left w:val="none" w:sz="0" w:space="0" w:color="auto"/>
        <w:bottom w:val="none" w:sz="0" w:space="0" w:color="auto"/>
        <w:right w:val="none" w:sz="0" w:space="0" w:color="auto"/>
      </w:divBdr>
    </w:div>
    <w:div w:id="296304211">
      <w:bodyDiv w:val="1"/>
      <w:marLeft w:val="0"/>
      <w:marRight w:val="0"/>
      <w:marTop w:val="0"/>
      <w:marBottom w:val="0"/>
      <w:divBdr>
        <w:top w:val="none" w:sz="0" w:space="0" w:color="auto"/>
        <w:left w:val="none" w:sz="0" w:space="0" w:color="auto"/>
        <w:bottom w:val="none" w:sz="0" w:space="0" w:color="auto"/>
        <w:right w:val="none" w:sz="0" w:space="0" w:color="auto"/>
      </w:divBdr>
    </w:div>
    <w:div w:id="296375890">
      <w:bodyDiv w:val="1"/>
      <w:marLeft w:val="0"/>
      <w:marRight w:val="0"/>
      <w:marTop w:val="0"/>
      <w:marBottom w:val="0"/>
      <w:divBdr>
        <w:top w:val="none" w:sz="0" w:space="0" w:color="auto"/>
        <w:left w:val="none" w:sz="0" w:space="0" w:color="auto"/>
        <w:bottom w:val="none" w:sz="0" w:space="0" w:color="auto"/>
        <w:right w:val="none" w:sz="0" w:space="0" w:color="auto"/>
      </w:divBdr>
    </w:div>
    <w:div w:id="296380318">
      <w:bodyDiv w:val="1"/>
      <w:marLeft w:val="0"/>
      <w:marRight w:val="0"/>
      <w:marTop w:val="0"/>
      <w:marBottom w:val="0"/>
      <w:divBdr>
        <w:top w:val="none" w:sz="0" w:space="0" w:color="auto"/>
        <w:left w:val="none" w:sz="0" w:space="0" w:color="auto"/>
        <w:bottom w:val="none" w:sz="0" w:space="0" w:color="auto"/>
        <w:right w:val="none" w:sz="0" w:space="0" w:color="auto"/>
      </w:divBdr>
    </w:div>
    <w:div w:id="296424085">
      <w:bodyDiv w:val="1"/>
      <w:marLeft w:val="0"/>
      <w:marRight w:val="0"/>
      <w:marTop w:val="0"/>
      <w:marBottom w:val="0"/>
      <w:divBdr>
        <w:top w:val="none" w:sz="0" w:space="0" w:color="auto"/>
        <w:left w:val="none" w:sz="0" w:space="0" w:color="auto"/>
        <w:bottom w:val="none" w:sz="0" w:space="0" w:color="auto"/>
        <w:right w:val="none" w:sz="0" w:space="0" w:color="auto"/>
      </w:divBdr>
    </w:div>
    <w:div w:id="296448309">
      <w:bodyDiv w:val="1"/>
      <w:marLeft w:val="0"/>
      <w:marRight w:val="0"/>
      <w:marTop w:val="0"/>
      <w:marBottom w:val="0"/>
      <w:divBdr>
        <w:top w:val="none" w:sz="0" w:space="0" w:color="auto"/>
        <w:left w:val="none" w:sz="0" w:space="0" w:color="auto"/>
        <w:bottom w:val="none" w:sz="0" w:space="0" w:color="auto"/>
        <w:right w:val="none" w:sz="0" w:space="0" w:color="auto"/>
      </w:divBdr>
    </w:div>
    <w:div w:id="296492693">
      <w:bodyDiv w:val="1"/>
      <w:marLeft w:val="0"/>
      <w:marRight w:val="0"/>
      <w:marTop w:val="0"/>
      <w:marBottom w:val="0"/>
      <w:divBdr>
        <w:top w:val="none" w:sz="0" w:space="0" w:color="auto"/>
        <w:left w:val="none" w:sz="0" w:space="0" w:color="auto"/>
        <w:bottom w:val="none" w:sz="0" w:space="0" w:color="auto"/>
        <w:right w:val="none" w:sz="0" w:space="0" w:color="auto"/>
      </w:divBdr>
    </w:div>
    <w:div w:id="296495732">
      <w:bodyDiv w:val="1"/>
      <w:marLeft w:val="0"/>
      <w:marRight w:val="0"/>
      <w:marTop w:val="0"/>
      <w:marBottom w:val="0"/>
      <w:divBdr>
        <w:top w:val="none" w:sz="0" w:space="0" w:color="auto"/>
        <w:left w:val="none" w:sz="0" w:space="0" w:color="auto"/>
        <w:bottom w:val="none" w:sz="0" w:space="0" w:color="auto"/>
        <w:right w:val="none" w:sz="0" w:space="0" w:color="auto"/>
      </w:divBdr>
    </w:div>
    <w:div w:id="296641073">
      <w:bodyDiv w:val="1"/>
      <w:marLeft w:val="0"/>
      <w:marRight w:val="0"/>
      <w:marTop w:val="0"/>
      <w:marBottom w:val="0"/>
      <w:divBdr>
        <w:top w:val="none" w:sz="0" w:space="0" w:color="auto"/>
        <w:left w:val="none" w:sz="0" w:space="0" w:color="auto"/>
        <w:bottom w:val="none" w:sz="0" w:space="0" w:color="auto"/>
        <w:right w:val="none" w:sz="0" w:space="0" w:color="auto"/>
      </w:divBdr>
    </w:div>
    <w:div w:id="296759895">
      <w:bodyDiv w:val="1"/>
      <w:marLeft w:val="0"/>
      <w:marRight w:val="0"/>
      <w:marTop w:val="0"/>
      <w:marBottom w:val="0"/>
      <w:divBdr>
        <w:top w:val="none" w:sz="0" w:space="0" w:color="auto"/>
        <w:left w:val="none" w:sz="0" w:space="0" w:color="auto"/>
        <w:bottom w:val="none" w:sz="0" w:space="0" w:color="auto"/>
        <w:right w:val="none" w:sz="0" w:space="0" w:color="auto"/>
      </w:divBdr>
    </w:div>
    <w:div w:id="296767447">
      <w:bodyDiv w:val="1"/>
      <w:marLeft w:val="0"/>
      <w:marRight w:val="0"/>
      <w:marTop w:val="0"/>
      <w:marBottom w:val="0"/>
      <w:divBdr>
        <w:top w:val="none" w:sz="0" w:space="0" w:color="auto"/>
        <w:left w:val="none" w:sz="0" w:space="0" w:color="auto"/>
        <w:bottom w:val="none" w:sz="0" w:space="0" w:color="auto"/>
        <w:right w:val="none" w:sz="0" w:space="0" w:color="auto"/>
      </w:divBdr>
    </w:div>
    <w:div w:id="296837851">
      <w:bodyDiv w:val="1"/>
      <w:marLeft w:val="0"/>
      <w:marRight w:val="0"/>
      <w:marTop w:val="0"/>
      <w:marBottom w:val="0"/>
      <w:divBdr>
        <w:top w:val="none" w:sz="0" w:space="0" w:color="auto"/>
        <w:left w:val="none" w:sz="0" w:space="0" w:color="auto"/>
        <w:bottom w:val="none" w:sz="0" w:space="0" w:color="auto"/>
        <w:right w:val="none" w:sz="0" w:space="0" w:color="auto"/>
      </w:divBdr>
    </w:div>
    <w:div w:id="296882469">
      <w:bodyDiv w:val="1"/>
      <w:marLeft w:val="0"/>
      <w:marRight w:val="0"/>
      <w:marTop w:val="0"/>
      <w:marBottom w:val="0"/>
      <w:divBdr>
        <w:top w:val="none" w:sz="0" w:space="0" w:color="auto"/>
        <w:left w:val="none" w:sz="0" w:space="0" w:color="auto"/>
        <w:bottom w:val="none" w:sz="0" w:space="0" w:color="auto"/>
        <w:right w:val="none" w:sz="0" w:space="0" w:color="auto"/>
      </w:divBdr>
    </w:div>
    <w:div w:id="297075398">
      <w:bodyDiv w:val="1"/>
      <w:marLeft w:val="0"/>
      <w:marRight w:val="0"/>
      <w:marTop w:val="0"/>
      <w:marBottom w:val="0"/>
      <w:divBdr>
        <w:top w:val="none" w:sz="0" w:space="0" w:color="auto"/>
        <w:left w:val="none" w:sz="0" w:space="0" w:color="auto"/>
        <w:bottom w:val="none" w:sz="0" w:space="0" w:color="auto"/>
        <w:right w:val="none" w:sz="0" w:space="0" w:color="auto"/>
      </w:divBdr>
    </w:div>
    <w:div w:id="297075721">
      <w:bodyDiv w:val="1"/>
      <w:marLeft w:val="0"/>
      <w:marRight w:val="0"/>
      <w:marTop w:val="0"/>
      <w:marBottom w:val="0"/>
      <w:divBdr>
        <w:top w:val="none" w:sz="0" w:space="0" w:color="auto"/>
        <w:left w:val="none" w:sz="0" w:space="0" w:color="auto"/>
        <w:bottom w:val="none" w:sz="0" w:space="0" w:color="auto"/>
        <w:right w:val="none" w:sz="0" w:space="0" w:color="auto"/>
      </w:divBdr>
    </w:div>
    <w:div w:id="297105430">
      <w:bodyDiv w:val="1"/>
      <w:marLeft w:val="0"/>
      <w:marRight w:val="0"/>
      <w:marTop w:val="0"/>
      <w:marBottom w:val="0"/>
      <w:divBdr>
        <w:top w:val="none" w:sz="0" w:space="0" w:color="auto"/>
        <w:left w:val="none" w:sz="0" w:space="0" w:color="auto"/>
        <w:bottom w:val="none" w:sz="0" w:space="0" w:color="auto"/>
        <w:right w:val="none" w:sz="0" w:space="0" w:color="auto"/>
      </w:divBdr>
    </w:div>
    <w:div w:id="297152473">
      <w:bodyDiv w:val="1"/>
      <w:marLeft w:val="0"/>
      <w:marRight w:val="0"/>
      <w:marTop w:val="0"/>
      <w:marBottom w:val="0"/>
      <w:divBdr>
        <w:top w:val="none" w:sz="0" w:space="0" w:color="auto"/>
        <w:left w:val="none" w:sz="0" w:space="0" w:color="auto"/>
        <w:bottom w:val="none" w:sz="0" w:space="0" w:color="auto"/>
        <w:right w:val="none" w:sz="0" w:space="0" w:color="auto"/>
      </w:divBdr>
    </w:div>
    <w:div w:id="297220629">
      <w:bodyDiv w:val="1"/>
      <w:marLeft w:val="0"/>
      <w:marRight w:val="0"/>
      <w:marTop w:val="0"/>
      <w:marBottom w:val="0"/>
      <w:divBdr>
        <w:top w:val="none" w:sz="0" w:space="0" w:color="auto"/>
        <w:left w:val="none" w:sz="0" w:space="0" w:color="auto"/>
        <w:bottom w:val="none" w:sz="0" w:space="0" w:color="auto"/>
        <w:right w:val="none" w:sz="0" w:space="0" w:color="auto"/>
      </w:divBdr>
    </w:div>
    <w:div w:id="297221006">
      <w:bodyDiv w:val="1"/>
      <w:marLeft w:val="0"/>
      <w:marRight w:val="0"/>
      <w:marTop w:val="0"/>
      <w:marBottom w:val="0"/>
      <w:divBdr>
        <w:top w:val="none" w:sz="0" w:space="0" w:color="auto"/>
        <w:left w:val="none" w:sz="0" w:space="0" w:color="auto"/>
        <w:bottom w:val="none" w:sz="0" w:space="0" w:color="auto"/>
        <w:right w:val="none" w:sz="0" w:space="0" w:color="auto"/>
      </w:divBdr>
    </w:div>
    <w:div w:id="297225194">
      <w:bodyDiv w:val="1"/>
      <w:marLeft w:val="0"/>
      <w:marRight w:val="0"/>
      <w:marTop w:val="0"/>
      <w:marBottom w:val="0"/>
      <w:divBdr>
        <w:top w:val="none" w:sz="0" w:space="0" w:color="auto"/>
        <w:left w:val="none" w:sz="0" w:space="0" w:color="auto"/>
        <w:bottom w:val="none" w:sz="0" w:space="0" w:color="auto"/>
        <w:right w:val="none" w:sz="0" w:space="0" w:color="auto"/>
      </w:divBdr>
    </w:div>
    <w:div w:id="297228931">
      <w:bodyDiv w:val="1"/>
      <w:marLeft w:val="0"/>
      <w:marRight w:val="0"/>
      <w:marTop w:val="0"/>
      <w:marBottom w:val="0"/>
      <w:divBdr>
        <w:top w:val="none" w:sz="0" w:space="0" w:color="auto"/>
        <w:left w:val="none" w:sz="0" w:space="0" w:color="auto"/>
        <w:bottom w:val="none" w:sz="0" w:space="0" w:color="auto"/>
        <w:right w:val="none" w:sz="0" w:space="0" w:color="auto"/>
      </w:divBdr>
    </w:div>
    <w:div w:id="297296952">
      <w:bodyDiv w:val="1"/>
      <w:marLeft w:val="0"/>
      <w:marRight w:val="0"/>
      <w:marTop w:val="0"/>
      <w:marBottom w:val="0"/>
      <w:divBdr>
        <w:top w:val="none" w:sz="0" w:space="0" w:color="auto"/>
        <w:left w:val="none" w:sz="0" w:space="0" w:color="auto"/>
        <w:bottom w:val="none" w:sz="0" w:space="0" w:color="auto"/>
        <w:right w:val="none" w:sz="0" w:space="0" w:color="auto"/>
      </w:divBdr>
    </w:div>
    <w:div w:id="297303157">
      <w:bodyDiv w:val="1"/>
      <w:marLeft w:val="0"/>
      <w:marRight w:val="0"/>
      <w:marTop w:val="0"/>
      <w:marBottom w:val="0"/>
      <w:divBdr>
        <w:top w:val="none" w:sz="0" w:space="0" w:color="auto"/>
        <w:left w:val="none" w:sz="0" w:space="0" w:color="auto"/>
        <w:bottom w:val="none" w:sz="0" w:space="0" w:color="auto"/>
        <w:right w:val="none" w:sz="0" w:space="0" w:color="auto"/>
      </w:divBdr>
    </w:div>
    <w:div w:id="297342729">
      <w:bodyDiv w:val="1"/>
      <w:marLeft w:val="0"/>
      <w:marRight w:val="0"/>
      <w:marTop w:val="0"/>
      <w:marBottom w:val="0"/>
      <w:divBdr>
        <w:top w:val="none" w:sz="0" w:space="0" w:color="auto"/>
        <w:left w:val="none" w:sz="0" w:space="0" w:color="auto"/>
        <w:bottom w:val="none" w:sz="0" w:space="0" w:color="auto"/>
        <w:right w:val="none" w:sz="0" w:space="0" w:color="auto"/>
      </w:divBdr>
    </w:div>
    <w:div w:id="297492063">
      <w:bodyDiv w:val="1"/>
      <w:marLeft w:val="0"/>
      <w:marRight w:val="0"/>
      <w:marTop w:val="0"/>
      <w:marBottom w:val="0"/>
      <w:divBdr>
        <w:top w:val="none" w:sz="0" w:space="0" w:color="auto"/>
        <w:left w:val="none" w:sz="0" w:space="0" w:color="auto"/>
        <w:bottom w:val="none" w:sz="0" w:space="0" w:color="auto"/>
        <w:right w:val="none" w:sz="0" w:space="0" w:color="auto"/>
      </w:divBdr>
    </w:div>
    <w:div w:id="297492306">
      <w:bodyDiv w:val="1"/>
      <w:marLeft w:val="0"/>
      <w:marRight w:val="0"/>
      <w:marTop w:val="0"/>
      <w:marBottom w:val="0"/>
      <w:divBdr>
        <w:top w:val="none" w:sz="0" w:space="0" w:color="auto"/>
        <w:left w:val="none" w:sz="0" w:space="0" w:color="auto"/>
        <w:bottom w:val="none" w:sz="0" w:space="0" w:color="auto"/>
        <w:right w:val="none" w:sz="0" w:space="0" w:color="auto"/>
      </w:divBdr>
    </w:div>
    <w:div w:id="297539470">
      <w:bodyDiv w:val="1"/>
      <w:marLeft w:val="0"/>
      <w:marRight w:val="0"/>
      <w:marTop w:val="0"/>
      <w:marBottom w:val="0"/>
      <w:divBdr>
        <w:top w:val="none" w:sz="0" w:space="0" w:color="auto"/>
        <w:left w:val="none" w:sz="0" w:space="0" w:color="auto"/>
        <w:bottom w:val="none" w:sz="0" w:space="0" w:color="auto"/>
        <w:right w:val="none" w:sz="0" w:space="0" w:color="auto"/>
      </w:divBdr>
    </w:div>
    <w:div w:id="297610431">
      <w:bodyDiv w:val="1"/>
      <w:marLeft w:val="0"/>
      <w:marRight w:val="0"/>
      <w:marTop w:val="0"/>
      <w:marBottom w:val="0"/>
      <w:divBdr>
        <w:top w:val="none" w:sz="0" w:space="0" w:color="auto"/>
        <w:left w:val="none" w:sz="0" w:space="0" w:color="auto"/>
        <w:bottom w:val="none" w:sz="0" w:space="0" w:color="auto"/>
        <w:right w:val="none" w:sz="0" w:space="0" w:color="auto"/>
      </w:divBdr>
    </w:div>
    <w:div w:id="297616790">
      <w:bodyDiv w:val="1"/>
      <w:marLeft w:val="0"/>
      <w:marRight w:val="0"/>
      <w:marTop w:val="0"/>
      <w:marBottom w:val="0"/>
      <w:divBdr>
        <w:top w:val="none" w:sz="0" w:space="0" w:color="auto"/>
        <w:left w:val="none" w:sz="0" w:space="0" w:color="auto"/>
        <w:bottom w:val="none" w:sz="0" w:space="0" w:color="auto"/>
        <w:right w:val="none" w:sz="0" w:space="0" w:color="auto"/>
      </w:divBdr>
    </w:div>
    <w:div w:id="297683511">
      <w:bodyDiv w:val="1"/>
      <w:marLeft w:val="0"/>
      <w:marRight w:val="0"/>
      <w:marTop w:val="0"/>
      <w:marBottom w:val="0"/>
      <w:divBdr>
        <w:top w:val="none" w:sz="0" w:space="0" w:color="auto"/>
        <w:left w:val="none" w:sz="0" w:space="0" w:color="auto"/>
        <w:bottom w:val="none" w:sz="0" w:space="0" w:color="auto"/>
        <w:right w:val="none" w:sz="0" w:space="0" w:color="auto"/>
      </w:divBdr>
    </w:div>
    <w:div w:id="297685647">
      <w:bodyDiv w:val="1"/>
      <w:marLeft w:val="0"/>
      <w:marRight w:val="0"/>
      <w:marTop w:val="0"/>
      <w:marBottom w:val="0"/>
      <w:divBdr>
        <w:top w:val="none" w:sz="0" w:space="0" w:color="auto"/>
        <w:left w:val="none" w:sz="0" w:space="0" w:color="auto"/>
        <w:bottom w:val="none" w:sz="0" w:space="0" w:color="auto"/>
        <w:right w:val="none" w:sz="0" w:space="0" w:color="auto"/>
      </w:divBdr>
    </w:div>
    <w:div w:id="297730985">
      <w:bodyDiv w:val="1"/>
      <w:marLeft w:val="0"/>
      <w:marRight w:val="0"/>
      <w:marTop w:val="0"/>
      <w:marBottom w:val="0"/>
      <w:divBdr>
        <w:top w:val="none" w:sz="0" w:space="0" w:color="auto"/>
        <w:left w:val="none" w:sz="0" w:space="0" w:color="auto"/>
        <w:bottom w:val="none" w:sz="0" w:space="0" w:color="auto"/>
        <w:right w:val="none" w:sz="0" w:space="0" w:color="auto"/>
      </w:divBdr>
    </w:div>
    <w:div w:id="297733956">
      <w:bodyDiv w:val="1"/>
      <w:marLeft w:val="0"/>
      <w:marRight w:val="0"/>
      <w:marTop w:val="0"/>
      <w:marBottom w:val="0"/>
      <w:divBdr>
        <w:top w:val="none" w:sz="0" w:space="0" w:color="auto"/>
        <w:left w:val="none" w:sz="0" w:space="0" w:color="auto"/>
        <w:bottom w:val="none" w:sz="0" w:space="0" w:color="auto"/>
        <w:right w:val="none" w:sz="0" w:space="0" w:color="auto"/>
      </w:divBdr>
    </w:div>
    <w:div w:id="297882166">
      <w:bodyDiv w:val="1"/>
      <w:marLeft w:val="0"/>
      <w:marRight w:val="0"/>
      <w:marTop w:val="0"/>
      <w:marBottom w:val="0"/>
      <w:divBdr>
        <w:top w:val="none" w:sz="0" w:space="0" w:color="auto"/>
        <w:left w:val="none" w:sz="0" w:space="0" w:color="auto"/>
        <w:bottom w:val="none" w:sz="0" w:space="0" w:color="auto"/>
        <w:right w:val="none" w:sz="0" w:space="0" w:color="auto"/>
      </w:divBdr>
    </w:div>
    <w:div w:id="297927632">
      <w:bodyDiv w:val="1"/>
      <w:marLeft w:val="0"/>
      <w:marRight w:val="0"/>
      <w:marTop w:val="0"/>
      <w:marBottom w:val="0"/>
      <w:divBdr>
        <w:top w:val="none" w:sz="0" w:space="0" w:color="auto"/>
        <w:left w:val="none" w:sz="0" w:space="0" w:color="auto"/>
        <w:bottom w:val="none" w:sz="0" w:space="0" w:color="auto"/>
        <w:right w:val="none" w:sz="0" w:space="0" w:color="auto"/>
      </w:divBdr>
    </w:div>
    <w:div w:id="297958641">
      <w:bodyDiv w:val="1"/>
      <w:marLeft w:val="0"/>
      <w:marRight w:val="0"/>
      <w:marTop w:val="0"/>
      <w:marBottom w:val="0"/>
      <w:divBdr>
        <w:top w:val="none" w:sz="0" w:space="0" w:color="auto"/>
        <w:left w:val="none" w:sz="0" w:space="0" w:color="auto"/>
        <w:bottom w:val="none" w:sz="0" w:space="0" w:color="auto"/>
        <w:right w:val="none" w:sz="0" w:space="0" w:color="auto"/>
      </w:divBdr>
    </w:div>
    <w:div w:id="298070170">
      <w:bodyDiv w:val="1"/>
      <w:marLeft w:val="0"/>
      <w:marRight w:val="0"/>
      <w:marTop w:val="0"/>
      <w:marBottom w:val="0"/>
      <w:divBdr>
        <w:top w:val="none" w:sz="0" w:space="0" w:color="auto"/>
        <w:left w:val="none" w:sz="0" w:space="0" w:color="auto"/>
        <w:bottom w:val="none" w:sz="0" w:space="0" w:color="auto"/>
        <w:right w:val="none" w:sz="0" w:space="0" w:color="auto"/>
      </w:divBdr>
    </w:div>
    <w:div w:id="298263354">
      <w:bodyDiv w:val="1"/>
      <w:marLeft w:val="0"/>
      <w:marRight w:val="0"/>
      <w:marTop w:val="0"/>
      <w:marBottom w:val="0"/>
      <w:divBdr>
        <w:top w:val="none" w:sz="0" w:space="0" w:color="auto"/>
        <w:left w:val="none" w:sz="0" w:space="0" w:color="auto"/>
        <w:bottom w:val="none" w:sz="0" w:space="0" w:color="auto"/>
        <w:right w:val="none" w:sz="0" w:space="0" w:color="auto"/>
      </w:divBdr>
    </w:div>
    <w:div w:id="298344645">
      <w:bodyDiv w:val="1"/>
      <w:marLeft w:val="0"/>
      <w:marRight w:val="0"/>
      <w:marTop w:val="0"/>
      <w:marBottom w:val="0"/>
      <w:divBdr>
        <w:top w:val="none" w:sz="0" w:space="0" w:color="auto"/>
        <w:left w:val="none" w:sz="0" w:space="0" w:color="auto"/>
        <w:bottom w:val="none" w:sz="0" w:space="0" w:color="auto"/>
        <w:right w:val="none" w:sz="0" w:space="0" w:color="auto"/>
      </w:divBdr>
    </w:div>
    <w:div w:id="298346641">
      <w:bodyDiv w:val="1"/>
      <w:marLeft w:val="0"/>
      <w:marRight w:val="0"/>
      <w:marTop w:val="0"/>
      <w:marBottom w:val="0"/>
      <w:divBdr>
        <w:top w:val="none" w:sz="0" w:space="0" w:color="auto"/>
        <w:left w:val="none" w:sz="0" w:space="0" w:color="auto"/>
        <w:bottom w:val="none" w:sz="0" w:space="0" w:color="auto"/>
        <w:right w:val="none" w:sz="0" w:space="0" w:color="auto"/>
      </w:divBdr>
    </w:div>
    <w:div w:id="298459756">
      <w:bodyDiv w:val="1"/>
      <w:marLeft w:val="0"/>
      <w:marRight w:val="0"/>
      <w:marTop w:val="0"/>
      <w:marBottom w:val="0"/>
      <w:divBdr>
        <w:top w:val="none" w:sz="0" w:space="0" w:color="auto"/>
        <w:left w:val="none" w:sz="0" w:space="0" w:color="auto"/>
        <w:bottom w:val="none" w:sz="0" w:space="0" w:color="auto"/>
        <w:right w:val="none" w:sz="0" w:space="0" w:color="auto"/>
      </w:divBdr>
    </w:div>
    <w:div w:id="298461067">
      <w:bodyDiv w:val="1"/>
      <w:marLeft w:val="0"/>
      <w:marRight w:val="0"/>
      <w:marTop w:val="0"/>
      <w:marBottom w:val="0"/>
      <w:divBdr>
        <w:top w:val="none" w:sz="0" w:space="0" w:color="auto"/>
        <w:left w:val="none" w:sz="0" w:space="0" w:color="auto"/>
        <w:bottom w:val="none" w:sz="0" w:space="0" w:color="auto"/>
        <w:right w:val="none" w:sz="0" w:space="0" w:color="auto"/>
      </w:divBdr>
    </w:div>
    <w:div w:id="298461294">
      <w:bodyDiv w:val="1"/>
      <w:marLeft w:val="0"/>
      <w:marRight w:val="0"/>
      <w:marTop w:val="0"/>
      <w:marBottom w:val="0"/>
      <w:divBdr>
        <w:top w:val="none" w:sz="0" w:space="0" w:color="auto"/>
        <w:left w:val="none" w:sz="0" w:space="0" w:color="auto"/>
        <w:bottom w:val="none" w:sz="0" w:space="0" w:color="auto"/>
        <w:right w:val="none" w:sz="0" w:space="0" w:color="auto"/>
      </w:divBdr>
    </w:div>
    <w:div w:id="298532481">
      <w:bodyDiv w:val="1"/>
      <w:marLeft w:val="0"/>
      <w:marRight w:val="0"/>
      <w:marTop w:val="0"/>
      <w:marBottom w:val="0"/>
      <w:divBdr>
        <w:top w:val="none" w:sz="0" w:space="0" w:color="auto"/>
        <w:left w:val="none" w:sz="0" w:space="0" w:color="auto"/>
        <w:bottom w:val="none" w:sz="0" w:space="0" w:color="auto"/>
        <w:right w:val="none" w:sz="0" w:space="0" w:color="auto"/>
      </w:divBdr>
    </w:div>
    <w:div w:id="298654901">
      <w:bodyDiv w:val="1"/>
      <w:marLeft w:val="0"/>
      <w:marRight w:val="0"/>
      <w:marTop w:val="0"/>
      <w:marBottom w:val="0"/>
      <w:divBdr>
        <w:top w:val="none" w:sz="0" w:space="0" w:color="auto"/>
        <w:left w:val="none" w:sz="0" w:space="0" w:color="auto"/>
        <w:bottom w:val="none" w:sz="0" w:space="0" w:color="auto"/>
        <w:right w:val="none" w:sz="0" w:space="0" w:color="auto"/>
      </w:divBdr>
    </w:div>
    <w:div w:id="298656508">
      <w:bodyDiv w:val="1"/>
      <w:marLeft w:val="0"/>
      <w:marRight w:val="0"/>
      <w:marTop w:val="0"/>
      <w:marBottom w:val="0"/>
      <w:divBdr>
        <w:top w:val="none" w:sz="0" w:space="0" w:color="auto"/>
        <w:left w:val="none" w:sz="0" w:space="0" w:color="auto"/>
        <w:bottom w:val="none" w:sz="0" w:space="0" w:color="auto"/>
        <w:right w:val="none" w:sz="0" w:space="0" w:color="auto"/>
      </w:divBdr>
    </w:div>
    <w:div w:id="298657354">
      <w:bodyDiv w:val="1"/>
      <w:marLeft w:val="0"/>
      <w:marRight w:val="0"/>
      <w:marTop w:val="0"/>
      <w:marBottom w:val="0"/>
      <w:divBdr>
        <w:top w:val="none" w:sz="0" w:space="0" w:color="auto"/>
        <w:left w:val="none" w:sz="0" w:space="0" w:color="auto"/>
        <w:bottom w:val="none" w:sz="0" w:space="0" w:color="auto"/>
        <w:right w:val="none" w:sz="0" w:space="0" w:color="auto"/>
      </w:divBdr>
    </w:div>
    <w:div w:id="298724897">
      <w:bodyDiv w:val="1"/>
      <w:marLeft w:val="0"/>
      <w:marRight w:val="0"/>
      <w:marTop w:val="0"/>
      <w:marBottom w:val="0"/>
      <w:divBdr>
        <w:top w:val="none" w:sz="0" w:space="0" w:color="auto"/>
        <w:left w:val="none" w:sz="0" w:space="0" w:color="auto"/>
        <w:bottom w:val="none" w:sz="0" w:space="0" w:color="auto"/>
        <w:right w:val="none" w:sz="0" w:space="0" w:color="auto"/>
      </w:divBdr>
    </w:div>
    <w:div w:id="298732805">
      <w:bodyDiv w:val="1"/>
      <w:marLeft w:val="0"/>
      <w:marRight w:val="0"/>
      <w:marTop w:val="0"/>
      <w:marBottom w:val="0"/>
      <w:divBdr>
        <w:top w:val="none" w:sz="0" w:space="0" w:color="auto"/>
        <w:left w:val="none" w:sz="0" w:space="0" w:color="auto"/>
        <w:bottom w:val="none" w:sz="0" w:space="0" w:color="auto"/>
        <w:right w:val="none" w:sz="0" w:space="0" w:color="auto"/>
      </w:divBdr>
    </w:div>
    <w:div w:id="298922431">
      <w:bodyDiv w:val="1"/>
      <w:marLeft w:val="0"/>
      <w:marRight w:val="0"/>
      <w:marTop w:val="0"/>
      <w:marBottom w:val="0"/>
      <w:divBdr>
        <w:top w:val="none" w:sz="0" w:space="0" w:color="auto"/>
        <w:left w:val="none" w:sz="0" w:space="0" w:color="auto"/>
        <w:bottom w:val="none" w:sz="0" w:space="0" w:color="auto"/>
        <w:right w:val="none" w:sz="0" w:space="0" w:color="auto"/>
      </w:divBdr>
    </w:div>
    <w:div w:id="298923635">
      <w:bodyDiv w:val="1"/>
      <w:marLeft w:val="0"/>
      <w:marRight w:val="0"/>
      <w:marTop w:val="0"/>
      <w:marBottom w:val="0"/>
      <w:divBdr>
        <w:top w:val="none" w:sz="0" w:space="0" w:color="auto"/>
        <w:left w:val="none" w:sz="0" w:space="0" w:color="auto"/>
        <w:bottom w:val="none" w:sz="0" w:space="0" w:color="auto"/>
        <w:right w:val="none" w:sz="0" w:space="0" w:color="auto"/>
      </w:divBdr>
    </w:div>
    <w:div w:id="298927368">
      <w:bodyDiv w:val="1"/>
      <w:marLeft w:val="0"/>
      <w:marRight w:val="0"/>
      <w:marTop w:val="0"/>
      <w:marBottom w:val="0"/>
      <w:divBdr>
        <w:top w:val="none" w:sz="0" w:space="0" w:color="auto"/>
        <w:left w:val="none" w:sz="0" w:space="0" w:color="auto"/>
        <w:bottom w:val="none" w:sz="0" w:space="0" w:color="auto"/>
        <w:right w:val="none" w:sz="0" w:space="0" w:color="auto"/>
      </w:divBdr>
    </w:div>
    <w:div w:id="298993966">
      <w:bodyDiv w:val="1"/>
      <w:marLeft w:val="0"/>
      <w:marRight w:val="0"/>
      <w:marTop w:val="0"/>
      <w:marBottom w:val="0"/>
      <w:divBdr>
        <w:top w:val="none" w:sz="0" w:space="0" w:color="auto"/>
        <w:left w:val="none" w:sz="0" w:space="0" w:color="auto"/>
        <w:bottom w:val="none" w:sz="0" w:space="0" w:color="auto"/>
        <w:right w:val="none" w:sz="0" w:space="0" w:color="auto"/>
      </w:divBdr>
    </w:div>
    <w:div w:id="299266900">
      <w:bodyDiv w:val="1"/>
      <w:marLeft w:val="0"/>
      <w:marRight w:val="0"/>
      <w:marTop w:val="0"/>
      <w:marBottom w:val="0"/>
      <w:divBdr>
        <w:top w:val="none" w:sz="0" w:space="0" w:color="auto"/>
        <w:left w:val="none" w:sz="0" w:space="0" w:color="auto"/>
        <w:bottom w:val="none" w:sz="0" w:space="0" w:color="auto"/>
        <w:right w:val="none" w:sz="0" w:space="0" w:color="auto"/>
      </w:divBdr>
    </w:div>
    <w:div w:id="299389065">
      <w:bodyDiv w:val="1"/>
      <w:marLeft w:val="0"/>
      <w:marRight w:val="0"/>
      <w:marTop w:val="0"/>
      <w:marBottom w:val="0"/>
      <w:divBdr>
        <w:top w:val="none" w:sz="0" w:space="0" w:color="auto"/>
        <w:left w:val="none" w:sz="0" w:space="0" w:color="auto"/>
        <w:bottom w:val="none" w:sz="0" w:space="0" w:color="auto"/>
        <w:right w:val="none" w:sz="0" w:space="0" w:color="auto"/>
      </w:divBdr>
    </w:div>
    <w:div w:id="299461137">
      <w:bodyDiv w:val="1"/>
      <w:marLeft w:val="0"/>
      <w:marRight w:val="0"/>
      <w:marTop w:val="0"/>
      <w:marBottom w:val="0"/>
      <w:divBdr>
        <w:top w:val="none" w:sz="0" w:space="0" w:color="auto"/>
        <w:left w:val="none" w:sz="0" w:space="0" w:color="auto"/>
        <w:bottom w:val="none" w:sz="0" w:space="0" w:color="auto"/>
        <w:right w:val="none" w:sz="0" w:space="0" w:color="auto"/>
      </w:divBdr>
    </w:div>
    <w:div w:id="299499857">
      <w:bodyDiv w:val="1"/>
      <w:marLeft w:val="0"/>
      <w:marRight w:val="0"/>
      <w:marTop w:val="0"/>
      <w:marBottom w:val="0"/>
      <w:divBdr>
        <w:top w:val="none" w:sz="0" w:space="0" w:color="auto"/>
        <w:left w:val="none" w:sz="0" w:space="0" w:color="auto"/>
        <w:bottom w:val="none" w:sz="0" w:space="0" w:color="auto"/>
        <w:right w:val="none" w:sz="0" w:space="0" w:color="auto"/>
      </w:divBdr>
    </w:div>
    <w:div w:id="299505844">
      <w:bodyDiv w:val="1"/>
      <w:marLeft w:val="0"/>
      <w:marRight w:val="0"/>
      <w:marTop w:val="0"/>
      <w:marBottom w:val="0"/>
      <w:divBdr>
        <w:top w:val="none" w:sz="0" w:space="0" w:color="auto"/>
        <w:left w:val="none" w:sz="0" w:space="0" w:color="auto"/>
        <w:bottom w:val="none" w:sz="0" w:space="0" w:color="auto"/>
        <w:right w:val="none" w:sz="0" w:space="0" w:color="auto"/>
      </w:divBdr>
    </w:div>
    <w:div w:id="299724532">
      <w:bodyDiv w:val="1"/>
      <w:marLeft w:val="0"/>
      <w:marRight w:val="0"/>
      <w:marTop w:val="0"/>
      <w:marBottom w:val="0"/>
      <w:divBdr>
        <w:top w:val="none" w:sz="0" w:space="0" w:color="auto"/>
        <w:left w:val="none" w:sz="0" w:space="0" w:color="auto"/>
        <w:bottom w:val="none" w:sz="0" w:space="0" w:color="auto"/>
        <w:right w:val="none" w:sz="0" w:space="0" w:color="auto"/>
      </w:divBdr>
    </w:div>
    <w:div w:id="299850231">
      <w:bodyDiv w:val="1"/>
      <w:marLeft w:val="0"/>
      <w:marRight w:val="0"/>
      <w:marTop w:val="0"/>
      <w:marBottom w:val="0"/>
      <w:divBdr>
        <w:top w:val="none" w:sz="0" w:space="0" w:color="auto"/>
        <w:left w:val="none" w:sz="0" w:space="0" w:color="auto"/>
        <w:bottom w:val="none" w:sz="0" w:space="0" w:color="auto"/>
        <w:right w:val="none" w:sz="0" w:space="0" w:color="auto"/>
      </w:divBdr>
    </w:div>
    <w:div w:id="299919084">
      <w:bodyDiv w:val="1"/>
      <w:marLeft w:val="0"/>
      <w:marRight w:val="0"/>
      <w:marTop w:val="0"/>
      <w:marBottom w:val="0"/>
      <w:divBdr>
        <w:top w:val="none" w:sz="0" w:space="0" w:color="auto"/>
        <w:left w:val="none" w:sz="0" w:space="0" w:color="auto"/>
        <w:bottom w:val="none" w:sz="0" w:space="0" w:color="auto"/>
        <w:right w:val="none" w:sz="0" w:space="0" w:color="auto"/>
      </w:divBdr>
    </w:div>
    <w:div w:id="300110406">
      <w:bodyDiv w:val="1"/>
      <w:marLeft w:val="0"/>
      <w:marRight w:val="0"/>
      <w:marTop w:val="0"/>
      <w:marBottom w:val="0"/>
      <w:divBdr>
        <w:top w:val="none" w:sz="0" w:space="0" w:color="auto"/>
        <w:left w:val="none" w:sz="0" w:space="0" w:color="auto"/>
        <w:bottom w:val="none" w:sz="0" w:space="0" w:color="auto"/>
        <w:right w:val="none" w:sz="0" w:space="0" w:color="auto"/>
      </w:divBdr>
    </w:div>
    <w:div w:id="300113501">
      <w:bodyDiv w:val="1"/>
      <w:marLeft w:val="0"/>
      <w:marRight w:val="0"/>
      <w:marTop w:val="0"/>
      <w:marBottom w:val="0"/>
      <w:divBdr>
        <w:top w:val="none" w:sz="0" w:space="0" w:color="auto"/>
        <w:left w:val="none" w:sz="0" w:space="0" w:color="auto"/>
        <w:bottom w:val="none" w:sz="0" w:space="0" w:color="auto"/>
        <w:right w:val="none" w:sz="0" w:space="0" w:color="auto"/>
      </w:divBdr>
    </w:div>
    <w:div w:id="300161906">
      <w:bodyDiv w:val="1"/>
      <w:marLeft w:val="0"/>
      <w:marRight w:val="0"/>
      <w:marTop w:val="0"/>
      <w:marBottom w:val="0"/>
      <w:divBdr>
        <w:top w:val="none" w:sz="0" w:space="0" w:color="auto"/>
        <w:left w:val="none" w:sz="0" w:space="0" w:color="auto"/>
        <w:bottom w:val="none" w:sz="0" w:space="0" w:color="auto"/>
        <w:right w:val="none" w:sz="0" w:space="0" w:color="auto"/>
      </w:divBdr>
    </w:div>
    <w:div w:id="300228560">
      <w:bodyDiv w:val="1"/>
      <w:marLeft w:val="0"/>
      <w:marRight w:val="0"/>
      <w:marTop w:val="0"/>
      <w:marBottom w:val="0"/>
      <w:divBdr>
        <w:top w:val="none" w:sz="0" w:space="0" w:color="auto"/>
        <w:left w:val="none" w:sz="0" w:space="0" w:color="auto"/>
        <w:bottom w:val="none" w:sz="0" w:space="0" w:color="auto"/>
        <w:right w:val="none" w:sz="0" w:space="0" w:color="auto"/>
      </w:divBdr>
    </w:div>
    <w:div w:id="300304359">
      <w:bodyDiv w:val="1"/>
      <w:marLeft w:val="0"/>
      <w:marRight w:val="0"/>
      <w:marTop w:val="0"/>
      <w:marBottom w:val="0"/>
      <w:divBdr>
        <w:top w:val="none" w:sz="0" w:space="0" w:color="auto"/>
        <w:left w:val="none" w:sz="0" w:space="0" w:color="auto"/>
        <w:bottom w:val="none" w:sz="0" w:space="0" w:color="auto"/>
        <w:right w:val="none" w:sz="0" w:space="0" w:color="auto"/>
      </w:divBdr>
    </w:div>
    <w:div w:id="300500312">
      <w:bodyDiv w:val="1"/>
      <w:marLeft w:val="0"/>
      <w:marRight w:val="0"/>
      <w:marTop w:val="0"/>
      <w:marBottom w:val="0"/>
      <w:divBdr>
        <w:top w:val="none" w:sz="0" w:space="0" w:color="auto"/>
        <w:left w:val="none" w:sz="0" w:space="0" w:color="auto"/>
        <w:bottom w:val="none" w:sz="0" w:space="0" w:color="auto"/>
        <w:right w:val="none" w:sz="0" w:space="0" w:color="auto"/>
      </w:divBdr>
    </w:div>
    <w:div w:id="300501622">
      <w:bodyDiv w:val="1"/>
      <w:marLeft w:val="0"/>
      <w:marRight w:val="0"/>
      <w:marTop w:val="0"/>
      <w:marBottom w:val="0"/>
      <w:divBdr>
        <w:top w:val="none" w:sz="0" w:space="0" w:color="auto"/>
        <w:left w:val="none" w:sz="0" w:space="0" w:color="auto"/>
        <w:bottom w:val="none" w:sz="0" w:space="0" w:color="auto"/>
        <w:right w:val="none" w:sz="0" w:space="0" w:color="auto"/>
      </w:divBdr>
    </w:div>
    <w:div w:id="300506544">
      <w:bodyDiv w:val="1"/>
      <w:marLeft w:val="0"/>
      <w:marRight w:val="0"/>
      <w:marTop w:val="0"/>
      <w:marBottom w:val="0"/>
      <w:divBdr>
        <w:top w:val="none" w:sz="0" w:space="0" w:color="auto"/>
        <w:left w:val="none" w:sz="0" w:space="0" w:color="auto"/>
        <w:bottom w:val="none" w:sz="0" w:space="0" w:color="auto"/>
        <w:right w:val="none" w:sz="0" w:space="0" w:color="auto"/>
      </w:divBdr>
    </w:div>
    <w:div w:id="300578899">
      <w:bodyDiv w:val="1"/>
      <w:marLeft w:val="0"/>
      <w:marRight w:val="0"/>
      <w:marTop w:val="0"/>
      <w:marBottom w:val="0"/>
      <w:divBdr>
        <w:top w:val="none" w:sz="0" w:space="0" w:color="auto"/>
        <w:left w:val="none" w:sz="0" w:space="0" w:color="auto"/>
        <w:bottom w:val="none" w:sz="0" w:space="0" w:color="auto"/>
        <w:right w:val="none" w:sz="0" w:space="0" w:color="auto"/>
      </w:divBdr>
    </w:div>
    <w:div w:id="300579072">
      <w:bodyDiv w:val="1"/>
      <w:marLeft w:val="0"/>
      <w:marRight w:val="0"/>
      <w:marTop w:val="0"/>
      <w:marBottom w:val="0"/>
      <w:divBdr>
        <w:top w:val="none" w:sz="0" w:space="0" w:color="auto"/>
        <w:left w:val="none" w:sz="0" w:space="0" w:color="auto"/>
        <w:bottom w:val="none" w:sz="0" w:space="0" w:color="auto"/>
        <w:right w:val="none" w:sz="0" w:space="0" w:color="auto"/>
      </w:divBdr>
    </w:div>
    <w:div w:id="300580044">
      <w:bodyDiv w:val="1"/>
      <w:marLeft w:val="0"/>
      <w:marRight w:val="0"/>
      <w:marTop w:val="0"/>
      <w:marBottom w:val="0"/>
      <w:divBdr>
        <w:top w:val="none" w:sz="0" w:space="0" w:color="auto"/>
        <w:left w:val="none" w:sz="0" w:space="0" w:color="auto"/>
        <w:bottom w:val="none" w:sz="0" w:space="0" w:color="auto"/>
        <w:right w:val="none" w:sz="0" w:space="0" w:color="auto"/>
      </w:divBdr>
    </w:div>
    <w:div w:id="300623792">
      <w:bodyDiv w:val="1"/>
      <w:marLeft w:val="0"/>
      <w:marRight w:val="0"/>
      <w:marTop w:val="0"/>
      <w:marBottom w:val="0"/>
      <w:divBdr>
        <w:top w:val="none" w:sz="0" w:space="0" w:color="auto"/>
        <w:left w:val="none" w:sz="0" w:space="0" w:color="auto"/>
        <w:bottom w:val="none" w:sz="0" w:space="0" w:color="auto"/>
        <w:right w:val="none" w:sz="0" w:space="0" w:color="auto"/>
      </w:divBdr>
    </w:div>
    <w:div w:id="300811499">
      <w:bodyDiv w:val="1"/>
      <w:marLeft w:val="0"/>
      <w:marRight w:val="0"/>
      <w:marTop w:val="0"/>
      <w:marBottom w:val="0"/>
      <w:divBdr>
        <w:top w:val="none" w:sz="0" w:space="0" w:color="auto"/>
        <w:left w:val="none" w:sz="0" w:space="0" w:color="auto"/>
        <w:bottom w:val="none" w:sz="0" w:space="0" w:color="auto"/>
        <w:right w:val="none" w:sz="0" w:space="0" w:color="auto"/>
      </w:divBdr>
    </w:div>
    <w:div w:id="301008485">
      <w:bodyDiv w:val="1"/>
      <w:marLeft w:val="0"/>
      <w:marRight w:val="0"/>
      <w:marTop w:val="0"/>
      <w:marBottom w:val="0"/>
      <w:divBdr>
        <w:top w:val="none" w:sz="0" w:space="0" w:color="auto"/>
        <w:left w:val="none" w:sz="0" w:space="0" w:color="auto"/>
        <w:bottom w:val="none" w:sz="0" w:space="0" w:color="auto"/>
        <w:right w:val="none" w:sz="0" w:space="0" w:color="auto"/>
      </w:divBdr>
    </w:div>
    <w:div w:id="301081825">
      <w:bodyDiv w:val="1"/>
      <w:marLeft w:val="0"/>
      <w:marRight w:val="0"/>
      <w:marTop w:val="0"/>
      <w:marBottom w:val="0"/>
      <w:divBdr>
        <w:top w:val="none" w:sz="0" w:space="0" w:color="auto"/>
        <w:left w:val="none" w:sz="0" w:space="0" w:color="auto"/>
        <w:bottom w:val="none" w:sz="0" w:space="0" w:color="auto"/>
        <w:right w:val="none" w:sz="0" w:space="0" w:color="auto"/>
      </w:divBdr>
    </w:div>
    <w:div w:id="301157862">
      <w:bodyDiv w:val="1"/>
      <w:marLeft w:val="0"/>
      <w:marRight w:val="0"/>
      <w:marTop w:val="0"/>
      <w:marBottom w:val="0"/>
      <w:divBdr>
        <w:top w:val="none" w:sz="0" w:space="0" w:color="auto"/>
        <w:left w:val="none" w:sz="0" w:space="0" w:color="auto"/>
        <w:bottom w:val="none" w:sz="0" w:space="0" w:color="auto"/>
        <w:right w:val="none" w:sz="0" w:space="0" w:color="auto"/>
      </w:divBdr>
    </w:div>
    <w:div w:id="301271082">
      <w:bodyDiv w:val="1"/>
      <w:marLeft w:val="0"/>
      <w:marRight w:val="0"/>
      <w:marTop w:val="0"/>
      <w:marBottom w:val="0"/>
      <w:divBdr>
        <w:top w:val="none" w:sz="0" w:space="0" w:color="auto"/>
        <w:left w:val="none" w:sz="0" w:space="0" w:color="auto"/>
        <w:bottom w:val="none" w:sz="0" w:space="0" w:color="auto"/>
        <w:right w:val="none" w:sz="0" w:space="0" w:color="auto"/>
      </w:divBdr>
    </w:div>
    <w:div w:id="301467215">
      <w:bodyDiv w:val="1"/>
      <w:marLeft w:val="0"/>
      <w:marRight w:val="0"/>
      <w:marTop w:val="0"/>
      <w:marBottom w:val="0"/>
      <w:divBdr>
        <w:top w:val="none" w:sz="0" w:space="0" w:color="auto"/>
        <w:left w:val="none" w:sz="0" w:space="0" w:color="auto"/>
        <w:bottom w:val="none" w:sz="0" w:space="0" w:color="auto"/>
        <w:right w:val="none" w:sz="0" w:space="0" w:color="auto"/>
      </w:divBdr>
    </w:div>
    <w:div w:id="301472049">
      <w:bodyDiv w:val="1"/>
      <w:marLeft w:val="0"/>
      <w:marRight w:val="0"/>
      <w:marTop w:val="0"/>
      <w:marBottom w:val="0"/>
      <w:divBdr>
        <w:top w:val="none" w:sz="0" w:space="0" w:color="auto"/>
        <w:left w:val="none" w:sz="0" w:space="0" w:color="auto"/>
        <w:bottom w:val="none" w:sz="0" w:space="0" w:color="auto"/>
        <w:right w:val="none" w:sz="0" w:space="0" w:color="auto"/>
      </w:divBdr>
    </w:div>
    <w:div w:id="301733718">
      <w:bodyDiv w:val="1"/>
      <w:marLeft w:val="0"/>
      <w:marRight w:val="0"/>
      <w:marTop w:val="0"/>
      <w:marBottom w:val="0"/>
      <w:divBdr>
        <w:top w:val="none" w:sz="0" w:space="0" w:color="auto"/>
        <w:left w:val="none" w:sz="0" w:space="0" w:color="auto"/>
        <w:bottom w:val="none" w:sz="0" w:space="0" w:color="auto"/>
        <w:right w:val="none" w:sz="0" w:space="0" w:color="auto"/>
      </w:divBdr>
    </w:div>
    <w:div w:id="301816191">
      <w:bodyDiv w:val="1"/>
      <w:marLeft w:val="0"/>
      <w:marRight w:val="0"/>
      <w:marTop w:val="0"/>
      <w:marBottom w:val="0"/>
      <w:divBdr>
        <w:top w:val="none" w:sz="0" w:space="0" w:color="auto"/>
        <w:left w:val="none" w:sz="0" w:space="0" w:color="auto"/>
        <w:bottom w:val="none" w:sz="0" w:space="0" w:color="auto"/>
        <w:right w:val="none" w:sz="0" w:space="0" w:color="auto"/>
      </w:divBdr>
    </w:div>
    <w:div w:id="301928989">
      <w:bodyDiv w:val="1"/>
      <w:marLeft w:val="0"/>
      <w:marRight w:val="0"/>
      <w:marTop w:val="0"/>
      <w:marBottom w:val="0"/>
      <w:divBdr>
        <w:top w:val="none" w:sz="0" w:space="0" w:color="auto"/>
        <w:left w:val="none" w:sz="0" w:space="0" w:color="auto"/>
        <w:bottom w:val="none" w:sz="0" w:space="0" w:color="auto"/>
        <w:right w:val="none" w:sz="0" w:space="0" w:color="auto"/>
      </w:divBdr>
    </w:div>
    <w:div w:id="302003024">
      <w:bodyDiv w:val="1"/>
      <w:marLeft w:val="0"/>
      <w:marRight w:val="0"/>
      <w:marTop w:val="0"/>
      <w:marBottom w:val="0"/>
      <w:divBdr>
        <w:top w:val="none" w:sz="0" w:space="0" w:color="auto"/>
        <w:left w:val="none" w:sz="0" w:space="0" w:color="auto"/>
        <w:bottom w:val="none" w:sz="0" w:space="0" w:color="auto"/>
        <w:right w:val="none" w:sz="0" w:space="0" w:color="auto"/>
      </w:divBdr>
    </w:div>
    <w:div w:id="302005399">
      <w:bodyDiv w:val="1"/>
      <w:marLeft w:val="0"/>
      <w:marRight w:val="0"/>
      <w:marTop w:val="0"/>
      <w:marBottom w:val="0"/>
      <w:divBdr>
        <w:top w:val="none" w:sz="0" w:space="0" w:color="auto"/>
        <w:left w:val="none" w:sz="0" w:space="0" w:color="auto"/>
        <w:bottom w:val="none" w:sz="0" w:space="0" w:color="auto"/>
        <w:right w:val="none" w:sz="0" w:space="0" w:color="auto"/>
      </w:divBdr>
    </w:div>
    <w:div w:id="302081608">
      <w:bodyDiv w:val="1"/>
      <w:marLeft w:val="0"/>
      <w:marRight w:val="0"/>
      <w:marTop w:val="0"/>
      <w:marBottom w:val="0"/>
      <w:divBdr>
        <w:top w:val="none" w:sz="0" w:space="0" w:color="auto"/>
        <w:left w:val="none" w:sz="0" w:space="0" w:color="auto"/>
        <w:bottom w:val="none" w:sz="0" w:space="0" w:color="auto"/>
        <w:right w:val="none" w:sz="0" w:space="0" w:color="auto"/>
      </w:divBdr>
    </w:div>
    <w:div w:id="302276900">
      <w:bodyDiv w:val="1"/>
      <w:marLeft w:val="0"/>
      <w:marRight w:val="0"/>
      <w:marTop w:val="0"/>
      <w:marBottom w:val="0"/>
      <w:divBdr>
        <w:top w:val="none" w:sz="0" w:space="0" w:color="auto"/>
        <w:left w:val="none" w:sz="0" w:space="0" w:color="auto"/>
        <w:bottom w:val="none" w:sz="0" w:space="0" w:color="auto"/>
        <w:right w:val="none" w:sz="0" w:space="0" w:color="auto"/>
      </w:divBdr>
    </w:div>
    <w:div w:id="302392144">
      <w:bodyDiv w:val="1"/>
      <w:marLeft w:val="0"/>
      <w:marRight w:val="0"/>
      <w:marTop w:val="0"/>
      <w:marBottom w:val="0"/>
      <w:divBdr>
        <w:top w:val="none" w:sz="0" w:space="0" w:color="auto"/>
        <w:left w:val="none" w:sz="0" w:space="0" w:color="auto"/>
        <w:bottom w:val="none" w:sz="0" w:space="0" w:color="auto"/>
        <w:right w:val="none" w:sz="0" w:space="0" w:color="auto"/>
      </w:divBdr>
    </w:div>
    <w:div w:id="302581457">
      <w:bodyDiv w:val="1"/>
      <w:marLeft w:val="0"/>
      <w:marRight w:val="0"/>
      <w:marTop w:val="0"/>
      <w:marBottom w:val="0"/>
      <w:divBdr>
        <w:top w:val="none" w:sz="0" w:space="0" w:color="auto"/>
        <w:left w:val="none" w:sz="0" w:space="0" w:color="auto"/>
        <w:bottom w:val="none" w:sz="0" w:space="0" w:color="auto"/>
        <w:right w:val="none" w:sz="0" w:space="0" w:color="auto"/>
      </w:divBdr>
    </w:div>
    <w:div w:id="302737138">
      <w:bodyDiv w:val="1"/>
      <w:marLeft w:val="0"/>
      <w:marRight w:val="0"/>
      <w:marTop w:val="0"/>
      <w:marBottom w:val="0"/>
      <w:divBdr>
        <w:top w:val="none" w:sz="0" w:space="0" w:color="auto"/>
        <w:left w:val="none" w:sz="0" w:space="0" w:color="auto"/>
        <w:bottom w:val="none" w:sz="0" w:space="0" w:color="auto"/>
        <w:right w:val="none" w:sz="0" w:space="0" w:color="auto"/>
      </w:divBdr>
    </w:div>
    <w:div w:id="302783048">
      <w:bodyDiv w:val="1"/>
      <w:marLeft w:val="0"/>
      <w:marRight w:val="0"/>
      <w:marTop w:val="0"/>
      <w:marBottom w:val="0"/>
      <w:divBdr>
        <w:top w:val="none" w:sz="0" w:space="0" w:color="auto"/>
        <w:left w:val="none" w:sz="0" w:space="0" w:color="auto"/>
        <w:bottom w:val="none" w:sz="0" w:space="0" w:color="auto"/>
        <w:right w:val="none" w:sz="0" w:space="0" w:color="auto"/>
      </w:divBdr>
    </w:div>
    <w:div w:id="302973201">
      <w:bodyDiv w:val="1"/>
      <w:marLeft w:val="0"/>
      <w:marRight w:val="0"/>
      <w:marTop w:val="0"/>
      <w:marBottom w:val="0"/>
      <w:divBdr>
        <w:top w:val="none" w:sz="0" w:space="0" w:color="auto"/>
        <w:left w:val="none" w:sz="0" w:space="0" w:color="auto"/>
        <w:bottom w:val="none" w:sz="0" w:space="0" w:color="auto"/>
        <w:right w:val="none" w:sz="0" w:space="0" w:color="auto"/>
      </w:divBdr>
    </w:div>
    <w:div w:id="303002443">
      <w:bodyDiv w:val="1"/>
      <w:marLeft w:val="0"/>
      <w:marRight w:val="0"/>
      <w:marTop w:val="0"/>
      <w:marBottom w:val="0"/>
      <w:divBdr>
        <w:top w:val="none" w:sz="0" w:space="0" w:color="auto"/>
        <w:left w:val="none" w:sz="0" w:space="0" w:color="auto"/>
        <w:bottom w:val="none" w:sz="0" w:space="0" w:color="auto"/>
        <w:right w:val="none" w:sz="0" w:space="0" w:color="auto"/>
      </w:divBdr>
    </w:div>
    <w:div w:id="303127270">
      <w:bodyDiv w:val="1"/>
      <w:marLeft w:val="0"/>
      <w:marRight w:val="0"/>
      <w:marTop w:val="0"/>
      <w:marBottom w:val="0"/>
      <w:divBdr>
        <w:top w:val="none" w:sz="0" w:space="0" w:color="auto"/>
        <w:left w:val="none" w:sz="0" w:space="0" w:color="auto"/>
        <w:bottom w:val="none" w:sz="0" w:space="0" w:color="auto"/>
        <w:right w:val="none" w:sz="0" w:space="0" w:color="auto"/>
      </w:divBdr>
    </w:div>
    <w:div w:id="303200223">
      <w:bodyDiv w:val="1"/>
      <w:marLeft w:val="0"/>
      <w:marRight w:val="0"/>
      <w:marTop w:val="0"/>
      <w:marBottom w:val="0"/>
      <w:divBdr>
        <w:top w:val="none" w:sz="0" w:space="0" w:color="auto"/>
        <w:left w:val="none" w:sz="0" w:space="0" w:color="auto"/>
        <w:bottom w:val="none" w:sz="0" w:space="0" w:color="auto"/>
        <w:right w:val="none" w:sz="0" w:space="0" w:color="auto"/>
      </w:divBdr>
    </w:div>
    <w:div w:id="303244359">
      <w:bodyDiv w:val="1"/>
      <w:marLeft w:val="0"/>
      <w:marRight w:val="0"/>
      <w:marTop w:val="0"/>
      <w:marBottom w:val="0"/>
      <w:divBdr>
        <w:top w:val="none" w:sz="0" w:space="0" w:color="auto"/>
        <w:left w:val="none" w:sz="0" w:space="0" w:color="auto"/>
        <w:bottom w:val="none" w:sz="0" w:space="0" w:color="auto"/>
        <w:right w:val="none" w:sz="0" w:space="0" w:color="auto"/>
      </w:divBdr>
    </w:div>
    <w:div w:id="303311476">
      <w:bodyDiv w:val="1"/>
      <w:marLeft w:val="0"/>
      <w:marRight w:val="0"/>
      <w:marTop w:val="0"/>
      <w:marBottom w:val="0"/>
      <w:divBdr>
        <w:top w:val="none" w:sz="0" w:space="0" w:color="auto"/>
        <w:left w:val="none" w:sz="0" w:space="0" w:color="auto"/>
        <w:bottom w:val="none" w:sz="0" w:space="0" w:color="auto"/>
        <w:right w:val="none" w:sz="0" w:space="0" w:color="auto"/>
      </w:divBdr>
    </w:div>
    <w:div w:id="303311636">
      <w:bodyDiv w:val="1"/>
      <w:marLeft w:val="0"/>
      <w:marRight w:val="0"/>
      <w:marTop w:val="0"/>
      <w:marBottom w:val="0"/>
      <w:divBdr>
        <w:top w:val="none" w:sz="0" w:space="0" w:color="auto"/>
        <w:left w:val="none" w:sz="0" w:space="0" w:color="auto"/>
        <w:bottom w:val="none" w:sz="0" w:space="0" w:color="auto"/>
        <w:right w:val="none" w:sz="0" w:space="0" w:color="auto"/>
      </w:divBdr>
    </w:div>
    <w:div w:id="303434615">
      <w:bodyDiv w:val="1"/>
      <w:marLeft w:val="0"/>
      <w:marRight w:val="0"/>
      <w:marTop w:val="0"/>
      <w:marBottom w:val="0"/>
      <w:divBdr>
        <w:top w:val="none" w:sz="0" w:space="0" w:color="auto"/>
        <w:left w:val="none" w:sz="0" w:space="0" w:color="auto"/>
        <w:bottom w:val="none" w:sz="0" w:space="0" w:color="auto"/>
        <w:right w:val="none" w:sz="0" w:space="0" w:color="auto"/>
      </w:divBdr>
    </w:div>
    <w:div w:id="303436532">
      <w:bodyDiv w:val="1"/>
      <w:marLeft w:val="0"/>
      <w:marRight w:val="0"/>
      <w:marTop w:val="0"/>
      <w:marBottom w:val="0"/>
      <w:divBdr>
        <w:top w:val="none" w:sz="0" w:space="0" w:color="auto"/>
        <w:left w:val="none" w:sz="0" w:space="0" w:color="auto"/>
        <w:bottom w:val="none" w:sz="0" w:space="0" w:color="auto"/>
        <w:right w:val="none" w:sz="0" w:space="0" w:color="auto"/>
      </w:divBdr>
    </w:div>
    <w:div w:id="303438231">
      <w:bodyDiv w:val="1"/>
      <w:marLeft w:val="0"/>
      <w:marRight w:val="0"/>
      <w:marTop w:val="0"/>
      <w:marBottom w:val="0"/>
      <w:divBdr>
        <w:top w:val="none" w:sz="0" w:space="0" w:color="auto"/>
        <w:left w:val="none" w:sz="0" w:space="0" w:color="auto"/>
        <w:bottom w:val="none" w:sz="0" w:space="0" w:color="auto"/>
        <w:right w:val="none" w:sz="0" w:space="0" w:color="auto"/>
      </w:divBdr>
    </w:div>
    <w:div w:id="303582573">
      <w:bodyDiv w:val="1"/>
      <w:marLeft w:val="0"/>
      <w:marRight w:val="0"/>
      <w:marTop w:val="0"/>
      <w:marBottom w:val="0"/>
      <w:divBdr>
        <w:top w:val="none" w:sz="0" w:space="0" w:color="auto"/>
        <w:left w:val="none" w:sz="0" w:space="0" w:color="auto"/>
        <w:bottom w:val="none" w:sz="0" w:space="0" w:color="auto"/>
        <w:right w:val="none" w:sz="0" w:space="0" w:color="auto"/>
      </w:divBdr>
    </w:div>
    <w:div w:id="303655776">
      <w:bodyDiv w:val="1"/>
      <w:marLeft w:val="0"/>
      <w:marRight w:val="0"/>
      <w:marTop w:val="0"/>
      <w:marBottom w:val="0"/>
      <w:divBdr>
        <w:top w:val="none" w:sz="0" w:space="0" w:color="auto"/>
        <w:left w:val="none" w:sz="0" w:space="0" w:color="auto"/>
        <w:bottom w:val="none" w:sz="0" w:space="0" w:color="auto"/>
        <w:right w:val="none" w:sz="0" w:space="0" w:color="auto"/>
      </w:divBdr>
    </w:div>
    <w:div w:id="303778262">
      <w:bodyDiv w:val="1"/>
      <w:marLeft w:val="0"/>
      <w:marRight w:val="0"/>
      <w:marTop w:val="0"/>
      <w:marBottom w:val="0"/>
      <w:divBdr>
        <w:top w:val="none" w:sz="0" w:space="0" w:color="auto"/>
        <w:left w:val="none" w:sz="0" w:space="0" w:color="auto"/>
        <w:bottom w:val="none" w:sz="0" w:space="0" w:color="auto"/>
        <w:right w:val="none" w:sz="0" w:space="0" w:color="auto"/>
      </w:divBdr>
    </w:div>
    <w:div w:id="303782406">
      <w:bodyDiv w:val="1"/>
      <w:marLeft w:val="0"/>
      <w:marRight w:val="0"/>
      <w:marTop w:val="0"/>
      <w:marBottom w:val="0"/>
      <w:divBdr>
        <w:top w:val="none" w:sz="0" w:space="0" w:color="auto"/>
        <w:left w:val="none" w:sz="0" w:space="0" w:color="auto"/>
        <w:bottom w:val="none" w:sz="0" w:space="0" w:color="auto"/>
        <w:right w:val="none" w:sz="0" w:space="0" w:color="auto"/>
      </w:divBdr>
    </w:div>
    <w:div w:id="303850822">
      <w:bodyDiv w:val="1"/>
      <w:marLeft w:val="0"/>
      <w:marRight w:val="0"/>
      <w:marTop w:val="0"/>
      <w:marBottom w:val="0"/>
      <w:divBdr>
        <w:top w:val="none" w:sz="0" w:space="0" w:color="auto"/>
        <w:left w:val="none" w:sz="0" w:space="0" w:color="auto"/>
        <w:bottom w:val="none" w:sz="0" w:space="0" w:color="auto"/>
        <w:right w:val="none" w:sz="0" w:space="0" w:color="auto"/>
      </w:divBdr>
    </w:div>
    <w:div w:id="303972261">
      <w:bodyDiv w:val="1"/>
      <w:marLeft w:val="0"/>
      <w:marRight w:val="0"/>
      <w:marTop w:val="0"/>
      <w:marBottom w:val="0"/>
      <w:divBdr>
        <w:top w:val="none" w:sz="0" w:space="0" w:color="auto"/>
        <w:left w:val="none" w:sz="0" w:space="0" w:color="auto"/>
        <w:bottom w:val="none" w:sz="0" w:space="0" w:color="auto"/>
        <w:right w:val="none" w:sz="0" w:space="0" w:color="auto"/>
      </w:divBdr>
    </w:div>
    <w:div w:id="304051088">
      <w:bodyDiv w:val="1"/>
      <w:marLeft w:val="0"/>
      <w:marRight w:val="0"/>
      <w:marTop w:val="0"/>
      <w:marBottom w:val="0"/>
      <w:divBdr>
        <w:top w:val="none" w:sz="0" w:space="0" w:color="auto"/>
        <w:left w:val="none" w:sz="0" w:space="0" w:color="auto"/>
        <w:bottom w:val="none" w:sz="0" w:space="0" w:color="auto"/>
        <w:right w:val="none" w:sz="0" w:space="0" w:color="auto"/>
      </w:divBdr>
    </w:div>
    <w:div w:id="304094216">
      <w:bodyDiv w:val="1"/>
      <w:marLeft w:val="0"/>
      <w:marRight w:val="0"/>
      <w:marTop w:val="0"/>
      <w:marBottom w:val="0"/>
      <w:divBdr>
        <w:top w:val="none" w:sz="0" w:space="0" w:color="auto"/>
        <w:left w:val="none" w:sz="0" w:space="0" w:color="auto"/>
        <w:bottom w:val="none" w:sz="0" w:space="0" w:color="auto"/>
        <w:right w:val="none" w:sz="0" w:space="0" w:color="auto"/>
      </w:divBdr>
    </w:div>
    <w:div w:id="304119661">
      <w:bodyDiv w:val="1"/>
      <w:marLeft w:val="0"/>
      <w:marRight w:val="0"/>
      <w:marTop w:val="0"/>
      <w:marBottom w:val="0"/>
      <w:divBdr>
        <w:top w:val="none" w:sz="0" w:space="0" w:color="auto"/>
        <w:left w:val="none" w:sz="0" w:space="0" w:color="auto"/>
        <w:bottom w:val="none" w:sz="0" w:space="0" w:color="auto"/>
        <w:right w:val="none" w:sz="0" w:space="0" w:color="auto"/>
      </w:divBdr>
    </w:div>
    <w:div w:id="304168036">
      <w:bodyDiv w:val="1"/>
      <w:marLeft w:val="0"/>
      <w:marRight w:val="0"/>
      <w:marTop w:val="0"/>
      <w:marBottom w:val="0"/>
      <w:divBdr>
        <w:top w:val="none" w:sz="0" w:space="0" w:color="auto"/>
        <w:left w:val="none" w:sz="0" w:space="0" w:color="auto"/>
        <w:bottom w:val="none" w:sz="0" w:space="0" w:color="auto"/>
        <w:right w:val="none" w:sz="0" w:space="0" w:color="auto"/>
      </w:divBdr>
    </w:div>
    <w:div w:id="304168072">
      <w:bodyDiv w:val="1"/>
      <w:marLeft w:val="0"/>
      <w:marRight w:val="0"/>
      <w:marTop w:val="0"/>
      <w:marBottom w:val="0"/>
      <w:divBdr>
        <w:top w:val="none" w:sz="0" w:space="0" w:color="auto"/>
        <w:left w:val="none" w:sz="0" w:space="0" w:color="auto"/>
        <w:bottom w:val="none" w:sz="0" w:space="0" w:color="auto"/>
        <w:right w:val="none" w:sz="0" w:space="0" w:color="auto"/>
      </w:divBdr>
    </w:div>
    <w:div w:id="304241356">
      <w:bodyDiv w:val="1"/>
      <w:marLeft w:val="0"/>
      <w:marRight w:val="0"/>
      <w:marTop w:val="0"/>
      <w:marBottom w:val="0"/>
      <w:divBdr>
        <w:top w:val="none" w:sz="0" w:space="0" w:color="auto"/>
        <w:left w:val="none" w:sz="0" w:space="0" w:color="auto"/>
        <w:bottom w:val="none" w:sz="0" w:space="0" w:color="auto"/>
        <w:right w:val="none" w:sz="0" w:space="0" w:color="auto"/>
      </w:divBdr>
    </w:div>
    <w:div w:id="304354728">
      <w:bodyDiv w:val="1"/>
      <w:marLeft w:val="0"/>
      <w:marRight w:val="0"/>
      <w:marTop w:val="0"/>
      <w:marBottom w:val="0"/>
      <w:divBdr>
        <w:top w:val="none" w:sz="0" w:space="0" w:color="auto"/>
        <w:left w:val="none" w:sz="0" w:space="0" w:color="auto"/>
        <w:bottom w:val="none" w:sz="0" w:space="0" w:color="auto"/>
        <w:right w:val="none" w:sz="0" w:space="0" w:color="auto"/>
      </w:divBdr>
    </w:div>
    <w:div w:id="304436694">
      <w:bodyDiv w:val="1"/>
      <w:marLeft w:val="0"/>
      <w:marRight w:val="0"/>
      <w:marTop w:val="0"/>
      <w:marBottom w:val="0"/>
      <w:divBdr>
        <w:top w:val="none" w:sz="0" w:space="0" w:color="auto"/>
        <w:left w:val="none" w:sz="0" w:space="0" w:color="auto"/>
        <w:bottom w:val="none" w:sz="0" w:space="0" w:color="auto"/>
        <w:right w:val="none" w:sz="0" w:space="0" w:color="auto"/>
      </w:divBdr>
    </w:div>
    <w:div w:id="304547994">
      <w:bodyDiv w:val="1"/>
      <w:marLeft w:val="0"/>
      <w:marRight w:val="0"/>
      <w:marTop w:val="0"/>
      <w:marBottom w:val="0"/>
      <w:divBdr>
        <w:top w:val="none" w:sz="0" w:space="0" w:color="auto"/>
        <w:left w:val="none" w:sz="0" w:space="0" w:color="auto"/>
        <w:bottom w:val="none" w:sz="0" w:space="0" w:color="auto"/>
        <w:right w:val="none" w:sz="0" w:space="0" w:color="auto"/>
      </w:divBdr>
    </w:div>
    <w:div w:id="304554623">
      <w:bodyDiv w:val="1"/>
      <w:marLeft w:val="0"/>
      <w:marRight w:val="0"/>
      <w:marTop w:val="0"/>
      <w:marBottom w:val="0"/>
      <w:divBdr>
        <w:top w:val="none" w:sz="0" w:space="0" w:color="auto"/>
        <w:left w:val="none" w:sz="0" w:space="0" w:color="auto"/>
        <w:bottom w:val="none" w:sz="0" w:space="0" w:color="auto"/>
        <w:right w:val="none" w:sz="0" w:space="0" w:color="auto"/>
      </w:divBdr>
    </w:div>
    <w:div w:id="304773016">
      <w:bodyDiv w:val="1"/>
      <w:marLeft w:val="0"/>
      <w:marRight w:val="0"/>
      <w:marTop w:val="0"/>
      <w:marBottom w:val="0"/>
      <w:divBdr>
        <w:top w:val="none" w:sz="0" w:space="0" w:color="auto"/>
        <w:left w:val="none" w:sz="0" w:space="0" w:color="auto"/>
        <w:bottom w:val="none" w:sz="0" w:space="0" w:color="auto"/>
        <w:right w:val="none" w:sz="0" w:space="0" w:color="auto"/>
      </w:divBdr>
    </w:div>
    <w:div w:id="304815735">
      <w:bodyDiv w:val="1"/>
      <w:marLeft w:val="0"/>
      <w:marRight w:val="0"/>
      <w:marTop w:val="0"/>
      <w:marBottom w:val="0"/>
      <w:divBdr>
        <w:top w:val="none" w:sz="0" w:space="0" w:color="auto"/>
        <w:left w:val="none" w:sz="0" w:space="0" w:color="auto"/>
        <w:bottom w:val="none" w:sz="0" w:space="0" w:color="auto"/>
        <w:right w:val="none" w:sz="0" w:space="0" w:color="auto"/>
      </w:divBdr>
    </w:div>
    <w:div w:id="304824397">
      <w:bodyDiv w:val="1"/>
      <w:marLeft w:val="0"/>
      <w:marRight w:val="0"/>
      <w:marTop w:val="0"/>
      <w:marBottom w:val="0"/>
      <w:divBdr>
        <w:top w:val="none" w:sz="0" w:space="0" w:color="auto"/>
        <w:left w:val="none" w:sz="0" w:space="0" w:color="auto"/>
        <w:bottom w:val="none" w:sz="0" w:space="0" w:color="auto"/>
        <w:right w:val="none" w:sz="0" w:space="0" w:color="auto"/>
      </w:divBdr>
    </w:div>
    <w:div w:id="304941512">
      <w:bodyDiv w:val="1"/>
      <w:marLeft w:val="0"/>
      <w:marRight w:val="0"/>
      <w:marTop w:val="0"/>
      <w:marBottom w:val="0"/>
      <w:divBdr>
        <w:top w:val="none" w:sz="0" w:space="0" w:color="auto"/>
        <w:left w:val="none" w:sz="0" w:space="0" w:color="auto"/>
        <w:bottom w:val="none" w:sz="0" w:space="0" w:color="auto"/>
        <w:right w:val="none" w:sz="0" w:space="0" w:color="auto"/>
      </w:divBdr>
    </w:div>
    <w:div w:id="305091178">
      <w:bodyDiv w:val="1"/>
      <w:marLeft w:val="0"/>
      <w:marRight w:val="0"/>
      <w:marTop w:val="0"/>
      <w:marBottom w:val="0"/>
      <w:divBdr>
        <w:top w:val="none" w:sz="0" w:space="0" w:color="auto"/>
        <w:left w:val="none" w:sz="0" w:space="0" w:color="auto"/>
        <w:bottom w:val="none" w:sz="0" w:space="0" w:color="auto"/>
        <w:right w:val="none" w:sz="0" w:space="0" w:color="auto"/>
      </w:divBdr>
    </w:div>
    <w:div w:id="305355078">
      <w:bodyDiv w:val="1"/>
      <w:marLeft w:val="0"/>
      <w:marRight w:val="0"/>
      <w:marTop w:val="0"/>
      <w:marBottom w:val="0"/>
      <w:divBdr>
        <w:top w:val="none" w:sz="0" w:space="0" w:color="auto"/>
        <w:left w:val="none" w:sz="0" w:space="0" w:color="auto"/>
        <w:bottom w:val="none" w:sz="0" w:space="0" w:color="auto"/>
        <w:right w:val="none" w:sz="0" w:space="0" w:color="auto"/>
      </w:divBdr>
    </w:div>
    <w:div w:id="305548388">
      <w:bodyDiv w:val="1"/>
      <w:marLeft w:val="0"/>
      <w:marRight w:val="0"/>
      <w:marTop w:val="0"/>
      <w:marBottom w:val="0"/>
      <w:divBdr>
        <w:top w:val="none" w:sz="0" w:space="0" w:color="auto"/>
        <w:left w:val="none" w:sz="0" w:space="0" w:color="auto"/>
        <w:bottom w:val="none" w:sz="0" w:space="0" w:color="auto"/>
        <w:right w:val="none" w:sz="0" w:space="0" w:color="auto"/>
      </w:divBdr>
    </w:div>
    <w:div w:id="305553631">
      <w:bodyDiv w:val="1"/>
      <w:marLeft w:val="0"/>
      <w:marRight w:val="0"/>
      <w:marTop w:val="0"/>
      <w:marBottom w:val="0"/>
      <w:divBdr>
        <w:top w:val="none" w:sz="0" w:space="0" w:color="auto"/>
        <w:left w:val="none" w:sz="0" w:space="0" w:color="auto"/>
        <w:bottom w:val="none" w:sz="0" w:space="0" w:color="auto"/>
        <w:right w:val="none" w:sz="0" w:space="0" w:color="auto"/>
      </w:divBdr>
    </w:div>
    <w:div w:id="305624160">
      <w:bodyDiv w:val="1"/>
      <w:marLeft w:val="0"/>
      <w:marRight w:val="0"/>
      <w:marTop w:val="0"/>
      <w:marBottom w:val="0"/>
      <w:divBdr>
        <w:top w:val="none" w:sz="0" w:space="0" w:color="auto"/>
        <w:left w:val="none" w:sz="0" w:space="0" w:color="auto"/>
        <w:bottom w:val="none" w:sz="0" w:space="0" w:color="auto"/>
        <w:right w:val="none" w:sz="0" w:space="0" w:color="auto"/>
      </w:divBdr>
    </w:div>
    <w:div w:id="305624336">
      <w:bodyDiv w:val="1"/>
      <w:marLeft w:val="0"/>
      <w:marRight w:val="0"/>
      <w:marTop w:val="0"/>
      <w:marBottom w:val="0"/>
      <w:divBdr>
        <w:top w:val="none" w:sz="0" w:space="0" w:color="auto"/>
        <w:left w:val="none" w:sz="0" w:space="0" w:color="auto"/>
        <w:bottom w:val="none" w:sz="0" w:space="0" w:color="auto"/>
        <w:right w:val="none" w:sz="0" w:space="0" w:color="auto"/>
      </w:divBdr>
    </w:div>
    <w:div w:id="305624833">
      <w:bodyDiv w:val="1"/>
      <w:marLeft w:val="0"/>
      <w:marRight w:val="0"/>
      <w:marTop w:val="0"/>
      <w:marBottom w:val="0"/>
      <w:divBdr>
        <w:top w:val="none" w:sz="0" w:space="0" w:color="auto"/>
        <w:left w:val="none" w:sz="0" w:space="0" w:color="auto"/>
        <w:bottom w:val="none" w:sz="0" w:space="0" w:color="auto"/>
        <w:right w:val="none" w:sz="0" w:space="0" w:color="auto"/>
      </w:divBdr>
    </w:div>
    <w:div w:id="305741353">
      <w:bodyDiv w:val="1"/>
      <w:marLeft w:val="0"/>
      <w:marRight w:val="0"/>
      <w:marTop w:val="0"/>
      <w:marBottom w:val="0"/>
      <w:divBdr>
        <w:top w:val="none" w:sz="0" w:space="0" w:color="auto"/>
        <w:left w:val="none" w:sz="0" w:space="0" w:color="auto"/>
        <w:bottom w:val="none" w:sz="0" w:space="0" w:color="auto"/>
        <w:right w:val="none" w:sz="0" w:space="0" w:color="auto"/>
      </w:divBdr>
    </w:div>
    <w:div w:id="305939458">
      <w:bodyDiv w:val="1"/>
      <w:marLeft w:val="0"/>
      <w:marRight w:val="0"/>
      <w:marTop w:val="0"/>
      <w:marBottom w:val="0"/>
      <w:divBdr>
        <w:top w:val="none" w:sz="0" w:space="0" w:color="auto"/>
        <w:left w:val="none" w:sz="0" w:space="0" w:color="auto"/>
        <w:bottom w:val="none" w:sz="0" w:space="0" w:color="auto"/>
        <w:right w:val="none" w:sz="0" w:space="0" w:color="auto"/>
      </w:divBdr>
    </w:div>
    <w:div w:id="306010311">
      <w:bodyDiv w:val="1"/>
      <w:marLeft w:val="0"/>
      <w:marRight w:val="0"/>
      <w:marTop w:val="0"/>
      <w:marBottom w:val="0"/>
      <w:divBdr>
        <w:top w:val="none" w:sz="0" w:space="0" w:color="auto"/>
        <w:left w:val="none" w:sz="0" w:space="0" w:color="auto"/>
        <w:bottom w:val="none" w:sz="0" w:space="0" w:color="auto"/>
        <w:right w:val="none" w:sz="0" w:space="0" w:color="auto"/>
      </w:divBdr>
    </w:div>
    <w:div w:id="306013642">
      <w:bodyDiv w:val="1"/>
      <w:marLeft w:val="0"/>
      <w:marRight w:val="0"/>
      <w:marTop w:val="0"/>
      <w:marBottom w:val="0"/>
      <w:divBdr>
        <w:top w:val="none" w:sz="0" w:space="0" w:color="auto"/>
        <w:left w:val="none" w:sz="0" w:space="0" w:color="auto"/>
        <w:bottom w:val="none" w:sz="0" w:space="0" w:color="auto"/>
        <w:right w:val="none" w:sz="0" w:space="0" w:color="auto"/>
      </w:divBdr>
    </w:div>
    <w:div w:id="306133551">
      <w:bodyDiv w:val="1"/>
      <w:marLeft w:val="0"/>
      <w:marRight w:val="0"/>
      <w:marTop w:val="0"/>
      <w:marBottom w:val="0"/>
      <w:divBdr>
        <w:top w:val="none" w:sz="0" w:space="0" w:color="auto"/>
        <w:left w:val="none" w:sz="0" w:space="0" w:color="auto"/>
        <w:bottom w:val="none" w:sz="0" w:space="0" w:color="auto"/>
        <w:right w:val="none" w:sz="0" w:space="0" w:color="auto"/>
      </w:divBdr>
    </w:div>
    <w:div w:id="306204489">
      <w:bodyDiv w:val="1"/>
      <w:marLeft w:val="0"/>
      <w:marRight w:val="0"/>
      <w:marTop w:val="0"/>
      <w:marBottom w:val="0"/>
      <w:divBdr>
        <w:top w:val="none" w:sz="0" w:space="0" w:color="auto"/>
        <w:left w:val="none" w:sz="0" w:space="0" w:color="auto"/>
        <w:bottom w:val="none" w:sz="0" w:space="0" w:color="auto"/>
        <w:right w:val="none" w:sz="0" w:space="0" w:color="auto"/>
      </w:divBdr>
    </w:div>
    <w:div w:id="306279699">
      <w:bodyDiv w:val="1"/>
      <w:marLeft w:val="0"/>
      <w:marRight w:val="0"/>
      <w:marTop w:val="0"/>
      <w:marBottom w:val="0"/>
      <w:divBdr>
        <w:top w:val="none" w:sz="0" w:space="0" w:color="auto"/>
        <w:left w:val="none" w:sz="0" w:space="0" w:color="auto"/>
        <w:bottom w:val="none" w:sz="0" w:space="0" w:color="auto"/>
        <w:right w:val="none" w:sz="0" w:space="0" w:color="auto"/>
      </w:divBdr>
    </w:div>
    <w:div w:id="306321163">
      <w:bodyDiv w:val="1"/>
      <w:marLeft w:val="0"/>
      <w:marRight w:val="0"/>
      <w:marTop w:val="0"/>
      <w:marBottom w:val="0"/>
      <w:divBdr>
        <w:top w:val="none" w:sz="0" w:space="0" w:color="auto"/>
        <w:left w:val="none" w:sz="0" w:space="0" w:color="auto"/>
        <w:bottom w:val="none" w:sz="0" w:space="0" w:color="auto"/>
        <w:right w:val="none" w:sz="0" w:space="0" w:color="auto"/>
      </w:divBdr>
    </w:div>
    <w:div w:id="306321402">
      <w:bodyDiv w:val="1"/>
      <w:marLeft w:val="0"/>
      <w:marRight w:val="0"/>
      <w:marTop w:val="0"/>
      <w:marBottom w:val="0"/>
      <w:divBdr>
        <w:top w:val="none" w:sz="0" w:space="0" w:color="auto"/>
        <w:left w:val="none" w:sz="0" w:space="0" w:color="auto"/>
        <w:bottom w:val="none" w:sz="0" w:space="0" w:color="auto"/>
        <w:right w:val="none" w:sz="0" w:space="0" w:color="auto"/>
      </w:divBdr>
    </w:div>
    <w:div w:id="306398490">
      <w:bodyDiv w:val="1"/>
      <w:marLeft w:val="0"/>
      <w:marRight w:val="0"/>
      <w:marTop w:val="0"/>
      <w:marBottom w:val="0"/>
      <w:divBdr>
        <w:top w:val="none" w:sz="0" w:space="0" w:color="auto"/>
        <w:left w:val="none" w:sz="0" w:space="0" w:color="auto"/>
        <w:bottom w:val="none" w:sz="0" w:space="0" w:color="auto"/>
        <w:right w:val="none" w:sz="0" w:space="0" w:color="auto"/>
      </w:divBdr>
    </w:div>
    <w:div w:id="306595575">
      <w:bodyDiv w:val="1"/>
      <w:marLeft w:val="0"/>
      <w:marRight w:val="0"/>
      <w:marTop w:val="0"/>
      <w:marBottom w:val="0"/>
      <w:divBdr>
        <w:top w:val="none" w:sz="0" w:space="0" w:color="auto"/>
        <w:left w:val="none" w:sz="0" w:space="0" w:color="auto"/>
        <w:bottom w:val="none" w:sz="0" w:space="0" w:color="auto"/>
        <w:right w:val="none" w:sz="0" w:space="0" w:color="auto"/>
      </w:divBdr>
    </w:div>
    <w:div w:id="306782024">
      <w:bodyDiv w:val="1"/>
      <w:marLeft w:val="0"/>
      <w:marRight w:val="0"/>
      <w:marTop w:val="0"/>
      <w:marBottom w:val="0"/>
      <w:divBdr>
        <w:top w:val="none" w:sz="0" w:space="0" w:color="auto"/>
        <w:left w:val="none" w:sz="0" w:space="0" w:color="auto"/>
        <w:bottom w:val="none" w:sz="0" w:space="0" w:color="auto"/>
        <w:right w:val="none" w:sz="0" w:space="0" w:color="auto"/>
      </w:divBdr>
    </w:div>
    <w:div w:id="306787117">
      <w:bodyDiv w:val="1"/>
      <w:marLeft w:val="0"/>
      <w:marRight w:val="0"/>
      <w:marTop w:val="0"/>
      <w:marBottom w:val="0"/>
      <w:divBdr>
        <w:top w:val="none" w:sz="0" w:space="0" w:color="auto"/>
        <w:left w:val="none" w:sz="0" w:space="0" w:color="auto"/>
        <w:bottom w:val="none" w:sz="0" w:space="0" w:color="auto"/>
        <w:right w:val="none" w:sz="0" w:space="0" w:color="auto"/>
      </w:divBdr>
    </w:div>
    <w:div w:id="306862089">
      <w:bodyDiv w:val="1"/>
      <w:marLeft w:val="0"/>
      <w:marRight w:val="0"/>
      <w:marTop w:val="0"/>
      <w:marBottom w:val="0"/>
      <w:divBdr>
        <w:top w:val="none" w:sz="0" w:space="0" w:color="auto"/>
        <w:left w:val="none" w:sz="0" w:space="0" w:color="auto"/>
        <w:bottom w:val="none" w:sz="0" w:space="0" w:color="auto"/>
        <w:right w:val="none" w:sz="0" w:space="0" w:color="auto"/>
      </w:divBdr>
    </w:div>
    <w:div w:id="306975908">
      <w:bodyDiv w:val="1"/>
      <w:marLeft w:val="0"/>
      <w:marRight w:val="0"/>
      <w:marTop w:val="0"/>
      <w:marBottom w:val="0"/>
      <w:divBdr>
        <w:top w:val="none" w:sz="0" w:space="0" w:color="auto"/>
        <w:left w:val="none" w:sz="0" w:space="0" w:color="auto"/>
        <w:bottom w:val="none" w:sz="0" w:space="0" w:color="auto"/>
        <w:right w:val="none" w:sz="0" w:space="0" w:color="auto"/>
      </w:divBdr>
    </w:div>
    <w:div w:id="306980380">
      <w:bodyDiv w:val="1"/>
      <w:marLeft w:val="0"/>
      <w:marRight w:val="0"/>
      <w:marTop w:val="0"/>
      <w:marBottom w:val="0"/>
      <w:divBdr>
        <w:top w:val="none" w:sz="0" w:space="0" w:color="auto"/>
        <w:left w:val="none" w:sz="0" w:space="0" w:color="auto"/>
        <w:bottom w:val="none" w:sz="0" w:space="0" w:color="auto"/>
        <w:right w:val="none" w:sz="0" w:space="0" w:color="auto"/>
      </w:divBdr>
    </w:div>
    <w:div w:id="307054079">
      <w:bodyDiv w:val="1"/>
      <w:marLeft w:val="0"/>
      <w:marRight w:val="0"/>
      <w:marTop w:val="0"/>
      <w:marBottom w:val="0"/>
      <w:divBdr>
        <w:top w:val="none" w:sz="0" w:space="0" w:color="auto"/>
        <w:left w:val="none" w:sz="0" w:space="0" w:color="auto"/>
        <w:bottom w:val="none" w:sz="0" w:space="0" w:color="auto"/>
        <w:right w:val="none" w:sz="0" w:space="0" w:color="auto"/>
      </w:divBdr>
    </w:div>
    <w:div w:id="307126740">
      <w:bodyDiv w:val="1"/>
      <w:marLeft w:val="0"/>
      <w:marRight w:val="0"/>
      <w:marTop w:val="0"/>
      <w:marBottom w:val="0"/>
      <w:divBdr>
        <w:top w:val="none" w:sz="0" w:space="0" w:color="auto"/>
        <w:left w:val="none" w:sz="0" w:space="0" w:color="auto"/>
        <w:bottom w:val="none" w:sz="0" w:space="0" w:color="auto"/>
        <w:right w:val="none" w:sz="0" w:space="0" w:color="auto"/>
      </w:divBdr>
    </w:div>
    <w:div w:id="307251922">
      <w:bodyDiv w:val="1"/>
      <w:marLeft w:val="0"/>
      <w:marRight w:val="0"/>
      <w:marTop w:val="0"/>
      <w:marBottom w:val="0"/>
      <w:divBdr>
        <w:top w:val="none" w:sz="0" w:space="0" w:color="auto"/>
        <w:left w:val="none" w:sz="0" w:space="0" w:color="auto"/>
        <w:bottom w:val="none" w:sz="0" w:space="0" w:color="auto"/>
        <w:right w:val="none" w:sz="0" w:space="0" w:color="auto"/>
      </w:divBdr>
    </w:div>
    <w:div w:id="307978419">
      <w:bodyDiv w:val="1"/>
      <w:marLeft w:val="0"/>
      <w:marRight w:val="0"/>
      <w:marTop w:val="0"/>
      <w:marBottom w:val="0"/>
      <w:divBdr>
        <w:top w:val="none" w:sz="0" w:space="0" w:color="auto"/>
        <w:left w:val="none" w:sz="0" w:space="0" w:color="auto"/>
        <w:bottom w:val="none" w:sz="0" w:space="0" w:color="auto"/>
        <w:right w:val="none" w:sz="0" w:space="0" w:color="auto"/>
      </w:divBdr>
    </w:div>
    <w:div w:id="308096186">
      <w:bodyDiv w:val="1"/>
      <w:marLeft w:val="0"/>
      <w:marRight w:val="0"/>
      <w:marTop w:val="0"/>
      <w:marBottom w:val="0"/>
      <w:divBdr>
        <w:top w:val="none" w:sz="0" w:space="0" w:color="auto"/>
        <w:left w:val="none" w:sz="0" w:space="0" w:color="auto"/>
        <w:bottom w:val="none" w:sz="0" w:space="0" w:color="auto"/>
        <w:right w:val="none" w:sz="0" w:space="0" w:color="auto"/>
      </w:divBdr>
    </w:div>
    <w:div w:id="308167494">
      <w:bodyDiv w:val="1"/>
      <w:marLeft w:val="0"/>
      <w:marRight w:val="0"/>
      <w:marTop w:val="0"/>
      <w:marBottom w:val="0"/>
      <w:divBdr>
        <w:top w:val="none" w:sz="0" w:space="0" w:color="auto"/>
        <w:left w:val="none" w:sz="0" w:space="0" w:color="auto"/>
        <w:bottom w:val="none" w:sz="0" w:space="0" w:color="auto"/>
        <w:right w:val="none" w:sz="0" w:space="0" w:color="auto"/>
      </w:divBdr>
    </w:div>
    <w:div w:id="308217941">
      <w:bodyDiv w:val="1"/>
      <w:marLeft w:val="0"/>
      <w:marRight w:val="0"/>
      <w:marTop w:val="0"/>
      <w:marBottom w:val="0"/>
      <w:divBdr>
        <w:top w:val="none" w:sz="0" w:space="0" w:color="auto"/>
        <w:left w:val="none" w:sz="0" w:space="0" w:color="auto"/>
        <w:bottom w:val="none" w:sz="0" w:space="0" w:color="auto"/>
        <w:right w:val="none" w:sz="0" w:space="0" w:color="auto"/>
      </w:divBdr>
    </w:div>
    <w:div w:id="308287651">
      <w:bodyDiv w:val="1"/>
      <w:marLeft w:val="0"/>
      <w:marRight w:val="0"/>
      <w:marTop w:val="0"/>
      <w:marBottom w:val="0"/>
      <w:divBdr>
        <w:top w:val="none" w:sz="0" w:space="0" w:color="auto"/>
        <w:left w:val="none" w:sz="0" w:space="0" w:color="auto"/>
        <w:bottom w:val="none" w:sz="0" w:space="0" w:color="auto"/>
        <w:right w:val="none" w:sz="0" w:space="0" w:color="auto"/>
      </w:divBdr>
    </w:div>
    <w:div w:id="308364377">
      <w:bodyDiv w:val="1"/>
      <w:marLeft w:val="0"/>
      <w:marRight w:val="0"/>
      <w:marTop w:val="0"/>
      <w:marBottom w:val="0"/>
      <w:divBdr>
        <w:top w:val="none" w:sz="0" w:space="0" w:color="auto"/>
        <w:left w:val="none" w:sz="0" w:space="0" w:color="auto"/>
        <w:bottom w:val="none" w:sz="0" w:space="0" w:color="auto"/>
        <w:right w:val="none" w:sz="0" w:space="0" w:color="auto"/>
      </w:divBdr>
    </w:div>
    <w:div w:id="308436105">
      <w:bodyDiv w:val="1"/>
      <w:marLeft w:val="0"/>
      <w:marRight w:val="0"/>
      <w:marTop w:val="0"/>
      <w:marBottom w:val="0"/>
      <w:divBdr>
        <w:top w:val="none" w:sz="0" w:space="0" w:color="auto"/>
        <w:left w:val="none" w:sz="0" w:space="0" w:color="auto"/>
        <w:bottom w:val="none" w:sz="0" w:space="0" w:color="auto"/>
        <w:right w:val="none" w:sz="0" w:space="0" w:color="auto"/>
      </w:divBdr>
    </w:div>
    <w:div w:id="308442031">
      <w:bodyDiv w:val="1"/>
      <w:marLeft w:val="0"/>
      <w:marRight w:val="0"/>
      <w:marTop w:val="0"/>
      <w:marBottom w:val="0"/>
      <w:divBdr>
        <w:top w:val="none" w:sz="0" w:space="0" w:color="auto"/>
        <w:left w:val="none" w:sz="0" w:space="0" w:color="auto"/>
        <w:bottom w:val="none" w:sz="0" w:space="0" w:color="auto"/>
        <w:right w:val="none" w:sz="0" w:space="0" w:color="auto"/>
      </w:divBdr>
    </w:div>
    <w:div w:id="308557882">
      <w:bodyDiv w:val="1"/>
      <w:marLeft w:val="0"/>
      <w:marRight w:val="0"/>
      <w:marTop w:val="0"/>
      <w:marBottom w:val="0"/>
      <w:divBdr>
        <w:top w:val="none" w:sz="0" w:space="0" w:color="auto"/>
        <w:left w:val="none" w:sz="0" w:space="0" w:color="auto"/>
        <w:bottom w:val="none" w:sz="0" w:space="0" w:color="auto"/>
        <w:right w:val="none" w:sz="0" w:space="0" w:color="auto"/>
      </w:divBdr>
    </w:div>
    <w:div w:id="308562866">
      <w:bodyDiv w:val="1"/>
      <w:marLeft w:val="0"/>
      <w:marRight w:val="0"/>
      <w:marTop w:val="0"/>
      <w:marBottom w:val="0"/>
      <w:divBdr>
        <w:top w:val="none" w:sz="0" w:space="0" w:color="auto"/>
        <w:left w:val="none" w:sz="0" w:space="0" w:color="auto"/>
        <w:bottom w:val="none" w:sz="0" w:space="0" w:color="auto"/>
        <w:right w:val="none" w:sz="0" w:space="0" w:color="auto"/>
      </w:divBdr>
    </w:div>
    <w:div w:id="308630313">
      <w:bodyDiv w:val="1"/>
      <w:marLeft w:val="0"/>
      <w:marRight w:val="0"/>
      <w:marTop w:val="0"/>
      <w:marBottom w:val="0"/>
      <w:divBdr>
        <w:top w:val="none" w:sz="0" w:space="0" w:color="auto"/>
        <w:left w:val="none" w:sz="0" w:space="0" w:color="auto"/>
        <w:bottom w:val="none" w:sz="0" w:space="0" w:color="auto"/>
        <w:right w:val="none" w:sz="0" w:space="0" w:color="auto"/>
      </w:divBdr>
    </w:div>
    <w:div w:id="308674852">
      <w:bodyDiv w:val="1"/>
      <w:marLeft w:val="0"/>
      <w:marRight w:val="0"/>
      <w:marTop w:val="0"/>
      <w:marBottom w:val="0"/>
      <w:divBdr>
        <w:top w:val="none" w:sz="0" w:space="0" w:color="auto"/>
        <w:left w:val="none" w:sz="0" w:space="0" w:color="auto"/>
        <w:bottom w:val="none" w:sz="0" w:space="0" w:color="auto"/>
        <w:right w:val="none" w:sz="0" w:space="0" w:color="auto"/>
      </w:divBdr>
    </w:div>
    <w:div w:id="308830757">
      <w:bodyDiv w:val="1"/>
      <w:marLeft w:val="0"/>
      <w:marRight w:val="0"/>
      <w:marTop w:val="0"/>
      <w:marBottom w:val="0"/>
      <w:divBdr>
        <w:top w:val="none" w:sz="0" w:space="0" w:color="auto"/>
        <w:left w:val="none" w:sz="0" w:space="0" w:color="auto"/>
        <w:bottom w:val="none" w:sz="0" w:space="0" w:color="auto"/>
        <w:right w:val="none" w:sz="0" w:space="0" w:color="auto"/>
      </w:divBdr>
    </w:div>
    <w:div w:id="308899511">
      <w:bodyDiv w:val="1"/>
      <w:marLeft w:val="0"/>
      <w:marRight w:val="0"/>
      <w:marTop w:val="0"/>
      <w:marBottom w:val="0"/>
      <w:divBdr>
        <w:top w:val="none" w:sz="0" w:space="0" w:color="auto"/>
        <w:left w:val="none" w:sz="0" w:space="0" w:color="auto"/>
        <w:bottom w:val="none" w:sz="0" w:space="0" w:color="auto"/>
        <w:right w:val="none" w:sz="0" w:space="0" w:color="auto"/>
      </w:divBdr>
    </w:div>
    <w:div w:id="308902505">
      <w:bodyDiv w:val="1"/>
      <w:marLeft w:val="0"/>
      <w:marRight w:val="0"/>
      <w:marTop w:val="0"/>
      <w:marBottom w:val="0"/>
      <w:divBdr>
        <w:top w:val="none" w:sz="0" w:space="0" w:color="auto"/>
        <w:left w:val="none" w:sz="0" w:space="0" w:color="auto"/>
        <w:bottom w:val="none" w:sz="0" w:space="0" w:color="auto"/>
        <w:right w:val="none" w:sz="0" w:space="0" w:color="auto"/>
      </w:divBdr>
    </w:div>
    <w:div w:id="308942920">
      <w:bodyDiv w:val="1"/>
      <w:marLeft w:val="0"/>
      <w:marRight w:val="0"/>
      <w:marTop w:val="0"/>
      <w:marBottom w:val="0"/>
      <w:divBdr>
        <w:top w:val="none" w:sz="0" w:space="0" w:color="auto"/>
        <w:left w:val="none" w:sz="0" w:space="0" w:color="auto"/>
        <w:bottom w:val="none" w:sz="0" w:space="0" w:color="auto"/>
        <w:right w:val="none" w:sz="0" w:space="0" w:color="auto"/>
      </w:divBdr>
    </w:div>
    <w:div w:id="308947250">
      <w:bodyDiv w:val="1"/>
      <w:marLeft w:val="0"/>
      <w:marRight w:val="0"/>
      <w:marTop w:val="0"/>
      <w:marBottom w:val="0"/>
      <w:divBdr>
        <w:top w:val="none" w:sz="0" w:space="0" w:color="auto"/>
        <w:left w:val="none" w:sz="0" w:space="0" w:color="auto"/>
        <w:bottom w:val="none" w:sz="0" w:space="0" w:color="auto"/>
        <w:right w:val="none" w:sz="0" w:space="0" w:color="auto"/>
      </w:divBdr>
    </w:div>
    <w:div w:id="308949452">
      <w:bodyDiv w:val="1"/>
      <w:marLeft w:val="0"/>
      <w:marRight w:val="0"/>
      <w:marTop w:val="0"/>
      <w:marBottom w:val="0"/>
      <w:divBdr>
        <w:top w:val="none" w:sz="0" w:space="0" w:color="auto"/>
        <w:left w:val="none" w:sz="0" w:space="0" w:color="auto"/>
        <w:bottom w:val="none" w:sz="0" w:space="0" w:color="auto"/>
        <w:right w:val="none" w:sz="0" w:space="0" w:color="auto"/>
      </w:divBdr>
    </w:div>
    <w:div w:id="309288118">
      <w:bodyDiv w:val="1"/>
      <w:marLeft w:val="0"/>
      <w:marRight w:val="0"/>
      <w:marTop w:val="0"/>
      <w:marBottom w:val="0"/>
      <w:divBdr>
        <w:top w:val="none" w:sz="0" w:space="0" w:color="auto"/>
        <w:left w:val="none" w:sz="0" w:space="0" w:color="auto"/>
        <w:bottom w:val="none" w:sz="0" w:space="0" w:color="auto"/>
        <w:right w:val="none" w:sz="0" w:space="0" w:color="auto"/>
      </w:divBdr>
    </w:div>
    <w:div w:id="309293727">
      <w:bodyDiv w:val="1"/>
      <w:marLeft w:val="0"/>
      <w:marRight w:val="0"/>
      <w:marTop w:val="0"/>
      <w:marBottom w:val="0"/>
      <w:divBdr>
        <w:top w:val="none" w:sz="0" w:space="0" w:color="auto"/>
        <w:left w:val="none" w:sz="0" w:space="0" w:color="auto"/>
        <w:bottom w:val="none" w:sz="0" w:space="0" w:color="auto"/>
        <w:right w:val="none" w:sz="0" w:space="0" w:color="auto"/>
      </w:divBdr>
    </w:div>
    <w:div w:id="309359819">
      <w:bodyDiv w:val="1"/>
      <w:marLeft w:val="0"/>
      <w:marRight w:val="0"/>
      <w:marTop w:val="0"/>
      <w:marBottom w:val="0"/>
      <w:divBdr>
        <w:top w:val="none" w:sz="0" w:space="0" w:color="auto"/>
        <w:left w:val="none" w:sz="0" w:space="0" w:color="auto"/>
        <w:bottom w:val="none" w:sz="0" w:space="0" w:color="auto"/>
        <w:right w:val="none" w:sz="0" w:space="0" w:color="auto"/>
      </w:divBdr>
    </w:div>
    <w:div w:id="309405701">
      <w:bodyDiv w:val="1"/>
      <w:marLeft w:val="0"/>
      <w:marRight w:val="0"/>
      <w:marTop w:val="0"/>
      <w:marBottom w:val="0"/>
      <w:divBdr>
        <w:top w:val="none" w:sz="0" w:space="0" w:color="auto"/>
        <w:left w:val="none" w:sz="0" w:space="0" w:color="auto"/>
        <w:bottom w:val="none" w:sz="0" w:space="0" w:color="auto"/>
        <w:right w:val="none" w:sz="0" w:space="0" w:color="auto"/>
      </w:divBdr>
    </w:div>
    <w:div w:id="309558007">
      <w:bodyDiv w:val="1"/>
      <w:marLeft w:val="0"/>
      <w:marRight w:val="0"/>
      <w:marTop w:val="0"/>
      <w:marBottom w:val="0"/>
      <w:divBdr>
        <w:top w:val="none" w:sz="0" w:space="0" w:color="auto"/>
        <w:left w:val="none" w:sz="0" w:space="0" w:color="auto"/>
        <w:bottom w:val="none" w:sz="0" w:space="0" w:color="auto"/>
        <w:right w:val="none" w:sz="0" w:space="0" w:color="auto"/>
      </w:divBdr>
    </w:div>
    <w:div w:id="309602485">
      <w:bodyDiv w:val="1"/>
      <w:marLeft w:val="0"/>
      <w:marRight w:val="0"/>
      <w:marTop w:val="0"/>
      <w:marBottom w:val="0"/>
      <w:divBdr>
        <w:top w:val="none" w:sz="0" w:space="0" w:color="auto"/>
        <w:left w:val="none" w:sz="0" w:space="0" w:color="auto"/>
        <w:bottom w:val="none" w:sz="0" w:space="0" w:color="auto"/>
        <w:right w:val="none" w:sz="0" w:space="0" w:color="auto"/>
      </w:divBdr>
    </w:div>
    <w:div w:id="309671697">
      <w:bodyDiv w:val="1"/>
      <w:marLeft w:val="0"/>
      <w:marRight w:val="0"/>
      <w:marTop w:val="0"/>
      <w:marBottom w:val="0"/>
      <w:divBdr>
        <w:top w:val="none" w:sz="0" w:space="0" w:color="auto"/>
        <w:left w:val="none" w:sz="0" w:space="0" w:color="auto"/>
        <w:bottom w:val="none" w:sz="0" w:space="0" w:color="auto"/>
        <w:right w:val="none" w:sz="0" w:space="0" w:color="auto"/>
      </w:divBdr>
    </w:div>
    <w:div w:id="309868548">
      <w:bodyDiv w:val="1"/>
      <w:marLeft w:val="0"/>
      <w:marRight w:val="0"/>
      <w:marTop w:val="0"/>
      <w:marBottom w:val="0"/>
      <w:divBdr>
        <w:top w:val="none" w:sz="0" w:space="0" w:color="auto"/>
        <w:left w:val="none" w:sz="0" w:space="0" w:color="auto"/>
        <w:bottom w:val="none" w:sz="0" w:space="0" w:color="auto"/>
        <w:right w:val="none" w:sz="0" w:space="0" w:color="auto"/>
      </w:divBdr>
    </w:div>
    <w:div w:id="310015416">
      <w:bodyDiv w:val="1"/>
      <w:marLeft w:val="0"/>
      <w:marRight w:val="0"/>
      <w:marTop w:val="0"/>
      <w:marBottom w:val="0"/>
      <w:divBdr>
        <w:top w:val="none" w:sz="0" w:space="0" w:color="auto"/>
        <w:left w:val="none" w:sz="0" w:space="0" w:color="auto"/>
        <w:bottom w:val="none" w:sz="0" w:space="0" w:color="auto"/>
        <w:right w:val="none" w:sz="0" w:space="0" w:color="auto"/>
      </w:divBdr>
    </w:div>
    <w:div w:id="310184236">
      <w:bodyDiv w:val="1"/>
      <w:marLeft w:val="0"/>
      <w:marRight w:val="0"/>
      <w:marTop w:val="0"/>
      <w:marBottom w:val="0"/>
      <w:divBdr>
        <w:top w:val="none" w:sz="0" w:space="0" w:color="auto"/>
        <w:left w:val="none" w:sz="0" w:space="0" w:color="auto"/>
        <w:bottom w:val="none" w:sz="0" w:space="0" w:color="auto"/>
        <w:right w:val="none" w:sz="0" w:space="0" w:color="auto"/>
      </w:divBdr>
    </w:div>
    <w:div w:id="310255283">
      <w:bodyDiv w:val="1"/>
      <w:marLeft w:val="0"/>
      <w:marRight w:val="0"/>
      <w:marTop w:val="0"/>
      <w:marBottom w:val="0"/>
      <w:divBdr>
        <w:top w:val="none" w:sz="0" w:space="0" w:color="auto"/>
        <w:left w:val="none" w:sz="0" w:space="0" w:color="auto"/>
        <w:bottom w:val="none" w:sz="0" w:space="0" w:color="auto"/>
        <w:right w:val="none" w:sz="0" w:space="0" w:color="auto"/>
      </w:divBdr>
    </w:div>
    <w:div w:id="310330025">
      <w:bodyDiv w:val="1"/>
      <w:marLeft w:val="0"/>
      <w:marRight w:val="0"/>
      <w:marTop w:val="0"/>
      <w:marBottom w:val="0"/>
      <w:divBdr>
        <w:top w:val="none" w:sz="0" w:space="0" w:color="auto"/>
        <w:left w:val="none" w:sz="0" w:space="0" w:color="auto"/>
        <w:bottom w:val="none" w:sz="0" w:space="0" w:color="auto"/>
        <w:right w:val="none" w:sz="0" w:space="0" w:color="auto"/>
      </w:divBdr>
    </w:div>
    <w:div w:id="310405955">
      <w:bodyDiv w:val="1"/>
      <w:marLeft w:val="0"/>
      <w:marRight w:val="0"/>
      <w:marTop w:val="0"/>
      <w:marBottom w:val="0"/>
      <w:divBdr>
        <w:top w:val="none" w:sz="0" w:space="0" w:color="auto"/>
        <w:left w:val="none" w:sz="0" w:space="0" w:color="auto"/>
        <w:bottom w:val="none" w:sz="0" w:space="0" w:color="auto"/>
        <w:right w:val="none" w:sz="0" w:space="0" w:color="auto"/>
      </w:divBdr>
    </w:div>
    <w:div w:id="310602691">
      <w:bodyDiv w:val="1"/>
      <w:marLeft w:val="0"/>
      <w:marRight w:val="0"/>
      <w:marTop w:val="0"/>
      <w:marBottom w:val="0"/>
      <w:divBdr>
        <w:top w:val="none" w:sz="0" w:space="0" w:color="auto"/>
        <w:left w:val="none" w:sz="0" w:space="0" w:color="auto"/>
        <w:bottom w:val="none" w:sz="0" w:space="0" w:color="auto"/>
        <w:right w:val="none" w:sz="0" w:space="0" w:color="auto"/>
      </w:divBdr>
    </w:div>
    <w:div w:id="310641277">
      <w:bodyDiv w:val="1"/>
      <w:marLeft w:val="0"/>
      <w:marRight w:val="0"/>
      <w:marTop w:val="0"/>
      <w:marBottom w:val="0"/>
      <w:divBdr>
        <w:top w:val="none" w:sz="0" w:space="0" w:color="auto"/>
        <w:left w:val="none" w:sz="0" w:space="0" w:color="auto"/>
        <w:bottom w:val="none" w:sz="0" w:space="0" w:color="auto"/>
        <w:right w:val="none" w:sz="0" w:space="0" w:color="auto"/>
      </w:divBdr>
    </w:div>
    <w:div w:id="310719602">
      <w:bodyDiv w:val="1"/>
      <w:marLeft w:val="0"/>
      <w:marRight w:val="0"/>
      <w:marTop w:val="0"/>
      <w:marBottom w:val="0"/>
      <w:divBdr>
        <w:top w:val="none" w:sz="0" w:space="0" w:color="auto"/>
        <w:left w:val="none" w:sz="0" w:space="0" w:color="auto"/>
        <w:bottom w:val="none" w:sz="0" w:space="0" w:color="auto"/>
        <w:right w:val="none" w:sz="0" w:space="0" w:color="auto"/>
      </w:divBdr>
    </w:div>
    <w:div w:id="310789241">
      <w:bodyDiv w:val="1"/>
      <w:marLeft w:val="0"/>
      <w:marRight w:val="0"/>
      <w:marTop w:val="0"/>
      <w:marBottom w:val="0"/>
      <w:divBdr>
        <w:top w:val="none" w:sz="0" w:space="0" w:color="auto"/>
        <w:left w:val="none" w:sz="0" w:space="0" w:color="auto"/>
        <w:bottom w:val="none" w:sz="0" w:space="0" w:color="auto"/>
        <w:right w:val="none" w:sz="0" w:space="0" w:color="auto"/>
      </w:divBdr>
    </w:div>
    <w:div w:id="310864044">
      <w:bodyDiv w:val="1"/>
      <w:marLeft w:val="0"/>
      <w:marRight w:val="0"/>
      <w:marTop w:val="0"/>
      <w:marBottom w:val="0"/>
      <w:divBdr>
        <w:top w:val="none" w:sz="0" w:space="0" w:color="auto"/>
        <w:left w:val="none" w:sz="0" w:space="0" w:color="auto"/>
        <w:bottom w:val="none" w:sz="0" w:space="0" w:color="auto"/>
        <w:right w:val="none" w:sz="0" w:space="0" w:color="auto"/>
      </w:divBdr>
    </w:div>
    <w:div w:id="311176063">
      <w:bodyDiv w:val="1"/>
      <w:marLeft w:val="0"/>
      <w:marRight w:val="0"/>
      <w:marTop w:val="0"/>
      <w:marBottom w:val="0"/>
      <w:divBdr>
        <w:top w:val="none" w:sz="0" w:space="0" w:color="auto"/>
        <w:left w:val="none" w:sz="0" w:space="0" w:color="auto"/>
        <w:bottom w:val="none" w:sz="0" w:space="0" w:color="auto"/>
        <w:right w:val="none" w:sz="0" w:space="0" w:color="auto"/>
      </w:divBdr>
    </w:div>
    <w:div w:id="311297621">
      <w:bodyDiv w:val="1"/>
      <w:marLeft w:val="0"/>
      <w:marRight w:val="0"/>
      <w:marTop w:val="0"/>
      <w:marBottom w:val="0"/>
      <w:divBdr>
        <w:top w:val="none" w:sz="0" w:space="0" w:color="auto"/>
        <w:left w:val="none" w:sz="0" w:space="0" w:color="auto"/>
        <w:bottom w:val="none" w:sz="0" w:space="0" w:color="auto"/>
        <w:right w:val="none" w:sz="0" w:space="0" w:color="auto"/>
      </w:divBdr>
    </w:div>
    <w:div w:id="311376501">
      <w:bodyDiv w:val="1"/>
      <w:marLeft w:val="0"/>
      <w:marRight w:val="0"/>
      <w:marTop w:val="0"/>
      <w:marBottom w:val="0"/>
      <w:divBdr>
        <w:top w:val="none" w:sz="0" w:space="0" w:color="auto"/>
        <w:left w:val="none" w:sz="0" w:space="0" w:color="auto"/>
        <w:bottom w:val="none" w:sz="0" w:space="0" w:color="auto"/>
        <w:right w:val="none" w:sz="0" w:space="0" w:color="auto"/>
      </w:divBdr>
    </w:div>
    <w:div w:id="311446658">
      <w:bodyDiv w:val="1"/>
      <w:marLeft w:val="0"/>
      <w:marRight w:val="0"/>
      <w:marTop w:val="0"/>
      <w:marBottom w:val="0"/>
      <w:divBdr>
        <w:top w:val="none" w:sz="0" w:space="0" w:color="auto"/>
        <w:left w:val="none" w:sz="0" w:space="0" w:color="auto"/>
        <w:bottom w:val="none" w:sz="0" w:space="0" w:color="auto"/>
        <w:right w:val="none" w:sz="0" w:space="0" w:color="auto"/>
      </w:divBdr>
    </w:div>
    <w:div w:id="311519066">
      <w:bodyDiv w:val="1"/>
      <w:marLeft w:val="0"/>
      <w:marRight w:val="0"/>
      <w:marTop w:val="0"/>
      <w:marBottom w:val="0"/>
      <w:divBdr>
        <w:top w:val="none" w:sz="0" w:space="0" w:color="auto"/>
        <w:left w:val="none" w:sz="0" w:space="0" w:color="auto"/>
        <w:bottom w:val="none" w:sz="0" w:space="0" w:color="auto"/>
        <w:right w:val="none" w:sz="0" w:space="0" w:color="auto"/>
      </w:divBdr>
    </w:div>
    <w:div w:id="311519938">
      <w:bodyDiv w:val="1"/>
      <w:marLeft w:val="0"/>
      <w:marRight w:val="0"/>
      <w:marTop w:val="0"/>
      <w:marBottom w:val="0"/>
      <w:divBdr>
        <w:top w:val="none" w:sz="0" w:space="0" w:color="auto"/>
        <w:left w:val="none" w:sz="0" w:space="0" w:color="auto"/>
        <w:bottom w:val="none" w:sz="0" w:space="0" w:color="auto"/>
        <w:right w:val="none" w:sz="0" w:space="0" w:color="auto"/>
      </w:divBdr>
    </w:div>
    <w:div w:id="311638159">
      <w:bodyDiv w:val="1"/>
      <w:marLeft w:val="0"/>
      <w:marRight w:val="0"/>
      <w:marTop w:val="0"/>
      <w:marBottom w:val="0"/>
      <w:divBdr>
        <w:top w:val="none" w:sz="0" w:space="0" w:color="auto"/>
        <w:left w:val="none" w:sz="0" w:space="0" w:color="auto"/>
        <w:bottom w:val="none" w:sz="0" w:space="0" w:color="auto"/>
        <w:right w:val="none" w:sz="0" w:space="0" w:color="auto"/>
      </w:divBdr>
    </w:div>
    <w:div w:id="311638191">
      <w:bodyDiv w:val="1"/>
      <w:marLeft w:val="0"/>
      <w:marRight w:val="0"/>
      <w:marTop w:val="0"/>
      <w:marBottom w:val="0"/>
      <w:divBdr>
        <w:top w:val="none" w:sz="0" w:space="0" w:color="auto"/>
        <w:left w:val="none" w:sz="0" w:space="0" w:color="auto"/>
        <w:bottom w:val="none" w:sz="0" w:space="0" w:color="auto"/>
        <w:right w:val="none" w:sz="0" w:space="0" w:color="auto"/>
      </w:divBdr>
    </w:div>
    <w:div w:id="311641504">
      <w:bodyDiv w:val="1"/>
      <w:marLeft w:val="0"/>
      <w:marRight w:val="0"/>
      <w:marTop w:val="0"/>
      <w:marBottom w:val="0"/>
      <w:divBdr>
        <w:top w:val="none" w:sz="0" w:space="0" w:color="auto"/>
        <w:left w:val="none" w:sz="0" w:space="0" w:color="auto"/>
        <w:bottom w:val="none" w:sz="0" w:space="0" w:color="auto"/>
        <w:right w:val="none" w:sz="0" w:space="0" w:color="auto"/>
      </w:divBdr>
    </w:div>
    <w:div w:id="311641767">
      <w:bodyDiv w:val="1"/>
      <w:marLeft w:val="0"/>
      <w:marRight w:val="0"/>
      <w:marTop w:val="0"/>
      <w:marBottom w:val="0"/>
      <w:divBdr>
        <w:top w:val="none" w:sz="0" w:space="0" w:color="auto"/>
        <w:left w:val="none" w:sz="0" w:space="0" w:color="auto"/>
        <w:bottom w:val="none" w:sz="0" w:space="0" w:color="auto"/>
        <w:right w:val="none" w:sz="0" w:space="0" w:color="auto"/>
      </w:divBdr>
    </w:div>
    <w:div w:id="311911402">
      <w:bodyDiv w:val="1"/>
      <w:marLeft w:val="0"/>
      <w:marRight w:val="0"/>
      <w:marTop w:val="0"/>
      <w:marBottom w:val="0"/>
      <w:divBdr>
        <w:top w:val="none" w:sz="0" w:space="0" w:color="auto"/>
        <w:left w:val="none" w:sz="0" w:space="0" w:color="auto"/>
        <w:bottom w:val="none" w:sz="0" w:space="0" w:color="auto"/>
        <w:right w:val="none" w:sz="0" w:space="0" w:color="auto"/>
      </w:divBdr>
    </w:div>
    <w:div w:id="312175520">
      <w:bodyDiv w:val="1"/>
      <w:marLeft w:val="0"/>
      <w:marRight w:val="0"/>
      <w:marTop w:val="0"/>
      <w:marBottom w:val="0"/>
      <w:divBdr>
        <w:top w:val="none" w:sz="0" w:space="0" w:color="auto"/>
        <w:left w:val="none" w:sz="0" w:space="0" w:color="auto"/>
        <w:bottom w:val="none" w:sz="0" w:space="0" w:color="auto"/>
        <w:right w:val="none" w:sz="0" w:space="0" w:color="auto"/>
      </w:divBdr>
    </w:div>
    <w:div w:id="312292944">
      <w:bodyDiv w:val="1"/>
      <w:marLeft w:val="0"/>
      <w:marRight w:val="0"/>
      <w:marTop w:val="0"/>
      <w:marBottom w:val="0"/>
      <w:divBdr>
        <w:top w:val="none" w:sz="0" w:space="0" w:color="auto"/>
        <w:left w:val="none" w:sz="0" w:space="0" w:color="auto"/>
        <w:bottom w:val="none" w:sz="0" w:space="0" w:color="auto"/>
        <w:right w:val="none" w:sz="0" w:space="0" w:color="auto"/>
      </w:divBdr>
    </w:div>
    <w:div w:id="312416350">
      <w:bodyDiv w:val="1"/>
      <w:marLeft w:val="0"/>
      <w:marRight w:val="0"/>
      <w:marTop w:val="0"/>
      <w:marBottom w:val="0"/>
      <w:divBdr>
        <w:top w:val="none" w:sz="0" w:space="0" w:color="auto"/>
        <w:left w:val="none" w:sz="0" w:space="0" w:color="auto"/>
        <w:bottom w:val="none" w:sz="0" w:space="0" w:color="auto"/>
        <w:right w:val="none" w:sz="0" w:space="0" w:color="auto"/>
      </w:divBdr>
    </w:div>
    <w:div w:id="312416614">
      <w:bodyDiv w:val="1"/>
      <w:marLeft w:val="0"/>
      <w:marRight w:val="0"/>
      <w:marTop w:val="0"/>
      <w:marBottom w:val="0"/>
      <w:divBdr>
        <w:top w:val="none" w:sz="0" w:space="0" w:color="auto"/>
        <w:left w:val="none" w:sz="0" w:space="0" w:color="auto"/>
        <w:bottom w:val="none" w:sz="0" w:space="0" w:color="auto"/>
        <w:right w:val="none" w:sz="0" w:space="0" w:color="auto"/>
      </w:divBdr>
    </w:div>
    <w:div w:id="312419454">
      <w:bodyDiv w:val="1"/>
      <w:marLeft w:val="0"/>
      <w:marRight w:val="0"/>
      <w:marTop w:val="0"/>
      <w:marBottom w:val="0"/>
      <w:divBdr>
        <w:top w:val="none" w:sz="0" w:space="0" w:color="auto"/>
        <w:left w:val="none" w:sz="0" w:space="0" w:color="auto"/>
        <w:bottom w:val="none" w:sz="0" w:space="0" w:color="auto"/>
        <w:right w:val="none" w:sz="0" w:space="0" w:color="auto"/>
      </w:divBdr>
    </w:div>
    <w:div w:id="312608121">
      <w:bodyDiv w:val="1"/>
      <w:marLeft w:val="0"/>
      <w:marRight w:val="0"/>
      <w:marTop w:val="0"/>
      <w:marBottom w:val="0"/>
      <w:divBdr>
        <w:top w:val="none" w:sz="0" w:space="0" w:color="auto"/>
        <w:left w:val="none" w:sz="0" w:space="0" w:color="auto"/>
        <w:bottom w:val="none" w:sz="0" w:space="0" w:color="auto"/>
        <w:right w:val="none" w:sz="0" w:space="0" w:color="auto"/>
      </w:divBdr>
    </w:div>
    <w:div w:id="312608996">
      <w:bodyDiv w:val="1"/>
      <w:marLeft w:val="0"/>
      <w:marRight w:val="0"/>
      <w:marTop w:val="0"/>
      <w:marBottom w:val="0"/>
      <w:divBdr>
        <w:top w:val="none" w:sz="0" w:space="0" w:color="auto"/>
        <w:left w:val="none" w:sz="0" w:space="0" w:color="auto"/>
        <w:bottom w:val="none" w:sz="0" w:space="0" w:color="auto"/>
        <w:right w:val="none" w:sz="0" w:space="0" w:color="auto"/>
      </w:divBdr>
    </w:div>
    <w:div w:id="312637941">
      <w:bodyDiv w:val="1"/>
      <w:marLeft w:val="0"/>
      <w:marRight w:val="0"/>
      <w:marTop w:val="0"/>
      <w:marBottom w:val="0"/>
      <w:divBdr>
        <w:top w:val="none" w:sz="0" w:space="0" w:color="auto"/>
        <w:left w:val="none" w:sz="0" w:space="0" w:color="auto"/>
        <w:bottom w:val="none" w:sz="0" w:space="0" w:color="auto"/>
        <w:right w:val="none" w:sz="0" w:space="0" w:color="auto"/>
      </w:divBdr>
    </w:div>
    <w:div w:id="312680329">
      <w:bodyDiv w:val="1"/>
      <w:marLeft w:val="0"/>
      <w:marRight w:val="0"/>
      <w:marTop w:val="0"/>
      <w:marBottom w:val="0"/>
      <w:divBdr>
        <w:top w:val="none" w:sz="0" w:space="0" w:color="auto"/>
        <w:left w:val="none" w:sz="0" w:space="0" w:color="auto"/>
        <w:bottom w:val="none" w:sz="0" w:space="0" w:color="auto"/>
        <w:right w:val="none" w:sz="0" w:space="0" w:color="auto"/>
      </w:divBdr>
    </w:div>
    <w:div w:id="313031701">
      <w:bodyDiv w:val="1"/>
      <w:marLeft w:val="0"/>
      <w:marRight w:val="0"/>
      <w:marTop w:val="0"/>
      <w:marBottom w:val="0"/>
      <w:divBdr>
        <w:top w:val="none" w:sz="0" w:space="0" w:color="auto"/>
        <w:left w:val="none" w:sz="0" w:space="0" w:color="auto"/>
        <w:bottom w:val="none" w:sz="0" w:space="0" w:color="auto"/>
        <w:right w:val="none" w:sz="0" w:space="0" w:color="auto"/>
      </w:divBdr>
    </w:div>
    <w:div w:id="313142369">
      <w:bodyDiv w:val="1"/>
      <w:marLeft w:val="0"/>
      <w:marRight w:val="0"/>
      <w:marTop w:val="0"/>
      <w:marBottom w:val="0"/>
      <w:divBdr>
        <w:top w:val="none" w:sz="0" w:space="0" w:color="auto"/>
        <w:left w:val="none" w:sz="0" w:space="0" w:color="auto"/>
        <w:bottom w:val="none" w:sz="0" w:space="0" w:color="auto"/>
        <w:right w:val="none" w:sz="0" w:space="0" w:color="auto"/>
      </w:divBdr>
    </w:div>
    <w:div w:id="313150057">
      <w:bodyDiv w:val="1"/>
      <w:marLeft w:val="0"/>
      <w:marRight w:val="0"/>
      <w:marTop w:val="0"/>
      <w:marBottom w:val="0"/>
      <w:divBdr>
        <w:top w:val="none" w:sz="0" w:space="0" w:color="auto"/>
        <w:left w:val="none" w:sz="0" w:space="0" w:color="auto"/>
        <w:bottom w:val="none" w:sz="0" w:space="0" w:color="auto"/>
        <w:right w:val="none" w:sz="0" w:space="0" w:color="auto"/>
      </w:divBdr>
    </w:div>
    <w:div w:id="313334279">
      <w:bodyDiv w:val="1"/>
      <w:marLeft w:val="0"/>
      <w:marRight w:val="0"/>
      <w:marTop w:val="0"/>
      <w:marBottom w:val="0"/>
      <w:divBdr>
        <w:top w:val="none" w:sz="0" w:space="0" w:color="auto"/>
        <w:left w:val="none" w:sz="0" w:space="0" w:color="auto"/>
        <w:bottom w:val="none" w:sz="0" w:space="0" w:color="auto"/>
        <w:right w:val="none" w:sz="0" w:space="0" w:color="auto"/>
      </w:divBdr>
    </w:div>
    <w:div w:id="313341256">
      <w:bodyDiv w:val="1"/>
      <w:marLeft w:val="0"/>
      <w:marRight w:val="0"/>
      <w:marTop w:val="0"/>
      <w:marBottom w:val="0"/>
      <w:divBdr>
        <w:top w:val="none" w:sz="0" w:space="0" w:color="auto"/>
        <w:left w:val="none" w:sz="0" w:space="0" w:color="auto"/>
        <w:bottom w:val="none" w:sz="0" w:space="0" w:color="auto"/>
        <w:right w:val="none" w:sz="0" w:space="0" w:color="auto"/>
      </w:divBdr>
    </w:div>
    <w:div w:id="313410852">
      <w:bodyDiv w:val="1"/>
      <w:marLeft w:val="0"/>
      <w:marRight w:val="0"/>
      <w:marTop w:val="0"/>
      <w:marBottom w:val="0"/>
      <w:divBdr>
        <w:top w:val="none" w:sz="0" w:space="0" w:color="auto"/>
        <w:left w:val="none" w:sz="0" w:space="0" w:color="auto"/>
        <w:bottom w:val="none" w:sz="0" w:space="0" w:color="auto"/>
        <w:right w:val="none" w:sz="0" w:space="0" w:color="auto"/>
      </w:divBdr>
    </w:div>
    <w:div w:id="313413762">
      <w:bodyDiv w:val="1"/>
      <w:marLeft w:val="0"/>
      <w:marRight w:val="0"/>
      <w:marTop w:val="0"/>
      <w:marBottom w:val="0"/>
      <w:divBdr>
        <w:top w:val="none" w:sz="0" w:space="0" w:color="auto"/>
        <w:left w:val="none" w:sz="0" w:space="0" w:color="auto"/>
        <w:bottom w:val="none" w:sz="0" w:space="0" w:color="auto"/>
        <w:right w:val="none" w:sz="0" w:space="0" w:color="auto"/>
      </w:divBdr>
    </w:div>
    <w:div w:id="313606466">
      <w:bodyDiv w:val="1"/>
      <w:marLeft w:val="0"/>
      <w:marRight w:val="0"/>
      <w:marTop w:val="0"/>
      <w:marBottom w:val="0"/>
      <w:divBdr>
        <w:top w:val="none" w:sz="0" w:space="0" w:color="auto"/>
        <w:left w:val="none" w:sz="0" w:space="0" w:color="auto"/>
        <w:bottom w:val="none" w:sz="0" w:space="0" w:color="auto"/>
        <w:right w:val="none" w:sz="0" w:space="0" w:color="auto"/>
      </w:divBdr>
    </w:div>
    <w:div w:id="313683490">
      <w:bodyDiv w:val="1"/>
      <w:marLeft w:val="0"/>
      <w:marRight w:val="0"/>
      <w:marTop w:val="0"/>
      <w:marBottom w:val="0"/>
      <w:divBdr>
        <w:top w:val="none" w:sz="0" w:space="0" w:color="auto"/>
        <w:left w:val="none" w:sz="0" w:space="0" w:color="auto"/>
        <w:bottom w:val="none" w:sz="0" w:space="0" w:color="auto"/>
        <w:right w:val="none" w:sz="0" w:space="0" w:color="auto"/>
      </w:divBdr>
    </w:div>
    <w:div w:id="313721117">
      <w:bodyDiv w:val="1"/>
      <w:marLeft w:val="0"/>
      <w:marRight w:val="0"/>
      <w:marTop w:val="0"/>
      <w:marBottom w:val="0"/>
      <w:divBdr>
        <w:top w:val="none" w:sz="0" w:space="0" w:color="auto"/>
        <w:left w:val="none" w:sz="0" w:space="0" w:color="auto"/>
        <w:bottom w:val="none" w:sz="0" w:space="0" w:color="auto"/>
        <w:right w:val="none" w:sz="0" w:space="0" w:color="auto"/>
      </w:divBdr>
    </w:div>
    <w:div w:id="313799685">
      <w:bodyDiv w:val="1"/>
      <w:marLeft w:val="0"/>
      <w:marRight w:val="0"/>
      <w:marTop w:val="0"/>
      <w:marBottom w:val="0"/>
      <w:divBdr>
        <w:top w:val="none" w:sz="0" w:space="0" w:color="auto"/>
        <w:left w:val="none" w:sz="0" w:space="0" w:color="auto"/>
        <w:bottom w:val="none" w:sz="0" w:space="0" w:color="auto"/>
        <w:right w:val="none" w:sz="0" w:space="0" w:color="auto"/>
      </w:divBdr>
    </w:div>
    <w:div w:id="313801145">
      <w:bodyDiv w:val="1"/>
      <w:marLeft w:val="0"/>
      <w:marRight w:val="0"/>
      <w:marTop w:val="0"/>
      <w:marBottom w:val="0"/>
      <w:divBdr>
        <w:top w:val="none" w:sz="0" w:space="0" w:color="auto"/>
        <w:left w:val="none" w:sz="0" w:space="0" w:color="auto"/>
        <w:bottom w:val="none" w:sz="0" w:space="0" w:color="auto"/>
        <w:right w:val="none" w:sz="0" w:space="0" w:color="auto"/>
      </w:divBdr>
    </w:div>
    <w:div w:id="313877881">
      <w:bodyDiv w:val="1"/>
      <w:marLeft w:val="0"/>
      <w:marRight w:val="0"/>
      <w:marTop w:val="0"/>
      <w:marBottom w:val="0"/>
      <w:divBdr>
        <w:top w:val="none" w:sz="0" w:space="0" w:color="auto"/>
        <w:left w:val="none" w:sz="0" w:space="0" w:color="auto"/>
        <w:bottom w:val="none" w:sz="0" w:space="0" w:color="auto"/>
        <w:right w:val="none" w:sz="0" w:space="0" w:color="auto"/>
      </w:divBdr>
    </w:div>
    <w:div w:id="313994984">
      <w:bodyDiv w:val="1"/>
      <w:marLeft w:val="0"/>
      <w:marRight w:val="0"/>
      <w:marTop w:val="0"/>
      <w:marBottom w:val="0"/>
      <w:divBdr>
        <w:top w:val="none" w:sz="0" w:space="0" w:color="auto"/>
        <w:left w:val="none" w:sz="0" w:space="0" w:color="auto"/>
        <w:bottom w:val="none" w:sz="0" w:space="0" w:color="auto"/>
        <w:right w:val="none" w:sz="0" w:space="0" w:color="auto"/>
      </w:divBdr>
    </w:div>
    <w:div w:id="313995217">
      <w:bodyDiv w:val="1"/>
      <w:marLeft w:val="0"/>
      <w:marRight w:val="0"/>
      <w:marTop w:val="0"/>
      <w:marBottom w:val="0"/>
      <w:divBdr>
        <w:top w:val="none" w:sz="0" w:space="0" w:color="auto"/>
        <w:left w:val="none" w:sz="0" w:space="0" w:color="auto"/>
        <w:bottom w:val="none" w:sz="0" w:space="0" w:color="auto"/>
        <w:right w:val="none" w:sz="0" w:space="0" w:color="auto"/>
      </w:divBdr>
    </w:div>
    <w:div w:id="314065169">
      <w:bodyDiv w:val="1"/>
      <w:marLeft w:val="0"/>
      <w:marRight w:val="0"/>
      <w:marTop w:val="0"/>
      <w:marBottom w:val="0"/>
      <w:divBdr>
        <w:top w:val="none" w:sz="0" w:space="0" w:color="auto"/>
        <w:left w:val="none" w:sz="0" w:space="0" w:color="auto"/>
        <w:bottom w:val="none" w:sz="0" w:space="0" w:color="auto"/>
        <w:right w:val="none" w:sz="0" w:space="0" w:color="auto"/>
      </w:divBdr>
    </w:div>
    <w:div w:id="314267025">
      <w:bodyDiv w:val="1"/>
      <w:marLeft w:val="0"/>
      <w:marRight w:val="0"/>
      <w:marTop w:val="0"/>
      <w:marBottom w:val="0"/>
      <w:divBdr>
        <w:top w:val="none" w:sz="0" w:space="0" w:color="auto"/>
        <w:left w:val="none" w:sz="0" w:space="0" w:color="auto"/>
        <w:bottom w:val="none" w:sz="0" w:space="0" w:color="auto"/>
        <w:right w:val="none" w:sz="0" w:space="0" w:color="auto"/>
      </w:divBdr>
    </w:div>
    <w:div w:id="314267115">
      <w:bodyDiv w:val="1"/>
      <w:marLeft w:val="0"/>
      <w:marRight w:val="0"/>
      <w:marTop w:val="0"/>
      <w:marBottom w:val="0"/>
      <w:divBdr>
        <w:top w:val="none" w:sz="0" w:space="0" w:color="auto"/>
        <w:left w:val="none" w:sz="0" w:space="0" w:color="auto"/>
        <w:bottom w:val="none" w:sz="0" w:space="0" w:color="auto"/>
        <w:right w:val="none" w:sz="0" w:space="0" w:color="auto"/>
      </w:divBdr>
    </w:div>
    <w:div w:id="314526656">
      <w:bodyDiv w:val="1"/>
      <w:marLeft w:val="0"/>
      <w:marRight w:val="0"/>
      <w:marTop w:val="0"/>
      <w:marBottom w:val="0"/>
      <w:divBdr>
        <w:top w:val="none" w:sz="0" w:space="0" w:color="auto"/>
        <w:left w:val="none" w:sz="0" w:space="0" w:color="auto"/>
        <w:bottom w:val="none" w:sz="0" w:space="0" w:color="auto"/>
        <w:right w:val="none" w:sz="0" w:space="0" w:color="auto"/>
      </w:divBdr>
    </w:div>
    <w:div w:id="314531636">
      <w:bodyDiv w:val="1"/>
      <w:marLeft w:val="0"/>
      <w:marRight w:val="0"/>
      <w:marTop w:val="0"/>
      <w:marBottom w:val="0"/>
      <w:divBdr>
        <w:top w:val="none" w:sz="0" w:space="0" w:color="auto"/>
        <w:left w:val="none" w:sz="0" w:space="0" w:color="auto"/>
        <w:bottom w:val="none" w:sz="0" w:space="0" w:color="auto"/>
        <w:right w:val="none" w:sz="0" w:space="0" w:color="auto"/>
      </w:divBdr>
    </w:div>
    <w:div w:id="314574455">
      <w:bodyDiv w:val="1"/>
      <w:marLeft w:val="0"/>
      <w:marRight w:val="0"/>
      <w:marTop w:val="0"/>
      <w:marBottom w:val="0"/>
      <w:divBdr>
        <w:top w:val="none" w:sz="0" w:space="0" w:color="auto"/>
        <w:left w:val="none" w:sz="0" w:space="0" w:color="auto"/>
        <w:bottom w:val="none" w:sz="0" w:space="0" w:color="auto"/>
        <w:right w:val="none" w:sz="0" w:space="0" w:color="auto"/>
      </w:divBdr>
    </w:div>
    <w:div w:id="314575908">
      <w:bodyDiv w:val="1"/>
      <w:marLeft w:val="0"/>
      <w:marRight w:val="0"/>
      <w:marTop w:val="0"/>
      <w:marBottom w:val="0"/>
      <w:divBdr>
        <w:top w:val="none" w:sz="0" w:space="0" w:color="auto"/>
        <w:left w:val="none" w:sz="0" w:space="0" w:color="auto"/>
        <w:bottom w:val="none" w:sz="0" w:space="0" w:color="auto"/>
        <w:right w:val="none" w:sz="0" w:space="0" w:color="auto"/>
      </w:divBdr>
    </w:div>
    <w:div w:id="314575994">
      <w:bodyDiv w:val="1"/>
      <w:marLeft w:val="0"/>
      <w:marRight w:val="0"/>
      <w:marTop w:val="0"/>
      <w:marBottom w:val="0"/>
      <w:divBdr>
        <w:top w:val="none" w:sz="0" w:space="0" w:color="auto"/>
        <w:left w:val="none" w:sz="0" w:space="0" w:color="auto"/>
        <w:bottom w:val="none" w:sz="0" w:space="0" w:color="auto"/>
        <w:right w:val="none" w:sz="0" w:space="0" w:color="auto"/>
      </w:divBdr>
    </w:div>
    <w:div w:id="314605281">
      <w:bodyDiv w:val="1"/>
      <w:marLeft w:val="0"/>
      <w:marRight w:val="0"/>
      <w:marTop w:val="0"/>
      <w:marBottom w:val="0"/>
      <w:divBdr>
        <w:top w:val="none" w:sz="0" w:space="0" w:color="auto"/>
        <w:left w:val="none" w:sz="0" w:space="0" w:color="auto"/>
        <w:bottom w:val="none" w:sz="0" w:space="0" w:color="auto"/>
        <w:right w:val="none" w:sz="0" w:space="0" w:color="auto"/>
      </w:divBdr>
    </w:div>
    <w:div w:id="314645491">
      <w:bodyDiv w:val="1"/>
      <w:marLeft w:val="0"/>
      <w:marRight w:val="0"/>
      <w:marTop w:val="0"/>
      <w:marBottom w:val="0"/>
      <w:divBdr>
        <w:top w:val="none" w:sz="0" w:space="0" w:color="auto"/>
        <w:left w:val="none" w:sz="0" w:space="0" w:color="auto"/>
        <w:bottom w:val="none" w:sz="0" w:space="0" w:color="auto"/>
        <w:right w:val="none" w:sz="0" w:space="0" w:color="auto"/>
      </w:divBdr>
    </w:div>
    <w:div w:id="314648546">
      <w:bodyDiv w:val="1"/>
      <w:marLeft w:val="0"/>
      <w:marRight w:val="0"/>
      <w:marTop w:val="0"/>
      <w:marBottom w:val="0"/>
      <w:divBdr>
        <w:top w:val="none" w:sz="0" w:space="0" w:color="auto"/>
        <w:left w:val="none" w:sz="0" w:space="0" w:color="auto"/>
        <w:bottom w:val="none" w:sz="0" w:space="0" w:color="auto"/>
        <w:right w:val="none" w:sz="0" w:space="0" w:color="auto"/>
      </w:divBdr>
    </w:div>
    <w:div w:id="314798452">
      <w:bodyDiv w:val="1"/>
      <w:marLeft w:val="0"/>
      <w:marRight w:val="0"/>
      <w:marTop w:val="0"/>
      <w:marBottom w:val="0"/>
      <w:divBdr>
        <w:top w:val="none" w:sz="0" w:space="0" w:color="auto"/>
        <w:left w:val="none" w:sz="0" w:space="0" w:color="auto"/>
        <w:bottom w:val="none" w:sz="0" w:space="0" w:color="auto"/>
        <w:right w:val="none" w:sz="0" w:space="0" w:color="auto"/>
      </w:divBdr>
    </w:div>
    <w:div w:id="314840620">
      <w:bodyDiv w:val="1"/>
      <w:marLeft w:val="0"/>
      <w:marRight w:val="0"/>
      <w:marTop w:val="0"/>
      <w:marBottom w:val="0"/>
      <w:divBdr>
        <w:top w:val="none" w:sz="0" w:space="0" w:color="auto"/>
        <w:left w:val="none" w:sz="0" w:space="0" w:color="auto"/>
        <w:bottom w:val="none" w:sz="0" w:space="0" w:color="auto"/>
        <w:right w:val="none" w:sz="0" w:space="0" w:color="auto"/>
      </w:divBdr>
    </w:div>
    <w:div w:id="314842922">
      <w:bodyDiv w:val="1"/>
      <w:marLeft w:val="0"/>
      <w:marRight w:val="0"/>
      <w:marTop w:val="0"/>
      <w:marBottom w:val="0"/>
      <w:divBdr>
        <w:top w:val="none" w:sz="0" w:space="0" w:color="auto"/>
        <w:left w:val="none" w:sz="0" w:space="0" w:color="auto"/>
        <w:bottom w:val="none" w:sz="0" w:space="0" w:color="auto"/>
        <w:right w:val="none" w:sz="0" w:space="0" w:color="auto"/>
      </w:divBdr>
    </w:div>
    <w:div w:id="315039762">
      <w:bodyDiv w:val="1"/>
      <w:marLeft w:val="0"/>
      <w:marRight w:val="0"/>
      <w:marTop w:val="0"/>
      <w:marBottom w:val="0"/>
      <w:divBdr>
        <w:top w:val="none" w:sz="0" w:space="0" w:color="auto"/>
        <w:left w:val="none" w:sz="0" w:space="0" w:color="auto"/>
        <w:bottom w:val="none" w:sz="0" w:space="0" w:color="auto"/>
        <w:right w:val="none" w:sz="0" w:space="0" w:color="auto"/>
      </w:divBdr>
    </w:div>
    <w:div w:id="315106989">
      <w:bodyDiv w:val="1"/>
      <w:marLeft w:val="0"/>
      <w:marRight w:val="0"/>
      <w:marTop w:val="0"/>
      <w:marBottom w:val="0"/>
      <w:divBdr>
        <w:top w:val="none" w:sz="0" w:space="0" w:color="auto"/>
        <w:left w:val="none" w:sz="0" w:space="0" w:color="auto"/>
        <w:bottom w:val="none" w:sz="0" w:space="0" w:color="auto"/>
        <w:right w:val="none" w:sz="0" w:space="0" w:color="auto"/>
      </w:divBdr>
    </w:div>
    <w:div w:id="315188130">
      <w:bodyDiv w:val="1"/>
      <w:marLeft w:val="0"/>
      <w:marRight w:val="0"/>
      <w:marTop w:val="0"/>
      <w:marBottom w:val="0"/>
      <w:divBdr>
        <w:top w:val="none" w:sz="0" w:space="0" w:color="auto"/>
        <w:left w:val="none" w:sz="0" w:space="0" w:color="auto"/>
        <w:bottom w:val="none" w:sz="0" w:space="0" w:color="auto"/>
        <w:right w:val="none" w:sz="0" w:space="0" w:color="auto"/>
      </w:divBdr>
    </w:div>
    <w:div w:id="315191140">
      <w:bodyDiv w:val="1"/>
      <w:marLeft w:val="0"/>
      <w:marRight w:val="0"/>
      <w:marTop w:val="0"/>
      <w:marBottom w:val="0"/>
      <w:divBdr>
        <w:top w:val="none" w:sz="0" w:space="0" w:color="auto"/>
        <w:left w:val="none" w:sz="0" w:space="0" w:color="auto"/>
        <w:bottom w:val="none" w:sz="0" w:space="0" w:color="auto"/>
        <w:right w:val="none" w:sz="0" w:space="0" w:color="auto"/>
      </w:divBdr>
    </w:div>
    <w:div w:id="315232963">
      <w:bodyDiv w:val="1"/>
      <w:marLeft w:val="0"/>
      <w:marRight w:val="0"/>
      <w:marTop w:val="0"/>
      <w:marBottom w:val="0"/>
      <w:divBdr>
        <w:top w:val="none" w:sz="0" w:space="0" w:color="auto"/>
        <w:left w:val="none" w:sz="0" w:space="0" w:color="auto"/>
        <w:bottom w:val="none" w:sz="0" w:space="0" w:color="auto"/>
        <w:right w:val="none" w:sz="0" w:space="0" w:color="auto"/>
      </w:divBdr>
    </w:div>
    <w:div w:id="315256917">
      <w:bodyDiv w:val="1"/>
      <w:marLeft w:val="0"/>
      <w:marRight w:val="0"/>
      <w:marTop w:val="0"/>
      <w:marBottom w:val="0"/>
      <w:divBdr>
        <w:top w:val="none" w:sz="0" w:space="0" w:color="auto"/>
        <w:left w:val="none" w:sz="0" w:space="0" w:color="auto"/>
        <w:bottom w:val="none" w:sz="0" w:space="0" w:color="auto"/>
        <w:right w:val="none" w:sz="0" w:space="0" w:color="auto"/>
      </w:divBdr>
    </w:div>
    <w:div w:id="315303336">
      <w:bodyDiv w:val="1"/>
      <w:marLeft w:val="0"/>
      <w:marRight w:val="0"/>
      <w:marTop w:val="0"/>
      <w:marBottom w:val="0"/>
      <w:divBdr>
        <w:top w:val="none" w:sz="0" w:space="0" w:color="auto"/>
        <w:left w:val="none" w:sz="0" w:space="0" w:color="auto"/>
        <w:bottom w:val="none" w:sz="0" w:space="0" w:color="auto"/>
        <w:right w:val="none" w:sz="0" w:space="0" w:color="auto"/>
      </w:divBdr>
    </w:div>
    <w:div w:id="315306572">
      <w:bodyDiv w:val="1"/>
      <w:marLeft w:val="0"/>
      <w:marRight w:val="0"/>
      <w:marTop w:val="0"/>
      <w:marBottom w:val="0"/>
      <w:divBdr>
        <w:top w:val="none" w:sz="0" w:space="0" w:color="auto"/>
        <w:left w:val="none" w:sz="0" w:space="0" w:color="auto"/>
        <w:bottom w:val="none" w:sz="0" w:space="0" w:color="auto"/>
        <w:right w:val="none" w:sz="0" w:space="0" w:color="auto"/>
      </w:divBdr>
    </w:div>
    <w:div w:id="315383490">
      <w:bodyDiv w:val="1"/>
      <w:marLeft w:val="0"/>
      <w:marRight w:val="0"/>
      <w:marTop w:val="0"/>
      <w:marBottom w:val="0"/>
      <w:divBdr>
        <w:top w:val="none" w:sz="0" w:space="0" w:color="auto"/>
        <w:left w:val="none" w:sz="0" w:space="0" w:color="auto"/>
        <w:bottom w:val="none" w:sz="0" w:space="0" w:color="auto"/>
        <w:right w:val="none" w:sz="0" w:space="0" w:color="auto"/>
      </w:divBdr>
    </w:div>
    <w:div w:id="315497558">
      <w:bodyDiv w:val="1"/>
      <w:marLeft w:val="0"/>
      <w:marRight w:val="0"/>
      <w:marTop w:val="0"/>
      <w:marBottom w:val="0"/>
      <w:divBdr>
        <w:top w:val="none" w:sz="0" w:space="0" w:color="auto"/>
        <w:left w:val="none" w:sz="0" w:space="0" w:color="auto"/>
        <w:bottom w:val="none" w:sz="0" w:space="0" w:color="auto"/>
        <w:right w:val="none" w:sz="0" w:space="0" w:color="auto"/>
      </w:divBdr>
    </w:div>
    <w:div w:id="315573022">
      <w:bodyDiv w:val="1"/>
      <w:marLeft w:val="0"/>
      <w:marRight w:val="0"/>
      <w:marTop w:val="0"/>
      <w:marBottom w:val="0"/>
      <w:divBdr>
        <w:top w:val="none" w:sz="0" w:space="0" w:color="auto"/>
        <w:left w:val="none" w:sz="0" w:space="0" w:color="auto"/>
        <w:bottom w:val="none" w:sz="0" w:space="0" w:color="auto"/>
        <w:right w:val="none" w:sz="0" w:space="0" w:color="auto"/>
      </w:divBdr>
    </w:div>
    <w:div w:id="315688922">
      <w:bodyDiv w:val="1"/>
      <w:marLeft w:val="0"/>
      <w:marRight w:val="0"/>
      <w:marTop w:val="0"/>
      <w:marBottom w:val="0"/>
      <w:divBdr>
        <w:top w:val="none" w:sz="0" w:space="0" w:color="auto"/>
        <w:left w:val="none" w:sz="0" w:space="0" w:color="auto"/>
        <w:bottom w:val="none" w:sz="0" w:space="0" w:color="auto"/>
        <w:right w:val="none" w:sz="0" w:space="0" w:color="auto"/>
      </w:divBdr>
    </w:div>
    <w:div w:id="315691402">
      <w:bodyDiv w:val="1"/>
      <w:marLeft w:val="0"/>
      <w:marRight w:val="0"/>
      <w:marTop w:val="0"/>
      <w:marBottom w:val="0"/>
      <w:divBdr>
        <w:top w:val="none" w:sz="0" w:space="0" w:color="auto"/>
        <w:left w:val="none" w:sz="0" w:space="0" w:color="auto"/>
        <w:bottom w:val="none" w:sz="0" w:space="0" w:color="auto"/>
        <w:right w:val="none" w:sz="0" w:space="0" w:color="auto"/>
      </w:divBdr>
    </w:div>
    <w:div w:id="315692466">
      <w:bodyDiv w:val="1"/>
      <w:marLeft w:val="0"/>
      <w:marRight w:val="0"/>
      <w:marTop w:val="0"/>
      <w:marBottom w:val="0"/>
      <w:divBdr>
        <w:top w:val="none" w:sz="0" w:space="0" w:color="auto"/>
        <w:left w:val="none" w:sz="0" w:space="0" w:color="auto"/>
        <w:bottom w:val="none" w:sz="0" w:space="0" w:color="auto"/>
        <w:right w:val="none" w:sz="0" w:space="0" w:color="auto"/>
      </w:divBdr>
    </w:div>
    <w:div w:id="315763348">
      <w:bodyDiv w:val="1"/>
      <w:marLeft w:val="0"/>
      <w:marRight w:val="0"/>
      <w:marTop w:val="0"/>
      <w:marBottom w:val="0"/>
      <w:divBdr>
        <w:top w:val="none" w:sz="0" w:space="0" w:color="auto"/>
        <w:left w:val="none" w:sz="0" w:space="0" w:color="auto"/>
        <w:bottom w:val="none" w:sz="0" w:space="0" w:color="auto"/>
        <w:right w:val="none" w:sz="0" w:space="0" w:color="auto"/>
      </w:divBdr>
    </w:div>
    <w:div w:id="315843218">
      <w:bodyDiv w:val="1"/>
      <w:marLeft w:val="0"/>
      <w:marRight w:val="0"/>
      <w:marTop w:val="0"/>
      <w:marBottom w:val="0"/>
      <w:divBdr>
        <w:top w:val="none" w:sz="0" w:space="0" w:color="auto"/>
        <w:left w:val="none" w:sz="0" w:space="0" w:color="auto"/>
        <w:bottom w:val="none" w:sz="0" w:space="0" w:color="auto"/>
        <w:right w:val="none" w:sz="0" w:space="0" w:color="auto"/>
      </w:divBdr>
    </w:div>
    <w:div w:id="315844565">
      <w:bodyDiv w:val="1"/>
      <w:marLeft w:val="0"/>
      <w:marRight w:val="0"/>
      <w:marTop w:val="0"/>
      <w:marBottom w:val="0"/>
      <w:divBdr>
        <w:top w:val="none" w:sz="0" w:space="0" w:color="auto"/>
        <w:left w:val="none" w:sz="0" w:space="0" w:color="auto"/>
        <w:bottom w:val="none" w:sz="0" w:space="0" w:color="auto"/>
        <w:right w:val="none" w:sz="0" w:space="0" w:color="auto"/>
      </w:divBdr>
    </w:div>
    <w:div w:id="315845391">
      <w:bodyDiv w:val="1"/>
      <w:marLeft w:val="0"/>
      <w:marRight w:val="0"/>
      <w:marTop w:val="0"/>
      <w:marBottom w:val="0"/>
      <w:divBdr>
        <w:top w:val="none" w:sz="0" w:space="0" w:color="auto"/>
        <w:left w:val="none" w:sz="0" w:space="0" w:color="auto"/>
        <w:bottom w:val="none" w:sz="0" w:space="0" w:color="auto"/>
        <w:right w:val="none" w:sz="0" w:space="0" w:color="auto"/>
      </w:divBdr>
    </w:div>
    <w:div w:id="315845420">
      <w:bodyDiv w:val="1"/>
      <w:marLeft w:val="0"/>
      <w:marRight w:val="0"/>
      <w:marTop w:val="0"/>
      <w:marBottom w:val="0"/>
      <w:divBdr>
        <w:top w:val="none" w:sz="0" w:space="0" w:color="auto"/>
        <w:left w:val="none" w:sz="0" w:space="0" w:color="auto"/>
        <w:bottom w:val="none" w:sz="0" w:space="0" w:color="auto"/>
        <w:right w:val="none" w:sz="0" w:space="0" w:color="auto"/>
      </w:divBdr>
    </w:div>
    <w:div w:id="315914932">
      <w:bodyDiv w:val="1"/>
      <w:marLeft w:val="0"/>
      <w:marRight w:val="0"/>
      <w:marTop w:val="0"/>
      <w:marBottom w:val="0"/>
      <w:divBdr>
        <w:top w:val="none" w:sz="0" w:space="0" w:color="auto"/>
        <w:left w:val="none" w:sz="0" w:space="0" w:color="auto"/>
        <w:bottom w:val="none" w:sz="0" w:space="0" w:color="auto"/>
        <w:right w:val="none" w:sz="0" w:space="0" w:color="auto"/>
      </w:divBdr>
    </w:div>
    <w:div w:id="315916211">
      <w:bodyDiv w:val="1"/>
      <w:marLeft w:val="0"/>
      <w:marRight w:val="0"/>
      <w:marTop w:val="0"/>
      <w:marBottom w:val="0"/>
      <w:divBdr>
        <w:top w:val="none" w:sz="0" w:space="0" w:color="auto"/>
        <w:left w:val="none" w:sz="0" w:space="0" w:color="auto"/>
        <w:bottom w:val="none" w:sz="0" w:space="0" w:color="auto"/>
        <w:right w:val="none" w:sz="0" w:space="0" w:color="auto"/>
      </w:divBdr>
    </w:div>
    <w:div w:id="315955714">
      <w:bodyDiv w:val="1"/>
      <w:marLeft w:val="0"/>
      <w:marRight w:val="0"/>
      <w:marTop w:val="0"/>
      <w:marBottom w:val="0"/>
      <w:divBdr>
        <w:top w:val="none" w:sz="0" w:space="0" w:color="auto"/>
        <w:left w:val="none" w:sz="0" w:space="0" w:color="auto"/>
        <w:bottom w:val="none" w:sz="0" w:space="0" w:color="auto"/>
        <w:right w:val="none" w:sz="0" w:space="0" w:color="auto"/>
      </w:divBdr>
    </w:div>
    <w:div w:id="316110458">
      <w:bodyDiv w:val="1"/>
      <w:marLeft w:val="0"/>
      <w:marRight w:val="0"/>
      <w:marTop w:val="0"/>
      <w:marBottom w:val="0"/>
      <w:divBdr>
        <w:top w:val="none" w:sz="0" w:space="0" w:color="auto"/>
        <w:left w:val="none" w:sz="0" w:space="0" w:color="auto"/>
        <w:bottom w:val="none" w:sz="0" w:space="0" w:color="auto"/>
        <w:right w:val="none" w:sz="0" w:space="0" w:color="auto"/>
      </w:divBdr>
    </w:div>
    <w:div w:id="316149111">
      <w:bodyDiv w:val="1"/>
      <w:marLeft w:val="0"/>
      <w:marRight w:val="0"/>
      <w:marTop w:val="0"/>
      <w:marBottom w:val="0"/>
      <w:divBdr>
        <w:top w:val="none" w:sz="0" w:space="0" w:color="auto"/>
        <w:left w:val="none" w:sz="0" w:space="0" w:color="auto"/>
        <w:bottom w:val="none" w:sz="0" w:space="0" w:color="auto"/>
        <w:right w:val="none" w:sz="0" w:space="0" w:color="auto"/>
      </w:divBdr>
    </w:div>
    <w:div w:id="316230036">
      <w:bodyDiv w:val="1"/>
      <w:marLeft w:val="0"/>
      <w:marRight w:val="0"/>
      <w:marTop w:val="0"/>
      <w:marBottom w:val="0"/>
      <w:divBdr>
        <w:top w:val="none" w:sz="0" w:space="0" w:color="auto"/>
        <w:left w:val="none" w:sz="0" w:space="0" w:color="auto"/>
        <w:bottom w:val="none" w:sz="0" w:space="0" w:color="auto"/>
        <w:right w:val="none" w:sz="0" w:space="0" w:color="auto"/>
      </w:divBdr>
    </w:div>
    <w:div w:id="316342660">
      <w:bodyDiv w:val="1"/>
      <w:marLeft w:val="0"/>
      <w:marRight w:val="0"/>
      <w:marTop w:val="0"/>
      <w:marBottom w:val="0"/>
      <w:divBdr>
        <w:top w:val="none" w:sz="0" w:space="0" w:color="auto"/>
        <w:left w:val="none" w:sz="0" w:space="0" w:color="auto"/>
        <w:bottom w:val="none" w:sz="0" w:space="0" w:color="auto"/>
        <w:right w:val="none" w:sz="0" w:space="0" w:color="auto"/>
      </w:divBdr>
    </w:div>
    <w:div w:id="316347488">
      <w:bodyDiv w:val="1"/>
      <w:marLeft w:val="0"/>
      <w:marRight w:val="0"/>
      <w:marTop w:val="0"/>
      <w:marBottom w:val="0"/>
      <w:divBdr>
        <w:top w:val="none" w:sz="0" w:space="0" w:color="auto"/>
        <w:left w:val="none" w:sz="0" w:space="0" w:color="auto"/>
        <w:bottom w:val="none" w:sz="0" w:space="0" w:color="auto"/>
        <w:right w:val="none" w:sz="0" w:space="0" w:color="auto"/>
      </w:divBdr>
    </w:div>
    <w:div w:id="316569398">
      <w:bodyDiv w:val="1"/>
      <w:marLeft w:val="0"/>
      <w:marRight w:val="0"/>
      <w:marTop w:val="0"/>
      <w:marBottom w:val="0"/>
      <w:divBdr>
        <w:top w:val="none" w:sz="0" w:space="0" w:color="auto"/>
        <w:left w:val="none" w:sz="0" w:space="0" w:color="auto"/>
        <w:bottom w:val="none" w:sz="0" w:space="0" w:color="auto"/>
        <w:right w:val="none" w:sz="0" w:space="0" w:color="auto"/>
      </w:divBdr>
    </w:div>
    <w:div w:id="316615511">
      <w:bodyDiv w:val="1"/>
      <w:marLeft w:val="0"/>
      <w:marRight w:val="0"/>
      <w:marTop w:val="0"/>
      <w:marBottom w:val="0"/>
      <w:divBdr>
        <w:top w:val="none" w:sz="0" w:space="0" w:color="auto"/>
        <w:left w:val="none" w:sz="0" w:space="0" w:color="auto"/>
        <w:bottom w:val="none" w:sz="0" w:space="0" w:color="auto"/>
        <w:right w:val="none" w:sz="0" w:space="0" w:color="auto"/>
      </w:divBdr>
    </w:div>
    <w:div w:id="316690264">
      <w:bodyDiv w:val="1"/>
      <w:marLeft w:val="0"/>
      <w:marRight w:val="0"/>
      <w:marTop w:val="0"/>
      <w:marBottom w:val="0"/>
      <w:divBdr>
        <w:top w:val="none" w:sz="0" w:space="0" w:color="auto"/>
        <w:left w:val="none" w:sz="0" w:space="0" w:color="auto"/>
        <w:bottom w:val="none" w:sz="0" w:space="0" w:color="auto"/>
        <w:right w:val="none" w:sz="0" w:space="0" w:color="auto"/>
      </w:divBdr>
    </w:div>
    <w:div w:id="316693458">
      <w:bodyDiv w:val="1"/>
      <w:marLeft w:val="0"/>
      <w:marRight w:val="0"/>
      <w:marTop w:val="0"/>
      <w:marBottom w:val="0"/>
      <w:divBdr>
        <w:top w:val="none" w:sz="0" w:space="0" w:color="auto"/>
        <w:left w:val="none" w:sz="0" w:space="0" w:color="auto"/>
        <w:bottom w:val="none" w:sz="0" w:space="0" w:color="auto"/>
        <w:right w:val="none" w:sz="0" w:space="0" w:color="auto"/>
      </w:divBdr>
    </w:div>
    <w:div w:id="316694296">
      <w:bodyDiv w:val="1"/>
      <w:marLeft w:val="0"/>
      <w:marRight w:val="0"/>
      <w:marTop w:val="0"/>
      <w:marBottom w:val="0"/>
      <w:divBdr>
        <w:top w:val="none" w:sz="0" w:space="0" w:color="auto"/>
        <w:left w:val="none" w:sz="0" w:space="0" w:color="auto"/>
        <w:bottom w:val="none" w:sz="0" w:space="0" w:color="auto"/>
        <w:right w:val="none" w:sz="0" w:space="0" w:color="auto"/>
      </w:divBdr>
    </w:div>
    <w:div w:id="316806381">
      <w:bodyDiv w:val="1"/>
      <w:marLeft w:val="0"/>
      <w:marRight w:val="0"/>
      <w:marTop w:val="0"/>
      <w:marBottom w:val="0"/>
      <w:divBdr>
        <w:top w:val="none" w:sz="0" w:space="0" w:color="auto"/>
        <w:left w:val="none" w:sz="0" w:space="0" w:color="auto"/>
        <w:bottom w:val="none" w:sz="0" w:space="0" w:color="auto"/>
        <w:right w:val="none" w:sz="0" w:space="0" w:color="auto"/>
      </w:divBdr>
    </w:div>
    <w:div w:id="317076805">
      <w:bodyDiv w:val="1"/>
      <w:marLeft w:val="0"/>
      <w:marRight w:val="0"/>
      <w:marTop w:val="0"/>
      <w:marBottom w:val="0"/>
      <w:divBdr>
        <w:top w:val="none" w:sz="0" w:space="0" w:color="auto"/>
        <w:left w:val="none" w:sz="0" w:space="0" w:color="auto"/>
        <w:bottom w:val="none" w:sz="0" w:space="0" w:color="auto"/>
        <w:right w:val="none" w:sz="0" w:space="0" w:color="auto"/>
      </w:divBdr>
    </w:div>
    <w:div w:id="317149434">
      <w:bodyDiv w:val="1"/>
      <w:marLeft w:val="0"/>
      <w:marRight w:val="0"/>
      <w:marTop w:val="0"/>
      <w:marBottom w:val="0"/>
      <w:divBdr>
        <w:top w:val="none" w:sz="0" w:space="0" w:color="auto"/>
        <w:left w:val="none" w:sz="0" w:space="0" w:color="auto"/>
        <w:bottom w:val="none" w:sz="0" w:space="0" w:color="auto"/>
        <w:right w:val="none" w:sz="0" w:space="0" w:color="auto"/>
      </w:divBdr>
    </w:div>
    <w:div w:id="317151046">
      <w:bodyDiv w:val="1"/>
      <w:marLeft w:val="0"/>
      <w:marRight w:val="0"/>
      <w:marTop w:val="0"/>
      <w:marBottom w:val="0"/>
      <w:divBdr>
        <w:top w:val="none" w:sz="0" w:space="0" w:color="auto"/>
        <w:left w:val="none" w:sz="0" w:space="0" w:color="auto"/>
        <w:bottom w:val="none" w:sz="0" w:space="0" w:color="auto"/>
        <w:right w:val="none" w:sz="0" w:space="0" w:color="auto"/>
      </w:divBdr>
    </w:div>
    <w:div w:id="317199619">
      <w:bodyDiv w:val="1"/>
      <w:marLeft w:val="0"/>
      <w:marRight w:val="0"/>
      <w:marTop w:val="0"/>
      <w:marBottom w:val="0"/>
      <w:divBdr>
        <w:top w:val="none" w:sz="0" w:space="0" w:color="auto"/>
        <w:left w:val="none" w:sz="0" w:space="0" w:color="auto"/>
        <w:bottom w:val="none" w:sz="0" w:space="0" w:color="auto"/>
        <w:right w:val="none" w:sz="0" w:space="0" w:color="auto"/>
      </w:divBdr>
    </w:div>
    <w:div w:id="317418274">
      <w:bodyDiv w:val="1"/>
      <w:marLeft w:val="0"/>
      <w:marRight w:val="0"/>
      <w:marTop w:val="0"/>
      <w:marBottom w:val="0"/>
      <w:divBdr>
        <w:top w:val="none" w:sz="0" w:space="0" w:color="auto"/>
        <w:left w:val="none" w:sz="0" w:space="0" w:color="auto"/>
        <w:bottom w:val="none" w:sz="0" w:space="0" w:color="auto"/>
        <w:right w:val="none" w:sz="0" w:space="0" w:color="auto"/>
      </w:divBdr>
    </w:div>
    <w:div w:id="317462970">
      <w:bodyDiv w:val="1"/>
      <w:marLeft w:val="0"/>
      <w:marRight w:val="0"/>
      <w:marTop w:val="0"/>
      <w:marBottom w:val="0"/>
      <w:divBdr>
        <w:top w:val="none" w:sz="0" w:space="0" w:color="auto"/>
        <w:left w:val="none" w:sz="0" w:space="0" w:color="auto"/>
        <w:bottom w:val="none" w:sz="0" w:space="0" w:color="auto"/>
        <w:right w:val="none" w:sz="0" w:space="0" w:color="auto"/>
      </w:divBdr>
    </w:div>
    <w:div w:id="317466130">
      <w:bodyDiv w:val="1"/>
      <w:marLeft w:val="0"/>
      <w:marRight w:val="0"/>
      <w:marTop w:val="0"/>
      <w:marBottom w:val="0"/>
      <w:divBdr>
        <w:top w:val="none" w:sz="0" w:space="0" w:color="auto"/>
        <w:left w:val="none" w:sz="0" w:space="0" w:color="auto"/>
        <w:bottom w:val="none" w:sz="0" w:space="0" w:color="auto"/>
        <w:right w:val="none" w:sz="0" w:space="0" w:color="auto"/>
      </w:divBdr>
    </w:div>
    <w:div w:id="317539647">
      <w:bodyDiv w:val="1"/>
      <w:marLeft w:val="0"/>
      <w:marRight w:val="0"/>
      <w:marTop w:val="0"/>
      <w:marBottom w:val="0"/>
      <w:divBdr>
        <w:top w:val="none" w:sz="0" w:space="0" w:color="auto"/>
        <w:left w:val="none" w:sz="0" w:space="0" w:color="auto"/>
        <w:bottom w:val="none" w:sz="0" w:space="0" w:color="auto"/>
        <w:right w:val="none" w:sz="0" w:space="0" w:color="auto"/>
      </w:divBdr>
    </w:div>
    <w:div w:id="317657088">
      <w:bodyDiv w:val="1"/>
      <w:marLeft w:val="0"/>
      <w:marRight w:val="0"/>
      <w:marTop w:val="0"/>
      <w:marBottom w:val="0"/>
      <w:divBdr>
        <w:top w:val="none" w:sz="0" w:space="0" w:color="auto"/>
        <w:left w:val="none" w:sz="0" w:space="0" w:color="auto"/>
        <w:bottom w:val="none" w:sz="0" w:space="0" w:color="auto"/>
        <w:right w:val="none" w:sz="0" w:space="0" w:color="auto"/>
      </w:divBdr>
    </w:div>
    <w:div w:id="317731201">
      <w:bodyDiv w:val="1"/>
      <w:marLeft w:val="0"/>
      <w:marRight w:val="0"/>
      <w:marTop w:val="0"/>
      <w:marBottom w:val="0"/>
      <w:divBdr>
        <w:top w:val="none" w:sz="0" w:space="0" w:color="auto"/>
        <w:left w:val="none" w:sz="0" w:space="0" w:color="auto"/>
        <w:bottom w:val="none" w:sz="0" w:space="0" w:color="auto"/>
        <w:right w:val="none" w:sz="0" w:space="0" w:color="auto"/>
      </w:divBdr>
    </w:div>
    <w:div w:id="317878347">
      <w:bodyDiv w:val="1"/>
      <w:marLeft w:val="0"/>
      <w:marRight w:val="0"/>
      <w:marTop w:val="0"/>
      <w:marBottom w:val="0"/>
      <w:divBdr>
        <w:top w:val="none" w:sz="0" w:space="0" w:color="auto"/>
        <w:left w:val="none" w:sz="0" w:space="0" w:color="auto"/>
        <w:bottom w:val="none" w:sz="0" w:space="0" w:color="auto"/>
        <w:right w:val="none" w:sz="0" w:space="0" w:color="auto"/>
      </w:divBdr>
    </w:div>
    <w:div w:id="318195705">
      <w:bodyDiv w:val="1"/>
      <w:marLeft w:val="0"/>
      <w:marRight w:val="0"/>
      <w:marTop w:val="0"/>
      <w:marBottom w:val="0"/>
      <w:divBdr>
        <w:top w:val="none" w:sz="0" w:space="0" w:color="auto"/>
        <w:left w:val="none" w:sz="0" w:space="0" w:color="auto"/>
        <w:bottom w:val="none" w:sz="0" w:space="0" w:color="auto"/>
        <w:right w:val="none" w:sz="0" w:space="0" w:color="auto"/>
      </w:divBdr>
    </w:div>
    <w:div w:id="318310229">
      <w:bodyDiv w:val="1"/>
      <w:marLeft w:val="0"/>
      <w:marRight w:val="0"/>
      <w:marTop w:val="0"/>
      <w:marBottom w:val="0"/>
      <w:divBdr>
        <w:top w:val="none" w:sz="0" w:space="0" w:color="auto"/>
        <w:left w:val="none" w:sz="0" w:space="0" w:color="auto"/>
        <w:bottom w:val="none" w:sz="0" w:space="0" w:color="auto"/>
        <w:right w:val="none" w:sz="0" w:space="0" w:color="auto"/>
      </w:divBdr>
    </w:div>
    <w:div w:id="318458312">
      <w:bodyDiv w:val="1"/>
      <w:marLeft w:val="0"/>
      <w:marRight w:val="0"/>
      <w:marTop w:val="0"/>
      <w:marBottom w:val="0"/>
      <w:divBdr>
        <w:top w:val="none" w:sz="0" w:space="0" w:color="auto"/>
        <w:left w:val="none" w:sz="0" w:space="0" w:color="auto"/>
        <w:bottom w:val="none" w:sz="0" w:space="0" w:color="auto"/>
        <w:right w:val="none" w:sz="0" w:space="0" w:color="auto"/>
      </w:divBdr>
    </w:div>
    <w:div w:id="318461928">
      <w:bodyDiv w:val="1"/>
      <w:marLeft w:val="0"/>
      <w:marRight w:val="0"/>
      <w:marTop w:val="0"/>
      <w:marBottom w:val="0"/>
      <w:divBdr>
        <w:top w:val="none" w:sz="0" w:space="0" w:color="auto"/>
        <w:left w:val="none" w:sz="0" w:space="0" w:color="auto"/>
        <w:bottom w:val="none" w:sz="0" w:space="0" w:color="auto"/>
        <w:right w:val="none" w:sz="0" w:space="0" w:color="auto"/>
      </w:divBdr>
    </w:div>
    <w:div w:id="318728611">
      <w:bodyDiv w:val="1"/>
      <w:marLeft w:val="0"/>
      <w:marRight w:val="0"/>
      <w:marTop w:val="0"/>
      <w:marBottom w:val="0"/>
      <w:divBdr>
        <w:top w:val="none" w:sz="0" w:space="0" w:color="auto"/>
        <w:left w:val="none" w:sz="0" w:space="0" w:color="auto"/>
        <w:bottom w:val="none" w:sz="0" w:space="0" w:color="auto"/>
        <w:right w:val="none" w:sz="0" w:space="0" w:color="auto"/>
      </w:divBdr>
    </w:div>
    <w:div w:id="318774032">
      <w:bodyDiv w:val="1"/>
      <w:marLeft w:val="0"/>
      <w:marRight w:val="0"/>
      <w:marTop w:val="0"/>
      <w:marBottom w:val="0"/>
      <w:divBdr>
        <w:top w:val="none" w:sz="0" w:space="0" w:color="auto"/>
        <w:left w:val="none" w:sz="0" w:space="0" w:color="auto"/>
        <w:bottom w:val="none" w:sz="0" w:space="0" w:color="auto"/>
        <w:right w:val="none" w:sz="0" w:space="0" w:color="auto"/>
      </w:divBdr>
    </w:div>
    <w:div w:id="318924836">
      <w:bodyDiv w:val="1"/>
      <w:marLeft w:val="0"/>
      <w:marRight w:val="0"/>
      <w:marTop w:val="0"/>
      <w:marBottom w:val="0"/>
      <w:divBdr>
        <w:top w:val="none" w:sz="0" w:space="0" w:color="auto"/>
        <w:left w:val="none" w:sz="0" w:space="0" w:color="auto"/>
        <w:bottom w:val="none" w:sz="0" w:space="0" w:color="auto"/>
        <w:right w:val="none" w:sz="0" w:space="0" w:color="auto"/>
      </w:divBdr>
    </w:div>
    <w:div w:id="318926082">
      <w:bodyDiv w:val="1"/>
      <w:marLeft w:val="0"/>
      <w:marRight w:val="0"/>
      <w:marTop w:val="0"/>
      <w:marBottom w:val="0"/>
      <w:divBdr>
        <w:top w:val="none" w:sz="0" w:space="0" w:color="auto"/>
        <w:left w:val="none" w:sz="0" w:space="0" w:color="auto"/>
        <w:bottom w:val="none" w:sz="0" w:space="0" w:color="auto"/>
        <w:right w:val="none" w:sz="0" w:space="0" w:color="auto"/>
      </w:divBdr>
    </w:div>
    <w:div w:id="318966706">
      <w:bodyDiv w:val="1"/>
      <w:marLeft w:val="0"/>
      <w:marRight w:val="0"/>
      <w:marTop w:val="0"/>
      <w:marBottom w:val="0"/>
      <w:divBdr>
        <w:top w:val="none" w:sz="0" w:space="0" w:color="auto"/>
        <w:left w:val="none" w:sz="0" w:space="0" w:color="auto"/>
        <w:bottom w:val="none" w:sz="0" w:space="0" w:color="auto"/>
        <w:right w:val="none" w:sz="0" w:space="0" w:color="auto"/>
      </w:divBdr>
    </w:div>
    <w:div w:id="319040051">
      <w:bodyDiv w:val="1"/>
      <w:marLeft w:val="0"/>
      <w:marRight w:val="0"/>
      <w:marTop w:val="0"/>
      <w:marBottom w:val="0"/>
      <w:divBdr>
        <w:top w:val="none" w:sz="0" w:space="0" w:color="auto"/>
        <w:left w:val="none" w:sz="0" w:space="0" w:color="auto"/>
        <w:bottom w:val="none" w:sz="0" w:space="0" w:color="auto"/>
        <w:right w:val="none" w:sz="0" w:space="0" w:color="auto"/>
      </w:divBdr>
    </w:div>
    <w:div w:id="319113561">
      <w:bodyDiv w:val="1"/>
      <w:marLeft w:val="0"/>
      <w:marRight w:val="0"/>
      <w:marTop w:val="0"/>
      <w:marBottom w:val="0"/>
      <w:divBdr>
        <w:top w:val="none" w:sz="0" w:space="0" w:color="auto"/>
        <w:left w:val="none" w:sz="0" w:space="0" w:color="auto"/>
        <w:bottom w:val="none" w:sz="0" w:space="0" w:color="auto"/>
        <w:right w:val="none" w:sz="0" w:space="0" w:color="auto"/>
      </w:divBdr>
    </w:div>
    <w:div w:id="319163942">
      <w:bodyDiv w:val="1"/>
      <w:marLeft w:val="0"/>
      <w:marRight w:val="0"/>
      <w:marTop w:val="0"/>
      <w:marBottom w:val="0"/>
      <w:divBdr>
        <w:top w:val="none" w:sz="0" w:space="0" w:color="auto"/>
        <w:left w:val="none" w:sz="0" w:space="0" w:color="auto"/>
        <w:bottom w:val="none" w:sz="0" w:space="0" w:color="auto"/>
        <w:right w:val="none" w:sz="0" w:space="0" w:color="auto"/>
      </w:divBdr>
    </w:div>
    <w:div w:id="319193049">
      <w:bodyDiv w:val="1"/>
      <w:marLeft w:val="0"/>
      <w:marRight w:val="0"/>
      <w:marTop w:val="0"/>
      <w:marBottom w:val="0"/>
      <w:divBdr>
        <w:top w:val="none" w:sz="0" w:space="0" w:color="auto"/>
        <w:left w:val="none" w:sz="0" w:space="0" w:color="auto"/>
        <w:bottom w:val="none" w:sz="0" w:space="0" w:color="auto"/>
        <w:right w:val="none" w:sz="0" w:space="0" w:color="auto"/>
      </w:divBdr>
    </w:div>
    <w:div w:id="319306641">
      <w:bodyDiv w:val="1"/>
      <w:marLeft w:val="0"/>
      <w:marRight w:val="0"/>
      <w:marTop w:val="0"/>
      <w:marBottom w:val="0"/>
      <w:divBdr>
        <w:top w:val="none" w:sz="0" w:space="0" w:color="auto"/>
        <w:left w:val="none" w:sz="0" w:space="0" w:color="auto"/>
        <w:bottom w:val="none" w:sz="0" w:space="0" w:color="auto"/>
        <w:right w:val="none" w:sz="0" w:space="0" w:color="auto"/>
      </w:divBdr>
    </w:div>
    <w:div w:id="319500455">
      <w:bodyDiv w:val="1"/>
      <w:marLeft w:val="0"/>
      <w:marRight w:val="0"/>
      <w:marTop w:val="0"/>
      <w:marBottom w:val="0"/>
      <w:divBdr>
        <w:top w:val="none" w:sz="0" w:space="0" w:color="auto"/>
        <w:left w:val="none" w:sz="0" w:space="0" w:color="auto"/>
        <w:bottom w:val="none" w:sz="0" w:space="0" w:color="auto"/>
        <w:right w:val="none" w:sz="0" w:space="0" w:color="auto"/>
      </w:divBdr>
    </w:div>
    <w:div w:id="319508965">
      <w:bodyDiv w:val="1"/>
      <w:marLeft w:val="0"/>
      <w:marRight w:val="0"/>
      <w:marTop w:val="0"/>
      <w:marBottom w:val="0"/>
      <w:divBdr>
        <w:top w:val="none" w:sz="0" w:space="0" w:color="auto"/>
        <w:left w:val="none" w:sz="0" w:space="0" w:color="auto"/>
        <w:bottom w:val="none" w:sz="0" w:space="0" w:color="auto"/>
        <w:right w:val="none" w:sz="0" w:space="0" w:color="auto"/>
      </w:divBdr>
    </w:div>
    <w:div w:id="319576740">
      <w:bodyDiv w:val="1"/>
      <w:marLeft w:val="0"/>
      <w:marRight w:val="0"/>
      <w:marTop w:val="0"/>
      <w:marBottom w:val="0"/>
      <w:divBdr>
        <w:top w:val="none" w:sz="0" w:space="0" w:color="auto"/>
        <w:left w:val="none" w:sz="0" w:space="0" w:color="auto"/>
        <w:bottom w:val="none" w:sz="0" w:space="0" w:color="auto"/>
        <w:right w:val="none" w:sz="0" w:space="0" w:color="auto"/>
      </w:divBdr>
    </w:div>
    <w:div w:id="319626658">
      <w:bodyDiv w:val="1"/>
      <w:marLeft w:val="0"/>
      <w:marRight w:val="0"/>
      <w:marTop w:val="0"/>
      <w:marBottom w:val="0"/>
      <w:divBdr>
        <w:top w:val="none" w:sz="0" w:space="0" w:color="auto"/>
        <w:left w:val="none" w:sz="0" w:space="0" w:color="auto"/>
        <w:bottom w:val="none" w:sz="0" w:space="0" w:color="auto"/>
        <w:right w:val="none" w:sz="0" w:space="0" w:color="auto"/>
      </w:divBdr>
    </w:div>
    <w:div w:id="319650853">
      <w:bodyDiv w:val="1"/>
      <w:marLeft w:val="0"/>
      <w:marRight w:val="0"/>
      <w:marTop w:val="0"/>
      <w:marBottom w:val="0"/>
      <w:divBdr>
        <w:top w:val="none" w:sz="0" w:space="0" w:color="auto"/>
        <w:left w:val="none" w:sz="0" w:space="0" w:color="auto"/>
        <w:bottom w:val="none" w:sz="0" w:space="0" w:color="auto"/>
        <w:right w:val="none" w:sz="0" w:space="0" w:color="auto"/>
      </w:divBdr>
    </w:div>
    <w:div w:id="319699494">
      <w:bodyDiv w:val="1"/>
      <w:marLeft w:val="0"/>
      <w:marRight w:val="0"/>
      <w:marTop w:val="0"/>
      <w:marBottom w:val="0"/>
      <w:divBdr>
        <w:top w:val="none" w:sz="0" w:space="0" w:color="auto"/>
        <w:left w:val="none" w:sz="0" w:space="0" w:color="auto"/>
        <w:bottom w:val="none" w:sz="0" w:space="0" w:color="auto"/>
        <w:right w:val="none" w:sz="0" w:space="0" w:color="auto"/>
      </w:divBdr>
    </w:div>
    <w:div w:id="319700321">
      <w:bodyDiv w:val="1"/>
      <w:marLeft w:val="0"/>
      <w:marRight w:val="0"/>
      <w:marTop w:val="0"/>
      <w:marBottom w:val="0"/>
      <w:divBdr>
        <w:top w:val="none" w:sz="0" w:space="0" w:color="auto"/>
        <w:left w:val="none" w:sz="0" w:space="0" w:color="auto"/>
        <w:bottom w:val="none" w:sz="0" w:space="0" w:color="auto"/>
        <w:right w:val="none" w:sz="0" w:space="0" w:color="auto"/>
      </w:divBdr>
    </w:div>
    <w:div w:id="319817414">
      <w:bodyDiv w:val="1"/>
      <w:marLeft w:val="0"/>
      <w:marRight w:val="0"/>
      <w:marTop w:val="0"/>
      <w:marBottom w:val="0"/>
      <w:divBdr>
        <w:top w:val="none" w:sz="0" w:space="0" w:color="auto"/>
        <w:left w:val="none" w:sz="0" w:space="0" w:color="auto"/>
        <w:bottom w:val="none" w:sz="0" w:space="0" w:color="auto"/>
        <w:right w:val="none" w:sz="0" w:space="0" w:color="auto"/>
      </w:divBdr>
    </w:div>
    <w:div w:id="319818337">
      <w:bodyDiv w:val="1"/>
      <w:marLeft w:val="0"/>
      <w:marRight w:val="0"/>
      <w:marTop w:val="0"/>
      <w:marBottom w:val="0"/>
      <w:divBdr>
        <w:top w:val="none" w:sz="0" w:space="0" w:color="auto"/>
        <w:left w:val="none" w:sz="0" w:space="0" w:color="auto"/>
        <w:bottom w:val="none" w:sz="0" w:space="0" w:color="auto"/>
        <w:right w:val="none" w:sz="0" w:space="0" w:color="auto"/>
      </w:divBdr>
    </w:div>
    <w:div w:id="319819005">
      <w:bodyDiv w:val="1"/>
      <w:marLeft w:val="0"/>
      <w:marRight w:val="0"/>
      <w:marTop w:val="0"/>
      <w:marBottom w:val="0"/>
      <w:divBdr>
        <w:top w:val="none" w:sz="0" w:space="0" w:color="auto"/>
        <w:left w:val="none" w:sz="0" w:space="0" w:color="auto"/>
        <w:bottom w:val="none" w:sz="0" w:space="0" w:color="auto"/>
        <w:right w:val="none" w:sz="0" w:space="0" w:color="auto"/>
      </w:divBdr>
    </w:div>
    <w:div w:id="319887245">
      <w:bodyDiv w:val="1"/>
      <w:marLeft w:val="0"/>
      <w:marRight w:val="0"/>
      <w:marTop w:val="0"/>
      <w:marBottom w:val="0"/>
      <w:divBdr>
        <w:top w:val="none" w:sz="0" w:space="0" w:color="auto"/>
        <w:left w:val="none" w:sz="0" w:space="0" w:color="auto"/>
        <w:bottom w:val="none" w:sz="0" w:space="0" w:color="auto"/>
        <w:right w:val="none" w:sz="0" w:space="0" w:color="auto"/>
      </w:divBdr>
    </w:div>
    <w:div w:id="319891558">
      <w:bodyDiv w:val="1"/>
      <w:marLeft w:val="0"/>
      <w:marRight w:val="0"/>
      <w:marTop w:val="0"/>
      <w:marBottom w:val="0"/>
      <w:divBdr>
        <w:top w:val="none" w:sz="0" w:space="0" w:color="auto"/>
        <w:left w:val="none" w:sz="0" w:space="0" w:color="auto"/>
        <w:bottom w:val="none" w:sz="0" w:space="0" w:color="auto"/>
        <w:right w:val="none" w:sz="0" w:space="0" w:color="auto"/>
      </w:divBdr>
    </w:div>
    <w:div w:id="319895294">
      <w:bodyDiv w:val="1"/>
      <w:marLeft w:val="0"/>
      <w:marRight w:val="0"/>
      <w:marTop w:val="0"/>
      <w:marBottom w:val="0"/>
      <w:divBdr>
        <w:top w:val="none" w:sz="0" w:space="0" w:color="auto"/>
        <w:left w:val="none" w:sz="0" w:space="0" w:color="auto"/>
        <w:bottom w:val="none" w:sz="0" w:space="0" w:color="auto"/>
        <w:right w:val="none" w:sz="0" w:space="0" w:color="auto"/>
      </w:divBdr>
    </w:div>
    <w:div w:id="319963584">
      <w:bodyDiv w:val="1"/>
      <w:marLeft w:val="0"/>
      <w:marRight w:val="0"/>
      <w:marTop w:val="0"/>
      <w:marBottom w:val="0"/>
      <w:divBdr>
        <w:top w:val="none" w:sz="0" w:space="0" w:color="auto"/>
        <w:left w:val="none" w:sz="0" w:space="0" w:color="auto"/>
        <w:bottom w:val="none" w:sz="0" w:space="0" w:color="auto"/>
        <w:right w:val="none" w:sz="0" w:space="0" w:color="auto"/>
      </w:divBdr>
    </w:div>
    <w:div w:id="320038623">
      <w:bodyDiv w:val="1"/>
      <w:marLeft w:val="0"/>
      <w:marRight w:val="0"/>
      <w:marTop w:val="0"/>
      <w:marBottom w:val="0"/>
      <w:divBdr>
        <w:top w:val="none" w:sz="0" w:space="0" w:color="auto"/>
        <w:left w:val="none" w:sz="0" w:space="0" w:color="auto"/>
        <w:bottom w:val="none" w:sz="0" w:space="0" w:color="auto"/>
        <w:right w:val="none" w:sz="0" w:space="0" w:color="auto"/>
      </w:divBdr>
    </w:div>
    <w:div w:id="320043427">
      <w:bodyDiv w:val="1"/>
      <w:marLeft w:val="0"/>
      <w:marRight w:val="0"/>
      <w:marTop w:val="0"/>
      <w:marBottom w:val="0"/>
      <w:divBdr>
        <w:top w:val="none" w:sz="0" w:space="0" w:color="auto"/>
        <w:left w:val="none" w:sz="0" w:space="0" w:color="auto"/>
        <w:bottom w:val="none" w:sz="0" w:space="0" w:color="auto"/>
        <w:right w:val="none" w:sz="0" w:space="0" w:color="auto"/>
      </w:divBdr>
    </w:div>
    <w:div w:id="320079647">
      <w:bodyDiv w:val="1"/>
      <w:marLeft w:val="0"/>
      <w:marRight w:val="0"/>
      <w:marTop w:val="0"/>
      <w:marBottom w:val="0"/>
      <w:divBdr>
        <w:top w:val="none" w:sz="0" w:space="0" w:color="auto"/>
        <w:left w:val="none" w:sz="0" w:space="0" w:color="auto"/>
        <w:bottom w:val="none" w:sz="0" w:space="0" w:color="auto"/>
        <w:right w:val="none" w:sz="0" w:space="0" w:color="auto"/>
      </w:divBdr>
    </w:div>
    <w:div w:id="320081879">
      <w:bodyDiv w:val="1"/>
      <w:marLeft w:val="0"/>
      <w:marRight w:val="0"/>
      <w:marTop w:val="0"/>
      <w:marBottom w:val="0"/>
      <w:divBdr>
        <w:top w:val="none" w:sz="0" w:space="0" w:color="auto"/>
        <w:left w:val="none" w:sz="0" w:space="0" w:color="auto"/>
        <w:bottom w:val="none" w:sz="0" w:space="0" w:color="auto"/>
        <w:right w:val="none" w:sz="0" w:space="0" w:color="auto"/>
      </w:divBdr>
    </w:div>
    <w:div w:id="320157583">
      <w:bodyDiv w:val="1"/>
      <w:marLeft w:val="0"/>
      <w:marRight w:val="0"/>
      <w:marTop w:val="0"/>
      <w:marBottom w:val="0"/>
      <w:divBdr>
        <w:top w:val="none" w:sz="0" w:space="0" w:color="auto"/>
        <w:left w:val="none" w:sz="0" w:space="0" w:color="auto"/>
        <w:bottom w:val="none" w:sz="0" w:space="0" w:color="auto"/>
        <w:right w:val="none" w:sz="0" w:space="0" w:color="auto"/>
      </w:divBdr>
    </w:div>
    <w:div w:id="320231955">
      <w:bodyDiv w:val="1"/>
      <w:marLeft w:val="0"/>
      <w:marRight w:val="0"/>
      <w:marTop w:val="0"/>
      <w:marBottom w:val="0"/>
      <w:divBdr>
        <w:top w:val="none" w:sz="0" w:space="0" w:color="auto"/>
        <w:left w:val="none" w:sz="0" w:space="0" w:color="auto"/>
        <w:bottom w:val="none" w:sz="0" w:space="0" w:color="auto"/>
        <w:right w:val="none" w:sz="0" w:space="0" w:color="auto"/>
      </w:divBdr>
    </w:div>
    <w:div w:id="320232807">
      <w:bodyDiv w:val="1"/>
      <w:marLeft w:val="0"/>
      <w:marRight w:val="0"/>
      <w:marTop w:val="0"/>
      <w:marBottom w:val="0"/>
      <w:divBdr>
        <w:top w:val="none" w:sz="0" w:space="0" w:color="auto"/>
        <w:left w:val="none" w:sz="0" w:space="0" w:color="auto"/>
        <w:bottom w:val="none" w:sz="0" w:space="0" w:color="auto"/>
        <w:right w:val="none" w:sz="0" w:space="0" w:color="auto"/>
      </w:divBdr>
    </w:div>
    <w:div w:id="320233557">
      <w:bodyDiv w:val="1"/>
      <w:marLeft w:val="0"/>
      <w:marRight w:val="0"/>
      <w:marTop w:val="0"/>
      <w:marBottom w:val="0"/>
      <w:divBdr>
        <w:top w:val="none" w:sz="0" w:space="0" w:color="auto"/>
        <w:left w:val="none" w:sz="0" w:space="0" w:color="auto"/>
        <w:bottom w:val="none" w:sz="0" w:space="0" w:color="auto"/>
        <w:right w:val="none" w:sz="0" w:space="0" w:color="auto"/>
      </w:divBdr>
    </w:div>
    <w:div w:id="320239696">
      <w:bodyDiv w:val="1"/>
      <w:marLeft w:val="0"/>
      <w:marRight w:val="0"/>
      <w:marTop w:val="0"/>
      <w:marBottom w:val="0"/>
      <w:divBdr>
        <w:top w:val="none" w:sz="0" w:space="0" w:color="auto"/>
        <w:left w:val="none" w:sz="0" w:space="0" w:color="auto"/>
        <w:bottom w:val="none" w:sz="0" w:space="0" w:color="auto"/>
        <w:right w:val="none" w:sz="0" w:space="0" w:color="auto"/>
      </w:divBdr>
    </w:div>
    <w:div w:id="320357810">
      <w:bodyDiv w:val="1"/>
      <w:marLeft w:val="0"/>
      <w:marRight w:val="0"/>
      <w:marTop w:val="0"/>
      <w:marBottom w:val="0"/>
      <w:divBdr>
        <w:top w:val="none" w:sz="0" w:space="0" w:color="auto"/>
        <w:left w:val="none" w:sz="0" w:space="0" w:color="auto"/>
        <w:bottom w:val="none" w:sz="0" w:space="0" w:color="auto"/>
        <w:right w:val="none" w:sz="0" w:space="0" w:color="auto"/>
      </w:divBdr>
    </w:div>
    <w:div w:id="320357894">
      <w:bodyDiv w:val="1"/>
      <w:marLeft w:val="0"/>
      <w:marRight w:val="0"/>
      <w:marTop w:val="0"/>
      <w:marBottom w:val="0"/>
      <w:divBdr>
        <w:top w:val="none" w:sz="0" w:space="0" w:color="auto"/>
        <w:left w:val="none" w:sz="0" w:space="0" w:color="auto"/>
        <w:bottom w:val="none" w:sz="0" w:space="0" w:color="auto"/>
        <w:right w:val="none" w:sz="0" w:space="0" w:color="auto"/>
      </w:divBdr>
    </w:div>
    <w:div w:id="320425056">
      <w:bodyDiv w:val="1"/>
      <w:marLeft w:val="0"/>
      <w:marRight w:val="0"/>
      <w:marTop w:val="0"/>
      <w:marBottom w:val="0"/>
      <w:divBdr>
        <w:top w:val="none" w:sz="0" w:space="0" w:color="auto"/>
        <w:left w:val="none" w:sz="0" w:space="0" w:color="auto"/>
        <w:bottom w:val="none" w:sz="0" w:space="0" w:color="auto"/>
        <w:right w:val="none" w:sz="0" w:space="0" w:color="auto"/>
      </w:divBdr>
    </w:div>
    <w:div w:id="320431163">
      <w:bodyDiv w:val="1"/>
      <w:marLeft w:val="0"/>
      <w:marRight w:val="0"/>
      <w:marTop w:val="0"/>
      <w:marBottom w:val="0"/>
      <w:divBdr>
        <w:top w:val="none" w:sz="0" w:space="0" w:color="auto"/>
        <w:left w:val="none" w:sz="0" w:space="0" w:color="auto"/>
        <w:bottom w:val="none" w:sz="0" w:space="0" w:color="auto"/>
        <w:right w:val="none" w:sz="0" w:space="0" w:color="auto"/>
      </w:divBdr>
    </w:div>
    <w:div w:id="320432550">
      <w:bodyDiv w:val="1"/>
      <w:marLeft w:val="0"/>
      <w:marRight w:val="0"/>
      <w:marTop w:val="0"/>
      <w:marBottom w:val="0"/>
      <w:divBdr>
        <w:top w:val="none" w:sz="0" w:space="0" w:color="auto"/>
        <w:left w:val="none" w:sz="0" w:space="0" w:color="auto"/>
        <w:bottom w:val="none" w:sz="0" w:space="0" w:color="auto"/>
        <w:right w:val="none" w:sz="0" w:space="0" w:color="auto"/>
      </w:divBdr>
    </w:div>
    <w:div w:id="320473906">
      <w:bodyDiv w:val="1"/>
      <w:marLeft w:val="0"/>
      <w:marRight w:val="0"/>
      <w:marTop w:val="0"/>
      <w:marBottom w:val="0"/>
      <w:divBdr>
        <w:top w:val="none" w:sz="0" w:space="0" w:color="auto"/>
        <w:left w:val="none" w:sz="0" w:space="0" w:color="auto"/>
        <w:bottom w:val="none" w:sz="0" w:space="0" w:color="auto"/>
        <w:right w:val="none" w:sz="0" w:space="0" w:color="auto"/>
      </w:divBdr>
    </w:div>
    <w:div w:id="320546113">
      <w:bodyDiv w:val="1"/>
      <w:marLeft w:val="0"/>
      <w:marRight w:val="0"/>
      <w:marTop w:val="0"/>
      <w:marBottom w:val="0"/>
      <w:divBdr>
        <w:top w:val="none" w:sz="0" w:space="0" w:color="auto"/>
        <w:left w:val="none" w:sz="0" w:space="0" w:color="auto"/>
        <w:bottom w:val="none" w:sz="0" w:space="0" w:color="auto"/>
        <w:right w:val="none" w:sz="0" w:space="0" w:color="auto"/>
      </w:divBdr>
    </w:div>
    <w:div w:id="320547307">
      <w:bodyDiv w:val="1"/>
      <w:marLeft w:val="0"/>
      <w:marRight w:val="0"/>
      <w:marTop w:val="0"/>
      <w:marBottom w:val="0"/>
      <w:divBdr>
        <w:top w:val="none" w:sz="0" w:space="0" w:color="auto"/>
        <w:left w:val="none" w:sz="0" w:space="0" w:color="auto"/>
        <w:bottom w:val="none" w:sz="0" w:space="0" w:color="auto"/>
        <w:right w:val="none" w:sz="0" w:space="0" w:color="auto"/>
      </w:divBdr>
    </w:div>
    <w:div w:id="320619227">
      <w:bodyDiv w:val="1"/>
      <w:marLeft w:val="0"/>
      <w:marRight w:val="0"/>
      <w:marTop w:val="0"/>
      <w:marBottom w:val="0"/>
      <w:divBdr>
        <w:top w:val="none" w:sz="0" w:space="0" w:color="auto"/>
        <w:left w:val="none" w:sz="0" w:space="0" w:color="auto"/>
        <w:bottom w:val="none" w:sz="0" w:space="0" w:color="auto"/>
        <w:right w:val="none" w:sz="0" w:space="0" w:color="auto"/>
      </w:divBdr>
    </w:div>
    <w:div w:id="320695018">
      <w:bodyDiv w:val="1"/>
      <w:marLeft w:val="0"/>
      <w:marRight w:val="0"/>
      <w:marTop w:val="0"/>
      <w:marBottom w:val="0"/>
      <w:divBdr>
        <w:top w:val="none" w:sz="0" w:space="0" w:color="auto"/>
        <w:left w:val="none" w:sz="0" w:space="0" w:color="auto"/>
        <w:bottom w:val="none" w:sz="0" w:space="0" w:color="auto"/>
        <w:right w:val="none" w:sz="0" w:space="0" w:color="auto"/>
      </w:divBdr>
    </w:div>
    <w:div w:id="320739319">
      <w:bodyDiv w:val="1"/>
      <w:marLeft w:val="0"/>
      <w:marRight w:val="0"/>
      <w:marTop w:val="0"/>
      <w:marBottom w:val="0"/>
      <w:divBdr>
        <w:top w:val="none" w:sz="0" w:space="0" w:color="auto"/>
        <w:left w:val="none" w:sz="0" w:space="0" w:color="auto"/>
        <w:bottom w:val="none" w:sz="0" w:space="0" w:color="auto"/>
        <w:right w:val="none" w:sz="0" w:space="0" w:color="auto"/>
      </w:divBdr>
    </w:div>
    <w:div w:id="320744540">
      <w:bodyDiv w:val="1"/>
      <w:marLeft w:val="0"/>
      <w:marRight w:val="0"/>
      <w:marTop w:val="0"/>
      <w:marBottom w:val="0"/>
      <w:divBdr>
        <w:top w:val="none" w:sz="0" w:space="0" w:color="auto"/>
        <w:left w:val="none" w:sz="0" w:space="0" w:color="auto"/>
        <w:bottom w:val="none" w:sz="0" w:space="0" w:color="auto"/>
        <w:right w:val="none" w:sz="0" w:space="0" w:color="auto"/>
      </w:divBdr>
    </w:div>
    <w:div w:id="320814682">
      <w:bodyDiv w:val="1"/>
      <w:marLeft w:val="0"/>
      <w:marRight w:val="0"/>
      <w:marTop w:val="0"/>
      <w:marBottom w:val="0"/>
      <w:divBdr>
        <w:top w:val="none" w:sz="0" w:space="0" w:color="auto"/>
        <w:left w:val="none" w:sz="0" w:space="0" w:color="auto"/>
        <w:bottom w:val="none" w:sz="0" w:space="0" w:color="auto"/>
        <w:right w:val="none" w:sz="0" w:space="0" w:color="auto"/>
      </w:divBdr>
    </w:div>
    <w:div w:id="320890858">
      <w:bodyDiv w:val="1"/>
      <w:marLeft w:val="0"/>
      <w:marRight w:val="0"/>
      <w:marTop w:val="0"/>
      <w:marBottom w:val="0"/>
      <w:divBdr>
        <w:top w:val="none" w:sz="0" w:space="0" w:color="auto"/>
        <w:left w:val="none" w:sz="0" w:space="0" w:color="auto"/>
        <w:bottom w:val="none" w:sz="0" w:space="0" w:color="auto"/>
        <w:right w:val="none" w:sz="0" w:space="0" w:color="auto"/>
      </w:divBdr>
    </w:div>
    <w:div w:id="321012323">
      <w:bodyDiv w:val="1"/>
      <w:marLeft w:val="0"/>
      <w:marRight w:val="0"/>
      <w:marTop w:val="0"/>
      <w:marBottom w:val="0"/>
      <w:divBdr>
        <w:top w:val="none" w:sz="0" w:space="0" w:color="auto"/>
        <w:left w:val="none" w:sz="0" w:space="0" w:color="auto"/>
        <w:bottom w:val="none" w:sz="0" w:space="0" w:color="auto"/>
        <w:right w:val="none" w:sz="0" w:space="0" w:color="auto"/>
      </w:divBdr>
    </w:div>
    <w:div w:id="321082220">
      <w:bodyDiv w:val="1"/>
      <w:marLeft w:val="0"/>
      <w:marRight w:val="0"/>
      <w:marTop w:val="0"/>
      <w:marBottom w:val="0"/>
      <w:divBdr>
        <w:top w:val="none" w:sz="0" w:space="0" w:color="auto"/>
        <w:left w:val="none" w:sz="0" w:space="0" w:color="auto"/>
        <w:bottom w:val="none" w:sz="0" w:space="0" w:color="auto"/>
        <w:right w:val="none" w:sz="0" w:space="0" w:color="auto"/>
      </w:divBdr>
    </w:div>
    <w:div w:id="321157889">
      <w:bodyDiv w:val="1"/>
      <w:marLeft w:val="0"/>
      <w:marRight w:val="0"/>
      <w:marTop w:val="0"/>
      <w:marBottom w:val="0"/>
      <w:divBdr>
        <w:top w:val="none" w:sz="0" w:space="0" w:color="auto"/>
        <w:left w:val="none" w:sz="0" w:space="0" w:color="auto"/>
        <w:bottom w:val="none" w:sz="0" w:space="0" w:color="auto"/>
        <w:right w:val="none" w:sz="0" w:space="0" w:color="auto"/>
      </w:divBdr>
    </w:div>
    <w:div w:id="321205421">
      <w:bodyDiv w:val="1"/>
      <w:marLeft w:val="0"/>
      <w:marRight w:val="0"/>
      <w:marTop w:val="0"/>
      <w:marBottom w:val="0"/>
      <w:divBdr>
        <w:top w:val="none" w:sz="0" w:space="0" w:color="auto"/>
        <w:left w:val="none" w:sz="0" w:space="0" w:color="auto"/>
        <w:bottom w:val="none" w:sz="0" w:space="0" w:color="auto"/>
        <w:right w:val="none" w:sz="0" w:space="0" w:color="auto"/>
      </w:divBdr>
    </w:div>
    <w:div w:id="321205461">
      <w:bodyDiv w:val="1"/>
      <w:marLeft w:val="0"/>
      <w:marRight w:val="0"/>
      <w:marTop w:val="0"/>
      <w:marBottom w:val="0"/>
      <w:divBdr>
        <w:top w:val="none" w:sz="0" w:space="0" w:color="auto"/>
        <w:left w:val="none" w:sz="0" w:space="0" w:color="auto"/>
        <w:bottom w:val="none" w:sz="0" w:space="0" w:color="auto"/>
        <w:right w:val="none" w:sz="0" w:space="0" w:color="auto"/>
      </w:divBdr>
    </w:div>
    <w:div w:id="321591824">
      <w:bodyDiv w:val="1"/>
      <w:marLeft w:val="0"/>
      <w:marRight w:val="0"/>
      <w:marTop w:val="0"/>
      <w:marBottom w:val="0"/>
      <w:divBdr>
        <w:top w:val="none" w:sz="0" w:space="0" w:color="auto"/>
        <w:left w:val="none" w:sz="0" w:space="0" w:color="auto"/>
        <w:bottom w:val="none" w:sz="0" w:space="0" w:color="auto"/>
        <w:right w:val="none" w:sz="0" w:space="0" w:color="auto"/>
      </w:divBdr>
    </w:div>
    <w:div w:id="321660527">
      <w:bodyDiv w:val="1"/>
      <w:marLeft w:val="0"/>
      <w:marRight w:val="0"/>
      <w:marTop w:val="0"/>
      <w:marBottom w:val="0"/>
      <w:divBdr>
        <w:top w:val="none" w:sz="0" w:space="0" w:color="auto"/>
        <w:left w:val="none" w:sz="0" w:space="0" w:color="auto"/>
        <w:bottom w:val="none" w:sz="0" w:space="0" w:color="auto"/>
        <w:right w:val="none" w:sz="0" w:space="0" w:color="auto"/>
      </w:divBdr>
    </w:div>
    <w:div w:id="321663373">
      <w:bodyDiv w:val="1"/>
      <w:marLeft w:val="0"/>
      <w:marRight w:val="0"/>
      <w:marTop w:val="0"/>
      <w:marBottom w:val="0"/>
      <w:divBdr>
        <w:top w:val="none" w:sz="0" w:space="0" w:color="auto"/>
        <w:left w:val="none" w:sz="0" w:space="0" w:color="auto"/>
        <w:bottom w:val="none" w:sz="0" w:space="0" w:color="auto"/>
        <w:right w:val="none" w:sz="0" w:space="0" w:color="auto"/>
      </w:divBdr>
    </w:div>
    <w:div w:id="321811610">
      <w:bodyDiv w:val="1"/>
      <w:marLeft w:val="0"/>
      <w:marRight w:val="0"/>
      <w:marTop w:val="0"/>
      <w:marBottom w:val="0"/>
      <w:divBdr>
        <w:top w:val="none" w:sz="0" w:space="0" w:color="auto"/>
        <w:left w:val="none" w:sz="0" w:space="0" w:color="auto"/>
        <w:bottom w:val="none" w:sz="0" w:space="0" w:color="auto"/>
        <w:right w:val="none" w:sz="0" w:space="0" w:color="auto"/>
      </w:divBdr>
    </w:div>
    <w:div w:id="321854283">
      <w:bodyDiv w:val="1"/>
      <w:marLeft w:val="0"/>
      <w:marRight w:val="0"/>
      <w:marTop w:val="0"/>
      <w:marBottom w:val="0"/>
      <w:divBdr>
        <w:top w:val="none" w:sz="0" w:space="0" w:color="auto"/>
        <w:left w:val="none" w:sz="0" w:space="0" w:color="auto"/>
        <w:bottom w:val="none" w:sz="0" w:space="0" w:color="auto"/>
        <w:right w:val="none" w:sz="0" w:space="0" w:color="auto"/>
      </w:divBdr>
    </w:div>
    <w:div w:id="322010403">
      <w:bodyDiv w:val="1"/>
      <w:marLeft w:val="0"/>
      <w:marRight w:val="0"/>
      <w:marTop w:val="0"/>
      <w:marBottom w:val="0"/>
      <w:divBdr>
        <w:top w:val="none" w:sz="0" w:space="0" w:color="auto"/>
        <w:left w:val="none" w:sz="0" w:space="0" w:color="auto"/>
        <w:bottom w:val="none" w:sz="0" w:space="0" w:color="auto"/>
        <w:right w:val="none" w:sz="0" w:space="0" w:color="auto"/>
      </w:divBdr>
    </w:div>
    <w:div w:id="322048800">
      <w:bodyDiv w:val="1"/>
      <w:marLeft w:val="0"/>
      <w:marRight w:val="0"/>
      <w:marTop w:val="0"/>
      <w:marBottom w:val="0"/>
      <w:divBdr>
        <w:top w:val="none" w:sz="0" w:space="0" w:color="auto"/>
        <w:left w:val="none" w:sz="0" w:space="0" w:color="auto"/>
        <w:bottom w:val="none" w:sz="0" w:space="0" w:color="auto"/>
        <w:right w:val="none" w:sz="0" w:space="0" w:color="auto"/>
      </w:divBdr>
    </w:div>
    <w:div w:id="322123990">
      <w:bodyDiv w:val="1"/>
      <w:marLeft w:val="0"/>
      <w:marRight w:val="0"/>
      <w:marTop w:val="0"/>
      <w:marBottom w:val="0"/>
      <w:divBdr>
        <w:top w:val="none" w:sz="0" w:space="0" w:color="auto"/>
        <w:left w:val="none" w:sz="0" w:space="0" w:color="auto"/>
        <w:bottom w:val="none" w:sz="0" w:space="0" w:color="auto"/>
        <w:right w:val="none" w:sz="0" w:space="0" w:color="auto"/>
      </w:divBdr>
    </w:div>
    <w:div w:id="322243897">
      <w:bodyDiv w:val="1"/>
      <w:marLeft w:val="0"/>
      <w:marRight w:val="0"/>
      <w:marTop w:val="0"/>
      <w:marBottom w:val="0"/>
      <w:divBdr>
        <w:top w:val="none" w:sz="0" w:space="0" w:color="auto"/>
        <w:left w:val="none" w:sz="0" w:space="0" w:color="auto"/>
        <w:bottom w:val="none" w:sz="0" w:space="0" w:color="auto"/>
        <w:right w:val="none" w:sz="0" w:space="0" w:color="auto"/>
      </w:divBdr>
    </w:div>
    <w:div w:id="322314584">
      <w:bodyDiv w:val="1"/>
      <w:marLeft w:val="0"/>
      <w:marRight w:val="0"/>
      <w:marTop w:val="0"/>
      <w:marBottom w:val="0"/>
      <w:divBdr>
        <w:top w:val="none" w:sz="0" w:space="0" w:color="auto"/>
        <w:left w:val="none" w:sz="0" w:space="0" w:color="auto"/>
        <w:bottom w:val="none" w:sz="0" w:space="0" w:color="auto"/>
        <w:right w:val="none" w:sz="0" w:space="0" w:color="auto"/>
      </w:divBdr>
    </w:div>
    <w:div w:id="322321330">
      <w:bodyDiv w:val="1"/>
      <w:marLeft w:val="0"/>
      <w:marRight w:val="0"/>
      <w:marTop w:val="0"/>
      <w:marBottom w:val="0"/>
      <w:divBdr>
        <w:top w:val="none" w:sz="0" w:space="0" w:color="auto"/>
        <w:left w:val="none" w:sz="0" w:space="0" w:color="auto"/>
        <w:bottom w:val="none" w:sz="0" w:space="0" w:color="auto"/>
        <w:right w:val="none" w:sz="0" w:space="0" w:color="auto"/>
      </w:divBdr>
    </w:div>
    <w:div w:id="322510991">
      <w:bodyDiv w:val="1"/>
      <w:marLeft w:val="0"/>
      <w:marRight w:val="0"/>
      <w:marTop w:val="0"/>
      <w:marBottom w:val="0"/>
      <w:divBdr>
        <w:top w:val="none" w:sz="0" w:space="0" w:color="auto"/>
        <w:left w:val="none" w:sz="0" w:space="0" w:color="auto"/>
        <w:bottom w:val="none" w:sz="0" w:space="0" w:color="auto"/>
        <w:right w:val="none" w:sz="0" w:space="0" w:color="auto"/>
      </w:divBdr>
    </w:div>
    <w:div w:id="322590823">
      <w:bodyDiv w:val="1"/>
      <w:marLeft w:val="0"/>
      <w:marRight w:val="0"/>
      <w:marTop w:val="0"/>
      <w:marBottom w:val="0"/>
      <w:divBdr>
        <w:top w:val="none" w:sz="0" w:space="0" w:color="auto"/>
        <w:left w:val="none" w:sz="0" w:space="0" w:color="auto"/>
        <w:bottom w:val="none" w:sz="0" w:space="0" w:color="auto"/>
        <w:right w:val="none" w:sz="0" w:space="0" w:color="auto"/>
      </w:divBdr>
    </w:div>
    <w:div w:id="322664671">
      <w:bodyDiv w:val="1"/>
      <w:marLeft w:val="0"/>
      <w:marRight w:val="0"/>
      <w:marTop w:val="0"/>
      <w:marBottom w:val="0"/>
      <w:divBdr>
        <w:top w:val="none" w:sz="0" w:space="0" w:color="auto"/>
        <w:left w:val="none" w:sz="0" w:space="0" w:color="auto"/>
        <w:bottom w:val="none" w:sz="0" w:space="0" w:color="auto"/>
        <w:right w:val="none" w:sz="0" w:space="0" w:color="auto"/>
      </w:divBdr>
    </w:div>
    <w:div w:id="322709639">
      <w:bodyDiv w:val="1"/>
      <w:marLeft w:val="0"/>
      <w:marRight w:val="0"/>
      <w:marTop w:val="0"/>
      <w:marBottom w:val="0"/>
      <w:divBdr>
        <w:top w:val="none" w:sz="0" w:space="0" w:color="auto"/>
        <w:left w:val="none" w:sz="0" w:space="0" w:color="auto"/>
        <w:bottom w:val="none" w:sz="0" w:space="0" w:color="auto"/>
        <w:right w:val="none" w:sz="0" w:space="0" w:color="auto"/>
      </w:divBdr>
    </w:div>
    <w:div w:id="322857513">
      <w:bodyDiv w:val="1"/>
      <w:marLeft w:val="0"/>
      <w:marRight w:val="0"/>
      <w:marTop w:val="0"/>
      <w:marBottom w:val="0"/>
      <w:divBdr>
        <w:top w:val="none" w:sz="0" w:space="0" w:color="auto"/>
        <w:left w:val="none" w:sz="0" w:space="0" w:color="auto"/>
        <w:bottom w:val="none" w:sz="0" w:space="0" w:color="auto"/>
        <w:right w:val="none" w:sz="0" w:space="0" w:color="auto"/>
      </w:divBdr>
    </w:div>
    <w:div w:id="322901787">
      <w:bodyDiv w:val="1"/>
      <w:marLeft w:val="0"/>
      <w:marRight w:val="0"/>
      <w:marTop w:val="0"/>
      <w:marBottom w:val="0"/>
      <w:divBdr>
        <w:top w:val="none" w:sz="0" w:space="0" w:color="auto"/>
        <w:left w:val="none" w:sz="0" w:space="0" w:color="auto"/>
        <w:bottom w:val="none" w:sz="0" w:space="0" w:color="auto"/>
        <w:right w:val="none" w:sz="0" w:space="0" w:color="auto"/>
      </w:divBdr>
    </w:div>
    <w:div w:id="322970018">
      <w:bodyDiv w:val="1"/>
      <w:marLeft w:val="0"/>
      <w:marRight w:val="0"/>
      <w:marTop w:val="0"/>
      <w:marBottom w:val="0"/>
      <w:divBdr>
        <w:top w:val="none" w:sz="0" w:space="0" w:color="auto"/>
        <w:left w:val="none" w:sz="0" w:space="0" w:color="auto"/>
        <w:bottom w:val="none" w:sz="0" w:space="0" w:color="auto"/>
        <w:right w:val="none" w:sz="0" w:space="0" w:color="auto"/>
      </w:divBdr>
    </w:div>
    <w:div w:id="323164872">
      <w:bodyDiv w:val="1"/>
      <w:marLeft w:val="0"/>
      <w:marRight w:val="0"/>
      <w:marTop w:val="0"/>
      <w:marBottom w:val="0"/>
      <w:divBdr>
        <w:top w:val="none" w:sz="0" w:space="0" w:color="auto"/>
        <w:left w:val="none" w:sz="0" w:space="0" w:color="auto"/>
        <w:bottom w:val="none" w:sz="0" w:space="0" w:color="auto"/>
        <w:right w:val="none" w:sz="0" w:space="0" w:color="auto"/>
      </w:divBdr>
    </w:div>
    <w:div w:id="323359818">
      <w:bodyDiv w:val="1"/>
      <w:marLeft w:val="0"/>
      <w:marRight w:val="0"/>
      <w:marTop w:val="0"/>
      <w:marBottom w:val="0"/>
      <w:divBdr>
        <w:top w:val="none" w:sz="0" w:space="0" w:color="auto"/>
        <w:left w:val="none" w:sz="0" w:space="0" w:color="auto"/>
        <w:bottom w:val="none" w:sz="0" w:space="0" w:color="auto"/>
        <w:right w:val="none" w:sz="0" w:space="0" w:color="auto"/>
      </w:divBdr>
    </w:div>
    <w:div w:id="323365536">
      <w:bodyDiv w:val="1"/>
      <w:marLeft w:val="0"/>
      <w:marRight w:val="0"/>
      <w:marTop w:val="0"/>
      <w:marBottom w:val="0"/>
      <w:divBdr>
        <w:top w:val="none" w:sz="0" w:space="0" w:color="auto"/>
        <w:left w:val="none" w:sz="0" w:space="0" w:color="auto"/>
        <w:bottom w:val="none" w:sz="0" w:space="0" w:color="auto"/>
        <w:right w:val="none" w:sz="0" w:space="0" w:color="auto"/>
      </w:divBdr>
    </w:div>
    <w:div w:id="323441095">
      <w:bodyDiv w:val="1"/>
      <w:marLeft w:val="0"/>
      <w:marRight w:val="0"/>
      <w:marTop w:val="0"/>
      <w:marBottom w:val="0"/>
      <w:divBdr>
        <w:top w:val="none" w:sz="0" w:space="0" w:color="auto"/>
        <w:left w:val="none" w:sz="0" w:space="0" w:color="auto"/>
        <w:bottom w:val="none" w:sz="0" w:space="0" w:color="auto"/>
        <w:right w:val="none" w:sz="0" w:space="0" w:color="auto"/>
      </w:divBdr>
    </w:div>
    <w:div w:id="323507322">
      <w:bodyDiv w:val="1"/>
      <w:marLeft w:val="0"/>
      <w:marRight w:val="0"/>
      <w:marTop w:val="0"/>
      <w:marBottom w:val="0"/>
      <w:divBdr>
        <w:top w:val="none" w:sz="0" w:space="0" w:color="auto"/>
        <w:left w:val="none" w:sz="0" w:space="0" w:color="auto"/>
        <w:bottom w:val="none" w:sz="0" w:space="0" w:color="auto"/>
        <w:right w:val="none" w:sz="0" w:space="0" w:color="auto"/>
      </w:divBdr>
    </w:div>
    <w:div w:id="323551802">
      <w:bodyDiv w:val="1"/>
      <w:marLeft w:val="0"/>
      <w:marRight w:val="0"/>
      <w:marTop w:val="0"/>
      <w:marBottom w:val="0"/>
      <w:divBdr>
        <w:top w:val="none" w:sz="0" w:space="0" w:color="auto"/>
        <w:left w:val="none" w:sz="0" w:space="0" w:color="auto"/>
        <w:bottom w:val="none" w:sz="0" w:space="0" w:color="auto"/>
        <w:right w:val="none" w:sz="0" w:space="0" w:color="auto"/>
      </w:divBdr>
    </w:div>
    <w:div w:id="323552539">
      <w:bodyDiv w:val="1"/>
      <w:marLeft w:val="0"/>
      <w:marRight w:val="0"/>
      <w:marTop w:val="0"/>
      <w:marBottom w:val="0"/>
      <w:divBdr>
        <w:top w:val="none" w:sz="0" w:space="0" w:color="auto"/>
        <w:left w:val="none" w:sz="0" w:space="0" w:color="auto"/>
        <w:bottom w:val="none" w:sz="0" w:space="0" w:color="auto"/>
        <w:right w:val="none" w:sz="0" w:space="0" w:color="auto"/>
      </w:divBdr>
    </w:div>
    <w:div w:id="323557631">
      <w:bodyDiv w:val="1"/>
      <w:marLeft w:val="0"/>
      <w:marRight w:val="0"/>
      <w:marTop w:val="0"/>
      <w:marBottom w:val="0"/>
      <w:divBdr>
        <w:top w:val="none" w:sz="0" w:space="0" w:color="auto"/>
        <w:left w:val="none" w:sz="0" w:space="0" w:color="auto"/>
        <w:bottom w:val="none" w:sz="0" w:space="0" w:color="auto"/>
        <w:right w:val="none" w:sz="0" w:space="0" w:color="auto"/>
      </w:divBdr>
    </w:div>
    <w:div w:id="323748997">
      <w:bodyDiv w:val="1"/>
      <w:marLeft w:val="0"/>
      <w:marRight w:val="0"/>
      <w:marTop w:val="0"/>
      <w:marBottom w:val="0"/>
      <w:divBdr>
        <w:top w:val="none" w:sz="0" w:space="0" w:color="auto"/>
        <w:left w:val="none" w:sz="0" w:space="0" w:color="auto"/>
        <w:bottom w:val="none" w:sz="0" w:space="0" w:color="auto"/>
        <w:right w:val="none" w:sz="0" w:space="0" w:color="auto"/>
      </w:divBdr>
    </w:div>
    <w:div w:id="323896851">
      <w:bodyDiv w:val="1"/>
      <w:marLeft w:val="0"/>
      <w:marRight w:val="0"/>
      <w:marTop w:val="0"/>
      <w:marBottom w:val="0"/>
      <w:divBdr>
        <w:top w:val="none" w:sz="0" w:space="0" w:color="auto"/>
        <w:left w:val="none" w:sz="0" w:space="0" w:color="auto"/>
        <w:bottom w:val="none" w:sz="0" w:space="0" w:color="auto"/>
        <w:right w:val="none" w:sz="0" w:space="0" w:color="auto"/>
      </w:divBdr>
    </w:div>
    <w:div w:id="323897666">
      <w:bodyDiv w:val="1"/>
      <w:marLeft w:val="0"/>
      <w:marRight w:val="0"/>
      <w:marTop w:val="0"/>
      <w:marBottom w:val="0"/>
      <w:divBdr>
        <w:top w:val="none" w:sz="0" w:space="0" w:color="auto"/>
        <w:left w:val="none" w:sz="0" w:space="0" w:color="auto"/>
        <w:bottom w:val="none" w:sz="0" w:space="0" w:color="auto"/>
        <w:right w:val="none" w:sz="0" w:space="0" w:color="auto"/>
      </w:divBdr>
    </w:div>
    <w:div w:id="323898219">
      <w:bodyDiv w:val="1"/>
      <w:marLeft w:val="0"/>
      <w:marRight w:val="0"/>
      <w:marTop w:val="0"/>
      <w:marBottom w:val="0"/>
      <w:divBdr>
        <w:top w:val="none" w:sz="0" w:space="0" w:color="auto"/>
        <w:left w:val="none" w:sz="0" w:space="0" w:color="auto"/>
        <w:bottom w:val="none" w:sz="0" w:space="0" w:color="auto"/>
        <w:right w:val="none" w:sz="0" w:space="0" w:color="auto"/>
      </w:divBdr>
    </w:div>
    <w:div w:id="323902416">
      <w:bodyDiv w:val="1"/>
      <w:marLeft w:val="0"/>
      <w:marRight w:val="0"/>
      <w:marTop w:val="0"/>
      <w:marBottom w:val="0"/>
      <w:divBdr>
        <w:top w:val="none" w:sz="0" w:space="0" w:color="auto"/>
        <w:left w:val="none" w:sz="0" w:space="0" w:color="auto"/>
        <w:bottom w:val="none" w:sz="0" w:space="0" w:color="auto"/>
        <w:right w:val="none" w:sz="0" w:space="0" w:color="auto"/>
      </w:divBdr>
    </w:div>
    <w:div w:id="323973082">
      <w:bodyDiv w:val="1"/>
      <w:marLeft w:val="0"/>
      <w:marRight w:val="0"/>
      <w:marTop w:val="0"/>
      <w:marBottom w:val="0"/>
      <w:divBdr>
        <w:top w:val="none" w:sz="0" w:space="0" w:color="auto"/>
        <w:left w:val="none" w:sz="0" w:space="0" w:color="auto"/>
        <w:bottom w:val="none" w:sz="0" w:space="0" w:color="auto"/>
        <w:right w:val="none" w:sz="0" w:space="0" w:color="auto"/>
      </w:divBdr>
    </w:div>
    <w:div w:id="324017559">
      <w:bodyDiv w:val="1"/>
      <w:marLeft w:val="0"/>
      <w:marRight w:val="0"/>
      <w:marTop w:val="0"/>
      <w:marBottom w:val="0"/>
      <w:divBdr>
        <w:top w:val="none" w:sz="0" w:space="0" w:color="auto"/>
        <w:left w:val="none" w:sz="0" w:space="0" w:color="auto"/>
        <w:bottom w:val="none" w:sz="0" w:space="0" w:color="auto"/>
        <w:right w:val="none" w:sz="0" w:space="0" w:color="auto"/>
      </w:divBdr>
    </w:div>
    <w:div w:id="324163157">
      <w:bodyDiv w:val="1"/>
      <w:marLeft w:val="0"/>
      <w:marRight w:val="0"/>
      <w:marTop w:val="0"/>
      <w:marBottom w:val="0"/>
      <w:divBdr>
        <w:top w:val="none" w:sz="0" w:space="0" w:color="auto"/>
        <w:left w:val="none" w:sz="0" w:space="0" w:color="auto"/>
        <w:bottom w:val="none" w:sz="0" w:space="0" w:color="auto"/>
        <w:right w:val="none" w:sz="0" w:space="0" w:color="auto"/>
      </w:divBdr>
    </w:div>
    <w:div w:id="324171620">
      <w:bodyDiv w:val="1"/>
      <w:marLeft w:val="0"/>
      <w:marRight w:val="0"/>
      <w:marTop w:val="0"/>
      <w:marBottom w:val="0"/>
      <w:divBdr>
        <w:top w:val="none" w:sz="0" w:space="0" w:color="auto"/>
        <w:left w:val="none" w:sz="0" w:space="0" w:color="auto"/>
        <w:bottom w:val="none" w:sz="0" w:space="0" w:color="auto"/>
        <w:right w:val="none" w:sz="0" w:space="0" w:color="auto"/>
      </w:divBdr>
    </w:div>
    <w:div w:id="324209403">
      <w:bodyDiv w:val="1"/>
      <w:marLeft w:val="0"/>
      <w:marRight w:val="0"/>
      <w:marTop w:val="0"/>
      <w:marBottom w:val="0"/>
      <w:divBdr>
        <w:top w:val="none" w:sz="0" w:space="0" w:color="auto"/>
        <w:left w:val="none" w:sz="0" w:space="0" w:color="auto"/>
        <w:bottom w:val="none" w:sz="0" w:space="0" w:color="auto"/>
        <w:right w:val="none" w:sz="0" w:space="0" w:color="auto"/>
      </w:divBdr>
    </w:div>
    <w:div w:id="324209844">
      <w:bodyDiv w:val="1"/>
      <w:marLeft w:val="0"/>
      <w:marRight w:val="0"/>
      <w:marTop w:val="0"/>
      <w:marBottom w:val="0"/>
      <w:divBdr>
        <w:top w:val="none" w:sz="0" w:space="0" w:color="auto"/>
        <w:left w:val="none" w:sz="0" w:space="0" w:color="auto"/>
        <w:bottom w:val="none" w:sz="0" w:space="0" w:color="auto"/>
        <w:right w:val="none" w:sz="0" w:space="0" w:color="auto"/>
      </w:divBdr>
    </w:div>
    <w:div w:id="324284369">
      <w:bodyDiv w:val="1"/>
      <w:marLeft w:val="0"/>
      <w:marRight w:val="0"/>
      <w:marTop w:val="0"/>
      <w:marBottom w:val="0"/>
      <w:divBdr>
        <w:top w:val="none" w:sz="0" w:space="0" w:color="auto"/>
        <w:left w:val="none" w:sz="0" w:space="0" w:color="auto"/>
        <w:bottom w:val="none" w:sz="0" w:space="0" w:color="auto"/>
        <w:right w:val="none" w:sz="0" w:space="0" w:color="auto"/>
      </w:divBdr>
    </w:div>
    <w:div w:id="324357643">
      <w:bodyDiv w:val="1"/>
      <w:marLeft w:val="0"/>
      <w:marRight w:val="0"/>
      <w:marTop w:val="0"/>
      <w:marBottom w:val="0"/>
      <w:divBdr>
        <w:top w:val="none" w:sz="0" w:space="0" w:color="auto"/>
        <w:left w:val="none" w:sz="0" w:space="0" w:color="auto"/>
        <w:bottom w:val="none" w:sz="0" w:space="0" w:color="auto"/>
        <w:right w:val="none" w:sz="0" w:space="0" w:color="auto"/>
      </w:divBdr>
    </w:div>
    <w:div w:id="324359645">
      <w:bodyDiv w:val="1"/>
      <w:marLeft w:val="0"/>
      <w:marRight w:val="0"/>
      <w:marTop w:val="0"/>
      <w:marBottom w:val="0"/>
      <w:divBdr>
        <w:top w:val="none" w:sz="0" w:space="0" w:color="auto"/>
        <w:left w:val="none" w:sz="0" w:space="0" w:color="auto"/>
        <w:bottom w:val="none" w:sz="0" w:space="0" w:color="auto"/>
        <w:right w:val="none" w:sz="0" w:space="0" w:color="auto"/>
      </w:divBdr>
    </w:div>
    <w:div w:id="324363884">
      <w:bodyDiv w:val="1"/>
      <w:marLeft w:val="0"/>
      <w:marRight w:val="0"/>
      <w:marTop w:val="0"/>
      <w:marBottom w:val="0"/>
      <w:divBdr>
        <w:top w:val="none" w:sz="0" w:space="0" w:color="auto"/>
        <w:left w:val="none" w:sz="0" w:space="0" w:color="auto"/>
        <w:bottom w:val="none" w:sz="0" w:space="0" w:color="auto"/>
        <w:right w:val="none" w:sz="0" w:space="0" w:color="auto"/>
      </w:divBdr>
    </w:div>
    <w:div w:id="324405515">
      <w:bodyDiv w:val="1"/>
      <w:marLeft w:val="0"/>
      <w:marRight w:val="0"/>
      <w:marTop w:val="0"/>
      <w:marBottom w:val="0"/>
      <w:divBdr>
        <w:top w:val="none" w:sz="0" w:space="0" w:color="auto"/>
        <w:left w:val="none" w:sz="0" w:space="0" w:color="auto"/>
        <w:bottom w:val="none" w:sz="0" w:space="0" w:color="auto"/>
        <w:right w:val="none" w:sz="0" w:space="0" w:color="auto"/>
      </w:divBdr>
    </w:div>
    <w:div w:id="324548614">
      <w:bodyDiv w:val="1"/>
      <w:marLeft w:val="0"/>
      <w:marRight w:val="0"/>
      <w:marTop w:val="0"/>
      <w:marBottom w:val="0"/>
      <w:divBdr>
        <w:top w:val="none" w:sz="0" w:space="0" w:color="auto"/>
        <w:left w:val="none" w:sz="0" w:space="0" w:color="auto"/>
        <w:bottom w:val="none" w:sz="0" w:space="0" w:color="auto"/>
        <w:right w:val="none" w:sz="0" w:space="0" w:color="auto"/>
      </w:divBdr>
    </w:div>
    <w:div w:id="324548658">
      <w:bodyDiv w:val="1"/>
      <w:marLeft w:val="0"/>
      <w:marRight w:val="0"/>
      <w:marTop w:val="0"/>
      <w:marBottom w:val="0"/>
      <w:divBdr>
        <w:top w:val="none" w:sz="0" w:space="0" w:color="auto"/>
        <w:left w:val="none" w:sz="0" w:space="0" w:color="auto"/>
        <w:bottom w:val="none" w:sz="0" w:space="0" w:color="auto"/>
        <w:right w:val="none" w:sz="0" w:space="0" w:color="auto"/>
      </w:divBdr>
    </w:div>
    <w:div w:id="324550425">
      <w:bodyDiv w:val="1"/>
      <w:marLeft w:val="0"/>
      <w:marRight w:val="0"/>
      <w:marTop w:val="0"/>
      <w:marBottom w:val="0"/>
      <w:divBdr>
        <w:top w:val="none" w:sz="0" w:space="0" w:color="auto"/>
        <w:left w:val="none" w:sz="0" w:space="0" w:color="auto"/>
        <w:bottom w:val="none" w:sz="0" w:space="0" w:color="auto"/>
        <w:right w:val="none" w:sz="0" w:space="0" w:color="auto"/>
      </w:divBdr>
    </w:div>
    <w:div w:id="324555680">
      <w:bodyDiv w:val="1"/>
      <w:marLeft w:val="0"/>
      <w:marRight w:val="0"/>
      <w:marTop w:val="0"/>
      <w:marBottom w:val="0"/>
      <w:divBdr>
        <w:top w:val="none" w:sz="0" w:space="0" w:color="auto"/>
        <w:left w:val="none" w:sz="0" w:space="0" w:color="auto"/>
        <w:bottom w:val="none" w:sz="0" w:space="0" w:color="auto"/>
        <w:right w:val="none" w:sz="0" w:space="0" w:color="auto"/>
      </w:divBdr>
    </w:div>
    <w:div w:id="324555863">
      <w:bodyDiv w:val="1"/>
      <w:marLeft w:val="0"/>
      <w:marRight w:val="0"/>
      <w:marTop w:val="0"/>
      <w:marBottom w:val="0"/>
      <w:divBdr>
        <w:top w:val="none" w:sz="0" w:space="0" w:color="auto"/>
        <w:left w:val="none" w:sz="0" w:space="0" w:color="auto"/>
        <w:bottom w:val="none" w:sz="0" w:space="0" w:color="auto"/>
        <w:right w:val="none" w:sz="0" w:space="0" w:color="auto"/>
      </w:divBdr>
    </w:div>
    <w:div w:id="324745433">
      <w:bodyDiv w:val="1"/>
      <w:marLeft w:val="0"/>
      <w:marRight w:val="0"/>
      <w:marTop w:val="0"/>
      <w:marBottom w:val="0"/>
      <w:divBdr>
        <w:top w:val="none" w:sz="0" w:space="0" w:color="auto"/>
        <w:left w:val="none" w:sz="0" w:space="0" w:color="auto"/>
        <w:bottom w:val="none" w:sz="0" w:space="0" w:color="auto"/>
        <w:right w:val="none" w:sz="0" w:space="0" w:color="auto"/>
      </w:divBdr>
    </w:div>
    <w:div w:id="324940521">
      <w:bodyDiv w:val="1"/>
      <w:marLeft w:val="0"/>
      <w:marRight w:val="0"/>
      <w:marTop w:val="0"/>
      <w:marBottom w:val="0"/>
      <w:divBdr>
        <w:top w:val="none" w:sz="0" w:space="0" w:color="auto"/>
        <w:left w:val="none" w:sz="0" w:space="0" w:color="auto"/>
        <w:bottom w:val="none" w:sz="0" w:space="0" w:color="auto"/>
        <w:right w:val="none" w:sz="0" w:space="0" w:color="auto"/>
      </w:divBdr>
    </w:div>
    <w:div w:id="325133641">
      <w:bodyDiv w:val="1"/>
      <w:marLeft w:val="0"/>
      <w:marRight w:val="0"/>
      <w:marTop w:val="0"/>
      <w:marBottom w:val="0"/>
      <w:divBdr>
        <w:top w:val="none" w:sz="0" w:space="0" w:color="auto"/>
        <w:left w:val="none" w:sz="0" w:space="0" w:color="auto"/>
        <w:bottom w:val="none" w:sz="0" w:space="0" w:color="auto"/>
        <w:right w:val="none" w:sz="0" w:space="0" w:color="auto"/>
      </w:divBdr>
    </w:div>
    <w:div w:id="325783839">
      <w:bodyDiv w:val="1"/>
      <w:marLeft w:val="0"/>
      <w:marRight w:val="0"/>
      <w:marTop w:val="0"/>
      <w:marBottom w:val="0"/>
      <w:divBdr>
        <w:top w:val="none" w:sz="0" w:space="0" w:color="auto"/>
        <w:left w:val="none" w:sz="0" w:space="0" w:color="auto"/>
        <w:bottom w:val="none" w:sz="0" w:space="0" w:color="auto"/>
        <w:right w:val="none" w:sz="0" w:space="0" w:color="auto"/>
      </w:divBdr>
    </w:div>
    <w:div w:id="325940020">
      <w:bodyDiv w:val="1"/>
      <w:marLeft w:val="0"/>
      <w:marRight w:val="0"/>
      <w:marTop w:val="0"/>
      <w:marBottom w:val="0"/>
      <w:divBdr>
        <w:top w:val="none" w:sz="0" w:space="0" w:color="auto"/>
        <w:left w:val="none" w:sz="0" w:space="0" w:color="auto"/>
        <w:bottom w:val="none" w:sz="0" w:space="0" w:color="auto"/>
        <w:right w:val="none" w:sz="0" w:space="0" w:color="auto"/>
      </w:divBdr>
    </w:div>
    <w:div w:id="325941332">
      <w:bodyDiv w:val="1"/>
      <w:marLeft w:val="0"/>
      <w:marRight w:val="0"/>
      <w:marTop w:val="0"/>
      <w:marBottom w:val="0"/>
      <w:divBdr>
        <w:top w:val="none" w:sz="0" w:space="0" w:color="auto"/>
        <w:left w:val="none" w:sz="0" w:space="0" w:color="auto"/>
        <w:bottom w:val="none" w:sz="0" w:space="0" w:color="auto"/>
        <w:right w:val="none" w:sz="0" w:space="0" w:color="auto"/>
      </w:divBdr>
    </w:div>
    <w:div w:id="326176295">
      <w:bodyDiv w:val="1"/>
      <w:marLeft w:val="0"/>
      <w:marRight w:val="0"/>
      <w:marTop w:val="0"/>
      <w:marBottom w:val="0"/>
      <w:divBdr>
        <w:top w:val="none" w:sz="0" w:space="0" w:color="auto"/>
        <w:left w:val="none" w:sz="0" w:space="0" w:color="auto"/>
        <w:bottom w:val="none" w:sz="0" w:space="0" w:color="auto"/>
        <w:right w:val="none" w:sz="0" w:space="0" w:color="auto"/>
      </w:divBdr>
    </w:div>
    <w:div w:id="326177663">
      <w:bodyDiv w:val="1"/>
      <w:marLeft w:val="0"/>
      <w:marRight w:val="0"/>
      <w:marTop w:val="0"/>
      <w:marBottom w:val="0"/>
      <w:divBdr>
        <w:top w:val="none" w:sz="0" w:space="0" w:color="auto"/>
        <w:left w:val="none" w:sz="0" w:space="0" w:color="auto"/>
        <w:bottom w:val="none" w:sz="0" w:space="0" w:color="auto"/>
        <w:right w:val="none" w:sz="0" w:space="0" w:color="auto"/>
      </w:divBdr>
    </w:div>
    <w:div w:id="326592872">
      <w:bodyDiv w:val="1"/>
      <w:marLeft w:val="0"/>
      <w:marRight w:val="0"/>
      <w:marTop w:val="0"/>
      <w:marBottom w:val="0"/>
      <w:divBdr>
        <w:top w:val="none" w:sz="0" w:space="0" w:color="auto"/>
        <w:left w:val="none" w:sz="0" w:space="0" w:color="auto"/>
        <w:bottom w:val="none" w:sz="0" w:space="0" w:color="auto"/>
        <w:right w:val="none" w:sz="0" w:space="0" w:color="auto"/>
      </w:divBdr>
    </w:div>
    <w:div w:id="326635574">
      <w:bodyDiv w:val="1"/>
      <w:marLeft w:val="0"/>
      <w:marRight w:val="0"/>
      <w:marTop w:val="0"/>
      <w:marBottom w:val="0"/>
      <w:divBdr>
        <w:top w:val="none" w:sz="0" w:space="0" w:color="auto"/>
        <w:left w:val="none" w:sz="0" w:space="0" w:color="auto"/>
        <w:bottom w:val="none" w:sz="0" w:space="0" w:color="auto"/>
        <w:right w:val="none" w:sz="0" w:space="0" w:color="auto"/>
      </w:divBdr>
    </w:div>
    <w:div w:id="326717298">
      <w:bodyDiv w:val="1"/>
      <w:marLeft w:val="0"/>
      <w:marRight w:val="0"/>
      <w:marTop w:val="0"/>
      <w:marBottom w:val="0"/>
      <w:divBdr>
        <w:top w:val="none" w:sz="0" w:space="0" w:color="auto"/>
        <w:left w:val="none" w:sz="0" w:space="0" w:color="auto"/>
        <w:bottom w:val="none" w:sz="0" w:space="0" w:color="auto"/>
        <w:right w:val="none" w:sz="0" w:space="0" w:color="auto"/>
      </w:divBdr>
    </w:div>
    <w:div w:id="326783838">
      <w:bodyDiv w:val="1"/>
      <w:marLeft w:val="0"/>
      <w:marRight w:val="0"/>
      <w:marTop w:val="0"/>
      <w:marBottom w:val="0"/>
      <w:divBdr>
        <w:top w:val="none" w:sz="0" w:space="0" w:color="auto"/>
        <w:left w:val="none" w:sz="0" w:space="0" w:color="auto"/>
        <w:bottom w:val="none" w:sz="0" w:space="0" w:color="auto"/>
        <w:right w:val="none" w:sz="0" w:space="0" w:color="auto"/>
      </w:divBdr>
    </w:div>
    <w:div w:id="326788484">
      <w:bodyDiv w:val="1"/>
      <w:marLeft w:val="0"/>
      <w:marRight w:val="0"/>
      <w:marTop w:val="0"/>
      <w:marBottom w:val="0"/>
      <w:divBdr>
        <w:top w:val="none" w:sz="0" w:space="0" w:color="auto"/>
        <w:left w:val="none" w:sz="0" w:space="0" w:color="auto"/>
        <w:bottom w:val="none" w:sz="0" w:space="0" w:color="auto"/>
        <w:right w:val="none" w:sz="0" w:space="0" w:color="auto"/>
      </w:divBdr>
    </w:div>
    <w:div w:id="326909762">
      <w:bodyDiv w:val="1"/>
      <w:marLeft w:val="0"/>
      <w:marRight w:val="0"/>
      <w:marTop w:val="0"/>
      <w:marBottom w:val="0"/>
      <w:divBdr>
        <w:top w:val="none" w:sz="0" w:space="0" w:color="auto"/>
        <w:left w:val="none" w:sz="0" w:space="0" w:color="auto"/>
        <w:bottom w:val="none" w:sz="0" w:space="0" w:color="auto"/>
        <w:right w:val="none" w:sz="0" w:space="0" w:color="auto"/>
      </w:divBdr>
    </w:div>
    <w:div w:id="327174932">
      <w:bodyDiv w:val="1"/>
      <w:marLeft w:val="0"/>
      <w:marRight w:val="0"/>
      <w:marTop w:val="0"/>
      <w:marBottom w:val="0"/>
      <w:divBdr>
        <w:top w:val="none" w:sz="0" w:space="0" w:color="auto"/>
        <w:left w:val="none" w:sz="0" w:space="0" w:color="auto"/>
        <w:bottom w:val="none" w:sz="0" w:space="0" w:color="auto"/>
        <w:right w:val="none" w:sz="0" w:space="0" w:color="auto"/>
      </w:divBdr>
    </w:div>
    <w:div w:id="327445191">
      <w:bodyDiv w:val="1"/>
      <w:marLeft w:val="0"/>
      <w:marRight w:val="0"/>
      <w:marTop w:val="0"/>
      <w:marBottom w:val="0"/>
      <w:divBdr>
        <w:top w:val="none" w:sz="0" w:space="0" w:color="auto"/>
        <w:left w:val="none" w:sz="0" w:space="0" w:color="auto"/>
        <w:bottom w:val="none" w:sz="0" w:space="0" w:color="auto"/>
        <w:right w:val="none" w:sz="0" w:space="0" w:color="auto"/>
      </w:divBdr>
    </w:div>
    <w:div w:id="327560726">
      <w:bodyDiv w:val="1"/>
      <w:marLeft w:val="0"/>
      <w:marRight w:val="0"/>
      <w:marTop w:val="0"/>
      <w:marBottom w:val="0"/>
      <w:divBdr>
        <w:top w:val="none" w:sz="0" w:space="0" w:color="auto"/>
        <w:left w:val="none" w:sz="0" w:space="0" w:color="auto"/>
        <w:bottom w:val="none" w:sz="0" w:space="0" w:color="auto"/>
        <w:right w:val="none" w:sz="0" w:space="0" w:color="auto"/>
      </w:divBdr>
    </w:div>
    <w:div w:id="327636796">
      <w:bodyDiv w:val="1"/>
      <w:marLeft w:val="0"/>
      <w:marRight w:val="0"/>
      <w:marTop w:val="0"/>
      <w:marBottom w:val="0"/>
      <w:divBdr>
        <w:top w:val="none" w:sz="0" w:space="0" w:color="auto"/>
        <w:left w:val="none" w:sz="0" w:space="0" w:color="auto"/>
        <w:bottom w:val="none" w:sz="0" w:space="0" w:color="auto"/>
        <w:right w:val="none" w:sz="0" w:space="0" w:color="auto"/>
      </w:divBdr>
    </w:div>
    <w:div w:id="327707770">
      <w:bodyDiv w:val="1"/>
      <w:marLeft w:val="0"/>
      <w:marRight w:val="0"/>
      <w:marTop w:val="0"/>
      <w:marBottom w:val="0"/>
      <w:divBdr>
        <w:top w:val="none" w:sz="0" w:space="0" w:color="auto"/>
        <w:left w:val="none" w:sz="0" w:space="0" w:color="auto"/>
        <w:bottom w:val="none" w:sz="0" w:space="0" w:color="auto"/>
        <w:right w:val="none" w:sz="0" w:space="0" w:color="auto"/>
      </w:divBdr>
    </w:div>
    <w:div w:id="327708171">
      <w:bodyDiv w:val="1"/>
      <w:marLeft w:val="0"/>
      <w:marRight w:val="0"/>
      <w:marTop w:val="0"/>
      <w:marBottom w:val="0"/>
      <w:divBdr>
        <w:top w:val="none" w:sz="0" w:space="0" w:color="auto"/>
        <w:left w:val="none" w:sz="0" w:space="0" w:color="auto"/>
        <w:bottom w:val="none" w:sz="0" w:space="0" w:color="auto"/>
        <w:right w:val="none" w:sz="0" w:space="0" w:color="auto"/>
      </w:divBdr>
    </w:div>
    <w:div w:id="327949171">
      <w:bodyDiv w:val="1"/>
      <w:marLeft w:val="0"/>
      <w:marRight w:val="0"/>
      <w:marTop w:val="0"/>
      <w:marBottom w:val="0"/>
      <w:divBdr>
        <w:top w:val="none" w:sz="0" w:space="0" w:color="auto"/>
        <w:left w:val="none" w:sz="0" w:space="0" w:color="auto"/>
        <w:bottom w:val="none" w:sz="0" w:space="0" w:color="auto"/>
        <w:right w:val="none" w:sz="0" w:space="0" w:color="auto"/>
      </w:divBdr>
    </w:div>
    <w:div w:id="328021792">
      <w:bodyDiv w:val="1"/>
      <w:marLeft w:val="0"/>
      <w:marRight w:val="0"/>
      <w:marTop w:val="0"/>
      <w:marBottom w:val="0"/>
      <w:divBdr>
        <w:top w:val="none" w:sz="0" w:space="0" w:color="auto"/>
        <w:left w:val="none" w:sz="0" w:space="0" w:color="auto"/>
        <w:bottom w:val="none" w:sz="0" w:space="0" w:color="auto"/>
        <w:right w:val="none" w:sz="0" w:space="0" w:color="auto"/>
      </w:divBdr>
    </w:div>
    <w:div w:id="328335577">
      <w:bodyDiv w:val="1"/>
      <w:marLeft w:val="0"/>
      <w:marRight w:val="0"/>
      <w:marTop w:val="0"/>
      <w:marBottom w:val="0"/>
      <w:divBdr>
        <w:top w:val="none" w:sz="0" w:space="0" w:color="auto"/>
        <w:left w:val="none" w:sz="0" w:space="0" w:color="auto"/>
        <w:bottom w:val="none" w:sz="0" w:space="0" w:color="auto"/>
        <w:right w:val="none" w:sz="0" w:space="0" w:color="auto"/>
      </w:divBdr>
    </w:div>
    <w:div w:id="328366052">
      <w:bodyDiv w:val="1"/>
      <w:marLeft w:val="0"/>
      <w:marRight w:val="0"/>
      <w:marTop w:val="0"/>
      <w:marBottom w:val="0"/>
      <w:divBdr>
        <w:top w:val="none" w:sz="0" w:space="0" w:color="auto"/>
        <w:left w:val="none" w:sz="0" w:space="0" w:color="auto"/>
        <w:bottom w:val="none" w:sz="0" w:space="0" w:color="auto"/>
        <w:right w:val="none" w:sz="0" w:space="0" w:color="auto"/>
      </w:divBdr>
    </w:div>
    <w:div w:id="328413689">
      <w:bodyDiv w:val="1"/>
      <w:marLeft w:val="0"/>
      <w:marRight w:val="0"/>
      <w:marTop w:val="0"/>
      <w:marBottom w:val="0"/>
      <w:divBdr>
        <w:top w:val="none" w:sz="0" w:space="0" w:color="auto"/>
        <w:left w:val="none" w:sz="0" w:space="0" w:color="auto"/>
        <w:bottom w:val="none" w:sz="0" w:space="0" w:color="auto"/>
        <w:right w:val="none" w:sz="0" w:space="0" w:color="auto"/>
      </w:divBdr>
    </w:div>
    <w:div w:id="328561998">
      <w:bodyDiv w:val="1"/>
      <w:marLeft w:val="0"/>
      <w:marRight w:val="0"/>
      <w:marTop w:val="0"/>
      <w:marBottom w:val="0"/>
      <w:divBdr>
        <w:top w:val="none" w:sz="0" w:space="0" w:color="auto"/>
        <w:left w:val="none" w:sz="0" w:space="0" w:color="auto"/>
        <w:bottom w:val="none" w:sz="0" w:space="0" w:color="auto"/>
        <w:right w:val="none" w:sz="0" w:space="0" w:color="auto"/>
      </w:divBdr>
    </w:div>
    <w:div w:id="328752659">
      <w:bodyDiv w:val="1"/>
      <w:marLeft w:val="0"/>
      <w:marRight w:val="0"/>
      <w:marTop w:val="0"/>
      <w:marBottom w:val="0"/>
      <w:divBdr>
        <w:top w:val="none" w:sz="0" w:space="0" w:color="auto"/>
        <w:left w:val="none" w:sz="0" w:space="0" w:color="auto"/>
        <w:bottom w:val="none" w:sz="0" w:space="0" w:color="auto"/>
        <w:right w:val="none" w:sz="0" w:space="0" w:color="auto"/>
      </w:divBdr>
    </w:div>
    <w:div w:id="328826678">
      <w:bodyDiv w:val="1"/>
      <w:marLeft w:val="0"/>
      <w:marRight w:val="0"/>
      <w:marTop w:val="0"/>
      <w:marBottom w:val="0"/>
      <w:divBdr>
        <w:top w:val="none" w:sz="0" w:space="0" w:color="auto"/>
        <w:left w:val="none" w:sz="0" w:space="0" w:color="auto"/>
        <w:bottom w:val="none" w:sz="0" w:space="0" w:color="auto"/>
        <w:right w:val="none" w:sz="0" w:space="0" w:color="auto"/>
      </w:divBdr>
    </w:div>
    <w:div w:id="329135661">
      <w:bodyDiv w:val="1"/>
      <w:marLeft w:val="0"/>
      <w:marRight w:val="0"/>
      <w:marTop w:val="0"/>
      <w:marBottom w:val="0"/>
      <w:divBdr>
        <w:top w:val="none" w:sz="0" w:space="0" w:color="auto"/>
        <w:left w:val="none" w:sz="0" w:space="0" w:color="auto"/>
        <w:bottom w:val="none" w:sz="0" w:space="0" w:color="auto"/>
        <w:right w:val="none" w:sz="0" w:space="0" w:color="auto"/>
      </w:divBdr>
    </w:div>
    <w:div w:id="329215495">
      <w:bodyDiv w:val="1"/>
      <w:marLeft w:val="0"/>
      <w:marRight w:val="0"/>
      <w:marTop w:val="0"/>
      <w:marBottom w:val="0"/>
      <w:divBdr>
        <w:top w:val="none" w:sz="0" w:space="0" w:color="auto"/>
        <w:left w:val="none" w:sz="0" w:space="0" w:color="auto"/>
        <w:bottom w:val="none" w:sz="0" w:space="0" w:color="auto"/>
        <w:right w:val="none" w:sz="0" w:space="0" w:color="auto"/>
      </w:divBdr>
    </w:div>
    <w:div w:id="329260881">
      <w:bodyDiv w:val="1"/>
      <w:marLeft w:val="0"/>
      <w:marRight w:val="0"/>
      <w:marTop w:val="0"/>
      <w:marBottom w:val="0"/>
      <w:divBdr>
        <w:top w:val="none" w:sz="0" w:space="0" w:color="auto"/>
        <w:left w:val="none" w:sz="0" w:space="0" w:color="auto"/>
        <w:bottom w:val="none" w:sz="0" w:space="0" w:color="auto"/>
        <w:right w:val="none" w:sz="0" w:space="0" w:color="auto"/>
      </w:divBdr>
    </w:div>
    <w:div w:id="329479627">
      <w:bodyDiv w:val="1"/>
      <w:marLeft w:val="0"/>
      <w:marRight w:val="0"/>
      <w:marTop w:val="0"/>
      <w:marBottom w:val="0"/>
      <w:divBdr>
        <w:top w:val="none" w:sz="0" w:space="0" w:color="auto"/>
        <w:left w:val="none" w:sz="0" w:space="0" w:color="auto"/>
        <w:bottom w:val="none" w:sz="0" w:space="0" w:color="auto"/>
        <w:right w:val="none" w:sz="0" w:space="0" w:color="auto"/>
      </w:divBdr>
    </w:div>
    <w:div w:id="329528411">
      <w:bodyDiv w:val="1"/>
      <w:marLeft w:val="0"/>
      <w:marRight w:val="0"/>
      <w:marTop w:val="0"/>
      <w:marBottom w:val="0"/>
      <w:divBdr>
        <w:top w:val="none" w:sz="0" w:space="0" w:color="auto"/>
        <w:left w:val="none" w:sz="0" w:space="0" w:color="auto"/>
        <w:bottom w:val="none" w:sz="0" w:space="0" w:color="auto"/>
        <w:right w:val="none" w:sz="0" w:space="0" w:color="auto"/>
      </w:divBdr>
    </w:div>
    <w:div w:id="329675618">
      <w:bodyDiv w:val="1"/>
      <w:marLeft w:val="0"/>
      <w:marRight w:val="0"/>
      <w:marTop w:val="0"/>
      <w:marBottom w:val="0"/>
      <w:divBdr>
        <w:top w:val="none" w:sz="0" w:space="0" w:color="auto"/>
        <w:left w:val="none" w:sz="0" w:space="0" w:color="auto"/>
        <w:bottom w:val="none" w:sz="0" w:space="0" w:color="auto"/>
        <w:right w:val="none" w:sz="0" w:space="0" w:color="auto"/>
      </w:divBdr>
    </w:div>
    <w:div w:id="329716932">
      <w:bodyDiv w:val="1"/>
      <w:marLeft w:val="0"/>
      <w:marRight w:val="0"/>
      <w:marTop w:val="0"/>
      <w:marBottom w:val="0"/>
      <w:divBdr>
        <w:top w:val="none" w:sz="0" w:space="0" w:color="auto"/>
        <w:left w:val="none" w:sz="0" w:space="0" w:color="auto"/>
        <w:bottom w:val="none" w:sz="0" w:space="0" w:color="auto"/>
        <w:right w:val="none" w:sz="0" w:space="0" w:color="auto"/>
      </w:divBdr>
    </w:div>
    <w:div w:id="329866485">
      <w:bodyDiv w:val="1"/>
      <w:marLeft w:val="0"/>
      <w:marRight w:val="0"/>
      <w:marTop w:val="0"/>
      <w:marBottom w:val="0"/>
      <w:divBdr>
        <w:top w:val="none" w:sz="0" w:space="0" w:color="auto"/>
        <w:left w:val="none" w:sz="0" w:space="0" w:color="auto"/>
        <w:bottom w:val="none" w:sz="0" w:space="0" w:color="auto"/>
        <w:right w:val="none" w:sz="0" w:space="0" w:color="auto"/>
      </w:divBdr>
    </w:div>
    <w:div w:id="329868014">
      <w:bodyDiv w:val="1"/>
      <w:marLeft w:val="0"/>
      <w:marRight w:val="0"/>
      <w:marTop w:val="0"/>
      <w:marBottom w:val="0"/>
      <w:divBdr>
        <w:top w:val="none" w:sz="0" w:space="0" w:color="auto"/>
        <w:left w:val="none" w:sz="0" w:space="0" w:color="auto"/>
        <w:bottom w:val="none" w:sz="0" w:space="0" w:color="auto"/>
        <w:right w:val="none" w:sz="0" w:space="0" w:color="auto"/>
      </w:divBdr>
    </w:div>
    <w:div w:id="329869964">
      <w:bodyDiv w:val="1"/>
      <w:marLeft w:val="0"/>
      <w:marRight w:val="0"/>
      <w:marTop w:val="0"/>
      <w:marBottom w:val="0"/>
      <w:divBdr>
        <w:top w:val="none" w:sz="0" w:space="0" w:color="auto"/>
        <w:left w:val="none" w:sz="0" w:space="0" w:color="auto"/>
        <w:bottom w:val="none" w:sz="0" w:space="0" w:color="auto"/>
        <w:right w:val="none" w:sz="0" w:space="0" w:color="auto"/>
      </w:divBdr>
    </w:div>
    <w:div w:id="329985902">
      <w:bodyDiv w:val="1"/>
      <w:marLeft w:val="0"/>
      <w:marRight w:val="0"/>
      <w:marTop w:val="0"/>
      <w:marBottom w:val="0"/>
      <w:divBdr>
        <w:top w:val="none" w:sz="0" w:space="0" w:color="auto"/>
        <w:left w:val="none" w:sz="0" w:space="0" w:color="auto"/>
        <w:bottom w:val="none" w:sz="0" w:space="0" w:color="auto"/>
        <w:right w:val="none" w:sz="0" w:space="0" w:color="auto"/>
      </w:divBdr>
    </w:div>
    <w:div w:id="329991712">
      <w:bodyDiv w:val="1"/>
      <w:marLeft w:val="0"/>
      <w:marRight w:val="0"/>
      <w:marTop w:val="0"/>
      <w:marBottom w:val="0"/>
      <w:divBdr>
        <w:top w:val="none" w:sz="0" w:space="0" w:color="auto"/>
        <w:left w:val="none" w:sz="0" w:space="0" w:color="auto"/>
        <w:bottom w:val="none" w:sz="0" w:space="0" w:color="auto"/>
        <w:right w:val="none" w:sz="0" w:space="0" w:color="auto"/>
      </w:divBdr>
    </w:div>
    <w:div w:id="329993154">
      <w:bodyDiv w:val="1"/>
      <w:marLeft w:val="0"/>
      <w:marRight w:val="0"/>
      <w:marTop w:val="0"/>
      <w:marBottom w:val="0"/>
      <w:divBdr>
        <w:top w:val="none" w:sz="0" w:space="0" w:color="auto"/>
        <w:left w:val="none" w:sz="0" w:space="0" w:color="auto"/>
        <w:bottom w:val="none" w:sz="0" w:space="0" w:color="auto"/>
        <w:right w:val="none" w:sz="0" w:space="0" w:color="auto"/>
      </w:divBdr>
    </w:div>
    <w:div w:id="330060409">
      <w:bodyDiv w:val="1"/>
      <w:marLeft w:val="0"/>
      <w:marRight w:val="0"/>
      <w:marTop w:val="0"/>
      <w:marBottom w:val="0"/>
      <w:divBdr>
        <w:top w:val="none" w:sz="0" w:space="0" w:color="auto"/>
        <w:left w:val="none" w:sz="0" w:space="0" w:color="auto"/>
        <w:bottom w:val="none" w:sz="0" w:space="0" w:color="auto"/>
        <w:right w:val="none" w:sz="0" w:space="0" w:color="auto"/>
      </w:divBdr>
    </w:div>
    <w:div w:id="330068026">
      <w:bodyDiv w:val="1"/>
      <w:marLeft w:val="0"/>
      <w:marRight w:val="0"/>
      <w:marTop w:val="0"/>
      <w:marBottom w:val="0"/>
      <w:divBdr>
        <w:top w:val="none" w:sz="0" w:space="0" w:color="auto"/>
        <w:left w:val="none" w:sz="0" w:space="0" w:color="auto"/>
        <w:bottom w:val="none" w:sz="0" w:space="0" w:color="auto"/>
        <w:right w:val="none" w:sz="0" w:space="0" w:color="auto"/>
      </w:divBdr>
    </w:div>
    <w:div w:id="330135936">
      <w:bodyDiv w:val="1"/>
      <w:marLeft w:val="0"/>
      <w:marRight w:val="0"/>
      <w:marTop w:val="0"/>
      <w:marBottom w:val="0"/>
      <w:divBdr>
        <w:top w:val="none" w:sz="0" w:space="0" w:color="auto"/>
        <w:left w:val="none" w:sz="0" w:space="0" w:color="auto"/>
        <w:bottom w:val="none" w:sz="0" w:space="0" w:color="auto"/>
        <w:right w:val="none" w:sz="0" w:space="0" w:color="auto"/>
      </w:divBdr>
    </w:div>
    <w:div w:id="330253746">
      <w:bodyDiv w:val="1"/>
      <w:marLeft w:val="0"/>
      <w:marRight w:val="0"/>
      <w:marTop w:val="0"/>
      <w:marBottom w:val="0"/>
      <w:divBdr>
        <w:top w:val="none" w:sz="0" w:space="0" w:color="auto"/>
        <w:left w:val="none" w:sz="0" w:space="0" w:color="auto"/>
        <w:bottom w:val="none" w:sz="0" w:space="0" w:color="auto"/>
        <w:right w:val="none" w:sz="0" w:space="0" w:color="auto"/>
      </w:divBdr>
    </w:div>
    <w:div w:id="330260844">
      <w:bodyDiv w:val="1"/>
      <w:marLeft w:val="0"/>
      <w:marRight w:val="0"/>
      <w:marTop w:val="0"/>
      <w:marBottom w:val="0"/>
      <w:divBdr>
        <w:top w:val="none" w:sz="0" w:space="0" w:color="auto"/>
        <w:left w:val="none" w:sz="0" w:space="0" w:color="auto"/>
        <w:bottom w:val="none" w:sz="0" w:space="0" w:color="auto"/>
        <w:right w:val="none" w:sz="0" w:space="0" w:color="auto"/>
      </w:divBdr>
    </w:div>
    <w:div w:id="330261918">
      <w:bodyDiv w:val="1"/>
      <w:marLeft w:val="0"/>
      <w:marRight w:val="0"/>
      <w:marTop w:val="0"/>
      <w:marBottom w:val="0"/>
      <w:divBdr>
        <w:top w:val="none" w:sz="0" w:space="0" w:color="auto"/>
        <w:left w:val="none" w:sz="0" w:space="0" w:color="auto"/>
        <w:bottom w:val="none" w:sz="0" w:space="0" w:color="auto"/>
        <w:right w:val="none" w:sz="0" w:space="0" w:color="auto"/>
      </w:divBdr>
    </w:div>
    <w:div w:id="330454511">
      <w:bodyDiv w:val="1"/>
      <w:marLeft w:val="0"/>
      <w:marRight w:val="0"/>
      <w:marTop w:val="0"/>
      <w:marBottom w:val="0"/>
      <w:divBdr>
        <w:top w:val="none" w:sz="0" w:space="0" w:color="auto"/>
        <w:left w:val="none" w:sz="0" w:space="0" w:color="auto"/>
        <w:bottom w:val="none" w:sz="0" w:space="0" w:color="auto"/>
        <w:right w:val="none" w:sz="0" w:space="0" w:color="auto"/>
      </w:divBdr>
    </w:div>
    <w:div w:id="330570825">
      <w:bodyDiv w:val="1"/>
      <w:marLeft w:val="0"/>
      <w:marRight w:val="0"/>
      <w:marTop w:val="0"/>
      <w:marBottom w:val="0"/>
      <w:divBdr>
        <w:top w:val="none" w:sz="0" w:space="0" w:color="auto"/>
        <w:left w:val="none" w:sz="0" w:space="0" w:color="auto"/>
        <w:bottom w:val="none" w:sz="0" w:space="0" w:color="auto"/>
        <w:right w:val="none" w:sz="0" w:space="0" w:color="auto"/>
      </w:divBdr>
    </w:div>
    <w:div w:id="330642936">
      <w:bodyDiv w:val="1"/>
      <w:marLeft w:val="0"/>
      <w:marRight w:val="0"/>
      <w:marTop w:val="0"/>
      <w:marBottom w:val="0"/>
      <w:divBdr>
        <w:top w:val="none" w:sz="0" w:space="0" w:color="auto"/>
        <w:left w:val="none" w:sz="0" w:space="0" w:color="auto"/>
        <w:bottom w:val="none" w:sz="0" w:space="0" w:color="auto"/>
        <w:right w:val="none" w:sz="0" w:space="0" w:color="auto"/>
      </w:divBdr>
    </w:div>
    <w:div w:id="330910965">
      <w:bodyDiv w:val="1"/>
      <w:marLeft w:val="0"/>
      <w:marRight w:val="0"/>
      <w:marTop w:val="0"/>
      <w:marBottom w:val="0"/>
      <w:divBdr>
        <w:top w:val="none" w:sz="0" w:space="0" w:color="auto"/>
        <w:left w:val="none" w:sz="0" w:space="0" w:color="auto"/>
        <w:bottom w:val="none" w:sz="0" w:space="0" w:color="auto"/>
        <w:right w:val="none" w:sz="0" w:space="0" w:color="auto"/>
      </w:divBdr>
    </w:div>
    <w:div w:id="330917653">
      <w:bodyDiv w:val="1"/>
      <w:marLeft w:val="0"/>
      <w:marRight w:val="0"/>
      <w:marTop w:val="0"/>
      <w:marBottom w:val="0"/>
      <w:divBdr>
        <w:top w:val="none" w:sz="0" w:space="0" w:color="auto"/>
        <w:left w:val="none" w:sz="0" w:space="0" w:color="auto"/>
        <w:bottom w:val="none" w:sz="0" w:space="0" w:color="auto"/>
        <w:right w:val="none" w:sz="0" w:space="0" w:color="auto"/>
      </w:divBdr>
    </w:div>
    <w:div w:id="330984918">
      <w:bodyDiv w:val="1"/>
      <w:marLeft w:val="0"/>
      <w:marRight w:val="0"/>
      <w:marTop w:val="0"/>
      <w:marBottom w:val="0"/>
      <w:divBdr>
        <w:top w:val="none" w:sz="0" w:space="0" w:color="auto"/>
        <w:left w:val="none" w:sz="0" w:space="0" w:color="auto"/>
        <w:bottom w:val="none" w:sz="0" w:space="0" w:color="auto"/>
        <w:right w:val="none" w:sz="0" w:space="0" w:color="auto"/>
      </w:divBdr>
    </w:div>
    <w:div w:id="330985623">
      <w:bodyDiv w:val="1"/>
      <w:marLeft w:val="0"/>
      <w:marRight w:val="0"/>
      <w:marTop w:val="0"/>
      <w:marBottom w:val="0"/>
      <w:divBdr>
        <w:top w:val="none" w:sz="0" w:space="0" w:color="auto"/>
        <w:left w:val="none" w:sz="0" w:space="0" w:color="auto"/>
        <w:bottom w:val="none" w:sz="0" w:space="0" w:color="auto"/>
        <w:right w:val="none" w:sz="0" w:space="0" w:color="auto"/>
      </w:divBdr>
    </w:div>
    <w:div w:id="331035594">
      <w:bodyDiv w:val="1"/>
      <w:marLeft w:val="0"/>
      <w:marRight w:val="0"/>
      <w:marTop w:val="0"/>
      <w:marBottom w:val="0"/>
      <w:divBdr>
        <w:top w:val="none" w:sz="0" w:space="0" w:color="auto"/>
        <w:left w:val="none" w:sz="0" w:space="0" w:color="auto"/>
        <w:bottom w:val="none" w:sz="0" w:space="0" w:color="auto"/>
        <w:right w:val="none" w:sz="0" w:space="0" w:color="auto"/>
      </w:divBdr>
    </w:div>
    <w:div w:id="331180758">
      <w:bodyDiv w:val="1"/>
      <w:marLeft w:val="0"/>
      <w:marRight w:val="0"/>
      <w:marTop w:val="0"/>
      <w:marBottom w:val="0"/>
      <w:divBdr>
        <w:top w:val="none" w:sz="0" w:space="0" w:color="auto"/>
        <w:left w:val="none" w:sz="0" w:space="0" w:color="auto"/>
        <w:bottom w:val="none" w:sz="0" w:space="0" w:color="auto"/>
        <w:right w:val="none" w:sz="0" w:space="0" w:color="auto"/>
      </w:divBdr>
    </w:div>
    <w:div w:id="331225100">
      <w:bodyDiv w:val="1"/>
      <w:marLeft w:val="0"/>
      <w:marRight w:val="0"/>
      <w:marTop w:val="0"/>
      <w:marBottom w:val="0"/>
      <w:divBdr>
        <w:top w:val="none" w:sz="0" w:space="0" w:color="auto"/>
        <w:left w:val="none" w:sz="0" w:space="0" w:color="auto"/>
        <w:bottom w:val="none" w:sz="0" w:space="0" w:color="auto"/>
        <w:right w:val="none" w:sz="0" w:space="0" w:color="auto"/>
      </w:divBdr>
    </w:div>
    <w:div w:id="331227570">
      <w:bodyDiv w:val="1"/>
      <w:marLeft w:val="0"/>
      <w:marRight w:val="0"/>
      <w:marTop w:val="0"/>
      <w:marBottom w:val="0"/>
      <w:divBdr>
        <w:top w:val="none" w:sz="0" w:space="0" w:color="auto"/>
        <w:left w:val="none" w:sz="0" w:space="0" w:color="auto"/>
        <w:bottom w:val="none" w:sz="0" w:space="0" w:color="auto"/>
        <w:right w:val="none" w:sz="0" w:space="0" w:color="auto"/>
      </w:divBdr>
    </w:div>
    <w:div w:id="331299001">
      <w:bodyDiv w:val="1"/>
      <w:marLeft w:val="0"/>
      <w:marRight w:val="0"/>
      <w:marTop w:val="0"/>
      <w:marBottom w:val="0"/>
      <w:divBdr>
        <w:top w:val="none" w:sz="0" w:space="0" w:color="auto"/>
        <w:left w:val="none" w:sz="0" w:space="0" w:color="auto"/>
        <w:bottom w:val="none" w:sz="0" w:space="0" w:color="auto"/>
        <w:right w:val="none" w:sz="0" w:space="0" w:color="auto"/>
      </w:divBdr>
    </w:div>
    <w:div w:id="331372701">
      <w:bodyDiv w:val="1"/>
      <w:marLeft w:val="0"/>
      <w:marRight w:val="0"/>
      <w:marTop w:val="0"/>
      <w:marBottom w:val="0"/>
      <w:divBdr>
        <w:top w:val="none" w:sz="0" w:space="0" w:color="auto"/>
        <w:left w:val="none" w:sz="0" w:space="0" w:color="auto"/>
        <w:bottom w:val="none" w:sz="0" w:space="0" w:color="auto"/>
        <w:right w:val="none" w:sz="0" w:space="0" w:color="auto"/>
      </w:divBdr>
    </w:div>
    <w:div w:id="331445661">
      <w:bodyDiv w:val="1"/>
      <w:marLeft w:val="0"/>
      <w:marRight w:val="0"/>
      <w:marTop w:val="0"/>
      <w:marBottom w:val="0"/>
      <w:divBdr>
        <w:top w:val="none" w:sz="0" w:space="0" w:color="auto"/>
        <w:left w:val="none" w:sz="0" w:space="0" w:color="auto"/>
        <w:bottom w:val="none" w:sz="0" w:space="0" w:color="auto"/>
        <w:right w:val="none" w:sz="0" w:space="0" w:color="auto"/>
      </w:divBdr>
    </w:div>
    <w:div w:id="331490287">
      <w:bodyDiv w:val="1"/>
      <w:marLeft w:val="0"/>
      <w:marRight w:val="0"/>
      <w:marTop w:val="0"/>
      <w:marBottom w:val="0"/>
      <w:divBdr>
        <w:top w:val="none" w:sz="0" w:space="0" w:color="auto"/>
        <w:left w:val="none" w:sz="0" w:space="0" w:color="auto"/>
        <w:bottom w:val="none" w:sz="0" w:space="0" w:color="auto"/>
        <w:right w:val="none" w:sz="0" w:space="0" w:color="auto"/>
      </w:divBdr>
    </w:div>
    <w:div w:id="331567625">
      <w:bodyDiv w:val="1"/>
      <w:marLeft w:val="0"/>
      <w:marRight w:val="0"/>
      <w:marTop w:val="0"/>
      <w:marBottom w:val="0"/>
      <w:divBdr>
        <w:top w:val="none" w:sz="0" w:space="0" w:color="auto"/>
        <w:left w:val="none" w:sz="0" w:space="0" w:color="auto"/>
        <w:bottom w:val="none" w:sz="0" w:space="0" w:color="auto"/>
        <w:right w:val="none" w:sz="0" w:space="0" w:color="auto"/>
      </w:divBdr>
    </w:div>
    <w:div w:id="331572802">
      <w:bodyDiv w:val="1"/>
      <w:marLeft w:val="0"/>
      <w:marRight w:val="0"/>
      <w:marTop w:val="0"/>
      <w:marBottom w:val="0"/>
      <w:divBdr>
        <w:top w:val="none" w:sz="0" w:space="0" w:color="auto"/>
        <w:left w:val="none" w:sz="0" w:space="0" w:color="auto"/>
        <w:bottom w:val="none" w:sz="0" w:space="0" w:color="auto"/>
        <w:right w:val="none" w:sz="0" w:space="0" w:color="auto"/>
      </w:divBdr>
    </w:div>
    <w:div w:id="331763985">
      <w:bodyDiv w:val="1"/>
      <w:marLeft w:val="0"/>
      <w:marRight w:val="0"/>
      <w:marTop w:val="0"/>
      <w:marBottom w:val="0"/>
      <w:divBdr>
        <w:top w:val="none" w:sz="0" w:space="0" w:color="auto"/>
        <w:left w:val="none" w:sz="0" w:space="0" w:color="auto"/>
        <w:bottom w:val="none" w:sz="0" w:space="0" w:color="auto"/>
        <w:right w:val="none" w:sz="0" w:space="0" w:color="auto"/>
      </w:divBdr>
    </w:div>
    <w:div w:id="332075866">
      <w:bodyDiv w:val="1"/>
      <w:marLeft w:val="0"/>
      <w:marRight w:val="0"/>
      <w:marTop w:val="0"/>
      <w:marBottom w:val="0"/>
      <w:divBdr>
        <w:top w:val="none" w:sz="0" w:space="0" w:color="auto"/>
        <w:left w:val="none" w:sz="0" w:space="0" w:color="auto"/>
        <w:bottom w:val="none" w:sz="0" w:space="0" w:color="auto"/>
        <w:right w:val="none" w:sz="0" w:space="0" w:color="auto"/>
      </w:divBdr>
    </w:div>
    <w:div w:id="332146496">
      <w:bodyDiv w:val="1"/>
      <w:marLeft w:val="0"/>
      <w:marRight w:val="0"/>
      <w:marTop w:val="0"/>
      <w:marBottom w:val="0"/>
      <w:divBdr>
        <w:top w:val="none" w:sz="0" w:space="0" w:color="auto"/>
        <w:left w:val="none" w:sz="0" w:space="0" w:color="auto"/>
        <w:bottom w:val="none" w:sz="0" w:space="0" w:color="auto"/>
        <w:right w:val="none" w:sz="0" w:space="0" w:color="auto"/>
      </w:divBdr>
    </w:div>
    <w:div w:id="332224323">
      <w:bodyDiv w:val="1"/>
      <w:marLeft w:val="0"/>
      <w:marRight w:val="0"/>
      <w:marTop w:val="0"/>
      <w:marBottom w:val="0"/>
      <w:divBdr>
        <w:top w:val="none" w:sz="0" w:space="0" w:color="auto"/>
        <w:left w:val="none" w:sz="0" w:space="0" w:color="auto"/>
        <w:bottom w:val="none" w:sz="0" w:space="0" w:color="auto"/>
        <w:right w:val="none" w:sz="0" w:space="0" w:color="auto"/>
      </w:divBdr>
    </w:div>
    <w:div w:id="332297295">
      <w:bodyDiv w:val="1"/>
      <w:marLeft w:val="0"/>
      <w:marRight w:val="0"/>
      <w:marTop w:val="0"/>
      <w:marBottom w:val="0"/>
      <w:divBdr>
        <w:top w:val="none" w:sz="0" w:space="0" w:color="auto"/>
        <w:left w:val="none" w:sz="0" w:space="0" w:color="auto"/>
        <w:bottom w:val="none" w:sz="0" w:space="0" w:color="auto"/>
        <w:right w:val="none" w:sz="0" w:space="0" w:color="auto"/>
      </w:divBdr>
    </w:div>
    <w:div w:id="332412750">
      <w:bodyDiv w:val="1"/>
      <w:marLeft w:val="0"/>
      <w:marRight w:val="0"/>
      <w:marTop w:val="0"/>
      <w:marBottom w:val="0"/>
      <w:divBdr>
        <w:top w:val="none" w:sz="0" w:space="0" w:color="auto"/>
        <w:left w:val="none" w:sz="0" w:space="0" w:color="auto"/>
        <w:bottom w:val="none" w:sz="0" w:space="0" w:color="auto"/>
        <w:right w:val="none" w:sz="0" w:space="0" w:color="auto"/>
      </w:divBdr>
    </w:div>
    <w:div w:id="332688109">
      <w:bodyDiv w:val="1"/>
      <w:marLeft w:val="0"/>
      <w:marRight w:val="0"/>
      <w:marTop w:val="0"/>
      <w:marBottom w:val="0"/>
      <w:divBdr>
        <w:top w:val="none" w:sz="0" w:space="0" w:color="auto"/>
        <w:left w:val="none" w:sz="0" w:space="0" w:color="auto"/>
        <w:bottom w:val="none" w:sz="0" w:space="0" w:color="auto"/>
        <w:right w:val="none" w:sz="0" w:space="0" w:color="auto"/>
      </w:divBdr>
    </w:div>
    <w:div w:id="332689479">
      <w:bodyDiv w:val="1"/>
      <w:marLeft w:val="0"/>
      <w:marRight w:val="0"/>
      <w:marTop w:val="0"/>
      <w:marBottom w:val="0"/>
      <w:divBdr>
        <w:top w:val="none" w:sz="0" w:space="0" w:color="auto"/>
        <w:left w:val="none" w:sz="0" w:space="0" w:color="auto"/>
        <w:bottom w:val="none" w:sz="0" w:space="0" w:color="auto"/>
        <w:right w:val="none" w:sz="0" w:space="0" w:color="auto"/>
      </w:divBdr>
    </w:div>
    <w:div w:id="332756001">
      <w:bodyDiv w:val="1"/>
      <w:marLeft w:val="0"/>
      <w:marRight w:val="0"/>
      <w:marTop w:val="0"/>
      <w:marBottom w:val="0"/>
      <w:divBdr>
        <w:top w:val="none" w:sz="0" w:space="0" w:color="auto"/>
        <w:left w:val="none" w:sz="0" w:space="0" w:color="auto"/>
        <w:bottom w:val="none" w:sz="0" w:space="0" w:color="auto"/>
        <w:right w:val="none" w:sz="0" w:space="0" w:color="auto"/>
      </w:divBdr>
    </w:div>
    <w:div w:id="332799064">
      <w:bodyDiv w:val="1"/>
      <w:marLeft w:val="0"/>
      <w:marRight w:val="0"/>
      <w:marTop w:val="0"/>
      <w:marBottom w:val="0"/>
      <w:divBdr>
        <w:top w:val="none" w:sz="0" w:space="0" w:color="auto"/>
        <w:left w:val="none" w:sz="0" w:space="0" w:color="auto"/>
        <w:bottom w:val="none" w:sz="0" w:space="0" w:color="auto"/>
        <w:right w:val="none" w:sz="0" w:space="0" w:color="auto"/>
      </w:divBdr>
    </w:div>
    <w:div w:id="332925173">
      <w:bodyDiv w:val="1"/>
      <w:marLeft w:val="0"/>
      <w:marRight w:val="0"/>
      <w:marTop w:val="0"/>
      <w:marBottom w:val="0"/>
      <w:divBdr>
        <w:top w:val="none" w:sz="0" w:space="0" w:color="auto"/>
        <w:left w:val="none" w:sz="0" w:space="0" w:color="auto"/>
        <w:bottom w:val="none" w:sz="0" w:space="0" w:color="auto"/>
        <w:right w:val="none" w:sz="0" w:space="0" w:color="auto"/>
      </w:divBdr>
    </w:div>
    <w:div w:id="332994715">
      <w:bodyDiv w:val="1"/>
      <w:marLeft w:val="0"/>
      <w:marRight w:val="0"/>
      <w:marTop w:val="0"/>
      <w:marBottom w:val="0"/>
      <w:divBdr>
        <w:top w:val="none" w:sz="0" w:space="0" w:color="auto"/>
        <w:left w:val="none" w:sz="0" w:space="0" w:color="auto"/>
        <w:bottom w:val="none" w:sz="0" w:space="0" w:color="auto"/>
        <w:right w:val="none" w:sz="0" w:space="0" w:color="auto"/>
      </w:divBdr>
    </w:div>
    <w:div w:id="333068319">
      <w:bodyDiv w:val="1"/>
      <w:marLeft w:val="0"/>
      <w:marRight w:val="0"/>
      <w:marTop w:val="0"/>
      <w:marBottom w:val="0"/>
      <w:divBdr>
        <w:top w:val="none" w:sz="0" w:space="0" w:color="auto"/>
        <w:left w:val="none" w:sz="0" w:space="0" w:color="auto"/>
        <w:bottom w:val="none" w:sz="0" w:space="0" w:color="auto"/>
        <w:right w:val="none" w:sz="0" w:space="0" w:color="auto"/>
      </w:divBdr>
    </w:div>
    <w:div w:id="333147635">
      <w:bodyDiv w:val="1"/>
      <w:marLeft w:val="0"/>
      <w:marRight w:val="0"/>
      <w:marTop w:val="0"/>
      <w:marBottom w:val="0"/>
      <w:divBdr>
        <w:top w:val="none" w:sz="0" w:space="0" w:color="auto"/>
        <w:left w:val="none" w:sz="0" w:space="0" w:color="auto"/>
        <w:bottom w:val="none" w:sz="0" w:space="0" w:color="auto"/>
        <w:right w:val="none" w:sz="0" w:space="0" w:color="auto"/>
      </w:divBdr>
    </w:div>
    <w:div w:id="333147988">
      <w:bodyDiv w:val="1"/>
      <w:marLeft w:val="0"/>
      <w:marRight w:val="0"/>
      <w:marTop w:val="0"/>
      <w:marBottom w:val="0"/>
      <w:divBdr>
        <w:top w:val="none" w:sz="0" w:space="0" w:color="auto"/>
        <w:left w:val="none" w:sz="0" w:space="0" w:color="auto"/>
        <w:bottom w:val="none" w:sz="0" w:space="0" w:color="auto"/>
        <w:right w:val="none" w:sz="0" w:space="0" w:color="auto"/>
      </w:divBdr>
    </w:div>
    <w:div w:id="333187852">
      <w:bodyDiv w:val="1"/>
      <w:marLeft w:val="0"/>
      <w:marRight w:val="0"/>
      <w:marTop w:val="0"/>
      <w:marBottom w:val="0"/>
      <w:divBdr>
        <w:top w:val="none" w:sz="0" w:space="0" w:color="auto"/>
        <w:left w:val="none" w:sz="0" w:space="0" w:color="auto"/>
        <w:bottom w:val="none" w:sz="0" w:space="0" w:color="auto"/>
        <w:right w:val="none" w:sz="0" w:space="0" w:color="auto"/>
      </w:divBdr>
    </w:div>
    <w:div w:id="333191784">
      <w:bodyDiv w:val="1"/>
      <w:marLeft w:val="0"/>
      <w:marRight w:val="0"/>
      <w:marTop w:val="0"/>
      <w:marBottom w:val="0"/>
      <w:divBdr>
        <w:top w:val="none" w:sz="0" w:space="0" w:color="auto"/>
        <w:left w:val="none" w:sz="0" w:space="0" w:color="auto"/>
        <w:bottom w:val="none" w:sz="0" w:space="0" w:color="auto"/>
        <w:right w:val="none" w:sz="0" w:space="0" w:color="auto"/>
      </w:divBdr>
    </w:div>
    <w:div w:id="333192968">
      <w:bodyDiv w:val="1"/>
      <w:marLeft w:val="0"/>
      <w:marRight w:val="0"/>
      <w:marTop w:val="0"/>
      <w:marBottom w:val="0"/>
      <w:divBdr>
        <w:top w:val="none" w:sz="0" w:space="0" w:color="auto"/>
        <w:left w:val="none" w:sz="0" w:space="0" w:color="auto"/>
        <w:bottom w:val="none" w:sz="0" w:space="0" w:color="auto"/>
        <w:right w:val="none" w:sz="0" w:space="0" w:color="auto"/>
      </w:divBdr>
    </w:div>
    <w:div w:id="333261415">
      <w:bodyDiv w:val="1"/>
      <w:marLeft w:val="0"/>
      <w:marRight w:val="0"/>
      <w:marTop w:val="0"/>
      <w:marBottom w:val="0"/>
      <w:divBdr>
        <w:top w:val="none" w:sz="0" w:space="0" w:color="auto"/>
        <w:left w:val="none" w:sz="0" w:space="0" w:color="auto"/>
        <w:bottom w:val="none" w:sz="0" w:space="0" w:color="auto"/>
        <w:right w:val="none" w:sz="0" w:space="0" w:color="auto"/>
      </w:divBdr>
    </w:div>
    <w:div w:id="333336158">
      <w:bodyDiv w:val="1"/>
      <w:marLeft w:val="0"/>
      <w:marRight w:val="0"/>
      <w:marTop w:val="0"/>
      <w:marBottom w:val="0"/>
      <w:divBdr>
        <w:top w:val="none" w:sz="0" w:space="0" w:color="auto"/>
        <w:left w:val="none" w:sz="0" w:space="0" w:color="auto"/>
        <w:bottom w:val="none" w:sz="0" w:space="0" w:color="auto"/>
        <w:right w:val="none" w:sz="0" w:space="0" w:color="auto"/>
      </w:divBdr>
    </w:div>
    <w:div w:id="333344730">
      <w:bodyDiv w:val="1"/>
      <w:marLeft w:val="0"/>
      <w:marRight w:val="0"/>
      <w:marTop w:val="0"/>
      <w:marBottom w:val="0"/>
      <w:divBdr>
        <w:top w:val="none" w:sz="0" w:space="0" w:color="auto"/>
        <w:left w:val="none" w:sz="0" w:space="0" w:color="auto"/>
        <w:bottom w:val="none" w:sz="0" w:space="0" w:color="auto"/>
        <w:right w:val="none" w:sz="0" w:space="0" w:color="auto"/>
      </w:divBdr>
    </w:div>
    <w:div w:id="333458182">
      <w:bodyDiv w:val="1"/>
      <w:marLeft w:val="0"/>
      <w:marRight w:val="0"/>
      <w:marTop w:val="0"/>
      <w:marBottom w:val="0"/>
      <w:divBdr>
        <w:top w:val="none" w:sz="0" w:space="0" w:color="auto"/>
        <w:left w:val="none" w:sz="0" w:space="0" w:color="auto"/>
        <w:bottom w:val="none" w:sz="0" w:space="0" w:color="auto"/>
        <w:right w:val="none" w:sz="0" w:space="0" w:color="auto"/>
      </w:divBdr>
    </w:div>
    <w:div w:id="333807032">
      <w:bodyDiv w:val="1"/>
      <w:marLeft w:val="0"/>
      <w:marRight w:val="0"/>
      <w:marTop w:val="0"/>
      <w:marBottom w:val="0"/>
      <w:divBdr>
        <w:top w:val="none" w:sz="0" w:space="0" w:color="auto"/>
        <w:left w:val="none" w:sz="0" w:space="0" w:color="auto"/>
        <w:bottom w:val="none" w:sz="0" w:space="0" w:color="auto"/>
        <w:right w:val="none" w:sz="0" w:space="0" w:color="auto"/>
      </w:divBdr>
    </w:div>
    <w:div w:id="333996264">
      <w:bodyDiv w:val="1"/>
      <w:marLeft w:val="0"/>
      <w:marRight w:val="0"/>
      <w:marTop w:val="0"/>
      <w:marBottom w:val="0"/>
      <w:divBdr>
        <w:top w:val="none" w:sz="0" w:space="0" w:color="auto"/>
        <w:left w:val="none" w:sz="0" w:space="0" w:color="auto"/>
        <w:bottom w:val="none" w:sz="0" w:space="0" w:color="auto"/>
        <w:right w:val="none" w:sz="0" w:space="0" w:color="auto"/>
      </w:divBdr>
    </w:div>
    <w:div w:id="333998875">
      <w:bodyDiv w:val="1"/>
      <w:marLeft w:val="0"/>
      <w:marRight w:val="0"/>
      <w:marTop w:val="0"/>
      <w:marBottom w:val="0"/>
      <w:divBdr>
        <w:top w:val="none" w:sz="0" w:space="0" w:color="auto"/>
        <w:left w:val="none" w:sz="0" w:space="0" w:color="auto"/>
        <w:bottom w:val="none" w:sz="0" w:space="0" w:color="auto"/>
        <w:right w:val="none" w:sz="0" w:space="0" w:color="auto"/>
      </w:divBdr>
    </w:div>
    <w:div w:id="334184466">
      <w:bodyDiv w:val="1"/>
      <w:marLeft w:val="0"/>
      <w:marRight w:val="0"/>
      <w:marTop w:val="0"/>
      <w:marBottom w:val="0"/>
      <w:divBdr>
        <w:top w:val="none" w:sz="0" w:space="0" w:color="auto"/>
        <w:left w:val="none" w:sz="0" w:space="0" w:color="auto"/>
        <w:bottom w:val="none" w:sz="0" w:space="0" w:color="auto"/>
        <w:right w:val="none" w:sz="0" w:space="0" w:color="auto"/>
      </w:divBdr>
    </w:div>
    <w:div w:id="334185186">
      <w:bodyDiv w:val="1"/>
      <w:marLeft w:val="0"/>
      <w:marRight w:val="0"/>
      <w:marTop w:val="0"/>
      <w:marBottom w:val="0"/>
      <w:divBdr>
        <w:top w:val="none" w:sz="0" w:space="0" w:color="auto"/>
        <w:left w:val="none" w:sz="0" w:space="0" w:color="auto"/>
        <w:bottom w:val="none" w:sz="0" w:space="0" w:color="auto"/>
        <w:right w:val="none" w:sz="0" w:space="0" w:color="auto"/>
      </w:divBdr>
    </w:div>
    <w:div w:id="334187086">
      <w:bodyDiv w:val="1"/>
      <w:marLeft w:val="0"/>
      <w:marRight w:val="0"/>
      <w:marTop w:val="0"/>
      <w:marBottom w:val="0"/>
      <w:divBdr>
        <w:top w:val="none" w:sz="0" w:space="0" w:color="auto"/>
        <w:left w:val="none" w:sz="0" w:space="0" w:color="auto"/>
        <w:bottom w:val="none" w:sz="0" w:space="0" w:color="auto"/>
        <w:right w:val="none" w:sz="0" w:space="0" w:color="auto"/>
      </w:divBdr>
    </w:div>
    <w:div w:id="334187191">
      <w:bodyDiv w:val="1"/>
      <w:marLeft w:val="0"/>
      <w:marRight w:val="0"/>
      <w:marTop w:val="0"/>
      <w:marBottom w:val="0"/>
      <w:divBdr>
        <w:top w:val="none" w:sz="0" w:space="0" w:color="auto"/>
        <w:left w:val="none" w:sz="0" w:space="0" w:color="auto"/>
        <w:bottom w:val="none" w:sz="0" w:space="0" w:color="auto"/>
        <w:right w:val="none" w:sz="0" w:space="0" w:color="auto"/>
      </w:divBdr>
    </w:div>
    <w:div w:id="334262848">
      <w:bodyDiv w:val="1"/>
      <w:marLeft w:val="0"/>
      <w:marRight w:val="0"/>
      <w:marTop w:val="0"/>
      <w:marBottom w:val="0"/>
      <w:divBdr>
        <w:top w:val="none" w:sz="0" w:space="0" w:color="auto"/>
        <w:left w:val="none" w:sz="0" w:space="0" w:color="auto"/>
        <w:bottom w:val="none" w:sz="0" w:space="0" w:color="auto"/>
        <w:right w:val="none" w:sz="0" w:space="0" w:color="auto"/>
      </w:divBdr>
    </w:div>
    <w:div w:id="334304710">
      <w:bodyDiv w:val="1"/>
      <w:marLeft w:val="0"/>
      <w:marRight w:val="0"/>
      <w:marTop w:val="0"/>
      <w:marBottom w:val="0"/>
      <w:divBdr>
        <w:top w:val="none" w:sz="0" w:space="0" w:color="auto"/>
        <w:left w:val="none" w:sz="0" w:space="0" w:color="auto"/>
        <w:bottom w:val="none" w:sz="0" w:space="0" w:color="auto"/>
        <w:right w:val="none" w:sz="0" w:space="0" w:color="auto"/>
      </w:divBdr>
    </w:div>
    <w:div w:id="334457796">
      <w:bodyDiv w:val="1"/>
      <w:marLeft w:val="0"/>
      <w:marRight w:val="0"/>
      <w:marTop w:val="0"/>
      <w:marBottom w:val="0"/>
      <w:divBdr>
        <w:top w:val="none" w:sz="0" w:space="0" w:color="auto"/>
        <w:left w:val="none" w:sz="0" w:space="0" w:color="auto"/>
        <w:bottom w:val="none" w:sz="0" w:space="0" w:color="auto"/>
        <w:right w:val="none" w:sz="0" w:space="0" w:color="auto"/>
      </w:divBdr>
    </w:div>
    <w:div w:id="334462455">
      <w:bodyDiv w:val="1"/>
      <w:marLeft w:val="0"/>
      <w:marRight w:val="0"/>
      <w:marTop w:val="0"/>
      <w:marBottom w:val="0"/>
      <w:divBdr>
        <w:top w:val="none" w:sz="0" w:space="0" w:color="auto"/>
        <w:left w:val="none" w:sz="0" w:space="0" w:color="auto"/>
        <w:bottom w:val="none" w:sz="0" w:space="0" w:color="auto"/>
        <w:right w:val="none" w:sz="0" w:space="0" w:color="auto"/>
      </w:divBdr>
    </w:div>
    <w:div w:id="334501017">
      <w:bodyDiv w:val="1"/>
      <w:marLeft w:val="0"/>
      <w:marRight w:val="0"/>
      <w:marTop w:val="0"/>
      <w:marBottom w:val="0"/>
      <w:divBdr>
        <w:top w:val="none" w:sz="0" w:space="0" w:color="auto"/>
        <w:left w:val="none" w:sz="0" w:space="0" w:color="auto"/>
        <w:bottom w:val="none" w:sz="0" w:space="0" w:color="auto"/>
        <w:right w:val="none" w:sz="0" w:space="0" w:color="auto"/>
      </w:divBdr>
    </w:div>
    <w:div w:id="334501992">
      <w:bodyDiv w:val="1"/>
      <w:marLeft w:val="0"/>
      <w:marRight w:val="0"/>
      <w:marTop w:val="0"/>
      <w:marBottom w:val="0"/>
      <w:divBdr>
        <w:top w:val="none" w:sz="0" w:space="0" w:color="auto"/>
        <w:left w:val="none" w:sz="0" w:space="0" w:color="auto"/>
        <w:bottom w:val="none" w:sz="0" w:space="0" w:color="auto"/>
        <w:right w:val="none" w:sz="0" w:space="0" w:color="auto"/>
      </w:divBdr>
    </w:div>
    <w:div w:id="334647856">
      <w:bodyDiv w:val="1"/>
      <w:marLeft w:val="0"/>
      <w:marRight w:val="0"/>
      <w:marTop w:val="0"/>
      <w:marBottom w:val="0"/>
      <w:divBdr>
        <w:top w:val="none" w:sz="0" w:space="0" w:color="auto"/>
        <w:left w:val="none" w:sz="0" w:space="0" w:color="auto"/>
        <w:bottom w:val="none" w:sz="0" w:space="0" w:color="auto"/>
        <w:right w:val="none" w:sz="0" w:space="0" w:color="auto"/>
      </w:divBdr>
    </w:div>
    <w:div w:id="334842674">
      <w:bodyDiv w:val="1"/>
      <w:marLeft w:val="0"/>
      <w:marRight w:val="0"/>
      <w:marTop w:val="0"/>
      <w:marBottom w:val="0"/>
      <w:divBdr>
        <w:top w:val="none" w:sz="0" w:space="0" w:color="auto"/>
        <w:left w:val="none" w:sz="0" w:space="0" w:color="auto"/>
        <w:bottom w:val="none" w:sz="0" w:space="0" w:color="auto"/>
        <w:right w:val="none" w:sz="0" w:space="0" w:color="auto"/>
      </w:divBdr>
    </w:div>
    <w:div w:id="335113058">
      <w:bodyDiv w:val="1"/>
      <w:marLeft w:val="0"/>
      <w:marRight w:val="0"/>
      <w:marTop w:val="0"/>
      <w:marBottom w:val="0"/>
      <w:divBdr>
        <w:top w:val="none" w:sz="0" w:space="0" w:color="auto"/>
        <w:left w:val="none" w:sz="0" w:space="0" w:color="auto"/>
        <w:bottom w:val="none" w:sz="0" w:space="0" w:color="auto"/>
        <w:right w:val="none" w:sz="0" w:space="0" w:color="auto"/>
      </w:divBdr>
    </w:div>
    <w:div w:id="335117838">
      <w:bodyDiv w:val="1"/>
      <w:marLeft w:val="0"/>
      <w:marRight w:val="0"/>
      <w:marTop w:val="0"/>
      <w:marBottom w:val="0"/>
      <w:divBdr>
        <w:top w:val="none" w:sz="0" w:space="0" w:color="auto"/>
        <w:left w:val="none" w:sz="0" w:space="0" w:color="auto"/>
        <w:bottom w:val="none" w:sz="0" w:space="0" w:color="auto"/>
        <w:right w:val="none" w:sz="0" w:space="0" w:color="auto"/>
      </w:divBdr>
    </w:div>
    <w:div w:id="335154472">
      <w:bodyDiv w:val="1"/>
      <w:marLeft w:val="0"/>
      <w:marRight w:val="0"/>
      <w:marTop w:val="0"/>
      <w:marBottom w:val="0"/>
      <w:divBdr>
        <w:top w:val="none" w:sz="0" w:space="0" w:color="auto"/>
        <w:left w:val="none" w:sz="0" w:space="0" w:color="auto"/>
        <w:bottom w:val="none" w:sz="0" w:space="0" w:color="auto"/>
        <w:right w:val="none" w:sz="0" w:space="0" w:color="auto"/>
      </w:divBdr>
    </w:div>
    <w:div w:id="335352074">
      <w:bodyDiv w:val="1"/>
      <w:marLeft w:val="0"/>
      <w:marRight w:val="0"/>
      <w:marTop w:val="0"/>
      <w:marBottom w:val="0"/>
      <w:divBdr>
        <w:top w:val="none" w:sz="0" w:space="0" w:color="auto"/>
        <w:left w:val="none" w:sz="0" w:space="0" w:color="auto"/>
        <w:bottom w:val="none" w:sz="0" w:space="0" w:color="auto"/>
        <w:right w:val="none" w:sz="0" w:space="0" w:color="auto"/>
      </w:divBdr>
    </w:div>
    <w:div w:id="335423357">
      <w:bodyDiv w:val="1"/>
      <w:marLeft w:val="0"/>
      <w:marRight w:val="0"/>
      <w:marTop w:val="0"/>
      <w:marBottom w:val="0"/>
      <w:divBdr>
        <w:top w:val="none" w:sz="0" w:space="0" w:color="auto"/>
        <w:left w:val="none" w:sz="0" w:space="0" w:color="auto"/>
        <w:bottom w:val="none" w:sz="0" w:space="0" w:color="auto"/>
        <w:right w:val="none" w:sz="0" w:space="0" w:color="auto"/>
      </w:divBdr>
    </w:div>
    <w:div w:id="335499425">
      <w:bodyDiv w:val="1"/>
      <w:marLeft w:val="0"/>
      <w:marRight w:val="0"/>
      <w:marTop w:val="0"/>
      <w:marBottom w:val="0"/>
      <w:divBdr>
        <w:top w:val="none" w:sz="0" w:space="0" w:color="auto"/>
        <w:left w:val="none" w:sz="0" w:space="0" w:color="auto"/>
        <w:bottom w:val="none" w:sz="0" w:space="0" w:color="auto"/>
        <w:right w:val="none" w:sz="0" w:space="0" w:color="auto"/>
      </w:divBdr>
    </w:div>
    <w:div w:id="335813447">
      <w:bodyDiv w:val="1"/>
      <w:marLeft w:val="0"/>
      <w:marRight w:val="0"/>
      <w:marTop w:val="0"/>
      <w:marBottom w:val="0"/>
      <w:divBdr>
        <w:top w:val="none" w:sz="0" w:space="0" w:color="auto"/>
        <w:left w:val="none" w:sz="0" w:space="0" w:color="auto"/>
        <w:bottom w:val="none" w:sz="0" w:space="0" w:color="auto"/>
        <w:right w:val="none" w:sz="0" w:space="0" w:color="auto"/>
      </w:divBdr>
    </w:div>
    <w:div w:id="335815604">
      <w:bodyDiv w:val="1"/>
      <w:marLeft w:val="0"/>
      <w:marRight w:val="0"/>
      <w:marTop w:val="0"/>
      <w:marBottom w:val="0"/>
      <w:divBdr>
        <w:top w:val="none" w:sz="0" w:space="0" w:color="auto"/>
        <w:left w:val="none" w:sz="0" w:space="0" w:color="auto"/>
        <w:bottom w:val="none" w:sz="0" w:space="0" w:color="auto"/>
        <w:right w:val="none" w:sz="0" w:space="0" w:color="auto"/>
      </w:divBdr>
    </w:div>
    <w:div w:id="335886854">
      <w:bodyDiv w:val="1"/>
      <w:marLeft w:val="0"/>
      <w:marRight w:val="0"/>
      <w:marTop w:val="0"/>
      <w:marBottom w:val="0"/>
      <w:divBdr>
        <w:top w:val="none" w:sz="0" w:space="0" w:color="auto"/>
        <w:left w:val="none" w:sz="0" w:space="0" w:color="auto"/>
        <w:bottom w:val="none" w:sz="0" w:space="0" w:color="auto"/>
        <w:right w:val="none" w:sz="0" w:space="0" w:color="auto"/>
      </w:divBdr>
    </w:div>
    <w:div w:id="336004865">
      <w:bodyDiv w:val="1"/>
      <w:marLeft w:val="0"/>
      <w:marRight w:val="0"/>
      <w:marTop w:val="0"/>
      <w:marBottom w:val="0"/>
      <w:divBdr>
        <w:top w:val="none" w:sz="0" w:space="0" w:color="auto"/>
        <w:left w:val="none" w:sz="0" w:space="0" w:color="auto"/>
        <w:bottom w:val="none" w:sz="0" w:space="0" w:color="auto"/>
        <w:right w:val="none" w:sz="0" w:space="0" w:color="auto"/>
      </w:divBdr>
    </w:div>
    <w:div w:id="336156829">
      <w:bodyDiv w:val="1"/>
      <w:marLeft w:val="0"/>
      <w:marRight w:val="0"/>
      <w:marTop w:val="0"/>
      <w:marBottom w:val="0"/>
      <w:divBdr>
        <w:top w:val="none" w:sz="0" w:space="0" w:color="auto"/>
        <w:left w:val="none" w:sz="0" w:space="0" w:color="auto"/>
        <w:bottom w:val="none" w:sz="0" w:space="0" w:color="auto"/>
        <w:right w:val="none" w:sz="0" w:space="0" w:color="auto"/>
      </w:divBdr>
    </w:div>
    <w:div w:id="336268302">
      <w:bodyDiv w:val="1"/>
      <w:marLeft w:val="0"/>
      <w:marRight w:val="0"/>
      <w:marTop w:val="0"/>
      <w:marBottom w:val="0"/>
      <w:divBdr>
        <w:top w:val="none" w:sz="0" w:space="0" w:color="auto"/>
        <w:left w:val="none" w:sz="0" w:space="0" w:color="auto"/>
        <w:bottom w:val="none" w:sz="0" w:space="0" w:color="auto"/>
        <w:right w:val="none" w:sz="0" w:space="0" w:color="auto"/>
      </w:divBdr>
    </w:div>
    <w:div w:id="336274921">
      <w:bodyDiv w:val="1"/>
      <w:marLeft w:val="0"/>
      <w:marRight w:val="0"/>
      <w:marTop w:val="0"/>
      <w:marBottom w:val="0"/>
      <w:divBdr>
        <w:top w:val="none" w:sz="0" w:space="0" w:color="auto"/>
        <w:left w:val="none" w:sz="0" w:space="0" w:color="auto"/>
        <w:bottom w:val="none" w:sz="0" w:space="0" w:color="auto"/>
        <w:right w:val="none" w:sz="0" w:space="0" w:color="auto"/>
      </w:divBdr>
    </w:div>
    <w:div w:id="336348337">
      <w:bodyDiv w:val="1"/>
      <w:marLeft w:val="0"/>
      <w:marRight w:val="0"/>
      <w:marTop w:val="0"/>
      <w:marBottom w:val="0"/>
      <w:divBdr>
        <w:top w:val="none" w:sz="0" w:space="0" w:color="auto"/>
        <w:left w:val="none" w:sz="0" w:space="0" w:color="auto"/>
        <w:bottom w:val="none" w:sz="0" w:space="0" w:color="auto"/>
        <w:right w:val="none" w:sz="0" w:space="0" w:color="auto"/>
      </w:divBdr>
    </w:div>
    <w:div w:id="336421914">
      <w:bodyDiv w:val="1"/>
      <w:marLeft w:val="0"/>
      <w:marRight w:val="0"/>
      <w:marTop w:val="0"/>
      <w:marBottom w:val="0"/>
      <w:divBdr>
        <w:top w:val="none" w:sz="0" w:space="0" w:color="auto"/>
        <w:left w:val="none" w:sz="0" w:space="0" w:color="auto"/>
        <w:bottom w:val="none" w:sz="0" w:space="0" w:color="auto"/>
        <w:right w:val="none" w:sz="0" w:space="0" w:color="auto"/>
      </w:divBdr>
    </w:div>
    <w:div w:id="336422846">
      <w:bodyDiv w:val="1"/>
      <w:marLeft w:val="0"/>
      <w:marRight w:val="0"/>
      <w:marTop w:val="0"/>
      <w:marBottom w:val="0"/>
      <w:divBdr>
        <w:top w:val="none" w:sz="0" w:space="0" w:color="auto"/>
        <w:left w:val="none" w:sz="0" w:space="0" w:color="auto"/>
        <w:bottom w:val="none" w:sz="0" w:space="0" w:color="auto"/>
        <w:right w:val="none" w:sz="0" w:space="0" w:color="auto"/>
      </w:divBdr>
    </w:div>
    <w:div w:id="336464248">
      <w:bodyDiv w:val="1"/>
      <w:marLeft w:val="0"/>
      <w:marRight w:val="0"/>
      <w:marTop w:val="0"/>
      <w:marBottom w:val="0"/>
      <w:divBdr>
        <w:top w:val="none" w:sz="0" w:space="0" w:color="auto"/>
        <w:left w:val="none" w:sz="0" w:space="0" w:color="auto"/>
        <w:bottom w:val="none" w:sz="0" w:space="0" w:color="auto"/>
        <w:right w:val="none" w:sz="0" w:space="0" w:color="auto"/>
      </w:divBdr>
    </w:div>
    <w:div w:id="336466850">
      <w:bodyDiv w:val="1"/>
      <w:marLeft w:val="0"/>
      <w:marRight w:val="0"/>
      <w:marTop w:val="0"/>
      <w:marBottom w:val="0"/>
      <w:divBdr>
        <w:top w:val="none" w:sz="0" w:space="0" w:color="auto"/>
        <w:left w:val="none" w:sz="0" w:space="0" w:color="auto"/>
        <w:bottom w:val="none" w:sz="0" w:space="0" w:color="auto"/>
        <w:right w:val="none" w:sz="0" w:space="0" w:color="auto"/>
      </w:divBdr>
    </w:div>
    <w:div w:id="336615475">
      <w:bodyDiv w:val="1"/>
      <w:marLeft w:val="0"/>
      <w:marRight w:val="0"/>
      <w:marTop w:val="0"/>
      <w:marBottom w:val="0"/>
      <w:divBdr>
        <w:top w:val="none" w:sz="0" w:space="0" w:color="auto"/>
        <w:left w:val="none" w:sz="0" w:space="0" w:color="auto"/>
        <w:bottom w:val="none" w:sz="0" w:space="0" w:color="auto"/>
        <w:right w:val="none" w:sz="0" w:space="0" w:color="auto"/>
      </w:divBdr>
    </w:div>
    <w:div w:id="336662314">
      <w:bodyDiv w:val="1"/>
      <w:marLeft w:val="0"/>
      <w:marRight w:val="0"/>
      <w:marTop w:val="0"/>
      <w:marBottom w:val="0"/>
      <w:divBdr>
        <w:top w:val="none" w:sz="0" w:space="0" w:color="auto"/>
        <w:left w:val="none" w:sz="0" w:space="0" w:color="auto"/>
        <w:bottom w:val="none" w:sz="0" w:space="0" w:color="auto"/>
        <w:right w:val="none" w:sz="0" w:space="0" w:color="auto"/>
      </w:divBdr>
    </w:div>
    <w:div w:id="336737923">
      <w:bodyDiv w:val="1"/>
      <w:marLeft w:val="0"/>
      <w:marRight w:val="0"/>
      <w:marTop w:val="0"/>
      <w:marBottom w:val="0"/>
      <w:divBdr>
        <w:top w:val="none" w:sz="0" w:space="0" w:color="auto"/>
        <w:left w:val="none" w:sz="0" w:space="0" w:color="auto"/>
        <w:bottom w:val="none" w:sz="0" w:space="0" w:color="auto"/>
        <w:right w:val="none" w:sz="0" w:space="0" w:color="auto"/>
      </w:divBdr>
    </w:div>
    <w:div w:id="336806727">
      <w:bodyDiv w:val="1"/>
      <w:marLeft w:val="0"/>
      <w:marRight w:val="0"/>
      <w:marTop w:val="0"/>
      <w:marBottom w:val="0"/>
      <w:divBdr>
        <w:top w:val="none" w:sz="0" w:space="0" w:color="auto"/>
        <w:left w:val="none" w:sz="0" w:space="0" w:color="auto"/>
        <w:bottom w:val="none" w:sz="0" w:space="0" w:color="auto"/>
        <w:right w:val="none" w:sz="0" w:space="0" w:color="auto"/>
      </w:divBdr>
    </w:div>
    <w:div w:id="336812000">
      <w:bodyDiv w:val="1"/>
      <w:marLeft w:val="0"/>
      <w:marRight w:val="0"/>
      <w:marTop w:val="0"/>
      <w:marBottom w:val="0"/>
      <w:divBdr>
        <w:top w:val="none" w:sz="0" w:space="0" w:color="auto"/>
        <w:left w:val="none" w:sz="0" w:space="0" w:color="auto"/>
        <w:bottom w:val="none" w:sz="0" w:space="0" w:color="auto"/>
        <w:right w:val="none" w:sz="0" w:space="0" w:color="auto"/>
      </w:divBdr>
    </w:div>
    <w:div w:id="336882933">
      <w:bodyDiv w:val="1"/>
      <w:marLeft w:val="0"/>
      <w:marRight w:val="0"/>
      <w:marTop w:val="0"/>
      <w:marBottom w:val="0"/>
      <w:divBdr>
        <w:top w:val="none" w:sz="0" w:space="0" w:color="auto"/>
        <w:left w:val="none" w:sz="0" w:space="0" w:color="auto"/>
        <w:bottom w:val="none" w:sz="0" w:space="0" w:color="auto"/>
        <w:right w:val="none" w:sz="0" w:space="0" w:color="auto"/>
      </w:divBdr>
    </w:div>
    <w:div w:id="336883608">
      <w:bodyDiv w:val="1"/>
      <w:marLeft w:val="0"/>
      <w:marRight w:val="0"/>
      <w:marTop w:val="0"/>
      <w:marBottom w:val="0"/>
      <w:divBdr>
        <w:top w:val="none" w:sz="0" w:space="0" w:color="auto"/>
        <w:left w:val="none" w:sz="0" w:space="0" w:color="auto"/>
        <w:bottom w:val="none" w:sz="0" w:space="0" w:color="auto"/>
        <w:right w:val="none" w:sz="0" w:space="0" w:color="auto"/>
      </w:divBdr>
    </w:div>
    <w:div w:id="336923367">
      <w:bodyDiv w:val="1"/>
      <w:marLeft w:val="0"/>
      <w:marRight w:val="0"/>
      <w:marTop w:val="0"/>
      <w:marBottom w:val="0"/>
      <w:divBdr>
        <w:top w:val="none" w:sz="0" w:space="0" w:color="auto"/>
        <w:left w:val="none" w:sz="0" w:space="0" w:color="auto"/>
        <w:bottom w:val="none" w:sz="0" w:space="0" w:color="auto"/>
        <w:right w:val="none" w:sz="0" w:space="0" w:color="auto"/>
      </w:divBdr>
    </w:div>
    <w:div w:id="336925711">
      <w:bodyDiv w:val="1"/>
      <w:marLeft w:val="0"/>
      <w:marRight w:val="0"/>
      <w:marTop w:val="0"/>
      <w:marBottom w:val="0"/>
      <w:divBdr>
        <w:top w:val="none" w:sz="0" w:space="0" w:color="auto"/>
        <w:left w:val="none" w:sz="0" w:space="0" w:color="auto"/>
        <w:bottom w:val="none" w:sz="0" w:space="0" w:color="auto"/>
        <w:right w:val="none" w:sz="0" w:space="0" w:color="auto"/>
      </w:divBdr>
    </w:div>
    <w:div w:id="337319386">
      <w:bodyDiv w:val="1"/>
      <w:marLeft w:val="0"/>
      <w:marRight w:val="0"/>
      <w:marTop w:val="0"/>
      <w:marBottom w:val="0"/>
      <w:divBdr>
        <w:top w:val="none" w:sz="0" w:space="0" w:color="auto"/>
        <w:left w:val="none" w:sz="0" w:space="0" w:color="auto"/>
        <w:bottom w:val="none" w:sz="0" w:space="0" w:color="auto"/>
        <w:right w:val="none" w:sz="0" w:space="0" w:color="auto"/>
      </w:divBdr>
    </w:div>
    <w:div w:id="337343907">
      <w:bodyDiv w:val="1"/>
      <w:marLeft w:val="0"/>
      <w:marRight w:val="0"/>
      <w:marTop w:val="0"/>
      <w:marBottom w:val="0"/>
      <w:divBdr>
        <w:top w:val="none" w:sz="0" w:space="0" w:color="auto"/>
        <w:left w:val="none" w:sz="0" w:space="0" w:color="auto"/>
        <w:bottom w:val="none" w:sz="0" w:space="0" w:color="auto"/>
        <w:right w:val="none" w:sz="0" w:space="0" w:color="auto"/>
      </w:divBdr>
    </w:div>
    <w:div w:id="337542419">
      <w:bodyDiv w:val="1"/>
      <w:marLeft w:val="0"/>
      <w:marRight w:val="0"/>
      <w:marTop w:val="0"/>
      <w:marBottom w:val="0"/>
      <w:divBdr>
        <w:top w:val="none" w:sz="0" w:space="0" w:color="auto"/>
        <w:left w:val="none" w:sz="0" w:space="0" w:color="auto"/>
        <w:bottom w:val="none" w:sz="0" w:space="0" w:color="auto"/>
        <w:right w:val="none" w:sz="0" w:space="0" w:color="auto"/>
      </w:divBdr>
    </w:div>
    <w:div w:id="337583048">
      <w:bodyDiv w:val="1"/>
      <w:marLeft w:val="0"/>
      <w:marRight w:val="0"/>
      <w:marTop w:val="0"/>
      <w:marBottom w:val="0"/>
      <w:divBdr>
        <w:top w:val="none" w:sz="0" w:space="0" w:color="auto"/>
        <w:left w:val="none" w:sz="0" w:space="0" w:color="auto"/>
        <w:bottom w:val="none" w:sz="0" w:space="0" w:color="auto"/>
        <w:right w:val="none" w:sz="0" w:space="0" w:color="auto"/>
      </w:divBdr>
    </w:div>
    <w:div w:id="337776765">
      <w:bodyDiv w:val="1"/>
      <w:marLeft w:val="0"/>
      <w:marRight w:val="0"/>
      <w:marTop w:val="0"/>
      <w:marBottom w:val="0"/>
      <w:divBdr>
        <w:top w:val="none" w:sz="0" w:space="0" w:color="auto"/>
        <w:left w:val="none" w:sz="0" w:space="0" w:color="auto"/>
        <w:bottom w:val="none" w:sz="0" w:space="0" w:color="auto"/>
        <w:right w:val="none" w:sz="0" w:space="0" w:color="auto"/>
      </w:divBdr>
    </w:div>
    <w:div w:id="337777621">
      <w:bodyDiv w:val="1"/>
      <w:marLeft w:val="0"/>
      <w:marRight w:val="0"/>
      <w:marTop w:val="0"/>
      <w:marBottom w:val="0"/>
      <w:divBdr>
        <w:top w:val="none" w:sz="0" w:space="0" w:color="auto"/>
        <w:left w:val="none" w:sz="0" w:space="0" w:color="auto"/>
        <w:bottom w:val="none" w:sz="0" w:space="0" w:color="auto"/>
        <w:right w:val="none" w:sz="0" w:space="0" w:color="auto"/>
      </w:divBdr>
    </w:div>
    <w:div w:id="337847945">
      <w:bodyDiv w:val="1"/>
      <w:marLeft w:val="0"/>
      <w:marRight w:val="0"/>
      <w:marTop w:val="0"/>
      <w:marBottom w:val="0"/>
      <w:divBdr>
        <w:top w:val="none" w:sz="0" w:space="0" w:color="auto"/>
        <w:left w:val="none" w:sz="0" w:space="0" w:color="auto"/>
        <w:bottom w:val="none" w:sz="0" w:space="0" w:color="auto"/>
        <w:right w:val="none" w:sz="0" w:space="0" w:color="auto"/>
      </w:divBdr>
    </w:div>
    <w:div w:id="337852788">
      <w:bodyDiv w:val="1"/>
      <w:marLeft w:val="0"/>
      <w:marRight w:val="0"/>
      <w:marTop w:val="0"/>
      <w:marBottom w:val="0"/>
      <w:divBdr>
        <w:top w:val="none" w:sz="0" w:space="0" w:color="auto"/>
        <w:left w:val="none" w:sz="0" w:space="0" w:color="auto"/>
        <w:bottom w:val="none" w:sz="0" w:space="0" w:color="auto"/>
        <w:right w:val="none" w:sz="0" w:space="0" w:color="auto"/>
      </w:divBdr>
    </w:div>
    <w:div w:id="338048771">
      <w:bodyDiv w:val="1"/>
      <w:marLeft w:val="0"/>
      <w:marRight w:val="0"/>
      <w:marTop w:val="0"/>
      <w:marBottom w:val="0"/>
      <w:divBdr>
        <w:top w:val="none" w:sz="0" w:space="0" w:color="auto"/>
        <w:left w:val="none" w:sz="0" w:space="0" w:color="auto"/>
        <w:bottom w:val="none" w:sz="0" w:space="0" w:color="auto"/>
        <w:right w:val="none" w:sz="0" w:space="0" w:color="auto"/>
      </w:divBdr>
    </w:div>
    <w:div w:id="338120968">
      <w:bodyDiv w:val="1"/>
      <w:marLeft w:val="0"/>
      <w:marRight w:val="0"/>
      <w:marTop w:val="0"/>
      <w:marBottom w:val="0"/>
      <w:divBdr>
        <w:top w:val="none" w:sz="0" w:space="0" w:color="auto"/>
        <w:left w:val="none" w:sz="0" w:space="0" w:color="auto"/>
        <w:bottom w:val="none" w:sz="0" w:space="0" w:color="auto"/>
        <w:right w:val="none" w:sz="0" w:space="0" w:color="auto"/>
      </w:divBdr>
    </w:div>
    <w:div w:id="338123214">
      <w:bodyDiv w:val="1"/>
      <w:marLeft w:val="0"/>
      <w:marRight w:val="0"/>
      <w:marTop w:val="0"/>
      <w:marBottom w:val="0"/>
      <w:divBdr>
        <w:top w:val="none" w:sz="0" w:space="0" w:color="auto"/>
        <w:left w:val="none" w:sz="0" w:space="0" w:color="auto"/>
        <w:bottom w:val="none" w:sz="0" w:space="0" w:color="auto"/>
        <w:right w:val="none" w:sz="0" w:space="0" w:color="auto"/>
      </w:divBdr>
    </w:div>
    <w:div w:id="338124160">
      <w:bodyDiv w:val="1"/>
      <w:marLeft w:val="0"/>
      <w:marRight w:val="0"/>
      <w:marTop w:val="0"/>
      <w:marBottom w:val="0"/>
      <w:divBdr>
        <w:top w:val="none" w:sz="0" w:space="0" w:color="auto"/>
        <w:left w:val="none" w:sz="0" w:space="0" w:color="auto"/>
        <w:bottom w:val="none" w:sz="0" w:space="0" w:color="auto"/>
        <w:right w:val="none" w:sz="0" w:space="0" w:color="auto"/>
      </w:divBdr>
    </w:div>
    <w:div w:id="338167851">
      <w:bodyDiv w:val="1"/>
      <w:marLeft w:val="0"/>
      <w:marRight w:val="0"/>
      <w:marTop w:val="0"/>
      <w:marBottom w:val="0"/>
      <w:divBdr>
        <w:top w:val="none" w:sz="0" w:space="0" w:color="auto"/>
        <w:left w:val="none" w:sz="0" w:space="0" w:color="auto"/>
        <w:bottom w:val="none" w:sz="0" w:space="0" w:color="auto"/>
        <w:right w:val="none" w:sz="0" w:space="0" w:color="auto"/>
      </w:divBdr>
    </w:div>
    <w:div w:id="338193897">
      <w:bodyDiv w:val="1"/>
      <w:marLeft w:val="0"/>
      <w:marRight w:val="0"/>
      <w:marTop w:val="0"/>
      <w:marBottom w:val="0"/>
      <w:divBdr>
        <w:top w:val="none" w:sz="0" w:space="0" w:color="auto"/>
        <w:left w:val="none" w:sz="0" w:space="0" w:color="auto"/>
        <w:bottom w:val="none" w:sz="0" w:space="0" w:color="auto"/>
        <w:right w:val="none" w:sz="0" w:space="0" w:color="auto"/>
      </w:divBdr>
    </w:div>
    <w:div w:id="338234938">
      <w:bodyDiv w:val="1"/>
      <w:marLeft w:val="0"/>
      <w:marRight w:val="0"/>
      <w:marTop w:val="0"/>
      <w:marBottom w:val="0"/>
      <w:divBdr>
        <w:top w:val="none" w:sz="0" w:space="0" w:color="auto"/>
        <w:left w:val="none" w:sz="0" w:space="0" w:color="auto"/>
        <w:bottom w:val="none" w:sz="0" w:space="0" w:color="auto"/>
        <w:right w:val="none" w:sz="0" w:space="0" w:color="auto"/>
      </w:divBdr>
    </w:div>
    <w:div w:id="338431837">
      <w:bodyDiv w:val="1"/>
      <w:marLeft w:val="0"/>
      <w:marRight w:val="0"/>
      <w:marTop w:val="0"/>
      <w:marBottom w:val="0"/>
      <w:divBdr>
        <w:top w:val="none" w:sz="0" w:space="0" w:color="auto"/>
        <w:left w:val="none" w:sz="0" w:space="0" w:color="auto"/>
        <w:bottom w:val="none" w:sz="0" w:space="0" w:color="auto"/>
        <w:right w:val="none" w:sz="0" w:space="0" w:color="auto"/>
      </w:divBdr>
    </w:div>
    <w:div w:id="338434130">
      <w:bodyDiv w:val="1"/>
      <w:marLeft w:val="0"/>
      <w:marRight w:val="0"/>
      <w:marTop w:val="0"/>
      <w:marBottom w:val="0"/>
      <w:divBdr>
        <w:top w:val="none" w:sz="0" w:space="0" w:color="auto"/>
        <w:left w:val="none" w:sz="0" w:space="0" w:color="auto"/>
        <w:bottom w:val="none" w:sz="0" w:space="0" w:color="auto"/>
        <w:right w:val="none" w:sz="0" w:space="0" w:color="auto"/>
      </w:divBdr>
    </w:div>
    <w:div w:id="338503262">
      <w:bodyDiv w:val="1"/>
      <w:marLeft w:val="0"/>
      <w:marRight w:val="0"/>
      <w:marTop w:val="0"/>
      <w:marBottom w:val="0"/>
      <w:divBdr>
        <w:top w:val="none" w:sz="0" w:space="0" w:color="auto"/>
        <w:left w:val="none" w:sz="0" w:space="0" w:color="auto"/>
        <w:bottom w:val="none" w:sz="0" w:space="0" w:color="auto"/>
        <w:right w:val="none" w:sz="0" w:space="0" w:color="auto"/>
      </w:divBdr>
    </w:div>
    <w:div w:id="338582318">
      <w:bodyDiv w:val="1"/>
      <w:marLeft w:val="0"/>
      <w:marRight w:val="0"/>
      <w:marTop w:val="0"/>
      <w:marBottom w:val="0"/>
      <w:divBdr>
        <w:top w:val="none" w:sz="0" w:space="0" w:color="auto"/>
        <w:left w:val="none" w:sz="0" w:space="0" w:color="auto"/>
        <w:bottom w:val="none" w:sz="0" w:space="0" w:color="auto"/>
        <w:right w:val="none" w:sz="0" w:space="0" w:color="auto"/>
      </w:divBdr>
    </w:div>
    <w:div w:id="338701679">
      <w:bodyDiv w:val="1"/>
      <w:marLeft w:val="0"/>
      <w:marRight w:val="0"/>
      <w:marTop w:val="0"/>
      <w:marBottom w:val="0"/>
      <w:divBdr>
        <w:top w:val="none" w:sz="0" w:space="0" w:color="auto"/>
        <w:left w:val="none" w:sz="0" w:space="0" w:color="auto"/>
        <w:bottom w:val="none" w:sz="0" w:space="0" w:color="auto"/>
        <w:right w:val="none" w:sz="0" w:space="0" w:color="auto"/>
      </w:divBdr>
    </w:div>
    <w:div w:id="338895296">
      <w:bodyDiv w:val="1"/>
      <w:marLeft w:val="0"/>
      <w:marRight w:val="0"/>
      <w:marTop w:val="0"/>
      <w:marBottom w:val="0"/>
      <w:divBdr>
        <w:top w:val="none" w:sz="0" w:space="0" w:color="auto"/>
        <w:left w:val="none" w:sz="0" w:space="0" w:color="auto"/>
        <w:bottom w:val="none" w:sz="0" w:space="0" w:color="auto"/>
        <w:right w:val="none" w:sz="0" w:space="0" w:color="auto"/>
      </w:divBdr>
    </w:div>
    <w:div w:id="338967332">
      <w:bodyDiv w:val="1"/>
      <w:marLeft w:val="0"/>
      <w:marRight w:val="0"/>
      <w:marTop w:val="0"/>
      <w:marBottom w:val="0"/>
      <w:divBdr>
        <w:top w:val="none" w:sz="0" w:space="0" w:color="auto"/>
        <w:left w:val="none" w:sz="0" w:space="0" w:color="auto"/>
        <w:bottom w:val="none" w:sz="0" w:space="0" w:color="auto"/>
        <w:right w:val="none" w:sz="0" w:space="0" w:color="auto"/>
      </w:divBdr>
    </w:div>
    <w:div w:id="339237029">
      <w:bodyDiv w:val="1"/>
      <w:marLeft w:val="0"/>
      <w:marRight w:val="0"/>
      <w:marTop w:val="0"/>
      <w:marBottom w:val="0"/>
      <w:divBdr>
        <w:top w:val="none" w:sz="0" w:space="0" w:color="auto"/>
        <w:left w:val="none" w:sz="0" w:space="0" w:color="auto"/>
        <w:bottom w:val="none" w:sz="0" w:space="0" w:color="auto"/>
        <w:right w:val="none" w:sz="0" w:space="0" w:color="auto"/>
      </w:divBdr>
    </w:div>
    <w:div w:id="339282756">
      <w:bodyDiv w:val="1"/>
      <w:marLeft w:val="0"/>
      <w:marRight w:val="0"/>
      <w:marTop w:val="0"/>
      <w:marBottom w:val="0"/>
      <w:divBdr>
        <w:top w:val="none" w:sz="0" w:space="0" w:color="auto"/>
        <w:left w:val="none" w:sz="0" w:space="0" w:color="auto"/>
        <w:bottom w:val="none" w:sz="0" w:space="0" w:color="auto"/>
        <w:right w:val="none" w:sz="0" w:space="0" w:color="auto"/>
      </w:divBdr>
    </w:div>
    <w:div w:id="339427928">
      <w:bodyDiv w:val="1"/>
      <w:marLeft w:val="0"/>
      <w:marRight w:val="0"/>
      <w:marTop w:val="0"/>
      <w:marBottom w:val="0"/>
      <w:divBdr>
        <w:top w:val="none" w:sz="0" w:space="0" w:color="auto"/>
        <w:left w:val="none" w:sz="0" w:space="0" w:color="auto"/>
        <w:bottom w:val="none" w:sz="0" w:space="0" w:color="auto"/>
        <w:right w:val="none" w:sz="0" w:space="0" w:color="auto"/>
      </w:divBdr>
    </w:div>
    <w:div w:id="339429248">
      <w:bodyDiv w:val="1"/>
      <w:marLeft w:val="0"/>
      <w:marRight w:val="0"/>
      <w:marTop w:val="0"/>
      <w:marBottom w:val="0"/>
      <w:divBdr>
        <w:top w:val="none" w:sz="0" w:space="0" w:color="auto"/>
        <w:left w:val="none" w:sz="0" w:space="0" w:color="auto"/>
        <w:bottom w:val="none" w:sz="0" w:space="0" w:color="auto"/>
        <w:right w:val="none" w:sz="0" w:space="0" w:color="auto"/>
      </w:divBdr>
    </w:div>
    <w:div w:id="339509118">
      <w:bodyDiv w:val="1"/>
      <w:marLeft w:val="0"/>
      <w:marRight w:val="0"/>
      <w:marTop w:val="0"/>
      <w:marBottom w:val="0"/>
      <w:divBdr>
        <w:top w:val="none" w:sz="0" w:space="0" w:color="auto"/>
        <w:left w:val="none" w:sz="0" w:space="0" w:color="auto"/>
        <w:bottom w:val="none" w:sz="0" w:space="0" w:color="auto"/>
        <w:right w:val="none" w:sz="0" w:space="0" w:color="auto"/>
      </w:divBdr>
    </w:div>
    <w:div w:id="339623975">
      <w:bodyDiv w:val="1"/>
      <w:marLeft w:val="0"/>
      <w:marRight w:val="0"/>
      <w:marTop w:val="0"/>
      <w:marBottom w:val="0"/>
      <w:divBdr>
        <w:top w:val="none" w:sz="0" w:space="0" w:color="auto"/>
        <w:left w:val="none" w:sz="0" w:space="0" w:color="auto"/>
        <w:bottom w:val="none" w:sz="0" w:space="0" w:color="auto"/>
        <w:right w:val="none" w:sz="0" w:space="0" w:color="auto"/>
      </w:divBdr>
    </w:div>
    <w:div w:id="339817344">
      <w:bodyDiv w:val="1"/>
      <w:marLeft w:val="0"/>
      <w:marRight w:val="0"/>
      <w:marTop w:val="0"/>
      <w:marBottom w:val="0"/>
      <w:divBdr>
        <w:top w:val="none" w:sz="0" w:space="0" w:color="auto"/>
        <w:left w:val="none" w:sz="0" w:space="0" w:color="auto"/>
        <w:bottom w:val="none" w:sz="0" w:space="0" w:color="auto"/>
        <w:right w:val="none" w:sz="0" w:space="0" w:color="auto"/>
      </w:divBdr>
    </w:div>
    <w:div w:id="339819128">
      <w:bodyDiv w:val="1"/>
      <w:marLeft w:val="0"/>
      <w:marRight w:val="0"/>
      <w:marTop w:val="0"/>
      <w:marBottom w:val="0"/>
      <w:divBdr>
        <w:top w:val="none" w:sz="0" w:space="0" w:color="auto"/>
        <w:left w:val="none" w:sz="0" w:space="0" w:color="auto"/>
        <w:bottom w:val="none" w:sz="0" w:space="0" w:color="auto"/>
        <w:right w:val="none" w:sz="0" w:space="0" w:color="auto"/>
      </w:divBdr>
    </w:div>
    <w:div w:id="339890336">
      <w:bodyDiv w:val="1"/>
      <w:marLeft w:val="0"/>
      <w:marRight w:val="0"/>
      <w:marTop w:val="0"/>
      <w:marBottom w:val="0"/>
      <w:divBdr>
        <w:top w:val="none" w:sz="0" w:space="0" w:color="auto"/>
        <w:left w:val="none" w:sz="0" w:space="0" w:color="auto"/>
        <w:bottom w:val="none" w:sz="0" w:space="0" w:color="auto"/>
        <w:right w:val="none" w:sz="0" w:space="0" w:color="auto"/>
      </w:divBdr>
    </w:div>
    <w:div w:id="340084089">
      <w:bodyDiv w:val="1"/>
      <w:marLeft w:val="0"/>
      <w:marRight w:val="0"/>
      <w:marTop w:val="0"/>
      <w:marBottom w:val="0"/>
      <w:divBdr>
        <w:top w:val="none" w:sz="0" w:space="0" w:color="auto"/>
        <w:left w:val="none" w:sz="0" w:space="0" w:color="auto"/>
        <w:bottom w:val="none" w:sz="0" w:space="0" w:color="auto"/>
        <w:right w:val="none" w:sz="0" w:space="0" w:color="auto"/>
      </w:divBdr>
    </w:div>
    <w:div w:id="340084164">
      <w:bodyDiv w:val="1"/>
      <w:marLeft w:val="0"/>
      <w:marRight w:val="0"/>
      <w:marTop w:val="0"/>
      <w:marBottom w:val="0"/>
      <w:divBdr>
        <w:top w:val="none" w:sz="0" w:space="0" w:color="auto"/>
        <w:left w:val="none" w:sz="0" w:space="0" w:color="auto"/>
        <w:bottom w:val="none" w:sz="0" w:space="0" w:color="auto"/>
        <w:right w:val="none" w:sz="0" w:space="0" w:color="auto"/>
      </w:divBdr>
    </w:div>
    <w:div w:id="340089492">
      <w:bodyDiv w:val="1"/>
      <w:marLeft w:val="0"/>
      <w:marRight w:val="0"/>
      <w:marTop w:val="0"/>
      <w:marBottom w:val="0"/>
      <w:divBdr>
        <w:top w:val="none" w:sz="0" w:space="0" w:color="auto"/>
        <w:left w:val="none" w:sz="0" w:space="0" w:color="auto"/>
        <w:bottom w:val="none" w:sz="0" w:space="0" w:color="auto"/>
        <w:right w:val="none" w:sz="0" w:space="0" w:color="auto"/>
      </w:divBdr>
    </w:div>
    <w:div w:id="340276692">
      <w:bodyDiv w:val="1"/>
      <w:marLeft w:val="0"/>
      <w:marRight w:val="0"/>
      <w:marTop w:val="0"/>
      <w:marBottom w:val="0"/>
      <w:divBdr>
        <w:top w:val="none" w:sz="0" w:space="0" w:color="auto"/>
        <w:left w:val="none" w:sz="0" w:space="0" w:color="auto"/>
        <w:bottom w:val="none" w:sz="0" w:space="0" w:color="auto"/>
        <w:right w:val="none" w:sz="0" w:space="0" w:color="auto"/>
      </w:divBdr>
    </w:div>
    <w:div w:id="340282975">
      <w:bodyDiv w:val="1"/>
      <w:marLeft w:val="0"/>
      <w:marRight w:val="0"/>
      <w:marTop w:val="0"/>
      <w:marBottom w:val="0"/>
      <w:divBdr>
        <w:top w:val="none" w:sz="0" w:space="0" w:color="auto"/>
        <w:left w:val="none" w:sz="0" w:space="0" w:color="auto"/>
        <w:bottom w:val="none" w:sz="0" w:space="0" w:color="auto"/>
        <w:right w:val="none" w:sz="0" w:space="0" w:color="auto"/>
      </w:divBdr>
    </w:div>
    <w:div w:id="340284526">
      <w:bodyDiv w:val="1"/>
      <w:marLeft w:val="0"/>
      <w:marRight w:val="0"/>
      <w:marTop w:val="0"/>
      <w:marBottom w:val="0"/>
      <w:divBdr>
        <w:top w:val="none" w:sz="0" w:space="0" w:color="auto"/>
        <w:left w:val="none" w:sz="0" w:space="0" w:color="auto"/>
        <w:bottom w:val="none" w:sz="0" w:space="0" w:color="auto"/>
        <w:right w:val="none" w:sz="0" w:space="0" w:color="auto"/>
      </w:divBdr>
    </w:div>
    <w:div w:id="340353139">
      <w:bodyDiv w:val="1"/>
      <w:marLeft w:val="0"/>
      <w:marRight w:val="0"/>
      <w:marTop w:val="0"/>
      <w:marBottom w:val="0"/>
      <w:divBdr>
        <w:top w:val="none" w:sz="0" w:space="0" w:color="auto"/>
        <w:left w:val="none" w:sz="0" w:space="0" w:color="auto"/>
        <w:bottom w:val="none" w:sz="0" w:space="0" w:color="auto"/>
        <w:right w:val="none" w:sz="0" w:space="0" w:color="auto"/>
      </w:divBdr>
    </w:div>
    <w:div w:id="340469683">
      <w:bodyDiv w:val="1"/>
      <w:marLeft w:val="0"/>
      <w:marRight w:val="0"/>
      <w:marTop w:val="0"/>
      <w:marBottom w:val="0"/>
      <w:divBdr>
        <w:top w:val="none" w:sz="0" w:space="0" w:color="auto"/>
        <w:left w:val="none" w:sz="0" w:space="0" w:color="auto"/>
        <w:bottom w:val="none" w:sz="0" w:space="0" w:color="auto"/>
        <w:right w:val="none" w:sz="0" w:space="0" w:color="auto"/>
      </w:divBdr>
    </w:div>
    <w:div w:id="340545328">
      <w:bodyDiv w:val="1"/>
      <w:marLeft w:val="0"/>
      <w:marRight w:val="0"/>
      <w:marTop w:val="0"/>
      <w:marBottom w:val="0"/>
      <w:divBdr>
        <w:top w:val="none" w:sz="0" w:space="0" w:color="auto"/>
        <w:left w:val="none" w:sz="0" w:space="0" w:color="auto"/>
        <w:bottom w:val="none" w:sz="0" w:space="0" w:color="auto"/>
        <w:right w:val="none" w:sz="0" w:space="0" w:color="auto"/>
      </w:divBdr>
    </w:div>
    <w:div w:id="340548780">
      <w:bodyDiv w:val="1"/>
      <w:marLeft w:val="0"/>
      <w:marRight w:val="0"/>
      <w:marTop w:val="0"/>
      <w:marBottom w:val="0"/>
      <w:divBdr>
        <w:top w:val="none" w:sz="0" w:space="0" w:color="auto"/>
        <w:left w:val="none" w:sz="0" w:space="0" w:color="auto"/>
        <w:bottom w:val="none" w:sz="0" w:space="0" w:color="auto"/>
        <w:right w:val="none" w:sz="0" w:space="0" w:color="auto"/>
      </w:divBdr>
    </w:div>
    <w:div w:id="340620760">
      <w:bodyDiv w:val="1"/>
      <w:marLeft w:val="0"/>
      <w:marRight w:val="0"/>
      <w:marTop w:val="0"/>
      <w:marBottom w:val="0"/>
      <w:divBdr>
        <w:top w:val="none" w:sz="0" w:space="0" w:color="auto"/>
        <w:left w:val="none" w:sz="0" w:space="0" w:color="auto"/>
        <w:bottom w:val="none" w:sz="0" w:space="0" w:color="auto"/>
        <w:right w:val="none" w:sz="0" w:space="0" w:color="auto"/>
      </w:divBdr>
    </w:div>
    <w:div w:id="340671252">
      <w:bodyDiv w:val="1"/>
      <w:marLeft w:val="0"/>
      <w:marRight w:val="0"/>
      <w:marTop w:val="0"/>
      <w:marBottom w:val="0"/>
      <w:divBdr>
        <w:top w:val="none" w:sz="0" w:space="0" w:color="auto"/>
        <w:left w:val="none" w:sz="0" w:space="0" w:color="auto"/>
        <w:bottom w:val="none" w:sz="0" w:space="0" w:color="auto"/>
        <w:right w:val="none" w:sz="0" w:space="0" w:color="auto"/>
      </w:divBdr>
    </w:div>
    <w:div w:id="340855890">
      <w:bodyDiv w:val="1"/>
      <w:marLeft w:val="0"/>
      <w:marRight w:val="0"/>
      <w:marTop w:val="0"/>
      <w:marBottom w:val="0"/>
      <w:divBdr>
        <w:top w:val="none" w:sz="0" w:space="0" w:color="auto"/>
        <w:left w:val="none" w:sz="0" w:space="0" w:color="auto"/>
        <w:bottom w:val="none" w:sz="0" w:space="0" w:color="auto"/>
        <w:right w:val="none" w:sz="0" w:space="0" w:color="auto"/>
      </w:divBdr>
    </w:div>
    <w:div w:id="340857096">
      <w:bodyDiv w:val="1"/>
      <w:marLeft w:val="0"/>
      <w:marRight w:val="0"/>
      <w:marTop w:val="0"/>
      <w:marBottom w:val="0"/>
      <w:divBdr>
        <w:top w:val="none" w:sz="0" w:space="0" w:color="auto"/>
        <w:left w:val="none" w:sz="0" w:space="0" w:color="auto"/>
        <w:bottom w:val="none" w:sz="0" w:space="0" w:color="auto"/>
        <w:right w:val="none" w:sz="0" w:space="0" w:color="auto"/>
      </w:divBdr>
    </w:div>
    <w:div w:id="340930966">
      <w:bodyDiv w:val="1"/>
      <w:marLeft w:val="0"/>
      <w:marRight w:val="0"/>
      <w:marTop w:val="0"/>
      <w:marBottom w:val="0"/>
      <w:divBdr>
        <w:top w:val="none" w:sz="0" w:space="0" w:color="auto"/>
        <w:left w:val="none" w:sz="0" w:space="0" w:color="auto"/>
        <w:bottom w:val="none" w:sz="0" w:space="0" w:color="auto"/>
        <w:right w:val="none" w:sz="0" w:space="0" w:color="auto"/>
      </w:divBdr>
    </w:div>
    <w:div w:id="340933156">
      <w:bodyDiv w:val="1"/>
      <w:marLeft w:val="0"/>
      <w:marRight w:val="0"/>
      <w:marTop w:val="0"/>
      <w:marBottom w:val="0"/>
      <w:divBdr>
        <w:top w:val="none" w:sz="0" w:space="0" w:color="auto"/>
        <w:left w:val="none" w:sz="0" w:space="0" w:color="auto"/>
        <w:bottom w:val="none" w:sz="0" w:space="0" w:color="auto"/>
        <w:right w:val="none" w:sz="0" w:space="0" w:color="auto"/>
      </w:divBdr>
    </w:div>
    <w:div w:id="341323057">
      <w:bodyDiv w:val="1"/>
      <w:marLeft w:val="0"/>
      <w:marRight w:val="0"/>
      <w:marTop w:val="0"/>
      <w:marBottom w:val="0"/>
      <w:divBdr>
        <w:top w:val="none" w:sz="0" w:space="0" w:color="auto"/>
        <w:left w:val="none" w:sz="0" w:space="0" w:color="auto"/>
        <w:bottom w:val="none" w:sz="0" w:space="0" w:color="auto"/>
        <w:right w:val="none" w:sz="0" w:space="0" w:color="auto"/>
      </w:divBdr>
    </w:div>
    <w:div w:id="341392438">
      <w:bodyDiv w:val="1"/>
      <w:marLeft w:val="0"/>
      <w:marRight w:val="0"/>
      <w:marTop w:val="0"/>
      <w:marBottom w:val="0"/>
      <w:divBdr>
        <w:top w:val="none" w:sz="0" w:space="0" w:color="auto"/>
        <w:left w:val="none" w:sz="0" w:space="0" w:color="auto"/>
        <w:bottom w:val="none" w:sz="0" w:space="0" w:color="auto"/>
        <w:right w:val="none" w:sz="0" w:space="0" w:color="auto"/>
      </w:divBdr>
    </w:div>
    <w:div w:id="341588649">
      <w:bodyDiv w:val="1"/>
      <w:marLeft w:val="0"/>
      <w:marRight w:val="0"/>
      <w:marTop w:val="0"/>
      <w:marBottom w:val="0"/>
      <w:divBdr>
        <w:top w:val="none" w:sz="0" w:space="0" w:color="auto"/>
        <w:left w:val="none" w:sz="0" w:space="0" w:color="auto"/>
        <w:bottom w:val="none" w:sz="0" w:space="0" w:color="auto"/>
        <w:right w:val="none" w:sz="0" w:space="0" w:color="auto"/>
      </w:divBdr>
    </w:div>
    <w:div w:id="341592604">
      <w:bodyDiv w:val="1"/>
      <w:marLeft w:val="0"/>
      <w:marRight w:val="0"/>
      <w:marTop w:val="0"/>
      <w:marBottom w:val="0"/>
      <w:divBdr>
        <w:top w:val="none" w:sz="0" w:space="0" w:color="auto"/>
        <w:left w:val="none" w:sz="0" w:space="0" w:color="auto"/>
        <w:bottom w:val="none" w:sz="0" w:space="0" w:color="auto"/>
        <w:right w:val="none" w:sz="0" w:space="0" w:color="auto"/>
      </w:divBdr>
    </w:div>
    <w:div w:id="341705255">
      <w:bodyDiv w:val="1"/>
      <w:marLeft w:val="0"/>
      <w:marRight w:val="0"/>
      <w:marTop w:val="0"/>
      <w:marBottom w:val="0"/>
      <w:divBdr>
        <w:top w:val="none" w:sz="0" w:space="0" w:color="auto"/>
        <w:left w:val="none" w:sz="0" w:space="0" w:color="auto"/>
        <w:bottom w:val="none" w:sz="0" w:space="0" w:color="auto"/>
        <w:right w:val="none" w:sz="0" w:space="0" w:color="auto"/>
      </w:divBdr>
    </w:div>
    <w:div w:id="341859746">
      <w:bodyDiv w:val="1"/>
      <w:marLeft w:val="0"/>
      <w:marRight w:val="0"/>
      <w:marTop w:val="0"/>
      <w:marBottom w:val="0"/>
      <w:divBdr>
        <w:top w:val="none" w:sz="0" w:space="0" w:color="auto"/>
        <w:left w:val="none" w:sz="0" w:space="0" w:color="auto"/>
        <w:bottom w:val="none" w:sz="0" w:space="0" w:color="auto"/>
        <w:right w:val="none" w:sz="0" w:space="0" w:color="auto"/>
      </w:divBdr>
    </w:div>
    <w:div w:id="341930680">
      <w:bodyDiv w:val="1"/>
      <w:marLeft w:val="0"/>
      <w:marRight w:val="0"/>
      <w:marTop w:val="0"/>
      <w:marBottom w:val="0"/>
      <w:divBdr>
        <w:top w:val="none" w:sz="0" w:space="0" w:color="auto"/>
        <w:left w:val="none" w:sz="0" w:space="0" w:color="auto"/>
        <w:bottom w:val="none" w:sz="0" w:space="0" w:color="auto"/>
        <w:right w:val="none" w:sz="0" w:space="0" w:color="auto"/>
      </w:divBdr>
    </w:div>
    <w:div w:id="342048696">
      <w:bodyDiv w:val="1"/>
      <w:marLeft w:val="0"/>
      <w:marRight w:val="0"/>
      <w:marTop w:val="0"/>
      <w:marBottom w:val="0"/>
      <w:divBdr>
        <w:top w:val="none" w:sz="0" w:space="0" w:color="auto"/>
        <w:left w:val="none" w:sz="0" w:space="0" w:color="auto"/>
        <w:bottom w:val="none" w:sz="0" w:space="0" w:color="auto"/>
        <w:right w:val="none" w:sz="0" w:space="0" w:color="auto"/>
      </w:divBdr>
    </w:div>
    <w:div w:id="342165705">
      <w:bodyDiv w:val="1"/>
      <w:marLeft w:val="0"/>
      <w:marRight w:val="0"/>
      <w:marTop w:val="0"/>
      <w:marBottom w:val="0"/>
      <w:divBdr>
        <w:top w:val="none" w:sz="0" w:space="0" w:color="auto"/>
        <w:left w:val="none" w:sz="0" w:space="0" w:color="auto"/>
        <w:bottom w:val="none" w:sz="0" w:space="0" w:color="auto"/>
        <w:right w:val="none" w:sz="0" w:space="0" w:color="auto"/>
      </w:divBdr>
    </w:div>
    <w:div w:id="342323390">
      <w:bodyDiv w:val="1"/>
      <w:marLeft w:val="0"/>
      <w:marRight w:val="0"/>
      <w:marTop w:val="0"/>
      <w:marBottom w:val="0"/>
      <w:divBdr>
        <w:top w:val="none" w:sz="0" w:space="0" w:color="auto"/>
        <w:left w:val="none" w:sz="0" w:space="0" w:color="auto"/>
        <w:bottom w:val="none" w:sz="0" w:space="0" w:color="auto"/>
        <w:right w:val="none" w:sz="0" w:space="0" w:color="auto"/>
      </w:divBdr>
    </w:div>
    <w:div w:id="342360413">
      <w:bodyDiv w:val="1"/>
      <w:marLeft w:val="0"/>
      <w:marRight w:val="0"/>
      <w:marTop w:val="0"/>
      <w:marBottom w:val="0"/>
      <w:divBdr>
        <w:top w:val="none" w:sz="0" w:space="0" w:color="auto"/>
        <w:left w:val="none" w:sz="0" w:space="0" w:color="auto"/>
        <w:bottom w:val="none" w:sz="0" w:space="0" w:color="auto"/>
        <w:right w:val="none" w:sz="0" w:space="0" w:color="auto"/>
      </w:divBdr>
    </w:div>
    <w:div w:id="342634406">
      <w:bodyDiv w:val="1"/>
      <w:marLeft w:val="0"/>
      <w:marRight w:val="0"/>
      <w:marTop w:val="0"/>
      <w:marBottom w:val="0"/>
      <w:divBdr>
        <w:top w:val="none" w:sz="0" w:space="0" w:color="auto"/>
        <w:left w:val="none" w:sz="0" w:space="0" w:color="auto"/>
        <w:bottom w:val="none" w:sz="0" w:space="0" w:color="auto"/>
        <w:right w:val="none" w:sz="0" w:space="0" w:color="auto"/>
      </w:divBdr>
    </w:div>
    <w:div w:id="342710175">
      <w:bodyDiv w:val="1"/>
      <w:marLeft w:val="0"/>
      <w:marRight w:val="0"/>
      <w:marTop w:val="0"/>
      <w:marBottom w:val="0"/>
      <w:divBdr>
        <w:top w:val="none" w:sz="0" w:space="0" w:color="auto"/>
        <w:left w:val="none" w:sz="0" w:space="0" w:color="auto"/>
        <w:bottom w:val="none" w:sz="0" w:space="0" w:color="auto"/>
        <w:right w:val="none" w:sz="0" w:space="0" w:color="auto"/>
      </w:divBdr>
    </w:div>
    <w:div w:id="342779068">
      <w:bodyDiv w:val="1"/>
      <w:marLeft w:val="0"/>
      <w:marRight w:val="0"/>
      <w:marTop w:val="0"/>
      <w:marBottom w:val="0"/>
      <w:divBdr>
        <w:top w:val="none" w:sz="0" w:space="0" w:color="auto"/>
        <w:left w:val="none" w:sz="0" w:space="0" w:color="auto"/>
        <w:bottom w:val="none" w:sz="0" w:space="0" w:color="auto"/>
        <w:right w:val="none" w:sz="0" w:space="0" w:color="auto"/>
      </w:divBdr>
    </w:div>
    <w:div w:id="342779315">
      <w:bodyDiv w:val="1"/>
      <w:marLeft w:val="0"/>
      <w:marRight w:val="0"/>
      <w:marTop w:val="0"/>
      <w:marBottom w:val="0"/>
      <w:divBdr>
        <w:top w:val="none" w:sz="0" w:space="0" w:color="auto"/>
        <w:left w:val="none" w:sz="0" w:space="0" w:color="auto"/>
        <w:bottom w:val="none" w:sz="0" w:space="0" w:color="auto"/>
        <w:right w:val="none" w:sz="0" w:space="0" w:color="auto"/>
      </w:divBdr>
    </w:div>
    <w:div w:id="342823878">
      <w:bodyDiv w:val="1"/>
      <w:marLeft w:val="0"/>
      <w:marRight w:val="0"/>
      <w:marTop w:val="0"/>
      <w:marBottom w:val="0"/>
      <w:divBdr>
        <w:top w:val="none" w:sz="0" w:space="0" w:color="auto"/>
        <w:left w:val="none" w:sz="0" w:space="0" w:color="auto"/>
        <w:bottom w:val="none" w:sz="0" w:space="0" w:color="auto"/>
        <w:right w:val="none" w:sz="0" w:space="0" w:color="auto"/>
      </w:divBdr>
    </w:div>
    <w:div w:id="342971491">
      <w:bodyDiv w:val="1"/>
      <w:marLeft w:val="0"/>
      <w:marRight w:val="0"/>
      <w:marTop w:val="0"/>
      <w:marBottom w:val="0"/>
      <w:divBdr>
        <w:top w:val="none" w:sz="0" w:space="0" w:color="auto"/>
        <w:left w:val="none" w:sz="0" w:space="0" w:color="auto"/>
        <w:bottom w:val="none" w:sz="0" w:space="0" w:color="auto"/>
        <w:right w:val="none" w:sz="0" w:space="0" w:color="auto"/>
      </w:divBdr>
    </w:div>
    <w:div w:id="343093191">
      <w:bodyDiv w:val="1"/>
      <w:marLeft w:val="0"/>
      <w:marRight w:val="0"/>
      <w:marTop w:val="0"/>
      <w:marBottom w:val="0"/>
      <w:divBdr>
        <w:top w:val="none" w:sz="0" w:space="0" w:color="auto"/>
        <w:left w:val="none" w:sz="0" w:space="0" w:color="auto"/>
        <w:bottom w:val="none" w:sz="0" w:space="0" w:color="auto"/>
        <w:right w:val="none" w:sz="0" w:space="0" w:color="auto"/>
      </w:divBdr>
    </w:div>
    <w:div w:id="343173045">
      <w:bodyDiv w:val="1"/>
      <w:marLeft w:val="0"/>
      <w:marRight w:val="0"/>
      <w:marTop w:val="0"/>
      <w:marBottom w:val="0"/>
      <w:divBdr>
        <w:top w:val="none" w:sz="0" w:space="0" w:color="auto"/>
        <w:left w:val="none" w:sz="0" w:space="0" w:color="auto"/>
        <w:bottom w:val="none" w:sz="0" w:space="0" w:color="auto"/>
        <w:right w:val="none" w:sz="0" w:space="0" w:color="auto"/>
      </w:divBdr>
    </w:div>
    <w:div w:id="343240692">
      <w:bodyDiv w:val="1"/>
      <w:marLeft w:val="0"/>
      <w:marRight w:val="0"/>
      <w:marTop w:val="0"/>
      <w:marBottom w:val="0"/>
      <w:divBdr>
        <w:top w:val="none" w:sz="0" w:space="0" w:color="auto"/>
        <w:left w:val="none" w:sz="0" w:space="0" w:color="auto"/>
        <w:bottom w:val="none" w:sz="0" w:space="0" w:color="auto"/>
        <w:right w:val="none" w:sz="0" w:space="0" w:color="auto"/>
      </w:divBdr>
    </w:div>
    <w:div w:id="343364797">
      <w:bodyDiv w:val="1"/>
      <w:marLeft w:val="0"/>
      <w:marRight w:val="0"/>
      <w:marTop w:val="0"/>
      <w:marBottom w:val="0"/>
      <w:divBdr>
        <w:top w:val="none" w:sz="0" w:space="0" w:color="auto"/>
        <w:left w:val="none" w:sz="0" w:space="0" w:color="auto"/>
        <w:bottom w:val="none" w:sz="0" w:space="0" w:color="auto"/>
        <w:right w:val="none" w:sz="0" w:space="0" w:color="auto"/>
      </w:divBdr>
    </w:div>
    <w:div w:id="343479534">
      <w:bodyDiv w:val="1"/>
      <w:marLeft w:val="0"/>
      <w:marRight w:val="0"/>
      <w:marTop w:val="0"/>
      <w:marBottom w:val="0"/>
      <w:divBdr>
        <w:top w:val="none" w:sz="0" w:space="0" w:color="auto"/>
        <w:left w:val="none" w:sz="0" w:space="0" w:color="auto"/>
        <w:bottom w:val="none" w:sz="0" w:space="0" w:color="auto"/>
        <w:right w:val="none" w:sz="0" w:space="0" w:color="auto"/>
      </w:divBdr>
    </w:div>
    <w:div w:id="343629947">
      <w:bodyDiv w:val="1"/>
      <w:marLeft w:val="0"/>
      <w:marRight w:val="0"/>
      <w:marTop w:val="0"/>
      <w:marBottom w:val="0"/>
      <w:divBdr>
        <w:top w:val="none" w:sz="0" w:space="0" w:color="auto"/>
        <w:left w:val="none" w:sz="0" w:space="0" w:color="auto"/>
        <w:bottom w:val="none" w:sz="0" w:space="0" w:color="auto"/>
        <w:right w:val="none" w:sz="0" w:space="0" w:color="auto"/>
      </w:divBdr>
    </w:div>
    <w:div w:id="343630537">
      <w:bodyDiv w:val="1"/>
      <w:marLeft w:val="0"/>
      <w:marRight w:val="0"/>
      <w:marTop w:val="0"/>
      <w:marBottom w:val="0"/>
      <w:divBdr>
        <w:top w:val="none" w:sz="0" w:space="0" w:color="auto"/>
        <w:left w:val="none" w:sz="0" w:space="0" w:color="auto"/>
        <w:bottom w:val="none" w:sz="0" w:space="0" w:color="auto"/>
        <w:right w:val="none" w:sz="0" w:space="0" w:color="auto"/>
      </w:divBdr>
    </w:div>
    <w:div w:id="343677670">
      <w:bodyDiv w:val="1"/>
      <w:marLeft w:val="0"/>
      <w:marRight w:val="0"/>
      <w:marTop w:val="0"/>
      <w:marBottom w:val="0"/>
      <w:divBdr>
        <w:top w:val="none" w:sz="0" w:space="0" w:color="auto"/>
        <w:left w:val="none" w:sz="0" w:space="0" w:color="auto"/>
        <w:bottom w:val="none" w:sz="0" w:space="0" w:color="auto"/>
        <w:right w:val="none" w:sz="0" w:space="0" w:color="auto"/>
      </w:divBdr>
    </w:div>
    <w:div w:id="343751045">
      <w:bodyDiv w:val="1"/>
      <w:marLeft w:val="0"/>
      <w:marRight w:val="0"/>
      <w:marTop w:val="0"/>
      <w:marBottom w:val="0"/>
      <w:divBdr>
        <w:top w:val="none" w:sz="0" w:space="0" w:color="auto"/>
        <w:left w:val="none" w:sz="0" w:space="0" w:color="auto"/>
        <w:bottom w:val="none" w:sz="0" w:space="0" w:color="auto"/>
        <w:right w:val="none" w:sz="0" w:space="0" w:color="auto"/>
      </w:divBdr>
    </w:div>
    <w:div w:id="343827092">
      <w:bodyDiv w:val="1"/>
      <w:marLeft w:val="0"/>
      <w:marRight w:val="0"/>
      <w:marTop w:val="0"/>
      <w:marBottom w:val="0"/>
      <w:divBdr>
        <w:top w:val="none" w:sz="0" w:space="0" w:color="auto"/>
        <w:left w:val="none" w:sz="0" w:space="0" w:color="auto"/>
        <w:bottom w:val="none" w:sz="0" w:space="0" w:color="auto"/>
        <w:right w:val="none" w:sz="0" w:space="0" w:color="auto"/>
      </w:divBdr>
    </w:div>
    <w:div w:id="343827894">
      <w:bodyDiv w:val="1"/>
      <w:marLeft w:val="0"/>
      <w:marRight w:val="0"/>
      <w:marTop w:val="0"/>
      <w:marBottom w:val="0"/>
      <w:divBdr>
        <w:top w:val="none" w:sz="0" w:space="0" w:color="auto"/>
        <w:left w:val="none" w:sz="0" w:space="0" w:color="auto"/>
        <w:bottom w:val="none" w:sz="0" w:space="0" w:color="auto"/>
        <w:right w:val="none" w:sz="0" w:space="0" w:color="auto"/>
      </w:divBdr>
    </w:div>
    <w:div w:id="343867627">
      <w:bodyDiv w:val="1"/>
      <w:marLeft w:val="0"/>
      <w:marRight w:val="0"/>
      <w:marTop w:val="0"/>
      <w:marBottom w:val="0"/>
      <w:divBdr>
        <w:top w:val="none" w:sz="0" w:space="0" w:color="auto"/>
        <w:left w:val="none" w:sz="0" w:space="0" w:color="auto"/>
        <w:bottom w:val="none" w:sz="0" w:space="0" w:color="auto"/>
        <w:right w:val="none" w:sz="0" w:space="0" w:color="auto"/>
      </w:divBdr>
    </w:div>
    <w:div w:id="343897831">
      <w:bodyDiv w:val="1"/>
      <w:marLeft w:val="0"/>
      <w:marRight w:val="0"/>
      <w:marTop w:val="0"/>
      <w:marBottom w:val="0"/>
      <w:divBdr>
        <w:top w:val="none" w:sz="0" w:space="0" w:color="auto"/>
        <w:left w:val="none" w:sz="0" w:space="0" w:color="auto"/>
        <w:bottom w:val="none" w:sz="0" w:space="0" w:color="auto"/>
        <w:right w:val="none" w:sz="0" w:space="0" w:color="auto"/>
      </w:divBdr>
    </w:div>
    <w:div w:id="343938508">
      <w:bodyDiv w:val="1"/>
      <w:marLeft w:val="0"/>
      <w:marRight w:val="0"/>
      <w:marTop w:val="0"/>
      <w:marBottom w:val="0"/>
      <w:divBdr>
        <w:top w:val="none" w:sz="0" w:space="0" w:color="auto"/>
        <w:left w:val="none" w:sz="0" w:space="0" w:color="auto"/>
        <w:bottom w:val="none" w:sz="0" w:space="0" w:color="auto"/>
        <w:right w:val="none" w:sz="0" w:space="0" w:color="auto"/>
      </w:divBdr>
    </w:div>
    <w:div w:id="344020533">
      <w:bodyDiv w:val="1"/>
      <w:marLeft w:val="0"/>
      <w:marRight w:val="0"/>
      <w:marTop w:val="0"/>
      <w:marBottom w:val="0"/>
      <w:divBdr>
        <w:top w:val="none" w:sz="0" w:space="0" w:color="auto"/>
        <w:left w:val="none" w:sz="0" w:space="0" w:color="auto"/>
        <w:bottom w:val="none" w:sz="0" w:space="0" w:color="auto"/>
        <w:right w:val="none" w:sz="0" w:space="0" w:color="auto"/>
      </w:divBdr>
    </w:div>
    <w:div w:id="344207150">
      <w:bodyDiv w:val="1"/>
      <w:marLeft w:val="0"/>
      <w:marRight w:val="0"/>
      <w:marTop w:val="0"/>
      <w:marBottom w:val="0"/>
      <w:divBdr>
        <w:top w:val="none" w:sz="0" w:space="0" w:color="auto"/>
        <w:left w:val="none" w:sz="0" w:space="0" w:color="auto"/>
        <w:bottom w:val="none" w:sz="0" w:space="0" w:color="auto"/>
        <w:right w:val="none" w:sz="0" w:space="0" w:color="auto"/>
      </w:divBdr>
    </w:div>
    <w:div w:id="344214806">
      <w:bodyDiv w:val="1"/>
      <w:marLeft w:val="0"/>
      <w:marRight w:val="0"/>
      <w:marTop w:val="0"/>
      <w:marBottom w:val="0"/>
      <w:divBdr>
        <w:top w:val="none" w:sz="0" w:space="0" w:color="auto"/>
        <w:left w:val="none" w:sz="0" w:space="0" w:color="auto"/>
        <w:bottom w:val="none" w:sz="0" w:space="0" w:color="auto"/>
        <w:right w:val="none" w:sz="0" w:space="0" w:color="auto"/>
      </w:divBdr>
    </w:div>
    <w:div w:id="344283119">
      <w:bodyDiv w:val="1"/>
      <w:marLeft w:val="0"/>
      <w:marRight w:val="0"/>
      <w:marTop w:val="0"/>
      <w:marBottom w:val="0"/>
      <w:divBdr>
        <w:top w:val="none" w:sz="0" w:space="0" w:color="auto"/>
        <w:left w:val="none" w:sz="0" w:space="0" w:color="auto"/>
        <w:bottom w:val="none" w:sz="0" w:space="0" w:color="auto"/>
        <w:right w:val="none" w:sz="0" w:space="0" w:color="auto"/>
      </w:divBdr>
    </w:div>
    <w:div w:id="344289663">
      <w:bodyDiv w:val="1"/>
      <w:marLeft w:val="0"/>
      <w:marRight w:val="0"/>
      <w:marTop w:val="0"/>
      <w:marBottom w:val="0"/>
      <w:divBdr>
        <w:top w:val="none" w:sz="0" w:space="0" w:color="auto"/>
        <w:left w:val="none" w:sz="0" w:space="0" w:color="auto"/>
        <w:bottom w:val="none" w:sz="0" w:space="0" w:color="auto"/>
        <w:right w:val="none" w:sz="0" w:space="0" w:color="auto"/>
      </w:divBdr>
    </w:div>
    <w:div w:id="344328792">
      <w:bodyDiv w:val="1"/>
      <w:marLeft w:val="0"/>
      <w:marRight w:val="0"/>
      <w:marTop w:val="0"/>
      <w:marBottom w:val="0"/>
      <w:divBdr>
        <w:top w:val="none" w:sz="0" w:space="0" w:color="auto"/>
        <w:left w:val="none" w:sz="0" w:space="0" w:color="auto"/>
        <w:bottom w:val="none" w:sz="0" w:space="0" w:color="auto"/>
        <w:right w:val="none" w:sz="0" w:space="0" w:color="auto"/>
      </w:divBdr>
    </w:div>
    <w:div w:id="344331966">
      <w:bodyDiv w:val="1"/>
      <w:marLeft w:val="0"/>
      <w:marRight w:val="0"/>
      <w:marTop w:val="0"/>
      <w:marBottom w:val="0"/>
      <w:divBdr>
        <w:top w:val="none" w:sz="0" w:space="0" w:color="auto"/>
        <w:left w:val="none" w:sz="0" w:space="0" w:color="auto"/>
        <w:bottom w:val="none" w:sz="0" w:space="0" w:color="auto"/>
        <w:right w:val="none" w:sz="0" w:space="0" w:color="auto"/>
      </w:divBdr>
    </w:div>
    <w:div w:id="344483792">
      <w:bodyDiv w:val="1"/>
      <w:marLeft w:val="0"/>
      <w:marRight w:val="0"/>
      <w:marTop w:val="0"/>
      <w:marBottom w:val="0"/>
      <w:divBdr>
        <w:top w:val="none" w:sz="0" w:space="0" w:color="auto"/>
        <w:left w:val="none" w:sz="0" w:space="0" w:color="auto"/>
        <w:bottom w:val="none" w:sz="0" w:space="0" w:color="auto"/>
        <w:right w:val="none" w:sz="0" w:space="0" w:color="auto"/>
      </w:divBdr>
    </w:div>
    <w:div w:id="344554649">
      <w:bodyDiv w:val="1"/>
      <w:marLeft w:val="0"/>
      <w:marRight w:val="0"/>
      <w:marTop w:val="0"/>
      <w:marBottom w:val="0"/>
      <w:divBdr>
        <w:top w:val="none" w:sz="0" w:space="0" w:color="auto"/>
        <w:left w:val="none" w:sz="0" w:space="0" w:color="auto"/>
        <w:bottom w:val="none" w:sz="0" w:space="0" w:color="auto"/>
        <w:right w:val="none" w:sz="0" w:space="0" w:color="auto"/>
      </w:divBdr>
    </w:div>
    <w:div w:id="344555397">
      <w:bodyDiv w:val="1"/>
      <w:marLeft w:val="0"/>
      <w:marRight w:val="0"/>
      <w:marTop w:val="0"/>
      <w:marBottom w:val="0"/>
      <w:divBdr>
        <w:top w:val="none" w:sz="0" w:space="0" w:color="auto"/>
        <w:left w:val="none" w:sz="0" w:space="0" w:color="auto"/>
        <w:bottom w:val="none" w:sz="0" w:space="0" w:color="auto"/>
        <w:right w:val="none" w:sz="0" w:space="0" w:color="auto"/>
      </w:divBdr>
    </w:div>
    <w:div w:id="344555437">
      <w:bodyDiv w:val="1"/>
      <w:marLeft w:val="0"/>
      <w:marRight w:val="0"/>
      <w:marTop w:val="0"/>
      <w:marBottom w:val="0"/>
      <w:divBdr>
        <w:top w:val="none" w:sz="0" w:space="0" w:color="auto"/>
        <w:left w:val="none" w:sz="0" w:space="0" w:color="auto"/>
        <w:bottom w:val="none" w:sz="0" w:space="0" w:color="auto"/>
        <w:right w:val="none" w:sz="0" w:space="0" w:color="auto"/>
      </w:divBdr>
    </w:div>
    <w:div w:id="344673286">
      <w:bodyDiv w:val="1"/>
      <w:marLeft w:val="0"/>
      <w:marRight w:val="0"/>
      <w:marTop w:val="0"/>
      <w:marBottom w:val="0"/>
      <w:divBdr>
        <w:top w:val="none" w:sz="0" w:space="0" w:color="auto"/>
        <w:left w:val="none" w:sz="0" w:space="0" w:color="auto"/>
        <w:bottom w:val="none" w:sz="0" w:space="0" w:color="auto"/>
        <w:right w:val="none" w:sz="0" w:space="0" w:color="auto"/>
      </w:divBdr>
    </w:div>
    <w:div w:id="344677057">
      <w:bodyDiv w:val="1"/>
      <w:marLeft w:val="0"/>
      <w:marRight w:val="0"/>
      <w:marTop w:val="0"/>
      <w:marBottom w:val="0"/>
      <w:divBdr>
        <w:top w:val="none" w:sz="0" w:space="0" w:color="auto"/>
        <w:left w:val="none" w:sz="0" w:space="0" w:color="auto"/>
        <w:bottom w:val="none" w:sz="0" w:space="0" w:color="auto"/>
        <w:right w:val="none" w:sz="0" w:space="0" w:color="auto"/>
      </w:divBdr>
    </w:div>
    <w:div w:id="344744273">
      <w:bodyDiv w:val="1"/>
      <w:marLeft w:val="0"/>
      <w:marRight w:val="0"/>
      <w:marTop w:val="0"/>
      <w:marBottom w:val="0"/>
      <w:divBdr>
        <w:top w:val="none" w:sz="0" w:space="0" w:color="auto"/>
        <w:left w:val="none" w:sz="0" w:space="0" w:color="auto"/>
        <w:bottom w:val="none" w:sz="0" w:space="0" w:color="auto"/>
        <w:right w:val="none" w:sz="0" w:space="0" w:color="auto"/>
      </w:divBdr>
    </w:div>
    <w:div w:id="344788110">
      <w:bodyDiv w:val="1"/>
      <w:marLeft w:val="0"/>
      <w:marRight w:val="0"/>
      <w:marTop w:val="0"/>
      <w:marBottom w:val="0"/>
      <w:divBdr>
        <w:top w:val="none" w:sz="0" w:space="0" w:color="auto"/>
        <w:left w:val="none" w:sz="0" w:space="0" w:color="auto"/>
        <w:bottom w:val="none" w:sz="0" w:space="0" w:color="auto"/>
        <w:right w:val="none" w:sz="0" w:space="0" w:color="auto"/>
      </w:divBdr>
    </w:div>
    <w:div w:id="344863367">
      <w:bodyDiv w:val="1"/>
      <w:marLeft w:val="0"/>
      <w:marRight w:val="0"/>
      <w:marTop w:val="0"/>
      <w:marBottom w:val="0"/>
      <w:divBdr>
        <w:top w:val="none" w:sz="0" w:space="0" w:color="auto"/>
        <w:left w:val="none" w:sz="0" w:space="0" w:color="auto"/>
        <w:bottom w:val="none" w:sz="0" w:space="0" w:color="auto"/>
        <w:right w:val="none" w:sz="0" w:space="0" w:color="auto"/>
      </w:divBdr>
    </w:div>
    <w:div w:id="344864275">
      <w:bodyDiv w:val="1"/>
      <w:marLeft w:val="0"/>
      <w:marRight w:val="0"/>
      <w:marTop w:val="0"/>
      <w:marBottom w:val="0"/>
      <w:divBdr>
        <w:top w:val="none" w:sz="0" w:space="0" w:color="auto"/>
        <w:left w:val="none" w:sz="0" w:space="0" w:color="auto"/>
        <w:bottom w:val="none" w:sz="0" w:space="0" w:color="auto"/>
        <w:right w:val="none" w:sz="0" w:space="0" w:color="auto"/>
      </w:divBdr>
    </w:div>
    <w:div w:id="344864568">
      <w:bodyDiv w:val="1"/>
      <w:marLeft w:val="0"/>
      <w:marRight w:val="0"/>
      <w:marTop w:val="0"/>
      <w:marBottom w:val="0"/>
      <w:divBdr>
        <w:top w:val="none" w:sz="0" w:space="0" w:color="auto"/>
        <w:left w:val="none" w:sz="0" w:space="0" w:color="auto"/>
        <w:bottom w:val="none" w:sz="0" w:space="0" w:color="auto"/>
        <w:right w:val="none" w:sz="0" w:space="0" w:color="auto"/>
      </w:divBdr>
    </w:div>
    <w:div w:id="344864980">
      <w:bodyDiv w:val="1"/>
      <w:marLeft w:val="0"/>
      <w:marRight w:val="0"/>
      <w:marTop w:val="0"/>
      <w:marBottom w:val="0"/>
      <w:divBdr>
        <w:top w:val="none" w:sz="0" w:space="0" w:color="auto"/>
        <w:left w:val="none" w:sz="0" w:space="0" w:color="auto"/>
        <w:bottom w:val="none" w:sz="0" w:space="0" w:color="auto"/>
        <w:right w:val="none" w:sz="0" w:space="0" w:color="auto"/>
      </w:divBdr>
    </w:div>
    <w:div w:id="344869316">
      <w:bodyDiv w:val="1"/>
      <w:marLeft w:val="0"/>
      <w:marRight w:val="0"/>
      <w:marTop w:val="0"/>
      <w:marBottom w:val="0"/>
      <w:divBdr>
        <w:top w:val="none" w:sz="0" w:space="0" w:color="auto"/>
        <w:left w:val="none" w:sz="0" w:space="0" w:color="auto"/>
        <w:bottom w:val="none" w:sz="0" w:space="0" w:color="auto"/>
        <w:right w:val="none" w:sz="0" w:space="0" w:color="auto"/>
      </w:divBdr>
    </w:div>
    <w:div w:id="344945261">
      <w:bodyDiv w:val="1"/>
      <w:marLeft w:val="0"/>
      <w:marRight w:val="0"/>
      <w:marTop w:val="0"/>
      <w:marBottom w:val="0"/>
      <w:divBdr>
        <w:top w:val="none" w:sz="0" w:space="0" w:color="auto"/>
        <w:left w:val="none" w:sz="0" w:space="0" w:color="auto"/>
        <w:bottom w:val="none" w:sz="0" w:space="0" w:color="auto"/>
        <w:right w:val="none" w:sz="0" w:space="0" w:color="auto"/>
      </w:divBdr>
    </w:div>
    <w:div w:id="344985846">
      <w:bodyDiv w:val="1"/>
      <w:marLeft w:val="0"/>
      <w:marRight w:val="0"/>
      <w:marTop w:val="0"/>
      <w:marBottom w:val="0"/>
      <w:divBdr>
        <w:top w:val="none" w:sz="0" w:space="0" w:color="auto"/>
        <w:left w:val="none" w:sz="0" w:space="0" w:color="auto"/>
        <w:bottom w:val="none" w:sz="0" w:space="0" w:color="auto"/>
        <w:right w:val="none" w:sz="0" w:space="0" w:color="auto"/>
      </w:divBdr>
    </w:div>
    <w:div w:id="345056382">
      <w:bodyDiv w:val="1"/>
      <w:marLeft w:val="0"/>
      <w:marRight w:val="0"/>
      <w:marTop w:val="0"/>
      <w:marBottom w:val="0"/>
      <w:divBdr>
        <w:top w:val="none" w:sz="0" w:space="0" w:color="auto"/>
        <w:left w:val="none" w:sz="0" w:space="0" w:color="auto"/>
        <w:bottom w:val="none" w:sz="0" w:space="0" w:color="auto"/>
        <w:right w:val="none" w:sz="0" w:space="0" w:color="auto"/>
      </w:divBdr>
    </w:div>
    <w:div w:id="345057843">
      <w:bodyDiv w:val="1"/>
      <w:marLeft w:val="0"/>
      <w:marRight w:val="0"/>
      <w:marTop w:val="0"/>
      <w:marBottom w:val="0"/>
      <w:divBdr>
        <w:top w:val="none" w:sz="0" w:space="0" w:color="auto"/>
        <w:left w:val="none" w:sz="0" w:space="0" w:color="auto"/>
        <w:bottom w:val="none" w:sz="0" w:space="0" w:color="auto"/>
        <w:right w:val="none" w:sz="0" w:space="0" w:color="auto"/>
      </w:divBdr>
    </w:div>
    <w:div w:id="345061274">
      <w:bodyDiv w:val="1"/>
      <w:marLeft w:val="0"/>
      <w:marRight w:val="0"/>
      <w:marTop w:val="0"/>
      <w:marBottom w:val="0"/>
      <w:divBdr>
        <w:top w:val="none" w:sz="0" w:space="0" w:color="auto"/>
        <w:left w:val="none" w:sz="0" w:space="0" w:color="auto"/>
        <w:bottom w:val="none" w:sz="0" w:space="0" w:color="auto"/>
        <w:right w:val="none" w:sz="0" w:space="0" w:color="auto"/>
      </w:divBdr>
    </w:div>
    <w:div w:id="345206053">
      <w:bodyDiv w:val="1"/>
      <w:marLeft w:val="0"/>
      <w:marRight w:val="0"/>
      <w:marTop w:val="0"/>
      <w:marBottom w:val="0"/>
      <w:divBdr>
        <w:top w:val="none" w:sz="0" w:space="0" w:color="auto"/>
        <w:left w:val="none" w:sz="0" w:space="0" w:color="auto"/>
        <w:bottom w:val="none" w:sz="0" w:space="0" w:color="auto"/>
        <w:right w:val="none" w:sz="0" w:space="0" w:color="auto"/>
      </w:divBdr>
    </w:div>
    <w:div w:id="345326354">
      <w:bodyDiv w:val="1"/>
      <w:marLeft w:val="0"/>
      <w:marRight w:val="0"/>
      <w:marTop w:val="0"/>
      <w:marBottom w:val="0"/>
      <w:divBdr>
        <w:top w:val="none" w:sz="0" w:space="0" w:color="auto"/>
        <w:left w:val="none" w:sz="0" w:space="0" w:color="auto"/>
        <w:bottom w:val="none" w:sz="0" w:space="0" w:color="auto"/>
        <w:right w:val="none" w:sz="0" w:space="0" w:color="auto"/>
      </w:divBdr>
    </w:div>
    <w:div w:id="345374797">
      <w:bodyDiv w:val="1"/>
      <w:marLeft w:val="0"/>
      <w:marRight w:val="0"/>
      <w:marTop w:val="0"/>
      <w:marBottom w:val="0"/>
      <w:divBdr>
        <w:top w:val="none" w:sz="0" w:space="0" w:color="auto"/>
        <w:left w:val="none" w:sz="0" w:space="0" w:color="auto"/>
        <w:bottom w:val="none" w:sz="0" w:space="0" w:color="auto"/>
        <w:right w:val="none" w:sz="0" w:space="0" w:color="auto"/>
      </w:divBdr>
    </w:div>
    <w:div w:id="345445466">
      <w:bodyDiv w:val="1"/>
      <w:marLeft w:val="0"/>
      <w:marRight w:val="0"/>
      <w:marTop w:val="0"/>
      <w:marBottom w:val="0"/>
      <w:divBdr>
        <w:top w:val="none" w:sz="0" w:space="0" w:color="auto"/>
        <w:left w:val="none" w:sz="0" w:space="0" w:color="auto"/>
        <w:bottom w:val="none" w:sz="0" w:space="0" w:color="auto"/>
        <w:right w:val="none" w:sz="0" w:space="0" w:color="auto"/>
      </w:divBdr>
    </w:div>
    <w:div w:id="345519872">
      <w:bodyDiv w:val="1"/>
      <w:marLeft w:val="0"/>
      <w:marRight w:val="0"/>
      <w:marTop w:val="0"/>
      <w:marBottom w:val="0"/>
      <w:divBdr>
        <w:top w:val="none" w:sz="0" w:space="0" w:color="auto"/>
        <w:left w:val="none" w:sz="0" w:space="0" w:color="auto"/>
        <w:bottom w:val="none" w:sz="0" w:space="0" w:color="auto"/>
        <w:right w:val="none" w:sz="0" w:space="0" w:color="auto"/>
      </w:divBdr>
    </w:div>
    <w:div w:id="345593992">
      <w:bodyDiv w:val="1"/>
      <w:marLeft w:val="0"/>
      <w:marRight w:val="0"/>
      <w:marTop w:val="0"/>
      <w:marBottom w:val="0"/>
      <w:divBdr>
        <w:top w:val="none" w:sz="0" w:space="0" w:color="auto"/>
        <w:left w:val="none" w:sz="0" w:space="0" w:color="auto"/>
        <w:bottom w:val="none" w:sz="0" w:space="0" w:color="auto"/>
        <w:right w:val="none" w:sz="0" w:space="0" w:color="auto"/>
      </w:divBdr>
    </w:div>
    <w:div w:id="345601771">
      <w:bodyDiv w:val="1"/>
      <w:marLeft w:val="0"/>
      <w:marRight w:val="0"/>
      <w:marTop w:val="0"/>
      <w:marBottom w:val="0"/>
      <w:divBdr>
        <w:top w:val="none" w:sz="0" w:space="0" w:color="auto"/>
        <w:left w:val="none" w:sz="0" w:space="0" w:color="auto"/>
        <w:bottom w:val="none" w:sz="0" w:space="0" w:color="auto"/>
        <w:right w:val="none" w:sz="0" w:space="0" w:color="auto"/>
      </w:divBdr>
    </w:div>
    <w:div w:id="345794435">
      <w:bodyDiv w:val="1"/>
      <w:marLeft w:val="0"/>
      <w:marRight w:val="0"/>
      <w:marTop w:val="0"/>
      <w:marBottom w:val="0"/>
      <w:divBdr>
        <w:top w:val="none" w:sz="0" w:space="0" w:color="auto"/>
        <w:left w:val="none" w:sz="0" w:space="0" w:color="auto"/>
        <w:bottom w:val="none" w:sz="0" w:space="0" w:color="auto"/>
        <w:right w:val="none" w:sz="0" w:space="0" w:color="auto"/>
      </w:divBdr>
    </w:div>
    <w:div w:id="345911958">
      <w:bodyDiv w:val="1"/>
      <w:marLeft w:val="0"/>
      <w:marRight w:val="0"/>
      <w:marTop w:val="0"/>
      <w:marBottom w:val="0"/>
      <w:divBdr>
        <w:top w:val="none" w:sz="0" w:space="0" w:color="auto"/>
        <w:left w:val="none" w:sz="0" w:space="0" w:color="auto"/>
        <w:bottom w:val="none" w:sz="0" w:space="0" w:color="auto"/>
        <w:right w:val="none" w:sz="0" w:space="0" w:color="auto"/>
      </w:divBdr>
    </w:div>
    <w:div w:id="345987773">
      <w:bodyDiv w:val="1"/>
      <w:marLeft w:val="0"/>
      <w:marRight w:val="0"/>
      <w:marTop w:val="0"/>
      <w:marBottom w:val="0"/>
      <w:divBdr>
        <w:top w:val="none" w:sz="0" w:space="0" w:color="auto"/>
        <w:left w:val="none" w:sz="0" w:space="0" w:color="auto"/>
        <w:bottom w:val="none" w:sz="0" w:space="0" w:color="auto"/>
        <w:right w:val="none" w:sz="0" w:space="0" w:color="auto"/>
      </w:divBdr>
    </w:div>
    <w:div w:id="346105809">
      <w:bodyDiv w:val="1"/>
      <w:marLeft w:val="0"/>
      <w:marRight w:val="0"/>
      <w:marTop w:val="0"/>
      <w:marBottom w:val="0"/>
      <w:divBdr>
        <w:top w:val="none" w:sz="0" w:space="0" w:color="auto"/>
        <w:left w:val="none" w:sz="0" w:space="0" w:color="auto"/>
        <w:bottom w:val="none" w:sz="0" w:space="0" w:color="auto"/>
        <w:right w:val="none" w:sz="0" w:space="0" w:color="auto"/>
      </w:divBdr>
    </w:div>
    <w:div w:id="346174780">
      <w:bodyDiv w:val="1"/>
      <w:marLeft w:val="0"/>
      <w:marRight w:val="0"/>
      <w:marTop w:val="0"/>
      <w:marBottom w:val="0"/>
      <w:divBdr>
        <w:top w:val="none" w:sz="0" w:space="0" w:color="auto"/>
        <w:left w:val="none" w:sz="0" w:space="0" w:color="auto"/>
        <w:bottom w:val="none" w:sz="0" w:space="0" w:color="auto"/>
        <w:right w:val="none" w:sz="0" w:space="0" w:color="auto"/>
      </w:divBdr>
    </w:div>
    <w:div w:id="346251973">
      <w:bodyDiv w:val="1"/>
      <w:marLeft w:val="0"/>
      <w:marRight w:val="0"/>
      <w:marTop w:val="0"/>
      <w:marBottom w:val="0"/>
      <w:divBdr>
        <w:top w:val="none" w:sz="0" w:space="0" w:color="auto"/>
        <w:left w:val="none" w:sz="0" w:space="0" w:color="auto"/>
        <w:bottom w:val="none" w:sz="0" w:space="0" w:color="auto"/>
        <w:right w:val="none" w:sz="0" w:space="0" w:color="auto"/>
      </w:divBdr>
    </w:div>
    <w:div w:id="346256884">
      <w:bodyDiv w:val="1"/>
      <w:marLeft w:val="0"/>
      <w:marRight w:val="0"/>
      <w:marTop w:val="0"/>
      <w:marBottom w:val="0"/>
      <w:divBdr>
        <w:top w:val="none" w:sz="0" w:space="0" w:color="auto"/>
        <w:left w:val="none" w:sz="0" w:space="0" w:color="auto"/>
        <w:bottom w:val="none" w:sz="0" w:space="0" w:color="auto"/>
        <w:right w:val="none" w:sz="0" w:space="0" w:color="auto"/>
      </w:divBdr>
    </w:div>
    <w:div w:id="346296049">
      <w:bodyDiv w:val="1"/>
      <w:marLeft w:val="0"/>
      <w:marRight w:val="0"/>
      <w:marTop w:val="0"/>
      <w:marBottom w:val="0"/>
      <w:divBdr>
        <w:top w:val="none" w:sz="0" w:space="0" w:color="auto"/>
        <w:left w:val="none" w:sz="0" w:space="0" w:color="auto"/>
        <w:bottom w:val="none" w:sz="0" w:space="0" w:color="auto"/>
        <w:right w:val="none" w:sz="0" w:space="0" w:color="auto"/>
      </w:divBdr>
    </w:div>
    <w:div w:id="346296232">
      <w:bodyDiv w:val="1"/>
      <w:marLeft w:val="0"/>
      <w:marRight w:val="0"/>
      <w:marTop w:val="0"/>
      <w:marBottom w:val="0"/>
      <w:divBdr>
        <w:top w:val="none" w:sz="0" w:space="0" w:color="auto"/>
        <w:left w:val="none" w:sz="0" w:space="0" w:color="auto"/>
        <w:bottom w:val="none" w:sz="0" w:space="0" w:color="auto"/>
        <w:right w:val="none" w:sz="0" w:space="0" w:color="auto"/>
      </w:divBdr>
    </w:div>
    <w:div w:id="346369343">
      <w:bodyDiv w:val="1"/>
      <w:marLeft w:val="0"/>
      <w:marRight w:val="0"/>
      <w:marTop w:val="0"/>
      <w:marBottom w:val="0"/>
      <w:divBdr>
        <w:top w:val="none" w:sz="0" w:space="0" w:color="auto"/>
        <w:left w:val="none" w:sz="0" w:space="0" w:color="auto"/>
        <w:bottom w:val="none" w:sz="0" w:space="0" w:color="auto"/>
        <w:right w:val="none" w:sz="0" w:space="0" w:color="auto"/>
      </w:divBdr>
    </w:div>
    <w:div w:id="346445776">
      <w:bodyDiv w:val="1"/>
      <w:marLeft w:val="0"/>
      <w:marRight w:val="0"/>
      <w:marTop w:val="0"/>
      <w:marBottom w:val="0"/>
      <w:divBdr>
        <w:top w:val="none" w:sz="0" w:space="0" w:color="auto"/>
        <w:left w:val="none" w:sz="0" w:space="0" w:color="auto"/>
        <w:bottom w:val="none" w:sz="0" w:space="0" w:color="auto"/>
        <w:right w:val="none" w:sz="0" w:space="0" w:color="auto"/>
      </w:divBdr>
    </w:div>
    <w:div w:id="346560772">
      <w:bodyDiv w:val="1"/>
      <w:marLeft w:val="0"/>
      <w:marRight w:val="0"/>
      <w:marTop w:val="0"/>
      <w:marBottom w:val="0"/>
      <w:divBdr>
        <w:top w:val="none" w:sz="0" w:space="0" w:color="auto"/>
        <w:left w:val="none" w:sz="0" w:space="0" w:color="auto"/>
        <w:bottom w:val="none" w:sz="0" w:space="0" w:color="auto"/>
        <w:right w:val="none" w:sz="0" w:space="0" w:color="auto"/>
      </w:divBdr>
    </w:div>
    <w:div w:id="346643980">
      <w:bodyDiv w:val="1"/>
      <w:marLeft w:val="0"/>
      <w:marRight w:val="0"/>
      <w:marTop w:val="0"/>
      <w:marBottom w:val="0"/>
      <w:divBdr>
        <w:top w:val="none" w:sz="0" w:space="0" w:color="auto"/>
        <w:left w:val="none" w:sz="0" w:space="0" w:color="auto"/>
        <w:bottom w:val="none" w:sz="0" w:space="0" w:color="auto"/>
        <w:right w:val="none" w:sz="0" w:space="0" w:color="auto"/>
      </w:divBdr>
    </w:div>
    <w:div w:id="346709953">
      <w:bodyDiv w:val="1"/>
      <w:marLeft w:val="0"/>
      <w:marRight w:val="0"/>
      <w:marTop w:val="0"/>
      <w:marBottom w:val="0"/>
      <w:divBdr>
        <w:top w:val="none" w:sz="0" w:space="0" w:color="auto"/>
        <w:left w:val="none" w:sz="0" w:space="0" w:color="auto"/>
        <w:bottom w:val="none" w:sz="0" w:space="0" w:color="auto"/>
        <w:right w:val="none" w:sz="0" w:space="0" w:color="auto"/>
      </w:divBdr>
    </w:div>
    <w:div w:id="347289780">
      <w:bodyDiv w:val="1"/>
      <w:marLeft w:val="0"/>
      <w:marRight w:val="0"/>
      <w:marTop w:val="0"/>
      <w:marBottom w:val="0"/>
      <w:divBdr>
        <w:top w:val="none" w:sz="0" w:space="0" w:color="auto"/>
        <w:left w:val="none" w:sz="0" w:space="0" w:color="auto"/>
        <w:bottom w:val="none" w:sz="0" w:space="0" w:color="auto"/>
        <w:right w:val="none" w:sz="0" w:space="0" w:color="auto"/>
      </w:divBdr>
    </w:div>
    <w:div w:id="347290944">
      <w:bodyDiv w:val="1"/>
      <w:marLeft w:val="0"/>
      <w:marRight w:val="0"/>
      <w:marTop w:val="0"/>
      <w:marBottom w:val="0"/>
      <w:divBdr>
        <w:top w:val="none" w:sz="0" w:space="0" w:color="auto"/>
        <w:left w:val="none" w:sz="0" w:space="0" w:color="auto"/>
        <w:bottom w:val="none" w:sz="0" w:space="0" w:color="auto"/>
        <w:right w:val="none" w:sz="0" w:space="0" w:color="auto"/>
      </w:divBdr>
    </w:div>
    <w:div w:id="347485030">
      <w:bodyDiv w:val="1"/>
      <w:marLeft w:val="0"/>
      <w:marRight w:val="0"/>
      <w:marTop w:val="0"/>
      <w:marBottom w:val="0"/>
      <w:divBdr>
        <w:top w:val="none" w:sz="0" w:space="0" w:color="auto"/>
        <w:left w:val="none" w:sz="0" w:space="0" w:color="auto"/>
        <w:bottom w:val="none" w:sz="0" w:space="0" w:color="auto"/>
        <w:right w:val="none" w:sz="0" w:space="0" w:color="auto"/>
      </w:divBdr>
    </w:div>
    <w:div w:id="347485090">
      <w:bodyDiv w:val="1"/>
      <w:marLeft w:val="0"/>
      <w:marRight w:val="0"/>
      <w:marTop w:val="0"/>
      <w:marBottom w:val="0"/>
      <w:divBdr>
        <w:top w:val="none" w:sz="0" w:space="0" w:color="auto"/>
        <w:left w:val="none" w:sz="0" w:space="0" w:color="auto"/>
        <w:bottom w:val="none" w:sz="0" w:space="0" w:color="auto"/>
        <w:right w:val="none" w:sz="0" w:space="0" w:color="auto"/>
      </w:divBdr>
    </w:div>
    <w:div w:id="347804034">
      <w:bodyDiv w:val="1"/>
      <w:marLeft w:val="0"/>
      <w:marRight w:val="0"/>
      <w:marTop w:val="0"/>
      <w:marBottom w:val="0"/>
      <w:divBdr>
        <w:top w:val="none" w:sz="0" w:space="0" w:color="auto"/>
        <w:left w:val="none" w:sz="0" w:space="0" w:color="auto"/>
        <w:bottom w:val="none" w:sz="0" w:space="0" w:color="auto"/>
        <w:right w:val="none" w:sz="0" w:space="0" w:color="auto"/>
      </w:divBdr>
    </w:div>
    <w:div w:id="347831397">
      <w:bodyDiv w:val="1"/>
      <w:marLeft w:val="0"/>
      <w:marRight w:val="0"/>
      <w:marTop w:val="0"/>
      <w:marBottom w:val="0"/>
      <w:divBdr>
        <w:top w:val="none" w:sz="0" w:space="0" w:color="auto"/>
        <w:left w:val="none" w:sz="0" w:space="0" w:color="auto"/>
        <w:bottom w:val="none" w:sz="0" w:space="0" w:color="auto"/>
        <w:right w:val="none" w:sz="0" w:space="0" w:color="auto"/>
      </w:divBdr>
    </w:div>
    <w:div w:id="347878923">
      <w:bodyDiv w:val="1"/>
      <w:marLeft w:val="0"/>
      <w:marRight w:val="0"/>
      <w:marTop w:val="0"/>
      <w:marBottom w:val="0"/>
      <w:divBdr>
        <w:top w:val="none" w:sz="0" w:space="0" w:color="auto"/>
        <w:left w:val="none" w:sz="0" w:space="0" w:color="auto"/>
        <w:bottom w:val="none" w:sz="0" w:space="0" w:color="auto"/>
        <w:right w:val="none" w:sz="0" w:space="0" w:color="auto"/>
      </w:divBdr>
    </w:div>
    <w:div w:id="348027971">
      <w:bodyDiv w:val="1"/>
      <w:marLeft w:val="0"/>
      <w:marRight w:val="0"/>
      <w:marTop w:val="0"/>
      <w:marBottom w:val="0"/>
      <w:divBdr>
        <w:top w:val="none" w:sz="0" w:space="0" w:color="auto"/>
        <w:left w:val="none" w:sz="0" w:space="0" w:color="auto"/>
        <w:bottom w:val="none" w:sz="0" w:space="0" w:color="auto"/>
        <w:right w:val="none" w:sz="0" w:space="0" w:color="auto"/>
      </w:divBdr>
    </w:div>
    <w:div w:id="348064166">
      <w:bodyDiv w:val="1"/>
      <w:marLeft w:val="0"/>
      <w:marRight w:val="0"/>
      <w:marTop w:val="0"/>
      <w:marBottom w:val="0"/>
      <w:divBdr>
        <w:top w:val="none" w:sz="0" w:space="0" w:color="auto"/>
        <w:left w:val="none" w:sz="0" w:space="0" w:color="auto"/>
        <w:bottom w:val="none" w:sz="0" w:space="0" w:color="auto"/>
        <w:right w:val="none" w:sz="0" w:space="0" w:color="auto"/>
      </w:divBdr>
    </w:div>
    <w:div w:id="348068810">
      <w:bodyDiv w:val="1"/>
      <w:marLeft w:val="0"/>
      <w:marRight w:val="0"/>
      <w:marTop w:val="0"/>
      <w:marBottom w:val="0"/>
      <w:divBdr>
        <w:top w:val="none" w:sz="0" w:space="0" w:color="auto"/>
        <w:left w:val="none" w:sz="0" w:space="0" w:color="auto"/>
        <w:bottom w:val="none" w:sz="0" w:space="0" w:color="auto"/>
        <w:right w:val="none" w:sz="0" w:space="0" w:color="auto"/>
      </w:divBdr>
    </w:div>
    <w:div w:id="348214905">
      <w:bodyDiv w:val="1"/>
      <w:marLeft w:val="0"/>
      <w:marRight w:val="0"/>
      <w:marTop w:val="0"/>
      <w:marBottom w:val="0"/>
      <w:divBdr>
        <w:top w:val="none" w:sz="0" w:space="0" w:color="auto"/>
        <w:left w:val="none" w:sz="0" w:space="0" w:color="auto"/>
        <w:bottom w:val="none" w:sz="0" w:space="0" w:color="auto"/>
        <w:right w:val="none" w:sz="0" w:space="0" w:color="auto"/>
      </w:divBdr>
    </w:div>
    <w:div w:id="348602620">
      <w:bodyDiv w:val="1"/>
      <w:marLeft w:val="0"/>
      <w:marRight w:val="0"/>
      <w:marTop w:val="0"/>
      <w:marBottom w:val="0"/>
      <w:divBdr>
        <w:top w:val="none" w:sz="0" w:space="0" w:color="auto"/>
        <w:left w:val="none" w:sz="0" w:space="0" w:color="auto"/>
        <w:bottom w:val="none" w:sz="0" w:space="0" w:color="auto"/>
        <w:right w:val="none" w:sz="0" w:space="0" w:color="auto"/>
      </w:divBdr>
    </w:div>
    <w:div w:id="348604823">
      <w:bodyDiv w:val="1"/>
      <w:marLeft w:val="0"/>
      <w:marRight w:val="0"/>
      <w:marTop w:val="0"/>
      <w:marBottom w:val="0"/>
      <w:divBdr>
        <w:top w:val="none" w:sz="0" w:space="0" w:color="auto"/>
        <w:left w:val="none" w:sz="0" w:space="0" w:color="auto"/>
        <w:bottom w:val="none" w:sz="0" w:space="0" w:color="auto"/>
        <w:right w:val="none" w:sz="0" w:space="0" w:color="auto"/>
      </w:divBdr>
    </w:div>
    <w:div w:id="348607301">
      <w:bodyDiv w:val="1"/>
      <w:marLeft w:val="0"/>
      <w:marRight w:val="0"/>
      <w:marTop w:val="0"/>
      <w:marBottom w:val="0"/>
      <w:divBdr>
        <w:top w:val="none" w:sz="0" w:space="0" w:color="auto"/>
        <w:left w:val="none" w:sz="0" w:space="0" w:color="auto"/>
        <w:bottom w:val="none" w:sz="0" w:space="0" w:color="auto"/>
        <w:right w:val="none" w:sz="0" w:space="0" w:color="auto"/>
      </w:divBdr>
    </w:div>
    <w:div w:id="348724785">
      <w:bodyDiv w:val="1"/>
      <w:marLeft w:val="0"/>
      <w:marRight w:val="0"/>
      <w:marTop w:val="0"/>
      <w:marBottom w:val="0"/>
      <w:divBdr>
        <w:top w:val="none" w:sz="0" w:space="0" w:color="auto"/>
        <w:left w:val="none" w:sz="0" w:space="0" w:color="auto"/>
        <w:bottom w:val="none" w:sz="0" w:space="0" w:color="auto"/>
        <w:right w:val="none" w:sz="0" w:space="0" w:color="auto"/>
      </w:divBdr>
    </w:div>
    <w:div w:id="348797142">
      <w:bodyDiv w:val="1"/>
      <w:marLeft w:val="0"/>
      <w:marRight w:val="0"/>
      <w:marTop w:val="0"/>
      <w:marBottom w:val="0"/>
      <w:divBdr>
        <w:top w:val="none" w:sz="0" w:space="0" w:color="auto"/>
        <w:left w:val="none" w:sz="0" w:space="0" w:color="auto"/>
        <w:bottom w:val="none" w:sz="0" w:space="0" w:color="auto"/>
        <w:right w:val="none" w:sz="0" w:space="0" w:color="auto"/>
      </w:divBdr>
    </w:div>
    <w:div w:id="348877978">
      <w:bodyDiv w:val="1"/>
      <w:marLeft w:val="0"/>
      <w:marRight w:val="0"/>
      <w:marTop w:val="0"/>
      <w:marBottom w:val="0"/>
      <w:divBdr>
        <w:top w:val="none" w:sz="0" w:space="0" w:color="auto"/>
        <w:left w:val="none" w:sz="0" w:space="0" w:color="auto"/>
        <w:bottom w:val="none" w:sz="0" w:space="0" w:color="auto"/>
        <w:right w:val="none" w:sz="0" w:space="0" w:color="auto"/>
      </w:divBdr>
    </w:div>
    <w:div w:id="348919957">
      <w:bodyDiv w:val="1"/>
      <w:marLeft w:val="0"/>
      <w:marRight w:val="0"/>
      <w:marTop w:val="0"/>
      <w:marBottom w:val="0"/>
      <w:divBdr>
        <w:top w:val="none" w:sz="0" w:space="0" w:color="auto"/>
        <w:left w:val="none" w:sz="0" w:space="0" w:color="auto"/>
        <w:bottom w:val="none" w:sz="0" w:space="0" w:color="auto"/>
        <w:right w:val="none" w:sz="0" w:space="0" w:color="auto"/>
      </w:divBdr>
    </w:div>
    <w:div w:id="348994552">
      <w:bodyDiv w:val="1"/>
      <w:marLeft w:val="0"/>
      <w:marRight w:val="0"/>
      <w:marTop w:val="0"/>
      <w:marBottom w:val="0"/>
      <w:divBdr>
        <w:top w:val="none" w:sz="0" w:space="0" w:color="auto"/>
        <w:left w:val="none" w:sz="0" w:space="0" w:color="auto"/>
        <w:bottom w:val="none" w:sz="0" w:space="0" w:color="auto"/>
        <w:right w:val="none" w:sz="0" w:space="0" w:color="auto"/>
      </w:divBdr>
    </w:div>
    <w:div w:id="349110427">
      <w:bodyDiv w:val="1"/>
      <w:marLeft w:val="0"/>
      <w:marRight w:val="0"/>
      <w:marTop w:val="0"/>
      <w:marBottom w:val="0"/>
      <w:divBdr>
        <w:top w:val="none" w:sz="0" w:space="0" w:color="auto"/>
        <w:left w:val="none" w:sz="0" w:space="0" w:color="auto"/>
        <w:bottom w:val="none" w:sz="0" w:space="0" w:color="auto"/>
        <w:right w:val="none" w:sz="0" w:space="0" w:color="auto"/>
      </w:divBdr>
    </w:div>
    <w:div w:id="349111884">
      <w:bodyDiv w:val="1"/>
      <w:marLeft w:val="0"/>
      <w:marRight w:val="0"/>
      <w:marTop w:val="0"/>
      <w:marBottom w:val="0"/>
      <w:divBdr>
        <w:top w:val="none" w:sz="0" w:space="0" w:color="auto"/>
        <w:left w:val="none" w:sz="0" w:space="0" w:color="auto"/>
        <w:bottom w:val="none" w:sz="0" w:space="0" w:color="auto"/>
        <w:right w:val="none" w:sz="0" w:space="0" w:color="auto"/>
      </w:divBdr>
    </w:div>
    <w:div w:id="349181661">
      <w:bodyDiv w:val="1"/>
      <w:marLeft w:val="0"/>
      <w:marRight w:val="0"/>
      <w:marTop w:val="0"/>
      <w:marBottom w:val="0"/>
      <w:divBdr>
        <w:top w:val="none" w:sz="0" w:space="0" w:color="auto"/>
        <w:left w:val="none" w:sz="0" w:space="0" w:color="auto"/>
        <w:bottom w:val="none" w:sz="0" w:space="0" w:color="auto"/>
        <w:right w:val="none" w:sz="0" w:space="0" w:color="auto"/>
      </w:divBdr>
    </w:div>
    <w:div w:id="349256831">
      <w:bodyDiv w:val="1"/>
      <w:marLeft w:val="0"/>
      <w:marRight w:val="0"/>
      <w:marTop w:val="0"/>
      <w:marBottom w:val="0"/>
      <w:divBdr>
        <w:top w:val="none" w:sz="0" w:space="0" w:color="auto"/>
        <w:left w:val="none" w:sz="0" w:space="0" w:color="auto"/>
        <w:bottom w:val="none" w:sz="0" w:space="0" w:color="auto"/>
        <w:right w:val="none" w:sz="0" w:space="0" w:color="auto"/>
      </w:divBdr>
    </w:div>
    <w:div w:id="349450598">
      <w:bodyDiv w:val="1"/>
      <w:marLeft w:val="0"/>
      <w:marRight w:val="0"/>
      <w:marTop w:val="0"/>
      <w:marBottom w:val="0"/>
      <w:divBdr>
        <w:top w:val="none" w:sz="0" w:space="0" w:color="auto"/>
        <w:left w:val="none" w:sz="0" w:space="0" w:color="auto"/>
        <w:bottom w:val="none" w:sz="0" w:space="0" w:color="auto"/>
        <w:right w:val="none" w:sz="0" w:space="0" w:color="auto"/>
      </w:divBdr>
    </w:div>
    <w:div w:id="349573604">
      <w:bodyDiv w:val="1"/>
      <w:marLeft w:val="0"/>
      <w:marRight w:val="0"/>
      <w:marTop w:val="0"/>
      <w:marBottom w:val="0"/>
      <w:divBdr>
        <w:top w:val="none" w:sz="0" w:space="0" w:color="auto"/>
        <w:left w:val="none" w:sz="0" w:space="0" w:color="auto"/>
        <w:bottom w:val="none" w:sz="0" w:space="0" w:color="auto"/>
        <w:right w:val="none" w:sz="0" w:space="0" w:color="auto"/>
      </w:divBdr>
    </w:div>
    <w:div w:id="349765642">
      <w:bodyDiv w:val="1"/>
      <w:marLeft w:val="0"/>
      <w:marRight w:val="0"/>
      <w:marTop w:val="0"/>
      <w:marBottom w:val="0"/>
      <w:divBdr>
        <w:top w:val="none" w:sz="0" w:space="0" w:color="auto"/>
        <w:left w:val="none" w:sz="0" w:space="0" w:color="auto"/>
        <w:bottom w:val="none" w:sz="0" w:space="0" w:color="auto"/>
        <w:right w:val="none" w:sz="0" w:space="0" w:color="auto"/>
      </w:divBdr>
    </w:div>
    <w:div w:id="349798352">
      <w:bodyDiv w:val="1"/>
      <w:marLeft w:val="0"/>
      <w:marRight w:val="0"/>
      <w:marTop w:val="0"/>
      <w:marBottom w:val="0"/>
      <w:divBdr>
        <w:top w:val="none" w:sz="0" w:space="0" w:color="auto"/>
        <w:left w:val="none" w:sz="0" w:space="0" w:color="auto"/>
        <w:bottom w:val="none" w:sz="0" w:space="0" w:color="auto"/>
        <w:right w:val="none" w:sz="0" w:space="0" w:color="auto"/>
      </w:divBdr>
    </w:div>
    <w:div w:id="349914186">
      <w:bodyDiv w:val="1"/>
      <w:marLeft w:val="0"/>
      <w:marRight w:val="0"/>
      <w:marTop w:val="0"/>
      <w:marBottom w:val="0"/>
      <w:divBdr>
        <w:top w:val="none" w:sz="0" w:space="0" w:color="auto"/>
        <w:left w:val="none" w:sz="0" w:space="0" w:color="auto"/>
        <w:bottom w:val="none" w:sz="0" w:space="0" w:color="auto"/>
        <w:right w:val="none" w:sz="0" w:space="0" w:color="auto"/>
      </w:divBdr>
    </w:div>
    <w:div w:id="349914313">
      <w:bodyDiv w:val="1"/>
      <w:marLeft w:val="0"/>
      <w:marRight w:val="0"/>
      <w:marTop w:val="0"/>
      <w:marBottom w:val="0"/>
      <w:divBdr>
        <w:top w:val="none" w:sz="0" w:space="0" w:color="auto"/>
        <w:left w:val="none" w:sz="0" w:space="0" w:color="auto"/>
        <w:bottom w:val="none" w:sz="0" w:space="0" w:color="auto"/>
        <w:right w:val="none" w:sz="0" w:space="0" w:color="auto"/>
      </w:divBdr>
    </w:div>
    <w:div w:id="349990096">
      <w:bodyDiv w:val="1"/>
      <w:marLeft w:val="0"/>
      <w:marRight w:val="0"/>
      <w:marTop w:val="0"/>
      <w:marBottom w:val="0"/>
      <w:divBdr>
        <w:top w:val="none" w:sz="0" w:space="0" w:color="auto"/>
        <w:left w:val="none" w:sz="0" w:space="0" w:color="auto"/>
        <w:bottom w:val="none" w:sz="0" w:space="0" w:color="auto"/>
        <w:right w:val="none" w:sz="0" w:space="0" w:color="auto"/>
      </w:divBdr>
    </w:div>
    <w:div w:id="350111713">
      <w:bodyDiv w:val="1"/>
      <w:marLeft w:val="0"/>
      <w:marRight w:val="0"/>
      <w:marTop w:val="0"/>
      <w:marBottom w:val="0"/>
      <w:divBdr>
        <w:top w:val="none" w:sz="0" w:space="0" w:color="auto"/>
        <w:left w:val="none" w:sz="0" w:space="0" w:color="auto"/>
        <w:bottom w:val="none" w:sz="0" w:space="0" w:color="auto"/>
        <w:right w:val="none" w:sz="0" w:space="0" w:color="auto"/>
      </w:divBdr>
    </w:div>
    <w:div w:id="350303248">
      <w:bodyDiv w:val="1"/>
      <w:marLeft w:val="0"/>
      <w:marRight w:val="0"/>
      <w:marTop w:val="0"/>
      <w:marBottom w:val="0"/>
      <w:divBdr>
        <w:top w:val="none" w:sz="0" w:space="0" w:color="auto"/>
        <w:left w:val="none" w:sz="0" w:space="0" w:color="auto"/>
        <w:bottom w:val="none" w:sz="0" w:space="0" w:color="auto"/>
        <w:right w:val="none" w:sz="0" w:space="0" w:color="auto"/>
      </w:divBdr>
    </w:div>
    <w:div w:id="350423576">
      <w:bodyDiv w:val="1"/>
      <w:marLeft w:val="0"/>
      <w:marRight w:val="0"/>
      <w:marTop w:val="0"/>
      <w:marBottom w:val="0"/>
      <w:divBdr>
        <w:top w:val="none" w:sz="0" w:space="0" w:color="auto"/>
        <w:left w:val="none" w:sz="0" w:space="0" w:color="auto"/>
        <w:bottom w:val="none" w:sz="0" w:space="0" w:color="auto"/>
        <w:right w:val="none" w:sz="0" w:space="0" w:color="auto"/>
      </w:divBdr>
    </w:div>
    <w:div w:id="350573683">
      <w:bodyDiv w:val="1"/>
      <w:marLeft w:val="0"/>
      <w:marRight w:val="0"/>
      <w:marTop w:val="0"/>
      <w:marBottom w:val="0"/>
      <w:divBdr>
        <w:top w:val="none" w:sz="0" w:space="0" w:color="auto"/>
        <w:left w:val="none" w:sz="0" w:space="0" w:color="auto"/>
        <w:bottom w:val="none" w:sz="0" w:space="0" w:color="auto"/>
        <w:right w:val="none" w:sz="0" w:space="0" w:color="auto"/>
      </w:divBdr>
    </w:div>
    <w:div w:id="350642684">
      <w:bodyDiv w:val="1"/>
      <w:marLeft w:val="0"/>
      <w:marRight w:val="0"/>
      <w:marTop w:val="0"/>
      <w:marBottom w:val="0"/>
      <w:divBdr>
        <w:top w:val="none" w:sz="0" w:space="0" w:color="auto"/>
        <w:left w:val="none" w:sz="0" w:space="0" w:color="auto"/>
        <w:bottom w:val="none" w:sz="0" w:space="0" w:color="auto"/>
        <w:right w:val="none" w:sz="0" w:space="0" w:color="auto"/>
      </w:divBdr>
    </w:div>
    <w:div w:id="350761682">
      <w:bodyDiv w:val="1"/>
      <w:marLeft w:val="0"/>
      <w:marRight w:val="0"/>
      <w:marTop w:val="0"/>
      <w:marBottom w:val="0"/>
      <w:divBdr>
        <w:top w:val="none" w:sz="0" w:space="0" w:color="auto"/>
        <w:left w:val="none" w:sz="0" w:space="0" w:color="auto"/>
        <w:bottom w:val="none" w:sz="0" w:space="0" w:color="auto"/>
        <w:right w:val="none" w:sz="0" w:space="0" w:color="auto"/>
      </w:divBdr>
    </w:div>
    <w:div w:id="350765798">
      <w:bodyDiv w:val="1"/>
      <w:marLeft w:val="0"/>
      <w:marRight w:val="0"/>
      <w:marTop w:val="0"/>
      <w:marBottom w:val="0"/>
      <w:divBdr>
        <w:top w:val="none" w:sz="0" w:space="0" w:color="auto"/>
        <w:left w:val="none" w:sz="0" w:space="0" w:color="auto"/>
        <w:bottom w:val="none" w:sz="0" w:space="0" w:color="auto"/>
        <w:right w:val="none" w:sz="0" w:space="0" w:color="auto"/>
      </w:divBdr>
    </w:div>
    <w:div w:id="350836320">
      <w:bodyDiv w:val="1"/>
      <w:marLeft w:val="0"/>
      <w:marRight w:val="0"/>
      <w:marTop w:val="0"/>
      <w:marBottom w:val="0"/>
      <w:divBdr>
        <w:top w:val="none" w:sz="0" w:space="0" w:color="auto"/>
        <w:left w:val="none" w:sz="0" w:space="0" w:color="auto"/>
        <w:bottom w:val="none" w:sz="0" w:space="0" w:color="auto"/>
        <w:right w:val="none" w:sz="0" w:space="0" w:color="auto"/>
      </w:divBdr>
    </w:div>
    <w:div w:id="350837994">
      <w:bodyDiv w:val="1"/>
      <w:marLeft w:val="0"/>
      <w:marRight w:val="0"/>
      <w:marTop w:val="0"/>
      <w:marBottom w:val="0"/>
      <w:divBdr>
        <w:top w:val="none" w:sz="0" w:space="0" w:color="auto"/>
        <w:left w:val="none" w:sz="0" w:space="0" w:color="auto"/>
        <w:bottom w:val="none" w:sz="0" w:space="0" w:color="auto"/>
        <w:right w:val="none" w:sz="0" w:space="0" w:color="auto"/>
      </w:divBdr>
    </w:div>
    <w:div w:id="350883248">
      <w:bodyDiv w:val="1"/>
      <w:marLeft w:val="0"/>
      <w:marRight w:val="0"/>
      <w:marTop w:val="0"/>
      <w:marBottom w:val="0"/>
      <w:divBdr>
        <w:top w:val="none" w:sz="0" w:space="0" w:color="auto"/>
        <w:left w:val="none" w:sz="0" w:space="0" w:color="auto"/>
        <w:bottom w:val="none" w:sz="0" w:space="0" w:color="auto"/>
        <w:right w:val="none" w:sz="0" w:space="0" w:color="auto"/>
      </w:divBdr>
    </w:div>
    <w:div w:id="351106432">
      <w:bodyDiv w:val="1"/>
      <w:marLeft w:val="0"/>
      <w:marRight w:val="0"/>
      <w:marTop w:val="0"/>
      <w:marBottom w:val="0"/>
      <w:divBdr>
        <w:top w:val="none" w:sz="0" w:space="0" w:color="auto"/>
        <w:left w:val="none" w:sz="0" w:space="0" w:color="auto"/>
        <w:bottom w:val="none" w:sz="0" w:space="0" w:color="auto"/>
        <w:right w:val="none" w:sz="0" w:space="0" w:color="auto"/>
      </w:divBdr>
    </w:div>
    <w:div w:id="351148027">
      <w:bodyDiv w:val="1"/>
      <w:marLeft w:val="0"/>
      <w:marRight w:val="0"/>
      <w:marTop w:val="0"/>
      <w:marBottom w:val="0"/>
      <w:divBdr>
        <w:top w:val="none" w:sz="0" w:space="0" w:color="auto"/>
        <w:left w:val="none" w:sz="0" w:space="0" w:color="auto"/>
        <w:bottom w:val="none" w:sz="0" w:space="0" w:color="auto"/>
        <w:right w:val="none" w:sz="0" w:space="0" w:color="auto"/>
      </w:divBdr>
    </w:div>
    <w:div w:id="351492025">
      <w:bodyDiv w:val="1"/>
      <w:marLeft w:val="0"/>
      <w:marRight w:val="0"/>
      <w:marTop w:val="0"/>
      <w:marBottom w:val="0"/>
      <w:divBdr>
        <w:top w:val="none" w:sz="0" w:space="0" w:color="auto"/>
        <w:left w:val="none" w:sz="0" w:space="0" w:color="auto"/>
        <w:bottom w:val="none" w:sz="0" w:space="0" w:color="auto"/>
        <w:right w:val="none" w:sz="0" w:space="0" w:color="auto"/>
      </w:divBdr>
    </w:div>
    <w:div w:id="351497116">
      <w:bodyDiv w:val="1"/>
      <w:marLeft w:val="0"/>
      <w:marRight w:val="0"/>
      <w:marTop w:val="0"/>
      <w:marBottom w:val="0"/>
      <w:divBdr>
        <w:top w:val="none" w:sz="0" w:space="0" w:color="auto"/>
        <w:left w:val="none" w:sz="0" w:space="0" w:color="auto"/>
        <w:bottom w:val="none" w:sz="0" w:space="0" w:color="auto"/>
        <w:right w:val="none" w:sz="0" w:space="0" w:color="auto"/>
      </w:divBdr>
    </w:div>
    <w:div w:id="351609562">
      <w:bodyDiv w:val="1"/>
      <w:marLeft w:val="0"/>
      <w:marRight w:val="0"/>
      <w:marTop w:val="0"/>
      <w:marBottom w:val="0"/>
      <w:divBdr>
        <w:top w:val="none" w:sz="0" w:space="0" w:color="auto"/>
        <w:left w:val="none" w:sz="0" w:space="0" w:color="auto"/>
        <w:bottom w:val="none" w:sz="0" w:space="0" w:color="auto"/>
        <w:right w:val="none" w:sz="0" w:space="0" w:color="auto"/>
      </w:divBdr>
    </w:div>
    <w:div w:id="351687820">
      <w:bodyDiv w:val="1"/>
      <w:marLeft w:val="0"/>
      <w:marRight w:val="0"/>
      <w:marTop w:val="0"/>
      <w:marBottom w:val="0"/>
      <w:divBdr>
        <w:top w:val="none" w:sz="0" w:space="0" w:color="auto"/>
        <w:left w:val="none" w:sz="0" w:space="0" w:color="auto"/>
        <w:bottom w:val="none" w:sz="0" w:space="0" w:color="auto"/>
        <w:right w:val="none" w:sz="0" w:space="0" w:color="auto"/>
      </w:divBdr>
    </w:div>
    <w:div w:id="351689572">
      <w:bodyDiv w:val="1"/>
      <w:marLeft w:val="0"/>
      <w:marRight w:val="0"/>
      <w:marTop w:val="0"/>
      <w:marBottom w:val="0"/>
      <w:divBdr>
        <w:top w:val="none" w:sz="0" w:space="0" w:color="auto"/>
        <w:left w:val="none" w:sz="0" w:space="0" w:color="auto"/>
        <w:bottom w:val="none" w:sz="0" w:space="0" w:color="auto"/>
        <w:right w:val="none" w:sz="0" w:space="0" w:color="auto"/>
      </w:divBdr>
    </w:div>
    <w:div w:id="351692099">
      <w:bodyDiv w:val="1"/>
      <w:marLeft w:val="0"/>
      <w:marRight w:val="0"/>
      <w:marTop w:val="0"/>
      <w:marBottom w:val="0"/>
      <w:divBdr>
        <w:top w:val="none" w:sz="0" w:space="0" w:color="auto"/>
        <w:left w:val="none" w:sz="0" w:space="0" w:color="auto"/>
        <w:bottom w:val="none" w:sz="0" w:space="0" w:color="auto"/>
        <w:right w:val="none" w:sz="0" w:space="0" w:color="auto"/>
      </w:divBdr>
    </w:div>
    <w:div w:id="351802274">
      <w:bodyDiv w:val="1"/>
      <w:marLeft w:val="0"/>
      <w:marRight w:val="0"/>
      <w:marTop w:val="0"/>
      <w:marBottom w:val="0"/>
      <w:divBdr>
        <w:top w:val="none" w:sz="0" w:space="0" w:color="auto"/>
        <w:left w:val="none" w:sz="0" w:space="0" w:color="auto"/>
        <w:bottom w:val="none" w:sz="0" w:space="0" w:color="auto"/>
        <w:right w:val="none" w:sz="0" w:space="0" w:color="auto"/>
      </w:divBdr>
    </w:div>
    <w:div w:id="351804528">
      <w:bodyDiv w:val="1"/>
      <w:marLeft w:val="0"/>
      <w:marRight w:val="0"/>
      <w:marTop w:val="0"/>
      <w:marBottom w:val="0"/>
      <w:divBdr>
        <w:top w:val="none" w:sz="0" w:space="0" w:color="auto"/>
        <w:left w:val="none" w:sz="0" w:space="0" w:color="auto"/>
        <w:bottom w:val="none" w:sz="0" w:space="0" w:color="auto"/>
        <w:right w:val="none" w:sz="0" w:space="0" w:color="auto"/>
      </w:divBdr>
    </w:div>
    <w:div w:id="351878776">
      <w:bodyDiv w:val="1"/>
      <w:marLeft w:val="0"/>
      <w:marRight w:val="0"/>
      <w:marTop w:val="0"/>
      <w:marBottom w:val="0"/>
      <w:divBdr>
        <w:top w:val="none" w:sz="0" w:space="0" w:color="auto"/>
        <w:left w:val="none" w:sz="0" w:space="0" w:color="auto"/>
        <w:bottom w:val="none" w:sz="0" w:space="0" w:color="auto"/>
        <w:right w:val="none" w:sz="0" w:space="0" w:color="auto"/>
      </w:divBdr>
    </w:div>
    <w:div w:id="351956096">
      <w:bodyDiv w:val="1"/>
      <w:marLeft w:val="0"/>
      <w:marRight w:val="0"/>
      <w:marTop w:val="0"/>
      <w:marBottom w:val="0"/>
      <w:divBdr>
        <w:top w:val="none" w:sz="0" w:space="0" w:color="auto"/>
        <w:left w:val="none" w:sz="0" w:space="0" w:color="auto"/>
        <w:bottom w:val="none" w:sz="0" w:space="0" w:color="auto"/>
        <w:right w:val="none" w:sz="0" w:space="0" w:color="auto"/>
      </w:divBdr>
    </w:div>
    <w:div w:id="351957045">
      <w:bodyDiv w:val="1"/>
      <w:marLeft w:val="0"/>
      <w:marRight w:val="0"/>
      <w:marTop w:val="0"/>
      <w:marBottom w:val="0"/>
      <w:divBdr>
        <w:top w:val="none" w:sz="0" w:space="0" w:color="auto"/>
        <w:left w:val="none" w:sz="0" w:space="0" w:color="auto"/>
        <w:bottom w:val="none" w:sz="0" w:space="0" w:color="auto"/>
        <w:right w:val="none" w:sz="0" w:space="0" w:color="auto"/>
      </w:divBdr>
    </w:div>
    <w:div w:id="351997376">
      <w:bodyDiv w:val="1"/>
      <w:marLeft w:val="0"/>
      <w:marRight w:val="0"/>
      <w:marTop w:val="0"/>
      <w:marBottom w:val="0"/>
      <w:divBdr>
        <w:top w:val="none" w:sz="0" w:space="0" w:color="auto"/>
        <w:left w:val="none" w:sz="0" w:space="0" w:color="auto"/>
        <w:bottom w:val="none" w:sz="0" w:space="0" w:color="auto"/>
        <w:right w:val="none" w:sz="0" w:space="0" w:color="auto"/>
      </w:divBdr>
    </w:div>
    <w:div w:id="352000812">
      <w:bodyDiv w:val="1"/>
      <w:marLeft w:val="0"/>
      <w:marRight w:val="0"/>
      <w:marTop w:val="0"/>
      <w:marBottom w:val="0"/>
      <w:divBdr>
        <w:top w:val="none" w:sz="0" w:space="0" w:color="auto"/>
        <w:left w:val="none" w:sz="0" w:space="0" w:color="auto"/>
        <w:bottom w:val="none" w:sz="0" w:space="0" w:color="auto"/>
        <w:right w:val="none" w:sz="0" w:space="0" w:color="auto"/>
      </w:divBdr>
    </w:div>
    <w:div w:id="352078333">
      <w:bodyDiv w:val="1"/>
      <w:marLeft w:val="0"/>
      <w:marRight w:val="0"/>
      <w:marTop w:val="0"/>
      <w:marBottom w:val="0"/>
      <w:divBdr>
        <w:top w:val="none" w:sz="0" w:space="0" w:color="auto"/>
        <w:left w:val="none" w:sz="0" w:space="0" w:color="auto"/>
        <w:bottom w:val="none" w:sz="0" w:space="0" w:color="auto"/>
        <w:right w:val="none" w:sz="0" w:space="0" w:color="auto"/>
      </w:divBdr>
    </w:div>
    <w:div w:id="352191459">
      <w:bodyDiv w:val="1"/>
      <w:marLeft w:val="0"/>
      <w:marRight w:val="0"/>
      <w:marTop w:val="0"/>
      <w:marBottom w:val="0"/>
      <w:divBdr>
        <w:top w:val="none" w:sz="0" w:space="0" w:color="auto"/>
        <w:left w:val="none" w:sz="0" w:space="0" w:color="auto"/>
        <w:bottom w:val="none" w:sz="0" w:space="0" w:color="auto"/>
        <w:right w:val="none" w:sz="0" w:space="0" w:color="auto"/>
      </w:divBdr>
    </w:div>
    <w:div w:id="352271514">
      <w:bodyDiv w:val="1"/>
      <w:marLeft w:val="0"/>
      <w:marRight w:val="0"/>
      <w:marTop w:val="0"/>
      <w:marBottom w:val="0"/>
      <w:divBdr>
        <w:top w:val="none" w:sz="0" w:space="0" w:color="auto"/>
        <w:left w:val="none" w:sz="0" w:space="0" w:color="auto"/>
        <w:bottom w:val="none" w:sz="0" w:space="0" w:color="auto"/>
        <w:right w:val="none" w:sz="0" w:space="0" w:color="auto"/>
      </w:divBdr>
    </w:div>
    <w:div w:id="352457706">
      <w:bodyDiv w:val="1"/>
      <w:marLeft w:val="0"/>
      <w:marRight w:val="0"/>
      <w:marTop w:val="0"/>
      <w:marBottom w:val="0"/>
      <w:divBdr>
        <w:top w:val="none" w:sz="0" w:space="0" w:color="auto"/>
        <w:left w:val="none" w:sz="0" w:space="0" w:color="auto"/>
        <w:bottom w:val="none" w:sz="0" w:space="0" w:color="auto"/>
        <w:right w:val="none" w:sz="0" w:space="0" w:color="auto"/>
      </w:divBdr>
    </w:div>
    <w:div w:id="352462462">
      <w:bodyDiv w:val="1"/>
      <w:marLeft w:val="0"/>
      <w:marRight w:val="0"/>
      <w:marTop w:val="0"/>
      <w:marBottom w:val="0"/>
      <w:divBdr>
        <w:top w:val="none" w:sz="0" w:space="0" w:color="auto"/>
        <w:left w:val="none" w:sz="0" w:space="0" w:color="auto"/>
        <w:bottom w:val="none" w:sz="0" w:space="0" w:color="auto"/>
        <w:right w:val="none" w:sz="0" w:space="0" w:color="auto"/>
      </w:divBdr>
    </w:div>
    <w:div w:id="352463114">
      <w:bodyDiv w:val="1"/>
      <w:marLeft w:val="0"/>
      <w:marRight w:val="0"/>
      <w:marTop w:val="0"/>
      <w:marBottom w:val="0"/>
      <w:divBdr>
        <w:top w:val="none" w:sz="0" w:space="0" w:color="auto"/>
        <w:left w:val="none" w:sz="0" w:space="0" w:color="auto"/>
        <w:bottom w:val="none" w:sz="0" w:space="0" w:color="auto"/>
        <w:right w:val="none" w:sz="0" w:space="0" w:color="auto"/>
      </w:divBdr>
    </w:div>
    <w:div w:id="352541293">
      <w:bodyDiv w:val="1"/>
      <w:marLeft w:val="0"/>
      <w:marRight w:val="0"/>
      <w:marTop w:val="0"/>
      <w:marBottom w:val="0"/>
      <w:divBdr>
        <w:top w:val="none" w:sz="0" w:space="0" w:color="auto"/>
        <w:left w:val="none" w:sz="0" w:space="0" w:color="auto"/>
        <w:bottom w:val="none" w:sz="0" w:space="0" w:color="auto"/>
        <w:right w:val="none" w:sz="0" w:space="0" w:color="auto"/>
      </w:divBdr>
    </w:div>
    <w:div w:id="352607633">
      <w:bodyDiv w:val="1"/>
      <w:marLeft w:val="0"/>
      <w:marRight w:val="0"/>
      <w:marTop w:val="0"/>
      <w:marBottom w:val="0"/>
      <w:divBdr>
        <w:top w:val="none" w:sz="0" w:space="0" w:color="auto"/>
        <w:left w:val="none" w:sz="0" w:space="0" w:color="auto"/>
        <w:bottom w:val="none" w:sz="0" w:space="0" w:color="auto"/>
        <w:right w:val="none" w:sz="0" w:space="0" w:color="auto"/>
      </w:divBdr>
    </w:div>
    <w:div w:id="352733920">
      <w:bodyDiv w:val="1"/>
      <w:marLeft w:val="0"/>
      <w:marRight w:val="0"/>
      <w:marTop w:val="0"/>
      <w:marBottom w:val="0"/>
      <w:divBdr>
        <w:top w:val="none" w:sz="0" w:space="0" w:color="auto"/>
        <w:left w:val="none" w:sz="0" w:space="0" w:color="auto"/>
        <w:bottom w:val="none" w:sz="0" w:space="0" w:color="auto"/>
        <w:right w:val="none" w:sz="0" w:space="0" w:color="auto"/>
      </w:divBdr>
    </w:div>
    <w:div w:id="352805532">
      <w:bodyDiv w:val="1"/>
      <w:marLeft w:val="0"/>
      <w:marRight w:val="0"/>
      <w:marTop w:val="0"/>
      <w:marBottom w:val="0"/>
      <w:divBdr>
        <w:top w:val="none" w:sz="0" w:space="0" w:color="auto"/>
        <w:left w:val="none" w:sz="0" w:space="0" w:color="auto"/>
        <w:bottom w:val="none" w:sz="0" w:space="0" w:color="auto"/>
        <w:right w:val="none" w:sz="0" w:space="0" w:color="auto"/>
      </w:divBdr>
    </w:div>
    <w:div w:id="352876197">
      <w:bodyDiv w:val="1"/>
      <w:marLeft w:val="0"/>
      <w:marRight w:val="0"/>
      <w:marTop w:val="0"/>
      <w:marBottom w:val="0"/>
      <w:divBdr>
        <w:top w:val="none" w:sz="0" w:space="0" w:color="auto"/>
        <w:left w:val="none" w:sz="0" w:space="0" w:color="auto"/>
        <w:bottom w:val="none" w:sz="0" w:space="0" w:color="auto"/>
        <w:right w:val="none" w:sz="0" w:space="0" w:color="auto"/>
      </w:divBdr>
    </w:div>
    <w:div w:id="352919955">
      <w:bodyDiv w:val="1"/>
      <w:marLeft w:val="0"/>
      <w:marRight w:val="0"/>
      <w:marTop w:val="0"/>
      <w:marBottom w:val="0"/>
      <w:divBdr>
        <w:top w:val="none" w:sz="0" w:space="0" w:color="auto"/>
        <w:left w:val="none" w:sz="0" w:space="0" w:color="auto"/>
        <w:bottom w:val="none" w:sz="0" w:space="0" w:color="auto"/>
        <w:right w:val="none" w:sz="0" w:space="0" w:color="auto"/>
      </w:divBdr>
    </w:div>
    <w:div w:id="352927729">
      <w:bodyDiv w:val="1"/>
      <w:marLeft w:val="0"/>
      <w:marRight w:val="0"/>
      <w:marTop w:val="0"/>
      <w:marBottom w:val="0"/>
      <w:divBdr>
        <w:top w:val="none" w:sz="0" w:space="0" w:color="auto"/>
        <w:left w:val="none" w:sz="0" w:space="0" w:color="auto"/>
        <w:bottom w:val="none" w:sz="0" w:space="0" w:color="auto"/>
        <w:right w:val="none" w:sz="0" w:space="0" w:color="auto"/>
      </w:divBdr>
    </w:div>
    <w:div w:id="353000446">
      <w:bodyDiv w:val="1"/>
      <w:marLeft w:val="0"/>
      <w:marRight w:val="0"/>
      <w:marTop w:val="0"/>
      <w:marBottom w:val="0"/>
      <w:divBdr>
        <w:top w:val="none" w:sz="0" w:space="0" w:color="auto"/>
        <w:left w:val="none" w:sz="0" w:space="0" w:color="auto"/>
        <w:bottom w:val="none" w:sz="0" w:space="0" w:color="auto"/>
        <w:right w:val="none" w:sz="0" w:space="0" w:color="auto"/>
      </w:divBdr>
    </w:div>
    <w:div w:id="353043047">
      <w:bodyDiv w:val="1"/>
      <w:marLeft w:val="0"/>
      <w:marRight w:val="0"/>
      <w:marTop w:val="0"/>
      <w:marBottom w:val="0"/>
      <w:divBdr>
        <w:top w:val="none" w:sz="0" w:space="0" w:color="auto"/>
        <w:left w:val="none" w:sz="0" w:space="0" w:color="auto"/>
        <w:bottom w:val="none" w:sz="0" w:space="0" w:color="auto"/>
        <w:right w:val="none" w:sz="0" w:space="0" w:color="auto"/>
      </w:divBdr>
    </w:div>
    <w:div w:id="353190537">
      <w:bodyDiv w:val="1"/>
      <w:marLeft w:val="0"/>
      <w:marRight w:val="0"/>
      <w:marTop w:val="0"/>
      <w:marBottom w:val="0"/>
      <w:divBdr>
        <w:top w:val="none" w:sz="0" w:space="0" w:color="auto"/>
        <w:left w:val="none" w:sz="0" w:space="0" w:color="auto"/>
        <w:bottom w:val="none" w:sz="0" w:space="0" w:color="auto"/>
        <w:right w:val="none" w:sz="0" w:space="0" w:color="auto"/>
      </w:divBdr>
    </w:div>
    <w:div w:id="353192325">
      <w:bodyDiv w:val="1"/>
      <w:marLeft w:val="0"/>
      <w:marRight w:val="0"/>
      <w:marTop w:val="0"/>
      <w:marBottom w:val="0"/>
      <w:divBdr>
        <w:top w:val="none" w:sz="0" w:space="0" w:color="auto"/>
        <w:left w:val="none" w:sz="0" w:space="0" w:color="auto"/>
        <w:bottom w:val="none" w:sz="0" w:space="0" w:color="auto"/>
        <w:right w:val="none" w:sz="0" w:space="0" w:color="auto"/>
      </w:divBdr>
    </w:div>
    <w:div w:id="353265045">
      <w:bodyDiv w:val="1"/>
      <w:marLeft w:val="0"/>
      <w:marRight w:val="0"/>
      <w:marTop w:val="0"/>
      <w:marBottom w:val="0"/>
      <w:divBdr>
        <w:top w:val="none" w:sz="0" w:space="0" w:color="auto"/>
        <w:left w:val="none" w:sz="0" w:space="0" w:color="auto"/>
        <w:bottom w:val="none" w:sz="0" w:space="0" w:color="auto"/>
        <w:right w:val="none" w:sz="0" w:space="0" w:color="auto"/>
      </w:divBdr>
    </w:div>
    <w:div w:id="353384735">
      <w:bodyDiv w:val="1"/>
      <w:marLeft w:val="0"/>
      <w:marRight w:val="0"/>
      <w:marTop w:val="0"/>
      <w:marBottom w:val="0"/>
      <w:divBdr>
        <w:top w:val="none" w:sz="0" w:space="0" w:color="auto"/>
        <w:left w:val="none" w:sz="0" w:space="0" w:color="auto"/>
        <w:bottom w:val="none" w:sz="0" w:space="0" w:color="auto"/>
        <w:right w:val="none" w:sz="0" w:space="0" w:color="auto"/>
      </w:divBdr>
    </w:div>
    <w:div w:id="353459239">
      <w:bodyDiv w:val="1"/>
      <w:marLeft w:val="0"/>
      <w:marRight w:val="0"/>
      <w:marTop w:val="0"/>
      <w:marBottom w:val="0"/>
      <w:divBdr>
        <w:top w:val="none" w:sz="0" w:space="0" w:color="auto"/>
        <w:left w:val="none" w:sz="0" w:space="0" w:color="auto"/>
        <w:bottom w:val="none" w:sz="0" w:space="0" w:color="auto"/>
        <w:right w:val="none" w:sz="0" w:space="0" w:color="auto"/>
      </w:divBdr>
    </w:div>
    <w:div w:id="353506765">
      <w:bodyDiv w:val="1"/>
      <w:marLeft w:val="0"/>
      <w:marRight w:val="0"/>
      <w:marTop w:val="0"/>
      <w:marBottom w:val="0"/>
      <w:divBdr>
        <w:top w:val="none" w:sz="0" w:space="0" w:color="auto"/>
        <w:left w:val="none" w:sz="0" w:space="0" w:color="auto"/>
        <w:bottom w:val="none" w:sz="0" w:space="0" w:color="auto"/>
        <w:right w:val="none" w:sz="0" w:space="0" w:color="auto"/>
      </w:divBdr>
    </w:div>
    <w:div w:id="353651785">
      <w:bodyDiv w:val="1"/>
      <w:marLeft w:val="0"/>
      <w:marRight w:val="0"/>
      <w:marTop w:val="0"/>
      <w:marBottom w:val="0"/>
      <w:divBdr>
        <w:top w:val="none" w:sz="0" w:space="0" w:color="auto"/>
        <w:left w:val="none" w:sz="0" w:space="0" w:color="auto"/>
        <w:bottom w:val="none" w:sz="0" w:space="0" w:color="auto"/>
        <w:right w:val="none" w:sz="0" w:space="0" w:color="auto"/>
      </w:divBdr>
    </w:div>
    <w:div w:id="353657558">
      <w:bodyDiv w:val="1"/>
      <w:marLeft w:val="0"/>
      <w:marRight w:val="0"/>
      <w:marTop w:val="0"/>
      <w:marBottom w:val="0"/>
      <w:divBdr>
        <w:top w:val="none" w:sz="0" w:space="0" w:color="auto"/>
        <w:left w:val="none" w:sz="0" w:space="0" w:color="auto"/>
        <w:bottom w:val="none" w:sz="0" w:space="0" w:color="auto"/>
        <w:right w:val="none" w:sz="0" w:space="0" w:color="auto"/>
      </w:divBdr>
    </w:div>
    <w:div w:id="353842564">
      <w:bodyDiv w:val="1"/>
      <w:marLeft w:val="0"/>
      <w:marRight w:val="0"/>
      <w:marTop w:val="0"/>
      <w:marBottom w:val="0"/>
      <w:divBdr>
        <w:top w:val="none" w:sz="0" w:space="0" w:color="auto"/>
        <w:left w:val="none" w:sz="0" w:space="0" w:color="auto"/>
        <w:bottom w:val="none" w:sz="0" w:space="0" w:color="auto"/>
        <w:right w:val="none" w:sz="0" w:space="0" w:color="auto"/>
      </w:divBdr>
    </w:div>
    <w:div w:id="353845102">
      <w:bodyDiv w:val="1"/>
      <w:marLeft w:val="0"/>
      <w:marRight w:val="0"/>
      <w:marTop w:val="0"/>
      <w:marBottom w:val="0"/>
      <w:divBdr>
        <w:top w:val="none" w:sz="0" w:space="0" w:color="auto"/>
        <w:left w:val="none" w:sz="0" w:space="0" w:color="auto"/>
        <w:bottom w:val="none" w:sz="0" w:space="0" w:color="auto"/>
        <w:right w:val="none" w:sz="0" w:space="0" w:color="auto"/>
      </w:divBdr>
    </w:div>
    <w:div w:id="353845519">
      <w:bodyDiv w:val="1"/>
      <w:marLeft w:val="0"/>
      <w:marRight w:val="0"/>
      <w:marTop w:val="0"/>
      <w:marBottom w:val="0"/>
      <w:divBdr>
        <w:top w:val="none" w:sz="0" w:space="0" w:color="auto"/>
        <w:left w:val="none" w:sz="0" w:space="0" w:color="auto"/>
        <w:bottom w:val="none" w:sz="0" w:space="0" w:color="auto"/>
        <w:right w:val="none" w:sz="0" w:space="0" w:color="auto"/>
      </w:divBdr>
    </w:div>
    <w:div w:id="353920236">
      <w:bodyDiv w:val="1"/>
      <w:marLeft w:val="0"/>
      <w:marRight w:val="0"/>
      <w:marTop w:val="0"/>
      <w:marBottom w:val="0"/>
      <w:divBdr>
        <w:top w:val="none" w:sz="0" w:space="0" w:color="auto"/>
        <w:left w:val="none" w:sz="0" w:space="0" w:color="auto"/>
        <w:bottom w:val="none" w:sz="0" w:space="0" w:color="auto"/>
        <w:right w:val="none" w:sz="0" w:space="0" w:color="auto"/>
      </w:divBdr>
    </w:div>
    <w:div w:id="353965697">
      <w:bodyDiv w:val="1"/>
      <w:marLeft w:val="0"/>
      <w:marRight w:val="0"/>
      <w:marTop w:val="0"/>
      <w:marBottom w:val="0"/>
      <w:divBdr>
        <w:top w:val="none" w:sz="0" w:space="0" w:color="auto"/>
        <w:left w:val="none" w:sz="0" w:space="0" w:color="auto"/>
        <w:bottom w:val="none" w:sz="0" w:space="0" w:color="auto"/>
        <w:right w:val="none" w:sz="0" w:space="0" w:color="auto"/>
      </w:divBdr>
    </w:div>
    <w:div w:id="354044458">
      <w:bodyDiv w:val="1"/>
      <w:marLeft w:val="0"/>
      <w:marRight w:val="0"/>
      <w:marTop w:val="0"/>
      <w:marBottom w:val="0"/>
      <w:divBdr>
        <w:top w:val="none" w:sz="0" w:space="0" w:color="auto"/>
        <w:left w:val="none" w:sz="0" w:space="0" w:color="auto"/>
        <w:bottom w:val="none" w:sz="0" w:space="0" w:color="auto"/>
        <w:right w:val="none" w:sz="0" w:space="0" w:color="auto"/>
      </w:divBdr>
    </w:div>
    <w:div w:id="354160042">
      <w:bodyDiv w:val="1"/>
      <w:marLeft w:val="0"/>
      <w:marRight w:val="0"/>
      <w:marTop w:val="0"/>
      <w:marBottom w:val="0"/>
      <w:divBdr>
        <w:top w:val="none" w:sz="0" w:space="0" w:color="auto"/>
        <w:left w:val="none" w:sz="0" w:space="0" w:color="auto"/>
        <w:bottom w:val="none" w:sz="0" w:space="0" w:color="auto"/>
        <w:right w:val="none" w:sz="0" w:space="0" w:color="auto"/>
      </w:divBdr>
    </w:div>
    <w:div w:id="354187594">
      <w:bodyDiv w:val="1"/>
      <w:marLeft w:val="0"/>
      <w:marRight w:val="0"/>
      <w:marTop w:val="0"/>
      <w:marBottom w:val="0"/>
      <w:divBdr>
        <w:top w:val="none" w:sz="0" w:space="0" w:color="auto"/>
        <w:left w:val="none" w:sz="0" w:space="0" w:color="auto"/>
        <w:bottom w:val="none" w:sz="0" w:space="0" w:color="auto"/>
        <w:right w:val="none" w:sz="0" w:space="0" w:color="auto"/>
      </w:divBdr>
    </w:div>
    <w:div w:id="354232531">
      <w:bodyDiv w:val="1"/>
      <w:marLeft w:val="0"/>
      <w:marRight w:val="0"/>
      <w:marTop w:val="0"/>
      <w:marBottom w:val="0"/>
      <w:divBdr>
        <w:top w:val="none" w:sz="0" w:space="0" w:color="auto"/>
        <w:left w:val="none" w:sz="0" w:space="0" w:color="auto"/>
        <w:bottom w:val="none" w:sz="0" w:space="0" w:color="auto"/>
        <w:right w:val="none" w:sz="0" w:space="0" w:color="auto"/>
      </w:divBdr>
    </w:div>
    <w:div w:id="354306761">
      <w:bodyDiv w:val="1"/>
      <w:marLeft w:val="0"/>
      <w:marRight w:val="0"/>
      <w:marTop w:val="0"/>
      <w:marBottom w:val="0"/>
      <w:divBdr>
        <w:top w:val="none" w:sz="0" w:space="0" w:color="auto"/>
        <w:left w:val="none" w:sz="0" w:space="0" w:color="auto"/>
        <w:bottom w:val="none" w:sz="0" w:space="0" w:color="auto"/>
        <w:right w:val="none" w:sz="0" w:space="0" w:color="auto"/>
      </w:divBdr>
    </w:div>
    <w:div w:id="354380138">
      <w:bodyDiv w:val="1"/>
      <w:marLeft w:val="0"/>
      <w:marRight w:val="0"/>
      <w:marTop w:val="0"/>
      <w:marBottom w:val="0"/>
      <w:divBdr>
        <w:top w:val="none" w:sz="0" w:space="0" w:color="auto"/>
        <w:left w:val="none" w:sz="0" w:space="0" w:color="auto"/>
        <w:bottom w:val="none" w:sz="0" w:space="0" w:color="auto"/>
        <w:right w:val="none" w:sz="0" w:space="0" w:color="auto"/>
      </w:divBdr>
    </w:div>
    <w:div w:id="354384184">
      <w:bodyDiv w:val="1"/>
      <w:marLeft w:val="0"/>
      <w:marRight w:val="0"/>
      <w:marTop w:val="0"/>
      <w:marBottom w:val="0"/>
      <w:divBdr>
        <w:top w:val="none" w:sz="0" w:space="0" w:color="auto"/>
        <w:left w:val="none" w:sz="0" w:space="0" w:color="auto"/>
        <w:bottom w:val="none" w:sz="0" w:space="0" w:color="auto"/>
        <w:right w:val="none" w:sz="0" w:space="0" w:color="auto"/>
      </w:divBdr>
    </w:div>
    <w:div w:id="354428671">
      <w:bodyDiv w:val="1"/>
      <w:marLeft w:val="0"/>
      <w:marRight w:val="0"/>
      <w:marTop w:val="0"/>
      <w:marBottom w:val="0"/>
      <w:divBdr>
        <w:top w:val="none" w:sz="0" w:space="0" w:color="auto"/>
        <w:left w:val="none" w:sz="0" w:space="0" w:color="auto"/>
        <w:bottom w:val="none" w:sz="0" w:space="0" w:color="auto"/>
        <w:right w:val="none" w:sz="0" w:space="0" w:color="auto"/>
      </w:divBdr>
    </w:div>
    <w:div w:id="354617170">
      <w:bodyDiv w:val="1"/>
      <w:marLeft w:val="0"/>
      <w:marRight w:val="0"/>
      <w:marTop w:val="0"/>
      <w:marBottom w:val="0"/>
      <w:divBdr>
        <w:top w:val="none" w:sz="0" w:space="0" w:color="auto"/>
        <w:left w:val="none" w:sz="0" w:space="0" w:color="auto"/>
        <w:bottom w:val="none" w:sz="0" w:space="0" w:color="auto"/>
        <w:right w:val="none" w:sz="0" w:space="0" w:color="auto"/>
      </w:divBdr>
    </w:div>
    <w:div w:id="354767541">
      <w:bodyDiv w:val="1"/>
      <w:marLeft w:val="0"/>
      <w:marRight w:val="0"/>
      <w:marTop w:val="0"/>
      <w:marBottom w:val="0"/>
      <w:divBdr>
        <w:top w:val="none" w:sz="0" w:space="0" w:color="auto"/>
        <w:left w:val="none" w:sz="0" w:space="0" w:color="auto"/>
        <w:bottom w:val="none" w:sz="0" w:space="0" w:color="auto"/>
        <w:right w:val="none" w:sz="0" w:space="0" w:color="auto"/>
      </w:divBdr>
    </w:div>
    <w:div w:id="354769978">
      <w:bodyDiv w:val="1"/>
      <w:marLeft w:val="0"/>
      <w:marRight w:val="0"/>
      <w:marTop w:val="0"/>
      <w:marBottom w:val="0"/>
      <w:divBdr>
        <w:top w:val="none" w:sz="0" w:space="0" w:color="auto"/>
        <w:left w:val="none" w:sz="0" w:space="0" w:color="auto"/>
        <w:bottom w:val="none" w:sz="0" w:space="0" w:color="auto"/>
        <w:right w:val="none" w:sz="0" w:space="0" w:color="auto"/>
      </w:divBdr>
    </w:div>
    <w:div w:id="354773733">
      <w:bodyDiv w:val="1"/>
      <w:marLeft w:val="0"/>
      <w:marRight w:val="0"/>
      <w:marTop w:val="0"/>
      <w:marBottom w:val="0"/>
      <w:divBdr>
        <w:top w:val="none" w:sz="0" w:space="0" w:color="auto"/>
        <w:left w:val="none" w:sz="0" w:space="0" w:color="auto"/>
        <w:bottom w:val="none" w:sz="0" w:space="0" w:color="auto"/>
        <w:right w:val="none" w:sz="0" w:space="0" w:color="auto"/>
      </w:divBdr>
    </w:div>
    <w:div w:id="354961237">
      <w:bodyDiv w:val="1"/>
      <w:marLeft w:val="0"/>
      <w:marRight w:val="0"/>
      <w:marTop w:val="0"/>
      <w:marBottom w:val="0"/>
      <w:divBdr>
        <w:top w:val="none" w:sz="0" w:space="0" w:color="auto"/>
        <w:left w:val="none" w:sz="0" w:space="0" w:color="auto"/>
        <w:bottom w:val="none" w:sz="0" w:space="0" w:color="auto"/>
        <w:right w:val="none" w:sz="0" w:space="0" w:color="auto"/>
      </w:divBdr>
    </w:div>
    <w:div w:id="355279570">
      <w:bodyDiv w:val="1"/>
      <w:marLeft w:val="0"/>
      <w:marRight w:val="0"/>
      <w:marTop w:val="0"/>
      <w:marBottom w:val="0"/>
      <w:divBdr>
        <w:top w:val="none" w:sz="0" w:space="0" w:color="auto"/>
        <w:left w:val="none" w:sz="0" w:space="0" w:color="auto"/>
        <w:bottom w:val="none" w:sz="0" w:space="0" w:color="auto"/>
        <w:right w:val="none" w:sz="0" w:space="0" w:color="auto"/>
      </w:divBdr>
    </w:div>
    <w:div w:id="355351156">
      <w:bodyDiv w:val="1"/>
      <w:marLeft w:val="0"/>
      <w:marRight w:val="0"/>
      <w:marTop w:val="0"/>
      <w:marBottom w:val="0"/>
      <w:divBdr>
        <w:top w:val="none" w:sz="0" w:space="0" w:color="auto"/>
        <w:left w:val="none" w:sz="0" w:space="0" w:color="auto"/>
        <w:bottom w:val="none" w:sz="0" w:space="0" w:color="auto"/>
        <w:right w:val="none" w:sz="0" w:space="0" w:color="auto"/>
      </w:divBdr>
    </w:div>
    <w:div w:id="355470661">
      <w:bodyDiv w:val="1"/>
      <w:marLeft w:val="0"/>
      <w:marRight w:val="0"/>
      <w:marTop w:val="0"/>
      <w:marBottom w:val="0"/>
      <w:divBdr>
        <w:top w:val="none" w:sz="0" w:space="0" w:color="auto"/>
        <w:left w:val="none" w:sz="0" w:space="0" w:color="auto"/>
        <w:bottom w:val="none" w:sz="0" w:space="0" w:color="auto"/>
        <w:right w:val="none" w:sz="0" w:space="0" w:color="auto"/>
      </w:divBdr>
    </w:div>
    <w:div w:id="355497020">
      <w:bodyDiv w:val="1"/>
      <w:marLeft w:val="0"/>
      <w:marRight w:val="0"/>
      <w:marTop w:val="0"/>
      <w:marBottom w:val="0"/>
      <w:divBdr>
        <w:top w:val="none" w:sz="0" w:space="0" w:color="auto"/>
        <w:left w:val="none" w:sz="0" w:space="0" w:color="auto"/>
        <w:bottom w:val="none" w:sz="0" w:space="0" w:color="auto"/>
        <w:right w:val="none" w:sz="0" w:space="0" w:color="auto"/>
      </w:divBdr>
    </w:div>
    <w:div w:id="355546636">
      <w:bodyDiv w:val="1"/>
      <w:marLeft w:val="0"/>
      <w:marRight w:val="0"/>
      <w:marTop w:val="0"/>
      <w:marBottom w:val="0"/>
      <w:divBdr>
        <w:top w:val="none" w:sz="0" w:space="0" w:color="auto"/>
        <w:left w:val="none" w:sz="0" w:space="0" w:color="auto"/>
        <w:bottom w:val="none" w:sz="0" w:space="0" w:color="auto"/>
        <w:right w:val="none" w:sz="0" w:space="0" w:color="auto"/>
      </w:divBdr>
    </w:div>
    <w:div w:id="356001542">
      <w:bodyDiv w:val="1"/>
      <w:marLeft w:val="0"/>
      <w:marRight w:val="0"/>
      <w:marTop w:val="0"/>
      <w:marBottom w:val="0"/>
      <w:divBdr>
        <w:top w:val="none" w:sz="0" w:space="0" w:color="auto"/>
        <w:left w:val="none" w:sz="0" w:space="0" w:color="auto"/>
        <w:bottom w:val="none" w:sz="0" w:space="0" w:color="auto"/>
        <w:right w:val="none" w:sz="0" w:space="0" w:color="auto"/>
      </w:divBdr>
    </w:div>
    <w:div w:id="356129031">
      <w:bodyDiv w:val="1"/>
      <w:marLeft w:val="0"/>
      <w:marRight w:val="0"/>
      <w:marTop w:val="0"/>
      <w:marBottom w:val="0"/>
      <w:divBdr>
        <w:top w:val="none" w:sz="0" w:space="0" w:color="auto"/>
        <w:left w:val="none" w:sz="0" w:space="0" w:color="auto"/>
        <w:bottom w:val="none" w:sz="0" w:space="0" w:color="auto"/>
        <w:right w:val="none" w:sz="0" w:space="0" w:color="auto"/>
      </w:divBdr>
    </w:div>
    <w:div w:id="356321545">
      <w:bodyDiv w:val="1"/>
      <w:marLeft w:val="0"/>
      <w:marRight w:val="0"/>
      <w:marTop w:val="0"/>
      <w:marBottom w:val="0"/>
      <w:divBdr>
        <w:top w:val="none" w:sz="0" w:space="0" w:color="auto"/>
        <w:left w:val="none" w:sz="0" w:space="0" w:color="auto"/>
        <w:bottom w:val="none" w:sz="0" w:space="0" w:color="auto"/>
        <w:right w:val="none" w:sz="0" w:space="0" w:color="auto"/>
      </w:divBdr>
    </w:div>
    <w:div w:id="356473243">
      <w:bodyDiv w:val="1"/>
      <w:marLeft w:val="0"/>
      <w:marRight w:val="0"/>
      <w:marTop w:val="0"/>
      <w:marBottom w:val="0"/>
      <w:divBdr>
        <w:top w:val="none" w:sz="0" w:space="0" w:color="auto"/>
        <w:left w:val="none" w:sz="0" w:space="0" w:color="auto"/>
        <w:bottom w:val="none" w:sz="0" w:space="0" w:color="auto"/>
        <w:right w:val="none" w:sz="0" w:space="0" w:color="auto"/>
      </w:divBdr>
    </w:div>
    <w:div w:id="356581711">
      <w:bodyDiv w:val="1"/>
      <w:marLeft w:val="0"/>
      <w:marRight w:val="0"/>
      <w:marTop w:val="0"/>
      <w:marBottom w:val="0"/>
      <w:divBdr>
        <w:top w:val="none" w:sz="0" w:space="0" w:color="auto"/>
        <w:left w:val="none" w:sz="0" w:space="0" w:color="auto"/>
        <w:bottom w:val="none" w:sz="0" w:space="0" w:color="auto"/>
        <w:right w:val="none" w:sz="0" w:space="0" w:color="auto"/>
      </w:divBdr>
    </w:div>
    <w:div w:id="356586909">
      <w:bodyDiv w:val="1"/>
      <w:marLeft w:val="0"/>
      <w:marRight w:val="0"/>
      <w:marTop w:val="0"/>
      <w:marBottom w:val="0"/>
      <w:divBdr>
        <w:top w:val="none" w:sz="0" w:space="0" w:color="auto"/>
        <w:left w:val="none" w:sz="0" w:space="0" w:color="auto"/>
        <w:bottom w:val="none" w:sz="0" w:space="0" w:color="auto"/>
        <w:right w:val="none" w:sz="0" w:space="0" w:color="auto"/>
      </w:divBdr>
    </w:div>
    <w:div w:id="356590447">
      <w:bodyDiv w:val="1"/>
      <w:marLeft w:val="0"/>
      <w:marRight w:val="0"/>
      <w:marTop w:val="0"/>
      <w:marBottom w:val="0"/>
      <w:divBdr>
        <w:top w:val="none" w:sz="0" w:space="0" w:color="auto"/>
        <w:left w:val="none" w:sz="0" w:space="0" w:color="auto"/>
        <w:bottom w:val="none" w:sz="0" w:space="0" w:color="auto"/>
        <w:right w:val="none" w:sz="0" w:space="0" w:color="auto"/>
      </w:divBdr>
    </w:div>
    <w:div w:id="356666079">
      <w:bodyDiv w:val="1"/>
      <w:marLeft w:val="0"/>
      <w:marRight w:val="0"/>
      <w:marTop w:val="0"/>
      <w:marBottom w:val="0"/>
      <w:divBdr>
        <w:top w:val="none" w:sz="0" w:space="0" w:color="auto"/>
        <w:left w:val="none" w:sz="0" w:space="0" w:color="auto"/>
        <w:bottom w:val="none" w:sz="0" w:space="0" w:color="auto"/>
        <w:right w:val="none" w:sz="0" w:space="0" w:color="auto"/>
      </w:divBdr>
    </w:div>
    <w:div w:id="356733042">
      <w:bodyDiv w:val="1"/>
      <w:marLeft w:val="0"/>
      <w:marRight w:val="0"/>
      <w:marTop w:val="0"/>
      <w:marBottom w:val="0"/>
      <w:divBdr>
        <w:top w:val="none" w:sz="0" w:space="0" w:color="auto"/>
        <w:left w:val="none" w:sz="0" w:space="0" w:color="auto"/>
        <w:bottom w:val="none" w:sz="0" w:space="0" w:color="auto"/>
        <w:right w:val="none" w:sz="0" w:space="0" w:color="auto"/>
      </w:divBdr>
    </w:div>
    <w:div w:id="356859337">
      <w:bodyDiv w:val="1"/>
      <w:marLeft w:val="0"/>
      <w:marRight w:val="0"/>
      <w:marTop w:val="0"/>
      <w:marBottom w:val="0"/>
      <w:divBdr>
        <w:top w:val="none" w:sz="0" w:space="0" w:color="auto"/>
        <w:left w:val="none" w:sz="0" w:space="0" w:color="auto"/>
        <w:bottom w:val="none" w:sz="0" w:space="0" w:color="auto"/>
        <w:right w:val="none" w:sz="0" w:space="0" w:color="auto"/>
      </w:divBdr>
    </w:div>
    <w:div w:id="356928418">
      <w:bodyDiv w:val="1"/>
      <w:marLeft w:val="0"/>
      <w:marRight w:val="0"/>
      <w:marTop w:val="0"/>
      <w:marBottom w:val="0"/>
      <w:divBdr>
        <w:top w:val="none" w:sz="0" w:space="0" w:color="auto"/>
        <w:left w:val="none" w:sz="0" w:space="0" w:color="auto"/>
        <w:bottom w:val="none" w:sz="0" w:space="0" w:color="auto"/>
        <w:right w:val="none" w:sz="0" w:space="0" w:color="auto"/>
      </w:divBdr>
    </w:div>
    <w:div w:id="357049167">
      <w:bodyDiv w:val="1"/>
      <w:marLeft w:val="0"/>
      <w:marRight w:val="0"/>
      <w:marTop w:val="0"/>
      <w:marBottom w:val="0"/>
      <w:divBdr>
        <w:top w:val="none" w:sz="0" w:space="0" w:color="auto"/>
        <w:left w:val="none" w:sz="0" w:space="0" w:color="auto"/>
        <w:bottom w:val="none" w:sz="0" w:space="0" w:color="auto"/>
        <w:right w:val="none" w:sz="0" w:space="0" w:color="auto"/>
      </w:divBdr>
    </w:div>
    <w:div w:id="357314541">
      <w:bodyDiv w:val="1"/>
      <w:marLeft w:val="0"/>
      <w:marRight w:val="0"/>
      <w:marTop w:val="0"/>
      <w:marBottom w:val="0"/>
      <w:divBdr>
        <w:top w:val="none" w:sz="0" w:space="0" w:color="auto"/>
        <w:left w:val="none" w:sz="0" w:space="0" w:color="auto"/>
        <w:bottom w:val="none" w:sz="0" w:space="0" w:color="auto"/>
        <w:right w:val="none" w:sz="0" w:space="0" w:color="auto"/>
      </w:divBdr>
    </w:div>
    <w:div w:id="357318790">
      <w:bodyDiv w:val="1"/>
      <w:marLeft w:val="0"/>
      <w:marRight w:val="0"/>
      <w:marTop w:val="0"/>
      <w:marBottom w:val="0"/>
      <w:divBdr>
        <w:top w:val="none" w:sz="0" w:space="0" w:color="auto"/>
        <w:left w:val="none" w:sz="0" w:space="0" w:color="auto"/>
        <w:bottom w:val="none" w:sz="0" w:space="0" w:color="auto"/>
        <w:right w:val="none" w:sz="0" w:space="0" w:color="auto"/>
      </w:divBdr>
    </w:div>
    <w:div w:id="357320895">
      <w:bodyDiv w:val="1"/>
      <w:marLeft w:val="0"/>
      <w:marRight w:val="0"/>
      <w:marTop w:val="0"/>
      <w:marBottom w:val="0"/>
      <w:divBdr>
        <w:top w:val="none" w:sz="0" w:space="0" w:color="auto"/>
        <w:left w:val="none" w:sz="0" w:space="0" w:color="auto"/>
        <w:bottom w:val="none" w:sz="0" w:space="0" w:color="auto"/>
        <w:right w:val="none" w:sz="0" w:space="0" w:color="auto"/>
      </w:divBdr>
    </w:div>
    <w:div w:id="357388391">
      <w:bodyDiv w:val="1"/>
      <w:marLeft w:val="0"/>
      <w:marRight w:val="0"/>
      <w:marTop w:val="0"/>
      <w:marBottom w:val="0"/>
      <w:divBdr>
        <w:top w:val="none" w:sz="0" w:space="0" w:color="auto"/>
        <w:left w:val="none" w:sz="0" w:space="0" w:color="auto"/>
        <w:bottom w:val="none" w:sz="0" w:space="0" w:color="auto"/>
        <w:right w:val="none" w:sz="0" w:space="0" w:color="auto"/>
      </w:divBdr>
    </w:div>
    <w:div w:id="357388580">
      <w:bodyDiv w:val="1"/>
      <w:marLeft w:val="0"/>
      <w:marRight w:val="0"/>
      <w:marTop w:val="0"/>
      <w:marBottom w:val="0"/>
      <w:divBdr>
        <w:top w:val="none" w:sz="0" w:space="0" w:color="auto"/>
        <w:left w:val="none" w:sz="0" w:space="0" w:color="auto"/>
        <w:bottom w:val="none" w:sz="0" w:space="0" w:color="auto"/>
        <w:right w:val="none" w:sz="0" w:space="0" w:color="auto"/>
      </w:divBdr>
    </w:div>
    <w:div w:id="357394813">
      <w:bodyDiv w:val="1"/>
      <w:marLeft w:val="0"/>
      <w:marRight w:val="0"/>
      <w:marTop w:val="0"/>
      <w:marBottom w:val="0"/>
      <w:divBdr>
        <w:top w:val="none" w:sz="0" w:space="0" w:color="auto"/>
        <w:left w:val="none" w:sz="0" w:space="0" w:color="auto"/>
        <w:bottom w:val="none" w:sz="0" w:space="0" w:color="auto"/>
        <w:right w:val="none" w:sz="0" w:space="0" w:color="auto"/>
      </w:divBdr>
    </w:div>
    <w:div w:id="357463790">
      <w:bodyDiv w:val="1"/>
      <w:marLeft w:val="0"/>
      <w:marRight w:val="0"/>
      <w:marTop w:val="0"/>
      <w:marBottom w:val="0"/>
      <w:divBdr>
        <w:top w:val="none" w:sz="0" w:space="0" w:color="auto"/>
        <w:left w:val="none" w:sz="0" w:space="0" w:color="auto"/>
        <w:bottom w:val="none" w:sz="0" w:space="0" w:color="auto"/>
        <w:right w:val="none" w:sz="0" w:space="0" w:color="auto"/>
      </w:divBdr>
    </w:div>
    <w:div w:id="357506692">
      <w:bodyDiv w:val="1"/>
      <w:marLeft w:val="0"/>
      <w:marRight w:val="0"/>
      <w:marTop w:val="0"/>
      <w:marBottom w:val="0"/>
      <w:divBdr>
        <w:top w:val="none" w:sz="0" w:space="0" w:color="auto"/>
        <w:left w:val="none" w:sz="0" w:space="0" w:color="auto"/>
        <w:bottom w:val="none" w:sz="0" w:space="0" w:color="auto"/>
        <w:right w:val="none" w:sz="0" w:space="0" w:color="auto"/>
      </w:divBdr>
    </w:div>
    <w:div w:id="357656061">
      <w:bodyDiv w:val="1"/>
      <w:marLeft w:val="0"/>
      <w:marRight w:val="0"/>
      <w:marTop w:val="0"/>
      <w:marBottom w:val="0"/>
      <w:divBdr>
        <w:top w:val="none" w:sz="0" w:space="0" w:color="auto"/>
        <w:left w:val="none" w:sz="0" w:space="0" w:color="auto"/>
        <w:bottom w:val="none" w:sz="0" w:space="0" w:color="auto"/>
        <w:right w:val="none" w:sz="0" w:space="0" w:color="auto"/>
      </w:divBdr>
    </w:div>
    <w:div w:id="357656764">
      <w:bodyDiv w:val="1"/>
      <w:marLeft w:val="0"/>
      <w:marRight w:val="0"/>
      <w:marTop w:val="0"/>
      <w:marBottom w:val="0"/>
      <w:divBdr>
        <w:top w:val="none" w:sz="0" w:space="0" w:color="auto"/>
        <w:left w:val="none" w:sz="0" w:space="0" w:color="auto"/>
        <w:bottom w:val="none" w:sz="0" w:space="0" w:color="auto"/>
        <w:right w:val="none" w:sz="0" w:space="0" w:color="auto"/>
      </w:divBdr>
    </w:div>
    <w:div w:id="357972403">
      <w:bodyDiv w:val="1"/>
      <w:marLeft w:val="0"/>
      <w:marRight w:val="0"/>
      <w:marTop w:val="0"/>
      <w:marBottom w:val="0"/>
      <w:divBdr>
        <w:top w:val="none" w:sz="0" w:space="0" w:color="auto"/>
        <w:left w:val="none" w:sz="0" w:space="0" w:color="auto"/>
        <w:bottom w:val="none" w:sz="0" w:space="0" w:color="auto"/>
        <w:right w:val="none" w:sz="0" w:space="0" w:color="auto"/>
      </w:divBdr>
    </w:div>
    <w:div w:id="358050104">
      <w:bodyDiv w:val="1"/>
      <w:marLeft w:val="0"/>
      <w:marRight w:val="0"/>
      <w:marTop w:val="0"/>
      <w:marBottom w:val="0"/>
      <w:divBdr>
        <w:top w:val="none" w:sz="0" w:space="0" w:color="auto"/>
        <w:left w:val="none" w:sz="0" w:space="0" w:color="auto"/>
        <w:bottom w:val="none" w:sz="0" w:space="0" w:color="auto"/>
        <w:right w:val="none" w:sz="0" w:space="0" w:color="auto"/>
      </w:divBdr>
    </w:div>
    <w:div w:id="358119802">
      <w:bodyDiv w:val="1"/>
      <w:marLeft w:val="0"/>
      <w:marRight w:val="0"/>
      <w:marTop w:val="0"/>
      <w:marBottom w:val="0"/>
      <w:divBdr>
        <w:top w:val="none" w:sz="0" w:space="0" w:color="auto"/>
        <w:left w:val="none" w:sz="0" w:space="0" w:color="auto"/>
        <w:bottom w:val="none" w:sz="0" w:space="0" w:color="auto"/>
        <w:right w:val="none" w:sz="0" w:space="0" w:color="auto"/>
      </w:divBdr>
    </w:div>
    <w:div w:id="358120026">
      <w:bodyDiv w:val="1"/>
      <w:marLeft w:val="0"/>
      <w:marRight w:val="0"/>
      <w:marTop w:val="0"/>
      <w:marBottom w:val="0"/>
      <w:divBdr>
        <w:top w:val="none" w:sz="0" w:space="0" w:color="auto"/>
        <w:left w:val="none" w:sz="0" w:space="0" w:color="auto"/>
        <w:bottom w:val="none" w:sz="0" w:space="0" w:color="auto"/>
        <w:right w:val="none" w:sz="0" w:space="0" w:color="auto"/>
      </w:divBdr>
    </w:div>
    <w:div w:id="358357873">
      <w:bodyDiv w:val="1"/>
      <w:marLeft w:val="0"/>
      <w:marRight w:val="0"/>
      <w:marTop w:val="0"/>
      <w:marBottom w:val="0"/>
      <w:divBdr>
        <w:top w:val="none" w:sz="0" w:space="0" w:color="auto"/>
        <w:left w:val="none" w:sz="0" w:space="0" w:color="auto"/>
        <w:bottom w:val="none" w:sz="0" w:space="0" w:color="auto"/>
        <w:right w:val="none" w:sz="0" w:space="0" w:color="auto"/>
      </w:divBdr>
    </w:div>
    <w:div w:id="358431534">
      <w:bodyDiv w:val="1"/>
      <w:marLeft w:val="0"/>
      <w:marRight w:val="0"/>
      <w:marTop w:val="0"/>
      <w:marBottom w:val="0"/>
      <w:divBdr>
        <w:top w:val="none" w:sz="0" w:space="0" w:color="auto"/>
        <w:left w:val="none" w:sz="0" w:space="0" w:color="auto"/>
        <w:bottom w:val="none" w:sz="0" w:space="0" w:color="auto"/>
        <w:right w:val="none" w:sz="0" w:space="0" w:color="auto"/>
      </w:divBdr>
    </w:div>
    <w:div w:id="358432744">
      <w:bodyDiv w:val="1"/>
      <w:marLeft w:val="0"/>
      <w:marRight w:val="0"/>
      <w:marTop w:val="0"/>
      <w:marBottom w:val="0"/>
      <w:divBdr>
        <w:top w:val="none" w:sz="0" w:space="0" w:color="auto"/>
        <w:left w:val="none" w:sz="0" w:space="0" w:color="auto"/>
        <w:bottom w:val="none" w:sz="0" w:space="0" w:color="auto"/>
        <w:right w:val="none" w:sz="0" w:space="0" w:color="auto"/>
      </w:divBdr>
    </w:div>
    <w:div w:id="358437840">
      <w:bodyDiv w:val="1"/>
      <w:marLeft w:val="0"/>
      <w:marRight w:val="0"/>
      <w:marTop w:val="0"/>
      <w:marBottom w:val="0"/>
      <w:divBdr>
        <w:top w:val="none" w:sz="0" w:space="0" w:color="auto"/>
        <w:left w:val="none" w:sz="0" w:space="0" w:color="auto"/>
        <w:bottom w:val="none" w:sz="0" w:space="0" w:color="auto"/>
        <w:right w:val="none" w:sz="0" w:space="0" w:color="auto"/>
      </w:divBdr>
    </w:div>
    <w:div w:id="358510896">
      <w:bodyDiv w:val="1"/>
      <w:marLeft w:val="0"/>
      <w:marRight w:val="0"/>
      <w:marTop w:val="0"/>
      <w:marBottom w:val="0"/>
      <w:divBdr>
        <w:top w:val="none" w:sz="0" w:space="0" w:color="auto"/>
        <w:left w:val="none" w:sz="0" w:space="0" w:color="auto"/>
        <w:bottom w:val="none" w:sz="0" w:space="0" w:color="auto"/>
        <w:right w:val="none" w:sz="0" w:space="0" w:color="auto"/>
      </w:divBdr>
    </w:div>
    <w:div w:id="358548841">
      <w:bodyDiv w:val="1"/>
      <w:marLeft w:val="0"/>
      <w:marRight w:val="0"/>
      <w:marTop w:val="0"/>
      <w:marBottom w:val="0"/>
      <w:divBdr>
        <w:top w:val="none" w:sz="0" w:space="0" w:color="auto"/>
        <w:left w:val="none" w:sz="0" w:space="0" w:color="auto"/>
        <w:bottom w:val="none" w:sz="0" w:space="0" w:color="auto"/>
        <w:right w:val="none" w:sz="0" w:space="0" w:color="auto"/>
      </w:divBdr>
    </w:div>
    <w:div w:id="358551897">
      <w:bodyDiv w:val="1"/>
      <w:marLeft w:val="0"/>
      <w:marRight w:val="0"/>
      <w:marTop w:val="0"/>
      <w:marBottom w:val="0"/>
      <w:divBdr>
        <w:top w:val="none" w:sz="0" w:space="0" w:color="auto"/>
        <w:left w:val="none" w:sz="0" w:space="0" w:color="auto"/>
        <w:bottom w:val="none" w:sz="0" w:space="0" w:color="auto"/>
        <w:right w:val="none" w:sz="0" w:space="0" w:color="auto"/>
      </w:divBdr>
    </w:div>
    <w:div w:id="358553478">
      <w:bodyDiv w:val="1"/>
      <w:marLeft w:val="0"/>
      <w:marRight w:val="0"/>
      <w:marTop w:val="0"/>
      <w:marBottom w:val="0"/>
      <w:divBdr>
        <w:top w:val="none" w:sz="0" w:space="0" w:color="auto"/>
        <w:left w:val="none" w:sz="0" w:space="0" w:color="auto"/>
        <w:bottom w:val="none" w:sz="0" w:space="0" w:color="auto"/>
        <w:right w:val="none" w:sz="0" w:space="0" w:color="auto"/>
      </w:divBdr>
    </w:div>
    <w:div w:id="358705244">
      <w:bodyDiv w:val="1"/>
      <w:marLeft w:val="0"/>
      <w:marRight w:val="0"/>
      <w:marTop w:val="0"/>
      <w:marBottom w:val="0"/>
      <w:divBdr>
        <w:top w:val="none" w:sz="0" w:space="0" w:color="auto"/>
        <w:left w:val="none" w:sz="0" w:space="0" w:color="auto"/>
        <w:bottom w:val="none" w:sz="0" w:space="0" w:color="auto"/>
        <w:right w:val="none" w:sz="0" w:space="0" w:color="auto"/>
      </w:divBdr>
    </w:div>
    <w:div w:id="358893552">
      <w:bodyDiv w:val="1"/>
      <w:marLeft w:val="0"/>
      <w:marRight w:val="0"/>
      <w:marTop w:val="0"/>
      <w:marBottom w:val="0"/>
      <w:divBdr>
        <w:top w:val="none" w:sz="0" w:space="0" w:color="auto"/>
        <w:left w:val="none" w:sz="0" w:space="0" w:color="auto"/>
        <w:bottom w:val="none" w:sz="0" w:space="0" w:color="auto"/>
        <w:right w:val="none" w:sz="0" w:space="0" w:color="auto"/>
      </w:divBdr>
    </w:div>
    <w:div w:id="358970778">
      <w:bodyDiv w:val="1"/>
      <w:marLeft w:val="0"/>
      <w:marRight w:val="0"/>
      <w:marTop w:val="0"/>
      <w:marBottom w:val="0"/>
      <w:divBdr>
        <w:top w:val="none" w:sz="0" w:space="0" w:color="auto"/>
        <w:left w:val="none" w:sz="0" w:space="0" w:color="auto"/>
        <w:bottom w:val="none" w:sz="0" w:space="0" w:color="auto"/>
        <w:right w:val="none" w:sz="0" w:space="0" w:color="auto"/>
      </w:divBdr>
    </w:div>
    <w:div w:id="359164041">
      <w:bodyDiv w:val="1"/>
      <w:marLeft w:val="0"/>
      <w:marRight w:val="0"/>
      <w:marTop w:val="0"/>
      <w:marBottom w:val="0"/>
      <w:divBdr>
        <w:top w:val="none" w:sz="0" w:space="0" w:color="auto"/>
        <w:left w:val="none" w:sz="0" w:space="0" w:color="auto"/>
        <w:bottom w:val="none" w:sz="0" w:space="0" w:color="auto"/>
        <w:right w:val="none" w:sz="0" w:space="0" w:color="auto"/>
      </w:divBdr>
    </w:div>
    <w:div w:id="359360369">
      <w:bodyDiv w:val="1"/>
      <w:marLeft w:val="0"/>
      <w:marRight w:val="0"/>
      <w:marTop w:val="0"/>
      <w:marBottom w:val="0"/>
      <w:divBdr>
        <w:top w:val="none" w:sz="0" w:space="0" w:color="auto"/>
        <w:left w:val="none" w:sz="0" w:space="0" w:color="auto"/>
        <w:bottom w:val="none" w:sz="0" w:space="0" w:color="auto"/>
        <w:right w:val="none" w:sz="0" w:space="0" w:color="auto"/>
      </w:divBdr>
    </w:div>
    <w:div w:id="359479998">
      <w:bodyDiv w:val="1"/>
      <w:marLeft w:val="0"/>
      <w:marRight w:val="0"/>
      <w:marTop w:val="0"/>
      <w:marBottom w:val="0"/>
      <w:divBdr>
        <w:top w:val="none" w:sz="0" w:space="0" w:color="auto"/>
        <w:left w:val="none" w:sz="0" w:space="0" w:color="auto"/>
        <w:bottom w:val="none" w:sz="0" w:space="0" w:color="auto"/>
        <w:right w:val="none" w:sz="0" w:space="0" w:color="auto"/>
      </w:divBdr>
    </w:div>
    <w:div w:id="359597460">
      <w:bodyDiv w:val="1"/>
      <w:marLeft w:val="0"/>
      <w:marRight w:val="0"/>
      <w:marTop w:val="0"/>
      <w:marBottom w:val="0"/>
      <w:divBdr>
        <w:top w:val="none" w:sz="0" w:space="0" w:color="auto"/>
        <w:left w:val="none" w:sz="0" w:space="0" w:color="auto"/>
        <w:bottom w:val="none" w:sz="0" w:space="0" w:color="auto"/>
        <w:right w:val="none" w:sz="0" w:space="0" w:color="auto"/>
      </w:divBdr>
    </w:div>
    <w:div w:id="359664625">
      <w:bodyDiv w:val="1"/>
      <w:marLeft w:val="0"/>
      <w:marRight w:val="0"/>
      <w:marTop w:val="0"/>
      <w:marBottom w:val="0"/>
      <w:divBdr>
        <w:top w:val="none" w:sz="0" w:space="0" w:color="auto"/>
        <w:left w:val="none" w:sz="0" w:space="0" w:color="auto"/>
        <w:bottom w:val="none" w:sz="0" w:space="0" w:color="auto"/>
        <w:right w:val="none" w:sz="0" w:space="0" w:color="auto"/>
      </w:divBdr>
    </w:div>
    <w:div w:id="359671647">
      <w:bodyDiv w:val="1"/>
      <w:marLeft w:val="0"/>
      <w:marRight w:val="0"/>
      <w:marTop w:val="0"/>
      <w:marBottom w:val="0"/>
      <w:divBdr>
        <w:top w:val="none" w:sz="0" w:space="0" w:color="auto"/>
        <w:left w:val="none" w:sz="0" w:space="0" w:color="auto"/>
        <w:bottom w:val="none" w:sz="0" w:space="0" w:color="auto"/>
        <w:right w:val="none" w:sz="0" w:space="0" w:color="auto"/>
      </w:divBdr>
    </w:div>
    <w:div w:id="359816436">
      <w:bodyDiv w:val="1"/>
      <w:marLeft w:val="0"/>
      <w:marRight w:val="0"/>
      <w:marTop w:val="0"/>
      <w:marBottom w:val="0"/>
      <w:divBdr>
        <w:top w:val="none" w:sz="0" w:space="0" w:color="auto"/>
        <w:left w:val="none" w:sz="0" w:space="0" w:color="auto"/>
        <w:bottom w:val="none" w:sz="0" w:space="0" w:color="auto"/>
        <w:right w:val="none" w:sz="0" w:space="0" w:color="auto"/>
      </w:divBdr>
    </w:div>
    <w:div w:id="360016248">
      <w:bodyDiv w:val="1"/>
      <w:marLeft w:val="0"/>
      <w:marRight w:val="0"/>
      <w:marTop w:val="0"/>
      <w:marBottom w:val="0"/>
      <w:divBdr>
        <w:top w:val="none" w:sz="0" w:space="0" w:color="auto"/>
        <w:left w:val="none" w:sz="0" w:space="0" w:color="auto"/>
        <w:bottom w:val="none" w:sz="0" w:space="0" w:color="auto"/>
        <w:right w:val="none" w:sz="0" w:space="0" w:color="auto"/>
      </w:divBdr>
    </w:div>
    <w:div w:id="360059846">
      <w:bodyDiv w:val="1"/>
      <w:marLeft w:val="0"/>
      <w:marRight w:val="0"/>
      <w:marTop w:val="0"/>
      <w:marBottom w:val="0"/>
      <w:divBdr>
        <w:top w:val="none" w:sz="0" w:space="0" w:color="auto"/>
        <w:left w:val="none" w:sz="0" w:space="0" w:color="auto"/>
        <w:bottom w:val="none" w:sz="0" w:space="0" w:color="auto"/>
        <w:right w:val="none" w:sz="0" w:space="0" w:color="auto"/>
      </w:divBdr>
    </w:div>
    <w:div w:id="360085749">
      <w:bodyDiv w:val="1"/>
      <w:marLeft w:val="0"/>
      <w:marRight w:val="0"/>
      <w:marTop w:val="0"/>
      <w:marBottom w:val="0"/>
      <w:divBdr>
        <w:top w:val="none" w:sz="0" w:space="0" w:color="auto"/>
        <w:left w:val="none" w:sz="0" w:space="0" w:color="auto"/>
        <w:bottom w:val="none" w:sz="0" w:space="0" w:color="auto"/>
        <w:right w:val="none" w:sz="0" w:space="0" w:color="auto"/>
      </w:divBdr>
    </w:div>
    <w:div w:id="360128355">
      <w:bodyDiv w:val="1"/>
      <w:marLeft w:val="0"/>
      <w:marRight w:val="0"/>
      <w:marTop w:val="0"/>
      <w:marBottom w:val="0"/>
      <w:divBdr>
        <w:top w:val="none" w:sz="0" w:space="0" w:color="auto"/>
        <w:left w:val="none" w:sz="0" w:space="0" w:color="auto"/>
        <w:bottom w:val="none" w:sz="0" w:space="0" w:color="auto"/>
        <w:right w:val="none" w:sz="0" w:space="0" w:color="auto"/>
      </w:divBdr>
    </w:div>
    <w:div w:id="360134256">
      <w:bodyDiv w:val="1"/>
      <w:marLeft w:val="0"/>
      <w:marRight w:val="0"/>
      <w:marTop w:val="0"/>
      <w:marBottom w:val="0"/>
      <w:divBdr>
        <w:top w:val="none" w:sz="0" w:space="0" w:color="auto"/>
        <w:left w:val="none" w:sz="0" w:space="0" w:color="auto"/>
        <w:bottom w:val="none" w:sz="0" w:space="0" w:color="auto"/>
        <w:right w:val="none" w:sz="0" w:space="0" w:color="auto"/>
      </w:divBdr>
    </w:div>
    <w:div w:id="360404069">
      <w:bodyDiv w:val="1"/>
      <w:marLeft w:val="0"/>
      <w:marRight w:val="0"/>
      <w:marTop w:val="0"/>
      <w:marBottom w:val="0"/>
      <w:divBdr>
        <w:top w:val="none" w:sz="0" w:space="0" w:color="auto"/>
        <w:left w:val="none" w:sz="0" w:space="0" w:color="auto"/>
        <w:bottom w:val="none" w:sz="0" w:space="0" w:color="auto"/>
        <w:right w:val="none" w:sz="0" w:space="0" w:color="auto"/>
      </w:divBdr>
    </w:div>
    <w:div w:id="360479319">
      <w:bodyDiv w:val="1"/>
      <w:marLeft w:val="0"/>
      <w:marRight w:val="0"/>
      <w:marTop w:val="0"/>
      <w:marBottom w:val="0"/>
      <w:divBdr>
        <w:top w:val="none" w:sz="0" w:space="0" w:color="auto"/>
        <w:left w:val="none" w:sz="0" w:space="0" w:color="auto"/>
        <w:bottom w:val="none" w:sz="0" w:space="0" w:color="auto"/>
        <w:right w:val="none" w:sz="0" w:space="0" w:color="auto"/>
      </w:divBdr>
    </w:div>
    <w:div w:id="360595710">
      <w:bodyDiv w:val="1"/>
      <w:marLeft w:val="0"/>
      <w:marRight w:val="0"/>
      <w:marTop w:val="0"/>
      <w:marBottom w:val="0"/>
      <w:divBdr>
        <w:top w:val="none" w:sz="0" w:space="0" w:color="auto"/>
        <w:left w:val="none" w:sz="0" w:space="0" w:color="auto"/>
        <w:bottom w:val="none" w:sz="0" w:space="0" w:color="auto"/>
        <w:right w:val="none" w:sz="0" w:space="0" w:color="auto"/>
      </w:divBdr>
    </w:div>
    <w:div w:id="360672843">
      <w:bodyDiv w:val="1"/>
      <w:marLeft w:val="0"/>
      <w:marRight w:val="0"/>
      <w:marTop w:val="0"/>
      <w:marBottom w:val="0"/>
      <w:divBdr>
        <w:top w:val="none" w:sz="0" w:space="0" w:color="auto"/>
        <w:left w:val="none" w:sz="0" w:space="0" w:color="auto"/>
        <w:bottom w:val="none" w:sz="0" w:space="0" w:color="auto"/>
        <w:right w:val="none" w:sz="0" w:space="0" w:color="auto"/>
      </w:divBdr>
    </w:div>
    <w:div w:id="360711598">
      <w:bodyDiv w:val="1"/>
      <w:marLeft w:val="0"/>
      <w:marRight w:val="0"/>
      <w:marTop w:val="0"/>
      <w:marBottom w:val="0"/>
      <w:divBdr>
        <w:top w:val="none" w:sz="0" w:space="0" w:color="auto"/>
        <w:left w:val="none" w:sz="0" w:space="0" w:color="auto"/>
        <w:bottom w:val="none" w:sz="0" w:space="0" w:color="auto"/>
        <w:right w:val="none" w:sz="0" w:space="0" w:color="auto"/>
      </w:divBdr>
    </w:div>
    <w:div w:id="360714314">
      <w:bodyDiv w:val="1"/>
      <w:marLeft w:val="0"/>
      <w:marRight w:val="0"/>
      <w:marTop w:val="0"/>
      <w:marBottom w:val="0"/>
      <w:divBdr>
        <w:top w:val="none" w:sz="0" w:space="0" w:color="auto"/>
        <w:left w:val="none" w:sz="0" w:space="0" w:color="auto"/>
        <w:bottom w:val="none" w:sz="0" w:space="0" w:color="auto"/>
        <w:right w:val="none" w:sz="0" w:space="0" w:color="auto"/>
      </w:divBdr>
    </w:div>
    <w:div w:id="360791352">
      <w:bodyDiv w:val="1"/>
      <w:marLeft w:val="0"/>
      <w:marRight w:val="0"/>
      <w:marTop w:val="0"/>
      <w:marBottom w:val="0"/>
      <w:divBdr>
        <w:top w:val="none" w:sz="0" w:space="0" w:color="auto"/>
        <w:left w:val="none" w:sz="0" w:space="0" w:color="auto"/>
        <w:bottom w:val="none" w:sz="0" w:space="0" w:color="auto"/>
        <w:right w:val="none" w:sz="0" w:space="0" w:color="auto"/>
      </w:divBdr>
    </w:div>
    <w:div w:id="361246988">
      <w:bodyDiv w:val="1"/>
      <w:marLeft w:val="0"/>
      <w:marRight w:val="0"/>
      <w:marTop w:val="0"/>
      <w:marBottom w:val="0"/>
      <w:divBdr>
        <w:top w:val="none" w:sz="0" w:space="0" w:color="auto"/>
        <w:left w:val="none" w:sz="0" w:space="0" w:color="auto"/>
        <w:bottom w:val="none" w:sz="0" w:space="0" w:color="auto"/>
        <w:right w:val="none" w:sz="0" w:space="0" w:color="auto"/>
      </w:divBdr>
    </w:div>
    <w:div w:id="361369586">
      <w:bodyDiv w:val="1"/>
      <w:marLeft w:val="0"/>
      <w:marRight w:val="0"/>
      <w:marTop w:val="0"/>
      <w:marBottom w:val="0"/>
      <w:divBdr>
        <w:top w:val="none" w:sz="0" w:space="0" w:color="auto"/>
        <w:left w:val="none" w:sz="0" w:space="0" w:color="auto"/>
        <w:bottom w:val="none" w:sz="0" w:space="0" w:color="auto"/>
        <w:right w:val="none" w:sz="0" w:space="0" w:color="auto"/>
      </w:divBdr>
    </w:div>
    <w:div w:id="361707102">
      <w:bodyDiv w:val="1"/>
      <w:marLeft w:val="0"/>
      <w:marRight w:val="0"/>
      <w:marTop w:val="0"/>
      <w:marBottom w:val="0"/>
      <w:divBdr>
        <w:top w:val="none" w:sz="0" w:space="0" w:color="auto"/>
        <w:left w:val="none" w:sz="0" w:space="0" w:color="auto"/>
        <w:bottom w:val="none" w:sz="0" w:space="0" w:color="auto"/>
        <w:right w:val="none" w:sz="0" w:space="0" w:color="auto"/>
      </w:divBdr>
    </w:div>
    <w:div w:id="361789393">
      <w:bodyDiv w:val="1"/>
      <w:marLeft w:val="0"/>
      <w:marRight w:val="0"/>
      <w:marTop w:val="0"/>
      <w:marBottom w:val="0"/>
      <w:divBdr>
        <w:top w:val="none" w:sz="0" w:space="0" w:color="auto"/>
        <w:left w:val="none" w:sz="0" w:space="0" w:color="auto"/>
        <w:bottom w:val="none" w:sz="0" w:space="0" w:color="auto"/>
        <w:right w:val="none" w:sz="0" w:space="0" w:color="auto"/>
      </w:divBdr>
    </w:div>
    <w:div w:id="361901808">
      <w:bodyDiv w:val="1"/>
      <w:marLeft w:val="0"/>
      <w:marRight w:val="0"/>
      <w:marTop w:val="0"/>
      <w:marBottom w:val="0"/>
      <w:divBdr>
        <w:top w:val="none" w:sz="0" w:space="0" w:color="auto"/>
        <w:left w:val="none" w:sz="0" w:space="0" w:color="auto"/>
        <w:bottom w:val="none" w:sz="0" w:space="0" w:color="auto"/>
        <w:right w:val="none" w:sz="0" w:space="0" w:color="auto"/>
      </w:divBdr>
    </w:div>
    <w:div w:id="361980293">
      <w:bodyDiv w:val="1"/>
      <w:marLeft w:val="0"/>
      <w:marRight w:val="0"/>
      <w:marTop w:val="0"/>
      <w:marBottom w:val="0"/>
      <w:divBdr>
        <w:top w:val="none" w:sz="0" w:space="0" w:color="auto"/>
        <w:left w:val="none" w:sz="0" w:space="0" w:color="auto"/>
        <w:bottom w:val="none" w:sz="0" w:space="0" w:color="auto"/>
        <w:right w:val="none" w:sz="0" w:space="0" w:color="auto"/>
      </w:divBdr>
    </w:div>
    <w:div w:id="362024330">
      <w:bodyDiv w:val="1"/>
      <w:marLeft w:val="0"/>
      <w:marRight w:val="0"/>
      <w:marTop w:val="0"/>
      <w:marBottom w:val="0"/>
      <w:divBdr>
        <w:top w:val="none" w:sz="0" w:space="0" w:color="auto"/>
        <w:left w:val="none" w:sz="0" w:space="0" w:color="auto"/>
        <w:bottom w:val="none" w:sz="0" w:space="0" w:color="auto"/>
        <w:right w:val="none" w:sz="0" w:space="0" w:color="auto"/>
      </w:divBdr>
    </w:div>
    <w:div w:id="362053571">
      <w:bodyDiv w:val="1"/>
      <w:marLeft w:val="0"/>
      <w:marRight w:val="0"/>
      <w:marTop w:val="0"/>
      <w:marBottom w:val="0"/>
      <w:divBdr>
        <w:top w:val="none" w:sz="0" w:space="0" w:color="auto"/>
        <w:left w:val="none" w:sz="0" w:space="0" w:color="auto"/>
        <w:bottom w:val="none" w:sz="0" w:space="0" w:color="auto"/>
        <w:right w:val="none" w:sz="0" w:space="0" w:color="auto"/>
      </w:divBdr>
    </w:div>
    <w:div w:id="362093821">
      <w:bodyDiv w:val="1"/>
      <w:marLeft w:val="0"/>
      <w:marRight w:val="0"/>
      <w:marTop w:val="0"/>
      <w:marBottom w:val="0"/>
      <w:divBdr>
        <w:top w:val="none" w:sz="0" w:space="0" w:color="auto"/>
        <w:left w:val="none" w:sz="0" w:space="0" w:color="auto"/>
        <w:bottom w:val="none" w:sz="0" w:space="0" w:color="auto"/>
        <w:right w:val="none" w:sz="0" w:space="0" w:color="auto"/>
      </w:divBdr>
    </w:div>
    <w:div w:id="362095941">
      <w:bodyDiv w:val="1"/>
      <w:marLeft w:val="0"/>
      <w:marRight w:val="0"/>
      <w:marTop w:val="0"/>
      <w:marBottom w:val="0"/>
      <w:divBdr>
        <w:top w:val="none" w:sz="0" w:space="0" w:color="auto"/>
        <w:left w:val="none" w:sz="0" w:space="0" w:color="auto"/>
        <w:bottom w:val="none" w:sz="0" w:space="0" w:color="auto"/>
        <w:right w:val="none" w:sz="0" w:space="0" w:color="auto"/>
      </w:divBdr>
    </w:div>
    <w:div w:id="362172552">
      <w:bodyDiv w:val="1"/>
      <w:marLeft w:val="0"/>
      <w:marRight w:val="0"/>
      <w:marTop w:val="0"/>
      <w:marBottom w:val="0"/>
      <w:divBdr>
        <w:top w:val="none" w:sz="0" w:space="0" w:color="auto"/>
        <w:left w:val="none" w:sz="0" w:space="0" w:color="auto"/>
        <w:bottom w:val="none" w:sz="0" w:space="0" w:color="auto"/>
        <w:right w:val="none" w:sz="0" w:space="0" w:color="auto"/>
      </w:divBdr>
    </w:div>
    <w:div w:id="362173676">
      <w:bodyDiv w:val="1"/>
      <w:marLeft w:val="0"/>
      <w:marRight w:val="0"/>
      <w:marTop w:val="0"/>
      <w:marBottom w:val="0"/>
      <w:divBdr>
        <w:top w:val="none" w:sz="0" w:space="0" w:color="auto"/>
        <w:left w:val="none" w:sz="0" w:space="0" w:color="auto"/>
        <w:bottom w:val="none" w:sz="0" w:space="0" w:color="auto"/>
        <w:right w:val="none" w:sz="0" w:space="0" w:color="auto"/>
      </w:divBdr>
    </w:div>
    <w:div w:id="362436281">
      <w:bodyDiv w:val="1"/>
      <w:marLeft w:val="0"/>
      <w:marRight w:val="0"/>
      <w:marTop w:val="0"/>
      <w:marBottom w:val="0"/>
      <w:divBdr>
        <w:top w:val="none" w:sz="0" w:space="0" w:color="auto"/>
        <w:left w:val="none" w:sz="0" w:space="0" w:color="auto"/>
        <w:bottom w:val="none" w:sz="0" w:space="0" w:color="auto"/>
        <w:right w:val="none" w:sz="0" w:space="0" w:color="auto"/>
      </w:divBdr>
    </w:div>
    <w:div w:id="362441950">
      <w:bodyDiv w:val="1"/>
      <w:marLeft w:val="0"/>
      <w:marRight w:val="0"/>
      <w:marTop w:val="0"/>
      <w:marBottom w:val="0"/>
      <w:divBdr>
        <w:top w:val="none" w:sz="0" w:space="0" w:color="auto"/>
        <w:left w:val="none" w:sz="0" w:space="0" w:color="auto"/>
        <w:bottom w:val="none" w:sz="0" w:space="0" w:color="auto"/>
        <w:right w:val="none" w:sz="0" w:space="0" w:color="auto"/>
      </w:divBdr>
    </w:div>
    <w:div w:id="362483137">
      <w:bodyDiv w:val="1"/>
      <w:marLeft w:val="0"/>
      <w:marRight w:val="0"/>
      <w:marTop w:val="0"/>
      <w:marBottom w:val="0"/>
      <w:divBdr>
        <w:top w:val="none" w:sz="0" w:space="0" w:color="auto"/>
        <w:left w:val="none" w:sz="0" w:space="0" w:color="auto"/>
        <w:bottom w:val="none" w:sz="0" w:space="0" w:color="auto"/>
        <w:right w:val="none" w:sz="0" w:space="0" w:color="auto"/>
      </w:divBdr>
    </w:div>
    <w:div w:id="362487986">
      <w:bodyDiv w:val="1"/>
      <w:marLeft w:val="0"/>
      <w:marRight w:val="0"/>
      <w:marTop w:val="0"/>
      <w:marBottom w:val="0"/>
      <w:divBdr>
        <w:top w:val="none" w:sz="0" w:space="0" w:color="auto"/>
        <w:left w:val="none" w:sz="0" w:space="0" w:color="auto"/>
        <w:bottom w:val="none" w:sz="0" w:space="0" w:color="auto"/>
        <w:right w:val="none" w:sz="0" w:space="0" w:color="auto"/>
      </w:divBdr>
    </w:div>
    <w:div w:id="362555307">
      <w:bodyDiv w:val="1"/>
      <w:marLeft w:val="0"/>
      <w:marRight w:val="0"/>
      <w:marTop w:val="0"/>
      <w:marBottom w:val="0"/>
      <w:divBdr>
        <w:top w:val="none" w:sz="0" w:space="0" w:color="auto"/>
        <w:left w:val="none" w:sz="0" w:space="0" w:color="auto"/>
        <w:bottom w:val="none" w:sz="0" w:space="0" w:color="auto"/>
        <w:right w:val="none" w:sz="0" w:space="0" w:color="auto"/>
      </w:divBdr>
    </w:div>
    <w:div w:id="362557245">
      <w:bodyDiv w:val="1"/>
      <w:marLeft w:val="0"/>
      <w:marRight w:val="0"/>
      <w:marTop w:val="0"/>
      <w:marBottom w:val="0"/>
      <w:divBdr>
        <w:top w:val="none" w:sz="0" w:space="0" w:color="auto"/>
        <w:left w:val="none" w:sz="0" w:space="0" w:color="auto"/>
        <w:bottom w:val="none" w:sz="0" w:space="0" w:color="auto"/>
        <w:right w:val="none" w:sz="0" w:space="0" w:color="auto"/>
      </w:divBdr>
    </w:div>
    <w:div w:id="362633565">
      <w:bodyDiv w:val="1"/>
      <w:marLeft w:val="0"/>
      <w:marRight w:val="0"/>
      <w:marTop w:val="0"/>
      <w:marBottom w:val="0"/>
      <w:divBdr>
        <w:top w:val="none" w:sz="0" w:space="0" w:color="auto"/>
        <w:left w:val="none" w:sz="0" w:space="0" w:color="auto"/>
        <w:bottom w:val="none" w:sz="0" w:space="0" w:color="auto"/>
        <w:right w:val="none" w:sz="0" w:space="0" w:color="auto"/>
      </w:divBdr>
    </w:div>
    <w:div w:id="362756864">
      <w:bodyDiv w:val="1"/>
      <w:marLeft w:val="0"/>
      <w:marRight w:val="0"/>
      <w:marTop w:val="0"/>
      <w:marBottom w:val="0"/>
      <w:divBdr>
        <w:top w:val="none" w:sz="0" w:space="0" w:color="auto"/>
        <w:left w:val="none" w:sz="0" w:space="0" w:color="auto"/>
        <w:bottom w:val="none" w:sz="0" w:space="0" w:color="auto"/>
        <w:right w:val="none" w:sz="0" w:space="0" w:color="auto"/>
      </w:divBdr>
    </w:div>
    <w:div w:id="362757279">
      <w:bodyDiv w:val="1"/>
      <w:marLeft w:val="0"/>
      <w:marRight w:val="0"/>
      <w:marTop w:val="0"/>
      <w:marBottom w:val="0"/>
      <w:divBdr>
        <w:top w:val="none" w:sz="0" w:space="0" w:color="auto"/>
        <w:left w:val="none" w:sz="0" w:space="0" w:color="auto"/>
        <w:bottom w:val="none" w:sz="0" w:space="0" w:color="auto"/>
        <w:right w:val="none" w:sz="0" w:space="0" w:color="auto"/>
      </w:divBdr>
    </w:div>
    <w:div w:id="362873015">
      <w:bodyDiv w:val="1"/>
      <w:marLeft w:val="0"/>
      <w:marRight w:val="0"/>
      <w:marTop w:val="0"/>
      <w:marBottom w:val="0"/>
      <w:divBdr>
        <w:top w:val="none" w:sz="0" w:space="0" w:color="auto"/>
        <w:left w:val="none" w:sz="0" w:space="0" w:color="auto"/>
        <w:bottom w:val="none" w:sz="0" w:space="0" w:color="auto"/>
        <w:right w:val="none" w:sz="0" w:space="0" w:color="auto"/>
      </w:divBdr>
    </w:div>
    <w:div w:id="362945450">
      <w:bodyDiv w:val="1"/>
      <w:marLeft w:val="0"/>
      <w:marRight w:val="0"/>
      <w:marTop w:val="0"/>
      <w:marBottom w:val="0"/>
      <w:divBdr>
        <w:top w:val="none" w:sz="0" w:space="0" w:color="auto"/>
        <w:left w:val="none" w:sz="0" w:space="0" w:color="auto"/>
        <w:bottom w:val="none" w:sz="0" w:space="0" w:color="auto"/>
        <w:right w:val="none" w:sz="0" w:space="0" w:color="auto"/>
      </w:divBdr>
    </w:div>
    <w:div w:id="363021826">
      <w:bodyDiv w:val="1"/>
      <w:marLeft w:val="0"/>
      <w:marRight w:val="0"/>
      <w:marTop w:val="0"/>
      <w:marBottom w:val="0"/>
      <w:divBdr>
        <w:top w:val="none" w:sz="0" w:space="0" w:color="auto"/>
        <w:left w:val="none" w:sz="0" w:space="0" w:color="auto"/>
        <w:bottom w:val="none" w:sz="0" w:space="0" w:color="auto"/>
        <w:right w:val="none" w:sz="0" w:space="0" w:color="auto"/>
      </w:divBdr>
    </w:div>
    <w:div w:id="363024397">
      <w:bodyDiv w:val="1"/>
      <w:marLeft w:val="0"/>
      <w:marRight w:val="0"/>
      <w:marTop w:val="0"/>
      <w:marBottom w:val="0"/>
      <w:divBdr>
        <w:top w:val="none" w:sz="0" w:space="0" w:color="auto"/>
        <w:left w:val="none" w:sz="0" w:space="0" w:color="auto"/>
        <w:bottom w:val="none" w:sz="0" w:space="0" w:color="auto"/>
        <w:right w:val="none" w:sz="0" w:space="0" w:color="auto"/>
      </w:divBdr>
    </w:div>
    <w:div w:id="363097099">
      <w:bodyDiv w:val="1"/>
      <w:marLeft w:val="0"/>
      <w:marRight w:val="0"/>
      <w:marTop w:val="0"/>
      <w:marBottom w:val="0"/>
      <w:divBdr>
        <w:top w:val="none" w:sz="0" w:space="0" w:color="auto"/>
        <w:left w:val="none" w:sz="0" w:space="0" w:color="auto"/>
        <w:bottom w:val="none" w:sz="0" w:space="0" w:color="auto"/>
        <w:right w:val="none" w:sz="0" w:space="0" w:color="auto"/>
      </w:divBdr>
    </w:div>
    <w:div w:id="363209441">
      <w:bodyDiv w:val="1"/>
      <w:marLeft w:val="0"/>
      <w:marRight w:val="0"/>
      <w:marTop w:val="0"/>
      <w:marBottom w:val="0"/>
      <w:divBdr>
        <w:top w:val="none" w:sz="0" w:space="0" w:color="auto"/>
        <w:left w:val="none" w:sz="0" w:space="0" w:color="auto"/>
        <w:bottom w:val="none" w:sz="0" w:space="0" w:color="auto"/>
        <w:right w:val="none" w:sz="0" w:space="0" w:color="auto"/>
      </w:divBdr>
    </w:div>
    <w:div w:id="363284923">
      <w:bodyDiv w:val="1"/>
      <w:marLeft w:val="0"/>
      <w:marRight w:val="0"/>
      <w:marTop w:val="0"/>
      <w:marBottom w:val="0"/>
      <w:divBdr>
        <w:top w:val="none" w:sz="0" w:space="0" w:color="auto"/>
        <w:left w:val="none" w:sz="0" w:space="0" w:color="auto"/>
        <w:bottom w:val="none" w:sz="0" w:space="0" w:color="auto"/>
        <w:right w:val="none" w:sz="0" w:space="0" w:color="auto"/>
      </w:divBdr>
    </w:div>
    <w:div w:id="363288513">
      <w:bodyDiv w:val="1"/>
      <w:marLeft w:val="0"/>
      <w:marRight w:val="0"/>
      <w:marTop w:val="0"/>
      <w:marBottom w:val="0"/>
      <w:divBdr>
        <w:top w:val="none" w:sz="0" w:space="0" w:color="auto"/>
        <w:left w:val="none" w:sz="0" w:space="0" w:color="auto"/>
        <w:bottom w:val="none" w:sz="0" w:space="0" w:color="auto"/>
        <w:right w:val="none" w:sz="0" w:space="0" w:color="auto"/>
      </w:divBdr>
    </w:div>
    <w:div w:id="363404735">
      <w:bodyDiv w:val="1"/>
      <w:marLeft w:val="0"/>
      <w:marRight w:val="0"/>
      <w:marTop w:val="0"/>
      <w:marBottom w:val="0"/>
      <w:divBdr>
        <w:top w:val="none" w:sz="0" w:space="0" w:color="auto"/>
        <w:left w:val="none" w:sz="0" w:space="0" w:color="auto"/>
        <w:bottom w:val="none" w:sz="0" w:space="0" w:color="auto"/>
        <w:right w:val="none" w:sz="0" w:space="0" w:color="auto"/>
      </w:divBdr>
    </w:div>
    <w:div w:id="363406946">
      <w:bodyDiv w:val="1"/>
      <w:marLeft w:val="0"/>
      <w:marRight w:val="0"/>
      <w:marTop w:val="0"/>
      <w:marBottom w:val="0"/>
      <w:divBdr>
        <w:top w:val="none" w:sz="0" w:space="0" w:color="auto"/>
        <w:left w:val="none" w:sz="0" w:space="0" w:color="auto"/>
        <w:bottom w:val="none" w:sz="0" w:space="0" w:color="auto"/>
        <w:right w:val="none" w:sz="0" w:space="0" w:color="auto"/>
      </w:divBdr>
    </w:div>
    <w:div w:id="363554952">
      <w:bodyDiv w:val="1"/>
      <w:marLeft w:val="0"/>
      <w:marRight w:val="0"/>
      <w:marTop w:val="0"/>
      <w:marBottom w:val="0"/>
      <w:divBdr>
        <w:top w:val="none" w:sz="0" w:space="0" w:color="auto"/>
        <w:left w:val="none" w:sz="0" w:space="0" w:color="auto"/>
        <w:bottom w:val="none" w:sz="0" w:space="0" w:color="auto"/>
        <w:right w:val="none" w:sz="0" w:space="0" w:color="auto"/>
      </w:divBdr>
    </w:div>
    <w:div w:id="363680288">
      <w:bodyDiv w:val="1"/>
      <w:marLeft w:val="0"/>
      <w:marRight w:val="0"/>
      <w:marTop w:val="0"/>
      <w:marBottom w:val="0"/>
      <w:divBdr>
        <w:top w:val="none" w:sz="0" w:space="0" w:color="auto"/>
        <w:left w:val="none" w:sz="0" w:space="0" w:color="auto"/>
        <w:bottom w:val="none" w:sz="0" w:space="0" w:color="auto"/>
        <w:right w:val="none" w:sz="0" w:space="0" w:color="auto"/>
      </w:divBdr>
    </w:div>
    <w:div w:id="363795097">
      <w:bodyDiv w:val="1"/>
      <w:marLeft w:val="0"/>
      <w:marRight w:val="0"/>
      <w:marTop w:val="0"/>
      <w:marBottom w:val="0"/>
      <w:divBdr>
        <w:top w:val="none" w:sz="0" w:space="0" w:color="auto"/>
        <w:left w:val="none" w:sz="0" w:space="0" w:color="auto"/>
        <w:bottom w:val="none" w:sz="0" w:space="0" w:color="auto"/>
        <w:right w:val="none" w:sz="0" w:space="0" w:color="auto"/>
      </w:divBdr>
    </w:div>
    <w:div w:id="364064303">
      <w:bodyDiv w:val="1"/>
      <w:marLeft w:val="0"/>
      <w:marRight w:val="0"/>
      <w:marTop w:val="0"/>
      <w:marBottom w:val="0"/>
      <w:divBdr>
        <w:top w:val="none" w:sz="0" w:space="0" w:color="auto"/>
        <w:left w:val="none" w:sz="0" w:space="0" w:color="auto"/>
        <w:bottom w:val="none" w:sz="0" w:space="0" w:color="auto"/>
        <w:right w:val="none" w:sz="0" w:space="0" w:color="auto"/>
      </w:divBdr>
    </w:div>
    <w:div w:id="364138300">
      <w:bodyDiv w:val="1"/>
      <w:marLeft w:val="0"/>
      <w:marRight w:val="0"/>
      <w:marTop w:val="0"/>
      <w:marBottom w:val="0"/>
      <w:divBdr>
        <w:top w:val="none" w:sz="0" w:space="0" w:color="auto"/>
        <w:left w:val="none" w:sz="0" w:space="0" w:color="auto"/>
        <w:bottom w:val="none" w:sz="0" w:space="0" w:color="auto"/>
        <w:right w:val="none" w:sz="0" w:space="0" w:color="auto"/>
      </w:divBdr>
    </w:div>
    <w:div w:id="364141897">
      <w:bodyDiv w:val="1"/>
      <w:marLeft w:val="0"/>
      <w:marRight w:val="0"/>
      <w:marTop w:val="0"/>
      <w:marBottom w:val="0"/>
      <w:divBdr>
        <w:top w:val="none" w:sz="0" w:space="0" w:color="auto"/>
        <w:left w:val="none" w:sz="0" w:space="0" w:color="auto"/>
        <w:bottom w:val="none" w:sz="0" w:space="0" w:color="auto"/>
        <w:right w:val="none" w:sz="0" w:space="0" w:color="auto"/>
      </w:divBdr>
    </w:div>
    <w:div w:id="364330321">
      <w:bodyDiv w:val="1"/>
      <w:marLeft w:val="0"/>
      <w:marRight w:val="0"/>
      <w:marTop w:val="0"/>
      <w:marBottom w:val="0"/>
      <w:divBdr>
        <w:top w:val="none" w:sz="0" w:space="0" w:color="auto"/>
        <w:left w:val="none" w:sz="0" w:space="0" w:color="auto"/>
        <w:bottom w:val="none" w:sz="0" w:space="0" w:color="auto"/>
        <w:right w:val="none" w:sz="0" w:space="0" w:color="auto"/>
      </w:divBdr>
    </w:div>
    <w:div w:id="364334521">
      <w:bodyDiv w:val="1"/>
      <w:marLeft w:val="0"/>
      <w:marRight w:val="0"/>
      <w:marTop w:val="0"/>
      <w:marBottom w:val="0"/>
      <w:divBdr>
        <w:top w:val="none" w:sz="0" w:space="0" w:color="auto"/>
        <w:left w:val="none" w:sz="0" w:space="0" w:color="auto"/>
        <w:bottom w:val="none" w:sz="0" w:space="0" w:color="auto"/>
        <w:right w:val="none" w:sz="0" w:space="0" w:color="auto"/>
      </w:divBdr>
    </w:div>
    <w:div w:id="364523338">
      <w:bodyDiv w:val="1"/>
      <w:marLeft w:val="0"/>
      <w:marRight w:val="0"/>
      <w:marTop w:val="0"/>
      <w:marBottom w:val="0"/>
      <w:divBdr>
        <w:top w:val="none" w:sz="0" w:space="0" w:color="auto"/>
        <w:left w:val="none" w:sz="0" w:space="0" w:color="auto"/>
        <w:bottom w:val="none" w:sz="0" w:space="0" w:color="auto"/>
        <w:right w:val="none" w:sz="0" w:space="0" w:color="auto"/>
      </w:divBdr>
    </w:div>
    <w:div w:id="364715427">
      <w:bodyDiv w:val="1"/>
      <w:marLeft w:val="0"/>
      <w:marRight w:val="0"/>
      <w:marTop w:val="0"/>
      <w:marBottom w:val="0"/>
      <w:divBdr>
        <w:top w:val="none" w:sz="0" w:space="0" w:color="auto"/>
        <w:left w:val="none" w:sz="0" w:space="0" w:color="auto"/>
        <w:bottom w:val="none" w:sz="0" w:space="0" w:color="auto"/>
        <w:right w:val="none" w:sz="0" w:space="0" w:color="auto"/>
      </w:divBdr>
    </w:div>
    <w:div w:id="364792120">
      <w:bodyDiv w:val="1"/>
      <w:marLeft w:val="0"/>
      <w:marRight w:val="0"/>
      <w:marTop w:val="0"/>
      <w:marBottom w:val="0"/>
      <w:divBdr>
        <w:top w:val="none" w:sz="0" w:space="0" w:color="auto"/>
        <w:left w:val="none" w:sz="0" w:space="0" w:color="auto"/>
        <w:bottom w:val="none" w:sz="0" w:space="0" w:color="auto"/>
        <w:right w:val="none" w:sz="0" w:space="0" w:color="auto"/>
      </w:divBdr>
    </w:div>
    <w:div w:id="364908621">
      <w:bodyDiv w:val="1"/>
      <w:marLeft w:val="0"/>
      <w:marRight w:val="0"/>
      <w:marTop w:val="0"/>
      <w:marBottom w:val="0"/>
      <w:divBdr>
        <w:top w:val="none" w:sz="0" w:space="0" w:color="auto"/>
        <w:left w:val="none" w:sz="0" w:space="0" w:color="auto"/>
        <w:bottom w:val="none" w:sz="0" w:space="0" w:color="auto"/>
        <w:right w:val="none" w:sz="0" w:space="0" w:color="auto"/>
      </w:divBdr>
    </w:div>
    <w:div w:id="364984367">
      <w:bodyDiv w:val="1"/>
      <w:marLeft w:val="0"/>
      <w:marRight w:val="0"/>
      <w:marTop w:val="0"/>
      <w:marBottom w:val="0"/>
      <w:divBdr>
        <w:top w:val="none" w:sz="0" w:space="0" w:color="auto"/>
        <w:left w:val="none" w:sz="0" w:space="0" w:color="auto"/>
        <w:bottom w:val="none" w:sz="0" w:space="0" w:color="auto"/>
        <w:right w:val="none" w:sz="0" w:space="0" w:color="auto"/>
      </w:divBdr>
    </w:div>
    <w:div w:id="364986690">
      <w:bodyDiv w:val="1"/>
      <w:marLeft w:val="0"/>
      <w:marRight w:val="0"/>
      <w:marTop w:val="0"/>
      <w:marBottom w:val="0"/>
      <w:divBdr>
        <w:top w:val="none" w:sz="0" w:space="0" w:color="auto"/>
        <w:left w:val="none" w:sz="0" w:space="0" w:color="auto"/>
        <w:bottom w:val="none" w:sz="0" w:space="0" w:color="auto"/>
        <w:right w:val="none" w:sz="0" w:space="0" w:color="auto"/>
      </w:divBdr>
    </w:div>
    <w:div w:id="364989993">
      <w:bodyDiv w:val="1"/>
      <w:marLeft w:val="0"/>
      <w:marRight w:val="0"/>
      <w:marTop w:val="0"/>
      <w:marBottom w:val="0"/>
      <w:divBdr>
        <w:top w:val="none" w:sz="0" w:space="0" w:color="auto"/>
        <w:left w:val="none" w:sz="0" w:space="0" w:color="auto"/>
        <w:bottom w:val="none" w:sz="0" w:space="0" w:color="auto"/>
        <w:right w:val="none" w:sz="0" w:space="0" w:color="auto"/>
      </w:divBdr>
    </w:div>
    <w:div w:id="365374429">
      <w:bodyDiv w:val="1"/>
      <w:marLeft w:val="0"/>
      <w:marRight w:val="0"/>
      <w:marTop w:val="0"/>
      <w:marBottom w:val="0"/>
      <w:divBdr>
        <w:top w:val="none" w:sz="0" w:space="0" w:color="auto"/>
        <w:left w:val="none" w:sz="0" w:space="0" w:color="auto"/>
        <w:bottom w:val="none" w:sz="0" w:space="0" w:color="auto"/>
        <w:right w:val="none" w:sz="0" w:space="0" w:color="auto"/>
      </w:divBdr>
    </w:div>
    <w:div w:id="365451028">
      <w:bodyDiv w:val="1"/>
      <w:marLeft w:val="0"/>
      <w:marRight w:val="0"/>
      <w:marTop w:val="0"/>
      <w:marBottom w:val="0"/>
      <w:divBdr>
        <w:top w:val="none" w:sz="0" w:space="0" w:color="auto"/>
        <w:left w:val="none" w:sz="0" w:space="0" w:color="auto"/>
        <w:bottom w:val="none" w:sz="0" w:space="0" w:color="auto"/>
        <w:right w:val="none" w:sz="0" w:space="0" w:color="auto"/>
      </w:divBdr>
    </w:div>
    <w:div w:id="365638504">
      <w:bodyDiv w:val="1"/>
      <w:marLeft w:val="0"/>
      <w:marRight w:val="0"/>
      <w:marTop w:val="0"/>
      <w:marBottom w:val="0"/>
      <w:divBdr>
        <w:top w:val="none" w:sz="0" w:space="0" w:color="auto"/>
        <w:left w:val="none" w:sz="0" w:space="0" w:color="auto"/>
        <w:bottom w:val="none" w:sz="0" w:space="0" w:color="auto"/>
        <w:right w:val="none" w:sz="0" w:space="0" w:color="auto"/>
      </w:divBdr>
    </w:div>
    <w:div w:id="365644776">
      <w:bodyDiv w:val="1"/>
      <w:marLeft w:val="0"/>
      <w:marRight w:val="0"/>
      <w:marTop w:val="0"/>
      <w:marBottom w:val="0"/>
      <w:divBdr>
        <w:top w:val="none" w:sz="0" w:space="0" w:color="auto"/>
        <w:left w:val="none" w:sz="0" w:space="0" w:color="auto"/>
        <w:bottom w:val="none" w:sz="0" w:space="0" w:color="auto"/>
        <w:right w:val="none" w:sz="0" w:space="0" w:color="auto"/>
      </w:divBdr>
    </w:div>
    <w:div w:id="365762952">
      <w:bodyDiv w:val="1"/>
      <w:marLeft w:val="0"/>
      <w:marRight w:val="0"/>
      <w:marTop w:val="0"/>
      <w:marBottom w:val="0"/>
      <w:divBdr>
        <w:top w:val="none" w:sz="0" w:space="0" w:color="auto"/>
        <w:left w:val="none" w:sz="0" w:space="0" w:color="auto"/>
        <w:bottom w:val="none" w:sz="0" w:space="0" w:color="auto"/>
        <w:right w:val="none" w:sz="0" w:space="0" w:color="auto"/>
      </w:divBdr>
    </w:div>
    <w:div w:id="365906464">
      <w:bodyDiv w:val="1"/>
      <w:marLeft w:val="0"/>
      <w:marRight w:val="0"/>
      <w:marTop w:val="0"/>
      <w:marBottom w:val="0"/>
      <w:divBdr>
        <w:top w:val="none" w:sz="0" w:space="0" w:color="auto"/>
        <w:left w:val="none" w:sz="0" w:space="0" w:color="auto"/>
        <w:bottom w:val="none" w:sz="0" w:space="0" w:color="auto"/>
        <w:right w:val="none" w:sz="0" w:space="0" w:color="auto"/>
      </w:divBdr>
    </w:div>
    <w:div w:id="365906578">
      <w:bodyDiv w:val="1"/>
      <w:marLeft w:val="0"/>
      <w:marRight w:val="0"/>
      <w:marTop w:val="0"/>
      <w:marBottom w:val="0"/>
      <w:divBdr>
        <w:top w:val="none" w:sz="0" w:space="0" w:color="auto"/>
        <w:left w:val="none" w:sz="0" w:space="0" w:color="auto"/>
        <w:bottom w:val="none" w:sz="0" w:space="0" w:color="auto"/>
        <w:right w:val="none" w:sz="0" w:space="0" w:color="auto"/>
      </w:divBdr>
    </w:div>
    <w:div w:id="365954289">
      <w:bodyDiv w:val="1"/>
      <w:marLeft w:val="0"/>
      <w:marRight w:val="0"/>
      <w:marTop w:val="0"/>
      <w:marBottom w:val="0"/>
      <w:divBdr>
        <w:top w:val="none" w:sz="0" w:space="0" w:color="auto"/>
        <w:left w:val="none" w:sz="0" w:space="0" w:color="auto"/>
        <w:bottom w:val="none" w:sz="0" w:space="0" w:color="auto"/>
        <w:right w:val="none" w:sz="0" w:space="0" w:color="auto"/>
      </w:divBdr>
    </w:div>
    <w:div w:id="366025783">
      <w:bodyDiv w:val="1"/>
      <w:marLeft w:val="0"/>
      <w:marRight w:val="0"/>
      <w:marTop w:val="0"/>
      <w:marBottom w:val="0"/>
      <w:divBdr>
        <w:top w:val="none" w:sz="0" w:space="0" w:color="auto"/>
        <w:left w:val="none" w:sz="0" w:space="0" w:color="auto"/>
        <w:bottom w:val="none" w:sz="0" w:space="0" w:color="auto"/>
        <w:right w:val="none" w:sz="0" w:space="0" w:color="auto"/>
      </w:divBdr>
    </w:div>
    <w:div w:id="366102753">
      <w:bodyDiv w:val="1"/>
      <w:marLeft w:val="0"/>
      <w:marRight w:val="0"/>
      <w:marTop w:val="0"/>
      <w:marBottom w:val="0"/>
      <w:divBdr>
        <w:top w:val="none" w:sz="0" w:space="0" w:color="auto"/>
        <w:left w:val="none" w:sz="0" w:space="0" w:color="auto"/>
        <w:bottom w:val="none" w:sz="0" w:space="0" w:color="auto"/>
        <w:right w:val="none" w:sz="0" w:space="0" w:color="auto"/>
      </w:divBdr>
    </w:div>
    <w:div w:id="366224137">
      <w:bodyDiv w:val="1"/>
      <w:marLeft w:val="0"/>
      <w:marRight w:val="0"/>
      <w:marTop w:val="0"/>
      <w:marBottom w:val="0"/>
      <w:divBdr>
        <w:top w:val="none" w:sz="0" w:space="0" w:color="auto"/>
        <w:left w:val="none" w:sz="0" w:space="0" w:color="auto"/>
        <w:bottom w:val="none" w:sz="0" w:space="0" w:color="auto"/>
        <w:right w:val="none" w:sz="0" w:space="0" w:color="auto"/>
      </w:divBdr>
    </w:div>
    <w:div w:id="366293040">
      <w:bodyDiv w:val="1"/>
      <w:marLeft w:val="0"/>
      <w:marRight w:val="0"/>
      <w:marTop w:val="0"/>
      <w:marBottom w:val="0"/>
      <w:divBdr>
        <w:top w:val="none" w:sz="0" w:space="0" w:color="auto"/>
        <w:left w:val="none" w:sz="0" w:space="0" w:color="auto"/>
        <w:bottom w:val="none" w:sz="0" w:space="0" w:color="auto"/>
        <w:right w:val="none" w:sz="0" w:space="0" w:color="auto"/>
      </w:divBdr>
    </w:div>
    <w:div w:id="366297987">
      <w:bodyDiv w:val="1"/>
      <w:marLeft w:val="0"/>
      <w:marRight w:val="0"/>
      <w:marTop w:val="0"/>
      <w:marBottom w:val="0"/>
      <w:divBdr>
        <w:top w:val="none" w:sz="0" w:space="0" w:color="auto"/>
        <w:left w:val="none" w:sz="0" w:space="0" w:color="auto"/>
        <w:bottom w:val="none" w:sz="0" w:space="0" w:color="auto"/>
        <w:right w:val="none" w:sz="0" w:space="0" w:color="auto"/>
      </w:divBdr>
    </w:div>
    <w:div w:id="366486638">
      <w:bodyDiv w:val="1"/>
      <w:marLeft w:val="0"/>
      <w:marRight w:val="0"/>
      <w:marTop w:val="0"/>
      <w:marBottom w:val="0"/>
      <w:divBdr>
        <w:top w:val="none" w:sz="0" w:space="0" w:color="auto"/>
        <w:left w:val="none" w:sz="0" w:space="0" w:color="auto"/>
        <w:bottom w:val="none" w:sz="0" w:space="0" w:color="auto"/>
        <w:right w:val="none" w:sz="0" w:space="0" w:color="auto"/>
      </w:divBdr>
    </w:div>
    <w:div w:id="366608677">
      <w:bodyDiv w:val="1"/>
      <w:marLeft w:val="0"/>
      <w:marRight w:val="0"/>
      <w:marTop w:val="0"/>
      <w:marBottom w:val="0"/>
      <w:divBdr>
        <w:top w:val="none" w:sz="0" w:space="0" w:color="auto"/>
        <w:left w:val="none" w:sz="0" w:space="0" w:color="auto"/>
        <w:bottom w:val="none" w:sz="0" w:space="0" w:color="auto"/>
        <w:right w:val="none" w:sz="0" w:space="0" w:color="auto"/>
      </w:divBdr>
    </w:div>
    <w:div w:id="366612569">
      <w:bodyDiv w:val="1"/>
      <w:marLeft w:val="0"/>
      <w:marRight w:val="0"/>
      <w:marTop w:val="0"/>
      <w:marBottom w:val="0"/>
      <w:divBdr>
        <w:top w:val="none" w:sz="0" w:space="0" w:color="auto"/>
        <w:left w:val="none" w:sz="0" w:space="0" w:color="auto"/>
        <w:bottom w:val="none" w:sz="0" w:space="0" w:color="auto"/>
        <w:right w:val="none" w:sz="0" w:space="0" w:color="auto"/>
      </w:divBdr>
    </w:div>
    <w:div w:id="366755584">
      <w:bodyDiv w:val="1"/>
      <w:marLeft w:val="0"/>
      <w:marRight w:val="0"/>
      <w:marTop w:val="0"/>
      <w:marBottom w:val="0"/>
      <w:divBdr>
        <w:top w:val="none" w:sz="0" w:space="0" w:color="auto"/>
        <w:left w:val="none" w:sz="0" w:space="0" w:color="auto"/>
        <w:bottom w:val="none" w:sz="0" w:space="0" w:color="auto"/>
        <w:right w:val="none" w:sz="0" w:space="0" w:color="auto"/>
      </w:divBdr>
    </w:div>
    <w:div w:id="366875806">
      <w:bodyDiv w:val="1"/>
      <w:marLeft w:val="0"/>
      <w:marRight w:val="0"/>
      <w:marTop w:val="0"/>
      <w:marBottom w:val="0"/>
      <w:divBdr>
        <w:top w:val="none" w:sz="0" w:space="0" w:color="auto"/>
        <w:left w:val="none" w:sz="0" w:space="0" w:color="auto"/>
        <w:bottom w:val="none" w:sz="0" w:space="0" w:color="auto"/>
        <w:right w:val="none" w:sz="0" w:space="0" w:color="auto"/>
      </w:divBdr>
    </w:div>
    <w:div w:id="366877155">
      <w:bodyDiv w:val="1"/>
      <w:marLeft w:val="0"/>
      <w:marRight w:val="0"/>
      <w:marTop w:val="0"/>
      <w:marBottom w:val="0"/>
      <w:divBdr>
        <w:top w:val="none" w:sz="0" w:space="0" w:color="auto"/>
        <w:left w:val="none" w:sz="0" w:space="0" w:color="auto"/>
        <w:bottom w:val="none" w:sz="0" w:space="0" w:color="auto"/>
        <w:right w:val="none" w:sz="0" w:space="0" w:color="auto"/>
      </w:divBdr>
    </w:div>
    <w:div w:id="366878787">
      <w:bodyDiv w:val="1"/>
      <w:marLeft w:val="0"/>
      <w:marRight w:val="0"/>
      <w:marTop w:val="0"/>
      <w:marBottom w:val="0"/>
      <w:divBdr>
        <w:top w:val="none" w:sz="0" w:space="0" w:color="auto"/>
        <w:left w:val="none" w:sz="0" w:space="0" w:color="auto"/>
        <w:bottom w:val="none" w:sz="0" w:space="0" w:color="auto"/>
        <w:right w:val="none" w:sz="0" w:space="0" w:color="auto"/>
      </w:divBdr>
    </w:div>
    <w:div w:id="367219768">
      <w:bodyDiv w:val="1"/>
      <w:marLeft w:val="0"/>
      <w:marRight w:val="0"/>
      <w:marTop w:val="0"/>
      <w:marBottom w:val="0"/>
      <w:divBdr>
        <w:top w:val="none" w:sz="0" w:space="0" w:color="auto"/>
        <w:left w:val="none" w:sz="0" w:space="0" w:color="auto"/>
        <w:bottom w:val="none" w:sz="0" w:space="0" w:color="auto"/>
        <w:right w:val="none" w:sz="0" w:space="0" w:color="auto"/>
      </w:divBdr>
    </w:div>
    <w:div w:id="367335783">
      <w:bodyDiv w:val="1"/>
      <w:marLeft w:val="0"/>
      <w:marRight w:val="0"/>
      <w:marTop w:val="0"/>
      <w:marBottom w:val="0"/>
      <w:divBdr>
        <w:top w:val="none" w:sz="0" w:space="0" w:color="auto"/>
        <w:left w:val="none" w:sz="0" w:space="0" w:color="auto"/>
        <w:bottom w:val="none" w:sz="0" w:space="0" w:color="auto"/>
        <w:right w:val="none" w:sz="0" w:space="0" w:color="auto"/>
      </w:divBdr>
    </w:div>
    <w:div w:id="367342278">
      <w:bodyDiv w:val="1"/>
      <w:marLeft w:val="0"/>
      <w:marRight w:val="0"/>
      <w:marTop w:val="0"/>
      <w:marBottom w:val="0"/>
      <w:divBdr>
        <w:top w:val="none" w:sz="0" w:space="0" w:color="auto"/>
        <w:left w:val="none" w:sz="0" w:space="0" w:color="auto"/>
        <w:bottom w:val="none" w:sz="0" w:space="0" w:color="auto"/>
        <w:right w:val="none" w:sz="0" w:space="0" w:color="auto"/>
      </w:divBdr>
    </w:div>
    <w:div w:id="367415006">
      <w:bodyDiv w:val="1"/>
      <w:marLeft w:val="0"/>
      <w:marRight w:val="0"/>
      <w:marTop w:val="0"/>
      <w:marBottom w:val="0"/>
      <w:divBdr>
        <w:top w:val="none" w:sz="0" w:space="0" w:color="auto"/>
        <w:left w:val="none" w:sz="0" w:space="0" w:color="auto"/>
        <w:bottom w:val="none" w:sz="0" w:space="0" w:color="auto"/>
        <w:right w:val="none" w:sz="0" w:space="0" w:color="auto"/>
      </w:divBdr>
    </w:div>
    <w:div w:id="367606933">
      <w:bodyDiv w:val="1"/>
      <w:marLeft w:val="0"/>
      <w:marRight w:val="0"/>
      <w:marTop w:val="0"/>
      <w:marBottom w:val="0"/>
      <w:divBdr>
        <w:top w:val="none" w:sz="0" w:space="0" w:color="auto"/>
        <w:left w:val="none" w:sz="0" w:space="0" w:color="auto"/>
        <w:bottom w:val="none" w:sz="0" w:space="0" w:color="auto"/>
        <w:right w:val="none" w:sz="0" w:space="0" w:color="auto"/>
      </w:divBdr>
    </w:div>
    <w:div w:id="367724066">
      <w:bodyDiv w:val="1"/>
      <w:marLeft w:val="0"/>
      <w:marRight w:val="0"/>
      <w:marTop w:val="0"/>
      <w:marBottom w:val="0"/>
      <w:divBdr>
        <w:top w:val="none" w:sz="0" w:space="0" w:color="auto"/>
        <w:left w:val="none" w:sz="0" w:space="0" w:color="auto"/>
        <w:bottom w:val="none" w:sz="0" w:space="0" w:color="auto"/>
        <w:right w:val="none" w:sz="0" w:space="0" w:color="auto"/>
      </w:divBdr>
    </w:div>
    <w:div w:id="367724206">
      <w:bodyDiv w:val="1"/>
      <w:marLeft w:val="0"/>
      <w:marRight w:val="0"/>
      <w:marTop w:val="0"/>
      <w:marBottom w:val="0"/>
      <w:divBdr>
        <w:top w:val="none" w:sz="0" w:space="0" w:color="auto"/>
        <w:left w:val="none" w:sz="0" w:space="0" w:color="auto"/>
        <w:bottom w:val="none" w:sz="0" w:space="0" w:color="auto"/>
        <w:right w:val="none" w:sz="0" w:space="0" w:color="auto"/>
      </w:divBdr>
    </w:div>
    <w:div w:id="367880602">
      <w:bodyDiv w:val="1"/>
      <w:marLeft w:val="0"/>
      <w:marRight w:val="0"/>
      <w:marTop w:val="0"/>
      <w:marBottom w:val="0"/>
      <w:divBdr>
        <w:top w:val="none" w:sz="0" w:space="0" w:color="auto"/>
        <w:left w:val="none" w:sz="0" w:space="0" w:color="auto"/>
        <w:bottom w:val="none" w:sz="0" w:space="0" w:color="auto"/>
        <w:right w:val="none" w:sz="0" w:space="0" w:color="auto"/>
      </w:divBdr>
    </w:div>
    <w:div w:id="367947102">
      <w:bodyDiv w:val="1"/>
      <w:marLeft w:val="0"/>
      <w:marRight w:val="0"/>
      <w:marTop w:val="0"/>
      <w:marBottom w:val="0"/>
      <w:divBdr>
        <w:top w:val="none" w:sz="0" w:space="0" w:color="auto"/>
        <w:left w:val="none" w:sz="0" w:space="0" w:color="auto"/>
        <w:bottom w:val="none" w:sz="0" w:space="0" w:color="auto"/>
        <w:right w:val="none" w:sz="0" w:space="0" w:color="auto"/>
      </w:divBdr>
    </w:div>
    <w:div w:id="367993306">
      <w:bodyDiv w:val="1"/>
      <w:marLeft w:val="0"/>
      <w:marRight w:val="0"/>
      <w:marTop w:val="0"/>
      <w:marBottom w:val="0"/>
      <w:divBdr>
        <w:top w:val="none" w:sz="0" w:space="0" w:color="auto"/>
        <w:left w:val="none" w:sz="0" w:space="0" w:color="auto"/>
        <w:bottom w:val="none" w:sz="0" w:space="0" w:color="auto"/>
        <w:right w:val="none" w:sz="0" w:space="0" w:color="auto"/>
      </w:divBdr>
    </w:div>
    <w:div w:id="368147189">
      <w:bodyDiv w:val="1"/>
      <w:marLeft w:val="0"/>
      <w:marRight w:val="0"/>
      <w:marTop w:val="0"/>
      <w:marBottom w:val="0"/>
      <w:divBdr>
        <w:top w:val="none" w:sz="0" w:space="0" w:color="auto"/>
        <w:left w:val="none" w:sz="0" w:space="0" w:color="auto"/>
        <w:bottom w:val="none" w:sz="0" w:space="0" w:color="auto"/>
        <w:right w:val="none" w:sz="0" w:space="0" w:color="auto"/>
      </w:divBdr>
    </w:div>
    <w:div w:id="368258327">
      <w:bodyDiv w:val="1"/>
      <w:marLeft w:val="0"/>
      <w:marRight w:val="0"/>
      <w:marTop w:val="0"/>
      <w:marBottom w:val="0"/>
      <w:divBdr>
        <w:top w:val="none" w:sz="0" w:space="0" w:color="auto"/>
        <w:left w:val="none" w:sz="0" w:space="0" w:color="auto"/>
        <w:bottom w:val="none" w:sz="0" w:space="0" w:color="auto"/>
        <w:right w:val="none" w:sz="0" w:space="0" w:color="auto"/>
      </w:divBdr>
    </w:div>
    <w:div w:id="368342864">
      <w:bodyDiv w:val="1"/>
      <w:marLeft w:val="0"/>
      <w:marRight w:val="0"/>
      <w:marTop w:val="0"/>
      <w:marBottom w:val="0"/>
      <w:divBdr>
        <w:top w:val="none" w:sz="0" w:space="0" w:color="auto"/>
        <w:left w:val="none" w:sz="0" w:space="0" w:color="auto"/>
        <w:bottom w:val="none" w:sz="0" w:space="0" w:color="auto"/>
        <w:right w:val="none" w:sz="0" w:space="0" w:color="auto"/>
      </w:divBdr>
    </w:div>
    <w:div w:id="368603842">
      <w:bodyDiv w:val="1"/>
      <w:marLeft w:val="0"/>
      <w:marRight w:val="0"/>
      <w:marTop w:val="0"/>
      <w:marBottom w:val="0"/>
      <w:divBdr>
        <w:top w:val="none" w:sz="0" w:space="0" w:color="auto"/>
        <w:left w:val="none" w:sz="0" w:space="0" w:color="auto"/>
        <w:bottom w:val="none" w:sz="0" w:space="0" w:color="auto"/>
        <w:right w:val="none" w:sz="0" w:space="0" w:color="auto"/>
      </w:divBdr>
    </w:div>
    <w:div w:id="368646963">
      <w:bodyDiv w:val="1"/>
      <w:marLeft w:val="0"/>
      <w:marRight w:val="0"/>
      <w:marTop w:val="0"/>
      <w:marBottom w:val="0"/>
      <w:divBdr>
        <w:top w:val="none" w:sz="0" w:space="0" w:color="auto"/>
        <w:left w:val="none" w:sz="0" w:space="0" w:color="auto"/>
        <w:bottom w:val="none" w:sz="0" w:space="0" w:color="auto"/>
        <w:right w:val="none" w:sz="0" w:space="0" w:color="auto"/>
      </w:divBdr>
    </w:div>
    <w:div w:id="368838836">
      <w:bodyDiv w:val="1"/>
      <w:marLeft w:val="0"/>
      <w:marRight w:val="0"/>
      <w:marTop w:val="0"/>
      <w:marBottom w:val="0"/>
      <w:divBdr>
        <w:top w:val="none" w:sz="0" w:space="0" w:color="auto"/>
        <w:left w:val="none" w:sz="0" w:space="0" w:color="auto"/>
        <w:bottom w:val="none" w:sz="0" w:space="0" w:color="auto"/>
        <w:right w:val="none" w:sz="0" w:space="0" w:color="auto"/>
      </w:divBdr>
    </w:div>
    <w:div w:id="368922410">
      <w:bodyDiv w:val="1"/>
      <w:marLeft w:val="0"/>
      <w:marRight w:val="0"/>
      <w:marTop w:val="0"/>
      <w:marBottom w:val="0"/>
      <w:divBdr>
        <w:top w:val="none" w:sz="0" w:space="0" w:color="auto"/>
        <w:left w:val="none" w:sz="0" w:space="0" w:color="auto"/>
        <w:bottom w:val="none" w:sz="0" w:space="0" w:color="auto"/>
        <w:right w:val="none" w:sz="0" w:space="0" w:color="auto"/>
      </w:divBdr>
    </w:div>
    <w:div w:id="368991958">
      <w:bodyDiv w:val="1"/>
      <w:marLeft w:val="0"/>
      <w:marRight w:val="0"/>
      <w:marTop w:val="0"/>
      <w:marBottom w:val="0"/>
      <w:divBdr>
        <w:top w:val="none" w:sz="0" w:space="0" w:color="auto"/>
        <w:left w:val="none" w:sz="0" w:space="0" w:color="auto"/>
        <w:bottom w:val="none" w:sz="0" w:space="0" w:color="auto"/>
        <w:right w:val="none" w:sz="0" w:space="0" w:color="auto"/>
      </w:divBdr>
    </w:div>
    <w:div w:id="369114693">
      <w:bodyDiv w:val="1"/>
      <w:marLeft w:val="0"/>
      <w:marRight w:val="0"/>
      <w:marTop w:val="0"/>
      <w:marBottom w:val="0"/>
      <w:divBdr>
        <w:top w:val="none" w:sz="0" w:space="0" w:color="auto"/>
        <w:left w:val="none" w:sz="0" w:space="0" w:color="auto"/>
        <w:bottom w:val="none" w:sz="0" w:space="0" w:color="auto"/>
        <w:right w:val="none" w:sz="0" w:space="0" w:color="auto"/>
      </w:divBdr>
    </w:div>
    <w:div w:id="369114977">
      <w:bodyDiv w:val="1"/>
      <w:marLeft w:val="0"/>
      <w:marRight w:val="0"/>
      <w:marTop w:val="0"/>
      <w:marBottom w:val="0"/>
      <w:divBdr>
        <w:top w:val="none" w:sz="0" w:space="0" w:color="auto"/>
        <w:left w:val="none" w:sz="0" w:space="0" w:color="auto"/>
        <w:bottom w:val="none" w:sz="0" w:space="0" w:color="auto"/>
        <w:right w:val="none" w:sz="0" w:space="0" w:color="auto"/>
      </w:divBdr>
    </w:div>
    <w:div w:id="369453420">
      <w:bodyDiv w:val="1"/>
      <w:marLeft w:val="0"/>
      <w:marRight w:val="0"/>
      <w:marTop w:val="0"/>
      <w:marBottom w:val="0"/>
      <w:divBdr>
        <w:top w:val="none" w:sz="0" w:space="0" w:color="auto"/>
        <w:left w:val="none" w:sz="0" w:space="0" w:color="auto"/>
        <w:bottom w:val="none" w:sz="0" w:space="0" w:color="auto"/>
        <w:right w:val="none" w:sz="0" w:space="0" w:color="auto"/>
      </w:divBdr>
    </w:div>
    <w:div w:id="369453572">
      <w:bodyDiv w:val="1"/>
      <w:marLeft w:val="0"/>
      <w:marRight w:val="0"/>
      <w:marTop w:val="0"/>
      <w:marBottom w:val="0"/>
      <w:divBdr>
        <w:top w:val="none" w:sz="0" w:space="0" w:color="auto"/>
        <w:left w:val="none" w:sz="0" w:space="0" w:color="auto"/>
        <w:bottom w:val="none" w:sz="0" w:space="0" w:color="auto"/>
        <w:right w:val="none" w:sz="0" w:space="0" w:color="auto"/>
      </w:divBdr>
    </w:div>
    <w:div w:id="369503082">
      <w:bodyDiv w:val="1"/>
      <w:marLeft w:val="0"/>
      <w:marRight w:val="0"/>
      <w:marTop w:val="0"/>
      <w:marBottom w:val="0"/>
      <w:divBdr>
        <w:top w:val="none" w:sz="0" w:space="0" w:color="auto"/>
        <w:left w:val="none" w:sz="0" w:space="0" w:color="auto"/>
        <w:bottom w:val="none" w:sz="0" w:space="0" w:color="auto"/>
        <w:right w:val="none" w:sz="0" w:space="0" w:color="auto"/>
      </w:divBdr>
    </w:div>
    <w:div w:id="369568873">
      <w:bodyDiv w:val="1"/>
      <w:marLeft w:val="0"/>
      <w:marRight w:val="0"/>
      <w:marTop w:val="0"/>
      <w:marBottom w:val="0"/>
      <w:divBdr>
        <w:top w:val="none" w:sz="0" w:space="0" w:color="auto"/>
        <w:left w:val="none" w:sz="0" w:space="0" w:color="auto"/>
        <w:bottom w:val="none" w:sz="0" w:space="0" w:color="auto"/>
        <w:right w:val="none" w:sz="0" w:space="0" w:color="auto"/>
      </w:divBdr>
    </w:div>
    <w:div w:id="369571543">
      <w:bodyDiv w:val="1"/>
      <w:marLeft w:val="0"/>
      <w:marRight w:val="0"/>
      <w:marTop w:val="0"/>
      <w:marBottom w:val="0"/>
      <w:divBdr>
        <w:top w:val="none" w:sz="0" w:space="0" w:color="auto"/>
        <w:left w:val="none" w:sz="0" w:space="0" w:color="auto"/>
        <w:bottom w:val="none" w:sz="0" w:space="0" w:color="auto"/>
        <w:right w:val="none" w:sz="0" w:space="0" w:color="auto"/>
      </w:divBdr>
    </w:div>
    <w:div w:id="369692940">
      <w:bodyDiv w:val="1"/>
      <w:marLeft w:val="0"/>
      <w:marRight w:val="0"/>
      <w:marTop w:val="0"/>
      <w:marBottom w:val="0"/>
      <w:divBdr>
        <w:top w:val="none" w:sz="0" w:space="0" w:color="auto"/>
        <w:left w:val="none" w:sz="0" w:space="0" w:color="auto"/>
        <w:bottom w:val="none" w:sz="0" w:space="0" w:color="auto"/>
        <w:right w:val="none" w:sz="0" w:space="0" w:color="auto"/>
      </w:divBdr>
    </w:div>
    <w:div w:id="369765296">
      <w:bodyDiv w:val="1"/>
      <w:marLeft w:val="0"/>
      <w:marRight w:val="0"/>
      <w:marTop w:val="0"/>
      <w:marBottom w:val="0"/>
      <w:divBdr>
        <w:top w:val="none" w:sz="0" w:space="0" w:color="auto"/>
        <w:left w:val="none" w:sz="0" w:space="0" w:color="auto"/>
        <w:bottom w:val="none" w:sz="0" w:space="0" w:color="auto"/>
        <w:right w:val="none" w:sz="0" w:space="0" w:color="auto"/>
      </w:divBdr>
    </w:div>
    <w:div w:id="369887667">
      <w:bodyDiv w:val="1"/>
      <w:marLeft w:val="0"/>
      <w:marRight w:val="0"/>
      <w:marTop w:val="0"/>
      <w:marBottom w:val="0"/>
      <w:divBdr>
        <w:top w:val="none" w:sz="0" w:space="0" w:color="auto"/>
        <w:left w:val="none" w:sz="0" w:space="0" w:color="auto"/>
        <w:bottom w:val="none" w:sz="0" w:space="0" w:color="auto"/>
        <w:right w:val="none" w:sz="0" w:space="0" w:color="auto"/>
      </w:divBdr>
    </w:div>
    <w:div w:id="370155080">
      <w:bodyDiv w:val="1"/>
      <w:marLeft w:val="0"/>
      <w:marRight w:val="0"/>
      <w:marTop w:val="0"/>
      <w:marBottom w:val="0"/>
      <w:divBdr>
        <w:top w:val="none" w:sz="0" w:space="0" w:color="auto"/>
        <w:left w:val="none" w:sz="0" w:space="0" w:color="auto"/>
        <w:bottom w:val="none" w:sz="0" w:space="0" w:color="auto"/>
        <w:right w:val="none" w:sz="0" w:space="0" w:color="auto"/>
      </w:divBdr>
    </w:div>
    <w:div w:id="370224948">
      <w:bodyDiv w:val="1"/>
      <w:marLeft w:val="0"/>
      <w:marRight w:val="0"/>
      <w:marTop w:val="0"/>
      <w:marBottom w:val="0"/>
      <w:divBdr>
        <w:top w:val="none" w:sz="0" w:space="0" w:color="auto"/>
        <w:left w:val="none" w:sz="0" w:space="0" w:color="auto"/>
        <w:bottom w:val="none" w:sz="0" w:space="0" w:color="auto"/>
        <w:right w:val="none" w:sz="0" w:space="0" w:color="auto"/>
      </w:divBdr>
    </w:div>
    <w:div w:id="370225439">
      <w:bodyDiv w:val="1"/>
      <w:marLeft w:val="0"/>
      <w:marRight w:val="0"/>
      <w:marTop w:val="0"/>
      <w:marBottom w:val="0"/>
      <w:divBdr>
        <w:top w:val="none" w:sz="0" w:space="0" w:color="auto"/>
        <w:left w:val="none" w:sz="0" w:space="0" w:color="auto"/>
        <w:bottom w:val="none" w:sz="0" w:space="0" w:color="auto"/>
        <w:right w:val="none" w:sz="0" w:space="0" w:color="auto"/>
      </w:divBdr>
    </w:div>
    <w:div w:id="370227447">
      <w:bodyDiv w:val="1"/>
      <w:marLeft w:val="0"/>
      <w:marRight w:val="0"/>
      <w:marTop w:val="0"/>
      <w:marBottom w:val="0"/>
      <w:divBdr>
        <w:top w:val="none" w:sz="0" w:space="0" w:color="auto"/>
        <w:left w:val="none" w:sz="0" w:space="0" w:color="auto"/>
        <w:bottom w:val="none" w:sz="0" w:space="0" w:color="auto"/>
        <w:right w:val="none" w:sz="0" w:space="0" w:color="auto"/>
      </w:divBdr>
    </w:div>
    <w:div w:id="370229829">
      <w:bodyDiv w:val="1"/>
      <w:marLeft w:val="0"/>
      <w:marRight w:val="0"/>
      <w:marTop w:val="0"/>
      <w:marBottom w:val="0"/>
      <w:divBdr>
        <w:top w:val="none" w:sz="0" w:space="0" w:color="auto"/>
        <w:left w:val="none" w:sz="0" w:space="0" w:color="auto"/>
        <w:bottom w:val="none" w:sz="0" w:space="0" w:color="auto"/>
        <w:right w:val="none" w:sz="0" w:space="0" w:color="auto"/>
      </w:divBdr>
    </w:div>
    <w:div w:id="370689606">
      <w:bodyDiv w:val="1"/>
      <w:marLeft w:val="0"/>
      <w:marRight w:val="0"/>
      <w:marTop w:val="0"/>
      <w:marBottom w:val="0"/>
      <w:divBdr>
        <w:top w:val="none" w:sz="0" w:space="0" w:color="auto"/>
        <w:left w:val="none" w:sz="0" w:space="0" w:color="auto"/>
        <w:bottom w:val="none" w:sz="0" w:space="0" w:color="auto"/>
        <w:right w:val="none" w:sz="0" w:space="0" w:color="auto"/>
      </w:divBdr>
    </w:div>
    <w:div w:id="370882729">
      <w:bodyDiv w:val="1"/>
      <w:marLeft w:val="0"/>
      <w:marRight w:val="0"/>
      <w:marTop w:val="0"/>
      <w:marBottom w:val="0"/>
      <w:divBdr>
        <w:top w:val="none" w:sz="0" w:space="0" w:color="auto"/>
        <w:left w:val="none" w:sz="0" w:space="0" w:color="auto"/>
        <w:bottom w:val="none" w:sz="0" w:space="0" w:color="auto"/>
        <w:right w:val="none" w:sz="0" w:space="0" w:color="auto"/>
      </w:divBdr>
    </w:div>
    <w:div w:id="370884932">
      <w:bodyDiv w:val="1"/>
      <w:marLeft w:val="0"/>
      <w:marRight w:val="0"/>
      <w:marTop w:val="0"/>
      <w:marBottom w:val="0"/>
      <w:divBdr>
        <w:top w:val="none" w:sz="0" w:space="0" w:color="auto"/>
        <w:left w:val="none" w:sz="0" w:space="0" w:color="auto"/>
        <w:bottom w:val="none" w:sz="0" w:space="0" w:color="auto"/>
        <w:right w:val="none" w:sz="0" w:space="0" w:color="auto"/>
      </w:divBdr>
    </w:div>
    <w:div w:id="371148480">
      <w:bodyDiv w:val="1"/>
      <w:marLeft w:val="0"/>
      <w:marRight w:val="0"/>
      <w:marTop w:val="0"/>
      <w:marBottom w:val="0"/>
      <w:divBdr>
        <w:top w:val="none" w:sz="0" w:space="0" w:color="auto"/>
        <w:left w:val="none" w:sz="0" w:space="0" w:color="auto"/>
        <w:bottom w:val="none" w:sz="0" w:space="0" w:color="auto"/>
        <w:right w:val="none" w:sz="0" w:space="0" w:color="auto"/>
      </w:divBdr>
    </w:div>
    <w:div w:id="371153627">
      <w:bodyDiv w:val="1"/>
      <w:marLeft w:val="0"/>
      <w:marRight w:val="0"/>
      <w:marTop w:val="0"/>
      <w:marBottom w:val="0"/>
      <w:divBdr>
        <w:top w:val="none" w:sz="0" w:space="0" w:color="auto"/>
        <w:left w:val="none" w:sz="0" w:space="0" w:color="auto"/>
        <w:bottom w:val="none" w:sz="0" w:space="0" w:color="auto"/>
        <w:right w:val="none" w:sz="0" w:space="0" w:color="auto"/>
      </w:divBdr>
    </w:div>
    <w:div w:id="371225652">
      <w:bodyDiv w:val="1"/>
      <w:marLeft w:val="0"/>
      <w:marRight w:val="0"/>
      <w:marTop w:val="0"/>
      <w:marBottom w:val="0"/>
      <w:divBdr>
        <w:top w:val="none" w:sz="0" w:space="0" w:color="auto"/>
        <w:left w:val="none" w:sz="0" w:space="0" w:color="auto"/>
        <w:bottom w:val="none" w:sz="0" w:space="0" w:color="auto"/>
        <w:right w:val="none" w:sz="0" w:space="0" w:color="auto"/>
      </w:divBdr>
    </w:div>
    <w:div w:id="371274074">
      <w:bodyDiv w:val="1"/>
      <w:marLeft w:val="0"/>
      <w:marRight w:val="0"/>
      <w:marTop w:val="0"/>
      <w:marBottom w:val="0"/>
      <w:divBdr>
        <w:top w:val="none" w:sz="0" w:space="0" w:color="auto"/>
        <w:left w:val="none" w:sz="0" w:space="0" w:color="auto"/>
        <w:bottom w:val="none" w:sz="0" w:space="0" w:color="auto"/>
        <w:right w:val="none" w:sz="0" w:space="0" w:color="auto"/>
      </w:divBdr>
    </w:div>
    <w:div w:id="371274401">
      <w:bodyDiv w:val="1"/>
      <w:marLeft w:val="0"/>
      <w:marRight w:val="0"/>
      <w:marTop w:val="0"/>
      <w:marBottom w:val="0"/>
      <w:divBdr>
        <w:top w:val="none" w:sz="0" w:space="0" w:color="auto"/>
        <w:left w:val="none" w:sz="0" w:space="0" w:color="auto"/>
        <w:bottom w:val="none" w:sz="0" w:space="0" w:color="auto"/>
        <w:right w:val="none" w:sz="0" w:space="0" w:color="auto"/>
      </w:divBdr>
    </w:div>
    <w:div w:id="371418178">
      <w:bodyDiv w:val="1"/>
      <w:marLeft w:val="0"/>
      <w:marRight w:val="0"/>
      <w:marTop w:val="0"/>
      <w:marBottom w:val="0"/>
      <w:divBdr>
        <w:top w:val="none" w:sz="0" w:space="0" w:color="auto"/>
        <w:left w:val="none" w:sz="0" w:space="0" w:color="auto"/>
        <w:bottom w:val="none" w:sz="0" w:space="0" w:color="auto"/>
        <w:right w:val="none" w:sz="0" w:space="0" w:color="auto"/>
      </w:divBdr>
    </w:div>
    <w:div w:id="371654771">
      <w:bodyDiv w:val="1"/>
      <w:marLeft w:val="0"/>
      <w:marRight w:val="0"/>
      <w:marTop w:val="0"/>
      <w:marBottom w:val="0"/>
      <w:divBdr>
        <w:top w:val="none" w:sz="0" w:space="0" w:color="auto"/>
        <w:left w:val="none" w:sz="0" w:space="0" w:color="auto"/>
        <w:bottom w:val="none" w:sz="0" w:space="0" w:color="auto"/>
        <w:right w:val="none" w:sz="0" w:space="0" w:color="auto"/>
      </w:divBdr>
    </w:div>
    <w:div w:id="371660326">
      <w:bodyDiv w:val="1"/>
      <w:marLeft w:val="0"/>
      <w:marRight w:val="0"/>
      <w:marTop w:val="0"/>
      <w:marBottom w:val="0"/>
      <w:divBdr>
        <w:top w:val="none" w:sz="0" w:space="0" w:color="auto"/>
        <w:left w:val="none" w:sz="0" w:space="0" w:color="auto"/>
        <w:bottom w:val="none" w:sz="0" w:space="0" w:color="auto"/>
        <w:right w:val="none" w:sz="0" w:space="0" w:color="auto"/>
      </w:divBdr>
    </w:div>
    <w:div w:id="371730837">
      <w:bodyDiv w:val="1"/>
      <w:marLeft w:val="0"/>
      <w:marRight w:val="0"/>
      <w:marTop w:val="0"/>
      <w:marBottom w:val="0"/>
      <w:divBdr>
        <w:top w:val="none" w:sz="0" w:space="0" w:color="auto"/>
        <w:left w:val="none" w:sz="0" w:space="0" w:color="auto"/>
        <w:bottom w:val="none" w:sz="0" w:space="0" w:color="auto"/>
        <w:right w:val="none" w:sz="0" w:space="0" w:color="auto"/>
      </w:divBdr>
    </w:div>
    <w:div w:id="371804747">
      <w:bodyDiv w:val="1"/>
      <w:marLeft w:val="0"/>
      <w:marRight w:val="0"/>
      <w:marTop w:val="0"/>
      <w:marBottom w:val="0"/>
      <w:divBdr>
        <w:top w:val="none" w:sz="0" w:space="0" w:color="auto"/>
        <w:left w:val="none" w:sz="0" w:space="0" w:color="auto"/>
        <w:bottom w:val="none" w:sz="0" w:space="0" w:color="auto"/>
        <w:right w:val="none" w:sz="0" w:space="0" w:color="auto"/>
      </w:divBdr>
    </w:div>
    <w:div w:id="371808523">
      <w:bodyDiv w:val="1"/>
      <w:marLeft w:val="0"/>
      <w:marRight w:val="0"/>
      <w:marTop w:val="0"/>
      <w:marBottom w:val="0"/>
      <w:divBdr>
        <w:top w:val="none" w:sz="0" w:space="0" w:color="auto"/>
        <w:left w:val="none" w:sz="0" w:space="0" w:color="auto"/>
        <w:bottom w:val="none" w:sz="0" w:space="0" w:color="auto"/>
        <w:right w:val="none" w:sz="0" w:space="0" w:color="auto"/>
      </w:divBdr>
    </w:div>
    <w:div w:id="371853970">
      <w:bodyDiv w:val="1"/>
      <w:marLeft w:val="0"/>
      <w:marRight w:val="0"/>
      <w:marTop w:val="0"/>
      <w:marBottom w:val="0"/>
      <w:divBdr>
        <w:top w:val="none" w:sz="0" w:space="0" w:color="auto"/>
        <w:left w:val="none" w:sz="0" w:space="0" w:color="auto"/>
        <w:bottom w:val="none" w:sz="0" w:space="0" w:color="auto"/>
        <w:right w:val="none" w:sz="0" w:space="0" w:color="auto"/>
      </w:divBdr>
    </w:div>
    <w:div w:id="371878968">
      <w:bodyDiv w:val="1"/>
      <w:marLeft w:val="0"/>
      <w:marRight w:val="0"/>
      <w:marTop w:val="0"/>
      <w:marBottom w:val="0"/>
      <w:divBdr>
        <w:top w:val="none" w:sz="0" w:space="0" w:color="auto"/>
        <w:left w:val="none" w:sz="0" w:space="0" w:color="auto"/>
        <w:bottom w:val="none" w:sz="0" w:space="0" w:color="auto"/>
        <w:right w:val="none" w:sz="0" w:space="0" w:color="auto"/>
      </w:divBdr>
    </w:div>
    <w:div w:id="371930797">
      <w:bodyDiv w:val="1"/>
      <w:marLeft w:val="0"/>
      <w:marRight w:val="0"/>
      <w:marTop w:val="0"/>
      <w:marBottom w:val="0"/>
      <w:divBdr>
        <w:top w:val="none" w:sz="0" w:space="0" w:color="auto"/>
        <w:left w:val="none" w:sz="0" w:space="0" w:color="auto"/>
        <w:bottom w:val="none" w:sz="0" w:space="0" w:color="auto"/>
        <w:right w:val="none" w:sz="0" w:space="0" w:color="auto"/>
      </w:divBdr>
    </w:div>
    <w:div w:id="372001939">
      <w:bodyDiv w:val="1"/>
      <w:marLeft w:val="0"/>
      <w:marRight w:val="0"/>
      <w:marTop w:val="0"/>
      <w:marBottom w:val="0"/>
      <w:divBdr>
        <w:top w:val="none" w:sz="0" w:space="0" w:color="auto"/>
        <w:left w:val="none" w:sz="0" w:space="0" w:color="auto"/>
        <w:bottom w:val="none" w:sz="0" w:space="0" w:color="auto"/>
        <w:right w:val="none" w:sz="0" w:space="0" w:color="auto"/>
      </w:divBdr>
    </w:div>
    <w:div w:id="372005044">
      <w:bodyDiv w:val="1"/>
      <w:marLeft w:val="0"/>
      <w:marRight w:val="0"/>
      <w:marTop w:val="0"/>
      <w:marBottom w:val="0"/>
      <w:divBdr>
        <w:top w:val="none" w:sz="0" w:space="0" w:color="auto"/>
        <w:left w:val="none" w:sz="0" w:space="0" w:color="auto"/>
        <w:bottom w:val="none" w:sz="0" w:space="0" w:color="auto"/>
        <w:right w:val="none" w:sz="0" w:space="0" w:color="auto"/>
      </w:divBdr>
    </w:div>
    <w:div w:id="372121764">
      <w:bodyDiv w:val="1"/>
      <w:marLeft w:val="0"/>
      <w:marRight w:val="0"/>
      <w:marTop w:val="0"/>
      <w:marBottom w:val="0"/>
      <w:divBdr>
        <w:top w:val="none" w:sz="0" w:space="0" w:color="auto"/>
        <w:left w:val="none" w:sz="0" w:space="0" w:color="auto"/>
        <w:bottom w:val="none" w:sz="0" w:space="0" w:color="auto"/>
        <w:right w:val="none" w:sz="0" w:space="0" w:color="auto"/>
      </w:divBdr>
    </w:div>
    <w:div w:id="372192207">
      <w:bodyDiv w:val="1"/>
      <w:marLeft w:val="0"/>
      <w:marRight w:val="0"/>
      <w:marTop w:val="0"/>
      <w:marBottom w:val="0"/>
      <w:divBdr>
        <w:top w:val="none" w:sz="0" w:space="0" w:color="auto"/>
        <w:left w:val="none" w:sz="0" w:space="0" w:color="auto"/>
        <w:bottom w:val="none" w:sz="0" w:space="0" w:color="auto"/>
        <w:right w:val="none" w:sz="0" w:space="0" w:color="auto"/>
      </w:divBdr>
    </w:div>
    <w:div w:id="372193368">
      <w:bodyDiv w:val="1"/>
      <w:marLeft w:val="0"/>
      <w:marRight w:val="0"/>
      <w:marTop w:val="0"/>
      <w:marBottom w:val="0"/>
      <w:divBdr>
        <w:top w:val="none" w:sz="0" w:space="0" w:color="auto"/>
        <w:left w:val="none" w:sz="0" w:space="0" w:color="auto"/>
        <w:bottom w:val="none" w:sz="0" w:space="0" w:color="auto"/>
        <w:right w:val="none" w:sz="0" w:space="0" w:color="auto"/>
      </w:divBdr>
    </w:div>
    <w:div w:id="372195291">
      <w:bodyDiv w:val="1"/>
      <w:marLeft w:val="0"/>
      <w:marRight w:val="0"/>
      <w:marTop w:val="0"/>
      <w:marBottom w:val="0"/>
      <w:divBdr>
        <w:top w:val="none" w:sz="0" w:space="0" w:color="auto"/>
        <w:left w:val="none" w:sz="0" w:space="0" w:color="auto"/>
        <w:bottom w:val="none" w:sz="0" w:space="0" w:color="auto"/>
        <w:right w:val="none" w:sz="0" w:space="0" w:color="auto"/>
      </w:divBdr>
    </w:div>
    <w:div w:id="372392603">
      <w:bodyDiv w:val="1"/>
      <w:marLeft w:val="0"/>
      <w:marRight w:val="0"/>
      <w:marTop w:val="0"/>
      <w:marBottom w:val="0"/>
      <w:divBdr>
        <w:top w:val="none" w:sz="0" w:space="0" w:color="auto"/>
        <w:left w:val="none" w:sz="0" w:space="0" w:color="auto"/>
        <w:bottom w:val="none" w:sz="0" w:space="0" w:color="auto"/>
        <w:right w:val="none" w:sz="0" w:space="0" w:color="auto"/>
      </w:divBdr>
    </w:div>
    <w:div w:id="372463713">
      <w:bodyDiv w:val="1"/>
      <w:marLeft w:val="0"/>
      <w:marRight w:val="0"/>
      <w:marTop w:val="0"/>
      <w:marBottom w:val="0"/>
      <w:divBdr>
        <w:top w:val="none" w:sz="0" w:space="0" w:color="auto"/>
        <w:left w:val="none" w:sz="0" w:space="0" w:color="auto"/>
        <w:bottom w:val="none" w:sz="0" w:space="0" w:color="auto"/>
        <w:right w:val="none" w:sz="0" w:space="0" w:color="auto"/>
      </w:divBdr>
    </w:div>
    <w:div w:id="372509449">
      <w:bodyDiv w:val="1"/>
      <w:marLeft w:val="0"/>
      <w:marRight w:val="0"/>
      <w:marTop w:val="0"/>
      <w:marBottom w:val="0"/>
      <w:divBdr>
        <w:top w:val="none" w:sz="0" w:space="0" w:color="auto"/>
        <w:left w:val="none" w:sz="0" w:space="0" w:color="auto"/>
        <w:bottom w:val="none" w:sz="0" w:space="0" w:color="auto"/>
        <w:right w:val="none" w:sz="0" w:space="0" w:color="auto"/>
      </w:divBdr>
    </w:div>
    <w:div w:id="372579466">
      <w:bodyDiv w:val="1"/>
      <w:marLeft w:val="0"/>
      <w:marRight w:val="0"/>
      <w:marTop w:val="0"/>
      <w:marBottom w:val="0"/>
      <w:divBdr>
        <w:top w:val="none" w:sz="0" w:space="0" w:color="auto"/>
        <w:left w:val="none" w:sz="0" w:space="0" w:color="auto"/>
        <w:bottom w:val="none" w:sz="0" w:space="0" w:color="auto"/>
        <w:right w:val="none" w:sz="0" w:space="0" w:color="auto"/>
      </w:divBdr>
    </w:div>
    <w:div w:id="372652727">
      <w:bodyDiv w:val="1"/>
      <w:marLeft w:val="0"/>
      <w:marRight w:val="0"/>
      <w:marTop w:val="0"/>
      <w:marBottom w:val="0"/>
      <w:divBdr>
        <w:top w:val="none" w:sz="0" w:space="0" w:color="auto"/>
        <w:left w:val="none" w:sz="0" w:space="0" w:color="auto"/>
        <w:bottom w:val="none" w:sz="0" w:space="0" w:color="auto"/>
        <w:right w:val="none" w:sz="0" w:space="0" w:color="auto"/>
      </w:divBdr>
    </w:div>
    <w:div w:id="372656725">
      <w:bodyDiv w:val="1"/>
      <w:marLeft w:val="0"/>
      <w:marRight w:val="0"/>
      <w:marTop w:val="0"/>
      <w:marBottom w:val="0"/>
      <w:divBdr>
        <w:top w:val="none" w:sz="0" w:space="0" w:color="auto"/>
        <w:left w:val="none" w:sz="0" w:space="0" w:color="auto"/>
        <w:bottom w:val="none" w:sz="0" w:space="0" w:color="auto"/>
        <w:right w:val="none" w:sz="0" w:space="0" w:color="auto"/>
      </w:divBdr>
    </w:div>
    <w:div w:id="372731039">
      <w:bodyDiv w:val="1"/>
      <w:marLeft w:val="0"/>
      <w:marRight w:val="0"/>
      <w:marTop w:val="0"/>
      <w:marBottom w:val="0"/>
      <w:divBdr>
        <w:top w:val="none" w:sz="0" w:space="0" w:color="auto"/>
        <w:left w:val="none" w:sz="0" w:space="0" w:color="auto"/>
        <w:bottom w:val="none" w:sz="0" w:space="0" w:color="auto"/>
        <w:right w:val="none" w:sz="0" w:space="0" w:color="auto"/>
      </w:divBdr>
    </w:div>
    <w:div w:id="372770019">
      <w:bodyDiv w:val="1"/>
      <w:marLeft w:val="0"/>
      <w:marRight w:val="0"/>
      <w:marTop w:val="0"/>
      <w:marBottom w:val="0"/>
      <w:divBdr>
        <w:top w:val="none" w:sz="0" w:space="0" w:color="auto"/>
        <w:left w:val="none" w:sz="0" w:space="0" w:color="auto"/>
        <w:bottom w:val="none" w:sz="0" w:space="0" w:color="auto"/>
        <w:right w:val="none" w:sz="0" w:space="0" w:color="auto"/>
      </w:divBdr>
    </w:div>
    <w:div w:id="372774988">
      <w:bodyDiv w:val="1"/>
      <w:marLeft w:val="0"/>
      <w:marRight w:val="0"/>
      <w:marTop w:val="0"/>
      <w:marBottom w:val="0"/>
      <w:divBdr>
        <w:top w:val="none" w:sz="0" w:space="0" w:color="auto"/>
        <w:left w:val="none" w:sz="0" w:space="0" w:color="auto"/>
        <w:bottom w:val="none" w:sz="0" w:space="0" w:color="auto"/>
        <w:right w:val="none" w:sz="0" w:space="0" w:color="auto"/>
      </w:divBdr>
    </w:div>
    <w:div w:id="372778719">
      <w:bodyDiv w:val="1"/>
      <w:marLeft w:val="0"/>
      <w:marRight w:val="0"/>
      <w:marTop w:val="0"/>
      <w:marBottom w:val="0"/>
      <w:divBdr>
        <w:top w:val="none" w:sz="0" w:space="0" w:color="auto"/>
        <w:left w:val="none" w:sz="0" w:space="0" w:color="auto"/>
        <w:bottom w:val="none" w:sz="0" w:space="0" w:color="auto"/>
        <w:right w:val="none" w:sz="0" w:space="0" w:color="auto"/>
      </w:divBdr>
    </w:div>
    <w:div w:id="372928396">
      <w:bodyDiv w:val="1"/>
      <w:marLeft w:val="0"/>
      <w:marRight w:val="0"/>
      <w:marTop w:val="0"/>
      <w:marBottom w:val="0"/>
      <w:divBdr>
        <w:top w:val="none" w:sz="0" w:space="0" w:color="auto"/>
        <w:left w:val="none" w:sz="0" w:space="0" w:color="auto"/>
        <w:bottom w:val="none" w:sz="0" w:space="0" w:color="auto"/>
        <w:right w:val="none" w:sz="0" w:space="0" w:color="auto"/>
      </w:divBdr>
    </w:div>
    <w:div w:id="372967536">
      <w:bodyDiv w:val="1"/>
      <w:marLeft w:val="0"/>
      <w:marRight w:val="0"/>
      <w:marTop w:val="0"/>
      <w:marBottom w:val="0"/>
      <w:divBdr>
        <w:top w:val="none" w:sz="0" w:space="0" w:color="auto"/>
        <w:left w:val="none" w:sz="0" w:space="0" w:color="auto"/>
        <w:bottom w:val="none" w:sz="0" w:space="0" w:color="auto"/>
        <w:right w:val="none" w:sz="0" w:space="0" w:color="auto"/>
      </w:divBdr>
    </w:div>
    <w:div w:id="372971300">
      <w:bodyDiv w:val="1"/>
      <w:marLeft w:val="0"/>
      <w:marRight w:val="0"/>
      <w:marTop w:val="0"/>
      <w:marBottom w:val="0"/>
      <w:divBdr>
        <w:top w:val="none" w:sz="0" w:space="0" w:color="auto"/>
        <w:left w:val="none" w:sz="0" w:space="0" w:color="auto"/>
        <w:bottom w:val="none" w:sz="0" w:space="0" w:color="auto"/>
        <w:right w:val="none" w:sz="0" w:space="0" w:color="auto"/>
      </w:divBdr>
    </w:div>
    <w:div w:id="373233040">
      <w:bodyDiv w:val="1"/>
      <w:marLeft w:val="0"/>
      <w:marRight w:val="0"/>
      <w:marTop w:val="0"/>
      <w:marBottom w:val="0"/>
      <w:divBdr>
        <w:top w:val="none" w:sz="0" w:space="0" w:color="auto"/>
        <w:left w:val="none" w:sz="0" w:space="0" w:color="auto"/>
        <w:bottom w:val="none" w:sz="0" w:space="0" w:color="auto"/>
        <w:right w:val="none" w:sz="0" w:space="0" w:color="auto"/>
      </w:divBdr>
    </w:div>
    <w:div w:id="373233846">
      <w:bodyDiv w:val="1"/>
      <w:marLeft w:val="0"/>
      <w:marRight w:val="0"/>
      <w:marTop w:val="0"/>
      <w:marBottom w:val="0"/>
      <w:divBdr>
        <w:top w:val="none" w:sz="0" w:space="0" w:color="auto"/>
        <w:left w:val="none" w:sz="0" w:space="0" w:color="auto"/>
        <w:bottom w:val="none" w:sz="0" w:space="0" w:color="auto"/>
        <w:right w:val="none" w:sz="0" w:space="0" w:color="auto"/>
      </w:divBdr>
    </w:div>
    <w:div w:id="373434256">
      <w:bodyDiv w:val="1"/>
      <w:marLeft w:val="0"/>
      <w:marRight w:val="0"/>
      <w:marTop w:val="0"/>
      <w:marBottom w:val="0"/>
      <w:divBdr>
        <w:top w:val="none" w:sz="0" w:space="0" w:color="auto"/>
        <w:left w:val="none" w:sz="0" w:space="0" w:color="auto"/>
        <w:bottom w:val="none" w:sz="0" w:space="0" w:color="auto"/>
        <w:right w:val="none" w:sz="0" w:space="0" w:color="auto"/>
      </w:divBdr>
    </w:div>
    <w:div w:id="373500866">
      <w:bodyDiv w:val="1"/>
      <w:marLeft w:val="0"/>
      <w:marRight w:val="0"/>
      <w:marTop w:val="0"/>
      <w:marBottom w:val="0"/>
      <w:divBdr>
        <w:top w:val="none" w:sz="0" w:space="0" w:color="auto"/>
        <w:left w:val="none" w:sz="0" w:space="0" w:color="auto"/>
        <w:bottom w:val="none" w:sz="0" w:space="0" w:color="auto"/>
        <w:right w:val="none" w:sz="0" w:space="0" w:color="auto"/>
      </w:divBdr>
    </w:div>
    <w:div w:id="373626249">
      <w:bodyDiv w:val="1"/>
      <w:marLeft w:val="0"/>
      <w:marRight w:val="0"/>
      <w:marTop w:val="0"/>
      <w:marBottom w:val="0"/>
      <w:divBdr>
        <w:top w:val="none" w:sz="0" w:space="0" w:color="auto"/>
        <w:left w:val="none" w:sz="0" w:space="0" w:color="auto"/>
        <w:bottom w:val="none" w:sz="0" w:space="0" w:color="auto"/>
        <w:right w:val="none" w:sz="0" w:space="0" w:color="auto"/>
      </w:divBdr>
    </w:div>
    <w:div w:id="373703131">
      <w:bodyDiv w:val="1"/>
      <w:marLeft w:val="0"/>
      <w:marRight w:val="0"/>
      <w:marTop w:val="0"/>
      <w:marBottom w:val="0"/>
      <w:divBdr>
        <w:top w:val="none" w:sz="0" w:space="0" w:color="auto"/>
        <w:left w:val="none" w:sz="0" w:space="0" w:color="auto"/>
        <w:bottom w:val="none" w:sz="0" w:space="0" w:color="auto"/>
        <w:right w:val="none" w:sz="0" w:space="0" w:color="auto"/>
      </w:divBdr>
    </w:div>
    <w:div w:id="373844887">
      <w:bodyDiv w:val="1"/>
      <w:marLeft w:val="0"/>
      <w:marRight w:val="0"/>
      <w:marTop w:val="0"/>
      <w:marBottom w:val="0"/>
      <w:divBdr>
        <w:top w:val="none" w:sz="0" w:space="0" w:color="auto"/>
        <w:left w:val="none" w:sz="0" w:space="0" w:color="auto"/>
        <w:bottom w:val="none" w:sz="0" w:space="0" w:color="auto"/>
        <w:right w:val="none" w:sz="0" w:space="0" w:color="auto"/>
      </w:divBdr>
    </w:div>
    <w:div w:id="373892294">
      <w:bodyDiv w:val="1"/>
      <w:marLeft w:val="0"/>
      <w:marRight w:val="0"/>
      <w:marTop w:val="0"/>
      <w:marBottom w:val="0"/>
      <w:divBdr>
        <w:top w:val="none" w:sz="0" w:space="0" w:color="auto"/>
        <w:left w:val="none" w:sz="0" w:space="0" w:color="auto"/>
        <w:bottom w:val="none" w:sz="0" w:space="0" w:color="auto"/>
        <w:right w:val="none" w:sz="0" w:space="0" w:color="auto"/>
      </w:divBdr>
    </w:div>
    <w:div w:id="374038430">
      <w:bodyDiv w:val="1"/>
      <w:marLeft w:val="0"/>
      <w:marRight w:val="0"/>
      <w:marTop w:val="0"/>
      <w:marBottom w:val="0"/>
      <w:divBdr>
        <w:top w:val="none" w:sz="0" w:space="0" w:color="auto"/>
        <w:left w:val="none" w:sz="0" w:space="0" w:color="auto"/>
        <w:bottom w:val="none" w:sz="0" w:space="0" w:color="auto"/>
        <w:right w:val="none" w:sz="0" w:space="0" w:color="auto"/>
      </w:divBdr>
    </w:div>
    <w:div w:id="374043819">
      <w:bodyDiv w:val="1"/>
      <w:marLeft w:val="0"/>
      <w:marRight w:val="0"/>
      <w:marTop w:val="0"/>
      <w:marBottom w:val="0"/>
      <w:divBdr>
        <w:top w:val="none" w:sz="0" w:space="0" w:color="auto"/>
        <w:left w:val="none" w:sz="0" w:space="0" w:color="auto"/>
        <w:bottom w:val="none" w:sz="0" w:space="0" w:color="auto"/>
        <w:right w:val="none" w:sz="0" w:space="0" w:color="auto"/>
      </w:divBdr>
    </w:div>
    <w:div w:id="374044455">
      <w:bodyDiv w:val="1"/>
      <w:marLeft w:val="0"/>
      <w:marRight w:val="0"/>
      <w:marTop w:val="0"/>
      <w:marBottom w:val="0"/>
      <w:divBdr>
        <w:top w:val="none" w:sz="0" w:space="0" w:color="auto"/>
        <w:left w:val="none" w:sz="0" w:space="0" w:color="auto"/>
        <w:bottom w:val="none" w:sz="0" w:space="0" w:color="auto"/>
        <w:right w:val="none" w:sz="0" w:space="0" w:color="auto"/>
      </w:divBdr>
    </w:div>
    <w:div w:id="374160438">
      <w:bodyDiv w:val="1"/>
      <w:marLeft w:val="0"/>
      <w:marRight w:val="0"/>
      <w:marTop w:val="0"/>
      <w:marBottom w:val="0"/>
      <w:divBdr>
        <w:top w:val="none" w:sz="0" w:space="0" w:color="auto"/>
        <w:left w:val="none" w:sz="0" w:space="0" w:color="auto"/>
        <w:bottom w:val="none" w:sz="0" w:space="0" w:color="auto"/>
        <w:right w:val="none" w:sz="0" w:space="0" w:color="auto"/>
      </w:divBdr>
    </w:div>
    <w:div w:id="374235874">
      <w:bodyDiv w:val="1"/>
      <w:marLeft w:val="0"/>
      <w:marRight w:val="0"/>
      <w:marTop w:val="0"/>
      <w:marBottom w:val="0"/>
      <w:divBdr>
        <w:top w:val="none" w:sz="0" w:space="0" w:color="auto"/>
        <w:left w:val="none" w:sz="0" w:space="0" w:color="auto"/>
        <w:bottom w:val="none" w:sz="0" w:space="0" w:color="auto"/>
        <w:right w:val="none" w:sz="0" w:space="0" w:color="auto"/>
      </w:divBdr>
    </w:div>
    <w:div w:id="374307639">
      <w:bodyDiv w:val="1"/>
      <w:marLeft w:val="0"/>
      <w:marRight w:val="0"/>
      <w:marTop w:val="0"/>
      <w:marBottom w:val="0"/>
      <w:divBdr>
        <w:top w:val="none" w:sz="0" w:space="0" w:color="auto"/>
        <w:left w:val="none" w:sz="0" w:space="0" w:color="auto"/>
        <w:bottom w:val="none" w:sz="0" w:space="0" w:color="auto"/>
        <w:right w:val="none" w:sz="0" w:space="0" w:color="auto"/>
      </w:divBdr>
    </w:div>
    <w:div w:id="374425425">
      <w:bodyDiv w:val="1"/>
      <w:marLeft w:val="0"/>
      <w:marRight w:val="0"/>
      <w:marTop w:val="0"/>
      <w:marBottom w:val="0"/>
      <w:divBdr>
        <w:top w:val="none" w:sz="0" w:space="0" w:color="auto"/>
        <w:left w:val="none" w:sz="0" w:space="0" w:color="auto"/>
        <w:bottom w:val="none" w:sz="0" w:space="0" w:color="auto"/>
        <w:right w:val="none" w:sz="0" w:space="0" w:color="auto"/>
      </w:divBdr>
    </w:div>
    <w:div w:id="374427659">
      <w:bodyDiv w:val="1"/>
      <w:marLeft w:val="0"/>
      <w:marRight w:val="0"/>
      <w:marTop w:val="0"/>
      <w:marBottom w:val="0"/>
      <w:divBdr>
        <w:top w:val="none" w:sz="0" w:space="0" w:color="auto"/>
        <w:left w:val="none" w:sz="0" w:space="0" w:color="auto"/>
        <w:bottom w:val="none" w:sz="0" w:space="0" w:color="auto"/>
        <w:right w:val="none" w:sz="0" w:space="0" w:color="auto"/>
      </w:divBdr>
    </w:div>
    <w:div w:id="374544829">
      <w:bodyDiv w:val="1"/>
      <w:marLeft w:val="0"/>
      <w:marRight w:val="0"/>
      <w:marTop w:val="0"/>
      <w:marBottom w:val="0"/>
      <w:divBdr>
        <w:top w:val="none" w:sz="0" w:space="0" w:color="auto"/>
        <w:left w:val="none" w:sz="0" w:space="0" w:color="auto"/>
        <w:bottom w:val="none" w:sz="0" w:space="0" w:color="auto"/>
        <w:right w:val="none" w:sz="0" w:space="0" w:color="auto"/>
      </w:divBdr>
    </w:div>
    <w:div w:id="374624944">
      <w:bodyDiv w:val="1"/>
      <w:marLeft w:val="0"/>
      <w:marRight w:val="0"/>
      <w:marTop w:val="0"/>
      <w:marBottom w:val="0"/>
      <w:divBdr>
        <w:top w:val="none" w:sz="0" w:space="0" w:color="auto"/>
        <w:left w:val="none" w:sz="0" w:space="0" w:color="auto"/>
        <w:bottom w:val="none" w:sz="0" w:space="0" w:color="auto"/>
        <w:right w:val="none" w:sz="0" w:space="0" w:color="auto"/>
      </w:divBdr>
    </w:div>
    <w:div w:id="374669433">
      <w:bodyDiv w:val="1"/>
      <w:marLeft w:val="0"/>
      <w:marRight w:val="0"/>
      <w:marTop w:val="0"/>
      <w:marBottom w:val="0"/>
      <w:divBdr>
        <w:top w:val="none" w:sz="0" w:space="0" w:color="auto"/>
        <w:left w:val="none" w:sz="0" w:space="0" w:color="auto"/>
        <w:bottom w:val="none" w:sz="0" w:space="0" w:color="auto"/>
        <w:right w:val="none" w:sz="0" w:space="0" w:color="auto"/>
      </w:divBdr>
    </w:div>
    <w:div w:id="374698479">
      <w:bodyDiv w:val="1"/>
      <w:marLeft w:val="0"/>
      <w:marRight w:val="0"/>
      <w:marTop w:val="0"/>
      <w:marBottom w:val="0"/>
      <w:divBdr>
        <w:top w:val="none" w:sz="0" w:space="0" w:color="auto"/>
        <w:left w:val="none" w:sz="0" w:space="0" w:color="auto"/>
        <w:bottom w:val="none" w:sz="0" w:space="0" w:color="auto"/>
        <w:right w:val="none" w:sz="0" w:space="0" w:color="auto"/>
      </w:divBdr>
    </w:div>
    <w:div w:id="374741169">
      <w:bodyDiv w:val="1"/>
      <w:marLeft w:val="0"/>
      <w:marRight w:val="0"/>
      <w:marTop w:val="0"/>
      <w:marBottom w:val="0"/>
      <w:divBdr>
        <w:top w:val="none" w:sz="0" w:space="0" w:color="auto"/>
        <w:left w:val="none" w:sz="0" w:space="0" w:color="auto"/>
        <w:bottom w:val="none" w:sz="0" w:space="0" w:color="auto"/>
        <w:right w:val="none" w:sz="0" w:space="0" w:color="auto"/>
      </w:divBdr>
    </w:div>
    <w:div w:id="374886951">
      <w:bodyDiv w:val="1"/>
      <w:marLeft w:val="0"/>
      <w:marRight w:val="0"/>
      <w:marTop w:val="0"/>
      <w:marBottom w:val="0"/>
      <w:divBdr>
        <w:top w:val="none" w:sz="0" w:space="0" w:color="auto"/>
        <w:left w:val="none" w:sz="0" w:space="0" w:color="auto"/>
        <w:bottom w:val="none" w:sz="0" w:space="0" w:color="auto"/>
        <w:right w:val="none" w:sz="0" w:space="0" w:color="auto"/>
      </w:divBdr>
    </w:div>
    <w:div w:id="375013142">
      <w:bodyDiv w:val="1"/>
      <w:marLeft w:val="0"/>
      <w:marRight w:val="0"/>
      <w:marTop w:val="0"/>
      <w:marBottom w:val="0"/>
      <w:divBdr>
        <w:top w:val="none" w:sz="0" w:space="0" w:color="auto"/>
        <w:left w:val="none" w:sz="0" w:space="0" w:color="auto"/>
        <w:bottom w:val="none" w:sz="0" w:space="0" w:color="auto"/>
        <w:right w:val="none" w:sz="0" w:space="0" w:color="auto"/>
      </w:divBdr>
    </w:div>
    <w:div w:id="375080397">
      <w:bodyDiv w:val="1"/>
      <w:marLeft w:val="0"/>
      <w:marRight w:val="0"/>
      <w:marTop w:val="0"/>
      <w:marBottom w:val="0"/>
      <w:divBdr>
        <w:top w:val="none" w:sz="0" w:space="0" w:color="auto"/>
        <w:left w:val="none" w:sz="0" w:space="0" w:color="auto"/>
        <w:bottom w:val="none" w:sz="0" w:space="0" w:color="auto"/>
        <w:right w:val="none" w:sz="0" w:space="0" w:color="auto"/>
      </w:divBdr>
    </w:div>
    <w:div w:id="375086793">
      <w:bodyDiv w:val="1"/>
      <w:marLeft w:val="0"/>
      <w:marRight w:val="0"/>
      <w:marTop w:val="0"/>
      <w:marBottom w:val="0"/>
      <w:divBdr>
        <w:top w:val="none" w:sz="0" w:space="0" w:color="auto"/>
        <w:left w:val="none" w:sz="0" w:space="0" w:color="auto"/>
        <w:bottom w:val="none" w:sz="0" w:space="0" w:color="auto"/>
        <w:right w:val="none" w:sz="0" w:space="0" w:color="auto"/>
      </w:divBdr>
    </w:div>
    <w:div w:id="375087100">
      <w:bodyDiv w:val="1"/>
      <w:marLeft w:val="0"/>
      <w:marRight w:val="0"/>
      <w:marTop w:val="0"/>
      <w:marBottom w:val="0"/>
      <w:divBdr>
        <w:top w:val="none" w:sz="0" w:space="0" w:color="auto"/>
        <w:left w:val="none" w:sz="0" w:space="0" w:color="auto"/>
        <w:bottom w:val="none" w:sz="0" w:space="0" w:color="auto"/>
        <w:right w:val="none" w:sz="0" w:space="0" w:color="auto"/>
      </w:divBdr>
    </w:div>
    <w:div w:id="375129000">
      <w:bodyDiv w:val="1"/>
      <w:marLeft w:val="0"/>
      <w:marRight w:val="0"/>
      <w:marTop w:val="0"/>
      <w:marBottom w:val="0"/>
      <w:divBdr>
        <w:top w:val="none" w:sz="0" w:space="0" w:color="auto"/>
        <w:left w:val="none" w:sz="0" w:space="0" w:color="auto"/>
        <w:bottom w:val="none" w:sz="0" w:space="0" w:color="auto"/>
        <w:right w:val="none" w:sz="0" w:space="0" w:color="auto"/>
      </w:divBdr>
    </w:div>
    <w:div w:id="375279607">
      <w:bodyDiv w:val="1"/>
      <w:marLeft w:val="0"/>
      <w:marRight w:val="0"/>
      <w:marTop w:val="0"/>
      <w:marBottom w:val="0"/>
      <w:divBdr>
        <w:top w:val="none" w:sz="0" w:space="0" w:color="auto"/>
        <w:left w:val="none" w:sz="0" w:space="0" w:color="auto"/>
        <w:bottom w:val="none" w:sz="0" w:space="0" w:color="auto"/>
        <w:right w:val="none" w:sz="0" w:space="0" w:color="auto"/>
      </w:divBdr>
    </w:div>
    <w:div w:id="375356991">
      <w:bodyDiv w:val="1"/>
      <w:marLeft w:val="0"/>
      <w:marRight w:val="0"/>
      <w:marTop w:val="0"/>
      <w:marBottom w:val="0"/>
      <w:divBdr>
        <w:top w:val="none" w:sz="0" w:space="0" w:color="auto"/>
        <w:left w:val="none" w:sz="0" w:space="0" w:color="auto"/>
        <w:bottom w:val="none" w:sz="0" w:space="0" w:color="auto"/>
        <w:right w:val="none" w:sz="0" w:space="0" w:color="auto"/>
      </w:divBdr>
    </w:div>
    <w:div w:id="375398064">
      <w:bodyDiv w:val="1"/>
      <w:marLeft w:val="0"/>
      <w:marRight w:val="0"/>
      <w:marTop w:val="0"/>
      <w:marBottom w:val="0"/>
      <w:divBdr>
        <w:top w:val="none" w:sz="0" w:space="0" w:color="auto"/>
        <w:left w:val="none" w:sz="0" w:space="0" w:color="auto"/>
        <w:bottom w:val="none" w:sz="0" w:space="0" w:color="auto"/>
        <w:right w:val="none" w:sz="0" w:space="0" w:color="auto"/>
      </w:divBdr>
    </w:div>
    <w:div w:id="375398278">
      <w:bodyDiv w:val="1"/>
      <w:marLeft w:val="0"/>
      <w:marRight w:val="0"/>
      <w:marTop w:val="0"/>
      <w:marBottom w:val="0"/>
      <w:divBdr>
        <w:top w:val="none" w:sz="0" w:space="0" w:color="auto"/>
        <w:left w:val="none" w:sz="0" w:space="0" w:color="auto"/>
        <w:bottom w:val="none" w:sz="0" w:space="0" w:color="auto"/>
        <w:right w:val="none" w:sz="0" w:space="0" w:color="auto"/>
      </w:divBdr>
    </w:div>
    <w:div w:id="375475467">
      <w:bodyDiv w:val="1"/>
      <w:marLeft w:val="0"/>
      <w:marRight w:val="0"/>
      <w:marTop w:val="0"/>
      <w:marBottom w:val="0"/>
      <w:divBdr>
        <w:top w:val="none" w:sz="0" w:space="0" w:color="auto"/>
        <w:left w:val="none" w:sz="0" w:space="0" w:color="auto"/>
        <w:bottom w:val="none" w:sz="0" w:space="0" w:color="auto"/>
        <w:right w:val="none" w:sz="0" w:space="0" w:color="auto"/>
      </w:divBdr>
    </w:div>
    <w:div w:id="375591128">
      <w:bodyDiv w:val="1"/>
      <w:marLeft w:val="0"/>
      <w:marRight w:val="0"/>
      <w:marTop w:val="0"/>
      <w:marBottom w:val="0"/>
      <w:divBdr>
        <w:top w:val="none" w:sz="0" w:space="0" w:color="auto"/>
        <w:left w:val="none" w:sz="0" w:space="0" w:color="auto"/>
        <w:bottom w:val="none" w:sz="0" w:space="0" w:color="auto"/>
        <w:right w:val="none" w:sz="0" w:space="0" w:color="auto"/>
      </w:divBdr>
    </w:div>
    <w:div w:id="375593290">
      <w:bodyDiv w:val="1"/>
      <w:marLeft w:val="0"/>
      <w:marRight w:val="0"/>
      <w:marTop w:val="0"/>
      <w:marBottom w:val="0"/>
      <w:divBdr>
        <w:top w:val="none" w:sz="0" w:space="0" w:color="auto"/>
        <w:left w:val="none" w:sz="0" w:space="0" w:color="auto"/>
        <w:bottom w:val="none" w:sz="0" w:space="0" w:color="auto"/>
        <w:right w:val="none" w:sz="0" w:space="0" w:color="auto"/>
      </w:divBdr>
    </w:div>
    <w:div w:id="375742155">
      <w:bodyDiv w:val="1"/>
      <w:marLeft w:val="0"/>
      <w:marRight w:val="0"/>
      <w:marTop w:val="0"/>
      <w:marBottom w:val="0"/>
      <w:divBdr>
        <w:top w:val="none" w:sz="0" w:space="0" w:color="auto"/>
        <w:left w:val="none" w:sz="0" w:space="0" w:color="auto"/>
        <w:bottom w:val="none" w:sz="0" w:space="0" w:color="auto"/>
        <w:right w:val="none" w:sz="0" w:space="0" w:color="auto"/>
      </w:divBdr>
    </w:div>
    <w:div w:id="375743202">
      <w:bodyDiv w:val="1"/>
      <w:marLeft w:val="0"/>
      <w:marRight w:val="0"/>
      <w:marTop w:val="0"/>
      <w:marBottom w:val="0"/>
      <w:divBdr>
        <w:top w:val="none" w:sz="0" w:space="0" w:color="auto"/>
        <w:left w:val="none" w:sz="0" w:space="0" w:color="auto"/>
        <w:bottom w:val="none" w:sz="0" w:space="0" w:color="auto"/>
        <w:right w:val="none" w:sz="0" w:space="0" w:color="auto"/>
      </w:divBdr>
    </w:div>
    <w:div w:id="375786693">
      <w:bodyDiv w:val="1"/>
      <w:marLeft w:val="0"/>
      <w:marRight w:val="0"/>
      <w:marTop w:val="0"/>
      <w:marBottom w:val="0"/>
      <w:divBdr>
        <w:top w:val="none" w:sz="0" w:space="0" w:color="auto"/>
        <w:left w:val="none" w:sz="0" w:space="0" w:color="auto"/>
        <w:bottom w:val="none" w:sz="0" w:space="0" w:color="auto"/>
        <w:right w:val="none" w:sz="0" w:space="0" w:color="auto"/>
      </w:divBdr>
    </w:div>
    <w:div w:id="375930759">
      <w:bodyDiv w:val="1"/>
      <w:marLeft w:val="0"/>
      <w:marRight w:val="0"/>
      <w:marTop w:val="0"/>
      <w:marBottom w:val="0"/>
      <w:divBdr>
        <w:top w:val="none" w:sz="0" w:space="0" w:color="auto"/>
        <w:left w:val="none" w:sz="0" w:space="0" w:color="auto"/>
        <w:bottom w:val="none" w:sz="0" w:space="0" w:color="auto"/>
        <w:right w:val="none" w:sz="0" w:space="0" w:color="auto"/>
      </w:divBdr>
    </w:div>
    <w:div w:id="376049733">
      <w:bodyDiv w:val="1"/>
      <w:marLeft w:val="0"/>
      <w:marRight w:val="0"/>
      <w:marTop w:val="0"/>
      <w:marBottom w:val="0"/>
      <w:divBdr>
        <w:top w:val="none" w:sz="0" w:space="0" w:color="auto"/>
        <w:left w:val="none" w:sz="0" w:space="0" w:color="auto"/>
        <w:bottom w:val="none" w:sz="0" w:space="0" w:color="auto"/>
        <w:right w:val="none" w:sz="0" w:space="0" w:color="auto"/>
      </w:divBdr>
    </w:div>
    <w:div w:id="376242890">
      <w:bodyDiv w:val="1"/>
      <w:marLeft w:val="0"/>
      <w:marRight w:val="0"/>
      <w:marTop w:val="0"/>
      <w:marBottom w:val="0"/>
      <w:divBdr>
        <w:top w:val="none" w:sz="0" w:space="0" w:color="auto"/>
        <w:left w:val="none" w:sz="0" w:space="0" w:color="auto"/>
        <w:bottom w:val="none" w:sz="0" w:space="0" w:color="auto"/>
        <w:right w:val="none" w:sz="0" w:space="0" w:color="auto"/>
      </w:divBdr>
    </w:div>
    <w:div w:id="376468866">
      <w:bodyDiv w:val="1"/>
      <w:marLeft w:val="0"/>
      <w:marRight w:val="0"/>
      <w:marTop w:val="0"/>
      <w:marBottom w:val="0"/>
      <w:divBdr>
        <w:top w:val="none" w:sz="0" w:space="0" w:color="auto"/>
        <w:left w:val="none" w:sz="0" w:space="0" w:color="auto"/>
        <w:bottom w:val="none" w:sz="0" w:space="0" w:color="auto"/>
        <w:right w:val="none" w:sz="0" w:space="0" w:color="auto"/>
      </w:divBdr>
    </w:div>
    <w:div w:id="376585455">
      <w:bodyDiv w:val="1"/>
      <w:marLeft w:val="0"/>
      <w:marRight w:val="0"/>
      <w:marTop w:val="0"/>
      <w:marBottom w:val="0"/>
      <w:divBdr>
        <w:top w:val="none" w:sz="0" w:space="0" w:color="auto"/>
        <w:left w:val="none" w:sz="0" w:space="0" w:color="auto"/>
        <w:bottom w:val="none" w:sz="0" w:space="0" w:color="auto"/>
        <w:right w:val="none" w:sz="0" w:space="0" w:color="auto"/>
      </w:divBdr>
    </w:div>
    <w:div w:id="376659620">
      <w:bodyDiv w:val="1"/>
      <w:marLeft w:val="0"/>
      <w:marRight w:val="0"/>
      <w:marTop w:val="0"/>
      <w:marBottom w:val="0"/>
      <w:divBdr>
        <w:top w:val="none" w:sz="0" w:space="0" w:color="auto"/>
        <w:left w:val="none" w:sz="0" w:space="0" w:color="auto"/>
        <w:bottom w:val="none" w:sz="0" w:space="0" w:color="auto"/>
        <w:right w:val="none" w:sz="0" w:space="0" w:color="auto"/>
      </w:divBdr>
    </w:div>
    <w:div w:id="376780205">
      <w:bodyDiv w:val="1"/>
      <w:marLeft w:val="0"/>
      <w:marRight w:val="0"/>
      <w:marTop w:val="0"/>
      <w:marBottom w:val="0"/>
      <w:divBdr>
        <w:top w:val="none" w:sz="0" w:space="0" w:color="auto"/>
        <w:left w:val="none" w:sz="0" w:space="0" w:color="auto"/>
        <w:bottom w:val="none" w:sz="0" w:space="0" w:color="auto"/>
        <w:right w:val="none" w:sz="0" w:space="0" w:color="auto"/>
      </w:divBdr>
    </w:div>
    <w:div w:id="376781879">
      <w:bodyDiv w:val="1"/>
      <w:marLeft w:val="0"/>
      <w:marRight w:val="0"/>
      <w:marTop w:val="0"/>
      <w:marBottom w:val="0"/>
      <w:divBdr>
        <w:top w:val="none" w:sz="0" w:space="0" w:color="auto"/>
        <w:left w:val="none" w:sz="0" w:space="0" w:color="auto"/>
        <w:bottom w:val="none" w:sz="0" w:space="0" w:color="auto"/>
        <w:right w:val="none" w:sz="0" w:space="0" w:color="auto"/>
      </w:divBdr>
    </w:div>
    <w:div w:id="376898993">
      <w:bodyDiv w:val="1"/>
      <w:marLeft w:val="0"/>
      <w:marRight w:val="0"/>
      <w:marTop w:val="0"/>
      <w:marBottom w:val="0"/>
      <w:divBdr>
        <w:top w:val="none" w:sz="0" w:space="0" w:color="auto"/>
        <w:left w:val="none" w:sz="0" w:space="0" w:color="auto"/>
        <w:bottom w:val="none" w:sz="0" w:space="0" w:color="auto"/>
        <w:right w:val="none" w:sz="0" w:space="0" w:color="auto"/>
      </w:divBdr>
    </w:div>
    <w:div w:id="376901704">
      <w:bodyDiv w:val="1"/>
      <w:marLeft w:val="0"/>
      <w:marRight w:val="0"/>
      <w:marTop w:val="0"/>
      <w:marBottom w:val="0"/>
      <w:divBdr>
        <w:top w:val="none" w:sz="0" w:space="0" w:color="auto"/>
        <w:left w:val="none" w:sz="0" w:space="0" w:color="auto"/>
        <w:bottom w:val="none" w:sz="0" w:space="0" w:color="auto"/>
        <w:right w:val="none" w:sz="0" w:space="0" w:color="auto"/>
      </w:divBdr>
    </w:div>
    <w:div w:id="376902818">
      <w:bodyDiv w:val="1"/>
      <w:marLeft w:val="0"/>
      <w:marRight w:val="0"/>
      <w:marTop w:val="0"/>
      <w:marBottom w:val="0"/>
      <w:divBdr>
        <w:top w:val="none" w:sz="0" w:space="0" w:color="auto"/>
        <w:left w:val="none" w:sz="0" w:space="0" w:color="auto"/>
        <w:bottom w:val="none" w:sz="0" w:space="0" w:color="auto"/>
        <w:right w:val="none" w:sz="0" w:space="0" w:color="auto"/>
      </w:divBdr>
    </w:div>
    <w:div w:id="376929367">
      <w:bodyDiv w:val="1"/>
      <w:marLeft w:val="0"/>
      <w:marRight w:val="0"/>
      <w:marTop w:val="0"/>
      <w:marBottom w:val="0"/>
      <w:divBdr>
        <w:top w:val="none" w:sz="0" w:space="0" w:color="auto"/>
        <w:left w:val="none" w:sz="0" w:space="0" w:color="auto"/>
        <w:bottom w:val="none" w:sz="0" w:space="0" w:color="auto"/>
        <w:right w:val="none" w:sz="0" w:space="0" w:color="auto"/>
      </w:divBdr>
    </w:div>
    <w:div w:id="376978212">
      <w:bodyDiv w:val="1"/>
      <w:marLeft w:val="0"/>
      <w:marRight w:val="0"/>
      <w:marTop w:val="0"/>
      <w:marBottom w:val="0"/>
      <w:divBdr>
        <w:top w:val="none" w:sz="0" w:space="0" w:color="auto"/>
        <w:left w:val="none" w:sz="0" w:space="0" w:color="auto"/>
        <w:bottom w:val="none" w:sz="0" w:space="0" w:color="auto"/>
        <w:right w:val="none" w:sz="0" w:space="0" w:color="auto"/>
      </w:divBdr>
    </w:div>
    <w:div w:id="377053700">
      <w:bodyDiv w:val="1"/>
      <w:marLeft w:val="0"/>
      <w:marRight w:val="0"/>
      <w:marTop w:val="0"/>
      <w:marBottom w:val="0"/>
      <w:divBdr>
        <w:top w:val="none" w:sz="0" w:space="0" w:color="auto"/>
        <w:left w:val="none" w:sz="0" w:space="0" w:color="auto"/>
        <w:bottom w:val="none" w:sz="0" w:space="0" w:color="auto"/>
        <w:right w:val="none" w:sz="0" w:space="0" w:color="auto"/>
      </w:divBdr>
    </w:div>
    <w:div w:id="377097323">
      <w:bodyDiv w:val="1"/>
      <w:marLeft w:val="0"/>
      <w:marRight w:val="0"/>
      <w:marTop w:val="0"/>
      <w:marBottom w:val="0"/>
      <w:divBdr>
        <w:top w:val="none" w:sz="0" w:space="0" w:color="auto"/>
        <w:left w:val="none" w:sz="0" w:space="0" w:color="auto"/>
        <w:bottom w:val="none" w:sz="0" w:space="0" w:color="auto"/>
        <w:right w:val="none" w:sz="0" w:space="0" w:color="auto"/>
      </w:divBdr>
    </w:div>
    <w:div w:id="377121662">
      <w:bodyDiv w:val="1"/>
      <w:marLeft w:val="0"/>
      <w:marRight w:val="0"/>
      <w:marTop w:val="0"/>
      <w:marBottom w:val="0"/>
      <w:divBdr>
        <w:top w:val="none" w:sz="0" w:space="0" w:color="auto"/>
        <w:left w:val="none" w:sz="0" w:space="0" w:color="auto"/>
        <w:bottom w:val="none" w:sz="0" w:space="0" w:color="auto"/>
        <w:right w:val="none" w:sz="0" w:space="0" w:color="auto"/>
      </w:divBdr>
    </w:div>
    <w:div w:id="377319553">
      <w:bodyDiv w:val="1"/>
      <w:marLeft w:val="0"/>
      <w:marRight w:val="0"/>
      <w:marTop w:val="0"/>
      <w:marBottom w:val="0"/>
      <w:divBdr>
        <w:top w:val="none" w:sz="0" w:space="0" w:color="auto"/>
        <w:left w:val="none" w:sz="0" w:space="0" w:color="auto"/>
        <w:bottom w:val="none" w:sz="0" w:space="0" w:color="auto"/>
        <w:right w:val="none" w:sz="0" w:space="0" w:color="auto"/>
      </w:divBdr>
    </w:div>
    <w:div w:id="377361634">
      <w:bodyDiv w:val="1"/>
      <w:marLeft w:val="0"/>
      <w:marRight w:val="0"/>
      <w:marTop w:val="0"/>
      <w:marBottom w:val="0"/>
      <w:divBdr>
        <w:top w:val="none" w:sz="0" w:space="0" w:color="auto"/>
        <w:left w:val="none" w:sz="0" w:space="0" w:color="auto"/>
        <w:bottom w:val="none" w:sz="0" w:space="0" w:color="auto"/>
        <w:right w:val="none" w:sz="0" w:space="0" w:color="auto"/>
      </w:divBdr>
    </w:div>
    <w:div w:id="377436374">
      <w:bodyDiv w:val="1"/>
      <w:marLeft w:val="0"/>
      <w:marRight w:val="0"/>
      <w:marTop w:val="0"/>
      <w:marBottom w:val="0"/>
      <w:divBdr>
        <w:top w:val="none" w:sz="0" w:space="0" w:color="auto"/>
        <w:left w:val="none" w:sz="0" w:space="0" w:color="auto"/>
        <w:bottom w:val="none" w:sz="0" w:space="0" w:color="auto"/>
        <w:right w:val="none" w:sz="0" w:space="0" w:color="auto"/>
      </w:divBdr>
    </w:div>
    <w:div w:id="377508293">
      <w:bodyDiv w:val="1"/>
      <w:marLeft w:val="0"/>
      <w:marRight w:val="0"/>
      <w:marTop w:val="0"/>
      <w:marBottom w:val="0"/>
      <w:divBdr>
        <w:top w:val="none" w:sz="0" w:space="0" w:color="auto"/>
        <w:left w:val="none" w:sz="0" w:space="0" w:color="auto"/>
        <w:bottom w:val="none" w:sz="0" w:space="0" w:color="auto"/>
        <w:right w:val="none" w:sz="0" w:space="0" w:color="auto"/>
      </w:divBdr>
    </w:div>
    <w:div w:id="377554128">
      <w:bodyDiv w:val="1"/>
      <w:marLeft w:val="0"/>
      <w:marRight w:val="0"/>
      <w:marTop w:val="0"/>
      <w:marBottom w:val="0"/>
      <w:divBdr>
        <w:top w:val="none" w:sz="0" w:space="0" w:color="auto"/>
        <w:left w:val="none" w:sz="0" w:space="0" w:color="auto"/>
        <w:bottom w:val="none" w:sz="0" w:space="0" w:color="auto"/>
        <w:right w:val="none" w:sz="0" w:space="0" w:color="auto"/>
      </w:divBdr>
    </w:div>
    <w:div w:id="377556965">
      <w:bodyDiv w:val="1"/>
      <w:marLeft w:val="0"/>
      <w:marRight w:val="0"/>
      <w:marTop w:val="0"/>
      <w:marBottom w:val="0"/>
      <w:divBdr>
        <w:top w:val="none" w:sz="0" w:space="0" w:color="auto"/>
        <w:left w:val="none" w:sz="0" w:space="0" w:color="auto"/>
        <w:bottom w:val="none" w:sz="0" w:space="0" w:color="auto"/>
        <w:right w:val="none" w:sz="0" w:space="0" w:color="auto"/>
      </w:divBdr>
    </w:div>
    <w:div w:id="377633037">
      <w:bodyDiv w:val="1"/>
      <w:marLeft w:val="0"/>
      <w:marRight w:val="0"/>
      <w:marTop w:val="0"/>
      <w:marBottom w:val="0"/>
      <w:divBdr>
        <w:top w:val="none" w:sz="0" w:space="0" w:color="auto"/>
        <w:left w:val="none" w:sz="0" w:space="0" w:color="auto"/>
        <w:bottom w:val="none" w:sz="0" w:space="0" w:color="auto"/>
        <w:right w:val="none" w:sz="0" w:space="0" w:color="auto"/>
      </w:divBdr>
    </w:div>
    <w:div w:id="377776694">
      <w:bodyDiv w:val="1"/>
      <w:marLeft w:val="0"/>
      <w:marRight w:val="0"/>
      <w:marTop w:val="0"/>
      <w:marBottom w:val="0"/>
      <w:divBdr>
        <w:top w:val="none" w:sz="0" w:space="0" w:color="auto"/>
        <w:left w:val="none" w:sz="0" w:space="0" w:color="auto"/>
        <w:bottom w:val="none" w:sz="0" w:space="0" w:color="auto"/>
        <w:right w:val="none" w:sz="0" w:space="0" w:color="auto"/>
      </w:divBdr>
    </w:div>
    <w:div w:id="377822864">
      <w:bodyDiv w:val="1"/>
      <w:marLeft w:val="0"/>
      <w:marRight w:val="0"/>
      <w:marTop w:val="0"/>
      <w:marBottom w:val="0"/>
      <w:divBdr>
        <w:top w:val="none" w:sz="0" w:space="0" w:color="auto"/>
        <w:left w:val="none" w:sz="0" w:space="0" w:color="auto"/>
        <w:bottom w:val="none" w:sz="0" w:space="0" w:color="auto"/>
        <w:right w:val="none" w:sz="0" w:space="0" w:color="auto"/>
      </w:divBdr>
    </w:div>
    <w:div w:id="377824103">
      <w:bodyDiv w:val="1"/>
      <w:marLeft w:val="0"/>
      <w:marRight w:val="0"/>
      <w:marTop w:val="0"/>
      <w:marBottom w:val="0"/>
      <w:divBdr>
        <w:top w:val="none" w:sz="0" w:space="0" w:color="auto"/>
        <w:left w:val="none" w:sz="0" w:space="0" w:color="auto"/>
        <w:bottom w:val="none" w:sz="0" w:space="0" w:color="auto"/>
        <w:right w:val="none" w:sz="0" w:space="0" w:color="auto"/>
      </w:divBdr>
    </w:div>
    <w:div w:id="377827516">
      <w:bodyDiv w:val="1"/>
      <w:marLeft w:val="0"/>
      <w:marRight w:val="0"/>
      <w:marTop w:val="0"/>
      <w:marBottom w:val="0"/>
      <w:divBdr>
        <w:top w:val="none" w:sz="0" w:space="0" w:color="auto"/>
        <w:left w:val="none" w:sz="0" w:space="0" w:color="auto"/>
        <w:bottom w:val="none" w:sz="0" w:space="0" w:color="auto"/>
        <w:right w:val="none" w:sz="0" w:space="0" w:color="auto"/>
      </w:divBdr>
    </w:div>
    <w:div w:id="377974873">
      <w:bodyDiv w:val="1"/>
      <w:marLeft w:val="0"/>
      <w:marRight w:val="0"/>
      <w:marTop w:val="0"/>
      <w:marBottom w:val="0"/>
      <w:divBdr>
        <w:top w:val="none" w:sz="0" w:space="0" w:color="auto"/>
        <w:left w:val="none" w:sz="0" w:space="0" w:color="auto"/>
        <w:bottom w:val="none" w:sz="0" w:space="0" w:color="auto"/>
        <w:right w:val="none" w:sz="0" w:space="0" w:color="auto"/>
      </w:divBdr>
    </w:div>
    <w:div w:id="378020839">
      <w:bodyDiv w:val="1"/>
      <w:marLeft w:val="0"/>
      <w:marRight w:val="0"/>
      <w:marTop w:val="0"/>
      <w:marBottom w:val="0"/>
      <w:divBdr>
        <w:top w:val="none" w:sz="0" w:space="0" w:color="auto"/>
        <w:left w:val="none" w:sz="0" w:space="0" w:color="auto"/>
        <w:bottom w:val="none" w:sz="0" w:space="0" w:color="auto"/>
        <w:right w:val="none" w:sz="0" w:space="0" w:color="auto"/>
      </w:divBdr>
    </w:div>
    <w:div w:id="378021367">
      <w:bodyDiv w:val="1"/>
      <w:marLeft w:val="0"/>
      <w:marRight w:val="0"/>
      <w:marTop w:val="0"/>
      <w:marBottom w:val="0"/>
      <w:divBdr>
        <w:top w:val="none" w:sz="0" w:space="0" w:color="auto"/>
        <w:left w:val="none" w:sz="0" w:space="0" w:color="auto"/>
        <w:bottom w:val="none" w:sz="0" w:space="0" w:color="auto"/>
        <w:right w:val="none" w:sz="0" w:space="0" w:color="auto"/>
      </w:divBdr>
    </w:div>
    <w:div w:id="378088726">
      <w:bodyDiv w:val="1"/>
      <w:marLeft w:val="0"/>
      <w:marRight w:val="0"/>
      <w:marTop w:val="0"/>
      <w:marBottom w:val="0"/>
      <w:divBdr>
        <w:top w:val="none" w:sz="0" w:space="0" w:color="auto"/>
        <w:left w:val="none" w:sz="0" w:space="0" w:color="auto"/>
        <w:bottom w:val="none" w:sz="0" w:space="0" w:color="auto"/>
        <w:right w:val="none" w:sz="0" w:space="0" w:color="auto"/>
      </w:divBdr>
    </w:div>
    <w:div w:id="378167971">
      <w:bodyDiv w:val="1"/>
      <w:marLeft w:val="0"/>
      <w:marRight w:val="0"/>
      <w:marTop w:val="0"/>
      <w:marBottom w:val="0"/>
      <w:divBdr>
        <w:top w:val="none" w:sz="0" w:space="0" w:color="auto"/>
        <w:left w:val="none" w:sz="0" w:space="0" w:color="auto"/>
        <w:bottom w:val="none" w:sz="0" w:space="0" w:color="auto"/>
        <w:right w:val="none" w:sz="0" w:space="0" w:color="auto"/>
      </w:divBdr>
    </w:div>
    <w:div w:id="378746657">
      <w:bodyDiv w:val="1"/>
      <w:marLeft w:val="0"/>
      <w:marRight w:val="0"/>
      <w:marTop w:val="0"/>
      <w:marBottom w:val="0"/>
      <w:divBdr>
        <w:top w:val="none" w:sz="0" w:space="0" w:color="auto"/>
        <w:left w:val="none" w:sz="0" w:space="0" w:color="auto"/>
        <w:bottom w:val="none" w:sz="0" w:space="0" w:color="auto"/>
        <w:right w:val="none" w:sz="0" w:space="0" w:color="auto"/>
      </w:divBdr>
    </w:div>
    <w:div w:id="379205898">
      <w:bodyDiv w:val="1"/>
      <w:marLeft w:val="0"/>
      <w:marRight w:val="0"/>
      <w:marTop w:val="0"/>
      <w:marBottom w:val="0"/>
      <w:divBdr>
        <w:top w:val="none" w:sz="0" w:space="0" w:color="auto"/>
        <w:left w:val="none" w:sz="0" w:space="0" w:color="auto"/>
        <w:bottom w:val="none" w:sz="0" w:space="0" w:color="auto"/>
        <w:right w:val="none" w:sz="0" w:space="0" w:color="auto"/>
      </w:divBdr>
    </w:div>
    <w:div w:id="379208726">
      <w:bodyDiv w:val="1"/>
      <w:marLeft w:val="0"/>
      <w:marRight w:val="0"/>
      <w:marTop w:val="0"/>
      <w:marBottom w:val="0"/>
      <w:divBdr>
        <w:top w:val="none" w:sz="0" w:space="0" w:color="auto"/>
        <w:left w:val="none" w:sz="0" w:space="0" w:color="auto"/>
        <w:bottom w:val="none" w:sz="0" w:space="0" w:color="auto"/>
        <w:right w:val="none" w:sz="0" w:space="0" w:color="auto"/>
      </w:divBdr>
    </w:div>
    <w:div w:id="379280036">
      <w:bodyDiv w:val="1"/>
      <w:marLeft w:val="0"/>
      <w:marRight w:val="0"/>
      <w:marTop w:val="0"/>
      <w:marBottom w:val="0"/>
      <w:divBdr>
        <w:top w:val="none" w:sz="0" w:space="0" w:color="auto"/>
        <w:left w:val="none" w:sz="0" w:space="0" w:color="auto"/>
        <w:bottom w:val="none" w:sz="0" w:space="0" w:color="auto"/>
        <w:right w:val="none" w:sz="0" w:space="0" w:color="auto"/>
      </w:divBdr>
    </w:div>
    <w:div w:id="379281955">
      <w:bodyDiv w:val="1"/>
      <w:marLeft w:val="0"/>
      <w:marRight w:val="0"/>
      <w:marTop w:val="0"/>
      <w:marBottom w:val="0"/>
      <w:divBdr>
        <w:top w:val="none" w:sz="0" w:space="0" w:color="auto"/>
        <w:left w:val="none" w:sz="0" w:space="0" w:color="auto"/>
        <w:bottom w:val="none" w:sz="0" w:space="0" w:color="auto"/>
        <w:right w:val="none" w:sz="0" w:space="0" w:color="auto"/>
      </w:divBdr>
    </w:div>
    <w:div w:id="379282344">
      <w:bodyDiv w:val="1"/>
      <w:marLeft w:val="0"/>
      <w:marRight w:val="0"/>
      <w:marTop w:val="0"/>
      <w:marBottom w:val="0"/>
      <w:divBdr>
        <w:top w:val="none" w:sz="0" w:space="0" w:color="auto"/>
        <w:left w:val="none" w:sz="0" w:space="0" w:color="auto"/>
        <w:bottom w:val="none" w:sz="0" w:space="0" w:color="auto"/>
        <w:right w:val="none" w:sz="0" w:space="0" w:color="auto"/>
      </w:divBdr>
    </w:div>
    <w:div w:id="379283153">
      <w:bodyDiv w:val="1"/>
      <w:marLeft w:val="0"/>
      <w:marRight w:val="0"/>
      <w:marTop w:val="0"/>
      <w:marBottom w:val="0"/>
      <w:divBdr>
        <w:top w:val="none" w:sz="0" w:space="0" w:color="auto"/>
        <w:left w:val="none" w:sz="0" w:space="0" w:color="auto"/>
        <w:bottom w:val="none" w:sz="0" w:space="0" w:color="auto"/>
        <w:right w:val="none" w:sz="0" w:space="0" w:color="auto"/>
      </w:divBdr>
    </w:div>
    <w:div w:id="379285493">
      <w:bodyDiv w:val="1"/>
      <w:marLeft w:val="0"/>
      <w:marRight w:val="0"/>
      <w:marTop w:val="0"/>
      <w:marBottom w:val="0"/>
      <w:divBdr>
        <w:top w:val="none" w:sz="0" w:space="0" w:color="auto"/>
        <w:left w:val="none" w:sz="0" w:space="0" w:color="auto"/>
        <w:bottom w:val="none" w:sz="0" w:space="0" w:color="auto"/>
        <w:right w:val="none" w:sz="0" w:space="0" w:color="auto"/>
      </w:divBdr>
    </w:div>
    <w:div w:id="379400873">
      <w:bodyDiv w:val="1"/>
      <w:marLeft w:val="0"/>
      <w:marRight w:val="0"/>
      <w:marTop w:val="0"/>
      <w:marBottom w:val="0"/>
      <w:divBdr>
        <w:top w:val="none" w:sz="0" w:space="0" w:color="auto"/>
        <w:left w:val="none" w:sz="0" w:space="0" w:color="auto"/>
        <w:bottom w:val="none" w:sz="0" w:space="0" w:color="auto"/>
        <w:right w:val="none" w:sz="0" w:space="0" w:color="auto"/>
      </w:divBdr>
    </w:div>
    <w:div w:id="379401836">
      <w:bodyDiv w:val="1"/>
      <w:marLeft w:val="0"/>
      <w:marRight w:val="0"/>
      <w:marTop w:val="0"/>
      <w:marBottom w:val="0"/>
      <w:divBdr>
        <w:top w:val="none" w:sz="0" w:space="0" w:color="auto"/>
        <w:left w:val="none" w:sz="0" w:space="0" w:color="auto"/>
        <w:bottom w:val="none" w:sz="0" w:space="0" w:color="auto"/>
        <w:right w:val="none" w:sz="0" w:space="0" w:color="auto"/>
      </w:divBdr>
    </w:div>
    <w:div w:id="379479053">
      <w:bodyDiv w:val="1"/>
      <w:marLeft w:val="0"/>
      <w:marRight w:val="0"/>
      <w:marTop w:val="0"/>
      <w:marBottom w:val="0"/>
      <w:divBdr>
        <w:top w:val="none" w:sz="0" w:space="0" w:color="auto"/>
        <w:left w:val="none" w:sz="0" w:space="0" w:color="auto"/>
        <w:bottom w:val="none" w:sz="0" w:space="0" w:color="auto"/>
        <w:right w:val="none" w:sz="0" w:space="0" w:color="auto"/>
      </w:divBdr>
    </w:div>
    <w:div w:id="379520745">
      <w:bodyDiv w:val="1"/>
      <w:marLeft w:val="0"/>
      <w:marRight w:val="0"/>
      <w:marTop w:val="0"/>
      <w:marBottom w:val="0"/>
      <w:divBdr>
        <w:top w:val="none" w:sz="0" w:space="0" w:color="auto"/>
        <w:left w:val="none" w:sz="0" w:space="0" w:color="auto"/>
        <w:bottom w:val="none" w:sz="0" w:space="0" w:color="auto"/>
        <w:right w:val="none" w:sz="0" w:space="0" w:color="auto"/>
      </w:divBdr>
    </w:div>
    <w:div w:id="379597993">
      <w:bodyDiv w:val="1"/>
      <w:marLeft w:val="0"/>
      <w:marRight w:val="0"/>
      <w:marTop w:val="0"/>
      <w:marBottom w:val="0"/>
      <w:divBdr>
        <w:top w:val="none" w:sz="0" w:space="0" w:color="auto"/>
        <w:left w:val="none" w:sz="0" w:space="0" w:color="auto"/>
        <w:bottom w:val="none" w:sz="0" w:space="0" w:color="auto"/>
        <w:right w:val="none" w:sz="0" w:space="0" w:color="auto"/>
      </w:divBdr>
    </w:div>
    <w:div w:id="379598032">
      <w:bodyDiv w:val="1"/>
      <w:marLeft w:val="0"/>
      <w:marRight w:val="0"/>
      <w:marTop w:val="0"/>
      <w:marBottom w:val="0"/>
      <w:divBdr>
        <w:top w:val="none" w:sz="0" w:space="0" w:color="auto"/>
        <w:left w:val="none" w:sz="0" w:space="0" w:color="auto"/>
        <w:bottom w:val="none" w:sz="0" w:space="0" w:color="auto"/>
        <w:right w:val="none" w:sz="0" w:space="0" w:color="auto"/>
      </w:divBdr>
    </w:div>
    <w:div w:id="379670358">
      <w:bodyDiv w:val="1"/>
      <w:marLeft w:val="0"/>
      <w:marRight w:val="0"/>
      <w:marTop w:val="0"/>
      <w:marBottom w:val="0"/>
      <w:divBdr>
        <w:top w:val="none" w:sz="0" w:space="0" w:color="auto"/>
        <w:left w:val="none" w:sz="0" w:space="0" w:color="auto"/>
        <w:bottom w:val="none" w:sz="0" w:space="0" w:color="auto"/>
        <w:right w:val="none" w:sz="0" w:space="0" w:color="auto"/>
      </w:divBdr>
    </w:div>
    <w:div w:id="379743143">
      <w:bodyDiv w:val="1"/>
      <w:marLeft w:val="0"/>
      <w:marRight w:val="0"/>
      <w:marTop w:val="0"/>
      <w:marBottom w:val="0"/>
      <w:divBdr>
        <w:top w:val="none" w:sz="0" w:space="0" w:color="auto"/>
        <w:left w:val="none" w:sz="0" w:space="0" w:color="auto"/>
        <w:bottom w:val="none" w:sz="0" w:space="0" w:color="auto"/>
        <w:right w:val="none" w:sz="0" w:space="0" w:color="auto"/>
      </w:divBdr>
    </w:div>
    <w:div w:id="379786331">
      <w:bodyDiv w:val="1"/>
      <w:marLeft w:val="0"/>
      <w:marRight w:val="0"/>
      <w:marTop w:val="0"/>
      <w:marBottom w:val="0"/>
      <w:divBdr>
        <w:top w:val="none" w:sz="0" w:space="0" w:color="auto"/>
        <w:left w:val="none" w:sz="0" w:space="0" w:color="auto"/>
        <w:bottom w:val="none" w:sz="0" w:space="0" w:color="auto"/>
        <w:right w:val="none" w:sz="0" w:space="0" w:color="auto"/>
      </w:divBdr>
    </w:div>
    <w:div w:id="379936924">
      <w:bodyDiv w:val="1"/>
      <w:marLeft w:val="0"/>
      <w:marRight w:val="0"/>
      <w:marTop w:val="0"/>
      <w:marBottom w:val="0"/>
      <w:divBdr>
        <w:top w:val="none" w:sz="0" w:space="0" w:color="auto"/>
        <w:left w:val="none" w:sz="0" w:space="0" w:color="auto"/>
        <w:bottom w:val="none" w:sz="0" w:space="0" w:color="auto"/>
        <w:right w:val="none" w:sz="0" w:space="0" w:color="auto"/>
      </w:divBdr>
    </w:div>
    <w:div w:id="379983373">
      <w:bodyDiv w:val="1"/>
      <w:marLeft w:val="0"/>
      <w:marRight w:val="0"/>
      <w:marTop w:val="0"/>
      <w:marBottom w:val="0"/>
      <w:divBdr>
        <w:top w:val="none" w:sz="0" w:space="0" w:color="auto"/>
        <w:left w:val="none" w:sz="0" w:space="0" w:color="auto"/>
        <w:bottom w:val="none" w:sz="0" w:space="0" w:color="auto"/>
        <w:right w:val="none" w:sz="0" w:space="0" w:color="auto"/>
      </w:divBdr>
    </w:div>
    <w:div w:id="380327392">
      <w:bodyDiv w:val="1"/>
      <w:marLeft w:val="0"/>
      <w:marRight w:val="0"/>
      <w:marTop w:val="0"/>
      <w:marBottom w:val="0"/>
      <w:divBdr>
        <w:top w:val="none" w:sz="0" w:space="0" w:color="auto"/>
        <w:left w:val="none" w:sz="0" w:space="0" w:color="auto"/>
        <w:bottom w:val="none" w:sz="0" w:space="0" w:color="auto"/>
        <w:right w:val="none" w:sz="0" w:space="0" w:color="auto"/>
      </w:divBdr>
    </w:div>
    <w:div w:id="380327969">
      <w:bodyDiv w:val="1"/>
      <w:marLeft w:val="0"/>
      <w:marRight w:val="0"/>
      <w:marTop w:val="0"/>
      <w:marBottom w:val="0"/>
      <w:divBdr>
        <w:top w:val="none" w:sz="0" w:space="0" w:color="auto"/>
        <w:left w:val="none" w:sz="0" w:space="0" w:color="auto"/>
        <w:bottom w:val="none" w:sz="0" w:space="0" w:color="auto"/>
        <w:right w:val="none" w:sz="0" w:space="0" w:color="auto"/>
      </w:divBdr>
    </w:div>
    <w:div w:id="380399740">
      <w:bodyDiv w:val="1"/>
      <w:marLeft w:val="0"/>
      <w:marRight w:val="0"/>
      <w:marTop w:val="0"/>
      <w:marBottom w:val="0"/>
      <w:divBdr>
        <w:top w:val="none" w:sz="0" w:space="0" w:color="auto"/>
        <w:left w:val="none" w:sz="0" w:space="0" w:color="auto"/>
        <w:bottom w:val="none" w:sz="0" w:space="0" w:color="auto"/>
        <w:right w:val="none" w:sz="0" w:space="0" w:color="auto"/>
      </w:divBdr>
    </w:div>
    <w:div w:id="380444370">
      <w:bodyDiv w:val="1"/>
      <w:marLeft w:val="0"/>
      <w:marRight w:val="0"/>
      <w:marTop w:val="0"/>
      <w:marBottom w:val="0"/>
      <w:divBdr>
        <w:top w:val="none" w:sz="0" w:space="0" w:color="auto"/>
        <w:left w:val="none" w:sz="0" w:space="0" w:color="auto"/>
        <w:bottom w:val="none" w:sz="0" w:space="0" w:color="auto"/>
        <w:right w:val="none" w:sz="0" w:space="0" w:color="auto"/>
      </w:divBdr>
    </w:div>
    <w:div w:id="380516140">
      <w:bodyDiv w:val="1"/>
      <w:marLeft w:val="0"/>
      <w:marRight w:val="0"/>
      <w:marTop w:val="0"/>
      <w:marBottom w:val="0"/>
      <w:divBdr>
        <w:top w:val="none" w:sz="0" w:space="0" w:color="auto"/>
        <w:left w:val="none" w:sz="0" w:space="0" w:color="auto"/>
        <w:bottom w:val="none" w:sz="0" w:space="0" w:color="auto"/>
        <w:right w:val="none" w:sz="0" w:space="0" w:color="auto"/>
      </w:divBdr>
    </w:div>
    <w:div w:id="380519756">
      <w:bodyDiv w:val="1"/>
      <w:marLeft w:val="0"/>
      <w:marRight w:val="0"/>
      <w:marTop w:val="0"/>
      <w:marBottom w:val="0"/>
      <w:divBdr>
        <w:top w:val="none" w:sz="0" w:space="0" w:color="auto"/>
        <w:left w:val="none" w:sz="0" w:space="0" w:color="auto"/>
        <w:bottom w:val="none" w:sz="0" w:space="0" w:color="auto"/>
        <w:right w:val="none" w:sz="0" w:space="0" w:color="auto"/>
      </w:divBdr>
    </w:div>
    <w:div w:id="380594010">
      <w:bodyDiv w:val="1"/>
      <w:marLeft w:val="0"/>
      <w:marRight w:val="0"/>
      <w:marTop w:val="0"/>
      <w:marBottom w:val="0"/>
      <w:divBdr>
        <w:top w:val="none" w:sz="0" w:space="0" w:color="auto"/>
        <w:left w:val="none" w:sz="0" w:space="0" w:color="auto"/>
        <w:bottom w:val="none" w:sz="0" w:space="0" w:color="auto"/>
        <w:right w:val="none" w:sz="0" w:space="0" w:color="auto"/>
      </w:divBdr>
    </w:div>
    <w:div w:id="380600170">
      <w:bodyDiv w:val="1"/>
      <w:marLeft w:val="0"/>
      <w:marRight w:val="0"/>
      <w:marTop w:val="0"/>
      <w:marBottom w:val="0"/>
      <w:divBdr>
        <w:top w:val="none" w:sz="0" w:space="0" w:color="auto"/>
        <w:left w:val="none" w:sz="0" w:space="0" w:color="auto"/>
        <w:bottom w:val="none" w:sz="0" w:space="0" w:color="auto"/>
        <w:right w:val="none" w:sz="0" w:space="0" w:color="auto"/>
      </w:divBdr>
    </w:div>
    <w:div w:id="380909847">
      <w:bodyDiv w:val="1"/>
      <w:marLeft w:val="0"/>
      <w:marRight w:val="0"/>
      <w:marTop w:val="0"/>
      <w:marBottom w:val="0"/>
      <w:divBdr>
        <w:top w:val="none" w:sz="0" w:space="0" w:color="auto"/>
        <w:left w:val="none" w:sz="0" w:space="0" w:color="auto"/>
        <w:bottom w:val="none" w:sz="0" w:space="0" w:color="auto"/>
        <w:right w:val="none" w:sz="0" w:space="0" w:color="auto"/>
      </w:divBdr>
    </w:div>
    <w:div w:id="380979865">
      <w:bodyDiv w:val="1"/>
      <w:marLeft w:val="0"/>
      <w:marRight w:val="0"/>
      <w:marTop w:val="0"/>
      <w:marBottom w:val="0"/>
      <w:divBdr>
        <w:top w:val="none" w:sz="0" w:space="0" w:color="auto"/>
        <w:left w:val="none" w:sz="0" w:space="0" w:color="auto"/>
        <w:bottom w:val="none" w:sz="0" w:space="0" w:color="auto"/>
        <w:right w:val="none" w:sz="0" w:space="0" w:color="auto"/>
      </w:divBdr>
    </w:div>
    <w:div w:id="380982707">
      <w:bodyDiv w:val="1"/>
      <w:marLeft w:val="0"/>
      <w:marRight w:val="0"/>
      <w:marTop w:val="0"/>
      <w:marBottom w:val="0"/>
      <w:divBdr>
        <w:top w:val="none" w:sz="0" w:space="0" w:color="auto"/>
        <w:left w:val="none" w:sz="0" w:space="0" w:color="auto"/>
        <w:bottom w:val="none" w:sz="0" w:space="0" w:color="auto"/>
        <w:right w:val="none" w:sz="0" w:space="0" w:color="auto"/>
      </w:divBdr>
    </w:div>
    <w:div w:id="380983561">
      <w:bodyDiv w:val="1"/>
      <w:marLeft w:val="0"/>
      <w:marRight w:val="0"/>
      <w:marTop w:val="0"/>
      <w:marBottom w:val="0"/>
      <w:divBdr>
        <w:top w:val="none" w:sz="0" w:space="0" w:color="auto"/>
        <w:left w:val="none" w:sz="0" w:space="0" w:color="auto"/>
        <w:bottom w:val="none" w:sz="0" w:space="0" w:color="auto"/>
        <w:right w:val="none" w:sz="0" w:space="0" w:color="auto"/>
      </w:divBdr>
    </w:div>
    <w:div w:id="380984091">
      <w:bodyDiv w:val="1"/>
      <w:marLeft w:val="0"/>
      <w:marRight w:val="0"/>
      <w:marTop w:val="0"/>
      <w:marBottom w:val="0"/>
      <w:divBdr>
        <w:top w:val="none" w:sz="0" w:space="0" w:color="auto"/>
        <w:left w:val="none" w:sz="0" w:space="0" w:color="auto"/>
        <w:bottom w:val="none" w:sz="0" w:space="0" w:color="auto"/>
        <w:right w:val="none" w:sz="0" w:space="0" w:color="auto"/>
      </w:divBdr>
    </w:div>
    <w:div w:id="381176853">
      <w:bodyDiv w:val="1"/>
      <w:marLeft w:val="0"/>
      <w:marRight w:val="0"/>
      <w:marTop w:val="0"/>
      <w:marBottom w:val="0"/>
      <w:divBdr>
        <w:top w:val="none" w:sz="0" w:space="0" w:color="auto"/>
        <w:left w:val="none" w:sz="0" w:space="0" w:color="auto"/>
        <w:bottom w:val="none" w:sz="0" w:space="0" w:color="auto"/>
        <w:right w:val="none" w:sz="0" w:space="0" w:color="auto"/>
      </w:divBdr>
    </w:div>
    <w:div w:id="381248949">
      <w:bodyDiv w:val="1"/>
      <w:marLeft w:val="0"/>
      <w:marRight w:val="0"/>
      <w:marTop w:val="0"/>
      <w:marBottom w:val="0"/>
      <w:divBdr>
        <w:top w:val="none" w:sz="0" w:space="0" w:color="auto"/>
        <w:left w:val="none" w:sz="0" w:space="0" w:color="auto"/>
        <w:bottom w:val="none" w:sz="0" w:space="0" w:color="auto"/>
        <w:right w:val="none" w:sz="0" w:space="0" w:color="auto"/>
      </w:divBdr>
    </w:div>
    <w:div w:id="381250882">
      <w:bodyDiv w:val="1"/>
      <w:marLeft w:val="0"/>
      <w:marRight w:val="0"/>
      <w:marTop w:val="0"/>
      <w:marBottom w:val="0"/>
      <w:divBdr>
        <w:top w:val="none" w:sz="0" w:space="0" w:color="auto"/>
        <w:left w:val="none" w:sz="0" w:space="0" w:color="auto"/>
        <w:bottom w:val="none" w:sz="0" w:space="0" w:color="auto"/>
        <w:right w:val="none" w:sz="0" w:space="0" w:color="auto"/>
      </w:divBdr>
    </w:div>
    <w:div w:id="381290793">
      <w:bodyDiv w:val="1"/>
      <w:marLeft w:val="0"/>
      <w:marRight w:val="0"/>
      <w:marTop w:val="0"/>
      <w:marBottom w:val="0"/>
      <w:divBdr>
        <w:top w:val="none" w:sz="0" w:space="0" w:color="auto"/>
        <w:left w:val="none" w:sz="0" w:space="0" w:color="auto"/>
        <w:bottom w:val="none" w:sz="0" w:space="0" w:color="auto"/>
        <w:right w:val="none" w:sz="0" w:space="0" w:color="auto"/>
      </w:divBdr>
    </w:div>
    <w:div w:id="381443379">
      <w:bodyDiv w:val="1"/>
      <w:marLeft w:val="0"/>
      <w:marRight w:val="0"/>
      <w:marTop w:val="0"/>
      <w:marBottom w:val="0"/>
      <w:divBdr>
        <w:top w:val="none" w:sz="0" w:space="0" w:color="auto"/>
        <w:left w:val="none" w:sz="0" w:space="0" w:color="auto"/>
        <w:bottom w:val="none" w:sz="0" w:space="0" w:color="auto"/>
        <w:right w:val="none" w:sz="0" w:space="0" w:color="auto"/>
      </w:divBdr>
    </w:div>
    <w:div w:id="381447788">
      <w:bodyDiv w:val="1"/>
      <w:marLeft w:val="0"/>
      <w:marRight w:val="0"/>
      <w:marTop w:val="0"/>
      <w:marBottom w:val="0"/>
      <w:divBdr>
        <w:top w:val="none" w:sz="0" w:space="0" w:color="auto"/>
        <w:left w:val="none" w:sz="0" w:space="0" w:color="auto"/>
        <w:bottom w:val="none" w:sz="0" w:space="0" w:color="auto"/>
        <w:right w:val="none" w:sz="0" w:space="0" w:color="auto"/>
      </w:divBdr>
    </w:div>
    <w:div w:id="381565822">
      <w:bodyDiv w:val="1"/>
      <w:marLeft w:val="0"/>
      <w:marRight w:val="0"/>
      <w:marTop w:val="0"/>
      <w:marBottom w:val="0"/>
      <w:divBdr>
        <w:top w:val="none" w:sz="0" w:space="0" w:color="auto"/>
        <w:left w:val="none" w:sz="0" w:space="0" w:color="auto"/>
        <w:bottom w:val="none" w:sz="0" w:space="0" w:color="auto"/>
        <w:right w:val="none" w:sz="0" w:space="0" w:color="auto"/>
      </w:divBdr>
    </w:div>
    <w:div w:id="381752527">
      <w:bodyDiv w:val="1"/>
      <w:marLeft w:val="0"/>
      <w:marRight w:val="0"/>
      <w:marTop w:val="0"/>
      <w:marBottom w:val="0"/>
      <w:divBdr>
        <w:top w:val="none" w:sz="0" w:space="0" w:color="auto"/>
        <w:left w:val="none" w:sz="0" w:space="0" w:color="auto"/>
        <w:bottom w:val="none" w:sz="0" w:space="0" w:color="auto"/>
        <w:right w:val="none" w:sz="0" w:space="0" w:color="auto"/>
      </w:divBdr>
    </w:div>
    <w:div w:id="381755291">
      <w:bodyDiv w:val="1"/>
      <w:marLeft w:val="0"/>
      <w:marRight w:val="0"/>
      <w:marTop w:val="0"/>
      <w:marBottom w:val="0"/>
      <w:divBdr>
        <w:top w:val="none" w:sz="0" w:space="0" w:color="auto"/>
        <w:left w:val="none" w:sz="0" w:space="0" w:color="auto"/>
        <w:bottom w:val="none" w:sz="0" w:space="0" w:color="auto"/>
        <w:right w:val="none" w:sz="0" w:space="0" w:color="auto"/>
      </w:divBdr>
    </w:div>
    <w:div w:id="381907797">
      <w:bodyDiv w:val="1"/>
      <w:marLeft w:val="0"/>
      <w:marRight w:val="0"/>
      <w:marTop w:val="0"/>
      <w:marBottom w:val="0"/>
      <w:divBdr>
        <w:top w:val="none" w:sz="0" w:space="0" w:color="auto"/>
        <w:left w:val="none" w:sz="0" w:space="0" w:color="auto"/>
        <w:bottom w:val="none" w:sz="0" w:space="0" w:color="auto"/>
        <w:right w:val="none" w:sz="0" w:space="0" w:color="auto"/>
      </w:divBdr>
    </w:div>
    <w:div w:id="382020149">
      <w:bodyDiv w:val="1"/>
      <w:marLeft w:val="0"/>
      <w:marRight w:val="0"/>
      <w:marTop w:val="0"/>
      <w:marBottom w:val="0"/>
      <w:divBdr>
        <w:top w:val="none" w:sz="0" w:space="0" w:color="auto"/>
        <w:left w:val="none" w:sz="0" w:space="0" w:color="auto"/>
        <w:bottom w:val="none" w:sz="0" w:space="0" w:color="auto"/>
        <w:right w:val="none" w:sz="0" w:space="0" w:color="auto"/>
      </w:divBdr>
    </w:div>
    <w:div w:id="382024817">
      <w:bodyDiv w:val="1"/>
      <w:marLeft w:val="0"/>
      <w:marRight w:val="0"/>
      <w:marTop w:val="0"/>
      <w:marBottom w:val="0"/>
      <w:divBdr>
        <w:top w:val="none" w:sz="0" w:space="0" w:color="auto"/>
        <w:left w:val="none" w:sz="0" w:space="0" w:color="auto"/>
        <w:bottom w:val="none" w:sz="0" w:space="0" w:color="auto"/>
        <w:right w:val="none" w:sz="0" w:space="0" w:color="auto"/>
      </w:divBdr>
    </w:div>
    <w:div w:id="382407310">
      <w:bodyDiv w:val="1"/>
      <w:marLeft w:val="0"/>
      <w:marRight w:val="0"/>
      <w:marTop w:val="0"/>
      <w:marBottom w:val="0"/>
      <w:divBdr>
        <w:top w:val="none" w:sz="0" w:space="0" w:color="auto"/>
        <w:left w:val="none" w:sz="0" w:space="0" w:color="auto"/>
        <w:bottom w:val="none" w:sz="0" w:space="0" w:color="auto"/>
        <w:right w:val="none" w:sz="0" w:space="0" w:color="auto"/>
      </w:divBdr>
    </w:div>
    <w:div w:id="382485886">
      <w:bodyDiv w:val="1"/>
      <w:marLeft w:val="0"/>
      <w:marRight w:val="0"/>
      <w:marTop w:val="0"/>
      <w:marBottom w:val="0"/>
      <w:divBdr>
        <w:top w:val="none" w:sz="0" w:space="0" w:color="auto"/>
        <w:left w:val="none" w:sz="0" w:space="0" w:color="auto"/>
        <w:bottom w:val="none" w:sz="0" w:space="0" w:color="auto"/>
        <w:right w:val="none" w:sz="0" w:space="0" w:color="auto"/>
      </w:divBdr>
    </w:div>
    <w:div w:id="382488896">
      <w:bodyDiv w:val="1"/>
      <w:marLeft w:val="0"/>
      <w:marRight w:val="0"/>
      <w:marTop w:val="0"/>
      <w:marBottom w:val="0"/>
      <w:divBdr>
        <w:top w:val="none" w:sz="0" w:space="0" w:color="auto"/>
        <w:left w:val="none" w:sz="0" w:space="0" w:color="auto"/>
        <w:bottom w:val="none" w:sz="0" w:space="0" w:color="auto"/>
        <w:right w:val="none" w:sz="0" w:space="0" w:color="auto"/>
      </w:divBdr>
    </w:div>
    <w:div w:id="382489466">
      <w:bodyDiv w:val="1"/>
      <w:marLeft w:val="0"/>
      <w:marRight w:val="0"/>
      <w:marTop w:val="0"/>
      <w:marBottom w:val="0"/>
      <w:divBdr>
        <w:top w:val="none" w:sz="0" w:space="0" w:color="auto"/>
        <w:left w:val="none" w:sz="0" w:space="0" w:color="auto"/>
        <w:bottom w:val="none" w:sz="0" w:space="0" w:color="auto"/>
        <w:right w:val="none" w:sz="0" w:space="0" w:color="auto"/>
      </w:divBdr>
    </w:div>
    <w:div w:id="382599245">
      <w:bodyDiv w:val="1"/>
      <w:marLeft w:val="0"/>
      <w:marRight w:val="0"/>
      <w:marTop w:val="0"/>
      <w:marBottom w:val="0"/>
      <w:divBdr>
        <w:top w:val="none" w:sz="0" w:space="0" w:color="auto"/>
        <w:left w:val="none" w:sz="0" w:space="0" w:color="auto"/>
        <w:bottom w:val="none" w:sz="0" w:space="0" w:color="auto"/>
        <w:right w:val="none" w:sz="0" w:space="0" w:color="auto"/>
      </w:divBdr>
    </w:div>
    <w:div w:id="382754510">
      <w:bodyDiv w:val="1"/>
      <w:marLeft w:val="0"/>
      <w:marRight w:val="0"/>
      <w:marTop w:val="0"/>
      <w:marBottom w:val="0"/>
      <w:divBdr>
        <w:top w:val="none" w:sz="0" w:space="0" w:color="auto"/>
        <w:left w:val="none" w:sz="0" w:space="0" w:color="auto"/>
        <w:bottom w:val="none" w:sz="0" w:space="0" w:color="auto"/>
        <w:right w:val="none" w:sz="0" w:space="0" w:color="auto"/>
      </w:divBdr>
    </w:div>
    <w:div w:id="382827013">
      <w:bodyDiv w:val="1"/>
      <w:marLeft w:val="0"/>
      <w:marRight w:val="0"/>
      <w:marTop w:val="0"/>
      <w:marBottom w:val="0"/>
      <w:divBdr>
        <w:top w:val="none" w:sz="0" w:space="0" w:color="auto"/>
        <w:left w:val="none" w:sz="0" w:space="0" w:color="auto"/>
        <w:bottom w:val="none" w:sz="0" w:space="0" w:color="auto"/>
        <w:right w:val="none" w:sz="0" w:space="0" w:color="auto"/>
      </w:divBdr>
    </w:div>
    <w:div w:id="382872507">
      <w:bodyDiv w:val="1"/>
      <w:marLeft w:val="0"/>
      <w:marRight w:val="0"/>
      <w:marTop w:val="0"/>
      <w:marBottom w:val="0"/>
      <w:divBdr>
        <w:top w:val="none" w:sz="0" w:space="0" w:color="auto"/>
        <w:left w:val="none" w:sz="0" w:space="0" w:color="auto"/>
        <w:bottom w:val="none" w:sz="0" w:space="0" w:color="auto"/>
        <w:right w:val="none" w:sz="0" w:space="0" w:color="auto"/>
      </w:divBdr>
    </w:div>
    <w:div w:id="382876625">
      <w:bodyDiv w:val="1"/>
      <w:marLeft w:val="0"/>
      <w:marRight w:val="0"/>
      <w:marTop w:val="0"/>
      <w:marBottom w:val="0"/>
      <w:divBdr>
        <w:top w:val="none" w:sz="0" w:space="0" w:color="auto"/>
        <w:left w:val="none" w:sz="0" w:space="0" w:color="auto"/>
        <w:bottom w:val="none" w:sz="0" w:space="0" w:color="auto"/>
        <w:right w:val="none" w:sz="0" w:space="0" w:color="auto"/>
      </w:divBdr>
    </w:div>
    <w:div w:id="383019237">
      <w:bodyDiv w:val="1"/>
      <w:marLeft w:val="0"/>
      <w:marRight w:val="0"/>
      <w:marTop w:val="0"/>
      <w:marBottom w:val="0"/>
      <w:divBdr>
        <w:top w:val="none" w:sz="0" w:space="0" w:color="auto"/>
        <w:left w:val="none" w:sz="0" w:space="0" w:color="auto"/>
        <w:bottom w:val="none" w:sz="0" w:space="0" w:color="auto"/>
        <w:right w:val="none" w:sz="0" w:space="0" w:color="auto"/>
      </w:divBdr>
    </w:div>
    <w:div w:id="383062959">
      <w:bodyDiv w:val="1"/>
      <w:marLeft w:val="0"/>
      <w:marRight w:val="0"/>
      <w:marTop w:val="0"/>
      <w:marBottom w:val="0"/>
      <w:divBdr>
        <w:top w:val="none" w:sz="0" w:space="0" w:color="auto"/>
        <w:left w:val="none" w:sz="0" w:space="0" w:color="auto"/>
        <w:bottom w:val="none" w:sz="0" w:space="0" w:color="auto"/>
        <w:right w:val="none" w:sz="0" w:space="0" w:color="auto"/>
      </w:divBdr>
    </w:div>
    <w:div w:id="383065657">
      <w:bodyDiv w:val="1"/>
      <w:marLeft w:val="0"/>
      <w:marRight w:val="0"/>
      <w:marTop w:val="0"/>
      <w:marBottom w:val="0"/>
      <w:divBdr>
        <w:top w:val="none" w:sz="0" w:space="0" w:color="auto"/>
        <w:left w:val="none" w:sz="0" w:space="0" w:color="auto"/>
        <w:bottom w:val="none" w:sz="0" w:space="0" w:color="auto"/>
        <w:right w:val="none" w:sz="0" w:space="0" w:color="auto"/>
      </w:divBdr>
    </w:div>
    <w:div w:id="383066001">
      <w:bodyDiv w:val="1"/>
      <w:marLeft w:val="0"/>
      <w:marRight w:val="0"/>
      <w:marTop w:val="0"/>
      <w:marBottom w:val="0"/>
      <w:divBdr>
        <w:top w:val="none" w:sz="0" w:space="0" w:color="auto"/>
        <w:left w:val="none" w:sz="0" w:space="0" w:color="auto"/>
        <w:bottom w:val="none" w:sz="0" w:space="0" w:color="auto"/>
        <w:right w:val="none" w:sz="0" w:space="0" w:color="auto"/>
      </w:divBdr>
    </w:div>
    <w:div w:id="383220276">
      <w:bodyDiv w:val="1"/>
      <w:marLeft w:val="0"/>
      <w:marRight w:val="0"/>
      <w:marTop w:val="0"/>
      <w:marBottom w:val="0"/>
      <w:divBdr>
        <w:top w:val="none" w:sz="0" w:space="0" w:color="auto"/>
        <w:left w:val="none" w:sz="0" w:space="0" w:color="auto"/>
        <w:bottom w:val="none" w:sz="0" w:space="0" w:color="auto"/>
        <w:right w:val="none" w:sz="0" w:space="0" w:color="auto"/>
      </w:divBdr>
    </w:div>
    <w:div w:id="383454553">
      <w:bodyDiv w:val="1"/>
      <w:marLeft w:val="0"/>
      <w:marRight w:val="0"/>
      <w:marTop w:val="0"/>
      <w:marBottom w:val="0"/>
      <w:divBdr>
        <w:top w:val="none" w:sz="0" w:space="0" w:color="auto"/>
        <w:left w:val="none" w:sz="0" w:space="0" w:color="auto"/>
        <w:bottom w:val="none" w:sz="0" w:space="0" w:color="auto"/>
        <w:right w:val="none" w:sz="0" w:space="0" w:color="auto"/>
      </w:divBdr>
    </w:div>
    <w:div w:id="383456603">
      <w:bodyDiv w:val="1"/>
      <w:marLeft w:val="0"/>
      <w:marRight w:val="0"/>
      <w:marTop w:val="0"/>
      <w:marBottom w:val="0"/>
      <w:divBdr>
        <w:top w:val="none" w:sz="0" w:space="0" w:color="auto"/>
        <w:left w:val="none" w:sz="0" w:space="0" w:color="auto"/>
        <w:bottom w:val="none" w:sz="0" w:space="0" w:color="auto"/>
        <w:right w:val="none" w:sz="0" w:space="0" w:color="auto"/>
      </w:divBdr>
    </w:div>
    <w:div w:id="383598310">
      <w:bodyDiv w:val="1"/>
      <w:marLeft w:val="0"/>
      <w:marRight w:val="0"/>
      <w:marTop w:val="0"/>
      <w:marBottom w:val="0"/>
      <w:divBdr>
        <w:top w:val="none" w:sz="0" w:space="0" w:color="auto"/>
        <w:left w:val="none" w:sz="0" w:space="0" w:color="auto"/>
        <w:bottom w:val="none" w:sz="0" w:space="0" w:color="auto"/>
        <w:right w:val="none" w:sz="0" w:space="0" w:color="auto"/>
      </w:divBdr>
    </w:div>
    <w:div w:id="383716216">
      <w:bodyDiv w:val="1"/>
      <w:marLeft w:val="0"/>
      <w:marRight w:val="0"/>
      <w:marTop w:val="0"/>
      <w:marBottom w:val="0"/>
      <w:divBdr>
        <w:top w:val="none" w:sz="0" w:space="0" w:color="auto"/>
        <w:left w:val="none" w:sz="0" w:space="0" w:color="auto"/>
        <w:bottom w:val="none" w:sz="0" w:space="0" w:color="auto"/>
        <w:right w:val="none" w:sz="0" w:space="0" w:color="auto"/>
      </w:divBdr>
    </w:div>
    <w:div w:id="383870240">
      <w:bodyDiv w:val="1"/>
      <w:marLeft w:val="0"/>
      <w:marRight w:val="0"/>
      <w:marTop w:val="0"/>
      <w:marBottom w:val="0"/>
      <w:divBdr>
        <w:top w:val="none" w:sz="0" w:space="0" w:color="auto"/>
        <w:left w:val="none" w:sz="0" w:space="0" w:color="auto"/>
        <w:bottom w:val="none" w:sz="0" w:space="0" w:color="auto"/>
        <w:right w:val="none" w:sz="0" w:space="0" w:color="auto"/>
      </w:divBdr>
    </w:div>
    <w:div w:id="383876286">
      <w:bodyDiv w:val="1"/>
      <w:marLeft w:val="0"/>
      <w:marRight w:val="0"/>
      <w:marTop w:val="0"/>
      <w:marBottom w:val="0"/>
      <w:divBdr>
        <w:top w:val="none" w:sz="0" w:space="0" w:color="auto"/>
        <w:left w:val="none" w:sz="0" w:space="0" w:color="auto"/>
        <w:bottom w:val="none" w:sz="0" w:space="0" w:color="auto"/>
        <w:right w:val="none" w:sz="0" w:space="0" w:color="auto"/>
      </w:divBdr>
    </w:div>
    <w:div w:id="384065416">
      <w:bodyDiv w:val="1"/>
      <w:marLeft w:val="0"/>
      <w:marRight w:val="0"/>
      <w:marTop w:val="0"/>
      <w:marBottom w:val="0"/>
      <w:divBdr>
        <w:top w:val="none" w:sz="0" w:space="0" w:color="auto"/>
        <w:left w:val="none" w:sz="0" w:space="0" w:color="auto"/>
        <w:bottom w:val="none" w:sz="0" w:space="0" w:color="auto"/>
        <w:right w:val="none" w:sz="0" w:space="0" w:color="auto"/>
      </w:divBdr>
    </w:div>
    <w:div w:id="384186808">
      <w:bodyDiv w:val="1"/>
      <w:marLeft w:val="0"/>
      <w:marRight w:val="0"/>
      <w:marTop w:val="0"/>
      <w:marBottom w:val="0"/>
      <w:divBdr>
        <w:top w:val="none" w:sz="0" w:space="0" w:color="auto"/>
        <w:left w:val="none" w:sz="0" w:space="0" w:color="auto"/>
        <w:bottom w:val="none" w:sz="0" w:space="0" w:color="auto"/>
        <w:right w:val="none" w:sz="0" w:space="0" w:color="auto"/>
      </w:divBdr>
    </w:div>
    <w:div w:id="384303701">
      <w:bodyDiv w:val="1"/>
      <w:marLeft w:val="0"/>
      <w:marRight w:val="0"/>
      <w:marTop w:val="0"/>
      <w:marBottom w:val="0"/>
      <w:divBdr>
        <w:top w:val="none" w:sz="0" w:space="0" w:color="auto"/>
        <w:left w:val="none" w:sz="0" w:space="0" w:color="auto"/>
        <w:bottom w:val="none" w:sz="0" w:space="0" w:color="auto"/>
        <w:right w:val="none" w:sz="0" w:space="0" w:color="auto"/>
      </w:divBdr>
    </w:div>
    <w:div w:id="384335559">
      <w:bodyDiv w:val="1"/>
      <w:marLeft w:val="0"/>
      <w:marRight w:val="0"/>
      <w:marTop w:val="0"/>
      <w:marBottom w:val="0"/>
      <w:divBdr>
        <w:top w:val="none" w:sz="0" w:space="0" w:color="auto"/>
        <w:left w:val="none" w:sz="0" w:space="0" w:color="auto"/>
        <w:bottom w:val="none" w:sz="0" w:space="0" w:color="auto"/>
        <w:right w:val="none" w:sz="0" w:space="0" w:color="auto"/>
      </w:divBdr>
    </w:div>
    <w:div w:id="384449093">
      <w:bodyDiv w:val="1"/>
      <w:marLeft w:val="0"/>
      <w:marRight w:val="0"/>
      <w:marTop w:val="0"/>
      <w:marBottom w:val="0"/>
      <w:divBdr>
        <w:top w:val="none" w:sz="0" w:space="0" w:color="auto"/>
        <w:left w:val="none" w:sz="0" w:space="0" w:color="auto"/>
        <w:bottom w:val="none" w:sz="0" w:space="0" w:color="auto"/>
        <w:right w:val="none" w:sz="0" w:space="0" w:color="auto"/>
      </w:divBdr>
    </w:div>
    <w:div w:id="384453098">
      <w:bodyDiv w:val="1"/>
      <w:marLeft w:val="0"/>
      <w:marRight w:val="0"/>
      <w:marTop w:val="0"/>
      <w:marBottom w:val="0"/>
      <w:divBdr>
        <w:top w:val="none" w:sz="0" w:space="0" w:color="auto"/>
        <w:left w:val="none" w:sz="0" w:space="0" w:color="auto"/>
        <w:bottom w:val="none" w:sz="0" w:space="0" w:color="auto"/>
        <w:right w:val="none" w:sz="0" w:space="0" w:color="auto"/>
      </w:divBdr>
    </w:div>
    <w:div w:id="384640763">
      <w:bodyDiv w:val="1"/>
      <w:marLeft w:val="0"/>
      <w:marRight w:val="0"/>
      <w:marTop w:val="0"/>
      <w:marBottom w:val="0"/>
      <w:divBdr>
        <w:top w:val="none" w:sz="0" w:space="0" w:color="auto"/>
        <w:left w:val="none" w:sz="0" w:space="0" w:color="auto"/>
        <w:bottom w:val="none" w:sz="0" w:space="0" w:color="auto"/>
        <w:right w:val="none" w:sz="0" w:space="0" w:color="auto"/>
      </w:divBdr>
    </w:div>
    <w:div w:id="384645948">
      <w:bodyDiv w:val="1"/>
      <w:marLeft w:val="0"/>
      <w:marRight w:val="0"/>
      <w:marTop w:val="0"/>
      <w:marBottom w:val="0"/>
      <w:divBdr>
        <w:top w:val="none" w:sz="0" w:space="0" w:color="auto"/>
        <w:left w:val="none" w:sz="0" w:space="0" w:color="auto"/>
        <w:bottom w:val="none" w:sz="0" w:space="0" w:color="auto"/>
        <w:right w:val="none" w:sz="0" w:space="0" w:color="auto"/>
      </w:divBdr>
    </w:div>
    <w:div w:id="384720468">
      <w:bodyDiv w:val="1"/>
      <w:marLeft w:val="0"/>
      <w:marRight w:val="0"/>
      <w:marTop w:val="0"/>
      <w:marBottom w:val="0"/>
      <w:divBdr>
        <w:top w:val="none" w:sz="0" w:space="0" w:color="auto"/>
        <w:left w:val="none" w:sz="0" w:space="0" w:color="auto"/>
        <w:bottom w:val="none" w:sz="0" w:space="0" w:color="auto"/>
        <w:right w:val="none" w:sz="0" w:space="0" w:color="auto"/>
      </w:divBdr>
    </w:div>
    <w:div w:id="384908739">
      <w:bodyDiv w:val="1"/>
      <w:marLeft w:val="0"/>
      <w:marRight w:val="0"/>
      <w:marTop w:val="0"/>
      <w:marBottom w:val="0"/>
      <w:divBdr>
        <w:top w:val="none" w:sz="0" w:space="0" w:color="auto"/>
        <w:left w:val="none" w:sz="0" w:space="0" w:color="auto"/>
        <w:bottom w:val="none" w:sz="0" w:space="0" w:color="auto"/>
        <w:right w:val="none" w:sz="0" w:space="0" w:color="auto"/>
      </w:divBdr>
    </w:div>
    <w:div w:id="384914795">
      <w:bodyDiv w:val="1"/>
      <w:marLeft w:val="0"/>
      <w:marRight w:val="0"/>
      <w:marTop w:val="0"/>
      <w:marBottom w:val="0"/>
      <w:divBdr>
        <w:top w:val="none" w:sz="0" w:space="0" w:color="auto"/>
        <w:left w:val="none" w:sz="0" w:space="0" w:color="auto"/>
        <w:bottom w:val="none" w:sz="0" w:space="0" w:color="auto"/>
        <w:right w:val="none" w:sz="0" w:space="0" w:color="auto"/>
      </w:divBdr>
    </w:div>
    <w:div w:id="384918129">
      <w:bodyDiv w:val="1"/>
      <w:marLeft w:val="0"/>
      <w:marRight w:val="0"/>
      <w:marTop w:val="0"/>
      <w:marBottom w:val="0"/>
      <w:divBdr>
        <w:top w:val="none" w:sz="0" w:space="0" w:color="auto"/>
        <w:left w:val="none" w:sz="0" w:space="0" w:color="auto"/>
        <w:bottom w:val="none" w:sz="0" w:space="0" w:color="auto"/>
        <w:right w:val="none" w:sz="0" w:space="0" w:color="auto"/>
      </w:divBdr>
    </w:div>
    <w:div w:id="384988564">
      <w:bodyDiv w:val="1"/>
      <w:marLeft w:val="0"/>
      <w:marRight w:val="0"/>
      <w:marTop w:val="0"/>
      <w:marBottom w:val="0"/>
      <w:divBdr>
        <w:top w:val="none" w:sz="0" w:space="0" w:color="auto"/>
        <w:left w:val="none" w:sz="0" w:space="0" w:color="auto"/>
        <w:bottom w:val="none" w:sz="0" w:space="0" w:color="auto"/>
        <w:right w:val="none" w:sz="0" w:space="0" w:color="auto"/>
      </w:divBdr>
    </w:div>
    <w:div w:id="385034061">
      <w:bodyDiv w:val="1"/>
      <w:marLeft w:val="0"/>
      <w:marRight w:val="0"/>
      <w:marTop w:val="0"/>
      <w:marBottom w:val="0"/>
      <w:divBdr>
        <w:top w:val="none" w:sz="0" w:space="0" w:color="auto"/>
        <w:left w:val="none" w:sz="0" w:space="0" w:color="auto"/>
        <w:bottom w:val="none" w:sz="0" w:space="0" w:color="auto"/>
        <w:right w:val="none" w:sz="0" w:space="0" w:color="auto"/>
      </w:divBdr>
    </w:div>
    <w:div w:id="385110290">
      <w:bodyDiv w:val="1"/>
      <w:marLeft w:val="0"/>
      <w:marRight w:val="0"/>
      <w:marTop w:val="0"/>
      <w:marBottom w:val="0"/>
      <w:divBdr>
        <w:top w:val="none" w:sz="0" w:space="0" w:color="auto"/>
        <w:left w:val="none" w:sz="0" w:space="0" w:color="auto"/>
        <w:bottom w:val="none" w:sz="0" w:space="0" w:color="auto"/>
        <w:right w:val="none" w:sz="0" w:space="0" w:color="auto"/>
      </w:divBdr>
    </w:div>
    <w:div w:id="385178519">
      <w:bodyDiv w:val="1"/>
      <w:marLeft w:val="0"/>
      <w:marRight w:val="0"/>
      <w:marTop w:val="0"/>
      <w:marBottom w:val="0"/>
      <w:divBdr>
        <w:top w:val="none" w:sz="0" w:space="0" w:color="auto"/>
        <w:left w:val="none" w:sz="0" w:space="0" w:color="auto"/>
        <w:bottom w:val="none" w:sz="0" w:space="0" w:color="auto"/>
        <w:right w:val="none" w:sz="0" w:space="0" w:color="auto"/>
      </w:divBdr>
    </w:div>
    <w:div w:id="385221770">
      <w:bodyDiv w:val="1"/>
      <w:marLeft w:val="0"/>
      <w:marRight w:val="0"/>
      <w:marTop w:val="0"/>
      <w:marBottom w:val="0"/>
      <w:divBdr>
        <w:top w:val="none" w:sz="0" w:space="0" w:color="auto"/>
        <w:left w:val="none" w:sz="0" w:space="0" w:color="auto"/>
        <w:bottom w:val="none" w:sz="0" w:space="0" w:color="auto"/>
        <w:right w:val="none" w:sz="0" w:space="0" w:color="auto"/>
      </w:divBdr>
    </w:div>
    <w:div w:id="385225299">
      <w:bodyDiv w:val="1"/>
      <w:marLeft w:val="0"/>
      <w:marRight w:val="0"/>
      <w:marTop w:val="0"/>
      <w:marBottom w:val="0"/>
      <w:divBdr>
        <w:top w:val="none" w:sz="0" w:space="0" w:color="auto"/>
        <w:left w:val="none" w:sz="0" w:space="0" w:color="auto"/>
        <w:bottom w:val="none" w:sz="0" w:space="0" w:color="auto"/>
        <w:right w:val="none" w:sz="0" w:space="0" w:color="auto"/>
      </w:divBdr>
    </w:div>
    <w:div w:id="385253349">
      <w:bodyDiv w:val="1"/>
      <w:marLeft w:val="0"/>
      <w:marRight w:val="0"/>
      <w:marTop w:val="0"/>
      <w:marBottom w:val="0"/>
      <w:divBdr>
        <w:top w:val="none" w:sz="0" w:space="0" w:color="auto"/>
        <w:left w:val="none" w:sz="0" w:space="0" w:color="auto"/>
        <w:bottom w:val="none" w:sz="0" w:space="0" w:color="auto"/>
        <w:right w:val="none" w:sz="0" w:space="0" w:color="auto"/>
      </w:divBdr>
    </w:div>
    <w:div w:id="385298588">
      <w:bodyDiv w:val="1"/>
      <w:marLeft w:val="0"/>
      <w:marRight w:val="0"/>
      <w:marTop w:val="0"/>
      <w:marBottom w:val="0"/>
      <w:divBdr>
        <w:top w:val="none" w:sz="0" w:space="0" w:color="auto"/>
        <w:left w:val="none" w:sz="0" w:space="0" w:color="auto"/>
        <w:bottom w:val="none" w:sz="0" w:space="0" w:color="auto"/>
        <w:right w:val="none" w:sz="0" w:space="0" w:color="auto"/>
      </w:divBdr>
    </w:div>
    <w:div w:id="385299399">
      <w:bodyDiv w:val="1"/>
      <w:marLeft w:val="0"/>
      <w:marRight w:val="0"/>
      <w:marTop w:val="0"/>
      <w:marBottom w:val="0"/>
      <w:divBdr>
        <w:top w:val="none" w:sz="0" w:space="0" w:color="auto"/>
        <w:left w:val="none" w:sz="0" w:space="0" w:color="auto"/>
        <w:bottom w:val="none" w:sz="0" w:space="0" w:color="auto"/>
        <w:right w:val="none" w:sz="0" w:space="0" w:color="auto"/>
      </w:divBdr>
    </w:div>
    <w:div w:id="385838594">
      <w:bodyDiv w:val="1"/>
      <w:marLeft w:val="0"/>
      <w:marRight w:val="0"/>
      <w:marTop w:val="0"/>
      <w:marBottom w:val="0"/>
      <w:divBdr>
        <w:top w:val="none" w:sz="0" w:space="0" w:color="auto"/>
        <w:left w:val="none" w:sz="0" w:space="0" w:color="auto"/>
        <w:bottom w:val="none" w:sz="0" w:space="0" w:color="auto"/>
        <w:right w:val="none" w:sz="0" w:space="0" w:color="auto"/>
      </w:divBdr>
    </w:div>
    <w:div w:id="385841030">
      <w:bodyDiv w:val="1"/>
      <w:marLeft w:val="0"/>
      <w:marRight w:val="0"/>
      <w:marTop w:val="0"/>
      <w:marBottom w:val="0"/>
      <w:divBdr>
        <w:top w:val="none" w:sz="0" w:space="0" w:color="auto"/>
        <w:left w:val="none" w:sz="0" w:space="0" w:color="auto"/>
        <w:bottom w:val="none" w:sz="0" w:space="0" w:color="auto"/>
        <w:right w:val="none" w:sz="0" w:space="0" w:color="auto"/>
      </w:divBdr>
    </w:div>
    <w:div w:id="385956779">
      <w:bodyDiv w:val="1"/>
      <w:marLeft w:val="0"/>
      <w:marRight w:val="0"/>
      <w:marTop w:val="0"/>
      <w:marBottom w:val="0"/>
      <w:divBdr>
        <w:top w:val="none" w:sz="0" w:space="0" w:color="auto"/>
        <w:left w:val="none" w:sz="0" w:space="0" w:color="auto"/>
        <w:bottom w:val="none" w:sz="0" w:space="0" w:color="auto"/>
        <w:right w:val="none" w:sz="0" w:space="0" w:color="auto"/>
      </w:divBdr>
    </w:div>
    <w:div w:id="386026337">
      <w:bodyDiv w:val="1"/>
      <w:marLeft w:val="0"/>
      <w:marRight w:val="0"/>
      <w:marTop w:val="0"/>
      <w:marBottom w:val="0"/>
      <w:divBdr>
        <w:top w:val="none" w:sz="0" w:space="0" w:color="auto"/>
        <w:left w:val="none" w:sz="0" w:space="0" w:color="auto"/>
        <w:bottom w:val="none" w:sz="0" w:space="0" w:color="auto"/>
        <w:right w:val="none" w:sz="0" w:space="0" w:color="auto"/>
      </w:divBdr>
    </w:div>
    <w:div w:id="386034085">
      <w:bodyDiv w:val="1"/>
      <w:marLeft w:val="0"/>
      <w:marRight w:val="0"/>
      <w:marTop w:val="0"/>
      <w:marBottom w:val="0"/>
      <w:divBdr>
        <w:top w:val="none" w:sz="0" w:space="0" w:color="auto"/>
        <w:left w:val="none" w:sz="0" w:space="0" w:color="auto"/>
        <w:bottom w:val="none" w:sz="0" w:space="0" w:color="auto"/>
        <w:right w:val="none" w:sz="0" w:space="0" w:color="auto"/>
      </w:divBdr>
    </w:div>
    <w:div w:id="386270425">
      <w:bodyDiv w:val="1"/>
      <w:marLeft w:val="0"/>
      <w:marRight w:val="0"/>
      <w:marTop w:val="0"/>
      <w:marBottom w:val="0"/>
      <w:divBdr>
        <w:top w:val="none" w:sz="0" w:space="0" w:color="auto"/>
        <w:left w:val="none" w:sz="0" w:space="0" w:color="auto"/>
        <w:bottom w:val="none" w:sz="0" w:space="0" w:color="auto"/>
        <w:right w:val="none" w:sz="0" w:space="0" w:color="auto"/>
      </w:divBdr>
    </w:div>
    <w:div w:id="386344858">
      <w:bodyDiv w:val="1"/>
      <w:marLeft w:val="0"/>
      <w:marRight w:val="0"/>
      <w:marTop w:val="0"/>
      <w:marBottom w:val="0"/>
      <w:divBdr>
        <w:top w:val="none" w:sz="0" w:space="0" w:color="auto"/>
        <w:left w:val="none" w:sz="0" w:space="0" w:color="auto"/>
        <w:bottom w:val="none" w:sz="0" w:space="0" w:color="auto"/>
        <w:right w:val="none" w:sz="0" w:space="0" w:color="auto"/>
      </w:divBdr>
    </w:div>
    <w:div w:id="386417179">
      <w:bodyDiv w:val="1"/>
      <w:marLeft w:val="0"/>
      <w:marRight w:val="0"/>
      <w:marTop w:val="0"/>
      <w:marBottom w:val="0"/>
      <w:divBdr>
        <w:top w:val="none" w:sz="0" w:space="0" w:color="auto"/>
        <w:left w:val="none" w:sz="0" w:space="0" w:color="auto"/>
        <w:bottom w:val="none" w:sz="0" w:space="0" w:color="auto"/>
        <w:right w:val="none" w:sz="0" w:space="0" w:color="auto"/>
      </w:divBdr>
    </w:div>
    <w:div w:id="386495290">
      <w:bodyDiv w:val="1"/>
      <w:marLeft w:val="0"/>
      <w:marRight w:val="0"/>
      <w:marTop w:val="0"/>
      <w:marBottom w:val="0"/>
      <w:divBdr>
        <w:top w:val="none" w:sz="0" w:space="0" w:color="auto"/>
        <w:left w:val="none" w:sz="0" w:space="0" w:color="auto"/>
        <w:bottom w:val="none" w:sz="0" w:space="0" w:color="auto"/>
        <w:right w:val="none" w:sz="0" w:space="0" w:color="auto"/>
      </w:divBdr>
    </w:div>
    <w:div w:id="386495881">
      <w:bodyDiv w:val="1"/>
      <w:marLeft w:val="0"/>
      <w:marRight w:val="0"/>
      <w:marTop w:val="0"/>
      <w:marBottom w:val="0"/>
      <w:divBdr>
        <w:top w:val="none" w:sz="0" w:space="0" w:color="auto"/>
        <w:left w:val="none" w:sz="0" w:space="0" w:color="auto"/>
        <w:bottom w:val="none" w:sz="0" w:space="0" w:color="auto"/>
        <w:right w:val="none" w:sz="0" w:space="0" w:color="auto"/>
      </w:divBdr>
    </w:div>
    <w:div w:id="386681662">
      <w:bodyDiv w:val="1"/>
      <w:marLeft w:val="0"/>
      <w:marRight w:val="0"/>
      <w:marTop w:val="0"/>
      <w:marBottom w:val="0"/>
      <w:divBdr>
        <w:top w:val="none" w:sz="0" w:space="0" w:color="auto"/>
        <w:left w:val="none" w:sz="0" w:space="0" w:color="auto"/>
        <w:bottom w:val="none" w:sz="0" w:space="0" w:color="auto"/>
        <w:right w:val="none" w:sz="0" w:space="0" w:color="auto"/>
      </w:divBdr>
    </w:div>
    <w:div w:id="386728945">
      <w:bodyDiv w:val="1"/>
      <w:marLeft w:val="0"/>
      <w:marRight w:val="0"/>
      <w:marTop w:val="0"/>
      <w:marBottom w:val="0"/>
      <w:divBdr>
        <w:top w:val="none" w:sz="0" w:space="0" w:color="auto"/>
        <w:left w:val="none" w:sz="0" w:space="0" w:color="auto"/>
        <w:bottom w:val="none" w:sz="0" w:space="0" w:color="auto"/>
        <w:right w:val="none" w:sz="0" w:space="0" w:color="auto"/>
      </w:divBdr>
    </w:div>
    <w:div w:id="386756582">
      <w:bodyDiv w:val="1"/>
      <w:marLeft w:val="0"/>
      <w:marRight w:val="0"/>
      <w:marTop w:val="0"/>
      <w:marBottom w:val="0"/>
      <w:divBdr>
        <w:top w:val="none" w:sz="0" w:space="0" w:color="auto"/>
        <w:left w:val="none" w:sz="0" w:space="0" w:color="auto"/>
        <w:bottom w:val="none" w:sz="0" w:space="0" w:color="auto"/>
        <w:right w:val="none" w:sz="0" w:space="0" w:color="auto"/>
      </w:divBdr>
    </w:div>
    <w:div w:id="386805349">
      <w:bodyDiv w:val="1"/>
      <w:marLeft w:val="0"/>
      <w:marRight w:val="0"/>
      <w:marTop w:val="0"/>
      <w:marBottom w:val="0"/>
      <w:divBdr>
        <w:top w:val="none" w:sz="0" w:space="0" w:color="auto"/>
        <w:left w:val="none" w:sz="0" w:space="0" w:color="auto"/>
        <w:bottom w:val="none" w:sz="0" w:space="0" w:color="auto"/>
        <w:right w:val="none" w:sz="0" w:space="0" w:color="auto"/>
      </w:divBdr>
    </w:div>
    <w:div w:id="386875695">
      <w:bodyDiv w:val="1"/>
      <w:marLeft w:val="0"/>
      <w:marRight w:val="0"/>
      <w:marTop w:val="0"/>
      <w:marBottom w:val="0"/>
      <w:divBdr>
        <w:top w:val="none" w:sz="0" w:space="0" w:color="auto"/>
        <w:left w:val="none" w:sz="0" w:space="0" w:color="auto"/>
        <w:bottom w:val="none" w:sz="0" w:space="0" w:color="auto"/>
        <w:right w:val="none" w:sz="0" w:space="0" w:color="auto"/>
      </w:divBdr>
    </w:div>
    <w:div w:id="386925512">
      <w:bodyDiv w:val="1"/>
      <w:marLeft w:val="0"/>
      <w:marRight w:val="0"/>
      <w:marTop w:val="0"/>
      <w:marBottom w:val="0"/>
      <w:divBdr>
        <w:top w:val="none" w:sz="0" w:space="0" w:color="auto"/>
        <w:left w:val="none" w:sz="0" w:space="0" w:color="auto"/>
        <w:bottom w:val="none" w:sz="0" w:space="0" w:color="auto"/>
        <w:right w:val="none" w:sz="0" w:space="0" w:color="auto"/>
      </w:divBdr>
    </w:div>
    <w:div w:id="387188881">
      <w:bodyDiv w:val="1"/>
      <w:marLeft w:val="0"/>
      <w:marRight w:val="0"/>
      <w:marTop w:val="0"/>
      <w:marBottom w:val="0"/>
      <w:divBdr>
        <w:top w:val="none" w:sz="0" w:space="0" w:color="auto"/>
        <w:left w:val="none" w:sz="0" w:space="0" w:color="auto"/>
        <w:bottom w:val="none" w:sz="0" w:space="0" w:color="auto"/>
        <w:right w:val="none" w:sz="0" w:space="0" w:color="auto"/>
      </w:divBdr>
    </w:div>
    <w:div w:id="387264030">
      <w:bodyDiv w:val="1"/>
      <w:marLeft w:val="0"/>
      <w:marRight w:val="0"/>
      <w:marTop w:val="0"/>
      <w:marBottom w:val="0"/>
      <w:divBdr>
        <w:top w:val="none" w:sz="0" w:space="0" w:color="auto"/>
        <w:left w:val="none" w:sz="0" w:space="0" w:color="auto"/>
        <w:bottom w:val="none" w:sz="0" w:space="0" w:color="auto"/>
        <w:right w:val="none" w:sz="0" w:space="0" w:color="auto"/>
      </w:divBdr>
    </w:div>
    <w:div w:id="387387700">
      <w:bodyDiv w:val="1"/>
      <w:marLeft w:val="0"/>
      <w:marRight w:val="0"/>
      <w:marTop w:val="0"/>
      <w:marBottom w:val="0"/>
      <w:divBdr>
        <w:top w:val="none" w:sz="0" w:space="0" w:color="auto"/>
        <w:left w:val="none" w:sz="0" w:space="0" w:color="auto"/>
        <w:bottom w:val="none" w:sz="0" w:space="0" w:color="auto"/>
        <w:right w:val="none" w:sz="0" w:space="0" w:color="auto"/>
      </w:divBdr>
    </w:div>
    <w:div w:id="387608013">
      <w:bodyDiv w:val="1"/>
      <w:marLeft w:val="0"/>
      <w:marRight w:val="0"/>
      <w:marTop w:val="0"/>
      <w:marBottom w:val="0"/>
      <w:divBdr>
        <w:top w:val="none" w:sz="0" w:space="0" w:color="auto"/>
        <w:left w:val="none" w:sz="0" w:space="0" w:color="auto"/>
        <w:bottom w:val="none" w:sz="0" w:space="0" w:color="auto"/>
        <w:right w:val="none" w:sz="0" w:space="0" w:color="auto"/>
      </w:divBdr>
    </w:div>
    <w:div w:id="387608269">
      <w:bodyDiv w:val="1"/>
      <w:marLeft w:val="0"/>
      <w:marRight w:val="0"/>
      <w:marTop w:val="0"/>
      <w:marBottom w:val="0"/>
      <w:divBdr>
        <w:top w:val="none" w:sz="0" w:space="0" w:color="auto"/>
        <w:left w:val="none" w:sz="0" w:space="0" w:color="auto"/>
        <w:bottom w:val="none" w:sz="0" w:space="0" w:color="auto"/>
        <w:right w:val="none" w:sz="0" w:space="0" w:color="auto"/>
      </w:divBdr>
    </w:div>
    <w:div w:id="387655244">
      <w:bodyDiv w:val="1"/>
      <w:marLeft w:val="0"/>
      <w:marRight w:val="0"/>
      <w:marTop w:val="0"/>
      <w:marBottom w:val="0"/>
      <w:divBdr>
        <w:top w:val="none" w:sz="0" w:space="0" w:color="auto"/>
        <w:left w:val="none" w:sz="0" w:space="0" w:color="auto"/>
        <w:bottom w:val="none" w:sz="0" w:space="0" w:color="auto"/>
        <w:right w:val="none" w:sz="0" w:space="0" w:color="auto"/>
      </w:divBdr>
    </w:div>
    <w:div w:id="387656767">
      <w:bodyDiv w:val="1"/>
      <w:marLeft w:val="0"/>
      <w:marRight w:val="0"/>
      <w:marTop w:val="0"/>
      <w:marBottom w:val="0"/>
      <w:divBdr>
        <w:top w:val="none" w:sz="0" w:space="0" w:color="auto"/>
        <w:left w:val="none" w:sz="0" w:space="0" w:color="auto"/>
        <w:bottom w:val="none" w:sz="0" w:space="0" w:color="auto"/>
        <w:right w:val="none" w:sz="0" w:space="0" w:color="auto"/>
      </w:divBdr>
    </w:div>
    <w:div w:id="387657286">
      <w:bodyDiv w:val="1"/>
      <w:marLeft w:val="0"/>
      <w:marRight w:val="0"/>
      <w:marTop w:val="0"/>
      <w:marBottom w:val="0"/>
      <w:divBdr>
        <w:top w:val="none" w:sz="0" w:space="0" w:color="auto"/>
        <w:left w:val="none" w:sz="0" w:space="0" w:color="auto"/>
        <w:bottom w:val="none" w:sz="0" w:space="0" w:color="auto"/>
        <w:right w:val="none" w:sz="0" w:space="0" w:color="auto"/>
      </w:divBdr>
    </w:div>
    <w:div w:id="387732148">
      <w:bodyDiv w:val="1"/>
      <w:marLeft w:val="0"/>
      <w:marRight w:val="0"/>
      <w:marTop w:val="0"/>
      <w:marBottom w:val="0"/>
      <w:divBdr>
        <w:top w:val="none" w:sz="0" w:space="0" w:color="auto"/>
        <w:left w:val="none" w:sz="0" w:space="0" w:color="auto"/>
        <w:bottom w:val="none" w:sz="0" w:space="0" w:color="auto"/>
        <w:right w:val="none" w:sz="0" w:space="0" w:color="auto"/>
      </w:divBdr>
    </w:div>
    <w:div w:id="387920166">
      <w:bodyDiv w:val="1"/>
      <w:marLeft w:val="0"/>
      <w:marRight w:val="0"/>
      <w:marTop w:val="0"/>
      <w:marBottom w:val="0"/>
      <w:divBdr>
        <w:top w:val="none" w:sz="0" w:space="0" w:color="auto"/>
        <w:left w:val="none" w:sz="0" w:space="0" w:color="auto"/>
        <w:bottom w:val="none" w:sz="0" w:space="0" w:color="auto"/>
        <w:right w:val="none" w:sz="0" w:space="0" w:color="auto"/>
      </w:divBdr>
    </w:div>
    <w:div w:id="388001027">
      <w:bodyDiv w:val="1"/>
      <w:marLeft w:val="0"/>
      <w:marRight w:val="0"/>
      <w:marTop w:val="0"/>
      <w:marBottom w:val="0"/>
      <w:divBdr>
        <w:top w:val="none" w:sz="0" w:space="0" w:color="auto"/>
        <w:left w:val="none" w:sz="0" w:space="0" w:color="auto"/>
        <w:bottom w:val="none" w:sz="0" w:space="0" w:color="auto"/>
        <w:right w:val="none" w:sz="0" w:space="0" w:color="auto"/>
      </w:divBdr>
    </w:div>
    <w:div w:id="388001103">
      <w:bodyDiv w:val="1"/>
      <w:marLeft w:val="0"/>
      <w:marRight w:val="0"/>
      <w:marTop w:val="0"/>
      <w:marBottom w:val="0"/>
      <w:divBdr>
        <w:top w:val="none" w:sz="0" w:space="0" w:color="auto"/>
        <w:left w:val="none" w:sz="0" w:space="0" w:color="auto"/>
        <w:bottom w:val="none" w:sz="0" w:space="0" w:color="auto"/>
        <w:right w:val="none" w:sz="0" w:space="0" w:color="auto"/>
      </w:divBdr>
    </w:div>
    <w:div w:id="388119438">
      <w:bodyDiv w:val="1"/>
      <w:marLeft w:val="0"/>
      <w:marRight w:val="0"/>
      <w:marTop w:val="0"/>
      <w:marBottom w:val="0"/>
      <w:divBdr>
        <w:top w:val="none" w:sz="0" w:space="0" w:color="auto"/>
        <w:left w:val="none" w:sz="0" w:space="0" w:color="auto"/>
        <w:bottom w:val="none" w:sz="0" w:space="0" w:color="auto"/>
        <w:right w:val="none" w:sz="0" w:space="0" w:color="auto"/>
      </w:divBdr>
    </w:div>
    <w:div w:id="388267648">
      <w:bodyDiv w:val="1"/>
      <w:marLeft w:val="0"/>
      <w:marRight w:val="0"/>
      <w:marTop w:val="0"/>
      <w:marBottom w:val="0"/>
      <w:divBdr>
        <w:top w:val="none" w:sz="0" w:space="0" w:color="auto"/>
        <w:left w:val="none" w:sz="0" w:space="0" w:color="auto"/>
        <w:bottom w:val="none" w:sz="0" w:space="0" w:color="auto"/>
        <w:right w:val="none" w:sz="0" w:space="0" w:color="auto"/>
      </w:divBdr>
    </w:div>
    <w:div w:id="388304220">
      <w:bodyDiv w:val="1"/>
      <w:marLeft w:val="0"/>
      <w:marRight w:val="0"/>
      <w:marTop w:val="0"/>
      <w:marBottom w:val="0"/>
      <w:divBdr>
        <w:top w:val="none" w:sz="0" w:space="0" w:color="auto"/>
        <w:left w:val="none" w:sz="0" w:space="0" w:color="auto"/>
        <w:bottom w:val="none" w:sz="0" w:space="0" w:color="auto"/>
        <w:right w:val="none" w:sz="0" w:space="0" w:color="auto"/>
      </w:divBdr>
    </w:div>
    <w:div w:id="388381277">
      <w:bodyDiv w:val="1"/>
      <w:marLeft w:val="0"/>
      <w:marRight w:val="0"/>
      <w:marTop w:val="0"/>
      <w:marBottom w:val="0"/>
      <w:divBdr>
        <w:top w:val="none" w:sz="0" w:space="0" w:color="auto"/>
        <w:left w:val="none" w:sz="0" w:space="0" w:color="auto"/>
        <w:bottom w:val="none" w:sz="0" w:space="0" w:color="auto"/>
        <w:right w:val="none" w:sz="0" w:space="0" w:color="auto"/>
      </w:divBdr>
    </w:div>
    <w:div w:id="388387592">
      <w:bodyDiv w:val="1"/>
      <w:marLeft w:val="0"/>
      <w:marRight w:val="0"/>
      <w:marTop w:val="0"/>
      <w:marBottom w:val="0"/>
      <w:divBdr>
        <w:top w:val="none" w:sz="0" w:space="0" w:color="auto"/>
        <w:left w:val="none" w:sz="0" w:space="0" w:color="auto"/>
        <w:bottom w:val="none" w:sz="0" w:space="0" w:color="auto"/>
        <w:right w:val="none" w:sz="0" w:space="0" w:color="auto"/>
      </w:divBdr>
    </w:div>
    <w:div w:id="388456704">
      <w:bodyDiv w:val="1"/>
      <w:marLeft w:val="0"/>
      <w:marRight w:val="0"/>
      <w:marTop w:val="0"/>
      <w:marBottom w:val="0"/>
      <w:divBdr>
        <w:top w:val="none" w:sz="0" w:space="0" w:color="auto"/>
        <w:left w:val="none" w:sz="0" w:space="0" w:color="auto"/>
        <w:bottom w:val="none" w:sz="0" w:space="0" w:color="auto"/>
        <w:right w:val="none" w:sz="0" w:space="0" w:color="auto"/>
      </w:divBdr>
    </w:div>
    <w:div w:id="388499231">
      <w:bodyDiv w:val="1"/>
      <w:marLeft w:val="0"/>
      <w:marRight w:val="0"/>
      <w:marTop w:val="0"/>
      <w:marBottom w:val="0"/>
      <w:divBdr>
        <w:top w:val="none" w:sz="0" w:space="0" w:color="auto"/>
        <w:left w:val="none" w:sz="0" w:space="0" w:color="auto"/>
        <w:bottom w:val="none" w:sz="0" w:space="0" w:color="auto"/>
        <w:right w:val="none" w:sz="0" w:space="0" w:color="auto"/>
      </w:divBdr>
    </w:div>
    <w:div w:id="388916787">
      <w:bodyDiv w:val="1"/>
      <w:marLeft w:val="0"/>
      <w:marRight w:val="0"/>
      <w:marTop w:val="0"/>
      <w:marBottom w:val="0"/>
      <w:divBdr>
        <w:top w:val="none" w:sz="0" w:space="0" w:color="auto"/>
        <w:left w:val="none" w:sz="0" w:space="0" w:color="auto"/>
        <w:bottom w:val="none" w:sz="0" w:space="0" w:color="auto"/>
        <w:right w:val="none" w:sz="0" w:space="0" w:color="auto"/>
      </w:divBdr>
    </w:div>
    <w:div w:id="389037567">
      <w:bodyDiv w:val="1"/>
      <w:marLeft w:val="0"/>
      <w:marRight w:val="0"/>
      <w:marTop w:val="0"/>
      <w:marBottom w:val="0"/>
      <w:divBdr>
        <w:top w:val="none" w:sz="0" w:space="0" w:color="auto"/>
        <w:left w:val="none" w:sz="0" w:space="0" w:color="auto"/>
        <w:bottom w:val="none" w:sz="0" w:space="0" w:color="auto"/>
        <w:right w:val="none" w:sz="0" w:space="0" w:color="auto"/>
      </w:divBdr>
    </w:div>
    <w:div w:id="389112109">
      <w:bodyDiv w:val="1"/>
      <w:marLeft w:val="0"/>
      <w:marRight w:val="0"/>
      <w:marTop w:val="0"/>
      <w:marBottom w:val="0"/>
      <w:divBdr>
        <w:top w:val="none" w:sz="0" w:space="0" w:color="auto"/>
        <w:left w:val="none" w:sz="0" w:space="0" w:color="auto"/>
        <w:bottom w:val="none" w:sz="0" w:space="0" w:color="auto"/>
        <w:right w:val="none" w:sz="0" w:space="0" w:color="auto"/>
      </w:divBdr>
    </w:div>
    <w:div w:id="389115740">
      <w:bodyDiv w:val="1"/>
      <w:marLeft w:val="0"/>
      <w:marRight w:val="0"/>
      <w:marTop w:val="0"/>
      <w:marBottom w:val="0"/>
      <w:divBdr>
        <w:top w:val="none" w:sz="0" w:space="0" w:color="auto"/>
        <w:left w:val="none" w:sz="0" w:space="0" w:color="auto"/>
        <w:bottom w:val="none" w:sz="0" w:space="0" w:color="auto"/>
        <w:right w:val="none" w:sz="0" w:space="0" w:color="auto"/>
      </w:divBdr>
    </w:div>
    <w:div w:id="389232763">
      <w:bodyDiv w:val="1"/>
      <w:marLeft w:val="0"/>
      <w:marRight w:val="0"/>
      <w:marTop w:val="0"/>
      <w:marBottom w:val="0"/>
      <w:divBdr>
        <w:top w:val="none" w:sz="0" w:space="0" w:color="auto"/>
        <w:left w:val="none" w:sz="0" w:space="0" w:color="auto"/>
        <w:bottom w:val="none" w:sz="0" w:space="0" w:color="auto"/>
        <w:right w:val="none" w:sz="0" w:space="0" w:color="auto"/>
      </w:divBdr>
    </w:div>
    <w:div w:id="389503345">
      <w:bodyDiv w:val="1"/>
      <w:marLeft w:val="0"/>
      <w:marRight w:val="0"/>
      <w:marTop w:val="0"/>
      <w:marBottom w:val="0"/>
      <w:divBdr>
        <w:top w:val="none" w:sz="0" w:space="0" w:color="auto"/>
        <w:left w:val="none" w:sz="0" w:space="0" w:color="auto"/>
        <w:bottom w:val="none" w:sz="0" w:space="0" w:color="auto"/>
        <w:right w:val="none" w:sz="0" w:space="0" w:color="auto"/>
      </w:divBdr>
    </w:div>
    <w:div w:id="389618597">
      <w:bodyDiv w:val="1"/>
      <w:marLeft w:val="0"/>
      <w:marRight w:val="0"/>
      <w:marTop w:val="0"/>
      <w:marBottom w:val="0"/>
      <w:divBdr>
        <w:top w:val="none" w:sz="0" w:space="0" w:color="auto"/>
        <w:left w:val="none" w:sz="0" w:space="0" w:color="auto"/>
        <w:bottom w:val="none" w:sz="0" w:space="0" w:color="auto"/>
        <w:right w:val="none" w:sz="0" w:space="0" w:color="auto"/>
      </w:divBdr>
    </w:div>
    <w:div w:id="389812952">
      <w:bodyDiv w:val="1"/>
      <w:marLeft w:val="0"/>
      <w:marRight w:val="0"/>
      <w:marTop w:val="0"/>
      <w:marBottom w:val="0"/>
      <w:divBdr>
        <w:top w:val="none" w:sz="0" w:space="0" w:color="auto"/>
        <w:left w:val="none" w:sz="0" w:space="0" w:color="auto"/>
        <w:bottom w:val="none" w:sz="0" w:space="0" w:color="auto"/>
        <w:right w:val="none" w:sz="0" w:space="0" w:color="auto"/>
      </w:divBdr>
    </w:div>
    <w:div w:id="389840634">
      <w:bodyDiv w:val="1"/>
      <w:marLeft w:val="0"/>
      <w:marRight w:val="0"/>
      <w:marTop w:val="0"/>
      <w:marBottom w:val="0"/>
      <w:divBdr>
        <w:top w:val="none" w:sz="0" w:space="0" w:color="auto"/>
        <w:left w:val="none" w:sz="0" w:space="0" w:color="auto"/>
        <w:bottom w:val="none" w:sz="0" w:space="0" w:color="auto"/>
        <w:right w:val="none" w:sz="0" w:space="0" w:color="auto"/>
      </w:divBdr>
    </w:div>
    <w:div w:id="390151986">
      <w:bodyDiv w:val="1"/>
      <w:marLeft w:val="0"/>
      <w:marRight w:val="0"/>
      <w:marTop w:val="0"/>
      <w:marBottom w:val="0"/>
      <w:divBdr>
        <w:top w:val="none" w:sz="0" w:space="0" w:color="auto"/>
        <w:left w:val="none" w:sz="0" w:space="0" w:color="auto"/>
        <w:bottom w:val="none" w:sz="0" w:space="0" w:color="auto"/>
        <w:right w:val="none" w:sz="0" w:space="0" w:color="auto"/>
      </w:divBdr>
    </w:div>
    <w:div w:id="390232298">
      <w:bodyDiv w:val="1"/>
      <w:marLeft w:val="0"/>
      <w:marRight w:val="0"/>
      <w:marTop w:val="0"/>
      <w:marBottom w:val="0"/>
      <w:divBdr>
        <w:top w:val="none" w:sz="0" w:space="0" w:color="auto"/>
        <w:left w:val="none" w:sz="0" w:space="0" w:color="auto"/>
        <w:bottom w:val="none" w:sz="0" w:space="0" w:color="auto"/>
        <w:right w:val="none" w:sz="0" w:space="0" w:color="auto"/>
      </w:divBdr>
    </w:div>
    <w:div w:id="390345534">
      <w:bodyDiv w:val="1"/>
      <w:marLeft w:val="0"/>
      <w:marRight w:val="0"/>
      <w:marTop w:val="0"/>
      <w:marBottom w:val="0"/>
      <w:divBdr>
        <w:top w:val="none" w:sz="0" w:space="0" w:color="auto"/>
        <w:left w:val="none" w:sz="0" w:space="0" w:color="auto"/>
        <w:bottom w:val="none" w:sz="0" w:space="0" w:color="auto"/>
        <w:right w:val="none" w:sz="0" w:space="0" w:color="auto"/>
      </w:divBdr>
    </w:div>
    <w:div w:id="390349862">
      <w:bodyDiv w:val="1"/>
      <w:marLeft w:val="0"/>
      <w:marRight w:val="0"/>
      <w:marTop w:val="0"/>
      <w:marBottom w:val="0"/>
      <w:divBdr>
        <w:top w:val="none" w:sz="0" w:space="0" w:color="auto"/>
        <w:left w:val="none" w:sz="0" w:space="0" w:color="auto"/>
        <w:bottom w:val="none" w:sz="0" w:space="0" w:color="auto"/>
        <w:right w:val="none" w:sz="0" w:space="0" w:color="auto"/>
      </w:divBdr>
    </w:div>
    <w:div w:id="390427457">
      <w:bodyDiv w:val="1"/>
      <w:marLeft w:val="0"/>
      <w:marRight w:val="0"/>
      <w:marTop w:val="0"/>
      <w:marBottom w:val="0"/>
      <w:divBdr>
        <w:top w:val="none" w:sz="0" w:space="0" w:color="auto"/>
        <w:left w:val="none" w:sz="0" w:space="0" w:color="auto"/>
        <w:bottom w:val="none" w:sz="0" w:space="0" w:color="auto"/>
        <w:right w:val="none" w:sz="0" w:space="0" w:color="auto"/>
      </w:divBdr>
    </w:div>
    <w:div w:id="390542253">
      <w:bodyDiv w:val="1"/>
      <w:marLeft w:val="0"/>
      <w:marRight w:val="0"/>
      <w:marTop w:val="0"/>
      <w:marBottom w:val="0"/>
      <w:divBdr>
        <w:top w:val="none" w:sz="0" w:space="0" w:color="auto"/>
        <w:left w:val="none" w:sz="0" w:space="0" w:color="auto"/>
        <w:bottom w:val="none" w:sz="0" w:space="0" w:color="auto"/>
        <w:right w:val="none" w:sz="0" w:space="0" w:color="auto"/>
      </w:divBdr>
    </w:div>
    <w:div w:id="390665050">
      <w:bodyDiv w:val="1"/>
      <w:marLeft w:val="0"/>
      <w:marRight w:val="0"/>
      <w:marTop w:val="0"/>
      <w:marBottom w:val="0"/>
      <w:divBdr>
        <w:top w:val="none" w:sz="0" w:space="0" w:color="auto"/>
        <w:left w:val="none" w:sz="0" w:space="0" w:color="auto"/>
        <w:bottom w:val="none" w:sz="0" w:space="0" w:color="auto"/>
        <w:right w:val="none" w:sz="0" w:space="0" w:color="auto"/>
      </w:divBdr>
    </w:div>
    <w:div w:id="390688831">
      <w:bodyDiv w:val="1"/>
      <w:marLeft w:val="0"/>
      <w:marRight w:val="0"/>
      <w:marTop w:val="0"/>
      <w:marBottom w:val="0"/>
      <w:divBdr>
        <w:top w:val="none" w:sz="0" w:space="0" w:color="auto"/>
        <w:left w:val="none" w:sz="0" w:space="0" w:color="auto"/>
        <w:bottom w:val="none" w:sz="0" w:space="0" w:color="auto"/>
        <w:right w:val="none" w:sz="0" w:space="0" w:color="auto"/>
      </w:divBdr>
    </w:div>
    <w:div w:id="390689954">
      <w:bodyDiv w:val="1"/>
      <w:marLeft w:val="0"/>
      <w:marRight w:val="0"/>
      <w:marTop w:val="0"/>
      <w:marBottom w:val="0"/>
      <w:divBdr>
        <w:top w:val="none" w:sz="0" w:space="0" w:color="auto"/>
        <w:left w:val="none" w:sz="0" w:space="0" w:color="auto"/>
        <w:bottom w:val="none" w:sz="0" w:space="0" w:color="auto"/>
        <w:right w:val="none" w:sz="0" w:space="0" w:color="auto"/>
      </w:divBdr>
    </w:div>
    <w:div w:id="390739523">
      <w:bodyDiv w:val="1"/>
      <w:marLeft w:val="0"/>
      <w:marRight w:val="0"/>
      <w:marTop w:val="0"/>
      <w:marBottom w:val="0"/>
      <w:divBdr>
        <w:top w:val="none" w:sz="0" w:space="0" w:color="auto"/>
        <w:left w:val="none" w:sz="0" w:space="0" w:color="auto"/>
        <w:bottom w:val="none" w:sz="0" w:space="0" w:color="auto"/>
        <w:right w:val="none" w:sz="0" w:space="0" w:color="auto"/>
      </w:divBdr>
    </w:div>
    <w:div w:id="390740300">
      <w:bodyDiv w:val="1"/>
      <w:marLeft w:val="0"/>
      <w:marRight w:val="0"/>
      <w:marTop w:val="0"/>
      <w:marBottom w:val="0"/>
      <w:divBdr>
        <w:top w:val="none" w:sz="0" w:space="0" w:color="auto"/>
        <w:left w:val="none" w:sz="0" w:space="0" w:color="auto"/>
        <w:bottom w:val="none" w:sz="0" w:space="0" w:color="auto"/>
        <w:right w:val="none" w:sz="0" w:space="0" w:color="auto"/>
      </w:divBdr>
    </w:div>
    <w:div w:id="390810450">
      <w:bodyDiv w:val="1"/>
      <w:marLeft w:val="0"/>
      <w:marRight w:val="0"/>
      <w:marTop w:val="0"/>
      <w:marBottom w:val="0"/>
      <w:divBdr>
        <w:top w:val="none" w:sz="0" w:space="0" w:color="auto"/>
        <w:left w:val="none" w:sz="0" w:space="0" w:color="auto"/>
        <w:bottom w:val="none" w:sz="0" w:space="0" w:color="auto"/>
        <w:right w:val="none" w:sz="0" w:space="0" w:color="auto"/>
      </w:divBdr>
    </w:div>
    <w:div w:id="390813789">
      <w:bodyDiv w:val="1"/>
      <w:marLeft w:val="0"/>
      <w:marRight w:val="0"/>
      <w:marTop w:val="0"/>
      <w:marBottom w:val="0"/>
      <w:divBdr>
        <w:top w:val="none" w:sz="0" w:space="0" w:color="auto"/>
        <w:left w:val="none" w:sz="0" w:space="0" w:color="auto"/>
        <w:bottom w:val="none" w:sz="0" w:space="0" w:color="auto"/>
        <w:right w:val="none" w:sz="0" w:space="0" w:color="auto"/>
      </w:divBdr>
    </w:div>
    <w:div w:id="390927213">
      <w:bodyDiv w:val="1"/>
      <w:marLeft w:val="0"/>
      <w:marRight w:val="0"/>
      <w:marTop w:val="0"/>
      <w:marBottom w:val="0"/>
      <w:divBdr>
        <w:top w:val="none" w:sz="0" w:space="0" w:color="auto"/>
        <w:left w:val="none" w:sz="0" w:space="0" w:color="auto"/>
        <w:bottom w:val="none" w:sz="0" w:space="0" w:color="auto"/>
        <w:right w:val="none" w:sz="0" w:space="0" w:color="auto"/>
      </w:divBdr>
    </w:div>
    <w:div w:id="390927596">
      <w:bodyDiv w:val="1"/>
      <w:marLeft w:val="0"/>
      <w:marRight w:val="0"/>
      <w:marTop w:val="0"/>
      <w:marBottom w:val="0"/>
      <w:divBdr>
        <w:top w:val="none" w:sz="0" w:space="0" w:color="auto"/>
        <w:left w:val="none" w:sz="0" w:space="0" w:color="auto"/>
        <w:bottom w:val="none" w:sz="0" w:space="0" w:color="auto"/>
        <w:right w:val="none" w:sz="0" w:space="0" w:color="auto"/>
      </w:divBdr>
    </w:div>
    <w:div w:id="390999612">
      <w:bodyDiv w:val="1"/>
      <w:marLeft w:val="0"/>
      <w:marRight w:val="0"/>
      <w:marTop w:val="0"/>
      <w:marBottom w:val="0"/>
      <w:divBdr>
        <w:top w:val="none" w:sz="0" w:space="0" w:color="auto"/>
        <w:left w:val="none" w:sz="0" w:space="0" w:color="auto"/>
        <w:bottom w:val="none" w:sz="0" w:space="0" w:color="auto"/>
        <w:right w:val="none" w:sz="0" w:space="0" w:color="auto"/>
      </w:divBdr>
    </w:div>
    <w:div w:id="391002737">
      <w:bodyDiv w:val="1"/>
      <w:marLeft w:val="0"/>
      <w:marRight w:val="0"/>
      <w:marTop w:val="0"/>
      <w:marBottom w:val="0"/>
      <w:divBdr>
        <w:top w:val="none" w:sz="0" w:space="0" w:color="auto"/>
        <w:left w:val="none" w:sz="0" w:space="0" w:color="auto"/>
        <w:bottom w:val="none" w:sz="0" w:space="0" w:color="auto"/>
        <w:right w:val="none" w:sz="0" w:space="0" w:color="auto"/>
      </w:divBdr>
    </w:div>
    <w:div w:id="391003268">
      <w:bodyDiv w:val="1"/>
      <w:marLeft w:val="0"/>
      <w:marRight w:val="0"/>
      <w:marTop w:val="0"/>
      <w:marBottom w:val="0"/>
      <w:divBdr>
        <w:top w:val="none" w:sz="0" w:space="0" w:color="auto"/>
        <w:left w:val="none" w:sz="0" w:space="0" w:color="auto"/>
        <w:bottom w:val="none" w:sz="0" w:space="0" w:color="auto"/>
        <w:right w:val="none" w:sz="0" w:space="0" w:color="auto"/>
      </w:divBdr>
    </w:div>
    <w:div w:id="391276337">
      <w:bodyDiv w:val="1"/>
      <w:marLeft w:val="0"/>
      <w:marRight w:val="0"/>
      <w:marTop w:val="0"/>
      <w:marBottom w:val="0"/>
      <w:divBdr>
        <w:top w:val="none" w:sz="0" w:space="0" w:color="auto"/>
        <w:left w:val="none" w:sz="0" w:space="0" w:color="auto"/>
        <w:bottom w:val="none" w:sz="0" w:space="0" w:color="auto"/>
        <w:right w:val="none" w:sz="0" w:space="0" w:color="auto"/>
      </w:divBdr>
    </w:div>
    <w:div w:id="391276630">
      <w:bodyDiv w:val="1"/>
      <w:marLeft w:val="0"/>
      <w:marRight w:val="0"/>
      <w:marTop w:val="0"/>
      <w:marBottom w:val="0"/>
      <w:divBdr>
        <w:top w:val="none" w:sz="0" w:space="0" w:color="auto"/>
        <w:left w:val="none" w:sz="0" w:space="0" w:color="auto"/>
        <w:bottom w:val="none" w:sz="0" w:space="0" w:color="auto"/>
        <w:right w:val="none" w:sz="0" w:space="0" w:color="auto"/>
      </w:divBdr>
    </w:div>
    <w:div w:id="391319108">
      <w:bodyDiv w:val="1"/>
      <w:marLeft w:val="0"/>
      <w:marRight w:val="0"/>
      <w:marTop w:val="0"/>
      <w:marBottom w:val="0"/>
      <w:divBdr>
        <w:top w:val="none" w:sz="0" w:space="0" w:color="auto"/>
        <w:left w:val="none" w:sz="0" w:space="0" w:color="auto"/>
        <w:bottom w:val="none" w:sz="0" w:space="0" w:color="auto"/>
        <w:right w:val="none" w:sz="0" w:space="0" w:color="auto"/>
      </w:divBdr>
    </w:div>
    <w:div w:id="391319412">
      <w:bodyDiv w:val="1"/>
      <w:marLeft w:val="0"/>
      <w:marRight w:val="0"/>
      <w:marTop w:val="0"/>
      <w:marBottom w:val="0"/>
      <w:divBdr>
        <w:top w:val="none" w:sz="0" w:space="0" w:color="auto"/>
        <w:left w:val="none" w:sz="0" w:space="0" w:color="auto"/>
        <w:bottom w:val="none" w:sz="0" w:space="0" w:color="auto"/>
        <w:right w:val="none" w:sz="0" w:space="0" w:color="auto"/>
      </w:divBdr>
    </w:div>
    <w:div w:id="391345570">
      <w:bodyDiv w:val="1"/>
      <w:marLeft w:val="0"/>
      <w:marRight w:val="0"/>
      <w:marTop w:val="0"/>
      <w:marBottom w:val="0"/>
      <w:divBdr>
        <w:top w:val="none" w:sz="0" w:space="0" w:color="auto"/>
        <w:left w:val="none" w:sz="0" w:space="0" w:color="auto"/>
        <w:bottom w:val="none" w:sz="0" w:space="0" w:color="auto"/>
        <w:right w:val="none" w:sz="0" w:space="0" w:color="auto"/>
      </w:divBdr>
    </w:div>
    <w:div w:id="391389074">
      <w:bodyDiv w:val="1"/>
      <w:marLeft w:val="0"/>
      <w:marRight w:val="0"/>
      <w:marTop w:val="0"/>
      <w:marBottom w:val="0"/>
      <w:divBdr>
        <w:top w:val="none" w:sz="0" w:space="0" w:color="auto"/>
        <w:left w:val="none" w:sz="0" w:space="0" w:color="auto"/>
        <w:bottom w:val="none" w:sz="0" w:space="0" w:color="auto"/>
        <w:right w:val="none" w:sz="0" w:space="0" w:color="auto"/>
      </w:divBdr>
    </w:div>
    <w:div w:id="391586344">
      <w:bodyDiv w:val="1"/>
      <w:marLeft w:val="0"/>
      <w:marRight w:val="0"/>
      <w:marTop w:val="0"/>
      <w:marBottom w:val="0"/>
      <w:divBdr>
        <w:top w:val="none" w:sz="0" w:space="0" w:color="auto"/>
        <w:left w:val="none" w:sz="0" w:space="0" w:color="auto"/>
        <w:bottom w:val="none" w:sz="0" w:space="0" w:color="auto"/>
        <w:right w:val="none" w:sz="0" w:space="0" w:color="auto"/>
      </w:divBdr>
    </w:div>
    <w:div w:id="391662084">
      <w:bodyDiv w:val="1"/>
      <w:marLeft w:val="0"/>
      <w:marRight w:val="0"/>
      <w:marTop w:val="0"/>
      <w:marBottom w:val="0"/>
      <w:divBdr>
        <w:top w:val="none" w:sz="0" w:space="0" w:color="auto"/>
        <w:left w:val="none" w:sz="0" w:space="0" w:color="auto"/>
        <w:bottom w:val="none" w:sz="0" w:space="0" w:color="auto"/>
        <w:right w:val="none" w:sz="0" w:space="0" w:color="auto"/>
      </w:divBdr>
    </w:div>
    <w:div w:id="391734474">
      <w:bodyDiv w:val="1"/>
      <w:marLeft w:val="0"/>
      <w:marRight w:val="0"/>
      <w:marTop w:val="0"/>
      <w:marBottom w:val="0"/>
      <w:divBdr>
        <w:top w:val="none" w:sz="0" w:space="0" w:color="auto"/>
        <w:left w:val="none" w:sz="0" w:space="0" w:color="auto"/>
        <w:bottom w:val="none" w:sz="0" w:space="0" w:color="auto"/>
        <w:right w:val="none" w:sz="0" w:space="0" w:color="auto"/>
      </w:divBdr>
    </w:div>
    <w:div w:id="391738811">
      <w:bodyDiv w:val="1"/>
      <w:marLeft w:val="0"/>
      <w:marRight w:val="0"/>
      <w:marTop w:val="0"/>
      <w:marBottom w:val="0"/>
      <w:divBdr>
        <w:top w:val="none" w:sz="0" w:space="0" w:color="auto"/>
        <w:left w:val="none" w:sz="0" w:space="0" w:color="auto"/>
        <w:bottom w:val="none" w:sz="0" w:space="0" w:color="auto"/>
        <w:right w:val="none" w:sz="0" w:space="0" w:color="auto"/>
      </w:divBdr>
    </w:div>
    <w:div w:id="391806499">
      <w:bodyDiv w:val="1"/>
      <w:marLeft w:val="0"/>
      <w:marRight w:val="0"/>
      <w:marTop w:val="0"/>
      <w:marBottom w:val="0"/>
      <w:divBdr>
        <w:top w:val="none" w:sz="0" w:space="0" w:color="auto"/>
        <w:left w:val="none" w:sz="0" w:space="0" w:color="auto"/>
        <w:bottom w:val="none" w:sz="0" w:space="0" w:color="auto"/>
        <w:right w:val="none" w:sz="0" w:space="0" w:color="auto"/>
      </w:divBdr>
    </w:div>
    <w:div w:id="391856804">
      <w:bodyDiv w:val="1"/>
      <w:marLeft w:val="0"/>
      <w:marRight w:val="0"/>
      <w:marTop w:val="0"/>
      <w:marBottom w:val="0"/>
      <w:divBdr>
        <w:top w:val="none" w:sz="0" w:space="0" w:color="auto"/>
        <w:left w:val="none" w:sz="0" w:space="0" w:color="auto"/>
        <w:bottom w:val="none" w:sz="0" w:space="0" w:color="auto"/>
        <w:right w:val="none" w:sz="0" w:space="0" w:color="auto"/>
      </w:divBdr>
    </w:div>
    <w:div w:id="392050833">
      <w:bodyDiv w:val="1"/>
      <w:marLeft w:val="0"/>
      <w:marRight w:val="0"/>
      <w:marTop w:val="0"/>
      <w:marBottom w:val="0"/>
      <w:divBdr>
        <w:top w:val="none" w:sz="0" w:space="0" w:color="auto"/>
        <w:left w:val="none" w:sz="0" w:space="0" w:color="auto"/>
        <w:bottom w:val="none" w:sz="0" w:space="0" w:color="auto"/>
        <w:right w:val="none" w:sz="0" w:space="0" w:color="auto"/>
      </w:divBdr>
    </w:div>
    <w:div w:id="392194871">
      <w:bodyDiv w:val="1"/>
      <w:marLeft w:val="0"/>
      <w:marRight w:val="0"/>
      <w:marTop w:val="0"/>
      <w:marBottom w:val="0"/>
      <w:divBdr>
        <w:top w:val="none" w:sz="0" w:space="0" w:color="auto"/>
        <w:left w:val="none" w:sz="0" w:space="0" w:color="auto"/>
        <w:bottom w:val="none" w:sz="0" w:space="0" w:color="auto"/>
        <w:right w:val="none" w:sz="0" w:space="0" w:color="auto"/>
      </w:divBdr>
    </w:div>
    <w:div w:id="392312329">
      <w:bodyDiv w:val="1"/>
      <w:marLeft w:val="0"/>
      <w:marRight w:val="0"/>
      <w:marTop w:val="0"/>
      <w:marBottom w:val="0"/>
      <w:divBdr>
        <w:top w:val="none" w:sz="0" w:space="0" w:color="auto"/>
        <w:left w:val="none" w:sz="0" w:space="0" w:color="auto"/>
        <w:bottom w:val="none" w:sz="0" w:space="0" w:color="auto"/>
        <w:right w:val="none" w:sz="0" w:space="0" w:color="auto"/>
      </w:divBdr>
    </w:div>
    <w:div w:id="392385421">
      <w:bodyDiv w:val="1"/>
      <w:marLeft w:val="0"/>
      <w:marRight w:val="0"/>
      <w:marTop w:val="0"/>
      <w:marBottom w:val="0"/>
      <w:divBdr>
        <w:top w:val="none" w:sz="0" w:space="0" w:color="auto"/>
        <w:left w:val="none" w:sz="0" w:space="0" w:color="auto"/>
        <w:bottom w:val="none" w:sz="0" w:space="0" w:color="auto"/>
        <w:right w:val="none" w:sz="0" w:space="0" w:color="auto"/>
      </w:divBdr>
    </w:div>
    <w:div w:id="392389969">
      <w:bodyDiv w:val="1"/>
      <w:marLeft w:val="0"/>
      <w:marRight w:val="0"/>
      <w:marTop w:val="0"/>
      <w:marBottom w:val="0"/>
      <w:divBdr>
        <w:top w:val="none" w:sz="0" w:space="0" w:color="auto"/>
        <w:left w:val="none" w:sz="0" w:space="0" w:color="auto"/>
        <w:bottom w:val="none" w:sz="0" w:space="0" w:color="auto"/>
        <w:right w:val="none" w:sz="0" w:space="0" w:color="auto"/>
      </w:divBdr>
    </w:div>
    <w:div w:id="392462198">
      <w:bodyDiv w:val="1"/>
      <w:marLeft w:val="0"/>
      <w:marRight w:val="0"/>
      <w:marTop w:val="0"/>
      <w:marBottom w:val="0"/>
      <w:divBdr>
        <w:top w:val="none" w:sz="0" w:space="0" w:color="auto"/>
        <w:left w:val="none" w:sz="0" w:space="0" w:color="auto"/>
        <w:bottom w:val="none" w:sz="0" w:space="0" w:color="auto"/>
        <w:right w:val="none" w:sz="0" w:space="0" w:color="auto"/>
      </w:divBdr>
    </w:div>
    <w:div w:id="392585756">
      <w:bodyDiv w:val="1"/>
      <w:marLeft w:val="0"/>
      <w:marRight w:val="0"/>
      <w:marTop w:val="0"/>
      <w:marBottom w:val="0"/>
      <w:divBdr>
        <w:top w:val="none" w:sz="0" w:space="0" w:color="auto"/>
        <w:left w:val="none" w:sz="0" w:space="0" w:color="auto"/>
        <w:bottom w:val="none" w:sz="0" w:space="0" w:color="auto"/>
        <w:right w:val="none" w:sz="0" w:space="0" w:color="auto"/>
      </w:divBdr>
    </w:div>
    <w:div w:id="392658628">
      <w:bodyDiv w:val="1"/>
      <w:marLeft w:val="0"/>
      <w:marRight w:val="0"/>
      <w:marTop w:val="0"/>
      <w:marBottom w:val="0"/>
      <w:divBdr>
        <w:top w:val="none" w:sz="0" w:space="0" w:color="auto"/>
        <w:left w:val="none" w:sz="0" w:space="0" w:color="auto"/>
        <w:bottom w:val="none" w:sz="0" w:space="0" w:color="auto"/>
        <w:right w:val="none" w:sz="0" w:space="0" w:color="auto"/>
      </w:divBdr>
    </w:div>
    <w:div w:id="392704362">
      <w:bodyDiv w:val="1"/>
      <w:marLeft w:val="0"/>
      <w:marRight w:val="0"/>
      <w:marTop w:val="0"/>
      <w:marBottom w:val="0"/>
      <w:divBdr>
        <w:top w:val="none" w:sz="0" w:space="0" w:color="auto"/>
        <w:left w:val="none" w:sz="0" w:space="0" w:color="auto"/>
        <w:bottom w:val="none" w:sz="0" w:space="0" w:color="auto"/>
        <w:right w:val="none" w:sz="0" w:space="0" w:color="auto"/>
      </w:divBdr>
    </w:div>
    <w:div w:id="392778147">
      <w:bodyDiv w:val="1"/>
      <w:marLeft w:val="0"/>
      <w:marRight w:val="0"/>
      <w:marTop w:val="0"/>
      <w:marBottom w:val="0"/>
      <w:divBdr>
        <w:top w:val="none" w:sz="0" w:space="0" w:color="auto"/>
        <w:left w:val="none" w:sz="0" w:space="0" w:color="auto"/>
        <w:bottom w:val="none" w:sz="0" w:space="0" w:color="auto"/>
        <w:right w:val="none" w:sz="0" w:space="0" w:color="auto"/>
      </w:divBdr>
    </w:div>
    <w:div w:id="392893683">
      <w:bodyDiv w:val="1"/>
      <w:marLeft w:val="0"/>
      <w:marRight w:val="0"/>
      <w:marTop w:val="0"/>
      <w:marBottom w:val="0"/>
      <w:divBdr>
        <w:top w:val="none" w:sz="0" w:space="0" w:color="auto"/>
        <w:left w:val="none" w:sz="0" w:space="0" w:color="auto"/>
        <w:bottom w:val="none" w:sz="0" w:space="0" w:color="auto"/>
        <w:right w:val="none" w:sz="0" w:space="0" w:color="auto"/>
      </w:divBdr>
    </w:div>
    <w:div w:id="392971895">
      <w:bodyDiv w:val="1"/>
      <w:marLeft w:val="0"/>
      <w:marRight w:val="0"/>
      <w:marTop w:val="0"/>
      <w:marBottom w:val="0"/>
      <w:divBdr>
        <w:top w:val="none" w:sz="0" w:space="0" w:color="auto"/>
        <w:left w:val="none" w:sz="0" w:space="0" w:color="auto"/>
        <w:bottom w:val="none" w:sz="0" w:space="0" w:color="auto"/>
        <w:right w:val="none" w:sz="0" w:space="0" w:color="auto"/>
      </w:divBdr>
    </w:div>
    <w:div w:id="393087999">
      <w:bodyDiv w:val="1"/>
      <w:marLeft w:val="0"/>
      <w:marRight w:val="0"/>
      <w:marTop w:val="0"/>
      <w:marBottom w:val="0"/>
      <w:divBdr>
        <w:top w:val="none" w:sz="0" w:space="0" w:color="auto"/>
        <w:left w:val="none" w:sz="0" w:space="0" w:color="auto"/>
        <w:bottom w:val="none" w:sz="0" w:space="0" w:color="auto"/>
        <w:right w:val="none" w:sz="0" w:space="0" w:color="auto"/>
      </w:divBdr>
    </w:div>
    <w:div w:id="393241565">
      <w:bodyDiv w:val="1"/>
      <w:marLeft w:val="0"/>
      <w:marRight w:val="0"/>
      <w:marTop w:val="0"/>
      <w:marBottom w:val="0"/>
      <w:divBdr>
        <w:top w:val="none" w:sz="0" w:space="0" w:color="auto"/>
        <w:left w:val="none" w:sz="0" w:space="0" w:color="auto"/>
        <w:bottom w:val="none" w:sz="0" w:space="0" w:color="auto"/>
        <w:right w:val="none" w:sz="0" w:space="0" w:color="auto"/>
      </w:divBdr>
    </w:div>
    <w:div w:id="393352825">
      <w:bodyDiv w:val="1"/>
      <w:marLeft w:val="0"/>
      <w:marRight w:val="0"/>
      <w:marTop w:val="0"/>
      <w:marBottom w:val="0"/>
      <w:divBdr>
        <w:top w:val="none" w:sz="0" w:space="0" w:color="auto"/>
        <w:left w:val="none" w:sz="0" w:space="0" w:color="auto"/>
        <w:bottom w:val="none" w:sz="0" w:space="0" w:color="auto"/>
        <w:right w:val="none" w:sz="0" w:space="0" w:color="auto"/>
      </w:divBdr>
    </w:div>
    <w:div w:id="393427995">
      <w:bodyDiv w:val="1"/>
      <w:marLeft w:val="0"/>
      <w:marRight w:val="0"/>
      <w:marTop w:val="0"/>
      <w:marBottom w:val="0"/>
      <w:divBdr>
        <w:top w:val="none" w:sz="0" w:space="0" w:color="auto"/>
        <w:left w:val="none" w:sz="0" w:space="0" w:color="auto"/>
        <w:bottom w:val="none" w:sz="0" w:space="0" w:color="auto"/>
        <w:right w:val="none" w:sz="0" w:space="0" w:color="auto"/>
      </w:divBdr>
    </w:div>
    <w:div w:id="393435555">
      <w:bodyDiv w:val="1"/>
      <w:marLeft w:val="0"/>
      <w:marRight w:val="0"/>
      <w:marTop w:val="0"/>
      <w:marBottom w:val="0"/>
      <w:divBdr>
        <w:top w:val="none" w:sz="0" w:space="0" w:color="auto"/>
        <w:left w:val="none" w:sz="0" w:space="0" w:color="auto"/>
        <w:bottom w:val="none" w:sz="0" w:space="0" w:color="auto"/>
        <w:right w:val="none" w:sz="0" w:space="0" w:color="auto"/>
      </w:divBdr>
    </w:div>
    <w:div w:id="393553881">
      <w:bodyDiv w:val="1"/>
      <w:marLeft w:val="0"/>
      <w:marRight w:val="0"/>
      <w:marTop w:val="0"/>
      <w:marBottom w:val="0"/>
      <w:divBdr>
        <w:top w:val="none" w:sz="0" w:space="0" w:color="auto"/>
        <w:left w:val="none" w:sz="0" w:space="0" w:color="auto"/>
        <w:bottom w:val="none" w:sz="0" w:space="0" w:color="auto"/>
        <w:right w:val="none" w:sz="0" w:space="0" w:color="auto"/>
      </w:divBdr>
    </w:div>
    <w:div w:id="393622589">
      <w:bodyDiv w:val="1"/>
      <w:marLeft w:val="0"/>
      <w:marRight w:val="0"/>
      <w:marTop w:val="0"/>
      <w:marBottom w:val="0"/>
      <w:divBdr>
        <w:top w:val="none" w:sz="0" w:space="0" w:color="auto"/>
        <w:left w:val="none" w:sz="0" w:space="0" w:color="auto"/>
        <w:bottom w:val="none" w:sz="0" w:space="0" w:color="auto"/>
        <w:right w:val="none" w:sz="0" w:space="0" w:color="auto"/>
      </w:divBdr>
    </w:div>
    <w:div w:id="393625251">
      <w:bodyDiv w:val="1"/>
      <w:marLeft w:val="0"/>
      <w:marRight w:val="0"/>
      <w:marTop w:val="0"/>
      <w:marBottom w:val="0"/>
      <w:divBdr>
        <w:top w:val="none" w:sz="0" w:space="0" w:color="auto"/>
        <w:left w:val="none" w:sz="0" w:space="0" w:color="auto"/>
        <w:bottom w:val="none" w:sz="0" w:space="0" w:color="auto"/>
        <w:right w:val="none" w:sz="0" w:space="0" w:color="auto"/>
      </w:divBdr>
    </w:div>
    <w:div w:id="393699941">
      <w:bodyDiv w:val="1"/>
      <w:marLeft w:val="0"/>
      <w:marRight w:val="0"/>
      <w:marTop w:val="0"/>
      <w:marBottom w:val="0"/>
      <w:divBdr>
        <w:top w:val="none" w:sz="0" w:space="0" w:color="auto"/>
        <w:left w:val="none" w:sz="0" w:space="0" w:color="auto"/>
        <w:bottom w:val="none" w:sz="0" w:space="0" w:color="auto"/>
        <w:right w:val="none" w:sz="0" w:space="0" w:color="auto"/>
      </w:divBdr>
    </w:div>
    <w:div w:id="393702125">
      <w:bodyDiv w:val="1"/>
      <w:marLeft w:val="0"/>
      <w:marRight w:val="0"/>
      <w:marTop w:val="0"/>
      <w:marBottom w:val="0"/>
      <w:divBdr>
        <w:top w:val="none" w:sz="0" w:space="0" w:color="auto"/>
        <w:left w:val="none" w:sz="0" w:space="0" w:color="auto"/>
        <w:bottom w:val="none" w:sz="0" w:space="0" w:color="auto"/>
        <w:right w:val="none" w:sz="0" w:space="0" w:color="auto"/>
      </w:divBdr>
    </w:div>
    <w:div w:id="393893323">
      <w:bodyDiv w:val="1"/>
      <w:marLeft w:val="0"/>
      <w:marRight w:val="0"/>
      <w:marTop w:val="0"/>
      <w:marBottom w:val="0"/>
      <w:divBdr>
        <w:top w:val="none" w:sz="0" w:space="0" w:color="auto"/>
        <w:left w:val="none" w:sz="0" w:space="0" w:color="auto"/>
        <w:bottom w:val="none" w:sz="0" w:space="0" w:color="auto"/>
        <w:right w:val="none" w:sz="0" w:space="0" w:color="auto"/>
      </w:divBdr>
    </w:div>
    <w:div w:id="393937092">
      <w:bodyDiv w:val="1"/>
      <w:marLeft w:val="0"/>
      <w:marRight w:val="0"/>
      <w:marTop w:val="0"/>
      <w:marBottom w:val="0"/>
      <w:divBdr>
        <w:top w:val="none" w:sz="0" w:space="0" w:color="auto"/>
        <w:left w:val="none" w:sz="0" w:space="0" w:color="auto"/>
        <w:bottom w:val="none" w:sz="0" w:space="0" w:color="auto"/>
        <w:right w:val="none" w:sz="0" w:space="0" w:color="auto"/>
      </w:divBdr>
    </w:div>
    <w:div w:id="394277260">
      <w:bodyDiv w:val="1"/>
      <w:marLeft w:val="0"/>
      <w:marRight w:val="0"/>
      <w:marTop w:val="0"/>
      <w:marBottom w:val="0"/>
      <w:divBdr>
        <w:top w:val="none" w:sz="0" w:space="0" w:color="auto"/>
        <w:left w:val="none" w:sz="0" w:space="0" w:color="auto"/>
        <w:bottom w:val="none" w:sz="0" w:space="0" w:color="auto"/>
        <w:right w:val="none" w:sz="0" w:space="0" w:color="auto"/>
      </w:divBdr>
    </w:div>
    <w:div w:id="394281399">
      <w:bodyDiv w:val="1"/>
      <w:marLeft w:val="0"/>
      <w:marRight w:val="0"/>
      <w:marTop w:val="0"/>
      <w:marBottom w:val="0"/>
      <w:divBdr>
        <w:top w:val="none" w:sz="0" w:space="0" w:color="auto"/>
        <w:left w:val="none" w:sz="0" w:space="0" w:color="auto"/>
        <w:bottom w:val="none" w:sz="0" w:space="0" w:color="auto"/>
        <w:right w:val="none" w:sz="0" w:space="0" w:color="auto"/>
      </w:divBdr>
    </w:div>
    <w:div w:id="394357017">
      <w:bodyDiv w:val="1"/>
      <w:marLeft w:val="0"/>
      <w:marRight w:val="0"/>
      <w:marTop w:val="0"/>
      <w:marBottom w:val="0"/>
      <w:divBdr>
        <w:top w:val="none" w:sz="0" w:space="0" w:color="auto"/>
        <w:left w:val="none" w:sz="0" w:space="0" w:color="auto"/>
        <w:bottom w:val="none" w:sz="0" w:space="0" w:color="auto"/>
        <w:right w:val="none" w:sz="0" w:space="0" w:color="auto"/>
      </w:divBdr>
    </w:div>
    <w:div w:id="394476156">
      <w:bodyDiv w:val="1"/>
      <w:marLeft w:val="0"/>
      <w:marRight w:val="0"/>
      <w:marTop w:val="0"/>
      <w:marBottom w:val="0"/>
      <w:divBdr>
        <w:top w:val="none" w:sz="0" w:space="0" w:color="auto"/>
        <w:left w:val="none" w:sz="0" w:space="0" w:color="auto"/>
        <w:bottom w:val="none" w:sz="0" w:space="0" w:color="auto"/>
        <w:right w:val="none" w:sz="0" w:space="0" w:color="auto"/>
      </w:divBdr>
    </w:div>
    <w:div w:id="394476932">
      <w:bodyDiv w:val="1"/>
      <w:marLeft w:val="0"/>
      <w:marRight w:val="0"/>
      <w:marTop w:val="0"/>
      <w:marBottom w:val="0"/>
      <w:divBdr>
        <w:top w:val="none" w:sz="0" w:space="0" w:color="auto"/>
        <w:left w:val="none" w:sz="0" w:space="0" w:color="auto"/>
        <w:bottom w:val="none" w:sz="0" w:space="0" w:color="auto"/>
        <w:right w:val="none" w:sz="0" w:space="0" w:color="auto"/>
      </w:divBdr>
    </w:div>
    <w:div w:id="394621997">
      <w:bodyDiv w:val="1"/>
      <w:marLeft w:val="0"/>
      <w:marRight w:val="0"/>
      <w:marTop w:val="0"/>
      <w:marBottom w:val="0"/>
      <w:divBdr>
        <w:top w:val="none" w:sz="0" w:space="0" w:color="auto"/>
        <w:left w:val="none" w:sz="0" w:space="0" w:color="auto"/>
        <w:bottom w:val="none" w:sz="0" w:space="0" w:color="auto"/>
        <w:right w:val="none" w:sz="0" w:space="0" w:color="auto"/>
      </w:divBdr>
    </w:div>
    <w:div w:id="394662696">
      <w:bodyDiv w:val="1"/>
      <w:marLeft w:val="0"/>
      <w:marRight w:val="0"/>
      <w:marTop w:val="0"/>
      <w:marBottom w:val="0"/>
      <w:divBdr>
        <w:top w:val="none" w:sz="0" w:space="0" w:color="auto"/>
        <w:left w:val="none" w:sz="0" w:space="0" w:color="auto"/>
        <w:bottom w:val="none" w:sz="0" w:space="0" w:color="auto"/>
        <w:right w:val="none" w:sz="0" w:space="0" w:color="auto"/>
      </w:divBdr>
    </w:div>
    <w:div w:id="394663473">
      <w:bodyDiv w:val="1"/>
      <w:marLeft w:val="0"/>
      <w:marRight w:val="0"/>
      <w:marTop w:val="0"/>
      <w:marBottom w:val="0"/>
      <w:divBdr>
        <w:top w:val="none" w:sz="0" w:space="0" w:color="auto"/>
        <w:left w:val="none" w:sz="0" w:space="0" w:color="auto"/>
        <w:bottom w:val="none" w:sz="0" w:space="0" w:color="auto"/>
        <w:right w:val="none" w:sz="0" w:space="0" w:color="auto"/>
      </w:divBdr>
    </w:div>
    <w:div w:id="394664087">
      <w:bodyDiv w:val="1"/>
      <w:marLeft w:val="0"/>
      <w:marRight w:val="0"/>
      <w:marTop w:val="0"/>
      <w:marBottom w:val="0"/>
      <w:divBdr>
        <w:top w:val="none" w:sz="0" w:space="0" w:color="auto"/>
        <w:left w:val="none" w:sz="0" w:space="0" w:color="auto"/>
        <w:bottom w:val="none" w:sz="0" w:space="0" w:color="auto"/>
        <w:right w:val="none" w:sz="0" w:space="0" w:color="auto"/>
      </w:divBdr>
    </w:div>
    <w:div w:id="394740549">
      <w:bodyDiv w:val="1"/>
      <w:marLeft w:val="0"/>
      <w:marRight w:val="0"/>
      <w:marTop w:val="0"/>
      <w:marBottom w:val="0"/>
      <w:divBdr>
        <w:top w:val="none" w:sz="0" w:space="0" w:color="auto"/>
        <w:left w:val="none" w:sz="0" w:space="0" w:color="auto"/>
        <w:bottom w:val="none" w:sz="0" w:space="0" w:color="auto"/>
        <w:right w:val="none" w:sz="0" w:space="0" w:color="auto"/>
      </w:divBdr>
    </w:div>
    <w:div w:id="394742358">
      <w:bodyDiv w:val="1"/>
      <w:marLeft w:val="0"/>
      <w:marRight w:val="0"/>
      <w:marTop w:val="0"/>
      <w:marBottom w:val="0"/>
      <w:divBdr>
        <w:top w:val="none" w:sz="0" w:space="0" w:color="auto"/>
        <w:left w:val="none" w:sz="0" w:space="0" w:color="auto"/>
        <w:bottom w:val="none" w:sz="0" w:space="0" w:color="auto"/>
        <w:right w:val="none" w:sz="0" w:space="0" w:color="auto"/>
      </w:divBdr>
    </w:div>
    <w:div w:id="394814433">
      <w:bodyDiv w:val="1"/>
      <w:marLeft w:val="0"/>
      <w:marRight w:val="0"/>
      <w:marTop w:val="0"/>
      <w:marBottom w:val="0"/>
      <w:divBdr>
        <w:top w:val="none" w:sz="0" w:space="0" w:color="auto"/>
        <w:left w:val="none" w:sz="0" w:space="0" w:color="auto"/>
        <w:bottom w:val="none" w:sz="0" w:space="0" w:color="auto"/>
        <w:right w:val="none" w:sz="0" w:space="0" w:color="auto"/>
      </w:divBdr>
    </w:div>
    <w:div w:id="394860218">
      <w:bodyDiv w:val="1"/>
      <w:marLeft w:val="0"/>
      <w:marRight w:val="0"/>
      <w:marTop w:val="0"/>
      <w:marBottom w:val="0"/>
      <w:divBdr>
        <w:top w:val="none" w:sz="0" w:space="0" w:color="auto"/>
        <w:left w:val="none" w:sz="0" w:space="0" w:color="auto"/>
        <w:bottom w:val="none" w:sz="0" w:space="0" w:color="auto"/>
        <w:right w:val="none" w:sz="0" w:space="0" w:color="auto"/>
      </w:divBdr>
    </w:div>
    <w:div w:id="394938834">
      <w:bodyDiv w:val="1"/>
      <w:marLeft w:val="0"/>
      <w:marRight w:val="0"/>
      <w:marTop w:val="0"/>
      <w:marBottom w:val="0"/>
      <w:divBdr>
        <w:top w:val="none" w:sz="0" w:space="0" w:color="auto"/>
        <w:left w:val="none" w:sz="0" w:space="0" w:color="auto"/>
        <w:bottom w:val="none" w:sz="0" w:space="0" w:color="auto"/>
        <w:right w:val="none" w:sz="0" w:space="0" w:color="auto"/>
      </w:divBdr>
    </w:div>
    <w:div w:id="395013471">
      <w:bodyDiv w:val="1"/>
      <w:marLeft w:val="0"/>
      <w:marRight w:val="0"/>
      <w:marTop w:val="0"/>
      <w:marBottom w:val="0"/>
      <w:divBdr>
        <w:top w:val="none" w:sz="0" w:space="0" w:color="auto"/>
        <w:left w:val="none" w:sz="0" w:space="0" w:color="auto"/>
        <w:bottom w:val="none" w:sz="0" w:space="0" w:color="auto"/>
        <w:right w:val="none" w:sz="0" w:space="0" w:color="auto"/>
      </w:divBdr>
    </w:div>
    <w:div w:id="395082458">
      <w:bodyDiv w:val="1"/>
      <w:marLeft w:val="0"/>
      <w:marRight w:val="0"/>
      <w:marTop w:val="0"/>
      <w:marBottom w:val="0"/>
      <w:divBdr>
        <w:top w:val="none" w:sz="0" w:space="0" w:color="auto"/>
        <w:left w:val="none" w:sz="0" w:space="0" w:color="auto"/>
        <w:bottom w:val="none" w:sz="0" w:space="0" w:color="auto"/>
        <w:right w:val="none" w:sz="0" w:space="0" w:color="auto"/>
      </w:divBdr>
    </w:div>
    <w:div w:id="395125532">
      <w:bodyDiv w:val="1"/>
      <w:marLeft w:val="0"/>
      <w:marRight w:val="0"/>
      <w:marTop w:val="0"/>
      <w:marBottom w:val="0"/>
      <w:divBdr>
        <w:top w:val="none" w:sz="0" w:space="0" w:color="auto"/>
        <w:left w:val="none" w:sz="0" w:space="0" w:color="auto"/>
        <w:bottom w:val="none" w:sz="0" w:space="0" w:color="auto"/>
        <w:right w:val="none" w:sz="0" w:space="0" w:color="auto"/>
      </w:divBdr>
    </w:div>
    <w:div w:id="395126201">
      <w:bodyDiv w:val="1"/>
      <w:marLeft w:val="0"/>
      <w:marRight w:val="0"/>
      <w:marTop w:val="0"/>
      <w:marBottom w:val="0"/>
      <w:divBdr>
        <w:top w:val="none" w:sz="0" w:space="0" w:color="auto"/>
        <w:left w:val="none" w:sz="0" w:space="0" w:color="auto"/>
        <w:bottom w:val="none" w:sz="0" w:space="0" w:color="auto"/>
        <w:right w:val="none" w:sz="0" w:space="0" w:color="auto"/>
      </w:divBdr>
    </w:div>
    <w:div w:id="395209091">
      <w:bodyDiv w:val="1"/>
      <w:marLeft w:val="0"/>
      <w:marRight w:val="0"/>
      <w:marTop w:val="0"/>
      <w:marBottom w:val="0"/>
      <w:divBdr>
        <w:top w:val="none" w:sz="0" w:space="0" w:color="auto"/>
        <w:left w:val="none" w:sz="0" w:space="0" w:color="auto"/>
        <w:bottom w:val="none" w:sz="0" w:space="0" w:color="auto"/>
        <w:right w:val="none" w:sz="0" w:space="0" w:color="auto"/>
      </w:divBdr>
    </w:div>
    <w:div w:id="395320064">
      <w:bodyDiv w:val="1"/>
      <w:marLeft w:val="0"/>
      <w:marRight w:val="0"/>
      <w:marTop w:val="0"/>
      <w:marBottom w:val="0"/>
      <w:divBdr>
        <w:top w:val="none" w:sz="0" w:space="0" w:color="auto"/>
        <w:left w:val="none" w:sz="0" w:space="0" w:color="auto"/>
        <w:bottom w:val="none" w:sz="0" w:space="0" w:color="auto"/>
        <w:right w:val="none" w:sz="0" w:space="0" w:color="auto"/>
      </w:divBdr>
    </w:div>
    <w:div w:id="395323798">
      <w:bodyDiv w:val="1"/>
      <w:marLeft w:val="0"/>
      <w:marRight w:val="0"/>
      <w:marTop w:val="0"/>
      <w:marBottom w:val="0"/>
      <w:divBdr>
        <w:top w:val="none" w:sz="0" w:space="0" w:color="auto"/>
        <w:left w:val="none" w:sz="0" w:space="0" w:color="auto"/>
        <w:bottom w:val="none" w:sz="0" w:space="0" w:color="auto"/>
        <w:right w:val="none" w:sz="0" w:space="0" w:color="auto"/>
      </w:divBdr>
    </w:div>
    <w:div w:id="395471933">
      <w:bodyDiv w:val="1"/>
      <w:marLeft w:val="0"/>
      <w:marRight w:val="0"/>
      <w:marTop w:val="0"/>
      <w:marBottom w:val="0"/>
      <w:divBdr>
        <w:top w:val="none" w:sz="0" w:space="0" w:color="auto"/>
        <w:left w:val="none" w:sz="0" w:space="0" w:color="auto"/>
        <w:bottom w:val="none" w:sz="0" w:space="0" w:color="auto"/>
        <w:right w:val="none" w:sz="0" w:space="0" w:color="auto"/>
      </w:divBdr>
    </w:div>
    <w:div w:id="395473548">
      <w:bodyDiv w:val="1"/>
      <w:marLeft w:val="0"/>
      <w:marRight w:val="0"/>
      <w:marTop w:val="0"/>
      <w:marBottom w:val="0"/>
      <w:divBdr>
        <w:top w:val="none" w:sz="0" w:space="0" w:color="auto"/>
        <w:left w:val="none" w:sz="0" w:space="0" w:color="auto"/>
        <w:bottom w:val="none" w:sz="0" w:space="0" w:color="auto"/>
        <w:right w:val="none" w:sz="0" w:space="0" w:color="auto"/>
      </w:divBdr>
    </w:div>
    <w:div w:id="395476966">
      <w:bodyDiv w:val="1"/>
      <w:marLeft w:val="0"/>
      <w:marRight w:val="0"/>
      <w:marTop w:val="0"/>
      <w:marBottom w:val="0"/>
      <w:divBdr>
        <w:top w:val="none" w:sz="0" w:space="0" w:color="auto"/>
        <w:left w:val="none" w:sz="0" w:space="0" w:color="auto"/>
        <w:bottom w:val="none" w:sz="0" w:space="0" w:color="auto"/>
        <w:right w:val="none" w:sz="0" w:space="0" w:color="auto"/>
      </w:divBdr>
    </w:div>
    <w:div w:id="395517924">
      <w:bodyDiv w:val="1"/>
      <w:marLeft w:val="0"/>
      <w:marRight w:val="0"/>
      <w:marTop w:val="0"/>
      <w:marBottom w:val="0"/>
      <w:divBdr>
        <w:top w:val="none" w:sz="0" w:space="0" w:color="auto"/>
        <w:left w:val="none" w:sz="0" w:space="0" w:color="auto"/>
        <w:bottom w:val="none" w:sz="0" w:space="0" w:color="auto"/>
        <w:right w:val="none" w:sz="0" w:space="0" w:color="auto"/>
      </w:divBdr>
    </w:div>
    <w:div w:id="395662419">
      <w:bodyDiv w:val="1"/>
      <w:marLeft w:val="0"/>
      <w:marRight w:val="0"/>
      <w:marTop w:val="0"/>
      <w:marBottom w:val="0"/>
      <w:divBdr>
        <w:top w:val="none" w:sz="0" w:space="0" w:color="auto"/>
        <w:left w:val="none" w:sz="0" w:space="0" w:color="auto"/>
        <w:bottom w:val="none" w:sz="0" w:space="0" w:color="auto"/>
        <w:right w:val="none" w:sz="0" w:space="0" w:color="auto"/>
      </w:divBdr>
    </w:div>
    <w:div w:id="395669773">
      <w:bodyDiv w:val="1"/>
      <w:marLeft w:val="0"/>
      <w:marRight w:val="0"/>
      <w:marTop w:val="0"/>
      <w:marBottom w:val="0"/>
      <w:divBdr>
        <w:top w:val="none" w:sz="0" w:space="0" w:color="auto"/>
        <w:left w:val="none" w:sz="0" w:space="0" w:color="auto"/>
        <w:bottom w:val="none" w:sz="0" w:space="0" w:color="auto"/>
        <w:right w:val="none" w:sz="0" w:space="0" w:color="auto"/>
      </w:divBdr>
    </w:div>
    <w:div w:id="395709134">
      <w:bodyDiv w:val="1"/>
      <w:marLeft w:val="0"/>
      <w:marRight w:val="0"/>
      <w:marTop w:val="0"/>
      <w:marBottom w:val="0"/>
      <w:divBdr>
        <w:top w:val="none" w:sz="0" w:space="0" w:color="auto"/>
        <w:left w:val="none" w:sz="0" w:space="0" w:color="auto"/>
        <w:bottom w:val="none" w:sz="0" w:space="0" w:color="auto"/>
        <w:right w:val="none" w:sz="0" w:space="0" w:color="auto"/>
      </w:divBdr>
    </w:div>
    <w:div w:id="395709299">
      <w:bodyDiv w:val="1"/>
      <w:marLeft w:val="0"/>
      <w:marRight w:val="0"/>
      <w:marTop w:val="0"/>
      <w:marBottom w:val="0"/>
      <w:divBdr>
        <w:top w:val="none" w:sz="0" w:space="0" w:color="auto"/>
        <w:left w:val="none" w:sz="0" w:space="0" w:color="auto"/>
        <w:bottom w:val="none" w:sz="0" w:space="0" w:color="auto"/>
        <w:right w:val="none" w:sz="0" w:space="0" w:color="auto"/>
      </w:divBdr>
    </w:div>
    <w:div w:id="395781221">
      <w:bodyDiv w:val="1"/>
      <w:marLeft w:val="0"/>
      <w:marRight w:val="0"/>
      <w:marTop w:val="0"/>
      <w:marBottom w:val="0"/>
      <w:divBdr>
        <w:top w:val="none" w:sz="0" w:space="0" w:color="auto"/>
        <w:left w:val="none" w:sz="0" w:space="0" w:color="auto"/>
        <w:bottom w:val="none" w:sz="0" w:space="0" w:color="auto"/>
        <w:right w:val="none" w:sz="0" w:space="0" w:color="auto"/>
      </w:divBdr>
    </w:div>
    <w:div w:id="395855066">
      <w:bodyDiv w:val="1"/>
      <w:marLeft w:val="0"/>
      <w:marRight w:val="0"/>
      <w:marTop w:val="0"/>
      <w:marBottom w:val="0"/>
      <w:divBdr>
        <w:top w:val="none" w:sz="0" w:space="0" w:color="auto"/>
        <w:left w:val="none" w:sz="0" w:space="0" w:color="auto"/>
        <w:bottom w:val="none" w:sz="0" w:space="0" w:color="auto"/>
        <w:right w:val="none" w:sz="0" w:space="0" w:color="auto"/>
      </w:divBdr>
    </w:div>
    <w:div w:id="395856891">
      <w:bodyDiv w:val="1"/>
      <w:marLeft w:val="0"/>
      <w:marRight w:val="0"/>
      <w:marTop w:val="0"/>
      <w:marBottom w:val="0"/>
      <w:divBdr>
        <w:top w:val="none" w:sz="0" w:space="0" w:color="auto"/>
        <w:left w:val="none" w:sz="0" w:space="0" w:color="auto"/>
        <w:bottom w:val="none" w:sz="0" w:space="0" w:color="auto"/>
        <w:right w:val="none" w:sz="0" w:space="0" w:color="auto"/>
      </w:divBdr>
    </w:div>
    <w:div w:id="395860928">
      <w:bodyDiv w:val="1"/>
      <w:marLeft w:val="0"/>
      <w:marRight w:val="0"/>
      <w:marTop w:val="0"/>
      <w:marBottom w:val="0"/>
      <w:divBdr>
        <w:top w:val="none" w:sz="0" w:space="0" w:color="auto"/>
        <w:left w:val="none" w:sz="0" w:space="0" w:color="auto"/>
        <w:bottom w:val="none" w:sz="0" w:space="0" w:color="auto"/>
        <w:right w:val="none" w:sz="0" w:space="0" w:color="auto"/>
      </w:divBdr>
    </w:div>
    <w:div w:id="395906852">
      <w:bodyDiv w:val="1"/>
      <w:marLeft w:val="0"/>
      <w:marRight w:val="0"/>
      <w:marTop w:val="0"/>
      <w:marBottom w:val="0"/>
      <w:divBdr>
        <w:top w:val="none" w:sz="0" w:space="0" w:color="auto"/>
        <w:left w:val="none" w:sz="0" w:space="0" w:color="auto"/>
        <w:bottom w:val="none" w:sz="0" w:space="0" w:color="auto"/>
        <w:right w:val="none" w:sz="0" w:space="0" w:color="auto"/>
      </w:divBdr>
    </w:div>
    <w:div w:id="395934421">
      <w:bodyDiv w:val="1"/>
      <w:marLeft w:val="0"/>
      <w:marRight w:val="0"/>
      <w:marTop w:val="0"/>
      <w:marBottom w:val="0"/>
      <w:divBdr>
        <w:top w:val="none" w:sz="0" w:space="0" w:color="auto"/>
        <w:left w:val="none" w:sz="0" w:space="0" w:color="auto"/>
        <w:bottom w:val="none" w:sz="0" w:space="0" w:color="auto"/>
        <w:right w:val="none" w:sz="0" w:space="0" w:color="auto"/>
      </w:divBdr>
    </w:div>
    <w:div w:id="396052490">
      <w:bodyDiv w:val="1"/>
      <w:marLeft w:val="0"/>
      <w:marRight w:val="0"/>
      <w:marTop w:val="0"/>
      <w:marBottom w:val="0"/>
      <w:divBdr>
        <w:top w:val="none" w:sz="0" w:space="0" w:color="auto"/>
        <w:left w:val="none" w:sz="0" w:space="0" w:color="auto"/>
        <w:bottom w:val="none" w:sz="0" w:space="0" w:color="auto"/>
        <w:right w:val="none" w:sz="0" w:space="0" w:color="auto"/>
      </w:divBdr>
    </w:div>
    <w:div w:id="396167595">
      <w:bodyDiv w:val="1"/>
      <w:marLeft w:val="0"/>
      <w:marRight w:val="0"/>
      <w:marTop w:val="0"/>
      <w:marBottom w:val="0"/>
      <w:divBdr>
        <w:top w:val="none" w:sz="0" w:space="0" w:color="auto"/>
        <w:left w:val="none" w:sz="0" w:space="0" w:color="auto"/>
        <w:bottom w:val="none" w:sz="0" w:space="0" w:color="auto"/>
        <w:right w:val="none" w:sz="0" w:space="0" w:color="auto"/>
      </w:divBdr>
    </w:div>
    <w:div w:id="396363113">
      <w:bodyDiv w:val="1"/>
      <w:marLeft w:val="0"/>
      <w:marRight w:val="0"/>
      <w:marTop w:val="0"/>
      <w:marBottom w:val="0"/>
      <w:divBdr>
        <w:top w:val="none" w:sz="0" w:space="0" w:color="auto"/>
        <w:left w:val="none" w:sz="0" w:space="0" w:color="auto"/>
        <w:bottom w:val="none" w:sz="0" w:space="0" w:color="auto"/>
        <w:right w:val="none" w:sz="0" w:space="0" w:color="auto"/>
      </w:divBdr>
    </w:div>
    <w:div w:id="396559551">
      <w:bodyDiv w:val="1"/>
      <w:marLeft w:val="0"/>
      <w:marRight w:val="0"/>
      <w:marTop w:val="0"/>
      <w:marBottom w:val="0"/>
      <w:divBdr>
        <w:top w:val="none" w:sz="0" w:space="0" w:color="auto"/>
        <w:left w:val="none" w:sz="0" w:space="0" w:color="auto"/>
        <w:bottom w:val="none" w:sz="0" w:space="0" w:color="auto"/>
        <w:right w:val="none" w:sz="0" w:space="0" w:color="auto"/>
      </w:divBdr>
    </w:div>
    <w:div w:id="396630339">
      <w:bodyDiv w:val="1"/>
      <w:marLeft w:val="0"/>
      <w:marRight w:val="0"/>
      <w:marTop w:val="0"/>
      <w:marBottom w:val="0"/>
      <w:divBdr>
        <w:top w:val="none" w:sz="0" w:space="0" w:color="auto"/>
        <w:left w:val="none" w:sz="0" w:space="0" w:color="auto"/>
        <w:bottom w:val="none" w:sz="0" w:space="0" w:color="auto"/>
        <w:right w:val="none" w:sz="0" w:space="0" w:color="auto"/>
      </w:divBdr>
    </w:div>
    <w:div w:id="396631078">
      <w:bodyDiv w:val="1"/>
      <w:marLeft w:val="0"/>
      <w:marRight w:val="0"/>
      <w:marTop w:val="0"/>
      <w:marBottom w:val="0"/>
      <w:divBdr>
        <w:top w:val="none" w:sz="0" w:space="0" w:color="auto"/>
        <w:left w:val="none" w:sz="0" w:space="0" w:color="auto"/>
        <w:bottom w:val="none" w:sz="0" w:space="0" w:color="auto"/>
        <w:right w:val="none" w:sz="0" w:space="0" w:color="auto"/>
      </w:divBdr>
    </w:div>
    <w:div w:id="396634382">
      <w:bodyDiv w:val="1"/>
      <w:marLeft w:val="0"/>
      <w:marRight w:val="0"/>
      <w:marTop w:val="0"/>
      <w:marBottom w:val="0"/>
      <w:divBdr>
        <w:top w:val="none" w:sz="0" w:space="0" w:color="auto"/>
        <w:left w:val="none" w:sz="0" w:space="0" w:color="auto"/>
        <w:bottom w:val="none" w:sz="0" w:space="0" w:color="auto"/>
        <w:right w:val="none" w:sz="0" w:space="0" w:color="auto"/>
      </w:divBdr>
    </w:div>
    <w:div w:id="396636308">
      <w:bodyDiv w:val="1"/>
      <w:marLeft w:val="0"/>
      <w:marRight w:val="0"/>
      <w:marTop w:val="0"/>
      <w:marBottom w:val="0"/>
      <w:divBdr>
        <w:top w:val="none" w:sz="0" w:space="0" w:color="auto"/>
        <w:left w:val="none" w:sz="0" w:space="0" w:color="auto"/>
        <w:bottom w:val="none" w:sz="0" w:space="0" w:color="auto"/>
        <w:right w:val="none" w:sz="0" w:space="0" w:color="auto"/>
      </w:divBdr>
    </w:div>
    <w:div w:id="396786059">
      <w:bodyDiv w:val="1"/>
      <w:marLeft w:val="0"/>
      <w:marRight w:val="0"/>
      <w:marTop w:val="0"/>
      <w:marBottom w:val="0"/>
      <w:divBdr>
        <w:top w:val="none" w:sz="0" w:space="0" w:color="auto"/>
        <w:left w:val="none" w:sz="0" w:space="0" w:color="auto"/>
        <w:bottom w:val="none" w:sz="0" w:space="0" w:color="auto"/>
        <w:right w:val="none" w:sz="0" w:space="0" w:color="auto"/>
      </w:divBdr>
    </w:div>
    <w:div w:id="396905382">
      <w:bodyDiv w:val="1"/>
      <w:marLeft w:val="0"/>
      <w:marRight w:val="0"/>
      <w:marTop w:val="0"/>
      <w:marBottom w:val="0"/>
      <w:divBdr>
        <w:top w:val="none" w:sz="0" w:space="0" w:color="auto"/>
        <w:left w:val="none" w:sz="0" w:space="0" w:color="auto"/>
        <w:bottom w:val="none" w:sz="0" w:space="0" w:color="auto"/>
        <w:right w:val="none" w:sz="0" w:space="0" w:color="auto"/>
      </w:divBdr>
    </w:div>
    <w:div w:id="396906461">
      <w:bodyDiv w:val="1"/>
      <w:marLeft w:val="0"/>
      <w:marRight w:val="0"/>
      <w:marTop w:val="0"/>
      <w:marBottom w:val="0"/>
      <w:divBdr>
        <w:top w:val="none" w:sz="0" w:space="0" w:color="auto"/>
        <w:left w:val="none" w:sz="0" w:space="0" w:color="auto"/>
        <w:bottom w:val="none" w:sz="0" w:space="0" w:color="auto"/>
        <w:right w:val="none" w:sz="0" w:space="0" w:color="auto"/>
      </w:divBdr>
    </w:div>
    <w:div w:id="396975822">
      <w:bodyDiv w:val="1"/>
      <w:marLeft w:val="0"/>
      <w:marRight w:val="0"/>
      <w:marTop w:val="0"/>
      <w:marBottom w:val="0"/>
      <w:divBdr>
        <w:top w:val="none" w:sz="0" w:space="0" w:color="auto"/>
        <w:left w:val="none" w:sz="0" w:space="0" w:color="auto"/>
        <w:bottom w:val="none" w:sz="0" w:space="0" w:color="auto"/>
        <w:right w:val="none" w:sz="0" w:space="0" w:color="auto"/>
      </w:divBdr>
    </w:div>
    <w:div w:id="397215015">
      <w:bodyDiv w:val="1"/>
      <w:marLeft w:val="0"/>
      <w:marRight w:val="0"/>
      <w:marTop w:val="0"/>
      <w:marBottom w:val="0"/>
      <w:divBdr>
        <w:top w:val="none" w:sz="0" w:space="0" w:color="auto"/>
        <w:left w:val="none" w:sz="0" w:space="0" w:color="auto"/>
        <w:bottom w:val="none" w:sz="0" w:space="0" w:color="auto"/>
        <w:right w:val="none" w:sz="0" w:space="0" w:color="auto"/>
      </w:divBdr>
    </w:div>
    <w:div w:id="397242831">
      <w:bodyDiv w:val="1"/>
      <w:marLeft w:val="0"/>
      <w:marRight w:val="0"/>
      <w:marTop w:val="0"/>
      <w:marBottom w:val="0"/>
      <w:divBdr>
        <w:top w:val="none" w:sz="0" w:space="0" w:color="auto"/>
        <w:left w:val="none" w:sz="0" w:space="0" w:color="auto"/>
        <w:bottom w:val="none" w:sz="0" w:space="0" w:color="auto"/>
        <w:right w:val="none" w:sz="0" w:space="0" w:color="auto"/>
      </w:divBdr>
    </w:div>
    <w:div w:id="397245086">
      <w:bodyDiv w:val="1"/>
      <w:marLeft w:val="0"/>
      <w:marRight w:val="0"/>
      <w:marTop w:val="0"/>
      <w:marBottom w:val="0"/>
      <w:divBdr>
        <w:top w:val="none" w:sz="0" w:space="0" w:color="auto"/>
        <w:left w:val="none" w:sz="0" w:space="0" w:color="auto"/>
        <w:bottom w:val="none" w:sz="0" w:space="0" w:color="auto"/>
        <w:right w:val="none" w:sz="0" w:space="0" w:color="auto"/>
      </w:divBdr>
    </w:div>
    <w:div w:id="397484786">
      <w:bodyDiv w:val="1"/>
      <w:marLeft w:val="0"/>
      <w:marRight w:val="0"/>
      <w:marTop w:val="0"/>
      <w:marBottom w:val="0"/>
      <w:divBdr>
        <w:top w:val="none" w:sz="0" w:space="0" w:color="auto"/>
        <w:left w:val="none" w:sz="0" w:space="0" w:color="auto"/>
        <w:bottom w:val="none" w:sz="0" w:space="0" w:color="auto"/>
        <w:right w:val="none" w:sz="0" w:space="0" w:color="auto"/>
      </w:divBdr>
    </w:div>
    <w:div w:id="397552329">
      <w:bodyDiv w:val="1"/>
      <w:marLeft w:val="0"/>
      <w:marRight w:val="0"/>
      <w:marTop w:val="0"/>
      <w:marBottom w:val="0"/>
      <w:divBdr>
        <w:top w:val="none" w:sz="0" w:space="0" w:color="auto"/>
        <w:left w:val="none" w:sz="0" w:space="0" w:color="auto"/>
        <w:bottom w:val="none" w:sz="0" w:space="0" w:color="auto"/>
        <w:right w:val="none" w:sz="0" w:space="0" w:color="auto"/>
      </w:divBdr>
    </w:div>
    <w:div w:id="397631662">
      <w:bodyDiv w:val="1"/>
      <w:marLeft w:val="0"/>
      <w:marRight w:val="0"/>
      <w:marTop w:val="0"/>
      <w:marBottom w:val="0"/>
      <w:divBdr>
        <w:top w:val="none" w:sz="0" w:space="0" w:color="auto"/>
        <w:left w:val="none" w:sz="0" w:space="0" w:color="auto"/>
        <w:bottom w:val="none" w:sz="0" w:space="0" w:color="auto"/>
        <w:right w:val="none" w:sz="0" w:space="0" w:color="auto"/>
      </w:divBdr>
    </w:div>
    <w:div w:id="397634644">
      <w:bodyDiv w:val="1"/>
      <w:marLeft w:val="0"/>
      <w:marRight w:val="0"/>
      <w:marTop w:val="0"/>
      <w:marBottom w:val="0"/>
      <w:divBdr>
        <w:top w:val="none" w:sz="0" w:space="0" w:color="auto"/>
        <w:left w:val="none" w:sz="0" w:space="0" w:color="auto"/>
        <w:bottom w:val="none" w:sz="0" w:space="0" w:color="auto"/>
        <w:right w:val="none" w:sz="0" w:space="0" w:color="auto"/>
      </w:divBdr>
    </w:div>
    <w:div w:id="397635072">
      <w:bodyDiv w:val="1"/>
      <w:marLeft w:val="0"/>
      <w:marRight w:val="0"/>
      <w:marTop w:val="0"/>
      <w:marBottom w:val="0"/>
      <w:divBdr>
        <w:top w:val="none" w:sz="0" w:space="0" w:color="auto"/>
        <w:left w:val="none" w:sz="0" w:space="0" w:color="auto"/>
        <w:bottom w:val="none" w:sz="0" w:space="0" w:color="auto"/>
        <w:right w:val="none" w:sz="0" w:space="0" w:color="auto"/>
      </w:divBdr>
    </w:div>
    <w:div w:id="397636398">
      <w:bodyDiv w:val="1"/>
      <w:marLeft w:val="0"/>
      <w:marRight w:val="0"/>
      <w:marTop w:val="0"/>
      <w:marBottom w:val="0"/>
      <w:divBdr>
        <w:top w:val="none" w:sz="0" w:space="0" w:color="auto"/>
        <w:left w:val="none" w:sz="0" w:space="0" w:color="auto"/>
        <w:bottom w:val="none" w:sz="0" w:space="0" w:color="auto"/>
        <w:right w:val="none" w:sz="0" w:space="0" w:color="auto"/>
      </w:divBdr>
    </w:div>
    <w:div w:id="397678279">
      <w:bodyDiv w:val="1"/>
      <w:marLeft w:val="0"/>
      <w:marRight w:val="0"/>
      <w:marTop w:val="0"/>
      <w:marBottom w:val="0"/>
      <w:divBdr>
        <w:top w:val="none" w:sz="0" w:space="0" w:color="auto"/>
        <w:left w:val="none" w:sz="0" w:space="0" w:color="auto"/>
        <w:bottom w:val="none" w:sz="0" w:space="0" w:color="auto"/>
        <w:right w:val="none" w:sz="0" w:space="0" w:color="auto"/>
      </w:divBdr>
    </w:div>
    <w:div w:id="397704520">
      <w:bodyDiv w:val="1"/>
      <w:marLeft w:val="0"/>
      <w:marRight w:val="0"/>
      <w:marTop w:val="0"/>
      <w:marBottom w:val="0"/>
      <w:divBdr>
        <w:top w:val="none" w:sz="0" w:space="0" w:color="auto"/>
        <w:left w:val="none" w:sz="0" w:space="0" w:color="auto"/>
        <w:bottom w:val="none" w:sz="0" w:space="0" w:color="auto"/>
        <w:right w:val="none" w:sz="0" w:space="0" w:color="auto"/>
      </w:divBdr>
    </w:div>
    <w:div w:id="397745805">
      <w:bodyDiv w:val="1"/>
      <w:marLeft w:val="0"/>
      <w:marRight w:val="0"/>
      <w:marTop w:val="0"/>
      <w:marBottom w:val="0"/>
      <w:divBdr>
        <w:top w:val="none" w:sz="0" w:space="0" w:color="auto"/>
        <w:left w:val="none" w:sz="0" w:space="0" w:color="auto"/>
        <w:bottom w:val="none" w:sz="0" w:space="0" w:color="auto"/>
        <w:right w:val="none" w:sz="0" w:space="0" w:color="auto"/>
      </w:divBdr>
    </w:div>
    <w:div w:id="397897911">
      <w:bodyDiv w:val="1"/>
      <w:marLeft w:val="0"/>
      <w:marRight w:val="0"/>
      <w:marTop w:val="0"/>
      <w:marBottom w:val="0"/>
      <w:divBdr>
        <w:top w:val="none" w:sz="0" w:space="0" w:color="auto"/>
        <w:left w:val="none" w:sz="0" w:space="0" w:color="auto"/>
        <w:bottom w:val="none" w:sz="0" w:space="0" w:color="auto"/>
        <w:right w:val="none" w:sz="0" w:space="0" w:color="auto"/>
      </w:divBdr>
    </w:div>
    <w:div w:id="397938695">
      <w:bodyDiv w:val="1"/>
      <w:marLeft w:val="0"/>
      <w:marRight w:val="0"/>
      <w:marTop w:val="0"/>
      <w:marBottom w:val="0"/>
      <w:divBdr>
        <w:top w:val="none" w:sz="0" w:space="0" w:color="auto"/>
        <w:left w:val="none" w:sz="0" w:space="0" w:color="auto"/>
        <w:bottom w:val="none" w:sz="0" w:space="0" w:color="auto"/>
        <w:right w:val="none" w:sz="0" w:space="0" w:color="auto"/>
      </w:divBdr>
    </w:div>
    <w:div w:id="397946974">
      <w:bodyDiv w:val="1"/>
      <w:marLeft w:val="0"/>
      <w:marRight w:val="0"/>
      <w:marTop w:val="0"/>
      <w:marBottom w:val="0"/>
      <w:divBdr>
        <w:top w:val="none" w:sz="0" w:space="0" w:color="auto"/>
        <w:left w:val="none" w:sz="0" w:space="0" w:color="auto"/>
        <w:bottom w:val="none" w:sz="0" w:space="0" w:color="auto"/>
        <w:right w:val="none" w:sz="0" w:space="0" w:color="auto"/>
      </w:divBdr>
    </w:div>
    <w:div w:id="398023737">
      <w:bodyDiv w:val="1"/>
      <w:marLeft w:val="0"/>
      <w:marRight w:val="0"/>
      <w:marTop w:val="0"/>
      <w:marBottom w:val="0"/>
      <w:divBdr>
        <w:top w:val="none" w:sz="0" w:space="0" w:color="auto"/>
        <w:left w:val="none" w:sz="0" w:space="0" w:color="auto"/>
        <w:bottom w:val="none" w:sz="0" w:space="0" w:color="auto"/>
        <w:right w:val="none" w:sz="0" w:space="0" w:color="auto"/>
      </w:divBdr>
    </w:div>
    <w:div w:id="398135356">
      <w:bodyDiv w:val="1"/>
      <w:marLeft w:val="0"/>
      <w:marRight w:val="0"/>
      <w:marTop w:val="0"/>
      <w:marBottom w:val="0"/>
      <w:divBdr>
        <w:top w:val="none" w:sz="0" w:space="0" w:color="auto"/>
        <w:left w:val="none" w:sz="0" w:space="0" w:color="auto"/>
        <w:bottom w:val="none" w:sz="0" w:space="0" w:color="auto"/>
        <w:right w:val="none" w:sz="0" w:space="0" w:color="auto"/>
      </w:divBdr>
    </w:div>
    <w:div w:id="398141209">
      <w:bodyDiv w:val="1"/>
      <w:marLeft w:val="0"/>
      <w:marRight w:val="0"/>
      <w:marTop w:val="0"/>
      <w:marBottom w:val="0"/>
      <w:divBdr>
        <w:top w:val="none" w:sz="0" w:space="0" w:color="auto"/>
        <w:left w:val="none" w:sz="0" w:space="0" w:color="auto"/>
        <w:bottom w:val="none" w:sz="0" w:space="0" w:color="auto"/>
        <w:right w:val="none" w:sz="0" w:space="0" w:color="auto"/>
      </w:divBdr>
    </w:div>
    <w:div w:id="398477860">
      <w:bodyDiv w:val="1"/>
      <w:marLeft w:val="0"/>
      <w:marRight w:val="0"/>
      <w:marTop w:val="0"/>
      <w:marBottom w:val="0"/>
      <w:divBdr>
        <w:top w:val="none" w:sz="0" w:space="0" w:color="auto"/>
        <w:left w:val="none" w:sz="0" w:space="0" w:color="auto"/>
        <w:bottom w:val="none" w:sz="0" w:space="0" w:color="auto"/>
        <w:right w:val="none" w:sz="0" w:space="0" w:color="auto"/>
      </w:divBdr>
    </w:div>
    <w:div w:id="398480497">
      <w:bodyDiv w:val="1"/>
      <w:marLeft w:val="0"/>
      <w:marRight w:val="0"/>
      <w:marTop w:val="0"/>
      <w:marBottom w:val="0"/>
      <w:divBdr>
        <w:top w:val="none" w:sz="0" w:space="0" w:color="auto"/>
        <w:left w:val="none" w:sz="0" w:space="0" w:color="auto"/>
        <w:bottom w:val="none" w:sz="0" w:space="0" w:color="auto"/>
        <w:right w:val="none" w:sz="0" w:space="0" w:color="auto"/>
      </w:divBdr>
    </w:div>
    <w:div w:id="398594312">
      <w:bodyDiv w:val="1"/>
      <w:marLeft w:val="0"/>
      <w:marRight w:val="0"/>
      <w:marTop w:val="0"/>
      <w:marBottom w:val="0"/>
      <w:divBdr>
        <w:top w:val="none" w:sz="0" w:space="0" w:color="auto"/>
        <w:left w:val="none" w:sz="0" w:space="0" w:color="auto"/>
        <w:bottom w:val="none" w:sz="0" w:space="0" w:color="auto"/>
        <w:right w:val="none" w:sz="0" w:space="0" w:color="auto"/>
      </w:divBdr>
    </w:div>
    <w:div w:id="398744833">
      <w:bodyDiv w:val="1"/>
      <w:marLeft w:val="0"/>
      <w:marRight w:val="0"/>
      <w:marTop w:val="0"/>
      <w:marBottom w:val="0"/>
      <w:divBdr>
        <w:top w:val="none" w:sz="0" w:space="0" w:color="auto"/>
        <w:left w:val="none" w:sz="0" w:space="0" w:color="auto"/>
        <w:bottom w:val="none" w:sz="0" w:space="0" w:color="auto"/>
        <w:right w:val="none" w:sz="0" w:space="0" w:color="auto"/>
      </w:divBdr>
    </w:div>
    <w:div w:id="398938377">
      <w:bodyDiv w:val="1"/>
      <w:marLeft w:val="0"/>
      <w:marRight w:val="0"/>
      <w:marTop w:val="0"/>
      <w:marBottom w:val="0"/>
      <w:divBdr>
        <w:top w:val="none" w:sz="0" w:space="0" w:color="auto"/>
        <w:left w:val="none" w:sz="0" w:space="0" w:color="auto"/>
        <w:bottom w:val="none" w:sz="0" w:space="0" w:color="auto"/>
        <w:right w:val="none" w:sz="0" w:space="0" w:color="auto"/>
      </w:divBdr>
    </w:div>
    <w:div w:id="399056519">
      <w:bodyDiv w:val="1"/>
      <w:marLeft w:val="0"/>
      <w:marRight w:val="0"/>
      <w:marTop w:val="0"/>
      <w:marBottom w:val="0"/>
      <w:divBdr>
        <w:top w:val="none" w:sz="0" w:space="0" w:color="auto"/>
        <w:left w:val="none" w:sz="0" w:space="0" w:color="auto"/>
        <w:bottom w:val="none" w:sz="0" w:space="0" w:color="auto"/>
        <w:right w:val="none" w:sz="0" w:space="0" w:color="auto"/>
      </w:divBdr>
    </w:div>
    <w:div w:id="399057670">
      <w:bodyDiv w:val="1"/>
      <w:marLeft w:val="0"/>
      <w:marRight w:val="0"/>
      <w:marTop w:val="0"/>
      <w:marBottom w:val="0"/>
      <w:divBdr>
        <w:top w:val="none" w:sz="0" w:space="0" w:color="auto"/>
        <w:left w:val="none" w:sz="0" w:space="0" w:color="auto"/>
        <w:bottom w:val="none" w:sz="0" w:space="0" w:color="auto"/>
        <w:right w:val="none" w:sz="0" w:space="0" w:color="auto"/>
      </w:divBdr>
    </w:div>
    <w:div w:id="399134912">
      <w:bodyDiv w:val="1"/>
      <w:marLeft w:val="0"/>
      <w:marRight w:val="0"/>
      <w:marTop w:val="0"/>
      <w:marBottom w:val="0"/>
      <w:divBdr>
        <w:top w:val="none" w:sz="0" w:space="0" w:color="auto"/>
        <w:left w:val="none" w:sz="0" w:space="0" w:color="auto"/>
        <w:bottom w:val="none" w:sz="0" w:space="0" w:color="auto"/>
        <w:right w:val="none" w:sz="0" w:space="0" w:color="auto"/>
      </w:divBdr>
    </w:div>
    <w:div w:id="399138490">
      <w:bodyDiv w:val="1"/>
      <w:marLeft w:val="0"/>
      <w:marRight w:val="0"/>
      <w:marTop w:val="0"/>
      <w:marBottom w:val="0"/>
      <w:divBdr>
        <w:top w:val="none" w:sz="0" w:space="0" w:color="auto"/>
        <w:left w:val="none" w:sz="0" w:space="0" w:color="auto"/>
        <w:bottom w:val="none" w:sz="0" w:space="0" w:color="auto"/>
        <w:right w:val="none" w:sz="0" w:space="0" w:color="auto"/>
      </w:divBdr>
    </w:div>
    <w:div w:id="399183571">
      <w:bodyDiv w:val="1"/>
      <w:marLeft w:val="0"/>
      <w:marRight w:val="0"/>
      <w:marTop w:val="0"/>
      <w:marBottom w:val="0"/>
      <w:divBdr>
        <w:top w:val="none" w:sz="0" w:space="0" w:color="auto"/>
        <w:left w:val="none" w:sz="0" w:space="0" w:color="auto"/>
        <w:bottom w:val="none" w:sz="0" w:space="0" w:color="auto"/>
        <w:right w:val="none" w:sz="0" w:space="0" w:color="auto"/>
      </w:divBdr>
    </w:div>
    <w:div w:id="399208448">
      <w:bodyDiv w:val="1"/>
      <w:marLeft w:val="0"/>
      <w:marRight w:val="0"/>
      <w:marTop w:val="0"/>
      <w:marBottom w:val="0"/>
      <w:divBdr>
        <w:top w:val="none" w:sz="0" w:space="0" w:color="auto"/>
        <w:left w:val="none" w:sz="0" w:space="0" w:color="auto"/>
        <w:bottom w:val="none" w:sz="0" w:space="0" w:color="auto"/>
        <w:right w:val="none" w:sz="0" w:space="0" w:color="auto"/>
      </w:divBdr>
    </w:div>
    <w:div w:id="399209040">
      <w:bodyDiv w:val="1"/>
      <w:marLeft w:val="0"/>
      <w:marRight w:val="0"/>
      <w:marTop w:val="0"/>
      <w:marBottom w:val="0"/>
      <w:divBdr>
        <w:top w:val="none" w:sz="0" w:space="0" w:color="auto"/>
        <w:left w:val="none" w:sz="0" w:space="0" w:color="auto"/>
        <w:bottom w:val="none" w:sz="0" w:space="0" w:color="auto"/>
        <w:right w:val="none" w:sz="0" w:space="0" w:color="auto"/>
      </w:divBdr>
    </w:div>
    <w:div w:id="399209130">
      <w:bodyDiv w:val="1"/>
      <w:marLeft w:val="0"/>
      <w:marRight w:val="0"/>
      <w:marTop w:val="0"/>
      <w:marBottom w:val="0"/>
      <w:divBdr>
        <w:top w:val="none" w:sz="0" w:space="0" w:color="auto"/>
        <w:left w:val="none" w:sz="0" w:space="0" w:color="auto"/>
        <w:bottom w:val="none" w:sz="0" w:space="0" w:color="auto"/>
        <w:right w:val="none" w:sz="0" w:space="0" w:color="auto"/>
      </w:divBdr>
    </w:div>
    <w:div w:id="399405658">
      <w:bodyDiv w:val="1"/>
      <w:marLeft w:val="0"/>
      <w:marRight w:val="0"/>
      <w:marTop w:val="0"/>
      <w:marBottom w:val="0"/>
      <w:divBdr>
        <w:top w:val="none" w:sz="0" w:space="0" w:color="auto"/>
        <w:left w:val="none" w:sz="0" w:space="0" w:color="auto"/>
        <w:bottom w:val="none" w:sz="0" w:space="0" w:color="auto"/>
        <w:right w:val="none" w:sz="0" w:space="0" w:color="auto"/>
      </w:divBdr>
    </w:div>
    <w:div w:id="399450724">
      <w:bodyDiv w:val="1"/>
      <w:marLeft w:val="0"/>
      <w:marRight w:val="0"/>
      <w:marTop w:val="0"/>
      <w:marBottom w:val="0"/>
      <w:divBdr>
        <w:top w:val="none" w:sz="0" w:space="0" w:color="auto"/>
        <w:left w:val="none" w:sz="0" w:space="0" w:color="auto"/>
        <w:bottom w:val="none" w:sz="0" w:space="0" w:color="auto"/>
        <w:right w:val="none" w:sz="0" w:space="0" w:color="auto"/>
      </w:divBdr>
    </w:div>
    <w:div w:id="399670784">
      <w:bodyDiv w:val="1"/>
      <w:marLeft w:val="0"/>
      <w:marRight w:val="0"/>
      <w:marTop w:val="0"/>
      <w:marBottom w:val="0"/>
      <w:divBdr>
        <w:top w:val="none" w:sz="0" w:space="0" w:color="auto"/>
        <w:left w:val="none" w:sz="0" w:space="0" w:color="auto"/>
        <w:bottom w:val="none" w:sz="0" w:space="0" w:color="auto"/>
        <w:right w:val="none" w:sz="0" w:space="0" w:color="auto"/>
      </w:divBdr>
    </w:div>
    <w:div w:id="399718338">
      <w:bodyDiv w:val="1"/>
      <w:marLeft w:val="0"/>
      <w:marRight w:val="0"/>
      <w:marTop w:val="0"/>
      <w:marBottom w:val="0"/>
      <w:divBdr>
        <w:top w:val="none" w:sz="0" w:space="0" w:color="auto"/>
        <w:left w:val="none" w:sz="0" w:space="0" w:color="auto"/>
        <w:bottom w:val="none" w:sz="0" w:space="0" w:color="auto"/>
        <w:right w:val="none" w:sz="0" w:space="0" w:color="auto"/>
      </w:divBdr>
    </w:div>
    <w:div w:id="399719599">
      <w:bodyDiv w:val="1"/>
      <w:marLeft w:val="0"/>
      <w:marRight w:val="0"/>
      <w:marTop w:val="0"/>
      <w:marBottom w:val="0"/>
      <w:divBdr>
        <w:top w:val="none" w:sz="0" w:space="0" w:color="auto"/>
        <w:left w:val="none" w:sz="0" w:space="0" w:color="auto"/>
        <w:bottom w:val="none" w:sz="0" w:space="0" w:color="auto"/>
        <w:right w:val="none" w:sz="0" w:space="0" w:color="auto"/>
      </w:divBdr>
    </w:div>
    <w:div w:id="399720355">
      <w:bodyDiv w:val="1"/>
      <w:marLeft w:val="0"/>
      <w:marRight w:val="0"/>
      <w:marTop w:val="0"/>
      <w:marBottom w:val="0"/>
      <w:divBdr>
        <w:top w:val="none" w:sz="0" w:space="0" w:color="auto"/>
        <w:left w:val="none" w:sz="0" w:space="0" w:color="auto"/>
        <w:bottom w:val="none" w:sz="0" w:space="0" w:color="auto"/>
        <w:right w:val="none" w:sz="0" w:space="0" w:color="auto"/>
      </w:divBdr>
    </w:div>
    <w:div w:id="399720697">
      <w:bodyDiv w:val="1"/>
      <w:marLeft w:val="0"/>
      <w:marRight w:val="0"/>
      <w:marTop w:val="0"/>
      <w:marBottom w:val="0"/>
      <w:divBdr>
        <w:top w:val="none" w:sz="0" w:space="0" w:color="auto"/>
        <w:left w:val="none" w:sz="0" w:space="0" w:color="auto"/>
        <w:bottom w:val="none" w:sz="0" w:space="0" w:color="auto"/>
        <w:right w:val="none" w:sz="0" w:space="0" w:color="auto"/>
      </w:divBdr>
    </w:div>
    <w:div w:id="399787956">
      <w:bodyDiv w:val="1"/>
      <w:marLeft w:val="0"/>
      <w:marRight w:val="0"/>
      <w:marTop w:val="0"/>
      <w:marBottom w:val="0"/>
      <w:divBdr>
        <w:top w:val="none" w:sz="0" w:space="0" w:color="auto"/>
        <w:left w:val="none" w:sz="0" w:space="0" w:color="auto"/>
        <w:bottom w:val="none" w:sz="0" w:space="0" w:color="auto"/>
        <w:right w:val="none" w:sz="0" w:space="0" w:color="auto"/>
      </w:divBdr>
    </w:div>
    <w:div w:id="399790539">
      <w:bodyDiv w:val="1"/>
      <w:marLeft w:val="0"/>
      <w:marRight w:val="0"/>
      <w:marTop w:val="0"/>
      <w:marBottom w:val="0"/>
      <w:divBdr>
        <w:top w:val="none" w:sz="0" w:space="0" w:color="auto"/>
        <w:left w:val="none" w:sz="0" w:space="0" w:color="auto"/>
        <w:bottom w:val="none" w:sz="0" w:space="0" w:color="auto"/>
        <w:right w:val="none" w:sz="0" w:space="0" w:color="auto"/>
      </w:divBdr>
    </w:div>
    <w:div w:id="399984496">
      <w:bodyDiv w:val="1"/>
      <w:marLeft w:val="0"/>
      <w:marRight w:val="0"/>
      <w:marTop w:val="0"/>
      <w:marBottom w:val="0"/>
      <w:divBdr>
        <w:top w:val="none" w:sz="0" w:space="0" w:color="auto"/>
        <w:left w:val="none" w:sz="0" w:space="0" w:color="auto"/>
        <w:bottom w:val="none" w:sz="0" w:space="0" w:color="auto"/>
        <w:right w:val="none" w:sz="0" w:space="0" w:color="auto"/>
      </w:divBdr>
    </w:div>
    <w:div w:id="399984636">
      <w:bodyDiv w:val="1"/>
      <w:marLeft w:val="0"/>
      <w:marRight w:val="0"/>
      <w:marTop w:val="0"/>
      <w:marBottom w:val="0"/>
      <w:divBdr>
        <w:top w:val="none" w:sz="0" w:space="0" w:color="auto"/>
        <w:left w:val="none" w:sz="0" w:space="0" w:color="auto"/>
        <w:bottom w:val="none" w:sz="0" w:space="0" w:color="auto"/>
        <w:right w:val="none" w:sz="0" w:space="0" w:color="auto"/>
      </w:divBdr>
    </w:div>
    <w:div w:id="399986425">
      <w:bodyDiv w:val="1"/>
      <w:marLeft w:val="0"/>
      <w:marRight w:val="0"/>
      <w:marTop w:val="0"/>
      <w:marBottom w:val="0"/>
      <w:divBdr>
        <w:top w:val="none" w:sz="0" w:space="0" w:color="auto"/>
        <w:left w:val="none" w:sz="0" w:space="0" w:color="auto"/>
        <w:bottom w:val="none" w:sz="0" w:space="0" w:color="auto"/>
        <w:right w:val="none" w:sz="0" w:space="0" w:color="auto"/>
      </w:divBdr>
    </w:div>
    <w:div w:id="400057597">
      <w:bodyDiv w:val="1"/>
      <w:marLeft w:val="0"/>
      <w:marRight w:val="0"/>
      <w:marTop w:val="0"/>
      <w:marBottom w:val="0"/>
      <w:divBdr>
        <w:top w:val="none" w:sz="0" w:space="0" w:color="auto"/>
        <w:left w:val="none" w:sz="0" w:space="0" w:color="auto"/>
        <w:bottom w:val="none" w:sz="0" w:space="0" w:color="auto"/>
        <w:right w:val="none" w:sz="0" w:space="0" w:color="auto"/>
      </w:divBdr>
    </w:div>
    <w:div w:id="400061589">
      <w:bodyDiv w:val="1"/>
      <w:marLeft w:val="0"/>
      <w:marRight w:val="0"/>
      <w:marTop w:val="0"/>
      <w:marBottom w:val="0"/>
      <w:divBdr>
        <w:top w:val="none" w:sz="0" w:space="0" w:color="auto"/>
        <w:left w:val="none" w:sz="0" w:space="0" w:color="auto"/>
        <w:bottom w:val="none" w:sz="0" w:space="0" w:color="auto"/>
        <w:right w:val="none" w:sz="0" w:space="0" w:color="auto"/>
      </w:divBdr>
    </w:div>
    <w:div w:id="400180562">
      <w:bodyDiv w:val="1"/>
      <w:marLeft w:val="0"/>
      <w:marRight w:val="0"/>
      <w:marTop w:val="0"/>
      <w:marBottom w:val="0"/>
      <w:divBdr>
        <w:top w:val="none" w:sz="0" w:space="0" w:color="auto"/>
        <w:left w:val="none" w:sz="0" w:space="0" w:color="auto"/>
        <w:bottom w:val="none" w:sz="0" w:space="0" w:color="auto"/>
        <w:right w:val="none" w:sz="0" w:space="0" w:color="auto"/>
      </w:divBdr>
    </w:div>
    <w:div w:id="400249555">
      <w:bodyDiv w:val="1"/>
      <w:marLeft w:val="0"/>
      <w:marRight w:val="0"/>
      <w:marTop w:val="0"/>
      <w:marBottom w:val="0"/>
      <w:divBdr>
        <w:top w:val="none" w:sz="0" w:space="0" w:color="auto"/>
        <w:left w:val="none" w:sz="0" w:space="0" w:color="auto"/>
        <w:bottom w:val="none" w:sz="0" w:space="0" w:color="auto"/>
        <w:right w:val="none" w:sz="0" w:space="0" w:color="auto"/>
      </w:divBdr>
    </w:div>
    <w:div w:id="400294056">
      <w:bodyDiv w:val="1"/>
      <w:marLeft w:val="0"/>
      <w:marRight w:val="0"/>
      <w:marTop w:val="0"/>
      <w:marBottom w:val="0"/>
      <w:divBdr>
        <w:top w:val="none" w:sz="0" w:space="0" w:color="auto"/>
        <w:left w:val="none" w:sz="0" w:space="0" w:color="auto"/>
        <w:bottom w:val="none" w:sz="0" w:space="0" w:color="auto"/>
        <w:right w:val="none" w:sz="0" w:space="0" w:color="auto"/>
      </w:divBdr>
    </w:div>
    <w:div w:id="400294945">
      <w:bodyDiv w:val="1"/>
      <w:marLeft w:val="0"/>
      <w:marRight w:val="0"/>
      <w:marTop w:val="0"/>
      <w:marBottom w:val="0"/>
      <w:divBdr>
        <w:top w:val="none" w:sz="0" w:space="0" w:color="auto"/>
        <w:left w:val="none" w:sz="0" w:space="0" w:color="auto"/>
        <w:bottom w:val="none" w:sz="0" w:space="0" w:color="auto"/>
        <w:right w:val="none" w:sz="0" w:space="0" w:color="auto"/>
      </w:divBdr>
    </w:div>
    <w:div w:id="400298967">
      <w:bodyDiv w:val="1"/>
      <w:marLeft w:val="0"/>
      <w:marRight w:val="0"/>
      <w:marTop w:val="0"/>
      <w:marBottom w:val="0"/>
      <w:divBdr>
        <w:top w:val="none" w:sz="0" w:space="0" w:color="auto"/>
        <w:left w:val="none" w:sz="0" w:space="0" w:color="auto"/>
        <w:bottom w:val="none" w:sz="0" w:space="0" w:color="auto"/>
        <w:right w:val="none" w:sz="0" w:space="0" w:color="auto"/>
      </w:divBdr>
    </w:div>
    <w:div w:id="400324511">
      <w:bodyDiv w:val="1"/>
      <w:marLeft w:val="0"/>
      <w:marRight w:val="0"/>
      <w:marTop w:val="0"/>
      <w:marBottom w:val="0"/>
      <w:divBdr>
        <w:top w:val="none" w:sz="0" w:space="0" w:color="auto"/>
        <w:left w:val="none" w:sz="0" w:space="0" w:color="auto"/>
        <w:bottom w:val="none" w:sz="0" w:space="0" w:color="auto"/>
        <w:right w:val="none" w:sz="0" w:space="0" w:color="auto"/>
      </w:divBdr>
    </w:div>
    <w:div w:id="400563085">
      <w:bodyDiv w:val="1"/>
      <w:marLeft w:val="0"/>
      <w:marRight w:val="0"/>
      <w:marTop w:val="0"/>
      <w:marBottom w:val="0"/>
      <w:divBdr>
        <w:top w:val="none" w:sz="0" w:space="0" w:color="auto"/>
        <w:left w:val="none" w:sz="0" w:space="0" w:color="auto"/>
        <w:bottom w:val="none" w:sz="0" w:space="0" w:color="auto"/>
        <w:right w:val="none" w:sz="0" w:space="0" w:color="auto"/>
      </w:divBdr>
    </w:div>
    <w:div w:id="400565616">
      <w:bodyDiv w:val="1"/>
      <w:marLeft w:val="0"/>
      <w:marRight w:val="0"/>
      <w:marTop w:val="0"/>
      <w:marBottom w:val="0"/>
      <w:divBdr>
        <w:top w:val="none" w:sz="0" w:space="0" w:color="auto"/>
        <w:left w:val="none" w:sz="0" w:space="0" w:color="auto"/>
        <w:bottom w:val="none" w:sz="0" w:space="0" w:color="auto"/>
        <w:right w:val="none" w:sz="0" w:space="0" w:color="auto"/>
      </w:divBdr>
    </w:div>
    <w:div w:id="400716171">
      <w:bodyDiv w:val="1"/>
      <w:marLeft w:val="0"/>
      <w:marRight w:val="0"/>
      <w:marTop w:val="0"/>
      <w:marBottom w:val="0"/>
      <w:divBdr>
        <w:top w:val="none" w:sz="0" w:space="0" w:color="auto"/>
        <w:left w:val="none" w:sz="0" w:space="0" w:color="auto"/>
        <w:bottom w:val="none" w:sz="0" w:space="0" w:color="auto"/>
        <w:right w:val="none" w:sz="0" w:space="0" w:color="auto"/>
      </w:divBdr>
    </w:div>
    <w:div w:id="400907762">
      <w:bodyDiv w:val="1"/>
      <w:marLeft w:val="0"/>
      <w:marRight w:val="0"/>
      <w:marTop w:val="0"/>
      <w:marBottom w:val="0"/>
      <w:divBdr>
        <w:top w:val="none" w:sz="0" w:space="0" w:color="auto"/>
        <w:left w:val="none" w:sz="0" w:space="0" w:color="auto"/>
        <w:bottom w:val="none" w:sz="0" w:space="0" w:color="auto"/>
        <w:right w:val="none" w:sz="0" w:space="0" w:color="auto"/>
      </w:divBdr>
    </w:div>
    <w:div w:id="400911773">
      <w:bodyDiv w:val="1"/>
      <w:marLeft w:val="0"/>
      <w:marRight w:val="0"/>
      <w:marTop w:val="0"/>
      <w:marBottom w:val="0"/>
      <w:divBdr>
        <w:top w:val="none" w:sz="0" w:space="0" w:color="auto"/>
        <w:left w:val="none" w:sz="0" w:space="0" w:color="auto"/>
        <w:bottom w:val="none" w:sz="0" w:space="0" w:color="auto"/>
        <w:right w:val="none" w:sz="0" w:space="0" w:color="auto"/>
      </w:divBdr>
    </w:div>
    <w:div w:id="400951373">
      <w:bodyDiv w:val="1"/>
      <w:marLeft w:val="0"/>
      <w:marRight w:val="0"/>
      <w:marTop w:val="0"/>
      <w:marBottom w:val="0"/>
      <w:divBdr>
        <w:top w:val="none" w:sz="0" w:space="0" w:color="auto"/>
        <w:left w:val="none" w:sz="0" w:space="0" w:color="auto"/>
        <w:bottom w:val="none" w:sz="0" w:space="0" w:color="auto"/>
        <w:right w:val="none" w:sz="0" w:space="0" w:color="auto"/>
      </w:divBdr>
    </w:div>
    <w:div w:id="400955280">
      <w:bodyDiv w:val="1"/>
      <w:marLeft w:val="0"/>
      <w:marRight w:val="0"/>
      <w:marTop w:val="0"/>
      <w:marBottom w:val="0"/>
      <w:divBdr>
        <w:top w:val="none" w:sz="0" w:space="0" w:color="auto"/>
        <w:left w:val="none" w:sz="0" w:space="0" w:color="auto"/>
        <w:bottom w:val="none" w:sz="0" w:space="0" w:color="auto"/>
        <w:right w:val="none" w:sz="0" w:space="0" w:color="auto"/>
      </w:divBdr>
    </w:div>
    <w:div w:id="401104634">
      <w:bodyDiv w:val="1"/>
      <w:marLeft w:val="0"/>
      <w:marRight w:val="0"/>
      <w:marTop w:val="0"/>
      <w:marBottom w:val="0"/>
      <w:divBdr>
        <w:top w:val="none" w:sz="0" w:space="0" w:color="auto"/>
        <w:left w:val="none" w:sz="0" w:space="0" w:color="auto"/>
        <w:bottom w:val="none" w:sz="0" w:space="0" w:color="auto"/>
        <w:right w:val="none" w:sz="0" w:space="0" w:color="auto"/>
      </w:divBdr>
    </w:div>
    <w:div w:id="401176179">
      <w:bodyDiv w:val="1"/>
      <w:marLeft w:val="0"/>
      <w:marRight w:val="0"/>
      <w:marTop w:val="0"/>
      <w:marBottom w:val="0"/>
      <w:divBdr>
        <w:top w:val="none" w:sz="0" w:space="0" w:color="auto"/>
        <w:left w:val="none" w:sz="0" w:space="0" w:color="auto"/>
        <w:bottom w:val="none" w:sz="0" w:space="0" w:color="auto"/>
        <w:right w:val="none" w:sz="0" w:space="0" w:color="auto"/>
      </w:divBdr>
    </w:div>
    <w:div w:id="401293039">
      <w:bodyDiv w:val="1"/>
      <w:marLeft w:val="0"/>
      <w:marRight w:val="0"/>
      <w:marTop w:val="0"/>
      <w:marBottom w:val="0"/>
      <w:divBdr>
        <w:top w:val="none" w:sz="0" w:space="0" w:color="auto"/>
        <w:left w:val="none" w:sz="0" w:space="0" w:color="auto"/>
        <w:bottom w:val="none" w:sz="0" w:space="0" w:color="auto"/>
        <w:right w:val="none" w:sz="0" w:space="0" w:color="auto"/>
      </w:divBdr>
    </w:div>
    <w:div w:id="401296647">
      <w:bodyDiv w:val="1"/>
      <w:marLeft w:val="0"/>
      <w:marRight w:val="0"/>
      <w:marTop w:val="0"/>
      <w:marBottom w:val="0"/>
      <w:divBdr>
        <w:top w:val="none" w:sz="0" w:space="0" w:color="auto"/>
        <w:left w:val="none" w:sz="0" w:space="0" w:color="auto"/>
        <w:bottom w:val="none" w:sz="0" w:space="0" w:color="auto"/>
        <w:right w:val="none" w:sz="0" w:space="0" w:color="auto"/>
      </w:divBdr>
    </w:div>
    <w:div w:id="401298635">
      <w:bodyDiv w:val="1"/>
      <w:marLeft w:val="0"/>
      <w:marRight w:val="0"/>
      <w:marTop w:val="0"/>
      <w:marBottom w:val="0"/>
      <w:divBdr>
        <w:top w:val="none" w:sz="0" w:space="0" w:color="auto"/>
        <w:left w:val="none" w:sz="0" w:space="0" w:color="auto"/>
        <w:bottom w:val="none" w:sz="0" w:space="0" w:color="auto"/>
        <w:right w:val="none" w:sz="0" w:space="0" w:color="auto"/>
      </w:divBdr>
    </w:div>
    <w:div w:id="401412533">
      <w:bodyDiv w:val="1"/>
      <w:marLeft w:val="0"/>
      <w:marRight w:val="0"/>
      <w:marTop w:val="0"/>
      <w:marBottom w:val="0"/>
      <w:divBdr>
        <w:top w:val="none" w:sz="0" w:space="0" w:color="auto"/>
        <w:left w:val="none" w:sz="0" w:space="0" w:color="auto"/>
        <w:bottom w:val="none" w:sz="0" w:space="0" w:color="auto"/>
        <w:right w:val="none" w:sz="0" w:space="0" w:color="auto"/>
      </w:divBdr>
    </w:div>
    <w:div w:id="401830618">
      <w:bodyDiv w:val="1"/>
      <w:marLeft w:val="0"/>
      <w:marRight w:val="0"/>
      <w:marTop w:val="0"/>
      <w:marBottom w:val="0"/>
      <w:divBdr>
        <w:top w:val="none" w:sz="0" w:space="0" w:color="auto"/>
        <w:left w:val="none" w:sz="0" w:space="0" w:color="auto"/>
        <w:bottom w:val="none" w:sz="0" w:space="0" w:color="auto"/>
        <w:right w:val="none" w:sz="0" w:space="0" w:color="auto"/>
      </w:divBdr>
    </w:div>
    <w:div w:id="401872580">
      <w:bodyDiv w:val="1"/>
      <w:marLeft w:val="0"/>
      <w:marRight w:val="0"/>
      <w:marTop w:val="0"/>
      <w:marBottom w:val="0"/>
      <w:divBdr>
        <w:top w:val="none" w:sz="0" w:space="0" w:color="auto"/>
        <w:left w:val="none" w:sz="0" w:space="0" w:color="auto"/>
        <w:bottom w:val="none" w:sz="0" w:space="0" w:color="auto"/>
        <w:right w:val="none" w:sz="0" w:space="0" w:color="auto"/>
      </w:divBdr>
    </w:div>
    <w:div w:id="401877549">
      <w:bodyDiv w:val="1"/>
      <w:marLeft w:val="0"/>
      <w:marRight w:val="0"/>
      <w:marTop w:val="0"/>
      <w:marBottom w:val="0"/>
      <w:divBdr>
        <w:top w:val="none" w:sz="0" w:space="0" w:color="auto"/>
        <w:left w:val="none" w:sz="0" w:space="0" w:color="auto"/>
        <w:bottom w:val="none" w:sz="0" w:space="0" w:color="auto"/>
        <w:right w:val="none" w:sz="0" w:space="0" w:color="auto"/>
      </w:divBdr>
    </w:div>
    <w:div w:id="401947929">
      <w:bodyDiv w:val="1"/>
      <w:marLeft w:val="0"/>
      <w:marRight w:val="0"/>
      <w:marTop w:val="0"/>
      <w:marBottom w:val="0"/>
      <w:divBdr>
        <w:top w:val="none" w:sz="0" w:space="0" w:color="auto"/>
        <w:left w:val="none" w:sz="0" w:space="0" w:color="auto"/>
        <w:bottom w:val="none" w:sz="0" w:space="0" w:color="auto"/>
        <w:right w:val="none" w:sz="0" w:space="0" w:color="auto"/>
      </w:divBdr>
    </w:div>
    <w:div w:id="402145593">
      <w:bodyDiv w:val="1"/>
      <w:marLeft w:val="0"/>
      <w:marRight w:val="0"/>
      <w:marTop w:val="0"/>
      <w:marBottom w:val="0"/>
      <w:divBdr>
        <w:top w:val="none" w:sz="0" w:space="0" w:color="auto"/>
        <w:left w:val="none" w:sz="0" w:space="0" w:color="auto"/>
        <w:bottom w:val="none" w:sz="0" w:space="0" w:color="auto"/>
        <w:right w:val="none" w:sz="0" w:space="0" w:color="auto"/>
      </w:divBdr>
    </w:div>
    <w:div w:id="402214680">
      <w:bodyDiv w:val="1"/>
      <w:marLeft w:val="0"/>
      <w:marRight w:val="0"/>
      <w:marTop w:val="0"/>
      <w:marBottom w:val="0"/>
      <w:divBdr>
        <w:top w:val="none" w:sz="0" w:space="0" w:color="auto"/>
        <w:left w:val="none" w:sz="0" w:space="0" w:color="auto"/>
        <w:bottom w:val="none" w:sz="0" w:space="0" w:color="auto"/>
        <w:right w:val="none" w:sz="0" w:space="0" w:color="auto"/>
      </w:divBdr>
    </w:div>
    <w:div w:id="402215764">
      <w:bodyDiv w:val="1"/>
      <w:marLeft w:val="0"/>
      <w:marRight w:val="0"/>
      <w:marTop w:val="0"/>
      <w:marBottom w:val="0"/>
      <w:divBdr>
        <w:top w:val="none" w:sz="0" w:space="0" w:color="auto"/>
        <w:left w:val="none" w:sz="0" w:space="0" w:color="auto"/>
        <w:bottom w:val="none" w:sz="0" w:space="0" w:color="auto"/>
        <w:right w:val="none" w:sz="0" w:space="0" w:color="auto"/>
      </w:divBdr>
    </w:div>
    <w:div w:id="402608365">
      <w:bodyDiv w:val="1"/>
      <w:marLeft w:val="0"/>
      <w:marRight w:val="0"/>
      <w:marTop w:val="0"/>
      <w:marBottom w:val="0"/>
      <w:divBdr>
        <w:top w:val="none" w:sz="0" w:space="0" w:color="auto"/>
        <w:left w:val="none" w:sz="0" w:space="0" w:color="auto"/>
        <w:bottom w:val="none" w:sz="0" w:space="0" w:color="auto"/>
        <w:right w:val="none" w:sz="0" w:space="0" w:color="auto"/>
      </w:divBdr>
    </w:div>
    <w:div w:id="402719406">
      <w:bodyDiv w:val="1"/>
      <w:marLeft w:val="0"/>
      <w:marRight w:val="0"/>
      <w:marTop w:val="0"/>
      <w:marBottom w:val="0"/>
      <w:divBdr>
        <w:top w:val="none" w:sz="0" w:space="0" w:color="auto"/>
        <w:left w:val="none" w:sz="0" w:space="0" w:color="auto"/>
        <w:bottom w:val="none" w:sz="0" w:space="0" w:color="auto"/>
        <w:right w:val="none" w:sz="0" w:space="0" w:color="auto"/>
      </w:divBdr>
    </w:div>
    <w:div w:id="402720220">
      <w:bodyDiv w:val="1"/>
      <w:marLeft w:val="0"/>
      <w:marRight w:val="0"/>
      <w:marTop w:val="0"/>
      <w:marBottom w:val="0"/>
      <w:divBdr>
        <w:top w:val="none" w:sz="0" w:space="0" w:color="auto"/>
        <w:left w:val="none" w:sz="0" w:space="0" w:color="auto"/>
        <w:bottom w:val="none" w:sz="0" w:space="0" w:color="auto"/>
        <w:right w:val="none" w:sz="0" w:space="0" w:color="auto"/>
      </w:divBdr>
    </w:div>
    <w:div w:id="402989675">
      <w:bodyDiv w:val="1"/>
      <w:marLeft w:val="0"/>
      <w:marRight w:val="0"/>
      <w:marTop w:val="0"/>
      <w:marBottom w:val="0"/>
      <w:divBdr>
        <w:top w:val="none" w:sz="0" w:space="0" w:color="auto"/>
        <w:left w:val="none" w:sz="0" w:space="0" w:color="auto"/>
        <w:bottom w:val="none" w:sz="0" w:space="0" w:color="auto"/>
        <w:right w:val="none" w:sz="0" w:space="0" w:color="auto"/>
      </w:divBdr>
    </w:div>
    <w:div w:id="403139429">
      <w:bodyDiv w:val="1"/>
      <w:marLeft w:val="0"/>
      <w:marRight w:val="0"/>
      <w:marTop w:val="0"/>
      <w:marBottom w:val="0"/>
      <w:divBdr>
        <w:top w:val="none" w:sz="0" w:space="0" w:color="auto"/>
        <w:left w:val="none" w:sz="0" w:space="0" w:color="auto"/>
        <w:bottom w:val="none" w:sz="0" w:space="0" w:color="auto"/>
        <w:right w:val="none" w:sz="0" w:space="0" w:color="auto"/>
      </w:divBdr>
    </w:div>
    <w:div w:id="403142014">
      <w:bodyDiv w:val="1"/>
      <w:marLeft w:val="0"/>
      <w:marRight w:val="0"/>
      <w:marTop w:val="0"/>
      <w:marBottom w:val="0"/>
      <w:divBdr>
        <w:top w:val="none" w:sz="0" w:space="0" w:color="auto"/>
        <w:left w:val="none" w:sz="0" w:space="0" w:color="auto"/>
        <w:bottom w:val="none" w:sz="0" w:space="0" w:color="auto"/>
        <w:right w:val="none" w:sz="0" w:space="0" w:color="auto"/>
      </w:divBdr>
    </w:div>
    <w:div w:id="403182302">
      <w:bodyDiv w:val="1"/>
      <w:marLeft w:val="0"/>
      <w:marRight w:val="0"/>
      <w:marTop w:val="0"/>
      <w:marBottom w:val="0"/>
      <w:divBdr>
        <w:top w:val="none" w:sz="0" w:space="0" w:color="auto"/>
        <w:left w:val="none" w:sz="0" w:space="0" w:color="auto"/>
        <w:bottom w:val="none" w:sz="0" w:space="0" w:color="auto"/>
        <w:right w:val="none" w:sz="0" w:space="0" w:color="auto"/>
      </w:divBdr>
    </w:div>
    <w:div w:id="403186877">
      <w:bodyDiv w:val="1"/>
      <w:marLeft w:val="0"/>
      <w:marRight w:val="0"/>
      <w:marTop w:val="0"/>
      <w:marBottom w:val="0"/>
      <w:divBdr>
        <w:top w:val="none" w:sz="0" w:space="0" w:color="auto"/>
        <w:left w:val="none" w:sz="0" w:space="0" w:color="auto"/>
        <w:bottom w:val="none" w:sz="0" w:space="0" w:color="auto"/>
        <w:right w:val="none" w:sz="0" w:space="0" w:color="auto"/>
      </w:divBdr>
    </w:div>
    <w:div w:id="403341115">
      <w:bodyDiv w:val="1"/>
      <w:marLeft w:val="0"/>
      <w:marRight w:val="0"/>
      <w:marTop w:val="0"/>
      <w:marBottom w:val="0"/>
      <w:divBdr>
        <w:top w:val="none" w:sz="0" w:space="0" w:color="auto"/>
        <w:left w:val="none" w:sz="0" w:space="0" w:color="auto"/>
        <w:bottom w:val="none" w:sz="0" w:space="0" w:color="auto"/>
        <w:right w:val="none" w:sz="0" w:space="0" w:color="auto"/>
      </w:divBdr>
    </w:div>
    <w:div w:id="403375575">
      <w:bodyDiv w:val="1"/>
      <w:marLeft w:val="0"/>
      <w:marRight w:val="0"/>
      <w:marTop w:val="0"/>
      <w:marBottom w:val="0"/>
      <w:divBdr>
        <w:top w:val="none" w:sz="0" w:space="0" w:color="auto"/>
        <w:left w:val="none" w:sz="0" w:space="0" w:color="auto"/>
        <w:bottom w:val="none" w:sz="0" w:space="0" w:color="auto"/>
        <w:right w:val="none" w:sz="0" w:space="0" w:color="auto"/>
      </w:divBdr>
    </w:div>
    <w:div w:id="403377192">
      <w:bodyDiv w:val="1"/>
      <w:marLeft w:val="0"/>
      <w:marRight w:val="0"/>
      <w:marTop w:val="0"/>
      <w:marBottom w:val="0"/>
      <w:divBdr>
        <w:top w:val="none" w:sz="0" w:space="0" w:color="auto"/>
        <w:left w:val="none" w:sz="0" w:space="0" w:color="auto"/>
        <w:bottom w:val="none" w:sz="0" w:space="0" w:color="auto"/>
        <w:right w:val="none" w:sz="0" w:space="0" w:color="auto"/>
      </w:divBdr>
    </w:div>
    <w:div w:id="403378710">
      <w:bodyDiv w:val="1"/>
      <w:marLeft w:val="0"/>
      <w:marRight w:val="0"/>
      <w:marTop w:val="0"/>
      <w:marBottom w:val="0"/>
      <w:divBdr>
        <w:top w:val="none" w:sz="0" w:space="0" w:color="auto"/>
        <w:left w:val="none" w:sz="0" w:space="0" w:color="auto"/>
        <w:bottom w:val="none" w:sz="0" w:space="0" w:color="auto"/>
        <w:right w:val="none" w:sz="0" w:space="0" w:color="auto"/>
      </w:divBdr>
    </w:div>
    <w:div w:id="403454930">
      <w:bodyDiv w:val="1"/>
      <w:marLeft w:val="0"/>
      <w:marRight w:val="0"/>
      <w:marTop w:val="0"/>
      <w:marBottom w:val="0"/>
      <w:divBdr>
        <w:top w:val="none" w:sz="0" w:space="0" w:color="auto"/>
        <w:left w:val="none" w:sz="0" w:space="0" w:color="auto"/>
        <w:bottom w:val="none" w:sz="0" w:space="0" w:color="auto"/>
        <w:right w:val="none" w:sz="0" w:space="0" w:color="auto"/>
      </w:divBdr>
    </w:div>
    <w:div w:id="403530497">
      <w:bodyDiv w:val="1"/>
      <w:marLeft w:val="0"/>
      <w:marRight w:val="0"/>
      <w:marTop w:val="0"/>
      <w:marBottom w:val="0"/>
      <w:divBdr>
        <w:top w:val="none" w:sz="0" w:space="0" w:color="auto"/>
        <w:left w:val="none" w:sz="0" w:space="0" w:color="auto"/>
        <w:bottom w:val="none" w:sz="0" w:space="0" w:color="auto"/>
        <w:right w:val="none" w:sz="0" w:space="0" w:color="auto"/>
      </w:divBdr>
    </w:div>
    <w:div w:id="403577122">
      <w:bodyDiv w:val="1"/>
      <w:marLeft w:val="0"/>
      <w:marRight w:val="0"/>
      <w:marTop w:val="0"/>
      <w:marBottom w:val="0"/>
      <w:divBdr>
        <w:top w:val="none" w:sz="0" w:space="0" w:color="auto"/>
        <w:left w:val="none" w:sz="0" w:space="0" w:color="auto"/>
        <w:bottom w:val="none" w:sz="0" w:space="0" w:color="auto"/>
        <w:right w:val="none" w:sz="0" w:space="0" w:color="auto"/>
      </w:divBdr>
    </w:div>
    <w:div w:id="403719306">
      <w:bodyDiv w:val="1"/>
      <w:marLeft w:val="0"/>
      <w:marRight w:val="0"/>
      <w:marTop w:val="0"/>
      <w:marBottom w:val="0"/>
      <w:divBdr>
        <w:top w:val="none" w:sz="0" w:space="0" w:color="auto"/>
        <w:left w:val="none" w:sz="0" w:space="0" w:color="auto"/>
        <w:bottom w:val="none" w:sz="0" w:space="0" w:color="auto"/>
        <w:right w:val="none" w:sz="0" w:space="0" w:color="auto"/>
      </w:divBdr>
    </w:div>
    <w:div w:id="403992793">
      <w:bodyDiv w:val="1"/>
      <w:marLeft w:val="0"/>
      <w:marRight w:val="0"/>
      <w:marTop w:val="0"/>
      <w:marBottom w:val="0"/>
      <w:divBdr>
        <w:top w:val="none" w:sz="0" w:space="0" w:color="auto"/>
        <w:left w:val="none" w:sz="0" w:space="0" w:color="auto"/>
        <w:bottom w:val="none" w:sz="0" w:space="0" w:color="auto"/>
        <w:right w:val="none" w:sz="0" w:space="0" w:color="auto"/>
      </w:divBdr>
    </w:div>
    <w:div w:id="403993331">
      <w:bodyDiv w:val="1"/>
      <w:marLeft w:val="0"/>
      <w:marRight w:val="0"/>
      <w:marTop w:val="0"/>
      <w:marBottom w:val="0"/>
      <w:divBdr>
        <w:top w:val="none" w:sz="0" w:space="0" w:color="auto"/>
        <w:left w:val="none" w:sz="0" w:space="0" w:color="auto"/>
        <w:bottom w:val="none" w:sz="0" w:space="0" w:color="auto"/>
        <w:right w:val="none" w:sz="0" w:space="0" w:color="auto"/>
      </w:divBdr>
    </w:div>
    <w:div w:id="403996028">
      <w:bodyDiv w:val="1"/>
      <w:marLeft w:val="0"/>
      <w:marRight w:val="0"/>
      <w:marTop w:val="0"/>
      <w:marBottom w:val="0"/>
      <w:divBdr>
        <w:top w:val="none" w:sz="0" w:space="0" w:color="auto"/>
        <w:left w:val="none" w:sz="0" w:space="0" w:color="auto"/>
        <w:bottom w:val="none" w:sz="0" w:space="0" w:color="auto"/>
        <w:right w:val="none" w:sz="0" w:space="0" w:color="auto"/>
      </w:divBdr>
    </w:div>
    <w:div w:id="403996249">
      <w:bodyDiv w:val="1"/>
      <w:marLeft w:val="0"/>
      <w:marRight w:val="0"/>
      <w:marTop w:val="0"/>
      <w:marBottom w:val="0"/>
      <w:divBdr>
        <w:top w:val="none" w:sz="0" w:space="0" w:color="auto"/>
        <w:left w:val="none" w:sz="0" w:space="0" w:color="auto"/>
        <w:bottom w:val="none" w:sz="0" w:space="0" w:color="auto"/>
        <w:right w:val="none" w:sz="0" w:space="0" w:color="auto"/>
      </w:divBdr>
    </w:div>
    <w:div w:id="404032789">
      <w:bodyDiv w:val="1"/>
      <w:marLeft w:val="0"/>
      <w:marRight w:val="0"/>
      <w:marTop w:val="0"/>
      <w:marBottom w:val="0"/>
      <w:divBdr>
        <w:top w:val="none" w:sz="0" w:space="0" w:color="auto"/>
        <w:left w:val="none" w:sz="0" w:space="0" w:color="auto"/>
        <w:bottom w:val="none" w:sz="0" w:space="0" w:color="auto"/>
        <w:right w:val="none" w:sz="0" w:space="0" w:color="auto"/>
      </w:divBdr>
    </w:div>
    <w:div w:id="404037929">
      <w:bodyDiv w:val="1"/>
      <w:marLeft w:val="0"/>
      <w:marRight w:val="0"/>
      <w:marTop w:val="0"/>
      <w:marBottom w:val="0"/>
      <w:divBdr>
        <w:top w:val="none" w:sz="0" w:space="0" w:color="auto"/>
        <w:left w:val="none" w:sz="0" w:space="0" w:color="auto"/>
        <w:bottom w:val="none" w:sz="0" w:space="0" w:color="auto"/>
        <w:right w:val="none" w:sz="0" w:space="0" w:color="auto"/>
      </w:divBdr>
    </w:div>
    <w:div w:id="404109400">
      <w:bodyDiv w:val="1"/>
      <w:marLeft w:val="0"/>
      <w:marRight w:val="0"/>
      <w:marTop w:val="0"/>
      <w:marBottom w:val="0"/>
      <w:divBdr>
        <w:top w:val="none" w:sz="0" w:space="0" w:color="auto"/>
        <w:left w:val="none" w:sz="0" w:space="0" w:color="auto"/>
        <w:bottom w:val="none" w:sz="0" w:space="0" w:color="auto"/>
        <w:right w:val="none" w:sz="0" w:space="0" w:color="auto"/>
      </w:divBdr>
    </w:div>
    <w:div w:id="404228936">
      <w:bodyDiv w:val="1"/>
      <w:marLeft w:val="0"/>
      <w:marRight w:val="0"/>
      <w:marTop w:val="0"/>
      <w:marBottom w:val="0"/>
      <w:divBdr>
        <w:top w:val="none" w:sz="0" w:space="0" w:color="auto"/>
        <w:left w:val="none" w:sz="0" w:space="0" w:color="auto"/>
        <w:bottom w:val="none" w:sz="0" w:space="0" w:color="auto"/>
        <w:right w:val="none" w:sz="0" w:space="0" w:color="auto"/>
      </w:divBdr>
    </w:div>
    <w:div w:id="404425067">
      <w:bodyDiv w:val="1"/>
      <w:marLeft w:val="0"/>
      <w:marRight w:val="0"/>
      <w:marTop w:val="0"/>
      <w:marBottom w:val="0"/>
      <w:divBdr>
        <w:top w:val="none" w:sz="0" w:space="0" w:color="auto"/>
        <w:left w:val="none" w:sz="0" w:space="0" w:color="auto"/>
        <w:bottom w:val="none" w:sz="0" w:space="0" w:color="auto"/>
        <w:right w:val="none" w:sz="0" w:space="0" w:color="auto"/>
      </w:divBdr>
    </w:div>
    <w:div w:id="404452358">
      <w:bodyDiv w:val="1"/>
      <w:marLeft w:val="0"/>
      <w:marRight w:val="0"/>
      <w:marTop w:val="0"/>
      <w:marBottom w:val="0"/>
      <w:divBdr>
        <w:top w:val="none" w:sz="0" w:space="0" w:color="auto"/>
        <w:left w:val="none" w:sz="0" w:space="0" w:color="auto"/>
        <w:bottom w:val="none" w:sz="0" w:space="0" w:color="auto"/>
        <w:right w:val="none" w:sz="0" w:space="0" w:color="auto"/>
      </w:divBdr>
    </w:div>
    <w:div w:id="404689838">
      <w:bodyDiv w:val="1"/>
      <w:marLeft w:val="0"/>
      <w:marRight w:val="0"/>
      <w:marTop w:val="0"/>
      <w:marBottom w:val="0"/>
      <w:divBdr>
        <w:top w:val="none" w:sz="0" w:space="0" w:color="auto"/>
        <w:left w:val="none" w:sz="0" w:space="0" w:color="auto"/>
        <w:bottom w:val="none" w:sz="0" w:space="0" w:color="auto"/>
        <w:right w:val="none" w:sz="0" w:space="0" w:color="auto"/>
      </w:divBdr>
    </w:div>
    <w:div w:id="404763202">
      <w:bodyDiv w:val="1"/>
      <w:marLeft w:val="0"/>
      <w:marRight w:val="0"/>
      <w:marTop w:val="0"/>
      <w:marBottom w:val="0"/>
      <w:divBdr>
        <w:top w:val="none" w:sz="0" w:space="0" w:color="auto"/>
        <w:left w:val="none" w:sz="0" w:space="0" w:color="auto"/>
        <w:bottom w:val="none" w:sz="0" w:space="0" w:color="auto"/>
        <w:right w:val="none" w:sz="0" w:space="0" w:color="auto"/>
      </w:divBdr>
    </w:div>
    <w:div w:id="404958990">
      <w:bodyDiv w:val="1"/>
      <w:marLeft w:val="0"/>
      <w:marRight w:val="0"/>
      <w:marTop w:val="0"/>
      <w:marBottom w:val="0"/>
      <w:divBdr>
        <w:top w:val="none" w:sz="0" w:space="0" w:color="auto"/>
        <w:left w:val="none" w:sz="0" w:space="0" w:color="auto"/>
        <w:bottom w:val="none" w:sz="0" w:space="0" w:color="auto"/>
        <w:right w:val="none" w:sz="0" w:space="0" w:color="auto"/>
      </w:divBdr>
    </w:div>
    <w:div w:id="405033064">
      <w:bodyDiv w:val="1"/>
      <w:marLeft w:val="0"/>
      <w:marRight w:val="0"/>
      <w:marTop w:val="0"/>
      <w:marBottom w:val="0"/>
      <w:divBdr>
        <w:top w:val="none" w:sz="0" w:space="0" w:color="auto"/>
        <w:left w:val="none" w:sz="0" w:space="0" w:color="auto"/>
        <w:bottom w:val="none" w:sz="0" w:space="0" w:color="auto"/>
        <w:right w:val="none" w:sz="0" w:space="0" w:color="auto"/>
      </w:divBdr>
    </w:div>
    <w:div w:id="405036340">
      <w:bodyDiv w:val="1"/>
      <w:marLeft w:val="0"/>
      <w:marRight w:val="0"/>
      <w:marTop w:val="0"/>
      <w:marBottom w:val="0"/>
      <w:divBdr>
        <w:top w:val="none" w:sz="0" w:space="0" w:color="auto"/>
        <w:left w:val="none" w:sz="0" w:space="0" w:color="auto"/>
        <w:bottom w:val="none" w:sz="0" w:space="0" w:color="auto"/>
        <w:right w:val="none" w:sz="0" w:space="0" w:color="auto"/>
      </w:divBdr>
    </w:div>
    <w:div w:id="405155162">
      <w:bodyDiv w:val="1"/>
      <w:marLeft w:val="0"/>
      <w:marRight w:val="0"/>
      <w:marTop w:val="0"/>
      <w:marBottom w:val="0"/>
      <w:divBdr>
        <w:top w:val="none" w:sz="0" w:space="0" w:color="auto"/>
        <w:left w:val="none" w:sz="0" w:space="0" w:color="auto"/>
        <w:bottom w:val="none" w:sz="0" w:space="0" w:color="auto"/>
        <w:right w:val="none" w:sz="0" w:space="0" w:color="auto"/>
      </w:divBdr>
    </w:div>
    <w:div w:id="405300349">
      <w:bodyDiv w:val="1"/>
      <w:marLeft w:val="0"/>
      <w:marRight w:val="0"/>
      <w:marTop w:val="0"/>
      <w:marBottom w:val="0"/>
      <w:divBdr>
        <w:top w:val="none" w:sz="0" w:space="0" w:color="auto"/>
        <w:left w:val="none" w:sz="0" w:space="0" w:color="auto"/>
        <w:bottom w:val="none" w:sz="0" w:space="0" w:color="auto"/>
        <w:right w:val="none" w:sz="0" w:space="0" w:color="auto"/>
      </w:divBdr>
    </w:div>
    <w:div w:id="405348051">
      <w:bodyDiv w:val="1"/>
      <w:marLeft w:val="0"/>
      <w:marRight w:val="0"/>
      <w:marTop w:val="0"/>
      <w:marBottom w:val="0"/>
      <w:divBdr>
        <w:top w:val="none" w:sz="0" w:space="0" w:color="auto"/>
        <w:left w:val="none" w:sz="0" w:space="0" w:color="auto"/>
        <w:bottom w:val="none" w:sz="0" w:space="0" w:color="auto"/>
        <w:right w:val="none" w:sz="0" w:space="0" w:color="auto"/>
      </w:divBdr>
    </w:div>
    <w:div w:id="405416523">
      <w:bodyDiv w:val="1"/>
      <w:marLeft w:val="0"/>
      <w:marRight w:val="0"/>
      <w:marTop w:val="0"/>
      <w:marBottom w:val="0"/>
      <w:divBdr>
        <w:top w:val="none" w:sz="0" w:space="0" w:color="auto"/>
        <w:left w:val="none" w:sz="0" w:space="0" w:color="auto"/>
        <w:bottom w:val="none" w:sz="0" w:space="0" w:color="auto"/>
        <w:right w:val="none" w:sz="0" w:space="0" w:color="auto"/>
      </w:divBdr>
    </w:div>
    <w:div w:id="405423724">
      <w:bodyDiv w:val="1"/>
      <w:marLeft w:val="0"/>
      <w:marRight w:val="0"/>
      <w:marTop w:val="0"/>
      <w:marBottom w:val="0"/>
      <w:divBdr>
        <w:top w:val="none" w:sz="0" w:space="0" w:color="auto"/>
        <w:left w:val="none" w:sz="0" w:space="0" w:color="auto"/>
        <w:bottom w:val="none" w:sz="0" w:space="0" w:color="auto"/>
        <w:right w:val="none" w:sz="0" w:space="0" w:color="auto"/>
      </w:divBdr>
    </w:div>
    <w:div w:id="405495441">
      <w:bodyDiv w:val="1"/>
      <w:marLeft w:val="0"/>
      <w:marRight w:val="0"/>
      <w:marTop w:val="0"/>
      <w:marBottom w:val="0"/>
      <w:divBdr>
        <w:top w:val="none" w:sz="0" w:space="0" w:color="auto"/>
        <w:left w:val="none" w:sz="0" w:space="0" w:color="auto"/>
        <w:bottom w:val="none" w:sz="0" w:space="0" w:color="auto"/>
        <w:right w:val="none" w:sz="0" w:space="0" w:color="auto"/>
      </w:divBdr>
    </w:div>
    <w:div w:id="405539820">
      <w:bodyDiv w:val="1"/>
      <w:marLeft w:val="0"/>
      <w:marRight w:val="0"/>
      <w:marTop w:val="0"/>
      <w:marBottom w:val="0"/>
      <w:divBdr>
        <w:top w:val="none" w:sz="0" w:space="0" w:color="auto"/>
        <w:left w:val="none" w:sz="0" w:space="0" w:color="auto"/>
        <w:bottom w:val="none" w:sz="0" w:space="0" w:color="auto"/>
        <w:right w:val="none" w:sz="0" w:space="0" w:color="auto"/>
      </w:divBdr>
    </w:div>
    <w:div w:id="405612558">
      <w:bodyDiv w:val="1"/>
      <w:marLeft w:val="0"/>
      <w:marRight w:val="0"/>
      <w:marTop w:val="0"/>
      <w:marBottom w:val="0"/>
      <w:divBdr>
        <w:top w:val="none" w:sz="0" w:space="0" w:color="auto"/>
        <w:left w:val="none" w:sz="0" w:space="0" w:color="auto"/>
        <w:bottom w:val="none" w:sz="0" w:space="0" w:color="auto"/>
        <w:right w:val="none" w:sz="0" w:space="0" w:color="auto"/>
      </w:divBdr>
    </w:div>
    <w:div w:id="405616921">
      <w:bodyDiv w:val="1"/>
      <w:marLeft w:val="0"/>
      <w:marRight w:val="0"/>
      <w:marTop w:val="0"/>
      <w:marBottom w:val="0"/>
      <w:divBdr>
        <w:top w:val="none" w:sz="0" w:space="0" w:color="auto"/>
        <w:left w:val="none" w:sz="0" w:space="0" w:color="auto"/>
        <w:bottom w:val="none" w:sz="0" w:space="0" w:color="auto"/>
        <w:right w:val="none" w:sz="0" w:space="0" w:color="auto"/>
      </w:divBdr>
    </w:div>
    <w:div w:id="405685317">
      <w:bodyDiv w:val="1"/>
      <w:marLeft w:val="0"/>
      <w:marRight w:val="0"/>
      <w:marTop w:val="0"/>
      <w:marBottom w:val="0"/>
      <w:divBdr>
        <w:top w:val="none" w:sz="0" w:space="0" w:color="auto"/>
        <w:left w:val="none" w:sz="0" w:space="0" w:color="auto"/>
        <w:bottom w:val="none" w:sz="0" w:space="0" w:color="auto"/>
        <w:right w:val="none" w:sz="0" w:space="0" w:color="auto"/>
      </w:divBdr>
    </w:div>
    <w:div w:id="405689196">
      <w:bodyDiv w:val="1"/>
      <w:marLeft w:val="0"/>
      <w:marRight w:val="0"/>
      <w:marTop w:val="0"/>
      <w:marBottom w:val="0"/>
      <w:divBdr>
        <w:top w:val="none" w:sz="0" w:space="0" w:color="auto"/>
        <w:left w:val="none" w:sz="0" w:space="0" w:color="auto"/>
        <w:bottom w:val="none" w:sz="0" w:space="0" w:color="auto"/>
        <w:right w:val="none" w:sz="0" w:space="0" w:color="auto"/>
      </w:divBdr>
    </w:div>
    <w:div w:id="405689205">
      <w:bodyDiv w:val="1"/>
      <w:marLeft w:val="0"/>
      <w:marRight w:val="0"/>
      <w:marTop w:val="0"/>
      <w:marBottom w:val="0"/>
      <w:divBdr>
        <w:top w:val="none" w:sz="0" w:space="0" w:color="auto"/>
        <w:left w:val="none" w:sz="0" w:space="0" w:color="auto"/>
        <w:bottom w:val="none" w:sz="0" w:space="0" w:color="auto"/>
        <w:right w:val="none" w:sz="0" w:space="0" w:color="auto"/>
      </w:divBdr>
    </w:div>
    <w:div w:id="405690646">
      <w:bodyDiv w:val="1"/>
      <w:marLeft w:val="0"/>
      <w:marRight w:val="0"/>
      <w:marTop w:val="0"/>
      <w:marBottom w:val="0"/>
      <w:divBdr>
        <w:top w:val="none" w:sz="0" w:space="0" w:color="auto"/>
        <w:left w:val="none" w:sz="0" w:space="0" w:color="auto"/>
        <w:bottom w:val="none" w:sz="0" w:space="0" w:color="auto"/>
        <w:right w:val="none" w:sz="0" w:space="0" w:color="auto"/>
      </w:divBdr>
    </w:div>
    <w:div w:id="405734434">
      <w:bodyDiv w:val="1"/>
      <w:marLeft w:val="0"/>
      <w:marRight w:val="0"/>
      <w:marTop w:val="0"/>
      <w:marBottom w:val="0"/>
      <w:divBdr>
        <w:top w:val="none" w:sz="0" w:space="0" w:color="auto"/>
        <w:left w:val="none" w:sz="0" w:space="0" w:color="auto"/>
        <w:bottom w:val="none" w:sz="0" w:space="0" w:color="auto"/>
        <w:right w:val="none" w:sz="0" w:space="0" w:color="auto"/>
      </w:divBdr>
    </w:div>
    <w:div w:id="405735034">
      <w:bodyDiv w:val="1"/>
      <w:marLeft w:val="0"/>
      <w:marRight w:val="0"/>
      <w:marTop w:val="0"/>
      <w:marBottom w:val="0"/>
      <w:divBdr>
        <w:top w:val="none" w:sz="0" w:space="0" w:color="auto"/>
        <w:left w:val="none" w:sz="0" w:space="0" w:color="auto"/>
        <w:bottom w:val="none" w:sz="0" w:space="0" w:color="auto"/>
        <w:right w:val="none" w:sz="0" w:space="0" w:color="auto"/>
      </w:divBdr>
    </w:div>
    <w:div w:id="405954662">
      <w:bodyDiv w:val="1"/>
      <w:marLeft w:val="0"/>
      <w:marRight w:val="0"/>
      <w:marTop w:val="0"/>
      <w:marBottom w:val="0"/>
      <w:divBdr>
        <w:top w:val="none" w:sz="0" w:space="0" w:color="auto"/>
        <w:left w:val="none" w:sz="0" w:space="0" w:color="auto"/>
        <w:bottom w:val="none" w:sz="0" w:space="0" w:color="auto"/>
        <w:right w:val="none" w:sz="0" w:space="0" w:color="auto"/>
      </w:divBdr>
    </w:div>
    <w:div w:id="406149938">
      <w:bodyDiv w:val="1"/>
      <w:marLeft w:val="0"/>
      <w:marRight w:val="0"/>
      <w:marTop w:val="0"/>
      <w:marBottom w:val="0"/>
      <w:divBdr>
        <w:top w:val="none" w:sz="0" w:space="0" w:color="auto"/>
        <w:left w:val="none" w:sz="0" w:space="0" w:color="auto"/>
        <w:bottom w:val="none" w:sz="0" w:space="0" w:color="auto"/>
        <w:right w:val="none" w:sz="0" w:space="0" w:color="auto"/>
      </w:divBdr>
    </w:div>
    <w:div w:id="406267228">
      <w:bodyDiv w:val="1"/>
      <w:marLeft w:val="0"/>
      <w:marRight w:val="0"/>
      <w:marTop w:val="0"/>
      <w:marBottom w:val="0"/>
      <w:divBdr>
        <w:top w:val="none" w:sz="0" w:space="0" w:color="auto"/>
        <w:left w:val="none" w:sz="0" w:space="0" w:color="auto"/>
        <w:bottom w:val="none" w:sz="0" w:space="0" w:color="auto"/>
        <w:right w:val="none" w:sz="0" w:space="0" w:color="auto"/>
      </w:divBdr>
    </w:div>
    <w:div w:id="406270736">
      <w:bodyDiv w:val="1"/>
      <w:marLeft w:val="0"/>
      <w:marRight w:val="0"/>
      <w:marTop w:val="0"/>
      <w:marBottom w:val="0"/>
      <w:divBdr>
        <w:top w:val="none" w:sz="0" w:space="0" w:color="auto"/>
        <w:left w:val="none" w:sz="0" w:space="0" w:color="auto"/>
        <w:bottom w:val="none" w:sz="0" w:space="0" w:color="auto"/>
        <w:right w:val="none" w:sz="0" w:space="0" w:color="auto"/>
      </w:divBdr>
    </w:div>
    <w:div w:id="406346989">
      <w:bodyDiv w:val="1"/>
      <w:marLeft w:val="0"/>
      <w:marRight w:val="0"/>
      <w:marTop w:val="0"/>
      <w:marBottom w:val="0"/>
      <w:divBdr>
        <w:top w:val="none" w:sz="0" w:space="0" w:color="auto"/>
        <w:left w:val="none" w:sz="0" w:space="0" w:color="auto"/>
        <w:bottom w:val="none" w:sz="0" w:space="0" w:color="auto"/>
        <w:right w:val="none" w:sz="0" w:space="0" w:color="auto"/>
      </w:divBdr>
    </w:div>
    <w:div w:id="406347085">
      <w:bodyDiv w:val="1"/>
      <w:marLeft w:val="0"/>
      <w:marRight w:val="0"/>
      <w:marTop w:val="0"/>
      <w:marBottom w:val="0"/>
      <w:divBdr>
        <w:top w:val="none" w:sz="0" w:space="0" w:color="auto"/>
        <w:left w:val="none" w:sz="0" w:space="0" w:color="auto"/>
        <w:bottom w:val="none" w:sz="0" w:space="0" w:color="auto"/>
        <w:right w:val="none" w:sz="0" w:space="0" w:color="auto"/>
      </w:divBdr>
    </w:div>
    <w:div w:id="406537644">
      <w:bodyDiv w:val="1"/>
      <w:marLeft w:val="0"/>
      <w:marRight w:val="0"/>
      <w:marTop w:val="0"/>
      <w:marBottom w:val="0"/>
      <w:divBdr>
        <w:top w:val="none" w:sz="0" w:space="0" w:color="auto"/>
        <w:left w:val="none" w:sz="0" w:space="0" w:color="auto"/>
        <w:bottom w:val="none" w:sz="0" w:space="0" w:color="auto"/>
        <w:right w:val="none" w:sz="0" w:space="0" w:color="auto"/>
      </w:divBdr>
    </w:div>
    <w:div w:id="406616921">
      <w:bodyDiv w:val="1"/>
      <w:marLeft w:val="0"/>
      <w:marRight w:val="0"/>
      <w:marTop w:val="0"/>
      <w:marBottom w:val="0"/>
      <w:divBdr>
        <w:top w:val="none" w:sz="0" w:space="0" w:color="auto"/>
        <w:left w:val="none" w:sz="0" w:space="0" w:color="auto"/>
        <w:bottom w:val="none" w:sz="0" w:space="0" w:color="auto"/>
        <w:right w:val="none" w:sz="0" w:space="0" w:color="auto"/>
      </w:divBdr>
    </w:div>
    <w:div w:id="406653604">
      <w:bodyDiv w:val="1"/>
      <w:marLeft w:val="0"/>
      <w:marRight w:val="0"/>
      <w:marTop w:val="0"/>
      <w:marBottom w:val="0"/>
      <w:divBdr>
        <w:top w:val="none" w:sz="0" w:space="0" w:color="auto"/>
        <w:left w:val="none" w:sz="0" w:space="0" w:color="auto"/>
        <w:bottom w:val="none" w:sz="0" w:space="0" w:color="auto"/>
        <w:right w:val="none" w:sz="0" w:space="0" w:color="auto"/>
      </w:divBdr>
    </w:div>
    <w:div w:id="406726831">
      <w:bodyDiv w:val="1"/>
      <w:marLeft w:val="0"/>
      <w:marRight w:val="0"/>
      <w:marTop w:val="0"/>
      <w:marBottom w:val="0"/>
      <w:divBdr>
        <w:top w:val="none" w:sz="0" w:space="0" w:color="auto"/>
        <w:left w:val="none" w:sz="0" w:space="0" w:color="auto"/>
        <w:bottom w:val="none" w:sz="0" w:space="0" w:color="auto"/>
        <w:right w:val="none" w:sz="0" w:space="0" w:color="auto"/>
      </w:divBdr>
    </w:div>
    <w:div w:id="406728654">
      <w:bodyDiv w:val="1"/>
      <w:marLeft w:val="0"/>
      <w:marRight w:val="0"/>
      <w:marTop w:val="0"/>
      <w:marBottom w:val="0"/>
      <w:divBdr>
        <w:top w:val="none" w:sz="0" w:space="0" w:color="auto"/>
        <w:left w:val="none" w:sz="0" w:space="0" w:color="auto"/>
        <w:bottom w:val="none" w:sz="0" w:space="0" w:color="auto"/>
        <w:right w:val="none" w:sz="0" w:space="0" w:color="auto"/>
      </w:divBdr>
    </w:div>
    <w:div w:id="406927855">
      <w:bodyDiv w:val="1"/>
      <w:marLeft w:val="0"/>
      <w:marRight w:val="0"/>
      <w:marTop w:val="0"/>
      <w:marBottom w:val="0"/>
      <w:divBdr>
        <w:top w:val="none" w:sz="0" w:space="0" w:color="auto"/>
        <w:left w:val="none" w:sz="0" w:space="0" w:color="auto"/>
        <w:bottom w:val="none" w:sz="0" w:space="0" w:color="auto"/>
        <w:right w:val="none" w:sz="0" w:space="0" w:color="auto"/>
      </w:divBdr>
    </w:div>
    <w:div w:id="406995514">
      <w:bodyDiv w:val="1"/>
      <w:marLeft w:val="0"/>
      <w:marRight w:val="0"/>
      <w:marTop w:val="0"/>
      <w:marBottom w:val="0"/>
      <w:divBdr>
        <w:top w:val="none" w:sz="0" w:space="0" w:color="auto"/>
        <w:left w:val="none" w:sz="0" w:space="0" w:color="auto"/>
        <w:bottom w:val="none" w:sz="0" w:space="0" w:color="auto"/>
        <w:right w:val="none" w:sz="0" w:space="0" w:color="auto"/>
      </w:divBdr>
    </w:div>
    <w:div w:id="406996845">
      <w:bodyDiv w:val="1"/>
      <w:marLeft w:val="0"/>
      <w:marRight w:val="0"/>
      <w:marTop w:val="0"/>
      <w:marBottom w:val="0"/>
      <w:divBdr>
        <w:top w:val="none" w:sz="0" w:space="0" w:color="auto"/>
        <w:left w:val="none" w:sz="0" w:space="0" w:color="auto"/>
        <w:bottom w:val="none" w:sz="0" w:space="0" w:color="auto"/>
        <w:right w:val="none" w:sz="0" w:space="0" w:color="auto"/>
      </w:divBdr>
    </w:div>
    <w:div w:id="407000000">
      <w:bodyDiv w:val="1"/>
      <w:marLeft w:val="0"/>
      <w:marRight w:val="0"/>
      <w:marTop w:val="0"/>
      <w:marBottom w:val="0"/>
      <w:divBdr>
        <w:top w:val="none" w:sz="0" w:space="0" w:color="auto"/>
        <w:left w:val="none" w:sz="0" w:space="0" w:color="auto"/>
        <w:bottom w:val="none" w:sz="0" w:space="0" w:color="auto"/>
        <w:right w:val="none" w:sz="0" w:space="0" w:color="auto"/>
      </w:divBdr>
    </w:div>
    <w:div w:id="407045053">
      <w:bodyDiv w:val="1"/>
      <w:marLeft w:val="0"/>
      <w:marRight w:val="0"/>
      <w:marTop w:val="0"/>
      <w:marBottom w:val="0"/>
      <w:divBdr>
        <w:top w:val="none" w:sz="0" w:space="0" w:color="auto"/>
        <w:left w:val="none" w:sz="0" w:space="0" w:color="auto"/>
        <w:bottom w:val="none" w:sz="0" w:space="0" w:color="auto"/>
        <w:right w:val="none" w:sz="0" w:space="0" w:color="auto"/>
      </w:divBdr>
    </w:div>
    <w:div w:id="407188041">
      <w:bodyDiv w:val="1"/>
      <w:marLeft w:val="0"/>
      <w:marRight w:val="0"/>
      <w:marTop w:val="0"/>
      <w:marBottom w:val="0"/>
      <w:divBdr>
        <w:top w:val="none" w:sz="0" w:space="0" w:color="auto"/>
        <w:left w:val="none" w:sz="0" w:space="0" w:color="auto"/>
        <w:bottom w:val="none" w:sz="0" w:space="0" w:color="auto"/>
        <w:right w:val="none" w:sz="0" w:space="0" w:color="auto"/>
      </w:divBdr>
    </w:div>
    <w:div w:id="407194713">
      <w:bodyDiv w:val="1"/>
      <w:marLeft w:val="0"/>
      <w:marRight w:val="0"/>
      <w:marTop w:val="0"/>
      <w:marBottom w:val="0"/>
      <w:divBdr>
        <w:top w:val="none" w:sz="0" w:space="0" w:color="auto"/>
        <w:left w:val="none" w:sz="0" w:space="0" w:color="auto"/>
        <w:bottom w:val="none" w:sz="0" w:space="0" w:color="auto"/>
        <w:right w:val="none" w:sz="0" w:space="0" w:color="auto"/>
      </w:divBdr>
    </w:div>
    <w:div w:id="407269461">
      <w:bodyDiv w:val="1"/>
      <w:marLeft w:val="0"/>
      <w:marRight w:val="0"/>
      <w:marTop w:val="0"/>
      <w:marBottom w:val="0"/>
      <w:divBdr>
        <w:top w:val="none" w:sz="0" w:space="0" w:color="auto"/>
        <w:left w:val="none" w:sz="0" w:space="0" w:color="auto"/>
        <w:bottom w:val="none" w:sz="0" w:space="0" w:color="auto"/>
        <w:right w:val="none" w:sz="0" w:space="0" w:color="auto"/>
      </w:divBdr>
    </w:div>
    <w:div w:id="407385190">
      <w:bodyDiv w:val="1"/>
      <w:marLeft w:val="0"/>
      <w:marRight w:val="0"/>
      <w:marTop w:val="0"/>
      <w:marBottom w:val="0"/>
      <w:divBdr>
        <w:top w:val="none" w:sz="0" w:space="0" w:color="auto"/>
        <w:left w:val="none" w:sz="0" w:space="0" w:color="auto"/>
        <w:bottom w:val="none" w:sz="0" w:space="0" w:color="auto"/>
        <w:right w:val="none" w:sz="0" w:space="0" w:color="auto"/>
      </w:divBdr>
    </w:div>
    <w:div w:id="407386878">
      <w:bodyDiv w:val="1"/>
      <w:marLeft w:val="0"/>
      <w:marRight w:val="0"/>
      <w:marTop w:val="0"/>
      <w:marBottom w:val="0"/>
      <w:divBdr>
        <w:top w:val="none" w:sz="0" w:space="0" w:color="auto"/>
        <w:left w:val="none" w:sz="0" w:space="0" w:color="auto"/>
        <w:bottom w:val="none" w:sz="0" w:space="0" w:color="auto"/>
        <w:right w:val="none" w:sz="0" w:space="0" w:color="auto"/>
      </w:divBdr>
    </w:div>
    <w:div w:id="407581877">
      <w:bodyDiv w:val="1"/>
      <w:marLeft w:val="0"/>
      <w:marRight w:val="0"/>
      <w:marTop w:val="0"/>
      <w:marBottom w:val="0"/>
      <w:divBdr>
        <w:top w:val="none" w:sz="0" w:space="0" w:color="auto"/>
        <w:left w:val="none" w:sz="0" w:space="0" w:color="auto"/>
        <w:bottom w:val="none" w:sz="0" w:space="0" w:color="auto"/>
        <w:right w:val="none" w:sz="0" w:space="0" w:color="auto"/>
      </w:divBdr>
    </w:div>
    <w:div w:id="407582216">
      <w:bodyDiv w:val="1"/>
      <w:marLeft w:val="0"/>
      <w:marRight w:val="0"/>
      <w:marTop w:val="0"/>
      <w:marBottom w:val="0"/>
      <w:divBdr>
        <w:top w:val="none" w:sz="0" w:space="0" w:color="auto"/>
        <w:left w:val="none" w:sz="0" w:space="0" w:color="auto"/>
        <w:bottom w:val="none" w:sz="0" w:space="0" w:color="auto"/>
        <w:right w:val="none" w:sz="0" w:space="0" w:color="auto"/>
      </w:divBdr>
    </w:div>
    <w:div w:id="407658798">
      <w:bodyDiv w:val="1"/>
      <w:marLeft w:val="0"/>
      <w:marRight w:val="0"/>
      <w:marTop w:val="0"/>
      <w:marBottom w:val="0"/>
      <w:divBdr>
        <w:top w:val="none" w:sz="0" w:space="0" w:color="auto"/>
        <w:left w:val="none" w:sz="0" w:space="0" w:color="auto"/>
        <w:bottom w:val="none" w:sz="0" w:space="0" w:color="auto"/>
        <w:right w:val="none" w:sz="0" w:space="0" w:color="auto"/>
      </w:divBdr>
    </w:div>
    <w:div w:id="407727752">
      <w:bodyDiv w:val="1"/>
      <w:marLeft w:val="0"/>
      <w:marRight w:val="0"/>
      <w:marTop w:val="0"/>
      <w:marBottom w:val="0"/>
      <w:divBdr>
        <w:top w:val="none" w:sz="0" w:space="0" w:color="auto"/>
        <w:left w:val="none" w:sz="0" w:space="0" w:color="auto"/>
        <w:bottom w:val="none" w:sz="0" w:space="0" w:color="auto"/>
        <w:right w:val="none" w:sz="0" w:space="0" w:color="auto"/>
      </w:divBdr>
    </w:div>
    <w:div w:id="407843888">
      <w:bodyDiv w:val="1"/>
      <w:marLeft w:val="0"/>
      <w:marRight w:val="0"/>
      <w:marTop w:val="0"/>
      <w:marBottom w:val="0"/>
      <w:divBdr>
        <w:top w:val="none" w:sz="0" w:space="0" w:color="auto"/>
        <w:left w:val="none" w:sz="0" w:space="0" w:color="auto"/>
        <w:bottom w:val="none" w:sz="0" w:space="0" w:color="auto"/>
        <w:right w:val="none" w:sz="0" w:space="0" w:color="auto"/>
      </w:divBdr>
    </w:div>
    <w:div w:id="407849741">
      <w:bodyDiv w:val="1"/>
      <w:marLeft w:val="0"/>
      <w:marRight w:val="0"/>
      <w:marTop w:val="0"/>
      <w:marBottom w:val="0"/>
      <w:divBdr>
        <w:top w:val="none" w:sz="0" w:space="0" w:color="auto"/>
        <w:left w:val="none" w:sz="0" w:space="0" w:color="auto"/>
        <w:bottom w:val="none" w:sz="0" w:space="0" w:color="auto"/>
        <w:right w:val="none" w:sz="0" w:space="0" w:color="auto"/>
      </w:divBdr>
    </w:div>
    <w:div w:id="407969509">
      <w:bodyDiv w:val="1"/>
      <w:marLeft w:val="0"/>
      <w:marRight w:val="0"/>
      <w:marTop w:val="0"/>
      <w:marBottom w:val="0"/>
      <w:divBdr>
        <w:top w:val="none" w:sz="0" w:space="0" w:color="auto"/>
        <w:left w:val="none" w:sz="0" w:space="0" w:color="auto"/>
        <w:bottom w:val="none" w:sz="0" w:space="0" w:color="auto"/>
        <w:right w:val="none" w:sz="0" w:space="0" w:color="auto"/>
      </w:divBdr>
    </w:div>
    <w:div w:id="408041396">
      <w:bodyDiv w:val="1"/>
      <w:marLeft w:val="0"/>
      <w:marRight w:val="0"/>
      <w:marTop w:val="0"/>
      <w:marBottom w:val="0"/>
      <w:divBdr>
        <w:top w:val="none" w:sz="0" w:space="0" w:color="auto"/>
        <w:left w:val="none" w:sz="0" w:space="0" w:color="auto"/>
        <w:bottom w:val="none" w:sz="0" w:space="0" w:color="auto"/>
        <w:right w:val="none" w:sz="0" w:space="0" w:color="auto"/>
      </w:divBdr>
    </w:div>
    <w:div w:id="408117006">
      <w:bodyDiv w:val="1"/>
      <w:marLeft w:val="0"/>
      <w:marRight w:val="0"/>
      <w:marTop w:val="0"/>
      <w:marBottom w:val="0"/>
      <w:divBdr>
        <w:top w:val="none" w:sz="0" w:space="0" w:color="auto"/>
        <w:left w:val="none" w:sz="0" w:space="0" w:color="auto"/>
        <w:bottom w:val="none" w:sz="0" w:space="0" w:color="auto"/>
        <w:right w:val="none" w:sz="0" w:space="0" w:color="auto"/>
      </w:divBdr>
    </w:div>
    <w:div w:id="408190280">
      <w:bodyDiv w:val="1"/>
      <w:marLeft w:val="0"/>
      <w:marRight w:val="0"/>
      <w:marTop w:val="0"/>
      <w:marBottom w:val="0"/>
      <w:divBdr>
        <w:top w:val="none" w:sz="0" w:space="0" w:color="auto"/>
        <w:left w:val="none" w:sz="0" w:space="0" w:color="auto"/>
        <w:bottom w:val="none" w:sz="0" w:space="0" w:color="auto"/>
        <w:right w:val="none" w:sz="0" w:space="0" w:color="auto"/>
      </w:divBdr>
    </w:div>
    <w:div w:id="408312707">
      <w:bodyDiv w:val="1"/>
      <w:marLeft w:val="0"/>
      <w:marRight w:val="0"/>
      <w:marTop w:val="0"/>
      <w:marBottom w:val="0"/>
      <w:divBdr>
        <w:top w:val="none" w:sz="0" w:space="0" w:color="auto"/>
        <w:left w:val="none" w:sz="0" w:space="0" w:color="auto"/>
        <w:bottom w:val="none" w:sz="0" w:space="0" w:color="auto"/>
        <w:right w:val="none" w:sz="0" w:space="0" w:color="auto"/>
      </w:divBdr>
    </w:div>
    <w:div w:id="408383570">
      <w:bodyDiv w:val="1"/>
      <w:marLeft w:val="0"/>
      <w:marRight w:val="0"/>
      <w:marTop w:val="0"/>
      <w:marBottom w:val="0"/>
      <w:divBdr>
        <w:top w:val="none" w:sz="0" w:space="0" w:color="auto"/>
        <w:left w:val="none" w:sz="0" w:space="0" w:color="auto"/>
        <w:bottom w:val="none" w:sz="0" w:space="0" w:color="auto"/>
        <w:right w:val="none" w:sz="0" w:space="0" w:color="auto"/>
      </w:divBdr>
    </w:div>
    <w:div w:id="408423503">
      <w:bodyDiv w:val="1"/>
      <w:marLeft w:val="0"/>
      <w:marRight w:val="0"/>
      <w:marTop w:val="0"/>
      <w:marBottom w:val="0"/>
      <w:divBdr>
        <w:top w:val="none" w:sz="0" w:space="0" w:color="auto"/>
        <w:left w:val="none" w:sz="0" w:space="0" w:color="auto"/>
        <w:bottom w:val="none" w:sz="0" w:space="0" w:color="auto"/>
        <w:right w:val="none" w:sz="0" w:space="0" w:color="auto"/>
      </w:divBdr>
    </w:div>
    <w:div w:id="408427201">
      <w:bodyDiv w:val="1"/>
      <w:marLeft w:val="0"/>
      <w:marRight w:val="0"/>
      <w:marTop w:val="0"/>
      <w:marBottom w:val="0"/>
      <w:divBdr>
        <w:top w:val="none" w:sz="0" w:space="0" w:color="auto"/>
        <w:left w:val="none" w:sz="0" w:space="0" w:color="auto"/>
        <w:bottom w:val="none" w:sz="0" w:space="0" w:color="auto"/>
        <w:right w:val="none" w:sz="0" w:space="0" w:color="auto"/>
      </w:divBdr>
    </w:div>
    <w:div w:id="408429133">
      <w:bodyDiv w:val="1"/>
      <w:marLeft w:val="0"/>
      <w:marRight w:val="0"/>
      <w:marTop w:val="0"/>
      <w:marBottom w:val="0"/>
      <w:divBdr>
        <w:top w:val="none" w:sz="0" w:space="0" w:color="auto"/>
        <w:left w:val="none" w:sz="0" w:space="0" w:color="auto"/>
        <w:bottom w:val="none" w:sz="0" w:space="0" w:color="auto"/>
        <w:right w:val="none" w:sz="0" w:space="0" w:color="auto"/>
      </w:divBdr>
    </w:div>
    <w:div w:id="408432061">
      <w:bodyDiv w:val="1"/>
      <w:marLeft w:val="0"/>
      <w:marRight w:val="0"/>
      <w:marTop w:val="0"/>
      <w:marBottom w:val="0"/>
      <w:divBdr>
        <w:top w:val="none" w:sz="0" w:space="0" w:color="auto"/>
        <w:left w:val="none" w:sz="0" w:space="0" w:color="auto"/>
        <w:bottom w:val="none" w:sz="0" w:space="0" w:color="auto"/>
        <w:right w:val="none" w:sz="0" w:space="0" w:color="auto"/>
      </w:divBdr>
    </w:div>
    <w:div w:id="408502575">
      <w:bodyDiv w:val="1"/>
      <w:marLeft w:val="0"/>
      <w:marRight w:val="0"/>
      <w:marTop w:val="0"/>
      <w:marBottom w:val="0"/>
      <w:divBdr>
        <w:top w:val="none" w:sz="0" w:space="0" w:color="auto"/>
        <w:left w:val="none" w:sz="0" w:space="0" w:color="auto"/>
        <w:bottom w:val="none" w:sz="0" w:space="0" w:color="auto"/>
        <w:right w:val="none" w:sz="0" w:space="0" w:color="auto"/>
      </w:divBdr>
    </w:div>
    <w:div w:id="408504878">
      <w:bodyDiv w:val="1"/>
      <w:marLeft w:val="0"/>
      <w:marRight w:val="0"/>
      <w:marTop w:val="0"/>
      <w:marBottom w:val="0"/>
      <w:divBdr>
        <w:top w:val="none" w:sz="0" w:space="0" w:color="auto"/>
        <w:left w:val="none" w:sz="0" w:space="0" w:color="auto"/>
        <w:bottom w:val="none" w:sz="0" w:space="0" w:color="auto"/>
        <w:right w:val="none" w:sz="0" w:space="0" w:color="auto"/>
      </w:divBdr>
    </w:div>
    <w:div w:id="408578478">
      <w:bodyDiv w:val="1"/>
      <w:marLeft w:val="0"/>
      <w:marRight w:val="0"/>
      <w:marTop w:val="0"/>
      <w:marBottom w:val="0"/>
      <w:divBdr>
        <w:top w:val="none" w:sz="0" w:space="0" w:color="auto"/>
        <w:left w:val="none" w:sz="0" w:space="0" w:color="auto"/>
        <w:bottom w:val="none" w:sz="0" w:space="0" w:color="auto"/>
        <w:right w:val="none" w:sz="0" w:space="0" w:color="auto"/>
      </w:divBdr>
    </w:div>
    <w:div w:id="408580636">
      <w:bodyDiv w:val="1"/>
      <w:marLeft w:val="0"/>
      <w:marRight w:val="0"/>
      <w:marTop w:val="0"/>
      <w:marBottom w:val="0"/>
      <w:divBdr>
        <w:top w:val="none" w:sz="0" w:space="0" w:color="auto"/>
        <w:left w:val="none" w:sz="0" w:space="0" w:color="auto"/>
        <w:bottom w:val="none" w:sz="0" w:space="0" w:color="auto"/>
        <w:right w:val="none" w:sz="0" w:space="0" w:color="auto"/>
      </w:divBdr>
    </w:div>
    <w:div w:id="408620229">
      <w:bodyDiv w:val="1"/>
      <w:marLeft w:val="0"/>
      <w:marRight w:val="0"/>
      <w:marTop w:val="0"/>
      <w:marBottom w:val="0"/>
      <w:divBdr>
        <w:top w:val="none" w:sz="0" w:space="0" w:color="auto"/>
        <w:left w:val="none" w:sz="0" w:space="0" w:color="auto"/>
        <w:bottom w:val="none" w:sz="0" w:space="0" w:color="auto"/>
        <w:right w:val="none" w:sz="0" w:space="0" w:color="auto"/>
      </w:divBdr>
    </w:div>
    <w:div w:id="408622550">
      <w:bodyDiv w:val="1"/>
      <w:marLeft w:val="0"/>
      <w:marRight w:val="0"/>
      <w:marTop w:val="0"/>
      <w:marBottom w:val="0"/>
      <w:divBdr>
        <w:top w:val="none" w:sz="0" w:space="0" w:color="auto"/>
        <w:left w:val="none" w:sz="0" w:space="0" w:color="auto"/>
        <w:bottom w:val="none" w:sz="0" w:space="0" w:color="auto"/>
        <w:right w:val="none" w:sz="0" w:space="0" w:color="auto"/>
      </w:divBdr>
    </w:div>
    <w:div w:id="408775647">
      <w:bodyDiv w:val="1"/>
      <w:marLeft w:val="0"/>
      <w:marRight w:val="0"/>
      <w:marTop w:val="0"/>
      <w:marBottom w:val="0"/>
      <w:divBdr>
        <w:top w:val="none" w:sz="0" w:space="0" w:color="auto"/>
        <w:left w:val="none" w:sz="0" w:space="0" w:color="auto"/>
        <w:bottom w:val="none" w:sz="0" w:space="0" w:color="auto"/>
        <w:right w:val="none" w:sz="0" w:space="0" w:color="auto"/>
      </w:divBdr>
    </w:div>
    <w:div w:id="408845684">
      <w:bodyDiv w:val="1"/>
      <w:marLeft w:val="0"/>
      <w:marRight w:val="0"/>
      <w:marTop w:val="0"/>
      <w:marBottom w:val="0"/>
      <w:divBdr>
        <w:top w:val="none" w:sz="0" w:space="0" w:color="auto"/>
        <w:left w:val="none" w:sz="0" w:space="0" w:color="auto"/>
        <w:bottom w:val="none" w:sz="0" w:space="0" w:color="auto"/>
        <w:right w:val="none" w:sz="0" w:space="0" w:color="auto"/>
      </w:divBdr>
    </w:div>
    <w:div w:id="408885189">
      <w:bodyDiv w:val="1"/>
      <w:marLeft w:val="0"/>
      <w:marRight w:val="0"/>
      <w:marTop w:val="0"/>
      <w:marBottom w:val="0"/>
      <w:divBdr>
        <w:top w:val="none" w:sz="0" w:space="0" w:color="auto"/>
        <w:left w:val="none" w:sz="0" w:space="0" w:color="auto"/>
        <w:bottom w:val="none" w:sz="0" w:space="0" w:color="auto"/>
        <w:right w:val="none" w:sz="0" w:space="0" w:color="auto"/>
      </w:divBdr>
    </w:div>
    <w:div w:id="408964193">
      <w:bodyDiv w:val="1"/>
      <w:marLeft w:val="0"/>
      <w:marRight w:val="0"/>
      <w:marTop w:val="0"/>
      <w:marBottom w:val="0"/>
      <w:divBdr>
        <w:top w:val="none" w:sz="0" w:space="0" w:color="auto"/>
        <w:left w:val="none" w:sz="0" w:space="0" w:color="auto"/>
        <w:bottom w:val="none" w:sz="0" w:space="0" w:color="auto"/>
        <w:right w:val="none" w:sz="0" w:space="0" w:color="auto"/>
      </w:divBdr>
    </w:div>
    <w:div w:id="408965366">
      <w:bodyDiv w:val="1"/>
      <w:marLeft w:val="0"/>
      <w:marRight w:val="0"/>
      <w:marTop w:val="0"/>
      <w:marBottom w:val="0"/>
      <w:divBdr>
        <w:top w:val="none" w:sz="0" w:space="0" w:color="auto"/>
        <w:left w:val="none" w:sz="0" w:space="0" w:color="auto"/>
        <w:bottom w:val="none" w:sz="0" w:space="0" w:color="auto"/>
        <w:right w:val="none" w:sz="0" w:space="0" w:color="auto"/>
      </w:divBdr>
    </w:div>
    <w:div w:id="409155558">
      <w:bodyDiv w:val="1"/>
      <w:marLeft w:val="0"/>
      <w:marRight w:val="0"/>
      <w:marTop w:val="0"/>
      <w:marBottom w:val="0"/>
      <w:divBdr>
        <w:top w:val="none" w:sz="0" w:space="0" w:color="auto"/>
        <w:left w:val="none" w:sz="0" w:space="0" w:color="auto"/>
        <w:bottom w:val="none" w:sz="0" w:space="0" w:color="auto"/>
        <w:right w:val="none" w:sz="0" w:space="0" w:color="auto"/>
      </w:divBdr>
    </w:div>
    <w:div w:id="409230940">
      <w:bodyDiv w:val="1"/>
      <w:marLeft w:val="0"/>
      <w:marRight w:val="0"/>
      <w:marTop w:val="0"/>
      <w:marBottom w:val="0"/>
      <w:divBdr>
        <w:top w:val="none" w:sz="0" w:space="0" w:color="auto"/>
        <w:left w:val="none" w:sz="0" w:space="0" w:color="auto"/>
        <w:bottom w:val="none" w:sz="0" w:space="0" w:color="auto"/>
        <w:right w:val="none" w:sz="0" w:space="0" w:color="auto"/>
      </w:divBdr>
    </w:div>
    <w:div w:id="409231052">
      <w:bodyDiv w:val="1"/>
      <w:marLeft w:val="0"/>
      <w:marRight w:val="0"/>
      <w:marTop w:val="0"/>
      <w:marBottom w:val="0"/>
      <w:divBdr>
        <w:top w:val="none" w:sz="0" w:space="0" w:color="auto"/>
        <w:left w:val="none" w:sz="0" w:space="0" w:color="auto"/>
        <w:bottom w:val="none" w:sz="0" w:space="0" w:color="auto"/>
        <w:right w:val="none" w:sz="0" w:space="0" w:color="auto"/>
      </w:divBdr>
    </w:div>
    <w:div w:id="409348110">
      <w:bodyDiv w:val="1"/>
      <w:marLeft w:val="0"/>
      <w:marRight w:val="0"/>
      <w:marTop w:val="0"/>
      <w:marBottom w:val="0"/>
      <w:divBdr>
        <w:top w:val="none" w:sz="0" w:space="0" w:color="auto"/>
        <w:left w:val="none" w:sz="0" w:space="0" w:color="auto"/>
        <w:bottom w:val="none" w:sz="0" w:space="0" w:color="auto"/>
        <w:right w:val="none" w:sz="0" w:space="0" w:color="auto"/>
      </w:divBdr>
    </w:div>
    <w:div w:id="409427464">
      <w:bodyDiv w:val="1"/>
      <w:marLeft w:val="0"/>
      <w:marRight w:val="0"/>
      <w:marTop w:val="0"/>
      <w:marBottom w:val="0"/>
      <w:divBdr>
        <w:top w:val="none" w:sz="0" w:space="0" w:color="auto"/>
        <w:left w:val="none" w:sz="0" w:space="0" w:color="auto"/>
        <w:bottom w:val="none" w:sz="0" w:space="0" w:color="auto"/>
        <w:right w:val="none" w:sz="0" w:space="0" w:color="auto"/>
      </w:divBdr>
    </w:div>
    <w:div w:id="409500448">
      <w:bodyDiv w:val="1"/>
      <w:marLeft w:val="0"/>
      <w:marRight w:val="0"/>
      <w:marTop w:val="0"/>
      <w:marBottom w:val="0"/>
      <w:divBdr>
        <w:top w:val="none" w:sz="0" w:space="0" w:color="auto"/>
        <w:left w:val="none" w:sz="0" w:space="0" w:color="auto"/>
        <w:bottom w:val="none" w:sz="0" w:space="0" w:color="auto"/>
        <w:right w:val="none" w:sz="0" w:space="0" w:color="auto"/>
      </w:divBdr>
    </w:div>
    <w:div w:id="409543714">
      <w:bodyDiv w:val="1"/>
      <w:marLeft w:val="0"/>
      <w:marRight w:val="0"/>
      <w:marTop w:val="0"/>
      <w:marBottom w:val="0"/>
      <w:divBdr>
        <w:top w:val="none" w:sz="0" w:space="0" w:color="auto"/>
        <w:left w:val="none" w:sz="0" w:space="0" w:color="auto"/>
        <w:bottom w:val="none" w:sz="0" w:space="0" w:color="auto"/>
        <w:right w:val="none" w:sz="0" w:space="0" w:color="auto"/>
      </w:divBdr>
    </w:div>
    <w:div w:id="409547601">
      <w:bodyDiv w:val="1"/>
      <w:marLeft w:val="0"/>
      <w:marRight w:val="0"/>
      <w:marTop w:val="0"/>
      <w:marBottom w:val="0"/>
      <w:divBdr>
        <w:top w:val="none" w:sz="0" w:space="0" w:color="auto"/>
        <w:left w:val="none" w:sz="0" w:space="0" w:color="auto"/>
        <w:bottom w:val="none" w:sz="0" w:space="0" w:color="auto"/>
        <w:right w:val="none" w:sz="0" w:space="0" w:color="auto"/>
      </w:divBdr>
    </w:div>
    <w:div w:id="409618038">
      <w:bodyDiv w:val="1"/>
      <w:marLeft w:val="0"/>
      <w:marRight w:val="0"/>
      <w:marTop w:val="0"/>
      <w:marBottom w:val="0"/>
      <w:divBdr>
        <w:top w:val="none" w:sz="0" w:space="0" w:color="auto"/>
        <w:left w:val="none" w:sz="0" w:space="0" w:color="auto"/>
        <w:bottom w:val="none" w:sz="0" w:space="0" w:color="auto"/>
        <w:right w:val="none" w:sz="0" w:space="0" w:color="auto"/>
      </w:divBdr>
    </w:div>
    <w:div w:id="409693564">
      <w:bodyDiv w:val="1"/>
      <w:marLeft w:val="0"/>
      <w:marRight w:val="0"/>
      <w:marTop w:val="0"/>
      <w:marBottom w:val="0"/>
      <w:divBdr>
        <w:top w:val="none" w:sz="0" w:space="0" w:color="auto"/>
        <w:left w:val="none" w:sz="0" w:space="0" w:color="auto"/>
        <w:bottom w:val="none" w:sz="0" w:space="0" w:color="auto"/>
        <w:right w:val="none" w:sz="0" w:space="0" w:color="auto"/>
      </w:divBdr>
    </w:div>
    <w:div w:id="409736253">
      <w:bodyDiv w:val="1"/>
      <w:marLeft w:val="0"/>
      <w:marRight w:val="0"/>
      <w:marTop w:val="0"/>
      <w:marBottom w:val="0"/>
      <w:divBdr>
        <w:top w:val="none" w:sz="0" w:space="0" w:color="auto"/>
        <w:left w:val="none" w:sz="0" w:space="0" w:color="auto"/>
        <w:bottom w:val="none" w:sz="0" w:space="0" w:color="auto"/>
        <w:right w:val="none" w:sz="0" w:space="0" w:color="auto"/>
      </w:divBdr>
    </w:div>
    <w:div w:id="409740535">
      <w:bodyDiv w:val="1"/>
      <w:marLeft w:val="0"/>
      <w:marRight w:val="0"/>
      <w:marTop w:val="0"/>
      <w:marBottom w:val="0"/>
      <w:divBdr>
        <w:top w:val="none" w:sz="0" w:space="0" w:color="auto"/>
        <w:left w:val="none" w:sz="0" w:space="0" w:color="auto"/>
        <w:bottom w:val="none" w:sz="0" w:space="0" w:color="auto"/>
        <w:right w:val="none" w:sz="0" w:space="0" w:color="auto"/>
      </w:divBdr>
    </w:div>
    <w:div w:id="409741790">
      <w:bodyDiv w:val="1"/>
      <w:marLeft w:val="0"/>
      <w:marRight w:val="0"/>
      <w:marTop w:val="0"/>
      <w:marBottom w:val="0"/>
      <w:divBdr>
        <w:top w:val="none" w:sz="0" w:space="0" w:color="auto"/>
        <w:left w:val="none" w:sz="0" w:space="0" w:color="auto"/>
        <w:bottom w:val="none" w:sz="0" w:space="0" w:color="auto"/>
        <w:right w:val="none" w:sz="0" w:space="0" w:color="auto"/>
      </w:divBdr>
    </w:div>
    <w:div w:id="409814303">
      <w:bodyDiv w:val="1"/>
      <w:marLeft w:val="0"/>
      <w:marRight w:val="0"/>
      <w:marTop w:val="0"/>
      <w:marBottom w:val="0"/>
      <w:divBdr>
        <w:top w:val="none" w:sz="0" w:space="0" w:color="auto"/>
        <w:left w:val="none" w:sz="0" w:space="0" w:color="auto"/>
        <w:bottom w:val="none" w:sz="0" w:space="0" w:color="auto"/>
        <w:right w:val="none" w:sz="0" w:space="0" w:color="auto"/>
      </w:divBdr>
    </w:div>
    <w:div w:id="409934312">
      <w:bodyDiv w:val="1"/>
      <w:marLeft w:val="0"/>
      <w:marRight w:val="0"/>
      <w:marTop w:val="0"/>
      <w:marBottom w:val="0"/>
      <w:divBdr>
        <w:top w:val="none" w:sz="0" w:space="0" w:color="auto"/>
        <w:left w:val="none" w:sz="0" w:space="0" w:color="auto"/>
        <w:bottom w:val="none" w:sz="0" w:space="0" w:color="auto"/>
        <w:right w:val="none" w:sz="0" w:space="0" w:color="auto"/>
      </w:divBdr>
    </w:div>
    <w:div w:id="410002289">
      <w:bodyDiv w:val="1"/>
      <w:marLeft w:val="0"/>
      <w:marRight w:val="0"/>
      <w:marTop w:val="0"/>
      <w:marBottom w:val="0"/>
      <w:divBdr>
        <w:top w:val="none" w:sz="0" w:space="0" w:color="auto"/>
        <w:left w:val="none" w:sz="0" w:space="0" w:color="auto"/>
        <w:bottom w:val="none" w:sz="0" w:space="0" w:color="auto"/>
        <w:right w:val="none" w:sz="0" w:space="0" w:color="auto"/>
      </w:divBdr>
    </w:div>
    <w:div w:id="410005564">
      <w:bodyDiv w:val="1"/>
      <w:marLeft w:val="0"/>
      <w:marRight w:val="0"/>
      <w:marTop w:val="0"/>
      <w:marBottom w:val="0"/>
      <w:divBdr>
        <w:top w:val="none" w:sz="0" w:space="0" w:color="auto"/>
        <w:left w:val="none" w:sz="0" w:space="0" w:color="auto"/>
        <w:bottom w:val="none" w:sz="0" w:space="0" w:color="auto"/>
        <w:right w:val="none" w:sz="0" w:space="0" w:color="auto"/>
      </w:divBdr>
    </w:div>
    <w:div w:id="410008919">
      <w:bodyDiv w:val="1"/>
      <w:marLeft w:val="0"/>
      <w:marRight w:val="0"/>
      <w:marTop w:val="0"/>
      <w:marBottom w:val="0"/>
      <w:divBdr>
        <w:top w:val="none" w:sz="0" w:space="0" w:color="auto"/>
        <w:left w:val="none" w:sz="0" w:space="0" w:color="auto"/>
        <w:bottom w:val="none" w:sz="0" w:space="0" w:color="auto"/>
        <w:right w:val="none" w:sz="0" w:space="0" w:color="auto"/>
      </w:divBdr>
    </w:div>
    <w:div w:id="410154049">
      <w:bodyDiv w:val="1"/>
      <w:marLeft w:val="0"/>
      <w:marRight w:val="0"/>
      <w:marTop w:val="0"/>
      <w:marBottom w:val="0"/>
      <w:divBdr>
        <w:top w:val="none" w:sz="0" w:space="0" w:color="auto"/>
        <w:left w:val="none" w:sz="0" w:space="0" w:color="auto"/>
        <w:bottom w:val="none" w:sz="0" w:space="0" w:color="auto"/>
        <w:right w:val="none" w:sz="0" w:space="0" w:color="auto"/>
      </w:divBdr>
    </w:div>
    <w:div w:id="410276614">
      <w:bodyDiv w:val="1"/>
      <w:marLeft w:val="0"/>
      <w:marRight w:val="0"/>
      <w:marTop w:val="0"/>
      <w:marBottom w:val="0"/>
      <w:divBdr>
        <w:top w:val="none" w:sz="0" w:space="0" w:color="auto"/>
        <w:left w:val="none" w:sz="0" w:space="0" w:color="auto"/>
        <w:bottom w:val="none" w:sz="0" w:space="0" w:color="auto"/>
        <w:right w:val="none" w:sz="0" w:space="0" w:color="auto"/>
      </w:divBdr>
    </w:div>
    <w:div w:id="410278429">
      <w:bodyDiv w:val="1"/>
      <w:marLeft w:val="0"/>
      <w:marRight w:val="0"/>
      <w:marTop w:val="0"/>
      <w:marBottom w:val="0"/>
      <w:divBdr>
        <w:top w:val="none" w:sz="0" w:space="0" w:color="auto"/>
        <w:left w:val="none" w:sz="0" w:space="0" w:color="auto"/>
        <w:bottom w:val="none" w:sz="0" w:space="0" w:color="auto"/>
        <w:right w:val="none" w:sz="0" w:space="0" w:color="auto"/>
      </w:divBdr>
    </w:div>
    <w:div w:id="410349613">
      <w:bodyDiv w:val="1"/>
      <w:marLeft w:val="0"/>
      <w:marRight w:val="0"/>
      <w:marTop w:val="0"/>
      <w:marBottom w:val="0"/>
      <w:divBdr>
        <w:top w:val="none" w:sz="0" w:space="0" w:color="auto"/>
        <w:left w:val="none" w:sz="0" w:space="0" w:color="auto"/>
        <w:bottom w:val="none" w:sz="0" w:space="0" w:color="auto"/>
        <w:right w:val="none" w:sz="0" w:space="0" w:color="auto"/>
      </w:divBdr>
    </w:div>
    <w:div w:id="410393390">
      <w:bodyDiv w:val="1"/>
      <w:marLeft w:val="0"/>
      <w:marRight w:val="0"/>
      <w:marTop w:val="0"/>
      <w:marBottom w:val="0"/>
      <w:divBdr>
        <w:top w:val="none" w:sz="0" w:space="0" w:color="auto"/>
        <w:left w:val="none" w:sz="0" w:space="0" w:color="auto"/>
        <w:bottom w:val="none" w:sz="0" w:space="0" w:color="auto"/>
        <w:right w:val="none" w:sz="0" w:space="0" w:color="auto"/>
      </w:divBdr>
    </w:div>
    <w:div w:id="410472087">
      <w:bodyDiv w:val="1"/>
      <w:marLeft w:val="0"/>
      <w:marRight w:val="0"/>
      <w:marTop w:val="0"/>
      <w:marBottom w:val="0"/>
      <w:divBdr>
        <w:top w:val="none" w:sz="0" w:space="0" w:color="auto"/>
        <w:left w:val="none" w:sz="0" w:space="0" w:color="auto"/>
        <w:bottom w:val="none" w:sz="0" w:space="0" w:color="auto"/>
        <w:right w:val="none" w:sz="0" w:space="0" w:color="auto"/>
      </w:divBdr>
    </w:div>
    <w:div w:id="410587527">
      <w:bodyDiv w:val="1"/>
      <w:marLeft w:val="0"/>
      <w:marRight w:val="0"/>
      <w:marTop w:val="0"/>
      <w:marBottom w:val="0"/>
      <w:divBdr>
        <w:top w:val="none" w:sz="0" w:space="0" w:color="auto"/>
        <w:left w:val="none" w:sz="0" w:space="0" w:color="auto"/>
        <w:bottom w:val="none" w:sz="0" w:space="0" w:color="auto"/>
        <w:right w:val="none" w:sz="0" w:space="0" w:color="auto"/>
      </w:divBdr>
    </w:div>
    <w:div w:id="410658547">
      <w:bodyDiv w:val="1"/>
      <w:marLeft w:val="0"/>
      <w:marRight w:val="0"/>
      <w:marTop w:val="0"/>
      <w:marBottom w:val="0"/>
      <w:divBdr>
        <w:top w:val="none" w:sz="0" w:space="0" w:color="auto"/>
        <w:left w:val="none" w:sz="0" w:space="0" w:color="auto"/>
        <w:bottom w:val="none" w:sz="0" w:space="0" w:color="auto"/>
        <w:right w:val="none" w:sz="0" w:space="0" w:color="auto"/>
      </w:divBdr>
    </w:div>
    <w:div w:id="410664583">
      <w:bodyDiv w:val="1"/>
      <w:marLeft w:val="0"/>
      <w:marRight w:val="0"/>
      <w:marTop w:val="0"/>
      <w:marBottom w:val="0"/>
      <w:divBdr>
        <w:top w:val="none" w:sz="0" w:space="0" w:color="auto"/>
        <w:left w:val="none" w:sz="0" w:space="0" w:color="auto"/>
        <w:bottom w:val="none" w:sz="0" w:space="0" w:color="auto"/>
        <w:right w:val="none" w:sz="0" w:space="0" w:color="auto"/>
      </w:divBdr>
    </w:div>
    <w:div w:id="410735172">
      <w:bodyDiv w:val="1"/>
      <w:marLeft w:val="0"/>
      <w:marRight w:val="0"/>
      <w:marTop w:val="0"/>
      <w:marBottom w:val="0"/>
      <w:divBdr>
        <w:top w:val="none" w:sz="0" w:space="0" w:color="auto"/>
        <w:left w:val="none" w:sz="0" w:space="0" w:color="auto"/>
        <w:bottom w:val="none" w:sz="0" w:space="0" w:color="auto"/>
        <w:right w:val="none" w:sz="0" w:space="0" w:color="auto"/>
      </w:divBdr>
    </w:div>
    <w:div w:id="410856322">
      <w:bodyDiv w:val="1"/>
      <w:marLeft w:val="0"/>
      <w:marRight w:val="0"/>
      <w:marTop w:val="0"/>
      <w:marBottom w:val="0"/>
      <w:divBdr>
        <w:top w:val="none" w:sz="0" w:space="0" w:color="auto"/>
        <w:left w:val="none" w:sz="0" w:space="0" w:color="auto"/>
        <w:bottom w:val="none" w:sz="0" w:space="0" w:color="auto"/>
        <w:right w:val="none" w:sz="0" w:space="0" w:color="auto"/>
      </w:divBdr>
    </w:div>
    <w:div w:id="410929078">
      <w:bodyDiv w:val="1"/>
      <w:marLeft w:val="0"/>
      <w:marRight w:val="0"/>
      <w:marTop w:val="0"/>
      <w:marBottom w:val="0"/>
      <w:divBdr>
        <w:top w:val="none" w:sz="0" w:space="0" w:color="auto"/>
        <w:left w:val="none" w:sz="0" w:space="0" w:color="auto"/>
        <w:bottom w:val="none" w:sz="0" w:space="0" w:color="auto"/>
        <w:right w:val="none" w:sz="0" w:space="0" w:color="auto"/>
      </w:divBdr>
    </w:div>
    <w:div w:id="410930914">
      <w:bodyDiv w:val="1"/>
      <w:marLeft w:val="0"/>
      <w:marRight w:val="0"/>
      <w:marTop w:val="0"/>
      <w:marBottom w:val="0"/>
      <w:divBdr>
        <w:top w:val="none" w:sz="0" w:space="0" w:color="auto"/>
        <w:left w:val="none" w:sz="0" w:space="0" w:color="auto"/>
        <w:bottom w:val="none" w:sz="0" w:space="0" w:color="auto"/>
        <w:right w:val="none" w:sz="0" w:space="0" w:color="auto"/>
      </w:divBdr>
    </w:div>
    <w:div w:id="411003997">
      <w:bodyDiv w:val="1"/>
      <w:marLeft w:val="0"/>
      <w:marRight w:val="0"/>
      <w:marTop w:val="0"/>
      <w:marBottom w:val="0"/>
      <w:divBdr>
        <w:top w:val="none" w:sz="0" w:space="0" w:color="auto"/>
        <w:left w:val="none" w:sz="0" w:space="0" w:color="auto"/>
        <w:bottom w:val="none" w:sz="0" w:space="0" w:color="auto"/>
        <w:right w:val="none" w:sz="0" w:space="0" w:color="auto"/>
      </w:divBdr>
    </w:div>
    <w:div w:id="411046742">
      <w:bodyDiv w:val="1"/>
      <w:marLeft w:val="0"/>
      <w:marRight w:val="0"/>
      <w:marTop w:val="0"/>
      <w:marBottom w:val="0"/>
      <w:divBdr>
        <w:top w:val="none" w:sz="0" w:space="0" w:color="auto"/>
        <w:left w:val="none" w:sz="0" w:space="0" w:color="auto"/>
        <w:bottom w:val="none" w:sz="0" w:space="0" w:color="auto"/>
        <w:right w:val="none" w:sz="0" w:space="0" w:color="auto"/>
      </w:divBdr>
    </w:div>
    <w:div w:id="411051011">
      <w:bodyDiv w:val="1"/>
      <w:marLeft w:val="0"/>
      <w:marRight w:val="0"/>
      <w:marTop w:val="0"/>
      <w:marBottom w:val="0"/>
      <w:divBdr>
        <w:top w:val="none" w:sz="0" w:space="0" w:color="auto"/>
        <w:left w:val="none" w:sz="0" w:space="0" w:color="auto"/>
        <w:bottom w:val="none" w:sz="0" w:space="0" w:color="auto"/>
        <w:right w:val="none" w:sz="0" w:space="0" w:color="auto"/>
      </w:divBdr>
    </w:div>
    <w:div w:id="411121249">
      <w:bodyDiv w:val="1"/>
      <w:marLeft w:val="0"/>
      <w:marRight w:val="0"/>
      <w:marTop w:val="0"/>
      <w:marBottom w:val="0"/>
      <w:divBdr>
        <w:top w:val="none" w:sz="0" w:space="0" w:color="auto"/>
        <w:left w:val="none" w:sz="0" w:space="0" w:color="auto"/>
        <w:bottom w:val="none" w:sz="0" w:space="0" w:color="auto"/>
        <w:right w:val="none" w:sz="0" w:space="0" w:color="auto"/>
      </w:divBdr>
    </w:div>
    <w:div w:id="411199199">
      <w:bodyDiv w:val="1"/>
      <w:marLeft w:val="0"/>
      <w:marRight w:val="0"/>
      <w:marTop w:val="0"/>
      <w:marBottom w:val="0"/>
      <w:divBdr>
        <w:top w:val="none" w:sz="0" w:space="0" w:color="auto"/>
        <w:left w:val="none" w:sz="0" w:space="0" w:color="auto"/>
        <w:bottom w:val="none" w:sz="0" w:space="0" w:color="auto"/>
        <w:right w:val="none" w:sz="0" w:space="0" w:color="auto"/>
      </w:divBdr>
    </w:div>
    <w:div w:id="411243022">
      <w:bodyDiv w:val="1"/>
      <w:marLeft w:val="0"/>
      <w:marRight w:val="0"/>
      <w:marTop w:val="0"/>
      <w:marBottom w:val="0"/>
      <w:divBdr>
        <w:top w:val="none" w:sz="0" w:space="0" w:color="auto"/>
        <w:left w:val="none" w:sz="0" w:space="0" w:color="auto"/>
        <w:bottom w:val="none" w:sz="0" w:space="0" w:color="auto"/>
        <w:right w:val="none" w:sz="0" w:space="0" w:color="auto"/>
      </w:divBdr>
    </w:div>
    <w:div w:id="411388758">
      <w:bodyDiv w:val="1"/>
      <w:marLeft w:val="0"/>
      <w:marRight w:val="0"/>
      <w:marTop w:val="0"/>
      <w:marBottom w:val="0"/>
      <w:divBdr>
        <w:top w:val="none" w:sz="0" w:space="0" w:color="auto"/>
        <w:left w:val="none" w:sz="0" w:space="0" w:color="auto"/>
        <w:bottom w:val="none" w:sz="0" w:space="0" w:color="auto"/>
        <w:right w:val="none" w:sz="0" w:space="0" w:color="auto"/>
      </w:divBdr>
    </w:div>
    <w:div w:id="411389817">
      <w:bodyDiv w:val="1"/>
      <w:marLeft w:val="0"/>
      <w:marRight w:val="0"/>
      <w:marTop w:val="0"/>
      <w:marBottom w:val="0"/>
      <w:divBdr>
        <w:top w:val="none" w:sz="0" w:space="0" w:color="auto"/>
        <w:left w:val="none" w:sz="0" w:space="0" w:color="auto"/>
        <w:bottom w:val="none" w:sz="0" w:space="0" w:color="auto"/>
        <w:right w:val="none" w:sz="0" w:space="0" w:color="auto"/>
      </w:divBdr>
    </w:div>
    <w:div w:id="411394050">
      <w:bodyDiv w:val="1"/>
      <w:marLeft w:val="0"/>
      <w:marRight w:val="0"/>
      <w:marTop w:val="0"/>
      <w:marBottom w:val="0"/>
      <w:divBdr>
        <w:top w:val="none" w:sz="0" w:space="0" w:color="auto"/>
        <w:left w:val="none" w:sz="0" w:space="0" w:color="auto"/>
        <w:bottom w:val="none" w:sz="0" w:space="0" w:color="auto"/>
        <w:right w:val="none" w:sz="0" w:space="0" w:color="auto"/>
      </w:divBdr>
    </w:div>
    <w:div w:id="411705946">
      <w:bodyDiv w:val="1"/>
      <w:marLeft w:val="0"/>
      <w:marRight w:val="0"/>
      <w:marTop w:val="0"/>
      <w:marBottom w:val="0"/>
      <w:divBdr>
        <w:top w:val="none" w:sz="0" w:space="0" w:color="auto"/>
        <w:left w:val="none" w:sz="0" w:space="0" w:color="auto"/>
        <w:bottom w:val="none" w:sz="0" w:space="0" w:color="auto"/>
        <w:right w:val="none" w:sz="0" w:space="0" w:color="auto"/>
      </w:divBdr>
    </w:div>
    <w:div w:id="411707573">
      <w:bodyDiv w:val="1"/>
      <w:marLeft w:val="0"/>
      <w:marRight w:val="0"/>
      <w:marTop w:val="0"/>
      <w:marBottom w:val="0"/>
      <w:divBdr>
        <w:top w:val="none" w:sz="0" w:space="0" w:color="auto"/>
        <w:left w:val="none" w:sz="0" w:space="0" w:color="auto"/>
        <w:bottom w:val="none" w:sz="0" w:space="0" w:color="auto"/>
        <w:right w:val="none" w:sz="0" w:space="0" w:color="auto"/>
      </w:divBdr>
    </w:div>
    <w:div w:id="411777916">
      <w:bodyDiv w:val="1"/>
      <w:marLeft w:val="0"/>
      <w:marRight w:val="0"/>
      <w:marTop w:val="0"/>
      <w:marBottom w:val="0"/>
      <w:divBdr>
        <w:top w:val="none" w:sz="0" w:space="0" w:color="auto"/>
        <w:left w:val="none" w:sz="0" w:space="0" w:color="auto"/>
        <w:bottom w:val="none" w:sz="0" w:space="0" w:color="auto"/>
        <w:right w:val="none" w:sz="0" w:space="0" w:color="auto"/>
      </w:divBdr>
    </w:div>
    <w:div w:id="411779375">
      <w:bodyDiv w:val="1"/>
      <w:marLeft w:val="0"/>
      <w:marRight w:val="0"/>
      <w:marTop w:val="0"/>
      <w:marBottom w:val="0"/>
      <w:divBdr>
        <w:top w:val="none" w:sz="0" w:space="0" w:color="auto"/>
        <w:left w:val="none" w:sz="0" w:space="0" w:color="auto"/>
        <w:bottom w:val="none" w:sz="0" w:space="0" w:color="auto"/>
        <w:right w:val="none" w:sz="0" w:space="0" w:color="auto"/>
      </w:divBdr>
    </w:div>
    <w:div w:id="411782583">
      <w:bodyDiv w:val="1"/>
      <w:marLeft w:val="0"/>
      <w:marRight w:val="0"/>
      <w:marTop w:val="0"/>
      <w:marBottom w:val="0"/>
      <w:divBdr>
        <w:top w:val="none" w:sz="0" w:space="0" w:color="auto"/>
        <w:left w:val="none" w:sz="0" w:space="0" w:color="auto"/>
        <w:bottom w:val="none" w:sz="0" w:space="0" w:color="auto"/>
        <w:right w:val="none" w:sz="0" w:space="0" w:color="auto"/>
      </w:divBdr>
    </w:div>
    <w:div w:id="411850518">
      <w:bodyDiv w:val="1"/>
      <w:marLeft w:val="0"/>
      <w:marRight w:val="0"/>
      <w:marTop w:val="0"/>
      <w:marBottom w:val="0"/>
      <w:divBdr>
        <w:top w:val="none" w:sz="0" w:space="0" w:color="auto"/>
        <w:left w:val="none" w:sz="0" w:space="0" w:color="auto"/>
        <w:bottom w:val="none" w:sz="0" w:space="0" w:color="auto"/>
        <w:right w:val="none" w:sz="0" w:space="0" w:color="auto"/>
      </w:divBdr>
    </w:div>
    <w:div w:id="411851677">
      <w:bodyDiv w:val="1"/>
      <w:marLeft w:val="0"/>
      <w:marRight w:val="0"/>
      <w:marTop w:val="0"/>
      <w:marBottom w:val="0"/>
      <w:divBdr>
        <w:top w:val="none" w:sz="0" w:space="0" w:color="auto"/>
        <w:left w:val="none" w:sz="0" w:space="0" w:color="auto"/>
        <w:bottom w:val="none" w:sz="0" w:space="0" w:color="auto"/>
        <w:right w:val="none" w:sz="0" w:space="0" w:color="auto"/>
      </w:divBdr>
    </w:div>
    <w:div w:id="411968328">
      <w:bodyDiv w:val="1"/>
      <w:marLeft w:val="0"/>
      <w:marRight w:val="0"/>
      <w:marTop w:val="0"/>
      <w:marBottom w:val="0"/>
      <w:divBdr>
        <w:top w:val="none" w:sz="0" w:space="0" w:color="auto"/>
        <w:left w:val="none" w:sz="0" w:space="0" w:color="auto"/>
        <w:bottom w:val="none" w:sz="0" w:space="0" w:color="auto"/>
        <w:right w:val="none" w:sz="0" w:space="0" w:color="auto"/>
      </w:divBdr>
    </w:div>
    <w:div w:id="412050607">
      <w:bodyDiv w:val="1"/>
      <w:marLeft w:val="0"/>
      <w:marRight w:val="0"/>
      <w:marTop w:val="0"/>
      <w:marBottom w:val="0"/>
      <w:divBdr>
        <w:top w:val="none" w:sz="0" w:space="0" w:color="auto"/>
        <w:left w:val="none" w:sz="0" w:space="0" w:color="auto"/>
        <w:bottom w:val="none" w:sz="0" w:space="0" w:color="auto"/>
        <w:right w:val="none" w:sz="0" w:space="0" w:color="auto"/>
      </w:divBdr>
    </w:div>
    <w:div w:id="412313821">
      <w:bodyDiv w:val="1"/>
      <w:marLeft w:val="0"/>
      <w:marRight w:val="0"/>
      <w:marTop w:val="0"/>
      <w:marBottom w:val="0"/>
      <w:divBdr>
        <w:top w:val="none" w:sz="0" w:space="0" w:color="auto"/>
        <w:left w:val="none" w:sz="0" w:space="0" w:color="auto"/>
        <w:bottom w:val="none" w:sz="0" w:space="0" w:color="auto"/>
        <w:right w:val="none" w:sz="0" w:space="0" w:color="auto"/>
      </w:divBdr>
    </w:div>
    <w:div w:id="412318660">
      <w:bodyDiv w:val="1"/>
      <w:marLeft w:val="0"/>
      <w:marRight w:val="0"/>
      <w:marTop w:val="0"/>
      <w:marBottom w:val="0"/>
      <w:divBdr>
        <w:top w:val="none" w:sz="0" w:space="0" w:color="auto"/>
        <w:left w:val="none" w:sz="0" w:space="0" w:color="auto"/>
        <w:bottom w:val="none" w:sz="0" w:space="0" w:color="auto"/>
        <w:right w:val="none" w:sz="0" w:space="0" w:color="auto"/>
      </w:divBdr>
    </w:div>
    <w:div w:id="412358359">
      <w:bodyDiv w:val="1"/>
      <w:marLeft w:val="0"/>
      <w:marRight w:val="0"/>
      <w:marTop w:val="0"/>
      <w:marBottom w:val="0"/>
      <w:divBdr>
        <w:top w:val="none" w:sz="0" w:space="0" w:color="auto"/>
        <w:left w:val="none" w:sz="0" w:space="0" w:color="auto"/>
        <w:bottom w:val="none" w:sz="0" w:space="0" w:color="auto"/>
        <w:right w:val="none" w:sz="0" w:space="0" w:color="auto"/>
      </w:divBdr>
    </w:div>
    <w:div w:id="412431035">
      <w:bodyDiv w:val="1"/>
      <w:marLeft w:val="0"/>
      <w:marRight w:val="0"/>
      <w:marTop w:val="0"/>
      <w:marBottom w:val="0"/>
      <w:divBdr>
        <w:top w:val="none" w:sz="0" w:space="0" w:color="auto"/>
        <w:left w:val="none" w:sz="0" w:space="0" w:color="auto"/>
        <w:bottom w:val="none" w:sz="0" w:space="0" w:color="auto"/>
        <w:right w:val="none" w:sz="0" w:space="0" w:color="auto"/>
      </w:divBdr>
    </w:div>
    <w:div w:id="412507002">
      <w:bodyDiv w:val="1"/>
      <w:marLeft w:val="0"/>
      <w:marRight w:val="0"/>
      <w:marTop w:val="0"/>
      <w:marBottom w:val="0"/>
      <w:divBdr>
        <w:top w:val="none" w:sz="0" w:space="0" w:color="auto"/>
        <w:left w:val="none" w:sz="0" w:space="0" w:color="auto"/>
        <w:bottom w:val="none" w:sz="0" w:space="0" w:color="auto"/>
        <w:right w:val="none" w:sz="0" w:space="0" w:color="auto"/>
      </w:divBdr>
    </w:div>
    <w:div w:id="412967816">
      <w:bodyDiv w:val="1"/>
      <w:marLeft w:val="0"/>
      <w:marRight w:val="0"/>
      <w:marTop w:val="0"/>
      <w:marBottom w:val="0"/>
      <w:divBdr>
        <w:top w:val="none" w:sz="0" w:space="0" w:color="auto"/>
        <w:left w:val="none" w:sz="0" w:space="0" w:color="auto"/>
        <w:bottom w:val="none" w:sz="0" w:space="0" w:color="auto"/>
        <w:right w:val="none" w:sz="0" w:space="0" w:color="auto"/>
      </w:divBdr>
    </w:div>
    <w:div w:id="412969876">
      <w:bodyDiv w:val="1"/>
      <w:marLeft w:val="0"/>
      <w:marRight w:val="0"/>
      <w:marTop w:val="0"/>
      <w:marBottom w:val="0"/>
      <w:divBdr>
        <w:top w:val="none" w:sz="0" w:space="0" w:color="auto"/>
        <w:left w:val="none" w:sz="0" w:space="0" w:color="auto"/>
        <w:bottom w:val="none" w:sz="0" w:space="0" w:color="auto"/>
        <w:right w:val="none" w:sz="0" w:space="0" w:color="auto"/>
      </w:divBdr>
    </w:div>
    <w:div w:id="413014018">
      <w:bodyDiv w:val="1"/>
      <w:marLeft w:val="0"/>
      <w:marRight w:val="0"/>
      <w:marTop w:val="0"/>
      <w:marBottom w:val="0"/>
      <w:divBdr>
        <w:top w:val="none" w:sz="0" w:space="0" w:color="auto"/>
        <w:left w:val="none" w:sz="0" w:space="0" w:color="auto"/>
        <w:bottom w:val="none" w:sz="0" w:space="0" w:color="auto"/>
        <w:right w:val="none" w:sz="0" w:space="0" w:color="auto"/>
      </w:divBdr>
    </w:div>
    <w:div w:id="413169106">
      <w:bodyDiv w:val="1"/>
      <w:marLeft w:val="0"/>
      <w:marRight w:val="0"/>
      <w:marTop w:val="0"/>
      <w:marBottom w:val="0"/>
      <w:divBdr>
        <w:top w:val="none" w:sz="0" w:space="0" w:color="auto"/>
        <w:left w:val="none" w:sz="0" w:space="0" w:color="auto"/>
        <w:bottom w:val="none" w:sz="0" w:space="0" w:color="auto"/>
        <w:right w:val="none" w:sz="0" w:space="0" w:color="auto"/>
      </w:divBdr>
    </w:div>
    <w:div w:id="413357083">
      <w:bodyDiv w:val="1"/>
      <w:marLeft w:val="0"/>
      <w:marRight w:val="0"/>
      <w:marTop w:val="0"/>
      <w:marBottom w:val="0"/>
      <w:divBdr>
        <w:top w:val="none" w:sz="0" w:space="0" w:color="auto"/>
        <w:left w:val="none" w:sz="0" w:space="0" w:color="auto"/>
        <w:bottom w:val="none" w:sz="0" w:space="0" w:color="auto"/>
        <w:right w:val="none" w:sz="0" w:space="0" w:color="auto"/>
      </w:divBdr>
    </w:div>
    <w:div w:id="413553275">
      <w:bodyDiv w:val="1"/>
      <w:marLeft w:val="0"/>
      <w:marRight w:val="0"/>
      <w:marTop w:val="0"/>
      <w:marBottom w:val="0"/>
      <w:divBdr>
        <w:top w:val="none" w:sz="0" w:space="0" w:color="auto"/>
        <w:left w:val="none" w:sz="0" w:space="0" w:color="auto"/>
        <w:bottom w:val="none" w:sz="0" w:space="0" w:color="auto"/>
        <w:right w:val="none" w:sz="0" w:space="0" w:color="auto"/>
      </w:divBdr>
    </w:div>
    <w:div w:id="413556854">
      <w:bodyDiv w:val="1"/>
      <w:marLeft w:val="0"/>
      <w:marRight w:val="0"/>
      <w:marTop w:val="0"/>
      <w:marBottom w:val="0"/>
      <w:divBdr>
        <w:top w:val="none" w:sz="0" w:space="0" w:color="auto"/>
        <w:left w:val="none" w:sz="0" w:space="0" w:color="auto"/>
        <w:bottom w:val="none" w:sz="0" w:space="0" w:color="auto"/>
        <w:right w:val="none" w:sz="0" w:space="0" w:color="auto"/>
      </w:divBdr>
    </w:div>
    <w:div w:id="413749972">
      <w:bodyDiv w:val="1"/>
      <w:marLeft w:val="0"/>
      <w:marRight w:val="0"/>
      <w:marTop w:val="0"/>
      <w:marBottom w:val="0"/>
      <w:divBdr>
        <w:top w:val="none" w:sz="0" w:space="0" w:color="auto"/>
        <w:left w:val="none" w:sz="0" w:space="0" w:color="auto"/>
        <w:bottom w:val="none" w:sz="0" w:space="0" w:color="auto"/>
        <w:right w:val="none" w:sz="0" w:space="0" w:color="auto"/>
      </w:divBdr>
    </w:div>
    <w:div w:id="413819756">
      <w:bodyDiv w:val="1"/>
      <w:marLeft w:val="0"/>
      <w:marRight w:val="0"/>
      <w:marTop w:val="0"/>
      <w:marBottom w:val="0"/>
      <w:divBdr>
        <w:top w:val="none" w:sz="0" w:space="0" w:color="auto"/>
        <w:left w:val="none" w:sz="0" w:space="0" w:color="auto"/>
        <w:bottom w:val="none" w:sz="0" w:space="0" w:color="auto"/>
        <w:right w:val="none" w:sz="0" w:space="0" w:color="auto"/>
      </w:divBdr>
    </w:div>
    <w:div w:id="413820305">
      <w:bodyDiv w:val="1"/>
      <w:marLeft w:val="0"/>
      <w:marRight w:val="0"/>
      <w:marTop w:val="0"/>
      <w:marBottom w:val="0"/>
      <w:divBdr>
        <w:top w:val="none" w:sz="0" w:space="0" w:color="auto"/>
        <w:left w:val="none" w:sz="0" w:space="0" w:color="auto"/>
        <w:bottom w:val="none" w:sz="0" w:space="0" w:color="auto"/>
        <w:right w:val="none" w:sz="0" w:space="0" w:color="auto"/>
      </w:divBdr>
    </w:div>
    <w:div w:id="413821168">
      <w:bodyDiv w:val="1"/>
      <w:marLeft w:val="0"/>
      <w:marRight w:val="0"/>
      <w:marTop w:val="0"/>
      <w:marBottom w:val="0"/>
      <w:divBdr>
        <w:top w:val="none" w:sz="0" w:space="0" w:color="auto"/>
        <w:left w:val="none" w:sz="0" w:space="0" w:color="auto"/>
        <w:bottom w:val="none" w:sz="0" w:space="0" w:color="auto"/>
        <w:right w:val="none" w:sz="0" w:space="0" w:color="auto"/>
      </w:divBdr>
    </w:div>
    <w:div w:id="413822874">
      <w:bodyDiv w:val="1"/>
      <w:marLeft w:val="0"/>
      <w:marRight w:val="0"/>
      <w:marTop w:val="0"/>
      <w:marBottom w:val="0"/>
      <w:divBdr>
        <w:top w:val="none" w:sz="0" w:space="0" w:color="auto"/>
        <w:left w:val="none" w:sz="0" w:space="0" w:color="auto"/>
        <w:bottom w:val="none" w:sz="0" w:space="0" w:color="auto"/>
        <w:right w:val="none" w:sz="0" w:space="0" w:color="auto"/>
      </w:divBdr>
    </w:div>
    <w:div w:id="413824053">
      <w:bodyDiv w:val="1"/>
      <w:marLeft w:val="0"/>
      <w:marRight w:val="0"/>
      <w:marTop w:val="0"/>
      <w:marBottom w:val="0"/>
      <w:divBdr>
        <w:top w:val="none" w:sz="0" w:space="0" w:color="auto"/>
        <w:left w:val="none" w:sz="0" w:space="0" w:color="auto"/>
        <w:bottom w:val="none" w:sz="0" w:space="0" w:color="auto"/>
        <w:right w:val="none" w:sz="0" w:space="0" w:color="auto"/>
      </w:divBdr>
    </w:div>
    <w:div w:id="413863210">
      <w:bodyDiv w:val="1"/>
      <w:marLeft w:val="0"/>
      <w:marRight w:val="0"/>
      <w:marTop w:val="0"/>
      <w:marBottom w:val="0"/>
      <w:divBdr>
        <w:top w:val="none" w:sz="0" w:space="0" w:color="auto"/>
        <w:left w:val="none" w:sz="0" w:space="0" w:color="auto"/>
        <w:bottom w:val="none" w:sz="0" w:space="0" w:color="auto"/>
        <w:right w:val="none" w:sz="0" w:space="0" w:color="auto"/>
      </w:divBdr>
    </w:div>
    <w:div w:id="413934625">
      <w:bodyDiv w:val="1"/>
      <w:marLeft w:val="0"/>
      <w:marRight w:val="0"/>
      <w:marTop w:val="0"/>
      <w:marBottom w:val="0"/>
      <w:divBdr>
        <w:top w:val="none" w:sz="0" w:space="0" w:color="auto"/>
        <w:left w:val="none" w:sz="0" w:space="0" w:color="auto"/>
        <w:bottom w:val="none" w:sz="0" w:space="0" w:color="auto"/>
        <w:right w:val="none" w:sz="0" w:space="0" w:color="auto"/>
      </w:divBdr>
    </w:div>
    <w:div w:id="413934649">
      <w:bodyDiv w:val="1"/>
      <w:marLeft w:val="0"/>
      <w:marRight w:val="0"/>
      <w:marTop w:val="0"/>
      <w:marBottom w:val="0"/>
      <w:divBdr>
        <w:top w:val="none" w:sz="0" w:space="0" w:color="auto"/>
        <w:left w:val="none" w:sz="0" w:space="0" w:color="auto"/>
        <w:bottom w:val="none" w:sz="0" w:space="0" w:color="auto"/>
        <w:right w:val="none" w:sz="0" w:space="0" w:color="auto"/>
      </w:divBdr>
    </w:div>
    <w:div w:id="413937758">
      <w:bodyDiv w:val="1"/>
      <w:marLeft w:val="0"/>
      <w:marRight w:val="0"/>
      <w:marTop w:val="0"/>
      <w:marBottom w:val="0"/>
      <w:divBdr>
        <w:top w:val="none" w:sz="0" w:space="0" w:color="auto"/>
        <w:left w:val="none" w:sz="0" w:space="0" w:color="auto"/>
        <w:bottom w:val="none" w:sz="0" w:space="0" w:color="auto"/>
        <w:right w:val="none" w:sz="0" w:space="0" w:color="auto"/>
      </w:divBdr>
    </w:div>
    <w:div w:id="413938932">
      <w:bodyDiv w:val="1"/>
      <w:marLeft w:val="0"/>
      <w:marRight w:val="0"/>
      <w:marTop w:val="0"/>
      <w:marBottom w:val="0"/>
      <w:divBdr>
        <w:top w:val="none" w:sz="0" w:space="0" w:color="auto"/>
        <w:left w:val="none" w:sz="0" w:space="0" w:color="auto"/>
        <w:bottom w:val="none" w:sz="0" w:space="0" w:color="auto"/>
        <w:right w:val="none" w:sz="0" w:space="0" w:color="auto"/>
      </w:divBdr>
    </w:div>
    <w:div w:id="414135635">
      <w:bodyDiv w:val="1"/>
      <w:marLeft w:val="0"/>
      <w:marRight w:val="0"/>
      <w:marTop w:val="0"/>
      <w:marBottom w:val="0"/>
      <w:divBdr>
        <w:top w:val="none" w:sz="0" w:space="0" w:color="auto"/>
        <w:left w:val="none" w:sz="0" w:space="0" w:color="auto"/>
        <w:bottom w:val="none" w:sz="0" w:space="0" w:color="auto"/>
        <w:right w:val="none" w:sz="0" w:space="0" w:color="auto"/>
      </w:divBdr>
    </w:div>
    <w:div w:id="414518978">
      <w:bodyDiv w:val="1"/>
      <w:marLeft w:val="0"/>
      <w:marRight w:val="0"/>
      <w:marTop w:val="0"/>
      <w:marBottom w:val="0"/>
      <w:divBdr>
        <w:top w:val="none" w:sz="0" w:space="0" w:color="auto"/>
        <w:left w:val="none" w:sz="0" w:space="0" w:color="auto"/>
        <w:bottom w:val="none" w:sz="0" w:space="0" w:color="auto"/>
        <w:right w:val="none" w:sz="0" w:space="0" w:color="auto"/>
      </w:divBdr>
    </w:div>
    <w:div w:id="414522448">
      <w:bodyDiv w:val="1"/>
      <w:marLeft w:val="0"/>
      <w:marRight w:val="0"/>
      <w:marTop w:val="0"/>
      <w:marBottom w:val="0"/>
      <w:divBdr>
        <w:top w:val="none" w:sz="0" w:space="0" w:color="auto"/>
        <w:left w:val="none" w:sz="0" w:space="0" w:color="auto"/>
        <w:bottom w:val="none" w:sz="0" w:space="0" w:color="auto"/>
        <w:right w:val="none" w:sz="0" w:space="0" w:color="auto"/>
      </w:divBdr>
    </w:div>
    <w:div w:id="414546866">
      <w:bodyDiv w:val="1"/>
      <w:marLeft w:val="0"/>
      <w:marRight w:val="0"/>
      <w:marTop w:val="0"/>
      <w:marBottom w:val="0"/>
      <w:divBdr>
        <w:top w:val="none" w:sz="0" w:space="0" w:color="auto"/>
        <w:left w:val="none" w:sz="0" w:space="0" w:color="auto"/>
        <w:bottom w:val="none" w:sz="0" w:space="0" w:color="auto"/>
        <w:right w:val="none" w:sz="0" w:space="0" w:color="auto"/>
      </w:divBdr>
    </w:div>
    <w:div w:id="414591166">
      <w:bodyDiv w:val="1"/>
      <w:marLeft w:val="0"/>
      <w:marRight w:val="0"/>
      <w:marTop w:val="0"/>
      <w:marBottom w:val="0"/>
      <w:divBdr>
        <w:top w:val="none" w:sz="0" w:space="0" w:color="auto"/>
        <w:left w:val="none" w:sz="0" w:space="0" w:color="auto"/>
        <w:bottom w:val="none" w:sz="0" w:space="0" w:color="auto"/>
        <w:right w:val="none" w:sz="0" w:space="0" w:color="auto"/>
      </w:divBdr>
    </w:div>
    <w:div w:id="414593997">
      <w:bodyDiv w:val="1"/>
      <w:marLeft w:val="0"/>
      <w:marRight w:val="0"/>
      <w:marTop w:val="0"/>
      <w:marBottom w:val="0"/>
      <w:divBdr>
        <w:top w:val="none" w:sz="0" w:space="0" w:color="auto"/>
        <w:left w:val="none" w:sz="0" w:space="0" w:color="auto"/>
        <w:bottom w:val="none" w:sz="0" w:space="0" w:color="auto"/>
        <w:right w:val="none" w:sz="0" w:space="0" w:color="auto"/>
      </w:divBdr>
    </w:div>
    <w:div w:id="414666247">
      <w:bodyDiv w:val="1"/>
      <w:marLeft w:val="0"/>
      <w:marRight w:val="0"/>
      <w:marTop w:val="0"/>
      <w:marBottom w:val="0"/>
      <w:divBdr>
        <w:top w:val="none" w:sz="0" w:space="0" w:color="auto"/>
        <w:left w:val="none" w:sz="0" w:space="0" w:color="auto"/>
        <w:bottom w:val="none" w:sz="0" w:space="0" w:color="auto"/>
        <w:right w:val="none" w:sz="0" w:space="0" w:color="auto"/>
      </w:divBdr>
    </w:div>
    <w:div w:id="414862563">
      <w:bodyDiv w:val="1"/>
      <w:marLeft w:val="0"/>
      <w:marRight w:val="0"/>
      <w:marTop w:val="0"/>
      <w:marBottom w:val="0"/>
      <w:divBdr>
        <w:top w:val="none" w:sz="0" w:space="0" w:color="auto"/>
        <w:left w:val="none" w:sz="0" w:space="0" w:color="auto"/>
        <w:bottom w:val="none" w:sz="0" w:space="0" w:color="auto"/>
        <w:right w:val="none" w:sz="0" w:space="0" w:color="auto"/>
      </w:divBdr>
    </w:div>
    <w:div w:id="414984435">
      <w:bodyDiv w:val="1"/>
      <w:marLeft w:val="0"/>
      <w:marRight w:val="0"/>
      <w:marTop w:val="0"/>
      <w:marBottom w:val="0"/>
      <w:divBdr>
        <w:top w:val="none" w:sz="0" w:space="0" w:color="auto"/>
        <w:left w:val="none" w:sz="0" w:space="0" w:color="auto"/>
        <w:bottom w:val="none" w:sz="0" w:space="0" w:color="auto"/>
        <w:right w:val="none" w:sz="0" w:space="0" w:color="auto"/>
      </w:divBdr>
    </w:div>
    <w:div w:id="415056807">
      <w:bodyDiv w:val="1"/>
      <w:marLeft w:val="0"/>
      <w:marRight w:val="0"/>
      <w:marTop w:val="0"/>
      <w:marBottom w:val="0"/>
      <w:divBdr>
        <w:top w:val="none" w:sz="0" w:space="0" w:color="auto"/>
        <w:left w:val="none" w:sz="0" w:space="0" w:color="auto"/>
        <w:bottom w:val="none" w:sz="0" w:space="0" w:color="auto"/>
        <w:right w:val="none" w:sz="0" w:space="0" w:color="auto"/>
      </w:divBdr>
    </w:div>
    <w:div w:id="415133230">
      <w:bodyDiv w:val="1"/>
      <w:marLeft w:val="0"/>
      <w:marRight w:val="0"/>
      <w:marTop w:val="0"/>
      <w:marBottom w:val="0"/>
      <w:divBdr>
        <w:top w:val="none" w:sz="0" w:space="0" w:color="auto"/>
        <w:left w:val="none" w:sz="0" w:space="0" w:color="auto"/>
        <w:bottom w:val="none" w:sz="0" w:space="0" w:color="auto"/>
        <w:right w:val="none" w:sz="0" w:space="0" w:color="auto"/>
      </w:divBdr>
    </w:div>
    <w:div w:id="415172823">
      <w:bodyDiv w:val="1"/>
      <w:marLeft w:val="0"/>
      <w:marRight w:val="0"/>
      <w:marTop w:val="0"/>
      <w:marBottom w:val="0"/>
      <w:divBdr>
        <w:top w:val="none" w:sz="0" w:space="0" w:color="auto"/>
        <w:left w:val="none" w:sz="0" w:space="0" w:color="auto"/>
        <w:bottom w:val="none" w:sz="0" w:space="0" w:color="auto"/>
        <w:right w:val="none" w:sz="0" w:space="0" w:color="auto"/>
      </w:divBdr>
    </w:div>
    <w:div w:id="415173079">
      <w:bodyDiv w:val="1"/>
      <w:marLeft w:val="0"/>
      <w:marRight w:val="0"/>
      <w:marTop w:val="0"/>
      <w:marBottom w:val="0"/>
      <w:divBdr>
        <w:top w:val="none" w:sz="0" w:space="0" w:color="auto"/>
        <w:left w:val="none" w:sz="0" w:space="0" w:color="auto"/>
        <w:bottom w:val="none" w:sz="0" w:space="0" w:color="auto"/>
        <w:right w:val="none" w:sz="0" w:space="0" w:color="auto"/>
      </w:divBdr>
    </w:div>
    <w:div w:id="415174895">
      <w:bodyDiv w:val="1"/>
      <w:marLeft w:val="0"/>
      <w:marRight w:val="0"/>
      <w:marTop w:val="0"/>
      <w:marBottom w:val="0"/>
      <w:divBdr>
        <w:top w:val="none" w:sz="0" w:space="0" w:color="auto"/>
        <w:left w:val="none" w:sz="0" w:space="0" w:color="auto"/>
        <w:bottom w:val="none" w:sz="0" w:space="0" w:color="auto"/>
        <w:right w:val="none" w:sz="0" w:space="0" w:color="auto"/>
      </w:divBdr>
    </w:div>
    <w:div w:id="415175047">
      <w:bodyDiv w:val="1"/>
      <w:marLeft w:val="0"/>
      <w:marRight w:val="0"/>
      <w:marTop w:val="0"/>
      <w:marBottom w:val="0"/>
      <w:divBdr>
        <w:top w:val="none" w:sz="0" w:space="0" w:color="auto"/>
        <w:left w:val="none" w:sz="0" w:space="0" w:color="auto"/>
        <w:bottom w:val="none" w:sz="0" w:space="0" w:color="auto"/>
        <w:right w:val="none" w:sz="0" w:space="0" w:color="auto"/>
      </w:divBdr>
    </w:div>
    <w:div w:id="415244434">
      <w:bodyDiv w:val="1"/>
      <w:marLeft w:val="0"/>
      <w:marRight w:val="0"/>
      <w:marTop w:val="0"/>
      <w:marBottom w:val="0"/>
      <w:divBdr>
        <w:top w:val="none" w:sz="0" w:space="0" w:color="auto"/>
        <w:left w:val="none" w:sz="0" w:space="0" w:color="auto"/>
        <w:bottom w:val="none" w:sz="0" w:space="0" w:color="auto"/>
        <w:right w:val="none" w:sz="0" w:space="0" w:color="auto"/>
      </w:divBdr>
    </w:div>
    <w:div w:id="415247581">
      <w:bodyDiv w:val="1"/>
      <w:marLeft w:val="0"/>
      <w:marRight w:val="0"/>
      <w:marTop w:val="0"/>
      <w:marBottom w:val="0"/>
      <w:divBdr>
        <w:top w:val="none" w:sz="0" w:space="0" w:color="auto"/>
        <w:left w:val="none" w:sz="0" w:space="0" w:color="auto"/>
        <w:bottom w:val="none" w:sz="0" w:space="0" w:color="auto"/>
        <w:right w:val="none" w:sz="0" w:space="0" w:color="auto"/>
      </w:divBdr>
    </w:div>
    <w:div w:id="415396698">
      <w:bodyDiv w:val="1"/>
      <w:marLeft w:val="0"/>
      <w:marRight w:val="0"/>
      <w:marTop w:val="0"/>
      <w:marBottom w:val="0"/>
      <w:divBdr>
        <w:top w:val="none" w:sz="0" w:space="0" w:color="auto"/>
        <w:left w:val="none" w:sz="0" w:space="0" w:color="auto"/>
        <w:bottom w:val="none" w:sz="0" w:space="0" w:color="auto"/>
        <w:right w:val="none" w:sz="0" w:space="0" w:color="auto"/>
      </w:divBdr>
    </w:div>
    <w:div w:id="415446837">
      <w:bodyDiv w:val="1"/>
      <w:marLeft w:val="0"/>
      <w:marRight w:val="0"/>
      <w:marTop w:val="0"/>
      <w:marBottom w:val="0"/>
      <w:divBdr>
        <w:top w:val="none" w:sz="0" w:space="0" w:color="auto"/>
        <w:left w:val="none" w:sz="0" w:space="0" w:color="auto"/>
        <w:bottom w:val="none" w:sz="0" w:space="0" w:color="auto"/>
        <w:right w:val="none" w:sz="0" w:space="0" w:color="auto"/>
      </w:divBdr>
    </w:div>
    <w:div w:id="415515979">
      <w:bodyDiv w:val="1"/>
      <w:marLeft w:val="0"/>
      <w:marRight w:val="0"/>
      <w:marTop w:val="0"/>
      <w:marBottom w:val="0"/>
      <w:divBdr>
        <w:top w:val="none" w:sz="0" w:space="0" w:color="auto"/>
        <w:left w:val="none" w:sz="0" w:space="0" w:color="auto"/>
        <w:bottom w:val="none" w:sz="0" w:space="0" w:color="auto"/>
        <w:right w:val="none" w:sz="0" w:space="0" w:color="auto"/>
      </w:divBdr>
    </w:div>
    <w:div w:id="415590482">
      <w:bodyDiv w:val="1"/>
      <w:marLeft w:val="0"/>
      <w:marRight w:val="0"/>
      <w:marTop w:val="0"/>
      <w:marBottom w:val="0"/>
      <w:divBdr>
        <w:top w:val="none" w:sz="0" w:space="0" w:color="auto"/>
        <w:left w:val="none" w:sz="0" w:space="0" w:color="auto"/>
        <w:bottom w:val="none" w:sz="0" w:space="0" w:color="auto"/>
        <w:right w:val="none" w:sz="0" w:space="0" w:color="auto"/>
      </w:divBdr>
    </w:div>
    <w:div w:id="415785978">
      <w:bodyDiv w:val="1"/>
      <w:marLeft w:val="0"/>
      <w:marRight w:val="0"/>
      <w:marTop w:val="0"/>
      <w:marBottom w:val="0"/>
      <w:divBdr>
        <w:top w:val="none" w:sz="0" w:space="0" w:color="auto"/>
        <w:left w:val="none" w:sz="0" w:space="0" w:color="auto"/>
        <w:bottom w:val="none" w:sz="0" w:space="0" w:color="auto"/>
        <w:right w:val="none" w:sz="0" w:space="0" w:color="auto"/>
      </w:divBdr>
    </w:div>
    <w:div w:id="415826188">
      <w:bodyDiv w:val="1"/>
      <w:marLeft w:val="0"/>
      <w:marRight w:val="0"/>
      <w:marTop w:val="0"/>
      <w:marBottom w:val="0"/>
      <w:divBdr>
        <w:top w:val="none" w:sz="0" w:space="0" w:color="auto"/>
        <w:left w:val="none" w:sz="0" w:space="0" w:color="auto"/>
        <w:bottom w:val="none" w:sz="0" w:space="0" w:color="auto"/>
        <w:right w:val="none" w:sz="0" w:space="0" w:color="auto"/>
      </w:divBdr>
    </w:div>
    <w:div w:id="415828914">
      <w:bodyDiv w:val="1"/>
      <w:marLeft w:val="0"/>
      <w:marRight w:val="0"/>
      <w:marTop w:val="0"/>
      <w:marBottom w:val="0"/>
      <w:divBdr>
        <w:top w:val="none" w:sz="0" w:space="0" w:color="auto"/>
        <w:left w:val="none" w:sz="0" w:space="0" w:color="auto"/>
        <w:bottom w:val="none" w:sz="0" w:space="0" w:color="auto"/>
        <w:right w:val="none" w:sz="0" w:space="0" w:color="auto"/>
      </w:divBdr>
    </w:div>
    <w:div w:id="415857471">
      <w:bodyDiv w:val="1"/>
      <w:marLeft w:val="0"/>
      <w:marRight w:val="0"/>
      <w:marTop w:val="0"/>
      <w:marBottom w:val="0"/>
      <w:divBdr>
        <w:top w:val="none" w:sz="0" w:space="0" w:color="auto"/>
        <w:left w:val="none" w:sz="0" w:space="0" w:color="auto"/>
        <w:bottom w:val="none" w:sz="0" w:space="0" w:color="auto"/>
        <w:right w:val="none" w:sz="0" w:space="0" w:color="auto"/>
      </w:divBdr>
    </w:div>
    <w:div w:id="415902409">
      <w:bodyDiv w:val="1"/>
      <w:marLeft w:val="0"/>
      <w:marRight w:val="0"/>
      <w:marTop w:val="0"/>
      <w:marBottom w:val="0"/>
      <w:divBdr>
        <w:top w:val="none" w:sz="0" w:space="0" w:color="auto"/>
        <w:left w:val="none" w:sz="0" w:space="0" w:color="auto"/>
        <w:bottom w:val="none" w:sz="0" w:space="0" w:color="auto"/>
        <w:right w:val="none" w:sz="0" w:space="0" w:color="auto"/>
      </w:divBdr>
    </w:div>
    <w:div w:id="415902489">
      <w:bodyDiv w:val="1"/>
      <w:marLeft w:val="0"/>
      <w:marRight w:val="0"/>
      <w:marTop w:val="0"/>
      <w:marBottom w:val="0"/>
      <w:divBdr>
        <w:top w:val="none" w:sz="0" w:space="0" w:color="auto"/>
        <w:left w:val="none" w:sz="0" w:space="0" w:color="auto"/>
        <w:bottom w:val="none" w:sz="0" w:space="0" w:color="auto"/>
        <w:right w:val="none" w:sz="0" w:space="0" w:color="auto"/>
      </w:divBdr>
    </w:div>
    <w:div w:id="415978909">
      <w:bodyDiv w:val="1"/>
      <w:marLeft w:val="0"/>
      <w:marRight w:val="0"/>
      <w:marTop w:val="0"/>
      <w:marBottom w:val="0"/>
      <w:divBdr>
        <w:top w:val="none" w:sz="0" w:space="0" w:color="auto"/>
        <w:left w:val="none" w:sz="0" w:space="0" w:color="auto"/>
        <w:bottom w:val="none" w:sz="0" w:space="0" w:color="auto"/>
        <w:right w:val="none" w:sz="0" w:space="0" w:color="auto"/>
      </w:divBdr>
    </w:div>
    <w:div w:id="415979928">
      <w:bodyDiv w:val="1"/>
      <w:marLeft w:val="0"/>
      <w:marRight w:val="0"/>
      <w:marTop w:val="0"/>
      <w:marBottom w:val="0"/>
      <w:divBdr>
        <w:top w:val="none" w:sz="0" w:space="0" w:color="auto"/>
        <w:left w:val="none" w:sz="0" w:space="0" w:color="auto"/>
        <w:bottom w:val="none" w:sz="0" w:space="0" w:color="auto"/>
        <w:right w:val="none" w:sz="0" w:space="0" w:color="auto"/>
      </w:divBdr>
    </w:div>
    <w:div w:id="416023208">
      <w:bodyDiv w:val="1"/>
      <w:marLeft w:val="0"/>
      <w:marRight w:val="0"/>
      <w:marTop w:val="0"/>
      <w:marBottom w:val="0"/>
      <w:divBdr>
        <w:top w:val="none" w:sz="0" w:space="0" w:color="auto"/>
        <w:left w:val="none" w:sz="0" w:space="0" w:color="auto"/>
        <w:bottom w:val="none" w:sz="0" w:space="0" w:color="auto"/>
        <w:right w:val="none" w:sz="0" w:space="0" w:color="auto"/>
      </w:divBdr>
    </w:div>
    <w:div w:id="416053286">
      <w:bodyDiv w:val="1"/>
      <w:marLeft w:val="0"/>
      <w:marRight w:val="0"/>
      <w:marTop w:val="0"/>
      <w:marBottom w:val="0"/>
      <w:divBdr>
        <w:top w:val="none" w:sz="0" w:space="0" w:color="auto"/>
        <w:left w:val="none" w:sz="0" w:space="0" w:color="auto"/>
        <w:bottom w:val="none" w:sz="0" w:space="0" w:color="auto"/>
        <w:right w:val="none" w:sz="0" w:space="0" w:color="auto"/>
      </w:divBdr>
    </w:div>
    <w:div w:id="416176134">
      <w:bodyDiv w:val="1"/>
      <w:marLeft w:val="0"/>
      <w:marRight w:val="0"/>
      <w:marTop w:val="0"/>
      <w:marBottom w:val="0"/>
      <w:divBdr>
        <w:top w:val="none" w:sz="0" w:space="0" w:color="auto"/>
        <w:left w:val="none" w:sz="0" w:space="0" w:color="auto"/>
        <w:bottom w:val="none" w:sz="0" w:space="0" w:color="auto"/>
        <w:right w:val="none" w:sz="0" w:space="0" w:color="auto"/>
      </w:divBdr>
    </w:div>
    <w:div w:id="416243955">
      <w:bodyDiv w:val="1"/>
      <w:marLeft w:val="0"/>
      <w:marRight w:val="0"/>
      <w:marTop w:val="0"/>
      <w:marBottom w:val="0"/>
      <w:divBdr>
        <w:top w:val="none" w:sz="0" w:space="0" w:color="auto"/>
        <w:left w:val="none" w:sz="0" w:space="0" w:color="auto"/>
        <w:bottom w:val="none" w:sz="0" w:space="0" w:color="auto"/>
        <w:right w:val="none" w:sz="0" w:space="0" w:color="auto"/>
      </w:divBdr>
    </w:div>
    <w:div w:id="416362500">
      <w:bodyDiv w:val="1"/>
      <w:marLeft w:val="0"/>
      <w:marRight w:val="0"/>
      <w:marTop w:val="0"/>
      <w:marBottom w:val="0"/>
      <w:divBdr>
        <w:top w:val="none" w:sz="0" w:space="0" w:color="auto"/>
        <w:left w:val="none" w:sz="0" w:space="0" w:color="auto"/>
        <w:bottom w:val="none" w:sz="0" w:space="0" w:color="auto"/>
        <w:right w:val="none" w:sz="0" w:space="0" w:color="auto"/>
      </w:divBdr>
    </w:div>
    <w:div w:id="416904612">
      <w:bodyDiv w:val="1"/>
      <w:marLeft w:val="0"/>
      <w:marRight w:val="0"/>
      <w:marTop w:val="0"/>
      <w:marBottom w:val="0"/>
      <w:divBdr>
        <w:top w:val="none" w:sz="0" w:space="0" w:color="auto"/>
        <w:left w:val="none" w:sz="0" w:space="0" w:color="auto"/>
        <w:bottom w:val="none" w:sz="0" w:space="0" w:color="auto"/>
        <w:right w:val="none" w:sz="0" w:space="0" w:color="auto"/>
      </w:divBdr>
    </w:div>
    <w:div w:id="417019254">
      <w:bodyDiv w:val="1"/>
      <w:marLeft w:val="0"/>
      <w:marRight w:val="0"/>
      <w:marTop w:val="0"/>
      <w:marBottom w:val="0"/>
      <w:divBdr>
        <w:top w:val="none" w:sz="0" w:space="0" w:color="auto"/>
        <w:left w:val="none" w:sz="0" w:space="0" w:color="auto"/>
        <w:bottom w:val="none" w:sz="0" w:space="0" w:color="auto"/>
        <w:right w:val="none" w:sz="0" w:space="0" w:color="auto"/>
      </w:divBdr>
    </w:div>
    <w:div w:id="417019869">
      <w:bodyDiv w:val="1"/>
      <w:marLeft w:val="0"/>
      <w:marRight w:val="0"/>
      <w:marTop w:val="0"/>
      <w:marBottom w:val="0"/>
      <w:divBdr>
        <w:top w:val="none" w:sz="0" w:space="0" w:color="auto"/>
        <w:left w:val="none" w:sz="0" w:space="0" w:color="auto"/>
        <w:bottom w:val="none" w:sz="0" w:space="0" w:color="auto"/>
        <w:right w:val="none" w:sz="0" w:space="0" w:color="auto"/>
      </w:divBdr>
    </w:div>
    <w:div w:id="417216914">
      <w:bodyDiv w:val="1"/>
      <w:marLeft w:val="0"/>
      <w:marRight w:val="0"/>
      <w:marTop w:val="0"/>
      <w:marBottom w:val="0"/>
      <w:divBdr>
        <w:top w:val="none" w:sz="0" w:space="0" w:color="auto"/>
        <w:left w:val="none" w:sz="0" w:space="0" w:color="auto"/>
        <w:bottom w:val="none" w:sz="0" w:space="0" w:color="auto"/>
        <w:right w:val="none" w:sz="0" w:space="0" w:color="auto"/>
      </w:divBdr>
    </w:div>
    <w:div w:id="417287026">
      <w:bodyDiv w:val="1"/>
      <w:marLeft w:val="0"/>
      <w:marRight w:val="0"/>
      <w:marTop w:val="0"/>
      <w:marBottom w:val="0"/>
      <w:divBdr>
        <w:top w:val="none" w:sz="0" w:space="0" w:color="auto"/>
        <w:left w:val="none" w:sz="0" w:space="0" w:color="auto"/>
        <w:bottom w:val="none" w:sz="0" w:space="0" w:color="auto"/>
        <w:right w:val="none" w:sz="0" w:space="0" w:color="auto"/>
      </w:divBdr>
    </w:div>
    <w:div w:id="417288708">
      <w:bodyDiv w:val="1"/>
      <w:marLeft w:val="0"/>
      <w:marRight w:val="0"/>
      <w:marTop w:val="0"/>
      <w:marBottom w:val="0"/>
      <w:divBdr>
        <w:top w:val="none" w:sz="0" w:space="0" w:color="auto"/>
        <w:left w:val="none" w:sz="0" w:space="0" w:color="auto"/>
        <w:bottom w:val="none" w:sz="0" w:space="0" w:color="auto"/>
        <w:right w:val="none" w:sz="0" w:space="0" w:color="auto"/>
      </w:divBdr>
    </w:div>
    <w:div w:id="417333640">
      <w:bodyDiv w:val="1"/>
      <w:marLeft w:val="0"/>
      <w:marRight w:val="0"/>
      <w:marTop w:val="0"/>
      <w:marBottom w:val="0"/>
      <w:divBdr>
        <w:top w:val="none" w:sz="0" w:space="0" w:color="auto"/>
        <w:left w:val="none" w:sz="0" w:space="0" w:color="auto"/>
        <w:bottom w:val="none" w:sz="0" w:space="0" w:color="auto"/>
        <w:right w:val="none" w:sz="0" w:space="0" w:color="auto"/>
      </w:divBdr>
    </w:div>
    <w:div w:id="417336208">
      <w:bodyDiv w:val="1"/>
      <w:marLeft w:val="0"/>
      <w:marRight w:val="0"/>
      <w:marTop w:val="0"/>
      <w:marBottom w:val="0"/>
      <w:divBdr>
        <w:top w:val="none" w:sz="0" w:space="0" w:color="auto"/>
        <w:left w:val="none" w:sz="0" w:space="0" w:color="auto"/>
        <w:bottom w:val="none" w:sz="0" w:space="0" w:color="auto"/>
        <w:right w:val="none" w:sz="0" w:space="0" w:color="auto"/>
      </w:divBdr>
    </w:div>
    <w:div w:id="417605798">
      <w:bodyDiv w:val="1"/>
      <w:marLeft w:val="0"/>
      <w:marRight w:val="0"/>
      <w:marTop w:val="0"/>
      <w:marBottom w:val="0"/>
      <w:divBdr>
        <w:top w:val="none" w:sz="0" w:space="0" w:color="auto"/>
        <w:left w:val="none" w:sz="0" w:space="0" w:color="auto"/>
        <w:bottom w:val="none" w:sz="0" w:space="0" w:color="auto"/>
        <w:right w:val="none" w:sz="0" w:space="0" w:color="auto"/>
      </w:divBdr>
    </w:div>
    <w:div w:id="417675270">
      <w:bodyDiv w:val="1"/>
      <w:marLeft w:val="0"/>
      <w:marRight w:val="0"/>
      <w:marTop w:val="0"/>
      <w:marBottom w:val="0"/>
      <w:divBdr>
        <w:top w:val="none" w:sz="0" w:space="0" w:color="auto"/>
        <w:left w:val="none" w:sz="0" w:space="0" w:color="auto"/>
        <w:bottom w:val="none" w:sz="0" w:space="0" w:color="auto"/>
        <w:right w:val="none" w:sz="0" w:space="0" w:color="auto"/>
      </w:divBdr>
    </w:div>
    <w:div w:id="417680221">
      <w:bodyDiv w:val="1"/>
      <w:marLeft w:val="0"/>
      <w:marRight w:val="0"/>
      <w:marTop w:val="0"/>
      <w:marBottom w:val="0"/>
      <w:divBdr>
        <w:top w:val="none" w:sz="0" w:space="0" w:color="auto"/>
        <w:left w:val="none" w:sz="0" w:space="0" w:color="auto"/>
        <w:bottom w:val="none" w:sz="0" w:space="0" w:color="auto"/>
        <w:right w:val="none" w:sz="0" w:space="0" w:color="auto"/>
      </w:divBdr>
    </w:div>
    <w:div w:id="417681567">
      <w:bodyDiv w:val="1"/>
      <w:marLeft w:val="0"/>
      <w:marRight w:val="0"/>
      <w:marTop w:val="0"/>
      <w:marBottom w:val="0"/>
      <w:divBdr>
        <w:top w:val="none" w:sz="0" w:space="0" w:color="auto"/>
        <w:left w:val="none" w:sz="0" w:space="0" w:color="auto"/>
        <w:bottom w:val="none" w:sz="0" w:space="0" w:color="auto"/>
        <w:right w:val="none" w:sz="0" w:space="0" w:color="auto"/>
      </w:divBdr>
    </w:div>
    <w:div w:id="417747683">
      <w:bodyDiv w:val="1"/>
      <w:marLeft w:val="0"/>
      <w:marRight w:val="0"/>
      <w:marTop w:val="0"/>
      <w:marBottom w:val="0"/>
      <w:divBdr>
        <w:top w:val="none" w:sz="0" w:space="0" w:color="auto"/>
        <w:left w:val="none" w:sz="0" w:space="0" w:color="auto"/>
        <w:bottom w:val="none" w:sz="0" w:space="0" w:color="auto"/>
        <w:right w:val="none" w:sz="0" w:space="0" w:color="auto"/>
      </w:divBdr>
    </w:div>
    <w:div w:id="417795671">
      <w:bodyDiv w:val="1"/>
      <w:marLeft w:val="0"/>
      <w:marRight w:val="0"/>
      <w:marTop w:val="0"/>
      <w:marBottom w:val="0"/>
      <w:divBdr>
        <w:top w:val="none" w:sz="0" w:space="0" w:color="auto"/>
        <w:left w:val="none" w:sz="0" w:space="0" w:color="auto"/>
        <w:bottom w:val="none" w:sz="0" w:space="0" w:color="auto"/>
        <w:right w:val="none" w:sz="0" w:space="0" w:color="auto"/>
      </w:divBdr>
    </w:div>
    <w:div w:id="417874881">
      <w:bodyDiv w:val="1"/>
      <w:marLeft w:val="0"/>
      <w:marRight w:val="0"/>
      <w:marTop w:val="0"/>
      <w:marBottom w:val="0"/>
      <w:divBdr>
        <w:top w:val="none" w:sz="0" w:space="0" w:color="auto"/>
        <w:left w:val="none" w:sz="0" w:space="0" w:color="auto"/>
        <w:bottom w:val="none" w:sz="0" w:space="0" w:color="auto"/>
        <w:right w:val="none" w:sz="0" w:space="0" w:color="auto"/>
      </w:divBdr>
    </w:div>
    <w:div w:id="417946147">
      <w:bodyDiv w:val="1"/>
      <w:marLeft w:val="0"/>
      <w:marRight w:val="0"/>
      <w:marTop w:val="0"/>
      <w:marBottom w:val="0"/>
      <w:divBdr>
        <w:top w:val="none" w:sz="0" w:space="0" w:color="auto"/>
        <w:left w:val="none" w:sz="0" w:space="0" w:color="auto"/>
        <w:bottom w:val="none" w:sz="0" w:space="0" w:color="auto"/>
        <w:right w:val="none" w:sz="0" w:space="0" w:color="auto"/>
      </w:divBdr>
    </w:div>
    <w:div w:id="418253020">
      <w:bodyDiv w:val="1"/>
      <w:marLeft w:val="0"/>
      <w:marRight w:val="0"/>
      <w:marTop w:val="0"/>
      <w:marBottom w:val="0"/>
      <w:divBdr>
        <w:top w:val="none" w:sz="0" w:space="0" w:color="auto"/>
        <w:left w:val="none" w:sz="0" w:space="0" w:color="auto"/>
        <w:bottom w:val="none" w:sz="0" w:space="0" w:color="auto"/>
        <w:right w:val="none" w:sz="0" w:space="0" w:color="auto"/>
      </w:divBdr>
    </w:div>
    <w:div w:id="418259686">
      <w:bodyDiv w:val="1"/>
      <w:marLeft w:val="0"/>
      <w:marRight w:val="0"/>
      <w:marTop w:val="0"/>
      <w:marBottom w:val="0"/>
      <w:divBdr>
        <w:top w:val="none" w:sz="0" w:space="0" w:color="auto"/>
        <w:left w:val="none" w:sz="0" w:space="0" w:color="auto"/>
        <w:bottom w:val="none" w:sz="0" w:space="0" w:color="auto"/>
        <w:right w:val="none" w:sz="0" w:space="0" w:color="auto"/>
      </w:divBdr>
    </w:div>
    <w:div w:id="418330198">
      <w:bodyDiv w:val="1"/>
      <w:marLeft w:val="0"/>
      <w:marRight w:val="0"/>
      <w:marTop w:val="0"/>
      <w:marBottom w:val="0"/>
      <w:divBdr>
        <w:top w:val="none" w:sz="0" w:space="0" w:color="auto"/>
        <w:left w:val="none" w:sz="0" w:space="0" w:color="auto"/>
        <w:bottom w:val="none" w:sz="0" w:space="0" w:color="auto"/>
        <w:right w:val="none" w:sz="0" w:space="0" w:color="auto"/>
      </w:divBdr>
    </w:div>
    <w:div w:id="418336897">
      <w:bodyDiv w:val="1"/>
      <w:marLeft w:val="0"/>
      <w:marRight w:val="0"/>
      <w:marTop w:val="0"/>
      <w:marBottom w:val="0"/>
      <w:divBdr>
        <w:top w:val="none" w:sz="0" w:space="0" w:color="auto"/>
        <w:left w:val="none" w:sz="0" w:space="0" w:color="auto"/>
        <w:bottom w:val="none" w:sz="0" w:space="0" w:color="auto"/>
        <w:right w:val="none" w:sz="0" w:space="0" w:color="auto"/>
      </w:divBdr>
    </w:div>
    <w:div w:id="418451398">
      <w:bodyDiv w:val="1"/>
      <w:marLeft w:val="0"/>
      <w:marRight w:val="0"/>
      <w:marTop w:val="0"/>
      <w:marBottom w:val="0"/>
      <w:divBdr>
        <w:top w:val="none" w:sz="0" w:space="0" w:color="auto"/>
        <w:left w:val="none" w:sz="0" w:space="0" w:color="auto"/>
        <w:bottom w:val="none" w:sz="0" w:space="0" w:color="auto"/>
        <w:right w:val="none" w:sz="0" w:space="0" w:color="auto"/>
      </w:divBdr>
    </w:div>
    <w:div w:id="418479574">
      <w:bodyDiv w:val="1"/>
      <w:marLeft w:val="0"/>
      <w:marRight w:val="0"/>
      <w:marTop w:val="0"/>
      <w:marBottom w:val="0"/>
      <w:divBdr>
        <w:top w:val="none" w:sz="0" w:space="0" w:color="auto"/>
        <w:left w:val="none" w:sz="0" w:space="0" w:color="auto"/>
        <w:bottom w:val="none" w:sz="0" w:space="0" w:color="auto"/>
        <w:right w:val="none" w:sz="0" w:space="0" w:color="auto"/>
      </w:divBdr>
    </w:div>
    <w:div w:id="418523233">
      <w:bodyDiv w:val="1"/>
      <w:marLeft w:val="0"/>
      <w:marRight w:val="0"/>
      <w:marTop w:val="0"/>
      <w:marBottom w:val="0"/>
      <w:divBdr>
        <w:top w:val="none" w:sz="0" w:space="0" w:color="auto"/>
        <w:left w:val="none" w:sz="0" w:space="0" w:color="auto"/>
        <w:bottom w:val="none" w:sz="0" w:space="0" w:color="auto"/>
        <w:right w:val="none" w:sz="0" w:space="0" w:color="auto"/>
      </w:divBdr>
    </w:div>
    <w:div w:id="418647061">
      <w:bodyDiv w:val="1"/>
      <w:marLeft w:val="0"/>
      <w:marRight w:val="0"/>
      <w:marTop w:val="0"/>
      <w:marBottom w:val="0"/>
      <w:divBdr>
        <w:top w:val="none" w:sz="0" w:space="0" w:color="auto"/>
        <w:left w:val="none" w:sz="0" w:space="0" w:color="auto"/>
        <w:bottom w:val="none" w:sz="0" w:space="0" w:color="auto"/>
        <w:right w:val="none" w:sz="0" w:space="0" w:color="auto"/>
      </w:divBdr>
    </w:div>
    <w:div w:id="418792335">
      <w:bodyDiv w:val="1"/>
      <w:marLeft w:val="0"/>
      <w:marRight w:val="0"/>
      <w:marTop w:val="0"/>
      <w:marBottom w:val="0"/>
      <w:divBdr>
        <w:top w:val="none" w:sz="0" w:space="0" w:color="auto"/>
        <w:left w:val="none" w:sz="0" w:space="0" w:color="auto"/>
        <w:bottom w:val="none" w:sz="0" w:space="0" w:color="auto"/>
        <w:right w:val="none" w:sz="0" w:space="0" w:color="auto"/>
      </w:divBdr>
    </w:div>
    <w:div w:id="418866449">
      <w:bodyDiv w:val="1"/>
      <w:marLeft w:val="0"/>
      <w:marRight w:val="0"/>
      <w:marTop w:val="0"/>
      <w:marBottom w:val="0"/>
      <w:divBdr>
        <w:top w:val="none" w:sz="0" w:space="0" w:color="auto"/>
        <w:left w:val="none" w:sz="0" w:space="0" w:color="auto"/>
        <w:bottom w:val="none" w:sz="0" w:space="0" w:color="auto"/>
        <w:right w:val="none" w:sz="0" w:space="0" w:color="auto"/>
      </w:divBdr>
    </w:div>
    <w:div w:id="418984801">
      <w:bodyDiv w:val="1"/>
      <w:marLeft w:val="0"/>
      <w:marRight w:val="0"/>
      <w:marTop w:val="0"/>
      <w:marBottom w:val="0"/>
      <w:divBdr>
        <w:top w:val="none" w:sz="0" w:space="0" w:color="auto"/>
        <w:left w:val="none" w:sz="0" w:space="0" w:color="auto"/>
        <w:bottom w:val="none" w:sz="0" w:space="0" w:color="auto"/>
        <w:right w:val="none" w:sz="0" w:space="0" w:color="auto"/>
      </w:divBdr>
    </w:div>
    <w:div w:id="418987985">
      <w:bodyDiv w:val="1"/>
      <w:marLeft w:val="0"/>
      <w:marRight w:val="0"/>
      <w:marTop w:val="0"/>
      <w:marBottom w:val="0"/>
      <w:divBdr>
        <w:top w:val="none" w:sz="0" w:space="0" w:color="auto"/>
        <w:left w:val="none" w:sz="0" w:space="0" w:color="auto"/>
        <w:bottom w:val="none" w:sz="0" w:space="0" w:color="auto"/>
        <w:right w:val="none" w:sz="0" w:space="0" w:color="auto"/>
      </w:divBdr>
    </w:div>
    <w:div w:id="418990914">
      <w:bodyDiv w:val="1"/>
      <w:marLeft w:val="0"/>
      <w:marRight w:val="0"/>
      <w:marTop w:val="0"/>
      <w:marBottom w:val="0"/>
      <w:divBdr>
        <w:top w:val="none" w:sz="0" w:space="0" w:color="auto"/>
        <w:left w:val="none" w:sz="0" w:space="0" w:color="auto"/>
        <w:bottom w:val="none" w:sz="0" w:space="0" w:color="auto"/>
        <w:right w:val="none" w:sz="0" w:space="0" w:color="auto"/>
      </w:divBdr>
    </w:div>
    <w:div w:id="419060150">
      <w:bodyDiv w:val="1"/>
      <w:marLeft w:val="0"/>
      <w:marRight w:val="0"/>
      <w:marTop w:val="0"/>
      <w:marBottom w:val="0"/>
      <w:divBdr>
        <w:top w:val="none" w:sz="0" w:space="0" w:color="auto"/>
        <w:left w:val="none" w:sz="0" w:space="0" w:color="auto"/>
        <w:bottom w:val="none" w:sz="0" w:space="0" w:color="auto"/>
        <w:right w:val="none" w:sz="0" w:space="0" w:color="auto"/>
      </w:divBdr>
    </w:div>
    <w:div w:id="419062433">
      <w:bodyDiv w:val="1"/>
      <w:marLeft w:val="0"/>
      <w:marRight w:val="0"/>
      <w:marTop w:val="0"/>
      <w:marBottom w:val="0"/>
      <w:divBdr>
        <w:top w:val="none" w:sz="0" w:space="0" w:color="auto"/>
        <w:left w:val="none" w:sz="0" w:space="0" w:color="auto"/>
        <w:bottom w:val="none" w:sz="0" w:space="0" w:color="auto"/>
        <w:right w:val="none" w:sz="0" w:space="0" w:color="auto"/>
      </w:divBdr>
    </w:div>
    <w:div w:id="419105305">
      <w:bodyDiv w:val="1"/>
      <w:marLeft w:val="0"/>
      <w:marRight w:val="0"/>
      <w:marTop w:val="0"/>
      <w:marBottom w:val="0"/>
      <w:divBdr>
        <w:top w:val="none" w:sz="0" w:space="0" w:color="auto"/>
        <w:left w:val="none" w:sz="0" w:space="0" w:color="auto"/>
        <w:bottom w:val="none" w:sz="0" w:space="0" w:color="auto"/>
        <w:right w:val="none" w:sz="0" w:space="0" w:color="auto"/>
      </w:divBdr>
    </w:div>
    <w:div w:id="419107352">
      <w:bodyDiv w:val="1"/>
      <w:marLeft w:val="0"/>
      <w:marRight w:val="0"/>
      <w:marTop w:val="0"/>
      <w:marBottom w:val="0"/>
      <w:divBdr>
        <w:top w:val="none" w:sz="0" w:space="0" w:color="auto"/>
        <w:left w:val="none" w:sz="0" w:space="0" w:color="auto"/>
        <w:bottom w:val="none" w:sz="0" w:space="0" w:color="auto"/>
        <w:right w:val="none" w:sz="0" w:space="0" w:color="auto"/>
      </w:divBdr>
    </w:div>
    <w:div w:id="419109762">
      <w:bodyDiv w:val="1"/>
      <w:marLeft w:val="0"/>
      <w:marRight w:val="0"/>
      <w:marTop w:val="0"/>
      <w:marBottom w:val="0"/>
      <w:divBdr>
        <w:top w:val="none" w:sz="0" w:space="0" w:color="auto"/>
        <w:left w:val="none" w:sz="0" w:space="0" w:color="auto"/>
        <w:bottom w:val="none" w:sz="0" w:space="0" w:color="auto"/>
        <w:right w:val="none" w:sz="0" w:space="0" w:color="auto"/>
      </w:divBdr>
    </w:div>
    <w:div w:id="419109792">
      <w:bodyDiv w:val="1"/>
      <w:marLeft w:val="0"/>
      <w:marRight w:val="0"/>
      <w:marTop w:val="0"/>
      <w:marBottom w:val="0"/>
      <w:divBdr>
        <w:top w:val="none" w:sz="0" w:space="0" w:color="auto"/>
        <w:left w:val="none" w:sz="0" w:space="0" w:color="auto"/>
        <w:bottom w:val="none" w:sz="0" w:space="0" w:color="auto"/>
        <w:right w:val="none" w:sz="0" w:space="0" w:color="auto"/>
      </w:divBdr>
    </w:div>
    <w:div w:id="419183918">
      <w:bodyDiv w:val="1"/>
      <w:marLeft w:val="0"/>
      <w:marRight w:val="0"/>
      <w:marTop w:val="0"/>
      <w:marBottom w:val="0"/>
      <w:divBdr>
        <w:top w:val="none" w:sz="0" w:space="0" w:color="auto"/>
        <w:left w:val="none" w:sz="0" w:space="0" w:color="auto"/>
        <w:bottom w:val="none" w:sz="0" w:space="0" w:color="auto"/>
        <w:right w:val="none" w:sz="0" w:space="0" w:color="auto"/>
      </w:divBdr>
    </w:div>
    <w:div w:id="419300547">
      <w:bodyDiv w:val="1"/>
      <w:marLeft w:val="0"/>
      <w:marRight w:val="0"/>
      <w:marTop w:val="0"/>
      <w:marBottom w:val="0"/>
      <w:divBdr>
        <w:top w:val="none" w:sz="0" w:space="0" w:color="auto"/>
        <w:left w:val="none" w:sz="0" w:space="0" w:color="auto"/>
        <w:bottom w:val="none" w:sz="0" w:space="0" w:color="auto"/>
        <w:right w:val="none" w:sz="0" w:space="0" w:color="auto"/>
      </w:divBdr>
    </w:div>
    <w:div w:id="419449308">
      <w:bodyDiv w:val="1"/>
      <w:marLeft w:val="0"/>
      <w:marRight w:val="0"/>
      <w:marTop w:val="0"/>
      <w:marBottom w:val="0"/>
      <w:divBdr>
        <w:top w:val="none" w:sz="0" w:space="0" w:color="auto"/>
        <w:left w:val="none" w:sz="0" w:space="0" w:color="auto"/>
        <w:bottom w:val="none" w:sz="0" w:space="0" w:color="auto"/>
        <w:right w:val="none" w:sz="0" w:space="0" w:color="auto"/>
      </w:divBdr>
    </w:div>
    <w:div w:id="419524727">
      <w:bodyDiv w:val="1"/>
      <w:marLeft w:val="0"/>
      <w:marRight w:val="0"/>
      <w:marTop w:val="0"/>
      <w:marBottom w:val="0"/>
      <w:divBdr>
        <w:top w:val="none" w:sz="0" w:space="0" w:color="auto"/>
        <w:left w:val="none" w:sz="0" w:space="0" w:color="auto"/>
        <w:bottom w:val="none" w:sz="0" w:space="0" w:color="auto"/>
        <w:right w:val="none" w:sz="0" w:space="0" w:color="auto"/>
      </w:divBdr>
    </w:div>
    <w:div w:id="419570415">
      <w:bodyDiv w:val="1"/>
      <w:marLeft w:val="0"/>
      <w:marRight w:val="0"/>
      <w:marTop w:val="0"/>
      <w:marBottom w:val="0"/>
      <w:divBdr>
        <w:top w:val="none" w:sz="0" w:space="0" w:color="auto"/>
        <w:left w:val="none" w:sz="0" w:space="0" w:color="auto"/>
        <w:bottom w:val="none" w:sz="0" w:space="0" w:color="auto"/>
        <w:right w:val="none" w:sz="0" w:space="0" w:color="auto"/>
      </w:divBdr>
    </w:div>
    <w:div w:id="419570489">
      <w:bodyDiv w:val="1"/>
      <w:marLeft w:val="0"/>
      <w:marRight w:val="0"/>
      <w:marTop w:val="0"/>
      <w:marBottom w:val="0"/>
      <w:divBdr>
        <w:top w:val="none" w:sz="0" w:space="0" w:color="auto"/>
        <w:left w:val="none" w:sz="0" w:space="0" w:color="auto"/>
        <w:bottom w:val="none" w:sz="0" w:space="0" w:color="auto"/>
        <w:right w:val="none" w:sz="0" w:space="0" w:color="auto"/>
      </w:divBdr>
    </w:div>
    <w:div w:id="419718289">
      <w:bodyDiv w:val="1"/>
      <w:marLeft w:val="0"/>
      <w:marRight w:val="0"/>
      <w:marTop w:val="0"/>
      <w:marBottom w:val="0"/>
      <w:divBdr>
        <w:top w:val="none" w:sz="0" w:space="0" w:color="auto"/>
        <w:left w:val="none" w:sz="0" w:space="0" w:color="auto"/>
        <w:bottom w:val="none" w:sz="0" w:space="0" w:color="auto"/>
        <w:right w:val="none" w:sz="0" w:space="0" w:color="auto"/>
      </w:divBdr>
    </w:div>
    <w:div w:id="419719228">
      <w:bodyDiv w:val="1"/>
      <w:marLeft w:val="0"/>
      <w:marRight w:val="0"/>
      <w:marTop w:val="0"/>
      <w:marBottom w:val="0"/>
      <w:divBdr>
        <w:top w:val="none" w:sz="0" w:space="0" w:color="auto"/>
        <w:left w:val="none" w:sz="0" w:space="0" w:color="auto"/>
        <w:bottom w:val="none" w:sz="0" w:space="0" w:color="auto"/>
        <w:right w:val="none" w:sz="0" w:space="0" w:color="auto"/>
      </w:divBdr>
    </w:div>
    <w:div w:id="419831813">
      <w:bodyDiv w:val="1"/>
      <w:marLeft w:val="0"/>
      <w:marRight w:val="0"/>
      <w:marTop w:val="0"/>
      <w:marBottom w:val="0"/>
      <w:divBdr>
        <w:top w:val="none" w:sz="0" w:space="0" w:color="auto"/>
        <w:left w:val="none" w:sz="0" w:space="0" w:color="auto"/>
        <w:bottom w:val="none" w:sz="0" w:space="0" w:color="auto"/>
        <w:right w:val="none" w:sz="0" w:space="0" w:color="auto"/>
      </w:divBdr>
    </w:div>
    <w:div w:id="420032372">
      <w:bodyDiv w:val="1"/>
      <w:marLeft w:val="0"/>
      <w:marRight w:val="0"/>
      <w:marTop w:val="0"/>
      <w:marBottom w:val="0"/>
      <w:divBdr>
        <w:top w:val="none" w:sz="0" w:space="0" w:color="auto"/>
        <w:left w:val="none" w:sz="0" w:space="0" w:color="auto"/>
        <w:bottom w:val="none" w:sz="0" w:space="0" w:color="auto"/>
        <w:right w:val="none" w:sz="0" w:space="0" w:color="auto"/>
      </w:divBdr>
    </w:div>
    <w:div w:id="420102697">
      <w:bodyDiv w:val="1"/>
      <w:marLeft w:val="0"/>
      <w:marRight w:val="0"/>
      <w:marTop w:val="0"/>
      <w:marBottom w:val="0"/>
      <w:divBdr>
        <w:top w:val="none" w:sz="0" w:space="0" w:color="auto"/>
        <w:left w:val="none" w:sz="0" w:space="0" w:color="auto"/>
        <w:bottom w:val="none" w:sz="0" w:space="0" w:color="auto"/>
        <w:right w:val="none" w:sz="0" w:space="0" w:color="auto"/>
      </w:divBdr>
    </w:div>
    <w:div w:id="420183416">
      <w:bodyDiv w:val="1"/>
      <w:marLeft w:val="0"/>
      <w:marRight w:val="0"/>
      <w:marTop w:val="0"/>
      <w:marBottom w:val="0"/>
      <w:divBdr>
        <w:top w:val="none" w:sz="0" w:space="0" w:color="auto"/>
        <w:left w:val="none" w:sz="0" w:space="0" w:color="auto"/>
        <w:bottom w:val="none" w:sz="0" w:space="0" w:color="auto"/>
        <w:right w:val="none" w:sz="0" w:space="0" w:color="auto"/>
      </w:divBdr>
    </w:div>
    <w:div w:id="420222160">
      <w:bodyDiv w:val="1"/>
      <w:marLeft w:val="0"/>
      <w:marRight w:val="0"/>
      <w:marTop w:val="0"/>
      <w:marBottom w:val="0"/>
      <w:divBdr>
        <w:top w:val="none" w:sz="0" w:space="0" w:color="auto"/>
        <w:left w:val="none" w:sz="0" w:space="0" w:color="auto"/>
        <w:bottom w:val="none" w:sz="0" w:space="0" w:color="auto"/>
        <w:right w:val="none" w:sz="0" w:space="0" w:color="auto"/>
      </w:divBdr>
    </w:div>
    <w:div w:id="420294867">
      <w:bodyDiv w:val="1"/>
      <w:marLeft w:val="0"/>
      <w:marRight w:val="0"/>
      <w:marTop w:val="0"/>
      <w:marBottom w:val="0"/>
      <w:divBdr>
        <w:top w:val="none" w:sz="0" w:space="0" w:color="auto"/>
        <w:left w:val="none" w:sz="0" w:space="0" w:color="auto"/>
        <w:bottom w:val="none" w:sz="0" w:space="0" w:color="auto"/>
        <w:right w:val="none" w:sz="0" w:space="0" w:color="auto"/>
      </w:divBdr>
    </w:div>
    <w:div w:id="420295185">
      <w:bodyDiv w:val="1"/>
      <w:marLeft w:val="0"/>
      <w:marRight w:val="0"/>
      <w:marTop w:val="0"/>
      <w:marBottom w:val="0"/>
      <w:divBdr>
        <w:top w:val="none" w:sz="0" w:space="0" w:color="auto"/>
        <w:left w:val="none" w:sz="0" w:space="0" w:color="auto"/>
        <w:bottom w:val="none" w:sz="0" w:space="0" w:color="auto"/>
        <w:right w:val="none" w:sz="0" w:space="0" w:color="auto"/>
      </w:divBdr>
    </w:div>
    <w:div w:id="420295335">
      <w:bodyDiv w:val="1"/>
      <w:marLeft w:val="0"/>
      <w:marRight w:val="0"/>
      <w:marTop w:val="0"/>
      <w:marBottom w:val="0"/>
      <w:divBdr>
        <w:top w:val="none" w:sz="0" w:space="0" w:color="auto"/>
        <w:left w:val="none" w:sz="0" w:space="0" w:color="auto"/>
        <w:bottom w:val="none" w:sz="0" w:space="0" w:color="auto"/>
        <w:right w:val="none" w:sz="0" w:space="0" w:color="auto"/>
      </w:divBdr>
    </w:div>
    <w:div w:id="420295943">
      <w:bodyDiv w:val="1"/>
      <w:marLeft w:val="0"/>
      <w:marRight w:val="0"/>
      <w:marTop w:val="0"/>
      <w:marBottom w:val="0"/>
      <w:divBdr>
        <w:top w:val="none" w:sz="0" w:space="0" w:color="auto"/>
        <w:left w:val="none" w:sz="0" w:space="0" w:color="auto"/>
        <w:bottom w:val="none" w:sz="0" w:space="0" w:color="auto"/>
        <w:right w:val="none" w:sz="0" w:space="0" w:color="auto"/>
      </w:divBdr>
    </w:div>
    <w:div w:id="420297707">
      <w:bodyDiv w:val="1"/>
      <w:marLeft w:val="0"/>
      <w:marRight w:val="0"/>
      <w:marTop w:val="0"/>
      <w:marBottom w:val="0"/>
      <w:divBdr>
        <w:top w:val="none" w:sz="0" w:space="0" w:color="auto"/>
        <w:left w:val="none" w:sz="0" w:space="0" w:color="auto"/>
        <w:bottom w:val="none" w:sz="0" w:space="0" w:color="auto"/>
        <w:right w:val="none" w:sz="0" w:space="0" w:color="auto"/>
      </w:divBdr>
    </w:div>
    <w:div w:id="420299709">
      <w:bodyDiv w:val="1"/>
      <w:marLeft w:val="0"/>
      <w:marRight w:val="0"/>
      <w:marTop w:val="0"/>
      <w:marBottom w:val="0"/>
      <w:divBdr>
        <w:top w:val="none" w:sz="0" w:space="0" w:color="auto"/>
        <w:left w:val="none" w:sz="0" w:space="0" w:color="auto"/>
        <w:bottom w:val="none" w:sz="0" w:space="0" w:color="auto"/>
        <w:right w:val="none" w:sz="0" w:space="0" w:color="auto"/>
      </w:divBdr>
    </w:div>
    <w:div w:id="420368777">
      <w:bodyDiv w:val="1"/>
      <w:marLeft w:val="0"/>
      <w:marRight w:val="0"/>
      <w:marTop w:val="0"/>
      <w:marBottom w:val="0"/>
      <w:divBdr>
        <w:top w:val="none" w:sz="0" w:space="0" w:color="auto"/>
        <w:left w:val="none" w:sz="0" w:space="0" w:color="auto"/>
        <w:bottom w:val="none" w:sz="0" w:space="0" w:color="auto"/>
        <w:right w:val="none" w:sz="0" w:space="0" w:color="auto"/>
      </w:divBdr>
    </w:div>
    <w:div w:id="420374879">
      <w:bodyDiv w:val="1"/>
      <w:marLeft w:val="0"/>
      <w:marRight w:val="0"/>
      <w:marTop w:val="0"/>
      <w:marBottom w:val="0"/>
      <w:divBdr>
        <w:top w:val="none" w:sz="0" w:space="0" w:color="auto"/>
        <w:left w:val="none" w:sz="0" w:space="0" w:color="auto"/>
        <w:bottom w:val="none" w:sz="0" w:space="0" w:color="auto"/>
        <w:right w:val="none" w:sz="0" w:space="0" w:color="auto"/>
      </w:divBdr>
    </w:div>
    <w:div w:id="420568911">
      <w:bodyDiv w:val="1"/>
      <w:marLeft w:val="0"/>
      <w:marRight w:val="0"/>
      <w:marTop w:val="0"/>
      <w:marBottom w:val="0"/>
      <w:divBdr>
        <w:top w:val="none" w:sz="0" w:space="0" w:color="auto"/>
        <w:left w:val="none" w:sz="0" w:space="0" w:color="auto"/>
        <w:bottom w:val="none" w:sz="0" w:space="0" w:color="auto"/>
        <w:right w:val="none" w:sz="0" w:space="0" w:color="auto"/>
      </w:divBdr>
    </w:div>
    <w:div w:id="420571433">
      <w:bodyDiv w:val="1"/>
      <w:marLeft w:val="0"/>
      <w:marRight w:val="0"/>
      <w:marTop w:val="0"/>
      <w:marBottom w:val="0"/>
      <w:divBdr>
        <w:top w:val="none" w:sz="0" w:space="0" w:color="auto"/>
        <w:left w:val="none" w:sz="0" w:space="0" w:color="auto"/>
        <w:bottom w:val="none" w:sz="0" w:space="0" w:color="auto"/>
        <w:right w:val="none" w:sz="0" w:space="0" w:color="auto"/>
      </w:divBdr>
    </w:div>
    <w:div w:id="420611756">
      <w:bodyDiv w:val="1"/>
      <w:marLeft w:val="0"/>
      <w:marRight w:val="0"/>
      <w:marTop w:val="0"/>
      <w:marBottom w:val="0"/>
      <w:divBdr>
        <w:top w:val="none" w:sz="0" w:space="0" w:color="auto"/>
        <w:left w:val="none" w:sz="0" w:space="0" w:color="auto"/>
        <w:bottom w:val="none" w:sz="0" w:space="0" w:color="auto"/>
        <w:right w:val="none" w:sz="0" w:space="0" w:color="auto"/>
      </w:divBdr>
    </w:div>
    <w:div w:id="420638737">
      <w:bodyDiv w:val="1"/>
      <w:marLeft w:val="0"/>
      <w:marRight w:val="0"/>
      <w:marTop w:val="0"/>
      <w:marBottom w:val="0"/>
      <w:divBdr>
        <w:top w:val="none" w:sz="0" w:space="0" w:color="auto"/>
        <w:left w:val="none" w:sz="0" w:space="0" w:color="auto"/>
        <w:bottom w:val="none" w:sz="0" w:space="0" w:color="auto"/>
        <w:right w:val="none" w:sz="0" w:space="0" w:color="auto"/>
      </w:divBdr>
    </w:div>
    <w:div w:id="420642345">
      <w:bodyDiv w:val="1"/>
      <w:marLeft w:val="0"/>
      <w:marRight w:val="0"/>
      <w:marTop w:val="0"/>
      <w:marBottom w:val="0"/>
      <w:divBdr>
        <w:top w:val="none" w:sz="0" w:space="0" w:color="auto"/>
        <w:left w:val="none" w:sz="0" w:space="0" w:color="auto"/>
        <w:bottom w:val="none" w:sz="0" w:space="0" w:color="auto"/>
        <w:right w:val="none" w:sz="0" w:space="0" w:color="auto"/>
      </w:divBdr>
    </w:div>
    <w:div w:id="420685737">
      <w:bodyDiv w:val="1"/>
      <w:marLeft w:val="0"/>
      <w:marRight w:val="0"/>
      <w:marTop w:val="0"/>
      <w:marBottom w:val="0"/>
      <w:divBdr>
        <w:top w:val="none" w:sz="0" w:space="0" w:color="auto"/>
        <w:left w:val="none" w:sz="0" w:space="0" w:color="auto"/>
        <w:bottom w:val="none" w:sz="0" w:space="0" w:color="auto"/>
        <w:right w:val="none" w:sz="0" w:space="0" w:color="auto"/>
      </w:divBdr>
    </w:div>
    <w:div w:id="420687321">
      <w:bodyDiv w:val="1"/>
      <w:marLeft w:val="0"/>
      <w:marRight w:val="0"/>
      <w:marTop w:val="0"/>
      <w:marBottom w:val="0"/>
      <w:divBdr>
        <w:top w:val="none" w:sz="0" w:space="0" w:color="auto"/>
        <w:left w:val="none" w:sz="0" w:space="0" w:color="auto"/>
        <w:bottom w:val="none" w:sz="0" w:space="0" w:color="auto"/>
        <w:right w:val="none" w:sz="0" w:space="0" w:color="auto"/>
      </w:divBdr>
    </w:div>
    <w:div w:id="420757159">
      <w:bodyDiv w:val="1"/>
      <w:marLeft w:val="0"/>
      <w:marRight w:val="0"/>
      <w:marTop w:val="0"/>
      <w:marBottom w:val="0"/>
      <w:divBdr>
        <w:top w:val="none" w:sz="0" w:space="0" w:color="auto"/>
        <w:left w:val="none" w:sz="0" w:space="0" w:color="auto"/>
        <w:bottom w:val="none" w:sz="0" w:space="0" w:color="auto"/>
        <w:right w:val="none" w:sz="0" w:space="0" w:color="auto"/>
      </w:divBdr>
    </w:div>
    <w:div w:id="420761948">
      <w:bodyDiv w:val="1"/>
      <w:marLeft w:val="0"/>
      <w:marRight w:val="0"/>
      <w:marTop w:val="0"/>
      <w:marBottom w:val="0"/>
      <w:divBdr>
        <w:top w:val="none" w:sz="0" w:space="0" w:color="auto"/>
        <w:left w:val="none" w:sz="0" w:space="0" w:color="auto"/>
        <w:bottom w:val="none" w:sz="0" w:space="0" w:color="auto"/>
        <w:right w:val="none" w:sz="0" w:space="0" w:color="auto"/>
      </w:divBdr>
    </w:div>
    <w:div w:id="421025142">
      <w:bodyDiv w:val="1"/>
      <w:marLeft w:val="0"/>
      <w:marRight w:val="0"/>
      <w:marTop w:val="0"/>
      <w:marBottom w:val="0"/>
      <w:divBdr>
        <w:top w:val="none" w:sz="0" w:space="0" w:color="auto"/>
        <w:left w:val="none" w:sz="0" w:space="0" w:color="auto"/>
        <w:bottom w:val="none" w:sz="0" w:space="0" w:color="auto"/>
        <w:right w:val="none" w:sz="0" w:space="0" w:color="auto"/>
      </w:divBdr>
    </w:div>
    <w:div w:id="421033020">
      <w:bodyDiv w:val="1"/>
      <w:marLeft w:val="0"/>
      <w:marRight w:val="0"/>
      <w:marTop w:val="0"/>
      <w:marBottom w:val="0"/>
      <w:divBdr>
        <w:top w:val="none" w:sz="0" w:space="0" w:color="auto"/>
        <w:left w:val="none" w:sz="0" w:space="0" w:color="auto"/>
        <w:bottom w:val="none" w:sz="0" w:space="0" w:color="auto"/>
        <w:right w:val="none" w:sz="0" w:space="0" w:color="auto"/>
      </w:divBdr>
    </w:div>
    <w:div w:id="421070507">
      <w:bodyDiv w:val="1"/>
      <w:marLeft w:val="0"/>
      <w:marRight w:val="0"/>
      <w:marTop w:val="0"/>
      <w:marBottom w:val="0"/>
      <w:divBdr>
        <w:top w:val="none" w:sz="0" w:space="0" w:color="auto"/>
        <w:left w:val="none" w:sz="0" w:space="0" w:color="auto"/>
        <w:bottom w:val="none" w:sz="0" w:space="0" w:color="auto"/>
        <w:right w:val="none" w:sz="0" w:space="0" w:color="auto"/>
      </w:divBdr>
    </w:div>
    <w:div w:id="421101041">
      <w:bodyDiv w:val="1"/>
      <w:marLeft w:val="0"/>
      <w:marRight w:val="0"/>
      <w:marTop w:val="0"/>
      <w:marBottom w:val="0"/>
      <w:divBdr>
        <w:top w:val="none" w:sz="0" w:space="0" w:color="auto"/>
        <w:left w:val="none" w:sz="0" w:space="0" w:color="auto"/>
        <w:bottom w:val="none" w:sz="0" w:space="0" w:color="auto"/>
        <w:right w:val="none" w:sz="0" w:space="0" w:color="auto"/>
      </w:divBdr>
    </w:div>
    <w:div w:id="421146834">
      <w:bodyDiv w:val="1"/>
      <w:marLeft w:val="0"/>
      <w:marRight w:val="0"/>
      <w:marTop w:val="0"/>
      <w:marBottom w:val="0"/>
      <w:divBdr>
        <w:top w:val="none" w:sz="0" w:space="0" w:color="auto"/>
        <w:left w:val="none" w:sz="0" w:space="0" w:color="auto"/>
        <w:bottom w:val="none" w:sz="0" w:space="0" w:color="auto"/>
        <w:right w:val="none" w:sz="0" w:space="0" w:color="auto"/>
      </w:divBdr>
    </w:div>
    <w:div w:id="421148735">
      <w:bodyDiv w:val="1"/>
      <w:marLeft w:val="0"/>
      <w:marRight w:val="0"/>
      <w:marTop w:val="0"/>
      <w:marBottom w:val="0"/>
      <w:divBdr>
        <w:top w:val="none" w:sz="0" w:space="0" w:color="auto"/>
        <w:left w:val="none" w:sz="0" w:space="0" w:color="auto"/>
        <w:bottom w:val="none" w:sz="0" w:space="0" w:color="auto"/>
        <w:right w:val="none" w:sz="0" w:space="0" w:color="auto"/>
      </w:divBdr>
    </w:div>
    <w:div w:id="421149730">
      <w:bodyDiv w:val="1"/>
      <w:marLeft w:val="0"/>
      <w:marRight w:val="0"/>
      <w:marTop w:val="0"/>
      <w:marBottom w:val="0"/>
      <w:divBdr>
        <w:top w:val="none" w:sz="0" w:space="0" w:color="auto"/>
        <w:left w:val="none" w:sz="0" w:space="0" w:color="auto"/>
        <w:bottom w:val="none" w:sz="0" w:space="0" w:color="auto"/>
        <w:right w:val="none" w:sz="0" w:space="0" w:color="auto"/>
      </w:divBdr>
    </w:div>
    <w:div w:id="421293635">
      <w:bodyDiv w:val="1"/>
      <w:marLeft w:val="0"/>
      <w:marRight w:val="0"/>
      <w:marTop w:val="0"/>
      <w:marBottom w:val="0"/>
      <w:divBdr>
        <w:top w:val="none" w:sz="0" w:space="0" w:color="auto"/>
        <w:left w:val="none" w:sz="0" w:space="0" w:color="auto"/>
        <w:bottom w:val="none" w:sz="0" w:space="0" w:color="auto"/>
        <w:right w:val="none" w:sz="0" w:space="0" w:color="auto"/>
      </w:divBdr>
    </w:div>
    <w:div w:id="421294549">
      <w:bodyDiv w:val="1"/>
      <w:marLeft w:val="0"/>
      <w:marRight w:val="0"/>
      <w:marTop w:val="0"/>
      <w:marBottom w:val="0"/>
      <w:divBdr>
        <w:top w:val="none" w:sz="0" w:space="0" w:color="auto"/>
        <w:left w:val="none" w:sz="0" w:space="0" w:color="auto"/>
        <w:bottom w:val="none" w:sz="0" w:space="0" w:color="auto"/>
        <w:right w:val="none" w:sz="0" w:space="0" w:color="auto"/>
      </w:divBdr>
    </w:div>
    <w:div w:id="421336405">
      <w:bodyDiv w:val="1"/>
      <w:marLeft w:val="0"/>
      <w:marRight w:val="0"/>
      <w:marTop w:val="0"/>
      <w:marBottom w:val="0"/>
      <w:divBdr>
        <w:top w:val="none" w:sz="0" w:space="0" w:color="auto"/>
        <w:left w:val="none" w:sz="0" w:space="0" w:color="auto"/>
        <w:bottom w:val="none" w:sz="0" w:space="0" w:color="auto"/>
        <w:right w:val="none" w:sz="0" w:space="0" w:color="auto"/>
      </w:divBdr>
    </w:div>
    <w:div w:id="421338961">
      <w:bodyDiv w:val="1"/>
      <w:marLeft w:val="0"/>
      <w:marRight w:val="0"/>
      <w:marTop w:val="0"/>
      <w:marBottom w:val="0"/>
      <w:divBdr>
        <w:top w:val="none" w:sz="0" w:space="0" w:color="auto"/>
        <w:left w:val="none" w:sz="0" w:space="0" w:color="auto"/>
        <w:bottom w:val="none" w:sz="0" w:space="0" w:color="auto"/>
        <w:right w:val="none" w:sz="0" w:space="0" w:color="auto"/>
      </w:divBdr>
    </w:div>
    <w:div w:id="421411670">
      <w:bodyDiv w:val="1"/>
      <w:marLeft w:val="0"/>
      <w:marRight w:val="0"/>
      <w:marTop w:val="0"/>
      <w:marBottom w:val="0"/>
      <w:divBdr>
        <w:top w:val="none" w:sz="0" w:space="0" w:color="auto"/>
        <w:left w:val="none" w:sz="0" w:space="0" w:color="auto"/>
        <w:bottom w:val="none" w:sz="0" w:space="0" w:color="auto"/>
        <w:right w:val="none" w:sz="0" w:space="0" w:color="auto"/>
      </w:divBdr>
    </w:div>
    <w:div w:id="421417159">
      <w:bodyDiv w:val="1"/>
      <w:marLeft w:val="0"/>
      <w:marRight w:val="0"/>
      <w:marTop w:val="0"/>
      <w:marBottom w:val="0"/>
      <w:divBdr>
        <w:top w:val="none" w:sz="0" w:space="0" w:color="auto"/>
        <w:left w:val="none" w:sz="0" w:space="0" w:color="auto"/>
        <w:bottom w:val="none" w:sz="0" w:space="0" w:color="auto"/>
        <w:right w:val="none" w:sz="0" w:space="0" w:color="auto"/>
      </w:divBdr>
    </w:div>
    <w:div w:id="421529291">
      <w:bodyDiv w:val="1"/>
      <w:marLeft w:val="0"/>
      <w:marRight w:val="0"/>
      <w:marTop w:val="0"/>
      <w:marBottom w:val="0"/>
      <w:divBdr>
        <w:top w:val="none" w:sz="0" w:space="0" w:color="auto"/>
        <w:left w:val="none" w:sz="0" w:space="0" w:color="auto"/>
        <w:bottom w:val="none" w:sz="0" w:space="0" w:color="auto"/>
        <w:right w:val="none" w:sz="0" w:space="0" w:color="auto"/>
      </w:divBdr>
    </w:div>
    <w:div w:id="421532508">
      <w:bodyDiv w:val="1"/>
      <w:marLeft w:val="0"/>
      <w:marRight w:val="0"/>
      <w:marTop w:val="0"/>
      <w:marBottom w:val="0"/>
      <w:divBdr>
        <w:top w:val="none" w:sz="0" w:space="0" w:color="auto"/>
        <w:left w:val="none" w:sz="0" w:space="0" w:color="auto"/>
        <w:bottom w:val="none" w:sz="0" w:space="0" w:color="auto"/>
        <w:right w:val="none" w:sz="0" w:space="0" w:color="auto"/>
      </w:divBdr>
    </w:div>
    <w:div w:id="421605743">
      <w:bodyDiv w:val="1"/>
      <w:marLeft w:val="0"/>
      <w:marRight w:val="0"/>
      <w:marTop w:val="0"/>
      <w:marBottom w:val="0"/>
      <w:divBdr>
        <w:top w:val="none" w:sz="0" w:space="0" w:color="auto"/>
        <w:left w:val="none" w:sz="0" w:space="0" w:color="auto"/>
        <w:bottom w:val="none" w:sz="0" w:space="0" w:color="auto"/>
        <w:right w:val="none" w:sz="0" w:space="0" w:color="auto"/>
      </w:divBdr>
    </w:div>
    <w:div w:id="421728181">
      <w:bodyDiv w:val="1"/>
      <w:marLeft w:val="0"/>
      <w:marRight w:val="0"/>
      <w:marTop w:val="0"/>
      <w:marBottom w:val="0"/>
      <w:divBdr>
        <w:top w:val="none" w:sz="0" w:space="0" w:color="auto"/>
        <w:left w:val="none" w:sz="0" w:space="0" w:color="auto"/>
        <w:bottom w:val="none" w:sz="0" w:space="0" w:color="auto"/>
        <w:right w:val="none" w:sz="0" w:space="0" w:color="auto"/>
      </w:divBdr>
    </w:div>
    <w:div w:id="421729641">
      <w:bodyDiv w:val="1"/>
      <w:marLeft w:val="0"/>
      <w:marRight w:val="0"/>
      <w:marTop w:val="0"/>
      <w:marBottom w:val="0"/>
      <w:divBdr>
        <w:top w:val="none" w:sz="0" w:space="0" w:color="auto"/>
        <w:left w:val="none" w:sz="0" w:space="0" w:color="auto"/>
        <w:bottom w:val="none" w:sz="0" w:space="0" w:color="auto"/>
        <w:right w:val="none" w:sz="0" w:space="0" w:color="auto"/>
      </w:divBdr>
    </w:div>
    <w:div w:id="421730097">
      <w:bodyDiv w:val="1"/>
      <w:marLeft w:val="0"/>
      <w:marRight w:val="0"/>
      <w:marTop w:val="0"/>
      <w:marBottom w:val="0"/>
      <w:divBdr>
        <w:top w:val="none" w:sz="0" w:space="0" w:color="auto"/>
        <w:left w:val="none" w:sz="0" w:space="0" w:color="auto"/>
        <w:bottom w:val="none" w:sz="0" w:space="0" w:color="auto"/>
        <w:right w:val="none" w:sz="0" w:space="0" w:color="auto"/>
      </w:divBdr>
    </w:div>
    <w:div w:id="421797515">
      <w:bodyDiv w:val="1"/>
      <w:marLeft w:val="0"/>
      <w:marRight w:val="0"/>
      <w:marTop w:val="0"/>
      <w:marBottom w:val="0"/>
      <w:divBdr>
        <w:top w:val="none" w:sz="0" w:space="0" w:color="auto"/>
        <w:left w:val="none" w:sz="0" w:space="0" w:color="auto"/>
        <w:bottom w:val="none" w:sz="0" w:space="0" w:color="auto"/>
        <w:right w:val="none" w:sz="0" w:space="0" w:color="auto"/>
      </w:divBdr>
    </w:div>
    <w:div w:id="421921701">
      <w:bodyDiv w:val="1"/>
      <w:marLeft w:val="0"/>
      <w:marRight w:val="0"/>
      <w:marTop w:val="0"/>
      <w:marBottom w:val="0"/>
      <w:divBdr>
        <w:top w:val="none" w:sz="0" w:space="0" w:color="auto"/>
        <w:left w:val="none" w:sz="0" w:space="0" w:color="auto"/>
        <w:bottom w:val="none" w:sz="0" w:space="0" w:color="auto"/>
        <w:right w:val="none" w:sz="0" w:space="0" w:color="auto"/>
      </w:divBdr>
    </w:div>
    <w:div w:id="421995812">
      <w:bodyDiv w:val="1"/>
      <w:marLeft w:val="0"/>
      <w:marRight w:val="0"/>
      <w:marTop w:val="0"/>
      <w:marBottom w:val="0"/>
      <w:divBdr>
        <w:top w:val="none" w:sz="0" w:space="0" w:color="auto"/>
        <w:left w:val="none" w:sz="0" w:space="0" w:color="auto"/>
        <w:bottom w:val="none" w:sz="0" w:space="0" w:color="auto"/>
        <w:right w:val="none" w:sz="0" w:space="0" w:color="auto"/>
      </w:divBdr>
    </w:div>
    <w:div w:id="422073848">
      <w:bodyDiv w:val="1"/>
      <w:marLeft w:val="0"/>
      <w:marRight w:val="0"/>
      <w:marTop w:val="0"/>
      <w:marBottom w:val="0"/>
      <w:divBdr>
        <w:top w:val="none" w:sz="0" w:space="0" w:color="auto"/>
        <w:left w:val="none" w:sz="0" w:space="0" w:color="auto"/>
        <w:bottom w:val="none" w:sz="0" w:space="0" w:color="auto"/>
        <w:right w:val="none" w:sz="0" w:space="0" w:color="auto"/>
      </w:divBdr>
    </w:div>
    <w:div w:id="422192454">
      <w:bodyDiv w:val="1"/>
      <w:marLeft w:val="0"/>
      <w:marRight w:val="0"/>
      <w:marTop w:val="0"/>
      <w:marBottom w:val="0"/>
      <w:divBdr>
        <w:top w:val="none" w:sz="0" w:space="0" w:color="auto"/>
        <w:left w:val="none" w:sz="0" w:space="0" w:color="auto"/>
        <w:bottom w:val="none" w:sz="0" w:space="0" w:color="auto"/>
        <w:right w:val="none" w:sz="0" w:space="0" w:color="auto"/>
      </w:divBdr>
    </w:div>
    <w:div w:id="422261461">
      <w:bodyDiv w:val="1"/>
      <w:marLeft w:val="0"/>
      <w:marRight w:val="0"/>
      <w:marTop w:val="0"/>
      <w:marBottom w:val="0"/>
      <w:divBdr>
        <w:top w:val="none" w:sz="0" w:space="0" w:color="auto"/>
        <w:left w:val="none" w:sz="0" w:space="0" w:color="auto"/>
        <w:bottom w:val="none" w:sz="0" w:space="0" w:color="auto"/>
        <w:right w:val="none" w:sz="0" w:space="0" w:color="auto"/>
      </w:divBdr>
    </w:div>
    <w:div w:id="422264078">
      <w:bodyDiv w:val="1"/>
      <w:marLeft w:val="0"/>
      <w:marRight w:val="0"/>
      <w:marTop w:val="0"/>
      <w:marBottom w:val="0"/>
      <w:divBdr>
        <w:top w:val="none" w:sz="0" w:space="0" w:color="auto"/>
        <w:left w:val="none" w:sz="0" w:space="0" w:color="auto"/>
        <w:bottom w:val="none" w:sz="0" w:space="0" w:color="auto"/>
        <w:right w:val="none" w:sz="0" w:space="0" w:color="auto"/>
      </w:divBdr>
    </w:div>
    <w:div w:id="422268155">
      <w:bodyDiv w:val="1"/>
      <w:marLeft w:val="0"/>
      <w:marRight w:val="0"/>
      <w:marTop w:val="0"/>
      <w:marBottom w:val="0"/>
      <w:divBdr>
        <w:top w:val="none" w:sz="0" w:space="0" w:color="auto"/>
        <w:left w:val="none" w:sz="0" w:space="0" w:color="auto"/>
        <w:bottom w:val="none" w:sz="0" w:space="0" w:color="auto"/>
        <w:right w:val="none" w:sz="0" w:space="0" w:color="auto"/>
      </w:divBdr>
    </w:div>
    <w:div w:id="422336327">
      <w:bodyDiv w:val="1"/>
      <w:marLeft w:val="0"/>
      <w:marRight w:val="0"/>
      <w:marTop w:val="0"/>
      <w:marBottom w:val="0"/>
      <w:divBdr>
        <w:top w:val="none" w:sz="0" w:space="0" w:color="auto"/>
        <w:left w:val="none" w:sz="0" w:space="0" w:color="auto"/>
        <w:bottom w:val="none" w:sz="0" w:space="0" w:color="auto"/>
        <w:right w:val="none" w:sz="0" w:space="0" w:color="auto"/>
      </w:divBdr>
    </w:div>
    <w:div w:id="422341141">
      <w:bodyDiv w:val="1"/>
      <w:marLeft w:val="0"/>
      <w:marRight w:val="0"/>
      <w:marTop w:val="0"/>
      <w:marBottom w:val="0"/>
      <w:divBdr>
        <w:top w:val="none" w:sz="0" w:space="0" w:color="auto"/>
        <w:left w:val="none" w:sz="0" w:space="0" w:color="auto"/>
        <w:bottom w:val="none" w:sz="0" w:space="0" w:color="auto"/>
        <w:right w:val="none" w:sz="0" w:space="0" w:color="auto"/>
      </w:divBdr>
    </w:div>
    <w:div w:id="422461494">
      <w:bodyDiv w:val="1"/>
      <w:marLeft w:val="0"/>
      <w:marRight w:val="0"/>
      <w:marTop w:val="0"/>
      <w:marBottom w:val="0"/>
      <w:divBdr>
        <w:top w:val="none" w:sz="0" w:space="0" w:color="auto"/>
        <w:left w:val="none" w:sz="0" w:space="0" w:color="auto"/>
        <w:bottom w:val="none" w:sz="0" w:space="0" w:color="auto"/>
        <w:right w:val="none" w:sz="0" w:space="0" w:color="auto"/>
      </w:divBdr>
    </w:div>
    <w:div w:id="422579316">
      <w:bodyDiv w:val="1"/>
      <w:marLeft w:val="0"/>
      <w:marRight w:val="0"/>
      <w:marTop w:val="0"/>
      <w:marBottom w:val="0"/>
      <w:divBdr>
        <w:top w:val="none" w:sz="0" w:space="0" w:color="auto"/>
        <w:left w:val="none" w:sz="0" w:space="0" w:color="auto"/>
        <w:bottom w:val="none" w:sz="0" w:space="0" w:color="auto"/>
        <w:right w:val="none" w:sz="0" w:space="0" w:color="auto"/>
      </w:divBdr>
    </w:div>
    <w:div w:id="422805479">
      <w:bodyDiv w:val="1"/>
      <w:marLeft w:val="0"/>
      <w:marRight w:val="0"/>
      <w:marTop w:val="0"/>
      <w:marBottom w:val="0"/>
      <w:divBdr>
        <w:top w:val="none" w:sz="0" w:space="0" w:color="auto"/>
        <w:left w:val="none" w:sz="0" w:space="0" w:color="auto"/>
        <w:bottom w:val="none" w:sz="0" w:space="0" w:color="auto"/>
        <w:right w:val="none" w:sz="0" w:space="0" w:color="auto"/>
      </w:divBdr>
    </w:div>
    <w:div w:id="423066231">
      <w:bodyDiv w:val="1"/>
      <w:marLeft w:val="0"/>
      <w:marRight w:val="0"/>
      <w:marTop w:val="0"/>
      <w:marBottom w:val="0"/>
      <w:divBdr>
        <w:top w:val="none" w:sz="0" w:space="0" w:color="auto"/>
        <w:left w:val="none" w:sz="0" w:space="0" w:color="auto"/>
        <w:bottom w:val="none" w:sz="0" w:space="0" w:color="auto"/>
        <w:right w:val="none" w:sz="0" w:space="0" w:color="auto"/>
      </w:divBdr>
    </w:div>
    <w:div w:id="423108140">
      <w:bodyDiv w:val="1"/>
      <w:marLeft w:val="0"/>
      <w:marRight w:val="0"/>
      <w:marTop w:val="0"/>
      <w:marBottom w:val="0"/>
      <w:divBdr>
        <w:top w:val="none" w:sz="0" w:space="0" w:color="auto"/>
        <w:left w:val="none" w:sz="0" w:space="0" w:color="auto"/>
        <w:bottom w:val="none" w:sz="0" w:space="0" w:color="auto"/>
        <w:right w:val="none" w:sz="0" w:space="0" w:color="auto"/>
      </w:divBdr>
    </w:div>
    <w:div w:id="423108979">
      <w:bodyDiv w:val="1"/>
      <w:marLeft w:val="0"/>
      <w:marRight w:val="0"/>
      <w:marTop w:val="0"/>
      <w:marBottom w:val="0"/>
      <w:divBdr>
        <w:top w:val="none" w:sz="0" w:space="0" w:color="auto"/>
        <w:left w:val="none" w:sz="0" w:space="0" w:color="auto"/>
        <w:bottom w:val="none" w:sz="0" w:space="0" w:color="auto"/>
        <w:right w:val="none" w:sz="0" w:space="0" w:color="auto"/>
      </w:divBdr>
    </w:div>
    <w:div w:id="423235256">
      <w:bodyDiv w:val="1"/>
      <w:marLeft w:val="0"/>
      <w:marRight w:val="0"/>
      <w:marTop w:val="0"/>
      <w:marBottom w:val="0"/>
      <w:divBdr>
        <w:top w:val="none" w:sz="0" w:space="0" w:color="auto"/>
        <w:left w:val="none" w:sz="0" w:space="0" w:color="auto"/>
        <w:bottom w:val="none" w:sz="0" w:space="0" w:color="auto"/>
        <w:right w:val="none" w:sz="0" w:space="0" w:color="auto"/>
      </w:divBdr>
    </w:div>
    <w:div w:id="423458080">
      <w:bodyDiv w:val="1"/>
      <w:marLeft w:val="0"/>
      <w:marRight w:val="0"/>
      <w:marTop w:val="0"/>
      <w:marBottom w:val="0"/>
      <w:divBdr>
        <w:top w:val="none" w:sz="0" w:space="0" w:color="auto"/>
        <w:left w:val="none" w:sz="0" w:space="0" w:color="auto"/>
        <w:bottom w:val="none" w:sz="0" w:space="0" w:color="auto"/>
        <w:right w:val="none" w:sz="0" w:space="0" w:color="auto"/>
      </w:divBdr>
    </w:div>
    <w:div w:id="423503371">
      <w:bodyDiv w:val="1"/>
      <w:marLeft w:val="0"/>
      <w:marRight w:val="0"/>
      <w:marTop w:val="0"/>
      <w:marBottom w:val="0"/>
      <w:divBdr>
        <w:top w:val="none" w:sz="0" w:space="0" w:color="auto"/>
        <w:left w:val="none" w:sz="0" w:space="0" w:color="auto"/>
        <w:bottom w:val="none" w:sz="0" w:space="0" w:color="auto"/>
        <w:right w:val="none" w:sz="0" w:space="0" w:color="auto"/>
      </w:divBdr>
    </w:div>
    <w:div w:id="423571502">
      <w:bodyDiv w:val="1"/>
      <w:marLeft w:val="0"/>
      <w:marRight w:val="0"/>
      <w:marTop w:val="0"/>
      <w:marBottom w:val="0"/>
      <w:divBdr>
        <w:top w:val="none" w:sz="0" w:space="0" w:color="auto"/>
        <w:left w:val="none" w:sz="0" w:space="0" w:color="auto"/>
        <w:bottom w:val="none" w:sz="0" w:space="0" w:color="auto"/>
        <w:right w:val="none" w:sz="0" w:space="0" w:color="auto"/>
      </w:divBdr>
    </w:div>
    <w:div w:id="423654185">
      <w:bodyDiv w:val="1"/>
      <w:marLeft w:val="0"/>
      <w:marRight w:val="0"/>
      <w:marTop w:val="0"/>
      <w:marBottom w:val="0"/>
      <w:divBdr>
        <w:top w:val="none" w:sz="0" w:space="0" w:color="auto"/>
        <w:left w:val="none" w:sz="0" w:space="0" w:color="auto"/>
        <w:bottom w:val="none" w:sz="0" w:space="0" w:color="auto"/>
        <w:right w:val="none" w:sz="0" w:space="0" w:color="auto"/>
      </w:divBdr>
    </w:div>
    <w:div w:id="423720277">
      <w:bodyDiv w:val="1"/>
      <w:marLeft w:val="0"/>
      <w:marRight w:val="0"/>
      <w:marTop w:val="0"/>
      <w:marBottom w:val="0"/>
      <w:divBdr>
        <w:top w:val="none" w:sz="0" w:space="0" w:color="auto"/>
        <w:left w:val="none" w:sz="0" w:space="0" w:color="auto"/>
        <w:bottom w:val="none" w:sz="0" w:space="0" w:color="auto"/>
        <w:right w:val="none" w:sz="0" w:space="0" w:color="auto"/>
      </w:divBdr>
    </w:div>
    <w:div w:id="423889906">
      <w:bodyDiv w:val="1"/>
      <w:marLeft w:val="0"/>
      <w:marRight w:val="0"/>
      <w:marTop w:val="0"/>
      <w:marBottom w:val="0"/>
      <w:divBdr>
        <w:top w:val="none" w:sz="0" w:space="0" w:color="auto"/>
        <w:left w:val="none" w:sz="0" w:space="0" w:color="auto"/>
        <w:bottom w:val="none" w:sz="0" w:space="0" w:color="auto"/>
        <w:right w:val="none" w:sz="0" w:space="0" w:color="auto"/>
      </w:divBdr>
    </w:div>
    <w:div w:id="423914226">
      <w:bodyDiv w:val="1"/>
      <w:marLeft w:val="0"/>
      <w:marRight w:val="0"/>
      <w:marTop w:val="0"/>
      <w:marBottom w:val="0"/>
      <w:divBdr>
        <w:top w:val="none" w:sz="0" w:space="0" w:color="auto"/>
        <w:left w:val="none" w:sz="0" w:space="0" w:color="auto"/>
        <w:bottom w:val="none" w:sz="0" w:space="0" w:color="auto"/>
        <w:right w:val="none" w:sz="0" w:space="0" w:color="auto"/>
      </w:divBdr>
    </w:div>
    <w:div w:id="424040738">
      <w:bodyDiv w:val="1"/>
      <w:marLeft w:val="0"/>
      <w:marRight w:val="0"/>
      <w:marTop w:val="0"/>
      <w:marBottom w:val="0"/>
      <w:divBdr>
        <w:top w:val="none" w:sz="0" w:space="0" w:color="auto"/>
        <w:left w:val="none" w:sz="0" w:space="0" w:color="auto"/>
        <w:bottom w:val="none" w:sz="0" w:space="0" w:color="auto"/>
        <w:right w:val="none" w:sz="0" w:space="0" w:color="auto"/>
      </w:divBdr>
    </w:div>
    <w:div w:id="424115127">
      <w:bodyDiv w:val="1"/>
      <w:marLeft w:val="0"/>
      <w:marRight w:val="0"/>
      <w:marTop w:val="0"/>
      <w:marBottom w:val="0"/>
      <w:divBdr>
        <w:top w:val="none" w:sz="0" w:space="0" w:color="auto"/>
        <w:left w:val="none" w:sz="0" w:space="0" w:color="auto"/>
        <w:bottom w:val="none" w:sz="0" w:space="0" w:color="auto"/>
        <w:right w:val="none" w:sz="0" w:space="0" w:color="auto"/>
      </w:divBdr>
    </w:div>
    <w:div w:id="424115137">
      <w:bodyDiv w:val="1"/>
      <w:marLeft w:val="0"/>
      <w:marRight w:val="0"/>
      <w:marTop w:val="0"/>
      <w:marBottom w:val="0"/>
      <w:divBdr>
        <w:top w:val="none" w:sz="0" w:space="0" w:color="auto"/>
        <w:left w:val="none" w:sz="0" w:space="0" w:color="auto"/>
        <w:bottom w:val="none" w:sz="0" w:space="0" w:color="auto"/>
        <w:right w:val="none" w:sz="0" w:space="0" w:color="auto"/>
      </w:divBdr>
    </w:div>
    <w:div w:id="424157464">
      <w:bodyDiv w:val="1"/>
      <w:marLeft w:val="0"/>
      <w:marRight w:val="0"/>
      <w:marTop w:val="0"/>
      <w:marBottom w:val="0"/>
      <w:divBdr>
        <w:top w:val="none" w:sz="0" w:space="0" w:color="auto"/>
        <w:left w:val="none" w:sz="0" w:space="0" w:color="auto"/>
        <w:bottom w:val="none" w:sz="0" w:space="0" w:color="auto"/>
        <w:right w:val="none" w:sz="0" w:space="0" w:color="auto"/>
      </w:divBdr>
    </w:div>
    <w:div w:id="424234597">
      <w:bodyDiv w:val="1"/>
      <w:marLeft w:val="0"/>
      <w:marRight w:val="0"/>
      <w:marTop w:val="0"/>
      <w:marBottom w:val="0"/>
      <w:divBdr>
        <w:top w:val="none" w:sz="0" w:space="0" w:color="auto"/>
        <w:left w:val="none" w:sz="0" w:space="0" w:color="auto"/>
        <w:bottom w:val="none" w:sz="0" w:space="0" w:color="auto"/>
        <w:right w:val="none" w:sz="0" w:space="0" w:color="auto"/>
      </w:divBdr>
    </w:div>
    <w:div w:id="424304794">
      <w:bodyDiv w:val="1"/>
      <w:marLeft w:val="0"/>
      <w:marRight w:val="0"/>
      <w:marTop w:val="0"/>
      <w:marBottom w:val="0"/>
      <w:divBdr>
        <w:top w:val="none" w:sz="0" w:space="0" w:color="auto"/>
        <w:left w:val="none" w:sz="0" w:space="0" w:color="auto"/>
        <w:bottom w:val="none" w:sz="0" w:space="0" w:color="auto"/>
        <w:right w:val="none" w:sz="0" w:space="0" w:color="auto"/>
      </w:divBdr>
    </w:div>
    <w:div w:id="424309516">
      <w:bodyDiv w:val="1"/>
      <w:marLeft w:val="0"/>
      <w:marRight w:val="0"/>
      <w:marTop w:val="0"/>
      <w:marBottom w:val="0"/>
      <w:divBdr>
        <w:top w:val="none" w:sz="0" w:space="0" w:color="auto"/>
        <w:left w:val="none" w:sz="0" w:space="0" w:color="auto"/>
        <w:bottom w:val="none" w:sz="0" w:space="0" w:color="auto"/>
        <w:right w:val="none" w:sz="0" w:space="0" w:color="auto"/>
      </w:divBdr>
    </w:div>
    <w:div w:id="424351980">
      <w:bodyDiv w:val="1"/>
      <w:marLeft w:val="0"/>
      <w:marRight w:val="0"/>
      <w:marTop w:val="0"/>
      <w:marBottom w:val="0"/>
      <w:divBdr>
        <w:top w:val="none" w:sz="0" w:space="0" w:color="auto"/>
        <w:left w:val="none" w:sz="0" w:space="0" w:color="auto"/>
        <w:bottom w:val="none" w:sz="0" w:space="0" w:color="auto"/>
        <w:right w:val="none" w:sz="0" w:space="0" w:color="auto"/>
      </w:divBdr>
    </w:div>
    <w:div w:id="424420208">
      <w:bodyDiv w:val="1"/>
      <w:marLeft w:val="0"/>
      <w:marRight w:val="0"/>
      <w:marTop w:val="0"/>
      <w:marBottom w:val="0"/>
      <w:divBdr>
        <w:top w:val="none" w:sz="0" w:space="0" w:color="auto"/>
        <w:left w:val="none" w:sz="0" w:space="0" w:color="auto"/>
        <w:bottom w:val="none" w:sz="0" w:space="0" w:color="auto"/>
        <w:right w:val="none" w:sz="0" w:space="0" w:color="auto"/>
      </w:divBdr>
    </w:div>
    <w:div w:id="424502980">
      <w:bodyDiv w:val="1"/>
      <w:marLeft w:val="0"/>
      <w:marRight w:val="0"/>
      <w:marTop w:val="0"/>
      <w:marBottom w:val="0"/>
      <w:divBdr>
        <w:top w:val="none" w:sz="0" w:space="0" w:color="auto"/>
        <w:left w:val="none" w:sz="0" w:space="0" w:color="auto"/>
        <w:bottom w:val="none" w:sz="0" w:space="0" w:color="auto"/>
        <w:right w:val="none" w:sz="0" w:space="0" w:color="auto"/>
      </w:divBdr>
    </w:div>
    <w:div w:id="424571172">
      <w:bodyDiv w:val="1"/>
      <w:marLeft w:val="0"/>
      <w:marRight w:val="0"/>
      <w:marTop w:val="0"/>
      <w:marBottom w:val="0"/>
      <w:divBdr>
        <w:top w:val="none" w:sz="0" w:space="0" w:color="auto"/>
        <w:left w:val="none" w:sz="0" w:space="0" w:color="auto"/>
        <w:bottom w:val="none" w:sz="0" w:space="0" w:color="auto"/>
        <w:right w:val="none" w:sz="0" w:space="0" w:color="auto"/>
      </w:divBdr>
    </w:div>
    <w:div w:id="424572311">
      <w:bodyDiv w:val="1"/>
      <w:marLeft w:val="0"/>
      <w:marRight w:val="0"/>
      <w:marTop w:val="0"/>
      <w:marBottom w:val="0"/>
      <w:divBdr>
        <w:top w:val="none" w:sz="0" w:space="0" w:color="auto"/>
        <w:left w:val="none" w:sz="0" w:space="0" w:color="auto"/>
        <w:bottom w:val="none" w:sz="0" w:space="0" w:color="auto"/>
        <w:right w:val="none" w:sz="0" w:space="0" w:color="auto"/>
      </w:divBdr>
    </w:div>
    <w:div w:id="424686937">
      <w:bodyDiv w:val="1"/>
      <w:marLeft w:val="0"/>
      <w:marRight w:val="0"/>
      <w:marTop w:val="0"/>
      <w:marBottom w:val="0"/>
      <w:divBdr>
        <w:top w:val="none" w:sz="0" w:space="0" w:color="auto"/>
        <w:left w:val="none" w:sz="0" w:space="0" w:color="auto"/>
        <w:bottom w:val="none" w:sz="0" w:space="0" w:color="auto"/>
        <w:right w:val="none" w:sz="0" w:space="0" w:color="auto"/>
      </w:divBdr>
    </w:div>
    <w:div w:id="424687139">
      <w:bodyDiv w:val="1"/>
      <w:marLeft w:val="0"/>
      <w:marRight w:val="0"/>
      <w:marTop w:val="0"/>
      <w:marBottom w:val="0"/>
      <w:divBdr>
        <w:top w:val="none" w:sz="0" w:space="0" w:color="auto"/>
        <w:left w:val="none" w:sz="0" w:space="0" w:color="auto"/>
        <w:bottom w:val="none" w:sz="0" w:space="0" w:color="auto"/>
        <w:right w:val="none" w:sz="0" w:space="0" w:color="auto"/>
      </w:divBdr>
    </w:div>
    <w:div w:id="424960995">
      <w:bodyDiv w:val="1"/>
      <w:marLeft w:val="0"/>
      <w:marRight w:val="0"/>
      <w:marTop w:val="0"/>
      <w:marBottom w:val="0"/>
      <w:divBdr>
        <w:top w:val="none" w:sz="0" w:space="0" w:color="auto"/>
        <w:left w:val="none" w:sz="0" w:space="0" w:color="auto"/>
        <w:bottom w:val="none" w:sz="0" w:space="0" w:color="auto"/>
        <w:right w:val="none" w:sz="0" w:space="0" w:color="auto"/>
      </w:divBdr>
    </w:div>
    <w:div w:id="425003586">
      <w:bodyDiv w:val="1"/>
      <w:marLeft w:val="0"/>
      <w:marRight w:val="0"/>
      <w:marTop w:val="0"/>
      <w:marBottom w:val="0"/>
      <w:divBdr>
        <w:top w:val="none" w:sz="0" w:space="0" w:color="auto"/>
        <w:left w:val="none" w:sz="0" w:space="0" w:color="auto"/>
        <w:bottom w:val="none" w:sz="0" w:space="0" w:color="auto"/>
        <w:right w:val="none" w:sz="0" w:space="0" w:color="auto"/>
      </w:divBdr>
    </w:div>
    <w:div w:id="425005674">
      <w:bodyDiv w:val="1"/>
      <w:marLeft w:val="0"/>
      <w:marRight w:val="0"/>
      <w:marTop w:val="0"/>
      <w:marBottom w:val="0"/>
      <w:divBdr>
        <w:top w:val="none" w:sz="0" w:space="0" w:color="auto"/>
        <w:left w:val="none" w:sz="0" w:space="0" w:color="auto"/>
        <w:bottom w:val="none" w:sz="0" w:space="0" w:color="auto"/>
        <w:right w:val="none" w:sz="0" w:space="0" w:color="auto"/>
      </w:divBdr>
    </w:div>
    <w:div w:id="425082251">
      <w:bodyDiv w:val="1"/>
      <w:marLeft w:val="0"/>
      <w:marRight w:val="0"/>
      <w:marTop w:val="0"/>
      <w:marBottom w:val="0"/>
      <w:divBdr>
        <w:top w:val="none" w:sz="0" w:space="0" w:color="auto"/>
        <w:left w:val="none" w:sz="0" w:space="0" w:color="auto"/>
        <w:bottom w:val="none" w:sz="0" w:space="0" w:color="auto"/>
        <w:right w:val="none" w:sz="0" w:space="0" w:color="auto"/>
      </w:divBdr>
    </w:div>
    <w:div w:id="425152641">
      <w:bodyDiv w:val="1"/>
      <w:marLeft w:val="0"/>
      <w:marRight w:val="0"/>
      <w:marTop w:val="0"/>
      <w:marBottom w:val="0"/>
      <w:divBdr>
        <w:top w:val="none" w:sz="0" w:space="0" w:color="auto"/>
        <w:left w:val="none" w:sz="0" w:space="0" w:color="auto"/>
        <w:bottom w:val="none" w:sz="0" w:space="0" w:color="auto"/>
        <w:right w:val="none" w:sz="0" w:space="0" w:color="auto"/>
      </w:divBdr>
    </w:div>
    <w:div w:id="425154441">
      <w:bodyDiv w:val="1"/>
      <w:marLeft w:val="0"/>
      <w:marRight w:val="0"/>
      <w:marTop w:val="0"/>
      <w:marBottom w:val="0"/>
      <w:divBdr>
        <w:top w:val="none" w:sz="0" w:space="0" w:color="auto"/>
        <w:left w:val="none" w:sz="0" w:space="0" w:color="auto"/>
        <w:bottom w:val="none" w:sz="0" w:space="0" w:color="auto"/>
        <w:right w:val="none" w:sz="0" w:space="0" w:color="auto"/>
      </w:divBdr>
    </w:div>
    <w:div w:id="425197888">
      <w:bodyDiv w:val="1"/>
      <w:marLeft w:val="0"/>
      <w:marRight w:val="0"/>
      <w:marTop w:val="0"/>
      <w:marBottom w:val="0"/>
      <w:divBdr>
        <w:top w:val="none" w:sz="0" w:space="0" w:color="auto"/>
        <w:left w:val="none" w:sz="0" w:space="0" w:color="auto"/>
        <w:bottom w:val="none" w:sz="0" w:space="0" w:color="auto"/>
        <w:right w:val="none" w:sz="0" w:space="0" w:color="auto"/>
      </w:divBdr>
    </w:div>
    <w:div w:id="425426490">
      <w:bodyDiv w:val="1"/>
      <w:marLeft w:val="0"/>
      <w:marRight w:val="0"/>
      <w:marTop w:val="0"/>
      <w:marBottom w:val="0"/>
      <w:divBdr>
        <w:top w:val="none" w:sz="0" w:space="0" w:color="auto"/>
        <w:left w:val="none" w:sz="0" w:space="0" w:color="auto"/>
        <w:bottom w:val="none" w:sz="0" w:space="0" w:color="auto"/>
        <w:right w:val="none" w:sz="0" w:space="0" w:color="auto"/>
      </w:divBdr>
    </w:div>
    <w:div w:id="425731728">
      <w:bodyDiv w:val="1"/>
      <w:marLeft w:val="0"/>
      <w:marRight w:val="0"/>
      <w:marTop w:val="0"/>
      <w:marBottom w:val="0"/>
      <w:divBdr>
        <w:top w:val="none" w:sz="0" w:space="0" w:color="auto"/>
        <w:left w:val="none" w:sz="0" w:space="0" w:color="auto"/>
        <w:bottom w:val="none" w:sz="0" w:space="0" w:color="auto"/>
        <w:right w:val="none" w:sz="0" w:space="0" w:color="auto"/>
      </w:divBdr>
    </w:div>
    <w:div w:id="425804940">
      <w:bodyDiv w:val="1"/>
      <w:marLeft w:val="0"/>
      <w:marRight w:val="0"/>
      <w:marTop w:val="0"/>
      <w:marBottom w:val="0"/>
      <w:divBdr>
        <w:top w:val="none" w:sz="0" w:space="0" w:color="auto"/>
        <w:left w:val="none" w:sz="0" w:space="0" w:color="auto"/>
        <w:bottom w:val="none" w:sz="0" w:space="0" w:color="auto"/>
        <w:right w:val="none" w:sz="0" w:space="0" w:color="auto"/>
      </w:divBdr>
    </w:div>
    <w:div w:id="425852944">
      <w:bodyDiv w:val="1"/>
      <w:marLeft w:val="0"/>
      <w:marRight w:val="0"/>
      <w:marTop w:val="0"/>
      <w:marBottom w:val="0"/>
      <w:divBdr>
        <w:top w:val="none" w:sz="0" w:space="0" w:color="auto"/>
        <w:left w:val="none" w:sz="0" w:space="0" w:color="auto"/>
        <w:bottom w:val="none" w:sz="0" w:space="0" w:color="auto"/>
        <w:right w:val="none" w:sz="0" w:space="0" w:color="auto"/>
      </w:divBdr>
    </w:div>
    <w:div w:id="425853776">
      <w:bodyDiv w:val="1"/>
      <w:marLeft w:val="0"/>
      <w:marRight w:val="0"/>
      <w:marTop w:val="0"/>
      <w:marBottom w:val="0"/>
      <w:divBdr>
        <w:top w:val="none" w:sz="0" w:space="0" w:color="auto"/>
        <w:left w:val="none" w:sz="0" w:space="0" w:color="auto"/>
        <w:bottom w:val="none" w:sz="0" w:space="0" w:color="auto"/>
        <w:right w:val="none" w:sz="0" w:space="0" w:color="auto"/>
      </w:divBdr>
    </w:div>
    <w:div w:id="426121127">
      <w:bodyDiv w:val="1"/>
      <w:marLeft w:val="0"/>
      <w:marRight w:val="0"/>
      <w:marTop w:val="0"/>
      <w:marBottom w:val="0"/>
      <w:divBdr>
        <w:top w:val="none" w:sz="0" w:space="0" w:color="auto"/>
        <w:left w:val="none" w:sz="0" w:space="0" w:color="auto"/>
        <w:bottom w:val="none" w:sz="0" w:space="0" w:color="auto"/>
        <w:right w:val="none" w:sz="0" w:space="0" w:color="auto"/>
      </w:divBdr>
    </w:div>
    <w:div w:id="426465813">
      <w:bodyDiv w:val="1"/>
      <w:marLeft w:val="0"/>
      <w:marRight w:val="0"/>
      <w:marTop w:val="0"/>
      <w:marBottom w:val="0"/>
      <w:divBdr>
        <w:top w:val="none" w:sz="0" w:space="0" w:color="auto"/>
        <w:left w:val="none" w:sz="0" w:space="0" w:color="auto"/>
        <w:bottom w:val="none" w:sz="0" w:space="0" w:color="auto"/>
        <w:right w:val="none" w:sz="0" w:space="0" w:color="auto"/>
      </w:divBdr>
    </w:div>
    <w:div w:id="426467311">
      <w:bodyDiv w:val="1"/>
      <w:marLeft w:val="0"/>
      <w:marRight w:val="0"/>
      <w:marTop w:val="0"/>
      <w:marBottom w:val="0"/>
      <w:divBdr>
        <w:top w:val="none" w:sz="0" w:space="0" w:color="auto"/>
        <w:left w:val="none" w:sz="0" w:space="0" w:color="auto"/>
        <w:bottom w:val="none" w:sz="0" w:space="0" w:color="auto"/>
        <w:right w:val="none" w:sz="0" w:space="0" w:color="auto"/>
      </w:divBdr>
    </w:div>
    <w:div w:id="426660397">
      <w:bodyDiv w:val="1"/>
      <w:marLeft w:val="0"/>
      <w:marRight w:val="0"/>
      <w:marTop w:val="0"/>
      <w:marBottom w:val="0"/>
      <w:divBdr>
        <w:top w:val="none" w:sz="0" w:space="0" w:color="auto"/>
        <w:left w:val="none" w:sz="0" w:space="0" w:color="auto"/>
        <w:bottom w:val="none" w:sz="0" w:space="0" w:color="auto"/>
        <w:right w:val="none" w:sz="0" w:space="0" w:color="auto"/>
      </w:divBdr>
    </w:div>
    <w:div w:id="426733726">
      <w:bodyDiv w:val="1"/>
      <w:marLeft w:val="0"/>
      <w:marRight w:val="0"/>
      <w:marTop w:val="0"/>
      <w:marBottom w:val="0"/>
      <w:divBdr>
        <w:top w:val="none" w:sz="0" w:space="0" w:color="auto"/>
        <w:left w:val="none" w:sz="0" w:space="0" w:color="auto"/>
        <w:bottom w:val="none" w:sz="0" w:space="0" w:color="auto"/>
        <w:right w:val="none" w:sz="0" w:space="0" w:color="auto"/>
      </w:divBdr>
    </w:div>
    <w:div w:id="426922624">
      <w:bodyDiv w:val="1"/>
      <w:marLeft w:val="0"/>
      <w:marRight w:val="0"/>
      <w:marTop w:val="0"/>
      <w:marBottom w:val="0"/>
      <w:divBdr>
        <w:top w:val="none" w:sz="0" w:space="0" w:color="auto"/>
        <w:left w:val="none" w:sz="0" w:space="0" w:color="auto"/>
        <w:bottom w:val="none" w:sz="0" w:space="0" w:color="auto"/>
        <w:right w:val="none" w:sz="0" w:space="0" w:color="auto"/>
      </w:divBdr>
    </w:div>
    <w:div w:id="427044714">
      <w:bodyDiv w:val="1"/>
      <w:marLeft w:val="0"/>
      <w:marRight w:val="0"/>
      <w:marTop w:val="0"/>
      <w:marBottom w:val="0"/>
      <w:divBdr>
        <w:top w:val="none" w:sz="0" w:space="0" w:color="auto"/>
        <w:left w:val="none" w:sz="0" w:space="0" w:color="auto"/>
        <w:bottom w:val="none" w:sz="0" w:space="0" w:color="auto"/>
        <w:right w:val="none" w:sz="0" w:space="0" w:color="auto"/>
      </w:divBdr>
    </w:div>
    <w:div w:id="427120875">
      <w:bodyDiv w:val="1"/>
      <w:marLeft w:val="0"/>
      <w:marRight w:val="0"/>
      <w:marTop w:val="0"/>
      <w:marBottom w:val="0"/>
      <w:divBdr>
        <w:top w:val="none" w:sz="0" w:space="0" w:color="auto"/>
        <w:left w:val="none" w:sz="0" w:space="0" w:color="auto"/>
        <w:bottom w:val="none" w:sz="0" w:space="0" w:color="auto"/>
        <w:right w:val="none" w:sz="0" w:space="0" w:color="auto"/>
      </w:divBdr>
    </w:div>
    <w:div w:id="427234083">
      <w:bodyDiv w:val="1"/>
      <w:marLeft w:val="0"/>
      <w:marRight w:val="0"/>
      <w:marTop w:val="0"/>
      <w:marBottom w:val="0"/>
      <w:divBdr>
        <w:top w:val="none" w:sz="0" w:space="0" w:color="auto"/>
        <w:left w:val="none" w:sz="0" w:space="0" w:color="auto"/>
        <w:bottom w:val="none" w:sz="0" w:space="0" w:color="auto"/>
        <w:right w:val="none" w:sz="0" w:space="0" w:color="auto"/>
      </w:divBdr>
    </w:div>
    <w:div w:id="427309316">
      <w:bodyDiv w:val="1"/>
      <w:marLeft w:val="0"/>
      <w:marRight w:val="0"/>
      <w:marTop w:val="0"/>
      <w:marBottom w:val="0"/>
      <w:divBdr>
        <w:top w:val="none" w:sz="0" w:space="0" w:color="auto"/>
        <w:left w:val="none" w:sz="0" w:space="0" w:color="auto"/>
        <w:bottom w:val="none" w:sz="0" w:space="0" w:color="auto"/>
        <w:right w:val="none" w:sz="0" w:space="0" w:color="auto"/>
      </w:divBdr>
    </w:div>
    <w:div w:id="427425855">
      <w:bodyDiv w:val="1"/>
      <w:marLeft w:val="0"/>
      <w:marRight w:val="0"/>
      <w:marTop w:val="0"/>
      <w:marBottom w:val="0"/>
      <w:divBdr>
        <w:top w:val="none" w:sz="0" w:space="0" w:color="auto"/>
        <w:left w:val="none" w:sz="0" w:space="0" w:color="auto"/>
        <w:bottom w:val="none" w:sz="0" w:space="0" w:color="auto"/>
        <w:right w:val="none" w:sz="0" w:space="0" w:color="auto"/>
      </w:divBdr>
    </w:div>
    <w:div w:id="427432643">
      <w:bodyDiv w:val="1"/>
      <w:marLeft w:val="0"/>
      <w:marRight w:val="0"/>
      <w:marTop w:val="0"/>
      <w:marBottom w:val="0"/>
      <w:divBdr>
        <w:top w:val="none" w:sz="0" w:space="0" w:color="auto"/>
        <w:left w:val="none" w:sz="0" w:space="0" w:color="auto"/>
        <w:bottom w:val="none" w:sz="0" w:space="0" w:color="auto"/>
        <w:right w:val="none" w:sz="0" w:space="0" w:color="auto"/>
      </w:divBdr>
    </w:div>
    <w:div w:id="427509400">
      <w:bodyDiv w:val="1"/>
      <w:marLeft w:val="0"/>
      <w:marRight w:val="0"/>
      <w:marTop w:val="0"/>
      <w:marBottom w:val="0"/>
      <w:divBdr>
        <w:top w:val="none" w:sz="0" w:space="0" w:color="auto"/>
        <w:left w:val="none" w:sz="0" w:space="0" w:color="auto"/>
        <w:bottom w:val="none" w:sz="0" w:space="0" w:color="auto"/>
        <w:right w:val="none" w:sz="0" w:space="0" w:color="auto"/>
      </w:divBdr>
    </w:div>
    <w:div w:id="427583834">
      <w:bodyDiv w:val="1"/>
      <w:marLeft w:val="0"/>
      <w:marRight w:val="0"/>
      <w:marTop w:val="0"/>
      <w:marBottom w:val="0"/>
      <w:divBdr>
        <w:top w:val="none" w:sz="0" w:space="0" w:color="auto"/>
        <w:left w:val="none" w:sz="0" w:space="0" w:color="auto"/>
        <w:bottom w:val="none" w:sz="0" w:space="0" w:color="auto"/>
        <w:right w:val="none" w:sz="0" w:space="0" w:color="auto"/>
      </w:divBdr>
    </w:div>
    <w:div w:id="427774739">
      <w:bodyDiv w:val="1"/>
      <w:marLeft w:val="0"/>
      <w:marRight w:val="0"/>
      <w:marTop w:val="0"/>
      <w:marBottom w:val="0"/>
      <w:divBdr>
        <w:top w:val="none" w:sz="0" w:space="0" w:color="auto"/>
        <w:left w:val="none" w:sz="0" w:space="0" w:color="auto"/>
        <w:bottom w:val="none" w:sz="0" w:space="0" w:color="auto"/>
        <w:right w:val="none" w:sz="0" w:space="0" w:color="auto"/>
      </w:divBdr>
    </w:div>
    <w:div w:id="427819958">
      <w:bodyDiv w:val="1"/>
      <w:marLeft w:val="0"/>
      <w:marRight w:val="0"/>
      <w:marTop w:val="0"/>
      <w:marBottom w:val="0"/>
      <w:divBdr>
        <w:top w:val="none" w:sz="0" w:space="0" w:color="auto"/>
        <w:left w:val="none" w:sz="0" w:space="0" w:color="auto"/>
        <w:bottom w:val="none" w:sz="0" w:space="0" w:color="auto"/>
        <w:right w:val="none" w:sz="0" w:space="0" w:color="auto"/>
      </w:divBdr>
    </w:div>
    <w:div w:id="427820019">
      <w:bodyDiv w:val="1"/>
      <w:marLeft w:val="0"/>
      <w:marRight w:val="0"/>
      <w:marTop w:val="0"/>
      <w:marBottom w:val="0"/>
      <w:divBdr>
        <w:top w:val="none" w:sz="0" w:space="0" w:color="auto"/>
        <w:left w:val="none" w:sz="0" w:space="0" w:color="auto"/>
        <w:bottom w:val="none" w:sz="0" w:space="0" w:color="auto"/>
        <w:right w:val="none" w:sz="0" w:space="0" w:color="auto"/>
      </w:divBdr>
    </w:div>
    <w:div w:id="427847736">
      <w:bodyDiv w:val="1"/>
      <w:marLeft w:val="0"/>
      <w:marRight w:val="0"/>
      <w:marTop w:val="0"/>
      <w:marBottom w:val="0"/>
      <w:divBdr>
        <w:top w:val="none" w:sz="0" w:space="0" w:color="auto"/>
        <w:left w:val="none" w:sz="0" w:space="0" w:color="auto"/>
        <w:bottom w:val="none" w:sz="0" w:space="0" w:color="auto"/>
        <w:right w:val="none" w:sz="0" w:space="0" w:color="auto"/>
      </w:divBdr>
    </w:div>
    <w:div w:id="427896934">
      <w:bodyDiv w:val="1"/>
      <w:marLeft w:val="0"/>
      <w:marRight w:val="0"/>
      <w:marTop w:val="0"/>
      <w:marBottom w:val="0"/>
      <w:divBdr>
        <w:top w:val="none" w:sz="0" w:space="0" w:color="auto"/>
        <w:left w:val="none" w:sz="0" w:space="0" w:color="auto"/>
        <w:bottom w:val="none" w:sz="0" w:space="0" w:color="auto"/>
        <w:right w:val="none" w:sz="0" w:space="0" w:color="auto"/>
      </w:divBdr>
    </w:div>
    <w:div w:id="427897097">
      <w:bodyDiv w:val="1"/>
      <w:marLeft w:val="0"/>
      <w:marRight w:val="0"/>
      <w:marTop w:val="0"/>
      <w:marBottom w:val="0"/>
      <w:divBdr>
        <w:top w:val="none" w:sz="0" w:space="0" w:color="auto"/>
        <w:left w:val="none" w:sz="0" w:space="0" w:color="auto"/>
        <w:bottom w:val="none" w:sz="0" w:space="0" w:color="auto"/>
        <w:right w:val="none" w:sz="0" w:space="0" w:color="auto"/>
      </w:divBdr>
    </w:div>
    <w:div w:id="427967728">
      <w:bodyDiv w:val="1"/>
      <w:marLeft w:val="0"/>
      <w:marRight w:val="0"/>
      <w:marTop w:val="0"/>
      <w:marBottom w:val="0"/>
      <w:divBdr>
        <w:top w:val="none" w:sz="0" w:space="0" w:color="auto"/>
        <w:left w:val="none" w:sz="0" w:space="0" w:color="auto"/>
        <w:bottom w:val="none" w:sz="0" w:space="0" w:color="auto"/>
        <w:right w:val="none" w:sz="0" w:space="0" w:color="auto"/>
      </w:divBdr>
    </w:div>
    <w:div w:id="428039952">
      <w:bodyDiv w:val="1"/>
      <w:marLeft w:val="0"/>
      <w:marRight w:val="0"/>
      <w:marTop w:val="0"/>
      <w:marBottom w:val="0"/>
      <w:divBdr>
        <w:top w:val="none" w:sz="0" w:space="0" w:color="auto"/>
        <w:left w:val="none" w:sz="0" w:space="0" w:color="auto"/>
        <w:bottom w:val="none" w:sz="0" w:space="0" w:color="auto"/>
        <w:right w:val="none" w:sz="0" w:space="0" w:color="auto"/>
      </w:divBdr>
    </w:div>
    <w:div w:id="428041298">
      <w:bodyDiv w:val="1"/>
      <w:marLeft w:val="0"/>
      <w:marRight w:val="0"/>
      <w:marTop w:val="0"/>
      <w:marBottom w:val="0"/>
      <w:divBdr>
        <w:top w:val="none" w:sz="0" w:space="0" w:color="auto"/>
        <w:left w:val="none" w:sz="0" w:space="0" w:color="auto"/>
        <w:bottom w:val="none" w:sz="0" w:space="0" w:color="auto"/>
        <w:right w:val="none" w:sz="0" w:space="0" w:color="auto"/>
      </w:divBdr>
    </w:div>
    <w:div w:id="428355101">
      <w:bodyDiv w:val="1"/>
      <w:marLeft w:val="0"/>
      <w:marRight w:val="0"/>
      <w:marTop w:val="0"/>
      <w:marBottom w:val="0"/>
      <w:divBdr>
        <w:top w:val="none" w:sz="0" w:space="0" w:color="auto"/>
        <w:left w:val="none" w:sz="0" w:space="0" w:color="auto"/>
        <w:bottom w:val="none" w:sz="0" w:space="0" w:color="auto"/>
        <w:right w:val="none" w:sz="0" w:space="0" w:color="auto"/>
      </w:divBdr>
    </w:div>
    <w:div w:id="428475961">
      <w:bodyDiv w:val="1"/>
      <w:marLeft w:val="0"/>
      <w:marRight w:val="0"/>
      <w:marTop w:val="0"/>
      <w:marBottom w:val="0"/>
      <w:divBdr>
        <w:top w:val="none" w:sz="0" w:space="0" w:color="auto"/>
        <w:left w:val="none" w:sz="0" w:space="0" w:color="auto"/>
        <w:bottom w:val="none" w:sz="0" w:space="0" w:color="auto"/>
        <w:right w:val="none" w:sz="0" w:space="0" w:color="auto"/>
      </w:divBdr>
    </w:div>
    <w:div w:id="428815323">
      <w:bodyDiv w:val="1"/>
      <w:marLeft w:val="0"/>
      <w:marRight w:val="0"/>
      <w:marTop w:val="0"/>
      <w:marBottom w:val="0"/>
      <w:divBdr>
        <w:top w:val="none" w:sz="0" w:space="0" w:color="auto"/>
        <w:left w:val="none" w:sz="0" w:space="0" w:color="auto"/>
        <w:bottom w:val="none" w:sz="0" w:space="0" w:color="auto"/>
        <w:right w:val="none" w:sz="0" w:space="0" w:color="auto"/>
      </w:divBdr>
    </w:div>
    <w:div w:id="428890522">
      <w:bodyDiv w:val="1"/>
      <w:marLeft w:val="0"/>
      <w:marRight w:val="0"/>
      <w:marTop w:val="0"/>
      <w:marBottom w:val="0"/>
      <w:divBdr>
        <w:top w:val="none" w:sz="0" w:space="0" w:color="auto"/>
        <w:left w:val="none" w:sz="0" w:space="0" w:color="auto"/>
        <w:bottom w:val="none" w:sz="0" w:space="0" w:color="auto"/>
        <w:right w:val="none" w:sz="0" w:space="0" w:color="auto"/>
      </w:divBdr>
    </w:div>
    <w:div w:id="428965527">
      <w:bodyDiv w:val="1"/>
      <w:marLeft w:val="0"/>
      <w:marRight w:val="0"/>
      <w:marTop w:val="0"/>
      <w:marBottom w:val="0"/>
      <w:divBdr>
        <w:top w:val="none" w:sz="0" w:space="0" w:color="auto"/>
        <w:left w:val="none" w:sz="0" w:space="0" w:color="auto"/>
        <w:bottom w:val="none" w:sz="0" w:space="0" w:color="auto"/>
        <w:right w:val="none" w:sz="0" w:space="0" w:color="auto"/>
      </w:divBdr>
    </w:div>
    <w:div w:id="429014692">
      <w:bodyDiv w:val="1"/>
      <w:marLeft w:val="0"/>
      <w:marRight w:val="0"/>
      <w:marTop w:val="0"/>
      <w:marBottom w:val="0"/>
      <w:divBdr>
        <w:top w:val="none" w:sz="0" w:space="0" w:color="auto"/>
        <w:left w:val="none" w:sz="0" w:space="0" w:color="auto"/>
        <w:bottom w:val="none" w:sz="0" w:space="0" w:color="auto"/>
        <w:right w:val="none" w:sz="0" w:space="0" w:color="auto"/>
      </w:divBdr>
    </w:div>
    <w:div w:id="429203751">
      <w:bodyDiv w:val="1"/>
      <w:marLeft w:val="0"/>
      <w:marRight w:val="0"/>
      <w:marTop w:val="0"/>
      <w:marBottom w:val="0"/>
      <w:divBdr>
        <w:top w:val="none" w:sz="0" w:space="0" w:color="auto"/>
        <w:left w:val="none" w:sz="0" w:space="0" w:color="auto"/>
        <w:bottom w:val="none" w:sz="0" w:space="0" w:color="auto"/>
        <w:right w:val="none" w:sz="0" w:space="0" w:color="auto"/>
      </w:divBdr>
    </w:div>
    <w:div w:id="429394839">
      <w:bodyDiv w:val="1"/>
      <w:marLeft w:val="0"/>
      <w:marRight w:val="0"/>
      <w:marTop w:val="0"/>
      <w:marBottom w:val="0"/>
      <w:divBdr>
        <w:top w:val="none" w:sz="0" w:space="0" w:color="auto"/>
        <w:left w:val="none" w:sz="0" w:space="0" w:color="auto"/>
        <w:bottom w:val="none" w:sz="0" w:space="0" w:color="auto"/>
        <w:right w:val="none" w:sz="0" w:space="0" w:color="auto"/>
      </w:divBdr>
    </w:div>
    <w:div w:id="429547073">
      <w:bodyDiv w:val="1"/>
      <w:marLeft w:val="0"/>
      <w:marRight w:val="0"/>
      <w:marTop w:val="0"/>
      <w:marBottom w:val="0"/>
      <w:divBdr>
        <w:top w:val="none" w:sz="0" w:space="0" w:color="auto"/>
        <w:left w:val="none" w:sz="0" w:space="0" w:color="auto"/>
        <w:bottom w:val="none" w:sz="0" w:space="0" w:color="auto"/>
        <w:right w:val="none" w:sz="0" w:space="0" w:color="auto"/>
      </w:divBdr>
    </w:div>
    <w:div w:id="429589240">
      <w:bodyDiv w:val="1"/>
      <w:marLeft w:val="0"/>
      <w:marRight w:val="0"/>
      <w:marTop w:val="0"/>
      <w:marBottom w:val="0"/>
      <w:divBdr>
        <w:top w:val="none" w:sz="0" w:space="0" w:color="auto"/>
        <w:left w:val="none" w:sz="0" w:space="0" w:color="auto"/>
        <w:bottom w:val="none" w:sz="0" w:space="0" w:color="auto"/>
        <w:right w:val="none" w:sz="0" w:space="0" w:color="auto"/>
      </w:divBdr>
    </w:div>
    <w:div w:id="429661974">
      <w:bodyDiv w:val="1"/>
      <w:marLeft w:val="0"/>
      <w:marRight w:val="0"/>
      <w:marTop w:val="0"/>
      <w:marBottom w:val="0"/>
      <w:divBdr>
        <w:top w:val="none" w:sz="0" w:space="0" w:color="auto"/>
        <w:left w:val="none" w:sz="0" w:space="0" w:color="auto"/>
        <w:bottom w:val="none" w:sz="0" w:space="0" w:color="auto"/>
        <w:right w:val="none" w:sz="0" w:space="0" w:color="auto"/>
      </w:divBdr>
    </w:div>
    <w:div w:id="429663894">
      <w:bodyDiv w:val="1"/>
      <w:marLeft w:val="0"/>
      <w:marRight w:val="0"/>
      <w:marTop w:val="0"/>
      <w:marBottom w:val="0"/>
      <w:divBdr>
        <w:top w:val="none" w:sz="0" w:space="0" w:color="auto"/>
        <w:left w:val="none" w:sz="0" w:space="0" w:color="auto"/>
        <w:bottom w:val="none" w:sz="0" w:space="0" w:color="auto"/>
        <w:right w:val="none" w:sz="0" w:space="0" w:color="auto"/>
      </w:divBdr>
    </w:div>
    <w:div w:id="429669201">
      <w:bodyDiv w:val="1"/>
      <w:marLeft w:val="0"/>
      <w:marRight w:val="0"/>
      <w:marTop w:val="0"/>
      <w:marBottom w:val="0"/>
      <w:divBdr>
        <w:top w:val="none" w:sz="0" w:space="0" w:color="auto"/>
        <w:left w:val="none" w:sz="0" w:space="0" w:color="auto"/>
        <w:bottom w:val="none" w:sz="0" w:space="0" w:color="auto"/>
        <w:right w:val="none" w:sz="0" w:space="0" w:color="auto"/>
      </w:divBdr>
    </w:div>
    <w:div w:id="429742014">
      <w:bodyDiv w:val="1"/>
      <w:marLeft w:val="0"/>
      <w:marRight w:val="0"/>
      <w:marTop w:val="0"/>
      <w:marBottom w:val="0"/>
      <w:divBdr>
        <w:top w:val="none" w:sz="0" w:space="0" w:color="auto"/>
        <w:left w:val="none" w:sz="0" w:space="0" w:color="auto"/>
        <w:bottom w:val="none" w:sz="0" w:space="0" w:color="auto"/>
        <w:right w:val="none" w:sz="0" w:space="0" w:color="auto"/>
      </w:divBdr>
    </w:div>
    <w:div w:id="429787081">
      <w:bodyDiv w:val="1"/>
      <w:marLeft w:val="0"/>
      <w:marRight w:val="0"/>
      <w:marTop w:val="0"/>
      <w:marBottom w:val="0"/>
      <w:divBdr>
        <w:top w:val="none" w:sz="0" w:space="0" w:color="auto"/>
        <w:left w:val="none" w:sz="0" w:space="0" w:color="auto"/>
        <w:bottom w:val="none" w:sz="0" w:space="0" w:color="auto"/>
        <w:right w:val="none" w:sz="0" w:space="0" w:color="auto"/>
      </w:divBdr>
    </w:div>
    <w:div w:id="429812732">
      <w:bodyDiv w:val="1"/>
      <w:marLeft w:val="0"/>
      <w:marRight w:val="0"/>
      <w:marTop w:val="0"/>
      <w:marBottom w:val="0"/>
      <w:divBdr>
        <w:top w:val="none" w:sz="0" w:space="0" w:color="auto"/>
        <w:left w:val="none" w:sz="0" w:space="0" w:color="auto"/>
        <w:bottom w:val="none" w:sz="0" w:space="0" w:color="auto"/>
        <w:right w:val="none" w:sz="0" w:space="0" w:color="auto"/>
      </w:divBdr>
    </w:div>
    <w:div w:id="429813986">
      <w:bodyDiv w:val="1"/>
      <w:marLeft w:val="0"/>
      <w:marRight w:val="0"/>
      <w:marTop w:val="0"/>
      <w:marBottom w:val="0"/>
      <w:divBdr>
        <w:top w:val="none" w:sz="0" w:space="0" w:color="auto"/>
        <w:left w:val="none" w:sz="0" w:space="0" w:color="auto"/>
        <w:bottom w:val="none" w:sz="0" w:space="0" w:color="auto"/>
        <w:right w:val="none" w:sz="0" w:space="0" w:color="auto"/>
      </w:divBdr>
    </w:div>
    <w:div w:id="429863083">
      <w:bodyDiv w:val="1"/>
      <w:marLeft w:val="0"/>
      <w:marRight w:val="0"/>
      <w:marTop w:val="0"/>
      <w:marBottom w:val="0"/>
      <w:divBdr>
        <w:top w:val="none" w:sz="0" w:space="0" w:color="auto"/>
        <w:left w:val="none" w:sz="0" w:space="0" w:color="auto"/>
        <w:bottom w:val="none" w:sz="0" w:space="0" w:color="auto"/>
        <w:right w:val="none" w:sz="0" w:space="0" w:color="auto"/>
      </w:divBdr>
    </w:div>
    <w:div w:id="430054521">
      <w:bodyDiv w:val="1"/>
      <w:marLeft w:val="0"/>
      <w:marRight w:val="0"/>
      <w:marTop w:val="0"/>
      <w:marBottom w:val="0"/>
      <w:divBdr>
        <w:top w:val="none" w:sz="0" w:space="0" w:color="auto"/>
        <w:left w:val="none" w:sz="0" w:space="0" w:color="auto"/>
        <w:bottom w:val="none" w:sz="0" w:space="0" w:color="auto"/>
        <w:right w:val="none" w:sz="0" w:space="0" w:color="auto"/>
      </w:divBdr>
    </w:div>
    <w:div w:id="430124855">
      <w:bodyDiv w:val="1"/>
      <w:marLeft w:val="0"/>
      <w:marRight w:val="0"/>
      <w:marTop w:val="0"/>
      <w:marBottom w:val="0"/>
      <w:divBdr>
        <w:top w:val="none" w:sz="0" w:space="0" w:color="auto"/>
        <w:left w:val="none" w:sz="0" w:space="0" w:color="auto"/>
        <w:bottom w:val="none" w:sz="0" w:space="0" w:color="auto"/>
        <w:right w:val="none" w:sz="0" w:space="0" w:color="auto"/>
      </w:divBdr>
    </w:div>
    <w:div w:id="430202062">
      <w:bodyDiv w:val="1"/>
      <w:marLeft w:val="0"/>
      <w:marRight w:val="0"/>
      <w:marTop w:val="0"/>
      <w:marBottom w:val="0"/>
      <w:divBdr>
        <w:top w:val="none" w:sz="0" w:space="0" w:color="auto"/>
        <w:left w:val="none" w:sz="0" w:space="0" w:color="auto"/>
        <w:bottom w:val="none" w:sz="0" w:space="0" w:color="auto"/>
        <w:right w:val="none" w:sz="0" w:space="0" w:color="auto"/>
      </w:divBdr>
    </w:div>
    <w:div w:id="430273998">
      <w:bodyDiv w:val="1"/>
      <w:marLeft w:val="0"/>
      <w:marRight w:val="0"/>
      <w:marTop w:val="0"/>
      <w:marBottom w:val="0"/>
      <w:divBdr>
        <w:top w:val="none" w:sz="0" w:space="0" w:color="auto"/>
        <w:left w:val="none" w:sz="0" w:space="0" w:color="auto"/>
        <w:bottom w:val="none" w:sz="0" w:space="0" w:color="auto"/>
        <w:right w:val="none" w:sz="0" w:space="0" w:color="auto"/>
      </w:divBdr>
    </w:div>
    <w:div w:id="430320994">
      <w:bodyDiv w:val="1"/>
      <w:marLeft w:val="0"/>
      <w:marRight w:val="0"/>
      <w:marTop w:val="0"/>
      <w:marBottom w:val="0"/>
      <w:divBdr>
        <w:top w:val="none" w:sz="0" w:space="0" w:color="auto"/>
        <w:left w:val="none" w:sz="0" w:space="0" w:color="auto"/>
        <w:bottom w:val="none" w:sz="0" w:space="0" w:color="auto"/>
        <w:right w:val="none" w:sz="0" w:space="0" w:color="auto"/>
      </w:divBdr>
    </w:div>
    <w:div w:id="430662539">
      <w:bodyDiv w:val="1"/>
      <w:marLeft w:val="0"/>
      <w:marRight w:val="0"/>
      <w:marTop w:val="0"/>
      <w:marBottom w:val="0"/>
      <w:divBdr>
        <w:top w:val="none" w:sz="0" w:space="0" w:color="auto"/>
        <w:left w:val="none" w:sz="0" w:space="0" w:color="auto"/>
        <w:bottom w:val="none" w:sz="0" w:space="0" w:color="auto"/>
        <w:right w:val="none" w:sz="0" w:space="0" w:color="auto"/>
      </w:divBdr>
    </w:div>
    <w:div w:id="430711543">
      <w:bodyDiv w:val="1"/>
      <w:marLeft w:val="0"/>
      <w:marRight w:val="0"/>
      <w:marTop w:val="0"/>
      <w:marBottom w:val="0"/>
      <w:divBdr>
        <w:top w:val="none" w:sz="0" w:space="0" w:color="auto"/>
        <w:left w:val="none" w:sz="0" w:space="0" w:color="auto"/>
        <w:bottom w:val="none" w:sz="0" w:space="0" w:color="auto"/>
        <w:right w:val="none" w:sz="0" w:space="0" w:color="auto"/>
      </w:divBdr>
    </w:div>
    <w:div w:id="430781065">
      <w:bodyDiv w:val="1"/>
      <w:marLeft w:val="0"/>
      <w:marRight w:val="0"/>
      <w:marTop w:val="0"/>
      <w:marBottom w:val="0"/>
      <w:divBdr>
        <w:top w:val="none" w:sz="0" w:space="0" w:color="auto"/>
        <w:left w:val="none" w:sz="0" w:space="0" w:color="auto"/>
        <w:bottom w:val="none" w:sz="0" w:space="0" w:color="auto"/>
        <w:right w:val="none" w:sz="0" w:space="0" w:color="auto"/>
      </w:divBdr>
    </w:div>
    <w:div w:id="430856083">
      <w:bodyDiv w:val="1"/>
      <w:marLeft w:val="0"/>
      <w:marRight w:val="0"/>
      <w:marTop w:val="0"/>
      <w:marBottom w:val="0"/>
      <w:divBdr>
        <w:top w:val="none" w:sz="0" w:space="0" w:color="auto"/>
        <w:left w:val="none" w:sz="0" w:space="0" w:color="auto"/>
        <w:bottom w:val="none" w:sz="0" w:space="0" w:color="auto"/>
        <w:right w:val="none" w:sz="0" w:space="0" w:color="auto"/>
      </w:divBdr>
    </w:div>
    <w:div w:id="430858983">
      <w:bodyDiv w:val="1"/>
      <w:marLeft w:val="0"/>
      <w:marRight w:val="0"/>
      <w:marTop w:val="0"/>
      <w:marBottom w:val="0"/>
      <w:divBdr>
        <w:top w:val="none" w:sz="0" w:space="0" w:color="auto"/>
        <w:left w:val="none" w:sz="0" w:space="0" w:color="auto"/>
        <w:bottom w:val="none" w:sz="0" w:space="0" w:color="auto"/>
        <w:right w:val="none" w:sz="0" w:space="0" w:color="auto"/>
      </w:divBdr>
    </w:div>
    <w:div w:id="430859368">
      <w:bodyDiv w:val="1"/>
      <w:marLeft w:val="0"/>
      <w:marRight w:val="0"/>
      <w:marTop w:val="0"/>
      <w:marBottom w:val="0"/>
      <w:divBdr>
        <w:top w:val="none" w:sz="0" w:space="0" w:color="auto"/>
        <w:left w:val="none" w:sz="0" w:space="0" w:color="auto"/>
        <w:bottom w:val="none" w:sz="0" w:space="0" w:color="auto"/>
        <w:right w:val="none" w:sz="0" w:space="0" w:color="auto"/>
      </w:divBdr>
    </w:div>
    <w:div w:id="430861299">
      <w:bodyDiv w:val="1"/>
      <w:marLeft w:val="0"/>
      <w:marRight w:val="0"/>
      <w:marTop w:val="0"/>
      <w:marBottom w:val="0"/>
      <w:divBdr>
        <w:top w:val="none" w:sz="0" w:space="0" w:color="auto"/>
        <w:left w:val="none" w:sz="0" w:space="0" w:color="auto"/>
        <w:bottom w:val="none" w:sz="0" w:space="0" w:color="auto"/>
        <w:right w:val="none" w:sz="0" w:space="0" w:color="auto"/>
      </w:divBdr>
    </w:div>
    <w:div w:id="431051209">
      <w:bodyDiv w:val="1"/>
      <w:marLeft w:val="0"/>
      <w:marRight w:val="0"/>
      <w:marTop w:val="0"/>
      <w:marBottom w:val="0"/>
      <w:divBdr>
        <w:top w:val="none" w:sz="0" w:space="0" w:color="auto"/>
        <w:left w:val="none" w:sz="0" w:space="0" w:color="auto"/>
        <w:bottom w:val="none" w:sz="0" w:space="0" w:color="auto"/>
        <w:right w:val="none" w:sz="0" w:space="0" w:color="auto"/>
      </w:divBdr>
    </w:div>
    <w:div w:id="431127559">
      <w:bodyDiv w:val="1"/>
      <w:marLeft w:val="0"/>
      <w:marRight w:val="0"/>
      <w:marTop w:val="0"/>
      <w:marBottom w:val="0"/>
      <w:divBdr>
        <w:top w:val="none" w:sz="0" w:space="0" w:color="auto"/>
        <w:left w:val="none" w:sz="0" w:space="0" w:color="auto"/>
        <w:bottom w:val="none" w:sz="0" w:space="0" w:color="auto"/>
        <w:right w:val="none" w:sz="0" w:space="0" w:color="auto"/>
      </w:divBdr>
    </w:div>
    <w:div w:id="431247275">
      <w:bodyDiv w:val="1"/>
      <w:marLeft w:val="0"/>
      <w:marRight w:val="0"/>
      <w:marTop w:val="0"/>
      <w:marBottom w:val="0"/>
      <w:divBdr>
        <w:top w:val="none" w:sz="0" w:space="0" w:color="auto"/>
        <w:left w:val="none" w:sz="0" w:space="0" w:color="auto"/>
        <w:bottom w:val="none" w:sz="0" w:space="0" w:color="auto"/>
        <w:right w:val="none" w:sz="0" w:space="0" w:color="auto"/>
      </w:divBdr>
    </w:div>
    <w:div w:id="431247824">
      <w:bodyDiv w:val="1"/>
      <w:marLeft w:val="0"/>
      <w:marRight w:val="0"/>
      <w:marTop w:val="0"/>
      <w:marBottom w:val="0"/>
      <w:divBdr>
        <w:top w:val="none" w:sz="0" w:space="0" w:color="auto"/>
        <w:left w:val="none" w:sz="0" w:space="0" w:color="auto"/>
        <w:bottom w:val="none" w:sz="0" w:space="0" w:color="auto"/>
        <w:right w:val="none" w:sz="0" w:space="0" w:color="auto"/>
      </w:divBdr>
    </w:div>
    <w:div w:id="431365417">
      <w:bodyDiv w:val="1"/>
      <w:marLeft w:val="0"/>
      <w:marRight w:val="0"/>
      <w:marTop w:val="0"/>
      <w:marBottom w:val="0"/>
      <w:divBdr>
        <w:top w:val="none" w:sz="0" w:space="0" w:color="auto"/>
        <w:left w:val="none" w:sz="0" w:space="0" w:color="auto"/>
        <w:bottom w:val="none" w:sz="0" w:space="0" w:color="auto"/>
        <w:right w:val="none" w:sz="0" w:space="0" w:color="auto"/>
      </w:divBdr>
    </w:div>
    <w:div w:id="431367099">
      <w:bodyDiv w:val="1"/>
      <w:marLeft w:val="0"/>
      <w:marRight w:val="0"/>
      <w:marTop w:val="0"/>
      <w:marBottom w:val="0"/>
      <w:divBdr>
        <w:top w:val="none" w:sz="0" w:space="0" w:color="auto"/>
        <w:left w:val="none" w:sz="0" w:space="0" w:color="auto"/>
        <w:bottom w:val="none" w:sz="0" w:space="0" w:color="auto"/>
        <w:right w:val="none" w:sz="0" w:space="0" w:color="auto"/>
      </w:divBdr>
    </w:div>
    <w:div w:id="431439594">
      <w:bodyDiv w:val="1"/>
      <w:marLeft w:val="0"/>
      <w:marRight w:val="0"/>
      <w:marTop w:val="0"/>
      <w:marBottom w:val="0"/>
      <w:divBdr>
        <w:top w:val="none" w:sz="0" w:space="0" w:color="auto"/>
        <w:left w:val="none" w:sz="0" w:space="0" w:color="auto"/>
        <w:bottom w:val="none" w:sz="0" w:space="0" w:color="auto"/>
        <w:right w:val="none" w:sz="0" w:space="0" w:color="auto"/>
      </w:divBdr>
    </w:div>
    <w:div w:id="431633698">
      <w:bodyDiv w:val="1"/>
      <w:marLeft w:val="0"/>
      <w:marRight w:val="0"/>
      <w:marTop w:val="0"/>
      <w:marBottom w:val="0"/>
      <w:divBdr>
        <w:top w:val="none" w:sz="0" w:space="0" w:color="auto"/>
        <w:left w:val="none" w:sz="0" w:space="0" w:color="auto"/>
        <w:bottom w:val="none" w:sz="0" w:space="0" w:color="auto"/>
        <w:right w:val="none" w:sz="0" w:space="0" w:color="auto"/>
      </w:divBdr>
    </w:div>
    <w:div w:id="431710802">
      <w:bodyDiv w:val="1"/>
      <w:marLeft w:val="0"/>
      <w:marRight w:val="0"/>
      <w:marTop w:val="0"/>
      <w:marBottom w:val="0"/>
      <w:divBdr>
        <w:top w:val="none" w:sz="0" w:space="0" w:color="auto"/>
        <w:left w:val="none" w:sz="0" w:space="0" w:color="auto"/>
        <w:bottom w:val="none" w:sz="0" w:space="0" w:color="auto"/>
        <w:right w:val="none" w:sz="0" w:space="0" w:color="auto"/>
      </w:divBdr>
    </w:div>
    <w:div w:id="431752730">
      <w:bodyDiv w:val="1"/>
      <w:marLeft w:val="0"/>
      <w:marRight w:val="0"/>
      <w:marTop w:val="0"/>
      <w:marBottom w:val="0"/>
      <w:divBdr>
        <w:top w:val="none" w:sz="0" w:space="0" w:color="auto"/>
        <w:left w:val="none" w:sz="0" w:space="0" w:color="auto"/>
        <w:bottom w:val="none" w:sz="0" w:space="0" w:color="auto"/>
        <w:right w:val="none" w:sz="0" w:space="0" w:color="auto"/>
      </w:divBdr>
    </w:div>
    <w:div w:id="431782281">
      <w:bodyDiv w:val="1"/>
      <w:marLeft w:val="0"/>
      <w:marRight w:val="0"/>
      <w:marTop w:val="0"/>
      <w:marBottom w:val="0"/>
      <w:divBdr>
        <w:top w:val="none" w:sz="0" w:space="0" w:color="auto"/>
        <w:left w:val="none" w:sz="0" w:space="0" w:color="auto"/>
        <w:bottom w:val="none" w:sz="0" w:space="0" w:color="auto"/>
        <w:right w:val="none" w:sz="0" w:space="0" w:color="auto"/>
      </w:divBdr>
    </w:div>
    <w:div w:id="431825982">
      <w:bodyDiv w:val="1"/>
      <w:marLeft w:val="0"/>
      <w:marRight w:val="0"/>
      <w:marTop w:val="0"/>
      <w:marBottom w:val="0"/>
      <w:divBdr>
        <w:top w:val="none" w:sz="0" w:space="0" w:color="auto"/>
        <w:left w:val="none" w:sz="0" w:space="0" w:color="auto"/>
        <w:bottom w:val="none" w:sz="0" w:space="0" w:color="auto"/>
        <w:right w:val="none" w:sz="0" w:space="0" w:color="auto"/>
      </w:divBdr>
    </w:div>
    <w:div w:id="432359033">
      <w:bodyDiv w:val="1"/>
      <w:marLeft w:val="0"/>
      <w:marRight w:val="0"/>
      <w:marTop w:val="0"/>
      <w:marBottom w:val="0"/>
      <w:divBdr>
        <w:top w:val="none" w:sz="0" w:space="0" w:color="auto"/>
        <w:left w:val="none" w:sz="0" w:space="0" w:color="auto"/>
        <w:bottom w:val="none" w:sz="0" w:space="0" w:color="auto"/>
        <w:right w:val="none" w:sz="0" w:space="0" w:color="auto"/>
      </w:divBdr>
    </w:div>
    <w:div w:id="432437963">
      <w:bodyDiv w:val="1"/>
      <w:marLeft w:val="0"/>
      <w:marRight w:val="0"/>
      <w:marTop w:val="0"/>
      <w:marBottom w:val="0"/>
      <w:divBdr>
        <w:top w:val="none" w:sz="0" w:space="0" w:color="auto"/>
        <w:left w:val="none" w:sz="0" w:space="0" w:color="auto"/>
        <w:bottom w:val="none" w:sz="0" w:space="0" w:color="auto"/>
        <w:right w:val="none" w:sz="0" w:space="0" w:color="auto"/>
      </w:divBdr>
    </w:div>
    <w:div w:id="432476121">
      <w:bodyDiv w:val="1"/>
      <w:marLeft w:val="0"/>
      <w:marRight w:val="0"/>
      <w:marTop w:val="0"/>
      <w:marBottom w:val="0"/>
      <w:divBdr>
        <w:top w:val="none" w:sz="0" w:space="0" w:color="auto"/>
        <w:left w:val="none" w:sz="0" w:space="0" w:color="auto"/>
        <w:bottom w:val="none" w:sz="0" w:space="0" w:color="auto"/>
        <w:right w:val="none" w:sz="0" w:space="0" w:color="auto"/>
      </w:divBdr>
    </w:div>
    <w:div w:id="432550563">
      <w:bodyDiv w:val="1"/>
      <w:marLeft w:val="0"/>
      <w:marRight w:val="0"/>
      <w:marTop w:val="0"/>
      <w:marBottom w:val="0"/>
      <w:divBdr>
        <w:top w:val="none" w:sz="0" w:space="0" w:color="auto"/>
        <w:left w:val="none" w:sz="0" w:space="0" w:color="auto"/>
        <w:bottom w:val="none" w:sz="0" w:space="0" w:color="auto"/>
        <w:right w:val="none" w:sz="0" w:space="0" w:color="auto"/>
      </w:divBdr>
    </w:div>
    <w:div w:id="432633221">
      <w:bodyDiv w:val="1"/>
      <w:marLeft w:val="0"/>
      <w:marRight w:val="0"/>
      <w:marTop w:val="0"/>
      <w:marBottom w:val="0"/>
      <w:divBdr>
        <w:top w:val="none" w:sz="0" w:space="0" w:color="auto"/>
        <w:left w:val="none" w:sz="0" w:space="0" w:color="auto"/>
        <w:bottom w:val="none" w:sz="0" w:space="0" w:color="auto"/>
        <w:right w:val="none" w:sz="0" w:space="0" w:color="auto"/>
      </w:divBdr>
    </w:div>
    <w:div w:id="432633242">
      <w:bodyDiv w:val="1"/>
      <w:marLeft w:val="0"/>
      <w:marRight w:val="0"/>
      <w:marTop w:val="0"/>
      <w:marBottom w:val="0"/>
      <w:divBdr>
        <w:top w:val="none" w:sz="0" w:space="0" w:color="auto"/>
        <w:left w:val="none" w:sz="0" w:space="0" w:color="auto"/>
        <w:bottom w:val="none" w:sz="0" w:space="0" w:color="auto"/>
        <w:right w:val="none" w:sz="0" w:space="0" w:color="auto"/>
      </w:divBdr>
    </w:div>
    <w:div w:id="432669750">
      <w:bodyDiv w:val="1"/>
      <w:marLeft w:val="0"/>
      <w:marRight w:val="0"/>
      <w:marTop w:val="0"/>
      <w:marBottom w:val="0"/>
      <w:divBdr>
        <w:top w:val="none" w:sz="0" w:space="0" w:color="auto"/>
        <w:left w:val="none" w:sz="0" w:space="0" w:color="auto"/>
        <w:bottom w:val="none" w:sz="0" w:space="0" w:color="auto"/>
        <w:right w:val="none" w:sz="0" w:space="0" w:color="auto"/>
      </w:divBdr>
    </w:div>
    <w:div w:id="432672885">
      <w:bodyDiv w:val="1"/>
      <w:marLeft w:val="0"/>
      <w:marRight w:val="0"/>
      <w:marTop w:val="0"/>
      <w:marBottom w:val="0"/>
      <w:divBdr>
        <w:top w:val="none" w:sz="0" w:space="0" w:color="auto"/>
        <w:left w:val="none" w:sz="0" w:space="0" w:color="auto"/>
        <w:bottom w:val="none" w:sz="0" w:space="0" w:color="auto"/>
        <w:right w:val="none" w:sz="0" w:space="0" w:color="auto"/>
      </w:divBdr>
    </w:div>
    <w:div w:id="432701090">
      <w:bodyDiv w:val="1"/>
      <w:marLeft w:val="0"/>
      <w:marRight w:val="0"/>
      <w:marTop w:val="0"/>
      <w:marBottom w:val="0"/>
      <w:divBdr>
        <w:top w:val="none" w:sz="0" w:space="0" w:color="auto"/>
        <w:left w:val="none" w:sz="0" w:space="0" w:color="auto"/>
        <w:bottom w:val="none" w:sz="0" w:space="0" w:color="auto"/>
        <w:right w:val="none" w:sz="0" w:space="0" w:color="auto"/>
      </w:divBdr>
    </w:div>
    <w:div w:id="432826407">
      <w:bodyDiv w:val="1"/>
      <w:marLeft w:val="0"/>
      <w:marRight w:val="0"/>
      <w:marTop w:val="0"/>
      <w:marBottom w:val="0"/>
      <w:divBdr>
        <w:top w:val="none" w:sz="0" w:space="0" w:color="auto"/>
        <w:left w:val="none" w:sz="0" w:space="0" w:color="auto"/>
        <w:bottom w:val="none" w:sz="0" w:space="0" w:color="auto"/>
        <w:right w:val="none" w:sz="0" w:space="0" w:color="auto"/>
      </w:divBdr>
    </w:div>
    <w:div w:id="432828255">
      <w:bodyDiv w:val="1"/>
      <w:marLeft w:val="0"/>
      <w:marRight w:val="0"/>
      <w:marTop w:val="0"/>
      <w:marBottom w:val="0"/>
      <w:divBdr>
        <w:top w:val="none" w:sz="0" w:space="0" w:color="auto"/>
        <w:left w:val="none" w:sz="0" w:space="0" w:color="auto"/>
        <w:bottom w:val="none" w:sz="0" w:space="0" w:color="auto"/>
        <w:right w:val="none" w:sz="0" w:space="0" w:color="auto"/>
      </w:divBdr>
    </w:div>
    <w:div w:id="433016255">
      <w:bodyDiv w:val="1"/>
      <w:marLeft w:val="0"/>
      <w:marRight w:val="0"/>
      <w:marTop w:val="0"/>
      <w:marBottom w:val="0"/>
      <w:divBdr>
        <w:top w:val="none" w:sz="0" w:space="0" w:color="auto"/>
        <w:left w:val="none" w:sz="0" w:space="0" w:color="auto"/>
        <w:bottom w:val="none" w:sz="0" w:space="0" w:color="auto"/>
        <w:right w:val="none" w:sz="0" w:space="0" w:color="auto"/>
      </w:divBdr>
    </w:div>
    <w:div w:id="433019758">
      <w:bodyDiv w:val="1"/>
      <w:marLeft w:val="0"/>
      <w:marRight w:val="0"/>
      <w:marTop w:val="0"/>
      <w:marBottom w:val="0"/>
      <w:divBdr>
        <w:top w:val="none" w:sz="0" w:space="0" w:color="auto"/>
        <w:left w:val="none" w:sz="0" w:space="0" w:color="auto"/>
        <w:bottom w:val="none" w:sz="0" w:space="0" w:color="auto"/>
        <w:right w:val="none" w:sz="0" w:space="0" w:color="auto"/>
      </w:divBdr>
    </w:div>
    <w:div w:id="433136058">
      <w:bodyDiv w:val="1"/>
      <w:marLeft w:val="0"/>
      <w:marRight w:val="0"/>
      <w:marTop w:val="0"/>
      <w:marBottom w:val="0"/>
      <w:divBdr>
        <w:top w:val="none" w:sz="0" w:space="0" w:color="auto"/>
        <w:left w:val="none" w:sz="0" w:space="0" w:color="auto"/>
        <w:bottom w:val="none" w:sz="0" w:space="0" w:color="auto"/>
        <w:right w:val="none" w:sz="0" w:space="0" w:color="auto"/>
      </w:divBdr>
    </w:div>
    <w:div w:id="433136976">
      <w:bodyDiv w:val="1"/>
      <w:marLeft w:val="0"/>
      <w:marRight w:val="0"/>
      <w:marTop w:val="0"/>
      <w:marBottom w:val="0"/>
      <w:divBdr>
        <w:top w:val="none" w:sz="0" w:space="0" w:color="auto"/>
        <w:left w:val="none" w:sz="0" w:space="0" w:color="auto"/>
        <w:bottom w:val="none" w:sz="0" w:space="0" w:color="auto"/>
        <w:right w:val="none" w:sz="0" w:space="0" w:color="auto"/>
      </w:divBdr>
    </w:div>
    <w:div w:id="433286971">
      <w:bodyDiv w:val="1"/>
      <w:marLeft w:val="0"/>
      <w:marRight w:val="0"/>
      <w:marTop w:val="0"/>
      <w:marBottom w:val="0"/>
      <w:divBdr>
        <w:top w:val="none" w:sz="0" w:space="0" w:color="auto"/>
        <w:left w:val="none" w:sz="0" w:space="0" w:color="auto"/>
        <w:bottom w:val="none" w:sz="0" w:space="0" w:color="auto"/>
        <w:right w:val="none" w:sz="0" w:space="0" w:color="auto"/>
      </w:divBdr>
    </w:div>
    <w:div w:id="433550589">
      <w:bodyDiv w:val="1"/>
      <w:marLeft w:val="0"/>
      <w:marRight w:val="0"/>
      <w:marTop w:val="0"/>
      <w:marBottom w:val="0"/>
      <w:divBdr>
        <w:top w:val="none" w:sz="0" w:space="0" w:color="auto"/>
        <w:left w:val="none" w:sz="0" w:space="0" w:color="auto"/>
        <w:bottom w:val="none" w:sz="0" w:space="0" w:color="auto"/>
        <w:right w:val="none" w:sz="0" w:space="0" w:color="auto"/>
      </w:divBdr>
    </w:div>
    <w:div w:id="433598168">
      <w:bodyDiv w:val="1"/>
      <w:marLeft w:val="0"/>
      <w:marRight w:val="0"/>
      <w:marTop w:val="0"/>
      <w:marBottom w:val="0"/>
      <w:divBdr>
        <w:top w:val="none" w:sz="0" w:space="0" w:color="auto"/>
        <w:left w:val="none" w:sz="0" w:space="0" w:color="auto"/>
        <w:bottom w:val="none" w:sz="0" w:space="0" w:color="auto"/>
        <w:right w:val="none" w:sz="0" w:space="0" w:color="auto"/>
      </w:divBdr>
    </w:div>
    <w:div w:id="433599166">
      <w:bodyDiv w:val="1"/>
      <w:marLeft w:val="0"/>
      <w:marRight w:val="0"/>
      <w:marTop w:val="0"/>
      <w:marBottom w:val="0"/>
      <w:divBdr>
        <w:top w:val="none" w:sz="0" w:space="0" w:color="auto"/>
        <w:left w:val="none" w:sz="0" w:space="0" w:color="auto"/>
        <w:bottom w:val="none" w:sz="0" w:space="0" w:color="auto"/>
        <w:right w:val="none" w:sz="0" w:space="0" w:color="auto"/>
      </w:divBdr>
    </w:div>
    <w:div w:id="433788835">
      <w:bodyDiv w:val="1"/>
      <w:marLeft w:val="0"/>
      <w:marRight w:val="0"/>
      <w:marTop w:val="0"/>
      <w:marBottom w:val="0"/>
      <w:divBdr>
        <w:top w:val="none" w:sz="0" w:space="0" w:color="auto"/>
        <w:left w:val="none" w:sz="0" w:space="0" w:color="auto"/>
        <w:bottom w:val="none" w:sz="0" w:space="0" w:color="auto"/>
        <w:right w:val="none" w:sz="0" w:space="0" w:color="auto"/>
      </w:divBdr>
    </w:div>
    <w:div w:id="433944869">
      <w:bodyDiv w:val="1"/>
      <w:marLeft w:val="0"/>
      <w:marRight w:val="0"/>
      <w:marTop w:val="0"/>
      <w:marBottom w:val="0"/>
      <w:divBdr>
        <w:top w:val="none" w:sz="0" w:space="0" w:color="auto"/>
        <w:left w:val="none" w:sz="0" w:space="0" w:color="auto"/>
        <w:bottom w:val="none" w:sz="0" w:space="0" w:color="auto"/>
        <w:right w:val="none" w:sz="0" w:space="0" w:color="auto"/>
      </w:divBdr>
    </w:div>
    <w:div w:id="433980254">
      <w:bodyDiv w:val="1"/>
      <w:marLeft w:val="0"/>
      <w:marRight w:val="0"/>
      <w:marTop w:val="0"/>
      <w:marBottom w:val="0"/>
      <w:divBdr>
        <w:top w:val="none" w:sz="0" w:space="0" w:color="auto"/>
        <w:left w:val="none" w:sz="0" w:space="0" w:color="auto"/>
        <w:bottom w:val="none" w:sz="0" w:space="0" w:color="auto"/>
        <w:right w:val="none" w:sz="0" w:space="0" w:color="auto"/>
      </w:divBdr>
    </w:div>
    <w:div w:id="434179437">
      <w:bodyDiv w:val="1"/>
      <w:marLeft w:val="0"/>
      <w:marRight w:val="0"/>
      <w:marTop w:val="0"/>
      <w:marBottom w:val="0"/>
      <w:divBdr>
        <w:top w:val="none" w:sz="0" w:space="0" w:color="auto"/>
        <w:left w:val="none" w:sz="0" w:space="0" w:color="auto"/>
        <w:bottom w:val="none" w:sz="0" w:space="0" w:color="auto"/>
        <w:right w:val="none" w:sz="0" w:space="0" w:color="auto"/>
      </w:divBdr>
    </w:div>
    <w:div w:id="434208360">
      <w:bodyDiv w:val="1"/>
      <w:marLeft w:val="0"/>
      <w:marRight w:val="0"/>
      <w:marTop w:val="0"/>
      <w:marBottom w:val="0"/>
      <w:divBdr>
        <w:top w:val="none" w:sz="0" w:space="0" w:color="auto"/>
        <w:left w:val="none" w:sz="0" w:space="0" w:color="auto"/>
        <w:bottom w:val="none" w:sz="0" w:space="0" w:color="auto"/>
        <w:right w:val="none" w:sz="0" w:space="0" w:color="auto"/>
      </w:divBdr>
    </w:div>
    <w:div w:id="434247797">
      <w:bodyDiv w:val="1"/>
      <w:marLeft w:val="0"/>
      <w:marRight w:val="0"/>
      <w:marTop w:val="0"/>
      <w:marBottom w:val="0"/>
      <w:divBdr>
        <w:top w:val="none" w:sz="0" w:space="0" w:color="auto"/>
        <w:left w:val="none" w:sz="0" w:space="0" w:color="auto"/>
        <w:bottom w:val="none" w:sz="0" w:space="0" w:color="auto"/>
        <w:right w:val="none" w:sz="0" w:space="0" w:color="auto"/>
      </w:divBdr>
    </w:div>
    <w:div w:id="434250295">
      <w:bodyDiv w:val="1"/>
      <w:marLeft w:val="0"/>
      <w:marRight w:val="0"/>
      <w:marTop w:val="0"/>
      <w:marBottom w:val="0"/>
      <w:divBdr>
        <w:top w:val="none" w:sz="0" w:space="0" w:color="auto"/>
        <w:left w:val="none" w:sz="0" w:space="0" w:color="auto"/>
        <w:bottom w:val="none" w:sz="0" w:space="0" w:color="auto"/>
        <w:right w:val="none" w:sz="0" w:space="0" w:color="auto"/>
      </w:divBdr>
    </w:div>
    <w:div w:id="434402201">
      <w:bodyDiv w:val="1"/>
      <w:marLeft w:val="0"/>
      <w:marRight w:val="0"/>
      <w:marTop w:val="0"/>
      <w:marBottom w:val="0"/>
      <w:divBdr>
        <w:top w:val="none" w:sz="0" w:space="0" w:color="auto"/>
        <w:left w:val="none" w:sz="0" w:space="0" w:color="auto"/>
        <w:bottom w:val="none" w:sz="0" w:space="0" w:color="auto"/>
        <w:right w:val="none" w:sz="0" w:space="0" w:color="auto"/>
      </w:divBdr>
    </w:div>
    <w:div w:id="434402968">
      <w:bodyDiv w:val="1"/>
      <w:marLeft w:val="0"/>
      <w:marRight w:val="0"/>
      <w:marTop w:val="0"/>
      <w:marBottom w:val="0"/>
      <w:divBdr>
        <w:top w:val="none" w:sz="0" w:space="0" w:color="auto"/>
        <w:left w:val="none" w:sz="0" w:space="0" w:color="auto"/>
        <w:bottom w:val="none" w:sz="0" w:space="0" w:color="auto"/>
        <w:right w:val="none" w:sz="0" w:space="0" w:color="auto"/>
      </w:divBdr>
    </w:div>
    <w:div w:id="434442137">
      <w:bodyDiv w:val="1"/>
      <w:marLeft w:val="0"/>
      <w:marRight w:val="0"/>
      <w:marTop w:val="0"/>
      <w:marBottom w:val="0"/>
      <w:divBdr>
        <w:top w:val="none" w:sz="0" w:space="0" w:color="auto"/>
        <w:left w:val="none" w:sz="0" w:space="0" w:color="auto"/>
        <w:bottom w:val="none" w:sz="0" w:space="0" w:color="auto"/>
        <w:right w:val="none" w:sz="0" w:space="0" w:color="auto"/>
      </w:divBdr>
    </w:div>
    <w:div w:id="434524209">
      <w:bodyDiv w:val="1"/>
      <w:marLeft w:val="0"/>
      <w:marRight w:val="0"/>
      <w:marTop w:val="0"/>
      <w:marBottom w:val="0"/>
      <w:divBdr>
        <w:top w:val="none" w:sz="0" w:space="0" w:color="auto"/>
        <w:left w:val="none" w:sz="0" w:space="0" w:color="auto"/>
        <w:bottom w:val="none" w:sz="0" w:space="0" w:color="auto"/>
        <w:right w:val="none" w:sz="0" w:space="0" w:color="auto"/>
      </w:divBdr>
    </w:div>
    <w:div w:id="434637689">
      <w:bodyDiv w:val="1"/>
      <w:marLeft w:val="0"/>
      <w:marRight w:val="0"/>
      <w:marTop w:val="0"/>
      <w:marBottom w:val="0"/>
      <w:divBdr>
        <w:top w:val="none" w:sz="0" w:space="0" w:color="auto"/>
        <w:left w:val="none" w:sz="0" w:space="0" w:color="auto"/>
        <w:bottom w:val="none" w:sz="0" w:space="0" w:color="auto"/>
        <w:right w:val="none" w:sz="0" w:space="0" w:color="auto"/>
      </w:divBdr>
    </w:div>
    <w:div w:id="434710887">
      <w:bodyDiv w:val="1"/>
      <w:marLeft w:val="0"/>
      <w:marRight w:val="0"/>
      <w:marTop w:val="0"/>
      <w:marBottom w:val="0"/>
      <w:divBdr>
        <w:top w:val="none" w:sz="0" w:space="0" w:color="auto"/>
        <w:left w:val="none" w:sz="0" w:space="0" w:color="auto"/>
        <w:bottom w:val="none" w:sz="0" w:space="0" w:color="auto"/>
        <w:right w:val="none" w:sz="0" w:space="0" w:color="auto"/>
      </w:divBdr>
    </w:div>
    <w:div w:id="434789832">
      <w:bodyDiv w:val="1"/>
      <w:marLeft w:val="0"/>
      <w:marRight w:val="0"/>
      <w:marTop w:val="0"/>
      <w:marBottom w:val="0"/>
      <w:divBdr>
        <w:top w:val="none" w:sz="0" w:space="0" w:color="auto"/>
        <w:left w:val="none" w:sz="0" w:space="0" w:color="auto"/>
        <w:bottom w:val="none" w:sz="0" w:space="0" w:color="auto"/>
        <w:right w:val="none" w:sz="0" w:space="0" w:color="auto"/>
      </w:divBdr>
    </w:div>
    <w:div w:id="434835664">
      <w:bodyDiv w:val="1"/>
      <w:marLeft w:val="0"/>
      <w:marRight w:val="0"/>
      <w:marTop w:val="0"/>
      <w:marBottom w:val="0"/>
      <w:divBdr>
        <w:top w:val="none" w:sz="0" w:space="0" w:color="auto"/>
        <w:left w:val="none" w:sz="0" w:space="0" w:color="auto"/>
        <w:bottom w:val="none" w:sz="0" w:space="0" w:color="auto"/>
        <w:right w:val="none" w:sz="0" w:space="0" w:color="auto"/>
      </w:divBdr>
    </w:div>
    <w:div w:id="434861798">
      <w:bodyDiv w:val="1"/>
      <w:marLeft w:val="0"/>
      <w:marRight w:val="0"/>
      <w:marTop w:val="0"/>
      <w:marBottom w:val="0"/>
      <w:divBdr>
        <w:top w:val="none" w:sz="0" w:space="0" w:color="auto"/>
        <w:left w:val="none" w:sz="0" w:space="0" w:color="auto"/>
        <w:bottom w:val="none" w:sz="0" w:space="0" w:color="auto"/>
        <w:right w:val="none" w:sz="0" w:space="0" w:color="auto"/>
      </w:divBdr>
    </w:div>
    <w:div w:id="434983701">
      <w:bodyDiv w:val="1"/>
      <w:marLeft w:val="0"/>
      <w:marRight w:val="0"/>
      <w:marTop w:val="0"/>
      <w:marBottom w:val="0"/>
      <w:divBdr>
        <w:top w:val="none" w:sz="0" w:space="0" w:color="auto"/>
        <w:left w:val="none" w:sz="0" w:space="0" w:color="auto"/>
        <w:bottom w:val="none" w:sz="0" w:space="0" w:color="auto"/>
        <w:right w:val="none" w:sz="0" w:space="0" w:color="auto"/>
      </w:divBdr>
    </w:div>
    <w:div w:id="435028960">
      <w:bodyDiv w:val="1"/>
      <w:marLeft w:val="0"/>
      <w:marRight w:val="0"/>
      <w:marTop w:val="0"/>
      <w:marBottom w:val="0"/>
      <w:divBdr>
        <w:top w:val="none" w:sz="0" w:space="0" w:color="auto"/>
        <w:left w:val="none" w:sz="0" w:space="0" w:color="auto"/>
        <w:bottom w:val="none" w:sz="0" w:space="0" w:color="auto"/>
        <w:right w:val="none" w:sz="0" w:space="0" w:color="auto"/>
      </w:divBdr>
    </w:div>
    <w:div w:id="435058179">
      <w:bodyDiv w:val="1"/>
      <w:marLeft w:val="0"/>
      <w:marRight w:val="0"/>
      <w:marTop w:val="0"/>
      <w:marBottom w:val="0"/>
      <w:divBdr>
        <w:top w:val="none" w:sz="0" w:space="0" w:color="auto"/>
        <w:left w:val="none" w:sz="0" w:space="0" w:color="auto"/>
        <w:bottom w:val="none" w:sz="0" w:space="0" w:color="auto"/>
        <w:right w:val="none" w:sz="0" w:space="0" w:color="auto"/>
      </w:divBdr>
    </w:div>
    <w:div w:id="435178080">
      <w:bodyDiv w:val="1"/>
      <w:marLeft w:val="0"/>
      <w:marRight w:val="0"/>
      <w:marTop w:val="0"/>
      <w:marBottom w:val="0"/>
      <w:divBdr>
        <w:top w:val="none" w:sz="0" w:space="0" w:color="auto"/>
        <w:left w:val="none" w:sz="0" w:space="0" w:color="auto"/>
        <w:bottom w:val="none" w:sz="0" w:space="0" w:color="auto"/>
        <w:right w:val="none" w:sz="0" w:space="0" w:color="auto"/>
      </w:divBdr>
    </w:div>
    <w:div w:id="435249211">
      <w:bodyDiv w:val="1"/>
      <w:marLeft w:val="0"/>
      <w:marRight w:val="0"/>
      <w:marTop w:val="0"/>
      <w:marBottom w:val="0"/>
      <w:divBdr>
        <w:top w:val="none" w:sz="0" w:space="0" w:color="auto"/>
        <w:left w:val="none" w:sz="0" w:space="0" w:color="auto"/>
        <w:bottom w:val="none" w:sz="0" w:space="0" w:color="auto"/>
        <w:right w:val="none" w:sz="0" w:space="0" w:color="auto"/>
      </w:divBdr>
    </w:div>
    <w:div w:id="435254679">
      <w:bodyDiv w:val="1"/>
      <w:marLeft w:val="0"/>
      <w:marRight w:val="0"/>
      <w:marTop w:val="0"/>
      <w:marBottom w:val="0"/>
      <w:divBdr>
        <w:top w:val="none" w:sz="0" w:space="0" w:color="auto"/>
        <w:left w:val="none" w:sz="0" w:space="0" w:color="auto"/>
        <w:bottom w:val="none" w:sz="0" w:space="0" w:color="auto"/>
        <w:right w:val="none" w:sz="0" w:space="0" w:color="auto"/>
      </w:divBdr>
    </w:div>
    <w:div w:id="435297566">
      <w:bodyDiv w:val="1"/>
      <w:marLeft w:val="0"/>
      <w:marRight w:val="0"/>
      <w:marTop w:val="0"/>
      <w:marBottom w:val="0"/>
      <w:divBdr>
        <w:top w:val="none" w:sz="0" w:space="0" w:color="auto"/>
        <w:left w:val="none" w:sz="0" w:space="0" w:color="auto"/>
        <w:bottom w:val="none" w:sz="0" w:space="0" w:color="auto"/>
        <w:right w:val="none" w:sz="0" w:space="0" w:color="auto"/>
      </w:divBdr>
    </w:div>
    <w:div w:id="435367322">
      <w:bodyDiv w:val="1"/>
      <w:marLeft w:val="0"/>
      <w:marRight w:val="0"/>
      <w:marTop w:val="0"/>
      <w:marBottom w:val="0"/>
      <w:divBdr>
        <w:top w:val="none" w:sz="0" w:space="0" w:color="auto"/>
        <w:left w:val="none" w:sz="0" w:space="0" w:color="auto"/>
        <w:bottom w:val="none" w:sz="0" w:space="0" w:color="auto"/>
        <w:right w:val="none" w:sz="0" w:space="0" w:color="auto"/>
      </w:divBdr>
    </w:div>
    <w:div w:id="435446736">
      <w:bodyDiv w:val="1"/>
      <w:marLeft w:val="0"/>
      <w:marRight w:val="0"/>
      <w:marTop w:val="0"/>
      <w:marBottom w:val="0"/>
      <w:divBdr>
        <w:top w:val="none" w:sz="0" w:space="0" w:color="auto"/>
        <w:left w:val="none" w:sz="0" w:space="0" w:color="auto"/>
        <w:bottom w:val="none" w:sz="0" w:space="0" w:color="auto"/>
        <w:right w:val="none" w:sz="0" w:space="0" w:color="auto"/>
      </w:divBdr>
    </w:div>
    <w:div w:id="435446974">
      <w:bodyDiv w:val="1"/>
      <w:marLeft w:val="0"/>
      <w:marRight w:val="0"/>
      <w:marTop w:val="0"/>
      <w:marBottom w:val="0"/>
      <w:divBdr>
        <w:top w:val="none" w:sz="0" w:space="0" w:color="auto"/>
        <w:left w:val="none" w:sz="0" w:space="0" w:color="auto"/>
        <w:bottom w:val="none" w:sz="0" w:space="0" w:color="auto"/>
        <w:right w:val="none" w:sz="0" w:space="0" w:color="auto"/>
      </w:divBdr>
    </w:div>
    <w:div w:id="435447768">
      <w:bodyDiv w:val="1"/>
      <w:marLeft w:val="0"/>
      <w:marRight w:val="0"/>
      <w:marTop w:val="0"/>
      <w:marBottom w:val="0"/>
      <w:divBdr>
        <w:top w:val="none" w:sz="0" w:space="0" w:color="auto"/>
        <w:left w:val="none" w:sz="0" w:space="0" w:color="auto"/>
        <w:bottom w:val="none" w:sz="0" w:space="0" w:color="auto"/>
        <w:right w:val="none" w:sz="0" w:space="0" w:color="auto"/>
      </w:divBdr>
    </w:div>
    <w:div w:id="435490997">
      <w:bodyDiv w:val="1"/>
      <w:marLeft w:val="0"/>
      <w:marRight w:val="0"/>
      <w:marTop w:val="0"/>
      <w:marBottom w:val="0"/>
      <w:divBdr>
        <w:top w:val="none" w:sz="0" w:space="0" w:color="auto"/>
        <w:left w:val="none" w:sz="0" w:space="0" w:color="auto"/>
        <w:bottom w:val="none" w:sz="0" w:space="0" w:color="auto"/>
        <w:right w:val="none" w:sz="0" w:space="0" w:color="auto"/>
      </w:divBdr>
    </w:div>
    <w:div w:id="435561955">
      <w:bodyDiv w:val="1"/>
      <w:marLeft w:val="0"/>
      <w:marRight w:val="0"/>
      <w:marTop w:val="0"/>
      <w:marBottom w:val="0"/>
      <w:divBdr>
        <w:top w:val="none" w:sz="0" w:space="0" w:color="auto"/>
        <w:left w:val="none" w:sz="0" w:space="0" w:color="auto"/>
        <w:bottom w:val="none" w:sz="0" w:space="0" w:color="auto"/>
        <w:right w:val="none" w:sz="0" w:space="0" w:color="auto"/>
      </w:divBdr>
    </w:div>
    <w:div w:id="435563989">
      <w:bodyDiv w:val="1"/>
      <w:marLeft w:val="0"/>
      <w:marRight w:val="0"/>
      <w:marTop w:val="0"/>
      <w:marBottom w:val="0"/>
      <w:divBdr>
        <w:top w:val="none" w:sz="0" w:space="0" w:color="auto"/>
        <w:left w:val="none" w:sz="0" w:space="0" w:color="auto"/>
        <w:bottom w:val="none" w:sz="0" w:space="0" w:color="auto"/>
        <w:right w:val="none" w:sz="0" w:space="0" w:color="auto"/>
      </w:divBdr>
    </w:div>
    <w:div w:id="435564867">
      <w:bodyDiv w:val="1"/>
      <w:marLeft w:val="0"/>
      <w:marRight w:val="0"/>
      <w:marTop w:val="0"/>
      <w:marBottom w:val="0"/>
      <w:divBdr>
        <w:top w:val="none" w:sz="0" w:space="0" w:color="auto"/>
        <w:left w:val="none" w:sz="0" w:space="0" w:color="auto"/>
        <w:bottom w:val="none" w:sz="0" w:space="0" w:color="auto"/>
        <w:right w:val="none" w:sz="0" w:space="0" w:color="auto"/>
      </w:divBdr>
    </w:div>
    <w:div w:id="435634383">
      <w:bodyDiv w:val="1"/>
      <w:marLeft w:val="0"/>
      <w:marRight w:val="0"/>
      <w:marTop w:val="0"/>
      <w:marBottom w:val="0"/>
      <w:divBdr>
        <w:top w:val="none" w:sz="0" w:space="0" w:color="auto"/>
        <w:left w:val="none" w:sz="0" w:space="0" w:color="auto"/>
        <w:bottom w:val="none" w:sz="0" w:space="0" w:color="auto"/>
        <w:right w:val="none" w:sz="0" w:space="0" w:color="auto"/>
      </w:divBdr>
    </w:div>
    <w:div w:id="435636205">
      <w:bodyDiv w:val="1"/>
      <w:marLeft w:val="0"/>
      <w:marRight w:val="0"/>
      <w:marTop w:val="0"/>
      <w:marBottom w:val="0"/>
      <w:divBdr>
        <w:top w:val="none" w:sz="0" w:space="0" w:color="auto"/>
        <w:left w:val="none" w:sz="0" w:space="0" w:color="auto"/>
        <w:bottom w:val="none" w:sz="0" w:space="0" w:color="auto"/>
        <w:right w:val="none" w:sz="0" w:space="0" w:color="auto"/>
      </w:divBdr>
    </w:div>
    <w:div w:id="435758142">
      <w:bodyDiv w:val="1"/>
      <w:marLeft w:val="0"/>
      <w:marRight w:val="0"/>
      <w:marTop w:val="0"/>
      <w:marBottom w:val="0"/>
      <w:divBdr>
        <w:top w:val="none" w:sz="0" w:space="0" w:color="auto"/>
        <w:left w:val="none" w:sz="0" w:space="0" w:color="auto"/>
        <w:bottom w:val="none" w:sz="0" w:space="0" w:color="auto"/>
        <w:right w:val="none" w:sz="0" w:space="0" w:color="auto"/>
      </w:divBdr>
    </w:div>
    <w:div w:id="435760052">
      <w:bodyDiv w:val="1"/>
      <w:marLeft w:val="0"/>
      <w:marRight w:val="0"/>
      <w:marTop w:val="0"/>
      <w:marBottom w:val="0"/>
      <w:divBdr>
        <w:top w:val="none" w:sz="0" w:space="0" w:color="auto"/>
        <w:left w:val="none" w:sz="0" w:space="0" w:color="auto"/>
        <w:bottom w:val="none" w:sz="0" w:space="0" w:color="auto"/>
        <w:right w:val="none" w:sz="0" w:space="0" w:color="auto"/>
      </w:divBdr>
    </w:div>
    <w:div w:id="435836080">
      <w:bodyDiv w:val="1"/>
      <w:marLeft w:val="0"/>
      <w:marRight w:val="0"/>
      <w:marTop w:val="0"/>
      <w:marBottom w:val="0"/>
      <w:divBdr>
        <w:top w:val="none" w:sz="0" w:space="0" w:color="auto"/>
        <w:left w:val="none" w:sz="0" w:space="0" w:color="auto"/>
        <w:bottom w:val="none" w:sz="0" w:space="0" w:color="auto"/>
        <w:right w:val="none" w:sz="0" w:space="0" w:color="auto"/>
      </w:divBdr>
    </w:div>
    <w:div w:id="435949453">
      <w:bodyDiv w:val="1"/>
      <w:marLeft w:val="0"/>
      <w:marRight w:val="0"/>
      <w:marTop w:val="0"/>
      <w:marBottom w:val="0"/>
      <w:divBdr>
        <w:top w:val="none" w:sz="0" w:space="0" w:color="auto"/>
        <w:left w:val="none" w:sz="0" w:space="0" w:color="auto"/>
        <w:bottom w:val="none" w:sz="0" w:space="0" w:color="auto"/>
        <w:right w:val="none" w:sz="0" w:space="0" w:color="auto"/>
      </w:divBdr>
    </w:div>
    <w:div w:id="435953670">
      <w:bodyDiv w:val="1"/>
      <w:marLeft w:val="0"/>
      <w:marRight w:val="0"/>
      <w:marTop w:val="0"/>
      <w:marBottom w:val="0"/>
      <w:divBdr>
        <w:top w:val="none" w:sz="0" w:space="0" w:color="auto"/>
        <w:left w:val="none" w:sz="0" w:space="0" w:color="auto"/>
        <w:bottom w:val="none" w:sz="0" w:space="0" w:color="auto"/>
        <w:right w:val="none" w:sz="0" w:space="0" w:color="auto"/>
      </w:divBdr>
    </w:div>
    <w:div w:id="436095843">
      <w:bodyDiv w:val="1"/>
      <w:marLeft w:val="0"/>
      <w:marRight w:val="0"/>
      <w:marTop w:val="0"/>
      <w:marBottom w:val="0"/>
      <w:divBdr>
        <w:top w:val="none" w:sz="0" w:space="0" w:color="auto"/>
        <w:left w:val="none" w:sz="0" w:space="0" w:color="auto"/>
        <w:bottom w:val="none" w:sz="0" w:space="0" w:color="auto"/>
        <w:right w:val="none" w:sz="0" w:space="0" w:color="auto"/>
      </w:divBdr>
    </w:div>
    <w:div w:id="436171625">
      <w:bodyDiv w:val="1"/>
      <w:marLeft w:val="0"/>
      <w:marRight w:val="0"/>
      <w:marTop w:val="0"/>
      <w:marBottom w:val="0"/>
      <w:divBdr>
        <w:top w:val="none" w:sz="0" w:space="0" w:color="auto"/>
        <w:left w:val="none" w:sz="0" w:space="0" w:color="auto"/>
        <w:bottom w:val="none" w:sz="0" w:space="0" w:color="auto"/>
        <w:right w:val="none" w:sz="0" w:space="0" w:color="auto"/>
      </w:divBdr>
    </w:div>
    <w:div w:id="436222286">
      <w:bodyDiv w:val="1"/>
      <w:marLeft w:val="0"/>
      <w:marRight w:val="0"/>
      <w:marTop w:val="0"/>
      <w:marBottom w:val="0"/>
      <w:divBdr>
        <w:top w:val="none" w:sz="0" w:space="0" w:color="auto"/>
        <w:left w:val="none" w:sz="0" w:space="0" w:color="auto"/>
        <w:bottom w:val="none" w:sz="0" w:space="0" w:color="auto"/>
        <w:right w:val="none" w:sz="0" w:space="0" w:color="auto"/>
      </w:divBdr>
    </w:div>
    <w:div w:id="436367948">
      <w:bodyDiv w:val="1"/>
      <w:marLeft w:val="0"/>
      <w:marRight w:val="0"/>
      <w:marTop w:val="0"/>
      <w:marBottom w:val="0"/>
      <w:divBdr>
        <w:top w:val="none" w:sz="0" w:space="0" w:color="auto"/>
        <w:left w:val="none" w:sz="0" w:space="0" w:color="auto"/>
        <w:bottom w:val="none" w:sz="0" w:space="0" w:color="auto"/>
        <w:right w:val="none" w:sz="0" w:space="0" w:color="auto"/>
      </w:divBdr>
    </w:div>
    <w:div w:id="436607494">
      <w:bodyDiv w:val="1"/>
      <w:marLeft w:val="0"/>
      <w:marRight w:val="0"/>
      <w:marTop w:val="0"/>
      <w:marBottom w:val="0"/>
      <w:divBdr>
        <w:top w:val="none" w:sz="0" w:space="0" w:color="auto"/>
        <w:left w:val="none" w:sz="0" w:space="0" w:color="auto"/>
        <w:bottom w:val="none" w:sz="0" w:space="0" w:color="auto"/>
        <w:right w:val="none" w:sz="0" w:space="0" w:color="auto"/>
      </w:divBdr>
    </w:div>
    <w:div w:id="436679495">
      <w:bodyDiv w:val="1"/>
      <w:marLeft w:val="0"/>
      <w:marRight w:val="0"/>
      <w:marTop w:val="0"/>
      <w:marBottom w:val="0"/>
      <w:divBdr>
        <w:top w:val="none" w:sz="0" w:space="0" w:color="auto"/>
        <w:left w:val="none" w:sz="0" w:space="0" w:color="auto"/>
        <w:bottom w:val="none" w:sz="0" w:space="0" w:color="auto"/>
        <w:right w:val="none" w:sz="0" w:space="0" w:color="auto"/>
      </w:divBdr>
    </w:div>
    <w:div w:id="436800679">
      <w:bodyDiv w:val="1"/>
      <w:marLeft w:val="0"/>
      <w:marRight w:val="0"/>
      <w:marTop w:val="0"/>
      <w:marBottom w:val="0"/>
      <w:divBdr>
        <w:top w:val="none" w:sz="0" w:space="0" w:color="auto"/>
        <w:left w:val="none" w:sz="0" w:space="0" w:color="auto"/>
        <w:bottom w:val="none" w:sz="0" w:space="0" w:color="auto"/>
        <w:right w:val="none" w:sz="0" w:space="0" w:color="auto"/>
      </w:divBdr>
    </w:div>
    <w:div w:id="436873669">
      <w:bodyDiv w:val="1"/>
      <w:marLeft w:val="0"/>
      <w:marRight w:val="0"/>
      <w:marTop w:val="0"/>
      <w:marBottom w:val="0"/>
      <w:divBdr>
        <w:top w:val="none" w:sz="0" w:space="0" w:color="auto"/>
        <w:left w:val="none" w:sz="0" w:space="0" w:color="auto"/>
        <w:bottom w:val="none" w:sz="0" w:space="0" w:color="auto"/>
        <w:right w:val="none" w:sz="0" w:space="0" w:color="auto"/>
      </w:divBdr>
    </w:div>
    <w:div w:id="437020271">
      <w:bodyDiv w:val="1"/>
      <w:marLeft w:val="0"/>
      <w:marRight w:val="0"/>
      <w:marTop w:val="0"/>
      <w:marBottom w:val="0"/>
      <w:divBdr>
        <w:top w:val="none" w:sz="0" w:space="0" w:color="auto"/>
        <w:left w:val="none" w:sz="0" w:space="0" w:color="auto"/>
        <w:bottom w:val="none" w:sz="0" w:space="0" w:color="auto"/>
        <w:right w:val="none" w:sz="0" w:space="0" w:color="auto"/>
      </w:divBdr>
    </w:div>
    <w:div w:id="437219553">
      <w:bodyDiv w:val="1"/>
      <w:marLeft w:val="0"/>
      <w:marRight w:val="0"/>
      <w:marTop w:val="0"/>
      <w:marBottom w:val="0"/>
      <w:divBdr>
        <w:top w:val="none" w:sz="0" w:space="0" w:color="auto"/>
        <w:left w:val="none" w:sz="0" w:space="0" w:color="auto"/>
        <w:bottom w:val="none" w:sz="0" w:space="0" w:color="auto"/>
        <w:right w:val="none" w:sz="0" w:space="0" w:color="auto"/>
      </w:divBdr>
    </w:div>
    <w:div w:id="437262083">
      <w:bodyDiv w:val="1"/>
      <w:marLeft w:val="0"/>
      <w:marRight w:val="0"/>
      <w:marTop w:val="0"/>
      <w:marBottom w:val="0"/>
      <w:divBdr>
        <w:top w:val="none" w:sz="0" w:space="0" w:color="auto"/>
        <w:left w:val="none" w:sz="0" w:space="0" w:color="auto"/>
        <w:bottom w:val="none" w:sz="0" w:space="0" w:color="auto"/>
        <w:right w:val="none" w:sz="0" w:space="0" w:color="auto"/>
      </w:divBdr>
    </w:div>
    <w:div w:id="437262628">
      <w:bodyDiv w:val="1"/>
      <w:marLeft w:val="0"/>
      <w:marRight w:val="0"/>
      <w:marTop w:val="0"/>
      <w:marBottom w:val="0"/>
      <w:divBdr>
        <w:top w:val="none" w:sz="0" w:space="0" w:color="auto"/>
        <w:left w:val="none" w:sz="0" w:space="0" w:color="auto"/>
        <w:bottom w:val="none" w:sz="0" w:space="0" w:color="auto"/>
        <w:right w:val="none" w:sz="0" w:space="0" w:color="auto"/>
      </w:divBdr>
    </w:div>
    <w:div w:id="437330396">
      <w:bodyDiv w:val="1"/>
      <w:marLeft w:val="0"/>
      <w:marRight w:val="0"/>
      <w:marTop w:val="0"/>
      <w:marBottom w:val="0"/>
      <w:divBdr>
        <w:top w:val="none" w:sz="0" w:space="0" w:color="auto"/>
        <w:left w:val="none" w:sz="0" w:space="0" w:color="auto"/>
        <w:bottom w:val="none" w:sz="0" w:space="0" w:color="auto"/>
        <w:right w:val="none" w:sz="0" w:space="0" w:color="auto"/>
      </w:divBdr>
    </w:div>
    <w:div w:id="437408376">
      <w:bodyDiv w:val="1"/>
      <w:marLeft w:val="0"/>
      <w:marRight w:val="0"/>
      <w:marTop w:val="0"/>
      <w:marBottom w:val="0"/>
      <w:divBdr>
        <w:top w:val="none" w:sz="0" w:space="0" w:color="auto"/>
        <w:left w:val="none" w:sz="0" w:space="0" w:color="auto"/>
        <w:bottom w:val="none" w:sz="0" w:space="0" w:color="auto"/>
        <w:right w:val="none" w:sz="0" w:space="0" w:color="auto"/>
      </w:divBdr>
    </w:div>
    <w:div w:id="437457245">
      <w:bodyDiv w:val="1"/>
      <w:marLeft w:val="0"/>
      <w:marRight w:val="0"/>
      <w:marTop w:val="0"/>
      <w:marBottom w:val="0"/>
      <w:divBdr>
        <w:top w:val="none" w:sz="0" w:space="0" w:color="auto"/>
        <w:left w:val="none" w:sz="0" w:space="0" w:color="auto"/>
        <w:bottom w:val="none" w:sz="0" w:space="0" w:color="auto"/>
        <w:right w:val="none" w:sz="0" w:space="0" w:color="auto"/>
      </w:divBdr>
    </w:div>
    <w:div w:id="437485489">
      <w:bodyDiv w:val="1"/>
      <w:marLeft w:val="0"/>
      <w:marRight w:val="0"/>
      <w:marTop w:val="0"/>
      <w:marBottom w:val="0"/>
      <w:divBdr>
        <w:top w:val="none" w:sz="0" w:space="0" w:color="auto"/>
        <w:left w:val="none" w:sz="0" w:space="0" w:color="auto"/>
        <w:bottom w:val="none" w:sz="0" w:space="0" w:color="auto"/>
        <w:right w:val="none" w:sz="0" w:space="0" w:color="auto"/>
      </w:divBdr>
    </w:div>
    <w:div w:id="437606811">
      <w:bodyDiv w:val="1"/>
      <w:marLeft w:val="0"/>
      <w:marRight w:val="0"/>
      <w:marTop w:val="0"/>
      <w:marBottom w:val="0"/>
      <w:divBdr>
        <w:top w:val="none" w:sz="0" w:space="0" w:color="auto"/>
        <w:left w:val="none" w:sz="0" w:space="0" w:color="auto"/>
        <w:bottom w:val="none" w:sz="0" w:space="0" w:color="auto"/>
        <w:right w:val="none" w:sz="0" w:space="0" w:color="auto"/>
      </w:divBdr>
    </w:div>
    <w:div w:id="437722230">
      <w:bodyDiv w:val="1"/>
      <w:marLeft w:val="0"/>
      <w:marRight w:val="0"/>
      <w:marTop w:val="0"/>
      <w:marBottom w:val="0"/>
      <w:divBdr>
        <w:top w:val="none" w:sz="0" w:space="0" w:color="auto"/>
        <w:left w:val="none" w:sz="0" w:space="0" w:color="auto"/>
        <w:bottom w:val="none" w:sz="0" w:space="0" w:color="auto"/>
        <w:right w:val="none" w:sz="0" w:space="0" w:color="auto"/>
      </w:divBdr>
    </w:div>
    <w:div w:id="437868198">
      <w:bodyDiv w:val="1"/>
      <w:marLeft w:val="0"/>
      <w:marRight w:val="0"/>
      <w:marTop w:val="0"/>
      <w:marBottom w:val="0"/>
      <w:divBdr>
        <w:top w:val="none" w:sz="0" w:space="0" w:color="auto"/>
        <w:left w:val="none" w:sz="0" w:space="0" w:color="auto"/>
        <w:bottom w:val="none" w:sz="0" w:space="0" w:color="auto"/>
        <w:right w:val="none" w:sz="0" w:space="0" w:color="auto"/>
      </w:divBdr>
    </w:div>
    <w:div w:id="437915207">
      <w:bodyDiv w:val="1"/>
      <w:marLeft w:val="0"/>
      <w:marRight w:val="0"/>
      <w:marTop w:val="0"/>
      <w:marBottom w:val="0"/>
      <w:divBdr>
        <w:top w:val="none" w:sz="0" w:space="0" w:color="auto"/>
        <w:left w:val="none" w:sz="0" w:space="0" w:color="auto"/>
        <w:bottom w:val="none" w:sz="0" w:space="0" w:color="auto"/>
        <w:right w:val="none" w:sz="0" w:space="0" w:color="auto"/>
      </w:divBdr>
    </w:div>
    <w:div w:id="437987997">
      <w:bodyDiv w:val="1"/>
      <w:marLeft w:val="0"/>
      <w:marRight w:val="0"/>
      <w:marTop w:val="0"/>
      <w:marBottom w:val="0"/>
      <w:divBdr>
        <w:top w:val="none" w:sz="0" w:space="0" w:color="auto"/>
        <w:left w:val="none" w:sz="0" w:space="0" w:color="auto"/>
        <w:bottom w:val="none" w:sz="0" w:space="0" w:color="auto"/>
        <w:right w:val="none" w:sz="0" w:space="0" w:color="auto"/>
      </w:divBdr>
    </w:div>
    <w:div w:id="437988124">
      <w:bodyDiv w:val="1"/>
      <w:marLeft w:val="0"/>
      <w:marRight w:val="0"/>
      <w:marTop w:val="0"/>
      <w:marBottom w:val="0"/>
      <w:divBdr>
        <w:top w:val="none" w:sz="0" w:space="0" w:color="auto"/>
        <w:left w:val="none" w:sz="0" w:space="0" w:color="auto"/>
        <w:bottom w:val="none" w:sz="0" w:space="0" w:color="auto"/>
        <w:right w:val="none" w:sz="0" w:space="0" w:color="auto"/>
      </w:divBdr>
    </w:div>
    <w:div w:id="437989482">
      <w:bodyDiv w:val="1"/>
      <w:marLeft w:val="0"/>
      <w:marRight w:val="0"/>
      <w:marTop w:val="0"/>
      <w:marBottom w:val="0"/>
      <w:divBdr>
        <w:top w:val="none" w:sz="0" w:space="0" w:color="auto"/>
        <w:left w:val="none" w:sz="0" w:space="0" w:color="auto"/>
        <w:bottom w:val="none" w:sz="0" w:space="0" w:color="auto"/>
        <w:right w:val="none" w:sz="0" w:space="0" w:color="auto"/>
      </w:divBdr>
    </w:div>
    <w:div w:id="437990235">
      <w:bodyDiv w:val="1"/>
      <w:marLeft w:val="0"/>
      <w:marRight w:val="0"/>
      <w:marTop w:val="0"/>
      <w:marBottom w:val="0"/>
      <w:divBdr>
        <w:top w:val="none" w:sz="0" w:space="0" w:color="auto"/>
        <w:left w:val="none" w:sz="0" w:space="0" w:color="auto"/>
        <w:bottom w:val="none" w:sz="0" w:space="0" w:color="auto"/>
        <w:right w:val="none" w:sz="0" w:space="0" w:color="auto"/>
      </w:divBdr>
    </w:div>
    <w:div w:id="438065411">
      <w:bodyDiv w:val="1"/>
      <w:marLeft w:val="0"/>
      <w:marRight w:val="0"/>
      <w:marTop w:val="0"/>
      <w:marBottom w:val="0"/>
      <w:divBdr>
        <w:top w:val="none" w:sz="0" w:space="0" w:color="auto"/>
        <w:left w:val="none" w:sz="0" w:space="0" w:color="auto"/>
        <w:bottom w:val="none" w:sz="0" w:space="0" w:color="auto"/>
        <w:right w:val="none" w:sz="0" w:space="0" w:color="auto"/>
      </w:divBdr>
    </w:div>
    <w:div w:id="438065640">
      <w:bodyDiv w:val="1"/>
      <w:marLeft w:val="0"/>
      <w:marRight w:val="0"/>
      <w:marTop w:val="0"/>
      <w:marBottom w:val="0"/>
      <w:divBdr>
        <w:top w:val="none" w:sz="0" w:space="0" w:color="auto"/>
        <w:left w:val="none" w:sz="0" w:space="0" w:color="auto"/>
        <w:bottom w:val="none" w:sz="0" w:space="0" w:color="auto"/>
        <w:right w:val="none" w:sz="0" w:space="0" w:color="auto"/>
      </w:divBdr>
    </w:div>
    <w:div w:id="438136424">
      <w:bodyDiv w:val="1"/>
      <w:marLeft w:val="0"/>
      <w:marRight w:val="0"/>
      <w:marTop w:val="0"/>
      <w:marBottom w:val="0"/>
      <w:divBdr>
        <w:top w:val="none" w:sz="0" w:space="0" w:color="auto"/>
        <w:left w:val="none" w:sz="0" w:space="0" w:color="auto"/>
        <w:bottom w:val="none" w:sz="0" w:space="0" w:color="auto"/>
        <w:right w:val="none" w:sz="0" w:space="0" w:color="auto"/>
      </w:divBdr>
    </w:div>
    <w:div w:id="438185700">
      <w:bodyDiv w:val="1"/>
      <w:marLeft w:val="0"/>
      <w:marRight w:val="0"/>
      <w:marTop w:val="0"/>
      <w:marBottom w:val="0"/>
      <w:divBdr>
        <w:top w:val="none" w:sz="0" w:space="0" w:color="auto"/>
        <w:left w:val="none" w:sz="0" w:space="0" w:color="auto"/>
        <w:bottom w:val="none" w:sz="0" w:space="0" w:color="auto"/>
        <w:right w:val="none" w:sz="0" w:space="0" w:color="auto"/>
      </w:divBdr>
    </w:div>
    <w:div w:id="438260455">
      <w:bodyDiv w:val="1"/>
      <w:marLeft w:val="0"/>
      <w:marRight w:val="0"/>
      <w:marTop w:val="0"/>
      <w:marBottom w:val="0"/>
      <w:divBdr>
        <w:top w:val="none" w:sz="0" w:space="0" w:color="auto"/>
        <w:left w:val="none" w:sz="0" w:space="0" w:color="auto"/>
        <w:bottom w:val="none" w:sz="0" w:space="0" w:color="auto"/>
        <w:right w:val="none" w:sz="0" w:space="0" w:color="auto"/>
      </w:divBdr>
    </w:div>
    <w:div w:id="438304856">
      <w:bodyDiv w:val="1"/>
      <w:marLeft w:val="0"/>
      <w:marRight w:val="0"/>
      <w:marTop w:val="0"/>
      <w:marBottom w:val="0"/>
      <w:divBdr>
        <w:top w:val="none" w:sz="0" w:space="0" w:color="auto"/>
        <w:left w:val="none" w:sz="0" w:space="0" w:color="auto"/>
        <w:bottom w:val="none" w:sz="0" w:space="0" w:color="auto"/>
        <w:right w:val="none" w:sz="0" w:space="0" w:color="auto"/>
      </w:divBdr>
    </w:div>
    <w:div w:id="438329788">
      <w:bodyDiv w:val="1"/>
      <w:marLeft w:val="0"/>
      <w:marRight w:val="0"/>
      <w:marTop w:val="0"/>
      <w:marBottom w:val="0"/>
      <w:divBdr>
        <w:top w:val="none" w:sz="0" w:space="0" w:color="auto"/>
        <w:left w:val="none" w:sz="0" w:space="0" w:color="auto"/>
        <w:bottom w:val="none" w:sz="0" w:space="0" w:color="auto"/>
        <w:right w:val="none" w:sz="0" w:space="0" w:color="auto"/>
      </w:divBdr>
    </w:div>
    <w:div w:id="438332399">
      <w:bodyDiv w:val="1"/>
      <w:marLeft w:val="0"/>
      <w:marRight w:val="0"/>
      <w:marTop w:val="0"/>
      <w:marBottom w:val="0"/>
      <w:divBdr>
        <w:top w:val="none" w:sz="0" w:space="0" w:color="auto"/>
        <w:left w:val="none" w:sz="0" w:space="0" w:color="auto"/>
        <w:bottom w:val="none" w:sz="0" w:space="0" w:color="auto"/>
        <w:right w:val="none" w:sz="0" w:space="0" w:color="auto"/>
      </w:divBdr>
    </w:div>
    <w:div w:id="438375309">
      <w:bodyDiv w:val="1"/>
      <w:marLeft w:val="0"/>
      <w:marRight w:val="0"/>
      <w:marTop w:val="0"/>
      <w:marBottom w:val="0"/>
      <w:divBdr>
        <w:top w:val="none" w:sz="0" w:space="0" w:color="auto"/>
        <w:left w:val="none" w:sz="0" w:space="0" w:color="auto"/>
        <w:bottom w:val="none" w:sz="0" w:space="0" w:color="auto"/>
        <w:right w:val="none" w:sz="0" w:space="0" w:color="auto"/>
      </w:divBdr>
    </w:div>
    <w:div w:id="438448894">
      <w:bodyDiv w:val="1"/>
      <w:marLeft w:val="0"/>
      <w:marRight w:val="0"/>
      <w:marTop w:val="0"/>
      <w:marBottom w:val="0"/>
      <w:divBdr>
        <w:top w:val="none" w:sz="0" w:space="0" w:color="auto"/>
        <w:left w:val="none" w:sz="0" w:space="0" w:color="auto"/>
        <w:bottom w:val="none" w:sz="0" w:space="0" w:color="auto"/>
        <w:right w:val="none" w:sz="0" w:space="0" w:color="auto"/>
      </w:divBdr>
    </w:div>
    <w:div w:id="438454693">
      <w:bodyDiv w:val="1"/>
      <w:marLeft w:val="0"/>
      <w:marRight w:val="0"/>
      <w:marTop w:val="0"/>
      <w:marBottom w:val="0"/>
      <w:divBdr>
        <w:top w:val="none" w:sz="0" w:space="0" w:color="auto"/>
        <w:left w:val="none" w:sz="0" w:space="0" w:color="auto"/>
        <w:bottom w:val="none" w:sz="0" w:space="0" w:color="auto"/>
        <w:right w:val="none" w:sz="0" w:space="0" w:color="auto"/>
      </w:divBdr>
    </w:div>
    <w:div w:id="438569327">
      <w:bodyDiv w:val="1"/>
      <w:marLeft w:val="0"/>
      <w:marRight w:val="0"/>
      <w:marTop w:val="0"/>
      <w:marBottom w:val="0"/>
      <w:divBdr>
        <w:top w:val="none" w:sz="0" w:space="0" w:color="auto"/>
        <w:left w:val="none" w:sz="0" w:space="0" w:color="auto"/>
        <w:bottom w:val="none" w:sz="0" w:space="0" w:color="auto"/>
        <w:right w:val="none" w:sz="0" w:space="0" w:color="auto"/>
      </w:divBdr>
    </w:div>
    <w:div w:id="438599282">
      <w:bodyDiv w:val="1"/>
      <w:marLeft w:val="0"/>
      <w:marRight w:val="0"/>
      <w:marTop w:val="0"/>
      <w:marBottom w:val="0"/>
      <w:divBdr>
        <w:top w:val="none" w:sz="0" w:space="0" w:color="auto"/>
        <w:left w:val="none" w:sz="0" w:space="0" w:color="auto"/>
        <w:bottom w:val="none" w:sz="0" w:space="0" w:color="auto"/>
        <w:right w:val="none" w:sz="0" w:space="0" w:color="auto"/>
      </w:divBdr>
    </w:div>
    <w:div w:id="438723353">
      <w:bodyDiv w:val="1"/>
      <w:marLeft w:val="0"/>
      <w:marRight w:val="0"/>
      <w:marTop w:val="0"/>
      <w:marBottom w:val="0"/>
      <w:divBdr>
        <w:top w:val="none" w:sz="0" w:space="0" w:color="auto"/>
        <w:left w:val="none" w:sz="0" w:space="0" w:color="auto"/>
        <w:bottom w:val="none" w:sz="0" w:space="0" w:color="auto"/>
        <w:right w:val="none" w:sz="0" w:space="0" w:color="auto"/>
      </w:divBdr>
    </w:div>
    <w:div w:id="438765204">
      <w:bodyDiv w:val="1"/>
      <w:marLeft w:val="0"/>
      <w:marRight w:val="0"/>
      <w:marTop w:val="0"/>
      <w:marBottom w:val="0"/>
      <w:divBdr>
        <w:top w:val="none" w:sz="0" w:space="0" w:color="auto"/>
        <w:left w:val="none" w:sz="0" w:space="0" w:color="auto"/>
        <w:bottom w:val="none" w:sz="0" w:space="0" w:color="auto"/>
        <w:right w:val="none" w:sz="0" w:space="0" w:color="auto"/>
      </w:divBdr>
    </w:div>
    <w:div w:id="438792150">
      <w:bodyDiv w:val="1"/>
      <w:marLeft w:val="0"/>
      <w:marRight w:val="0"/>
      <w:marTop w:val="0"/>
      <w:marBottom w:val="0"/>
      <w:divBdr>
        <w:top w:val="none" w:sz="0" w:space="0" w:color="auto"/>
        <w:left w:val="none" w:sz="0" w:space="0" w:color="auto"/>
        <w:bottom w:val="none" w:sz="0" w:space="0" w:color="auto"/>
        <w:right w:val="none" w:sz="0" w:space="0" w:color="auto"/>
      </w:divBdr>
    </w:div>
    <w:div w:id="438912184">
      <w:bodyDiv w:val="1"/>
      <w:marLeft w:val="0"/>
      <w:marRight w:val="0"/>
      <w:marTop w:val="0"/>
      <w:marBottom w:val="0"/>
      <w:divBdr>
        <w:top w:val="none" w:sz="0" w:space="0" w:color="auto"/>
        <w:left w:val="none" w:sz="0" w:space="0" w:color="auto"/>
        <w:bottom w:val="none" w:sz="0" w:space="0" w:color="auto"/>
        <w:right w:val="none" w:sz="0" w:space="0" w:color="auto"/>
      </w:divBdr>
    </w:div>
    <w:div w:id="439027987">
      <w:bodyDiv w:val="1"/>
      <w:marLeft w:val="0"/>
      <w:marRight w:val="0"/>
      <w:marTop w:val="0"/>
      <w:marBottom w:val="0"/>
      <w:divBdr>
        <w:top w:val="none" w:sz="0" w:space="0" w:color="auto"/>
        <w:left w:val="none" w:sz="0" w:space="0" w:color="auto"/>
        <w:bottom w:val="none" w:sz="0" w:space="0" w:color="auto"/>
        <w:right w:val="none" w:sz="0" w:space="0" w:color="auto"/>
      </w:divBdr>
    </w:div>
    <w:div w:id="439029554">
      <w:bodyDiv w:val="1"/>
      <w:marLeft w:val="0"/>
      <w:marRight w:val="0"/>
      <w:marTop w:val="0"/>
      <w:marBottom w:val="0"/>
      <w:divBdr>
        <w:top w:val="none" w:sz="0" w:space="0" w:color="auto"/>
        <w:left w:val="none" w:sz="0" w:space="0" w:color="auto"/>
        <w:bottom w:val="none" w:sz="0" w:space="0" w:color="auto"/>
        <w:right w:val="none" w:sz="0" w:space="0" w:color="auto"/>
      </w:divBdr>
    </w:div>
    <w:div w:id="439029707">
      <w:bodyDiv w:val="1"/>
      <w:marLeft w:val="0"/>
      <w:marRight w:val="0"/>
      <w:marTop w:val="0"/>
      <w:marBottom w:val="0"/>
      <w:divBdr>
        <w:top w:val="none" w:sz="0" w:space="0" w:color="auto"/>
        <w:left w:val="none" w:sz="0" w:space="0" w:color="auto"/>
        <w:bottom w:val="none" w:sz="0" w:space="0" w:color="auto"/>
        <w:right w:val="none" w:sz="0" w:space="0" w:color="auto"/>
      </w:divBdr>
    </w:div>
    <w:div w:id="439030867">
      <w:bodyDiv w:val="1"/>
      <w:marLeft w:val="0"/>
      <w:marRight w:val="0"/>
      <w:marTop w:val="0"/>
      <w:marBottom w:val="0"/>
      <w:divBdr>
        <w:top w:val="none" w:sz="0" w:space="0" w:color="auto"/>
        <w:left w:val="none" w:sz="0" w:space="0" w:color="auto"/>
        <w:bottom w:val="none" w:sz="0" w:space="0" w:color="auto"/>
        <w:right w:val="none" w:sz="0" w:space="0" w:color="auto"/>
      </w:divBdr>
    </w:div>
    <w:div w:id="439108377">
      <w:bodyDiv w:val="1"/>
      <w:marLeft w:val="0"/>
      <w:marRight w:val="0"/>
      <w:marTop w:val="0"/>
      <w:marBottom w:val="0"/>
      <w:divBdr>
        <w:top w:val="none" w:sz="0" w:space="0" w:color="auto"/>
        <w:left w:val="none" w:sz="0" w:space="0" w:color="auto"/>
        <w:bottom w:val="none" w:sz="0" w:space="0" w:color="auto"/>
        <w:right w:val="none" w:sz="0" w:space="0" w:color="auto"/>
      </w:divBdr>
    </w:div>
    <w:div w:id="439181809">
      <w:bodyDiv w:val="1"/>
      <w:marLeft w:val="0"/>
      <w:marRight w:val="0"/>
      <w:marTop w:val="0"/>
      <w:marBottom w:val="0"/>
      <w:divBdr>
        <w:top w:val="none" w:sz="0" w:space="0" w:color="auto"/>
        <w:left w:val="none" w:sz="0" w:space="0" w:color="auto"/>
        <w:bottom w:val="none" w:sz="0" w:space="0" w:color="auto"/>
        <w:right w:val="none" w:sz="0" w:space="0" w:color="auto"/>
      </w:divBdr>
    </w:div>
    <w:div w:id="439303723">
      <w:bodyDiv w:val="1"/>
      <w:marLeft w:val="0"/>
      <w:marRight w:val="0"/>
      <w:marTop w:val="0"/>
      <w:marBottom w:val="0"/>
      <w:divBdr>
        <w:top w:val="none" w:sz="0" w:space="0" w:color="auto"/>
        <w:left w:val="none" w:sz="0" w:space="0" w:color="auto"/>
        <w:bottom w:val="none" w:sz="0" w:space="0" w:color="auto"/>
        <w:right w:val="none" w:sz="0" w:space="0" w:color="auto"/>
      </w:divBdr>
    </w:div>
    <w:div w:id="439372702">
      <w:bodyDiv w:val="1"/>
      <w:marLeft w:val="0"/>
      <w:marRight w:val="0"/>
      <w:marTop w:val="0"/>
      <w:marBottom w:val="0"/>
      <w:divBdr>
        <w:top w:val="none" w:sz="0" w:space="0" w:color="auto"/>
        <w:left w:val="none" w:sz="0" w:space="0" w:color="auto"/>
        <w:bottom w:val="none" w:sz="0" w:space="0" w:color="auto"/>
        <w:right w:val="none" w:sz="0" w:space="0" w:color="auto"/>
      </w:divBdr>
    </w:div>
    <w:div w:id="439378138">
      <w:bodyDiv w:val="1"/>
      <w:marLeft w:val="0"/>
      <w:marRight w:val="0"/>
      <w:marTop w:val="0"/>
      <w:marBottom w:val="0"/>
      <w:divBdr>
        <w:top w:val="none" w:sz="0" w:space="0" w:color="auto"/>
        <w:left w:val="none" w:sz="0" w:space="0" w:color="auto"/>
        <w:bottom w:val="none" w:sz="0" w:space="0" w:color="auto"/>
        <w:right w:val="none" w:sz="0" w:space="0" w:color="auto"/>
      </w:divBdr>
    </w:div>
    <w:div w:id="439421757">
      <w:bodyDiv w:val="1"/>
      <w:marLeft w:val="0"/>
      <w:marRight w:val="0"/>
      <w:marTop w:val="0"/>
      <w:marBottom w:val="0"/>
      <w:divBdr>
        <w:top w:val="none" w:sz="0" w:space="0" w:color="auto"/>
        <w:left w:val="none" w:sz="0" w:space="0" w:color="auto"/>
        <w:bottom w:val="none" w:sz="0" w:space="0" w:color="auto"/>
        <w:right w:val="none" w:sz="0" w:space="0" w:color="auto"/>
      </w:divBdr>
    </w:div>
    <w:div w:id="439451193">
      <w:bodyDiv w:val="1"/>
      <w:marLeft w:val="0"/>
      <w:marRight w:val="0"/>
      <w:marTop w:val="0"/>
      <w:marBottom w:val="0"/>
      <w:divBdr>
        <w:top w:val="none" w:sz="0" w:space="0" w:color="auto"/>
        <w:left w:val="none" w:sz="0" w:space="0" w:color="auto"/>
        <w:bottom w:val="none" w:sz="0" w:space="0" w:color="auto"/>
        <w:right w:val="none" w:sz="0" w:space="0" w:color="auto"/>
      </w:divBdr>
    </w:div>
    <w:div w:id="439567797">
      <w:bodyDiv w:val="1"/>
      <w:marLeft w:val="0"/>
      <w:marRight w:val="0"/>
      <w:marTop w:val="0"/>
      <w:marBottom w:val="0"/>
      <w:divBdr>
        <w:top w:val="none" w:sz="0" w:space="0" w:color="auto"/>
        <w:left w:val="none" w:sz="0" w:space="0" w:color="auto"/>
        <w:bottom w:val="none" w:sz="0" w:space="0" w:color="auto"/>
        <w:right w:val="none" w:sz="0" w:space="0" w:color="auto"/>
      </w:divBdr>
    </w:div>
    <w:div w:id="439837709">
      <w:bodyDiv w:val="1"/>
      <w:marLeft w:val="0"/>
      <w:marRight w:val="0"/>
      <w:marTop w:val="0"/>
      <w:marBottom w:val="0"/>
      <w:divBdr>
        <w:top w:val="none" w:sz="0" w:space="0" w:color="auto"/>
        <w:left w:val="none" w:sz="0" w:space="0" w:color="auto"/>
        <w:bottom w:val="none" w:sz="0" w:space="0" w:color="auto"/>
        <w:right w:val="none" w:sz="0" w:space="0" w:color="auto"/>
      </w:divBdr>
    </w:div>
    <w:div w:id="439838424">
      <w:bodyDiv w:val="1"/>
      <w:marLeft w:val="0"/>
      <w:marRight w:val="0"/>
      <w:marTop w:val="0"/>
      <w:marBottom w:val="0"/>
      <w:divBdr>
        <w:top w:val="none" w:sz="0" w:space="0" w:color="auto"/>
        <w:left w:val="none" w:sz="0" w:space="0" w:color="auto"/>
        <w:bottom w:val="none" w:sz="0" w:space="0" w:color="auto"/>
        <w:right w:val="none" w:sz="0" w:space="0" w:color="auto"/>
      </w:divBdr>
    </w:div>
    <w:div w:id="439883365">
      <w:bodyDiv w:val="1"/>
      <w:marLeft w:val="0"/>
      <w:marRight w:val="0"/>
      <w:marTop w:val="0"/>
      <w:marBottom w:val="0"/>
      <w:divBdr>
        <w:top w:val="none" w:sz="0" w:space="0" w:color="auto"/>
        <w:left w:val="none" w:sz="0" w:space="0" w:color="auto"/>
        <w:bottom w:val="none" w:sz="0" w:space="0" w:color="auto"/>
        <w:right w:val="none" w:sz="0" w:space="0" w:color="auto"/>
      </w:divBdr>
    </w:div>
    <w:div w:id="440104054">
      <w:bodyDiv w:val="1"/>
      <w:marLeft w:val="0"/>
      <w:marRight w:val="0"/>
      <w:marTop w:val="0"/>
      <w:marBottom w:val="0"/>
      <w:divBdr>
        <w:top w:val="none" w:sz="0" w:space="0" w:color="auto"/>
        <w:left w:val="none" w:sz="0" w:space="0" w:color="auto"/>
        <w:bottom w:val="none" w:sz="0" w:space="0" w:color="auto"/>
        <w:right w:val="none" w:sz="0" w:space="0" w:color="auto"/>
      </w:divBdr>
    </w:div>
    <w:div w:id="440105137">
      <w:bodyDiv w:val="1"/>
      <w:marLeft w:val="0"/>
      <w:marRight w:val="0"/>
      <w:marTop w:val="0"/>
      <w:marBottom w:val="0"/>
      <w:divBdr>
        <w:top w:val="none" w:sz="0" w:space="0" w:color="auto"/>
        <w:left w:val="none" w:sz="0" w:space="0" w:color="auto"/>
        <w:bottom w:val="none" w:sz="0" w:space="0" w:color="auto"/>
        <w:right w:val="none" w:sz="0" w:space="0" w:color="auto"/>
      </w:divBdr>
    </w:div>
    <w:div w:id="440341327">
      <w:bodyDiv w:val="1"/>
      <w:marLeft w:val="0"/>
      <w:marRight w:val="0"/>
      <w:marTop w:val="0"/>
      <w:marBottom w:val="0"/>
      <w:divBdr>
        <w:top w:val="none" w:sz="0" w:space="0" w:color="auto"/>
        <w:left w:val="none" w:sz="0" w:space="0" w:color="auto"/>
        <w:bottom w:val="none" w:sz="0" w:space="0" w:color="auto"/>
        <w:right w:val="none" w:sz="0" w:space="0" w:color="auto"/>
      </w:divBdr>
    </w:div>
    <w:div w:id="440347386">
      <w:bodyDiv w:val="1"/>
      <w:marLeft w:val="0"/>
      <w:marRight w:val="0"/>
      <w:marTop w:val="0"/>
      <w:marBottom w:val="0"/>
      <w:divBdr>
        <w:top w:val="none" w:sz="0" w:space="0" w:color="auto"/>
        <w:left w:val="none" w:sz="0" w:space="0" w:color="auto"/>
        <w:bottom w:val="none" w:sz="0" w:space="0" w:color="auto"/>
        <w:right w:val="none" w:sz="0" w:space="0" w:color="auto"/>
      </w:divBdr>
    </w:div>
    <w:div w:id="440607410">
      <w:bodyDiv w:val="1"/>
      <w:marLeft w:val="0"/>
      <w:marRight w:val="0"/>
      <w:marTop w:val="0"/>
      <w:marBottom w:val="0"/>
      <w:divBdr>
        <w:top w:val="none" w:sz="0" w:space="0" w:color="auto"/>
        <w:left w:val="none" w:sz="0" w:space="0" w:color="auto"/>
        <w:bottom w:val="none" w:sz="0" w:space="0" w:color="auto"/>
        <w:right w:val="none" w:sz="0" w:space="0" w:color="auto"/>
      </w:divBdr>
    </w:div>
    <w:div w:id="440689268">
      <w:bodyDiv w:val="1"/>
      <w:marLeft w:val="0"/>
      <w:marRight w:val="0"/>
      <w:marTop w:val="0"/>
      <w:marBottom w:val="0"/>
      <w:divBdr>
        <w:top w:val="none" w:sz="0" w:space="0" w:color="auto"/>
        <w:left w:val="none" w:sz="0" w:space="0" w:color="auto"/>
        <w:bottom w:val="none" w:sz="0" w:space="0" w:color="auto"/>
        <w:right w:val="none" w:sz="0" w:space="0" w:color="auto"/>
      </w:divBdr>
    </w:div>
    <w:div w:id="440878281">
      <w:bodyDiv w:val="1"/>
      <w:marLeft w:val="0"/>
      <w:marRight w:val="0"/>
      <w:marTop w:val="0"/>
      <w:marBottom w:val="0"/>
      <w:divBdr>
        <w:top w:val="none" w:sz="0" w:space="0" w:color="auto"/>
        <w:left w:val="none" w:sz="0" w:space="0" w:color="auto"/>
        <w:bottom w:val="none" w:sz="0" w:space="0" w:color="auto"/>
        <w:right w:val="none" w:sz="0" w:space="0" w:color="auto"/>
      </w:divBdr>
    </w:div>
    <w:div w:id="440880266">
      <w:bodyDiv w:val="1"/>
      <w:marLeft w:val="0"/>
      <w:marRight w:val="0"/>
      <w:marTop w:val="0"/>
      <w:marBottom w:val="0"/>
      <w:divBdr>
        <w:top w:val="none" w:sz="0" w:space="0" w:color="auto"/>
        <w:left w:val="none" w:sz="0" w:space="0" w:color="auto"/>
        <w:bottom w:val="none" w:sz="0" w:space="0" w:color="auto"/>
        <w:right w:val="none" w:sz="0" w:space="0" w:color="auto"/>
      </w:divBdr>
    </w:div>
    <w:div w:id="440957135">
      <w:bodyDiv w:val="1"/>
      <w:marLeft w:val="0"/>
      <w:marRight w:val="0"/>
      <w:marTop w:val="0"/>
      <w:marBottom w:val="0"/>
      <w:divBdr>
        <w:top w:val="none" w:sz="0" w:space="0" w:color="auto"/>
        <w:left w:val="none" w:sz="0" w:space="0" w:color="auto"/>
        <w:bottom w:val="none" w:sz="0" w:space="0" w:color="auto"/>
        <w:right w:val="none" w:sz="0" w:space="0" w:color="auto"/>
      </w:divBdr>
    </w:div>
    <w:div w:id="440957497">
      <w:bodyDiv w:val="1"/>
      <w:marLeft w:val="0"/>
      <w:marRight w:val="0"/>
      <w:marTop w:val="0"/>
      <w:marBottom w:val="0"/>
      <w:divBdr>
        <w:top w:val="none" w:sz="0" w:space="0" w:color="auto"/>
        <w:left w:val="none" w:sz="0" w:space="0" w:color="auto"/>
        <w:bottom w:val="none" w:sz="0" w:space="0" w:color="auto"/>
        <w:right w:val="none" w:sz="0" w:space="0" w:color="auto"/>
      </w:divBdr>
    </w:div>
    <w:div w:id="440993625">
      <w:bodyDiv w:val="1"/>
      <w:marLeft w:val="0"/>
      <w:marRight w:val="0"/>
      <w:marTop w:val="0"/>
      <w:marBottom w:val="0"/>
      <w:divBdr>
        <w:top w:val="none" w:sz="0" w:space="0" w:color="auto"/>
        <w:left w:val="none" w:sz="0" w:space="0" w:color="auto"/>
        <w:bottom w:val="none" w:sz="0" w:space="0" w:color="auto"/>
        <w:right w:val="none" w:sz="0" w:space="0" w:color="auto"/>
      </w:divBdr>
    </w:div>
    <w:div w:id="440996461">
      <w:bodyDiv w:val="1"/>
      <w:marLeft w:val="0"/>
      <w:marRight w:val="0"/>
      <w:marTop w:val="0"/>
      <w:marBottom w:val="0"/>
      <w:divBdr>
        <w:top w:val="none" w:sz="0" w:space="0" w:color="auto"/>
        <w:left w:val="none" w:sz="0" w:space="0" w:color="auto"/>
        <w:bottom w:val="none" w:sz="0" w:space="0" w:color="auto"/>
        <w:right w:val="none" w:sz="0" w:space="0" w:color="auto"/>
      </w:divBdr>
    </w:div>
    <w:div w:id="441070314">
      <w:bodyDiv w:val="1"/>
      <w:marLeft w:val="0"/>
      <w:marRight w:val="0"/>
      <w:marTop w:val="0"/>
      <w:marBottom w:val="0"/>
      <w:divBdr>
        <w:top w:val="none" w:sz="0" w:space="0" w:color="auto"/>
        <w:left w:val="none" w:sz="0" w:space="0" w:color="auto"/>
        <w:bottom w:val="none" w:sz="0" w:space="0" w:color="auto"/>
        <w:right w:val="none" w:sz="0" w:space="0" w:color="auto"/>
      </w:divBdr>
    </w:div>
    <w:div w:id="441077899">
      <w:bodyDiv w:val="1"/>
      <w:marLeft w:val="0"/>
      <w:marRight w:val="0"/>
      <w:marTop w:val="0"/>
      <w:marBottom w:val="0"/>
      <w:divBdr>
        <w:top w:val="none" w:sz="0" w:space="0" w:color="auto"/>
        <w:left w:val="none" w:sz="0" w:space="0" w:color="auto"/>
        <w:bottom w:val="none" w:sz="0" w:space="0" w:color="auto"/>
        <w:right w:val="none" w:sz="0" w:space="0" w:color="auto"/>
      </w:divBdr>
    </w:div>
    <w:div w:id="441193065">
      <w:bodyDiv w:val="1"/>
      <w:marLeft w:val="0"/>
      <w:marRight w:val="0"/>
      <w:marTop w:val="0"/>
      <w:marBottom w:val="0"/>
      <w:divBdr>
        <w:top w:val="none" w:sz="0" w:space="0" w:color="auto"/>
        <w:left w:val="none" w:sz="0" w:space="0" w:color="auto"/>
        <w:bottom w:val="none" w:sz="0" w:space="0" w:color="auto"/>
        <w:right w:val="none" w:sz="0" w:space="0" w:color="auto"/>
      </w:divBdr>
    </w:div>
    <w:div w:id="441194132">
      <w:bodyDiv w:val="1"/>
      <w:marLeft w:val="0"/>
      <w:marRight w:val="0"/>
      <w:marTop w:val="0"/>
      <w:marBottom w:val="0"/>
      <w:divBdr>
        <w:top w:val="none" w:sz="0" w:space="0" w:color="auto"/>
        <w:left w:val="none" w:sz="0" w:space="0" w:color="auto"/>
        <w:bottom w:val="none" w:sz="0" w:space="0" w:color="auto"/>
        <w:right w:val="none" w:sz="0" w:space="0" w:color="auto"/>
      </w:divBdr>
    </w:div>
    <w:div w:id="441337681">
      <w:bodyDiv w:val="1"/>
      <w:marLeft w:val="0"/>
      <w:marRight w:val="0"/>
      <w:marTop w:val="0"/>
      <w:marBottom w:val="0"/>
      <w:divBdr>
        <w:top w:val="none" w:sz="0" w:space="0" w:color="auto"/>
        <w:left w:val="none" w:sz="0" w:space="0" w:color="auto"/>
        <w:bottom w:val="none" w:sz="0" w:space="0" w:color="auto"/>
        <w:right w:val="none" w:sz="0" w:space="0" w:color="auto"/>
      </w:divBdr>
    </w:div>
    <w:div w:id="441387214">
      <w:bodyDiv w:val="1"/>
      <w:marLeft w:val="0"/>
      <w:marRight w:val="0"/>
      <w:marTop w:val="0"/>
      <w:marBottom w:val="0"/>
      <w:divBdr>
        <w:top w:val="none" w:sz="0" w:space="0" w:color="auto"/>
        <w:left w:val="none" w:sz="0" w:space="0" w:color="auto"/>
        <w:bottom w:val="none" w:sz="0" w:space="0" w:color="auto"/>
        <w:right w:val="none" w:sz="0" w:space="0" w:color="auto"/>
      </w:divBdr>
    </w:div>
    <w:div w:id="441460313">
      <w:bodyDiv w:val="1"/>
      <w:marLeft w:val="0"/>
      <w:marRight w:val="0"/>
      <w:marTop w:val="0"/>
      <w:marBottom w:val="0"/>
      <w:divBdr>
        <w:top w:val="none" w:sz="0" w:space="0" w:color="auto"/>
        <w:left w:val="none" w:sz="0" w:space="0" w:color="auto"/>
        <w:bottom w:val="none" w:sz="0" w:space="0" w:color="auto"/>
        <w:right w:val="none" w:sz="0" w:space="0" w:color="auto"/>
      </w:divBdr>
    </w:div>
    <w:div w:id="441462049">
      <w:bodyDiv w:val="1"/>
      <w:marLeft w:val="0"/>
      <w:marRight w:val="0"/>
      <w:marTop w:val="0"/>
      <w:marBottom w:val="0"/>
      <w:divBdr>
        <w:top w:val="none" w:sz="0" w:space="0" w:color="auto"/>
        <w:left w:val="none" w:sz="0" w:space="0" w:color="auto"/>
        <w:bottom w:val="none" w:sz="0" w:space="0" w:color="auto"/>
        <w:right w:val="none" w:sz="0" w:space="0" w:color="auto"/>
      </w:divBdr>
    </w:div>
    <w:div w:id="441608790">
      <w:bodyDiv w:val="1"/>
      <w:marLeft w:val="0"/>
      <w:marRight w:val="0"/>
      <w:marTop w:val="0"/>
      <w:marBottom w:val="0"/>
      <w:divBdr>
        <w:top w:val="none" w:sz="0" w:space="0" w:color="auto"/>
        <w:left w:val="none" w:sz="0" w:space="0" w:color="auto"/>
        <w:bottom w:val="none" w:sz="0" w:space="0" w:color="auto"/>
        <w:right w:val="none" w:sz="0" w:space="0" w:color="auto"/>
      </w:divBdr>
    </w:div>
    <w:div w:id="441649436">
      <w:bodyDiv w:val="1"/>
      <w:marLeft w:val="0"/>
      <w:marRight w:val="0"/>
      <w:marTop w:val="0"/>
      <w:marBottom w:val="0"/>
      <w:divBdr>
        <w:top w:val="none" w:sz="0" w:space="0" w:color="auto"/>
        <w:left w:val="none" w:sz="0" w:space="0" w:color="auto"/>
        <w:bottom w:val="none" w:sz="0" w:space="0" w:color="auto"/>
        <w:right w:val="none" w:sz="0" w:space="0" w:color="auto"/>
      </w:divBdr>
    </w:div>
    <w:div w:id="441657699">
      <w:bodyDiv w:val="1"/>
      <w:marLeft w:val="0"/>
      <w:marRight w:val="0"/>
      <w:marTop w:val="0"/>
      <w:marBottom w:val="0"/>
      <w:divBdr>
        <w:top w:val="none" w:sz="0" w:space="0" w:color="auto"/>
        <w:left w:val="none" w:sz="0" w:space="0" w:color="auto"/>
        <w:bottom w:val="none" w:sz="0" w:space="0" w:color="auto"/>
        <w:right w:val="none" w:sz="0" w:space="0" w:color="auto"/>
      </w:divBdr>
    </w:div>
    <w:div w:id="441732850">
      <w:bodyDiv w:val="1"/>
      <w:marLeft w:val="0"/>
      <w:marRight w:val="0"/>
      <w:marTop w:val="0"/>
      <w:marBottom w:val="0"/>
      <w:divBdr>
        <w:top w:val="none" w:sz="0" w:space="0" w:color="auto"/>
        <w:left w:val="none" w:sz="0" w:space="0" w:color="auto"/>
        <w:bottom w:val="none" w:sz="0" w:space="0" w:color="auto"/>
        <w:right w:val="none" w:sz="0" w:space="0" w:color="auto"/>
      </w:divBdr>
    </w:div>
    <w:div w:id="441799715">
      <w:bodyDiv w:val="1"/>
      <w:marLeft w:val="0"/>
      <w:marRight w:val="0"/>
      <w:marTop w:val="0"/>
      <w:marBottom w:val="0"/>
      <w:divBdr>
        <w:top w:val="none" w:sz="0" w:space="0" w:color="auto"/>
        <w:left w:val="none" w:sz="0" w:space="0" w:color="auto"/>
        <w:bottom w:val="none" w:sz="0" w:space="0" w:color="auto"/>
        <w:right w:val="none" w:sz="0" w:space="0" w:color="auto"/>
      </w:divBdr>
    </w:div>
    <w:div w:id="441805380">
      <w:bodyDiv w:val="1"/>
      <w:marLeft w:val="0"/>
      <w:marRight w:val="0"/>
      <w:marTop w:val="0"/>
      <w:marBottom w:val="0"/>
      <w:divBdr>
        <w:top w:val="none" w:sz="0" w:space="0" w:color="auto"/>
        <w:left w:val="none" w:sz="0" w:space="0" w:color="auto"/>
        <w:bottom w:val="none" w:sz="0" w:space="0" w:color="auto"/>
        <w:right w:val="none" w:sz="0" w:space="0" w:color="auto"/>
      </w:divBdr>
    </w:div>
    <w:div w:id="441850878">
      <w:bodyDiv w:val="1"/>
      <w:marLeft w:val="0"/>
      <w:marRight w:val="0"/>
      <w:marTop w:val="0"/>
      <w:marBottom w:val="0"/>
      <w:divBdr>
        <w:top w:val="none" w:sz="0" w:space="0" w:color="auto"/>
        <w:left w:val="none" w:sz="0" w:space="0" w:color="auto"/>
        <w:bottom w:val="none" w:sz="0" w:space="0" w:color="auto"/>
        <w:right w:val="none" w:sz="0" w:space="0" w:color="auto"/>
      </w:divBdr>
    </w:div>
    <w:div w:id="441923557">
      <w:bodyDiv w:val="1"/>
      <w:marLeft w:val="0"/>
      <w:marRight w:val="0"/>
      <w:marTop w:val="0"/>
      <w:marBottom w:val="0"/>
      <w:divBdr>
        <w:top w:val="none" w:sz="0" w:space="0" w:color="auto"/>
        <w:left w:val="none" w:sz="0" w:space="0" w:color="auto"/>
        <w:bottom w:val="none" w:sz="0" w:space="0" w:color="auto"/>
        <w:right w:val="none" w:sz="0" w:space="0" w:color="auto"/>
      </w:divBdr>
    </w:div>
    <w:div w:id="441924469">
      <w:bodyDiv w:val="1"/>
      <w:marLeft w:val="0"/>
      <w:marRight w:val="0"/>
      <w:marTop w:val="0"/>
      <w:marBottom w:val="0"/>
      <w:divBdr>
        <w:top w:val="none" w:sz="0" w:space="0" w:color="auto"/>
        <w:left w:val="none" w:sz="0" w:space="0" w:color="auto"/>
        <w:bottom w:val="none" w:sz="0" w:space="0" w:color="auto"/>
        <w:right w:val="none" w:sz="0" w:space="0" w:color="auto"/>
      </w:divBdr>
    </w:div>
    <w:div w:id="442118161">
      <w:bodyDiv w:val="1"/>
      <w:marLeft w:val="0"/>
      <w:marRight w:val="0"/>
      <w:marTop w:val="0"/>
      <w:marBottom w:val="0"/>
      <w:divBdr>
        <w:top w:val="none" w:sz="0" w:space="0" w:color="auto"/>
        <w:left w:val="none" w:sz="0" w:space="0" w:color="auto"/>
        <w:bottom w:val="none" w:sz="0" w:space="0" w:color="auto"/>
        <w:right w:val="none" w:sz="0" w:space="0" w:color="auto"/>
      </w:divBdr>
    </w:div>
    <w:div w:id="442194543">
      <w:bodyDiv w:val="1"/>
      <w:marLeft w:val="0"/>
      <w:marRight w:val="0"/>
      <w:marTop w:val="0"/>
      <w:marBottom w:val="0"/>
      <w:divBdr>
        <w:top w:val="none" w:sz="0" w:space="0" w:color="auto"/>
        <w:left w:val="none" w:sz="0" w:space="0" w:color="auto"/>
        <w:bottom w:val="none" w:sz="0" w:space="0" w:color="auto"/>
        <w:right w:val="none" w:sz="0" w:space="0" w:color="auto"/>
      </w:divBdr>
    </w:div>
    <w:div w:id="442238026">
      <w:bodyDiv w:val="1"/>
      <w:marLeft w:val="0"/>
      <w:marRight w:val="0"/>
      <w:marTop w:val="0"/>
      <w:marBottom w:val="0"/>
      <w:divBdr>
        <w:top w:val="none" w:sz="0" w:space="0" w:color="auto"/>
        <w:left w:val="none" w:sz="0" w:space="0" w:color="auto"/>
        <w:bottom w:val="none" w:sz="0" w:space="0" w:color="auto"/>
        <w:right w:val="none" w:sz="0" w:space="0" w:color="auto"/>
      </w:divBdr>
    </w:div>
    <w:div w:id="442306111">
      <w:bodyDiv w:val="1"/>
      <w:marLeft w:val="0"/>
      <w:marRight w:val="0"/>
      <w:marTop w:val="0"/>
      <w:marBottom w:val="0"/>
      <w:divBdr>
        <w:top w:val="none" w:sz="0" w:space="0" w:color="auto"/>
        <w:left w:val="none" w:sz="0" w:space="0" w:color="auto"/>
        <w:bottom w:val="none" w:sz="0" w:space="0" w:color="auto"/>
        <w:right w:val="none" w:sz="0" w:space="0" w:color="auto"/>
      </w:divBdr>
    </w:div>
    <w:div w:id="442309200">
      <w:bodyDiv w:val="1"/>
      <w:marLeft w:val="0"/>
      <w:marRight w:val="0"/>
      <w:marTop w:val="0"/>
      <w:marBottom w:val="0"/>
      <w:divBdr>
        <w:top w:val="none" w:sz="0" w:space="0" w:color="auto"/>
        <w:left w:val="none" w:sz="0" w:space="0" w:color="auto"/>
        <w:bottom w:val="none" w:sz="0" w:space="0" w:color="auto"/>
        <w:right w:val="none" w:sz="0" w:space="0" w:color="auto"/>
      </w:divBdr>
    </w:div>
    <w:div w:id="442456594">
      <w:bodyDiv w:val="1"/>
      <w:marLeft w:val="0"/>
      <w:marRight w:val="0"/>
      <w:marTop w:val="0"/>
      <w:marBottom w:val="0"/>
      <w:divBdr>
        <w:top w:val="none" w:sz="0" w:space="0" w:color="auto"/>
        <w:left w:val="none" w:sz="0" w:space="0" w:color="auto"/>
        <w:bottom w:val="none" w:sz="0" w:space="0" w:color="auto"/>
        <w:right w:val="none" w:sz="0" w:space="0" w:color="auto"/>
      </w:divBdr>
    </w:div>
    <w:div w:id="442504080">
      <w:bodyDiv w:val="1"/>
      <w:marLeft w:val="0"/>
      <w:marRight w:val="0"/>
      <w:marTop w:val="0"/>
      <w:marBottom w:val="0"/>
      <w:divBdr>
        <w:top w:val="none" w:sz="0" w:space="0" w:color="auto"/>
        <w:left w:val="none" w:sz="0" w:space="0" w:color="auto"/>
        <w:bottom w:val="none" w:sz="0" w:space="0" w:color="auto"/>
        <w:right w:val="none" w:sz="0" w:space="0" w:color="auto"/>
      </w:divBdr>
    </w:div>
    <w:div w:id="442580484">
      <w:bodyDiv w:val="1"/>
      <w:marLeft w:val="0"/>
      <w:marRight w:val="0"/>
      <w:marTop w:val="0"/>
      <w:marBottom w:val="0"/>
      <w:divBdr>
        <w:top w:val="none" w:sz="0" w:space="0" w:color="auto"/>
        <w:left w:val="none" w:sz="0" w:space="0" w:color="auto"/>
        <w:bottom w:val="none" w:sz="0" w:space="0" w:color="auto"/>
        <w:right w:val="none" w:sz="0" w:space="0" w:color="auto"/>
      </w:divBdr>
    </w:div>
    <w:div w:id="442650059">
      <w:bodyDiv w:val="1"/>
      <w:marLeft w:val="0"/>
      <w:marRight w:val="0"/>
      <w:marTop w:val="0"/>
      <w:marBottom w:val="0"/>
      <w:divBdr>
        <w:top w:val="none" w:sz="0" w:space="0" w:color="auto"/>
        <w:left w:val="none" w:sz="0" w:space="0" w:color="auto"/>
        <w:bottom w:val="none" w:sz="0" w:space="0" w:color="auto"/>
        <w:right w:val="none" w:sz="0" w:space="0" w:color="auto"/>
      </w:divBdr>
    </w:div>
    <w:div w:id="442696972">
      <w:bodyDiv w:val="1"/>
      <w:marLeft w:val="0"/>
      <w:marRight w:val="0"/>
      <w:marTop w:val="0"/>
      <w:marBottom w:val="0"/>
      <w:divBdr>
        <w:top w:val="none" w:sz="0" w:space="0" w:color="auto"/>
        <w:left w:val="none" w:sz="0" w:space="0" w:color="auto"/>
        <w:bottom w:val="none" w:sz="0" w:space="0" w:color="auto"/>
        <w:right w:val="none" w:sz="0" w:space="0" w:color="auto"/>
      </w:divBdr>
    </w:div>
    <w:div w:id="442727945">
      <w:bodyDiv w:val="1"/>
      <w:marLeft w:val="0"/>
      <w:marRight w:val="0"/>
      <w:marTop w:val="0"/>
      <w:marBottom w:val="0"/>
      <w:divBdr>
        <w:top w:val="none" w:sz="0" w:space="0" w:color="auto"/>
        <w:left w:val="none" w:sz="0" w:space="0" w:color="auto"/>
        <w:bottom w:val="none" w:sz="0" w:space="0" w:color="auto"/>
        <w:right w:val="none" w:sz="0" w:space="0" w:color="auto"/>
      </w:divBdr>
    </w:div>
    <w:div w:id="442769617">
      <w:bodyDiv w:val="1"/>
      <w:marLeft w:val="0"/>
      <w:marRight w:val="0"/>
      <w:marTop w:val="0"/>
      <w:marBottom w:val="0"/>
      <w:divBdr>
        <w:top w:val="none" w:sz="0" w:space="0" w:color="auto"/>
        <w:left w:val="none" w:sz="0" w:space="0" w:color="auto"/>
        <w:bottom w:val="none" w:sz="0" w:space="0" w:color="auto"/>
        <w:right w:val="none" w:sz="0" w:space="0" w:color="auto"/>
      </w:divBdr>
    </w:div>
    <w:div w:id="442919072">
      <w:bodyDiv w:val="1"/>
      <w:marLeft w:val="0"/>
      <w:marRight w:val="0"/>
      <w:marTop w:val="0"/>
      <w:marBottom w:val="0"/>
      <w:divBdr>
        <w:top w:val="none" w:sz="0" w:space="0" w:color="auto"/>
        <w:left w:val="none" w:sz="0" w:space="0" w:color="auto"/>
        <w:bottom w:val="none" w:sz="0" w:space="0" w:color="auto"/>
        <w:right w:val="none" w:sz="0" w:space="0" w:color="auto"/>
      </w:divBdr>
    </w:div>
    <w:div w:id="442960934">
      <w:bodyDiv w:val="1"/>
      <w:marLeft w:val="0"/>
      <w:marRight w:val="0"/>
      <w:marTop w:val="0"/>
      <w:marBottom w:val="0"/>
      <w:divBdr>
        <w:top w:val="none" w:sz="0" w:space="0" w:color="auto"/>
        <w:left w:val="none" w:sz="0" w:space="0" w:color="auto"/>
        <w:bottom w:val="none" w:sz="0" w:space="0" w:color="auto"/>
        <w:right w:val="none" w:sz="0" w:space="0" w:color="auto"/>
      </w:divBdr>
    </w:div>
    <w:div w:id="442964392">
      <w:bodyDiv w:val="1"/>
      <w:marLeft w:val="0"/>
      <w:marRight w:val="0"/>
      <w:marTop w:val="0"/>
      <w:marBottom w:val="0"/>
      <w:divBdr>
        <w:top w:val="none" w:sz="0" w:space="0" w:color="auto"/>
        <w:left w:val="none" w:sz="0" w:space="0" w:color="auto"/>
        <w:bottom w:val="none" w:sz="0" w:space="0" w:color="auto"/>
        <w:right w:val="none" w:sz="0" w:space="0" w:color="auto"/>
      </w:divBdr>
    </w:div>
    <w:div w:id="443110824">
      <w:bodyDiv w:val="1"/>
      <w:marLeft w:val="0"/>
      <w:marRight w:val="0"/>
      <w:marTop w:val="0"/>
      <w:marBottom w:val="0"/>
      <w:divBdr>
        <w:top w:val="none" w:sz="0" w:space="0" w:color="auto"/>
        <w:left w:val="none" w:sz="0" w:space="0" w:color="auto"/>
        <w:bottom w:val="none" w:sz="0" w:space="0" w:color="auto"/>
        <w:right w:val="none" w:sz="0" w:space="0" w:color="auto"/>
      </w:divBdr>
    </w:div>
    <w:div w:id="443118845">
      <w:bodyDiv w:val="1"/>
      <w:marLeft w:val="0"/>
      <w:marRight w:val="0"/>
      <w:marTop w:val="0"/>
      <w:marBottom w:val="0"/>
      <w:divBdr>
        <w:top w:val="none" w:sz="0" w:space="0" w:color="auto"/>
        <w:left w:val="none" w:sz="0" w:space="0" w:color="auto"/>
        <w:bottom w:val="none" w:sz="0" w:space="0" w:color="auto"/>
        <w:right w:val="none" w:sz="0" w:space="0" w:color="auto"/>
      </w:divBdr>
    </w:div>
    <w:div w:id="443160176">
      <w:bodyDiv w:val="1"/>
      <w:marLeft w:val="0"/>
      <w:marRight w:val="0"/>
      <w:marTop w:val="0"/>
      <w:marBottom w:val="0"/>
      <w:divBdr>
        <w:top w:val="none" w:sz="0" w:space="0" w:color="auto"/>
        <w:left w:val="none" w:sz="0" w:space="0" w:color="auto"/>
        <w:bottom w:val="none" w:sz="0" w:space="0" w:color="auto"/>
        <w:right w:val="none" w:sz="0" w:space="0" w:color="auto"/>
      </w:divBdr>
    </w:div>
    <w:div w:id="443310834">
      <w:bodyDiv w:val="1"/>
      <w:marLeft w:val="0"/>
      <w:marRight w:val="0"/>
      <w:marTop w:val="0"/>
      <w:marBottom w:val="0"/>
      <w:divBdr>
        <w:top w:val="none" w:sz="0" w:space="0" w:color="auto"/>
        <w:left w:val="none" w:sz="0" w:space="0" w:color="auto"/>
        <w:bottom w:val="none" w:sz="0" w:space="0" w:color="auto"/>
        <w:right w:val="none" w:sz="0" w:space="0" w:color="auto"/>
      </w:divBdr>
    </w:div>
    <w:div w:id="443426511">
      <w:bodyDiv w:val="1"/>
      <w:marLeft w:val="0"/>
      <w:marRight w:val="0"/>
      <w:marTop w:val="0"/>
      <w:marBottom w:val="0"/>
      <w:divBdr>
        <w:top w:val="none" w:sz="0" w:space="0" w:color="auto"/>
        <w:left w:val="none" w:sz="0" w:space="0" w:color="auto"/>
        <w:bottom w:val="none" w:sz="0" w:space="0" w:color="auto"/>
        <w:right w:val="none" w:sz="0" w:space="0" w:color="auto"/>
      </w:divBdr>
    </w:div>
    <w:div w:id="443617097">
      <w:bodyDiv w:val="1"/>
      <w:marLeft w:val="0"/>
      <w:marRight w:val="0"/>
      <w:marTop w:val="0"/>
      <w:marBottom w:val="0"/>
      <w:divBdr>
        <w:top w:val="none" w:sz="0" w:space="0" w:color="auto"/>
        <w:left w:val="none" w:sz="0" w:space="0" w:color="auto"/>
        <w:bottom w:val="none" w:sz="0" w:space="0" w:color="auto"/>
        <w:right w:val="none" w:sz="0" w:space="0" w:color="auto"/>
      </w:divBdr>
    </w:div>
    <w:div w:id="443622585">
      <w:bodyDiv w:val="1"/>
      <w:marLeft w:val="0"/>
      <w:marRight w:val="0"/>
      <w:marTop w:val="0"/>
      <w:marBottom w:val="0"/>
      <w:divBdr>
        <w:top w:val="none" w:sz="0" w:space="0" w:color="auto"/>
        <w:left w:val="none" w:sz="0" w:space="0" w:color="auto"/>
        <w:bottom w:val="none" w:sz="0" w:space="0" w:color="auto"/>
        <w:right w:val="none" w:sz="0" w:space="0" w:color="auto"/>
      </w:divBdr>
    </w:div>
    <w:div w:id="443622604">
      <w:bodyDiv w:val="1"/>
      <w:marLeft w:val="0"/>
      <w:marRight w:val="0"/>
      <w:marTop w:val="0"/>
      <w:marBottom w:val="0"/>
      <w:divBdr>
        <w:top w:val="none" w:sz="0" w:space="0" w:color="auto"/>
        <w:left w:val="none" w:sz="0" w:space="0" w:color="auto"/>
        <w:bottom w:val="none" w:sz="0" w:space="0" w:color="auto"/>
        <w:right w:val="none" w:sz="0" w:space="0" w:color="auto"/>
      </w:divBdr>
    </w:div>
    <w:div w:id="443689674">
      <w:bodyDiv w:val="1"/>
      <w:marLeft w:val="0"/>
      <w:marRight w:val="0"/>
      <w:marTop w:val="0"/>
      <w:marBottom w:val="0"/>
      <w:divBdr>
        <w:top w:val="none" w:sz="0" w:space="0" w:color="auto"/>
        <w:left w:val="none" w:sz="0" w:space="0" w:color="auto"/>
        <w:bottom w:val="none" w:sz="0" w:space="0" w:color="auto"/>
        <w:right w:val="none" w:sz="0" w:space="0" w:color="auto"/>
      </w:divBdr>
    </w:div>
    <w:div w:id="443766590">
      <w:bodyDiv w:val="1"/>
      <w:marLeft w:val="0"/>
      <w:marRight w:val="0"/>
      <w:marTop w:val="0"/>
      <w:marBottom w:val="0"/>
      <w:divBdr>
        <w:top w:val="none" w:sz="0" w:space="0" w:color="auto"/>
        <w:left w:val="none" w:sz="0" w:space="0" w:color="auto"/>
        <w:bottom w:val="none" w:sz="0" w:space="0" w:color="auto"/>
        <w:right w:val="none" w:sz="0" w:space="0" w:color="auto"/>
      </w:divBdr>
    </w:div>
    <w:div w:id="443770203">
      <w:bodyDiv w:val="1"/>
      <w:marLeft w:val="0"/>
      <w:marRight w:val="0"/>
      <w:marTop w:val="0"/>
      <w:marBottom w:val="0"/>
      <w:divBdr>
        <w:top w:val="none" w:sz="0" w:space="0" w:color="auto"/>
        <w:left w:val="none" w:sz="0" w:space="0" w:color="auto"/>
        <w:bottom w:val="none" w:sz="0" w:space="0" w:color="auto"/>
        <w:right w:val="none" w:sz="0" w:space="0" w:color="auto"/>
      </w:divBdr>
    </w:div>
    <w:div w:id="443883490">
      <w:bodyDiv w:val="1"/>
      <w:marLeft w:val="0"/>
      <w:marRight w:val="0"/>
      <w:marTop w:val="0"/>
      <w:marBottom w:val="0"/>
      <w:divBdr>
        <w:top w:val="none" w:sz="0" w:space="0" w:color="auto"/>
        <w:left w:val="none" w:sz="0" w:space="0" w:color="auto"/>
        <w:bottom w:val="none" w:sz="0" w:space="0" w:color="auto"/>
        <w:right w:val="none" w:sz="0" w:space="0" w:color="auto"/>
      </w:divBdr>
    </w:div>
    <w:div w:id="443885268">
      <w:bodyDiv w:val="1"/>
      <w:marLeft w:val="0"/>
      <w:marRight w:val="0"/>
      <w:marTop w:val="0"/>
      <w:marBottom w:val="0"/>
      <w:divBdr>
        <w:top w:val="none" w:sz="0" w:space="0" w:color="auto"/>
        <w:left w:val="none" w:sz="0" w:space="0" w:color="auto"/>
        <w:bottom w:val="none" w:sz="0" w:space="0" w:color="auto"/>
        <w:right w:val="none" w:sz="0" w:space="0" w:color="auto"/>
      </w:divBdr>
    </w:div>
    <w:div w:id="443886706">
      <w:bodyDiv w:val="1"/>
      <w:marLeft w:val="0"/>
      <w:marRight w:val="0"/>
      <w:marTop w:val="0"/>
      <w:marBottom w:val="0"/>
      <w:divBdr>
        <w:top w:val="none" w:sz="0" w:space="0" w:color="auto"/>
        <w:left w:val="none" w:sz="0" w:space="0" w:color="auto"/>
        <w:bottom w:val="none" w:sz="0" w:space="0" w:color="auto"/>
        <w:right w:val="none" w:sz="0" w:space="0" w:color="auto"/>
      </w:divBdr>
    </w:div>
    <w:div w:id="443960162">
      <w:bodyDiv w:val="1"/>
      <w:marLeft w:val="0"/>
      <w:marRight w:val="0"/>
      <w:marTop w:val="0"/>
      <w:marBottom w:val="0"/>
      <w:divBdr>
        <w:top w:val="none" w:sz="0" w:space="0" w:color="auto"/>
        <w:left w:val="none" w:sz="0" w:space="0" w:color="auto"/>
        <w:bottom w:val="none" w:sz="0" w:space="0" w:color="auto"/>
        <w:right w:val="none" w:sz="0" w:space="0" w:color="auto"/>
      </w:divBdr>
    </w:div>
    <w:div w:id="443967477">
      <w:bodyDiv w:val="1"/>
      <w:marLeft w:val="0"/>
      <w:marRight w:val="0"/>
      <w:marTop w:val="0"/>
      <w:marBottom w:val="0"/>
      <w:divBdr>
        <w:top w:val="none" w:sz="0" w:space="0" w:color="auto"/>
        <w:left w:val="none" w:sz="0" w:space="0" w:color="auto"/>
        <w:bottom w:val="none" w:sz="0" w:space="0" w:color="auto"/>
        <w:right w:val="none" w:sz="0" w:space="0" w:color="auto"/>
      </w:divBdr>
    </w:div>
    <w:div w:id="443967924">
      <w:bodyDiv w:val="1"/>
      <w:marLeft w:val="0"/>
      <w:marRight w:val="0"/>
      <w:marTop w:val="0"/>
      <w:marBottom w:val="0"/>
      <w:divBdr>
        <w:top w:val="none" w:sz="0" w:space="0" w:color="auto"/>
        <w:left w:val="none" w:sz="0" w:space="0" w:color="auto"/>
        <w:bottom w:val="none" w:sz="0" w:space="0" w:color="auto"/>
        <w:right w:val="none" w:sz="0" w:space="0" w:color="auto"/>
      </w:divBdr>
    </w:div>
    <w:div w:id="444079879">
      <w:bodyDiv w:val="1"/>
      <w:marLeft w:val="0"/>
      <w:marRight w:val="0"/>
      <w:marTop w:val="0"/>
      <w:marBottom w:val="0"/>
      <w:divBdr>
        <w:top w:val="none" w:sz="0" w:space="0" w:color="auto"/>
        <w:left w:val="none" w:sz="0" w:space="0" w:color="auto"/>
        <w:bottom w:val="none" w:sz="0" w:space="0" w:color="auto"/>
        <w:right w:val="none" w:sz="0" w:space="0" w:color="auto"/>
      </w:divBdr>
    </w:div>
    <w:div w:id="444159733">
      <w:bodyDiv w:val="1"/>
      <w:marLeft w:val="0"/>
      <w:marRight w:val="0"/>
      <w:marTop w:val="0"/>
      <w:marBottom w:val="0"/>
      <w:divBdr>
        <w:top w:val="none" w:sz="0" w:space="0" w:color="auto"/>
        <w:left w:val="none" w:sz="0" w:space="0" w:color="auto"/>
        <w:bottom w:val="none" w:sz="0" w:space="0" w:color="auto"/>
        <w:right w:val="none" w:sz="0" w:space="0" w:color="auto"/>
      </w:divBdr>
    </w:div>
    <w:div w:id="444278870">
      <w:bodyDiv w:val="1"/>
      <w:marLeft w:val="0"/>
      <w:marRight w:val="0"/>
      <w:marTop w:val="0"/>
      <w:marBottom w:val="0"/>
      <w:divBdr>
        <w:top w:val="none" w:sz="0" w:space="0" w:color="auto"/>
        <w:left w:val="none" w:sz="0" w:space="0" w:color="auto"/>
        <w:bottom w:val="none" w:sz="0" w:space="0" w:color="auto"/>
        <w:right w:val="none" w:sz="0" w:space="0" w:color="auto"/>
      </w:divBdr>
    </w:div>
    <w:div w:id="444424105">
      <w:bodyDiv w:val="1"/>
      <w:marLeft w:val="0"/>
      <w:marRight w:val="0"/>
      <w:marTop w:val="0"/>
      <w:marBottom w:val="0"/>
      <w:divBdr>
        <w:top w:val="none" w:sz="0" w:space="0" w:color="auto"/>
        <w:left w:val="none" w:sz="0" w:space="0" w:color="auto"/>
        <w:bottom w:val="none" w:sz="0" w:space="0" w:color="auto"/>
        <w:right w:val="none" w:sz="0" w:space="0" w:color="auto"/>
      </w:divBdr>
    </w:div>
    <w:div w:id="444497032">
      <w:bodyDiv w:val="1"/>
      <w:marLeft w:val="0"/>
      <w:marRight w:val="0"/>
      <w:marTop w:val="0"/>
      <w:marBottom w:val="0"/>
      <w:divBdr>
        <w:top w:val="none" w:sz="0" w:space="0" w:color="auto"/>
        <w:left w:val="none" w:sz="0" w:space="0" w:color="auto"/>
        <w:bottom w:val="none" w:sz="0" w:space="0" w:color="auto"/>
        <w:right w:val="none" w:sz="0" w:space="0" w:color="auto"/>
      </w:divBdr>
    </w:div>
    <w:div w:id="444539645">
      <w:bodyDiv w:val="1"/>
      <w:marLeft w:val="0"/>
      <w:marRight w:val="0"/>
      <w:marTop w:val="0"/>
      <w:marBottom w:val="0"/>
      <w:divBdr>
        <w:top w:val="none" w:sz="0" w:space="0" w:color="auto"/>
        <w:left w:val="none" w:sz="0" w:space="0" w:color="auto"/>
        <w:bottom w:val="none" w:sz="0" w:space="0" w:color="auto"/>
        <w:right w:val="none" w:sz="0" w:space="0" w:color="auto"/>
      </w:divBdr>
    </w:div>
    <w:div w:id="444735353">
      <w:bodyDiv w:val="1"/>
      <w:marLeft w:val="0"/>
      <w:marRight w:val="0"/>
      <w:marTop w:val="0"/>
      <w:marBottom w:val="0"/>
      <w:divBdr>
        <w:top w:val="none" w:sz="0" w:space="0" w:color="auto"/>
        <w:left w:val="none" w:sz="0" w:space="0" w:color="auto"/>
        <w:bottom w:val="none" w:sz="0" w:space="0" w:color="auto"/>
        <w:right w:val="none" w:sz="0" w:space="0" w:color="auto"/>
      </w:divBdr>
    </w:div>
    <w:div w:id="444885854">
      <w:bodyDiv w:val="1"/>
      <w:marLeft w:val="0"/>
      <w:marRight w:val="0"/>
      <w:marTop w:val="0"/>
      <w:marBottom w:val="0"/>
      <w:divBdr>
        <w:top w:val="none" w:sz="0" w:space="0" w:color="auto"/>
        <w:left w:val="none" w:sz="0" w:space="0" w:color="auto"/>
        <w:bottom w:val="none" w:sz="0" w:space="0" w:color="auto"/>
        <w:right w:val="none" w:sz="0" w:space="0" w:color="auto"/>
      </w:divBdr>
    </w:div>
    <w:div w:id="444927288">
      <w:bodyDiv w:val="1"/>
      <w:marLeft w:val="0"/>
      <w:marRight w:val="0"/>
      <w:marTop w:val="0"/>
      <w:marBottom w:val="0"/>
      <w:divBdr>
        <w:top w:val="none" w:sz="0" w:space="0" w:color="auto"/>
        <w:left w:val="none" w:sz="0" w:space="0" w:color="auto"/>
        <w:bottom w:val="none" w:sz="0" w:space="0" w:color="auto"/>
        <w:right w:val="none" w:sz="0" w:space="0" w:color="auto"/>
      </w:divBdr>
    </w:div>
    <w:div w:id="444928098">
      <w:bodyDiv w:val="1"/>
      <w:marLeft w:val="0"/>
      <w:marRight w:val="0"/>
      <w:marTop w:val="0"/>
      <w:marBottom w:val="0"/>
      <w:divBdr>
        <w:top w:val="none" w:sz="0" w:space="0" w:color="auto"/>
        <w:left w:val="none" w:sz="0" w:space="0" w:color="auto"/>
        <w:bottom w:val="none" w:sz="0" w:space="0" w:color="auto"/>
        <w:right w:val="none" w:sz="0" w:space="0" w:color="auto"/>
      </w:divBdr>
    </w:div>
    <w:div w:id="445122106">
      <w:bodyDiv w:val="1"/>
      <w:marLeft w:val="0"/>
      <w:marRight w:val="0"/>
      <w:marTop w:val="0"/>
      <w:marBottom w:val="0"/>
      <w:divBdr>
        <w:top w:val="none" w:sz="0" w:space="0" w:color="auto"/>
        <w:left w:val="none" w:sz="0" w:space="0" w:color="auto"/>
        <w:bottom w:val="none" w:sz="0" w:space="0" w:color="auto"/>
        <w:right w:val="none" w:sz="0" w:space="0" w:color="auto"/>
      </w:divBdr>
    </w:div>
    <w:div w:id="445277733">
      <w:bodyDiv w:val="1"/>
      <w:marLeft w:val="0"/>
      <w:marRight w:val="0"/>
      <w:marTop w:val="0"/>
      <w:marBottom w:val="0"/>
      <w:divBdr>
        <w:top w:val="none" w:sz="0" w:space="0" w:color="auto"/>
        <w:left w:val="none" w:sz="0" w:space="0" w:color="auto"/>
        <w:bottom w:val="none" w:sz="0" w:space="0" w:color="auto"/>
        <w:right w:val="none" w:sz="0" w:space="0" w:color="auto"/>
      </w:divBdr>
    </w:div>
    <w:div w:id="445346247">
      <w:bodyDiv w:val="1"/>
      <w:marLeft w:val="0"/>
      <w:marRight w:val="0"/>
      <w:marTop w:val="0"/>
      <w:marBottom w:val="0"/>
      <w:divBdr>
        <w:top w:val="none" w:sz="0" w:space="0" w:color="auto"/>
        <w:left w:val="none" w:sz="0" w:space="0" w:color="auto"/>
        <w:bottom w:val="none" w:sz="0" w:space="0" w:color="auto"/>
        <w:right w:val="none" w:sz="0" w:space="0" w:color="auto"/>
      </w:divBdr>
    </w:div>
    <w:div w:id="445346668">
      <w:bodyDiv w:val="1"/>
      <w:marLeft w:val="0"/>
      <w:marRight w:val="0"/>
      <w:marTop w:val="0"/>
      <w:marBottom w:val="0"/>
      <w:divBdr>
        <w:top w:val="none" w:sz="0" w:space="0" w:color="auto"/>
        <w:left w:val="none" w:sz="0" w:space="0" w:color="auto"/>
        <w:bottom w:val="none" w:sz="0" w:space="0" w:color="auto"/>
        <w:right w:val="none" w:sz="0" w:space="0" w:color="auto"/>
      </w:divBdr>
    </w:div>
    <w:div w:id="445347657">
      <w:bodyDiv w:val="1"/>
      <w:marLeft w:val="0"/>
      <w:marRight w:val="0"/>
      <w:marTop w:val="0"/>
      <w:marBottom w:val="0"/>
      <w:divBdr>
        <w:top w:val="none" w:sz="0" w:space="0" w:color="auto"/>
        <w:left w:val="none" w:sz="0" w:space="0" w:color="auto"/>
        <w:bottom w:val="none" w:sz="0" w:space="0" w:color="auto"/>
        <w:right w:val="none" w:sz="0" w:space="0" w:color="auto"/>
      </w:divBdr>
    </w:div>
    <w:div w:id="445390280">
      <w:bodyDiv w:val="1"/>
      <w:marLeft w:val="0"/>
      <w:marRight w:val="0"/>
      <w:marTop w:val="0"/>
      <w:marBottom w:val="0"/>
      <w:divBdr>
        <w:top w:val="none" w:sz="0" w:space="0" w:color="auto"/>
        <w:left w:val="none" w:sz="0" w:space="0" w:color="auto"/>
        <w:bottom w:val="none" w:sz="0" w:space="0" w:color="auto"/>
        <w:right w:val="none" w:sz="0" w:space="0" w:color="auto"/>
      </w:divBdr>
    </w:div>
    <w:div w:id="445462201">
      <w:bodyDiv w:val="1"/>
      <w:marLeft w:val="0"/>
      <w:marRight w:val="0"/>
      <w:marTop w:val="0"/>
      <w:marBottom w:val="0"/>
      <w:divBdr>
        <w:top w:val="none" w:sz="0" w:space="0" w:color="auto"/>
        <w:left w:val="none" w:sz="0" w:space="0" w:color="auto"/>
        <w:bottom w:val="none" w:sz="0" w:space="0" w:color="auto"/>
        <w:right w:val="none" w:sz="0" w:space="0" w:color="auto"/>
      </w:divBdr>
    </w:div>
    <w:div w:id="445464528">
      <w:bodyDiv w:val="1"/>
      <w:marLeft w:val="0"/>
      <w:marRight w:val="0"/>
      <w:marTop w:val="0"/>
      <w:marBottom w:val="0"/>
      <w:divBdr>
        <w:top w:val="none" w:sz="0" w:space="0" w:color="auto"/>
        <w:left w:val="none" w:sz="0" w:space="0" w:color="auto"/>
        <w:bottom w:val="none" w:sz="0" w:space="0" w:color="auto"/>
        <w:right w:val="none" w:sz="0" w:space="0" w:color="auto"/>
      </w:divBdr>
    </w:div>
    <w:div w:id="445469388">
      <w:bodyDiv w:val="1"/>
      <w:marLeft w:val="0"/>
      <w:marRight w:val="0"/>
      <w:marTop w:val="0"/>
      <w:marBottom w:val="0"/>
      <w:divBdr>
        <w:top w:val="none" w:sz="0" w:space="0" w:color="auto"/>
        <w:left w:val="none" w:sz="0" w:space="0" w:color="auto"/>
        <w:bottom w:val="none" w:sz="0" w:space="0" w:color="auto"/>
        <w:right w:val="none" w:sz="0" w:space="0" w:color="auto"/>
      </w:divBdr>
    </w:div>
    <w:div w:id="445541975">
      <w:bodyDiv w:val="1"/>
      <w:marLeft w:val="0"/>
      <w:marRight w:val="0"/>
      <w:marTop w:val="0"/>
      <w:marBottom w:val="0"/>
      <w:divBdr>
        <w:top w:val="none" w:sz="0" w:space="0" w:color="auto"/>
        <w:left w:val="none" w:sz="0" w:space="0" w:color="auto"/>
        <w:bottom w:val="none" w:sz="0" w:space="0" w:color="auto"/>
        <w:right w:val="none" w:sz="0" w:space="0" w:color="auto"/>
      </w:divBdr>
    </w:div>
    <w:div w:id="445730944">
      <w:bodyDiv w:val="1"/>
      <w:marLeft w:val="0"/>
      <w:marRight w:val="0"/>
      <w:marTop w:val="0"/>
      <w:marBottom w:val="0"/>
      <w:divBdr>
        <w:top w:val="none" w:sz="0" w:space="0" w:color="auto"/>
        <w:left w:val="none" w:sz="0" w:space="0" w:color="auto"/>
        <w:bottom w:val="none" w:sz="0" w:space="0" w:color="auto"/>
        <w:right w:val="none" w:sz="0" w:space="0" w:color="auto"/>
      </w:divBdr>
    </w:div>
    <w:div w:id="445733716">
      <w:bodyDiv w:val="1"/>
      <w:marLeft w:val="0"/>
      <w:marRight w:val="0"/>
      <w:marTop w:val="0"/>
      <w:marBottom w:val="0"/>
      <w:divBdr>
        <w:top w:val="none" w:sz="0" w:space="0" w:color="auto"/>
        <w:left w:val="none" w:sz="0" w:space="0" w:color="auto"/>
        <w:bottom w:val="none" w:sz="0" w:space="0" w:color="auto"/>
        <w:right w:val="none" w:sz="0" w:space="0" w:color="auto"/>
      </w:divBdr>
    </w:div>
    <w:div w:id="445778423">
      <w:bodyDiv w:val="1"/>
      <w:marLeft w:val="0"/>
      <w:marRight w:val="0"/>
      <w:marTop w:val="0"/>
      <w:marBottom w:val="0"/>
      <w:divBdr>
        <w:top w:val="none" w:sz="0" w:space="0" w:color="auto"/>
        <w:left w:val="none" w:sz="0" w:space="0" w:color="auto"/>
        <w:bottom w:val="none" w:sz="0" w:space="0" w:color="auto"/>
        <w:right w:val="none" w:sz="0" w:space="0" w:color="auto"/>
      </w:divBdr>
    </w:div>
    <w:div w:id="445781609">
      <w:bodyDiv w:val="1"/>
      <w:marLeft w:val="0"/>
      <w:marRight w:val="0"/>
      <w:marTop w:val="0"/>
      <w:marBottom w:val="0"/>
      <w:divBdr>
        <w:top w:val="none" w:sz="0" w:space="0" w:color="auto"/>
        <w:left w:val="none" w:sz="0" w:space="0" w:color="auto"/>
        <w:bottom w:val="none" w:sz="0" w:space="0" w:color="auto"/>
        <w:right w:val="none" w:sz="0" w:space="0" w:color="auto"/>
      </w:divBdr>
    </w:div>
    <w:div w:id="445782138">
      <w:bodyDiv w:val="1"/>
      <w:marLeft w:val="0"/>
      <w:marRight w:val="0"/>
      <w:marTop w:val="0"/>
      <w:marBottom w:val="0"/>
      <w:divBdr>
        <w:top w:val="none" w:sz="0" w:space="0" w:color="auto"/>
        <w:left w:val="none" w:sz="0" w:space="0" w:color="auto"/>
        <w:bottom w:val="none" w:sz="0" w:space="0" w:color="auto"/>
        <w:right w:val="none" w:sz="0" w:space="0" w:color="auto"/>
      </w:divBdr>
    </w:div>
    <w:div w:id="445926254">
      <w:bodyDiv w:val="1"/>
      <w:marLeft w:val="0"/>
      <w:marRight w:val="0"/>
      <w:marTop w:val="0"/>
      <w:marBottom w:val="0"/>
      <w:divBdr>
        <w:top w:val="none" w:sz="0" w:space="0" w:color="auto"/>
        <w:left w:val="none" w:sz="0" w:space="0" w:color="auto"/>
        <w:bottom w:val="none" w:sz="0" w:space="0" w:color="auto"/>
        <w:right w:val="none" w:sz="0" w:space="0" w:color="auto"/>
      </w:divBdr>
    </w:div>
    <w:div w:id="445928796">
      <w:bodyDiv w:val="1"/>
      <w:marLeft w:val="0"/>
      <w:marRight w:val="0"/>
      <w:marTop w:val="0"/>
      <w:marBottom w:val="0"/>
      <w:divBdr>
        <w:top w:val="none" w:sz="0" w:space="0" w:color="auto"/>
        <w:left w:val="none" w:sz="0" w:space="0" w:color="auto"/>
        <w:bottom w:val="none" w:sz="0" w:space="0" w:color="auto"/>
        <w:right w:val="none" w:sz="0" w:space="0" w:color="auto"/>
      </w:divBdr>
    </w:div>
    <w:div w:id="446048410">
      <w:bodyDiv w:val="1"/>
      <w:marLeft w:val="0"/>
      <w:marRight w:val="0"/>
      <w:marTop w:val="0"/>
      <w:marBottom w:val="0"/>
      <w:divBdr>
        <w:top w:val="none" w:sz="0" w:space="0" w:color="auto"/>
        <w:left w:val="none" w:sz="0" w:space="0" w:color="auto"/>
        <w:bottom w:val="none" w:sz="0" w:space="0" w:color="auto"/>
        <w:right w:val="none" w:sz="0" w:space="0" w:color="auto"/>
      </w:divBdr>
    </w:div>
    <w:div w:id="446127094">
      <w:bodyDiv w:val="1"/>
      <w:marLeft w:val="0"/>
      <w:marRight w:val="0"/>
      <w:marTop w:val="0"/>
      <w:marBottom w:val="0"/>
      <w:divBdr>
        <w:top w:val="none" w:sz="0" w:space="0" w:color="auto"/>
        <w:left w:val="none" w:sz="0" w:space="0" w:color="auto"/>
        <w:bottom w:val="none" w:sz="0" w:space="0" w:color="auto"/>
        <w:right w:val="none" w:sz="0" w:space="0" w:color="auto"/>
      </w:divBdr>
    </w:div>
    <w:div w:id="446314012">
      <w:bodyDiv w:val="1"/>
      <w:marLeft w:val="0"/>
      <w:marRight w:val="0"/>
      <w:marTop w:val="0"/>
      <w:marBottom w:val="0"/>
      <w:divBdr>
        <w:top w:val="none" w:sz="0" w:space="0" w:color="auto"/>
        <w:left w:val="none" w:sz="0" w:space="0" w:color="auto"/>
        <w:bottom w:val="none" w:sz="0" w:space="0" w:color="auto"/>
        <w:right w:val="none" w:sz="0" w:space="0" w:color="auto"/>
      </w:divBdr>
    </w:div>
    <w:div w:id="446392237">
      <w:bodyDiv w:val="1"/>
      <w:marLeft w:val="0"/>
      <w:marRight w:val="0"/>
      <w:marTop w:val="0"/>
      <w:marBottom w:val="0"/>
      <w:divBdr>
        <w:top w:val="none" w:sz="0" w:space="0" w:color="auto"/>
        <w:left w:val="none" w:sz="0" w:space="0" w:color="auto"/>
        <w:bottom w:val="none" w:sz="0" w:space="0" w:color="auto"/>
        <w:right w:val="none" w:sz="0" w:space="0" w:color="auto"/>
      </w:divBdr>
    </w:div>
    <w:div w:id="446462196">
      <w:bodyDiv w:val="1"/>
      <w:marLeft w:val="0"/>
      <w:marRight w:val="0"/>
      <w:marTop w:val="0"/>
      <w:marBottom w:val="0"/>
      <w:divBdr>
        <w:top w:val="none" w:sz="0" w:space="0" w:color="auto"/>
        <w:left w:val="none" w:sz="0" w:space="0" w:color="auto"/>
        <w:bottom w:val="none" w:sz="0" w:space="0" w:color="auto"/>
        <w:right w:val="none" w:sz="0" w:space="0" w:color="auto"/>
      </w:divBdr>
    </w:div>
    <w:div w:id="446504545">
      <w:bodyDiv w:val="1"/>
      <w:marLeft w:val="0"/>
      <w:marRight w:val="0"/>
      <w:marTop w:val="0"/>
      <w:marBottom w:val="0"/>
      <w:divBdr>
        <w:top w:val="none" w:sz="0" w:space="0" w:color="auto"/>
        <w:left w:val="none" w:sz="0" w:space="0" w:color="auto"/>
        <w:bottom w:val="none" w:sz="0" w:space="0" w:color="auto"/>
        <w:right w:val="none" w:sz="0" w:space="0" w:color="auto"/>
      </w:divBdr>
    </w:div>
    <w:div w:id="446512089">
      <w:bodyDiv w:val="1"/>
      <w:marLeft w:val="0"/>
      <w:marRight w:val="0"/>
      <w:marTop w:val="0"/>
      <w:marBottom w:val="0"/>
      <w:divBdr>
        <w:top w:val="none" w:sz="0" w:space="0" w:color="auto"/>
        <w:left w:val="none" w:sz="0" w:space="0" w:color="auto"/>
        <w:bottom w:val="none" w:sz="0" w:space="0" w:color="auto"/>
        <w:right w:val="none" w:sz="0" w:space="0" w:color="auto"/>
      </w:divBdr>
    </w:div>
    <w:div w:id="446584228">
      <w:bodyDiv w:val="1"/>
      <w:marLeft w:val="0"/>
      <w:marRight w:val="0"/>
      <w:marTop w:val="0"/>
      <w:marBottom w:val="0"/>
      <w:divBdr>
        <w:top w:val="none" w:sz="0" w:space="0" w:color="auto"/>
        <w:left w:val="none" w:sz="0" w:space="0" w:color="auto"/>
        <w:bottom w:val="none" w:sz="0" w:space="0" w:color="auto"/>
        <w:right w:val="none" w:sz="0" w:space="0" w:color="auto"/>
      </w:divBdr>
    </w:div>
    <w:div w:id="446627992">
      <w:bodyDiv w:val="1"/>
      <w:marLeft w:val="0"/>
      <w:marRight w:val="0"/>
      <w:marTop w:val="0"/>
      <w:marBottom w:val="0"/>
      <w:divBdr>
        <w:top w:val="none" w:sz="0" w:space="0" w:color="auto"/>
        <w:left w:val="none" w:sz="0" w:space="0" w:color="auto"/>
        <w:bottom w:val="none" w:sz="0" w:space="0" w:color="auto"/>
        <w:right w:val="none" w:sz="0" w:space="0" w:color="auto"/>
      </w:divBdr>
    </w:div>
    <w:div w:id="446629934">
      <w:bodyDiv w:val="1"/>
      <w:marLeft w:val="0"/>
      <w:marRight w:val="0"/>
      <w:marTop w:val="0"/>
      <w:marBottom w:val="0"/>
      <w:divBdr>
        <w:top w:val="none" w:sz="0" w:space="0" w:color="auto"/>
        <w:left w:val="none" w:sz="0" w:space="0" w:color="auto"/>
        <w:bottom w:val="none" w:sz="0" w:space="0" w:color="auto"/>
        <w:right w:val="none" w:sz="0" w:space="0" w:color="auto"/>
      </w:divBdr>
    </w:div>
    <w:div w:id="446702908">
      <w:bodyDiv w:val="1"/>
      <w:marLeft w:val="0"/>
      <w:marRight w:val="0"/>
      <w:marTop w:val="0"/>
      <w:marBottom w:val="0"/>
      <w:divBdr>
        <w:top w:val="none" w:sz="0" w:space="0" w:color="auto"/>
        <w:left w:val="none" w:sz="0" w:space="0" w:color="auto"/>
        <w:bottom w:val="none" w:sz="0" w:space="0" w:color="auto"/>
        <w:right w:val="none" w:sz="0" w:space="0" w:color="auto"/>
      </w:divBdr>
    </w:div>
    <w:div w:id="446895371">
      <w:bodyDiv w:val="1"/>
      <w:marLeft w:val="0"/>
      <w:marRight w:val="0"/>
      <w:marTop w:val="0"/>
      <w:marBottom w:val="0"/>
      <w:divBdr>
        <w:top w:val="none" w:sz="0" w:space="0" w:color="auto"/>
        <w:left w:val="none" w:sz="0" w:space="0" w:color="auto"/>
        <w:bottom w:val="none" w:sz="0" w:space="0" w:color="auto"/>
        <w:right w:val="none" w:sz="0" w:space="0" w:color="auto"/>
      </w:divBdr>
    </w:div>
    <w:div w:id="446897376">
      <w:bodyDiv w:val="1"/>
      <w:marLeft w:val="0"/>
      <w:marRight w:val="0"/>
      <w:marTop w:val="0"/>
      <w:marBottom w:val="0"/>
      <w:divBdr>
        <w:top w:val="none" w:sz="0" w:space="0" w:color="auto"/>
        <w:left w:val="none" w:sz="0" w:space="0" w:color="auto"/>
        <w:bottom w:val="none" w:sz="0" w:space="0" w:color="auto"/>
        <w:right w:val="none" w:sz="0" w:space="0" w:color="auto"/>
      </w:divBdr>
    </w:div>
    <w:div w:id="446969940">
      <w:bodyDiv w:val="1"/>
      <w:marLeft w:val="0"/>
      <w:marRight w:val="0"/>
      <w:marTop w:val="0"/>
      <w:marBottom w:val="0"/>
      <w:divBdr>
        <w:top w:val="none" w:sz="0" w:space="0" w:color="auto"/>
        <w:left w:val="none" w:sz="0" w:space="0" w:color="auto"/>
        <w:bottom w:val="none" w:sz="0" w:space="0" w:color="auto"/>
        <w:right w:val="none" w:sz="0" w:space="0" w:color="auto"/>
      </w:divBdr>
    </w:div>
    <w:div w:id="447428034">
      <w:bodyDiv w:val="1"/>
      <w:marLeft w:val="0"/>
      <w:marRight w:val="0"/>
      <w:marTop w:val="0"/>
      <w:marBottom w:val="0"/>
      <w:divBdr>
        <w:top w:val="none" w:sz="0" w:space="0" w:color="auto"/>
        <w:left w:val="none" w:sz="0" w:space="0" w:color="auto"/>
        <w:bottom w:val="none" w:sz="0" w:space="0" w:color="auto"/>
        <w:right w:val="none" w:sz="0" w:space="0" w:color="auto"/>
      </w:divBdr>
    </w:div>
    <w:div w:id="447430849">
      <w:bodyDiv w:val="1"/>
      <w:marLeft w:val="0"/>
      <w:marRight w:val="0"/>
      <w:marTop w:val="0"/>
      <w:marBottom w:val="0"/>
      <w:divBdr>
        <w:top w:val="none" w:sz="0" w:space="0" w:color="auto"/>
        <w:left w:val="none" w:sz="0" w:space="0" w:color="auto"/>
        <w:bottom w:val="none" w:sz="0" w:space="0" w:color="auto"/>
        <w:right w:val="none" w:sz="0" w:space="0" w:color="auto"/>
      </w:divBdr>
    </w:div>
    <w:div w:id="447433410">
      <w:bodyDiv w:val="1"/>
      <w:marLeft w:val="0"/>
      <w:marRight w:val="0"/>
      <w:marTop w:val="0"/>
      <w:marBottom w:val="0"/>
      <w:divBdr>
        <w:top w:val="none" w:sz="0" w:space="0" w:color="auto"/>
        <w:left w:val="none" w:sz="0" w:space="0" w:color="auto"/>
        <w:bottom w:val="none" w:sz="0" w:space="0" w:color="auto"/>
        <w:right w:val="none" w:sz="0" w:space="0" w:color="auto"/>
      </w:divBdr>
    </w:div>
    <w:div w:id="447552327">
      <w:bodyDiv w:val="1"/>
      <w:marLeft w:val="0"/>
      <w:marRight w:val="0"/>
      <w:marTop w:val="0"/>
      <w:marBottom w:val="0"/>
      <w:divBdr>
        <w:top w:val="none" w:sz="0" w:space="0" w:color="auto"/>
        <w:left w:val="none" w:sz="0" w:space="0" w:color="auto"/>
        <w:bottom w:val="none" w:sz="0" w:space="0" w:color="auto"/>
        <w:right w:val="none" w:sz="0" w:space="0" w:color="auto"/>
      </w:divBdr>
    </w:div>
    <w:div w:id="447624325">
      <w:bodyDiv w:val="1"/>
      <w:marLeft w:val="0"/>
      <w:marRight w:val="0"/>
      <w:marTop w:val="0"/>
      <w:marBottom w:val="0"/>
      <w:divBdr>
        <w:top w:val="none" w:sz="0" w:space="0" w:color="auto"/>
        <w:left w:val="none" w:sz="0" w:space="0" w:color="auto"/>
        <w:bottom w:val="none" w:sz="0" w:space="0" w:color="auto"/>
        <w:right w:val="none" w:sz="0" w:space="0" w:color="auto"/>
      </w:divBdr>
    </w:div>
    <w:div w:id="447627082">
      <w:bodyDiv w:val="1"/>
      <w:marLeft w:val="0"/>
      <w:marRight w:val="0"/>
      <w:marTop w:val="0"/>
      <w:marBottom w:val="0"/>
      <w:divBdr>
        <w:top w:val="none" w:sz="0" w:space="0" w:color="auto"/>
        <w:left w:val="none" w:sz="0" w:space="0" w:color="auto"/>
        <w:bottom w:val="none" w:sz="0" w:space="0" w:color="auto"/>
        <w:right w:val="none" w:sz="0" w:space="0" w:color="auto"/>
      </w:divBdr>
    </w:div>
    <w:div w:id="447698258">
      <w:bodyDiv w:val="1"/>
      <w:marLeft w:val="0"/>
      <w:marRight w:val="0"/>
      <w:marTop w:val="0"/>
      <w:marBottom w:val="0"/>
      <w:divBdr>
        <w:top w:val="none" w:sz="0" w:space="0" w:color="auto"/>
        <w:left w:val="none" w:sz="0" w:space="0" w:color="auto"/>
        <w:bottom w:val="none" w:sz="0" w:space="0" w:color="auto"/>
        <w:right w:val="none" w:sz="0" w:space="0" w:color="auto"/>
      </w:divBdr>
    </w:div>
    <w:div w:id="447700870">
      <w:bodyDiv w:val="1"/>
      <w:marLeft w:val="0"/>
      <w:marRight w:val="0"/>
      <w:marTop w:val="0"/>
      <w:marBottom w:val="0"/>
      <w:divBdr>
        <w:top w:val="none" w:sz="0" w:space="0" w:color="auto"/>
        <w:left w:val="none" w:sz="0" w:space="0" w:color="auto"/>
        <w:bottom w:val="none" w:sz="0" w:space="0" w:color="auto"/>
        <w:right w:val="none" w:sz="0" w:space="0" w:color="auto"/>
      </w:divBdr>
    </w:div>
    <w:div w:id="447814510">
      <w:bodyDiv w:val="1"/>
      <w:marLeft w:val="0"/>
      <w:marRight w:val="0"/>
      <w:marTop w:val="0"/>
      <w:marBottom w:val="0"/>
      <w:divBdr>
        <w:top w:val="none" w:sz="0" w:space="0" w:color="auto"/>
        <w:left w:val="none" w:sz="0" w:space="0" w:color="auto"/>
        <w:bottom w:val="none" w:sz="0" w:space="0" w:color="auto"/>
        <w:right w:val="none" w:sz="0" w:space="0" w:color="auto"/>
      </w:divBdr>
    </w:div>
    <w:div w:id="447819759">
      <w:bodyDiv w:val="1"/>
      <w:marLeft w:val="0"/>
      <w:marRight w:val="0"/>
      <w:marTop w:val="0"/>
      <w:marBottom w:val="0"/>
      <w:divBdr>
        <w:top w:val="none" w:sz="0" w:space="0" w:color="auto"/>
        <w:left w:val="none" w:sz="0" w:space="0" w:color="auto"/>
        <w:bottom w:val="none" w:sz="0" w:space="0" w:color="auto"/>
        <w:right w:val="none" w:sz="0" w:space="0" w:color="auto"/>
      </w:divBdr>
    </w:div>
    <w:div w:id="447895175">
      <w:bodyDiv w:val="1"/>
      <w:marLeft w:val="0"/>
      <w:marRight w:val="0"/>
      <w:marTop w:val="0"/>
      <w:marBottom w:val="0"/>
      <w:divBdr>
        <w:top w:val="none" w:sz="0" w:space="0" w:color="auto"/>
        <w:left w:val="none" w:sz="0" w:space="0" w:color="auto"/>
        <w:bottom w:val="none" w:sz="0" w:space="0" w:color="auto"/>
        <w:right w:val="none" w:sz="0" w:space="0" w:color="auto"/>
      </w:divBdr>
    </w:div>
    <w:div w:id="447966979">
      <w:bodyDiv w:val="1"/>
      <w:marLeft w:val="0"/>
      <w:marRight w:val="0"/>
      <w:marTop w:val="0"/>
      <w:marBottom w:val="0"/>
      <w:divBdr>
        <w:top w:val="none" w:sz="0" w:space="0" w:color="auto"/>
        <w:left w:val="none" w:sz="0" w:space="0" w:color="auto"/>
        <w:bottom w:val="none" w:sz="0" w:space="0" w:color="auto"/>
        <w:right w:val="none" w:sz="0" w:space="0" w:color="auto"/>
      </w:divBdr>
    </w:div>
    <w:div w:id="448158735">
      <w:bodyDiv w:val="1"/>
      <w:marLeft w:val="0"/>
      <w:marRight w:val="0"/>
      <w:marTop w:val="0"/>
      <w:marBottom w:val="0"/>
      <w:divBdr>
        <w:top w:val="none" w:sz="0" w:space="0" w:color="auto"/>
        <w:left w:val="none" w:sz="0" w:space="0" w:color="auto"/>
        <w:bottom w:val="none" w:sz="0" w:space="0" w:color="auto"/>
        <w:right w:val="none" w:sz="0" w:space="0" w:color="auto"/>
      </w:divBdr>
    </w:div>
    <w:div w:id="448164343">
      <w:bodyDiv w:val="1"/>
      <w:marLeft w:val="0"/>
      <w:marRight w:val="0"/>
      <w:marTop w:val="0"/>
      <w:marBottom w:val="0"/>
      <w:divBdr>
        <w:top w:val="none" w:sz="0" w:space="0" w:color="auto"/>
        <w:left w:val="none" w:sz="0" w:space="0" w:color="auto"/>
        <w:bottom w:val="none" w:sz="0" w:space="0" w:color="auto"/>
        <w:right w:val="none" w:sz="0" w:space="0" w:color="auto"/>
      </w:divBdr>
    </w:div>
    <w:div w:id="448202414">
      <w:bodyDiv w:val="1"/>
      <w:marLeft w:val="0"/>
      <w:marRight w:val="0"/>
      <w:marTop w:val="0"/>
      <w:marBottom w:val="0"/>
      <w:divBdr>
        <w:top w:val="none" w:sz="0" w:space="0" w:color="auto"/>
        <w:left w:val="none" w:sz="0" w:space="0" w:color="auto"/>
        <w:bottom w:val="none" w:sz="0" w:space="0" w:color="auto"/>
        <w:right w:val="none" w:sz="0" w:space="0" w:color="auto"/>
      </w:divBdr>
    </w:div>
    <w:div w:id="448208544">
      <w:bodyDiv w:val="1"/>
      <w:marLeft w:val="0"/>
      <w:marRight w:val="0"/>
      <w:marTop w:val="0"/>
      <w:marBottom w:val="0"/>
      <w:divBdr>
        <w:top w:val="none" w:sz="0" w:space="0" w:color="auto"/>
        <w:left w:val="none" w:sz="0" w:space="0" w:color="auto"/>
        <w:bottom w:val="none" w:sz="0" w:space="0" w:color="auto"/>
        <w:right w:val="none" w:sz="0" w:space="0" w:color="auto"/>
      </w:divBdr>
    </w:div>
    <w:div w:id="448278424">
      <w:bodyDiv w:val="1"/>
      <w:marLeft w:val="0"/>
      <w:marRight w:val="0"/>
      <w:marTop w:val="0"/>
      <w:marBottom w:val="0"/>
      <w:divBdr>
        <w:top w:val="none" w:sz="0" w:space="0" w:color="auto"/>
        <w:left w:val="none" w:sz="0" w:space="0" w:color="auto"/>
        <w:bottom w:val="none" w:sz="0" w:space="0" w:color="auto"/>
        <w:right w:val="none" w:sz="0" w:space="0" w:color="auto"/>
      </w:divBdr>
    </w:div>
    <w:div w:id="448278526">
      <w:bodyDiv w:val="1"/>
      <w:marLeft w:val="0"/>
      <w:marRight w:val="0"/>
      <w:marTop w:val="0"/>
      <w:marBottom w:val="0"/>
      <w:divBdr>
        <w:top w:val="none" w:sz="0" w:space="0" w:color="auto"/>
        <w:left w:val="none" w:sz="0" w:space="0" w:color="auto"/>
        <w:bottom w:val="none" w:sz="0" w:space="0" w:color="auto"/>
        <w:right w:val="none" w:sz="0" w:space="0" w:color="auto"/>
      </w:divBdr>
    </w:div>
    <w:div w:id="448285041">
      <w:bodyDiv w:val="1"/>
      <w:marLeft w:val="0"/>
      <w:marRight w:val="0"/>
      <w:marTop w:val="0"/>
      <w:marBottom w:val="0"/>
      <w:divBdr>
        <w:top w:val="none" w:sz="0" w:space="0" w:color="auto"/>
        <w:left w:val="none" w:sz="0" w:space="0" w:color="auto"/>
        <w:bottom w:val="none" w:sz="0" w:space="0" w:color="auto"/>
        <w:right w:val="none" w:sz="0" w:space="0" w:color="auto"/>
      </w:divBdr>
    </w:div>
    <w:div w:id="448476060">
      <w:bodyDiv w:val="1"/>
      <w:marLeft w:val="0"/>
      <w:marRight w:val="0"/>
      <w:marTop w:val="0"/>
      <w:marBottom w:val="0"/>
      <w:divBdr>
        <w:top w:val="none" w:sz="0" w:space="0" w:color="auto"/>
        <w:left w:val="none" w:sz="0" w:space="0" w:color="auto"/>
        <w:bottom w:val="none" w:sz="0" w:space="0" w:color="auto"/>
        <w:right w:val="none" w:sz="0" w:space="0" w:color="auto"/>
      </w:divBdr>
    </w:div>
    <w:div w:id="448552696">
      <w:bodyDiv w:val="1"/>
      <w:marLeft w:val="0"/>
      <w:marRight w:val="0"/>
      <w:marTop w:val="0"/>
      <w:marBottom w:val="0"/>
      <w:divBdr>
        <w:top w:val="none" w:sz="0" w:space="0" w:color="auto"/>
        <w:left w:val="none" w:sz="0" w:space="0" w:color="auto"/>
        <w:bottom w:val="none" w:sz="0" w:space="0" w:color="auto"/>
        <w:right w:val="none" w:sz="0" w:space="0" w:color="auto"/>
      </w:divBdr>
    </w:div>
    <w:div w:id="448621726">
      <w:bodyDiv w:val="1"/>
      <w:marLeft w:val="0"/>
      <w:marRight w:val="0"/>
      <w:marTop w:val="0"/>
      <w:marBottom w:val="0"/>
      <w:divBdr>
        <w:top w:val="none" w:sz="0" w:space="0" w:color="auto"/>
        <w:left w:val="none" w:sz="0" w:space="0" w:color="auto"/>
        <w:bottom w:val="none" w:sz="0" w:space="0" w:color="auto"/>
        <w:right w:val="none" w:sz="0" w:space="0" w:color="auto"/>
      </w:divBdr>
    </w:div>
    <w:div w:id="448667928">
      <w:bodyDiv w:val="1"/>
      <w:marLeft w:val="0"/>
      <w:marRight w:val="0"/>
      <w:marTop w:val="0"/>
      <w:marBottom w:val="0"/>
      <w:divBdr>
        <w:top w:val="none" w:sz="0" w:space="0" w:color="auto"/>
        <w:left w:val="none" w:sz="0" w:space="0" w:color="auto"/>
        <w:bottom w:val="none" w:sz="0" w:space="0" w:color="auto"/>
        <w:right w:val="none" w:sz="0" w:space="0" w:color="auto"/>
      </w:divBdr>
    </w:div>
    <w:div w:id="448672591">
      <w:bodyDiv w:val="1"/>
      <w:marLeft w:val="0"/>
      <w:marRight w:val="0"/>
      <w:marTop w:val="0"/>
      <w:marBottom w:val="0"/>
      <w:divBdr>
        <w:top w:val="none" w:sz="0" w:space="0" w:color="auto"/>
        <w:left w:val="none" w:sz="0" w:space="0" w:color="auto"/>
        <w:bottom w:val="none" w:sz="0" w:space="0" w:color="auto"/>
        <w:right w:val="none" w:sz="0" w:space="0" w:color="auto"/>
      </w:divBdr>
    </w:div>
    <w:div w:id="448860493">
      <w:bodyDiv w:val="1"/>
      <w:marLeft w:val="0"/>
      <w:marRight w:val="0"/>
      <w:marTop w:val="0"/>
      <w:marBottom w:val="0"/>
      <w:divBdr>
        <w:top w:val="none" w:sz="0" w:space="0" w:color="auto"/>
        <w:left w:val="none" w:sz="0" w:space="0" w:color="auto"/>
        <w:bottom w:val="none" w:sz="0" w:space="0" w:color="auto"/>
        <w:right w:val="none" w:sz="0" w:space="0" w:color="auto"/>
      </w:divBdr>
    </w:div>
    <w:div w:id="448862120">
      <w:bodyDiv w:val="1"/>
      <w:marLeft w:val="0"/>
      <w:marRight w:val="0"/>
      <w:marTop w:val="0"/>
      <w:marBottom w:val="0"/>
      <w:divBdr>
        <w:top w:val="none" w:sz="0" w:space="0" w:color="auto"/>
        <w:left w:val="none" w:sz="0" w:space="0" w:color="auto"/>
        <w:bottom w:val="none" w:sz="0" w:space="0" w:color="auto"/>
        <w:right w:val="none" w:sz="0" w:space="0" w:color="auto"/>
      </w:divBdr>
    </w:div>
    <w:div w:id="448932054">
      <w:bodyDiv w:val="1"/>
      <w:marLeft w:val="0"/>
      <w:marRight w:val="0"/>
      <w:marTop w:val="0"/>
      <w:marBottom w:val="0"/>
      <w:divBdr>
        <w:top w:val="none" w:sz="0" w:space="0" w:color="auto"/>
        <w:left w:val="none" w:sz="0" w:space="0" w:color="auto"/>
        <w:bottom w:val="none" w:sz="0" w:space="0" w:color="auto"/>
        <w:right w:val="none" w:sz="0" w:space="0" w:color="auto"/>
      </w:divBdr>
    </w:div>
    <w:div w:id="449013309">
      <w:bodyDiv w:val="1"/>
      <w:marLeft w:val="0"/>
      <w:marRight w:val="0"/>
      <w:marTop w:val="0"/>
      <w:marBottom w:val="0"/>
      <w:divBdr>
        <w:top w:val="none" w:sz="0" w:space="0" w:color="auto"/>
        <w:left w:val="none" w:sz="0" w:space="0" w:color="auto"/>
        <w:bottom w:val="none" w:sz="0" w:space="0" w:color="auto"/>
        <w:right w:val="none" w:sz="0" w:space="0" w:color="auto"/>
      </w:divBdr>
    </w:div>
    <w:div w:id="449276676">
      <w:bodyDiv w:val="1"/>
      <w:marLeft w:val="0"/>
      <w:marRight w:val="0"/>
      <w:marTop w:val="0"/>
      <w:marBottom w:val="0"/>
      <w:divBdr>
        <w:top w:val="none" w:sz="0" w:space="0" w:color="auto"/>
        <w:left w:val="none" w:sz="0" w:space="0" w:color="auto"/>
        <w:bottom w:val="none" w:sz="0" w:space="0" w:color="auto"/>
        <w:right w:val="none" w:sz="0" w:space="0" w:color="auto"/>
      </w:divBdr>
    </w:div>
    <w:div w:id="449402476">
      <w:bodyDiv w:val="1"/>
      <w:marLeft w:val="0"/>
      <w:marRight w:val="0"/>
      <w:marTop w:val="0"/>
      <w:marBottom w:val="0"/>
      <w:divBdr>
        <w:top w:val="none" w:sz="0" w:space="0" w:color="auto"/>
        <w:left w:val="none" w:sz="0" w:space="0" w:color="auto"/>
        <w:bottom w:val="none" w:sz="0" w:space="0" w:color="auto"/>
        <w:right w:val="none" w:sz="0" w:space="0" w:color="auto"/>
      </w:divBdr>
    </w:div>
    <w:div w:id="449402620">
      <w:bodyDiv w:val="1"/>
      <w:marLeft w:val="0"/>
      <w:marRight w:val="0"/>
      <w:marTop w:val="0"/>
      <w:marBottom w:val="0"/>
      <w:divBdr>
        <w:top w:val="none" w:sz="0" w:space="0" w:color="auto"/>
        <w:left w:val="none" w:sz="0" w:space="0" w:color="auto"/>
        <w:bottom w:val="none" w:sz="0" w:space="0" w:color="auto"/>
        <w:right w:val="none" w:sz="0" w:space="0" w:color="auto"/>
      </w:divBdr>
    </w:div>
    <w:div w:id="449511773">
      <w:bodyDiv w:val="1"/>
      <w:marLeft w:val="0"/>
      <w:marRight w:val="0"/>
      <w:marTop w:val="0"/>
      <w:marBottom w:val="0"/>
      <w:divBdr>
        <w:top w:val="none" w:sz="0" w:space="0" w:color="auto"/>
        <w:left w:val="none" w:sz="0" w:space="0" w:color="auto"/>
        <w:bottom w:val="none" w:sz="0" w:space="0" w:color="auto"/>
        <w:right w:val="none" w:sz="0" w:space="0" w:color="auto"/>
      </w:divBdr>
    </w:div>
    <w:div w:id="449521170">
      <w:bodyDiv w:val="1"/>
      <w:marLeft w:val="0"/>
      <w:marRight w:val="0"/>
      <w:marTop w:val="0"/>
      <w:marBottom w:val="0"/>
      <w:divBdr>
        <w:top w:val="none" w:sz="0" w:space="0" w:color="auto"/>
        <w:left w:val="none" w:sz="0" w:space="0" w:color="auto"/>
        <w:bottom w:val="none" w:sz="0" w:space="0" w:color="auto"/>
        <w:right w:val="none" w:sz="0" w:space="0" w:color="auto"/>
      </w:divBdr>
    </w:div>
    <w:div w:id="449588607">
      <w:bodyDiv w:val="1"/>
      <w:marLeft w:val="0"/>
      <w:marRight w:val="0"/>
      <w:marTop w:val="0"/>
      <w:marBottom w:val="0"/>
      <w:divBdr>
        <w:top w:val="none" w:sz="0" w:space="0" w:color="auto"/>
        <w:left w:val="none" w:sz="0" w:space="0" w:color="auto"/>
        <w:bottom w:val="none" w:sz="0" w:space="0" w:color="auto"/>
        <w:right w:val="none" w:sz="0" w:space="0" w:color="auto"/>
      </w:divBdr>
    </w:div>
    <w:div w:id="449662769">
      <w:bodyDiv w:val="1"/>
      <w:marLeft w:val="0"/>
      <w:marRight w:val="0"/>
      <w:marTop w:val="0"/>
      <w:marBottom w:val="0"/>
      <w:divBdr>
        <w:top w:val="none" w:sz="0" w:space="0" w:color="auto"/>
        <w:left w:val="none" w:sz="0" w:space="0" w:color="auto"/>
        <w:bottom w:val="none" w:sz="0" w:space="0" w:color="auto"/>
        <w:right w:val="none" w:sz="0" w:space="0" w:color="auto"/>
      </w:divBdr>
    </w:div>
    <w:div w:id="449708161">
      <w:bodyDiv w:val="1"/>
      <w:marLeft w:val="0"/>
      <w:marRight w:val="0"/>
      <w:marTop w:val="0"/>
      <w:marBottom w:val="0"/>
      <w:divBdr>
        <w:top w:val="none" w:sz="0" w:space="0" w:color="auto"/>
        <w:left w:val="none" w:sz="0" w:space="0" w:color="auto"/>
        <w:bottom w:val="none" w:sz="0" w:space="0" w:color="auto"/>
        <w:right w:val="none" w:sz="0" w:space="0" w:color="auto"/>
      </w:divBdr>
    </w:div>
    <w:div w:id="449709283">
      <w:bodyDiv w:val="1"/>
      <w:marLeft w:val="0"/>
      <w:marRight w:val="0"/>
      <w:marTop w:val="0"/>
      <w:marBottom w:val="0"/>
      <w:divBdr>
        <w:top w:val="none" w:sz="0" w:space="0" w:color="auto"/>
        <w:left w:val="none" w:sz="0" w:space="0" w:color="auto"/>
        <w:bottom w:val="none" w:sz="0" w:space="0" w:color="auto"/>
        <w:right w:val="none" w:sz="0" w:space="0" w:color="auto"/>
      </w:divBdr>
    </w:div>
    <w:div w:id="449785243">
      <w:bodyDiv w:val="1"/>
      <w:marLeft w:val="0"/>
      <w:marRight w:val="0"/>
      <w:marTop w:val="0"/>
      <w:marBottom w:val="0"/>
      <w:divBdr>
        <w:top w:val="none" w:sz="0" w:space="0" w:color="auto"/>
        <w:left w:val="none" w:sz="0" w:space="0" w:color="auto"/>
        <w:bottom w:val="none" w:sz="0" w:space="0" w:color="auto"/>
        <w:right w:val="none" w:sz="0" w:space="0" w:color="auto"/>
      </w:divBdr>
    </w:div>
    <w:div w:id="449785947">
      <w:bodyDiv w:val="1"/>
      <w:marLeft w:val="0"/>
      <w:marRight w:val="0"/>
      <w:marTop w:val="0"/>
      <w:marBottom w:val="0"/>
      <w:divBdr>
        <w:top w:val="none" w:sz="0" w:space="0" w:color="auto"/>
        <w:left w:val="none" w:sz="0" w:space="0" w:color="auto"/>
        <w:bottom w:val="none" w:sz="0" w:space="0" w:color="auto"/>
        <w:right w:val="none" w:sz="0" w:space="0" w:color="auto"/>
      </w:divBdr>
    </w:div>
    <w:div w:id="449905506">
      <w:bodyDiv w:val="1"/>
      <w:marLeft w:val="0"/>
      <w:marRight w:val="0"/>
      <w:marTop w:val="0"/>
      <w:marBottom w:val="0"/>
      <w:divBdr>
        <w:top w:val="none" w:sz="0" w:space="0" w:color="auto"/>
        <w:left w:val="none" w:sz="0" w:space="0" w:color="auto"/>
        <w:bottom w:val="none" w:sz="0" w:space="0" w:color="auto"/>
        <w:right w:val="none" w:sz="0" w:space="0" w:color="auto"/>
      </w:divBdr>
    </w:div>
    <w:div w:id="449931356">
      <w:bodyDiv w:val="1"/>
      <w:marLeft w:val="0"/>
      <w:marRight w:val="0"/>
      <w:marTop w:val="0"/>
      <w:marBottom w:val="0"/>
      <w:divBdr>
        <w:top w:val="none" w:sz="0" w:space="0" w:color="auto"/>
        <w:left w:val="none" w:sz="0" w:space="0" w:color="auto"/>
        <w:bottom w:val="none" w:sz="0" w:space="0" w:color="auto"/>
        <w:right w:val="none" w:sz="0" w:space="0" w:color="auto"/>
      </w:divBdr>
    </w:div>
    <w:div w:id="449935397">
      <w:bodyDiv w:val="1"/>
      <w:marLeft w:val="0"/>
      <w:marRight w:val="0"/>
      <w:marTop w:val="0"/>
      <w:marBottom w:val="0"/>
      <w:divBdr>
        <w:top w:val="none" w:sz="0" w:space="0" w:color="auto"/>
        <w:left w:val="none" w:sz="0" w:space="0" w:color="auto"/>
        <w:bottom w:val="none" w:sz="0" w:space="0" w:color="auto"/>
        <w:right w:val="none" w:sz="0" w:space="0" w:color="auto"/>
      </w:divBdr>
    </w:div>
    <w:div w:id="449936986">
      <w:bodyDiv w:val="1"/>
      <w:marLeft w:val="0"/>
      <w:marRight w:val="0"/>
      <w:marTop w:val="0"/>
      <w:marBottom w:val="0"/>
      <w:divBdr>
        <w:top w:val="none" w:sz="0" w:space="0" w:color="auto"/>
        <w:left w:val="none" w:sz="0" w:space="0" w:color="auto"/>
        <w:bottom w:val="none" w:sz="0" w:space="0" w:color="auto"/>
        <w:right w:val="none" w:sz="0" w:space="0" w:color="auto"/>
      </w:divBdr>
    </w:div>
    <w:div w:id="450049483">
      <w:bodyDiv w:val="1"/>
      <w:marLeft w:val="0"/>
      <w:marRight w:val="0"/>
      <w:marTop w:val="0"/>
      <w:marBottom w:val="0"/>
      <w:divBdr>
        <w:top w:val="none" w:sz="0" w:space="0" w:color="auto"/>
        <w:left w:val="none" w:sz="0" w:space="0" w:color="auto"/>
        <w:bottom w:val="none" w:sz="0" w:space="0" w:color="auto"/>
        <w:right w:val="none" w:sz="0" w:space="0" w:color="auto"/>
      </w:divBdr>
    </w:div>
    <w:div w:id="450170244">
      <w:bodyDiv w:val="1"/>
      <w:marLeft w:val="0"/>
      <w:marRight w:val="0"/>
      <w:marTop w:val="0"/>
      <w:marBottom w:val="0"/>
      <w:divBdr>
        <w:top w:val="none" w:sz="0" w:space="0" w:color="auto"/>
        <w:left w:val="none" w:sz="0" w:space="0" w:color="auto"/>
        <w:bottom w:val="none" w:sz="0" w:space="0" w:color="auto"/>
        <w:right w:val="none" w:sz="0" w:space="0" w:color="auto"/>
      </w:divBdr>
    </w:div>
    <w:div w:id="450172528">
      <w:bodyDiv w:val="1"/>
      <w:marLeft w:val="0"/>
      <w:marRight w:val="0"/>
      <w:marTop w:val="0"/>
      <w:marBottom w:val="0"/>
      <w:divBdr>
        <w:top w:val="none" w:sz="0" w:space="0" w:color="auto"/>
        <w:left w:val="none" w:sz="0" w:space="0" w:color="auto"/>
        <w:bottom w:val="none" w:sz="0" w:space="0" w:color="auto"/>
        <w:right w:val="none" w:sz="0" w:space="0" w:color="auto"/>
      </w:divBdr>
    </w:div>
    <w:div w:id="450174704">
      <w:bodyDiv w:val="1"/>
      <w:marLeft w:val="0"/>
      <w:marRight w:val="0"/>
      <w:marTop w:val="0"/>
      <w:marBottom w:val="0"/>
      <w:divBdr>
        <w:top w:val="none" w:sz="0" w:space="0" w:color="auto"/>
        <w:left w:val="none" w:sz="0" w:space="0" w:color="auto"/>
        <w:bottom w:val="none" w:sz="0" w:space="0" w:color="auto"/>
        <w:right w:val="none" w:sz="0" w:space="0" w:color="auto"/>
      </w:divBdr>
    </w:div>
    <w:div w:id="450320441">
      <w:bodyDiv w:val="1"/>
      <w:marLeft w:val="0"/>
      <w:marRight w:val="0"/>
      <w:marTop w:val="0"/>
      <w:marBottom w:val="0"/>
      <w:divBdr>
        <w:top w:val="none" w:sz="0" w:space="0" w:color="auto"/>
        <w:left w:val="none" w:sz="0" w:space="0" w:color="auto"/>
        <w:bottom w:val="none" w:sz="0" w:space="0" w:color="auto"/>
        <w:right w:val="none" w:sz="0" w:space="0" w:color="auto"/>
      </w:divBdr>
    </w:div>
    <w:div w:id="450591428">
      <w:bodyDiv w:val="1"/>
      <w:marLeft w:val="0"/>
      <w:marRight w:val="0"/>
      <w:marTop w:val="0"/>
      <w:marBottom w:val="0"/>
      <w:divBdr>
        <w:top w:val="none" w:sz="0" w:space="0" w:color="auto"/>
        <w:left w:val="none" w:sz="0" w:space="0" w:color="auto"/>
        <w:bottom w:val="none" w:sz="0" w:space="0" w:color="auto"/>
        <w:right w:val="none" w:sz="0" w:space="0" w:color="auto"/>
      </w:divBdr>
    </w:div>
    <w:div w:id="450629124">
      <w:bodyDiv w:val="1"/>
      <w:marLeft w:val="0"/>
      <w:marRight w:val="0"/>
      <w:marTop w:val="0"/>
      <w:marBottom w:val="0"/>
      <w:divBdr>
        <w:top w:val="none" w:sz="0" w:space="0" w:color="auto"/>
        <w:left w:val="none" w:sz="0" w:space="0" w:color="auto"/>
        <w:bottom w:val="none" w:sz="0" w:space="0" w:color="auto"/>
        <w:right w:val="none" w:sz="0" w:space="0" w:color="auto"/>
      </w:divBdr>
    </w:div>
    <w:div w:id="450630297">
      <w:bodyDiv w:val="1"/>
      <w:marLeft w:val="0"/>
      <w:marRight w:val="0"/>
      <w:marTop w:val="0"/>
      <w:marBottom w:val="0"/>
      <w:divBdr>
        <w:top w:val="none" w:sz="0" w:space="0" w:color="auto"/>
        <w:left w:val="none" w:sz="0" w:space="0" w:color="auto"/>
        <w:bottom w:val="none" w:sz="0" w:space="0" w:color="auto"/>
        <w:right w:val="none" w:sz="0" w:space="0" w:color="auto"/>
      </w:divBdr>
    </w:div>
    <w:div w:id="450711857">
      <w:bodyDiv w:val="1"/>
      <w:marLeft w:val="0"/>
      <w:marRight w:val="0"/>
      <w:marTop w:val="0"/>
      <w:marBottom w:val="0"/>
      <w:divBdr>
        <w:top w:val="none" w:sz="0" w:space="0" w:color="auto"/>
        <w:left w:val="none" w:sz="0" w:space="0" w:color="auto"/>
        <w:bottom w:val="none" w:sz="0" w:space="0" w:color="auto"/>
        <w:right w:val="none" w:sz="0" w:space="0" w:color="auto"/>
      </w:divBdr>
    </w:div>
    <w:div w:id="450713291">
      <w:bodyDiv w:val="1"/>
      <w:marLeft w:val="0"/>
      <w:marRight w:val="0"/>
      <w:marTop w:val="0"/>
      <w:marBottom w:val="0"/>
      <w:divBdr>
        <w:top w:val="none" w:sz="0" w:space="0" w:color="auto"/>
        <w:left w:val="none" w:sz="0" w:space="0" w:color="auto"/>
        <w:bottom w:val="none" w:sz="0" w:space="0" w:color="auto"/>
        <w:right w:val="none" w:sz="0" w:space="0" w:color="auto"/>
      </w:divBdr>
    </w:div>
    <w:div w:id="450784333">
      <w:bodyDiv w:val="1"/>
      <w:marLeft w:val="0"/>
      <w:marRight w:val="0"/>
      <w:marTop w:val="0"/>
      <w:marBottom w:val="0"/>
      <w:divBdr>
        <w:top w:val="none" w:sz="0" w:space="0" w:color="auto"/>
        <w:left w:val="none" w:sz="0" w:space="0" w:color="auto"/>
        <w:bottom w:val="none" w:sz="0" w:space="0" w:color="auto"/>
        <w:right w:val="none" w:sz="0" w:space="0" w:color="auto"/>
      </w:divBdr>
    </w:div>
    <w:div w:id="450906956">
      <w:bodyDiv w:val="1"/>
      <w:marLeft w:val="0"/>
      <w:marRight w:val="0"/>
      <w:marTop w:val="0"/>
      <w:marBottom w:val="0"/>
      <w:divBdr>
        <w:top w:val="none" w:sz="0" w:space="0" w:color="auto"/>
        <w:left w:val="none" w:sz="0" w:space="0" w:color="auto"/>
        <w:bottom w:val="none" w:sz="0" w:space="0" w:color="auto"/>
        <w:right w:val="none" w:sz="0" w:space="0" w:color="auto"/>
      </w:divBdr>
    </w:div>
    <w:div w:id="450975658">
      <w:bodyDiv w:val="1"/>
      <w:marLeft w:val="0"/>
      <w:marRight w:val="0"/>
      <w:marTop w:val="0"/>
      <w:marBottom w:val="0"/>
      <w:divBdr>
        <w:top w:val="none" w:sz="0" w:space="0" w:color="auto"/>
        <w:left w:val="none" w:sz="0" w:space="0" w:color="auto"/>
        <w:bottom w:val="none" w:sz="0" w:space="0" w:color="auto"/>
        <w:right w:val="none" w:sz="0" w:space="0" w:color="auto"/>
      </w:divBdr>
    </w:div>
    <w:div w:id="451023492">
      <w:bodyDiv w:val="1"/>
      <w:marLeft w:val="0"/>
      <w:marRight w:val="0"/>
      <w:marTop w:val="0"/>
      <w:marBottom w:val="0"/>
      <w:divBdr>
        <w:top w:val="none" w:sz="0" w:space="0" w:color="auto"/>
        <w:left w:val="none" w:sz="0" w:space="0" w:color="auto"/>
        <w:bottom w:val="none" w:sz="0" w:space="0" w:color="auto"/>
        <w:right w:val="none" w:sz="0" w:space="0" w:color="auto"/>
      </w:divBdr>
    </w:div>
    <w:div w:id="451024021">
      <w:bodyDiv w:val="1"/>
      <w:marLeft w:val="0"/>
      <w:marRight w:val="0"/>
      <w:marTop w:val="0"/>
      <w:marBottom w:val="0"/>
      <w:divBdr>
        <w:top w:val="none" w:sz="0" w:space="0" w:color="auto"/>
        <w:left w:val="none" w:sz="0" w:space="0" w:color="auto"/>
        <w:bottom w:val="none" w:sz="0" w:space="0" w:color="auto"/>
        <w:right w:val="none" w:sz="0" w:space="0" w:color="auto"/>
      </w:divBdr>
    </w:div>
    <w:div w:id="451024415">
      <w:bodyDiv w:val="1"/>
      <w:marLeft w:val="0"/>
      <w:marRight w:val="0"/>
      <w:marTop w:val="0"/>
      <w:marBottom w:val="0"/>
      <w:divBdr>
        <w:top w:val="none" w:sz="0" w:space="0" w:color="auto"/>
        <w:left w:val="none" w:sz="0" w:space="0" w:color="auto"/>
        <w:bottom w:val="none" w:sz="0" w:space="0" w:color="auto"/>
        <w:right w:val="none" w:sz="0" w:space="0" w:color="auto"/>
      </w:divBdr>
    </w:div>
    <w:div w:id="451049495">
      <w:bodyDiv w:val="1"/>
      <w:marLeft w:val="0"/>
      <w:marRight w:val="0"/>
      <w:marTop w:val="0"/>
      <w:marBottom w:val="0"/>
      <w:divBdr>
        <w:top w:val="none" w:sz="0" w:space="0" w:color="auto"/>
        <w:left w:val="none" w:sz="0" w:space="0" w:color="auto"/>
        <w:bottom w:val="none" w:sz="0" w:space="0" w:color="auto"/>
        <w:right w:val="none" w:sz="0" w:space="0" w:color="auto"/>
      </w:divBdr>
    </w:div>
    <w:div w:id="451050407">
      <w:bodyDiv w:val="1"/>
      <w:marLeft w:val="0"/>
      <w:marRight w:val="0"/>
      <w:marTop w:val="0"/>
      <w:marBottom w:val="0"/>
      <w:divBdr>
        <w:top w:val="none" w:sz="0" w:space="0" w:color="auto"/>
        <w:left w:val="none" w:sz="0" w:space="0" w:color="auto"/>
        <w:bottom w:val="none" w:sz="0" w:space="0" w:color="auto"/>
        <w:right w:val="none" w:sz="0" w:space="0" w:color="auto"/>
      </w:divBdr>
    </w:div>
    <w:div w:id="451050869">
      <w:bodyDiv w:val="1"/>
      <w:marLeft w:val="0"/>
      <w:marRight w:val="0"/>
      <w:marTop w:val="0"/>
      <w:marBottom w:val="0"/>
      <w:divBdr>
        <w:top w:val="none" w:sz="0" w:space="0" w:color="auto"/>
        <w:left w:val="none" w:sz="0" w:space="0" w:color="auto"/>
        <w:bottom w:val="none" w:sz="0" w:space="0" w:color="auto"/>
        <w:right w:val="none" w:sz="0" w:space="0" w:color="auto"/>
      </w:divBdr>
    </w:div>
    <w:div w:id="451169868">
      <w:bodyDiv w:val="1"/>
      <w:marLeft w:val="0"/>
      <w:marRight w:val="0"/>
      <w:marTop w:val="0"/>
      <w:marBottom w:val="0"/>
      <w:divBdr>
        <w:top w:val="none" w:sz="0" w:space="0" w:color="auto"/>
        <w:left w:val="none" w:sz="0" w:space="0" w:color="auto"/>
        <w:bottom w:val="none" w:sz="0" w:space="0" w:color="auto"/>
        <w:right w:val="none" w:sz="0" w:space="0" w:color="auto"/>
      </w:divBdr>
    </w:div>
    <w:div w:id="451441729">
      <w:bodyDiv w:val="1"/>
      <w:marLeft w:val="0"/>
      <w:marRight w:val="0"/>
      <w:marTop w:val="0"/>
      <w:marBottom w:val="0"/>
      <w:divBdr>
        <w:top w:val="none" w:sz="0" w:space="0" w:color="auto"/>
        <w:left w:val="none" w:sz="0" w:space="0" w:color="auto"/>
        <w:bottom w:val="none" w:sz="0" w:space="0" w:color="auto"/>
        <w:right w:val="none" w:sz="0" w:space="0" w:color="auto"/>
      </w:divBdr>
    </w:div>
    <w:div w:id="451442607">
      <w:bodyDiv w:val="1"/>
      <w:marLeft w:val="0"/>
      <w:marRight w:val="0"/>
      <w:marTop w:val="0"/>
      <w:marBottom w:val="0"/>
      <w:divBdr>
        <w:top w:val="none" w:sz="0" w:space="0" w:color="auto"/>
        <w:left w:val="none" w:sz="0" w:space="0" w:color="auto"/>
        <w:bottom w:val="none" w:sz="0" w:space="0" w:color="auto"/>
        <w:right w:val="none" w:sz="0" w:space="0" w:color="auto"/>
      </w:divBdr>
    </w:div>
    <w:div w:id="451477869">
      <w:bodyDiv w:val="1"/>
      <w:marLeft w:val="0"/>
      <w:marRight w:val="0"/>
      <w:marTop w:val="0"/>
      <w:marBottom w:val="0"/>
      <w:divBdr>
        <w:top w:val="none" w:sz="0" w:space="0" w:color="auto"/>
        <w:left w:val="none" w:sz="0" w:space="0" w:color="auto"/>
        <w:bottom w:val="none" w:sz="0" w:space="0" w:color="auto"/>
        <w:right w:val="none" w:sz="0" w:space="0" w:color="auto"/>
      </w:divBdr>
    </w:div>
    <w:div w:id="451555599">
      <w:bodyDiv w:val="1"/>
      <w:marLeft w:val="0"/>
      <w:marRight w:val="0"/>
      <w:marTop w:val="0"/>
      <w:marBottom w:val="0"/>
      <w:divBdr>
        <w:top w:val="none" w:sz="0" w:space="0" w:color="auto"/>
        <w:left w:val="none" w:sz="0" w:space="0" w:color="auto"/>
        <w:bottom w:val="none" w:sz="0" w:space="0" w:color="auto"/>
        <w:right w:val="none" w:sz="0" w:space="0" w:color="auto"/>
      </w:divBdr>
    </w:div>
    <w:div w:id="451561809">
      <w:bodyDiv w:val="1"/>
      <w:marLeft w:val="0"/>
      <w:marRight w:val="0"/>
      <w:marTop w:val="0"/>
      <w:marBottom w:val="0"/>
      <w:divBdr>
        <w:top w:val="none" w:sz="0" w:space="0" w:color="auto"/>
        <w:left w:val="none" w:sz="0" w:space="0" w:color="auto"/>
        <w:bottom w:val="none" w:sz="0" w:space="0" w:color="auto"/>
        <w:right w:val="none" w:sz="0" w:space="0" w:color="auto"/>
      </w:divBdr>
    </w:div>
    <w:div w:id="451900695">
      <w:bodyDiv w:val="1"/>
      <w:marLeft w:val="0"/>
      <w:marRight w:val="0"/>
      <w:marTop w:val="0"/>
      <w:marBottom w:val="0"/>
      <w:divBdr>
        <w:top w:val="none" w:sz="0" w:space="0" w:color="auto"/>
        <w:left w:val="none" w:sz="0" w:space="0" w:color="auto"/>
        <w:bottom w:val="none" w:sz="0" w:space="0" w:color="auto"/>
        <w:right w:val="none" w:sz="0" w:space="0" w:color="auto"/>
      </w:divBdr>
    </w:div>
    <w:div w:id="452018721">
      <w:bodyDiv w:val="1"/>
      <w:marLeft w:val="0"/>
      <w:marRight w:val="0"/>
      <w:marTop w:val="0"/>
      <w:marBottom w:val="0"/>
      <w:divBdr>
        <w:top w:val="none" w:sz="0" w:space="0" w:color="auto"/>
        <w:left w:val="none" w:sz="0" w:space="0" w:color="auto"/>
        <w:bottom w:val="none" w:sz="0" w:space="0" w:color="auto"/>
        <w:right w:val="none" w:sz="0" w:space="0" w:color="auto"/>
      </w:divBdr>
    </w:div>
    <w:div w:id="452135926">
      <w:bodyDiv w:val="1"/>
      <w:marLeft w:val="0"/>
      <w:marRight w:val="0"/>
      <w:marTop w:val="0"/>
      <w:marBottom w:val="0"/>
      <w:divBdr>
        <w:top w:val="none" w:sz="0" w:space="0" w:color="auto"/>
        <w:left w:val="none" w:sz="0" w:space="0" w:color="auto"/>
        <w:bottom w:val="none" w:sz="0" w:space="0" w:color="auto"/>
        <w:right w:val="none" w:sz="0" w:space="0" w:color="auto"/>
      </w:divBdr>
    </w:div>
    <w:div w:id="452211720">
      <w:bodyDiv w:val="1"/>
      <w:marLeft w:val="0"/>
      <w:marRight w:val="0"/>
      <w:marTop w:val="0"/>
      <w:marBottom w:val="0"/>
      <w:divBdr>
        <w:top w:val="none" w:sz="0" w:space="0" w:color="auto"/>
        <w:left w:val="none" w:sz="0" w:space="0" w:color="auto"/>
        <w:bottom w:val="none" w:sz="0" w:space="0" w:color="auto"/>
        <w:right w:val="none" w:sz="0" w:space="0" w:color="auto"/>
      </w:divBdr>
    </w:div>
    <w:div w:id="452212061">
      <w:bodyDiv w:val="1"/>
      <w:marLeft w:val="0"/>
      <w:marRight w:val="0"/>
      <w:marTop w:val="0"/>
      <w:marBottom w:val="0"/>
      <w:divBdr>
        <w:top w:val="none" w:sz="0" w:space="0" w:color="auto"/>
        <w:left w:val="none" w:sz="0" w:space="0" w:color="auto"/>
        <w:bottom w:val="none" w:sz="0" w:space="0" w:color="auto"/>
        <w:right w:val="none" w:sz="0" w:space="0" w:color="auto"/>
      </w:divBdr>
    </w:div>
    <w:div w:id="452289200">
      <w:bodyDiv w:val="1"/>
      <w:marLeft w:val="0"/>
      <w:marRight w:val="0"/>
      <w:marTop w:val="0"/>
      <w:marBottom w:val="0"/>
      <w:divBdr>
        <w:top w:val="none" w:sz="0" w:space="0" w:color="auto"/>
        <w:left w:val="none" w:sz="0" w:space="0" w:color="auto"/>
        <w:bottom w:val="none" w:sz="0" w:space="0" w:color="auto"/>
        <w:right w:val="none" w:sz="0" w:space="0" w:color="auto"/>
      </w:divBdr>
    </w:div>
    <w:div w:id="452290359">
      <w:bodyDiv w:val="1"/>
      <w:marLeft w:val="0"/>
      <w:marRight w:val="0"/>
      <w:marTop w:val="0"/>
      <w:marBottom w:val="0"/>
      <w:divBdr>
        <w:top w:val="none" w:sz="0" w:space="0" w:color="auto"/>
        <w:left w:val="none" w:sz="0" w:space="0" w:color="auto"/>
        <w:bottom w:val="none" w:sz="0" w:space="0" w:color="auto"/>
        <w:right w:val="none" w:sz="0" w:space="0" w:color="auto"/>
      </w:divBdr>
    </w:div>
    <w:div w:id="452291480">
      <w:bodyDiv w:val="1"/>
      <w:marLeft w:val="0"/>
      <w:marRight w:val="0"/>
      <w:marTop w:val="0"/>
      <w:marBottom w:val="0"/>
      <w:divBdr>
        <w:top w:val="none" w:sz="0" w:space="0" w:color="auto"/>
        <w:left w:val="none" w:sz="0" w:space="0" w:color="auto"/>
        <w:bottom w:val="none" w:sz="0" w:space="0" w:color="auto"/>
        <w:right w:val="none" w:sz="0" w:space="0" w:color="auto"/>
      </w:divBdr>
    </w:div>
    <w:div w:id="452330926">
      <w:bodyDiv w:val="1"/>
      <w:marLeft w:val="0"/>
      <w:marRight w:val="0"/>
      <w:marTop w:val="0"/>
      <w:marBottom w:val="0"/>
      <w:divBdr>
        <w:top w:val="none" w:sz="0" w:space="0" w:color="auto"/>
        <w:left w:val="none" w:sz="0" w:space="0" w:color="auto"/>
        <w:bottom w:val="none" w:sz="0" w:space="0" w:color="auto"/>
        <w:right w:val="none" w:sz="0" w:space="0" w:color="auto"/>
      </w:divBdr>
    </w:div>
    <w:div w:id="452331223">
      <w:bodyDiv w:val="1"/>
      <w:marLeft w:val="0"/>
      <w:marRight w:val="0"/>
      <w:marTop w:val="0"/>
      <w:marBottom w:val="0"/>
      <w:divBdr>
        <w:top w:val="none" w:sz="0" w:space="0" w:color="auto"/>
        <w:left w:val="none" w:sz="0" w:space="0" w:color="auto"/>
        <w:bottom w:val="none" w:sz="0" w:space="0" w:color="auto"/>
        <w:right w:val="none" w:sz="0" w:space="0" w:color="auto"/>
      </w:divBdr>
    </w:div>
    <w:div w:id="452334831">
      <w:bodyDiv w:val="1"/>
      <w:marLeft w:val="0"/>
      <w:marRight w:val="0"/>
      <w:marTop w:val="0"/>
      <w:marBottom w:val="0"/>
      <w:divBdr>
        <w:top w:val="none" w:sz="0" w:space="0" w:color="auto"/>
        <w:left w:val="none" w:sz="0" w:space="0" w:color="auto"/>
        <w:bottom w:val="none" w:sz="0" w:space="0" w:color="auto"/>
        <w:right w:val="none" w:sz="0" w:space="0" w:color="auto"/>
      </w:divBdr>
    </w:div>
    <w:div w:id="452360302">
      <w:bodyDiv w:val="1"/>
      <w:marLeft w:val="0"/>
      <w:marRight w:val="0"/>
      <w:marTop w:val="0"/>
      <w:marBottom w:val="0"/>
      <w:divBdr>
        <w:top w:val="none" w:sz="0" w:space="0" w:color="auto"/>
        <w:left w:val="none" w:sz="0" w:space="0" w:color="auto"/>
        <w:bottom w:val="none" w:sz="0" w:space="0" w:color="auto"/>
        <w:right w:val="none" w:sz="0" w:space="0" w:color="auto"/>
      </w:divBdr>
    </w:div>
    <w:div w:id="452483823">
      <w:bodyDiv w:val="1"/>
      <w:marLeft w:val="0"/>
      <w:marRight w:val="0"/>
      <w:marTop w:val="0"/>
      <w:marBottom w:val="0"/>
      <w:divBdr>
        <w:top w:val="none" w:sz="0" w:space="0" w:color="auto"/>
        <w:left w:val="none" w:sz="0" w:space="0" w:color="auto"/>
        <w:bottom w:val="none" w:sz="0" w:space="0" w:color="auto"/>
        <w:right w:val="none" w:sz="0" w:space="0" w:color="auto"/>
      </w:divBdr>
    </w:div>
    <w:div w:id="452526495">
      <w:bodyDiv w:val="1"/>
      <w:marLeft w:val="0"/>
      <w:marRight w:val="0"/>
      <w:marTop w:val="0"/>
      <w:marBottom w:val="0"/>
      <w:divBdr>
        <w:top w:val="none" w:sz="0" w:space="0" w:color="auto"/>
        <w:left w:val="none" w:sz="0" w:space="0" w:color="auto"/>
        <w:bottom w:val="none" w:sz="0" w:space="0" w:color="auto"/>
        <w:right w:val="none" w:sz="0" w:space="0" w:color="auto"/>
      </w:divBdr>
    </w:div>
    <w:div w:id="452526804">
      <w:bodyDiv w:val="1"/>
      <w:marLeft w:val="0"/>
      <w:marRight w:val="0"/>
      <w:marTop w:val="0"/>
      <w:marBottom w:val="0"/>
      <w:divBdr>
        <w:top w:val="none" w:sz="0" w:space="0" w:color="auto"/>
        <w:left w:val="none" w:sz="0" w:space="0" w:color="auto"/>
        <w:bottom w:val="none" w:sz="0" w:space="0" w:color="auto"/>
        <w:right w:val="none" w:sz="0" w:space="0" w:color="auto"/>
      </w:divBdr>
    </w:div>
    <w:div w:id="452602097">
      <w:bodyDiv w:val="1"/>
      <w:marLeft w:val="0"/>
      <w:marRight w:val="0"/>
      <w:marTop w:val="0"/>
      <w:marBottom w:val="0"/>
      <w:divBdr>
        <w:top w:val="none" w:sz="0" w:space="0" w:color="auto"/>
        <w:left w:val="none" w:sz="0" w:space="0" w:color="auto"/>
        <w:bottom w:val="none" w:sz="0" w:space="0" w:color="auto"/>
        <w:right w:val="none" w:sz="0" w:space="0" w:color="auto"/>
      </w:divBdr>
    </w:div>
    <w:div w:id="452675462">
      <w:bodyDiv w:val="1"/>
      <w:marLeft w:val="0"/>
      <w:marRight w:val="0"/>
      <w:marTop w:val="0"/>
      <w:marBottom w:val="0"/>
      <w:divBdr>
        <w:top w:val="none" w:sz="0" w:space="0" w:color="auto"/>
        <w:left w:val="none" w:sz="0" w:space="0" w:color="auto"/>
        <w:bottom w:val="none" w:sz="0" w:space="0" w:color="auto"/>
        <w:right w:val="none" w:sz="0" w:space="0" w:color="auto"/>
      </w:divBdr>
    </w:div>
    <w:div w:id="452749733">
      <w:bodyDiv w:val="1"/>
      <w:marLeft w:val="0"/>
      <w:marRight w:val="0"/>
      <w:marTop w:val="0"/>
      <w:marBottom w:val="0"/>
      <w:divBdr>
        <w:top w:val="none" w:sz="0" w:space="0" w:color="auto"/>
        <w:left w:val="none" w:sz="0" w:space="0" w:color="auto"/>
        <w:bottom w:val="none" w:sz="0" w:space="0" w:color="auto"/>
        <w:right w:val="none" w:sz="0" w:space="0" w:color="auto"/>
      </w:divBdr>
    </w:div>
    <w:div w:id="452751108">
      <w:bodyDiv w:val="1"/>
      <w:marLeft w:val="0"/>
      <w:marRight w:val="0"/>
      <w:marTop w:val="0"/>
      <w:marBottom w:val="0"/>
      <w:divBdr>
        <w:top w:val="none" w:sz="0" w:space="0" w:color="auto"/>
        <w:left w:val="none" w:sz="0" w:space="0" w:color="auto"/>
        <w:bottom w:val="none" w:sz="0" w:space="0" w:color="auto"/>
        <w:right w:val="none" w:sz="0" w:space="0" w:color="auto"/>
      </w:divBdr>
    </w:div>
    <w:div w:id="452789616">
      <w:bodyDiv w:val="1"/>
      <w:marLeft w:val="0"/>
      <w:marRight w:val="0"/>
      <w:marTop w:val="0"/>
      <w:marBottom w:val="0"/>
      <w:divBdr>
        <w:top w:val="none" w:sz="0" w:space="0" w:color="auto"/>
        <w:left w:val="none" w:sz="0" w:space="0" w:color="auto"/>
        <w:bottom w:val="none" w:sz="0" w:space="0" w:color="auto"/>
        <w:right w:val="none" w:sz="0" w:space="0" w:color="auto"/>
      </w:divBdr>
    </w:div>
    <w:div w:id="452871127">
      <w:bodyDiv w:val="1"/>
      <w:marLeft w:val="0"/>
      <w:marRight w:val="0"/>
      <w:marTop w:val="0"/>
      <w:marBottom w:val="0"/>
      <w:divBdr>
        <w:top w:val="none" w:sz="0" w:space="0" w:color="auto"/>
        <w:left w:val="none" w:sz="0" w:space="0" w:color="auto"/>
        <w:bottom w:val="none" w:sz="0" w:space="0" w:color="auto"/>
        <w:right w:val="none" w:sz="0" w:space="0" w:color="auto"/>
      </w:divBdr>
    </w:div>
    <w:div w:id="452945383">
      <w:bodyDiv w:val="1"/>
      <w:marLeft w:val="0"/>
      <w:marRight w:val="0"/>
      <w:marTop w:val="0"/>
      <w:marBottom w:val="0"/>
      <w:divBdr>
        <w:top w:val="none" w:sz="0" w:space="0" w:color="auto"/>
        <w:left w:val="none" w:sz="0" w:space="0" w:color="auto"/>
        <w:bottom w:val="none" w:sz="0" w:space="0" w:color="auto"/>
        <w:right w:val="none" w:sz="0" w:space="0" w:color="auto"/>
      </w:divBdr>
    </w:div>
    <w:div w:id="453137310">
      <w:bodyDiv w:val="1"/>
      <w:marLeft w:val="0"/>
      <w:marRight w:val="0"/>
      <w:marTop w:val="0"/>
      <w:marBottom w:val="0"/>
      <w:divBdr>
        <w:top w:val="none" w:sz="0" w:space="0" w:color="auto"/>
        <w:left w:val="none" w:sz="0" w:space="0" w:color="auto"/>
        <w:bottom w:val="none" w:sz="0" w:space="0" w:color="auto"/>
        <w:right w:val="none" w:sz="0" w:space="0" w:color="auto"/>
      </w:divBdr>
    </w:div>
    <w:div w:id="453249986">
      <w:bodyDiv w:val="1"/>
      <w:marLeft w:val="0"/>
      <w:marRight w:val="0"/>
      <w:marTop w:val="0"/>
      <w:marBottom w:val="0"/>
      <w:divBdr>
        <w:top w:val="none" w:sz="0" w:space="0" w:color="auto"/>
        <w:left w:val="none" w:sz="0" w:space="0" w:color="auto"/>
        <w:bottom w:val="none" w:sz="0" w:space="0" w:color="auto"/>
        <w:right w:val="none" w:sz="0" w:space="0" w:color="auto"/>
      </w:divBdr>
    </w:div>
    <w:div w:id="453251074">
      <w:bodyDiv w:val="1"/>
      <w:marLeft w:val="0"/>
      <w:marRight w:val="0"/>
      <w:marTop w:val="0"/>
      <w:marBottom w:val="0"/>
      <w:divBdr>
        <w:top w:val="none" w:sz="0" w:space="0" w:color="auto"/>
        <w:left w:val="none" w:sz="0" w:space="0" w:color="auto"/>
        <w:bottom w:val="none" w:sz="0" w:space="0" w:color="auto"/>
        <w:right w:val="none" w:sz="0" w:space="0" w:color="auto"/>
      </w:divBdr>
    </w:div>
    <w:div w:id="453256067">
      <w:bodyDiv w:val="1"/>
      <w:marLeft w:val="0"/>
      <w:marRight w:val="0"/>
      <w:marTop w:val="0"/>
      <w:marBottom w:val="0"/>
      <w:divBdr>
        <w:top w:val="none" w:sz="0" w:space="0" w:color="auto"/>
        <w:left w:val="none" w:sz="0" w:space="0" w:color="auto"/>
        <w:bottom w:val="none" w:sz="0" w:space="0" w:color="auto"/>
        <w:right w:val="none" w:sz="0" w:space="0" w:color="auto"/>
      </w:divBdr>
    </w:div>
    <w:div w:id="453403850">
      <w:bodyDiv w:val="1"/>
      <w:marLeft w:val="0"/>
      <w:marRight w:val="0"/>
      <w:marTop w:val="0"/>
      <w:marBottom w:val="0"/>
      <w:divBdr>
        <w:top w:val="none" w:sz="0" w:space="0" w:color="auto"/>
        <w:left w:val="none" w:sz="0" w:space="0" w:color="auto"/>
        <w:bottom w:val="none" w:sz="0" w:space="0" w:color="auto"/>
        <w:right w:val="none" w:sz="0" w:space="0" w:color="auto"/>
      </w:divBdr>
    </w:div>
    <w:div w:id="453406974">
      <w:bodyDiv w:val="1"/>
      <w:marLeft w:val="0"/>
      <w:marRight w:val="0"/>
      <w:marTop w:val="0"/>
      <w:marBottom w:val="0"/>
      <w:divBdr>
        <w:top w:val="none" w:sz="0" w:space="0" w:color="auto"/>
        <w:left w:val="none" w:sz="0" w:space="0" w:color="auto"/>
        <w:bottom w:val="none" w:sz="0" w:space="0" w:color="auto"/>
        <w:right w:val="none" w:sz="0" w:space="0" w:color="auto"/>
      </w:divBdr>
    </w:div>
    <w:div w:id="453521824">
      <w:bodyDiv w:val="1"/>
      <w:marLeft w:val="0"/>
      <w:marRight w:val="0"/>
      <w:marTop w:val="0"/>
      <w:marBottom w:val="0"/>
      <w:divBdr>
        <w:top w:val="none" w:sz="0" w:space="0" w:color="auto"/>
        <w:left w:val="none" w:sz="0" w:space="0" w:color="auto"/>
        <w:bottom w:val="none" w:sz="0" w:space="0" w:color="auto"/>
        <w:right w:val="none" w:sz="0" w:space="0" w:color="auto"/>
      </w:divBdr>
    </w:div>
    <w:div w:id="453596576">
      <w:bodyDiv w:val="1"/>
      <w:marLeft w:val="0"/>
      <w:marRight w:val="0"/>
      <w:marTop w:val="0"/>
      <w:marBottom w:val="0"/>
      <w:divBdr>
        <w:top w:val="none" w:sz="0" w:space="0" w:color="auto"/>
        <w:left w:val="none" w:sz="0" w:space="0" w:color="auto"/>
        <w:bottom w:val="none" w:sz="0" w:space="0" w:color="auto"/>
        <w:right w:val="none" w:sz="0" w:space="0" w:color="auto"/>
      </w:divBdr>
    </w:div>
    <w:div w:id="453713009">
      <w:bodyDiv w:val="1"/>
      <w:marLeft w:val="0"/>
      <w:marRight w:val="0"/>
      <w:marTop w:val="0"/>
      <w:marBottom w:val="0"/>
      <w:divBdr>
        <w:top w:val="none" w:sz="0" w:space="0" w:color="auto"/>
        <w:left w:val="none" w:sz="0" w:space="0" w:color="auto"/>
        <w:bottom w:val="none" w:sz="0" w:space="0" w:color="auto"/>
        <w:right w:val="none" w:sz="0" w:space="0" w:color="auto"/>
      </w:divBdr>
    </w:div>
    <w:div w:id="453721588">
      <w:bodyDiv w:val="1"/>
      <w:marLeft w:val="0"/>
      <w:marRight w:val="0"/>
      <w:marTop w:val="0"/>
      <w:marBottom w:val="0"/>
      <w:divBdr>
        <w:top w:val="none" w:sz="0" w:space="0" w:color="auto"/>
        <w:left w:val="none" w:sz="0" w:space="0" w:color="auto"/>
        <w:bottom w:val="none" w:sz="0" w:space="0" w:color="auto"/>
        <w:right w:val="none" w:sz="0" w:space="0" w:color="auto"/>
      </w:divBdr>
    </w:div>
    <w:div w:id="453906932">
      <w:bodyDiv w:val="1"/>
      <w:marLeft w:val="0"/>
      <w:marRight w:val="0"/>
      <w:marTop w:val="0"/>
      <w:marBottom w:val="0"/>
      <w:divBdr>
        <w:top w:val="none" w:sz="0" w:space="0" w:color="auto"/>
        <w:left w:val="none" w:sz="0" w:space="0" w:color="auto"/>
        <w:bottom w:val="none" w:sz="0" w:space="0" w:color="auto"/>
        <w:right w:val="none" w:sz="0" w:space="0" w:color="auto"/>
      </w:divBdr>
    </w:div>
    <w:div w:id="453989192">
      <w:bodyDiv w:val="1"/>
      <w:marLeft w:val="0"/>
      <w:marRight w:val="0"/>
      <w:marTop w:val="0"/>
      <w:marBottom w:val="0"/>
      <w:divBdr>
        <w:top w:val="none" w:sz="0" w:space="0" w:color="auto"/>
        <w:left w:val="none" w:sz="0" w:space="0" w:color="auto"/>
        <w:bottom w:val="none" w:sz="0" w:space="0" w:color="auto"/>
        <w:right w:val="none" w:sz="0" w:space="0" w:color="auto"/>
      </w:divBdr>
    </w:div>
    <w:div w:id="454180293">
      <w:bodyDiv w:val="1"/>
      <w:marLeft w:val="0"/>
      <w:marRight w:val="0"/>
      <w:marTop w:val="0"/>
      <w:marBottom w:val="0"/>
      <w:divBdr>
        <w:top w:val="none" w:sz="0" w:space="0" w:color="auto"/>
        <w:left w:val="none" w:sz="0" w:space="0" w:color="auto"/>
        <w:bottom w:val="none" w:sz="0" w:space="0" w:color="auto"/>
        <w:right w:val="none" w:sz="0" w:space="0" w:color="auto"/>
      </w:divBdr>
    </w:div>
    <w:div w:id="454255939">
      <w:bodyDiv w:val="1"/>
      <w:marLeft w:val="0"/>
      <w:marRight w:val="0"/>
      <w:marTop w:val="0"/>
      <w:marBottom w:val="0"/>
      <w:divBdr>
        <w:top w:val="none" w:sz="0" w:space="0" w:color="auto"/>
        <w:left w:val="none" w:sz="0" w:space="0" w:color="auto"/>
        <w:bottom w:val="none" w:sz="0" w:space="0" w:color="auto"/>
        <w:right w:val="none" w:sz="0" w:space="0" w:color="auto"/>
      </w:divBdr>
    </w:div>
    <w:div w:id="454569460">
      <w:bodyDiv w:val="1"/>
      <w:marLeft w:val="0"/>
      <w:marRight w:val="0"/>
      <w:marTop w:val="0"/>
      <w:marBottom w:val="0"/>
      <w:divBdr>
        <w:top w:val="none" w:sz="0" w:space="0" w:color="auto"/>
        <w:left w:val="none" w:sz="0" w:space="0" w:color="auto"/>
        <w:bottom w:val="none" w:sz="0" w:space="0" w:color="auto"/>
        <w:right w:val="none" w:sz="0" w:space="0" w:color="auto"/>
      </w:divBdr>
    </w:div>
    <w:div w:id="454636139">
      <w:bodyDiv w:val="1"/>
      <w:marLeft w:val="0"/>
      <w:marRight w:val="0"/>
      <w:marTop w:val="0"/>
      <w:marBottom w:val="0"/>
      <w:divBdr>
        <w:top w:val="none" w:sz="0" w:space="0" w:color="auto"/>
        <w:left w:val="none" w:sz="0" w:space="0" w:color="auto"/>
        <w:bottom w:val="none" w:sz="0" w:space="0" w:color="auto"/>
        <w:right w:val="none" w:sz="0" w:space="0" w:color="auto"/>
      </w:divBdr>
    </w:div>
    <w:div w:id="454644673">
      <w:bodyDiv w:val="1"/>
      <w:marLeft w:val="0"/>
      <w:marRight w:val="0"/>
      <w:marTop w:val="0"/>
      <w:marBottom w:val="0"/>
      <w:divBdr>
        <w:top w:val="none" w:sz="0" w:space="0" w:color="auto"/>
        <w:left w:val="none" w:sz="0" w:space="0" w:color="auto"/>
        <w:bottom w:val="none" w:sz="0" w:space="0" w:color="auto"/>
        <w:right w:val="none" w:sz="0" w:space="0" w:color="auto"/>
      </w:divBdr>
    </w:div>
    <w:div w:id="454715416">
      <w:bodyDiv w:val="1"/>
      <w:marLeft w:val="0"/>
      <w:marRight w:val="0"/>
      <w:marTop w:val="0"/>
      <w:marBottom w:val="0"/>
      <w:divBdr>
        <w:top w:val="none" w:sz="0" w:space="0" w:color="auto"/>
        <w:left w:val="none" w:sz="0" w:space="0" w:color="auto"/>
        <w:bottom w:val="none" w:sz="0" w:space="0" w:color="auto"/>
        <w:right w:val="none" w:sz="0" w:space="0" w:color="auto"/>
      </w:divBdr>
    </w:div>
    <w:div w:id="454835194">
      <w:bodyDiv w:val="1"/>
      <w:marLeft w:val="0"/>
      <w:marRight w:val="0"/>
      <w:marTop w:val="0"/>
      <w:marBottom w:val="0"/>
      <w:divBdr>
        <w:top w:val="none" w:sz="0" w:space="0" w:color="auto"/>
        <w:left w:val="none" w:sz="0" w:space="0" w:color="auto"/>
        <w:bottom w:val="none" w:sz="0" w:space="0" w:color="auto"/>
        <w:right w:val="none" w:sz="0" w:space="0" w:color="auto"/>
      </w:divBdr>
    </w:div>
    <w:div w:id="454951777">
      <w:bodyDiv w:val="1"/>
      <w:marLeft w:val="0"/>
      <w:marRight w:val="0"/>
      <w:marTop w:val="0"/>
      <w:marBottom w:val="0"/>
      <w:divBdr>
        <w:top w:val="none" w:sz="0" w:space="0" w:color="auto"/>
        <w:left w:val="none" w:sz="0" w:space="0" w:color="auto"/>
        <w:bottom w:val="none" w:sz="0" w:space="0" w:color="auto"/>
        <w:right w:val="none" w:sz="0" w:space="0" w:color="auto"/>
      </w:divBdr>
    </w:div>
    <w:div w:id="454983049">
      <w:bodyDiv w:val="1"/>
      <w:marLeft w:val="0"/>
      <w:marRight w:val="0"/>
      <w:marTop w:val="0"/>
      <w:marBottom w:val="0"/>
      <w:divBdr>
        <w:top w:val="none" w:sz="0" w:space="0" w:color="auto"/>
        <w:left w:val="none" w:sz="0" w:space="0" w:color="auto"/>
        <w:bottom w:val="none" w:sz="0" w:space="0" w:color="auto"/>
        <w:right w:val="none" w:sz="0" w:space="0" w:color="auto"/>
      </w:divBdr>
    </w:div>
    <w:div w:id="455027706">
      <w:bodyDiv w:val="1"/>
      <w:marLeft w:val="0"/>
      <w:marRight w:val="0"/>
      <w:marTop w:val="0"/>
      <w:marBottom w:val="0"/>
      <w:divBdr>
        <w:top w:val="none" w:sz="0" w:space="0" w:color="auto"/>
        <w:left w:val="none" w:sz="0" w:space="0" w:color="auto"/>
        <w:bottom w:val="none" w:sz="0" w:space="0" w:color="auto"/>
        <w:right w:val="none" w:sz="0" w:space="0" w:color="auto"/>
      </w:divBdr>
    </w:div>
    <w:div w:id="455031324">
      <w:bodyDiv w:val="1"/>
      <w:marLeft w:val="0"/>
      <w:marRight w:val="0"/>
      <w:marTop w:val="0"/>
      <w:marBottom w:val="0"/>
      <w:divBdr>
        <w:top w:val="none" w:sz="0" w:space="0" w:color="auto"/>
        <w:left w:val="none" w:sz="0" w:space="0" w:color="auto"/>
        <w:bottom w:val="none" w:sz="0" w:space="0" w:color="auto"/>
        <w:right w:val="none" w:sz="0" w:space="0" w:color="auto"/>
      </w:divBdr>
    </w:div>
    <w:div w:id="455101705">
      <w:bodyDiv w:val="1"/>
      <w:marLeft w:val="0"/>
      <w:marRight w:val="0"/>
      <w:marTop w:val="0"/>
      <w:marBottom w:val="0"/>
      <w:divBdr>
        <w:top w:val="none" w:sz="0" w:space="0" w:color="auto"/>
        <w:left w:val="none" w:sz="0" w:space="0" w:color="auto"/>
        <w:bottom w:val="none" w:sz="0" w:space="0" w:color="auto"/>
        <w:right w:val="none" w:sz="0" w:space="0" w:color="auto"/>
      </w:divBdr>
    </w:div>
    <w:div w:id="455294772">
      <w:bodyDiv w:val="1"/>
      <w:marLeft w:val="0"/>
      <w:marRight w:val="0"/>
      <w:marTop w:val="0"/>
      <w:marBottom w:val="0"/>
      <w:divBdr>
        <w:top w:val="none" w:sz="0" w:space="0" w:color="auto"/>
        <w:left w:val="none" w:sz="0" w:space="0" w:color="auto"/>
        <w:bottom w:val="none" w:sz="0" w:space="0" w:color="auto"/>
        <w:right w:val="none" w:sz="0" w:space="0" w:color="auto"/>
      </w:divBdr>
    </w:div>
    <w:div w:id="455369181">
      <w:bodyDiv w:val="1"/>
      <w:marLeft w:val="0"/>
      <w:marRight w:val="0"/>
      <w:marTop w:val="0"/>
      <w:marBottom w:val="0"/>
      <w:divBdr>
        <w:top w:val="none" w:sz="0" w:space="0" w:color="auto"/>
        <w:left w:val="none" w:sz="0" w:space="0" w:color="auto"/>
        <w:bottom w:val="none" w:sz="0" w:space="0" w:color="auto"/>
        <w:right w:val="none" w:sz="0" w:space="0" w:color="auto"/>
      </w:divBdr>
    </w:div>
    <w:div w:id="455493186">
      <w:bodyDiv w:val="1"/>
      <w:marLeft w:val="0"/>
      <w:marRight w:val="0"/>
      <w:marTop w:val="0"/>
      <w:marBottom w:val="0"/>
      <w:divBdr>
        <w:top w:val="none" w:sz="0" w:space="0" w:color="auto"/>
        <w:left w:val="none" w:sz="0" w:space="0" w:color="auto"/>
        <w:bottom w:val="none" w:sz="0" w:space="0" w:color="auto"/>
        <w:right w:val="none" w:sz="0" w:space="0" w:color="auto"/>
      </w:divBdr>
    </w:div>
    <w:div w:id="455562357">
      <w:bodyDiv w:val="1"/>
      <w:marLeft w:val="0"/>
      <w:marRight w:val="0"/>
      <w:marTop w:val="0"/>
      <w:marBottom w:val="0"/>
      <w:divBdr>
        <w:top w:val="none" w:sz="0" w:space="0" w:color="auto"/>
        <w:left w:val="none" w:sz="0" w:space="0" w:color="auto"/>
        <w:bottom w:val="none" w:sz="0" w:space="0" w:color="auto"/>
        <w:right w:val="none" w:sz="0" w:space="0" w:color="auto"/>
      </w:divBdr>
    </w:div>
    <w:div w:id="455682632">
      <w:bodyDiv w:val="1"/>
      <w:marLeft w:val="0"/>
      <w:marRight w:val="0"/>
      <w:marTop w:val="0"/>
      <w:marBottom w:val="0"/>
      <w:divBdr>
        <w:top w:val="none" w:sz="0" w:space="0" w:color="auto"/>
        <w:left w:val="none" w:sz="0" w:space="0" w:color="auto"/>
        <w:bottom w:val="none" w:sz="0" w:space="0" w:color="auto"/>
        <w:right w:val="none" w:sz="0" w:space="0" w:color="auto"/>
      </w:divBdr>
    </w:div>
    <w:div w:id="455873703">
      <w:bodyDiv w:val="1"/>
      <w:marLeft w:val="0"/>
      <w:marRight w:val="0"/>
      <w:marTop w:val="0"/>
      <w:marBottom w:val="0"/>
      <w:divBdr>
        <w:top w:val="none" w:sz="0" w:space="0" w:color="auto"/>
        <w:left w:val="none" w:sz="0" w:space="0" w:color="auto"/>
        <w:bottom w:val="none" w:sz="0" w:space="0" w:color="auto"/>
        <w:right w:val="none" w:sz="0" w:space="0" w:color="auto"/>
      </w:divBdr>
    </w:div>
    <w:div w:id="455876509">
      <w:bodyDiv w:val="1"/>
      <w:marLeft w:val="0"/>
      <w:marRight w:val="0"/>
      <w:marTop w:val="0"/>
      <w:marBottom w:val="0"/>
      <w:divBdr>
        <w:top w:val="none" w:sz="0" w:space="0" w:color="auto"/>
        <w:left w:val="none" w:sz="0" w:space="0" w:color="auto"/>
        <w:bottom w:val="none" w:sz="0" w:space="0" w:color="auto"/>
        <w:right w:val="none" w:sz="0" w:space="0" w:color="auto"/>
      </w:divBdr>
    </w:div>
    <w:div w:id="456029316">
      <w:bodyDiv w:val="1"/>
      <w:marLeft w:val="0"/>
      <w:marRight w:val="0"/>
      <w:marTop w:val="0"/>
      <w:marBottom w:val="0"/>
      <w:divBdr>
        <w:top w:val="none" w:sz="0" w:space="0" w:color="auto"/>
        <w:left w:val="none" w:sz="0" w:space="0" w:color="auto"/>
        <w:bottom w:val="none" w:sz="0" w:space="0" w:color="auto"/>
        <w:right w:val="none" w:sz="0" w:space="0" w:color="auto"/>
      </w:divBdr>
    </w:div>
    <w:div w:id="456068798">
      <w:bodyDiv w:val="1"/>
      <w:marLeft w:val="0"/>
      <w:marRight w:val="0"/>
      <w:marTop w:val="0"/>
      <w:marBottom w:val="0"/>
      <w:divBdr>
        <w:top w:val="none" w:sz="0" w:space="0" w:color="auto"/>
        <w:left w:val="none" w:sz="0" w:space="0" w:color="auto"/>
        <w:bottom w:val="none" w:sz="0" w:space="0" w:color="auto"/>
        <w:right w:val="none" w:sz="0" w:space="0" w:color="auto"/>
      </w:divBdr>
    </w:div>
    <w:div w:id="456266530">
      <w:bodyDiv w:val="1"/>
      <w:marLeft w:val="0"/>
      <w:marRight w:val="0"/>
      <w:marTop w:val="0"/>
      <w:marBottom w:val="0"/>
      <w:divBdr>
        <w:top w:val="none" w:sz="0" w:space="0" w:color="auto"/>
        <w:left w:val="none" w:sz="0" w:space="0" w:color="auto"/>
        <w:bottom w:val="none" w:sz="0" w:space="0" w:color="auto"/>
        <w:right w:val="none" w:sz="0" w:space="0" w:color="auto"/>
      </w:divBdr>
    </w:div>
    <w:div w:id="456333450">
      <w:bodyDiv w:val="1"/>
      <w:marLeft w:val="0"/>
      <w:marRight w:val="0"/>
      <w:marTop w:val="0"/>
      <w:marBottom w:val="0"/>
      <w:divBdr>
        <w:top w:val="none" w:sz="0" w:space="0" w:color="auto"/>
        <w:left w:val="none" w:sz="0" w:space="0" w:color="auto"/>
        <w:bottom w:val="none" w:sz="0" w:space="0" w:color="auto"/>
        <w:right w:val="none" w:sz="0" w:space="0" w:color="auto"/>
      </w:divBdr>
    </w:div>
    <w:div w:id="456603615">
      <w:bodyDiv w:val="1"/>
      <w:marLeft w:val="0"/>
      <w:marRight w:val="0"/>
      <w:marTop w:val="0"/>
      <w:marBottom w:val="0"/>
      <w:divBdr>
        <w:top w:val="none" w:sz="0" w:space="0" w:color="auto"/>
        <w:left w:val="none" w:sz="0" w:space="0" w:color="auto"/>
        <w:bottom w:val="none" w:sz="0" w:space="0" w:color="auto"/>
        <w:right w:val="none" w:sz="0" w:space="0" w:color="auto"/>
      </w:divBdr>
    </w:div>
    <w:div w:id="456604973">
      <w:bodyDiv w:val="1"/>
      <w:marLeft w:val="0"/>
      <w:marRight w:val="0"/>
      <w:marTop w:val="0"/>
      <w:marBottom w:val="0"/>
      <w:divBdr>
        <w:top w:val="none" w:sz="0" w:space="0" w:color="auto"/>
        <w:left w:val="none" w:sz="0" w:space="0" w:color="auto"/>
        <w:bottom w:val="none" w:sz="0" w:space="0" w:color="auto"/>
        <w:right w:val="none" w:sz="0" w:space="0" w:color="auto"/>
      </w:divBdr>
    </w:div>
    <w:div w:id="456729104">
      <w:bodyDiv w:val="1"/>
      <w:marLeft w:val="0"/>
      <w:marRight w:val="0"/>
      <w:marTop w:val="0"/>
      <w:marBottom w:val="0"/>
      <w:divBdr>
        <w:top w:val="none" w:sz="0" w:space="0" w:color="auto"/>
        <w:left w:val="none" w:sz="0" w:space="0" w:color="auto"/>
        <w:bottom w:val="none" w:sz="0" w:space="0" w:color="auto"/>
        <w:right w:val="none" w:sz="0" w:space="0" w:color="auto"/>
      </w:divBdr>
    </w:div>
    <w:div w:id="456797997">
      <w:bodyDiv w:val="1"/>
      <w:marLeft w:val="0"/>
      <w:marRight w:val="0"/>
      <w:marTop w:val="0"/>
      <w:marBottom w:val="0"/>
      <w:divBdr>
        <w:top w:val="none" w:sz="0" w:space="0" w:color="auto"/>
        <w:left w:val="none" w:sz="0" w:space="0" w:color="auto"/>
        <w:bottom w:val="none" w:sz="0" w:space="0" w:color="auto"/>
        <w:right w:val="none" w:sz="0" w:space="0" w:color="auto"/>
      </w:divBdr>
    </w:div>
    <w:div w:id="456878720">
      <w:bodyDiv w:val="1"/>
      <w:marLeft w:val="0"/>
      <w:marRight w:val="0"/>
      <w:marTop w:val="0"/>
      <w:marBottom w:val="0"/>
      <w:divBdr>
        <w:top w:val="none" w:sz="0" w:space="0" w:color="auto"/>
        <w:left w:val="none" w:sz="0" w:space="0" w:color="auto"/>
        <w:bottom w:val="none" w:sz="0" w:space="0" w:color="auto"/>
        <w:right w:val="none" w:sz="0" w:space="0" w:color="auto"/>
      </w:divBdr>
    </w:div>
    <w:div w:id="456990720">
      <w:bodyDiv w:val="1"/>
      <w:marLeft w:val="0"/>
      <w:marRight w:val="0"/>
      <w:marTop w:val="0"/>
      <w:marBottom w:val="0"/>
      <w:divBdr>
        <w:top w:val="none" w:sz="0" w:space="0" w:color="auto"/>
        <w:left w:val="none" w:sz="0" w:space="0" w:color="auto"/>
        <w:bottom w:val="none" w:sz="0" w:space="0" w:color="auto"/>
        <w:right w:val="none" w:sz="0" w:space="0" w:color="auto"/>
      </w:divBdr>
    </w:div>
    <w:div w:id="457189678">
      <w:bodyDiv w:val="1"/>
      <w:marLeft w:val="0"/>
      <w:marRight w:val="0"/>
      <w:marTop w:val="0"/>
      <w:marBottom w:val="0"/>
      <w:divBdr>
        <w:top w:val="none" w:sz="0" w:space="0" w:color="auto"/>
        <w:left w:val="none" w:sz="0" w:space="0" w:color="auto"/>
        <w:bottom w:val="none" w:sz="0" w:space="0" w:color="auto"/>
        <w:right w:val="none" w:sz="0" w:space="0" w:color="auto"/>
      </w:divBdr>
    </w:div>
    <w:div w:id="457336768">
      <w:bodyDiv w:val="1"/>
      <w:marLeft w:val="0"/>
      <w:marRight w:val="0"/>
      <w:marTop w:val="0"/>
      <w:marBottom w:val="0"/>
      <w:divBdr>
        <w:top w:val="none" w:sz="0" w:space="0" w:color="auto"/>
        <w:left w:val="none" w:sz="0" w:space="0" w:color="auto"/>
        <w:bottom w:val="none" w:sz="0" w:space="0" w:color="auto"/>
        <w:right w:val="none" w:sz="0" w:space="0" w:color="auto"/>
      </w:divBdr>
    </w:div>
    <w:div w:id="457377899">
      <w:bodyDiv w:val="1"/>
      <w:marLeft w:val="0"/>
      <w:marRight w:val="0"/>
      <w:marTop w:val="0"/>
      <w:marBottom w:val="0"/>
      <w:divBdr>
        <w:top w:val="none" w:sz="0" w:space="0" w:color="auto"/>
        <w:left w:val="none" w:sz="0" w:space="0" w:color="auto"/>
        <w:bottom w:val="none" w:sz="0" w:space="0" w:color="auto"/>
        <w:right w:val="none" w:sz="0" w:space="0" w:color="auto"/>
      </w:divBdr>
    </w:div>
    <w:div w:id="457452671">
      <w:bodyDiv w:val="1"/>
      <w:marLeft w:val="0"/>
      <w:marRight w:val="0"/>
      <w:marTop w:val="0"/>
      <w:marBottom w:val="0"/>
      <w:divBdr>
        <w:top w:val="none" w:sz="0" w:space="0" w:color="auto"/>
        <w:left w:val="none" w:sz="0" w:space="0" w:color="auto"/>
        <w:bottom w:val="none" w:sz="0" w:space="0" w:color="auto"/>
        <w:right w:val="none" w:sz="0" w:space="0" w:color="auto"/>
      </w:divBdr>
    </w:div>
    <w:div w:id="457454307">
      <w:bodyDiv w:val="1"/>
      <w:marLeft w:val="0"/>
      <w:marRight w:val="0"/>
      <w:marTop w:val="0"/>
      <w:marBottom w:val="0"/>
      <w:divBdr>
        <w:top w:val="none" w:sz="0" w:space="0" w:color="auto"/>
        <w:left w:val="none" w:sz="0" w:space="0" w:color="auto"/>
        <w:bottom w:val="none" w:sz="0" w:space="0" w:color="auto"/>
        <w:right w:val="none" w:sz="0" w:space="0" w:color="auto"/>
      </w:divBdr>
    </w:div>
    <w:div w:id="457455470">
      <w:bodyDiv w:val="1"/>
      <w:marLeft w:val="0"/>
      <w:marRight w:val="0"/>
      <w:marTop w:val="0"/>
      <w:marBottom w:val="0"/>
      <w:divBdr>
        <w:top w:val="none" w:sz="0" w:space="0" w:color="auto"/>
        <w:left w:val="none" w:sz="0" w:space="0" w:color="auto"/>
        <w:bottom w:val="none" w:sz="0" w:space="0" w:color="auto"/>
        <w:right w:val="none" w:sz="0" w:space="0" w:color="auto"/>
      </w:divBdr>
    </w:div>
    <w:div w:id="457650333">
      <w:bodyDiv w:val="1"/>
      <w:marLeft w:val="0"/>
      <w:marRight w:val="0"/>
      <w:marTop w:val="0"/>
      <w:marBottom w:val="0"/>
      <w:divBdr>
        <w:top w:val="none" w:sz="0" w:space="0" w:color="auto"/>
        <w:left w:val="none" w:sz="0" w:space="0" w:color="auto"/>
        <w:bottom w:val="none" w:sz="0" w:space="0" w:color="auto"/>
        <w:right w:val="none" w:sz="0" w:space="0" w:color="auto"/>
      </w:divBdr>
    </w:div>
    <w:div w:id="458031273">
      <w:bodyDiv w:val="1"/>
      <w:marLeft w:val="0"/>
      <w:marRight w:val="0"/>
      <w:marTop w:val="0"/>
      <w:marBottom w:val="0"/>
      <w:divBdr>
        <w:top w:val="none" w:sz="0" w:space="0" w:color="auto"/>
        <w:left w:val="none" w:sz="0" w:space="0" w:color="auto"/>
        <w:bottom w:val="none" w:sz="0" w:space="0" w:color="auto"/>
        <w:right w:val="none" w:sz="0" w:space="0" w:color="auto"/>
      </w:divBdr>
    </w:div>
    <w:div w:id="458107226">
      <w:bodyDiv w:val="1"/>
      <w:marLeft w:val="0"/>
      <w:marRight w:val="0"/>
      <w:marTop w:val="0"/>
      <w:marBottom w:val="0"/>
      <w:divBdr>
        <w:top w:val="none" w:sz="0" w:space="0" w:color="auto"/>
        <w:left w:val="none" w:sz="0" w:space="0" w:color="auto"/>
        <w:bottom w:val="none" w:sz="0" w:space="0" w:color="auto"/>
        <w:right w:val="none" w:sz="0" w:space="0" w:color="auto"/>
      </w:divBdr>
    </w:div>
    <w:div w:id="458229512">
      <w:bodyDiv w:val="1"/>
      <w:marLeft w:val="0"/>
      <w:marRight w:val="0"/>
      <w:marTop w:val="0"/>
      <w:marBottom w:val="0"/>
      <w:divBdr>
        <w:top w:val="none" w:sz="0" w:space="0" w:color="auto"/>
        <w:left w:val="none" w:sz="0" w:space="0" w:color="auto"/>
        <w:bottom w:val="none" w:sz="0" w:space="0" w:color="auto"/>
        <w:right w:val="none" w:sz="0" w:space="0" w:color="auto"/>
      </w:divBdr>
    </w:div>
    <w:div w:id="458259914">
      <w:bodyDiv w:val="1"/>
      <w:marLeft w:val="0"/>
      <w:marRight w:val="0"/>
      <w:marTop w:val="0"/>
      <w:marBottom w:val="0"/>
      <w:divBdr>
        <w:top w:val="none" w:sz="0" w:space="0" w:color="auto"/>
        <w:left w:val="none" w:sz="0" w:space="0" w:color="auto"/>
        <w:bottom w:val="none" w:sz="0" w:space="0" w:color="auto"/>
        <w:right w:val="none" w:sz="0" w:space="0" w:color="auto"/>
      </w:divBdr>
    </w:div>
    <w:div w:id="458302609">
      <w:bodyDiv w:val="1"/>
      <w:marLeft w:val="0"/>
      <w:marRight w:val="0"/>
      <w:marTop w:val="0"/>
      <w:marBottom w:val="0"/>
      <w:divBdr>
        <w:top w:val="none" w:sz="0" w:space="0" w:color="auto"/>
        <w:left w:val="none" w:sz="0" w:space="0" w:color="auto"/>
        <w:bottom w:val="none" w:sz="0" w:space="0" w:color="auto"/>
        <w:right w:val="none" w:sz="0" w:space="0" w:color="auto"/>
      </w:divBdr>
    </w:div>
    <w:div w:id="458303603">
      <w:bodyDiv w:val="1"/>
      <w:marLeft w:val="0"/>
      <w:marRight w:val="0"/>
      <w:marTop w:val="0"/>
      <w:marBottom w:val="0"/>
      <w:divBdr>
        <w:top w:val="none" w:sz="0" w:space="0" w:color="auto"/>
        <w:left w:val="none" w:sz="0" w:space="0" w:color="auto"/>
        <w:bottom w:val="none" w:sz="0" w:space="0" w:color="auto"/>
        <w:right w:val="none" w:sz="0" w:space="0" w:color="auto"/>
      </w:divBdr>
    </w:div>
    <w:div w:id="458499697">
      <w:bodyDiv w:val="1"/>
      <w:marLeft w:val="0"/>
      <w:marRight w:val="0"/>
      <w:marTop w:val="0"/>
      <w:marBottom w:val="0"/>
      <w:divBdr>
        <w:top w:val="none" w:sz="0" w:space="0" w:color="auto"/>
        <w:left w:val="none" w:sz="0" w:space="0" w:color="auto"/>
        <w:bottom w:val="none" w:sz="0" w:space="0" w:color="auto"/>
        <w:right w:val="none" w:sz="0" w:space="0" w:color="auto"/>
      </w:divBdr>
    </w:div>
    <w:div w:id="458569324">
      <w:bodyDiv w:val="1"/>
      <w:marLeft w:val="0"/>
      <w:marRight w:val="0"/>
      <w:marTop w:val="0"/>
      <w:marBottom w:val="0"/>
      <w:divBdr>
        <w:top w:val="none" w:sz="0" w:space="0" w:color="auto"/>
        <w:left w:val="none" w:sz="0" w:space="0" w:color="auto"/>
        <w:bottom w:val="none" w:sz="0" w:space="0" w:color="auto"/>
        <w:right w:val="none" w:sz="0" w:space="0" w:color="auto"/>
      </w:divBdr>
    </w:div>
    <w:div w:id="458571702">
      <w:bodyDiv w:val="1"/>
      <w:marLeft w:val="0"/>
      <w:marRight w:val="0"/>
      <w:marTop w:val="0"/>
      <w:marBottom w:val="0"/>
      <w:divBdr>
        <w:top w:val="none" w:sz="0" w:space="0" w:color="auto"/>
        <w:left w:val="none" w:sz="0" w:space="0" w:color="auto"/>
        <w:bottom w:val="none" w:sz="0" w:space="0" w:color="auto"/>
        <w:right w:val="none" w:sz="0" w:space="0" w:color="auto"/>
      </w:divBdr>
    </w:div>
    <w:div w:id="458694839">
      <w:bodyDiv w:val="1"/>
      <w:marLeft w:val="0"/>
      <w:marRight w:val="0"/>
      <w:marTop w:val="0"/>
      <w:marBottom w:val="0"/>
      <w:divBdr>
        <w:top w:val="none" w:sz="0" w:space="0" w:color="auto"/>
        <w:left w:val="none" w:sz="0" w:space="0" w:color="auto"/>
        <w:bottom w:val="none" w:sz="0" w:space="0" w:color="auto"/>
        <w:right w:val="none" w:sz="0" w:space="0" w:color="auto"/>
      </w:divBdr>
    </w:div>
    <w:div w:id="458840635">
      <w:bodyDiv w:val="1"/>
      <w:marLeft w:val="0"/>
      <w:marRight w:val="0"/>
      <w:marTop w:val="0"/>
      <w:marBottom w:val="0"/>
      <w:divBdr>
        <w:top w:val="none" w:sz="0" w:space="0" w:color="auto"/>
        <w:left w:val="none" w:sz="0" w:space="0" w:color="auto"/>
        <w:bottom w:val="none" w:sz="0" w:space="0" w:color="auto"/>
        <w:right w:val="none" w:sz="0" w:space="0" w:color="auto"/>
      </w:divBdr>
    </w:div>
    <w:div w:id="458957165">
      <w:bodyDiv w:val="1"/>
      <w:marLeft w:val="0"/>
      <w:marRight w:val="0"/>
      <w:marTop w:val="0"/>
      <w:marBottom w:val="0"/>
      <w:divBdr>
        <w:top w:val="none" w:sz="0" w:space="0" w:color="auto"/>
        <w:left w:val="none" w:sz="0" w:space="0" w:color="auto"/>
        <w:bottom w:val="none" w:sz="0" w:space="0" w:color="auto"/>
        <w:right w:val="none" w:sz="0" w:space="0" w:color="auto"/>
      </w:divBdr>
    </w:div>
    <w:div w:id="459080230">
      <w:bodyDiv w:val="1"/>
      <w:marLeft w:val="0"/>
      <w:marRight w:val="0"/>
      <w:marTop w:val="0"/>
      <w:marBottom w:val="0"/>
      <w:divBdr>
        <w:top w:val="none" w:sz="0" w:space="0" w:color="auto"/>
        <w:left w:val="none" w:sz="0" w:space="0" w:color="auto"/>
        <w:bottom w:val="none" w:sz="0" w:space="0" w:color="auto"/>
        <w:right w:val="none" w:sz="0" w:space="0" w:color="auto"/>
      </w:divBdr>
    </w:div>
    <w:div w:id="459081092">
      <w:bodyDiv w:val="1"/>
      <w:marLeft w:val="0"/>
      <w:marRight w:val="0"/>
      <w:marTop w:val="0"/>
      <w:marBottom w:val="0"/>
      <w:divBdr>
        <w:top w:val="none" w:sz="0" w:space="0" w:color="auto"/>
        <w:left w:val="none" w:sz="0" w:space="0" w:color="auto"/>
        <w:bottom w:val="none" w:sz="0" w:space="0" w:color="auto"/>
        <w:right w:val="none" w:sz="0" w:space="0" w:color="auto"/>
      </w:divBdr>
    </w:div>
    <w:div w:id="459104978">
      <w:bodyDiv w:val="1"/>
      <w:marLeft w:val="0"/>
      <w:marRight w:val="0"/>
      <w:marTop w:val="0"/>
      <w:marBottom w:val="0"/>
      <w:divBdr>
        <w:top w:val="none" w:sz="0" w:space="0" w:color="auto"/>
        <w:left w:val="none" w:sz="0" w:space="0" w:color="auto"/>
        <w:bottom w:val="none" w:sz="0" w:space="0" w:color="auto"/>
        <w:right w:val="none" w:sz="0" w:space="0" w:color="auto"/>
      </w:divBdr>
    </w:div>
    <w:div w:id="459155299">
      <w:bodyDiv w:val="1"/>
      <w:marLeft w:val="0"/>
      <w:marRight w:val="0"/>
      <w:marTop w:val="0"/>
      <w:marBottom w:val="0"/>
      <w:divBdr>
        <w:top w:val="none" w:sz="0" w:space="0" w:color="auto"/>
        <w:left w:val="none" w:sz="0" w:space="0" w:color="auto"/>
        <w:bottom w:val="none" w:sz="0" w:space="0" w:color="auto"/>
        <w:right w:val="none" w:sz="0" w:space="0" w:color="auto"/>
      </w:divBdr>
    </w:div>
    <w:div w:id="459231729">
      <w:bodyDiv w:val="1"/>
      <w:marLeft w:val="0"/>
      <w:marRight w:val="0"/>
      <w:marTop w:val="0"/>
      <w:marBottom w:val="0"/>
      <w:divBdr>
        <w:top w:val="none" w:sz="0" w:space="0" w:color="auto"/>
        <w:left w:val="none" w:sz="0" w:space="0" w:color="auto"/>
        <w:bottom w:val="none" w:sz="0" w:space="0" w:color="auto"/>
        <w:right w:val="none" w:sz="0" w:space="0" w:color="auto"/>
      </w:divBdr>
    </w:div>
    <w:div w:id="459301121">
      <w:bodyDiv w:val="1"/>
      <w:marLeft w:val="0"/>
      <w:marRight w:val="0"/>
      <w:marTop w:val="0"/>
      <w:marBottom w:val="0"/>
      <w:divBdr>
        <w:top w:val="none" w:sz="0" w:space="0" w:color="auto"/>
        <w:left w:val="none" w:sz="0" w:space="0" w:color="auto"/>
        <w:bottom w:val="none" w:sz="0" w:space="0" w:color="auto"/>
        <w:right w:val="none" w:sz="0" w:space="0" w:color="auto"/>
      </w:divBdr>
    </w:div>
    <w:div w:id="459305412">
      <w:bodyDiv w:val="1"/>
      <w:marLeft w:val="0"/>
      <w:marRight w:val="0"/>
      <w:marTop w:val="0"/>
      <w:marBottom w:val="0"/>
      <w:divBdr>
        <w:top w:val="none" w:sz="0" w:space="0" w:color="auto"/>
        <w:left w:val="none" w:sz="0" w:space="0" w:color="auto"/>
        <w:bottom w:val="none" w:sz="0" w:space="0" w:color="auto"/>
        <w:right w:val="none" w:sz="0" w:space="0" w:color="auto"/>
      </w:divBdr>
    </w:div>
    <w:div w:id="459421478">
      <w:bodyDiv w:val="1"/>
      <w:marLeft w:val="0"/>
      <w:marRight w:val="0"/>
      <w:marTop w:val="0"/>
      <w:marBottom w:val="0"/>
      <w:divBdr>
        <w:top w:val="none" w:sz="0" w:space="0" w:color="auto"/>
        <w:left w:val="none" w:sz="0" w:space="0" w:color="auto"/>
        <w:bottom w:val="none" w:sz="0" w:space="0" w:color="auto"/>
        <w:right w:val="none" w:sz="0" w:space="0" w:color="auto"/>
      </w:divBdr>
    </w:div>
    <w:div w:id="459422635">
      <w:bodyDiv w:val="1"/>
      <w:marLeft w:val="0"/>
      <w:marRight w:val="0"/>
      <w:marTop w:val="0"/>
      <w:marBottom w:val="0"/>
      <w:divBdr>
        <w:top w:val="none" w:sz="0" w:space="0" w:color="auto"/>
        <w:left w:val="none" w:sz="0" w:space="0" w:color="auto"/>
        <w:bottom w:val="none" w:sz="0" w:space="0" w:color="auto"/>
        <w:right w:val="none" w:sz="0" w:space="0" w:color="auto"/>
      </w:divBdr>
    </w:div>
    <w:div w:id="459494027">
      <w:bodyDiv w:val="1"/>
      <w:marLeft w:val="0"/>
      <w:marRight w:val="0"/>
      <w:marTop w:val="0"/>
      <w:marBottom w:val="0"/>
      <w:divBdr>
        <w:top w:val="none" w:sz="0" w:space="0" w:color="auto"/>
        <w:left w:val="none" w:sz="0" w:space="0" w:color="auto"/>
        <w:bottom w:val="none" w:sz="0" w:space="0" w:color="auto"/>
        <w:right w:val="none" w:sz="0" w:space="0" w:color="auto"/>
      </w:divBdr>
    </w:div>
    <w:div w:id="459539862">
      <w:bodyDiv w:val="1"/>
      <w:marLeft w:val="0"/>
      <w:marRight w:val="0"/>
      <w:marTop w:val="0"/>
      <w:marBottom w:val="0"/>
      <w:divBdr>
        <w:top w:val="none" w:sz="0" w:space="0" w:color="auto"/>
        <w:left w:val="none" w:sz="0" w:space="0" w:color="auto"/>
        <w:bottom w:val="none" w:sz="0" w:space="0" w:color="auto"/>
        <w:right w:val="none" w:sz="0" w:space="0" w:color="auto"/>
      </w:divBdr>
    </w:div>
    <w:div w:id="459543556">
      <w:bodyDiv w:val="1"/>
      <w:marLeft w:val="0"/>
      <w:marRight w:val="0"/>
      <w:marTop w:val="0"/>
      <w:marBottom w:val="0"/>
      <w:divBdr>
        <w:top w:val="none" w:sz="0" w:space="0" w:color="auto"/>
        <w:left w:val="none" w:sz="0" w:space="0" w:color="auto"/>
        <w:bottom w:val="none" w:sz="0" w:space="0" w:color="auto"/>
        <w:right w:val="none" w:sz="0" w:space="0" w:color="auto"/>
      </w:divBdr>
    </w:div>
    <w:div w:id="459761722">
      <w:bodyDiv w:val="1"/>
      <w:marLeft w:val="0"/>
      <w:marRight w:val="0"/>
      <w:marTop w:val="0"/>
      <w:marBottom w:val="0"/>
      <w:divBdr>
        <w:top w:val="none" w:sz="0" w:space="0" w:color="auto"/>
        <w:left w:val="none" w:sz="0" w:space="0" w:color="auto"/>
        <w:bottom w:val="none" w:sz="0" w:space="0" w:color="auto"/>
        <w:right w:val="none" w:sz="0" w:space="0" w:color="auto"/>
      </w:divBdr>
    </w:div>
    <w:div w:id="459762428">
      <w:bodyDiv w:val="1"/>
      <w:marLeft w:val="0"/>
      <w:marRight w:val="0"/>
      <w:marTop w:val="0"/>
      <w:marBottom w:val="0"/>
      <w:divBdr>
        <w:top w:val="none" w:sz="0" w:space="0" w:color="auto"/>
        <w:left w:val="none" w:sz="0" w:space="0" w:color="auto"/>
        <w:bottom w:val="none" w:sz="0" w:space="0" w:color="auto"/>
        <w:right w:val="none" w:sz="0" w:space="0" w:color="auto"/>
      </w:divBdr>
    </w:div>
    <w:div w:id="459806730">
      <w:bodyDiv w:val="1"/>
      <w:marLeft w:val="0"/>
      <w:marRight w:val="0"/>
      <w:marTop w:val="0"/>
      <w:marBottom w:val="0"/>
      <w:divBdr>
        <w:top w:val="none" w:sz="0" w:space="0" w:color="auto"/>
        <w:left w:val="none" w:sz="0" w:space="0" w:color="auto"/>
        <w:bottom w:val="none" w:sz="0" w:space="0" w:color="auto"/>
        <w:right w:val="none" w:sz="0" w:space="0" w:color="auto"/>
      </w:divBdr>
    </w:div>
    <w:div w:id="459878801">
      <w:bodyDiv w:val="1"/>
      <w:marLeft w:val="0"/>
      <w:marRight w:val="0"/>
      <w:marTop w:val="0"/>
      <w:marBottom w:val="0"/>
      <w:divBdr>
        <w:top w:val="none" w:sz="0" w:space="0" w:color="auto"/>
        <w:left w:val="none" w:sz="0" w:space="0" w:color="auto"/>
        <w:bottom w:val="none" w:sz="0" w:space="0" w:color="auto"/>
        <w:right w:val="none" w:sz="0" w:space="0" w:color="auto"/>
      </w:divBdr>
    </w:div>
    <w:div w:id="459885320">
      <w:bodyDiv w:val="1"/>
      <w:marLeft w:val="0"/>
      <w:marRight w:val="0"/>
      <w:marTop w:val="0"/>
      <w:marBottom w:val="0"/>
      <w:divBdr>
        <w:top w:val="none" w:sz="0" w:space="0" w:color="auto"/>
        <w:left w:val="none" w:sz="0" w:space="0" w:color="auto"/>
        <w:bottom w:val="none" w:sz="0" w:space="0" w:color="auto"/>
        <w:right w:val="none" w:sz="0" w:space="0" w:color="auto"/>
      </w:divBdr>
    </w:div>
    <w:div w:id="460224468">
      <w:bodyDiv w:val="1"/>
      <w:marLeft w:val="0"/>
      <w:marRight w:val="0"/>
      <w:marTop w:val="0"/>
      <w:marBottom w:val="0"/>
      <w:divBdr>
        <w:top w:val="none" w:sz="0" w:space="0" w:color="auto"/>
        <w:left w:val="none" w:sz="0" w:space="0" w:color="auto"/>
        <w:bottom w:val="none" w:sz="0" w:space="0" w:color="auto"/>
        <w:right w:val="none" w:sz="0" w:space="0" w:color="auto"/>
      </w:divBdr>
    </w:div>
    <w:div w:id="460273981">
      <w:bodyDiv w:val="1"/>
      <w:marLeft w:val="0"/>
      <w:marRight w:val="0"/>
      <w:marTop w:val="0"/>
      <w:marBottom w:val="0"/>
      <w:divBdr>
        <w:top w:val="none" w:sz="0" w:space="0" w:color="auto"/>
        <w:left w:val="none" w:sz="0" w:space="0" w:color="auto"/>
        <w:bottom w:val="none" w:sz="0" w:space="0" w:color="auto"/>
        <w:right w:val="none" w:sz="0" w:space="0" w:color="auto"/>
      </w:divBdr>
    </w:div>
    <w:div w:id="460346915">
      <w:bodyDiv w:val="1"/>
      <w:marLeft w:val="0"/>
      <w:marRight w:val="0"/>
      <w:marTop w:val="0"/>
      <w:marBottom w:val="0"/>
      <w:divBdr>
        <w:top w:val="none" w:sz="0" w:space="0" w:color="auto"/>
        <w:left w:val="none" w:sz="0" w:space="0" w:color="auto"/>
        <w:bottom w:val="none" w:sz="0" w:space="0" w:color="auto"/>
        <w:right w:val="none" w:sz="0" w:space="0" w:color="auto"/>
      </w:divBdr>
    </w:div>
    <w:div w:id="460418412">
      <w:bodyDiv w:val="1"/>
      <w:marLeft w:val="0"/>
      <w:marRight w:val="0"/>
      <w:marTop w:val="0"/>
      <w:marBottom w:val="0"/>
      <w:divBdr>
        <w:top w:val="none" w:sz="0" w:space="0" w:color="auto"/>
        <w:left w:val="none" w:sz="0" w:space="0" w:color="auto"/>
        <w:bottom w:val="none" w:sz="0" w:space="0" w:color="auto"/>
        <w:right w:val="none" w:sz="0" w:space="0" w:color="auto"/>
      </w:divBdr>
    </w:div>
    <w:div w:id="460418798">
      <w:bodyDiv w:val="1"/>
      <w:marLeft w:val="0"/>
      <w:marRight w:val="0"/>
      <w:marTop w:val="0"/>
      <w:marBottom w:val="0"/>
      <w:divBdr>
        <w:top w:val="none" w:sz="0" w:space="0" w:color="auto"/>
        <w:left w:val="none" w:sz="0" w:space="0" w:color="auto"/>
        <w:bottom w:val="none" w:sz="0" w:space="0" w:color="auto"/>
        <w:right w:val="none" w:sz="0" w:space="0" w:color="auto"/>
      </w:divBdr>
    </w:div>
    <w:div w:id="460465853">
      <w:bodyDiv w:val="1"/>
      <w:marLeft w:val="0"/>
      <w:marRight w:val="0"/>
      <w:marTop w:val="0"/>
      <w:marBottom w:val="0"/>
      <w:divBdr>
        <w:top w:val="none" w:sz="0" w:space="0" w:color="auto"/>
        <w:left w:val="none" w:sz="0" w:space="0" w:color="auto"/>
        <w:bottom w:val="none" w:sz="0" w:space="0" w:color="auto"/>
        <w:right w:val="none" w:sz="0" w:space="0" w:color="auto"/>
      </w:divBdr>
    </w:div>
    <w:div w:id="460731142">
      <w:bodyDiv w:val="1"/>
      <w:marLeft w:val="0"/>
      <w:marRight w:val="0"/>
      <w:marTop w:val="0"/>
      <w:marBottom w:val="0"/>
      <w:divBdr>
        <w:top w:val="none" w:sz="0" w:space="0" w:color="auto"/>
        <w:left w:val="none" w:sz="0" w:space="0" w:color="auto"/>
        <w:bottom w:val="none" w:sz="0" w:space="0" w:color="auto"/>
        <w:right w:val="none" w:sz="0" w:space="0" w:color="auto"/>
      </w:divBdr>
    </w:div>
    <w:div w:id="460731483">
      <w:bodyDiv w:val="1"/>
      <w:marLeft w:val="0"/>
      <w:marRight w:val="0"/>
      <w:marTop w:val="0"/>
      <w:marBottom w:val="0"/>
      <w:divBdr>
        <w:top w:val="none" w:sz="0" w:space="0" w:color="auto"/>
        <w:left w:val="none" w:sz="0" w:space="0" w:color="auto"/>
        <w:bottom w:val="none" w:sz="0" w:space="0" w:color="auto"/>
        <w:right w:val="none" w:sz="0" w:space="0" w:color="auto"/>
      </w:divBdr>
    </w:div>
    <w:div w:id="460733836">
      <w:bodyDiv w:val="1"/>
      <w:marLeft w:val="0"/>
      <w:marRight w:val="0"/>
      <w:marTop w:val="0"/>
      <w:marBottom w:val="0"/>
      <w:divBdr>
        <w:top w:val="none" w:sz="0" w:space="0" w:color="auto"/>
        <w:left w:val="none" w:sz="0" w:space="0" w:color="auto"/>
        <w:bottom w:val="none" w:sz="0" w:space="0" w:color="auto"/>
        <w:right w:val="none" w:sz="0" w:space="0" w:color="auto"/>
      </w:divBdr>
    </w:div>
    <w:div w:id="460733945">
      <w:bodyDiv w:val="1"/>
      <w:marLeft w:val="0"/>
      <w:marRight w:val="0"/>
      <w:marTop w:val="0"/>
      <w:marBottom w:val="0"/>
      <w:divBdr>
        <w:top w:val="none" w:sz="0" w:space="0" w:color="auto"/>
        <w:left w:val="none" w:sz="0" w:space="0" w:color="auto"/>
        <w:bottom w:val="none" w:sz="0" w:space="0" w:color="auto"/>
        <w:right w:val="none" w:sz="0" w:space="0" w:color="auto"/>
      </w:divBdr>
    </w:div>
    <w:div w:id="461077917">
      <w:bodyDiv w:val="1"/>
      <w:marLeft w:val="0"/>
      <w:marRight w:val="0"/>
      <w:marTop w:val="0"/>
      <w:marBottom w:val="0"/>
      <w:divBdr>
        <w:top w:val="none" w:sz="0" w:space="0" w:color="auto"/>
        <w:left w:val="none" w:sz="0" w:space="0" w:color="auto"/>
        <w:bottom w:val="none" w:sz="0" w:space="0" w:color="auto"/>
        <w:right w:val="none" w:sz="0" w:space="0" w:color="auto"/>
      </w:divBdr>
    </w:div>
    <w:div w:id="461114403">
      <w:bodyDiv w:val="1"/>
      <w:marLeft w:val="0"/>
      <w:marRight w:val="0"/>
      <w:marTop w:val="0"/>
      <w:marBottom w:val="0"/>
      <w:divBdr>
        <w:top w:val="none" w:sz="0" w:space="0" w:color="auto"/>
        <w:left w:val="none" w:sz="0" w:space="0" w:color="auto"/>
        <w:bottom w:val="none" w:sz="0" w:space="0" w:color="auto"/>
        <w:right w:val="none" w:sz="0" w:space="0" w:color="auto"/>
      </w:divBdr>
    </w:div>
    <w:div w:id="461265023">
      <w:bodyDiv w:val="1"/>
      <w:marLeft w:val="0"/>
      <w:marRight w:val="0"/>
      <w:marTop w:val="0"/>
      <w:marBottom w:val="0"/>
      <w:divBdr>
        <w:top w:val="none" w:sz="0" w:space="0" w:color="auto"/>
        <w:left w:val="none" w:sz="0" w:space="0" w:color="auto"/>
        <w:bottom w:val="none" w:sz="0" w:space="0" w:color="auto"/>
        <w:right w:val="none" w:sz="0" w:space="0" w:color="auto"/>
      </w:divBdr>
    </w:div>
    <w:div w:id="461508221">
      <w:bodyDiv w:val="1"/>
      <w:marLeft w:val="0"/>
      <w:marRight w:val="0"/>
      <w:marTop w:val="0"/>
      <w:marBottom w:val="0"/>
      <w:divBdr>
        <w:top w:val="none" w:sz="0" w:space="0" w:color="auto"/>
        <w:left w:val="none" w:sz="0" w:space="0" w:color="auto"/>
        <w:bottom w:val="none" w:sz="0" w:space="0" w:color="auto"/>
        <w:right w:val="none" w:sz="0" w:space="0" w:color="auto"/>
      </w:divBdr>
    </w:div>
    <w:div w:id="461726214">
      <w:bodyDiv w:val="1"/>
      <w:marLeft w:val="0"/>
      <w:marRight w:val="0"/>
      <w:marTop w:val="0"/>
      <w:marBottom w:val="0"/>
      <w:divBdr>
        <w:top w:val="none" w:sz="0" w:space="0" w:color="auto"/>
        <w:left w:val="none" w:sz="0" w:space="0" w:color="auto"/>
        <w:bottom w:val="none" w:sz="0" w:space="0" w:color="auto"/>
        <w:right w:val="none" w:sz="0" w:space="0" w:color="auto"/>
      </w:divBdr>
    </w:div>
    <w:div w:id="461920820">
      <w:bodyDiv w:val="1"/>
      <w:marLeft w:val="0"/>
      <w:marRight w:val="0"/>
      <w:marTop w:val="0"/>
      <w:marBottom w:val="0"/>
      <w:divBdr>
        <w:top w:val="none" w:sz="0" w:space="0" w:color="auto"/>
        <w:left w:val="none" w:sz="0" w:space="0" w:color="auto"/>
        <w:bottom w:val="none" w:sz="0" w:space="0" w:color="auto"/>
        <w:right w:val="none" w:sz="0" w:space="0" w:color="auto"/>
      </w:divBdr>
    </w:div>
    <w:div w:id="461968605">
      <w:bodyDiv w:val="1"/>
      <w:marLeft w:val="0"/>
      <w:marRight w:val="0"/>
      <w:marTop w:val="0"/>
      <w:marBottom w:val="0"/>
      <w:divBdr>
        <w:top w:val="none" w:sz="0" w:space="0" w:color="auto"/>
        <w:left w:val="none" w:sz="0" w:space="0" w:color="auto"/>
        <w:bottom w:val="none" w:sz="0" w:space="0" w:color="auto"/>
        <w:right w:val="none" w:sz="0" w:space="0" w:color="auto"/>
      </w:divBdr>
    </w:div>
    <w:div w:id="462117136">
      <w:bodyDiv w:val="1"/>
      <w:marLeft w:val="0"/>
      <w:marRight w:val="0"/>
      <w:marTop w:val="0"/>
      <w:marBottom w:val="0"/>
      <w:divBdr>
        <w:top w:val="none" w:sz="0" w:space="0" w:color="auto"/>
        <w:left w:val="none" w:sz="0" w:space="0" w:color="auto"/>
        <w:bottom w:val="none" w:sz="0" w:space="0" w:color="auto"/>
        <w:right w:val="none" w:sz="0" w:space="0" w:color="auto"/>
      </w:divBdr>
    </w:div>
    <w:div w:id="462191593">
      <w:bodyDiv w:val="1"/>
      <w:marLeft w:val="0"/>
      <w:marRight w:val="0"/>
      <w:marTop w:val="0"/>
      <w:marBottom w:val="0"/>
      <w:divBdr>
        <w:top w:val="none" w:sz="0" w:space="0" w:color="auto"/>
        <w:left w:val="none" w:sz="0" w:space="0" w:color="auto"/>
        <w:bottom w:val="none" w:sz="0" w:space="0" w:color="auto"/>
        <w:right w:val="none" w:sz="0" w:space="0" w:color="auto"/>
      </w:divBdr>
    </w:div>
    <w:div w:id="462231945">
      <w:bodyDiv w:val="1"/>
      <w:marLeft w:val="0"/>
      <w:marRight w:val="0"/>
      <w:marTop w:val="0"/>
      <w:marBottom w:val="0"/>
      <w:divBdr>
        <w:top w:val="none" w:sz="0" w:space="0" w:color="auto"/>
        <w:left w:val="none" w:sz="0" w:space="0" w:color="auto"/>
        <w:bottom w:val="none" w:sz="0" w:space="0" w:color="auto"/>
        <w:right w:val="none" w:sz="0" w:space="0" w:color="auto"/>
      </w:divBdr>
    </w:div>
    <w:div w:id="462386701">
      <w:bodyDiv w:val="1"/>
      <w:marLeft w:val="0"/>
      <w:marRight w:val="0"/>
      <w:marTop w:val="0"/>
      <w:marBottom w:val="0"/>
      <w:divBdr>
        <w:top w:val="none" w:sz="0" w:space="0" w:color="auto"/>
        <w:left w:val="none" w:sz="0" w:space="0" w:color="auto"/>
        <w:bottom w:val="none" w:sz="0" w:space="0" w:color="auto"/>
        <w:right w:val="none" w:sz="0" w:space="0" w:color="auto"/>
      </w:divBdr>
    </w:div>
    <w:div w:id="462386833">
      <w:bodyDiv w:val="1"/>
      <w:marLeft w:val="0"/>
      <w:marRight w:val="0"/>
      <w:marTop w:val="0"/>
      <w:marBottom w:val="0"/>
      <w:divBdr>
        <w:top w:val="none" w:sz="0" w:space="0" w:color="auto"/>
        <w:left w:val="none" w:sz="0" w:space="0" w:color="auto"/>
        <w:bottom w:val="none" w:sz="0" w:space="0" w:color="auto"/>
        <w:right w:val="none" w:sz="0" w:space="0" w:color="auto"/>
      </w:divBdr>
    </w:div>
    <w:div w:id="462428558">
      <w:bodyDiv w:val="1"/>
      <w:marLeft w:val="0"/>
      <w:marRight w:val="0"/>
      <w:marTop w:val="0"/>
      <w:marBottom w:val="0"/>
      <w:divBdr>
        <w:top w:val="none" w:sz="0" w:space="0" w:color="auto"/>
        <w:left w:val="none" w:sz="0" w:space="0" w:color="auto"/>
        <w:bottom w:val="none" w:sz="0" w:space="0" w:color="auto"/>
        <w:right w:val="none" w:sz="0" w:space="0" w:color="auto"/>
      </w:divBdr>
    </w:div>
    <w:div w:id="462428968">
      <w:bodyDiv w:val="1"/>
      <w:marLeft w:val="0"/>
      <w:marRight w:val="0"/>
      <w:marTop w:val="0"/>
      <w:marBottom w:val="0"/>
      <w:divBdr>
        <w:top w:val="none" w:sz="0" w:space="0" w:color="auto"/>
        <w:left w:val="none" w:sz="0" w:space="0" w:color="auto"/>
        <w:bottom w:val="none" w:sz="0" w:space="0" w:color="auto"/>
        <w:right w:val="none" w:sz="0" w:space="0" w:color="auto"/>
      </w:divBdr>
    </w:div>
    <w:div w:id="462501948">
      <w:bodyDiv w:val="1"/>
      <w:marLeft w:val="0"/>
      <w:marRight w:val="0"/>
      <w:marTop w:val="0"/>
      <w:marBottom w:val="0"/>
      <w:divBdr>
        <w:top w:val="none" w:sz="0" w:space="0" w:color="auto"/>
        <w:left w:val="none" w:sz="0" w:space="0" w:color="auto"/>
        <w:bottom w:val="none" w:sz="0" w:space="0" w:color="auto"/>
        <w:right w:val="none" w:sz="0" w:space="0" w:color="auto"/>
      </w:divBdr>
    </w:div>
    <w:div w:id="462621125">
      <w:bodyDiv w:val="1"/>
      <w:marLeft w:val="0"/>
      <w:marRight w:val="0"/>
      <w:marTop w:val="0"/>
      <w:marBottom w:val="0"/>
      <w:divBdr>
        <w:top w:val="none" w:sz="0" w:space="0" w:color="auto"/>
        <w:left w:val="none" w:sz="0" w:space="0" w:color="auto"/>
        <w:bottom w:val="none" w:sz="0" w:space="0" w:color="auto"/>
        <w:right w:val="none" w:sz="0" w:space="0" w:color="auto"/>
      </w:divBdr>
    </w:div>
    <w:div w:id="462772882">
      <w:bodyDiv w:val="1"/>
      <w:marLeft w:val="0"/>
      <w:marRight w:val="0"/>
      <w:marTop w:val="0"/>
      <w:marBottom w:val="0"/>
      <w:divBdr>
        <w:top w:val="none" w:sz="0" w:space="0" w:color="auto"/>
        <w:left w:val="none" w:sz="0" w:space="0" w:color="auto"/>
        <w:bottom w:val="none" w:sz="0" w:space="0" w:color="auto"/>
        <w:right w:val="none" w:sz="0" w:space="0" w:color="auto"/>
      </w:divBdr>
    </w:div>
    <w:div w:id="462817579">
      <w:bodyDiv w:val="1"/>
      <w:marLeft w:val="0"/>
      <w:marRight w:val="0"/>
      <w:marTop w:val="0"/>
      <w:marBottom w:val="0"/>
      <w:divBdr>
        <w:top w:val="none" w:sz="0" w:space="0" w:color="auto"/>
        <w:left w:val="none" w:sz="0" w:space="0" w:color="auto"/>
        <w:bottom w:val="none" w:sz="0" w:space="0" w:color="auto"/>
        <w:right w:val="none" w:sz="0" w:space="0" w:color="auto"/>
      </w:divBdr>
    </w:div>
    <w:div w:id="462845701">
      <w:bodyDiv w:val="1"/>
      <w:marLeft w:val="0"/>
      <w:marRight w:val="0"/>
      <w:marTop w:val="0"/>
      <w:marBottom w:val="0"/>
      <w:divBdr>
        <w:top w:val="none" w:sz="0" w:space="0" w:color="auto"/>
        <w:left w:val="none" w:sz="0" w:space="0" w:color="auto"/>
        <w:bottom w:val="none" w:sz="0" w:space="0" w:color="auto"/>
        <w:right w:val="none" w:sz="0" w:space="0" w:color="auto"/>
      </w:divBdr>
    </w:div>
    <w:div w:id="462890528">
      <w:bodyDiv w:val="1"/>
      <w:marLeft w:val="0"/>
      <w:marRight w:val="0"/>
      <w:marTop w:val="0"/>
      <w:marBottom w:val="0"/>
      <w:divBdr>
        <w:top w:val="none" w:sz="0" w:space="0" w:color="auto"/>
        <w:left w:val="none" w:sz="0" w:space="0" w:color="auto"/>
        <w:bottom w:val="none" w:sz="0" w:space="0" w:color="auto"/>
        <w:right w:val="none" w:sz="0" w:space="0" w:color="auto"/>
      </w:divBdr>
    </w:div>
    <w:div w:id="462963004">
      <w:bodyDiv w:val="1"/>
      <w:marLeft w:val="0"/>
      <w:marRight w:val="0"/>
      <w:marTop w:val="0"/>
      <w:marBottom w:val="0"/>
      <w:divBdr>
        <w:top w:val="none" w:sz="0" w:space="0" w:color="auto"/>
        <w:left w:val="none" w:sz="0" w:space="0" w:color="auto"/>
        <w:bottom w:val="none" w:sz="0" w:space="0" w:color="auto"/>
        <w:right w:val="none" w:sz="0" w:space="0" w:color="auto"/>
      </w:divBdr>
    </w:div>
    <w:div w:id="462964431">
      <w:bodyDiv w:val="1"/>
      <w:marLeft w:val="0"/>
      <w:marRight w:val="0"/>
      <w:marTop w:val="0"/>
      <w:marBottom w:val="0"/>
      <w:divBdr>
        <w:top w:val="none" w:sz="0" w:space="0" w:color="auto"/>
        <w:left w:val="none" w:sz="0" w:space="0" w:color="auto"/>
        <w:bottom w:val="none" w:sz="0" w:space="0" w:color="auto"/>
        <w:right w:val="none" w:sz="0" w:space="0" w:color="auto"/>
      </w:divBdr>
    </w:div>
    <w:div w:id="462966565">
      <w:bodyDiv w:val="1"/>
      <w:marLeft w:val="0"/>
      <w:marRight w:val="0"/>
      <w:marTop w:val="0"/>
      <w:marBottom w:val="0"/>
      <w:divBdr>
        <w:top w:val="none" w:sz="0" w:space="0" w:color="auto"/>
        <w:left w:val="none" w:sz="0" w:space="0" w:color="auto"/>
        <w:bottom w:val="none" w:sz="0" w:space="0" w:color="auto"/>
        <w:right w:val="none" w:sz="0" w:space="0" w:color="auto"/>
      </w:divBdr>
    </w:div>
    <w:div w:id="462968568">
      <w:bodyDiv w:val="1"/>
      <w:marLeft w:val="0"/>
      <w:marRight w:val="0"/>
      <w:marTop w:val="0"/>
      <w:marBottom w:val="0"/>
      <w:divBdr>
        <w:top w:val="none" w:sz="0" w:space="0" w:color="auto"/>
        <w:left w:val="none" w:sz="0" w:space="0" w:color="auto"/>
        <w:bottom w:val="none" w:sz="0" w:space="0" w:color="auto"/>
        <w:right w:val="none" w:sz="0" w:space="0" w:color="auto"/>
      </w:divBdr>
    </w:div>
    <w:div w:id="462969620">
      <w:bodyDiv w:val="1"/>
      <w:marLeft w:val="0"/>
      <w:marRight w:val="0"/>
      <w:marTop w:val="0"/>
      <w:marBottom w:val="0"/>
      <w:divBdr>
        <w:top w:val="none" w:sz="0" w:space="0" w:color="auto"/>
        <w:left w:val="none" w:sz="0" w:space="0" w:color="auto"/>
        <w:bottom w:val="none" w:sz="0" w:space="0" w:color="auto"/>
        <w:right w:val="none" w:sz="0" w:space="0" w:color="auto"/>
      </w:divBdr>
    </w:div>
    <w:div w:id="463012553">
      <w:bodyDiv w:val="1"/>
      <w:marLeft w:val="0"/>
      <w:marRight w:val="0"/>
      <w:marTop w:val="0"/>
      <w:marBottom w:val="0"/>
      <w:divBdr>
        <w:top w:val="none" w:sz="0" w:space="0" w:color="auto"/>
        <w:left w:val="none" w:sz="0" w:space="0" w:color="auto"/>
        <w:bottom w:val="none" w:sz="0" w:space="0" w:color="auto"/>
        <w:right w:val="none" w:sz="0" w:space="0" w:color="auto"/>
      </w:divBdr>
    </w:div>
    <w:div w:id="463013155">
      <w:bodyDiv w:val="1"/>
      <w:marLeft w:val="0"/>
      <w:marRight w:val="0"/>
      <w:marTop w:val="0"/>
      <w:marBottom w:val="0"/>
      <w:divBdr>
        <w:top w:val="none" w:sz="0" w:space="0" w:color="auto"/>
        <w:left w:val="none" w:sz="0" w:space="0" w:color="auto"/>
        <w:bottom w:val="none" w:sz="0" w:space="0" w:color="auto"/>
        <w:right w:val="none" w:sz="0" w:space="0" w:color="auto"/>
      </w:divBdr>
    </w:div>
    <w:div w:id="463038450">
      <w:bodyDiv w:val="1"/>
      <w:marLeft w:val="0"/>
      <w:marRight w:val="0"/>
      <w:marTop w:val="0"/>
      <w:marBottom w:val="0"/>
      <w:divBdr>
        <w:top w:val="none" w:sz="0" w:space="0" w:color="auto"/>
        <w:left w:val="none" w:sz="0" w:space="0" w:color="auto"/>
        <w:bottom w:val="none" w:sz="0" w:space="0" w:color="auto"/>
        <w:right w:val="none" w:sz="0" w:space="0" w:color="auto"/>
      </w:divBdr>
    </w:div>
    <w:div w:id="463087208">
      <w:bodyDiv w:val="1"/>
      <w:marLeft w:val="0"/>
      <w:marRight w:val="0"/>
      <w:marTop w:val="0"/>
      <w:marBottom w:val="0"/>
      <w:divBdr>
        <w:top w:val="none" w:sz="0" w:space="0" w:color="auto"/>
        <w:left w:val="none" w:sz="0" w:space="0" w:color="auto"/>
        <w:bottom w:val="none" w:sz="0" w:space="0" w:color="auto"/>
        <w:right w:val="none" w:sz="0" w:space="0" w:color="auto"/>
      </w:divBdr>
    </w:div>
    <w:div w:id="463231507">
      <w:bodyDiv w:val="1"/>
      <w:marLeft w:val="0"/>
      <w:marRight w:val="0"/>
      <w:marTop w:val="0"/>
      <w:marBottom w:val="0"/>
      <w:divBdr>
        <w:top w:val="none" w:sz="0" w:space="0" w:color="auto"/>
        <w:left w:val="none" w:sz="0" w:space="0" w:color="auto"/>
        <w:bottom w:val="none" w:sz="0" w:space="0" w:color="auto"/>
        <w:right w:val="none" w:sz="0" w:space="0" w:color="auto"/>
      </w:divBdr>
    </w:div>
    <w:div w:id="463231983">
      <w:bodyDiv w:val="1"/>
      <w:marLeft w:val="0"/>
      <w:marRight w:val="0"/>
      <w:marTop w:val="0"/>
      <w:marBottom w:val="0"/>
      <w:divBdr>
        <w:top w:val="none" w:sz="0" w:space="0" w:color="auto"/>
        <w:left w:val="none" w:sz="0" w:space="0" w:color="auto"/>
        <w:bottom w:val="none" w:sz="0" w:space="0" w:color="auto"/>
        <w:right w:val="none" w:sz="0" w:space="0" w:color="auto"/>
      </w:divBdr>
    </w:div>
    <w:div w:id="463280921">
      <w:bodyDiv w:val="1"/>
      <w:marLeft w:val="0"/>
      <w:marRight w:val="0"/>
      <w:marTop w:val="0"/>
      <w:marBottom w:val="0"/>
      <w:divBdr>
        <w:top w:val="none" w:sz="0" w:space="0" w:color="auto"/>
        <w:left w:val="none" w:sz="0" w:space="0" w:color="auto"/>
        <w:bottom w:val="none" w:sz="0" w:space="0" w:color="auto"/>
        <w:right w:val="none" w:sz="0" w:space="0" w:color="auto"/>
      </w:divBdr>
    </w:div>
    <w:div w:id="463543441">
      <w:bodyDiv w:val="1"/>
      <w:marLeft w:val="0"/>
      <w:marRight w:val="0"/>
      <w:marTop w:val="0"/>
      <w:marBottom w:val="0"/>
      <w:divBdr>
        <w:top w:val="none" w:sz="0" w:space="0" w:color="auto"/>
        <w:left w:val="none" w:sz="0" w:space="0" w:color="auto"/>
        <w:bottom w:val="none" w:sz="0" w:space="0" w:color="auto"/>
        <w:right w:val="none" w:sz="0" w:space="0" w:color="auto"/>
      </w:divBdr>
    </w:div>
    <w:div w:id="463545506">
      <w:bodyDiv w:val="1"/>
      <w:marLeft w:val="0"/>
      <w:marRight w:val="0"/>
      <w:marTop w:val="0"/>
      <w:marBottom w:val="0"/>
      <w:divBdr>
        <w:top w:val="none" w:sz="0" w:space="0" w:color="auto"/>
        <w:left w:val="none" w:sz="0" w:space="0" w:color="auto"/>
        <w:bottom w:val="none" w:sz="0" w:space="0" w:color="auto"/>
        <w:right w:val="none" w:sz="0" w:space="0" w:color="auto"/>
      </w:divBdr>
    </w:div>
    <w:div w:id="463742983">
      <w:bodyDiv w:val="1"/>
      <w:marLeft w:val="0"/>
      <w:marRight w:val="0"/>
      <w:marTop w:val="0"/>
      <w:marBottom w:val="0"/>
      <w:divBdr>
        <w:top w:val="none" w:sz="0" w:space="0" w:color="auto"/>
        <w:left w:val="none" w:sz="0" w:space="0" w:color="auto"/>
        <w:bottom w:val="none" w:sz="0" w:space="0" w:color="auto"/>
        <w:right w:val="none" w:sz="0" w:space="0" w:color="auto"/>
      </w:divBdr>
    </w:div>
    <w:div w:id="463887540">
      <w:bodyDiv w:val="1"/>
      <w:marLeft w:val="0"/>
      <w:marRight w:val="0"/>
      <w:marTop w:val="0"/>
      <w:marBottom w:val="0"/>
      <w:divBdr>
        <w:top w:val="none" w:sz="0" w:space="0" w:color="auto"/>
        <w:left w:val="none" w:sz="0" w:space="0" w:color="auto"/>
        <w:bottom w:val="none" w:sz="0" w:space="0" w:color="auto"/>
        <w:right w:val="none" w:sz="0" w:space="0" w:color="auto"/>
      </w:divBdr>
    </w:div>
    <w:div w:id="464081273">
      <w:bodyDiv w:val="1"/>
      <w:marLeft w:val="0"/>
      <w:marRight w:val="0"/>
      <w:marTop w:val="0"/>
      <w:marBottom w:val="0"/>
      <w:divBdr>
        <w:top w:val="none" w:sz="0" w:space="0" w:color="auto"/>
        <w:left w:val="none" w:sz="0" w:space="0" w:color="auto"/>
        <w:bottom w:val="none" w:sz="0" w:space="0" w:color="auto"/>
        <w:right w:val="none" w:sz="0" w:space="0" w:color="auto"/>
      </w:divBdr>
    </w:div>
    <w:div w:id="464081898">
      <w:bodyDiv w:val="1"/>
      <w:marLeft w:val="0"/>
      <w:marRight w:val="0"/>
      <w:marTop w:val="0"/>
      <w:marBottom w:val="0"/>
      <w:divBdr>
        <w:top w:val="none" w:sz="0" w:space="0" w:color="auto"/>
        <w:left w:val="none" w:sz="0" w:space="0" w:color="auto"/>
        <w:bottom w:val="none" w:sz="0" w:space="0" w:color="auto"/>
        <w:right w:val="none" w:sz="0" w:space="0" w:color="auto"/>
      </w:divBdr>
    </w:div>
    <w:div w:id="464394424">
      <w:bodyDiv w:val="1"/>
      <w:marLeft w:val="0"/>
      <w:marRight w:val="0"/>
      <w:marTop w:val="0"/>
      <w:marBottom w:val="0"/>
      <w:divBdr>
        <w:top w:val="none" w:sz="0" w:space="0" w:color="auto"/>
        <w:left w:val="none" w:sz="0" w:space="0" w:color="auto"/>
        <w:bottom w:val="none" w:sz="0" w:space="0" w:color="auto"/>
        <w:right w:val="none" w:sz="0" w:space="0" w:color="auto"/>
      </w:divBdr>
    </w:div>
    <w:div w:id="464541734">
      <w:bodyDiv w:val="1"/>
      <w:marLeft w:val="0"/>
      <w:marRight w:val="0"/>
      <w:marTop w:val="0"/>
      <w:marBottom w:val="0"/>
      <w:divBdr>
        <w:top w:val="none" w:sz="0" w:space="0" w:color="auto"/>
        <w:left w:val="none" w:sz="0" w:space="0" w:color="auto"/>
        <w:bottom w:val="none" w:sz="0" w:space="0" w:color="auto"/>
        <w:right w:val="none" w:sz="0" w:space="0" w:color="auto"/>
      </w:divBdr>
    </w:div>
    <w:div w:id="464812148">
      <w:bodyDiv w:val="1"/>
      <w:marLeft w:val="0"/>
      <w:marRight w:val="0"/>
      <w:marTop w:val="0"/>
      <w:marBottom w:val="0"/>
      <w:divBdr>
        <w:top w:val="none" w:sz="0" w:space="0" w:color="auto"/>
        <w:left w:val="none" w:sz="0" w:space="0" w:color="auto"/>
        <w:bottom w:val="none" w:sz="0" w:space="0" w:color="auto"/>
        <w:right w:val="none" w:sz="0" w:space="0" w:color="auto"/>
      </w:divBdr>
    </w:div>
    <w:div w:id="464853303">
      <w:bodyDiv w:val="1"/>
      <w:marLeft w:val="0"/>
      <w:marRight w:val="0"/>
      <w:marTop w:val="0"/>
      <w:marBottom w:val="0"/>
      <w:divBdr>
        <w:top w:val="none" w:sz="0" w:space="0" w:color="auto"/>
        <w:left w:val="none" w:sz="0" w:space="0" w:color="auto"/>
        <w:bottom w:val="none" w:sz="0" w:space="0" w:color="auto"/>
        <w:right w:val="none" w:sz="0" w:space="0" w:color="auto"/>
      </w:divBdr>
    </w:div>
    <w:div w:id="464933462">
      <w:bodyDiv w:val="1"/>
      <w:marLeft w:val="0"/>
      <w:marRight w:val="0"/>
      <w:marTop w:val="0"/>
      <w:marBottom w:val="0"/>
      <w:divBdr>
        <w:top w:val="none" w:sz="0" w:space="0" w:color="auto"/>
        <w:left w:val="none" w:sz="0" w:space="0" w:color="auto"/>
        <w:bottom w:val="none" w:sz="0" w:space="0" w:color="auto"/>
        <w:right w:val="none" w:sz="0" w:space="0" w:color="auto"/>
      </w:divBdr>
    </w:div>
    <w:div w:id="465004918">
      <w:bodyDiv w:val="1"/>
      <w:marLeft w:val="0"/>
      <w:marRight w:val="0"/>
      <w:marTop w:val="0"/>
      <w:marBottom w:val="0"/>
      <w:divBdr>
        <w:top w:val="none" w:sz="0" w:space="0" w:color="auto"/>
        <w:left w:val="none" w:sz="0" w:space="0" w:color="auto"/>
        <w:bottom w:val="none" w:sz="0" w:space="0" w:color="auto"/>
        <w:right w:val="none" w:sz="0" w:space="0" w:color="auto"/>
      </w:divBdr>
    </w:div>
    <w:div w:id="465006177">
      <w:bodyDiv w:val="1"/>
      <w:marLeft w:val="0"/>
      <w:marRight w:val="0"/>
      <w:marTop w:val="0"/>
      <w:marBottom w:val="0"/>
      <w:divBdr>
        <w:top w:val="none" w:sz="0" w:space="0" w:color="auto"/>
        <w:left w:val="none" w:sz="0" w:space="0" w:color="auto"/>
        <w:bottom w:val="none" w:sz="0" w:space="0" w:color="auto"/>
        <w:right w:val="none" w:sz="0" w:space="0" w:color="auto"/>
      </w:divBdr>
    </w:div>
    <w:div w:id="465047946">
      <w:bodyDiv w:val="1"/>
      <w:marLeft w:val="0"/>
      <w:marRight w:val="0"/>
      <w:marTop w:val="0"/>
      <w:marBottom w:val="0"/>
      <w:divBdr>
        <w:top w:val="none" w:sz="0" w:space="0" w:color="auto"/>
        <w:left w:val="none" w:sz="0" w:space="0" w:color="auto"/>
        <w:bottom w:val="none" w:sz="0" w:space="0" w:color="auto"/>
        <w:right w:val="none" w:sz="0" w:space="0" w:color="auto"/>
      </w:divBdr>
    </w:div>
    <w:div w:id="465125379">
      <w:bodyDiv w:val="1"/>
      <w:marLeft w:val="0"/>
      <w:marRight w:val="0"/>
      <w:marTop w:val="0"/>
      <w:marBottom w:val="0"/>
      <w:divBdr>
        <w:top w:val="none" w:sz="0" w:space="0" w:color="auto"/>
        <w:left w:val="none" w:sz="0" w:space="0" w:color="auto"/>
        <w:bottom w:val="none" w:sz="0" w:space="0" w:color="auto"/>
        <w:right w:val="none" w:sz="0" w:space="0" w:color="auto"/>
      </w:divBdr>
    </w:div>
    <w:div w:id="465197757">
      <w:bodyDiv w:val="1"/>
      <w:marLeft w:val="0"/>
      <w:marRight w:val="0"/>
      <w:marTop w:val="0"/>
      <w:marBottom w:val="0"/>
      <w:divBdr>
        <w:top w:val="none" w:sz="0" w:space="0" w:color="auto"/>
        <w:left w:val="none" w:sz="0" w:space="0" w:color="auto"/>
        <w:bottom w:val="none" w:sz="0" w:space="0" w:color="auto"/>
        <w:right w:val="none" w:sz="0" w:space="0" w:color="auto"/>
      </w:divBdr>
    </w:div>
    <w:div w:id="465315878">
      <w:bodyDiv w:val="1"/>
      <w:marLeft w:val="0"/>
      <w:marRight w:val="0"/>
      <w:marTop w:val="0"/>
      <w:marBottom w:val="0"/>
      <w:divBdr>
        <w:top w:val="none" w:sz="0" w:space="0" w:color="auto"/>
        <w:left w:val="none" w:sz="0" w:space="0" w:color="auto"/>
        <w:bottom w:val="none" w:sz="0" w:space="0" w:color="auto"/>
        <w:right w:val="none" w:sz="0" w:space="0" w:color="auto"/>
      </w:divBdr>
    </w:div>
    <w:div w:id="465323064">
      <w:bodyDiv w:val="1"/>
      <w:marLeft w:val="0"/>
      <w:marRight w:val="0"/>
      <w:marTop w:val="0"/>
      <w:marBottom w:val="0"/>
      <w:divBdr>
        <w:top w:val="none" w:sz="0" w:space="0" w:color="auto"/>
        <w:left w:val="none" w:sz="0" w:space="0" w:color="auto"/>
        <w:bottom w:val="none" w:sz="0" w:space="0" w:color="auto"/>
        <w:right w:val="none" w:sz="0" w:space="0" w:color="auto"/>
      </w:divBdr>
    </w:div>
    <w:div w:id="465391798">
      <w:bodyDiv w:val="1"/>
      <w:marLeft w:val="0"/>
      <w:marRight w:val="0"/>
      <w:marTop w:val="0"/>
      <w:marBottom w:val="0"/>
      <w:divBdr>
        <w:top w:val="none" w:sz="0" w:space="0" w:color="auto"/>
        <w:left w:val="none" w:sz="0" w:space="0" w:color="auto"/>
        <w:bottom w:val="none" w:sz="0" w:space="0" w:color="auto"/>
        <w:right w:val="none" w:sz="0" w:space="0" w:color="auto"/>
      </w:divBdr>
    </w:div>
    <w:div w:id="465438124">
      <w:bodyDiv w:val="1"/>
      <w:marLeft w:val="0"/>
      <w:marRight w:val="0"/>
      <w:marTop w:val="0"/>
      <w:marBottom w:val="0"/>
      <w:divBdr>
        <w:top w:val="none" w:sz="0" w:space="0" w:color="auto"/>
        <w:left w:val="none" w:sz="0" w:space="0" w:color="auto"/>
        <w:bottom w:val="none" w:sz="0" w:space="0" w:color="auto"/>
        <w:right w:val="none" w:sz="0" w:space="0" w:color="auto"/>
      </w:divBdr>
    </w:div>
    <w:div w:id="465510519">
      <w:bodyDiv w:val="1"/>
      <w:marLeft w:val="0"/>
      <w:marRight w:val="0"/>
      <w:marTop w:val="0"/>
      <w:marBottom w:val="0"/>
      <w:divBdr>
        <w:top w:val="none" w:sz="0" w:space="0" w:color="auto"/>
        <w:left w:val="none" w:sz="0" w:space="0" w:color="auto"/>
        <w:bottom w:val="none" w:sz="0" w:space="0" w:color="auto"/>
        <w:right w:val="none" w:sz="0" w:space="0" w:color="auto"/>
      </w:divBdr>
    </w:div>
    <w:div w:id="465585360">
      <w:bodyDiv w:val="1"/>
      <w:marLeft w:val="0"/>
      <w:marRight w:val="0"/>
      <w:marTop w:val="0"/>
      <w:marBottom w:val="0"/>
      <w:divBdr>
        <w:top w:val="none" w:sz="0" w:space="0" w:color="auto"/>
        <w:left w:val="none" w:sz="0" w:space="0" w:color="auto"/>
        <w:bottom w:val="none" w:sz="0" w:space="0" w:color="auto"/>
        <w:right w:val="none" w:sz="0" w:space="0" w:color="auto"/>
      </w:divBdr>
    </w:div>
    <w:div w:id="465587610">
      <w:bodyDiv w:val="1"/>
      <w:marLeft w:val="0"/>
      <w:marRight w:val="0"/>
      <w:marTop w:val="0"/>
      <w:marBottom w:val="0"/>
      <w:divBdr>
        <w:top w:val="none" w:sz="0" w:space="0" w:color="auto"/>
        <w:left w:val="none" w:sz="0" w:space="0" w:color="auto"/>
        <w:bottom w:val="none" w:sz="0" w:space="0" w:color="auto"/>
        <w:right w:val="none" w:sz="0" w:space="0" w:color="auto"/>
      </w:divBdr>
    </w:div>
    <w:div w:id="465661587">
      <w:bodyDiv w:val="1"/>
      <w:marLeft w:val="0"/>
      <w:marRight w:val="0"/>
      <w:marTop w:val="0"/>
      <w:marBottom w:val="0"/>
      <w:divBdr>
        <w:top w:val="none" w:sz="0" w:space="0" w:color="auto"/>
        <w:left w:val="none" w:sz="0" w:space="0" w:color="auto"/>
        <w:bottom w:val="none" w:sz="0" w:space="0" w:color="auto"/>
        <w:right w:val="none" w:sz="0" w:space="0" w:color="auto"/>
      </w:divBdr>
    </w:div>
    <w:div w:id="465664337">
      <w:bodyDiv w:val="1"/>
      <w:marLeft w:val="0"/>
      <w:marRight w:val="0"/>
      <w:marTop w:val="0"/>
      <w:marBottom w:val="0"/>
      <w:divBdr>
        <w:top w:val="none" w:sz="0" w:space="0" w:color="auto"/>
        <w:left w:val="none" w:sz="0" w:space="0" w:color="auto"/>
        <w:bottom w:val="none" w:sz="0" w:space="0" w:color="auto"/>
        <w:right w:val="none" w:sz="0" w:space="0" w:color="auto"/>
      </w:divBdr>
    </w:div>
    <w:div w:id="465703348">
      <w:bodyDiv w:val="1"/>
      <w:marLeft w:val="0"/>
      <w:marRight w:val="0"/>
      <w:marTop w:val="0"/>
      <w:marBottom w:val="0"/>
      <w:divBdr>
        <w:top w:val="none" w:sz="0" w:space="0" w:color="auto"/>
        <w:left w:val="none" w:sz="0" w:space="0" w:color="auto"/>
        <w:bottom w:val="none" w:sz="0" w:space="0" w:color="auto"/>
        <w:right w:val="none" w:sz="0" w:space="0" w:color="auto"/>
      </w:divBdr>
    </w:div>
    <w:div w:id="466050563">
      <w:bodyDiv w:val="1"/>
      <w:marLeft w:val="0"/>
      <w:marRight w:val="0"/>
      <w:marTop w:val="0"/>
      <w:marBottom w:val="0"/>
      <w:divBdr>
        <w:top w:val="none" w:sz="0" w:space="0" w:color="auto"/>
        <w:left w:val="none" w:sz="0" w:space="0" w:color="auto"/>
        <w:bottom w:val="none" w:sz="0" w:space="0" w:color="auto"/>
        <w:right w:val="none" w:sz="0" w:space="0" w:color="auto"/>
      </w:divBdr>
    </w:div>
    <w:div w:id="466092640">
      <w:bodyDiv w:val="1"/>
      <w:marLeft w:val="0"/>
      <w:marRight w:val="0"/>
      <w:marTop w:val="0"/>
      <w:marBottom w:val="0"/>
      <w:divBdr>
        <w:top w:val="none" w:sz="0" w:space="0" w:color="auto"/>
        <w:left w:val="none" w:sz="0" w:space="0" w:color="auto"/>
        <w:bottom w:val="none" w:sz="0" w:space="0" w:color="auto"/>
        <w:right w:val="none" w:sz="0" w:space="0" w:color="auto"/>
      </w:divBdr>
    </w:div>
    <w:div w:id="466506055">
      <w:bodyDiv w:val="1"/>
      <w:marLeft w:val="0"/>
      <w:marRight w:val="0"/>
      <w:marTop w:val="0"/>
      <w:marBottom w:val="0"/>
      <w:divBdr>
        <w:top w:val="none" w:sz="0" w:space="0" w:color="auto"/>
        <w:left w:val="none" w:sz="0" w:space="0" w:color="auto"/>
        <w:bottom w:val="none" w:sz="0" w:space="0" w:color="auto"/>
        <w:right w:val="none" w:sz="0" w:space="0" w:color="auto"/>
      </w:divBdr>
    </w:div>
    <w:div w:id="466581434">
      <w:bodyDiv w:val="1"/>
      <w:marLeft w:val="0"/>
      <w:marRight w:val="0"/>
      <w:marTop w:val="0"/>
      <w:marBottom w:val="0"/>
      <w:divBdr>
        <w:top w:val="none" w:sz="0" w:space="0" w:color="auto"/>
        <w:left w:val="none" w:sz="0" w:space="0" w:color="auto"/>
        <w:bottom w:val="none" w:sz="0" w:space="0" w:color="auto"/>
        <w:right w:val="none" w:sz="0" w:space="0" w:color="auto"/>
      </w:divBdr>
    </w:div>
    <w:div w:id="466624854">
      <w:bodyDiv w:val="1"/>
      <w:marLeft w:val="0"/>
      <w:marRight w:val="0"/>
      <w:marTop w:val="0"/>
      <w:marBottom w:val="0"/>
      <w:divBdr>
        <w:top w:val="none" w:sz="0" w:space="0" w:color="auto"/>
        <w:left w:val="none" w:sz="0" w:space="0" w:color="auto"/>
        <w:bottom w:val="none" w:sz="0" w:space="0" w:color="auto"/>
        <w:right w:val="none" w:sz="0" w:space="0" w:color="auto"/>
      </w:divBdr>
    </w:div>
    <w:div w:id="466819035">
      <w:bodyDiv w:val="1"/>
      <w:marLeft w:val="0"/>
      <w:marRight w:val="0"/>
      <w:marTop w:val="0"/>
      <w:marBottom w:val="0"/>
      <w:divBdr>
        <w:top w:val="none" w:sz="0" w:space="0" w:color="auto"/>
        <w:left w:val="none" w:sz="0" w:space="0" w:color="auto"/>
        <w:bottom w:val="none" w:sz="0" w:space="0" w:color="auto"/>
        <w:right w:val="none" w:sz="0" w:space="0" w:color="auto"/>
      </w:divBdr>
    </w:div>
    <w:div w:id="466819245">
      <w:bodyDiv w:val="1"/>
      <w:marLeft w:val="0"/>
      <w:marRight w:val="0"/>
      <w:marTop w:val="0"/>
      <w:marBottom w:val="0"/>
      <w:divBdr>
        <w:top w:val="none" w:sz="0" w:space="0" w:color="auto"/>
        <w:left w:val="none" w:sz="0" w:space="0" w:color="auto"/>
        <w:bottom w:val="none" w:sz="0" w:space="0" w:color="auto"/>
        <w:right w:val="none" w:sz="0" w:space="0" w:color="auto"/>
      </w:divBdr>
    </w:div>
    <w:div w:id="467091203">
      <w:bodyDiv w:val="1"/>
      <w:marLeft w:val="0"/>
      <w:marRight w:val="0"/>
      <w:marTop w:val="0"/>
      <w:marBottom w:val="0"/>
      <w:divBdr>
        <w:top w:val="none" w:sz="0" w:space="0" w:color="auto"/>
        <w:left w:val="none" w:sz="0" w:space="0" w:color="auto"/>
        <w:bottom w:val="none" w:sz="0" w:space="0" w:color="auto"/>
        <w:right w:val="none" w:sz="0" w:space="0" w:color="auto"/>
      </w:divBdr>
    </w:div>
    <w:div w:id="467162522">
      <w:bodyDiv w:val="1"/>
      <w:marLeft w:val="0"/>
      <w:marRight w:val="0"/>
      <w:marTop w:val="0"/>
      <w:marBottom w:val="0"/>
      <w:divBdr>
        <w:top w:val="none" w:sz="0" w:space="0" w:color="auto"/>
        <w:left w:val="none" w:sz="0" w:space="0" w:color="auto"/>
        <w:bottom w:val="none" w:sz="0" w:space="0" w:color="auto"/>
        <w:right w:val="none" w:sz="0" w:space="0" w:color="auto"/>
      </w:divBdr>
    </w:div>
    <w:div w:id="467168403">
      <w:bodyDiv w:val="1"/>
      <w:marLeft w:val="0"/>
      <w:marRight w:val="0"/>
      <w:marTop w:val="0"/>
      <w:marBottom w:val="0"/>
      <w:divBdr>
        <w:top w:val="none" w:sz="0" w:space="0" w:color="auto"/>
        <w:left w:val="none" w:sz="0" w:space="0" w:color="auto"/>
        <w:bottom w:val="none" w:sz="0" w:space="0" w:color="auto"/>
        <w:right w:val="none" w:sz="0" w:space="0" w:color="auto"/>
      </w:divBdr>
    </w:div>
    <w:div w:id="467548161">
      <w:bodyDiv w:val="1"/>
      <w:marLeft w:val="0"/>
      <w:marRight w:val="0"/>
      <w:marTop w:val="0"/>
      <w:marBottom w:val="0"/>
      <w:divBdr>
        <w:top w:val="none" w:sz="0" w:space="0" w:color="auto"/>
        <w:left w:val="none" w:sz="0" w:space="0" w:color="auto"/>
        <w:bottom w:val="none" w:sz="0" w:space="0" w:color="auto"/>
        <w:right w:val="none" w:sz="0" w:space="0" w:color="auto"/>
      </w:divBdr>
    </w:div>
    <w:div w:id="467673379">
      <w:bodyDiv w:val="1"/>
      <w:marLeft w:val="0"/>
      <w:marRight w:val="0"/>
      <w:marTop w:val="0"/>
      <w:marBottom w:val="0"/>
      <w:divBdr>
        <w:top w:val="none" w:sz="0" w:space="0" w:color="auto"/>
        <w:left w:val="none" w:sz="0" w:space="0" w:color="auto"/>
        <w:bottom w:val="none" w:sz="0" w:space="0" w:color="auto"/>
        <w:right w:val="none" w:sz="0" w:space="0" w:color="auto"/>
      </w:divBdr>
    </w:div>
    <w:div w:id="467675109">
      <w:bodyDiv w:val="1"/>
      <w:marLeft w:val="0"/>
      <w:marRight w:val="0"/>
      <w:marTop w:val="0"/>
      <w:marBottom w:val="0"/>
      <w:divBdr>
        <w:top w:val="none" w:sz="0" w:space="0" w:color="auto"/>
        <w:left w:val="none" w:sz="0" w:space="0" w:color="auto"/>
        <w:bottom w:val="none" w:sz="0" w:space="0" w:color="auto"/>
        <w:right w:val="none" w:sz="0" w:space="0" w:color="auto"/>
      </w:divBdr>
    </w:div>
    <w:div w:id="467747509">
      <w:bodyDiv w:val="1"/>
      <w:marLeft w:val="0"/>
      <w:marRight w:val="0"/>
      <w:marTop w:val="0"/>
      <w:marBottom w:val="0"/>
      <w:divBdr>
        <w:top w:val="none" w:sz="0" w:space="0" w:color="auto"/>
        <w:left w:val="none" w:sz="0" w:space="0" w:color="auto"/>
        <w:bottom w:val="none" w:sz="0" w:space="0" w:color="auto"/>
        <w:right w:val="none" w:sz="0" w:space="0" w:color="auto"/>
      </w:divBdr>
    </w:div>
    <w:div w:id="467824915">
      <w:bodyDiv w:val="1"/>
      <w:marLeft w:val="0"/>
      <w:marRight w:val="0"/>
      <w:marTop w:val="0"/>
      <w:marBottom w:val="0"/>
      <w:divBdr>
        <w:top w:val="none" w:sz="0" w:space="0" w:color="auto"/>
        <w:left w:val="none" w:sz="0" w:space="0" w:color="auto"/>
        <w:bottom w:val="none" w:sz="0" w:space="0" w:color="auto"/>
        <w:right w:val="none" w:sz="0" w:space="0" w:color="auto"/>
      </w:divBdr>
    </w:div>
    <w:div w:id="467862377">
      <w:bodyDiv w:val="1"/>
      <w:marLeft w:val="0"/>
      <w:marRight w:val="0"/>
      <w:marTop w:val="0"/>
      <w:marBottom w:val="0"/>
      <w:divBdr>
        <w:top w:val="none" w:sz="0" w:space="0" w:color="auto"/>
        <w:left w:val="none" w:sz="0" w:space="0" w:color="auto"/>
        <w:bottom w:val="none" w:sz="0" w:space="0" w:color="auto"/>
        <w:right w:val="none" w:sz="0" w:space="0" w:color="auto"/>
      </w:divBdr>
    </w:div>
    <w:div w:id="467868907">
      <w:bodyDiv w:val="1"/>
      <w:marLeft w:val="0"/>
      <w:marRight w:val="0"/>
      <w:marTop w:val="0"/>
      <w:marBottom w:val="0"/>
      <w:divBdr>
        <w:top w:val="none" w:sz="0" w:space="0" w:color="auto"/>
        <w:left w:val="none" w:sz="0" w:space="0" w:color="auto"/>
        <w:bottom w:val="none" w:sz="0" w:space="0" w:color="auto"/>
        <w:right w:val="none" w:sz="0" w:space="0" w:color="auto"/>
      </w:divBdr>
    </w:div>
    <w:div w:id="468018905">
      <w:bodyDiv w:val="1"/>
      <w:marLeft w:val="0"/>
      <w:marRight w:val="0"/>
      <w:marTop w:val="0"/>
      <w:marBottom w:val="0"/>
      <w:divBdr>
        <w:top w:val="none" w:sz="0" w:space="0" w:color="auto"/>
        <w:left w:val="none" w:sz="0" w:space="0" w:color="auto"/>
        <w:bottom w:val="none" w:sz="0" w:space="0" w:color="auto"/>
        <w:right w:val="none" w:sz="0" w:space="0" w:color="auto"/>
      </w:divBdr>
    </w:div>
    <w:div w:id="468401239">
      <w:bodyDiv w:val="1"/>
      <w:marLeft w:val="0"/>
      <w:marRight w:val="0"/>
      <w:marTop w:val="0"/>
      <w:marBottom w:val="0"/>
      <w:divBdr>
        <w:top w:val="none" w:sz="0" w:space="0" w:color="auto"/>
        <w:left w:val="none" w:sz="0" w:space="0" w:color="auto"/>
        <w:bottom w:val="none" w:sz="0" w:space="0" w:color="auto"/>
        <w:right w:val="none" w:sz="0" w:space="0" w:color="auto"/>
      </w:divBdr>
    </w:div>
    <w:div w:id="468478939">
      <w:bodyDiv w:val="1"/>
      <w:marLeft w:val="0"/>
      <w:marRight w:val="0"/>
      <w:marTop w:val="0"/>
      <w:marBottom w:val="0"/>
      <w:divBdr>
        <w:top w:val="none" w:sz="0" w:space="0" w:color="auto"/>
        <w:left w:val="none" w:sz="0" w:space="0" w:color="auto"/>
        <w:bottom w:val="none" w:sz="0" w:space="0" w:color="auto"/>
        <w:right w:val="none" w:sz="0" w:space="0" w:color="auto"/>
      </w:divBdr>
    </w:div>
    <w:div w:id="468481203">
      <w:bodyDiv w:val="1"/>
      <w:marLeft w:val="0"/>
      <w:marRight w:val="0"/>
      <w:marTop w:val="0"/>
      <w:marBottom w:val="0"/>
      <w:divBdr>
        <w:top w:val="none" w:sz="0" w:space="0" w:color="auto"/>
        <w:left w:val="none" w:sz="0" w:space="0" w:color="auto"/>
        <w:bottom w:val="none" w:sz="0" w:space="0" w:color="auto"/>
        <w:right w:val="none" w:sz="0" w:space="0" w:color="auto"/>
      </w:divBdr>
    </w:div>
    <w:div w:id="468518225">
      <w:bodyDiv w:val="1"/>
      <w:marLeft w:val="0"/>
      <w:marRight w:val="0"/>
      <w:marTop w:val="0"/>
      <w:marBottom w:val="0"/>
      <w:divBdr>
        <w:top w:val="none" w:sz="0" w:space="0" w:color="auto"/>
        <w:left w:val="none" w:sz="0" w:space="0" w:color="auto"/>
        <w:bottom w:val="none" w:sz="0" w:space="0" w:color="auto"/>
        <w:right w:val="none" w:sz="0" w:space="0" w:color="auto"/>
      </w:divBdr>
    </w:div>
    <w:div w:id="468521606">
      <w:bodyDiv w:val="1"/>
      <w:marLeft w:val="0"/>
      <w:marRight w:val="0"/>
      <w:marTop w:val="0"/>
      <w:marBottom w:val="0"/>
      <w:divBdr>
        <w:top w:val="none" w:sz="0" w:space="0" w:color="auto"/>
        <w:left w:val="none" w:sz="0" w:space="0" w:color="auto"/>
        <w:bottom w:val="none" w:sz="0" w:space="0" w:color="auto"/>
        <w:right w:val="none" w:sz="0" w:space="0" w:color="auto"/>
      </w:divBdr>
    </w:div>
    <w:div w:id="468597230">
      <w:bodyDiv w:val="1"/>
      <w:marLeft w:val="0"/>
      <w:marRight w:val="0"/>
      <w:marTop w:val="0"/>
      <w:marBottom w:val="0"/>
      <w:divBdr>
        <w:top w:val="none" w:sz="0" w:space="0" w:color="auto"/>
        <w:left w:val="none" w:sz="0" w:space="0" w:color="auto"/>
        <w:bottom w:val="none" w:sz="0" w:space="0" w:color="auto"/>
        <w:right w:val="none" w:sz="0" w:space="0" w:color="auto"/>
      </w:divBdr>
    </w:div>
    <w:div w:id="468673945">
      <w:bodyDiv w:val="1"/>
      <w:marLeft w:val="0"/>
      <w:marRight w:val="0"/>
      <w:marTop w:val="0"/>
      <w:marBottom w:val="0"/>
      <w:divBdr>
        <w:top w:val="none" w:sz="0" w:space="0" w:color="auto"/>
        <w:left w:val="none" w:sz="0" w:space="0" w:color="auto"/>
        <w:bottom w:val="none" w:sz="0" w:space="0" w:color="auto"/>
        <w:right w:val="none" w:sz="0" w:space="0" w:color="auto"/>
      </w:divBdr>
    </w:div>
    <w:div w:id="468716740">
      <w:bodyDiv w:val="1"/>
      <w:marLeft w:val="0"/>
      <w:marRight w:val="0"/>
      <w:marTop w:val="0"/>
      <w:marBottom w:val="0"/>
      <w:divBdr>
        <w:top w:val="none" w:sz="0" w:space="0" w:color="auto"/>
        <w:left w:val="none" w:sz="0" w:space="0" w:color="auto"/>
        <w:bottom w:val="none" w:sz="0" w:space="0" w:color="auto"/>
        <w:right w:val="none" w:sz="0" w:space="0" w:color="auto"/>
      </w:divBdr>
    </w:div>
    <w:div w:id="469130484">
      <w:bodyDiv w:val="1"/>
      <w:marLeft w:val="0"/>
      <w:marRight w:val="0"/>
      <w:marTop w:val="0"/>
      <w:marBottom w:val="0"/>
      <w:divBdr>
        <w:top w:val="none" w:sz="0" w:space="0" w:color="auto"/>
        <w:left w:val="none" w:sz="0" w:space="0" w:color="auto"/>
        <w:bottom w:val="none" w:sz="0" w:space="0" w:color="auto"/>
        <w:right w:val="none" w:sz="0" w:space="0" w:color="auto"/>
      </w:divBdr>
    </w:div>
    <w:div w:id="469132282">
      <w:bodyDiv w:val="1"/>
      <w:marLeft w:val="0"/>
      <w:marRight w:val="0"/>
      <w:marTop w:val="0"/>
      <w:marBottom w:val="0"/>
      <w:divBdr>
        <w:top w:val="none" w:sz="0" w:space="0" w:color="auto"/>
        <w:left w:val="none" w:sz="0" w:space="0" w:color="auto"/>
        <w:bottom w:val="none" w:sz="0" w:space="0" w:color="auto"/>
        <w:right w:val="none" w:sz="0" w:space="0" w:color="auto"/>
      </w:divBdr>
    </w:div>
    <w:div w:id="469322558">
      <w:bodyDiv w:val="1"/>
      <w:marLeft w:val="0"/>
      <w:marRight w:val="0"/>
      <w:marTop w:val="0"/>
      <w:marBottom w:val="0"/>
      <w:divBdr>
        <w:top w:val="none" w:sz="0" w:space="0" w:color="auto"/>
        <w:left w:val="none" w:sz="0" w:space="0" w:color="auto"/>
        <w:bottom w:val="none" w:sz="0" w:space="0" w:color="auto"/>
        <w:right w:val="none" w:sz="0" w:space="0" w:color="auto"/>
      </w:divBdr>
    </w:div>
    <w:div w:id="469323141">
      <w:bodyDiv w:val="1"/>
      <w:marLeft w:val="0"/>
      <w:marRight w:val="0"/>
      <w:marTop w:val="0"/>
      <w:marBottom w:val="0"/>
      <w:divBdr>
        <w:top w:val="none" w:sz="0" w:space="0" w:color="auto"/>
        <w:left w:val="none" w:sz="0" w:space="0" w:color="auto"/>
        <w:bottom w:val="none" w:sz="0" w:space="0" w:color="auto"/>
        <w:right w:val="none" w:sz="0" w:space="0" w:color="auto"/>
      </w:divBdr>
    </w:div>
    <w:div w:id="469397060">
      <w:bodyDiv w:val="1"/>
      <w:marLeft w:val="0"/>
      <w:marRight w:val="0"/>
      <w:marTop w:val="0"/>
      <w:marBottom w:val="0"/>
      <w:divBdr>
        <w:top w:val="none" w:sz="0" w:space="0" w:color="auto"/>
        <w:left w:val="none" w:sz="0" w:space="0" w:color="auto"/>
        <w:bottom w:val="none" w:sz="0" w:space="0" w:color="auto"/>
        <w:right w:val="none" w:sz="0" w:space="0" w:color="auto"/>
      </w:divBdr>
    </w:div>
    <w:div w:id="469520090">
      <w:bodyDiv w:val="1"/>
      <w:marLeft w:val="0"/>
      <w:marRight w:val="0"/>
      <w:marTop w:val="0"/>
      <w:marBottom w:val="0"/>
      <w:divBdr>
        <w:top w:val="none" w:sz="0" w:space="0" w:color="auto"/>
        <w:left w:val="none" w:sz="0" w:space="0" w:color="auto"/>
        <w:bottom w:val="none" w:sz="0" w:space="0" w:color="auto"/>
        <w:right w:val="none" w:sz="0" w:space="0" w:color="auto"/>
      </w:divBdr>
    </w:div>
    <w:div w:id="469591872">
      <w:bodyDiv w:val="1"/>
      <w:marLeft w:val="0"/>
      <w:marRight w:val="0"/>
      <w:marTop w:val="0"/>
      <w:marBottom w:val="0"/>
      <w:divBdr>
        <w:top w:val="none" w:sz="0" w:space="0" w:color="auto"/>
        <w:left w:val="none" w:sz="0" w:space="0" w:color="auto"/>
        <w:bottom w:val="none" w:sz="0" w:space="0" w:color="auto"/>
        <w:right w:val="none" w:sz="0" w:space="0" w:color="auto"/>
      </w:divBdr>
    </w:div>
    <w:div w:id="469632889">
      <w:bodyDiv w:val="1"/>
      <w:marLeft w:val="0"/>
      <w:marRight w:val="0"/>
      <w:marTop w:val="0"/>
      <w:marBottom w:val="0"/>
      <w:divBdr>
        <w:top w:val="none" w:sz="0" w:space="0" w:color="auto"/>
        <w:left w:val="none" w:sz="0" w:space="0" w:color="auto"/>
        <w:bottom w:val="none" w:sz="0" w:space="0" w:color="auto"/>
        <w:right w:val="none" w:sz="0" w:space="0" w:color="auto"/>
      </w:divBdr>
    </w:div>
    <w:div w:id="469633342">
      <w:bodyDiv w:val="1"/>
      <w:marLeft w:val="0"/>
      <w:marRight w:val="0"/>
      <w:marTop w:val="0"/>
      <w:marBottom w:val="0"/>
      <w:divBdr>
        <w:top w:val="none" w:sz="0" w:space="0" w:color="auto"/>
        <w:left w:val="none" w:sz="0" w:space="0" w:color="auto"/>
        <w:bottom w:val="none" w:sz="0" w:space="0" w:color="auto"/>
        <w:right w:val="none" w:sz="0" w:space="0" w:color="auto"/>
      </w:divBdr>
    </w:div>
    <w:div w:id="469636837">
      <w:bodyDiv w:val="1"/>
      <w:marLeft w:val="0"/>
      <w:marRight w:val="0"/>
      <w:marTop w:val="0"/>
      <w:marBottom w:val="0"/>
      <w:divBdr>
        <w:top w:val="none" w:sz="0" w:space="0" w:color="auto"/>
        <w:left w:val="none" w:sz="0" w:space="0" w:color="auto"/>
        <w:bottom w:val="none" w:sz="0" w:space="0" w:color="auto"/>
        <w:right w:val="none" w:sz="0" w:space="0" w:color="auto"/>
      </w:divBdr>
    </w:div>
    <w:div w:id="469709857">
      <w:bodyDiv w:val="1"/>
      <w:marLeft w:val="0"/>
      <w:marRight w:val="0"/>
      <w:marTop w:val="0"/>
      <w:marBottom w:val="0"/>
      <w:divBdr>
        <w:top w:val="none" w:sz="0" w:space="0" w:color="auto"/>
        <w:left w:val="none" w:sz="0" w:space="0" w:color="auto"/>
        <w:bottom w:val="none" w:sz="0" w:space="0" w:color="auto"/>
        <w:right w:val="none" w:sz="0" w:space="0" w:color="auto"/>
      </w:divBdr>
    </w:div>
    <w:div w:id="469714231">
      <w:bodyDiv w:val="1"/>
      <w:marLeft w:val="0"/>
      <w:marRight w:val="0"/>
      <w:marTop w:val="0"/>
      <w:marBottom w:val="0"/>
      <w:divBdr>
        <w:top w:val="none" w:sz="0" w:space="0" w:color="auto"/>
        <w:left w:val="none" w:sz="0" w:space="0" w:color="auto"/>
        <w:bottom w:val="none" w:sz="0" w:space="0" w:color="auto"/>
        <w:right w:val="none" w:sz="0" w:space="0" w:color="auto"/>
      </w:divBdr>
    </w:div>
    <w:div w:id="469984074">
      <w:bodyDiv w:val="1"/>
      <w:marLeft w:val="0"/>
      <w:marRight w:val="0"/>
      <w:marTop w:val="0"/>
      <w:marBottom w:val="0"/>
      <w:divBdr>
        <w:top w:val="none" w:sz="0" w:space="0" w:color="auto"/>
        <w:left w:val="none" w:sz="0" w:space="0" w:color="auto"/>
        <w:bottom w:val="none" w:sz="0" w:space="0" w:color="auto"/>
        <w:right w:val="none" w:sz="0" w:space="0" w:color="auto"/>
      </w:divBdr>
    </w:div>
    <w:div w:id="470025706">
      <w:bodyDiv w:val="1"/>
      <w:marLeft w:val="0"/>
      <w:marRight w:val="0"/>
      <w:marTop w:val="0"/>
      <w:marBottom w:val="0"/>
      <w:divBdr>
        <w:top w:val="none" w:sz="0" w:space="0" w:color="auto"/>
        <w:left w:val="none" w:sz="0" w:space="0" w:color="auto"/>
        <w:bottom w:val="none" w:sz="0" w:space="0" w:color="auto"/>
        <w:right w:val="none" w:sz="0" w:space="0" w:color="auto"/>
      </w:divBdr>
    </w:div>
    <w:div w:id="470369009">
      <w:bodyDiv w:val="1"/>
      <w:marLeft w:val="0"/>
      <w:marRight w:val="0"/>
      <w:marTop w:val="0"/>
      <w:marBottom w:val="0"/>
      <w:divBdr>
        <w:top w:val="none" w:sz="0" w:space="0" w:color="auto"/>
        <w:left w:val="none" w:sz="0" w:space="0" w:color="auto"/>
        <w:bottom w:val="none" w:sz="0" w:space="0" w:color="auto"/>
        <w:right w:val="none" w:sz="0" w:space="0" w:color="auto"/>
      </w:divBdr>
    </w:div>
    <w:div w:id="470439753">
      <w:bodyDiv w:val="1"/>
      <w:marLeft w:val="0"/>
      <w:marRight w:val="0"/>
      <w:marTop w:val="0"/>
      <w:marBottom w:val="0"/>
      <w:divBdr>
        <w:top w:val="none" w:sz="0" w:space="0" w:color="auto"/>
        <w:left w:val="none" w:sz="0" w:space="0" w:color="auto"/>
        <w:bottom w:val="none" w:sz="0" w:space="0" w:color="auto"/>
        <w:right w:val="none" w:sz="0" w:space="0" w:color="auto"/>
      </w:divBdr>
    </w:div>
    <w:div w:id="470441650">
      <w:bodyDiv w:val="1"/>
      <w:marLeft w:val="0"/>
      <w:marRight w:val="0"/>
      <w:marTop w:val="0"/>
      <w:marBottom w:val="0"/>
      <w:divBdr>
        <w:top w:val="none" w:sz="0" w:space="0" w:color="auto"/>
        <w:left w:val="none" w:sz="0" w:space="0" w:color="auto"/>
        <w:bottom w:val="none" w:sz="0" w:space="0" w:color="auto"/>
        <w:right w:val="none" w:sz="0" w:space="0" w:color="auto"/>
      </w:divBdr>
    </w:div>
    <w:div w:id="470515135">
      <w:bodyDiv w:val="1"/>
      <w:marLeft w:val="0"/>
      <w:marRight w:val="0"/>
      <w:marTop w:val="0"/>
      <w:marBottom w:val="0"/>
      <w:divBdr>
        <w:top w:val="none" w:sz="0" w:space="0" w:color="auto"/>
        <w:left w:val="none" w:sz="0" w:space="0" w:color="auto"/>
        <w:bottom w:val="none" w:sz="0" w:space="0" w:color="auto"/>
        <w:right w:val="none" w:sz="0" w:space="0" w:color="auto"/>
      </w:divBdr>
    </w:div>
    <w:div w:id="470562457">
      <w:bodyDiv w:val="1"/>
      <w:marLeft w:val="0"/>
      <w:marRight w:val="0"/>
      <w:marTop w:val="0"/>
      <w:marBottom w:val="0"/>
      <w:divBdr>
        <w:top w:val="none" w:sz="0" w:space="0" w:color="auto"/>
        <w:left w:val="none" w:sz="0" w:space="0" w:color="auto"/>
        <w:bottom w:val="none" w:sz="0" w:space="0" w:color="auto"/>
        <w:right w:val="none" w:sz="0" w:space="0" w:color="auto"/>
      </w:divBdr>
    </w:div>
    <w:div w:id="470635549">
      <w:bodyDiv w:val="1"/>
      <w:marLeft w:val="0"/>
      <w:marRight w:val="0"/>
      <w:marTop w:val="0"/>
      <w:marBottom w:val="0"/>
      <w:divBdr>
        <w:top w:val="none" w:sz="0" w:space="0" w:color="auto"/>
        <w:left w:val="none" w:sz="0" w:space="0" w:color="auto"/>
        <w:bottom w:val="none" w:sz="0" w:space="0" w:color="auto"/>
        <w:right w:val="none" w:sz="0" w:space="0" w:color="auto"/>
      </w:divBdr>
    </w:div>
    <w:div w:id="470708993">
      <w:bodyDiv w:val="1"/>
      <w:marLeft w:val="0"/>
      <w:marRight w:val="0"/>
      <w:marTop w:val="0"/>
      <w:marBottom w:val="0"/>
      <w:divBdr>
        <w:top w:val="none" w:sz="0" w:space="0" w:color="auto"/>
        <w:left w:val="none" w:sz="0" w:space="0" w:color="auto"/>
        <w:bottom w:val="none" w:sz="0" w:space="0" w:color="auto"/>
        <w:right w:val="none" w:sz="0" w:space="0" w:color="auto"/>
      </w:divBdr>
    </w:div>
    <w:div w:id="470905962">
      <w:bodyDiv w:val="1"/>
      <w:marLeft w:val="0"/>
      <w:marRight w:val="0"/>
      <w:marTop w:val="0"/>
      <w:marBottom w:val="0"/>
      <w:divBdr>
        <w:top w:val="none" w:sz="0" w:space="0" w:color="auto"/>
        <w:left w:val="none" w:sz="0" w:space="0" w:color="auto"/>
        <w:bottom w:val="none" w:sz="0" w:space="0" w:color="auto"/>
        <w:right w:val="none" w:sz="0" w:space="0" w:color="auto"/>
      </w:divBdr>
    </w:div>
    <w:div w:id="470943723">
      <w:bodyDiv w:val="1"/>
      <w:marLeft w:val="0"/>
      <w:marRight w:val="0"/>
      <w:marTop w:val="0"/>
      <w:marBottom w:val="0"/>
      <w:divBdr>
        <w:top w:val="none" w:sz="0" w:space="0" w:color="auto"/>
        <w:left w:val="none" w:sz="0" w:space="0" w:color="auto"/>
        <w:bottom w:val="none" w:sz="0" w:space="0" w:color="auto"/>
        <w:right w:val="none" w:sz="0" w:space="0" w:color="auto"/>
      </w:divBdr>
    </w:div>
    <w:div w:id="470948018">
      <w:bodyDiv w:val="1"/>
      <w:marLeft w:val="0"/>
      <w:marRight w:val="0"/>
      <w:marTop w:val="0"/>
      <w:marBottom w:val="0"/>
      <w:divBdr>
        <w:top w:val="none" w:sz="0" w:space="0" w:color="auto"/>
        <w:left w:val="none" w:sz="0" w:space="0" w:color="auto"/>
        <w:bottom w:val="none" w:sz="0" w:space="0" w:color="auto"/>
        <w:right w:val="none" w:sz="0" w:space="0" w:color="auto"/>
      </w:divBdr>
    </w:div>
    <w:div w:id="471143747">
      <w:bodyDiv w:val="1"/>
      <w:marLeft w:val="0"/>
      <w:marRight w:val="0"/>
      <w:marTop w:val="0"/>
      <w:marBottom w:val="0"/>
      <w:divBdr>
        <w:top w:val="none" w:sz="0" w:space="0" w:color="auto"/>
        <w:left w:val="none" w:sz="0" w:space="0" w:color="auto"/>
        <w:bottom w:val="none" w:sz="0" w:space="0" w:color="auto"/>
        <w:right w:val="none" w:sz="0" w:space="0" w:color="auto"/>
      </w:divBdr>
    </w:div>
    <w:div w:id="471291862">
      <w:bodyDiv w:val="1"/>
      <w:marLeft w:val="0"/>
      <w:marRight w:val="0"/>
      <w:marTop w:val="0"/>
      <w:marBottom w:val="0"/>
      <w:divBdr>
        <w:top w:val="none" w:sz="0" w:space="0" w:color="auto"/>
        <w:left w:val="none" w:sz="0" w:space="0" w:color="auto"/>
        <w:bottom w:val="none" w:sz="0" w:space="0" w:color="auto"/>
        <w:right w:val="none" w:sz="0" w:space="0" w:color="auto"/>
      </w:divBdr>
    </w:div>
    <w:div w:id="471293747">
      <w:bodyDiv w:val="1"/>
      <w:marLeft w:val="0"/>
      <w:marRight w:val="0"/>
      <w:marTop w:val="0"/>
      <w:marBottom w:val="0"/>
      <w:divBdr>
        <w:top w:val="none" w:sz="0" w:space="0" w:color="auto"/>
        <w:left w:val="none" w:sz="0" w:space="0" w:color="auto"/>
        <w:bottom w:val="none" w:sz="0" w:space="0" w:color="auto"/>
        <w:right w:val="none" w:sz="0" w:space="0" w:color="auto"/>
      </w:divBdr>
    </w:div>
    <w:div w:id="471408770">
      <w:bodyDiv w:val="1"/>
      <w:marLeft w:val="0"/>
      <w:marRight w:val="0"/>
      <w:marTop w:val="0"/>
      <w:marBottom w:val="0"/>
      <w:divBdr>
        <w:top w:val="none" w:sz="0" w:space="0" w:color="auto"/>
        <w:left w:val="none" w:sz="0" w:space="0" w:color="auto"/>
        <w:bottom w:val="none" w:sz="0" w:space="0" w:color="auto"/>
        <w:right w:val="none" w:sz="0" w:space="0" w:color="auto"/>
      </w:divBdr>
    </w:div>
    <w:div w:id="471409333">
      <w:bodyDiv w:val="1"/>
      <w:marLeft w:val="0"/>
      <w:marRight w:val="0"/>
      <w:marTop w:val="0"/>
      <w:marBottom w:val="0"/>
      <w:divBdr>
        <w:top w:val="none" w:sz="0" w:space="0" w:color="auto"/>
        <w:left w:val="none" w:sz="0" w:space="0" w:color="auto"/>
        <w:bottom w:val="none" w:sz="0" w:space="0" w:color="auto"/>
        <w:right w:val="none" w:sz="0" w:space="0" w:color="auto"/>
      </w:divBdr>
    </w:div>
    <w:div w:id="471480672">
      <w:bodyDiv w:val="1"/>
      <w:marLeft w:val="0"/>
      <w:marRight w:val="0"/>
      <w:marTop w:val="0"/>
      <w:marBottom w:val="0"/>
      <w:divBdr>
        <w:top w:val="none" w:sz="0" w:space="0" w:color="auto"/>
        <w:left w:val="none" w:sz="0" w:space="0" w:color="auto"/>
        <w:bottom w:val="none" w:sz="0" w:space="0" w:color="auto"/>
        <w:right w:val="none" w:sz="0" w:space="0" w:color="auto"/>
      </w:divBdr>
    </w:div>
    <w:div w:id="471677330">
      <w:bodyDiv w:val="1"/>
      <w:marLeft w:val="0"/>
      <w:marRight w:val="0"/>
      <w:marTop w:val="0"/>
      <w:marBottom w:val="0"/>
      <w:divBdr>
        <w:top w:val="none" w:sz="0" w:space="0" w:color="auto"/>
        <w:left w:val="none" w:sz="0" w:space="0" w:color="auto"/>
        <w:bottom w:val="none" w:sz="0" w:space="0" w:color="auto"/>
        <w:right w:val="none" w:sz="0" w:space="0" w:color="auto"/>
      </w:divBdr>
    </w:div>
    <w:div w:id="471794135">
      <w:bodyDiv w:val="1"/>
      <w:marLeft w:val="0"/>
      <w:marRight w:val="0"/>
      <w:marTop w:val="0"/>
      <w:marBottom w:val="0"/>
      <w:divBdr>
        <w:top w:val="none" w:sz="0" w:space="0" w:color="auto"/>
        <w:left w:val="none" w:sz="0" w:space="0" w:color="auto"/>
        <w:bottom w:val="none" w:sz="0" w:space="0" w:color="auto"/>
        <w:right w:val="none" w:sz="0" w:space="0" w:color="auto"/>
      </w:divBdr>
    </w:div>
    <w:div w:id="471941861">
      <w:bodyDiv w:val="1"/>
      <w:marLeft w:val="0"/>
      <w:marRight w:val="0"/>
      <w:marTop w:val="0"/>
      <w:marBottom w:val="0"/>
      <w:divBdr>
        <w:top w:val="none" w:sz="0" w:space="0" w:color="auto"/>
        <w:left w:val="none" w:sz="0" w:space="0" w:color="auto"/>
        <w:bottom w:val="none" w:sz="0" w:space="0" w:color="auto"/>
        <w:right w:val="none" w:sz="0" w:space="0" w:color="auto"/>
      </w:divBdr>
    </w:div>
    <w:div w:id="472062547">
      <w:bodyDiv w:val="1"/>
      <w:marLeft w:val="0"/>
      <w:marRight w:val="0"/>
      <w:marTop w:val="0"/>
      <w:marBottom w:val="0"/>
      <w:divBdr>
        <w:top w:val="none" w:sz="0" w:space="0" w:color="auto"/>
        <w:left w:val="none" w:sz="0" w:space="0" w:color="auto"/>
        <w:bottom w:val="none" w:sz="0" w:space="0" w:color="auto"/>
        <w:right w:val="none" w:sz="0" w:space="0" w:color="auto"/>
      </w:divBdr>
    </w:div>
    <w:div w:id="472254282">
      <w:bodyDiv w:val="1"/>
      <w:marLeft w:val="0"/>
      <w:marRight w:val="0"/>
      <w:marTop w:val="0"/>
      <w:marBottom w:val="0"/>
      <w:divBdr>
        <w:top w:val="none" w:sz="0" w:space="0" w:color="auto"/>
        <w:left w:val="none" w:sz="0" w:space="0" w:color="auto"/>
        <w:bottom w:val="none" w:sz="0" w:space="0" w:color="auto"/>
        <w:right w:val="none" w:sz="0" w:space="0" w:color="auto"/>
      </w:divBdr>
    </w:div>
    <w:div w:id="472257947">
      <w:bodyDiv w:val="1"/>
      <w:marLeft w:val="0"/>
      <w:marRight w:val="0"/>
      <w:marTop w:val="0"/>
      <w:marBottom w:val="0"/>
      <w:divBdr>
        <w:top w:val="none" w:sz="0" w:space="0" w:color="auto"/>
        <w:left w:val="none" w:sz="0" w:space="0" w:color="auto"/>
        <w:bottom w:val="none" w:sz="0" w:space="0" w:color="auto"/>
        <w:right w:val="none" w:sz="0" w:space="0" w:color="auto"/>
      </w:divBdr>
    </w:div>
    <w:div w:id="472333743">
      <w:bodyDiv w:val="1"/>
      <w:marLeft w:val="0"/>
      <w:marRight w:val="0"/>
      <w:marTop w:val="0"/>
      <w:marBottom w:val="0"/>
      <w:divBdr>
        <w:top w:val="none" w:sz="0" w:space="0" w:color="auto"/>
        <w:left w:val="none" w:sz="0" w:space="0" w:color="auto"/>
        <w:bottom w:val="none" w:sz="0" w:space="0" w:color="auto"/>
        <w:right w:val="none" w:sz="0" w:space="0" w:color="auto"/>
      </w:divBdr>
    </w:div>
    <w:div w:id="472335804">
      <w:bodyDiv w:val="1"/>
      <w:marLeft w:val="0"/>
      <w:marRight w:val="0"/>
      <w:marTop w:val="0"/>
      <w:marBottom w:val="0"/>
      <w:divBdr>
        <w:top w:val="none" w:sz="0" w:space="0" w:color="auto"/>
        <w:left w:val="none" w:sz="0" w:space="0" w:color="auto"/>
        <w:bottom w:val="none" w:sz="0" w:space="0" w:color="auto"/>
        <w:right w:val="none" w:sz="0" w:space="0" w:color="auto"/>
      </w:divBdr>
    </w:div>
    <w:div w:id="472525836">
      <w:bodyDiv w:val="1"/>
      <w:marLeft w:val="0"/>
      <w:marRight w:val="0"/>
      <w:marTop w:val="0"/>
      <w:marBottom w:val="0"/>
      <w:divBdr>
        <w:top w:val="none" w:sz="0" w:space="0" w:color="auto"/>
        <w:left w:val="none" w:sz="0" w:space="0" w:color="auto"/>
        <w:bottom w:val="none" w:sz="0" w:space="0" w:color="auto"/>
        <w:right w:val="none" w:sz="0" w:space="0" w:color="auto"/>
      </w:divBdr>
    </w:div>
    <w:div w:id="473106417">
      <w:bodyDiv w:val="1"/>
      <w:marLeft w:val="0"/>
      <w:marRight w:val="0"/>
      <w:marTop w:val="0"/>
      <w:marBottom w:val="0"/>
      <w:divBdr>
        <w:top w:val="none" w:sz="0" w:space="0" w:color="auto"/>
        <w:left w:val="none" w:sz="0" w:space="0" w:color="auto"/>
        <w:bottom w:val="none" w:sz="0" w:space="0" w:color="auto"/>
        <w:right w:val="none" w:sz="0" w:space="0" w:color="auto"/>
      </w:divBdr>
    </w:div>
    <w:div w:id="473136932">
      <w:bodyDiv w:val="1"/>
      <w:marLeft w:val="0"/>
      <w:marRight w:val="0"/>
      <w:marTop w:val="0"/>
      <w:marBottom w:val="0"/>
      <w:divBdr>
        <w:top w:val="none" w:sz="0" w:space="0" w:color="auto"/>
        <w:left w:val="none" w:sz="0" w:space="0" w:color="auto"/>
        <w:bottom w:val="none" w:sz="0" w:space="0" w:color="auto"/>
        <w:right w:val="none" w:sz="0" w:space="0" w:color="auto"/>
      </w:divBdr>
    </w:div>
    <w:div w:id="473177188">
      <w:bodyDiv w:val="1"/>
      <w:marLeft w:val="0"/>
      <w:marRight w:val="0"/>
      <w:marTop w:val="0"/>
      <w:marBottom w:val="0"/>
      <w:divBdr>
        <w:top w:val="none" w:sz="0" w:space="0" w:color="auto"/>
        <w:left w:val="none" w:sz="0" w:space="0" w:color="auto"/>
        <w:bottom w:val="none" w:sz="0" w:space="0" w:color="auto"/>
        <w:right w:val="none" w:sz="0" w:space="0" w:color="auto"/>
      </w:divBdr>
    </w:div>
    <w:div w:id="473183862">
      <w:bodyDiv w:val="1"/>
      <w:marLeft w:val="0"/>
      <w:marRight w:val="0"/>
      <w:marTop w:val="0"/>
      <w:marBottom w:val="0"/>
      <w:divBdr>
        <w:top w:val="none" w:sz="0" w:space="0" w:color="auto"/>
        <w:left w:val="none" w:sz="0" w:space="0" w:color="auto"/>
        <w:bottom w:val="none" w:sz="0" w:space="0" w:color="auto"/>
        <w:right w:val="none" w:sz="0" w:space="0" w:color="auto"/>
      </w:divBdr>
    </w:div>
    <w:div w:id="473253882">
      <w:bodyDiv w:val="1"/>
      <w:marLeft w:val="0"/>
      <w:marRight w:val="0"/>
      <w:marTop w:val="0"/>
      <w:marBottom w:val="0"/>
      <w:divBdr>
        <w:top w:val="none" w:sz="0" w:space="0" w:color="auto"/>
        <w:left w:val="none" w:sz="0" w:space="0" w:color="auto"/>
        <w:bottom w:val="none" w:sz="0" w:space="0" w:color="auto"/>
        <w:right w:val="none" w:sz="0" w:space="0" w:color="auto"/>
      </w:divBdr>
    </w:div>
    <w:div w:id="473257722">
      <w:bodyDiv w:val="1"/>
      <w:marLeft w:val="0"/>
      <w:marRight w:val="0"/>
      <w:marTop w:val="0"/>
      <w:marBottom w:val="0"/>
      <w:divBdr>
        <w:top w:val="none" w:sz="0" w:space="0" w:color="auto"/>
        <w:left w:val="none" w:sz="0" w:space="0" w:color="auto"/>
        <w:bottom w:val="none" w:sz="0" w:space="0" w:color="auto"/>
        <w:right w:val="none" w:sz="0" w:space="0" w:color="auto"/>
      </w:divBdr>
    </w:div>
    <w:div w:id="473259706">
      <w:bodyDiv w:val="1"/>
      <w:marLeft w:val="0"/>
      <w:marRight w:val="0"/>
      <w:marTop w:val="0"/>
      <w:marBottom w:val="0"/>
      <w:divBdr>
        <w:top w:val="none" w:sz="0" w:space="0" w:color="auto"/>
        <w:left w:val="none" w:sz="0" w:space="0" w:color="auto"/>
        <w:bottom w:val="none" w:sz="0" w:space="0" w:color="auto"/>
        <w:right w:val="none" w:sz="0" w:space="0" w:color="auto"/>
      </w:divBdr>
    </w:div>
    <w:div w:id="473301430">
      <w:bodyDiv w:val="1"/>
      <w:marLeft w:val="0"/>
      <w:marRight w:val="0"/>
      <w:marTop w:val="0"/>
      <w:marBottom w:val="0"/>
      <w:divBdr>
        <w:top w:val="none" w:sz="0" w:space="0" w:color="auto"/>
        <w:left w:val="none" w:sz="0" w:space="0" w:color="auto"/>
        <w:bottom w:val="none" w:sz="0" w:space="0" w:color="auto"/>
        <w:right w:val="none" w:sz="0" w:space="0" w:color="auto"/>
      </w:divBdr>
    </w:div>
    <w:div w:id="473327697">
      <w:bodyDiv w:val="1"/>
      <w:marLeft w:val="0"/>
      <w:marRight w:val="0"/>
      <w:marTop w:val="0"/>
      <w:marBottom w:val="0"/>
      <w:divBdr>
        <w:top w:val="none" w:sz="0" w:space="0" w:color="auto"/>
        <w:left w:val="none" w:sz="0" w:space="0" w:color="auto"/>
        <w:bottom w:val="none" w:sz="0" w:space="0" w:color="auto"/>
        <w:right w:val="none" w:sz="0" w:space="0" w:color="auto"/>
      </w:divBdr>
    </w:div>
    <w:div w:id="473330507">
      <w:bodyDiv w:val="1"/>
      <w:marLeft w:val="0"/>
      <w:marRight w:val="0"/>
      <w:marTop w:val="0"/>
      <w:marBottom w:val="0"/>
      <w:divBdr>
        <w:top w:val="none" w:sz="0" w:space="0" w:color="auto"/>
        <w:left w:val="none" w:sz="0" w:space="0" w:color="auto"/>
        <w:bottom w:val="none" w:sz="0" w:space="0" w:color="auto"/>
        <w:right w:val="none" w:sz="0" w:space="0" w:color="auto"/>
      </w:divBdr>
    </w:div>
    <w:div w:id="473370588">
      <w:bodyDiv w:val="1"/>
      <w:marLeft w:val="0"/>
      <w:marRight w:val="0"/>
      <w:marTop w:val="0"/>
      <w:marBottom w:val="0"/>
      <w:divBdr>
        <w:top w:val="none" w:sz="0" w:space="0" w:color="auto"/>
        <w:left w:val="none" w:sz="0" w:space="0" w:color="auto"/>
        <w:bottom w:val="none" w:sz="0" w:space="0" w:color="auto"/>
        <w:right w:val="none" w:sz="0" w:space="0" w:color="auto"/>
      </w:divBdr>
    </w:div>
    <w:div w:id="473449702">
      <w:bodyDiv w:val="1"/>
      <w:marLeft w:val="0"/>
      <w:marRight w:val="0"/>
      <w:marTop w:val="0"/>
      <w:marBottom w:val="0"/>
      <w:divBdr>
        <w:top w:val="none" w:sz="0" w:space="0" w:color="auto"/>
        <w:left w:val="none" w:sz="0" w:space="0" w:color="auto"/>
        <w:bottom w:val="none" w:sz="0" w:space="0" w:color="auto"/>
        <w:right w:val="none" w:sz="0" w:space="0" w:color="auto"/>
      </w:divBdr>
    </w:div>
    <w:div w:id="473452614">
      <w:bodyDiv w:val="1"/>
      <w:marLeft w:val="0"/>
      <w:marRight w:val="0"/>
      <w:marTop w:val="0"/>
      <w:marBottom w:val="0"/>
      <w:divBdr>
        <w:top w:val="none" w:sz="0" w:space="0" w:color="auto"/>
        <w:left w:val="none" w:sz="0" w:space="0" w:color="auto"/>
        <w:bottom w:val="none" w:sz="0" w:space="0" w:color="auto"/>
        <w:right w:val="none" w:sz="0" w:space="0" w:color="auto"/>
      </w:divBdr>
    </w:div>
    <w:div w:id="473529722">
      <w:bodyDiv w:val="1"/>
      <w:marLeft w:val="0"/>
      <w:marRight w:val="0"/>
      <w:marTop w:val="0"/>
      <w:marBottom w:val="0"/>
      <w:divBdr>
        <w:top w:val="none" w:sz="0" w:space="0" w:color="auto"/>
        <w:left w:val="none" w:sz="0" w:space="0" w:color="auto"/>
        <w:bottom w:val="none" w:sz="0" w:space="0" w:color="auto"/>
        <w:right w:val="none" w:sz="0" w:space="0" w:color="auto"/>
      </w:divBdr>
    </w:div>
    <w:div w:id="473569415">
      <w:bodyDiv w:val="1"/>
      <w:marLeft w:val="0"/>
      <w:marRight w:val="0"/>
      <w:marTop w:val="0"/>
      <w:marBottom w:val="0"/>
      <w:divBdr>
        <w:top w:val="none" w:sz="0" w:space="0" w:color="auto"/>
        <w:left w:val="none" w:sz="0" w:space="0" w:color="auto"/>
        <w:bottom w:val="none" w:sz="0" w:space="0" w:color="auto"/>
        <w:right w:val="none" w:sz="0" w:space="0" w:color="auto"/>
      </w:divBdr>
    </w:div>
    <w:div w:id="473956453">
      <w:bodyDiv w:val="1"/>
      <w:marLeft w:val="0"/>
      <w:marRight w:val="0"/>
      <w:marTop w:val="0"/>
      <w:marBottom w:val="0"/>
      <w:divBdr>
        <w:top w:val="none" w:sz="0" w:space="0" w:color="auto"/>
        <w:left w:val="none" w:sz="0" w:space="0" w:color="auto"/>
        <w:bottom w:val="none" w:sz="0" w:space="0" w:color="auto"/>
        <w:right w:val="none" w:sz="0" w:space="0" w:color="auto"/>
      </w:divBdr>
    </w:div>
    <w:div w:id="474297502">
      <w:bodyDiv w:val="1"/>
      <w:marLeft w:val="0"/>
      <w:marRight w:val="0"/>
      <w:marTop w:val="0"/>
      <w:marBottom w:val="0"/>
      <w:divBdr>
        <w:top w:val="none" w:sz="0" w:space="0" w:color="auto"/>
        <w:left w:val="none" w:sz="0" w:space="0" w:color="auto"/>
        <w:bottom w:val="none" w:sz="0" w:space="0" w:color="auto"/>
        <w:right w:val="none" w:sz="0" w:space="0" w:color="auto"/>
      </w:divBdr>
    </w:div>
    <w:div w:id="474298500">
      <w:bodyDiv w:val="1"/>
      <w:marLeft w:val="0"/>
      <w:marRight w:val="0"/>
      <w:marTop w:val="0"/>
      <w:marBottom w:val="0"/>
      <w:divBdr>
        <w:top w:val="none" w:sz="0" w:space="0" w:color="auto"/>
        <w:left w:val="none" w:sz="0" w:space="0" w:color="auto"/>
        <w:bottom w:val="none" w:sz="0" w:space="0" w:color="auto"/>
        <w:right w:val="none" w:sz="0" w:space="0" w:color="auto"/>
      </w:divBdr>
    </w:div>
    <w:div w:id="474371400">
      <w:bodyDiv w:val="1"/>
      <w:marLeft w:val="0"/>
      <w:marRight w:val="0"/>
      <w:marTop w:val="0"/>
      <w:marBottom w:val="0"/>
      <w:divBdr>
        <w:top w:val="none" w:sz="0" w:space="0" w:color="auto"/>
        <w:left w:val="none" w:sz="0" w:space="0" w:color="auto"/>
        <w:bottom w:val="none" w:sz="0" w:space="0" w:color="auto"/>
        <w:right w:val="none" w:sz="0" w:space="0" w:color="auto"/>
      </w:divBdr>
    </w:div>
    <w:div w:id="474376559">
      <w:bodyDiv w:val="1"/>
      <w:marLeft w:val="0"/>
      <w:marRight w:val="0"/>
      <w:marTop w:val="0"/>
      <w:marBottom w:val="0"/>
      <w:divBdr>
        <w:top w:val="none" w:sz="0" w:space="0" w:color="auto"/>
        <w:left w:val="none" w:sz="0" w:space="0" w:color="auto"/>
        <w:bottom w:val="none" w:sz="0" w:space="0" w:color="auto"/>
        <w:right w:val="none" w:sz="0" w:space="0" w:color="auto"/>
      </w:divBdr>
    </w:div>
    <w:div w:id="474376600">
      <w:bodyDiv w:val="1"/>
      <w:marLeft w:val="0"/>
      <w:marRight w:val="0"/>
      <w:marTop w:val="0"/>
      <w:marBottom w:val="0"/>
      <w:divBdr>
        <w:top w:val="none" w:sz="0" w:space="0" w:color="auto"/>
        <w:left w:val="none" w:sz="0" w:space="0" w:color="auto"/>
        <w:bottom w:val="none" w:sz="0" w:space="0" w:color="auto"/>
        <w:right w:val="none" w:sz="0" w:space="0" w:color="auto"/>
      </w:divBdr>
    </w:div>
    <w:div w:id="474419856">
      <w:bodyDiv w:val="1"/>
      <w:marLeft w:val="0"/>
      <w:marRight w:val="0"/>
      <w:marTop w:val="0"/>
      <w:marBottom w:val="0"/>
      <w:divBdr>
        <w:top w:val="none" w:sz="0" w:space="0" w:color="auto"/>
        <w:left w:val="none" w:sz="0" w:space="0" w:color="auto"/>
        <w:bottom w:val="none" w:sz="0" w:space="0" w:color="auto"/>
        <w:right w:val="none" w:sz="0" w:space="0" w:color="auto"/>
      </w:divBdr>
    </w:div>
    <w:div w:id="474490023">
      <w:bodyDiv w:val="1"/>
      <w:marLeft w:val="0"/>
      <w:marRight w:val="0"/>
      <w:marTop w:val="0"/>
      <w:marBottom w:val="0"/>
      <w:divBdr>
        <w:top w:val="none" w:sz="0" w:space="0" w:color="auto"/>
        <w:left w:val="none" w:sz="0" w:space="0" w:color="auto"/>
        <w:bottom w:val="none" w:sz="0" w:space="0" w:color="auto"/>
        <w:right w:val="none" w:sz="0" w:space="0" w:color="auto"/>
      </w:divBdr>
    </w:div>
    <w:div w:id="474494526">
      <w:bodyDiv w:val="1"/>
      <w:marLeft w:val="0"/>
      <w:marRight w:val="0"/>
      <w:marTop w:val="0"/>
      <w:marBottom w:val="0"/>
      <w:divBdr>
        <w:top w:val="none" w:sz="0" w:space="0" w:color="auto"/>
        <w:left w:val="none" w:sz="0" w:space="0" w:color="auto"/>
        <w:bottom w:val="none" w:sz="0" w:space="0" w:color="auto"/>
        <w:right w:val="none" w:sz="0" w:space="0" w:color="auto"/>
      </w:divBdr>
    </w:div>
    <w:div w:id="474564556">
      <w:bodyDiv w:val="1"/>
      <w:marLeft w:val="0"/>
      <w:marRight w:val="0"/>
      <w:marTop w:val="0"/>
      <w:marBottom w:val="0"/>
      <w:divBdr>
        <w:top w:val="none" w:sz="0" w:space="0" w:color="auto"/>
        <w:left w:val="none" w:sz="0" w:space="0" w:color="auto"/>
        <w:bottom w:val="none" w:sz="0" w:space="0" w:color="auto"/>
        <w:right w:val="none" w:sz="0" w:space="0" w:color="auto"/>
      </w:divBdr>
    </w:div>
    <w:div w:id="474684824">
      <w:bodyDiv w:val="1"/>
      <w:marLeft w:val="0"/>
      <w:marRight w:val="0"/>
      <w:marTop w:val="0"/>
      <w:marBottom w:val="0"/>
      <w:divBdr>
        <w:top w:val="none" w:sz="0" w:space="0" w:color="auto"/>
        <w:left w:val="none" w:sz="0" w:space="0" w:color="auto"/>
        <w:bottom w:val="none" w:sz="0" w:space="0" w:color="auto"/>
        <w:right w:val="none" w:sz="0" w:space="0" w:color="auto"/>
      </w:divBdr>
    </w:div>
    <w:div w:id="474686539">
      <w:bodyDiv w:val="1"/>
      <w:marLeft w:val="0"/>
      <w:marRight w:val="0"/>
      <w:marTop w:val="0"/>
      <w:marBottom w:val="0"/>
      <w:divBdr>
        <w:top w:val="none" w:sz="0" w:space="0" w:color="auto"/>
        <w:left w:val="none" w:sz="0" w:space="0" w:color="auto"/>
        <w:bottom w:val="none" w:sz="0" w:space="0" w:color="auto"/>
        <w:right w:val="none" w:sz="0" w:space="0" w:color="auto"/>
      </w:divBdr>
    </w:div>
    <w:div w:id="474957092">
      <w:bodyDiv w:val="1"/>
      <w:marLeft w:val="0"/>
      <w:marRight w:val="0"/>
      <w:marTop w:val="0"/>
      <w:marBottom w:val="0"/>
      <w:divBdr>
        <w:top w:val="none" w:sz="0" w:space="0" w:color="auto"/>
        <w:left w:val="none" w:sz="0" w:space="0" w:color="auto"/>
        <w:bottom w:val="none" w:sz="0" w:space="0" w:color="auto"/>
        <w:right w:val="none" w:sz="0" w:space="0" w:color="auto"/>
      </w:divBdr>
    </w:div>
    <w:div w:id="475030864">
      <w:bodyDiv w:val="1"/>
      <w:marLeft w:val="0"/>
      <w:marRight w:val="0"/>
      <w:marTop w:val="0"/>
      <w:marBottom w:val="0"/>
      <w:divBdr>
        <w:top w:val="none" w:sz="0" w:space="0" w:color="auto"/>
        <w:left w:val="none" w:sz="0" w:space="0" w:color="auto"/>
        <w:bottom w:val="none" w:sz="0" w:space="0" w:color="auto"/>
        <w:right w:val="none" w:sz="0" w:space="0" w:color="auto"/>
      </w:divBdr>
    </w:div>
    <w:div w:id="475071980">
      <w:bodyDiv w:val="1"/>
      <w:marLeft w:val="0"/>
      <w:marRight w:val="0"/>
      <w:marTop w:val="0"/>
      <w:marBottom w:val="0"/>
      <w:divBdr>
        <w:top w:val="none" w:sz="0" w:space="0" w:color="auto"/>
        <w:left w:val="none" w:sz="0" w:space="0" w:color="auto"/>
        <w:bottom w:val="none" w:sz="0" w:space="0" w:color="auto"/>
        <w:right w:val="none" w:sz="0" w:space="0" w:color="auto"/>
      </w:divBdr>
    </w:div>
    <w:div w:id="475223389">
      <w:bodyDiv w:val="1"/>
      <w:marLeft w:val="0"/>
      <w:marRight w:val="0"/>
      <w:marTop w:val="0"/>
      <w:marBottom w:val="0"/>
      <w:divBdr>
        <w:top w:val="none" w:sz="0" w:space="0" w:color="auto"/>
        <w:left w:val="none" w:sz="0" w:space="0" w:color="auto"/>
        <w:bottom w:val="none" w:sz="0" w:space="0" w:color="auto"/>
        <w:right w:val="none" w:sz="0" w:space="0" w:color="auto"/>
      </w:divBdr>
    </w:div>
    <w:div w:id="475224337">
      <w:bodyDiv w:val="1"/>
      <w:marLeft w:val="0"/>
      <w:marRight w:val="0"/>
      <w:marTop w:val="0"/>
      <w:marBottom w:val="0"/>
      <w:divBdr>
        <w:top w:val="none" w:sz="0" w:space="0" w:color="auto"/>
        <w:left w:val="none" w:sz="0" w:space="0" w:color="auto"/>
        <w:bottom w:val="none" w:sz="0" w:space="0" w:color="auto"/>
        <w:right w:val="none" w:sz="0" w:space="0" w:color="auto"/>
      </w:divBdr>
    </w:div>
    <w:div w:id="475344056">
      <w:bodyDiv w:val="1"/>
      <w:marLeft w:val="0"/>
      <w:marRight w:val="0"/>
      <w:marTop w:val="0"/>
      <w:marBottom w:val="0"/>
      <w:divBdr>
        <w:top w:val="none" w:sz="0" w:space="0" w:color="auto"/>
        <w:left w:val="none" w:sz="0" w:space="0" w:color="auto"/>
        <w:bottom w:val="none" w:sz="0" w:space="0" w:color="auto"/>
        <w:right w:val="none" w:sz="0" w:space="0" w:color="auto"/>
      </w:divBdr>
    </w:div>
    <w:div w:id="475490543">
      <w:bodyDiv w:val="1"/>
      <w:marLeft w:val="0"/>
      <w:marRight w:val="0"/>
      <w:marTop w:val="0"/>
      <w:marBottom w:val="0"/>
      <w:divBdr>
        <w:top w:val="none" w:sz="0" w:space="0" w:color="auto"/>
        <w:left w:val="none" w:sz="0" w:space="0" w:color="auto"/>
        <w:bottom w:val="none" w:sz="0" w:space="0" w:color="auto"/>
        <w:right w:val="none" w:sz="0" w:space="0" w:color="auto"/>
      </w:divBdr>
    </w:div>
    <w:div w:id="475494541">
      <w:bodyDiv w:val="1"/>
      <w:marLeft w:val="0"/>
      <w:marRight w:val="0"/>
      <w:marTop w:val="0"/>
      <w:marBottom w:val="0"/>
      <w:divBdr>
        <w:top w:val="none" w:sz="0" w:space="0" w:color="auto"/>
        <w:left w:val="none" w:sz="0" w:space="0" w:color="auto"/>
        <w:bottom w:val="none" w:sz="0" w:space="0" w:color="auto"/>
        <w:right w:val="none" w:sz="0" w:space="0" w:color="auto"/>
      </w:divBdr>
    </w:div>
    <w:div w:id="475611435">
      <w:bodyDiv w:val="1"/>
      <w:marLeft w:val="0"/>
      <w:marRight w:val="0"/>
      <w:marTop w:val="0"/>
      <w:marBottom w:val="0"/>
      <w:divBdr>
        <w:top w:val="none" w:sz="0" w:space="0" w:color="auto"/>
        <w:left w:val="none" w:sz="0" w:space="0" w:color="auto"/>
        <w:bottom w:val="none" w:sz="0" w:space="0" w:color="auto"/>
        <w:right w:val="none" w:sz="0" w:space="0" w:color="auto"/>
      </w:divBdr>
    </w:div>
    <w:div w:id="475873118">
      <w:bodyDiv w:val="1"/>
      <w:marLeft w:val="0"/>
      <w:marRight w:val="0"/>
      <w:marTop w:val="0"/>
      <w:marBottom w:val="0"/>
      <w:divBdr>
        <w:top w:val="none" w:sz="0" w:space="0" w:color="auto"/>
        <w:left w:val="none" w:sz="0" w:space="0" w:color="auto"/>
        <w:bottom w:val="none" w:sz="0" w:space="0" w:color="auto"/>
        <w:right w:val="none" w:sz="0" w:space="0" w:color="auto"/>
      </w:divBdr>
    </w:div>
    <w:div w:id="475874632">
      <w:bodyDiv w:val="1"/>
      <w:marLeft w:val="0"/>
      <w:marRight w:val="0"/>
      <w:marTop w:val="0"/>
      <w:marBottom w:val="0"/>
      <w:divBdr>
        <w:top w:val="none" w:sz="0" w:space="0" w:color="auto"/>
        <w:left w:val="none" w:sz="0" w:space="0" w:color="auto"/>
        <w:bottom w:val="none" w:sz="0" w:space="0" w:color="auto"/>
        <w:right w:val="none" w:sz="0" w:space="0" w:color="auto"/>
      </w:divBdr>
    </w:div>
    <w:div w:id="475923847">
      <w:bodyDiv w:val="1"/>
      <w:marLeft w:val="0"/>
      <w:marRight w:val="0"/>
      <w:marTop w:val="0"/>
      <w:marBottom w:val="0"/>
      <w:divBdr>
        <w:top w:val="none" w:sz="0" w:space="0" w:color="auto"/>
        <w:left w:val="none" w:sz="0" w:space="0" w:color="auto"/>
        <w:bottom w:val="none" w:sz="0" w:space="0" w:color="auto"/>
        <w:right w:val="none" w:sz="0" w:space="0" w:color="auto"/>
      </w:divBdr>
    </w:div>
    <w:div w:id="475924455">
      <w:bodyDiv w:val="1"/>
      <w:marLeft w:val="0"/>
      <w:marRight w:val="0"/>
      <w:marTop w:val="0"/>
      <w:marBottom w:val="0"/>
      <w:divBdr>
        <w:top w:val="none" w:sz="0" w:space="0" w:color="auto"/>
        <w:left w:val="none" w:sz="0" w:space="0" w:color="auto"/>
        <w:bottom w:val="none" w:sz="0" w:space="0" w:color="auto"/>
        <w:right w:val="none" w:sz="0" w:space="0" w:color="auto"/>
      </w:divBdr>
    </w:div>
    <w:div w:id="475993640">
      <w:bodyDiv w:val="1"/>
      <w:marLeft w:val="0"/>
      <w:marRight w:val="0"/>
      <w:marTop w:val="0"/>
      <w:marBottom w:val="0"/>
      <w:divBdr>
        <w:top w:val="none" w:sz="0" w:space="0" w:color="auto"/>
        <w:left w:val="none" w:sz="0" w:space="0" w:color="auto"/>
        <w:bottom w:val="none" w:sz="0" w:space="0" w:color="auto"/>
        <w:right w:val="none" w:sz="0" w:space="0" w:color="auto"/>
      </w:divBdr>
    </w:div>
    <w:div w:id="475996298">
      <w:bodyDiv w:val="1"/>
      <w:marLeft w:val="0"/>
      <w:marRight w:val="0"/>
      <w:marTop w:val="0"/>
      <w:marBottom w:val="0"/>
      <w:divBdr>
        <w:top w:val="none" w:sz="0" w:space="0" w:color="auto"/>
        <w:left w:val="none" w:sz="0" w:space="0" w:color="auto"/>
        <w:bottom w:val="none" w:sz="0" w:space="0" w:color="auto"/>
        <w:right w:val="none" w:sz="0" w:space="0" w:color="auto"/>
      </w:divBdr>
    </w:div>
    <w:div w:id="476069615">
      <w:bodyDiv w:val="1"/>
      <w:marLeft w:val="0"/>
      <w:marRight w:val="0"/>
      <w:marTop w:val="0"/>
      <w:marBottom w:val="0"/>
      <w:divBdr>
        <w:top w:val="none" w:sz="0" w:space="0" w:color="auto"/>
        <w:left w:val="none" w:sz="0" w:space="0" w:color="auto"/>
        <w:bottom w:val="none" w:sz="0" w:space="0" w:color="auto"/>
        <w:right w:val="none" w:sz="0" w:space="0" w:color="auto"/>
      </w:divBdr>
    </w:div>
    <w:div w:id="476340264">
      <w:bodyDiv w:val="1"/>
      <w:marLeft w:val="0"/>
      <w:marRight w:val="0"/>
      <w:marTop w:val="0"/>
      <w:marBottom w:val="0"/>
      <w:divBdr>
        <w:top w:val="none" w:sz="0" w:space="0" w:color="auto"/>
        <w:left w:val="none" w:sz="0" w:space="0" w:color="auto"/>
        <w:bottom w:val="none" w:sz="0" w:space="0" w:color="auto"/>
        <w:right w:val="none" w:sz="0" w:space="0" w:color="auto"/>
      </w:divBdr>
    </w:div>
    <w:div w:id="476387312">
      <w:bodyDiv w:val="1"/>
      <w:marLeft w:val="0"/>
      <w:marRight w:val="0"/>
      <w:marTop w:val="0"/>
      <w:marBottom w:val="0"/>
      <w:divBdr>
        <w:top w:val="none" w:sz="0" w:space="0" w:color="auto"/>
        <w:left w:val="none" w:sz="0" w:space="0" w:color="auto"/>
        <w:bottom w:val="none" w:sz="0" w:space="0" w:color="auto"/>
        <w:right w:val="none" w:sz="0" w:space="0" w:color="auto"/>
      </w:divBdr>
    </w:div>
    <w:div w:id="476461258">
      <w:bodyDiv w:val="1"/>
      <w:marLeft w:val="0"/>
      <w:marRight w:val="0"/>
      <w:marTop w:val="0"/>
      <w:marBottom w:val="0"/>
      <w:divBdr>
        <w:top w:val="none" w:sz="0" w:space="0" w:color="auto"/>
        <w:left w:val="none" w:sz="0" w:space="0" w:color="auto"/>
        <w:bottom w:val="none" w:sz="0" w:space="0" w:color="auto"/>
        <w:right w:val="none" w:sz="0" w:space="0" w:color="auto"/>
      </w:divBdr>
    </w:div>
    <w:div w:id="476603829">
      <w:bodyDiv w:val="1"/>
      <w:marLeft w:val="0"/>
      <w:marRight w:val="0"/>
      <w:marTop w:val="0"/>
      <w:marBottom w:val="0"/>
      <w:divBdr>
        <w:top w:val="none" w:sz="0" w:space="0" w:color="auto"/>
        <w:left w:val="none" w:sz="0" w:space="0" w:color="auto"/>
        <w:bottom w:val="none" w:sz="0" w:space="0" w:color="auto"/>
        <w:right w:val="none" w:sz="0" w:space="0" w:color="auto"/>
      </w:divBdr>
    </w:div>
    <w:div w:id="476605452">
      <w:bodyDiv w:val="1"/>
      <w:marLeft w:val="0"/>
      <w:marRight w:val="0"/>
      <w:marTop w:val="0"/>
      <w:marBottom w:val="0"/>
      <w:divBdr>
        <w:top w:val="none" w:sz="0" w:space="0" w:color="auto"/>
        <w:left w:val="none" w:sz="0" w:space="0" w:color="auto"/>
        <w:bottom w:val="none" w:sz="0" w:space="0" w:color="auto"/>
        <w:right w:val="none" w:sz="0" w:space="0" w:color="auto"/>
      </w:divBdr>
    </w:div>
    <w:div w:id="476800473">
      <w:bodyDiv w:val="1"/>
      <w:marLeft w:val="0"/>
      <w:marRight w:val="0"/>
      <w:marTop w:val="0"/>
      <w:marBottom w:val="0"/>
      <w:divBdr>
        <w:top w:val="none" w:sz="0" w:space="0" w:color="auto"/>
        <w:left w:val="none" w:sz="0" w:space="0" w:color="auto"/>
        <w:bottom w:val="none" w:sz="0" w:space="0" w:color="auto"/>
        <w:right w:val="none" w:sz="0" w:space="0" w:color="auto"/>
      </w:divBdr>
    </w:div>
    <w:div w:id="476840021">
      <w:bodyDiv w:val="1"/>
      <w:marLeft w:val="0"/>
      <w:marRight w:val="0"/>
      <w:marTop w:val="0"/>
      <w:marBottom w:val="0"/>
      <w:divBdr>
        <w:top w:val="none" w:sz="0" w:space="0" w:color="auto"/>
        <w:left w:val="none" w:sz="0" w:space="0" w:color="auto"/>
        <w:bottom w:val="none" w:sz="0" w:space="0" w:color="auto"/>
        <w:right w:val="none" w:sz="0" w:space="0" w:color="auto"/>
      </w:divBdr>
    </w:div>
    <w:div w:id="476840530">
      <w:bodyDiv w:val="1"/>
      <w:marLeft w:val="0"/>
      <w:marRight w:val="0"/>
      <w:marTop w:val="0"/>
      <w:marBottom w:val="0"/>
      <w:divBdr>
        <w:top w:val="none" w:sz="0" w:space="0" w:color="auto"/>
        <w:left w:val="none" w:sz="0" w:space="0" w:color="auto"/>
        <w:bottom w:val="none" w:sz="0" w:space="0" w:color="auto"/>
        <w:right w:val="none" w:sz="0" w:space="0" w:color="auto"/>
      </w:divBdr>
    </w:div>
    <w:div w:id="476840871">
      <w:bodyDiv w:val="1"/>
      <w:marLeft w:val="0"/>
      <w:marRight w:val="0"/>
      <w:marTop w:val="0"/>
      <w:marBottom w:val="0"/>
      <w:divBdr>
        <w:top w:val="none" w:sz="0" w:space="0" w:color="auto"/>
        <w:left w:val="none" w:sz="0" w:space="0" w:color="auto"/>
        <w:bottom w:val="none" w:sz="0" w:space="0" w:color="auto"/>
        <w:right w:val="none" w:sz="0" w:space="0" w:color="auto"/>
      </w:divBdr>
    </w:div>
    <w:div w:id="476845845">
      <w:bodyDiv w:val="1"/>
      <w:marLeft w:val="0"/>
      <w:marRight w:val="0"/>
      <w:marTop w:val="0"/>
      <w:marBottom w:val="0"/>
      <w:divBdr>
        <w:top w:val="none" w:sz="0" w:space="0" w:color="auto"/>
        <w:left w:val="none" w:sz="0" w:space="0" w:color="auto"/>
        <w:bottom w:val="none" w:sz="0" w:space="0" w:color="auto"/>
        <w:right w:val="none" w:sz="0" w:space="0" w:color="auto"/>
      </w:divBdr>
    </w:div>
    <w:div w:id="476917506">
      <w:bodyDiv w:val="1"/>
      <w:marLeft w:val="0"/>
      <w:marRight w:val="0"/>
      <w:marTop w:val="0"/>
      <w:marBottom w:val="0"/>
      <w:divBdr>
        <w:top w:val="none" w:sz="0" w:space="0" w:color="auto"/>
        <w:left w:val="none" w:sz="0" w:space="0" w:color="auto"/>
        <w:bottom w:val="none" w:sz="0" w:space="0" w:color="auto"/>
        <w:right w:val="none" w:sz="0" w:space="0" w:color="auto"/>
      </w:divBdr>
    </w:div>
    <w:div w:id="476924607">
      <w:bodyDiv w:val="1"/>
      <w:marLeft w:val="0"/>
      <w:marRight w:val="0"/>
      <w:marTop w:val="0"/>
      <w:marBottom w:val="0"/>
      <w:divBdr>
        <w:top w:val="none" w:sz="0" w:space="0" w:color="auto"/>
        <w:left w:val="none" w:sz="0" w:space="0" w:color="auto"/>
        <w:bottom w:val="none" w:sz="0" w:space="0" w:color="auto"/>
        <w:right w:val="none" w:sz="0" w:space="0" w:color="auto"/>
      </w:divBdr>
    </w:div>
    <w:div w:id="476995943">
      <w:bodyDiv w:val="1"/>
      <w:marLeft w:val="0"/>
      <w:marRight w:val="0"/>
      <w:marTop w:val="0"/>
      <w:marBottom w:val="0"/>
      <w:divBdr>
        <w:top w:val="none" w:sz="0" w:space="0" w:color="auto"/>
        <w:left w:val="none" w:sz="0" w:space="0" w:color="auto"/>
        <w:bottom w:val="none" w:sz="0" w:space="0" w:color="auto"/>
        <w:right w:val="none" w:sz="0" w:space="0" w:color="auto"/>
      </w:divBdr>
    </w:div>
    <w:div w:id="476995984">
      <w:bodyDiv w:val="1"/>
      <w:marLeft w:val="0"/>
      <w:marRight w:val="0"/>
      <w:marTop w:val="0"/>
      <w:marBottom w:val="0"/>
      <w:divBdr>
        <w:top w:val="none" w:sz="0" w:space="0" w:color="auto"/>
        <w:left w:val="none" w:sz="0" w:space="0" w:color="auto"/>
        <w:bottom w:val="none" w:sz="0" w:space="0" w:color="auto"/>
        <w:right w:val="none" w:sz="0" w:space="0" w:color="auto"/>
      </w:divBdr>
    </w:div>
    <w:div w:id="477187200">
      <w:bodyDiv w:val="1"/>
      <w:marLeft w:val="0"/>
      <w:marRight w:val="0"/>
      <w:marTop w:val="0"/>
      <w:marBottom w:val="0"/>
      <w:divBdr>
        <w:top w:val="none" w:sz="0" w:space="0" w:color="auto"/>
        <w:left w:val="none" w:sz="0" w:space="0" w:color="auto"/>
        <w:bottom w:val="none" w:sz="0" w:space="0" w:color="auto"/>
        <w:right w:val="none" w:sz="0" w:space="0" w:color="auto"/>
      </w:divBdr>
    </w:div>
    <w:div w:id="477264181">
      <w:bodyDiv w:val="1"/>
      <w:marLeft w:val="0"/>
      <w:marRight w:val="0"/>
      <w:marTop w:val="0"/>
      <w:marBottom w:val="0"/>
      <w:divBdr>
        <w:top w:val="none" w:sz="0" w:space="0" w:color="auto"/>
        <w:left w:val="none" w:sz="0" w:space="0" w:color="auto"/>
        <w:bottom w:val="none" w:sz="0" w:space="0" w:color="auto"/>
        <w:right w:val="none" w:sz="0" w:space="0" w:color="auto"/>
      </w:divBdr>
    </w:div>
    <w:div w:id="477265287">
      <w:bodyDiv w:val="1"/>
      <w:marLeft w:val="0"/>
      <w:marRight w:val="0"/>
      <w:marTop w:val="0"/>
      <w:marBottom w:val="0"/>
      <w:divBdr>
        <w:top w:val="none" w:sz="0" w:space="0" w:color="auto"/>
        <w:left w:val="none" w:sz="0" w:space="0" w:color="auto"/>
        <w:bottom w:val="none" w:sz="0" w:space="0" w:color="auto"/>
        <w:right w:val="none" w:sz="0" w:space="0" w:color="auto"/>
      </w:divBdr>
    </w:div>
    <w:div w:id="477265394">
      <w:bodyDiv w:val="1"/>
      <w:marLeft w:val="0"/>
      <w:marRight w:val="0"/>
      <w:marTop w:val="0"/>
      <w:marBottom w:val="0"/>
      <w:divBdr>
        <w:top w:val="none" w:sz="0" w:space="0" w:color="auto"/>
        <w:left w:val="none" w:sz="0" w:space="0" w:color="auto"/>
        <w:bottom w:val="none" w:sz="0" w:space="0" w:color="auto"/>
        <w:right w:val="none" w:sz="0" w:space="0" w:color="auto"/>
      </w:divBdr>
    </w:div>
    <w:div w:id="477303423">
      <w:bodyDiv w:val="1"/>
      <w:marLeft w:val="0"/>
      <w:marRight w:val="0"/>
      <w:marTop w:val="0"/>
      <w:marBottom w:val="0"/>
      <w:divBdr>
        <w:top w:val="none" w:sz="0" w:space="0" w:color="auto"/>
        <w:left w:val="none" w:sz="0" w:space="0" w:color="auto"/>
        <w:bottom w:val="none" w:sz="0" w:space="0" w:color="auto"/>
        <w:right w:val="none" w:sz="0" w:space="0" w:color="auto"/>
      </w:divBdr>
    </w:div>
    <w:div w:id="477574221">
      <w:bodyDiv w:val="1"/>
      <w:marLeft w:val="0"/>
      <w:marRight w:val="0"/>
      <w:marTop w:val="0"/>
      <w:marBottom w:val="0"/>
      <w:divBdr>
        <w:top w:val="none" w:sz="0" w:space="0" w:color="auto"/>
        <w:left w:val="none" w:sz="0" w:space="0" w:color="auto"/>
        <w:bottom w:val="none" w:sz="0" w:space="0" w:color="auto"/>
        <w:right w:val="none" w:sz="0" w:space="0" w:color="auto"/>
      </w:divBdr>
    </w:div>
    <w:div w:id="477575596">
      <w:bodyDiv w:val="1"/>
      <w:marLeft w:val="0"/>
      <w:marRight w:val="0"/>
      <w:marTop w:val="0"/>
      <w:marBottom w:val="0"/>
      <w:divBdr>
        <w:top w:val="none" w:sz="0" w:space="0" w:color="auto"/>
        <w:left w:val="none" w:sz="0" w:space="0" w:color="auto"/>
        <w:bottom w:val="none" w:sz="0" w:space="0" w:color="auto"/>
        <w:right w:val="none" w:sz="0" w:space="0" w:color="auto"/>
      </w:divBdr>
    </w:div>
    <w:div w:id="477646261">
      <w:bodyDiv w:val="1"/>
      <w:marLeft w:val="0"/>
      <w:marRight w:val="0"/>
      <w:marTop w:val="0"/>
      <w:marBottom w:val="0"/>
      <w:divBdr>
        <w:top w:val="none" w:sz="0" w:space="0" w:color="auto"/>
        <w:left w:val="none" w:sz="0" w:space="0" w:color="auto"/>
        <w:bottom w:val="none" w:sz="0" w:space="0" w:color="auto"/>
        <w:right w:val="none" w:sz="0" w:space="0" w:color="auto"/>
      </w:divBdr>
    </w:div>
    <w:div w:id="477655165">
      <w:bodyDiv w:val="1"/>
      <w:marLeft w:val="0"/>
      <w:marRight w:val="0"/>
      <w:marTop w:val="0"/>
      <w:marBottom w:val="0"/>
      <w:divBdr>
        <w:top w:val="none" w:sz="0" w:space="0" w:color="auto"/>
        <w:left w:val="none" w:sz="0" w:space="0" w:color="auto"/>
        <w:bottom w:val="none" w:sz="0" w:space="0" w:color="auto"/>
        <w:right w:val="none" w:sz="0" w:space="0" w:color="auto"/>
      </w:divBdr>
    </w:div>
    <w:div w:id="477722683">
      <w:bodyDiv w:val="1"/>
      <w:marLeft w:val="0"/>
      <w:marRight w:val="0"/>
      <w:marTop w:val="0"/>
      <w:marBottom w:val="0"/>
      <w:divBdr>
        <w:top w:val="none" w:sz="0" w:space="0" w:color="auto"/>
        <w:left w:val="none" w:sz="0" w:space="0" w:color="auto"/>
        <w:bottom w:val="none" w:sz="0" w:space="0" w:color="auto"/>
        <w:right w:val="none" w:sz="0" w:space="0" w:color="auto"/>
      </w:divBdr>
    </w:div>
    <w:div w:id="477768515">
      <w:bodyDiv w:val="1"/>
      <w:marLeft w:val="0"/>
      <w:marRight w:val="0"/>
      <w:marTop w:val="0"/>
      <w:marBottom w:val="0"/>
      <w:divBdr>
        <w:top w:val="none" w:sz="0" w:space="0" w:color="auto"/>
        <w:left w:val="none" w:sz="0" w:space="0" w:color="auto"/>
        <w:bottom w:val="none" w:sz="0" w:space="0" w:color="auto"/>
        <w:right w:val="none" w:sz="0" w:space="0" w:color="auto"/>
      </w:divBdr>
    </w:div>
    <w:div w:id="477841713">
      <w:bodyDiv w:val="1"/>
      <w:marLeft w:val="0"/>
      <w:marRight w:val="0"/>
      <w:marTop w:val="0"/>
      <w:marBottom w:val="0"/>
      <w:divBdr>
        <w:top w:val="none" w:sz="0" w:space="0" w:color="auto"/>
        <w:left w:val="none" w:sz="0" w:space="0" w:color="auto"/>
        <w:bottom w:val="none" w:sz="0" w:space="0" w:color="auto"/>
        <w:right w:val="none" w:sz="0" w:space="0" w:color="auto"/>
      </w:divBdr>
    </w:div>
    <w:div w:id="477962637">
      <w:bodyDiv w:val="1"/>
      <w:marLeft w:val="0"/>
      <w:marRight w:val="0"/>
      <w:marTop w:val="0"/>
      <w:marBottom w:val="0"/>
      <w:divBdr>
        <w:top w:val="none" w:sz="0" w:space="0" w:color="auto"/>
        <w:left w:val="none" w:sz="0" w:space="0" w:color="auto"/>
        <w:bottom w:val="none" w:sz="0" w:space="0" w:color="auto"/>
        <w:right w:val="none" w:sz="0" w:space="0" w:color="auto"/>
      </w:divBdr>
    </w:div>
    <w:div w:id="478112492">
      <w:bodyDiv w:val="1"/>
      <w:marLeft w:val="0"/>
      <w:marRight w:val="0"/>
      <w:marTop w:val="0"/>
      <w:marBottom w:val="0"/>
      <w:divBdr>
        <w:top w:val="none" w:sz="0" w:space="0" w:color="auto"/>
        <w:left w:val="none" w:sz="0" w:space="0" w:color="auto"/>
        <w:bottom w:val="none" w:sz="0" w:space="0" w:color="auto"/>
        <w:right w:val="none" w:sz="0" w:space="0" w:color="auto"/>
      </w:divBdr>
    </w:div>
    <w:div w:id="478151431">
      <w:bodyDiv w:val="1"/>
      <w:marLeft w:val="0"/>
      <w:marRight w:val="0"/>
      <w:marTop w:val="0"/>
      <w:marBottom w:val="0"/>
      <w:divBdr>
        <w:top w:val="none" w:sz="0" w:space="0" w:color="auto"/>
        <w:left w:val="none" w:sz="0" w:space="0" w:color="auto"/>
        <w:bottom w:val="none" w:sz="0" w:space="0" w:color="auto"/>
        <w:right w:val="none" w:sz="0" w:space="0" w:color="auto"/>
      </w:divBdr>
    </w:div>
    <w:div w:id="478157820">
      <w:bodyDiv w:val="1"/>
      <w:marLeft w:val="0"/>
      <w:marRight w:val="0"/>
      <w:marTop w:val="0"/>
      <w:marBottom w:val="0"/>
      <w:divBdr>
        <w:top w:val="none" w:sz="0" w:space="0" w:color="auto"/>
        <w:left w:val="none" w:sz="0" w:space="0" w:color="auto"/>
        <w:bottom w:val="none" w:sz="0" w:space="0" w:color="auto"/>
        <w:right w:val="none" w:sz="0" w:space="0" w:color="auto"/>
      </w:divBdr>
    </w:div>
    <w:div w:id="478226735">
      <w:bodyDiv w:val="1"/>
      <w:marLeft w:val="0"/>
      <w:marRight w:val="0"/>
      <w:marTop w:val="0"/>
      <w:marBottom w:val="0"/>
      <w:divBdr>
        <w:top w:val="none" w:sz="0" w:space="0" w:color="auto"/>
        <w:left w:val="none" w:sz="0" w:space="0" w:color="auto"/>
        <w:bottom w:val="none" w:sz="0" w:space="0" w:color="auto"/>
        <w:right w:val="none" w:sz="0" w:space="0" w:color="auto"/>
      </w:divBdr>
    </w:div>
    <w:div w:id="478351995">
      <w:bodyDiv w:val="1"/>
      <w:marLeft w:val="0"/>
      <w:marRight w:val="0"/>
      <w:marTop w:val="0"/>
      <w:marBottom w:val="0"/>
      <w:divBdr>
        <w:top w:val="none" w:sz="0" w:space="0" w:color="auto"/>
        <w:left w:val="none" w:sz="0" w:space="0" w:color="auto"/>
        <w:bottom w:val="none" w:sz="0" w:space="0" w:color="auto"/>
        <w:right w:val="none" w:sz="0" w:space="0" w:color="auto"/>
      </w:divBdr>
    </w:div>
    <w:div w:id="478378966">
      <w:bodyDiv w:val="1"/>
      <w:marLeft w:val="0"/>
      <w:marRight w:val="0"/>
      <w:marTop w:val="0"/>
      <w:marBottom w:val="0"/>
      <w:divBdr>
        <w:top w:val="none" w:sz="0" w:space="0" w:color="auto"/>
        <w:left w:val="none" w:sz="0" w:space="0" w:color="auto"/>
        <w:bottom w:val="none" w:sz="0" w:space="0" w:color="auto"/>
        <w:right w:val="none" w:sz="0" w:space="0" w:color="auto"/>
      </w:divBdr>
    </w:div>
    <w:div w:id="478379803">
      <w:bodyDiv w:val="1"/>
      <w:marLeft w:val="0"/>
      <w:marRight w:val="0"/>
      <w:marTop w:val="0"/>
      <w:marBottom w:val="0"/>
      <w:divBdr>
        <w:top w:val="none" w:sz="0" w:space="0" w:color="auto"/>
        <w:left w:val="none" w:sz="0" w:space="0" w:color="auto"/>
        <w:bottom w:val="none" w:sz="0" w:space="0" w:color="auto"/>
        <w:right w:val="none" w:sz="0" w:space="0" w:color="auto"/>
      </w:divBdr>
    </w:div>
    <w:div w:id="478425400">
      <w:bodyDiv w:val="1"/>
      <w:marLeft w:val="0"/>
      <w:marRight w:val="0"/>
      <w:marTop w:val="0"/>
      <w:marBottom w:val="0"/>
      <w:divBdr>
        <w:top w:val="none" w:sz="0" w:space="0" w:color="auto"/>
        <w:left w:val="none" w:sz="0" w:space="0" w:color="auto"/>
        <w:bottom w:val="none" w:sz="0" w:space="0" w:color="auto"/>
        <w:right w:val="none" w:sz="0" w:space="0" w:color="auto"/>
      </w:divBdr>
    </w:div>
    <w:div w:id="478544764">
      <w:bodyDiv w:val="1"/>
      <w:marLeft w:val="0"/>
      <w:marRight w:val="0"/>
      <w:marTop w:val="0"/>
      <w:marBottom w:val="0"/>
      <w:divBdr>
        <w:top w:val="none" w:sz="0" w:space="0" w:color="auto"/>
        <w:left w:val="none" w:sz="0" w:space="0" w:color="auto"/>
        <w:bottom w:val="none" w:sz="0" w:space="0" w:color="auto"/>
        <w:right w:val="none" w:sz="0" w:space="0" w:color="auto"/>
      </w:divBdr>
    </w:div>
    <w:div w:id="478576333">
      <w:bodyDiv w:val="1"/>
      <w:marLeft w:val="0"/>
      <w:marRight w:val="0"/>
      <w:marTop w:val="0"/>
      <w:marBottom w:val="0"/>
      <w:divBdr>
        <w:top w:val="none" w:sz="0" w:space="0" w:color="auto"/>
        <w:left w:val="none" w:sz="0" w:space="0" w:color="auto"/>
        <w:bottom w:val="none" w:sz="0" w:space="0" w:color="auto"/>
        <w:right w:val="none" w:sz="0" w:space="0" w:color="auto"/>
      </w:divBdr>
    </w:div>
    <w:div w:id="478771011">
      <w:bodyDiv w:val="1"/>
      <w:marLeft w:val="0"/>
      <w:marRight w:val="0"/>
      <w:marTop w:val="0"/>
      <w:marBottom w:val="0"/>
      <w:divBdr>
        <w:top w:val="none" w:sz="0" w:space="0" w:color="auto"/>
        <w:left w:val="none" w:sz="0" w:space="0" w:color="auto"/>
        <w:bottom w:val="none" w:sz="0" w:space="0" w:color="auto"/>
        <w:right w:val="none" w:sz="0" w:space="0" w:color="auto"/>
      </w:divBdr>
    </w:div>
    <w:div w:id="478771964">
      <w:bodyDiv w:val="1"/>
      <w:marLeft w:val="0"/>
      <w:marRight w:val="0"/>
      <w:marTop w:val="0"/>
      <w:marBottom w:val="0"/>
      <w:divBdr>
        <w:top w:val="none" w:sz="0" w:space="0" w:color="auto"/>
        <w:left w:val="none" w:sz="0" w:space="0" w:color="auto"/>
        <w:bottom w:val="none" w:sz="0" w:space="0" w:color="auto"/>
        <w:right w:val="none" w:sz="0" w:space="0" w:color="auto"/>
      </w:divBdr>
    </w:div>
    <w:div w:id="478810728">
      <w:bodyDiv w:val="1"/>
      <w:marLeft w:val="0"/>
      <w:marRight w:val="0"/>
      <w:marTop w:val="0"/>
      <w:marBottom w:val="0"/>
      <w:divBdr>
        <w:top w:val="none" w:sz="0" w:space="0" w:color="auto"/>
        <w:left w:val="none" w:sz="0" w:space="0" w:color="auto"/>
        <w:bottom w:val="none" w:sz="0" w:space="0" w:color="auto"/>
        <w:right w:val="none" w:sz="0" w:space="0" w:color="auto"/>
      </w:divBdr>
    </w:div>
    <w:div w:id="478957354">
      <w:bodyDiv w:val="1"/>
      <w:marLeft w:val="0"/>
      <w:marRight w:val="0"/>
      <w:marTop w:val="0"/>
      <w:marBottom w:val="0"/>
      <w:divBdr>
        <w:top w:val="none" w:sz="0" w:space="0" w:color="auto"/>
        <w:left w:val="none" w:sz="0" w:space="0" w:color="auto"/>
        <w:bottom w:val="none" w:sz="0" w:space="0" w:color="auto"/>
        <w:right w:val="none" w:sz="0" w:space="0" w:color="auto"/>
      </w:divBdr>
    </w:div>
    <w:div w:id="479031571">
      <w:bodyDiv w:val="1"/>
      <w:marLeft w:val="0"/>
      <w:marRight w:val="0"/>
      <w:marTop w:val="0"/>
      <w:marBottom w:val="0"/>
      <w:divBdr>
        <w:top w:val="none" w:sz="0" w:space="0" w:color="auto"/>
        <w:left w:val="none" w:sz="0" w:space="0" w:color="auto"/>
        <w:bottom w:val="none" w:sz="0" w:space="0" w:color="auto"/>
        <w:right w:val="none" w:sz="0" w:space="0" w:color="auto"/>
      </w:divBdr>
    </w:div>
    <w:div w:id="479201019">
      <w:bodyDiv w:val="1"/>
      <w:marLeft w:val="0"/>
      <w:marRight w:val="0"/>
      <w:marTop w:val="0"/>
      <w:marBottom w:val="0"/>
      <w:divBdr>
        <w:top w:val="none" w:sz="0" w:space="0" w:color="auto"/>
        <w:left w:val="none" w:sz="0" w:space="0" w:color="auto"/>
        <w:bottom w:val="none" w:sz="0" w:space="0" w:color="auto"/>
        <w:right w:val="none" w:sz="0" w:space="0" w:color="auto"/>
      </w:divBdr>
    </w:div>
    <w:div w:id="479614347">
      <w:bodyDiv w:val="1"/>
      <w:marLeft w:val="0"/>
      <w:marRight w:val="0"/>
      <w:marTop w:val="0"/>
      <w:marBottom w:val="0"/>
      <w:divBdr>
        <w:top w:val="none" w:sz="0" w:space="0" w:color="auto"/>
        <w:left w:val="none" w:sz="0" w:space="0" w:color="auto"/>
        <w:bottom w:val="none" w:sz="0" w:space="0" w:color="auto"/>
        <w:right w:val="none" w:sz="0" w:space="0" w:color="auto"/>
      </w:divBdr>
    </w:div>
    <w:div w:id="479688225">
      <w:bodyDiv w:val="1"/>
      <w:marLeft w:val="0"/>
      <w:marRight w:val="0"/>
      <w:marTop w:val="0"/>
      <w:marBottom w:val="0"/>
      <w:divBdr>
        <w:top w:val="none" w:sz="0" w:space="0" w:color="auto"/>
        <w:left w:val="none" w:sz="0" w:space="0" w:color="auto"/>
        <w:bottom w:val="none" w:sz="0" w:space="0" w:color="auto"/>
        <w:right w:val="none" w:sz="0" w:space="0" w:color="auto"/>
      </w:divBdr>
    </w:div>
    <w:div w:id="479883805">
      <w:bodyDiv w:val="1"/>
      <w:marLeft w:val="0"/>
      <w:marRight w:val="0"/>
      <w:marTop w:val="0"/>
      <w:marBottom w:val="0"/>
      <w:divBdr>
        <w:top w:val="none" w:sz="0" w:space="0" w:color="auto"/>
        <w:left w:val="none" w:sz="0" w:space="0" w:color="auto"/>
        <w:bottom w:val="none" w:sz="0" w:space="0" w:color="auto"/>
        <w:right w:val="none" w:sz="0" w:space="0" w:color="auto"/>
      </w:divBdr>
    </w:div>
    <w:div w:id="479923053">
      <w:bodyDiv w:val="1"/>
      <w:marLeft w:val="0"/>
      <w:marRight w:val="0"/>
      <w:marTop w:val="0"/>
      <w:marBottom w:val="0"/>
      <w:divBdr>
        <w:top w:val="none" w:sz="0" w:space="0" w:color="auto"/>
        <w:left w:val="none" w:sz="0" w:space="0" w:color="auto"/>
        <w:bottom w:val="none" w:sz="0" w:space="0" w:color="auto"/>
        <w:right w:val="none" w:sz="0" w:space="0" w:color="auto"/>
      </w:divBdr>
    </w:div>
    <w:div w:id="479931961">
      <w:bodyDiv w:val="1"/>
      <w:marLeft w:val="0"/>
      <w:marRight w:val="0"/>
      <w:marTop w:val="0"/>
      <w:marBottom w:val="0"/>
      <w:divBdr>
        <w:top w:val="none" w:sz="0" w:space="0" w:color="auto"/>
        <w:left w:val="none" w:sz="0" w:space="0" w:color="auto"/>
        <w:bottom w:val="none" w:sz="0" w:space="0" w:color="auto"/>
        <w:right w:val="none" w:sz="0" w:space="0" w:color="auto"/>
      </w:divBdr>
    </w:div>
    <w:div w:id="480000211">
      <w:bodyDiv w:val="1"/>
      <w:marLeft w:val="0"/>
      <w:marRight w:val="0"/>
      <w:marTop w:val="0"/>
      <w:marBottom w:val="0"/>
      <w:divBdr>
        <w:top w:val="none" w:sz="0" w:space="0" w:color="auto"/>
        <w:left w:val="none" w:sz="0" w:space="0" w:color="auto"/>
        <w:bottom w:val="none" w:sz="0" w:space="0" w:color="auto"/>
        <w:right w:val="none" w:sz="0" w:space="0" w:color="auto"/>
      </w:divBdr>
    </w:div>
    <w:div w:id="480000412">
      <w:bodyDiv w:val="1"/>
      <w:marLeft w:val="0"/>
      <w:marRight w:val="0"/>
      <w:marTop w:val="0"/>
      <w:marBottom w:val="0"/>
      <w:divBdr>
        <w:top w:val="none" w:sz="0" w:space="0" w:color="auto"/>
        <w:left w:val="none" w:sz="0" w:space="0" w:color="auto"/>
        <w:bottom w:val="none" w:sz="0" w:space="0" w:color="auto"/>
        <w:right w:val="none" w:sz="0" w:space="0" w:color="auto"/>
      </w:divBdr>
    </w:div>
    <w:div w:id="480077836">
      <w:bodyDiv w:val="1"/>
      <w:marLeft w:val="0"/>
      <w:marRight w:val="0"/>
      <w:marTop w:val="0"/>
      <w:marBottom w:val="0"/>
      <w:divBdr>
        <w:top w:val="none" w:sz="0" w:space="0" w:color="auto"/>
        <w:left w:val="none" w:sz="0" w:space="0" w:color="auto"/>
        <w:bottom w:val="none" w:sz="0" w:space="0" w:color="auto"/>
        <w:right w:val="none" w:sz="0" w:space="0" w:color="auto"/>
      </w:divBdr>
    </w:div>
    <w:div w:id="480124429">
      <w:bodyDiv w:val="1"/>
      <w:marLeft w:val="0"/>
      <w:marRight w:val="0"/>
      <w:marTop w:val="0"/>
      <w:marBottom w:val="0"/>
      <w:divBdr>
        <w:top w:val="none" w:sz="0" w:space="0" w:color="auto"/>
        <w:left w:val="none" w:sz="0" w:space="0" w:color="auto"/>
        <w:bottom w:val="none" w:sz="0" w:space="0" w:color="auto"/>
        <w:right w:val="none" w:sz="0" w:space="0" w:color="auto"/>
      </w:divBdr>
    </w:div>
    <w:div w:id="480195580">
      <w:bodyDiv w:val="1"/>
      <w:marLeft w:val="0"/>
      <w:marRight w:val="0"/>
      <w:marTop w:val="0"/>
      <w:marBottom w:val="0"/>
      <w:divBdr>
        <w:top w:val="none" w:sz="0" w:space="0" w:color="auto"/>
        <w:left w:val="none" w:sz="0" w:space="0" w:color="auto"/>
        <w:bottom w:val="none" w:sz="0" w:space="0" w:color="auto"/>
        <w:right w:val="none" w:sz="0" w:space="0" w:color="auto"/>
      </w:divBdr>
    </w:div>
    <w:div w:id="480196616">
      <w:bodyDiv w:val="1"/>
      <w:marLeft w:val="0"/>
      <w:marRight w:val="0"/>
      <w:marTop w:val="0"/>
      <w:marBottom w:val="0"/>
      <w:divBdr>
        <w:top w:val="none" w:sz="0" w:space="0" w:color="auto"/>
        <w:left w:val="none" w:sz="0" w:space="0" w:color="auto"/>
        <w:bottom w:val="none" w:sz="0" w:space="0" w:color="auto"/>
        <w:right w:val="none" w:sz="0" w:space="0" w:color="auto"/>
      </w:divBdr>
    </w:div>
    <w:div w:id="480273770">
      <w:bodyDiv w:val="1"/>
      <w:marLeft w:val="0"/>
      <w:marRight w:val="0"/>
      <w:marTop w:val="0"/>
      <w:marBottom w:val="0"/>
      <w:divBdr>
        <w:top w:val="none" w:sz="0" w:space="0" w:color="auto"/>
        <w:left w:val="none" w:sz="0" w:space="0" w:color="auto"/>
        <w:bottom w:val="none" w:sz="0" w:space="0" w:color="auto"/>
        <w:right w:val="none" w:sz="0" w:space="0" w:color="auto"/>
      </w:divBdr>
    </w:div>
    <w:div w:id="480773316">
      <w:bodyDiv w:val="1"/>
      <w:marLeft w:val="0"/>
      <w:marRight w:val="0"/>
      <w:marTop w:val="0"/>
      <w:marBottom w:val="0"/>
      <w:divBdr>
        <w:top w:val="none" w:sz="0" w:space="0" w:color="auto"/>
        <w:left w:val="none" w:sz="0" w:space="0" w:color="auto"/>
        <w:bottom w:val="none" w:sz="0" w:space="0" w:color="auto"/>
        <w:right w:val="none" w:sz="0" w:space="0" w:color="auto"/>
      </w:divBdr>
    </w:div>
    <w:div w:id="480780178">
      <w:bodyDiv w:val="1"/>
      <w:marLeft w:val="0"/>
      <w:marRight w:val="0"/>
      <w:marTop w:val="0"/>
      <w:marBottom w:val="0"/>
      <w:divBdr>
        <w:top w:val="none" w:sz="0" w:space="0" w:color="auto"/>
        <w:left w:val="none" w:sz="0" w:space="0" w:color="auto"/>
        <w:bottom w:val="none" w:sz="0" w:space="0" w:color="auto"/>
        <w:right w:val="none" w:sz="0" w:space="0" w:color="auto"/>
      </w:divBdr>
    </w:div>
    <w:div w:id="480804375">
      <w:bodyDiv w:val="1"/>
      <w:marLeft w:val="0"/>
      <w:marRight w:val="0"/>
      <w:marTop w:val="0"/>
      <w:marBottom w:val="0"/>
      <w:divBdr>
        <w:top w:val="none" w:sz="0" w:space="0" w:color="auto"/>
        <w:left w:val="none" w:sz="0" w:space="0" w:color="auto"/>
        <w:bottom w:val="none" w:sz="0" w:space="0" w:color="auto"/>
        <w:right w:val="none" w:sz="0" w:space="0" w:color="auto"/>
      </w:divBdr>
    </w:div>
    <w:div w:id="480847303">
      <w:bodyDiv w:val="1"/>
      <w:marLeft w:val="0"/>
      <w:marRight w:val="0"/>
      <w:marTop w:val="0"/>
      <w:marBottom w:val="0"/>
      <w:divBdr>
        <w:top w:val="none" w:sz="0" w:space="0" w:color="auto"/>
        <w:left w:val="none" w:sz="0" w:space="0" w:color="auto"/>
        <w:bottom w:val="none" w:sz="0" w:space="0" w:color="auto"/>
        <w:right w:val="none" w:sz="0" w:space="0" w:color="auto"/>
      </w:divBdr>
    </w:div>
    <w:div w:id="480852028">
      <w:bodyDiv w:val="1"/>
      <w:marLeft w:val="0"/>
      <w:marRight w:val="0"/>
      <w:marTop w:val="0"/>
      <w:marBottom w:val="0"/>
      <w:divBdr>
        <w:top w:val="none" w:sz="0" w:space="0" w:color="auto"/>
        <w:left w:val="none" w:sz="0" w:space="0" w:color="auto"/>
        <w:bottom w:val="none" w:sz="0" w:space="0" w:color="auto"/>
        <w:right w:val="none" w:sz="0" w:space="0" w:color="auto"/>
      </w:divBdr>
    </w:div>
    <w:div w:id="480928780">
      <w:bodyDiv w:val="1"/>
      <w:marLeft w:val="0"/>
      <w:marRight w:val="0"/>
      <w:marTop w:val="0"/>
      <w:marBottom w:val="0"/>
      <w:divBdr>
        <w:top w:val="none" w:sz="0" w:space="0" w:color="auto"/>
        <w:left w:val="none" w:sz="0" w:space="0" w:color="auto"/>
        <w:bottom w:val="none" w:sz="0" w:space="0" w:color="auto"/>
        <w:right w:val="none" w:sz="0" w:space="0" w:color="auto"/>
      </w:divBdr>
    </w:div>
    <w:div w:id="481000706">
      <w:bodyDiv w:val="1"/>
      <w:marLeft w:val="0"/>
      <w:marRight w:val="0"/>
      <w:marTop w:val="0"/>
      <w:marBottom w:val="0"/>
      <w:divBdr>
        <w:top w:val="none" w:sz="0" w:space="0" w:color="auto"/>
        <w:left w:val="none" w:sz="0" w:space="0" w:color="auto"/>
        <w:bottom w:val="none" w:sz="0" w:space="0" w:color="auto"/>
        <w:right w:val="none" w:sz="0" w:space="0" w:color="auto"/>
      </w:divBdr>
    </w:div>
    <w:div w:id="481116810">
      <w:bodyDiv w:val="1"/>
      <w:marLeft w:val="0"/>
      <w:marRight w:val="0"/>
      <w:marTop w:val="0"/>
      <w:marBottom w:val="0"/>
      <w:divBdr>
        <w:top w:val="none" w:sz="0" w:space="0" w:color="auto"/>
        <w:left w:val="none" w:sz="0" w:space="0" w:color="auto"/>
        <w:bottom w:val="none" w:sz="0" w:space="0" w:color="auto"/>
        <w:right w:val="none" w:sz="0" w:space="0" w:color="auto"/>
      </w:divBdr>
    </w:div>
    <w:div w:id="481124550">
      <w:bodyDiv w:val="1"/>
      <w:marLeft w:val="0"/>
      <w:marRight w:val="0"/>
      <w:marTop w:val="0"/>
      <w:marBottom w:val="0"/>
      <w:divBdr>
        <w:top w:val="none" w:sz="0" w:space="0" w:color="auto"/>
        <w:left w:val="none" w:sz="0" w:space="0" w:color="auto"/>
        <w:bottom w:val="none" w:sz="0" w:space="0" w:color="auto"/>
        <w:right w:val="none" w:sz="0" w:space="0" w:color="auto"/>
      </w:divBdr>
    </w:div>
    <w:div w:id="481313648">
      <w:bodyDiv w:val="1"/>
      <w:marLeft w:val="0"/>
      <w:marRight w:val="0"/>
      <w:marTop w:val="0"/>
      <w:marBottom w:val="0"/>
      <w:divBdr>
        <w:top w:val="none" w:sz="0" w:space="0" w:color="auto"/>
        <w:left w:val="none" w:sz="0" w:space="0" w:color="auto"/>
        <w:bottom w:val="none" w:sz="0" w:space="0" w:color="auto"/>
        <w:right w:val="none" w:sz="0" w:space="0" w:color="auto"/>
      </w:divBdr>
    </w:div>
    <w:div w:id="481384494">
      <w:bodyDiv w:val="1"/>
      <w:marLeft w:val="0"/>
      <w:marRight w:val="0"/>
      <w:marTop w:val="0"/>
      <w:marBottom w:val="0"/>
      <w:divBdr>
        <w:top w:val="none" w:sz="0" w:space="0" w:color="auto"/>
        <w:left w:val="none" w:sz="0" w:space="0" w:color="auto"/>
        <w:bottom w:val="none" w:sz="0" w:space="0" w:color="auto"/>
        <w:right w:val="none" w:sz="0" w:space="0" w:color="auto"/>
      </w:divBdr>
    </w:div>
    <w:div w:id="481386098">
      <w:bodyDiv w:val="1"/>
      <w:marLeft w:val="0"/>
      <w:marRight w:val="0"/>
      <w:marTop w:val="0"/>
      <w:marBottom w:val="0"/>
      <w:divBdr>
        <w:top w:val="none" w:sz="0" w:space="0" w:color="auto"/>
        <w:left w:val="none" w:sz="0" w:space="0" w:color="auto"/>
        <w:bottom w:val="none" w:sz="0" w:space="0" w:color="auto"/>
        <w:right w:val="none" w:sz="0" w:space="0" w:color="auto"/>
      </w:divBdr>
    </w:div>
    <w:div w:id="481390867">
      <w:bodyDiv w:val="1"/>
      <w:marLeft w:val="0"/>
      <w:marRight w:val="0"/>
      <w:marTop w:val="0"/>
      <w:marBottom w:val="0"/>
      <w:divBdr>
        <w:top w:val="none" w:sz="0" w:space="0" w:color="auto"/>
        <w:left w:val="none" w:sz="0" w:space="0" w:color="auto"/>
        <w:bottom w:val="none" w:sz="0" w:space="0" w:color="auto"/>
        <w:right w:val="none" w:sz="0" w:space="0" w:color="auto"/>
      </w:divBdr>
    </w:div>
    <w:div w:id="481430099">
      <w:bodyDiv w:val="1"/>
      <w:marLeft w:val="0"/>
      <w:marRight w:val="0"/>
      <w:marTop w:val="0"/>
      <w:marBottom w:val="0"/>
      <w:divBdr>
        <w:top w:val="none" w:sz="0" w:space="0" w:color="auto"/>
        <w:left w:val="none" w:sz="0" w:space="0" w:color="auto"/>
        <w:bottom w:val="none" w:sz="0" w:space="0" w:color="auto"/>
        <w:right w:val="none" w:sz="0" w:space="0" w:color="auto"/>
      </w:divBdr>
    </w:div>
    <w:div w:id="481508601">
      <w:bodyDiv w:val="1"/>
      <w:marLeft w:val="0"/>
      <w:marRight w:val="0"/>
      <w:marTop w:val="0"/>
      <w:marBottom w:val="0"/>
      <w:divBdr>
        <w:top w:val="none" w:sz="0" w:space="0" w:color="auto"/>
        <w:left w:val="none" w:sz="0" w:space="0" w:color="auto"/>
        <w:bottom w:val="none" w:sz="0" w:space="0" w:color="auto"/>
        <w:right w:val="none" w:sz="0" w:space="0" w:color="auto"/>
      </w:divBdr>
    </w:div>
    <w:div w:id="481509288">
      <w:bodyDiv w:val="1"/>
      <w:marLeft w:val="0"/>
      <w:marRight w:val="0"/>
      <w:marTop w:val="0"/>
      <w:marBottom w:val="0"/>
      <w:divBdr>
        <w:top w:val="none" w:sz="0" w:space="0" w:color="auto"/>
        <w:left w:val="none" w:sz="0" w:space="0" w:color="auto"/>
        <w:bottom w:val="none" w:sz="0" w:space="0" w:color="auto"/>
        <w:right w:val="none" w:sz="0" w:space="0" w:color="auto"/>
      </w:divBdr>
    </w:div>
    <w:div w:id="481509618">
      <w:bodyDiv w:val="1"/>
      <w:marLeft w:val="0"/>
      <w:marRight w:val="0"/>
      <w:marTop w:val="0"/>
      <w:marBottom w:val="0"/>
      <w:divBdr>
        <w:top w:val="none" w:sz="0" w:space="0" w:color="auto"/>
        <w:left w:val="none" w:sz="0" w:space="0" w:color="auto"/>
        <w:bottom w:val="none" w:sz="0" w:space="0" w:color="auto"/>
        <w:right w:val="none" w:sz="0" w:space="0" w:color="auto"/>
      </w:divBdr>
    </w:div>
    <w:div w:id="481626092">
      <w:bodyDiv w:val="1"/>
      <w:marLeft w:val="0"/>
      <w:marRight w:val="0"/>
      <w:marTop w:val="0"/>
      <w:marBottom w:val="0"/>
      <w:divBdr>
        <w:top w:val="none" w:sz="0" w:space="0" w:color="auto"/>
        <w:left w:val="none" w:sz="0" w:space="0" w:color="auto"/>
        <w:bottom w:val="none" w:sz="0" w:space="0" w:color="auto"/>
        <w:right w:val="none" w:sz="0" w:space="0" w:color="auto"/>
      </w:divBdr>
    </w:div>
    <w:div w:id="481656290">
      <w:bodyDiv w:val="1"/>
      <w:marLeft w:val="0"/>
      <w:marRight w:val="0"/>
      <w:marTop w:val="0"/>
      <w:marBottom w:val="0"/>
      <w:divBdr>
        <w:top w:val="none" w:sz="0" w:space="0" w:color="auto"/>
        <w:left w:val="none" w:sz="0" w:space="0" w:color="auto"/>
        <w:bottom w:val="none" w:sz="0" w:space="0" w:color="auto"/>
        <w:right w:val="none" w:sz="0" w:space="0" w:color="auto"/>
      </w:divBdr>
    </w:div>
    <w:div w:id="481846902">
      <w:bodyDiv w:val="1"/>
      <w:marLeft w:val="0"/>
      <w:marRight w:val="0"/>
      <w:marTop w:val="0"/>
      <w:marBottom w:val="0"/>
      <w:divBdr>
        <w:top w:val="none" w:sz="0" w:space="0" w:color="auto"/>
        <w:left w:val="none" w:sz="0" w:space="0" w:color="auto"/>
        <w:bottom w:val="none" w:sz="0" w:space="0" w:color="auto"/>
        <w:right w:val="none" w:sz="0" w:space="0" w:color="auto"/>
      </w:divBdr>
    </w:div>
    <w:div w:id="482044509">
      <w:bodyDiv w:val="1"/>
      <w:marLeft w:val="0"/>
      <w:marRight w:val="0"/>
      <w:marTop w:val="0"/>
      <w:marBottom w:val="0"/>
      <w:divBdr>
        <w:top w:val="none" w:sz="0" w:space="0" w:color="auto"/>
        <w:left w:val="none" w:sz="0" w:space="0" w:color="auto"/>
        <w:bottom w:val="none" w:sz="0" w:space="0" w:color="auto"/>
        <w:right w:val="none" w:sz="0" w:space="0" w:color="auto"/>
      </w:divBdr>
    </w:div>
    <w:div w:id="482309057">
      <w:bodyDiv w:val="1"/>
      <w:marLeft w:val="0"/>
      <w:marRight w:val="0"/>
      <w:marTop w:val="0"/>
      <w:marBottom w:val="0"/>
      <w:divBdr>
        <w:top w:val="none" w:sz="0" w:space="0" w:color="auto"/>
        <w:left w:val="none" w:sz="0" w:space="0" w:color="auto"/>
        <w:bottom w:val="none" w:sz="0" w:space="0" w:color="auto"/>
        <w:right w:val="none" w:sz="0" w:space="0" w:color="auto"/>
      </w:divBdr>
    </w:div>
    <w:div w:id="482309254">
      <w:bodyDiv w:val="1"/>
      <w:marLeft w:val="0"/>
      <w:marRight w:val="0"/>
      <w:marTop w:val="0"/>
      <w:marBottom w:val="0"/>
      <w:divBdr>
        <w:top w:val="none" w:sz="0" w:space="0" w:color="auto"/>
        <w:left w:val="none" w:sz="0" w:space="0" w:color="auto"/>
        <w:bottom w:val="none" w:sz="0" w:space="0" w:color="auto"/>
        <w:right w:val="none" w:sz="0" w:space="0" w:color="auto"/>
      </w:divBdr>
    </w:div>
    <w:div w:id="482352605">
      <w:bodyDiv w:val="1"/>
      <w:marLeft w:val="0"/>
      <w:marRight w:val="0"/>
      <w:marTop w:val="0"/>
      <w:marBottom w:val="0"/>
      <w:divBdr>
        <w:top w:val="none" w:sz="0" w:space="0" w:color="auto"/>
        <w:left w:val="none" w:sz="0" w:space="0" w:color="auto"/>
        <w:bottom w:val="none" w:sz="0" w:space="0" w:color="auto"/>
        <w:right w:val="none" w:sz="0" w:space="0" w:color="auto"/>
      </w:divBdr>
    </w:div>
    <w:div w:id="482353221">
      <w:bodyDiv w:val="1"/>
      <w:marLeft w:val="0"/>
      <w:marRight w:val="0"/>
      <w:marTop w:val="0"/>
      <w:marBottom w:val="0"/>
      <w:divBdr>
        <w:top w:val="none" w:sz="0" w:space="0" w:color="auto"/>
        <w:left w:val="none" w:sz="0" w:space="0" w:color="auto"/>
        <w:bottom w:val="none" w:sz="0" w:space="0" w:color="auto"/>
        <w:right w:val="none" w:sz="0" w:space="0" w:color="auto"/>
      </w:divBdr>
    </w:div>
    <w:div w:id="482426852">
      <w:bodyDiv w:val="1"/>
      <w:marLeft w:val="0"/>
      <w:marRight w:val="0"/>
      <w:marTop w:val="0"/>
      <w:marBottom w:val="0"/>
      <w:divBdr>
        <w:top w:val="none" w:sz="0" w:space="0" w:color="auto"/>
        <w:left w:val="none" w:sz="0" w:space="0" w:color="auto"/>
        <w:bottom w:val="none" w:sz="0" w:space="0" w:color="auto"/>
        <w:right w:val="none" w:sz="0" w:space="0" w:color="auto"/>
      </w:divBdr>
    </w:div>
    <w:div w:id="482628146">
      <w:bodyDiv w:val="1"/>
      <w:marLeft w:val="0"/>
      <w:marRight w:val="0"/>
      <w:marTop w:val="0"/>
      <w:marBottom w:val="0"/>
      <w:divBdr>
        <w:top w:val="none" w:sz="0" w:space="0" w:color="auto"/>
        <w:left w:val="none" w:sz="0" w:space="0" w:color="auto"/>
        <w:bottom w:val="none" w:sz="0" w:space="0" w:color="auto"/>
        <w:right w:val="none" w:sz="0" w:space="0" w:color="auto"/>
      </w:divBdr>
    </w:div>
    <w:div w:id="482739699">
      <w:bodyDiv w:val="1"/>
      <w:marLeft w:val="0"/>
      <w:marRight w:val="0"/>
      <w:marTop w:val="0"/>
      <w:marBottom w:val="0"/>
      <w:divBdr>
        <w:top w:val="none" w:sz="0" w:space="0" w:color="auto"/>
        <w:left w:val="none" w:sz="0" w:space="0" w:color="auto"/>
        <w:bottom w:val="none" w:sz="0" w:space="0" w:color="auto"/>
        <w:right w:val="none" w:sz="0" w:space="0" w:color="auto"/>
      </w:divBdr>
    </w:div>
    <w:div w:id="482817005">
      <w:bodyDiv w:val="1"/>
      <w:marLeft w:val="0"/>
      <w:marRight w:val="0"/>
      <w:marTop w:val="0"/>
      <w:marBottom w:val="0"/>
      <w:divBdr>
        <w:top w:val="none" w:sz="0" w:space="0" w:color="auto"/>
        <w:left w:val="none" w:sz="0" w:space="0" w:color="auto"/>
        <w:bottom w:val="none" w:sz="0" w:space="0" w:color="auto"/>
        <w:right w:val="none" w:sz="0" w:space="0" w:color="auto"/>
      </w:divBdr>
    </w:div>
    <w:div w:id="482896369">
      <w:bodyDiv w:val="1"/>
      <w:marLeft w:val="0"/>
      <w:marRight w:val="0"/>
      <w:marTop w:val="0"/>
      <w:marBottom w:val="0"/>
      <w:divBdr>
        <w:top w:val="none" w:sz="0" w:space="0" w:color="auto"/>
        <w:left w:val="none" w:sz="0" w:space="0" w:color="auto"/>
        <w:bottom w:val="none" w:sz="0" w:space="0" w:color="auto"/>
        <w:right w:val="none" w:sz="0" w:space="0" w:color="auto"/>
      </w:divBdr>
    </w:div>
    <w:div w:id="482935482">
      <w:bodyDiv w:val="1"/>
      <w:marLeft w:val="0"/>
      <w:marRight w:val="0"/>
      <w:marTop w:val="0"/>
      <w:marBottom w:val="0"/>
      <w:divBdr>
        <w:top w:val="none" w:sz="0" w:space="0" w:color="auto"/>
        <w:left w:val="none" w:sz="0" w:space="0" w:color="auto"/>
        <w:bottom w:val="none" w:sz="0" w:space="0" w:color="auto"/>
        <w:right w:val="none" w:sz="0" w:space="0" w:color="auto"/>
      </w:divBdr>
    </w:div>
    <w:div w:id="482963496">
      <w:bodyDiv w:val="1"/>
      <w:marLeft w:val="0"/>
      <w:marRight w:val="0"/>
      <w:marTop w:val="0"/>
      <w:marBottom w:val="0"/>
      <w:divBdr>
        <w:top w:val="none" w:sz="0" w:space="0" w:color="auto"/>
        <w:left w:val="none" w:sz="0" w:space="0" w:color="auto"/>
        <w:bottom w:val="none" w:sz="0" w:space="0" w:color="auto"/>
        <w:right w:val="none" w:sz="0" w:space="0" w:color="auto"/>
      </w:divBdr>
    </w:div>
    <w:div w:id="483008490">
      <w:bodyDiv w:val="1"/>
      <w:marLeft w:val="0"/>
      <w:marRight w:val="0"/>
      <w:marTop w:val="0"/>
      <w:marBottom w:val="0"/>
      <w:divBdr>
        <w:top w:val="none" w:sz="0" w:space="0" w:color="auto"/>
        <w:left w:val="none" w:sz="0" w:space="0" w:color="auto"/>
        <w:bottom w:val="none" w:sz="0" w:space="0" w:color="auto"/>
        <w:right w:val="none" w:sz="0" w:space="0" w:color="auto"/>
      </w:divBdr>
    </w:div>
    <w:div w:id="483009893">
      <w:bodyDiv w:val="1"/>
      <w:marLeft w:val="0"/>
      <w:marRight w:val="0"/>
      <w:marTop w:val="0"/>
      <w:marBottom w:val="0"/>
      <w:divBdr>
        <w:top w:val="none" w:sz="0" w:space="0" w:color="auto"/>
        <w:left w:val="none" w:sz="0" w:space="0" w:color="auto"/>
        <w:bottom w:val="none" w:sz="0" w:space="0" w:color="auto"/>
        <w:right w:val="none" w:sz="0" w:space="0" w:color="auto"/>
      </w:divBdr>
    </w:div>
    <w:div w:id="483081336">
      <w:bodyDiv w:val="1"/>
      <w:marLeft w:val="0"/>
      <w:marRight w:val="0"/>
      <w:marTop w:val="0"/>
      <w:marBottom w:val="0"/>
      <w:divBdr>
        <w:top w:val="none" w:sz="0" w:space="0" w:color="auto"/>
        <w:left w:val="none" w:sz="0" w:space="0" w:color="auto"/>
        <w:bottom w:val="none" w:sz="0" w:space="0" w:color="auto"/>
        <w:right w:val="none" w:sz="0" w:space="0" w:color="auto"/>
      </w:divBdr>
    </w:div>
    <w:div w:id="483161937">
      <w:bodyDiv w:val="1"/>
      <w:marLeft w:val="0"/>
      <w:marRight w:val="0"/>
      <w:marTop w:val="0"/>
      <w:marBottom w:val="0"/>
      <w:divBdr>
        <w:top w:val="none" w:sz="0" w:space="0" w:color="auto"/>
        <w:left w:val="none" w:sz="0" w:space="0" w:color="auto"/>
        <w:bottom w:val="none" w:sz="0" w:space="0" w:color="auto"/>
        <w:right w:val="none" w:sz="0" w:space="0" w:color="auto"/>
      </w:divBdr>
    </w:div>
    <w:div w:id="483357227">
      <w:bodyDiv w:val="1"/>
      <w:marLeft w:val="0"/>
      <w:marRight w:val="0"/>
      <w:marTop w:val="0"/>
      <w:marBottom w:val="0"/>
      <w:divBdr>
        <w:top w:val="none" w:sz="0" w:space="0" w:color="auto"/>
        <w:left w:val="none" w:sz="0" w:space="0" w:color="auto"/>
        <w:bottom w:val="none" w:sz="0" w:space="0" w:color="auto"/>
        <w:right w:val="none" w:sz="0" w:space="0" w:color="auto"/>
      </w:divBdr>
    </w:div>
    <w:div w:id="483476062">
      <w:bodyDiv w:val="1"/>
      <w:marLeft w:val="0"/>
      <w:marRight w:val="0"/>
      <w:marTop w:val="0"/>
      <w:marBottom w:val="0"/>
      <w:divBdr>
        <w:top w:val="none" w:sz="0" w:space="0" w:color="auto"/>
        <w:left w:val="none" w:sz="0" w:space="0" w:color="auto"/>
        <w:bottom w:val="none" w:sz="0" w:space="0" w:color="auto"/>
        <w:right w:val="none" w:sz="0" w:space="0" w:color="auto"/>
      </w:divBdr>
    </w:div>
    <w:div w:id="483543745">
      <w:bodyDiv w:val="1"/>
      <w:marLeft w:val="0"/>
      <w:marRight w:val="0"/>
      <w:marTop w:val="0"/>
      <w:marBottom w:val="0"/>
      <w:divBdr>
        <w:top w:val="none" w:sz="0" w:space="0" w:color="auto"/>
        <w:left w:val="none" w:sz="0" w:space="0" w:color="auto"/>
        <w:bottom w:val="none" w:sz="0" w:space="0" w:color="auto"/>
        <w:right w:val="none" w:sz="0" w:space="0" w:color="auto"/>
      </w:divBdr>
    </w:div>
    <w:div w:id="483591335">
      <w:bodyDiv w:val="1"/>
      <w:marLeft w:val="0"/>
      <w:marRight w:val="0"/>
      <w:marTop w:val="0"/>
      <w:marBottom w:val="0"/>
      <w:divBdr>
        <w:top w:val="none" w:sz="0" w:space="0" w:color="auto"/>
        <w:left w:val="none" w:sz="0" w:space="0" w:color="auto"/>
        <w:bottom w:val="none" w:sz="0" w:space="0" w:color="auto"/>
        <w:right w:val="none" w:sz="0" w:space="0" w:color="auto"/>
      </w:divBdr>
    </w:div>
    <w:div w:id="483593192">
      <w:bodyDiv w:val="1"/>
      <w:marLeft w:val="0"/>
      <w:marRight w:val="0"/>
      <w:marTop w:val="0"/>
      <w:marBottom w:val="0"/>
      <w:divBdr>
        <w:top w:val="none" w:sz="0" w:space="0" w:color="auto"/>
        <w:left w:val="none" w:sz="0" w:space="0" w:color="auto"/>
        <w:bottom w:val="none" w:sz="0" w:space="0" w:color="auto"/>
        <w:right w:val="none" w:sz="0" w:space="0" w:color="auto"/>
      </w:divBdr>
    </w:div>
    <w:div w:id="483594320">
      <w:bodyDiv w:val="1"/>
      <w:marLeft w:val="0"/>
      <w:marRight w:val="0"/>
      <w:marTop w:val="0"/>
      <w:marBottom w:val="0"/>
      <w:divBdr>
        <w:top w:val="none" w:sz="0" w:space="0" w:color="auto"/>
        <w:left w:val="none" w:sz="0" w:space="0" w:color="auto"/>
        <w:bottom w:val="none" w:sz="0" w:space="0" w:color="auto"/>
        <w:right w:val="none" w:sz="0" w:space="0" w:color="auto"/>
      </w:divBdr>
    </w:div>
    <w:div w:id="483620911">
      <w:bodyDiv w:val="1"/>
      <w:marLeft w:val="0"/>
      <w:marRight w:val="0"/>
      <w:marTop w:val="0"/>
      <w:marBottom w:val="0"/>
      <w:divBdr>
        <w:top w:val="none" w:sz="0" w:space="0" w:color="auto"/>
        <w:left w:val="none" w:sz="0" w:space="0" w:color="auto"/>
        <w:bottom w:val="none" w:sz="0" w:space="0" w:color="auto"/>
        <w:right w:val="none" w:sz="0" w:space="0" w:color="auto"/>
      </w:divBdr>
    </w:div>
    <w:div w:id="483622611">
      <w:bodyDiv w:val="1"/>
      <w:marLeft w:val="0"/>
      <w:marRight w:val="0"/>
      <w:marTop w:val="0"/>
      <w:marBottom w:val="0"/>
      <w:divBdr>
        <w:top w:val="none" w:sz="0" w:space="0" w:color="auto"/>
        <w:left w:val="none" w:sz="0" w:space="0" w:color="auto"/>
        <w:bottom w:val="none" w:sz="0" w:space="0" w:color="auto"/>
        <w:right w:val="none" w:sz="0" w:space="0" w:color="auto"/>
      </w:divBdr>
    </w:div>
    <w:div w:id="483667981">
      <w:bodyDiv w:val="1"/>
      <w:marLeft w:val="0"/>
      <w:marRight w:val="0"/>
      <w:marTop w:val="0"/>
      <w:marBottom w:val="0"/>
      <w:divBdr>
        <w:top w:val="none" w:sz="0" w:space="0" w:color="auto"/>
        <w:left w:val="none" w:sz="0" w:space="0" w:color="auto"/>
        <w:bottom w:val="none" w:sz="0" w:space="0" w:color="auto"/>
        <w:right w:val="none" w:sz="0" w:space="0" w:color="auto"/>
      </w:divBdr>
    </w:div>
    <w:div w:id="483814119">
      <w:bodyDiv w:val="1"/>
      <w:marLeft w:val="0"/>
      <w:marRight w:val="0"/>
      <w:marTop w:val="0"/>
      <w:marBottom w:val="0"/>
      <w:divBdr>
        <w:top w:val="none" w:sz="0" w:space="0" w:color="auto"/>
        <w:left w:val="none" w:sz="0" w:space="0" w:color="auto"/>
        <w:bottom w:val="none" w:sz="0" w:space="0" w:color="auto"/>
        <w:right w:val="none" w:sz="0" w:space="0" w:color="auto"/>
      </w:divBdr>
    </w:div>
    <w:div w:id="483819485">
      <w:bodyDiv w:val="1"/>
      <w:marLeft w:val="0"/>
      <w:marRight w:val="0"/>
      <w:marTop w:val="0"/>
      <w:marBottom w:val="0"/>
      <w:divBdr>
        <w:top w:val="none" w:sz="0" w:space="0" w:color="auto"/>
        <w:left w:val="none" w:sz="0" w:space="0" w:color="auto"/>
        <w:bottom w:val="none" w:sz="0" w:space="0" w:color="auto"/>
        <w:right w:val="none" w:sz="0" w:space="0" w:color="auto"/>
      </w:divBdr>
    </w:div>
    <w:div w:id="483855599">
      <w:bodyDiv w:val="1"/>
      <w:marLeft w:val="0"/>
      <w:marRight w:val="0"/>
      <w:marTop w:val="0"/>
      <w:marBottom w:val="0"/>
      <w:divBdr>
        <w:top w:val="none" w:sz="0" w:space="0" w:color="auto"/>
        <w:left w:val="none" w:sz="0" w:space="0" w:color="auto"/>
        <w:bottom w:val="none" w:sz="0" w:space="0" w:color="auto"/>
        <w:right w:val="none" w:sz="0" w:space="0" w:color="auto"/>
      </w:divBdr>
    </w:div>
    <w:div w:id="483856738">
      <w:bodyDiv w:val="1"/>
      <w:marLeft w:val="0"/>
      <w:marRight w:val="0"/>
      <w:marTop w:val="0"/>
      <w:marBottom w:val="0"/>
      <w:divBdr>
        <w:top w:val="none" w:sz="0" w:space="0" w:color="auto"/>
        <w:left w:val="none" w:sz="0" w:space="0" w:color="auto"/>
        <w:bottom w:val="none" w:sz="0" w:space="0" w:color="auto"/>
        <w:right w:val="none" w:sz="0" w:space="0" w:color="auto"/>
      </w:divBdr>
    </w:div>
    <w:div w:id="483859784">
      <w:bodyDiv w:val="1"/>
      <w:marLeft w:val="0"/>
      <w:marRight w:val="0"/>
      <w:marTop w:val="0"/>
      <w:marBottom w:val="0"/>
      <w:divBdr>
        <w:top w:val="none" w:sz="0" w:space="0" w:color="auto"/>
        <w:left w:val="none" w:sz="0" w:space="0" w:color="auto"/>
        <w:bottom w:val="none" w:sz="0" w:space="0" w:color="auto"/>
        <w:right w:val="none" w:sz="0" w:space="0" w:color="auto"/>
      </w:divBdr>
    </w:div>
    <w:div w:id="483860227">
      <w:bodyDiv w:val="1"/>
      <w:marLeft w:val="0"/>
      <w:marRight w:val="0"/>
      <w:marTop w:val="0"/>
      <w:marBottom w:val="0"/>
      <w:divBdr>
        <w:top w:val="none" w:sz="0" w:space="0" w:color="auto"/>
        <w:left w:val="none" w:sz="0" w:space="0" w:color="auto"/>
        <w:bottom w:val="none" w:sz="0" w:space="0" w:color="auto"/>
        <w:right w:val="none" w:sz="0" w:space="0" w:color="auto"/>
      </w:divBdr>
    </w:div>
    <w:div w:id="483930374">
      <w:bodyDiv w:val="1"/>
      <w:marLeft w:val="0"/>
      <w:marRight w:val="0"/>
      <w:marTop w:val="0"/>
      <w:marBottom w:val="0"/>
      <w:divBdr>
        <w:top w:val="none" w:sz="0" w:space="0" w:color="auto"/>
        <w:left w:val="none" w:sz="0" w:space="0" w:color="auto"/>
        <w:bottom w:val="none" w:sz="0" w:space="0" w:color="auto"/>
        <w:right w:val="none" w:sz="0" w:space="0" w:color="auto"/>
      </w:divBdr>
    </w:div>
    <w:div w:id="483937601">
      <w:bodyDiv w:val="1"/>
      <w:marLeft w:val="0"/>
      <w:marRight w:val="0"/>
      <w:marTop w:val="0"/>
      <w:marBottom w:val="0"/>
      <w:divBdr>
        <w:top w:val="none" w:sz="0" w:space="0" w:color="auto"/>
        <w:left w:val="none" w:sz="0" w:space="0" w:color="auto"/>
        <w:bottom w:val="none" w:sz="0" w:space="0" w:color="auto"/>
        <w:right w:val="none" w:sz="0" w:space="0" w:color="auto"/>
      </w:divBdr>
    </w:div>
    <w:div w:id="484010427">
      <w:bodyDiv w:val="1"/>
      <w:marLeft w:val="0"/>
      <w:marRight w:val="0"/>
      <w:marTop w:val="0"/>
      <w:marBottom w:val="0"/>
      <w:divBdr>
        <w:top w:val="none" w:sz="0" w:space="0" w:color="auto"/>
        <w:left w:val="none" w:sz="0" w:space="0" w:color="auto"/>
        <w:bottom w:val="none" w:sz="0" w:space="0" w:color="auto"/>
        <w:right w:val="none" w:sz="0" w:space="0" w:color="auto"/>
      </w:divBdr>
    </w:div>
    <w:div w:id="484049942">
      <w:bodyDiv w:val="1"/>
      <w:marLeft w:val="0"/>
      <w:marRight w:val="0"/>
      <w:marTop w:val="0"/>
      <w:marBottom w:val="0"/>
      <w:divBdr>
        <w:top w:val="none" w:sz="0" w:space="0" w:color="auto"/>
        <w:left w:val="none" w:sz="0" w:space="0" w:color="auto"/>
        <w:bottom w:val="none" w:sz="0" w:space="0" w:color="auto"/>
        <w:right w:val="none" w:sz="0" w:space="0" w:color="auto"/>
      </w:divBdr>
    </w:div>
    <w:div w:id="484053923">
      <w:bodyDiv w:val="1"/>
      <w:marLeft w:val="0"/>
      <w:marRight w:val="0"/>
      <w:marTop w:val="0"/>
      <w:marBottom w:val="0"/>
      <w:divBdr>
        <w:top w:val="none" w:sz="0" w:space="0" w:color="auto"/>
        <w:left w:val="none" w:sz="0" w:space="0" w:color="auto"/>
        <w:bottom w:val="none" w:sz="0" w:space="0" w:color="auto"/>
        <w:right w:val="none" w:sz="0" w:space="0" w:color="auto"/>
      </w:divBdr>
    </w:div>
    <w:div w:id="484056683">
      <w:bodyDiv w:val="1"/>
      <w:marLeft w:val="0"/>
      <w:marRight w:val="0"/>
      <w:marTop w:val="0"/>
      <w:marBottom w:val="0"/>
      <w:divBdr>
        <w:top w:val="none" w:sz="0" w:space="0" w:color="auto"/>
        <w:left w:val="none" w:sz="0" w:space="0" w:color="auto"/>
        <w:bottom w:val="none" w:sz="0" w:space="0" w:color="auto"/>
        <w:right w:val="none" w:sz="0" w:space="0" w:color="auto"/>
      </w:divBdr>
    </w:div>
    <w:div w:id="484130602">
      <w:bodyDiv w:val="1"/>
      <w:marLeft w:val="0"/>
      <w:marRight w:val="0"/>
      <w:marTop w:val="0"/>
      <w:marBottom w:val="0"/>
      <w:divBdr>
        <w:top w:val="none" w:sz="0" w:space="0" w:color="auto"/>
        <w:left w:val="none" w:sz="0" w:space="0" w:color="auto"/>
        <w:bottom w:val="none" w:sz="0" w:space="0" w:color="auto"/>
        <w:right w:val="none" w:sz="0" w:space="0" w:color="auto"/>
      </w:divBdr>
    </w:div>
    <w:div w:id="484202899">
      <w:bodyDiv w:val="1"/>
      <w:marLeft w:val="0"/>
      <w:marRight w:val="0"/>
      <w:marTop w:val="0"/>
      <w:marBottom w:val="0"/>
      <w:divBdr>
        <w:top w:val="none" w:sz="0" w:space="0" w:color="auto"/>
        <w:left w:val="none" w:sz="0" w:space="0" w:color="auto"/>
        <w:bottom w:val="none" w:sz="0" w:space="0" w:color="auto"/>
        <w:right w:val="none" w:sz="0" w:space="0" w:color="auto"/>
      </w:divBdr>
    </w:div>
    <w:div w:id="484203456">
      <w:bodyDiv w:val="1"/>
      <w:marLeft w:val="0"/>
      <w:marRight w:val="0"/>
      <w:marTop w:val="0"/>
      <w:marBottom w:val="0"/>
      <w:divBdr>
        <w:top w:val="none" w:sz="0" w:space="0" w:color="auto"/>
        <w:left w:val="none" w:sz="0" w:space="0" w:color="auto"/>
        <w:bottom w:val="none" w:sz="0" w:space="0" w:color="auto"/>
        <w:right w:val="none" w:sz="0" w:space="0" w:color="auto"/>
      </w:divBdr>
    </w:div>
    <w:div w:id="484203660">
      <w:bodyDiv w:val="1"/>
      <w:marLeft w:val="0"/>
      <w:marRight w:val="0"/>
      <w:marTop w:val="0"/>
      <w:marBottom w:val="0"/>
      <w:divBdr>
        <w:top w:val="none" w:sz="0" w:space="0" w:color="auto"/>
        <w:left w:val="none" w:sz="0" w:space="0" w:color="auto"/>
        <w:bottom w:val="none" w:sz="0" w:space="0" w:color="auto"/>
        <w:right w:val="none" w:sz="0" w:space="0" w:color="auto"/>
      </w:divBdr>
    </w:div>
    <w:div w:id="484204285">
      <w:bodyDiv w:val="1"/>
      <w:marLeft w:val="0"/>
      <w:marRight w:val="0"/>
      <w:marTop w:val="0"/>
      <w:marBottom w:val="0"/>
      <w:divBdr>
        <w:top w:val="none" w:sz="0" w:space="0" w:color="auto"/>
        <w:left w:val="none" w:sz="0" w:space="0" w:color="auto"/>
        <w:bottom w:val="none" w:sz="0" w:space="0" w:color="auto"/>
        <w:right w:val="none" w:sz="0" w:space="0" w:color="auto"/>
      </w:divBdr>
    </w:div>
    <w:div w:id="484204312">
      <w:bodyDiv w:val="1"/>
      <w:marLeft w:val="0"/>
      <w:marRight w:val="0"/>
      <w:marTop w:val="0"/>
      <w:marBottom w:val="0"/>
      <w:divBdr>
        <w:top w:val="none" w:sz="0" w:space="0" w:color="auto"/>
        <w:left w:val="none" w:sz="0" w:space="0" w:color="auto"/>
        <w:bottom w:val="none" w:sz="0" w:space="0" w:color="auto"/>
        <w:right w:val="none" w:sz="0" w:space="0" w:color="auto"/>
      </w:divBdr>
    </w:div>
    <w:div w:id="484245993">
      <w:bodyDiv w:val="1"/>
      <w:marLeft w:val="0"/>
      <w:marRight w:val="0"/>
      <w:marTop w:val="0"/>
      <w:marBottom w:val="0"/>
      <w:divBdr>
        <w:top w:val="none" w:sz="0" w:space="0" w:color="auto"/>
        <w:left w:val="none" w:sz="0" w:space="0" w:color="auto"/>
        <w:bottom w:val="none" w:sz="0" w:space="0" w:color="auto"/>
        <w:right w:val="none" w:sz="0" w:space="0" w:color="auto"/>
      </w:divBdr>
    </w:div>
    <w:div w:id="484318318">
      <w:bodyDiv w:val="1"/>
      <w:marLeft w:val="0"/>
      <w:marRight w:val="0"/>
      <w:marTop w:val="0"/>
      <w:marBottom w:val="0"/>
      <w:divBdr>
        <w:top w:val="none" w:sz="0" w:space="0" w:color="auto"/>
        <w:left w:val="none" w:sz="0" w:space="0" w:color="auto"/>
        <w:bottom w:val="none" w:sz="0" w:space="0" w:color="auto"/>
        <w:right w:val="none" w:sz="0" w:space="0" w:color="auto"/>
      </w:divBdr>
    </w:div>
    <w:div w:id="484443594">
      <w:bodyDiv w:val="1"/>
      <w:marLeft w:val="0"/>
      <w:marRight w:val="0"/>
      <w:marTop w:val="0"/>
      <w:marBottom w:val="0"/>
      <w:divBdr>
        <w:top w:val="none" w:sz="0" w:space="0" w:color="auto"/>
        <w:left w:val="none" w:sz="0" w:space="0" w:color="auto"/>
        <w:bottom w:val="none" w:sz="0" w:space="0" w:color="auto"/>
        <w:right w:val="none" w:sz="0" w:space="0" w:color="auto"/>
      </w:divBdr>
    </w:div>
    <w:div w:id="484469418">
      <w:bodyDiv w:val="1"/>
      <w:marLeft w:val="0"/>
      <w:marRight w:val="0"/>
      <w:marTop w:val="0"/>
      <w:marBottom w:val="0"/>
      <w:divBdr>
        <w:top w:val="none" w:sz="0" w:space="0" w:color="auto"/>
        <w:left w:val="none" w:sz="0" w:space="0" w:color="auto"/>
        <w:bottom w:val="none" w:sz="0" w:space="0" w:color="auto"/>
        <w:right w:val="none" w:sz="0" w:space="0" w:color="auto"/>
      </w:divBdr>
    </w:div>
    <w:div w:id="484472978">
      <w:bodyDiv w:val="1"/>
      <w:marLeft w:val="0"/>
      <w:marRight w:val="0"/>
      <w:marTop w:val="0"/>
      <w:marBottom w:val="0"/>
      <w:divBdr>
        <w:top w:val="none" w:sz="0" w:space="0" w:color="auto"/>
        <w:left w:val="none" w:sz="0" w:space="0" w:color="auto"/>
        <w:bottom w:val="none" w:sz="0" w:space="0" w:color="auto"/>
        <w:right w:val="none" w:sz="0" w:space="0" w:color="auto"/>
      </w:divBdr>
    </w:div>
    <w:div w:id="484514962">
      <w:bodyDiv w:val="1"/>
      <w:marLeft w:val="0"/>
      <w:marRight w:val="0"/>
      <w:marTop w:val="0"/>
      <w:marBottom w:val="0"/>
      <w:divBdr>
        <w:top w:val="none" w:sz="0" w:space="0" w:color="auto"/>
        <w:left w:val="none" w:sz="0" w:space="0" w:color="auto"/>
        <w:bottom w:val="none" w:sz="0" w:space="0" w:color="auto"/>
        <w:right w:val="none" w:sz="0" w:space="0" w:color="auto"/>
      </w:divBdr>
    </w:div>
    <w:div w:id="484666294">
      <w:bodyDiv w:val="1"/>
      <w:marLeft w:val="0"/>
      <w:marRight w:val="0"/>
      <w:marTop w:val="0"/>
      <w:marBottom w:val="0"/>
      <w:divBdr>
        <w:top w:val="none" w:sz="0" w:space="0" w:color="auto"/>
        <w:left w:val="none" w:sz="0" w:space="0" w:color="auto"/>
        <w:bottom w:val="none" w:sz="0" w:space="0" w:color="auto"/>
        <w:right w:val="none" w:sz="0" w:space="0" w:color="auto"/>
      </w:divBdr>
    </w:div>
    <w:div w:id="484787870">
      <w:bodyDiv w:val="1"/>
      <w:marLeft w:val="0"/>
      <w:marRight w:val="0"/>
      <w:marTop w:val="0"/>
      <w:marBottom w:val="0"/>
      <w:divBdr>
        <w:top w:val="none" w:sz="0" w:space="0" w:color="auto"/>
        <w:left w:val="none" w:sz="0" w:space="0" w:color="auto"/>
        <w:bottom w:val="none" w:sz="0" w:space="0" w:color="auto"/>
        <w:right w:val="none" w:sz="0" w:space="0" w:color="auto"/>
      </w:divBdr>
    </w:div>
    <w:div w:id="484854708">
      <w:bodyDiv w:val="1"/>
      <w:marLeft w:val="0"/>
      <w:marRight w:val="0"/>
      <w:marTop w:val="0"/>
      <w:marBottom w:val="0"/>
      <w:divBdr>
        <w:top w:val="none" w:sz="0" w:space="0" w:color="auto"/>
        <w:left w:val="none" w:sz="0" w:space="0" w:color="auto"/>
        <w:bottom w:val="none" w:sz="0" w:space="0" w:color="auto"/>
        <w:right w:val="none" w:sz="0" w:space="0" w:color="auto"/>
      </w:divBdr>
    </w:div>
    <w:div w:id="485097626">
      <w:bodyDiv w:val="1"/>
      <w:marLeft w:val="0"/>
      <w:marRight w:val="0"/>
      <w:marTop w:val="0"/>
      <w:marBottom w:val="0"/>
      <w:divBdr>
        <w:top w:val="none" w:sz="0" w:space="0" w:color="auto"/>
        <w:left w:val="none" w:sz="0" w:space="0" w:color="auto"/>
        <w:bottom w:val="none" w:sz="0" w:space="0" w:color="auto"/>
        <w:right w:val="none" w:sz="0" w:space="0" w:color="auto"/>
      </w:divBdr>
    </w:div>
    <w:div w:id="485361932">
      <w:bodyDiv w:val="1"/>
      <w:marLeft w:val="0"/>
      <w:marRight w:val="0"/>
      <w:marTop w:val="0"/>
      <w:marBottom w:val="0"/>
      <w:divBdr>
        <w:top w:val="none" w:sz="0" w:space="0" w:color="auto"/>
        <w:left w:val="none" w:sz="0" w:space="0" w:color="auto"/>
        <w:bottom w:val="none" w:sz="0" w:space="0" w:color="auto"/>
        <w:right w:val="none" w:sz="0" w:space="0" w:color="auto"/>
      </w:divBdr>
    </w:div>
    <w:div w:id="485362169">
      <w:bodyDiv w:val="1"/>
      <w:marLeft w:val="0"/>
      <w:marRight w:val="0"/>
      <w:marTop w:val="0"/>
      <w:marBottom w:val="0"/>
      <w:divBdr>
        <w:top w:val="none" w:sz="0" w:space="0" w:color="auto"/>
        <w:left w:val="none" w:sz="0" w:space="0" w:color="auto"/>
        <w:bottom w:val="none" w:sz="0" w:space="0" w:color="auto"/>
        <w:right w:val="none" w:sz="0" w:space="0" w:color="auto"/>
      </w:divBdr>
    </w:div>
    <w:div w:id="485365467">
      <w:bodyDiv w:val="1"/>
      <w:marLeft w:val="0"/>
      <w:marRight w:val="0"/>
      <w:marTop w:val="0"/>
      <w:marBottom w:val="0"/>
      <w:divBdr>
        <w:top w:val="none" w:sz="0" w:space="0" w:color="auto"/>
        <w:left w:val="none" w:sz="0" w:space="0" w:color="auto"/>
        <w:bottom w:val="none" w:sz="0" w:space="0" w:color="auto"/>
        <w:right w:val="none" w:sz="0" w:space="0" w:color="auto"/>
      </w:divBdr>
    </w:div>
    <w:div w:id="485441639">
      <w:bodyDiv w:val="1"/>
      <w:marLeft w:val="0"/>
      <w:marRight w:val="0"/>
      <w:marTop w:val="0"/>
      <w:marBottom w:val="0"/>
      <w:divBdr>
        <w:top w:val="none" w:sz="0" w:space="0" w:color="auto"/>
        <w:left w:val="none" w:sz="0" w:space="0" w:color="auto"/>
        <w:bottom w:val="none" w:sz="0" w:space="0" w:color="auto"/>
        <w:right w:val="none" w:sz="0" w:space="0" w:color="auto"/>
      </w:divBdr>
    </w:div>
    <w:div w:id="485510208">
      <w:bodyDiv w:val="1"/>
      <w:marLeft w:val="0"/>
      <w:marRight w:val="0"/>
      <w:marTop w:val="0"/>
      <w:marBottom w:val="0"/>
      <w:divBdr>
        <w:top w:val="none" w:sz="0" w:space="0" w:color="auto"/>
        <w:left w:val="none" w:sz="0" w:space="0" w:color="auto"/>
        <w:bottom w:val="none" w:sz="0" w:space="0" w:color="auto"/>
        <w:right w:val="none" w:sz="0" w:space="0" w:color="auto"/>
      </w:divBdr>
    </w:div>
    <w:div w:id="485511613">
      <w:bodyDiv w:val="1"/>
      <w:marLeft w:val="0"/>
      <w:marRight w:val="0"/>
      <w:marTop w:val="0"/>
      <w:marBottom w:val="0"/>
      <w:divBdr>
        <w:top w:val="none" w:sz="0" w:space="0" w:color="auto"/>
        <w:left w:val="none" w:sz="0" w:space="0" w:color="auto"/>
        <w:bottom w:val="none" w:sz="0" w:space="0" w:color="auto"/>
        <w:right w:val="none" w:sz="0" w:space="0" w:color="auto"/>
      </w:divBdr>
    </w:div>
    <w:div w:id="485585808">
      <w:bodyDiv w:val="1"/>
      <w:marLeft w:val="0"/>
      <w:marRight w:val="0"/>
      <w:marTop w:val="0"/>
      <w:marBottom w:val="0"/>
      <w:divBdr>
        <w:top w:val="none" w:sz="0" w:space="0" w:color="auto"/>
        <w:left w:val="none" w:sz="0" w:space="0" w:color="auto"/>
        <w:bottom w:val="none" w:sz="0" w:space="0" w:color="auto"/>
        <w:right w:val="none" w:sz="0" w:space="0" w:color="auto"/>
      </w:divBdr>
    </w:div>
    <w:div w:id="485704451">
      <w:bodyDiv w:val="1"/>
      <w:marLeft w:val="0"/>
      <w:marRight w:val="0"/>
      <w:marTop w:val="0"/>
      <w:marBottom w:val="0"/>
      <w:divBdr>
        <w:top w:val="none" w:sz="0" w:space="0" w:color="auto"/>
        <w:left w:val="none" w:sz="0" w:space="0" w:color="auto"/>
        <w:bottom w:val="none" w:sz="0" w:space="0" w:color="auto"/>
        <w:right w:val="none" w:sz="0" w:space="0" w:color="auto"/>
      </w:divBdr>
    </w:div>
    <w:div w:id="485779305">
      <w:bodyDiv w:val="1"/>
      <w:marLeft w:val="0"/>
      <w:marRight w:val="0"/>
      <w:marTop w:val="0"/>
      <w:marBottom w:val="0"/>
      <w:divBdr>
        <w:top w:val="none" w:sz="0" w:space="0" w:color="auto"/>
        <w:left w:val="none" w:sz="0" w:space="0" w:color="auto"/>
        <w:bottom w:val="none" w:sz="0" w:space="0" w:color="auto"/>
        <w:right w:val="none" w:sz="0" w:space="0" w:color="auto"/>
      </w:divBdr>
    </w:div>
    <w:div w:id="486023155">
      <w:bodyDiv w:val="1"/>
      <w:marLeft w:val="0"/>
      <w:marRight w:val="0"/>
      <w:marTop w:val="0"/>
      <w:marBottom w:val="0"/>
      <w:divBdr>
        <w:top w:val="none" w:sz="0" w:space="0" w:color="auto"/>
        <w:left w:val="none" w:sz="0" w:space="0" w:color="auto"/>
        <w:bottom w:val="none" w:sz="0" w:space="0" w:color="auto"/>
        <w:right w:val="none" w:sz="0" w:space="0" w:color="auto"/>
      </w:divBdr>
    </w:div>
    <w:div w:id="486095918">
      <w:bodyDiv w:val="1"/>
      <w:marLeft w:val="0"/>
      <w:marRight w:val="0"/>
      <w:marTop w:val="0"/>
      <w:marBottom w:val="0"/>
      <w:divBdr>
        <w:top w:val="none" w:sz="0" w:space="0" w:color="auto"/>
        <w:left w:val="none" w:sz="0" w:space="0" w:color="auto"/>
        <w:bottom w:val="none" w:sz="0" w:space="0" w:color="auto"/>
        <w:right w:val="none" w:sz="0" w:space="0" w:color="auto"/>
      </w:divBdr>
    </w:div>
    <w:div w:id="486096868">
      <w:bodyDiv w:val="1"/>
      <w:marLeft w:val="0"/>
      <w:marRight w:val="0"/>
      <w:marTop w:val="0"/>
      <w:marBottom w:val="0"/>
      <w:divBdr>
        <w:top w:val="none" w:sz="0" w:space="0" w:color="auto"/>
        <w:left w:val="none" w:sz="0" w:space="0" w:color="auto"/>
        <w:bottom w:val="none" w:sz="0" w:space="0" w:color="auto"/>
        <w:right w:val="none" w:sz="0" w:space="0" w:color="auto"/>
      </w:divBdr>
    </w:div>
    <w:div w:id="486168627">
      <w:bodyDiv w:val="1"/>
      <w:marLeft w:val="0"/>
      <w:marRight w:val="0"/>
      <w:marTop w:val="0"/>
      <w:marBottom w:val="0"/>
      <w:divBdr>
        <w:top w:val="none" w:sz="0" w:space="0" w:color="auto"/>
        <w:left w:val="none" w:sz="0" w:space="0" w:color="auto"/>
        <w:bottom w:val="none" w:sz="0" w:space="0" w:color="auto"/>
        <w:right w:val="none" w:sz="0" w:space="0" w:color="auto"/>
      </w:divBdr>
    </w:div>
    <w:div w:id="486289153">
      <w:bodyDiv w:val="1"/>
      <w:marLeft w:val="0"/>
      <w:marRight w:val="0"/>
      <w:marTop w:val="0"/>
      <w:marBottom w:val="0"/>
      <w:divBdr>
        <w:top w:val="none" w:sz="0" w:space="0" w:color="auto"/>
        <w:left w:val="none" w:sz="0" w:space="0" w:color="auto"/>
        <w:bottom w:val="none" w:sz="0" w:space="0" w:color="auto"/>
        <w:right w:val="none" w:sz="0" w:space="0" w:color="auto"/>
      </w:divBdr>
    </w:div>
    <w:div w:id="486359861">
      <w:bodyDiv w:val="1"/>
      <w:marLeft w:val="0"/>
      <w:marRight w:val="0"/>
      <w:marTop w:val="0"/>
      <w:marBottom w:val="0"/>
      <w:divBdr>
        <w:top w:val="none" w:sz="0" w:space="0" w:color="auto"/>
        <w:left w:val="none" w:sz="0" w:space="0" w:color="auto"/>
        <w:bottom w:val="none" w:sz="0" w:space="0" w:color="auto"/>
        <w:right w:val="none" w:sz="0" w:space="0" w:color="auto"/>
      </w:divBdr>
    </w:div>
    <w:div w:id="486363719">
      <w:bodyDiv w:val="1"/>
      <w:marLeft w:val="0"/>
      <w:marRight w:val="0"/>
      <w:marTop w:val="0"/>
      <w:marBottom w:val="0"/>
      <w:divBdr>
        <w:top w:val="none" w:sz="0" w:space="0" w:color="auto"/>
        <w:left w:val="none" w:sz="0" w:space="0" w:color="auto"/>
        <w:bottom w:val="none" w:sz="0" w:space="0" w:color="auto"/>
        <w:right w:val="none" w:sz="0" w:space="0" w:color="auto"/>
      </w:divBdr>
    </w:div>
    <w:div w:id="486409316">
      <w:bodyDiv w:val="1"/>
      <w:marLeft w:val="0"/>
      <w:marRight w:val="0"/>
      <w:marTop w:val="0"/>
      <w:marBottom w:val="0"/>
      <w:divBdr>
        <w:top w:val="none" w:sz="0" w:space="0" w:color="auto"/>
        <w:left w:val="none" w:sz="0" w:space="0" w:color="auto"/>
        <w:bottom w:val="none" w:sz="0" w:space="0" w:color="auto"/>
        <w:right w:val="none" w:sz="0" w:space="0" w:color="auto"/>
      </w:divBdr>
    </w:div>
    <w:div w:id="486476189">
      <w:bodyDiv w:val="1"/>
      <w:marLeft w:val="0"/>
      <w:marRight w:val="0"/>
      <w:marTop w:val="0"/>
      <w:marBottom w:val="0"/>
      <w:divBdr>
        <w:top w:val="none" w:sz="0" w:space="0" w:color="auto"/>
        <w:left w:val="none" w:sz="0" w:space="0" w:color="auto"/>
        <w:bottom w:val="none" w:sz="0" w:space="0" w:color="auto"/>
        <w:right w:val="none" w:sz="0" w:space="0" w:color="auto"/>
      </w:divBdr>
    </w:div>
    <w:div w:id="486481391">
      <w:bodyDiv w:val="1"/>
      <w:marLeft w:val="0"/>
      <w:marRight w:val="0"/>
      <w:marTop w:val="0"/>
      <w:marBottom w:val="0"/>
      <w:divBdr>
        <w:top w:val="none" w:sz="0" w:space="0" w:color="auto"/>
        <w:left w:val="none" w:sz="0" w:space="0" w:color="auto"/>
        <w:bottom w:val="none" w:sz="0" w:space="0" w:color="auto"/>
        <w:right w:val="none" w:sz="0" w:space="0" w:color="auto"/>
      </w:divBdr>
    </w:div>
    <w:div w:id="486673116">
      <w:bodyDiv w:val="1"/>
      <w:marLeft w:val="0"/>
      <w:marRight w:val="0"/>
      <w:marTop w:val="0"/>
      <w:marBottom w:val="0"/>
      <w:divBdr>
        <w:top w:val="none" w:sz="0" w:space="0" w:color="auto"/>
        <w:left w:val="none" w:sz="0" w:space="0" w:color="auto"/>
        <w:bottom w:val="none" w:sz="0" w:space="0" w:color="auto"/>
        <w:right w:val="none" w:sz="0" w:space="0" w:color="auto"/>
      </w:divBdr>
    </w:div>
    <w:div w:id="486702255">
      <w:bodyDiv w:val="1"/>
      <w:marLeft w:val="0"/>
      <w:marRight w:val="0"/>
      <w:marTop w:val="0"/>
      <w:marBottom w:val="0"/>
      <w:divBdr>
        <w:top w:val="none" w:sz="0" w:space="0" w:color="auto"/>
        <w:left w:val="none" w:sz="0" w:space="0" w:color="auto"/>
        <w:bottom w:val="none" w:sz="0" w:space="0" w:color="auto"/>
        <w:right w:val="none" w:sz="0" w:space="0" w:color="auto"/>
      </w:divBdr>
    </w:div>
    <w:div w:id="486820708">
      <w:bodyDiv w:val="1"/>
      <w:marLeft w:val="0"/>
      <w:marRight w:val="0"/>
      <w:marTop w:val="0"/>
      <w:marBottom w:val="0"/>
      <w:divBdr>
        <w:top w:val="none" w:sz="0" w:space="0" w:color="auto"/>
        <w:left w:val="none" w:sz="0" w:space="0" w:color="auto"/>
        <w:bottom w:val="none" w:sz="0" w:space="0" w:color="auto"/>
        <w:right w:val="none" w:sz="0" w:space="0" w:color="auto"/>
      </w:divBdr>
    </w:div>
    <w:div w:id="486823162">
      <w:bodyDiv w:val="1"/>
      <w:marLeft w:val="0"/>
      <w:marRight w:val="0"/>
      <w:marTop w:val="0"/>
      <w:marBottom w:val="0"/>
      <w:divBdr>
        <w:top w:val="none" w:sz="0" w:space="0" w:color="auto"/>
        <w:left w:val="none" w:sz="0" w:space="0" w:color="auto"/>
        <w:bottom w:val="none" w:sz="0" w:space="0" w:color="auto"/>
        <w:right w:val="none" w:sz="0" w:space="0" w:color="auto"/>
      </w:divBdr>
    </w:div>
    <w:div w:id="486824648">
      <w:bodyDiv w:val="1"/>
      <w:marLeft w:val="0"/>
      <w:marRight w:val="0"/>
      <w:marTop w:val="0"/>
      <w:marBottom w:val="0"/>
      <w:divBdr>
        <w:top w:val="none" w:sz="0" w:space="0" w:color="auto"/>
        <w:left w:val="none" w:sz="0" w:space="0" w:color="auto"/>
        <w:bottom w:val="none" w:sz="0" w:space="0" w:color="auto"/>
        <w:right w:val="none" w:sz="0" w:space="0" w:color="auto"/>
      </w:divBdr>
    </w:div>
    <w:div w:id="486828270">
      <w:bodyDiv w:val="1"/>
      <w:marLeft w:val="0"/>
      <w:marRight w:val="0"/>
      <w:marTop w:val="0"/>
      <w:marBottom w:val="0"/>
      <w:divBdr>
        <w:top w:val="none" w:sz="0" w:space="0" w:color="auto"/>
        <w:left w:val="none" w:sz="0" w:space="0" w:color="auto"/>
        <w:bottom w:val="none" w:sz="0" w:space="0" w:color="auto"/>
        <w:right w:val="none" w:sz="0" w:space="0" w:color="auto"/>
      </w:divBdr>
    </w:div>
    <w:div w:id="486868777">
      <w:bodyDiv w:val="1"/>
      <w:marLeft w:val="0"/>
      <w:marRight w:val="0"/>
      <w:marTop w:val="0"/>
      <w:marBottom w:val="0"/>
      <w:divBdr>
        <w:top w:val="none" w:sz="0" w:space="0" w:color="auto"/>
        <w:left w:val="none" w:sz="0" w:space="0" w:color="auto"/>
        <w:bottom w:val="none" w:sz="0" w:space="0" w:color="auto"/>
        <w:right w:val="none" w:sz="0" w:space="0" w:color="auto"/>
      </w:divBdr>
    </w:div>
    <w:div w:id="486941062">
      <w:bodyDiv w:val="1"/>
      <w:marLeft w:val="0"/>
      <w:marRight w:val="0"/>
      <w:marTop w:val="0"/>
      <w:marBottom w:val="0"/>
      <w:divBdr>
        <w:top w:val="none" w:sz="0" w:space="0" w:color="auto"/>
        <w:left w:val="none" w:sz="0" w:space="0" w:color="auto"/>
        <w:bottom w:val="none" w:sz="0" w:space="0" w:color="auto"/>
        <w:right w:val="none" w:sz="0" w:space="0" w:color="auto"/>
      </w:divBdr>
    </w:div>
    <w:div w:id="487016959">
      <w:bodyDiv w:val="1"/>
      <w:marLeft w:val="0"/>
      <w:marRight w:val="0"/>
      <w:marTop w:val="0"/>
      <w:marBottom w:val="0"/>
      <w:divBdr>
        <w:top w:val="none" w:sz="0" w:space="0" w:color="auto"/>
        <w:left w:val="none" w:sz="0" w:space="0" w:color="auto"/>
        <w:bottom w:val="none" w:sz="0" w:space="0" w:color="auto"/>
        <w:right w:val="none" w:sz="0" w:space="0" w:color="auto"/>
      </w:divBdr>
    </w:div>
    <w:div w:id="487282366">
      <w:bodyDiv w:val="1"/>
      <w:marLeft w:val="0"/>
      <w:marRight w:val="0"/>
      <w:marTop w:val="0"/>
      <w:marBottom w:val="0"/>
      <w:divBdr>
        <w:top w:val="none" w:sz="0" w:space="0" w:color="auto"/>
        <w:left w:val="none" w:sz="0" w:space="0" w:color="auto"/>
        <w:bottom w:val="none" w:sz="0" w:space="0" w:color="auto"/>
        <w:right w:val="none" w:sz="0" w:space="0" w:color="auto"/>
      </w:divBdr>
    </w:div>
    <w:div w:id="487283275">
      <w:bodyDiv w:val="1"/>
      <w:marLeft w:val="0"/>
      <w:marRight w:val="0"/>
      <w:marTop w:val="0"/>
      <w:marBottom w:val="0"/>
      <w:divBdr>
        <w:top w:val="none" w:sz="0" w:space="0" w:color="auto"/>
        <w:left w:val="none" w:sz="0" w:space="0" w:color="auto"/>
        <w:bottom w:val="none" w:sz="0" w:space="0" w:color="auto"/>
        <w:right w:val="none" w:sz="0" w:space="0" w:color="auto"/>
      </w:divBdr>
    </w:div>
    <w:div w:id="487283928">
      <w:bodyDiv w:val="1"/>
      <w:marLeft w:val="0"/>
      <w:marRight w:val="0"/>
      <w:marTop w:val="0"/>
      <w:marBottom w:val="0"/>
      <w:divBdr>
        <w:top w:val="none" w:sz="0" w:space="0" w:color="auto"/>
        <w:left w:val="none" w:sz="0" w:space="0" w:color="auto"/>
        <w:bottom w:val="none" w:sz="0" w:space="0" w:color="auto"/>
        <w:right w:val="none" w:sz="0" w:space="0" w:color="auto"/>
      </w:divBdr>
    </w:div>
    <w:div w:id="487554113">
      <w:bodyDiv w:val="1"/>
      <w:marLeft w:val="0"/>
      <w:marRight w:val="0"/>
      <w:marTop w:val="0"/>
      <w:marBottom w:val="0"/>
      <w:divBdr>
        <w:top w:val="none" w:sz="0" w:space="0" w:color="auto"/>
        <w:left w:val="none" w:sz="0" w:space="0" w:color="auto"/>
        <w:bottom w:val="none" w:sz="0" w:space="0" w:color="auto"/>
        <w:right w:val="none" w:sz="0" w:space="0" w:color="auto"/>
      </w:divBdr>
    </w:div>
    <w:div w:id="487793161">
      <w:bodyDiv w:val="1"/>
      <w:marLeft w:val="0"/>
      <w:marRight w:val="0"/>
      <w:marTop w:val="0"/>
      <w:marBottom w:val="0"/>
      <w:divBdr>
        <w:top w:val="none" w:sz="0" w:space="0" w:color="auto"/>
        <w:left w:val="none" w:sz="0" w:space="0" w:color="auto"/>
        <w:bottom w:val="none" w:sz="0" w:space="0" w:color="auto"/>
        <w:right w:val="none" w:sz="0" w:space="0" w:color="auto"/>
      </w:divBdr>
    </w:div>
    <w:div w:id="487862333">
      <w:bodyDiv w:val="1"/>
      <w:marLeft w:val="0"/>
      <w:marRight w:val="0"/>
      <w:marTop w:val="0"/>
      <w:marBottom w:val="0"/>
      <w:divBdr>
        <w:top w:val="none" w:sz="0" w:space="0" w:color="auto"/>
        <w:left w:val="none" w:sz="0" w:space="0" w:color="auto"/>
        <w:bottom w:val="none" w:sz="0" w:space="0" w:color="auto"/>
        <w:right w:val="none" w:sz="0" w:space="0" w:color="auto"/>
      </w:divBdr>
    </w:div>
    <w:div w:id="487939403">
      <w:bodyDiv w:val="1"/>
      <w:marLeft w:val="0"/>
      <w:marRight w:val="0"/>
      <w:marTop w:val="0"/>
      <w:marBottom w:val="0"/>
      <w:divBdr>
        <w:top w:val="none" w:sz="0" w:space="0" w:color="auto"/>
        <w:left w:val="none" w:sz="0" w:space="0" w:color="auto"/>
        <w:bottom w:val="none" w:sz="0" w:space="0" w:color="auto"/>
        <w:right w:val="none" w:sz="0" w:space="0" w:color="auto"/>
      </w:divBdr>
    </w:div>
    <w:div w:id="488133914">
      <w:bodyDiv w:val="1"/>
      <w:marLeft w:val="0"/>
      <w:marRight w:val="0"/>
      <w:marTop w:val="0"/>
      <w:marBottom w:val="0"/>
      <w:divBdr>
        <w:top w:val="none" w:sz="0" w:space="0" w:color="auto"/>
        <w:left w:val="none" w:sz="0" w:space="0" w:color="auto"/>
        <w:bottom w:val="none" w:sz="0" w:space="0" w:color="auto"/>
        <w:right w:val="none" w:sz="0" w:space="0" w:color="auto"/>
      </w:divBdr>
    </w:div>
    <w:div w:id="488137419">
      <w:bodyDiv w:val="1"/>
      <w:marLeft w:val="0"/>
      <w:marRight w:val="0"/>
      <w:marTop w:val="0"/>
      <w:marBottom w:val="0"/>
      <w:divBdr>
        <w:top w:val="none" w:sz="0" w:space="0" w:color="auto"/>
        <w:left w:val="none" w:sz="0" w:space="0" w:color="auto"/>
        <w:bottom w:val="none" w:sz="0" w:space="0" w:color="auto"/>
        <w:right w:val="none" w:sz="0" w:space="0" w:color="auto"/>
      </w:divBdr>
    </w:div>
    <w:div w:id="488178233">
      <w:bodyDiv w:val="1"/>
      <w:marLeft w:val="0"/>
      <w:marRight w:val="0"/>
      <w:marTop w:val="0"/>
      <w:marBottom w:val="0"/>
      <w:divBdr>
        <w:top w:val="none" w:sz="0" w:space="0" w:color="auto"/>
        <w:left w:val="none" w:sz="0" w:space="0" w:color="auto"/>
        <w:bottom w:val="none" w:sz="0" w:space="0" w:color="auto"/>
        <w:right w:val="none" w:sz="0" w:space="0" w:color="auto"/>
      </w:divBdr>
    </w:div>
    <w:div w:id="488330151">
      <w:bodyDiv w:val="1"/>
      <w:marLeft w:val="0"/>
      <w:marRight w:val="0"/>
      <w:marTop w:val="0"/>
      <w:marBottom w:val="0"/>
      <w:divBdr>
        <w:top w:val="none" w:sz="0" w:space="0" w:color="auto"/>
        <w:left w:val="none" w:sz="0" w:space="0" w:color="auto"/>
        <w:bottom w:val="none" w:sz="0" w:space="0" w:color="auto"/>
        <w:right w:val="none" w:sz="0" w:space="0" w:color="auto"/>
      </w:divBdr>
    </w:div>
    <w:div w:id="488331516">
      <w:bodyDiv w:val="1"/>
      <w:marLeft w:val="0"/>
      <w:marRight w:val="0"/>
      <w:marTop w:val="0"/>
      <w:marBottom w:val="0"/>
      <w:divBdr>
        <w:top w:val="none" w:sz="0" w:space="0" w:color="auto"/>
        <w:left w:val="none" w:sz="0" w:space="0" w:color="auto"/>
        <w:bottom w:val="none" w:sz="0" w:space="0" w:color="auto"/>
        <w:right w:val="none" w:sz="0" w:space="0" w:color="auto"/>
      </w:divBdr>
    </w:div>
    <w:div w:id="488402000">
      <w:bodyDiv w:val="1"/>
      <w:marLeft w:val="0"/>
      <w:marRight w:val="0"/>
      <w:marTop w:val="0"/>
      <w:marBottom w:val="0"/>
      <w:divBdr>
        <w:top w:val="none" w:sz="0" w:space="0" w:color="auto"/>
        <w:left w:val="none" w:sz="0" w:space="0" w:color="auto"/>
        <w:bottom w:val="none" w:sz="0" w:space="0" w:color="auto"/>
        <w:right w:val="none" w:sz="0" w:space="0" w:color="auto"/>
      </w:divBdr>
    </w:div>
    <w:div w:id="488450010">
      <w:bodyDiv w:val="1"/>
      <w:marLeft w:val="0"/>
      <w:marRight w:val="0"/>
      <w:marTop w:val="0"/>
      <w:marBottom w:val="0"/>
      <w:divBdr>
        <w:top w:val="none" w:sz="0" w:space="0" w:color="auto"/>
        <w:left w:val="none" w:sz="0" w:space="0" w:color="auto"/>
        <w:bottom w:val="none" w:sz="0" w:space="0" w:color="auto"/>
        <w:right w:val="none" w:sz="0" w:space="0" w:color="auto"/>
      </w:divBdr>
    </w:div>
    <w:div w:id="488525306">
      <w:bodyDiv w:val="1"/>
      <w:marLeft w:val="0"/>
      <w:marRight w:val="0"/>
      <w:marTop w:val="0"/>
      <w:marBottom w:val="0"/>
      <w:divBdr>
        <w:top w:val="none" w:sz="0" w:space="0" w:color="auto"/>
        <w:left w:val="none" w:sz="0" w:space="0" w:color="auto"/>
        <w:bottom w:val="none" w:sz="0" w:space="0" w:color="auto"/>
        <w:right w:val="none" w:sz="0" w:space="0" w:color="auto"/>
      </w:divBdr>
    </w:div>
    <w:div w:id="488596855">
      <w:bodyDiv w:val="1"/>
      <w:marLeft w:val="0"/>
      <w:marRight w:val="0"/>
      <w:marTop w:val="0"/>
      <w:marBottom w:val="0"/>
      <w:divBdr>
        <w:top w:val="none" w:sz="0" w:space="0" w:color="auto"/>
        <w:left w:val="none" w:sz="0" w:space="0" w:color="auto"/>
        <w:bottom w:val="none" w:sz="0" w:space="0" w:color="auto"/>
        <w:right w:val="none" w:sz="0" w:space="0" w:color="auto"/>
      </w:divBdr>
    </w:div>
    <w:div w:id="488638323">
      <w:bodyDiv w:val="1"/>
      <w:marLeft w:val="0"/>
      <w:marRight w:val="0"/>
      <w:marTop w:val="0"/>
      <w:marBottom w:val="0"/>
      <w:divBdr>
        <w:top w:val="none" w:sz="0" w:space="0" w:color="auto"/>
        <w:left w:val="none" w:sz="0" w:space="0" w:color="auto"/>
        <w:bottom w:val="none" w:sz="0" w:space="0" w:color="auto"/>
        <w:right w:val="none" w:sz="0" w:space="0" w:color="auto"/>
      </w:divBdr>
    </w:div>
    <w:div w:id="488710088">
      <w:bodyDiv w:val="1"/>
      <w:marLeft w:val="0"/>
      <w:marRight w:val="0"/>
      <w:marTop w:val="0"/>
      <w:marBottom w:val="0"/>
      <w:divBdr>
        <w:top w:val="none" w:sz="0" w:space="0" w:color="auto"/>
        <w:left w:val="none" w:sz="0" w:space="0" w:color="auto"/>
        <w:bottom w:val="none" w:sz="0" w:space="0" w:color="auto"/>
        <w:right w:val="none" w:sz="0" w:space="0" w:color="auto"/>
      </w:divBdr>
    </w:div>
    <w:div w:id="488904150">
      <w:bodyDiv w:val="1"/>
      <w:marLeft w:val="0"/>
      <w:marRight w:val="0"/>
      <w:marTop w:val="0"/>
      <w:marBottom w:val="0"/>
      <w:divBdr>
        <w:top w:val="none" w:sz="0" w:space="0" w:color="auto"/>
        <w:left w:val="none" w:sz="0" w:space="0" w:color="auto"/>
        <w:bottom w:val="none" w:sz="0" w:space="0" w:color="auto"/>
        <w:right w:val="none" w:sz="0" w:space="0" w:color="auto"/>
      </w:divBdr>
    </w:div>
    <w:div w:id="488911989">
      <w:bodyDiv w:val="1"/>
      <w:marLeft w:val="0"/>
      <w:marRight w:val="0"/>
      <w:marTop w:val="0"/>
      <w:marBottom w:val="0"/>
      <w:divBdr>
        <w:top w:val="none" w:sz="0" w:space="0" w:color="auto"/>
        <w:left w:val="none" w:sz="0" w:space="0" w:color="auto"/>
        <w:bottom w:val="none" w:sz="0" w:space="0" w:color="auto"/>
        <w:right w:val="none" w:sz="0" w:space="0" w:color="auto"/>
      </w:divBdr>
    </w:div>
    <w:div w:id="488912106">
      <w:bodyDiv w:val="1"/>
      <w:marLeft w:val="0"/>
      <w:marRight w:val="0"/>
      <w:marTop w:val="0"/>
      <w:marBottom w:val="0"/>
      <w:divBdr>
        <w:top w:val="none" w:sz="0" w:space="0" w:color="auto"/>
        <w:left w:val="none" w:sz="0" w:space="0" w:color="auto"/>
        <w:bottom w:val="none" w:sz="0" w:space="0" w:color="auto"/>
        <w:right w:val="none" w:sz="0" w:space="0" w:color="auto"/>
      </w:divBdr>
    </w:div>
    <w:div w:id="488986522">
      <w:bodyDiv w:val="1"/>
      <w:marLeft w:val="0"/>
      <w:marRight w:val="0"/>
      <w:marTop w:val="0"/>
      <w:marBottom w:val="0"/>
      <w:divBdr>
        <w:top w:val="none" w:sz="0" w:space="0" w:color="auto"/>
        <w:left w:val="none" w:sz="0" w:space="0" w:color="auto"/>
        <w:bottom w:val="none" w:sz="0" w:space="0" w:color="auto"/>
        <w:right w:val="none" w:sz="0" w:space="0" w:color="auto"/>
      </w:divBdr>
    </w:div>
    <w:div w:id="489175236">
      <w:bodyDiv w:val="1"/>
      <w:marLeft w:val="0"/>
      <w:marRight w:val="0"/>
      <w:marTop w:val="0"/>
      <w:marBottom w:val="0"/>
      <w:divBdr>
        <w:top w:val="none" w:sz="0" w:space="0" w:color="auto"/>
        <w:left w:val="none" w:sz="0" w:space="0" w:color="auto"/>
        <w:bottom w:val="none" w:sz="0" w:space="0" w:color="auto"/>
        <w:right w:val="none" w:sz="0" w:space="0" w:color="auto"/>
      </w:divBdr>
    </w:div>
    <w:div w:id="489295700">
      <w:bodyDiv w:val="1"/>
      <w:marLeft w:val="0"/>
      <w:marRight w:val="0"/>
      <w:marTop w:val="0"/>
      <w:marBottom w:val="0"/>
      <w:divBdr>
        <w:top w:val="none" w:sz="0" w:space="0" w:color="auto"/>
        <w:left w:val="none" w:sz="0" w:space="0" w:color="auto"/>
        <w:bottom w:val="none" w:sz="0" w:space="0" w:color="auto"/>
        <w:right w:val="none" w:sz="0" w:space="0" w:color="auto"/>
      </w:divBdr>
    </w:div>
    <w:div w:id="489367815">
      <w:bodyDiv w:val="1"/>
      <w:marLeft w:val="0"/>
      <w:marRight w:val="0"/>
      <w:marTop w:val="0"/>
      <w:marBottom w:val="0"/>
      <w:divBdr>
        <w:top w:val="none" w:sz="0" w:space="0" w:color="auto"/>
        <w:left w:val="none" w:sz="0" w:space="0" w:color="auto"/>
        <w:bottom w:val="none" w:sz="0" w:space="0" w:color="auto"/>
        <w:right w:val="none" w:sz="0" w:space="0" w:color="auto"/>
      </w:divBdr>
    </w:div>
    <w:div w:id="489372771">
      <w:bodyDiv w:val="1"/>
      <w:marLeft w:val="0"/>
      <w:marRight w:val="0"/>
      <w:marTop w:val="0"/>
      <w:marBottom w:val="0"/>
      <w:divBdr>
        <w:top w:val="none" w:sz="0" w:space="0" w:color="auto"/>
        <w:left w:val="none" w:sz="0" w:space="0" w:color="auto"/>
        <w:bottom w:val="none" w:sz="0" w:space="0" w:color="auto"/>
        <w:right w:val="none" w:sz="0" w:space="0" w:color="auto"/>
      </w:divBdr>
    </w:div>
    <w:div w:id="489637366">
      <w:bodyDiv w:val="1"/>
      <w:marLeft w:val="0"/>
      <w:marRight w:val="0"/>
      <w:marTop w:val="0"/>
      <w:marBottom w:val="0"/>
      <w:divBdr>
        <w:top w:val="none" w:sz="0" w:space="0" w:color="auto"/>
        <w:left w:val="none" w:sz="0" w:space="0" w:color="auto"/>
        <w:bottom w:val="none" w:sz="0" w:space="0" w:color="auto"/>
        <w:right w:val="none" w:sz="0" w:space="0" w:color="auto"/>
      </w:divBdr>
    </w:div>
    <w:div w:id="489641793">
      <w:bodyDiv w:val="1"/>
      <w:marLeft w:val="0"/>
      <w:marRight w:val="0"/>
      <w:marTop w:val="0"/>
      <w:marBottom w:val="0"/>
      <w:divBdr>
        <w:top w:val="none" w:sz="0" w:space="0" w:color="auto"/>
        <w:left w:val="none" w:sz="0" w:space="0" w:color="auto"/>
        <w:bottom w:val="none" w:sz="0" w:space="0" w:color="auto"/>
        <w:right w:val="none" w:sz="0" w:space="0" w:color="auto"/>
      </w:divBdr>
    </w:div>
    <w:div w:id="489754329">
      <w:bodyDiv w:val="1"/>
      <w:marLeft w:val="0"/>
      <w:marRight w:val="0"/>
      <w:marTop w:val="0"/>
      <w:marBottom w:val="0"/>
      <w:divBdr>
        <w:top w:val="none" w:sz="0" w:space="0" w:color="auto"/>
        <w:left w:val="none" w:sz="0" w:space="0" w:color="auto"/>
        <w:bottom w:val="none" w:sz="0" w:space="0" w:color="auto"/>
        <w:right w:val="none" w:sz="0" w:space="0" w:color="auto"/>
      </w:divBdr>
    </w:div>
    <w:div w:id="489951470">
      <w:bodyDiv w:val="1"/>
      <w:marLeft w:val="0"/>
      <w:marRight w:val="0"/>
      <w:marTop w:val="0"/>
      <w:marBottom w:val="0"/>
      <w:divBdr>
        <w:top w:val="none" w:sz="0" w:space="0" w:color="auto"/>
        <w:left w:val="none" w:sz="0" w:space="0" w:color="auto"/>
        <w:bottom w:val="none" w:sz="0" w:space="0" w:color="auto"/>
        <w:right w:val="none" w:sz="0" w:space="0" w:color="auto"/>
      </w:divBdr>
    </w:div>
    <w:div w:id="490146537">
      <w:bodyDiv w:val="1"/>
      <w:marLeft w:val="0"/>
      <w:marRight w:val="0"/>
      <w:marTop w:val="0"/>
      <w:marBottom w:val="0"/>
      <w:divBdr>
        <w:top w:val="none" w:sz="0" w:space="0" w:color="auto"/>
        <w:left w:val="none" w:sz="0" w:space="0" w:color="auto"/>
        <w:bottom w:val="none" w:sz="0" w:space="0" w:color="auto"/>
        <w:right w:val="none" w:sz="0" w:space="0" w:color="auto"/>
      </w:divBdr>
    </w:div>
    <w:div w:id="490147710">
      <w:bodyDiv w:val="1"/>
      <w:marLeft w:val="0"/>
      <w:marRight w:val="0"/>
      <w:marTop w:val="0"/>
      <w:marBottom w:val="0"/>
      <w:divBdr>
        <w:top w:val="none" w:sz="0" w:space="0" w:color="auto"/>
        <w:left w:val="none" w:sz="0" w:space="0" w:color="auto"/>
        <w:bottom w:val="none" w:sz="0" w:space="0" w:color="auto"/>
        <w:right w:val="none" w:sz="0" w:space="0" w:color="auto"/>
      </w:divBdr>
    </w:div>
    <w:div w:id="490289799">
      <w:bodyDiv w:val="1"/>
      <w:marLeft w:val="0"/>
      <w:marRight w:val="0"/>
      <w:marTop w:val="0"/>
      <w:marBottom w:val="0"/>
      <w:divBdr>
        <w:top w:val="none" w:sz="0" w:space="0" w:color="auto"/>
        <w:left w:val="none" w:sz="0" w:space="0" w:color="auto"/>
        <w:bottom w:val="none" w:sz="0" w:space="0" w:color="auto"/>
        <w:right w:val="none" w:sz="0" w:space="0" w:color="auto"/>
      </w:divBdr>
    </w:div>
    <w:div w:id="490290144">
      <w:bodyDiv w:val="1"/>
      <w:marLeft w:val="0"/>
      <w:marRight w:val="0"/>
      <w:marTop w:val="0"/>
      <w:marBottom w:val="0"/>
      <w:divBdr>
        <w:top w:val="none" w:sz="0" w:space="0" w:color="auto"/>
        <w:left w:val="none" w:sz="0" w:space="0" w:color="auto"/>
        <w:bottom w:val="none" w:sz="0" w:space="0" w:color="auto"/>
        <w:right w:val="none" w:sz="0" w:space="0" w:color="auto"/>
      </w:divBdr>
    </w:div>
    <w:div w:id="490290398">
      <w:bodyDiv w:val="1"/>
      <w:marLeft w:val="0"/>
      <w:marRight w:val="0"/>
      <w:marTop w:val="0"/>
      <w:marBottom w:val="0"/>
      <w:divBdr>
        <w:top w:val="none" w:sz="0" w:space="0" w:color="auto"/>
        <w:left w:val="none" w:sz="0" w:space="0" w:color="auto"/>
        <w:bottom w:val="none" w:sz="0" w:space="0" w:color="auto"/>
        <w:right w:val="none" w:sz="0" w:space="0" w:color="auto"/>
      </w:divBdr>
    </w:div>
    <w:div w:id="490291142">
      <w:bodyDiv w:val="1"/>
      <w:marLeft w:val="0"/>
      <w:marRight w:val="0"/>
      <w:marTop w:val="0"/>
      <w:marBottom w:val="0"/>
      <w:divBdr>
        <w:top w:val="none" w:sz="0" w:space="0" w:color="auto"/>
        <w:left w:val="none" w:sz="0" w:space="0" w:color="auto"/>
        <w:bottom w:val="none" w:sz="0" w:space="0" w:color="auto"/>
        <w:right w:val="none" w:sz="0" w:space="0" w:color="auto"/>
      </w:divBdr>
    </w:div>
    <w:div w:id="490368239">
      <w:bodyDiv w:val="1"/>
      <w:marLeft w:val="0"/>
      <w:marRight w:val="0"/>
      <w:marTop w:val="0"/>
      <w:marBottom w:val="0"/>
      <w:divBdr>
        <w:top w:val="none" w:sz="0" w:space="0" w:color="auto"/>
        <w:left w:val="none" w:sz="0" w:space="0" w:color="auto"/>
        <w:bottom w:val="none" w:sz="0" w:space="0" w:color="auto"/>
        <w:right w:val="none" w:sz="0" w:space="0" w:color="auto"/>
      </w:divBdr>
    </w:div>
    <w:div w:id="490635027">
      <w:bodyDiv w:val="1"/>
      <w:marLeft w:val="0"/>
      <w:marRight w:val="0"/>
      <w:marTop w:val="0"/>
      <w:marBottom w:val="0"/>
      <w:divBdr>
        <w:top w:val="none" w:sz="0" w:space="0" w:color="auto"/>
        <w:left w:val="none" w:sz="0" w:space="0" w:color="auto"/>
        <w:bottom w:val="none" w:sz="0" w:space="0" w:color="auto"/>
        <w:right w:val="none" w:sz="0" w:space="0" w:color="auto"/>
      </w:divBdr>
    </w:div>
    <w:div w:id="490676918">
      <w:bodyDiv w:val="1"/>
      <w:marLeft w:val="0"/>
      <w:marRight w:val="0"/>
      <w:marTop w:val="0"/>
      <w:marBottom w:val="0"/>
      <w:divBdr>
        <w:top w:val="none" w:sz="0" w:space="0" w:color="auto"/>
        <w:left w:val="none" w:sz="0" w:space="0" w:color="auto"/>
        <w:bottom w:val="none" w:sz="0" w:space="0" w:color="auto"/>
        <w:right w:val="none" w:sz="0" w:space="0" w:color="auto"/>
      </w:divBdr>
    </w:div>
    <w:div w:id="491025371">
      <w:bodyDiv w:val="1"/>
      <w:marLeft w:val="0"/>
      <w:marRight w:val="0"/>
      <w:marTop w:val="0"/>
      <w:marBottom w:val="0"/>
      <w:divBdr>
        <w:top w:val="none" w:sz="0" w:space="0" w:color="auto"/>
        <w:left w:val="none" w:sz="0" w:space="0" w:color="auto"/>
        <w:bottom w:val="none" w:sz="0" w:space="0" w:color="auto"/>
        <w:right w:val="none" w:sz="0" w:space="0" w:color="auto"/>
      </w:divBdr>
    </w:div>
    <w:div w:id="491064088">
      <w:bodyDiv w:val="1"/>
      <w:marLeft w:val="0"/>
      <w:marRight w:val="0"/>
      <w:marTop w:val="0"/>
      <w:marBottom w:val="0"/>
      <w:divBdr>
        <w:top w:val="none" w:sz="0" w:space="0" w:color="auto"/>
        <w:left w:val="none" w:sz="0" w:space="0" w:color="auto"/>
        <w:bottom w:val="none" w:sz="0" w:space="0" w:color="auto"/>
        <w:right w:val="none" w:sz="0" w:space="0" w:color="auto"/>
      </w:divBdr>
    </w:div>
    <w:div w:id="491068927">
      <w:bodyDiv w:val="1"/>
      <w:marLeft w:val="0"/>
      <w:marRight w:val="0"/>
      <w:marTop w:val="0"/>
      <w:marBottom w:val="0"/>
      <w:divBdr>
        <w:top w:val="none" w:sz="0" w:space="0" w:color="auto"/>
        <w:left w:val="none" w:sz="0" w:space="0" w:color="auto"/>
        <w:bottom w:val="none" w:sz="0" w:space="0" w:color="auto"/>
        <w:right w:val="none" w:sz="0" w:space="0" w:color="auto"/>
      </w:divBdr>
    </w:div>
    <w:div w:id="491142695">
      <w:bodyDiv w:val="1"/>
      <w:marLeft w:val="0"/>
      <w:marRight w:val="0"/>
      <w:marTop w:val="0"/>
      <w:marBottom w:val="0"/>
      <w:divBdr>
        <w:top w:val="none" w:sz="0" w:space="0" w:color="auto"/>
        <w:left w:val="none" w:sz="0" w:space="0" w:color="auto"/>
        <w:bottom w:val="none" w:sz="0" w:space="0" w:color="auto"/>
        <w:right w:val="none" w:sz="0" w:space="0" w:color="auto"/>
      </w:divBdr>
    </w:div>
    <w:div w:id="491258407">
      <w:bodyDiv w:val="1"/>
      <w:marLeft w:val="0"/>
      <w:marRight w:val="0"/>
      <w:marTop w:val="0"/>
      <w:marBottom w:val="0"/>
      <w:divBdr>
        <w:top w:val="none" w:sz="0" w:space="0" w:color="auto"/>
        <w:left w:val="none" w:sz="0" w:space="0" w:color="auto"/>
        <w:bottom w:val="none" w:sz="0" w:space="0" w:color="auto"/>
        <w:right w:val="none" w:sz="0" w:space="0" w:color="auto"/>
      </w:divBdr>
    </w:div>
    <w:div w:id="491332411">
      <w:bodyDiv w:val="1"/>
      <w:marLeft w:val="0"/>
      <w:marRight w:val="0"/>
      <w:marTop w:val="0"/>
      <w:marBottom w:val="0"/>
      <w:divBdr>
        <w:top w:val="none" w:sz="0" w:space="0" w:color="auto"/>
        <w:left w:val="none" w:sz="0" w:space="0" w:color="auto"/>
        <w:bottom w:val="none" w:sz="0" w:space="0" w:color="auto"/>
        <w:right w:val="none" w:sz="0" w:space="0" w:color="auto"/>
      </w:divBdr>
    </w:div>
    <w:div w:id="491336960">
      <w:bodyDiv w:val="1"/>
      <w:marLeft w:val="0"/>
      <w:marRight w:val="0"/>
      <w:marTop w:val="0"/>
      <w:marBottom w:val="0"/>
      <w:divBdr>
        <w:top w:val="none" w:sz="0" w:space="0" w:color="auto"/>
        <w:left w:val="none" w:sz="0" w:space="0" w:color="auto"/>
        <w:bottom w:val="none" w:sz="0" w:space="0" w:color="auto"/>
        <w:right w:val="none" w:sz="0" w:space="0" w:color="auto"/>
      </w:divBdr>
    </w:div>
    <w:div w:id="491339542">
      <w:bodyDiv w:val="1"/>
      <w:marLeft w:val="0"/>
      <w:marRight w:val="0"/>
      <w:marTop w:val="0"/>
      <w:marBottom w:val="0"/>
      <w:divBdr>
        <w:top w:val="none" w:sz="0" w:space="0" w:color="auto"/>
        <w:left w:val="none" w:sz="0" w:space="0" w:color="auto"/>
        <w:bottom w:val="none" w:sz="0" w:space="0" w:color="auto"/>
        <w:right w:val="none" w:sz="0" w:space="0" w:color="auto"/>
      </w:divBdr>
    </w:div>
    <w:div w:id="491529674">
      <w:bodyDiv w:val="1"/>
      <w:marLeft w:val="0"/>
      <w:marRight w:val="0"/>
      <w:marTop w:val="0"/>
      <w:marBottom w:val="0"/>
      <w:divBdr>
        <w:top w:val="none" w:sz="0" w:space="0" w:color="auto"/>
        <w:left w:val="none" w:sz="0" w:space="0" w:color="auto"/>
        <w:bottom w:val="none" w:sz="0" w:space="0" w:color="auto"/>
        <w:right w:val="none" w:sz="0" w:space="0" w:color="auto"/>
      </w:divBdr>
    </w:div>
    <w:div w:id="491601329">
      <w:bodyDiv w:val="1"/>
      <w:marLeft w:val="0"/>
      <w:marRight w:val="0"/>
      <w:marTop w:val="0"/>
      <w:marBottom w:val="0"/>
      <w:divBdr>
        <w:top w:val="none" w:sz="0" w:space="0" w:color="auto"/>
        <w:left w:val="none" w:sz="0" w:space="0" w:color="auto"/>
        <w:bottom w:val="none" w:sz="0" w:space="0" w:color="auto"/>
        <w:right w:val="none" w:sz="0" w:space="0" w:color="auto"/>
      </w:divBdr>
    </w:div>
    <w:div w:id="491604541">
      <w:bodyDiv w:val="1"/>
      <w:marLeft w:val="0"/>
      <w:marRight w:val="0"/>
      <w:marTop w:val="0"/>
      <w:marBottom w:val="0"/>
      <w:divBdr>
        <w:top w:val="none" w:sz="0" w:space="0" w:color="auto"/>
        <w:left w:val="none" w:sz="0" w:space="0" w:color="auto"/>
        <w:bottom w:val="none" w:sz="0" w:space="0" w:color="auto"/>
        <w:right w:val="none" w:sz="0" w:space="0" w:color="auto"/>
      </w:divBdr>
    </w:div>
    <w:div w:id="491677488">
      <w:bodyDiv w:val="1"/>
      <w:marLeft w:val="0"/>
      <w:marRight w:val="0"/>
      <w:marTop w:val="0"/>
      <w:marBottom w:val="0"/>
      <w:divBdr>
        <w:top w:val="none" w:sz="0" w:space="0" w:color="auto"/>
        <w:left w:val="none" w:sz="0" w:space="0" w:color="auto"/>
        <w:bottom w:val="none" w:sz="0" w:space="0" w:color="auto"/>
        <w:right w:val="none" w:sz="0" w:space="0" w:color="auto"/>
      </w:divBdr>
    </w:div>
    <w:div w:id="491799452">
      <w:bodyDiv w:val="1"/>
      <w:marLeft w:val="0"/>
      <w:marRight w:val="0"/>
      <w:marTop w:val="0"/>
      <w:marBottom w:val="0"/>
      <w:divBdr>
        <w:top w:val="none" w:sz="0" w:space="0" w:color="auto"/>
        <w:left w:val="none" w:sz="0" w:space="0" w:color="auto"/>
        <w:bottom w:val="none" w:sz="0" w:space="0" w:color="auto"/>
        <w:right w:val="none" w:sz="0" w:space="0" w:color="auto"/>
      </w:divBdr>
    </w:div>
    <w:div w:id="491800976">
      <w:bodyDiv w:val="1"/>
      <w:marLeft w:val="0"/>
      <w:marRight w:val="0"/>
      <w:marTop w:val="0"/>
      <w:marBottom w:val="0"/>
      <w:divBdr>
        <w:top w:val="none" w:sz="0" w:space="0" w:color="auto"/>
        <w:left w:val="none" w:sz="0" w:space="0" w:color="auto"/>
        <w:bottom w:val="none" w:sz="0" w:space="0" w:color="auto"/>
        <w:right w:val="none" w:sz="0" w:space="0" w:color="auto"/>
      </w:divBdr>
    </w:div>
    <w:div w:id="491872669">
      <w:bodyDiv w:val="1"/>
      <w:marLeft w:val="0"/>
      <w:marRight w:val="0"/>
      <w:marTop w:val="0"/>
      <w:marBottom w:val="0"/>
      <w:divBdr>
        <w:top w:val="none" w:sz="0" w:space="0" w:color="auto"/>
        <w:left w:val="none" w:sz="0" w:space="0" w:color="auto"/>
        <w:bottom w:val="none" w:sz="0" w:space="0" w:color="auto"/>
        <w:right w:val="none" w:sz="0" w:space="0" w:color="auto"/>
      </w:divBdr>
    </w:div>
    <w:div w:id="491992562">
      <w:bodyDiv w:val="1"/>
      <w:marLeft w:val="0"/>
      <w:marRight w:val="0"/>
      <w:marTop w:val="0"/>
      <w:marBottom w:val="0"/>
      <w:divBdr>
        <w:top w:val="none" w:sz="0" w:space="0" w:color="auto"/>
        <w:left w:val="none" w:sz="0" w:space="0" w:color="auto"/>
        <w:bottom w:val="none" w:sz="0" w:space="0" w:color="auto"/>
        <w:right w:val="none" w:sz="0" w:space="0" w:color="auto"/>
      </w:divBdr>
    </w:div>
    <w:div w:id="492064401">
      <w:bodyDiv w:val="1"/>
      <w:marLeft w:val="0"/>
      <w:marRight w:val="0"/>
      <w:marTop w:val="0"/>
      <w:marBottom w:val="0"/>
      <w:divBdr>
        <w:top w:val="none" w:sz="0" w:space="0" w:color="auto"/>
        <w:left w:val="none" w:sz="0" w:space="0" w:color="auto"/>
        <w:bottom w:val="none" w:sz="0" w:space="0" w:color="auto"/>
        <w:right w:val="none" w:sz="0" w:space="0" w:color="auto"/>
      </w:divBdr>
    </w:div>
    <w:div w:id="492259367">
      <w:bodyDiv w:val="1"/>
      <w:marLeft w:val="0"/>
      <w:marRight w:val="0"/>
      <w:marTop w:val="0"/>
      <w:marBottom w:val="0"/>
      <w:divBdr>
        <w:top w:val="none" w:sz="0" w:space="0" w:color="auto"/>
        <w:left w:val="none" w:sz="0" w:space="0" w:color="auto"/>
        <w:bottom w:val="none" w:sz="0" w:space="0" w:color="auto"/>
        <w:right w:val="none" w:sz="0" w:space="0" w:color="auto"/>
      </w:divBdr>
    </w:div>
    <w:div w:id="492260952">
      <w:bodyDiv w:val="1"/>
      <w:marLeft w:val="0"/>
      <w:marRight w:val="0"/>
      <w:marTop w:val="0"/>
      <w:marBottom w:val="0"/>
      <w:divBdr>
        <w:top w:val="none" w:sz="0" w:space="0" w:color="auto"/>
        <w:left w:val="none" w:sz="0" w:space="0" w:color="auto"/>
        <w:bottom w:val="none" w:sz="0" w:space="0" w:color="auto"/>
        <w:right w:val="none" w:sz="0" w:space="0" w:color="auto"/>
      </w:divBdr>
    </w:div>
    <w:div w:id="492330964">
      <w:bodyDiv w:val="1"/>
      <w:marLeft w:val="0"/>
      <w:marRight w:val="0"/>
      <w:marTop w:val="0"/>
      <w:marBottom w:val="0"/>
      <w:divBdr>
        <w:top w:val="none" w:sz="0" w:space="0" w:color="auto"/>
        <w:left w:val="none" w:sz="0" w:space="0" w:color="auto"/>
        <w:bottom w:val="none" w:sz="0" w:space="0" w:color="auto"/>
        <w:right w:val="none" w:sz="0" w:space="0" w:color="auto"/>
      </w:divBdr>
    </w:div>
    <w:div w:id="492333704">
      <w:bodyDiv w:val="1"/>
      <w:marLeft w:val="0"/>
      <w:marRight w:val="0"/>
      <w:marTop w:val="0"/>
      <w:marBottom w:val="0"/>
      <w:divBdr>
        <w:top w:val="none" w:sz="0" w:space="0" w:color="auto"/>
        <w:left w:val="none" w:sz="0" w:space="0" w:color="auto"/>
        <w:bottom w:val="none" w:sz="0" w:space="0" w:color="auto"/>
        <w:right w:val="none" w:sz="0" w:space="0" w:color="auto"/>
      </w:divBdr>
    </w:div>
    <w:div w:id="492648266">
      <w:bodyDiv w:val="1"/>
      <w:marLeft w:val="0"/>
      <w:marRight w:val="0"/>
      <w:marTop w:val="0"/>
      <w:marBottom w:val="0"/>
      <w:divBdr>
        <w:top w:val="none" w:sz="0" w:space="0" w:color="auto"/>
        <w:left w:val="none" w:sz="0" w:space="0" w:color="auto"/>
        <w:bottom w:val="none" w:sz="0" w:space="0" w:color="auto"/>
        <w:right w:val="none" w:sz="0" w:space="0" w:color="auto"/>
      </w:divBdr>
    </w:div>
    <w:div w:id="492719098">
      <w:bodyDiv w:val="1"/>
      <w:marLeft w:val="0"/>
      <w:marRight w:val="0"/>
      <w:marTop w:val="0"/>
      <w:marBottom w:val="0"/>
      <w:divBdr>
        <w:top w:val="none" w:sz="0" w:space="0" w:color="auto"/>
        <w:left w:val="none" w:sz="0" w:space="0" w:color="auto"/>
        <w:bottom w:val="none" w:sz="0" w:space="0" w:color="auto"/>
        <w:right w:val="none" w:sz="0" w:space="0" w:color="auto"/>
      </w:divBdr>
    </w:div>
    <w:div w:id="492837995">
      <w:bodyDiv w:val="1"/>
      <w:marLeft w:val="0"/>
      <w:marRight w:val="0"/>
      <w:marTop w:val="0"/>
      <w:marBottom w:val="0"/>
      <w:divBdr>
        <w:top w:val="none" w:sz="0" w:space="0" w:color="auto"/>
        <w:left w:val="none" w:sz="0" w:space="0" w:color="auto"/>
        <w:bottom w:val="none" w:sz="0" w:space="0" w:color="auto"/>
        <w:right w:val="none" w:sz="0" w:space="0" w:color="auto"/>
      </w:divBdr>
    </w:div>
    <w:div w:id="492840241">
      <w:bodyDiv w:val="1"/>
      <w:marLeft w:val="0"/>
      <w:marRight w:val="0"/>
      <w:marTop w:val="0"/>
      <w:marBottom w:val="0"/>
      <w:divBdr>
        <w:top w:val="none" w:sz="0" w:space="0" w:color="auto"/>
        <w:left w:val="none" w:sz="0" w:space="0" w:color="auto"/>
        <w:bottom w:val="none" w:sz="0" w:space="0" w:color="auto"/>
        <w:right w:val="none" w:sz="0" w:space="0" w:color="auto"/>
      </w:divBdr>
    </w:div>
    <w:div w:id="492916797">
      <w:bodyDiv w:val="1"/>
      <w:marLeft w:val="0"/>
      <w:marRight w:val="0"/>
      <w:marTop w:val="0"/>
      <w:marBottom w:val="0"/>
      <w:divBdr>
        <w:top w:val="none" w:sz="0" w:space="0" w:color="auto"/>
        <w:left w:val="none" w:sz="0" w:space="0" w:color="auto"/>
        <w:bottom w:val="none" w:sz="0" w:space="0" w:color="auto"/>
        <w:right w:val="none" w:sz="0" w:space="0" w:color="auto"/>
      </w:divBdr>
    </w:div>
    <w:div w:id="493108504">
      <w:bodyDiv w:val="1"/>
      <w:marLeft w:val="0"/>
      <w:marRight w:val="0"/>
      <w:marTop w:val="0"/>
      <w:marBottom w:val="0"/>
      <w:divBdr>
        <w:top w:val="none" w:sz="0" w:space="0" w:color="auto"/>
        <w:left w:val="none" w:sz="0" w:space="0" w:color="auto"/>
        <w:bottom w:val="none" w:sz="0" w:space="0" w:color="auto"/>
        <w:right w:val="none" w:sz="0" w:space="0" w:color="auto"/>
      </w:divBdr>
    </w:div>
    <w:div w:id="493493732">
      <w:bodyDiv w:val="1"/>
      <w:marLeft w:val="0"/>
      <w:marRight w:val="0"/>
      <w:marTop w:val="0"/>
      <w:marBottom w:val="0"/>
      <w:divBdr>
        <w:top w:val="none" w:sz="0" w:space="0" w:color="auto"/>
        <w:left w:val="none" w:sz="0" w:space="0" w:color="auto"/>
        <w:bottom w:val="none" w:sz="0" w:space="0" w:color="auto"/>
        <w:right w:val="none" w:sz="0" w:space="0" w:color="auto"/>
      </w:divBdr>
    </w:div>
    <w:div w:id="493569549">
      <w:bodyDiv w:val="1"/>
      <w:marLeft w:val="0"/>
      <w:marRight w:val="0"/>
      <w:marTop w:val="0"/>
      <w:marBottom w:val="0"/>
      <w:divBdr>
        <w:top w:val="none" w:sz="0" w:space="0" w:color="auto"/>
        <w:left w:val="none" w:sz="0" w:space="0" w:color="auto"/>
        <w:bottom w:val="none" w:sz="0" w:space="0" w:color="auto"/>
        <w:right w:val="none" w:sz="0" w:space="0" w:color="auto"/>
      </w:divBdr>
    </w:div>
    <w:div w:id="493572476">
      <w:bodyDiv w:val="1"/>
      <w:marLeft w:val="0"/>
      <w:marRight w:val="0"/>
      <w:marTop w:val="0"/>
      <w:marBottom w:val="0"/>
      <w:divBdr>
        <w:top w:val="none" w:sz="0" w:space="0" w:color="auto"/>
        <w:left w:val="none" w:sz="0" w:space="0" w:color="auto"/>
        <w:bottom w:val="none" w:sz="0" w:space="0" w:color="auto"/>
        <w:right w:val="none" w:sz="0" w:space="0" w:color="auto"/>
      </w:divBdr>
    </w:div>
    <w:div w:id="493572830">
      <w:bodyDiv w:val="1"/>
      <w:marLeft w:val="0"/>
      <w:marRight w:val="0"/>
      <w:marTop w:val="0"/>
      <w:marBottom w:val="0"/>
      <w:divBdr>
        <w:top w:val="none" w:sz="0" w:space="0" w:color="auto"/>
        <w:left w:val="none" w:sz="0" w:space="0" w:color="auto"/>
        <w:bottom w:val="none" w:sz="0" w:space="0" w:color="auto"/>
        <w:right w:val="none" w:sz="0" w:space="0" w:color="auto"/>
      </w:divBdr>
    </w:div>
    <w:div w:id="493617473">
      <w:bodyDiv w:val="1"/>
      <w:marLeft w:val="0"/>
      <w:marRight w:val="0"/>
      <w:marTop w:val="0"/>
      <w:marBottom w:val="0"/>
      <w:divBdr>
        <w:top w:val="none" w:sz="0" w:space="0" w:color="auto"/>
        <w:left w:val="none" w:sz="0" w:space="0" w:color="auto"/>
        <w:bottom w:val="none" w:sz="0" w:space="0" w:color="auto"/>
        <w:right w:val="none" w:sz="0" w:space="0" w:color="auto"/>
      </w:divBdr>
    </w:div>
    <w:div w:id="493683489">
      <w:bodyDiv w:val="1"/>
      <w:marLeft w:val="0"/>
      <w:marRight w:val="0"/>
      <w:marTop w:val="0"/>
      <w:marBottom w:val="0"/>
      <w:divBdr>
        <w:top w:val="none" w:sz="0" w:space="0" w:color="auto"/>
        <w:left w:val="none" w:sz="0" w:space="0" w:color="auto"/>
        <w:bottom w:val="none" w:sz="0" w:space="0" w:color="auto"/>
        <w:right w:val="none" w:sz="0" w:space="0" w:color="auto"/>
      </w:divBdr>
    </w:div>
    <w:div w:id="494078273">
      <w:bodyDiv w:val="1"/>
      <w:marLeft w:val="0"/>
      <w:marRight w:val="0"/>
      <w:marTop w:val="0"/>
      <w:marBottom w:val="0"/>
      <w:divBdr>
        <w:top w:val="none" w:sz="0" w:space="0" w:color="auto"/>
        <w:left w:val="none" w:sz="0" w:space="0" w:color="auto"/>
        <w:bottom w:val="none" w:sz="0" w:space="0" w:color="auto"/>
        <w:right w:val="none" w:sz="0" w:space="0" w:color="auto"/>
      </w:divBdr>
    </w:div>
    <w:div w:id="494151538">
      <w:bodyDiv w:val="1"/>
      <w:marLeft w:val="0"/>
      <w:marRight w:val="0"/>
      <w:marTop w:val="0"/>
      <w:marBottom w:val="0"/>
      <w:divBdr>
        <w:top w:val="none" w:sz="0" w:space="0" w:color="auto"/>
        <w:left w:val="none" w:sz="0" w:space="0" w:color="auto"/>
        <w:bottom w:val="none" w:sz="0" w:space="0" w:color="auto"/>
        <w:right w:val="none" w:sz="0" w:space="0" w:color="auto"/>
      </w:divBdr>
    </w:div>
    <w:div w:id="494221065">
      <w:bodyDiv w:val="1"/>
      <w:marLeft w:val="0"/>
      <w:marRight w:val="0"/>
      <w:marTop w:val="0"/>
      <w:marBottom w:val="0"/>
      <w:divBdr>
        <w:top w:val="none" w:sz="0" w:space="0" w:color="auto"/>
        <w:left w:val="none" w:sz="0" w:space="0" w:color="auto"/>
        <w:bottom w:val="none" w:sz="0" w:space="0" w:color="auto"/>
        <w:right w:val="none" w:sz="0" w:space="0" w:color="auto"/>
      </w:divBdr>
    </w:div>
    <w:div w:id="494221838">
      <w:bodyDiv w:val="1"/>
      <w:marLeft w:val="0"/>
      <w:marRight w:val="0"/>
      <w:marTop w:val="0"/>
      <w:marBottom w:val="0"/>
      <w:divBdr>
        <w:top w:val="none" w:sz="0" w:space="0" w:color="auto"/>
        <w:left w:val="none" w:sz="0" w:space="0" w:color="auto"/>
        <w:bottom w:val="none" w:sz="0" w:space="0" w:color="auto"/>
        <w:right w:val="none" w:sz="0" w:space="0" w:color="auto"/>
      </w:divBdr>
    </w:div>
    <w:div w:id="494301576">
      <w:bodyDiv w:val="1"/>
      <w:marLeft w:val="0"/>
      <w:marRight w:val="0"/>
      <w:marTop w:val="0"/>
      <w:marBottom w:val="0"/>
      <w:divBdr>
        <w:top w:val="none" w:sz="0" w:space="0" w:color="auto"/>
        <w:left w:val="none" w:sz="0" w:space="0" w:color="auto"/>
        <w:bottom w:val="none" w:sz="0" w:space="0" w:color="auto"/>
        <w:right w:val="none" w:sz="0" w:space="0" w:color="auto"/>
      </w:divBdr>
    </w:div>
    <w:div w:id="494417822">
      <w:bodyDiv w:val="1"/>
      <w:marLeft w:val="0"/>
      <w:marRight w:val="0"/>
      <w:marTop w:val="0"/>
      <w:marBottom w:val="0"/>
      <w:divBdr>
        <w:top w:val="none" w:sz="0" w:space="0" w:color="auto"/>
        <w:left w:val="none" w:sz="0" w:space="0" w:color="auto"/>
        <w:bottom w:val="none" w:sz="0" w:space="0" w:color="auto"/>
        <w:right w:val="none" w:sz="0" w:space="0" w:color="auto"/>
      </w:divBdr>
    </w:div>
    <w:div w:id="494498529">
      <w:bodyDiv w:val="1"/>
      <w:marLeft w:val="0"/>
      <w:marRight w:val="0"/>
      <w:marTop w:val="0"/>
      <w:marBottom w:val="0"/>
      <w:divBdr>
        <w:top w:val="none" w:sz="0" w:space="0" w:color="auto"/>
        <w:left w:val="none" w:sz="0" w:space="0" w:color="auto"/>
        <w:bottom w:val="none" w:sz="0" w:space="0" w:color="auto"/>
        <w:right w:val="none" w:sz="0" w:space="0" w:color="auto"/>
      </w:divBdr>
    </w:div>
    <w:div w:id="494541306">
      <w:bodyDiv w:val="1"/>
      <w:marLeft w:val="0"/>
      <w:marRight w:val="0"/>
      <w:marTop w:val="0"/>
      <w:marBottom w:val="0"/>
      <w:divBdr>
        <w:top w:val="none" w:sz="0" w:space="0" w:color="auto"/>
        <w:left w:val="none" w:sz="0" w:space="0" w:color="auto"/>
        <w:bottom w:val="none" w:sz="0" w:space="0" w:color="auto"/>
        <w:right w:val="none" w:sz="0" w:space="0" w:color="auto"/>
      </w:divBdr>
    </w:div>
    <w:div w:id="494877823">
      <w:bodyDiv w:val="1"/>
      <w:marLeft w:val="0"/>
      <w:marRight w:val="0"/>
      <w:marTop w:val="0"/>
      <w:marBottom w:val="0"/>
      <w:divBdr>
        <w:top w:val="none" w:sz="0" w:space="0" w:color="auto"/>
        <w:left w:val="none" w:sz="0" w:space="0" w:color="auto"/>
        <w:bottom w:val="none" w:sz="0" w:space="0" w:color="auto"/>
        <w:right w:val="none" w:sz="0" w:space="0" w:color="auto"/>
      </w:divBdr>
    </w:div>
    <w:div w:id="494878449">
      <w:bodyDiv w:val="1"/>
      <w:marLeft w:val="0"/>
      <w:marRight w:val="0"/>
      <w:marTop w:val="0"/>
      <w:marBottom w:val="0"/>
      <w:divBdr>
        <w:top w:val="none" w:sz="0" w:space="0" w:color="auto"/>
        <w:left w:val="none" w:sz="0" w:space="0" w:color="auto"/>
        <w:bottom w:val="none" w:sz="0" w:space="0" w:color="auto"/>
        <w:right w:val="none" w:sz="0" w:space="0" w:color="auto"/>
      </w:divBdr>
    </w:div>
    <w:div w:id="494879402">
      <w:bodyDiv w:val="1"/>
      <w:marLeft w:val="0"/>
      <w:marRight w:val="0"/>
      <w:marTop w:val="0"/>
      <w:marBottom w:val="0"/>
      <w:divBdr>
        <w:top w:val="none" w:sz="0" w:space="0" w:color="auto"/>
        <w:left w:val="none" w:sz="0" w:space="0" w:color="auto"/>
        <w:bottom w:val="none" w:sz="0" w:space="0" w:color="auto"/>
        <w:right w:val="none" w:sz="0" w:space="0" w:color="auto"/>
      </w:divBdr>
    </w:div>
    <w:div w:id="494880088">
      <w:bodyDiv w:val="1"/>
      <w:marLeft w:val="0"/>
      <w:marRight w:val="0"/>
      <w:marTop w:val="0"/>
      <w:marBottom w:val="0"/>
      <w:divBdr>
        <w:top w:val="none" w:sz="0" w:space="0" w:color="auto"/>
        <w:left w:val="none" w:sz="0" w:space="0" w:color="auto"/>
        <w:bottom w:val="none" w:sz="0" w:space="0" w:color="auto"/>
        <w:right w:val="none" w:sz="0" w:space="0" w:color="auto"/>
      </w:divBdr>
    </w:div>
    <w:div w:id="494881535">
      <w:bodyDiv w:val="1"/>
      <w:marLeft w:val="0"/>
      <w:marRight w:val="0"/>
      <w:marTop w:val="0"/>
      <w:marBottom w:val="0"/>
      <w:divBdr>
        <w:top w:val="none" w:sz="0" w:space="0" w:color="auto"/>
        <w:left w:val="none" w:sz="0" w:space="0" w:color="auto"/>
        <w:bottom w:val="none" w:sz="0" w:space="0" w:color="auto"/>
        <w:right w:val="none" w:sz="0" w:space="0" w:color="auto"/>
      </w:divBdr>
    </w:div>
    <w:div w:id="494882933">
      <w:bodyDiv w:val="1"/>
      <w:marLeft w:val="0"/>
      <w:marRight w:val="0"/>
      <w:marTop w:val="0"/>
      <w:marBottom w:val="0"/>
      <w:divBdr>
        <w:top w:val="none" w:sz="0" w:space="0" w:color="auto"/>
        <w:left w:val="none" w:sz="0" w:space="0" w:color="auto"/>
        <w:bottom w:val="none" w:sz="0" w:space="0" w:color="auto"/>
        <w:right w:val="none" w:sz="0" w:space="0" w:color="auto"/>
      </w:divBdr>
    </w:div>
    <w:div w:id="494883508">
      <w:bodyDiv w:val="1"/>
      <w:marLeft w:val="0"/>
      <w:marRight w:val="0"/>
      <w:marTop w:val="0"/>
      <w:marBottom w:val="0"/>
      <w:divBdr>
        <w:top w:val="none" w:sz="0" w:space="0" w:color="auto"/>
        <w:left w:val="none" w:sz="0" w:space="0" w:color="auto"/>
        <w:bottom w:val="none" w:sz="0" w:space="0" w:color="auto"/>
        <w:right w:val="none" w:sz="0" w:space="0" w:color="auto"/>
      </w:divBdr>
    </w:div>
    <w:div w:id="494952642">
      <w:bodyDiv w:val="1"/>
      <w:marLeft w:val="0"/>
      <w:marRight w:val="0"/>
      <w:marTop w:val="0"/>
      <w:marBottom w:val="0"/>
      <w:divBdr>
        <w:top w:val="none" w:sz="0" w:space="0" w:color="auto"/>
        <w:left w:val="none" w:sz="0" w:space="0" w:color="auto"/>
        <w:bottom w:val="none" w:sz="0" w:space="0" w:color="auto"/>
        <w:right w:val="none" w:sz="0" w:space="0" w:color="auto"/>
      </w:divBdr>
    </w:div>
    <w:div w:id="494955360">
      <w:bodyDiv w:val="1"/>
      <w:marLeft w:val="0"/>
      <w:marRight w:val="0"/>
      <w:marTop w:val="0"/>
      <w:marBottom w:val="0"/>
      <w:divBdr>
        <w:top w:val="none" w:sz="0" w:space="0" w:color="auto"/>
        <w:left w:val="none" w:sz="0" w:space="0" w:color="auto"/>
        <w:bottom w:val="none" w:sz="0" w:space="0" w:color="auto"/>
        <w:right w:val="none" w:sz="0" w:space="0" w:color="auto"/>
      </w:divBdr>
    </w:div>
    <w:div w:id="494999493">
      <w:bodyDiv w:val="1"/>
      <w:marLeft w:val="0"/>
      <w:marRight w:val="0"/>
      <w:marTop w:val="0"/>
      <w:marBottom w:val="0"/>
      <w:divBdr>
        <w:top w:val="none" w:sz="0" w:space="0" w:color="auto"/>
        <w:left w:val="none" w:sz="0" w:space="0" w:color="auto"/>
        <w:bottom w:val="none" w:sz="0" w:space="0" w:color="auto"/>
        <w:right w:val="none" w:sz="0" w:space="0" w:color="auto"/>
      </w:divBdr>
    </w:div>
    <w:div w:id="495071042">
      <w:bodyDiv w:val="1"/>
      <w:marLeft w:val="0"/>
      <w:marRight w:val="0"/>
      <w:marTop w:val="0"/>
      <w:marBottom w:val="0"/>
      <w:divBdr>
        <w:top w:val="none" w:sz="0" w:space="0" w:color="auto"/>
        <w:left w:val="none" w:sz="0" w:space="0" w:color="auto"/>
        <w:bottom w:val="none" w:sz="0" w:space="0" w:color="auto"/>
        <w:right w:val="none" w:sz="0" w:space="0" w:color="auto"/>
      </w:divBdr>
    </w:div>
    <w:div w:id="495071383">
      <w:bodyDiv w:val="1"/>
      <w:marLeft w:val="0"/>
      <w:marRight w:val="0"/>
      <w:marTop w:val="0"/>
      <w:marBottom w:val="0"/>
      <w:divBdr>
        <w:top w:val="none" w:sz="0" w:space="0" w:color="auto"/>
        <w:left w:val="none" w:sz="0" w:space="0" w:color="auto"/>
        <w:bottom w:val="none" w:sz="0" w:space="0" w:color="auto"/>
        <w:right w:val="none" w:sz="0" w:space="0" w:color="auto"/>
      </w:divBdr>
    </w:div>
    <w:div w:id="495146929">
      <w:bodyDiv w:val="1"/>
      <w:marLeft w:val="0"/>
      <w:marRight w:val="0"/>
      <w:marTop w:val="0"/>
      <w:marBottom w:val="0"/>
      <w:divBdr>
        <w:top w:val="none" w:sz="0" w:space="0" w:color="auto"/>
        <w:left w:val="none" w:sz="0" w:space="0" w:color="auto"/>
        <w:bottom w:val="none" w:sz="0" w:space="0" w:color="auto"/>
        <w:right w:val="none" w:sz="0" w:space="0" w:color="auto"/>
      </w:divBdr>
    </w:div>
    <w:div w:id="495195715">
      <w:bodyDiv w:val="1"/>
      <w:marLeft w:val="0"/>
      <w:marRight w:val="0"/>
      <w:marTop w:val="0"/>
      <w:marBottom w:val="0"/>
      <w:divBdr>
        <w:top w:val="none" w:sz="0" w:space="0" w:color="auto"/>
        <w:left w:val="none" w:sz="0" w:space="0" w:color="auto"/>
        <w:bottom w:val="none" w:sz="0" w:space="0" w:color="auto"/>
        <w:right w:val="none" w:sz="0" w:space="0" w:color="auto"/>
      </w:divBdr>
    </w:div>
    <w:div w:id="495196853">
      <w:bodyDiv w:val="1"/>
      <w:marLeft w:val="0"/>
      <w:marRight w:val="0"/>
      <w:marTop w:val="0"/>
      <w:marBottom w:val="0"/>
      <w:divBdr>
        <w:top w:val="none" w:sz="0" w:space="0" w:color="auto"/>
        <w:left w:val="none" w:sz="0" w:space="0" w:color="auto"/>
        <w:bottom w:val="none" w:sz="0" w:space="0" w:color="auto"/>
        <w:right w:val="none" w:sz="0" w:space="0" w:color="auto"/>
      </w:divBdr>
    </w:div>
    <w:div w:id="495271067">
      <w:bodyDiv w:val="1"/>
      <w:marLeft w:val="0"/>
      <w:marRight w:val="0"/>
      <w:marTop w:val="0"/>
      <w:marBottom w:val="0"/>
      <w:divBdr>
        <w:top w:val="none" w:sz="0" w:space="0" w:color="auto"/>
        <w:left w:val="none" w:sz="0" w:space="0" w:color="auto"/>
        <w:bottom w:val="none" w:sz="0" w:space="0" w:color="auto"/>
        <w:right w:val="none" w:sz="0" w:space="0" w:color="auto"/>
      </w:divBdr>
    </w:div>
    <w:div w:id="495271200">
      <w:bodyDiv w:val="1"/>
      <w:marLeft w:val="0"/>
      <w:marRight w:val="0"/>
      <w:marTop w:val="0"/>
      <w:marBottom w:val="0"/>
      <w:divBdr>
        <w:top w:val="none" w:sz="0" w:space="0" w:color="auto"/>
        <w:left w:val="none" w:sz="0" w:space="0" w:color="auto"/>
        <w:bottom w:val="none" w:sz="0" w:space="0" w:color="auto"/>
        <w:right w:val="none" w:sz="0" w:space="0" w:color="auto"/>
      </w:divBdr>
    </w:div>
    <w:div w:id="495338670">
      <w:bodyDiv w:val="1"/>
      <w:marLeft w:val="0"/>
      <w:marRight w:val="0"/>
      <w:marTop w:val="0"/>
      <w:marBottom w:val="0"/>
      <w:divBdr>
        <w:top w:val="none" w:sz="0" w:space="0" w:color="auto"/>
        <w:left w:val="none" w:sz="0" w:space="0" w:color="auto"/>
        <w:bottom w:val="none" w:sz="0" w:space="0" w:color="auto"/>
        <w:right w:val="none" w:sz="0" w:space="0" w:color="auto"/>
      </w:divBdr>
    </w:div>
    <w:div w:id="495341919">
      <w:bodyDiv w:val="1"/>
      <w:marLeft w:val="0"/>
      <w:marRight w:val="0"/>
      <w:marTop w:val="0"/>
      <w:marBottom w:val="0"/>
      <w:divBdr>
        <w:top w:val="none" w:sz="0" w:space="0" w:color="auto"/>
        <w:left w:val="none" w:sz="0" w:space="0" w:color="auto"/>
        <w:bottom w:val="none" w:sz="0" w:space="0" w:color="auto"/>
        <w:right w:val="none" w:sz="0" w:space="0" w:color="auto"/>
      </w:divBdr>
    </w:div>
    <w:div w:id="495346276">
      <w:bodyDiv w:val="1"/>
      <w:marLeft w:val="0"/>
      <w:marRight w:val="0"/>
      <w:marTop w:val="0"/>
      <w:marBottom w:val="0"/>
      <w:divBdr>
        <w:top w:val="none" w:sz="0" w:space="0" w:color="auto"/>
        <w:left w:val="none" w:sz="0" w:space="0" w:color="auto"/>
        <w:bottom w:val="none" w:sz="0" w:space="0" w:color="auto"/>
        <w:right w:val="none" w:sz="0" w:space="0" w:color="auto"/>
      </w:divBdr>
    </w:div>
    <w:div w:id="495388206">
      <w:bodyDiv w:val="1"/>
      <w:marLeft w:val="0"/>
      <w:marRight w:val="0"/>
      <w:marTop w:val="0"/>
      <w:marBottom w:val="0"/>
      <w:divBdr>
        <w:top w:val="none" w:sz="0" w:space="0" w:color="auto"/>
        <w:left w:val="none" w:sz="0" w:space="0" w:color="auto"/>
        <w:bottom w:val="none" w:sz="0" w:space="0" w:color="auto"/>
        <w:right w:val="none" w:sz="0" w:space="0" w:color="auto"/>
      </w:divBdr>
    </w:div>
    <w:div w:id="495413432">
      <w:bodyDiv w:val="1"/>
      <w:marLeft w:val="0"/>
      <w:marRight w:val="0"/>
      <w:marTop w:val="0"/>
      <w:marBottom w:val="0"/>
      <w:divBdr>
        <w:top w:val="none" w:sz="0" w:space="0" w:color="auto"/>
        <w:left w:val="none" w:sz="0" w:space="0" w:color="auto"/>
        <w:bottom w:val="none" w:sz="0" w:space="0" w:color="auto"/>
        <w:right w:val="none" w:sz="0" w:space="0" w:color="auto"/>
      </w:divBdr>
    </w:div>
    <w:div w:id="495413763">
      <w:bodyDiv w:val="1"/>
      <w:marLeft w:val="0"/>
      <w:marRight w:val="0"/>
      <w:marTop w:val="0"/>
      <w:marBottom w:val="0"/>
      <w:divBdr>
        <w:top w:val="none" w:sz="0" w:space="0" w:color="auto"/>
        <w:left w:val="none" w:sz="0" w:space="0" w:color="auto"/>
        <w:bottom w:val="none" w:sz="0" w:space="0" w:color="auto"/>
        <w:right w:val="none" w:sz="0" w:space="0" w:color="auto"/>
      </w:divBdr>
    </w:div>
    <w:div w:id="495416622">
      <w:bodyDiv w:val="1"/>
      <w:marLeft w:val="0"/>
      <w:marRight w:val="0"/>
      <w:marTop w:val="0"/>
      <w:marBottom w:val="0"/>
      <w:divBdr>
        <w:top w:val="none" w:sz="0" w:space="0" w:color="auto"/>
        <w:left w:val="none" w:sz="0" w:space="0" w:color="auto"/>
        <w:bottom w:val="none" w:sz="0" w:space="0" w:color="auto"/>
        <w:right w:val="none" w:sz="0" w:space="0" w:color="auto"/>
      </w:divBdr>
    </w:div>
    <w:div w:id="495458602">
      <w:bodyDiv w:val="1"/>
      <w:marLeft w:val="0"/>
      <w:marRight w:val="0"/>
      <w:marTop w:val="0"/>
      <w:marBottom w:val="0"/>
      <w:divBdr>
        <w:top w:val="none" w:sz="0" w:space="0" w:color="auto"/>
        <w:left w:val="none" w:sz="0" w:space="0" w:color="auto"/>
        <w:bottom w:val="none" w:sz="0" w:space="0" w:color="auto"/>
        <w:right w:val="none" w:sz="0" w:space="0" w:color="auto"/>
      </w:divBdr>
    </w:div>
    <w:div w:id="495461714">
      <w:bodyDiv w:val="1"/>
      <w:marLeft w:val="0"/>
      <w:marRight w:val="0"/>
      <w:marTop w:val="0"/>
      <w:marBottom w:val="0"/>
      <w:divBdr>
        <w:top w:val="none" w:sz="0" w:space="0" w:color="auto"/>
        <w:left w:val="none" w:sz="0" w:space="0" w:color="auto"/>
        <w:bottom w:val="none" w:sz="0" w:space="0" w:color="auto"/>
        <w:right w:val="none" w:sz="0" w:space="0" w:color="auto"/>
      </w:divBdr>
    </w:div>
    <w:div w:id="495611952">
      <w:bodyDiv w:val="1"/>
      <w:marLeft w:val="0"/>
      <w:marRight w:val="0"/>
      <w:marTop w:val="0"/>
      <w:marBottom w:val="0"/>
      <w:divBdr>
        <w:top w:val="none" w:sz="0" w:space="0" w:color="auto"/>
        <w:left w:val="none" w:sz="0" w:space="0" w:color="auto"/>
        <w:bottom w:val="none" w:sz="0" w:space="0" w:color="auto"/>
        <w:right w:val="none" w:sz="0" w:space="0" w:color="auto"/>
      </w:divBdr>
    </w:div>
    <w:div w:id="495652666">
      <w:bodyDiv w:val="1"/>
      <w:marLeft w:val="0"/>
      <w:marRight w:val="0"/>
      <w:marTop w:val="0"/>
      <w:marBottom w:val="0"/>
      <w:divBdr>
        <w:top w:val="none" w:sz="0" w:space="0" w:color="auto"/>
        <w:left w:val="none" w:sz="0" w:space="0" w:color="auto"/>
        <w:bottom w:val="none" w:sz="0" w:space="0" w:color="auto"/>
        <w:right w:val="none" w:sz="0" w:space="0" w:color="auto"/>
      </w:divBdr>
    </w:div>
    <w:div w:id="495653114">
      <w:bodyDiv w:val="1"/>
      <w:marLeft w:val="0"/>
      <w:marRight w:val="0"/>
      <w:marTop w:val="0"/>
      <w:marBottom w:val="0"/>
      <w:divBdr>
        <w:top w:val="none" w:sz="0" w:space="0" w:color="auto"/>
        <w:left w:val="none" w:sz="0" w:space="0" w:color="auto"/>
        <w:bottom w:val="none" w:sz="0" w:space="0" w:color="auto"/>
        <w:right w:val="none" w:sz="0" w:space="0" w:color="auto"/>
      </w:divBdr>
    </w:div>
    <w:div w:id="495800381">
      <w:bodyDiv w:val="1"/>
      <w:marLeft w:val="0"/>
      <w:marRight w:val="0"/>
      <w:marTop w:val="0"/>
      <w:marBottom w:val="0"/>
      <w:divBdr>
        <w:top w:val="none" w:sz="0" w:space="0" w:color="auto"/>
        <w:left w:val="none" w:sz="0" w:space="0" w:color="auto"/>
        <w:bottom w:val="none" w:sz="0" w:space="0" w:color="auto"/>
        <w:right w:val="none" w:sz="0" w:space="0" w:color="auto"/>
      </w:divBdr>
    </w:div>
    <w:div w:id="495806135">
      <w:bodyDiv w:val="1"/>
      <w:marLeft w:val="0"/>
      <w:marRight w:val="0"/>
      <w:marTop w:val="0"/>
      <w:marBottom w:val="0"/>
      <w:divBdr>
        <w:top w:val="none" w:sz="0" w:space="0" w:color="auto"/>
        <w:left w:val="none" w:sz="0" w:space="0" w:color="auto"/>
        <w:bottom w:val="none" w:sz="0" w:space="0" w:color="auto"/>
        <w:right w:val="none" w:sz="0" w:space="0" w:color="auto"/>
      </w:divBdr>
    </w:div>
    <w:div w:id="495846470">
      <w:bodyDiv w:val="1"/>
      <w:marLeft w:val="0"/>
      <w:marRight w:val="0"/>
      <w:marTop w:val="0"/>
      <w:marBottom w:val="0"/>
      <w:divBdr>
        <w:top w:val="none" w:sz="0" w:space="0" w:color="auto"/>
        <w:left w:val="none" w:sz="0" w:space="0" w:color="auto"/>
        <w:bottom w:val="none" w:sz="0" w:space="0" w:color="auto"/>
        <w:right w:val="none" w:sz="0" w:space="0" w:color="auto"/>
      </w:divBdr>
    </w:div>
    <w:div w:id="495875722">
      <w:bodyDiv w:val="1"/>
      <w:marLeft w:val="0"/>
      <w:marRight w:val="0"/>
      <w:marTop w:val="0"/>
      <w:marBottom w:val="0"/>
      <w:divBdr>
        <w:top w:val="none" w:sz="0" w:space="0" w:color="auto"/>
        <w:left w:val="none" w:sz="0" w:space="0" w:color="auto"/>
        <w:bottom w:val="none" w:sz="0" w:space="0" w:color="auto"/>
        <w:right w:val="none" w:sz="0" w:space="0" w:color="auto"/>
      </w:divBdr>
    </w:div>
    <w:div w:id="495925354">
      <w:bodyDiv w:val="1"/>
      <w:marLeft w:val="0"/>
      <w:marRight w:val="0"/>
      <w:marTop w:val="0"/>
      <w:marBottom w:val="0"/>
      <w:divBdr>
        <w:top w:val="none" w:sz="0" w:space="0" w:color="auto"/>
        <w:left w:val="none" w:sz="0" w:space="0" w:color="auto"/>
        <w:bottom w:val="none" w:sz="0" w:space="0" w:color="auto"/>
        <w:right w:val="none" w:sz="0" w:space="0" w:color="auto"/>
      </w:divBdr>
    </w:div>
    <w:div w:id="496043566">
      <w:bodyDiv w:val="1"/>
      <w:marLeft w:val="0"/>
      <w:marRight w:val="0"/>
      <w:marTop w:val="0"/>
      <w:marBottom w:val="0"/>
      <w:divBdr>
        <w:top w:val="none" w:sz="0" w:space="0" w:color="auto"/>
        <w:left w:val="none" w:sz="0" w:space="0" w:color="auto"/>
        <w:bottom w:val="none" w:sz="0" w:space="0" w:color="auto"/>
        <w:right w:val="none" w:sz="0" w:space="0" w:color="auto"/>
      </w:divBdr>
    </w:div>
    <w:div w:id="496261981">
      <w:bodyDiv w:val="1"/>
      <w:marLeft w:val="0"/>
      <w:marRight w:val="0"/>
      <w:marTop w:val="0"/>
      <w:marBottom w:val="0"/>
      <w:divBdr>
        <w:top w:val="none" w:sz="0" w:space="0" w:color="auto"/>
        <w:left w:val="none" w:sz="0" w:space="0" w:color="auto"/>
        <w:bottom w:val="none" w:sz="0" w:space="0" w:color="auto"/>
        <w:right w:val="none" w:sz="0" w:space="0" w:color="auto"/>
      </w:divBdr>
    </w:div>
    <w:div w:id="496265258">
      <w:bodyDiv w:val="1"/>
      <w:marLeft w:val="0"/>
      <w:marRight w:val="0"/>
      <w:marTop w:val="0"/>
      <w:marBottom w:val="0"/>
      <w:divBdr>
        <w:top w:val="none" w:sz="0" w:space="0" w:color="auto"/>
        <w:left w:val="none" w:sz="0" w:space="0" w:color="auto"/>
        <w:bottom w:val="none" w:sz="0" w:space="0" w:color="auto"/>
        <w:right w:val="none" w:sz="0" w:space="0" w:color="auto"/>
      </w:divBdr>
    </w:div>
    <w:div w:id="496268214">
      <w:bodyDiv w:val="1"/>
      <w:marLeft w:val="0"/>
      <w:marRight w:val="0"/>
      <w:marTop w:val="0"/>
      <w:marBottom w:val="0"/>
      <w:divBdr>
        <w:top w:val="none" w:sz="0" w:space="0" w:color="auto"/>
        <w:left w:val="none" w:sz="0" w:space="0" w:color="auto"/>
        <w:bottom w:val="none" w:sz="0" w:space="0" w:color="auto"/>
        <w:right w:val="none" w:sz="0" w:space="0" w:color="auto"/>
      </w:divBdr>
    </w:div>
    <w:div w:id="496310827">
      <w:bodyDiv w:val="1"/>
      <w:marLeft w:val="0"/>
      <w:marRight w:val="0"/>
      <w:marTop w:val="0"/>
      <w:marBottom w:val="0"/>
      <w:divBdr>
        <w:top w:val="none" w:sz="0" w:space="0" w:color="auto"/>
        <w:left w:val="none" w:sz="0" w:space="0" w:color="auto"/>
        <w:bottom w:val="none" w:sz="0" w:space="0" w:color="auto"/>
        <w:right w:val="none" w:sz="0" w:space="0" w:color="auto"/>
      </w:divBdr>
    </w:div>
    <w:div w:id="496313622">
      <w:bodyDiv w:val="1"/>
      <w:marLeft w:val="0"/>
      <w:marRight w:val="0"/>
      <w:marTop w:val="0"/>
      <w:marBottom w:val="0"/>
      <w:divBdr>
        <w:top w:val="none" w:sz="0" w:space="0" w:color="auto"/>
        <w:left w:val="none" w:sz="0" w:space="0" w:color="auto"/>
        <w:bottom w:val="none" w:sz="0" w:space="0" w:color="auto"/>
        <w:right w:val="none" w:sz="0" w:space="0" w:color="auto"/>
      </w:divBdr>
    </w:div>
    <w:div w:id="496462363">
      <w:bodyDiv w:val="1"/>
      <w:marLeft w:val="0"/>
      <w:marRight w:val="0"/>
      <w:marTop w:val="0"/>
      <w:marBottom w:val="0"/>
      <w:divBdr>
        <w:top w:val="none" w:sz="0" w:space="0" w:color="auto"/>
        <w:left w:val="none" w:sz="0" w:space="0" w:color="auto"/>
        <w:bottom w:val="none" w:sz="0" w:space="0" w:color="auto"/>
        <w:right w:val="none" w:sz="0" w:space="0" w:color="auto"/>
      </w:divBdr>
    </w:div>
    <w:div w:id="496531118">
      <w:bodyDiv w:val="1"/>
      <w:marLeft w:val="0"/>
      <w:marRight w:val="0"/>
      <w:marTop w:val="0"/>
      <w:marBottom w:val="0"/>
      <w:divBdr>
        <w:top w:val="none" w:sz="0" w:space="0" w:color="auto"/>
        <w:left w:val="none" w:sz="0" w:space="0" w:color="auto"/>
        <w:bottom w:val="none" w:sz="0" w:space="0" w:color="auto"/>
        <w:right w:val="none" w:sz="0" w:space="0" w:color="auto"/>
      </w:divBdr>
    </w:div>
    <w:div w:id="496532178">
      <w:bodyDiv w:val="1"/>
      <w:marLeft w:val="0"/>
      <w:marRight w:val="0"/>
      <w:marTop w:val="0"/>
      <w:marBottom w:val="0"/>
      <w:divBdr>
        <w:top w:val="none" w:sz="0" w:space="0" w:color="auto"/>
        <w:left w:val="none" w:sz="0" w:space="0" w:color="auto"/>
        <w:bottom w:val="none" w:sz="0" w:space="0" w:color="auto"/>
        <w:right w:val="none" w:sz="0" w:space="0" w:color="auto"/>
      </w:divBdr>
    </w:div>
    <w:div w:id="496579345">
      <w:bodyDiv w:val="1"/>
      <w:marLeft w:val="0"/>
      <w:marRight w:val="0"/>
      <w:marTop w:val="0"/>
      <w:marBottom w:val="0"/>
      <w:divBdr>
        <w:top w:val="none" w:sz="0" w:space="0" w:color="auto"/>
        <w:left w:val="none" w:sz="0" w:space="0" w:color="auto"/>
        <w:bottom w:val="none" w:sz="0" w:space="0" w:color="auto"/>
        <w:right w:val="none" w:sz="0" w:space="0" w:color="auto"/>
      </w:divBdr>
    </w:div>
    <w:div w:id="496582347">
      <w:bodyDiv w:val="1"/>
      <w:marLeft w:val="0"/>
      <w:marRight w:val="0"/>
      <w:marTop w:val="0"/>
      <w:marBottom w:val="0"/>
      <w:divBdr>
        <w:top w:val="none" w:sz="0" w:space="0" w:color="auto"/>
        <w:left w:val="none" w:sz="0" w:space="0" w:color="auto"/>
        <w:bottom w:val="none" w:sz="0" w:space="0" w:color="auto"/>
        <w:right w:val="none" w:sz="0" w:space="0" w:color="auto"/>
      </w:divBdr>
    </w:div>
    <w:div w:id="496648451">
      <w:bodyDiv w:val="1"/>
      <w:marLeft w:val="0"/>
      <w:marRight w:val="0"/>
      <w:marTop w:val="0"/>
      <w:marBottom w:val="0"/>
      <w:divBdr>
        <w:top w:val="none" w:sz="0" w:space="0" w:color="auto"/>
        <w:left w:val="none" w:sz="0" w:space="0" w:color="auto"/>
        <w:bottom w:val="none" w:sz="0" w:space="0" w:color="auto"/>
        <w:right w:val="none" w:sz="0" w:space="0" w:color="auto"/>
      </w:divBdr>
    </w:div>
    <w:div w:id="496699415">
      <w:bodyDiv w:val="1"/>
      <w:marLeft w:val="0"/>
      <w:marRight w:val="0"/>
      <w:marTop w:val="0"/>
      <w:marBottom w:val="0"/>
      <w:divBdr>
        <w:top w:val="none" w:sz="0" w:space="0" w:color="auto"/>
        <w:left w:val="none" w:sz="0" w:space="0" w:color="auto"/>
        <w:bottom w:val="none" w:sz="0" w:space="0" w:color="auto"/>
        <w:right w:val="none" w:sz="0" w:space="0" w:color="auto"/>
      </w:divBdr>
    </w:div>
    <w:div w:id="496723830">
      <w:bodyDiv w:val="1"/>
      <w:marLeft w:val="0"/>
      <w:marRight w:val="0"/>
      <w:marTop w:val="0"/>
      <w:marBottom w:val="0"/>
      <w:divBdr>
        <w:top w:val="none" w:sz="0" w:space="0" w:color="auto"/>
        <w:left w:val="none" w:sz="0" w:space="0" w:color="auto"/>
        <w:bottom w:val="none" w:sz="0" w:space="0" w:color="auto"/>
        <w:right w:val="none" w:sz="0" w:space="0" w:color="auto"/>
      </w:divBdr>
    </w:div>
    <w:div w:id="496924149">
      <w:bodyDiv w:val="1"/>
      <w:marLeft w:val="0"/>
      <w:marRight w:val="0"/>
      <w:marTop w:val="0"/>
      <w:marBottom w:val="0"/>
      <w:divBdr>
        <w:top w:val="none" w:sz="0" w:space="0" w:color="auto"/>
        <w:left w:val="none" w:sz="0" w:space="0" w:color="auto"/>
        <w:bottom w:val="none" w:sz="0" w:space="0" w:color="auto"/>
        <w:right w:val="none" w:sz="0" w:space="0" w:color="auto"/>
      </w:divBdr>
    </w:div>
    <w:div w:id="496924630">
      <w:bodyDiv w:val="1"/>
      <w:marLeft w:val="0"/>
      <w:marRight w:val="0"/>
      <w:marTop w:val="0"/>
      <w:marBottom w:val="0"/>
      <w:divBdr>
        <w:top w:val="none" w:sz="0" w:space="0" w:color="auto"/>
        <w:left w:val="none" w:sz="0" w:space="0" w:color="auto"/>
        <w:bottom w:val="none" w:sz="0" w:space="0" w:color="auto"/>
        <w:right w:val="none" w:sz="0" w:space="0" w:color="auto"/>
      </w:divBdr>
    </w:div>
    <w:div w:id="496924977">
      <w:bodyDiv w:val="1"/>
      <w:marLeft w:val="0"/>
      <w:marRight w:val="0"/>
      <w:marTop w:val="0"/>
      <w:marBottom w:val="0"/>
      <w:divBdr>
        <w:top w:val="none" w:sz="0" w:space="0" w:color="auto"/>
        <w:left w:val="none" w:sz="0" w:space="0" w:color="auto"/>
        <w:bottom w:val="none" w:sz="0" w:space="0" w:color="auto"/>
        <w:right w:val="none" w:sz="0" w:space="0" w:color="auto"/>
      </w:divBdr>
    </w:div>
    <w:div w:id="497118538">
      <w:bodyDiv w:val="1"/>
      <w:marLeft w:val="0"/>
      <w:marRight w:val="0"/>
      <w:marTop w:val="0"/>
      <w:marBottom w:val="0"/>
      <w:divBdr>
        <w:top w:val="none" w:sz="0" w:space="0" w:color="auto"/>
        <w:left w:val="none" w:sz="0" w:space="0" w:color="auto"/>
        <w:bottom w:val="none" w:sz="0" w:space="0" w:color="auto"/>
        <w:right w:val="none" w:sz="0" w:space="0" w:color="auto"/>
      </w:divBdr>
    </w:div>
    <w:div w:id="497119408">
      <w:bodyDiv w:val="1"/>
      <w:marLeft w:val="0"/>
      <w:marRight w:val="0"/>
      <w:marTop w:val="0"/>
      <w:marBottom w:val="0"/>
      <w:divBdr>
        <w:top w:val="none" w:sz="0" w:space="0" w:color="auto"/>
        <w:left w:val="none" w:sz="0" w:space="0" w:color="auto"/>
        <w:bottom w:val="none" w:sz="0" w:space="0" w:color="auto"/>
        <w:right w:val="none" w:sz="0" w:space="0" w:color="auto"/>
      </w:divBdr>
    </w:div>
    <w:div w:id="497157073">
      <w:bodyDiv w:val="1"/>
      <w:marLeft w:val="0"/>
      <w:marRight w:val="0"/>
      <w:marTop w:val="0"/>
      <w:marBottom w:val="0"/>
      <w:divBdr>
        <w:top w:val="none" w:sz="0" w:space="0" w:color="auto"/>
        <w:left w:val="none" w:sz="0" w:space="0" w:color="auto"/>
        <w:bottom w:val="none" w:sz="0" w:space="0" w:color="auto"/>
        <w:right w:val="none" w:sz="0" w:space="0" w:color="auto"/>
      </w:divBdr>
    </w:div>
    <w:div w:id="497233968">
      <w:bodyDiv w:val="1"/>
      <w:marLeft w:val="0"/>
      <w:marRight w:val="0"/>
      <w:marTop w:val="0"/>
      <w:marBottom w:val="0"/>
      <w:divBdr>
        <w:top w:val="none" w:sz="0" w:space="0" w:color="auto"/>
        <w:left w:val="none" w:sz="0" w:space="0" w:color="auto"/>
        <w:bottom w:val="none" w:sz="0" w:space="0" w:color="auto"/>
        <w:right w:val="none" w:sz="0" w:space="0" w:color="auto"/>
      </w:divBdr>
    </w:div>
    <w:div w:id="497235184">
      <w:bodyDiv w:val="1"/>
      <w:marLeft w:val="0"/>
      <w:marRight w:val="0"/>
      <w:marTop w:val="0"/>
      <w:marBottom w:val="0"/>
      <w:divBdr>
        <w:top w:val="none" w:sz="0" w:space="0" w:color="auto"/>
        <w:left w:val="none" w:sz="0" w:space="0" w:color="auto"/>
        <w:bottom w:val="none" w:sz="0" w:space="0" w:color="auto"/>
        <w:right w:val="none" w:sz="0" w:space="0" w:color="auto"/>
      </w:divBdr>
    </w:div>
    <w:div w:id="497354386">
      <w:bodyDiv w:val="1"/>
      <w:marLeft w:val="0"/>
      <w:marRight w:val="0"/>
      <w:marTop w:val="0"/>
      <w:marBottom w:val="0"/>
      <w:divBdr>
        <w:top w:val="none" w:sz="0" w:space="0" w:color="auto"/>
        <w:left w:val="none" w:sz="0" w:space="0" w:color="auto"/>
        <w:bottom w:val="none" w:sz="0" w:space="0" w:color="auto"/>
        <w:right w:val="none" w:sz="0" w:space="0" w:color="auto"/>
      </w:divBdr>
    </w:div>
    <w:div w:id="497380481">
      <w:bodyDiv w:val="1"/>
      <w:marLeft w:val="0"/>
      <w:marRight w:val="0"/>
      <w:marTop w:val="0"/>
      <w:marBottom w:val="0"/>
      <w:divBdr>
        <w:top w:val="none" w:sz="0" w:space="0" w:color="auto"/>
        <w:left w:val="none" w:sz="0" w:space="0" w:color="auto"/>
        <w:bottom w:val="none" w:sz="0" w:space="0" w:color="auto"/>
        <w:right w:val="none" w:sz="0" w:space="0" w:color="auto"/>
      </w:divBdr>
    </w:div>
    <w:div w:id="497501661">
      <w:bodyDiv w:val="1"/>
      <w:marLeft w:val="0"/>
      <w:marRight w:val="0"/>
      <w:marTop w:val="0"/>
      <w:marBottom w:val="0"/>
      <w:divBdr>
        <w:top w:val="none" w:sz="0" w:space="0" w:color="auto"/>
        <w:left w:val="none" w:sz="0" w:space="0" w:color="auto"/>
        <w:bottom w:val="none" w:sz="0" w:space="0" w:color="auto"/>
        <w:right w:val="none" w:sz="0" w:space="0" w:color="auto"/>
      </w:divBdr>
    </w:div>
    <w:div w:id="497572660">
      <w:bodyDiv w:val="1"/>
      <w:marLeft w:val="0"/>
      <w:marRight w:val="0"/>
      <w:marTop w:val="0"/>
      <w:marBottom w:val="0"/>
      <w:divBdr>
        <w:top w:val="none" w:sz="0" w:space="0" w:color="auto"/>
        <w:left w:val="none" w:sz="0" w:space="0" w:color="auto"/>
        <w:bottom w:val="none" w:sz="0" w:space="0" w:color="auto"/>
        <w:right w:val="none" w:sz="0" w:space="0" w:color="auto"/>
      </w:divBdr>
    </w:div>
    <w:div w:id="497892968">
      <w:bodyDiv w:val="1"/>
      <w:marLeft w:val="0"/>
      <w:marRight w:val="0"/>
      <w:marTop w:val="0"/>
      <w:marBottom w:val="0"/>
      <w:divBdr>
        <w:top w:val="none" w:sz="0" w:space="0" w:color="auto"/>
        <w:left w:val="none" w:sz="0" w:space="0" w:color="auto"/>
        <w:bottom w:val="none" w:sz="0" w:space="0" w:color="auto"/>
        <w:right w:val="none" w:sz="0" w:space="0" w:color="auto"/>
      </w:divBdr>
    </w:div>
    <w:div w:id="497965527">
      <w:bodyDiv w:val="1"/>
      <w:marLeft w:val="0"/>
      <w:marRight w:val="0"/>
      <w:marTop w:val="0"/>
      <w:marBottom w:val="0"/>
      <w:divBdr>
        <w:top w:val="none" w:sz="0" w:space="0" w:color="auto"/>
        <w:left w:val="none" w:sz="0" w:space="0" w:color="auto"/>
        <w:bottom w:val="none" w:sz="0" w:space="0" w:color="auto"/>
        <w:right w:val="none" w:sz="0" w:space="0" w:color="auto"/>
      </w:divBdr>
    </w:div>
    <w:div w:id="498008239">
      <w:bodyDiv w:val="1"/>
      <w:marLeft w:val="0"/>
      <w:marRight w:val="0"/>
      <w:marTop w:val="0"/>
      <w:marBottom w:val="0"/>
      <w:divBdr>
        <w:top w:val="none" w:sz="0" w:space="0" w:color="auto"/>
        <w:left w:val="none" w:sz="0" w:space="0" w:color="auto"/>
        <w:bottom w:val="none" w:sz="0" w:space="0" w:color="auto"/>
        <w:right w:val="none" w:sz="0" w:space="0" w:color="auto"/>
      </w:divBdr>
    </w:div>
    <w:div w:id="498157361">
      <w:bodyDiv w:val="1"/>
      <w:marLeft w:val="0"/>
      <w:marRight w:val="0"/>
      <w:marTop w:val="0"/>
      <w:marBottom w:val="0"/>
      <w:divBdr>
        <w:top w:val="none" w:sz="0" w:space="0" w:color="auto"/>
        <w:left w:val="none" w:sz="0" w:space="0" w:color="auto"/>
        <w:bottom w:val="none" w:sz="0" w:space="0" w:color="auto"/>
        <w:right w:val="none" w:sz="0" w:space="0" w:color="auto"/>
      </w:divBdr>
    </w:div>
    <w:div w:id="498232459">
      <w:bodyDiv w:val="1"/>
      <w:marLeft w:val="0"/>
      <w:marRight w:val="0"/>
      <w:marTop w:val="0"/>
      <w:marBottom w:val="0"/>
      <w:divBdr>
        <w:top w:val="none" w:sz="0" w:space="0" w:color="auto"/>
        <w:left w:val="none" w:sz="0" w:space="0" w:color="auto"/>
        <w:bottom w:val="none" w:sz="0" w:space="0" w:color="auto"/>
        <w:right w:val="none" w:sz="0" w:space="0" w:color="auto"/>
      </w:divBdr>
    </w:div>
    <w:div w:id="498235365">
      <w:bodyDiv w:val="1"/>
      <w:marLeft w:val="0"/>
      <w:marRight w:val="0"/>
      <w:marTop w:val="0"/>
      <w:marBottom w:val="0"/>
      <w:divBdr>
        <w:top w:val="none" w:sz="0" w:space="0" w:color="auto"/>
        <w:left w:val="none" w:sz="0" w:space="0" w:color="auto"/>
        <w:bottom w:val="none" w:sz="0" w:space="0" w:color="auto"/>
        <w:right w:val="none" w:sz="0" w:space="0" w:color="auto"/>
      </w:divBdr>
    </w:div>
    <w:div w:id="498271470">
      <w:bodyDiv w:val="1"/>
      <w:marLeft w:val="0"/>
      <w:marRight w:val="0"/>
      <w:marTop w:val="0"/>
      <w:marBottom w:val="0"/>
      <w:divBdr>
        <w:top w:val="none" w:sz="0" w:space="0" w:color="auto"/>
        <w:left w:val="none" w:sz="0" w:space="0" w:color="auto"/>
        <w:bottom w:val="none" w:sz="0" w:space="0" w:color="auto"/>
        <w:right w:val="none" w:sz="0" w:space="0" w:color="auto"/>
      </w:divBdr>
    </w:div>
    <w:div w:id="498497971">
      <w:bodyDiv w:val="1"/>
      <w:marLeft w:val="0"/>
      <w:marRight w:val="0"/>
      <w:marTop w:val="0"/>
      <w:marBottom w:val="0"/>
      <w:divBdr>
        <w:top w:val="none" w:sz="0" w:space="0" w:color="auto"/>
        <w:left w:val="none" w:sz="0" w:space="0" w:color="auto"/>
        <w:bottom w:val="none" w:sz="0" w:space="0" w:color="auto"/>
        <w:right w:val="none" w:sz="0" w:space="0" w:color="auto"/>
      </w:divBdr>
    </w:div>
    <w:div w:id="498497982">
      <w:bodyDiv w:val="1"/>
      <w:marLeft w:val="0"/>
      <w:marRight w:val="0"/>
      <w:marTop w:val="0"/>
      <w:marBottom w:val="0"/>
      <w:divBdr>
        <w:top w:val="none" w:sz="0" w:space="0" w:color="auto"/>
        <w:left w:val="none" w:sz="0" w:space="0" w:color="auto"/>
        <w:bottom w:val="none" w:sz="0" w:space="0" w:color="auto"/>
        <w:right w:val="none" w:sz="0" w:space="0" w:color="auto"/>
      </w:divBdr>
    </w:div>
    <w:div w:id="498620838">
      <w:bodyDiv w:val="1"/>
      <w:marLeft w:val="0"/>
      <w:marRight w:val="0"/>
      <w:marTop w:val="0"/>
      <w:marBottom w:val="0"/>
      <w:divBdr>
        <w:top w:val="none" w:sz="0" w:space="0" w:color="auto"/>
        <w:left w:val="none" w:sz="0" w:space="0" w:color="auto"/>
        <w:bottom w:val="none" w:sz="0" w:space="0" w:color="auto"/>
        <w:right w:val="none" w:sz="0" w:space="0" w:color="auto"/>
      </w:divBdr>
    </w:div>
    <w:div w:id="498623655">
      <w:bodyDiv w:val="1"/>
      <w:marLeft w:val="0"/>
      <w:marRight w:val="0"/>
      <w:marTop w:val="0"/>
      <w:marBottom w:val="0"/>
      <w:divBdr>
        <w:top w:val="none" w:sz="0" w:space="0" w:color="auto"/>
        <w:left w:val="none" w:sz="0" w:space="0" w:color="auto"/>
        <w:bottom w:val="none" w:sz="0" w:space="0" w:color="auto"/>
        <w:right w:val="none" w:sz="0" w:space="0" w:color="auto"/>
      </w:divBdr>
    </w:div>
    <w:div w:id="498739926">
      <w:bodyDiv w:val="1"/>
      <w:marLeft w:val="0"/>
      <w:marRight w:val="0"/>
      <w:marTop w:val="0"/>
      <w:marBottom w:val="0"/>
      <w:divBdr>
        <w:top w:val="none" w:sz="0" w:space="0" w:color="auto"/>
        <w:left w:val="none" w:sz="0" w:space="0" w:color="auto"/>
        <w:bottom w:val="none" w:sz="0" w:space="0" w:color="auto"/>
        <w:right w:val="none" w:sz="0" w:space="0" w:color="auto"/>
      </w:divBdr>
    </w:div>
    <w:div w:id="498810649">
      <w:bodyDiv w:val="1"/>
      <w:marLeft w:val="0"/>
      <w:marRight w:val="0"/>
      <w:marTop w:val="0"/>
      <w:marBottom w:val="0"/>
      <w:divBdr>
        <w:top w:val="none" w:sz="0" w:space="0" w:color="auto"/>
        <w:left w:val="none" w:sz="0" w:space="0" w:color="auto"/>
        <w:bottom w:val="none" w:sz="0" w:space="0" w:color="auto"/>
        <w:right w:val="none" w:sz="0" w:space="0" w:color="auto"/>
      </w:divBdr>
    </w:div>
    <w:div w:id="498813522">
      <w:bodyDiv w:val="1"/>
      <w:marLeft w:val="0"/>
      <w:marRight w:val="0"/>
      <w:marTop w:val="0"/>
      <w:marBottom w:val="0"/>
      <w:divBdr>
        <w:top w:val="none" w:sz="0" w:space="0" w:color="auto"/>
        <w:left w:val="none" w:sz="0" w:space="0" w:color="auto"/>
        <w:bottom w:val="none" w:sz="0" w:space="0" w:color="auto"/>
        <w:right w:val="none" w:sz="0" w:space="0" w:color="auto"/>
      </w:divBdr>
    </w:div>
    <w:div w:id="498890623">
      <w:bodyDiv w:val="1"/>
      <w:marLeft w:val="0"/>
      <w:marRight w:val="0"/>
      <w:marTop w:val="0"/>
      <w:marBottom w:val="0"/>
      <w:divBdr>
        <w:top w:val="none" w:sz="0" w:space="0" w:color="auto"/>
        <w:left w:val="none" w:sz="0" w:space="0" w:color="auto"/>
        <w:bottom w:val="none" w:sz="0" w:space="0" w:color="auto"/>
        <w:right w:val="none" w:sz="0" w:space="0" w:color="auto"/>
      </w:divBdr>
    </w:div>
    <w:div w:id="498891046">
      <w:bodyDiv w:val="1"/>
      <w:marLeft w:val="0"/>
      <w:marRight w:val="0"/>
      <w:marTop w:val="0"/>
      <w:marBottom w:val="0"/>
      <w:divBdr>
        <w:top w:val="none" w:sz="0" w:space="0" w:color="auto"/>
        <w:left w:val="none" w:sz="0" w:space="0" w:color="auto"/>
        <w:bottom w:val="none" w:sz="0" w:space="0" w:color="auto"/>
        <w:right w:val="none" w:sz="0" w:space="0" w:color="auto"/>
      </w:divBdr>
    </w:div>
    <w:div w:id="498926665">
      <w:bodyDiv w:val="1"/>
      <w:marLeft w:val="0"/>
      <w:marRight w:val="0"/>
      <w:marTop w:val="0"/>
      <w:marBottom w:val="0"/>
      <w:divBdr>
        <w:top w:val="none" w:sz="0" w:space="0" w:color="auto"/>
        <w:left w:val="none" w:sz="0" w:space="0" w:color="auto"/>
        <w:bottom w:val="none" w:sz="0" w:space="0" w:color="auto"/>
        <w:right w:val="none" w:sz="0" w:space="0" w:color="auto"/>
      </w:divBdr>
    </w:div>
    <w:div w:id="498934310">
      <w:bodyDiv w:val="1"/>
      <w:marLeft w:val="0"/>
      <w:marRight w:val="0"/>
      <w:marTop w:val="0"/>
      <w:marBottom w:val="0"/>
      <w:divBdr>
        <w:top w:val="none" w:sz="0" w:space="0" w:color="auto"/>
        <w:left w:val="none" w:sz="0" w:space="0" w:color="auto"/>
        <w:bottom w:val="none" w:sz="0" w:space="0" w:color="auto"/>
        <w:right w:val="none" w:sz="0" w:space="0" w:color="auto"/>
      </w:divBdr>
    </w:div>
    <w:div w:id="499202652">
      <w:bodyDiv w:val="1"/>
      <w:marLeft w:val="0"/>
      <w:marRight w:val="0"/>
      <w:marTop w:val="0"/>
      <w:marBottom w:val="0"/>
      <w:divBdr>
        <w:top w:val="none" w:sz="0" w:space="0" w:color="auto"/>
        <w:left w:val="none" w:sz="0" w:space="0" w:color="auto"/>
        <w:bottom w:val="none" w:sz="0" w:space="0" w:color="auto"/>
        <w:right w:val="none" w:sz="0" w:space="0" w:color="auto"/>
      </w:divBdr>
    </w:div>
    <w:div w:id="499346704">
      <w:bodyDiv w:val="1"/>
      <w:marLeft w:val="0"/>
      <w:marRight w:val="0"/>
      <w:marTop w:val="0"/>
      <w:marBottom w:val="0"/>
      <w:divBdr>
        <w:top w:val="none" w:sz="0" w:space="0" w:color="auto"/>
        <w:left w:val="none" w:sz="0" w:space="0" w:color="auto"/>
        <w:bottom w:val="none" w:sz="0" w:space="0" w:color="auto"/>
        <w:right w:val="none" w:sz="0" w:space="0" w:color="auto"/>
      </w:divBdr>
    </w:div>
    <w:div w:id="499348891">
      <w:bodyDiv w:val="1"/>
      <w:marLeft w:val="0"/>
      <w:marRight w:val="0"/>
      <w:marTop w:val="0"/>
      <w:marBottom w:val="0"/>
      <w:divBdr>
        <w:top w:val="none" w:sz="0" w:space="0" w:color="auto"/>
        <w:left w:val="none" w:sz="0" w:space="0" w:color="auto"/>
        <w:bottom w:val="none" w:sz="0" w:space="0" w:color="auto"/>
        <w:right w:val="none" w:sz="0" w:space="0" w:color="auto"/>
      </w:divBdr>
    </w:div>
    <w:div w:id="499388677">
      <w:bodyDiv w:val="1"/>
      <w:marLeft w:val="0"/>
      <w:marRight w:val="0"/>
      <w:marTop w:val="0"/>
      <w:marBottom w:val="0"/>
      <w:divBdr>
        <w:top w:val="none" w:sz="0" w:space="0" w:color="auto"/>
        <w:left w:val="none" w:sz="0" w:space="0" w:color="auto"/>
        <w:bottom w:val="none" w:sz="0" w:space="0" w:color="auto"/>
        <w:right w:val="none" w:sz="0" w:space="0" w:color="auto"/>
      </w:divBdr>
    </w:div>
    <w:div w:id="499391180">
      <w:bodyDiv w:val="1"/>
      <w:marLeft w:val="0"/>
      <w:marRight w:val="0"/>
      <w:marTop w:val="0"/>
      <w:marBottom w:val="0"/>
      <w:divBdr>
        <w:top w:val="none" w:sz="0" w:space="0" w:color="auto"/>
        <w:left w:val="none" w:sz="0" w:space="0" w:color="auto"/>
        <w:bottom w:val="none" w:sz="0" w:space="0" w:color="auto"/>
        <w:right w:val="none" w:sz="0" w:space="0" w:color="auto"/>
      </w:divBdr>
    </w:div>
    <w:div w:id="499465001">
      <w:bodyDiv w:val="1"/>
      <w:marLeft w:val="0"/>
      <w:marRight w:val="0"/>
      <w:marTop w:val="0"/>
      <w:marBottom w:val="0"/>
      <w:divBdr>
        <w:top w:val="none" w:sz="0" w:space="0" w:color="auto"/>
        <w:left w:val="none" w:sz="0" w:space="0" w:color="auto"/>
        <w:bottom w:val="none" w:sz="0" w:space="0" w:color="auto"/>
        <w:right w:val="none" w:sz="0" w:space="0" w:color="auto"/>
      </w:divBdr>
    </w:div>
    <w:div w:id="499472477">
      <w:bodyDiv w:val="1"/>
      <w:marLeft w:val="0"/>
      <w:marRight w:val="0"/>
      <w:marTop w:val="0"/>
      <w:marBottom w:val="0"/>
      <w:divBdr>
        <w:top w:val="none" w:sz="0" w:space="0" w:color="auto"/>
        <w:left w:val="none" w:sz="0" w:space="0" w:color="auto"/>
        <w:bottom w:val="none" w:sz="0" w:space="0" w:color="auto"/>
        <w:right w:val="none" w:sz="0" w:space="0" w:color="auto"/>
      </w:divBdr>
    </w:div>
    <w:div w:id="499540215">
      <w:bodyDiv w:val="1"/>
      <w:marLeft w:val="0"/>
      <w:marRight w:val="0"/>
      <w:marTop w:val="0"/>
      <w:marBottom w:val="0"/>
      <w:divBdr>
        <w:top w:val="none" w:sz="0" w:space="0" w:color="auto"/>
        <w:left w:val="none" w:sz="0" w:space="0" w:color="auto"/>
        <w:bottom w:val="none" w:sz="0" w:space="0" w:color="auto"/>
        <w:right w:val="none" w:sz="0" w:space="0" w:color="auto"/>
      </w:divBdr>
    </w:div>
    <w:div w:id="499545087">
      <w:bodyDiv w:val="1"/>
      <w:marLeft w:val="0"/>
      <w:marRight w:val="0"/>
      <w:marTop w:val="0"/>
      <w:marBottom w:val="0"/>
      <w:divBdr>
        <w:top w:val="none" w:sz="0" w:space="0" w:color="auto"/>
        <w:left w:val="none" w:sz="0" w:space="0" w:color="auto"/>
        <w:bottom w:val="none" w:sz="0" w:space="0" w:color="auto"/>
        <w:right w:val="none" w:sz="0" w:space="0" w:color="auto"/>
      </w:divBdr>
    </w:div>
    <w:div w:id="499849923">
      <w:bodyDiv w:val="1"/>
      <w:marLeft w:val="0"/>
      <w:marRight w:val="0"/>
      <w:marTop w:val="0"/>
      <w:marBottom w:val="0"/>
      <w:divBdr>
        <w:top w:val="none" w:sz="0" w:space="0" w:color="auto"/>
        <w:left w:val="none" w:sz="0" w:space="0" w:color="auto"/>
        <w:bottom w:val="none" w:sz="0" w:space="0" w:color="auto"/>
        <w:right w:val="none" w:sz="0" w:space="0" w:color="auto"/>
      </w:divBdr>
    </w:div>
    <w:div w:id="500119908">
      <w:bodyDiv w:val="1"/>
      <w:marLeft w:val="0"/>
      <w:marRight w:val="0"/>
      <w:marTop w:val="0"/>
      <w:marBottom w:val="0"/>
      <w:divBdr>
        <w:top w:val="none" w:sz="0" w:space="0" w:color="auto"/>
        <w:left w:val="none" w:sz="0" w:space="0" w:color="auto"/>
        <w:bottom w:val="none" w:sz="0" w:space="0" w:color="auto"/>
        <w:right w:val="none" w:sz="0" w:space="0" w:color="auto"/>
      </w:divBdr>
    </w:div>
    <w:div w:id="500193776">
      <w:bodyDiv w:val="1"/>
      <w:marLeft w:val="0"/>
      <w:marRight w:val="0"/>
      <w:marTop w:val="0"/>
      <w:marBottom w:val="0"/>
      <w:divBdr>
        <w:top w:val="none" w:sz="0" w:space="0" w:color="auto"/>
        <w:left w:val="none" w:sz="0" w:space="0" w:color="auto"/>
        <w:bottom w:val="none" w:sz="0" w:space="0" w:color="auto"/>
        <w:right w:val="none" w:sz="0" w:space="0" w:color="auto"/>
      </w:divBdr>
    </w:div>
    <w:div w:id="500202975">
      <w:bodyDiv w:val="1"/>
      <w:marLeft w:val="0"/>
      <w:marRight w:val="0"/>
      <w:marTop w:val="0"/>
      <w:marBottom w:val="0"/>
      <w:divBdr>
        <w:top w:val="none" w:sz="0" w:space="0" w:color="auto"/>
        <w:left w:val="none" w:sz="0" w:space="0" w:color="auto"/>
        <w:bottom w:val="none" w:sz="0" w:space="0" w:color="auto"/>
        <w:right w:val="none" w:sz="0" w:space="0" w:color="auto"/>
      </w:divBdr>
    </w:div>
    <w:div w:id="500393306">
      <w:bodyDiv w:val="1"/>
      <w:marLeft w:val="0"/>
      <w:marRight w:val="0"/>
      <w:marTop w:val="0"/>
      <w:marBottom w:val="0"/>
      <w:divBdr>
        <w:top w:val="none" w:sz="0" w:space="0" w:color="auto"/>
        <w:left w:val="none" w:sz="0" w:space="0" w:color="auto"/>
        <w:bottom w:val="none" w:sz="0" w:space="0" w:color="auto"/>
        <w:right w:val="none" w:sz="0" w:space="0" w:color="auto"/>
      </w:divBdr>
    </w:div>
    <w:div w:id="500465517">
      <w:bodyDiv w:val="1"/>
      <w:marLeft w:val="0"/>
      <w:marRight w:val="0"/>
      <w:marTop w:val="0"/>
      <w:marBottom w:val="0"/>
      <w:divBdr>
        <w:top w:val="none" w:sz="0" w:space="0" w:color="auto"/>
        <w:left w:val="none" w:sz="0" w:space="0" w:color="auto"/>
        <w:bottom w:val="none" w:sz="0" w:space="0" w:color="auto"/>
        <w:right w:val="none" w:sz="0" w:space="0" w:color="auto"/>
      </w:divBdr>
    </w:div>
    <w:div w:id="500507207">
      <w:bodyDiv w:val="1"/>
      <w:marLeft w:val="0"/>
      <w:marRight w:val="0"/>
      <w:marTop w:val="0"/>
      <w:marBottom w:val="0"/>
      <w:divBdr>
        <w:top w:val="none" w:sz="0" w:space="0" w:color="auto"/>
        <w:left w:val="none" w:sz="0" w:space="0" w:color="auto"/>
        <w:bottom w:val="none" w:sz="0" w:space="0" w:color="auto"/>
        <w:right w:val="none" w:sz="0" w:space="0" w:color="auto"/>
      </w:divBdr>
    </w:div>
    <w:div w:id="500512852">
      <w:bodyDiv w:val="1"/>
      <w:marLeft w:val="0"/>
      <w:marRight w:val="0"/>
      <w:marTop w:val="0"/>
      <w:marBottom w:val="0"/>
      <w:divBdr>
        <w:top w:val="none" w:sz="0" w:space="0" w:color="auto"/>
        <w:left w:val="none" w:sz="0" w:space="0" w:color="auto"/>
        <w:bottom w:val="none" w:sz="0" w:space="0" w:color="auto"/>
        <w:right w:val="none" w:sz="0" w:space="0" w:color="auto"/>
      </w:divBdr>
    </w:div>
    <w:div w:id="500657654">
      <w:bodyDiv w:val="1"/>
      <w:marLeft w:val="0"/>
      <w:marRight w:val="0"/>
      <w:marTop w:val="0"/>
      <w:marBottom w:val="0"/>
      <w:divBdr>
        <w:top w:val="none" w:sz="0" w:space="0" w:color="auto"/>
        <w:left w:val="none" w:sz="0" w:space="0" w:color="auto"/>
        <w:bottom w:val="none" w:sz="0" w:space="0" w:color="auto"/>
        <w:right w:val="none" w:sz="0" w:space="0" w:color="auto"/>
      </w:divBdr>
    </w:div>
    <w:div w:id="500661093">
      <w:bodyDiv w:val="1"/>
      <w:marLeft w:val="0"/>
      <w:marRight w:val="0"/>
      <w:marTop w:val="0"/>
      <w:marBottom w:val="0"/>
      <w:divBdr>
        <w:top w:val="none" w:sz="0" w:space="0" w:color="auto"/>
        <w:left w:val="none" w:sz="0" w:space="0" w:color="auto"/>
        <w:bottom w:val="none" w:sz="0" w:space="0" w:color="auto"/>
        <w:right w:val="none" w:sz="0" w:space="0" w:color="auto"/>
      </w:divBdr>
    </w:div>
    <w:div w:id="500703218">
      <w:bodyDiv w:val="1"/>
      <w:marLeft w:val="0"/>
      <w:marRight w:val="0"/>
      <w:marTop w:val="0"/>
      <w:marBottom w:val="0"/>
      <w:divBdr>
        <w:top w:val="none" w:sz="0" w:space="0" w:color="auto"/>
        <w:left w:val="none" w:sz="0" w:space="0" w:color="auto"/>
        <w:bottom w:val="none" w:sz="0" w:space="0" w:color="auto"/>
        <w:right w:val="none" w:sz="0" w:space="0" w:color="auto"/>
      </w:divBdr>
    </w:div>
    <w:div w:id="500704635">
      <w:bodyDiv w:val="1"/>
      <w:marLeft w:val="0"/>
      <w:marRight w:val="0"/>
      <w:marTop w:val="0"/>
      <w:marBottom w:val="0"/>
      <w:divBdr>
        <w:top w:val="none" w:sz="0" w:space="0" w:color="auto"/>
        <w:left w:val="none" w:sz="0" w:space="0" w:color="auto"/>
        <w:bottom w:val="none" w:sz="0" w:space="0" w:color="auto"/>
        <w:right w:val="none" w:sz="0" w:space="0" w:color="auto"/>
      </w:divBdr>
    </w:div>
    <w:div w:id="500774569">
      <w:bodyDiv w:val="1"/>
      <w:marLeft w:val="0"/>
      <w:marRight w:val="0"/>
      <w:marTop w:val="0"/>
      <w:marBottom w:val="0"/>
      <w:divBdr>
        <w:top w:val="none" w:sz="0" w:space="0" w:color="auto"/>
        <w:left w:val="none" w:sz="0" w:space="0" w:color="auto"/>
        <w:bottom w:val="none" w:sz="0" w:space="0" w:color="auto"/>
        <w:right w:val="none" w:sz="0" w:space="0" w:color="auto"/>
      </w:divBdr>
    </w:div>
    <w:div w:id="500776251">
      <w:bodyDiv w:val="1"/>
      <w:marLeft w:val="0"/>
      <w:marRight w:val="0"/>
      <w:marTop w:val="0"/>
      <w:marBottom w:val="0"/>
      <w:divBdr>
        <w:top w:val="none" w:sz="0" w:space="0" w:color="auto"/>
        <w:left w:val="none" w:sz="0" w:space="0" w:color="auto"/>
        <w:bottom w:val="none" w:sz="0" w:space="0" w:color="auto"/>
        <w:right w:val="none" w:sz="0" w:space="0" w:color="auto"/>
      </w:divBdr>
    </w:div>
    <w:div w:id="500852699">
      <w:bodyDiv w:val="1"/>
      <w:marLeft w:val="0"/>
      <w:marRight w:val="0"/>
      <w:marTop w:val="0"/>
      <w:marBottom w:val="0"/>
      <w:divBdr>
        <w:top w:val="none" w:sz="0" w:space="0" w:color="auto"/>
        <w:left w:val="none" w:sz="0" w:space="0" w:color="auto"/>
        <w:bottom w:val="none" w:sz="0" w:space="0" w:color="auto"/>
        <w:right w:val="none" w:sz="0" w:space="0" w:color="auto"/>
      </w:divBdr>
    </w:div>
    <w:div w:id="500967014">
      <w:bodyDiv w:val="1"/>
      <w:marLeft w:val="0"/>
      <w:marRight w:val="0"/>
      <w:marTop w:val="0"/>
      <w:marBottom w:val="0"/>
      <w:divBdr>
        <w:top w:val="none" w:sz="0" w:space="0" w:color="auto"/>
        <w:left w:val="none" w:sz="0" w:space="0" w:color="auto"/>
        <w:bottom w:val="none" w:sz="0" w:space="0" w:color="auto"/>
        <w:right w:val="none" w:sz="0" w:space="0" w:color="auto"/>
      </w:divBdr>
    </w:div>
    <w:div w:id="501050578">
      <w:bodyDiv w:val="1"/>
      <w:marLeft w:val="0"/>
      <w:marRight w:val="0"/>
      <w:marTop w:val="0"/>
      <w:marBottom w:val="0"/>
      <w:divBdr>
        <w:top w:val="none" w:sz="0" w:space="0" w:color="auto"/>
        <w:left w:val="none" w:sz="0" w:space="0" w:color="auto"/>
        <w:bottom w:val="none" w:sz="0" w:space="0" w:color="auto"/>
        <w:right w:val="none" w:sz="0" w:space="0" w:color="auto"/>
      </w:divBdr>
    </w:div>
    <w:div w:id="501051401">
      <w:bodyDiv w:val="1"/>
      <w:marLeft w:val="0"/>
      <w:marRight w:val="0"/>
      <w:marTop w:val="0"/>
      <w:marBottom w:val="0"/>
      <w:divBdr>
        <w:top w:val="none" w:sz="0" w:space="0" w:color="auto"/>
        <w:left w:val="none" w:sz="0" w:space="0" w:color="auto"/>
        <w:bottom w:val="none" w:sz="0" w:space="0" w:color="auto"/>
        <w:right w:val="none" w:sz="0" w:space="0" w:color="auto"/>
      </w:divBdr>
    </w:div>
    <w:div w:id="501235678">
      <w:bodyDiv w:val="1"/>
      <w:marLeft w:val="0"/>
      <w:marRight w:val="0"/>
      <w:marTop w:val="0"/>
      <w:marBottom w:val="0"/>
      <w:divBdr>
        <w:top w:val="none" w:sz="0" w:space="0" w:color="auto"/>
        <w:left w:val="none" w:sz="0" w:space="0" w:color="auto"/>
        <w:bottom w:val="none" w:sz="0" w:space="0" w:color="auto"/>
        <w:right w:val="none" w:sz="0" w:space="0" w:color="auto"/>
      </w:divBdr>
    </w:div>
    <w:div w:id="501241292">
      <w:bodyDiv w:val="1"/>
      <w:marLeft w:val="0"/>
      <w:marRight w:val="0"/>
      <w:marTop w:val="0"/>
      <w:marBottom w:val="0"/>
      <w:divBdr>
        <w:top w:val="none" w:sz="0" w:space="0" w:color="auto"/>
        <w:left w:val="none" w:sz="0" w:space="0" w:color="auto"/>
        <w:bottom w:val="none" w:sz="0" w:space="0" w:color="auto"/>
        <w:right w:val="none" w:sz="0" w:space="0" w:color="auto"/>
      </w:divBdr>
    </w:div>
    <w:div w:id="501361799">
      <w:bodyDiv w:val="1"/>
      <w:marLeft w:val="0"/>
      <w:marRight w:val="0"/>
      <w:marTop w:val="0"/>
      <w:marBottom w:val="0"/>
      <w:divBdr>
        <w:top w:val="none" w:sz="0" w:space="0" w:color="auto"/>
        <w:left w:val="none" w:sz="0" w:space="0" w:color="auto"/>
        <w:bottom w:val="none" w:sz="0" w:space="0" w:color="auto"/>
        <w:right w:val="none" w:sz="0" w:space="0" w:color="auto"/>
      </w:divBdr>
    </w:div>
    <w:div w:id="501505932">
      <w:bodyDiv w:val="1"/>
      <w:marLeft w:val="0"/>
      <w:marRight w:val="0"/>
      <w:marTop w:val="0"/>
      <w:marBottom w:val="0"/>
      <w:divBdr>
        <w:top w:val="none" w:sz="0" w:space="0" w:color="auto"/>
        <w:left w:val="none" w:sz="0" w:space="0" w:color="auto"/>
        <w:bottom w:val="none" w:sz="0" w:space="0" w:color="auto"/>
        <w:right w:val="none" w:sz="0" w:space="0" w:color="auto"/>
      </w:divBdr>
    </w:div>
    <w:div w:id="501626775">
      <w:bodyDiv w:val="1"/>
      <w:marLeft w:val="0"/>
      <w:marRight w:val="0"/>
      <w:marTop w:val="0"/>
      <w:marBottom w:val="0"/>
      <w:divBdr>
        <w:top w:val="none" w:sz="0" w:space="0" w:color="auto"/>
        <w:left w:val="none" w:sz="0" w:space="0" w:color="auto"/>
        <w:bottom w:val="none" w:sz="0" w:space="0" w:color="auto"/>
        <w:right w:val="none" w:sz="0" w:space="0" w:color="auto"/>
      </w:divBdr>
    </w:div>
    <w:div w:id="501706189">
      <w:bodyDiv w:val="1"/>
      <w:marLeft w:val="0"/>
      <w:marRight w:val="0"/>
      <w:marTop w:val="0"/>
      <w:marBottom w:val="0"/>
      <w:divBdr>
        <w:top w:val="none" w:sz="0" w:space="0" w:color="auto"/>
        <w:left w:val="none" w:sz="0" w:space="0" w:color="auto"/>
        <w:bottom w:val="none" w:sz="0" w:space="0" w:color="auto"/>
        <w:right w:val="none" w:sz="0" w:space="0" w:color="auto"/>
      </w:divBdr>
    </w:div>
    <w:div w:id="501940511">
      <w:bodyDiv w:val="1"/>
      <w:marLeft w:val="0"/>
      <w:marRight w:val="0"/>
      <w:marTop w:val="0"/>
      <w:marBottom w:val="0"/>
      <w:divBdr>
        <w:top w:val="none" w:sz="0" w:space="0" w:color="auto"/>
        <w:left w:val="none" w:sz="0" w:space="0" w:color="auto"/>
        <w:bottom w:val="none" w:sz="0" w:space="0" w:color="auto"/>
        <w:right w:val="none" w:sz="0" w:space="0" w:color="auto"/>
      </w:divBdr>
    </w:div>
    <w:div w:id="502090045">
      <w:bodyDiv w:val="1"/>
      <w:marLeft w:val="0"/>
      <w:marRight w:val="0"/>
      <w:marTop w:val="0"/>
      <w:marBottom w:val="0"/>
      <w:divBdr>
        <w:top w:val="none" w:sz="0" w:space="0" w:color="auto"/>
        <w:left w:val="none" w:sz="0" w:space="0" w:color="auto"/>
        <w:bottom w:val="none" w:sz="0" w:space="0" w:color="auto"/>
        <w:right w:val="none" w:sz="0" w:space="0" w:color="auto"/>
      </w:divBdr>
    </w:div>
    <w:div w:id="502090813">
      <w:bodyDiv w:val="1"/>
      <w:marLeft w:val="0"/>
      <w:marRight w:val="0"/>
      <w:marTop w:val="0"/>
      <w:marBottom w:val="0"/>
      <w:divBdr>
        <w:top w:val="none" w:sz="0" w:space="0" w:color="auto"/>
        <w:left w:val="none" w:sz="0" w:space="0" w:color="auto"/>
        <w:bottom w:val="none" w:sz="0" w:space="0" w:color="auto"/>
        <w:right w:val="none" w:sz="0" w:space="0" w:color="auto"/>
      </w:divBdr>
    </w:div>
    <w:div w:id="502164501">
      <w:bodyDiv w:val="1"/>
      <w:marLeft w:val="0"/>
      <w:marRight w:val="0"/>
      <w:marTop w:val="0"/>
      <w:marBottom w:val="0"/>
      <w:divBdr>
        <w:top w:val="none" w:sz="0" w:space="0" w:color="auto"/>
        <w:left w:val="none" w:sz="0" w:space="0" w:color="auto"/>
        <w:bottom w:val="none" w:sz="0" w:space="0" w:color="auto"/>
        <w:right w:val="none" w:sz="0" w:space="0" w:color="auto"/>
      </w:divBdr>
    </w:div>
    <w:div w:id="502205843">
      <w:bodyDiv w:val="1"/>
      <w:marLeft w:val="0"/>
      <w:marRight w:val="0"/>
      <w:marTop w:val="0"/>
      <w:marBottom w:val="0"/>
      <w:divBdr>
        <w:top w:val="none" w:sz="0" w:space="0" w:color="auto"/>
        <w:left w:val="none" w:sz="0" w:space="0" w:color="auto"/>
        <w:bottom w:val="none" w:sz="0" w:space="0" w:color="auto"/>
        <w:right w:val="none" w:sz="0" w:space="0" w:color="auto"/>
      </w:divBdr>
    </w:div>
    <w:div w:id="502277751">
      <w:bodyDiv w:val="1"/>
      <w:marLeft w:val="0"/>
      <w:marRight w:val="0"/>
      <w:marTop w:val="0"/>
      <w:marBottom w:val="0"/>
      <w:divBdr>
        <w:top w:val="none" w:sz="0" w:space="0" w:color="auto"/>
        <w:left w:val="none" w:sz="0" w:space="0" w:color="auto"/>
        <w:bottom w:val="none" w:sz="0" w:space="0" w:color="auto"/>
        <w:right w:val="none" w:sz="0" w:space="0" w:color="auto"/>
      </w:divBdr>
    </w:div>
    <w:div w:id="502280412">
      <w:bodyDiv w:val="1"/>
      <w:marLeft w:val="0"/>
      <w:marRight w:val="0"/>
      <w:marTop w:val="0"/>
      <w:marBottom w:val="0"/>
      <w:divBdr>
        <w:top w:val="none" w:sz="0" w:space="0" w:color="auto"/>
        <w:left w:val="none" w:sz="0" w:space="0" w:color="auto"/>
        <w:bottom w:val="none" w:sz="0" w:space="0" w:color="auto"/>
        <w:right w:val="none" w:sz="0" w:space="0" w:color="auto"/>
      </w:divBdr>
    </w:div>
    <w:div w:id="502473729">
      <w:bodyDiv w:val="1"/>
      <w:marLeft w:val="0"/>
      <w:marRight w:val="0"/>
      <w:marTop w:val="0"/>
      <w:marBottom w:val="0"/>
      <w:divBdr>
        <w:top w:val="none" w:sz="0" w:space="0" w:color="auto"/>
        <w:left w:val="none" w:sz="0" w:space="0" w:color="auto"/>
        <w:bottom w:val="none" w:sz="0" w:space="0" w:color="auto"/>
        <w:right w:val="none" w:sz="0" w:space="0" w:color="auto"/>
      </w:divBdr>
    </w:div>
    <w:div w:id="502626872">
      <w:bodyDiv w:val="1"/>
      <w:marLeft w:val="0"/>
      <w:marRight w:val="0"/>
      <w:marTop w:val="0"/>
      <w:marBottom w:val="0"/>
      <w:divBdr>
        <w:top w:val="none" w:sz="0" w:space="0" w:color="auto"/>
        <w:left w:val="none" w:sz="0" w:space="0" w:color="auto"/>
        <w:bottom w:val="none" w:sz="0" w:space="0" w:color="auto"/>
        <w:right w:val="none" w:sz="0" w:space="0" w:color="auto"/>
      </w:divBdr>
    </w:div>
    <w:div w:id="502668380">
      <w:bodyDiv w:val="1"/>
      <w:marLeft w:val="0"/>
      <w:marRight w:val="0"/>
      <w:marTop w:val="0"/>
      <w:marBottom w:val="0"/>
      <w:divBdr>
        <w:top w:val="none" w:sz="0" w:space="0" w:color="auto"/>
        <w:left w:val="none" w:sz="0" w:space="0" w:color="auto"/>
        <w:bottom w:val="none" w:sz="0" w:space="0" w:color="auto"/>
        <w:right w:val="none" w:sz="0" w:space="0" w:color="auto"/>
      </w:divBdr>
    </w:div>
    <w:div w:id="502742311">
      <w:bodyDiv w:val="1"/>
      <w:marLeft w:val="0"/>
      <w:marRight w:val="0"/>
      <w:marTop w:val="0"/>
      <w:marBottom w:val="0"/>
      <w:divBdr>
        <w:top w:val="none" w:sz="0" w:space="0" w:color="auto"/>
        <w:left w:val="none" w:sz="0" w:space="0" w:color="auto"/>
        <w:bottom w:val="none" w:sz="0" w:space="0" w:color="auto"/>
        <w:right w:val="none" w:sz="0" w:space="0" w:color="auto"/>
      </w:divBdr>
    </w:div>
    <w:div w:id="502746995">
      <w:bodyDiv w:val="1"/>
      <w:marLeft w:val="0"/>
      <w:marRight w:val="0"/>
      <w:marTop w:val="0"/>
      <w:marBottom w:val="0"/>
      <w:divBdr>
        <w:top w:val="none" w:sz="0" w:space="0" w:color="auto"/>
        <w:left w:val="none" w:sz="0" w:space="0" w:color="auto"/>
        <w:bottom w:val="none" w:sz="0" w:space="0" w:color="auto"/>
        <w:right w:val="none" w:sz="0" w:space="0" w:color="auto"/>
      </w:divBdr>
    </w:div>
    <w:div w:id="502935046">
      <w:bodyDiv w:val="1"/>
      <w:marLeft w:val="0"/>
      <w:marRight w:val="0"/>
      <w:marTop w:val="0"/>
      <w:marBottom w:val="0"/>
      <w:divBdr>
        <w:top w:val="none" w:sz="0" w:space="0" w:color="auto"/>
        <w:left w:val="none" w:sz="0" w:space="0" w:color="auto"/>
        <w:bottom w:val="none" w:sz="0" w:space="0" w:color="auto"/>
        <w:right w:val="none" w:sz="0" w:space="0" w:color="auto"/>
      </w:divBdr>
    </w:div>
    <w:div w:id="503086833">
      <w:bodyDiv w:val="1"/>
      <w:marLeft w:val="0"/>
      <w:marRight w:val="0"/>
      <w:marTop w:val="0"/>
      <w:marBottom w:val="0"/>
      <w:divBdr>
        <w:top w:val="none" w:sz="0" w:space="0" w:color="auto"/>
        <w:left w:val="none" w:sz="0" w:space="0" w:color="auto"/>
        <w:bottom w:val="none" w:sz="0" w:space="0" w:color="auto"/>
        <w:right w:val="none" w:sz="0" w:space="0" w:color="auto"/>
      </w:divBdr>
    </w:div>
    <w:div w:id="503133377">
      <w:bodyDiv w:val="1"/>
      <w:marLeft w:val="0"/>
      <w:marRight w:val="0"/>
      <w:marTop w:val="0"/>
      <w:marBottom w:val="0"/>
      <w:divBdr>
        <w:top w:val="none" w:sz="0" w:space="0" w:color="auto"/>
        <w:left w:val="none" w:sz="0" w:space="0" w:color="auto"/>
        <w:bottom w:val="none" w:sz="0" w:space="0" w:color="auto"/>
        <w:right w:val="none" w:sz="0" w:space="0" w:color="auto"/>
      </w:divBdr>
    </w:div>
    <w:div w:id="503133633">
      <w:bodyDiv w:val="1"/>
      <w:marLeft w:val="0"/>
      <w:marRight w:val="0"/>
      <w:marTop w:val="0"/>
      <w:marBottom w:val="0"/>
      <w:divBdr>
        <w:top w:val="none" w:sz="0" w:space="0" w:color="auto"/>
        <w:left w:val="none" w:sz="0" w:space="0" w:color="auto"/>
        <w:bottom w:val="none" w:sz="0" w:space="0" w:color="auto"/>
        <w:right w:val="none" w:sz="0" w:space="0" w:color="auto"/>
      </w:divBdr>
    </w:div>
    <w:div w:id="503203436">
      <w:bodyDiv w:val="1"/>
      <w:marLeft w:val="0"/>
      <w:marRight w:val="0"/>
      <w:marTop w:val="0"/>
      <w:marBottom w:val="0"/>
      <w:divBdr>
        <w:top w:val="none" w:sz="0" w:space="0" w:color="auto"/>
        <w:left w:val="none" w:sz="0" w:space="0" w:color="auto"/>
        <w:bottom w:val="none" w:sz="0" w:space="0" w:color="auto"/>
        <w:right w:val="none" w:sz="0" w:space="0" w:color="auto"/>
      </w:divBdr>
    </w:div>
    <w:div w:id="503251154">
      <w:bodyDiv w:val="1"/>
      <w:marLeft w:val="0"/>
      <w:marRight w:val="0"/>
      <w:marTop w:val="0"/>
      <w:marBottom w:val="0"/>
      <w:divBdr>
        <w:top w:val="none" w:sz="0" w:space="0" w:color="auto"/>
        <w:left w:val="none" w:sz="0" w:space="0" w:color="auto"/>
        <w:bottom w:val="none" w:sz="0" w:space="0" w:color="auto"/>
        <w:right w:val="none" w:sz="0" w:space="0" w:color="auto"/>
      </w:divBdr>
    </w:div>
    <w:div w:id="503320191">
      <w:bodyDiv w:val="1"/>
      <w:marLeft w:val="0"/>
      <w:marRight w:val="0"/>
      <w:marTop w:val="0"/>
      <w:marBottom w:val="0"/>
      <w:divBdr>
        <w:top w:val="none" w:sz="0" w:space="0" w:color="auto"/>
        <w:left w:val="none" w:sz="0" w:space="0" w:color="auto"/>
        <w:bottom w:val="none" w:sz="0" w:space="0" w:color="auto"/>
        <w:right w:val="none" w:sz="0" w:space="0" w:color="auto"/>
      </w:divBdr>
    </w:div>
    <w:div w:id="503328707">
      <w:bodyDiv w:val="1"/>
      <w:marLeft w:val="0"/>
      <w:marRight w:val="0"/>
      <w:marTop w:val="0"/>
      <w:marBottom w:val="0"/>
      <w:divBdr>
        <w:top w:val="none" w:sz="0" w:space="0" w:color="auto"/>
        <w:left w:val="none" w:sz="0" w:space="0" w:color="auto"/>
        <w:bottom w:val="none" w:sz="0" w:space="0" w:color="auto"/>
        <w:right w:val="none" w:sz="0" w:space="0" w:color="auto"/>
      </w:divBdr>
    </w:div>
    <w:div w:id="503516652">
      <w:bodyDiv w:val="1"/>
      <w:marLeft w:val="0"/>
      <w:marRight w:val="0"/>
      <w:marTop w:val="0"/>
      <w:marBottom w:val="0"/>
      <w:divBdr>
        <w:top w:val="none" w:sz="0" w:space="0" w:color="auto"/>
        <w:left w:val="none" w:sz="0" w:space="0" w:color="auto"/>
        <w:bottom w:val="none" w:sz="0" w:space="0" w:color="auto"/>
        <w:right w:val="none" w:sz="0" w:space="0" w:color="auto"/>
      </w:divBdr>
    </w:div>
    <w:div w:id="503588278">
      <w:bodyDiv w:val="1"/>
      <w:marLeft w:val="0"/>
      <w:marRight w:val="0"/>
      <w:marTop w:val="0"/>
      <w:marBottom w:val="0"/>
      <w:divBdr>
        <w:top w:val="none" w:sz="0" w:space="0" w:color="auto"/>
        <w:left w:val="none" w:sz="0" w:space="0" w:color="auto"/>
        <w:bottom w:val="none" w:sz="0" w:space="0" w:color="auto"/>
        <w:right w:val="none" w:sz="0" w:space="0" w:color="auto"/>
      </w:divBdr>
    </w:div>
    <w:div w:id="503712350">
      <w:bodyDiv w:val="1"/>
      <w:marLeft w:val="0"/>
      <w:marRight w:val="0"/>
      <w:marTop w:val="0"/>
      <w:marBottom w:val="0"/>
      <w:divBdr>
        <w:top w:val="none" w:sz="0" w:space="0" w:color="auto"/>
        <w:left w:val="none" w:sz="0" w:space="0" w:color="auto"/>
        <w:bottom w:val="none" w:sz="0" w:space="0" w:color="auto"/>
        <w:right w:val="none" w:sz="0" w:space="0" w:color="auto"/>
      </w:divBdr>
    </w:div>
    <w:div w:id="503715445">
      <w:bodyDiv w:val="1"/>
      <w:marLeft w:val="0"/>
      <w:marRight w:val="0"/>
      <w:marTop w:val="0"/>
      <w:marBottom w:val="0"/>
      <w:divBdr>
        <w:top w:val="none" w:sz="0" w:space="0" w:color="auto"/>
        <w:left w:val="none" w:sz="0" w:space="0" w:color="auto"/>
        <w:bottom w:val="none" w:sz="0" w:space="0" w:color="auto"/>
        <w:right w:val="none" w:sz="0" w:space="0" w:color="auto"/>
      </w:divBdr>
    </w:div>
    <w:div w:id="503741977">
      <w:bodyDiv w:val="1"/>
      <w:marLeft w:val="0"/>
      <w:marRight w:val="0"/>
      <w:marTop w:val="0"/>
      <w:marBottom w:val="0"/>
      <w:divBdr>
        <w:top w:val="none" w:sz="0" w:space="0" w:color="auto"/>
        <w:left w:val="none" w:sz="0" w:space="0" w:color="auto"/>
        <w:bottom w:val="none" w:sz="0" w:space="0" w:color="auto"/>
        <w:right w:val="none" w:sz="0" w:space="0" w:color="auto"/>
      </w:divBdr>
    </w:div>
    <w:div w:id="503781813">
      <w:bodyDiv w:val="1"/>
      <w:marLeft w:val="0"/>
      <w:marRight w:val="0"/>
      <w:marTop w:val="0"/>
      <w:marBottom w:val="0"/>
      <w:divBdr>
        <w:top w:val="none" w:sz="0" w:space="0" w:color="auto"/>
        <w:left w:val="none" w:sz="0" w:space="0" w:color="auto"/>
        <w:bottom w:val="none" w:sz="0" w:space="0" w:color="auto"/>
        <w:right w:val="none" w:sz="0" w:space="0" w:color="auto"/>
      </w:divBdr>
    </w:div>
    <w:div w:id="503783117">
      <w:bodyDiv w:val="1"/>
      <w:marLeft w:val="0"/>
      <w:marRight w:val="0"/>
      <w:marTop w:val="0"/>
      <w:marBottom w:val="0"/>
      <w:divBdr>
        <w:top w:val="none" w:sz="0" w:space="0" w:color="auto"/>
        <w:left w:val="none" w:sz="0" w:space="0" w:color="auto"/>
        <w:bottom w:val="none" w:sz="0" w:space="0" w:color="auto"/>
        <w:right w:val="none" w:sz="0" w:space="0" w:color="auto"/>
      </w:divBdr>
    </w:div>
    <w:div w:id="503978216">
      <w:bodyDiv w:val="1"/>
      <w:marLeft w:val="0"/>
      <w:marRight w:val="0"/>
      <w:marTop w:val="0"/>
      <w:marBottom w:val="0"/>
      <w:divBdr>
        <w:top w:val="none" w:sz="0" w:space="0" w:color="auto"/>
        <w:left w:val="none" w:sz="0" w:space="0" w:color="auto"/>
        <w:bottom w:val="none" w:sz="0" w:space="0" w:color="auto"/>
        <w:right w:val="none" w:sz="0" w:space="0" w:color="auto"/>
      </w:divBdr>
    </w:div>
    <w:div w:id="504056592">
      <w:bodyDiv w:val="1"/>
      <w:marLeft w:val="0"/>
      <w:marRight w:val="0"/>
      <w:marTop w:val="0"/>
      <w:marBottom w:val="0"/>
      <w:divBdr>
        <w:top w:val="none" w:sz="0" w:space="0" w:color="auto"/>
        <w:left w:val="none" w:sz="0" w:space="0" w:color="auto"/>
        <w:bottom w:val="none" w:sz="0" w:space="0" w:color="auto"/>
        <w:right w:val="none" w:sz="0" w:space="0" w:color="auto"/>
      </w:divBdr>
    </w:div>
    <w:div w:id="504243341">
      <w:bodyDiv w:val="1"/>
      <w:marLeft w:val="0"/>
      <w:marRight w:val="0"/>
      <w:marTop w:val="0"/>
      <w:marBottom w:val="0"/>
      <w:divBdr>
        <w:top w:val="none" w:sz="0" w:space="0" w:color="auto"/>
        <w:left w:val="none" w:sz="0" w:space="0" w:color="auto"/>
        <w:bottom w:val="none" w:sz="0" w:space="0" w:color="auto"/>
        <w:right w:val="none" w:sz="0" w:space="0" w:color="auto"/>
      </w:divBdr>
    </w:div>
    <w:div w:id="504244256">
      <w:bodyDiv w:val="1"/>
      <w:marLeft w:val="0"/>
      <w:marRight w:val="0"/>
      <w:marTop w:val="0"/>
      <w:marBottom w:val="0"/>
      <w:divBdr>
        <w:top w:val="none" w:sz="0" w:space="0" w:color="auto"/>
        <w:left w:val="none" w:sz="0" w:space="0" w:color="auto"/>
        <w:bottom w:val="none" w:sz="0" w:space="0" w:color="auto"/>
        <w:right w:val="none" w:sz="0" w:space="0" w:color="auto"/>
      </w:divBdr>
    </w:div>
    <w:div w:id="504367943">
      <w:bodyDiv w:val="1"/>
      <w:marLeft w:val="0"/>
      <w:marRight w:val="0"/>
      <w:marTop w:val="0"/>
      <w:marBottom w:val="0"/>
      <w:divBdr>
        <w:top w:val="none" w:sz="0" w:space="0" w:color="auto"/>
        <w:left w:val="none" w:sz="0" w:space="0" w:color="auto"/>
        <w:bottom w:val="none" w:sz="0" w:space="0" w:color="auto"/>
        <w:right w:val="none" w:sz="0" w:space="0" w:color="auto"/>
      </w:divBdr>
    </w:div>
    <w:div w:id="504437017">
      <w:bodyDiv w:val="1"/>
      <w:marLeft w:val="0"/>
      <w:marRight w:val="0"/>
      <w:marTop w:val="0"/>
      <w:marBottom w:val="0"/>
      <w:divBdr>
        <w:top w:val="none" w:sz="0" w:space="0" w:color="auto"/>
        <w:left w:val="none" w:sz="0" w:space="0" w:color="auto"/>
        <w:bottom w:val="none" w:sz="0" w:space="0" w:color="auto"/>
        <w:right w:val="none" w:sz="0" w:space="0" w:color="auto"/>
      </w:divBdr>
    </w:div>
    <w:div w:id="504511807">
      <w:bodyDiv w:val="1"/>
      <w:marLeft w:val="0"/>
      <w:marRight w:val="0"/>
      <w:marTop w:val="0"/>
      <w:marBottom w:val="0"/>
      <w:divBdr>
        <w:top w:val="none" w:sz="0" w:space="0" w:color="auto"/>
        <w:left w:val="none" w:sz="0" w:space="0" w:color="auto"/>
        <w:bottom w:val="none" w:sz="0" w:space="0" w:color="auto"/>
        <w:right w:val="none" w:sz="0" w:space="0" w:color="auto"/>
      </w:divBdr>
    </w:div>
    <w:div w:id="504590898">
      <w:bodyDiv w:val="1"/>
      <w:marLeft w:val="0"/>
      <w:marRight w:val="0"/>
      <w:marTop w:val="0"/>
      <w:marBottom w:val="0"/>
      <w:divBdr>
        <w:top w:val="none" w:sz="0" w:space="0" w:color="auto"/>
        <w:left w:val="none" w:sz="0" w:space="0" w:color="auto"/>
        <w:bottom w:val="none" w:sz="0" w:space="0" w:color="auto"/>
        <w:right w:val="none" w:sz="0" w:space="0" w:color="auto"/>
      </w:divBdr>
    </w:div>
    <w:div w:id="504591492">
      <w:bodyDiv w:val="1"/>
      <w:marLeft w:val="0"/>
      <w:marRight w:val="0"/>
      <w:marTop w:val="0"/>
      <w:marBottom w:val="0"/>
      <w:divBdr>
        <w:top w:val="none" w:sz="0" w:space="0" w:color="auto"/>
        <w:left w:val="none" w:sz="0" w:space="0" w:color="auto"/>
        <w:bottom w:val="none" w:sz="0" w:space="0" w:color="auto"/>
        <w:right w:val="none" w:sz="0" w:space="0" w:color="auto"/>
      </w:divBdr>
    </w:div>
    <w:div w:id="504591657">
      <w:bodyDiv w:val="1"/>
      <w:marLeft w:val="0"/>
      <w:marRight w:val="0"/>
      <w:marTop w:val="0"/>
      <w:marBottom w:val="0"/>
      <w:divBdr>
        <w:top w:val="none" w:sz="0" w:space="0" w:color="auto"/>
        <w:left w:val="none" w:sz="0" w:space="0" w:color="auto"/>
        <w:bottom w:val="none" w:sz="0" w:space="0" w:color="auto"/>
        <w:right w:val="none" w:sz="0" w:space="0" w:color="auto"/>
      </w:divBdr>
    </w:div>
    <w:div w:id="504636636">
      <w:bodyDiv w:val="1"/>
      <w:marLeft w:val="0"/>
      <w:marRight w:val="0"/>
      <w:marTop w:val="0"/>
      <w:marBottom w:val="0"/>
      <w:divBdr>
        <w:top w:val="none" w:sz="0" w:space="0" w:color="auto"/>
        <w:left w:val="none" w:sz="0" w:space="0" w:color="auto"/>
        <w:bottom w:val="none" w:sz="0" w:space="0" w:color="auto"/>
        <w:right w:val="none" w:sz="0" w:space="0" w:color="auto"/>
      </w:divBdr>
    </w:div>
    <w:div w:id="504789638">
      <w:bodyDiv w:val="1"/>
      <w:marLeft w:val="0"/>
      <w:marRight w:val="0"/>
      <w:marTop w:val="0"/>
      <w:marBottom w:val="0"/>
      <w:divBdr>
        <w:top w:val="none" w:sz="0" w:space="0" w:color="auto"/>
        <w:left w:val="none" w:sz="0" w:space="0" w:color="auto"/>
        <w:bottom w:val="none" w:sz="0" w:space="0" w:color="auto"/>
        <w:right w:val="none" w:sz="0" w:space="0" w:color="auto"/>
      </w:divBdr>
    </w:div>
    <w:div w:id="504825162">
      <w:bodyDiv w:val="1"/>
      <w:marLeft w:val="0"/>
      <w:marRight w:val="0"/>
      <w:marTop w:val="0"/>
      <w:marBottom w:val="0"/>
      <w:divBdr>
        <w:top w:val="none" w:sz="0" w:space="0" w:color="auto"/>
        <w:left w:val="none" w:sz="0" w:space="0" w:color="auto"/>
        <w:bottom w:val="none" w:sz="0" w:space="0" w:color="auto"/>
        <w:right w:val="none" w:sz="0" w:space="0" w:color="auto"/>
      </w:divBdr>
    </w:div>
    <w:div w:id="504832652">
      <w:bodyDiv w:val="1"/>
      <w:marLeft w:val="0"/>
      <w:marRight w:val="0"/>
      <w:marTop w:val="0"/>
      <w:marBottom w:val="0"/>
      <w:divBdr>
        <w:top w:val="none" w:sz="0" w:space="0" w:color="auto"/>
        <w:left w:val="none" w:sz="0" w:space="0" w:color="auto"/>
        <w:bottom w:val="none" w:sz="0" w:space="0" w:color="auto"/>
        <w:right w:val="none" w:sz="0" w:space="0" w:color="auto"/>
      </w:divBdr>
    </w:div>
    <w:div w:id="504899158">
      <w:bodyDiv w:val="1"/>
      <w:marLeft w:val="0"/>
      <w:marRight w:val="0"/>
      <w:marTop w:val="0"/>
      <w:marBottom w:val="0"/>
      <w:divBdr>
        <w:top w:val="none" w:sz="0" w:space="0" w:color="auto"/>
        <w:left w:val="none" w:sz="0" w:space="0" w:color="auto"/>
        <w:bottom w:val="none" w:sz="0" w:space="0" w:color="auto"/>
        <w:right w:val="none" w:sz="0" w:space="0" w:color="auto"/>
      </w:divBdr>
    </w:div>
    <w:div w:id="504901731">
      <w:bodyDiv w:val="1"/>
      <w:marLeft w:val="0"/>
      <w:marRight w:val="0"/>
      <w:marTop w:val="0"/>
      <w:marBottom w:val="0"/>
      <w:divBdr>
        <w:top w:val="none" w:sz="0" w:space="0" w:color="auto"/>
        <w:left w:val="none" w:sz="0" w:space="0" w:color="auto"/>
        <w:bottom w:val="none" w:sz="0" w:space="0" w:color="auto"/>
        <w:right w:val="none" w:sz="0" w:space="0" w:color="auto"/>
      </w:divBdr>
    </w:div>
    <w:div w:id="504904465">
      <w:bodyDiv w:val="1"/>
      <w:marLeft w:val="0"/>
      <w:marRight w:val="0"/>
      <w:marTop w:val="0"/>
      <w:marBottom w:val="0"/>
      <w:divBdr>
        <w:top w:val="none" w:sz="0" w:space="0" w:color="auto"/>
        <w:left w:val="none" w:sz="0" w:space="0" w:color="auto"/>
        <w:bottom w:val="none" w:sz="0" w:space="0" w:color="auto"/>
        <w:right w:val="none" w:sz="0" w:space="0" w:color="auto"/>
      </w:divBdr>
    </w:div>
    <w:div w:id="504982829">
      <w:bodyDiv w:val="1"/>
      <w:marLeft w:val="0"/>
      <w:marRight w:val="0"/>
      <w:marTop w:val="0"/>
      <w:marBottom w:val="0"/>
      <w:divBdr>
        <w:top w:val="none" w:sz="0" w:space="0" w:color="auto"/>
        <w:left w:val="none" w:sz="0" w:space="0" w:color="auto"/>
        <w:bottom w:val="none" w:sz="0" w:space="0" w:color="auto"/>
        <w:right w:val="none" w:sz="0" w:space="0" w:color="auto"/>
      </w:divBdr>
    </w:div>
    <w:div w:id="505025398">
      <w:bodyDiv w:val="1"/>
      <w:marLeft w:val="0"/>
      <w:marRight w:val="0"/>
      <w:marTop w:val="0"/>
      <w:marBottom w:val="0"/>
      <w:divBdr>
        <w:top w:val="none" w:sz="0" w:space="0" w:color="auto"/>
        <w:left w:val="none" w:sz="0" w:space="0" w:color="auto"/>
        <w:bottom w:val="none" w:sz="0" w:space="0" w:color="auto"/>
        <w:right w:val="none" w:sz="0" w:space="0" w:color="auto"/>
      </w:divBdr>
    </w:div>
    <w:div w:id="505287080">
      <w:bodyDiv w:val="1"/>
      <w:marLeft w:val="0"/>
      <w:marRight w:val="0"/>
      <w:marTop w:val="0"/>
      <w:marBottom w:val="0"/>
      <w:divBdr>
        <w:top w:val="none" w:sz="0" w:space="0" w:color="auto"/>
        <w:left w:val="none" w:sz="0" w:space="0" w:color="auto"/>
        <w:bottom w:val="none" w:sz="0" w:space="0" w:color="auto"/>
        <w:right w:val="none" w:sz="0" w:space="0" w:color="auto"/>
      </w:divBdr>
    </w:div>
    <w:div w:id="505442175">
      <w:bodyDiv w:val="1"/>
      <w:marLeft w:val="0"/>
      <w:marRight w:val="0"/>
      <w:marTop w:val="0"/>
      <w:marBottom w:val="0"/>
      <w:divBdr>
        <w:top w:val="none" w:sz="0" w:space="0" w:color="auto"/>
        <w:left w:val="none" w:sz="0" w:space="0" w:color="auto"/>
        <w:bottom w:val="none" w:sz="0" w:space="0" w:color="auto"/>
        <w:right w:val="none" w:sz="0" w:space="0" w:color="auto"/>
      </w:divBdr>
    </w:div>
    <w:div w:id="505443471">
      <w:bodyDiv w:val="1"/>
      <w:marLeft w:val="0"/>
      <w:marRight w:val="0"/>
      <w:marTop w:val="0"/>
      <w:marBottom w:val="0"/>
      <w:divBdr>
        <w:top w:val="none" w:sz="0" w:space="0" w:color="auto"/>
        <w:left w:val="none" w:sz="0" w:space="0" w:color="auto"/>
        <w:bottom w:val="none" w:sz="0" w:space="0" w:color="auto"/>
        <w:right w:val="none" w:sz="0" w:space="0" w:color="auto"/>
      </w:divBdr>
    </w:div>
    <w:div w:id="505563024">
      <w:bodyDiv w:val="1"/>
      <w:marLeft w:val="0"/>
      <w:marRight w:val="0"/>
      <w:marTop w:val="0"/>
      <w:marBottom w:val="0"/>
      <w:divBdr>
        <w:top w:val="none" w:sz="0" w:space="0" w:color="auto"/>
        <w:left w:val="none" w:sz="0" w:space="0" w:color="auto"/>
        <w:bottom w:val="none" w:sz="0" w:space="0" w:color="auto"/>
        <w:right w:val="none" w:sz="0" w:space="0" w:color="auto"/>
      </w:divBdr>
    </w:div>
    <w:div w:id="505632054">
      <w:bodyDiv w:val="1"/>
      <w:marLeft w:val="0"/>
      <w:marRight w:val="0"/>
      <w:marTop w:val="0"/>
      <w:marBottom w:val="0"/>
      <w:divBdr>
        <w:top w:val="none" w:sz="0" w:space="0" w:color="auto"/>
        <w:left w:val="none" w:sz="0" w:space="0" w:color="auto"/>
        <w:bottom w:val="none" w:sz="0" w:space="0" w:color="auto"/>
        <w:right w:val="none" w:sz="0" w:space="0" w:color="auto"/>
      </w:divBdr>
    </w:div>
    <w:div w:id="505679376">
      <w:bodyDiv w:val="1"/>
      <w:marLeft w:val="0"/>
      <w:marRight w:val="0"/>
      <w:marTop w:val="0"/>
      <w:marBottom w:val="0"/>
      <w:divBdr>
        <w:top w:val="none" w:sz="0" w:space="0" w:color="auto"/>
        <w:left w:val="none" w:sz="0" w:space="0" w:color="auto"/>
        <w:bottom w:val="none" w:sz="0" w:space="0" w:color="auto"/>
        <w:right w:val="none" w:sz="0" w:space="0" w:color="auto"/>
      </w:divBdr>
    </w:div>
    <w:div w:id="505704240">
      <w:bodyDiv w:val="1"/>
      <w:marLeft w:val="0"/>
      <w:marRight w:val="0"/>
      <w:marTop w:val="0"/>
      <w:marBottom w:val="0"/>
      <w:divBdr>
        <w:top w:val="none" w:sz="0" w:space="0" w:color="auto"/>
        <w:left w:val="none" w:sz="0" w:space="0" w:color="auto"/>
        <w:bottom w:val="none" w:sz="0" w:space="0" w:color="auto"/>
        <w:right w:val="none" w:sz="0" w:space="0" w:color="auto"/>
      </w:divBdr>
    </w:div>
    <w:div w:id="505824449">
      <w:bodyDiv w:val="1"/>
      <w:marLeft w:val="0"/>
      <w:marRight w:val="0"/>
      <w:marTop w:val="0"/>
      <w:marBottom w:val="0"/>
      <w:divBdr>
        <w:top w:val="none" w:sz="0" w:space="0" w:color="auto"/>
        <w:left w:val="none" w:sz="0" w:space="0" w:color="auto"/>
        <w:bottom w:val="none" w:sz="0" w:space="0" w:color="auto"/>
        <w:right w:val="none" w:sz="0" w:space="0" w:color="auto"/>
      </w:divBdr>
    </w:div>
    <w:div w:id="506099181">
      <w:bodyDiv w:val="1"/>
      <w:marLeft w:val="0"/>
      <w:marRight w:val="0"/>
      <w:marTop w:val="0"/>
      <w:marBottom w:val="0"/>
      <w:divBdr>
        <w:top w:val="none" w:sz="0" w:space="0" w:color="auto"/>
        <w:left w:val="none" w:sz="0" w:space="0" w:color="auto"/>
        <w:bottom w:val="none" w:sz="0" w:space="0" w:color="auto"/>
        <w:right w:val="none" w:sz="0" w:space="0" w:color="auto"/>
      </w:divBdr>
    </w:div>
    <w:div w:id="506290097">
      <w:bodyDiv w:val="1"/>
      <w:marLeft w:val="0"/>
      <w:marRight w:val="0"/>
      <w:marTop w:val="0"/>
      <w:marBottom w:val="0"/>
      <w:divBdr>
        <w:top w:val="none" w:sz="0" w:space="0" w:color="auto"/>
        <w:left w:val="none" w:sz="0" w:space="0" w:color="auto"/>
        <w:bottom w:val="none" w:sz="0" w:space="0" w:color="auto"/>
        <w:right w:val="none" w:sz="0" w:space="0" w:color="auto"/>
      </w:divBdr>
    </w:div>
    <w:div w:id="506290166">
      <w:bodyDiv w:val="1"/>
      <w:marLeft w:val="0"/>
      <w:marRight w:val="0"/>
      <w:marTop w:val="0"/>
      <w:marBottom w:val="0"/>
      <w:divBdr>
        <w:top w:val="none" w:sz="0" w:space="0" w:color="auto"/>
        <w:left w:val="none" w:sz="0" w:space="0" w:color="auto"/>
        <w:bottom w:val="none" w:sz="0" w:space="0" w:color="auto"/>
        <w:right w:val="none" w:sz="0" w:space="0" w:color="auto"/>
      </w:divBdr>
    </w:div>
    <w:div w:id="506291512">
      <w:bodyDiv w:val="1"/>
      <w:marLeft w:val="0"/>
      <w:marRight w:val="0"/>
      <w:marTop w:val="0"/>
      <w:marBottom w:val="0"/>
      <w:divBdr>
        <w:top w:val="none" w:sz="0" w:space="0" w:color="auto"/>
        <w:left w:val="none" w:sz="0" w:space="0" w:color="auto"/>
        <w:bottom w:val="none" w:sz="0" w:space="0" w:color="auto"/>
        <w:right w:val="none" w:sz="0" w:space="0" w:color="auto"/>
      </w:divBdr>
    </w:div>
    <w:div w:id="506293704">
      <w:bodyDiv w:val="1"/>
      <w:marLeft w:val="0"/>
      <w:marRight w:val="0"/>
      <w:marTop w:val="0"/>
      <w:marBottom w:val="0"/>
      <w:divBdr>
        <w:top w:val="none" w:sz="0" w:space="0" w:color="auto"/>
        <w:left w:val="none" w:sz="0" w:space="0" w:color="auto"/>
        <w:bottom w:val="none" w:sz="0" w:space="0" w:color="auto"/>
        <w:right w:val="none" w:sz="0" w:space="0" w:color="auto"/>
      </w:divBdr>
    </w:div>
    <w:div w:id="506334036">
      <w:bodyDiv w:val="1"/>
      <w:marLeft w:val="0"/>
      <w:marRight w:val="0"/>
      <w:marTop w:val="0"/>
      <w:marBottom w:val="0"/>
      <w:divBdr>
        <w:top w:val="none" w:sz="0" w:space="0" w:color="auto"/>
        <w:left w:val="none" w:sz="0" w:space="0" w:color="auto"/>
        <w:bottom w:val="none" w:sz="0" w:space="0" w:color="auto"/>
        <w:right w:val="none" w:sz="0" w:space="0" w:color="auto"/>
      </w:divBdr>
    </w:div>
    <w:div w:id="506482764">
      <w:bodyDiv w:val="1"/>
      <w:marLeft w:val="0"/>
      <w:marRight w:val="0"/>
      <w:marTop w:val="0"/>
      <w:marBottom w:val="0"/>
      <w:divBdr>
        <w:top w:val="none" w:sz="0" w:space="0" w:color="auto"/>
        <w:left w:val="none" w:sz="0" w:space="0" w:color="auto"/>
        <w:bottom w:val="none" w:sz="0" w:space="0" w:color="auto"/>
        <w:right w:val="none" w:sz="0" w:space="0" w:color="auto"/>
      </w:divBdr>
    </w:div>
    <w:div w:id="506555939">
      <w:bodyDiv w:val="1"/>
      <w:marLeft w:val="0"/>
      <w:marRight w:val="0"/>
      <w:marTop w:val="0"/>
      <w:marBottom w:val="0"/>
      <w:divBdr>
        <w:top w:val="none" w:sz="0" w:space="0" w:color="auto"/>
        <w:left w:val="none" w:sz="0" w:space="0" w:color="auto"/>
        <w:bottom w:val="none" w:sz="0" w:space="0" w:color="auto"/>
        <w:right w:val="none" w:sz="0" w:space="0" w:color="auto"/>
      </w:divBdr>
    </w:div>
    <w:div w:id="506596457">
      <w:bodyDiv w:val="1"/>
      <w:marLeft w:val="0"/>
      <w:marRight w:val="0"/>
      <w:marTop w:val="0"/>
      <w:marBottom w:val="0"/>
      <w:divBdr>
        <w:top w:val="none" w:sz="0" w:space="0" w:color="auto"/>
        <w:left w:val="none" w:sz="0" w:space="0" w:color="auto"/>
        <w:bottom w:val="none" w:sz="0" w:space="0" w:color="auto"/>
        <w:right w:val="none" w:sz="0" w:space="0" w:color="auto"/>
      </w:divBdr>
    </w:div>
    <w:div w:id="506599011">
      <w:bodyDiv w:val="1"/>
      <w:marLeft w:val="0"/>
      <w:marRight w:val="0"/>
      <w:marTop w:val="0"/>
      <w:marBottom w:val="0"/>
      <w:divBdr>
        <w:top w:val="none" w:sz="0" w:space="0" w:color="auto"/>
        <w:left w:val="none" w:sz="0" w:space="0" w:color="auto"/>
        <w:bottom w:val="none" w:sz="0" w:space="0" w:color="auto"/>
        <w:right w:val="none" w:sz="0" w:space="0" w:color="auto"/>
      </w:divBdr>
    </w:div>
    <w:div w:id="506794150">
      <w:bodyDiv w:val="1"/>
      <w:marLeft w:val="0"/>
      <w:marRight w:val="0"/>
      <w:marTop w:val="0"/>
      <w:marBottom w:val="0"/>
      <w:divBdr>
        <w:top w:val="none" w:sz="0" w:space="0" w:color="auto"/>
        <w:left w:val="none" w:sz="0" w:space="0" w:color="auto"/>
        <w:bottom w:val="none" w:sz="0" w:space="0" w:color="auto"/>
        <w:right w:val="none" w:sz="0" w:space="0" w:color="auto"/>
      </w:divBdr>
    </w:div>
    <w:div w:id="506796777">
      <w:bodyDiv w:val="1"/>
      <w:marLeft w:val="0"/>
      <w:marRight w:val="0"/>
      <w:marTop w:val="0"/>
      <w:marBottom w:val="0"/>
      <w:divBdr>
        <w:top w:val="none" w:sz="0" w:space="0" w:color="auto"/>
        <w:left w:val="none" w:sz="0" w:space="0" w:color="auto"/>
        <w:bottom w:val="none" w:sz="0" w:space="0" w:color="auto"/>
        <w:right w:val="none" w:sz="0" w:space="0" w:color="auto"/>
      </w:divBdr>
    </w:div>
    <w:div w:id="506945560">
      <w:bodyDiv w:val="1"/>
      <w:marLeft w:val="0"/>
      <w:marRight w:val="0"/>
      <w:marTop w:val="0"/>
      <w:marBottom w:val="0"/>
      <w:divBdr>
        <w:top w:val="none" w:sz="0" w:space="0" w:color="auto"/>
        <w:left w:val="none" w:sz="0" w:space="0" w:color="auto"/>
        <w:bottom w:val="none" w:sz="0" w:space="0" w:color="auto"/>
        <w:right w:val="none" w:sz="0" w:space="0" w:color="auto"/>
      </w:divBdr>
    </w:div>
    <w:div w:id="506948532">
      <w:bodyDiv w:val="1"/>
      <w:marLeft w:val="0"/>
      <w:marRight w:val="0"/>
      <w:marTop w:val="0"/>
      <w:marBottom w:val="0"/>
      <w:divBdr>
        <w:top w:val="none" w:sz="0" w:space="0" w:color="auto"/>
        <w:left w:val="none" w:sz="0" w:space="0" w:color="auto"/>
        <w:bottom w:val="none" w:sz="0" w:space="0" w:color="auto"/>
        <w:right w:val="none" w:sz="0" w:space="0" w:color="auto"/>
      </w:divBdr>
    </w:div>
    <w:div w:id="507063440">
      <w:bodyDiv w:val="1"/>
      <w:marLeft w:val="0"/>
      <w:marRight w:val="0"/>
      <w:marTop w:val="0"/>
      <w:marBottom w:val="0"/>
      <w:divBdr>
        <w:top w:val="none" w:sz="0" w:space="0" w:color="auto"/>
        <w:left w:val="none" w:sz="0" w:space="0" w:color="auto"/>
        <w:bottom w:val="none" w:sz="0" w:space="0" w:color="auto"/>
        <w:right w:val="none" w:sz="0" w:space="0" w:color="auto"/>
      </w:divBdr>
    </w:div>
    <w:div w:id="507184826">
      <w:bodyDiv w:val="1"/>
      <w:marLeft w:val="0"/>
      <w:marRight w:val="0"/>
      <w:marTop w:val="0"/>
      <w:marBottom w:val="0"/>
      <w:divBdr>
        <w:top w:val="none" w:sz="0" w:space="0" w:color="auto"/>
        <w:left w:val="none" w:sz="0" w:space="0" w:color="auto"/>
        <w:bottom w:val="none" w:sz="0" w:space="0" w:color="auto"/>
        <w:right w:val="none" w:sz="0" w:space="0" w:color="auto"/>
      </w:divBdr>
    </w:div>
    <w:div w:id="507401816">
      <w:bodyDiv w:val="1"/>
      <w:marLeft w:val="0"/>
      <w:marRight w:val="0"/>
      <w:marTop w:val="0"/>
      <w:marBottom w:val="0"/>
      <w:divBdr>
        <w:top w:val="none" w:sz="0" w:space="0" w:color="auto"/>
        <w:left w:val="none" w:sz="0" w:space="0" w:color="auto"/>
        <w:bottom w:val="none" w:sz="0" w:space="0" w:color="auto"/>
        <w:right w:val="none" w:sz="0" w:space="0" w:color="auto"/>
      </w:divBdr>
    </w:div>
    <w:div w:id="507672143">
      <w:bodyDiv w:val="1"/>
      <w:marLeft w:val="0"/>
      <w:marRight w:val="0"/>
      <w:marTop w:val="0"/>
      <w:marBottom w:val="0"/>
      <w:divBdr>
        <w:top w:val="none" w:sz="0" w:space="0" w:color="auto"/>
        <w:left w:val="none" w:sz="0" w:space="0" w:color="auto"/>
        <w:bottom w:val="none" w:sz="0" w:space="0" w:color="auto"/>
        <w:right w:val="none" w:sz="0" w:space="0" w:color="auto"/>
      </w:divBdr>
    </w:div>
    <w:div w:id="507719579">
      <w:bodyDiv w:val="1"/>
      <w:marLeft w:val="0"/>
      <w:marRight w:val="0"/>
      <w:marTop w:val="0"/>
      <w:marBottom w:val="0"/>
      <w:divBdr>
        <w:top w:val="none" w:sz="0" w:space="0" w:color="auto"/>
        <w:left w:val="none" w:sz="0" w:space="0" w:color="auto"/>
        <w:bottom w:val="none" w:sz="0" w:space="0" w:color="auto"/>
        <w:right w:val="none" w:sz="0" w:space="0" w:color="auto"/>
      </w:divBdr>
    </w:div>
    <w:div w:id="507720173">
      <w:bodyDiv w:val="1"/>
      <w:marLeft w:val="0"/>
      <w:marRight w:val="0"/>
      <w:marTop w:val="0"/>
      <w:marBottom w:val="0"/>
      <w:divBdr>
        <w:top w:val="none" w:sz="0" w:space="0" w:color="auto"/>
        <w:left w:val="none" w:sz="0" w:space="0" w:color="auto"/>
        <w:bottom w:val="none" w:sz="0" w:space="0" w:color="auto"/>
        <w:right w:val="none" w:sz="0" w:space="0" w:color="auto"/>
      </w:divBdr>
    </w:div>
    <w:div w:id="507720417">
      <w:bodyDiv w:val="1"/>
      <w:marLeft w:val="0"/>
      <w:marRight w:val="0"/>
      <w:marTop w:val="0"/>
      <w:marBottom w:val="0"/>
      <w:divBdr>
        <w:top w:val="none" w:sz="0" w:space="0" w:color="auto"/>
        <w:left w:val="none" w:sz="0" w:space="0" w:color="auto"/>
        <w:bottom w:val="none" w:sz="0" w:space="0" w:color="auto"/>
        <w:right w:val="none" w:sz="0" w:space="0" w:color="auto"/>
      </w:divBdr>
    </w:div>
    <w:div w:id="507909931">
      <w:bodyDiv w:val="1"/>
      <w:marLeft w:val="0"/>
      <w:marRight w:val="0"/>
      <w:marTop w:val="0"/>
      <w:marBottom w:val="0"/>
      <w:divBdr>
        <w:top w:val="none" w:sz="0" w:space="0" w:color="auto"/>
        <w:left w:val="none" w:sz="0" w:space="0" w:color="auto"/>
        <w:bottom w:val="none" w:sz="0" w:space="0" w:color="auto"/>
        <w:right w:val="none" w:sz="0" w:space="0" w:color="auto"/>
      </w:divBdr>
    </w:div>
    <w:div w:id="507912725">
      <w:bodyDiv w:val="1"/>
      <w:marLeft w:val="0"/>
      <w:marRight w:val="0"/>
      <w:marTop w:val="0"/>
      <w:marBottom w:val="0"/>
      <w:divBdr>
        <w:top w:val="none" w:sz="0" w:space="0" w:color="auto"/>
        <w:left w:val="none" w:sz="0" w:space="0" w:color="auto"/>
        <w:bottom w:val="none" w:sz="0" w:space="0" w:color="auto"/>
        <w:right w:val="none" w:sz="0" w:space="0" w:color="auto"/>
      </w:divBdr>
    </w:div>
    <w:div w:id="508104884">
      <w:bodyDiv w:val="1"/>
      <w:marLeft w:val="0"/>
      <w:marRight w:val="0"/>
      <w:marTop w:val="0"/>
      <w:marBottom w:val="0"/>
      <w:divBdr>
        <w:top w:val="none" w:sz="0" w:space="0" w:color="auto"/>
        <w:left w:val="none" w:sz="0" w:space="0" w:color="auto"/>
        <w:bottom w:val="none" w:sz="0" w:space="0" w:color="auto"/>
        <w:right w:val="none" w:sz="0" w:space="0" w:color="auto"/>
      </w:divBdr>
    </w:div>
    <w:div w:id="508256072">
      <w:bodyDiv w:val="1"/>
      <w:marLeft w:val="0"/>
      <w:marRight w:val="0"/>
      <w:marTop w:val="0"/>
      <w:marBottom w:val="0"/>
      <w:divBdr>
        <w:top w:val="none" w:sz="0" w:space="0" w:color="auto"/>
        <w:left w:val="none" w:sz="0" w:space="0" w:color="auto"/>
        <w:bottom w:val="none" w:sz="0" w:space="0" w:color="auto"/>
        <w:right w:val="none" w:sz="0" w:space="0" w:color="auto"/>
      </w:divBdr>
    </w:div>
    <w:div w:id="508256409">
      <w:bodyDiv w:val="1"/>
      <w:marLeft w:val="0"/>
      <w:marRight w:val="0"/>
      <w:marTop w:val="0"/>
      <w:marBottom w:val="0"/>
      <w:divBdr>
        <w:top w:val="none" w:sz="0" w:space="0" w:color="auto"/>
        <w:left w:val="none" w:sz="0" w:space="0" w:color="auto"/>
        <w:bottom w:val="none" w:sz="0" w:space="0" w:color="auto"/>
        <w:right w:val="none" w:sz="0" w:space="0" w:color="auto"/>
      </w:divBdr>
    </w:div>
    <w:div w:id="508374563">
      <w:bodyDiv w:val="1"/>
      <w:marLeft w:val="0"/>
      <w:marRight w:val="0"/>
      <w:marTop w:val="0"/>
      <w:marBottom w:val="0"/>
      <w:divBdr>
        <w:top w:val="none" w:sz="0" w:space="0" w:color="auto"/>
        <w:left w:val="none" w:sz="0" w:space="0" w:color="auto"/>
        <w:bottom w:val="none" w:sz="0" w:space="0" w:color="auto"/>
        <w:right w:val="none" w:sz="0" w:space="0" w:color="auto"/>
      </w:divBdr>
    </w:div>
    <w:div w:id="508521538">
      <w:bodyDiv w:val="1"/>
      <w:marLeft w:val="0"/>
      <w:marRight w:val="0"/>
      <w:marTop w:val="0"/>
      <w:marBottom w:val="0"/>
      <w:divBdr>
        <w:top w:val="none" w:sz="0" w:space="0" w:color="auto"/>
        <w:left w:val="none" w:sz="0" w:space="0" w:color="auto"/>
        <w:bottom w:val="none" w:sz="0" w:space="0" w:color="auto"/>
        <w:right w:val="none" w:sz="0" w:space="0" w:color="auto"/>
      </w:divBdr>
    </w:div>
    <w:div w:id="508521660">
      <w:bodyDiv w:val="1"/>
      <w:marLeft w:val="0"/>
      <w:marRight w:val="0"/>
      <w:marTop w:val="0"/>
      <w:marBottom w:val="0"/>
      <w:divBdr>
        <w:top w:val="none" w:sz="0" w:space="0" w:color="auto"/>
        <w:left w:val="none" w:sz="0" w:space="0" w:color="auto"/>
        <w:bottom w:val="none" w:sz="0" w:space="0" w:color="auto"/>
        <w:right w:val="none" w:sz="0" w:space="0" w:color="auto"/>
      </w:divBdr>
    </w:div>
    <w:div w:id="508636865">
      <w:bodyDiv w:val="1"/>
      <w:marLeft w:val="0"/>
      <w:marRight w:val="0"/>
      <w:marTop w:val="0"/>
      <w:marBottom w:val="0"/>
      <w:divBdr>
        <w:top w:val="none" w:sz="0" w:space="0" w:color="auto"/>
        <w:left w:val="none" w:sz="0" w:space="0" w:color="auto"/>
        <w:bottom w:val="none" w:sz="0" w:space="0" w:color="auto"/>
        <w:right w:val="none" w:sz="0" w:space="0" w:color="auto"/>
      </w:divBdr>
    </w:div>
    <w:div w:id="508838809">
      <w:bodyDiv w:val="1"/>
      <w:marLeft w:val="0"/>
      <w:marRight w:val="0"/>
      <w:marTop w:val="0"/>
      <w:marBottom w:val="0"/>
      <w:divBdr>
        <w:top w:val="none" w:sz="0" w:space="0" w:color="auto"/>
        <w:left w:val="none" w:sz="0" w:space="0" w:color="auto"/>
        <w:bottom w:val="none" w:sz="0" w:space="0" w:color="auto"/>
        <w:right w:val="none" w:sz="0" w:space="0" w:color="auto"/>
      </w:divBdr>
    </w:div>
    <w:div w:id="509412934">
      <w:bodyDiv w:val="1"/>
      <w:marLeft w:val="0"/>
      <w:marRight w:val="0"/>
      <w:marTop w:val="0"/>
      <w:marBottom w:val="0"/>
      <w:divBdr>
        <w:top w:val="none" w:sz="0" w:space="0" w:color="auto"/>
        <w:left w:val="none" w:sz="0" w:space="0" w:color="auto"/>
        <w:bottom w:val="none" w:sz="0" w:space="0" w:color="auto"/>
        <w:right w:val="none" w:sz="0" w:space="0" w:color="auto"/>
      </w:divBdr>
    </w:div>
    <w:div w:id="509568736">
      <w:bodyDiv w:val="1"/>
      <w:marLeft w:val="0"/>
      <w:marRight w:val="0"/>
      <w:marTop w:val="0"/>
      <w:marBottom w:val="0"/>
      <w:divBdr>
        <w:top w:val="none" w:sz="0" w:space="0" w:color="auto"/>
        <w:left w:val="none" w:sz="0" w:space="0" w:color="auto"/>
        <w:bottom w:val="none" w:sz="0" w:space="0" w:color="auto"/>
        <w:right w:val="none" w:sz="0" w:space="0" w:color="auto"/>
      </w:divBdr>
    </w:div>
    <w:div w:id="509612510">
      <w:bodyDiv w:val="1"/>
      <w:marLeft w:val="0"/>
      <w:marRight w:val="0"/>
      <w:marTop w:val="0"/>
      <w:marBottom w:val="0"/>
      <w:divBdr>
        <w:top w:val="none" w:sz="0" w:space="0" w:color="auto"/>
        <w:left w:val="none" w:sz="0" w:space="0" w:color="auto"/>
        <w:bottom w:val="none" w:sz="0" w:space="0" w:color="auto"/>
        <w:right w:val="none" w:sz="0" w:space="0" w:color="auto"/>
      </w:divBdr>
    </w:div>
    <w:div w:id="509639288">
      <w:bodyDiv w:val="1"/>
      <w:marLeft w:val="0"/>
      <w:marRight w:val="0"/>
      <w:marTop w:val="0"/>
      <w:marBottom w:val="0"/>
      <w:divBdr>
        <w:top w:val="none" w:sz="0" w:space="0" w:color="auto"/>
        <w:left w:val="none" w:sz="0" w:space="0" w:color="auto"/>
        <w:bottom w:val="none" w:sz="0" w:space="0" w:color="auto"/>
        <w:right w:val="none" w:sz="0" w:space="0" w:color="auto"/>
      </w:divBdr>
    </w:div>
    <w:div w:id="509681822">
      <w:bodyDiv w:val="1"/>
      <w:marLeft w:val="0"/>
      <w:marRight w:val="0"/>
      <w:marTop w:val="0"/>
      <w:marBottom w:val="0"/>
      <w:divBdr>
        <w:top w:val="none" w:sz="0" w:space="0" w:color="auto"/>
        <w:left w:val="none" w:sz="0" w:space="0" w:color="auto"/>
        <w:bottom w:val="none" w:sz="0" w:space="0" w:color="auto"/>
        <w:right w:val="none" w:sz="0" w:space="0" w:color="auto"/>
      </w:divBdr>
    </w:div>
    <w:div w:id="509831865">
      <w:bodyDiv w:val="1"/>
      <w:marLeft w:val="0"/>
      <w:marRight w:val="0"/>
      <w:marTop w:val="0"/>
      <w:marBottom w:val="0"/>
      <w:divBdr>
        <w:top w:val="none" w:sz="0" w:space="0" w:color="auto"/>
        <w:left w:val="none" w:sz="0" w:space="0" w:color="auto"/>
        <w:bottom w:val="none" w:sz="0" w:space="0" w:color="auto"/>
        <w:right w:val="none" w:sz="0" w:space="0" w:color="auto"/>
      </w:divBdr>
    </w:div>
    <w:div w:id="509875060">
      <w:bodyDiv w:val="1"/>
      <w:marLeft w:val="0"/>
      <w:marRight w:val="0"/>
      <w:marTop w:val="0"/>
      <w:marBottom w:val="0"/>
      <w:divBdr>
        <w:top w:val="none" w:sz="0" w:space="0" w:color="auto"/>
        <w:left w:val="none" w:sz="0" w:space="0" w:color="auto"/>
        <w:bottom w:val="none" w:sz="0" w:space="0" w:color="auto"/>
        <w:right w:val="none" w:sz="0" w:space="0" w:color="auto"/>
      </w:divBdr>
    </w:div>
    <w:div w:id="509880428">
      <w:bodyDiv w:val="1"/>
      <w:marLeft w:val="0"/>
      <w:marRight w:val="0"/>
      <w:marTop w:val="0"/>
      <w:marBottom w:val="0"/>
      <w:divBdr>
        <w:top w:val="none" w:sz="0" w:space="0" w:color="auto"/>
        <w:left w:val="none" w:sz="0" w:space="0" w:color="auto"/>
        <w:bottom w:val="none" w:sz="0" w:space="0" w:color="auto"/>
        <w:right w:val="none" w:sz="0" w:space="0" w:color="auto"/>
      </w:divBdr>
    </w:div>
    <w:div w:id="510215919">
      <w:bodyDiv w:val="1"/>
      <w:marLeft w:val="0"/>
      <w:marRight w:val="0"/>
      <w:marTop w:val="0"/>
      <w:marBottom w:val="0"/>
      <w:divBdr>
        <w:top w:val="none" w:sz="0" w:space="0" w:color="auto"/>
        <w:left w:val="none" w:sz="0" w:space="0" w:color="auto"/>
        <w:bottom w:val="none" w:sz="0" w:space="0" w:color="auto"/>
        <w:right w:val="none" w:sz="0" w:space="0" w:color="auto"/>
      </w:divBdr>
    </w:div>
    <w:div w:id="510340316">
      <w:bodyDiv w:val="1"/>
      <w:marLeft w:val="0"/>
      <w:marRight w:val="0"/>
      <w:marTop w:val="0"/>
      <w:marBottom w:val="0"/>
      <w:divBdr>
        <w:top w:val="none" w:sz="0" w:space="0" w:color="auto"/>
        <w:left w:val="none" w:sz="0" w:space="0" w:color="auto"/>
        <w:bottom w:val="none" w:sz="0" w:space="0" w:color="auto"/>
        <w:right w:val="none" w:sz="0" w:space="0" w:color="auto"/>
      </w:divBdr>
    </w:div>
    <w:div w:id="510532947">
      <w:bodyDiv w:val="1"/>
      <w:marLeft w:val="0"/>
      <w:marRight w:val="0"/>
      <w:marTop w:val="0"/>
      <w:marBottom w:val="0"/>
      <w:divBdr>
        <w:top w:val="none" w:sz="0" w:space="0" w:color="auto"/>
        <w:left w:val="none" w:sz="0" w:space="0" w:color="auto"/>
        <w:bottom w:val="none" w:sz="0" w:space="0" w:color="auto"/>
        <w:right w:val="none" w:sz="0" w:space="0" w:color="auto"/>
      </w:divBdr>
    </w:div>
    <w:div w:id="510679354">
      <w:bodyDiv w:val="1"/>
      <w:marLeft w:val="0"/>
      <w:marRight w:val="0"/>
      <w:marTop w:val="0"/>
      <w:marBottom w:val="0"/>
      <w:divBdr>
        <w:top w:val="none" w:sz="0" w:space="0" w:color="auto"/>
        <w:left w:val="none" w:sz="0" w:space="0" w:color="auto"/>
        <w:bottom w:val="none" w:sz="0" w:space="0" w:color="auto"/>
        <w:right w:val="none" w:sz="0" w:space="0" w:color="auto"/>
      </w:divBdr>
    </w:div>
    <w:div w:id="510686765">
      <w:bodyDiv w:val="1"/>
      <w:marLeft w:val="0"/>
      <w:marRight w:val="0"/>
      <w:marTop w:val="0"/>
      <w:marBottom w:val="0"/>
      <w:divBdr>
        <w:top w:val="none" w:sz="0" w:space="0" w:color="auto"/>
        <w:left w:val="none" w:sz="0" w:space="0" w:color="auto"/>
        <w:bottom w:val="none" w:sz="0" w:space="0" w:color="auto"/>
        <w:right w:val="none" w:sz="0" w:space="0" w:color="auto"/>
      </w:divBdr>
    </w:div>
    <w:div w:id="510801554">
      <w:bodyDiv w:val="1"/>
      <w:marLeft w:val="0"/>
      <w:marRight w:val="0"/>
      <w:marTop w:val="0"/>
      <w:marBottom w:val="0"/>
      <w:divBdr>
        <w:top w:val="none" w:sz="0" w:space="0" w:color="auto"/>
        <w:left w:val="none" w:sz="0" w:space="0" w:color="auto"/>
        <w:bottom w:val="none" w:sz="0" w:space="0" w:color="auto"/>
        <w:right w:val="none" w:sz="0" w:space="0" w:color="auto"/>
      </w:divBdr>
    </w:div>
    <w:div w:id="510874891">
      <w:bodyDiv w:val="1"/>
      <w:marLeft w:val="0"/>
      <w:marRight w:val="0"/>
      <w:marTop w:val="0"/>
      <w:marBottom w:val="0"/>
      <w:divBdr>
        <w:top w:val="none" w:sz="0" w:space="0" w:color="auto"/>
        <w:left w:val="none" w:sz="0" w:space="0" w:color="auto"/>
        <w:bottom w:val="none" w:sz="0" w:space="0" w:color="auto"/>
        <w:right w:val="none" w:sz="0" w:space="0" w:color="auto"/>
      </w:divBdr>
    </w:div>
    <w:div w:id="510923369">
      <w:bodyDiv w:val="1"/>
      <w:marLeft w:val="0"/>
      <w:marRight w:val="0"/>
      <w:marTop w:val="0"/>
      <w:marBottom w:val="0"/>
      <w:divBdr>
        <w:top w:val="none" w:sz="0" w:space="0" w:color="auto"/>
        <w:left w:val="none" w:sz="0" w:space="0" w:color="auto"/>
        <w:bottom w:val="none" w:sz="0" w:space="0" w:color="auto"/>
        <w:right w:val="none" w:sz="0" w:space="0" w:color="auto"/>
      </w:divBdr>
    </w:div>
    <w:div w:id="510950331">
      <w:bodyDiv w:val="1"/>
      <w:marLeft w:val="0"/>
      <w:marRight w:val="0"/>
      <w:marTop w:val="0"/>
      <w:marBottom w:val="0"/>
      <w:divBdr>
        <w:top w:val="none" w:sz="0" w:space="0" w:color="auto"/>
        <w:left w:val="none" w:sz="0" w:space="0" w:color="auto"/>
        <w:bottom w:val="none" w:sz="0" w:space="0" w:color="auto"/>
        <w:right w:val="none" w:sz="0" w:space="0" w:color="auto"/>
      </w:divBdr>
    </w:div>
    <w:div w:id="511145190">
      <w:bodyDiv w:val="1"/>
      <w:marLeft w:val="0"/>
      <w:marRight w:val="0"/>
      <w:marTop w:val="0"/>
      <w:marBottom w:val="0"/>
      <w:divBdr>
        <w:top w:val="none" w:sz="0" w:space="0" w:color="auto"/>
        <w:left w:val="none" w:sz="0" w:space="0" w:color="auto"/>
        <w:bottom w:val="none" w:sz="0" w:space="0" w:color="auto"/>
        <w:right w:val="none" w:sz="0" w:space="0" w:color="auto"/>
      </w:divBdr>
    </w:div>
    <w:div w:id="511259244">
      <w:bodyDiv w:val="1"/>
      <w:marLeft w:val="0"/>
      <w:marRight w:val="0"/>
      <w:marTop w:val="0"/>
      <w:marBottom w:val="0"/>
      <w:divBdr>
        <w:top w:val="none" w:sz="0" w:space="0" w:color="auto"/>
        <w:left w:val="none" w:sz="0" w:space="0" w:color="auto"/>
        <w:bottom w:val="none" w:sz="0" w:space="0" w:color="auto"/>
        <w:right w:val="none" w:sz="0" w:space="0" w:color="auto"/>
      </w:divBdr>
    </w:div>
    <w:div w:id="511265793">
      <w:bodyDiv w:val="1"/>
      <w:marLeft w:val="0"/>
      <w:marRight w:val="0"/>
      <w:marTop w:val="0"/>
      <w:marBottom w:val="0"/>
      <w:divBdr>
        <w:top w:val="none" w:sz="0" w:space="0" w:color="auto"/>
        <w:left w:val="none" w:sz="0" w:space="0" w:color="auto"/>
        <w:bottom w:val="none" w:sz="0" w:space="0" w:color="auto"/>
        <w:right w:val="none" w:sz="0" w:space="0" w:color="auto"/>
      </w:divBdr>
    </w:div>
    <w:div w:id="511384520">
      <w:bodyDiv w:val="1"/>
      <w:marLeft w:val="0"/>
      <w:marRight w:val="0"/>
      <w:marTop w:val="0"/>
      <w:marBottom w:val="0"/>
      <w:divBdr>
        <w:top w:val="none" w:sz="0" w:space="0" w:color="auto"/>
        <w:left w:val="none" w:sz="0" w:space="0" w:color="auto"/>
        <w:bottom w:val="none" w:sz="0" w:space="0" w:color="auto"/>
        <w:right w:val="none" w:sz="0" w:space="0" w:color="auto"/>
      </w:divBdr>
    </w:div>
    <w:div w:id="511727612">
      <w:bodyDiv w:val="1"/>
      <w:marLeft w:val="0"/>
      <w:marRight w:val="0"/>
      <w:marTop w:val="0"/>
      <w:marBottom w:val="0"/>
      <w:divBdr>
        <w:top w:val="none" w:sz="0" w:space="0" w:color="auto"/>
        <w:left w:val="none" w:sz="0" w:space="0" w:color="auto"/>
        <w:bottom w:val="none" w:sz="0" w:space="0" w:color="auto"/>
        <w:right w:val="none" w:sz="0" w:space="0" w:color="auto"/>
      </w:divBdr>
    </w:div>
    <w:div w:id="511916327">
      <w:bodyDiv w:val="1"/>
      <w:marLeft w:val="0"/>
      <w:marRight w:val="0"/>
      <w:marTop w:val="0"/>
      <w:marBottom w:val="0"/>
      <w:divBdr>
        <w:top w:val="none" w:sz="0" w:space="0" w:color="auto"/>
        <w:left w:val="none" w:sz="0" w:space="0" w:color="auto"/>
        <w:bottom w:val="none" w:sz="0" w:space="0" w:color="auto"/>
        <w:right w:val="none" w:sz="0" w:space="0" w:color="auto"/>
      </w:divBdr>
    </w:div>
    <w:div w:id="511921050">
      <w:bodyDiv w:val="1"/>
      <w:marLeft w:val="0"/>
      <w:marRight w:val="0"/>
      <w:marTop w:val="0"/>
      <w:marBottom w:val="0"/>
      <w:divBdr>
        <w:top w:val="none" w:sz="0" w:space="0" w:color="auto"/>
        <w:left w:val="none" w:sz="0" w:space="0" w:color="auto"/>
        <w:bottom w:val="none" w:sz="0" w:space="0" w:color="auto"/>
        <w:right w:val="none" w:sz="0" w:space="0" w:color="auto"/>
      </w:divBdr>
    </w:div>
    <w:div w:id="511988627">
      <w:bodyDiv w:val="1"/>
      <w:marLeft w:val="0"/>
      <w:marRight w:val="0"/>
      <w:marTop w:val="0"/>
      <w:marBottom w:val="0"/>
      <w:divBdr>
        <w:top w:val="none" w:sz="0" w:space="0" w:color="auto"/>
        <w:left w:val="none" w:sz="0" w:space="0" w:color="auto"/>
        <w:bottom w:val="none" w:sz="0" w:space="0" w:color="auto"/>
        <w:right w:val="none" w:sz="0" w:space="0" w:color="auto"/>
      </w:divBdr>
    </w:div>
    <w:div w:id="511994909">
      <w:bodyDiv w:val="1"/>
      <w:marLeft w:val="0"/>
      <w:marRight w:val="0"/>
      <w:marTop w:val="0"/>
      <w:marBottom w:val="0"/>
      <w:divBdr>
        <w:top w:val="none" w:sz="0" w:space="0" w:color="auto"/>
        <w:left w:val="none" w:sz="0" w:space="0" w:color="auto"/>
        <w:bottom w:val="none" w:sz="0" w:space="0" w:color="auto"/>
        <w:right w:val="none" w:sz="0" w:space="0" w:color="auto"/>
      </w:divBdr>
    </w:div>
    <w:div w:id="511996658">
      <w:bodyDiv w:val="1"/>
      <w:marLeft w:val="0"/>
      <w:marRight w:val="0"/>
      <w:marTop w:val="0"/>
      <w:marBottom w:val="0"/>
      <w:divBdr>
        <w:top w:val="none" w:sz="0" w:space="0" w:color="auto"/>
        <w:left w:val="none" w:sz="0" w:space="0" w:color="auto"/>
        <w:bottom w:val="none" w:sz="0" w:space="0" w:color="auto"/>
        <w:right w:val="none" w:sz="0" w:space="0" w:color="auto"/>
      </w:divBdr>
    </w:div>
    <w:div w:id="512034695">
      <w:bodyDiv w:val="1"/>
      <w:marLeft w:val="0"/>
      <w:marRight w:val="0"/>
      <w:marTop w:val="0"/>
      <w:marBottom w:val="0"/>
      <w:divBdr>
        <w:top w:val="none" w:sz="0" w:space="0" w:color="auto"/>
        <w:left w:val="none" w:sz="0" w:space="0" w:color="auto"/>
        <w:bottom w:val="none" w:sz="0" w:space="0" w:color="auto"/>
        <w:right w:val="none" w:sz="0" w:space="0" w:color="auto"/>
      </w:divBdr>
    </w:div>
    <w:div w:id="512039366">
      <w:bodyDiv w:val="1"/>
      <w:marLeft w:val="0"/>
      <w:marRight w:val="0"/>
      <w:marTop w:val="0"/>
      <w:marBottom w:val="0"/>
      <w:divBdr>
        <w:top w:val="none" w:sz="0" w:space="0" w:color="auto"/>
        <w:left w:val="none" w:sz="0" w:space="0" w:color="auto"/>
        <w:bottom w:val="none" w:sz="0" w:space="0" w:color="auto"/>
        <w:right w:val="none" w:sz="0" w:space="0" w:color="auto"/>
      </w:divBdr>
    </w:div>
    <w:div w:id="512113491">
      <w:bodyDiv w:val="1"/>
      <w:marLeft w:val="0"/>
      <w:marRight w:val="0"/>
      <w:marTop w:val="0"/>
      <w:marBottom w:val="0"/>
      <w:divBdr>
        <w:top w:val="none" w:sz="0" w:space="0" w:color="auto"/>
        <w:left w:val="none" w:sz="0" w:space="0" w:color="auto"/>
        <w:bottom w:val="none" w:sz="0" w:space="0" w:color="auto"/>
        <w:right w:val="none" w:sz="0" w:space="0" w:color="auto"/>
      </w:divBdr>
    </w:div>
    <w:div w:id="512182659">
      <w:bodyDiv w:val="1"/>
      <w:marLeft w:val="0"/>
      <w:marRight w:val="0"/>
      <w:marTop w:val="0"/>
      <w:marBottom w:val="0"/>
      <w:divBdr>
        <w:top w:val="none" w:sz="0" w:space="0" w:color="auto"/>
        <w:left w:val="none" w:sz="0" w:space="0" w:color="auto"/>
        <w:bottom w:val="none" w:sz="0" w:space="0" w:color="auto"/>
        <w:right w:val="none" w:sz="0" w:space="0" w:color="auto"/>
      </w:divBdr>
    </w:div>
    <w:div w:id="512189107">
      <w:bodyDiv w:val="1"/>
      <w:marLeft w:val="0"/>
      <w:marRight w:val="0"/>
      <w:marTop w:val="0"/>
      <w:marBottom w:val="0"/>
      <w:divBdr>
        <w:top w:val="none" w:sz="0" w:space="0" w:color="auto"/>
        <w:left w:val="none" w:sz="0" w:space="0" w:color="auto"/>
        <w:bottom w:val="none" w:sz="0" w:space="0" w:color="auto"/>
        <w:right w:val="none" w:sz="0" w:space="0" w:color="auto"/>
      </w:divBdr>
    </w:div>
    <w:div w:id="512231884">
      <w:bodyDiv w:val="1"/>
      <w:marLeft w:val="0"/>
      <w:marRight w:val="0"/>
      <w:marTop w:val="0"/>
      <w:marBottom w:val="0"/>
      <w:divBdr>
        <w:top w:val="none" w:sz="0" w:space="0" w:color="auto"/>
        <w:left w:val="none" w:sz="0" w:space="0" w:color="auto"/>
        <w:bottom w:val="none" w:sz="0" w:space="0" w:color="auto"/>
        <w:right w:val="none" w:sz="0" w:space="0" w:color="auto"/>
      </w:divBdr>
    </w:div>
    <w:div w:id="512377748">
      <w:bodyDiv w:val="1"/>
      <w:marLeft w:val="0"/>
      <w:marRight w:val="0"/>
      <w:marTop w:val="0"/>
      <w:marBottom w:val="0"/>
      <w:divBdr>
        <w:top w:val="none" w:sz="0" w:space="0" w:color="auto"/>
        <w:left w:val="none" w:sz="0" w:space="0" w:color="auto"/>
        <w:bottom w:val="none" w:sz="0" w:space="0" w:color="auto"/>
        <w:right w:val="none" w:sz="0" w:space="0" w:color="auto"/>
      </w:divBdr>
    </w:div>
    <w:div w:id="512496442">
      <w:bodyDiv w:val="1"/>
      <w:marLeft w:val="0"/>
      <w:marRight w:val="0"/>
      <w:marTop w:val="0"/>
      <w:marBottom w:val="0"/>
      <w:divBdr>
        <w:top w:val="none" w:sz="0" w:space="0" w:color="auto"/>
        <w:left w:val="none" w:sz="0" w:space="0" w:color="auto"/>
        <w:bottom w:val="none" w:sz="0" w:space="0" w:color="auto"/>
        <w:right w:val="none" w:sz="0" w:space="0" w:color="auto"/>
      </w:divBdr>
    </w:div>
    <w:div w:id="512497050">
      <w:bodyDiv w:val="1"/>
      <w:marLeft w:val="0"/>
      <w:marRight w:val="0"/>
      <w:marTop w:val="0"/>
      <w:marBottom w:val="0"/>
      <w:divBdr>
        <w:top w:val="none" w:sz="0" w:space="0" w:color="auto"/>
        <w:left w:val="none" w:sz="0" w:space="0" w:color="auto"/>
        <w:bottom w:val="none" w:sz="0" w:space="0" w:color="auto"/>
        <w:right w:val="none" w:sz="0" w:space="0" w:color="auto"/>
      </w:divBdr>
    </w:div>
    <w:div w:id="512501044">
      <w:bodyDiv w:val="1"/>
      <w:marLeft w:val="0"/>
      <w:marRight w:val="0"/>
      <w:marTop w:val="0"/>
      <w:marBottom w:val="0"/>
      <w:divBdr>
        <w:top w:val="none" w:sz="0" w:space="0" w:color="auto"/>
        <w:left w:val="none" w:sz="0" w:space="0" w:color="auto"/>
        <w:bottom w:val="none" w:sz="0" w:space="0" w:color="auto"/>
        <w:right w:val="none" w:sz="0" w:space="0" w:color="auto"/>
      </w:divBdr>
    </w:div>
    <w:div w:id="512914237">
      <w:bodyDiv w:val="1"/>
      <w:marLeft w:val="0"/>
      <w:marRight w:val="0"/>
      <w:marTop w:val="0"/>
      <w:marBottom w:val="0"/>
      <w:divBdr>
        <w:top w:val="none" w:sz="0" w:space="0" w:color="auto"/>
        <w:left w:val="none" w:sz="0" w:space="0" w:color="auto"/>
        <w:bottom w:val="none" w:sz="0" w:space="0" w:color="auto"/>
        <w:right w:val="none" w:sz="0" w:space="0" w:color="auto"/>
      </w:divBdr>
    </w:div>
    <w:div w:id="512960257">
      <w:bodyDiv w:val="1"/>
      <w:marLeft w:val="0"/>
      <w:marRight w:val="0"/>
      <w:marTop w:val="0"/>
      <w:marBottom w:val="0"/>
      <w:divBdr>
        <w:top w:val="none" w:sz="0" w:space="0" w:color="auto"/>
        <w:left w:val="none" w:sz="0" w:space="0" w:color="auto"/>
        <w:bottom w:val="none" w:sz="0" w:space="0" w:color="auto"/>
        <w:right w:val="none" w:sz="0" w:space="0" w:color="auto"/>
      </w:divBdr>
    </w:div>
    <w:div w:id="512961921">
      <w:bodyDiv w:val="1"/>
      <w:marLeft w:val="0"/>
      <w:marRight w:val="0"/>
      <w:marTop w:val="0"/>
      <w:marBottom w:val="0"/>
      <w:divBdr>
        <w:top w:val="none" w:sz="0" w:space="0" w:color="auto"/>
        <w:left w:val="none" w:sz="0" w:space="0" w:color="auto"/>
        <w:bottom w:val="none" w:sz="0" w:space="0" w:color="auto"/>
        <w:right w:val="none" w:sz="0" w:space="0" w:color="auto"/>
      </w:divBdr>
    </w:div>
    <w:div w:id="513151146">
      <w:bodyDiv w:val="1"/>
      <w:marLeft w:val="0"/>
      <w:marRight w:val="0"/>
      <w:marTop w:val="0"/>
      <w:marBottom w:val="0"/>
      <w:divBdr>
        <w:top w:val="none" w:sz="0" w:space="0" w:color="auto"/>
        <w:left w:val="none" w:sz="0" w:space="0" w:color="auto"/>
        <w:bottom w:val="none" w:sz="0" w:space="0" w:color="auto"/>
        <w:right w:val="none" w:sz="0" w:space="0" w:color="auto"/>
      </w:divBdr>
    </w:div>
    <w:div w:id="513152716">
      <w:bodyDiv w:val="1"/>
      <w:marLeft w:val="0"/>
      <w:marRight w:val="0"/>
      <w:marTop w:val="0"/>
      <w:marBottom w:val="0"/>
      <w:divBdr>
        <w:top w:val="none" w:sz="0" w:space="0" w:color="auto"/>
        <w:left w:val="none" w:sz="0" w:space="0" w:color="auto"/>
        <w:bottom w:val="none" w:sz="0" w:space="0" w:color="auto"/>
        <w:right w:val="none" w:sz="0" w:space="0" w:color="auto"/>
      </w:divBdr>
    </w:div>
    <w:div w:id="513223461">
      <w:bodyDiv w:val="1"/>
      <w:marLeft w:val="0"/>
      <w:marRight w:val="0"/>
      <w:marTop w:val="0"/>
      <w:marBottom w:val="0"/>
      <w:divBdr>
        <w:top w:val="none" w:sz="0" w:space="0" w:color="auto"/>
        <w:left w:val="none" w:sz="0" w:space="0" w:color="auto"/>
        <w:bottom w:val="none" w:sz="0" w:space="0" w:color="auto"/>
        <w:right w:val="none" w:sz="0" w:space="0" w:color="auto"/>
      </w:divBdr>
    </w:div>
    <w:div w:id="513227734">
      <w:bodyDiv w:val="1"/>
      <w:marLeft w:val="0"/>
      <w:marRight w:val="0"/>
      <w:marTop w:val="0"/>
      <w:marBottom w:val="0"/>
      <w:divBdr>
        <w:top w:val="none" w:sz="0" w:space="0" w:color="auto"/>
        <w:left w:val="none" w:sz="0" w:space="0" w:color="auto"/>
        <w:bottom w:val="none" w:sz="0" w:space="0" w:color="auto"/>
        <w:right w:val="none" w:sz="0" w:space="0" w:color="auto"/>
      </w:divBdr>
    </w:div>
    <w:div w:id="513229520">
      <w:bodyDiv w:val="1"/>
      <w:marLeft w:val="0"/>
      <w:marRight w:val="0"/>
      <w:marTop w:val="0"/>
      <w:marBottom w:val="0"/>
      <w:divBdr>
        <w:top w:val="none" w:sz="0" w:space="0" w:color="auto"/>
        <w:left w:val="none" w:sz="0" w:space="0" w:color="auto"/>
        <w:bottom w:val="none" w:sz="0" w:space="0" w:color="auto"/>
        <w:right w:val="none" w:sz="0" w:space="0" w:color="auto"/>
      </w:divBdr>
    </w:div>
    <w:div w:id="513303390">
      <w:bodyDiv w:val="1"/>
      <w:marLeft w:val="0"/>
      <w:marRight w:val="0"/>
      <w:marTop w:val="0"/>
      <w:marBottom w:val="0"/>
      <w:divBdr>
        <w:top w:val="none" w:sz="0" w:space="0" w:color="auto"/>
        <w:left w:val="none" w:sz="0" w:space="0" w:color="auto"/>
        <w:bottom w:val="none" w:sz="0" w:space="0" w:color="auto"/>
        <w:right w:val="none" w:sz="0" w:space="0" w:color="auto"/>
      </w:divBdr>
    </w:div>
    <w:div w:id="513348749">
      <w:bodyDiv w:val="1"/>
      <w:marLeft w:val="0"/>
      <w:marRight w:val="0"/>
      <w:marTop w:val="0"/>
      <w:marBottom w:val="0"/>
      <w:divBdr>
        <w:top w:val="none" w:sz="0" w:space="0" w:color="auto"/>
        <w:left w:val="none" w:sz="0" w:space="0" w:color="auto"/>
        <w:bottom w:val="none" w:sz="0" w:space="0" w:color="auto"/>
        <w:right w:val="none" w:sz="0" w:space="0" w:color="auto"/>
      </w:divBdr>
    </w:div>
    <w:div w:id="513349148">
      <w:bodyDiv w:val="1"/>
      <w:marLeft w:val="0"/>
      <w:marRight w:val="0"/>
      <w:marTop w:val="0"/>
      <w:marBottom w:val="0"/>
      <w:divBdr>
        <w:top w:val="none" w:sz="0" w:space="0" w:color="auto"/>
        <w:left w:val="none" w:sz="0" w:space="0" w:color="auto"/>
        <w:bottom w:val="none" w:sz="0" w:space="0" w:color="auto"/>
        <w:right w:val="none" w:sz="0" w:space="0" w:color="auto"/>
      </w:divBdr>
    </w:div>
    <w:div w:id="513349555">
      <w:bodyDiv w:val="1"/>
      <w:marLeft w:val="0"/>
      <w:marRight w:val="0"/>
      <w:marTop w:val="0"/>
      <w:marBottom w:val="0"/>
      <w:divBdr>
        <w:top w:val="none" w:sz="0" w:space="0" w:color="auto"/>
        <w:left w:val="none" w:sz="0" w:space="0" w:color="auto"/>
        <w:bottom w:val="none" w:sz="0" w:space="0" w:color="auto"/>
        <w:right w:val="none" w:sz="0" w:space="0" w:color="auto"/>
      </w:divBdr>
    </w:div>
    <w:div w:id="513350703">
      <w:bodyDiv w:val="1"/>
      <w:marLeft w:val="0"/>
      <w:marRight w:val="0"/>
      <w:marTop w:val="0"/>
      <w:marBottom w:val="0"/>
      <w:divBdr>
        <w:top w:val="none" w:sz="0" w:space="0" w:color="auto"/>
        <w:left w:val="none" w:sz="0" w:space="0" w:color="auto"/>
        <w:bottom w:val="none" w:sz="0" w:space="0" w:color="auto"/>
        <w:right w:val="none" w:sz="0" w:space="0" w:color="auto"/>
      </w:divBdr>
    </w:div>
    <w:div w:id="513496962">
      <w:bodyDiv w:val="1"/>
      <w:marLeft w:val="0"/>
      <w:marRight w:val="0"/>
      <w:marTop w:val="0"/>
      <w:marBottom w:val="0"/>
      <w:divBdr>
        <w:top w:val="none" w:sz="0" w:space="0" w:color="auto"/>
        <w:left w:val="none" w:sz="0" w:space="0" w:color="auto"/>
        <w:bottom w:val="none" w:sz="0" w:space="0" w:color="auto"/>
        <w:right w:val="none" w:sz="0" w:space="0" w:color="auto"/>
      </w:divBdr>
    </w:div>
    <w:div w:id="513616146">
      <w:bodyDiv w:val="1"/>
      <w:marLeft w:val="0"/>
      <w:marRight w:val="0"/>
      <w:marTop w:val="0"/>
      <w:marBottom w:val="0"/>
      <w:divBdr>
        <w:top w:val="none" w:sz="0" w:space="0" w:color="auto"/>
        <w:left w:val="none" w:sz="0" w:space="0" w:color="auto"/>
        <w:bottom w:val="none" w:sz="0" w:space="0" w:color="auto"/>
        <w:right w:val="none" w:sz="0" w:space="0" w:color="auto"/>
      </w:divBdr>
    </w:div>
    <w:div w:id="513807147">
      <w:bodyDiv w:val="1"/>
      <w:marLeft w:val="0"/>
      <w:marRight w:val="0"/>
      <w:marTop w:val="0"/>
      <w:marBottom w:val="0"/>
      <w:divBdr>
        <w:top w:val="none" w:sz="0" w:space="0" w:color="auto"/>
        <w:left w:val="none" w:sz="0" w:space="0" w:color="auto"/>
        <w:bottom w:val="none" w:sz="0" w:space="0" w:color="auto"/>
        <w:right w:val="none" w:sz="0" w:space="0" w:color="auto"/>
      </w:divBdr>
    </w:div>
    <w:div w:id="513810975">
      <w:bodyDiv w:val="1"/>
      <w:marLeft w:val="0"/>
      <w:marRight w:val="0"/>
      <w:marTop w:val="0"/>
      <w:marBottom w:val="0"/>
      <w:divBdr>
        <w:top w:val="none" w:sz="0" w:space="0" w:color="auto"/>
        <w:left w:val="none" w:sz="0" w:space="0" w:color="auto"/>
        <w:bottom w:val="none" w:sz="0" w:space="0" w:color="auto"/>
        <w:right w:val="none" w:sz="0" w:space="0" w:color="auto"/>
      </w:divBdr>
    </w:div>
    <w:div w:id="513811955">
      <w:bodyDiv w:val="1"/>
      <w:marLeft w:val="0"/>
      <w:marRight w:val="0"/>
      <w:marTop w:val="0"/>
      <w:marBottom w:val="0"/>
      <w:divBdr>
        <w:top w:val="none" w:sz="0" w:space="0" w:color="auto"/>
        <w:left w:val="none" w:sz="0" w:space="0" w:color="auto"/>
        <w:bottom w:val="none" w:sz="0" w:space="0" w:color="auto"/>
        <w:right w:val="none" w:sz="0" w:space="0" w:color="auto"/>
      </w:divBdr>
    </w:div>
    <w:div w:id="514029725">
      <w:bodyDiv w:val="1"/>
      <w:marLeft w:val="0"/>
      <w:marRight w:val="0"/>
      <w:marTop w:val="0"/>
      <w:marBottom w:val="0"/>
      <w:divBdr>
        <w:top w:val="none" w:sz="0" w:space="0" w:color="auto"/>
        <w:left w:val="none" w:sz="0" w:space="0" w:color="auto"/>
        <w:bottom w:val="none" w:sz="0" w:space="0" w:color="auto"/>
        <w:right w:val="none" w:sz="0" w:space="0" w:color="auto"/>
      </w:divBdr>
    </w:div>
    <w:div w:id="514075028">
      <w:bodyDiv w:val="1"/>
      <w:marLeft w:val="0"/>
      <w:marRight w:val="0"/>
      <w:marTop w:val="0"/>
      <w:marBottom w:val="0"/>
      <w:divBdr>
        <w:top w:val="none" w:sz="0" w:space="0" w:color="auto"/>
        <w:left w:val="none" w:sz="0" w:space="0" w:color="auto"/>
        <w:bottom w:val="none" w:sz="0" w:space="0" w:color="auto"/>
        <w:right w:val="none" w:sz="0" w:space="0" w:color="auto"/>
      </w:divBdr>
    </w:div>
    <w:div w:id="514341866">
      <w:bodyDiv w:val="1"/>
      <w:marLeft w:val="0"/>
      <w:marRight w:val="0"/>
      <w:marTop w:val="0"/>
      <w:marBottom w:val="0"/>
      <w:divBdr>
        <w:top w:val="none" w:sz="0" w:space="0" w:color="auto"/>
        <w:left w:val="none" w:sz="0" w:space="0" w:color="auto"/>
        <w:bottom w:val="none" w:sz="0" w:space="0" w:color="auto"/>
        <w:right w:val="none" w:sz="0" w:space="0" w:color="auto"/>
      </w:divBdr>
    </w:div>
    <w:div w:id="514344889">
      <w:bodyDiv w:val="1"/>
      <w:marLeft w:val="0"/>
      <w:marRight w:val="0"/>
      <w:marTop w:val="0"/>
      <w:marBottom w:val="0"/>
      <w:divBdr>
        <w:top w:val="none" w:sz="0" w:space="0" w:color="auto"/>
        <w:left w:val="none" w:sz="0" w:space="0" w:color="auto"/>
        <w:bottom w:val="none" w:sz="0" w:space="0" w:color="auto"/>
        <w:right w:val="none" w:sz="0" w:space="0" w:color="auto"/>
      </w:divBdr>
    </w:div>
    <w:div w:id="514348852">
      <w:bodyDiv w:val="1"/>
      <w:marLeft w:val="0"/>
      <w:marRight w:val="0"/>
      <w:marTop w:val="0"/>
      <w:marBottom w:val="0"/>
      <w:divBdr>
        <w:top w:val="none" w:sz="0" w:space="0" w:color="auto"/>
        <w:left w:val="none" w:sz="0" w:space="0" w:color="auto"/>
        <w:bottom w:val="none" w:sz="0" w:space="0" w:color="auto"/>
        <w:right w:val="none" w:sz="0" w:space="0" w:color="auto"/>
      </w:divBdr>
    </w:div>
    <w:div w:id="514464980">
      <w:bodyDiv w:val="1"/>
      <w:marLeft w:val="0"/>
      <w:marRight w:val="0"/>
      <w:marTop w:val="0"/>
      <w:marBottom w:val="0"/>
      <w:divBdr>
        <w:top w:val="none" w:sz="0" w:space="0" w:color="auto"/>
        <w:left w:val="none" w:sz="0" w:space="0" w:color="auto"/>
        <w:bottom w:val="none" w:sz="0" w:space="0" w:color="auto"/>
        <w:right w:val="none" w:sz="0" w:space="0" w:color="auto"/>
      </w:divBdr>
    </w:div>
    <w:div w:id="514534878">
      <w:bodyDiv w:val="1"/>
      <w:marLeft w:val="0"/>
      <w:marRight w:val="0"/>
      <w:marTop w:val="0"/>
      <w:marBottom w:val="0"/>
      <w:divBdr>
        <w:top w:val="none" w:sz="0" w:space="0" w:color="auto"/>
        <w:left w:val="none" w:sz="0" w:space="0" w:color="auto"/>
        <w:bottom w:val="none" w:sz="0" w:space="0" w:color="auto"/>
        <w:right w:val="none" w:sz="0" w:space="0" w:color="auto"/>
      </w:divBdr>
    </w:div>
    <w:div w:id="514616911">
      <w:bodyDiv w:val="1"/>
      <w:marLeft w:val="0"/>
      <w:marRight w:val="0"/>
      <w:marTop w:val="0"/>
      <w:marBottom w:val="0"/>
      <w:divBdr>
        <w:top w:val="none" w:sz="0" w:space="0" w:color="auto"/>
        <w:left w:val="none" w:sz="0" w:space="0" w:color="auto"/>
        <w:bottom w:val="none" w:sz="0" w:space="0" w:color="auto"/>
        <w:right w:val="none" w:sz="0" w:space="0" w:color="auto"/>
      </w:divBdr>
    </w:div>
    <w:div w:id="514684721">
      <w:bodyDiv w:val="1"/>
      <w:marLeft w:val="0"/>
      <w:marRight w:val="0"/>
      <w:marTop w:val="0"/>
      <w:marBottom w:val="0"/>
      <w:divBdr>
        <w:top w:val="none" w:sz="0" w:space="0" w:color="auto"/>
        <w:left w:val="none" w:sz="0" w:space="0" w:color="auto"/>
        <w:bottom w:val="none" w:sz="0" w:space="0" w:color="auto"/>
        <w:right w:val="none" w:sz="0" w:space="0" w:color="auto"/>
      </w:divBdr>
    </w:div>
    <w:div w:id="514686849">
      <w:bodyDiv w:val="1"/>
      <w:marLeft w:val="0"/>
      <w:marRight w:val="0"/>
      <w:marTop w:val="0"/>
      <w:marBottom w:val="0"/>
      <w:divBdr>
        <w:top w:val="none" w:sz="0" w:space="0" w:color="auto"/>
        <w:left w:val="none" w:sz="0" w:space="0" w:color="auto"/>
        <w:bottom w:val="none" w:sz="0" w:space="0" w:color="auto"/>
        <w:right w:val="none" w:sz="0" w:space="0" w:color="auto"/>
      </w:divBdr>
    </w:div>
    <w:div w:id="514730144">
      <w:bodyDiv w:val="1"/>
      <w:marLeft w:val="0"/>
      <w:marRight w:val="0"/>
      <w:marTop w:val="0"/>
      <w:marBottom w:val="0"/>
      <w:divBdr>
        <w:top w:val="none" w:sz="0" w:space="0" w:color="auto"/>
        <w:left w:val="none" w:sz="0" w:space="0" w:color="auto"/>
        <w:bottom w:val="none" w:sz="0" w:space="0" w:color="auto"/>
        <w:right w:val="none" w:sz="0" w:space="0" w:color="auto"/>
      </w:divBdr>
    </w:div>
    <w:div w:id="514735071">
      <w:bodyDiv w:val="1"/>
      <w:marLeft w:val="0"/>
      <w:marRight w:val="0"/>
      <w:marTop w:val="0"/>
      <w:marBottom w:val="0"/>
      <w:divBdr>
        <w:top w:val="none" w:sz="0" w:space="0" w:color="auto"/>
        <w:left w:val="none" w:sz="0" w:space="0" w:color="auto"/>
        <w:bottom w:val="none" w:sz="0" w:space="0" w:color="auto"/>
        <w:right w:val="none" w:sz="0" w:space="0" w:color="auto"/>
      </w:divBdr>
    </w:div>
    <w:div w:id="514807486">
      <w:bodyDiv w:val="1"/>
      <w:marLeft w:val="0"/>
      <w:marRight w:val="0"/>
      <w:marTop w:val="0"/>
      <w:marBottom w:val="0"/>
      <w:divBdr>
        <w:top w:val="none" w:sz="0" w:space="0" w:color="auto"/>
        <w:left w:val="none" w:sz="0" w:space="0" w:color="auto"/>
        <w:bottom w:val="none" w:sz="0" w:space="0" w:color="auto"/>
        <w:right w:val="none" w:sz="0" w:space="0" w:color="auto"/>
      </w:divBdr>
    </w:div>
    <w:div w:id="515072273">
      <w:bodyDiv w:val="1"/>
      <w:marLeft w:val="0"/>
      <w:marRight w:val="0"/>
      <w:marTop w:val="0"/>
      <w:marBottom w:val="0"/>
      <w:divBdr>
        <w:top w:val="none" w:sz="0" w:space="0" w:color="auto"/>
        <w:left w:val="none" w:sz="0" w:space="0" w:color="auto"/>
        <w:bottom w:val="none" w:sz="0" w:space="0" w:color="auto"/>
        <w:right w:val="none" w:sz="0" w:space="0" w:color="auto"/>
      </w:divBdr>
    </w:div>
    <w:div w:id="515119830">
      <w:bodyDiv w:val="1"/>
      <w:marLeft w:val="0"/>
      <w:marRight w:val="0"/>
      <w:marTop w:val="0"/>
      <w:marBottom w:val="0"/>
      <w:divBdr>
        <w:top w:val="none" w:sz="0" w:space="0" w:color="auto"/>
        <w:left w:val="none" w:sz="0" w:space="0" w:color="auto"/>
        <w:bottom w:val="none" w:sz="0" w:space="0" w:color="auto"/>
        <w:right w:val="none" w:sz="0" w:space="0" w:color="auto"/>
      </w:divBdr>
    </w:div>
    <w:div w:id="515313228">
      <w:bodyDiv w:val="1"/>
      <w:marLeft w:val="0"/>
      <w:marRight w:val="0"/>
      <w:marTop w:val="0"/>
      <w:marBottom w:val="0"/>
      <w:divBdr>
        <w:top w:val="none" w:sz="0" w:space="0" w:color="auto"/>
        <w:left w:val="none" w:sz="0" w:space="0" w:color="auto"/>
        <w:bottom w:val="none" w:sz="0" w:space="0" w:color="auto"/>
        <w:right w:val="none" w:sz="0" w:space="0" w:color="auto"/>
      </w:divBdr>
    </w:div>
    <w:div w:id="515313904">
      <w:bodyDiv w:val="1"/>
      <w:marLeft w:val="0"/>
      <w:marRight w:val="0"/>
      <w:marTop w:val="0"/>
      <w:marBottom w:val="0"/>
      <w:divBdr>
        <w:top w:val="none" w:sz="0" w:space="0" w:color="auto"/>
        <w:left w:val="none" w:sz="0" w:space="0" w:color="auto"/>
        <w:bottom w:val="none" w:sz="0" w:space="0" w:color="auto"/>
        <w:right w:val="none" w:sz="0" w:space="0" w:color="auto"/>
      </w:divBdr>
    </w:div>
    <w:div w:id="515316401">
      <w:bodyDiv w:val="1"/>
      <w:marLeft w:val="0"/>
      <w:marRight w:val="0"/>
      <w:marTop w:val="0"/>
      <w:marBottom w:val="0"/>
      <w:divBdr>
        <w:top w:val="none" w:sz="0" w:space="0" w:color="auto"/>
        <w:left w:val="none" w:sz="0" w:space="0" w:color="auto"/>
        <w:bottom w:val="none" w:sz="0" w:space="0" w:color="auto"/>
        <w:right w:val="none" w:sz="0" w:space="0" w:color="auto"/>
      </w:divBdr>
    </w:div>
    <w:div w:id="515340724">
      <w:bodyDiv w:val="1"/>
      <w:marLeft w:val="0"/>
      <w:marRight w:val="0"/>
      <w:marTop w:val="0"/>
      <w:marBottom w:val="0"/>
      <w:divBdr>
        <w:top w:val="none" w:sz="0" w:space="0" w:color="auto"/>
        <w:left w:val="none" w:sz="0" w:space="0" w:color="auto"/>
        <w:bottom w:val="none" w:sz="0" w:space="0" w:color="auto"/>
        <w:right w:val="none" w:sz="0" w:space="0" w:color="auto"/>
      </w:divBdr>
    </w:div>
    <w:div w:id="515462957">
      <w:bodyDiv w:val="1"/>
      <w:marLeft w:val="0"/>
      <w:marRight w:val="0"/>
      <w:marTop w:val="0"/>
      <w:marBottom w:val="0"/>
      <w:divBdr>
        <w:top w:val="none" w:sz="0" w:space="0" w:color="auto"/>
        <w:left w:val="none" w:sz="0" w:space="0" w:color="auto"/>
        <w:bottom w:val="none" w:sz="0" w:space="0" w:color="auto"/>
        <w:right w:val="none" w:sz="0" w:space="0" w:color="auto"/>
      </w:divBdr>
    </w:div>
    <w:div w:id="515463248">
      <w:bodyDiv w:val="1"/>
      <w:marLeft w:val="0"/>
      <w:marRight w:val="0"/>
      <w:marTop w:val="0"/>
      <w:marBottom w:val="0"/>
      <w:divBdr>
        <w:top w:val="none" w:sz="0" w:space="0" w:color="auto"/>
        <w:left w:val="none" w:sz="0" w:space="0" w:color="auto"/>
        <w:bottom w:val="none" w:sz="0" w:space="0" w:color="auto"/>
        <w:right w:val="none" w:sz="0" w:space="0" w:color="auto"/>
      </w:divBdr>
    </w:div>
    <w:div w:id="515535170">
      <w:bodyDiv w:val="1"/>
      <w:marLeft w:val="0"/>
      <w:marRight w:val="0"/>
      <w:marTop w:val="0"/>
      <w:marBottom w:val="0"/>
      <w:divBdr>
        <w:top w:val="none" w:sz="0" w:space="0" w:color="auto"/>
        <w:left w:val="none" w:sz="0" w:space="0" w:color="auto"/>
        <w:bottom w:val="none" w:sz="0" w:space="0" w:color="auto"/>
        <w:right w:val="none" w:sz="0" w:space="0" w:color="auto"/>
      </w:divBdr>
    </w:div>
    <w:div w:id="515658996">
      <w:bodyDiv w:val="1"/>
      <w:marLeft w:val="0"/>
      <w:marRight w:val="0"/>
      <w:marTop w:val="0"/>
      <w:marBottom w:val="0"/>
      <w:divBdr>
        <w:top w:val="none" w:sz="0" w:space="0" w:color="auto"/>
        <w:left w:val="none" w:sz="0" w:space="0" w:color="auto"/>
        <w:bottom w:val="none" w:sz="0" w:space="0" w:color="auto"/>
        <w:right w:val="none" w:sz="0" w:space="0" w:color="auto"/>
      </w:divBdr>
    </w:div>
    <w:div w:id="515778349">
      <w:bodyDiv w:val="1"/>
      <w:marLeft w:val="0"/>
      <w:marRight w:val="0"/>
      <w:marTop w:val="0"/>
      <w:marBottom w:val="0"/>
      <w:divBdr>
        <w:top w:val="none" w:sz="0" w:space="0" w:color="auto"/>
        <w:left w:val="none" w:sz="0" w:space="0" w:color="auto"/>
        <w:bottom w:val="none" w:sz="0" w:space="0" w:color="auto"/>
        <w:right w:val="none" w:sz="0" w:space="0" w:color="auto"/>
      </w:divBdr>
    </w:div>
    <w:div w:id="515853689">
      <w:bodyDiv w:val="1"/>
      <w:marLeft w:val="0"/>
      <w:marRight w:val="0"/>
      <w:marTop w:val="0"/>
      <w:marBottom w:val="0"/>
      <w:divBdr>
        <w:top w:val="none" w:sz="0" w:space="0" w:color="auto"/>
        <w:left w:val="none" w:sz="0" w:space="0" w:color="auto"/>
        <w:bottom w:val="none" w:sz="0" w:space="0" w:color="auto"/>
        <w:right w:val="none" w:sz="0" w:space="0" w:color="auto"/>
      </w:divBdr>
    </w:div>
    <w:div w:id="516118672">
      <w:bodyDiv w:val="1"/>
      <w:marLeft w:val="0"/>
      <w:marRight w:val="0"/>
      <w:marTop w:val="0"/>
      <w:marBottom w:val="0"/>
      <w:divBdr>
        <w:top w:val="none" w:sz="0" w:space="0" w:color="auto"/>
        <w:left w:val="none" w:sz="0" w:space="0" w:color="auto"/>
        <w:bottom w:val="none" w:sz="0" w:space="0" w:color="auto"/>
        <w:right w:val="none" w:sz="0" w:space="0" w:color="auto"/>
      </w:divBdr>
    </w:div>
    <w:div w:id="516382855">
      <w:bodyDiv w:val="1"/>
      <w:marLeft w:val="0"/>
      <w:marRight w:val="0"/>
      <w:marTop w:val="0"/>
      <w:marBottom w:val="0"/>
      <w:divBdr>
        <w:top w:val="none" w:sz="0" w:space="0" w:color="auto"/>
        <w:left w:val="none" w:sz="0" w:space="0" w:color="auto"/>
        <w:bottom w:val="none" w:sz="0" w:space="0" w:color="auto"/>
        <w:right w:val="none" w:sz="0" w:space="0" w:color="auto"/>
      </w:divBdr>
    </w:div>
    <w:div w:id="516384440">
      <w:bodyDiv w:val="1"/>
      <w:marLeft w:val="0"/>
      <w:marRight w:val="0"/>
      <w:marTop w:val="0"/>
      <w:marBottom w:val="0"/>
      <w:divBdr>
        <w:top w:val="none" w:sz="0" w:space="0" w:color="auto"/>
        <w:left w:val="none" w:sz="0" w:space="0" w:color="auto"/>
        <w:bottom w:val="none" w:sz="0" w:space="0" w:color="auto"/>
        <w:right w:val="none" w:sz="0" w:space="0" w:color="auto"/>
      </w:divBdr>
    </w:div>
    <w:div w:id="516388262">
      <w:bodyDiv w:val="1"/>
      <w:marLeft w:val="0"/>
      <w:marRight w:val="0"/>
      <w:marTop w:val="0"/>
      <w:marBottom w:val="0"/>
      <w:divBdr>
        <w:top w:val="none" w:sz="0" w:space="0" w:color="auto"/>
        <w:left w:val="none" w:sz="0" w:space="0" w:color="auto"/>
        <w:bottom w:val="none" w:sz="0" w:space="0" w:color="auto"/>
        <w:right w:val="none" w:sz="0" w:space="0" w:color="auto"/>
      </w:divBdr>
    </w:div>
    <w:div w:id="516430568">
      <w:bodyDiv w:val="1"/>
      <w:marLeft w:val="0"/>
      <w:marRight w:val="0"/>
      <w:marTop w:val="0"/>
      <w:marBottom w:val="0"/>
      <w:divBdr>
        <w:top w:val="none" w:sz="0" w:space="0" w:color="auto"/>
        <w:left w:val="none" w:sz="0" w:space="0" w:color="auto"/>
        <w:bottom w:val="none" w:sz="0" w:space="0" w:color="auto"/>
        <w:right w:val="none" w:sz="0" w:space="0" w:color="auto"/>
      </w:divBdr>
    </w:div>
    <w:div w:id="516621100">
      <w:bodyDiv w:val="1"/>
      <w:marLeft w:val="0"/>
      <w:marRight w:val="0"/>
      <w:marTop w:val="0"/>
      <w:marBottom w:val="0"/>
      <w:divBdr>
        <w:top w:val="none" w:sz="0" w:space="0" w:color="auto"/>
        <w:left w:val="none" w:sz="0" w:space="0" w:color="auto"/>
        <w:bottom w:val="none" w:sz="0" w:space="0" w:color="auto"/>
        <w:right w:val="none" w:sz="0" w:space="0" w:color="auto"/>
      </w:divBdr>
    </w:div>
    <w:div w:id="516622624">
      <w:bodyDiv w:val="1"/>
      <w:marLeft w:val="0"/>
      <w:marRight w:val="0"/>
      <w:marTop w:val="0"/>
      <w:marBottom w:val="0"/>
      <w:divBdr>
        <w:top w:val="none" w:sz="0" w:space="0" w:color="auto"/>
        <w:left w:val="none" w:sz="0" w:space="0" w:color="auto"/>
        <w:bottom w:val="none" w:sz="0" w:space="0" w:color="auto"/>
        <w:right w:val="none" w:sz="0" w:space="0" w:color="auto"/>
      </w:divBdr>
    </w:div>
    <w:div w:id="516776666">
      <w:bodyDiv w:val="1"/>
      <w:marLeft w:val="0"/>
      <w:marRight w:val="0"/>
      <w:marTop w:val="0"/>
      <w:marBottom w:val="0"/>
      <w:divBdr>
        <w:top w:val="none" w:sz="0" w:space="0" w:color="auto"/>
        <w:left w:val="none" w:sz="0" w:space="0" w:color="auto"/>
        <w:bottom w:val="none" w:sz="0" w:space="0" w:color="auto"/>
        <w:right w:val="none" w:sz="0" w:space="0" w:color="auto"/>
      </w:divBdr>
    </w:div>
    <w:div w:id="516847020">
      <w:bodyDiv w:val="1"/>
      <w:marLeft w:val="0"/>
      <w:marRight w:val="0"/>
      <w:marTop w:val="0"/>
      <w:marBottom w:val="0"/>
      <w:divBdr>
        <w:top w:val="none" w:sz="0" w:space="0" w:color="auto"/>
        <w:left w:val="none" w:sz="0" w:space="0" w:color="auto"/>
        <w:bottom w:val="none" w:sz="0" w:space="0" w:color="auto"/>
        <w:right w:val="none" w:sz="0" w:space="0" w:color="auto"/>
      </w:divBdr>
    </w:div>
    <w:div w:id="516891241">
      <w:bodyDiv w:val="1"/>
      <w:marLeft w:val="0"/>
      <w:marRight w:val="0"/>
      <w:marTop w:val="0"/>
      <w:marBottom w:val="0"/>
      <w:divBdr>
        <w:top w:val="none" w:sz="0" w:space="0" w:color="auto"/>
        <w:left w:val="none" w:sz="0" w:space="0" w:color="auto"/>
        <w:bottom w:val="none" w:sz="0" w:space="0" w:color="auto"/>
        <w:right w:val="none" w:sz="0" w:space="0" w:color="auto"/>
      </w:divBdr>
    </w:div>
    <w:div w:id="517039560">
      <w:bodyDiv w:val="1"/>
      <w:marLeft w:val="0"/>
      <w:marRight w:val="0"/>
      <w:marTop w:val="0"/>
      <w:marBottom w:val="0"/>
      <w:divBdr>
        <w:top w:val="none" w:sz="0" w:space="0" w:color="auto"/>
        <w:left w:val="none" w:sz="0" w:space="0" w:color="auto"/>
        <w:bottom w:val="none" w:sz="0" w:space="0" w:color="auto"/>
        <w:right w:val="none" w:sz="0" w:space="0" w:color="auto"/>
      </w:divBdr>
    </w:div>
    <w:div w:id="517039833">
      <w:bodyDiv w:val="1"/>
      <w:marLeft w:val="0"/>
      <w:marRight w:val="0"/>
      <w:marTop w:val="0"/>
      <w:marBottom w:val="0"/>
      <w:divBdr>
        <w:top w:val="none" w:sz="0" w:space="0" w:color="auto"/>
        <w:left w:val="none" w:sz="0" w:space="0" w:color="auto"/>
        <w:bottom w:val="none" w:sz="0" w:space="0" w:color="auto"/>
        <w:right w:val="none" w:sz="0" w:space="0" w:color="auto"/>
      </w:divBdr>
    </w:div>
    <w:div w:id="517350696">
      <w:bodyDiv w:val="1"/>
      <w:marLeft w:val="0"/>
      <w:marRight w:val="0"/>
      <w:marTop w:val="0"/>
      <w:marBottom w:val="0"/>
      <w:divBdr>
        <w:top w:val="none" w:sz="0" w:space="0" w:color="auto"/>
        <w:left w:val="none" w:sz="0" w:space="0" w:color="auto"/>
        <w:bottom w:val="none" w:sz="0" w:space="0" w:color="auto"/>
        <w:right w:val="none" w:sz="0" w:space="0" w:color="auto"/>
      </w:divBdr>
    </w:div>
    <w:div w:id="517700894">
      <w:bodyDiv w:val="1"/>
      <w:marLeft w:val="0"/>
      <w:marRight w:val="0"/>
      <w:marTop w:val="0"/>
      <w:marBottom w:val="0"/>
      <w:divBdr>
        <w:top w:val="none" w:sz="0" w:space="0" w:color="auto"/>
        <w:left w:val="none" w:sz="0" w:space="0" w:color="auto"/>
        <w:bottom w:val="none" w:sz="0" w:space="0" w:color="auto"/>
        <w:right w:val="none" w:sz="0" w:space="0" w:color="auto"/>
      </w:divBdr>
    </w:div>
    <w:div w:id="517744325">
      <w:bodyDiv w:val="1"/>
      <w:marLeft w:val="0"/>
      <w:marRight w:val="0"/>
      <w:marTop w:val="0"/>
      <w:marBottom w:val="0"/>
      <w:divBdr>
        <w:top w:val="none" w:sz="0" w:space="0" w:color="auto"/>
        <w:left w:val="none" w:sz="0" w:space="0" w:color="auto"/>
        <w:bottom w:val="none" w:sz="0" w:space="0" w:color="auto"/>
        <w:right w:val="none" w:sz="0" w:space="0" w:color="auto"/>
      </w:divBdr>
    </w:div>
    <w:div w:id="517812672">
      <w:bodyDiv w:val="1"/>
      <w:marLeft w:val="0"/>
      <w:marRight w:val="0"/>
      <w:marTop w:val="0"/>
      <w:marBottom w:val="0"/>
      <w:divBdr>
        <w:top w:val="none" w:sz="0" w:space="0" w:color="auto"/>
        <w:left w:val="none" w:sz="0" w:space="0" w:color="auto"/>
        <w:bottom w:val="none" w:sz="0" w:space="0" w:color="auto"/>
        <w:right w:val="none" w:sz="0" w:space="0" w:color="auto"/>
      </w:divBdr>
    </w:div>
    <w:div w:id="517887512">
      <w:bodyDiv w:val="1"/>
      <w:marLeft w:val="0"/>
      <w:marRight w:val="0"/>
      <w:marTop w:val="0"/>
      <w:marBottom w:val="0"/>
      <w:divBdr>
        <w:top w:val="none" w:sz="0" w:space="0" w:color="auto"/>
        <w:left w:val="none" w:sz="0" w:space="0" w:color="auto"/>
        <w:bottom w:val="none" w:sz="0" w:space="0" w:color="auto"/>
        <w:right w:val="none" w:sz="0" w:space="0" w:color="auto"/>
      </w:divBdr>
    </w:div>
    <w:div w:id="517937210">
      <w:bodyDiv w:val="1"/>
      <w:marLeft w:val="0"/>
      <w:marRight w:val="0"/>
      <w:marTop w:val="0"/>
      <w:marBottom w:val="0"/>
      <w:divBdr>
        <w:top w:val="none" w:sz="0" w:space="0" w:color="auto"/>
        <w:left w:val="none" w:sz="0" w:space="0" w:color="auto"/>
        <w:bottom w:val="none" w:sz="0" w:space="0" w:color="auto"/>
        <w:right w:val="none" w:sz="0" w:space="0" w:color="auto"/>
      </w:divBdr>
    </w:div>
    <w:div w:id="517963579">
      <w:bodyDiv w:val="1"/>
      <w:marLeft w:val="0"/>
      <w:marRight w:val="0"/>
      <w:marTop w:val="0"/>
      <w:marBottom w:val="0"/>
      <w:divBdr>
        <w:top w:val="none" w:sz="0" w:space="0" w:color="auto"/>
        <w:left w:val="none" w:sz="0" w:space="0" w:color="auto"/>
        <w:bottom w:val="none" w:sz="0" w:space="0" w:color="auto"/>
        <w:right w:val="none" w:sz="0" w:space="0" w:color="auto"/>
      </w:divBdr>
    </w:div>
    <w:div w:id="518005227">
      <w:bodyDiv w:val="1"/>
      <w:marLeft w:val="0"/>
      <w:marRight w:val="0"/>
      <w:marTop w:val="0"/>
      <w:marBottom w:val="0"/>
      <w:divBdr>
        <w:top w:val="none" w:sz="0" w:space="0" w:color="auto"/>
        <w:left w:val="none" w:sz="0" w:space="0" w:color="auto"/>
        <w:bottom w:val="none" w:sz="0" w:space="0" w:color="auto"/>
        <w:right w:val="none" w:sz="0" w:space="0" w:color="auto"/>
      </w:divBdr>
    </w:div>
    <w:div w:id="518010287">
      <w:bodyDiv w:val="1"/>
      <w:marLeft w:val="0"/>
      <w:marRight w:val="0"/>
      <w:marTop w:val="0"/>
      <w:marBottom w:val="0"/>
      <w:divBdr>
        <w:top w:val="none" w:sz="0" w:space="0" w:color="auto"/>
        <w:left w:val="none" w:sz="0" w:space="0" w:color="auto"/>
        <w:bottom w:val="none" w:sz="0" w:space="0" w:color="auto"/>
        <w:right w:val="none" w:sz="0" w:space="0" w:color="auto"/>
      </w:divBdr>
    </w:div>
    <w:div w:id="518082699">
      <w:bodyDiv w:val="1"/>
      <w:marLeft w:val="0"/>
      <w:marRight w:val="0"/>
      <w:marTop w:val="0"/>
      <w:marBottom w:val="0"/>
      <w:divBdr>
        <w:top w:val="none" w:sz="0" w:space="0" w:color="auto"/>
        <w:left w:val="none" w:sz="0" w:space="0" w:color="auto"/>
        <w:bottom w:val="none" w:sz="0" w:space="0" w:color="auto"/>
        <w:right w:val="none" w:sz="0" w:space="0" w:color="auto"/>
      </w:divBdr>
    </w:div>
    <w:div w:id="518128645">
      <w:bodyDiv w:val="1"/>
      <w:marLeft w:val="0"/>
      <w:marRight w:val="0"/>
      <w:marTop w:val="0"/>
      <w:marBottom w:val="0"/>
      <w:divBdr>
        <w:top w:val="none" w:sz="0" w:space="0" w:color="auto"/>
        <w:left w:val="none" w:sz="0" w:space="0" w:color="auto"/>
        <w:bottom w:val="none" w:sz="0" w:space="0" w:color="auto"/>
        <w:right w:val="none" w:sz="0" w:space="0" w:color="auto"/>
      </w:divBdr>
    </w:div>
    <w:div w:id="518158580">
      <w:bodyDiv w:val="1"/>
      <w:marLeft w:val="0"/>
      <w:marRight w:val="0"/>
      <w:marTop w:val="0"/>
      <w:marBottom w:val="0"/>
      <w:divBdr>
        <w:top w:val="none" w:sz="0" w:space="0" w:color="auto"/>
        <w:left w:val="none" w:sz="0" w:space="0" w:color="auto"/>
        <w:bottom w:val="none" w:sz="0" w:space="0" w:color="auto"/>
        <w:right w:val="none" w:sz="0" w:space="0" w:color="auto"/>
      </w:divBdr>
    </w:div>
    <w:div w:id="518272298">
      <w:bodyDiv w:val="1"/>
      <w:marLeft w:val="0"/>
      <w:marRight w:val="0"/>
      <w:marTop w:val="0"/>
      <w:marBottom w:val="0"/>
      <w:divBdr>
        <w:top w:val="none" w:sz="0" w:space="0" w:color="auto"/>
        <w:left w:val="none" w:sz="0" w:space="0" w:color="auto"/>
        <w:bottom w:val="none" w:sz="0" w:space="0" w:color="auto"/>
        <w:right w:val="none" w:sz="0" w:space="0" w:color="auto"/>
      </w:divBdr>
    </w:div>
    <w:div w:id="518274127">
      <w:bodyDiv w:val="1"/>
      <w:marLeft w:val="0"/>
      <w:marRight w:val="0"/>
      <w:marTop w:val="0"/>
      <w:marBottom w:val="0"/>
      <w:divBdr>
        <w:top w:val="none" w:sz="0" w:space="0" w:color="auto"/>
        <w:left w:val="none" w:sz="0" w:space="0" w:color="auto"/>
        <w:bottom w:val="none" w:sz="0" w:space="0" w:color="auto"/>
        <w:right w:val="none" w:sz="0" w:space="0" w:color="auto"/>
      </w:divBdr>
    </w:div>
    <w:div w:id="518281617">
      <w:bodyDiv w:val="1"/>
      <w:marLeft w:val="0"/>
      <w:marRight w:val="0"/>
      <w:marTop w:val="0"/>
      <w:marBottom w:val="0"/>
      <w:divBdr>
        <w:top w:val="none" w:sz="0" w:space="0" w:color="auto"/>
        <w:left w:val="none" w:sz="0" w:space="0" w:color="auto"/>
        <w:bottom w:val="none" w:sz="0" w:space="0" w:color="auto"/>
        <w:right w:val="none" w:sz="0" w:space="0" w:color="auto"/>
      </w:divBdr>
    </w:div>
    <w:div w:id="518350519">
      <w:bodyDiv w:val="1"/>
      <w:marLeft w:val="0"/>
      <w:marRight w:val="0"/>
      <w:marTop w:val="0"/>
      <w:marBottom w:val="0"/>
      <w:divBdr>
        <w:top w:val="none" w:sz="0" w:space="0" w:color="auto"/>
        <w:left w:val="none" w:sz="0" w:space="0" w:color="auto"/>
        <w:bottom w:val="none" w:sz="0" w:space="0" w:color="auto"/>
        <w:right w:val="none" w:sz="0" w:space="0" w:color="auto"/>
      </w:divBdr>
    </w:div>
    <w:div w:id="518352055">
      <w:bodyDiv w:val="1"/>
      <w:marLeft w:val="0"/>
      <w:marRight w:val="0"/>
      <w:marTop w:val="0"/>
      <w:marBottom w:val="0"/>
      <w:divBdr>
        <w:top w:val="none" w:sz="0" w:space="0" w:color="auto"/>
        <w:left w:val="none" w:sz="0" w:space="0" w:color="auto"/>
        <w:bottom w:val="none" w:sz="0" w:space="0" w:color="auto"/>
        <w:right w:val="none" w:sz="0" w:space="0" w:color="auto"/>
      </w:divBdr>
    </w:div>
    <w:div w:id="518353546">
      <w:bodyDiv w:val="1"/>
      <w:marLeft w:val="0"/>
      <w:marRight w:val="0"/>
      <w:marTop w:val="0"/>
      <w:marBottom w:val="0"/>
      <w:divBdr>
        <w:top w:val="none" w:sz="0" w:space="0" w:color="auto"/>
        <w:left w:val="none" w:sz="0" w:space="0" w:color="auto"/>
        <w:bottom w:val="none" w:sz="0" w:space="0" w:color="auto"/>
        <w:right w:val="none" w:sz="0" w:space="0" w:color="auto"/>
      </w:divBdr>
    </w:div>
    <w:div w:id="518390454">
      <w:bodyDiv w:val="1"/>
      <w:marLeft w:val="0"/>
      <w:marRight w:val="0"/>
      <w:marTop w:val="0"/>
      <w:marBottom w:val="0"/>
      <w:divBdr>
        <w:top w:val="none" w:sz="0" w:space="0" w:color="auto"/>
        <w:left w:val="none" w:sz="0" w:space="0" w:color="auto"/>
        <w:bottom w:val="none" w:sz="0" w:space="0" w:color="auto"/>
        <w:right w:val="none" w:sz="0" w:space="0" w:color="auto"/>
      </w:divBdr>
    </w:div>
    <w:div w:id="518395162">
      <w:bodyDiv w:val="1"/>
      <w:marLeft w:val="0"/>
      <w:marRight w:val="0"/>
      <w:marTop w:val="0"/>
      <w:marBottom w:val="0"/>
      <w:divBdr>
        <w:top w:val="none" w:sz="0" w:space="0" w:color="auto"/>
        <w:left w:val="none" w:sz="0" w:space="0" w:color="auto"/>
        <w:bottom w:val="none" w:sz="0" w:space="0" w:color="auto"/>
        <w:right w:val="none" w:sz="0" w:space="0" w:color="auto"/>
      </w:divBdr>
    </w:div>
    <w:div w:id="518396338">
      <w:bodyDiv w:val="1"/>
      <w:marLeft w:val="0"/>
      <w:marRight w:val="0"/>
      <w:marTop w:val="0"/>
      <w:marBottom w:val="0"/>
      <w:divBdr>
        <w:top w:val="none" w:sz="0" w:space="0" w:color="auto"/>
        <w:left w:val="none" w:sz="0" w:space="0" w:color="auto"/>
        <w:bottom w:val="none" w:sz="0" w:space="0" w:color="auto"/>
        <w:right w:val="none" w:sz="0" w:space="0" w:color="auto"/>
      </w:divBdr>
    </w:div>
    <w:div w:id="518396699">
      <w:bodyDiv w:val="1"/>
      <w:marLeft w:val="0"/>
      <w:marRight w:val="0"/>
      <w:marTop w:val="0"/>
      <w:marBottom w:val="0"/>
      <w:divBdr>
        <w:top w:val="none" w:sz="0" w:space="0" w:color="auto"/>
        <w:left w:val="none" w:sz="0" w:space="0" w:color="auto"/>
        <w:bottom w:val="none" w:sz="0" w:space="0" w:color="auto"/>
        <w:right w:val="none" w:sz="0" w:space="0" w:color="auto"/>
      </w:divBdr>
    </w:div>
    <w:div w:id="518473571">
      <w:bodyDiv w:val="1"/>
      <w:marLeft w:val="0"/>
      <w:marRight w:val="0"/>
      <w:marTop w:val="0"/>
      <w:marBottom w:val="0"/>
      <w:divBdr>
        <w:top w:val="none" w:sz="0" w:space="0" w:color="auto"/>
        <w:left w:val="none" w:sz="0" w:space="0" w:color="auto"/>
        <w:bottom w:val="none" w:sz="0" w:space="0" w:color="auto"/>
        <w:right w:val="none" w:sz="0" w:space="0" w:color="auto"/>
      </w:divBdr>
    </w:div>
    <w:div w:id="518543144">
      <w:bodyDiv w:val="1"/>
      <w:marLeft w:val="0"/>
      <w:marRight w:val="0"/>
      <w:marTop w:val="0"/>
      <w:marBottom w:val="0"/>
      <w:divBdr>
        <w:top w:val="none" w:sz="0" w:space="0" w:color="auto"/>
        <w:left w:val="none" w:sz="0" w:space="0" w:color="auto"/>
        <w:bottom w:val="none" w:sz="0" w:space="0" w:color="auto"/>
        <w:right w:val="none" w:sz="0" w:space="0" w:color="auto"/>
      </w:divBdr>
    </w:div>
    <w:div w:id="518546155">
      <w:bodyDiv w:val="1"/>
      <w:marLeft w:val="0"/>
      <w:marRight w:val="0"/>
      <w:marTop w:val="0"/>
      <w:marBottom w:val="0"/>
      <w:divBdr>
        <w:top w:val="none" w:sz="0" w:space="0" w:color="auto"/>
        <w:left w:val="none" w:sz="0" w:space="0" w:color="auto"/>
        <w:bottom w:val="none" w:sz="0" w:space="0" w:color="auto"/>
        <w:right w:val="none" w:sz="0" w:space="0" w:color="auto"/>
      </w:divBdr>
    </w:div>
    <w:div w:id="518587012">
      <w:bodyDiv w:val="1"/>
      <w:marLeft w:val="0"/>
      <w:marRight w:val="0"/>
      <w:marTop w:val="0"/>
      <w:marBottom w:val="0"/>
      <w:divBdr>
        <w:top w:val="none" w:sz="0" w:space="0" w:color="auto"/>
        <w:left w:val="none" w:sz="0" w:space="0" w:color="auto"/>
        <w:bottom w:val="none" w:sz="0" w:space="0" w:color="auto"/>
        <w:right w:val="none" w:sz="0" w:space="0" w:color="auto"/>
      </w:divBdr>
    </w:div>
    <w:div w:id="518658981">
      <w:bodyDiv w:val="1"/>
      <w:marLeft w:val="0"/>
      <w:marRight w:val="0"/>
      <w:marTop w:val="0"/>
      <w:marBottom w:val="0"/>
      <w:divBdr>
        <w:top w:val="none" w:sz="0" w:space="0" w:color="auto"/>
        <w:left w:val="none" w:sz="0" w:space="0" w:color="auto"/>
        <w:bottom w:val="none" w:sz="0" w:space="0" w:color="auto"/>
        <w:right w:val="none" w:sz="0" w:space="0" w:color="auto"/>
      </w:divBdr>
    </w:div>
    <w:div w:id="518854891">
      <w:bodyDiv w:val="1"/>
      <w:marLeft w:val="0"/>
      <w:marRight w:val="0"/>
      <w:marTop w:val="0"/>
      <w:marBottom w:val="0"/>
      <w:divBdr>
        <w:top w:val="none" w:sz="0" w:space="0" w:color="auto"/>
        <w:left w:val="none" w:sz="0" w:space="0" w:color="auto"/>
        <w:bottom w:val="none" w:sz="0" w:space="0" w:color="auto"/>
        <w:right w:val="none" w:sz="0" w:space="0" w:color="auto"/>
      </w:divBdr>
    </w:div>
    <w:div w:id="518937111">
      <w:bodyDiv w:val="1"/>
      <w:marLeft w:val="0"/>
      <w:marRight w:val="0"/>
      <w:marTop w:val="0"/>
      <w:marBottom w:val="0"/>
      <w:divBdr>
        <w:top w:val="none" w:sz="0" w:space="0" w:color="auto"/>
        <w:left w:val="none" w:sz="0" w:space="0" w:color="auto"/>
        <w:bottom w:val="none" w:sz="0" w:space="0" w:color="auto"/>
        <w:right w:val="none" w:sz="0" w:space="0" w:color="auto"/>
      </w:divBdr>
    </w:div>
    <w:div w:id="519003325">
      <w:bodyDiv w:val="1"/>
      <w:marLeft w:val="0"/>
      <w:marRight w:val="0"/>
      <w:marTop w:val="0"/>
      <w:marBottom w:val="0"/>
      <w:divBdr>
        <w:top w:val="none" w:sz="0" w:space="0" w:color="auto"/>
        <w:left w:val="none" w:sz="0" w:space="0" w:color="auto"/>
        <w:bottom w:val="none" w:sz="0" w:space="0" w:color="auto"/>
        <w:right w:val="none" w:sz="0" w:space="0" w:color="auto"/>
      </w:divBdr>
    </w:div>
    <w:div w:id="519049302">
      <w:bodyDiv w:val="1"/>
      <w:marLeft w:val="0"/>
      <w:marRight w:val="0"/>
      <w:marTop w:val="0"/>
      <w:marBottom w:val="0"/>
      <w:divBdr>
        <w:top w:val="none" w:sz="0" w:space="0" w:color="auto"/>
        <w:left w:val="none" w:sz="0" w:space="0" w:color="auto"/>
        <w:bottom w:val="none" w:sz="0" w:space="0" w:color="auto"/>
        <w:right w:val="none" w:sz="0" w:space="0" w:color="auto"/>
      </w:divBdr>
    </w:div>
    <w:div w:id="519199415">
      <w:bodyDiv w:val="1"/>
      <w:marLeft w:val="0"/>
      <w:marRight w:val="0"/>
      <w:marTop w:val="0"/>
      <w:marBottom w:val="0"/>
      <w:divBdr>
        <w:top w:val="none" w:sz="0" w:space="0" w:color="auto"/>
        <w:left w:val="none" w:sz="0" w:space="0" w:color="auto"/>
        <w:bottom w:val="none" w:sz="0" w:space="0" w:color="auto"/>
        <w:right w:val="none" w:sz="0" w:space="0" w:color="auto"/>
      </w:divBdr>
    </w:div>
    <w:div w:id="519200633">
      <w:bodyDiv w:val="1"/>
      <w:marLeft w:val="0"/>
      <w:marRight w:val="0"/>
      <w:marTop w:val="0"/>
      <w:marBottom w:val="0"/>
      <w:divBdr>
        <w:top w:val="none" w:sz="0" w:space="0" w:color="auto"/>
        <w:left w:val="none" w:sz="0" w:space="0" w:color="auto"/>
        <w:bottom w:val="none" w:sz="0" w:space="0" w:color="auto"/>
        <w:right w:val="none" w:sz="0" w:space="0" w:color="auto"/>
      </w:divBdr>
    </w:div>
    <w:div w:id="519323933">
      <w:bodyDiv w:val="1"/>
      <w:marLeft w:val="0"/>
      <w:marRight w:val="0"/>
      <w:marTop w:val="0"/>
      <w:marBottom w:val="0"/>
      <w:divBdr>
        <w:top w:val="none" w:sz="0" w:space="0" w:color="auto"/>
        <w:left w:val="none" w:sz="0" w:space="0" w:color="auto"/>
        <w:bottom w:val="none" w:sz="0" w:space="0" w:color="auto"/>
        <w:right w:val="none" w:sz="0" w:space="0" w:color="auto"/>
      </w:divBdr>
    </w:div>
    <w:div w:id="519395745">
      <w:bodyDiv w:val="1"/>
      <w:marLeft w:val="0"/>
      <w:marRight w:val="0"/>
      <w:marTop w:val="0"/>
      <w:marBottom w:val="0"/>
      <w:divBdr>
        <w:top w:val="none" w:sz="0" w:space="0" w:color="auto"/>
        <w:left w:val="none" w:sz="0" w:space="0" w:color="auto"/>
        <w:bottom w:val="none" w:sz="0" w:space="0" w:color="auto"/>
        <w:right w:val="none" w:sz="0" w:space="0" w:color="auto"/>
      </w:divBdr>
    </w:div>
    <w:div w:id="519515342">
      <w:bodyDiv w:val="1"/>
      <w:marLeft w:val="0"/>
      <w:marRight w:val="0"/>
      <w:marTop w:val="0"/>
      <w:marBottom w:val="0"/>
      <w:divBdr>
        <w:top w:val="none" w:sz="0" w:space="0" w:color="auto"/>
        <w:left w:val="none" w:sz="0" w:space="0" w:color="auto"/>
        <w:bottom w:val="none" w:sz="0" w:space="0" w:color="auto"/>
        <w:right w:val="none" w:sz="0" w:space="0" w:color="auto"/>
      </w:divBdr>
    </w:div>
    <w:div w:id="519583354">
      <w:bodyDiv w:val="1"/>
      <w:marLeft w:val="0"/>
      <w:marRight w:val="0"/>
      <w:marTop w:val="0"/>
      <w:marBottom w:val="0"/>
      <w:divBdr>
        <w:top w:val="none" w:sz="0" w:space="0" w:color="auto"/>
        <w:left w:val="none" w:sz="0" w:space="0" w:color="auto"/>
        <w:bottom w:val="none" w:sz="0" w:space="0" w:color="auto"/>
        <w:right w:val="none" w:sz="0" w:space="0" w:color="auto"/>
      </w:divBdr>
    </w:div>
    <w:div w:id="519583898">
      <w:bodyDiv w:val="1"/>
      <w:marLeft w:val="0"/>
      <w:marRight w:val="0"/>
      <w:marTop w:val="0"/>
      <w:marBottom w:val="0"/>
      <w:divBdr>
        <w:top w:val="none" w:sz="0" w:space="0" w:color="auto"/>
        <w:left w:val="none" w:sz="0" w:space="0" w:color="auto"/>
        <w:bottom w:val="none" w:sz="0" w:space="0" w:color="auto"/>
        <w:right w:val="none" w:sz="0" w:space="0" w:color="auto"/>
      </w:divBdr>
    </w:div>
    <w:div w:id="519929579">
      <w:bodyDiv w:val="1"/>
      <w:marLeft w:val="0"/>
      <w:marRight w:val="0"/>
      <w:marTop w:val="0"/>
      <w:marBottom w:val="0"/>
      <w:divBdr>
        <w:top w:val="none" w:sz="0" w:space="0" w:color="auto"/>
        <w:left w:val="none" w:sz="0" w:space="0" w:color="auto"/>
        <w:bottom w:val="none" w:sz="0" w:space="0" w:color="auto"/>
        <w:right w:val="none" w:sz="0" w:space="0" w:color="auto"/>
      </w:divBdr>
    </w:div>
    <w:div w:id="519972576">
      <w:bodyDiv w:val="1"/>
      <w:marLeft w:val="0"/>
      <w:marRight w:val="0"/>
      <w:marTop w:val="0"/>
      <w:marBottom w:val="0"/>
      <w:divBdr>
        <w:top w:val="none" w:sz="0" w:space="0" w:color="auto"/>
        <w:left w:val="none" w:sz="0" w:space="0" w:color="auto"/>
        <w:bottom w:val="none" w:sz="0" w:space="0" w:color="auto"/>
        <w:right w:val="none" w:sz="0" w:space="0" w:color="auto"/>
      </w:divBdr>
    </w:div>
    <w:div w:id="520048093">
      <w:bodyDiv w:val="1"/>
      <w:marLeft w:val="0"/>
      <w:marRight w:val="0"/>
      <w:marTop w:val="0"/>
      <w:marBottom w:val="0"/>
      <w:divBdr>
        <w:top w:val="none" w:sz="0" w:space="0" w:color="auto"/>
        <w:left w:val="none" w:sz="0" w:space="0" w:color="auto"/>
        <w:bottom w:val="none" w:sz="0" w:space="0" w:color="auto"/>
        <w:right w:val="none" w:sz="0" w:space="0" w:color="auto"/>
      </w:divBdr>
    </w:div>
    <w:div w:id="520095724">
      <w:bodyDiv w:val="1"/>
      <w:marLeft w:val="0"/>
      <w:marRight w:val="0"/>
      <w:marTop w:val="0"/>
      <w:marBottom w:val="0"/>
      <w:divBdr>
        <w:top w:val="none" w:sz="0" w:space="0" w:color="auto"/>
        <w:left w:val="none" w:sz="0" w:space="0" w:color="auto"/>
        <w:bottom w:val="none" w:sz="0" w:space="0" w:color="auto"/>
        <w:right w:val="none" w:sz="0" w:space="0" w:color="auto"/>
      </w:divBdr>
    </w:div>
    <w:div w:id="520124405">
      <w:bodyDiv w:val="1"/>
      <w:marLeft w:val="0"/>
      <w:marRight w:val="0"/>
      <w:marTop w:val="0"/>
      <w:marBottom w:val="0"/>
      <w:divBdr>
        <w:top w:val="none" w:sz="0" w:space="0" w:color="auto"/>
        <w:left w:val="none" w:sz="0" w:space="0" w:color="auto"/>
        <w:bottom w:val="none" w:sz="0" w:space="0" w:color="auto"/>
        <w:right w:val="none" w:sz="0" w:space="0" w:color="auto"/>
      </w:divBdr>
    </w:div>
    <w:div w:id="520124944">
      <w:bodyDiv w:val="1"/>
      <w:marLeft w:val="0"/>
      <w:marRight w:val="0"/>
      <w:marTop w:val="0"/>
      <w:marBottom w:val="0"/>
      <w:divBdr>
        <w:top w:val="none" w:sz="0" w:space="0" w:color="auto"/>
        <w:left w:val="none" w:sz="0" w:space="0" w:color="auto"/>
        <w:bottom w:val="none" w:sz="0" w:space="0" w:color="auto"/>
        <w:right w:val="none" w:sz="0" w:space="0" w:color="auto"/>
      </w:divBdr>
    </w:div>
    <w:div w:id="520125429">
      <w:bodyDiv w:val="1"/>
      <w:marLeft w:val="0"/>
      <w:marRight w:val="0"/>
      <w:marTop w:val="0"/>
      <w:marBottom w:val="0"/>
      <w:divBdr>
        <w:top w:val="none" w:sz="0" w:space="0" w:color="auto"/>
        <w:left w:val="none" w:sz="0" w:space="0" w:color="auto"/>
        <w:bottom w:val="none" w:sz="0" w:space="0" w:color="auto"/>
        <w:right w:val="none" w:sz="0" w:space="0" w:color="auto"/>
      </w:divBdr>
    </w:div>
    <w:div w:id="520171241">
      <w:bodyDiv w:val="1"/>
      <w:marLeft w:val="0"/>
      <w:marRight w:val="0"/>
      <w:marTop w:val="0"/>
      <w:marBottom w:val="0"/>
      <w:divBdr>
        <w:top w:val="none" w:sz="0" w:space="0" w:color="auto"/>
        <w:left w:val="none" w:sz="0" w:space="0" w:color="auto"/>
        <w:bottom w:val="none" w:sz="0" w:space="0" w:color="auto"/>
        <w:right w:val="none" w:sz="0" w:space="0" w:color="auto"/>
      </w:divBdr>
    </w:div>
    <w:div w:id="520241537">
      <w:bodyDiv w:val="1"/>
      <w:marLeft w:val="0"/>
      <w:marRight w:val="0"/>
      <w:marTop w:val="0"/>
      <w:marBottom w:val="0"/>
      <w:divBdr>
        <w:top w:val="none" w:sz="0" w:space="0" w:color="auto"/>
        <w:left w:val="none" w:sz="0" w:space="0" w:color="auto"/>
        <w:bottom w:val="none" w:sz="0" w:space="0" w:color="auto"/>
        <w:right w:val="none" w:sz="0" w:space="0" w:color="auto"/>
      </w:divBdr>
    </w:div>
    <w:div w:id="520361534">
      <w:bodyDiv w:val="1"/>
      <w:marLeft w:val="0"/>
      <w:marRight w:val="0"/>
      <w:marTop w:val="0"/>
      <w:marBottom w:val="0"/>
      <w:divBdr>
        <w:top w:val="none" w:sz="0" w:space="0" w:color="auto"/>
        <w:left w:val="none" w:sz="0" w:space="0" w:color="auto"/>
        <w:bottom w:val="none" w:sz="0" w:space="0" w:color="auto"/>
        <w:right w:val="none" w:sz="0" w:space="0" w:color="auto"/>
      </w:divBdr>
    </w:div>
    <w:div w:id="520363177">
      <w:bodyDiv w:val="1"/>
      <w:marLeft w:val="0"/>
      <w:marRight w:val="0"/>
      <w:marTop w:val="0"/>
      <w:marBottom w:val="0"/>
      <w:divBdr>
        <w:top w:val="none" w:sz="0" w:space="0" w:color="auto"/>
        <w:left w:val="none" w:sz="0" w:space="0" w:color="auto"/>
        <w:bottom w:val="none" w:sz="0" w:space="0" w:color="auto"/>
        <w:right w:val="none" w:sz="0" w:space="0" w:color="auto"/>
      </w:divBdr>
    </w:div>
    <w:div w:id="520507606">
      <w:bodyDiv w:val="1"/>
      <w:marLeft w:val="0"/>
      <w:marRight w:val="0"/>
      <w:marTop w:val="0"/>
      <w:marBottom w:val="0"/>
      <w:divBdr>
        <w:top w:val="none" w:sz="0" w:space="0" w:color="auto"/>
        <w:left w:val="none" w:sz="0" w:space="0" w:color="auto"/>
        <w:bottom w:val="none" w:sz="0" w:space="0" w:color="auto"/>
        <w:right w:val="none" w:sz="0" w:space="0" w:color="auto"/>
      </w:divBdr>
    </w:div>
    <w:div w:id="520513890">
      <w:bodyDiv w:val="1"/>
      <w:marLeft w:val="0"/>
      <w:marRight w:val="0"/>
      <w:marTop w:val="0"/>
      <w:marBottom w:val="0"/>
      <w:divBdr>
        <w:top w:val="none" w:sz="0" w:space="0" w:color="auto"/>
        <w:left w:val="none" w:sz="0" w:space="0" w:color="auto"/>
        <w:bottom w:val="none" w:sz="0" w:space="0" w:color="auto"/>
        <w:right w:val="none" w:sz="0" w:space="0" w:color="auto"/>
      </w:divBdr>
    </w:div>
    <w:div w:id="520558164">
      <w:bodyDiv w:val="1"/>
      <w:marLeft w:val="0"/>
      <w:marRight w:val="0"/>
      <w:marTop w:val="0"/>
      <w:marBottom w:val="0"/>
      <w:divBdr>
        <w:top w:val="none" w:sz="0" w:space="0" w:color="auto"/>
        <w:left w:val="none" w:sz="0" w:space="0" w:color="auto"/>
        <w:bottom w:val="none" w:sz="0" w:space="0" w:color="auto"/>
        <w:right w:val="none" w:sz="0" w:space="0" w:color="auto"/>
      </w:divBdr>
    </w:div>
    <w:div w:id="520704960">
      <w:bodyDiv w:val="1"/>
      <w:marLeft w:val="0"/>
      <w:marRight w:val="0"/>
      <w:marTop w:val="0"/>
      <w:marBottom w:val="0"/>
      <w:divBdr>
        <w:top w:val="none" w:sz="0" w:space="0" w:color="auto"/>
        <w:left w:val="none" w:sz="0" w:space="0" w:color="auto"/>
        <w:bottom w:val="none" w:sz="0" w:space="0" w:color="auto"/>
        <w:right w:val="none" w:sz="0" w:space="0" w:color="auto"/>
      </w:divBdr>
    </w:div>
    <w:div w:id="520822739">
      <w:bodyDiv w:val="1"/>
      <w:marLeft w:val="0"/>
      <w:marRight w:val="0"/>
      <w:marTop w:val="0"/>
      <w:marBottom w:val="0"/>
      <w:divBdr>
        <w:top w:val="none" w:sz="0" w:space="0" w:color="auto"/>
        <w:left w:val="none" w:sz="0" w:space="0" w:color="auto"/>
        <w:bottom w:val="none" w:sz="0" w:space="0" w:color="auto"/>
        <w:right w:val="none" w:sz="0" w:space="0" w:color="auto"/>
      </w:divBdr>
    </w:div>
    <w:div w:id="520898389">
      <w:bodyDiv w:val="1"/>
      <w:marLeft w:val="0"/>
      <w:marRight w:val="0"/>
      <w:marTop w:val="0"/>
      <w:marBottom w:val="0"/>
      <w:divBdr>
        <w:top w:val="none" w:sz="0" w:space="0" w:color="auto"/>
        <w:left w:val="none" w:sz="0" w:space="0" w:color="auto"/>
        <w:bottom w:val="none" w:sz="0" w:space="0" w:color="auto"/>
        <w:right w:val="none" w:sz="0" w:space="0" w:color="auto"/>
      </w:divBdr>
    </w:div>
    <w:div w:id="520972027">
      <w:bodyDiv w:val="1"/>
      <w:marLeft w:val="0"/>
      <w:marRight w:val="0"/>
      <w:marTop w:val="0"/>
      <w:marBottom w:val="0"/>
      <w:divBdr>
        <w:top w:val="none" w:sz="0" w:space="0" w:color="auto"/>
        <w:left w:val="none" w:sz="0" w:space="0" w:color="auto"/>
        <w:bottom w:val="none" w:sz="0" w:space="0" w:color="auto"/>
        <w:right w:val="none" w:sz="0" w:space="0" w:color="auto"/>
      </w:divBdr>
    </w:div>
    <w:div w:id="521094426">
      <w:bodyDiv w:val="1"/>
      <w:marLeft w:val="0"/>
      <w:marRight w:val="0"/>
      <w:marTop w:val="0"/>
      <w:marBottom w:val="0"/>
      <w:divBdr>
        <w:top w:val="none" w:sz="0" w:space="0" w:color="auto"/>
        <w:left w:val="none" w:sz="0" w:space="0" w:color="auto"/>
        <w:bottom w:val="none" w:sz="0" w:space="0" w:color="auto"/>
        <w:right w:val="none" w:sz="0" w:space="0" w:color="auto"/>
      </w:divBdr>
    </w:div>
    <w:div w:id="521168115">
      <w:bodyDiv w:val="1"/>
      <w:marLeft w:val="0"/>
      <w:marRight w:val="0"/>
      <w:marTop w:val="0"/>
      <w:marBottom w:val="0"/>
      <w:divBdr>
        <w:top w:val="none" w:sz="0" w:space="0" w:color="auto"/>
        <w:left w:val="none" w:sz="0" w:space="0" w:color="auto"/>
        <w:bottom w:val="none" w:sz="0" w:space="0" w:color="auto"/>
        <w:right w:val="none" w:sz="0" w:space="0" w:color="auto"/>
      </w:divBdr>
    </w:div>
    <w:div w:id="521363060">
      <w:bodyDiv w:val="1"/>
      <w:marLeft w:val="0"/>
      <w:marRight w:val="0"/>
      <w:marTop w:val="0"/>
      <w:marBottom w:val="0"/>
      <w:divBdr>
        <w:top w:val="none" w:sz="0" w:space="0" w:color="auto"/>
        <w:left w:val="none" w:sz="0" w:space="0" w:color="auto"/>
        <w:bottom w:val="none" w:sz="0" w:space="0" w:color="auto"/>
        <w:right w:val="none" w:sz="0" w:space="0" w:color="auto"/>
      </w:divBdr>
    </w:div>
    <w:div w:id="521365038">
      <w:bodyDiv w:val="1"/>
      <w:marLeft w:val="0"/>
      <w:marRight w:val="0"/>
      <w:marTop w:val="0"/>
      <w:marBottom w:val="0"/>
      <w:divBdr>
        <w:top w:val="none" w:sz="0" w:space="0" w:color="auto"/>
        <w:left w:val="none" w:sz="0" w:space="0" w:color="auto"/>
        <w:bottom w:val="none" w:sz="0" w:space="0" w:color="auto"/>
        <w:right w:val="none" w:sz="0" w:space="0" w:color="auto"/>
      </w:divBdr>
    </w:div>
    <w:div w:id="521667585">
      <w:bodyDiv w:val="1"/>
      <w:marLeft w:val="0"/>
      <w:marRight w:val="0"/>
      <w:marTop w:val="0"/>
      <w:marBottom w:val="0"/>
      <w:divBdr>
        <w:top w:val="none" w:sz="0" w:space="0" w:color="auto"/>
        <w:left w:val="none" w:sz="0" w:space="0" w:color="auto"/>
        <w:bottom w:val="none" w:sz="0" w:space="0" w:color="auto"/>
        <w:right w:val="none" w:sz="0" w:space="0" w:color="auto"/>
      </w:divBdr>
    </w:div>
    <w:div w:id="521668030">
      <w:bodyDiv w:val="1"/>
      <w:marLeft w:val="0"/>
      <w:marRight w:val="0"/>
      <w:marTop w:val="0"/>
      <w:marBottom w:val="0"/>
      <w:divBdr>
        <w:top w:val="none" w:sz="0" w:space="0" w:color="auto"/>
        <w:left w:val="none" w:sz="0" w:space="0" w:color="auto"/>
        <w:bottom w:val="none" w:sz="0" w:space="0" w:color="auto"/>
        <w:right w:val="none" w:sz="0" w:space="0" w:color="auto"/>
      </w:divBdr>
    </w:div>
    <w:div w:id="521673402">
      <w:bodyDiv w:val="1"/>
      <w:marLeft w:val="0"/>
      <w:marRight w:val="0"/>
      <w:marTop w:val="0"/>
      <w:marBottom w:val="0"/>
      <w:divBdr>
        <w:top w:val="none" w:sz="0" w:space="0" w:color="auto"/>
        <w:left w:val="none" w:sz="0" w:space="0" w:color="auto"/>
        <w:bottom w:val="none" w:sz="0" w:space="0" w:color="auto"/>
        <w:right w:val="none" w:sz="0" w:space="0" w:color="auto"/>
      </w:divBdr>
    </w:div>
    <w:div w:id="521822397">
      <w:bodyDiv w:val="1"/>
      <w:marLeft w:val="0"/>
      <w:marRight w:val="0"/>
      <w:marTop w:val="0"/>
      <w:marBottom w:val="0"/>
      <w:divBdr>
        <w:top w:val="none" w:sz="0" w:space="0" w:color="auto"/>
        <w:left w:val="none" w:sz="0" w:space="0" w:color="auto"/>
        <w:bottom w:val="none" w:sz="0" w:space="0" w:color="auto"/>
        <w:right w:val="none" w:sz="0" w:space="0" w:color="auto"/>
      </w:divBdr>
    </w:div>
    <w:div w:id="522059863">
      <w:bodyDiv w:val="1"/>
      <w:marLeft w:val="0"/>
      <w:marRight w:val="0"/>
      <w:marTop w:val="0"/>
      <w:marBottom w:val="0"/>
      <w:divBdr>
        <w:top w:val="none" w:sz="0" w:space="0" w:color="auto"/>
        <w:left w:val="none" w:sz="0" w:space="0" w:color="auto"/>
        <w:bottom w:val="none" w:sz="0" w:space="0" w:color="auto"/>
        <w:right w:val="none" w:sz="0" w:space="0" w:color="auto"/>
      </w:divBdr>
    </w:div>
    <w:div w:id="522207634">
      <w:bodyDiv w:val="1"/>
      <w:marLeft w:val="0"/>
      <w:marRight w:val="0"/>
      <w:marTop w:val="0"/>
      <w:marBottom w:val="0"/>
      <w:divBdr>
        <w:top w:val="none" w:sz="0" w:space="0" w:color="auto"/>
        <w:left w:val="none" w:sz="0" w:space="0" w:color="auto"/>
        <w:bottom w:val="none" w:sz="0" w:space="0" w:color="auto"/>
        <w:right w:val="none" w:sz="0" w:space="0" w:color="auto"/>
      </w:divBdr>
    </w:div>
    <w:div w:id="522285624">
      <w:bodyDiv w:val="1"/>
      <w:marLeft w:val="0"/>
      <w:marRight w:val="0"/>
      <w:marTop w:val="0"/>
      <w:marBottom w:val="0"/>
      <w:divBdr>
        <w:top w:val="none" w:sz="0" w:space="0" w:color="auto"/>
        <w:left w:val="none" w:sz="0" w:space="0" w:color="auto"/>
        <w:bottom w:val="none" w:sz="0" w:space="0" w:color="auto"/>
        <w:right w:val="none" w:sz="0" w:space="0" w:color="auto"/>
      </w:divBdr>
    </w:div>
    <w:div w:id="522330733">
      <w:bodyDiv w:val="1"/>
      <w:marLeft w:val="0"/>
      <w:marRight w:val="0"/>
      <w:marTop w:val="0"/>
      <w:marBottom w:val="0"/>
      <w:divBdr>
        <w:top w:val="none" w:sz="0" w:space="0" w:color="auto"/>
        <w:left w:val="none" w:sz="0" w:space="0" w:color="auto"/>
        <w:bottom w:val="none" w:sz="0" w:space="0" w:color="auto"/>
        <w:right w:val="none" w:sz="0" w:space="0" w:color="auto"/>
      </w:divBdr>
    </w:div>
    <w:div w:id="522400206">
      <w:bodyDiv w:val="1"/>
      <w:marLeft w:val="0"/>
      <w:marRight w:val="0"/>
      <w:marTop w:val="0"/>
      <w:marBottom w:val="0"/>
      <w:divBdr>
        <w:top w:val="none" w:sz="0" w:space="0" w:color="auto"/>
        <w:left w:val="none" w:sz="0" w:space="0" w:color="auto"/>
        <w:bottom w:val="none" w:sz="0" w:space="0" w:color="auto"/>
        <w:right w:val="none" w:sz="0" w:space="0" w:color="auto"/>
      </w:divBdr>
    </w:div>
    <w:div w:id="522403191">
      <w:bodyDiv w:val="1"/>
      <w:marLeft w:val="0"/>
      <w:marRight w:val="0"/>
      <w:marTop w:val="0"/>
      <w:marBottom w:val="0"/>
      <w:divBdr>
        <w:top w:val="none" w:sz="0" w:space="0" w:color="auto"/>
        <w:left w:val="none" w:sz="0" w:space="0" w:color="auto"/>
        <w:bottom w:val="none" w:sz="0" w:space="0" w:color="auto"/>
        <w:right w:val="none" w:sz="0" w:space="0" w:color="auto"/>
      </w:divBdr>
    </w:div>
    <w:div w:id="522480957">
      <w:bodyDiv w:val="1"/>
      <w:marLeft w:val="0"/>
      <w:marRight w:val="0"/>
      <w:marTop w:val="0"/>
      <w:marBottom w:val="0"/>
      <w:divBdr>
        <w:top w:val="none" w:sz="0" w:space="0" w:color="auto"/>
        <w:left w:val="none" w:sz="0" w:space="0" w:color="auto"/>
        <w:bottom w:val="none" w:sz="0" w:space="0" w:color="auto"/>
        <w:right w:val="none" w:sz="0" w:space="0" w:color="auto"/>
      </w:divBdr>
    </w:div>
    <w:div w:id="522594933">
      <w:bodyDiv w:val="1"/>
      <w:marLeft w:val="0"/>
      <w:marRight w:val="0"/>
      <w:marTop w:val="0"/>
      <w:marBottom w:val="0"/>
      <w:divBdr>
        <w:top w:val="none" w:sz="0" w:space="0" w:color="auto"/>
        <w:left w:val="none" w:sz="0" w:space="0" w:color="auto"/>
        <w:bottom w:val="none" w:sz="0" w:space="0" w:color="auto"/>
        <w:right w:val="none" w:sz="0" w:space="0" w:color="auto"/>
      </w:divBdr>
    </w:div>
    <w:div w:id="522668253">
      <w:bodyDiv w:val="1"/>
      <w:marLeft w:val="0"/>
      <w:marRight w:val="0"/>
      <w:marTop w:val="0"/>
      <w:marBottom w:val="0"/>
      <w:divBdr>
        <w:top w:val="none" w:sz="0" w:space="0" w:color="auto"/>
        <w:left w:val="none" w:sz="0" w:space="0" w:color="auto"/>
        <w:bottom w:val="none" w:sz="0" w:space="0" w:color="auto"/>
        <w:right w:val="none" w:sz="0" w:space="0" w:color="auto"/>
      </w:divBdr>
    </w:div>
    <w:div w:id="523129699">
      <w:bodyDiv w:val="1"/>
      <w:marLeft w:val="0"/>
      <w:marRight w:val="0"/>
      <w:marTop w:val="0"/>
      <w:marBottom w:val="0"/>
      <w:divBdr>
        <w:top w:val="none" w:sz="0" w:space="0" w:color="auto"/>
        <w:left w:val="none" w:sz="0" w:space="0" w:color="auto"/>
        <w:bottom w:val="none" w:sz="0" w:space="0" w:color="auto"/>
        <w:right w:val="none" w:sz="0" w:space="0" w:color="auto"/>
      </w:divBdr>
    </w:div>
    <w:div w:id="523246591">
      <w:bodyDiv w:val="1"/>
      <w:marLeft w:val="0"/>
      <w:marRight w:val="0"/>
      <w:marTop w:val="0"/>
      <w:marBottom w:val="0"/>
      <w:divBdr>
        <w:top w:val="none" w:sz="0" w:space="0" w:color="auto"/>
        <w:left w:val="none" w:sz="0" w:space="0" w:color="auto"/>
        <w:bottom w:val="none" w:sz="0" w:space="0" w:color="auto"/>
        <w:right w:val="none" w:sz="0" w:space="0" w:color="auto"/>
      </w:divBdr>
    </w:div>
    <w:div w:id="523253421">
      <w:bodyDiv w:val="1"/>
      <w:marLeft w:val="0"/>
      <w:marRight w:val="0"/>
      <w:marTop w:val="0"/>
      <w:marBottom w:val="0"/>
      <w:divBdr>
        <w:top w:val="none" w:sz="0" w:space="0" w:color="auto"/>
        <w:left w:val="none" w:sz="0" w:space="0" w:color="auto"/>
        <w:bottom w:val="none" w:sz="0" w:space="0" w:color="auto"/>
        <w:right w:val="none" w:sz="0" w:space="0" w:color="auto"/>
      </w:divBdr>
    </w:div>
    <w:div w:id="523403036">
      <w:bodyDiv w:val="1"/>
      <w:marLeft w:val="0"/>
      <w:marRight w:val="0"/>
      <w:marTop w:val="0"/>
      <w:marBottom w:val="0"/>
      <w:divBdr>
        <w:top w:val="none" w:sz="0" w:space="0" w:color="auto"/>
        <w:left w:val="none" w:sz="0" w:space="0" w:color="auto"/>
        <w:bottom w:val="none" w:sz="0" w:space="0" w:color="auto"/>
        <w:right w:val="none" w:sz="0" w:space="0" w:color="auto"/>
      </w:divBdr>
    </w:div>
    <w:div w:id="523439211">
      <w:bodyDiv w:val="1"/>
      <w:marLeft w:val="0"/>
      <w:marRight w:val="0"/>
      <w:marTop w:val="0"/>
      <w:marBottom w:val="0"/>
      <w:divBdr>
        <w:top w:val="none" w:sz="0" w:space="0" w:color="auto"/>
        <w:left w:val="none" w:sz="0" w:space="0" w:color="auto"/>
        <w:bottom w:val="none" w:sz="0" w:space="0" w:color="auto"/>
        <w:right w:val="none" w:sz="0" w:space="0" w:color="auto"/>
      </w:divBdr>
    </w:div>
    <w:div w:id="523448789">
      <w:bodyDiv w:val="1"/>
      <w:marLeft w:val="0"/>
      <w:marRight w:val="0"/>
      <w:marTop w:val="0"/>
      <w:marBottom w:val="0"/>
      <w:divBdr>
        <w:top w:val="none" w:sz="0" w:space="0" w:color="auto"/>
        <w:left w:val="none" w:sz="0" w:space="0" w:color="auto"/>
        <w:bottom w:val="none" w:sz="0" w:space="0" w:color="auto"/>
        <w:right w:val="none" w:sz="0" w:space="0" w:color="auto"/>
      </w:divBdr>
    </w:div>
    <w:div w:id="523589867">
      <w:bodyDiv w:val="1"/>
      <w:marLeft w:val="0"/>
      <w:marRight w:val="0"/>
      <w:marTop w:val="0"/>
      <w:marBottom w:val="0"/>
      <w:divBdr>
        <w:top w:val="none" w:sz="0" w:space="0" w:color="auto"/>
        <w:left w:val="none" w:sz="0" w:space="0" w:color="auto"/>
        <w:bottom w:val="none" w:sz="0" w:space="0" w:color="auto"/>
        <w:right w:val="none" w:sz="0" w:space="0" w:color="auto"/>
      </w:divBdr>
    </w:div>
    <w:div w:id="523635545">
      <w:bodyDiv w:val="1"/>
      <w:marLeft w:val="0"/>
      <w:marRight w:val="0"/>
      <w:marTop w:val="0"/>
      <w:marBottom w:val="0"/>
      <w:divBdr>
        <w:top w:val="none" w:sz="0" w:space="0" w:color="auto"/>
        <w:left w:val="none" w:sz="0" w:space="0" w:color="auto"/>
        <w:bottom w:val="none" w:sz="0" w:space="0" w:color="auto"/>
        <w:right w:val="none" w:sz="0" w:space="0" w:color="auto"/>
      </w:divBdr>
    </w:div>
    <w:div w:id="523639642">
      <w:bodyDiv w:val="1"/>
      <w:marLeft w:val="0"/>
      <w:marRight w:val="0"/>
      <w:marTop w:val="0"/>
      <w:marBottom w:val="0"/>
      <w:divBdr>
        <w:top w:val="none" w:sz="0" w:space="0" w:color="auto"/>
        <w:left w:val="none" w:sz="0" w:space="0" w:color="auto"/>
        <w:bottom w:val="none" w:sz="0" w:space="0" w:color="auto"/>
        <w:right w:val="none" w:sz="0" w:space="0" w:color="auto"/>
      </w:divBdr>
    </w:div>
    <w:div w:id="523716495">
      <w:bodyDiv w:val="1"/>
      <w:marLeft w:val="0"/>
      <w:marRight w:val="0"/>
      <w:marTop w:val="0"/>
      <w:marBottom w:val="0"/>
      <w:divBdr>
        <w:top w:val="none" w:sz="0" w:space="0" w:color="auto"/>
        <w:left w:val="none" w:sz="0" w:space="0" w:color="auto"/>
        <w:bottom w:val="none" w:sz="0" w:space="0" w:color="auto"/>
        <w:right w:val="none" w:sz="0" w:space="0" w:color="auto"/>
      </w:divBdr>
    </w:div>
    <w:div w:id="523833154">
      <w:bodyDiv w:val="1"/>
      <w:marLeft w:val="0"/>
      <w:marRight w:val="0"/>
      <w:marTop w:val="0"/>
      <w:marBottom w:val="0"/>
      <w:divBdr>
        <w:top w:val="none" w:sz="0" w:space="0" w:color="auto"/>
        <w:left w:val="none" w:sz="0" w:space="0" w:color="auto"/>
        <w:bottom w:val="none" w:sz="0" w:space="0" w:color="auto"/>
        <w:right w:val="none" w:sz="0" w:space="0" w:color="auto"/>
      </w:divBdr>
    </w:div>
    <w:div w:id="524097781">
      <w:bodyDiv w:val="1"/>
      <w:marLeft w:val="0"/>
      <w:marRight w:val="0"/>
      <w:marTop w:val="0"/>
      <w:marBottom w:val="0"/>
      <w:divBdr>
        <w:top w:val="none" w:sz="0" w:space="0" w:color="auto"/>
        <w:left w:val="none" w:sz="0" w:space="0" w:color="auto"/>
        <w:bottom w:val="none" w:sz="0" w:space="0" w:color="auto"/>
        <w:right w:val="none" w:sz="0" w:space="0" w:color="auto"/>
      </w:divBdr>
    </w:div>
    <w:div w:id="524245765">
      <w:bodyDiv w:val="1"/>
      <w:marLeft w:val="0"/>
      <w:marRight w:val="0"/>
      <w:marTop w:val="0"/>
      <w:marBottom w:val="0"/>
      <w:divBdr>
        <w:top w:val="none" w:sz="0" w:space="0" w:color="auto"/>
        <w:left w:val="none" w:sz="0" w:space="0" w:color="auto"/>
        <w:bottom w:val="none" w:sz="0" w:space="0" w:color="auto"/>
        <w:right w:val="none" w:sz="0" w:space="0" w:color="auto"/>
      </w:divBdr>
    </w:div>
    <w:div w:id="524246865">
      <w:bodyDiv w:val="1"/>
      <w:marLeft w:val="0"/>
      <w:marRight w:val="0"/>
      <w:marTop w:val="0"/>
      <w:marBottom w:val="0"/>
      <w:divBdr>
        <w:top w:val="none" w:sz="0" w:space="0" w:color="auto"/>
        <w:left w:val="none" w:sz="0" w:space="0" w:color="auto"/>
        <w:bottom w:val="none" w:sz="0" w:space="0" w:color="auto"/>
        <w:right w:val="none" w:sz="0" w:space="0" w:color="auto"/>
      </w:divBdr>
    </w:div>
    <w:div w:id="524291295">
      <w:bodyDiv w:val="1"/>
      <w:marLeft w:val="0"/>
      <w:marRight w:val="0"/>
      <w:marTop w:val="0"/>
      <w:marBottom w:val="0"/>
      <w:divBdr>
        <w:top w:val="none" w:sz="0" w:space="0" w:color="auto"/>
        <w:left w:val="none" w:sz="0" w:space="0" w:color="auto"/>
        <w:bottom w:val="none" w:sz="0" w:space="0" w:color="auto"/>
        <w:right w:val="none" w:sz="0" w:space="0" w:color="auto"/>
      </w:divBdr>
    </w:div>
    <w:div w:id="524296567">
      <w:bodyDiv w:val="1"/>
      <w:marLeft w:val="0"/>
      <w:marRight w:val="0"/>
      <w:marTop w:val="0"/>
      <w:marBottom w:val="0"/>
      <w:divBdr>
        <w:top w:val="none" w:sz="0" w:space="0" w:color="auto"/>
        <w:left w:val="none" w:sz="0" w:space="0" w:color="auto"/>
        <w:bottom w:val="none" w:sz="0" w:space="0" w:color="auto"/>
        <w:right w:val="none" w:sz="0" w:space="0" w:color="auto"/>
      </w:divBdr>
    </w:div>
    <w:div w:id="524485349">
      <w:bodyDiv w:val="1"/>
      <w:marLeft w:val="0"/>
      <w:marRight w:val="0"/>
      <w:marTop w:val="0"/>
      <w:marBottom w:val="0"/>
      <w:divBdr>
        <w:top w:val="none" w:sz="0" w:space="0" w:color="auto"/>
        <w:left w:val="none" w:sz="0" w:space="0" w:color="auto"/>
        <w:bottom w:val="none" w:sz="0" w:space="0" w:color="auto"/>
        <w:right w:val="none" w:sz="0" w:space="0" w:color="auto"/>
      </w:divBdr>
    </w:div>
    <w:div w:id="524487062">
      <w:bodyDiv w:val="1"/>
      <w:marLeft w:val="0"/>
      <w:marRight w:val="0"/>
      <w:marTop w:val="0"/>
      <w:marBottom w:val="0"/>
      <w:divBdr>
        <w:top w:val="none" w:sz="0" w:space="0" w:color="auto"/>
        <w:left w:val="none" w:sz="0" w:space="0" w:color="auto"/>
        <w:bottom w:val="none" w:sz="0" w:space="0" w:color="auto"/>
        <w:right w:val="none" w:sz="0" w:space="0" w:color="auto"/>
      </w:divBdr>
    </w:div>
    <w:div w:id="524708606">
      <w:bodyDiv w:val="1"/>
      <w:marLeft w:val="0"/>
      <w:marRight w:val="0"/>
      <w:marTop w:val="0"/>
      <w:marBottom w:val="0"/>
      <w:divBdr>
        <w:top w:val="none" w:sz="0" w:space="0" w:color="auto"/>
        <w:left w:val="none" w:sz="0" w:space="0" w:color="auto"/>
        <w:bottom w:val="none" w:sz="0" w:space="0" w:color="auto"/>
        <w:right w:val="none" w:sz="0" w:space="0" w:color="auto"/>
      </w:divBdr>
    </w:div>
    <w:div w:id="524710618">
      <w:bodyDiv w:val="1"/>
      <w:marLeft w:val="0"/>
      <w:marRight w:val="0"/>
      <w:marTop w:val="0"/>
      <w:marBottom w:val="0"/>
      <w:divBdr>
        <w:top w:val="none" w:sz="0" w:space="0" w:color="auto"/>
        <w:left w:val="none" w:sz="0" w:space="0" w:color="auto"/>
        <w:bottom w:val="none" w:sz="0" w:space="0" w:color="auto"/>
        <w:right w:val="none" w:sz="0" w:space="0" w:color="auto"/>
      </w:divBdr>
    </w:div>
    <w:div w:id="524758633">
      <w:bodyDiv w:val="1"/>
      <w:marLeft w:val="0"/>
      <w:marRight w:val="0"/>
      <w:marTop w:val="0"/>
      <w:marBottom w:val="0"/>
      <w:divBdr>
        <w:top w:val="none" w:sz="0" w:space="0" w:color="auto"/>
        <w:left w:val="none" w:sz="0" w:space="0" w:color="auto"/>
        <w:bottom w:val="none" w:sz="0" w:space="0" w:color="auto"/>
        <w:right w:val="none" w:sz="0" w:space="0" w:color="auto"/>
      </w:divBdr>
    </w:div>
    <w:div w:id="524906237">
      <w:bodyDiv w:val="1"/>
      <w:marLeft w:val="0"/>
      <w:marRight w:val="0"/>
      <w:marTop w:val="0"/>
      <w:marBottom w:val="0"/>
      <w:divBdr>
        <w:top w:val="none" w:sz="0" w:space="0" w:color="auto"/>
        <w:left w:val="none" w:sz="0" w:space="0" w:color="auto"/>
        <w:bottom w:val="none" w:sz="0" w:space="0" w:color="auto"/>
        <w:right w:val="none" w:sz="0" w:space="0" w:color="auto"/>
      </w:divBdr>
    </w:div>
    <w:div w:id="524952491">
      <w:bodyDiv w:val="1"/>
      <w:marLeft w:val="0"/>
      <w:marRight w:val="0"/>
      <w:marTop w:val="0"/>
      <w:marBottom w:val="0"/>
      <w:divBdr>
        <w:top w:val="none" w:sz="0" w:space="0" w:color="auto"/>
        <w:left w:val="none" w:sz="0" w:space="0" w:color="auto"/>
        <w:bottom w:val="none" w:sz="0" w:space="0" w:color="auto"/>
        <w:right w:val="none" w:sz="0" w:space="0" w:color="auto"/>
      </w:divBdr>
    </w:div>
    <w:div w:id="525095299">
      <w:bodyDiv w:val="1"/>
      <w:marLeft w:val="0"/>
      <w:marRight w:val="0"/>
      <w:marTop w:val="0"/>
      <w:marBottom w:val="0"/>
      <w:divBdr>
        <w:top w:val="none" w:sz="0" w:space="0" w:color="auto"/>
        <w:left w:val="none" w:sz="0" w:space="0" w:color="auto"/>
        <w:bottom w:val="none" w:sz="0" w:space="0" w:color="auto"/>
        <w:right w:val="none" w:sz="0" w:space="0" w:color="auto"/>
      </w:divBdr>
    </w:div>
    <w:div w:id="525214243">
      <w:bodyDiv w:val="1"/>
      <w:marLeft w:val="0"/>
      <w:marRight w:val="0"/>
      <w:marTop w:val="0"/>
      <w:marBottom w:val="0"/>
      <w:divBdr>
        <w:top w:val="none" w:sz="0" w:space="0" w:color="auto"/>
        <w:left w:val="none" w:sz="0" w:space="0" w:color="auto"/>
        <w:bottom w:val="none" w:sz="0" w:space="0" w:color="auto"/>
        <w:right w:val="none" w:sz="0" w:space="0" w:color="auto"/>
      </w:divBdr>
    </w:div>
    <w:div w:id="525295622">
      <w:bodyDiv w:val="1"/>
      <w:marLeft w:val="0"/>
      <w:marRight w:val="0"/>
      <w:marTop w:val="0"/>
      <w:marBottom w:val="0"/>
      <w:divBdr>
        <w:top w:val="none" w:sz="0" w:space="0" w:color="auto"/>
        <w:left w:val="none" w:sz="0" w:space="0" w:color="auto"/>
        <w:bottom w:val="none" w:sz="0" w:space="0" w:color="auto"/>
        <w:right w:val="none" w:sz="0" w:space="0" w:color="auto"/>
      </w:divBdr>
    </w:div>
    <w:div w:id="525337287">
      <w:bodyDiv w:val="1"/>
      <w:marLeft w:val="0"/>
      <w:marRight w:val="0"/>
      <w:marTop w:val="0"/>
      <w:marBottom w:val="0"/>
      <w:divBdr>
        <w:top w:val="none" w:sz="0" w:space="0" w:color="auto"/>
        <w:left w:val="none" w:sz="0" w:space="0" w:color="auto"/>
        <w:bottom w:val="none" w:sz="0" w:space="0" w:color="auto"/>
        <w:right w:val="none" w:sz="0" w:space="0" w:color="auto"/>
      </w:divBdr>
    </w:div>
    <w:div w:id="525362473">
      <w:bodyDiv w:val="1"/>
      <w:marLeft w:val="0"/>
      <w:marRight w:val="0"/>
      <w:marTop w:val="0"/>
      <w:marBottom w:val="0"/>
      <w:divBdr>
        <w:top w:val="none" w:sz="0" w:space="0" w:color="auto"/>
        <w:left w:val="none" w:sz="0" w:space="0" w:color="auto"/>
        <w:bottom w:val="none" w:sz="0" w:space="0" w:color="auto"/>
        <w:right w:val="none" w:sz="0" w:space="0" w:color="auto"/>
      </w:divBdr>
    </w:div>
    <w:div w:id="525365715">
      <w:bodyDiv w:val="1"/>
      <w:marLeft w:val="0"/>
      <w:marRight w:val="0"/>
      <w:marTop w:val="0"/>
      <w:marBottom w:val="0"/>
      <w:divBdr>
        <w:top w:val="none" w:sz="0" w:space="0" w:color="auto"/>
        <w:left w:val="none" w:sz="0" w:space="0" w:color="auto"/>
        <w:bottom w:val="none" w:sz="0" w:space="0" w:color="auto"/>
        <w:right w:val="none" w:sz="0" w:space="0" w:color="auto"/>
      </w:divBdr>
    </w:div>
    <w:div w:id="525408605">
      <w:bodyDiv w:val="1"/>
      <w:marLeft w:val="0"/>
      <w:marRight w:val="0"/>
      <w:marTop w:val="0"/>
      <w:marBottom w:val="0"/>
      <w:divBdr>
        <w:top w:val="none" w:sz="0" w:space="0" w:color="auto"/>
        <w:left w:val="none" w:sz="0" w:space="0" w:color="auto"/>
        <w:bottom w:val="none" w:sz="0" w:space="0" w:color="auto"/>
        <w:right w:val="none" w:sz="0" w:space="0" w:color="auto"/>
      </w:divBdr>
    </w:div>
    <w:div w:id="525482049">
      <w:bodyDiv w:val="1"/>
      <w:marLeft w:val="0"/>
      <w:marRight w:val="0"/>
      <w:marTop w:val="0"/>
      <w:marBottom w:val="0"/>
      <w:divBdr>
        <w:top w:val="none" w:sz="0" w:space="0" w:color="auto"/>
        <w:left w:val="none" w:sz="0" w:space="0" w:color="auto"/>
        <w:bottom w:val="none" w:sz="0" w:space="0" w:color="auto"/>
        <w:right w:val="none" w:sz="0" w:space="0" w:color="auto"/>
      </w:divBdr>
    </w:div>
    <w:div w:id="525560005">
      <w:bodyDiv w:val="1"/>
      <w:marLeft w:val="0"/>
      <w:marRight w:val="0"/>
      <w:marTop w:val="0"/>
      <w:marBottom w:val="0"/>
      <w:divBdr>
        <w:top w:val="none" w:sz="0" w:space="0" w:color="auto"/>
        <w:left w:val="none" w:sz="0" w:space="0" w:color="auto"/>
        <w:bottom w:val="none" w:sz="0" w:space="0" w:color="auto"/>
        <w:right w:val="none" w:sz="0" w:space="0" w:color="auto"/>
      </w:divBdr>
    </w:div>
    <w:div w:id="525631217">
      <w:bodyDiv w:val="1"/>
      <w:marLeft w:val="0"/>
      <w:marRight w:val="0"/>
      <w:marTop w:val="0"/>
      <w:marBottom w:val="0"/>
      <w:divBdr>
        <w:top w:val="none" w:sz="0" w:space="0" w:color="auto"/>
        <w:left w:val="none" w:sz="0" w:space="0" w:color="auto"/>
        <w:bottom w:val="none" w:sz="0" w:space="0" w:color="auto"/>
        <w:right w:val="none" w:sz="0" w:space="0" w:color="auto"/>
      </w:divBdr>
    </w:div>
    <w:div w:id="525749958">
      <w:bodyDiv w:val="1"/>
      <w:marLeft w:val="0"/>
      <w:marRight w:val="0"/>
      <w:marTop w:val="0"/>
      <w:marBottom w:val="0"/>
      <w:divBdr>
        <w:top w:val="none" w:sz="0" w:space="0" w:color="auto"/>
        <w:left w:val="none" w:sz="0" w:space="0" w:color="auto"/>
        <w:bottom w:val="none" w:sz="0" w:space="0" w:color="auto"/>
        <w:right w:val="none" w:sz="0" w:space="0" w:color="auto"/>
      </w:divBdr>
    </w:div>
    <w:div w:id="525825361">
      <w:bodyDiv w:val="1"/>
      <w:marLeft w:val="0"/>
      <w:marRight w:val="0"/>
      <w:marTop w:val="0"/>
      <w:marBottom w:val="0"/>
      <w:divBdr>
        <w:top w:val="none" w:sz="0" w:space="0" w:color="auto"/>
        <w:left w:val="none" w:sz="0" w:space="0" w:color="auto"/>
        <w:bottom w:val="none" w:sz="0" w:space="0" w:color="auto"/>
        <w:right w:val="none" w:sz="0" w:space="0" w:color="auto"/>
      </w:divBdr>
    </w:div>
    <w:div w:id="525875301">
      <w:bodyDiv w:val="1"/>
      <w:marLeft w:val="0"/>
      <w:marRight w:val="0"/>
      <w:marTop w:val="0"/>
      <w:marBottom w:val="0"/>
      <w:divBdr>
        <w:top w:val="none" w:sz="0" w:space="0" w:color="auto"/>
        <w:left w:val="none" w:sz="0" w:space="0" w:color="auto"/>
        <w:bottom w:val="none" w:sz="0" w:space="0" w:color="auto"/>
        <w:right w:val="none" w:sz="0" w:space="0" w:color="auto"/>
      </w:divBdr>
    </w:div>
    <w:div w:id="525945473">
      <w:bodyDiv w:val="1"/>
      <w:marLeft w:val="0"/>
      <w:marRight w:val="0"/>
      <w:marTop w:val="0"/>
      <w:marBottom w:val="0"/>
      <w:divBdr>
        <w:top w:val="none" w:sz="0" w:space="0" w:color="auto"/>
        <w:left w:val="none" w:sz="0" w:space="0" w:color="auto"/>
        <w:bottom w:val="none" w:sz="0" w:space="0" w:color="auto"/>
        <w:right w:val="none" w:sz="0" w:space="0" w:color="auto"/>
      </w:divBdr>
    </w:div>
    <w:div w:id="525994231">
      <w:bodyDiv w:val="1"/>
      <w:marLeft w:val="0"/>
      <w:marRight w:val="0"/>
      <w:marTop w:val="0"/>
      <w:marBottom w:val="0"/>
      <w:divBdr>
        <w:top w:val="none" w:sz="0" w:space="0" w:color="auto"/>
        <w:left w:val="none" w:sz="0" w:space="0" w:color="auto"/>
        <w:bottom w:val="none" w:sz="0" w:space="0" w:color="auto"/>
        <w:right w:val="none" w:sz="0" w:space="0" w:color="auto"/>
      </w:divBdr>
    </w:div>
    <w:div w:id="526135850">
      <w:bodyDiv w:val="1"/>
      <w:marLeft w:val="0"/>
      <w:marRight w:val="0"/>
      <w:marTop w:val="0"/>
      <w:marBottom w:val="0"/>
      <w:divBdr>
        <w:top w:val="none" w:sz="0" w:space="0" w:color="auto"/>
        <w:left w:val="none" w:sz="0" w:space="0" w:color="auto"/>
        <w:bottom w:val="none" w:sz="0" w:space="0" w:color="auto"/>
        <w:right w:val="none" w:sz="0" w:space="0" w:color="auto"/>
      </w:divBdr>
    </w:div>
    <w:div w:id="526136102">
      <w:bodyDiv w:val="1"/>
      <w:marLeft w:val="0"/>
      <w:marRight w:val="0"/>
      <w:marTop w:val="0"/>
      <w:marBottom w:val="0"/>
      <w:divBdr>
        <w:top w:val="none" w:sz="0" w:space="0" w:color="auto"/>
        <w:left w:val="none" w:sz="0" w:space="0" w:color="auto"/>
        <w:bottom w:val="none" w:sz="0" w:space="0" w:color="auto"/>
        <w:right w:val="none" w:sz="0" w:space="0" w:color="auto"/>
      </w:divBdr>
    </w:div>
    <w:div w:id="526254205">
      <w:bodyDiv w:val="1"/>
      <w:marLeft w:val="0"/>
      <w:marRight w:val="0"/>
      <w:marTop w:val="0"/>
      <w:marBottom w:val="0"/>
      <w:divBdr>
        <w:top w:val="none" w:sz="0" w:space="0" w:color="auto"/>
        <w:left w:val="none" w:sz="0" w:space="0" w:color="auto"/>
        <w:bottom w:val="none" w:sz="0" w:space="0" w:color="auto"/>
        <w:right w:val="none" w:sz="0" w:space="0" w:color="auto"/>
      </w:divBdr>
    </w:div>
    <w:div w:id="526257171">
      <w:bodyDiv w:val="1"/>
      <w:marLeft w:val="0"/>
      <w:marRight w:val="0"/>
      <w:marTop w:val="0"/>
      <w:marBottom w:val="0"/>
      <w:divBdr>
        <w:top w:val="none" w:sz="0" w:space="0" w:color="auto"/>
        <w:left w:val="none" w:sz="0" w:space="0" w:color="auto"/>
        <w:bottom w:val="none" w:sz="0" w:space="0" w:color="auto"/>
        <w:right w:val="none" w:sz="0" w:space="0" w:color="auto"/>
      </w:divBdr>
    </w:div>
    <w:div w:id="526286341">
      <w:bodyDiv w:val="1"/>
      <w:marLeft w:val="0"/>
      <w:marRight w:val="0"/>
      <w:marTop w:val="0"/>
      <w:marBottom w:val="0"/>
      <w:divBdr>
        <w:top w:val="none" w:sz="0" w:space="0" w:color="auto"/>
        <w:left w:val="none" w:sz="0" w:space="0" w:color="auto"/>
        <w:bottom w:val="none" w:sz="0" w:space="0" w:color="auto"/>
        <w:right w:val="none" w:sz="0" w:space="0" w:color="auto"/>
      </w:divBdr>
    </w:div>
    <w:div w:id="526286819">
      <w:bodyDiv w:val="1"/>
      <w:marLeft w:val="0"/>
      <w:marRight w:val="0"/>
      <w:marTop w:val="0"/>
      <w:marBottom w:val="0"/>
      <w:divBdr>
        <w:top w:val="none" w:sz="0" w:space="0" w:color="auto"/>
        <w:left w:val="none" w:sz="0" w:space="0" w:color="auto"/>
        <w:bottom w:val="none" w:sz="0" w:space="0" w:color="auto"/>
        <w:right w:val="none" w:sz="0" w:space="0" w:color="auto"/>
      </w:divBdr>
    </w:div>
    <w:div w:id="526336098">
      <w:bodyDiv w:val="1"/>
      <w:marLeft w:val="0"/>
      <w:marRight w:val="0"/>
      <w:marTop w:val="0"/>
      <w:marBottom w:val="0"/>
      <w:divBdr>
        <w:top w:val="none" w:sz="0" w:space="0" w:color="auto"/>
        <w:left w:val="none" w:sz="0" w:space="0" w:color="auto"/>
        <w:bottom w:val="none" w:sz="0" w:space="0" w:color="auto"/>
        <w:right w:val="none" w:sz="0" w:space="0" w:color="auto"/>
      </w:divBdr>
    </w:div>
    <w:div w:id="526410791">
      <w:bodyDiv w:val="1"/>
      <w:marLeft w:val="0"/>
      <w:marRight w:val="0"/>
      <w:marTop w:val="0"/>
      <w:marBottom w:val="0"/>
      <w:divBdr>
        <w:top w:val="none" w:sz="0" w:space="0" w:color="auto"/>
        <w:left w:val="none" w:sz="0" w:space="0" w:color="auto"/>
        <w:bottom w:val="none" w:sz="0" w:space="0" w:color="auto"/>
        <w:right w:val="none" w:sz="0" w:space="0" w:color="auto"/>
      </w:divBdr>
    </w:div>
    <w:div w:id="526451400">
      <w:bodyDiv w:val="1"/>
      <w:marLeft w:val="0"/>
      <w:marRight w:val="0"/>
      <w:marTop w:val="0"/>
      <w:marBottom w:val="0"/>
      <w:divBdr>
        <w:top w:val="none" w:sz="0" w:space="0" w:color="auto"/>
        <w:left w:val="none" w:sz="0" w:space="0" w:color="auto"/>
        <w:bottom w:val="none" w:sz="0" w:space="0" w:color="auto"/>
        <w:right w:val="none" w:sz="0" w:space="0" w:color="auto"/>
      </w:divBdr>
    </w:div>
    <w:div w:id="526597708">
      <w:bodyDiv w:val="1"/>
      <w:marLeft w:val="0"/>
      <w:marRight w:val="0"/>
      <w:marTop w:val="0"/>
      <w:marBottom w:val="0"/>
      <w:divBdr>
        <w:top w:val="none" w:sz="0" w:space="0" w:color="auto"/>
        <w:left w:val="none" w:sz="0" w:space="0" w:color="auto"/>
        <w:bottom w:val="none" w:sz="0" w:space="0" w:color="auto"/>
        <w:right w:val="none" w:sz="0" w:space="0" w:color="auto"/>
      </w:divBdr>
    </w:div>
    <w:div w:id="526606950">
      <w:bodyDiv w:val="1"/>
      <w:marLeft w:val="0"/>
      <w:marRight w:val="0"/>
      <w:marTop w:val="0"/>
      <w:marBottom w:val="0"/>
      <w:divBdr>
        <w:top w:val="none" w:sz="0" w:space="0" w:color="auto"/>
        <w:left w:val="none" w:sz="0" w:space="0" w:color="auto"/>
        <w:bottom w:val="none" w:sz="0" w:space="0" w:color="auto"/>
        <w:right w:val="none" w:sz="0" w:space="0" w:color="auto"/>
      </w:divBdr>
    </w:div>
    <w:div w:id="526648199">
      <w:bodyDiv w:val="1"/>
      <w:marLeft w:val="0"/>
      <w:marRight w:val="0"/>
      <w:marTop w:val="0"/>
      <w:marBottom w:val="0"/>
      <w:divBdr>
        <w:top w:val="none" w:sz="0" w:space="0" w:color="auto"/>
        <w:left w:val="none" w:sz="0" w:space="0" w:color="auto"/>
        <w:bottom w:val="none" w:sz="0" w:space="0" w:color="auto"/>
        <w:right w:val="none" w:sz="0" w:space="0" w:color="auto"/>
      </w:divBdr>
    </w:div>
    <w:div w:id="526648284">
      <w:bodyDiv w:val="1"/>
      <w:marLeft w:val="0"/>
      <w:marRight w:val="0"/>
      <w:marTop w:val="0"/>
      <w:marBottom w:val="0"/>
      <w:divBdr>
        <w:top w:val="none" w:sz="0" w:space="0" w:color="auto"/>
        <w:left w:val="none" w:sz="0" w:space="0" w:color="auto"/>
        <w:bottom w:val="none" w:sz="0" w:space="0" w:color="auto"/>
        <w:right w:val="none" w:sz="0" w:space="0" w:color="auto"/>
      </w:divBdr>
    </w:div>
    <w:div w:id="526675287">
      <w:bodyDiv w:val="1"/>
      <w:marLeft w:val="0"/>
      <w:marRight w:val="0"/>
      <w:marTop w:val="0"/>
      <w:marBottom w:val="0"/>
      <w:divBdr>
        <w:top w:val="none" w:sz="0" w:space="0" w:color="auto"/>
        <w:left w:val="none" w:sz="0" w:space="0" w:color="auto"/>
        <w:bottom w:val="none" w:sz="0" w:space="0" w:color="auto"/>
        <w:right w:val="none" w:sz="0" w:space="0" w:color="auto"/>
      </w:divBdr>
    </w:div>
    <w:div w:id="526720712">
      <w:bodyDiv w:val="1"/>
      <w:marLeft w:val="0"/>
      <w:marRight w:val="0"/>
      <w:marTop w:val="0"/>
      <w:marBottom w:val="0"/>
      <w:divBdr>
        <w:top w:val="none" w:sz="0" w:space="0" w:color="auto"/>
        <w:left w:val="none" w:sz="0" w:space="0" w:color="auto"/>
        <w:bottom w:val="none" w:sz="0" w:space="0" w:color="auto"/>
        <w:right w:val="none" w:sz="0" w:space="0" w:color="auto"/>
      </w:divBdr>
    </w:div>
    <w:div w:id="526791279">
      <w:bodyDiv w:val="1"/>
      <w:marLeft w:val="0"/>
      <w:marRight w:val="0"/>
      <w:marTop w:val="0"/>
      <w:marBottom w:val="0"/>
      <w:divBdr>
        <w:top w:val="none" w:sz="0" w:space="0" w:color="auto"/>
        <w:left w:val="none" w:sz="0" w:space="0" w:color="auto"/>
        <w:bottom w:val="none" w:sz="0" w:space="0" w:color="auto"/>
        <w:right w:val="none" w:sz="0" w:space="0" w:color="auto"/>
      </w:divBdr>
    </w:div>
    <w:div w:id="526911395">
      <w:bodyDiv w:val="1"/>
      <w:marLeft w:val="0"/>
      <w:marRight w:val="0"/>
      <w:marTop w:val="0"/>
      <w:marBottom w:val="0"/>
      <w:divBdr>
        <w:top w:val="none" w:sz="0" w:space="0" w:color="auto"/>
        <w:left w:val="none" w:sz="0" w:space="0" w:color="auto"/>
        <w:bottom w:val="none" w:sz="0" w:space="0" w:color="auto"/>
        <w:right w:val="none" w:sz="0" w:space="0" w:color="auto"/>
      </w:divBdr>
    </w:div>
    <w:div w:id="527184511">
      <w:bodyDiv w:val="1"/>
      <w:marLeft w:val="0"/>
      <w:marRight w:val="0"/>
      <w:marTop w:val="0"/>
      <w:marBottom w:val="0"/>
      <w:divBdr>
        <w:top w:val="none" w:sz="0" w:space="0" w:color="auto"/>
        <w:left w:val="none" w:sz="0" w:space="0" w:color="auto"/>
        <w:bottom w:val="none" w:sz="0" w:space="0" w:color="auto"/>
        <w:right w:val="none" w:sz="0" w:space="0" w:color="auto"/>
      </w:divBdr>
    </w:div>
    <w:div w:id="527329812">
      <w:bodyDiv w:val="1"/>
      <w:marLeft w:val="0"/>
      <w:marRight w:val="0"/>
      <w:marTop w:val="0"/>
      <w:marBottom w:val="0"/>
      <w:divBdr>
        <w:top w:val="none" w:sz="0" w:space="0" w:color="auto"/>
        <w:left w:val="none" w:sz="0" w:space="0" w:color="auto"/>
        <w:bottom w:val="none" w:sz="0" w:space="0" w:color="auto"/>
        <w:right w:val="none" w:sz="0" w:space="0" w:color="auto"/>
      </w:divBdr>
    </w:div>
    <w:div w:id="527334705">
      <w:bodyDiv w:val="1"/>
      <w:marLeft w:val="0"/>
      <w:marRight w:val="0"/>
      <w:marTop w:val="0"/>
      <w:marBottom w:val="0"/>
      <w:divBdr>
        <w:top w:val="none" w:sz="0" w:space="0" w:color="auto"/>
        <w:left w:val="none" w:sz="0" w:space="0" w:color="auto"/>
        <w:bottom w:val="none" w:sz="0" w:space="0" w:color="auto"/>
        <w:right w:val="none" w:sz="0" w:space="0" w:color="auto"/>
      </w:divBdr>
    </w:div>
    <w:div w:id="527522668">
      <w:bodyDiv w:val="1"/>
      <w:marLeft w:val="0"/>
      <w:marRight w:val="0"/>
      <w:marTop w:val="0"/>
      <w:marBottom w:val="0"/>
      <w:divBdr>
        <w:top w:val="none" w:sz="0" w:space="0" w:color="auto"/>
        <w:left w:val="none" w:sz="0" w:space="0" w:color="auto"/>
        <w:bottom w:val="none" w:sz="0" w:space="0" w:color="auto"/>
        <w:right w:val="none" w:sz="0" w:space="0" w:color="auto"/>
      </w:divBdr>
    </w:div>
    <w:div w:id="527524683">
      <w:bodyDiv w:val="1"/>
      <w:marLeft w:val="0"/>
      <w:marRight w:val="0"/>
      <w:marTop w:val="0"/>
      <w:marBottom w:val="0"/>
      <w:divBdr>
        <w:top w:val="none" w:sz="0" w:space="0" w:color="auto"/>
        <w:left w:val="none" w:sz="0" w:space="0" w:color="auto"/>
        <w:bottom w:val="none" w:sz="0" w:space="0" w:color="auto"/>
        <w:right w:val="none" w:sz="0" w:space="0" w:color="auto"/>
      </w:divBdr>
    </w:div>
    <w:div w:id="527528351">
      <w:bodyDiv w:val="1"/>
      <w:marLeft w:val="0"/>
      <w:marRight w:val="0"/>
      <w:marTop w:val="0"/>
      <w:marBottom w:val="0"/>
      <w:divBdr>
        <w:top w:val="none" w:sz="0" w:space="0" w:color="auto"/>
        <w:left w:val="none" w:sz="0" w:space="0" w:color="auto"/>
        <w:bottom w:val="none" w:sz="0" w:space="0" w:color="auto"/>
        <w:right w:val="none" w:sz="0" w:space="0" w:color="auto"/>
      </w:divBdr>
    </w:div>
    <w:div w:id="527529059">
      <w:bodyDiv w:val="1"/>
      <w:marLeft w:val="0"/>
      <w:marRight w:val="0"/>
      <w:marTop w:val="0"/>
      <w:marBottom w:val="0"/>
      <w:divBdr>
        <w:top w:val="none" w:sz="0" w:space="0" w:color="auto"/>
        <w:left w:val="none" w:sz="0" w:space="0" w:color="auto"/>
        <w:bottom w:val="none" w:sz="0" w:space="0" w:color="auto"/>
        <w:right w:val="none" w:sz="0" w:space="0" w:color="auto"/>
      </w:divBdr>
    </w:div>
    <w:div w:id="527597186">
      <w:bodyDiv w:val="1"/>
      <w:marLeft w:val="0"/>
      <w:marRight w:val="0"/>
      <w:marTop w:val="0"/>
      <w:marBottom w:val="0"/>
      <w:divBdr>
        <w:top w:val="none" w:sz="0" w:space="0" w:color="auto"/>
        <w:left w:val="none" w:sz="0" w:space="0" w:color="auto"/>
        <w:bottom w:val="none" w:sz="0" w:space="0" w:color="auto"/>
        <w:right w:val="none" w:sz="0" w:space="0" w:color="auto"/>
      </w:divBdr>
    </w:div>
    <w:div w:id="527724219">
      <w:bodyDiv w:val="1"/>
      <w:marLeft w:val="0"/>
      <w:marRight w:val="0"/>
      <w:marTop w:val="0"/>
      <w:marBottom w:val="0"/>
      <w:divBdr>
        <w:top w:val="none" w:sz="0" w:space="0" w:color="auto"/>
        <w:left w:val="none" w:sz="0" w:space="0" w:color="auto"/>
        <w:bottom w:val="none" w:sz="0" w:space="0" w:color="auto"/>
        <w:right w:val="none" w:sz="0" w:space="0" w:color="auto"/>
      </w:divBdr>
    </w:div>
    <w:div w:id="527791956">
      <w:bodyDiv w:val="1"/>
      <w:marLeft w:val="0"/>
      <w:marRight w:val="0"/>
      <w:marTop w:val="0"/>
      <w:marBottom w:val="0"/>
      <w:divBdr>
        <w:top w:val="none" w:sz="0" w:space="0" w:color="auto"/>
        <w:left w:val="none" w:sz="0" w:space="0" w:color="auto"/>
        <w:bottom w:val="none" w:sz="0" w:space="0" w:color="auto"/>
        <w:right w:val="none" w:sz="0" w:space="0" w:color="auto"/>
      </w:divBdr>
    </w:div>
    <w:div w:id="527792261">
      <w:bodyDiv w:val="1"/>
      <w:marLeft w:val="0"/>
      <w:marRight w:val="0"/>
      <w:marTop w:val="0"/>
      <w:marBottom w:val="0"/>
      <w:divBdr>
        <w:top w:val="none" w:sz="0" w:space="0" w:color="auto"/>
        <w:left w:val="none" w:sz="0" w:space="0" w:color="auto"/>
        <w:bottom w:val="none" w:sz="0" w:space="0" w:color="auto"/>
        <w:right w:val="none" w:sz="0" w:space="0" w:color="auto"/>
      </w:divBdr>
    </w:div>
    <w:div w:id="527841587">
      <w:bodyDiv w:val="1"/>
      <w:marLeft w:val="0"/>
      <w:marRight w:val="0"/>
      <w:marTop w:val="0"/>
      <w:marBottom w:val="0"/>
      <w:divBdr>
        <w:top w:val="none" w:sz="0" w:space="0" w:color="auto"/>
        <w:left w:val="none" w:sz="0" w:space="0" w:color="auto"/>
        <w:bottom w:val="none" w:sz="0" w:space="0" w:color="auto"/>
        <w:right w:val="none" w:sz="0" w:space="0" w:color="auto"/>
      </w:divBdr>
    </w:div>
    <w:div w:id="527916625">
      <w:bodyDiv w:val="1"/>
      <w:marLeft w:val="0"/>
      <w:marRight w:val="0"/>
      <w:marTop w:val="0"/>
      <w:marBottom w:val="0"/>
      <w:divBdr>
        <w:top w:val="none" w:sz="0" w:space="0" w:color="auto"/>
        <w:left w:val="none" w:sz="0" w:space="0" w:color="auto"/>
        <w:bottom w:val="none" w:sz="0" w:space="0" w:color="auto"/>
        <w:right w:val="none" w:sz="0" w:space="0" w:color="auto"/>
      </w:divBdr>
    </w:div>
    <w:div w:id="527988669">
      <w:bodyDiv w:val="1"/>
      <w:marLeft w:val="0"/>
      <w:marRight w:val="0"/>
      <w:marTop w:val="0"/>
      <w:marBottom w:val="0"/>
      <w:divBdr>
        <w:top w:val="none" w:sz="0" w:space="0" w:color="auto"/>
        <w:left w:val="none" w:sz="0" w:space="0" w:color="auto"/>
        <w:bottom w:val="none" w:sz="0" w:space="0" w:color="auto"/>
        <w:right w:val="none" w:sz="0" w:space="0" w:color="auto"/>
      </w:divBdr>
    </w:div>
    <w:div w:id="528026731">
      <w:bodyDiv w:val="1"/>
      <w:marLeft w:val="0"/>
      <w:marRight w:val="0"/>
      <w:marTop w:val="0"/>
      <w:marBottom w:val="0"/>
      <w:divBdr>
        <w:top w:val="none" w:sz="0" w:space="0" w:color="auto"/>
        <w:left w:val="none" w:sz="0" w:space="0" w:color="auto"/>
        <w:bottom w:val="none" w:sz="0" w:space="0" w:color="auto"/>
        <w:right w:val="none" w:sz="0" w:space="0" w:color="auto"/>
      </w:divBdr>
    </w:div>
    <w:div w:id="528030560">
      <w:bodyDiv w:val="1"/>
      <w:marLeft w:val="0"/>
      <w:marRight w:val="0"/>
      <w:marTop w:val="0"/>
      <w:marBottom w:val="0"/>
      <w:divBdr>
        <w:top w:val="none" w:sz="0" w:space="0" w:color="auto"/>
        <w:left w:val="none" w:sz="0" w:space="0" w:color="auto"/>
        <w:bottom w:val="none" w:sz="0" w:space="0" w:color="auto"/>
        <w:right w:val="none" w:sz="0" w:space="0" w:color="auto"/>
      </w:divBdr>
    </w:div>
    <w:div w:id="528109950">
      <w:bodyDiv w:val="1"/>
      <w:marLeft w:val="0"/>
      <w:marRight w:val="0"/>
      <w:marTop w:val="0"/>
      <w:marBottom w:val="0"/>
      <w:divBdr>
        <w:top w:val="none" w:sz="0" w:space="0" w:color="auto"/>
        <w:left w:val="none" w:sz="0" w:space="0" w:color="auto"/>
        <w:bottom w:val="none" w:sz="0" w:space="0" w:color="auto"/>
        <w:right w:val="none" w:sz="0" w:space="0" w:color="auto"/>
      </w:divBdr>
    </w:div>
    <w:div w:id="528222484">
      <w:bodyDiv w:val="1"/>
      <w:marLeft w:val="0"/>
      <w:marRight w:val="0"/>
      <w:marTop w:val="0"/>
      <w:marBottom w:val="0"/>
      <w:divBdr>
        <w:top w:val="none" w:sz="0" w:space="0" w:color="auto"/>
        <w:left w:val="none" w:sz="0" w:space="0" w:color="auto"/>
        <w:bottom w:val="none" w:sz="0" w:space="0" w:color="auto"/>
        <w:right w:val="none" w:sz="0" w:space="0" w:color="auto"/>
      </w:divBdr>
    </w:div>
    <w:div w:id="528226567">
      <w:bodyDiv w:val="1"/>
      <w:marLeft w:val="0"/>
      <w:marRight w:val="0"/>
      <w:marTop w:val="0"/>
      <w:marBottom w:val="0"/>
      <w:divBdr>
        <w:top w:val="none" w:sz="0" w:space="0" w:color="auto"/>
        <w:left w:val="none" w:sz="0" w:space="0" w:color="auto"/>
        <w:bottom w:val="none" w:sz="0" w:space="0" w:color="auto"/>
        <w:right w:val="none" w:sz="0" w:space="0" w:color="auto"/>
      </w:divBdr>
    </w:div>
    <w:div w:id="528227702">
      <w:bodyDiv w:val="1"/>
      <w:marLeft w:val="0"/>
      <w:marRight w:val="0"/>
      <w:marTop w:val="0"/>
      <w:marBottom w:val="0"/>
      <w:divBdr>
        <w:top w:val="none" w:sz="0" w:space="0" w:color="auto"/>
        <w:left w:val="none" w:sz="0" w:space="0" w:color="auto"/>
        <w:bottom w:val="none" w:sz="0" w:space="0" w:color="auto"/>
        <w:right w:val="none" w:sz="0" w:space="0" w:color="auto"/>
      </w:divBdr>
    </w:div>
    <w:div w:id="528301410">
      <w:bodyDiv w:val="1"/>
      <w:marLeft w:val="0"/>
      <w:marRight w:val="0"/>
      <w:marTop w:val="0"/>
      <w:marBottom w:val="0"/>
      <w:divBdr>
        <w:top w:val="none" w:sz="0" w:space="0" w:color="auto"/>
        <w:left w:val="none" w:sz="0" w:space="0" w:color="auto"/>
        <w:bottom w:val="none" w:sz="0" w:space="0" w:color="auto"/>
        <w:right w:val="none" w:sz="0" w:space="0" w:color="auto"/>
      </w:divBdr>
    </w:div>
    <w:div w:id="528302967">
      <w:bodyDiv w:val="1"/>
      <w:marLeft w:val="0"/>
      <w:marRight w:val="0"/>
      <w:marTop w:val="0"/>
      <w:marBottom w:val="0"/>
      <w:divBdr>
        <w:top w:val="none" w:sz="0" w:space="0" w:color="auto"/>
        <w:left w:val="none" w:sz="0" w:space="0" w:color="auto"/>
        <w:bottom w:val="none" w:sz="0" w:space="0" w:color="auto"/>
        <w:right w:val="none" w:sz="0" w:space="0" w:color="auto"/>
      </w:divBdr>
    </w:div>
    <w:div w:id="528374513">
      <w:bodyDiv w:val="1"/>
      <w:marLeft w:val="0"/>
      <w:marRight w:val="0"/>
      <w:marTop w:val="0"/>
      <w:marBottom w:val="0"/>
      <w:divBdr>
        <w:top w:val="none" w:sz="0" w:space="0" w:color="auto"/>
        <w:left w:val="none" w:sz="0" w:space="0" w:color="auto"/>
        <w:bottom w:val="none" w:sz="0" w:space="0" w:color="auto"/>
        <w:right w:val="none" w:sz="0" w:space="0" w:color="auto"/>
      </w:divBdr>
    </w:div>
    <w:div w:id="528563340">
      <w:bodyDiv w:val="1"/>
      <w:marLeft w:val="0"/>
      <w:marRight w:val="0"/>
      <w:marTop w:val="0"/>
      <w:marBottom w:val="0"/>
      <w:divBdr>
        <w:top w:val="none" w:sz="0" w:space="0" w:color="auto"/>
        <w:left w:val="none" w:sz="0" w:space="0" w:color="auto"/>
        <w:bottom w:val="none" w:sz="0" w:space="0" w:color="auto"/>
        <w:right w:val="none" w:sz="0" w:space="0" w:color="auto"/>
      </w:divBdr>
    </w:div>
    <w:div w:id="528564325">
      <w:bodyDiv w:val="1"/>
      <w:marLeft w:val="0"/>
      <w:marRight w:val="0"/>
      <w:marTop w:val="0"/>
      <w:marBottom w:val="0"/>
      <w:divBdr>
        <w:top w:val="none" w:sz="0" w:space="0" w:color="auto"/>
        <w:left w:val="none" w:sz="0" w:space="0" w:color="auto"/>
        <w:bottom w:val="none" w:sz="0" w:space="0" w:color="auto"/>
        <w:right w:val="none" w:sz="0" w:space="0" w:color="auto"/>
      </w:divBdr>
    </w:div>
    <w:div w:id="528762779">
      <w:bodyDiv w:val="1"/>
      <w:marLeft w:val="0"/>
      <w:marRight w:val="0"/>
      <w:marTop w:val="0"/>
      <w:marBottom w:val="0"/>
      <w:divBdr>
        <w:top w:val="none" w:sz="0" w:space="0" w:color="auto"/>
        <w:left w:val="none" w:sz="0" w:space="0" w:color="auto"/>
        <w:bottom w:val="none" w:sz="0" w:space="0" w:color="auto"/>
        <w:right w:val="none" w:sz="0" w:space="0" w:color="auto"/>
      </w:divBdr>
    </w:div>
    <w:div w:id="528764865">
      <w:bodyDiv w:val="1"/>
      <w:marLeft w:val="0"/>
      <w:marRight w:val="0"/>
      <w:marTop w:val="0"/>
      <w:marBottom w:val="0"/>
      <w:divBdr>
        <w:top w:val="none" w:sz="0" w:space="0" w:color="auto"/>
        <w:left w:val="none" w:sz="0" w:space="0" w:color="auto"/>
        <w:bottom w:val="none" w:sz="0" w:space="0" w:color="auto"/>
        <w:right w:val="none" w:sz="0" w:space="0" w:color="auto"/>
      </w:divBdr>
    </w:div>
    <w:div w:id="528875777">
      <w:bodyDiv w:val="1"/>
      <w:marLeft w:val="0"/>
      <w:marRight w:val="0"/>
      <w:marTop w:val="0"/>
      <w:marBottom w:val="0"/>
      <w:divBdr>
        <w:top w:val="none" w:sz="0" w:space="0" w:color="auto"/>
        <w:left w:val="none" w:sz="0" w:space="0" w:color="auto"/>
        <w:bottom w:val="none" w:sz="0" w:space="0" w:color="auto"/>
        <w:right w:val="none" w:sz="0" w:space="0" w:color="auto"/>
      </w:divBdr>
    </w:div>
    <w:div w:id="528882540">
      <w:bodyDiv w:val="1"/>
      <w:marLeft w:val="0"/>
      <w:marRight w:val="0"/>
      <w:marTop w:val="0"/>
      <w:marBottom w:val="0"/>
      <w:divBdr>
        <w:top w:val="none" w:sz="0" w:space="0" w:color="auto"/>
        <w:left w:val="none" w:sz="0" w:space="0" w:color="auto"/>
        <w:bottom w:val="none" w:sz="0" w:space="0" w:color="auto"/>
        <w:right w:val="none" w:sz="0" w:space="0" w:color="auto"/>
      </w:divBdr>
    </w:div>
    <w:div w:id="528883134">
      <w:bodyDiv w:val="1"/>
      <w:marLeft w:val="0"/>
      <w:marRight w:val="0"/>
      <w:marTop w:val="0"/>
      <w:marBottom w:val="0"/>
      <w:divBdr>
        <w:top w:val="none" w:sz="0" w:space="0" w:color="auto"/>
        <w:left w:val="none" w:sz="0" w:space="0" w:color="auto"/>
        <w:bottom w:val="none" w:sz="0" w:space="0" w:color="auto"/>
        <w:right w:val="none" w:sz="0" w:space="0" w:color="auto"/>
      </w:divBdr>
    </w:div>
    <w:div w:id="528951170">
      <w:bodyDiv w:val="1"/>
      <w:marLeft w:val="0"/>
      <w:marRight w:val="0"/>
      <w:marTop w:val="0"/>
      <w:marBottom w:val="0"/>
      <w:divBdr>
        <w:top w:val="none" w:sz="0" w:space="0" w:color="auto"/>
        <w:left w:val="none" w:sz="0" w:space="0" w:color="auto"/>
        <w:bottom w:val="none" w:sz="0" w:space="0" w:color="auto"/>
        <w:right w:val="none" w:sz="0" w:space="0" w:color="auto"/>
      </w:divBdr>
    </w:div>
    <w:div w:id="528954350">
      <w:bodyDiv w:val="1"/>
      <w:marLeft w:val="0"/>
      <w:marRight w:val="0"/>
      <w:marTop w:val="0"/>
      <w:marBottom w:val="0"/>
      <w:divBdr>
        <w:top w:val="none" w:sz="0" w:space="0" w:color="auto"/>
        <w:left w:val="none" w:sz="0" w:space="0" w:color="auto"/>
        <w:bottom w:val="none" w:sz="0" w:space="0" w:color="auto"/>
        <w:right w:val="none" w:sz="0" w:space="0" w:color="auto"/>
      </w:divBdr>
    </w:div>
    <w:div w:id="528954592">
      <w:bodyDiv w:val="1"/>
      <w:marLeft w:val="0"/>
      <w:marRight w:val="0"/>
      <w:marTop w:val="0"/>
      <w:marBottom w:val="0"/>
      <w:divBdr>
        <w:top w:val="none" w:sz="0" w:space="0" w:color="auto"/>
        <w:left w:val="none" w:sz="0" w:space="0" w:color="auto"/>
        <w:bottom w:val="none" w:sz="0" w:space="0" w:color="auto"/>
        <w:right w:val="none" w:sz="0" w:space="0" w:color="auto"/>
      </w:divBdr>
    </w:div>
    <w:div w:id="528955961">
      <w:bodyDiv w:val="1"/>
      <w:marLeft w:val="0"/>
      <w:marRight w:val="0"/>
      <w:marTop w:val="0"/>
      <w:marBottom w:val="0"/>
      <w:divBdr>
        <w:top w:val="none" w:sz="0" w:space="0" w:color="auto"/>
        <w:left w:val="none" w:sz="0" w:space="0" w:color="auto"/>
        <w:bottom w:val="none" w:sz="0" w:space="0" w:color="auto"/>
        <w:right w:val="none" w:sz="0" w:space="0" w:color="auto"/>
      </w:divBdr>
    </w:div>
    <w:div w:id="528957753">
      <w:bodyDiv w:val="1"/>
      <w:marLeft w:val="0"/>
      <w:marRight w:val="0"/>
      <w:marTop w:val="0"/>
      <w:marBottom w:val="0"/>
      <w:divBdr>
        <w:top w:val="none" w:sz="0" w:space="0" w:color="auto"/>
        <w:left w:val="none" w:sz="0" w:space="0" w:color="auto"/>
        <w:bottom w:val="none" w:sz="0" w:space="0" w:color="auto"/>
        <w:right w:val="none" w:sz="0" w:space="0" w:color="auto"/>
      </w:divBdr>
    </w:div>
    <w:div w:id="529033619">
      <w:bodyDiv w:val="1"/>
      <w:marLeft w:val="0"/>
      <w:marRight w:val="0"/>
      <w:marTop w:val="0"/>
      <w:marBottom w:val="0"/>
      <w:divBdr>
        <w:top w:val="none" w:sz="0" w:space="0" w:color="auto"/>
        <w:left w:val="none" w:sz="0" w:space="0" w:color="auto"/>
        <w:bottom w:val="none" w:sz="0" w:space="0" w:color="auto"/>
        <w:right w:val="none" w:sz="0" w:space="0" w:color="auto"/>
      </w:divBdr>
    </w:div>
    <w:div w:id="529076199">
      <w:bodyDiv w:val="1"/>
      <w:marLeft w:val="0"/>
      <w:marRight w:val="0"/>
      <w:marTop w:val="0"/>
      <w:marBottom w:val="0"/>
      <w:divBdr>
        <w:top w:val="none" w:sz="0" w:space="0" w:color="auto"/>
        <w:left w:val="none" w:sz="0" w:space="0" w:color="auto"/>
        <w:bottom w:val="none" w:sz="0" w:space="0" w:color="auto"/>
        <w:right w:val="none" w:sz="0" w:space="0" w:color="auto"/>
      </w:divBdr>
    </w:div>
    <w:div w:id="529143942">
      <w:bodyDiv w:val="1"/>
      <w:marLeft w:val="0"/>
      <w:marRight w:val="0"/>
      <w:marTop w:val="0"/>
      <w:marBottom w:val="0"/>
      <w:divBdr>
        <w:top w:val="none" w:sz="0" w:space="0" w:color="auto"/>
        <w:left w:val="none" w:sz="0" w:space="0" w:color="auto"/>
        <w:bottom w:val="none" w:sz="0" w:space="0" w:color="auto"/>
        <w:right w:val="none" w:sz="0" w:space="0" w:color="auto"/>
      </w:divBdr>
    </w:div>
    <w:div w:id="529294533">
      <w:bodyDiv w:val="1"/>
      <w:marLeft w:val="0"/>
      <w:marRight w:val="0"/>
      <w:marTop w:val="0"/>
      <w:marBottom w:val="0"/>
      <w:divBdr>
        <w:top w:val="none" w:sz="0" w:space="0" w:color="auto"/>
        <w:left w:val="none" w:sz="0" w:space="0" w:color="auto"/>
        <w:bottom w:val="none" w:sz="0" w:space="0" w:color="auto"/>
        <w:right w:val="none" w:sz="0" w:space="0" w:color="auto"/>
      </w:divBdr>
    </w:div>
    <w:div w:id="529343479">
      <w:bodyDiv w:val="1"/>
      <w:marLeft w:val="0"/>
      <w:marRight w:val="0"/>
      <w:marTop w:val="0"/>
      <w:marBottom w:val="0"/>
      <w:divBdr>
        <w:top w:val="none" w:sz="0" w:space="0" w:color="auto"/>
        <w:left w:val="none" w:sz="0" w:space="0" w:color="auto"/>
        <w:bottom w:val="none" w:sz="0" w:space="0" w:color="auto"/>
        <w:right w:val="none" w:sz="0" w:space="0" w:color="auto"/>
      </w:divBdr>
    </w:div>
    <w:div w:id="529412653">
      <w:bodyDiv w:val="1"/>
      <w:marLeft w:val="0"/>
      <w:marRight w:val="0"/>
      <w:marTop w:val="0"/>
      <w:marBottom w:val="0"/>
      <w:divBdr>
        <w:top w:val="none" w:sz="0" w:space="0" w:color="auto"/>
        <w:left w:val="none" w:sz="0" w:space="0" w:color="auto"/>
        <w:bottom w:val="none" w:sz="0" w:space="0" w:color="auto"/>
        <w:right w:val="none" w:sz="0" w:space="0" w:color="auto"/>
      </w:divBdr>
    </w:div>
    <w:div w:id="529413733">
      <w:bodyDiv w:val="1"/>
      <w:marLeft w:val="0"/>
      <w:marRight w:val="0"/>
      <w:marTop w:val="0"/>
      <w:marBottom w:val="0"/>
      <w:divBdr>
        <w:top w:val="none" w:sz="0" w:space="0" w:color="auto"/>
        <w:left w:val="none" w:sz="0" w:space="0" w:color="auto"/>
        <w:bottom w:val="none" w:sz="0" w:space="0" w:color="auto"/>
        <w:right w:val="none" w:sz="0" w:space="0" w:color="auto"/>
      </w:divBdr>
    </w:div>
    <w:div w:id="529496509">
      <w:bodyDiv w:val="1"/>
      <w:marLeft w:val="0"/>
      <w:marRight w:val="0"/>
      <w:marTop w:val="0"/>
      <w:marBottom w:val="0"/>
      <w:divBdr>
        <w:top w:val="none" w:sz="0" w:space="0" w:color="auto"/>
        <w:left w:val="none" w:sz="0" w:space="0" w:color="auto"/>
        <w:bottom w:val="none" w:sz="0" w:space="0" w:color="auto"/>
        <w:right w:val="none" w:sz="0" w:space="0" w:color="auto"/>
      </w:divBdr>
    </w:div>
    <w:div w:id="529539522">
      <w:bodyDiv w:val="1"/>
      <w:marLeft w:val="0"/>
      <w:marRight w:val="0"/>
      <w:marTop w:val="0"/>
      <w:marBottom w:val="0"/>
      <w:divBdr>
        <w:top w:val="none" w:sz="0" w:space="0" w:color="auto"/>
        <w:left w:val="none" w:sz="0" w:space="0" w:color="auto"/>
        <w:bottom w:val="none" w:sz="0" w:space="0" w:color="auto"/>
        <w:right w:val="none" w:sz="0" w:space="0" w:color="auto"/>
      </w:divBdr>
    </w:div>
    <w:div w:id="529682724">
      <w:bodyDiv w:val="1"/>
      <w:marLeft w:val="0"/>
      <w:marRight w:val="0"/>
      <w:marTop w:val="0"/>
      <w:marBottom w:val="0"/>
      <w:divBdr>
        <w:top w:val="none" w:sz="0" w:space="0" w:color="auto"/>
        <w:left w:val="none" w:sz="0" w:space="0" w:color="auto"/>
        <w:bottom w:val="none" w:sz="0" w:space="0" w:color="auto"/>
        <w:right w:val="none" w:sz="0" w:space="0" w:color="auto"/>
      </w:divBdr>
    </w:div>
    <w:div w:id="529686000">
      <w:bodyDiv w:val="1"/>
      <w:marLeft w:val="0"/>
      <w:marRight w:val="0"/>
      <w:marTop w:val="0"/>
      <w:marBottom w:val="0"/>
      <w:divBdr>
        <w:top w:val="none" w:sz="0" w:space="0" w:color="auto"/>
        <w:left w:val="none" w:sz="0" w:space="0" w:color="auto"/>
        <w:bottom w:val="none" w:sz="0" w:space="0" w:color="auto"/>
        <w:right w:val="none" w:sz="0" w:space="0" w:color="auto"/>
      </w:divBdr>
    </w:div>
    <w:div w:id="529689458">
      <w:bodyDiv w:val="1"/>
      <w:marLeft w:val="0"/>
      <w:marRight w:val="0"/>
      <w:marTop w:val="0"/>
      <w:marBottom w:val="0"/>
      <w:divBdr>
        <w:top w:val="none" w:sz="0" w:space="0" w:color="auto"/>
        <w:left w:val="none" w:sz="0" w:space="0" w:color="auto"/>
        <w:bottom w:val="none" w:sz="0" w:space="0" w:color="auto"/>
        <w:right w:val="none" w:sz="0" w:space="0" w:color="auto"/>
      </w:divBdr>
    </w:div>
    <w:div w:id="529729586">
      <w:bodyDiv w:val="1"/>
      <w:marLeft w:val="0"/>
      <w:marRight w:val="0"/>
      <w:marTop w:val="0"/>
      <w:marBottom w:val="0"/>
      <w:divBdr>
        <w:top w:val="none" w:sz="0" w:space="0" w:color="auto"/>
        <w:left w:val="none" w:sz="0" w:space="0" w:color="auto"/>
        <w:bottom w:val="none" w:sz="0" w:space="0" w:color="auto"/>
        <w:right w:val="none" w:sz="0" w:space="0" w:color="auto"/>
      </w:divBdr>
    </w:div>
    <w:div w:id="529804000">
      <w:bodyDiv w:val="1"/>
      <w:marLeft w:val="0"/>
      <w:marRight w:val="0"/>
      <w:marTop w:val="0"/>
      <w:marBottom w:val="0"/>
      <w:divBdr>
        <w:top w:val="none" w:sz="0" w:space="0" w:color="auto"/>
        <w:left w:val="none" w:sz="0" w:space="0" w:color="auto"/>
        <w:bottom w:val="none" w:sz="0" w:space="0" w:color="auto"/>
        <w:right w:val="none" w:sz="0" w:space="0" w:color="auto"/>
      </w:divBdr>
    </w:div>
    <w:div w:id="529806795">
      <w:bodyDiv w:val="1"/>
      <w:marLeft w:val="0"/>
      <w:marRight w:val="0"/>
      <w:marTop w:val="0"/>
      <w:marBottom w:val="0"/>
      <w:divBdr>
        <w:top w:val="none" w:sz="0" w:space="0" w:color="auto"/>
        <w:left w:val="none" w:sz="0" w:space="0" w:color="auto"/>
        <w:bottom w:val="none" w:sz="0" w:space="0" w:color="auto"/>
        <w:right w:val="none" w:sz="0" w:space="0" w:color="auto"/>
      </w:divBdr>
    </w:div>
    <w:div w:id="529952422">
      <w:bodyDiv w:val="1"/>
      <w:marLeft w:val="0"/>
      <w:marRight w:val="0"/>
      <w:marTop w:val="0"/>
      <w:marBottom w:val="0"/>
      <w:divBdr>
        <w:top w:val="none" w:sz="0" w:space="0" w:color="auto"/>
        <w:left w:val="none" w:sz="0" w:space="0" w:color="auto"/>
        <w:bottom w:val="none" w:sz="0" w:space="0" w:color="auto"/>
        <w:right w:val="none" w:sz="0" w:space="0" w:color="auto"/>
      </w:divBdr>
    </w:div>
    <w:div w:id="529952746">
      <w:bodyDiv w:val="1"/>
      <w:marLeft w:val="0"/>
      <w:marRight w:val="0"/>
      <w:marTop w:val="0"/>
      <w:marBottom w:val="0"/>
      <w:divBdr>
        <w:top w:val="none" w:sz="0" w:space="0" w:color="auto"/>
        <w:left w:val="none" w:sz="0" w:space="0" w:color="auto"/>
        <w:bottom w:val="none" w:sz="0" w:space="0" w:color="auto"/>
        <w:right w:val="none" w:sz="0" w:space="0" w:color="auto"/>
      </w:divBdr>
    </w:div>
    <w:div w:id="529954174">
      <w:bodyDiv w:val="1"/>
      <w:marLeft w:val="0"/>
      <w:marRight w:val="0"/>
      <w:marTop w:val="0"/>
      <w:marBottom w:val="0"/>
      <w:divBdr>
        <w:top w:val="none" w:sz="0" w:space="0" w:color="auto"/>
        <w:left w:val="none" w:sz="0" w:space="0" w:color="auto"/>
        <w:bottom w:val="none" w:sz="0" w:space="0" w:color="auto"/>
        <w:right w:val="none" w:sz="0" w:space="0" w:color="auto"/>
      </w:divBdr>
    </w:div>
    <w:div w:id="530001565">
      <w:bodyDiv w:val="1"/>
      <w:marLeft w:val="0"/>
      <w:marRight w:val="0"/>
      <w:marTop w:val="0"/>
      <w:marBottom w:val="0"/>
      <w:divBdr>
        <w:top w:val="none" w:sz="0" w:space="0" w:color="auto"/>
        <w:left w:val="none" w:sz="0" w:space="0" w:color="auto"/>
        <w:bottom w:val="none" w:sz="0" w:space="0" w:color="auto"/>
        <w:right w:val="none" w:sz="0" w:space="0" w:color="auto"/>
      </w:divBdr>
    </w:div>
    <w:div w:id="530069429">
      <w:bodyDiv w:val="1"/>
      <w:marLeft w:val="0"/>
      <w:marRight w:val="0"/>
      <w:marTop w:val="0"/>
      <w:marBottom w:val="0"/>
      <w:divBdr>
        <w:top w:val="none" w:sz="0" w:space="0" w:color="auto"/>
        <w:left w:val="none" w:sz="0" w:space="0" w:color="auto"/>
        <w:bottom w:val="none" w:sz="0" w:space="0" w:color="auto"/>
        <w:right w:val="none" w:sz="0" w:space="0" w:color="auto"/>
      </w:divBdr>
    </w:div>
    <w:div w:id="530191561">
      <w:bodyDiv w:val="1"/>
      <w:marLeft w:val="0"/>
      <w:marRight w:val="0"/>
      <w:marTop w:val="0"/>
      <w:marBottom w:val="0"/>
      <w:divBdr>
        <w:top w:val="none" w:sz="0" w:space="0" w:color="auto"/>
        <w:left w:val="none" w:sz="0" w:space="0" w:color="auto"/>
        <w:bottom w:val="none" w:sz="0" w:space="0" w:color="auto"/>
        <w:right w:val="none" w:sz="0" w:space="0" w:color="auto"/>
      </w:divBdr>
    </w:div>
    <w:div w:id="530345266">
      <w:bodyDiv w:val="1"/>
      <w:marLeft w:val="0"/>
      <w:marRight w:val="0"/>
      <w:marTop w:val="0"/>
      <w:marBottom w:val="0"/>
      <w:divBdr>
        <w:top w:val="none" w:sz="0" w:space="0" w:color="auto"/>
        <w:left w:val="none" w:sz="0" w:space="0" w:color="auto"/>
        <w:bottom w:val="none" w:sz="0" w:space="0" w:color="auto"/>
        <w:right w:val="none" w:sz="0" w:space="0" w:color="auto"/>
      </w:divBdr>
    </w:div>
    <w:div w:id="530386630">
      <w:bodyDiv w:val="1"/>
      <w:marLeft w:val="0"/>
      <w:marRight w:val="0"/>
      <w:marTop w:val="0"/>
      <w:marBottom w:val="0"/>
      <w:divBdr>
        <w:top w:val="none" w:sz="0" w:space="0" w:color="auto"/>
        <w:left w:val="none" w:sz="0" w:space="0" w:color="auto"/>
        <w:bottom w:val="none" w:sz="0" w:space="0" w:color="auto"/>
        <w:right w:val="none" w:sz="0" w:space="0" w:color="auto"/>
      </w:divBdr>
    </w:div>
    <w:div w:id="530455289">
      <w:bodyDiv w:val="1"/>
      <w:marLeft w:val="0"/>
      <w:marRight w:val="0"/>
      <w:marTop w:val="0"/>
      <w:marBottom w:val="0"/>
      <w:divBdr>
        <w:top w:val="none" w:sz="0" w:space="0" w:color="auto"/>
        <w:left w:val="none" w:sz="0" w:space="0" w:color="auto"/>
        <w:bottom w:val="none" w:sz="0" w:space="0" w:color="auto"/>
        <w:right w:val="none" w:sz="0" w:space="0" w:color="auto"/>
      </w:divBdr>
    </w:div>
    <w:div w:id="530462452">
      <w:bodyDiv w:val="1"/>
      <w:marLeft w:val="0"/>
      <w:marRight w:val="0"/>
      <w:marTop w:val="0"/>
      <w:marBottom w:val="0"/>
      <w:divBdr>
        <w:top w:val="none" w:sz="0" w:space="0" w:color="auto"/>
        <w:left w:val="none" w:sz="0" w:space="0" w:color="auto"/>
        <w:bottom w:val="none" w:sz="0" w:space="0" w:color="auto"/>
        <w:right w:val="none" w:sz="0" w:space="0" w:color="auto"/>
      </w:divBdr>
    </w:div>
    <w:div w:id="530656022">
      <w:bodyDiv w:val="1"/>
      <w:marLeft w:val="0"/>
      <w:marRight w:val="0"/>
      <w:marTop w:val="0"/>
      <w:marBottom w:val="0"/>
      <w:divBdr>
        <w:top w:val="none" w:sz="0" w:space="0" w:color="auto"/>
        <w:left w:val="none" w:sz="0" w:space="0" w:color="auto"/>
        <w:bottom w:val="none" w:sz="0" w:space="0" w:color="auto"/>
        <w:right w:val="none" w:sz="0" w:space="0" w:color="auto"/>
      </w:divBdr>
    </w:div>
    <w:div w:id="530799895">
      <w:bodyDiv w:val="1"/>
      <w:marLeft w:val="0"/>
      <w:marRight w:val="0"/>
      <w:marTop w:val="0"/>
      <w:marBottom w:val="0"/>
      <w:divBdr>
        <w:top w:val="none" w:sz="0" w:space="0" w:color="auto"/>
        <w:left w:val="none" w:sz="0" w:space="0" w:color="auto"/>
        <w:bottom w:val="none" w:sz="0" w:space="0" w:color="auto"/>
        <w:right w:val="none" w:sz="0" w:space="0" w:color="auto"/>
      </w:divBdr>
    </w:div>
    <w:div w:id="530805217">
      <w:bodyDiv w:val="1"/>
      <w:marLeft w:val="0"/>
      <w:marRight w:val="0"/>
      <w:marTop w:val="0"/>
      <w:marBottom w:val="0"/>
      <w:divBdr>
        <w:top w:val="none" w:sz="0" w:space="0" w:color="auto"/>
        <w:left w:val="none" w:sz="0" w:space="0" w:color="auto"/>
        <w:bottom w:val="none" w:sz="0" w:space="0" w:color="auto"/>
        <w:right w:val="none" w:sz="0" w:space="0" w:color="auto"/>
      </w:divBdr>
    </w:div>
    <w:div w:id="530806294">
      <w:bodyDiv w:val="1"/>
      <w:marLeft w:val="0"/>
      <w:marRight w:val="0"/>
      <w:marTop w:val="0"/>
      <w:marBottom w:val="0"/>
      <w:divBdr>
        <w:top w:val="none" w:sz="0" w:space="0" w:color="auto"/>
        <w:left w:val="none" w:sz="0" w:space="0" w:color="auto"/>
        <w:bottom w:val="none" w:sz="0" w:space="0" w:color="auto"/>
        <w:right w:val="none" w:sz="0" w:space="0" w:color="auto"/>
      </w:divBdr>
    </w:div>
    <w:div w:id="530918492">
      <w:bodyDiv w:val="1"/>
      <w:marLeft w:val="0"/>
      <w:marRight w:val="0"/>
      <w:marTop w:val="0"/>
      <w:marBottom w:val="0"/>
      <w:divBdr>
        <w:top w:val="none" w:sz="0" w:space="0" w:color="auto"/>
        <w:left w:val="none" w:sz="0" w:space="0" w:color="auto"/>
        <w:bottom w:val="none" w:sz="0" w:space="0" w:color="auto"/>
        <w:right w:val="none" w:sz="0" w:space="0" w:color="auto"/>
      </w:divBdr>
    </w:div>
    <w:div w:id="530923349">
      <w:bodyDiv w:val="1"/>
      <w:marLeft w:val="0"/>
      <w:marRight w:val="0"/>
      <w:marTop w:val="0"/>
      <w:marBottom w:val="0"/>
      <w:divBdr>
        <w:top w:val="none" w:sz="0" w:space="0" w:color="auto"/>
        <w:left w:val="none" w:sz="0" w:space="0" w:color="auto"/>
        <w:bottom w:val="none" w:sz="0" w:space="0" w:color="auto"/>
        <w:right w:val="none" w:sz="0" w:space="0" w:color="auto"/>
      </w:divBdr>
    </w:div>
    <w:div w:id="530923780">
      <w:bodyDiv w:val="1"/>
      <w:marLeft w:val="0"/>
      <w:marRight w:val="0"/>
      <w:marTop w:val="0"/>
      <w:marBottom w:val="0"/>
      <w:divBdr>
        <w:top w:val="none" w:sz="0" w:space="0" w:color="auto"/>
        <w:left w:val="none" w:sz="0" w:space="0" w:color="auto"/>
        <w:bottom w:val="none" w:sz="0" w:space="0" w:color="auto"/>
        <w:right w:val="none" w:sz="0" w:space="0" w:color="auto"/>
      </w:divBdr>
    </w:div>
    <w:div w:id="531118132">
      <w:bodyDiv w:val="1"/>
      <w:marLeft w:val="0"/>
      <w:marRight w:val="0"/>
      <w:marTop w:val="0"/>
      <w:marBottom w:val="0"/>
      <w:divBdr>
        <w:top w:val="none" w:sz="0" w:space="0" w:color="auto"/>
        <w:left w:val="none" w:sz="0" w:space="0" w:color="auto"/>
        <w:bottom w:val="none" w:sz="0" w:space="0" w:color="auto"/>
        <w:right w:val="none" w:sz="0" w:space="0" w:color="auto"/>
      </w:divBdr>
    </w:div>
    <w:div w:id="531303242">
      <w:bodyDiv w:val="1"/>
      <w:marLeft w:val="0"/>
      <w:marRight w:val="0"/>
      <w:marTop w:val="0"/>
      <w:marBottom w:val="0"/>
      <w:divBdr>
        <w:top w:val="none" w:sz="0" w:space="0" w:color="auto"/>
        <w:left w:val="none" w:sz="0" w:space="0" w:color="auto"/>
        <w:bottom w:val="none" w:sz="0" w:space="0" w:color="auto"/>
        <w:right w:val="none" w:sz="0" w:space="0" w:color="auto"/>
      </w:divBdr>
    </w:div>
    <w:div w:id="531306065">
      <w:bodyDiv w:val="1"/>
      <w:marLeft w:val="0"/>
      <w:marRight w:val="0"/>
      <w:marTop w:val="0"/>
      <w:marBottom w:val="0"/>
      <w:divBdr>
        <w:top w:val="none" w:sz="0" w:space="0" w:color="auto"/>
        <w:left w:val="none" w:sz="0" w:space="0" w:color="auto"/>
        <w:bottom w:val="none" w:sz="0" w:space="0" w:color="auto"/>
        <w:right w:val="none" w:sz="0" w:space="0" w:color="auto"/>
      </w:divBdr>
    </w:div>
    <w:div w:id="531499294">
      <w:bodyDiv w:val="1"/>
      <w:marLeft w:val="0"/>
      <w:marRight w:val="0"/>
      <w:marTop w:val="0"/>
      <w:marBottom w:val="0"/>
      <w:divBdr>
        <w:top w:val="none" w:sz="0" w:space="0" w:color="auto"/>
        <w:left w:val="none" w:sz="0" w:space="0" w:color="auto"/>
        <w:bottom w:val="none" w:sz="0" w:space="0" w:color="auto"/>
        <w:right w:val="none" w:sz="0" w:space="0" w:color="auto"/>
      </w:divBdr>
    </w:div>
    <w:div w:id="531500044">
      <w:bodyDiv w:val="1"/>
      <w:marLeft w:val="0"/>
      <w:marRight w:val="0"/>
      <w:marTop w:val="0"/>
      <w:marBottom w:val="0"/>
      <w:divBdr>
        <w:top w:val="none" w:sz="0" w:space="0" w:color="auto"/>
        <w:left w:val="none" w:sz="0" w:space="0" w:color="auto"/>
        <w:bottom w:val="none" w:sz="0" w:space="0" w:color="auto"/>
        <w:right w:val="none" w:sz="0" w:space="0" w:color="auto"/>
      </w:divBdr>
    </w:div>
    <w:div w:id="531529269">
      <w:bodyDiv w:val="1"/>
      <w:marLeft w:val="0"/>
      <w:marRight w:val="0"/>
      <w:marTop w:val="0"/>
      <w:marBottom w:val="0"/>
      <w:divBdr>
        <w:top w:val="none" w:sz="0" w:space="0" w:color="auto"/>
        <w:left w:val="none" w:sz="0" w:space="0" w:color="auto"/>
        <w:bottom w:val="none" w:sz="0" w:space="0" w:color="auto"/>
        <w:right w:val="none" w:sz="0" w:space="0" w:color="auto"/>
      </w:divBdr>
    </w:div>
    <w:div w:id="531575962">
      <w:bodyDiv w:val="1"/>
      <w:marLeft w:val="0"/>
      <w:marRight w:val="0"/>
      <w:marTop w:val="0"/>
      <w:marBottom w:val="0"/>
      <w:divBdr>
        <w:top w:val="none" w:sz="0" w:space="0" w:color="auto"/>
        <w:left w:val="none" w:sz="0" w:space="0" w:color="auto"/>
        <w:bottom w:val="none" w:sz="0" w:space="0" w:color="auto"/>
        <w:right w:val="none" w:sz="0" w:space="0" w:color="auto"/>
      </w:divBdr>
    </w:div>
    <w:div w:id="531652744">
      <w:bodyDiv w:val="1"/>
      <w:marLeft w:val="0"/>
      <w:marRight w:val="0"/>
      <w:marTop w:val="0"/>
      <w:marBottom w:val="0"/>
      <w:divBdr>
        <w:top w:val="none" w:sz="0" w:space="0" w:color="auto"/>
        <w:left w:val="none" w:sz="0" w:space="0" w:color="auto"/>
        <w:bottom w:val="none" w:sz="0" w:space="0" w:color="auto"/>
        <w:right w:val="none" w:sz="0" w:space="0" w:color="auto"/>
      </w:divBdr>
    </w:div>
    <w:div w:id="531766649">
      <w:bodyDiv w:val="1"/>
      <w:marLeft w:val="0"/>
      <w:marRight w:val="0"/>
      <w:marTop w:val="0"/>
      <w:marBottom w:val="0"/>
      <w:divBdr>
        <w:top w:val="none" w:sz="0" w:space="0" w:color="auto"/>
        <w:left w:val="none" w:sz="0" w:space="0" w:color="auto"/>
        <w:bottom w:val="none" w:sz="0" w:space="0" w:color="auto"/>
        <w:right w:val="none" w:sz="0" w:space="0" w:color="auto"/>
      </w:divBdr>
    </w:div>
    <w:div w:id="532037565">
      <w:bodyDiv w:val="1"/>
      <w:marLeft w:val="0"/>
      <w:marRight w:val="0"/>
      <w:marTop w:val="0"/>
      <w:marBottom w:val="0"/>
      <w:divBdr>
        <w:top w:val="none" w:sz="0" w:space="0" w:color="auto"/>
        <w:left w:val="none" w:sz="0" w:space="0" w:color="auto"/>
        <w:bottom w:val="none" w:sz="0" w:space="0" w:color="auto"/>
        <w:right w:val="none" w:sz="0" w:space="0" w:color="auto"/>
      </w:divBdr>
    </w:div>
    <w:div w:id="532233963">
      <w:bodyDiv w:val="1"/>
      <w:marLeft w:val="0"/>
      <w:marRight w:val="0"/>
      <w:marTop w:val="0"/>
      <w:marBottom w:val="0"/>
      <w:divBdr>
        <w:top w:val="none" w:sz="0" w:space="0" w:color="auto"/>
        <w:left w:val="none" w:sz="0" w:space="0" w:color="auto"/>
        <w:bottom w:val="none" w:sz="0" w:space="0" w:color="auto"/>
        <w:right w:val="none" w:sz="0" w:space="0" w:color="auto"/>
      </w:divBdr>
    </w:div>
    <w:div w:id="532304780">
      <w:bodyDiv w:val="1"/>
      <w:marLeft w:val="0"/>
      <w:marRight w:val="0"/>
      <w:marTop w:val="0"/>
      <w:marBottom w:val="0"/>
      <w:divBdr>
        <w:top w:val="none" w:sz="0" w:space="0" w:color="auto"/>
        <w:left w:val="none" w:sz="0" w:space="0" w:color="auto"/>
        <w:bottom w:val="none" w:sz="0" w:space="0" w:color="auto"/>
        <w:right w:val="none" w:sz="0" w:space="0" w:color="auto"/>
      </w:divBdr>
    </w:div>
    <w:div w:id="532305613">
      <w:bodyDiv w:val="1"/>
      <w:marLeft w:val="0"/>
      <w:marRight w:val="0"/>
      <w:marTop w:val="0"/>
      <w:marBottom w:val="0"/>
      <w:divBdr>
        <w:top w:val="none" w:sz="0" w:space="0" w:color="auto"/>
        <w:left w:val="none" w:sz="0" w:space="0" w:color="auto"/>
        <w:bottom w:val="none" w:sz="0" w:space="0" w:color="auto"/>
        <w:right w:val="none" w:sz="0" w:space="0" w:color="auto"/>
      </w:divBdr>
    </w:div>
    <w:div w:id="532349091">
      <w:bodyDiv w:val="1"/>
      <w:marLeft w:val="0"/>
      <w:marRight w:val="0"/>
      <w:marTop w:val="0"/>
      <w:marBottom w:val="0"/>
      <w:divBdr>
        <w:top w:val="none" w:sz="0" w:space="0" w:color="auto"/>
        <w:left w:val="none" w:sz="0" w:space="0" w:color="auto"/>
        <w:bottom w:val="none" w:sz="0" w:space="0" w:color="auto"/>
        <w:right w:val="none" w:sz="0" w:space="0" w:color="auto"/>
      </w:divBdr>
    </w:div>
    <w:div w:id="532350585">
      <w:bodyDiv w:val="1"/>
      <w:marLeft w:val="0"/>
      <w:marRight w:val="0"/>
      <w:marTop w:val="0"/>
      <w:marBottom w:val="0"/>
      <w:divBdr>
        <w:top w:val="none" w:sz="0" w:space="0" w:color="auto"/>
        <w:left w:val="none" w:sz="0" w:space="0" w:color="auto"/>
        <w:bottom w:val="none" w:sz="0" w:space="0" w:color="auto"/>
        <w:right w:val="none" w:sz="0" w:space="0" w:color="auto"/>
      </w:divBdr>
    </w:div>
    <w:div w:id="532427392">
      <w:bodyDiv w:val="1"/>
      <w:marLeft w:val="0"/>
      <w:marRight w:val="0"/>
      <w:marTop w:val="0"/>
      <w:marBottom w:val="0"/>
      <w:divBdr>
        <w:top w:val="none" w:sz="0" w:space="0" w:color="auto"/>
        <w:left w:val="none" w:sz="0" w:space="0" w:color="auto"/>
        <w:bottom w:val="none" w:sz="0" w:space="0" w:color="auto"/>
        <w:right w:val="none" w:sz="0" w:space="0" w:color="auto"/>
      </w:divBdr>
    </w:div>
    <w:div w:id="532571092">
      <w:bodyDiv w:val="1"/>
      <w:marLeft w:val="0"/>
      <w:marRight w:val="0"/>
      <w:marTop w:val="0"/>
      <w:marBottom w:val="0"/>
      <w:divBdr>
        <w:top w:val="none" w:sz="0" w:space="0" w:color="auto"/>
        <w:left w:val="none" w:sz="0" w:space="0" w:color="auto"/>
        <w:bottom w:val="none" w:sz="0" w:space="0" w:color="auto"/>
        <w:right w:val="none" w:sz="0" w:space="0" w:color="auto"/>
      </w:divBdr>
    </w:div>
    <w:div w:id="532573308">
      <w:bodyDiv w:val="1"/>
      <w:marLeft w:val="0"/>
      <w:marRight w:val="0"/>
      <w:marTop w:val="0"/>
      <w:marBottom w:val="0"/>
      <w:divBdr>
        <w:top w:val="none" w:sz="0" w:space="0" w:color="auto"/>
        <w:left w:val="none" w:sz="0" w:space="0" w:color="auto"/>
        <w:bottom w:val="none" w:sz="0" w:space="0" w:color="auto"/>
        <w:right w:val="none" w:sz="0" w:space="0" w:color="auto"/>
      </w:divBdr>
    </w:div>
    <w:div w:id="532619070">
      <w:bodyDiv w:val="1"/>
      <w:marLeft w:val="0"/>
      <w:marRight w:val="0"/>
      <w:marTop w:val="0"/>
      <w:marBottom w:val="0"/>
      <w:divBdr>
        <w:top w:val="none" w:sz="0" w:space="0" w:color="auto"/>
        <w:left w:val="none" w:sz="0" w:space="0" w:color="auto"/>
        <w:bottom w:val="none" w:sz="0" w:space="0" w:color="auto"/>
        <w:right w:val="none" w:sz="0" w:space="0" w:color="auto"/>
      </w:divBdr>
    </w:div>
    <w:div w:id="532694278">
      <w:bodyDiv w:val="1"/>
      <w:marLeft w:val="0"/>
      <w:marRight w:val="0"/>
      <w:marTop w:val="0"/>
      <w:marBottom w:val="0"/>
      <w:divBdr>
        <w:top w:val="none" w:sz="0" w:space="0" w:color="auto"/>
        <w:left w:val="none" w:sz="0" w:space="0" w:color="auto"/>
        <w:bottom w:val="none" w:sz="0" w:space="0" w:color="auto"/>
        <w:right w:val="none" w:sz="0" w:space="0" w:color="auto"/>
      </w:divBdr>
    </w:div>
    <w:div w:id="532807963">
      <w:bodyDiv w:val="1"/>
      <w:marLeft w:val="0"/>
      <w:marRight w:val="0"/>
      <w:marTop w:val="0"/>
      <w:marBottom w:val="0"/>
      <w:divBdr>
        <w:top w:val="none" w:sz="0" w:space="0" w:color="auto"/>
        <w:left w:val="none" w:sz="0" w:space="0" w:color="auto"/>
        <w:bottom w:val="none" w:sz="0" w:space="0" w:color="auto"/>
        <w:right w:val="none" w:sz="0" w:space="0" w:color="auto"/>
      </w:divBdr>
    </w:div>
    <w:div w:id="532810745">
      <w:bodyDiv w:val="1"/>
      <w:marLeft w:val="0"/>
      <w:marRight w:val="0"/>
      <w:marTop w:val="0"/>
      <w:marBottom w:val="0"/>
      <w:divBdr>
        <w:top w:val="none" w:sz="0" w:space="0" w:color="auto"/>
        <w:left w:val="none" w:sz="0" w:space="0" w:color="auto"/>
        <w:bottom w:val="none" w:sz="0" w:space="0" w:color="auto"/>
        <w:right w:val="none" w:sz="0" w:space="0" w:color="auto"/>
      </w:divBdr>
    </w:div>
    <w:div w:id="532812729">
      <w:bodyDiv w:val="1"/>
      <w:marLeft w:val="0"/>
      <w:marRight w:val="0"/>
      <w:marTop w:val="0"/>
      <w:marBottom w:val="0"/>
      <w:divBdr>
        <w:top w:val="none" w:sz="0" w:space="0" w:color="auto"/>
        <w:left w:val="none" w:sz="0" w:space="0" w:color="auto"/>
        <w:bottom w:val="none" w:sz="0" w:space="0" w:color="auto"/>
        <w:right w:val="none" w:sz="0" w:space="0" w:color="auto"/>
      </w:divBdr>
    </w:div>
    <w:div w:id="532883989">
      <w:bodyDiv w:val="1"/>
      <w:marLeft w:val="0"/>
      <w:marRight w:val="0"/>
      <w:marTop w:val="0"/>
      <w:marBottom w:val="0"/>
      <w:divBdr>
        <w:top w:val="none" w:sz="0" w:space="0" w:color="auto"/>
        <w:left w:val="none" w:sz="0" w:space="0" w:color="auto"/>
        <w:bottom w:val="none" w:sz="0" w:space="0" w:color="auto"/>
        <w:right w:val="none" w:sz="0" w:space="0" w:color="auto"/>
      </w:divBdr>
    </w:div>
    <w:div w:id="532890406">
      <w:bodyDiv w:val="1"/>
      <w:marLeft w:val="0"/>
      <w:marRight w:val="0"/>
      <w:marTop w:val="0"/>
      <w:marBottom w:val="0"/>
      <w:divBdr>
        <w:top w:val="none" w:sz="0" w:space="0" w:color="auto"/>
        <w:left w:val="none" w:sz="0" w:space="0" w:color="auto"/>
        <w:bottom w:val="none" w:sz="0" w:space="0" w:color="auto"/>
        <w:right w:val="none" w:sz="0" w:space="0" w:color="auto"/>
      </w:divBdr>
    </w:div>
    <w:div w:id="533034278">
      <w:bodyDiv w:val="1"/>
      <w:marLeft w:val="0"/>
      <w:marRight w:val="0"/>
      <w:marTop w:val="0"/>
      <w:marBottom w:val="0"/>
      <w:divBdr>
        <w:top w:val="none" w:sz="0" w:space="0" w:color="auto"/>
        <w:left w:val="none" w:sz="0" w:space="0" w:color="auto"/>
        <w:bottom w:val="none" w:sz="0" w:space="0" w:color="auto"/>
        <w:right w:val="none" w:sz="0" w:space="0" w:color="auto"/>
      </w:divBdr>
    </w:div>
    <w:div w:id="533082198">
      <w:bodyDiv w:val="1"/>
      <w:marLeft w:val="0"/>
      <w:marRight w:val="0"/>
      <w:marTop w:val="0"/>
      <w:marBottom w:val="0"/>
      <w:divBdr>
        <w:top w:val="none" w:sz="0" w:space="0" w:color="auto"/>
        <w:left w:val="none" w:sz="0" w:space="0" w:color="auto"/>
        <w:bottom w:val="none" w:sz="0" w:space="0" w:color="auto"/>
        <w:right w:val="none" w:sz="0" w:space="0" w:color="auto"/>
      </w:divBdr>
    </w:div>
    <w:div w:id="533083348">
      <w:bodyDiv w:val="1"/>
      <w:marLeft w:val="0"/>
      <w:marRight w:val="0"/>
      <w:marTop w:val="0"/>
      <w:marBottom w:val="0"/>
      <w:divBdr>
        <w:top w:val="none" w:sz="0" w:space="0" w:color="auto"/>
        <w:left w:val="none" w:sz="0" w:space="0" w:color="auto"/>
        <w:bottom w:val="none" w:sz="0" w:space="0" w:color="auto"/>
        <w:right w:val="none" w:sz="0" w:space="0" w:color="auto"/>
      </w:divBdr>
    </w:div>
    <w:div w:id="533154274">
      <w:bodyDiv w:val="1"/>
      <w:marLeft w:val="0"/>
      <w:marRight w:val="0"/>
      <w:marTop w:val="0"/>
      <w:marBottom w:val="0"/>
      <w:divBdr>
        <w:top w:val="none" w:sz="0" w:space="0" w:color="auto"/>
        <w:left w:val="none" w:sz="0" w:space="0" w:color="auto"/>
        <w:bottom w:val="none" w:sz="0" w:space="0" w:color="auto"/>
        <w:right w:val="none" w:sz="0" w:space="0" w:color="auto"/>
      </w:divBdr>
    </w:div>
    <w:div w:id="533154589">
      <w:bodyDiv w:val="1"/>
      <w:marLeft w:val="0"/>
      <w:marRight w:val="0"/>
      <w:marTop w:val="0"/>
      <w:marBottom w:val="0"/>
      <w:divBdr>
        <w:top w:val="none" w:sz="0" w:space="0" w:color="auto"/>
        <w:left w:val="none" w:sz="0" w:space="0" w:color="auto"/>
        <w:bottom w:val="none" w:sz="0" w:space="0" w:color="auto"/>
        <w:right w:val="none" w:sz="0" w:space="0" w:color="auto"/>
      </w:divBdr>
    </w:div>
    <w:div w:id="533544461">
      <w:bodyDiv w:val="1"/>
      <w:marLeft w:val="0"/>
      <w:marRight w:val="0"/>
      <w:marTop w:val="0"/>
      <w:marBottom w:val="0"/>
      <w:divBdr>
        <w:top w:val="none" w:sz="0" w:space="0" w:color="auto"/>
        <w:left w:val="none" w:sz="0" w:space="0" w:color="auto"/>
        <w:bottom w:val="none" w:sz="0" w:space="0" w:color="auto"/>
        <w:right w:val="none" w:sz="0" w:space="0" w:color="auto"/>
      </w:divBdr>
    </w:div>
    <w:div w:id="533615906">
      <w:bodyDiv w:val="1"/>
      <w:marLeft w:val="0"/>
      <w:marRight w:val="0"/>
      <w:marTop w:val="0"/>
      <w:marBottom w:val="0"/>
      <w:divBdr>
        <w:top w:val="none" w:sz="0" w:space="0" w:color="auto"/>
        <w:left w:val="none" w:sz="0" w:space="0" w:color="auto"/>
        <w:bottom w:val="none" w:sz="0" w:space="0" w:color="auto"/>
        <w:right w:val="none" w:sz="0" w:space="0" w:color="auto"/>
      </w:divBdr>
    </w:div>
    <w:div w:id="533660037">
      <w:bodyDiv w:val="1"/>
      <w:marLeft w:val="0"/>
      <w:marRight w:val="0"/>
      <w:marTop w:val="0"/>
      <w:marBottom w:val="0"/>
      <w:divBdr>
        <w:top w:val="none" w:sz="0" w:space="0" w:color="auto"/>
        <w:left w:val="none" w:sz="0" w:space="0" w:color="auto"/>
        <w:bottom w:val="none" w:sz="0" w:space="0" w:color="auto"/>
        <w:right w:val="none" w:sz="0" w:space="0" w:color="auto"/>
      </w:divBdr>
    </w:div>
    <w:div w:id="533736729">
      <w:bodyDiv w:val="1"/>
      <w:marLeft w:val="0"/>
      <w:marRight w:val="0"/>
      <w:marTop w:val="0"/>
      <w:marBottom w:val="0"/>
      <w:divBdr>
        <w:top w:val="none" w:sz="0" w:space="0" w:color="auto"/>
        <w:left w:val="none" w:sz="0" w:space="0" w:color="auto"/>
        <w:bottom w:val="none" w:sz="0" w:space="0" w:color="auto"/>
        <w:right w:val="none" w:sz="0" w:space="0" w:color="auto"/>
      </w:divBdr>
    </w:div>
    <w:div w:id="533809993">
      <w:bodyDiv w:val="1"/>
      <w:marLeft w:val="0"/>
      <w:marRight w:val="0"/>
      <w:marTop w:val="0"/>
      <w:marBottom w:val="0"/>
      <w:divBdr>
        <w:top w:val="none" w:sz="0" w:space="0" w:color="auto"/>
        <w:left w:val="none" w:sz="0" w:space="0" w:color="auto"/>
        <w:bottom w:val="none" w:sz="0" w:space="0" w:color="auto"/>
        <w:right w:val="none" w:sz="0" w:space="0" w:color="auto"/>
      </w:divBdr>
    </w:div>
    <w:div w:id="533811669">
      <w:bodyDiv w:val="1"/>
      <w:marLeft w:val="0"/>
      <w:marRight w:val="0"/>
      <w:marTop w:val="0"/>
      <w:marBottom w:val="0"/>
      <w:divBdr>
        <w:top w:val="none" w:sz="0" w:space="0" w:color="auto"/>
        <w:left w:val="none" w:sz="0" w:space="0" w:color="auto"/>
        <w:bottom w:val="none" w:sz="0" w:space="0" w:color="auto"/>
        <w:right w:val="none" w:sz="0" w:space="0" w:color="auto"/>
      </w:divBdr>
    </w:div>
    <w:div w:id="533814175">
      <w:bodyDiv w:val="1"/>
      <w:marLeft w:val="0"/>
      <w:marRight w:val="0"/>
      <w:marTop w:val="0"/>
      <w:marBottom w:val="0"/>
      <w:divBdr>
        <w:top w:val="none" w:sz="0" w:space="0" w:color="auto"/>
        <w:left w:val="none" w:sz="0" w:space="0" w:color="auto"/>
        <w:bottom w:val="none" w:sz="0" w:space="0" w:color="auto"/>
        <w:right w:val="none" w:sz="0" w:space="0" w:color="auto"/>
      </w:divBdr>
    </w:div>
    <w:div w:id="533929654">
      <w:bodyDiv w:val="1"/>
      <w:marLeft w:val="0"/>
      <w:marRight w:val="0"/>
      <w:marTop w:val="0"/>
      <w:marBottom w:val="0"/>
      <w:divBdr>
        <w:top w:val="none" w:sz="0" w:space="0" w:color="auto"/>
        <w:left w:val="none" w:sz="0" w:space="0" w:color="auto"/>
        <w:bottom w:val="none" w:sz="0" w:space="0" w:color="auto"/>
        <w:right w:val="none" w:sz="0" w:space="0" w:color="auto"/>
      </w:divBdr>
    </w:div>
    <w:div w:id="534000476">
      <w:bodyDiv w:val="1"/>
      <w:marLeft w:val="0"/>
      <w:marRight w:val="0"/>
      <w:marTop w:val="0"/>
      <w:marBottom w:val="0"/>
      <w:divBdr>
        <w:top w:val="none" w:sz="0" w:space="0" w:color="auto"/>
        <w:left w:val="none" w:sz="0" w:space="0" w:color="auto"/>
        <w:bottom w:val="none" w:sz="0" w:space="0" w:color="auto"/>
        <w:right w:val="none" w:sz="0" w:space="0" w:color="auto"/>
      </w:divBdr>
    </w:div>
    <w:div w:id="534004052">
      <w:bodyDiv w:val="1"/>
      <w:marLeft w:val="0"/>
      <w:marRight w:val="0"/>
      <w:marTop w:val="0"/>
      <w:marBottom w:val="0"/>
      <w:divBdr>
        <w:top w:val="none" w:sz="0" w:space="0" w:color="auto"/>
        <w:left w:val="none" w:sz="0" w:space="0" w:color="auto"/>
        <w:bottom w:val="none" w:sz="0" w:space="0" w:color="auto"/>
        <w:right w:val="none" w:sz="0" w:space="0" w:color="auto"/>
      </w:divBdr>
    </w:div>
    <w:div w:id="534079568">
      <w:bodyDiv w:val="1"/>
      <w:marLeft w:val="0"/>
      <w:marRight w:val="0"/>
      <w:marTop w:val="0"/>
      <w:marBottom w:val="0"/>
      <w:divBdr>
        <w:top w:val="none" w:sz="0" w:space="0" w:color="auto"/>
        <w:left w:val="none" w:sz="0" w:space="0" w:color="auto"/>
        <w:bottom w:val="none" w:sz="0" w:space="0" w:color="auto"/>
        <w:right w:val="none" w:sz="0" w:space="0" w:color="auto"/>
      </w:divBdr>
    </w:div>
    <w:div w:id="534083635">
      <w:bodyDiv w:val="1"/>
      <w:marLeft w:val="0"/>
      <w:marRight w:val="0"/>
      <w:marTop w:val="0"/>
      <w:marBottom w:val="0"/>
      <w:divBdr>
        <w:top w:val="none" w:sz="0" w:space="0" w:color="auto"/>
        <w:left w:val="none" w:sz="0" w:space="0" w:color="auto"/>
        <w:bottom w:val="none" w:sz="0" w:space="0" w:color="auto"/>
        <w:right w:val="none" w:sz="0" w:space="0" w:color="auto"/>
      </w:divBdr>
    </w:div>
    <w:div w:id="534118561">
      <w:bodyDiv w:val="1"/>
      <w:marLeft w:val="0"/>
      <w:marRight w:val="0"/>
      <w:marTop w:val="0"/>
      <w:marBottom w:val="0"/>
      <w:divBdr>
        <w:top w:val="none" w:sz="0" w:space="0" w:color="auto"/>
        <w:left w:val="none" w:sz="0" w:space="0" w:color="auto"/>
        <w:bottom w:val="none" w:sz="0" w:space="0" w:color="auto"/>
        <w:right w:val="none" w:sz="0" w:space="0" w:color="auto"/>
      </w:divBdr>
    </w:div>
    <w:div w:id="534120032">
      <w:bodyDiv w:val="1"/>
      <w:marLeft w:val="0"/>
      <w:marRight w:val="0"/>
      <w:marTop w:val="0"/>
      <w:marBottom w:val="0"/>
      <w:divBdr>
        <w:top w:val="none" w:sz="0" w:space="0" w:color="auto"/>
        <w:left w:val="none" w:sz="0" w:space="0" w:color="auto"/>
        <w:bottom w:val="none" w:sz="0" w:space="0" w:color="auto"/>
        <w:right w:val="none" w:sz="0" w:space="0" w:color="auto"/>
      </w:divBdr>
    </w:div>
    <w:div w:id="534124956">
      <w:bodyDiv w:val="1"/>
      <w:marLeft w:val="0"/>
      <w:marRight w:val="0"/>
      <w:marTop w:val="0"/>
      <w:marBottom w:val="0"/>
      <w:divBdr>
        <w:top w:val="none" w:sz="0" w:space="0" w:color="auto"/>
        <w:left w:val="none" w:sz="0" w:space="0" w:color="auto"/>
        <w:bottom w:val="none" w:sz="0" w:space="0" w:color="auto"/>
        <w:right w:val="none" w:sz="0" w:space="0" w:color="auto"/>
      </w:divBdr>
    </w:div>
    <w:div w:id="534276649">
      <w:bodyDiv w:val="1"/>
      <w:marLeft w:val="0"/>
      <w:marRight w:val="0"/>
      <w:marTop w:val="0"/>
      <w:marBottom w:val="0"/>
      <w:divBdr>
        <w:top w:val="none" w:sz="0" w:space="0" w:color="auto"/>
        <w:left w:val="none" w:sz="0" w:space="0" w:color="auto"/>
        <w:bottom w:val="none" w:sz="0" w:space="0" w:color="auto"/>
        <w:right w:val="none" w:sz="0" w:space="0" w:color="auto"/>
      </w:divBdr>
    </w:div>
    <w:div w:id="534392009">
      <w:bodyDiv w:val="1"/>
      <w:marLeft w:val="0"/>
      <w:marRight w:val="0"/>
      <w:marTop w:val="0"/>
      <w:marBottom w:val="0"/>
      <w:divBdr>
        <w:top w:val="none" w:sz="0" w:space="0" w:color="auto"/>
        <w:left w:val="none" w:sz="0" w:space="0" w:color="auto"/>
        <w:bottom w:val="none" w:sz="0" w:space="0" w:color="auto"/>
        <w:right w:val="none" w:sz="0" w:space="0" w:color="auto"/>
      </w:divBdr>
    </w:div>
    <w:div w:id="534392528">
      <w:bodyDiv w:val="1"/>
      <w:marLeft w:val="0"/>
      <w:marRight w:val="0"/>
      <w:marTop w:val="0"/>
      <w:marBottom w:val="0"/>
      <w:divBdr>
        <w:top w:val="none" w:sz="0" w:space="0" w:color="auto"/>
        <w:left w:val="none" w:sz="0" w:space="0" w:color="auto"/>
        <w:bottom w:val="none" w:sz="0" w:space="0" w:color="auto"/>
        <w:right w:val="none" w:sz="0" w:space="0" w:color="auto"/>
      </w:divBdr>
    </w:div>
    <w:div w:id="534580351">
      <w:bodyDiv w:val="1"/>
      <w:marLeft w:val="0"/>
      <w:marRight w:val="0"/>
      <w:marTop w:val="0"/>
      <w:marBottom w:val="0"/>
      <w:divBdr>
        <w:top w:val="none" w:sz="0" w:space="0" w:color="auto"/>
        <w:left w:val="none" w:sz="0" w:space="0" w:color="auto"/>
        <w:bottom w:val="none" w:sz="0" w:space="0" w:color="auto"/>
        <w:right w:val="none" w:sz="0" w:space="0" w:color="auto"/>
      </w:divBdr>
    </w:div>
    <w:div w:id="534660693">
      <w:bodyDiv w:val="1"/>
      <w:marLeft w:val="0"/>
      <w:marRight w:val="0"/>
      <w:marTop w:val="0"/>
      <w:marBottom w:val="0"/>
      <w:divBdr>
        <w:top w:val="none" w:sz="0" w:space="0" w:color="auto"/>
        <w:left w:val="none" w:sz="0" w:space="0" w:color="auto"/>
        <w:bottom w:val="none" w:sz="0" w:space="0" w:color="auto"/>
        <w:right w:val="none" w:sz="0" w:space="0" w:color="auto"/>
      </w:divBdr>
    </w:div>
    <w:div w:id="534662805">
      <w:bodyDiv w:val="1"/>
      <w:marLeft w:val="0"/>
      <w:marRight w:val="0"/>
      <w:marTop w:val="0"/>
      <w:marBottom w:val="0"/>
      <w:divBdr>
        <w:top w:val="none" w:sz="0" w:space="0" w:color="auto"/>
        <w:left w:val="none" w:sz="0" w:space="0" w:color="auto"/>
        <w:bottom w:val="none" w:sz="0" w:space="0" w:color="auto"/>
        <w:right w:val="none" w:sz="0" w:space="0" w:color="auto"/>
      </w:divBdr>
    </w:div>
    <w:div w:id="534730391">
      <w:bodyDiv w:val="1"/>
      <w:marLeft w:val="0"/>
      <w:marRight w:val="0"/>
      <w:marTop w:val="0"/>
      <w:marBottom w:val="0"/>
      <w:divBdr>
        <w:top w:val="none" w:sz="0" w:space="0" w:color="auto"/>
        <w:left w:val="none" w:sz="0" w:space="0" w:color="auto"/>
        <w:bottom w:val="none" w:sz="0" w:space="0" w:color="auto"/>
        <w:right w:val="none" w:sz="0" w:space="0" w:color="auto"/>
      </w:divBdr>
    </w:div>
    <w:div w:id="534774088">
      <w:bodyDiv w:val="1"/>
      <w:marLeft w:val="0"/>
      <w:marRight w:val="0"/>
      <w:marTop w:val="0"/>
      <w:marBottom w:val="0"/>
      <w:divBdr>
        <w:top w:val="none" w:sz="0" w:space="0" w:color="auto"/>
        <w:left w:val="none" w:sz="0" w:space="0" w:color="auto"/>
        <w:bottom w:val="none" w:sz="0" w:space="0" w:color="auto"/>
        <w:right w:val="none" w:sz="0" w:space="0" w:color="auto"/>
      </w:divBdr>
    </w:div>
    <w:div w:id="534779047">
      <w:bodyDiv w:val="1"/>
      <w:marLeft w:val="0"/>
      <w:marRight w:val="0"/>
      <w:marTop w:val="0"/>
      <w:marBottom w:val="0"/>
      <w:divBdr>
        <w:top w:val="none" w:sz="0" w:space="0" w:color="auto"/>
        <w:left w:val="none" w:sz="0" w:space="0" w:color="auto"/>
        <w:bottom w:val="none" w:sz="0" w:space="0" w:color="auto"/>
        <w:right w:val="none" w:sz="0" w:space="0" w:color="auto"/>
      </w:divBdr>
    </w:div>
    <w:div w:id="534925707">
      <w:bodyDiv w:val="1"/>
      <w:marLeft w:val="0"/>
      <w:marRight w:val="0"/>
      <w:marTop w:val="0"/>
      <w:marBottom w:val="0"/>
      <w:divBdr>
        <w:top w:val="none" w:sz="0" w:space="0" w:color="auto"/>
        <w:left w:val="none" w:sz="0" w:space="0" w:color="auto"/>
        <w:bottom w:val="none" w:sz="0" w:space="0" w:color="auto"/>
        <w:right w:val="none" w:sz="0" w:space="0" w:color="auto"/>
      </w:divBdr>
    </w:div>
    <w:div w:id="534931121">
      <w:bodyDiv w:val="1"/>
      <w:marLeft w:val="0"/>
      <w:marRight w:val="0"/>
      <w:marTop w:val="0"/>
      <w:marBottom w:val="0"/>
      <w:divBdr>
        <w:top w:val="none" w:sz="0" w:space="0" w:color="auto"/>
        <w:left w:val="none" w:sz="0" w:space="0" w:color="auto"/>
        <w:bottom w:val="none" w:sz="0" w:space="0" w:color="auto"/>
        <w:right w:val="none" w:sz="0" w:space="0" w:color="auto"/>
      </w:divBdr>
    </w:div>
    <w:div w:id="534973817">
      <w:bodyDiv w:val="1"/>
      <w:marLeft w:val="0"/>
      <w:marRight w:val="0"/>
      <w:marTop w:val="0"/>
      <w:marBottom w:val="0"/>
      <w:divBdr>
        <w:top w:val="none" w:sz="0" w:space="0" w:color="auto"/>
        <w:left w:val="none" w:sz="0" w:space="0" w:color="auto"/>
        <w:bottom w:val="none" w:sz="0" w:space="0" w:color="auto"/>
        <w:right w:val="none" w:sz="0" w:space="0" w:color="auto"/>
      </w:divBdr>
    </w:div>
    <w:div w:id="535237790">
      <w:bodyDiv w:val="1"/>
      <w:marLeft w:val="0"/>
      <w:marRight w:val="0"/>
      <w:marTop w:val="0"/>
      <w:marBottom w:val="0"/>
      <w:divBdr>
        <w:top w:val="none" w:sz="0" w:space="0" w:color="auto"/>
        <w:left w:val="none" w:sz="0" w:space="0" w:color="auto"/>
        <w:bottom w:val="none" w:sz="0" w:space="0" w:color="auto"/>
        <w:right w:val="none" w:sz="0" w:space="0" w:color="auto"/>
      </w:divBdr>
    </w:div>
    <w:div w:id="535430583">
      <w:bodyDiv w:val="1"/>
      <w:marLeft w:val="0"/>
      <w:marRight w:val="0"/>
      <w:marTop w:val="0"/>
      <w:marBottom w:val="0"/>
      <w:divBdr>
        <w:top w:val="none" w:sz="0" w:space="0" w:color="auto"/>
        <w:left w:val="none" w:sz="0" w:space="0" w:color="auto"/>
        <w:bottom w:val="none" w:sz="0" w:space="0" w:color="auto"/>
        <w:right w:val="none" w:sz="0" w:space="0" w:color="auto"/>
      </w:divBdr>
    </w:div>
    <w:div w:id="535461359">
      <w:bodyDiv w:val="1"/>
      <w:marLeft w:val="0"/>
      <w:marRight w:val="0"/>
      <w:marTop w:val="0"/>
      <w:marBottom w:val="0"/>
      <w:divBdr>
        <w:top w:val="none" w:sz="0" w:space="0" w:color="auto"/>
        <w:left w:val="none" w:sz="0" w:space="0" w:color="auto"/>
        <w:bottom w:val="none" w:sz="0" w:space="0" w:color="auto"/>
        <w:right w:val="none" w:sz="0" w:space="0" w:color="auto"/>
      </w:divBdr>
    </w:div>
    <w:div w:id="535504918">
      <w:bodyDiv w:val="1"/>
      <w:marLeft w:val="0"/>
      <w:marRight w:val="0"/>
      <w:marTop w:val="0"/>
      <w:marBottom w:val="0"/>
      <w:divBdr>
        <w:top w:val="none" w:sz="0" w:space="0" w:color="auto"/>
        <w:left w:val="none" w:sz="0" w:space="0" w:color="auto"/>
        <w:bottom w:val="none" w:sz="0" w:space="0" w:color="auto"/>
        <w:right w:val="none" w:sz="0" w:space="0" w:color="auto"/>
      </w:divBdr>
    </w:div>
    <w:div w:id="535849347">
      <w:bodyDiv w:val="1"/>
      <w:marLeft w:val="0"/>
      <w:marRight w:val="0"/>
      <w:marTop w:val="0"/>
      <w:marBottom w:val="0"/>
      <w:divBdr>
        <w:top w:val="none" w:sz="0" w:space="0" w:color="auto"/>
        <w:left w:val="none" w:sz="0" w:space="0" w:color="auto"/>
        <w:bottom w:val="none" w:sz="0" w:space="0" w:color="auto"/>
        <w:right w:val="none" w:sz="0" w:space="0" w:color="auto"/>
      </w:divBdr>
    </w:div>
    <w:div w:id="535852415">
      <w:bodyDiv w:val="1"/>
      <w:marLeft w:val="0"/>
      <w:marRight w:val="0"/>
      <w:marTop w:val="0"/>
      <w:marBottom w:val="0"/>
      <w:divBdr>
        <w:top w:val="none" w:sz="0" w:space="0" w:color="auto"/>
        <w:left w:val="none" w:sz="0" w:space="0" w:color="auto"/>
        <w:bottom w:val="none" w:sz="0" w:space="0" w:color="auto"/>
        <w:right w:val="none" w:sz="0" w:space="0" w:color="auto"/>
      </w:divBdr>
    </w:div>
    <w:div w:id="535853234">
      <w:bodyDiv w:val="1"/>
      <w:marLeft w:val="0"/>
      <w:marRight w:val="0"/>
      <w:marTop w:val="0"/>
      <w:marBottom w:val="0"/>
      <w:divBdr>
        <w:top w:val="none" w:sz="0" w:space="0" w:color="auto"/>
        <w:left w:val="none" w:sz="0" w:space="0" w:color="auto"/>
        <w:bottom w:val="none" w:sz="0" w:space="0" w:color="auto"/>
        <w:right w:val="none" w:sz="0" w:space="0" w:color="auto"/>
      </w:divBdr>
    </w:div>
    <w:div w:id="535893487">
      <w:bodyDiv w:val="1"/>
      <w:marLeft w:val="0"/>
      <w:marRight w:val="0"/>
      <w:marTop w:val="0"/>
      <w:marBottom w:val="0"/>
      <w:divBdr>
        <w:top w:val="none" w:sz="0" w:space="0" w:color="auto"/>
        <w:left w:val="none" w:sz="0" w:space="0" w:color="auto"/>
        <w:bottom w:val="none" w:sz="0" w:space="0" w:color="auto"/>
        <w:right w:val="none" w:sz="0" w:space="0" w:color="auto"/>
      </w:divBdr>
    </w:div>
    <w:div w:id="535968553">
      <w:bodyDiv w:val="1"/>
      <w:marLeft w:val="0"/>
      <w:marRight w:val="0"/>
      <w:marTop w:val="0"/>
      <w:marBottom w:val="0"/>
      <w:divBdr>
        <w:top w:val="none" w:sz="0" w:space="0" w:color="auto"/>
        <w:left w:val="none" w:sz="0" w:space="0" w:color="auto"/>
        <w:bottom w:val="none" w:sz="0" w:space="0" w:color="auto"/>
        <w:right w:val="none" w:sz="0" w:space="0" w:color="auto"/>
      </w:divBdr>
    </w:div>
    <w:div w:id="535969883">
      <w:bodyDiv w:val="1"/>
      <w:marLeft w:val="0"/>
      <w:marRight w:val="0"/>
      <w:marTop w:val="0"/>
      <w:marBottom w:val="0"/>
      <w:divBdr>
        <w:top w:val="none" w:sz="0" w:space="0" w:color="auto"/>
        <w:left w:val="none" w:sz="0" w:space="0" w:color="auto"/>
        <w:bottom w:val="none" w:sz="0" w:space="0" w:color="auto"/>
        <w:right w:val="none" w:sz="0" w:space="0" w:color="auto"/>
      </w:divBdr>
    </w:div>
    <w:div w:id="536044770">
      <w:bodyDiv w:val="1"/>
      <w:marLeft w:val="0"/>
      <w:marRight w:val="0"/>
      <w:marTop w:val="0"/>
      <w:marBottom w:val="0"/>
      <w:divBdr>
        <w:top w:val="none" w:sz="0" w:space="0" w:color="auto"/>
        <w:left w:val="none" w:sz="0" w:space="0" w:color="auto"/>
        <w:bottom w:val="none" w:sz="0" w:space="0" w:color="auto"/>
        <w:right w:val="none" w:sz="0" w:space="0" w:color="auto"/>
      </w:divBdr>
    </w:div>
    <w:div w:id="536087026">
      <w:bodyDiv w:val="1"/>
      <w:marLeft w:val="0"/>
      <w:marRight w:val="0"/>
      <w:marTop w:val="0"/>
      <w:marBottom w:val="0"/>
      <w:divBdr>
        <w:top w:val="none" w:sz="0" w:space="0" w:color="auto"/>
        <w:left w:val="none" w:sz="0" w:space="0" w:color="auto"/>
        <w:bottom w:val="none" w:sz="0" w:space="0" w:color="auto"/>
        <w:right w:val="none" w:sz="0" w:space="0" w:color="auto"/>
      </w:divBdr>
    </w:div>
    <w:div w:id="536163133">
      <w:bodyDiv w:val="1"/>
      <w:marLeft w:val="0"/>
      <w:marRight w:val="0"/>
      <w:marTop w:val="0"/>
      <w:marBottom w:val="0"/>
      <w:divBdr>
        <w:top w:val="none" w:sz="0" w:space="0" w:color="auto"/>
        <w:left w:val="none" w:sz="0" w:space="0" w:color="auto"/>
        <w:bottom w:val="none" w:sz="0" w:space="0" w:color="auto"/>
        <w:right w:val="none" w:sz="0" w:space="0" w:color="auto"/>
      </w:divBdr>
    </w:div>
    <w:div w:id="536165829">
      <w:bodyDiv w:val="1"/>
      <w:marLeft w:val="0"/>
      <w:marRight w:val="0"/>
      <w:marTop w:val="0"/>
      <w:marBottom w:val="0"/>
      <w:divBdr>
        <w:top w:val="none" w:sz="0" w:space="0" w:color="auto"/>
        <w:left w:val="none" w:sz="0" w:space="0" w:color="auto"/>
        <w:bottom w:val="none" w:sz="0" w:space="0" w:color="auto"/>
        <w:right w:val="none" w:sz="0" w:space="0" w:color="auto"/>
      </w:divBdr>
    </w:div>
    <w:div w:id="536284875">
      <w:bodyDiv w:val="1"/>
      <w:marLeft w:val="0"/>
      <w:marRight w:val="0"/>
      <w:marTop w:val="0"/>
      <w:marBottom w:val="0"/>
      <w:divBdr>
        <w:top w:val="none" w:sz="0" w:space="0" w:color="auto"/>
        <w:left w:val="none" w:sz="0" w:space="0" w:color="auto"/>
        <w:bottom w:val="none" w:sz="0" w:space="0" w:color="auto"/>
        <w:right w:val="none" w:sz="0" w:space="0" w:color="auto"/>
      </w:divBdr>
    </w:div>
    <w:div w:id="536428332">
      <w:bodyDiv w:val="1"/>
      <w:marLeft w:val="0"/>
      <w:marRight w:val="0"/>
      <w:marTop w:val="0"/>
      <w:marBottom w:val="0"/>
      <w:divBdr>
        <w:top w:val="none" w:sz="0" w:space="0" w:color="auto"/>
        <w:left w:val="none" w:sz="0" w:space="0" w:color="auto"/>
        <w:bottom w:val="none" w:sz="0" w:space="0" w:color="auto"/>
        <w:right w:val="none" w:sz="0" w:space="0" w:color="auto"/>
      </w:divBdr>
    </w:div>
    <w:div w:id="536429508">
      <w:bodyDiv w:val="1"/>
      <w:marLeft w:val="0"/>
      <w:marRight w:val="0"/>
      <w:marTop w:val="0"/>
      <w:marBottom w:val="0"/>
      <w:divBdr>
        <w:top w:val="none" w:sz="0" w:space="0" w:color="auto"/>
        <w:left w:val="none" w:sz="0" w:space="0" w:color="auto"/>
        <w:bottom w:val="none" w:sz="0" w:space="0" w:color="auto"/>
        <w:right w:val="none" w:sz="0" w:space="0" w:color="auto"/>
      </w:divBdr>
    </w:div>
    <w:div w:id="536435139">
      <w:bodyDiv w:val="1"/>
      <w:marLeft w:val="0"/>
      <w:marRight w:val="0"/>
      <w:marTop w:val="0"/>
      <w:marBottom w:val="0"/>
      <w:divBdr>
        <w:top w:val="none" w:sz="0" w:space="0" w:color="auto"/>
        <w:left w:val="none" w:sz="0" w:space="0" w:color="auto"/>
        <w:bottom w:val="none" w:sz="0" w:space="0" w:color="auto"/>
        <w:right w:val="none" w:sz="0" w:space="0" w:color="auto"/>
      </w:divBdr>
    </w:div>
    <w:div w:id="536548333">
      <w:bodyDiv w:val="1"/>
      <w:marLeft w:val="0"/>
      <w:marRight w:val="0"/>
      <w:marTop w:val="0"/>
      <w:marBottom w:val="0"/>
      <w:divBdr>
        <w:top w:val="none" w:sz="0" w:space="0" w:color="auto"/>
        <w:left w:val="none" w:sz="0" w:space="0" w:color="auto"/>
        <w:bottom w:val="none" w:sz="0" w:space="0" w:color="auto"/>
        <w:right w:val="none" w:sz="0" w:space="0" w:color="auto"/>
      </w:divBdr>
    </w:div>
    <w:div w:id="536629419">
      <w:bodyDiv w:val="1"/>
      <w:marLeft w:val="0"/>
      <w:marRight w:val="0"/>
      <w:marTop w:val="0"/>
      <w:marBottom w:val="0"/>
      <w:divBdr>
        <w:top w:val="none" w:sz="0" w:space="0" w:color="auto"/>
        <w:left w:val="none" w:sz="0" w:space="0" w:color="auto"/>
        <w:bottom w:val="none" w:sz="0" w:space="0" w:color="auto"/>
        <w:right w:val="none" w:sz="0" w:space="0" w:color="auto"/>
      </w:divBdr>
    </w:div>
    <w:div w:id="536703506">
      <w:bodyDiv w:val="1"/>
      <w:marLeft w:val="0"/>
      <w:marRight w:val="0"/>
      <w:marTop w:val="0"/>
      <w:marBottom w:val="0"/>
      <w:divBdr>
        <w:top w:val="none" w:sz="0" w:space="0" w:color="auto"/>
        <w:left w:val="none" w:sz="0" w:space="0" w:color="auto"/>
        <w:bottom w:val="none" w:sz="0" w:space="0" w:color="auto"/>
        <w:right w:val="none" w:sz="0" w:space="0" w:color="auto"/>
      </w:divBdr>
    </w:div>
    <w:div w:id="536744154">
      <w:bodyDiv w:val="1"/>
      <w:marLeft w:val="0"/>
      <w:marRight w:val="0"/>
      <w:marTop w:val="0"/>
      <w:marBottom w:val="0"/>
      <w:divBdr>
        <w:top w:val="none" w:sz="0" w:space="0" w:color="auto"/>
        <w:left w:val="none" w:sz="0" w:space="0" w:color="auto"/>
        <w:bottom w:val="none" w:sz="0" w:space="0" w:color="auto"/>
        <w:right w:val="none" w:sz="0" w:space="0" w:color="auto"/>
      </w:divBdr>
    </w:div>
    <w:div w:id="536897481">
      <w:bodyDiv w:val="1"/>
      <w:marLeft w:val="0"/>
      <w:marRight w:val="0"/>
      <w:marTop w:val="0"/>
      <w:marBottom w:val="0"/>
      <w:divBdr>
        <w:top w:val="none" w:sz="0" w:space="0" w:color="auto"/>
        <w:left w:val="none" w:sz="0" w:space="0" w:color="auto"/>
        <w:bottom w:val="none" w:sz="0" w:space="0" w:color="auto"/>
        <w:right w:val="none" w:sz="0" w:space="0" w:color="auto"/>
      </w:divBdr>
    </w:div>
    <w:div w:id="537082526">
      <w:bodyDiv w:val="1"/>
      <w:marLeft w:val="0"/>
      <w:marRight w:val="0"/>
      <w:marTop w:val="0"/>
      <w:marBottom w:val="0"/>
      <w:divBdr>
        <w:top w:val="none" w:sz="0" w:space="0" w:color="auto"/>
        <w:left w:val="none" w:sz="0" w:space="0" w:color="auto"/>
        <w:bottom w:val="none" w:sz="0" w:space="0" w:color="auto"/>
        <w:right w:val="none" w:sz="0" w:space="0" w:color="auto"/>
      </w:divBdr>
    </w:div>
    <w:div w:id="537162938">
      <w:bodyDiv w:val="1"/>
      <w:marLeft w:val="0"/>
      <w:marRight w:val="0"/>
      <w:marTop w:val="0"/>
      <w:marBottom w:val="0"/>
      <w:divBdr>
        <w:top w:val="none" w:sz="0" w:space="0" w:color="auto"/>
        <w:left w:val="none" w:sz="0" w:space="0" w:color="auto"/>
        <w:bottom w:val="none" w:sz="0" w:space="0" w:color="auto"/>
        <w:right w:val="none" w:sz="0" w:space="0" w:color="auto"/>
      </w:divBdr>
    </w:div>
    <w:div w:id="537275111">
      <w:bodyDiv w:val="1"/>
      <w:marLeft w:val="0"/>
      <w:marRight w:val="0"/>
      <w:marTop w:val="0"/>
      <w:marBottom w:val="0"/>
      <w:divBdr>
        <w:top w:val="none" w:sz="0" w:space="0" w:color="auto"/>
        <w:left w:val="none" w:sz="0" w:space="0" w:color="auto"/>
        <w:bottom w:val="none" w:sz="0" w:space="0" w:color="auto"/>
        <w:right w:val="none" w:sz="0" w:space="0" w:color="auto"/>
      </w:divBdr>
    </w:div>
    <w:div w:id="537279295">
      <w:bodyDiv w:val="1"/>
      <w:marLeft w:val="0"/>
      <w:marRight w:val="0"/>
      <w:marTop w:val="0"/>
      <w:marBottom w:val="0"/>
      <w:divBdr>
        <w:top w:val="none" w:sz="0" w:space="0" w:color="auto"/>
        <w:left w:val="none" w:sz="0" w:space="0" w:color="auto"/>
        <w:bottom w:val="none" w:sz="0" w:space="0" w:color="auto"/>
        <w:right w:val="none" w:sz="0" w:space="0" w:color="auto"/>
      </w:divBdr>
    </w:div>
    <w:div w:id="537358349">
      <w:bodyDiv w:val="1"/>
      <w:marLeft w:val="0"/>
      <w:marRight w:val="0"/>
      <w:marTop w:val="0"/>
      <w:marBottom w:val="0"/>
      <w:divBdr>
        <w:top w:val="none" w:sz="0" w:space="0" w:color="auto"/>
        <w:left w:val="none" w:sz="0" w:space="0" w:color="auto"/>
        <w:bottom w:val="none" w:sz="0" w:space="0" w:color="auto"/>
        <w:right w:val="none" w:sz="0" w:space="0" w:color="auto"/>
      </w:divBdr>
    </w:div>
    <w:div w:id="537399609">
      <w:bodyDiv w:val="1"/>
      <w:marLeft w:val="0"/>
      <w:marRight w:val="0"/>
      <w:marTop w:val="0"/>
      <w:marBottom w:val="0"/>
      <w:divBdr>
        <w:top w:val="none" w:sz="0" w:space="0" w:color="auto"/>
        <w:left w:val="none" w:sz="0" w:space="0" w:color="auto"/>
        <w:bottom w:val="none" w:sz="0" w:space="0" w:color="auto"/>
        <w:right w:val="none" w:sz="0" w:space="0" w:color="auto"/>
      </w:divBdr>
    </w:div>
    <w:div w:id="537427037">
      <w:bodyDiv w:val="1"/>
      <w:marLeft w:val="0"/>
      <w:marRight w:val="0"/>
      <w:marTop w:val="0"/>
      <w:marBottom w:val="0"/>
      <w:divBdr>
        <w:top w:val="none" w:sz="0" w:space="0" w:color="auto"/>
        <w:left w:val="none" w:sz="0" w:space="0" w:color="auto"/>
        <w:bottom w:val="none" w:sz="0" w:space="0" w:color="auto"/>
        <w:right w:val="none" w:sz="0" w:space="0" w:color="auto"/>
      </w:divBdr>
    </w:div>
    <w:div w:id="537472429">
      <w:bodyDiv w:val="1"/>
      <w:marLeft w:val="0"/>
      <w:marRight w:val="0"/>
      <w:marTop w:val="0"/>
      <w:marBottom w:val="0"/>
      <w:divBdr>
        <w:top w:val="none" w:sz="0" w:space="0" w:color="auto"/>
        <w:left w:val="none" w:sz="0" w:space="0" w:color="auto"/>
        <w:bottom w:val="none" w:sz="0" w:space="0" w:color="auto"/>
        <w:right w:val="none" w:sz="0" w:space="0" w:color="auto"/>
      </w:divBdr>
    </w:div>
    <w:div w:id="537476080">
      <w:bodyDiv w:val="1"/>
      <w:marLeft w:val="0"/>
      <w:marRight w:val="0"/>
      <w:marTop w:val="0"/>
      <w:marBottom w:val="0"/>
      <w:divBdr>
        <w:top w:val="none" w:sz="0" w:space="0" w:color="auto"/>
        <w:left w:val="none" w:sz="0" w:space="0" w:color="auto"/>
        <w:bottom w:val="none" w:sz="0" w:space="0" w:color="auto"/>
        <w:right w:val="none" w:sz="0" w:space="0" w:color="auto"/>
      </w:divBdr>
    </w:div>
    <w:div w:id="537740924">
      <w:bodyDiv w:val="1"/>
      <w:marLeft w:val="0"/>
      <w:marRight w:val="0"/>
      <w:marTop w:val="0"/>
      <w:marBottom w:val="0"/>
      <w:divBdr>
        <w:top w:val="none" w:sz="0" w:space="0" w:color="auto"/>
        <w:left w:val="none" w:sz="0" w:space="0" w:color="auto"/>
        <w:bottom w:val="none" w:sz="0" w:space="0" w:color="auto"/>
        <w:right w:val="none" w:sz="0" w:space="0" w:color="auto"/>
      </w:divBdr>
    </w:div>
    <w:div w:id="537813403">
      <w:bodyDiv w:val="1"/>
      <w:marLeft w:val="0"/>
      <w:marRight w:val="0"/>
      <w:marTop w:val="0"/>
      <w:marBottom w:val="0"/>
      <w:divBdr>
        <w:top w:val="none" w:sz="0" w:space="0" w:color="auto"/>
        <w:left w:val="none" w:sz="0" w:space="0" w:color="auto"/>
        <w:bottom w:val="none" w:sz="0" w:space="0" w:color="auto"/>
        <w:right w:val="none" w:sz="0" w:space="0" w:color="auto"/>
      </w:divBdr>
    </w:div>
    <w:div w:id="538006833">
      <w:bodyDiv w:val="1"/>
      <w:marLeft w:val="0"/>
      <w:marRight w:val="0"/>
      <w:marTop w:val="0"/>
      <w:marBottom w:val="0"/>
      <w:divBdr>
        <w:top w:val="none" w:sz="0" w:space="0" w:color="auto"/>
        <w:left w:val="none" w:sz="0" w:space="0" w:color="auto"/>
        <w:bottom w:val="none" w:sz="0" w:space="0" w:color="auto"/>
        <w:right w:val="none" w:sz="0" w:space="0" w:color="auto"/>
      </w:divBdr>
    </w:div>
    <w:div w:id="538052040">
      <w:bodyDiv w:val="1"/>
      <w:marLeft w:val="0"/>
      <w:marRight w:val="0"/>
      <w:marTop w:val="0"/>
      <w:marBottom w:val="0"/>
      <w:divBdr>
        <w:top w:val="none" w:sz="0" w:space="0" w:color="auto"/>
        <w:left w:val="none" w:sz="0" w:space="0" w:color="auto"/>
        <w:bottom w:val="none" w:sz="0" w:space="0" w:color="auto"/>
        <w:right w:val="none" w:sz="0" w:space="0" w:color="auto"/>
      </w:divBdr>
    </w:div>
    <w:div w:id="538323632">
      <w:bodyDiv w:val="1"/>
      <w:marLeft w:val="0"/>
      <w:marRight w:val="0"/>
      <w:marTop w:val="0"/>
      <w:marBottom w:val="0"/>
      <w:divBdr>
        <w:top w:val="none" w:sz="0" w:space="0" w:color="auto"/>
        <w:left w:val="none" w:sz="0" w:space="0" w:color="auto"/>
        <w:bottom w:val="none" w:sz="0" w:space="0" w:color="auto"/>
        <w:right w:val="none" w:sz="0" w:space="0" w:color="auto"/>
      </w:divBdr>
    </w:div>
    <w:div w:id="538393964">
      <w:bodyDiv w:val="1"/>
      <w:marLeft w:val="0"/>
      <w:marRight w:val="0"/>
      <w:marTop w:val="0"/>
      <w:marBottom w:val="0"/>
      <w:divBdr>
        <w:top w:val="none" w:sz="0" w:space="0" w:color="auto"/>
        <w:left w:val="none" w:sz="0" w:space="0" w:color="auto"/>
        <w:bottom w:val="none" w:sz="0" w:space="0" w:color="auto"/>
        <w:right w:val="none" w:sz="0" w:space="0" w:color="auto"/>
      </w:divBdr>
    </w:div>
    <w:div w:id="538475357">
      <w:bodyDiv w:val="1"/>
      <w:marLeft w:val="0"/>
      <w:marRight w:val="0"/>
      <w:marTop w:val="0"/>
      <w:marBottom w:val="0"/>
      <w:divBdr>
        <w:top w:val="none" w:sz="0" w:space="0" w:color="auto"/>
        <w:left w:val="none" w:sz="0" w:space="0" w:color="auto"/>
        <w:bottom w:val="none" w:sz="0" w:space="0" w:color="auto"/>
        <w:right w:val="none" w:sz="0" w:space="0" w:color="auto"/>
      </w:divBdr>
    </w:div>
    <w:div w:id="538586754">
      <w:bodyDiv w:val="1"/>
      <w:marLeft w:val="0"/>
      <w:marRight w:val="0"/>
      <w:marTop w:val="0"/>
      <w:marBottom w:val="0"/>
      <w:divBdr>
        <w:top w:val="none" w:sz="0" w:space="0" w:color="auto"/>
        <w:left w:val="none" w:sz="0" w:space="0" w:color="auto"/>
        <w:bottom w:val="none" w:sz="0" w:space="0" w:color="auto"/>
        <w:right w:val="none" w:sz="0" w:space="0" w:color="auto"/>
      </w:divBdr>
    </w:div>
    <w:div w:id="538587978">
      <w:bodyDiv w:val="1"/>
      <w:marLeft w:val="0"/>
      <w:marRight w:val="0"/>
      <w:marTop w:val="0"/>
      <w:marBottom w:val="0"/>
      <w:divBdr>
        <w:top w:val="none" w:sz="0" w:space="0" w:color="auto"/>
        <w:left w:val="none" w:sz="0" w:space="0" w:color="auto"/>
        <w:bottom w:val="none" w:sz="0" w:space="0" w:color="auto"/>
        <w:right w:val="none" w:sz="0" w:space="0" w:color="auto"/>
      </w:divBdr>
    </w:div>
    <w:div w:id="538710831">
      <w:bodyDiv w:val="1"/>
      <w:marLeft w:val="0"/>
      <w:marRight w:val="0"/>
      <w:marTop w:val="0"/>
      <w:marBottom w:val="0"/>
      <w:divBdr>
        <w:top w:val="none" w:sz="0" w:space="0" w:color="auto"/>
        <w:left w:val="none" w:sz="0" w:space="0" w:color="auto"/>
        <w:bottom w:val="none" w:sz="0" w:space="0" w:color="auto"/>
        <w:right w:val="none" w:sz="0" w:space="0" w:color="auto"/>
      </w:divBdr>
    </w:div>
    <w:div w:id="538783692">
      <w:bodyDiv w:val="1"/>
      <w:marLeft w:val="0"/>
      <w:marRight w:val="0"/>
      <w:marTop w:val="0"/>
      <w:marBottom w:val="0"/>
      <w:divBdr>
        <w:top w:val="none" w:sz="0" w:space="0" w:color="auto"/>
        <w:left w:val="none" w:sz="0" w:space="0" w:color="auto"/>
        <w:bottom w:val="none" w:sz="0" w:space="0" w:color="auto"/>
        <w:right w:val="none" w:sz="0" w:space="0" w:color="auto"/>
      </w:divBdr>
    </w:div>
    <w:div w:id="538788239">
      <w:bodyDiv w:val="1"/>
      <w:marLeft w:val="0"/>
      <w:marRight w:val="0"/>
      <w:marTop w:val="0"/>
      <w:marBottom w:val="0"/>
      <w:divBdr>
        <w:top w:val="none" w:sz="0" w:space="0" w:color="auto"/>
        <w:left w:val="none" w:sz="0" w:space="0" w:color="auto"/>
        <w:bottom w:val="none" w:sz="0" w:space="0" w:color="auto"/>
        <w:right w:val="none" w:sz="0" w:space="0" w:color="auto"/>
      </w:divBdr>
    </w:div>
    <w:div w:id="538855931">
      <w:bodyDiv w:val="1"/>
      <w:marLeft w:val="0"/>
      <w:marRight w:val="0"/>
      <w:marTop w:val="0"/>
      <w:marBottom w:val="0"/>
      <w:divBdr>
        <w:top w:val="none" w:sz="0" w:space="0" w:color="auto"/>
        <w:left w:val="none" w:sz="0" w:space="0" w:color="auto"/>
        <w:bottom w:val="none" w:sz="0" w:space="0" w:color="auto"/>
        <w:right w:val="none" w:sz="0" w:space="0" w:color="auto"/>
      </w:divBdr>
    </w:div>
    <w:div w:id="538862903">
      <w:bodyDiv w:val="1"/>
      <w:marLeft w:val="0"/>
      <w:marRight w:val="0"/>
      <w:marTop w:val="0"/>
      <w:marBottom w:val="0"/>
      <w:divBdr>
        <w:top w:val="none" w:sz="0" w:space="0" w:color="auto"/>
        <w:left w:val="none" w:sz="0" w:space="0" w:color="auto"/>
        <w:bottom w:val="none" w:sz="0" w:space="0" w:color="auto"/>
        <w:right w:val="none" w:sz="0" w:space="0" w:color="auto"/>
      </w:divBdr>
    </w:div>
    <w:div w:id="538931129">
      <w:bodyDiv w:val="1"/>
      <w:marLeft w:val="0"/>
      <w:marRight w:val="0"/>
      <w:marTop w:val="0"/>
      <w:marBottom w:val="0"/>
      <w:divBdr>
        <w:top w:val="none" w:sz="0" w:space="0" w:color="auto"/>
        <w:left w:val="none" w:sz="0" w:space="0" w:color="auto"/>
        <w:bottom w:val="none" w:sz="0" w:space="0" w:color="auto"/>
        <w:right w:val="none" w:sz="0" w:space="0" w:color="auto"/>
      </w:divBdr>
    </w:div>
    <w:div w:id="538933932">
      <w:bodyDiv w:val="1"/>
      <w:marLeft w:val="0"/>
      <w:marRight w:val="0"/>
      <w:marTop w:val="0"/>
      <w:marBottom w:val="0"/>
      <w:divBdr>
        <w:top w:val="none" w:sz="0" w:space="0" w:color="auto"/>
        <w:left w:val="none" w:sz="0" w:space="0" w:color="auto"/>
        <w:bottom w:val="none" w:sz="0" w:space="0" w:color="auto"/>
        <w:right w:val="none" w:sz="0" w:space="0" w:color="auto"/>
      </w:divBdr>
    </w:div>
    <w:div w:id="538934403">
      <w:bodyDiv w:val="1"/>
      <w:marLeft w:val="0"/>
      <w:marRight w:val="0"/>
      <w:marTop w:val="0"/>
      <w:marBottom w:val="0"/>
      <w:divBdr>
        <w:top w:val="none" w:sz="0" w:space="0" w:color="auto"/>
        <w:left w:val="none" w:sz="0" w:space="0" w:color="auto"/>
        <w:bottom w:val="none" w:sz="0" w:space="0" w:color="auto"/>
        <w:right w:val="none" w:sz="0" w:space="0" w:color="auto"/>
      </w:divBdr>
    </w:div>
    <w:div w:id="539047601">
      <w:bodyDiv w:val="1"/>
      <w:marLeft w:val="0"/>
      <w:marRight w:val="0"/>
      <w:marTop w:val="0"/>
      <w:marBottom w:val="0"/>
      <w:divBdr>
        <w:top w:val="none" w:sz="0" w:space="0" w:color="auto"/>
        <w:left w:val="none" w:sz="0" w:space="0" w:color="auto"/>
        <w:bottom w:val="none" w:sz="0" w:space="0" w:color="auto"/>
        <w:right w:val="none" w:sz="0" w:space="0" w:color="auto"/>
      </w:divBdr>
    </w:div>
    <w:div w:id="539245744">
      <w:bodyDiv w:val="1"/>
      <w:marLeft w:val="0"/>
      <w:marRight w:val="0"/>
      <w:marTop w:val="0"/>
      <w:marBottom w:val="0"/>
      <w:divBdr>
        <w:top w:val="none" w:sz="0" w:space="0" w:color="auto"/>
        <w:left w:val="none" w:sz="0" w:space="0" w:color="auto"/>
        <w:bottom w:val="none" w:sz="0" w:space="0" w:color="auto"/>
        <w:right w:val="none" w:sz="0" w:space="0" w:color="auto"/>
      </w:divBdr>
    </w:div>
    <w:div w:id="539250460">
      <w:bodyDiv w:val="1"/>
      <w:marLeft w:val="0"/>
      <w:marRight w:val="0"/>
      <w:marTop w:val="0"/>
      <w:marBottom w:val="0"/>
      <w:divBdr>
        <w:top w:val="none" w:sz="0" w:space="0" w:color="auto"/>
        <w:left w:val="none" w:sz="0" w:space="0" w:color="auto"/>
        <w:bottom w:val="none" w:sz="0" w:space="0" w:color="auto"/>
        <w:right w:val="none" w:sz="0" w:space="0" w:color="auto"/>
      </w:divBdr>
    </w:div>
    <w:div w:id="539325141">
      <w:bodyDiv w:val="1"/>
      <w:marLeft w:val="0"/>
      <w:marRight w:val="0"/>
      <w:marTop w:val="0"/>
      <w:marBottom w:val="0"/>
      <w:divBdr>
        <w:top w:val="none" w:sz="0" w:space="0" w:color="auto"/>
        <w:left w:val="none" w:sz="0" w:space="0" w:color="auto"/>
        <w:bottom w:val="none" w:sz="0" w:space="0" w:color="auto"/>
        <w:right w:val="none" w:sz="0" w:space="0" w:color="auto"/>
      </w:divBdr>
    </w:div>
    <w:div w:id="539366051">
      <w:bodyDiv w:val="1"/>
      <w:marLeft w:val="0"/>
      <w:marRight w:val="0"/>
      <w:marTop w:val="0"/>
      <w:marBottom w:val="0"/>
      <w:divBdr>
        <w:top w:val="none" w:sz="0" w:space="0" w:color="auto"/>
        <w:left w:val="none" w:sz="0" w:space="0" w:color="auto"/>
        <w:bottom w:val="none" w:sz="0" w:space="0" w:color="auto"/>
        <w:right w:val="none" w:sz="0" w:space="0" w:color="auto"/>
      </w:divBdr>
    </w:div>
    <w:div w:id="539435531">
      <w:bodyDiv w:val="1"/>
      <w:marLeft w:val="0"/>
      <w:marRight w:val="0"/>
      <w:marTop w:val="0"/>
      <w:marBottom w:val="0"/>
      <w:divBdr>
        <w:top w:val="none" w:sz="0" w:space="0" w:color="auto"/>
        <w:left w:val="none" w:sz="0" w:space="0" w:color="auto"/>
        <w:bottom w:val="none" w:sz="0" w:space="0" w:color="auto"/>
        <w:right w:val="none" w:sz="0" w:space="0" w:color="auto"/>
      </w:divBdr>
    </w:div>
    <w:div w:id="539438086">
      <w:bodyDiv w:val="1"/>
      <w:marLeft w:val="0"/>
      <w:marRight w:val="0"/>
      <w:marTop w:val="0"/>
      <w:marBottom w:val="0"/>
      <w:divBdr>
        <w:top w:val="none" w:sz="0" w:space="0" w:color="auto"/>
        <w:left w:val="none" w:sz="0" w:space="0" w:color="auto"/>
        <w:bottom w:val="none" w:sz="0" w:space="0" w:color="auto"/>
        <w:right w:val="none" w:sz="0" w:space="0" w:color="auto"/>
      </w:divBdr>
    </w:div>
    <w:div w:id="539518296">
      <w:bodyDiv w:val="1"/>
      <w:marLeft w:val="0"/>
      <w:marRight w:val="0"/>
      <w:marTop w:val="0"/>
      <w:marBottom w:val="0"/>
      <w:divBdr>
        <w:top w:val="none" w:sz="0" w:space="0" w:color="auto"/>
        <w:left w:val="none" w:sz="0" w:space="0" w:color="auto"/>
        <w:bottom w:val="none" w:sz="0" w:space="0" w:color="auto"/>
        <w:right w:val="none" w:sz="0" w:space="0" w:color="auto"/>
      </w:divBdr>
    </w:div>
    <w:div w:id="539586202">
      <w:bodyDiv w:val="1"/>
      <w:marLeft w:val="0"/>
      <w:marRight w:val="0"/>
      <w:marTop w:val="0"/>
      <w:marBottom w:val="0"/>
      <w:divBdr>
        <w:top w:val="none" w:sz="0" w:space="0" w:color="auto"/>
        <w:left w:val="none" w:sz="0" w:space="0" w:color="auto"/>
        <w:bottom w:val="none" w:sz="0" w:space="0" w:color="auto"/>
        <w:right w:val="none" w:sz="0" w:space="0" w:color="auto"/>
      </w:divBdr>
    </w:div>
    <w:div w:id="539632900">
      <w:bodyDiv w:val="1"/>
      <w:marLeft w:val="0"/>
      <w:marRight w:val="0"/>
      <w:marTop w:val="0"/>
      <w:marBottom w:val="0"/>
      <w:divBdr>
        <w:top w:val="none" w:sz="0" w:space="0" w:color="auto"/>
        <w:left w:val="none" w:sz="0" w:space="0" w:color="auto"/>
        <w:bottom w:val="none" w:sz="0" w:space="0" w:color="auto"/>
        <w:right w:val="none" w:sz="0" w:space="0" w:color="auto"/>
      </w:divBdr>
    </w:div>
    <w:div w:id="539821133">
      <w:bodyDiv w:val="1"/>
      <w:marLeft w:val="0"/>
      <w:marRight w:val="0"/>
      <w:marTop w:val="0"/>
      <w:marBottom w:val="0"/>
      <w:divBdr>
        <w:top w:val="none" w:sz="0" w:space="0" w:color="auto"/>
        <w:left w:val="none" w:sz="0" w:space="0" w:color="auto"/>
        <w:bottom w:val="none" w:sz="0" w:space="0" w:color="auto"/>
        <w:right w:val="none" w:sz="0" w:space="0" w:color="auto"/>
      </w:divBdr>
    </w:div>
    <w:div w:id="540093742">
      <w:bodyDiv w:val="1"/>
      <w:marLeft w:val="0"/>
      <w:marRight w:val="0"/>
      <w:marTop w:val="0"/>
      <w:marBottom w:val="0"/>
      <w:divBdr>
        <w:top w:val="none" w:sz="0" w:space="0" w:color="auto"/>
        <w:left w:val="none" w:sz="0" w:space="0" w:color="auto"/>
        <w:bottom w:val="none" w:sz="0" w:space="0" w:color="auto"/>
        <w:right w:val="none" w:sz="0" w:space="0" w:color="auto"/>
      </w:divBdr>
    </w:div>
    <w:div w:id="540364138">
      <w:bodyDiv w:val="1"/>
      <w:marLeft w:val="0"/>
      <w:marRight w:val="0"/>
      <w:marTop w:val="0"/>
      <w:marBottom w:val="0"/>
      <w:divBdr>
        <w:top w:val="none" w:sz="0" w:space="0" w:color="auto"/>
        <w:left w:val="none" w:sz="0" w:space="0" w:color="auto"/>
        <w:bottom w:val="none" w:sz="0" w:space="0" w:color="auto"/>
        <w:right w:val="none" w:sz="0" w:space="0" w:color="auto"/>
      </w:divBdr>
    </w:div>
    <w:div w:id="540477419">
      <w:bodyDiv w:val="1"/>
      <w:marLeft w:val="0"/>
      <w:marRight w:val="0"/>
      <w:marTop w:val="0"/>
      <w:marBottom w:val="0"/>
      <w:divBdr>
        <w:top w:val="none" w:sz="0" w:space="0" w:color="auto"/>
        <w:left w:val="none" w:sz="0" w:space="0" w:color="auto"/>
        <w:bottom w:val="none" w:sz="0" w:space="0" w:color="auto"/>
        <w:right w:val="none" w:sz="0" w:space="0" w:color="auto"/>
      </w:divBdr>
    </w:div>
    <w:div w:id="540554953">
      <w:bodyDiv w:val="1"/>
      <w:marLeft w:val="0"/>
      <w:marRight w:val="0"/>
      <w:marTop w:val="0"/>
      <w:marBottom w:val="0"/>
      <w:divBdr>
        <w:top w:val="none" w:sz="0" w:space="0" w:color="auto"/>
        <w:left w:val="none" w:sz="0" w:space="0" w:color="auto"/>
        <w:bottom w:val="none" w:sz="0" w:space="0" w:color="auto"/>
        <w:right w:val="none" w:sz="0" w:space="0" w:color="auto"/>
      </w:divBdr>
    </w:div>
    <w:div w:id="540558242">
      <w:bodyDiv w:val="1"/>
      <w:marLeft w:val="0"/>
      <w:marRight w:val="0"/>
      <w:marTop w:val="0"/>
      <w:marBottom w:val="0"/>
      <w:divBdr>
        <w:top w:val="none" w:sz="0" w:space="0" w:color="auto"/>
        <w:left w:val="none" w:sz="0" w:space="0" w:color="auto"/>
        <w:bottom w:val="none" w:sz="0" w:space="0" w:color="auto"/>
        <w:right w:val="none" w:sz="0" w:space="0" w:color="auto"/>
      </w:divBdr>
    </w:div>
    <w:div w:id="540630072">
      <w:bodyDiv w:val="1"/>
      <w:marLeft w:val="0"/>
      <w:marRight w:val="0"/>
      <w:marTop w:val="0"/>
      <w:marBottom w:val="0"/>
      <w:divBdr>
        <w:top w:val="none" w:sz="0" w:space="0" w:color="auto"/>
        <w:left w:val="none" w:sz="0" w:space="0" w:color="auto"/>
        <w:bottom w:val="none" w:sz="0" w:space="0" w:color="auto"/>
        <w:right w:val="none" w:sz="0" w:space="0" w:color="auto"/>
      </w:divBdr>
    </w:div>
    <w:div w:id="540632207">
      <w:bodyDiv w:val="1"/>
      <w:marLeft w:val="0"/>
      <w:marRight w:val="0"/>
      <w:marTop w:val="0"/>
      <w:marBottom w:val="0"/>
      <w:divBdr>
        <w:top w:val="none" w:sz="0" w:space="0" w:color="auto"/>
        <w:left w:val="none" w:sz="0" w:space="0" w:color="auto"/>
        <w:bottom w:val="none" w:sz="0" w:space="0" w:color="auto"/>
        <w:right w:val="none" w:sz="0" w:space="0" w:color="auto"/>
      </w:divBdr>
    </w:div>
    <w:div w:id="540702790">
      <w:bodyDiv w:val="1"/>
      <w:marLeft w:val="0"/>
      <w:marRight w:val="0"/>
      <w:marTop w:val="0"/>
      <w:marBottom w:val="0"/>
      <w:divBdr>
        <w:top w:val="none" w:sz="0" w:space="0" w:color="auto"/>
        <w:left w:val="none" w:sz="0" w:space="0" w:color="auto"/>
        <w:bottom w:val="none" w:sz="0" w:space="0" w:color="auto"/>
        <w:right w:val="none" w:sz="0" w:space="0" w:color="auto"/>
      </w:divBdr>
    </w:div>
    <w:div w:id="540751944">
      <w:bodyDiv w:val="1"/>
      <w:marLeft w:val="0"/>
      <w:marRight w:val="0"/>
      <w:marTop w:val="0"/>
      <w:marBottom w:val="0"/>
      <w:divBdr>
        <w:top w:val="none" w:sz="0" w:space="0" w:color="auto"/>
        <w:left w:val="none" w:sz="0" w:space="0" w:color="auto"/>
        <w:bottom w:val="none" w:sz="0" w:space="0" w:color="auto"/>
        <w:right w:val="none" w:sz="0" w:space="0" w:color="auto"/>
      </w:divBdr>
    </w:div>
    <w:div w:id="540900685">
      <w:bodyDiv w:val="1"/>
      <w:marLeft w:val="0"/>
      <w:marRight w:val="0"/>
      <w:marTop w:val="0"/>
      <w:marBottom w:val="0"/>
      <w:divBdr>
        <w:top w:val="none" w:sz="0" w:space="0" w:color="auto"/>
        <w:left w:val="none" w:sz="0" w:space="0" w:color="auto"/>
        <w:bottom w:val="none" w:sz="0" w:space="0" w:color="auto"/>
        <w:right w:val="none" w:sz="0" w:space="0" w:color="auto"/>
      </w:divBdr>
    </w:div>
    <w:div w:id="541131615">
      <w:bodyDiv w:val="1"/>
      <w:marLeft w:val="0"/>
      <w:marRight w:val="0"/>
      <w:marTop w:val="0"/>
      <w:marBottom w:val="0"/>
      <w:divBdr>
        <w:top w:val="none" w:sz="0" w:space="0" w:color="auto"/>
        <w:left w:val="none" w:sz="0" w:space="0" w:color="auto"/>
        <w:bottom w:val="none" w:sz="0" w:space="0" w:color="auto"/>
        <w:right w:val="none" w:sz="0" w:space="0" w:color="auto"/>
      </w:divBdr>
    </w:div>
    <w:div w:id="541332379">
      <w:bodyDiv w:val="1"/>
      <w:marLeft w:val="0"/>
      <w:marRight w:val="0"/>
      <w:marTop w:val="0"/>
      <w:marBottom w:val="0"/>
      <w:divBdr>
        <w:top w:val="none" w:sz="0" w:space="0" w:color="auto"/>
        <w:left w:val="none" w:sz="0" w:space="0" w:color="auto"/>
        <w:bottom w:val="none" w:sz="0" w:space="0" w:color="auto"/>
        <w:right w:val="none" w:sz="0" w:space="0" w:color="auto"/>
      </w:divBdr>
    </w:div>
    <w:div w:id="541408631">
      <w:bodyDiv w:val="1"/>
      <w:marLeft w:val="0"/>
      <w:marRight w:val="0"/>
      <w:marTop w:val="0"/>
      <w:marBottom w:val="0"/>
      <w:divBdr>
        <w:top w:val="none" w:sz="0" w:space="0" w:color="auto"/>
        <w:left w:val="none" w:sz="0" w:space="0" w:color="auto"/>
        <w:bottom w:val="none" w:sz="0" w:space="0" w:color="auto"/>
        <w:right w:val="none" w:sz="0" w:space="0" w:color="auto"/>
      </w:divBdr>
    </w:div>
    <w:div w:id="541553568">
      <w:bodyDiv w:val="1"/>
      <w:marLeft w:val="0"/>
      <w:marRight w:val="0"/>
      <w:marTop w:val="0"/>
      <w:marBottom w:val="0"/>
      <w:divBdr>
        <w:top w:val="none" w:sz="0" w:space="0" w:color="auto"/>
        <w:left w:val="none" w:sz="0" w:space="0" w:color="auto"/>
        <w:bottom w:val="none" w:sz="0" w:space="0" w:color="auto"/>
        <w:right w:val="none" w:sz="0" w:space="0" w:color="auto"/>
      </w:divBdr>
    </w:div>
    <w:div w:id="541554811">
      <w:bodyDiv w:val="1"/>
      <w:marLeft w:val="0"/>
      <w:marRight w:val="0"/>
      <w:marTop w:val="0"/>
      <w:marBottom w:val="0"/>
      <w:divBdr>
        <w:top w:val="none" w:sz="0" w:space="0" w:color="auto"/>
        <w:left w:val="none" w:sz="0" w:space="0" w:color="auto"/>
        <w:bottom w:val="none" w:sz="0" w:space="0" w:color="auto"/>
        <w:right w:val="none" w:sz="0" w:space="0" w:color="auto"/>
      </w:divBdr>
    </w:div>
    <w:div w:id="541555950">
      <w:bodyDiv w:val="1"/>
      <w:marLeft w:val="0"/>
      <w:marRight w:val="0"/>
      <w:marTop w:val="0"/>
      <w:marBottom w:val="0"/>
      <w:divBdr>
        <w:top w:val="none" w:sz="0" w:space="0" w:color="auto"/>
        <w:left w:val="none" w:sz="0" w:space="0" w:color="auto"/>
        <w:bottom w:val="none" w:sz="0" w:space="0" w:color="auto"/>
        <w:right w:val="none" w:sz="0" w:space="0" w:color="auto"/>
      </w:divBdr>
    </w:div>
    <w:div w:id="541594864">
      <w:bodyDiv w:val="1"/>
      <w:marLeft w:val="0"/>
      <w:marRight w:val="0"/>
      <w:marTop w:val="0"/>
      <w:marBottom w:val="0"/>
      <w:divBdr>
        <w:top w:val="none" w:sz="0" w:space="0" w:color="auto"/>
        <w:left w:val="none" w:sz="0" w:space="0" w:color="auto"/>
        <w:bottom w:val="none" w:sz="0" w:space="0" w:color="auto"/>
        <w:right w:val="none" w:sz="0" w:space="0" w:color="auto"/>
      </w:divBdr>
    </w:div>
    <w:div w:id="541595356">
      <w:bodyDiv w:val="1"/>
      <w:marLeft w:val="0"/>
      <w:marRight w:val="0"/>
      <w:marTop w:val="0"/>
      <w:marBottom w:val="0"/>
      <w:divBdr>
        <w:top w:val="none" w:sz="0" w:space="0" w:color="auto"/>
        <w:left w:val="none" w:sz="0" w:space="0" w:color="auto"/>
        <w:bottom w:val="none" w:sz="0" w:space="0" w:color="auto"/>
        <w:right w:val="none" w:sz="0" w:space="0" w:color="auto"/>
      </w:divBdr>
    </w:div>
    <w:div w:id="541675235">
      <w:bodyDiv w:val="1"/>
      <w:marLeft w:val="0"/>
      <w:marRight w:val="0"/>
      <w:marTop w:val="0"/>
      <w:marBottom w:val="0"/>
      <w:divBdr>
        <w:top w:val="none" w:sz="0" w:space="0" w:color="auto"/>
        <w:left w:val="none" w:sz="0" w:space="0" w:color="auto"/>
        <w:bottom w:val="none" w:sz="0" w:space="0" w:color="auto"/>
        <w:right w:val="none" w:sz="0" w:space="0" w:color="auto"/>
      </w:divBdr>
    </w:div>
    <w:div w:id="541866886">
      <w:bodyDiv w:val="1"/>
      <w:marLeft w:val="0"/>
      <w:marRight w:val="0"/>
      <w:marTop w:val="0"/>
      <w:marBottom w:val="0"/>
      <w:divBdr>
        <w:top w:val="none" w:sz="0" w:space="0" w:color="auto"/>
        <w:left w:val="none" w:sz="0" w:space="0" w:color="auto"/>
        <w:bottom w:val="none" w:sz="0" w:space="0" w:color="auto"/>
        <w:right w:val="none" w:sz="0" w:space="0" w:color="auto"/>
      </w:divBdr>
    </w:div>
    <w:div w:id="541937377">
      <w:bodyDiv w:val="1"/>
      <w:marLeft w:val="0"/>
      <w:marRight w:val="0"/>
      <w:marTop w:val="0"/>
      <w:marBottom w:val="0"/>
      <w:divBdr>
        <w:top w:val="none" w:sz="0" w:space="0" w:color="auto"/>
        <w:left w:val="none" w:sz="0" w:space="0" w:color="auto"/>
        <w:bottom w:val="none" w:sz="0" w:space="0" w:color="auto"/>
        <w:right w:val="none" w:sz="0" w:space="0" w:color="auto"/>
      </w:divBdr>
    </w:div>
    <w:div w:id="542058916">
      <w:bodyDiv w:val="1"/>
      <w:marLeft w:val="0"/>
      <w:marRight w:val="0"/>
      <w:marTop w:val="0"/>
      <w:marBottom w:val="0"/>
      <w:divBdr>
        <w:top w:val="none" w:sz="0" w:space="0" w:color="auto"/>
        <w:left w:val="none" w:sz="0" w:space="0" w:color="auto"/>
        <w:bottom w:val="none" w:sz="0" w:space="0" w:color="auto"/>
        <w:right w:val="none" w:sz="0" w:space="0" w:color="auto"/>
      </w:divBdr>
    </w:div>
    <w:div w:id="542061955">
      <w:bodyDiv w:val="1"/>
      <w:marLeft w:val="0"/>
      <w:marRight w:val="0"/>
      <w:marTop w:val="0"/>
      <w:marBottom w:val="0"/>
      <w:divBdr>
        <w:top w:val="none" w:sz="0" w:space="0" w:color="auto"/>
        <w:left w:val="none" w:sz="0" w:space="0" w:color="auto"/>
        <w:bottom w:val="none" w:sz="0" w:space="0" w:color="auto"/>
        <w:right w:val="none" w:sz="0" w:space="0" w:color="auto"/>
      </w:divBdr>
    </w:div>
    <w:div w:id="542131993">
      <w:bodyDiv w:val="1"/>
      <w:marLeft w:val="0"/>
      <w:marRight w:val="0"/>
      <w:marTop w:val="0"/>
      <w:marBottom w:val="0"/>
      <w:divBdr>
        <w:top w:val="none" w:sz="0" w:space="0" w:color="auto"/>
        <w:left w:val="none" w:sz="0" w:space="0" w:color="auto"/>
        <w:bottom w:val="none" w:sz="0" w:space="0" w:color="auto"/>
        <w:right w:val="none" w:sz="0" w:space="0" w:color="auto"/>
      </w:divBdr>
    </w:div>
    <w:div w:id="542136799">
      <w:bodyDiv w:val="1"/>
      <w:marLeft w:val="0"/>
      <w:marRight w:val="0"/>
      <w:marTop w:val="0"/>
      <w:marBottom w:val="0"/>
      <w:divBdr>
        <w:top w:val="none" w:sz="0" w:space="0" w:color="auto"/>
        <w:left w:val="none" w:sz="0" w:space="0" w:color="auto"/>
        <w:bottom w:val="none" w:sz="0" w:space="0" w:color="auto"/>
        <w:right w:val="none" w:sz="0" w:space="0" w:color="auto"/>
      </w:divBdr>
    </w:div>
    <w:div w:id="542179398">
      <w:bodyDiv w:val="1"/>
      <w:marLeft w:val="0"/>
      <w:marRight w:val="0"/>
      <w:marTop w:val="0"/>
      <w:marBottom w:val="0"/>
      <w:divBdr>
        <w:top w:val="none" w:sz="0" w:space="0" w:color="auto"/>
        <w:left w:val="none" w:sz="0" w:space="0" w:color="auto"/>
        <w:bottom w:val="none" w:sz="0" w:space="0" w:color="auto"/>
        <w:right w:val="none" w:sz="0" w:space="0" w:color="auto"/>
      </w:divBdr>
    </w:div>
    <w:div w:id="542251733">
      <w:bodyDiv w:val="1"/>
      <w:marLeft w:val="0"/>
      <w:marRight w:val="0"/>
      <w:marTop w:val="0"/>
      <w:marBottom w:val="0"/>
      <w:divBdr>
        <w:top w:val="none" w:sz="0" w:space="0" w:color="auto"/>
        <w:left w:val="none" w:sz="0" w:space="0" w:color="auto"/>
        <w:bottom w:val="none" w:sz="0" w:space="0" w:color="auto"/>
        <w:right w:val="none" w:sz="0" w:space="0" w:color="auto"/>
      </w:divBdr>
    </w:div>
    <w:div w:id="542253629">
      <w:bodyDiv w:val="1"/>
      <w:marLeft w:val="0"/>
      <w:marRight w:val="0"/>
      <w:marTop w:val="0"/>
      <w:marBottom w:val="0"/>
      <w:divBdr>
        <w:top w:val="none" w:sz="0" w:space="0" w:color="auto"/>
        <w:left w:val="none" w:sz="0" w:space="0" w:color="auto"/>
        <w:bottom w:val="none" w:sz="0" w:space="0" w:color="auto"/>
        <w:right w:val="none" w:sz="0" w:space="0" w:color="auto"/>
      </w:divBdr>
    </w:div>
    <w:div w:id="542256629">
      <w:bodyDiv w:val="1"/>
      <w:marLeft w:val="0"/>
      <w:marRight w:val="0"/>
      <w:marTop w:val="0"/>
      <w:marBottom w:val="0"/>
      <w:divBdr>
        <w:top w:val="none" w:sz="0" w:space="0" w:color="auto"/>
        <w:left w:val="none" w:sz="0" w:space="0" w:color="auto"/>
        <w:bottom w:val="none" w:sz="0" w:space="0" w:color="auto"/>
        <w:right w:val="none" w:sz="0" w:space="0" w:color="auto"/>
      </w:divBdr>
    </w:div>
    <w:div w:id="542331403">
      <w:bodyDiv w:val="1"/>
      <w:marLeft w:val="0"/>
      <w:marRight w:val="0"/>
      <w:marTop w:val="0"/>
      <w:marBottom w:val="0"/>
      <w:divBdr>
        <w:top w:val="none" w:sz="0" w:space="0" w:color="auto"/>
        <w:left w:val="none" w:sz="0" w:space="0" w:color="auto"/>
        <w:bottom w:val="none" w:sz="0" w:space="0" w:color="auto"/>
        <w:right w:val="none" w:sz="0" w:space="0" w:color="auto"/>
      </w:divBdr>
    </w:div>
    <w:div w:id="542376156">
      <w:bodyDiv w:val="1"/>
      <w:marLeft w:val="0"/>
      <w:marRight w:val="0"/>
      <w:marTop w:val="0"/>
      <w:marBottom w:val="0"/>
      <w:divBdr>
        <w:top w:val="none" w:sz="0" w:space="0" w:color="auto"/>
        <w:left w:val="none" w:sz="0" w:space="0" w:color="auto"/>
        <w:bottom w:val="none" w:sz="0" w:space="0" w:color="auto"/>
        <w:right w:val="none" w:sz="0" w:space="0" w:color="auto"/>
      </w:divBdr>
    </w:div>
    <w:div w:id="542596574">
      <w:bodyDiv w:val="1"/>
      <w:marLeft w:val="0"/>
      <w:marRight w:val="0"/>
      <w:marTop w:val="0"/>
      <w:marBottom w:val="0"/>
      <w:divBdr>
        <w:top w:val="none" w:sz="0" w:space="0" w:color="auto"/>
        <w:left w:val="none" w:sz="0" w:space="0" w:color="auto"/>
        <w:bottom w:val="none" w:sz="0" w:space="0" w:color="auto"/>
        <w:right w:val="none" w:sz="0" w:space="0" w:color="auto"/>
      </w:divBdr>
    </w:div>
    <w:div w:id="542715650">
      <w:bodyDiv w:val="1"/>
      <w:marLeft w:val="0"/>
      <w:marRight w:val="0"/>
      <w:marTop w:val="0"/>
      <w:marBottom w:val="0"/>
      <w:divBdr>
        <w:top w:val="none" w:sz="0" w:space="0" w:color="auto"/>
        <w:left w:val="none" w:sz="0" w:space="0" w:color="auto"/>
        <w:bottom w:val="none" w:sz="0" w:space="0" w:color="auto"/>
        <w:right w:val="none" w:sz="0" w:space="0" w:color="auto"/>
      </w:divBdr>
    </w:div>
    <w:div w:id="542979638">
      <w:bodyDiv w:val="1"/>
      <w:marLeft w:val="0"/>
      <w:marRight w:val="0"/>
      <w:marTop w:val="0"/>
      <w:marBottom w:val="0"/>
      <w:divBdr>
        <w:top w:val="none" w:sz="0" w:space="0" w:color="auto"/>
        <w:left w:val="none" w:sz="0" w:space="0" w:color="auto"/>
        <w:bottom w:val="none" w:sz="0" w:space="0" w:color="auto"/>
        <w:right w:val="none" w:sz="0" w:space="0" w:color="auto"/>
      </w:divBdr>
    </w:div>
    <w:div w:id="542981127">
      <w:bodyDiv w:val="1"/>
      <w:marLeft w:val="0"/>
      <w:marRight w:val="0"/>
      <w:marTop w:val="0"/>
      <w:marBottom w:val="0"/>
      <w:divBdr>
        <w:top w:val="none" w:sz="0" w:space="0" w:color="auto"/>
        <w:left w:val="none" w:sz="0" w:space="0" w:color="auto"/>
        <w:bottom w:val="none" w:sz="0" w:space="0" w:color="auto"/>
        <w:right w:val="none" w:sz="0" w:space="0" w:color="auto"/>
      </w:divBdr>
    </w:div>
    <w:div w:id="543172970">
      <w:bodyDiv w:val="1"/>
      <w:marLeft w:val="0"/>
      <w:marRight w:val="0"/>
      <w:marTop w:val="0"/>
      <w:marBottom w:val="0"/>
      <w:divBdr>
        <w:top w:val="none" w:sz="0" w:space="0" w:color="auto"/>
        <w:left w:val="none" w:sz="0" w:space="0" w:color="auto"/>
        <w:bottom w:val="none" w:sz="0" w:space="0" w:color="auto"/>
        <w:right w:val="none" w:sz="0" w:space="0" w:color="auto"/>
      </w:divBdr>
    </w:div>
    <w:div w:id="543296800">
      <w:bodyDiv w:val="1"/>
      <w:marLeft w:val="0"/>
      <w:marRight w:val="0"/>
      <w:marTop w:val="0"/>
      <w:marBottom w:val="0"/>
      <w:divBdr>
        <w:top w:val="none" w:sz="0" w:space="0" w:color="auto"/>
        <w:left w:val="none" w:sz="0" w:space="0" w:color="auto"/>
        <w:bottom w:val="none" w:sz="0" w:space="0" w:color="auto"/>
        <w:right w:val="none" w:sz="0" w:space="0" w:color="auto"/>
      </w:divBdr>
    </w:div>
    <w:div w:id="543492296">
      <w:bodyDiv w:val="1"/>
      <w:marLeft w:val="0"/>
      <w:marRight w:val="0"/>
      <w:marTop w:val="0"/>
      <w:marBottom w:val="0"/>
      <w:divBdr>
        <w:top w:val="none" w:sz="0" w:space="0" w:color="auto"/>
        <w:left w:val="none" w:sz="0" w:space="0" w:color="auto"/>
        <w:bottom w:val="none" w:sz="0" w:space="0" w:color="auto"/>
        <w:right w:val="none" w:sz="0" w:space="0" w:color="auto"/>
      </w:divBdr>
    </w:div>
    <w:div w:id="543518300">
      <w:bodyDiv w:val="1"/>
      <w:marLeft w:val="0"/>
      <w:marRight w:val="0"/>
      <w:marTop w:val="0"/>
      <w:marBottom w:val="0"/>
      <w:divBdr>
        <w:top w:val="none" w:sz="0" w:space="0" w:color="auto"/>
        <w:left w:val="none" w:sz="0" w:space="0" w:color="auto"/>
        <w:bottom w:val="none" w:sz="0" w:space="0" w:color="auto"/>
        <w:right w:val="none" w:sz="0" w:space="0" w:color="auto"/>
      </w:divBdr>
    </w:div>
    <w:div w:id="543521612">
      <w:bodyDiv w:val="1"/>
      <w:marLeft w:val="0"/>
      <w:marRight w:val="0"/>
      <w:marTop w:val="0"/>
      <w:marBottom w:val="0"/>
      <w:divBdr>
        <w:top w:val="none" w:sz="0" w:space="0" w:color="auto"/>
        <w:left w:val="none" w:sz="0" w:space="0" w:color="auto"/>
        <w:bottom w:val="none" w:sz="0" w:space="0" w:color="auto"/>
        <w:right w:val="none" w:sz="0" w:space="0" w:color="auto"/>
      </w:divBdr>
    </w:div>
    <w:div w:id="543566667">
      <w:bodyDiv w:val="1"/>
      <w:marLeft w:val="0"/>
      <w:marRight w:val="0"/>
      <w:marTop w:val="0"/>
      <w:marBottom w:val="0"/>
      <w:divBdr>
        <w:top w:val="none" w:sz="0" w:space="0" w:color="auto"/>
        <w:left w:val="none" w:sz="0" w:space="0" w:color="auto"/>
        <w:bottom w:val="none" w:sz="0" w:space="0" w:color="auto"/>
        <w:right w:val="none" w:sz="0" w:space="0" w:color="auto"/>
      </w:divBdr>
    </w:div>
    <w:div w:id="543639666">
      <w:bodyDiv w:val="1"/>
      <w:marLeft w:val="0"/>
      <w:marRight w:val="0"/>
      <w:marTop w:val="0"/>
      <w:marBottom w:val="0"/>
      <w:divBdr>
        <w:top w:val="none" w:sz="0" w:space="0" w:color="auto"/>
        <w:left w:val="none" w:sz="0" w:space="0" w:color="auto"/>
        <w:bottom w:val="none" w:sz="0" w:space="0" w:color="auto"/>
        <w:right w:val="none" w:sz="0" w:space="0" w:color="auto"/>
      </w:divBdr>
    </w:div>
    <w:div w:id="543713321">
      <w:bodyDiv w:val="1"/>
      <w:marLeft w:val="0"/>
      <w:marRight w:val="0"/>
      <w:marTop w:val="0"/>
      <w:marBottom w:val="0"/>
      <w:divBdr>
        <w:top w:val="none" w:sz="0" w:space="0" w:color="auto"/>
        <w:left w:val="none" w:sz="0" w:space="0" w:color="auto"/>
        <w:bottom w:val="none" w:sz="0" w:space="0" w:color="auto"/>
        <w:right w:val="none" w:sz="0" w:space="0" w:color="auto"/>
      </w:divBdr>
    </w:div>
    <w:div w:id="543836875">
      <w:bodyDiv w:val="1"/>
      <w:marLeft w:val="0"/>
      <w:marRight w:val="0"/>
      <w:marTop w:val="0"/>
      <w:marBottom w:val="0"/>
      <w:divBdr>
        <w:top w:val="none" w:sz="0" w:space="0" w:color="auto"/>
        <w:left w:val="none" w:sz="0" w:space="0" w:color="auto"/>
        <w:bottom w:val="none" w:sz="0" w:space="0" w:color="auto"/>
        <w:right w:val="none" w:sz="0" w:space="0" w:color="auto"/>
      </w:divBdr>
    </w:div>
    <w:div w:id="543978823">
      <w:bodyDiv w:val="1"/>
      <w:marLeft w:val="0"/>
      <w:marRight w:val="0"/>
      <w:marTop w:val="0"/>
      <w:marBottom w:val="0"/>
      <w:divBdr>
        <w:top w:val="none" w:sz="0" w:space="0" w:color="auto"/>
        <w:left w:val="none" w:sz="0" w:space="0" w:color="auto"/>
        <w:bottom w:val="none" w:sz="0" w:space="0" w:color="auto"/>
        <w:right w:val="none" w:sz="0" w:space="0" w:color="auto"/>
      </w:divBdr>
    </w:div>
    <w:div w:id="543979794">
      <w:bodyDiv w:val="1"/>
      <w:marLeft w:val="0"/>
      <w:marRight w:val="0"/>
      <w:marTop w:val="0"/>
      <w:marBottom w:val="0"/>
      <w:divBdr>
        <w:top w:val="none" w:sz="0" w:space="0" w:color="auto"/>
        <w:left w:val="none" w:sz="0" w:space="0" w:color="auto"/>
        <w:bottom w:val="none" w:sz="0" w:space="0" w:color="auto"/>
        <w:right w:val="none" w:sz="0" w:space="0" w:color="auto"/>
      </w:divBdr>
    </w:div>
    <w:div w:id="544292629">
      <w:bodyDiv w:val="1"/>
      <w:marLeft w:val="0"/>
      <w:marRight w:val="0"/>
      <w:marTop w:val="0"/>
      <w:marBottom w:val="0"/>
      <w:divBdr>
        <w:top w:val="none" w:sz="0" w:space="0" w:color="auto"/>
        <w:left w:val="none" w:sz="0" w:space="0" w:color="auto"/>
        <w:bottom w:val="none" w:sz="0" w:space="0" w:color="auto"/>
        <w:right w:val="none" w:sz="0" w:space="0" w:color="auto"/>
      </w:divBdr>
    </w:div>
    <w:div w:id="544374148">
      <w:bodyDiv w:val="1"/>
      <w:marLeft w:val="0"/>
      <w:marRight w:val="0"/>
      <w:marTop w:val="0"/>
      <w:marBottom w:val="0"/>
      <w:divBdr>
        <w:top w:val="none" w:sz="0" w:space="0" w:color="auto"/>
        <w:left w:val="none" w:sz="0" w:space="0" w:color="auto"/>
        <w:bottom w:val="none" w:sz="0" w:space="0" w:color="auto"/>
        <w:right w:val="none" w:sz="0" w:space="0" w:color="auto"/>
      </w:divBdr>
    </w:div>
    <w:div w:id="544411914">
      <w:bodyDiv w:val="1"/>
      <w:marLeft w:val="0"/>
      <w:marRight w:val="0"/>
      <w:marTop w:val="0"/>
      <w:marBottom w:val="0"/>
      <w:divBdr>
        <w:top w:val="none" w:sz="0" w:space="0" w:color="auto"/>
        <w:left w:val="none" w:sz="0" w:space="0" w:color="auto"/>
        <w:bottom w:val="none" w:sz="0" w:space="0" w:color="auto"/>
        <w:right w:val="none" w:sz="0" w:space="0" w:color="auto"/>
      </w:divBdr>
    </w:div>
    <w:div w:id="544486511">
      <w:bodyDiv w:val="1"/>
      <w:marLeft w:val="0"/>
      <w:marRight w:val="0"/>
      <w:marTop w:val="0"/>
      <w:marBottom w:val="0"/>
      <w:divBdr>
        <w:top w:val="none" w:sz="0" w:space="0" w:color="auto"/>
        <w:left w:val="none" w:sz="0" w:space="0" w:color="auto"/>
        <w:bottom w:val="none" w:sz="0" w:space="0" w:color="auto"/>
        <w:right w:val="none" w:sz="0" w:space="0" w:color="auto"/>
      </w:divBdr>
    </w:div>
    <w:div w:id="544487059">
      <w:bodyDiv w:val="1"/>
      <w:marLeft w:val="0"/>
      <w:marRight w:val="0"/>
      <w:marTop w:val="0"/>
      <w:marBottom w:val="0"/>
      <w:divBdr>
        <w:top w:val="none" w:sz="0" w:space="0" w:color="auto"/>
        <w:left w:val="none" w:sz="0" w:space="0" w:color="auto"/>
        <w:bottom w:val="none" w:sz="0" w:space="0" w:color="auto"/>
        <w:right w:val="none" w:sz="0" w:space="0" w:color="auto"/>
      </w:divBdr>
    </w:div>
    <w:div w:id="544606238">
      <w:bodyDiv w:val="1"/>
      <w:marLeft w:val="0"/>
      <w:marRight w:val="0"/>
      <w:marTop w:val="0"/>
      <w:marBottom w:val="0"/>
      <w:divBdr>
        <w:top w:val="none" w:sz="0" w:space="0" w:color="auto"/>
        <w:left w:val="none" w:sz="0" w:space="0" w:color="auto"/>
        <w:bottom w:val="none" w:sz="0" w:space="0" w:color="auto"/>
        <w:right w:val="none" w:sz="0" w:space="0" w:color="auto"/>
      </w:divBdr>
    </w:div>
    <w:div w:id="544608140">
      <w:bodyDiv w:val="1"/>
      <w:marLeft w:val="0"/>
      <w:marRight w:val="0"/>
      <w:marTop w:val="0"/>
      <w:marBottom w:val="0"/>
      <w:divBdr>
        <w:top w:val="none" w:sz="0" w:space="0" w:color="auto"/>
        <w:left w:val="none" w:sz="0" w:space="0" w:color="auto"/>
        <w:bottom w:val="none" w:sz="0" w:space="0" w:color="auto"/>
        <w:right w:val="none" w:sz="0" w:space="0" w:color="auto"/>
      </w:divBdr>
    </w:div>
    <w:div w:id="544759960">
      <w:bodyDiv w:val="1"/>
      <w:marLeft w:val="0"/>
      <w:marRight w:val="0"/>
      <w:marTop w:val="0"/>
      <w:marBottom w:val="0"/>
      <w:divBdr>
        <w:top w:val="none" w:sz="0" w:space="0" w:color="auto"/>
        <w:left w:val="none" w:sz="0" w:space="0" w:color="auto"/>
        <w:bottom w:val="none" w:sz="0" w:space="0" w:color="auto"/>
        <w:right w:val="none" w:sz="0" w:space="0" w:color="auto"/>
      </w:divBdr>
    </w:div>
    <w:div w:id="544828933">
      <w:bodyDiv w:val="1"/>
      <w:marLeft w:val="0"/>
      <w:marRight w:val="0"/>
      <w:marTop w:val="0"/>
      <w:marBottom w:val="0"/>
      <w:divBdr>
        <w:top w:val="none" w:sz="0" w:space="0" w:color="auto"/>
        <w:left w:val="none" w:sz="0" w:space="0" w:color="auto"/>
        <w:bottom w:val="none" w:sz="0" w:space="0" w:color="auto"/>
        <w:right w:val="none" w:sz="0" w:space="0" w:color="auto"/>
      </w:divBdr>
    </w:div>
    <w:div w:id="544951306">
      <w:bodyDiv w:val="1"/>
      <w:marLeft w:val="0"/>
      <w:marRight w:val="0"/>
      <w:marTop w:val="0"/>
      <w:marBottom w:val="0"/>
      <w:divBdr>
        <w:top w:val="none" w:sz="0" w:space="0" w:color="auto"/>
        <w:left w:val="none" w:sz="0" w:space="0" w:color="auto"/>
        <w:bottom w:val="none" w:sz="0" w:space="0" w:color="auto"/>
        <w:right w:val="none" w:sz="0" w:space="0" w:color="auto"/>
      </w:divBdr>
    </w:div>
    <w:div w:id="545029500">
      <w:bodyDiv w:val="1"/>
      <w:marLeft w:val="0"/>
      <w:marRight w:val="0"/>
      <w:marTop w:val="0"/>
      <w:marBottom w:val="0"/>
      <w:divBdr>
        <w:top w:val="none" w:sz="0" w:space="0" w:color="auto"/>
        <w:left w:val="none" w:sz="0" w:space="0" w:color="auto"/>
        <w:bottom w:val="none" w:sz="0" w:space="0" w:color="auto"/>
        <w:right w:val="none" w:sz="0" w:space="0" w:color="auto"/>
      </w:divBdr>
    </w:div>
    <w:div w:id="545067079">
      <w:bodyDiv w:val="1"/>
      <w:marLeft w:val="0"/>
      <w:marRight w:val="0"/>
      <w:marTop w:val="0"/>
      <w:marBottom w:val="0"/>
      <w:divBdr>
        <w:top w:val="none" w:sz="0" w:space="0" w:color="auto"/>
        <w:left w:val="none" w:sz="0" w:space="0" w:color="auto"/>
        <w:bottom w:val="none" w:sz="0" w:space="0" w:color="auto"/>
        <w:right w:val="none" w:sz="0" w:space="0" w:color="auto"/>
      </w:divBdr>
    </w:div>
    <w:div w:id="545071300">
      <w:bodyDiv w:val="1"/>
      <w:marLeft w:val="0"/>
      <w:marRight w:val="0"/>
      <w:marTop w:val="0"/>
      <w:marBottom w:val="0"/>
      <w:divBdr>
        <w:top w:val="none" w:sz="0" w:space="0" w:color="auto"/>
        <w:left w:val="none" w:sz="0" w:space="0" w:color="auto"/>
        <w:bottom w:val="none" w:sz="0" w:space="0" w:color="auto"/>
        <w:right w:val="none" w:sz="0" w:space="0" w:color="auto"/>
      </w:divBdr>
    </w:div>
    <w:div w:id="545145984">
      <w:bodyDiv w:val="1"/>
      <w:marLeft w:val="0"/>
      <w:marRight w:val="0"/>
      <w:marTop w:val="0"/>
      <w:marBottom w:val="0"/>
      <w:divBdr>
        <w:top w:val="none" w:sz="0" w:space="0" w:color="auto"/>
        <w:left w:val="none" w:sz="0" w:space="0" w:color="auto"/>
        <w:bottom w:val="none" w:sz="0" w:space="0" w:color="auto"/>
        <w:right w:val="none" w:sz="0" w:space="0" w:color="auto"/>
      </w:divBdr>
    </w:div>
    <w:div w:id="545333832">
      <w:bodyDiv w:val="1"/>
      <w:marLeft w:val="0"/>
      <w:marRight w:val="0"/>
      <w:marTop w:val="0"/>
      <w:marBottom w:val="0"/>
      <w:divBdr>
        <w:top w:val="none" w:sz="0" w:space="0" w:color="auto"/>
        <w:left w:val="none" w:sz="0" w:space="0" w:color="auto"/>
        <w:bottom w:val="none" w:sz="0" w:space="0" w:color="auto"/>
        <w:right w:val="none" w:sz="0" w:space="0" w:color="auto"/>
      </w:divBdr>
    </w:div>
    <w:div w:id="545408061">
      <w:bodyDiv w:val="1"/>
      <w:marLeft w:val="0"/>
      <w:marRight w:val="0"/>
      <w:marTop w:val="0"/>
      <w:marBottom w:val="0"/>
      <w:divBdr>
        <w:top w:val="none" w:sz="0" w:space="0" w:color="auto"/>
        <w:left w:val="none" w:sz="0" w:space="0" w:color="auto"/>
        <w:bottom w:val="none" w:sz="0" w:space="0" w:color="auto"/>
        <w:right w:val="none" w:sz="0" w:space="0" w:color="auto"/>
      </w:divBdr>
    </w:div>
    <w:div w:id="545485780">
      <w:bodyDiv w:val="1"/>
      <w:marLeft w:val="0"/>
      <w:marRight w:val="0"/>
      <w:marTop w:val="0"/>
      <w:marBottom w:val="0"/>
      <w:divBdr>
        <w:top w:val="none" w:sz="0" w:space="0" w:color="auto"/>
        <w:left w:val="none" w:sz="0" w:space="0" w:color="auto"/>
        <w:bottom w:val="none" w:sz="0" w:space="0" w:color="auto"/>
        <w:right w:val="none" w:sz="0" w:space="0" w:color="auto"/>
      </w:divBdr>
    </w:div>
    <w:div w:id="545531245">
      <w:bodyDiv w:val="1"/>
      <w:marLeft w:val="0"/>
      <w:marRight w:val="0"/>
      <w:marTop w:val="0"/>
      <w:marBottom w:val="0"/>
      <w:divBdr>
        <w:top w:val="none" w:sz="0" w:space="0" w:color="auto"/>
        <w:left w:val="none" w:sz="0" w:space="0" w:color="auto"/>
        <w:bottom w:val="none" w:sz="0" w:space="0" w:color="auto"/>
        <w:right w:val="none" w:sz="0" w:space="0" w:color="auto"/>
      </w:divBdr>
    </w:div>
    <w:div w:id="545533473">
      <w:bodyDiv w:val="1"/>
      <w:marLeft w:val="0"/>
      <w:marRight w:val="0"/>
      <w:marTop w:val="0"/>
      <w:marBottom w:val="0"/>
      <w:divBdr>
        <w:top w:val="none" w:sz="0" w:space="0" w:color="auto"/>
        <w:left w:val="none" w:sz="0" w:space="0" w:color="auto"/>
        <w:bottom w:val="none" w:sz="0" w:space="0" w:color="auto"/>
        <w:right w:val="none" w:sz="0" w:space="0" w:color="auto"/>
      </w:divBdr>
    </w:div>
    <w:div w:id="545534138">
      <w:bodyDiv w:val="1"/>
      <w:marLeft w:val="0"/>
      <w:marRight w:val="0"/>
      <w:marTop w:val="0"/>
      <w:marBottom w:val="0"/>
      <w:divBdr>
        <w:top w:val="none" w:sz="0" w:space="0" w:color="auto"/>
        <w:left w:val="none" w:sz="0" w:space="0" w:color="auto"/>
        <w:bottom w:val="none" w:sz="0" w:space="0" w:color="auto"/>
        <w:right w:val="none" w:sz="0" w:space="0" w:color="auto"/>
      </w:divBdr>
    </w:div>
    <w:div w:id="545724673">
      <w:bodyDiv w:val="1"/>
      <w:marLeft w:val="0"/>
      <w:marRight w:val="0"/>
      <w:marTop w:val="0"/>
      <w:marBottom w:val="0"/>
      <w:divBdr>
        <w:top w:val="none" w:sz="0" w:space="0" w:color="auto"/>
        <w:left w:val="none" w:sz="0" w:space="0" w:color="auto"/>
        <w:bottom w:val="none" w:sz="0" w:space="0" w:color="auto"/>
        <w:right w:val="none" w:sz="0" w:space="0" w:color="auto"/>
      </w:divBdr>
    </w:div>
    <w:div w:id="545875128">
      <w:bodyDiv w:val="1"/>
      <w:marLeft w:val="0"/>
      <w:marRight w:val="0"/>
      <w:marTop w:val="0"/>
      <w:marBottom w:val="0"/>
      <w:divBdr>
        <w:top w:val="none" w:sz="0" w:space="0" w:color="auto"/>
        <w:left w:val="none" w:sz="0" w:space="0" w:color="auto"/>
        <w:bottom w:val="none" w:sz="0" w:space="0" w:color="auto"/>
        <w:right w:val="none" w:sz="0" w:space="0" w:color="auto"/>
      </w:divBdr>
    </w:div>
    <w:div w:id="545878457">
      <w:bodyDiv w:val="1"/>
      <w:marLeft w:val="0"/>
      <w:marRight w:val="0"/>
      <w:marTop w:val="0"/>
      <w:marBottom w:val="0"/>
      <w:divBdr>
        <w:top w:val="none" w:sz="0" w:space="0" w:color="auto"/>
        <w:left w:val="none" w:sz="0" w:space="0" w:color="auto"/>
        <w:bottom w:val="none" w:sz="0" w:space="0" w:color="auto"/>
        <w:right w:val="none" w:sz="0" w:space="0" w:color="auto"/>
      </w:divBdr>
    </w:div>
    <w:div w:id="545989562">
      <w:bodyDiv w:val="1"/>
      <w:marLeft w:val="0"/>
      <w:marRight w:val="0"/>
      <w:marTop w:val="0"/>
      <w:marBottom w:val="0"/>
      <w:divBdr>
        <w:top w:val="none" w:sz="0" w:space="0" w:color="auto"/>
        <w:left w:val="none" w:sz="0" w:space="0" w:color="auto"/>
        <w:bottom w:val="none" w:sz="0" w:space="0" w:color="auto"/>
        <w:right w:val="none" w:sz="0" w:space="0" w:color="auto"/>
      </w:divBdr>
    </w:div>
    <w:div w:id="546112359">
      <w:bodyDiv w:val="1"/>
      <w:marLeft w:val="0"/>
      <w:marRight w:val="0"/>
      <w:marTop w:val="0"/>
      <w:marBottom w:val="0"/>
      <w:divBdr>
        <w:top w:val="none" w:sz="0" w:space="0" w:color="auto"/>
        <w:left w:val="none" w:sz="0" w:space="0" w:color="auto"/>
        <w:bottom w:val="none" w:sz="0" w:space="0" w:color="auto"/>
        <w:right w:val="none" w:sz="0" w:space="0" w:color="auto"/>
      </w:divBdr>
    </w:div>
    <w:div w:id="546451751">
      <w:bodyDiv w:val="1"/>
      <w:marLeft w:val="0"/>
      <w:marRight w:val="0"/>
      <w:marTop w:val="0"/>
      <w:marBottom w:val="0"/>
      <w:divBdr>
        <w:top w:val="none" w:sz="0" w:space="0" w:color="auto"/>
        <w:left w:val="none" w:sz="0" w:space="0" w:color="auto"/>
        <w:bottom w:val="none" w:sz="0" w:space="0" w:color="auto"/>
        <w:right w:val="none" w:sz="0" w:space="0" w:color="auto"/>
      </w:divBdr>
    </w:div>
    <w:div w:id="546456293">
      <w:bodyDiv w:val="1"/>
      <w:marLeft w:val="0"/>
      <w:marRight w:val="0"/>
      <w:marTop w:val="0"/>
      <w:marBottom w:val="0"/>
      <w:divBdr>
        <w:top w:val="none" w:sz="0" w:space="0" w:color="auto"/>
        <w:left w:val="none" w:sz="0" w:space="0" w:color="auto"/>
        <w:bottom w:val="none" w:sz="0" w:space="0" w:color="auto"/>
        <w:right w:val="none" w:sz="0" w:space="0" w:color="auto"/>
      </w:divBdr>
    </w:div>
    <w:div w:id="546644247">
      <w:bodyDiv w:val="1"/>
      <w:marLeft w:val="0"/>
      <w:marRight w:val="0"/>
      <w:marTop w:val="0"/>
      <w:marBottom w:val="0"/>
      <w:divBdr>
        <w:top w:val="none" w:sz="0" w:space="0" w:color="auto"/>
        <w:left w:val="none" w:sz="0" w:space="0" w:color="auto"/>
        <w:bottom w:val="none" w:sz="0" w:space="0" w:color="auto"/>
        <w:right w:val="none" w:sz="0" w:space="0" w:color="auto"/>
      </w:divBdr>
    </w:div>
    <w:div w:id="546648568">
      <w:bodyDiv w:val="1"/>
      <w:marLeft w:val="0"/>
      <w:marRight w:val="0"/>
      <w:marTop w:val="0"/>
      <w:marBottom w:val="0"/>
      <w:divBdr>
        <w:top w:val="none" w:sz="0" w:space="0" w:color="auto"/>
        <w:left w:val="none" w:sz="0" w:space="0" w:color="auto"/>
        <w:bottom w:val="none" w:sz="0" w:space="0" w:color="auto"/>
        <w:right w:val="none" w:sz="0" w:space="0" w:color="auto"/>
      </w:divBdr>
    </w:div>
    <w:div w:id="546768149">
      <w:bodyDiv w:val="1"/>
      <w:marLeft w:val="0"/>
      <w:marRight w:val="0"/>
      <w:marTop w:val="0"/>
      <w:marBottom w:val="0"/>
      <w:divBdr>
        <w:top w:val="none" w:sz="0" w:space="0" w:color="auto"/>
        <w:left w:val="none" w:sz="0" w:space="0" w:color="auto"/>
        <w:bottom w:val="none" w:sz="0" w:space="0" w:color="auto"/>
        <w:right w:val="none" w:sz="0" w:space="0" w:color="auto"/>
      </w:divBdr>
    </w:div>
    <w:div w:id="546768229">
      <w:bodyDiv w:val="1"/>
      <w:marLeft w:val="0"/>
      <w:marRight w:val="0"/>
      <w:marTop w:val="0"/>
      <w:marBottom w:val="0"/>
      <w:divBdr>
        <w:top w:val="none" w:sz="0" w:space="0" w:color="auto"/>
        <w:left w:val="none" w:sz="0" w:space="0" w:color="auto"/>
        <w:bottom w:val="none" w:sz="0" w:space="0" w:color="auto"/>
        <w:right w:val="none" w:sz="0" w:space="0" w:color="auto"/>
      </w:divBdr>
    </w:div>
    <w:div w:id="546912935">
      <w:bodyDiv w:val="1"/>
      <w:marLeft w:val="0"/>
      <w:marRight w:val="0"/>
      <w:marTop w:val="0"/>
      <w:marBottom w:val="0"/>
      <w:divBdr>
        <w:top w:val="none" w:sz="0" w:space="0" w:color="auto"/>
        <w:left w:val="none" w:sz="0" w:space="0" w:color="auto"/>
        <w:bottom w:val="none" w:sz="0" w:space="0" w:color="auto"/>
        <w:right w:val="none" w:sz="0" w:space="0" w:color="auto"/>
      </w:divBdr>
    </w:div>
    <w:div w:id="546988955">
      <w:bodyDiv w:val="1"/>
      <w:marLeft w:val="0"/>
      <w:marRight w:val="0"/>
      <w:marTop w:val="0"/>
      <w:marBottom w:val="0"/>
      <w:divBdr>
        <w:top w:val="none" w:sz="0" w:space="0" w:color="auto"/>
        <w:left w:val="none" w:sz="0" w:space="0" w:color="auto"/>
        <w:bottom w:val="none" w:sz="0" w:space="0" w:color="auto"/>
        <w:right w:val="none" w:sz="0" w:space="0" w:color="auto"/>
      </w:divBdr>
    </w:div>
    <w:div w:id="547032185">
      <w:bodyDiv w:val="1"/>
      <w:marLeft w:val="0"/>
      <w:marRight w:val="0"/>
      <w:marTop w:val="0"/>
      <w:marBottom w:val="0"/>
      <w:divBdr>
        <w:top w:val="none" w:sz="0" w:space="0" w:color="auto"/>
        <w:left w:val="none" w:sz="0" w:space="0" w:color="auto"/>
        <w:bottom w:val="none" w:sz="0" w:space="0" w:color="auto"/>
        <w:right w:val="none" w:sz="0" w:space="0" w:color="auto"/>
      </w:divBdr>
    </w:div>
    <w:div w:id="547179751">
      <w:bodyDiv w:val="1"/>
      <w:marLeft w:val="0"/>
      <w:marRight w:val="0"/>
      <w:marTop w:val="0"/>
      <w:marBottom w:val="0"/>
      <w:divBdr>
        <w:top w:val="none" w:sz="0" w:space="0" w:color="auto"/>
        <w:left w:val="none" w:sz="0" w:space="0" w:color="auto"/>
        <w:bottom w:val="none" w:sz="0" w:space="0" w:color="auto"/>
        <w:right w:val="none" w:sz="0" w:space="0" w:color="auto"/>
      </w:divBdr>
    </w:div>
    <w:div w:id="547182324">
      <w:bodyDiv w:val="1"/>
      <w:marLeft w:val="0"/>
      <w:marRight w:val="0"/>
      <w:marTop w:val="0"/>
      <w:marBottom w:val="0"/>
      <w:divBdr>
        <w:top w:val="none" w:sz="0" w:space="0" w:color="auto"/>
        <w:left w:val="none" w:sz="0" w:space="0" w:color="auto"/>
        <w:bottom w:val="none" w:sz="0" w:space="0" w:color="auto"/>
        <w:right w:val="none" w:sz="0" w:space="0" w:color="auto"/>
      </w:divBdr>
    </w:div>
    <w:div w:id="547184536">
      <w:bodyDiv w:val="1"/>
      <w:marLeft w:val="0"/>
      <w:marRight w:val="0"/>
      <w:marTop w:val="0"/>
      <w:marBottom w:val="0"/>
      <w:divBdr>
        <w:top w:val="none" w:sz="0" w:space="0" w:color="auto"/>
        <w:left w:val="none" w:sz="0" w:space="0" w:color="auto"/>
        <w:bottom w:val="none" w:sz="0" w:space="0" w:color="auto"/>
        <w:right w:val="none" w:sz="0" w:space="0" w:color="auto"/>
      </w:divBdr>
    </w:div>
    <w:div w:id="547188315">
      <w:bodyDiv w:val="1"/>
      <w:marLeft w:val="0"/>
      <w:marRight w:val="0"/>
      <w:marTop w:val="0"/>
      <w:marBottom w:val="0"/>
      <w:divBdr>
        <w:top w:val="none" w:sz="0" w:space="0" w:color="auto"/>
        <w:left w:val="none" w:sz="0" w:space="0" w:color="auto"/>
        <w:bottom w:val="none" w:sz="0" w:space="0" w:color="auto"/>
        <w:right w:val="none" w:sz="0" w:space="0" w:color="auto"/>
      </w:divBdr>
    </w:div>
    <w:div w:id="547450482">
      <w:bodyDiv w:val="1"/>
      <w:marLeft w:val="0"/>
      <w:marRight w:val="0"/>
      <w:marTop w:val="0"/>
      <w:marBottom w:val="0"/>
      <w:divBdr>
        <w:top w:val="none" w:sz="0" w:space="0" w:color="auto"/>
        <w:left w:val="none" w:sz="0" w:space="0" w:color="auto"/>
        <w:bottom w:val="none" w:sz="0" w:space="0" w:color="auto"/>
        <w:right w:val="none" w:sz="0" w:space="0" w:color="auto"/>
      </w:divBdr>
    </w:div>
    <w:div w:id="547497437">
      <w:bodyDiv w:val="1"/>
      <w:marLeft w:val="0"/>
      <w:marRight w:val="0"/>
      <w:marTop w:val="0"/>
      <w:marBottom w:val="0"/>
      <w:divBdr>
        <w:top w:val="none" w:sz="0" w:space="0" w:color="auto"/>
        <w:left w:val="none" w:sz="0" w:space="0" w:color="auto"/>
        <w:bottom w:val="none" w:sz="0" w:space="0" w:color="auto"/>
        <w:right w:val="none" w:sz="0" w:space="0" w:color="auto"/>
      </w:divBdr>
    </w:div>
    <w:div w:id="547573493">
      <w:bodyDiv w:val="1"/>
      <w:marLeft w:val="0"/>
      <w:marRight w:val="0"/>
      <w:marTop w:val="0"/>
      <w:marBottom w:val="0"/>
      <w:divBdr>
        <w:top w:val="none" w:sz="0" w:space="0" w:color="auto"/>
        <w:left w:val="none" w:sz="0" w:space="0" w:color="auto"/>
        <w:bottom w:val="none" w:sz="0" w:space="0" w:color="auto"/>
        <w:right w:val="none" w:sz="0" w:space="0" w:color="auto"/>
      </w:divBdr>
    </w:div>
    <w:div w:id="547685383">
      <w:bodyDiv w:val="1"/>
      <w:marLeft w:val="0"/>
      <w:marRight w:val="0"/>
      <w:marTop w:val="0"/>
      <w:marBottom w:val="0"/>
      <w:divBdr>
        <w:top w:val="none" w:sz="0" w:space="0" w:color="auto"/>
        <w:left w:val="none" w:sz="0" w:space="0" w:color="auto"/>
        <w:bottom w:val="none" w:sz="0" w:space="0" w:color="auto"/>
        <w:right w:val="none" w:sz="0" w:space="0" w:color="auto"/>
      </w:divBdr>
    </w:div>
    <w:div w:id="547687540">
      <w:bodyDiv w:val="1"/>
      <w:marLeft w:val="0"/>
      <w:marRight w:val="0"/>
      <w:marTop w:val="0"/>
      <w:marBottom w:val="0"/>
      <w:divBdr>
        <w:top w:val="none" w:sz="0" w:space="0" w:color="auto"/>
        <w:left w:val="none" w:sz="0" w:space="0" w:color="auto"/>
        <w:bottom w:val="none" w:sz="0" w:space="0" w:color="auto"/>
        <w:right w:val="none" w:sz="0" w:space="0" w:color="auto"/>
      </w:divBdr>
    </w:div>
    <w:div w:id="547691638">
      <w:bodyDiv w:val="1"/>
      <w:marLeft w:val="0"/>
      <w:marRight w:val="0"/>
      <w:marTop w:val="0"/>
      <w:marBottom w:val="0"/>
      <w:divBdr>
        <w:top w:val="none" w:sz="0" w:space="0" w:color="auto"/>
        <w:left w:val="none" w:sz="0" w:space="0" w:color="auto"/>
        <w:bottom w:val="none" w:sz="0" w:space="0" w:color="auto"/>
        <w:right w:val="none" w:sz="0" w:space="0" w:color="auto"/>
      </w:divBdr>
    </w:div>
    <w:div w:id="547760267">
      <w:bodyDiv w:val="1"/>
      <w:marLeft w:val="0"/>
      <w:marRight w:val="0"/>
      <w:marTop w:val="0"/>
      <w:marBottom w:val="0"/>
      <w:divBdr>
        <w:top w:val="none" w:sz="0" w:space="0" w:color="auto"/>
        <w:left w:val="none" w:sz="0" w:space="0" w:color="auto"/>
        <w:bottom w:val="none" w:sz="0" w:space="0" w:color="auto"/>
        <w:right w:val="none" w:sz="0" w:space="0" w:color="auto"/>
      </w:divBdr>
    </w:div>
    <w:div w:id="547764883">
      <w:bodyDiv w:val="1"/>
      <w:marLeft w:val="0"/>
      <w:marRight w:val="0"/>
      <w:marTop w:val="0"/>
      <w:marBottom w:val="0"/>
      <w:divBdr>
        <w:top w:val="none" w:sz="0" w:space="0" w:color="auto"/>
        <w:left w:val="none" w:sz="0" w:space="0" w:color="auto"/>
        <w:bottom w:val="none" w:sz="0" w:space="0" w:color="auto"/>
        <w:right w:val="none" w:sz="0" w:space="0" w:color="auto"/>
      </w:divBdr>
    </w:div>
    <w:div w:id="547766997">
      <w:bodyDiv w:val="1"/>
      <w:marLeft w:val="0"/>
      <w:marRight w:val="0"/>
      <w:marTop w:val="0"/>
      <w:marBottom w:val="0"/>
      <w:divBdr>
        <w:top w:val="none" w:sz="0" w:space="0" w:color="auto"/>
        <w:left w:val="none" w:sz="0" w:space="0" w:color="auto"/>
        <w:bottom w:val="none" w:sz="0" w:space="0" w:color="auto"/>
        <w:right w:val="none" w:sz="0" w:space="0" w:color="auto"/>
      </w:divBdr>
    </w:div>
    <w:div w:id="547886848">
      <w:bodyDiv w:val="1"/>
      <w:marLeft w:val="0"/>
      <w:marRight w:val="0"/>
      <w:marTop w:val="0"/>
      <w:marBottom w:val="0"/>
      <w:divBdr>
        <w:top w:val="none" w:sz="0" w:space="0" w:color="auto"/>
        <w:left w:val="none" w:sz="0" w:space="0" w:color="auto"/>
        <w:bottom w:val="none" w:sz="0" w:space="0" w:color="auto"/>
        <w:right w:val="none" w:sz="0" w:space="0" w:color="auto"/>
      </w:divBdr>
    </w:div>
    <w:div w:id="547910533">
      <w:bodyDiv w:val="1"/>
      <w:marLeft w:val="0"/>
      <w:marRight w:val="0"/>
      <w:marTop w:val="0"/>
      <w:marBottom w:val="0"/>
      <w:divBdr>
        <w:top w:val="none" w:sz="0" w:space="0" w:color="auto"/>
        <w:left w:val="none" w:sz="0" w:space="0" w:color="auto"/>
        <w:bottom w:val="none" w:sz="0" w:space="0" w:color="auto"/>
        <w:right w:val="none" w:sz="0" w:space="0" w:color="auto"/>
      </w:divBdr>
    </w:div>
    <w:div w:id="547957252">
      <w:bodyDiv w:val="1"/>
      <w:marLeft w:val="0"/>
      <w:marRight w:val="0"/>
      <w:marTop w:val="0"/>
      <w:marBottom w:val="0"/>
      <w:divBdr>
        <w:top w:val="none" w:sz="0" w:space="0" w:color="auto"/>
        <w:left w:val="none" w:sz="0" w:space="0" w:color="auto"/>
        <w:bottom w:val="none" w:sz="0" w:space="0" w:color="auto"/>
        <w:right w:val="none" w:sz="0" w:space="0" w:color="auto"/>
      </w:divBdr>
    </w:div>
    <w:div w:id="548033463">
      <w:bodyDiv w:val="1"/>
      <w:marLeft w:val="0"/>
      <w:marRight w:val="0"/>
      <w:marTop w:val="0"/>
      <w:marBottom w:val="0"/>
      <w:divBdr>
        <w:top w:val="none" w:sz="0" w:space="0" w:color="auto"/>
        <w:left w:val="none" w:sz="0" w:space="0" w:color="auto"/>
        <w:bottom w:val="none" w:sz="0" w:space="0" w:color="auto"/>
        <w:right w:val="none" w:sz="0" w:space="0" w:color="auto"/>
      </w:divBdr>
    </w:div>
    <w:div w:id="548077692">
      <w:bodyDiv w:val="1"/>
      <w:marLeft w:val="0"/>
      <w:marRight w:val="0"/>
      <w:marTop w:val="0"/>
      <w:marBottom w:val="0"/>
      <w:divBdr>
        <w:top w:val="none" w:sz="0" w:space="0" w:color="auto"/>
        <w:left w:val="none" w:sz="0" w:space="0" w:color="auto"/>
        <w:bottom w:val="none" w:sz="0" w:space="0" w:color="auto"/>
        <w:right w:val="none" w:sz="0" w:space="0" w:color="auto"/>
      </w:divBdr>
    </w:div>
    <w:div w:id="548108993">
      <w:bodyDiv w:val="1"/>
      <w:marLeft w:val="0"/>
      <w:marRight w:val="0"/>
      <w:marTop w:val="0"/>
      <w:marBottom w:val="0"/>
      <w:divBdr>
        <w:top w:val="none" w:sz="0" w:space="0" w:color="auto"/>
        <w:left w:val="none" w:sz="0" w:space="0" w:color="auto"/>
        <w:bottom w:val="none" w:sz="0" w:space="0" w:color="auto"/>
        <w:right w:val="none" w:sz="0" w:space="0" w:color="auto"/>
      </w:divBdr>
    </w:div>
    <w:div w:id="548151229">
      <w:bodyDiv w:val="1"/>
      <w:marLeft w:val="0"/>
      <w:marRight w:val="0"/>
      <w:marTop w:val="0"/>
      <w:marBottom w:val="0"/>
      <w:divBdr>
        <w:top w:val="none" w:sz="0" w:space="0" w:color="auto"/>
        <w:left w:val="none" w:sz="0" w:space="0" w:color="auto"/>
        <w:bottom w:val="none" w:sz="0" w:space="0" w:color="auto"/>
        <w:right w:val="none" w:sz="0" w:space="0" w:color="auto"/>
      </w:divBdr>
    </w:div>
    <w:div w:id="548301290">
      <w:bodyDiv w:val="1"/>
      <w:marLeft w:val="0"/>
      <w:marRight w:val="0"/>
      <w:marTop w:val="0"/>
      <w:marBottom w:val="0"/>
      <w:divBdr>
        <w:top w:val="none" w:sz="0" w:space="0" w:color="auto"/>
        <w:left w:val="none" w:sz="0" w:space="0" w:color="auto"/>
        <w:bottom w:val="none" w:sz="0" w:space="0" w:color="auto"/>
        <w:right w:val="none" w:sz="0" w:space="0" w:color="auto"/>
      </w:divBdr>
    </w:div>
    <w:div w:id="548302572">
      <w:bodyDiv w:val="1"/>
      <w:marLeft w:val="0"/>
      <w:marRight w:val="0"/>
      <w:marTop w:val="0"/>
      <w:marBottom w:val="0"/>
      <w:divBdr>
        <w:top w:val="none" w:sz="0" w:space="0" w:color="auto"/>
        <w:left w:val="none" w:sz="0" w:space="0" w:color="auto"/>
        <w:bottom w:val="none" w:sz="0" w:space="0" w:color="auto"/>
        <w:right w:val="none" w:sz="0" w:space="0" w:color="auto"/>
      </w:divBdr>
    </w:div>
    <w:div w:id="548342246">
      <w:bodyDiv w:val="1"/>
      <w:marLeft w:val="0"/>
      <w:marRight w:val="0"/>
      <w:marTop w:val="0"/>
      <w:marBottom w:val="0"/>
      <w:divBdr>
        <w:top w:val="none" w:sz="0" w:space="0" w:color="auto"/>
        <w:left w:val="none" w:sz="0" w:space="0" w:color="auto"/>
        <w:bottom w:val="none" w:sz="0" w:space="0" w:color="auto"/>
        <w:right w:val="none" w:sz="0" w:space="0" w:color="auto"/>
      </w:divBdr>
    </w:div>
    <w:div w:id="548344603">
      <w:bodyDiv w:val="1"/>
      <w:marLeft w:val="0"/>
      <w:marRight w:val="0"/>
      <w:marTop w:val="0"/>
      <w:marBottom w:val="0"/>
      <w:divBdr>
        <w:top w:val="none" w:sz="0" w:space="0" w:color="auto"/>
        <w:left w:val="none" w:sz="0" w:space="0" w:color="auto"/>
        <w:bottom w:val="none" w:sz="0" w:space="0" w:color="auto"/>
        <w:right w:val="none" w:sz="0" w:space="0" w:color="auto"/>
      </w:divBdr>
    </w:div>
    <w:div w:id="548490609">
      <w:bodyDiv w:val="1"/>
      <w:marLeft w:val="0"/>
      <w:marRight w:val="0"/>
      <w:marTop w:val="0"/>
      <w:marBottom w:val="0"/>
      <w:divBdr>
        <w:top w:val="none" w:sz="0" w:space="0" w:color="auto"/>
        <w:left w:val="none" w:sz="0" w:space="0" w:color="auto"/>
        <w:bottom w:val="none" w:sz="0" w:space="0" w:color="auto"/>
        <w:right w:val="none" w:sz="0" w:space="0" w:color="auto"/>
      </w:divBdr>
    </w:div>
    <w:div w:id="548567228">
      <w:bodyDiv w:val="1"/>
      <w:marLeft w:val="0"/>
      <w:marRight w:val="0"/>
      <w:marTop w:val="0"/>
      <w:marBottom w:val="0"/>
      <w:divBdr>
        <w:top w:val="none" w:sz="0" w:space="0" w:color="auto"/>
        <w:left w:val="none" w:sz="0" w:space="0" w:color="auto"/>
        <w:bottom w:val="none" w:sz="0" w:space="0" w:color="auto"/>
        <w:right w:val="none" w:sz="0" w:space="0" w:color="auto"/>
      </w:divBdr>
    </w:div>
    <w:div w:id="548568114">
      <w:bodyDiv w:val="1"/>
      <w:marLeft w:val="0"/>
      <w:marRight w:val="0"/>
      <w:marTop w:val="0"/>
      <w:marBottom w:val="0"/>
      <w:divBdr>
        <w:top w:val="none" w:sz="0" w:space="0" w:color="auto"/>
        <w:left w:val="none" w:sz="0" w:space="0" w:color="auto"/>
        <w:bottom w:val="none" w:sz="0" w:space="0" w:color="auto"/>
        <w:right w:val="none" w:sz="0" w:space="0" w:color="auto"/>
      </w:divBdr>
    </w:div>
    <w:div w:id="548609020">
      <w:bodyDiv w:val="1"/>
      <w:marLeft w:val="0"/>
      <w:marRight w:val="0"/>
      <w:marTop w:val="0"/>
      <w:marBottom w:val="0"/>
      <w:divBdr>
        <w:top w:val="none" w:sz="0" w:space="0" w:color="auto"/>
        <w:left w:val="none" w:sz="0" w:space="0" w:color="auto"/>
        <w:bottom w:val="none" w:sz="0" w:space="0" w:color="auto"/>
        <w:right w:val="none" w:sz="0" w:space="0" w:color="auto"/>
      </w:divBdr>
    </w:div>
    <w:div w:id="548610172">
      <w:bodyDiv w:val="1"/>
      <w:marLeft w:val="0"/>
      <w:marRight w:val="0"/>
      <w:marTop w:val="0"/>
      <w:marBottom w:val="0"/>
      <w:divBdr>
        <w:top w:val="none" w:sz="0" w:space="0" w:color="auto"/>
        <w:left w:val="none" w:sz="0" w:space="0" w:color="auto"/>
        <w:bottom w:val="none" w:sz="0" w:space="0" w:color="auto"/>
        <w:right w:val="none" w:sz="0" w:space="0" w:color="auto"/>
      </w:divBdr>
    </w:div>
    <w:div w:id="548686915">
      <w:bodyDiv w:val="1"/>
      <w:marLeft w:val="0"/>
      <w:marRight w:val="0"/>
      <w:marTop w:val="0"/>
      <w:marBottom w:val="0"/>
      <w:divBdr>
        <w:top w:val="none" w:sz="0" w:space="0" w:color="auto"/>
        <w:left w:val="none" w:sz="0" w:space="0" w:color="auto"/>
        <w:bottom w:val="none" w:sz="0" w:space="0" w:color="auto"/>
        <w:right w:val="none" w:sz="0" w:space="0" w:color="auto"/>
      </w:divBdr>
    </w:div>
    <w:div w:id="548688573">
      <w:bodyDiv w:val="1"/>
      <w:marLeft w:val="0"/>
      <w:marRight w:val="0"/>
      <w:marTop w:val="0"/>
      <w:marBottom w:val="0"/>
      <w:divBdr>
        <w:top w:val="none" w:sz="0" w:space="0" w:color="auto"/>
        <w:left w:val="none" w:sz="0" w:space="0" w:color="auto"/>
        <w:bottom w:val="none" w:sz="0" w:space="0" w:color="auto"/>
        <w:right w:val="none" w:sz="0" w:space="0" w:color="auto"/>
      </w:divBdr>
    </w:div>
    <w:div w:id="548809588">
      <w:bodyDiv w:val="1"/>
      <w:marLeft w:val="0"/>
      <w:marRight w:val="0"/>
      <w:marTop w:val="0"/>
      <w:marBottom w:val="0"/>
      <w:divBdr>
        <w:top w:val="none" w:sz="0" w:space="0" w:color="auto"/>
        <w:left w:val="none" w:sz="0" w:space="0" w:color="auto"/>
        <w:bottom w:val="none" w:sz="0" w:space="0" w:color="auto"/>
        <w:right w:val="none" w:sz="0" w:space="0" w:color="auto"/>
      </w:divBdr>
    </w:div>
    <w:div w:id="548955016">
      <w:bodyDiv w:val="1"/>
      <w:marLeft w:val="0"/>
      <w:marRight w:val="0"/>
      <w:marTop w:val="0"/>
      <w:marBottom w:val="0"/>
      <w:divBdr>
        <w:top w:val="none" w:sz="0" w:space="0" w:color="auto"/>
        <w:left w:val="none" w:sz="0" w:space="0" w:color="auto"/>
        <w:bottom w:val="none" w:sz="0" w:space="0" w:color="auto"/>
        <w:right w:val="none" w:sz="0" w:space="0" w:color="auto"/>
      </w:divBdr>
    </w:div>
    <w:div w:id="548959972">
      <w:bodyDiv w:val="1"/>
      <w:marLeft w:val="0"/>
      <w:marRight w:val="0"/>
      <w:marTop w:val="0"/>
      <w:marBottom w:val="0"/>
      <w:divBdr>
        <w:top w:val="none" w:sz="0" w:space="0" w:color="auto"/>
        <w:left w:val="none" w:sz="0" w:space="0" w:color="auto"/>
        <w:bottom w:val="none" w:sz="0" w:space="0" w:color="auto"/>
        <w:right w:val="none" w:sz="0" w:space="0" w:color="auto"/>
      </w:divBdr>
    </w:div>
    <w:div w:id="549072665">
      <w:bodyDiv w:val="1"/>
      <w:marLeft w:val="0"/>
      <w:marRight w:val="0"/>
      <w:marTop w:val="0"/>
      <w:marBottom w:val="0"/>
      <w:divBdr>
        <w:top w:val="none" w:sz="0" w:space="0" w:color="auto"/>
        <w:left w:val="none" w:sz="0" w:space="0" w:color="auto"/>
        <w:bottom w:val="none" w:sz="0" w:space="0" w:color="auto"/>
        <w:right w:val="none" w:sz="0" w:space="0" w:color="auto"/>
      </w:divBdr>
    </w:div>
    <w:div w:id="549074234">
      <w:bodyDiv w:val="1"/>
      <w:marLeft w:val="0"/>
      <w:marRight w:val="0"/>
      <w:marTop w:val="0"/>
      <w:marBottom w:val="0"/>
      <w:divBdr>
        <w:top w:val="none" w:sz="0" w:space="0" w:color="auto"/>
        <w:left w:val="none" w:sz="0" w:space="0" w:color="auto"/>
        <w:bottom w:val="none" w:sz="0" w:space="0" w:color="auto"/>
        <w:right w:val="none" w:sz="0" w:space="0" w:color="auto"/>
      </w:divBdr>
    </w:div>
    <w:div w:id="549150301">
      <w:bodyDiv w:val="1"/>
      <w:marLeft w:val="0"/>
      <w:marRight w:val="0"/>
      <w:marTop w:val="0"/>
      <w:marBottom w:val="0"/>
      <w:divBdr>
        <w:top w:val="none" w:sz="0" w:space="0" w:color="auto"/>
        <w:left w:val="none" w:sz="0" w:space="0" w:color="auto"/>
        <w:bottom w:val="none" w:sz="0" w:space="0" w:color="auto"/>
        <w:right w:val="none" w:sz="0" w:space="0" w:color="auto"/>
      </w:divBdr>
    </w:div>
    <w:div w:id="549191755">
      <w:bodyDiv w:val="1"/>
      <w:marLeft w:val="0"/>
      <w:marRight w:val="0"/>
      <w:marTop w:val="0"/>
      <w:marBottom w:val="0"/>
      <w:divBdr>
        <w:top w:val="none" w:sz="0" w:space="0" w:color="auto"/>
        <w:left w:val="none" w:sz="0" w:space="0" w:color="auto"/>
        <w:bottom w:val="none" w:sz="0" w:space="0" w:color="auto"/>
        <w:right w:val="none" w:sz="0" w:space="0" w:color="auto"/>
      </w:divBdr>
    </w:div>
    <w:div w:id="549193252">
      <w:bodyDiv w:val="1"/>
      <w:marLeft w:val="0"/>
      <w:marRight w:val="0"/>
      <w:marTop w:val="0"/>
      <w:marBottom w:val="0"/>
      <w:divBdr>
        <w:top w:val="none" w:sz="0" w:space="0" w:color="auto"/>
        <w:left w:val="none" w:sz="0" w:space="0" w:color="auto"/>
        <w:bottom w:val="none" w:sz="0" w:space="0" w:color="auto"/>
        <w:right w:val="none" w:sz="0" w:space="0" w:color="auto"/>
      </w:divBdr>
    </w:div>
    <w:div w:id="549460552">
      <w:bodyDiv w:val="1"/>
      <w:marLeft w:val="0"/>
      <w:marRight w:val="0"/>
      <w:marTop w:val="0"/>
      <w:marBottom w:val="0"/>
      <w:divBdr>
        <w:top w:val="none" w:sz="0" w:space="0" w:color="auto"/>
        <w:left w:val="none" w:sz="0" w:space="0" w:color="auto"/>
        <w:bottom w:val="none" w:sz="0" w:space="0" w:color="auto"/>
        <w:right w:val="none" w:sz="0" w:space="0" w:color="auto"/>
      </w:divBdr>
    </w:div>
    <w:div w:id="549465559">
      <w:bodyDiv w:val="1"/>
      <w:marLeft w:val="0"/>
      <w:marRight w:val="0"/>
      <w:marTop w:val="0"/>
      <w:marBottom w:val="0"/>
      <w:divBdr>
        <w:top w:val="none" w:sz="0" w:space="0" w:color="auto"/>
        <w:left w:val="none" w:sz="0" w:space="0" w:color="auto"/>
        <w:bottom w:val="none" w:sz="0" w:space="0" w:color="auto"/>
        <w:right w:val="none" w:sz="0" w:space="0" w:color="auto"/>
      </w:divBdr>
    </w:div>
    <w:div w:id="549537342">
      <w:bodyDiv w:val="1"/>
      <w:marLeft w:val="0"/>
      <w:marRight w:val="0"/>
      <w:marTop w:val="0"/>
      <w:marBottom w:val="0"/>
      <w:divBdr>
        <w:top w:val="none" w:sz="0" w:space="0" w:color="auto"/>
        <w:left w:val="none" w:sz="0" w:space="0" w:color="auto"/>
        <w:bottom w:val="none" w:sz="0" w:space="0" w:color="auto"/>
        <w:right w:val="none" w:sz="0" w:space="0" w:color="auto"/>
      </w:divBdr>
    </w:div>
    <w:div w:id="549650593">
      <w:bodyDiv w:val="1"/>
      <w:marLeft w:val="0"/>
      <w:marRight w:val="0"/>
      <w:marTop w:val="0"/>
      <w:marBottom w:val="0"/>
      <w:divBdr>
        <w:top w:val="none" w:sz="0" w:space="0" w:color="auto"/>
        <w:left w:val="none" w:sz="0" w:space="0" w:color="auto"/>
        <w:bottom w:val="none" w:sz="0" w:space="0" w:color="auto"/>
        <w:right w:val="none" w:sz="0" w:space="0" w:color="auto"/>
      </w:divBdr>
    </w:div>
    <w:div w:id="549657249">
      <w:bodyDiv w:val="1"/>
      <w:marLeft w:val="0"/>
      <w:marRight w:val="0"/>
      <w:marTop w:val="0"/>
      <w:marBottom w:val="0"/>
      <w:divBdr>
        <w:top w:val="none" w:sz="0" w:space="0" w:color="auto"/>
        <w:left w:val="none" w:sz="0" w:space="0" w:color="auto"/>
        <w:bottom w:val="none" w:sz="0" w:space="0" w:color="auto"/>
        <w:right w:val="none" w:sz="0" w:space="0" w:color="auto"/>
      </w:divBdr>
    </w:div>
    <w:div w:id="549658073">
      <w:bodyDiv w:val="1"/>
      <w:marLeft w:val="0"/>
      <w:marRight w:val="0"/>
      <w:marTop w:val="0"/>
      <w:marBottom w:val="0"/>
      <w:divBdr>
        <w:top w:val="none" w:sz="0" w:space="0" w:color="auto"/>
        <w:left w:val="none" w:sz="0" w:space="0" w:color="auto"/>
        <w:bottom w:val="none" w:sz="0" w:space="0" w:color="auto"/>
        <w:right w:val="none" w:sz="0" w:space="0" w:color="auto"/>
      </w:divBdr>
    </w:div>
    <w:div w:id="549659484">
      <w:bodyDiv w:val="1"/>
      <w:marLeft w:val="0"/>
      <w:marRight w:val="0"/>
      <w:marTop w:val="0"/>
      <w:marBottom w:val="0"/>
      <w:divBdr>
        <w:top w:val="none" w:sz="0" w:space="0" w:color="auto"/>
        <w:left w:val="none" w:sz="0" w:space="0" w:color="auto"/>
        <w:bottom w:val="none" w:sz="0" w:space="0" w:color="auto"/>
        <w:right w:val="none" w:sz="0" w:space="0" w:color="auto"/>
      </w:divBdr>
    </w:div>
    <w:div w:id="549731027">
      <w:bodyDiv w:val="1"/>
      <w:marLeft w:val="0"/>
      <w:marRight w:val="0"/>
      <w:marTop w:val="0"/>
      <w:marBottom w:val="0"/>
      <w:divBdr>
        <w:top w:val="none" w:sz="0" w:space="0" w:color="auto"/>
        <w:left w:val="none" w:sz="0" w:space="0" w:color="auto"/>
        <w:bottom w:val="none" w:sz="0" w:space="0" w:color="auto"/>
        <w:right w:val="none" w:sz="0" w:space="0" w:color="auto"/>
      </w:divBdr>
    </w:div>
    <w:div w:id="550044642">
      <w:bodyDiv w:val="1"/>
      <w:marLeft w:val="0"/>
      <w:marRight w:val="0"/>
      <w:marTop w:val="0"/>
      <w:marBottom w:val="0"/>
      <w:divBdr>
        <w:top w:val="none" w:sz="0" w:space="0" w:color="auto"/>
        <w:left w:val="none" w:sz="0" w:space="0" w:color="auto"/>
        <w:bottom w:val="none" w:sz="0" w:space="0" w:color="auto"/>
        <w:right w:val="none" w:sz="0" w:space="0" w:color="auto"/>
      </w:divBdr>
    </w:div>
    <w:div w:id="550074233">
      <w:bodyDiv w:val="1"/>
      <w:marLeft w:val="0"/>
      <w:marRight w:val="0"/>
      <w:marTop w:val="0"/>
      <w:marBottom w:val="0"/>
      <w:divBdr>
        <w:top w:val="none" w:sz="0" w:space="0" w:color="auto"/>
        <w:left w:val="none" w:sz="0" w:space="0" w:color="auto"/>
        <w:bottom w:val="none" w:sz="0" w:space="0" w:color="auto"/>
        <w:right w:val="none" w:sz="0" w:space="0" w:color="auto"/>
      </w:divBdr>
    </w:div>
    <w:div w:id="550114302">
      <w:bodyDiv w:val="1"/>
      <w:marLeft w:val="0"/>
      <w:marRight w:val="0"/>
      <w:marTop w:val="0"/>
      <w:marBottom w:val="0"/>
      <w:divBdr>
        <w:top w:val="none" w:sz="0" w:space="0" w:color="auto"/>
        <w:left w:val="none" w:sz="0" w:space="0" w:color="auto"/>
        <w:bottom w:val="none" w:sz="0" w:space="0" w:color="auto"/>
        <w:right w:val="none" w:sz="0" w:space="0" w:color="auto"/>
      </w:divBdr>
    </w:div>
    <w:div w:id="550120597">
      <w:bodyDiv w:val="1"/>
      <w:marLeft w:val="0"/>
      <w:marRight w:val="0"/>
      <w:marTop w:val="0"/>
      <w:marBottom w:val="0"/>
      <w:divBdr>
        <w:top w:val="none" w:sz="0" w:space="0" w:color="auto"/>
        <w:left w:val="none" w:sz="0" w:space="0" w:color="auto"/>
        <w:bottom w:val="none" w:sz="0" w:space="0" w:color="auto"/>
        <w:right w:val="none" w:sz="0" w:space="0" w:color="auto"/>
      </w:divBdr>
    </w:div>
    <w:div w:id="550380857">
      <w:bodyDiv w:val="1"/>
      <w:marLeft w:val="0"/>
      <w:marRight w:val="0"/>
      <w:marTop w:val="0"/>
      <w:marBottom w:val="0"/>
      <w:divBdr>
        <w:top w:val="none" w:sz="0" w:space="0" w:color="auto"/>
        <w:left w:val="none" w:sz="0" w:space="0" w:color="auto"/>
        <w:bottom w:val="none" w:sz="0" w:space="0" w:color="auto"/>
        <w:right w:val="none" w:sz="0" w:space="0" w:color="auto"/>
      </w:divBdr>
    </w:div>
    <w:div w:id="550581832">
      <w:bodyDiv w:val="1"/>
      <w:marLeft w:val="0"/>
      <w:marRight w:val="0"/>
      <w:marTop w:val="0"/>
      <w:marBottom w:val="0"/>
      <w:divBdr>
        <w:top w:val="none" w:sz="0" w:space="0" w:color="auto"/>
        <w:left w:val="none" w:sz="0" w:space="0" w:color="auto"/>
        <w:bottom w:val="none" w:sz="0" w:space="0" w:color="auto"/>
        <w:right w:val="none" w:sz="0" w:space="0" w:color="auto"/>
      </w:divBdr>
    </w:div>
    <w:div w:id="550650853">
      <w:bodyDiv w:val="1"/>
      <w:marLeft w:val="0"/>
      <w:marRight w:val="0"/>
      <w:marTop w:val="0"/>
      <w:marBottom w:val="0"/>
      <w:divBdr>
        <w:top w:val="none" w:sz="0" w:space="0" w:color="auto"/>
        <w:left w:val="none" w:sz="0" w:space="0" w:color="auto"/>
        <w:bottom w:val="none" w:sz="0" w:space="0" w:color="auto"/>
        <w:right w:val="none" w:sz="0" w:space="0" w:color="auto"/>
      </w:divBdr>
    </w:div>
    <w:div w:id="550844444">
      <w:bodyDiv w:val="1"/>
      <w:marLeft w:val="0"/>
      <w:marRight w:val="0"/>
      <w:marTop w:val="0"/>
      <w:marBottom w:val="0"/>
      <w:divBdr>
        <w:top w:val="none" w:sz="0" w:space="0" w:color="auto"/>
        <w:left w:val="none" w:sz="0" w:space="0" w:color="auto"/>
        <w:bottom w:val="none" w:sz="0" w:space="0" w:color="auto"/>
        <w:right w:val="none" w:sz="0" w:space="0" w:color="auto"/>
      </w:divBdr>
    </w:div>
    <w:div w:id="550844465">
      <w:bodyDiv w:val="1"/>
      <w:marLeft w:val="0"/>
      <w:marRight w:val="0"/>
      <w:marTop w:val="0"/>
      <w:marBottom w:val="0"/>
      <w:divBdr>
        <w:top w:val="none" w:sz="0" w:space="0" w:color="auto"/>
        <w:left w:val="none" w:sz="0" w:space="0" w:color="auto"/>
        <w:bottom w:val="none" w:sz="0" w:space="0" w:color="auto"/>
        <w:right w:val="none" w:sz="0" w:space="0" w:color="auto"/>
      </w:divBdr>
    </w:div>
    <w:div w:id="550922972">
      <w:bodyDiv w:val="1"/>
      <w:marLeft w:val="0"/>
      <w:marRight w:val="0"/>
      <w:marTop w:val="0"/>
      <w:marBottom w:val="0"/>
      <w:divBdr>
        <w:top w:val="none" w:sz="0" w:space="0" w:color="auto"/>
        <w:left w:val="none" w:sz="0" w:space="0" w:color="auto"/>
        <w:bottom w:val="none" w:sz="0" w:space="0" w:color="auto"/>
        <w:right w:val="none" w:sz="0" w:space="0" w:color="auto"/>
      </w:divBdr>
    </w:div>
    <w:div w:id="550923912">
      <w:bodyDiv w:val="1"/>
      <w:marLeft w:val="0"/>
      <w:marRight w:val="0"/>
      <w:marTop w:val="0"/>
      <w:marBottom w:val="0"/>
      <w:divBdr>
        <w:top w:val="none" w:sz="0" w:space="0" w:color="auto"/>
        <w:left w:val="none" w:sz="0" w:space="0" w:color="auto"/>
        <w:bottom w:val="none" w:sz="0" w:space="0" w:color="auto"/>
        <w:right w:val="none" w:sz="0" w:space="0" w:color="auto"/>
      </w:divBdr>
    </w:div>
    <w:div w:id="550966227">
      <w:bodyDiv w:val="1"/>
      <w:marLeft w:val="0"/>
      <w:marRight w:val="0"/>
      <w:marTop w:val="0"/>
      <w:marBottom w:val="0"/>
      <w:divBdr>
        <w:top w:val="none" w:sz="0" w:space="0" w:color="auto"/>
        <w:left w:val="none" w:sz="0" w:space="0" w:color="auto"/>
        <w:bottom w:val="none" w:sz="0" w:space="0" w:color="auto"/>
        <w:right w:val="none" w:sz="0" w:space="0" w:color="auto"/>
      </w:divBdr>
    </w:div>
    <w:div w:id="551039914">
      <w:bodyDiv w:val="1"/>
      <w:marLeft w:val="0"/>
      <w:marRight w:val="0"/>
      <w:marTop w:val="0"/>
      <w:marBottom w:val="0"/>
      <w:divBdr>
        <w:top w:val="none" w:sz="0" w:space="0" w:color="auto"/>
        <w:left w:val="none" w:sz="0" w:space="0" w:color="auto"/>
        <w:bottom w:val="none" w:sz="0" w:space="0" w:color="auto"/>
        <w:right w:val="none" w:sz="0" w:space="0" w:color="auto"/>
      </w:divBdr>
    </w:div>
    <w:div w:id="551119859">
      <w:bodyDiv w:val="1"/>
      <w:marLeft w:val="0"/>
      <w:marRight w:val="0"/>
      <w:marTop w:val="0"/>
      <w:marBottom w:val="0"/>
      <w:divBdr>
        <w:top w:val="none" w:sz="0" w:space="0" w:color="auto"/>
        <w:left w:val="none" w:sz="0" w:space="0" w:color="auto"/>
        <w:bottom w:val="none" w:sz="0" w:space="0" w:color="auto"/>
        <w:right w:val="none" w:sz="0" w:space="0" w:color="auto"/>
      </w:divBdr>
    </w:div>
    <w:div w:id="551120410">
      <w:bodyDiv w:val="1"/>
      <w:marLeft w:val="0"/>
      <w:marRight w:val="0"/>
      <w:marTop w:val="0"/>
      <w:marBottom w:val="0"/>
      <w:divBdr>
        <w:top w:val="none" w:sz="0" w:space="0" w:color="auto"/>
        <w:left w:val="none" w:sz="0" w:space="0" w:color="auto"/>
        <w:bottom w:val="none" w:sz="0" w:space="0" w:color="auto"/>
        <w:right w:val="none" w:sz="0" w:space="0" w:color="auto"/>
      </w:divBdr>
    </w:div>
    <w:div w:id="551380839">
      <w:bodyDiv w:val="1"/>
      <w:marLeft w:val="0"/>
      <w:marRight w:val="0"/>
      <w:marTop w:val="0"/>
      <w:marBottom w:val="0"/>
      <w:divBdr>
        <w:top w:val="none" w:sz="0" w:space="0" w:color="auto"/>
        <w:left w:val="none" w:sz="0" w:space="0" w:color="auto"/>
        <w:bottom w:val="none" w:sz="0" w:space="0" w:color="auto"/>
        <w:right w:val="none" w:sz="0" w:space="0" w:color="auto"/>
      </w:divBdr>
    </w:div>
    <w:div w:id="551383373">
      <w:bodyDiv w:val="1"/>
      <w:marLeft w:val="0"/>
      <w:marRight w:val="0"/>
      <w:marTop w:val="0"/>
      <w:marBottom w:val="0"/>
      <w:divBdr>
        <w:top w:val="none" w:sz="0" w:space="0" w:color="auto"/>
        <w:left w:val="none" w:sz="0" w:space="0" w:color="auto"/>
        <w:bottom w:val="none" w:sz="0" w:space="0" w:color="auto"/>
        <w:right w:val="none" w:sz="0" w:space="0" w:color="auto"/>
      </w:divBdr>
    </w:div>
    <w:div w:id="551507453">
      <w:bodyDiv w:val="1"/>
      <w:marLeft w:val="0"/>
      <w:marRight w:val="0"/>
      <w:marTop w:val="0"/>
      <w:marBottom w:val="0"/>
      <w:divBdr>
        <w:top w:val="none" w:sz="0" w:space="0" w:color="auto"/>
        <w:left w:val="none" w:sz="0" w:space="0" w:color="auto"/>
        <w:bottom w:val="none" w:sz="0" w:space="0" w:color="auto"/>
        <w:right w:val="none" w:sz="0" w:space="0" w:color="auto"/>
      </w:divBdr>
    </w:div>
    <w:div w:id="551624274">
      <w:bodyDiv w:val="1"/>
      <w:marLeft w:val="0"/>
      <w:marRight w:val="0"/>
      <w:marTop w:val="0"/>
      <w:marBottom w:val="0"/>
      <w:divBdr>
        <w:top w:val="none" w:sz="0" w:space="0" w:color="auto"/>
        <w:left w:val="none" w:sz="0" w:space="0" w:color="auto"/>
        <w:bottom w:val="none" w:sz="0" w:space="0" w:color="auto"/>
        <w:right w:val="none" w:sz="0" w:space="0" w:color="auto"/>
      </w:divBdr>
    </w:div>
    <w:div w:id="551769539">
      <w:bodyDiv w:val="1"/>
      <w:marLeft w:val="0"/>
      <w:marRight w:val="0"/>
      <w:marTop w:val="0"/>
      <w:marBottom w:val="0"/>
      <w:divBdr>
        <w:top w:val="none" w:sz="0" w:space="0" w:color="auto"/>
        <w:left w:val="none" w:sz="0" w:space="0" w:color="auto"/>
        <w:bottom w:val="none" w:sz="0" w:space="0" w:color="auto"/>
        <w:right w:val="none" w:sz="0" w:space="0" w:color="auto"/>
      </w:divBdr>
    </w:div>
    <w:div w:id="551816085">
      <w:bodyDiv w:val="1"/>
      <w:marLeft w:val="0"/>
      <w:marRight w:val="0"/>
      <w:marTop w:val="0"/>
      <w:marBottom w:val="0"/>
      <w:divBdr>
        <w:top w:val="none" w:sz="0" w:space="0" w:color="auto"/>
        <w:left w:val="none" w:sz="0" w:space="0" w:color="auto"/>
        <w:bottom w:val="none" w:sz="0" w:space="0" w:color="auto"/>
        <w:right w:val="none" w:sz="0" w:space="0" w:color="auto"/>
      </w:divBdr>
    </w:div>
    <w:div w:id="551887937">
      <w:bodyDiv w:val="1"/>
      <w:marLeft w:val="0"/>
      <w:marRight w:val="0"/>
      <w:marTop w:val="0"/>
      <w:marBottom w:val="0"/>
      <w:divBdr>
        <w:top w:val="none" w:sz="0" w:space="0" w:color="auto"/>
        <w:left w:val="none" w:sz="0" w:space="0" w:color="auto"/>
        <w:bottom w:val="none" w:sz="0" w:space="0" w:color="auto"/>
        <w:right w:val="none" w:sz="0" w:space="0" w:color="auto"/>
      </w:divBdr>
    </w:div>
    <w:div w:id="551968234">
      <w:bodyDiv w:val="1"/>
      <w:marLeft w:val="0"/>
      <w:marRight w:val="0"/>
      <w:marTop w:val="0"/>
      <w:marBottom w:val="0"/>
      <w:divBdr>
        <w:top w:val="none" w:sz="0" w:space="0" w:color="auto"/>
        <w:left w:val="none" w:sz="0" w:space="0" w:color="auto"/>
        <w:bottom w:val="none" w:sz="0" w:space="0" w:color="auto"/>
        <w:right w:val="none" w:sz="0" w:space="0" w:color="auto"/>
      </w:divBdr>
    </w:div>
    <w:div w:id="552010389">
      <w:bodyDiv w:val="1"/>
      <w:marLeft w:val="0"/>
      <w:marRight w:val="0"/>
      <w:marTop w:val="0"/>
      <w:marBottom w:val="0"/>
      <w:divBdr>
        <w:top w:val="none" w:sz="0" w:space="0" w:color="auto"/>
        <w:left w:val="none" w:sz="0" w:space="0" w:color="auto"/>
        <w:bottom w:val="none" w:sz="0" w:space="0" w:color="auto"/>
        <w:right w:val="none" w:sz="0" w:space="0" w:color="auto"/>
      </w:divBdr>
    </w:div>
    <w:div w:id="552154762">
      <w:bodyDiv w:val="1"/>
      <w:marLeft w:val="0"/>
      <w:marRight w:val="0"/>
      <w:marTop w:val="0"/>
      <w:marBottom w:val="0"/>
      <w:divBdr>
        <w:top w:val="none" w:sz="0" w:space="0" w:color="auto"/>
        <w:left w:val="none" w:sz="0" w:space="0" w:color="auto"/>
        <w:bottom w:val="none" w:sz="0" w:space="0" w:color="auto"/>
        <w:right w:val="none" w:sz="0" w:space="0" w:color="auto"/>
      </w:divBdr>
    </w:div>
    <w:div w:id="552231648">
      <w:bodyDiv w:val="1"/>
      <w:marLeft w:val="0"/>
      <w:marRight w:val="0"/>
      <w:marTop w:val="0"/>
      <w:marBottom w:val="0"/>
      <w:divBdr>
        <w:top w:val="none" w:sz="0" w:space="0" w:color="auto"/>
        <w:left w:val="none" w:sz="0" w:space="0" w:color="auto"/>
        <w:bottom w:val="none" w:sz="0" w:space="0" w:color="auto"/>
        <w:right w:val="none" w:sz="0" w:space="0" w:color="auto"/>
      </w:divBdr>
    </w:div>
    <w:div w:id="552348010">
      <w:bodyDiv w:val="1"/>
      <w:marLeft w:val="0"/>
      <w:marRight w:val="0"/>
      <w:marTop w:val="0"/>
      <w:marBottom w:val="0"/>
      <w:divBdr>
        <w:top w:val="none" w:sz="0" w:space="0" w:color="auto"/>
        <w:left w:val="none" w:sz="0" w:space="0" w:color="auto"/>
        <w:bottom w:val="none" w:sz="0" w:space="0" w:color="auto"/>
        <w:right w:val="none" w:sz="0" w:space="0" w:color="auto"/>
      </w:divBdr>
    </w:div>
    <w:div w:id="552424489">
      <w:bodyDiv w:val="1"/>
      <w:marLeft w:val="0"/>
      <w:marRight w:val="0"/>
      <w:marTop w:val="0"/>
      <w:marBottom w:val="0"/>
      <w:divBdr>
        <w:top w:val="none" w:sz="0" w:space="0" w:color="auto"/>
        <w:left w:val="none" w:sz="0" w:space="0" w:color="auto"/>
        <w:bottom w:val="none" w:sz="0" w:space="0" w:color="auto"/>
        <w:right w:val="none" w:sz="0" w:space="0" w:color="auto"/>
      </w:divBdr>
    </w:div>
    <w:div w:id="552469528">
      <w:bodyDiv w:val="1"/>
      <w:marLeft w:val="0"/>
      <w:marRight w:val="0"/>
      <w:marTop w:val="0"/>
      <w:marBottom w:val="0"/>
      <w:divBdr>
        <w:top w:val="none" w:sz="0" w:space="0" w:color="auto"/>
        <w:left w:val="none" w:sz="0" w:space="0" w:color="auto"/>
        <w:bottom w:val="none" w:sz="0" w:space="0" w:color="auto"/>
        <w:right w:val="none" w:sz="0" w:space="0" w:color="auto"/>
      </w:divBdr>
    </w:div>
    <w:div w:id="552473404">
      <w:bodyDiv w:val="1"/>
      <w:marLeft w:val="0"/>
      <w:marRight w:val="0"/>
      <w:marTop w:val="0"/>
      <w:marBottom w:val="0"/>
      <w:divBdr>
        <w:top w:val="none" w:sz="0" w:space="0" w:color="auto"/>
        <w:left w:val="none" w:sz="0" w:space="0" w:color="auto"/>
        <w:bottom w:val="none" w:sz="0" w:space="0" w:color="auto"/>
        <w:right w:val="none" w:sz="0" w:space="0" w:color="auto"/>
      </w:divBdr>
    </w:div>
    <w:div w:id="552742529">
      <w:bodyDiv w:val="1"/>
      <w:marLeft w:val="0"/>
      <w:marRight w:val="0"/>
      <w:marTop w:val="0"/>
      <w:marBottom w:val="0"/>
      <w:divBdr>
        <w:top w:val="none" w:sz="0" w:space="0" w:color="auto"/>
        <w:left w:val="none" w:sz="0" w:space="0" w:color="auto"/>
        <w:bottom w:val="none" w:sz="0" w:space="0" w:color="auto"/>
        <w:right w:val="none" w:sz="0" w:space="0" w:color="auto"/>
      </w:divBdr>
    </w:div>
    <w:div w:id="552891170">
      <w:bodyDiv w:val="1"/>
      <w:marLeft w:val="0"/>
      <w:marRight w:val="0"/>
      <w:marTop w:val="0"/>
      <w:marBottom w:val="0"/>
      <w:divBdr>
        <w:top w:val="none" w:sz="0" w:space="0" w:color="auto"/>
        <w:left w:val="none" w:sz="0" w:space="0" w:color="auto"/>
        <w:bottom w:val="none" w:sz="0" w:space="0" w:color="auto"/>
        <w:right w:val="none" w:sz="0" w:space="0" w:color="auto"/>
      </w:divBdr>
    </w:div>
    <w:div w:id="552959837">
      <w:bodyDiv w:val="1"/>
      <w:marLeft w:val="0"/>
      <w:marRight w:val="0"/>
      <w:marTop w:val="0"/>
      <w:marBottom w:val="0"/>
      <w:divBdr>
        <w:top w:val="none" w:sz="0" w:space="0" w:color="auto"/>
        <w:left w:val="none" w:sz="0" w:space="0" w:color="auto"/>
        <w:bottom w:val="none" w:sz="0" w:space="0" w:color="auto"/>
        <w:right w:val="none" w:sz="0" w:space="0" w:color="auto"/>
      </w:divBdr>
    </w:div>
    <w:div w:id="553346636">
      <w:bodyDiv w:val="1"/>
      <w:marLeft w:val="0"/>
      <w:marRight w:val="0"/>
      <w:marTop w:val="0"/>
      <w:marBottom w:val="0"/>
      <w:divBdr>
        <w:top w:val="none" w:sz="0" w:space="0" w:color="auto"/>
        <w:left w:val="none" w:sz="0" w:space="0" w:color="auto"/>
        <w:bottom w:val="none" w:sz="0" w:space="0" w:color="auto"/>
        <w:right w:val="none" w:sz="0" w:space="0" w:color="auto"/>
      </w:divBdr>
    </w:div>
    <w:div w:id="553347353">
      <w:bodyDiv w:val="1"/>
      <w:marLeft w:val="0"/>
      <w:marRight w:val="0"/>
      <w:marTop w:val="0"/>
      <w:marBottom w:val="0"/>
      <w:divBdr>
        <w:top w:val="none" w:sz="0" w:space="0" w:color="auto"/>
        <w:left w:val="none" w:sz="0" w:space="0" w:color="auto"/>
        <w:bottom w:val="none" w:sz="0" w:space="0" w:color="auto"/>
        <w:right w:val="none" w:sz="0" w:space="0" w:color="auto"/>
      </w:divBdr>
    </w:div>
    <w:div w:id="553397105">
      <w:bodyDiv w:val="1"/>
      <w:marLeft w:val="0"/>
      <w:marRight w:val="0"/>
      <w:marTop w:val="0"/>
      <w:marBottom w:val="0"/>
      <w:divBdr>
        <w:top w:val="none" w:sz="0" w:space="0" w:color="auto"/>
        <w:left w:val="none" w:sz="0" w:space="0" w:color="auto"/>
        <w:bottom w:val="none" w:sz="0" w:space="0" w:color="auto"/>
        <w:right w:val="none" w:sz="0" w:space="0" w:color="auto"/>
      </w:divBdr>
    </w:div>
    <w:div w:id="553544029">
      <w:bodyDiv w:val="1"/>
      <w:marLeft w:val="0"/>
      <w:marRight w:val="0"/>
      <w:marTop w:val="0"/>
      <w:marBottom w:val="0"/>
      <w:divBdr>
        <w:top w:val="none" w:sz="0" w:space="0" w:color="auto"/>
        <w:left w:val="none" w:sz="0" w:space="0" w:color="auto"/>
        <w:bottom w:val="none" w:sz="0" w:space="0" w:color="auto"/>
        <w:right w:val="none" w:sz="0" w:space="0" w:color="auto"/>
      </w:divBdr>
    </w:div>
    <w:div w:id="553586044">
      <w:bodyDiv w:val="1"/>
      <w:marLeft w:val="0"/>
      <w:marRight w:val="0"/>
      <w:marTop w:val="0"/>
      <w:marBottom w:val="0"/>
      <w:divBdr>
        <w:top w:val="none" w:sz="0" w:space="0" w:color="auto"/>
        <w:left w:val="none" w:sz="0" w:space="0" w:color="auto"/>
        <w:bottom w:val="none" w:sz="0" w:space="0" w:color="auto"/>
        <w:right w:val="none" w:sz="0" w:space="0" w:color="auto"/>
      </w:divBdr>
    </w:div>
    <w:div w:id="553587404">
      <w:bodyDiv w:val="1"/>
      <w:marLeft w:val="0"/>
      <w:marRight w:val="0"/>
      <w:marTop w:val="0"/>
      <w:marBottom w:val="0"/>
      <w:divBdr>
        <w:top w:val="none" w:sz="0" w:space="0" w:color="auto"/>
        <w:left w:val="none" w:sz="0" w:space="0" w:color="auto"/>
        <w:bottom w:val="none" w:sz="0" w:space="0" w:color="auto"/>
        <w:right w:val="none" w:sz="0" w:space="0" w:color="auto"/>
      </w:divBdr>
    </w:div>
    <w:div w:id="553808252">
      <w:bodyDiv w:val="1"/>
      <w:marLeft w:val="0"/>
      <w:marRight w:val="0"/>
      <w:marTop w:val="0"/>
      <w:marBottom w:val="0"/>
      <w:divBdr>
        <w:top w:val="none" w:sz="0" w:space="0" w:color="auto"/>
        <w:left w:val="none" w:sz="0" w:space="0" w:color="auto"/>
        <w:bottom w:val="none" w:sz="0" w:space="0" w:color="auto"/>
        <w:right w:val="none" w:sz="0" w:space="0" w:color="auto"/>
      </w:divBdr>
    </w:div>
    <w:div w:id="554006390">
      <w:bodyDiv w:val="1"/>
      <w:marLeft w:val="0"/>
      <w:marRight w:val="0"/>
      <w:marTop w:val="0"/>
      <w:marBottom w:val="0"/>
      <w:divBdr>
        <w:top w:val="none" w:sz="0" w:space="0" w:color="auto"/>
        <w:left w:val="none" w:sz="0" w:space="0" w:color="auto"/>
        <w:bottom w:val="none" w:sz="0" w:space="0" w:color="auto"/>
        <w:right w:val="none" w:sz="0" w:space="0" w:color="auto"/>
      </w:divBdr>
    </w:div>
    <w:div w:id="554051197">
      <w:bodyDiv w:val="1"/>
      <w:marLeft w:val="0"/>
      <w:marRight w:val="0"/>
      <w:marTop w:val="0"/>
      <w:marBottom w:val="0"/>
      <w:divBdr>
        <w:top w:val="none" w:sz="0" w:space="0" w:color="auto"/>
        <w:left w:val="none" w:sz="0" w:space="0" w:color="auto"/>
        <w:bottom w:val="none" w:sz="0" w:space="0" w:color="auto"/>
        <w:right w:val="none" w:sz="0" w:space="0" w:color="auto"/>
      </w:divBdr>
    </w:div>
    <w:div w:id="554195844">
      <w:bodyDiv w:val="1"/>
      <w:marLeft w:val="0"/>
      <w:marRight w:val="0"/>
      <w:marTop w:val="0"/>
      <w:marBottom w:val="0"/>
      <w:divBdr>
        <w:top w:val="none" w:sz="0" w:space="0" w:color="auto"/>
        <w:left w:val="none" w:sz="0" w:space="0" w:color="auto"/>
        <w:bottom w:val="none" w:sz="0" w:space="0" w:color="auto"/>
        <w:right w:val="none" w:sz="0" w:space="0" w:color="auto"/>
      </w:divBdr>
    </w:div>
    <w:div w:id="554238447">
      <w:bodyDiv w:val="1"/>
      <w:marLeft w:val="0"/>
      <w:marRight w:val="0"/>
      <w:marTop w:val="0"/>
      <w:marBottom w:val="0"/>
      <w:divBdr>
        <w:top w:val="none" w:sz="0" w:space="0" w:color="auto"/>
        <w:left w:val="none" w:sz="0" w:space="0" w:color="auto"/>
        <w:bottom w:val="none" w:sz="0" w:space="0" w:color="auto"/>
        <w:right w:val="none" w:sz="0" w:space="0" w:color="auto"/>
      </w:divBdr>
    </w:div>
    <w:div w:id="554316854">
      <w:bodyDiv w:val="1"/>
      <w:marLeft w:val="0"/>
      <w:marRight w:val="0"/>
      <w:marTop w:val="0"/>
      <w:marBottom w:val="0"/>
      <w:divBdr>
        <w:top w:val="none" w:sz="0" w:space="0" w:color="auto"/>
        <w:left w:val="none" w:sz="0" w:space="0" w:color="auto"/>
        <w:bottom w:val="none" w:sz="0" w:space="0" w:color="auto"/>
        <w:right w:val="none" w:sz="0" w:space="0" w:color="auto"/>
      </w:divBdr>
    </w:div>
    <w:div w:id="554321723">
      <w:bodyDiv w:val="1"/>
      <w:marLeft w:val="0"/>
      <w:marRight w:val="0"/>
      <w:marTop w:val="0"/>
      <w:marBottom w:val="0"/>
      <w:divBdr>
        <w:top w:val="none" w:sz="0" w:space="0" w:color="auto"/>
        <w:left w:val="none" w:sz="0" w:space="0" w:color="auto"/>
        <w:bottom w:val="none" w:sz="0" w:space="0" w:color="auto"/>
        <w:right w:val="none" w:sz="0" w:space="0" w:color="auto"/>
      </w:divBdr>
    </w:div>
    <w:div w:id="554466323">
      <w:bodyDiv w:val="1"/>
      <w:marLeft w:val="0"/>
      <w:marRight w:val="0"/>
      <w:marTop w:val="0"/>
      <w:marBottom w:val="0"/>
      <w:divBdr>
        <w:top w:val="none" w:sz="0" w:space="0" w:color="auto"/>
        <w:left w:val="none" w:sz="0" w:space="0" w:color="auto"/>
        <w:bottom w:val="none" w:sz="0" w:space="0" w:color="auto"/>
        <w:right w:val="none" w:sz="0" w:space="0" w:color="auto"/>
      </w:divBdr>
    </w:div>
    <w:div w:id="554585333">
      <w:bodyDiv w:val="1"/>
      <w:marLeft w:val="0"/>
      <w:marRight w:val="0"/>
      <w:marTop w:val="0"/>
      <w:marBottom w:val="0"/>
      <w:divBdr>
        <w:top w:val="none" w:sz="0" w:space="0" w:color="auto"/>
        <w:left w:val="none" w:sz="0" w:space="0" w:color="auto"/>
        <w:bottom w:val="none" w:sz="0" w:space="0" w:color="auto"/>
        <w:right w:val="none" w:sz="0" w:space="0" w:color="auto"/>
      </w:divBdr>
    </w:div>
    <w:div w:id="554706777">
      <w:bodyDiv w:val="1"/>
      <w:marLeft w:val="0"/>
      <w:marRight w:val="0"/>
      <w:marTop w:val="0"/>
      <w:marBottom w:val="0"/>
      <w:divBdr>
        <w:top w:val="none" w:sz="0" w:space="0" w:color="auto"/>
        <w:left w:val="none" w:sz="0" w:space="0" w:color="auto"/>
        <w:bottom w:val="none" w:sz="0" w:space="0" w:color="auto"/>
        <w:right w:val="none" w:sz="0" w:space="0" w:color="auto"/>
      </w:divBdr>
    </w:div>
    <w:div w:id="554707962">
      <w:bodyDiv w:val="1"/>
      <w:marLeft w:val="0"/>
      <w:marRight w:val="0"/>
      <w:marTop w:val="0"/>
      <w:marBottom w:val="0"/>
      <w:divBdr>
        <w:top w:val="none" w:sz="0" w:space="0" w:color="auto"/>
        <w:left w:val="none" w:sz="0" w:space="0" w:color="auto"/>
        <w:bottom w:val="none" w:sz="0" w:space="0" w:color="auto"/>
        <w:right w:val="none" w:sz="0" w:space="0" w:color="auto"/>
      </w:divBdr>
    </w:div>
    <w:div w:id="554774852">
      <w:bodyDiv w:val="1"/>
      <w:marLeft w:val="0"/>
      <w:marRight w:val="0"/>
      <w:marTop w:val="0"/>
      <w:marBottom w:val="0"/>
      <w:divBdr>
        <w:top w:val="none" w:sz="0" w:space="0" w:color="auto"/>
        <w:left w:val="none" w:sz="0" w:space="0" w:color="auto"/>
        <w:bottom w:val="none" w:sz="0" w:space="0" w:color="auto"/>
        <w:right w:val="none" w:sz="0" w:space="0" w:color="auto"/>
      </w:divBdr>
    </w:div>
    <w:div w:id="554968710">
      <w:bodyDiv w:val="1"/>
      <w:marLeft w:val="0"/>
      <w:marRight w:val="0"/>
      <w:marTop w:val="0"/>
      <w:marBottom w:val="0"/>
      <w:divBdr>
        <w:top w:val="none" w:sz="0" w:space="0" w:color="auto"/>
        <w:left w:val="none" w:sz="0" w:space="0" w:color="auto"/>
        <w:bottom w:val="none" w:sz="0" w:space="0" w:color="auto"/>
        <w:right w:val="none" w:sz="0" w:space="0" w:color="auto"/>
      </w:divBdr>
    </w:div>
    <w:div w:id="555090725">
      <w:bodyDiv w:val="1"/>
      <w:marLeft w:val="0"/>
      <w:marRight w:val="0"/>
      <w:marTop w:val="0"/>
      <w:marBottom w:val="0"/>
      <w:divBdr>
        <w:top w:val="none" w:sz="0" w:space="0" w:color="auto"/>
        <w:left w:val="none" w:sz="0" w:space="0" w:color="auto"/>
        <w:bottom w:val="none" w:sz="0" w:space="0" w:color="auto"/>
        <w:right w:val="none" w:sz="0" w:space="0" w:color="auto"/>
      </w:divBdr>
    </w:div>
    <w:div w:id="555094064">
      <w:bodyDiv w:val="1"/>
      <w:marLeft w:val="0"/>
      <w:marRight w:val="0"/>
      <w:marTop w:val="0"/>
      <w:marBottom w:val="0"/>
      <w:divBdr>
        <w:top w:val="none" w:sz="0" w:space="0" w:color="auto"/>
        <w:left w:val="none" w:sz="0" w:space="0" w:color="auto"/>
        <w:bottom w:val="none" w:sz="0" w:space="0" w:color="auto"/>
        <w:right w:val="none" w:sz="0" w:space="0" w:color="auto"/>
      </w:divBdr>
    </w:div>
    <w:div w:id="555240349">
      <w:bodyDiv w:val="1"/>
      <w:marLeft w:val="0"/>
      <w:marRight w:val="0"/>
      <w:marTop w:val="0"/>
      <w:marBottom w:val="0"/>
      <w:divBdr>
        <w:top w:val="none" w:sz="0" w:space="0" w:color="auto"/>
        <w:left w:val="none" w:sz="0" w:space="0" w:color="auto"/>
        <w:bottom w:val="none" w:sz="0" w:space="0" w:color="auto"/>
        <w:right w:val="none" w:sz="0" w:space="0" w:color="auto"/>
      </w:divBdr>
    </w:div>
    <w:div w:id="555240809">
      <w:bodyDiv w:val="1"/>
      <w:marLeft w:val="0"/>
      <w:marRight w:val="0"/>
      <w:marTop w:val="0"/>
      <w:marBottom w:val="0"/>
      <w:divBdr>
        <w:top w:val="none" w:sz="0" w:space="0" w:color="auto"/>
        <w:left w:val="none" w:sz="0" w:space="0" w:color="auto"/>
        <w:bottom w:val="none" w:sz="0" w:space="0" w:color="auto"/>
        <w:right w:val="none" w:sz="0" w:space="0" w:color="auto"/>
      </w:divBdr>
    </w:div>
    <w:div w:id="555433953">
      <w:bodyDiv w:val="1"/>
      <w:marLeft w:val="0"/>
      <w:marRight w:val="0"/>
      <w:marTop w:val="0"/>
      <w:marBottom w:val="0"/>
      <w:divBdr>
        <w:top w:val="none" w:sz="0" w:space="0" w:color="auto"/>
        <w:left w:val="none" w:sz="0" w:space="0" w:color="auto"/>
        <w:bottom w:val="none" w:sz="0" w:space="0" w:color="auto"/>
        <w:right w:val="none" w:sz="0" w:space="0" w:color="auto"/>
      </w:divBdr>
    </w:div>
    <w:div w:id="555438366">
      <w:bodyDiv w:val="1"/>
      <w:marLeft w:val="0"/>
      <w:marRight w:val="0"/>
      <w:marTop w:val="0"/>
      <w:marBottom w:val="0"/>
      <w:divBdr>
        <w:top w:val="none" w:sz="0" w:space="0" w:color="auto"/>
        <w:left w:val="none" w:sz="0" w:space="0" w:color="auto"/>
        <w:bottom w:val="none" w:sz="0" w:space="0" w:color="auto"/>
        <w:right w:val="none" w:sz="0" w:space="0" w:color="auto"/>
      </w:divBdr>
    </w:div>
    <w:div w:id="555509298">
      <w:bodyDiv w:val="1"/>
      <w:marLeft w:val="0"/>
      <w:marRight w:val="0"/>
      <w:marTop w:val="0"/>
      <w:marBottom w:val="0"/>
      <w:divBdr>
        <w:top w:val="none" w:sz="0" w:space="0" w:color="auto"/>
        <w:left w:val="none" w:sz="0" w:space="0" w:color="auto"/>
        <w:bottom w:val="none" w:sz="0" w:space="0" w:color="auto"/>
        <w:right w:val="none" w:sz="0" w:space="0" w:color="auto"/>
      </w:divBdr>
    </w:div>
    <w:div w:id="555510561">
      <w:bodyDiv w:val="1"/>
      <w:marLeft w:val="0"/>
      <w:marRight w:val="0"/>
      <w:marTop w:val="0"/>
      <w:marBottom w:val="0"/>
      <w:divBdr>
        <w:top w:val="none" w:sz="0" w:space="0" w:color="auto"/>
        <w:left w:val="none" w:sz="0" w:space="0" w:color="auto"/>
        <w:bottom w:val="none" w:sz="0" w:space="0" w:color="auto"/>
        <w:right w:val="none" w:sz="0" w:space="0" w:color="auto"/>
      </w:divBdr>
    </w:div>
    <w:div w:id="555705627">
      <w:bodyDiv w:val="1"/>
      <w:marLeft w:val="0"/>
      <w:marRight w:val="0"/>
      <w:marTop w:val="0"/>
      <w:marBottom w:val="0"/>
      <w:divBdr>
        <w:top w:val="none" w:sz="0" w:space="0" w:color="auto"/>
        <w:left w:val="none" w:sz="0" w:space="0" w:color="auto"/>
        <w:bottom w:val="none" w:sz="0" w:space="0" w:color="auto"/>
        <w:right w:val="none" w:sz="0" w:space="0" w:color="auto"/>
      </w:divBdr>
    </w:div>
    <w:div w:id="555777636">
      <w:bodyDiv w:val="1"/>
      <w:marLeft w:val="0"/>
      <w:marRight w:val="0"/>
      <w:marTop w:val="0"/>
      <w:marBottom w:val="0"/>
      <w:divBdr>
        <w:top w:val="none" w:sz="0" w:space="0" w:color="auto"/>
        <w:left w:val="none" w:sz="0" w:space="0" w:color="auto"/>
        <w:bottom w:val="none" w:sz="0" w:space="0" w:color="auto"/>
        <w:right w:val="none" w:sz="0" w:space="0" w:color="auto"/>
      </w:divBdr>
    </w:div>
    <w:div w:id="555822729">
      <w:bodyDiv w:val="1"/>
      <w:marLeft w:val="0"/>
      <w:marRight w:val="0"/>
      <w:marTop w:val="0"/>
      <w:marBottom w:val="0"/>
      <w:divBdr>
        <w:top w:val="none" w:sz="0" w:space="0" w:color="auto"/>
        <w:left w:val="none" w:sz="0" w:space="0" w:color="auto"/>
        <w:bottom w:val="none" w:sz="0" w:space="0" w:color="auto"/>
        <w:right w:val="none" w:sz="0" w:space="0" w:color="auto"/>
      </w:divBdr>
    </w:div>
    <w:div w:id="555822952">
      <w:bodyDiv w:val="1"/>
      <w:marLeft w:val="0"/>
      <w:marRight w:val="0"/>
      <w:marTop w:val="0"/>
      <w:marBottom w:val="0"/>
      <w:divBdr>
        <w:top w:val="none" w:sz="0" w:space="0" w:color="auto"/>
        <w:left w:val="none" w:sz="0" w:space="0" w:color="auto"/>
        <w:bottom w:val="none" w:sz="0" w:space="0" w:color="auto"/>
        <w:right w:val="none" w:sz="0" w:space="0" w:color="auto"/>
      </w:divBdr>
    </w:div>
    <w:div w:id="556167121">
      <w:bodyDiv w:val="1"/>
      <w:marLeft w:val="0"/>
      <w:marRight w:val="0"/>
      <w:marTop w:val="0"/>
      <w:marBottom w:val="0"/>
      <w:divBdr>
        <w:top w:val="none" w:sz="0" w:space="0" w:color="auto"/>
        <w:left w:val="none" w:sz="0" w:space="0" w:color="auto"/>
        <w:bottom w:val="none" w:sz="0" w:space="0" w:color="auto"/>
        <w:right w:val="none" w:sz="0" w:space="0" w:color="auto"/>
      </w:divBdr>
    </w:div>
    <w:div w:id="556168863">
      <w:bodyDiv w:val="1"/>
      <w:marLeft w:val="0"/>
      <w:marRight w:val="0"/>
      <w:marTop w:val="0"/>
      <w:marBottom w:val="0"/>
      <w:divBdr>
        <w:top w:val="none" w:sz="0" w:space="0" w:color="auto"/>
        <w:left w:val="none" w:sz="0" w:space="0" w:color="auto"/>
        <w:bottom w:val="none" w:sz="0" w:space="0" w:color="auto"/>
        <w:right w:val="none" w:sz="0" w:space="0" w:color="auto"/>
      </w:divBdr>
    </w:div>
    <w:div w:id="556168887">
      <w:bodyDiv w:val="1"/>
      <w:marLeft w:val="0"/>
      <w:marRight w:val="0"/>
      <w:marTop w:val="0"/>
      <w:marBottom w:val="0"/>
      <w:divBdr>
        <w:top w:val="none" w:sz="0" w:space="0" w:color="auto"/>
        <w:left w:val="none" w:sz="0" w:space="0" w:color="auto"/>
        <w:bottom w:val="none" w:sz="0" w:space="0" w:color="auto"/>
        <w:right w:val="none" w:sz="0" w:space="0" w:color="auto"/>
      </w:divBdr>
    </w:div>
    <w:div w:id="556207655">
      <w:bodyDiv w:val="1"/>
      <w:marLeft w:val="0"/>
      <w:marRight w:val="0"/>
      <w:marTop w:val="0"/>
      <w:marBottom w:val="0"/>
      <w:divBdr>
        <w:top w:val="none" w:sz="0" w:space="0" w:color="auto"/>
        <w:left w:val="none" w:sz="0" w:space="0" w:color="auto"/>
        <w:bottom w:val="none" w:sz="0" w:space="0" w:color="auto"/>
        <w:right w:val="none" w:sz="0" w:space="0" w:color="auto"/>
      </w:divBdr>
    </w:div>
    <w:div w:id="556285926">
      <w:bodyDiv w:val="1"/>
      <w:marLeft w:val="0"/>
      <w:marRight w:val="0"/>
      <w:marTop w:val="0"/>
      <w:marBottom w:val="0"/>
      <w:divBdr>
        <w:top w:val="none" w:sz="0" w:space="0" w:color="auto"/>
        <w:left w:val="none" w:sz="0" w:space="0" w:color="auto"/>
        <w:bottom w:val="none" w:sz="0" w:space="0" w:color="auto"/>
        <w:right w:val="none" w:sz="0" w:space="0" w:color="auto"/>
      </w:divBdr>
    </w:div>
    <w:div w:id="556286844">
      <w:bodyDiv w:val="1"/>
      <w:marLeft w:val="0"/>
      <w:marRight w:val="0"/>
      <w:marTop w:val="0"/>
      <w:marBottom w:val="0"/>
      <w:divBdr>
        <w:top w:val="none" w:sz="0" w:space="0" w:color="auto"/>
        <w:left w:val="none" w:sz="0" w:space="0" w:color="auto"/>
        <w:bottom w:val="none" w:sz="0" w:space="0" w:color="auto"/>
        <w:right w:val="none" w:sz="0" w:space="0" w:color="auto"/>
      </w:divBdr>
    </w:div>
    <w:div w:id="556287108">
      <w:bodyDiv w:val="1"/>
      <w:marLeft w:val="0"/>
      <w:marRight w:val="0"/>
      <w:marTop w:val="0"/>
      <w:marBottom w:val="0"/>
      <w:divBdr>
        <w:top w:val="none" w:sz="0" w:space="0" w:color="auto"/>
        <w:left w:val="none" w:sz="0" w:space="0" w:color="auto"/>
        <w:bottom w:val="none" w:sz="0" w:space="0" w:color="auto"/>
        <w:right w:val="none" w:sz="0" w:space="0" w:color="auto"/>
      </w:divBdr>
    </w:div>
    <w:div w:id="556353800">
      <w:bodyDiv w:val="1"/>
      <w:marLeft w:val="0"/>
      <w:marRight w:val="0"/>
      <w:marTop w:val="0"/>
      <w:marBottom w:val="0"/>
      <w:divBdr>
        <w:top w:val="none" w:sz="0" w:space="0" w:color="auto"/>
        <w:left w:val="none" w:sz="0" w:space="0" w:color="auto"/>
        <w:bottom w:val="none" w:sz="0" w:space="0" w:color="auto"/>
        <w:right w:val="none" w:sz="0" w:space="0" w:color="auto"/>
      </w:divBdr>
    </w:div>
    <w:div w:id="556358176">
      <w:bodyDiv w:val="1"/>
      <w:marLeft w:val="0"/>
      <w:marRight w:val="0"/>
      <w:marTop w:val="0"/>
      <w:marBottom w:val="0"/>
      <w:divBdr>
        <w:top w:val="none" w:sz="0" w:space="0" w:color="auto"/>
        <w:left w:val="none" w:sz="0" w:space="0" w:color="auto"/>
        <w:bottom w:val="none" w:sz="0" w:space="0" w:color="auto"/>
        <w:right w:val="none" w:sz="0" w:space="0" w:color="auto"/>
      </w:divBdr>
    </w:div>
    <w:div w:id="556360258">
      <w:bodyDiv w:val="1"/>
      <w:marLeft w:val="0"/>
      <w:marRight w:val="0"/>
      <w:marTop w:val="0"/>
      <w:marBottom w:val="0"/>
      <w:divBdr>
        <w:top w:val="none" w:sz="0" w:space="0" w:color="auto"/>
        <w:left w:val="none" w:sz="0" w:space="0" w:color="auto"/>
        <w:bottom w:val="none" w:sz="0" w:space="0" w:color="auto"/>
        <w:right w:val="none" w:sz="0" w:space="0" w:color="auto"/>
      </w:divBdr>
    </w:div>
    <w:div w:id="556360434">
      <w:bodyDiv w:val="1"/>
      <w:marLeft w:val="0"/>
      <w:marRight w:val="0"/>
      <w:marTop w:val="0"/>
      <w:marBottom w:val="0"/>
      <w:divBdr>
        <w:top w:val="none" w:sz="0" w:space="0" w:color="auto"/>
        <w:left w:val="none" w:sz="0" w:space="0" w:color="auto"/>
        <w:bottom w:val="none" w:sz="0" w:space="0" w:color="auto"/>
        <w:right w:val="none" w:sz="0" w:space="0" w:color="auto"/>
      </w:divBdr>
    </w:div>
    <w:div w:id="556402947">
      <w:bodyDiv w:val="1"/>
      <w:marLeft w:val="0"/>
      <w:marRight w:val="0"/>
      <w:marTop w:val="0"/>
      <w:marBottom w:val="0"/>
      <w:divBdr>
        <w:top w:val="none" w:sz="0" w:space="0" w:color="auto"/>
        <w:left w:val="none" w:sz="0" w:space="0" w:color="auto"/>
        <w:bottom w:val="none" w:sz="0" w:space="0" w:color="auto"/>
        <w:right w:val="none" w:sz="0" w:space="0" w:color="auto"/>
      </w:divBdr>
    </w:div>
    <w:div w:id="556549478">
      <w:bodyDiv w:val="1"/>
      <w:marLeft w:val="0"/>
      <w:marRight w:val="0"/>
      <w:marTop w:val="0"/>
      <w:marBottom w:val="0"/>
      <w:divBdr>
        <w:top w:val="none" w:sz="0" w:space="0" w:color="auto"/>
        <w:left w:val="none" w:sz="0" w:space="0" w:color="auto"/>
        <w:bottom w:val="none" w:sz="0" w:space="0" w:color="auto"/>
        <w:right w:val="none" w:sz="0" w:space="0" w:color="auto"/>
      </w:divBdr>
    </w:div>
    <w:div w:id="556667778">
      <w:bodyDiv w:val="1"/>
      <w:marLeft w:val="0"/>
      <w:marRight w:val="0"/>
      <w:marTop w:val="0"/>
      <w:marBottom w:val="0"/>
      <w:divBdr>
        <w:top w:val="none" w:sz="0" w:space="0" w:color="auto"/>
        <w:left w:val="none" w:sz="0" w:space="0" w:color="auto"/>
        <w:bottom w:val="none" w:sz="0" w:space="0" w:color="auto"/>
        <w:right w:val="none" w:sz="0" w:space="0" w:color="auto"/>
      </w:divBdr>
    </w:div>
    <w:div w:id="556934107">
      <w:bodyDiv w:val="1"/>
      <w:marLeft w:val="0"/>
      <w:marRight w:val="0"/>
      <w:marTop w:val="0"/>
      <w:marBottom w:val="0"/>
      <w:divBdr>
        <w:top w:val="none" w:sz="0" w:space="0" w:color="auto"/>
        <w:left w:val="none" w:sz="0" w:space="0" w:color="auto"/>
        <w:bottom w:val="none" w:sz="0" w:space="0" w:color="auto"/>
        <w:right w:val="none" w:sz="0" w:space="0" w:color="auto"/>
      </w:divBdr>
    </w:div>
    <w:div w:id="556939722">
      <w:bodyDiv w:val="1"/>
      <w:marLeft w:val="0"/>
      <w:marRight w:val="0"/>
      <w:marTop w:val="0"/>
      <w:marBottom w:val="0"/>
      <w:divBdr>
        <w:top w:val="none" w:sz="0" w:space="0" w:color="auto"/>
        <w:left w:val="none" w:sz="0" w:space="0" w:color="auto"/>
        <w:bottom w:val="none" w:sz="0" w:space="0" w:color="auto"/>
        <w:right w:val="none" w:sz="0" w:space="0" w:color="auto"/>
      </w:divBdr>
    </w:div>
    <w:div w:id="557131360">
      <w:bodyDiv w:val="1"/>
      <w:marLeft w:val="0"/>
      <w:marRight w:val="0"/>
      <w:marTop w:val="0"/>
      <w:marBottom w:val="0"/>
      <w:divBdr>
        <w:top w:val="none" w:sz="0" w:space="0" w:color="auto"/>
        <w:left w:val="none" w:sz="0" w:space="0" w:color="auto"/>
        <w:bottom w:val="none" w:sz="0" w:space="0" w:color="auto"/>
        <w:right w:val="none" w:sz="0" w:space="0" w:color="auto"/>
      </w:divBdr>
    </w:div>
    <w:div w:id="557277485">
      <w:bodyDiv w:val="1"/>
      <w:marLeft w:val="0"/>
      <w:marRight w:val="0"/>
      <w:marTop w:val="0"/>
      <w:marBottom w:val="0"/>
      <w:divBdr>
        <w:top w:val="none" w:sz="0" w:space="0" w:color="auto"/>
        <w:left w:val="none" w:sz="0" w:space="0" w:color="auto"/>
        <w:bottom w:val="none" w:sz="0" w:space="0" w:color="auto"/>
        <w:right w:val="none" w:sz="0" w:space="0" w:color="auto"/>
      </w:divBdr>
    </w:div>
    <w:div w:id="557319839">
      <w:bodyDiv w:val="1"/>
      <w:marLeft w:val="0"/>
      <w:marRight w:val="0"/>
      <w:marTop w:val="0"/>
      <w:marBottom w:val="0"/>
      <w:divBdr>
        <w:top w:val="none" w:sz="0" w:space="0" w:color="auto"/>
        <w:left w:val="none" w:sz="0" w:space="0" w:color="auto"/>
        <w:bottom w:val="none" w:sz="0" w:space="0" w:color="auto"/>
        <w:right w:val="none" w:sz="0" w:space="0" w:color="auto"/>
      </w:divBdr>
    </w:div>
    <w:div w:id="557399225">
      <w:bodyDiv w:val="1"/>
      <w:marLeft w:val="0"/>
      <w:marRight w:val="0"/>
      <w:marTop w:val="0"/>
      <w:marBottom w:val="0"/>
      <w:divBdr>
        <w:top w:val="none" w:sz="0" w:space="0" w:color="auto"/>
        <w:left w:val="none" w:sz="0" w:space="0" w:color="auto"/>
        <w:bottom w:val="none" w:sz="0" w:space="0" w:color="auto"/>
        <w:right w:val="none" w:sz="0" w:space="0" w:color="auto"/>
      </w:divBdr>
    </w:div>
    <w:div w:id="557473876">
      <w:bodyDiv w:val="1"/>
      <w:marLeft w:val="0"/>
      <w:marRight w:val="0"/>
      <w:marTop w:val="0"/>
      <w:marBottom w:val="0"/>
      <w:divBdr>
        <w:top w:val="none" w:sz="0" w:space="0" w:color="auto"/>
        <w:left w:val="none" w:sz="0" w:space="0" w:color="auto"/>
        <w:bottom w:val="none" w:sz="0" w:space="0" w:color="auto"/>
        <w:right w:val="none" w:sz="0" w:space="0" w:color="auto"/>
      </w:divBdr>
    </w:div>
    <w:div w:id="557588860">
      <w:bodyDiv w:val="1"/>
      <w:marLeft w:val="0"/>
      <w:marRight w:val="0"/>
      <w:marTop w:val="0"/>
      <w:marBottom w:val="0"/>
      <w:divBdr>
        <w:top w:val="none" w:sz="0" w:space="0" w:color="auto"/>
        <w:left w:val="none" w:sz="0" w:space="0" w:color="auto"/>
        <w:bottom w:val="none" w:sz="0" w:space="0" w:color="auto"/>
        <w:right w:val="none" w:sz="0" w:space="0" w:color="auto"/>
      </w:divBdr>
    </w:div>
    <w:div w:id="557593131">
      <w:bodyDiv w:val="1"/>
      <w:marLeft w:val="0"/>
      <w:marRight w:val="0"/>
      <w:marTop w:val="0"/>
      <w:marBottom w:val="0"/>
      <w:divBdr>
        <w:top w:val="none" w:sz="0" w:space="0" w:color="auto"/>
        <w:left w:val="none" w:sz="0" w:space="0" w:color="auto"/>
        <w:bottom w:val="none" w:sz="0" w:space="0" w:color="auto"/>
        <w:right w:val="none" w:sz="0" w:space="0" w:color="auto"/>
      </w:divBdr>
    </w:div>
    <w:div w:id="557664795">
      <w:bodyDiv w:val="1"/>
      <w:marLeft w:val="0"/>
      <w:marRight w:val="0"/>
      <w:marTop w:val="0"/>
      <w:marBottom w:val="0"/>
      <w:divBdr>
        <w:top w:val="none" w:sz="0" w:space="0" w:color="auto"/>
        <w:left w:val="none" w:sz="0" w:space="0" w:color="auto"/>
        <w:bottom w:val="none" w:sz="0" w:space="0" w:color="auto"/>
        <w:right w:val="none" w:sz="0" w:space="0" w:color="auto"/>
      </w:divBdr>
    </w:div>
    <w:div w:id="557670431">
      <w:bodyDiv w:val="1"/>
      <w:marLeft w:val="0"/>
      <w:marRight w:val="0"/>
      <w:marTop w:val="0"/>
      <w:marBottom w:val="0"/>
      <w:divBdr>
        <w:top w:val="none" w:sz="0" w:space="0" w:color="auto"/>
        <w:left w:val="none" w:sz="0" w:space="0" w:color="auto"/>
        <w:bottom w:val="none" w:sz="0" w:space="0" w:color="auto"/>
        <w:right w:val="none" w:sz="0" w:space="0" w:color="auto"/>
      </w:divBdr>
    </w:div>
    <w:div w:id="557740140">
      <w:bodyDiv w:val="1"/>
      <w:marLeft w:val="0"/>
      <w:marRight w:val="0"/>
      <w:marTop w:val="0"/>
      <w:marBottom w:val="0"/>
      <w:divBdr>
        <w:top w:val="none" w:sz="0" w:space="0" w:color="auto"/>
        <w:left w:val="none" w:sz="0" w:space="0" w:color="auto"/>
        <w:bottom w:val="none" w:sz="0" w:space="0" w:color="auto"/>
        <w:right w:val="none" w:sz="0" w:space="0" w:color="auto"/>
      </w:divBdr>
    </w:div>
    <w:div w:id="557860070">
      <w:bodyDiv w:val="1"/>
      <w:marLeft w:val="0"/>
      <w:marRight w:val="0"/>
      <w:marTop w:val="0"/>
      <w:marBottom w:val="0"/>
      <w:divBdr>
        <w:top w:val="none" w:sz="0" w:space="0" w:color="auto"/>
        <w:left w:val="none" w:sz="0" w:space="0" w:color="auto"/>
        <w:bottom w:val="none" w:sz="0" w:space="0" w:color="auto"/>
        <w:right w:val="none" w:sz="0" w:space="0" w:color="auto"/>
      </w:divBdr>
    </w:div>
    <w:div w:id="557938268">
      <w:bodyDiv w:val="1"/>
      <w:marLeft w:val="0"/>
      <w:marRight w:val="0"/>
      <w:marTop w:val="0"/>
      <w:marBottom w:val="0"/>
      <w:divBdr>
        <w:top w:val="none" w:sz="0" w:space="0" w:color="auto"/>
        <w:left w:val="none" w:sz="0" w:space="0" w:color="auto"/>
        <w:bottom w:val="none" w:sz="0" w:space="0" w:color="auto"/>
        <w:right w:val="none" w:sz="0" w:space="0" w:color="auto"/>
      </w:divBdr>
    </w:div>
    <w:div w:id="558320822">
      <w:bodyDiv w:val="1"/>
      <w:marLeft w:val="0"/>
      <w:marRight w:val="0"/>
      <w:marTop w:val="0"/>
      <w:marBottom w:val="0"/>
      <w:divBdr>
        <w:top w:val="none" w:sz="0" w:space="0" w:color="auto"/>
        <w:left w:val="none" w:sz="0" w:space="0" w:color="auto"/>
        <w:bottom w:val="none" w:sz="0" w:space="0" w:color="auto"/>
        <w:right w:val="none" w:sz="0" w:space="0" w:color="auto"/>
      </w:divBdr>
    </w:div>
    <w:div w:id="558370126">
      <w:bodyDiv w:val="1"/>
      <w:marLeft w:val="0"/>
      <w:marRight w:val="0"/>
      <w:marTop w:val="0"/>
      <w:marBottom w:val="0"/>
      <w:divBdr>
        <w:top w:val="none" w:sz="0" w:space="0" w:color="auto"/>
        <w:left w:val="none" w:sz="0" w:space="0" w:color="auto"/>
        <w:bottom w:val="none" w:sz="0" w:space="0" w:color="auto"/>
        <w:right w:val="none" w:sz="0" w:space="0" w:color="auto"/>
      </w:divBdr>
    </w:div>
    <w:div w:id="558518457">
      <w:bodyDiv w:val="1"/>
      <w:marLeft w:val="0"/>
      <w:marRight w:val="0"/>
      <w:marTop w:val="0"/>
      <w:marBottom w:val="0"/>
      <w:divBdr>
        <w:top w:val="none" w:sz="0" w:space="0" w:color="auto"/>
        <w:left w:val="none" w:sz="0" w:space="0" w:color="auto"/>
        <w:bottom w:val="none" w:sz="0" w:space="0" w:color="auto"/>
        <w:right w:val="none" w:sz="0" w:space="0" w:color="auto"/>
      </w:divBdr>
    </w:div>
    <w:div w:id="558522065">
      <w:bodyDiv w:val="1"/>
      <w:marLeft w:val="0"/>
      <w:marRight w:val="0"/>
      <w:marTop w:val="0"/>
      <w:marBottom w:val="0"/>
      <w:divBdr>
        <w:top w:val="none" w:sz="0" w:space="0" w:color="auto"/>
        <w:left w:val="none" w:sz="0" w:space="0" w:color="auto"/>
        <w:bottom w:val="none" w:sz="0" w:space="0" w:color="auto"/>
        <w:right w:val="none" w:sz="0" w:space="0" w:color="auto"/>
      </w:divBdr>
    </w:div>
    <w:div w:id="558783319">
      <w:bodyDiv w:val="1"/>
      <w:marLeft w:val="0"/>
      <w:marRight w:val="0"/>
      <w:marTop w:val="0"/>
      <w:marBottom w:val="0"/>
      <w:divBdr>
        <w:top w:val="none" w:sz="0" w:space="0" w:color="auto"/>
        <w:left w:val="none" w:sz="0" w:space="0" w:color="auto"/>
        <w:bottom w:val="none" w:sz="0" w:space="0" w:color="auto"/>
        <w:right w:val="none" w:sz="0" w:space="0" w:color="auto"/>
      </w:divBdr>
    </w:div>
    <w:div w:id="558831413">
      <w:bodyDiv w:val="1"/>
      <w:marLeft w:val="0"/>
      <w:marRight w:val="0"/>
      <w:marTop w:val="0"/>
      <w:marBottom w:val="0"/>
      <w:divBdr>
        <w:top w:val="none" w:sz="0" w:space="0" w:color="auto"/>
        <w:left w:val="none" w:sz="0" w:space="0" w:color="auto"/>
        <w:bottom w:val="none" w:sz="0" w:space="0" w:color="auto"/>
        <w:right w:val="none" w:sz="0" w:space="0" w:color="auto"/>
      </w:divBdr>
    </w:div>
    <w:div w:id="559024688">
      <w:bodyDiv w:val="1"/>
      <w:marLeft w:val="0"/>
      <w:marRight w:val="0"/>
      <w:marTop w:val="0"/>
      <w:marBottom w:val="0"/>
      <w:divBdr>
        <w:top w:val="none" w:sz="0" w:space="0" w:color="auto"/>
        <w:left w:val="none" w:sz="0" w:space="0" w:color="auto"/>
        <w:bottom w:val="none" w:sz="0" w:space="0" w:color="auto"/>
        <w:right w:val="none" w:sz="0" w:space="0" w:color="auto"/>
      </w:divBdr>
    </w:div>
    <w:div w:id="559051383">
      <w:bodyDiv w:val="1"/>
      <w:marLeft w:val="0"/>
      <w:marRight w:val="0"/>
      <w:marTop w:val="0"/>
      <w:marBottom w:val="0"/>
      <w:divBdr>
        <w:top w:val="none" w:sz="0" w:space="0" w:color="auto"/>
        <w:left w:val="none" w:sz="0" w:space="0" w:color="auto"/>
        <w:bottom w:val="none" w:sz="0" w:space="0" w:color="auto"/>
        <w:right w:val="none" w:sz="0" w:space="0" w:color="auto"/>
      </w:divBdr>
    </w:div>
    <w:div w:id="559095554">
      <w:bodyDiv w:val="1"/>
      <w:marLeft w:val="0"/>
      <w:marRight w:val="0"/>
      <w:marTop w:val="0"/>
      <w:marBottom w:val="0"/>
      <w:divBdr>
        <w:top w:val="none" w:sz="0" w:space="0" w:color="auto"/>
        <w:left w:val="none" w:sz="0" w:space="0" w:color="auto"/>
        <w:bottom w:val="none" w:sz="0" w:space="0" w:color="auto"/>
        <w:right w:val="none" w:sz="0" w:space="0" w:color="auto"/>
      </w:divBdr>
    </w:div>
    <w:div w:id="559219518">
      <w:bodyDiv w:val="1"/>
      <w:marLeft w:val="0"/>
      <w:marRight w:val="0"/>
      <w:marTop w:val="0"/>
      <w:marBottom w:val="0"/>
      <w:divBdr>
        <w:top w:val="none" w:sz="0" w:space="0" w:color="auto"/>
        <w:left w:val="none" w:sz="0" w:space="0" w:color="auto"/>
        <w:bottom w:val="none" w:sz="0" w:space="0" w:color="auto"/>
        <w:right w:val="none" w:sz="0" w:space="0" w:color="auto"/>
      </w:divBdr>
    </w:div>
    <w:div w:id="559245091">
      <w:bodyDiv w:val="1"/>
      <w:marLeft w:val="0"/>
      <w:marRight w:val="0"/>
      <w:marTop w:val="0"/>
      <w:marBottom w:val="0"/>
      <w:divBdr>
        <w:top w:val="none" w:sz="0" w:space="0" w:color="auto"/>
        <w:left w:val="none" w:sz="0" w:space="0" w:color="auto"/>
        <w:bottom w:val="none" w:sz="0" w:space="0" w:color="auto"/>
        <w:right w:val="none" w:sz="0" w:space="0" w:color="auto"/>
      </w:divBdr>
    </w:div>
    <w:div w:id="559246467">
      <w:bodyDiv w:val="1"/>
      <w:marLeft w:val="0"/>
      <w:marRight w:val="0"/>
      <w:marTop w:val="0"/>
      <w:marBottom w:val="0"/>
      <w:divBdr>
        <w:top w:val="none" w:sz="0" w:space="0" w:color="auto"/>
        <w:left w:val="none" w:sz="0" w:space="0" w:color="auto"/>
        <w:bottom w:val="none" w:sz="0" w:space="0" w:color="auto"/>
        <w:right w:val="none" w:sz="0" w:space="0" w:color="auto"/>
      </w:divBdr>
    </w:div>
    <w:div w:id="559290851">
      <w:bodyDiv w:val="1"/>
      <w:marLeft w:val="0"/>
      <w:marRight w:val="0"/>
      <w:marTop w:val="0"/>
      <w:marBottom w:val="0"/>
      <w:divBdr>
        <w:top w:val="none" w:sz="0" w:space="0" w:color="auto"/>
        <w:left w:val="none" w:sz="0" w:space="0" w:color="auto"/>
        <w:bottom w:val="none" w:sz="0" w:space="0" w:color="auto"/>
        <w:right w:val="none" w:sz="0" w:space="0" w:color="auto"/>
      </w:divBdr>
    </w:div>
    <w:div w:id="559295279">
      <w:bodyDiv w:val="1"/>
      <w:marLeft w:val="0"/>
      <w:marRight w:val="0"/>
      <w:marTop w:val="0"/>
      <w:marBottom w:val="0"/>
      <w:divBdr>
        <w:top w:val="none" w:sz="0" w:space="0" w:color="auto"/>
        <w:left w:val="none" w:sz="0" w:space="0" w:color="auto"/>
        <w:bottom w:val="none" w:sz="0" w:space="0" w:color="auto"/>
        <w:right w:val="none" w:sz="0" w:space="0" w:color="auto"/>
      </w:divBdr>
    </w:div>
    <w:div w:id="559444569">
      <w:bodyDiv w:val="1"/>
      <w:marLeft w:val="0"/>
      <w:marRight w:val="0"/>
      <w:marTop w:val="0"/>
      <w:marBottom w:val="0"/>
      <w:divBdr>
        <w:top w:val="none" w:sz="0" w:space="0" w:color="auto"/>
        <w:left w:val="none" w:sz="0" w:space="0" w:color="auto"/>
        <w:bottom w:val="none" w:sz="0" w:space="0" w:color="auto"/>
        <w:right w:val="none" w:sz="0" w:space="0" w:color="auto"/>
      </w:divBdr>
    </w:div>
    <w:div w:id="559634498">
      <w:bodyDiv w:val="1"/>
      <w:marLeft w:val="0"/>
      <w:marRight w:val="0"/>
      <w:marTop w:val="0"/>
      <w:marBottom w:val="0"/>
      <w:divBdr>
        <w:top w:val="none" w:sz="0" w:space="0" w:color="auto"/>
        <w:left w:val="none" w:sz="0" w:space="0" w:color="auto"/>
        <w:bottom w:val="none" w:sz="0" w:space="0" w:color="auto"/>
        <w:right w:val="none" w:sz="0" w:space="0" w:color="auto"/>
      </w:divBdr>
    </w:div>
    <w:div w:id="559677473">
      <w:bodyDiv w:val="1"/>
      <w:marLeft w:val="0"/>
      <w:marRight w:val="0"/>
      <w:marTop w:val="0"/>
      <w:marBottom w:val="0"/>
      <w:divBdr>
        <w:top w:val="none" w:sz="0" w:space="0" w:color="auto"/>
        <w:left w:val="none" w:sz="0" w:space="0" w:color="auto"/>
        <w:bottom w:val="none" w:sz="0" w:space="0" w:color="auto"/>
        <w:right w:val="none" w:sz="0" w:space="0" w:color="auto"/>
      </w:divBdr>
    </w:div>
    <w:div w:id="559709123">
      <w:bodyDiv w:val="1"/>
      <w:marLeft w:val="0"/>
      <w:marRight w:val="0"/>
      <w:marTop w:val="0"/>
      <w:marBottom w:val="0"/>
      <w:divBdr>
        <w:top w:val="none" w:sz="0" w:space="0" w:color="auto"/>
        <w:left w:val="none" w:sz="0" w:space="0" w:color="auto"/>
        <w:bottom w:val="none" w:sz="0" w:space="0" w:color="auto"/>
        <w:right w:val="none" w:sz="0" w:space="0" w:color="auto"/>
      </w:divBdr>
    </w:div>
    <w:div w:id="559824074">
      <w:bodyDiv w:val="1"/>
      <w:marLeft w:val="0"/>
      <w:marRight w:val="0"/>
      <w:marTop w:val="0"/>
      <w:marBottom w:val="0"/>
      <w:divBdr>
        <w:top w:val="none" w:sz="0" w:space="0" w:color="auto"/>
        <w:left w:val="none" w:sz="0" w:space="0" w:color="auto"/>
        <w:bottom w:val="none" w:sz="0" w:space="0" w:color="auto"/>
        <w:right w:val="none" w:sz="0" w:space="0" w:color="auto"/>
      </w:divBdr>
    </w:div>
    <w:div w:id="559898425">
      <w:bodyDiv w:val="1"/>
      <w:marLeft w:val="0"/>
      <w:marRight w:val="0"/>
      <w:marTop w:val="0"/>
      <w:marBottom w:val="0"/>
      <w:divBdr>
        <w:top w:val="none" w:sz="0" w:space="0" w:color="auto"/>
        <w:left w:val="none" w:sz="0" w:space="0" w:color="auto"/>
        <w:bottom w:val="none" w:sz="0" w:space="0" w:color="auto"/>
        <w:right w:val="none" w:sz="0" w:space="0" w:color="auto"/>
      </w:divBdr>
    </w:div>
    <w:div w:id="560167278">
      <w:bodyDiv w:val="1"/>
      <w:marLeft w:val="0"/>
      <w:marRight w:val="0"/>
      <w:marTop w:val="0"/>
      <w:marBottom w:val="0"/>
      <w:divBdr>
        <w:top w:val="none" w:sz="0" w:space="0" w:color="auto"/>
        <w:left w:val="none" w:sz="0" w:space="0" w:color="auto"/>
        <w:bottom w:val="none" w:sz="0" w:space="0" w:color="auto"/>
        <w:right w:val="none" w:sz="0" w:space="0" w:color="auto"/>
      </w:divBdr>
    </w:div>
    <w:div w:id="560211611">
      <w:bodyDiv w:val="1"/>
      <w:marLeft w:val="0"/>
      <w:marRight w:val="0"/>
      <w:marTop w:val="0"/>
      <w:marBottom w:val="0"/>
      <w:divBdr>
        <w:top w:val="none" w:sz="0" w:space="0" w:color="auto"/>
        <w:left w:val="none" w:sz="0" w:space="0" w:color="auto"/>
        <w:bottom w:val="none" w:sz="0" w:space="0" w:color="auto"/>
        <w:right w:val="none" w:sz="0" w:space="0" w:color="auto"/>
      </w:divBdr>
    </w:div>
    <w:div w:id="560293227">
      <w:bodyDiv w:val="1"/>
      <w:marLeft w:val="0"/>
      <w:marRight w:val="0"/>
      <w:marTop w:val="0"/>
      <w:marBottom w:val="0"/>
      <w:divBdr>
        <w:top w:val="none" w:sz="0" w:space="0" w:color="auto"/>
        <w:left w:val="none" w:sz="0" w:space="0" w:color="auto"/>
        <w:bottom w:val="none" w:sz="0" w:space="0" w:color="auto"/>
        <w:right w:val="none" w:sz="0" w:space="0" w:color="auto"/>
      </w:divBdr>
    </w:div>
    <w:div w:id="560405280">
      <w:bodyDiv w:val="1"/>
      <w:marLeft w:val="0"/>
      <w:marRight w:val="0"/>
      <w:marTop w:val="0"/>
      <w:marBottom w:val="0"/>
      <w:divBdr>
        <w:top w:val="none" w:sz="0" w:space="0" w:color="auto"/>
        <w:left w:val="none" w:sz="0" w:space="0" w:color="auto"/>
        <w:bottom w:val="none" w:sz="0" w:space="0" w:color="auto"/>
        <w:right w:val="none" w:sz="0" w:space="0" w:color="auto"/>
      </w:divBdr>
    </w:div>
    <w:div w:id="560598456">
      <w:bodyDiv w:val="1"/>
      <w:marLeft w:val="0"/>
      <w:marRight w:val="0"/>
      <w:marTop w:val="0"/>
      <w:marBottom w:val="0"/>
      <w:divBdr>
        <w:top w:val="none" w:sz="0" w:space="0" w:color="auto"/>
        <w:left w:val="none" w:sz="0" w:space="0" w:color="auto"/>
        <w:bottom w:val="none" w:sz="0" w:space="0" w:color="auto"/>
        <w:right w:val="none" w:sz="0" w:space="0" w:color="auto"/>
      </w:divBdr>
    </w:div>
    <w:div w:id="560946566">
      <w:bodyDiv w:val="1"/>
      <w:marLeft w:val="0"/>
      <w:marRight w:val="0"/>
      <w:marTop w:val="0"/>
      <w:marBottom w:val="0"/>
      <w:divBdr>
        <w:top w:val="none" w:sz="0" w:space="0" w:color="auto"/>
        <w:left w:val="none" w:sz="0" w:space="0" w:color="auto"/>
        <w:bottom w:val="none" w:sz="0" w:space="0" w:color="auto"/>
        <w:right w:val="none" w:sz="0" w:space="0" w:color="auto"/>
      </w:divBdr>
    </w:div>
    <w:div w:id="560988293">
      <w:bodyDiv w:val="1"/>
      <w:marLeft w:val="0"/>
      <w:marRight w:val="0"/>
      <w:marTop w:val="0"/>
      <w:marBottom w:val="0"/>
      <w:divBdr>
        <w:top w:val="none" w:sz="0" w:space="0" w:color="auto"/>
        <w:left w:val="none" w:sz="0" w:space="0" w:color="auto"/>
        <w:bottom w:val="none" w:sz="0" w:space="0" w:color="auto"/>
        <w:right w:val="none" w:sz="0" w:space="0" w:color="auto"/>
      </w:divBdr>
    </w:div>
    <w:div w:id="561137543">
      <w:bodyDiv w:val="1"/>
      <w:marLeft w:val="0"/>
      <w:marRight w:val="0"/>
      <w:marTop w:val="0"/>
      <w:marBottom w:val="0"/>
      <w:divBdr>
        <w:top w:val="none" w:sz="0" w:space="0" w:color="auto"/>
        <w:left w:val="none" w:sz="0" w:space="0" w:color="auto"/>
        <w:bottom w:val="none" w:sz="0" w:space="0" w:color="auto"/>
        <w:right w:val="none" w:sz="0" w:space="0" w:color="auto"/>
      </w:divBdr>
    </w:div>
    <w:div w:id="561328305">
      <w:bodyDiv w:val="1"/>
      <w:marLeft w:val="0"/>
      <w:marRight w:val="0"/>
      <w:marTop w:val="0"/>
      <w:marBottom w:val="0"/>
      <w:divBdr>
        <w:top w:val="none" w:sz="0" w:space="0" w:color="auto"/>
        <w:left w:val="none" w:sz="0" w:space="0" w:color="auto"/>
        <w:bottom w:val="none" w:sz="0" w:space="0" w:color="auto"/>
        <w:right w:val="none" w:sz="0" w:space="0" w:color="auto"/>
      </w:divBdr>
    </w:div>
    <w:div w:id="561328335">
      <w:bodyDiv w:val="1"/>
      <w:marLeft w:val="0"/>
      <w:marRight w:val="0"/>
      <w:marTop w:val="0"/>
      <w:marBottom w:val="0"/>
      <w:divBdr>
        <w:top w:val="none" w:sz="0" w:space="0" w:color="auto"/>
        <w:left w:val="none" w:sz="0" w:space="0" w:color="auto"/>
        <w:bottom w:val="none" w:sz="0" w:space="0" w:color="auto"/>
        <w:right w:val="none" w:sz="0" w:space="0" w:color="auto"/>
      </w:divBdr>
    </w:div>
    <w:div w:id="561454374">
      <w:bodyDiv w:val="1"/>
      <w:marLeft w:val="0"/>
      <w:marRight w:val="0"/>
      <w:marTop w:val="0"/>
      <w:marBottom w:val="0"/>
      <w:divBdr>
        <w:top w:val="none" w:sz="0" w:space="0" w:color="auto"/>
        <w:left w:val="none" w:sz="0" w:space="0" w:color="auto"/>
        <w:bottom w:val="none" w:sz="0" w:space="0" w:color="auto"/>
        <w:right w:val="none" w:sz="0" w:space="0" w:color="auto"/>
      </w:divBdr>
    </w:div>
    <w:div w:id="561645523">
      <w:bodyDiv w:val="1"/>
      <w:marLeft w:val="0"/>
      <w:marRight w:val="0"/>
      <w:marTop w:val="0"/>
      <w:marBottom w:val="0"/>
      <w:divBdr>
        <w:top w:val="none" w:sz="0" w:space="0" w:color="auto"/>
        <w:left w:val="none" w:sz="0" w:space="0" w:color="auto"/>
        <w:bottom w:val="none" w:sz="0" w:space="0" w:color="auto"/>
        <w:right w:val="none" w:sz="0" w:space="0" w:color="auto"/>
      </w:divBdr>
    </w:div>
    <w:div w:id="561675768">
      <w:bodyDiv w:val="1"/>
      <w:marLeft w:val="0"/>
      <w:marRight w:val="0"/>
      <w:marTop w:val="0"/>
      <w:marBottom w:val="0"/>
      <w:divBdr>
        <w:top w:val="none" w:sz="0" w:space="0" w:color="auto"/>
        <w:left w:val="none" w:sz="0" w:space="0" w:color="auto"/>
        <w:bottom w:val="none" w:sz="0" w:space="0" w:color="auto"/>
        <w:right w:val="none" w:sz="0" w:space="0" w:color="auto"/>
      </w:divBdr>
    </w:div>
    <w:div w:id="561719649">
      <w:bodyDiv w:val="1"/>
      <w:marLeft w:val="0"/>
      <w:marRight w:val="0"/>
      <w:marTop w:val="0"/>
      <w:marBottom w:val="0"/>
      <w:divBdr>
        <w:top w:val="none" w:sz="0" w:space="0" w:color="auto"/>
        <w:left w:val="none" w:sz="0" w:space="0" w:color="auto"/>
        <w:bottom w:val="none" w:sz="0" w:space="0" w:color="auto"/>
        <w:right w:val="none" w:sz="0" w:space="0" w:color="auto"/>
      </w:divBdr>
    </w:div>
    <w:div w:id="561790516">
      <w:bodyDiv w:val="1"/>
      <w:marLeft w:val="0"/>
      <w:marRight w:val="0"/>
      <w:marTop w:val="0"/>
      <w:marBottom w:val="0"/>
      <w:divBdr>
        <w:top w:val="none" w:sz="0" w:space="0" w:color="auto"/>
        <w:left w:val="none" w:sz="0" w:space="0" w:color="auto"/>
        <w:bottom w:val="none" w:sz="0" w:space="0" w:color="auto"/>
        <w:right w:val="none" w:sz="0" w:space="0" w:color="auto"/>
      </w:divBdr>
    </w:div>
    <w:div w:id="561912994">
      <w:bodyDiv w:val="1"/>
      <w:marLeft w:val="0"/>
      <w:marRight w:val="0"/>
      <w:marTop w:val="0"/>
      <w:marBottom w:val="0"/>
      <w:divBdr>
        <w:top w:val="none" w:sz="0" w:space="0" w:color="auto"/>
        <w:left w:val="none" w:sz="0" w:space="0" w:color="auto"/>
        <w:bottom w:val="none" w:sz="0" w:space="0" w:color="auto"/>
        <w:right w:val="none" w:sz="0" w:space="0" w:color="auto"/>
      </w:divBdr>
    </w:div>
    <w:div w:id="561983049">
      <w:bodyDiv w:val="1"/>
      <w:marLeft w:val="0"/>
      <w:marRight w:val="0"/>
      <w:marTop w:val="0"/>
      <w:marBottom w:val="0"/>
      <w:divBdr>
        <w:top w:val="none" w:sz="0" w:space="0" w:color="auto"/>
        <w:left w:val="none" w:sz="0" w:space="0" w:color="auto"/>
        <w:bottom w:val="none" w:sz="0" w:space="0" w:color="auto"/>
        <w:right w:val="none" w:sz="0" w:space="0" w:color="auto"/>
      </w:divBdr>
    </w:div>
    <w:div w:id="561983219">
      <w:bodyDiv w:val="1"/>
      <w:marLeft w:val="0"/>
      <w:marRight w:val="0"/>
      <w:marTop w:val="0"/>
      <w:marBottom w:val="0"/>
      <w:divBdr>
        <w:top w:val="none" w:sz="0" w:space="0" w:color="auto"/>
        <w:left w:val="none" w:sz="0" w:space="0" w:color="auto"/>
        <w:bottom w:val="none" w:sz="0" w:space="0" w:color="auto"/>
        <w:right w:val="none" w:sz="0" w:space="0" w:color="auto"/>
      </w:divBdr>
    </w:div>
    <w:div w:id="562106092">
      <w:bodyDiv w:val="1"/>
      <w:marLeft w:val="0"/>
      <w:marRight w:val="0"/>
      <w:marTop w:val="0"/>
      <w:marBottom w:val="0"/>
      <w:divBdr>
        <w:top w:val="none" w:sz="0" w:space="0" w:color="auto"/>
        <w:left w:val="none" w:sz="0" w:space="0" w:color="auto"/>
        <w:bottom w:val="none" w:sz="0" w:space="0" w:color="auto"/>
        <w:right w:val="none" w:sz="0" w:space="0" w:color="auto"/>
      </w:divBdr>
    </w:div>
    <w:div w:id="562181830">
      <w:bodyDiv w:val="1"/>
      <w:marLeft w:val="0"/>
      <w:marRight w:val="0"/>
      <w:marTop w:val="0"/>
      <w:marBottom w:val="0"/>
      <w:divBdr>
        <w:top w:val="none" w:sz="0" w:space="0" w:color="auto"/>
        <w:left w:val="none" w:sz="0" w:space="0" w:color="auto"/>
        <w:bottom w:val="none" w:sz="0" w:space="0" w:color="auto"/>
        <w:right w:val="none" w:sz="0" w:space="0" w:color="auto"/>
      </w:divBdr>
    </w:div>
    <w:div w:id="562253121">
      <w:bodyDiv w:val="1"/>
      <w:marLeft w:val="0"/>
      <w:marRight w:val="0"/>
      <w:marTop w:val="0"/>
      <w:marBottom w:val="0"/>
      <w:divBdr>
        <w:top w:val="none" w:sz="0" w:space="0" w:color="auto"/>
        <w:left w:val="none" w:sz="0" w:space="0" w:color="auto"/>
        <w:bottom w:val="none" w:sz="0" w:space="0" w:color="auto"/>
        <w:right w:val="none" w:sz="0" w:space="0" w:color="auto"/>
      </w:divBdr>
    </w:div>
    <w:div w:id="562257561">
      <w:bodyDiv w:val="1"/>
      <w:marLeft w:val="0"/>
      <w:marRight w:val="0"/>
      <w:marTop w:val="0"/>
      <w:marBottom w:val="0"/>
      <w:divBdr>
        <w:top w:val="none" w:sz="0" w:space="0" w:color="auto"/>
        <w:left w:val="none" w:sz="0" w:space="0" w:color="auto"/>
        <w:bottom w:val="none" w:sz="0" w:space="0" w:color="auto"/>
        <w:right w:val="none" w:sz="0" w:space="0" w:color="auto"/>
      </w:divBdr>
    </w:div>
    <w:div w:id="562302675">
      <w:bodyDiv w:val="1"/>
      <w:marLeft w:val="0"/>
      <w:marRight w:val="0"/>
      <w:marTop w:val="0"/>
      <w:marBottom w:val="0"/>
      <w:divBdr>
        <w:top w:val="none" w:sz="0" w:space="0" w:color="auto"/>
        <w:left w:val="none" w:sz="0" w:space="0" w:color="auto"/>
        <w:bottom w:val="none" w:sz="0" w:space="0" w:color="auto"/>
        <w:right w:val="none" w:sz="0" w:space="0" w:color="auto"/>
      </w:divBdr>
    </w:div>
    <w:div w:id="562328861">
      <w:bodyDiv w:val="1"/>
      <w:marLeft w:val="0"/>
      <w:marRight w:val="0"/>
      <w:marTop w:val="0"/>
      <w:marBottom w:val="0"/>
      <w:divBdr>
        <w:top w:val="none" w:sz="0" w:space="0" w:color="auto"/>
        <w:left w:val="none" w:sz="0" w:space="0" w:color="auto"/>
        <w:bottom w:val="none" w:sz="0" w:space="0" w:color="auto"/>
        <w:right w:val="none" w:sz="0" w:space="0" w:color="auto"/>
      </w:divBdr>
    </w:div>
    <w:div w:id="562368771">
      <w:bodyDiv w:val="1"/>
      <w:marLeft w:val="0"/>
      <w:marRight w:val="0"/>
      <w:marTop w:val="0"/>
      <w:marBottom w:val="0"/>
      <w:divBdr>
        <w:top w:val="none" w:sz="0" w:space="0" w:color="auto"/>
        <w:left w:val="none" w:sz="0" w:space="0" w:color="auto"/>
        <w:bottom w:val="none" w:sz="0" w:space="0" w:color="auto"/>
        <w:right w:val="none" w:sz="0" w:space="0" w:color="auto"/>
      </w:divBdr>
    </w:div>
    <w:div w:id="562376030">
      <w:bodyDiv w:val="1"/>
      <w:marLeft w:val="0"/>
      <w:marRight w:val="0"/>
      <w:marTop w:val="0"/>
      <w:marBottom w:val="0"/>
      <w:divBdr>
        <w:top w:val="none" w:sz="0" w:space="0" w:color="auto"/>
        <w:left w:val="none" w:sz="0" w:space="0" w:color="auto"/>
        <w:bottom w:val="none" w:sz="0" w:space="0" w:color="auto"/>
        <w:right w:val="none" w:sz="0" w:space="0" w:color="auto"/>
      </w:divBdr>
    </w:div>
    <w:div w:id="562376284">
      <w:bodyDiv w:val="1"/>
      <w:marLeft w:val="0"/>
      <w:marRight w:val="0"/>
      <w:marTop w:val="0"/>
      <w:marBottom w:val="0"/>
      <w:divBdr>
        <w:top w:val="none" w:sz="0" w:space="0" w:color="auto"/>
        <w:left w:val="none" w:sz="0" w:space="0" w:color="auto"/>
        <w:bottom w:val="none" w:sz="0" w:space="0" w:color="auto"/>
        <w:right w:val="none" w:sz="0" w:space="0" w:color="auto"/>
      </w:divBdr>
    </w:div>
    <w:div w:id="562523158">
      <w:bodyDiv w:val="1"/>
      <w:marLeft w:val="0"/>
      <w:marRight w:val="0"/>
      <w:marTop w:val="0"/>
      <w:marBottom w:val="0"/>
      <w:divBdr>
        <w:top w:val="none" w:sz="0" w:space="0" w:color="auto"/>
        <w:left w:val="none" w:sz="0" w:space="0" w:color="auto"/>
        <w:bottom w:val="none" w:sz="0" w:space="0" w:color="auto"/>
        <w:right w:val="none" w:sz="0" w:space="0" w:color="auto"/>
      </w:divBdr>
    </w:div>
    <w:div w:id="562722310">
      <w:bodyDiv w:val="1"/>
      <w:marLeft w:val="0"/>
      <w:marRight w:val="0"/>
      <w:marTop w:val="0"/>
      <w:marBottom w:val="0"/>
      <w:divBdr>
        <w:top w:val="none" w:sz="0" w:space="0" w:color="auto"/>
        <w:left w:val="none" w:sz="0" w:space="0" w:color="auto"/>
        <w:bottom w:val="none" w:sz="0" w:space="0" w:color="auto"/>
        <w:right w:val="none" w:sz="0" w:space="0" w:color="auto"/>
      </w:divBdr>
    </w:div>
    <w:div w:id="562913373">
      <w:bodyDiv w:val="1"/>
      <w:marLeft w:val="0"/>
      <w:marRight w:val="0"/>
      <w:marTop w:val="0"/>
      <w:marBottom w:val="0"/>
      <w:divBdr>
        <w:top w:val="none" w:sz="0" w:space="0" w:color="auto"/>
        <w:left w:val="none" w:sz="0" w:space="0" w:color="auto"/>
        <w:bottom w:val="none" w:sz="0" w:space="0" w:color="auto"/>
        <w:right w:val="none" w:sz="0" w:space="0" w:color="auto"/>
      </w:divBdr>
    </w:div>
    <w:div w:id="563026519">
      <w:bodyDiv w:val="1"/>
      <w:marLeft w:val="0"/>
      <w:marRight w:val="0"/>
      <w:marTop w:val="0"/>
      <w:marBottom w:val="0"/>
      <w:divBdr>
        <w:top w:val="none" w:sz="0" w:space="0" w:color="auto"/>
        <w:left w:val="none" w:sz="0" w:space="0" w:color="auto"/>
        <w:bottom w:val="none" w:sz="0" w:space="0" w:color="auto"/>
        <w:right w:val="none" w:sz="0" w:space="0" w:color="auto"/>
      </w:divBdr>
    </w:div>
    <w:div w:id="563026836">
      <w:bodyDiv w:val="1"/>
      <w:marLeft w:val="0"/>
      <w:marRight w:val="0"/>
      <w:marTop w:val="0"/>
      <w:marBottom w:val="0"/>
      <w:divBdr>
        <w:top w:val="none" w:sz="0" w:space="0" w:color="auto"/>
        <w:left w:val="none" w:sz="0" w:space="0" w:color="auto"/>
        <w:bottom w:val="none" w:sz="0" w:space="0" w:color="auto"/>
        <w:right w:val="none" w:sz="0" w:space="0" w:color="auto"/>
      </w:divBdr>
    </w:div>
    <w:div w:id="563175443">
      <w:bodyDiv w:val="1"/>
      <w:marLeft w:val="0"/>
      <w:marRight w:val="0"/>
      <w:marTop w:val="0"/>
      <w:marBottom w:val="0"/>
      <w:divBdr>
        <w:top w:val="none" w:sz="0" w:space="0" w:color="auto"/>
        <w:left w:val="none" w:sz="0" w:space="0" w:color="auto"/>
        <w:bottom w:val="none" w:sz="0" w:space="0" w:color="auto"/>
        <w:right w:val="none" w:sz="0" w:space="0" w:color="auto"/>
      </w:divBdr>
    </w:div>
    <w:div w:id="563225595">
      <w:bodyDiv w:val="1"/>
      <w:marLeft w:val="0"/>
      <w:marRight w:val="0"/>
      <w:marTop w:val="0"/>
      <w:marBottom w:val="0"/>
      <w:divBdr>
        <w:top w:val="none" w:sz="0" w:space="0" w:color="auto"/>
        <w:left w:val="none" w:sz="0" w:space="0" w:color="auto"/>
        <w:bottom w:val="none" w:sz="0" w:space="0" w:color="auto"/>
        <w:right w:val="none" w:sz="0" w:space="0" w:color="auto"/>
      </w:divBdr>
    </w:div>
    <w:div w:id="563297571">
      <w:bodyDiv w:val="1"/>
      <w:marLeft w:val="0"/>
      <w:marRight w:val="0"/>
      <w:marTop w:val="0"/>
      <w:marBottom w:val="0"/>
      <w:divBdr>
        <w:top w:val="none" w:sz="0" w:space="0" w:color="auto"/>
        <w:left w:val="none" w:sz="0" w:space="0" w:color="auto"/>
        <w:bottom w:val="none" w:sz="0" w:space="0" w:color="auto"/>
        <w:right w:val="none" w:sz="0" w:space="0" w:color="auto"/>
      </w:divBdr>
    </w:div>
    <w:div w:id="563298385">
      <w:bodyDiv w:val="1"/>
      <w:marLeft w:val="0"/>
      <w:marRight w:val="0"/>
      <w:marTop w:val="0"/>
      <w:marBottom w:val="0"/>
      <w:divBdr>
        <w:top w:val="none" w:sz="0" w:space="0" w:color="auto"/>
        <w:left w:val="none" w:sz="0" w:space="0" w:color="auto"/>
        <w:bottom w:val="none" w:sz="0" w:space="0" w:color="auto"/>
        <w:right w:val="none" w:sz="0" w:space="0" w:color="auto"/>
      </w:divBdr>
    </w:div>
    <w:div w:id="563413414">
      <w:bodyDiv w:val="1"/>
      <w:marLeft w:val="0"/>
      <w:marRight w:val="0"/>
      <w:marTop w:val="0"/>
      <w:marBottom w:val="0"/>
      <w:divBdr>
        <w:top w:val="none" w:sz="0" w:space="0" w:color="auto"/>
        <w:left w:val="none" w:sz="0" w:space="0" w:color="auto"/>
        <w:bottom w:val="none" w:sz="0" w:space="0" w:color="auto"/>
        <w:right w:val="none" w:sz="0" w:space="0" w:color="auto"/>
      </w:divBdr>
    </w:div>
    <w:div w:id="563416335">
      <w:bodyDiv w:val="1"/>
      <w:marLeft w:val="0"/>
      <w:marRight w:val="0"/>
      <w:marTop w:val="0"/>
      <w:marBottom w:val="0"/>
      <w:divBdr>
        <w:top w:val="none" w:sz="0" w:space="0" w:color="auto"/>
        <w:left w:val="none" w:sz="0" w:space="0" w:color="auto"/>
        <w:bottom w:val="none" w:sz="0" w:space="0" w:color="auto"/>
        <w:right w:val="none" w:sz="0" w:space="0" w:color="auto"/>
      </w:divBdr>
    </w:div>
    <w:div w:id="563490305">
      <w:bodyDiv w:val="1"/>
      <w:marLeft w:val="0"/>
      <w:marRight w:val="0"/>
      <w:marTop w:val="0"/>
      <w:marBottom w:val="0"/>
      <w:divBdr>
        <w:top w:val="none" w:sz="0" w:space="0" w:color="auto"/>
        <w:left w:val="none" w:sz="0" w:space="0" w:color="auto"/>
        <w:bottom w:val="none" w:sz="0" w:space="0" w:color="auto"/>
        <w:right w:val="none" w:sz="0" w:space="0" w:color="auto"/>
      </w:divBdr>
    </w:div>
    <w:div w:id="563762110">
      <w:bodyDiv w:val="1"/>
      <w:marLeft w:val="0"/>
      <w:marRight w:val="0"/>
      <w:marTop w:val="0"/>
      <w:marBottom w:val="0"/>
      <w:divBdr>
        <w:top w:val="none" w:sz="0" w:space="0" w:color="auto"/>
        <w:left w:val="none" w:sz="0" w:space="0" w:color="auto"/>
        <w:bottom w:val="none" w:sz="0" w:space="0" w:color="auto"/>
        <w:right w:val="none" w:sz="0" w:space="0" w:color="auto"/>
      </w:divBdr>
    </w:div>
    <w:div w:id="563806413">
      <w:bodyDiv w:val="1"/>
      <w:marLeft w:val="0"/>
      <w:marRight w:val="0"/>
      <w:marTop w:val="0"/>
      <w:marBottom w:val="0"/>
      <w:divBdr>
        <w:top w:val="none" w:sz="0" w:space="0" w:color="auto"/>
        <w:left w:val="none" w:sz="0" w:space="0" w:color="auto"/>
        <w:bottom w:val="none" w:sz="0" w:space="0" w:color="auto"/>
        <w:right w:val="none" w:sz="0" w:space="0" w:color="auto"/>
      </w:divBdr>
    </w:div>
    <w:div w:id="563831316">
      <w:bodyDiv w:val="1"/>
      <w:marLeft w:val="0"/>
      <w:marRight w:val="0"/>
      <w:marTop w:val="0"/>
      <w:marBottom w:val="0"/>
      <w:divBdr>
        <w:top w:val="none" w:sz="0" w:space="0" w:color="auto"/>
        <w:left w:val="none" w:sz="0" w:space="0" w:color="auto"/>
        <w:bottom w:val="none" w:sz="0" w:space="0" w:color="auto"/>
        <w:right w:val="none" w:sz="0" w:space="0" w:color="auto"/>
      </w:divBdr>
    </w:div>
    <w:div w:id="563880349">
      <w:bodyDiv w:val="1"/>
      <w:marLeft w:val="0"/>
      <w:marRight w:val="0"/>
      <w:marTop w:val="0"/>
      <w:marBottom w:val="0"/>
      <w:divBdr>
        <w:top w:val="none" w:sz="0" w:space="0" w:color="auto"/>
        <w:left w:val="none" w:sz="0" w:space="0" w:color="auto"/>
        <w:bottom w:val="none" w:sz="0" w:space="0" w:color="auto"/>
        <w:right w:val="none" w:sz="0" w:space="0" w:color="auto"/>
      </w:divBdr>
    </w:div>
    <w:div w:id="563952512">
      <w:bodyDiv w:val="1"/>
      <w:marLeft w:val="0"/>
      <w:marRight w:val="0"/>
      <w:marTop w:val="0"/>
      <w:marBottom w:val="0"/>
      <w:divBdr>
        <w:top w:val="none" w:sz="0" w:space="0" w:color="auto"/>
        <w:left w:val="none" w:sz="0" w:space="0" w:color="auto"/>
        <w:bottom w:val="none" w:sz="0" w:space="0" w:color="auto"/>
        <w:right w:val="none" w:sz="0" w:space="0" w:color="auto"/>
      </w:divBdr>
    </w:div>
    <w:div w:id="563955660">
      <w:bodyDiv w:val="1"/>
      <w:marLeft w:val="0"/>
      <w:marRight w:val="0"/>
      <w:marTop w:val="0"/>
      <w:marBottom w:val="0"/>
      <w:divBdr>
        <w:top w:val="none" w:sz="0" w:space="0" w:color="auto"/>
        <w:left w:val="none" w:sz="0" w:space="0" w:color="auto"/>
        <w:bottom w:val="none" w:sz="0" w:space="0" w:color="auto"/>
        <w:right w:val="none" w:sz="0" w:space="0" w:color="auto"/>
      </w:divBdr>
    </w:div>
    <w:div w:id="563956865">
      <w:bodyDiv w:val="1"/>
      <w:marLeft w:val="0"/>
      <w:marRight w:val="0"/>
      <w:marTop w:val="0"/>
      <w:marBottom w:val="0"/>
      <w:divBdr>
        <w:top w:val="none" w:sz="0" w:space="0" w:color="auto"/>
        <w:left w:val="none" w:sz="0" w:space="0" w:color="auto"/>
        <w:bottom w:val="none" w:sz="0" w:space="0" w:color="auto"/>
        <w:right w:val="none" w:sz="0" w:space="0" w:color="auto"/>
      </w:divBdr>
    </w:div>
    <w:div w:id="564098533">
      <w:bodyDiv w:val="1"/>
      <w:marLeft w:val="0"/>
      <w:marRight w:val="0"/>
      <w:marTop w:val="0"/>
      <w:marBottom w:val="0"/>
      <w:divBdr>
        <w:top w:val="none" w:sz="0" w:space="0" w:color="auto"/>
        <w:left w:val="none" w:sz="0" w:space="0" w:color="auto"/>
        <w:bottom w:val="none" w:sz="0" w:space="0" w:color="auto"/>
        <w:right w:val="none" w:sz="0" w:space="0" w:color="auto"/>
      </w:divBdr>
    </w:div>
    <w:div w:id="564221176">
      <w:bodyDiv w:val="1"/>
      <w:marLeft w:val="0"/>
      <w:marRight w:val="0"/>
      <w:marTop w:val="0"/>
      <w:marBottom w:val="0"/>
      <w:divBdr>
        <w:top w:val="none" w:sz="0" w:space="0" w:color="auto"/>
        <w:left w:val="none" w:sz="0" w:space="0" w:color="auto"/>
        <w:bottom w:val="none" w:sz="0" w:space="0" w:color="auto"/>
        <w:right w:val="none" w:sz="0" w:space="0" w:color="auto"/>
      </w:divBdr>
    </w:div>
    <w:div w:id="564225692">
      <w:bodyDiv w:val="1"/>
      <w:marLeft w:val="0"/>
      <w:marRight w:val="0"/>
      <w:marTop w:val="0"/>
      <w:marBottom w:val="0"/>
      <w:divBdr>
        <w:top w:val="none" w:sz="0" w:space="0" w:color="auto"/>
        <w:left w:val="none" w:sz="0" w:space="0" w:color="auto"/>
        <w:bottom w:val="none" w:sz="0" w:space="0" w:color="auto"/>
        <w:right w:val="none" w:sz="0" w:space="0" w:color="auto"/>
      </w:divBdr>
    </w:div>
    <w:div w:id="564338589">
      <w:bodyDiv w:val="1"/>
      <w:marLeft w:val="0"/>
      <w:marRight w:val="0"/>
      <w:marTop w:val="0"/>
      <w:marBottom w:val="0"/>
      <w:divBdr>
        <w:top w:val="none" w:sz="0" w:space="0" w:color="auto"/>
        <w:left w:val="none" w:sz="0" w:space="0" w:color="auto"/>
        <w:bottom w:val="none" w:sz="0" w:space="0" w:color="auto"/>
        <w:right w:val="none" w:sz="0" w:space="0" w:color="auto"/>
      </w:divBdr>
    </w:div>
    <w:div w:id="564487972">
      <w:bodyDiv w:val="1"/>
      <w:marLeft w:val="0"/>
      <w:marRight w:val="0"/>
      <w:marTop w:val="0"/>
      <w:marBottom w:val="0"/>
      <w:divBdr>
        <w:top w:val="none" w:sz="0" w:space="0" w:color="auto"/>
        <w:left w:val="none" w:sz="0" w:space="0" w:color="auto"/>
        <w:bottom w:val="none" w:sz="0" w:space="0" w:color="auto"/>
        <w:right w:val="none" w:sz="0" w:space="0" w:color="auto"/>
      </w:divBdr>
    </w:div>
    <w:div w:id="564678862">
      <w:bodyDiv w:val="1"/>
      <w:marLeft w:val="0"/>
      <w:marRight w:val="0"/>
      <w:marTop w:val="0"/>
      <w:marBottom w:val="0"/>
      <w:divBdr>
        <w:top w:val="none" w:sz="0" w:space="0" w:color="auto"/>
        <w:left w:val="none" w:sz="0" w:space="0" w:color="auto"/>
        <w:bottom w:val="none" w:sz="0" w:space="0" w:color="auto"/>
        <w:right w:val="none" w:sz="0" w:space="0" w:color="auto"/>
      </w:divBdr>
    </w:div>
    <w:div w:id="564686591">
      <w:bodyDiv w:val="1"/>
      <w:marLeft w:val="0"/>
      <w:marRight w:val="0"/>
      <w:marTop w:val="0"/>
      <w:marBottom w:val="0"/>
      <w:divBdr>
        <w:top w:val="none" w:sz="0" w:space="0" w:color="auto"/>
        <w:left w:val="none" w:sz="0" w:space="0" w:color="auto"/>
        <w:bottom w:val="none" w:sz="0" w:space="0" w:color="auto"/>
        <w:right w:val="none" w:sz="0" w:space="0" w:color="auto"/>
      </w:divBdr>
    </w:div>
    <w:div w:id="564729728">
      <w:bodyDiv w:val="1"/>
      <w:marLeft w:val="0"/>
      <w:marRight w:val="0"/>
      <w:marTop w:val="0"/>
      <w:marBottom w:val="0"/>
      <w:divBdr>
        <w:top w:val="none" w:sz="0" w:space="0" w:color="auto"/>
        <w:left w:val="none" w:sz="0" w:space="0" w:color="auto"/>
        <w:bottom w:val="none" w:sz="0" w:space="0" w:color="auto"/>
        <w:right w:val="none" w:sz="0" w:space="0" w:color="auto"/>
      </w:divBdr>
    </w:div>
    <w:div w:id="564875049">
      <w:bodyDiv w:val="1"/>
      <w:marLeft w:val="0"/>
      <w:marRight w:val="0"/>
      <w:marTop w:val="0"/>
      <w:marBottom w:val="0"/>
      <w:divBdr>
        <w:top w:val="none" w:sz="0" w:space="0" w:color="auto"/>
        <w:left w:val="none" w:sz="0" w:space="0" w:color="auto"/>
        <w:bottom w:val="none" w:sz="0" w:space="0" w:color="auto"/>
        <w:right w:val="none" w:sz="0" w:space="0" w:color="auto"/>
      </w:divBdr>
    </w:div>
    <w:div w:id="564951712">
      <w:bodyDiv w:val="1"/>
      <w:marLeft w:val="0"/>
      <w:marRight w:val="0"/>
      <w:marTop w:val="0"/>
      <w:marBottom w:val="0"/>
      <w:divBdr>
        <w:top w:val="none" w:sz="0" w:space="0" w:color="auto"/>
        <w:left w:val="none" w:sz="0" w:space="0" w:color="auto"/>
        <w:bottom w:val="none" w:sz="0" w:space="0" w:color="auto"/>
        <w:right w:val="none" w:sz="0" w:space="0" w:color="auto"/>
      </w:divBdr>
    </w:div>
    <w:div w:id="564990328">
      <w:bodyDiv w:val="1"/>
      <w:marLeft w:val="0"/>
      <w:marRight w:val="0"/>
      <w:marTop w:val="0"/>
      <w:marBottom w:val="0"/>
      <w:divBdr>
        <w:top w:val="none" w:sz="0" w:space="0" w:color="auto"/>
        <w:left w:val="none" w:sz="0" w:space="0" w:color="auto"/>
        <w:bottom w:val="none" w:sz="0" w:space="0" w:color="auto"/>
        <w:right w:val="none" w:sz="0" w:space="0" w:color="auto"/>
      </w:divBdr>
    </w:div>
    <w:div w:id="564995043">
      <w:bodyDiv w:val="1"/>
      <w:marLeft w:val="0"/>
      <w:marRight w:val="0"/>
      <w:marTop w:val="0"/>
      <w:marBottom w:val="0"/>
      <w:divBdr>
        <w:top w:val="none" w:sz="0" w:space="0" w:color="auto"/>
        <w:left w:val="none" w:sz="0" w:space="0" w:color="auto"/>
        <w:bottom w:val="none" w:sz="0" w:space="0" w:color="auto"/>
        <w:right w:val="none" w:sz="0" w:space="0" w:color="auto"/>
      </w:divBdr>
    </w:div>
    <w:div w:id="565188019">
      <w:bodyDiv w:val="1"/>
      <w:marLeft w:val="0"/>
      <w:marRight w:val="0"/>
      <w:marTop w:val="0"/>
      <w:marBottom w:val="0"/>
      <w:divBdr>
        <w:top w:val="none" w:sz="0" w:space="0" w:color="auto"/>
        <w:left w:val="none" w:sz="0" w:space="0" w:color="auto"/>
        <w:bottom w:val="none" w:sz="0" w:space="0" w:color="auto"/>
        <w:right w:val="none" w:sz="0" w:space="0" w:color="auto"/>
      </w:divBdr>
    </w:div>
    <w:div w:id="565189812">
      <w:bodyDiv w:val="1"/>
      <w:marLeft w:val="0"/>
      <w:marRight w:val="0"/>
      <w:marTop w:val="0"/>
      <w:marBottom w:val="0"/>
      <w:divBdr>
        <w:top w:val="none" w:sz="0" w:space="0" w:color="auto"/>
        <w:left w:val="none" w:sz="0" w:space="0" w:color="auto"/>
        <w:bottom w:val="none" w:sz="0" w:space="0" w:color="auto"/>
        <w:right w:val="none" w:sz="0" w:space="0" w:color="auto"/>
      </w:divBdr>
    </w:div>
    <w:div w:id="565261600">
      <w:bodyDiv w:val="1"/>
      <w:marLeft w:val="0"/>
      <w:marRight w:val="0"/>
      <w:marTop w:val="0"/>
      <w:marBottom w:val="0"/>
      <w:divBdr>
        <w:top w:val="none" w:sz="0" w:space="0" w:color="auto"/>
        <w:left w:val="none" w:sz="0" w:space="0" w:color="auto"/>
        <w:bottom w:val="none" w:sz="0" w:space="0" w:color="auto"/>
        <w:right w:val="none" w:sz="0" w:space="0" w:color="auto"/>
      </w:divBdr>
    </w:div>
    <w:div w:id="565338616">
      <w:bodyDiv w:val="1"/>
      <w:marLeft w:val="0"/>
      <w:marRight w:val="0"/>
      <w:marTop w:val="0"/>
      <w:marBottom w:val="0"/>
      <w:divBdr>
        <w:top w:val="none" w:sz="0" w:space="0" w:color="auto"/>
        <w:left w:val="none" w:sz="0" w:space="0" w:color="auto"/>
        <w:bottom w:val="none" w:sz="0" w:space="0" w:color="auto"/>
        <w:right w:val="none" w:sz="0" w:space="0" w:color="auto"/>
      </w:divBdr>
    </w:div>
    <w:div w:id="565342154">
      <w:bodyDiv w:val="1"/>
      <w:marLeft w:val="0"/>
      <w:marRight w:val="0"/>
      <w:marTop w:val="0"/>
      <w:marBottom w:val="0"/>
      <w:divBdr>
        <w:top w:val="none" w:sz="0" w:space="0" w:color="auto"/>
        <w:left w:val="none" w:sz="0" w:space="0" w:color="auto"/>
        <w:bottom w:val="none" w:sz="0" w:space="0" w:color="auto"/>
        <w:right w:val="none" w:sz="0" w:space="0" w:color="auto"/>
      </w:divBdr>
    </w:div>
    <w:div w:id="565411522">
      <w:bodyDiv w:val="1"/>
      <w:marLeft w:val="0"/>
      <w:marRight w:val="0"/>
      <w:marTop w:val="0"/>
      <w:marBottom w:val="0"/>
      <w:divBdr>
        <w:top w:val="none" w:sz="0" w:space="0" w:color="auto"/>
        <w:left w:val="none" w:sz="0" w:space="0" w:color="auto"/>
        <w:bottom w:val="none" w:sz="0" w:space="0" w:color="auto"/>
        <w:right w:val="none" w:sz="0" w:space="0" w:color="auto"/>
      </w:divBdr>
    </w:div>
    <w:div w:id="565457597">
      <w:bodyDiv w:val="1"/>
      <w:marLeft w:val="0"/>
      <w:marRight w:val="0"/>
      <w:marTop w:val="0"/>
      <w:marBottom w:val="0"/>
      <w:divBdr>
        <w:top w:val="none" w:sz="0" w:space="0" w:color="auto"/>
        <w:left w:val="none" w:sz="0" w:space="0" w:color="auto"/>
        <w:bottom w:val="none" w:sz="0" w:space="0" w:color="auto"/>
        <w:right w:val="none" w:sz="0" w:space="0" w:color="auto"/>
      </w:divBdr>
    </w:div>
    <w:div w:id="565457658">
      <w:bodyDiv w:val="1"/>
      <w:marLeft w:val="0"/>
      <w:marRight w:val="0"/>
      <w:marTop w:val="0"/>
      <w:marBottom w:val="0"/>
      <w:divBdr>
        <w:top w:val="none" w:sz="0" w:space="0" w:color="auto"/>
        <w:left w:val="none" w:sz="0" w:space="0" w:color="auto"/>
        <w:bottom w:val="none" w:sz="0" w:space="0" w:color="auto"/>
        <w:right w:val="none" w:sz="0" w:space="0" w:color="auto"/>
      </w:divBdr>
    </w:div>
    <w:div w:id="565457962">
      <w:bodyDiv w:val="1"/>
      <w:marLeft w:val="0"/>
      <w:marRight w:val="0"/>
      <w:marTop w:val="0"/>
      <w:marBottom w:val="0"/>
      <w:divBdr>
        <w:top w:val="none" w:sz="0" w:space="0" w:color="auto"/>
        <w:left w:val="none" w:sz="0" w:space="0" w:color="auto"/>
        <w:bottom w:val="none" w:sz="0" w:space="0" w:color="auto"/>
        <w:right w:val="none" w:sz="0" w:space="0" w:color="auto"/>
      </w:divBdr>
    </w:div>
    <w:div w:id="565459535">
      <w:bodyDiv w:val="1"/>
      <w:marLeft w:val="0"/>
      <w:marRight w:val="0"/>
      <w:marTop w:val="0"/>
      <w:marBottom w:val="0"/>
      <w:divBdr>
        <w:top w:val="none" w:sz="0" w:space="0" w:color="auto"/>
        <w:left w:val="none" w:sz="0" w:space="0" w:color="auto"/>
        <w:bottom w:val="none" w:sz="0" w:space="0" w:color="auto"/>
        <w:right w:val="none" w:sz="0" w:space="0" w:color="auto"/>
      </w:divBdr>
    </w:div>
    <w:div w:id="565527945">
      <w:bodyDiv w:val="1"/>
      <w:marLeft w:val="0"/>
      <w:marRight w:val="0"/>
      <w:marTop w:val="0"/>
      <w:marBottom w:val="0"/>
      <w:divBdr>
        <w:top w:val="none" w:sz="0" w:space="0" w:color="auto"/>
        <w:left w:val="none" w:sz="0" w:space="0" w:color="auto"/>
        <w:bottom w:val="none" w:sz="0" w:space="0" w:color="auto"/>
        <w:right w:val="none" w:sz="0" w:space="0" w:color="auto"/>
      </w:divBdr>
    </w:div>
    <w:div w:id="565578657">
      <w:bodyDiv w:val="1"/>
      <w:marLeft w:val="0"/>
      <w:marRight w:val="0"/>
      <w:marTop w:val="0"/>
      <w:marBottom w:val="0"/>
      <w:divBdr>
        <w:top w:val="none" w:sz="0" w:space="0" w:color="auto"/>
        <w:left w:val="none" w:sz="0" w:space="0" w:color="auto"/>
        <w:bottom w:val="none" w:sz="0" w:space="0" w:color="auto"/>
        <w:right w:val="none" w:sz="0" w:space="0" w:color="auto"/>
      </w:divBdr>
    </w:div>
    <w:div w:id="565726812">
      <w:bodyDiv w:val="1"/>
      <w:marLeft w:val="0"/>
      <w:marRight w:val="0"/>
      <w:marTop w:val="0"/>
      <w:marBottom w:val="0"/>
      <w:divBdr>
        <w:top w:val="none" w:sz="0" w:space="0" w:color="auto"/>
        <w:left w:val="none" w:sz="0" w:space="0" w:color="auto"/>
        <w:bottom w:val="none" w:sz="0" w:space="0" w:color="auto"/>
        <w:right w:val="none" w:sz="0" w:space="0" w:color="auto"/>
      </w:divBdr>
    </w:div>
    <w:div w:id="565728220">
      <w:bodyDiv w:val="1"/>
      <w:marLeft w:val="0"/>
      <w:marRight w:val="0"/>
      <w:marTop w:val="0"/>
      <w:marBottom w:val="0"/>
      <w:divBdr>
        <w:top w:val="none" w:sz="0" w:space="0" w:color="auto"/>
        <w:left w:val="none" w:sz="0" w:space="0" w:color="auto"/>
        <w:bottom w:val="none" w:sz="0" w:space="0" w:color="auto"/>
        <w:right w:val="none" w:sz="0" w:space="0" w:color="auto"/>
      </w:divBdr>
    </w:div>
    <w:div w:id="565798852">
      <w:bodyDiv w:val="1"/>
      <w:marLeft w:val="0"/>
      <w:marRight w:val="0"/>
      <w:marTop w:val="0"/>
      <w:marBottom w:val="0"/>
      <w:divBdr>
        <w:top w:val="none" w:sz="0" w:space="0" w:color="auto"/>
        <w:left w:val="none" w:sz="0" w:space="0" w:color="auto"/>
        <w:bottom w:val="none" w:sz="0" w:space="0" w:color="auto"/>
        <w:right w:val="none" w:sz="0" w:space="0" w:color="auto"/>
      </w:divBdr>
    </w:div>
    <w:div w:id="565804815">
      <w:bodyDiv w:val="1"/>
      <w:marLeft w:val="0"/>
      <w:marRight w:val="0"/>
      <w:marTop w:val="0"/>
      <w:marBottom w:val="0"/>
      <w:divBdr>
        <w:top w:val="none" w:sz="0" w:space="0" w:color="auto"/>
        <w:left w:val="none" w:sz="0" w:space="0" w:color="auto"/>
        <w:bottom w:val="none" w:sz="0" w:space="0" w:color="auto"/>
        <w:right w:val="none" w:sz="0" w:space="0" w:color="auto"/>
      </w:divBdr>
    </w:div>
    <w:div w:id="565992094">
      <w:bodyDiv w:val="1"/>
      <w:marLeft w:val="0"/>
      <w:marRight w:val="0"/>
      <w:marTop w:val="0"/>
      <w:marBottom w:val="0"/>
      <w:divBdr>
        <w:top w:val="none" w:sz="0" w:space="0" w:color="auto"/>
        <w:left w:val="none" w:sz="0" w:space="0" w:color="auto"/>
        <w:bottom w:val="none" w:sz="0" w:space="0" w:color="auto"/>
        <w:right w:val="none" w:sz="0" w:space="0" w:color="auto"/>
      </w:divBdr>
    </w:div>
    <w:div w:id="566036831">
      <w:bodyDiv w:val="1"/>
      <w:marLeft w:val="0"/>
      <w:marRight w:val="0"/>
      <w:marTop w:val="0"/>
      <w:marBottom w:val="0"/>
      <w:divBdr>
        <w:top w:val="none" w:sz="0" w:space="0" w:color="auto"/>
        <w:left w:val="none" w:sz="0" w:space="0" w:color="auto"/>
        <w:bottom w:val="none" w:sz="0" w:space="0" w:color="auto"/>
        <w:right w:val="none" w:sz="0" w:space="0" w:color="auto"/>
      </w:divBdr>
    </w:div>
    <w:div w:id="566262769">
      <w:bodyDiv w:val="1"/>
      <w:marLeft w:val="0"/>
      <w:marRight w:val="0"/>
      <w:marTop w:val="0"/>
      <w:marBottom w:val="0"/>
      <w:divBdr>
        <w:top w:val="none" w:sz="0" w:space="0" w:color="auto"/>
        <w:left w:val="none" w:sz="0" w:space="0" w:color="auto"/>
        <w:bottom w:val="none" w:sz="0" w:space="0" w:color="auto"/>
        <w:right w:val="none" w:sz="0" w:space="0" w:color="auto"/>
      </w:divBdr>
    </w:div>
    <w:div w:id="566309436">
      <w:bodyDiv w:val="1"/>
      <w:marLeft w:val="0"/>
      <w:marRight w:val="0"/>
      <w:marTop w:val="0"/>
      <w:marBottom w:val="0"/>
      <w:divBdr>
        <w:top w:val="none" w:sz="0" w:space="0" w:color="auto"/>
        <w:left w:val="none" w:sz="0" w:space="0" w:color="auto"/>
        <w:bottom w:val="none" w:sz="0" w:space="0" w:color="auto"/>
        <w:right w:val="none" w:sz="0" w:space="0" w:color="auto"/>
      </w:divBdr>
    </w:div>
    <w:div w:id="566377684">
      <w:bodyDiv w:val="1"/>
      <w:marLeft w:val="0"/>
      <w:marRight w:val="0"/>
      <w:marTop w:val="0"/>
      <w:marBottom w:val="0"/>
      <w:divBdr>
        <w:top w:val="none" w:sz="0" w:space="0" w:color="auto"/>
        <w:left w:val="none" w:sz="0" w:space="0" w:color="auto"/>
        <w:bottom w:val="none" w:sz="0" w:space="0" w:color="auto"/>
        <w:right w:val="none" w:sz="0" w:space="0" w:color="auto"/>
      </w:divBdr>
    </w:div>
    <w:div w:id="566377727">
      <w:bodyDiv w:val="1"/>
      <w:marLeft w:val="0"/>
      <w:marRight w:val="0"/>
      <w:marTop w:val="0"/>
      <w:marBottom w:val="0"/>
      <w:divBdr>
        <w:top w:val="none" w:sz="0" w:space="0" w:color="auto"/>
        <w:left w:val="none" w:sz="0" w:space="0" w:color="auto"/>
        <w:bottom w:val="none" w:sz="0" w:space="0" w:color="auto"/>
        <w:right w:val="none" w:sz="0" w:space="0" w:color="auto"/>
      </w:divBdr>
    </w:div>
    <w:div w:id="566574961">
      <w:bodyDiv w:val="1"/>
      <w:marLeft w:val="0"/>
      <w:marRight w:val="0"/>
      <w:marTop w:val="0"/>
      <w:marBottom w:val="0"/>
      <w:divBdr>
        <w:top w:val="none" w:sz="0" w:space="0" w:color="auto"/>
        <w:left w:val="none" w:sz="0" w:space="0" w:color="auto"/>
        <w:bottom w:val="none" w:sz="0" w:space="0" w:color="auto"/>
        <w:right w:val="none" w:sz="0" w:space="0" w:color="auto"/>
      </w:divBdr>
    </w:div>
    <w:div w:id="566840426">
      <w:bodyDiv w:val="1"/>
      <w:marLeft w:val="0"/>
      <w:marRight w:val="0"/>
      <w:marTop w:val="0"/>
      <w:marBottom w:val="0"/>
      <w:divBdr>
        <w:top w:val="none" w:sz="0" w:space="0" w:color="auto"/>
        <w:left w:val="none" w:sz="0" w:space="0" w:color="auto"/>
        <w:bottom w:val="none" w:sz="0" w:space="0" w:color="auto"/>
        <w:right w:val="none" w:sz="0" w:space="0" w:color="auto"/>
      </w:divBdr>
    </w:div>
    <w:div w:id="566913588">
      <w:bodyDiv w:val="1"/>
      <w:marLeft w:val="0"/>
      <w:marRight w:val="0"/>
      <w:marTop w:val="0"/>
      <w:marBottom w:val="0"/>
      <w:divBdr>
        <w:top w:val="none" w:sz="0" w:space="0" w:color="auto"/>
        <w:left w:val="none" w:sz="0" w:space="0" w:color="auto"/>
        <w:bottom w:val="none" w:sz="0" w:space="0" w:color="auto"/>
        <w:right w:val="none" w:sz="0" w:space="0" w:color="auto"/>
      </w:divBdr>
    </w:div>
    <w:div w:id="566962620">
      <w:bodyDiv w:val="1"/>
      <w:marLeft w:val="0"/>
      <w:marRight w:val="0"/>
      <w:marTop w:val="0"/>
      <w:marBottom w:val="0"/>
      <w:divBdr>
        <w:top w:val="none" w:sz="0" w:space="0" w:color="auto"/>
        <w:left w:val="none" w:sz="0" w:space="0" w:color="auto"/>
        <w:bottom w:val="none" w:sz="0" w:space="0" w:color="auto"/>
        <w:right w:val="none" w:sz="0" w:space="0" w:color="auto"/>
      </w:divBdr>
    </w:div>
    <w:div w:id="566963050">
      <w:bodyDiv w:val="1"/>
      <w:marLeft w:val="0"/>
      <w:marRight w:val="0"/>
      <w:marTop w:val="0"/>
      <w:marBottom w:val="0"/>
      <w:divBdr>
        <w:top w:val="none" w:sz="0" w:space="0" w:color="auto"/>
        <w:left w:val="none" w:sz="0" w:space="0" w:color="auto"/>
        <w:bottom w:val="none" w:sz="0" w:space="0" w:color="auto"/>
        <w:right w:val="none" w:sz="0" w:space="0" w:color="auto"/>
      </w:divBdr>
    </w:div>
    <w:div w:id="567224709">
      <w:bodyDiv w:val="1"/>
      <w:marLeft w:val="0"/>
      <w:marRight w:val="0"/>
      <w:marTop w:val="0"/>
      <w:marBottom w:val="0"/>
      <w:divBdr>
        <w:top w:val="none" w:sz="0" w:space="0" w:color="auto"/>
        <w:left w:val="none" w:sz="0" w:space="0" w:color="auto"/>
        <w:bottom w:val="none" w:sz="0" w:space="0" w:color="auto"/>
        <w:right w:val="none" w:sz="0" w:space="0" w:color="auto"/>
      </w:divBdr>
    </w:div>
    <w:div w:id="567351614">
      <w:bodyDiv w:val="1"/>
      <w:marLeft w:val="0"/>
      <w:marRight w:val="0"/>
      <w:marTop w:val="0"/>
      <w:marBottom w:val="0"/>
      <w:divBdr>
        <w:top w:val="none" w:sz="0" w:space="0" w:color="auto"/>
        <w:left w:val="none" w:sz="0" w:space="0" w:color="auto"/>
        <w:bottom w:val="none" w:sz="0" w:space="0" w:color="auto"/>
        <w:right w:val="none" w:sz="0" w:space="0" w:color="auto"/>
      </w:divBdr>
    </w:div>
    <w:div w:id="567493419">
      <w:bodyDiv w:val="1"/>
      <w:marLeft w:val="0"/>
      <w:marRight w:val="0"/>
      <w:marTop w:val="0"/>
      <w:marBottom w:val="0"/>
      <w:divBdr>
        <w:top w:val="none" w:sz="0" w:space="0" w:color="auto"/>
        <w:left w:val="none" w:sz="0" w:space="0" w:color="auto"/>
        <w:bottom w:val="none" w:sz="0" w:space="0" w:color="auto"/>
        <w:right w:val="none" w:sz="0" w:space="0" w:color="auto"/>
      </w:divBdr>
    </w:div>
    <w:div w:id="567495781">
      <w:bodyDiv w:val="1"/>
      <w:marLeft w:val="0"/>
      <w:marRight w:val="0"/>
      <w:marTop w:val="0"/>
      <w:marBottom w:val="0"/>
      <w:divBdr>
        <w:top w:val="none" w:sz="0" w:space="0" w:color="auto"/>
        <w:left w:val="none" w:sz="0" w:space="0" w:color="auto"/>
        <w:bottom w:val="none" w:sz="0" w:space="0" w:color="auto"/>
        <w:right w:val="none" w:sz="0" w:space="0" w:color="auto"/>
      </w:divBdr>
    </w:div>
    <w:div w:id="567498374">
      <w:bodyDiv w:val="1"/>
      <w:marLeft w:val="0"/>
      <w:marRight w:val="0"/>
      <w:marTop w:val="0"/>
      <w:marBottom w:val="0"/>
      <w:divBdr>
        <w:top w:val="none" w:sz="0" w:space="0" w:color="auto"/>
        <w:left w:val="none" w:sz="0" w:space="0" w:color="auto"/>
        <w:bottom w:val="none" w:sz="0" w:space="0" w:color="auto"/>
        <w:right w:val="none" w:sz="0" w:space="0" w:color="auto"/>
      </w:divBdr>
    </w:div>
    <w:div w:id="567689052">
      <w:bodyDiv w:val="1"/>
      <w:marLeft w:val="0"/>
      <w:marRight w:val="0"/>
      <w:marTop w:val="0"/>
      <w:marBottom w:val="0"/>
      <w:divBdr>
        <w:top w:val="none" w:sz="0" w:space="0" w:color="auto"/>
        <w:left w:val="none" w:sz="0" w:space="0" w:color="auto"/>
        <w:bottom w:val="none" w:sz="0" w:space="0" w:color="auto"/>
        <w:right w:val="none" w:sz="0" w:space="0" w:color="auto"/>
      </w:divBdr>
    </w:div>
    <w:div w:id="567690701">
      <w:bodyDiv w:val="1"/>
      <w:marLeft w:val="0"/>
      <w:marRight w:val="0"/>
      <w:marTop w:val="0"/>
      <w:marBottom w:val="0"/>
      <w:divBdr>
        <w:top w:val="none" w:sz="0" w:space="0" w:color="auto"/>
        <w:left w:val="none" w:sz="0" w:space="0" w:color="auto"/>
        <w:bottom w:val="none" w:sz="0" w:space="0" w:color="auto"/>
        <w:right w:val="none" w:sz="0" w:space="0" w:color="auto"/>
      </w:divBdr>
    </w:div>
    <w:div w:id="567805827">
      <w:bodyDiv w:val="1"/>
      <w:marLeft w:val="0"/>
      <w:marRight w:val="0"/>
      <w:marTop w:val="0"/>
      <w:marBottom w:val="0"/>
      <w:divBdr>
        <w:top w:val="none" w:sz="0" w:space="0" w:color="auto"/>
        <w:left w:val="none" w:sz="0" w:space="0" w:color="auto"/>
        <w:bottom w:val="none" w:sz="0" w:space="0" w:color="auto"/>
        <w:right w:val="none" w:sz="0" w:space="0" w:color="auto"/>
      </w:divBdr>
    </w:div>
    <w:div w:id="567810227">
      <w:bodyDiv w:val="1"/>
      <w:marLeft w:val="0"/>
      <w:marRight w:val="0"/>
      <w:marTop w:val="0"/>
      <w:marBottom w:val="0"/>
      <w:divBdr>
        <w:top w:val="none" w:sz="0" w:space="0" w:color="auto"/>
        <w:left w:val="none" w:sz="0" w:space="0" w:color="auto"/>
        <w:bottom w:val="none" w:sz="0" w:space="0" w:color="auto"/>
        <w:right w:val="none" w:sz="0" w:space="0" w:color="auto"/>
      </w:divBdr>
    </w:div>
    <w:div w:id="567885805">
      <w:bodyDiv w:val="1"/>
      <w:marLeft w:val="0"/>
      <w:marRight w:val="0"/>
      <w:marTop w:val="0"/>
      <w:marBottom w:val="0"/>
      <w:divBdr>
        <w:top w:val="none" w:sz="0" w:space="0" w:color="auto"/>
        <w:left w:val="none" w:sz="0" w:space="0" w:color="auto"/>
        <w:bottom w:val="none" w:sz="0" w:space="0" w:color="auto"/>
        <w:right w:val="none" w:sz="0" w:space="0" w:color="auto"/>
      </w:divBdr>
    </w:div>
    <w:div w:id="567955749">
      <w:bodyDiv w:val="1"/>
      <w:marLeft w:val="0"/>
      <w:marRight w:val="0"/>
      <w:marTop w:val="0"/>
      <w:marBottom w:val="0"/>
      <w:divBdr>
        <w:top w:val="none" w:sz="0" w:space="0" w:color="auto"/>
        <w:left w:val="none" w:sz="0" w:space="0" w:color="auto"/>
        <w:bottom w:val="none" w:sz="0" w:space="0" w:color="auto"/>
        <w:right w:val="none" w:sz="0" w:space="0" w:color="auto"/>
      </w:divBdr>
    </w:div>
    <w:div w:id="568003337">
      <w:bodyDiv w:val="1"/>
      <w:marLeft w:val="0"/>
      <w:marRight w:val="0"/>
      <w:marTop w:val="0"/>
      <w:marBottom w:val="0"/>
      <w:divBdr>
        <w:top w:val="none" w:sz="0" w:space="0" w:color="auto"/>
        <w:left w:val="none" w:sz="0" w:space="0" w:color="auto"/>
        <w:bottom w:val="none" w:sz="0" w:space="0" w:color="auto"/>
        <w:right w:val="none" w:sz="0" w:space="0" w:color="auto"/>
      </w:divBdr>
    </w:div>
    <w:div w:id="568031042">
      <w:bodyDiv w:val="1"/>
      <w:marLeft w:val="0"/>
      <w:marRight w:val="0"/>
      <w:marTop w:val="0"/>
      <w:marBottom w:val="0"/>
      <w:divBdr>
        <w:top w:val="none" w:sz="0" w:space="0" w:color="auto"/>
        <w:left w:val="none" w:sz="0" w:space="0" w:color="auto"/>
        <w:bottom w:val="none" w:sz="0" w:space="0" w:color="auto"/>
        <w:right w:val="none" w:sz="0" w:space="0" w:color="auto"/>
      </w:divBdr>
    </w:div>
    <w:div w:id="568149896">
      <w:bodyDiv w:val="1"/>
      <w:marLeft w:val="0"/>
      <w:marRight w:val="0"/>
      <w:marTop w:val="0"/>
      <w:marBottom w:val="0"/>
      <w:divBdr>
        <w:top w:val="none" w:sz="0" w:space="0" w:color="auto"/>
        <w:left w:val="none" w:sz="0" w:space="0" w:color="auto"/>
        <w:bottom w:val="none" w:sz="0" w:space="0" w:color="auto"/>
        <w:right w:val="none" w:sz="0" w:space="0" w:color="auto"/>
      </w:divBdr>
    </w:div>
    <w:div w:id="568198037">
      <w:bodyDiv w:val="1"/>
      <w:marLeft w:val="0"/>
      <w:marRight w:val="0"/>
      <w:marTop w:val="0"/>
      <w:marBottom w:val="0"/>
      <w:divBdr>
        <w:top w:val="none" w:sz="0" w:space="0" w:color="auto"/>
        <w:left w:val="none" w:sz="0" w:space="0" w:color="auto"/>
        <w:bottom w:val="none" w:sz="0" w:space="0" w:color="auto"/>
        <w:right w:val="none" w:sz="0" w:space="0" w:color="auto"/>
      </w:divBdr>
    </w:div>
    <w:div w:id="568199444">
      <w:bodyDiv w:val="1"/>
      <w:marLeft w:val="0"/>
      <w:marRight w:val="0"/>
      <w:marTop w:val="0"/>
      <w:marBottom w:val="0"/>
      <w:divBdr>
        <w:top w:val="none" w:sz="0" w:space="0" w:color="auto"/>
        <w:left w:val="none" w:sz="0" w:space="0" w:color="auto"/>
        <w:bottom w:val="none" w:sz="0" w:space="0" w:color="auto"/>
        <w:right w:val="none" w:sz="0" w:space="0" w:color="auto"/>
      </w:divBdr>
    </w:div>
    <w:div w:id="568225258">
      <w:bodyDiv w:val="1"/>
      <w:marLeft w:val="0"/>
      <w:marRight w:val="0"/>
      <w:marTop w:val="0"/>
      <w:marBottom w:val="0"/>
      <w:divBdr>
        <w:top w:val="none" w:sz="0" w:space="0" w:color="auto"/>
        <w:left w:val="none" w:sz="0" w:space="0" w:color="auto"/>
        <w:bottom w:val="none" w:sz="0" w:space="0" w:color="auto"/>
        <w:right w:val="none" w:sz="0" w:space="0" w:color="auto"/>
      </w:divBdr>
    </w:div>
    <w:div w:id="568418647">
      <w:bodyDiv w:val="1"/>
      <w:marLeft w:val="0"/>
      <w:marRight w:val="0"/>
      <w:marTop w:val="0"/>
      <w:marBottom w:val="0"/>
      <w:divBdr>
        <w:top w:val="none" w:sz="0" w:space="0" w:color="auto"/>
        <w:left w:val="none" w:sz="0" w:space="0" w:color="auto"/>
        <w:bottom w:val="none" w:sz="0" w:space="0" w:color="auto"/>
        <w:right w:val="none" w:sz="0" w:space="0" w:color="auto"/>
      </w:divBdr>
    </w:div>
    <w:div w:id="568418989">
      <w:bodyDiv w:val="1"/>
      <w:marLeft w:val="0"/>
      <w:marRight w:val="0"/>
      <w:marTop w:val="0"/>
      <w:marBottom w:val="0"/>
      <w:divBdr>
        <w:top w:val="none" w:sz="0" w:space="0" w:color="auto"/>
        <w:left w:val="none" w:sz="0" w:space="0" w:color="auto"/>
        <w:bottom w:val="none" w:sz="0" w:space="0" w:color="auto"/>
        <w:right w:val="none" w:sz="0" w:space="0" w:color="auto"/>
      </w:divBdr>
    </w:div>
    <w:div w:id="568538467">
      <w:bodyDiv w:val="1"/>
      <w:marLeft w:val="0"/>
      <w:marRight w:val="0"/>
      <w:marTop w:val="0"/>
      <w:marBottom w:val="0"/>
      <w:divBdr>
        <w:top w:val="none" w:sz="0" w:space="0" w:color="auto"/>
        <w:left w:val="none" w:sz="0" w:space="0" w:color="auto"/>
        <w:bottom w:val="none" w:sz="0" w:space="0" w:color="auto"/>
        <w:right w:val="none" w:sz="0" w:space="0" w:color="auto"/>
      </w:divBdr>
    </w:div>
    <w:div w:id="568540483">
      <w:bodyDiv w:val="1"/>
      <w:marLeft w:val="0"/>
      <w:marRight w:val="0"/>
      <w:marTop w:val="0"/>
      <w:marBottom w:val="0"/>
      <w:divBdr>
        <w:top w:val="none" w:sz="0" w:space="0" w:color="auto"/>
        <w:left w:val="none" w:sz="0" w:space="0" w:color="auto"/>
        <w:bottom w:val="none" w:sz="0" w:space="0" w:color="auto"/>
        <w:right w:val="none" w:sz="0" w:space="0" w:color="auto"/>
      </w:divBdr>
    </w:div>
    <w:div w:id="568616650">
      <w:bodyDiv w:val="1"/>
      <w:marLeft w:val="0"/>
      <w:marRight w:val="0"/>
      <w:marTop w:val="0"/>
      <w:marBottom w:val="0"/>
      <w:divBdr>
        <w:top w:val="none" w:sz="0" w:space="0" w:color="auto"/>
        <w:left w:val="none" w:sz="0" w:space="0" w:color="auto"/>
        <w:bottom w:val="none" w:sz="0" w:space="0" w:color="auto"/>
        <w:right w:val="none" w:sz="0" w:space="0" w:color="auto"/>
      </w:divBdr>
    </w:div>
    <w:div w:id="568617485">
      <w:bodyDiv w:val="1"/>
      <w:marLeft w:val="0"/>
      <w:marRight w:val="0"/>
      <w:marTop w:val="0"/>
      <w:marBottom w:val="0"/>
      <w:divBdr>
        <w:top w:val="none" w:sz="0" w:space="0" w:color="auto"/>
        <w:left w:val="none" w:sz="0" w:space="0" w:color="auto"/>
        <w:bottom w:val="none" w:sz="0" w:space="0" w:color="auto"/>
        <w:right w:val="none" w:sz="0" w:space="0" w:color="auto"/>
      </w:divBdr>
    </w:div>
    <w:div w:id="568618547">
      <w:bodyDiv w:val="1"/>
      <w:marLeft w:val="0"/>
      <w:marRight w:val="0"/>
      <w:marTop w:val="0"/>
      <w:marBottom w:val="0"/>
      <w:divBdr>
        <w:top w:val="none" w:sz="0" w:space="0" w:color="auto"/>
        <w:left w:val="none" w:sz="0" w:space="0" w:color="auto"/>
        <w:bottom w:val="none" w:sz="0" w:space="0" w:color="auto"/>
        <w:right w:val="none" w:sz="0" w:space="0" w:color="auto"/>
      </w:divBdr>
    </w:div>
    <w:div w:id="568656666">
      <w:bodyDiv w:val="1"/>
      <w:marLeft w:val="0"/>
      <w:marRight w:val="0"/>
      <w:marTop w:val="0"/>
      <w:marBottom w:val="0"/>
      <w:divBdr>
        <w:top w:val="none" w:sz="0" w:space="0" w:color="auto"/>
        <w:left w:val="none" w:sz="0" w:space="0" w:color="auto"/>
        <w:bottom w:val="none" w:sz="0" w:space="0" w:color="auto"/>
        <w:right w:val="none" w:sz="0" w:space="0" w:color="auto"/>
      </w:divBdr>
    </w:div>
    <w:div w:id="568658183">
      <w:bodyDiv w:val="1"/>
      <w:marLeft w:val="0"/>
      <w:marRight w:val="0"/>
      <w:marTop w:val="0"/>
      <w:marBottom w:val="0"/>
      <w:divBdr>
        <w:top w:val="none" w:sz="0" w:space="0" w:color="auto"/>
        <w:left w:val="none" w:sz="0" w:space="0" w:color="auto"/>
        <w:bottom w:val="none" w:sz="0" w:space="0" w:color="auto"/>
        <w:right w:val="none" w:sz="0" w:space="0" w:color="auto"/>
      </w:divBdr>
    </w:div>
    <w:div w:id="568661857">
      <w:bodyDiv w:val="1"/>
      <w:marLeft w:val="0"/>
      <w:marRight w:val="0"/>
      <w:marTop w:val="0"/>
      <w:marBottom w:val="0"/>
      <w:divBdr>
        <w:top w:val="none" w:sz="0" w:space="0" w:color="auto"/>
        <w:left w:val="none" w:sz="0" w:space="0" w:color="auto"/>
        <w:bottom w:val="none" w:sz="0" w:space="0" w:color="auto"/>
        <w:right w:val="none" w:sz="0" w:space="0" w:color="auto"/>
      </w:divBdr>
    </w:div>
    <w:div w:id="568686841">
      <w:bodyDiv w:val="1"/>
      <w:marLeft w:val="0"/>
      <w:marRight w:val="0"/>
      <w:marTop w:val="0"/>
      <w:marBottom w:val="0"/>
      <w:divBdr>
        <w:top w:val="none" w:sz="0" w:space="0" w:color="auto"/>
        <w:left w:val="none" w:sz="0" w:space="0" w:color="auto"/>
        <w:bottom w:val="none" w:sz="0" w:space="0" w:color="auto"/>
        <w:right w:val="none" w:sz="0" w:space="0" w:color="auto"/>
      </w:divBdr>
    </w:div>
    <w:div w:id="568807758">
      <w:bodyDiv w:val="1"/>
      <w:marLeft w:val="0"/>
      <w:marRight w:val="0"/>
      <w:marTop w:val="0"/>
      <w:marBottom w:val="0"/>
      <w:divBdr>
        <w:top w:val="none" w:sz="0" w:space="0" w:color="auto"/>
        <w:left w:val="none" w:sz="0" w:space="0" w:color="auto"/>
        <w:bottom w:val="none" w:sz="0" w:space="0" w:color="auto"/>
        <w:right w:val="none" w:sz="0" w:space="0" w:color="auto"/>
      </w:divBdr>
    </w:div>
    <w:div w:id="568853273">
      <w:bodyDiv w:val="1"/>
      <w:marLeft w:val="0"/>
      <w:marRight w:val="0"/>
      <w:marTop w:val="0"/>
      <w:marBottom w:val="0"/>
      <w:divBdr>
        <w:top w:val="none" w:sz="0" w:space="0" w:color="auto"/>
        <w:left w:val="none" w:sz="0" w:space="0" w:color="auto"/>
        <w:bottom w:val="none" w:sz="0" w:space="0" w:color="auto"/>
        <w:right w:val="none" w:sz="0" w:space="0" w:color="auto"/>
      </w:divBdr>
    </w:div>
    <w:div w:id="568853499">
      <w:bodyDiv w:val="1"/>
      <w:marLeft w:val="0"/>
      <w:marRight w:val="0"/>
      <w:marTop w:val="0"/>
      <w:marBottom w:val="0"/>
      <w:divBdr>
        <w:top w:val="none" w:sz="0" w:space="0" w:color="auto"/>
        <w:left w:val="none" w:sz="0" w:space="0" w:color="auto"/>
        <w:bottom w:val="none" w:sz="0" w:space="0" w:color="auto"/>
        <w:right w:val="none" w:sz="0" w:space="0" w:color="auto"/>
      </w:divBdr>
    </w:div>
    <w:div w:id="568855084">
      <w:bodyDiv w:val="1"/>
      <w:marLeft w:val="0"/>
      <w:marRight w:val="0"/>
      <w:marTop w:val="0"/>
      <w:marBottom w:val="0"/>
      <w:divBdr>
        <w:top w:val="none" w:sz="0" w:space="0" w:color="auto"/>
        <w:left w:val="none" w:sz="0" w:space="0" w:color="auto"/>
        <w:bottom w:val="none" w:sz="0" w:space="0" w:color="auto"/>
        <w:right w:val="none" w:sz="0" w:space="0" w:color="auto"/>
      </w:divBdr>
    </w:div>
    <w:div w:id="568921795">
      <w:bodyDiv w:val="1"/>
      <w:marLeft w:val="0"/>
      <w:marRight w:val="0"/>
      <w:marTop w:val="0"/>
      <w:marBottom w:val="0"/>
      <w:divBdr>
        <w:top w:val="none" w:sz="0" w:space="0" w:color="auto"/>
        <w:left w:val="none" w:sz="0" w:space="0" w:color="auto"/>
        <w:bottom w:val="none" w:sz="0" w:space="0" w:color="auto"/>
        <w:right w:val="none" w:sz="0" w:space="0" w:color="auto"/>
      </w:divBdr>
    </w:div>
    <w:div w:id="569653770">
      <w:bodyDiv w:val="1"/>
      <w:marLeft w:val="0"/>
      <w:marRight w:val="0"/>
      <w:marTop w:val="0"/>
      <w:marBottom w:val="0"/>
      <w:divBdr>
        <w:top w:val="none" w:sz="0" w:space="0" w:color="auto"/>
        <w:left w:val="none" w:sz="0" w:space="0" w:color="auto"/>
        <w:bottom w:val="none" w:sz="0" w:space="0" w:color="auto"/>
        <w:right w:val="none" w:sz="0" w:space="0" w:color="auto"/>
      </w:divBdr>
    </w:div>
    <w:div w:id="569728792">
      <w:bodyDiv w:val="1"/>
      <w:marLeft w:val="0"/>
      <w:marRight w:val="0"/>
      <w:marTop w:val="0"/>
      <w:marBottom w:val="0"/>
      <w:divBdr>
        <w:top w:val="none" w:sz="0" w:space="0" w:color="auto"/>
        <w:left w:val="none" w:sz="0" w:space="0" w:color="auto"/>
        <w:bottom w:val="none" w:sz="0" w:space="0" w:color="auto"/>
        <w:right w:val="none" w:sz="0" w:space="0" w:color="auto"/>
      </w:divBdr>
    </w:div>
    <w:div w:id="569773039">
      <w:bodyDiv w:val="1"/>
      <w:marLeft w:val="0"/>
      <w:marRight w:val="0"/>
      <w:marTop w:val="0"/>
      <w:marBottom w:val="0"/>
      <w:divBdr>
        <w:top w:val="none" w:sz="0" w:space="0" w:color="auto"/>
        <w:left w:val="none" w:sz="0" w:space="0" w:color="auto"/>
        <w:bottom w:val="none" w:sz="0" w:space="0" w:color="auto"/>
        <w:right w:val="none" w:sz="0" w:space="0" w:color="auto"/>
      </w:divBdr>
    </w:div>
    <w:div w:id="569776439">
      <w:bodyDiv w:val="1"/>
      <w:marLeft w:val="0"/>
      <w:marRight w:val="0"/>
      <w:marTop w:val="0"/>
      <w:marBottom w:val="0"/>
      <w:divBdr>
        <w:top w:val="none" w:sz="0" w:space="0" w:color="auto"/>
        <w:left w:val="none" w:sz="0" w:space="0" w:color="auto"/>
        <w:bottom w:val="none" w:sz="0" w:space="0" w:color="auto"/>
        <w:right w:val="none" w:sz="0" w:space="0" w:color="auto"/>
      </w:divBdr>
    </w:div>
    <w:div w:id="569777348">
      <w:bodyDiv w:val="1"/>
      <w:marLeft w:val="0"/>
      <w:marRight w:val="0"/>
      <w:marTop w:val="0"/>
      <w:marBottom w:val="0"/>
      <w:divBdr>
        <w:top w:val="none" w:sz="0" w:space="0" w:color="auto"/>
        <w:left w:val="none" w:sz="0" w:space="0" w:color="auto"/>
        <w:bottom w:val="none" w:sz="0" w:space="0" w:color="auto"/>
        <w:right w:val="none" w:sz="0" w:space="0" w:color="auto"/>
      </w:divBdr>
    </w:div>
    <w:div w:id="569925191">
      <w:bodyDiv w:val="1"/>
      <w:marLeft w:val="0"/>
      <w:marRight w:val="0"/>
      <w:marTop w:val="0"/>
      <w:marBottom w:val="0"/>
      <w:divBdr>
        <w:top w:val="none" w:sz="0" w:space="0" w:color="auto"/>
        <w:left w:val="none" w:sz="0" w:space="0" w:color="auto"/>
        <w:bottom w:val="none" w:sz="0" w:space="0" w:color="auto"/>
        <w:right w:val="none" w:sz="0" w:space="0" w:color="auto"/>
      </w:divBdr>
    </w:div>
    <w:div w:id="570041696">
      <w:bodyDiv w:val="1"/>
      <w:marLeft w:val="0"/>
      <w:marRight w:val="0"/>
      <w:marTop w:val="0"/>
      <w:marBottom w:val="0"/>
      <w:divBdr>
        <w:top w:val="none" w:sz="0" w:space="0" w:color="auto"/>
        <w:left w:val="none" w:sz="0" w:space="0" w:color="auto"/>
        <w:bottom w:val="none" w:sz="0" w:space="0" w:color="auto"/>
        <w:right w:val="none" w:sz="0" w:space="0" w:color="auto"/>
      </w:divBdr>
    </w:div>
    <w:div w:id="570045154">
      <w:bodyDiv w:val="1"/>
      <w:marLeft w:val="0"/>
      <w:marRight w:val="0"/>
      <w:marTop w:val="0"/>
      <w:marBottom w:val="0"/>
      <w:divBdr>
        <w:top w:val="none" w:sz="0" w:space="0" w:color="auto"/>
        <w:left w:val="none" w:sz="0" w:space="0" w:color="auto"/>
        <w:bottom w:val="none" w:sz="0" w:space="0" w:color="auto"/>
        <w:right w:val="none" w:sz="0" w:space="0" w:color="auto"/>
      </w:divBdr>
    </w:div>
    <w:div w:id="570121816">
      <w:bodyDiv w:val="1"/>
      <w:marLeft w:val="0"/>
      <w:marRight w:val="0"/>
      <w:marTop w:val="0"/>
      <w:marBottom w:val="0"/>
      <w:divBdr>
        <w:top w:val="none" w:sz="0" w:space="0" w:color="auto"/>
        <w:left w:val="none" w:sz="0" w:space="0" w:color="auto"/>
        <w:bottom w:val="none" w:sz="0" w:space="0" w:color="auto"/>
        <w:right w:val="none" w:sz="0" w:space="0" w:color="auto"/>
      </w:divBdr>
    </w:div>
    <w:div w:id="570195461">
      <w:bodyDiv w:val="1"/>
      <w:marLeft w:val="0"/>
      <w:marRight w:val="0"/>
      <w:marTop w:val="0"/>
      <w:marBottom w:val="0"/>
      <w:divBdr>
        <w:top w:val="none" w:sz="0" w:space="0" w:color="auto"/>
        <w:left w:val="none" w:sz="0" w:space="0" w:color="auto"/>
        <w:bottom w:val="none" w:sz="0" w:space="0" w:color="auto"/>
        <w:right w:val="none" w:sz="0" w:space="0" w:color="auto"/>
      </w:divBdr>
    </w:div>
    <w:div w:id="570505710">
      <w:bodyDiv w:val="1"/>
      <w:marLeft w:val="0"/>
      <w:marRight w:val="0"/>
      <w:marTop w:val="0"/>
      <w:marBottom w:val="0"/>
      <w:divBdr>
        <w:top w:val="none" w:sz="0" w:space="0" w:color="auto"/>
        <w:left w:val="none" w:sz="0" w:space="0" w:color="auto"/>
        <w:bottom w:val="none" w:sz="0" w:space="0" w:color="auto"/>
        <w:right w:val="none" w:sz="0" w:space="0" w:color="auto"/>
      </w:divBdr>
    </w:div>
    <w:div w:id="570507701">
      <w:bodyDiv w:val="1"/>
      <w:marLeft w:val="0"/>
      <w:marRight w:val="0"/>
      <w:marTop w:val="0"/>
      <w:marBottom w:val="0"/>
      <w:divBdr>
        <w:top w:val="none" w:sz="0" w:space="0" w:color="auto"/>
        <w:left w:val="none" w:sz="0" w:space="0" w:color="auto"/>
        <w:bottom w:val="none" w:sz="0" w:space="0" w:color="auto"/>
        <w:right w:val="none" w:sz="0" w:space="0" w:color="auto"/>
      </w:divBdr>
    </w:div>
    <w:div w:id="570653255">
      <w:bodyDiv w:val="1"/>
      <w:marLeft w:val="0"/>
      <w:marRight w:val="0"/>
      <w:marTop w:val="0"/>
      <w:marBottom w:val="0"/>
      <w:divBdr>
        <w:top w:val="none" w:sz="0" w:space="0" w:color="auto"/>
        <w:left w:val="none" w:sz="0" w:space="0" w:color="auto"/>
        <w:bottom w:val="none" w:sz="0" w:space="0" w:color="auto"/>
        <w:right w:val="none" w:sz="0" w:space="0" w:color="auto"/>
      </w:divBdr>
    </w:div>
    <w:div w:id="570694032">
      <w:bodyDiv w:val="1"/>
      <w:marLeft w:val="0"/>
      <w:marRight w:val="0"/>
      <w:marTop w:val="0"/>
      <w:marBottom w:val="0"/>
      <w:divBdr>
        <w:top w:val="none" w:sz="0" w:space="0" w:color="auto"/>
        <w:left w:val="none" w:sz="0" w:space="0" w:color="auto"/>
        <w:bottom w:val="none" w:sz="0" w:space="0" w:color="auto"/>
        <w:right w:val="none" w:sz="0" w:space="0" w:color="auto"/>
      </w:divBdr>
    </w:div>
    <w:div w:id="570771803">
      <w:bodyDiv w:val="1"/>
      <w:marLeft w:val="0"/>
      <w:marRight w:val="0"/>
      <w:marTop w:val="0"/>
      <w:marBottom w:val="0"/>
      <w:divBdr>
        <w:top w:val="none" w:sz="0" w:space="0" w:color="auto"/>
        <w:left w:val="none" w:sz="0" w:space="0" w:color="auto"/>
        <w:bottom w:val="none" w:sz="0" w:space="0" w:color="auto"/>
        <w:right w:val="none" w:sz="0" w:space="0" w:color="auto"/>
      </w:divBdr>
    </w:div>
    <w:div w:id="570848315">
      <w:bodyDiv w:val="1"/>
      <w:marLeft w:val="0"/>
      <w:marRight w:val="0"/>
      <w:marTop w:val="0"/>
      <w:marBottom w:val="0"/>
      <w:divBdr>
        <w:top w:val="none" w:sz="0" w:space="0" w:color="auto"/>
        <w:left w:val="none" w:sz="0" w:space="0" w:color="auto"/>
        <w:bottom w:val="none" w:sz="0" w:space="0" w:color="auto"/>
        <w:right w:val="none" w:sz="0" w:space="0" w:color="auto"/>
      </w:divBdr>
    </w:div>
    <w:div w:id="570966224">
      <w:bodyDiv w:val="1"/>
      <w:marLeft w:val="0"/>
      <w:marRight w:val="0"/>
      <w:marTop w:val="0"/>
      <w:marBottom w:val="0"/>
      <w:divBdr>
        <w:top w:val="none" w:sz="0" w:space="0" w:color="auto"/>
        <w:left w:val="none" w:sz="0" w:space="0" w:color="auto"/>
        <w:bottom w:val="none" w:sz="0" w:space="0" w:color="auto"/>
        <w:right w:val="none" w:sz="0" w:space="0" w:color="auto"/>
      </w:divBdr>
    </w:div>
    <w:div w:id="570967997">
      <w:bodyDiv w:val="1"/>
      <w:marLeft w:val="0"/>
      <w:marRight w:val="0"/>
      <w:marTop w:val="0"/>
      <w:marBottom w:val="0"/>
      <w:divBdr>
        <w:top w:val="none" w:sz="0" w:space="0" w:color="auto"/>
        <w:left w:val="none" w:sz="0" w:space="0" w:color="auto"/>
        <w:bottom w:val="none" w:sz="0" w:space="0" w:color="auto"/>
        <w:right w:val="none" w:sz="0" w:space="0" w:color="auto"/>
      </w:divBdr>
    </w:div>
    <w:div w:id="571042966">
      <w:bodyDiv w:val="1"/>
      <w:marLeft w:val="0"/>
      <w:marRight w:val="0"/>
      <w:marTop w:val="0"/>
      <w:marBottom w:val="0"/>
      <w:divBdr>
        <w:top w:val="none" w:sz="0" w:space="0" w:color="auto"/>
        <w:left w:val="none" w:sz="0" w:space="0" w:color="auto"/>
        <w:bottom w:val="none" w:sz="0" w:space="0" w:color="auto"/>
        <w:right w:val="none" w:sz="0" w:space="0" w:color="auto"/>
      </w:divBdr>
    </w:div>
    <w:div w:id="571082003">
      <w:bodyDiv w:val="1"/>
      <w:marLeft w:val="0"/>
      <w:marRight w:val="0"/>
      <w:marTop w:val="0"/>
      <w:marBottom w:val="0"/>
      <w:divBdr>
        <w:top w:val="none" w:sz="0" w:space="0" w:color="auto"/>
        <w:left w:val="none" w:sz="0" w:space="0" w:color="auto"/>
        <w:bottom w:val="none" w:sz="0" w:space="0" w:color="auto"/>
        <w:right w:val="none" w:sz="0" w:space="0" w:color="auto"/>
      </w:divBdr>
    </w:div>
    <w:div w:id="571088066">
      <w:bodyDiv w:val="1"/>
      <w:marLeft w:val="0"/>
      <w:marRight w:val="0"/>
      <w:marTop w:val="0"/>
      <w:marBottom w:val="0"/>
      <w:divBdr>
        <w:top w:val="none" w:sz="0" w:space="0" w:color="auto"/>
        <w:left w:val="none" w:sz="0" w:space="0" w:color="auto"/>
        <w:bottom w:val="none" w:sz="0" w:space="0" w:color="auto"/>
        <w:right w:val="none" w:sz="0" w:space="0" w:color="auto"/>
      </w:divBdr>
    </w:div>
    <w:div w:id="571234309">
      <w:bodyDiv w:val="1"/>
      <w:marLeft w:val="0"/>
      <w:marRight w:val="0"/>
      <w:marTop w:val="0"/>
      <w:marBottom w:val="0"/>
      <w:divBdr>
        <w:top w:val="none" w:sz="0" w:space="0" w:color="auto"/>
        <w:left w:val="none" w:sz="0" w:space="0" w:color="auto"/>
        <w:bottom w:val="none" w:sz="0" w:space="0" w:color="auto"/>
        <w:right w:val="none" w:sz="0" w:space="0" w:color="auto"/>
      </w:divBdr>
    </w:div>
    <w:div w:id="571280741">
      <w:bodyDiv w:val="1"/>
      <w:marLeft w:val="0"/>
      <w:marRight w:val="0"/>
      <w:marTop w:val="0"/>
      <w:marBottom w:val="0"/>
      <w:divBdr>
        <w:top w:val="none" w:sz="0" w:space="0" w:color="auto"/>
        <w:left w:val="none" w:sz="0" w:space="0" w:color="auto"/>
        <w:bottom w:val="none" w:sz="0" w:space="0" w:color="auto"/>
        <w:right w:val="none" w:sz="0" w:space="0" w:color="auto"/>
      </w:divBdr>
    </w:div>
    <w:div w:id="571307140">
      <w:bodyDiv w:val="1"/>
      <w:marLeft w:val="0"/>
      <w:marRight w:val="0"/>
      <w:marTop w:val="0"/>
      <w:marBottom w:val="0"/>
      <w:divBdr>
        <w:top w:val="none" w:sz="0" w:space="0" w:color="auto"/>
        <w:left w:val="none" w:sz="0" w:space="0" w:color="auto"/>
        <w:bottom w:val="none" w:sz="0" w:space="0" w:color="auto"/>
        <w:right w:val="none" w:sz="0" w:space="0" w:color="auto"/>
      </w:divBdr>
    </w:div>
    <w:div w:id="571355023">
      <w:bodyDiv w:val="1"/>
      <w:marLeft w:val="0"/>
      <w:marRight w:val="0"/>
      <w:marTop w:val="0"/>
      <w:marBottom w:val="0"/>
      <w:divBdr>
        <w:top w:val="none" w:sz="0" w:space="0" w:color="auto"/>
        <w:left w:val="none" w:sz="0" w:space="0" w:color="auto"/>
        <w:bottom w:val="none" w:sz="0" w:space="0" w:color="auto"/>
        <w:right w:val="none" w:sz="0" w:space="0" w:color="auto"/>
      </w:divBdr>
    </w:div>
    <w:div w:id="571428027">
      <w:bodyDiv w:val="1"/>
      <w:marLeft w:val="0"/>
      <w:marRight w:val="0"/>
      <w:marTop w:val="0"/>
      <w:marBottom w:val="0"/>
      <w:divBdr>
        <w:top w:val="none" w:sz="0" w:space="0" w:color="auto"/>
        <w:left w:val="none" w:sz="0" w:space="0" w:color="auto"/>
        <w:bottom w:val="none" w:sz="0" w:space="0" w:color="auto"/>
        <w:right w:val="none" w:sz="0" w:space="0" w:color="auto"/>
      </w:divBdr>
    </w:div>
    <w:div w:id="571550991">
      <w:bodyDiv w:val="1"/>
      <w:marLeft w:val="0"/>
      <w:marRight w:val="0"/>
      <w:marTop w:val="0"/>
      <w:marBottom w:val="0"/>
      <w:divBdr>
        <w:top w:val="none" w:sz="0" w:space="0" w:color="auto"/>
        <w:left w:val="none" w:sz="0" w:space="0" w:color="auto"/>
        <w:bottom w:val="none" w:sz="0" w:space="0" w:color="auto"/>
        <w:right w:val="none" w:sz="0" w:space="0" w:color="auto"/>
      </w:divBdr>
    </w:div>
    <w:div w:id="571693225">
      <w:bodyDiv w:val="1"/>
      <w:marLeft w:val="0"/>
      <w:marRight w:val="0"/>
      <w:marTop w:val="0"/>
      <w:marBottom w:val="0"/>
      <w:divBdr>
        <w:top w:val="none" w:sz="0" w:space="0" w:color="auto"/>
        <w:left w:val="none" w:sz="0" w:space="0" w:color="auto"/>
        <w:bottom w:val="none" w:sz="0" w:space="0" w:color="auto"/>
        <w:right w:val="none" w:sz="0" w:space="0" w:color="auto"/>
      </w:divBdr>
    </w:div>
    <w:div w:id="571742250">
      <w:bodyDiv w:val="1"/>
      <w:marLeft w:val="0"/>
      <w:marRight w:val="0"/>
      <w:marTop w:val="0"/>
      <w:marBottom w:val="0"/>
      <w:divBdr>
        <w:top w:val="none" w:sz="0" w:space="0" w:color="auto"/>
        <w:left w:val="none" w:sz="0" w:space="0" w:color="auto"/>
        <w:bottom w:val="none" w:sz="0" w:space="0" w:color="auto"/>
        <w:right w:val="none" w:sz="0" w:space="0" w:color="auto"/>
      </w:divBdr>
    </w:div>
    <w:div w:id="571887059">
      <w:bodyDiv w:val="1"/>
      <w:marLeft w:val="0"/>
      <w:marRight w:val="0"/>
      <w:marTop w:val="0"/>
      <w:marBottom w:val="0"/>
      <w:divBdr>
        <w:top w:val="none" w:sz="0" w:space="0" w:color="auto"/>
        <w:left w:val="none" w:sz="0" w:space="0" w:color="auto"/>
        <w:bottom w:val="none" w:sz="0" w:space="0" w:color="auto"/>
        <w:right w:val="none" w:sz="0" w:space="0" w:color="auto"/>
      </w:divBdr>
    </w:div>
    <w:div w:id="571935691">
      <w:bodyDiv w:val="1"/>
      <w:marLeft w:val="0"/>
      <w:marRight w:val="0"/>
      <w:marTop w:val="0"/>
      <w:marBottom w:val="0"/>
      <w:divBdr>
        <w:top w:val="none" w:sz="0" w:space="0" w:color="auto"/>
        <w:left w:val="none" w:sz="0" w:space="0" w:color="auto"/>
        <w:bottom w:val="none" w:sz="0" w:space="0" w:color="auto"/>
        <w:right w:val="none" w:sz="0" w:space="0" w:color="auto"/>
      </w:divBdr>
    </w:div>
    <w:div w:id="571938593">
      <w:bodyDiv w:val="1"/>
      <w:marLeft w:val="0"/>
      <w:marRight w:val="0"/>
      <w:marTop w:val="0"/>
      <w:marBottom w:val="0"/>
      <w:divBdr>
        <w:top w:val="none" w:sz="0" w:space="0" w:color="auto"/>
        <w:left w:val="none" w:sz="0" w:space="0" w:color="auto"/>
        <w:bottom w:val="none" w:sz="0" w:space="0" w:color="auto"/>
        <w:right w:val="none" w:sz="0" w:space="0" w:color="auto"/>
      </w:divBdr>
    </w:div>
    <w:div w:id="572013661">
      <w:bodyDiv w:val="1"/>
      <w:marLeft w:val="0"/>
      <w:marRight w:val="0"/>
      <w:marTop w:val="0"/>
      <w:marBottom w:val="0"/>
      <w:divBdr>
        <w:top w:val="none" w:sz="0" w:space="0" w:color="auto"/>
        <w:left w:val="none" w:sz="0" w:space="0" w:color="auto"/>
        <w:bottom w:val="none" w:sz="0" w:space="0" w:color="auto"/>
        <w:right w:val="none" w:sz="0" w:space="0" w:color="auto"/>
      </w:divBdr>
    </w:div>
    <w:div w:id="572204538">
      <w:bodyDiv w:val="1"/>
      <w:marLeft w:val="0"/>
      <w:marRight w:val="0"/>
      <w:marTop w:val="0"/>
      <w:marBottom w:val="0"/>
      <w:divBdr>
        <w:top w:val="none" w:sz="0" w:space="0" w:color="auto"/>
        <w:left w:val="none" w:sz="0" w:space="0" w:color="auto"/>
        <w:bottom w:val="none" w:sz="0" w:space="0" w:color="auto"/>
        <w:right w:val="none" w:sz="0" w:space="0" w:color="auto"/>
      </w:divBdr>
    </w:div>
    <w:div w:id="572278836">
      <w:bodyDiv w:val="1"/>
      <w:marLeft w:val="0"/>
      <w:marRight w:val="0"/>
      <w:marTop w:val="0"/>
      <w:marBottom w:val="0"/>
      <w:divBdr>
        <w:top w:val="none" w:sz="0" w:space="0" w:color="auto"/>
        <w:left w:val="none" w:sz="0" w:space="0" w:color="auto"/>
        <w:bottom w:val="none" w:sz="0" w:space="0" w:color="auto"/>
        <w:right w:val="none" w:sz="0" w:space="0" w:color="auto"/>
      </w:divBdr>
    </w:div>
    <w:div w:id="572467898">
      <w:bodyDiv w:val="1"/>
      <w:marLeft w:val="0"/>
      <w:marRight w:val="0"/>
      <w:marTop w:val="0"/>
      <w:marBottom w:val="0"/>
      <w:divBdr>
        <w:top w:val="none" w:sz="0" w:space="0" w:color="auto"/>
        <w:left w:val="none" w:sz="0" w:space="0" w:color="auto"/>
        <w:bottom w:val="none" w:sz="0" w:space="0" w:color="auto"/>
        <w:right w:val="none" w:sz="0" w:space="0" w:color="auto"/>
      </w:divBdr>
    </w:div>
    <w:div w:id="572589772">
      <w:bodyDiv w:val="1"/>
      <w:marLeft w:val="0"/>
      <w:marRight w:val="0"/>
      <w:marTop w:val="0"/>
      <w:marBottom w:val="0"/>
      <w:divBdr>
        <w:top w:val="none" w:sz="0" w:space="0" w:color="auto"/>
        <w:left w:val="none" w:sz="0" w:space="0" w:color="auto"/>
        <w:bottom w:val="none" w:sz="0" w:space="0" w:color="auto"/>
        <w:right w:val="none" w:sz="0" w:space="0" w:color="auto"/>
      </w:divBdr>
    </w:div>
    <w:div w:id="572590697">
      <w:bodyDiv w:val="1"/>
      <w:marLeft w:val="0"/>
      <w:marRight w:val="0"/>
      <w:marTop w:val="0"/>
      <w:marBottom w:val="0"/>
      <w:divBdr>
        <w:top w:val="none" w:sz="0" w:space="0" w:color="auto"/>
        <w:left w:val="none" w:sz="0" w:space="0" w:color="auto"/>
        <w:bottom w:val="none" w:sz="0" w:space="0" w:color="auto"/>
        <w:right w:val="none" w:sz="0" w:space="0" w:color="auto"/>
      </w:divBdr>
    </w:div>
    <w:div w:id="572668310">
      <w:bodyDiv w:val="1"/>
      <w:marLeft w:val="0"/>
      <w:marRight w:val="0"/>
      <w:marTop w:val="0"/>
      <w:marBottom w:val="0"/>
      <w:divBdr>
        <w:top w:val="none" w:sz="0" w:space="0" w:color="auto"/>
        <w:left w:val="none" w:sz="0" w:space="0" w:color="auto"/>
        <w:bottom w:val="none" w:sz="0" w:space="0" w:color="auto"/>
        <w:right w:val="none" w:sz="0" w:space="0" w:color="auto"/>
      </w:divBdr>
    </w:div>
    <w:div w:id="572669029">
      <w:bodyDiv w:val="1"/>
      <w:marLeft w:val="0"/>
      <w:marRight w:val="0"/>
      <w:marTop w:val="0"/>
      <w:marBottom w:val="0"/>
      <w:divBdr>
        <w:top w:val="none" w:sz="0" w:space="0" w:color="auto"/>
        <w:left w:val="none" w:sz="0" w:space="0" w:color="auto"/>
        <w:bottom w:val="none" w:sz="0" w:space="0" w:color="auto"/>
        <w:right w:val="none" w:sz="0" w:space="0" w:color="auto"/>
      </w:divBdr>
    </w:div>
    <w:div w:id="572740916">
      <w:bodyDiv w:val="1"/>
      <w:marLeft w:val="0"/>
      <w:marRight w:val="0"/>
      <w:marTop w:val="0"/>
      <w:marBottom w:val="0"/>
      <w:divBdr>
        <w:top w:val="none" w:sz="0" w:space="0" w:color="auto"/>
        <w:left w:val="none" w:sz="0" w:space="0" w:color="auto"/>
        <w:bottom w:val="none" w:sz="0" w:space="0" w:color="auto"/>
        <w:right w:val="none" w:sz="0" w:space="0" w:color="auto"/>
      </w:divBdr>
    </w:div>
    <w:div w:id="572855622">
      <w:bodyDiv w:val="1"/>
      <w:marLeft w:val="0"/>
      <w:marRight w:val="0"/>
      <w:marTop w:val="0"/>
      <w:marBottom w:val="0"/>
      <w:divBdr>
        <w:top w:val="none" w:sz="0" w:space="0" w:color="auto"/>
        <w:left w:val="none" w:sz="0" w:space="0" w:color="auto"/>
        <w:bottom w:val="none" w:sz="0" w:space="0" w:color="auto"/>
        <w:right w:val="none" w:sz="0" w:space="0" w:color="auto"/>
      </w:divBdr>
    </w:div>
    <w:div w:id="572855943">
      <w:bodyDiv w:val="1"/>
      <w:marLeft w:val="0"/>
      <w:marRight w:val="0"/>
      <w:marTop w:val="0"/>
      <w:marBottom w:val="0"/>
      <w:divBdr>
        <w:top w:val="none" w:sz="0" w:space="0" w:color="auto"/>
        <w:left w:val="none" w:sz="0" w:space="0" w:color="auto"/>
        <w:bottom w:val="none" w:sz="0" w:space="0" w:color="auto"/>
        <w:right w:val="none" w:sz="0" w:space="0" w:color="auto"/>
      </w:divBdr>
    </w:div>
    <w:div w:id="572933254">
      <w:bodyDiv w:val="1"/>
      <w:marLeft w:val="0"/>
      <w:marRight w:val="0"/>
      <w:marTop w:val="0"/>
      <w:marBottom w:val="0"/>
      <w:divBdr>
        <w:top w:val="none" w:sz="0" w:space="0" w:color="auto"/>
        <w:left w:val="none" w:sz="0" w:space="0" w:color="auto"/>
        <w:bottom w:val="none" w:sz="0" w:space="0" w:color="auto"/>
        <w:right w:val="none" w:sz="0" w:space="0" w:color="auto"/>
      </w:divBdr>
    </w:div>
    <w:div w:id="573008309">
      <w:bodyDiv w:val="1"/>
      <w:marLeft w:val="0"/>
      <w:marRight w:val="0"/>
      <w:marTop w:val="0"/>
      <w:marBottom w:val="0"/>
      <w:divBdr>
        <w:top w:val="none" w:sz="0" w:space="0" w:color="auto"/>
        <w:left w:val="none" w:sz="0" w:space="0" w:color="auto"/>
        <w:bottom w:val="none" w:sz="0" w:space="0" w:color="auto"/>
        <w:right w:val="none" w:sz="0" w:space="0" w:color="auto"/>
      </w:divBdr>
    </w:div>
    <w:div w:id="573055303">
      <w:bodyDiv w:val="1"/>
      <w:marLeft w:val="0"/>
      <w:marRight w:val="0"/>
      <w:marTop w:val="0"/>
      <w:marBottom w:val="0"/>
      <w:divBdr>
        <w:top w:val="none" w:sz="0" w:space="0" w:color="auto"/>
        <w:left w:val="none" w:sz="0" w:space="0" w:color="auto"/>
        <w:bottom w:val="none" w:sz="0" w:space="0" w:color="auto"/>
        <w:right w:val="none" w:sz="0" w:space="0" w:color="auto"/>
      </w:divBdr>
    </w:div>
    <w:div w:id="573126112">
      <w:bodyDiv w:val="1"/>
      <w:marLeft w:val="0"/>
      <w:marRight w:val="0"/>
      <w:marTop w:val="0"/>
      <w:marBottom w:val="0"/>
      <w:divBdr>
        <w:top w:val="none" w:sz="0" w:space="0" w:color="auto"/>
        <w:left w:val="none" w:sz="0" w:space="0" w:color="auto"/>
        <w:bottom w:val="none" w:sz="0" w:space="0" w:color="auto"/>
        <w:right w:val="none" w:sz="0" w:space="0" w:color="auto"/>
      </w:divBdr>
    </w:div>
    <w:div w:id="573202378">
      <w:bodyDiv w:val="1"/>
      <w:marLeft w:val="0"/>
      <w:marRight w:val="0"/>
      <w:marTop w:val="0"/>
      <w:marBottom w:val="0"/>
      <w:divBdr>
        <w:top w:val="none" w:sz="0" w:space="0" w:color="auto"/>
        <w:left w:val="none" w:sz="0" w:space="0" w:color="auto"/>
        <w:bottom w:val="none" w:sz="0" w:space="0" w:color="auto"/>
        <w:right w:val="none" w:sz="0" w:space="0" w:color="auto"/>
      </w:divBdr>
    </w:div>
    <w:div w:id="573315895">
      <w:bodyDiv w:val="1"/>
      <w:marLeft w:val="0"/>
      <w:marRight w:val="0"/>
      <w:marTop w:val="0"/>
      <w:marBottom w:val="0"/>
      <w:divBdr>
        <w:top w:val="none" w:sz="0" w:space="0" w:color="auto"/>
        <w:left w:val="none" w:sz="0" w:space="0" w:color="auto"/>
        <w:bottom w:val="none" w:sz="0" w:space="0" w:color="auto"/>
        <w:right w:val="none" w:sz="0" w:space="0" w:color="auto"/>
      </w:divBdr>
    </w:div>
    <w:div w:id="573393347">
      <w:bodyDiv w:val="1"/>
      <w:marLeft w:val="0"/>
      <w:marRight w:val="0"/>
      <w:marTop w:val="0"/>
      <w:marBottom w:val="0"/>
      <w:divBdr>
        <w:top w:val="none" w:sz="0" w:space="0" w:color="auto"/>
        <w:left w:val="none" w:sz="0" w:space="0" w:color="auto"/>
        <w:bottom w:val="none" w:sz="0" w:space="0" w:color="auto"/>
        <w:right w:val="none" w:sz="0" w:space="0" w:color="auto"/>
      </w:divBdr>
    </w:div>
    <w:div w:id="573470285">
      <w:bodyDiv w:val="1"/>
      <w:marLeft w:val="0"/>
      <w:marRight w:val="0"/>
      <w:marTop w:val="0"/>
      <w:marBottom w:val="0"/>
      <w:divBdr>
        <w:top w:val="none" w:sz="0" w:space="0" w:color="auto"/>
        <w:left w:val="none" w:sz="0" w:space="0" w:color="auto"/>
        <w:bottom w:val="none" w:sz="0" w:space="0" w:color="auto"/>
        <w:right w:val="none" w:sz="0" w:space="0" w:color="auto"/>
      </w:divBdr>
    </w:div>
    <w:div w:id="573593131">
      <w:bodyDiv w:val="1"/>
      <w:marLeft w:val="0"/>
      <w:marRight w:val="0"/>
      <w:marTop w:val="0"/>
      <w:marBottom w:val="0"/>
      <w:divBdr>
        <w:top w:val="none" w:sz="0" w:space="0" w:color="auto"/>
        <w:left w:val="none" w:sz="0" w:space="0" w:color="auto"/>
        <w:bottom w:val="none" w:sz="0" w:space="0" w:color="auto"/>
        <w:right w:val="none" w:sz="0" w:space="0" w:color="auto"/>
      </w:divBdr>
    </w:div>
    <w:div w:id="573782485">
      <w:bodyDiv w:val="1"/>
      <w:marLeft w:val="0"/>
      <w:marRight w:val="0"/>
      <w:marTop w:val="0"/>
      <w:marBottom w:val="0"/>
      <w:divBdr>
        <w:top w:val="none" w:sz="0" w:space="0" w:color="auto"/>
        <w:left w:val="none" w:sz="0" w:space="0" w:color="auto"/>
        <w:bottom w:val="none" w:sz="0" w:space="0" w:color="auto"/>
        <w:right w:val="none" w:sz="0" w:space="0" w:color="auto"/>
      </w:divBdr>
    </w:div>
    <w:div w:id="573900119">
      <w:bodyDiv w:val="1"/>
      <w:marLeft w:val="0"/>
      <w:marRight w:val="0"/>
      <w:marTop w:val="0"/>
      <w:marBottom w:val="0"/>
      <w:divBdr>
        <w:top w:val="none" w:sz="0" w:space="0" w:color="auto"/>
        <w:left w:val="none" w:sz="0" w:space="0" w:color="auto"/>
        <w:bottom w:val="none" w:sz="0" w:space="0" w:color="auto"/>
        <w:right w:val="none" w:sz="0" w:space="0" w:color="auto"/>
      </w:divBdr>
    </w:div>
    <w:div w:id="573930707">
      <w:bodyDiv w:val="1"/>
      <w:marLeft w:val="0"/>
      <w:marRight w:val="0"/>
      <w:marTop w:val="0"/>
      <w:marBottom w:val="0"/>
      <w:divBdr>
        <w:top w:val="none" w:sz="0" w:space="0" w:color="auto"/>
        <w:left w:val="none" w:sz="0" w:space="0" w:color="auto"/>
        <w:bottom w:val="none" w:sz="0" w:space="0" w:color="auto"/>
        <w:right w:val="none" w:sz="0" w:space="0" w:color="auto"/>
      </w:divBdr>
    </w:div>
    <w:div w:id="573971076">
      <w:bodyDiv w:val="1"/>
      <w:marLeft w:val="0"/>
      <w:marRight w:val="0"/>
      <w:marTop w:val="0"/>
      <w:marBottom w:val="0"/>
      <w:divBdr>
        <w:top w:val="none" w:sz="0" w:space="0" w:color="auto"/>
        <w:left w:val="none" w:sz="0" w:space="0" w:color="auto"/>
        <w:bottom w:val="none" w:sz="0" w:space="0" w:color="auto"/>
        <w:right w:val="none" w:sz="0" w:space="0" w:color="auto"/>
      </w:divBdr>
    </w:div>
    <w:div w:id="573974166">
      <w:bodyDiv w:val="1"/>
      <w:marLeft w:val="0"/>
      <w:marRight w:val="0"/>
      <w:marTop w:val="0"/>
      <w:marBottom w:val="0"/>
      <w:divBdr>
        <w:top w:val="none" w:sz="0" w:space="0" w:color="auto"/>
        <w:left w:val="none" w:sz="0" w:space="0" w:color="auto"/>
        <w:bottom w:val="none" w:sz="0" w:space="0" w:color="auto"/>
        <w:right w:val="none" w:sz="0" w:space="0" w:color="auto"/>
      </w:divBdr>
    </w:div>
    <w:div w:id="574121452">
      <w:bodyDiv w:val="1"/>
      <w:marLeft w:val="0"/>
      <w:marRight w:val="0"/>
      <w:marTop w:val="0"/>
      <w:marBottom w:val="0"/>
      <w:divBdr>
        <w:top w:val="none" w:sz="0" w:space="0" w:color="auto"/>
        <w:left w:val="none" w:sz="0" w:space="0" w:color="auto"/>
        <w:bottom w:val="none" w:sz="0" w:space="0" w:color="auto"/>
        <w:right w:val="none" w:sz="0" w:space="0" w:color="auto"/>
      </w:divBdr>
    </w:div>
    <w:div w:id="574167544">
      <w:bodyDiv w:val="1"/>
      <w:marLeft w:val="0"/>
      <w:marRight w:val="0"/>
      <w:marTop w:val="0"/>
      <w:marBottom w:val="0"/>
      <w:divBdr>
        <w:top w:val="none" w:sz="0" w:space="0" w:color="auto"/>
        <w:left w:val="none" w:sz="0" w:space="0" w:color="auto"/>
        <w:bottom w:val="none" w:sz="0" w:space="0" w:color="auto"/>
        <w:right w:val="none" w:sz="0" w:space="0" w:color="auto"/>
      </w:divBdr>
    </w:div>
    <w:div w:id="574169541">
      <w:bodyDiv w:val="1"/>
      <w:marLeft w:val="0"/>
      <w:marRight w:val="0"/>
      <w:marTop w:val="0"/>
      <w:marBottom w:val="0"/>
      <w:divBdr>
        <w:top w:val="none" w:sz="0" w:space="0" w:color="auto"/>
        <w:left w:val="none" w:sz="0" w:space="0" w:color="auto"/>
        <w:bottom w:val="none" w:sz="0" w:space="0" w:color="auto"/>
        <w:right w:val="none" w:sz="0" w:space="0" w:color="auto"/>
      </w:divBdr>
    </w:div>
    <w:div w:id="574241451">
      <w:bodyDiv w:val="1"/>
      <w:marLeft w:val="0"/>
      <w:marRight w:val="0"/>
      <w:marTop w:val="0"/>
      <w:marBottom w:val="0"/>
      <w:divBdr>
        <w:top w:val="none" w:sz="0" w:space="0" w:color="auto"/>
        <w:left w:val="none" w:sz="0" w:space="0" w:color="auto"/>
        <w:bottom w:val="none" w:sz="0" w:space="0" w:color="auto"/>
        <w:right w:val="none" w:sz="0" w:space="0" w:color="auto"/>
      </w:divBdr>
    </w:div>
    <w:div w:id="574241844">
      <w:bodyDiv w:val="1"/>
      <w:marLeft w:val="0"/>
      <w:marRight w:val="0"/>
      <w:marTop w:val="0"/>
      <w:marBottom w:val="0"/>
      <w:divBdr>
        <w:top w:val="none" w:sz="0" w:space="0" w:color="auto"/>
        <w:left w:val="none" w:sz="0" w:space="0" w:color="auto"/>
        <w:bottom w:val="none" w:sz="0" w:space="0" w:color="auto"/>
        <w:right w:val="none" w:sz="0" w:space="0" w:color="auto"/>
      </w:divBdr>
    </w:div>
    <w:div w:id="574365435">
      <w:bodyDiv w:val="1"/>
      <w:marLeft w:val="0"/>
      <w:marRight w:val="0"/>
      <w:marTop w:val="0"/>
      <w:marBottom w:val="0"/>
      <w:divBdr>
        <w:top w:val="none" w:sz="0" w:space="0" w:color="auto"/>
        <w:left w:val="none" w:sz="0" w:space="0" w:color="auto"/>
        <w:bottom w:val="none" w:sz="0" w:space="0" w:color="auto"/>
        <w:right w:val="none" w:sz="0" w:space="0" w:color="auto"/>
      </w:divBdr>
    </w:div>
    <w:div w:id="574366497">
      <w:bodyDiv w:val="1"/>
      <w:marLeft w:val="0"/>
      <w:marRight w:val="0"/>
      <w:marTop w:val="0"/>
      <w:marBottom w:val="0"/>
      <w:divBdr>
        <w:top w:val="none" w:sz="0" w:space="0" w:color="auto"/>
        <w:left w:val="none" w:sz="0" w:space="0" w:color="auto"/>
        <w:bottom w:val="none" w:sz="0" w:space="0" w:color="auto"/>
        <w:right w:val="none" w:sz="0" w:space="0" w:color="auto"/>
      </w:divBdr>
    </w:div>
    <w:div w:id="574441153">
      <w:bodyDiv w:val="1"/>
      <w:marLeft w:val="0"/>
      <w:marRight w:val="0"/>
      <w:marTop w:val="0"/>
      <w:marBottom w:val="0"/>
      <w:divBdr>
        <w:top w:val="none" w:sz="0" w:space="0" w:color="auto"/>
        <w:left w:val="none" w:sz="0" w:space="0" w:color="auto"/>
        <w:bottom w:val="none" w:sz="0" w:space="0" w:color="auto"/>
        <w:right w:val="none" w:sz="0" w:space="0" w:color="auto"/>
      </w:divBdr>
    </w:div>
    <w:div w:id="574585742">
      <w:bodyDiv w:val="1"/>
      <w:marLeft w:val="0"/>
      <w:marRight w:val="0"/>
      <w:marTop w:val="0"/>
      <w:marBottom w:val="0"/>
      <w:divBdr>
        <w:top w:val="none" w:sz="0" w:space="0" w:color="auto"/>
        <w:left w:val="none" w:sz="0" w:space="0" w:color="auto"/>
        <w:bottom w:val="none" w:sz="0" w:space="0" w:color="auto"/>
        <w:right w:val="none" w:sz="0" w:space="0" w:color="auto"/>
      </w:divBdr>
    </w:div>
    <w:div w:id="574627138">
      <w:bodyDiv w:val="1"/>
      <w:marLeft w:val="0"/>
      <w:marRight w:val="0"/>
      <w:marTop w:val="0"/>
      <w:marBottom w:val="0"/>
      <w:divBdr>
        <w:top w:val="none" w:sz="0" w:space="0" w:color="auto"/>
        <w:left w:val="none" w:sz="0" w:space="0" w:color="auto"/>
        <w:bottom w:val="none" w:sz="0" w:space="0" w:color="auto"/>
        <w:right w:val="none" w:sz="0" w:space="0" w:color="auto"/>
      </w:divBdr>
    </w:div>
    <w:div w:id="574780846">
      <w:bodyDiv w:val="1"/>
      <w:marLeft w:val="0"/>
      <w:marRight w:val="0"/>
      <w:marTop w:val="0"/>
      <w:marBottom w:val="0"/>
      <w:divBdr>
        <w:top w:val="none" w:sz="0" w:space="0" w:color="auto"/>
        <w:left w:val="none" w:sz="0" w:space="0" w:color="auto"/>
        <w:bottom w:val="none" w:sz="0" w:space="0" w:color="auto"/>
        <w:right w:val="none" w:sz="0" w:space="0" w:color="auto"/>
      </w:divBdr>
    </w:div>
    <w:div w:id="574819895">
      <w:bodyDiv w:val="1"/>
      <w:marLeft w:val="0"/>
      <w:marRight w:val="0"/>
      <w:marTop w:val="0"/>
      <w:marBottom w:val="0"/>
      <w:divBdr>
        <w:top w:val="none" w:sz="0" w:space="0" w:color="auto"/>
        <w:left w:val="none" w:sz="0" w:space="0" w:color="auto"/>
        <w:bottom w:val="none" w:sz="0" w:space="0" w:color="auto"/>
        <w:right w:val="none" w:sz="0" w:space="0" w:color="auto"/>
      </w:divBdr>
    </w:div>
    <w:div w:id="574894210">
      <w:bodyDiv w:val="1"/>
      <w:marLeft w:val="0"/>
      <w:marRight w:val="0"/>
      <w:marTop w:val="0"/>
      <w:marBottom w:val="0"/>
      <w:divBdr>
        <w:top w:val="none" w:sz="0" w:space="0" w:color="auto"/>
        <w:left w:val="none" w:sz="0" w:space="0" w:color="auto"/>
        <w:bottom w:val="none" w:sz="0" w:space="0" w:color="auto"/>
        <w:right w:val="none" w:sz="0" w:space="0" w:color="auto"/>
      </w:divBdr>
    </w:div>
    <w:div w:id="574902851">
      <w:bodyDiv w:val="1"/>
      <w:marLeft w:val="0"/>
      <w:marRight w:val="0"/>
      <w:marTop w:val="0"/>
      <w:marBottom w:val="0"/>
      <w:divBdr>
        <w:top w:val="none" w:sz="0" w:space="0" w:color="auto"/>
        <w:left w:val="none" w:sz="0" w:space="0" w:color="auto"/>
        <w:bottom w:val="none" w:sz="0" w:space="0" w:color="auto"/>
        <w:right w:val="none" w:sz="0" w:space="0" w:color="auto"/>
      </w:divBdr>
    </w:div>
    <w:div w:id="574970528">
      <w:bodyDiv w:val="1"/>
      <w:marLeft w:val="0"/>
      <w:marRight w:val="0"/>
      <w:marTop w:val="0"/>
      <w:marBottom w:val="0"/>
      <w:divBdr>
        <w:top w:val="none" w:sz="0" w:space="0" w:color="auto"/>
        <w:left w:val="none" w:sz="0" w:space="0" w:color="auto"/>
        <w:bottom w:val="none" w:sz="0" w:space="0" w:color="auto"/>
        <w:right w:val="none" w:sz="0" w:space="0" w:color="auto"/>
      </w:divBdr>
    </w:div>
    <w:div w:id="575093764">
      <w:bodyDiv w:val="1"/>
      <w:marLeft w:val="0"/>
      <w:marRight w:val="0"/>
      <w:marTop w:val="0"/>
      <w:marBottom w:val="0"/>
      <w:divBdr>
        <w:top w:val="none" w:sz="0" w:space="0" w:color="auto"/>
        <w:left w:val="none" w:sz="0" w:space="0" w:color="auto"/>
        <w:bottom w:val="none" w:sz="0" w:space="0" w:color="auto"/>
        <w:right w:val="none" w:sz="0" w:space="0" w:color="auto"/>
      </w:divBdr>
    </w:div>
    <w:div w:id="575163741">
      <w:bodyDiv w:val="1"/>
      <w:marLeft w:val="0"/>
      <w:marRight w:val="0"/>
      <w:marTop w:val="0"/>
      <w:marBottom w:val="0"/>
      <w:divBdr>
        <w:top w:val="none" w:sz="0" w:space="0" w:color="auto"/>
        <w:left w:val="none" w:sz="0" w:space="0" w:color="auto"/>
        <w:bottom w:val="none" w:sz="0" w:space="0" w:color="auto"/>
        <w:right w:val="none" w:sz="0" w:space="0" w:color="auto"/>
      </w:divBdr>
    </w:div>
    <w:div w:id="575167922">
      <w:bodyDiv w:val="1"/>
      <w:marLeft w:val="0"/>
      <w:marRight w:val="0"/>
      <w:marTop w:val="0"/>
      <w:marBottom w:val="0"/>
      <w:divBdr>
        <w:top w:val="none" w:sz="0" w:space="0" w:color="auto"/>
        <w:left w:val="none" w:sz="0" w:space="0" w:color="auto"/>
        <w:bottom w:val="none" w:sz="0" w:space="0" w:color="auto"/>
        <w:right w:val="none" w:sz="0" w:space="0" w:color="auto"/>
      </w:divBdr>
    </w:div>
    <w:div w:id="575213978">
      <w:bodyDiv w:val="1"/>
      <w:marLeft w:val="0"/>
      <w:marRight w:val="0"/>
      <w:marTop w:val="0"/>
      <w:marBottom w:val="0"/>
      <w:divBdr>
        <w:top w:val="none" w:sz="0" w:space="0" w:color="auto"/>
        <w:left w:val="none" w:sz="0" w:space="0" w:color="auto"/>
        <w:bottom w:val="none" w:sz="0" w:space="0" w:color="auto"/>
        <w:right w:val="none" w:sz="0" w:space="0" w:color="auto"/>
      </w:divBdr>
    </w:div>
    <w:div w:id="575288788">
      <w:bodyDiv w:val="1"/>
      <w:marLeft w:val="0"/>
      <w:marRight w:val="0"/>
      <w:marTop w:val="0"/>
      <w:marBottom w:val="0"/>
      <w:divBdr>
        <w:top w:val="none" w:sz="0" w:space="0" w:color="auto"/>
        <w:left w:val="none" w:sz="0" w:space="0" w:color="auto"/>
        <w:bottom w:val="none" w:sz="0" w:space="0" w:color="auto"/>
        <w:right w:val="none" w:sz="0" w:space="0" w:color="auto"/>
      </w:divBdr>
    </w:div>
    <w:div w:id="575432866">
      <w:bodyDiv w:val="1"/>
      <w:marLeft w:val="0"/>
      <w:marRight w:val="0"/>
      <w:marTop w:val="0"/>
      <w:marBottom w:val="0"/>
      <w:divBdr>
        <w:top w:val="none" w:sz="0" w:space="0" w:color="auto"/>
        <w:left w:val="none" w:sz="0" w:space="0" w:color="auto"/>
        <w:bottom w:val="none" w:sz="0" w:space="0" w:color="auto"/>
        <w:right w:val="none" w:sz="0" w:space="0" w:color="auto"/>
      </w:divBdr>
    </w:div>
    <w:div w:id="575553816">
      <w:bodyDiv w:val="1"/>
      <w:marLeft w:val="0"/>
      <w:marRight w:val="0"/>
      <w:marTop w:val="0"/>
      <w:marBottom w:val="0"/>
      <w:divBdr>
        <w:top w:val="none" w:sz="0" w:space="0" w:color="auto"/>
        <w:left w:val="none" w:sz="0" w:space="0" w:color="auto"/>
        <w:bottom w:val="none" w:sz="0" w:space="0" w:color="auto"/>
        <w:right w:val="none" w:sz="0" w:space="0" w:color="auto"/>
      </w:divBdr>
    </w:div>
    <w:div w:id="575628175">
      <w:bodyDiv w:val="1"/>
      <w:marLeft w:val="0"/>
      <w:marRight w:val="0"/>
      <w:marTop w:val="0"/>
      <w:marBottom w:val="0"/>
      <w:divBdr>
        <w:top w:val="none" w:sz="0" w:space="0" w:color="auto"/>
        <w:left w:val="none" w:sz="0" w:space="0" w:color="auto"/>
        <w:bottom w:val="none" w:sz="0" w:space="0" w:color="auto"/>
        <w:right w:val="none" w:sz="0" w:space="0" w:color="auto"/>
      </w:divBdr>
    </w:div>
    <w:div w:id="575630257">
      <w:bodyDiv w:val="1"/>
      <w:marLeft w:val="0"/>
      <w:marRight w:val="0"/>
      <w:marTop w:val="0"/>
      <w:marBottom w:val="0"/>
      <w:divBdr>
        <w:top w:val="none" w:sz="0" w:space="0" w:color="auto"/>
        <w:left w:val="none" w:sz="0" w:space="0" w:color="auto"/>
        <w:bottom w:val="none" w:sz="0" w:space="0" w:color="auto"/>
        <w:right w:val="none" w:sz="0" w:space="0" w:color="auto"/>
      </w:divBdr>
    </w:div>
    <w:div w:id="575631269">
      <w:bodyDiv w:val="1"/>
      <w:marLeft w:val="0"/>
      <w:marRight w:val="0"/>
      <w:marTop w:val="0"/>
      <w:marBottom w:val="0"/>
      <w:divBdr>
        <w:top w:val="none" w:sz="0" w:space="0" w:color="auto"/>
        <w:left w:val="none" w:sz="0" w:space="0" w:color="auto"/>
        <w:bottom w:val="none" w:sz="0" w:space="0" w:color="auto"/>
        <w:right w:val="none" w:sz="0" w:space="0" w:color="auto"/>
      </w:divBdr>
    </w:div>
    <w:div w:id="575671666">
      <w:bodyDiv w:val="1"/>
      <w:marLeft w:val="0"/>
      <w:marRight w:val="0"/>
      <w:marTop w:val="0"/>
      <w:marBottom w:val="0"/>
      <w:divBdr>
        <w:top w:val="none" w:sz="0" w:space="0" w:color="auto"/>
        <w:left w:val="none" w:sz="0" w:space="0" w:color="auto"/>
        <w:bottom w:val="none" w:sz="0" w:space="0" w:color="auto"/>
        <w:right w:val="none" w:sz="0" w:space="0" w:color="auto"/>
      </w:divBdr>
    </w:div>
    <w:div w:id="575673277">
      <w:bodyDiv w:val="1"/>
      <w:marLeft w:val="0"/>
      <w:marRight w:val="0"/>
      <w:marTop w:val="0"/>
      <w:marBottom w:val="0"/>
      <w:divBdr>
        <w:top w:val="none" w:sz="0" w:space="0" w:color="auto"/>
        <w:left w:val="none" w:sz="0" w:space="0" w:color="auto"/>
        <w:bottom w:val="none" w:sz="0" w:space="0" w:color="auto"/>
        <w:right w:val="none" w:sz="0" w:space="0" w:color="auto"/>
      </w:divBdr>
    </w:div>
    <w:div w:id="575675999">
      <w:bodyDiv w:val="1"/>
      <w:marLeft w:val="0"/>
      <w:marRight w:val="0"/>
      <w:marTop w:val="0"/>
      <w:marBottom w:val="0"/>
      <w:divBdr>
        <w:top w:val="none" w:sz="0" w:space="0" w:color="auto"/>
        <w:left w:val="none" w:sz="0" w:space="0" w:color="auto"/>
        <w:bottom w:val="none" w:sz="0" w:space="0" w:color="auto"/>
        <w:right w:val="none" w:sz="0" w:space="0" w:color="auto"/>
      </w:divBdr>
    </w:div>
    <w:div w:id="575752105">
      <w:bodyDiv w:val="1"/>
      <w:marLeft w:val="0"/>
      <w:marRight w:val="0"/>
      <w:marTop w:val="0"/>
      <w:marBottom w:val="0"/>
      <w:divBdr>
        <w:top w:val="none" w:sz="0" w:space="0" w:color="auto"/>
        <w:left w:val="none" w:sz="0" w:space="0" w:color="auto"/>
        <w:bottom w:val="none" w:sz="0" w:space="0" w:color="auto"/>
        <w:right w:val="none" w:sz="0" w:space="0" w:color="auto"/>
      </w:divBdr>
    </w:div>
    <w:div w:id="575867123">
      <w:bodyDiv w:val="1"/>
      <w:marLeft w:val="0"/>
      <w:marRight w:val="0"/>
      <w:marTop w:val="0"/>
      <w:marBottom w:val="0"/>
      <w:divBdr>
        <w:top w:val="none" w:sz="0" w:space="0" w:color="auto"/>
        <w:left w:val="none" w:sz="0" w:space="0" w:color="auto"/>
        <w:bottom w:val="none" w:sz="0" w:space="0" w:color="auto"/>
        <w:right w:val="none" w:sz="0" w:space="0" w:color="auto"/>
      </w:divBdr>
    </w:div>
    <w:div w:id="576015110">
      <w:bodyDiv w:val="1"/>
      <w:marLeft w:val="0"/>
      <w:marRight w:val="0"/>
      <w:marTop w:val="0"/>
      <w:marBottom w:val="0"/>
      <w:divBdr>
        <w:top w:val="none" w:sz="0" w:space="0" w:color="auto"/>
        <w:left w:val="none" w:sz="0" w:space="0" w:color="auto"/>
        <w:bottom w:val="none" w:sz="0" w:space="0" w:color="auto"/>
        <w:right w:val="none" w:sz="0" w:space="0" w:color="auto"/>
      </w:divBdr>
    </w:div>
    <w:div w:id="576138191">
      <w:bodyDiv w:val="1"/>
      <w:marLeft w:val="0"/>
      <w:marRight w:val="0"/>
      <w:marTop w:val="0"/>
      <w:marBottom w:val="0"/>
      <w:divBdr>
        <w:top w:val="none" w:sz="0" w:space="0" w:color="auto"/>
        <w:left w:val="none" w:sz="0" w:space="0" w:color="auto"/>
        <w:bottom w:val="none" w:sz="0" w:space="0" w:color="auto"/>
        <w:right w:val="none" w:sz="0" w:space="0" w:color="auto"/>
      </w:divBdr>
    </w:div>
    <w:div w:id="576205549">
      <w:bodyDiv w:val="1"/>
      <w:marLeft w:val="0"/>
      <w:marRight w:val="0"/>
      <w:marTop w:val="0"/>
      <w:marBottom w:val="0"/>
      <w:divBdr>
        <w:top w:val="none" w:sz="0" w:space="0" w:color="auto"/>
        <w:left w:val="none" w:sz="0" w:space="0" w:color="auto"/>
        <w:bottom w:val="none" w:sz="0" w:space="0" w:color="auto"/>
        <w:right w:val="none" w:sz="0" w:space="0" w:color="auto"/>
      </w:divBdr>
    </w:div>
    <w:div w:id="576207079">
      <w:bodyDiv w:val="1"/>
      <w:marLeft w:val="0"/>
      <w:marRight w:val="0"/>
      <w:marTop w:val="0"/>
      <w:marBottom w:val="0"/>
      <w:divBdr>
        <w:top w:val="none" w:sz="0" w:space="0" w:color="auto"/>
        <w:left w:val="none" w:sz="0" w:space="0" w:color="auto"/>
        <w:bottom w:val="none" w:sz="0" w:space="0" w:color="auto"/>
        <w:right w:val="none" w:sz="0" w:space="0" w:color="auto"/>
      </w:divBdr>
    </w:div>
    <w:div w:id="576208554">
      <w:bodyDiv w:val="1"/>
      <w:marLeft w:val="0"/>
      <w:marRight w:val="0"/>
      <w:marTop w:val="0"/>
      <w:marBottom w:val="0"/>
      <w:divBdr>
        <w:top w:val="none" w:sz="0" w:space="0" w:color="auto"/>
        <w:left w:val="none" w:sz="0" w:space="0" w:color="auto"/>
        <w:bottom w:val="none" w:sz="0" w:space="0" w:color="auto"/>
        <w:right w:val="none" w:sz="0" w:space="0" w:color="auto"/>
      </w:divBdr>
    </w:div>
    <w:div w:id="576282139">
      <w:bodyDiv w:val="1"/>
      <w:marLeft w:val="0"/>
      <w:marRight w:val="0"/>
      <w:marTop w:val="0"/>
      <w:marBottom w:val="0"/>
      <w:divBdr>
        <w:top w:val="none" w:sz="0" w:space="0" w:color="auto"/>
        <w:left w:val="none" w:sz="0" w:space="0" w:color="auto"/>
        <w:bottom w:val="none" w:sz="0" w:space="0" w:color="auto"/>
        <w:right w:val="none" w:sz="0" w:space="0" w:color="auto"/>
      </w:divBdr>
    </w:div>
    <w:div w:id="576327968">
      <w:bodyDiv w:val="1"/>
      <w:marLeft w:val="0"/>
      <w:marRight w:val="0"/>
      <w:marTop w:val="0"/>
      <w:marBottom w:val="0"/>
      <w:divBdr>
        <w:top w:val="none" w:sz="0" w:space="0" w:color="auto"/>
        <w:left w:val="none" w:sz="0" w:space="0" w:color="auto"/>
        <w:bottom w:val="none" w:sz="0" w:space="0" w:color="auto"/>
        <w:right w:val="none" w:sz="0" w:space="0" w:color="auto"/>
      </w:divBdr>
    </w:div>
    <w:div w:id="576329656">
      <w:bodyDiv w:val="1"/>
      <w:marLeft w:val="0"/>
      <w:marRight w:val="0"/>
      <w:marTop w:val="0"/>
      <w:marBottom w:val="0"/>
      <w:divBdr>
        <w:top w:val="none" w:sz="0" w:space="0" w:color="auto"/>
        <w:left w:val="none" w:sz="0" w:space="0" w:color="auto"/>
        <w:bottom w:val="none" w:sz="0" w:space="0" w:color="auto"/>
        <w:right w:val="none" w:sz="0" w:space="0" w:color="auto"/>
      </w:divBdr>
    </w:div>
    <w:div w:id="576401947">
      <w:bodyDiv w:val="1"/>
      <w:marLeft w:val="0"/>
      <w:marRight w:val="0"/>
      <w:marTop w:val="0"/>
      <w:marBottom w:val="0"/>
      <w:divBdr>
        <w:top w:val="none" w:sz="0" w:space="0" w:color="auto"/>
        <w:left w:val="none" w:sz="0" w:space="0" w:color="auto"/>
        <w:bottom w:val="none" w:sz="0" w:space="0" w:color="auto"/>
        <w:right w:val="none" w:sz="0" w:space="0" w:color="auto"/>
      </w:divBdr>
    </w:div>
    <w:div w:id="576403350">
      <w:bodyDiv w:val="1"/>
      <w:marLeft w:val="0"/>
      <w:marRight w:val="0"/>
      <w:marTop w:val="0"/>
      <w:marBottom w:val="0"/>
      <w:divBdr>
        <w:top w:val="none" w:sz="0" w:space="0" w:color="auto"/>
        <w:left w:val="none" w:sz="0" w:space="0" w:color="auto"/>
        <w:bottom w:val="none" w:sz="0" w:space="0" w:color="auto"/>
        <w:right w:val="none" w:sz="0" w:space="0" w:color="auto"/>
      </w:divBdr>
    </w:div>
    <w:div w:id="576478731">
      <w:bodyDiv w:val="1"/>
      <w:marLeft w:val="0"/>
      <w:marRight w:val="0"/>
      <w:marTop w:val="0"/>
      <w:marBottom w:val="0"/>
      <w:divBdr>
        <w:top w:val="none" w:sz="0" w:space="0" w:color="auto"/>
        <w:left w:val="none" w:sz="0" w:space="0" w:color="auto"/>
        <w:bottom w:val="none" w:sz="0" w:space="0" w:color="auto"/>
        <w:right w:val="none" w:sz="0" w:space="0" w:color="auto"/>
      </w:divBdr>
    </w:div>
    <w:div w:id="576522835">
      <w:bodyDiv w:val="1"/>
      <w:marLeft w:val="0"/>
      <w:marRight w:val="0"/>
      <w:marTop w:val="0"/>
      <w:marBottom w:val="0"/>
      <w:divBdr>
        <w:top w:val="none" w:sz="0" w:space="0" w:color="auto"/>
        <w:left w:val="none" w:sz="0" w:space="0" w:color="auto"/>
        <w:bottom w:val="none" w:sz="0" w:space="0" w:color="auto"/>
        <w:right w:val="none" w:sz="0" w:space="0" w:color="auto"/>
      </w:divBdr>
    </w:div>
    <w:div w:id="576667339">
      <w:bodyDiv w:val="1"/>
      <w:marLeft w:val="0"/>
      <w:marRight w:val="0"/>
      <w:marTop w:val="0"/>
      <w:marBottom w:val="0"/>
      <w:divBdr>
        <w:top w:val="none" w:sz="0" w:space="0" w:color="auto"/>
        <w:left w:val="none" w:sz="0" w:space="0" w:color="auto"/>
        <w:bottom w:val="none" w:sz="0" w:space="0" w:color="auto"/>
        <w:right w:val="none" w:sz="0" w:space="0" w:color="auto"/>
      </w:divBdr>
    </w:div>
    <w:div w:id="576792427">
      <w:bodyDiv w:val="1"/>
      <w:marLeft w:val="0"/>
      <w:marRight w:val="0"/>
      <w:marTop w:val="0"/>
      <w:marBottom w:val="0"/>
      <w:divBdr>
        <w:top w:val="none" w:sz="0" w:space="0" w:color="auto"/>
        <w:left w:val="none" w:sz="0" w:space="0" w:color="auto"/>
        <w:bottom w:val="none" w:sz="0" w:space="0" w:color="auto"/>
        <w:right w:val="none" w:sz="0" w:space="0" w:color="auto"/>
      </w:divBdr>
    </w:div>
    <w:div w:id="576868041">
      <w:bodyDiv w:val="1"/>
      <w:marLeft w:val="0"/>
      <w:marRight w:val="0"/>
      <w:marTop w:val="0"/>
      <w:marBottom w:val="0"/>
      <w:divBdr>
        <w:top w:val="none" w:sz="0" w:space="0" w:color="auto"/>
        <w:left w:val="none" w:sz="0" w:space="0" w:color="auto"/>
        <w:bottom w:val="none" w:sz="0" w:space="0" w:color="auto"/>
        <w:right w:val="none" w:sz="0" w:space="0" w:color="auto"/>
      </w:divBdr>
    </w:div>
    <w:div w:id="576985068">
      <w:bodyDiv w:val="1"/>
      <w:marLeft w:val="0"/>
      <w:marRight w:val="0"/>
      <w:marTop w:val="0"/>
      <w:marBottom w:val="0"/>
      <w:divBdr>
        <w:top w:val="none" w:sz="0" w:space="0" w:color="auto"/>
        <w:left w:val="none" w:sz="0" w:space="0" w:color="auto"/>
        <w:bottom w:val="none" w:sz="0" w:space="0" w:color="auto"/>
        <w:right w:val="none" w:sz="0" w:space="0" w:color="auto"/>
      </w:divBdr>
    </w:div>
    <w:div w:id="577010882">
      <w:bodyDiv w:val="1"/>
      <w:marLeft w:val="0"/>
      <w:marRight w:val="0"/>
      <w:marTop w:val="0"/>
      <w:marBottom w:val="0"/>
      <w:divBdr>
        <w:top w:val="none" w:sz="0" w:space="0" w:color="auto"/>
        <w:left w:val="none" w:sz="0" w:space="0" w:color="auto"/>
        <w:bottom w:val="none" w:sz="0" w:space="0" w:color="auto"/>
        <w:right w:val="none" w:sz="0" w:space="0" w:color="auto"/>
      </w:divBdr>
    </w:div>
    <w:div w:id="577058608">
      <w:bodyDiv w:val="1"/>
      <w:marLeft w:val="0"/>
      <w:marRight w:val="0"/>
      <w:marTop w:val="0"/>
      <w:marBottom w:val="0"/>
      <w:divBdr>
        <w:top w:val="none" w:sz="0" w:space="0" w:color="auto"/>
        <w:left w:val="none" w:sz="0" w:space="0" w:color="auto"/>
        <w:bottom w:val="none" w:sz="0" w:space="0" w:color="auto"/>
        <w:right w:val="none" w:sz="0" w:space="0" w:color="auto"/>
      </w:divBdr>
    </w:div>
    <w:div w:id="577130390">
      <w:bodyDiv w:val="1"/>
      <w:marLeft w:val="0"/>
      <w:marRight w:val="0"/>
      <w:marTop w:val="0"/>
      <w:marBottom w:val="0"/>
      <w:divBdr>
        <w:top w:val="none" w:sz="0" w:space="0" w:color="auto"/>
        <w:left w:val="none" w:sz="0" w:space="0" w:color="auto"/>
        <w:bottom w:val="none" w:sz="0" w:space="0" w:color="auto"/>
        <w:right w:val="none" w:sz="0" w:space="0" w:color="auto"/>
      </w:divBdr>
    </w:div>
    <w:div w:id="577180020">
      <w:bodyDiv w:val="1"/>
      <w:marLeft w:val="0"/>
      <w:marRight w:val="0"/>
      <w:marTop w:val="0"/>
      <w:marBottom w:val="0"/>
      <w:divBdr>
        <w:top w:val="none" w:sz="0" w:space="0" w:color="auto"/>
        <w:left w:val="none" w:sz="0" w:space="0" w:color="auto"/>
        <w:bottom w:val="none" w:sz="0" w:space="0" w:color="auto"/>
        <w:right w:val="none" w:sz="0" w:space="0" w:color="auto"/>
      </w:divBdr>
    </w:div>
    <w:div w:id="577251568">
      <w:bodyDiv w:val="1"/>
      <w:marLeft w:val="0"/>
      <w:marRight w:val="0"/>
      <w:marTop w:val="0"/>
      <w:marBottom w:val="0"/>
      <w:divBdr>
        <w:top w:val="none" w:sz="0" w:space="0" w:color="auto"/>
        <w:left w:val="none" w:sz="0" w:space="0" w:color="auto"/>
        <w:bottom w:val="none" w:sz="0" w:space="0" w:color="auto"/>
        <w:right w:val="none" w:sz="0" w:space="0" w:color="auto"/>
      </w:divBdr>
    </w:div>
    <w:div w:id="577403627">
      <w:bodyDiv w:val="1"/>
      <w:marLeft w:val="0"/>
      <w:marRight w:val="0"/>
      <w:marTop w:val="0"/>
      <w:marBottom w:val="0"/>
      <w:divBdr>
        <w:top w:val="none" w:sz="0" w:space="0" w:color="auto"/>
        <w:left w:val="none" w:sz="0" w:space="0" w:color="auto"/>
        <w:bottom w:val="none" w:sz="0" w:space="0" w:color="auto"/>
        <w:right w:val="none" w:sz="0" w:space="0" w:color="auto"/>
      </w:divBdr>
    </w:div>
    <w:div w:id="577442532">
      <w:bodyDiv w:val="1"/>
      <w:marLeft w:val="0"/>
      <w:marRight w:val="0"/>
      <w:marTop w:val="0"/>
      <w:marBottom w:val="0"/>
      <w:divBdr>
        <w:top w:val="none" w:sz="0" w:space="0" w:color="auto"/>
        <w:left w:val="none" w:sz="0" w:space="0" w:color="auto"/>
        <w:bottom w:val="none" w:sz="0" w:space="0" w:color="auto"/>
        <w:right w:val="none" w:sz="0" w:space="0" w:color="auto"/>
      </w:divBdr>
    </w:div>
    <w:div w:id="577637183">
      <w:bodyDiv w:val="1"/>
      <w:marLeft w:val="0"/>
      <w:marRight w:val="0"/>
      <w:marTop w:val="0"/>
      <w:marBottom w:val="0"/>
      <w:divBdr>
        <w:top w:val="none" w:sz="0" w:space="0" w:color="auto"/>
        <w:left w:val="none" w:sz="0" w:space="0" w:color="auto"/>
        <w:bottom w:val="none" w:sz="0" w:space="0" w:color="auto"/>
        <w:right w:val="none" w:sz="0" w:space="0" w:color="auto"/>
      </w:divBdr>
    </w:div>
    <w:div w:id="577859953">
      <w:bodyDiv w:val="1"/>
      <w:marLeft w:val="0"/>
      <w:marRight w:val="0"/>
      <w:marTop w:val="0"/>
      <w:marBottom w:val="0"/>
      <w:divBdr>
        <w:top w:val="none" w:sz="0" w:space="0" w:color="auto"/>
        <w:left w:val="none" w:sz="0" w:space="0" w:color="auto"/>
        <w:bottom w:val="none" w:sz="0" w:space="0" w:color="auto"/>
        <w:right w:val="none" w:sz="0" w:space="0" w:color="auto"/>
      </w:divBdr>
    </w:div>
    <w:div w:id="577902163">
      <w:bodyDiv w:val="1"/>
      <w:marLeft w:val="0"/>
      <w:marRight w:val="0"/>
      <w:marTop w:val="0"/>
      <w:marBottom w:val="0"/>
      <w:divBdr>
        <w:top w:val="none" w:sz="0" w:space="0" w:color="auto"/>
        <w:left w:val="none" w:sz="0" w:space="0" w:color="auto"/>
        <w:bottom w:val="none" w:sz="0" w:space="0" w:color="auto"/>
        <w:right w:val="none" w:sz="0" w:space="0" w:color="auto"/>
      </w:divBdr>
    </w:div>
    <w:div w:id="578053010">
      <w:bodyDiv w:val="1"/>
      <w:marLeft w:val="0"/>
      <w:marRight w:val="0"/>
      <w:marTop w:val="0"/>
      <w:marBottom w:val="0"/>
      <w:divBdr>
        <w:top w:val="none" w:sz="0" w:space="0" w:color="auto"/>
        <w:left w:val="none" w:sz="0" w:space="0" w:color="auto"/>
        <w:bottom w:val="none" w:sz="0" w:space="0" w:color="auto"/>
        <w:right w:val="none" w:sz="0" w:space="0" w:color="auto"/>
      </w:divBdr>
    </w:div>
    <w:div w:id="578246799">
      <w:bodyDiv w:val="1"/>
      <w:marLeft w:val="0"/>
      <w:marRight w:val="0"/>
      <w:marTop w:val="0"/>
      <w:marBottom w:val="0"/>
      <w:divBdr>
        <w:top w:val="none" w:sz="0" w:space="0" w:color="auto"/>
        <w:left w:val="none" w:sz="0" w:space="0" w:color="auto"/>
        <w:bottom w:val="none" w:sz="0" w:space="0" w:color="auto"/>
        <w:right w:val="none" w:sz="0" w:space="0" w:color="auto"/>
      </w:divBdr>
    </w:div>
    <w:div w:id="578247568">
      <w:bodyDiv w:val="1"/>
      <w:marLeft w:val="0"/>
      <w:marRight w:val="0"/>
      <w:marTop w:val="0"/>
      <w:marBottom w:val="0"/>
      <w:divBdr>
        <w:top w:val="none" w:sz="0" w:space="0" w:color="auto"/>
        <w:left w:val="none" w:sz="0" w:space="0" w:color="auto"/>
        <w:bottom w:val="none" w:sz="0" w:space="0" w:color="auto"/>
        <w:right w:val="none" w:sz="0" w:space="0" w:color="auto"/>
      </w:divBdr>
    </w:div>
    <w:div w:id="578292040">
      <w:bodyDiv w:val="1"/>
      <w:marLeft w:val="0"/>
      <w:marRight w:val="0"/>
      <w:marTop w:val="0"/>
      <w:marBottom w:val="0"/>
      <w:divBdr>
        <w:top w:val="none" w:sz="0" w:space="0" w:color="auto"/>
        <w:left w:val="none" w:sz="0" w:space="0" w:color="auto"/>
        <w:bottom w:val="none" w:sz="0" w:space="0" w:color="auto"/>
        <w:right w:val="none" w:sz="0" w:space="0" w:color="auto"/>
      </w:divBdr>
    </w:div>
    <w:div w:id="578440804">
      <w:bodyDiv w:val="1"/>
      <w:marLeft w:val="0"/>
      <w:marRight w:val="0"/>
      <w:marTop w:val="0"/>
      <w:marBottom w:val="0"/>
      <w:divBdr>
        <w:top w:val="none" w:sz="0" w:space="0" w:color="auto"/>
        <w:left w:val="none" w:sz="0" w:space="0" w:color="auto"/>
        <w:bottom w:val="none" w:sz="0" w:space="0" w:color="auto"/>
        <w:right w:val="none" w:sz="0" w:space="0" w:color="auto"/>
      </w:divBdr>
    </w:div>
    <w:div w:id="578447666">
      <w:bodyDiv w:val="1"/>
      <w:marLeft w:val="0"/>
      <w:marRight w:val="0"/>
      <w:marTop w:val="0"/>
      <w:marBottom w:val="0"/>
      <w:divBdr>
        <w:top w:val="none" w:sz="0" w:space="0" w:color="auto"/>
        <w:left w:val="none" w:sz="0" w:space="0" w:color="auto"/>
        <w:bottom w:val="none" w:sz="0" w:space="0" w:color="auto"/>
        <w:right w:val="none" w:sz="0" w:space="0" w:color="auto"/>
      </w:divBdr>
    </w:div>
    <w:div w:id="578516356">
      <w:bodyDiv w:val="1"/>
      <w:marLeft w:val="0"/>
      <w:marRight w:val="0"/>
      <w:marTop w:val="0"/>
      <w:marBottom w:val="0"/>
      <w:divBdr>
        <w:top w:val="none" w:sz="0" w:space="0" w:color="auto"/>
        <w:left w:val="none" w:sz="0" w:space="0" w:color="auto"/>
        <w:bottom w:val="none" w:sz="0" w:space="0" w:color="auto"/>
        <w:right w:val="none" w:sz="0" w:space="0" w:color="auto"/>
      </w:divBdr>
    </w:div>
    <w:div w:id="578518391">
      <w:bodyDiv w:val="1"/>
      <w:marLeft w:val="0"/>
      <w:marRight w:val="0"/>
      <w:marTop w:val="0"/>
      <w:marBottom w:val="0"/>
      <w:divBdr>
        <w:top w:val="none" w:sz="0" w:space="0" w:color="auto"/>
        <w:left w:val="none" w:sz="0" w:space="0" w:color="auto"/>
        <w:bottom w:val="none" w:sz="0" w:space="0" w:color="auto"/>
        <w:right w:val="none" w:sz="0" w:space="0" w:color="auto"/>
      </w:divBdr>
    </w:div>
    <w:div w:id="578560302">
      <w:bodyDiv w:val="1"/>
      <w:marLeft w:val="0"/>
      <w:marRight w:val="0"/>
      <w:marTop w:val="0"/>
      <w:marBottom w:val="0"/>
      <w:divBdr>
        <w:top w:val="none" w:sz="0" w:space="0" w:color="auto"/>
        <w:left w:val="none" w:sz="0" w:space="0" w:color="auto"/>
        <w:bottom w:val="none" w:sz="0" w:space="0" w:color="auto"/>
        <w:right w:val="none" w:sz="0" w:space="0" w:color="auto"/>
      </w:divBdr>
    </w:div>
    <w:div w:id="578566767">
      <w:bodyDiv w:val="1"/>
      <w:marLeft w:val="0"/>
      <w:marRight w:val="0"/>
      <w:marTop w:val="0"/>
      <w:marBottom w:val="0"/>
      <w:divBdr>
        <w:top w:val="none" w:sz="0" w:space="0" w:color="auto"/>
        <w:left w:val="none" w:sz="0" w:space="0" w:color="auto"/>
        <w:bottom w:val="none" w:sz="0" w:space="0" w:color="auto"/>
        <w:right w:val="none" w:sz="0" w:space="0" w:color="auto"/>
      </w:divBdr>
    </w:div>
    <w:div w:id="578714617">
      <w:bodyDiv w:val="1"/>
      <w:marLeft w:val="0"/>
      <w:marRight w:val="0"/>
      <w:marTop w:val="0"/>
      <w:marBottom w:val="0"/>
      <w:divBdr>
        <w:top w:val="none" w:sz="0" w:space="0" w:color="auto"/>
        <w:left w:val="none" w:sz="0" w:space="0" w:color="auto"/>
        <w:bottom w:val="none" w:sz="0" w:space="0" w:color="auto"/>
        <w:right w:val="none" w:sz="0" w:space="0" w:color="auto"/>
      </w:divBdr>
    </w:div>
    <w:div w:id="578750496">
      <w:bodyDiv w:val="1"/>
      <w:marLeft w:val="0"/>
      <w:marRight w:val="0"/>
      <w:marTop w:val="0"/>
      <w:marBottom w:val="0"/>
      <w:divBdr>
        <w:top w:val="none" w:sz="0" w:space="0" w:color="auto"/>
        <w:left w:val="none" w:sz="0" w:space="0" w:color="auto"/>
        <w:bottom w:val="none" w:sz="0" w:space="0" w:color="auto"/>
        <w:right w:val="none" w:sz="0" w:space="0" w:color="auto"/>
      </w:divBdr>
    </w:div>
    <w:div w:id="578948352">
      <w:bodyDiv w:val="1"/>
      <w:marLeft w:val="0"/>
      <w:marRight w:val="0"/>
      <w:marTop w:val="0"/>
      <w:marBottom w:val="0"/>
      <w:divBdr>
        <w:top w:val="none" w:sz="0" w:space="0" w:color="auto"/>
        <w:left w:val="none" w:sz="0" w:space="0" w:color="auto"/>
        <w:bottom w:val="none" w:sz="0" w:space="0" w:color="auto"/>
        <w:right w:val="none" w:sz="0" w:space="0" w:color="auto"/>
      </w:divBdr>
    </w:div>
    <w:div w:id="578976655">
      <w:bodyDiv w:val="1"/>
      <w:marLeft w:val="0"/>
      <w:marRight w:val="0"/>
      <w:marTop w:val="0"/>
      <w:marBottom w:val="0"/>
      <w:divBdr>
        <w:top w:val="none" w:sz="0" w:space="0" w:color="auto"/>
        <w:left w:val="none" w:sz="0" w:space="0" w:color="auto"/>
        <w:bottom w:val="none" w:sz="0" w:space="0" w:color="auto"/>
        <w:right w:val="none" w:sz="0" w:space="0" w:color="auto"/>
      </w:divBdr>
    </w:div>
    <w:div w:id="578977577">
      <w:bodyDiv w:val="1"/>
      <w:marLeft w:val="0"/>
      <w:marRight w:val="0"/>
      <w:marTop w:val="0"/>
      <w:marBottom w:val="0"/>
      <w:divBdr>
        <w:top w:val="none" w:sz="0" w:space="0" w:color="auto"/>
        <w:left w:val="none" w:sz="0" w:space="0" w:color="auto"/>
        <w:bottom w:val="none" w:sz="0" w:space="0" w:color="auto"/>
        <w:right w:val="none" w:sz="0" w:space="0" w:color="auto"/>
      </w:divBdr>
    </w:div>
    <w:div w:id="579022912">
      <w:bodyDiv w:val="1"/>
      <w:marLeft w:val="0"/>
      <w:marRight w:val="0"/>
      <w:marTop w:val="0"/>
      <w:marBottom w:val="0"/>
      <w:divBdr>
        <w:top w:val="none" w:sz="0" w:space="0" w:color="auto"/>
        <w:left w:val="none" w:sz="0" w:space="0" w:color="auto"/>
        <w:bottom w:val="none" w:sz="0" w:space="0" w:color="auto"/>
        <w:right w:val="none" w:sz="0" w:space="0" w:color="auto"/>
      </w:divBdr>
    </w:div>
    <w:div w:id="579218881">
      <w:bodyDiv w:val="1"/>
      <w:marLeft w:val="0"/>
      <w:marRight w:val="0"/>
      <w:marTop w:val="0"/>
      <w:marBottom w:val="0"/>
      <w:divBdr>
        <w:top w:val="none" w:sz="0" w:space="0" w:color="auto"/>
        <w:left w:val="none" w:sz="0" w:space="0" w:color="auto"/>
        <w:bottom w:val="none" w:sz="0" w:space="0" w:color="auto"/>
        <w:right w:val="none" w:sz="0" w:space="0" w:color="auto"/>
      </w:divBdr>
    </w:div>
    <w:div w:id="579293850">
      <w:bodyDiv w:val="1"/>
      <w:marLeft w:val="0"/>
      <w:marRight w:val="0"/>
      <w:marTop w:val="0"/>
      <w:marBottom w:val="0"/>
      <w:divBdr>
        <w:top w:val="none" w:sz="0" w:space="0" w:color="auto"/>
        <w:left w:val="none" w:sz="0" w:space="0" w:color="auto"/>
        <w:bottom w:val="none" w:sz="0" w:space="0" w:color="auto"/>
        <w:right w:val="none" w:sz="0" w:space="0" w:color="auto"/>
      </w:divBdr>
    </w:div>
    <w:div w:id="579364206">
      <w:bodyDiv w:val="1"/>
      <w:marLeft w:val="0"/>
      <w:marRight w:val="0"/>
      <w:marTop w:val="0"/>
      <w:marBottom w:val="0"/>
      <w:divBdr>
        <w:top w:val="none" w:sz="0" w:space="0" w:color="auto"/>
        <w:left w:val="none" w:sz="0" w:space="0" w:color="auto"/>
        <w:bottom w:val="none" w:sz="0" w:space="0" w:color="auto"/>
        <w:right w:val="none" w:sz="0" w:space="0" w:color="auto"/>
      </w:divBdr>
    </w:div>
    <w:div w:id="579488897">
      <w:bodyDiv w:val="1"/>
      <w:marLeft w:val="0"/>
      <w:marRight w:val="0"/>
      <w:marTop w:val="0"/>
      <w:marBottom w:val="0"/>
      <w:divBdr>
        <w:top w:val="none" w:sz="0" w:space="0" w:color="auto"/>
        <w:left w:val="none" w:sz="0" w:space="0" w:color="auto"/>
        <w:bottom w:val="none" w:sz="0" w:space="0" w:color="auto"/>
        <w:right w:val="none" w:sz="0" w:space="0" w:color="auto"/>
      </w:divBdr>
    </w:div>
    <w:div w:id="579603867">
      <w:bodyDiv w:val="1"/>
      <w:marLeft w:val="0"/>
      <w:marRight w:val="0"/>
      <w:marTop w:val="0"/>
      <w:marBottom w:val="0"/>
      <w:divBdr>
        <w:top w:val="none" w:sz="0" w:space="0" w:color="auto"/>
        <w:left w:val="none" w:sz="0" w:space="0" w:color="auto"/>
        <w:bottom w:val="none" w:sz="0" w:space="0" w:color="auto"/>
        <w:right w:val="none" w:sz="0" w:space="0" w:color="auto"/>
      </w:divBdr>
    </w:div>
    <w:div w:id="579632130">
      <w:bodyDiv w:val="1"/>
      <w:marLeft w:val="0"/>
      <w:marRight w:val="0"/>
      <w:marTop w:val="0"/>
      <w:marBottom w:val="0"/>
      <w:divBdr>
        <w:top w:val="none" w:sz="0" w:space="0" w:color="auto"/>
        <w:left w:val="none" w:sz="0" w:space="0" w:color="auto"/>
        <w:bottom w:val="none" w:sz="0" w:space="0" w:color="auto"/>
        <w:right w:val="none" w:sz="0" w:space="0" w:color="auto"/>
      </w:divBdr>
    </w:div>
    <w:div w:id="579752700">
      <w:bodyDiv w:val="1"/>
      <w:marLeft w:val="0"/>
      <w:marRight w:val="0"/>
      <w:marTop w:val="0"/>
      <w:marBottom w:val="0"/>
      <w:divBdr>
        <w:top w:val="none" w:sz="0" w:space="0" w:color="auto"/>
        <w:left w:val="none" w:sz="0" w:space="0" w:color="auto"/>
        <w:bottom w:val="none" w:sz="0" w:space="0" w:color="auto"/>
        <w:right w:val="none" w:sz="0" w:space="0" w:color="auto"/>
      </w:divBdr>
    </w:div>
    <w:div w:id="579869663">
      <w:bodyDiv w:val="1"/>
      <w:marLeft w:val="0"/>
      <w:marRight w:val="0"/>
      <w:marTop w:val="0"/>
      <w:marBottom w:val="0"/>
      <w:divBdr>
        <w:top w:val="none" w:sz="0" w:space="0" w:color="auto"/>
        <w:left w:val="none" w:sz="0" w:space="0" w:color="auto"/>
        <w:bottom w:val="none" w:sz="0" w:space="0" w:color="auto"/>
        <w:right w:val="none" w:sz="0" w:space="0" w:color="auto"/>
      </w:divBdr>
    </w:div>
    <w:div w:id="579876080">
      <w:bodyDiv w:val="1"/>
      <w:marLeft w:val="0"/>
      <w:marRight w:val="0"/>
      <w:marTop w:val="0"/>
      <w:marBottom w:val="0"/>
      <w:divBdr>
        <w:top w:val="none" w:sz="0" w:space="0" w:color="auto"/>
        <w:left w:val="none" w:sz="0" w:space="0" w:color="auto"/>
        <w:bottom w:val="none" w:sz="0" w:space="0" w:color="auto"/>
        <w:right w:val="none" w:sz="0" w:space="0" w:color="auto"/>
      </w:divBdr>
    </w:div>
    <w:div w:id="579993776">
      <w:bodyDiv w:val="1"/>
      <w:marLeft w:val="0"/>
      <w:marRight w:val="0"/>
      <w:marTop w:val="0"/>
      <w:marBottom w:val="0"/>
      <w:divBdr>
        <w:top w:val="none" w:sz="0" w:space="0" w:color="auto"/>
        <w:left w:val="none" w:sz="0" w:space="0" w:color="auto"/>
        <w:bottom w:val="none" w:sz="0" w:space="0" w:color="auto"/>
        <w:right w:val="none" w:sz="0" w:space="0" w:color="auto"/>
      </w:divBdr>
    </w:div>
    <w:div w:id="580064257">
      <w:bodyDiv w:val="1"/>
      <w:marLeft w:val="0"/>
      <w:marRight w:val="0"/>
      <w:marTop w:val="0"/>
      <w:marBottom w:val="0"/>
      <w:divBdr>
        <w:top w:val="none" w:sz="0" w:space="0" w:color="auto"/>
        <w:left w:val="none" w:sz="0" w:space="0" w:color="auto"/>
        <w:bottom w:val="none" w:sz="0" w:space="0" w:color="auto"/>
        <w:right w:val="none" w:sz="0" w:space="0" w:color="auto"/>
      </w:divBdr>
    </w:div>
    <w:div w:id="580070221">
      <w:bodyDiv w:val="1"/>
      <w:marLeft w:val="0"/>
      <w:marRight w:val="0"/>
      <w:marTop w:val="0"/>
      <w:marBottom w:val="0"/>
      <w:divBdr>
        <w:top w:val="none" w:sz="0" w:space="0" w:color="auto"/>
        <w:left w:val="none" w:sz="0" w:space="0" w:color="auto"/>
        <w:bottom w:val="none" w:sz="0" w:space="0" w:color="auto"/>
        <w:right w:val="none" w:sz="0" w:space="0" w:color="auto"/>
      </w:divBdr>
    </w:div>
    <w:div w:id="580145053">
      <w:bodyDiv w:val="1"/>
      <w:marLeft w:val="0"/>
      <w:marRight w:val="0"/>
      <w:marTop w:val="0"/>
      <w:marBottom w:val="0"/>
      <w:divBdr>
        <w:top w:val="none" w:sz="0" w:space="0" w:color="auto"/>
        <w:left w:val="none" w:sz="0" w:space="0" w:color="auto"/>
        <w:bottom w:val="none" w:sz="0" w:space="0" w:color="auto"/>
        <w:right w:val="none" w:sz="0" w:space="0" w:color="auto"/>
      </w:divBdr>
    </w:div>
    <w:div w:id="580220657">
      <w:bodyDiv w:val="1"/>
      <w:marLeft w:val="0"/>
      <w:marRight w:val="0"/>
      <w:marTop w:val="0"/>
      <w:marBottom w:val="0"/>
      <w:divBdr>
        <w:top w:val="none" w:sz="0" w:space="0" w:color="auto"/>
        <w:left w:val="none" w:sz="0" w:space="0" w:color="auto"/>
        <w:bottom w:val="none" w:sz="0" w:space="0" w:color="auto"/>
        <w:right w:val="none" w:sz="0" w:space="0" w:color="auto"/>
      </w:divBdr>
    </w:div>
    <w:div w:id="580411282">
      <w:bodyDiv w:val="1"/>
      <w:marLeft w:val="0"/>
      <w:marRight w:val="0"/>
      <w:marTop w:val="0"/>
      <w:marBottom w:val="0"/>
      <w:divBdr>
        <w:top w:val="none" w:sz="0" w:space="0" w:color="auto"/>
        <w:left w:val="none" w:sz="0" w:space="0" w:color="auto"/>
        <w:bottom w:val="none" w:sz="0" w:space="0" w:color="auto"/>
        <w:right w:val="none" w:sz="0" w:space="0" w:color="auto"/>
      </w:divBdr>
    </w:div>
    <w:div w:id="580527995">
      <w:bodyDiv w:val="1"/>
      <w:marLeft w:val="0"/>
      <w:marRight w:val="0"/>
      <w:marTop w:val="0"/>
      <w:marBottom w:val="0"/>
      <w:divBdr>
        <w:top w:val="none" w:sz="0" w:space="0" w:color="auto"/>
        <w:left w:val="none" w:sz="0" w:space="0" w:color="auto"/>
        <w:bottom w:val="none" w:sz="0" w:space="0" w:color="auto"/>
        <w:right w:val="none" w:sz="0" w:space="0" w:color="auto"/>
      </w:divBdr>
    </w:div>
    <w:div w:id="580530003">
      <w:bodyDiv w:val="1"/>
      <w:marLeft w:val="0"/>
      <w:marRight w:val="0"/>
      <w:marTop w:val="0"/>
      <w:marBottom w:val="0"/>
      <w:divBdr>
        <w:top w:val="none" w:sz="0" w:space="0" w:color="auto"/>
        <w:left w:val="none" w:sz="0" w:space="0" w:color="auto"/>
        <w:bottom w:val="none" w:sz="0" w:space="0" w:color="auto"/>
        <w:right w:val="none" w:sz="0" w:space="0" w:color="auto"/>
      </w:divBdr>
    </w:div>
    <w:div w:id="580600318">
      <w:bodyDiv w:val="1"/>
      <w:marLeft w:val="0"/>
      <w:marRight w:val="0"/>
      <w:marTop w:val="0"/>
      <w:marBottom w:val="0"/>
      <w:divBdr>
        <w:top w:val="none" w:sz="0" w:space="0" w:color="auto"/>
        <w:left w:val="none" w:sz="0" w:space="0" w:color="auto"/>
        <w:bottom w:val="none" w:sz="0" w:space="0" w:color="auto"/>
        <w:right w:val="none" w:sz="0" w:space="0" w:color="auto"/>
      </w:divBdr>
    </w:div>
    <w:div w:id="580604253">
      <w:bodyDiv w:val="1"/>
      <w:marLeft w:val="0"/>
      <w:marRight w:val="0"/>
      <w:marTop w:val="0"/>
      <w:marBottom w:val="0"/>
      <w:divBdr>
        <w:top w:val="none" w:sz="0" w:space="0" w:color="auto"/>
        <w:left w:val="none" w:sz="0" w:space="0" w:color="auto"/>
        <w:bottom w:val="none" w:sz="0" w:space="0" w:color="auto"/>
        <w:right w:val="none" w:sz="0" w:space="0" w:color="auto"/>
      </w:divBdr>
    </w:div>
    <w:div w:id="580649524">
      <w:bodyDiv w:val="1"/>
      <w:marLeft w:val="0"/>
      <w:marRight w:val="0"/>
      <w:marTop w:val="0"/>
      <w:marBottom w:val="0"/>
      <w:divBdr>
        <w:top w:val="none" w:sz="0" w:space="0" w:color="auto"/>
        <w:left w:val="none" w:sz="0" w:space="0" w:color="auto"/>
        <w:bottom w:val="none" w:sz="0" w:space="0" w:color="auto"/>
        <w:right w:val="none" w:sz="0" w:space="0" w:color="auto"/>
      </w:divBdr>
    </w:div>
    <w:div w:id="580681220">
      <w:bodyDiv w:val="1"/>
      <w:marLeft w:val="0"/>
      <w:marRight w:val="0"/>
      <w:marTop w:val="0"/>
      <w:marBottom w:val="0"/>
      <w:divBdr>
        <w:top w:val="none" w:sz="0" w:space="0" w:color="auto"/>
        <w:left w:val="none" w:sz="0" w:space="0" w:color="auto"/>
        <w:bottom w:val="none" w:sz="0" w:space="0" w:color="auto"/>
        <w:right w:val="none" w:sz="0" w:space="0" w:color="auto"/>
      </w:divBdr>
    </w:div>
    <w:div w:id="580725519">
      <w:bodyDiv w:val="1"/>
      <w:marLeft w:val="0"/>
      <w:marRight w:val="0"/>
      <w:marTop w:val="0"/>
      <w:marBottom w:val="0"/>
      <w:divBdr>
        <w:top w:val="none" w:sz="0" w:space="0" w:color="auto"/>
        <w:left w:val="none" w:sz="0" w:space="0" w:color="auto"/>
        <w:bottom w:val="none" w:sz="0" w:space="0" w:color="auto"/>
        <w:right w:val="none" w:sz="0" w:space="0" w:color="auto"/>
      </w:divBdr>
    </w:div>
    <w:div w:id="580867590">
      <w:bodyDiv w:val="1"/>
      <w:marLeft w:val="0"/>
      <w:marRight w:val="0"/>
      <w:marTop w:val="0"/>
      <w:marBottom w:val="0"/>
      <w:divBdr>
        <w:top w:val="none" w:sz="0" w:space="0" w:color="auto"/>
        <w:left w:val="none" w:sz="0" w:space="0" w:color="auto"/>
        <w:bottom w:val="none" w:sz="0" w:space="0" w:color="auto"/>
        <w:right w:val="none" w:sz="0" w:space="0" w:color="auto"/>
      </w:divBdr>
    </w:div>
    <w:div w:id="580869165">
      <w:bodyDiv w:val="1"/>
      <w:marLeft w:val="0"/>
      <w:marRight w:val="0"/>
      <w:marTop w:val="0"/>
      <w:marBottom w:val="0"/>
      <w:divBdr>
        <w:top w:val="none" w:sz="0" w:space="0" w:color="auto"/>
        <w:left w:val="none" w:sz="0" w:space="0" w:color="auto"/>
        <w:bottom w:val="none" w:sz="0" w:space="0" w:color="auto"/>
        <w:right w:val="none" w:sz="0" w:space="0" w:color="auto"/>
      </w:divBdr>
    </w:div>
    <w:div w:id="580993103">
      <w:bodyDiv w:val="1"/>
      <w:marLeft w:val="0"/>
      <w:marRight w:val="0"/>
      <w:marTop w:val="0"/>
      <w:marBottom w:val="0"/>
      <w:divBdr>
        <w:top w:val="none" w:sz="0" w:space="0" w:color="auto"/>
        <w:left w:val="none" w:sz="0" w:space="0" w:color="auto"/>
        <w:bottom w:val="none" w:sz="0" w:space="0" w:color="auto"/>
        <w:right w:val="none" w:sz="0" w:space="0" w:color="auto"/>
      </w:divBdr>
    </w:div>
    <w:div w:id="581064018">
      <w:bodyDiv w:val="1"/>
      <w:marLeft w:val="0"/>
      <w:marRight w:val="0"/>
      <w:marTop w:val="0"/>
      <w:marBottom w:val="0"/>
      <w:divBdr>
        <w:top w:val="none" w:sz="0" w:space="0" w:color="auto"/>
        <w:left w:val="none" w:sz="0" w:space="0" w:color="auto"/>
        <w:bottom w:val="none" w:sz="0" w:space="0" w:color="auto"/>
        <w:right w:val="none" w:sz="0" w:space="0" w:color="auto"/>
      </w:divBdr>
    </w:div>
    <w:div w:id="581065063">
      <w:bodyDiv w:val="1"/>
      <w:marLeft w:val="0"/>
      <w:marRight w:val="0"/>
      <w:marTop w:val="0"/>
      <w:marBottom w:val="0"/>
      <w:divBdr>
        <w:top w:val="none" w:sz="0" w:space="0" w:color="auto"/>
        <w:left w:val="none" w:sz="0" w:space="0" w:color="auto"/>
        <w:bottom w:val="none" w:sz="0" w:space="0" w:color="auto"/>
        <w:right w:val="none" w:sz="0" w:space="0" w:color="auto"/>
      </w:divBdr>
    </w:div>
    <w:div w:id="581139471">
      <w:bodyDiv w:val="1"/>
      <w:marLeft w:val="0"/>
      <w:marRight w:val="0"/>
      <w:marTop w:val="0"/>
      <w:marBottom w:val="0"/>
      <w:divBdr>
        <w:top w:val="none" w:sz="0" w:space="0" w:color="auto"/>
        <w:left w:val="none" w:sz="0" w:space="0" w:color="auto"/>
        <w:bottom w:val="none" w:sz="0" w:space="0" w:color="auto"/>
        <w:right w:val="none" w:sz="0" w:space="0" w:color="auto"/>
      </w:divBdr>
    </w:div>
    <w:div w:id="581140130">
      <w:bodyDiv w:val="1"/>
      <w:marLeft w:val="0"/>
      <w:marRight w:val="0"/>
      <w:marTop w:val="0"/>
      <w:marBottom w:val="0"/>
      <w:divBdr>
        <w:top w:val="none" w:sz="0" w:space="0" w:color="auto"/>
        <w:left w:val="none" w:sz="0" w:space="0" w:color="auto"/>
        <w:bottom w:val="none" w:sz="0" w:space="0" w:color="auto"/>
        <w:right w:val="none" w:sz="0" w:space="0" w:color="auto"/>
      </w:divBdr>
    </w:div>
    <w:div w:id="581187429">
      <w:bodyDiv w:val="1"/>
      <w:marLeft w:val="0"/>
      <w:marRight w:val="0"/>
      <w:marTop w:val="0"/>
      <w:marBottom w:val="0"/>
      <w:divBdr>
        <w:top w:val="none" w:sz="0" w:space="0" w:color="auto"/>
        <w:left w:val="none" w:sz="0" w:space="0" w:color="auto"/>
        <w:bottom w:val="none" w:sz="0" w:space="0" w:color="auto"/>
        <w:right w:val="none" w:sz="0" w:space="0" w:color="auto"/>
      </w:divBdr>
    </w:div>
    <w:div w:id="581334772">
      <w:bodyDiv w:val="1"/>
      <w:marLeft w:val="0"/>
      <w:marRight w:val="0"/>
      <w:marTop w:val="0"/>
      <w:marBottom w:val="0"/>
      <w:divBdr>
        <w:top w:val="none" w:sz="0" w:space="0" w:color="auto"/>
        <w:left w:val="none" w:sz="0" w:space="0" w:color="auto"/>
        <w:bottom w:val="none" w:sz="0" w:space="0" w:color="auto"/>
        <w:right w:val="none" w:sz="0" w:space="0" w:color="auto"/>
      </w:divBdr>
    </w:div>
    <w:div w:id="581523965">
      <w:bodyDiv w:val="1"/>
      <w:marLeft w:val="0"/>
      <w:marRight w:val="0"/>
      <w:marTop w:val="0"/>
      <w:marBottom w:val="0"/>
      <w:divBdr>
        <w:top w:val="none" w:sz="0" w:space="0" w:color="auto"/>
        <w:left w:val="none" w:sz="0" w:space="0" w:color="auto"/>
        <w:bottom w:val="none" w:sz="0" w:space="0" w:color="auto"/>
        <w:right w:val="none" w:sz="0" w:space="0" w:color="auto"/>
      </w:divBdr>
    </w:div>
    <w:div w:id="581567998">
      <w:bodyDiv w:val="1"/>
      <w:marLeft w:val="0"/>
      <w:marRight w:val="0"/>
      <w:marTop w:val="0"/>
      <w:marBottom w:val="0"/>
      <w:divBdr>
        <w:top w:val="none" w:sz="0" w:space="0" w:color="auto"/>
        <w:left w:val="none" w:sz="0" w:space="0" w:color="auto"/>
        <w:bottom w:val="none" w:sz="0" w:space="0" w:color="auto"/>
        <w:right w:val="none" w:sz="0" w:space="0" w:color="auto"/>
      </w:divBdr>
    </w:div>
    <w:div w:id="581647761">
      <w:bodyDiv w:val="1"/>
      <w:marLeft w:val="0"/>
      <w:marRight w:val="0"/>
      <w:marTop w:val="0"/>
      <w:marBottom w:val="0"/>
      <w:divBdr>
        <w:top w:val="none" w:sz="0" w:space="0" w:color="auto"/>
        <w:left w:val="none" w:sz="0" w:space="0" w:color="auto"/>
        <w:bottom w:val="none" w:sz="0" w:space="0" w:color="auto"/>
        <w:right w:val="none" w:sz="0" w:space="0" w:color="auto"/>
      </w:divBdr>
    </w:div>
    <w:div w:id="581715438">
      <w:bodyDiv w:val="1"/>
      <w:marLeft w:val="0"/>
      <w:marRight w:val="0"/>
      <w:marTop w:val="0"/>
      <w:marBottom w:val="0"/>
      <w:divBdr>
        <w:top w:val="none" w:sz="0" w:space="0" w:color="auto"/>
        <w:left w:val="none" w:sz="0" w:space="0" w:color="auto"/>
        <w:bottom w:val="none" w:sz="0" w:space="0" w:color="auto"/>
        <w:right w:val="none" w:sz="0" w:space="0" w:color="auto"/>
      </w:divBdr>
    </w:div>
    <w:div w:id="581793544">
      <w:bodyDiv w:val="1"/>
      <w:marLeft w:val="0"/>
      <w:marRight w:val="0"/>
      <w:marTop w:val="0"/>
      <w:marBottom w:val="0"/>
      <w:divBdr>
        <w:top w:val="none" w:sz="0" w:space="0" w:color="auto"/>
        <w:left w:val="none" w:sz="0" w:space="0" w:color="auto"/>
        <w:bottom w:val="none" w:sz="0" w:space="0" w:color="auto"/>
        <w:right w:val="none" w:sz="0" w:space="0" w:color="auto"/>
      </w:divBdr>
    </w:div>
    <w:div w:id="581987339">
      <w:bodyDiv w:val="1"/>
      <w:marLeft w:val="0"/>
      <w:marRight w:val="0"/>
      <w:marTop w:val="0"/>
      <w:marBottom w:val="0"/>
      <w:divBdr>
        <w:top w:val="none" w:sz="0" w:space="0" w:color="auto"/>
        <w:left w:val="none" w:sz="0" w:space="0" w:color="auto"/>
        <w:bottom w:val="none" w:sz="0" w:space="0" w:color="auto"/>
        <w:right w:val="none" w:sz="0" w:space="0" w:color="auto"/>
      </w:divBdr>
    </w:div>
    <w:div w:id="581988047">
      <w:bodyDiv w:val="1"/>
      <w:marLeft w:val="0"/>
      <w:marRight w:val="0"/>
      <w:marTop w:val="0"/>
      <w:marBottom w:val="0"/>
      <w:divBdr>
        <w:top w:val="none" w:sz="0" w:space="0" w:color="auto"/>
        <w:left w:val="none" w:sz="0" w:space="0" w:color="auto"/>
        <w:bottom w:val="none" w:sz="0" w:space="0" w:color="auto"/>
        <w:right w:val="none" w:sz="0" w:space="0" w:color="auto"/>
      </w:divBdr>
    </w:div>
    <w:div w:id="582102777">
      <w:bodyDiv w:val="1"/>
      <w:marLeft w:val="0"/>
      <w:marRight w:val="0"/>
      <w:marTop w:val="0"/>
      <w:marBottom w:val="0"/>
      <w:divBdr>
        <w:top w:val="none" w:sz="0" w:space="0" w:color="auto"/>
        <w:left w:val="none" w:sz="0" w:space="0" w:color="auto"/>
        <w:bottom w:val="none" w:sz="0" w:space="0" w:color="auto"/>
        <w:right w:val="none" w:sz="0" w:space="0" w:color="auto"/>
      </w:divBdr>
    </w:div>
    <w:div w:id="582221914">
      <w:bodyDiv w:val="1"/>
      <w:marLeft w:val="0"/>
      <w:marRight w:val="0"/>
      <w:marTop w:val="0"/>
      <w:marBottom w:val="0"/>
      <w:divBdr>
        <w:top w:val="none" w:sz="0" w:space="0" w:color="auto"/>
        <w:left w:val="none" w:sz="0" w:space="0" w:color="auto"/>
        <w:bottom w:val="none" w:sz="0" w:space="0" w:color="auto"/>
        <w:right w:val="none" w:sz="0" w:space="0" w:color="auto"/>
      </w:divBdr>
    </w:div>
    <w:div w:id="582371353">
      <w:bodyDiv w:val="1"/>
      <w:marLeft w:val="0"/>
      <w:marRight w:val="0"/>
      <w:marTop w:val="0"/>
      <w:marBottom w:val="0"/>
      <w:divBdr>
        <w:top w:val="none" w:sz="0" w:space="0" w:color="auto"/>
        <w:left w:val="none" w:sz="0" w:space="0" w:color="auto"/>
        <w:bottom w:val="none" w:sz="0" w:space="0" w:color="auto"/>
        <w:right w:val="none" w:sz="0" w:space="0" w:color="auto"/>
      </w:divBdr>
    </w:div>
    <w:div w:id="582373039">
      <w:bodyDiv w:val="1"/>
      <w:marLeft w:val="0"/>
      <w:marRight w:val="0"/>
      <w:marTop w:val="0"/>
      <w:marBottom w:val="0"/>
      <w:divBdr>
        <w:top w:val="none" w:sz="0" w:space="0" w:color="auto"/>
        <w:left w:val="none" w:sz="0" w:space="0" w:color="auto"/>
        <w:bottom w:val="none" w:sz="0" w:space="0" w:color="auto"/>
        <w:right w:val="none" w:sz="0" w:space="0" w:color="auto"/>
      </w:divBdr>
    </w:div>
    <w:div w:id="582689861">
      <w:bodyDiv w:val="1"/>
      <w:marLeft w:val="0"/>
      <w:marRight w:val="0"/>
      <w:marTop w:val="0"/>
      <w:marBottom w:val="0"/>
      <w:divBdr>
        <w:top w:val="none" w:sz="0" w:space="0" w:color="auto"/>
        <w:left w:val="none" w:sz="0" w:space="0" w:color="auto"/>
        <w:bottom w:val="none" w:sz="0" w:space="0" w:color="auto"/>
        <w:right w:val="none" w:sz="0" w:space="0" w:color="auto"/>
      </w:divBdr>
    </w:div>
    <w:div w:id="582839169">
      <w:bodyDiv w:val="1"/>
      <w:marLeft w:val="0"/>
      <w:marRight w:val="0"/>
      <w:marTop w:val="0"/>
      <w:marBottom w:val="0"/>
      <w:divBdr>
        <w:top w:val="none" w:sz="0" w:space="0" w:color="auto"/>
        <w:left w:val="none" w:sz="0" w:space="0" w:color="auto"/>
        <w:bottom w:val="none" w:sz="0" w:space="0" w:color="auto"/>
        <w:right w:val="none" w:sz="0" w:space="0" w:color="auto"/>
      </w:divBdr>
    </w:div>
    <w:div w:id="582883016">
      <w:bodyDiv w:val="1"/>
      <w:marLeft w:val="0"/>
      <w:marRight w:val="0"/>
      <w:marTop w:val="0"/>
      <w:marBottom w:val="0"/>
      <w:divBdr>
        <w:top w:val="none" w:sz="0" w:space="0" w:color="auto"/>
        <w:left w:val="none" w:sz="0" w:space="0" w:color="auto"/>
        <w:bottom w:val="none" w:sz="0" w:space="0" w:color="auto"/>
        <w:right w:val="none" w:sz="0" w:space="0" w:color="auto"/>
      </w:divBdr>
    </w:div>
    <w:div w:id="582883968">
      <w:bodyDiv w:val="1"/>
      <w:marLeft w:val="0"/>
      <w:marRight w:val="0"/>
      <w:marTop w:val="0"/>
      <w:marBottom w:val="0"/>
      <w:divBdr>
        <w:top w:val="none" w:sz="0" w:space="0" w:color="auto"/>
        <w:left w:val="none" w:sz="0" w:space="0" w:color="auto"/>
        <w:bottom w:val="none" w:sz="0" w:space="0" w:color="auto"/>
        <w:right w:val="none" w:sz="0" w:space="0" w:color="auto"/>
      </w:divBdr>
    </w:div>
    <w:div w:id="583031990">
      <w:bodyDiv w:val="1"/>
      <w:marLeft w:val="0"/>
      <w:marRight w:val="0"/>
      <w:marTop w:val="0"/>
      <w:marBottom w:val="0"/>
      <w:divBdr>
        <w:top w:val="none" w:sz="0" w:space="0" w:color="auto"/>
        <w:left w:val="none" w:sz="0" w:space="0" w:color="auto"/>
        <w:bottom w:val="none" w:sz="0" w:space="0" w:color="auto"/>
        <w:right w:val="none" w:sz="0" w:space="0" w:color="auto"/>
      </w:divBdr>
    </w:div>
    <w:div w:id="583151992">
      <w:bodyDiv w:val="1"/>
      <w:marLeft w:val="0"/>
      <w:marRight w:val="0"/>
      <w:marTop w:val="0"/>
      <w:marBottom w:val="0"/>
      <w:divBdr>
        <w:top w:val="none" w:sz="0" w:space="0" w:color="auto"/>
        <w:left w:val="none" w:sz="0" w:space="0" w:color="auto"/>
        <w:bottom w:val="none" w:sz="0" w:space="0" w:color="auto"/>
        <w:right w:val="none" w:sz="0" w:space="0" w:color="auto"/>
      </w:divBdr>
    </w:div>
    <w:div w:id="583226545">
      <w:bodyDiv w:val="1"/>
      <w:marLeft w:val="0"/>
      <w:marRight w:val="0"/>
      <w:marTop w:val="0"/>
      <w:marBottom w:val="0"/>
      <w:divBdr>
        <w:top w:val="none" w:sz="0" w:space="0" w:color="auto"/>
        <w:left w:val="none" w:sz="0" w:space="0" w:color="auto"/>
        <w:bottom w:val="none" w:sz="0" w:space="0" w:color="auto"/>
        <w:right w:val="none" w:sz="0" w:space="0" w:color="auto"/>
      </w:divBdr>
    </w:div>
    <w:div w:id="583493684">
      <w:bodyDiv w:val="1"/>
      <w:marLeft w:val="0"/>
      <w:marRight w:val="0"/>
      <w:marTop w:val="0"/>
      <w:marBottom w:val="0"/>
      <w:divBdr>
        <w:top w:val="none" w:sz="0" w:space="0" w:color="auto"/>
        <w:left w:val="none" w:sz="0" w:space="0" w:color="auto"/>
        <w:bottom w:val="none" w:sz="0" w:space="0" w:color="auto"/>
        <w:right w:val="none" w:sz="0" w:space="0" w:color="auto"/>
      </w:divBdr>
    </w:div>
    <w:div w:id="583494727">
      <w:bodyDiv w:val="1"/>
      <w:marLeft w:val="0"/>
      <w:marRight w:val="0"/>
      <w:marTop w:val="0"/>
      <w:marBottom w:val="0"/>
      <w:divBdr>
        <w:top w:val="none" w:sz="0" w:space="0" w:color="auto"/>
        <w:left w:val="none" w:sz="0" w:space="0" w:color="auto"/>
        <w:bottom w:val="none" w:sz="0" w:space="0" w:color="auto"/>
        <w:right w:val="none" w:sz="0" w:space="0" w:color="auto"/>
      </w:divBdr>
    </w:div>
    <w:div w:id="583495767">
      <w:bodyDiv w:val="1"/>
      <w:marLeft w:val="0"/>
      <w:marRight w:val="0"/>
      <w:marTop w:val="0"/>
      <w:marBottom w:val="0"/>
      <w:divBdr>
        <w:top w:val="none" w:sz="0" w:space="0" w:color="auto"/>
        <w:left w:val="none" w:sz="0" w:space="0" w:color="auto"/>
        <w:bottom w:val="none" w:sz="0" w:space="0" w:color="auto"/>
        <w:right w:val="none" w:sz="0" w:space="0" w:color="auto"/>
      </w:divBdr>
    </w:div>
    <w:div w:id="583536325">
      <w:bodyDiv w:val="1"/>
      <w:marLeft w:val="0"/>
      <w:marRight w:val="0"/>
      <w:marTop w:val="0"/>
      <w:marBottom w:val="0"/>
      <w:divBdr>
        <w:top w:val="none" w:sz="0" w:space="0" w:color="auto"/>
        <w:left w:val="none" w:sz="0" w:space="0" w:color="auto"/>
        <w:bottom w:val="none" w:sz="0" w:space="0" w:color="auto"/>
        <w:right w:val="none" w:sz="0" w:space="0" w:color="auto"/>
      </w:divBdr>
    </w:div>
    <w:div w:id="583688011">
      <w:bodyDiv w:val="1"/>
      <w:marLeft w:val="0"/>
      <w:marRight w:val="0"/>
      <w:marTop w:val="0"/>
      <w:marBottom w:val="0"/>
      <w:divBdr>
        <w:top w:val="none" w:sz="0" w:space="0" w:color="auto"/>
        <w:left w:val="none" w:sz="0" w:space="0" w:color="auto"/>
        <w:bottom w:val="none" w:sz="0" w:space="0" w:color="auto"/>
        <w:right w:val="none" w:sz="0" w:space="0" w:color="auto"/>
      </w:divBdr>
    </w:div>
    <w:div w:id="583688287">
      <w:bodyDiv w:val="1"/>
      <w:marLeft w:val="0"/>
      <w:marRight w:val="0"/>
      <w:marTop w:val="0"/>
      <w:marBottom w:val="0"/>
      <w:divBdr>
        <w:top w:val="none" w:sz="0" w:space="0" w:color="auto"/>
        <w:left w:val="none" w:sz="0" w:space="0" w:color="auto"/>
        <w:bottom w:val="none" w:sz="0" w:space="0" w:color="auto"/>
        <w:right w:val="none" w:sz="0" w:space="0" w:color="auto"/>
      </w:divBdr>
    </w:div>
    <w:div w:id="583761775">
      <w:bodyDiv w:val="1"/>
      <w:marLeft w:val="0"/>
      <w:marRight w:val="0"/>
      <w:marTop w:val="0"/>
      <w:marBottom w:val="0"/>
      <w:divBdr>
        <w:top w:val="none" w:sz="0" w:space="0" w:color="auto"/>
        <w:left w:val="none" w:sz="0" w:space="0" w:color="auto"/>
        <w:bottom w:val="none" w:sz="0" w:space="0" w:color="auto"/>
        <w:right w:val="none" w:sz="0" w:space="0" w:color="auto"/>
      </w:divBdr>
    </w:div>
    <w:div w:id="583926049">
      <w:bodyDiv w:val="1"/>
      <w:marLeft w:val="0"/>
      <w:marRight w:val="0"/>
      <w:marTop w:val="0"/>
      <w:marBottom w:val="0"/>
      <w:divBdr>
        <w:top w:val="none" w:sz="0" w:space="0" w:color="auto"/>
        <w:left w:val="none" w:sz="0" w:space="0" w:color="auto"/>
        <w:bottom w:val="none" w:sz="0" w:space="0" w:color="auto"/>
        <w:right w:val="none" w:sz="0" w:space="0" w:color="auto"/>
      </w:divBdr>
    </w:div>
    <w:div w:id="583997443">
      <w:bodyDiv w:val="1"/>
      <w:marLeft w:val="0"/>
      <w:marRight w:val="0"/>
      <w:marTop w:val="0"/>
      <w:marBottom w:val="0"/>
      <w:divBdr>
        <w:top w:val="none" w:sz="0" w:space="0" w:color="auto"/>
        <w:left w:val="none" w:sz="0" w:space="0" w:color="auto"/>
        <w:bottom w:val="none" w:sz="0" w:space="0" w:color="auto"/>
        <w:right w:val="none" w:sz="0" w:space="0" w:color="auto"/>
      </w:divBdr>
    </w:div>
    <w:div w:id="583997552">
      <w:bodyDiv w:val="1"/>
      <w:marLeft w:val="0"/>
      <w:marRight w:val="0"/>
      <w:marTop w:val="0"/>
      <w:marBottom w:val="0"/>
      <w:divBdr>
        <w:top w:val="none" w:sz="0" w:space="0" w:color="auto"/>
        <w:left w:val="none" w:sz="0" w:space="0" w:color="auto"/>
        <w:bottom w:val="none" w:sz="0" w:space="0" w:color="auto"/>
        <w:right w:val="none" w:sz="0" w:space="0" w:color="auto"/>
      </w:divBdr>
    </w:div>
    <w:div w:id="584001597">
      <w:bodyDiv w:val="1"/>
      <w:marLeft w:val="0"/>
      <w:marRight w:val="0"/>
      <w:marTop w:val="0"/>
      <w:marBottom w:val="0"/>
      <w:divBdr>
        <w:top w:val="none" w:sz="0" w:space="0" w:color="auto"/>
        <w:left w:val="none" w:sz="0" w:space="0" w:color="auto"/>
        <w:bottom w:val="none" w:sz="0" w:space="0" w:color="auto"/>
        <w:right w:val="none" w:sz="0" w:space="0" w:color="auto"/>
      </w:divBdr>
    </w:div>
    <w:div w:id="584149351">
      <w:bodyDiv w:val="1"/>
      <w:marLeft w:val="0"/>
      <w:marRight w:val="0"/>
      <w:marTop w:val="0"/>
      <w:marBottom w:val="0"/>
      <w:divBdr>
        <w:top w:val="none" w:sz="0" w:space="0" w:color="auto"/>
        <w:left w:val="none" w:sz="0" w:space="0" w:color="auto"/>
        <w:bottom w:val="none" w:sz="0" w:space="0" w:color="auto"/>
        <w:right w:val="none" w:sz="0" w:space="0" w:color="auto"/>
      </w:divBdr>
    </w:div>
    <w:div w:id="584149776">
      <w:bodyDiv w:val="1"/>
      <w:marLeft w:val="0"/>
      <w:marRight w:val="0"/>
      <w:marTop w:val="0"/>
      <w:marBottom w:val="0"/>
      <w:divBdr>
        <w:top w:val="none" w:sz="0" w:space="0" w:color="auto"/>
        <w:left w:val="none" w:sz="0" w:space="0" w:color="auto"/>
        <w:bottom w:val="none" w:sz="0" w:space="0" w:color="auto"/>
        <w:right w:val="none" w:sz="0" w:space="0" w:color="auto"/>
      </w:divBdr>
    </w:div>
    <w:div w:id="584152964">
      <w:bodyDiv w:val="1"/>
      <w:marLeft w:val="0"/>
      <w:marRight w:val="0"/>
      <w:marTop w:val="0"/>
      <w:marBottom w:val="0"/>
      <w:divBdr>
        <w:top w:val="none" w:sz="0" w:space="0" w:color="auto"/>
        <w:left w:val="none" w:sz="0" w:space="0" w:color="auto"/>
        <w:bottom w:val="none" w:sz="0" w:space="0" w:color="auto"/>
        <w:right w:val="none" w:sz="0" w:space="0" w:color="auto"/>
      </w:divBdr>
    </w:div>
    <w:div w:id="584190548">
      <w:bodyDiv w:val="1"/>
      <w:marLeft w:val="0"/>
      <w:marRight w:val="0"/>
      <w:marTop w:val="0"/>
      <w:marBottom w:val="0"/>
      <w:divBdr>
        <w:top w:val="none" w:sz="0" w:space="0" w:color="auto"/>
        <w:left w:val="none" w:sz="0" w:space="0" w:color="auto"/>
        <w:bottom w:val="none" w:sz="0" w:space="0" w:color="auto"/>
        <w:right w:val="none" w:sz="0" w:space="0" w:color="auto"/>
      </w:divBdr>
    </w:div>
    <w:div w:id="584194196">
      <w:bodyDiv w:val="1"/>
      <w:marLeft w:val="0"/>
      <w:marRight w:val="0"/>
      <w:marTop w:val="0"/>
      <w:marBottom w:val="0"/>
      <w:divBdr>
        <w:top w:val="none" w:sz="0" w:space="0" w:color="auto"/>
        <w:left w:val="none" w:sz="0" w:space="0" w:color="auto"/>
        <w:bottom w:val="none" w:sz="0" w:space="0" w:color="auto"/>
        <w:right w:val="none" w:sz="0" w:space="0" w:color="auto"/>
      </w:divBdr>
    </w:div>
    <w:div w:id="584265108">
      <w:bodyDiv w:val="1"/>
      <w:marLeft w:val="0"/>
      <w:marRight w:val="0"/>
      <w:marTop w:val="0"/>
      <w:marBottom w:val="0"/>
      <w:divBdr>
        <w:top w:val="none" w:sz="0" w:space="0" w:color="auto"/>
        <w:left w:val="none" w:sz="0" w:space="0" w:color="auto"/>
        <w:bottom w:val="none" w:sz="0" w:space="0" w:color="auto"/>
        <w:right w:val="none" w:sz="0" w:space="0" w:color="auto"/>
      </w:divBdr>
    </w:div>
    <w:div w:id="584386830">
      <w:bodyDiv w:val="1"/>
      <w:marLeft w:val="0"/>
      <w:marRight w:val="0"/>
      <w:marTop w:val="0"/>
      <w:marBottom w:val="0"/>
      <w:divBdr>
        <w:top w:val="none" w:sz="0" w:space="0" w:color="auto"/>
        <w:left w:val="none" w:sz="0" w:space="0" w:color="auto"/>
        <w:bottom w:val="none" w:sz="0" w:space="0" w:color="auto"/>
        <w:right w:val="none" w:sz="0" w:space="0" w:color="auto"/>
      </w:divBdr>
    </w:div>
    <w:div w:id="584532325">
      <w:bodyDiv w:val="1"/>
      <w:marLeft w:val="0"/>
      <w:marRight w:val="0"/>
      <w:marTop w:val="0"/>
      <w:marBottom w:val="0"/>
      <w:divBdr>
        <w:top w:val="none" w:sz="0" w:space="0" w:color="auto"/>
        <w:left w:val="none" w:sz="0" w:space="0" w:color="auto"/>
        <w:bottom w:val="none" w:sz="0" w:space="0" w:color="auto"/>
        <w:right w:val="none" w:sz="0" w:space="0" w:color="auto"/>
      </w:divBdr>
    </w:div>
    <w:div w:id="584533717">
      <w:bodyDiv w:val="1"/>
      <w:marLeft w:val="0"/>
      <w:marRight w:val="0"/>
      <w:marTop w:val="0"/>
      <w:marBottom w:val="0"/>
      <w:divBdr>
        <w:top w:val="none" w:sz="0" w:space="0" w:color="auto"/>
        <w:left w:val="none" w:sz="0" w:space="0" w:color="auto"/>
        <w:bottom w:val="none" w:sz="0" w:space="0" w:color="auto"/>
        <w:right w:val="none" w:sz="0" w:space="0" w:color="auto"/>
      </w:divBdr>
    </w:div>
    <w:div w:id="584656146">
      <w:bodyDiv w:val="1"/>
      <w:marLeft w:val="0"/>
      <w:marRight w:val="0"/>
      <w:marTop w:val="0"/>
      <w:marBottom w:val="0"/>
      <w:divBdr>
        <w:top w:val="none" w:sz="0" w:space="0" w:color="auto"/>
        <w:left w:val="none" w:sz="0" w:space="0" w:color="auto"/>
        <w:bottom w:val="none" w:sz="0" w:space="0" w:color="auto"/>
        <w:right w:val="none" w:sz="0" w:space="0" w:color="auto"/>
      </w:divBdr>
    </w:div>
    <w:div w:id="584727397">
      <w:bodyDiv w:val="1"/>
      <w:marLeft w:val="0"/>
      <w:marRight w:val="0"/>
      <w:marTop w:val="0"/>
      <w:marBottom w:val="0"/>
      <w:divBdr>
        <w:top w:val="none" w:sz="0" w:space="0" w:color="auto"/>
        <w:left w:val="none" w:sz="0" w:space="0" w:color="auto"/>
        <w:bottom w:val="none" w:sz="0" w:space="0" w:color="auto"/>
        <w:right w:val="none" w:sz="0" w:space="0" w:color="auto"/>
      </w:divBdr>
    </w:div>
    <w:div w:id="584843514">
      <w:bodyDiv w:val="1"/>
      <w:marLeft w:val="0"/>
      <w:marRight w:val="0"/>
      <w:marTop w:val="0"/>
      <w:marBottom w:val="0"/>
      <w:divBdr>
        <w:top w:val="none" w:sz="0" w:space="0" w:color="auto"/>
        <w:left w:val="none" w:sz="0" w:space="0" w:color="auto"/>
        <w:bottom w:val="none" w:sz="0" w:space="0" w:color="auto"/>
        <w:right w:val="none" w:sz="0" w:space="0" w:color="auto"/>
      </w:divBdr>
    </w:div>
    <w:div w:id="584918645">
      <w:bodyDiv w:val="1"/>
      <w:marLeft w:val="0"/>
      <w:marRight w:val="0"/>
      <w:marTop w:val="0"/>
      <w:marBottom w:val="0"/>
      <w:divBdr>
        <w:top w:val="none" w:sz="0" w:space="0" w:color="auto"/>
        <w:left w:val="none" w:sz="0" w:space="0" w:color="auto"/>
        <w:bottom w:val="none" w:sz="0" w:space="0" w:color="auto"/>
        <w:right w:val="none" w:sz="0" w:space="0" w:color="auto"/>
      </w:divBdr>
    </w:div>
    <w:div w:id="584994707">
      <w:bodyDiv w:val="1"/>
      <w:marLeft w:val="0"/>
      <w:marRight w:val="0"/>
      <w:marTop w:val="0"/>
      <w:marBottom w:val="0"/>
      <w:divBdr>
        <w:top w:val="none" w:sz="0" w:space="0" w:color="auto"/>
        <w:left w:val="none" w:sz="0" w:space="0" w:color="auto"/>
        <w:bottom w:val="none" w:sz="0" w:space="0" w:color="auto"/>
        <w:right w:val="none" w:sz="0" w:space="0" w:color="auto"/>
      </w:divBdr>
    </w:div>
    <w:div w:id="585042375">
      <w:bodyDiv w:val="1"/>
      <w:marLeft w:val="0"/>
      <w:marRight w:val="0"/>
      <w:marTop w:val="0"/>
      <w:marBottom w:val="0"/>
      <w:divBdr>
        <w:top w:val="none" w:sz="0" w:space="0" w:color="auto"/>
        <w:left w:val="none" w:sz="0" w:space="0" w:color="auto"/>
        <w:bottom w:val="none" w:sz="0" w:space="0" w:color="auto"/>
        <w:right w:val="none" w:sz="0" w:space="0" w:color="auto"/>
      </w:divBdr>
    </w:div>
    <w:div w:id="585072553">
      <w:bodyDiv w:val="1"/>
      <w:marLeft w:val="0"/>
      <w:marRight w:val="0"/>
      <w:marTop w:val="0"/>
      <w:marBottom w:val="0"/>
      <w:divBdr>
        <w:top w:val="none" w:sz="0" w:space="0" w:color="auto"/>
        <w:left w:val="none" w:sz="0" w:space="0" w:color="auto"/>
        <w:bottom w:val="none" w:sz="0" w:space="0" w:color="auto"/>
        <w:right w:val="none" w:sz="0" w:space="0" w:color="auto"/>
      </w:divBdr>
    </w:div>
    <w:div w:id="585113374">
      <w:bodyDiv w:val="1"/>
      <w:marLeft w:val="0"/>
      <w:marRight w:val="0"/>
      <w:marTop w:val="0"/>
      <w:marBottom w:val="0"/>
      <w:divBdr>
        <w:top w:val="none" w:sz="0" w:space="0" w:color="auto"/>
        <w:left w:val="none" w:sz="0" w:space="0" w:color="auto"/>
        <w:bottom w:val="none" w:sz="0" w:space="0" w:color="auto"/>
        <w:right w:val="none" w:sz="0" w:space="0" w:color="auto"/>
      </w:divBdr>
    </w:div>
    <w:div w:id="585114215">
      <w:bodyDiv w:val="1"/>
      <w:marLeft w:val="0"/>
      <w:marRight w:val="0"/>
      <w:marTop w:val="0"/>
      <w:marBottom w:val="0"/>
      <w:divBdr>
        <w:top w:val="none" w:sz="0" w:space="0" w:color="auto"/>
        <w:left w:val="none" w:sz="0" w:space="0" w:color="auto"/>
        <w:bottom w:val="none" w:sz="0" w:space="0" w:color="auto"/>
        <w:right w:val="none" w:sz="0" w:space="0" w:color="auto"/>
      </w:divBdr>
    </w:div>
    <w:div w:id="585260672">
      <w:bodyDiv w:val="1"/>
      <w:marLeft w:val="0"/>
      <w:marRight w:val="0"/>
      <w:marTop w:val="0"/>
      <w:marBottom w:val="0"/>
      <w:divBdr>
        <w:top w:val="none" w:sz="0" w:space="0" w:color="auto"/>
        <w:left w:val="none" w:sz="0" w:space="0" w:color="auto"/>
        <w:bottom w:val="none" w:sz="0" w:space="0" w:color="auto"/>
        <w:right w:val="none" w:sz="0" w:space="0" w:color="auto"/>
      </w:divBdr>
    </w:div>
    <w:div w:id="585261454">
      <w:bodyDiv w:val="1"/>
      <w:marLeft w:val="0"/>
      <w:marRight w:val="0"/>
      <w:marTop w:val="0"/>
      <w:marBottom w:val="0"/>
      <w:divBdr>
        <w:top w:val="none" w:sz="0" w:space="0" w:color="auto"/>
        <w:left w:val="none" w:sz="0" w:space="0" w:color="auto"/>
        <w:bottom w:val="none" w:sz="0" w:space="0" w:color="auto"/>
        <w:right w:val="none" w:sz="0" w:space="0" w:color="auto"/>
      </w:divBdr>
    </w:div>
    <w:div w:id="585265306">
      <w:bodyDiv w:val="1"/>
      <w:marLeft w:val="0"/>
      <w:marRight w:val="0"/>
      <w:marTop w:val="0"/>
      <w:marBottom w:val="0"/>
      <w:divBdr>
        <w:top w:val="none" w:sz="0" w:space="0" w:color="auto"/>
        <w:left w:val="none" w:sz="0" w:space="0" w:color="auto"/>
        <w:bottom w:val="none" w:sz="0" w:space="0" w:color="auto"/>
        <w:right w:val="none" w:sz="0" w:space="0" w:color="auto"/>
      </w:divBdr>
    </w:div>
    <w:div w:id="585268912">
      <w:bodyDiv w:val="1"/>
      <w:marLeft w:val="0"/>
      <w:marRight w:val="0"/>
      <w:marTop w:val="0"/>
      <w:marBottom w:val="0"/>
      <w:divBdr>
        <w:top w:val="none" w:sz="0" w:space="0" w:color="auto"/>
        <w:left w:val="none" w:sz="0" w:space="0" w:color="auto"/>
        <w:bottom w:val="none" w:sz="0" w:space="0" w:color="auto"/>
        <w:right w:val="none" w:sz="0" w:space="0" w:color="auto"/>
      </w:divBdr>
    </w:div>
    <w:div w:id="585383655">
      <w:bodyDiv w:val="1"/>
      <w:marLeft w:val="0"/>
      <w:marRight w:val="0"/>
      <w:marTop w:val="0"/>
      <w:marBottom w:val="0"/>
      <w:divBdr>
        <w:top w:val="none" w:sz="0" w:space="0" w:color="auto"/>
        <w:left w:val="none" w:sz="0" w:space="0" w:color="auto"/>
        <w:bottom w:val="none" w:sz="0" w:space="0" w:color="auto"/>
        <w:right w:val="none" w:sz="0" w:space="0" w:color="auto"/>
      </w:divBdr>
    </w:div>
    <w:div w:id="585457057">
      <w:bodyDiv w:val="1"/>
      <w:marLeft w:val="0"/>
      <w:marRight w:val="0"/>
      <w:marTop w:val="0"/>
      <w:marBottom w:val="0"/>
      <w:divBdr>
        <w:top w:val="none" w:sz="0" w:space="0" w:color="auto"/>
        <w:left w:val="none" w:sz="0" w:space="0" w:color="auto"/>
        <w:bottom w:val="none" w:sz="0" w:space="0" w:color="auto"/>
        <w:right w:val="none" w:sz="0" w:space="0" w:color="auto"/>
      </w:divBdr>
    </w:div>
    <w:div w:id="585460916">
      <w:bodyDiv w:val="1"/>
      <w:marLeft w:val="0"/>
      <w:marRight w:val="0"/>
      <w:marTop w:val="0"/>
      <w:marBottom w:val="0"/>
      <w:divBdr>
        <w:top w:val="none" w:sz="0" w:space="0" w:color="auto"/>
        <w:left w:val="none" w:sz="0" w:space="0" w:color="auto"/>
        <w:bottom w:val="none" w:sz="0" w:space="0" w:color="auto"/>
        <w:right w:val="none" w:sz="0" w:space="0" w:color="auto"/>
      </w:divBdr>
    </w:div>
    <w:div w:id="585462203">
      <w:bodyDiv w:val="1"/>
      <w:marLeft w:val="0"/>
      <w:marRight w:val="0"/>
      <w:marTop w:val="0"/>
      <w:marBottom w:val="0"/>
      <w:divBdr>
        <w:top w:val="none" w:sz="0" w:space="0" w:color="auto"/>
        <w:left w:val="none" w:sz="0" w:space="0" w:color="auto"/>
        <w:bottom w:val="none" w:sz="0" w:space="0" w:color="auto"/>
        <w:right w:val="none" w:sz="0" w:space="0" w:color="auto"/>
      </w:divBdr>
    </w:div>
    <w:div w:id="585580361">
      <w:bodyDiv w:val="1"/>
      <w:marLeft w:val="0"/>
      <w:marRight w:val="0"/>
      <w:marTop w:val="0"/>
      <w:marBottom w:val="0"/>
      <w:divBdr>
        <w:top w:val="none" w:sz="0" w:space="0" w:color="auto"/>
        <w:left w:val="none" w:sz="0" w:space="0" w:color="auto"/>
        <w:bottom w:val="none" w:sz="0" w:space="0" w:color="auto"/>
        <w:right w:val="none" w:sz="0" w:space="0" w:color="auto"/>
      </w:divBdr>
    </w:div>
    <w:div w:id="585655645">
      <w:bodyDiv w:val="1"/>
      <w:marLeft w:val="0"/>
      <w:marRight w:val="0"/>
      <w:marTop w:val="0"/>
      <w:marBottom w:val="0"/>
      <w:divBdr>
        <w:top w:val="none" w:sz="0" w:space="0" w:color="auto"/>
        <w:left w:val="none" w:sz="0" w:space="0" w:color="auto"/>
        <w:bottom w:val="none" w:sz="0" w:space="0" w:color="auto"/>
        <w:right w:val="none" w:sz="0" w:space="0" w:color="auto"/>
      </w:divBdr>
    </w:div>
    <w:div w:id="585916662">
      <w:bodyDiv w:val="1"/>
      <w:marLeft w:val="0"/>
      <w:marRight w:val="0"/>
      <w:marTop w:val="0"/>
      <w:marBottom w:val="0"/>
      <w:divBdr>
        <w:top w:val="none" w:sz="0" w:space="0" w:color="auto"/>
        <w:left w:val="none" w:sz="0" w:space="0" w:color="auto"/>
        <w:bottom w:val="none" w:sz="0" w:space="0" w:color="auto"/>
        <w:right w:val="none" w:sz="0" w:space="0" w:color="auto"/>
      </w:divBdr>
    </w:div>
    <w:div w:id="585967665">
      <w:bodyDiv w:val="1"/>
      <w:marLeft w:val="0"/>
      <w:marRight w:val="0"/>
      <w:marTop w:val="0"/>
      <w:marBottom w:val="0"/>
      <w:divBdr>
        <w:top w:val="none" w:sz="0" w:space="0" w:color="auto"/>
        <w:left w:val="none" w:sz="0" w:space="0" w:color="auto"/>
        <w:bottom w:val="none" w:sz="0" w:space="0" w:color="auto"/>
        <w:right w:val="none" w:sz="0" w:space="0" w:color="auto"/>
      </w:divBdr>
    </w:div>
    <w:div w:id="586116511">
      <w:bodyDiv w:val="1"/>
      <w:marLeft w:val="0"/>
      <w:marRight w:val="0"/>
      <w:marTop w:val="0"/>
      <w:marBottom w:val="0"/>
      <w:divBdr>
        <w:top w:val="none" w:sz="0" w:space="0" w:color="auto"/>
        <w:left w:val="none" w:sz="0" w:space="0" w:color="auto"/>
        <w:bottom w:val="none" w:sz="0" w:space="0" w:color="auto"/>
        <w:right w:val="none" w:sz="0" w:space="0" w:color="auto"/>
      </w:divBdr>
    </w:div>
    <w:div w:id="586154949">
      <w:bodyDiv w:val="1"/>
      <w:marLeft w:val="0"/>
      <w:marRight w:val="0"/>
      <w:marTop w:val="0"/>
      <w:marBottom w:val="0"/>
      <w:divBdr>
        <w:top w:val="none" w:sz="0" w:space="0" w:color="auto"/>
        <w:left w:val="none" w:sz="0" w:space="0" w:color="auto"/>
        <w:bottom w:val="none" w:sz="0" w:space="0" w:color="auto"/>
        <w:right w:val="none" w:sz="0" w:space="0" w:color="auto"/>
      </w:divBdr>
    </w:div>
    <w:div w:id="586497490">
      <w:bodyDiv w:val="1"/>
      <w:marLeft w:val="0"/>
      <w:marRight w:val="0"/>
      <w:marTop w:val="0"/>
      <w:marBottom w:val="0"/>
      <w:divBdr>
        <w:top w:val="none" w:sz="0" w:space="0" w:color="auto"/>
        <w:left w:val="none" w:sz="0" w:space="0" w:color="auto"/>
        <w:bottom w:val="none" w:sz="0" w:space="0" w:color="auto"/>
        <w:right w:val="none" w:sz="0" w:space="0" w:color="auto"/>
      </w:divBdr>
    </w:div>
    <w:div w:id="586505252">
      <w:bodyDiv w:val="1"/>
      <w:marLeft w:val="0"/>
      <w:marRight w:val="0"/>
      <w:marTop w:val="0"/>
      <w:marBottom w:val="0"/>
      <w:divBdr>
        <w:top w:val="none" w:sz="0" w:space="0" w:color="auto"/>
        <w:left w:val="none" w:sz="0" w:space="0" w:color="auto"/>
        <w:bottom w:val="none" w:sz="0" w:space="0" w:color="auto"/>
        <w:right w:val="none" w:sz="0" w:space="0" w:color="auto"/>
      </w:divBdr>
    </w:div>
    <w:div w:id="586621099">
      <w:bodyDiv w:val="1"/>
      <w:marLeft w:val="0"/>
      <w:marRight w:val="0"/>
      <w:marTop w:val="0"/>
      <w:marBottom w:val="0"/>
      <w:divBdr>
        <w:top w:val="none" w:sz="0" w:space="0" w:color="auto"/>
        <w:left w:val="none" w:sz="0" w:space="0" w:color="auto"/>
        <w:bottom w:val="none" w:sz="0" w:space="0" w:color="auto"/>
        <w:right w:val="none" w:sz="0" w:space="0" w:color="auto"/>
      </w:divBdr>
    </w:div>
    <w:div w:id="586690604">
      <w:bodyDiv w:val="1"/>
      <w:marLeft w:val="0"/>
      <w:marRight w:val="0"/>
      <w:marTop w:val="0"/>
      <w:marBottom w:val="0"/>
      <w:divBdr>
        <w:top w:val="none" w:sz="0" w:space="0" w:color="auto"/>
        <w:left w:val="none" w:sz="0" w:space="0" w:color="auto"/>
        <w:bottom w:val="none" w:sz="0" w:space="0" w:color="auto"/>
        <w:right w:val="none" w:sz="0" w:space="0" w:color="auto"/>
      </w:divBdr>
    </w:div>
    <w:div w:id="586770468">
      <w:bodyDiv w:val="1"/>
      <w:marLeft w:val="0"/>
      <w:marRight w:val="0"/>
      <w:marTop w:val="0"/>
      <w:marBottom w:val="0"/>
      <w:divBdr>
        <w:top w:val="none" w:sz="0" w:space="0" w:color="auto"/>
        <w:left w:val="none" w:sz="0" w:space="0" w:color="auto"/>
        <w:bottom w:val="none" w:sz="0" w:space="0" w:color="auto"/>
        <w:right w:val="none" w:sz="0" w:space="0" w:color="auto"/>
      </w:divBdr>
    </w:div>
    <w:div w:id="586812110">
      <w:bodyDiv w:val="1"/>
      <w:marLeft w:val="0"/>
      <w:marRight w:val="0"/>
      <w:marTop w:val="0"/>
      <w:marBottom w:val="0"/>
      <w:divBdr>
        <w:top w:val="none" w:sz="0" w:space="0" w:color="auto"/>
        <w:left w:val="none" w:sz="0" w:space="0" w:color="auto"/>
        <w:bottom w:val="none" w:sz="0" w:space="0" w:color="auto"/>
        <w:right w:val="none" w:sz="0" w:space="0" w:color="auto"/>
      </w:divBdr>
    </w:div>
    <w:div w:id="586841918">
      <w:bodyDiv w:val="1"/>
      <w:marLeft w:val="0"/>
      <w:marRight w:val="0"/>
      <w:marTop w:val="0"/>
      <w:marBottom w:val="0"/>
      <w:divBdr>
        <w:top w:val="none" w:sz="0" w:space="0" w:color="auto"/>
        <w:left w:val="none" w:sz="0" w:space="0" w:color="auto"/>
        <w:bottom w:val="none" w:sz="0" w:space="0" w:color="auto"/>
        <w:right w:val="none" w:sz="0" w:space="0" w:color="auto"/>
      </w:divBdr>
    </w:div>
    <w:div w:id="586964693">
      <w:bodyDiv w:val="1"/>
      <w:marLeft w:val="0"/>
      <w:marRight w:val="0"/>
      <w:marTop w:val="0"/>
      <w:marBottom w:val="0"/>
      <w:divBdr>
        <w:top w:val="none" w:sz="0" w:space="0" w:color="auto"/>
        <w:left w:val="none" w:sz="0" w:space="0" w:color="auto"/>
        <w:bottom w:val="none" w:sz="0" w:space="0" w:color="auto"/>
        <w:right w:val="none" w:sz="0" w:space="0" w:color="auto"/>
      </w:divBdr>
    </w:div>
    <w:div w:id="587035784">
      <w:bodyDiv w:val="1"/>
      <w:marLeft w:val="0"/>
      <w:marRight w:val="0"/>
      <w:marTop w:val="0"/>
      <w:marBottom w:val="0"/>
      <w:divBdr>
        <w:top w:val="none" w:sz="0" w:space="0" w:color="auto"/>
        <w:left w:val="none" w:sz="0" w:space="0" w:color="auto"/>
        <w:bottom w:val="none" w:sz="0" w:space="0" w:color="auto"/>
        <w:right w:val="none" w:sz="0" w:space="0" w:color="auto"/>
      </w:divBdr>
    </w:div>
    <w:div w:id="587076229">
      <w:bodyDiv w:val="1"/>
      <w:marLeft w:val="0"/>
      <w:marRight w:val="0"/>
      <w:marTop w:val="0"/>
      <w:marBottom w:val="0"/>
      <w:divBdr>
        <w:top w:val="none" w:sz="0" w:space="0" w:color="auto"/>
        <w:left w:val="none" w:sz="0" w:space="0" w:color="auto"/>
        <w:bottom w:val="none" w:sz="0" w:space="0" w:color="auto"/>
        <w:right w:val="none" w:sz="0" w:space="0" w:color="auto"/>
      </w:divBdr>
    </w:div>
    <w:div w:id="587233442">
      <w:bodyDiv w:val="1"/>
      <w:marLeft w:val="0"/>
      <w:marRight w:val="0"/>
      <w:marTop w:val="0"/>
      <w:marBottom w:val="0"/>
      <w:divBdr>
        <w:top w:val="none" w:sz="0" w:space="0" w:color="auto"/>
        <w:left w:val="none" w:sz="0" w:space="0" w:color="auto"/>
        <w:bottom w:val="none" w:sz="0" w:space="0" w:color="auto"/>
        <w:right w:val="none" w:sz="0" w:space="0" w:color="auto"/>
      </w:divBdr>
    </w:div>
    <w:div w:id="587351251">
      <w:bodyDiv w:val="1"/>
      <w:marLeft w:val="0"/>
      <w:marRight w:val="0"/>
      <w:marTop w:val="0"/>
      <w:marBottom w:val="0"/>
      <w:divBdr>
        <w:top w:val="none" w:sz="0" w:space="0" w:color="auto"/>
        <w:left w:val="none" w:sz="0" w:space="0" w:color="auto"/>
        <w:bottom w:val="none" w:sz="0" w:space="0" w:color="auto"/>
        <w:right w:val="none" w:sz="0" w:space="0" w:color="auto"/>
      </w:divBdr>
    </w:div>
    <w:div w:id="587352960">
      <w:bodyDiv w:val="1"/>
      <w:marLeft w:val="0"/>
      <w:marRight w:val="0"/>
      <w:marTop w:val="0"/>
      <w:marBottom w:val="0"/>
      <w:divBdr>
        <w:top w:val="none" w:sz="0" w:space="0" w:color="auto"/>
        <w:left w:val="none" w:sz="0" w:space="0" w:color="auto"/>
        <w:bottom w:val="none" w:sz="0" w:space="0" w:color="auto"/>
        <w:right w:val="none" w:sz="0" w:space="0" w:color="auto"/>
      </w:divBdr>
    </w:div>
    <w:div w:id="587426547">
      <w:bodyDiv w:val="1"/>
      <w:marLeft w:val="0"/>
      <w:marRight w:val="0"/>
      <w:marTop w:val="0"/>
      <w:marBottom w:val="0"/>
      <w:divBdr>
        <w:top w:val="none" w:sz="0" w:space="0" w:color="auto"/>
        <w:left w:val="none" w:sz="0" w:space="0" w:color="auto"/>
        <w:bottom w:val="none" w:sz="0" w:space="0" w:color="auto"/>
        <w:right w:val="none" w:sz="0" w:space="0" w:color="auto"/>
      </w:divBdr>
    </w:div>
    <w:div w:id="587496785">
      <w:bodyDiv w:val="1"/>
      <w:marLeft w:val="0"/>
      <w:marRight w:val="0"/>
      <w:marTop w:val="0"/>
      <w:marBottom w:val="0"/>
      <w:divBdr>
        <w:top w:val="none" w:sz="0" w:space="0" w:color="auto"/>
        <w:left w:val="none" w:sz="0" w:space="0" w:color="auto"/>
        <w:bottom w:val="none" w:sz="0" w:space="0" w:color="auto"/>
        <w:right w:val="none" w:sz="0" w:space="0" w:color="auto"/>
      </w:divBdr>
    </w:div>
    <w:div w:id="587538342">
      <w:bodyDiv w:val="1"/>
      <w:marLeft w:val="0"/>
      <w:marRight w:val="0"/>
      <w:marTop w:val="0"/>
      <w:marBottom w:val="0"/>
      <w:divBdr>
        <w:top w:val="none" w:sz="0" w:space="0" w:color="auto"/>
        <w:left w:val="none" w:sz="0" w:space="0" w:color="auto"/>
        <w:bottom w:val="none" w:sz="0" w:space="0" w:color="auto"/>
        <w:right w:val="none" w:sz="0" w:space="0" w:color="auto"/>
      </w:divBdr>
    </w:div>
    <w:div w:id="587540075">
      <w:bodyDiv w:val="1"/>
      <w:marLeft w:val="0"/>
      <w:marRight w:val="0"/>
      <w:marTop w:val="0"/>
      <w:marBottom w:val="0"/>
      <w:divBdr>
        <w:top w:val="none" w:sz="0" w:space="0" w:color="auto"/>
        <w:left w:val="none" w:sz="0" w:space="0" w:color="auto"/>
        <w:bottom w:val="none" w:sz="0" w:space="0" w:color="auto"/>
        <w:right w:val="none" w:sz="0" w:space="0" w:color="auto"/>
      </w:divBdr>
    </w:div>
    <w:div w:id="587738993">
      <w:bodyDiv w:val="1"/>
      <w:marLeft w:val="0"/>
      <w:marRight w:val="0"/>
      <w:marTop w:val="0"/>
      <w:marBottom w:val="0"/>
      <w:divBdr>
        <w:top w:val="none" w:sz="0" w:space="0" w:color="auto"/>
        <w:left w:val="none" w:sz="0" w:space="0" w:color="auto"/>
        <w:bottom w:val="none" w:sz="0" w:space="0" w:color="auto"/>
        <w:right w:val="none" w:sz="0" w:space="0" w:color="auto"/>
      </w:divBdr>
    </w:div>
    <w:div w:id="587814669">
      <w:bodyDiv w:val="1"/>
      <w:marLeft w:val="0"/>
      <w:marRight w:val="0"/>
      <w:marTop w:val="0"/>
      <w:marBottom w:val="0"/>
      <w:divBdr>
        <w:top w:val="none" w:sz="0" w:space="0" w:color="auto"/>
        <w:left w:val="none" w:sz="0" w:space="0" w:color="auto"/>
        <w:bottom w:val="none" w:sz="0" w:space="0" w:color="auto"/>
        <w:right w:val="none" w:sz="0" w:space="0" w:color="auto"/>
      </w:divBdr>
    </w:div>
    <w:div w:id="587888110">
      <w:bodyDiv w:val="1"/>
      <w:marLeft w:val="0"/>
      <w:marRight w:val="0"/>
      <w:marTop w:val="0"/>
      <w:marBottom w:val="0"/>
      <w:divBdr>
        <w:top w:val="none" w:sz="0" w:space="0" w:color="auto"/>
        <w:left w:val="none" w:sz="0" w:space="0" w:color="auto"/>
        <w:bottom w:val="none" w:sz="0" w:space="0" w:color="auto"/>
        <w:right w:val="none" w:sz="0" w:space="0" w:color="auto"/>
      </w:divBdr>
    </w:div>
    <w:div w:id="587890571">
      <w:bodyDiv w:val="1"/>
      <w:marLeft w:val="0"/>
      <w:marRight w:val="0"/>
      <w:marTop w:val="0"/>
      <w:marBottom w:val="0"/>
      <w:divBdr>
        <w:top w:val="none" w:sz="0" w:space="0" w:color="auto"/>
        <w:left w:val="none" w:sz="0" w:space="0" w:color="auto"/>
        <w:bottom w:val="none" w:sz="0" w:space="0" w:color="auto"/>
        <w:right w:val="none" w:sz="0" w:space="0" w:color="auto"/>
      </w:divBdr>
    </w:div>
    <w:div w:id="588000606">
      <w:bodyDiv w:val="1"/>
      <w:marLeft w:val="0"/>
      <w:marRight w:val="0"/>
      <w:marTop w:val="0"/>
      <w:marBottom w:val="0"/>
      <w:divBdr>
        <w:top w:val="none" w:sz="0" w:space="0" w:color="auto"/>
        <w:left w:val="none" w:sz="0" w:space="0" w:color="auto"/>
        <w:bottom w:val="none" w:sz="0" w:space="0" w:color="auto"/>
        <w:right w:val="none" w:sz="0" w:space="0" w:color="auto"/>
      </w:divBdr>
    </w:div>
    <w:div w:id="588009069">
      <w:bodyDiv w:val="1"/>
      <w:marLeft w:val="0"/>
      <w:marRight w:val="0"/>
      <w:marTop w:val="0"/>
      <w:marBottom w:val="0"/>
      <w:divBdr>
        <w:top w:val="none" w:sz="0" w:space="0" w:color="auto"/>
        <w:left w:val="none" w:sz="0" w:space="0" w:color="auto"/>
        <w:bottom w:val="none" w:sz="0" w:space="0" w:color="auto"/>
        <w:right w:val="none" w:sz="0" w:space="0" w:color="auto"/>
      </w:divBdr>
    </w:div>
    <w:div w:id="588123991">
      <w:bodyDiv w:val="1"/>
      <w:marLeft w:val="0"/>
      <w:marRight w:val="0"/>
      <w:marTop w:val="0"/>
      <w:marBottom w:val="0"/>
      <w:divBdr>
        <w:top w:val="none" w:sz="0" w:space="0" w:color="auto"/>
        <w:left w:val="none" w:sz="0" w:space="0" w:color="auto"/>
        <w:bottom w:val="none" w:sz="0" w:space="0" w:color="auto"/>
        <w:right w:val="none" w:sz="0" w:space="0" w:color="auto"/>
      </w:divBdr>
    </w:div>
    <w:div w:id="588318637">
      <w:bodyDiv w:val="1"/>
      <w:marLeft w:val="0"/>
      <w:marRight w:val="0"/>
      <w:marTop w:val="0"/>
      <w:marBottom w:val="0"/>
      <w:divBdr>
        <w:top w:val="none" w:sz="0" w:space="0" w:color="auto"/>
        <w:left w:val="none" w:sz="0" w:space="0" w:color="auto"/>
        <w:bottom w:val="none" w:sz="0" w:space="0" w:color="auto"/>
        <w:right w:val="none" w:sz="0" w:space="0" w:color="auto"/>
      </w:divBdr>
    </w:div>
    <w:div w:id="588389301">
      <w:bodyDiv w:val="1"/>
      <w:marLeft w:val="0"/>
      <w:marRight w:val="0"/>
      <w:marTop w:val="0"/>
      <w:marBottom w:val="0"/>
      <w:divBdr>
        <w:top w:val="none" w:sz="0" w:space="0" w:color="auto"/>
        <w:left w:val="none" w:sz="0" w:space="0" w:color="auto"/>
        <w:bottom w:val="none" w:sz="0" w:space="0" w:color="auto"/>
        <w:right w:val="none" w:sz="0" w:space="0" w:color="auto"/>
      </w:divBdr>
    </w:div>
    <w:div w:id="588582162">
      <w:bodyDiv w:val="1"/>
      <w:marLeft w:val="0"/>
      <w:marRight w:val="0"/>
      <w:marTop w:val="0"/>
      <w:marBottom w:val="0"/>
      <w:divBdr>
        <w:top w:val="none" w:sz="0" w:space="0" w:color="auto"/>
        <w:left w:val="none" w:sz="0" w:space="0" w:color="auto"/>
        <w:bottom w:val="none" w:sz="0" w:space="0" w:color="auto"/>
        <w:right w:val="none" w:sz="0" w:space="0" w:color="auto"/>
      </w:divBdr>
    </w:div>
    <w:div w:id="588656447">
      <w:bodyDiv w:val="1"/>
      <w:marLeft w:val="0"/>
      <w:marRight w:val="0"/>
      <w:marTop w:val="0"/>
      <w:marBottom w:val="0"/>
      <w:divBdr>
        <w:top w:val="none" w:sz="0" w:space="0" w:color="auto"/>
        <w:left w:val="none" w:sz="0" w:space="0" w:color="auto"/>
        <w:bottom w:val="none" w:sz="0" w:space="0" w:color="auto"/>
        <w:right w:val="none" w:sz="0" w:space="0" w:color="auto"/>
      </w:divBdr>
    </w:div>
    <w:div w:id="588733142">
      <w:bodyDiv w:val="1"/>
      <w:marLeft w:val="0"/>
      <w:marRight w:val="0"/>
      <w:marTop w:val="0"/>
      <w:marBottom w:val="0"/>
      <w:divBdr>
        <w:top w:val="none" w:sz="0" w:space="0" w:color="auto"/>
        <w:left w:val="none" w:sz="0" w:space="0" w:color="auto"/>
        <w:bottom w:val="none" w:sz="0" w:space="0" w:color="auto"/>
        <w:right w:val="none" w:sz="0" w:space="0" w:color="auto"/>
      </w:divBdr>
    </w:div>
    <w:div w:id="588738216">
      <w:bodyDiv w:val="1"/>
      <w:marLeft w:val="0"/>
      <w:marRight w:val="0"/>
      <w:marTop w:val="0"/>
      <w:marBottom w:val="0"/>
      <w:divBdr>
        <w:top w:val="none" w:sz="0" w:space="0" w:color="auto"/>
        <w:left w:val="none" w:sz="0" w:space="0" w:color="auto"/>
        <w:bottom w:val="none" w:sz="0" w:space="0" w:color="auto"/>
        <w:right w:val="none" w:sz="0" w:space="0" w:color="auto"/>
      </w:divBdr>
    </w:div>
    <w:div w:id="588738601">
      <w:bodyDiv w:val="1"/>
      <w:marLeft w:val="0"/>
      <w:marRight w:val="0"/>
      <w:marTop w:val="0"/>
      <w:marBottom w:val="0"/>
      <w:divBdr>
        <w:top w:val="none" w:sz="0" w:space="0" w:color="auto"/>
        <w:left w:val="none" w:sz="0" w:space="0" w:color="auto"/>
        <w:bottom w:val="none" w:sz="0" w:space="0" w:color="auto"/>
        <w:right w:val="none" w:sz="0" w:space="0" w:color="auto"/>
      </w:divBdr>
    </w:div>
    <w:div w:id="588782304">
      <w:bodyDiv w:val="1"/>
      <w:marLeft w:val="0"/>
      <w:marRight w:val="0"/>
      <w:marTop w:val="0"/>
      <w:marBottom w:val="0"/>
      <w:divBdr>
        <w:top w:val="none" w:sz="0" w:space="0" w:color="auto"/>
        <w:left w:val="none" w:sz="0" w:space="0" w:color="auto"/>
        <w:bottom w:val="none" w:sz="0" w:space="0" w:color="auto"/>
        <w:right w:val="none" w:sz="0" w:space="0" w:color="auto"/>
      </w:divBdr>
    </w:div>
    <w:div w:id="588928919">
      <w:bodyDiv w:val="1"/>
      <w:marLeft w:val="0"/>
      <w:marRight w:val="0"/>
      <w:marTop w:val="0"/>
      <w:marBottom w:val="0"/>
      <w:divBdr>
        <w:top w:val="none" w:sz="0" w:space="0" w:color="auto"/>
        <w:left w:val="none" w:sz="0" w:space="0" w:color="auto"/>
        <w:bottom w:val="none" w:sz="0" w:space="0" w:color="auto"/>
        <w:right w:val="none" w:sz="0" w:space="0" w:color="auto"/>
      </w:divBdr>
    </w:div>
    <w:div w:id="589116980">
      <w:bodyDiv w:val="1"/>
      <w:marLeft w:val="0"/>
      <w:marRight w:val="0"/>
      <w:marTop w:val="0"/>
      <w:marBottom w:val="0"/>
      <w:divBdr>
        <w:top w:val="none" w:sz="0" w:space="0" w:color="auto"/>
        <w:left w:val="none" w:sz="0" w:space="0" w:color="auto"/>
        <w:bottom w:val="none" w:sz="0" w:space="0" w:color="auto"/>
        <w:right w:val="none" w:sz="0" w:space="0" w:color="auto"/>
      </w:divBdr>
    </w:div>
    <w:div w:id="589317508">
      <w:bodyDiv w:val="1"/>
      <w:marLeft w:val="0"/>
      <w:marRight w:val="0"/>
      <w:marTop w:val="0"/>
      <w:marBottom w:val="0"/>
      <w:divBdr>
        <w:top w:val="none" w:sz="0" w:space="0" w:color="auto"/>
        <w:left w:val="none" w:sz="0" w:space="0" w:color="auto"/>
        <w:bottom w:val="none" w:sz="0" w:space="0" w:color="auto"/>
        <w:right w:val="none" w:sz="0" w:space="0" w:color="auto"/>
      </w:divBdr>
    </w:div>
    <w:div w:id="589387638">
      <w:bodyDiv w:val="1"/>
      <w:marLeft w:val="0"/>
      <w:marRight w:val="0"/>
      <w:marTop w:val="0"/>
      <w:marBottom w:val="0"/>
      <w:divBdr>
        <w:top w:val="none" w:sz="0" w:space="0" w:color="auto"/>
        <w:left w:val="none" w:sz="0" w:space="0" w:color="auto"/>
        <w:bottom w:val="none" w:sz="0" w:space="0" w:color="auto"/>
        <w:right w:val="none" w:sz="0" w:space="0" w:color="auto"/>
      </w:divBdr>
    </w:div>
    <w:div w:id="589508781">
      <w:bodyDiv w:val="1"/>
      <w:marLeft w:val="0"/>
      <w:marRight w:val="0"/>
      <w:marTop w:val="0"/>
      <w:marBottom w:val="0"/>
      <w:divBdr>
        <w:top w:val="none" w:sz="0" w:space="0" w:color="auto"/>
        <w:left w:val="none" w:sz="0" w:space="0" w:color="auto"/>
        <w:bottom w:val="none" w:sz="0" w:space="0" w:color="auto"/>
        <w:right w:val="none" w:sz="0" w:space="0" w:color="auto"/>
      </w:divBdr>
    </w:div>
    <w:div w:id="589588058">
      <w:bodyDiv w:val="1"/>
      <w:marLeft w:val="0"/>
      <w:marRight w:val="0"/>
      <w:marTop w:val="0"/>
      <w:marBottom w:val="0"/>
      <w:divBdr>
        <w:top w:val="none" w:sz="0" w:space="0" w:color="auto"/>
        <w:left w:val="none" w:sz="0" w:space="0" w:color="auto"/>
        <w:bottom w:val="none" w:sz="0" w:space="0" w:color="auto"/>
        <w:right w:val="none" w:sz="0" w:space="0" w:color="auto"/>
      </w:divBdr>
    </w:div>
    <w:div w:id="589655979">
      <w:bodyDiv w:val="1"/>
      <w:marLeft w:val="0"/>
      <w:marRight w:val="0"/>
      <w:marTop w:val="0"/>
      <w:marBottom w:val="0"/>
      <w:divBdr>
        <w:top w:val="none" w:sz="0" w:space="0" w:color="auto"/>
        <w:left w:val="none" w:sz="0" w:space="0" w:color="auto"/>
        <w:bottom w:val="none" w:sz="0" w:space="0" w:color="auto"/>
        <w:right w:val="none" w:sz="0" w:space="0" w:color="auto"/>
      </w:divBdr>
    </w:div>
    <w:div w:id="589658253">
      <w:bodyDiv w:val="1"/>
      <w:marLeft w:val="0"/>
      <w:marRight w:val="0"/>
      <w:marTop w:val="0"/>
      <w:marBottom w:val="0"/>
      <w:divBdr>
        <w:top w:val="none" w:sz="0" w:space="0" w:color="auto"/>
        <w:left w:val="none" w:sz="0" w:space="0" w:color="auto"/>
        <w:bottom w:val="none" w:sz="0" w:space="0" w:color="auto"/>
        <w:right w:val="none" w:sz="0" w:space="0" w:color="auto"/>
      </w:divBdr>
    </w:div>
    <w:div w:id="589699461">
      <w:bodyDiv w:val="1"/>
      <w:marLeft w:val="0"/>
      <w:marRight w:val="0"/>
      <w:marTop w:val="0"/>
      <w:marBottom w:val="0"/>
      <w:divBdr>
        <w:top w:val="none" w:sz="0" w:space="0" w:color="auto"/>
        <w:left w:val="none" w:sz="0" w:space="0" w:color="auto"/>
        <w:bottom w:val="none" w:sz="0" w:space="0" w:color="auto"/>
        <w:right w:val="none" w:sz="0" w:space="0" w:color="auto"/>
      </w:divBdr>
    </w:div>
    <w:div w:id="589704097">
      <w:bodyDiv w:val="1"/>
      <w:marLeft w:val="0"/>
      <w:marRight w:val="0"/>
      <w:marTop w:val="0"/>
      <w:marBottom w:val="0"/>
      <w:divBdr>
        <w:top w:val="none" w:sz="0" w:space="0" w:color="auto"/>
        <w:left w:val="none" w:sz="0" w:space="0" w:color="auto"/>
        <w:bottom w:val="none" w:sz="0" w:space="0" w:color="auto"/>
        <w:right w:val="none" w:sz="0" w:space="0" w:color="auto"/>
      </w:divBdr>
    </w:div>
    <w:div w:id="589775539">
      <w:bodyDiv w:val="1"/>
      <w:marLeft w:val="0"/>
      <w:marRight w:val="0"/>
      <w:marTop w:val="0"/>
      <w:marBottom w:val="0"/>
      <w:divBdr>
        <w:top w:val="none" w:sz="0" w:space="0" w:color="auto"/>
        <w:left w:val="none" w:sz="0" w:space="0" w:color="auto"/>
        <w:bottom w:val="none" w:sz="0" w:space="0" w:color="auto"/>
        <w:right w:val="none" w:sz="0" w:space="0" w:color="auto"/>
      </w:divBdr>
    </w:div>
    <w:div w:id="589854294">
      <w:bodyDiv w:val="1"/>
      <w:marLeft w:val="0"/>
      <w:marRight w:val="0"/>
      <w:marTop w:val="0"/>
      <w:marBottom w:val="0"/>
      <w:divBdr>
        <w:top w:val="none" w:sz="0" w:space="0" w:color="auto"/>
        <w:left w:val="none" w:sz="0" w:space="0" w:color="auto"/>
        <w:bottom w:val="none" w:sz="0" w:space="0" w:color="auto"/>
        <w:right w:val="none" w:sz="0" w:space="0" w:color="auto"/>
      </w:divBdr>
    </w:div>
    <w:div w:id="589896060">
      <w:bodyDiv w:val="1"/>
      <w:marLeft w:val="0"/>
      <w:marRight w:val="0"/>
      <w:marTop w:val="0"/>
      <w:marBottom w:val="0"/>
      <w:divBdr>
        <w:top w:val="none" w:sz="0" w:space="0" w:color="auto"/>
        <w:left w:val="none" w:sz="0" w:space="0" w:color="auto"/>
        <w:bottom w:val="none" w:sz="0" w:space="0" w:color="auto"/>
        <w:right w:val="none" w:sz="0" w:space="0" w:color="auto"/>
      </w:divBdr>
    </w:div>
    <w:div w:id="589965542">
      <w:bodyDiv w:val="1"/>
      <w:marLeft w:val="0"/>
      <w:marRight w:val="0"/>
      <w:marTop w:val="0"/>
      <w:marBottom w:val="0"/>
      <w:divBdr>
        <w:top w:val="none" w:sz="0" w:space="0" w:color="auto"/>
        <w:left w:val="none" w:sz="0" w:space="0" w:color="auto"/>
        <w:bottom w:val="none" w:sz="0" w:space="0" w:color="auto"/>
        <w:right w:val="none" w:sz="0" w:space="0" w:color="auto"/>
      </w:divBdr>
    </w:div>
    <w:div w:id="589971540">
      <w:bodyDiv w:val="1"/>
      <w:marLeft w:val="0"/>
      <w:marRight w:val="0"/>
      <w:marTop w:val="0"/>
      <w:marBottom w:val="0"/>
      <w:divBdr>
        <w:top w:val="none" w:sz="0" w:space="0" w:color="auto"/>
        <w:left w:val="none" w:sz="0" w:space="0" w:color="auto"/>
        <w:bottom w:val="none" w:sz="0" w:space="0" w:color="auto"/>
        <w:right w:val="none" w:sz="0" w:space="0" w:color="auto"/>
      </w:divBdr>
    </w:div>
    <w:div w:id="590046589">
      <w:bodyDiv w:val="1"/>
      <w:marLeft w:val="0"/>
      <w:marRight w:val="0"/>
      <w:marTop w:val="0"/>
      <w:marBottom w:val="0"/>
      <w:divBdr>
        <w:top w:val="none" w:sz="0" w:space="0" w:color="auto"/>
        <w:left w:val="none" w:sz="0" w:space="0" w:color="auto"/>
        <w:bottom w:val="none" w:sz="0" w:space="0" w:color="auto"/>
        <w:right w:val="none" w:sz="0" w:space="0" w:color="auto"/>
      </w:divBdr>
    </w:div>
    <w:div w:id="590238196">
      <w:bodyDiv w:val="1"/>
      <w:marLeft w:val="0"/>
      <w:marRight w:val="0"/>
      <w:marTop w:val="0"/>
      <w:marBottom w:val="0"/>
      <w:divBdr>
        <w:top w:val="none" w:sz="0" w:space="0" w:color="auto"/>
        <w:left w:val="none" w:sz="0" w:space="0" w:color="auto"/>
        <w:bottom w:val="none" w:sz="0" w:space="0" w:color="auto"/>
        <w:right w:val="none" w:sz="0" w:space="0" w:color="auto"/>
      </w:divBdr>
    </w:div>
    <w:div w:id="590241865">
      <w:bodyDiv w:val="1"/>
      <w:marLeft w:val="0"/>
      <w:marRight w:val="0"/>
      <w:marTop w:val="0"/>
      <w:marBottom w:val="0"/>
      <w:divBdr>
        <w:top w:val="none" w:sz="0" w:space="0" w:color="auto"/>
        <w:left w:val="none" w:sz="0" w:space="0" w:color="auto"/>
        <w:bottom w:val="none" w:sz="0" w:space="0" w:color="auto"/>
        <w:right w:val="none" w:sz="0" w:space="0" w:color="auto"/>
      </w:divBdr>
    </w:div>
    <w:div w:id="590283182">
      <w:bodyDiv w:val="1"/>
      <w:marLeft w:val="0"/>
      <w:marRight w:val="0"/>
      <w:marTop w:val="0"/>
      <w:marBottom w:val="0"/>
      <w:divBdr>
        <w:top w:val="none" w:sz="0" w:space="0" w:color="auto"/>
        <w:left w:val="none" w:sz="0" w:space="0" w:color="auto"/>
        <w:bottom w:val="none" w:sz="0" w:space="0" w:color="auto"/>
        <w:right w:val="none" w:sz="0" w:space="0" w:color="auto"/>
      </w:divBdr>
    </w:div>
    <w:div w:id="590550449">
      <w:bodyDiv w:val="1"/>
      <w:marLeft w:val="0"/>
      <w:marRight w:val="0"/>
      <w:marTop w:val="0"/>
      <w:marBottom w:val="0"/>
      <w:divBdr>
        <w:top w:val="none" w:sz="0" w:space="0" w:color="auto"/>
        <w:left w:val="none" w:sz="0" w:space="0" w:color="auto"/>
        <w:bottom w:val="none" w:sz="0" w:space="0" w:color="auto"/>
        <w:right w:val="none" w:sz="0" w:space="0" w:color="auto"/>
      </w:divBdr>
    </w:div>
    <w:div w:id="590626164">
      <w:bodyDiv w:val="1"/>
      <w:marLeft w:val="0"/>
      <w:marRight w:val="0"/>
      <w:marTop w:val="0"/>
      <w:marBottom w:val="0"/>
      <w:divBdr>
        <w:top w:val="none" w:sz="0" w:space="0" w:color="auto"/>
        <w:left w:val="none" w:sz="0" w:space="0" w:color="auto"/>
        <w:bottom w:val="none" w:sz="0" w:space="0" w:color="auto"/>
        <w:right w:val="none" w:sz="0" w:space="0" w:color="auto"/>
      </w:divBdr>
    </w:div>
    <w:div w:id="590889693">
      <w:bodyDiv w:val="1"/>
      <w:marLeft w:val="0"/>
      <w:marRight w:val="0"/>
      <w:marTop w:val="0"/>
      <w:marBottom w:val="0"/>
      <w:divBdr>
        <w:top w:val="none" w:sz="0" w:space="0" w:color="auto"/>
        <w:left w:val="none" w:sz="0" w:space="0" w:color="auto"/>
        <w:bottom w:val="none" w:sz="0" w:space="0" w:color="auto"/>
        <w:right w:val="none" w:sz="0" w:space="0" w:color="auto"/>
      </w:divBdr>
    </w:div>
    <w:div w:id="590970501">
      <w:bodyDiv w:val="1"/>
      <w:marLeft w:val="0"/>
      <w:marRight w:val="0"/>
      <w:marTop w:val="0"/>
      <w:marBottom w:val="0"/>
      <w:divBdr>
        <w:top w:val="none" w:sz="0" w:space="0" w:color="auto"/>
        <w:left w:val="none" w:sz="0" w:space="0" w:color="auto"/>
        <w:bottom w:val="none" w:sz="0" w:space="0" w:color="auto"/>
        <w:right w:val="none" w:sz="0" w:space="0" w:color="auto"/>
      </w:divBdr>
    </w:div>
    <w:div w:id="591083391">
      <w:bodyDiv w:val="1"/>
      <w:marLeft w:val="0"/>
      <w:marRight w:val="0"/>
      <w:marTop w:val="0"/>
      <w:marBottom w:val="0"/>
      <w:divBdr>
        <w:top w:val="none" w:sz="0" w:space="0" w:color="auto"/>
        <w:left w:val="none" w:sz="0" w:space="0" w:color="auto"/>
        <w:bottom w:val="none" w:sz="0" w:space="0" w:color="auto"/>
        <w:right w:val="none" w:sz="0" w:space="0" w:color="auto"/>
      </w:divBdr>
    </w:div>
    <w:div w:id="591084401">
      <w:bodyDiv w:val="1"/>
      <w:marLeft w:val="0"/>
      <w:marRight w:val="0"/>
      <w:marTop w:val="0"/>
      <w:marBottom w:val="0"/>
      <w:divBdr>
        <w:top w:val="none" w:sz="0" w:space="0" w:color="auto"/>
        <w:left w:val="none" w:sz="0" w:space="0" w:color="auto"/>
        <w:bottom w:val="none" w:sz="0" w:space="0" w:color="auto"/>
        <w:right w:val="none" w:sz="0" w:space="0" w:color="auto"/>
      </w:divBdr>
    </w:div>
    <w:div w:id="591158160">
      <w:bodyDiv w:val="1"/>
      <w:marLeft w:val="0"/>
      <w:marRight w:val="0"/>
      <w:marTop w:val="0"/>
      <w:marBottom w:val="0"/>
      <w:divBdr>
        <w:top w:val="none" w:sz="0" w:space="0" w:color="auto"/>
        <w:left w:val="none" w:sz="0" w:space="0" w:color="auto"/>
        <w:bottom w:val="none" w:sz="0" w:space="0" w:color="auto"/>
        <w:right w:val="none" w:sz="0" w:space="0" w:color="auto"/>
      </w:divBdr>
    </w:div>
    <w:div w:id="591162083">
      <w:bodyDiv w:val="1"/>
      <w:marLeft w:val="0"/>
      <w:marRight w:val="0"/>
      <w:marTop w:val="0"/>
      <w:marBottom w:val="0"/>
      <w:divBdr>
        <w:top w:val="none" w:sz="0" w:space="0" w:color="auto"/>
        <w:left w:val="none" w:sz="0" w:space="0" w:color="auto"/>
        <w:bottom w:val="none" w:sz="0" w:space="0" w:color="auto"/>
        <w:right w:val="none" w:sz="0" w:space="0" w:color="auto"/>
      </w:divBdr>
    </w:div>
    <w:div w:id="591201083">
      <w:bodyDiv w:val="1"/>
      <w:marLeft w:val="0"/>
      <w:marRight w:val="0"/>
      <w:marTop w:val="0"/>
      <w:marBottom w:val="0"/>
      <w:divBdr>
        <w:top w:val="none" w:sz="0" w:space="0" w:color="auto"/>
        <w:left w:val="none" w:sz="0" w:space="0" w:color="auto"/>
        <w:bottom w:val="none" w:sz="0" w:space="0" w:color="auto"/>
        <w:right w:val="none" w:sz="0" w:space="0" w:color="auto"/>
      </w:divBdr>
    </w:div>
    <w:div w:id="591209948">
      <w:bodyDiv w:val="1"/>
      <w:marLeft w:val="0"/>
      <w:marRight w:val="0"/>
      <w:marTop w:val="0"/>
      <w:marBottom w:val="0"/>
      <w:divBdr>
        <w:top w:val="none" w:sz="0" w:space="0" w:color="auto"/>
        <w:left w:val="none" w:sz="0" w:space="0" w:color="auto"/>
        <w:bottom w:val="none" w:sz="0" w:space="0" w:color="auto"/>
        <w:right w:val="none" w:sz="0" w:space="0" w:color="auto"/>
      </w:divBdr>
    </w:div>
    <w:div w:id="591279842">
      <w:bodyDiv w:val="1"/>
      <w:marLeft w:val="0"/>
      <w:marRight w:val="0"/>
      <w:marTop w:val="0"/>
      <w:marBottom w:val="0"/>
      <w:divBdr>
        <w:top w:val="none" w:sz="0" w:space="0" w:color="auto"/>
        <w:left w:val="none" w:sz="0" w:space="0" w:color="auto"/>
        <w:bottom w:val="none" w:sz="0" w:space="0" w:color="auto"/>
        <w:right w:val="none" w:sz="0" w:space="0" w:color="auto"/>
      </w:divBdr>
    </w:div>
    <w:div w:id="591356249">
      <w:bodyDiv w:val="1"/>
      <w:marLeft w:val="0"/>
      <w:marRight w:val="0"/>
      <w:marTop w:val="0"/>
      <w:marBottom w:val="0"/>
      <w:divBdr>
        <w:top w:val="none" w:sz="0" w:space="0" w:color="auto"/>
        <w:left w:val="none" w:sz="0" w:space="0" w:color="auto"/>
        <w:bottom w:val="none" w:sz="0" w:space="0" w:color="auto"/>
        <w:right w:val="none" w:sz="0" w:space="0" w:color="auto"/>
      </w:divBdr>
    </w:div>
    <w:div w:id="591471737">
      <w:bodyDiv w:val="1"/>
      <w:marLeft w:val="0"/>
      <w:marRight w:val="0"/>
      <w:marTop w:val="0"/>
      <w:marBottom w:val="0"/>
      <w:divBdr>
        <w:top w:val="none" w:sz="0" w:space="0" w:color="auto"/>
        <w:left w:val="none" w:sz="0" w:space="0" w:color="auto"/>
        <w:bottom w:val="none" w:sz="0" w:space="0" w:color="auto"/>
        <w:right w:val="none" w:sz="0" w:space="0" w:color="auto"/>
      </w:divBdr>
    </w:div>
    <w:div w:id="591550267">
      <w:bodyDiv w:val="1"/>
      <w:marLeft w:val="0"/>
      <w:marRight w:val="0"/>
      <w:marTop w:val="0"/>
      <w:marBottom w:val="0"/>
      <w:divBdr>
        <w:top w:val="none" w:sz="0" w:space="0" w:color="auto"/>
        <w:left w:val="none" w:sz="0" w:space="0" w:color="auto"/>
        <w:bottom w:val="none" w:sz="0" w:space="0" w:color="auto"/>
        <w:right w:val="none" w:sz="0" w:space="0" w:color="auto"/>
      </w:divBdr>
    </w:div>
    <w:div w:id="591665122">
      <w:bodyDiv w:val="1"/>
      <w:marLeft w:val="0"/>
      <w:marRight w:val="0"/>
      <w:marTop w:val="0"/>
      <w:marBottom w:val="0"/>
      <w:divBdr>
        <w:top w:val="none" w:sz="0" w:space="0" w:color="auto"/>
        <w:left w:val="none" w:sz="0" w:space="0" w:color="auto"/>
        <w:bottom w:val="none" w:sz="0" w:space="0" w:color="auto"/>
        <w:right w:val="none" w:sz="0" w:space="0" w:color="auto"/>
      </w:divBdr>
    </w:div>
    <w:div w:id="591666589">
      <w:bodyDiv w:val="1"/>
      <w:marLeft w:val="0"/>
      <w:marRight w:val="0"/>
      <w:marTop w:val="0"/>
      <w:marBottom w:val="0"/>
      <w:divBdr>
        <w:top w:val="none" w:sz="0" w:space="0" w:color="auto"/>
        <w:left w:val="none" w:sz="0" w:space="0" w:color="auto"/>
        <w:bottom w:val="none" w:sz="0" w:space="0" w:color="auto"/>
        <w:right w:val="none" w:sz="0" w:space="0" w:color="auto"/>
      </w:divBdr>
    </w:div>
    <w:div w:id="591667684">
      <w:bodyDiv w:val="1"/>
      <w:marLeft w:val="0"/>
      <w:marRight w:val="0"/>
      <w:marTop w:val="0"/>
      <w:marBottom w:val="0"/>
      <w:divBdr>
        <w:top w:val="none" w:sz="0" w:space="0" w:color="auto"/>
        <w:left w:val="none" w:sz="0" w:space="0" w:color="auto"/>
        <w:bottom w:val="none" w:sz="0" w:space="0" w:color="auto"/>
        <w:right w:val="none" w:sz="0" w:space="0" w:color="auto"/>
      </w:divBdr>
    </w:div>
    <w:div w:id="591743028">
      <w:bodyDiv w:val="1"/>
      <w:marLeft w:val="0"/>
      <w:marRight w:val="0"/>
      <w:marTop w:val="0"/>
      <w:marBottom w:val="0"/>
      <w:divBdr>
        <w:top w:val="none" w:sz="0" w:space="0" w:color="auto"/>
        <w:left w:val="none" w:sz="0" w:space="0" w:color="auto"/>
        <w:bottom w:val="none" w:sz="0" w:space="0" w:color="auto"/>
        <w:right w:val="none" w:sz="0" w:space="0" w:color="auto"/>
      </w:divBdr>
    </w:div>
    <w:div w:id="591817295">
      <w:bodyDiv w:val="1"/>
      <w:marLeft w:val="0"/>
      <w:marRight w:val="0"/>
      <w:marTop w:val="0"/>
      <w:marBottom w:val="0"/>
      <w:divBdr>
        <w:top w:val="none" w:sz="0" w:space="0" w:color="auto"/>
        <w:left w:val="none" w:sz="0" w:space="0" w:color="auto"/>
        <w:bottom w:val="none" w:sz="0" w:space="0" w:color="auto"/>
        <w:right w:val="none" w:sz="0" w:space="0" w:color="auto"/>
      </w:divBdr>
    </w:div>
    <w:div w:id="592055224">
      <w:bodyDiv w:val="1"/>
      <w:marLeft w:val="0"/>
      <w:marRight w:val="0"/>
      <w:marTop w:val="0"/>
      <w:marBottom w:val="0"/>
      <w:divBdr>
        <w:top w:val="none" w:sz="0" w:space="0" w:color="auto"/>
        <w:left w:val="none" w:sz="0" w:space="0" w:color="auto"/>
        <w:bottom w:val="none" w:sz="0" w:space="0" w:color="auto"/>
        <w:right w:val="none" w:sz="0" w:space="0" w:color="auto"/>
      </w:divBdr>
    </w:div>
    <w:div w:id="592200631">
      <w:bodyDiv w:val="1"/>
      <w:marLeft w:val="0"/>
      <w:marRight w:val="0"/>
      <w:marTop w:val="0"/>
      <w:marBottom w:val="0"/>
      <w:divBdr>
        <w:top w:val="none" w:sz="0" w:space="0" w:color="auto"/>
        <w:left w:val="none" w:sz="0" w:space="0" w:color="auto"/>
        <w:bottom w:val="none" w:sz="0" w:space="0" w:color="auto"/>
        <w:right w:val="none" w:sz="0" w:space="0" w:color="auto"/>
      </w:divBdr>
    </w:div>
    <w:div w:id="592393051">
      <w:bodyDiv w:val="1"/>
      <w:marLeft w:val="0"/>
      <w:marRight w:val="0"/>
      <w:marTop w:val="0"/>
      <w:marBottom w:val="0"/>
      <w:divBdr>
        <w:top w:val="none" w:sz="0" w:space="0" w:color="auto"/>
        <w:left w:val="none" w:sz="0" w:space="0" w:color="auto"/>
        <w:bottom w:val="none" w:sz="0" w:space="0" w:color="auto"/>
        <w:right w:val="none" w:sz="0" w:space="0" w:color="auto"/>
      </w:divBdr>
    </w:div>
    <w:div w:id="592400677">
      <w:bodyDiv w:val="1"/>
      <w:marLeft w:val="0"/>
      <w:marRight w:val="0"/>
      <w:marTop w:val="0"/>
      <w:marBottom w:val="0"/>
      <w:divBdr>
        <w:top w:val="none" w:sz="0" w:space="0" w:color="auto"/>
        <w:left w:val="none" w:sz="0" w:space="0" w:color="auto"/>
        <w:bottom w:val="none" w:sz="0" w:space="0" w:color="auto"/>
        <w:right w:val="none" w:sz="0" w:space="0" w:color="auto"/>
      </w:divBdr>
    </w:div>
    <w:div w:id="592513062">
      <w:bodyDiv w:val="1"/>
      <w:marLeft w:val="0"/>
      <w:marRight w:val="0"/>
      <w:marTop w:val="0"/>
      <w:marBottom w:val="0"/>
      <w:divBdr>
        <w:top w:val="none" w:sz="0" w:space="0" w:color="auto"/>
        <w:left w:val="none" w:sz="0" w:space="0" w:color="auto"/>
        <w:bottom w:val="none" w:sz="0" w:space="0" w:color="auto"/>
        <w:right w:val="none" w:sz="0" w:space="0" w:color="auto"/>
      </w:divBdr>
    </w:div>
    <w:div w:id="592591369">
      <w:bodyDiv w:val="1"/>
      <w:marLeft w:val="0"/>
      <w:marRight w:val="0"/>
      <w:marTop w:val="0"/>
      <w:marBottom w:val="0"/>
      <w:divBdr>
        <w:top w:val="none" w:sz="0" w:space="0" w:color="auto"/>
        <w:left w:val="none" w:sz="0" w:space="0" w:color="auto"/>
        <w:bottom w:val="none" w:sz="0" w:space="0" w:color="auto"/>
        <w:right w:val="none" w:sz="0" w:space="0" w:color="auto"/>
      </w:divBdr>
    </w:div>
    <w:div w:id="592711860">
      <w:bodyDiv w:val="1"/>
      <w:marLeft w:val="0"/>
      <w:marRight w:val="0"/>
      <w:marTop w:val="0"/>
      <w:marBottom w:val="0"/>
      <w:divBdr>
        <w:top w:val="none" w:sz="0" w:space="0" w:color="auto"/>
        <w:left w:val="none" w:sz="0" w:space="0" w:color="auto"/>
        <w:bottom w:val="none" w:sz="0" w:space="0" w:color="auto"/>
        <w:right w:val="none" w:sz="0" w:space="0" w:color="auto"/>
      </w:divBdr>
    </w:div>
    <w:div w:id="592855596">
      <w:bodyDiv w:val="1"/>
      <w:marLeft w:val="0"/>
      <w:marRight w:val="0"/>
      <w:marTop w:val="0"/>
      <w:marBottom w:val="0"/>
      <w:divBdr>
        <w:top w:val="none" w:sz="0" w:space="0" w:color="auto"/>
        <w:left w:val="none" w:sz="0" w:space="0" w:color="auto"/>
        <w:bottom w:val="none" w:sz="0" w:space="0" w:color="auto"/>
        <w:right w:val="none" w:sz="0" w:space="0" w:color="auto"/>
      </w:divBdr>
    </w:div>
    <w:div w:id="592905086">
      <w:bodyDiv w:val="1"/>
      <w:marLeft w:val="0"/>
      <w:marRight w:val="0"/>
      <w:marTop w:val="0"/>
      <w:marBottom w:val="0"/>
      <w:divBdr>
        <w:top w:val="none" w:sz="0" w:space="0" w:color="auto"/>
        <w:left w:val="none" w:sz="0" w:space="0" w:color="auto"/>
        <w:bottom w:val="none" w:sz="0" w:space="0" w:color="auto"/>
        <w:right w:val="none" w:sz="0" w:space="0" w:color="auto"/>
      </w:divBdr>
    </w:div>
    <w:div w:id="593052165">
      <w:bodyDiv w:val="1"/>
      <w:marLeft w:val="0"/>
      <w:marRight w:val="0"/>
      <w:marTop w:val="0"/>
      <w:marBottom w:val="0"/>
      <w:divBdr>
        <w:top w:val="none" w:sz="0" w:space="0" w:color="auto"/>
        <w:left w:val="none" w:sz="0" w:space="0" w:color="auto"/>
        <w:bottom w:val="none" w:sz="0" w:space="0" w:color="auto"/>
        <w:right w:val="none" w:sz="0" w:space="0" w:color="auto"/>
      </w:divBdr>
    </w:div>
    <w:div w:id="593052662">
      <w:bodyDiv w:val="1"/>
      <w:marLeft w:val="0"/>
      <w:marRight w:val="0"/>
      <w:marTop w:val="0"/>
      <w:marBottom w:val="0"/>
      <w:divBdr>
        <w:top w:val="none" w:sz="0" w:space="0" w:color="auto"/>
        <w:left w:val="none" w:sz="0" w:space="0" w:color="auto"/>
        <w:bottom w:val="none" w:sz="0" w:space="0" w:color="auto"/>
        <w:right w:val="none" w:sz="0" w:space="0" w:color="auto"/>
      </w:divBdr>
    </w:div>
    <w:div w:id="593055745">
      <w:bodyDiv w:val="1"/>
      <w:marLeft w:val="0"/>
      <w:marRight w:val="0"/>
      <w:marTop w:val="0"/>
      <w:marBottom w:val="0"/>
      <w:divBdr>
        <w:top w:val="none" w:sz="0" w:space="0" w:color="auto"/>
        <w:left w:val="none" w:sz="0" w:space="0" w:color="auto"/>
        <w:bottom w:val="none" w:sz="0" w:space="0" w:color="auto"/>
        <w:right w:val="none" w:sz="0" w:space="0" w:color="auto"/>
      </w:divBdr>
    </w:div>
    <w:div w:id="593128920">
      <w:bodyDiv w:val="1"/>
      <w:marLeft w:val="0"/>
      <w:marRight w:val="0"/>
      <w:marTop w:val="0"/>
      <w:marBottom w:val="0"/>
      <w:divBdr>
        <w:top w:val="none" w:sz="0" w:space="0" w:color="auto"/>
        <w:left w:val="none" w:sz="0" w:space="0" w:color="auto"/>
        <w:bottom w:val="none" w:sz="0" w:space="0" w:color="auto"/>
        <w:right w:val="none" w:sz="0" w:space="0" w:color="auto"/>
      </w:divBdr>
    </w:div>
    <w:div w:id="593174537">
      <w:bodyDiv w:val="1"/>
      <w:marLeft w:val="0"/>
      <w:marRight w:val="0"/>
      <w:marTop w:val="0"/>
      <w:marBottom w:val="0"/>
      <w:divBdr>
        <w:top w:val="none" w:sz="0" w:space="0" w:color="auto"/>
        <w:left w:val="none" w:sz="0" w:space="0" w:color="auto"/>
        <w:bottom w:val="none" w:sz="0" w:space="0" w:color="auto"/>
        <w:right w:val="none" w:sz="0" w:space="0" w:color="auto"/>
      </w:divBdr>
    </w:div>
    <w:div w:id="593364900">
      <w:bodyDiv w:val="1"/>
      <w:marLeft w:val="0"/>
      <w:marRight w:val="0"/>
      <w:marTop w:val="0"/>
      <w:marBottom w:val="0"/>
      <w:divBdr>
        <w:top w:val="none" w:sz="0" w:space="0" w:color="auto"/>
        <w:left w:val="none" w:sz="0" w:space="0" w:color="auto"/>
        <w:bottom w:val="none" w:sz="0" w:space="0" w:color="auto"/>
        <w:right w:val="none" w:sz="0" w:space="0" w:color="auto"/>
      </w:divBdr>
    </w:div>
    <w:div w:id="593440380">
      <w:bodyDiv w:val="1"/>
      <w:marLeft w:val="0"/>
      <w:marRight w:val="0"/>
      <w:marTop w:val="0"/>
      <w:marBottom w:val="0"/>
      <w:divBdr>
        <w:top w:val="none" w:sz="0" w:space="0" w:color="auto"/>
        <w:left w:val="none" w:sz="0" w:space="0" w:color="auto"/>
        <w:bottom w:val="none" w:sz="0" w:space="0" w:color="auto"/>
        <w:right w:val="none" w:sz="0" w:space="0" w:color="auto"/>
      </w:divBdr>
    </w:div>
    <w:div w:id="593443612">
      <w:bodyDiv w:val="1"/>
      <w:marLeft w:val="0"/>
      <w:marRight w:val="0"/>
      <w:marTop w:val="0"/>
      <w:marBottom w:val="0"/>
      <w:divBdr>
        <w:top w:val="none" w:sz="0" w:space="0" w:color="auto"/>
        <w:left w:val="none" w:sz="0" w:space="0" w:color="auto"/>
        <w:bottom w:val="none" w:sz="0" w:space="0" w:color="auto"/>
        <w:right w:val="none" w:sz="0" w:space="0" w:color="auto"/>
      </w:divBdr>
    </w:div>
    <w:div w:id="593629899">
      <w:bodyDiv w:val="1"/>
      <w:marLeft w:val="0"/>
      <w:marRight w:val="0"/>
      <w:marTop w:val="0"/>
      <w:marBottom w:val="0"/>
      <w:divBdr>
        <w:top w:val="none" w:sz="0" w:space="0" w:color="auto"/>
        <w:left w:val="none" w:sz="0" w:space="0" w:color="auto"/>
        <w:bottom w:val="none" w:sz="0" w:space="0" w:color="auto"/>
        <w:right w:val="none" w:sz="0" w:space="0" w:color="auto"/>
      </w:divBdr>
    </w:div>
    <w:div w:id="593901203">
      <w:bodyDiv w:val="1"/>
      <w:marLeft w:val="0"/>
      <w:marRight w:val="0"/>
      <w:marTop w:val="0"/>
      <w:marBottom w:val="0"/>
      <w:divBdr>
        <w:top w:val="none" w:sz="0" w:space="0" w:color="auto"/>
        <w:left w:val="none" w:sz="0" w:space="0" w:color="auto"/>
        <w:bottom w:val="none" w:sz="0" w:space="0" w:color="auto"/>
        <w:right w:val="none" w:sz="0" w:space="0" w:color="auto"/>
      </w:divBdr>
    </w:div>
    <w:div w:id="593903953">
      <w:bodyDiv w:val="1"/>
      <w:marLeft w:val="0"/>
      <w:marRight w:val="0"/>
      <w:marTop w:val="0"/>
      <w:marBottom w:val="0"/>
      <w:divBdr>
        <w:top w:val="none" w:sz="0" w:space="0" w:color="auto"/>
        <w:left w:val="none" w:sz="0" w:space="0" w:color="auto"/>
        <w:bottom w:val="none" w:sz="0" w:space="0" w:color="auto"/>
        <w:right w:val="none" w:sz="0" w:space="0" w:color="auto"/>
      </w:divBdr>
    </w:div>
    <w:div w:id="593905646">
      <w:bodyDiv w:val="1"/>
      <w:marLeft w:val="0"/>
      <w:marRight w:val="0"/>
      <w:marTop w:val="0"/>
      <w:marBottom w:val="0"/>
      <w:divBdr>
        <w:top w:val="none" w:sz="0" w:space="0" w:color="auto"/>
        <w:left w:val="none" w:sz="0" w:space="0" w:color="auto"/>
        <w:bottom w:val="none" w:sz="0" w:space="0" w:color="auto"/>
        <w:right w:val="none" w:sz="0" w:space="0" w:color="auto"/>
      </w:divBdr>
    </w:div>
    <w:div w:id="593972505">
      <w:bodyDiv w:val="1"/>
      <w:marLeft w:val="0"/>
      <w:marRight w:val="0"/>
      <w:marTop w:val="0"/>
      <w:marBottom w:val="0"/>
      <w:divBdr>
        <w:top w:val="none" w:sz="0" w:space="0" w:color="auto"/>
        <w:left w:val="none" w:sz="0" w:space="0" w:color="auto"/>
        <w:bottom w:val="none" w:sz="0" w:space="0" w:color="auto"/>
        <w:right w:val="none" w:sz="0" w:space="0" w:color="auto"/>
      </w:divBdr>
    </w:div>
    <w:div w:id="594020896">
      <w:bodyDiv w:val="1"/>
      <w:marLeft w:val="0"/>
      <w:marRight w:val="0"/>
      <w:marTop w:val="0"/>
      <w:marBottom w:val="0"/>
      <w:divBdr>
        <w:top w:val="none" w:sz="0" w:space="0" w:color="auto"/>
        <w:left w:val="none" w:sz="0" w:space="0" w:color="auto"/>
        <w:bottom w:val="none" w:sz="0" w:space="0" w:color="auto"/>
        <w:right w:val="none" w:sz="0" w:space="0" w:color="auto"/>
      </w:divBdr>
    </w:div>
    <w:div w:id="594049457">
      <w:bodyDiv w:val="1"/>
      <w:marLeft w:val="0"/>
      <w:marRight w:val="0"/>
      <w:marTop w:val="0"/>
      <w:marBottom w:val="0"/>
      <w:divBdr>
        <w:top w:val="none" w:sz="0" w:space="0" w:color="auto"/>
        <w:left w:val="none" w:sz="0" w:space="0" w:color="auto"/>
        <w:bottom w:val="none" w:sz="0" w:space="0" w:color="auto"/>
        <w:right w:val="none" w:sz="0" w:space="0" w:color="auto"/>
      </w:divBdr>
    </w:div>
    <w:div w:id="594365382">
      <w:bodyDiv w:val="1"/>
      <w:marLeft w:val="0"/>
      <w:marRight w:val="0"/>
      <w:marTop w:val="0"/>
      <w:marBottom w:val="0"/>
      <w:divBdr>
        <w:top w:val="none" w:sz="0" w:space="0" w:color="auto"/>
        <w:left w:val="none" w:sz="0" w:space="0" w:color="auto"/>
        <w:bottom w:val="none" w:sz="0" w:space="0" w:color="auto"/>
        <w:right w:val="none" w:sz="0" w:space="0" w:color="auto"/>
      </w:divBdr>
    </w:div>
    <w:div w:id="594484624">
      <w:bodyDiv w:val="1"/>
      <w:marLeft w:val="0"/>
      <w:marRight w:val="0"/>
      <w:marTop w:val="0"/>
      <w:marBottom w:val="0"/>
      <w:divBdr>
        <w:top w:val="none" w:sz="0" w:space="0" w:color="auto"/>
        <w:left w:val="none" w:sz="0" w:space="0" w:color="auto"/>
        <w:bottom w:val="none" w:sz="0" w:space="0" w:color="auto"/>
        <w:right w:val="none" w:sz="0" w:space="0" w:color="auto"/>
      </w:divBdr>
    </w:div>
    <w:div w:id="594628604">
      <w:bodyDiv w:val="1"/>
      <w:marLeft w:val="0"/>
      <w:marRight w:val="0"/>
      <w:marTop w:val="0"/>
      <w:marBottom w:val="0"/>
      <w:divBdr>
        <w:top w:val="none" w:sz="0" w:space="0" w:color="auto"/>
        <w:left w:val="none" w:sz="0" w:space="0" w:color="auto"/>
        <w:bottom w:val="none" w:sz="0" w:space="0" w:color="auto"/>
        <w:right w:val="none" w:sz="0" w:space="0" w:color="auto"/>
      </w:divBdr>
    </w:div>
    <w:div w:id="594629783">
      <w:bodyDiv w:val="1"/>
      <w:marLeft w:val="0"/>
      <w:marRight w:val="0"/>
      <w:marTop w:val="0"/>
      <w:marBottom w:val="0"/>
      <w:divBdr>
        <w:top w:val="none" w:sz="0" w:space="0" w:color="auto"/>
        <w:left w:val="none" w:sz="0" w:space="0" w:color="auto"/>
        <w:bottom w:val="none" w:sz="0" w:space="0" w:color="auto"/>
        <w:right w:val="none" w:sz="0" w:space="0" w:color="auto"/>
      </w:divBdr>
    </w:div>
    <w:div w:id="594632739">
      <w:bodyDiv w:val="1"/>
      <w:marLeft w:val="0"/>
      <w:marRight w:val="0"/>
      <w:marTop w:val="0"/>
      <w:marBottom w:val="0"/>
      <w:divBdr>
        <w:top w:val="none" w:sz="0" w:space="0" w:color="auto"/>
        <w:left w:val="none" w:sz="0" w:space="0" w:color="auto"/>
        <w:bottom w:val="none" w:sz="0" w:space="0" w:color="auto"/>
        <w:right w:val="none" w:sz="0" w:space="0" w:color="auto"/>
      </w:divBdr>
    </w:div>
    <w:div w:id="594635390">
      <w:bodyDiv w:val="1"/>
      <w:marLeft w:val="0"/>
      <w:marRight w:val="0"/>
      <w:marTop w:val="0"/>
      <w:marBottom w:val="0"/>
      <w:divBdr>
        <w:top w:val="none" w:sz="0" w:space="0" w:color="auto"/>
        <w:left w:val="none" w:sz="0" w:space="0" w:color="auto"/>
        <w:bottom w:val="none" w:sz="0" w:space="0" w:color="auto"/>
        <w:right w:val="none" w:sz="0" w:space="0" w:color="auto"/>
      </w:divBdr>
    </w:div>
    <w:div w:id="594674416">
      <w:bodyDiv w:val="1"/>
      <w:marLeft w:val="0"/>
      <w:marRight w:val="0"/>
      <w:marTop w:val="0"/>
      <w:marBottom w:val="0"/>
      <w:divBdr>
        <w:top w:val="none" w:sz="0" w:space="0" w:color="auto"/>
        <w:left w:val="none" w:sz="0" w:space="0" w:color="auto"/>
        <w:bottom w:val="none" w:sz="0" w:space="0" w:color="auto"/>
        <w:right w:val="none" w:sz="0" w:space="0" w:color="auto"/>
      </w:divBdr>
    </w:div>
    <w:div w:id="594677426">
      <w:bodyDiv w:val="1"/>
      <w:marLeft w:val="0"/>
      <w:marRight w:val="0"/>
      <w:marTop w:val="0"/>
      <w:marBottom w:val="0"/>
      <w:divBdr>
        <w:top w:val="none" w:sz="0" w:space="0" w:color="auto"/>
        <w:left w:val="none" w:sz="0" w:space="0" w:color="auto"/>
        <w:bottom w:val="none" w:sz="0" w:space="0" w:color="auto"/>
        <w:right w:val="none" w:sz="0" w:space="0" w:color="auto"/>
      </w:divBdr>
    </w:div>
    <w:div w:id="594679693">
      <w:bodyDiv w:val="1"/>
      <w:marLeft w:val="0"/>
      <w:marRight w:val="0"/>
      <w:marTop w:val="0"/>
      <w:marBottom w:val="0"/>
      <w:divBdr>
        <w:top w:val="none" w:sz="0" w:space="0" w:color="auto"/>
        <w:left w:val="none" w:sz="0" w:space="0" w:color="auto"/>
        <w:bottom w:val="none" w:sz="0" w:space="0" w:color="auto"/>
        <w:right w:val="none" w:sz="0" w:space="0" w:color="auto"/>
      </w:divBdr>
    </w:div>
    <w:div w:id="595016421">
      <w:bodyDiv w:val="1"/>
      <w:marLeft w:val="0"/>
      <w:marRight w:val="0"/>
      <w:marTop w:val="0"/>
      <w:marBottom w:val="0"/>
      <w:divBdr>
        <w:top w:val="none" w:sz="0" w:space="0" w:color="auto"/>
        <w:left w:val="none" w:sz="0" w:space="0" w:color="auto"/>
        <w:bottom w:val="none" w:sz="0" w:space="0" w:color="auto"/>
        <w:right w:val="none" w:sz="0" w:space="0" w:color="auto"/>
      </w:divBdr>
    </w:div>
    <w:div w:id="595089877">
      <w:bodyDiv w:val="1"/>
      <w:marLeft w:val="0"/>
      <w:marRight w:val="0"/>
      <w:marTop w:val="0"/>
      <w:marBottom w:val="0"/>
      <w:divBdr>
        <w:top w:val="none" w:sz="0" w:space="0" w:color="auto"/>
        <w:left w:val="none" w:sz="0" w:space="0" w:color="auto"/>
        <w:bottom w:val="none" w:sz="0" w:space="0" w:color="auto"/>
        <w:right w:val="none" w:sz="0" w:space="0" w:color="auto"/>
      </w:divBdr>
    </w:div>
    <w:div w:id="595213182">
      <w:bodyDiv w:val="1"/>
      <w:marLeft w:val="0"/>
      <w:marRight w:val="0"/>
      <w:marTop w:val="0"/>
      <w:marBottom w:val="0"/>
      <w:divBdr>
        <w:top w:val="none" w:sz="0" w:space="0" w:color="auto"/>
        <w:left w:val="none" w:sz="0" w:space="0" w:color="auto"/>
        <w:bottom w:val="none" w:sz="0" w:space="0" w:color="auto"/>
        <w:right w:val="none" w:sz="0" w:space="0" w:color="auto"/>
      </w:divBdr>
    </w:div>
    <w:div w:id="595290092">
      <w:bodyDiv w:val="1"/>
      <w:marLeft w:val="0"/>
      <w:marRight w:val="0"/>
      <w:marTop w:val="0"/>
      <w:marBottom w:val="0"/>
      <w:divBdr>
        <w:top w:val="none" w:sz="0" w:space="0" w:color="auto"/>
        <w:left w:val="none" w:sz="0" w:space="0" w:color="auto"/>
        <w:bottom w:val="none" w:sz="0" w:space="0" w:color="auto"/>
        <w:right w:val="none" w:sz="0" w:space="0" w:color="auto"/>
      </w:divBdr>
    </w:div>
    <w:div w:id="595359186">
      <w:bodyDiv w:val="1"/>
      <w:marLeft w:val="0"/>
      <w:marRight w:val="0"/>
      <w:marTop w:val="0"/>
      <w:marBottom w:val="0"/>
      <w:divBdr>
        <w:top w:val="none" w:sz="0" w:space="0" w:color="auto"/>
        <w:left w:val="none" w:sz="0" w:space="0" w:color="auto"/>
        <w:bottom w:val="none" w:sz="0" w:space="0" w:color="auto"/>
        <w:right w:val="none" w:sz="0" w:space="0" w:color="auto"/>
      </w:divBdr>
    </w:div>
    <w:div w:id="595360572">
      <w:bodyDiv w:val="1"/>
      <w:marLeft w:val="0"/>
      <w:marRight w:val="0"/>
      <w:marTop w:val="0"/>
      <w:marBottom w:val="0"/>
      <w:divBdr>
        <w:top w:val="none" w:sz="0" w:space="0" w:color="auto"/>
        <w:left w:val="none" w:sz="0" w:space="0" w:color="auto"/>
        <w:bottom w:val="none" w:sz="0" w:space="0" w:color="auto"/>
        <w:right w:val="none" w:sz="0" w:space="0" w:color="auto"/>
      </w:divBdr>
    </w:div>
    <w:div w:id="595402775">
      <w:bodyDiv w:val="1"/>
      <w:marLeft w:val="0"/>
      <w:marRight w:val="0"/>
      <w:marTop w:val="0"/>
      <w:marBottom w:val="0"/>
      <w:divBdr>
        <w:top w:val="none" w:sz="0" w:space="0" w:color="auto"/>
        <w:left w:val="none" w:sz="0" w:space="0" w:color="auto"/>
        <w:bottom w:val="none" w:sz="0" w:space="0" w:color="auto"/>
        <w:right w:val="none" w:sz="0" w:space="0" w:color="auto"/>
      </w:divBdr>
    </w:div>
    <w:div w:id="595478684">
      <w:bodyDiv w:val="1"/>
      <w:marLeft w:val="0"/>
      <w:marRight w:val="0"/>
      <w:marTop w:val="0"/>
      <w:marBottom w:val="0"/>
      <w:divBdr>
        <w:top w:val="none" w:sz="0" w:space="0" w:color="auto"/>
        <w:left w:val="none" w:sz="0" w:space="0" w:color="auto"/>
        <w:bottom w:val="none" w:sz="0" w:space="0" w:color="auto"/>
        <w:right w:val="none" w:sz="0" w:space="0" w:color="auto"/>
      </w:divBdr>
    </w:div>
    <w:div w:id="595482115">
      <w:bodyDiv w:val="1"/>
      <w:marLeft w:val="0"/>
      <w:marRight w:val="0"/>
      <w:marTop w:val="0"/>
      <w:marBottom w:val="0"/>
      <w:divBdr>
        <w:top w:val="none" w:sz="0" w:space="0" w:color="auto"/>
        <w:left w:val="none" w:sz="0" w:space="0" w:color="auto"/>
        <w:bottom w:val="none" w:sz="0" w:space="0" w:color="auto"/>
        <w:right w:val="none" w:sz="0" w:space="0" w:color="auto"/>
      </w:divBdr>
    </w:div>
    <w:div w:id="595594121">
      <w:bodyDiv w:val="1"/>
      <w:marLeft w:val="0"/>
      <w:marRight w:val="0"/>
      <w:marTop w:val="0"/>
      <w:marBottom w:val="0"/>
      <w:divBdr>
        <w:top w:val="none" w:sz="0" w:space="0" w:color="auto"/>
        <w:left w:val="none" w:sz="0" w:space="0" w:color="auto"/>
        <w:bottom w:val="none" w:sz="0" w:space="0" w:color="auto"/>
        <w:right w:val="none" w:sz="0" w:space="0" w:color="auto"/>
      </w:divBdr>
    </w:div>
    <w:div w:id="595677780">
      <w:bodyDiv w:val="1"/>
      <w:marLeft w:val="0"/>
      <w:marRight w:val="0"/>
      <w:marTop w:val="0"/>
      <w:marBottom w:val="0"/>
      <w:divBdr>
        <w:top w:val="none" w:sz="0" w:space="0" w:color="auto"/>
        <w:left w:val="none" w:sz="0" w:space="0" w:color="auto"/>
        <w:bottom w:val="none" w:sz="0" w:space="0" w:color="auto"/>
        <w:right w:val="none" w:sz="0" w:space="0" w:color="auto"/>
      </w:divBdr>
    </w:div>
    <w:div w:id="595867720">
      <w:bodyDiv w:val="1"/>
      <w:marLeft w:val="0"/>
      <w:marRight w:val="0"/>
      <w:marTop w:val="0"/>
      <w:marBottom w:val="0"/>
      <w:divBdr>
        <w:top w:val="none" w:sz="0" w:space="0" w:color="auto"/>
        <w:left w:val="none" w:sz="0" w:space="0" w:color="auto"/>
        <w:bottom w:val="none" w:sz="0" w:space="0" w:color="auto"/>
        <w:right w:val="none" w:sz="0" w:space="0" w:color="auto"/>
      </w:divBdr>
    </w:div>
    <w:div w:id="595871466">
      <w:bodyDiv w:val="1"/>
      <w:marLeft w:val="0"/>
      <w:marRight w:val="0"/>
      <w:marTop w:val="0"/>
      <w:marBottom w:val="0"/>
      <w:divBdr>
        <w:top w:val="none" w:sz="0" w:space="0" w:color="auto"/>
        <w:left w:val="none" w:sz="0" w:space="0" w:color="auto"/>
        <w:bottom w:val="none" w:sz="0" w:space="0" w:color="auto"/>
        <w:right w:val="none" w:sz="0" w:space="0" w:color="auto"/>
      </w:divBdr>
    </w:div>
    <w:div w:id="596182217">
      <w:bodyDiv w:val="1"/>
      <w:marLeft w:val="0"/>
      <w:marRight w:val="0"/>
      <w:marTop w:val="0"/>
      <w:marBottom w:val="0"/>
      <w:divBdr>
        <w:top w:val="none" w:sz="0" w:space="0" w:color="auto"/>
        <w:left w:val="none" w:sz="0" w:space="0" w:color="auto"/>
        <w:bottom w:val="none" w:sz="0" w:space="0" w:color="auto"/>
        <w:right w:val="none" w:sz="0" w:space="0" w:color="auto"/>
      </w:divBdr>
    </w:div>
    <w:div w:id="596329390">
      <w:bodyDiv w:val="1"/>
      <w:marLeft w:val="0"/>
      <w:marRight w:val="0"/>
      <w:marTop w:val="0"/>
      <w:marBottom w:val="0"/>
      <w:divBdr>
        <w:top w:val="none" w:sz="0" w:space="0" w:color="auto"/>
        <w:left w:val="none" w:sz="0" w:space="0" w:color="auto"/>
        <w:bottom w:val="none" w:sz="0" w:space="0" w:color="auto"/>
        <w:right w:val="none" w:sz="0" w:space="0" w:color="auto"/>
      </w:divBdr>
    </w:div>
    <w:div w:id="596332358">
      <w:bodyDiv w:val="1"/>
      <w:marLeft w:val="0"/>
      <w:marRight w:val="0"/>
      <w:marTop w:val="0"/>
      <w:marBottom w:val="0"/>
      <w:divBdr>
        <w:top w:val="none" w:sz="0" w:space="0" w:color="auto"/>
        <w:left w:val="none" w:sz="0" w:space="0" w:color="auto"/>
        <w:bottom w:val="none" w:sz="0" w:space="0" w:color="auto"/>
        <w:right w:val="none" w:sz="0" w:space="0" w:color="auto"/>
      </w:divBdr>
    </w:div>
    <w:div w:id="596401337">
      <w:bodyDiv w:val="1"/>
      <w:marLeft w:val="0"/>
      <w:marRight w:val="0"/>
      <w:marTop w:val="0"/>
      <w:marBottom w:val="0"/>
      <w:divBdr>
        <w:top w:val="none" w:sz="0" w:space="0" w:color="auto"/>
        <w:left w:val="none" w:sz="0" w:space="0" w:color="auto"/>
        <w:bottom w:val="none" w:sz="0" w:space="0" w:color="auto"/>
        <w:right w:val="none" w:sz="0" w:space="0" w:color="auto"/>
      </w:divBdr>
    </w:div>
    <w:div w:id="596405221">
      <w:bodyDiv w:val="1"/>
      <w:marLeft w:val="0"/>
      <w:marRight w:val="0"/>
      <w:marTop w:val="0"/>
      <w:marBottom w:val="0"/>
      <w:divBdr>
        <w:top w:val="none" w:sz="0" w:space="0" w:color="auto"/>
        <w:left w:val="none" w:sz="0" w:space="0" w:color="auto"/>
        <w:bottom w:val="none" w:sz="0" w:space="0" w:color="auto"/>
        <w:right w:val="none" w:sz="0" w:space="0" w:color="auto"/>
      </w:divBdr>
    </w:div>
    <w:div w:id="596524170">
      <w:bodyDiv w:val="1"/>
      <w:marLeft w:val="0"/>
      <w:marRight w:val="0"/>
      <w:marTop w:val="0"/>
      <w:marBottom w:val="0"/>
      <w:divBdr>
        <w:top w:val="none" w:sz="0" w:space="0" w:color="auto"/>
        <w:left w:val="none" w:sz="0" w:space="0" w:color="auto"/>
        <w:bottom w:val="none" w:sz="0" w:space="0" w:color="auto"/>
        <w:right w:val="none" w:sz="0" w:space="0" w:color="auto"/>
      </w:divBdr>
    </w:div>
    <w:div w:id="596527337">
      <w:bodyDiv w:val="1"/>
      <w:marLeft w:val="0"/>
      <w:marRight w:val="0"/>
      <w:marTop w:val="0"/>
      <w:marBottom w:val="0"/>
      <w:divBdr>
        <w:top w:val="none" w:sz="0" w:space="0" w:color="auto"/>
        <w:left w:val="none" w:sz="0" w:space="0" w:color="auto"/>
        <w:bottom w:val="none" w:sz="0" w:space="0" w:color="auto"/>
        <w:right w:val="none" w:sz="0" w:space="0" w:color="auto"/>
      </w:divBdr>
    </w:div>
    <w:div w:id="596789147">
      <w:bodyDiv w:val="1"/>
      <w:marLeft w:val="0"/>
      <w:marRight w:val="0"/>
      <w:marTop w:val="0"/>
      <w:marBottom w:val="0"/>
      <w:divBdr>
        <w:top w:val="none" w:sz="0" w:space="0" w:color="auto"/>
        <w:left w:val="none" w:sz="0" w:space="0" w:color="auto"/>
        <w:bottom w:val="none" w:sz="0" w:space="0" w:color="auto"/>
        <w:right w:val="none" w:sz="0" w:space="0" w:color="auto"/>
      </w:divBdr>
    </w:div>
    <w:div w:id="596863816">
      <w:bodyDiv w:val="1"/>
      <w:marLeft w:val="0"/>
      <w:marRight w:val="0"/>
      <w:marTop w:val="0"/>
      <w:marBottom w:val="0"/>
      <w:divBdr>
        <w:top w:val="none" w:sz="0" w:space="0" w:color="auto"/>
        <w:left w:val="none" w:sz="0" w:space="0" w:color="auto"/>
        <w:bottom w:val="none" w:sz="0" w:space="0" w:color="auto"/>
        <w:right w:val="none" w:sz="0" w:space="0" w:color="auto"/>
      </w:divBdr>
    </w:div>
    <w:div w:id="596907679">
      <w:bodyDiv w:val="1"/>
      <w:marLeft w:val="0"/>
      <w:marRight w:val="0"/>
      <w:marTop w:val="0"/>
      <w:marBottom w:val="0"/>
      <w:divBdr>
        <w:top w:val="none" w:sz="0" w:space="0" w:color="auto"/>
        <w:left w:val="none" w:sz="0" w:space="0" w:color="auto"/>
        <w:bottom w:val="none" w:sz="0" w:space="0" w:color="auto"/>
        <w:right w:val="none" w:sz="0" w:space="0" w:color="auto"/>
      </w:divBdr>
    </w:div>
    <w:div w:id="596910704">
      <w:bodyDiv w:val="1"/>
      <w:marLeft w:val="0"/>
      <w:marRight w:val="0"/>
      <w:marTop w:val="0"/>
      <w:marBottom w:val="0"/>
      <w:divBdr>
        <w:top w:val="none" w:sz="0" w:space="0" w:color="auto"/>
        <w:left w:val="none" w:sz="0" w:space="0" w:color="auto"/>
        <w:bottom w:val="none" w:sz="0" w:space="0" w:color="auto"/>
        <w:right w:val="none" w:sz="0" w:space="0" w:color="auto"/>
      </w:divBdr>
    </w:div>
    <w:div w:id="596983240">
      <w:bodyDiv w:val="1"/>
      <w:marLeft w:val="0"/>
      <w:marRight w:val="0"/>
      <w:marTop w:val="0"/>
      <w:marBottom w:val="0"/>
      <w:divBdr>
        <w:top w:val="none" w:sz="0" w:space="0" w:color="auto"/>
        <w:left w:val="none" w:sz="0" w:space="0" w:color="auto"/>
        <w:bottom w:val="none" w:sz="0" w:space="0" w:color="auto"/>
        <w:right w:val="none" w:sz="0" w:space="0" w:color="auto"/>
      </w:divBdr>
    </w:div>
    <w:div w:id="597063472">
      <w:bodyDiv w:val="1"/>
      <w:marLeft w:val="0"/>
      <w:marRight w:val="0"/>
      <w:marTop w:val="0"/>
      <w:marBottom w:val="0"/>
      <w:divBdr>
        <w:top w:val="none" w:sz="0" w:space="0" w:color="auto"/>
        <w:left w:val="none" w:sz="0" w:space="0" w:color="auto"/>
        <w:bottom w:val="none" w:sz="0" w:space="0" w:color="auto"/>
        <w:right w:val="none" w:sz="0" w:space="0" w:color="auto"/>
      </w:divBdr>
    </w:div>
    <w:div w:id="597101749">
      <w:bodyDiv w:val="1"/>
      <w:marLeft w:val="0"/>
      <w:marRight w:val="0"/>
      <w:marTop w:val="0"/>
      <w:marBottom w:val="0"/>
      <w:divBdr>
        <w:top w:val="none" w:sz="0" w:space="0" w:color="auto"/>
        <w:left w:val="none" w:sz="0" w:space="0" w:color="auto"/>
        <w:bottom w:val="none" w:sz="0" w:space="0" w:color="auto"/>
        <w:right w:val="none" w:sz="0" w:space="0" w:color="auto"/>
      </w:divBdr>
    </w:div>
    <w:div w:id="597297112">
      <w:bodyDiv w:val="1"/>
      <w:marLeft w:val="0"/>
      <w:marRight w:val="0"/>
      <w:marTop w:val="0"/>
      <w:marBottom w:val="0"/>
      <w:divBdr>
        <w:top w:val="none" w:sz="0" w:space="0" w:color="auto"/>
        <w:left w:val="none" w:sz="0" w:space="0" w:color="auto"/>
        <w:bottom w:val="none" w:sz="0" w:space="0" w:color="auto"/>
        <w:right w:val="none" w:sz="0" w:space="0" w:color="auto"/>
      </w:divBdr>
    </w:div>
    <w:div w:id="597446171">
      <w:bodyDiv w:val="1"/>
      <w:marLeft w:val="0"/>
      <w:marRight w:val="0"/>
      <w:marTop w:val="0"/>
      <w:marBottom w:val="0"/>
      <w:divBdr>
        <w:top w:val="none" w:sz="0" w:space="0" w:color="auto"/>
        <w:left w:val="none" w:sz="0" w:space="0" w:color="auto"/>
        <w:bottom w:val="none" w:sz="0" w:space="0" w:color="auto"/>
        <w:right w:val="none" w:sz="0" w:space="0" w:color="auto"/>
      </w:divBdr>
    </w:div>
    <w:div w:id="597449310">
      <w:bodyDiv w:val="1"/>
      <w:marLeft w:val="0"/>
      <w:marRight w:val="0"/>
      <w:marTop w:val="0"/>
      <w:marBottom w:val="0"/>
      <w:divBdr>
        <w:top w:val="none" w:sz="0" w:space="0" w:color="auto"/>
        <w:left w:val="none" w:sz="0" w:space="0" w:color="auto"/>
        <w:bottom w:val="none" w:sz="0" w:space="0" w:color="auto"/>
        <w:right w:val="none" w:sz="0" w:space="0" w:color="auto"/>
      </w:divBdr>
    </w:div>
    <w:div w:id="597451068">
      <w:bodyDiv w:val="1"/>
      <w:marLeft w:val="0"/>
      <w:marRight w:val="0"/>
      <w:marTop w:val="0"/>
      <w:marBottom w:val="0"/>
      <w:divBdr>
        <w:top w:val="none" w:sz="0" w:space="0" w:color="auto"/>
        <w:left w:val="none" w:sz="0" w:space="0" w:color="auto"/>
        <w:bottom w:val="none" w:sz="0" w:space="0" w:color="auto"/>
        <w:right w:val="none" w:sz="0" w:space="0" w:color="auto"/>
      </w:divBdr>
    </w:div>
    <w:div w:id="597521675">
      <w:bodyDiv w:val="1"/>
      <w:marLeft w:val="0"/>
      <w:marRight w:val="0"/>
      <w:marTop w:val="0"/>
      <w:marBottom w:val="0"/>
      <w:divBdr>
        <w:top w:val="none" w:sz="0" w:space="0" w:color="auto"/>
        <w:left w:val="none" w:sz="0" w:space="0" w:color="auto"/>
        <w:bottom w:val="none" w:sz="0" w:space="0" w:color="auto"/>
        <w:right w:val="none" w:sz="0" w:space="0" w:color="auto"/>
      </w:divBdr>
    </w:div>
    <w:div w:id="597761164">
      <w:bodyDiv w:val="1"/>
      <w:marLeft w:val="0"/>
      <w:marRight w:val="0"/>
      <w:marTop w:val="0"/>
      <w:marBottom w:val="0"/>
      <w:divBdr>
        <w:top w:val="none" w:sz="0" w:space="0" w:color="auto"/>
        <w:left w:val="none" w:sz="0" w:space="0" w:color="auto"/>
        <w:bottom w:val="none" w:sz="0" w:space="0" w:color="auto"/>
        <w:right w:val="none" w:sz="0" w:space="0" w:color="auto"/>
      </w:divBdr>
    </w:div>
    <w:div w:id="598022518">
      <w:bodyDiv w:val="1"/>
      <w:marLeft w:val="0"/>
      <w:marRight w:val="0"/>
      <w:marTop w:val="0"/>
      <w:marBottom w:val="0"/>
      <w:divBdr>
        <w:top w:val="none" w:sz="0" w:space="0" w:color="auto"/>
        <w:left w:val="none" w:sz="0" w:space="0" w:color="auto"/>
        <w:bottom w:val="none" w:sz="0" w:space="0" w:color="auto"/>
        <w:right w:val="none" w:sz="0" w:space="0" w:color="auto"/>
      </w:divBdr>
    </w:div>
    <w:div w:id="598175537">
      <w:bodyDiv w:val="1"/>
      <w:marLeft w:val="0"/>
      <w:marRight w:val="0"/>
      <w:marTop w:val="0"/>
      <w:marBottom w:val="0"/>
      <w:divBdr>
        <w:top w:val="none" w:sz="0" w:space="0" w:color="auto"/>
        <w:left w:val="none" w:sz="0" w:space="0" w:color="auto"/>
        <w:bottom w:val="none" w:sz="0" w:space="0" w:color="auto"/>
        <w:right w:val="none" w:sz="0" w:space="0" w:color="auto"/>
      </w:divBdr>
    </w:div>
    <w:div w:id="598216904">
      <w:bodyDiv w:val="1"/>
      <w:marLeft w:val="0"/>
      <w:marRight w:val="0"/>
      <w:marTop w:val="0"/>
      <w:marBottom w:val="0"/>
      <w:divBdr>
        <w:top w:val="none" w:sz="0" w:space="0" w:color="auto"/>
        <w:left w:val="none" w:sz="0" w:space="0" w:color="auto"/>
        <w:bottom w:val="none" w:sz="0" w:space="0" w:color="auto"/>
        <w:right w:val="none" w:sz="0" w:space="0" w:color="auto"/>
      </w:divBdr>
    </w:div>
    <w:div w:id="598221139">
      <w:bodyDiv w:val="1"/>
      <w:marLeft w:val="0"/>
      <w:marRight w:val="0"/>
      <w:marTop w:val="0"/>
      <w:marBottom w:val="0"/>
      <w:divBdr>
        <w:top w:val="none" w:sz="0" w:space="0" w:color="auto"/>
        <w:left w:val="none" w:sz="0" w:space="0" w:color="auto"/>
        <w:bottom w:val="none" w:sz="0" w:space="0" w:color="auto"/>
        <w:right w:val="none" w:sz="0" w:space="0" w:color="auto"/>
      </w:divBdr>
    </w:div>
    <w:div w:id="598221369">
      <w:bodyDiv w:val="1"/>
      <w:marLeft w:val="0"/>
      <w:marRight w:val="0"/>
      <w:marTop w:val="0"/>
      <w:marBottom w:val="0"/>
      <w:divBdr>
        <w:top w:val="none" w:sz="0" w:space="0" w:color="auto"/>
        <w:left w:val="none" w:sz="0" w:space="0" w:color="auto"/>
        <w:bottom w:val="none" w:sz="0" w:space="0" w:color="auto"/>
        <w:right w:val="none" w:sz="0" w:space="0" w:color="auto"/>
      </w:divBdr>
    </w:div>
    <w:div w:id="598298947">
      <w:bodyDiv w:val="1"/>
      <w:marLeft w:val="0"/>
      <w:marRight w:val="0"/>
      <w:marTop w:val="0"/>
      <w:marBottom w:val="0"/>
      <w:divBdr>
        <w:top w:val="none" w:sz="0" w:space="0" w:color="auto"/>
        <w:left w:val="none" w:sz="0" w:space="0" w:color="auto"/>
        <w:bottom w:val="none" w:sz="0" w:space="0" w:color="auto"/>
        <w:right w:val="none" w:sz="0" w:space="0" w:color="auto"/>
      </w:divBdr>
    </w:div>
    <w:div w:id="598484607">
      <w:bodyDiv w:val="1"/>
      <w:marLeft w:val="0"/>
      <w:marRight w:val="0"/>
      <w:marTop w:val="0"/>
      <w:marBottom w:val="0"/>
      <w:divBdr>
        <w:top w:val="none" w:sz="0" w:space="0" w:color="auto"/>
        <w:left w:val="none" w:sz="0" w:space="0" w:color="auto"/>
        <w:bottom w:val="none" w:sz="0" w:space="0" w:color="auto"/>
        <w:right w:val="none" w:sz="0" w:space="0" w:color="auto"/>
      </w:divBdr>
    </w:div>
    <w:div w:id="598485165">
      <w:bodyDiv w:val="1"/>
      <w:marLeft w:val="0"/>
      <w:marRight w:val="0"/>
      <w:marTop w:val="0"/>
      <w:marBottom w:val="0"/>
      <w:divBdr>
        <w:top w:val="none" w:sz="0" w:space="0" w:color="auto"/>
        <w:left w:val="none" w:sz="0" w:space="0" w:color="auto"/>
        <w:bottom w:val="none" w:sz="0" w:space="0" w:color="auto"/>
        <w:right w:val="none" w:sz="0" w:space="0" w:color="auto"/>
      </w:divBdr>
    </w:div>
    <w:div w:id="598486887">
      <w:bodyDiv w:val="1"/>
      <w:marLeft w:val="0"/>
      <w:marRight w:val="0"/>
      <w:marTop w:val="0"/>
      <w:marBottom w:val="0"/>
      <w:divBdr>
        <w:top w:val="none" w:sz="0" w:space="0" w:color="auto"/>
        <w:left w:val="none" w:sz="0" w:space="0" w:color="auto"/>
        <w:bottom w:val="none" w:sz="0" w:space="0" w:color="auto"/>
        <w:right w:val="none" w:sz="0" w:space="0" w:color="auto"/>
      </w:divBdr>
    </w:div>
    <w:div w:id="598487882">
      <w:bodyDiv w:val="1"/>
      <w:marLeft w:val="0"/>
      <w:marRight w:val="0"/>
      <w:marTop w:val="0"/>
      <w:marBottom w:val="0"/>
      <w:divBdr>
        <w:top w:val="none" w:sz="0" w:space="0" w:color="auto"/>
        <w:left w:val="none" w:sz="0" w:space="0" w:color="auto"/>
        <w:bottom w:val="none" w:sz="0" w:space="0" w:color="auto"/>
        <w:right w:val="none" w:sz="0" w:space="0" w:color="auto"/>
      </w:divBdr>
    </w:div>
    <w:div w:id="598566250">
      <w:bodyDiv w:val="1"/>
      <w:marLeft w:val="0"/>
      <w:marRight w:val="0"/>
      <w:marTop w:val="0"/>
      <w:marBottom w:val="0"/>
      <w:divBdr>
        <w:top w:val="none" w:sz="0" w:space="0" w:color="auto"/>
        <w:left w:val="none" w:sz="0" w:space="0" w:color="auto"/>
        <w:bottom w:val="none" w:sz="0" w:space="0" w:color="auto"/>
        <w:right w:val="none" w:sz="0" w:space="0" w:color="auto"/>
      </w:divBdr>
    </w:div>
    <w:div w:id="598638270">
      <w:bodyDiv w:val="1"/>
      <w:marLeft w:val="0"/>
      <w:marRight w:val="0"/>
      <w:marTop w:val="0"/>
      <w:marBottom w:val="0"/>
      <w:divBdr>
        <w:top w:val="none" w:sz="0" w:space="0" w:color="auto"/>
        <w:left w:val="none" w:sz="0" w:space="0" w:color="auto"/>
        <w:bottom w:val="none" w:sz="0" w:space="0" w:color="auto"/>
        <w:right w:val="none" w:sz="0" w:space="0" w:color="auto"/>
      </w:divBdr>
    </w:div>
    <w:div w:id="598951315">
      <w:bodyDiv w:val="1"/>
      <w:marLeft w:val="0"/>
      <w:marRight w:val="0"/>
      <w:marTop w:val="0"/>
      <w:marBottom w:val="0"/>
      <w:divBdr>
        <w:top w:val="none" w:sz="0" w:space="0" w:color="auto"/>
        <w:left w:val="none" w:sz="0" w:space="0" w:color="auto"/>
        <w:bottom w:val="none" w:sz="0" w:space="0" w:color="auto"/>
        <w:right w:val="none" w:sz="0" w:space="0" w:color="auto"/>
      </w:divBdr>
    </w:div>
    <w:div w:id="599072630">
      <w:bodyDiv w:val="1"/>
      <w:marLeft w:val="0"/>
      <w:marRight w:val="0"/>
      <w:marTop w:val="0"/>
      <w:marBottom w:val="0"/>
      <w:divBdr>
        <w:top w:val="none" w:sz="0" w:space="0" w:color="auto"/>
        <w:left w:val="none" w:sz="0" w:space="0" w:color="auto"/>
        <w:bottom w:val="none" w:sz="0" w:space="0" w:color="auto"/>
        <w:right w:val="none" w:sz="0" w:space="0" w:color="auto"/>
      </w:divBdr>
    </w:div>
    <w:div w:id="599147079">
      <w:bodyDiv w:val="1"/>
      <w:marLeft w:val="0"/>
      <w:marRight w:val="0"/>
      <w:marTop w:val="0"/>
      <w:marBottom w:val="0"/>
      <w:divBdr>
        <w:top w:val="none" w:sz="0" w:space="0" w:color="auto"/>
        <w:left w:val="none" w:sz="0" w:space="0" w:color="auto"/>
        <w:bottom w:val="none" w:sz="0" w:space="0" w:color="auto"/>
        <w:right w:val="none" w:sz="0" w:space="0" w:color="auto"/>
      </w:divBdr>
    </w:div>
    <w:div w:id="599261904">
      <w:bodyDiv w:val="1"/>
      <w:marLeft w:val="0"/>
      <w:marRight w:val="0"/>
      <w:marTop w:val="0"/>
      <w:marBottom w:val="0"/>
      <w:divBdr>
        <w:top w:val="none" w:sz="0" w:space="0" w:color="auto"/>
        <w:left w:val="none" w:sz="0" w:space="0" w:color="auto"/>
        <w:bottom w:val="none" w:sz="0" w:space="0" w:color="auto"/>
        <w:right w:val="none" w:sz="0" w:space="0" w:color="auto"/>
      </w:divBdr>
    </w:div>
    <w:div w:id="599290260">
      <w:bodyDiv w:val="1"/>
      <w:marLeft w:val="0"/>
      <w:marRight w:val="0"/>
      <w:marTop w:val="0"/>
      <w:marBottom w:val="0"/>
      <w:divBdr>
        <w:top w:val="none" w:sz="0" w:space="0" w:color="auto"/>
        <w:left w:val="none" w:sz="0" w:space="0" w:color="auto"/>
        <w:bottom w:val="none" w:sz="0" w:space="0" w:color="auto"/>
        <w:right w:val="none" w:sz="0" w:space="0" w:color="auto"/>
      </w:divBdr>
    </w:div>
    <w:div w:id="599414012">
      <w:bodyDiv w:val="1"/>
      <w:marLeft w:val="0"/>
      <w:marRight w:val="0"/>
      <w:marTop w:val="0"/>
      <w:marBottom w:val="0"/>
      <w:divBdr>
        <w:top w:val="none" w:sz="0" w:space="0" w:color="auto"/>
        <w:left w:val="none" w:sz="0" w:space="0" w:color="auto"/>
        <w:bottom w:val="none" w:sz="0" w:space="0" w:color="auto"/>
        <w:right w:val="none" w:sz="0" w:space="0" w:color="auto"/>
      </w:divBdr>
    </w:div>
    <w:div w:id="599533250">
      <w:bodyDiv w:val="1"/>
      <w:marLeft w:val="0"/>
      <w:marRight w:val="0"/>
      <w:marTop w:val="0"/>
      <w:marBottom w:val="0"/>
      <w:divBdr>
        <w:top w:val="none" w:sz="0" w:space="0" w:color="auto"/>
        <w:left w:val="none" w:sz="0" w:space="0" w:color="auto"/>
        <w:bottom w:val="none" w:sz="0" w:space="0" w:color="auto"/>
        <w:right w:val="none" w:sz="0" w:space="0" w:color="auto"/>
      </w:divBdr>
    </w:div>
    <w:div w:id="599601503">
      <w:bodyDiv w:val="1"/>
      <w:marLeft w:val="0"/>
      <w:marRight w:val="0"/>
      <w:marTop w:val="0"/>
      <w:marBottom w:val="0"/>
      <w:divBdr>
        <w:top w:val="none" w:sz="0" w:space="0" w:color="auto"/>
        <w:left w:val="none" w:sz="0" w:space="0" w:color="auto"/>
        <w:bottom w:val="none" w:sz="0" w:space="0" w:color="auto"/>
        <w:right w:val="none" w:sz="0" w:space="0" w:color="auto"/>
      </w:divBdr>
    </w:div>
    <w:div w:id="599607176">
      <w:bodyDiv w:val="1"/>
      <w:marLeft w:val="0"/>
      <w:marRight w:val="0"/>
      <w:marTop w:val="0"/>
      <w:marBottom w:val="0"/>
      <w:divBdr>
        <w:top w:val="none" w:sz="0" w:space="0" w:color="auto"/>
        <w:left w:val="none" w:sz="0" w:space="0" w:color="auto"/>
        <w:bottom w:val="none" w:sz="0" w:space="0" w:color="auto"/>
        <w:right w:val="none" w:sz="0" w:space="0" w:color="auto"/>
      </w:divBdr>
    </w:div>
    <w:div w:id="599607523">
      <w:bodyDiv w:val="1"/>
      <w:marLeft w:val="0"/>
      <w:marRight w:val="0"/>
      <w:marTop w:val="0"/>
      <w:marBottom w:val="0"/>
      <w:divBdr>
        <w:top w:val="none" w:sz="0" w:space="0" w:color="auto"/>
        <w:left w:val="none" w:sz="0" w:space="0" w:color="auto"/>
        <w:bottom w:val="none" w:sz="0" w:space="0" w:color="auto"/>
        <w:right w:val="none" w:sz="0" w:space="0" w:color="auto"/>
      </w:divBdr>
    </w:div>
    <w:div w:id="599685979">
      <w:bodyDiv w:val="1"/>
      <w:marLeft w:val="0"/>
      <w:marRight w:val="0"/>
      <w:marTop w:val="0"/>
      <w:marBottom w:val="0"/>
      <w:divBdr>
        <w:top w:val="none" w:sz="0" w:space="0" w:color="auto"/>
        <w:left w:val="none" w:sz="0" w:space="0" w:color="auto"/>
        <w:bottom w:val="none" w:sz="0" w:space="0" w:color="auto"/>
        <w:right w:val="none" w:sz="0" w:space="0" w:color="auto"/>
      </w:divBdr>
    </w:div>
    <w:div w:id="599752375">
      <w:bodyDiv w:val="1"/>
      <w:marLeft w:val="0"/>
      <w:marRight w:val="0"/>
      <w:marTop w:val="0"/>
      <w:marBottom w:val="0"/>
      <w:divBdr>
        <w:top w:val="none" w:sz="0" w:space="0" w:color="auto"/>
        <w:left w:val="none" w:sz="0" w:space="0" w:color="auto"/>
        <w:bottom w:val="none" w:sz="0" w:space="0" w:color="auto"/>
        <w:right w:val="none" w:sz="0" w:space="0" w:color="auto"/>
      </w:divBdr>
    </w:div>
    <w:div w:id="599796615">
      <w:bodyDiv w:val="1"/>
      <w:marLeft w:val="0"/>
      <w:marRight w:val="0"/>
      <w:marTop w:val="0"/>
      <w:marBottom w:val="0"/>
      <w:divBdr>
        <w:top w:val="none" w:sz="0" w:space="0" w:color="auto"/>
        <w:left w:val="none" w:sz="0" w:space="0" w:color="auto"/>
        <w:bottom w:val="none" w:sz="0" w:space="0" w:color="auto"/>
        <w:right w:val="none" w:sz="0" w:space="0" w:color="auto"/>
      </w:divBdr>
    </w:div>
    <w:div w:id="599802753">
      <w:bodyDiv w:val="1"/>
      <w:marLeft w:val="0"/>
      <w:marRight w:val="0"/>
      <w:marTop w:val="0"/>
      <w:marBottom w:val="0"/>
      <w:divBdr>
        <w:top w:val="none" w:sz="0" w:space="0" w:color="auto"/>
        <w:left w:val="none" w:sz="0" w:space="0" w:color="auto"/>
        <w:bottom w:val="none" w:sz="0" w:space="0" w:color="auto"/>
        <w:right w:val="none" w:sz="0" w:space="0" w:color="auto"/>
      </w:divBdr>
    </w:div>
    <w:div w:id="599803946">
      <w:bodyDiv w:val="1"/>
      <w:marLeft w:val="0"/>
      <w:marRight w:val="0"/>
      <w:marTop w:val="0"/>
      <w:marBottom w:val="0"/>
      <w:divBdr>
        <w:top w:val="none" w:sz="0" w:space="0" w:color="auto"/>
        <w:left w:val="none" w:sz="0" w:space="0" w:color="auto"/>
        <w:bottom w:val="none" w:sz="0" w:space="0" w:color="auto"/>
        <w:right w:val="none" w:sz="0" w:space="0" w:color="auto"/>
      </w:divBdr>
    </w:div>
    <w:div w:id="599945352">
      <w:bodyDiv w:val="1"/>
      <w:marLeft w:val="0"/>
      <w:marRight w:val="0"/>
      <w:marTop w:val="0"/>
      <w:marBottom w:val="0"/>
      <w:divBdr>
        <w:top w:val="none" w:sz="0" w:space="0" w:color="auto"/>
        <w:left w:val="none" w:sz="0" w:space="0" w:color="auto"/>
        <w:bottom w:val="none" w:sz="0" w:space="0" w:color="auto"/>
        <w:right w:val="none" w:sz="0" w:space="0" w:color="auto"/>
      </w:divBdr>
    </w:div>
    <w:div w:id="599991502">
      <w:bodyDiv w:val="1"/>
      <w:marLeft w:val="0"/>
      <w:marRight w:val="0"/>
      <w:marTop w:val="0"/>
      <w:marBottom w:val="0"/>
      <w:divBdr>
        <w:top w:val="none" w:sz="0" w:space="0" w:color="auto"/>
        <w:left w:val="none" w:sz="0" w:space="0" w:color="auto"/>
        <w:bottom w:val="none" w:sz="0" w:space="0" w:color="auto"/>
        <w:right w:val="none" w:sz="0" w:space="0" w:color="auto"/>
      </w:divBdr>
    </w:div>
    <w:div w:id="600335736">
      <w:bodyDiv w:val="1"/>
      <w:marLeft w:val="0"/>
      <w:marRight w:val="0"/>
      <w:marTop w:val="0"/>
      <w:marBottom w:val="0"/>
      <w:divBdr>
        <w:top w:val="none" w:sz="0" w:space="0" w:color="auto"/>
        <w:left w:val="none" w:sz="0" w:space="0" w:color="auto"/>
        <w:bottom w:val="none" w:sz="0" w:space="0" w:color="auto"/>
        <w:right w:val="none" w:sz="0" w:space="0" w:color="auto"/>
      </w:divBdr>
    </w:div>
    <w:div w:id="600340545">
      <w:bodyDiv w:val="1"/>
      <w:marLeft w:val="0"/>
      <w:marRight w:val="0"/>
      <w:marTop w:val="0"/>
      <w:marBottom w:val="0"/>
      <w:divBdr>
        <w:top w:val="none" w:sz="0" w:space="0" w:color="auto"/>
        <w:left w:val="none" w:sz="0" w:space="0" w:color="auto"/>
        <w:bottom w:val="none" w:sz="0" w:space="0" w:color="auto"/>
        <w:right w:val="none" w:sz="0" w:space="0" w:color="auto"/>
      </w:divBdr>
    </w:div>
    <w:div w:id="600377309">
      <w:bodyDiv w:val="1"/>
      <w:marLeft w:val="0"/>
      <w:marRight w:val="0"/>
      <w:marTop w:val="0"/>
      <w:marBottom w:val="0"/>
      <w:divBdr>
        <w:top w:val="none" w:sz="0" w:space="0" w:color="auto"/>
        <w:left w:val="none" w:sz="0" w:space="0" w:color="auto"/>
        <w:bottom w:val="none" w:sz="0" w:space="0" w:color="auto"/>
        <w:right w:val="none" w:sz="0" w:space="0" w:color="auto"/>
      </w:divBdr>
    </w:div>
    <w:div w:id="600525737">
      <w:bodyDiv w:val="1"/>
      <w:marLeft w:val="0"/>
      <w:marRight w:val="0"/>
      <w:marTop w:val="0"/>
      <w:marBottom w:val="0"/>
      <w:divBdr>
        <w:top w:val="none" w:sz="0" w:space="0" w:color="auto"/>
        <w:left w:val="none" w:sz="0" w:space="0" w:color="auto"/>
        <w:bottom w:val="none" w:sz="0" w:space="0" w:color="auto"/>
        <w:right w:val="none" w:sz="0" w:space="0" w:color="auto"/>
      </w:divBdr>
    </w:div>
    <w:div w:id="600573280">
      <w:bodyDiv w:val="1"/>
      <w:marLeft w:val="0"/>
      <w:marRight w:val="0"/>
      <w:marTop w:val="0"/>
      <w:marBottom w:val="0"/>
      <w:divBdr>
        <w:top w:val="none" w:sz="0" w:space="0" w:color="auto"/>
        <w:left w:val="none" w:sz="0" w:space="0" w:color="auto"/>
        <w:bottom w:val="none" w:sz="0" w:space="0" w:color="auto"/>
        <w:right w:val="none" w:sz="0" w:space="0" w:color="auto"/>
      </w:divBdr>
    </w:div>
    <w:div w:id="600575045">
      <w:bodyDiv w:val="1"/>
      <w:marLeft w:val="0"/>
      <w:marRight w:val="0"/>
      <w:marTop w:val="0"/>
      <w:marBottom w:val="0"/>
      <w:divBdr>
        <w:top w:val="none" w:sz="0" w:space="0" w:color="auto"/>
        <w:left w:val="none" w:sz="0" w:space="0" w:color="auto"/>
        <w:bottom w:val="none" w:sz="0" w:space="0" w:color="auto"/>
        <w:right w:val="none" w:sz="0" w:space="0" w:color="auto"/>
      </w:divBdr>
    </w:div>
    <w:div w:id="600836840">
      <w:bodyDiv w:val="1"/>
      <w:marLeft w:val="0"/>
      <w:marRight w:val="0"/>
      <w:marTop w:val="0"/>
      <w:marBottom w:val="0"/>
      <w:divBdr>
        <w:top w:val="none" w:sz="0" w:space="0" w:color="auto"/>
        <w:left w:val="none" w:sz="0" w:space="0" w:color="auto"/>
        <w:bottom w:val="none" w:sz="0" w:space="0" w:color="auto"/>
        <w:right w:val="none" w:sz="0" w:space="0" w:color="auto"/>
      </w:divBdr>
    </w:div>
    <w:div w:id="600914357">
      <w:bodyDiv w:val="1"/>
      <w:marLeft w:val="0"/>
      <w:marRight w:val="0"/>
      <w:marTop w:val="0"/>
      <w:marBottom w:val="0"/>
      <w:divBdr>
        <w:top w:val="none" w:sz="0" w:space="0" w:color="auto"/>
        <w:left w:val="none" w:sz="0" w:space="0" w:color="auto"/>
        <w:bottom w:val="none" w:sz="0" w:space="0" w:color="auto"/>
        <w:right w:val="none" w:sz="0" w:space="0" w:color="auto"/>
      </w:divBdr>
    </w:div>
    <w:div w:id="600918221">
      <w:bodyDiv w:val="1"/>
      <w:marLeft w:val="0"/>
      <w:marRight w:val="0"/>
      <w:marTop w:val="0"/>
      <w:marBottom w:val="0"/>
      <w:divBdr>
        <w:top w:val="none" w:sz="0" w:space="0" w:color="auto"/>
        <w:left w:val="none" w:sz="0" w:space="0" w:color="auto"/>
        <w:bottom w:val="none" w:sz="0" w:space="0" w:color="auto"/>
        <w:right w:val="none" w:sz="0" w:space="0" w:color="auto"/>
      </w:divBdr>
    </w:div>
    <w:div w:id="601030831">
      <w:bodyDiv w:val="1"/>
      <w:marLeft w:val="0"/>
      <w:marRight w:val="0"/>
      <w:marTop w:val="0"/>
      <w:marBottom w:val="0"/>
      <w:divBdr>
        <w:top w:val="none" w:sz="0" w:space="0" w:color="auto"/>
        <w:left w:val="none" w:sz="0" w:space="0" w:color="auto"/>
        <w:bottom w:val="none" w:sz="0" w:space="0" w:color="auto"/>
        <w:right w:val="none" w:sz="0" w:space="0" w:color="auto"/>
      </w:divBdr>
    </w:div>
    <w:div w:id="601062394">
      <w:bodyDiv w:val="1"/>
      <w:marLeft w:val="0"/>
      <w:marRight w:val="0"/>
      <w:marTop w:val="0"/>
      <w:marBottom w:val="0"/>
      <w:divBdr>
        <w:top w:val="none" w:sz="0" w:space="0" w:color="auto"/>
        <w:left w:val="none" w:sz="0" w:space="0" w:color="auto"/>
        <w:bottom w:val="none" w:sz="0" w:space="0" w:color="auto"/>
        <w:right w:val="none" w:sz="0" w:space="0" w:color="auto"/>
      </w:divBdr>
    </w:div>
    <w:div w:id="601062613">
      <w:bodyDiv w:val="1"/>
      <w:marLeft w:val="0"/>
      <w:marRight w:val="0"/>
      <w:marTop w:val="0"/>
      <w:marBottom w:val="0"/>
      <w:divBdr>
        <w:top w:val="none" w:sz="0" w:space="0" w:color="auto"/>
        <w:left w:val="none" w:sz="0" w:space="0" w:color="auto"/>
        <w:bottom w:val="none" w:sz="0" w:space="0" w:color="auto"/>
        <w:right w:val="none" w:sz="0" w:space="0" w:color="auto"/>
      </w:divBdr>
    </w:div>
    <w:div w:id="601185395">
      <w:bodyDiv w:val="1"/>
      <w:marLeft w:val="0"/>
      <w:marRight w:val="0"/>
      <w:marTop w:val="0"/>
      <w:marBottom w:val="0"/>
      <w:divBdr>
        <w:top w:val="none" w:sz="0" w:space="0" w:color="auto"/>
        <w:left w:val="none" w:sz="0" w:space="0" w:color="auto"/>
        <w:bottom w:val="none" w:sz="0" w:space="0" w:color="auto"/>
        <w:right w:val="none" w:sz="0" w:space="0" w:color="auto"/>
      </w:divBdr>
    </w:div>
    <w:div w:id="601304312">
      <w:bodyDiv w:val="1"/>
      <w:marLeft w:val="0"/>
      <w:marRight w:val="0"/>
      <w:marTop w:val="0"/>
      <w:marBottom w:val="0"/>
      <w:divBdr>
        <w:top w:val="none" w:sz="0" w:space="0" w:color="auto"/>
        <w:left w:val="none" w:sz="0" w:space="0" w:color="auto"/>
        <w:bottom w:val="none" w:sz="0" w:space="0" w:color="auto"/>
        <w:right w:val="none" w:sz="0" w:space="0" w:color="auto"/>
      </w:divBdr>
    </w:div>
    <w:div w:id="601497048">
      <w:bodyDiv w:val="1"/>
      <w:marLeft w:val="0"/>
      <w:marRight w:val="0"/>
      <w:marTop w:val="0"/>
      <w:marBottom w:val="0"/>
      <w:divBdr>
        <w:top w:val="none" w:sz="0" w:space="0" w:color="auto"/>
        <w:left w:val="none" w:sz="0" w:space="0" w:color="auto"/>
        <w:bottom w:val="none" w:sz="0" w:space="0" w:color="auto"/>
        <w:right w:val="none" w:sz="0" w:space="0" w:color="auto"/>
      </w:divBdr>
    </w:div>
    <w:div w:id="601686749">
      <w:bodyDiv w:val="1"/>
      <w:marLeft w:val="0"/>
      <w:marRight w:val="0"/>
      <w:marTop w:val="0"/>
      <w:marBottom w:val="0"/>
      <w:divBdr>
        <w:top w:val="none" w:sz="0" w:space="0" w:color="auto"/>
        <w:left w:val="none" w:sz="0" w:space="0" w:color="auto"/>
        <w:bottom w:val="none" w:sz="0" w:space="0" w:color="auto"/>
        <w:right w:val="none" w:sz="0" w:space="0" w:color="auto"/>
      </w:divBdr>
    </w:div>
    <w:div w:id="601844741">
      <w:bodyDiv w:val="1"/>
      <w:marLeft w:val="0"/>
      <w:marRight w:val="0"/>
      <w:marTop w:val="0"/>
      <w:marBottom w:val="0"/>
      <w:divBdr>
        <w:top w:val="none" w:sz="0" w:space="0" w:color="auto"/>
        <w:left w:val="none" w:sz="0" w:space="0" w:color="auto"/>
        <w:bottom w:val="none" w:sz="0" w:space="0" w:color="auto"/>
        <w:right w:val="none" w:sz="0" w:space="0" w:color="auto"/>
      </w:divBdr>
    </w:div>
    <w:div w:id="601885639">
      <w:bodyDiv w:val="1"/>
      <w:marLeft w:val="0"/>
      <w:marRight w:val="0"/>
      <w:marTop w:val="0"/>
      <w:marBottom w:val="0"/>
      <w:divBdr>
        <w:top w:val="none" w:sz="0" w:space="0" w:color="auto"/>
        <w:left w:val="none" w:sz="0" w:space="0" w:color="auto"/>
        <w:bottom w:val="none" w:sz="0" w:space="0" w:color="auto"/>
        <w:right w:val="none" w:sz="0" w:space="0" w:color="auto"/>
      </w:divBdr>
    </w:div>
    <w:div w:id="601887026">
      <w:bodyDiv w:val="1"/>
      <w:marLeft w:val="0"/>
      <w:marRight w:val="0"/>
      <w:marTop w:val="0"/>
      <w:marBottom w:val="0"/>
      <w:divBdr>
        <w:top w:val="none" w:sz="0" w:space="0" w:color="auto"/>
        <w:left w:val="none" w:sz="0" w:space="0" w:color="auto"/>
        <w:bottom w:val="none" w:sz="0" w:space="0" w:color="auto"/>
        <w:right w:val="none" w:sz="0" w:space="0" w:color="auto"/>
      </w:divBdr>
    </w:div>
    <w:div w:id="601956743">
      <w:bodyDiv w:val="1"/>
      <w:marLeft w:val="0"/>
      <w:marRight w:val="0"/>
      <w:marTop w:val="0"/>
      <w:marBottom w:val="0"/>
      <w:divBdr>
        <w:top w:val="none" w:sz="0" w:space="0" w:color="auto"/>
        <w:left w:val="none" w:sz="0" w:space="0" w:color="auto"/>
        <w:bottom w:val="none" w:sz="0" w:space="0" w:color="auto"/>
        <w:right w:val="none" w:sz="0" w:space="0" w:color="auto"/>
      </w:divBdr>
    </w:div>
    <w:div w:id="602033779">
      <w:bodyDiv w:val="1"/>
      <w:marLeft w:val="0"/>
      <w:marRight w:val="0"/>
      <w:marTop w:val="0"/>
      <w:marBottom w:val="0"/>
      <w:divBdr>
        <w:top w:val="none" w:sz="0" w:space="0" w:color="auto"/>
        <w:left w:val="none" w:sz="0" w:space="0" w:color="auto"/>
        <w:bottom w:val="none" w:sz="0" w:space="0" w:color="auto"/>
        <w:right w:val="none" w:sz="0" w:space="0" w:color="auto"/>
      </w:divBdr>
    </w:div>
    <w:div w:id="602152014">
      <w:bodyDiv w:val="1"/>
      <w:marLeft w:val="0"/>
      <w:marRight w:val="0"/>
      <w:marTop w:val="0"/>
      <w:marBottom w:val="0"/>
      <w:divBdr>
        <w:top w:val="none" w:sz="0" w:space="0" w:color="auto"/>
        <w:left w:val="none" w:sz="0" w:space="0" w:color="auto"/>
        <w:bottom w:val="none" w:sz="0" w:space="0" w:color="auto"/>
        <w:right w:val="none" w:sz="0" w:space="0" w:color="auto"/>
      </w:divBdr>
    </w:div>
    <w:div w:id="602154128">
      <w:bodyDiv w:val="1"/>
      <w:marLeft w:val="0"/>
      <w:marRight w:val="0"/>
      <w:marTop w:val="0"/>
      <w:marBottom w:val="0"/>
      <w:divBdr>
        <w:top w:val="none" w:sz="0" w:space="0" w:color="auto"/>
        <w:left w:val="none" w:sz="0" w:space="0" w:color="auto"/>
        <w:bottom w:val="none" w:sz="0" w:space="0" w:color="auto"/>
        <w:right w:val="none" w:sz="0" w:space="0" w:color="auto"/>
      </w:divBdr>
    </w:div>
    <w:div w:id="602304375">
      <w:bodyDiv w:val="1"/>
      <w:marLeft w:val="0"/>
      <w:marRight w:val="0"/>
      <w:marTop w:val="0"/>
      <w:marBottom w:val="0"/>
      <w:divBdr>
        <w:top w:val="none" w:sz="0" w:space="0" w:color="auto"/>
        <w:left w:val="none" w:sz="0" w:space="0" w:color="auto"/>
        <w:bottom w:val="none" w:sz="0" w:space="0" w:color="auto"/>
        <w:right w:val="none" w:sz="0" w:space="0" w:color="auto"/>
      </w:divBdr>
    </w:div>
    <w:div w:id="602498057">
      <w:bodyDiv w:val="1"/>
      <w:marLeft w:val="0"/>
      <w:marRight w:val="0"/>
      <w:marTop w:val="0"/>
      <w:marBottom w:val="0"/>
      <w:divBdr>
        <w:top w:val="none" w:sz="0" w:space="0" w:color="auto"/>
        <w:left w:val="none" w:sz="0" w:space="0" w:color="auto"/>
        <w:bottom w:val="none" w:sz="0" w:space="0" w:color="auto"/>
        <w:right w:val="none" w:sz="0" w:space="0" w:color="auto"/>
      </w:divBdr>
    </w:div>
    <w:div w:id="602539811">
      <w:bodyDiv w:val="1"/>
      <w:marLeft w:val="0"/>
      <w:marRight w:val="0"/>
      <w:marTop w:val="0"/>
      <w:marBottom w:val="0"/>
      <w:divBdr>
        <w:top w:val="none" w:sz="0" w:space="0" w:color="auto"/>
        <w:left w:val="none" w:sz="0" w:space="0" w:color="auto"/>
        <w:bottom w:val="none" w:sz="0" w:space="0" w:color="auto"/>
        <w:right w:val="none" w:sz="0" w:space="0" w:color="auto"/>
      </w:divBdr>
    </w:div>
    <w:div w:id="602540450">
      <w:bodyDiv w:val="1"/>
      <w:marLeft w:val="0"/>
      <w:marRight w:val="0"/>
      <w:marTop w:val="0"/>
      <w:marBottom w:val="0"/>
      <w:divBdr>
        <w:top w:val="none" w:sz="0" w:space="0" w:color="auto"/>
        <w:left w:val="none" w:sz="0" w:space="0" w:color="auto"/>
        <w:bottom w:val="none" w:sz="0" w:space="0" w:color="auto"/>
        <w:right w:val="none" w:sz="0" w:space="0" w:color="auto"/>
      </w:divBdr>
    </w:div>
    <w:div w:id="602610418">
      <w:bodyDiv w:val="1"/>
      <w:marLeft w:val="0"/>
      <w:marRight w:val="0"/>
      <w:marTop w:val="0"/>
      <w:marBottom w:val="0"/>
      <w:divBdr>
        <w:top w:val="none" w:sz="0" w:space="0" w:color="auto"/>
        <w:left w:val="none" w:sz="0" w:space="0" w:color="auto"/>
        <w:bottom w:val="none" w:sz="0" w:space="0" w:color="auto"/>
        <w:right w:val="none" w:sz="0" w:space="0" w:color="auto"/>
      </w:divBdr>
    </w:div>
    <w:div w:id="602617183">
      <w:bodyDiv w:val="1"/>
      <w:marLeft w:val="0"/>
      <w:marRight w:val="0"/>
      <w:marTop w:val="0"/>
      <w:marBottom w:val="0"/>
      <w:divBdr>
        <w:top w:val="none" w:sz="0" w:space="0" w:color="auto"/>
        <w:left w:val="none" w:sz="0" w:space="0" w:color="auto"/>
        <w:bottom w:val="none" w:sz="0" w:space="0" w:color="auto"/>
        <w:right w:val="none" w:sz="0" w:space="0" w:color="auto"/>
      </w:divBdr>
    </w:div>
    <w:div w:id="602617217">
      <w:bodyDiv w:val="1"/>
      <w:marLeft w:val="0"/>
      <w:marRight w:val="0"/>
      <w:marTop w:val="0"/>
      <w:marBottom w:val="0"/>
      <w:divBdr>
        <w:top w:val="none" w:sz="0" w:space="0" w:color="auto"/>
        <w:left w:val="none" w:sz="0" w:space="0" w:color="auto"/>
        <w:bottom w:val="none" w:sz="0" w:space="0" w:color="auto"/>
        <w:right w:val="none" w:sz="0" w:space="0" w:color="auto"/>
      </w:divBdr>
    </w:div>
    <w:div w:id="602617480">
      <w:bodyDiv w:val="1"/>
      <w:marLeft w:val="0"/>
      <w:marRight w:val="0"/>
      <w:marTop w:val="0"/>
      <w:marBottom w:val="0"/>
      <w:divBdr>
        <w:top w:val="none" w:sz="0" w:space="0" w:color="auto"/>
        <w:left w:val="none" w:sz="0" w:space="0" w:color="auto"/>
        <w:bottom w:val="none" w:sz="0" w:space="0" w:color="auto"/>
        <w:right w:val="none" w:sz="0" w:space="0" w:color="auto"/>
      </w:divBdr>
    </w:div>
    <w:div w:id="602807677">
      <w:bodyDiv w:val="1"/>
      <w:marLeft w:val="0"/>
      <w:marRight w:val="0"/>
      <w:marTop w:val="0"/>
      <w:marBottom w:val="0"/>
      <w:divBdr>
        <w:top w:val="none" w:sz="0" w:space="0" w:color="auto"/>
        <w:left w:val="none" w:sz="0" w:space="0" w:color="auto"/>
        <w:bottom w:val="none" w:sz="0" w:space="0" w:color="auto"/>
        <w:right w:val="none" w:sz="0" w:space="0" w:color="auto"/>
      </w:divBdr>
    </w:div>
    <w:div w:id="602883950">
      <w:bodyDiv w:val="1"/>
      <w:marLeft w:val="0"/>
      <w:marRight w:val="0"/>
      <w:marTop w:val="0"/>
      <w:marBottom w:val="0"/>
      <w:divBdr>
        <w:top w:val="none" w:sz="0" w:space="0" w:color="auto"/>
        <w:left w:val="none" w:sz="0" w:space="0" w:color="auto"/>
        <w:bottom w:val="none" w:sz="0" w:space="0" w:color="auto"/>
        <w:right w:val="none" w:sz="0" w:space="0" w:color="auto"/>
      </w:divBdr>
    </w:div>
    <w:div w:id="602957606">
      <w:bodyDiv w:val="1"/>
      <w:marLeft w:val="0"/>
      <w:marRight w:val="0"/>
      <w:marTop w:val="0"/>
      <w:marBottom w:val="0"/>
      <w:divBdr>
        <w:top w:val="none" w:sz="0" w:space="0" w:color="auto"/>
        <w:left w:val="none" w:sz="0" w:space="0" w:color="auto"/>
        <w:bottom w:val="none" w:sz="0" w:space="0" w:color="auto"/>
        <w:right w:val="none" w:sz="0" w:space="0" w:color="auto"/>
      </w:divBdr>
    </w:div>
    <w:div w:id="602962513">
      <w:bodyDiv w:val="1"/>
      <w:marLeft w:val="0"/>
      <w:marRight w:val="0"/>
      <w:marTop w:val="0"/>
      <w:marBottom w:val="0"/>
      <w:divBdr>
        <w:top w:val="none" w:sz="0" w:space="0" w:color="auto"/>
        <w:left w:val="none" w:sz="0" w:space="0" w:color="auto"/>
        <w:bottom w:val="none" w:sz="0" w:space="0" w:color="auto"/>
        <w:right w:val="none" w:sz="0" w:space="0" w:color="auto"/>
      </w:divBdr>
    </w:div>
    <w:div w:id="603004731">
      <w:bodyDiv w:val="1"/>
      <w:marLeft w:val="0"/>
      <w:marRight w:val="0"/>
      <w:marTop w:val="0"/>
      <w:marBottom w:val="0"/>
      <w:divBdr>
        <w:top w:val="none" w:sz="0" w:space="0" w:color="auto"/>
        <w:left w:val="none" w:sz="0" w:space="0" w:color="auto"/>
        <w:bottom w:val="none" w:sz="0" w:space="0" w:color="auto"/>
        <w:right w:val="none" w:sz="0" w:space="0" w:color="auto"/>
      </w:divBdr>
    </w:div>
    <w:div w:id="603225342">
      <w:bodyDiv w:val="1"/>
      <w:marLeft w:val="0"/>
      <w:marRight w:val="0"/>
      <w:marTop w:val="0"/>
      <w:marBottom w:val="0"/>
      <w:divBdr>
        <w:top w:val="none" w:sz="0" w:space="0" w:color="auto"/>
        <w:left w:val="none" w:sz="0" w:space="0" w:color="auto"/>
        <w:bottom w:val="none" w:sz="0" w:space="0" w:color="auto"/>
        <w:right w:val="none" w:sz="0" w:space="0" w:color="auto"/>
      </w:divBdr>
    </w:div>
    <w:div w:id="603535230">
      <w:bodyDiv w:val="1"/>
      <w:marLeft w:val="0"/>
      <w:marRight w:val="0"/>
      <w:marTop w:val="0"/>
      <w:marBottom w:val="0"/>
      <w:divBdr>
        <w:top w:val="none" w:sz="0" w:space="0" w:color="auto"/>
        <w:left w:val="none" w:sz="0" w:space="0" w:color="auto"/>
        <w:bottom w:val="none" w:sz="0" w:space="0" w:color="auto"/>
        <w:right w:val="none" w:sz="0" w:space="0" w:color="auto"/>
      </w:divBdr>
    </w:div>
    <w:div w:id="603535288">
      <w:bodyDiv w:val="1"/>
      <w:marLeft w:val="0"/>
      <w:marRight w:val="0"/>
      <w:marTop w:val="0"/>
      <w:marBottom w:val="0"/>
      <w:divBdr>
        <w:top w:val="none" w:sz="0" w:space="0" w:color="auto"/>
        <w:left w:val="none" w:sz="0" w:space="0" w:color="auto"/>
        <w:bottom w:val="none" w:sz="0" w:space="0" w:color="auto"/>
        <w:right w:val="none" w:sz="0" w:space="0" w:color="auto"/>
      </w:divBdr>
    </w:div>
    <w:div w:id="603536502">
      <w:bodyDiv w:val="1"/>
      <w:marLeft w:val="0"/>
      <w:marRight w:val="0"/>
      <w:marTop w:val="0"/>
      <w:marBottom w:val="0"/>
      <w:divBdr>
        <w:top w:val="none" w:sz="0" w:space="0" w:color="auto"/>
        <w:left w:val="none" w:sz="0" w:space="0" w:color="auto"/>
        <w:bottom w:val="none" w:sz="0" w:space="0" w:color="auto"/>
        <w:right w:val="none" w:sz="0" w:space="0" w:color="auto"/>
      </w:divBdr>
    </w:div>
    <w:div w:id="603608679">
      <w:bodyDiv w:val="1"/>
      <w:marLeft w:val="0"/>
      <w:marRight w:val="0"/>
      <w:marTop w:val="0"/>
      <w:marBottom w:val="0"/>
      <w:divBdr>
        <w:top w:val="none" w:sz="0" w:space="0" w:color="auto"/>
        <w:left w:val="none" w:sz="0" w:space="0" w:color="auto"/>
        <w:bottom w:val="none" w:sz="0" w:space="0" w:color="auto"/>
        <w:right w:val="none" w:sz="0" w:space="0" w:color="auto"/>
      </w:divBdr>
    </w:div>
    <w:div w:id="603683413">
      <w:bodyDiv w:val="1"/>
      <w:marLeft w:val="0"/>
      <w:marRight w:val="0"/>
      <w:marTop w:val="0"/>
      <w:marBottom w:val="0"/>
      <w:divBdr>
        <w:top w:val="none" w:sz="0" w:space="0" w:color="auto"/>
        <w:left w:val="none" w:sz="0" w:space="0" w:color="auto"/>
        <w:bottom w:val="none" w:sz="0" w:space="0" w:color="auto"/>
        <w:right w:val="none" w:sz="0" w:space="0" w:color="auto"/>
      </w:divBdr>
    </w:div>
    <w:div w:id="603729646">
      <w:bodyDiv w:val="1"/>
      <w:marLeft w:val="0"/>
      <w:marRight w:val="0"/>
      <w:marTop w:val="0"/>
      <w:marBottom w:val="0"/>
      <w:divBdr>
        <w:top w:val="none" w:sz="0" w:space="0" w:color="auto"/>
        <w:left w:val="none" w:sz="0" w:space="0" w:color="auto"/>
        <w:bottom w:val="none" w:sz="0" w:space="0" w:color="auto"/>
        <w:right w:val="none" w:sz="0" w:space="0" w:color="auto"/>
      </w:divBdr>
    </w:div>
    <w:div w:id="603805872">
      <w:bodyDiv w:val="1"/>
      <w:marLeft w:val="0"/>
      <w:marRight w:val="0"/>
      <w:marTop w:val="0"/>
      <w:marBottom w:val="0"/>
      <w:divBdr>
        <w:top w:val="none" w:sz="0" w:space="0" w:color="auto"/>
        <w:left w:val="none" w:sz="0" w:space="0" w:color="auto"/>
        <w:bottom w:val="none" w:sz="0" w:space="0" w:color="auto"/>
        <w:right w:val="none" w:sz="0" w:space="0" w:color="auto"/>
      </w:divBdr>
    </w:div>
    <w:div w:id="603925656">
      <w:bodyDiv w:val="1"/>
      <w:marLeft w:val="0"/>
      <w:marRight w:val="0"/>
      <w:marTop w:val="0"/>
      <w:marBottom w:val="0"/>
      <w:divBdr>
        <w:top w:val="none" w:sz="0" w:space="0" w:color="auto"/>
        <w:left w:val="none" w:sz="0" w:space="0" w:color="auto"/>
        <w:bottom w:val="none" w:sz="0" w:space="0" w:color="auto"/>
        <w:right w:val="none" w:sz="0" w:space="0" w:color="auto"/>
      </w:divBdr>
    </w:div>
    <w:div w:id="604003429">
      <w:bodyDiv w:val="1"/>
      <w:marLeft w:val="0"/>
      <w:marRight w:val="0"/>
      <w:marTop w:val="0"/>
      <w:marBottom w:val="0"/>
      <w:divBdr>
        <w:top w:val="none" w:sz="0" w:space="0" w:color="auto"/>
        <w:left w:val="none" w:sz="0" w:space="0" w:color="auto"/>
        <w:bottom w:val="none" w:sz="0" w:space="0" w:color="auto"/>
        <w:right w:val="none" w:sz="0" w:space="0" w:color="auto"/>
      </w:divBdr>
    </w:div>
    <w:div w:id="604192395">
      <w:bodyDiv w:val="1"/>
      <w:marLeft w:val="0"/>
      <w:marRight w:val="0"/>
      <w:marTop w:val="0"/>
      <w:marBottom w:val="0"/>
      <w:divBdr>
        <w:top w:val="none" w:sz="0" w:space="0" w:color="auto"/>
        <w:left w:val="none" w:sz="0" w:space="0" w:color="auto"/>
        <w:bottom w:val="none" w:sz="0" w:space="0" w:color="auto"/>
        <w:right w:val="none" w:sz="0" w:space="0" w:color="auto"/>
      </w:divBdr>
    </w:div>
    <w:div w:id="604265317">
      <w:bodyDiv w:val="1"/>
      <w:marLeft w:val="0"/>
      <w:marRight w:val="0"/>
      <w:marTop w:val="0"/>
      <w:marBottom w:val="0"/>
      <w:divBdr>
        <w:top w:val="none" w:sz="0" w:space="0" w:color="auto"/>
        <w:left w:val="none" w:sz="0" w:space="0" w:color="auto"/>
        <w:bottom w:val="none" w:sz="0" w:space="0" w:color="auto"/>
        <w:right w:val="none" w:sz="0" w:space="0" w:color="auto"/>
      </w:divBdr>
    </w:div>
    <w:div w:id="604313188">
      <w:bodyDiv w:val="1"/>
      <w:marLeft w:val="0"/>
      <w:marRight w:val="0"/>
      <w:marTop w:val="0"/>
      <w:marBottom w:val="0"/>
      <w:divBdr>
        <w:top w:val="none" w:sz="0" w:space="0" w:color="auto"/>
        <w:left w:val="none" w:sz="0" w:space="0" w:color="auto"/>
        <w:bottom w:val="none" w:sz="0" w:space="0" w:color="auto"/>
        <w:right w:val="none" w:sz="0" w:space="0" w:color="auto"/>
      </w:divBdr>
    </w:div>
    <w:div w:id="604339045">
      <w:bodyDiv w:val="1"/>
      <w:marLeft w:val="0"/>
      <w:marRight w:val="0"/>
      <w:marTop w:val="0"/>
      <w:marBottom w:val="0"/>
      <w:divBdr>
        <w:top w:val="none" w:sz="0" w:space="0" w:color="auto"/>
        <w:left w:val="none" w:sz="0" w:space="0" w:color="auto"/>
        <w:bottom w:val="none" w:sz="0" w:space="0" w:color="auto"/>
        <w:right w:val="none" w:sz="0" w:space="0" w:color="auto"/>
      </w:divBdr>
    </w:div>
    <w:div w:id="604465499">
      <w:bodyDiv w:val="1"/>
      <w:marLeft w:val="0"/>
      <w:marRight w:val="0"/>
      <w:marTop w:val="0"/>
      <w:marBottom w:val="0"/>
      <w:divBdr>
        <w:top w:val="none" w:sz="0" w:space="0" w:color="auto"/>
        <w:left w:val="none" w:sz="0" w:space="0" w:color="auto"/>
        <w:bottom w:val="none" w:sz="0" w:space="0" w:color="auto"/>
        <w:right w:val="none" w:sz="0" w:space="0" w:color="auto"/>
      </w:divBdr>
    </w:div>
    <w:div w:id="604504654">
      <w:bodyDiv w:val="1"/>
      <w:marLeft w:val="0"/>
      <w:marRight w:val="0"/>
      <w:marTop w:val="0"/>
      <w:marBottom w:val="0"/>
      <w:divBdr>
        <w:top w:val="none" w:sz="0" w:space="0" w:color="auto"/>
        <w:left w:val="none" w:sz="0" w:space="0" w:color="auto"/>
        <w:bottom w:val="none" w:sz="0" w:space="0" w:color="auto"/>
        <w:right w:val="none" w:sz="0" w:space="0" w:color="auto"/>
      </w:divBdr>
    </w:div>
    <w:div w:id="604582027">
      <w:bodyDiv w:val="1"/>
      <w:marLeft w:val="0"/>
      <w:marRight w:val="0"/>
      <w:marTop w:val="0"/>
      <w:marBottom w:val="0"/>
      <w:divBdr>
        <w:top w:val="none" w:sz="0" w:space="0" w:color="auto"/>
        <w:left w:val="none" w:sz="0" w:space="0" w:color="auto"/>
        <w:bottom w:val="none" w:sz="0" w:space="0" w:color="auto"/>
        <w:right w:val="none" w:sz="0" w:space="0" w:color="auto"/>
      </w:divBdr>
    </w:div>
    <w:div w:id="604727597">
      <w:bodyDiv w:val="1"/>
      <w:marLeft w:val="0"/>
      <w:marRight w:val="0"/>
      <w:marTop w:val="0"/>
      <w:marBottom w:val="0"/>
      <w:divBdr>
        <w:top w:val="none" w:sz="0" w:space="0" w:color="auto"/>
        <w:left w:val="none" w:sz="0" w:space="0" w:color="auto"/>
        <w:bottom w:val="none" w:sz="0" w:space="0" w:color="auto"/>
        <w:right w:val="none" w:sz="0" w:space="0" w:color="auto"/>
      </w:divBdr>
    </w:div>
    <w:div w:id="604994427">
      <w:bodyDiv w:val="1"/>
      <w:marLeft w:val="0"/>
      <w:marRight w:val="0"/>
      <w:marTop w:val="0"/>
      <w:marBottom w:val="0"/>
      <w:divBdr>
        <w:top w:val="none" w:sz="0" w:space="0" w:color="auto"/>
        <w:left w:val="none" w:sz="0" w:space="0" w:color="auto"/>
        <w:bottom w:val="none" w:sz="0" w:space="0" w:color="auto"/>
        <w:right w:val="none" w:sz="0" w:space="0" w:color="auto"/>
      </w:divBdr>
    </w:div>
    <w:div w:id="605040148">
      <w:bodyDiv w:val="1"/>
      <w:marLeft w:val="0"/>
      <w:marRight w:val="0"/>
      <w:marTop w:val="0"/>
      <w:marBottom w:val="0"/>
      <w:divBdr>
        <w:top w:val="none" w:sz="0" w:space="0" w:color="auto"/>
        <w:left w:val="none" w:sz="0" w:space="0" w:color="auto"/>
        <w:bottom w:val="none" w:sz="0" w:space="0" w:color="auto"/>
        <w:right w:val="none" w:sz="0" w:space="0" w:color="auto"/>
      </w:divBdr>
    </w:div>
    <w:div w:id="605160417">
      <w:bodyDiv w:val="1"/>
      <w:marLeft w:val="0"/>
      <w:marRight w:val="0"/>
      <w:marTop w:val="0"/>
      <w:marBottom w:val="0"/>
      <w:divBdr>
        <w:top w:val="none" w:sz="0" w:space="0" w:color="auto"/>
        <w:left w:val="none" w:sz="0" w:space="0" w:color="auto"/>
        <w:bottom w:val="none" w:sz="0" w:space="0" w:color="auto"/>
        <w:right w:val="none" w:sz="0" w:space="0" w:color="auto"/>
      </w:divBdr>
    </w:div>
    <w:div w:id="605190067">
      <w:bodyDiv w:val="1"/>
      <w:marLeft w:val="0"/>
      <w:marRight w:val="0"/>
      <w:marTop w:val="0"/>
      <w:marBottom w:val="0"/>
      <w:divBdr>
        <w:top w:val="none" w:sz="0" w:space="0" w:color="auto"/>
        <w:left w:val="none" w:sz="0" w:space="0" w:color="auto"/>
        <w:bottom w:val="none" w:sz="0" w:space="0" w:color="auto"/>
        <w:right w:val="none" w:sz="0" w:space="0" w:color="auto"/>
      </w:divBdr>
    </w:div>
    <w:div w:id="605231141">
      <w:bodyDiv w:val="1"/>
      <w:marLeft w:val="0"/>
      <w:marRight w:val="0"/>
      <w:marTop w:val="0"/>
      <w:marBottom w:val="0"/>
      <w:divBdr>
        <w:top w:val="none" w:sz="0" w:space="0" w:color="auto"/>
        <w:left w:val="none" w:sz="0" w:space="0" w:color="auto"/>
        <w:bottom w:val="none" w:sz="0" w:space="0" w:color="auto"/>
        <w:right w:val="none" w:sz="0" w:space="0" w:color="auto"/>
      </w:divBdr>
    </w:div>
    <w:div w:id="605308227">
      <w:bodyDiv w:val="1"/>
      <w:marLeft w:val="0"/>
      <w:marRight w:val="0"/>
      <w:marTop w:val="0"/>
      <w:marBottom w:val="0"/>
      <w:divBdr>
        <w:top w:val="none" w:sz="0" w:space="0" w:color="auto"/>
        <w:left w:val="none" w:sz="0" w:space="0" w:color="auto"/>
        <w:bottom w:val="none" w:sz="0" w:space="0" w:color="auto"/>
        <w:right w:val="none" w:sz="0" w:space="0" w:color="auto"/>
      </w:divBdr>
    </w:div>
    <w:div w:id="605427422">
      <w:bodyDiv w:val="1"/>
      <w:marLeft w:val="0"/>
      <w:marRight w:val="0"/>
      <w:marTop w:val="0"/>
      <w:marBottom w:val="0"/>
      <w:divBdr>
        <w:top w:val="none" w:sz="0" w:space="0" w:color="auto"/>
        <w:left w:val="none" w:sz="0" w:space="0" w:color="auto"/>
        <w:bottom w:val="none" w:sz="0" w:space="0" w:color="auto"/>
        <w:right w:val="none" w:sz="0" w:space="0" w:color="auto"/>
      </w:divBdr>
    </w:div>
    <w:div w:id="605580908">
      <w:bodyDiv w:val="1"/>
      <w:marLeft w:val="0"/>
      <w:marRight w:val="0"/>
      <w:marTop w:val="0"/>
      <w:marBottom w:val="0"/>
      <w:divBdr>
        <w:top w:val="none" w:sz="0" w:space="0" w:color="auto"/>
        <w:left w:val="none" w:sz="0" w:space="0" w:color="auto"/>
        <w:bottom w:val="none" w:sz="0" w:space="0" w:color="auto"/>
        <w:right w:val="none" w:sz="0" w:space="0" w:color="auto"/>
      </w:divBdr>
    </w:div>
    <w:div w:id="605618606">
      <w:bodyDiv w:val="1"/>
      <w:marLeft w:val="0"/>
      <w:marRight w:val="0"/>
      <w:marTop w:val="0"/>
      <w:marBottom w:val="0"/>
      <w:divBdr>
        <w:top w:val="none" w:sz="0" w:space="0" w:color="auto"/>
        <w:left w:val="none" w:sz="0" w:space="0" w:color="auto"/>
        <w:bottom w:val="none" w:sz="0" w:space="0" w:color="auto"/>
        <w:right w:val="none" w:sz="0" w:space="0" w:color="auto"/>
      </w:divBdr>
    </w:div>
    <w:div w:id="605620392">
      <w:bodyDiv w:val="1"/>
      <w:marLeft w:val="0"/>
      <w:marRight w:val="0"/>
      <w:marTop w:val="0"/>
      <w:marBottom w:val="0"/>
      <w:divBdr>
        <w:top w:val="none" w:sz="0" w:space="0" w:color="auto"/>
        <w:left w:val="none" w:sz="0" w:space="0" w:color="auto"/>
        <w:bottom w:val="none" w:sz="0" w:space="0" w:color="auto"/>
        <w:right w:val="none" w:sz="0" w:space="0" w:color="auto"/>
      </w:divBdr>
    </w:div>
    <w:div w:id="605698537">
      <w:bodyDiv w:val="1"/>
      <w:marLeft w:val="0"/>
      <w:marRight w:val="0"/>
      <w:marTop w:val="0"/>
      <w:marBottom w:val="0"/>
      <w:divBdr>
        <w:top w:val="none" w:sz="0" w:space="0" w:color="auto"/>
        <w:left w:val="none" w:sz="0" w:space="0" w:color="auto"/>
        <w:bottom w:val="none" w:sz="0" w:space="0" w:color="auto"/>
        <w:right w:val="none" w:sz="0" w:space="0" w:color="auto"/>
      </w:divBdr>
    </w:div>
    <w:div w:id="605698641">
      <w:bodyDiv w:val="1"/>
      <w:marLeft w:val="0"/>
      <w:marRight w:val="0"/>
      <w:marTop w:val="0"/>
      <w:marBottom w:val="0"/>
      <w:divBdr>
        <w:top w:val="none" w:sz="0" w:space="0" w:color="auto"/>
        <w:left w:val="none" w:sz="0" w:space="0" w:color="auto"/>
        <w:bottom w:val="none" w:sz="0" w:space="0" w:color="auto"/>
        <w:right w:val="none" w:sz="0" w:space="0" w:color="auto"/>
      </w:divBdr>
    </w:div>
    <w:div w:id="605769521">
      <w:bodyDiv w:val="1"/>
      <w:marLeft w:val="0"/>
      <w:marRight w:val="0"/>
      <w:marTop w:val="0"/>
      <w:marBottom w:val="0"/>
      <w:divBdr>
        <w:top w:val="none" w:sz="0" w:space="0" w:color="auto"/>
        <w:left w:val="none" w:sz="0" w:space="0" w:color="auto"/>
        <w:bottom w:val="none" w:sz="0" w:space="0" w:color="auto"/>
        <w:right w:val="none" w:sz="0" w:space="0" w:color="auto"/>
      </w:divBdr>
    </w:div>
    <w:div w:id="605770601">
      <w:bodyDiv w:val="1"/>
      <w:marLeft w:val="0"/>
      <w:marRight w:val="0"/>
      <w:marTop w:val="0"/>
      <w:marBottom w:val="0"/>
      <w:divBdr>
        <w:top w:val="none" w:sz="0" w:space="0" w:color="auto"/>
        <w:left w:val="none" w:sz="0" w:space="0" w:color="auto"/>
        <w:bottom w:val="none" w:sz="0" w:space="0" w:color="auto"/>
        <w:right w:val="none" w:sz="0" w:space="0" w:color="auto"/>
      </w:divBdr>
    </w:div>
    <w:div w:id="605966637">
      <w:bodyDiv w:val="1"/>
      <w:marLeft w:val="0"/>
      <w:marRight w:val="0"/>
      <w:marTop w:val="0"/>
      <w:marBottom w:val="0"/>
      <w:divBdr>
        <w:top w:val="none" w:sz="0" w:space="0" w:color="auto"/>
        <w:left w:val="none" w:sz="0" w:space="0" w:color="auto"/>
        <w:bottom w:val="none" w:sz="0" w:space="0" w:color="auto"/>
        <w:right w:val="none" w:sz="0" w:space="0" w:color="auto"/>
      </w:divBdr>
    </w:div>
    <w:div w:id="606042710">
      <w:bodyDiv w:val="1"/>
      <w:marLeft w:val="0"/>
      <w:marRight w:val="0"/>
      <w:marTop w:val="0"/>
      <w:marBottom w:val="0"/>
      <w:divBdr>
        <w:top w:val="none" w:sz="0" w:space="0" w:color="auto"/>
        <w:left w:val="none" w:sz="0" w:space="0" w:color="auto"/>
        <w:bottom w:val="none" w:sz="0" w:space="0" w:color="auto"/>
        <w:right w:val="none" w:sz="0" w:space="0" w:color="auto"/>
      </w:divBdr>
    </w:div>
    <w:div w:id="606161800">
      <w:bodyDiv w:val="1"/>
      <w:marLeft w:val="0"/>
      <w:marRight w:val="0"/>
      <w:marTop w:val="0"/>
      <w:marBottom w:val="0"/>
      <w:divBdr>
        <w:top w:val="none" w:sz="0" w:space="0" w:color="auto"/>
        <w:left w:val="none" w:sz="0" w:space="0" w:color="auto"/>
        <w:bottom w:val="none" w:sz="0" w:space="0" w:color="auto"/>
        <w:right w:val="none" w:sz="0" w:space="0" w:color="auto"/>
      </w:divBdr>
    </w:div>
    <w:div w:id="606238345">
      <w:bodyDiv w:val="1"/>
      <w:marLeft w:val="0"/>
      <w:marRight w:val="0"/>
      <w:marTop w:val="0"/>
      <w:marBottom w:val="0"/>
      <w:divBdr>
        <w:top w:val="none" w:sz="0" w:space="0" w:color="auto"/>
        <w:left w:val="none" w:sz="0" w:space="0" w:color="auto"/>
        <w:bottom w:val="none" w:sz="0" w:space="0" w:color="auto"/>
        <w:right w:val="none" w:sz="0" w:space="0" w:color="auto"/>
      </w:divBdr>
    </w:div>
    <w:div w:id="606348521">
      <w:bodyDiv w:val="1"/>
      <w:marLeft w:val="0"/>
      <w:marRight w:val="0"/>
      <w:marTop w:val="0"/>
      <w:marBottom w:val="0"/>
      <w:divBdr>
        <w:top w:val="none" w:sz="0" w:space="0" w:color="auto"/>
        <w:left w:val="none" w:sz="0" w:space="0" w:color="auto"/>
        <w:bottom w:val="none" w:sz="0" w:space="0" w:color="auto"/>
        <w:right w:val="none" w:sz="0" w:space="0" w:color="auto"/>
      </w:divBdr>
    </w:div>
    <w:div w:id="606349513">
      <w:bodyDiv w:val="1"/>
      <w:marLeft w:val="0"/>
      <w:marRight w:val="0"/>
      <w:marTop w:val="0"/>
      <w:marBottom w:val="0"/>
      <w:divBdr>
        <w:top w:val="none" w:sz="0" w:space="0" w:color="auto"/>
        <w:left w:val="none" w:sz="0" w:space="0" w:color="auto"/>
        <w:bottom w:val="none" w:sz="0" w:space="0" w:color="auto"/>
        <w:right w:val="none" w:sz="0" w:space="0" w:color="auto"/>
      </w:divBdr>
    </w:div>
    <w:div w:id="606428598">
      <w:bodyDiv w:val="1"/>
      <w:marLeft w:val="0"/>
      <w:marRight w:val="0"/>
      <w:marTop w:val="0"/>
      <w:marBottom w:val="0"/>
      <w:divBdr>
        <w:top w:val="none" w:sz="0" w:space="0" w:color="auto"/>
        <w:left w:val="none" w:sz="0" w:space="0" w:color="auto"/>
        <w:bottom w:val="none" w:sz="0" w:space="0" w:color="auto"/>
        <w:right w:val="none" w:sz="0" w:space="0" w:color="auto"/>
      </w:divBdr>
    </w:div>
    <w:div w:id="606499507">
      <w:bodyDiv w:val="1"/>
      <w:marLeft w:val="0"/>
      <w:marRight w:val="0"/>
      <w:marTop w:val="0"/>
      <w:marBottom w:val="0"/>
      <w:divBdr>
        <w:top w:val="none" w:sz="0" w:space="0" w:color="auto"/>
        <w:left w:val="none" w:sz="0" w:space="0" w:color="auto"/>
        <w:bottom w:val="none" w:sz="0" w:space="0" w:color="auto"/>
        <w:right w:val="none" w:sz="0" w:space="0" w:color="auto"/>
      </w:divBdr>
    </w:div>
    <w:div w:id="606617158">
      <w:bodyDiv w:val="1"/>
      <w:marLeft w:val="0"/>
      <w:marRight w:val="0"/>
      <w:marTop w:val="0"/>
      <w:marBottom w:val="0"/>
      <w:divBdr>
        <w:top w:val="none" w:sz="0" w:space="0" w:color="auto"/>
        <w:left w:val="none" w:sz="0" w:space="0" w:color="auto"/>
        <w:bottom w:val="none" w:sz="0" w:space="0" w:color="auto"/>
        <w:right w:val="none" w:sz="0" w:space="0" w:color="auto"/>
      </w:divBdr>
    </w:div>
    <w:div w:id="606739893">
      <w:bodyDiv w:val="1"/>
      <w:marLeft w:val="0"/>
      <w:marRight w:val="0"/>
      <w:marTop w:val="0"/>
      <w:marBottom w:val="0"/>
      <w:divBdr>
        <w:top w:val="none" w:sz="0" w:space="0" w:color="auto"/>
        <w:left w:val="none" w:sz="0" w:space="0" w:color="auto"/>
        <w:bottom w:val="none" w:sz="0" w:space="0" w:color="auto"/>
        <w:right w:val="none" w:sz="0" w:space="0" w:color="auto"/>
      </w:divBdr>
    </w:div>
    <w:div w:id="606811787">
      <w:bodyDiv w:val="1"/>
      <w:marLeft w:val="0"/>
      <w:marRight w:val="0"/>
      <w:marTop w:val="0"/>
      <w:marBottom w:val="0"/>
      <w:divBdr>
        <w:top w:val="none" w:sz="0" w:space="0" w:color="auto"/>
        <w:left w:val="none" w:sz="0" w:space="0" w:color="auto"/>
        <w:bottom w:val="none" w:sz="0" w:space="0" w:color="auto"/>
        <w:right w:val="none" w:sz="0" w:space="0" w:color="auto"/>
      </w:divBdr>
    </w:div>
    <w:div w:id="606887894">
      <w:bodyDiv w:val="1"/>
      <w:marLeft w:val="0"/>
      <w:marRight w:val="0"/>
      <w:marTop w:val="0"/>
      <w:marBottom w:val="0"/>
      <w:divBdr>
        <w:top w:val="none" w:sz="0" w:space="0" w:color="auto"/>
        <w:left w:val="none" w:sz="0" w:space="0" w:color="auto"/>
        <w:bottom w:val="none" w:sz="0" w:space="0" w:color="auto"/>
        <w:right w:val="none" w:sz="0" w:space="0" w:color="auto"/>
      </w:divBdr>
    </w:div>
    <w:div w:id="607129873">
      <w:bodyDiv w:val="1"/>
      <w:marLeft w:val="0"/>
      <w:marRight w:val="0"/>
      <w:marTop w:val="0"/>
      <w:marBottom w:val="0"/>
      <w:divBdr>
        <w:top w:val="none" w:sz="0" w:space="0" w:color="auto"/>
        <w:left w:val="none" w:sz="0" w:space="0" w:color="auto"/>
        <w:bottom w:val="none" w:sz="0" w:space="0" w:color="auto"/>
        <w:right w:val="none" w:sz="0" w:space="0" w:color="auto"/>
      </w:divBdr>
    </w:div>
    <w:div w:id="607351546">
      <w:bodyDiv w:val="1"/>
      <w:marLeft w:val="0"/>
      <w:marRight w:val="0"/>
      <w:marTop w:val="0"/>
      <w:marBottom w:val="0"/>
      <w:divBdr>
        <w:top w:val="none" w:sz="0" w:space="0" w:color="auto"/>
        <w:left w:val="none" w:sz="0" w:space="0" w:color="auto"/>
        <w:bottom w:val="none" w:sz="0" w:space="0" w:color="auto"/>
        <w:right w:val="none" w:sz="0" w:space="0" w:color="auto"/>
      </w:divBdr>
    </w:div>
    <w:div w:id="607542742">
      <w:bodyDiv w:val="1"/>
      <w:marLeft w:val="0"/>
      <w:marRight w:val="0"/>
      <w:marTop w:val="0"/>
      <w:marBottom w:val="0"/>
      <w:divBdr>
        <w:top w:val="none" w:sz="0" w:space="0" w:color="auto"/>
        <w:left w:val="none" w:sz="0" w:space="0" w:color="auto"/>
        <w:bottom w:val="none" w:sz="0" w:space="0" w:color="auto"/>
        <w:right w:val="none" w:sz="0" w:space="0" w:color="auto"/>
      </w:divBdr>
    </w:div>
    <w:div w:id="607586741">
      <w:bodyDiv w:val="1"/>
      <w:marLeft w:val="0"/>
      <w:marRight w:val="0"/>
      <w:marTop w:val="0"/>
      <w:marBottom w:val="0"/>
      <w:divBdr>
        <w:top w:val="none" w:sz="0" w:space="0" w:color="auto"/>
        <w:left w:val="none" w:sz="0" w:space="0" w:color="auto"/>
        <w:bottom w:val="none" w:sz="0" w:space="0" w:color="auto"/>
        <w:right w:val="none" w:sz="0" w:space="0" w:color="auto"/>
      </w:divBdr>
    </w:div>
    <w:div w:id="607665889">
      <w:bodyDiv w:val="1"/>
      <w:marLeft w:val="0"/>
      <w:marRight w:val="0"/>
      <w:marTop w:val="0"/>
      <w:marBottom w:val="0"/>
      <w:divBdr>
        <w:top w:val="none" w:sz="0" w:space="0" w:color="auto"/>
        <w:left w:val="none" w:sz="0" w:space="0" w:color="auto"/>
        <w:bottom w:val="none" w:sz="0" w:space="0" w:color="auto"/>
        <w:right w:val="none" w:sz="0" w:space="0" w:color="auto"/>
      </w:divBdr>
    </w:div>
    <w:div w:id="607933559">
      <w:bodyDiv w:val="1"/>
      <w:marLeft w:val="0"/>
      <w:marRight w:val="0"/>
      <w:marTop w:val="0"/>
      <w:marBottom w:val="0"/>
      <w:divBdr>
        <w:top w:val="none" w:sz="0" w:space="0" w:color="auto"/>
        <w:left w:val="none" w:sz="0" w:space="0" w:color="auto"/>
        <w:bottom w:val="none" w:sz="0" w:space="0" w:color="auto"/>
        <w:right w:val="none" w:sz="0" w:space="0" w:color="auto"/>
      </w:divBdr>
    </w:div>
    <w:div w:id="608004403">
      <w:bodyDiv w:val="1"/>
      <w:marLeft w:val="0"/>
      <w:marRight w:val="0"/>
      <w:marTop w:val="0"/>
      <w:marBottom w:val="0"/>
      <w:divBdr>
        <w:top w:val="none" w:sz="0" w:space="0" w:color="auto"/>
        <w:left w:val="none" w:sz="0" w:space="0" w:color="auto"/>
        <w:bottom w:val="none" w:sz="0" w:space="0" w:color="auto"/>
        <w:right w:val="none" w:sz="0" w:space="0" w:color="auto"/>
      </w:divBdr>
    </w:div>
    <w:div w:id="608044762">
      <w:bodyDiv w:val="1"/>
      <w:marLeft w:val="0"/>
      <w:marRight w:val="0"/>
      <w:marTop w:val="0"/>
      <w:marBottom w:val="0"/>
      <w:divBdr>
        <w:top w:val="none" w:sz="0" w:space="0" w:color="auto"/>
        <w:left w:val="none" w:sz="0" w:space="0" w:color="auto"/>
        <w:bottom w:val="none" w:sz="0" w:space="0" w:color="auto"/>
        <w:right w:val="none" w:sz="0" w:space="0" w:color="auto"/>
      </w:divBdr>
    </w:div>
    <w:div w:id="608129221">
      <w:bodyDiv w:val="1"/>
      <w:marLeft w:val="0"/>
      <w:marRight w:val="0"/>
      <w:marTop w:val="0"/>
      <w:marBottom w:val="0"/>
      <w:divBdr>
        <w:top w:val="none" w:sz="0" w:space="0" w:color="auto"/>
        <w:left w:val="none" w:sz="0" w:space="0" w:color="auto"/>
        <w:bottom w:val="none" w:sz="0" w:space="0" w:color="auto"/>
        <w:right w:val="none" w:sz="0" w:space="0" w:color="auto"/>
      </w:divBdr>
    </w:div>
    <w:div w:id="608246405">
      <w:bodyDiv w:val="1"/>
      <w:marLeft w:val="0"/>
      <w:marRight w:val="0"/>
      <w:marTop w:val="0"/>
      <w:marBottom w:val="0"/>
      <w:divBdr>
        <w:top w:val="none" w:sz="0" w:space="0" w:color="auto"/>
        <w:left w:val="none" w:sz="0" w:space="0" w:color="auto"/>
        <w:bottom w:val="none" w:sz="0" w:space="0" w:color="auto"/>
        <w:right w:val="none" w:sz="0" w:space="0" w:color="auto"/>
      </w:divBdr>
    </w:div>
    <w:div w:id="608438514">
      <w:bodyDiv w:val="1"/>
      <w:marLeft w:val="0"/>
      <w:marRight w:val="0"/>
      <w:marTop w:val="0"/>
      <w:marBottom w:val="0"/>
      <w:divBdr>
        <w:top w:val="none" w:sz="0" w:space="0" w:color="auto"/>
        <w:left w:val="none" w:sz="0" w:space="0" w:color="auto"/>
        <w:bottom w:val="none" w:sz="0" w:space="0" w:color="auto"/>
        <w:right w:val="none" w:sz="0" w:space="0" w:color="auto"/>
      </w:divBdr>
    </w:div>
    <w:div w:id="608515070">
      <w:bodyDiv w:val="1"/>
      <w:marLeft w:val="0"/>
      <w:marRight w:val="0"/>
      <w:marTop w:val="0"/>
      <w:marBottom w:val="0"/>
      <w:divBdr>
        <w:top w:val="none" w:sz="0" w:space="0" w:color="auto"/>
        <w:left w:val="none" w:sz="0" w:space="0" w:color="auto"/>
        <w:bottom w:val="none" w:sz="0" w:space="0" w:color="auto"/>
        <w:right w:val="none" w:sz="0" w:space="0" w:color="auto"/>
      </w:divBdr>
    </w:div>
    <w:div w:id="608633455">
      <w:bodyDiv w:val="1"/>
      <w:marLeft w:val="0"/>
      <w:marRight w:val="0"/>
      <w:marTop w:val="0"/>
      <w:marBottom w:val="0"/>
      <w:divBdr>
        <w:top w:val="none" w:sz="0" w:space="0" w:color="auto"/>
        <w:left w:val="none" w:sz="0" w:space="0" w:color="auto"/>
        <w:bottom w:val="none" w:sz="0" w:space="0" w:color="auto"/>
        <w:right w:val="none" w:sz="0" w:space="0" w:color="auto"/>
      </w:divBdr>
    </w:div>
    <w:div w:id="608851601">
      <w:bodyDiv w:val="1"/>
      <w:marLeft w:val="0"/>
      <w:marRight w:val="0"/>
      <w:marTop w:val="0"/>
      <w:marBottom w:val="0"/>
      <w:divBdr>
        <w:top w:val="none" w:sz="0" w:space="0" w:color="auto"/>
        <w:left w:val="none" w:sz="0" w:space="0" w:color="auto"/>
        <w:bottom w:val="none" w:sz="0" w:space="0" w:color="auto"/>
        <w:right w:val="none" w:sz="0" w:space="0" w:color="auto"/>
      </w:divBdr>
    </w:div>
    <w:div w:id="608851829">
      <w:bodyDiv w:val="1"/>
      <w:marLeft w:val="0"/>
      <w:marRight w:val="0"/>
      <w:marTop w:val="0"/>
      <w:marBottom w:val="0"/>
      <w:divBdr>
        <w:top w:val="none" w:sz="0" w:space="0" w:color="auto"/>
        <w:left w:val="none" w:sz="0" w:space="0" w:color="auto"/>
        <w:bottom w:val="none" w:sz="0" w:space="0" w:color="auto"/>
        <w:right w:val="none" w:sz="0" w:space="0" w:color="auto"/>
      </w:divBdr>
    </w:div>
    <w:div w:id="608852232">
      <w:bodyDiv w:val="1"/>
      <w:marLeft w:val="0"/>
      <w:marRight w:val="0"/>
      <w:marTop w:val="0"/>
      <w:marBottom w:val="0"/>
      <w:divBdr>
        <w:top w:val="none" w:sz="0" w:space="0" w:color="auto"/>
        <w:left w:val="none" w:sz="0" w:space="0" w:color="auto"/>
        <w:bottom w:val="none" w:sz="0" w:space="0" w:color="auto"/>
        <w:right w:val="none" w:sz="0" w:space="0" w:color="auto"/>
      </w:divBdr>
    </w:div>
    <w:div w:id="609093691">
      <w:bodyDiv w:val="1"/>
      <w:marLeft w:val="0"/>
      <w:marRight w:val="0"/>
      <w:marTop w:val="0"/>
      <w:marBottom w:val="0"/>
      <w:divBdr>
        <w:top w:val="none" w:sz="0" w:space="0" w:color="auto"/>
        <w:left w:val="none" w:sz="0" w:space="0" w:color="auto"/>
        <w:bottom w:val="none" w:sz="0" w:space="0" w:color="auto"/>
        <w:right w:val="none" w:sz="0" w:space="0" w:color="auto"/>
      </w:divBdr>
    </w:div>
    <w:div w:id="609122701">
      <w:bodyDiv w:val="1"/>
      <w:marLeft w:val="0"/>
      <w:marRight w:val="0"/>
      <w:marTop w:val="0"/>
      <w:marBottom w:val="0"/>
      <w:divBdr>
        <w:top w:val="none" w:sz="0" w:space="0" w:color="auto"/>
        <w:left w:val="none" w:sz="0" w:space="0" w:color="auto"/>
        <w:bottom w:val="none" w:sz="0" w:space="0" w:color="auto"/>
        <w:right w:val="none" w:sz="0" w:space="0" w:color="auto"/>
      </w:divBdr>
    </w:div>
    <w:div w:id="609240474">
      <w:bodyDiv w:val="1"/>
      <w:marLeft w:val="0"/>
      <w:marRight w:val="0"/>
      <w:marTop w:val="0"/>
      <w:marBottom w:val="0"/>
      <w:divBdr>
        <w:top w:val="none" w:sz="0" w:space="0" w:color="auto"/>
        <w:left w:val="none" w:sz="0" w:space="0" w:color="auto"/>
        <w:bottom w:val="none" w:sz="0" w:space="0" w:color="auto"/>
        <w:right w:val="none" w:sz="0" w:space="0" w:color="auto"/>
      </w:divBdr>
    </w:div>
    <w:div w:id="609355508">
      <w:bodyDiv w:val="1"/>
      <w:marLeft w:val="0"/>
      <w:marRight w:val="0"/>
      <w:marTop w:val="0"/>
      <w:marBottom w:val="0"/>
      <w:divBdr>
        <w:top w:val="none" w:sz="0" w:space="0" w:color="auto"/>
        <w:left w:val="none" w:sz="0" w:space="0" w:color="auto"/>
        <w:bottom w:val="none" w:sz="0" w:space="0" w:color="auto"/>
        <w:right w:val="none" w:sz="0" w:space="0" w:color="auto"/>
      </w:divBdr>
    </w:div>
    <w:div w:id="609362014">
      <w:bodyDiv w:val="1"/>
      <w:marLeft w:val="0"/>
      <w:marRight w:val="0"/>
      <w:marTop w:val="0"/>
      <w:marBottom w:val="0"/>
      <w:divBdr>
        <w:top w:val="none" w:sz="0" w:space="0" w:color="auto"/>
        <w:left w:val="none" w:sz="0" w:space="0" w:color="auto"/>
        <w:bottom w:val="none" w:sz="0" w:space="0" w:color="auto"/>
        <w:right w:val="none" w:sz="0" w:space="0" w:color="auto"/>
      </w:divBdr>
    </w:div>
    <w:div w:id="609434380">
      <w:bodyDiv w:val="1"/>
      <w:marLeft w:val="0"/>
      <w:marRight w:val="0"/>
      <w:marTop w:val="0"/>
      <w:marBottom w:val="0"/>
      <w:divBdr>
        <w:top w:val="none" w:sz="0" w:space="0" w:color="auto"/>
        <w:left w:val="none" w:sz="0" w:space="0" w:color="auto"/>
        <w:bottom w:val="none" w:sz="0" w:space="0" w:color="auto"/>
        <w:right w:val="none" w:sz="0" w:space="0" w:color="auto"/>
      </w:divBdr>
    </w:div>
    <w:div w:id="609506721">
      <w:bodyDiv w:val="1"/>
      <w:marLeft w:val="0"/>
      <w:marRight w:val="0"/>
      <w:marTop w:val="0"/>
      <w:marBottom w:val="0"/>
      <w:divBdr>
        <w:top w:val="none" w:sz="0" w:space="0" w:color="auto"/>
        <w:left w:val="none" w:sz="0" w:space="0" w:color="auto"/>
        <w:bottom w:val="none" w:sz="0" w:space="0" w:color="auto"/>
        <w:right w:val="none" w:sz="0" w:space="0" w:color="auto"/>
      </w:divBdr>
    </w:div>
    <w:div w:id="609512521">
      <w:bodyDiv w:val="1"/>
      <w:marLeft w:val="0"/>
      <w:marRight w:val="0"/>
      <w:marTop w:val="0"/>
      <w:marBottom w:val="0"/>
      <w:divBdr>
        <w:top w:val="none" w:sz="0" w:space="0" w:color="auto"/>
        <w:left w:val="none" w:sz="0" w:space="0" w:color="auto"/>
        <w:bottom w:val="none" w:sz="0" w:space="0" w:color="auto"/>
        <w:right w:val="none" w:sz="0" w:space="0" w:color="auto"/>
      </w:divBdr>
    </w:div>
    <w:div w:id="609513840">
      <w:bodyDiv w:val="1"/>
      <w:marLeft w:val="0"/>
      <w:marRight w:val="0"/>
      <w:marTop w:val="0"/>
      <w:marBottom w:val="0"/>
      <w:divBdr>
        <w:top w:val="none" w:sz="0" w:space="0" w:color="auto"/>
        <w:left w:val="none" w:sz="0" w:space="0" w:color="auto"/>
        <w:bottom w:val="none" w:sz="0" w:space="0" w:color="auto"/>
        <w:right w:val="none" w:sz="0" w:space="0" w:color="auto"/>
      </w:divBdr>
    </w:div>
    <w:div w:id="609580862">
      <w:bodyDiv w:val="1"/>
      <w:marLeft w:val="0"/>
      <w:marRight w:val="0"/>
      <w:marTop w:val="0"/>
      <w:marBottom w:val="0"/>
      <w:divBdr>
        <w:top w:val="none" w:sz="0" w:space="0" w:color="auto"/>
        <w:left w:val="none" w:sz="0" w:space="0" w:color="auto"/>
        <w:bottom w:val="none" w:sz="0" w:space="0" w:color="auto"/>
        <w:right w:val="none" w:sz="0" w:space="0" w:color="auto"/>
      </w:divBdr>
    </w:div>
    <w:div w:id="609708271">
      <w:bodyDiv w:val="1"/>
      <w:marLeft w:val="0"/>
      <w:marRight w:val="0"/>
      <w:marTop w:val="0"/>
      <w:marBottom w:val="0"/>
      <w:divBdr>
        <w:top w:val="none" w:sz="0" w:space="0" w:color="auto"/>
        <w:left w:val="none" w:sz="0" w:space="0" w:color="auto"/>
        <w:bottom w:val="none" w:sz="0" w:space="0" w:color="auto"/>
        <w:right w:val="none" w:sz="0" w:space="0" w:color="auto"/>
      </w:divBdr>
    </w:div>
    <w:div w:id="610087432">
      <w:bodyDiv w:val="1"/>
      <w:marLeft w:val="0"/>
      <w:marRight w:val="0"/>
      <w:marTop w:val="0"/>
      <w:marBottom w:val="0"/>
      <w:divBdr>
        <w:top w:val="none" w:sz="0" w:space="0" w:color="auto"/>
        <w:left w:val="none" w:sz="0" w:space="0" w:color="auto"/>
        <w:bottom w:val="none" w:sz="0" w:space="0" w:color="auto"/>
        <w:right w:val="none" w:sz="0" w:space="0" w:color="auto"/>
      </w:divBdr>
    </w:div>
    <w:div w:id="610165920">
      <w:bodyDiv w:val="1"/>
      <w:marLeft w:val="0"/>
      <w:marRight w:val="0"/>
      <w:marTop w:val="0"/>
      <w:marBottom w:val="0"/>
      <w:divBdr>
        <w:top w:val="none" w:sz="0" w:space="0" w:color="auto"/>
        <w:left w:val="none" w:sz="0" w:space="0" w:color="auto"/>
        <w:bottom w:val="none" w:sz="0" w:space="0" w:color="auto"/>
        <w:right w:val="none" w:sz="0" w:space="0" w:color="auto"/>
      </w:divBdr>
    </w:div>
    <w:div w:id="610167125">
      <w:bodyDiv w:val="1"/>
      <w:marLeft w:val="0"/>
      <w:marRight w:val="0"/>
      <w:marTop w:val="0"/>
      <w:marBottom w:val="0"/>
      <w:divBdr>
        <w:top w:val="none" w:sz="0" w:space="0" w:color="auto"/>
        <w:left w:val="none" w:sz="0" w:space="0" w:color="auto"/>
        <w:bottom w:val="none" w:sz="0" w:space="0" w:color="auto"/>
        <w:right w:val="none" w:sz="0" w:space="0" w:color="auto"/>
      </w:divBdr>
    </w:div>
    <w:div w:id="610360041">
      <w:bodyDiv w:val="1"/>
      <w:marLeft w:val="0"/>
      <w:marRight w:val="0"/>
      <w:marTop w:val="0"/>
      <w:marBottom w:val="0"/>
      <w:divBdr>
        <w:top w:val="none" w:sz="0" w:space="0" w:color="auto"/>
        <w:left w:val="none" w:sz="0" w:space="0" w:color="auto"/>
        <w:bottom w:val="none" w:sz="0" w:space="0" w:color="auto"/>
        <w:right w:val="none" w:sz="0" w:space="0" w:color="auto"/>
      </w:divBdr>
    </w:div>
    <w:div w:id="610472520">
      <w:bodyDiv w:val="1"/>
      <w:marLeft w:val="0"/>
      <w:marRight w:val="0"/>
      <w:marTop w:val="0"/>
      <w:marBottom w:val="0"/>
      <w:divBdr>
        <w:top w:val="none" w:sz="0" w:space="0" w:color="auto"/>
        <w:left w:val="none" w:sz="0" w:space="0" w:color="auto"/>
        <w:bottom w:val="none" w:sz="0" w:space="0" w:color="auto"/>
        <w:right w:val="none" w:sz="0" w:space="0" w:color="auto"/>
      </w:divBdr>
    </w:div>
    <w:div w:id="610555867">
      <w:bodyDiv w:val="1"/>
      <w:marLeft w:val="0"/>
      <w:marRight w:val="0"/>
      <w:marTop w:val="0"/>
      <w:marBottom w:val="0"/>
      <w:divBdr>
        <w:top w:val="none" w:sz="0" w:space="0" w:color="auto"/>
        <w:left w:val="none" w:sz="0" w:space="0" w:color="auto"/>
        <w:bottom w:val="none" w:sz="0" w:space="0" w:color="auto"/>
        <w:right w:val="none" w:sz="0" w:space="0" w:color="auto"/>
      </w:divBdr>
    </w:div>
    <w:div w:id="610674842">
      <w:bodyDiv w:val="1"/>
      <w:marLeft w:val="0"/>
      <w:marRight w:val="0"/>
      <w:marTop w:val="0"/>
      <w:marBottom w:val="0"/>
      <w:divBdr>
        <w:top w:val="none" w:sz="0" w:space="0" w:color="auto"/>
        <w:left w:val="none" w:sz="0" w:space="0" w:color="auto"/>
        <w:bottom w:val="none" w:sz="0" w:space="0" w:color="auto"/>
        <w:right w:val="none" w:sz="0" w:space="0" w:color="auto"/>
      </w:divBdr>
    </w:div>
    <w:div w:id="610746746">
      <w:bodyDiv w:val="1"/>
      <w:marLeft w:val="0"/>
      <w:marRight w:val="0"/>
      <w:marTop w:val="0"/>
      <w:marBottom w:val="0"/>
      <w:divBdr>
        <w:top w:val="none" w:sz="0" w:space="0" w:color="auto"/>
        <w:left w:val="none" w:sz="0" w:space="0" w:color="auto"/>
        <w:bottom w:val="none" w:sz="0" w:space="0" w:color="auto"/>
        <w:right w:val="none" w:sz="0" w:space="0" w:color="auto"/>
      </w:divBdr>
    </w:div>
    <w:div w:id="610818535">
      <w:bodyDiv w:val="1"/>
      <w:marLeft w:val="0"/>
      <w:marRight w:val="0"/>
      <w:marTop w:val="0"/>
      <w:marBottom w:val="0"/>
      <w:divBdr>
        <w:top w:val="none" w:sz="0" w:space="0" w:color="auto"/>
        <w:left w:val="none" w:sz="0" w:space="0" w:color="auto"/>
        <w:bottom w:val="none" w:sz="0" w:space="0" w:color="auto"/>
        <w:right w:val="none" w:sz="0" w:space="0" w:color="auto"/>
      </w:divBdr>
    </w:div>
    <w:div w:id="610863574">
      <w:bodyDiv w:val="1"/>
      <w:marLeft w:val="0"/>
      <w:marRight w:val="0"/>
      <w:marTop w:val="0"/>
      <w:marBottom w:val="0"/>
      <w:divBdr>
        <w:top w:val="none" w:sz="0" w:space="0" w:color="auto"/>
        <w:left w:val="none" w:sz="0" w:space="0" w:color="auto"/>
        <w:bottom w:val="none" w:sz="0" w:space="0" w:color="auto"/>
        <w:right w:val="none" w:sz="0" w:space="0" w:color="auto"/>
      </w:divBdr>
    </w:div>
    <w:div w:id="610938067">
      <w:bodyDiv w:val="1"/>
      <w:marLeft w:val="0"/>
      <w:marRight w:val="0"/>
      <w:marTop w:val="0"/>
      <w:marBottom w:val="0"/>
      <w:divBdr>
        <w:top w:val="none" w:sz="0" w:space="0" w:color="auto"/>
        <w:left w:val="none" w:sz="0" w:space="0" w:color="auto"/>
        <w:bottom w:val="none" w:sz="0" w:space="0" w:color="auto"/>
        <w:right w:val="none" w:sz="0" w:space="0" w:color="auto"/>
      </w:divBdr>
    </w:div>
    <w:div w:id="611010169">
      <w:bodyDiv w:val="1"/>
      <w:marLeft w:val="0"/>
      <w:marRight w:val="0"/>
      <w:marTop w:val="0"/>
      <w:marBottom w:val="0"/>
      <w:divBdr>
        <w:top w:val="none" w:sz="0" w:space="0" w:color="auto"/>
        <w:left w:val="none" w:sz="0" w:space="0" w:color="auto"/>
        <w:bottom w:val="none" w:sz="0" w:space="0" w:color="auto"/>
        <w:right w:val="none" w:sz="0" w:space="0" w:color="auto"/>
      </w:divBdr>
    </w:div>
    <w:div w:id="611058375">
      <w:bodyDiv w:val="1"/>
      <w:marLeft w:val="0"/>
      <w:marRight w:val="0"/>
      <w:marTop w:val="0"/>
      <w:marBottom w:val="0"/>
      <w:divBdr>
        <w:top w:val="none" w:sz="0" w:space="0" w:color="auto"/>
        <w:left w:val="none" w:sz="0" w:space="0" w:color="auto"/>
        <w:bottom w:val="none" w:sz="0" w:space="0" w:color="auto"/>
        <w:right w:val="none" w:sz="0" w:space="0" w:color="auto"/>
      </w:divBdr>
    </w:div>
    <w:div w:id="611129629">
      <w:bodyDiv w:val="1"/>
      <w:marLeft w:val="0"/>
      <w:marRight w:val="0"/>
      <w:marTop w:val="0"/>
      <w:marBottom w:val="0"/>
      <w:divBdr>
        <w:top w:val="none" w:sz="0" w:space="0" w:color="auto"/>
        <w:left w:val="none" w:sz="0" w:space="0" w:color="auto"/>
        <w:bottom w:val="none" w:sz="0" w:space="0" w:color="auto"/>
        <w:right w:val="none" w:sz="0" w:space="0" w:color="auto"/>
      </w:divBdr>
    </w:div>
    <w:div w:id="611204788">
      <w:bodyDiv w:val="1"/>
      <w:marLeft w:val="0"/>
      <w:marRight w:val="0"/>
      <w:marTop w:val="0"/>
      <w:marBottom w:val="0"/>
      <w:divBdr>
        <w:top w:val="none" w:sz="0" w:space="0" w:color="auto"/>
        <w:left w:val="none" w:sz="0" w:space="0" w:color="auto"/>
        <w:bottom w:val="none" w:sz="0" w:space="0" w:color="auto"/>
        <w:right w:val="none" w:sz="0" w:space="0" w:color="auto"/>
      </w:divBdr>
    </w:div>
    <w:div w:id="611281555">
      <w:bodyDiv w:val="1"/>
      <w:marLeft w:val="0"/>
      <w:marRight w:val="0"/>
      <w:marTop w:val="0"/>
      <w:marBottom w:val="0"/>
      <w:divBdr>
        <w:top w:val="none" w:sz="0" w:space="0" w:color="auto"/>
        <w:left w:val="none" w:sz="0" w:space="0" w:color="auto"/>
        <w:bottom w:val="none" w:sz="0" w:space="0" w:color="auto"/>
        <w:right w:val="none" w:sz="0" w:space="0" w:color="auto"/>
      </w:divBdr>
    </w:div>
    <w:div w:id="611326421">
      <w:bodyDiv w:val="1"/>
      <w:marLeft w:val="0"/>
      <w:marRight w:val="0"/>
      <w:marTop w:val="0"/>
      <w:marBottom w:val="0"/>
      <w:divBdr>
        <w:top w:val="none" w:sz="0" w:space="0" w:color="auto"/>
        <w:left w:val="none" w:sz="0" w:space="0" w:color="auto"/>
        <w:bottom w:val="none" w:sz="0" w:space="0" w:color="auto"/>
        <w:right w:val="none" w:sz="0" w:space="0" w:color="auto"/>
      </w:divBdr>
    </w:div>
    <w:div w:id="611666442">
      <w:bodyDiv w:val="1"/>
      <w:marLeft w:val="0"/>
      <w:marRight w:val="0"/>
      <w:marTop w:val="0"/>
      <w:marBottom w:val="0"/>
      <w:divBdr>
        <w:top w:val="none" w:sz="0" w:space="0" w:color="auto"/>
        <w:left w:val="none" w:sz="0" w:space="0" w:color="auto"/>
        <w:bottom w:val="none" w:sz="0" w:space="0" w:color="auto"/>
        <w:right w:val="none" w:sz="0" w:space="0" w:color="auto"/>
      </w:divBdr>
    </w:div>
    <w:div w:id="611673650">
      <w:bodyDiv w:val="1"/>
      <w:marLeft w:val="0"/>
      <w:marRight w:val="0"/>
      <w:marTop w:val="0"/>
      <w:marBottom w:val="0"/>
      <w:divBdr>
        <w:top w:val="none" w:sz="0" w:space="0" w:color="auto"/>
        <w:left w:val="none" w:sz="0" w:space="0" w:color="auto"/>
        <w:bottom w:val="none" w:sz="0" w:space="0" w:color="auto"/>
        <w:right w:val="none" w:sz="0" w:space="0" w:color="auto"/>
      </w:divBdr>
    </w:div>
    <w:div w:id="611714397">
      <w:bodyDiv w:val="1"/>
      <w:marLeft w:val="0"/>
      <w:marRight w:val="0"/>
      <w:marTop w:val="0"/>
      <w:marBottom w:val="0"/>
      <w:divBdr>
        <w:top w:val="none" w:sz="0" w:space="0" w:color="auto"/>
        <w:left w:val="none" w:sz="0" w:space="0" w:color="auto"/>
        <w:bottom w:val="none" w:sz="0" w:space="0" w:color="auto"/>
        <w:right w:val="none" w:sz="0" w:space="0" w:color="auto"/>
      </w:divBdr>
    </w:div>
    <w:div w:id="611740214">
      <w:bodyDiv w:val="1"/>
      <w:marLeft w:val="0"/>
      <w:marRight w:val="0"/>
      <w:marTop w:val="0"/>
      <w:marBottom w:val="0"/>
      <w:divBdr>
        <w:top w:val="none" w:sz="0" w:space="0" w:color="auto"/>
        <w:left w:val="none" w:sz="0" w:space="0" w:color="auto"/>
        <w:bottom w:val="none" w:sz="0" w:space="0" w:color="auto"/>
        <w:right w:val="none" w:sz="0" w:space="0" w:color="auto"/>
      </w:divBdr>
    </w:div>
    <w:div w:id="611741843">
      <w:bodyDiv w:val="1"/>
      <w:marLeft w:val="0"/>
      <w:marRight w:val="0"/>
      <w:marTop w:val="0"/>
      <w:marBottom w:val="0"/>
      <w:divBdr>
        <w:top w:val="none" w:sz="0" w:space="0" w:color="auto"/>
        <w:left w:val="none" w:sz="0" w:space="0" w:color="auto"/>
        <w:bottom w:val="none" w:sz="0" w:space="0" w:color="auto"/>
        <w:right w:val="none" w:sz="0" w:space="0" w:color="auto"/>
      </w:divBdr>
    </w:div>
    <w:div w:id="611744805">
      <w:bodyDiv w:val="1"/>
      <w:marLeft w:val="0"/>
      <w:marRight w:val="0"/>
      <w:marTop w:val="0"/>
      <w:marBottom w:val="0"/>
      <w:divBdr>
        <w:top w:val="none" w:sz="0" w:space="0" w:color="auto"/>
        <w:left w:val="none" w:sz="0" w:space="0" w:color="auto"/>
        <w:bottom w:val="none" w:sz="0" w:space="0" w:color="auto"/>
        <w:right w:val="none" w:sz="0" w:space="0" w:color="auto"/>
      </w:divBdr>
    </w:div>
    <w:div w:id="611745127">
      <w:bodyDiv w:val="1"/>
      <w:marLeft w:val="0"/>
      <w:marRight w:val="0"/>
      <w:marTop w:val="0"/>
      <w:marBottom w:val="0"/>
      <w:divBdr>
        <w:top w:val="none" w:sz="0" w:space="0" w:color="auto"/>
        <w:left w:val="none" w:sz="0" w:space="0" w:color="auto"/>
        <w:bottom w:val="none" w:sz="0" w:space="0" w:color="auto"/>
        <w:right w:val="none" w:sz="0" w:space="0" w:color="auto"/>
      </w:divBdr>
    </w:div>
    <w:div w:id="611785036">
      <w:bodyDiv w:val="1"/>
      <w:marLeft w:val="0"/>
      <w:marRight w:val="0"/>
      <w:marTop w:val="0"/>
      <w:marBottom w:val="0"/>
      <w:divBdr>
        <w:top w:val="none" w:sz="0" w:space="0" w:color="auto"/>
        <w:left w:val="none" w:sz="0" w:space="0" w:color="auto"/>
        <w:bottom w:val="none" w:sz="0" w:space="0" w:color="auto"/>
        <w:right w:val="none" w:sz="0" w:space="0" w:color="auto"/>
      </w:divBdr>
    </w:div>
    <w:div w:id="611980631">
      <w:bodyDiv w:val="1"/>
      <w:marLeft w:val="0"/>
      <w:marRight w:val="0"/>
      <w:marTop w:val="0"/>
      <w:marBottom w:val="0"/>
      <w:divBdr>
        <w:top w:val="none" w:sz="0" w:space="0" w:color="auto"/>
        <w:left w:val="none" w:sz="0" w:space="0" w:color="auto"/>
        <w:bottom w:val="none" w:sz="0" w:space="0" w:color="auto"/>
        <w:right w:val="none" w:sz="0" w:space="0" w:color="auto"/>
      </w:divBdr>
    </w:div>
    <w:div w:id="612321071">
      <w:bodyDiv w:val="1"/>
      <w:marLeft w:val="0"/>
      <w:marRight w:val="0"/>
      <w:marTop w:val="0"/>
      <w:marBottom w:val="0"/>
      <w:divBdr>
        <w:top w:val="none" w:sz="0" w:space="0" w:color="auto"/>
        <w:left w:val="none" w:sz="0" w:space="0" w:color="auto"/>
        <w:bottom w:val="none" w:sz="0" w:space="0" w:color="auto"/>
        <w:right w:val="none" w:sz="0" w:space="0" w:color="auto"/>
      </w:divBdr>
    </w:div>
    <w:div w:id="612369403">
      <w:bodyDiv w:val="1"/>
      <w:marLeft w:val="0"/>
      <w:marRight w:val="0"/>
      <w:marTop w:val="0"/>
      <w:marBottom w:val="0"/>
      <w:divBdr>
        <w:top w:val="none" w:sz="0" w:space="0" w:color="auto"/>
        <w:left w:val="none" w:sz="0" w:space="0" w:color="auto"/>
        <w:bottom w:val="none" w:sz="0" w:space="0" w:color="auto"/>
        <w:right w:val="none" w:sz="0" w:space="0" w:color="auto"/>
      </w:divBdr>
    </w:div>
    <w:div w:id="612438664">
      <w:bodyDiv w:val="1"/>
      <w:marLeft w:val="0"/>
      <w:marRight w:val="0"/>
      <w:marTop w:val="0"/>
      <w:marBottom w:val="0"/>
      <w:divBdr>
        <w:top w:val="none" w:sz="0" w:space="0" w:color="auto"/>
        <w:left w:val="none" w:sz="0" w:space="0" w:color="auto"/>
        <w:bottom w:val="none" w:sz="0" w:space="0" w:color="auto"/>
        <w:right w:val="none" w:sz="0" w:space="0" w:color="auto"/>
      </w:divBdr>
    </w:div>
    <w:div w:id="612632602">
      <w:bodyDiv w:val="1"/>
      <w:marLeft w:val="0"/>
      <w:marRight w:val="0"/>
      <w:marTop w:val="0"/>
      <w:marBottom w:val="0"/>
      <w:divBdr>
        <w:top w:val="none" w:sz="0" w:space="0" w:color="auto"/>
        <w:left w:val="none" w:sz="0" w:space="0" w:color="auto"/>
        <w:bottom w:val="none" w:sz="0" w:space="0" w:color="auto"/>
        <w:right w:val="none" w:sz="0" w:space="0" w:color="auto"/>
      </w:divBdr>
    </w:div>
    <w:div w:id="612636996">
      <w:bodyDiv w:val="1"/>
      <w:marLeft w:val="0"/>
      <w:marRight w:val="0"/>
      <w:marTop w:val="0"/>
      <w:marBottom w:val="0"/>
      <w:divBdr>
        <w:top w:val="none" w:sz="0" w:space="0" w:color="auto"/>
        <w:left w:val="none" w:sz="0" w:space="0" w:color="auto"/>
        <w:bottom w:val="none" w:sz="0" w:space="0" w:color="auto"/>
        <w:right w:val="none" w:sz="0" w:space="0" w:color="auto"/>
      </w:divBdr>
    </w:div>
    <w:div w:id="612706613">
      <w:bodyDiv w:val="1"/>
      <w:marLeft w:val="0"/>
      <w:marRight w:val="0"/>
      <w:marTop w:val="0"/>
      <w:marBottom w:val="0"/>
      <w:divBdr>
        <w:top w:val="none" w:sz="0" w:space="0" w:color="auto"/>
        <w:left w:val="none" w:sz="0" w:space="0" w:color="auto"/>
        <w:bottom w:val="none" w:sz="0" w:space="0" w:color="auto"/>
        <w:right w:val="none" w:sz="0" w:space="0" w:color="auto"/>
      </w:divBdr>
    </w:div>
    <w:div w:id="612787548">
      <w:bodyDiv w:val="1"/>
      <w:marLeft w:val="0"/>
      <w:marRight w:val="0"/>
      <w:marTop w:val="0"/>
      <w:marBottom w:val="0"/>
      <w:divBdr>
        <w:top w:val="none" w:sz="0" w:space="0" w:color="auto"/>
        <w:left w:val="none" w:sz="0" w:space="0" w:color="auto"/>
        <w:bottom w:val="none" w:sz="0" w:space="0" w:color="auto"/>
        <w:right w:val="none" w:sz="0" w:space="0" w:color="auto"/>
      </w:divBdr>
    </w:div>
    <w:div w:id="612901764">
      <w:bodyDiv w:val="1"/>
      <w:marLeft w:val="0"/>
      <w:marRight w:val="0"/>
      <w:marTop w:val="0"/>
      <w:marBottom w:val="0"/>
      <w:divBdr>
        <w:top w:val="none" w:sz="0" w:space="0" w:color="auto"/>
        <w:left w:val="none" w:sz="0" w:space="0" w:color="auto"/>
        <w:bottom w:val="none" w:sz="0" w:space="0" w:color="auto"/>
        <w:right w:val="none" w:sz="0" w:space="0" w:color="auto"/>
      </w:divBdr>
    </w:div>
    <w:div w:id="612907210">
      <w:bodyDiv w:val="1"/>
      <w:marLeft w:val="0"/>
      <w:marRight w:val="0"/>
      <w:marTop w:val="0"/>
      <w:marBottom w:val="0"/>
      <w:divBdr>
        <w:top w:val="none" w:sz="0" w:space="0" w:color="auto"/>
        <w:left w:val="none" w:sz="0" w:space="0" w:color="auto"/>
        <w:bottom w:val="none" w:sz="0" w:space="0" w:color="auto"/>
        <w:right w:val="none" w:sz="0" w:space="0" w:color="auto"/>
      </w:divBdr>
    </w:div>
    <w:div w:id="612979171">
      <w:bodyDiv w:val="1"/>
      <w:marLeft w:val="0"/>
      <w:marRight w:val="0"/>
      <w:marTop w:val="0"/>
      <w:marBottom w:val="0"/>
      <w:divBdr>
        <w:top w:val="none" w:sz="0" w:space="0" w:color="auto"/>
        <w:left w:val="none" w:sz="0" w:space="0" w:color="auto"/>
        <w:bottom w:val="none" w:sz="0" w:space="0" w:color="auto"/>
        <w:right w:val="none" w:sz="0" w:space="0" w:color="auto"/>
      </w:divBdr>
    </w:div>
    <w:div w:id="613097716">
      <w:bodyDiv w:val="1"/>
      <w:marLeft w:val="0"/>
      <w:marRight w:val="0"/>
      <w:marTop w:val="0"/>
      <w:marBottom w:val="0"/>
      <w:divBdr>
        <w:top w:val="none" w:sz="0" w:space="0" w:color="auto"/>
        <w:left w:val="none" w:sz="0" w:space="0" w:color="auto"/>
        <w:bottom w:val="none" w:sz="0" w:space="0" w:color="auto"/>
        <w:right w:val="none" w:sz="0" w:space="0" w:color="auto"/>
      </w:divBdr>
    </w:div>
    <w:div w:id="613100662">
      <w:bodyDiv w:val="1"/>
      <w:marLeft w:val="0"/>
      <w:marRight w:val="0"/>
      <w:marTop w:val="0"/>
      <w:marBottom w:val="0"/>
      <w:divBdr>
        <w:top w:val="none" w:sz="0" w:space="0" w:color="auto"/>
        <w:left w:val="none" w:sz="0" w:space="0" w:color="auto"/>
        <w:bottom w:val="none" w:sz="0" w:space="0" w:color="auto"/>
        <w:right w:val="none" w:sz="0" w:space="0" w:color="auto"/>
      </w:divBdr>
    </w:div>
    <w:div w:id="613170743">
      <w:bodyDiv w:val="1"/>
      <w:marLeft w:val="0"/>
      <w:marRight w:val="0"/>
      <w:marTop w:val="0"/>
      <w:marBottom w:val="0"/>
      <w:divBdr>
        <w:top w:val="none" w:sz="0" w:space="0" w:color="auto"/>
        <w:left w:val="none" w:sz="0" w:space="0" w:color="auto"/>
        <w:bottom w:val="none" w:sz="0" w:space="0" w:color="auto"/>
        <w:right w:val="none" w:sz="0" w:space="0" w:color="auto"/>
      </w:divBdr>
    </w:div>
    <w:div w:id="613171744">
      <w:bodyDiv w:val="1"/>
      <w:marLeft w:val="0"/>
      <w:marRight w:val="0"/>
      <w:marTop w:val="0"/>
      <w:marBottom w:val="0"/>
      <w:divBdr>
        <w:top w:val="none" w:sz="0" w:space="0" w:color="auto"/>
        <w:left w:val="none" w:sz="0" w:space="0" w:color="auto"/>
        <w:bottom w:val="none" w:sz="0" w:space="0" w:color="auto"/>
        <w:right w:val="none" w:sz="0" w:space="0" w:color="auto"/>
      </w:divBdr>
    </w:div>
    <w:div w:id="613172998">
      <w:bodyDiv w:val="1"/>
      <w:marLeft w:val="0"/>
      <w:marRight w:val="0"/>
      <w:marTop w:val="0"/>
      <w:marBottom w:val="0"/>
      <w:divBdr>
        <w:top w:val="none" w:sz="0" w:space="0" w:color="auto"/>
        <w:left w:val="none" w:sz="0" w:space="0" w:color="auto"/>
        <w:bottom w:val="none" w:sz="0" w:space="0" w:color="auto"/>
        <w:right w:val="none" w:sz="0" w:space="0" w:color="auto"/>
      </w:divBdr>
    </w:div>
    <w:div w:id="613244413">
      <w:bodyDiv w:val="1"/>
      <w:marLeft w:val="0"/>
      <w:marRight w:val="0"/>
      <w:marTop w:val="0"/>
      <w:marBottom w:val="0"/>
      <w:divBdr>
        <w:top w:val="none" w:sz="0" w:space="0" w:color="auto"/>
        <w:left w:val="none" w:sz="0" w:space="0" w:color="auto"/>
        <w:bottom w:val="none" w:sz="0" w:space="0" w:color="auto"/>
        <w:right w:val="none" w:sz="0" w:space="0" w:color="auto"/>
      </w:divBdr>
    </w:div>
    <w:div w:id="613367668">
      <w:bodyDiv w:val="1"/>
      <w:marLeft w:val="0"/>
      <w:marRight w:val="0"/>
      <w:marTop w:val="0"/>
      <w:marBottom w:val="0"/>
      <w:divBdr>
        <w:top w:val="none" w:sz="0" w:space="0" w:color="auto"/>
        <w:left w:val="none" w:sz="0" w:space="0" w:color="auto"/>
        <w:bottom w:val="none" w:sz="0" w:space="0" w:color="auto"/>
        <w:right w:val="none" w:sz="0" w:space="0" w:color="auto"/>
      </w:divBdr>
    </w:div>
    <w:div w:id="613440167">
      <w:bodyDiv w:val="1"/>
      <w:marLeft w:val="0"/>
      <w:marRight w:val="0"/>
      <w:marTop w:val="0"/>
      <w:marBottom w:val="0"/>
      <w:divBdr>
        <w:top w:val="none" w:sz="0" w:space="0" w:color="auto"/>
        <w:left w:val="none" w:sz="0" w:space="0" w:color="auto"/>
        <w:bottom w:val="none" w:sz="0" w:space="0" w:color="auto"/>
        <w:right w:val="none" w:sz="0" w:space="0" w:color="auto"/>
      </w:divBdr>
    </w:div>
    <w:div w:id="613442768">
      <w:bodyDiv w:val="1"/>
      <w:marLeft w:val="0"/>
      <w:marRight w:val="0"/>
      <w:marTop w:val="0"/>
      <w:marBottom w:val="0"/>
      <w:divBdr>
        <w:top w:val="none" w:sz="0" w:space="0" w:color="auto"/>
        <w:left w:val="none" w:sz="0" w:space="0" w:color="auto"/>
        <w:bottom w:val="none" w:sz="0" w:space="0" w:color="auto"/>
        <w:right w:val="none" w:sz="0" w:space="0" w:color="auto"/>
      </w:divBdr>
    </w:div>
    <w:div w:id="613446592">
      <w:bodyDiv w:val="1"/>
      <w:marLeft w:val="0"/>
      <w:marRight w:val="0"/>
      <w:marTop w:val="0"/>
      <w:marBottom w:val="0"/>
      <w:divBdr>
        <w:top w:val="none" w:sz="0" w:space="0" w:color="auto"/>
        <w:left w:val="none" w:sz="0" w:space="0" w:color="auto"/>
        <w:bottom w:val="none" w:sz="0" w:space="0" w:color="auto"/>
        <w:right w:val="none" w:sz="0" w:space="0" w:color="auto"/>
      </w:divBdr>
    </w:div>
    <w:div w:id="613899776">
      <w:bodyDiv w:val="1"/>
      <w:marLeft w:val="0"/>
      <w:marRight w:val="0"/>
      <w:marTop w:val="0"/>
      <w:marBottom w:val="0"/>
      <w:divBdr>
        <w:top w:val="none" w:sz="0" w:space="0" w:color="auto"/>
        <w:left w:val="none" w:sz="0" w:space="0" w:color="auto"/>
        <w:bottom w:val="none" w:sz="0" w:space="0" w:color="auto"/>
        <w:right w:val="none" w:sz="0" w:space="0" w:color="auto"/>
      </w:divBdr>
    </w:div>
    <w:div w:id="613900140">
      <w:bodyDiv w:val="1"/>
      <w:marLeft w:val="0"/>
      <w:marRight w:val="0"/>
      <w:marTop w:val="0"/>
      <w:marBottom w:val="0"/>
      <w:divBdr>
        <w:top w:val="none" w:sz="0" w:space="0" w:color="auto"/>
        <w:left w:val="none" w:sz="0" w:space="0" w:color="auto"/>
        <w:bottom w:val="none" w:sz="0" w:space="0" w:color="auto"/>
        <w:right w:val="none" w:sz="0" w:space="0" w:color="auto"/>
      </w:divBdr>
    </w:div>
    <w:div w:id="613942762">
      <w:bodyDiv w:val="1"/>
      <w:marLeft w:val="0"/>
      <w:marRight w:val="0"/>
      <w:marTop w:val="0"/>
      <w:marBottom w:val="0"/>
      <w:divBdr>
        <w:top w:val="none" w:sz="0" w:space="0" w:color="auto"/>
        <w:left w:val="none" w:sz="0" w:space="0" w:color="auto"/>
        <w:bottom w:val="none" w:sz="0" w:space="0" w:color="auto"/>
        <w:right w:val="none" w:sz="0" w:space="0" w:color="auto"/>
      </w:divBdr>
    </w:div>
    <w:div w:id="613948045">
      <w:bodyDiv w:val="1"/>
      <w:marLeft w:val="0"/>
      <w:marRight w:val="0"/>
      <w:marTop w:val="0"/>
      <w:marBottom w:val="0"/>
      <w:divBdr>
        <w:top w:val="none" w:sz="0" w:space="0" w:color="auto"/>
        <w:left w:val="none" w:sz="0" w:space="0" w:color="auto"/>
        <w:bottom w:val="none" w:sz="0" w:space="0" w:color="auto"/>
        <w:right w:val="none" w:sz="0" w:space="0" w:color="auto"/>
      </w:divBdr>
    </w:div>
    <w:div w:id="613948577">
      <w:bodyDiv w:val="1"/>
      <w:marLeft w:val="0"/>
      <w:marRight w:val="0"/>
      <w:marTop w:val="0"/>
      <w:marBottom w:val="0"/>
      <w:divBdr>
        <w:top w:val="none" w:sz="0" w:space="0" w:color="auto"/>
        <w:left w:val="none" w:sz="0" w:space="0" w:color="auto"/>
        <w:bottom w:val="none" w:sz="0" w:space="0" w:color="auto"/>
        <w:right w:val="none" w:sz="0" w:space="0" w:color="auto"/>
      </w:divBdr>
    </w:div>
    <w:div w:id="614021133">
      <w:bodyDiv w:val="1"/>
      <w:marLeft w:val="0"/>
      <w:marRight w:val="0"/>
      <w:marTop w:val="0"/>
      <w:marBottom w:val="0"/>
      <w:divBdr>
        <w:top w:val="none" w:sz="0" w:space="0" w:color="auto"/>
        <w:left w:val="none" w:sz="0" w:space="0" w:color="auto"/>
        <w:bottom w:val="none" w:sz="0" w:space="0" w:color="auto"/>
        <w:right w:val="none" w:sz="0" w:space="0" w:color="auto"/>
      </w:divBdr>
    </w:div>
    <w:div w:id="614097357">
      <w:bodyDiv w:val="1"/>
      <w:marLeft w:val="0"/>
      <w:marRight w:val="0"/>
      <w:marTop w:val="0"/>
      <w:marBottom w:val="0"/>
      <w:divBdr>
        <w:top w:val="none" w:sz="0" w:space="0" w:color="auto"/>
        <w:left w:val="none" w:sz="0" w:space="0" w:color="auto"/>
        <w:bottom w:val="none" w:sz="0" w:space="0" w:color="auto"/>
        <w:right w:val="none" w:sz="0" w:space="0" w:color="auto"/>
      </w:divBdr>
    </w:div>
    <w:div w:id="614099468">
      <w:bodyDiv w:val="1"/>
      <w:marLeft w:val="0"/>
      <w:marRight w:val="0"/>
      <w:marTop w:val="0"/>
      <w:marBottom w:val="0"/>
      <w:divBdr>
        <w:top w:val="none" w:sz="0" w:space="0" w:color="auto"/>
        <w:left w:val="none" w:sz="0" w:space="0" w:color="auto"/>
        <w:bottom w:val="none" w:sz="0" w:space="0" w:color="auto"/>
        <w:right w:val="none" w:sz="0" w:space="0" w:color="auto"/>
      </w:divBdr>
    </w:div>
    <w:div w:id="614212703">
      <w:bodyDiv w:val="1"/>
      <w:marLeft w:val="0"/>
      <w:marRight w:val="0"/>
      <w:marTop w:val="0"/>
      <w:marBottom w:val="0"/>
      <w:divBdr>
        <w:top w:val="none" w:sz="0" w:space="0" w:color="auto"/>
        <w:left w:val="none" w:sz="0" w:space="0" w:color="auto"/>
        <w:bottom w:val="none" w:sz="0" w:space="0" w:color="auto"/>
        <w:right w:val="none" w:sz="0" w:space="0" w:color="auto"/>
      </w:divBdr>
    </w:div>
    <w:div w:id="614214886">
      <w:bodyDiv w:val="1"/>
      <w:marLeft w:val="0"/>
      <w:marRight w:val="0"/>
      <w:marTop w:val="0"/>
      <w:marBottom w:val="0"/>
      <w:divBdr>
        <w:top w:val="none" w:sz="0" w:space="0" w:color="auto"/>
        <w:left w:val="none" w:sz="0" w:space="0" w:color="auto"/>
        <w:bottom w:val="none" w:sz="0" w:space="0" w:color="auto"/>
        <w:right w:val="none" w:sz="0" w:space="0" w:color="auto"/>
      </w:divBdr>
    </w:div>
    <w:div w:id="614216469">
      <w:bodyDiv w:val="1"/>
      <w:marLeft w:val="0"/>
      <w:marRight w:val="0"/>
      <w:marTop w:val="0"/>
      <w:marBottom w:val="0"/>
      <w:divBdr>
        <w:top w:val="none" w:sz="0" w:space="0" w:color="auto"/>
        <w:left w:val="none" w:sz="0" w:space="0" w:color="auto"/>
        <w:bottom w:val="none" w:sz="0" w:space="0" w:color="auto"/>
        <w:right w:val="none" w:sz="0" w:space="0" w:color="auto"/>
      </w:divBdr>
    </w:div>
    <w:div w:id="614286337">
      <w:bodyDiv w:val="1"/>
      <w:marLeft w:val="0"/>
      <w:marRight w:val="0"/>
      <w:marTop w:val="0"/>
      <w:marBottom w:val="0"/>
      <w:divBdr>
        <w:top w:val="none" w:sz="0" w:space="0" w:color="auto"/>
        <w:left w:val="none" w:sz="0" w:space="0" w:color="auto"/>
        <w:bottom w:val="none" w:sz="0" w:space="0" w:color="auto"/>
        <w:right w:val="none" w:sz="0" w:space="0" w:color="auto"/>
      </w:divBdr>
    </w:div>
    <w:div w:id="614293077">
      <w:bodyDiv w:val="1"/>
      <w:marLeft w:val="0"/>
      <w:marRight w:val="0"/>
      <w:marTop w:val="0"/>
      <w:marBottom w:val="0"/>
      <w:divBdr>
        <w:top w:val="none" w:sz="0" w:space="0" w:color="auto"/>
        <w:left w:val="none" w:sz="0" w:space="0" w:color="auto"/>
        <w:bottom w:val="none" w:sz="0" w:space="0" w:color="auto"/>
        <w:right w:val="none" w:sz="0" w:space="0" w:color="auto"/>
      </w:divBdr>
    </w:div>
    <w:div w:id="614293717">
      <w:bodyDiv w:val="1"/>
      <w:marLeft w:val="0"/>
      <w:marRight w:val="0"/>
      <w:marTop w:val="0"/>
      <w:marBottom w:val="0"/>
      <w:divBdr>
        <w:top w:val="none" w:sz="0" w:space="0" w:color="auto"/>
        <w:left w:val="none" w:sz="0" w:space="0" w:color="auto"/>
        <w:bottom w:val="none" w:sz="0" w:space="0" w:color="auto"/>
        <w:right w:val="none" w:sz="0" w:space="0" w:color="auto"/>
      </w:divBdr>
    </w:div>
    <w:div w:id="614361106">
      <w:bodyDiv w:val="1"/>
      <w:marLeft w:val="0"/>
      <w:marRight w:val="0"/>
      <w:marTop w:val="0"/>
      <w:marBottom w:val="0"/>
      <w:divBdr>
        <w:top w:val="none" w:sz="0" w:space="0" w:color="auto"/>
        <w:left w:val="none" w:sz="0" w:space="0" w:color="auto"/>
        <w:bottom w:val="none" w:sz="0" w:space="0" w:color="auto"/>
        <w:right w:val="none" w:sz="0" w:space="0" w:color="auto"/>
      </w:divBdr>
    </w:div>
    <w:div w:id="614364044">
      <w:bodyDiv w:val="1"/>
      <w:marLeft w:val="0"/>
      <w:marRight w:val="0"/>
      <w:marTop w:val="0"/>
      <w:marBottom w:val="0"/>
      <w:divBdr>
        <w:top w:val="none" w:sz="0" w:space="0" w:color="auto"/>
        <w:left w:val="none" w:sz="0" w:space="0" w:color="auto"/>
        <w:bottom w:val="none" w:sz="0" w:space="0" w:color="auto"/>
        <w:right w:val="none" w:sz="0" w:space="0" w:color="auto"/>
      </w:divBdr>
    </w:div>
    <w:div w:id="614405706">
      <w:bodyDiv w:val="1"/>
      <w:marLeft w:val="0"/>
      <w:marRight w:val="0"/>
      <w:marTop w:val="0"/>
      <w:marBottom w:val="0"/>
      <w:divBdr>
        <w:top w:val="none" w:sz="0" w:space="0" w:color="auto"/>
        <w:left w:val="none" w:sz="0" w:space="0" w:color="auto"/>
        <w:bottom w:val="none" w:sz="0" w:space="0" w:color="auto"/>
        <w:right w:val="none" w:sz="0" w:space="0" w:color="auto"/>
      </w:divBdr>
    </w:div>
    <w:div w:id="614407413">
      <w:bodyDiv w:val="1"/>
      <w:marLeft w:val="0"/>
      <w:marRight w:val="0"/>
      <w:marTop w:val="0"/>
      <w:marBottom w:val="0"/>
      <w:divBdr>
        <w:top w:val="none" w:sz="0" w:space="0" w:color="auto"/>
        <w:left w:val="none" w:sz="0" w:space="0" w:color="auto"/>
        <w:bottom w:val="none" w:sz="0" w:space="0" w:color="auto"/>
        <w:right w:val="none" w:sz="0" w:space="0" w:color="auto"/>
      </w:divBdr>
    </w:div>
    <w:div w:id="614561450">
      <w:bodyDiv w:val="1"/>
      <w:marLeft w:val="0"/>
      <w:marRight w:val="0"/>
      <w:marTop w:val="0"/>
      <w:marBottom w:val="0"/>
      <w:divBdr>
        <w:top w:val="none" w:sz="0" w:space="0" w:color="auto"/>
        <w:left w:val="none" w:sz="0" w:space="0" w:color="auto"/>
        <w:bottom w:val="none" w:sz="0" w:space="0" w:color="auto"/>
        <w:right w:val="none" w:sz="0" w:space="0" w:color="auto"/>
      </w:divBdr>
    </w:div>
    <w:div w:id="614598237">
      <w:bodyDiv w:val="1"/>
      <w:marLeft w:val="0"/>
      <w:marRight w:val="0"/>
      <w:marTop w:val="0"/>
      <w:marBottom w:val="0"/>
      <w:divBdr>
        <w:top w:val="none" w:sz="0" w:space="0" w:color="auto"/>
        <w:left w:val="none" w:sz="0" w:space="0" w:color="auto"/>
        <w:bottom w:val="none" w:sz="0" w:space="0" w:color="auto"/>
        <w:right w:val="none" w:sz="0" w:space="0" w:color="auto"/>
      </w:divBdr>
    </w:div>
    <w:div w:id="614674536">
      <w:bodyDiv w:val="1"/>
      <w:marLeft w:val="0"/>
      <w:marRight w:val="0"/>
      <w:marTop w:val="0"/>
      <w:marBottom w:val="0"/>
      <w:divBdr>
        <w:top w:val="none" w:sz="0" w:space="0" w:color="auto"/>
        <w:left w:val="none" w:sz="0" w:space="0" w:color="auto"/>
        <w:bottom w:val="none" w:sz="0" w:space="0" w:color="auto"/>
        <w:right w:val="none" w:sz="0" w:space="0" w:color="auto"/>
      </w:divBdr>
    </w:div>
    <w:div w:id="614754549">
      <w:bodyDiv w:val="1"/>
      <w:marLeft w:val="0"/>
      <w:marRight w:val="0"/>
      <w:marTop w:val="0"/>
      <w:marBottom w:val="0"/>
      <w:divBdr>
        <w:top w:val="none" w:sz="0" w:space="0" w:color="auto"/>
        <w:left w:val="none" w:sz="0" w:space="0" w:color="auto"/>
        <w:bottom w:val="none" w:sz="0" w:space="0" w:color="auto"/>
        <w:right w:val="none" w:sz="0" w:space="0" w:color="auto"/>
      </w:divBdr>
    </w:div>
    <w:div w:id="614869814">
      <w:bodyDiv w:val="1"/>
      <w:marLeft w:val="0"/>
      <w:marRight w:val="0"/>
      <w:marTop w:val="0"/>
      <w:marBottom w:val="0"/>
      <w:divBdr>
        <w:top w:val="none" w:sz="0" w:space="0" w:color="auto"/>
        <w:left w:val="none" w:sz="0" w:space="0" w:color="auto"/>
        <w:bottom w:val="none" w:sz="0" w:space="0" w:color="auto"/>
        <w:right w:val="none" w:sz="0" w:space="0" w:color="auto"/>
      </w:divBdr>
    </w:div>
    <w:div w:id="614943787">
      <w:bodyDiv w:val="1"/>
      <w:marLeft w:val="0"/>
      <w:marRight w:val="0"/>
      <w:marTop w:val="0"/>
      <w:marBottom w:val="0"/>
      <w:divBdr>
        <w:top w:val="none" w:sz="0" w:space="0" w:color="auto"/>
        <w:left w:val="none" w:sz="0" w:space="0" w:color="auto"/>
        <w:bottom w:val="none" w:sz="0" w:space="0" w:color="auto"/>
        <w:right w:val="none" w:sz="0" w:space="0" w:color="auto"/>
      </w:divBdr>
    </w:div>
    <w:div w:id="615141651">
      <w:bodyDiv w:val="1"/>
      <w:marLeft w:val="0"/>
      <w:marRight w:val="0"/>
      <w:marTop w:val="0"/>
      <w:marBottom w:val="0"/>
      <w:divBdr>
        <w:top w:val="none" w:sz="0" w:space="0" w:color="auto"/>
        <w:left w:val="none" w:sz="0" w:space="0" w:color="auto"/>
        <w:bottom w:val="none" w:sz="0" w:space="0" w:color="auto"/>
        <w:right w:val="none" w:sz="0" w:space="0" w:color="auto"/>
      </w:divBdr>
    </w:div>
    <w:div w:id="615142113">
      <w:bodyDiv w:val="1"/>
      <w:marLeft w:val="0"/>
      <w:marRight w:val="0"/>
      <w:marTop w:val="0"/>
      <w:marBottom w:val="0"/>
      <w:divBdr>
        <w:top w:val="none" w:sz="0" w:space="0" w:color="auto"/>
        <w:left w:val="none" w:sz="0" w:space="0" w:color="auto"/>
        <w:bottom w:val="none" w:sz="0" w:space="0" w:color="auto"/>
        <w:right w:val="none" w:sz="0" w:space="0" w:color="auto"/>
      </w:divBdr>
    </w:div>
    <w:div w:id="615214989">
      <w:bodyDiv w:val="1"/>
      <w:marLeft w:val="0"/>
      <w:marRight w:val="0"/>
      <w:marTop w:val="0"/>
      <w:marBottom w:val="0"/>
      <w:divBdr>
        <w:top w:val="none" w:sz="0" w:space="0" w:color="auto"/>
        <w:left w:val="none" w:sz="0" w:space="0" w:color="auto"/>
        <w:bottom w:val="none" w:sz="0" w:space="0" w:color="auto"/>
        <w:right w:val="none" w:sz="0" w:space="0" w:color="auto"/>
      </w:divBdr>
    </w:div>
    <w:div w:id="615253137">
      <w:bodyDiv w:val="1"/>
      <w:marLeft w:val="0"/>
      <w:marRight w:val="0"/>
      <w:marTop w:val="0"/>
      <w:marBottom w:val="0"/>
      <w:divBdr>
        <w:top w:val="none" w:sz="0" w:space="0" w:color="auto"/>
        <w:left w:val="none" w:sz="0" w:space="0" w:color="auto"/>
        <w:bottom w:val="none" w:sz="0" w:space="0" w:color="auto"/>
        <w:right w:val="none" w:sz="0" w:space="0" w:color="auto"/>
      </w:divBdr>
    </w:div>
    <w:div w:id="615454626">
      <w:bodyDiv w:val="1"/>
      <w:marLeft w:val="0"/>
      <w:marRight w:val="0"/>
      <w:marTop w:val="0"/>
      <w:marBottom w:val="0"/>
      <w:divBdr>
        <w:top w:val="none" w:sz="0" w:space="0" w:color="auto"/>
        <w:left w:val="none" w:sz="0" w:space="0" w:color="auto"/>
        <w:bottom w:val="none" w:sz="0" w:space="0" w:color="auto"/>
        <w:right w:val="none" w:sz="0" w:space="0" w:color="auto"/>
      </w:divBdr>
    </w:div>
    <w:div w:id="615478800">
      <w:bodyDiv w:val="1"/>
      <w:marLeft w:val="0"/>
      <w:marRight w:val="0"/>
      <w:marTop w:val="0"/>
      <w:marBottom w:val="0"/>
      <w:divBdr>
        <w:top w:val="none" w:sz="0" w:space="0" w:color="auto"/>
        <w:left w:val="none" w:sz="0" w:space="0" w:color="auto"/>
        <w:bottom w:val="none" w:sz="0" w:space="0" w:color="auto"/>
        <w:right w:val="none" w:sz="0" w:space="0" w:color="auto"/>
      </w:divBdr>
    </w:div>
    <w:div w:id="615479682">
      <w:bodyDiv w:val="1"/>
      <w:marLeft w:val="0"/>
      <w:marRight w:val="0"/>
      <w:marTop w:val="0"/>
      <w:marBottom w:val="0"/>
      <w:divBdr>
        <w:top w:val="none" w:sz="0" w:space="0" w:color="auto"/>
        <w:left w:val="none" w:sz="0" w:space="0" w:color="auto"/>
        <w:bottom w:val="none" w:sz="0" w:space="0" w:color="auto"/>
        <w:right w:val="none" w:sz="0" w:space="0" w:color="auto"/>
      </w:divBdr>
    </w:div>
    <w:div w:id="615599805">
      <w:bodyDiv w:val="1"/>
      <w:marLeft w:val="0"/>
      <w:marRight w:val="0"/>
      <w:marTop w:val="0"/>
      <w:marBottom w:val="0"/>
      <w:divBdr>
        <w:top w:val="none" w:sz="0" w:space="0" w:color="auto"/>
        <w:left w:val="none" w:sz="0" w:space="0" w:color="auto"/>
        <w:bottom w:val="none" w:sz="0" w:space="0" w:color="auto"/>
        <w:right w:val="none" w:sz="0" w:space="0" w:color="auto"/>
      </w:divBdr>
    </w:div>
    <w:div w:id="615673218">
      <w:bodyDiv w:val="1"/>
      <w:marLeft w:val="0"/>
      <w:marRight w:val="0"/>
      <w:marTop w:val="0"/>
      <w:marBottom w:val="0"/>
      <w:divBdr>
        <w:top w:val="none" w:sz="0" w:space="0" w:color="auto"/>
        <w:left w:val="none" w:sz="0" w:space="0" w:color="auto"/>
        <w:bottom w:val="none" w:sz="0" w:space="0" w:color="auto"/>
        <w:right w:val="none" w:sz="0" w:space="0" w:color="auto"/>
      </w:divBdr>
    </w:div>
    <w:div w:id="615675941">
      <w:bodyDiv w:val="1"/>
      <w:marLeft w:val="0"/>
      <w:marRight w:val="0"/>
      <w:marTop w:val="0"/>
      <w:marBottom w:val="0"/>
      <w:divBdr>
        <w:top w:val="none" w:sz="0" w:space="0" w:color="auto"/>
        <w:left w:val="none" w:sz="0" w:space="0" w:color="auto"/>
        <w:bottom w:val="none" w:sz="0" w:space="0" w:color="auto"/>
        <w:right w:val="none" w:sz="0" w:space="0" w:color="auto"/>
      </w:divBdr>
    </w:div>
    <w:div w:id="615718515">
      <w:bodyDiv w:val="1"/>
      <w:marLeft w:val="0"/>
      <w:marRight w:val="0"/>
      <w:marTop w:val="0"/>
      <w:marBottom w:val="0"/>
      <w:divBdr>
        <w:top w:val="none" w:sz="0" w:space="0" w:color="auto"/>
        <w:left w:val="none" w:sz="0" w:space="0" w:color="auto"/>
        <w:bottom w:val="none" w:sz="0" w:space="0" w:color="auto"/>
        <w:right w:val="none" w:sz="0" w:space="0" w:color="auto"/>
      </w:divBdr>
    </w:div>
    <w:div w:id="615719006">
      <w:bodyDiv w:val="1"/>
      <w:marLeft w:val="0"/>
      <w:marRight w:val="0"/>
      <w:marTop w:val="0"/>
      <w:marBottom w:val="0"/>
      <w:divBdr>
        <w:top w:val="none" w:sz="0" w:space="0" w:color="auto"/>
        <w:left w:val="none" w:sz="0" w:space="0" w:color="auto"/>
        <w:bottom w:val="none" w:sz="0" w:space="0" w:color="auto"/>
        <w:right w:val="none" w:sz="0" w:space="0" w:color="auto"/>
      </w:divBdr>
    </w:div>
    <w:div w:id="615792141">
      <w:bodyDiv w:val="1"/>
      <w:marLeft w:val="0"/>
      <w:marRight w:val="0"/>
      <w:marTop w:val="0"/>
      <w:marBottom w:val="0"/>
      <w:divBdr>
        <w:top w:val="none" w:sz="0" w:space="0" w:color="auto"/>
        <w:left w:val="none" w:sz="0" w:space="0" w:color="auto"/>
        <w:bottom w:val="none" w:sz="0" w:space="0" w:color="auto"/>
        <w:right w:val="none" w:sz="0" w:space="0" w:color="auto"/>
      </w:divBdr>
    </w:div>
    <w:div w:id="615870908">
      <w:bodyDiv w:val="1"/>
      <w:marLeft w:val="0"/>
      <w:marRight w:val="0"/>
      <w:marTop w:val="0"/>
      <w:marBottom w:val="0"/>
      <w:divBdr>
        <w:top w:val="none" w:sz="0" w:space="0" w:color="auto"/>
        <w:left w:val="none" w:sz="0" w:space="0" w:color="auto"/>
        <w:bottom w:val="none" w:sz="0" w:space="0" w:color="auto"/>
        <w:right w:val="none" w:sz="0" w:space="0" w:color="auto"/>
      </w:divBdr>
    </w:div>
    <w:div w:id="615983018">
      <w:bodyDiv w:val="1"/>
      <w:marLeft w:val="0"/>
      <w:marRight w:val="0"/>
      <w:marTop w:val="0"/>
      <w:marBottom w:val="0"/>
      <w:divBdr>
        <w:top w:val="none" w:sz="0" w:space="0" w:color="auto"/>
        <w:left w:val="none" w:sz="0" w:space="0" w:color="auto"/>
        <w:bottom w:val="none" w:sz="0" w:space="0" w:color="auto"/>
        <w:right w:val="none" w:sz="0" w:space="0" w:color="auto"/>
      </w:divBdr>
    </w:div>
    <w:div w:id="616061195">
      <w:bodyDiv w:val="1"/>
      <w:marLeft w:val="0"/>
      <w:marRight w:val="0"/>
      <w:marTop w:val="0"/>
      <w:marBottom w:val="0"/>
      <w:divBdr>
        <w:top w:val="none" w:sz="0" w:space="0" w:color="auto"/>
        <w:left w:val="none" w:sz="0" w:space="0" w:color="auto"/>
        <w:bottom w:val="none" w:sz="0" w:space="0" w:color="auto"/>
        <w:right w:val="none" w:sz="0" w:space="0" w:color="auto"/>
      </w:divBdr>
    </w:div>
    <w:div w:id="616061278">
      <w:bodyDiv w:val="1"/>
      <w:marLeft w:val="0"/>
      <w:marRight w:val="0"/>
      <w:marTop w:val="0"/>
      <w:marBottom w:val="0"/>
      <w:divBdr>
        <w:top w:val="none" w:sz="0" w:space="0" w:color="auto"/>
        <w:left w:val="none" w:sz="0" w:space="0" w:color="auto"/>
        <w:bottom w:val="none" w:sz="0" w:space="0" w:color="auto"/>
        <w:right w:val="none" w:sz="0" w:space="0" w:color="auto"/>
      </w:divBdr>
    </w:div>
    <w:div w:id="616061719">
      <w:bodyDiv w:val="1"/>
      <w:marLeft w:val="0"/>
      <w:marRight w:val="0"/>
      <w:marTop w:val="0"/>
      <w:marBottom w:val="0"/>
      <w:divBdr>
        <w:top w:val="none" w:sz="0" w:space="0" w:color="auto"/>
        <w:left w:val="none" w:sz="0" w:space="0" w:color="auto"/>
        <w:bottom w:val="none" w:sz="0" w:space="0" w:color="auto"/>
        <w:right w:val="none" w:sz="0" w:space="0" w:color="auto"/>
      </w:divBdr>
    </w:div>
    <w:div w:id="616135632">
      <w:bodyDiv w:val="1"/>
      <w:marLeft w:val="0"/>
      <w:marRight w:val="0"/>
      <w:marTop w:val="0"/>
      <w:marBottom w:val="0"/>
      <w:divBdr>
        <w:top w:val="none" w:sz="0" w:space="0" w:color="auto"/>
        <w:left w:val="none" w:sz="0" w:space="0" w:color="auto"/>
        <w:bottom w:val="none" w:sz="0" w:space="0" w:color="auto"/>
        <w:right w:val="none" w:sz="0" w:space="0" w:color="auto"/>
      </w:divBdr>
    </w:div>
    <w:div w:id="616181785">
      <w:bodyDiv w:val="1"/>
      <w:marLeft w:val="0"/>
      <w:marRight w:val="0"/>
      <w:marTop w:val="0"/>
      <w:marBottom w:val="0"/>
      <w:divBdr>
        <w:top w:val="none" w:sz="0" w:space="0" w:color="auto"/>
        <w:left w:val="none" w:sz="0" w:space="0" w:color="auto"/>
        <w:bottom w:val="none" w:sz="0" w:space="0" w:color="auto"/>
        <w:right w:val="none" w:sz="0" w:space="0" w:color="auto"/>
      </w:divBdr>
    </w:div>
    <w:div w:id="616452352">
      <w:bodyDiv w:val="1"/>
      <w:marLeft w:val="0"/>
      <w:marRight w:val="0"/>
      <w:marTop w:val="0"/>
      <w:marBottom w:val="0"/>
      <w:divBdr>
        <w:top w:val="none" w:sz="0" w:space="0" w:color="auto"/>
        <w:left w:val="none" w:sz="0" w:space="0" w:color="auto"/>
        <w:bottom w:val="none" w:sz="0" w:space="0" w:color="auto"/>
        <w:right w:val="none" w:sz="0" w:space="0" w:color="auto"/>
      </w:divBdr>
    </w:div>
    <w:div w:id="616453858">
      <w:bodyDiv w:val="1"/>
      <w:marLeft w:val="0"/>
      <w:marRight w:val="0"/>
      <w:marTop w:val="0"/>
      <w:marBottom w:val="0"/>
      <w:divBdr>
        <w:top w:val="none" w:sz="0" w:space="0" w:color="auto"/>
        <w:left w:val="none" w:sz="0" w:space="0" w:color="auto"/>
        <w:bottom w:val="none" w:sz="0" w:space="0" w:color="auto"/>
        <w:right w:val="none" w:sz="0" w:space="0" w:color="auto"/>
      </w:divBdr>
    </w:div>
    <w:div w:id="616638572">
      <w:bodyDiv w:val="1"/>
      <w:marLeft w:val="0"/>
      <w:marRight w:val="0"/>
      <w:marTop w:val="0"/>
      <w:marBottom w:val="0"/>
      <w:divBdr>
        <w:top w:val="none" w:sz="0" w:space="0" w:color="auto"/>
        <w:left w:val="none" w:sz="0" w:space="0" w:color="auto"/>
        <w:bottom w:val="none" w:sz="0" w:space="0" w:color="auto"/>
        <w:right w:val="none" w:sz="0" w:space="0" w:color="auto"/>
      </w:divBdr>
    </w:div>
    <w:div w:id="616644075">
      <w:bodyDiv w:val="1"/>
      <w:marLeft w:val="0"/>
      <w:marRight w:val="0"/>
      <w:marTop w:val="0"/>
      <w:marBottom w:val="0"/>
      <w:divBdr>
        <w:top w:val="none" w:sz="0" w:space="0" w:color="auto"/>
        <w:left w:val="none" w:sz="0" w:space="0" w:color="auto"/>
        <w:bottom w:val="none" w:sz="0" w:space="0" w:color="auto"/>
        <w:right w:val="none" w:sz="0" w:space="0" w:color="auto"/>
      </w:divBdr>
    </w:div>
    <w:div w:id="616759310">
      <w:bodyDiv w:val="1"/>
      <w:marLeft w:val="0"/>
      <w:marRight w:val="0"/>
      <w:marTop w:val="0"/>
      <w:marBottom w:val="0"/>
      <w:divBdr>
        <w:top w:val="none" w:sz="0" w:space="0" w:color="auto"/>
        <w:left w:val="none" w:sz="0" w:space="0" w:color="auto"/>
        <w:bottom w:val="none" w:sz="0" w:space="0" w:color="auto"/>
        <w:right w:val="none" w:sz="0" w:space="0" w:color="auto"/>
      </w:divBdr>
    </w:div>
    <w:div w:id="616759885">
      <w:bodyDiv w:val="1"/>
      <w:marLeft w:val="0"/>
      <w:marRight w:val="0"/>
      <w:marTop w:val="0"/>
      <w:marBottom w:val="0"/>
      <w:divBdr>
        <w:top w:val="none" w:sz="0" w:space="0" w:color="auto"/>
        <w:left w:val="none" w:sz="0" w:space="0" w:color="auto"/>
        <w:bottom w:val="none" w:sz="0" w:space="0" w:color="auto"/>
        <w:right w:val="none" w:sz="0" w:space="0" w:color="auto"/>
      </w:divBdr>
    </w:div>
    <w:div w:id="616789219">
      <w:bodyDiv w:val="1"/>
      <w:marLeft w:val="0"/>
      <w:marRight w:val="0"/>
      <w:marTop w:val="0"/>
      <w:marBottom w:val="0"/>
      <w:divBdr>
        <w:top w:val="none" w:sz="0" w:space="0" w:color="auto"/>
        <w:left w:val="none" w:sz="0" w:space="0" w:color="auto"/>
        <w:bottom w:val="none" w:sz="0" w:space="0" w:color="auto"/>
        <w:right w:val="none" w:sz="0" w:space="0" w:color="auto"/>
      </w:divBdr>
    </w:div>
    <w:div w:id="616915381">
      <w:bodyDiv w:val="1"/>
      <w:marLeft w:val="0"/>
      <w:marRight w:val="0"/>
      <w:marTop w:val="0"/>
      <w:marBottom w:val="0"/>
      <w:divBdr>
        <w:top w:val="none" w:sz="0" w:space="0" w:color="auto"/>
        <w:left w:val="none" w:sz="0" w:space="0" w:color="auto"/>
        <w:bottom w:val="none" w:sz="0" w:space="0" w:color="auto"/>
        <w:right w:val="none" w:sz="0" w:space="0" w:color="auto"/>
      </w:divBdr>
    </w:div>
    <w:div w:id="616982238">
      <w:bodyDiv w:val="1"/>
      <w:marLeft w:val="0"/>
      <w:marRight w:val="0"/>
      <w:marTop w:val="0"/>
      <w:marBottom w:val="0"/>
      <w:divBdr>
        <w:top w:val="none" w:sz="0" w:space="0" w:color="auto"/>
        <w:left w:val="none" w:sz="0" w:space="0" w:color="auto"/>
        <w:bottom w:val="none" w:sz="0" w:space="0" w:color="auto"/>
        <w:right w:val="none" w:sz="0" w:space="0" w:color="auto"/>
      </w:divBdr>
    </w:div>
    <w:div w:id="616985977">
      <w:bodyDiv w:val="1"/>
      <w:marLeft w:val="0"/>
      <w:marRight w:val="0"/>
      <w:marTop w:val="0"/>
      <w:marBottom w:val="0"/>
      <w:divBdr>
        <w:top w:val="none" w:sz="0" w:space="0" w:color="auto"/>
        <w:left w:val="none" w:sz="0" w:space="0" w:color="auto"/>
        <w:bottom w:val="none" w:sz="0" w:space="0" w:color="auto"/>
        <w:right w:val="none" w:sz="0" w:space="0" w:color="auto"/>
      </w:divBdr>
    </w:div>
    <w:div w:id="617033580">
      <w:bodyDiv w:val="1"/>
      <w:marLeft w:val="0"/>
      <w:marRight w:val="0"/>
      <w:marTop w:val="0"/>
      <w:marBottom w:val="0"/>
      <w:divBdr>
        <w:top w:val="none" w:sz="0" w:space="0" w:color="auto"/>
        <w:left w:val="none" w:sz="0" w:space="0" w:color="auto"/>
        <w:bottom w:val="none" w:sz="0" w:space="0" w:color="auto"/>
        <w:right w:val="none" w:sz="0" w:space="0" w:color="auto"/>
      </w:divBdr>
    </w:div>
    <w:div w:id="617106205">
      <w:bodyDiv w:val="1"/>
      <w:marLeft w:val="0"/>
      <w:marRight w:val="0"/>
      <w:marTop w:val="0"/>
      <w:marBottom w:val="0"/>
      <w:divBdr>
        <w:top w:val="none" w:sz="0" w:space="0" w:color="auto"/>
        <w:left w:val="none" w:sz="0" w:space="0" w:color="auto"/>
        <w:bottom w:val="none" w:sz="0" w:space="0" w:color="auto"/>
        <w:right w:val="none" w:sz="0" w:space="0" w:color="auto"/>
      </w:divBdr>
    </w:div>
    <w:div w:id="617109042">
      <w:bodyDiv w:val="1"/>
      <w:marLeft w:val="0"/>
      <w:marRight w:val="0"/>
      <w:marTop w:val="0"/>
      <w:marBottom w:val="0"/>
      <w:divBdr>
        <w:top w:val="none" w:sz="0" w:space="0" w:color="auto"/>
        <w:left w:val="none" w:sz="0" w:space="0" w:color="auto"/>
        <w:bottom w:val="none" w:sz="0" w:space="0" w:color="auto"/>
        <w:right w:val="none" w:sz="0" w:space="0" w:color="auto"/>
      </w:divBdr>
    </w:div>
    <w:div w:id="617220200">
      <w:bodyDiv w:val="1"/>
      <w:marLeft w:val="0"/>
      <w:marRight w:val="0"/>
      <w:marTop w:val="0"/>
      <w:marBottom w:val="0"/>
      <w:divBdr>
        <w:top w:val="none" w:sz="0" w:space="0" w:color="auto"/>
        <w:left w:val="none" w:sz="0" w:space="0" w:color="auto"/>
        <w:bottom w:val="none" w:sz="0" w:space="0" w:color="auto"/>
        <w:right w:val="none" w:sz="0" w:space="0" w:color="auto"/>
      </w:divBdr>
    </w:div>
    <w:div w:id="617223158">
      <w:bodyDiv w:val="1"/>
      <w:marLeft w:val="0"/>
      <w:marRight w:val="0"/>
      <w:marTop w:val="0"/>
      <w:marBottom w:val="0"/>
      <w:divBdr>
        <w:top w:val="none" w:sz="0" w:space="0" w:color="auto"/>
        <w:left w:val="none" w:sz="0" w:space="0" w:color="auto"/>
        <w:bottom w:val="none" w:sz="0" w:space="0" w:color="auto"/>
        <w:right w:val="none" w:sz="0" w:space="0" w:color="auto"/>
      </w:divBdr>
    </w:div>
    <w:div w:id="617420736">
      <w:bodyDiv w:val="1"/>
      <w:marLeft w:val="0"/>
      <w:marRight w:val="0"/>
      <w:marTop w:val="0"/>
      <w:marBottom w:val="0"/>
      <w:divBdr>
        <w:top w:val="none" w:sz="0" w:space="0" w:color="auto"/>
        <w:left w:val="none" w:sz="0" w:space="0" w:color="auto"/>
        <w:bottom w:val="none" w:sz="0" w:space="0" w:color="auto"/>
        <w:right w:val="none" w:sz="0" w:space="0" w:color="auto"/>
      </w:divBdr>
    </w:div>
    <w:div w:id="617490791">
      <w:bodyDiv w:val="1"/>
      <w:marLeft w:val="0"/>
      <w:marRight w:val="0"/>
      <w:marTop w:val="0"/>
      <w:marBottom w:val="0"/>
      <w:divBdr>
        <w:top w:val="none" w:sz="0" w:space="0" w:color="auto"/>
        <w:left w:val="none" w:sz="0" w:space="0" w:color="auto"/>
        <w:bottom w:val="none" w:sz="0" w:space="0" w:color="auto"/>
        <w:right w:val="none" w:sz="0" w:space="0" w:color="auto"/>
      </w:divBdr>
    </w:div>
    <w:div w:id="617568309">
      <w:bodyDiv w:val="1"/>
      <w:marLeft w:val="0"/>
      <w:marRight w:val="0"/>
      <w:marTop w:val="0"/>
      <w:marBottom w:val="0"/>
      <w:divBdr>
        <w:top w:val="none" w:sz="0" w:space="0" w:color="auto"/>
        <w:left w:val="none" w:sz="0" w:space="0" w:color="auto"/>
        <w:bottom w:val="none" w:sz="0" w:space="0" w:color="auto"/>
        <w:right w:val="none" w:sz="0" w:space="0" w:color="auto"/>
      </w:divBdr>
    </w:div>
    <w:div w:id="617756743">
      <w:bodyDiv w:val="1"/>
      <w:marLeft w:val="0"/>
      <w:marRight w:val="0"/>
      <w:marTop w:val="0"/>
      <w:marBottom w:val="0"/>
      <w:divBdr>
        <w:top w:val="none" w:sz="0" w:space="0" w:color="auto"/>
        <w:left w:val="none" w:sz="0" w:space="0" w:color="auto"/>
        <w:bottom w:val="none" w:sz="0" w:space="0" w:color="auto"/>
        <w:right w:val="none" w:sz="0" w:space="0" w:color="auto"/>
      </w:divBdr>
    </w:div>
    <w:div w:id="617950461">
      <w:bodyDiv w:val="1"/>
      <w:marLeft w:val="0"/>
      <w:marRight w:val="0"/>
      <w:marTop w:val="0"/>
      <w:marBottom w:val="0"/>
      <w:divBdr>
        <w:top w:val="none" w:sz="0" w:space="0" w:color="auto"/>
        <w:left w:val="none" w:sz="0" w:space="0" w:color="auto"/>
        <w:bottom w:val="none" w:sz="0" w:space="0" w:color="auto"/>
        <w:right w:val="none" w:sz="0" w:space="0" w:color="auto"/>
      </w:divBdr>
    </w:div>
    <w:div w:id="617955993">
      <w:bodyDiv w:val="1"/>
      <w:marLeft w:val="0"/>
      <w:marRight w:val="0"/>
      <w:marTop w:val="0"/>
      <w:marBottom w:val="0"/>
      <w:divBdr>
        <w:top w:val="none" w:sz="0" w:space="0" w:color="auto"/>
        <w:left w:val="none" w:sz="0" w:space="0" w:color="auto"/>
        <w:bottom w:val="none" w:sz="0" w:space="0" w:color="auto"/>
        <w:right w:val="none" w:sz="0" w:space="0" w:color="auto"/>
      </w:divBdr>
    </w:div>
    <w:div w:id="618075732">
      <w:bodyDiv w:val="1"/>
      <w:marLeft w:val="0"/>
      <w:marRight w:val="0"/>
      <w:marTop w:val="0"/>
      <w:marBottom w:val="0"/>
      <w:divBdr>
        <w:top w:val="none" w:sz="0" w:space="0" w:color="auto"/>
        <w:left w:val="none" w:sz="0" w:space="0" w:color="auto"/>
        <w:bottom w:val="none" w:sz="0" w:space="0" w:color="auto"/>
        <w:right w:val="none" w:sz="0" w:space="0" w:color="auto"/>
      </w:divBdr>
    </w:div>
    <w:div w:id="618099618">
      <w:bodyDiv w:val="1"/>
      <w:marLeft w:val="0"/>
      <w:marRight w:val="0"/>
      <w:marTop w:val="0"/>
      <w:marBottom w:val="0"/>
      <w:divBdr>
        <w:top w:val="none" w:sz="0" w:space="0" w:color="auto"/>
        <w:left w:val="none" w:sz="0" w:space="0" w:color="auto"/>
        <w:bottom w:val="none" w:sz="0" w:space="0" w:color="auto"/>
        <w:right w:val="none" w:sz="0" w:space="0" w:color="auto"/>
      </w:divBdr>
    </w:div>
    <w:div w:id="618101270">
      <w:bodyDiv w:val="1"/>
      <w:marLeft w:val="0"/>
      <w:marRight w:val="0"/>
      <w:marTop w:val="0"/>
      <w:marBottom w:val="0"/>
      <w:divBdr>
        <w:top w:val="none" w:sz="0" w:space="0" w:color="auto"/>
        <w:left w:val="none" w:sz="0" w:space="0" w:color="auto"/>
        <w:bottom w:val="none" w:sz="0" w:space="0" w:color="auto"/>
        <w:right w:val="none" w:sz="0" w:space="0" w:color="auto"/>
      </w:divBdr>
    </w:div>
    <w:div w:id="618144135">
      <w:bodyDiv w:val="1"/>
      <w:marLeft w:val="0"/>
      <w:marRight w:val="0"/>
      <w:marTop w:val="0"/>
      <w:marBottom w:val="0"/>
      <w:divBdr>
        <w:top w:val="none" w:sz="0" w:space="0" w:color="auto"/>
        <w:left w:val="none" w:sz="0" w:space="0" w:color="auto"/>
        <w:bottom w:val="none" w:sz="0" w:space="0" w:color="auto"/>
        <w:right w:val="none" w:sz="0" w:space="0" w:color="auto"/>
      </w:divBdr>
    </w:div>
    <w:div w:id="618414873">
      <w:bodyDiv w:val="1"/>
      <w:marLeft w:val="0"/>
      <w:marRight w:val="0"/>
      <w:marTop w:val="0"/>
      <w:marBottom w:val="0"/>
      <w:divBdr>
        <w:top w:val="none" w:sz="0" w:space="0" w:color="auto"/>
        <w:left w:val="none" w:sz="0" w:space="0" w:color="auto"/>
        <w:bottom w:val="none" w:sz="0" w:space="0" w:color="auto"/>
        <w:right w:val="none" w:sz="0" w:space="0" w:color="auto"/>
      </w:divBdr>
    </w:div>
    <w:div w:id="618494383">
      <w:bodyDiv w:val="1"/>
      <w:marLeft w:val="0"/>
      <w:marRight w:val="0"/>
      <w:marTop w:val="0"/>
      <w:marBottom w:val="0"/>
      <w:divBdr>
        <w:top w:val="none" w:sz="0" w:space="0" w:color="auto"/>
        <w:left w:val="none" w:sz="0" w:space="0" w:color="auto"/>
        <w:bottom w:val="none" w:sz="0" w:space="0" w:color="auto"/>
        <w:right w:val="none" w:sz="0" w:space="0" w:color="auto"/>
      </w:divBdr>
    </w:div>
    <w:div w:id="618604190">
      <w:bodyDiv w:val="1"/>
      <w:marLeft w:val="0"/>
      <w:marRight w:val="0"/>
      <w:marTop w:val="0"/>
      <w:marBottom w:val="0"/>
      <w:divBdr>
        <w:top w:val="none" w:sz="0" w:space="0" w:color="auto"/>
        <w:left w:val="none" w:sz="0" w:space="0" w:color="auto"/>
        <w:bottom w:val="none" w:sz="0" w:space="0" w:color="auto"/>
        <w:right w:val="none" w:sz="0" w:space="0" w:color="auto"/>
      </w:divBdr>
    </w:div>
    <w:div w:id="618680698">
      <w:bodyDiv w:val="1"/>
      <w:marLeft w:val="0"/>
      <w:marRight w:val="0"/>
      <w:marTop w:val="0"/>
      <w:marBottom w:val="0"/>
      <w:divBdr>
        <w:top w:val="none" w:sz="0" w:space="0" w:color="auto"/>
        <w:left w:val="none" w:sz="0" w:space="0" w:color="auto"/>
        <w:bottom w:val="none" w:sz="0" w:space="0" w:color="auto"/>
        <w:right w:val="none" w:sz="0" w:space="0" w:color="auto"/>
      </w:divBdr>
    </w:div>
    <w:div w:id="618754674">
      <w:bodyDiv w:val="1"/>
      <w:marLeft w:val="0"/>
      <w:marRight w:val="0"/>
      <w:marTop w:val="0"/>
      <w:marBottom w:val="0"/>
      <w:divBdr>
        <w:top w:val="none" w:sz="0" w:space="0" w:color="auto"/>
        <w:left w:val="none" w:sz="0" w:space="0" w:color="auto"/>
        <w:bottom w:val="none" w:sz="0" w:space="0" w:color="auto"/>
        <w:right w:val="none" w:sz="0" w:space="0" w:color="auto"/>
      </w:divBdr>
    </w:div>
    <w:div w:id="619065846">
      <w:bodyDiv w:val="1"/>
      <w:marLeft w:val="0"/>
      <w:marRight w:val="0"/>
      <w:marTop w:val="0"/>
      <w:marBottom w:val="0"/>
      <w:divBdr>
        <w:top w:val="none" w:sz="0" w:space="0" w:color="auto"/>
        <w:left w:val="none" w:sz="0" w:space="0" w:color="auto"/>
        <w:bottom w:val="none" w:sz="0" w:space="0" w:color="auto"/>
        <w:right w:val="none" w:sz="0" w:space="0" w:color="auto"/>
      </w:divBdr>
    </w:div>
    <w:div w:id="619069318">
      <w:bodyDiv w:val="1"/>
      <w:marLeft w:val="0"/>
      <w:marRight w:val="0"/>
      <w:marTop w:val="0"/>
      <w:marBottom w:val="0"/>
      <w:divBdr>
        <w:top w:val="none" w:sz="0" w:space="0" w:color="auto"/>
        <w:left w:val="none" w:sz="0" w:space="0" w:color="auto"/>
        <w:bottom w:val="none" w:sz="0" w:space="0" w:color="auto"/>
        <w:right w:val="none" w:sz="0" w:space="0" w:color="auto"/>
      </w:divBdr>
    </w:div>
    <w:div w:id="619145917">
      <w:bodyDiv w:val="1"/>
      <w:marLeft w:val="0"/>
      <w:marRight w:val="0"/>
      <w:marTop w:val="0"/>
      <w:marBottom w:val="0"/>
      <w:divBdr>
        <w:top w:val="none" w:sz="0" w:space="0" w:color="auto"/>
        <w:left w:val="none" w:sz="0" w:space="0" w:color="auto"/>
        <w:bottom w:val="none" w:sz="0" w:space="0" w:color="auto"/>
        <w:right w:val="none" w:sz="0" w:space="0" w:color="auto"/>
      </w:divBdr>
    </w:div>
    <w:div w:id="619150537">
      <w:bodyDiv w:val="1"/>
      <w:marLeft w:val="0"/>
      <w:marRight w:val="0"/>
      <w:marTop w:val="0"/>
      <w:marBottom w:val="0"/>
      <w:divBdr>
        <w:top w:val="none" w:sz="0" w:space="0" w:color="auto"/>
        <w:left w:val="none" w:sz="0" w:space="0" w:color="auto"/>
        <w:bottom w:val="none" w:sz="0" w:space="0" w:color="auto"/>
        <w:right w:val="none" w:sz="0" w:space="0" w:color="auto"/>
      </w:divBdr>
    </w:div>
    <w:div w:id="619262571">
      <w:bodyDiv w:val="1"/>
      <w:marLeft w:val="0"/>
      <w:marRight w:val="0"/>
      <w:marTop w:val="0"/>
      <w:marBottom w:val="0"/>
      <w:divBdr>
        <w:top w:val="none" w:sz="0" w:space="0" w:color="auto"/>
        <w:left w:val="none" w:sz="0" w:space="0" w:color="auto"/>
        <w:bottom w:val="none" w:sz="0" w:space="0" w:color="auto"/>
        <w:right w:val="none" w:sz="0" w:space="0" w:color="auto"/>
      </w:divBdr>
    </w:div>
    <w:div w:id="619342288">
      <w:bodyDiv w:val="1"/>
      <w:marLeft w:val="0"/>
      <w:marRight w:val="0"/>
      <w:marTop w:val="0"/>
      <w:marBottom w:val="0"/>
      <w:divBdr>
        <w:top w:val="none" w:sz="0" w:space="0" w:color="auto"/>
        <w:left w:val="none" w:sz="0" w:space="0" w:color="auto"/>
        <w:bottom w:val="none" w:sz="0" w:space="0" w:color="auto"/>
        <w:right w:val="none" w:sz="0" w:space="0" w:color="auto"/>
      </w:divBdr>
    </w:div>
    <w:div w:id="619384806">
      <w:bodyDiv w:val="1"/>
      <w:marLeft w:val="0"/>
      <w:marRight w:val="0"/>
      <w:marTop w:val="0"/>
      <w:marBottom w:val="0"/>
      <w:divBdr>
        <w:top w:val="none" w:sz="0" w:space="0" w:color="auto"/>
        <w:left w:val="none" w:sz="0" w:space="0" w:color="auto"/>
        <w:bottom w:val="none" w:sz="0" w:space="0" w:color="auto"/>
        <w:right w:val="none" w:sz="0" w:space="0" w:color="auto"/>
      </w:divBdr>
    </w:div>
    <w:div w:id="619604090">
      <w:bodyDiv w:val="1"/>
      <w:marLeft w:val="0"/>
      <w:marRight w:val="0"/>
      <w:marTop w:val="0"/>
      <w:marBottom w:val="0"/>
      <w:divBdr>
        <w:top w:val="none" w:sz="0" w:space="0" w:color="auto"/>
        <w:left w:val="none" w:sz="0" w:space="0" w:color="auto"/>
        <w:bottom w:val="none" w:sz="0" w:space="0" w:color="auto"/>
        <w:right w:val="none" w:sz="0" w:space="0" w:color="auto"/>
      </w:divBdr>
    </w:div>
    <w:div w:id="619606001">
      <w:bodyDiv w:val="1"/>
      <w:marLeft w:val="0"/>
      <w:marRight w:val="0"/>
      <w:marTop w:val="0"/>
      <w:marBottom w:val="0"/>
      <w:divBdr>
        <w:top w:val="none" w:sz="0" w:space="0" w:color="auto"/>
        <w:left w:val="none" w:sz="0" w:space="0" w:color="auto"/>
        <w:bottom w:val="none" w:sz="0" w:space="0" w:color="auto"/>
        <w:right w:val="none" w:sz="0" w:space="0" w:color="auto"/>
      </w:divBdr>
    </w:div>
    <w:div w:id="619646883">
      <w:bodyDiv w:val="1"/>
      <w:marLeft w:val="0"/>
      <w:marRight w:val="0"/>
      <w:marTop w:val="0"/>
      <w:marBottom w:val="0"/>
      <w:divBdr>
        <w:top w:val="none" w:sz="0" w:space="0" w:color="auto"/>
        <w:left w:val="none" w:sz="0" w:space="0" w:color="auto"/>
        <w:bottom w:val="none" w:sz="0" w:space="0" w:color="auto"/>
        <w:right w:val="none" w:sz="0" w:space="0" w:color="auto"/>
      </w:divBdr>
    </w:div>
    <w:div w:id="619722142">
      <w:bodyDiv w:val="1"/>
      <w:marLeft w:val="0"/>
      <w:marRight w:val="0"/>
      <w:marTop w:val="0"/>
      <w:marBottom w:val="0"/>
      <w:divBdr>
        <w:top w:val="none" w:sz="0" w:space="0" w:color="auto"/>
        <w:left w:val="none" w:sz="0" w:space="0" w:color="auto"/>
        <w:bottom w:val="none" w:sz="0" w:space="0" w:color="auto"/>
        <w:right w:val="none" w:sz="0" w:space="0" w:color="auto"/>
      </w:divBdr>
    </w:div>
    <w:div w:id="619723391">
      <w:bodyDiv w:val="1"/>
      <w:marLeft w:val="0"/>
      <w:marRight w:val="0"/>
      <w:marTop w:val="0"/>
      <w:marBottom w:val="0"/>
      <w:divBdr>
        <w:top w:val="none" w:sz="0" w:space="0" w:color="auto"/>
        <w:left w:val="none" w:sz="0" w:space="0" w:color="auto"/>
        <w:bottom w:val="none" w:sz="0" w:space="0" w:color="auto"/>
        <w:right w:val="none" w:sz="0" w:space="0" w:color="auto"/>
      </w:divBdr>
    </w:div>
    <w:div w:id="619840750">
      <w:bodyDiv w:val="1"/>
      <w:marLeft w:val="0"/>
      <w:marRight w:val="0"/>
      <w:marTop w:val="0"/>
      <w:marBottom w:val="0"/>
      <w:divBdr>
        <w:top w:val="none" w:sz="0" w:space="0" w:color="auto"/>
        <w:left w:val="none" w:sz="0" w:space="0" w:color="auto"/>
        <w:bottom w:val="none" w:sz="0" w:space="0" w:color="auto"/>
        <w:right w:val="none" w:sz="0" w:space="0" w:color="auto"/>
      </w:divBdr>
    </w:div>
    <w:div w:id="619994843">
      <w:bodyDiv w:val="1"/>
      <w:marLeft w:val="0"/>
      <w:marRight w:val="0"/>
      <w:marTop w:val="0"/>
      <w:marBottom w:val="0"/>
      <w:divBdr>
        <w:top w:val="none" w:sz="0" w:space="0" w:color="auto"/>
        <w:left w:val="none" w:sz="0" w:space="0" w:color="auto"/>
        <w:bottom w:val="none" w:sz="0" w:space="0" w:color="auto"/>
        <w:right w:val="none" w:sz="0" w:space="0" w:color="auto"/>
      </w:divBdr>
    </w:div>
    <w:div w:id="619996256">
      <w:bodyDiv w:val="1"/>
      <w:marLeft w:val="0"/>
      <w:marRight w:val="0"/>
      <w:marTop w:val="0"/>
      <w:marBottom w:val="0"/>
      <w:divBdr>
        <w:top w:val="none" w:sz="0" w:space="0" w:color="auto"/>
        <w:left w:val="none" w:sz="0" w:space="0" w:color="auto"/>
        <w:bottom w:val="none" w:sz="0" w:space="0" w:color="auto"/>
        <w:right w:val="none" w:sz="0" w:space="0" w:color="auto"/>
      </w:divBdr>
    </w:div>
    <w:div w:id="619996385">
      <w:bodyDiv w:val="1"/>
      <w:marLeft w:val="0"/>
      <w:marRight w:val="0"/>
      <w:marTop w:val="0"/>
      <w:marBottom w:val="0"/>
      <w:divBdr>
        <w:top w:val="none" w:sz="0" w:space="0" w:color="auto"/>
        <w:left w:val="none" w:sz="0" w:space="0" w:color="auto"/>
        <w:bottom w:val="none" w:sz="0" w:space="0" w:color="auto"/>
        <w:right w:val="none" w:sz="0" w:space="0" w:color="auto"/>
      </w:divBdr>
    </w:div>
    <w:div w:id="620036340">
      <w:bodyDiv w:val="1"/>
      <w:marLeft w:val="0"/>
      <w:marRight w:val="0"/>
      <w:marTop w:val="0"/>
      <w:marBottom w:val="0"/>
      <w:divBdr>
        <w:top w:val="none" w:sz="0" w:space="0" w:color="auto"/>
        <w:left w:val="none" w:sz="0" w:space="0" w:color="auto"/>
        <w:bottom w:val="none" w:sz="0" w:space="0" w:color="auto"/>
        <w:right w:val="none" w:sz="0" w:space="0" w:color="auto"/>
      </w:divBdr>
    </w:div>
    <w:div w:id="620113256">
      <w:bodyDiv w:val="1"/>
      <w:marLeft w:val="0"/>
      <w:marRight w:val="0"/>
      <w:marTop w:val="0"/>
      <w:marBottom w:val="0"/>
      <w:divBdr>
        <w:top w:val="none" w:sz="0" w:space="0" w:color="auto"/>
        <w:left w:val="none" w:sz="0" w:space="0" w:color="auto"/>
        <w:bottom w:val="none" w:sz="0" w:space="0" w:color="auto"/>
        <w:right w:val="none" w:sz="0" w:space="0" w:color="auto"/>
      </w:divBdr>
    </w:div>
    <w:div w:id="620189845">
      <w:bodyDiv w:val="1"/>
      <w:marLeft w:val="0"/>
      <w:marRight w:val="0"/>
      <w:marTop w:val="0"/>
      <w:marBottom w:val="0"/>
      <w:divBdr>
        <w:top w:val="none" w:sz="0" w:space="0" w:color="auto"/>
        <w:left w:val="none" w:sz="0" w:space="0" w:color="auto"/>
        <w:bottom w:val="none" w:sz="0" w:space="0" w:color="auto"/>
        <w:right w:val="none" w:sz="0" w:space="0" w:color="auto"/>
      </w:divBdr>
    </w:div>
    <w:div w:id="620309165">
      <w:bodyDiv w:val="1"/>
      <w:marLeft w:val="0"/>
      <w:marRight w:val="0"/>
      <w:marTop w:val="0"/>
      <w:marBottom w:val="0"/>
      <w:divBdr>
        <w:top w:val="none" w:sz="0" w:space="0" w:color="auto"/>
        <w:left w:val="none" w:sz="0" w:space="0" w:color="auto"/>
        <w:bottom w:val="none" w:sz="0" w:space="0" w:color="auto"/>
        <w:right w:val="none" w:sz="0" w:space="0" w:color="auto"/>
      </w:divBdr>
    </w:div>
    <w:div w:id="620376554">
      <w:bodyDiv w:val="1"/>
      <w:marLeft w:val="0"/>
      <w:marRight w:val="0"/>
      <w:marTop w:val="0"/>
      <w:marBottom w:val="0"/>
      <w:divBdr>
        <w:top w:val="none" w:sz="0" w:space="0" w:color="auto"/>
        <w:left w:val="none" w:sz="0" w:space="0" w:color="auto"/>
        <w:bottom w:val="none" w:sz="0" w:space="0" w:color="auto"/>
        <w:right w:val="none" w:sz="0" w:space="0" w:color="auto"/>
      </w:divBdr>
    </w:div>
    <w:div w:id="620569731">
      <w:bodyDiv w:val="1"/>
      <w:marLeft w:val="0"/>
      <w:marRight w:val="0"/>
      <w:marTop w:val="0"/>
      <w:marBottom w:val="0"/>
      <w:divBdr>
        <w:top w:val="none" w:sz="0" w:space="0" w:color="auto"/>
        <w:left w:val="none" w:sz="0" w:space="0" w:color="auto"/>
        <w:bottom w:val="none" w:sz="0" w:space="0" w:color="auto"/>
        <w:right w:val="none" w:sz="0" w:space="0" w:color="auto"/>
      </w:divBdr>
    </w:div>
    <w:div w:id="620574509">
      <w:bodyDiv w:val="1"/>
      <w:marLeft w:val="0"/>
      <w:marRight w:val="0"/>
      <w:marTop w:val="0"/>
      <w:marBottom w:val="0"/>
      <w:divBdr>
        <w:top w:val="none" w:sz="0" w:space="0" w:color="auto"/>
        <w:left w:val="none" w:sz="0" w:space="0" w:color="auto"/>
        <w:bottom w:val="none" w:sz="0" w:space="0" w:color="auto"/>
        <w:right w:val="none" w:sz="0" w:space="0" w:color="auto"/>
      </w:divBdr>
    </w:div>
    <w:div w:id="620650356">
      <w:bodyDiv w:val="1"/>
      <w:marLeft w:val="0"/>
      <w:marRight w:val="0"/>
      <w:marTop w:val="0"/>
      <w:marBottom w:val="0"/>
      <w:divBdr>
        <w:top w:val="none" w:sz="0" w:space="0" w:color="auto"/>
        <w:left w:val="none" w:sz="0" w:space="0" w:color="auto"/>
        <w:bottom w:val="none" w:sz="0" w:space="0" w:color="auto"/>
        <w:right w:val="none" w:sz="0" w:space="0" w:color="auto"/>
      </w:divBdr>
    </w:div>
    <w:div w:id="620650833">
      <w:bodyDiv w:val="1"/>
      <w:marLeft w:val="0"/>
      <w:marRight w:val="0"/>
      <w:marTop w:val="0"/>
      <w:marBottom w:val="0"/>
      <w:divBdr>
        <w:top w:val="none" w:sz="0" w:space="0" w:color="auto"/>
        <w:left w:val="none" w:sz="0" w:space="0" w:color="auto"/>
        <w:bottom w:val="none" w:sz="0" w:space="0" w:color="auto"/>
        <w:right w:val="none" w:sz="0" w:space="0" w:color="auto"/>
      </w:divBdr>
    </w:div>
    <w:div w:id="620651374">
      <w:bodyDiv w:val="1"/>
      <w:marLeft w:val="0"/>
      <w:marRight w:val="0"/>
      <w:marTop w:val="0"/>
      <w:marBottom w:val="0"/>
      <w:divBdr>
        <w:top w:val="none" w:sz="0" w:space="0" w:color="auto"/>
        <w:left w:val="none" w:sz="0" w:space="0" w:color="auto"/>
        <w:bottom w:val="none" w:sz="0" w:space="0" w:color="auto"/>
        <w:right w:val="none" w:sz="0" w:space="0" w:color="auto"/>
      </w:divBdr>
    </w:div>
    <w:div w:id="620654353">
      <w:bodyDiv w:val="1"/>
      <w:marLeft w:val="0"/>
      <w:marRight w:val="0"/>
      <w:marTop w:val="0"/>
      <w:marBottom w:val="0"/>
      <w:divBdr>
        <w:top w:val="none" w:sz="0" w:space="0" w:color="auto"/>
        <w:left w:val="none" w:sz="0" w:space="0" w:color="auto"/>
        <w:bottom w:val="none" w:sz="0" w:space="0" w:color="auto"/>
        <w:right w:val="none" w:sz="0" w:space="0" w:color="auto"/>
      </w:divBdr>
    </w:div>
    <w:div w:id="620913933">
      <w:bodyDiv w:val="1"/>
      <w:marLeft w:val="0"/>
      <w:marRight w:val="0"/>
      <w:marTop w:val="0"/>
      <w:marBottom w:val="0"/>
      <w:divBdr>
        <w:top w:val="none" w:sz="0" w:space="0" w:color="auto"/>
        <w:left w:val="none" w:sz="0" w:space="0" w:color="auto"/>
        <w:bottom w:val="none" w:sz="0" w:space="0" w:color="auto"/>
        <w:right w:val="none" w:sz="0" w:space="0" w:color="auto"/>
      </w:divBdr>
    </w:div>
    <w:div w:id="620957459">
      <w:bodyDiv w:val="1"/>
      <w:marLeft w:val="0"/>
      <w:marRight w:val="0"/>
      <w:marTop w:val="0"/>
      <w:marBottom w:val="0"/>
      <w:divBdr>
        <w:top w:val="none" w:sz="0" w:space="0" w:color="auto"/>
        <w:left w:val="none" w:sz="0" w:space="0" w:color="auto"/>
        <w:bottom w:val="none" w:sz="0" w:space="0" w:color="auto"/>
        <w:right w:val="none" w:sz="0" w:space="0" w:color="auto"/>
      </w:divBdr>
    </w:div>
    <w:div w:id="621116362">
      <w:bodyDiv w:val="1"/>
      <w:marLeft w:val="0"/>
      <w:marRight w:val="0"/>
      <w:marTop w:val="0"/>
      <w:marBottom w:val="0"/>
      <w:divBdr>
        <w:top w:val="none" w:sz="0" w:space="0" w:color="auto"/>
        <w:left w:val="none" w:sz="0" w:space="0" w:color="auto"/>
        <w:bottom w:val="none" w:sz="0" w:space="0" w:color="auto"/>
        <w:right w:val="none" w:sz="0" w:space="0" w:color="auto"/>
      </w:divBdr>
    </w:div>
    <w:div w:id="621158520">
      <w:bodyDiv w:val="1"/>
      <w:marLeft w:val="0"/>
      <w:marRight w:val="0"/>
      <w:marTop w:val="0"/>
      <w:marBottom w:val="0"/>
      <w:divBdr>
        <w:top w:val="none" w:sz="0" w:space="0" w:color="auto"/>
        <w:left w:val="none" w:sz="0" w:space="0" w:color="auto"/>
        <w:bottom w:val="none" w:sz="0" w:space="0" w:color="auto"/>
        <w:right w:val="none" w:sz="0" w:space="0" w:color="auto"/>
      </w:divBdr>
    </w:div>
    <w:div w:id="621228756">
      <w:bodyDiv w:val="1"/>
      <w:marLeft w:val="0"/>
      <w:marRight w:val="0"/>
      <w:marTop w:val="0"/>
      <w:marBottom w:val="0"/>
      <w:divBdr>
        <w:top w:val="none" w:sz="0" w:space="0" w:color="auto"/>
        <w:left w:val="none" w:sz="0" w:space="0" w:color="auto"/>
        <w:bottom w:val="none" w:sz="0" w:space="0" w:color="auto"/>
        <w:right w:val="none" w:sz="0" w:space="0" w:color="auto"/>
      </w:divBdr>
    </w:div>
    <w:div w:id="621302436">
      <w:bodyDiv w:val="1"/>
      <w:marLeft w:val="0"/>
      <w:marRight w:val="0"/>
      <w:marTop w:val="0"/>
      <w:marBottom w:val="0"/>
      <w:divBdr>
        <w:top w:val="none" w:sz="0" w:space="0" w:color="auto"/>
        <w:left w:val="none" w:sz="0" w:space="0" w:color="auto"/>
        <w:bottom w:val="none" w:sz="0" w:space="0" w:color="auto"/>
        <w:right w:val="none" w:sz="0" w:space="0" w:color="auto"/>
      </w:divBdr>
    </w:div>
    <w:div w:id="621303501">
      <w:bodyDiv w:val="1"/>
      <w:marLeft w:val="0"/>
      <w:marRight w:val="0"/>
      <w:marTop w:val="0"/>
      <w:marBottom w:val="0"/>
      <w:divBdr>
        <w:top w:val="none" w:sz="0" w:space="0" w:color="auto"/>
        <w:left w:val="none" w:sz="0" w:space="0" w:color="auto"/>
        <w:bottom w:val="none" w:sz="0" w:space="0" w:color="auto"/>
        <w:right w:val="none" w:sz="0" w:space="0" w:color="auto"/>
      </w:divBdr>
    </w:div>
    <w:div w:id="621308846">
      <w:bodyDiv w:val="1"/>
      <w:marLeft w:val="0"/>
      <w:marRight w:val="0"/>
      <w:marTop w:val="0"/>
      <w:marBottom w:val="0"/>
      <w:divBdr>
        <w:top w:val="none" w:sz="0" w:space="0" w:color="auto"/>
        <w:left w:val="none" w:sz="0" w:space="0" w:color="auto"/>
        <w:bottom w:val="none" w:sz="0" w:space="0" w:color="auto"/>
        <w:right w:val="none" w:sz="0" w:space="0" w:color="auto"/>
      </w:divBdr>
    </w:div>
    <w:div w:id="621348688">
      <w:bodyDiv w:val="1"/>
      <w:marLeft w:val="0"/>
      <w:marRight w:val="0"/>
      <w:marTop w:val="0"/>
      <w:marBottom w:val="0"/>
      <w:divBdr>
        <w:top w:val="none" w:sz="0" w:space="0" w:color="auto"/>
        <w:left w:val="none" w:sz="0" w:space="0" w:color="auto"/>
        <w:bottom w:val="none" w:sz="0" w:space="0" w:color="auto"/>
        <w:right w:val="none" w:sz="0" w:space="0" w:color="auto"/>
      </w:divBdr>
    </w:div>
    <w:div w:id="621497102">
      <w:bodyDiv w:val="1"/>
      <w:marLeft w:val="0"/>
      <w:marRight w:val="0"/>
      <w:marTop w:val="0"/>
      <w:marBottom w:val="0"/>
      <w:divBdr>
        <w:top w:val="none" w:sz="0" w:space="0" w:color="auto"/>
        <w:left w:val="none" w:sz="0" w:space="0" w:color="auto"/>
        <w:bottom w:val="none" w:sz="0" w:space="0" w:color="auto"/>
        <w:right w:val="none" w:sz="0" w:space="0" w:color="auto"/>
      </w:divBdr>
    </w:div>
    <w:div w:id="621497376">
      <w:bodyDiv w:val="1"/>
      <w:marLeft w:val="0"/>
      <w:marRight w:val="0"/>
      <w:marTop w:val="0"/>
      <w:marBottom w:val="0"/>
      <w:divBdr>
        <w:top w:val="none" w:sz="0" w:space="0" w:color="auto"/>
        <w:left w:val="none" w:sz="0" w:space="0" w:color="auto"/>
        <w:bottom w:val="none" w:sz="0" w:space="0" w:color="auto"/>
        <w:right w:val="none" w:sz="0" w:space="0" w:color="auto"/>
      </w:divBdr>
    </w:div>
    <w:div w:id="621544632">
      <w:bodyDiv w:val="1"/>
      <w:marLeft w:val="0"/>
      <w:marRight w:val="0"/>
      <w:marTop w:val="0"/>
      <w:marBottom w:val="0"/>
      <w:divBdr>
        <w:top w:val="none" w:sz="0" w:space="0" w:color="auto"/>
        <w:left w:val="none" w:sz="0" w:space="0" w:color="auto"/>
        <w:bottom w:val="none" w:sz="0" w:space="0" w:color="auto"/>
        <w:right w:val="none" w:sz="0" w:space="0" w:color="auto"/>
      </w:divBdr>
    </w:div>
    <w:div w:id="621617266">
      <w:bodyDiv w:val="1"/>
      <w:marLeft w:val="0"/>
      <w:marRight w:val="0"/>
      <w:marTop w:val="0"/>
      <w:marBottom w:val="0"/>
      <w:divBdr>
        <w:top w:val="none" w:sz="0" w:space="0" w:color="auto"/>
        <w:left w:val="none" w:sz="0" w:space="0" w:color="auto"/>
        <w:bottom w:val="none" w:sz="0" w:space="0" w:color="auto"/>
        <w:right w:val="none" w:sz="0" w:space="0" w:color="auto"/>
      </w:divBdr>
    </w:div>
    <w:div w:id="621771064">
      <w:bodyDiv w:val="1"/>
      <w:marLeft w:val="0"/>
      <w:marRight w:val="0"/>
      <w:marTop w:val="0"/>
      <w:marBottom w:val="0"/>
      <w:divBdr>
        <w:top w:val="none" w:sz="0" w:space="0" w:color="auto"/>
        <w:left w:val="none" w:sz="0" w:space="0" w:color="auto"/>
        <w:bottom w:val="none" w:sz="0" w:space="0" w:color="auto"/>
        <w:right w:val="none" w:sz="0" w:space="0" w:color="auto"/>
      </w:divBdr>
    </w:div>
    <w:div w:id="621807396">
      <w:bodyDiv w:val="1"/>
      <w:marLeft w:val="0"/>
      <w:marRight w:val="0"/>
      <w:marTop w:val="0"/>
      <w:marBottom w:val="0"/>
      <w:divBdr>
        <w:top w:val="none" w:sz="0" w:space="0" w:color="auto"/>
        <w:left w:val="none" w:sz="0" w:space="0" w:color="auto"/>
        <w:bottom w:val="none" w:sz="0" w:space="0" w:color="auto"/>
        <w:right w:val="none" w:sz="0" w:space="0" w:color="auto"/>
      </w:divBdr>
    </w:div>
    <w:div w:id="621881883">
      <w:bodyDiv w:val="1"/>
      <w:marLeft w:val="0"/>
      <w:marRight w:val="0"/>
      <w:marTop w:val="0"/>
      <w:marBottom w:val="0"/>
      <w:divBdr>
        <w:top w:val="none" w:sz="0" w:space="0" w:color="auto"/>
        <w:left w:val="none" w:sz="0" w:space="0" w:color="auto"/>
        <w:bottom w:val="none" w:sz="0" w:space="0" w:color="auto"/>
        <w:right w:val="none" w:sz="0" w:space="0" w:color="auto"/>
      </w:divBdr>
    </w:div>
    <w:div w:id="621883373">
      <w:bodyDiv w:val="1"/>
      <w:marLeft w:val="0"/>
      <w:marRight w:val="0"/>
      <w:marTop w:val="0"/>
      <w:marBottom w:val="0"/>
      <w:divBdr>
        <w:top w:val="none" w:sz="0" w:space="0" w:color="auto"/>
        <w:left w:val="none" w:sz="0" w:space="0" w:color="auto"/>
        <w:bottom w:val="none" w:sz="0" w:space="0" w:color="auto"/>
        <w:right w:val="none" w:sz="0" w:space="0" w:color="auto"/>
      </w:divBdr>
    </w:div>
    <w:div w:id="621883900">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2075588">
      <w:bodyDiv w:val="1"/>
      <w:marLeft w:val="0"/>
      <w:marRight w:val="0"/>
      <w:marTop w:val="0"/>
      <w:marBottom w:val="0"/>
      <w:divBdr>
        <w:top w:val="none" w:sz="0" w:space="0" w:color="auto"/>
        <w:left w:val="none" w:sz="0" w:space="0" w:color="auto"/>
        <w:bottom w:val="none" w:sz="0" w:space="0" w:color="auto"/>
        <w:right w:val="none" w:sz="0" w:space="0" w:color="auto"/>
      </w:divBdr>
    </w:div>
    <w:div w:id="622081819">
      <w:bodyDiv w:val="1"/>
      <w:marLeft w:val="0"/>
      <w:marRight w:val="0"/>
      <w:marTop w:val="0"/>
      <w:marBottom w:val="0"/>
      <w:divBdr>
        <w:top w:val="none" w:sz="0" w:space="0" w:color="auto"/>
        <w:left w:val="none" w:sz="0" w:space="0" w:color="auto"/>
        <w:bottom w:val="none" w:sz="0" w:space="0" w:color="auto"/>
        <w:right w:val="none" w:sz="0" w:space="0" w:color="auto"/>
      </w:divBdr>
    </w:div>
    <w:div w:id="622199361">
      <w:bodyDiv w:val="1"/>
      <w:marLeft w:val="0"/>
      <w:marRight w:val="0"/>
      <w:marTop w:val="0"/>
      <w:marBottom w:val="0"/>
      <w:divBdr>
        <w:top w:val="none" w:sz="0" w:space="0" w:color="auto"/>
        <w:left w:val="none" w:sz="0" w:space="0" w:color="auto"/>
        <w:bottom w:val="none" w:sz="0" w:space="0" w:color="auto"/>
        <w:right w:val="none" w:sz="0" w:space="0" w:color="auto"/>
      </w:divBdr>
    </w:div>
    <w:div w:id="622199682">
      <w:bodyDiv w:val="1"/>
      <w:marLeft w:val="0"/>
      <w:marRight w:val="0"/>
      <w:marTop w:val="0"/>
      <w:marBottom w:val="0"/>
      <w:divBdr>
        <w:top w:val="none" w:sz="0" w:space="0" w:color="auto"/>
        <w:left w:val="none" w:sz="0" w:space="0" w:color="auto"/>
        <w:bottom w:val="none" w:sz="0" w:space="0" w:color="auto"/>
        <w:right w:val="none" w:sz="0" w:space="0" w:color="auto"/>
      </w:divBdr>
    </w:div>
    <w:div w:id="622686849">
      <w:bodyDiv w:val="1"/>
      <w:marLeft w:val="0"/>
      <w:marRight w:val="0"/>
      <w:marTop w:val="0"/>
      <w:marBottom w:val="0"/>
      <w:divBdr>
        <w:top w:val="none" w:sz="0" w:space="0" w:color="auto"/>
        <w:left w:val="none" w:sz="0" w:space="0" w:color="auto"/>
        <w:bottom w:val="none" w:sz="0" w:space="0" w:color="auto"/>
        <w:right w:val="none" w:sz="0" w:space="0" w:color="auto"/>
      </w:divBdr>
    </w:div>
    <w:div w:id="622736708">
      <w:bodyDiv w:val="1"/>
      <w:marLeft w:val="0"/>
      <w:marRight w:val="0"/>
      <w:marTop w:val="0"/>
      <w:marBottom w:val="0"/>
      <w:divBdr>
        <w:top w:val="none" w:sz="0" w:space="0" w:color="auto"/>
        <w:left w:val="none" w:sz="0" w:space="0" w:color="auto"/>
        <w:bottom w:val="none" w:sz="0" w:space="0" w:color="auto"/>
        <w:right w:val="none" w:sz="0" w:space="0" w:color="auto"/>
      </w:divBdr>
    </w:div>
    <w:div w:id="622809778">
      <w:bodyDiv w:val="1"/>
      <w:marLeft w:val="0"/>
      <w:marRight w:val="0"/>
      <w:marTop w:val="0"/>
      <w:marBottom w:val="0"/>
      <w:divBdr>
        <w:top w:val="none" w:sz="0" w:space="0" w:color="auto"/>
        <w:left w:val="none" w:sz="0" w:space="0" w:color="auto"/>
        <w:bottom w:val="none" w:sz="0" w:space="0" w:color="auto"/>
        <w:right w:val="none" w:sz="0" w:space="0" w:color="auto"/>
      </w:divBdr>
    </w:div>
    <w:div w:id="622882246">
      <w:bodyDiv w:val="1"/>
      <w:marLeft w:val="0"/>
      <w:marRight w:val="0"/>
      <w:marTop w:val="0"/>
      <w:marBottom w:val="0"/>
      <w:divBdr>
        <w:top w:val="none" w:sz="0" w:space="0" w:color="auto"/>
        <w:left w:val="none" w:sz="0" w:space="0" w:color="auto"/>
        <w:bottom w:val="none" w:sz="0" w:space="0" w:color="auto"/>
        <w:right w:val="none" w:sz="0" w:space="0" w:color="auto"/>
      </w:divBdr>
    </w:div>
    <w:div w:id="623081526">
      <w:bodyDiv w:val="1"/>
      <w:marLeft w:val="0"/>
      <w:marRight w:val="0"/>
      <w:marTop w:val="0"/>
      <w:marBottom w:val="0"/>
      <w:divBdr>
        <w:top w:val="none" w:sz="0" w:space="0" w:color="auto"/>
        <w:left w:val="none" w:sz="0" w:space="0" w:color="auto"/>
        <w:bottom w:val="none" w:sz="0" w:space="0" w:color="auto"/>
        <w:right w:val="none" w:sz="0" w:space="0" w:color="auto"/>
      </w:divBdr>
    </w:div>
    <w:div w:id="623199050">
      <w:bodyDiv w:val="1"/>
      <w:marLeft w:val="0"/>
      <w:marRight w:val="0"/>
      <w:marTop w:val="0"/>
      <w:marBottom w:val="0"/>
      <w:divBdr>
        <w:top w:val="none" w:sz="0" w:space="0" w:color="auto"/>
        <w:left w:val="none" w:sz="0" w:space="0" w:color="auto"/>
        <w:bottom w:val="none" w:sz="0" w:space="0" w:color="auto"/>
        <w:right w:val="none" w:sz="0" w:space="0" w:color="auto"/>
      </w:divBdr>
    </w:div>
    <w:div w:id="623270256">
      <w:bodyDiv w:val="1"/>
      <w:marLeft w:val="0"/>
      <w:marRight w:val="0"/>
      <w:marTop w:val="0"/>
      <w:marBottom w:val="0"/>
      <w:divBdr>
        <w:top w:val="none" w:sz="0" w:space="0" w:color="auto"/>
        <w:left w:val="none" w:sz="0" w:space="0" w:color="auto"/>
        <w:bottom w:val="none" w:sz="0" w:space="0" w:color="auto"/>
        <w:right w:val="none" w:sz="0" w:space="0" w:color="auto"/>
      </w:divBdr>
    </w:div>
    <w:div w:id="623314741">
      <w:bodyDiv w:val="1"/>
      <w:marLeft w:val="0"/>
      <w:marRight w:val="0"/>
      <w:marTop w:val="0"/>
      <w:marBottom w:val="0"/>
      <w:divBdr>
        <w:top w:val="none" w:sz="0" w:space="0" w:color="auto"/>
        <w:left w:val="none" w:sz="0" w:space="0" w:color="auto"/>
        <w:bottom w:val="none" w:sz="0" w:space="0" w:color="auto"/>
        <w:right w:val="none" w:sz="0" w:space="0" w:color="auto"/>
      </w:divBdr>
    </w:div>
    <w:div w:id="623316166">
      <w:bodyDiv w:val="1"/>
      <w:marLeft w:val="0"/>
      <w:marRight w:val="0"/>
      <w:marTop w:val="0"/>
      <w:marBottom w:val="0"/>
      <w:divBdr>
        <w:top w:val="none" w:sz="0" w:space="0" w:color="auto"/>
        <w:left w:val="none" w:sz="0" w:space="0" w:color="auto"/>
        <w:bottom w:val="none" w:sz="0" w:space="0" w:color="auto"/>
        <w:right w:val="none" w:sz="0" w:space="0" w:color="auto"/>
      </w:divBdr>
    </w:div>
    <w:div w:id="623341549">
      <w:bodyDiv w:val="1"/>
      <w:marLeft w:val="0"/>
      <w:marRight w:val="0"/>
      <w:marTop w:val="0"/>
      <w:marBottom w:val="0"/>
      <w:divBdr>
        <w:top w:val="none" w:sz="0" w:space="0" w:color="auto"/>
        <w:left w:val="none" w:sz="0" w:space="0" w:color="auto"/>
        <w:bottom w:val="none" w:sz="0" w:space="0" w:color="auto"/>
        <w:right w:val="none" w:sz="0" w:space="0" w:color="auto"/>
      </w:divBdr>
    </w:div>
    <w:div w:id="623386601">
      <w:bodyDiv w:val="1"/>
      <w:marLeft w:val="0"/>
      <w:marRight w:val="0"/>
      <w:marTop w:val="0"/>
      <w:marBottom w:val="0"/>
      <w:divBdr>
        <w:top w:val="none" w:sz="0" w:space="0" w:color="auto"/>
        <w:left w:val="none" w:sz="0" w:space="0" w:color="auto"/>
        <w:bottom w:val="none" w:sz="0" w:space="0" w:color="auto"/>
        <w:right w:val="none" w:sz="0" w:space="0" w:color="auto"/>
      </w:divBdr>
    </w:div>
    <w:div w:id="623387497">
      <w:bodyDiv w:val="1"/>
      <w:marLeft w:val="0"/>
      <w:marRight w:val="0"/>
      <w:marTop w:val="0"/>
      <w:marBottom w:val="0"/>
      <w:divBdr>
        <w:top w:val="none" w:sz="0" w:space="0" w:color="auto"/>
        <w:left w:val="none" w:sz="0" w:space="0" w:color="auto"/>
        <w:bottom w:val="none" w:sz="0" w:space="0" w:color="auto"/>
        <w:right w:val="none" w:sz="0" w:space="0" w:color="auto"/>
      </w:divBdr>
    </w:div>
    <w:div w:id="623393720">
      <w:bodyDiv w:val="1"/>
      <w:marLeft w:val="0"/>
      <w:marRight w:val="0"/>
      <w:marTop w:val="0"/>
      <w:marBottom w:val="0"/>
      <w:divBdr>
        <w:top w:val="none" w:sz="0" w:space="0" w:color="auto"/>
        <w:left w:val="none" w:sz="0" w:space="0" w:color="auto"/>
        <w:bottom w:val="none" w:sz="0" w:space="0" w:color="auto"/>
        <w:right w:val="none" w:sz="0" w:space="0" w:color="auto"/>
      </w:divBdr>
    </w:div>
    <w:div w:id="623459641">
      <w:bodyDiv w:val="1"/>
      <w:marLeft w:val="0"/>
      <w:marRight w:val="0"/>
      <w:marTop w:val="0"/>
      <w:marBottom w:val="0"/>
      <w:divBdr>
        <w:top w:val="none" w:sz="0" w:space="0" w:color="auto"/>
        <w:left w:val="none" w:sz="0" w:space="0" w:color="auto"/>
        <w:bottom w:val="none" w:sz="0" w:space="0" w:color="auto"/>
        <w:right w:val="none" w:sz="0" w:space="0" w:color="auto"/>
      </w:divBdr>
    </w:div>
    <w:div w:id="623463890">
      <w:bodyDiv w:val="1"/>
      <w:marLeft w:val="0"/>
      <w:marRight w:val="0"/>
      <w:marTop w:val="0"/>
      <w:marBottom w:val="0"/>
      <w:divBdr>
        <w:top w:val="none" w:sz="0" w:space="0" w:color="auto"/>
        <w:left w:val="none" w:sz="0" w:space="0" w:color="auto"/>
        <w:bottom w:val="none" w:sz="0" w:space="0" w:color="auto"/>
        <w:right w:val="none" w:sz="0" w:space="0" w:color="auto"/>
      </w:divBdr>
    </w:div>
    <w:div w:id="623467422">
      <w:bodyDiv w:val="1"/>
      <w:marLeft w:val="0"/>
      <w:marRight w:val="0"/>
      <w:marTop w:val="0"/>
      <w:marBottom w:val="0"/>
      <w:divBdr>
        <w:top w:val="none" w:sz="0" w:space="0" w:color="auto"/>
        <w:left w:val="none" w:sz="0" w:space="0" w:color="auto"/>
        <w:bottom w:val="none" w:sz="0" w:space="0" w:color="auto"/>
        <w:right w:val="none" w:sz="0" w:space="0" w:color="auto"/>
      </w:divBdr>
    </w:div>
    <w:div w:id="623537713">
      <w:bodyDiv w:val="1"/>
      <w:marLeft w:val="0"/>
      <w:marRight w:val="0"/>
      <w:marTop w:val="0"/>
      <w:marBottom w:val="0"/>
      <w:divBdr>
        <w:top w:val="none" w:sz="0" w:space="0" w:color="auto"/>
        <w:left w:val="none" w:sz="0" w:space="0" w:color="auto"/>
        <w:bottom w:val="none" w:sz="0" w:space="0" w:color="auto"/>
        <w:right w:val="none" w:sz="0" w:space="0" w:color="auto"/>
      </w:divBdr>
    </w:div>
    <w:div w:id="623541414">
      <w:bodyDiv w:val="1"/>
      <w:marLeft w:val="0"/>
      <w:marRight w:val="0"/>
      <w:marTop w:val="0"/>
      <w:marBottom w:val="0"/>
      <w:divBdr>
        <w:top w:val="none" w:sz="0" w:space="0" w:color="auto"/>
        <w:left w:val="none" w:sz="0" w:space="0" w:color="auto"/>
        <w:bottom w:val="none" w:sz="0" w:space="0" w:color="auto"/>
        <w:right w:val="none" w:sz="0" w:space="0" w:color="auto"/>
      </w:divBdr>
    </w:div>
    <w:div w:id="623655613">
      <w:bodyDiv w:val="1"/>
      <w:marLeft w:val="0"/>
      <w:marRight w:val="0"/>
      <w:marTop w:val="0"/>
      <w:marBottom w:val="0"/>
      <w:divBdr>
        <w:top w:val="none" w:sz="0" w:space="0" w:color="auto"/>
        <w:left w:val="none" w:sz="0" w:space="0" w:color="auto"/>
        <w:bottom w:val="none" w:sz="0" w:space="0" w:color="auto"/>
        <w:right w:val="none" w:sz="0" w:space="0" w:color="auto"/>
      </w:divBdr>
    </w:div>
    <w:div w:id="623732847">
      <w:bodyDiv w:val="1"/>
      <w:marLeft w:val="0"/>
      <w:marRight w:val="0"/>
      <w:marTop w:val="0"/>
      <w:marBottom w:val="0"/>
      <w:divBdr>
        <w:top w:val="none" w:sz="0" w:space="0" w:color="auto"/>
        <w:left w:val="none" w:sz="0" w:space="0" w:color="auto"/>
        <w:bottom w:val="none" w:sz="0" w:space="0" w:color="auto"/>
        <w:right w:val="none" w:sz="0" w:space="0" w:color="auto"/>
      </w:divBdr>
    </w:div>
    <w:div w:id="623735671">
      <w:bodyDiv w:val="1"/>
      <w:marLeft w:val="0"/>
      <w:marRight w:val="0"/>
      <w:marTop w:val="0"/>
      <w:marBottom w:val="0"/>
      <w:divBdr>
        <w:top w:val="none" w:sz="0" w:space="0" w:color="auto"/>
        <w:left w:val="none" w:sz="0" w:space="0" w:color="auto"/>
        <w:bottom w:val="none" w:sz="0" w:space="0" w:color="auto"/>
        <w:right w:val="none" w:sz="0" w:space="0" w:color="auto"/>
      </w:divBdr>
    </w:div>
    <w:div w:id="623736341">
      <w:bodyDiv w:val="1"/>
      <w:marLeft w:val="0"/>
      <w:marRight w:val="0"/>
      <w:marTop w:val="0"/>
      <w:marBottom w:val="0"/>
      <w:divBdr>
        <w:top w:val="none" w:sz="0" w:space="0" w:color="auto"/>
        <w:left w:val="none" w:sz="0" w:space="0" w:color="auto"/>
        <w:bottom w:val="none" w:sz="0" w:space="0" w:color="auto"/>
        <w:right w:val="none" w:sz="0" w:space="0" w:color="auto"/>
      </w:divBdr>
    </w:div>
    <w:div w:id="623772573">
      <w:bodyDiv w:val="1"/>
      <w:marLeft w:val="0"/>
      <w:marRight w:val="0"/>
      <w:marTop w:val="0"/>
      <w:marBottom w:val="0"/>
      <w:divBdr>
        <w:top w:val="none" w:sz="0" w:space="0" w:color="auto"/>
        <w:left w:val="none" w:sz="0" w:space="0" w:color="auto"/>
        <w:bottom w:val="none" w:sz="0" w:space="0" w:color="auto"/>
        <w:right w:val="none" w:sz="0" w:space="0" w:color="auto"/>
      </w:divBdr>
    </w:div>
    <w:div w:id="623921353">
      <w:bodyDiv w:val="1"/>
      <w:marLeft w:val="0"/>
      <w:marRight w:val="0"/>
      <w:marTop w:val="0"/>
      <w:marBottom w:val="0"/>
      <w:divBdr>
        <w:top w:val="none" w:sz="0" w:space="0" w:color="auto"/>
        <w:left w:val="none" w:sz="0" w:space="0" w:color="auto"/>
        <w:bottom w:val="none" w:sz="0" w:space="0" w:color="auto"/>
        <w:right w:val="none" w:sz="0" w:space="0" w:color="auto"/>
      </w:divBdr>
    </w:div>
    <w:div w:id="624114671">
      <w:bodyDiv w:val="1"/>
      <w:marLeft w:val="0"/>
      <w:marRight w:val="0"/>
      <w:marTop w:val="0"/>
      <w:marBottom w:val="0"/>
      <w:divBdr>
        <w:top w:val="none" w:sz="0" w:space="0" w:color="auto"/>
        <w:left w:val="none" w:sz="0" w:space="0" w:color="auto"/>
        <w:bottom w:val="none" w:sz="0" w:space="0" w:color="auto"/>
        <w:right w:val="none" w:sz="0" w:space="0" w:color="auto"/>
      </w:divBdr>
    </w:div>
    <w:div w:id="624117298">
      <w:bodyDiv w:val="1"/>
      <w:marLeft w:val="0"/>
      <w:marRight w:val="0"/>
      <w:marTop w:val="0"/>
      <w:marBottom w:val="0"/>
      <w:divBdr>
        <w:top w:val="none" w:sz="0" w:space="0" w:color="auto"/>
        <w:left w:val="none" w:sz="0" w:space="0" w:color="auto"/>
        <w:bottom w:val="none" w:sz="0" w:space="0" w:color="auto"/>
        <w:right w:val="none" w:sz="0" w:space="0" w:color="auto"/>
      </w:divBdr>
    </w:div>
    <w:div w:id="624119099">
      <w:bodyDiv w:val="1"/>
      <w:marLeft w:val="0"/>
      <w:marRight w:val="0"/>
      <w:marTop w:val="0"/>
      <w:marBottom w:val="0"/>
      <w:divBdr>
        <w:top w:val="none" w:sz="0" w:space="0" w:color="auto"/>
        <w:left w:val="none" w:sz="0" w:space="0" w:color="auto"/>
        <w:bottom w:val="none" w:sz="0" w:space="0" w:color="auto"/>
        <w:right w:val="none" w:sz="0" w:space="0" w:color="auto"/>
      </w:divBdr>
    </w:div>
    <w:div w:id="624165848">
      <w:bodyDiv w:val="1"/>
      <w:marLeft w:val="0"/>
      <w:marRight w:val="0"/>
      <w:marTop w:val="0"/>
      <w:marBottom w:val="0"/>
      <w:divBdr>
        <w:top w:val="none" w:sz="0" w:space="0" w:color="auto"/>
        <w:left w:val="none" w:sz="0" w:space="0" w:color="auto"/>
        <w:bottom w:val="none" w:sz="0" w:space="0" w:color="auto"/>
        <w:right w:val="none" w:sz="0" w:space="0" w:color="auto"/>
      </w:divBdr>
    </w:div>
    <w:div w:id="624308058">
      <w:bodyDiv w:val="1"/>
      <w:marLeft w:val="0"/>
      <w:marRight w:val="0"/>
      <w:marTop w:val="0"/>
      <w:marBottom w:val="0"/>
      <w:divBdr>
        <w:top w:val="none" w:sz="0" w:space="0" w:color="auto"/>
        <w:left w:val="none" w:sz="0" w:space="0" w:color="auto"/>
        <w:bottom w:val="none" w:sz="0" w:space="0" w:color="auto"/>
        <w:right w:val="none" w:sz="0" w:space="0" w:color="auto"/>
      </w:divBdr>
    </w:div>
    <w:div w:id="624385827">
      <w:bodyDiv w:val="1"/>
      <w:marLeft w:val="0"/>
      <w:marRight w:val="0"/>
      <w:marTop w:val="0"/>
      <w:marBottom w:val="0"/>
      <w:divBdr>
        <w:top w:val="none" w:sz="0" w:space="0" w:color="auto"/>
        <w:left w:val="none" w:sz="0" w:space="0" w:color="auto"/>
        <w:bottom w:val="none" w:sz="0" w:space="0" w:color="auto"/>
        <w:right w:val="none" w:sz="0" w:space="0" w:color="auto"/>
      </w:divBdr>
    </w:div>
    <w:div w:id="624389145">
      <w:bodyDiv w:val="1"/>
      <w:marLeft w:val="0"/>
      <w:marRight w:val="0"/>
      <w:marTop w:val="0"/>
      <w:marBottom w:val="0"/>
      <w:divBdr>
        <w:top w:val="none" w:sz="0" w:space="0" w:color="auto"/>
        <w:left w:val="none" w:sz="0" w:space="0" w:color="auto"/>
        <w:bottom w:val="none" w:sz="0" w:space="0" w:color="auto"/>
        <w:right w:val="none" w:sz="0" w:space="0" w:color="auto"/>
      </w:divBdr>
    </w:div>
    <w:div w:id="624390673">
      <w:bodyDiv w:val="1"/>
      <w:marLeft w:val="0"/>
      <w:marRight w:val="0"/>
      <w:marTop w:val="0"/>
      <w:marBottom w:val="0"/>
      <w:divBdr>
        <w:top w:val="none" w:sz="0" w:space="0" w:color="auto"/>
        <w:left w:val="none" w:sz="0" w:space="0" w:color="auto"/>
        <w:bottom w:val="none" w:sz="0" w:space="0" w:color="auto"/>
        <w:right w:val="none" w:sz="0" w:space="0" w:color="auto"/>
      </w:divBdr>
    </w:div>
    <w:div w:id="624392027">
      <w:bodyDiv w:val="1"/>
      <w:marLeft w:val="0"/>
      <w:marRight w:val="0"/>
      <w:marTop w:val="0"/>
      <w:marBottom w:val="0"/>
      <w:divBdr>
        <w:top w:val="none" w:sz="0" w:space="0" w:color="auto"/>
        <w:left w:val="none" w:sz="0" w:space="0" w:color="auto"/>
        <w:bottom w:val="none" w:sz="0" w:space="0" w:color="auto"/>
        <w:right w:val="none" w:sz="0" w:space="0" w:color="auto"/>
      </w:divBdr>
    </w:div>
    <w:div w:id="624433748">
      <w:bodyDiv w:val="1"/>
      <w:marLeft w:val="0"/>
      <w:marRight w:val="0"/>
      <w:marTop w:val="0"/>
      <w:marBottom w:val="0"/>
      <w:divBdr>
        <w:top w:val="none" w:sz="0" w:space="0" w:color="auto"/>
        <w:left w:val="none" w:sz="0" w:space="0" w:color="auto"/>
        <w:bottom w:val="none" w:sz="0" w:space="0" w:color="auto"/>
        <w:right w:val="none" w:sz="0" w:space="0" w:color="auto"/>
      </w:divBdr>
    </w:div>
    <w:div w:id="624435583">
      <w:bodyDiv w:val="1"/>
      <w:marLeft w:val="0"/>
      <w:marRight w:val="0"/>
      <w:marTop w:val="0"/>
      <w:marBottom w:val="0"/>
      <w:divBdr>
        <w:top w:val="none" w:sz="0" w:space="0" w:color="auto"/>
        <w:left w:val="none" w:sz="0" w:space="0" w:color="auto"/>
        <w:bottom w:val="none" w:sz="0" w:space="0" w:color="auto"/>
        <w:right w:val="none" w:sz="0" w:space="0" w:color="auto"/>
      </w:divBdr>
    </w:div>
    <w:div w:id="624508319">
      <w:bodyDiv w:val="1"/>
      <w:marLeft w:val="0"/>
      <w:marRight w:val="0"/>
      <w:marTop w:val="0"/>
      <w:marBottom w:val="0"/>
      <w:divBdr>
        <w:top w:val="none" w:sz="0" w:space="0" w:color="auto"/>
        <w:left w:val="none" w:sz="0" w:space="0" w:color="auto"/>
        <w:bottom w:val="none" w:sz="0" w:space="0" w:color="auto"/>
        <w:right w:val="none" w:sz="0" w:space="0" w:color="auto"/>
      </w:divBdr>
    </w:div>
    <w:div w:id="624508754">
      <w:bodyDiv w:val="1"/>
      <w:marLeft w:val="0"/>
      <w:marRight w:val="0"/>
      <w:marTop w:val="0"/>
      <w:marBottom w:val="0"/>
      <w:divBdr>
        <w:top w:val="none" w:sz="0" w:space="0" w:color="auto"/>
        <w:left w:val="none" w:sz="0" w:space="0" w:color="auto"/>
        <w:bottom w:val="none" w:sz="0" w:space="0" w:color="auto"/>
        <w:right w:val="none" w:sz="0" w:space="0" w:color="auto"/>
      </w:divBdr>
    </w:div>
    <w:div w:id="624586084">
      <w:bodyDiv w:val="1"/>
      <w:marLeft w:val="0"/>
      <w:marRight w:val="0"/>
      <w:marTop w:val="0"/>
      <w:marBottom w:val="0"/>
      <w:divBdr>
        <w:top w:val="none" w:sz="0" w:space="0" w:color="auto"/>
        <w:left w:val="none" w:sz="0" w:space="0" w:color="auto"/>
        <w:bottom w:val="none" w:sz="0" w:space="0" w:color="auto"/>
        <w:right w:val="none" w:sz="0" w:space="0" w:color="auto"/>
      </w:divBdr>
    </w:div>
    <w:div w:id="624586236">
      <w:bodyDiv w:val="1"/>
      <w:marLeft w:val="0"/>
      <w:marRight w:val="0"/>
      <w:marTop w:val="0"/>
      <w:marBottom w:val="0"/>
      <w:divBdr>
        <w:top w:val="none" w:sz="0" w:space="0" w:color="auto"/>
        <w:left w:val="none" w:sz="0" w:space="0" w:color="auto"/>
        <w:bottom w:val="none" w:sz="0" w:space="0" w:color="auto"/>
        <w:right w:val="none" w:sz="0" w:space="0" w:color="auto"/>
      </w:divBdr>
    </w:div>
    <w:div w:id="624624377">
      <w:bodyDiv w:val="1"/>
      <w:marLeft w:val="0"/>
      <w:marRight w:val="0"/>
      <w:marTop w:val="0"/>
      <w:marBottom w:val="0"/>
      <w:divBdr>
        <w:top w:val="none" w:sz="0" w:space="0" w:color="auto"/>
        <w:left w:val="none" w:sz="0" w:space="0" w:color="auto"/>
        <w:bottom w:val="none" w:sz="0" w:space="0" w:color="auto"/>
        <w:right w:val="none" w:sz="0" w:space="0" w:color="auto"/>
      </w:divBdr>
    </w:div>
    <w:div w:id="624626910">
      <w:bodyDiv w:val="1"/>
      <w:marLeft w:val="0"/>
      <w:marRight w:val="0"/>
      <w:marTop w:val="0"/>
      <w:marBottom w:val="0"/>
      <w:divBdr>
        <w:top w:val="none" w:sz="0" w:space="0" w:color="auto"/>
        <w:left w:val="none" w:sz="0" w:space="0" w:color="auto"/>
        <w:bottom w:val="none" w:sz="0" w:space="0" w:color="auto"/>
        <w:right w:val="none" w:sz="0" w:space="0" w:color="auto"/>
      </w:divBdr>
    </w:div>
    <w:div w:id="624848109">
      <w:bodyDiv w:val="1"/>
      <w:marLeft w:val="0"/>
      <w:marRight w:val="0"/>
      <w:marTop w:val="0"/>
      <w:marBottom w:val="0"/>
      <w:divBdr>
        <w:top w:val="none" w:sz="0" w:space="0" w:color="auto"/>
        <w:left w:val="none" w:sz="0" w:space="0" w:color="auto"/>
        <w:bottom w:val="none" w:sz="0" w:space="0" w:color="auto"/>
        <w:right w:val="none" w:sz="0" w:space="0" w:color="auto"/>
      </w:divBdr>
    </w:div>
    <w:div w:id="624849452">
      <w:bodyDiv w:val="1"/>
      <w:marLeft w:val="0"/>
      <w:marRight w:val="0"/>
      <w:marTop w:val="0"/>
      <w:marBottom w:val="0"/>
      <w:divBdr>
        <w:top w:val="none" w:sz="0" w:space="0" w:color="auto"/>
        <w:left w:val="none" w:sz="0" w:space="0" w:color="auto"/>
        <w:bottom w:val="none" w:sz="0" w:space="0" w:color="auto"/>
        <w:right w:val="none" w:sz="0" w:space="0" w:color="auto"/>
      </w:divBdr>
    </w:div>
    <w:div w:id="624891529">
      <w:bodyDiv w:val="1"/>
      <w:marLeft w:val="0"/>
      <w:marRight w:val="0"/>
      <w:marTop w:val="0"/>
      <w:marBottom w:val="0"/>
      <w:divBdr>
        <w:top w:val="none" w:sz="0" w:space="0" w:color="auto"/>
        <w:left w:val="none" w:sz="0" w:space="0" w:color="auto"/>
        <w:bottom w:val="none" w:sz="0" w:space="0" w:color="auto"/>
        <w:right w:val="none" w:sz="0" w:space="0" w:color="auto"/>
      </w:divBdr>
    </w:div>
    <w:div w:id="624894385">
      <w:bodyDiv w:val="1"/>
      <w:marLeft w:val="0"/>
      <w:marRight w:val="0"/>
      <w:marTop w:val="0"/>
      <w:marBottom w:val="0"/>
      <w:divBdr>
        <w:top w:val="none" w:sz="0" w:space="0" w:color="auto"/>
        <w:left w:val="none" w:sz="0" w:space="0" w:color="auto"/>
        <w:bottom w:val="none" w:sz="0" w:space="0" w:color="auto"/>
        <w:right w:val="none" w:sz="0" w:space="0" w:color="auto"/>
      </w:divBdr>
    </w:div>
    <w:div w:id="625039136">
      <w:bodyDiv w:val="1"/>
      <w:marLeft w:val="0"/>
      <w:marRight w:val="0"/>
      <w:marTop w:val="0"/>
      <w:marBottom w:val="0"/>
      <w:divBdr>
        <w:top w:val="none" w:sz="0" w:space="0" w:color="auto"/>
        <w:left w:val="none" w:sz="0" w:space="0" w:color="auto"/>
        <w:bottom w:val="none" w:sz="0" w:space="0" w:color="auto"/>
        <w:right w:val="none" w:sz="0" w:space="0" w:color="auto"/>
      </w:divBdr>
    </w:div>
    <w:div w:id="625040946">
      <w:bodyDiv w:val="1"/>
      <w:marLeft w:val="0"/>
      <w:marRight w:val="0"/>
      <w:marTop w:val="0"/>
      <w:marBottom w:val="0"/>
      <w:divBdr>
        <w:top w:val="none" w:sz="0" w:space="0" w:color="auto"/>
        <w:left w:val="none" w:sz="0" w:space="0" w:color="auto"/>
        <w:bottom w:val="none" w:sz="0" w:space="0" w:color="auto"/>
        <w:right w:val="none" w:sz="0" w:space="0" w:color="auto"/>
      </w:divBdr>
    </w:div>
    <w:div w:id="625044758">
      <w:bodyDiv w:val="1"/>
      <w:marLeft w:val="0"/>
      <w:marRight w:val="0"/>
      <w:marTop w:val="0"/>
      <w:marBottom w:val="0"/>
      <w:divBdr>
        <w:top w:val="none" w:sz="0" w:space="0" w:color="auto"/>
        <w:left w:val="none" w:sz="0" w:space="0" w:color="auto"/>
        <w:bottom w:val="none" w:sz="0" w:space="0" w:color="auto"/>
        <w:right w:val="none" w:sz="0" w:space="0" w:color="auto"/>
      </w:divBdr>
    </w:div>
    <w:div w:id="625164639">
      <w:bodyDiv w:val="1"/>
      <w:marLeft w:val="0"/>
      <w:marRight w:val="0"/>
      <w:marTop w:val="0"/>
      <w:marBottom w:val="0"/>
      <w:divBdr>
        <w:top w:val="none" w:sz="0" w:space="0" w:color="auto"/>
        <w:left w:val="none" w:sz="0" w:space="0" w:color="auto"/>
        <w:bottom w:val="none" w:sz="0" w:space="0" w:color="auto"/>
        <w:right w:val="none" w:sz="0" w:space="0" w:color="auto"/>
      </w:divBdr>
    </w:div>
    <w:div w:id="625351875">
      <w:bodyDiv w:val="1"/>
      <w:marLeft w:val="0"/>
      <w:marRight w:val="0"/>
      <w:marTop w:val="0"/>
      <w:marBottom w:val="0"/>
      <w:divBdr>
        <w:top w:val="none" w:sz="0" w:space="0" w:color="auto"/>
        <w:left w:val="none" w:sz="0" w:space="0" w:color="auto"/>
        <w:bottom w:val="none" w:sz="0" w:space="0" w:color="auto"/>
        <w:right w:val="none" w:sz="0" w:space="0" w:color="auto"/>
      </w:divBdr>
    </w:div>
    <w:div w:id="625428693">
      <w:bodyDiv w:val="1"/>
      <w:marLeft w:val="0"/>
      <w:marRight w:val="0"/>
      <w:marTop w:val="0"/>
      <w:marBottom w:val="0"/>
      <w:divBdr>
        <w:top w:val="none" w:sz="0" w:space="0" w:color="auto"/>
        <w:left w:val="none" w:sz="0" w:space="0" w:color="auto"/>
        <w:bottom w:val="none" w:sz="0" w:space="0" w:color="auto"/>
        <w:right w:val="none" w:sz="0" w:space="0" w:color="auto"/>
      </w:divBdr>
    </w:div>
    <w:div w:id="625429368">
      <w:bodyDiv w:val="1"/>
      <w:marLeft w:val="0"/>
      <w:marRight w:val="0"/>
      <w:marTop w:val="0"/>
      <w:marBottom w:val="0"/>
      <w:divBdr>
        <w:top w:val="none" w:sz="0" w:space="0" w:color="auto"/>
        <w:left w:val="none" w:sz="0" w:space="0" w:color="auto"/>
        <w:bottom w:val="none" w:sz="0" w:space="0" w:color="auto"/>
        <w:right w:val="none" w:sz="0" w:space="0" w:color="auto"/>
      </w:divBdr>
    </w:div>
    <w:div w:id="625739231">
      <w:bodyDiv w:val="1"/>
      <w:marLeft w:val="0"/>
      <w:marRight w:val="0"/>
      <w:marTop w:val="0"/>
      <w:marBottom w:val="0"/>
      <w:divBdr>
        <w:top w:val="none" w:sz="0" w:space="0" w:color="auto"/>
        <w:left w:val="none" w:sz="0" w:space="0" w:color="auto"/>
        <w:bottom w:val="none" w:sz="0" w:space="0" w:color="auto"/>
        <w:right w:val="none" w:sz="0" w:space="0" w:color="auto"/>
      </w:divBdr>
    </w:div>
    <w:div w:id="625744829">
      <w:bodyDiv w:val="1"/>
      <w:marLeft w:val="0"/>
      <w:marRight w:val="0"/>
      <w:marTop w:val="0"/>
      <w:marBottom w:val="0"/>
      <w:divBdr>
        <w:top w:val="none" w:sz="0" w:space="0" w:color="auto"/>
        <w:left w:val="none" w:sz="0" w:space="0" w:color="auto"/>
        <w:bottom w:val="none" w:sz="0" w:space="0" w:color="auto"/>
        <w:right w:val="none" w:sz="0" w:space="0" w:color="auto"/>
      </w:divBdr>
    </w:div>
    <w:div w:id="625770405">
      <w:bodyDiv w:val="1"/>
      <w:marLeft w:val="0"/>
      <w:marRight w:val="0"/>
      <w:marTop w:val="0"/>
      <w:marBottom w:val="0"/>
      <w:divBdr>
        <w:top w:val="none" w:sz="0" w:space="0" w:color="auto"/>
        <w:left w:val="none" w:sz="0" w:space="0" w:color="auto"/>
        <w:bottom w:val="none" w:sz="0" w:space="0" w:color="auto"/>
        <w:right w:val="none" w:sz="0" w:space="0" w:color="auto"/>
      </w:divBdr>
    </w:div>
    <w:div w:id="625890559">
      <w:bodyDiv w:val="1"/>
      <w:marLeft w:val="0"/>
      <w:marRight w:val="0"/>
      <w:marTop w:val="0"/>
      <w:marBottom w:val="0"/>
      <w:divBdr>
        <w:top w:val="none" w:sz="0" w:space="0" w:color="auto"/>
        <w:left w:val="none" w:sz="0" w:space="0" w:color="auto"/>
        <w:bottom w:val="none" w:sz="0" w:space="0" w:color="auto"/>
        <w:right w:val="none" w:sz="0" w:space="0" w:color="auto"/>
      </w:divBdr>
    </w:div>
    <w:div w:id="625890878">
      <w:bodyDiv w:val="1"/>
      <w:marLeft w:val="0"/>
      <w:marRight w:val="0"/>
      <w:marTop w:val="0"/>
      <w:marBottom w:val="0"/>
      <w:divBdr>
        <w:top w:val="none" w:sz="0" w:space="0" w:color="auto"/>
        <w:left w:val="none" w:sz="0" w:space="0" w:color="auto"/>
        <w:bottom w:val="none" w:sz="0" w:space="0" w:color="auto"/>
        <w:right w:val="none" w:sz="0" w:space="0" w:color="auto"/>
      </w:divBdr>
    </w:div>
    <w:div w:id="625937240">
      <w:bodyDiv w:val="1"/>
      <w:marLeft w:val="0"/>
      <w:marRight w:val="0"/>
      <w:marTop w:val="0"/>
      <w:marBottom w:val="0"/>
      <w:divBdr>
        <w:top w:val="none" w:sz="0" w:space="0" w:color="auto"/>
        <w:left w:val="none" w:sz="0" w:space="0" w:color="auto"/>
        <w:bottom w:val="none" w:sz="0" w:space="0" w:color="auto"/>
        <w:right w:val="none" w:sz="0" w:space="0" w:color="auto"/>
      </w:divBdr>
    </w:div>
    <w:div w:id="625938385">
      <w:bodyDiv w:val="1"/>
      <w:marLeft w:val="0"/>
      <w:marRight w:val="0"/>
      <w:marTop w:val="0"/>
      <w:marBottom w:val="0"/>
      <w:divBdr>
        <w:top w:val="none" w:sz="0" w:space="0" w:color="auto"/>
        <w:left w:val="none" w:sz="0" w:space="0" w:color="auto"/>
        <w:bottom w:val="none" w:sz="0" w:space="0" w:color="auto"/>
        <w:right w:val="none" w:sz="0" w:space="0" w:color="auto"/>
      </w:divBdr>
    </w:div>
    <w:div w:id="626160520">
      <w:bodyDiv w:val="1"/>
      <w:marLeft w:val="0"/>
      <w:marRight w:val="0"/>
      <w:marTop w:val="0"/>
      <w:marBottom w:val="0"/>
      <w:divBdr>
        <w:top w:val="none" w:sz="0" w:space="0" w:color="auto"/>
        <w:left w:val="none" w:sz="0" w:space="0" w:color="auto"/>
        <w:bottom w:val="none" w:sz="0" w:space="0" w:color="auto"/>
        <w:right w:val="none" w:sz="0" w:space="0" w:color="auto"/>
      </w:divBdr>
    </w:div>
    <w:div w:id="626275798">
      <w:bodyDiv w:val="1"/>
      <w:marLeft w:val="0"/>
      <w:marRight w:val="0"/>
      <w:marTop w:val="0"/>
      <w:marBottom w:val="0"/>
      <w:divBdr>
        <w:top w:val="none" w:sz="0" w:space="0" w:color="auto"/>
        <w:left w:val="none" w:sz="0" w:space="0" w:color="auto"/>
        <w:bottom w:val="none" w:sz="0" w:space="0" w:color="auto"/>
        <w:right w:val="none" w:sz="0" w:space="0" w:color="auto"/>
      </w:divBdr>
    </w:div>
    <w:div w:id="626283287">
      <w:bodyDiv w:val="1"/>
      <w:marLeft w:val="0"/>
      <w:marRight w:val="0"/>
      <w:marTop w:val="0"/>
      <w:marBottom w:val="0"/>
      <w:divBdr>
        <w:top w:val="none" w:sz="0" w:space="0" w:color="auto"/>
        <w:left w:val="none" w:sz="0" w:space="0" w:color="auto"/>
        <w:bottom w:val="none" w:sz="0" w:space="0" w:color="auto"/>
        <w:right w:val="none" w:sz="0" w:space="0" w:color="auto"/>
      </w:divBdr>
    </w:div>
    <w:div w:id="626352243">
      <w:bodyDiv w:val="1"/>
      <w:marLeft w:val="0"/>
      <w:marRight w:val="0"/>
      <w:marTop w:val="0"/>
      <w:marBottom w:val="0"/>
      <w:divBdr>
        <w:top w:val="none" w:sz="0" w:space="0" w:color="auto"/>
        <w:left w:val="none" w:sz="0" w:space="0" w:color="auto"/>
        <w:bottom w:val="none" w:sz="0" w:space="0" w:color="auto"/>
        <w:right w:val="none" w:sz="0" w:space="0" w:color="auto"/>
      </w:divBdr>
    </w:div>
    <w:div w:id="626354813">
      <w:bodyDiv w:val="1"/>
      <w:marLeft w:val="0"/>
      <w:marRight w:val="0"/>
      <w:marTop w:val="0"/>
      <w:marBottom w:val="0"/>
      <w:divBdr>
        <w:top w:val="none" w:sz="0" w:space="0" w:color="auto"/>
        <w:left w:val="none" w:sz="0" w:space="0" w:color="auto"/>
        <w:bottom w:val="none" w:sz="0" w:space="0" w:color="auto"/>
        <w:right w:val="none" w:sz="0" w:space="0" w:color="auto"/>
      </w:divBdr>
    </w:div>
    <w:div w:id="626397845">
      <w:bodyDiv w:val="1"/>
      <w:marLeft w:val="0"/>
      <w:marRight w:val="0"/>
      <w:marTop w:val="0"/>
      <w:marBottom w:val="0"/>
      <w:divBdr>
        <w:top w:val="none" w:sz="0" w:space="0" w:color="auto"/>
        <w:left w:val="none" w:sz="0" w:space="0" w:color="auto"/>
        <w:bottom w:val="none" w:sz="0" w:space="0" w:color="auto"/>
        <w:right w:val="none" w:sz="0" w:space="0" w:color="auto"/>
      </w:divBdr>
    </w:div>
    <w:div w:id="626476496">
      <w:bodyDiv w:val="1"/>
      <w:marLeft w:val="0"/>
      <w:marRight w:val="0"/>
      <w:marTop w:val="0"/>
      <w:marBottom w:val="0"/>
      <w:divBdr>
        <w:top w:val="none" w:sz="0" w:space="0" w:color="auto"/>
        <w:left w:val="none" w:sz="0" w:space="0" w:color="auto"/>
        <w:bottom w:val="none" w:sz="0" w:space="0" w:color="auto"/>
        <w:right w:val="none" w:sz="0" w:space="0" w:color="auto"/>
      </w:divBdr>
    </w:div>
    <w:div w:id="626547275">
      <w:bodyDiv w:val="1"/>
      <w:marLeft w:val="0"/>
      <w:marRight w:val="0"/>
      <w:marTop w:val="0"/>
      <w:marBottom w:val="0"/>
      <w:divBdr>
        <w:top w:val="none" w:sz="0" w:space="0" w:color="auto"/>
        <w:left w:val="none" w:sz="0" w:space="0" w:color="auto"/>
        <w:bottom w:val="none" w:sz="0" w:space="0" w:color="auto"/>
        <w:right w:val="none" w:sz="0" w:space="0" w:color="auto"/>
      </w:divBdr>
    </w:div>
    <w:div w:id="626621336">
      <w:bodyDiv w:val="1"/>
      <w:marLeft w:val="0"/>
      <w:marRight w:val="0"/>
      <w:marTop w:val="0"/>
      <w:marBottom w:val="0"/>
      <w:divBdr>
        <w:top w:val="none" w:sz="0" w:space="0" w:color="auto"/>
        <w:left w:val="none" w:sz="0" w:space="0" w:color="auto"/>
        <w:bottom w:val="none" w:sz="0" w:space="0" w:color="auto"/>
        <w:right w:val="none" w:sz="0" w:space="0" w:color="auto"/>
      </w:divBdr>
    </w:div>
    <w:div w:id="626737951">
      <w:bodyDiv w:val="1"/>
      <w:marLeft w:val="0"/>
      <w:marRight w:val="0"/>
      <w:marTop w:val="0"/>
      <w:marBottom w:val="0"/>
      <w:divBdr>
        <w:top w:val="none" w:sz="0" w:space="0" w:color="auto"/>
        <w:left w:val="none" w:sz="0" w:space="0" w:color="auto"/>
        <w:bottom w:val="none" w:sz="0" w:space="0" w:color="auto"/>
        <w:right w:val="none" w:sz="0" w:space="0" w:color="auto"/>
      </w:divBdr>
    </w:div>
    <w:div w:id="626738897">
      <w:bodyDiv w:val="1"/>
      <w:marLeft w:val="0"/>
      <w:marRight w:val="0"/>
      <w:marTop w:val="0"/>
      <w:marBottom w:val="0"/>
      <w:divBdr>
        <w:top w:val="none" w:sz="0" w:space="0" w:color="auto"/>
        <w:left w:val="none" w:sz="0" w:space="0" w:color="auto"/>
        <w:bottom w:val="none" w:sz="0" w:space="0" w:color="auto"/>
        <w:right w:val="none" w:sz="0" w:space="0" w:color="auto"/>
      </w:divBdr>
    </w:div>
    <w:div w:id="627009884">
      <w:bodyDiv w:val="1"/>
      <w:marLeft w:val="0"/>
      <w:marRight w:val="0"/>
      <w:marTop w:val="0"/>
      <w:marBottom w:val="0"/>
      <w:divBdr>
        <w:top w:val="none" w:sz="0" w:space="0" w:color="auto"/>
        <w:left w:val="none" w:sz="0" w:space="0" w:color="auto"/>
        <w:bottom w:val="none" w:sz="0" w:space="0" w:color="auto"/>
        <w:right w:val="none" w:sz="0" w:space="0" w:color="auto"/>
      </w:divBdr>
    </w:div>
    <w:div w:id="627052147">
      <w:bodyDiv w:val="1"/>
      <w:marLeft w:val="0"/>
      <w:marRight w:val="0"/>
      <w:marTop w:val="0"/>
      <w:marBottom w:val="0"/>
      <w:divBdr>
        <w:top w:val="none" w:sz="0" w:space="0" w:color="auto"/>
        <w:left w:val="none" w:sz="0" w:space="0" w:color="auto"/>
        <w:bottom w:val="none" w:sz="0" w:space="0" w:color="auto"/>
        <w:right w:val="none" w:sz="0" w:space="0" w:color="auto"/>
      </w:divBdr>
    </w:div>
    <w:div w:id="627052198">
      <w:bodyDiv w:val="1"/>
      <w:marLeft w:val="0"/>
      <w:marRight w:val="0"/>
      <w:marTop w:val="0"/>
      <w:marBottom w:val="0"/>
      <w:divBdr>
        <w:top w:val="none" w:sz="0" w:space="0" w:color="auto"/>
        <w:left w:val="none" w:sz="0" w:space="0" w:color="auto"/>
        <w:bottom w:val="none" w:sz="0" w:space="0" w:color="auto"/>
        <w:right w:val="none" w:sz="0" w:space="0" w:color="auto"/>
      </w:divBdr>
    </w:div>
    <w:div w:id="627053684">
      <w:bodyDiv w:val="1"/>
      <w:marLeft w:val="0"/>
      <w:marRight w:val="0"/>
      <w:marTop w:val="0"/>
      <w:marBottom w:val="0"/>
      <w:divBdr>
        <w:top w:val="none" w:sz="0" w:space="0" w:color="auto"/>
        <w:left w:val="none" w:sz="0" w:space="0" w:color="auto"/>
        <w:bottom w:val="none" w:sz="0" w:space="0" w:color="auto"/>
        <w:right w:val="none" w:sz="0" w:space="0" w:color="auto"/>
      </w:divBdr>
    </w:div>
    <w:div w:id="627128844">
      <w:bodyDiv w:val="1"/>
      <w:marLeft w:val="0"/>
      <w:marRight w:val="0"/>
      <w:marTop w:val="0"/>
      <w:marBottom w:val="0"/>
      <w:divBdr>
        <w:top w:val="none" w:sz="0" w:space="0" w:color="auto"/>
        <w:left w:val="none" w:sz="0" w:space="0" w:color="auto"/>
        <w:bottom w:val="none" w:sz="0" w:space="0" w:color="auto"/>
        <w:right w:val="none" w:sz="0" w:space="0" w:color="auto"/>
      </w:divBdr>
    </w:div>
    <w:div w:id="627245929">
      <w:bodyDiv w:val="1"/>
      <w:marLeft w:val="0"/>
      <w:marRight w:val="0"/>
      <w:marTop w:val="0"/>
      <w:marBottom w:val="0"/>
      <w:divBdr>
        <w:top w:val="none" w:sz="0" w:space="0" w:color="auto"/>
        <w:left w:val="none" w:sz="0" w:space="0" w:color="auto"/>
        <w:bottom w:val="none" w:sz="0" w:space="0" w:color="auto"/>
        <w:right w:val="none" w:sz="0" w:space="0" w:color="auto"/>
      </w:divBdr>
    </w:div>
    <w:div w:id="627473662">
      <w:bodyDiv w:val="1"/>
      <w:marLeft w:val="0"/>
      <w:marRight w:val="0"/>
      <w:marTop w:val="0"/>
      <w:marBottom w:val="0"/>
      <w:divBdr>
        <w:top w:val="none" w:sz="0" w:space="0" w:color="auto"/>
        <w:left w:val="none" w:sz="0" w:space="0" w:color="auto"/>
        <w:bottom w:val="none" w:sz="0" w:space="0" w:color="auto"/>
        <w:right w:val="none" w:sz="0" w:space="0" w:color="auto"/>
      </w:divBdr>
    </w:div>
    <w:div w:id="627516685">
      <w:bodyDiv w:val="1"/>
      <w:marLeft w:val="0"/>
      <w:marRight w:val="0"/>
      <w:marTop w:val="0"/>
      <w:marBottom w:val="0"/>
      <w:divBdr>
        <w:top w:val="none" w:sz="0" w:space="0" w:color="auto"/>
        <w:left w:val="none" w:sz="0" w:space="0" w:color="auto"/>
        <w:bottom w:val="none" w:sz="0" w:space="0" w:color="auto"/>
        <w:right w:val="none" w:sz="0" w:space="0" w:color="auto"/>
      </w:divBdr>
    </w:div>
    <w:div w:id="627661236">
      <w:bodyDiv w:val="1"/>
      <w:marLeft w:val="0"/>
      <w:marRight w:val="0"/>
      <w:marTop w:val="0"/>
      <w:marBottom w:val="0"/>
      <w:divBdr>
        <w:top w:val="none" w:sz="0" w:space="0" w:color="auto"/>
        <w:left w:val="none" w:sz="0" w:space="0" w:color="auto"/>
        <w:bottom w:val="none" w:sz="0" w:space="0" w:color="auto"/>
        <w:right w:val="none" w:sz="0" w:space="0" w:color="auto"/>
      </w:divBdr>
    </w:div>
    <w:div w:id="627778608">
      <w:bodyDiv w:val="1"/>
      <w:marLeft w:val="0"/>
      <w:marRight w:val="0"/>
      <w:marTop w:val="0"/>
      <w:marBottom w:val="0"/>
      <w:divBdr>
        <w:top w:val="none" w:sz="0" w:space="0" w:color="auto"/>
        <w:left w:val="none" w:sz="0" w:space="0" w:color="auto"/>
        <w:bottom w:val="none" w:sz="0" w:space="0" w:color="auto"/>
        <w:right w:val="none" w:sz="0" w:space="0" w:color="auto"/>
      </w:divBdr>
    </w:div>
    <w:div w:id="627785092">
      <w:bodyDiv w:val="1"/>
      <w:marLeft w:val="0"/>
      <w:marRight w:val="0"/>
      <w:marTop w:val="0"/>
      <w:marBottom w:val="0"/>
      <w:divBdr>
        <w:top w:val="none" w:sz="0" w:space="0" w:color="auto"/>
        <w:left w:val="none" w:sz="0" w:space="0" w:color="auto"/>
        <w:bottom w:val="none" w:sz="0" w:space="0" w:color="auto"/>
        <w:right w:val="none" w:sz="0" w:space="0" w:color="auto"/>
      </w:divBdr>
    </w:div>
    <w:div w:id="627859484">
      <w:bodyDiv w:val="1"/>
      <w:marLeft w:val="0"/>
      <w:marRight w:val="0"/>
      <w:marTop w:val="0"/>
      <w:marBottom w:val="0"/>
      <w:divBdr>
        <w:top w:val="none" w:sz="0" w:space="0" w:color="auto"/>
        <w:left w:val="none" w:sz="0" w:space="0" w:color="auto"/>
        <w:bottom w:val="none" w:sz="0" w:space="0" w:color="auto"/>
        <w:right w:val="none" w:sz="0" w:space="0" w:color="auto"/>
      </w:divBdr>
    </w:div>
    <w:div w:id="628050012">
      <w:bodyDiv w:val="1"/>
      <w:marLeft w:val="0"/>
      <w:marRight w:val="0"/>
      <w:marTop w:val="0"/>
      <w:marBottom w:val="0"/>
      <w:divBdr>
        <w:top w:val="none" w:sz="0" w:space="0" w:color="auto"/>
        <w:left w:val="none" w:sz="0" w:space="0" w:color="auto"/>
        <w:bottom w:val="none" w:sz="0" w:space="0" w:color="auto"/>
        <w:right w:val="none" w:sz="0" w:space="0" w:color="auto"/>
      </w:divBdr>
    </w:div>
    <w:div w:id="628054747">
      <w:bodyDiv w:val="1"/>
      <w:marLeft w:val="0"/>
      <w:marRight w:val="0"/>
      <w:marTop w:val="0"/>
      <w:marBottom w:val="0"/>
      <w:divBdr>
        <w:top w:val="none" w:sz="0" w:space="0" w:color="auto"/>
        <w:left w:val="none" w:sz="0" w:space="0" w:color="auto"/>
        <w:bottom w:val="none" w:sz="0" w:space="0" w:color="auto"/>
        <w:right w:val="none" w:sz="0" w:space="0" w:color="auto"/>
      </w:divBdr>
    </w:div>
    <w:div w:id="628124097">
      <w:bodyDiv w:val="1"/>
      <w:marLeft w:val="0"/>
      <w:marRight w:val="0"/>
      <w:marTop w:val="0"/>
      <w:marBottom w:val="0"/>
      <w:divBdr>
        <w:top w:val="none" w:sz="0" w:space="0" w:color="auto"/>
        <w:left w:val="none" w:sz="0" w:space="0" w:color="auto"/>
        <w:bottom w:val="none" w:sz="0" w:space="0" w:color="auto"/>
        <w:right w:val="none" w:sz="0" w:space="0" w:color="auto"/>
      </w:divBdr>
    </w:div>
    <w:div w:id="628126545">
      <w:bodyDiv w:val="1"/>
      <w:marLeft w:val="0"/>
      <w:marRight w:val="0"/>
      <w:marTop w:val="0"/>
      <w:marBottom w:val="0"/>
      <w:divBdr>
        <w:top w:val="none" w:sz="0" w:space="0" w:color="auto"/>
        <w:left w:val="none" w:sz="0" w:space="0" w:color="auto"/>
        <w:bottom w:val="none" w:sz="0" w:space="0" w:color="auto"/>
        <w:right w:val="none" w:sz="0" w:space="0" w:color="auto"/>
      </w:divBdr>
    </w:div>
    <w:div w:id="628167377">
      <w:bodyDiv w:val="1"/>
      <w:marLeft w:val="0"/>
      <w:marRight w:val="0"/>
      <w:marTop w:val="0"/>
      <w:marBottom w:val="0"/>
      <w:divBdr>
        <w:top w:val="none" w:sz="0" w:space="0" w:color="auto"/>
        <w:left w:val="none" w:sz="0" w:space="0" w:color="auto"/>
        <w:bottom w:val="none" w:sz="0" w:space="0" w:color="auto"/>
        <w:right w:val="none" w:sz="0" w:space="0" w:color="auto"/>
      </w:divBdr>
    </w:div>
    <w:div w:id="628169447">
      <w:bodyDiv w:val="1"/>
      <w:marLeft w:val="0"/>
      <w:marRight w:val="0"/>
      <w:marTop w:val="0"/>
      <w:marBottom w:val="0"/>
      <w:divBdr>
        <w:top w:val="none" w:sz="0" w:space="0" w:color="auto"/>
        <w:left w:val="none" w:sz="0" w:space="0" w:color="auto"/>
        <w:bottom w:val="none" w:sz="0" w:space="0" w:color="auto"/>
        <w:right w:val="none" w:sz="0" w:space="0" w:color="auto"/>
      </w:divBdr>
    </w:div>
    <w:div w:id="628318884">
      <w:bodyDiv w:val="1"/>
      <w:marLeft w:val="0"/>
      <w:marRight w:val="0"/>
      <w:marTop w:val="0"/>
      <w:marBottom w:val="0"/>
      <w:divBdr>
        <w:top w:val="none" w:sz="0" w:space="0" w:color="auto"/>
        <w:left w:val="none" w:sz="0" w:space="0" w:color="auto"/>
        <w:bottom w:val="none" w:sz="0" w:space="0" w:color="auto"/>
        <w:right w:val="none" w:sz="0" w:space="0" w:color="auto"/>
      </w:divBdr>
    </w:div>
    <w:div w:id="628364997">
      <w:bodyDiv w:val="1"/>
      <w:marLeft w:val="0"/>
      <w:marRight w:val="0"/>
      <w:marTop w:val="0"/>
      <w:marBottom w:val="0"/>
      <w:divBdr>
        <w:top w:val="none" w:sz="0" w:space="0" w:color="auto"/>
        <w:left w:val="none" w:sz="0" w:space="0" w:color="auto"/>
        <w:bottom w:val="none" w:sz="0" w:space="0" w:color="auto"/>
        <w:right w:val="none" w:sz="0" w:space="0" w:color="auto"/>
      </w:divBdr>
    </w:div>
    <w:div w:id="628438033">
      <w:bodyDiv w:val="1"/>
      <w:marLeft w:val="0"/>
      <w:marRight w:val="0"/>
      <w:marTop w:val="0"/>
      <w:marBottom w:val="0"/>
      <w:divBdr>
        <w:top w:val="none" w:sz="0" w:space="0" w:color="auto"/>
        <w:left w:val="none" w:sz="0" w:space="0" w:color="auto"/>
        <w:bottom w:val="none" w:sz="0" w:space="0" w:color="auto"/>
        <w:right w:val="none" w:sz="0" w:space="0" w:color="auto"/>
      </w:divBdr>
    </w:div>
    <w:div w:id="628781617">
      <w:bodyDiv w:val="1"/>
      <w:marLeft w:val="0"/>
      <w:marRight w:val="0"/>
      <w:marTop w:val="0"/>
      <w:marBottom w:val="0"/>
      <w:divBdr>
        <w:top w:val="none" w:sz="0" w:space="0" w:color="auto"/>
        <w:left w:val="none" w:sz="0" w:space="0" w:color="auto"/>
        <w:bottom w:val="none" w:sz="0" w:space="0" w:color="auto"/>
        <w:right w:val="none" w:sz="0" w:space="0" w:color="auto"/>
      </w:divBdr>
    </w:div>
    <w:div w:id="628827157">
      <w:bodyDiv w:val="1"/>
      <w:marLeft w:val="0"/>
      <w:marRight w:val="0"/>
      <w:marTop w:val="0"/>
      <w:marBottom w:val="0"/>
      <w:divBdr>
        <w:top w:val="none" w:sz="0" w:space="0" w:color="auto"/>
        <w:left w:val="none" w:sz="0" w:space="0" w:color="auto"/>
        <w:bottom w:val="none" w:sz="0" w:space="0" w:color="auto"/>
        <w:right w:val="none" w:sz="0" w:space="0" w:color="auto"/>
      </w:divBdr>
    </w:div>
    <w:div w:id="628827494">
      <w:bodyDiv w:val="1"/>
      <w:marLeft w:val="0"/>
      <w:marRight w:val="0"/>
      <w:marTop w:val="0"/>
      <w:marBottom w:val="0"/>
      <w:divBdr>
        <w:top w:val="none" w:sz="0" w:space="0" w:color="auto"/>
        <w:left w:val="none" w:sz="0" w:space="0" w:color="auto"/>
        <w:bottom w:val="none" w:sz="0" w:space="0" w:color="auto"/>
        <w:right w:val="none" w:sz="0" w:space="0" w:color="auto"/>
      </w:divBdr>
    </w:div>
    <w:div w:id="628900086">
      <w:bodyDiv w:val="1"/>
      <w:marLeft w:val="0"/>
      <w:marRight w:val="0"/>
      <w:marTop w:val="0"/>
      <w:marBottom w:val="0"/>
      <w:divBdr>
        <w:top w:val="none" w:sz="0" w:space="0" w:color="auto"/>
        <w:left w:val="none" w:sz="0" w:space="0" w:color="auto"/>
        <w:bottom w:val="none" w:sz="0" w:space="0" w:color="auto"/>
        <w:right w:val="none" w:sz="0" w:space="0" w:color="auto"/>
      </w:divBdr>
    </w:div>
    <w:div w:id="628901378">
      <w:bodyDiv w:val="1"/>
      <w:marLeft w:val="0"/>
      <w:marRight w:val="0"/>
      <w:marTop w:val="0"/>
      <w:marBottom w:val="0"/>
      <w:divBdr>
        <w:top w:val="none" w:sz="0" w:space="0" w:color="auto"/>
        <w:left w:val="none" w:sz="0" w:space="0" w:color="auto"/>
        <w:bottom w:val="none" w:sz="0" w:space="0" w:color="auto"/>
        <w:right w:val="none" w:sz="0" w:space="0" w:color="auto"/>
      </w:divBdr>
    </w:div>
    <w:div w:id="629019742">
      <w:bodyDiv w:val="1"/>
      <w:marLeft w:val="0"/>
      <w:marRight w:val="0"/>
      <w:marTop w:val="0"/>
      <w:marBottom w:val="0"/>
      <w:divBdr>
        <w:top w:val="none" w:sz="0" w:space="0" w:color="auto"/>
        <w:left w:val="none" w:sz="0" w:space="0" w:color="auto"/>
        <w:bottom w:val="none" w:sz="0" w:space="0" w:color="auto"/>
        <w:right w:val="none" w:sz="0" w:space="0" w:color="auto"/>
      </w:divBdr>
    </w:div>
    <w:div w:id="629046840">
      <w:bodyDiv w:val="1"/>
      <w:marLeft w:val="0"/>
      <w:marRight w:val="0"/>
      <w:marTop w:val="0"/>
      <w:marBottom w:val="0"/>
      <w:divBdr>
        <w:top w:val="none" w:sz="0" w:space="0" w:color="auto"/>
        <w:left w:val="none" w:sz="0" w:space="0" w:color="auto"/>
        <w:bottom w:val="none" w:sz="0" w:space="0" w:color="auto"/>
        <w:right w:val="none" w:sz="0" w:space="0" w:color="auto"/>
      </w:divBdr>
    </w:div>
    <w:div w:id="629096554">
      <w:bodyDiv w:val="1"/>
      <w:marLeft w:val="0"/>
      <w:marRight w:val="0"/>
      <w:marTop w:val="0"/>
      <w:marBottom w:val="0"/>
      <w:divBdr>
        <w:top w:val="none" w:sz="0" w:space="0" w:color="auto"/>
        <w:left w:val="none" w:sz="0" w:space="0" w:color="auto"/>
        <w:bottom w:val="none" w:sz="0" w:space="0" w:color="auto"/>
        <w:right w:val="none" w:sz="0" w:space="0" w:color="auto"/>
      </w:divBdr>
    </w:div>
    <w:div w:id="629164340">
      <w:bodyDiv w:val="1"/>
      <w:marLeft w:val="0"/>
      <w:marRight w:val="0"/>
      <w:marTop w:val="0"/>
      <w:marBottom w:val="0"/>
      <w:divBdr>
        <w:top w:val="none" w:sz="0" w:space="0" w:color="auto"/>
        <w:left w:val="none" w:sz="0" w:space="0" w:color="auto"/>
        <w:bottom w:val="none" w:sz="0" w:space="0" w:color="auto"/>
        <w:right w:val="none" w:sz="0" w:space="0" w:color="auto"/>
      </w:divBdr>
    </w:div>
    <w:div w:id="629164748">
      <w:bodyDiv w:val="1"/>
      <w:marLeft w:val="0"/>
      <w:marRight w:val="0"/>
      <w:marTop w:val="0"/>
      <w:marBottom w:val="0"/>
      <w:divBdr>
        <w:top w:val="none" w:sz="0" w:space="0" w:color="auto"/>
        <w:left w:val="none" w:sz="0" w:space="0" w:color="auto"/>
        <w:bottom w:val="none" w:sz="0" w:space="0" w:color="auto"/>
        <w:right w:val="none" w:sz="0" w:space="0" w:color="auto"/>
      </w:divBdr>
    </w:div>
    <w:div w:id="629171258">
      <w:bodyDiv w:val="1"/>
      <w:marLeft w:val="0"/>
      <w:marRight w:val="0"/>
      <w:marTop w:val="0"/>
      <w:marBottom w:val="0"/>
      <w:divBdr>
        <w:top w:val="none" w:sz="0" w:space="0" w:color="auto"/>
        <w:left w:val="none" w:sz="0" w:space="0" w:color="auto"/>
        <w:bottom w:val="none" w:sz="0" w:space="0" w:color="auto"/>
        <w:right w:val="none" w:sz="0" w:space="0" w:color="auto"/>
      </w:divBdr>
    </w:div>
    <w:div w:id="629240355">
      <w:bodyDiv w:val="1"/>
      <w:marLeft w:val="0"/>
      <w:marRight w:val="0"/>
      <w:marTop w:val="0"/>
      <w:marBottom w:val="0"/>
      <w:divBdr>
        <w:top w:val="none" w:sz="0" w:space="0" w:color="auto"/>
        <w:left w:val="none" w:sz="0" w:space="0" w:color="auto"/>
        <w:bottom w:val="none" w:sz="0" w:space="0" w:color="auto"/>
        <w:right w:val="none" w:sz="0" w:space="0" w:color="auto"/>
      </w:divBdr>
    </w:div>
    <w:div w:id="629283684">
      <w:bodyDiv w:val="1"/>
      <w:marLeft w:val="0"/>
      <w:marRight w:val="0"/>
      <w:marTop w:val="0"/>
      <w:marBottom w:val="0"/>
      <w:divBdr>
        <w:top w:val="none" w:sz="0" w:space="0" w:color="auto"/>
        <w:left w:val="none" w:sz="0" w:space="0" w:color="auto"/>
        <w:bottom w:val="none" w:sz="0" w:space="0" w:color="auto"/>
        <w:right w:val="none" w:sz="0" w:space="0" w:color="auto"/>
      </w:divBdr>
    </w:div>
    <w:div w:id="629285049">
      <w:bodyDiv w:val="1"/>
      <w:marLeft w:val="0"/>
      <w:marRight w:val="0"/>
      <w:marTop w:val="0"/>
      <w:marBottom w:val="0"/>
      <w:divBdr>
        <w:top w:val="none" w:sz="0" w:space="0" w:color="auto"/>
        <w:left w:val="none" w:sz="0" w:space="0" w:color="auto"/>
        <w:bottom w:val="none" w:sz="0" w:space="0" w:color="auto"/>
        <w:right w:val="none" w:sz="0" w:space="0" w:color="auto"/>
      </w:divBdr>
    </w:div>
    <w:div w:id="629287527">
      <w:bodyDiv w:val="1"/>
      <w:marLeft w:val="0"/>
      <w:marRight w:val="0"/>
      <w:marTop w:val="0"/>
      <w:marBottom w:val="0"/>
      <w:divBdr>
        <w:top w:val="none" w:sz="0" w:space="0" w:color="auto"/>
        <w:left w:val="none" w:sz="0" w:space="0" w:color="auto"/>
        <w:bottom w:val="none" w:sz="0" w:space="0" w:color="auto"/>
        <w:right w:val="none" w:sz="0" w:space="0" w:color="auto"/>
      </w:divBdr>
    </w:div>
    <w:div w:id="629358426">
      <w:bodyDiv w:val="1"/>
      <w:marLeft w:val="0"/>
      <w:marRight w:val="0"/>
      <w:marTop w:val="0"/>
      <w:marBottom w:val="0"/>
      <w:divBdr>
        <w:top w:val="none" w:sz="0" w:space="0" w:color="auto"/>
        <w:left w:val="none" w:sz="0" w:space="0" w:color="auto"/>
        <w:bottom w:val="none" w:sz="0" w:space="0" w:color="auto"/>
        <w:right w:val="none" w:sz="0" w:space="0" w:color="auto"/>
      </w:divBdr>
    </w:div>
    <w:div w:id="629475293">
      <w:bodyDiv w:val="1"/>
      <w:marLeft w:val="0"/>
      <w:marRight w:val="0"/>
      <w:marTop w:val="0"/>
      <w:marBottom w:val="0"/>
      <w:divBdr>
        <w:top w:val="none" w:sz="0" w:space="0" w:color="auto"/>
        <w:left w:val="none" w:sz="0" w:space="0" w:color="auto"/>
        <w:bottom w:val="none" w:sz="0" w:space="0" w:color="auto"/>
        <w:right w:val="none" w:sz="0" w:space="0" w:color="auto"/>
      </w:divBdr>
    </w:div>
    <w:div w:id="629478169">
      <w:bodyDiv w:val="1"/>
      <w:marLeft w:val="0"/>
      <w:marRight w:val="0"/>
      <w:marTop w:val="0"/>
      <w:marBottom w:val="0"/>
      <w:divBdr>
        <w:top w:val="none" w:sz="0" w:space="0" w:color="auto"/>
        <w:left w:val="none" w:sz="0" w:space="0" w:color="auto"/>
        <w:bottom w:val="none" w:sz="0" w:space="0" w:color="auto"/>
        <w:right w:val="none" w:sz="0" w:space="0" w:color="auto"/>
      </w:divBdr>
    </w:div>
    <w:div w:id="629629799">
      <w:bodyDiv w:val="1"/>
      <w:marLeft w:val="0"/>
      <w:marRight w:val="0"/>
      <w:marTop w:val="0"/>
      <w:marBottom w:val="0"/>
      <w:divBdr>
        <w:top w:val="none" w:sz="0" w:space="0" w:color="auto"/>
        <w:left w:val="none" w:sz="0" w:space="0" w:color="auto"/>
        <w:bottom w:val="none" w:sz="0" w:space="0" w:color="auto"/>
        <w:right w:val="none" w:sz="0" w:space="0" w:color="auto"/>
      </w:divBdr>
    </w:div>
    <w:div w:id="629700973">
      <w:bodyDiv w:val="1"/>
      <w:marLeft w:val="0"/>
      <w:marRight w:val="0"/>
      <w:marTop w:val="0"/>
      <w:marBottom w:val="0"/>
      <w:divBdr>
        <w:top w:val="none" w:sz="0" w:space="0" w:color="auto"/>
        <w:left w:val="none" w:sz="0" w:space="0" w:color="auto"/>
        <w:bottom w:val="none" w:sz="0" w:space="0" w:color="auto"/>
        <w:right w:val="none" w:sz="0" w:space="0" w:color="auto"/>
      </w:divBdr>
    </w:div>
    <w:div w:id="629701445">
      <w:bodyDiv w:val="1"/>
      <w:marLeft w:val="0"/>
      <w:marRight w:val="0"/>
      <w:marTop w:val="0"/>
      <w:marBottom w:val="0"/>
      <w:divBdr>
        <w:top w:val="none" w:sz="0" w:space="0" w:color="auto"/>
        <w:left w:val="none" w:sz="0" w:space="0" w:color="auto"/>
        <w:bottom w:val="none" w:sz="0" w:space="0" w:color="auto"/>
        <w:right w:val="none" w:sz="0" w:space="0" w:color="auto"/>
      </w:divBdr>
    </w:div>
    <w:div w:id="629744598">
      <w:bodyDiv w:val="1"/>
      <w:marLeft w:val="0"/>
      <w:marRight w:val="0"/>
      <w:marTop w:val="0"/>
      <w:marBottom w:val="0"/>
      <w:divBdr>
        <w:top w:val="none" w:sz="0" w:space="0" w:color="auto"/>
        <w:left w:val="none" w:sz="0" w:space="0" w:color="auto"/>
        <w:bottom w:val="none" w:sz="0" w:space="0" w:color="auto"/>
        <w:right w:val="none" w:sz="0" w:space="0" w:color="auto"/>
      </w:divBdr>
    </w:div>
    <w:div w:id="629897614">
      <w:bodyDiv w:val="1"/>
      <w:marLeft w:val="0"/>
      <w:marRight w:val="0"/>
      <w:marTop w:val="0"/>
      <w:marBottom w:val="0"/>
      <w:divBdr>
        <w:top w:val="none" w:sz="0" w:space="0" w:color="auto"/>
        <w:left w:val="none" w:sz="0" w:space="0" w:color="auto"/>
        <w:bottom w:val="none" w:sz="0" w:space="0" w:color="auto"/>
        <w:right w:val="none" w:sz="0" w:space="0" w:color="auto"/>
      </w:divBdr>
    </w:div>
    <w:div w:id="629939489">
      <w:bodyDiv w:val="1"/>
      <w:marLeft w:val="0"/>
      <w:marRight w:val="0"/>
      <w:marTop w:val="0"/>
      <w:marBottom w:val="0"/>
      <w:divBdr>
        <w:top w:val="none" w:sz="0" w:space="0" w:color="auto"/>
        <w:left w:val="none" w:sz="0" w:space="0" w:color="auto"/>
        <w:bottom w:val="none" w:sz="0" w:space="0" w:color="auto"/>
        <w:right w:val="none" w:sz="0" w:space="0" w:color="auto"/>
      </w:divBdr>
    </w:div>
    <w:div w:id="630020686">
      <w:bodyDiv w:val="1"/>
      <w:marLeft w:val="0"/>
      <w:marRight w:val="0"/>
      <w:marTop w:val="0"/>
      <w:marBottom w:val="0"/>
      <w:divBdr>
        <w:top w:val="none" w:sz="0" w:space="0" w:color="auto"/>
        <w:left w:val="none" w:sz="0" w:space="0" w:color="auto"/>
        <w:bottom w:val="none" w:sz="0" w:space="0" w:color="auto"/>
        <w:right w:val="none" w:sz="0" w:space="0" w:color="auto"/>
      </w:divBdr>
    </w:div>
    <w:div w:id="630133097">
      <w:bodyDiv w:val="1"/>
      <w:marLeft w:val="0"/>
      <w:marRight w:val="0"/>
      <w:marTop w:val="0"/>
      <w:marBottom w:val="0"/>
      <w:divBdr>
        <w:top w:val="none" w:sz="0" w:space="0" w:color="auto"/>
        <w:left w:val="none" w:sz="0" w:space="0" w:color="auto"/>
        <w:bottom w:val="none" w:sz="0" w:space="0" w:color="auto"/>
        <w:right w:val="none" w:sz="0" w:space="0" w:color="auto"/>
      </w:divBdr>
    </w:div>
    <w:div w:id="630206239">
      <w:bodyDiv w:val="1"/>
      <w:marLeft w:val="0"/>
      <w:marRight w:val="0"/>
      <w:marTop w:val="0"/>
      <w:marBottom w:val="0"/>
      <w:divBdr>
        <w:top w:val="none" w:sz="0" w:space="0" w:color="auto"/>
        <w:left w:val="none" w:sz="0" w:space="0" w:color="auto"/>
        <w:bottom w:val="none" w:sz="0" w:space="0" w:color="auto"/>
        <w:right w:val="none" w:sz="0" w:space="0" w:color="auto"/>
      </w:divBdr>
    </w:div>
    <w:div w:id="630357927">
      <w:bodyDiv w:val="1"/>
      <w:marLeft w:val="0"/>
      <w:marRight w:val="0"/>
      <w:marTop w:val="0"/>
      <w:marBottom w:val="0"/>
      <w:divBdr>
        <w:top w:val="none" w:sz="0" w:space="0" w:color="auto"/>
        <w:left w:val="none" w:sz="0" w:space="0" w:color="auto"/>
        <w:bottom w:val="none" w:sz="0" w:space="0" w:color="auto"/>
        <w:right w:val="none" w:sz="0" w:space="0" w:color="auto"/>
      </w:divBdr>
    </w:div>
    <w:div w:id="630474907">
      <w:bodyDiv w:val="1"/>
      <w:marLeft w:val="0"/>
      <w:marRight w:val="0"/>
      <w:marTop w:val="0"/>
      <w:marBottom w:val="0"/>
      <w:divBdr>
        <w:top w:val="none" w:sz="0" w:space="0" w:color="auto"/>
        <w:left w:val="none" w:sz="0" w:space="0" w:color="auto"/>
        <w:bottom w:val="none" w:sz="0" w:space="0" w:color="auto"/>
        <w:right w:val="none" w:sz="0" w:space="0" w:color="auto"/>
      </w:divBdr>
    </w:div>
    <w:div w:id="630596063">
      <w:bodyDiv w:val="1"/>
      <w:marLeft w:val="0"/>
      <w:marRight w:val="0"/>
      <w:marTop w:val="0"/>
      <w:marBottom w:val="0"/>
      <w:divBdr>
        <w:top w:val="none" w:sz="0" w:space="0" w:color="auto"/>
        <w:left w:val="none" w:sz="0" w:space="0" w:color="auto"/>
        <w:bottom w:val="none" w:sz="0" w:space="0" w:color="auto"/>
        <w:right w:val="none" w:sz="0" w:space="0" w:color="auto"/>
      </w:divBdr>
    </w:div>
    <w:div w:id="630743729">
      <w:bodyDiv w:val="1"/>
      <w:marLeft w:val="0"/>
      <w:marRight w:val="0"/>
      <w:marTop w:val="0"/>
      <w:marBottom w:val="0"/>
      <w:divBdr>
        <w:top w:val="none" w:sz="0" w:space="0" w:color="auto"/>
        <w:left w:val="none" w:sz="0" w:space="0" w:color="auto"/>
        <w:bottom w:val="none" w:sz="0" w:space="0" w:color="auto"/>
        <w:right w:val="none" w:sz="0" w:space="0" w:color="auto"/>
      </w:divBdr>
    </w:div>
    <w:div w:id="630937663">
      <w:bodyDiv w:val="1"/>
      <w:marLeft w:val="0"/>
      <w:marRight w:val="0"/>
      <w:marTop w:val="0"/>
      <w:marBottom w:val="0"/>
      <w:divBdr>
        <w:top w:val="none" w:sz="0" w:space="0" w:color="auto"/>
        <w:left w:val="none" w:sz="0" w:space="0" w:color="auto"/>
        <w:bottom w:val="none" w:sz="0" w:space="0" w:color="auto"/>
        <w:right w:val="none" w:sz="0" w:space="0" w:color="auto"/>
      </w:divBdr>
    </w:div>
    <w:div w:id="630943632">
      <w:bodyDiv w:val="1"/>
      <w:marLeft w:val="0"/>
      <w:marRight w:val="0"/>
      <w:marTop w:val="0"/>
      <w:marBottom w:val="0"/>
      <w:divBdr>
        <w:top w:val="none" w:sz="0" w:space="0" w:color="auto"/>
        <w:left w:val="none" w:sz="0" w:space="0" w:color="auto"/>
        <w:bottom w:val="none" w:sz="0" w:space="0" w:color="auto"/>
        <w:right w:val="none" w:sz="0" w:space="0" w:color="auto"/>
      </w:divBdr>
    </w:div>
    <w:div w:id="630983885">
      <w:bodyDiv w:val="1"/>
      <w:marLeft w:val="0"/>
      <w:marRight w:val="0"/>
      <w:marTop w:val="0"/>
      <w:marBottom w:val="0"/>
      <w:divBdr>
        <w:top w:val="none" w:sz="0" w:space="0" w:color="auto"/>
        <w:left w:val="none" w:sz="0" w:space="0" w:color="auto"/>
        <w:bottom w:val="none" w:sz="0" w:space="0" w:color="auto"/>
        <w:right w:val="none" w:sz="0" w:space="0" w:color="auto"/>
      </w:divBdr>
    </w:div>
    <w:div w:id="631057884">
      <w:bodyDiv w:val="1"/>
      <w:marLeft w:val="0"/>
      <w:marRight w:val="0"/>
      <w:marTop w:val="0"/>
      <w:marBottom w:val="0"/>
      <w:divBdr>
        <w:top w:val="none" w:sz="0" w:space="0" w:color="auto"/>
        <w:left w:val="none" w:sz="0" w:space="0" w:color="auto"/>
        <w:bottom w:val="none" w:sz="0" w:space="0" w:color="auto"/>
        <w:right w:val="none" w:sz="0" w:space="0" w:color="auto"/>
      </w:divBdr>
    </w:div>
    <w:div w:id="631178408">
      <w:bodyDiv w:val="1"/>
      <w:marLeft w:val="0"/>
      <w:marRight w:val="0"/>
      <w:marTop w:val="0"/>
      <w:marBottom w:val="0"/>
      <w:divBdr>
        <w:top w:val="none" w:sz="0" w:space="0" w:color="auto"/>
        <w:left w:val="none" w:sz="0" w:space="0" w:color="auto"/>
        <w:bottom w:val="none" w:sz="0" w:space="0" w:color="auto"/>
        <w:right w:val="none" w:sz="0" w:space="0" w:color="auto"/>
      </w:divBdr>
    </w:div>
    <w:div w:id="631331240">
      <w:bodyDiv w:val="1"/>
      <w:marLeft w:val="0"/>
      <w:marRight w:val="0"/>
      <w:marTop w:val="0"/>
      <w:marBottom w:val="0"/>
      <w:divBdr>
        <w:top w:val="none" w:sz="0" w:space="0" w:color="auto"/>
        <w:left w:val="none" w:sz="0" w:space="0" w:color="auto"/>
        <w:bottom w:val="none" w:sz="0" w:space="0" w:color="auto"/>
        <w:right w:val="none" w:sz="0" w:space="0" w:color="auto"/>
      </w:divBdr>
    </w:div>
    <w:div w:id="631400658">
      <w:bodyDiv w:val="1"/>
      <w:marLeft w:val="0"/>
      <w:marRight w:val="0"/>
      <w:marTop w:val="0"/>
      <w:marBottom w:val="0"/>
      <w:divBdr>
        <w:top w:val="none" w:sz="0" w:space="0" w:color="auto"/>
        <w:left w:val="none" w:sz="0" w:space="0" w:color="auto"/>
        <w:bottom w:val="none" w:sz="0" w:space="0" w:color="auto"/>
        <w:right w:val="none" w:sz="0" w:space="0" w:color="auto"/>
      </w:divBdr>
    </w:div>
    <w:div w:id="631443508">
      <w:bodyDiv w:val="1"/>
      <w:marLeft w:val="0"/>
      <w:marRight w:val="0"/>
      <w:marTop w:val="0"/>
      <w:marBottom w:val="0"/>
      <w:divBdr>
        <w:top w:val="none" w:sz="0" w:space="0" w:color="auto"/>
        <w:left w:val="none" w:sz="0" w:space="0" w:color="auto"/>
        <w:bottom w:val="none" w:sz="0" w:space="0" w:color="auto"/>
        <w:right w:val="none" w:sz="0" w:space="0" w:color="auto"/>
      </w:divBdr>
    </w:div>
    <w:div w:id="631516562">
      <w:bodyDiv w:val="1"/>
      <w:marLeft w:val="0"/>
      <w:marRight w:val="0"/>
      <w:marTop w:val="0"/>
      <w:marBottom w:val="0"/>
      <w:divBdr>
        <w:top w:val="none" w:sz="0" w:space="0" w:color="auto"/>
        <w:left w:val="none" w:sz="0" w:space="0" w:color="auto"/>
        <w:bottom w:val="none" w:sz="0" w:space="0" w:color="auto"/>
        <w:right w:val="none" w:sz="0" w:space="0" w:color="auto"/>
      </w:divBdr>
    </w:div>
    <w:div w:id="631668087">
      <w:bodyDiv w:val="1"/>
      <w:marLeft w:val="0"/>
      <w:marRight w:val="0"/>
      <w:marTop w:val="0"/>
      <w:marBottom w:val="0"/>
      <w:divBdr>
        <w:top w:val="none" w:sz="0" w:space="0" w:color="auto"/>
        <w:left w:val="none" w:sz="0" w:space="0" w:color="auto"/>
        <w:bottom w:val="none" w:sz="0" w:space="0" w:color="auto"/>
        <w:right w:val="none" w:sz="0" w:space="0" w:color="auto"/>
      </w:divBdr>
    </w:div>
    <w:div w:id="631711455">
      <w:bodyDiv w:val="1"/>
      <w:marLeft w:val="0"/>
      <w:marRight w:val="0"/>
      <w:marTop w:val="0"/>
      <w:marBottom w:val="0"/>
      <w:divBdr>
        <w:top w:val="none" w:sz="0" w:space="0" w:color="auto"/>
        <w:left w:val="none" w:sz="0" w:space="0" w:color="auto"/>
        <w:bottom w:val="none" w:sz="0" w:space="0" w:color="auto"/>
        <w:right w:val="none" w:sz="0" w:space="0" w:color="auto"/>
      </w:divBdr>
    </w:div>
    <w:div w:id="631787046">
      <w:bodyDiv w:val="1"/>
      <w:marLeft w:val="0"/>
      <w:marRight w:val="0"/>
      <w:marTop w:val="0"/>
      <w:marBottom w:val="0"/>
      <w:divBdr>
        <w:top w:val="none" w:sz="0" w:space="0" w:color="auto"/>
        <w:left w:val="none" w:sz="0" w:space="0" w:color="auto"/>
        <w:bottom w:val="none" w:sz="0" w:space="0" w:color="auto"/>
        <w:right w:val="none" w:sz="0" w:space="0" w:color="auto"/>
      </w:divBdr>
    </w:div>
    <w:div w:id="631863488">
      <w:bodyDiv w:val="1"/>
      <w:marLeft w:val="0"/>
      <w:marRight w:val="0"/>
      <w:marTop w:val="0"/>
      <w:marBottom w:val="0"/>
      <w:divBdr>
        <w:top w:val="none" w:sz="0" w:space="0" w:color="auto"/>
        <w:left w:val="none" w:sz="0" w:space="0" w:color="auto"/>
        <w:bottom w:val="none" w:sz="0" w:space="0" w:color="auto"/>
        <w:right w:val="none" w:sz="0" w:space="0" w:color="auto"/>
      </w:divBdr>
    </w:div>
    <w:div w:id="631983383">
      <w:bodyDiv w:val="1"/>
      <w:marLeft w:val="0"/>
      <w:marRight w:val="0"/>
      <w:marTop w:val="0"/>
      <w:marBottom w:val="0"/>
      <w:divBdr>
        <w:top w:val="none" w:sz="0" w:space="0" w:color="auto"/>
        <w:left w:val="none" w:sz="0" w:space="0" w:color="auto"/>
        <w:bottom w:val="none" w:sz="0" w:space="0" w:color="auto"/>
        <w:right w:val="none" w:sz="0" w:space="0" w:color="auto"/>
      </w:divBdr>
    </w:div>
    <w:div w:id="632104661">
      <w:bodyDiv w:val="1"/>
      <w:marLeft w:val="0"/>
      <w:marRight w:val="0"/>
      <w:marTop w:val="0"/>
      <w:marBottom w:val="0"/>
      <w:divBdr>
        <w:top w:val="none" w:sz="0" w:space="0" w:color="auto"/>
        <w:left w:val="none" w:sz="0" w:space="0" w:color="auto"/>
        <w:bottom w:val="none" w:sz="0" w:space="0" w:color="auto"/>
        <w:right w:val="none" w:sz="0" w:space="0" w:color="auto"/>
      </w:divBdr>
    </w:div>
    <w:div w:id="632104814">
      <w:bodyDiv w:val="1"/>
      <w:marLeft w:val="0"/>
      <w:marRight w:val="0"/>
      <w:marTop w:val="0"/>
      <w:marBottom w:val="0"/>
      <w:divBdr>
        <w:top w:val="none" w:sz="0" w:space="0" w:color="auto"/>
        <w:left w:val="none" w:sz="0" w:space="0" w:color="auto"/>
        <w:bottom w:val="none" w:sz="0" w:space="0" w:color="auto"/>
        <w:right w:val="none" w:sz="0" w:space="0" w:color="auto"/>
      </w:divBdr>
    </w:div>
    <w:div w:id="632178862">
      <w:bodyDiv w:val="1"/>
      <w:marLeft w:val="0"/>
      <w:marRight w:val="0"/>
      <w:marTop w:val="0"/>
      <w:marBottom w:val="0"/>
      <w:divBdr>
        <w:top w:val="none" w:sz="0" w:space="0" w:color="auto"/>
        <w:left w:val="none" w:sz="0" w:space="0" w:color="auto"/>
        <w:bottom w:val="none" w:sz="0" w:space="0" w:color="auto"/>
        <w:right w:val="none" w:sz="0" w:space="0" w:color="auto"/>
      </w:divBdr>
    </w:div>
    <w:div w:id="632251652">
      <w:bodyDiv w:val="1"/>
      <w:marLeft w:val="0"/>
      <w:marRight w:val="0"/>
      <w:marTop w:val="0"/>
      <w:marBottom w:val="0"/>
      <w:divBdr>
        <w:top w:val="none" w:sz="0" w:space="0" w:color="auto"/>
        <w:left w:val="none" w:sz="0" w:space="0" w:color="auto"/>
        <w:bottom w:val="none" w:sz="0" w:space="0" w:color="auto"/>
        <w:right w:val="none" w:sz="0" w:space="0" w:color="auto"/>
      </w:divBdr>
    </w:div>
    <w:div w:id="632296339">
      <w:bodyDiv w:val="1"/>
      <w:marLeft w:val="0"/>
      <w:marRight w:val="0"/>
      <w:marTop w:val="0"/>
      <w:marBottom w:val="0"/>
      <w:divBdr>
        <w:top w:val="none" w:sz="0" w:space="0" w:color="auto"/>
        <w:left w:val="none" w:sz="0" w:space="0" w:color="auto"/>
        <w:bottom w:val="none" w:sz="0" w:space="0" w:color="auto"/>
        <w:right w:val="none" w:sz="0" w:space="0" w:color="auto"/>
      </w:divBdr>
    </w:div>
    <w:div w:id="632369826">
      <w:bodyDiv w:val="1"/>
      <w:marLeft w:val="0"/>
      <w:marRight w:val="0"/>
      <w:marTop w:val="0"/>
      <w:marBottom w:val="0"/>
      <w:divBdr>
        <w:top w:val="none" w:sz="0" w:space="0" w:color="auto"/>
        <w:left w:val="none" w:sz="0" w:space="0" w:color="auto"/>
        <w:bottom w:val="none" w:sz="0" w:space="0" w:color="auto"/>
        <w:right w:val="none" w:sz="0" w:space="0" w:color="auto"/>
      </w:divBdr>
    </w:div>
    <w:div w:id="632371295">
      <w:bodyDiv w:val="1"/>
      <w:marLeft w:val="0"/>
      <w:marRight w:val="0"/>
      <w:marTop w:val="0"/>
      <w:marBottom w:val="0"/>
      <w:divBdr>
        <w:top w:val="none" w:sz="0" w:space="0" w:color="auto"/>
        <w:left w:val="none" w:sz="0" w:space="0" w:color="auto"/>
        <w:bottom w:val="none" w:sz="0" w:space="0" w:color="auto"/>
        <w:right w:val="none" w:sz="0" w:space="0" w:color="auto"/>
      </w:divBdr>
    </w:div>
    <w:div w:id="632439986">
      <w:bodyDiv w:val="1"/>
      <w:marLeft w:val="0"/>
      <w:marRight w:val="0"/>
      <w:marTop w:val="0"/>
      <w:marBottom w:val="0"/>
      <w:divBdr>
        <w:top w:val="none" w:sz="0" w:space="0" w:color="auto"/>
        <w:left w:val="none" w:sz="0" w:space="0" w:color="auto"/>
        <w:bottom w:val="none" w:sz="0" w:space="0" w:color="auto"/>
        <w:right w:val="none" w:sz="0" w:space="0" w:color="auto"/>
      </w:divBdr>
    </w:div>
    <w:div w:id="632566183">
      <w:bodyDiv w:val="1"/>
      <w:marLeft w:val="0"/>
      <w:marRight w:val="0"/>
      <w:marTop w:val="0"/>
      <w:marBottom w:val="0"/>
      <w:divBdr>
        <w:top w:val="none" w:sz="0" w:space="0" w:color="auto"/>
        <w:left w:val="none" w:sz="0" w:space="0" w:color="auto"/>
        <w:bottom w:val="none" w:sz="0" w:space="0" w:color="auto"/>
        <w:right w:val="none" w:sz="0" w:space="0" w:color="auto"/>
      </w:divBdr>
    </w:div>
    <w:div w:id="632566523">
      <w:bodyDiv w:val="1"/>
      <w:marLeft w:val="0"/>
      <w:marRight w:val="0"/>
      <w:marTop w:val="0"/>
      <w:marBottom w:val="0"/>
      <w:divBdr>
        <w:top w:val="none" w:sz="0" w:space="0" w:color="auto"/>
        <w:left w:val="none" w:sz="0" w:space="0" w:color="auto"/>
        <w:bottom w:val="none" w:sz="0" w:space="0" w:color="auto"/>
        <w:right w:val="none" w:sz="0" w:space="0" w:color="auto"/>
      </w:divBdr>
    </w:div>
    <w:div w:id="632639581">
      <w:bodyDiv w:val="1"/>
      <w:marLeft w:val="0"/>
      <w:marRight w:val="0"/>
      <w:marTop w:val="0"/>
      <w:marBottom w:val="0"/>
      <w:divBdr>
        <w:top w:val="none" w:sz="0" w:space="0" w:color="auto"/>
        <w:left w:val="none" w:sz="0" w:space="0" w:color="auto"/>
        <w:bottom w:val="none" w:sz="0" w:space="0" w:color="auto"/>
        <w:right w:val="none" w:sz="0" w:space="0" w:color="auto"/>
      </w:divBdr>
    </w:div>
    <w:div w:id="632752683">
      <w:bodyDiv w:val="1"/>
      <w:marLeft w:val="0"/>
      <w:marRight w:val="0"/>
      <w:marTop w:val="0"/>
      <w:marBottom w:val="0"/>
      <w:divBdr>
        <w:top w:val="none" w:sz="0" w:space="0" w:color="auto"/>
        <w:left w:val="none" w:sz="0" w:space="0" w:color="auto"/>
        <w:bottom w:val="none" w:sz="0" w:space="0" w:color="auto"/>
        <w:right w:val="none" w:sz="0" w:space="0" w:color="auto"/>
      </w:divBdr>
    </w:div>
    <w:div w:id="632758059">
      <w:bodyDiv w:val="1"/>
      <w:marLeft w:val="0"/>
      <w:marRight w:val="0"/>
      <w:marTop w:val="0"/>
      <w:marBottom w:val="0"/>
      <w:divBdr>
        <w:top w:val="none" w:sz="0" w:space="0" w:color="auto"/>
        <w:left w:val="none" w:sz="0" w:space="0" w:color="auto"/>
        <w:bottom w:val="none" w:sz="0" w:space="0" w:color="auto"/>
        <w:right w:val="none" w:sz="0" w:space="0" w:color="auto"/>
      </w:divBdr>
    </w:div>
    <w:div w:id="632759592">
      <w:bodyDiv w:val="1"/>
      <w:marLeft w:val="0"/>
      <w:marRight w:val="0"/>
      <w:marTop w:val="0"/>
      <w:marBottom w:val="0"/>
      <w:divBdr>
        <w:top w:val="none" w:sz="0" w:space="0" w:color="auto"/>
        <w:left w:val="none" w:sz="0" w:space="0" w:color="auto"/>
        <w:bottom w:val="none" w:sz="0" w:space="0" w:color="auto"/>
        <w:right w:val="none" w:sz="0" w:space="0" w:color="auto"/>
      </w:divBdr>
    </w:div>
    <w:div w:id="632952319">
      <w:bodyDiv w:val="1"/>
      <w:marLeft w:val="0"/>
      <w:marRight w:val="0"/>
      <w:marTop w:val="0"/>
      <w:marBottom w:val="0"/>
      <w:divBdr>
        <w:top w:val="none" w:sz="0" w:space="0" w:color="auto"/>
        <w:left w:val="none" w:sz="0" w:space="0" w:color="auto"/>
        <w:bottom w:val="none" w:sz="0" w:space="0" w:color="auto"/>
        <w:right w:val="none" w:sz="0" w:space="0" w:color="auto"/>
      </w:divBdr>
    </w:div>
    <w:div w:id="633102857">
      <w:bodyDiv w:val="1"/>
      <w:marLeft w:val="0"/>
      <w:marRight w:val="0"/>
      <w:marTop w:val="0"/>
      <w:marBottom w:val="0"/>
      <w:divBdr>
        <w:top w:val="none" w:sz="0" w:space="0" w:color="auto"/>
        <w:left w:val="none" w:sz="0" w:space="0" w:color="auto"/>
        <w:bottom w:val="none" w:sz="0" w:space="0" w:color="auto"/>
        <w:right w:val="none" w:sz="0" w:space="0" w:color="auto"/>
      </w:divBdr>
    </w:div>
    <w:div w:id="633213301">
      <w:bodyDiv w:val="1"/>
      <w:marLeft w:val="0"/>
      <w:marRight w:val="0"/>
      <w:marTop w:val="0"/>
      <w:marBottom w:val="0"/>
      <w:divBdr>
        <w:top w:val="none" w:sz="0" w:space="0" w:color="auto"/>
        <w:left w:val="none" w:sz="0" w:space="0" w:color="auto"/>
        <w:bottom w:val="none" w:sz="0" w:space="0" w:color="auto"/>
        <w:right w:val="none" w:sz="0" w:space="0" w:color="auto"/>
      </w:divBdr>
    </w:div>
    <w:div w:id="633365127">
      <w:bodyDiv w:val="1"/>
      <w:marLeft w:val="0"/>
      <w:marRight w:val="0"/>
      <w:marTop w:val="0"/>
      <w:marBottom w:val="0"/>
      <w:divBdr>
        <w:top w:val="none" w:sz="0" w:space="0" w:color="auto"/>
        <w:left w:val="none" w:sz="0" w:space="0" w:color="auto"/>
        <w:bottom w:val="none" w:sz="0" w:space="0" w:color="auto"/>
        <w:right w:val="none" w:sz="0" w:space="0" w:color="auto"/>
      </w:divBdr>
    </w:div>
    <w:div w:id="633369340">
      <w:bodyDiv w:val="1"/>
      <w:marLeft w:val="0"/>
      <w:marRight w:val="0"/>
      <w:marTop w:val="0"/>
      <w:marBottom w:val="0"/>
      <w:divBdr>
        <w:top w:val="none" w:sz="0" w:space="0" w:color="auto"/>
        <w:left w:val="none" w:sz="0" w:space="0" w:color="auto"/>
        <w:bottom w:val="none" w:sz="0" w:space="0" w:color="auto"/>
        <w:right w:val="none" w:sz="0" w:space="0" w:color="auto"/>
      </w:divBdr>
    </w:div>
    <w:div w:id="633370392">
      <w:bodyDiv w:val="1"/>
      <w:marLeft w:val="0"/>
      <w:marRight w:val="0"/>
      <w:marTop w:val="0"/>
      <w:marBottom w:val="0"/>
      <w:divBdr>
        <w:top w:val="none" w:sz="0" w:space="0" w:color="auto"/>
        <w:left w:val="none" w:sz="0" w:space="0" w:color="auto"/>
        <w:bottom w:val="none" w:sz="0" w:space="0" w:color="auto"/>
        <w:right w:val="none" w:sz="0" w:space="0" w:color="auto"/>
      </w:divBdr>
    </w:div>
    <w:div w:id="633406348">
      <w:bodyDiv w:val="1"/>
      <w:marLeft w:val="0"/>
      <w:marRight w:val="0"/>
      <w:marTop w:val="0"/>
      <w:marBottom w:val="0"/>
      <w:divBdr>
        <w:top w:val="none" w:sz="0" w:space="0" w:color="auto"/>
        <w:left w:val="none" w:sz="0" w:space="0" w:color="auto"/>
        <w:bottom w:val="none" w:sz="0" w:space="0" w:color="auto"/>
        <w:right w:val="none" w:sz="0" w:space="0" w:color="auto"/>
      </w:divBdr>
    </w:div>
    <w:div w:id="633560870">
      <w:bodyDiv w:val="1"/>
      <w:marLeft w:val="0"/>
      <w:marRight w:val="0"/>
      <w:marTop w:val="0"/>
      <w:marBottom w:val="0"/>
      <w:divBdr>
        <w:top w:val="none" w:sz="0" w:space="0" w:color="auto"/>
        <w:left w:val="none" w:sz="0" w:space="0" w:color="auto"/>
        <w:bottom w:val="none" w:sz="0" w:space="0" w:color="auto"/>
        <w:right w:val="none" w:sz="0" w:space="0" w:color="auto"/>
      </w:divBdr>
    </w:div>
    <w:div w:id="633566232">
      <w:bodyDiv w:val="1"/>
      <w:marLeft w:val="0"/>
      <w:marRight w:val="0"/>
      <w:marTop w:val="0"/>
      <w:marBottom w:val="0"/>
      <w:divBdr>
        <w:top w:val="none" w:sz="0" w:space="0" w:color="auto"/>
        <w:left w:val="none" w:sz="0" w:space="0" w:color="auto"/>
        <w:bottom w:val="none" w:sz="0" w:space="0" w:color="auto"/>
        <w:right w:val="none" w:sz="0" w:space="0" w:color="auto"/>
      </w:divBdr>
    </w:div>
    <w:div w:id="633603019">
      <w:bodyDiv w:val="1"/>
      <w:marLeft w:val="0"/>
      <w:marRight w:val="0"/>
      <w:marTop w:val="0"/>
      <w:marBottom w:val="0"/>
      <w:divBdr>
        <w:top w:val="none" w:sz="0" w:space="0" w:color="auto"/>
        <w:left w:val="none" w:sz="0" w:space="0" w:color="auto"/>
        <w:bottom w:val="none" w:sz="0" w:space="0" w:color="auto"/>
        <w:right w:val="none" w:sz="0" w:space="0" w:color="auto"/>
      </w:divBdr>
    </w:div>
    <w:div w:id="633604191">
      <w:bodyDiv w:val="1"/>
      <w:marLeft w:val="0"/>
      <w:marRight w:val="0"/>
      <w:marTop w:val="0"/>
      <w:marBottom w:val="0"/>
      <w:divBdr>
        <w:top w:val="none" w:sz="0" w:space="0" w:color="auto"/>
        <w:left w:val="none" w:sz="0" w:space="0" w:color="auto"/>
        <w:bottom w:val="none" w:sz="0" w:space="0" w:color="auto"/>
        <w:right w:val="none" w:sz="0" w:space="0" w:color="auto"/>
      </w:divBdr>
    </w:div>
    <w:div w:id="633605829">
      <w:bodyDiv w:val="1"/>
      <w:marLeft w:val="0"/>
      <w:marRight w:val="0"/>
      <w:marTop w:val="0"/>
      <w:marBottom w:val="0"/>
      <w:divBdr>
        <w:top w:val="none" w:sz="0" w:space="0" w:color="auto"/>
        <w:left w:val="none" w:sz="0" w:space="0" w:color="auto"/>
        <w:bottom w:val="none" w:sz="0" w:space="0" w:color="auto"/>
        <w:right w:val="none" w:sz="0" w:space="0" w:color="auto"/>
      </w:divBdr>
    </w:div>
    <w:div w:id="633677695">
      <w:bodyDiv w:val="1"/>
      <w:marLeft w:val="0"/>
      <w:marRight w:val="0"/>
      <w:marTop w:val="0"/>
      <w:marBottom w:val="0"/>
      <w:divBdr>
        <w:top w:val="none" w:sz="0" w:space="0" w:color="auto"/>
        <w:left w:val="none" w:sz="0" w:space="0" w:color="auto"/>
        <w:bottom w:val="none" w:sz="0" w:space="0" w:color="auto"/>
        <w:right w:val="none" w:sz="0" w:space="0" w:color="auto"/>
      </w:divBdr>
    </w:div>
    <w:div w:id="633682207">
      <w:bodyDiv w:val="1"/>
      <w:marLeft w:val="0"/>
      <w:marRight w:val="0"/>
      <w:marTop w:val="0"/>
      <w:marBottom w:val="0"/>
      <w:divBdr>
        <w:top w:val="none" w:sz="0" w:space="0" w:color="auto"/>
        <w:left w:val="none" w:sz="0" w:space="0" w:color="auto"/>
        <w:bottom w:val="none" w:sz="0" w:space="0" w:color="auto"/>
        <w:right w:val="none" w:sz="0" w:space="0" w:color="auto"/>
      </w:divBdr>
    </w:div>
    <w:div w:id="633752655">
      <w:bodyDiv w:val="1"/>
      <w:marLeft w:val="0"/>
      <w:marRight w:val="0"/>
      <w:marTop w:val="0"/>
      <w:marBottom w:val="0"/>
      <w:divBdr>
        <w:top w:val="none" w:sz="0" w:space="0" w:color="auto"/>
        <w:left w:val="none" w:sz="0" w:space="0" w:color="auto"/>
        <w:bottom w:val="none" w:sz="0" w:space="0" w:color="auto"/>
        <w:right w:val="none" w:sz="0" w:space="0" w:color="auto"/>
      </w:divBdr>
    </w:div>
    <w:div w:id="633945217">
      <w:bodyDiv w:val="1"/>
      <w:marLeft w:val="0"/>
      <w:marRight w:val="0"/>
      <w:marTop w:val="0"/>
      <w:marBottom w:val="0"/>
      <w:divBdr>
        <w:top w:val="none" w:sz="0" w:space="0" w:color="auto"/>
        <w:left w:val="none" w:sz="0" w:space="0" w:color="auto"/>
        <w:bottom w:val="none" w:sz="0" w:space="0" w:color="auto"/>
        <w:right w:val="none" w:sz="0" w:space="0" w:color="auto"/>
      </w:divBdr>
    </w:div>
    <w:div w:id="633952748">
      <w:bodyDiv w:val="1"/>
      <w:marLeft w:val="0"/>
      <w:marRight w:val="0"/>
      <w:marTop w:val="0"/>
      <w:marBottom w:val="0"/>
      <w:divBdr>
        <w:top w:val="none" w:sz="0" w:space="0" w:color="auto"/>
        <w:left w:val="none" w:sz="0" w:space="0" w:color="auto"/>
        <w:bottom w:val="none" w:sz="0" w:space="0" w:color="auto"/>
        <w:right w:val="none" w:sz="0" w:space="0" w:color="auto"/>
      </w:divBdr>
    </w:div>
    <w:div w:id="633953320">
      <w:bodyDiv w:val="1"/>
      <w:marLeft w:val="0"/>
      <w:marRight w:val="0"/>
      <w:marTop w:val="0"/>
      <w:marBottom w:val="0"/>
      <w:divBdr>
        <w:top w:val="none" w:sz="0" w:space="0" w:color="auto"/>
        <w:left w:val="none" w:sz="0" w:space="0" w:color="auto"/>
        <w:bottom w:val="none" w:sz="0" w:space="0" w:color="auto"/>
        <w:right w:val="none" w:sz="0" w:space="0" w:color="auto"/>
      </w:divBdr>
    </w:div>
    <w:div w:id="634027177">
      <w:bodyDiv w:val="1"/>
      <w:marLeft w:val="0"/>
      <w:marRight w:val="0"/>
      <w:marTop w:val="0"/>
      <w:marBottom w:val="0"/>
      <w:divBdr>
        <w:top w:val="none" w:sz="0" w:space="0" w:color="auto"/>
        <w:left w:val="none" w:sz="0" w:space="0" w:color="auto"/>
        <w:bottom w:val="none" w:sz="0" w:space="0" w:color="auto"/>
        <w:right w:val="none" w:sz="0" w:space="0" w:color="auto"/>
      </w:divBdr>
    </w:div>
    <w:div w:id="634069230">
      <w:bodyDiv w:val="1"/>
      <w:marLeft w:val="0"/>
      <w:marRight w:val="0"/>
      <w:marTop w:val="0"/>
      <w:marBottom w:val="0"/>
      <w:divBdr>
        <w:top w:val="none" w:sz="0" w:space="0" w:color="auto"/>
        <w:left w:val="none" w:sz="0" w:space="0" w:color="auto"/>
        <w:bottom w:val="none" w:sz="0" w:space="0" w:color="auto"/>
        <w:right w:val="none" w:sz="0" w:space="0" w:color="auto"/>
      </w:divBdr>
    </w:div>
    <w:div w:id="634069434">
      <w:bodyDiv w:val="1"/>
      <w:marLeft w:val="0"/>
      <w:marRight w:val="0"/>
      <w:marTop w:val="0"/>
      <w:marBottom w:val="0"/>
      <w:divBdr>
        <w:top w:val="none" w:sz="0" w:space="0" w:color="auto"/>
        <w:left w:val="none" w:sz="0" w:space="0" w:color="auto"/>
        <w:bottom w:val="none" w:sz="0" w:space="0" w:color="auto"/>
        <w:right w:val="none" w:sz="0" w:space="0" w:color="auto"/>
      </w:divBdr>
    </w:div>
    <w:div w:id="634071307">
      <w:bodyDiv w:val="1"/>
      <w:marLeft w:val="0"/>
      <w:marRight w:val="0"/>
      <w:marTop w:val="0"/>
      <w:marBottom w:val="0"/>
      <w:divBdr>
        <w:top w:val="none" w:sz="0" w:space="0" w:color="auto"/>
        <w:left w:val="none" w:sz="0" w:space="0" w:color="auto"/>
        <w:bottom w:val="none" w:sz="0" w:space="0" w:color="auto"/>
        <w:right w:val="none" w:sz="0" w:space="0" w:color="auto"/>
      </w:divBdr>
    </w:div>
    <w:div w:id="634071400">
      <w:bodyDiv w:val="1"/>
      <w:marLeft w:val="0"/>
      <w:marRight w:val="0"/>
      <w:marTop w:val="0"/>
      <w:marBottom w:val="0"/>
      <w:divBdr>
        <w:top w:val="none" w:sz="0" w:space="0" w:color="auto"/>
        <w:left w:val="none" w:sz="0" w:space="0" w:color="auto"/>
        <w:bottom w:val="none" w:sz="0" w:space="0" w:color="auto"/>
        <w:right w:val="none" w:sz="0" w:space="0" w:color="auto"/>
      </w:divBdr>
    </w:div>
    <w:div w:id="634258254">
      <w:bodyDiv w:val="1"/>
      <w:marLeft w:val="0"/>
      <w:marRight w:val="0"/>
      <w:marTop w:val="0"/>
      <w:marBottom w:val="0"/>
      <w:divBdr>
        <w:top w:val="none" w:sz="0" w:space="0" w:color="auto"/>
        <w:left w:val="none" w:sz="0" w:space="0" w:color="auto"/>
        <w:bottom w:val="none" w:sz="0" w:space="0" w:color="auto"/>
        <w:right w:val="none" w:sz="0" w:space="0" w:color="auto"/>
      </w:divBdr>
    </w:div>
    <w:div w:id="634261211">
      <w:bodyDiv w:val="1"/>
      <w:marLeft w:val="0"/>
      <w:marRight w:val="0"/>
      <w:marTop w:val="0"/>
      <w:marBottom w:val="0"/>
      <w:divBdr>
        <w:top w:val="none" w:sz="0" w:space="0" w:color="auto"/>
        <w:left w:val="none" w:sz="0" w:space="0" w:color="auto"/>
        <w:bottom w:val="none" w:sz="0" w:space="0" w:color="auto"/>
        <w:right w:val="none" w:sz="0" w:space="0" w:color="auto"/>
      </w:divBdr>
    </w:div>
    <w:div w:id="634455719">
      <w:bodyDiv w:val="1"/>
      <w:marLeft w:val="0"/>
      <w:marRight w:val="0"/>
      <w:marTop w:val="0"/>
      <w:marBottom w:val="0"/>
      <w:divBdr>
        <w:top w:val="none" w:sz="0" w:space="0" w:color="auto"/>
        <w:left w:val="none" w:sz="0" w:space="0" w:color="auto"/>
        <w:bottom w:val="none" w:sz="0" w:space="0" w:color="auto"/>
        <w:right w:val="none" w:sz="0" w:space="0" w:color="auto"/>
      </w:divBdr>
    </w:div>
    <w:div w:id="634530824">
      <w:bodyDiv w:val="1"/>
      <w:marLeft w:val="0"/>
      <w:marRight w:val="0"/>
      <w:marTop w:val="0"/>
      <w:marBottom w:val="0"/>
      <w:divBdr>
        <w:top w:val="none" w:sz="0" w:space="0" w:color="auto"/>
        <w:left w:val="none" w:sz="0" w:space="0" w:color="auto"/>
        <w:bottom w:val="none" w:sz="0" w:space="0" w:color="auto"/>
        <w:right w:val="none" w:sz="0" w:space="0" w:color="auto"/>
      </w:divBdr>
    </w:div>
    <w:div w:id="634607235">
      <w:bodyDiv w:val="1"/>
      <w:marLeft w:val="0"/>
      <w:marRight w:val="0"/>
      <w:marTop w:val="0"/>
      <w:marBottom w:val="0"/>
      <w:divBdr>
        <w:top w:val="none" w:sz="0" w:space="0" w:color="auto"/>
        <w:left w:val="none" w:sz="0" w:space="0" w:color="auto"/>
        <w:bottom w:val="none" w:sz="0" w:space="0" w:color="auto"/>
        <w:right w:val="none" w:sz="0" w:space="0" w:color="auto"/>
      </w:divBdr>
    </w:div>
    <w:div w:id="634683036">
      <w:bodyDiv w:val="1"/>
      <w:marLeft w:val="0"/>
      <w:marRight w:val="0"/>
      <w:marTop w:val="0"/>
      <w:marBottom w:val="0"/>
      <w:divBdr>
        <w:top w:val="none" w:sz="0" w:space="0" w:color="auto"/>
        <w:left w:val="none" w:sz="0" w:space="0" w:color="auto"/>
        <w:bottom w:val="none" w:sz="0" w:space="0" w:color="auto"/>
        <w:right w:val="none" w:sz="0" w:space="0" w:color="auto"/>
      </w:divBdr>
    </w:div>
    <w:div w:id="634717654">
      <w:bodyDiv w:val="1"/>
      <w:marLeft w:val="0"/>
      <w:marRight w:val="0"/>
      <w:marTop w:val="0"/>
      <w:marBottom w:val="0"/>
      <w:divBdr>
        <w:top w:val="none" w:sz="0" w:space="0" w:color="auto"/>
        <w:left w:val="none" w:sz="0" w:space="0" w:color="auto"/>
        <w:bottom w:val="none" w:sz="0" w:space="0" w:color="auto"/>
        <w:right w:val="none" w:sz="0" w:space="0" w:color="auto"/>
      </w:divBdr>
    </w:div>
    <w:div w:id="634722142">
      <w:bodyDiv w:val="1"/>
      <w:marLeft w:val="0"/>
      <w:marRight w:val="0"/>
      <w:marTop w:val="0"/>
      <w:marBottom w:val="0"/>
      <w:divBdr>
        <w:top w:val="none" w:sz="0" w:space="0" w:color="auto"/>
        <w:left w:val="none" w:sz="0" w:space="0" w:color="auto"/>
        <w:bottom w:val="none" w:sz="0" w:space="0" w:color="auto"/>
        <w:right w:val="none" w:sz="0" w:space="0" w:color="auto"/>
      </w:divBdr>
    </w:div>
    <w:div w:id="634724785">
      <w:bodyDiv w:val="1"/>
      <w:marLeft w:val="0"/>
      <w:marRight w:val="0"/>
      <w:marTop w:val="0"/>
      <w:marBottom w:val="0"/>
      <w:divBdr>
        <w:top w:val="none" w:sz="0" w:space="0" w:color="auto"/>
        <w:left w:val="none" w:sz="0" w:space="0" w:color="auto"/>
        <w:bottom w:val="none" w:sz="0" w:space="0" w:color="auto"/>
        <w:right w:val="none" w:sz="0" w:space="0" w:color="auto"/>
      </w:divBdr>
    </w:div>
    <w:div w:id="634798744">
      <w:bodyDiv w:val="1"/>
      <w:marLeft w:val="0"/>
      <w:marRight w:val="0"/>
      <w:marTop w:val="0"/>
      <w:marBottom w:val="0"/>
      <w:divBdr>
        <w:top w:val="none" w:sz="0" w:space="0" w:color="auto"/>
        <w:left w:val="none" w:sz="0" w:space="0" w:color="auto"/>
        <w:bottom w:val="none" w:sz="0" w:space="0" w:color="auto"/>
        <w:right w:val="none" w:sz="0" w:space="0" w:color="auto"/>
      </w:divBdr>
    </w:div>
    <w:div w:id="634800652">
      <w:bodyDiv w:val="1"/>
      <w:marLeft w:val="0"/>
      <w:marRight w:val="0"/>
      <w:marTop w:val="0"/>
      <w:marBottom w:val="0"/>
      <w:divBdr>
        <w:top w:val="none" w:sz="0" w:space="0" w:color="auto"/>
        <w:left w:val="none" w:sz="0" w:space="0" w:color="auto"/>
        <w:bottom w:val="none" w:sz="0" w:space="0" w:color="auto"/>
        <w:right w:val="none" w:sz="0" w:space="0" w:color="auto"/>
      </w:divBdr>
    </w:div>
    <w:div w:id="635070190">
      <w:bodyDiv w:val="1"/>
      <w:marLeft w:val="0"/>
      <w:marRight w:val="0"/>
      <w:marTop w:val="0"/>
      <w:marBottom w:val="0"/>
      <w:divBdr>
        <w:top w:val="none" w:sz="0" w:space="0" w:color="auto"/>
        <w:left w:val="none" w:sz="0" w:space="0" w:color="auto"/>
        <w:bottom w:val="none" w:sz="0" w:space="0" w:color="auto"/>
        <w:right w:val="none" w:sz="0" w:space="0" w:color="auto"/>
      </w:divBdr>
    </w:div>
    <w:div w:id="635137539">
      <w:bodyDiv w:val="1"/>
      <w:marLeft w:val="0"/>
      <w:marRight w:val="0"/>
      <w:marTop w:val="0"/>
      <w:marBottom w:val="0"/>
      <w:divBdr>
        <w:top w:val="none" w:sz="0" w:space="0" w:color="auto"/>
        <w:left w:val="none" w:sz="0" w:space="0" w:color="auto"/>
        <w:bottom w:val="none" w:sz="0" w:space="0" w:color="auto"/>
        <w:right w:val="none" w:sz="0" w:space="0" w:color="auto"/>
      </w:divBdr>
    </w:div>
    <w:div w:id="635256909">
      <w:bodyDiv w:val="1"/>
      <w:marLeft w:val="0"/>
      <w:marRight w:val="0"/>
      <w:marTop w:val="0"/>
      <w:marBottom w:val="0"/>
      <w:divBdr>
        <w:top w:val="none" w:sz="0" w:space="0" w:color="auto"/>
        <w:left w:val="none" w:sz="0" w:space="0" w:color="auto"/>
        <w:bottom w:val="none" w:sz="0" w:space="0" w:color="auto"/>
        <w:right w:val="none" w:sz="0" w:space="0" w:color="auto"/>
      </w:divBdr>
    </w:div>
    <w:div w:id="635257110">
      <w:bodyDiv w:val="1"/>
      <w:marLeft w:val="0"/>
      <w:marRight w:val="0"/>
      <w:marTop w:val="0"/>
      <w:marBottom w:val="0"/>
      <w:divBdr>
        <w:top w:val="none" w:sz="0" w:space="0" w:color="auto"/>
        <w:left w:val="none" w:sz="0" w:space="0" w:color="auto"/>
        <w:bottom w:val="none" w:sz="0" w:space="0" w:color="auto"/>
        <w:right w:val="none" w:sz="0" w:space="0" w:color="auto"/>
      </w:divBdr>
    </w:div>
    <w:div w:id="635530327">
      <w:bodyDiv w:val="1"/>
      <w:marLeft w:val="0"/>
      <w:marRight w:val="0"/>
      <w:marTop w:val="0"/>
      <w:marBottom w:val="0"/>
      <w:divBdr>
        <w:top w:val="none" w:sz="0" w:space="0" w:color="auto"/>
        <w:left w:val="none" w:sz="0" w:space="0" w:color="auto"/>
        <w:bottom w:val="none" w:sz="0" w:space="0" w:color="auto"/>
        <w:right w:val="none" w:sz="0" w:space="0" w:color="auto"/>
      </w:divBdr>
    </w:div>
    <w:div w:id="635531564">
      <w:bodyDiv w:val="1"/>
      <w:marLeft w:val="0"/>
      <w:marRight w:val="0"/>
      <w:marTop w:val="0"/>
      <w:marBottom w:val="0"/>
      <w:divBdr>
        <w:top w:val="none" w:sz="0" w:space="0" w:color="auto"/>
        <w:left w:val="none" w:sz="0" w:space="0" w:color="auto"/>
        <w:bottom w:val="none" w:sz="0" w:space="0" w:color="auto"/>
        <w:right w:val="none" w:sz="0" w:space="0" w:color="auto"/>
      </w:divBdr>
    </w:div>
    <w:div w:id="635532028">
      <w:bodyDiv w:val="1"/>
      <w:marLeft w:val="0"/>
      <w:marRight w:val="0"/>
      <w:marTop w:val="0"/>
      <w:marBottom w:val="0"/>
      <w:divBdr>
        <w:top w:val="none" w:sz="0" w:space="0" w:color="auto"/>
        <w:left w:val="none" w:sz="0" w:space="0" w:color="auto"/>
        <w:bottom w:val="none" w:sz="0" w:space="0" w:color="auto"/>
        <w:right w:val="none" w:sz="0" w:space="0" w:color="auto"/>
      </w:divBdr>
    </w:div>
    <w:div w:id="635599457">
      <w:bodyDiv w:val="1"/>
      <w:marLeft w:val="0"/>
      <w:marRight w:val="0"/>
      <w:marTop w:val="0"/>
      <w:marBottom w:val="0"/>
      <w:divBdr>
        <w:top w:val="none" w:sz="0" w:space="0" w:color="auto"/>
        <w:left w:val="none" w:sz="0" w:space="0" w:color="auto"/>
        <w:bottom w:val="none" w:sz="0" w:space="0" w:color="auto"/>
        <w:right w:val="none" w:sz="0" w:space="0" w:color="auto"/>
      </w:divBdr>
    </w:div>
    <w:div w:id="635599991">
      <w:bodyDiv w:val="1"/>
      <w:marLeft w:val="0"/>
      <w:marRight w:val="0"/>
      <w:marTop w:val="0"/>
      <w:marBottom w:val="0"/>
      <w:divBdr>
        <w:top w:val="none" w:sz="0" w:space="0" w:color="auto"/>
        <w:left w:val="none" w:sz="0" w:space="0" w:color="auto"/>
        <w:bottom w:val="none" w:sz="0" w:space="0" w:color="auto"/>
        <w:right w:val="none" w:sz="0" w:space="0" w:color="auto"/>
      </w:divBdr>
    </w:div>
    <w:div w:id="635641104">
      <w:bodyDiv w:val="1"/>
      <w:marLeft w:val="0"/>
      <w:marRight w:val="0"/>
      <w:marTop w:val="0"/>
      <w:marBottom w:val="0"/>
      <w:divBdr>
        <w:top w:val="none" w:sz="0" w:space="0" w:color="auto"/>
        <w:left w:val="none" w:sz="0" w:space="0" w:color="auto"/>
        <w:bottom w:val="none" w:sz="0" w:space="0" w:color="auto"/>
        <w:right w:val="none" w:sz="0" w:space="0" w:color="auto"/>
      </w:divBdr>
    </w:div>
    <w:div w:id="635644506">
      <w:bodyDiv w:val="1"/>
      <w:marLeft w:val="0"/>
      <w:marRight w:val="0"/>
      <w:marTop w:val="0"/>
      <w:marBottom w:val="0"/>
      <w:divBdr>
        <w:top w:val="none" w:sz="0" w:space="0" w:color="auto"/>
        <w:left w:val="none" w:sz="0" w:space="0" w:color="auto"/>
        <w:bottom w:val="none" w:sz="0" w:space="0" w:color="auto"/>
        <w:right w:val="none" w:sz="0" w:space="0" w:color="auto"/>
      </w:divBdr>
    </w:div>
    <w:div w:id="635647891">
      <w:bodyDiv w:val="1"/>
      <w:marLeft w:val="0"/>
      <w:marRight w:val="0"/>
      <w:marTop w:val="0"/>
      <w:marBottom w:val="0"/>
      <w:divBdr>
        <w:top w:val="none" w:sz="0" w:space="0" w:color="auto"/>
        <w:left w:val="none" w:sz="0" w:space="0" w:color="auto"/>
        <w:bottom w:val="none" w:sz="0" w:space="0" w:color="auto"/>
        <w:right w:val="none" w:sz="0" w:space="0" w:color="auto"/>
      </w:divBdr>
    </w:div>
    <w:div w:id="635649527">
      <w:bodyDiv w:val="1"/>
      <w:marLeft w:val="0"/>
      <w:marRight w:val="0"/>
      <w:marTop w:val="0"/>
      <w:marBottom w:val="0"/>
      <w:divBdr>
        <w:top w:val="none" w:sz="0" w:space="0" w:color="auto"/>
        <w:left w:val="none" w:sz="0" w:space="0" w:color="auto"/>
        <w:bottom w:val="none" w:sz="0" w:space="0" w:color="auto"/>
        <w:right w:val="none" w:sz="0" w:space="0" w:color="auto"/>
      </w:divBdr>
    </w:div>
    <w:div w:id="635841229">
      <w:bodyDiv w:val="1"/>
      <w:marLeft w:val="0"/>
      <w:marRight w:val="0"/>
      <w:marTop w:val="0"/>
      <w:marBottom w:val="0"/>
      <w:divBdr>
        <w:top w:val="none" w:sz="0" w:space="0" w:color="auto"/>
        <w:left w:val="none" w:sz="0" w:space="0" w:color="auto"/>
        <w:bottom w:val="none" w:sz="0" w:space="0" w:color="auto"/>
        <w:right w:val="none" w:sz="0" w:space="0" w:color="auto"/>
      </w:divBdr>
    </w:div>
    <w:div w:id="636032340">
      <w:bodyDiv w:val="1"/>
      <w:marLeft w:val="0"/>
      <w:marRight w:val="0"/>
      <w:marTop w:val="0"/>
      <w:marBottom w:val="0"/>
      <w:divBdr>
        <w:top w:val="none" w:sz="0" w:space="0" w:color="auto"/>
        <w:left w:val="none" w:sz="0" w:space="0" w:color="auto"/>
        <w:bottom w:val="none" w:sz="0" w:space="0" w:color="auto"/>
        <w:right w:val="none" w:sz="0" w:space="0" w:color="auto"/>
      </w:divBdr>
    </w:div>
    <w:div w:id="636111395">
      <w:bodyDiv w:val="1"/>
      <w:marLeft w:val="0"/>
      <w:marRight w:val="0"/>
      <w:marTop w:val="0"/>
      <w:marBottom w:val="0"/>
      <w:divBdr>
        <w:top w:val="none" w:sz="0" w:space="0" w:color="auto"/>
        <w:left w:val="none" w:sz="0" w:space="0" w:color="auto"/>
        <w:bottom w:val="none" w:sz="0" w:space="0" w:color="auto"/>
        <w:right w:val="none" w:sz="0" w:space="0" w:color="auto"/>
      </w:divBdr>
    </w:div>
    <w:div w:id="636254494">
      <w:bodyDiv w:val="1"/>
      <w:marLeft w:val="0"/>
      <w:marRight w:val="0"/>
      <w:marTop w:val="0"/>
      <w:marBottom w:val="0"/>
      <w:divBdr>
        <w:top w:val="none" w:sz="0" w:space="0" w:color="auto"/>
        <w:left w:val="none" w:sz="0" w:space="0" w:color="auto"/>
        <w:bottom w:val="none" w:sz="0" w:space="0" w:color="auto"/>
        <w:right w:val="none" w:sz="0" w:space="0" w:color="auto"/>
      </w:divBdr>
    </w:div>
    <w:div w:id="636301770">
      <w:bodyDiv w:val="1"/>
      <w:marLeft w:val="0"/>
      <w:marRight w:val="0"/>
      <w:marTop w:val="0"/>
      <w:marBottom w:val="0"/>
      <w:divBdr>
        <w:top w:val="none" w:sz="0" w:space="0" w:color="auto"/>
        <w:left w:val="none" w:sz="0" w:space="0" w:color="auto"/>
        <w:bottom w:val="none" w:sz="0" w:space="0" w:color="auto"/>
        <w:right w:val="none" w:sz="0" w:space="0" w:color="auto"/>
      </w:divBdr>
    </w:div>
    <w:div w:id="636684832">
      <w:bodyDiv w:val="1"/>
      <w:marLeft w:val="0"/>
      <w:marRight w:val="0"/>
      <w:marTop w:val="0"/>
      <w:marBottom w:val="0"/>
      <w:divBdr>
        <w:top w:val="none" w:sz="0" w:space="0" w:color="auto"/>
        <w:left w:val="none" w:sz="0" w:space="0" w:color="auto"/>
        <w:bottom w:val="none" w:sz="0" w:space="0" w:color="auto"/>
        <w:right w:val="none" w:sz="0" w:space="0" w:color="auto"/>
      </w:divBdr>
    </w:div>
    <w:div w:id="636760524">
      <w:bodyDiv w:val="1"/>
      <w:marLeft w:val="0"/>
      <w:marRight w:val="0"/>
      <w:marTop w:val="0"/>
      <w:marBottom w:val="0"/>
      <w:divBdr>
        <w:top w:val="none" w:sz="0" w:space="0" w:color="auto"/>
        <w:left w:val="none" w:sz="0" w:space="0" w:color="auto"/>
        <w:bottom w:val="none" w:sz="0" w:space="0" w:color="auto"/>
        <w:right w:val="none" w:sz="0" w:space="0" w:color="auto"/>
      </w:divBdr>
    </w:div>
    <w:div w:id="636766605">
      <w:bodyDiv w:val="1"/>
      <w:marLeft w:val="0"/>
      <w:marRight w:val="0"/>
      <w:marTop w:val="0"/>
      <w:marBottom w:val="0"/>
      <w:divBdr>
        <w:top w:val="none" w:sz="0" w:space="0" w:color="auto"/>
        <w:left w:val="none" w:sz="0" w:space="0" w:color="auto"/>
        <w:bottom w:val="none" w:sz="0" w:space="0" w:color="auto"/>
        <w:right w:val="none" w:sz="0" w:space="0" w:color="auto"/>
      </w:divBdr>
    </w:div>
    <w:div w:id="636835899">
      <w:bodyDiv w:val="1"/>
      <w:marLeft w:val="0"/>
      <w:marRight w:val="0"/>
      <w:marTop w:val="0"/>
      <w:marBottom w:val="0"/>
      <w:divBdr>
        <w:top w:val="none" w:sz="0" w:space="0" w:color="auto"/>
        <w:left w:val="none" w:sz="0" w:space="0" w:color="auto"/>
        <w:bottom w:val="none" w:sz="0" w:space="0" w:color="auto"/>
        <w:right w:val="none" w:sz="0" w:space="0" w:color="auto"/>
      </w:divBdr>
    </w:div>
    <w:div w:id="636842916">
      <w:bodyDiv w:val="1"/>
      <w:marLeft w:val="0"/>
      <w:marRight w:val="0"/>
      <w:marTop w:val="0"/>
      <w:marBottom w:val="0"/>
      <w:divBdr>
        <w:top w:val="none" w:sz="0" w:space="0" w:color="auto"/>
        <w:left w:val="none" w:sz="0" w:space="0" w:color="auto"/>
        <w:bottom w:val="none" w:sz="0" w:space="0" w:color="auto"/>
        <w:right w:val="none" w:sz="0" w:space="0" w:color="auto"/>
      </w:divBdr>
    </w:div>
    <w:div w:id="636954933">
      <w:bodyDiv w:val="1"/>
      <w:marLeft w:val="0"/>
      <w:marRight w:val="0"/>
      <w:marTop w:val="0"/>
      <w:marBottom w:val="0"/>
      <w:divBdr>
        <w:top w:val="none" w:sz="0" w:space="0" w:color="auto"/>
        <w:left w:val="none" w:sz="0" w:space="0" w:color="auto"/>
        <w:bottom w:val="none" w:sz="0" w:space="0" w:color="auto"/>
        <w:right w:val="none" w:sz="0" w:space="0" w:color="auto"/>
      </w:divBdr>
    </w:div>
    <w:div w:id="636958710">
      <w:bodyDiv w:val="1"/>
      <w:marLeft w:val="0"/>
      <w:marRight w:val="0"/>
      <w:marTop w:val="0"/>
      <w:marBottom w:val="0"/>
      <w:divBdr>
        <w:top w:val="none" w:sz="0" w:space="0" w:color="auto"/>
        <w:left w:val="none" w:sz="0" w:space="0" w:color="auto"/>
        <w:bottom w:val="none" w:sz="0" w:space="0" w:color="auto"/>
        <w:right w:val="none" w:sz="0" w:space="0" w:color="auto"/>
      </w:divBdr>
    </w:div>
    <w:div w:id="637104494">
      <w:bodyDiv w:val="1"/>
      <w:marLeft w:val="0"/>
      <w:marRight w:val="0"/>
      <w:marTop w:val="0"/>
      <w:marBottom w:val="0"/>
      <w:divBdr>
        <w:top w:val="none" w:sz="0" w:space="0" w:color="auto"/>
        <w:left w:val="none" w:sz="0" w:space="0" w:color="auto"/>
        <w:bottom w:val="none" w:sz="0" w:space="0" w:color="auto"/>
        <w:right w:val="none" w:sz="0" w:space="0" w:color="auto"/>
      </w:divBdr>
    </w:div>
    <w:div w:id="637227038">
      <w:bodyDiv w:val="1"/>
      <w:marLeft w:val="0"/>
      <w:marRight w:val="0"/>
      <w:marTop w:val="0"/>
      <w:marBottom w:val="0"/>
      <w:divBdr>
        <w:top w:val="none" w:sz="0" w:space="0" w:color="auto"/>
        <w:left w:val="none" w:sz="0" w:space="0" w:color="auto"/>
        <w:bottom w:val="none" w:sz="0" w:space="0" w:color="auto"/>
        <w:right w:val="none" w:sz="0" w:space="0" w:color="auto"/>
      </w:divBdr>
    </w:div>
    <w:div w:id="637227460">
      <w:bodyDiv w:val="1"/>
      <w:marLeft w:val="0"/>
      <w:marRight w:val="0"/>
      <w:marTop w:val="0"/>
      <w:marBottom w:val="0"/>
      <w:divBdr>
        <w:top w:val="none" w:sz="0" w:space="0" w:color="auto"/>
        <w:left w:val="none" w:sz="0" w:space="0" w:color="auto"/>
        <w:bottom w:val="none" w:sz="0" w:space="0" w:color="auto"/>
        <w:right w:val="none" w:sz="0" w:space="0" w:color="auto"/>
      </w:divBdr>
    </w:div>
    <w:div w:id="637227685">
      <w:bodyDiv w:val="1"/>
      <w:marLeft w:val="0"/>
      <w:marRight w:val="0"/>
      <w:marTop w:val="0"/>
      <w:marBottom w:val="0"/>
      <w:divBdr>
        <w:top w:val="none" w:sz="0" w:space="0" w:color="auto"/>
        <w:left w:val="none" w:sz="0" w:space="0" w:color="auto"/>
        <w:bottom w:val="none" w:sz="0" w:space="0" w:color="auto"/>
        <w:right w:val="none" w:sz="0" w:space="0" w:color="auto"/>
      </w:divBdr>
    </w:div>
    <w:div w:id="637344500">
      <w:bodyDiv w:val="1"/>
      <w:marLeft w:val="0"/>
      <w:marRight w:val="0"/>
      <w:marTop w:val="0"/>
      <w:marBottom w:val="0"/>
      <w:divBdr>
        <w:top w:val="none" w:sz="0" w:space="0" w:color="auto"/>
        <w:left w:val="none" w:sz="0" w:space="0" w:color="auto"/>
        <w:bottom w:val="none" w:sz="0" w:space="0" w:color="auto"/>
        <w:right w:val="none" w:sz="0" w:space="0" w:color="auto"/>
      </w:divBdr>
    </w:div>
    <w:div w:id="637763089">
      <w:bodyDiv w:val="1"/>
      <w:marLeft w:val="0"/>
      <w:marRight w:val="0"/>
      <w:marTop w:val="0"/>
      <w:marBottom w:val="0"/>
      <w:divBdr>
        <w:top w:val="none" w:sz="0" w:space="0" w:color="auto"/>
        <w:left w:val="none" w:sz="0" w:space="0" w:color="auto"/>
        <w:bottom w:val="none" w:sz="0" w:space="0" w:color="auto"/>
        <w:right w:val="none" w:sz="0" w:space="0" w:color="auto"/>
      </w:divBdr>
    </w:div>
    <w:div w:id="637804576">
      <w:bodyDiv w:val="1"/>
      <w:marLeft w:val="0"/>
      <w:marRight w:val="0"/>
      <w:marTop w:val="0"/>
      <w:marBottom w:val="0"/>
      <w:divBdr>
        <w:top w:val="none" w:sz="0" w:space="0" w:color="auto"/>
        <w:left w:val="none" w:sz="0" w:space="0" w:color="auto"/>
        <w:bottom w:val="none" w:sz="0" w:space="0" w:color="auto"/>
        <w:right w:val="none" w:sz="0" w:space="0" w:color="auto"/>
      </w:divBdr>
    </w:div>
    <w:div w:id="637805437">
      <w:bodyDiv w:val="1"/>
      <w:marLeft w:val="0"/>
      <w:marRight w:val="0"/>
      <w:marTop w:val="0"/>
      <w:marBottom w:val="0"/>
      <w:divBdr>
        <w:top w:val="none" w:sz="0" w:space="0" w:color="auto"/>
        <w:left w:val="none" w:sz="0" w:space="0" w:color="auto"/>
        <w:bottom w:val="none" w:sz="0" w:space="0" w:color="auto"/>
        <w:right w:val="none" w:sz="0" w:space="0" w:color="auto"/>
      </w:divBdr>
    </w:div>
    <w:div w:id="637877098">
      <w:bodyDiv w:val="1"/>
      <w:marLeft w:val="0"/>
      <w:marRight w:val="0"/>
      <w:marTop w:val="0"/>
      <w:marBottom w:val="0"/>
      <w:divBdr>
        <w:top w:val="none" w:sz="0" w:space="0" w:color="auto"/>
        <w:left w:val="none" w:sz="0" w:space="0" w:color="auto"/>
        <w:bottom w:val="none" w:sz="0" w:space="0" w:color="auto"/>
        <w:right w:val="none" w:sz="0" w:space="0" w:color="auto"/>
      </w:divBdr>
    </w:div>
    <w:div w:id="637954174">
      <w:bodyDiv w:val="1"/>
      <w:marLeft w:val="0"/>
      <w:marRight w:val="0"/>
      <w:marTop w:val="0"/>
      <w:marBottom w:val="0"/>
      <w:divBdr>
        <w:top w:val="none" w:sz="0" w:space="0" w:color="auto"/>
        <w:left w:val="none" w:sz="0" w:space="0" w:color="auto"/>
        <w:bottom w:val="none" w:sz="0" w:space="0" w:color="auto"/>
        <w:right w:val="none" w:sz="0" w:space="0" w:color="auto"/>
      </w:divBdr>
    </w:div>
    <w:div w:id="637954859">
      <w:bodyDiv w:val="1"/>
      <w:marLeft w:val="0"/>
      <w:marRight w:val="0"/>
      <w:marTop w:val="0"/>
      <w:marBottom w:val="0"/>
      <w:divBdr>
        <w:top w:val="none" w:sz="0" w:space="0" w:color="auto"/>
        <w:left w:val="none" w:sz="0" w:space="0" w:color="auto"/>
        <w:bottom w:val="none" w:sz="0" w:space="0" w:color="auto"/>
        <w:right w:val="none" w:sz="0" w:space="0" w:color="auto"/>
      </w:divBdr>
    </w:div>
    <w:div w:id="637954898">
      <w:bodyDiv w:val="1"/>
      <w:marLeft w:val="0"/>
      <w:marRight w:val="0"/>
      <w:marTop w:val="0"/>
      <w:marBottom w:val="0"/>
      <w:divBdr>
        <w:top w:val="none" w:sz="0" w:space="0" w:color="auto"/>
        <w:left w:val="none" w:sz="0" w:space="0" w:color="auto"/>
        <w:bottom w:val="none" w:sz="0" w:space="0" w:color="auto"/>
        <w:right w:val="none" w:sz="0" w:space="0" w:color="auto"/>
      </w:divBdr>
    </w:div>
    <w:div w:id="637956005">
      <w:bodyDiv w:val="1"/>
      <w:marLeft w:val="0"/>
      <w:marRight w:val="0"/>
      <w:marTop w:val="0"/>
      <w:marBottom w:val="0"/>
      <w:divBdr>
        <w:top w:val="none" w:sz="0" w:space="0" w:color="auto"/>
        <w:left w:val="none" w:sz="0" w:space="0" w:color="auto"/>
        <w:bottom w:val="none" w:sz="0" w:space="0" w:color="auto"/>
        <w:right w:val="none" w:sz="0" w:space="0" w:color="auto"/>
      </w:divBdr>
    </w:div>
    <w:div w:id="637993263">
      <w:bodyDiv w:val="1"/>
      <w:marLeft w:val="0"/>
      <w:marRight w:val="0"/>
      <w:marTop w:val="0"/>
      <w:marBottom w:val="0"/>
      <w:divBdr>
        <w:top w:val="none" w:sz="0" w:space="0" w:color="auto"/>
        <w:left w:val="none" w:sz="0" w:space="0" w:color="auto"/>
        <w:bottom w:val="none" w:sz="0" w:space="0" w:color="auto"/>
        <w:right w:val="none" w:sz="0" w:space="0" w:color="auto"/>
      </w:divBdr>
    </w:div>
    <w:div w:id="638074774">
      <w:bodyDiv w:val="1"/>
      <w:marLeft w:val="0"/>
      <w:marRight w:val="0"/>
      <w:marTop w:val="0"/>
      <w:marBottom w:val="0"/>
      <w:divBdr>
        <w:top w:val="none" w:sz="0" w:space="0" w:color="auto"/>
        <w:left w:val="none" w:sz="0" w:space="0" w:color="auto"/>
        <w:bottom w:val="none" w:sz="0" w:space="0" w:color="auto"/>
        <w:right w:val="none" w:sz="0" w:space="0" w:color="auto"/>
      </w:divBdr>
    </w:div>
    <w:div w:id="638189696">
      <w:bodyDiv w:val="1"/>
      <w:marLeft w:val="0"/>
      <w:marRight w:val="0"/>
      <w:marTop w:val="0"/>
      <w:marBottom w:val="0"/>
      <w:divBdr>
        <w:top w:val="none" w:sz="0" w:space="0" w:color="auto"/>
        <w:left w:val="none" w:sz="0" w:space="0" w:color="auto"/>
        <w:bottom w:val="none" w:sz="0" w:space="0" w:color="auto"/>
        <w:right w:val="none" w:sz="0" w:space="0" w:color="auto"/>
      </w:divBdr>
    </w:div>
    <w:div w:id="638194550">
      <w:bodyDiv w:val="1"/>
      <w:marLeft w:val="0"/>
      <w:marRight w:val="0"/>
      <w:marTop w:val="0"/>
      <w:marBottom w:val="0"/>
      <w:divBdr>
        <w:top w:val="none" w:sz="0" w:space="0" w:color="auto"/>
        <w:left w:val="none" w:sz="0" w:space="0" w:color="auto"/>
        <w:bottom w:val="none" w:sz="0" w:space="0" w:color="auto"/>
        <w:right w:val="none" w:sz="0" w:space="0" w:color="auto"/>
      </w:divBdr>
    </w:div>
    <w:div w:id="638264381">
      <w:bodyDiv w:val="1"/>
      <w:marLeft w:val="0"/>
      <w:marRight w:val="0"/>
      <w:marTop w:val="0"/>
      <w:marBottom w:val="0"/>
      <w:divBdr>
        <w:top w:val="none" w:sz="0" w:space="0" w:color="auto"/>
        <w:left w:val="none" w:sz="0" w:space="0" w:color="auto"/>
        <w:bottom w:val="none" w:sz="0" w:space="0" w:color="auto"/>
        <w:right w:val="none" w:sz="0" w:space="0" w:color="auto"/>
      </w:divBdr>
    </w:div>
    <w:div w:id="638265112">
      <w:bodyDiv w:val="1"/>
      <w:marLeft w:val="0"/>
      <w:marRight w:val="0"/>
      <w:marTop w:val="0"/>
      <w:marBottom w:val="0"/>
      <w:divBdr>
        <w:top w:val="none" w:sz="0" w:space="0" w:color="auto"/>
        <w:left w:val="none" w:sz="0" w:space="0" w:color="auto"/>
        <w:bottom w:val="none" w:sz="0" w:space="0" w:color="auto"/>
        <w:right w:val="none" w:sz="0" w:space="0" w:color="auto"/>
      </w:divBdr>
    </w:div>
    <w:div w:id="638266683">
      <w:bodyDiv w:val="1"/>
      <w:marLeft w:val="0"/>
      <w:marRight w:val="0"/>
      <w:marTop w:val="0"/>
      <w:marBottom w:val="0"/>
      <w:divBdr>
        <w:top w:val="none" w:sz="0" w:space="0" w:color="auto"/>
        <w:left w:val="none" w:sz="0" w:space="0" w:color="auto"/>
        <w:bottom w:val="none" w:sz="0" w:space="0" w:color="auto"/>
        <w:right w:val="none" w:sz="0" w:space="0" w:color="auto"/>
      </w:divBdr>
    </w:div>
    <w:div w:id="638386981">
      <w:bodyDiv w:val="1"/>
      <w:marLeft w:val="0"/>
      <w:marRight w:val="0"/>
      <w:marTop w:val="0"/>
      <w:marBottom w:val="0"/>
      <w:divBdr>
        <w:top w:val="none" w:sz="0" w:space="0" w:color="auto"/>
        <w:left w:val="none" w:sz="0" w:space="0" w:color="auto"/>
        <w:bottom w:val="none" w:sz="0" w:space="0" w:color="auto"/>
        <w:right w:val="none" w:sz="0" w:space="0" w:color="auto"/>
      </w:divBdr>
    </w:div>
    <w:div w:id="638389517">
      <w:bodyDiv w:val="1"/>
      <w:marLeft w:val="0"/>
      <w:marRight w:val="0"/>
      <w:marTop w:val="0"/>
      <w:marBottom w:val="0"/>
      <w:divBdr>
        <w:top w:val="none" w:sz="0" w:space="0" w:color="auto"/>
        <w:left w:val="none" w:sz="0" w:space="0" w:color="auto"/>
        <w:bottom w:val="none" w:sz="0" w:space="0" w:color="auto"/>
        <w:right w:val="none" w:sz="0" w:space="0" w:color="auto"/>
      </w:divBdr>
    </w:div>
    <w:div w:id="638459127">
      <w:bodyDiv w:val="1"/>
      <w:marLeft w:val="0"/>
      <w:marRight w:val="0"/>
      <w:marTop w:val="0"/>
      <w:marBottom w:val="0"/>
      <w:divBdr>
        <w:top w:val="none" w:sz="0" w:space="0" w:color="auto"/>
        <w:left w:val="none" w:sz="0" w:space="0" w:color="auto"/>
        <w:bottom w:val="none" w:sz="0" w:space="0" w:color="auto"/>
        <w:right w:val="none" w:sz="0" w:space="0" w:color="auto"/>
      </w:divBdr>
    </w:div>
    <w:div w:id="638725113">
      <w:bodyDiv w:val="1"/>
      <w:marLeft w:val="0"/>
      <w:marRight w:val="0"/>
      <w:marTop w:val="0"/>
      <w:marBottom w:val="0"/>
      <w:divBdr>
        <w:top w:val="none" w:sz="0" w:space="0" w:color="auto"/>
        <w:left w:val="none" w:sz="0" w:space="0" w:color="auto"/>
        <w:bottom w:val="none" w:sz="0" w:space="0" w:color="auto"/>
        <w:right w:val="none" w:sz="0" w:space="0" w:color="auto"/>
      </w:divBdr>
    </w:div>
    <w:div w:id="638732101">
      <w:bodyDiv w:val="1"/>
      <w:marLeft w:val="0"/>
      <w:marRight w:val="0"/>
      <w:marTop w:val="0"/>
      <w:marBottom w:val="0"/>
      <w:divBdr>
        <w:top w:val="none" w:sz="0" w:space="0" w:color="auto"/>
        <w:left w:val="none" w:sz="0" w:space="0" w:color="auto"/>
        <w:bottom w:val="none" w:sz="0" w:space="0" w:color="auto"/>
        <w:right w:val="none" w:sz="0" w:space="0" w:color="auto"/>
      </w:divBdr>
    </w:div>
    <w:div w:id="638803978">
      <w:bodyDiv w:val="1"/>
      <w:marLeft w:val="0"/>
      <w:marRight w:val="0"/>
      <w:marTop w:val="0"/>
      <w:marBottom w:val="0"/>
      <w:divBdr>
        <w:top w:val="none" w:sz="0" w:space="0" w:color="auto"/>
        <w:left w:val="none" w:sz="0" w:space="0" w:color="auto"/>
        <w:bottom w:val="none" w:sz="0" w:space="0" w:color="auto"/>
        <w:right w:val="none" w:sz="0" w:space="0" w:color="auto"/>
      </w:divBdr>
    </w:div>
    <w:div w:id="638804893">
      <w:bodyDiv w:val="1"/>
      <w:marLeft w:val="0"/>
      <w:marRight w:val="0"/>
      <w:marTop w:val="0"/>
      <w:marBottom w:val="0"/>
      <w:divBdr>
        <w:top w:val="none" w:sz="0" w:space="0" w:color="auto"/>
        <w:left w:val="none" w:sz="0" w:space="0" w:color="auto"/>
        <w:bottom w:val="none" w:sz="0" w:space="0" w:color="auto"/>
        <w:right w:val="none" w:sz="0" w:space="0" w:color="auto"/>
      </w:divBdr>
    </w:div>
    <w:div w:id="638846174">
      <w:bodyDiv w:val="1"/>
      <w:marLeft w:val="0"/>
      <w:marRight w:val="0"/>
      <w:marTop w:val="0"/>
      <w:marBottom w:val="0"/>
      <w:divBdr>
        <w:top w:val="none" w:sz="0" w:space="0" w:color="auto"/>
        <w:left w:val="none" w:sz="0" w:space="0" w:color="auto"/>
        <w:bottom w:val="none" w:sz="0" w:space="0" w:color="auto"/>
        <w:right w:val="none" w:sz="0" w:space="0" w:color="auto"/>
      </w:divBdr>
    </w:div>
    <w:div w:id="638923333">
      <w:bodyDiv w:val="1"/>
      <w:marLeft w:val="0"/>
      <w:marRight w:val="0"/>
      <w:marTop w:val="0"/>
      <w:marBottom w:val="0"/>
      <w:divBdr>
        <w:top w:val="none" w:sz="0" w:space="0" w:color="auto"/>
        <w:left w:val="none" w:sz="0" w:space="0" w:color="auto"/>
        <w:bottom w:val="none" w:sz="0" w:space="0" w:color="auto"/>
        <w:right w:val="none" w:sz="0" w:space="0" w:color="auto"/>
      </w:divBdr>
    </w:div>
    <w:div w:id="638998875">
      <w:bodyDiv w:val="1"/>
      <w:marLeft w:val="0"/>
      <w:marRight w:val="0"/>
      <w:marTop w:val="0"/>
      <w:marBottom w:val="0"/>
      <w:divBdr>
        <w:top w:val="none" w:sz="0" w:space="0" w:color="auto"/>
        <w:left w:val="none" w:sz="0" w:space="0" w:color="auto"/>
        <w:bottom w:val="none" w:sz="0" w:space="0" w:color="auto"/>
        <w:right w:val="none" w:sz="0" w:space="0" w:color="auto"/>
      </w:divBdr>
    </w:div>
    <w:div w:id="639264402">
      <w:bodyDiv w:val="1"/>
      <w:marLeft w:val="0"/>
      <w:marRight w:val="0"/>
      <w:marTop w:val="0"/>
      <w:marBottom w:val="0"/>
      <w:divBdr>
        <w:top w:val="none" w:sz="0" w:space="0" w:color="auto"/>
        <w:left w:val="none" w:sz="0" w:space="0" w:color="auto"/>
        <w:bottom w:val="none" w:sz="0" w:space="0" w:color="auto"/>
        <w:right w:val="none" w:sz="0" w:space="0" w:color="auto"/>
      </w:divBdr>
    </w:div>
    <w:div w:id="639270017">
      <w:bodyDiv w:val="1"/>
      <w:marLeft w:val="0"/>
      <w:marRight w:val="0"/>
      <w:marTop w:val="0"/>
      <w:marBottom w:val="0"/>
      <w:divBdr>
        <w:top w:val="none" w:sz="0" w:space="0" w:color="auto"/>
        <w:left w:val="none" w:sz="0" w:space="0" w:color="auto"/>
        <w:bottom w:val="none" w:sz="0" w:space="0" w:color="auto"/>
        <w:right w:val="none" w:sz="0" w:space="0" w:color="auto"/>
      </w:divBdr>
    </w:div>
    <w:div w:id="639311213">
      <w:bodyDiv w:val="1"/>
      <w:marLeft w:val="0"/>
      <w:marRight w:val="0"/>
      <w:marTop w:val="0"/>
      <w:marBottom w:val="0"/>
      <w:divBdr>
        <w:top w:val="none" w:sz="0" w:space="0" w:color="auto"/>
        <w:left w:val="none" w:sz="0" w:space="0" w:color="auto"/>
        <w:bottom w:val="none" w:sz="0" w:space="0" w:color="auto"/>
        <w:right w:val="none" w:sz="0" w:space="0" w:color="auto"/>
      </w:divBdr>
    </w:div>
    <w:div w:id="639577242">
      <w:bodyDiv w:val="1"/>
      <w:marLeft w:val="0"/>
      <w:marRight w:val="0"/>
      <w:marTop w:val="0"/>
      <w:marBottom w:val="0"/>
      <w:divBdr>
        <w:top w:val="none" w:sz="0" w:space="0" w:color="auto"/>
        <w:left w:val="none" w:sz="0" w:space="0" w:color="auto"/>
        <w:bottom w:val="none" w:sz="0" w:space="0" w:color="auto"/>
        <w:right w:val="none" w:sz="0" w:space="0" w:color="auto"/>
      </w:divBdr>
    </w:div>
    <w:div w:id="639577614">
      <w:bodyDiv w:val="1"/>
      <w:marLeft w:val="0"/>
      <w:marRight w:val="0"/>
      <w:marTop w:val="0"/>
      <w:marBottom w:val="0"/>
      <w:divBdr>
        <w:top w:val="none" w:sz="0" w:space="0" w:color="auto"/>
        <w:left w:val="none" w:sz="0" w:space="0" w:color="auto"/>
        <w:bottom w:val="none" w:sz="0" w:space="0" w:color="auto"/>
        <w:right w:val="none" w:sz="0" w:space="0" w:color="auto"/>
      </w:divBdr>
    </w:div>
    <w:div w:id="639651245">
      <w:bodyDiv w:val="1"/>
      <w:marLeft w:val="0"/>
      <w:marRight w:val="0"/>
      <w:marTop w:val="0"/>
      <w:marBottom w:val="0"/>
      <w:divBdr>
        <w:top w:val="none" w:sz="0" w:space="0" w:color="auto"/>
        <w:left w:val="none" w:sz="0" w:space="0" w:color="auto"/>
        <w:bottom w:val="none" w:sz="0" w:space="0" w:color="auto"/>
        <w:right w:val="none" w:sz="0" w:space="0" w:color="auto"/>
      </w:divBdr>
    </w:div>
    <w:div w:id="639726511">
      <w:bodyDiv w:val="1"/>
      <w:marLeft w:val="0"/>
      <w:marRight w:val="0"/>
      <w:marTop w:val="0"/>
      <w:marBottom w:val="0"/>
      <w:divBdr>
        <w:top w:val="none" w:sz="0" w:space="0" w:color="auto"/>
        <w:left w:val="none" w:sz="0" w:space="0" w:color="auto"/>
        <w:bottom w:val="none" w:sz="0" w:space="0" w:color="auto"/>
        <w:right w:val="none" w:sz="0" w:space="0" w:color="auto"/>
      </w:divBdr>
    </w:div>
    <w:div w:id="639769313">
      <w:bodyDiv w:val="1"/>
      <w:marLeft w:val="0"/>
      <w:marRight w:val="0"/>
      <w:marTop w:val="0"/>
      <w:marBottom w:val="0"/>
      <w:divBdr>
        <w:top w:val="none" w:sz="0" w:space="0" w:color="auto"/>
        <w:left w:val="none" w:sz="0" w:space="0" w:color="auto"/>
        <w:bottom w:val="none" w:sz="0" w:space="0" w:color="auto"/>
        <w:right w:val="none" w:sz="0" w:space="0" w:color="auto"/>
      </w:divBdr>
    </w:div>
    <w:div w:id="639842450">
      <w:bodyDiv w:val="1"/>
      <w:marLeft w:val="0"/>
      <w:marRight w:val="0"/>
      <w:marTop w:val="0"/>
      <w:marBottom w:val="0"/>
      <w:divBdr>
        <w:top w:val="none" w:sz="0" w:space="0" w:color="auto"/>
        <w:left w:val="none" w:sz="0" w:space="0" w:color="auto"/>
        <w:bottom w:val="none" w:sz="0" w:space="0" w:color="auto"/>
        <w:right w:val="none" w:sz="0" w:space="0" w:color="auto"/>
      </w:divBdr>
    </w:div>
    <w:div w:id="639925459">
      <w:bodyDiv w:val="1"/>
      <w:marLeft w:val="0"/>
      <w:marRight w:val="0"/>
      <w:marTop w:val="0"/>
      <w:marBottom w:val="0"/>
      <w:divBdr>
        <w:top w:val="none" w:sz="0" w:space="0" w:color="auto"/>
        <w:left w:val="none" w:sz="0" w:space="0" w:color="auto"/>
        <w:bottom w:val="none" w:sz="0" w:space="0" w:color="auto"/>
        <w:right w:val="none" w:sz="0" w:space="0" w:color="auto"/>
      </w:divBdr>
    </w:div>
    <w:div w:id="639959525">
      <w:bodyDiv w:val="1"/>
      <w:marLeft w:val="0"/>
      <w:marRight w:val="0"/>
      <w:marTop w:val="0"/>
      <w:marBottom w:val="0"/>
      <w:divBdr>
        <w:top w:val="none" w:sz="0" w:space="0" w:color="auto"/>
        <w:left w:val="none" w:sz="0" w:space="0" w:color="auto"/>
        <w:bottom w:val="none" w:sz="0" w:space="0" w:color="auto"/>
        <w:right w:val="none" w:sz="0" w:space="0" w:color="auto"/>
      </w:divBdr>
    </w:div>
    <w:div w:id="639962016">
      <w:bodyDiv w:val="1"/>
      <w:marLeft w:val="0"/>
      <w:marRight w:val="0"/>
      <w:marTop w:val="0"/>
      <w:marBottom w:val="0"/>
      <w:divBdr>
        <w:top w:val="none" w:sz="0" w:space="0" w:color="auto"/>
        <w:left w:val="none" w:sz="0" w:space="0" w:color="auto"/>
        <w:bottom w:val="none" w:sz="0" w:space="0" w:color="auto"/>
        <w:right w:val="none" w:sz="0" w:space="0" w:color="auto"/>
      </w:divBdr>
    </w:div>
    <w:div w:id="640114886">
      <w:bodyDiv w:val="1"/>
      <w:marLeft w:val="0"/>
      <w:marRight w:val="0"/>
      <w:marTop w:val="0"/>
      <w:marBottom w:val="0"/>
      <w:divBdr>
        <w:top w:val="none" w:sz="0" w:space="0" w:color="auto"/>
        <w:left w:val="none" w:sz="0" w:space="0" w:color="auto"/>
        <w:bottom w:val="none" w:sz="0" w:space="0" w:color="auto"/>
        <w:right w:val="none" w:sz="0" w:space="0" w:color="auto"/>
      </w:divBdr>
    </w:div>
    <w:div w:id="640162145">
      <w:bodyDiv w:val="1"/>
      <w:marLeft w:val="0"/>
      <w:marRight w:val="0"/>
      <w:marTop w:val="0"/>
      <w:marBottom w:val="0"/>
      <w:divBdr>
        <w:top w:val="none" w:sz="0" w:space="0" w:color="auto"/>
        <w:left w:val="none" w:sz="0" w:space="0" w:color="auto"/>
        <w:bottom w:val="none" w:sz="0" w:space="0" w:color="auto"/>
        <w:right w:val="none" w:sz="0" w:space="0" w:color="auto"/>
      </w:divBdr>
    </w:div>
    <w:div w:id="640615900">
      <w:bodyDiv w:val="1"/>
      <w:marLeft w:val="0"/>
      <w:marRight w:val="0"/>
      <w:marTop w:val="0"/>
      <w:marBottom w:val="0"/>
      <w:divBdr>
        <w:top w:val="none" w:sz="0" w:space="0" w:color="auto"/>
        <w:left w:val="none" w:sz="0" w:space="0" w:color="auto"/>
        <w:bottom w:val="none" w:sz="0" w:space="0" w:color="auto"/>
        <w:right w:val="none" w:sz="0" w:space="0" w:color="auto"/>
      </w:divBdr>
    </w:div>
    <w:div w:id="640690279">
      <w:bodyDiv w:val="1"/>
      <w:marLeft w:val="0"/>
      <w:marRight w:val="0"/>
      <w:marTop w:val="0"/>
      <w:marBottom w:val="0"/>
      <w:divBdr>
        <w:top w:val="none" w:sz="0" w:space="0" w:color="auto"/>
        <w:left w:val="none" w:sz="0" w:space="0" w:color="auto"/>
        <w:bottom w:val="none" w:sz="0" w:space="0" w:color="auto"/>
        <w:right w:val="none" w:sz="0" w:space="0" w:color="auto"/>
      </w:divBdr>
    </w:div>
    <w:div w:id="640816706">
      <w:bodyDiv w:val="1"/>
      <w:marLeft w:val="0"/>
      <w:marRight w:val="0"/>
      <w:marTop w:val="0"/>
      <w:marBottom w:val="0"/>
      <w:divBdr>
        <w:top w:val="none" w:sz="0" w:space="0" w:color="auto"/>
        <w:left w:val="none" w:sz="0" w:space="0" w:color="auto"/>
        <w:bottom w:val="none" w:sz="0" w:space="0" w:color="auto"/>
        <w:right w:val="none" w:sz="0" w:space="0" w:color="auto"/>
      </w:divBdr>
    </w:div>
    <w:div w:id="641035968">
      <w:bodyDiv w:val="1"/>
      <w:marLeft w:val="0"/>
      <w:marRight w:val="0"/>
      <w:marTop w:val="0"/>
      <w:marBottom w:val="0"/>
      <w:divBdr>
        <w:top w:val="none" w:sz="0" w:space="0" w:color="auto"/>
        <w:left w:val="none" w:sz="0" w:space="0" w:color="auto"/>
        <w:bottom w:val="none" w:sz="0" w:space="0" w:color="auto"/>
        <w:right w:val="none" w:sz="0" w:space="0" w:color="auto"/>
      </w:divBdr>
    </w:div>
    <w:div w:id="641078733">
      <w:bodyDiv w:val="1"/>
      <w:marLeft w:val="0"/>
      <w:marRight w:val="0"/>
      <w:marTop w:val="0"/>
      <w:marBottom w:val="0"/>
      <w:divBdr>
        <w:top w:val="none" w:sz="0" w:space="0" w:color="auto"/>
        <w:left w:val="none" w:sz="0" w:space="0" w:color="auto"/>
        <w:bottom w:val="none" w:sz="0" w:space="0" w:color="auto"/>
        <w:right w:val="none" w:sz="0" w:space="0" w:color="auto"/>
      </w:divBdr>
    </w:div>
    <w:div w:id="641152481">
      <w:bodyDiv w:val="1"/>
      <w:marLeft w:val="0"/>
      <w:marRight w:val="0"/>
      <w:marTop w:val="0"/>
      <w:marBottom w:val="0"/>
      <w:divBdr>
        <w:top w:val="none" w:sz="0" w:space="0" w:color="auto"/>
        <w:left w:val="none" w:sz="0" w:space="0" w:color="auto"/>
        <w:bottom w:val="none" w:sz="0" w:space="0" w:color="auto"/>
        <w:right w:val="none" w:sz="0" w:space="0" w:color="auto"/>
      </w:divBdr>
    </w:div>
    <w:div w:id="641152862">
      <w:bodyDiv w:val="1"/>
      <w:marLeft w:val="0"/>
      <w:marRight w:val="0"/>
      <w:marTop w:val="0"/>
      <w:marBottom w:val="0"/>
      <w:divBdr>
        <w:top w:val="none" w:sz="0" w:space="0" w:color="auto"/>
        <w:left w:val="none" w:sz="0" w:space="0" w:color="auto"/>
        <w:bottom w:val="none" w:sz="0" w:space="0" w:color="auto"/>
        <w:right w:val="none" w:sz="0" w:space="0" w:color="auto"/>
      </w:divBdr>
    </w:div>
    <w:div w:id="641233373">
      <w:bodyDiv w:val="1"/>
      <w:marLeft w:val="0"/>
      <w:marRight w:val="0"/>
      <w:marTop w:val="0"/>
      <w:marBottom w:val="0"/>
      <w:divBdr>
        <w:top w:val="none" w:sz="0" w:space="0" w:color="auto"/>
        <w:left w:val="none" w:sz="0" w:space="0" w:color="auto"/>
        <w:bottom w:val="none" w:sz="0" w:space="0" w:color="auto"/>
        <w:right w:val="none" w:sz="0" w:space="0" w:color="auto"/>
      </w:divBdr>
    </w:div>
    <w:div w:id="641275126">
      <w:bodyDiv w:val="1"/>
      <w:marLeft w:val="0"/>
      <w:marRight w:val="0"/>
      <w:marTop w:val="0"/>
      <w:marBottom w:val="0"/>
      <w:divBdr>
        <w:top w:val="none" w:sz="0" w:space="0" w:color="auto"/>
        <w:left w:val="none" w:sz="0" w:space="0" w:color="auto"/>
        <w:bottom w:val="none" w:sz="0" w:space="0" w:color="auto"/>
        <w:right w:val="none" w:sz="0" w:space="0" w:color="auto"/>
      </w:divBdr>
    </w:div>
    <w:div w:id="641275502">
      <w:bodyDiv w:val="1"/>
      <w:marLeft w:val="0"/>
      <w:marRight w:val="0"/>
      <w:marTop w:val="0"/>
      <w:marBottom w:val="0"/>
      <w:divBdr>
        <w:top w:val="none" w:sz="0" w:space="0" w:color="auto"/>
        <w:left w:val="none" w:sz="0" w:space="0" w:color="auto"/>
        <w:bottom w:val="none" w:sz="0" w:space="0" w:color="auto"/>
        <w:right w:val="none" w:sz="0" w:space="0" w:color="auto"/>
      </w:divBdr>
    </w:div>
    <w:div w:id="641496126">
      <w:bodyDiv w:val="1"/>
      <w:marLeft w:val="0"/>
      <w:marRight w:val="0"/>
      <w:marTop w:val="0"/>
      <w:marBottom w:val="0"/>
      <w:divBdr>
        <w:top w:val="none" w:sz="0" w:space="0" w:color="auto"/>
        <w:left w:val="none" w:sz="0" w:space="0" w:color="auto"/>
        <w:bottom w:val="none" w:sz="0" w:space="0" w:color="auto"/>
        <w:right w:val="none" w:sz="0" w:space="0" w:color="auto"/>
      </w:divBdr>
    </w:div>
    <w:div w:id="641541233">
      <w:bodyDiv w:val="1"/>
      <w:marLeft w:val="0"/>
      <w:marRight w:val="0"/>
      <w:marTop w:val="0"/>
      <w:marBottom w:val="0"/>
      <w:divBdr>
        <w:top w:val="none" w:sz="0" w:space="0" w:color="auto"/>
        <w:left w:val="none" w:sz="0" w:space="0" w:color="auto"/>
        <w:bottom w:val="none" w:sz="0" w:space="0" w:color="auto"/>
        <w:right w:val="none" w:sz="0" w:space="0" w:color="auto"/>
      </w:divBdr>
    </w:div>
    <w:div w:id="641736602">
      <w:bodyDiv w:val="1"/>
      <w:marLeft w:val="0"/>
      <w:marRight w:val="0"/>
      <w:marTop w:val="0"/>
      <w:marBottom w:val="0"/>
      <w:divBdr>
        <w:top w:val="none" w:sz="0" w:space="0" w:color="auto"/>
        <w:left w:val="none" w:sz="0" w:space="0" w:color="auto"/>
        <w:bottom w:val="none" w:sz="0" w:space="0" w:color="auto"/>
        <w:right w:val="none" w:sz="0" w:space="0" w:color="auto"/>
      </w:divBdr>
    </w:div>
    <w:div w:id="641815131">
      <w:bodyDiv w:val="1"/>
      <w:marLeft w:val="0"/>
      <w:marRight w:val="0"/>
      <w:marTop w:val="0"/>
      <w:marBottom w:val="0"/>
      <w:divBdr>
        <w:top w:val="none" w:sz="0" w:space="0" w:color="auto"/>
        <w:left w:val="none" w:sz="0" w:space="0" w:color="auto"/>
        <w:bottom w:val="none" w:sz="0" w:space="0" w:color="auto"/>
        <w:right w:val="none" w:sz="0" w:space="0" w:color="auto"/>
      </w:divBdr>
    </w:div>
    <w:div w:id="642078340">
      <w:bodyDiv w:val="1"/>
      <w:marLeft w:val="0"/>
      <w:marRight w:val="0"/>
      <w:marTop w:val="0"/>
      <w:marBottom w:val="0"/>
      <w:divBdr>
        <w:top w:val="none" w:sz="0" w:space="0" w:color="auto"/>
        <w:left w:val="none" w:sz="0" w:space="0" w:color="auto"/>
        <w:bottom w:val="none" w:sz="0" w:space="0" w:color="auto"/>
        <w:right w:val="none" w:sz="0" w:space="0" w:color="auto"/>
      </w:divBdr>
    </w:div>
    <w:div w:id="642083273">
      <w:bodyDiv w:val="1"/>
      <w:marLeft w:val="0"/>
      <w:marRight w:val="0"/>
      <w:marTop w:val="0"/>
      <w:marBottom w:val="0"/>
      <w:divBdr>
        <w:top w:val="none" w:sz="0" w:space="0" w:color="auto"/>
        <w:left w:val="none" w:sz="0" w:space="0" w:color="auto"/>
        <w:bottom w:val="none" w:sz="0" w:space="0" w:color="auto"/>
        <w:right w:val="none" w:sz="0" w:space="0" w:color="auto"/>
      </w:divBdr>
    </w:div>
    <w:div w:id="642083460">
      <w:bodyDiv w:val="1"/>
      <w:marLeft w:val="0"/>
      <w:marRight w:val="0"/>
      <w:marTop w:val="0"/>
      <w:marBottom w:val="0"/>
      <w:divBdr>
        <w:top w:val="none" w:sz="0" w:space="0" w:color="auto"/>
        <w:left w:val="none" w:sz="0" w:space="0" w:color="auto"/>
        <w:bottom w:val="none" w:sz="0" w:space="0" w:color="auto"/>
        <w:right w:val="none" w:sz="0" w:space="0" w:color="auto"/>
      </w:divBdr>
    </w:div>
    <w:div w:id="642152908">
      <w:bodyDiv w:val="1"/>
      <w:marLeft w:val="0"/>
      <w:marRight w:val="0"/>
      <w:marTop w:val="0"/>
      <w:marBottom w:val="0"/>
      <w:divBdr>
        <w:top w:val="none" w:sz="0" w:space="0" w:color="auto"/>
        <w:left w:val="none" w:sz="0" w:space="0" w:color="auto"/>
        <w:bottom w:val="none" w:sz="0" w:space="0" w:color="auto"/>
        <w:right w:val="none" w:sz="0" w:space="0" w:color="auto"/>
      </w:divBdr>
    </w:div>
    <w:div w:id="642198613">
      <w:bodyDiv w:val="1"/>
      <w:marLeft w:val="0"/>
      <w:marRight w:val="0"/>
      <w:marTop w:val="0"/>
      <w:marBottom w:val="0"/>
      <w:divBdr>
        <w:top w:val="none" w:sz="0" w:space="0" w:color="auto"/>
        <w:left w:val="none" w:sz="0" w:space="0" w:color="auto"/>
        <w:bottom w:val="none" w:sz="0" w:space="0" w:color="auto"/>
        <w:right w:val="none" w:sz="0" w:space="0" w:color="auto"/>
      </w:divBdr>
    </w:div>
    <w:div w:id="642270484">
      <w:bodyDiv w:val="1"/>
      <w:marLeft w:val="0"/>
      <w:marRight w:val="0"/>
      <w:marTop w:val="0"/>
      <w:marBottom w:val="0"/>
      <w:divBdr>
        <w:top w:val="none" w:sz="0" w:space="0" w:color="auto"/>
        <w:left w:val="none" w:sz="0" w:space="0" w:color="auto"/>
        <w:bottom w:val="none" w:sz="0" w:space="0" w:color="auto"/>
        <w:right w:val="none" w:sz="0" w:space="0" w:color="auto"/>
      </w:divBdr>
    </w:div>
    <w:div w:id="642270598">
      <w:bodyDiv w:val="1"/>
      <w:marLeft w:val="0"/>
      <w:marRight w:val="0"/>
      <w:marTop w:val="0"/>
      <w:marBottom w:val="0"/>
      <w:divBdr>
        <w:top w:val="none" w:sz="0" w:space="0" w:color="auto"/>
        <w:left w:val="none" w:sz="0" w:space="0" w:color="auto"/>
        <w:bottom w:val="none" w:sz="0" w:space="0" w:color="auto"/>
        <w:right w:val="none" w:sz="0" w:space="0" w:color="auto"/>
      </w:divBdr>
    </w:div>
    <w:div w:id="642348112">
      <w:bodyDiv w:val="1"/>
      <w:marLeft w:val="0"/>
      <w:marRight w:val="0"/>
      <w:marTop w:val="0"/>
      <w:marBottom w:val="0"/>
      <w:divBdr>
        <w:top w:val="none" w:sz="0" w:space="0" w:color="auto"/>
        <w:left w:val="none" w:sz="0" w:space="0" w:color="auto"/>
        <w:bottom w:val="none" w:sz="0" w:space="0" w:color="auto"/>
        <w:right w:val="none" w:sz="0" w:space="0" w:color="auto"/>
      </w:divBdr>
    </w:div>
    <w:div w:id="642348299">
      <w:bodyDiv w:val="1"/>
      <w:marLeft w:val="0"/>
      <w:marRight w:val="0"/>
      <w:marTop w:val="0"/>
      <w:marBottom w:val="0"/>
      <w:divBdr>
        <w:top w:val="none" w:sz="0" w:space="0" w:color="auto"/>
        <w:left w:val="none" w:sz="0" w:space="0" w:color="auto"/>
        <w:bottom w:val="none" w:sz="0" w:space="0" w:color="auto"/>
        <w:right w:val="none" w:sz="0" w:space="0" w:color="auto"/>
      </w:divBdr>
    </w:div>
    <w:div w:id="642660329">
      <w:bodyDiv w:val="1"/>
      <w:marLeft w:val="0"/>
      <w:marRight w:val="0"/>
      <w:marTop w:val="0"/>
      <w:marBottom w:val="0"/>
      <w:divBdr>
        <w:top w:val="none" w:sz="0" w:space="0" w:color="auto"/>
        <w:left w:val="none" w:sz="0" w:space="0" w:color="auto"/>
        <w:bottom w:val="none" w:sz="0" w:space="0" w:color="auto"/>
        <w:right w:val="none" w:sz="0" w:space="0" w:color="auto"/>
      </w:divBdr>
    </w:div>
    <w:div w:id="642736310">
      <w:bodyDiv w:val="1"/>
      <w:marLeft w:val="0"/>
      <w:marRight w:val="0"/>
      <w:marTop w:val="0"/>
      <w:marBottom w:val="0"/>
      <w:divBdr>
        <w:top w:val="none" w:sz="0" w:space="0" w:color="auto"/>
        <w:left w:val="none" w:sz="0" w:space="0" w:color="auto"/>
        <w:bottom w:val="none" w:sz="0" w:space="0" w:color="auto"/>
        <w:right w:val="none" w:sz="0" w:space="0" w:color="auto"/>
      </w:divBdr>
    </w:div>
    <w:div w:id="642930283">
      <w:bodyDiv w:val="1"/>
      <w:marLeft w:val="0"/>
      <w:marRight w:val="0"/>
      <w:marTop w:val="0"/>
      <w:marBottom w:val="0"/>
      <w:divBdr>
        <w:top w:val="none" w:sz="0" w:space="0" w:color="auto"/>
        <w:left w:val="none" w:sz="0" w:space="0" w:color="auto"/>
        <w:bottom w:val="none" w:sz="0" w:space="0" w:color="auto"/>
        <w:right w:val="none" w:sz="0" w:space="0" w:color="auto"/>
      </w:divBdr>
    </w:div>
    <w:div w:id="642932572">
      <w:bodyDiv w:val="1"/>
      <w:marLeft w:val="0"/>
      <w:marRight w:val="0"/>
      <w:marTop w:val="0"/>
      <w:marBottom w:val="0"/>
      <w:divBdr>
        <w:top w:val="none" w:sz="0" w:space="0" w:color="auto"/>
        <w:left w:val="none" w:sz="0" w:space="0" w:color="auto"/>
        <w:bottom w:val="none" w:sz="0" w:space="0" w:color="auto"/>
        <w:right w:val="none" w:sz="0" w:space="0" w:color="auto"/>
      </w:divBdr>
    </w:div>
    <w:div w:id="643046271">
      <w:bodyDiv w:val="1"/>
      <w:marLeft w:val="0"/>
      <w:marRight w:val="0"/>
      <w:marTop w:val="0"/>
      <w:marBottom w:val="0"/>
      <w:divBdr>
        <w:top w:val="none" w:sz="0" w:space="0" w:color="auto"/>
        <w:left w:val="none" w:sz="0" w:space="0" w:color="auto"/>
        <w:bottom w:val="none" w:sz="0" w:space="0" w:color="auto"/>
        <w:right w:val="none" w:sz="0" w:space="0" w:color="auto"/>
      </w:divBdr>
    </w:div>
    <w:div w:id="643047764">
      <w:bodyDiv w:val="1"/>
      <w:marLeft w:val="0"/>
      <w:marRight w:val="0"/>
      <w:marTop w:val="0"/>
      <w:marBottom w:val="0"/>
      <w:divBdr>
        <w:top w:val="none" w:sz="0" w:space="0" w:color="auto"/>
        <w:left w:val="none" w:sz="0" w:space="0" w:color="auto"/>
        <w:bottom w:val="none" w:sz="0" w:space="0" w:color="auto"/>
        <w:right w:val="none" w:sz="0" w:space="0" w:color="auto"/>
      </w:divBdr>
    </w:div>
    <w:div w:id="643238266">
      <w:bodyDiv w:val="1"/>
      <w:marLeft w:val="0"/>
      <w:marRight w:val="0"/>
      <w:marTop w:val="0"/>
      <w:marBottom w:val="0"/>
      <w:divBdr>
        <w:top w:val="none" w:sz="0" w:space="0" w:color="auto"/>
        <w:left w:val="none" w:sz="0" w:space="0" w:color="auto"/>
        <w:bottom w:val="none" w:sz="0" w:space="0" w:color="auto"/>
        <w:right w:val="none" w:sz="0" w:space="0" w:color="auto"/>
      </w:divBdr>
    </w:div>
    <w:div w:id="643241075">
      <w:bodyDiv w:val="1"/>
      <w:marLeft w:val="0"/>
      <w:marRight w:val="0"/>
      <w:marTop w:val="0"/>
      <w:marBottom w:val="0"/>
      <w:divBdr>
        <w:top w:val="none" w:sz="0" w:space="0" w:color="auto"/>
        <w:left w:val="none" w:sz="0" w:space="0" w:color="auto"/>
        <w:bottom w:val="none" w:sz="0" w:space="0" w:color="auto"/>
        <w:right w:val="none" w:sz="0" w:space="0" w:color="auto"/>
      </w:divBdr>
    </w:div>
    <w:div w:id="643241592">
      <w:bodyDiv w:val="1"/>
      <w:marLeft w:val="0"/>
      <w:marRight w:val="0"/>
      <w:marTop w:val="0"/>
      <w:marBottom w:val="0"/>
      <w:divBdr>
        <w:top w:val="none" w:sz="0" w:space="0" w:color="auto"/>
        <w:left w:val="none" w:sz="0" w:space="0" w:color="auto"/>
        <w:bottom w:val="none" w:sz="0" w:space="0" w:color="auto"/>
        <w:right w:val="none" w:sz="0" w:space="0" w:color="auto"/>
      </w:divBdr>
    </w:div>
    <w:div w:id="643242087">
      <w:bodyDiv w:val="1"/>
      <w:marLeft w:val="0"/>
      <w:marRight w:val="0"/>
      <w:marTop w:val="0"/>
      <w:marBottom w:val="0"/>
      <w:divBdr>
        <w:top w:val="none" w:sz="0" w:space="0" w:color="auto"/>
        <w:left w:val="none" w:sz="0" w:space="0" w:color="auto"/>
        <w:bottom w:val="none" w:sz="0" w:space="0" w:color="auto"/>
        <w:right w:val="none" w:sz="0" w:space="0" w:color="auto"/>
      </w:divBdr>
    </w:div>
    <w:div w:id="643242378">
      <w:bodyDiv w:val="1"/>
      <w:marLeft w:val="0"/>
      <w:marRight w:val="0"/>
      <w:marTop w:val="0"/>
      <w:marBottom w:val="0"/>
      <w:divBdr>
        <w:top w:val="none" w:sz="0" w:space="0" w:color="auto"/>
        <w:left w:val="none" w:sz="0" w:space="0" w:color="auto"/>
        <w:bottom w:val="none" w:sz="0" w:space="0" w:color="auto"/>
        <w:right w:val="none" w:sz="0" w:space="0" w:color="auto"/>
      </w:divBdr>
    </w:div>
    <w:div w:id="643314372">
      <w:bodyDiv w:val="1"/>
      <w:marLeft w:val="0"/>
      <w:marRight w:val="0"/>
      <w:marTop w:val="0"/>
      <w:marBottom w:val="0"/>
      <w:divBdr>
        <w:top w:val="none" w:sz="0" w:space="0" w:color="auto"/>
        <w:left w:val="none" w:sz="0" w:space="0" w:color="auto"/>
        <w:bottom w:val="none" w:sz="0" w:space="0" w:color="auto"/>
        <w:right w:val="none" w:sz="0" w:space="0" w:color="auto"/>
      </w:divBdr>
    </w:div>
    <w:div w:id="643463299">
      <w:bodyDiv w:val="1"/>
      <w:marLeft w:val="0"/>
      <w:marRight w:val="0"/>
      <w:marTop w:val="0"/>
      <w:marBottom w:val="0"/>
      <w:divBdr>
        <w:top w:val="none" w:sz="0" w:space="0" w:color="auto"/>
        <w:left w:val="none" w:sz="0" w:space="0" w:color="auto"/>
        <w:bottom w:val="none" w:sz="0" w:space="0" w:color="auto"/>
        <w:right w:val="none" w:sz="0" w:space="0" w:color="auto"/>
      </w:divBdr>
    </w:div>
    <w:div w:id="643465095">
      <w:bodyDiv w:val="1"/>
      <w:marLeft w:val="0"/>
      <w:marRight w:val="0"/>
      <w:marTop w:val="0"/>
      <w:marBottom w:val="0"/>
      <w:divBdr>
        <w:top w:val="none" w:sz="0" w:space="0" w:color="auto"/>
        <w:left w:val="none" w:sz="0" w:space="0" w:color="auto"/>
        <w:bottom w:val="none" w:sz="0" w:space="0" w:color="auto"/>
        <w:right w:val="none" w:sz="0" w:space="0" w:color="auto"/>
      </w:divBdr>
    </w:div>
    <w:div w:id="643658566">
      <w:bodyDiv w:val="1"/>
      <w:marLeft w:val="0"/>
      <w:marRight w:val="0"/>
      <w:marTop w:val="0"/>
      <w:marBottom w:val="0"/>
      <w:divBdr>
        <w:top w:val="none" w:sz="0" w:space="0" w:color="auto"/>
        <w:left w:val="none" w:sz="0" w:space="0" w:color="auto"/>
        <w:bottom w:val="none" w:sz="0" w:space="0" w:color="auto"/>
        <w:right w:val="none" w:sz="0" w:space="0" w:color="auto"/>
      </w:divBdr>
    </w:div>
    <w:div w:id="643699664">
      <w:bodyDiv w:val="1"/>
      <w:marLeft w:val="0"/>
      <w:marRight w:val="0"/>
      <w:marTop w:val="0"/>
      <w:marBottom w:val="0"/>
      <w:divBdr>
        <w:top w:val="none" w:sz="0" w:space="0" w:color="auto"/>
        <w:left w:val="none" w:sz="0" w:space="0" w:color="auto"/>
        <w:bottom w:val="none" w:sz="0" w:space="0" w:color="auto"/>
        <w:right w:val="none" w:sz="0" w:space="0" w:color="auto"/>
      </w:divBdr>
    </w:div>
    <w:div w:id="643703206">
      <w:bodyDiv w:val="1"/>
      <w:marLeft w:val="0"/>
      <w:marRight w:val="0"/>
      <w:marTop w:val="0"/>
      <w:marBottom w:val="0"/>
      <w:divBdr>
        <w:top w:val="none" w:sz="0" w:space="0" w:color="auto"/>
        <w:left w:val="none" w:sz="0" w:space="0" w:color="auto"/>
        <w:bottom w:val="none" w:sz="0" w:space="0" w:color="auto"/>
        <w:right w:val="none" w:sz="0" w:space="0" w:color="auto"/>
      </w:divBdr>
    </w:div>
    <w:div w:id="643774670">
      <w:bodyDiv w:val="1"/>
      <w:marLeft w:val="0"/>
      <w:marRight w:val="0"/>
      <w:marTop w:val="0"/>
      <w:marBottom w:val="0"/>
      <w:divBdr>
        <w:top w:val="none" w:sz="0" w:space="0" w:color="auto"/>
        <w:left w:val="none" w:sz="0" w:space="0" w:color="auto"/>
        <w:bottom w:val="none" w:sz="0" w:space="0" w:color="auto"/>
        <w:right w:val="none" w:sz="0" w:space="0" w:color="auto"/>
      </w:divBdr>
    </w:div>
    <w:div w:id="643968615">
      <w:bodyDiv w:val="1"/>
      <w:marLeft w:val="0"/>
      <w:marRight w:val="0"/>
      <w:marTop w:val="0"/>
      <w:marBottom w:val="0"/>
      <w:divBdr>
        <w:top w:val="none" w:sz="0" w:space="0" w:color="auto"/>
        <w:left w:val="none" w:sz="0" w:space="0" w:color="auto"/>
        <w:bottom w:val="none" w:sz="0" w:space="0" w:color="auto"/>
        <w:right w:val="none" w:sz="0" w:space="0" w:color="auto"/>
      </w:divBdr>
    </w:div>
    <w:div w:id="644353724">
      <w:bodyDiv w:val="1"/>
      <w:marLeft w:val="0"/>
      <w:marRight w:val="0"/>
      <w:marTop w:val="0"/>
      <w:marBottom w:val="0"/>
      <w:divBdr>
        <w:top w:val="none" w:sz="0" w:space="0" w:color="auto"/>
        <w:left w:val="none" w:sz="0" w:space="0" w:color="auto"/>
        <w:bottom w:val="none" w:sz="0" w:space="0" w:color="auto"/>
        <w:right w:val="none" w:sz="0" w:space="0" w:color="auto"/>
      </w:divBdr>
    </w:div>
    <w:div w:id="644356707">
      <w:bodyDiv w:val="1"/>
      <w:marLeft w:val="0"/>
      <w:marRight w:val="0"/>
      <w:marTop w:val="0"/>
      <w:marBottom w:val="0"/>
      <w:divBdr>
        <w:top w:val="none" w:sz="0" w:space="0" w:color="auto"/>
        <w:left w:val="none" w:sz="0" w:space="0" w:color="auto"/>
        <w:bottom w:val="none" w:sz="0" w:space="0" w:color="auto"/>
        <w:right w:val="none" w:sz="0" w:space="0" w:color="auto"/>
      </w:divBdr>
    </w:div>
    <w:div w:id="644357399">
      <w:bodyDiv w:val="1"/>
      <w:marLeft w:val="0"/>
      <w:marRight w:val="0"/>
      <w:marTop w:val="0"/>
      <w:marBottom w:val="0"/>
      <w:divBdr>
        <w:top w:val="none" w:sz="0" w:space="0" w:color="auto"/>
        <w:left w:val="none" w:sz="0" w:space="0" w:color="auto"/>
        <w:bottom w:val="none" w:sz="0" w:space="0" w:color="auto"/>
        <w:right w:val="none" w:sz="0" w:space="0" w:color="auto"/>
      </w:divBdr>
    </w:div>
    <w:div w:id="644546843">
      <w:bodyDiv w:val="1"/>
      <w:marLeft w:val="0"/>
      <w:marRight w:val="0"/>
      <w:marTop w:val="0"/>
      <w:marBottom w:val="0"/>
      <w:divBdr>
        <w:top w:val="none" w:sz="0" w:space="0" w:color="auto"/>
        <w:left w:val="none" w:sz="0" w:space="0" w:color="auto"/>
        <w:bottom w:val="none" w:sz="0" w:space="0" w:color="auto"/>
        <w:right w:val="none" w:sz="0" w:space="0" w:color="auto"/>
      </w:divBdr>
    </w:div>
    <w:div w:id="644548059">
      <w:bodyDiv w:val="1"/>
      <w:marLeft w:val="0"/>
      <w:marRight w:val="0"/>
      <w:marTop w:val="0"/>
      <w:marBottom w:val="0"/>
      <w:divBdr>
        <w:top w:val="none" w:sz="0" w:space="0" w:color="auto"/>
        <w:left w:val="none" w:sz="0" w:space="0" w:color="auto"/>
        <w:bottom w:val="none" w:sz="0" w:space="0" w:color="auto"/>
        <w:right w:val="none" w:sz="0" w:space="0" w:color="auto"/>
      </w:divBdr>
    </w:div>
    <w:div w:id="644553128">
      <w:bodyDiv w:val="1"/>
      <w:marLeft w:val="0"/>
      <w:marRight w:val="0"/>
      <w:marTop w:val="0"/>
      <w:marBottom w:val="0"/>
      <w:divBdr>
        <w:top w:val="none" w:sz="0" w:space="0" w:color="auto"/>
        <w:left w:val="none" w:sz="0" w:space="0" w:color="auto"/>
        <w:bottom w:val="none" w:sz="0" w:space="0" w:color="auto"/>
        <w:right w:val="none" w:sz="0" w:space="0" w:color="auto"/>
      </w:divBdr>
    </w:div>
    <w:div w:id="644699947">
      <w:bodyDiv w:val="1"/>
      <w:marLeft w:val="0"/>
      <w:marRight w:val="0"/>
      <w:marTop w:val="0"/>
      <w:marBottom w:val="0"/>
      <w:divBdr>
        <w:top w:val="none" w:sz="0" w:space="0" w:color="auto"/>
        <w:left w:val="none" w:sz="0" w:space="0" w:color="auto"/>
        <w:bottom w:val="none" w:sz="0" w:space="0" w:color="auto"/>
        <w:right w:val="none" w:sz="0" w:space="0" w:color="auto"/>
      </w:divBdr>
    </w:div>
    <w:div w:id="644702630">
      <w:bodyDiv w:val="1"/>
      <w:marLeft w:val="0"/>
      <w:marRight w:val="0"/>
      <w:marTop w:val="0"/>
      <w:marBottom w:val="0"/>
      <w:divBdr>
        <w:top w:val="none" w:sz="0" w:space="0" w:color="auto"/>
        <w:left w:val="none" w:sz="0" w:space="0" w:color="auto"/>
        <w:bottom w:val="none" w:sz="0" w:space="0" w:color="auto"/>
        <w:right w:val="none" w:sz="0" w:space="0" w:color="auto"/>
      </w:divBdr>
    </w:div>
    <w:div w:id="644817837">
      <w:bodyDiv w:val="1"/>
      <w:marLeft w:val="0"/>
      <w:marRight w:val="0"/>
      <w:marTop w:val="0"/>
      <w:marBottom w:val="0"/>
      <w:divBdr>
        <w:top w:val="none" w:sz="0" w:space="0" w:color="auto"/>
        <w:left w:val="none" w:sz="0" w:space="0" w:color="auto"/>
        <w:bottom w:val="none" w:sz="0" w:space="0" w:color="auto"/>
        <w:right w:val="none" w:sz="0" w:space="0" w:color="auto"/>
      </w:divBdr>
    </w:div>
    <w:div w:id="644818019">
      <w:bodyDiv w:val="1"/>
      <w:marLeft w:val="0"/>
      <w:marRight w:val="0"/>
      <w:marTop w:val="0"/>
      <w:marBottom w:val="0"/>
      <w:divBdr>
        <w:top w:val="none" w:sz="0" w:space="0" w:color="auto"/>
        <w:left w:val="none" w:sz="0" w:space="0" w:color="auto"/>
        <w:bottom w:val="none" w:sz="0" w:space="0" w:color="auto"/>
        <w:right w:val="none" w:sz="0" w:space="0" w:color="auto"/>
      </w:divBdr>
    </w:div>
    <w:div w:id="644823761">
      <w:bodyDiv w:val="1"/>
      <w:marLeft w:val="0"/>
      <w:marRight w:val="0"/>
      <w:marTop w:val="0"/>
      <w:marBottom w:val="0"/>
      <w:divBdr>
        <w:top w:val="none" w:sz="0" w:space="0" w:color="auto"/>
        <w:left w:val="none" w:sz="0" w:space="0" w:color="auto"/>
        <w:bottom w:val="none" w:sz="0" w:space="0" w:color="auto"/>
        <w:right w:val="none" w:sz="0" w:space="0" w:color="auto"/>
      </w:divBdr>
    </w:div>
    <w:div w:id="645090355">
      <w:bodyDiv w:val="1"/>
      <w:marLeft w:val="0"/>
      <w:marRight w:val="0"/>
      <w:marTop w:val="0"/>
      <w:marBottom w:val="0"/>
      <w:divBdr>
        <w:top w:val="none" w:sz="0" w:space="0" w:color="auto"/>
        <w:left w:val="none" w:sz="0" w:space="0" w:color="auto"/>
        <w:bottom w:val="none" w:sz="0" w:space="0" w:color="auto"/>
        <w:right w:val="none" w:sz="0" w:space="0" w:color="auto"/>
      </w:divBdr>
    </w:div>
    <w:div w:id="645163164">
      <w:bodyDiv w:val="1"/>
      <w:marLeft w:val="0"/>
      <w:marRight w:val="0"/>
      <w:marTop w:val="0"/>
      <w:marBottom w:val="0"/>
      <w:divBdr>
        <w:top w:val="none" w:sz="0" w:space="0" w:color="auto"/>
        <w:left w:val="none" w:sz="0" w:space="0" w:color="auto"/>
        <w:bottom w:val="none" w:sz="0" w:space="0" w:color="auto"/>
        <w:right w:val="none" w:sz="0" w:space="0" w:color="auto"/>
      </w:divBdr>
    </w:div>
    <w:div w:id="645209042">
      <w:bodyDiv w:val="1"/>
      <w:marLeft w:val="0"/>
      <w:marRight w:val="0"/>
      <w:marTop w:val="0"/>
      <w:marBottom w:val="0"/>
      <w:divBdr>
        <w:top w:val="none" w:sz="0" w:space="0" w:color="auto"/>
        <w:left w:val="none" w:sz="0" w:space="0" w:color="auto"/>
        <w:bottom w:val="none" w:sz="0" w:space="0" w:color="auto"/>
        <w:right w:val="none" w:sz="0" w:space="0" w:color="auto"/>
      </w:divBdr>
    </w:div>
    <w:div w:id="645472502">
      <w:bodyDiv w:val="1"/>
      <w:marLeft w:val="0"/>
      <w:marRight w:val="0"/>
      <w:marTop w:val="0"/>
      <w:marBottom w:val="0"/>
      <w:divBdr>
        <w:top w:val="none" w:sz="0" w:space="0" w:color="auto"/>
        <w:left w:val="none" w:sz="0" w:space="0" w:color="auto"/>
        <w:bottom w:val="none" w:sz="0" w:space="0" w:color="auto"/>
        <w:right w:val="none" w:sz="0" w:space="0" w:color="auto"/>
      </w:divBdr>
    </w:div>
    <w:div w:id="645545763">
      <w:bodyDiv w:val="1"/>
      <w:marLeft w:val="0"/>
      <w:marRight w:val="0"/>
      <w:marTop w:val="0"/>
      <w:marBottom w:val="0"/>
      <w:divBdr>
        <w:top w:val="none" w:sz="0" w:space="0" w:color="auto"/>
        <w:left w:val="none" w:sz="0" w:space="0" w:color="auto"/>
        <w:bottom w:val="none" w:sz="0" w:space="0" w:color="auto"/>
        <w:right w:val="none" w:sz="0" w:space="0" w:color="auto"/>
      </w:divBdr>
    </w:div>
    <w:div w:id="645551438">
      <w:bodyDiv w:val="1"/>
      <w:marLeft w:val="0"/>
      <w:marRight w:val="0"/>
      <w:marTop w:val="0"/>
      <w:marBottom w:val="0"/>
      <w:divBdr>
        <w:top w:val="none" w:sz="0" w:space="0" w:color="auto"/>
        <w:left w:val="none" w:sz="0" w:space="0" w:color="auto"/>
        <w:bottom w:val="none" w:sz="0" w:space="0" w:color="auto"/>
        <w:right w:val="none" w:sz="0" w:space="0" w:color="auto"/>
      </w:divBdr>
    </w:div>
    <w:div w:id="645625871">
      <w:bodyDiv w:val="1"/>
      <w:marLeft w:val="0"/>
      <w:marRight w:val="0"/>
      <w:marTop w:val="0"/>
      <w:marBottom w:val="0"/>
      <w:divBdr>
        <w:top w:val="none" w:sz="0" w:space="0" w:color="auto"/>
        <w:left w:val="none" w:sz="0" w:space="0" w:color="auto"/>
        <w:bottom w:val="none" w:sz="0" w:space="0" w:color="auto"/>
        <w:right w:val="none" w:sz="0" w:space="0" w:color="auto"/>
      </w:divBdr>
    </w:div>
    <w:div w:id="645746450">
      <w:bodyDiv w:val="1"/>
      <w:marLeft w:val="0"/>
      <w:marRight w:val="0"/>
      <w:marTop w:val="0"/>
      <w:marBottom w:val="0"/>
      <w:divBdr>
        <w:top w:val="none" w:sz="0" w:space="0" w:color="auto"/>
        <w:left w:val="none" w:sz="0" w:space="0" w:color="auto"/>
        <w:bottom w:val="none" w:sz="0" w:space="0" w:color="auto"/>
        <w:right w:val="none" w:sz="0" w:space="0" w:color="auto"/>
      </w:divBdr>
    </w:div>
    <w:div w:id="645821036">
      <w:bodyDiv w:val="1"/>
      <w:marLeft w:val="0"/>
      <w:marRight w:val="0"/>
      <w:marTop w:val="0"/>
      <w:marBottom w:val="0"/>
      <w:divBdr>
        <w:top w:val="none" w:sz="0" w:space="0" w:color="auto"/>
        <w:left w:val="none" w:sz="0" w:space="0" w:color="auto"/>
        <w:bottom w:val="none" w:sz="0" w:space="0" w:color="auto"/>
        <w:right w:val="none" w:sz="0" w:space="0" w:color="auto"/>
      </w:divBdr>
    </w:div>
    <w:div w:id="645857595">
      <w:bodyDiv w:val="1"/>
      <w:marLeft w:val="0"/>
      <w:marRight w:val="0"/>
      <w:marTop w:val="0"/>
      <w:marBottom w:val="0"/>
      <w:divBdr>
        <w:top w:val="none" w:sz="0" w:space="0" w:color="auto"/>
        <w:left w:val="none" w:sz="0" w:space="0" w:color="auto"/>
        <w:bottom w:val="none" w:sz="0" w:space="0" w:color="auto"/>
        <w:right w:val="none" w:sz="0" w:space="0" w:color="auto"/>
      </w:divBdr>
    </w:div>
    <w:div w:id="646014247">
      <w:bodyDiv w:val="1"/>
      <w:marLeft w:val="0"/>
      <w:marRight w:val="0"/>
      <w:marTop w:val="0"/>
      <w:marBottom w:val="0"/>
      <w:divBdr>
        <w:top w:val="none" w:sz="0" w:space="0" w:color="auto"/>
        <w:left w:val="none" w:sz="0" w:space="0" w:color="auto"/>
        <w:bottom w:val="none" w:sz="0" w:space="0" w:color="auto"/>
        <w:right w:val="none" w:sz="0" w:space="0" w:color="auto"/>
      </w:divBdr>
    </w:div>
    <w:div w:id="646057913">
      <w:bodyDiv w:val="1"/>
      <w:marLeft w:val="0"/>
      <w:marRight w:val="0"/>
      <w:marTop w:val="0"/>
      <w:marBottom w:val="0"/>
      <w:divBdr>
        <w:top w:val="none" w:sz="0" w:space="0" w:color="auto"/>
        <w:left w:val="none" w:sz="0" w:space="0" w:color="auto"/>
        <w:bottom w:val="none" w:sz="0" w:space="0" w:color="auto"/>
        <w:right w:val="none" w:sz="0" w:space="0" w:color="auto"/>
      </w:divBdr>
    </w:div>
    <w:div w:id="646058300">
      <w:bodyDiv w:val="1"/>
      <w:marLeft w:val="0"/>
      <w:marRight w:val="0"/>
      <w:marTop w:val="0"/>
      <w:marBottom w:val="0"/>
      <w:divBdr>
        <w:top w:val="none" w:sz="0" w:space="0" w:color="auto"/>
        <w:left w:val="none" w:sz="0" w:space="0" w:color="auto"/>
        <w:bottom w:val="none" w:sz="0" w:space="0" w:color="auto"/>
        <w:right w:val="none" w:sz="0" w:space="0" w:color="auto"/>
      </w:divBdr>
    </w:div>
    <w:div w:id="646082595">
      <w:bodyDiv w:val="1"/>
      <w:marLeft w:val="0"/>
      <w:marRight w:val="0"/>
      <w:marTop w:val="0"/>
      <w:marBottom w:val="0"/>
      <w:divBdr>
        <w:top w:val="none" w:sz="0" w:space="0" w:color="auto"/>
        <w:left w:val="none" w:sz="0" w:space="0" w:color="auto"/>
        <w:bottom w:val="none" w:sz="0" w:space="0" w:color="auto"/>
        <w:right w:val="none" w:sz="0" w:space="0" w:color="auto"/>
      </w:divBdr>
    </w:div>
    <w:div w:id="646134068">
      <w:bodyDiv w:val="1"/>
      <w:marLeft w:val="0"/>
      <w:marRight w:val="0"/>
      <w:marTop w:val="0"/>
      <w:marBottom w:val="0"/>
      <w:divBdr>
        <w:top w:val="none" w:sz="0" w:space="0" w:color="auto"/>
        <w:left w:val="none" w:sz="0" w:space="0" w:color="auto"/>
        <w:bottom w:val="none" w:sz="0" w:space="0" w:color="auto"/>
        <w:right w:val="none" w:sz="0" w:space="0" w:color="auto"/>
      </w:divBdr>
    </w:div>
    <w:div w:id="646200533">
      <w:bodyDiv w:val="1"/>
      <w:marLeft w:val="0"/>
      <w:marRight w:val="0"/>
      <w:marTop w:val="0"/>
      <w:marBottom w:val="0"/>
      <w:divBdr>
        <w:top w:val="none" w:sz="0" w:space="0" w:color="auto"/>
        <w:left w:val="none" w:sz="0" w:space="0" w:color="auto"/>
        <w:bottom w:val="none" w:sz="0" w:space="0" w:color="auto"/>
        <w:right w:val="none" w:sz="0" w:space="0" w:color="auto"/>
      </w:divBdr>
    </w:div>
    <w:div w:id="646252145">
      <w:bodyDiv w:val="1"/>
      <w:marLeft w:val="0"/>
      <w:marRight w:val="0"/>
      <w:marTop w:val="0"/>
      <w:marBottom w:val="0"/>
      <w:divBdr>
        <w:top w:val="none" w:sz="0" w:space="0" w:color="auto"/>
        <w:left w:val="none" w:sz="0" w:space="0" w:color="auto"/>
        <w:bottom w:val="none" w:sz="0" w:space="0" w:color="auto"/>
        <w:right w:val="none" w:sz="0" w:space="0" w:color="auto"/>
      </w:divBdr>
    </w:div>
    <w:div w:id="646323582">
      <w:bodyDiv w:val="1"/>
      <w:marLeft w:val="0"/>
      <w:marRight w:val="0"/>
      <w:marTop w:val="0"/>
      <w:marBottom w:val="0"/>
      <w:divBdr>
        <w:top w:val="none" w:sz="0" w:space="0" w:color="auto"/>
        <w:left w:val="none" w:sz="0" w:space="0" w:color="auto"/>
        <w:bottom w:val="none" w:sz="0" w:space="0" w:color="auto"/>
        <w:right w:val="none" w:sz="0" w:space="0" w:color="auto"/>
      </w:divBdr>
    </w:div>
    <w:div w:id="646399169">
      <w:bodyDiv w:val="1"/>
      <w:marLeft w:val="0"/>
      <w:marRight w:val="0"/>
      <w:marTop w:val="0"/>
      <w:marBottom w:val="0"/>
      <w:divBdr>
        <w:top w:val="none" w:sz="0" w:space="0" w:color="auto"/>
        <w:left w:val="none" w:sz="0" w:space="0" w:color="auto"/>
        <w:bottom w:val="none" w:sz="0" w:space="0" w:color="auto"/>
        <w:right w:val="none" w:sz="0" w:space="0" w:color="auto"/>
      </w:divBdr>
    </w:div>
    <w:div w:id="646400872">
      <w:bodyDiv w:val="1"/>
      <w:marLeft w:val="0"/>
      <w:marRight w:val="0"/>
      <w:marTop w:val="0"/>
      <w:marBottom w:val="0"/>
      <w:divBdr>
        <w:top w:val="none" w:sz="0" w:space="0" w:color="auto"/>
        <w:left w:val="none" w:sz="0" w:space="0" w:color="auto"/>
        <w:bottom w:val="none" w:sz="0" w:space="0" w:color="auto"/>
        <w:right w:val="none" w:sz="0" w:space="0" w:color="auto"/>
      </w:divBdr>
    </w:div>
    <w:div w:id="646667295">
      <w:bodyDiv w:val="1"/>
      <w:marLeft w:val="0"/>
      <w:marRight w:val="0"/>
      <w:marTop w:val="0"/>
      <w:marBottom w:val="0"/>
      <w:divBdr>
        <w:top w:val="none" w:sz="0" w:space="0" w:color="auto"/>
        <w:left w:val="none" w:sz="0" w:space="0" w:color="auto"/>
        <w:bottom w:val="none" w:sz="0" w:space="0" w:color="auto"/>
        <w:right w:val="none" w:sz="0" w:space="0" w:color="auto"/>
      </w:divBdr>
    </w:div>
    <w:div w:id="646668770">
      <w:bodyDiv w:val="1"/>
      <w:marLeft w:val="0"/>
      <w:marRight w:val="0"/>
      <w:marTop w:val="0"/>
      <w:marBottom w:val="0"/>
      <w:divBdr>
        <w:top w:val="none" w:sz="0" w:space="0" w:color="auto"/>
        <w:left w:val="none" w:sz="0" w:space="0" w:color="auto"/>
        <w:bottom w:val="none" w:sz="0" w:space="0" w:color="auto"/>
        <w:right w:val="none" w:sz="0" w:space="0" w:color="auto"/>
      </w:divBdr>
    </w:div>
    <w:div w:id="646710442">
      <w:bodyDiv w:val="1"/>
      <w:marLeft w:val="0"/>
      <w:marRight w:val="0"/>
      <w:marTop w:val="0"/>
      <w:marBottom w:val="0"/>
      <w:divBdr>
        <w:top w:val="none" w:sz="0" w:space="0" w:color="auto"/>
        <w:left w:val="none" w:sz="0" w:space="0" w:color="auto"/>
        <w:bottom w:val="none" w:sz="0" w:space="0" w:color="auto"/>
        <w:right w:val="none" w:sz="0" w:space="0" w:color="auto"/>
      </w:divBdr>
    </w:div>
    <w:div w:id="646710597">
      <w:bodyDiv w:val="1"/>
      <w:marLeft w:val="0"/>
      <w:marRight w:val="0"/>
      <w:marTop w:val="0"/>
      <w:marBottom w:val="0"/>
      <w:divBdr>
        <w:top w:val="none" w:sz="0" w:space="0" w:color="auto"/>
        <w:left w:val="none" w:sz="0" w:space="0" w:color="auto"/>
        <w:bottom w:val="none" w:sz="0" w:space="0" w:color="auto"/>
        <w:right w:val="none" w:sz="0" w:space="0" w:color="auto"/>
      </w:divBdr>
    </w:div>
    <w:div w:id="646739266">
      <w:bodyDiv w:val="1"/>
      <w:marLeft w:val="0"/>
      <w:marRight w:val="0"/>
      <w:marTop w:val="0"/>
      <w:marBottom w:val="0"/>
      <w:divBdr>
        <w:top w:val="none" w:sz="0" w:space="0" w:color="auto"/>
        <w:left w:val="none" w:sz="0" w:space="0" w:color="auto"/>
        <w:bottom w:val="none" w:sz="0" w:space="0" w:color="auto"/>
        <w:right w:val="none" w:sz="0" w:space="0" w:color="auto"/>
      </w:divBdr>
    </w:div>
    <w:div w:id="646780534">
      <w:bodyDiv w:val="1"/>
      <w:marLeft w:val="0"/>
      <w:marRight w:val="0"/>
      <w:marTop w:val="0"/>
      <w:marBottom w:val="0"/>
      <w:divBdr>
        <w:top w:val="none" w:sz="0" w:space="0" w:color="auto"/>
        <w:left w:val="none" w:sz="0" w:space="0" w:color="auto"/>
        <w:bottom w:val="none" w:sz="0" w:space="0" w:color="auto"/>
        <w:right w:val="none" w:sz="0" w:space="0" w:color="auto"/>
      </w:divBdr>
    </w:div>
    <w:div w:id="646783503">
      <w:bodyDiv w:val="1"/>
      <w:marLeft w:val="0"/>
      <w:marRight w:val="0"/>
      <w:marTop w:val="0"/>
      <w:marBottom w:val="0"/>
      <w:divBdr>
        <w:top w:val="none" w:sz="0" w:space="0" w:color="auto"/>
        <w:left w:val="none" w:sz="0" w:space="0" w:color="auto"/>
        <w:bottom w:val="none" w:sz="0" w:space="0" w:color="auto"/>
        <w:right w:val="none" w:sz="0" w:space="0" w:color="auto"/>
      </w:divBdr>
    </w:div>
    <w:div w:id="646857100">
      <w:bodyDiv w:val="1"/>
      <w:marLeft w:val="0"/>
      <w:marRight w:val="0"/>
      <w:marTop w:val="0"/>
      <w:marBottom w:val="0"/>
      <w:divBdr>
        <w:top w:val="none" w:sz="0" w:space="0" w:color="auto"/>
        <w:left w:val="none" w:sz="0" w:space="0" w:color="auto"/>
        <w:bottom w:val="none" w:sz="0" w:space="0" w:color="auto"/>
        <w:right w:val="none" w:sz="0" w:space="0" w:color="auto"/>
      </w:divBdr>
    </w:div>
    <w:div w:id="646862375">
      <w:bodyDiv w:val="1"/>
      <w:marLeft w:val="0"/>
      <w:marRight w:val="0"/>
      <w:marTop w:val="0"/>
      <w:marBottom w:val="0"/>
      <w:divBdr>
        <w:top w:val="none" w:sz="0" w:space="0" w:color="auto"/>
        <w:left w:val="none" w:sz="0" w:space="0" w:color="auto"/>
        <w:bottom w:val="none" w:sz="0" w:space="0" w:color="auto"/>
        <w:right w:val="none" w:sz="0" w:space="0" w:color="auto"/>
      </w:divBdr>
    </w:div>
    <w:div w:id="646906444">
      <w:bodyDiv w:val="1"/>
      <w:marLeft w:val="0"/>
      <w:marRight w:val="0"/>
      <w:marTop w:val="0"/>
      <w:marBottom w:val="0"/>
      <w:divBdr>
        <w:top w:val="none" w:sz="0" w:space="0" w:color="auto"/>
        <w:left w:val="none" w:sz="0" w:space="0" w:color="auto"/>
        <w:bottom w:val="none" w:sz="0" w:space="0" w:color="auto"/>
        <w:right w:val="none" w:sz="0" w:space="0" w:color="auto"/>
      </w:divBdr>
    </w:div>
    <w:div w:id="646932234">
      <w:bodyDiv w:val="1"/>
      <w:marLeft w:val="0"/>
      <w:marRight w:val="0"/>
      <w:marTop w:val="0"/>
      <w:marBottom w:val="0"/>
      <w:divBdr>
        <w:top w:val="none" w:sz="0" w:space="0" w:color="auto"/>
        <w:left w:val="none" w:sz="0" w:space="0" w:color="auto"/>
        <w:bottom w:val="none" w:sz="0" w:space="0" w:color="auto"/>
        <w:right w:val="none" w:sz="0" w:space="0" w:color="auto"/>
      </w:divBdr>
    </w:div>
    <w:div w:id="646982477">
      <w:bodyDiv w:val="1"/>
      <w:marLeft w:val="0"/>
      <w:marRight w:val="0"/>
      <w:marTop w:val="0"/>
      <w:marBottom w:val="0"/>
      <w:divBdr>
        <w:top w:val="none" w:sz="0" w:space="0" w:color="auto"/>
        <w:left w:val="none" w:sz="0" w:space="0" w:color="auto"/>
        <w:bottom w:val="none" w:sz="0" w:space="0" w:color="auto"/>
        <w:right w:val="none" w:sz="0" w:space="0" w:color="auto"/>
      </w:divBdr>
    </w:div>
    <w:div w:id="647124627">
      <w:bodyDiv w:val="1"/>
      <w:marLeft w:val="0"/>
      <w:marRight w:val="0"/>
      <w:marTop w:val="0"/>
      <w:marBottom w:val="0"/>
      <w:divBdr>
        <w:top w:val="none" w:sz="0" w:space="0" w:color="auto"/>
        <w:left w:val="none" w:sz="0" w:space="0" w:color="auto"/>
        <w:bottom w:val="none" w:sz="0" w:space="0" w:color="auto"/>
        <w:right w:val="none" w:sz="0" w:space="0" w:color="auto"/>
      </w:divBdr>
    </w:div>
    <w:div w:id="647172688">
      <w:bodyDiv w:val="1"/>
      <w:marLeft w:val="0"/>
      <w:marRight w:val="0"/>
      <w:marTop w:val="0"/>
      <w:marBottom w:val="0"/>
      <w:divBdr>
        <w:top w:val="none" w:sz="0" w:space="0" w:color="auto"/>
        <w:left w:val="none" w:sz="0" w:space="0" w:color="auto"/>
        <w:bottom w:val="none" w:sz="0" w:space="0" w:color="auto"/>
        <w:right w:val="none" w:sz="0" w:space="0" w:color="auto"/>
      </w:divBdr>
    </w:div>
    <w:div w:id="647323700">
      <w:bodyDiv w:val="1"/>
      <w:marLeft w:val="0"/>
      <w:marRight w:val="0"/>
      <w:marTop w:val="0"/>
      <w:marBottom w:val="0"/>
      <w:divBdr>
        <w:top w:val="none" w:sz="0" w:space="0" w:color="auto"/>
        <w:left w:val="none" w:sz="0" w:space="0" w:color="auto"/>
        <w:bottom w:val="none" w:sz="0" w:space="0" w:color="auto"/>
        <w:right w:val="none" w:sz="0" w:space="0" w:color="auto"/>
      </w:divBdr>
    </w:div>
    <w:div w:id="647365068">
      <w:bodyDiv w:val="1"/>
      <w:marLeft w:val="0"/>
      <w:marRight w:val="0"/>
      <w:marTop w:val="0"/>
      <w:marBottom w:val="0"/>
      <w:divBdr>
        <w:top w:val="none" w:sz="0" w:space="0" w:color="auto"/>
        <w:left w:val="none" w:sz="0" w:space="0" w:color="auto"/>
        <w:bottom w:val="none" w:sz="0" w:space="0" w:color="auto"/>
        <w:right w:val="none" w:sz="0" w:space="0" w:color="auto"/>
      </w:divBdr>
    </w:div>
    <w:div w:id="647396467">
      <w:bodyDiv w:val="1"/>
      <w:marLeft w:val="0"/>
      <w:marRight w:val="0"/>
      <w:marTop w:val="0"/>
      <w:marBottom w:val="0"/>
      <w:divBdr>
        <w:top w:val="none" w:sz="0" w:space="0" w:color="auto"/>
        <w:left w:val="none" w:sz="0" w:space="0" w:color="auto"/>
        <w:bottom w:val="none" w:sz="0" w:space="0" w:color="auto"/>
        <w:right w:val="none" w:sz="0" w:space="0" w:color="auto"/>
      </w:divBdr>
    </w:div>
    <w:div w:id="647444925">
      <w:bodyDiv w:val="1"/>
      <w:marLeft w:val="0"/>
      <w:marRight w:val="0"/>
      <w:marTop w:val="0"/>
      <w:marBottom w:val="0"/>
      <w:divBdr>
        <w:top w:val="none" w:sz="0" w:space="0" w:color="auto"/>
        <w:left w:val="none" w:sz="0" w:space="0" w:color="auto"/>
        <w:bottom w:val="none" w:sz="0" w:space="0" w:color="auto"/>
        <w:right w:val="none" w:sz="0" w:space="0" w:color="auto"/>
      </w:divBdr>
    </w:div>
    <w:div w:id="647511136">
      <w:bodyDiv w:val="1"/>
      <w:marLeft w:val="0"/>
      <w:marRight w:val="0"/>
      <w:marTop w:val="0"/>
      <w:marBottom w:val="0"/>
      <w:divBdr>
        <w:top w:val="none" w:sz="0" w:space="0" w:color="auto"/>
        <w:left w:val="none" w:sz="0" w:space="0" w:color="auto"/>
        <w:bottom w:val="none" w:sz="0" w:space="0" w:color="auto"/>
        <w:right w:val="none" w:sz="0" w:space="0" w:color="auto"/>
      </w:divBdr>
    </w:div>
    <w:div w:id="647563088">
      <w:bodyDiv w:val="1"/>
      <w:marLeft w:val="0"/>
      <w:marRight w:val="0"/>
      <w:marTop w:val="0"/>
      <w:marBottom w:val="0"/>
      <w:divBdr>
        <w:top w:val="none" w:sz="0" w:space="0" w:color="auto"/>
        <w:left w:val="none" w:sz="0" w:space="0" w:color="auto"/>
        <w:bottom w:val="none" w:sz="0" w:space="0" w:color="auto"/>
        <w:right w:val="none" w:sz="0" w:space="0" w:color="auto"/>
      </w:divBdr>
    </w:div>
    <w:div w:id="647711068">
      <w:bodyDiv w:val="1"/>
      <w:marLeft w:val="0"/>
      <w:marRight w:val="0"/>
      <w:marTop w:val="0"/>
      <w:marBottom w:val="0"/>
      <w:divBdr>
        <w:top w:val="none" w:sz="0" w:space="0" w:color="auto"/>
        <w:left w:val="none" w:sz="0" w:space="0" w:color="auto"/>
        <w:bottom w:val="none" w:sz="0" w:space="0" w:color="auto"/>
        <w:right w:val="none" w:sz="0" w:space="0" w:color="auto"/>
      </w:divBdr>
    </w:div>
    <w:div w:id="647784373">
      <w:bodyDiv w:val="1"/>
      <w:marLeft w:val="0"/>
      <w:marRight w:val="0"/>
      <w:marTop w:val="0"/>
      <w:marBottom w:val="0"/>
      <w:divBdr>
        <w:top w:val="none" w:sz="0" w:space="0" w:color="auto"/>
        <w:left w:val="none" w:sz="0" w:space="0" w:color="auto"/>
        <w:bottom w:val="none" w:sz="0" w:space="0" w:color="auto"/>
        <w:right w:val="none" w:sz="0" w:space="0" w:color="auto"/>
      </w:divBdr>
    </w:div>
    <w:div w:id="647788774">
      <w:bodyDiv w:val="1"/>
      <w:marLeft w:val="0"/>
      <w:marRight w:val="0"/>
      <w:marTop w:val="0"/>
      <w:marBottom w:val="0"/>
      <w:divBdr>
        <w:top w:val="none" w:sz="0" w:space="0" w:color="auto"/>
        <w:left w:val="none" w:sz="0" w:space="0" w:color="auto"/>
        <w:bottom w:val="none" w:sz="0" w:space="0" w:color="auto"/>
        <w:right w:val="none" w:sz="0" w:space="0" w:color="auto"/>
      </w:divBdr>
    </w:div>
    <w:div w:id="647899220">
      <w:bodyDiv w:val="1"/>
      <w:marLeft w:val="0"/>
      <w:marRight w:val="0"/>
      <w:marTop w:val="0"/>
      <w:marBottom w:val="0"/>
      <w:divBdr>
        <w:top w:val="none" w:sz="0" w:space="0" w:color="auto"/>
        <w:left w:val="none" w:sz="0" w:space="0" w:color="auto"/>
        <w:bottom w:val="none" w:sz="0" w:space="0" w:color="auto"/>
        <w:right w:val="none" w:sz="0" w:space="0" w:color="auto"/>
      </w:divBdr>
    </w:div>
    <w:div w:id="647899963">
      <w:bodyDiv w:val="1"/>
      <w:marLeft w:val="0"/>
      <w:marRight w:val="0"/>
      <w:marTop w:val="0"/>
      <w:marBottom w:val="0"/>
      <w:divBdr>
        <w:top w:val="none" w:sz="0" w:space="0" w:color="auto"/>
        <w:left w:val="none" w:sz="0" w:space="0" w:color="auto"/>
        <w:bottom w:val="none" w:sz="0" w:space="0" w:color="auto"/>
        <w:right w:val="none" w:sz="0" w:space="0" w:color="auto"/>
      </w:divBdr>
    </w:div>
    <w:div w:id="648168524">
      <w:bodyDiv w:val="1"/>
      <w:marLeft w:val="0"/>
      <w:marRight w:val="0"/>
      <w:marTop w:val="0"/>
      <w:marBottom w:val="0"/>
      <w:divBdr>
        <w:top w:val="none" w:sz="0" w:space="0" w:color="auto"/>
        <w:left w:val="none" w:sz="0" w:space="0" w:color="auto"/>
        <w:bottom w:val="none" w:sz="0" w:space="0" w:color="auto"/>
        <w:right w:val="none" w:sz="0" w:space="0" w:color="auto"/>
      </w:divBdr>
    </w:div>
    <w:div w:id="648170256">
      <w:bodyDiv w:val="1"/>
      <w:marLeft w:val="0"/>
      <w:marRight w:val="0"/>
      <w:marTop w:val="0"/>
      <w:marBottom w:val="0"/>
      <w:divBdr>
        <w:top w:val="none" w:sz="0" w:space="0" w:color="auto"/>
        <w:left w:val="none" w:sz="0" w:space="0" w:color="auto"/>
        <w:bottom w:val="none" w:sz="0" w:space="0" w:color="auto"/>
        <w:right w:val="none" w:sz="0" w:space="0" w:color="auto"/>
      </w:divBdr>
    </w:div>
    <w:div w:id="648217955">
      <w:bodyDiv w:val="1"/>
      <w:marLeft w:val="0"/>
      <w:marRight w:val="0"/>
      <w:marTop w:val="0"/>
      <w:marBottom w:val="0"/>
      <w:divBdr>
        <w:top w:val="none" w:sz="0" w:space="0" w:color="auto"/>
        <w:left w:val="none" w:sz="0" w:space="0" w:color="auto"/>
        <w:bottom w:val="none" w:sz="0" w:space="0" w:color="auto"/>
        <w:right w:val="none" w:sz="0" w:space="0" w:color="auto"/>
      </w:divBdr>
    </w:div>
    <w:div w:id="648284676">
      <w:bodyDiv w:val="1"/>
      <w:marLeft w:val="0"/>
      <w:marRight w:val="0"/>
      <w:marTop w:val="0"/>
      <w:marBottom w:val="0"/>
      <w:divBdr>
        <w:top w:val="none" w:sz="0" w:space="0" w:color="auto"/>
        <w:left w:val="none" w:sz="0" w:space="0" w:color="auto"/>
        <w:bottom w:val="none" w:sz="0" w:space="0" w:color="auto"/>
        <w:right w:val="none" w:sz="0" w:space="0" w:color="auto"/>
      </w:divBdr>
    </w:div>
    <w:div w:id="648284910">
      <w:bodyDiv w:val="1"/>
      <w:marLeft w:val="0"/>
      <w:marRight w:val="0"/>
      <w:marTop w:val="0"/>
      <w:marBottom w:val="0"/>
      <w:divBdr>
        <w:top w:val="none" w:sz="0" w:space="0" w:color="auto"/>
        <w:left w:val="none" w:sz="0" w:space="0" w:color="auto"/>
        <w:bottom w:val="none" w:sz="0" w:space="0" w:color="auto"/>
        <w:right w:val="none" w:sz="0" w:space="0" w:color="auto"/>
      </w:divBdr>
    </w:div>
    <w:div w:id="648365893">
      <w:bodyDiv w:val="1"/>
      <w:marLeft w:val="0"/>
      <w:marRight w:val="0"/>
      <w:marTop w:val="0"/>
      <w:marBottom w:val="0"/>
      <w:divBdr>
        <w:top w:val="none" w:sz="0" w:space="0" w:color="auto"/>
        <w:left w:val="none" w:sz="0" w:space="0" w:color="auto"/>
        <w:bottom w:val="none" w:sz="0" w:space="0" w:color="auto"/>
        <w:right w:val="none" w:sz="0" w:space="0" w:color="auto"/>
      </w:divBdr>
    </w:div>
    <w:div w:id="648440084">
      <w:bodyDiv w:val="1"/>
      <w:marLeft w:val="0"/>
      <w:marRight w:val="0"/>
      <w:marTop w:val="0"/>
      <w:marBottom w:val="0"/>
      <w:divBdr>
        <w:top w:val="none" w:sz="0" w:space="0" w:color="auto"/>
        <w:left w:val="none" w:sz="0" w:space="0" w:color="auto"/>
        <w:bottom w:val="none" w:sz="0" w:space="0" w:color="auto"/>
        <w:right w:val="none" w:sz="0" w:space="0" w:color="auto"/>
      </w:divBdr>
    </w:div>
    <w:div w:id="648440899">
      <w:bodyDiv w:val="1"/>
      <w:marLeft w:val="0"/>
      <w:marRight w:val="0"/>
      <w:marTop w:val="0"/>
      <w:marBottom w:val="0"/>
      <w:divBdr>
        <w:top w:val="none" w:sz="0" w:space="0" w:color="auto"/>
        <w:left w:val="none" w:sz="0" w:space="0" w:color="auto"/>
        <w:bottom w:val="none" w:sz="0" w:space="0" w:color="auto"/>
        <w:right w:val="none" w:sz="0" w:space="0" w:color="auto"/>
      </w:divBdr>
    </w:div>
    <w:div w:id="648631496">
      <w:bodyDiv w:val="1"/>
      <w:marLeft w:val="0"/>
      <w:marRight w:val="0"/>
      <w:marTop w:val="0"/>
      <w:marBottom w:val="0"/>
      <w:divBdr>
        <w:top w:val="none" w:sz="0" w:space="0" w:color="auto"/>
        <w:left w:val="none" w:sz="0" w:space="0" w:color="auto"/>
        <w:bottom w:val="none" w:sz="0" w:space="0" w:color="auto"/>
        <w:right w:val="none" w:sz="0" w:space="0" w:color="auto"/>
      </w:divBdr>
    </w:div>
    <w:div w:id="648632034">
      <w:bodyDiv w:val="1"/>
      <w:marLeft w:val="0"/>
      <w:marRight w:val="0"/>
      <w:marTop w:val="0"/>
      <w:marBottom w:val="0"/>
      <w:divBdr>
        <w:top w:val="none" w:sz="0" w:space="0" w:color="auto"/>
        <w:left w:val="none" w:sz="0" w:space="0" w:color="auto"/>
        <w:bottom w:val="none" w:sz="0" w:space="0" w:color="auto"/>
        <w:right w:val="none" w:sz="0" w:space="0" w:color="auto"/>
      </w:divBdr>
    </w:div>
    <w:div w:id="648706299">
      <w:bodyDiv w:val="1"/>
      <w:marLeft w:val="0"/>
      <w:marRight w:val="0"/>
      <w:marTop w:val="0"/>
      <w:marBottom w:val="0"/>
      <w:divBdr>
        <w:top w:val="none" w:sz="0" w:space="0" w:color="auto"/>
        <w:left w:val="none" w:sz="0" w:space="0" w:color="auto"/>
        <w:bottom w:val="none" w:sz="0" w:space="0" w:color="auto"/>
        <w:right w:val="none" w:sz="0" w:space="0" w:color="auto"/>
      </w:divBdr>
    </w:div>
    <w:div w:id="649136733">
      <w:bodyDiv w:val="1"/>
      <w:marLeft w:val="0"/>
      <w:marRight w:val="0"/>
      <w:marTop w:val="0"/>
      <w:marBottom w:val="0"/>
      <w:divBdr>
        <w:top w:val="none" w:sz="0" w:space="0" w:color="auto"/>
        <w:left w:val="none" w:sz="0" w:space="0" w:color="auto"/>
        <w:bottom w:val="none" w:sz="0" w:space="0" w:color="auto"/>
        <w:right w:val="none" w:sz="0" w:space="0" w:color="auto"/>
      </w:divBdr>
    </w:div>
    <w:div w:id="649212836">
      <w:bodyDiv w:val="1"/>
      <w:marLeft w:val="0"/>
      <w:marRight w:val="0"/>
      <w:marTop w:val="0"/>
      <w:marBottom w:val="0"/>
      <w:divBdr>
        <w:top w:val="none" w:sz="0" w:space="0" w:color="auto"/>
        <w:left w:val="none" w:sz="0" w:space="0" w:color="auto"/>
        <w:bottom w:val="none" w:sz="0" w:space="0" w:color="auto"/>
        <w:right w:val="none" w:sz="0" w:space="0" w:color="auto"/>
      </w:divBdr>
    </w:div>
    <w:div w:id="649285495">
      <w:bodyDiv w:val="1"/>
      <w:marLeft w:val="0"/>
      <w:marRight w:val="0"/>
      <w:marTop w:val="0"/>
      <w:marBottom w:val="0"/>
      <w:divBdr>
        <w:top w:val="none" w:sz="0" w:space="0" w:color="auto"/>
        <w:left w:val="none" w:sz="0" w:space="0" w:color="auto"/>
        <w:bottom w:val="none" w:sz="0" w:space="0" w:color="auto"/>
        <w:right w:val="none" w:sz="0" w:space="0" w:color="auto"/>
      </w:divBdr>
    </w:div>
    <w:div w:id="649361163">
      <w:bodyDiv w:val="1"/>
      <w:marLeft w:val="0"/>
      <w:marRight w:val="0"/>
      <w:marTop w:val="0"/>
      <w:marBottom w:val="0"/>
      <w:divBdr>
        <w:top w:val="none" w:sz="0" w:space="0" w:color="auto"/>
        <w:left w:val="none" w:sz="0" w:space="0" w:color="auto"/>
        <w:bottom w:val="none" w:sz="0" w:space="0" w:color="auto"/>
        <w:right w:val="none" w:sz="0" w:space="0" w:color="auto"/>
      </w:divBdr>
    </w:div>
    <w:div w:id="649363045">
      <w:bodyDiv w:val="1"/>
      <w:marLeft w:val="0"/>
      <w:marRight w:val="0"/>
      <w:marTop w:val="0"/>
      <w:marBottom w:val="0"/>
      <w:divBdr>
        <w:top w:val="none" w:sz="0" w:space="0" w:color="auto"/>
        <w:left w:val="none" w:sz="0" w:space="0" w:color="auto"/>
        <w:bottom w:val="none" w:sz="0" w:space="0" w:color="auto"/>
        <w:right w:val="none" w:sz="0" w:space="0" w:color="auto"/>
      </w:divBdr>
    </w:div>
    <w:div w:id="649405411">
      <w:bodyDiv w:val="1"/>
      <w:marLeft w:val="0"/>
      <w:marRight w:val="0"/>
      <w:marTop w:val="0"/>
      <w:marBottom w:val="0"/>
      <w:divBdr>
        <w:top w:val="none" w:sz="0" w:space="0" w:color="auto"/>
        <w:left w:val="none" w:sz="0" w:space="0" w:color="auto"/>
        <w:bottom w:val="none" w:sz="0" w:space="0" w:color="auto"/>
        <w:right w:val="none" w:sz="0" w:space="0" w:color="auto"/>
      </w:divBdr>
    </w:div>
    <w:div w:id="649409778">
      <w:bodyDiv w:val="1"/>
      <w:marLeft w:val="0"/>
      <w:marRight w:val="0"/>
      <w:marTop w:val="0"/>
      <w:marBottom w:val="0"/>
      <w:divBdr>
        <w:top w:val="none" w:sz="0" w:space="0" w:color="auto"/>
        <w:left w:val="none" w:sz="0" w:space="0" w:color="auto"/>
        <w:bottom w:val="none" w:sz="0" w:space="0" w:color="auto"/>
        <w:right w:val="none" w:sz="0" w:space="0" w:color="auto"/>
      </w:divBdr>
    </w:div>
    <w:div w:id="649556785">
      <w:bodyDiv w:val="1"/>
      <w:marLeft w:val="0"/>
      <w:marRight w:val="0"/>
      <w:marTop w:val="0"/>
      <w:marBottom w:val="0"/>
      <w:divBdr>
        <w:top w:val="none" w:sz="0" w:space="0" w:color="auto"/>
        <w:left w:val="none" w:sz="0" w:space="0" w:color="auto"/>
        <w:bottom w:val="none" w:sz="0" w:space="0" w:color="auto"/>
        <w:right w:val="none" w:sz="0" w:space="0" w:color="auto"/>
      </w:divBdr>
    </w:div>
    <w:div w:id="649752108">
      <w:bodyDiv w:val="1"/>
      <w:marLeft w:val="0"/>
      <w:marRight w:val="0"/>
      <w:marTop w:val="0"/>
      <w:marBottom w:val="0"/>
      <w:divBdr>
        <w:top w:val="none" w:sz="0" w:space="0" w:color="auto"/>
        <w:left w:val="none" w:sz="0" w:space="0" w:color="auto"/>
        <w:bottom w:val="none" w:sz="0" w:space="0" w:color="auto"/>
        <w:right w:val="none" w:sz="0" w:space="0" w:color="auto"/>
      </w:divBdr>
    </w:div>
    <w:div w:id="649755110">
      <w:bodyDiv w:val="1"/>
      <w:marLeft w:val="0"/>
      <w:marRight w:val="0"/>
      <w:marTop w:val="0"/>
      <w:marBottom w:val="0"/>
      <w:divBdr>
        <w:top w:val="none" w:sz="0" w:space="0" w:color="auto"/>
        <w:left w:val="none" w:sz="0" w:space="0" w:color="auto"/>
        <w:bottom w:val="none" w:sz="0" w:space="0" w:color="auto"/>
        <w:right w:val="none" w:sz="0" w:space="0" w:color="auto"/>
      </w:divBdr>
    </w:div>
    <w:div w:id="649872306">
      <w:bodyDiv w:val="1"/>
      <w:marLeft w:val="0"/>
      <w:marRight w:val="0"/>
      <w:marTop w:val="0"/>
      <w:marBottom w:val="0"/>
      <w:divBdr>
        <w:top w:val="none" w:sz="0" w:space="0" w:color="auto"/>
        <w:left w:val="none" w:sz="0" w:space="0" w:color="auto"/>
        <w:bottom w:val="none" w:sz="0" w:space="0" w:color="auto"/>
        <w:right w:val="none" w:sz="0" w:space="0" w:color="auto"/>
      </w:divBdr>
    </w:div>
    <w:div w:id="649873088">
      <w:bodyDiv w:val="1"/>
      <w:marLeft w:val="0"/>
      <w:marRight w:val="0"/>
      <w:marTop w:val="0"/>
      <w:marBottom w:val="0"/>
      <w:divBdr>
        <w:top w:val="none" w:sz="0" w:space="0" w:color="auto"/>
        <w:left w:val="none" w:sz="0" w:space="0" w:color="auto"/>
        <w:bottom w:val="none" w:sz="0" w:space="0" w:color="auto"/>
        <w:right w:val="none" w:sz="0" w:space="0" w:color="auto"/>
      </w:divBdr>
    </w:div>
    <w:div w:id="649988024">
      <w:bodyDiv w:val="1"/>
      <w:marLeft w:val="0"/>
      <w:marRight w:val="0"/>
      <w:marTop w:val="0"/>
      <w:marBottom w:val="0"/>
      <w:divBdr>
        <w:top w:val="none" w:sz="0" w:space="0" w:color="auto"/>
        <w:left w:val="none" w:sz="0" w:space="0" w:color="auto"/>
        <w:bottom w:val="none" w:sz="0" w:space="0" w:color="auto"/>
        <w:right w:val="none" w:sz="0" w:space="0" w:color="auto"/>
      </w:divBdr>
    </w:div>
    <w:div w:id="649988240">
      <w:bodyDiv w:val="1"/>
      <w:marLeft w:val="0"/>
      <w:marRight w:val="0"/>
      <w:marTop w:val="0"/>
      <w:marBottom w:val="0"/>
      <w:divBdr>
        <w:top w:val="none" w:sz="0" w:space="0" w:color="auto"/>
        <w:left w:val="none" w:sz="0" w:space="0" w:color="auto"/>
        <w:bottom w:val="none" w:sz="0" w:space="0" w:color="auto"/>
        <w:right w:val="none" w:sz="0" w:space="0" w:color="auto"/>
      </w:divBdr>
    </w:div>
    <w:div w:id="650016147">
      <w:bodyDiv w:val="1"/>
      <w:marLeft w:val="0"/>
      <w:marRight w:val="0"/>
      <w:marTop w:val="0"/>
      <w:marBottom w:val="0"/>
      <w:divBdr>
        <w:top w:val="none" w:sz="0" w:space="0" w:color="auto"/>
        <w:left w:val="none" w:sz="0" w:space="0" w:color="auto"/>
        <w:bottom w:val="none" w:sz="0" w:space="0" w:color="auto"/>
        <w:right w:val="none" w:sz="0" w:space="0" w:color="auto"/>
      </w:divBdr>
    </w:div>
    <w:div w:id="650207931">
      <w:bodyDiv w:val="1"/>
      <w:marLeft w:val="0"/>
      <w:marRight w:val="0"/>
      <w:marTop w:val="0"/>
      <w:marBottom w:val="0"/>
      <w:divBdr>
        <w:top w:val="none" w:sz="0" w:space="0" w:color="auto"/>
        <w:left w:val="none" w:sz="0" w:space="0" w:color="auto"/>
        <w:bottom w:val="none" w:sz="0" w:space="0" w:color="auto"/>
        <w:right w:val="none" w:sz="0" w:space="0" w:color="auto"/>
      </w:divBdr>
    </w:div>
    <w:div w:id="650211427">
      <w:bodyDiv w:val="1"/>
      <w:marLeft w:val="0"/>
      <w:marRight w:val="0"/>
      <w:marTop w:val="0"/>
      <w:marBottom w:val="0"/>
      <w:divBdr>
        <w:top w:val="none" w:sz="0" w:space="0" w:color="auto"/>
        <w:left w:val="none" w:sz="0" w:space="0" w:color="auto"/>
        <w:bottom w:val="none" w:sz="0" w:space="0" w:color="auto"/>
        <w:right w:val="none" w:sz="0" w:space="0" w:color="auto"/>
      </w:divBdr>
    </w:div>
    <w:div w:id="650332253">
      <w:bodyDiv w:val="1"/>
      <w:marLeft w:val="0"/>
      <w:marRight w:val="0"/>
      <w:marTop w:val="0"/>
      <w:marBottom w:val="0"/>
      <w:divBdr>
        <w:top w:val="none" w:sz="0" w:space="0" w:color="auto"/>
        <w:left w:val="none" w:sz="0" w:space="0" w:color="auto"/>
        <w:bottom w:val="none" w:sz="0" w:space="0" w:color="auto"/>
        <w:right w:val="none" w:sz="0" w:space="0" w:color="auto"/>
      </w:divBdr>
    </w:div>
    <w:div w:id="650452381">
      <w:bodyDiv w:val="1"/>
      <w:marLeft w:val="0"/>
      <w:marRight w:val="0"/>
      <w:marTop w:val="0"/>
      <w:marBottom w:val="0"/>
      <w:divBdr>
        <w:top w:val="none" w:sz="0" w:space="0" w:color="auto"/>
        <w:left w:val="none" w:sz="0" w:space="0" w:color="auto"/>
        <w:bottom w:val="none" w:sz="0" w:space="0" w:color="auto"/>
        <w:right w:val="none" w:sz="0" w:space="0" w:color="auto"/>
      </w:divBdr>
    </w:div>
    <w:div w:id="650476883">
      <w:bodyDiv w:val="1"/>
      <w:marLeft w:val="0"/>
      <w:marRight w:val="0"/>
      <w:marTop w:val="0"/>
      <w:marBottom w:val="0"/>
      <w:divBdr>
        <w:top w:val="none" w:sz="0" w:space="0" w:color="auto"/>
        <w:left w:val="none" w:sz="0" w:space="0" w:color="auto"/>
        <w:bottom w:val="none" w:sz="0" w:space="0" w:color="auto"/>
        <w:right w:val="none" w:sz="0" w:space="0" w:color="auto"/>
      </w:divBdr>
    </w:div>
    <w:div w:id="650524120">
      <w:bodyDiv w:val="1"/>
      <w:marLeft w:val="0"/>
      <w:marRight w:val="0"/>
      <w:marTop w:val="0"/>
      <w:marBottom w:val="0"/>
      <w:divBdr>
        <w:top w:val="none" w:sz="0" w:space="0" w:color="auto"/>
        <w:left w:val="none" w:sz="0" w:space="0" w:color="auto"/>
        <w:bottom w:val="none" w:sz="0" w:space="0" w:color="auto"/>
        <w:right w:val="none" w:sz="0" w:space="0" w:color="auto"/>
      </w:divBdr>
    </w:div>
    <w:div w:id="650599374">
      <w:bodyDiv w:val="1"/>
      <w:marLeft w:val="0"/>
      <w:marRight w:val="0"/>
      <w:marTop w:val="0"/>
      <w:marBottom w:val="0"/>
      <w:divBdr>
        <w:top w:val="none" w:sz="0" w:space="0" w:color="auto"/>
        <w:left w:val="none" w:sz="0" w:space="0" w:color="auto"/>
        <w:bottom w:val="none" w:sz="0" w:space="0" w:color="auto"/>
        <w:right w:val="none" w:sz="0" w:space="0" w:color="auto"/>
      </w:divBdr>
    </w:div>
    <w:div w:id="650669725">
      <w:bodyDiv w:val="1"/>
      <w:marLeft w:val="0"/>
      <w:marRight w:val="0"/>
      <w:marTop w:val="0"/>
      <w:marBottom w:val="0"/>
      <w:divBdr>
        <w:top w:val="none" w:sz="0" w:space="0" w:color="auto"/>
        <w:left w:val="none" w:sz="0" w:space="0" w:color="auto"/>
        <w:bottom w:val="none" w:sz="0" w:space="0" w:color="auto"/>
        <w:right w:val="none" w:sz="0" w:space="0" w:color="auto"/>
      </w:divBdr>
    </w:div>
    <w:div w:id="650671743">
      <w:bodyDiv w:val="1"/>
      <w:marLeft w:val="0"/>
      <w:marRight w:val="0"/>
      <w:marTop w:val="0"/>
      <w:marBottom w:val="0"/>
      <w:divBdr>
        <w:top w:val="none" w:sz="0" w:space="0" w:color="auto"/>
        <w:left w:val="none" w:sz="0" w:space="0" w:color="auto"/>
        <w:bottom w:val="none" w:sz="0" w:space="0" w:color="auto"/>
        <w:right w:val="none" w:sz="0" w:space="0" w:color="auto"/>
      </w:divBdr>
    </w:div>
    <w:div w:id="650720704">
      <w:bodyDiv w:val="1"/>
      <w:marLeft w:val="0"/>
      <w:marRight w:val="0"/>
      <w:marTop w:val="0"/>
      <w:marBottom w:val="0"/>
      <w:divBdr>
        <w:top w:val="none" w:sz="0" w:space="0" w:color="auto"/>
        <w:left w:val="none" w:sz="0" w:space="0" w:color="auto"/>
        <w:bottom w:val="none" w:sz="0" w:space="0" w:color="auto"/>
        <w:right w:val="none" w:sz="0" w:space="0" w:color="auto"/>
      </w:divBdr>
    </w:div>
    <w:div w:id="650905751">
      <w:bodyDiv w:val="1"/>
      <w:marLeft w:val="0"/>
      <w:marRight w:val="0"/>
      <w:marTop w:val="0"/>
      <w:marBottom w:val="0"/>
      <w:divBdr>
        <w:top w:val="none" w:sz="0" w:space="0" w:color="auto"/>
        <w:left w:val="none" w:sz="0" w:space="0" w:color="auto"/>
        <w:bottom w:val="none" w:sz="0" w:space="0" w:color="auto"/>
        <w:right w:val="none" w:sz="0" w:space="0" w:color="auto"/>
      </w:divBdr>
    </w:div>
    <w:div w:id="650914000">
      <w:bodyDiv w:val="1"/>
      <w:marLeft w:val="0"/>
      <w:marRight w:val="0"/>
      <w:marTop w:val="0"/>
      <w:marBottom w:val="0"/>
      <w:divBdr>
        <w:top w:val="none" w:sz="0" w:space="0" w:color="auto"/>
        <w:left w:val="none" w:sz="0" w:space="0" w:color="auto"/>
        <w:bottom w:val="none" w:sz="0" w:space="0" w:color="auto"/>
        <w:right w:val="none" w:sz="0" w:space="0" w:color="auto"/>
      </w:divBdr>
    </w:div>
    <w:div w:id="650914235">
      <w:bodyDiv w:val="1"/>
      <w:marLeft w:val="0"/>
      <w:marRight w:val="0"/>
      <w:marTop w:val="0"/>
      <w:marBottom w:val="0"/>
      <w:divBdr>
        <w:top w:val="none" w:sz="0" w:space="0" w:color="auto"/>
        <w:left w:val="none" w:sz="0" w:space="0" w:color="auto"/>
        <w:bottom w:val="none" w:sz="0" w:space="0" w:color="auto"/>
        <w:right w:val="none" w:sz="0" w:space="0" w:color="auto"/>
      </w:divBdr>
    </w:div>
    <w:div w:id="651059095">
      <w:bodyDiv w:val="1"/>
      <w:marLeft w:val="0"/>
      <w:marRight w:val="0"/>
      <w:marTop w:val="0"/>
      <w:marBottom w:val="0"/>
      <w:divBdr>
        <w:top w:val="none" w:sz="0" w:space="0" w:color="auto"/>
        <w:left w:val="none" w:sz="0" w:space="0" w:color="auto"/>
        <w:bottom w:val="none" w:sz="0" w:space="0" w:color="auto"/>
        <w:right w:val="none" w:sz="0" w:space="0" w:color="auto"/>
      </w:divBdr>
    </w:div>
    <w:div w:id="651062263">
      <w:bodyDiv w:val="1"/>
      <w:marLeft w:val="0"/>
      <w:marRight w:val="0"/>
      <w:marTop w:val="0"/>
      <w:marBottom w:val="0"/>
      <w:divBdr>
        <w:top w:val="none" w:sz="0" w:space="0" w:color="auto"/>
        <w:left w:val="none" w:sz="0" w:space="0" w:color="auto"/>
        <w:bottom w:val="none" w:sz="0" w:space="0" w:color="auto"/>
        <w:right w:val="none" w:sz="0" w:space="0" w:color="auto"/>
      </w:divBdr>
    </w:div>
    <w:div w:id="651177835">
      <w:bodyDiv w:val="1"/>
      <w:marLeft w:val="0"/>
      <w:marRight w:val="0"/>
      <w:marTop w:val="0"/>
      <w:marBottom w:val="0"/>
      <w:divBdr>
        <w:top w:val="none" w:sz="0" w:space="0" w:color="auto"/>
        <w:left w:val="none" w:sz="0" w:space="0" w:color="auto"/>
        <w:bottom w:val="none" w:sz="0" w:space="0" w:color="auto"/>
        <w:right w:val="none" w:sz="0" w:space="0" w:color="auto"/>
      </w:divBdr>
    </w:div>
    <w:div w:id="651182165">
      <w:bodyDiv w:val="1"/>
      <w:marLeft w:val="0"/>
      <w:marRight w:val="0"/>
      <w:marTop w:val="0"/>
      <w:marBottom w:val="0"/>
      <w:divBdr>
        <w:top w:val="none" w:sz="0" w:space="0" w:color="auto"/>
        <w:left w:val="none" w:sz="0" w:space="0" w:color="auto"/>
        <w:bottom w:val="none" w:sz="0" w:space="0" w:color="auto"/>
        <w:right w:val="none" w:sz="0" w:space="0" w:color="auto"/>
      </w:divBdr>
    </w:div>
    <w:div w:id="651182588">
      <w:bodyDiv w:val="1"/>
      <w:marLeft w:val="0"/>
      <w:marRight w:val="0"/>
      <w:marTop w:val="0"/>
      <w:marBottom w:val="0"/>
      <w:divBdr>
        <w:top w:val="none" w:sz="0" w:space="0" w:color="auto"/>
        <w:left w:val="none" w:sz="0" w:space="0" w:color="auto"/>
        <w:bottom w:val="none" w:sz="0" w:space="0" w:color="auto"/>
        <w:right w:val="none" w:sz="0" w:space="0" w:color="auto"/>
      </w:divBdr>
    </w:div>
    <w:div w:id="651257366">
      <w:bodyDiv w:val="1"/>
      <w:marLeft w:val="0"/>
      <w:marRight w:val="0"/>
      <w:marTop w:val="0"/>
      <w:marBottom w:val="0"/>
      <w:divBdr>
        <w:top w:val="none" w:sz="0" w:space="0" w:color="auto"/>
        <w:left w:val="none" w:sz="0" w:space="0" w:color="auto"/>
        <w:bottom w:val="none" w:sz="0" w:space="0" w:color="auto"/>
        <w:right w:val="none" w:sz="0" w:space="0" w:color="auto"/>
      </w:divBdr>
    </w:div>
    <w:div w:id="651369419">
      <w:bodyDiv w:val="1"/>
      <w:marLeft w:val="0"/>
      <w:marRight w:val="0"/>
      <w:marTop w:val="0"/>
      <w:marBottom w:val="0"/>
      <w:divBdr>
        <w:top w:val="none" w:sz="0" w:space="0" w:color="auto"/>
        <w:left w:val="none" w:sz="0" w:space="0" w:color="auto"/>
        <w:bottom w:val="none" w:sz="0" w:space="0" w:color="auto"/>
        <w:right w:val="none" w:sz="0" w:space="0" w:color="auto"/>
      </w:divBdr>
    </w:div>
    <w:div w:id="651375635">
      <w:bodyDiv w:val="1"/>
      <w:marLeft w:val="0"/>
      <w:marRight w:val="0"/>
      <w:marTop w:val="0"/>
      <w:marBottom w:val="0"/>
      <w:divBdr>
        <w:top w:val="none" w:sz="0" w:space="0" w:color="auto"/>
        <w:left w:val="none" w:sz="0" w:space="0" w:color="auto"/>
        <w:bottom w:val="none" w:sz="0" w:space="0" w:color="auto"/>
        <w:right w:val="none" w:sz="0" w:space="0" w:color="auto"/>
      </w:divBdr>
    </w:div>
    <w:div w:id="651449707">
      <w:bodyDiv w:val="1"/>
      <w:marLeft w:val="0"/>
      <w:marRight w:val="0"/>
      <w:marTop w:val="0"/>
      <w:marBottom w:val="0"/>
      <w:divBdr>
        <w:top w:val="none" w:sz="0" w:space="0" w:color="auto"/>
        <w:left w:val="none" w:sz="0" w:space="0" w:color="auto"/>
        <w:bottom w:val="none" w:sz="0" w:space="0" w:color="auto"/>
        <w:right w:val="none" w:sz="0" w:space="0" w:color="auto"/>
      </w:divBdr>
    </w:div>
    <w:div w:id="651451717">
      <w:bodyDiv w:val="1"/>
      <w:marLeft w:val="0"/>
      <w:marRight w:val="0"/>
      <w:marTop w:val="0"/>
      <w:marBottom w:val="0"/>
      <w:divBdr>
        <w:top w:val="none" w:sz="0" w:space="0" w:color="auto"/>
        <w:left w:val="none" w:sz="0" w:space="0" w:color="auto"/>
        <w:bottom w:val="none" w:sz="0" w:space="0" w:color="auto"/>
        <w:right w:val="none" w:sz="0" w:space="0" w:color="auto"/>
      </w:divBdr>
    </w:div>
    <w:div w:id="651519554">
      <w:bodyDiv w:val="1"/>
      <w:marLeft w:val="0"/>
      <w:marRight w:val="0"/>
      <w:marTop w:val="0"/>
      <w:marBottom w:val="0"/>
      <w:divBdr>
        <w:top w:val="none" w:sz="0" w:space="0" w:color="auto"/>
        <w:left w:val="none" w:sz="0" w:space="0" w:color="auto"/>
        <w:bottom w:val="none" w:sz="0" w:space="0" w:color="auto"/>
        <w:right w:val="none" w:sz="0" w:space="0" w:color="auto"/>
      </w:divBdr>
    </w:div>
    <w:div w:id="651524552">
      <w:bodyDiv w:val="1"/>
      <w:marLeft w:val="0"/>
      <w:marRight w:val="0"/>
      <w:marTop w:val="0"/>
      <w:marBottom w:val="0"/>
      <w:divBdr>
        <w:top w:val="none" w:sz="0" w:space="0" w:color="auto"/>
        <w:left w:val="none" w:sz="0" w:space="0" w:color="auto"/>
        <w:bottom w:val="none" w:sz="0" w:space="0" w:color="auto"/>
        <w:right w:val="none" w:sz="0" w:space="0" w:color="auto"/>
      </w:divBdr>
    </w:div>
    <w:div w:id="651567479">
      <w:bodyDiv w:val="1"/>
      <w:marLeft w:val="0"/>
      <w:marRight w:val="0"/>
      <w:marTop w:val="0"/>
      <w:marBottom w:val="0"/>
      <w:divBdr>
        <w:top w:val="none" w:sz="0" w:space="0" w:color="auto"/>
        <w:left w:val="none" w:sz="0" w:space="0" w:color="auto"/>
        <w:bottom w:val="none" w:sz="0" w:space="0" w:color="auto"/>
        <w:right w:val="none" w:sz="0" w:space="0" w:color="auto"/>
      </w:divBdr>
    </w:div>
    <w:div w:id="651719053">
      <w:bodyDiv w:val="1"/>
      <w:marLeft w:val="0"/>
      <w:marRight w:val="0"/>
      <w:marTop w:val="0"/>
      <w:marBottom w:val="0"/>
      <w:divBdr>
        <w:top w:val="none" w:sz="0" w:space="0" w:color="auto"/>
        <w:left w:val="none" w:sz="0" w:space="0" w:color="auto"/>
        <w:bottom w:val="none" w:sz="0" w:space="0" w:color="auto"/>
        <w:right w:val="none" w:sz="0" w:space="0" w:color="auto"/>
      </w:divBdr>
    </w:div>
    <w:div w:id="651756383">
      <w:bodyDiv w:val="1"/>
      <w:marLeft w:val="0"/>
      <w:marRight w:val="0"/>
      <w:marTop w:val="0"/>
      <w:marBottom w:val="0"/>
      <w:divBdr>
        <w:top w:val="none" w:sz="0" w:space="0" w:color="auto"/>
        <w:left w:val="none" w:sz="0" w:space="0" w:color="auto"/>
        <w:bottom w:val="none" w:sz="0" w:space="0" w:color="auto"/>
        <w:right w:val="none" w:sz="0" w:space="0" w:color="auto"/>
      </w:divBdr>
    </w:div>
    <w:div w:id="651788060">
      <w:bodyDiv w:val="1"/>
      <w:marLeft w:val="0"/>
      <w:marRight w:val="0"/>
      <w:marTop w:val="0"/>
      <w:marBottom w:val="0"/>
      <w:divBdr>
        <w:top w:val="none" w:sz="0" w:space="0" w:color="auto"/>
        <w:left w:val="none" w:sz="0" w:space="0" w:color="auto"/>
        <w:bottom w:val="none" w:sz="0" w:space="0" w:color="auto"/>
        <w:right w:val="none" w:sz="0" w:space="0" w:color="auto"/>
      </w:divBdr>
    </w:div>
    <w:div w:id="651909673">
      <w:bodyDiv w:val="1"/>
      <w:marLeft w:val="0"/>
      <w:marRight w:val="0"/>
      <w:marTop w:val="0"/>
      <w:marBottom w:val="0"/>
      <w:divBdr>
        <w:top w:val="none" w:sz="0" w:space="0" w:color="auto"/>
        <w:left w:val="none" w:sz="0" w:space="0" w:color="auto"/>
        <w:bottom w:val="none" w:sz="0" w:space="0" w:color="auto"/>
        <w:right w:val="none" w:sz="0" w:space="0" w:color="auto"/>
      </w:divBdr>
    </w:div>
    <w:div w:id="652098249">
      <w:bodyDiv w:val="1"/>
      <w:marLeft w:val="0"/>
      <w:marRight w:val="0"/>
      <w:marTop w:val="0"/>
      <w:marBottom w:val="0"/>
      <w:divBdr>
        <w:top w:val="none" w:sz="0" w:space="0" w:color="auto"/>
        <w:left w:val="none" w:sz="0" w:space="0" w:color="auto"/>
        <w:bottom w:val="none" w:sz="0" w:space="0" w:color="auto"/>
        <w:right w:val="none" w:sz="0" w:space="0" w:color="auto"/>
      </w:divBdr>
    </w:div>
    <w:div w:id="652098411">
      <w:bodyDiv w:val="1"/>
      <w:marLeft w:val="0"/>
      <w:marRight w:val="0"/>
      <w:marTop w:val="0"/>
      <w:marBottom w:val="0"/>
      <w:divBdr>
        <w:top w:val="none" w:sz="0" w:space="0" w:color="auto"/>
        <w:left w:val="none" w:sz="0" w:space="0" w:color="auto"/>
        <w:bottom w:val="none" w:sz="0" w:space="0" w:color="auto"/>
        <w:right w:val="none" w:sz="0" w:space="0" w:color="auto"/>
      </w:divBdr>
    </w:div>
    <w:div w:id="652106127">
      <w:bodyDiv w:val="1"/>
      <w:marLeft w:val="0"/>
      <w:marRight w:val="0"/>
      <w:marTop w:val="0"/>
      <w:marBottom w:val="0"/>
      <w:divBdr>
        <w:top w:val="none" w:sz="0" w:space="0" w:color="auto"/>
        <w:left w:val="none" w:sz="0" w:space="0" w:color="auto"/>
        <w:bottom w:val="none" w:sz="0" w:space="0" w:color="auto"/>
        <w:right w:val="none" w:sz="0" w:space="0" w:color="auto"/>
      </w:divBdr>
    </w:div>
    <w:div w:id="652107135">
      <w:bodyDiv w:val="1"/>
      <w:marLeft w:val="0"/>
      <w:marRight w:val="0"/>
      <w:marTop w:val="0"/>
      <w:marBottom w:val="0"/>
      <w:divBdr>
        <w:top w:val="none" w:sz="0" w:space="0" w:color="auto"/>
        <w:left w:val="none" w:sz="0" w:space="0" w:color="auto"/>
        <w:bottom w:val="none" w:sz="0" w:space="0" w:color="auto"/>
        <w:right w:val="none" w:sz="0" w:space="0" w:color="auto"/>
      </w:divBdr>
    </w:div>
    <w:div w:id="652217013">
      <w:bodyDiv w:val="1"/>
      <w:marLeft w:val="0"/>
      <w:marRight w:val="0"/>
      <w:marTop w:val="0"/>
      <w:marBottom w:val="0"/>
      <w:divBdr>
        <w:top w:val="none" w:sz="0" w:space="0" w:color="auto"/>
        <w:left w:val="none" w:sz="0" w:space="0" w:color="auto"/>
        <w:bottom w:val="none" w:sz="0" w:space="0" w:color="auto"/>
        <w:right w:val="none" w:sz="0" w:space="0" w:color="auto"/>
      </w:divBdr>
    </w:div>
    <w:div w:id="652298223">
      <w:bodyDiv w:val="1"/>
      <w:marLeft w:val="0"/>
      <w:marRight w:val="0"/>
      <w:marTop w:val="0"/>
      <w:marBottom w:val="0"/>
      <w:divBdr>
        <w:top w:val="none" w:sz="0" w:space="0" w:color="auto"/>
        <w:left w:val="none" w:sz="0" w:space="0" w:color="auto"/>
        <w:bottom w:val="none" w:sz="0" w:space="0" w:color="auto"/>
        <w:right w:val="none" w:sz="0" w:space="0" w:color="auto"/>
      </w:divBdr>
    </w:div>
    <w:div w:id="652487744">
      <w:bodyDiv w:val="1"/>
      <w:marLeft w:val="0"/>
      <w:marRight w:val="0"/>
      <w:marTop w:val="0"/>
      <w:marBottom w:val="0"/>
      <w:divBdr>
        <w:top w:val="none" w:sz="0" w:space="0" w:color="auto"/>
        <w:left w:val="none" w:sz="0" w:space="0" w:color="auto"/>
        <w:bottom w:val="none" w:sz="0" w:space="0" w:color="auto"/>
        <w:right w:val="none" w:sz="0" w:space="0" w:color="auto"/>
      </w:divBdr>
    </w:div>
    <w:div w:id="652492076">
      <w:bodyDiv w:val="1"/>
      <w:marLeft w:val="0"/>
      <w:marRight w:val="0"/>
      <w:marTop w:val="0"/>
      <w:marBottom w:val="0"/>
      <w:divBdr>
        <w:top w:val="none" w:sz="0" w:space="0" w:color="auto"/>
        <w:left w:val="none" w:sz="0" w:space="0" w:color="auto"/>
        <w:bottom w:val="none" w:sz="0" w:space="0" w:color="auto"/>
        <w:right w:val="none" w:sz="0" w:space="0" w:color="auto"/>
      </w:divBdr>
    </w:div>
    <w:div w:id="652609750">
      <w:bodyDiv w:val="1"/>
      <w:marLeft w:val="0"/>
      <w:marRight w:val="0"/>
      <w:marTop w:val="0"/>
      <w:marBottom w:val="0"/>
      <w:divBdr>
        <w:top w:val="none" w:sz="0" w:space="0" w:color="auto"/>
        <w:left w:val="none" w:sz="0" w:space="0" w:color="auto"/>
        <w:bottom w:val="none" w:sz="0" w:space="0" w:color="auto"/>
        <w:right w:val="none" w:sz="0" w:space="0" w:color="auto"/>
      </w:divBdr>
    </w:div>
    <w:div w:id="652639714">
      <w:bodyDiv w:val="1"/>
      <w:marLeft w:val="0"/>
      <w:marRight w:val="0"/>
      <w:marTop w:val="0"/>
      <w:marBottom w:val="0"/>
      <w:divBdr>
        <w:top w:val="none" w:sz="0" w:space="0" w:color="auto"/>
        <w:left w:val="none" w:sz="0" w:space="0" w:color="auto"/>
        <w:bottom w:val="none" w:sz="0" w:space="0" w:color="auto"/>
        <w:right w:val="none" w:sz="0" w:space="0" w:color="auto"/>
      </w:divBdr>
    </w:div>
    <w:div w:id="652685802">
      <w:bodyDiv w:val="1"/>
      <w:marLeft w:val="0"/>
      <w:marRight w:val="0"/>
      <w:marTop w:val="0"/>
      <w:marBottom w:val="0"/>
      <w:divBdr>
        <w:top w:val="none" w:sz="0" w:space="0" w:color="auto"/>
        <w:left w:val="none" w:sz="0" w:space="0" w:color="auto"/>
        <w:bottom w:val="none" w:sz="0" w:space="0" w:color="auto"/>
        <w:right w:val="none" w:sz="0" w:space="0" w:color="auto"/>
      </w:divBdr>
    </w:div>
    <w:div w:id="653022014">
      <w:bodyDiv w:val="1"/>
      <w:marLeft w:val="0"/>
      <w:marRight w:val="0"/>
      <w:marTop w:val="0"/>
      <w:marBottom w:val="0"/>
      <w:divBdr>
        <w:top w:val="none" w:sz="0" w:space="0" w:color="auto"/>
        <w:left w:val="none" w:sz="0" w:space="0" w:color="auto"/>
        <w:bottom w:val="none" w:sz="0" w:space="0" w:color="auto"/>
        <w:right w:val="none" w:sz="0" w:space="0" w:color="auto"/>
      </w:divBdr>
    </w:div>
    <w:div w:id="653027883">
      <w:bodyDiv w:val="1"/>
      <w:marLeft w:val="0"/>
      <w:marRight w:val="0"/>
      <w:marTop w:val="0"/>
      <w:marBottom w:val="0"/>
      <w:divBdr>
        <w:top w:val="none" w:sz="0" w:space="0" w:color="auto"/>
        <w:left w:val="none" w:sz="0" w:space="0" w:color="auto"/>
        <w:bottom w:val="none" w:sz="0" w:space="0" w:color="auto"/>
        <w:right w:val="none" w:sz="0" w:space="0" w:color="auto"/>
      </w:divBdr>
    </w:div>
    <w:div w:id="653141261">
      <w:bodyDiv w:val="1"/>
      <w:marLeft w:val="0"/>
      <w:marRight w:val="0"/>
      <w:marTop w:val="0"/>
      <w:marBottom w:val="0"/>
      <w:divBdr>
        <w:top w:val="none" w:sz="0" w:space="0" w:color="auto"/>
        <w:left w:val="none" w:sz="0" w:space="0" w:color="auto"/>
        <w:bottom w:val="none" w:sz="0" w:space="0" w:color="auto"/>
        <w:right w:val="none" w:sz="0" w:space="0" w:color="auto"/>
      </w:divBdr>
    </w:div>
    <w:div w:id="653142312">
      <w:bodyDiv w:val="1"/>
      <w:marLeft w:val="0"/>
      <w:marRight w:val="0"/>
      <w:marTop w:val="0"/>
      <w:marBottom w:val="0"/>
      <w:divBdr>
        <w:top w:val="none" w:sz="0" w:space="0" w:color="auto"/>
        <w:left w:val="none" w:sz="0" w:space="0" w:color="auto"/>
        <w:bottom w:val="none" w:sz="0" w:space="0" w:color="auto"/>
        <w:right w:val="none" w:sz="0" w:space="0" w:color="auto"/>
      </w:divBdr>
    </w:div>
    <w:div w:id="653220776">
      <w:bodyDiv w:val="1"/>
      <w:marLeft w:val="0"/>
      <w:marRight w:val="0"/>
      <w:marTop w:val="0"/>
      <w:marBottom w:val="0"/>
      <w:divBdr>
        <w:top w:val="none" w:sz="0" w:space="0" w:color="auto"/>
        <w:left w:val="none" w:sz="0" w:space="0" w:color="auto"/>
        <w:bottom w:val="none" w:sz="0" w:space="0" w:color="auto"/>
        <w:right w:val="none" w:sz="0" w:space="0" w:color="auto"/>
      </w:divBdr>
    </w:div>
    <w:div w:id="653266193">
      <w:bodyDiv w:val="1"/>
      <w:marLeft w:val="0"/>
      <w:marRight w:val="0"/>
      <w:marTop w:val="0"/>
      <w:marBottom w:val="0"/>
      <w:divBdr>
        <w:top w:val="none" w:sz="0" w:space="0" w:color="auto"/>
        <w:left w:val="none" w:sz="0" w:space="0" w:color="auto"/>
        <w:bottom w:val="none" w:sz="0" w:space="0" w:color="auto"/>
        <w:right w:val="none" w:sz="0" w:space="0" w:color="auto"/>
      </w:divBdr>
    </w:div>
    <w:div w:id="653529481">
      <w:bodyDiv w:val="1"/>
      <w:marLeft w:val="0"/>
      <w:marRight w:val="0"/>
      <w:marTop w:val="0"/>
      <w:marBottom w:val="0"/>
      <w:divBdr>
        <w:top w:val="none" w:sz="0" w:space="0" w:color="auto"/>
        <w:left w:val="none" w:sz="0" w:space="0" w:color="auto"/>
        <w:bottom w:val="none" w:sz="0" w:space="0" w:color="auto"/>
        <w:right w:val="none" w:sz="0" w:space="0" w:color="auto"/>
      </w:divBdr>
    </w:div>
    <w:div w:id="653722386">
      <w:bodyDiv w:val="1"/>
      <w:marLeft w:val="0"/>
      <w:marRight w:val="0"/>
      <w:marTop w:val="0"/>
      <w:marBottom w:val="0"/>
      <w:divBdr>
        <w:top w:val="none" w:sz="0" w:space="0" w:color="auto"/>
        <w:left w:val="none" w:sz="0" w:space="0" w:color="auto"/>
        <w:bottom w:val="none" w:sz="0" w:space="0" w:color="auto"/>
        <w:right w:val="none" w:sz="0" w:space="0" w:color="auto"/>
      </w:divBdr>
    </w:div>
    <w:div w:id="653921164">
      <w:bodyDiv w:val="1"/>
      <w:marLeft w:val="0"/>
      <w:marRight w:val="0"/>
      <w:marTop w:val="0"/>
      <w:marBottom w:val="0"/>
      <w:divBdr>
        <w:top w:val="none" w:sz="0" w:space="0" w:color="auto"/>
        <w:left w:val="none" w:sz="0" w:space="0" w:color="auto"/>
        <w:bottom w:val="none" w:sz="0" w:space="0" w:color="auto"/>
        <w:right w:val="none" w:sz="0" w:space="0" w:color="auto"/>
      </w:divBdr>
    </w:div>
    <w:div w:id="653946275">
      <w:bodyDiv w:val="1"/>
      <w:marLeft w:val="0"/>
      <w:marRight w:val="0"/>
      <w:marTop w:val="0"/>
      <w:marBottom w:val="0"/>
      <w:divBdr>
        <w:top w:val="none" w:sz="0" w:space="0" w:color="auto"/>
        <w:left w:val="none" w:sz="0" w:space="0" w:color="auto"/>
        <w:bottom w:val="none" w:sz="0" w:space="0" w:color="auto"/>
        <w:right w:val="none" w:sz="0" w:space="0" w:color="auto"/>
      </w:divBdr>
    </w:div>
    <w:div w:id="654383230">
      <w:bodyDiv w:val="1"/>
      <w:marLeft w:val="0"/>
      <w:marRight w:val="0"/>
      <w:marTop w:val="0"/>
      <w:marBottom w:val="0"/>
      <w:divBdr>
        <w:top w:val="none" w:sz="0" w:space="0" w:color="auto"/>
        <w:left w:val="none" w:sz="0" w:space="0" w:color="auto"/>
        <w:bottom w:val="none" w:sz="0" w:space="0" w:color="auto"/>
        <w:right w:val="none" w:sz="0" w:space="0" w:color="auto"/>
      </w:divBdr>
    </w:div>
    <w:div w:id="654530784">
      <w:bodyDiv w:val="1"/>
      <w:marLeft w:val="0"/>
      <w:marRight w:val="0"/>
      <w:marTop w:val="0"/>
      <w:marBottom w:val="0"/>
      <w:divBdr>
        <w:top w:val="none" w:sz="0" w:space="0" w:color="auto"/>
        <w:left w:val="none" w:sz="0" w:space="0" w:color="auto"/>
        <w:bottom w:val="none" w:sz="0" w:space="0" w:color="auto"/>
        <w:right w:val="none" w:sz="0" w:space="0" w:color="auto"/>
      </w:divBdr>
    </w:div>
    <w:div w:id="654728705">
      <w:bodyDiv w:val="1"/>
      <w:marLeft w:val="0"/>
      <w:marRight w:val="0"/>
      <w:marTop w:val="0"/>
      <w:marBottom w:val="0"/>
      <w:divBdr>
        <w:top w:val="none" w:sz="0" w:space="0" w:color="auto"/>
        <w:left w:val="none" w:sz="0" w:space="0" w:color="auto"/>
        <w:bottom w:val="none" w:sz="0" w:space="0" w:color="auto"/>
        <w:right w:val="none" w:sz="0" w:space="0" w:color="auto"/>
      </w:divBdr>
    </w:div>
    <w:div w:id="654798098">
      <w:bodyDiv w:val="1"/>
      <w:marLeft w:val="0"/>
      <w:marRight w:val="0"/>
      <w:marTop w:val="0"/>
      <w:marBottom w:val="0"/>
      <w:divBdr>
        <w:top w:val="none" w:sz="0" w:space="0" w:color="auto"/>
        <w:left w:val="none" w:sz="0" w:space="0" w:color="auto"/>
        <w:bottom w:val="none" w:sz="0" w:space="0" w:color="auto"/>
        <w:right w:val="none" w:sz="0" w:space="0" w:color="auto"/>
      </w:divBdr>
    </w:div>
    <w:div w:id="654917651">
      <w:bodyDiv w:val="1"/>
      <w:marLeft w:val="0"/>
      <w:marRight w:val="0"/>
      <w:marTop w:val="0"/>
      <w:marBottom w:val="0"/>
      <w:divBdr>
        <w:top w:val="none" w:sz="0" w:space="0" w:color="auto"/>
        <w:left w:val="none" w:sz="0" w:space="0" w:color="auto"/>
        <w:bottom w:val="none" w:sz="0" w:space="0" w:color="auto"/>
        <w:right w:val="none" w:sz="0" w:space="0" w:color="auto"/>
      </w:divBdr>
    </w:div>
    <w:div w:id="654991470">
      <w:bodyDiv w:val="1"/>
      <w:marLeft w:val="0"/>
      <w:marRight w:val="0"/>
      <w:marTop w:val="0"/>
      <w:marBottom w:val="0"/>
      <w:divBdr>
        <w:top w:val="none" w:sz="0" w:space="0" w:color="auto"/>
        <w:left w:val="none" w:sz="0" w:space="0" w:color="auto"/>
        <w:bottom w:val="none" w:sz="0" w:space="0" w:color="auto"/>
        <w:right w:val="none" w:sz="0" w:space="0" w:color="auto"/>
      </w:divBdr>
    </w:div>
    <w:div w:id="655036144">
      <w:bodyDiv w:val="1"/>
      <w:marLeft w:val="0"/>
      <w:marRight w:val="0"/>
      <w:marTop w:val="0"/>
      <w:marBottom w:val="0"/>
      <w:divBdr>
        <w:top w:val="none" w:sz="0" w:space="0" w:color="auto"/>
        <w:left w:val="none" w:sz="0" w:space="0" w:color="auto"/>
        <w:bottom w:val="none" w:sz="0" w:space="0" w:color="auto"/>
        <w:right w:val="none" w:sz="0" w:space="0" w:color="auto"/>
      </w:divBdr>
    </w:div>
    <w:div w:id="655107814">
      <w:bodyDiv w:val="1"/>
      <w:marLeft w:val="0"/>
      <w:marRight w:val="0"/>
      <w:marTop w:val="0"/>
      <w:marBottom w:val="0"/>
      <w:divBdr>
        <w:top w:val="none" w:sz="0" w:space="0" w:color="auto"/>
        <w:left w:val="none" w:sz="0" w:space="0" w:color="auto"/>
        <w:bottom w:val="none" w:sz="0" w:space="0" w:color="auto"/>
        <w:right w:val="none" w:sz="0" w:space="0" w:color="auto"/>
      </w:divBdr>
    </w:div>
    <w:div w:id="655110899">
      <w:bodyDiv w:val="1"/>
      <w:marLeft w:val="0"/>
      <w:marRight w:val="0"/>
      <w:marTop w:val="0"/>
      <w:marBottom w:val="0"/>
      <w:divBdr>
        <w:top w:val="none" w:sz="0" w:space="0" w:color="auto"/>
        <w:left w:val="none" w:sz="0" w:space="0" w:color="auto"/>
        <w:bottom w:val="none" w:sz="0" w:space="0" w:color="auto"/>
        <w:right w:val="none" w:sz="0" w:space="0" w:color="auto"/>
      </w:divBdr>
    </w:div>
    <w:div w:id="655181388">
      <w:bodyDiv w:val="1"/>
      <w:marLeft w:val="0"/>
      <w:marRight w:val="0"/>
      <w:marTop w:val="0"/>
      <w:marBottom w:val="0"/>
      <w:divBdr>
        <w:top w:val="none" w:sz="0" w:space="0" w:color="auto"/>
        <w:left w:val="none" w:sz="0" w:space="0" w:color="auto"/>
        <w:bottom w:val="none" w:sz="0" w:space="0" w:color="auto"/>
        <w:right w:val="none" w:sz="0" w:space="0" w:color="auto"/>
      </w:divBdr>
    </w:div>
    <w:div w:id="655230853">
      <w:bodyDiv w:val="1"/>
      <w:marLeft w:val="0"/>
      <w:marRight w:val="0"/>
      <w:marTop w:val="0"/>
      <w:marBottom w:val="0"/>
      <w:divBdr>
        <w:top w:val="none" w:sz="0" w:space="0" w:color="auto"/>
        <w:left w:val="none" w:sz="0" w:space="0" w:color="auto"/>
        <w:bottom w:val="none" w:sz="0" w:space="0" w:color="auto"/>
        <w:right w:val="none" w:sz="0" w:space="0" w:color="auto"/>
      </w:divBdr>
    </w:div>
    <w:div w:id="655375489">
      <w:bodyDiv w:val="1"/>
      <w:marLeft w:val="0"/>
      <w:marRight w:val="0"/>
      <w:marTop w:val="0"/>
      <w:marBottom w:val="0"/>
      <w:divBdr>
        <w:top w:val="none" w:sz="0" w:space="0" w:color="auto"/>
        <w:left w:val="none" w:sz="0" w:space="0" w:color="auto"/>
        <w:bottom w:val="none" w:sz="0" w:space="0" w:color="auto"/>
        <w:right w:val="none" w:sz="0" w:space="0" w:color="auto"/>
      </w:divBdr>
    </w:div>
    <w:div w:id="655649844">
      <w:bodyDiv w:val="1"/>
      <w:marLeft w:val="0"/>
      <w:marRight w:val="0"/>
      <w:marTop w:val="0"/>
      <w:marBottom w:val="0"/>
      <w:divBdr>
        <w:top w:val="none" w:sz="0" w:space="0" w:color="auto"/>
        <w:left w:val="none" w:sz="0" w:space="0" w:color="auto"/>
        <w:bottom w:val="none" w:sz="0" w:space="0" w:color="auto"/>
        <w:right w:val="none" w:sz="0" w:space="0" w:color="auto"/>
      </w:divBdr>
    </w:div>
    <w:div w:id="655650546">
      <w:bodyDiv w:val="1"/>
      <w:marLeft w:val="0"/>
      <w:marRight w:val="0"/>
      <w:marTop w:val="0"/>
      <w:marBottom w:val="0"/>
      <w:divBdr>
        <w:top w:val="none" w:sz="0" w:space="0" w:color="auto"/>
        <w:left w:val="none" w:sz="0" w:space="0" w:color="auto"/>
        <w:bottom w:val="none" w:sz="0" w:space="0" w:color="auto"/>
        <w:right w:val="none" w:sz="0" w:space="0" w:color="auto"/>
      </w:divBdr>
    </w:div>
    <w:div w:id="655691625">
      <w:bodyDiv w:val="1"/>
      <w:marLeft w:val="0"/>
      <w:marRight w:val="0"/>
      <w:marTop w:val="0"/>
      <w:marBottom w:val="0"/>
      <w:divBdr>
        <w:top w:val="none" w:sz="0" w:space="0" w:color="auto"/>
        <w:left w:val="none" w:sz="0" w:space="0" w:color="auto"/>
        <w:bottom w:val="none" w:sz="0" w:space="0" w:color="auto"/>
        <w:right w:val="none" w:sz="0" w:space="0" w:color="auto"/>
      </w:divBdr>
    </w:div>
    <w:div w:id="655692148">
      <w:bodyDiv w:val="1"/>
      <w:marLeft w:val="0"/>
      <w:marRight w:val="0"/>
      <w:marTop w:val="0"/>
      <w:marBottom w:val="0"/>
      <w:divBdr>
        <w:top w:val="none" w:sz="0" w:space="0" w:color="auto"/>
        <w:left w:val="none" w:sz="0" w:space="0" w:color="auto"/>
        <w:bottom w:val="none" w:sz="0" w:space="0" w:color="auto"/>
        <w:right w:val="none" w:sz="0" w:space="0" w:color="auto"/>
      </w:divBdr>
    </w:div>
    <w:div w:id="655838712">
      <w:bodyDiv w:val="1"/>
      <w:marLeft w:val="0"/>
      <w:marRight w:val="0"/>
      <w:marTop w:val="0"/>
      <w:marBottom w:val="0"/>
      <w:divBdr>
        <w:top w:val="none" w:sz="0" w:space="0" w:color="auto"/>
        <w:left w:val="none" w:sz="0" w:space="0" w:color="auto"/>
        <w:bottom w:val="none" w:sz="0" w:space="0" w:color="auto"/>
        <w:right w:val="none" w:sz="0" w:space="0" w:color="auto"/>
      </w:divBdr>
    </w:div>
    <w:div w:id="655954383">
      <w:bodyDiv w:val="1"/>
      <w:marLeft w:val="0"/>
      <w:marRight w:val="0"/>
      <w:marTop w:val="0"/>
      <w:marBottom w:val="0"/>
      <w:divBdr>
        <w:top w:val="none" w:sz="0" w:space="0" w:color="auto"/>
        <w:left w:val="none" w:sz="0" w:space="0" w:color="auto"/>
        <w:bottom w:val="none" w:sz="0" w:space="0" w:color="auto"/>
        <w:right w:val="none" w:sz="0" w:space="0" w:color="auto"/>
      </w:divBdr>
    </w:div>
    <w:div w:id="655956787">
      <w:bodyDiv w:val="1"/>
      <w:marLeft w:val="0"/>
      <w:marRight w:val="0"/>
      <w:marTop w:val="0"/>
      <w:marBottom w:val="0"/>
      <w:divBdr>
        <w:top w:val="none" w:sz="0" w:space="0" w:color="auto"/>
        <w:left w:val="none" w:sz="0" w:space="0" w:color="auto"/>
        <w:bottom w:val="none" w:sz="0" w:space="0" w:color="auto"/>
        <w:right w:val="none" w:sz="0" w:space="0" w:color="auto"/>
      </w:divBdr>
    </w:div>
    <w:div w:id="655957822">
      <w:bodyDiv w:val="1"/>
      <w:marLeft w:val="0"/>
      <w:marRight w:val="0"/>
      <w:marTop w:val="0"/>
      <w:marBottom w:val="0"/>
      <w:divBdr>
        <w:top w:val="none" w:sz="0" w:space="0" w:color="auto"/>
        <w:left w:val="none" w:sz="0" w:space="0" w:color="auto"/>
        <w:bottom w:val="none" w:sz="0" w:space="0" w:color="auto"/>
        <w:right w:val="none" w:sz="0" w:space="0" w:color="auto"/>
      </w:divBdr>
    </w:div>
    <w:div w:id="655963790">
      <w:bodyDiv w:val="1"/>
      <w:marLeft w:val="0"/>
      <w:marRight w:val="0"/>
      <w:marTop w:val="0"/>
      <w:marBottom w:val="0"/>
      <w:divBdr>
        <w:top w:val="none" w:sz="0" w:space="0" w:color="auto"/>
        <w:left w:val="none" w:sz="0" w:space="0" w:color="auto"/>
        <w:bottom w:val="none" w:sz="0" w:space="0" w:color="auto"/>
        <w:right w:val="none" w:sz="0" w:space="0" w:color="auto"/>
      </w:divBdr>
    </w:div>
    <w:div w:id="656149603">
      <w:bodyDiv w:val="1"/>
      <w:marLeft w:val="0"/>
      <w:marRight w:val="0"/>
      <w:marTop w:val="0"/>
      <w:marBottom w:val="0"/>
      <w:divBdr>
        <w:top w:val="none" w:sz="0" w:space="0" w:color="auto"/>
        <w:left w:val="none" w:sz="0" w:space="0" w:color="auto"/>
        <w:bottom w:val="none" w:sz="0" w:space="0" w:color="auto"/>
        <w:right w:val="none" w:sz="0" w:space="0" w:color="auto"/>
      </w:divBdr>
    </w:div>
    <w:div w:id="656153452">
      <w:bodyDiv w:val="1"/>
      <w:marLeft w:val="0"/>
      <w:marRight w:val="0"/>
      <w:marTop w:val="0"/>
      <w:marBottom w:val="0"/>
      <w:divBdr>
        <w:top w:val="none" w:sz="0" w:space="0" w:color="auto"/>
        <w:left w:val="none" w:sz="0" w:space="0" w:color="auto"/>
        <w:bottom w:val="none" w:sz="0" w:space="0" w:color="auto"/>
        <w:right w:val="none" w:sz="0" w:space="0" w:color="auto"/>
      </w:divBdr>
    </w:div>
    <w:div w:id="656224831">
      <w:bodyDiv w:val="1"/>
      <w:marLeft w:val="0"/>
      <w:marRight w:val="0"/>
      <w:marTop w:val="0"/>
      <w:marBottom w:val="0"/>
      <w:divBdr>
        <w:top w:val="none" w:sz="0" w:space="0" w:color="auto"/>
        <w:left w:val="none" w:sz="0" w:space="0" w:color="auto"/>
        <w:bottom w:val="none" w:sz="0" w:space="0" w:color="auto"/>
        <w:right w:val="none" w:sz="0" w:space="0" w:color="auto"/>
      </w:divBdr>
    </w:div>
    <w:div w:id="656225392">
      <w:bodyDiv w:val="1"/>
      <w:marLeft w:val="0"/>
      <w:marRight w:val="0"/>
      <w:marTop w:val="0"/>
      <w:marBottom w:val="0"/>
      <w:divBdr>
        <w:top w:val="none" w:sz="0" w:space="0" w:color="auto"/>
        <w:left w:val="none" w:sz="0" w:space="0" w:color="auto"/>
        <w:bottom w:val="none" w:sz="0" w:space="0" w:color="auto"/>
        <w:right w:val="none" w:sz="0" w:space="0" w:color="auto"/>
      </w:divBdr>
    </w:div>
    <w:div w:id="656542181">
      <w:bodyDiv w:val="1"/>
      <w:marLeft w:val="0"/>
      <w:marRight w:val="0"/>
      <w:marTop w:val="0"/>
      <w:marBottom w:val="0"/>
      <w:divBdr>
        <w:top w:val="none" w:sz="0" w:space="0" w:color="auto"/>
        <w:left w:val="none" w:sz="0" w:space="0" w:color="auto"/>
        <w:bottom w:val="none" w:sz="0" w:space="0" w:color="auto"/>
        <w:right w:val="none" w:sz="0" w:space="0" w:color="auto"/>
      </w:divBdr>
    </w:div>
    <w:div w:id="656543870">
      <w:bodyDiv w:val="1"/>
      <w:marLeft w:val="0"/>
      <w:marRight w:val="0"/>
      <w:marTop w:val="0"/>
      <w:marBottom w:val="0"/>
      <w:divBdr>
        <w:top w:val="none" w:sz="0" w:space="0" w:color="auto"/>
        <w:left w:val="none" w:sz="0" w:space="0" w:color="auto"/>
        <w:bottom w:val="none" w:sz="0" w:space="0" w:color="auto"/>
        <w:right w:val="none" w:sz="0" w:space="0" w:color="auto"/>
      </w:divBdr>
    </w:div>
    <w:div w:id="656617687">
      <w:bodyDiv w:val="1"/>
      <w:marLeft w:val="0"/>
      <w:marRight w:val="0"/>
      <w:marTop w:val="0"/>
      <w:marBottom w:val="0"/>
      <w:divBdr>
        <w:top w:val="none" w:sz="0" w:space="0" w:color="auto"/>
        <w:left w:val="none" w:sz="0" w:space="0" w:color="auto"/>
        <w:bottom w:val="none" w:sz="0" w:space="0" w:color="auto"/>
        <w:right w:val="none" w:sz="0" w:space="0" w:color="auto"/>
      </w:divBdr>
    </w:div>
    <w:div w:id="656685930">
      <w:bodyDiv w:val="1"/>
      <w:marLeft w:val="0"/>
      <w:marRight w:val="0"/>
      <w:marTop w:val="0"/>
      <w:marBottom w:val="0"/>
      <w:divBdr>
        <w:top w:val="none" w:sz="0" w:space="0" w:color="auto"/>
        <w:left w:val="none" w:sz="0" w:space="0" w:color="auto"/>
        <w:bottom w:val="none" w:sz="0" w:space="0" w:color="auto"/>
        <w:right w:val="none" w:sz="0" w:space="0" w:color="auto"/>
      </w:divBdr>
    </w:div>
    <w:div w:id="656879566">
      <w:bodyDiv w:val="1"/>
      <w:marLeft w:val="0"/>
      <w:marRight w:val="0"/>
      <w:marTop w:val="0"/>
      <w:marBottom w:val="0"/>
      <w:divBdr>
        <w:top w:val="none" w:sz="0" w:space="0" w:color="auto"/>
        <w:left w:val="none" w:sz="0" w:space="0" w:color="auto"/>
        <w:bottom w:val="none" w:sz="0" w:space="0" w:color="auto"/>
        <w:right w:val="none" w:sz="0" w:space="0" w:color="auto"/>
      </w:divBdr>
    </w:div>
    <w:div w:id="657029493">
      <w:bodyDiv w:val="1"/>
      <w:marLeft w:val="0"/>
      <w:marRight w:val="0"/>
      <w:marTop w:val="0"/>
      <w:marBottom w:val="0"/>
      <w:divBdr>
        <w:top w:val="none" w:sz="0" w:space="0" w:color="auto"/>
        <w:left w:val="none" w:sz="0" w:space="0" w:color="auto"/>
        <w:bottom w:val="none" w:sz="0" w:space="0" w:color="auto"/>
        <w:right w:val="none" w:sz="0" w:space="0" w:color="auto"/>
      </w:divBdr>
    </w:div>
    <w:div w:id="657147970">
      <w:bodyDiv w:val="1"/>
      <w:marLeft w:val="0"/>
      <w:marRight w:val="0"/>
      <w:marTop w:val="0"/>
      <w:marBottom w:val="0"/>
      <w:divBdr>
        <w:top w:val="none" w:sz="0" w:space="0" w:color="auto"/>
        <w:left w:val="none" w:sz="0" w:space="0" w:color="auto"/>
        <w:bottom w:val="none" w:sz="0" w:space="0" w:color="auto"/>
        <w:right w:val="none" w:sz="0" w:space="0" w:color="auto"/>
      </w:divBdr>
    </w:div>
    <w:div w:id="657223240">
      <w:bodyDiv w:val="1"/>
      <w:marLeft w:val="0"/>
      <w:marRight w:val="0"/>
      <w:marTop w:val="0"/>
      <w:marBottom w:val="0"/>
      <w:divBdr>
        <w:top w:val="none" w:sz="0" w:space="0" w:color="auto"/>
        <w:left w:val="none" w:sz="0" w:space="0" w:color="auto"/>
        <w:bottom w:val="none" w:sz="0" w:space="0" w:color="auto"/>
        <w:right w:val="none" w:sz="0" w:space="0" w:color="auto"/>
      </w:divBdr>
    </w:div>
    <w:div w:id="657226225">
      <w:bodyDiv w:val="1"/>
      <w:marLeft w:val="0"/>
      <w:marRight w:val="0"/>
      <w:marTop w:val="0"/>
      <w:marBottom w:val="0"/>
      <w:divBdr>
        <w:top w:val="none" w:sz="0" w:space="0" w:color="auto"/>
        <w:left w:val="none" w:sz="0" w:space="0" w:color="auto"/>
        <w:bottom w:val="none" w:sz="0" w:space="0" w:color="auto"/>
        <w:right w:val="none" w:sz="0" w:space="0" w:color="auto"/>
      </w:divBdr>
    </w:div>
    <w:div w:id="657266864">
      <w:bodyDiv w:val="1"/>
      <w:marLeft w:val="0"/>
      <w:marRight w:val="0"/>
      <w:marTop w:val="0"/>
      <w:marBottom w:val="0"/>
      <w:divBdr>
        <w:top w:val="none" w:sz="0" w:space="0" w:color="auto"/>
        <w:left w:val="none" w:sz="0" w:space="0" w:color="auto"/>
        <w:bottom w:val="none" w:sz="0" w:space="0" w:color="auto"/>
        <w:right w:val="none" w:sz="0" w:space="0" w:color="auto"/>
      </w:divBdr>
    </w:div>
    <w:div w:id="657349619">
      <w:bodyDiv w:val="1"/>
      <w:marLeft w:val="0"/>
      <w:marRight w:val="0"/>
      <w:marTop w:val="0"/>
      <w:marBottom w:val="0"/>
      <w:divBdr>
        <w:top w:val="none" w:sz="0" w:space="0" w:color="auto"/>
        <w:left w:val="none" w:sz="0" w:space="0" w:color="auto"/>
        <w:bottom w:val="none" w:sz="0" w:space="0" w:color="auto"/>
        <w:right w:val="none" w:sz="0" w:space="0" w:color="auto"/>
      </w:divBdr>
    </w:div>
    <w:div w:id="657418743">
      <w:bodyDiv w:val="1"/>
      <w:marLeft w:val="0"/>
      <w:marRight w:val="0"/>
      <w:marTop w:val="0"/>
      <w:marBottom w:val="0"/>
      <w:divBdr>
        <w:top w:val="none" w:sz="0" w:space="0" w:color="auto"/>
        <w:left w:val="none" w:sz="0" w:space="0" w:color="auto"/>
        <w:bottom w:val="none" w:sz="0" w:space="0" w:color="auto"/>
        <w:right w:val="none" w:sz="0" w:space="0" w:color="auto"/>
      </w:divBdr>
    </w:div>
    <w:div w:id="657419187">
      <w:bodyDiv w:val="1"/>
      <w:marLeft w:val="0"/>
      <w:marRight w:val="0"/>
      <w:marTop w:val="0"/>
      <w:marBottom w:val="0"/>
      <w:divBdr>
        <w:top w:val="none" w:sz="0" w:space="0" w:color="auto"/>
        <w:left w:val="none" w:sz="0" w:space="0" w:color="auto"/>
        <w:bottom w:val="none" w:sz="0" w:space="0" w:color="auto"/>
        <w:right w:val="none" w:sz="0" w:space="0" w:color="auto"/>
      </w:divBdr>
    </w:div>
    <w:div w:id="657467390">
      <w:bodyDiv w:val="1"/>
      <w:marLeft w:val="0"/>
      <w:marRight w:val="0"/>
      <w:marTop w:val="0"/>
      <w:marBottom w:val="0"/>
      <w:divBdr>
        <w:top w:val="none" w:sz="0" w:space="0" w:color="auto"/>
        <w:left w:val="none" w:sz="0" w:space="0" w:color="auto"/>
        <w:bottom w:val="none" w:sz="0" w:space="0" w:color="auto"/>
        <w:right w:val="none" w:sz="0" w:space="0" w:color="auto"/>
      </w:divBdr>
    </w:div>
    <w:div w:id="657538293">
      <w:bodyDiv w:val="1"/>
      <w:marLeft w:val="0"/>
      <w:marRight w:val="0"/>
      <w:marTop w:val="0"/>
      <w:marBottom w:val="0"/>
      <w:divBdr>
        <w:top w:val="none" w:sz="0" w:space="0" w:color="auto"/>
        <w:left w:val="none" w:sz="0" w:space="0" w:color="auto"/>
        <w:bottom w:val="none" w:sz="0" w:space="0" w:color="auto"/>
        <w:right w:val="none" w:sz="0" w:space="0" w:color="auto"/>
      </w:divBdr>
    </w:div>
    <w:div w:id="657617777">
      <w:bodyDiv w:val="1"/>
      <w:marLeft w:val="0"/>
      <w:marRight w:val="0"/>
      <w:marTop w:val="0"/>
      <w:marBottom w:val="0"/>
      <w:divBdr>
        <w:top w:val="none" w:sz="0" w:space="0" w:color="auto"/>
        <w:left w:val="none" w:sz="0" w:space="0" w:color="auto"/>
        <w:bottom w:val="none" w:sz="0" w:space="0" w:color="auto"/>
        <w:right w:val="none" w:sz="0" w:space="0" w:color="auto"/>
      </w:divBdr>
    </w:div>
    <w:div w:id="657805923">
      <w:bodyDiv w:val="1"/>
      <w:marLeft w:val="0"/>
      <w:marRight w:val="0"/>
      <w:marTop w:val="0"/>
      <w:marBottom w:val="0"/>
      <w:divBdr>
        <w:top w:val="none" w:sz="0" w:space="0" w:color="auto"/>
        <w:left w:val="none" w:sz="0" w:space="0" w:color="auto"/>
        <w:bottom w:val="none" w:sz="0" w:space="0" w:color="auto"/>
        <w:right w:val="none" w:sz="0" w:space="0" w:color="auto"/>
      </w:divBdr>
    </w:div>
    <w:div w:id="657928283">
      <w:bodyDiv w:val="1"/>
      <w:marLeft w:val="0"/>
      <w:marRight w:val="0"/>
      <w:marTop w:val="0"/>
      <w:marBottom w:val="0"/>
      <w:divBdr>
        <w:top w:val="none" w:sz="0" w:space="0" w:color="auto"/>
        <w:left w:val="none" w:sz="0" w:space="0" w:color="auto"/>
        <w:bottom w:val="none" w:sz="0" w:space="0" w:color="auto"/>
        <w:right w:val="none" w:sz="0" w:space="0" w:color="auto"/>
      </w:divBdr>
    </w:div>
    <w:div w:id="657928510">
      <w:bodyDiv w:val="1"/>
      <w:marLeft w:val="0"/>
      <w:marRight w:val="0"/>
      <w:marTop w:val="0"/>
      <w:marBottom w:val="0"/>
      <w:divBdr>
        <w:top w:val="none" w:sz="0" w:space="0" w:color="auto"/>
        <w:left w:val="none" w:sz="0" w:space="0" w:color="auto"/>
        <w:bottom w:val="none" w:sz="0" w:space="0" w:color="auto"/>
        <w:right w:val="none" w:sz="0" w:space="0" w:color="auto"/>
      </w:divBdr>
    </w:div>
    <w:div w:id="658074200">
      <w:bodyDiv w:val="1"/>
      <w:marLeft w:val="0"/>
      <w:marRight w:val="0"/>
      <w:marTop w:val="0"/>
      <w:marBottom w:val="0"/>
      <w:divBdr>
        <w:top w:val="none" w:sz="0" w:space="0" w:color="auto"/>
        <w:left w:val="none" w:sz="0" w:space="0" w:color="auto"/>
        <w:bottom w:val="none" w:sz="0" w:space="0" w:color="auto"/>
        <w:right w:val="none" w:sz="0" w:space="0" w:color="auto"/>
      </w:divBdr>
    </w:div>
    <w:div w:id="658117882">
      <w:bodyDiv w:val="1"/>
      <w:marLeft w:val="0"/>
      <w:marRight w:val="0"/>
      <w:marTop w:val="0"/>
      <w:marBottom w:val="0"/>
      <w:divBdr>
        <w:top w:val="none" w:sz="0" w:space="0" w:color="auto"/>
        <w:left w:val="none" w:sz="0" w:space="0" w:color="auto"/>
        <w:bottom w:val="none" w:sz="0" w:space="0" w:color="auto"/>
        <w:right w:val="none" w:sz="0" w:space="0" w:color="auto"/>
      </w:divBdr>
    </w:div>
    <w:div w:id="658535051">
      <w:bodyDiv w:val="1"/>
      <w:marLeft w:val="0"/>
      <w:marRight w:val="0"/>
      <w:marTop w:val="0"/>
      <w:marBottom w:val="0"/>
      <w:divBdr>
        <w:top w:val="none" w:sz="0" w:space="0" w:color="auto"/>
        <w:left w:val="none" w:sz="0" w:space="0" w:color="auto"/>
        <w:bottom w:val="none" w:sz="0" w:space="0" w:color="auto"/>
        <w:right w:val="none" w:sz="0" w:space="0" w:color="auto"/>
      </w:divBdr>
    </w:div>
    <w:div w:id="658575716">
      <w:bodyDiv w:val="1"/>
      <w:marLeft w:val="0"/>
      <w:marRight w:val="0"/>
      <w:marTop w:val="0"/>
      <w:marBottom w:val="0"/>
      <w:divBdr>
        <w:top w:val="none" w:sz="0" w:space="0" w:color="auto"/>
        <w:left w:val="none" w:sz="0" w:space="0" w:color="auto"/>
        <w:bottom w:val="none" w:sz="0" w:space="0" w:color="auto"/>
        <w:right w:val="none" w:sz="0" w:space="0" w:color="auto"/>
      </w:divBdr>
    </w:div>
    <w:div w:id="658580703">
      <w:bodyDiv w:val="1"/>
      <w:marLeft w:val="0"/>
      <w:marRight w:val="0"/>
      <w:marTop w:val="0"/>
      <w:marBottom w:val="0"/>
      <w:divBdr>
        <w:top w:val="none" w:sz="0" w:space="0" w:color="auto"/>
        <w:left w:val="none" w:sz="0" w:space="0" w:color="auto"/>
        <w:bottom w:val="none" w:sz="0" w:space="0" w:color="auto"/>
        <w:right w:val="none" w:sz="0" w:space="0" w:color="auto"/>
      </w:divBdr>
    </w:div>
    <w:div w:id="658733184">
      <w:bodyDiv w:val="1"/>
      <w:marLeft w:val="0"/>
      <w:marRight w:val="0"/>
      <w:marTop w:val="0"/>
      <w:marBottom w:val="0"/>
      <w:divBdr>
        <w:top w:val="none" w:sz="0" w:space="0" w:color="auto"/>
        <w:left w:val="none" w:sz="0" w:space="0" w:color="auto"/>
        <w:bottom w:val="none" w:sz="0" w:space="0" w:color="auto"/>
        <w:right w:val="none" w:sz="0" w:space="0" w:color="auto"/>
      </w:divBdr>
    </w:div>
    <w:div w:id="658774468">
      <w:bodyDiv w:val="1"/>
      <w:marLeft w:val="0"/>
      <w:marRight w:val="0"/>
      <w:marTop w:val="0"/>
      <w:marBottom w:val="0"/>
      <w:divBdr>
        <w:top w:val="none" w:sz="0" w:space="0" w:color="auto"/>
        <w:left w:val="none" w:sz="0" w:space="0" w:color="auto"/>
        <w:bottom w:val="none" w:sz="0" w:space="0" w:color="auto"/>
        <w:right w:val="none" w:sz="0" w:space="0" w:color="auto"/>
      </w:divBdr>
    </w:div>
    <w:div w:id="658776206">
      <w:bodyDiv w:val="1"/>
      <w:marLeft w:val="0"/>
      <w:marRight w:val="0"/>
      <w:marTop w:val="0"/>
      <w:marBottom w:val="0"/>
      <w:divBdr>
        <w:top w:val="none" w:sz="0" w:space="0" w:color="auto"/>
        <w:left w:val="none" w:sz="0" w:space="0" w:color="auto"/>
        <w:bottom w:val="none" w:sz="0" w:space="0" w:color="auto"/>
        <w:right w:val="none" w:sz="0" w:space="0" w:color="auto"/>
      </w:divBdr>
    </w:div>
    <w:div w:id="658920678">
      <w:bodyDiv w:val="1"/>
      <w:marLeft w:val="0"/>
      <w:marRight w:val="0"/>
      <w:marTop w:val="0"/>
      <w:marBottom w:val="0"/>
      <w:divBdr>
        <w:top w:val="none" w:sz="0" w:space="0" w:color="auto"/>
        <w:left w:val="none" w:sz="0" w:space="0" w:color="auto"/>
        <w:bottom w:val="none" w:sz="0" w:space="0" w:color="auto"/>
        <w:right w:val="none" w:sz="0" w:space="0" w:color="auto"/>
      </w:divBdr>
    </w:div>
    <w:div w:id="658926603">
      <w:bodyDiv w:val="1"/>
      <w:marLeft w:val="0"/>
      <w:marRight w:val="0"/>
      <w:marTop w:val="0"/>
      <w:marBottom w:val="0"/>
      <w:divBdr>
        <w:top w:val="none" w:sz="0" w:space="0" w:color="auto"/>
        <w:left w:val="none" w:sz="0" w:space="0" w:color="auto"/>
        <w:bottom w:val="none" w:sz="0" w:space="0" w:color="auto"/>
        <w:right w:val="none" w:sz="0" w:space="0" w:color="auto"/>
      </w:divBdr>
    </w:div>
    <w:div w:id="659040792">
      <w:bodyDiv w:val="1"/>
      <w:marLeft w:val="0"/>
      <w:marRight w:val="0"/>
      <w:marTop w:val="0"/>
      <w:marBottom w:val="0"/>
      <w:divBdr>
        <w:top w:val="none" w:sz="0" w:space="0" w:color="auto"/>
        <w:left w:val="none" w:sz="0" w:space="0" w:color="auto"/>
        <w:bottom w:val="none" w:sz="0" w:space="0" w:color="auto"/>
        <w:right w:val="none" w:sz="0" w:space="0" w:color="auto"/>
      </w:divBdr>
    </w:div>
    <w:div w:id="659120660">
      <w:bodyDiv w:val="1"/>
      <w:marLeft w:val="0"/>
      <w:marRight w:val="0"/>
      <w:marTop w:val="0"/>
      <w:marBottom w:val="0"/>
      <w:divBdr>
        <w:top w:val="none" w:sz="0" w:space="0" w:color="auto"/>
        <w:left w:val="none" w:sz="0" w:space="0" w:color="auto"/>
        <w:bottom w:val="none" w:sz="0" w:space="0" w:color="auto"/>
        <w:right w:val="none" w:sz="0" w:space="0" w:color="auto"/>
      </w:divBdr>
    </w:div>
    <w:div w:id="659232133">
      <w:bodyDiv w:val="1"/>
      <w:marLeft w:val="0"/>
      <w:marRight w:val="0"/>
      <w:marTop w:val="0"/>
      <w:marBottom w:val="0"/>
      <w:divBdr>
        <w:top w:val="none" w:sz="0" w:space="0" w:color="auto"/>
        <w:left w:val="none" w:sz="0" w:space="0" w:color="auto"/>
        <w:bottom w:val="none" w:sz="0" w:space="0" w:color="auto"/>
        <w:right w:val="none" w:sz="0" w:space="0" w:color="auto"/>
      </w:divBdr>
    </w:div>
    <w:div w:id="659502847">
      <w:bodyDiv w:val="1"/>
      <w:marLeft w:val="0"/>
      <w:marRight w:val="0"/>
      <w:marTop w:val="0"/>
      <w:marBottom w:val="0"/>
      <w:divBdr>
        <w:top w:val="none" w:sz="0" w:space="0" w:color="auto"/>
        <w:left w:val="none" w:sz="0" w:space="0" w:color="auto"/>
        <w:bottom w:val="none" w:sz="0" w:space="0" w:color="auto"/>
        <w:right w:val="none" w:sz="0" w:space="0" w:color="auto"/>
      </w:divBdr>
    </w:div>
    <w:div w:id="659623121">
      <w:bodyDiv w:val="1"/>
      <w:marLeft w:val="0"/>
      <w:marRight w:val="0"/>
      <w:marTop w:val="0"/>
      <w:marBottom w:val="0"/>
      <w:divBdr>
        <w:top w:val="none" w:sz="0" w:space="0" w:color="auto"/>
        <w:left w:val="none" w:sz="0" w:space="0" w:color="auto"/>
        <w:bottom w:val="none" w:sz="0" w:space="0" w:color="auto"/>
        <w:right w:val="none" w:sz="0" w:space="0" w:color="auto"/>
      </w:divBdr>
    </w:div>
    <w:div w:id="659694435">
      <w:bodyDiv w:val="1"/>
      <w:marLeft w:val="0"/>
      <w:marRight w:val="0"/>
      <w:marTop w:val="0"/>
      <w:marBottom w:val="0"/>
      <w:divBdr>
        <w:top w:val="none" w:sz="0" w:space="0" w:color="auto"/>
        <w:left w:val="none" w:sz="0" w:space="0" w:color="auto"/>
        <w:bottom w:val="none" w:sz="0" w:space="0" w:color="auto"/>
        <w:right w:val="none" w:sz="0" w:space="0" w:color="auto"/>
      </w:divBdr>
    </w:div>
    <w:div w:id="659696436">
      <w:bodyDiv w:val="1"/>
      <w:marLeft w:val="0"/>
      <w:marRight w:val="0"/>
      <w:marTop w:val="0"/>
      <w:marBottom w:val="0"/>
      <w:divBdr>
        <w:top w:val="none" w:sz="0" w:space="0" w:color="auto"/>
        <w:left w:val="none" w:sz="0" w:space="0" w:color="auto"/>
        <w:bottom w:val="none" w:sz="0" w:space="0" w:color="auto"/>
        <w:right w:val="none" w:sz="0" w:space="0" w:color="auto"/>
      </w:divBdr>
    </w:div>
    <w:div w:id="659776328">
      <w:bodyDiv w:val="1"/>
      <w:marLeft w:val="0"/>
      <w:marRight w:val="0"/>
      <w:marTop w:val="0"/>
      <w:marBottom w:val="0"/>
      <w:divBdr>
        <w:top w:val="none" w:sz="0" w:space="0" w:color="auto"/>
        <w:left w:val="none" w:sz="0" w:space="0" w:color="auto"/>
        <w:bottom w:val="none" w:sz="0" w:space="0" w:color="auto"/>
        <w:right w:val="none" w:sz="0" w:space="0" w:color="auto"/>
      </w:divBdr>
    </w:div>
    <w:div w:id="659849088">
      <w:bodyDiv w:val="1"/>
      <w:marLeft w:val="0"/>
      <w:marRight w:val="0"/>
      <w:marTop w:val="0"/>
      <w:marBottom w:val="0"/>
      <w:divBdr>
        <w:top w:val="none" w:sz="0" w:space="0" w:color="auto"/>
        <w:left w:val="none" w:sz="0" w:space="0" w:color="auto"/>
        <w:bottom w:val="none" w:sz="0" w:space="0" w:color="auto"/>
        <w:right w:val="none" w:sz="0" w:space="0" w:color="auto"/>
      </w:divBdr>
    </w:div>
    <w:div w:id="660040944">
      <w:bodyDiv w:val="1"/>
      <w:marLeft w:val="0"/>
      <w:marRight w:val="0"/>
      <w:marTop w:val="0"/>
      <w:marBottom w:val="0"/>
      <w:divBdr>
        <w:top w:val="none" w:sz="0" w:space="0" w:color="auto"/>
        <w:left w:val="none" w:sz="0" w:space="0" w:color="auto"/>
        <w:bottom w:val="none" w:sz="0" w:space="0" w:color="auto"/>
        <w:right w:val="none" w:sz="0" w:space="0" w:color="auto"/>
      </w:divBdr>
    </w:div>
    <w:div w:id="660041942">
      <w:bodyDiv w:val="1"/>
      <w:marLeft w:val="0"/>
      <w:marRight w:val="0"/>
      <w:marTop w:val="0"/>
      <w:marBottom w:val="0"/>
      <w:divBdr>
        <w:top w:val="none" w:sz="0" w:space="0" w:color="auto"/>
        <w:left w:val="none" w:sz="0" w:space="0" w:color="auto"/>
        <w:bottom w:val="none" w:sz="0" w:space="0" w:color="auto"/>
        <w:right w:val="none" w:sz="0" w:space="0" w:color="auto"/>
      </w:divBdr>
    </w:div>
    <w:div w:id="660080484">
      <w:bodyDiv w:val="1"/>
      <w:marLeft w:val="0"/>
      <w:marRight w:val="0"/>
      <w:marTop w:val="0"/>
      <w:marBottom w:val="0"/>
      <w:divBdr>
        <w:top w:val="none" w:sz="0" w:space="0" w:color="auto"/>
        <w:left w:val="none" w:sz="0" w:space="0" w:color="auto"/>
        <w:bottom w:val="none" w:sz="0" w:space="0" w:color="auto"/>
        <w:right w:val="none" w:sz="0" w:space="0" w:color="auto"/>
      </w:divBdr>
    </w:div>
    <w:div w:id="660158276">
      <w:bodyDiv w:val="1"/>
      <w:marLeft w:val="0"/>
      <w:marRight w:val="0"/>
      <w:marTop w:val="0"/>
      <w:marBottom w:val="0"/>
      <w:divBdr>
        <w:top w:val="none" w:sz="0" w:space="0" w:color="auto"/>
        <w:left w:val="none" w:sz="0" w:space="0" w:color="auto"/>
        <w:bottom w:val="none" w:sz="0" w:space="0" w:color="auto"/>
        <w:right w:val="none" w:sz="0" w:space="0" w:color="auto"/>
      </w:divBdr>
    </w:div>
    <w:div w:id="660158348">
      <w:bodyDiv w:val="1"/>
      <w:marLeft w:val="0"/>
      <w:marRight w:val="0"/>
      <w:marTop w:val="0"/>
      <w:marBottom w:val="0"/>
      <w:divBdr>
        <w:top w:val="none" w:sz="0" w:space="0" w:color="auto"/>
        <w:left w:val="none" w:sz="0" w:space="0" w:color="auto"/>
        <w:bottom w:val="none" w:sz="0" w:space="0" w:color="auto"/>
        <w:right w:val="none" w:sz="0" w:space="0" w:color="auto"/>
      </w:divBdr>
    </w:div>
    <w:div w:id="660353863">
      <w:bodyDiv w:val="1"/>
      <w:marLeft w:val="0"/>
      <w:marRight w:val="0"/>
      <w:marTop w:val="0"/>
      <w:marBottom w:val="0"/>
      <w:divBdr>
        <w:top w:val="none" w:sz="0" w:space="0" w:color="auto"/>
        <w:left w:val="none" w:sz="0" w:space="0" w:color="auto"/>
        <w:bottom w:val="none" w:sz="0" w:space="0" w:color="auto"/>
        <w:right w:val="none" w:sz="0" w:space="0" w:color="auto"/>
      </w:divBdr>
    </w:div>
    <w:div w:id="660474586">
      <w:bodyDiv w:val="1"/>
      <w:marLeft w:val="0"/>
      <w:marRight w:val="0"/>
      <w:marTop w:val="0"/>
      <w:marBottom w:val="0"/>
      <w:divBdr>
        <w:top w:val="none" w:sz="0" w:space="0" w:color="auto"/>
        <w:left w:val="none" w:sz="0" w:space="0" w:color="auto"/>
        <w:bottom w:val="none" w:sz="0" w:space="0" w:color="auto"/>
        <w:right w:val="none" w:sz="0" w:space="0" w:color="auto"/>
      </w:divBdr>
    </w:div>
    <w:div w:id="660547393">
      <w:bodyDiv w:val="1"/>
      <w:marLeft w:val="0"/>
      <w:marRight w:val="0"/>
      <w:marTop w:val="0"/>
      <w:marBottom w:val="0"/>
      <w:divBdr>
        <w:top w:val="none" w:sz="0" w:space="0" w:color="auto"/>
        <w:left w:val="none" w:sz="0" w:space="0" w:color="auto"/>
        <w:bottom w:val="none" w:sz="0" w:space="0" w:color="auto"/>
        <w:right w:val="none" w:sz="0" w:space="0" w:color="auto"/>
      </w:divBdr>
    </w:div>
    <w:div w:id="660812205">
      <w:bodyDiv w:val="1"/>
      <w:marLeft w:val="0"/>
      <w:marRight w:val="0"/>
      <w:marTop w:val="0"/>
      <w:marBottom w:val="0"/>
      <w:divBdr>
        <w:top w:val="none" w:sz="0" w:space="0" w:color="auto"/>
        <w:left w:val="none" w:sz="0" w:space="0" w:color="auto"/>
        <w:bottom w:val="none" w:sz="0" w:space="0" w:color="auto"/>
        <w:right w:val="none" w:sz="0" w:space="0" w:color="auto"/>
      </w:divBdr>
    </w:div>
    <w:div w:id="660961026">
      <w:bodyDiv w:val="1"/>
      <w:marLeft w:val="0"/>
      <w:marRight w:val="0"/>
      <w:marTop w:val="0"/>
      <w:marBottom w:val="0"/>
      <w:divBdr>
        <w:top w:val="none" w:sz="0" w:space="0" w:color="auto"/>
        <w:left w:val="none" w:sz="0" w:space="0" w:color="auto"/>
        <w:bottom w:val="none" w:sz="0" w:space="0" w:color="auto"/>
        <w:right w:val="none" w:sz="0" w:space="0" w:color="auto"/>
      </w:divBdr>
    </w:div>
    <w:div w:id="661009610">
      <w:bodyDiv w:val="1"/>
      <w:marLeft w:val="0"/>
      <w:marRight w:val="0"/>
      <w:marTop w:val="0"/>
      <w:marBottom w:val="0"/>
      <w:divBdr>
        <w:top w:val="none" w:sz="0" w:space="0" w:color="auto"/>
        <w:left w:val="none" w:sz="0" w:space="0" w:color="auto"/>
        <w:bottom w:val="none" w:sz="0" w:space="0" w:color="auto"/>
        <w:right w:val="none" w:sz="0" w:space="0" w:color="auto"/>
      </w:divBdr>
    </w:div>
    <w:div w:id="661083024">
      <w:bodyDiv w:val="1"/>
      <w:marLeft w:val="0"/>
      <w:marRight w:val="0"/>
      <w:marTop w:val="0"/>
      <w:marBottom w:val="0"/>
      <w:divBdr>
        <w:top w:val="none" w:sz="0" w:space="0" w:color="auto"/>
        <w:left w:val="none" w:sz="0" w:space="0" w:color="auto"/>
        <w:bottom w:val="none" w:sz="0" w:space="0" w:color="auto"/>
        <w:right w:val="none" w:sz="0" w:space="0" w:color="auto"/>
      </w:divBdr>
    </w:div>
    <w:div w:id="661128473">
      <w:bodyDiv w:val="1"/>
      <w:marLeft w:val="0"/>
      <w:marRight w:val="0"/>
      <w:marTop w:val="0"/>
      <w:marBottom w:val="0"/>
      <w:divBdr>
        <w:top w:val="none" w:sz="0" w:space="0" w:color="auto"/>
        <w:left w:val="none" w:sz="0" w:space="0" w:color="auto"/>
        <w:bottom w:val="none" w:sz="0" w:space="0" w:color="auto"/>
        <w:right w:val="none" w:sz="0" w:space="0" w:color="auto"/>
      </w:divBdr>
    </w:div>
    <w:div w:id="661159226">
      <w:bodyDiv w:val="1"/>
      <w:marLeft w:val="0"/>
      <w:marRight w:val="0"/>
      <w:marTop w:val="0"/>
      <w:marBottom w:val="0"/>
      <w:divBdr>
        <w:top w:val="none" w:sz="0" w:space="0" w:color="auto"/>
        <w:left w:val="none" w:sz="0" w:space="0" w:color="auto"/>
        <w:bottom w:val="none" w:sz="0" w:space="0" w:color="auto"/>
        <w:right w:val="none" w:sz="0" w:space="0" w:color="auto"/>
      </w:divBdr>
    </w:div>
    <w:div w:id="661199207">
      <w:bodyDiv w:val="1"/>
      <w:marLeft w:val="0"/>
      <w:marRight w:val="0"/>
      <w:marTop w:val="0"/>
      <w:marBottom w:val="0"/>
      <w:divBdr>
        <w:top w:val="none" w:sz="0" w:space="0" w:color="auto"/>
        <w:left w:val="none" w:sz="0" w:space="0" w:color="auto"/>
        <w:bottom w:val="none" w:sz="0" w:space="0" w:color="auto"/>
        <w:right w:val="none" w:sz="0" w:space="0" w:color="auto"/>
      </w:divBdr>
    </w:div>
    <w:div w:id="661272708">
      <w:bodyDiv w:val="1"/>
      <w:marLeft w:val="0"/>
      <w:marRight w:val="0"/>
      <w:marTop w:val="0"/>
      <w:marBottom w:val="0"/>
      <w:divBdr>
        <w:top w:val="none" w:sz="0" w:space="0" w:color="auto"/>
        <w:left w:val="none" w:sz="0" w:space="0" w:color="auto"/>
        <w:bottom w:val="none" w:sz="0" w:space="0" w:color="auto"/>
        <w:right w:val="none" w:sz="0" w:space="0" w:color="auto"/>
      </w:divBdr>
    </w:div>
    <w:div w:id="661279609">
      <w:bodyDiv w:val="1"/>
      <w:marLeft w:val="0"/>
      <w:marRight w:val="0"/>
      <w:marTop w:val="0"/>
      <w:marBottom w:val="0"/>
      <w:divBdr>
        <w:top w:val="none" w:sz="0" w:space="0" w:color="auto"/>
        <w:left w:val="none" w:sz="0" w:space="0" w:color="auto"/>
        <w:bottom w:val="none" w:sz="0" w:space="0" w:color="auto"/>
        <w:right w:val="none" w:sz="0" w:space="0" w:color="auto"/>
      </w:divBdr>
    </w:div>
    <w:div w:id="661352567">
      <w:bodyDiv w:val="1"/>
      <w:marLeft w:val="0"/>
      <w:marRight w:val="0"/>
      <w:marTop w:val="0"/>
      <w:marBottom w:val="0"/>
      <w:divBdr>
        <w:top w:val="none" w:sz="0" w:space="0" w:color="auto"/>
        <w:left w:val="none" w:sz="0" w:space="0" w:color="auto"/>
        <w:bottom w:val="none" w:sz="0" w:space="0" w:color="auto"/>
        <w:right w:val="none" w:sz="0" w:space="0" w:color="auto"/>
      </w:divBdr>
    </w:div>
    <w:div w:id="661355497">
      <w:bodyDiv w:val="1"/>
      <w:marLeft w:val="0"/>
      <w:marRight w:val="0"/>
      <w:marTop w:val="0"/>
      <w:marBottom w:val="0"/>
      <w:divBdr>
        <w:top w:val="none" w:sz="0" w:space="0" w:color="auto"/>
        <w:left w:val="none" w:sz="0" w:space="0" w:color="auto"/>
        <w:bottom w:val="none" w:sz="0" w:space="0" w:color="auto"/>
        <w:right w:val="none" w:sz="0" w:space="0" w:color="auto"/>
      </w:divBdr>
    </w:div>
    <w:div w:id="661396110">
      <w:bodyDiv w:val="1"/>
      <w:marLeft w:val="0"/>
      <w:marRight w:val="0"/>
      <w:marTop w:val="0"/>
      <w:marBottom w:val="0"/>
      <w:divBdr>
        <w:top w:val="none" w:sz="0" w:space="0" w:color="auto"/>
        <w:left w:val="none" w:sz="0" w:space="0" w:color="auto"/>
        <w:bottom w:val="none" w:sz="0" w:space="0" w:color="auto"/>
        <w:right w:val="none" w:sz="0" w:space="0" w:color="auto"/>
      </w:divBdr>
    </w:div>
    <w:div w:id="661467978">
      <w:bodyDiv w:val="1"/>
      <w:marLeft w:val="0"/>
      <w:marRight w:val="0"/>
      <w:marTop w:val="0"/>
      <w:marBottom w:val="0"/>
      <w:divBdr>
        <w:top w:val="none" w:sz="0" w:space="0" w:color="auto"/>
        <w:left w:val="none" w:sz="0" w:space="0" w:color="auto"/>
        <w:bottom w:val="none" w:sz="0" w:space="0" w:color="auto"/>
        <w:right w:val="none" w:sz="0" w:space="0" w:color="auto"/>
      </w:divBdr>
    </w:div>
    <w:div w:id="661546544">
      <w:bodyDiv w:val="1"/>
      <w:marLeft w:val="0"/>
      <w:marRight w:val="0"/>
      <w:marTop w:val="0"/>
      <w:marBottom w:val="0"/>
      <w:divBdr>
        <w:top w:val="none" w:sz="0" w:space="0" w:color="auto"/>
        <w:left w:val="none" w:sz="0" w:space="0" w:color="auto"/>
        <w:bottom w:val="none" w:sz="0" w:space="0" w:color="auto"/>
        <w:right w:val="none" w:sz="0" w:space="0" w:color="auto"/>
      </w:divBdr>
    </w:div>
    <w:div w:id="661549388">
      <w:bodyDiv w:val="1"/>
      <w:marLeft w:val="0"/>
      <w:marRight w:val="0"/>
      <w:marTop w:val="0"/>
      <w:marBottom w:val="0"/>
      <w:divBdr>
        <w:top w:val="none" w:sz="0" w:space="0" w:color="auto"/>
        <w:left w:val="none" w:sz="0" w:space="0" w:color="auto"/>
        <w:bottom w:val="none" w:sz="0" w:space="0" w:color="auto"/>
        <w:right w:val="none" w:sz="0" w:space="0" w:color="auto"/>
      </w:divBdr>
    </w:div>
    <w:div w:id="661742050">
      <w:bodyDiv w:val="1"/>
      <w:marLeft w:val="0"/>
      <w:marRight w:val="0"/>
      <w:marTop w:val="0"/>
      <w:marBottom w:val="0"/>
      <w:divBdr>
        <w:top w:val="none" w:sz="0" w:space="0" w:color="auto"/>
        <w:left w:val="none" w:sz="0" w:space="0" w:color="auto"/>
        <w:bottom w:val="none" w:sz="0" w:space="0" w:color="auto"/>
        <w:right w:val="none" w:sz="0" w:space="0" w:color="auto"/>
      </w:divBdr>
    </w:div>
    <w:div w:id="661784154">
      <w:bodyDiv w:val="1"/>
      <w:marLeft w:val="0"/>
      <w:marRight w:val="0"/>
      <w:marTop w:val="0"/>
      <w:marBottom w:val="0"/>
      <w:divBdr>
        <w:top w:val="none" w:sz="0" w:space="0" w:color="auto"/>
        <w:left w:val="none" w:sz="0" w:space="0" w:color="auto"/>
        <w:bottom w:val="none" w:sz="0" w:space="0" w:color="auto"/>
        <w:right w:val="none" w:sz="0" w:space="0" w:color="auto"/>
      </w:divBdr>
    </w:div>
    <w:div w:id="661785042">
      <w:bodyDiv w:val="1"/>
      <w:marLeft w:val="0"/>
      <w:marRight w:val="0"/>
      <w:marTop w:val="0"/>
      <w:marBottom w:val="0"/>
      <w:divBdr>
        <w:top w:val="none" w:sz="0" w:space="0" w:color="auto"/>
        <w:left w:val="none" w:sz="0" w:space="0" w:color="auto"/>
        <w:bottom w:val="none" w:sz="0" w:space="0" w:color="auto"/>
        <w:right w:val="none" w:sz="0" w:space="0" w:color="auto"/>
      </w:divBdr>
    </w:div>
    <w:div w:id="661810761">
      <w:bodyDiv w:val="1"/>
      <w:marLeft w:val="0"/>
      <w:marRight w:val="0"/>
      <w:marTop w:val="0"/>
      <w:marBottom w:val="0"/>
      <w:divBdr>
        <w:top w:val="none" w:sz="0" w:space="0" w:color="auto"/>
        <w:left w:val="none" w:sz="0" w:space="0" w:color="auto"/>
        <w:bottom w:val="none" w:sz="0" w:space="0" w:color="auto"/>
        <w:right w:val="none" w:sz="0" w:space="0" w:color="auto"/>
      </w:divBdr>
    </w:div>
    <w:div w:id="661851918">
      <w:bodyDiv w:val="1"/>
      <w:marLeft w:val="0"/>
      <w:marRight w:val="0"/>
      <w:marTop w:val="0"/>
      <w:marBottom w:val="0"/>
      <w:divBdr>
        <w:top w:val="none" w:sz="0" w:space="0" w:color="auto"/>
        <w:left w:val="none" w:sz="0" w:space="0" w:color="auto"/>
        <w:bottom w:val="none" w:sz="0" w:space="0" w:color="auto"/>
        <w:right w:val="none" w:sz="0" w:space="0" w:color="auto"/>
      </w:divBdr>
    </w:div>
    <w:div w:id="661861315">
      <w:bodyDiv w:val="1"/>
      <w:marLeft w:val="0"/>
      <w:marRight w:val="0"/>
      <w:marTop w:val="0"/>
      <w:marBottom w:val="0"/>
      <w:divBdr>
        <w:top w:val="none" w:sz="0" w:space="0" w:color="auto"/>
        <w:left w:val="none" w:sz="0" w:space="0" w:color="auto"/>
        <w:bottom w:val="none" w:sz="0" w:space="0" w:color="auto"/>
        <w:right w:val="none" w:sz="0" w:space="0" w:color="auto"/>
      </w:divBdr>
    </w:div>
    <w:div w:id="662003819">
      <w:bodyDiv w:val="1"/>
      <w:marLeft w:val="0"/>
      <w:marRight w:val="0"/>
      <w:marTop w:val="0"/>
      <w:marBottom w:val="0"/>
      <w:divBdr>
        <w:top w:val="none" w:sz="0" w:space="0" w:color="auto"/>
        <w:left w:val="none" w:sz="0" w:space="0" w:color="auto"/>
        <w:bottom w:val="none" w:sz="0" w:space="0" w:color="auto"/>
        <w:right w:val="none" w:sz="0" w:space="0" w:color="auto"/>
      </w:divBdr>
    </w:div>
    <w:div w:id="662008408">
      <w:bodyDiv w:val="1"/>
      <w:marLeft w:val="0"/>
      <w:marRight w:val="0"/>
      <w:marTop w:val="0"/>
      <w:marBottom w:val="0"/>
      <w:divBdr>
        <w:top w:val="none" w:sz="0" w:space="0" w:color="auto"/>
        <w:left w:val="none" w:sz="0" w:space="0" w:color="auto"/>
        <w:bottom w:val="none" w:sz="0" w:space="0" w:color="auto"/>
        <w:right w:val="none" w:sz="0" w:space="0" w:color="auto"/>
      </w:divBdr>
    </w:div>
    <w:div w:id="662053628">
      <w:bodyDiv w:val="1"/>
      <w:marLeft w:val="0"/>
      <w:marRight w:val="0"/>
      <w:marTop w:val="0"/>
      <w:marBottom w:val="0"/>
      <w:divBdr>
        <w:top w:val="none" w:sz="0" w:space="0" w:color="auto"/>
        <w:left w:val="none" w:sz="0" w:space="0" w:color="auto"/>
        <w:bottom w:val="none" w:sz="0" w:space="0" w:color="auto"/>
        <w:right w:val="none" w:sz="0" w:space="0" w:color="auto"/>
      </w:divBdr>
    </w:div>
    <w:div w:id="662127675">
      <w:bodyDiv w:val="1"/>
      <w:marLeft w:val="0"/>
      <w:marRight w:val="0"/>
      <w:marTop w:val="0"/>
      <w:marBottom w:val="0"/>
      <w:divBdr>
        <w:top w:val="none" w:sz="0" w:space="0" w:color="auto"/>
        <w:left w:val="none" w:sz="0" w:space="0" w:color="auto"/>
        <w:bottom w:val="none" w:sz="0" w:space="0" w:color="auto"/>
        <w:right w:val="none" w:sz="0" w:space="0" w:color="auto"/>
      </w:divBdr>
    </w:div>
    <w:div w:id="662247883">
      <w:bodyDiv w:val="1"/>
      <w:marLeft w:val="0"/>
      <w:marRight w:val="0"/>
      <w:marTop w:val="0"/>
      <w:marBottom w:val="0"/>
      <w:divBdr>
        <w:top w:val="none" w:sz="0" w:space="0" w:color="auto"/>
        <w:left w:val="none" w:sz="0" w:space="0" w:color="auto"/>
        <w:bottom w:val="none" w:sz="0" w:space="0" w:color="auto"/>
        <w:right w:val="none" w:sz="0" w:space="0" w:color="auto"/>
      </w:divBdr>
    </w:div>
    <w:div w:id="662273496">
      <w:bodyDiv w:val="1"/>
      <w:marLeft w:val="0"/>
      <w:marRight w:val="0"/>
      <w:marTop w:val="0"/>
      <w:marBottom w:val="0"/>
      <w:divBdr>
        <w:top w:val="none" w:sz="0" w:space="0" w:color="auto"/>
        <w:left w:val="none" w:sz="0" w:space="0" w:color="auto"/>
        <w:bottom w:val="none" w:sz="0" w:space="0" w:color="auto"/>
        <w:right w:val="none" w:sz="0" w:space="0" w:color="auto"/>
      </w:divBdr>
    </w:div>
    <w:div w:id="662314246">
      <w:bodyDiv w:val="1"/>
      <w:marLeft w:val="0"/>
      <w:marRight w:val="0"/>
      <w:marTop w:val="0"/>
      <w:marBottom w:val="0"/>
      <w:divBdr>
        <w:top w:val="none" w:sz="0" w:space="0" w:color="auto"/>
        <w:left w:val="none" w:sz="0" w:space="0" w:color="auto"/>
        <w:bottom w:val="none" w:sz="0" w:space="0" w:color="auto"/>
        <w:right w:val="none" w:sz="0" w:space="0" w:color="auto"/>
      </w:divBdr>
    </w:div>
    <w:div w:id="662317614">
      <w:bodyDiv w:val="1"/>
      <w:marLeft w:val="0"/>
      <w:marRight w:val="0"/>
      <w:marTop w:val="0"/>
      <w:marBottom w:val="0"/>
      <w:divBdr>
        <w:top w:val="none" w:sz="0" w:space="0" w:color="auto"/>
        <w:left w:val="none" w:sz="0" w:space="0" w:color="auto"/>
        <w:bottom w:val="none" w:sz="0" w:space="0" w:color="auto"/>
        <w:right w:val="none" w:sz="0" w:space="0" w:color="auto"/>
      </w:divBdr>
    </w:div>
    <w:div w:id="662319598">
      <w:bodyDiv w:val="1"/>
      <w:marLeft w:val="0"/>
      <w:marRight w:val="0"/>
      <w:marTop w:val="0"/>
      <w:marBottom w:val="0"/>
      <w:divBdr>
        <w:top w:val="none" w:sz="0" w:space="0" w:color="auto"/>
        <w:left w:val="none" w:sz="0" w:space="0" w:color="auto"/>
        <w:bottom w:val="none" w:sz="0" w:space="0" w:color="auto"/>
        <w:right w:val="none" w:sz="0" w:space="0" w:color="auto"/>
      </w:divBdr>
    </w:div>
    <w:div w:id="662391222">
      <w:bodyDiv w:val="1"/>
      <w:marLeft w:val="0"/>
      <w:marRight w:val="0"/>
      <w:marTop w:val="0"/>
      <w:marBottom w:val="0"/>
      <w:divBdr>
        <w:top w:val="none" w:sz="0" w:space="0" w:color="auto"/>
        <w:left w:val="none" w:sz="0" w:space="0" w:color="auto"/>
        <w:bottom w:val="none" w:sz="0" w:space="0" w:color="auto"/>
        <w:right w:val="none" w:sz="0" w:space="0" w:color="auto"/>
      </w:divBdr>
    </w:div>
    <w:div w:id="662391903">
      <w:bodyDiv w:val="1"/>
      <w:marLeft w:val="0"/>
      <w:marRight w:val="0"/>
      <w:marTop w:val="0"/>
      <w:marBottom w:val="0"/>
      <w:divBdr>
        <w:top w:val="none" w:sz="0" w:space="0" w:color="auto"/>
        <w:left w:val="none" w:sz="0" w:space="0" w:color="auto"/>
        <w:bottom w:val="none" w:sz="0" w:space="0" w:color="auto"/>
        <w:right w:val="none" w:sz="0" w:space="0" w:color="auto"/>
      </w:divBdr>
    </w:div>
    <w:div w:id="662394359">
      <w:bodyDiv w:val="1"/>
      <w:marLeft w:val="0"/>
      <w:marRight w:val="0"/>
      <w:marTop w:val="0"/>
      <w:marBottom w:val="0"/>
      <w:divBdr>
        <w:top w:val="none" w:sz="0" w:space="0" w:color="auto"/>
        <w:left w:val="none" w:sz="0" w:space="0" w:color="auto"/>
        <w:bottom w:val="none" w:sz="0" w:space="0" w:color="auto"/>
        <w:right w:val="none" w:sz="0" w:space="0" w:color="auto"/>
      </w:divBdr>
    </w:div>
    <w:div w:id="662398532">
      <w:bodyDiv w:val="1"/>
      <w:marLeft w:val="0"/>
      <w:marRight w:val="0"/>
      <w:marTop w:val="0"/>
      <w:marBottom w:val="0"/>
      <w:divBdr>
        <w:top w:val="none" w:sz="0" w:space="0" w:color="auto"/>
        <w:left w:val="none" w:sz="0" w:space="0" w:color="auto"/>
        <w:bottom w:val="none" w:sz="0" w:space="0" w:color="auto"/>
        <w:right w:val="none" w:sz="0" w:space="0" w:color="auto"/>
      </w:divBdr>
    </w:div>
    <w:div w:id="662465737">
      <w:bodyDiv w:val="1"/>
      <w:marLeft w:val="0"/>
      <w:marRight w:val="0"/>
      <w:marTop w:val="0"/>
      <w:marBottom w:val="0"/>
      <w:divBdr>
        <w:top w:val="none" w:sz="0" w:space="0" w:color="auto"/>
        <w:left w:val="none" w:sz="0" w:space="0" w:color="auto"/>
        <w:bottom w:val="none" w:sz="0" w:space="0" w:color="auto"/>
        <w:right w:val="none" w:sz="0" w:space="0" w:color="auto"/>
      </w:divBdr>
    </w:div>
    <w:div w:id="662508391">
      <w:bodyDiv w:val="1"/>
      <w:marLeft w:val="0"/>
      <w:marRight w:val="0"/>
      <w:marTop w:val="0"/>
      <w:marBottom w:val="0"/>
      <w:divBdr>
        <w:top w:val="none" w:sz="0" w:space="0" w:color="auto"/>
        <w:left w:val="none" w:sz="0" w:space="0" w:color="auto"/>
        <w:bottom w:val="none" w:sz="0" w:space="0" w:color="auto"/>
        <w:right w:val="none" w:sz="0" w:space="0" w:color="auto"/>
      </w:divBdr>
    </w:div>
    <w:div w:id="662514354">
      <w:bodyDiv w:val="1"/>
      <w:marLeft w:val="0"/>
      <w:marRight w:val="0"/>
      <w:marTop w:val="0"/>
      <w:marBottom w:val="0"/>
      <w:divBdr>
        <w:top w:val="none" w:sz="0" w:space="0" w:color="auto"/>
        <w:left w:val="none" w:sz="0" w:space="0" w:color="auto"/>
        <w:bottom w:val="none" w:sz="0" w:space="0" w:color="auto"/>
        <w:right w:val="none" w:sz="0" w:space="0" w:color="auto"/>
      </w:divBdr>
    </w:div>
    <w:div w:id="662856041">
      <w:bodyDiv w:val="1"/>
      <w:marLeft w:val="0"/>
      <w:marRight w:val="0"/>
      <w:marTop w:val="0"/>
      <w:marBottom w:val="0"/>
      <w:divBdr>
        <w:top w:val="none" w:sz="0" w:space="0" w:color="auto"/>
        <w:left w:val="none" w:sz="0" w:space="0" w:color="auto"/>
        <w:bottom w:val="none" w:sz="0" w:space="0" w:color="auto"/>
        <w:right w:val="none" w:sz="0" w:space="0" w:color="auto"/>
      </w:divBdr>
    </w:div>
    <w:div w:id="663170364">
      <w:bodyDiv w:val="1"/>
      <w:marLeft w:val="0"/>
      <w:marRight w:val="0"/>
      <w:marTop w:val="0"/>
      <w:marBottom w:val="0"/>
      <w:divBdr>
        <w:top w:val="none" w:sz="0" w:space="0" w:color="auto"/>
        <w:left w:val="none" w:sz="0" w:space="0" w:color="auto"/>
        <w:bottom w:val="none" w:sz="0" w:space="0" w:color="auto"/>
        <w:right w:val="none" w:sz="0" w:space="0" w:color="auto"/>
      </w:divBdr>
    </w:div>
    <w:div w:id="663240898">
      <w:bodyDiv w:val="1"/>
      <w:marLeft w:val="0"/>
      <w:marRight w:val="0"/>
      <w:marTop w:val="0"/>
      <w:marBottom w:val="0"/>
      <w:divBdr>
        <w:top w:val="none" w:sz="0" w:space="0" w:color="auto"/>
        <w:left w:val="none" w:sz="0" w:space="0" w:color="auto"/>
        <w:bottom w:val="none" w:sz="0" w:space="0" w:color="auto"/>
        <w:right w:val="none" w:sz="0" w:space="0" w:color="auto"/>
      </w:divBdr>
    </w:div>
    <w:div w:id="663314857">
      <w:bodyDiv w:val="1"/>
      <w:marLeft w:val="0"/>
      <w:marRight w:val="0"/>
      <w:marTop w:val="0"/>
      <w:marBottom w:val="0"/>
      <w:divBdr>
        <w:top w:val="none" w:sz="0" w:space="0" w:color="auto"/>
        <w:left w:val="none" w:sz="0" w:space="0" w:color="auto"/>
        <w:bottom w:val="none" w:sz="0" w:space="0" w:color="auto"/>
        <w:right w:val="none" w:sz="0" w:space="0" w:color="auto"/>
      </w:divBdr>
    </w:div>
    <w:div w:id="663319957">
      <w:bodyDiv w:val="1"/>
      <w:marLeft w:val="0"/>
      <w:marRight w:val="0"/>
      <w:marTop w:val="0"/>
      <w:marBottom w:val="0"/>
      <w:divBdr>
        <w:top w:val="none" w:sz="0" w:space="0" w:color="auto"/>
        <w:left w:val="none" w:sz="0" w:space="0" w:color="auto"/>
        <w:bottom w:val="none" w:sz="0" w:space="0" w:color="auto"/>
        <w:right w:val="none" w:sz="0" w:space="0" w:color="auto"/>
      </w:divBdr>
    </w:div>
    <w:div w:id="663433995">
      <w:bodyDiv w:val="1"/>
      <w:marLeft w:val="0"/>
      <w:marRight w:val="0"/>
      <w:marTop w:val="0"/>
      <w:marBottom w:val="0"/>
      <w:divBdr>
        <w:top w:val="none" w:sz="0" w:space="0" w:color="auto"/>
        <w:left w:val="none" w:sz="0" w:space="0" w:color="auto"/>
        <w:bottom w:val="none" w:sz="0" w:space="0" w:color="auto"/>
        <w:right w:val="none" w:sz="0" w:space="0" w:color="auto"/>
      </w:divBdr>
    </w:div>
    <w:div w:id="663556957">
      <w:bodyDiv w:val="1"/>
      <w:marLeft w:val="0"/>
      <w:marRight w:val="0"/>
      <w:marTop w:val="0"/>
      <w:marBottom w:val="0"/>
      <w:divBdr>
        <w:top w:val="none" w:sz="0" w:space="0" w:color="auto"/>
        <w:left w:val="none" w:sz="0" w:space="0" w:color="auto"/>
        <w:bottom w:val="none" w:sz="0" w:space="0" w:color="auto"/>
        <w:right w:val="none" w:sz="0" w:space="0" w:color="auto"/>
      </w:divBdr>
    </w:div>
    <w:div w:id="663583472">
      <w:bodyDiv w:val="1"/>
      <w:marLeft w:val="0"/>
      <w:marRight w:val="0"/>
      <w:marTop w:val="0"/>
      <w:marBottom w:val="0"/>
      <w:divBdr>
        <w:top w:val="none" w:sz="0" w:space="0" w:color="auto"/>
        <w:left w:val="none" w:sz="0" w:space="0" w:color="auto"/>
        <w:bottom w:val="none" w:sz="0" w:space="0" w:color="auto"/>
        <w:right w:val="none" w:sz="0" w:space="0" w:color="auto"/>
      </w:divBdr>
    </w:div>
    <w:div w:id="663626497">
      <w:bodyDiv w:val="1"/>
      <w:marLeft w:val="0"/>
      <w:marRight w:val="0"/>
      <w:marTop w:val="0"/>
      <w:marBottom w:val="0"/>
      <w:divBdr>
        <w:top w:val="none" w:sz="0" w:space="0" w:color="auto"/>
        <w:left w:val="none" w:sz="0" w:space="0" w:color="auto"/>
        <w:bottom w:val="none" w:sz="0" w:space="0" w:color="auto"/>
        <w:right w:val="none" w:sz="0" w:space="0" w:color="auto"/>
      </w:divBdr>
    </w:div>
    <w:div w:id="663627852">
      <w:bodyDiv w:val="1"/>
      <w:marLeft w:val="0"/>
      <w:marRight w:val="0"/>
      <w:marTop w:val="0"/>
      <w:marBottom w:val="0"/>
      <w:divBdr>
        <w:top w:val="none" w:sz="0" w:space="0" w:color="auto"/>
        <w:left w:val="none" w:sz="0" w:space="0" w:color="auto"/>
        <w:bottom w:val="none" w:sz="0" w:space="0" w:color="auto"/>
        <w:right w:val="none" w:sz="0" w:space="0" w:color="auto"/>
      </w:divBdr>
    </w:div>
    <w:div w:id="663628399">
      <w:bodyDiv w:val="1"/>
      <w:marLeft w:val="0"/>
      <w:marRight w:val="0"/>
      <w:marTop w:val="0"/>
      <w:marBottom w:val="0"/>
      <w:divBdr>
        <w:top w:val="none" w:sz="0" w:space="0" w:color="auto"/>
        <w:left w:val="none" w:sz="0" w:space="0" w:color="auto"/>
        <w:bottom w:val="none" w:sz="0" w:space="0" w:color="auto"/>
        <w:right w:val="none" w:sz="0" w:space="0" w:color="auto"/>
      </w:divBdr>
    </w:div>
    <w:div w:id="663630463">
      <w:bodyDiv w:val="1"/>
      <w:marLeft w:val="0"/>
      <w:marRight w:val="0"/>
      <w:marTop w:val="0"/>
      <w:marBottom w:val="0"/>
      <w:divBdr>
        <w:top w:val="none" w:sz="0" w:space="0" w:color="auto"/>
        <w:left w:val="none" w:sz="0" w:space="0" w:color="auto"/>
        <w:bottom w:val="none" w:sz="0" w:space="0" w:color="auto"/>
        <w:right w:val="none" w:sz="0" w:space="0" w:color="auto"/>
      </w:divBdr>
    </w:div>
    <w:div w:id="663632835">
      <w:bodyDiv w:val="1"/>
      <w:marLeft w:val="0"/>
      <w:marRight w:val="0"/>
      <w:marTop w:val="0"/>
      <w:marBottom w:val="0"/>
      <w:divBdr>
        <w:top w:val="none" w:sz="0" w:space="0" w:color="auto"/>
        <w:left w:val="none" w:sz="0" w:space="0" w:color="auto"/>
        <w:bottom w:val="none" w:sz="0" w:space="0" w:color="auto"/>
        <w:right w:val="none" w:sz="0" w:space="0" w:color="auto"/>
      </w:divBdr>
    </w:div>
    <w:div w:id="663699719">
      <w:bodyDiv w:val="1"/>
      <w:marLeft w:val="0"/>
      <w:marRight w:val="0"/>
      <w:marTop w:val="0"/>
      <w:marBottom w:val="0"/>
      <w:divBdr>
        <w:top w:val="none" w:sz="0" w:space="0" w:color="auto"/>
        <w:left w:val="none" w:sz="0" w:space="0" w:color="auto"/>
        <w:bottom w:val="none" w:sz="0" w:space="0" w:color="auto"/>
        <w:right w:val="none" w:sz="0" w:space="0" w:color="auto"/>
      </w:divBdr>
    </w:div>
    <w:div w:id="663819684">
      <w:bodyDiv w:val="1"/>
      <w:marLeft w:val="0"/>
      <w:marRight w:val="0"/>
      <w:marTop w:val="0"/>
      <w:marBottom w:val="0"/>
      <w:divBdr>
        <w:top w:val="none" w:sz="0" w:space="0" w:color="auto"/>
        <w:left w:val="none" w:sz="0" w:space="0" w:color="auto"/>
        <w:bottom w:val="none" w:sz="0" w:space="0" w:color="auto"/>
        <w:right w:val="none" w:sz="0" w:space="0" w:color="auto"/>
      </w:divBdr>
    </w:div>
    <w:div w:id="663822381">
      <w:bodyDiv w:val="1"/>
      <w:marLeft w:val="0"/>
      <w:marRight w:val="0"/>
      <w:marTop w:val="0"/>
      <w:marBottom w:val="0"/>
      <w:divBdr>
        <w:top w:val="none" w:sz="0" w:space="0" w:color="auto"/>
        <w:left w:val="none" w:sz="0" w:space="0" w:color="auto"/>
        <w:bottom w:val="none" w:sz="0" w:space="0" w:color="auto"/>
        <w:right w:val="none" w:sz="0" w:space="0" w:color="auto"/>
      </w:divBdr>
    </w:div>
    <w:div w:id="664014324">
      <w:bodyDiv w:val="1"/>
      <w:marLeft w:val="0"/>
      <w:marRight w:val="0"/>
      <w:marTop w:val="0"/>
      <w:marBottom w:val="0"/>
      <w:divBdr>
        <w:top w:val="none" w:sz="0" w:space="0" w:color="auto"/>
        <w:left w:val="none" w:sz="0" w:space="0" w:color="auto"/>
        <w:bottom w:val="none" w:sz="0" w:space="0" w:color="auto"/>
        <w:right w:val="none" w:sz="0" w:space="0" w:color="auto"/>
      </w:divBdr>
    </w:div>
    <w:div w:id="664014339">
      <w:bodyDiv w:val="1"/>
      <w:marLeft w:val="0"/>
      <w:marRight w:val="0"/>
      <w:marTop w:val="0"/>
      <w:marBottom w:val="0"/>
      <w:divBdr>
        <w:top w:val="none" w:sz="0" w:space="0" w:color="auto"/>
        <w:left w:val="none" w:sz="0" w:space="0" w:color="auto"/>
        <w:bottom w:val="none" w:sz="0" w:space="0" w:color="auto"/>
        <w:right w:val="none" w:sz="0" w:space="0" w:color="auto"/>
      </w:divBdr>
    </w:div>
    <w:div w:id="664018493">
      <w:bodyDiv w:val="1"/>
      <w:marLeft w:val="0"/>
      <w:marRight w:val="0"/>
      <w:marTop w:val="0"/>
      <w:marBottom w:val="0"/>
      <w:divBdr>
        <w:top w:val="none" w:sz="0" w:space="0" w:color="auto"/>
        <w:left w:val="none" w:sz="0" w:space="0" w:color="auto"/>
        <w:bottom w:val="none" w:sz="0" w:space="0" w:color="auto"/>
        <w:right w:val="none" w:sz="0" w:space="0" w:color="auto"/>
      </w:divBdr>
    </w:div>
    <w:div w:id="664087070">
      <w:bodyDiv w:val="1"/>
      <w:marLeft w:val="0"/>
      <w:marRight w:val="0"/>
      <w:marTop w:val="0"/>
      <w:marBottom w:val="0"/>
      <w:divBdr>
        <w:top w:val="none" w:sz="0" w:space="0" w:color="auto"/>
        <w:left w:val="none" w:sz="0" w:space="0" w:color="auto"/>
        <w:bottom w:val="none" w:sz="0" w:space="0" w:color="auto"/>
        <w:right w:val="none" w:sz="0" w:space="0" w:color="auto"/>
      </w:divBdr>
    </w:div>
    <w:div w:id="664088603">
      <w:bodyDiv w:val="1"/>
      <w:marLeft w:val="0"/>
      <w:marRight w:val="0"/>
      <w:marTop w:val="0"/>
      <w:marBottom w:val="0"/>
      <w:divBdr>
        <w:top w:val="none" w:sz="0" w:space="0" w:color="auto"/>
        <w:left w:val="none" w:sz="0" w:space="0" w:color="auto"/>
        <w:bottom w:val="none" w:sz="0" w:space="0" w:color="auto"/>
        <w:right w:val="none" w:sz="0" w:space="0" w:color="auto"/>
      </w:divBdr>
    </w:div>
    <w:div w:id="664089909">
      <w:bodyDiv w:val="1"/>
      <w:marLeft w:val="0"/>
      <w:marRight w:val="0"/>
      <w:marTop w:val="0"/>
      <w:marBottom w:val="0"/>
      <w:divBdr>
        <w:top w:val="none" w:sz="0" w:space="0" w:color="auto"/>
        <w:left w:val="none" w:sz="0" w:space="0" w:color="auto"/>
        <w:bottom w:val="none" w:sz="0" w:space="0" w:color="auto"/>
        <w:right w:val="none" w:sz="0" w:space="0" w:color="auto"/>
      </w:divBdr>
    </w:div>
    <w:div w:id="664094873">
      <w:bodyDiv w:val="1"/>
      <w:marLeft w:val="0"/>
      <w:marRight w:val="0"/>
      <w:marTop w:val="0"/>
      <w:marBottom w:val="0"/>
      <w:divBdr>
        <w:top w:val="none" w:sz="0" w:space="0" w:color="auto"/>
        <w:left w:val="none" w:sz="0" w:space="0" w:color="auto"/>
        <w:bottom w:val="none" w:sz="0" w:space="0" w:color="auto"/>
        <w:right w:val="none" w:sz="0" w:space="0" w:color="auto"/>
      </w:divBdr>
    </w:div>
    <w:div w:id="664281051">
      <w:bodyDiv w:val="1"/>
      <w:marLeft w:val="0"/>
      <w:marRight w:val="0"/>
      <w:marTop w:val="0"/>
      <w:marBottom w:val="0"/>
      <w:divBdr>
        <w:top w:val="none" w:sz="0" w:space="0" w:color="auto"/>
        <w:left w:val="none" w:sz="0" w:space="0" w:color="auto"/>
        <w:bottom w:val="none" w:sz="0" w:space="0" w:color="auto"/>
        <w:right w:val="none" w:sz="0" w:space="0" w:color="auto"/>
      </w:divBdr>
    </w:div>
    <w:div w:id="664360405">
      <w:bodyDiv w:val="1"/>
      <w:marLeft w:val="0"/>
      <w:marRight w:val="0"/>
      <w:marTop w:val="0"/>
      <w:marBottom w:val="0"/>
      <w:divBdr>
        <w:top w:val="none" w:sz="0" w:space="0" w:color="auto"/>
        <w:left w:val="none" w:sz="0" w:space="0" w:color="auto"/>
        <w:bottom w:val="none" w:sz="0" w:space="0" w:color="auto"/>
        <w:right w:val="none" w:sz="0" w:space="0" w:color="auto"/>
      </w:divBdr>
    </w:div>
    <w:div w:id="664476963">
      <w:bodyDiv w:val="1"/>
      <w:marLeft w:val="0"/>
      <w:marRight w:val="0"/>
      <w:marTop w:val="0"/>
      <w:marBottom w:val="0"/>
      <w:divBdr>
        <w:top w:val="none" w:sz="0" w:space="0" w:color="auto"/>
        <w:left w:val="none" w:sz="0" w:space="0" w:color="auto"/>
        <w:bottom w:val="none" w:sz="0" w:space="0" w:color="auto"/>
        <w:right w:val="none" w:sz="0" w:space="0" w:color="auto"/>
      </w:divBdr>
    </w:div>
    <w:div w:id="664625495">
      <w:bodyDiv w:val="1"/>
      <w:marLeft w:val="0"/>
      <w:marRight w:val="0"/>
      <w:marTop w:val="0"/>
      <w:marBottom w:val="0"/>
      <w:divBdr>
        <w:top w:val="none" w:sz="0" w:space="0" w:color="auto"/>
        <w:left w:val="none" w:sz="0" w:space="0" w:color="auto"/>
        <w:bottom w:val="none" w:sz="0" w:space="0" w:color="auto"/>
        <w:right w:val="none" w:sz="0" w:space="0" w:color="auto"/>
      </w:divBdr>
    </w:div>
    <w:div w:id="664626301">
      <w:bodyDiv w:val="1"/>
      <w:marLeft w:val="0"/>
      <w:marRight w:val="0"/>
      <w:marTop w:val="0"/>
      <w:marBottom w:val="0"/>
      <w:divBdr>
        <w:top w:val="none" w:sz="0" w:space="0" w:color="auto"/>
        <w:left w:val="none" w:sz="0" w:space="0" w:color="auto"/>
        <w:bottom w:val="none" w:sz="0" w:space="0" w:color="auto"/>
        <w:right w:val="none" w:sz="0" w:space="0" w:color="auto"/>
      </w:divBdr>
    </w:div>
    <w:div w:id="664747269">
      <w:bodyDiv w:val="1"/>
      <w:marLeft w:val="0"/>
      <w:marRight w:val="0"/>
      <w:marTop w:val="0"/>
      <w:marBottom w:val="0"/>
      <w:divBdr>
        <w:top w:val="none" w:sz="0" w:space="0" w:color="auto"/>
        <w:left w:val="none" w:sz="0" w:space="0" w:color="auto"/>
        <w:bottom w:val="none" w:sz="0" w:space="0" w:color="auto"/>
        <w:right w:val="none" w:sz="0" w:space="0" w:color="auto"/>
      </w:divBdr>
    </w:div>
    <w:div w:id="664817699">
      <w:bodyDiv w:val="1"/>
      <w:marLeft w:val="0"/>
      <w:marRight w:val="0"/>
      <w:marTop w:val="0"/>
      <w:marBottom w:val="0"/>
      <w:divBdr>
        <w:top w:val="none" w:sz="0" w:space="0" w:color="auto"/>
        <w:left w:val="none" w:sz="0" w:space="0" w:color="auto"/>
        <w:bottom w:val="none" w:sz="0" w:space="0" w:color="auto"/>
        <w:right w:val="none" w:sz="0" w:space="0" w:color="auto"/>
      </w:divBdr>
    </w:div>
    <w:div w:id="664821408">
      <w:bodyDiv w:val="1"/>
      <w:marLeft w:val="0"/>
      <w:marRight w:val="0"/>
      <w:marTop w:val="0"/>
      <w:marBottom w:val="0"/>
      <w:divBdr>
        <w:top w:val="none" w:sz="0" w:space="0" w:color="auto"/>
        <w:left w:val="none" w:sz="0" w:space="0" w:color="auto"/>
        <w:bottom w:val="none" w:sz="0" w:space="0" w:color="auto"/>
        <w:right w:val="none" w:sz="0" w:space="0" w:color="auto"/>
      </w:divBdr>
    </w:div>
    <w:div w:id="664938655">
      <w:bodyDiv w:val="1"/>
      <w:marLeft w:val="0"/>
      <w:marRight w:val="0"/>
      <w:marTop w:val="0"/>
      <w:marBottom w:val="0"/>
      <w:divBdr>
        <w:top w:val="none" w:sz="0" w:space="0" w:color="auto"/>
        <w:left w:val="none" w:sz="0" w:space="0" w:color="auto"/>
        <w:bottom w:val="none" w:sz="0" w:space="0" w:color="auto"/>
        <w:right w:val="none" w:sz="0" w:space="0" w:color="auto"/>
      </w:divBdr>
    </w:div>
    <w:div w:id="664942324">
      <w:bodyDiv w:val="1"/>
      <w:marLeft w:val="0"/>
      <w:marRight w:val="0"/>
      <w:marTop w:val="0"/>
      <w:marBottom w:val="0"/>
      <w:divBdr>
        <w:top w:val="none" w:sz="0" w:space="0" w:color="auto"/>
        <w:left w:val="none" w:sz="0" w:space="0" w:color="auto"/>
        <w:bottom w:val="none" w:sz="0" w:space="0" w:color="auto"/>
        <w:right w:val="none" w:sz="0" w:space="0" w:color="auto"/>
      </w:divBdr>
    </w:div>
    <w:div w:id="665011860">
      <w:bodyDiv w:val="1"/>
      <w:marLeft w:val="0"/>
      <w:marRight w:val="0"/>
      <w:marTop w:val="0"/>
      <w:marBottom w:val="0"/>
      <w:divBdr>
        <w:top w:val="none" w:sz="0" w:space="0" w:color="auto"/>
        <w:left w:val="none" w:sz="0" w:space="0" w:color="auto"/>
        <w:bottom w:val="none" w:sz="0" w:space="0" w:color="auto"/>
        <w:right w:val="none" w:sz="0" w:space="0" w:color="auto"/>
      </w:divBdr>
    </w:div>
    <w:div w:id="665129264">
      <w:bodyDiv w:val="1"/>
      <w:marLeft w:val="0"/>
      <w:marRight w:val="0"/>
      <w:marTop w:val="0"/>
      <w:marBottom w:val="0"/>
      <w:divBdr>
        <w:top w:val="none" w:sz="0" w:space="0" w:color="auto"/>
        <w:left w:val="none" w:sz="0" w:space="0" w:color="auto"/>
        <w:bottom w:val="none" w:sz="0" w:space="0" w:color="auto"/>
        <w:right w:val="none" w:sz="0" w:space="0" w:color="auto"/>
      </w:divBdr>
    </w:div>
    <w:div w:id="665129866">
      <w:bodyDiv w:val="1"/>
      <w:marLeft w:val="0"/>
      <w:marRight w:val="0"/>
      <w:marTop w:val="0"/>
      <w:marBottom w:val="0"/>
      <w:divBdr>
        <w:top w:val="none" w:sz="0" w:space="0" w:color="auto"/>
        <w:left w:val="none" w:sz="0" w:space="0" w:color="auto"/>
        <w:bottom w:val="none" w:sz="0" w:space="0" w:color="auto"/>
        <w:right w:val="none" w:sz="0" w:space="0" w:color="auto"/>
      </w:divBdr>
    </w:div>
    <w:div w:id="665282617">
      <w:bodyDiv w:val="1"/>
      <w:marLeft w:val="0"/>
      <w:marRight w:val="0"/>
      <w:marTop w:val="0"/>
      <w:marBottom w:val="0"/>
      <w:divBdr>
        <w:top w:val="none" w:sz="0" w:space="0" w:color="auto"/>
        <w:left w:val="none" w:sz="0" w:space="0" w:color="auto"/>
        <w:bottom w:val="none" w:sz="0" w:space="0" w:color="auto"/>
        <w:right w:val="none" w:sz="0" w:space="0" w:color="auto"/>
      </w:divBdr>
    </w:div>
    <w:div w:id="665323095">
      <w:bodyDiv w:val="1"/>
      <w:marLeft w:val="0"/>
      <w:marRight w:val="0"/>
      <w:marTop w:val="0"/>
      <w:marBottom w:val="0"/>
      <w:divBdr>
        <w:top w:val="none" w:sz="0" w:space="0" w:color="auto"/>
        <w:left w:val="none" w:sz="0" w:space="0" w:color="auto"/>
        <w:bottom w:val="none" w:sz="0" w:space="0" w:color="auto"/>
        <w:right w:val="none" w:sz="0" w:space="0" w:color="auto"/>
      </w:divBdr>
    </w:div>
    <w:div w:id="665325999">
      <w:bodyDiv w:val="1"/>
      <w:marLeft w:val="0"/>
      <w:marRight w:val="0"/>
      <w:marTop w:val="0"/>
      <w:marBottom w:val="0"/>
      <w:divBdr>
        <w:top w:val="none" w:sz="0" w:space="0" w:color="auto"/>
        <w:left w:val="none" w:sz="0" w:space="0" w:color="auto"/>
        <w:bottom w:val="none" w:sz="0" w:space="0" w:color="auto"/>
        <w:right w:val="none" w:sz="0" w:space="0" w:color="auto"/>
      </w:divBdr>
    </w:div>
    <w:div w:id="665330419">
      <w:bodyDiv w:val="1"/>
      <w:marLeft w:val="0"/>
      <w:marRight w:val="0"/>
      <w:marTop w:val="0"/>
      <w:marBottom w:val="0"/>
      <w:divBdr>
        <w:top w:val="none" w:sz="0" w:space="0" w:color="auto"/>
        <w:left w:val="none" w:sz="0" w:space="0" w:color="auto"/>
        <w:bottom w:val="none" w:sz="0" w:space="0" w:color="auto"/>
        <w:right w:val="none" w:sz="0" w:space="0" w:color="auto"/>
      </w:divBdr>
    </w:div>
    <w:div w:id="665397437">
      <w:bodyDiv w:val="1"/>
      <w:marLeft w:val="0"/>
      <w:marRight w:val="0"/>
      <w:marTop w:val="0"/>
      <w:marBottom w:val="0"/>
      <w:divBdr>
        <w:top w:val="none" w:sz="0" w:space="0" w:color="auto"/>
        <w:left w:val="none" w:sz="0" w:space="0" w:color="auto"/>
        <w:bottom w:val="none" w:sz="0" w:space="0" w:color="auto"/>
        <w:right w:val="none" w:sz="0" w:space="0" w:color="auto"/>
      </w:divBdr>
    </w:div>
    <w:div w:id="665547469">
      <w:bodyDiv w:val="1"/>
      <w:marLeft w:val="0"/>
      <w:marRight w:val="0"/>
      <w:marTop w:val="0"/>
      <w:marBottom w:val="0"/>
      <w:divBdr>
        <w:top w:val="none" w:sz="0" w:space="0" w:color="auto"/>
        <w:left w:val="none" w:sz="0" w:space="0" w:color="auto"/>
        <w:bottom w:val="none" w:sz="0" w:space="0" w:color="auto"/>
        <w:right w:val="none" w:sz="0" w:space="0" w:color="auto"/>
      </w:divBdr>
    </w:div>
    <w:div w:id="665549222">
      <w:bodyDiv w:val="1"/>
      <w:marLeft w:val="0"/>
      <w:marRight w:val="0"/>
      <w:marTop w:val="0"/>
      <w:marBottom w:val="0"/>
      <w:divBdr>
        <w:top w:val="none" w:sz="0" w:space="0" w:color="auto"/>
        <w:left w:val="none" w:sz="0" w:space="0" w:color="auto"/>
        <w:bottom w:val="none" w:sz="0" w:space="0" w:color="auto"/>
        <w:right w:val="none" w:sz="0" w:space="0" w:color="auto"/>
      </w:divBdr>
    </w:div>
    <w:div w:id="665786431">
      <w:bodyDiv w:val="1"/>
      <w:marLeft w:val="0"/>
      <w:marRight w:val="0"/>
      <w:marTop w:val="0"/>
      <w:marBottom w:val="0"/>
      <w:divBdr>
        <w:top w:val="none" w:sz="0" w:space="0" w:color="auto"/>
        <w:left w:val="none" w:sz="0" w:space="0" w:color="auto"/>
        <w:bottom w:val="none" w:sz="0" w:space="0" w:color="auto"/>
        <w:right w:val="none" w:sz="0" w:space="0" w:color="auto"/>
      </w:divBdr>
    </w:div>
    <w:div w:id="665791921">
      <w:bodyDiv w:val="1"/>
      <w:marLeft w:val="0"/>
      <w:marRight w:val="0"/>
      <w:marTop w:val="0"/>
      <w:marBottom w:val="0"/>
      <w:divBdr>
        <w:top w:val="none" w:sz="0" w:space="0" w:color="auto"/>
        <w:left w:val="none" w:sz="0" w:space="0" w:color="auto"/>
        <w:bottom w:val="none" w:sz="0" w:space="0" w:color="auto"/>
        <w:right w:val="none" w:sz="0" w:space="0" w:color="auto"/>
      </w:divBdr>
    </w:div>
    <w:div w:id="665934597">
      <w:bodyDiv w:val="1"/>
      <w:marLeft w:val="0"/>
      <w:marRight w:val="0"/>
      <w:marTop w:val="0"/>
      <w:marBottom w:val="0"/>
      <w:divBdr>
        <w:top w:val="none" w:sz="0" w:space="0" w:color="auto"/>
        <w:left w:val="none" w:sz="0" w:space="0" w:color="auto"/>
        <w:bottom w:val="none" w:sz="0" w:space="0" w:color="auto"/>
        <w:right w:val="none" w:sz="0" w:space="0" w:color="auto"/>
      </w:divBdr>
    </w:div>
    <w:div w:id="665981182">
      <w:bodyDiv w:val="1"/>
      <w:marLeft w:val="0"/>
      <w:marRight w:val="0"/>
      <w:marTop w:val="0"/>
      <w:marBottom w:val="0"/>
      <w:divBdr>
        <w:top w:val="none" w:sz="0" w:space="0" w:color="auto"/>
        <w:left w:val="none" w:sz="0" w:space="0" w:color="auto"/>
        <w:bottom w:val="none" w:sz="0" w:space="0" w:color="auto"/>
        <w:right w:val="none" w:sz="0" w:space="0" w:color="auto"/>
      </w:divBdr>
    </w:div>
    <w:div w:id="666060033">
      <w:bodyDiv w:val="1"/>
      <w:marLeft w:val="0"/>
      <w:marRight w:val="0"/>
      <w:marTop w:val="0"/>
      <w:marBottom w:val="0"/>
      <w:divBdr>
        <w:top w:val="none" w:sz="0" w:space="0" w:color="auto"/>
        <w:left w:val="none" w:sz="0" w:space="0" w:color="auto"/>
        <w:bottom w:val="none" w:sz="0" w:space="0" w:color="auto"/>
        <w:right w:val="none" w:sz="0" w:space="0" w:color="auto"/>
      </w:divBdr>
    </w:div>
    <w:div w:id="666329652">
      <w:bodyDiv w:val="1"/>
      <w:marLeft w:val="0"/>
      <w:marRight w:val="0"/>
      <w:marTop w:val="0"/>
      <w:marBottom w:val="0"/>
      <w:divBdr>
        <w:top w:val="none" w:sz="0" w:space="0" w:color="auto"/>
        <w:left w:val="none" w:sz="0" w:space="0" w:color="auto"/>
        <w:bottom w:val="none" w:sz="0" w:space="0" w:color="auto"/>
        <w:right w:val="none" w:sz="0" w:space="0" w:color="auto"/>
      </w:divBdr>
    </w:div>
    <w:div w:id="666520012">
      <w:bodyDiv w:val="1"/>
      <w:marLeft w:val="0"/>
      <w:marRight w:val="0"/>
      <w:marTop w:val="0"/>
      <w:marBottom w:val="0"/>
      <w:divBdr>
        <w:top w:val="none" w:sz="0" w:space="0" w:color="auto"/>
        <w:left w:val="none" w:sz="0" w:space="0" w:color="auto"/>
        <w:bottom w:val="none" w:sz="0" w:space="0" w:color="auto"/>
        <w:right w:val="none" w:sz="0" w:space="0" w:color="auto"/>
      </w:divBdr>
    </w:div>
    <w:div w:id="666791438">
      <w:bodyDiv w:val="1"/>
      <w:marLeft w:val="0"/>
      <w:marRight w:val="0"/>
      <w:marTop w:val="0"/>
      <w:marBottom w:val="0"/>
      <w:divBdr>
        <w:top w:val="none" w:sz="0" w:space="0" w:color="auto"/>
        <w:left w:val="none" w:sz="0" w:space="0" w:color="auto"/>
        <w:bottom w:val="none" w:sz="0" w:space="0" w:color="auto"/>
        <w:right w:val="none" w:sz="0" w:space="0" w:color="auto"/>
      </w:divBdr>
    </w:div>
    <w:div w:id="666977266">
      <w:bodyDiv w:val="1"/>
      <w:marLeft w:val="0"/>
      <w:marRight w:val="0"/>
      <w:marTop w:val="0"/>
      <w:marBottom w:val="0"/>
      <w:divBdr>
        <w:top w:val="none" w:sz="0" w:space="0" w:color="auto"/>
        <w:left w:val="none" w:sz="0" w:space="0" w:color="auto"/>
        <w:bottom w:val="none" w:sz="0" w:space="0" w:color="auto"/>
        <w:right w:val="none" w:sz="0" w:space="0" w:color="auto"/>
      </w:divBdr>
    </w:div>
    <w:div w:id="666980109">
      <w:bodyDiv w:val="1"/>
      <w:marLeft w:val="0"/>
      <w:marRight w:val="0"/>
      <w:marTop w:val="0"/>
      <w:marBottom w:val="0"/>
      <w:divBdr>
        <w:top w:val="none" w:sz="0" w:space="0" w:color="auto"/>
        <w:left w:val="none" w:sz="0" w:space="0" w:color="auto"/>
        <w:bottom w:val="none" w:sz="0" w:space="0" w:color="auto"/>
        <w:right w:val="none" w:sz="0" w:space="0" w:color="auto"/>
      </w:divBdr>
    </w:div>
    <w:div w:id="667057755">
      <w:bodyDiv w:val="1"/>
      <w:marLeft w:val="0"/>
      <w:marRight w:val="0"/>
      <w:marTop w:val="0"/>
      <w:marBottom w:val="0"/>
      <w:divBdr>
        <w:top w:val="none" w:sz="0" w:space="0" w:color="auto"/>
        <w:left w:val="none" w:sz="0" w:space="0" w:color="auto"/>
        <w:bottom w:val="none" w:sz="0" w:space="0" w:color="auto"/>
        <w:right w:val="none" w:sz="0" w:space="0" w:color="auto"/>
      </w:divBdr>
    </w:div>
    <w:div w:id="667095293">
      <w:bodyDiv w:val="1"/>
      <w:marLeft w:val="0"/>
      <w:marRight w:val="0"/>
      <w:marTop w:val="0"/>
      <w:marBottom w:val="0"/>
      <w:divBdr>
        <w:top w:val="none" w:sz="0" w:space="0" w:color="auto"/>
        <w:left w:val="none" w:sz="0" w:space="0" w:color="auto"/>
        <w:bottom w:val="none" w:sz="0" w:space="0" w:color="auto"/>
        <w:right w:val="none" w:sz="0" w:space="0" w:color="auto"/>
      </w:divBdr>
    </w:div>
    <w:div w:id="667173775">
      <w:bodyDiv w:val="1"/>
      <w:marLeft w:val="0"/>
      <w:marRight w:val="0"/>
      <w:marTop w:val="0"/>
      <w:marBottom w:val="0"/>
      <w:divBdr>
        <w:top w:val="none" w:sz="0" w:space="0" w:color="auto"/>
        <w:left w:val="none" w:sz="0" w:space="0" w:color="auto"/>
        <w:bottom w:val="none" w:sz="0" w:space="0" w:color="auto"/>
        <w:right w:val="none" w:sz="0" w:space="0" w:color="auto"/>
      </w:divBdr>
    </w:div>
    <w:div w:id="667175916">
      <w:bodyDiv w:val="1"/>
      <w:marLeft w:val="0"/>
      <w:marRight w:val="0"/>
      <w:marTop w:val="0"/>
      <w:marBottom w:val="0"/>
      <w:divBdr>
        <w:top w:val="none" w:sz="0" w:space="0" w:color="auto"/>
        <w:left w:val="none" w:sz="0" w:space="0" w:color="auto"/>
        <w:bottom w:val="none" w:sz="0" w:space="0" w:color="auto"/>
        <w:right w:val="none" w:sz="0" w:space="0" w:color="auto"/>
      </w:divBdr>
    </w:div>
    <w:div w:id="667245556">
      <w:bodyDiv w:val="1"/>
      <w:marLeft w:val="0"/>
      <w:marRight w:val="0"/>
      <w:marTop w:val="0"/>
      <w:marBottom w:val="0"/>
      <w:divBdr>
        <w:top w:val="none" w:sz="0" w:space="0" w:color="auto"/>
        <w:left w:val="none" w:sz="0" w:space="0" w:color="auto"/>
        <w:bottom w:val="none" w:sz="0" w:space="0" w:color="auto"/>
        <w:right w:val="none" w:sz="0" w:space="0" w:color="auto"/>
      </w:divBdr>
    </w:div>
    <w:div w:id="667289405">
      <w:bodyDiv w:val="1"/>
      <w:marLeft w:val="0"/>
      <w:marRight w:val="0"/>
      <w:marTop w:val="0"/>
      <w:marBottom w:val="0"/>
      <w:divBdr>
        <w:top w:val="none" w:sz="0" w:space="0" w:color="auto"/>
        <w:left w:val="none" w:sz="0" w:space="0" w:color="auto"/>
        <w:bottom w:val="none" w:sz="0" w:space="0" w:color="auto"/>
        <w:right w:val="none" w:sz="0" w:space="0" w:color="auto"/>
      </w:divBdr>
    </w:div>
    <w:div w:id="667291945">
      <w:bodyDiv w:val="1"/>
      <w:marLeft w:val="0"/>
      <w:marRight w:val="0"/>
      <w:marTop w:val="0"/>
      <w:marBottom w:val="0"/>
      <w:divBdr>
        <w:top w:val="none" w:sz="0" w:space="0" w:color="auto"/>
        <w:left w:val="none" w:sz="0" w:space="0" w:color="auto"/>
        <w:bottom w:val="none" w:sz="0" w:space="0" w:color="auto"/>
        <w:right w:val="none" w:sz="0" w:space="0" w:color="auto"/>
      </w:divBdr>
    </w:div>
    <w:div w:id="667366389">
      <w:bodyDiv w:val="1"/>
      <w:marLeft w:val="0"/>
      <w:marRight w:val="0"/>
      <w:marTop w:val="0"/>
      <w:marBottom w:val="0"/>
      <w:divBdr>
        <w:top w:val="none" w:sz="0" w:space="0" w:color="auto"/>
        <w:left w:val="none" w:sz="0" w:space="0" w:color="auto"/>
        <w:bottom w:val="none" w:sz="0" w:space="0" w:color="auto"/>
        <w:right w:val="none" w:sz="0" w:space="0" w:color="auto"/>
      </w:divBdr>
    </w:div>
    <w:div w:id="667366917">
      <w:bodyDiv w:val="1"/>
      <w:marLeft w:val="0"/>
      <w:marRight w:val="0"/>
      <w:marTop w:val="0"/>
      <w:marBottom w:val="0"/>
      <w:divBdr>
        <w:top w:val="none" w:sz="0" w:space="0" w:color="auto"/>
        <w:left w:val="none" w:sz="0" w:space="0" w:color="auto"/>
        <w:bottom w:val="none" w:sz="0" w:space="0" w:color="auto"/>
        <w:right w:val="none" w:sz="0" w:space="0" w:color="auto"/>
      </w:divBdr>
    </w:div>
    <w:div w:id="667367943">
      <w:bodyDiv w:val="1"/>
      <w:marLeft w:val="0"/>
      <w:marRight w:val="0"/>
      <w:marTop w:val="0"/>
      <w:marBottom w:val="0"/>
      <w:divBdr>
        <w:top w:val="none" w:sz="0" w:space="0" w:color="auto"/>
        <w:left w:val="none" w:sz="0" w:space="0" w:color="auto"/>
        <w:bottom w:val="none" w:sz="0" w:space="0" w:color="auto"/>
        <w:right w:val="none" w:sz="0" w:space="0" w:color="auto"/>
      </w:divBdr>
    </w:div>
    <w:div w:id="667371107">
      <w:bodyDiv w:val="1"/>
      <w:marLeft w:val="0"/>
      <w:marRight w:val="0"/>
      <w:marTop w:val="0"/>
      <w:marBottom w:val="0"/>
      <w:divBdr>
        <w:top w:val="none" w:sz="0" w:space="0" w:color="auto"/>
        <w:left w:val="none" w:sz="0" w:space="0" w:color="auto"/>
        <w:bottom w:val="none" w:sz="0" w:space="0" w:color="auto"/>
        <w:right w:val="none" w:sz="0" w:space="0" w:color="auto"/>
      </w:divBdr>
    </w:div>
    <w:div w:id="667441192">
      <w:bodyDiv w:val="1"/>
      <w:marLeft w:val="0"/>
      <w:marRight w:val="0"/>
      <w:marTop w:val="0"/>
      <w:marBottom w:val="0"/>
      <w:divBdr>
        <w:top w:val="none" w:sz="0" w:space="0" w:color="auto"/>
        <w:left w:val="none" w:sz="0" w:space="0" w:color="auto"/>
        <w:bottom w:val="none" w:sz="0" w:space="0" w:color="auto"/>
        <w:right w:val="none" w:sz="0" w:space="0" w:color="auto"/>
      </w:divBdr>
    </w:div>
    <w:div w:id="667484584">
      <w:bodyDiv w:val="1"/>
      <w:marLeft w:val="0"/>
      <w:marRight w:val="0"/>
      <w:marTop w:val="0"/>
      <w:marBottom w:val="0"/>
      <w:divBdr>
        <w:top w:val="none" w:sz="0" w:space="0" w:color="auto"/>
        <w:left w:val="none" w:sz="0" w:space="0" w:color="auto"/>
        <w:bottom w:val="none" w:sz="0" w:space="0" w:color="auto"/>
        <w:right w:val="none" w:sz="0" w:space="0" w:color="auto"/>
      </w:divBdr>
    </w:div>
    <w:div w:id="667485908">
      <w:bodyDiv w:val="1"/>
      <w:marLeft w:val="0"/>
      <w:marRight w:val="0"/>
      <w:marTop w:val="0"/>
      <w:marBottom w:val="0"/>
      <w:divBdr>
        <w:top w:val="none" w:sz="0" w:space="0" w:color="auto"/>
        <w:left w:val="none" w:sz="0" w:space="0" w:color="auto"/>
        <w:bottom w:val="none" w:sz="0" w:space="0" w:color="auto"/>
        <w:right w:val="none" w:sz="0" w:space="0" w:color="auto"/>
      </w:divBdr>
    </w:div>
    <w:div w:id="667907328">
      <w:bodyDiv w:val="1"/>
      <w:marLeft w:val="0"/>
      <w:marRight w:val="0"/>
      <w:marTop w:val="0"/>
      <w:marBottom w:val="0"/>
      <w:divBdr>
        <w:top w:val="none" w:sz="0" w:space="0" w:color="auto"/>
        <w:left w:val="none" w:sz="0" w:space="0" w:color="auto"/>
        <w:bottom w:val="none" w:sz="0" w:space="0" w:color="auto"/>
        <w:right w:val="none" w:sz="0" w:space="0" w:color="auto"/>
      </w:divBdr>
    </w:div>
    <w:div w:id="667946412">
      <w:bodyDiv w:val="1"/>
      <w:marLeft w:val="0"/>
      <w:marRight w:val="0"/>
      <w:marTop w:val="0"/>
      <w:marBottom w:val="0"/>
      <w:divBdr>
        <w:top w:val="none" w:sz="0" w:space="0" w:color="auto"/>
        <w:left w:val="none" w:sz="0" w:space="0" w:color="auto"/>
        <w:bottom w:val="none" w:sz="0" w:space="0" w:color="auto"/>
        <w:right w:val="none" w:sz="0" w:space="0" w:color="auto"/>
      </w:divBdr>
    </w:div>
    <w:div w:id="668017947">
      <w:bodyDiv w:val="1"/>
      <w:marLeft w:val="0"/>
      <w:marRight w:val="0"/>
      <w:marTop w:val="0"/>
      <w:marBottom w:val="0"/>
      <w:divBdr>
        <w:top w:val="none" w:sz="0" w:space="0" w:color="auto"/>
        <w:left w:val="none" w:sz="0" w:space="0" w:color="auto"/>
        <w:bottom w:val="none" w:sz="0" w:space="0" w:color="auto"/>
        <w:right w:val="none" w:sz="0" w:space="0" w:color="auto"/>
      </w:divBdr>
    </w:div>
    <w:div w:id="668171931">
      <w:bodyDiv w:val="1"/>
      <w:marLeft w:val="0"/>
      <w:marRight w:val="0"/>
      <w:marTop w:val="0"/>
      <w:marBottom w:val="0"/>
      <w:divBdr>
        <w:top w:val="none" w:sz="0" w:space="0" w:color="auto"/>
        <w:left w:val="none" w:sz="0" w:space="0" w:color="auto"/>
        <w:bottom w:val="none" w:sz="0" w:space="0" w:color="auto"/>
        <w:right w:val="none" w:sz="0" w:space="0" w:color="auto"/>
      </w:divBdr>
    </w:div>
    <w:div w:id="668216158">
      <w:bodyDiv w:val="1"/>
      <w:marLeft w:val="0"/>
      <w:marRight w:val="0"/>
      <w:marTop w:val="0"/>
      <w:marBottom w:val="0"/>
      <w:divBdr>
        <w:top w:val="none" w:sz="0" w:space="0" w:color="auto"/>
        <w:left w:val="none" w:sz="0" w:space="0" w:color="auto"/>
        <w:bottom w:val="none" w:sz="0" w:space="0" w:color="auto"/>
        <w:right w:val="none" w:sz="0" w:space="0" w:color="auto"/>
      </w:divBdr>
    </w:div>
    <w:div w:id="668293997">
      <w:bodyDiv w:val="1"/>
      <w:marLeft w:val="0"/>
      <w:marRight w:val="0"/>
      <w:marTop w:val="0"/>
      <w:marBottom w:val="0"/>
      <w:divBdr>
        <w:top w:val="none" w:sz="0" w:space="0" w:color="auto"/>
        <w:left w:val="none" w:sz="0" w:space="0" w:color="auto"/>
        <w:bottom w:val="none" w:sz="0" w:space="0" w:color="auto"/>
        <w:right w:val="none" w:sz="0" w:space="0" w:color="auto"/>
      </w:divBdr>
    </w:div>
    <w:div w:id="668407517">
      <w:bodyDiv w:val="1"/>
      <w:marLeft w:val="0"/>
      <w:marRight w:val="0"/>
      <w:marTop w:val="0"/>
      <w:marBottom w:val="0"/>
      <w:divBdr>
        <w:top w:val="none" w:sz="0" w:space="0" w:color="auto"/>
        <w:left w:val="none" w:sz="0" w:space="0" w:color="auto"/>
        <w:bottom w:val="none" w:sz="0" w:space="0" w:color="auto"/>
        <w:right w:val="none" w:sz="0" w:space="0" w:color="auto"/>
      </w:divBdr>
    </w:div>
    <w:div w:id="668605671">
      <w:bodyDiv w:val="1"/>
      <w:marLeft w:val="0"/>
      <w:marRight w:val="0"/>
      <w:marTop w:val="0"/>
      <w:marBottom w:val="0"/>
      <w:divBdr>
        <w:top w:val="none" w:sz="0" w:space="0" w:color="auto"/>
        <w:left w:val="none" w:sz="0" w:space="0" w:color="auto"/>
        <w:bottom w:val="none" w:sz="0" w:space="0" w:color="auto"/>
        <w:right w:val="none" w:sz="0" w:space="0" w:color="auto"/>
      </w:divBdr>
    </w:div>
    <w:div w:id="668606995">
      <w:bodyDiv w:val="1"/>
      <w:marLeft w:val="0"/>
      <w:marRight w:val="0"/>
      <w:marTop w:val="0"/>
      <w:marBottom w:val="0"/>
      <w:divBdr>
        <w:top w:val="none" w:sz="0" w:space="0" w:color="auto"/>
        <w:left w:val="none" w:sz="0" w:space="0" w:color="auto"/>
        <w:bottom w:val="none" w:sz="0" w:space="0" w:color="auto"/>
        <w:right w:val="none" w:sz="0" w:space="0" w:color="auto"/>
      </w:divBdr>
    </w:div>
    <w:div w:id="668676550">
      <w:bodyDiv w:val="1"/>
      <w:marLeft w:val="0"/>
      <w:marRight w:val="0"/>
      <w:marTop w:val="0"/>
      <w:marBottom w:val="0"/>
      <w:divBdr>
        <w:top w:val="none" w:sz="0" w:space="0" w:color="auto"/>
        <w:left w:val="none" w:sz="0" w:space="0" w:color="auto"/>
        <w:bottom w:val="none" w:sz="0" w:space="0" w:color="auto"/>
        <w:right w:val="none" w:sz="0" w:space="0" w:color="auto"/>
      </w:divBdr>
    </w:div>
    <w:div w:id="668680680">
      <w:bodyDiv w:val="1"/>
      <w:marLeft w:val="0"/>
      <w:marRight w:val="0"/>
      <w:marTop w:val="0"/>
      <w:marBottom w:val="0"/>
      <w:divBdr>
        <w:top w:val="none" w:sz="0" w:space="0" w:color="auto"/>
        <w:left w:val="none" w:sz="0" w:space="0" w:color="auto"/>
        <w:bottom w:val="none" w:sz="0" w:space="0" w:color="auto"/>
        <w:right w:val="none" w:sz="0" w:space="0" w:color="auto"/>
      </w:divBdr>
    </w:div>
    <w:div w:id="668871960">
      <w:bodyDiv w:val="1"/>
      <w:marLeft w:val="0"/>
      <w:marRight w:val="0"/>
      <w:marTop w:val="0"/>
      <w:marBottom w:val="0"/>
      <w:divBdr>
        <w:top w:val="none" w:sz="0" w:space="0" w:color="auto"/>
        <w:left w:val="none" w:sz="0" w:space="0" w:color="auto"/>
        <w:bottom w:val="none" w:sz="0" w:space="0" w:color="auto"/>
        <w:right w:val="none" w:sz="0" w:space="0" w:color="auto"/>
      </w:divBdr>
    </w:div>
    <w:div w:id="668942208">
      <w:bodyDiv w:val="1"/>
      <w:marLeft w:val="0"/>
      <w:marRight w:val="0"/>
      <w:marTop w:val="0"/>
      <w:marBottom w:val="0"/>
      <w:divBdr>
        <w:top w:val="none" w:sz="0" w:space="0" w:color="auto"/>
        <w:left w:val="none" w:sz="0" w:space="0" w:color="auto"/>
        <w:bottom w:val="none" w:sz="0" w:space="0" w:color="auto"/>
        <w:right w:val="none" w:sz="0" w:space="0" w:color="auto"/>
      </w:divBdr>
    </w:div>
    <w:div w:id="669137397">
      <w:bodyDiv w:val="1"/>
      <w:marLeft w:val="0"/>
      <w:marRight w:val="0"/>
      <w:marTop w:val="0"/>
      <w:marBottom w:val="0"/>
      <w:divBdr>
        <w:top w:val="none" w:sz="0" w:space="0" w:color="auto"/>
        <w:left w:val="none" w:sz="0" w:space="0" w:color="auto"/>
        <w:bottom w:val="none" w:sz="0" w:space="0" w:color="auto"/>
        <w:right w:val="none" w:sz="0" w:space="0" w:color="auto"/>
      </w:divBdr>
    </w:div>
    <w:div w:id="669139532">
      <w:bodyDiv w:val="1"/>
      <w:marLeft w:val="0"/>
      <w:marRight w:val="0"/>
      <w:marTop w:val="0"/>
      <w:marBottom w:val="0"/>
      <w:divBdr>
        <w:top w:val="none" w:sz="0" w:space="0" w:color="auto"/>
        <w:left w:val="none" w:sz="0" w:space="0" w:color="auto"/>
        <w:bottom w:val="none" w:sz="0" w:space="0" w:color="auto"/>
        <w:right w:val="none" w:sz="0" w:space="0" w:color="auto"/>
      </w:divBdr>
    </w:div>
    <w:div w:id="669141103">
      <w:bodyDiv w:val="1"/>
      <w:marLeft w:val="0"/>
      <w:marRight w:val="0"/>
      <w:marTop w:val="0"/>
      <w:marBottom w:val="0"/>
      <w:divBdr>
        <w:top w:val="none" w:sz="0" w:space="0" w:color="auto"/>
        <w:left w:val="none" w:sz="0" w:space="0" w:color="auto"/>
        <w:bottom w:val="none" w:sz="0" w:space="0" w:color="auto"/>
        <w:right w:val="none" w:sz="0" w:space="0" w:color="auto"/>
      </w:divBdr>
    </w:div>
    <w:div w:id="669253917">
      <w:bodyDiv w:val="1"/>
      <w:marLeft w:val="0"/>
      <w:marRight w:val="0"/>
      <w:marTop w:val="0"/>
      <w:marBottom w:val="0"/>
      <w:divBdr>
        <w:top w:val="none" w:sz="0" w:space="0" w:color="auto"/>
        <w:left w:val="none" w:sz="0" w:space="0" w:color="auto"/>
        <w:bottom w:val="none" w:sz="0" w:space="0" w:color="auto"/>
        <w:right w:val="none" w:sz="0" w:space="0" w:color="auto"/>
      </w:divBdr>
    </w:div>
    <w:div w:id="669329985">
      <w:bodyDiv w:val="1"/>
      <w:marLeft w:val="0"/>
      <w:marRight w:val="0"/>
      <w:marTop w:val="0"/>
      <w:marBottom w:val="0"/>
      <w:divBdr>
        <w:top w:val="none" w:sz="0" w:space="0" w:color="auto"/>
        <w:left w:val="none" w:sz="0" w:space="0" w:color="auto"/>
        <w:bottom w:val="none" w:sz="0" w:space="0" w:color="auto"/>
        <w:right w:val="none" w:sz="0" w:space="0" w:color="auto"/>
      </w:divBdr>
    </w:div>
    <w:div w:id="669333953">
      <w:bodyDiv w:val="1"/>
      <w:marLeft w:val="0"/>
      <w:marRight w:val="0"/>
      <w:marTop w:val="0"/>
      <w:marBottom w:val="0"/>
      <w:divBdr>
        <w:top w:val="none" w:sz="0" w:space="0" w:color="auto"/>
        <w:left w:val="none" w:sz="0" w:space="0" w:color="auto"/>
        <w:bottom w:val="none" w:sz="0" w:space="0" w:color="auto"/>
        <w:right w:val="none" w:sz="0" w:space="0" w:color="auto"/>
      </w:divBdr>
    </w:div>
    <w:div w:id="669405515">
      <w:bodyDiv w:val="1"/>
      <w:marLeft w:val="0"/>
      <w:marRight w:val="0"/>
      <w:marTop w:val="0"/>
      <w:marBottom w:val="0"/>
      <w:divBdr>
        <w:top w:val="none" w:sz="0" w:space="0" w:color="auto"/>
        <w:left w:val="none" w:sz="0" w:space="0" w:color="auto"/>
        <w:bottom w:val="none" w:sz="0" w:space="0" w:color="auto"/>
        <w:right w:val="none" w:sz="0" w:space="0" w:color="auto"/>
      </w:divBdr>
    </w:div>
    <w:div w:id="669451457">
      <w:bodyDiv w:val="1"/>
      <w:marLeft w:val="0"/>
      <w:marRight w:val="0"/>
      <w:marTop w:val="0"/>
      <w:marBottom w:val="0"/>
      <w:divBdr>
        <w:top w:val="none" w:sz="0" w:space="0" w:color="auto"/>
        <w:left w:val="none" w:sz="0" w:space="0" w:color="auto"/>
        <w:bottom w:val="none" w:sz="0" w:space="0" w:color="auto"/>
        <w:right w:val="none" w:sz="0" w:space="0" w:color="auto"/>
      </w:divBdr>
    </w:div>
    <w:div w:id="669525634">
      <w:bodyDiv w:val="1"/>
      <w:marLeft w:val="0"/>
      <w:marRight w:val="0"/>
      <w:marTop w:val="0"/>
      <w:marBottom w:val="0"/>
      <w:divBdr>
        <w:top w:val="none" w:sz="0" w:space="0" w:color="auto"/>
        <w:left w:val="none" w:sz="0" w:space="0" w:color="auto"/>
        <w:bottom w:val="none" w:sz="0" w:space="0" w:color="auto"/>
        <w:right w:val="none" w:sz="0" w:space="0" w:color="auto"/>
      </w:divBdr>
    </w:div>
    <w:div w:id="669678170">
      <w:bodyDiv w:val="1"/>
      <w:marLeft w:val="0"/>
      <w:marRight w:val="0"/>
      <w:marTop w:val="0"/>
      <w:marBottom w:val="0"/>
      <w:divBdr>
        <w:top w:val="none" w:sz="0" w:space="0" w:color="auto"/>
        <w:left w:val="none" w:sz="0" w:space="0" w:color="auto"/>
        <w:bottom w:val="none" w:sz="0" w:space="0" w:color="auto"/>
        <w:right w:val="none" w:sz="0" w:space="0" w:color="auto"/>
      </w:divBdr>
    </w:div>
    <w:div w:id="670067574">
      <w:bodyDiv w:val="1"/>
      <w:marLeft w:val="0"/>
      <w:marRight w:val="0"/>
      <w:marTop w:val="0"/>
      <w:marBottom w:val="0"/>
      <w:divBdr>
        <w:top w:val="none" w:sz="0" w:space="0" w:color="auto"/>
        <w:left w:val="none" w:sz="0" w:space="0" w:color="auto"/>
        <w:bottom w:val="none" w:sz="0" w:space="0" w:color="auto"/>
        <w:right w:val="none" w:sz="0" w:space="0" w:color="auto"/>
      </w:divBdr>
    </w:div>
    <w:div w:id="670180192">
      <w:bodyDiv w:val="1"/>
      <w:marLeft w:val="0"/>
      <w:marRight w:val="0"/>
      <w:marTop w:val="0"/>
      <w:marBottom w:val="0"/>
      <w:divBdr>
        <w:top w:val="none" w:sz="0" w:space="0" w:color="auto"/>
        <w:left w:val="none" w:sz="0" w:space="0" w:color="auto"/>
        <w:bottom w:val="none" w:sz="0" w:space="0" w:color="auto"/>
        <w:right w:val="none" w:sz="0" w:space="0" w:color="auto"/>
      </w:divBdr>
    </w:div>
    <w:div w:id="670370910">
      <w:bodyDiv w:val="1"/>
      <w:marLeft w:val="0"/>
      <w:marRight w:val="0"/>
      <w:marTop w:val="0"/>
      <w:marBottom w:val="0"/>
      <w:divBdr>
        <w:top w:val="none" w:sz="0" w:space="0" w:color="auto"/>
        <w:left w:val="none" w:sz="0" w:space="0" w:color="auto"/>
        <w:bottom w:val="none" w:sz="0" w:space="0" w:color="auto"/>
        <w:right w:val="none" w:sz="0" w:space="0" w:color="auto"/>
      </w:divBdr>
    </w:div>
    <w:div w:id="670373914">
      <w:bodyDiv w:val="1"/>
      <w:marLeft w:val="0"/>
      <w:marRight w:val="0"/>
      <w:marTop w:val="0"/>
      <w:marBottom w:val="0"/>
      <w:divBdr>
        <w:top w:val="none" w:sz="0" w:space="0" w:color="auto"/>
        <w:left w:val="none" w:sz="0" w:space="0" w:color="auto"/>
        <w:bottom w:val="none" w:sz="0" w:space="0" w:color="auto"/>
        <w:right w:val="none" w:sz="0" w:space="0" w:color="auto"/>
      </w:divBdr>
    </w:div>
    <w:div w:id="670641539">
      <w:bodyDiv w:val="1"/>
      <w:marLeft w:val="0"/>
      <w:marRight w:val="0"/>
      <w:marTop w:val="0"/>
      <w:marBottom w:val="0"/>
      <w:divBdr>
        <w:top w:val="none" w:sz="0" w:space="0" w:color="auto"/>
        <w:left w:val="none" w:sz="0" w:space="0" w:color="auto"/>
        <w:bottom w:val="none" w:sz="0" w:space="0" w:color="auto"/>
        <w:right w:val="none" w:sz="0" w:space="0" w:color="auto"/>
      </w:divBdr>
    </w:div>
    <w:div w:id="670643052">
      <w:bodyDiv w:val="1"/>
      <w:marLeft w:val="0"/>
      <w:marRight w:val="0"/>
      <w:marTop w:val="0"/>
      <w:marBottom w:val="0"/>
      <w:divBdr>
        <w:top w:val="none" w:sz="0" w:space="0" w:color="auto"/>
        <w:left w:val="none" w:sz="0" w:space="0" w:color="auto"/>
        <w:bottom w:val="none" w:sz="0" w:space="0" w:color="auto"/>
        <w:right w:val="none" w:sz="0" w:space="0" w:color="auto"/>
      </w:divBdr>
    </w:div>
    <w:div w:id="670647879">
      <w:bodyDiv w:val="1"/>
      <w:marLeft w:val="0"/>
      <w:marRight w:val="0"/>
      <w:marTop w:val="0"/>
      <w:marBottom w:val="0"/>
      <w:divBdr>
        <w:top w:val="none" w:sz="0" w:space="0" w:color="auto"/>
        <w:left w:val="none" w:sz="0" w:space="0" w:color="auto"/>
        <w:bottom w:val="none" w:sz="0" w:space="0" w:color="auto"/>
        <w:right w:val="none" w:sz="0" w:space="0" w:color="auto"/>
      </w:divBdr>
    </w:div>
    <w:div w:id="670835354">
      <w:bodyDiv w:val="1"/>
      <w:marLeft w:val="0"/>
      <w:marRight w:val="0"/>
      <w:marTop w:val="0"/>
      <w:marBottom w:val="0"/>
      <w:divBdr>
        <w:top w:val="none" w:sz="0" w:space="0" w:color="auto"/>
        <w:left w:val="none" w:sz="0" w:space="0" w:color="auto"/>
        <w:bottom w:val="none" w:sz="0" w:space="0" w:color="auto"/>
        <w:right w:val="none" w:sz="0" w:space="0" w:color="auto"/>
      </w:divBdr>
    </w:div>
    <w:div w:id="670912782">
      <w:bodyDiv w:val="1"/>
      <w:marLeft w:val="0"/>
      <w:marRight w:val="0"/>
      <w:marTop w:val="0"/>
      <w:marBottom w:val="0"/>
      <w:divBdr>
        <w:top w:val="none" w:sz="0" w:space="0" w:color="auto"/>
        <w:left w:val="none" w:sz="0" w:space="0" w:color="auto"/>
        <w:bottom w:val="none" w:sz="0" w:space="0" w:color="auto"/>
        <w:right w:val="none" w:sz="0" w:space="0" w:color="auto"/>
      </w:divBdr>
    </w:div>
    <w:div w:id="671033620">
      <w:bodyDiv w:val="1"/>
      <w:marLeft w:val="0"/>
      <w:marRight w:val="0"/>
      <w:marTop w:val="0"/>
      <w:marBottom w:val="0"/>
      <w:divBdr>
        <w:top w:val="none" w:sz="0" w:space="0" w:color="auto"/>
        <w:left w:val="none" w:sz="0" w:space="0" w:color="auto"/>
        <w:bottom w:val="none" w:sz="0" w:space="0" w:color="auto"/>
        <w:right w:val="none" w:sz="0" w:space="0" w:color="auto"/>
      </w:divBdr>
    </w:div>
    <w:div w:id="671101441">
      <w:bodyDiv w:val="1"/>
      <w:marLeft w:val="0"/>
      <w:marRight w:val="0"/>
      <w:marTop w:val="0"/>
      <w:marBottom w:val="0"/>
      <w:divBdr>
        <w:top w:val="none" w:sz="0" w:space="0" w:color="auto"/>
        <w:left w:val="none" w:sz="0" w:space="0" w:color="auto"/>
        <w:bottom w:val="none" w:sz="0" w:space="0" w:color="auto"/>
        <w:right w:val="none" w:sz="0" w:space="0" w:color="auto"/>
      </w:divBdr>
    </w:div>
    <w:div w:id="671103271">
      <w:bodyDiv w:val="1"/>
      <w:marLeft w:val="0"/>
      <w:marRight w:val="0"/>
      <w:marTop w:val="0"/>
      <w:marBottom w:val="0"/>
      <w:divBdr>
        <w:top w:val="none" w:sz="0" w:space="0" w:color="auto"/>
        <w:left w:val="none" w:sz="0" w:space="0" w:color="auto"/>
        <w:bottom w:val="none" w:sz="0" w:space="0" w:color="auto"/>
        <w:right w:val="none" w:sz="0" w:space="0" w:color="auto"/>
      </w:divBdr>
    </w:div>
    <w:div w:id="671226309">
      <w:bodyDiv w:val="1"/>
      <w:marLeft w:val="0"/>
      <w:marRight w:val="0"/>
      <w:marTop w:val="0"/>
      <w:marBottom w:val="0"/>
      <w:divBdr>
        <w:top w:val="none" w:sz="0" w:space="0" w:color="auto"/>
        <w:left w:val="none" w:sz="0" w:space="0" w:color="auto"/>
        <w:bottom w:val="none" w:sz="0" w:space="0" w:color="auto"/>
        <w:right w:val="none" w:sz="0" w:space="0" w:color="auto"/>
      </w:divBdr>
    </w:div>
    <w:div w:id="671294258">
      <w:bodyDiv w:val="1"/>
      <w:marLeft w:val="0"/>
      <w:marRight w:val="0"/>
      <w:marTop w:val="0"/>
      <w:marBottom w:val="0"/>
      <w:divBdr>
        <w:top w:val="none" w:sz="0" w:space="0" w:color="auto"/>
        <w:left w:val="none" w:sz="0" w:space="0" w:color="auto"/>
        <w:bottom w:val="none" w:sz="0" w:space="0" w:color="auto"/>
        <w:right w:val="none" w:sz="0" w:space="0" w:color="auto"/>
      </w:divBdr>
    </w:div>
    <w:div w:id="671295889">
      <w:bodyDiv w:val="1"/>
      <w:marLeft w:val="0"/>
      <w:marRight w:val="0"/>
      <w:marTop w:val="0"/>
      <w:marBottom w:val="0"/>
      <w:divBdr>
        <w:top w:val="none" w:sz="0" w:space="0" w:color="auto"/>
        <w:left w:val="none" w:sz="0" w:space="0" w:color="auto"/>
        <w:bottom w:val="none" w:sz="0" w:space="0" w:color="auto"/>
        <w:right w:val="none" w:sz="0" w:space="0" w:color="auto"/>
      </w:divBdr>
    </w:div>
    <w:div w:id="671369702">
      <w:bodyDiv w:val="1"/>
      <w:marLeft w:val="0"/>
      <w:marRight w:val="0"/>
      <w:marTop w:val="0"/>
      <w:marBottom w:val="0"/>
      <w:divBdr>
        <w:top w:val="none" w:sz="0" w:space="0" w:color="auto"/>
        <w:left w:val="none" w:sz="0" w:space="0" w:color="auto"/>
        <w:bottom w:val="none" w:sz="0" w:space="0" w:color="auto"/>
        <w:right w:val="none" w:sz="0" w:space="0" w:color="auto"/>
      </w:divBdr>
    </w:div>
    <w:div w:id="671416384">
      <w:bodyDiv w:val="1"/>
      <w:marLeft w:val="0"/>
      <w:marRight w:val="0"/>
      <w:marTop w:val="0"/>
      <w:marBottom w:val="0"/>
      <w:divBdr>
        <w:top w:val="none" w:sz="0" w:space="0" w:color="auto"/>
        <w:left w:val="none" w:sz="0" w:space="0" w:color="auto"/>
        <w:bottom w:val="none" w:sz="0" w:space="0" w:color="auto"/>
        <w:right w:val="none" w:sz="0" w:space="0" w:color="auto"/>
      </w:divBdr>
    </w:div>
    <w:div w:id="671569818">
      <w:bodyDiv w:val="1"/>
      <w:marLeft w:val="0"/>
      <w:marRight w:val="0"/>
      <w:marTop w:val="0"/>
      <w:marBottom w:val="0"/>
      <w:divBdr>
        <w:top w:val="none" w:sz="0" w:space="0" w:color="auto"/>
        <w:left w:val="none" w:sz="0" w:space="0" w:color="auto"/>
        <w:bottom w:val="none" w:sz="0" w:space="0" w:color="auto"/>
        <w:right w:val="none" w:sz="0" w:space="0" w:color="auto"/>
      </w:divBdr>
    </w:div>
    <w:div w:id="671685504">
      <w:bodyDiv w:val="1"/>
      <w:marLeft w:val="0"/>
      <w:marRight w:val="0"/>
      <w:marTop w:val="0"/>
      <w:marBottom w:val="0"/>
      <w:divBdr>
        <w:top w:val="none" w:sz="0" w:space="0" w:color="auto"/>
        <w:left w:val="none" w:sz="0" w:space="0" w:color="auto"/>
        <w:bottom w:val="none" w:sz="0" w:space="0" w:color="auto"/>
        <w:right w:val="none" w:sz="0" w:space="0" w:color="auto"/>
      </w:divBdr>
    </w:div>
    <w:div w:id="671688267">
      <w:bodyDiv w:val="1"/>
      <w:marLeft w:val="0"/>
      <w:marRight w:val="0"/>
      <w:marTop w:val="0"/>
      <w:marBottom w:val="0"/>
      <w:divBdr>
        <w:top w:val="none" w:sz="0" w:space="0" w:color="auto"/>
        <w:left w:val="none" w:sz="0" w:space="0" w:color="auto"/>
        <w:bottom w:val="none" w:sz="0" w:space="0" w:color="auto"/>
        <w:right w:val="none" w:sz="0" w:space="0" w:color="auto"/>
      </w:divBdr>
    </w:div>
    <w:div w:id="671758940">
      <w:bodyDiv w:val="1"/>
      <w:marLeft w:val="0"/>
      <w:marRight w:val="0"/>
      <w:marTop w:val="0"/>
      <w:marBottom w:val="0"/>
      <w:divBdr>
        <w:top w:val="none" w:sz="0" w:space="0" w:color="auto"/>
        <w:left w:val="none" w:sz="0" w:space="0" w:color="auto"/>
        <w:bottom w:val="none" w:sz="0" w:space="0" w:color="auto"/>
        <w:right w:val="none" w:sz="0" w:space="0" w:color="auto"/>
      </w:divBdr>
    </w:div>
    <w:div w:id="671764640">
      <w:bodyDiv w:val="1"/>
      <w:marLeft w:val="0"/>
      <w:marRight w:val="0"/>
      <w:marTop w:val="0"/>
      <w:marBottom w:val="0"/>
      <w:divBdr>
        <w:top w:val="none" w:sz="0" w:space="0" w:color="auto"/>
        <w:left w:val="none" w:sz="0" w:space="0" w:color="auto"/>
        <w:bottom w:val="none" w:sz="0" w:space="0" w:color="auto"/>
        <w:right w:val="none" w:sz="0" w:space="0" w:color="auto"/>
      </w:divBdr>
    </w:div>
    <w:div w:id="671879874">
      <w:bodyDiv w:val="1"/>
      <w:marLeft w:val="0"/>
      <w:marRight w:val="0"/>
      <w:marTop w:val="0"/>
      <w:marBottom w:val="0"/>
      <w:divBdr>
        <w:top w:val="none" w:sz="0" w:space="0" w:color="auto"/>
        <w:left w:val="none" w:sz="0" w:space="0" w:color="auto"/>
        <w:bottom w:val="none" w:sz="0" w:space="0" w:color="auto"/>
        <w:right w:val="none" w:sz="0" w:space="0" w:color="auto"/>
      </w:divBdr>
    </w:div>
    <w:div w:id="672101092">
      <w:bodyDiv w:val="1"/>
      <w:marLeft w:val="0"/>
      <w:marRight w:val="0"/>
      <w:marTop w:val="0"/>
      <w:marBottom w:val="0"/>
      <w:divBdr>
        <w:top w:val="none" w:sz="0" w:space="0" w:color="auto"/>
        <w:left w:val="none" w:sz="0" w:space="0" w:color="auto"/>
        <w:bottom w:val="none" w:sz="0" w:space="0" w:color="auto"/>
        <w:right w:val="none" w:sz="0" w:space="0" w:color="auto"/>
      </w:divBdr>
    </w:div>
    <w:div w:id="672101323">
      <w:bodyDiv w:val="1"/>
      <w:marLeft w:val="0"/>
      <w:marRight w:val="0"/>
      <w:marTop w:val="0"/>
      <w:marBottom w:val="0"/>
      <w:divBdr>
        <w:top w:val="none" w:sz="0" w:space="0" w:color="auto"/>
        <w:left w:val="none" w:sz="0" w:space="0" w:color="auto"/>
        <w:bottom w:val="none" w:sz="0" w:space="0" w:color="auto"/>
        <w:right w:val="none" w:sz="0" w:space="0" w:color="auto"/>
      </w:divBdr>
    </w:div>
    <w:div w:id="672101629">
      <w:bodyDiv w:val="1"/>
      <w:marLeft w:val="0"/>
      <w:marRight w:val="0"/>
      <w:marTop w:val="0"/>
      <w:marBottom w:val="0"/>
      <w:divBdr>
        <w:top w:val="none" w:sz="0" w:space="0" w:color="auto"/>
        <w:left w:val="none" w:sz="0" w:space="0" w:color="auto"/>
        <w:bottom w:val="none" w:sz="0" w:space="0" w:color="auto"/>
        <w:right w:val="none" w:sz="0" w:space="0" w:color="auto"/>
      </w:divBdr>
    </w:div>
    <w:div w:id="672144145">
      <w:bodyDiv w:val="1"/>
      <w:marLeft w:val="0"/>
      <w:marRight w:val="0"/>
      <w:marTop w:val="0"/>
      <w:marBottom w:val="0"/>
      <w:divBdr>
        <w:top w:val="none" w:sz="0" w:space="0" w:color="auto"/>
        <w:left w:val="none" w:sz="0" w:space="0" w:color="auto"/>
        <w:bottom w:val="none" w:sz="0" w:space="0" w:color="auto"/>
        <w:right w:val="none" w:sz="0" w:space="0" w:color="auto"/>
      </w:divBdr>
    </w:div>
    <w:div w:id="672217965">
      <w:bodyDiv w:val="1"/>
      <w:marLeft w:val="0"/>
      <w:marRight w:val="0"/>
      <w:marTop w:val="0"/>
      <w:marBottom w:val="0"/>
      <w:divBdr>
        <w:top w:val="none" w:sz="0" w:space="0" w:color="auto"/>
        <w:left w:val="none" w:sz="0" w:space="0" w:color="auto"/>
        <w:bottom w:val="none" w:sz="0" w:space="0" w:color="auto"/>
        <w:right w:val="none" w:sz="0" w:space="0" w:color="auto"/>
      </w:divBdr>
    </w:div>
    <w:div w:id="672222880">
      <w:bodyDiv w:val="1"/>
      <w:marLeft w:val="0"/>
      <w:marRight w:val="0"/>
      <w:marTop w:val="0"/>
      <w:marBottom w:val="0"/>
      <w:divBdr>
        <w:top w:val="none" w:sz="0" w:space="0" w:color="auto"/>
        <w:left w:val="none" w:sz="0" w:space="0" w:color="auto"/>
        <w:bottom w:val="none" w:sz="0" w:space="0" w:color="auto"/>
        <w:right w:val="none" w:sz="0" w:space="0" w:color="auto"/>
      </w:divBdr>
    </w:div>
    <w:div w:id="672344405">
      <w:bodyDiv w:val="1"/>
      <w:marLeft w:val="0"/>
      <w:marRight w:val="0"/>
      <w:marTop w:val="0"/>
      <w:marBottom w:val="0"/>
      <w:divBdr>
        <w:top w:val="none" w:sz="0" w:space="0" w:color="auto"/>
        <w:left w:val="none" w:sz="0" w:space="0" w:color="auto"/>
        <w:bottom w:val="none" w:sz="0" w:space="0" w:color="auto"/>
        <w:right w:val="none" w:sz="0" w:space="0" w:color="auto"/>
      </w:divBdr>
    </w:div>
    <w:div w:id="672415780">
      <w:bodyDiv w:val="1"/>
      <w:marLeft w:val="0"/>
      <w:marRight w:val="0"/>
      <w:marTop w:val="0"/>
      <w:marBottom w:val="0"/>
      <w:divBdr>
        <w:top w:val="none" w:sz="0" w:space="0" w:color="auto"/>
        <w:left w:val="none" w:sz="0" w:space="0" w:color="auto"/>
        <w:bottom w:val="none" w:sz="0" w:space="0" w:color="auto"/>
        <w:right w:val="none" w:sz="0" w:space="0" w:color="auto"/>
      </w:divBdr>
    </w:div>
    <w:div w:id="672416379">
      <w:bodyDiv w:val="1"/>
      <w:marLeft w:val="0"/>
      <w:marRight w:val="0"/>
      <w:marTop w:val="0"/>
      <w:marBottom w:val="0"/>
      <w:divBdr>
        <w:top w:val="none" w:sz="0" w:space="0" w:color="auto"/>
        <w:left w:val="none" w:sz="0" w:space="0" w:color="auto"/>
        <w:bottom w:val="none" w:sz="0" w:space="0" w:color="auto"/>
        <w:right w:val="none" w:sz="0" w:space="0" w:color="auto"/>
      </w:divBdr>
    </w:div>
    <w:div w:id="672489474">
      <w:bodyDiv w:val="1"/>
      <w:marLeft w:val="0"/>
      <w:marRight w:val="0"/>
      <w:marTop w:val="0"/>
      <w:marBottom w:val="0"/>
      <w:divBdr>
        <w:top w:val="none" w:sz="0" w:space="0" w:color="auto"/>
        <w:left w:val="none" w:sz="0" w:space="0" w:color="auto"/>
        <w:bottom w:val="none" w:sz="0" w:space="0" w:color="auto"/>
        <w:right w:val="none" w:sz="0" w:space="0" w:color="auto"/>
      </w:divBdr>
    </w:div>
    <w:div w:id="672489522">
      <w:bodyDiv w:val="1"/>
      <w:marLeft w:val="0"/>
      <w:marRight w:val="0"/>
      <w:marTop w:val="0"/>
      <w:marBottom w:val="0"/>
      <w:divBdr>
        <w:top w:val="none" w:sz="0" w:space="0" w:color="auto"/>
        <w:left w:val="none" w:sz="0" w:space="0" w:color="auto"/>
        <w:bottom w:val="none" w:sz="0" w:space="0" w:color="auto"/>
        <w:right w:val="none" w:sz="0" w:space="0" w:color="auto"/>
      </w:divBdr>
    </w:div>
    <w:div w:id="672490293">
      <w:bodyDiv w:val="1"/>
      <w:marLeft w:val="0"/>
      <w:marRight w:val="0"/>
      <w:marTop w:val="0"/>
      <w:marBottom w:val="0"/>
      <w:divBdr>
        <w:top w:val="none" w:sz="0" w:space="0" w:color="auto"/>
        <w:left w:val="none" w:sz="0" w:space="0" w:color="auto"/>
        <w:bottom w:val="none" w:sz="0" w:space="0" w:color="auto"/>
        <w:right w:val="none" w:sz="0" w:space="0" w:color="auto"/>
      </w:divBdr>
    </w:div>
    <w:div w:id="672608464">
      <w:bodyDiv w:val="1"/>
      <w:marLeft w:val="0"/>
      <w:marRight w:val="0"/>
      <w:marTop w:val="0"/>
      <w:marBottom w:val="0"/>
      <w:divBdr>
        <w:top w:val="none" w:sz="0" w:space="0" w:color="auto"/>
        <w:left w:val="none" w:sz="0" w:space="0" w:color="auto"/>
        <w:bottom w:val="none" w:sz="0" w:space="0" w:color="auto"/>
        <w:right w:val="none" w:sz="0" w:space="0" w:color="auto"/>
      </w:divBdr>
    </w:div>
    <w:div w:id="672612380">
      <w:bodyDiv w:val="1"/>
      <w:marLeft w:val="0"/>
      <w:marRight w:val="0"/>
      <w:marTop w:val="0"/>
      <w:marBottom w:val="0"/>
      <w:divBdr>
        <w:top w:val="none" w:sz="0" w:space="0" w:color="auto"/>
        <w:left w:val="none" w:sz="0" w:space="0" w:color="auto"/>
        <w:bottom w:val="none" w:sz="0" w:space="0" w:color="auto"/>
        <w:right w:val="none" w:sz="0" w:space="0" w:color="auto"/>
      </w:divBdr>
    </w:div>
    <w:div w:id="672798603">
      <w:bodyDiv w:val="1"/>
      <w:marLeft w:val="0"/>
      <w:marRight w:val="0"/>
      <w:marTop w:val="0"/>
      <w:marBottom w:val="0"/>
      <w:divBdr>
        <w:top w:val="none" w:sz="0" w:space="0" w:color="auto"/>
        <w:left w:val="none" w:sz="0" w:space="0" w:color="auto"/>
        <w:bottom w:val="none" w:sz="0" w:space="0" w:color="auto"/>
        <w:right w:val="none" w:sz="0" w:space="0" w:color="auto"/>
      </w:divBdr>
    </w:div>
    <w:div w:id="672799605">
      <w:bodyDiv w:val="1"/>
      <w:marLeft w:val="0"/>
      <w:marRight w:val="0"/>
      <w:marTop w:val="0"/>
      <w:marBottom w:val="0"/>
      <w:divBdr>
        <w:top w:val="none" w:sz="0" w:space="0" w:color="auto"/>
        <w:left w:val="none" w:sz="0" w:space="0" w:color="auto"/>
        <w:bottom w:val="none" w:sz="0" w:space="0" w:color="auto"/>
        <w:right w:val="none" w:sz="0" w:space="0" w:color="auto"/>
      </w:divBdr>
    </w:div>
    <w:div w:id="672802658">
      <w:bodyDiv w:val="1"/>
      <w:marLeft w:val="0"/>
      <w:marRight w:val="0"/>
      <w:marTop w:val="0"/>
      <w:marBottom w:val="0"/>
      <w:divBdr>
        <w:top w:val="none" w:sz="0" w:space="0" w:color="auto"/>
        <w:left w:val="none" w:sz="0" w:space="0" w:color="auto"/>
        <w:bottom w:val="none" w:sz="0" w:space="0" w:color="auto"/>
        <w:right w:val="none" w:sz="0" w:space="0" w:color="auto"/>
      </w:divBdr>
    </w:div>
    <w:div w:id="672880459">
      <w:bodyDiv w:val="1"/>
      <w:marLeft w:val="0"/>
      <w:marRight w:val="0"/>
      <w:marTop w:val="0"/>
      <w:marBottom w:val="0"/>
      <w:divBdr>
        <w:top w:val="none" w:sz="0" w:space="0" w:color="auto"/>
        <w:left w:val="none" w:sz="0" w:space="0" w:color="auto"/>
        <w:bottom w:val="none" w:sz="0" w:space="0" w:color="auto"/>
        <w:right w:val="none" w:sz="0" w:space="0" w:color="auto"/>
      </w:divBdr>
    </w:div>
    <w:div w:id="673075902">
      <w:bodyDiv w:val="1"/>
      <w:marLeft w:val="0"/>
      <w:marRight w:val="0"/>
      <w:marTop w:val="0"/>
      <w:marBottom w:val="0"/>
      <w:divBdr>
        <w:top w:val="none" w:sz="0" w:space="0" w:color="auto"/>
        <w:left w:val="none" w:sz="0" w:space="0" w:color="auto"/>
        <w:bottom w:val="none" w:sz="0" w:space="0" w:color="auto"/>
        <w:right w:val="none" w:sz="0" w:space="0" w:color="auto"/>
      </w:divBdr>
    </w:div>
    <w:div w:id="673189689">
      <w:bodyDiv w:val="1"/>
      <w:marLeft w:val="0"/>
      <w:marRight w:val="0"/>
      <w:marTop w:val="0"/>
      <w:marBottom w:val="0"/>
      <w:divBdr>
        <w:top w:val="none" w:sz="0" w:space="0" w:color="auto"/>
        <w:left w:val="none" w:sz="0" w:space="0" w:color="auto"/>
        <w:bottom w:val="none" w:sz="0" w:space="0" w:color="auto"/>
        <w:right w:val="none" w:sz="0" w:space="0" w:color="auto"/>
      </w:divBdr>
    </w:div>
    <w:div w:id="673217414">
      <w:bodyDiv w:val="1"/>
      <w:marLeft w:val="0"/>
      <w:marRight w:val="0"/>
      <w:marTop w:val="0"/>
      <w:marBottom w:val="0"/>
      <w:divBdr>
        <w:top w:val="none" w:sz="0" w:space="0" w:color="auto"/>
        <w:left w:val="none" w:sz="0" w:space="0" w:color="auto"/>
        <w:bottom w:val="none" w:sz="0" w:space="0" w:color="auto"/>
        <w:right w:val="none" w:sz="0" w:space="0" w:color="auto"/>
      </w:divBdr>
    </w:div>
    <w:div w:id="673260993">
      <w:bodyDiv w:val="1"/>
      <w:marLeft w:val="0"/>
      <w:marRight w:val="0"/>
      <w:marTop w:val="0"/>
      <w:marBottom w:val="0"/>
      <w:divBdr>
        <w:top w:val="none" w:sz="0" w:space="0" w:color="auto"/>
        <w:left w:val="none" w:sz="0" w:space="0" w:color="auto"/>
        <w:bottom w:val="none" w:sz="0" w:space="0" w:color="auto"/>
        <w:right w:val="none" w:sz="0" w:space="0" w:color="auto"/>
      </w:divBdr>
    </w:div>
    <w:div w:id="673264678">
      <w:bodyDiv w:val="1"/>
      <w:marLeft w:val="0"/>
      <w:marRight w:val="0"/>
      <w:marTop w:val="0"/>
      <w:marBottom w:val="0"/>
      <w:divBdr>
        <w:top w:val="none" w:sz="0" w:space="0" w:color="auto"/>
        <w:left w:val="none" w:sz="0" w:space="0" w:color="auto"/>
        <w:bottom w:val="none" w:sz="0" w:space="0" w:color="auto"/>
        <w:right w:val="none" w:sz="0" w:space="0" w:color="auto"/>
      </w:divBdr>
    </w:div>
    <w:div w:id="673265788">
      <w:bodyDiv w:val="1"/>
      <w:marLeft w:val="0"/>
      <w:marRight w:val="0"/>
      <w:marTop w:val="0"/>
      <w:marBottom w:val="0"/>
      <w:divBdr>
        <w:top w:val="none" w:sz="0" w:space="0" w:color="auto"/>
        <w:left w:val="none" w:sz="0" w:space="0" w:color="auto"/>
        <w:bottom w:val="none" w:sz="0" w:space="0" w:color="auto"/>
        <w:right w:val="none" w:sz="0" w:space="0" w:color="auto"/>
      </w:divBdr>
    </w:div>
    <w:div w:id="673267515">
      <w:bodyDiv w:val="1"/>
      <w:marLeft w:val="0"/>
      <w:marRight w:val="0"/>
      <w:marTop w:val="0"/>
      <w:marBottom w:val="0"/>
      <w:divBdr>
        <w:top w:val="none" w:sz="0" w:space="0" w:color="auto"/>
        <w:left w:val="none" w:sz="0" w:space="0" w:color="auto"/>
        <w:bottom w:val="none" w:sz="0" w:space="0" w:color="auto"/>
        <w:right w:val="none" w:sz="0" w:space="0" w:color="auto"/>
      </w:divBdr>
    </w:div>
    <w:div w:id="673267816">
      <w:bodyDiv w:val="1"/>
      <w:marLeft w:val="0"/>
      <w:marRight w:val="0"/>
      <w:marTop w:val="0"/>
      <w:marBottom w:val="0"/>
      <w:divBdr>
        <w:top w:val="none" w:sz="0" w:space="0" w:color="auto"/>
        <w:left w:val="none" w:sz="0" w:space="0" w:color="auto"/>
        <w:bottom w:val="none" w:sz="0" w:space="0" w:color="auto"/>
        <w:right w:val="none" w:sz="0" w:space="0" w:color="auto"/>
      </w:divBdr>
    </w:div>
    <w:div w:id="673383118">
      <w:bodyDiv w:val="1"/>
      <w:marLeft w:val="0"/>
      <w:marRight w:val="0"/>
      <w:marTop w:val="0"/>
      <w:marBottom w:val="0"/>
      <w:divBdr>
        <w:top w:val="none" w:sz="0" w:space="0" w:color="auto"/>
        <w:left w:val="none" w:sz="0" w:space="0" w:color="auto"/>
        <w:bottom w:val="none" w:sz="0" w:space="0" w:color="auto"/>
        <w:right w:val="none" w:sz="0" w:space="0" w:color="auto"/>
      </w:divBdr>
    </w:div>
    <w:div w:id="673413433">
      <w:bodyDiv w:val="1"/>
      <w:marLeft w:val="0"/>
      <w:marRight w:val="0"/>
      <w:marTop w:val="0"/>
      <w:marBottom w:val="0"/>
      <w:divBdr>
        <w:top w:val="none" w:sz="0" w:space="0" w:color="auto"/>
        <w:left w:val="none" w:sz="0" w:space="0" w:color="auto"/>
        <w:bottom w:val="none" w:sz="0" w:space="0" w:color="auto"/>
        <w:right w:val="none" w:sz="0" w:space="0" w:color="auto"/>
      </w:divBdr>
    </w:div>
    <w:div w:id="673456161">
      <w:bodyDiv w:val="1"/>
      <w:marLeft w:val="0"/>
      <w:marRight w:val="0"/>
      <w:marTop w:val="0"/>
      <w:marBottom w:val="0"/>
      <w:divBdr>
        <w:top w:val="none" w:sz="0" w:space="0" w:color="auto"/>
        <w:left w:val="none" w:sz="0" w:space="0" w:color="auto"/>
        <w:bottom w:val="none" w:sz="0" w:space="0" w:color="auto"/>
        <w:right w:val="none" w:sz="0" w:space="0" w:color="auto"/>
      </w:divBdr>
    </w:div>
    <w:div w:id="673651528">
      <w:bodyDiv w:val="1"/>
      <w:marLeft w:val="0"/>
      <w:marRight w:val="0"/>
      <w:marTop w:val="0"/>
      <w:marBottom w:val="0"/>
      <w:divBdr>
        <w:top w:val="none" w:sz="0" w:space="0" w:color="auto"/>
        <w:left w:val="none" w:sz="0" w:space="0" w:color="auto"/>
        <w:bottom w:val="none" w:sz="0" w:space="0" w:color="auto"/>
        <w:right w:val="none" w:sz="0" w:space="0" w:color="auto"/>
      </w:divBdr>
    </w:div>
    <w:div w:id="673652376">
      <w:bodyDiv w:val="1"/>
      <w:marLeft w:val="0"/>
      <w:marRight w:val="0"/>
      <w:marTop w:val="0"/>
      <w:marBottom w:val="0"/>
      <w:divBdr>
        <w:top w:val="none" w:sz="0" w:space="0" w:color="auto"/>
        <w:left w:val="none" w:sz="0" w:space="0" w:color="auto"/>
        <w:bottom w:val="none" w:sz="0" w:space="0" w:color="auto"/>
        <w:right w:val="none" w:sz="0" w:space="0" w:color="auto"/>
      </w:divBdr>
    </w:div>
    <w:div w:id="673653324">
      <w:bodyDiv w:val="1"/>
      <w:marLeft w:val="0"/>
      <w:marRight w:val="0"/>
      <w:marTop w:val="0"/>
      <w:marBottom w:val="0"/>
      <w:divBdr>
        <w:top w:val="none" w:sz="0" w:space="0" w:color="auto"/>
        <w:left w:val="none" w:sz="0" w:space="0" w:color="auto"/>
        <w:bottom w:val="none" w:sz="0" w:space="0" w:color="auto"/>
        <w:right w:val="none" w:sz="0" w:space="0" w:color="auto"/>
      </w:divBdr>
    </w:div>
    <w:div w:id="673725091">
      <w:bodyDiv w:val="1"/>
      <w:marLeft w:val="0"/>
      <w:marRight w:val="0"/>
      <w:marTop w:val="0"/>
      <w:marBottom w:val="0"/>
      <w:divBdr>
        <w:top w:val="none" w:sz="0" w:space="0" w:color="auto"/>
        <w:left w:val="none" w:sz="0" w:space="0" w:color="auto"/>
        <w:bottom w:val="none" w:sz="0" w:space="0" w:color="auto"/>
        <w:right w:val="none" w:sz="0" w:space="0" w:color="auto"/>
      </w:divBdr>
    </w:div>
    <w:div w:id="673799471">
      <w:bodyDiv w:val="1"/>
      <w:marLeft w:val="0"/>
      <w:marRight w:val="0"/>
      <w:marTop w:val="0"/>
      <w:marBottom w:val="0"/>
      <w:divBdr>
        <w:top w:val="none" w:sz="0" w:space="0" w:color="auto"/>
        <w:left w:val="none" w:sz="0" w:space="0" w:color="auto"/>
        <w:bottom w:val="none" w:sz="0" w:space="0" w:color="auto"/>
        <w:right w:val="none" w:sz="0" w:space="0" w:color="auto"/>
      </w:divBdr>
    </w:div>
    <w:div w:id="673806737">
      <w:bodyDiv w:val="1"/>
      <w:marLeft w:val="0"/>
      <w:marRight w:val="0"/>
      <w:marTop w:val="0"/>
      <w:marBottom w:val="0"/>
      <w:divBdr>
        <w:top w:val="none" w:sz="0" w:space="0" w:color="auto"/>
        <w:left w:val="none" w:sz="0" w:space="0" w:color="auto"/>
        <w:bottom w:val="none" w:sz="0" w:space="0" w:color="auto"/>
        <w:right w:val="none" w:sz="0" w:space="0" w:color="auto"/>
      </w:divBdr>
    </w:div>
    <w:div w:id="673841563">
      <w:bodyDiv w:val="1"/>
      <w:marLeft w:val="0"/>
      <w:marRight w:val="0"/>
      <w:marTop w:val="0"/>
      <w:marBottom w:val="0"/>
      <w:divBdr>
        <w:top w:val="none" w:sz="0" w:space="0" w:color="auto"/>
        <w:left w:val="none" w:sz="0" w:space="0" w:color="auto"/>
        <w:bottom w:val="none" w:sz="0" w:space="0" w:color="auto"/>
        <w:right w:val="none" w:sz="0" w:space="0" w:color="auto"/>
      </w:divBdr>
    </w:div>
    <w:div w:id="674068110">
      <w:bodyDiv w:val="1"/>
      <w:marLeft w:val="0"/>
      <w:marRight w:val="0"/>
      <w:marTop w:val="0"/>
      <w:marBottom w:val="0"/>
      <w:divBdr>
        <w:top w:val="none" w:sz="0" w:space="0" w:color="auto"/>
        <w:left w:val="none" w:sz="0" w:space="0" w:color="auto"/>
        <w:bottom w:val="none" w:sz="0" w:space="0" w:color="auto"/>
        <w:right w:val="none" w:sz="0" w:space="0" w:color="auto"/>
      </w:divBdr>
    </w:div>
    <w:div w:id="674109181">
      <w:bodyDiv w:val="1"/>
      <w:marLeft w:val="0"/>
      <w:marRight w:val="0"/>
      <w:marTop w:val="0"/>
      <w:marBottom w:val="0"/>
      <w:divBdr>
        <w:top w:val="none" w:sz="0" w:space="0" w:color="auto"/>
        <w:left w:val="none" w:sz="0" w:space="0" w:color="auto"/>
        <w:bottom w:val="none" w:sz="0" w:space="0" w:color="auto"/>
        <w:right w:val="none" w:sz="0" w:space="0" w:color="auto"/>
      </w:divBdr>
    </w:div>
    <w:div w:id="674261722">
      <w:bodyDiv w:val="1"/>
      <w:marLeft w:val="0"/>
      <w:marRight w:val="0"/>
      <w:marTop w:val="0"/>
      <w:marBottom w:val="0"/>
      <w:divBdr>
        <w:top w:val="none" w:sz="0" w:space="0" w:color="auto"/>
        <w:left w:val="none" w:sz="0" w:space="0" w:color="auto"/>
        <w:bottom w:val="none" w:sz="0" w:space="0" w:color="auto"/>
        <w:right w:val="none" w:sz="0" w:space="0" w:color="auto"/>
      </w:divBdr>
    </w:div>
    <w:div w:id="674306227">
      <w:bodyDiv w:val="1"/>
      <w:marLeft w:val="0"/>
      <w:marRight w:val="0"/>
      <w:marTop w:val="0"/>
      <w:marBottom w:val="0"/>
      <w:divBdr>
        <w:top w:val="none" w:sz="0" w:space="0" w:color="auto"/>
        <w:left w:val="none" w:sz="0" w:space="0" w:color="auto"/>
        <w:bottom w:val="none" w:sz="0" w:space="0" w:color="auto"/>
        <w:right w:val="none" w:sz="0" w:space="0" w:color="auto"/>
      </w:divBdr>
    </w:div>
    <w:div w:id="674459385">
      <w:bodyDiv w:val="1"/>
      <w:marLeft w:val="0"/>
      <w:marRight w:val="0"/>
      <w:marTop w:val="0"/>
      <w:marBottom w:val="0"/>
      <w:divBdr>
        <w:top w:val="none" w:sz="0" w:space="0" w:color="auto"/>
        <w:left w:val="none" w:sz="0" w:space="0" w:color="auto"/>
        <w:bottom w:val="none" w:sz="0" w:space="0" w:color="auto"/>
        <w:right w:val="none" w:sz="0" w:space="0" w:color="auto"/>
      </w:divBdr>
    </w:div>
    <w:div w:id="674459678">
      <w:bodyDiv w:val="1"/>
      <w:marLeft w:val="0"/>
      <w:marRight w:val="0"/>
      <w:marTop w:val="0"/>
      <w:marBottom w:val="0"/>
      <w:divBdr>
        <w:top w:val="none" w:sz="0" w:space="0" w:color="auto"/>
        <w:left w:val="none" w:sz="0" w:space="0" w:color="auto"/>
        <w:bottom w:val="none" w:sz="0" w:space="0" w:color="auto"/>
        <w:right w:val="none" w:sz="0" w:space="0" w:color="auto"/>
      </w:divBdr>
    </w:div>
    <w:div w:id="674721225">
      <w:bodyDiv w:val="1"/>
      <w:marLeft w:val="0"/>
      <w:marRight w:val="0"/>
      <w:marTop w:val="0"/>
      <w:marBottom w:val="0"/>
      <w:divBdr>
        <w:top w:val="none" w:sz="0" w:space="0" w:color="auto"/>
        <w:left w:val="none" w:sz="0" w:space="0" w:color="auto"/>
        <w:bottom w:val="none" w:sz="0" w:space="0" w:color="auto"/>
        <w:right w:val="none" w:sz="0" w:space="0" w:color="auto"/>
      </w:divBdr>
    </w:div>
    <w:div w:id="674769654">
      <w:bodyDiv w:val="1"/>
      <w:marLeft w:val="0"/>
      <w:marRight w:val="0"/>
      <w:marTop w:val="0"/>
      <w:marBottom w:val="0"/>
      <w:divBdr>
        <w:top w:val="none" w:sz="0" w:space="0" w:color="auto"/>
        <w:left w:val="none" w:sz="0" w:space="0" w:color="auto"/>
        <w:bottom w:val="none" w:sz="0" w:space="0" w:color="auto"/>
        <w:right w:val="none" w:sz="0" w:space="0" w:color="auto"/>
      </w:divBdr>
    </w:div>
    <w:div w:id="674839538">
      <w:bodyDiv w:val="1"/>
      <w:marLeft w:val="0"/>
      <w:marRight w:val="0"/>
      <w:marTop w:val="0"/>
      <w:marBottom w:val="0"/>
      <w:divBdr>
        <w:top w:val="none" w:sz="0" w:space="0" w:color="auto"/>
        <w:left w:val="none" w:sz="0" w:space="0" w:color="auto"/>
        <w:bottom w:val="none" w:sz="0" w:space="0" w:color="auto"/>
        <w:right w:val="none" w:sz="0" w:space="0" w:color="auto"/>
      </w:divBdr>
    </w:div>
    <w:div w:id="674840714">
      <w:bodyDiv w:val="1"/>
      <w:marLeft w:val="0"/>
      <w:marRight w:val="0"/>
      <w:marTop w:val="0"/>
      <w:marBottom w:val="0"/>
      <w:divBdr>
        <w:top w:val="none" w:sz="0" w:space="0" w:color="auto"/>
        <w:left w:val="none" w:sz="0" w:space="0" w:color="auto"/>
        <w:bottom w:val="none" w:sz="0" w:space="0" w:color="auto"/>
        <w:right w:val="none" w:sz="0" w:space="0" w:color="auto"/>
      </w:divBdr>
    </w:div>
    <w:div w:id="675152544">
      <w:bodyDiv w:val="1"/>
      <w:marLeft w:val="0"/>
      <w:marRight w:val="0"/>
      <w:marTop w:val="0"/>
      <w:marBottom w:val="0"/>
      <w:divBdr>
        <w:top w:val="none" w:sz="0" w:space="0" w:color="auto"/>
        <w:left w:val="none" w:sz="0" w:space="0" w:color="auto"/>
        <w:bottom w:val="none" w:sz="0" w:space="0" w:color="auto"/>
        <w:right w:val="none" w:sz="0" w:space="0" w:color="auto"/>
      </w:divBdr>
    </w:div>
    <w:div w:id="675231902">
      <w:bodyDiv w:val="1"/>
      <w:marLeft w:val="0"/>
      <w:marRight w:val="0"/>
      <w:marTop w:val="0"/>
      <w:marBottom w:val="0"/>
      <w:divBdr>
        <w:top w:val="none" w:sz="0" w:space="0" w:color="auto"/>
        <w:left w:val="none" w:sz="0" w:space="0" w:color="auto"/>
        <w:bottom w:val="none" w:sz="0" w:space="0" w:color="auto"/>
        <w:right w:val="none" w:sz="0" w:space="0" w:color="auto"/>
      </w:divBdr>
    </w:div>
    <w:div w:id="675234694">
      <w:bodyDiv w:val="1"/>
      <w:marLeft w:val="0"/>
      <w:marRight w:val="0"/>
      <w:marTop w:val="0"/>
      <w:marBottom w:val="0"/>
      <w:divBdr>
        <w:top w:val="none" w:sz="0" w:space="0" w:color="auto"/>
        <w:left w:val="none" w:sz="0" w:space="0" w:color="auto"/>
        <w:bottom w:val="none" w:sz="0" w:space="0" w:color="auto"/>
        <w:right w:val="none" w:sz="0" w:space="0" w:color="auto"/>
      </w:divBdr>
    </w:div>
    <w:div w:id="675306955">
      <w:bodyDiv w:val="1"/>
      <w:marLeft w:val="0"/>
      <w:marRight w:val="0"/>
      <w:marTop w:val="0"/>
      <w:marBottom w:val="0"/>
      <w:divBdr>
        <w:top w:val="none" w:sz="0" w:space="0" w:color="auto"/>
        <w:left w:val="none" w:sz="0" w:space="0" w:color="auto"/>
        <w:bottom w:val="none" w:sz="0" w:space="0" w:color="auto"/>
        <w:right w:val="none" w:sz="0" w:space="0" w:color="auto"/>
      </w:divBdr>
    </w:div>
    <w:div w:id="675349800">
      <w:bodyDiv w:val="1"/>
      <w:marLeft w:val="0"/>
      <w:marRight w:val="0"/>
      <w:marTop w:val="0"/>
      <w:marBottom w:val="0"/>
      <w:divBdr>
        <w:top w:val="none" w:sz="0" w:space="0" w:color="auto"/>
        <w:left w:val="none" w:sz="0" w:space="0" w:color="auto"/>
        <w:bottom w:val="none" w:sz="0" w:space="0" w:color="auto"/>
        <w:right w:val="none" w:sz="0" w:space="0" w:color="auto"/>
      </w:divBdr>
    </w:div>
    <w:div w:id="675351622">
      <w:bodyDiv w:val="1"/>
      <w:marLeft w:val="0"/>
      <w:marRight w:val="0"/>
      <w:marTop w:val="0"/>
      <w:marBottom w:val="0"/>
      <w:divBdr>
        <w:top w:val="none" w:sz="0" w:space="0" w:color="auto"/>
        <w:left w:val="none" w:sz="0" w:space="0" w:color="auto"/>
        <w:bottom w:val="none" w:sz="0" w:space="0" w:color="auto"/>
        <w:right w:val="none" w:sz="0" w:space="0" w:color="auto"/>
      </w:divBdr>
    </w:div>
    <w:div w:id="675353218">
      <w:bodyDiv w:val="1"/>
      <w:marLeft w:val="0"/>
      <w:marRight w:val="0"/>
      <w:marTop w:val="0"/>
      <w:marBottom w:val="0"/>
      <w:divBdr>
        <w:top w:val="none" w:sz="0" w:space="0" w:color="auto"/>
        <w:left w:val="none" w:sz="0" w:space="0" w:color="auto"/>
        <w:bottom w:val="none" w:sz="0" w:space="0" w:color="auto"/>
        <w:right w:val="none" w:sz="0" w:space="0" w:color="auto"/>
      </w:divBdr>
    </w:div>
    <w:div w:id="675886763">
      <w:bodyDiv w:val="1"/>
      <w:marLeft w:val="0"/>
      <w:marRight w:val="0"/>
      <w:marTop w:val="0"/>
      <w:marBottom w:val="0"/>
      <w:divBdr>
        <w:top w:val="none" w:sz="0" w:space="0" w:color="auto"/>
        <w:left w:val="none" w:sz="0" w:space="0" w:color="auto"/>
        <w:bottom w:val="none" w:sz="0" w:space="0" w:color="auto"/>
        <w:right w:val="none" w:sz="0" w:space="0" w:color="auto"/>
      </w:divBdr>
    </w:div>
    <w:div w:id="675961955">
      <w:bodyDiv w:val="1"/>
      <w:marLeft w:val="0"/>
      <w:marRight w:val="0"/>
      <w:marTop w:val="0"/>
      <w:marBottom w:val="0"/>
      <w:divBdr>
        <w:top w:val="none" w:sz="0" w:space="0" w:color="auto"/>
        <w:left w:val="none" w:sz="0" w:space="0" w:color="auto"/>
        <w:bottom w:val="none" w:sz="0" w:space="0" w:color="auto"/>
        <w:right w:val="none" w:sz="0" w:space="0" w:color="auto"/>
      </w:divBdr>
    </w:div>
    <w:div w:id="675965859">
      <w:bodyDiv w:val="1"/>
      <w:marLeft w:val="0"/>
      <w:marRight w:val="0"/>
      <w:marTop w:val="0"/>
      <w:marBottom w:val="0"/>
      <w:divBdr>
        <w:top w:val="none" w:sz="0" w:space="0" w:color="auto"/>
        <w:left w:val="none" w:sz="0" w:space="0" w:color="auto"/>
        <w:bottom w:val="none" w:sz="0" w:space="0" w:color="auto"/>
        <w:right w:val="none" w:sz="0" w:space="0" w:color="auto"/>
      </w:divBdr>
    </w:div>
    <w:div w:id="676076665">
      <w:bodyDiv w:val="1"/>
      <w:marLeft w:val="0"/>
      <w:marRight w:val="0"/>
      <w:marTop w:val="0"/>
      <w:marBottom w:val="0"/>
      <w:divBdr>
        <w:top w:val="none" w:sz="0" w:space="0" w:color="auto"/>
        <w:left w:val="none" w:sz="0" w:space="0" w:color="auto"/>
        <w:bottom w:val="none" w:sz="0" w:space="0" w:color="auto"/>
        <w:right w:val="none" w:sz="0" w:space="0" w:color="auto"/>
      </w:divBdr>
    </w:div>
    <w:div w:id="676083293">
      <w:bodyDiv w:val="1"/>
      <w:marLeft w:val="0"/>
      <w:marRight w:val="0"/>
      <w:marTop w:val="0"/>
      <w:marBottom w:val="0"/>
      <w:divBdr>
        <w:top w:val="none" w:sz="0" w:space="0" w:color="auto"/>
        <w:left w:val="none" w:sz="0" w:space="0" w:color="auto"/>
        <w:bottom w:val="none" w:sz="0" w:space="0" w:color="auto"/>
        <w:right w:val="none" w:sz="0" w:space="0" w:color="auto"/>
      </w:divBdr>
    </w:div>
    <w:div w:id="676151094">
      <w:bodyDiv w:val="1"/>
      <w:marLeft w:val="0"/>
      <w:marRight w:val="0"/>
      <w:marTop w:val="0"/>
      <w:marBottom w:val="0"/>
      <w:divBdr>
        <w:top w:val="none" w:sz="0" w:space="0" w:color="auto"/>
        <w:left w:val="none" w:sz="0" w:space="0" w:color="auto"/>
        <w:bottom w:val="none" w:sz="0" w:space="0" w:color="auto"/>
        <w:right w:val="none" w:sz="0" w:space="0" w:color="auto"/>
      </w:divBdr>
    </w:div>
    <w:div w:id="676233152">
      <w:bodyDiv w:val="1"/>
      <w:marLeft w:val="0"/>
      <w:marRight w:val="0"/>
      <w:marTop w:val="0"/>
      <w:marBottom w:val="0"/>
      <w:divBdr>
        <w:top w:val="none" w:sz="0" w:space="0" w:color="auto"/>
        <w:left w:val="none" w:sz="0" w:space="0" w:color="auto"/>
        <w:bottom w:val="none" w:sz="0" w:space="0" w:color="auto"/>
        <w:right w:val="none" w:sz="0" w:space="0" w:color="auto"/>
      </w:divBdr>
    </w:div>
    <w:div w:id="676270447">
      <w:bodyDiv w:val="1"/>
      <w:marLeft w:val="0"/>
      <w:marRight w:val="0"/>
      <w:marTop w:val="0"/>
      <w:marBottom w:val="0"/>
      <w:divBdr>
        <w:top w:val="none" w:sz="0" w:space="0" w:color="auto"/>
        <w:left w:val="none" w:sz="0" w:space="0" w:color="auto"/>
        <w:bottom w:val="none" w:sz="0" w:space="0" w:color="auto"/>
        <w:right w:val="none" w:sz="0" w:space="0" w:color="auto"/>
      </w:divBdr>
    </w:div>
    <w:div w:id="676271768">
      <w:bodyDiv w:val="1"/>
      <w:marLeft w:val="0"/>
      <w:marRight w:val="0"/>
      <w:marTop w:val="0"/>
      <w:marBottom w:val="0"/>
      <w:divBdr>
        <w:top w:val="none" w:sz="0" w:space="0" w:color="auto"/>
        <w:left w:val="none" w:sz="0" w:space="0" w:color="auto"/>
        <w:bottom w:val="none" w:sz="0" w:space="0" w:color="auto"/>
        <w:right w:val="none" w:sz="0" w:space="0" w:color="auto"/>
      </w:divBdr>
    </w:div>
    <w:div w:id="676272754">
      <w:bodyDiv w:val="1"/>
      <w:marLeft w:val="0"/>
      <w:marRight w:val="0"/>
      <w:marTop w:val="0"/>
      <w:marBottom w:val="0"/>
      <w:divBdr>
        <w:top w:val="none" w:sz="0" w:space="0" w:color="auto"/>
        <w:left w:val="none" w:sz="0" w:space="0" w:color="auto"/>
        <w:bottom w:val="none" w:sz="0" w:space="0" w:color="auto"/>
        <w:right w:val="none" w:sz="0" w:space="0" w:color="auto"/>
      </w:divBdr>
    </w:div>
    <w:div w:id="676273793">
      <w:bodyDiv w:val="1"/>
      <w:marLeft w:val="0"/>
      <w:marRight w:val="0"/>
      <w:marTop w:val="0"/>
      <w:marBottom w:val="0"/>
      <w:divBdr>
        <w:top w:val="none" w:sz="0" w:space="0" w:color="auto"/>
        <w:left w:val="none" w:sz="0" w:space="0" w:color="auto"/>
        <w:bottom w:val="none" w:sz="0" w:space="0" w:color="auto"/>
        <w:right w:val="none" w:sz="0" w:space="0" w:color="auto"/>
      </w:divBdr>
    </w:div>
    <w:div w:id="676733537">
      <w:bodyDiv w:val="1"/>
      <w:marLeft w:val="0"/>
      <w:marRight w:val="0"/>
      <w:marTop w:val="0"/>
      <w:marBottom w:val="0"/>
      <w:divBdr>
        <w:top w:val="none" w:sz="0" w:space="0" w:color="auto"/>
        <w:left w:val="none" w:sz="0" w:space="0" w:color="auto"/>
        <w:bottom w:val="none" w:sz="0" w:space="0" w:color="auto"/>
        <w:right w:val="none" w:sz="0" w:space="0" w:color="auto"/>
      </w:divBdr>
    </w:div>
    <w:div w:id="676807385">
      <w:bodyDiv w:val="1"/>
      <w:marLeft w:val="0"/>
      <w:marRight w:val="0"/>
      <w:marTop w:val="0"/>
      <w:marBottom w:val="0"/>
      <w:divBdr>
        <w:top w:val="none" w:sz="0" w:space="0" w:color="auto"/>
        <w:left w:val="none" w:sz="0" w:space="0" w:color="auto"/>
        <w:bottom w:val="none" w:sz="0" w:space="0" w:color="auto"/>
        <w:right w:val="none" w:sz="0" w:space="0" w:color="auto"/>
      </w:divBdr>
    </w:div>
    <w:div w:id="677081635">
      <w:bodyDiv w:val="1"/>
      <w:marLeft w:val="0"/>
      <w:marRight w:val="0"/>
      <w:marTop w:val="0"/>
      <w:marBottom w:val="0"/>
      <w:divBdr>
        <w:top w:val="none" w:sz="0" w:space="0" w:color="auto"/>
        <w:left w:val="none" w:sz="0" w:space="0" w:color="auto"/>
        <w:bottom w:val="none" w:sz="0" w:space="0" w:color="auto"/>
        <w:right w:val="none" w:sz="0" w:space="0" w:color="auto"/>
      </w:divBdr>
    </w:div>
    <w:div w:id="677119959">
      <w:bodyDiv w:val="1"/>
      <w:marLeft w:val="0"/>
      <w:marRight w:val="0"/>
      <w:marTop w:val="0"/>
      <w:marBottom w:val="0"/>
      <w:divBdr>
        <w:top w:val="none" w:sz="0" w:space="0" w:color="auto"/>
        <w:left w:val="none" w:sz="0" w:space="0" w:color="auto"/>
        <w:bottom w:val="none" w:sz="0" w:space="0" w:color="auto"/>
        <w:right w:val="none" w:sz="0" w:space="0" w:color="auto"/>
      </w:divBdr>
    </w:div>
    <w:div w:id="677193117">
      <w:bodyDiv w:val="1"/>
      <w:marLeft w:val="0"/>
      <w:marRight w:val="0"/>
      <w:marTop w:val="0"/>
      <w:marBottom w:val="0"/>
      <w:divBdr>
        <w:top w:val="none" w:sz="0" w:space="0" w:color="auto"/>
        <w:left w:val="none" w:sz="0" w:space="0" w:color="auto"/>
        <w:bottom w:val="none" w:sz="0" w:space="0" w:color="auto"/>
        <w:right w:val="none" w:sz="0" w:space="0" w:color="auto"/>
      </w:divBdr>
    </w:div>
    <w:div w:id="677587428">
      <w:bodyDiv w:val="1"/>
      <w:marLeft w:val="0"/>
      <w:marRight w:val="0"/>
      <w:marTop w:val="0"/>
      <w:marBottom w:val="0"/>
      <w:divBdr>
        <w:top w:val="none" w:sz="0" w:space="0" w:color="auto"/>
        <w:left w:val="none" w:sz="0" w:space="0" w:color="auto"/>
        <w:bottom w:val="none" w:sz="0" w:space="0" w:color="auto"/>
        <w:right w:val="none" w:sz="0" w:space="0" w:color="auto"/>
      </w:divBdr>
    </w:div>
    <w:div w:id="677732880">
      <w:bodyDiv w:val="1"/>
      <w:marLeft w:val="0"/>
      <w:marRight w:val="0"/>
      <w:marTop w:val="0"/>
      <w:marBottom w:val="0"/>
      <w:divBdr>
        <w:top w:val="none" w:sz="0" w:space="0" w:color="auto"/>
        <w:left w:val="none" w:sz="0" w:space="0" w:color="auto"/>
        <w:bottom w:val="none" w:sz="0" w:space="0" w:color="auto"/>
        <w:right w:val="none" w:sz="0" w:space="0" w:color="auto"/>
      </w:divBdr>
    </w:div>
    <w:div w:id="677773920">
      <w:bodyDiv w:val="1"/>
      <w:marLeft w:val="0"/>
      <w:marRight w:val="0"/>
      <w:marTop w:val="0"/>
      <w:marBottom w:val="0"/>
      <w:divBdr>
        <w:top w:val="none" w:sz="0" w:space="0" w:color="auto"/>
        <w:left w:val="none" w:sz="0" w:space="0" w:color="auto"/>
        <w:bottom w:val="none" w:sz="0" w:space="0" w:color="auto"/>
        <w:right w:val="none" w:sz="0" w:space="0" w:color="auto"/>
      </w:divBdr>
    </w:div>
    <w:div w:id="677778418">
      <w:bodyDiv w:val="1"/>
      <w:marLeft w:val="0"/>
      <w:marRight w:val="0"/>
      <w:marTop w:val="0"/>
      <w:marBottom w:val="0"/>
      <w:divBdr>
        <w:top w:val="none" w:sz="0" w:space="0" w:color="auto"/>
        <w:left w:val="none" w:sz="0" w:space="0" w:color="auto"/>
        <w:bottom w:val="none" w:sz="0" w:space="0" w:color="auto"/>
        <w:right w:val="none" w:sz="0" w:space="0" w:color="auto"/>
      </w:divBdr>
    </w:div>
    <w:div w:id="677779371">
      <w:bodyDiv w:val="1"/>
      <w:marLeft w:val="0"/>
      <w:marRight w:val="0"/>
      <w:marTop w:val="0"/>
      <w:marBottom w:val="0"/>
      <w:divBdr>
        <w:top w:val="none" w:sz="0" w:space="0" w:color="auto"/>
        <w:left w:val="none" w:sz="0" w:space="0" w:color="auto"/>
        <w:bottom w:val="none" w:sz="0" w:space="0" w:color="auto"/>
        <w:right w:val="none" w:sz="0" w:space="0" w:color="auto"/>
      </w:divBdr>
    </w:div>
    <w:div w:id="677851541">
      <w:bodyDiv w:val="1"/>
      <w:marLeft w:val="0"/>
      <w:marRight w:val="0"/>
      <w:marTop w:val="0"/>
      <w:marBottom w:val="0"/>
      <w:divBdr>
        <w:top w:val="none" w:sz="0" w:space="0" w:color="auto"/>
        <w:left w:val="none" w:sz="0" w:space="0" w:color="auto"/>
        <w:bottom w:val="none" w:sz="0" w:space="0" w:color="auto"/>
        <w:right w:val="none" w:sz="0" w:space="0" w:color="auto"/>
      </w:divBdr>
    </w:div>
    <w:div w:id="677923886">
      <w:bodyDiv w:val="1"/>
      <w:marLeft w:val="0"/>
      <w:marRight w:val="0"/>
      <w:marTop w:val="0"/>
      <w:marBottom w:val="0"/>
      <w:divBdr>
        <w:top w:val="none" w:sz="0" w:space="0" w:color="auto"/>
        <w:left w:val="none" w:sz="0" w:space="0" w:color="auto"/>
        <w:bottom w:val="none" w:sz="0" w:space="0" w:color="auto"/>
        <w:right w:val="none" w:sz="0" w:space="0" w:color="auto"/>
      </w:divBdr>
    </w:div>
    <w:div w:id="677927419">
      <w:bodyDiv w:val="1"/>
      <w:marLeft w:val="0"/>
      <w:marRight w:val="0"/>
      <w:marTop w:val="0"/>
      <w:marBottom w:val="0"/>
      <w:divBdr>
        <w:top w:val="none" w:sz="0" w:space="0" w:color="auto"/>
        <w:left w:val="none" w:sz="0" w:space="0" w:color="auto"/>
        <w:bottom w:val="none" w:sz="0" w:space="0" w:color="auto"/>
        <w:right w:val="none" w:sz="0" w:space="0" w:color="auto"/>
      </w:divBdr>
    </w:div>
    <w:div w:id="677930758">
      <w:bodyDiv w:val="1"/>
      <w:marLeft w:val="0"/>
      <w:marRight w:val="0"/>
      <w:marTop w:val="0"/>
      <w:marBottom w:val="0"/>
      <w:divBdr>
        <w:top w:val="none" w:sz="0" w:space="0" w:color="auto"/>
        <w:left w:val="none" w:sz="0" w:space="0" w:color="auto"/>
        <w:bottom w:val="none" w:sz="0" w:space="0" w:color="auto"/>
        <w:right w:val="none" w:sz="0" w:space="0" w:color="auto"/>
      </w:divBdr>
    </w:div>
    <w:div w:id="678002033">
      <w:bodyDiv w:val="1"/>
      <w:marLeft w:val="0"/>
      <w:marRight w:val="0"/>
      <w:marTop w:val="0"/>
      <w:marBottom w:val="0"/>
      <w:divBdr>
        <w:top w:val="none" w:sz="0" w:space="0" w:color="auto"/>
        <w:left w:val="none" w:sz="0" w:space="0" w:color="auto"/>
        <w:bottom w:val="none" w:sz="0" w:space="0" w:color="auto"/>
        <w:right w:val="none" w:sz="0" w:space="0" w:color="auto"/>
      </w:divBdr>
    </w:div>
    <w:div w:id="678118188">
      <w:bodyDiv w:val="1"/>
      <w:marLeft w:val="0"/>
      <w:marRight w:val="0"/>
      <w:marTop w:val="0"/>
      <w:marBottom w:val="0"/>
      <w:divBdr>
        <w:top w:val="none" w:sz="0" w:space="0" w:color="auto"/>
        <w:left w:val="none" w:sz="0" w:space="0" w:color="auto"/>
        <w:bottom w:val="none" w:sz="0" w:space="0" w:color="auto"/>
        <w:right w:val="none" w:sz="0" w:space="0" w:color="auto"/>
      </w:divBdr>
    </w:div>
    <w:div w:id="678193398">
      <w:bodyDiv w:val="1"/>
      <w:marLeft w:val="0"/>
      <w:marRight w:val="0"/>
      <w:marTop w:val="0"/>
      <w:marBottom w:val="0"/>
      <w:divBdr>
        <w:top w:val="none" w:sz="0" w:space="0" w:color="auto"/>
        <w:left w:val="none" w:sz="0" w:space="0" w:color="auto"/>
        <w:bottom w:val="none" w:sz="0" w:space="0" w:color="auto"/>
        <w:right w:val="none" w:sz="0" w:space="0" w:color="auto"/>
      </w:divBdr>
    </w:div>
    <w:div w:id="678314068">
      <w:bodyDiv w:val="1"/>
      <w:marLeft w:val="0"/>
      <w:marRight w:val="0"/>
      <w:marTop w:val="0"/>
      <w:marBottom w:val="0"/>
      <w:divBdr>
        <w:top w:val="none" w:sz="0" w:space="0" w:color="auto"/>
        <w:left w:val="none" w:sz="0" w:space="0" w:color="auto"/>
        <w:bottom w:val="none" w:sz="0" w:space="0" w:color="auto"/>
        <w:right w:val="none" w:sz="0" w:space="0" w:color="auto"/>
      </w:divBdr>
    </w:div>
    <w:div w:id="678385714">
      <w:bodyDiv w:val="1"/>
      <w:marLeft w:val="0"/>
      <w:marRight w:val="0"/>
      <w:marTop w:val="0"/>
      <w:marBottom w:val="0"/>
      <w:divBdr>
        <w:top w:val="none" w:sz="0" w:space="0" w:color="auto"/>
        <w:left w:val="none" w:sz="0" w:space="0" w:color="auto"/>
        <w:bottom w:val="none" w:sz="0" w:space="0" w:color="auto"/>
        <w:right w:val="none" w:sz="0" w:space="0" w:color="auto"/>
      </w:divBdr>
    </w:div>
    <w:div w:id="678390205">
      <w:bodyDiv w:val="1"/>
      <w:marLeft w:val="0"/>
      <w:marRight w:val="0"/>
      <w:marTop w:val="0"/>
      <w:marBottom w:val="0"/>
      <w:divBdr>
        <w:top w:val="none" w:sz="0" w:space="0" w:color="auto"/>
        <w:left w:val="none" w:sz="0" w:space="0" w:color="auto"/>
        <w:bottom w:val="none" w:sz="0" w:space="0" w:color="auto"/>
        <w:right w:val="none" w:sz="0" w:space="0" w:color="auto"/>
      </w:divBdr>
    </w:div>
    <w:div w:id="678392187">
      <w:bodyDiv w:val="1"/>
      <w:marLeft w:val="0"/>
      <w:marRight w:val="0"/>
      <w:marTop w:val="0"/>
      <w:marBottom w:val="0"/>
      <w:divBdr>
        <w:top w:val="none" w:sz="0" w:space="0" w:color="auto"/>
        <w:left w:val="none" w:sz="0" w:space="0" w:color="auto"/>
        <w:bottom w:val="none" w:sz="0" w:space="0" w:color="auto"/>
        <w:right w:val="none" w:sz="0" w:space="0" w:color="auto"/>
      </w:divBdr>
    </w:div>
    <w:div w:id="678429779">
      <w:bodyDiv w:val="1"/>
      <w:marLeft w:val="0"/>
      <w:marRight w:val="0"/>
      <w:marTop w:val="0"/>
      <w:marBottom w:val="0"/>
      <w:divBdr>
        <w:top w:val="none" w:sz="0" w:space="0" w:color="auto"/>
        <w:left w:val="none" w:sz="0" w:space="0" w:color="auto"/>
        <w:bottom w:val="none" w:sz="0" w:space="0" w:color="auto"/>
        <w:right w:val="none" w:sz="0" w:space="0" w:color="auto"/>
      </w:divBdr>
    </w:div>
    <w:div w:id="678502015">
      <w:bodyDiv w:val="1"/>
      <w:marLeft w:val="0"/>
      <w:marRight w:val="0"/>
      <w:marTop w:val="0"/>
      <w:marBottom w:val="0"/>
      <w:divBdr>
        <w:top w:val="none" w:sz="0" w:space="0" w:color="auto"/>
        <w:left w:val="none" w:sz="0" w:space="0" w:color="auto"/>
        <w:bottom w:val="none" w:sz="0" w:space="0" w:color="auto"/>
        <w:right w:val="none" w:sz="0" w:space="0" w:color="auto"/>
      </w:divBdr>
    </w:div>
    <w:div w:id="678889204">
      <w:bodyDiv w:val="1"/>
      <w:marLeft w:val="0"/>
      <w:marRight w:val="0"/>
      <w:marTop w:val="0"/>
      <w:marBottom w:val="0"/>
      <w:divBdr>
        <w:top w:val="none" w:sz="0" w:space="0" w:color="auto"/>
        <w:left w:val="none" w:sz="0" w:space="0" w:color="auto"/>
        <w:bottom w:val="none" w:sz="0" w:space="0" w:color="auto"/>
        <w:right w:val="none" w:sz="0" w:space="0" w:color="auto"/>
      </w:divBdr>
    </w:div>
    <w:div w:id="678970677">
      <w:bodyDiv w:val="1"/>
      <w:marLeft w:val="0"/>
      <w:marRight w:val="0"/>
      <w:marTop w:val="0"/>
      <w:marBottom w:val="0"/>
      <w:divBdr>
        <w:top w:val="none" w:sz="0" w:space="0" w:color="auto"/>
        <w:left w:val="none" w:sz="0" w:space="0" w:color="auto"/>
        <w:bottom w:val="none" w:sz="0" w:space="0" w:color="auto"/>
        <w:right w:val="none" w:sz="0" w:space="0" w:color="auto"/>
      </w:divBdr>
    </w:div>
    <w:div w:id="679039269">
      <w:bodyDiv w:val="1"/>
      <w:marLeft w:val="0"/>
      <w:marRight w:val="0"/>
      <w:marTop w:val="0"/>
      <w:marBottom w:val="0"/>
      <w:divBdr>
        <w:top w:val="none" w:sz="0" w:space="0" w:color="auto"/>
        <w:left w:val="none" w:sz="0" w:space="0" w:color="auto"/>
        <w:bottom w:val="none" w:sz="0" w:space="0" w:color="auto"/>
        <w:right w:val="none" w:sz="0" w:space="0" w:color="auto"/>
      </w:divBdr>
    </w:div>
    <w:div w:id="679041723">
      <w:bodyDiv w:val="1"/>
      <w:marLeft w:val="0"/>
      <w:marRight w:val="0"/>
      <w:marTop w:val="0"/>
      <w:marBottom w:val="0"/>
      <w:divBdr>
        <w:top w:val="none" w:sz="0" w:space="0" w:color="auto"/>
        <w:left w:val="none" w:sz="0" w:space="0" w:color="auto"/>
        <w:bottom w:val="none" w:sz="0" w:space="0" w:color="auto"/>
        <w:right w:val="none" w:sz="0" w:space="0" w:color="auto"/>
      </w:divBdr>
    </w:div>
    <w:div w:id="679047390">
      <w:bodyDiv w:val="1"/>
      <w:marLeft w:val="0"/>
      <w:marRight w:val="0"/>
      <w:marTop w:val="0"/>
      <w:marBottom w:val="0"/>
      <w:divBdr>
        <w:top w:val="none" w:sz="0" w:space="0" w:color="auto"/>
        <w:left w:val="none" w:sz="0" w:space="0" w:color="auto"/>
        <w:bottom w:val="none" w:sz="0" w:space="0" w:color="auto"/>
        <w:right w:val="none" w:sz="0" w:space="0" w:color="auto"/>
      </w:divBdr>
    </w:div>
    <w:div w:id="679281729">
      <w:bodyDiv w:val="1"/>
      <w:marLeft w:val="0"/>
      <w:marRight w:val="0"/>
      <w:marTop w:val="0"/>
      <w:marBottom w:val="0"/>
      <w:divBdr>
        <w:top w:val="none" w:sz="0" w:space="0" w:color="auto"/>
        <w:left w:val="none" w:sz="0" w:space="0" w:color="auto"/>
        <w:bottom w:val="none" w:sz="0" w:space="0" w:color="auto"/>
        <w:right w:val="none" w:sz="0" w:space="0" w:color="auto"/>
      </w:divBdr>
    </w:div>
    <w:div w:id="679282506">
      <w:bodyDiv w:val="1"/>
      <w:marLeft w:val="0"/>
      <w:marRight w:val="0"/>
      <w:marTop w:val="0"/>
      <w:marBottom w:val="0"/>
      <w:divBdr>
        <w:top w:val="none" w:sz="0" w:space="0" w:color="auto"/>
        <w:left w:val="none" w:sz="0" w:space="0" w:color="auto"/>
        <w:bottom w:val="none" w:sz="0" w:space="0" w:color="auto"/>
        <w:right w:val="none" w:sz="0" w:space="0" w:color="auto"/>
      </w:divBdr>
    </w:div>
    <w:div w:id="679354337">
      <w:bodyDiv w:val="1"/>
      <w:marLeft w:val="0"/>
      <w:marRight w:val="0"/>
      <w:marTop w:val="0"/>
      <w:marBottom w:val="0"/>
      <w:divBdr>
        <w:top w:val="none" w:sz="0" w:space="0" w:color="auto"/>
        <w:left w:val="none" w:sz="0" w:space="0" w:color="auto"/>
        <w:bottom w:val="none" w:sz="0" w:space="0" w:color="auto"/>
        <w:right w:val="none" w:sz="0" w:space="0" w:color="auto"/>
      </w:divBdr>
    </w:div>
    <w:div w:id="679478133">
      <w:bodyDiv w:val="1"/>
      <w:marLeft w:val="0"/>
      <w:marRight w:val="0"/>
      <w:marTop w:val="0"/>
      <w:marBottom w:val="0"/>
      <w:divBdr>
        <w:top w:val="none" w:sz="0" w:space="0" w:color="auto"/>
        <w:left w:val="none" w:sz="0" w:space="0" w:color="auto"/>
        <w:bottom w:val="none" w:sz="0" w:space="0" w:color="auto"/>
        <w:right w:val="none" w:sz="0" w:space="0" w:color="auto"/>
      </w:divBdr>
    </w:div>
    <w:div w:id="679552171">
      <w:bodyDiv w:val="1"/>
      <w:marLeft w:val="0"/>
      <w:marRight w:val="0"/>
      <w:marTop w:val="0"/>
      <w:marBottom w:val="0"/>
      <w:divBdr>
        <w:top w:val="none" w:sz="0" w:space="0" w:color="auto"/>
        <w:left w:val="none" w:sz="0" w:space="0" w:color="auto"/>
        <w:bottom w:val="none" w:sz="0" w:space="0" w:color="auto"/>
        <w:right w:val="none" w:sz="0" w:space="0" w:color="auto"/>
      </w:divBdr>
    </w:div>
    <w:div w:id="679701327">
      <w:bodyDiv w:val="1"/>
      <w:marLeft w:val="0"/>
      <w:marRight w:val="0"/>
      <w:marTop w:val="0"/>
      <w:marBottom w:val="0"/>
      <w:divBdr>
        <w:top w:val="none" w:sz="0" w:space="0" w:color="auto"/>
        <w:left w:val="none" w:sz="0" w:space="0" w:color="auto"/>
        <w:bottom w:val="none" w:sz="0" w:space="0" w:color="auto"/>
        <w:right w:val="none" w:sz="0" w:space="0" w:color="auto"/>
      </w:divBdr>
    </w:div>
    <w:div w:id="679701495">
      <w:bodyDiv w:val="1"/>
      <w:marLeft w:val="0"/>
      <w:marRight w:val="0"/>
      <w:marTop w:val="0"/>
      <w:marBottom w:val="0"/>
      <w:divBdr>
        <w:top w:val="none" w:sz="0" w:space="0" w:color="auto"/>
        <w:left w:val="none" w:sz="0" w:space="0" w:color="auto"/>
        <w:bottom w:val="none" w:sz="0" w:space="0" w:color="auto"/>
        <w:right w:val="none" w:sz="0" w:space="0" w:color="auto"/>
      </w:divBdr>
    </w:div>
    <w:div w:id="679821727">
      <w:bodyDiv w:val="1"/>
      <w:marLeft w:val="0"/>
      <w:marRight w:val="0"/>
      <w:marTop w:val="0"/>
      <w:marBottom w:val="0"/>
      <w:divBdr>
        <w:top w:val="none" w:sz="0" w:space="0" w:color="auto"/>
        <w:left w:val="none" w:sz="0" w:space="0" w:color="auto"/>
        <w:bottom w:val="none" w:sz="0" w:space="0" w:color="auto"/>
        <w:right w:val="none" w:sz="0" w:space="0" w:color="auto"/>
      </w:divBdr>
    </w:div>
    <w:div w:id="679965761">
      <w:bodyDiv w:val="1"/>
      <w:marLeft w:val="0"/>
      <w:marRight w:val="0"/>
      <w:marTop w:val="0"/>
      <w:marBottom w:val="0"/>
      <w:divBdr>
        <w:top w:val="none" w:sz="0" w:space="0" w:color="auto"/>
        <w:left w:val="none" w:sz="0" w:space="0" w:color="auto"/>
        <w:bottom w:val="none" w:sz="0" w:space="0" w:color="auto"/>
        <w:right w:val="none" w:sz="0" w:space="0" w:color="auto"/>
      </w:divBdr>
    </w:div>
    <w:div w:id="680090391">
      <w:bodyDiv w:val="1"/>
      <w:marLeft w:val="0"/>
      <w:marRight w:val="0"/>
      <w:marTop w:val="0"/>
      <w:marBottom w:val="0"/>
      <w:divBdr>
        <w:top w:val="none" w:sz="0" w:space="0" w:color="auto"/>
        <w:left w:val="none" w:sz="0" w:space="0" w:color="auto"/>
        <w:bottom w:val="none" w:sz="0" w:space="0" w:color="auto"/>
        <w:right w:val="none" w:sz="0" w:space="0" w:color="auto"/>
      </w:divBdr>
    </w:div>
    <w:div w:id="680208423">
      <w:bodyDiv w:val="1"/>
      <w:marLeft w:val="0"/>
      <w:marRight w:val="0"/>
      <w:marTop w:val="0"/>
      <w:marBottom w:val="0"/>
      <w:divBdr>
        <w:top w:val="none" w:sz="0" w:space="0" w:color="auto"/>
        <w:left w:val="none" w:sz="0" w:space="0" w:color="auto"/>
        <w:bottom w:val="none" w:sz="0" w:space="0" w:color="auto"/>
        <w:right w:val="none" w:sz="0" w:space="0" w:color="auto"/>
      </w:divBdr>
    </w:div>
    <w:div w:id="680396929">
      <w:bodyDiv w:val="1"/>
      <w:marLeft w:val="0"/>
      <w:marRight w:val="0"/>
      <w:marTop w:val="0"/>
      <w:marBottom w:val="0"/>
      <w:divBdr>
        <w:top w:val="none" w:sz="0" w:space="0" w:color="auto"/>
        <w:left w:val="none" w:sz="0" w:space="0" w:color="auto"/>
        <w:bottom w:val="none" w:sz="0" w:space="0" w:color="auto"/>
        <w:right w:val="none" w:sz="0" w:space="0" w:color="auto"/>
      </w:divBdr>
    </w:div>
    <w:div w:id="680551371">
      <w:bodyDiv w:val="1"/>
      <w:marLeft w:val="0"/>
      <w:marRight w:val="0"/>
      <w:marTop w:val="0"/>
      <w:marBottom w:val="0"/>
      <w:divBdr>
        <w:top w:val="none" w:sz="0" w:space="0" w:color="auto"/>
        <w:left w:val="none" w:sz="0" w:space="0" w:color="auto"/>
        <w:bottom w:val="none" w:sz="0" w:space="0" w:color="auto"/>
        <w:right w:val="none" w:sz="0" w:space="0" w:color="auto"/>
      </w:divBdr>
    </w:div>
    <w:div w:id="680552519">
      <w:bodyDiv w:val="1"/>
      <w:marLeft w:val="0"/>
      <w:marRight w:val="0"/>
      <w:marTop w:val="0"/>
      <w:marBottom w:val="0"/>
      <w:divBdr>
        <w:top w:val="none" w:sz="0" w:space="0" w:color="auto"/>
        <w:left w:val="none" w:sz="0" w:space="0" w:color="auto"/>
        <w:bottom w:val="none" w:sz="0" w:space="0" w:color="auto"/>
        <w:right w:val="none" w:sz="0" w:space="0" w:color="auto"/>
      </w:divBdr>
    </w:div>
    <w:div w:id="680619179">
      <w:bodyDiv w:val="1"/>
      <w:marLeft w:val="0"/>
      <w:marRight w:val="0"/>
      <w:marTop w:val="0"/>
      <w:marBottom w:val="0"/>
      <w:divBdr>
        <w:top w:val="none" w:sz="0" w:space="0" w:color="auto"/>
        <w:left w:val="none" w:sz="0" w:space="0" w:color="auto"/>
        <w:bottom w:val="none" w:sz="0" w:space="0" w:color="auto"/>
        <w:right w:val="none" w:sz="0" w:space="0" w:color="auto"/>
      </w:divBdr>
    </w:div>
    <w:div w:id="680670343">
      <w:bodyDiv w:val="1"/>
      <w:marLeft w:val="0"/>
      <w:marRight w:val="0"/>
      <w:marTop w:val="0"/>
      <w:marBottom w:val="0"/>
      <w:divBdr>
        <w:top w:val="none" w:sz="0" w:space="0" w:color="auto"/>
        <w:left w:val="none" w:sz="0" w:space="0" w:color="auto"/>
        <w:bottom w:val="none" w:sz="0" w:space="0" w:color="auto"/>
        <w:right w:val="none" w:sz="0" w:space="0" w:color="auto"/>
      </w:divBdr>
    </w:div>
    <w:div w:id="680739085">
      <w:bodyDiv w:val="1"/>
      <w:marLeft w:val="0"/>
      <w:marRight w:val="0"/>
      <w:marTop w:val="0"/>
      <w:marBottom w:val="0"/>
      <w:divBdr>
        <w:top w:val="none" w:sz="0" w:space="0" w:color="auto"/>
        <w:left w:val="none" w:sz="0" w:space="0" w:color="auto"/>
        <w:bottom w:val="none" w:sz="0" w:space="0" w:color="auto"/>
        <w:right w:val="none" w:sz="0" w:space="0" w:color="auto"/>
      </w:divBdr>
    </w:div>
    <w:div w:id="680818719">
      <w:bodyDiv w:val="1"/>
      <w:marLeft w:val="0"/>
      <w:marRight w:val="0"/>
      <w:marTop w:val="0"/>
      <w:marBottom w:val="0"/>
      <w:divBdr>
        <w:top w:val="none" w:sz="0" w:space="0" w:color="auto"/>
        <w:left w:val="none" w:sz="0" w:space="0" w:color="auto"/>
        <w:bottom w:val="none" w:sz="0" w:space="0" w:color="auto"/>
        <w:right w:val="none" w:sz="0" w:space="0" w:color="auto"/>
      </w:divBdr>
    </w:div>
    <w:div w:id="680861538">
      <w:bodyDiv w:val="1"/>
      <w:marLeft w:val="0"/>
      <w:marRight w:val="0"/>
      <w:marTop w:val="0"/>
      <w:marBottom w:val="0"/>
      <w:divBdr>
        <w:top w:val="none" w:sz="0" w:space="0" w:color="auto"/>
        <w:left w:val="none" w:sz="0" w:space="0" w:color="auto"/>
        <w:bottom w:val="none" w:sz="0" w:space="0" w:color="auto"/>
        <w:right w:val="none" w:sz="0" w:space="0" w:color="auto"/>
      </w:divBdr>
    </w:div>
    <w:div w:id="681007866">
      <w:bodyDiv w:val="1"/>
      <w:marLeft w:val="0"/>
      <w:marRight w:val="0"/>
      <w:marTop w:val="0"/>
      <w:marBottom w:val="0"/>
      <w:divBdr>
        <w:top w:val="none" w:sz="0" w:space="0" w:color="auto"/>
        <w:left w:val="none" w:sz="0" w:space="0" w:color="auto"/>
        <w:bottom w:val="none" w:sz="0" w:space="0" w:color="auto"/>
        <w:right w:val="none" w:sz="0" w:space="0" w:color="auto"/>
      </w:divBdr>
    </w:div>
    <w:div w:id="681057428">
      <w:bodyDiv w:val="1"/>
      <w:marLeft w:val="0"/>
      <w:marRight w:val="0"/>
      <w:marTop w:val="0"/>
      <w:marBottom w:val="0"/>
      <w:divBdr>
        <w:top w:val="none" w:sz="0" w:space="0" w:color="auto"/>
        <w:left w:val="none" w:sz="0" w:space="0" w:color="auto"/>
        <w:bottom w:val="none" w:sz="0" w:space="0" w:color="auto"/>
        <w:right w:val="none" w:sz="0" w:space="0" w:color="auto"/>
      </w:divBdr>
    </w:div>
    <w:div w:id="681247673">
      <w:bodyDiv w:val="1"/>
      <w:marLeft w:val="0"/>
      <w:marRight w:val="0"/>
      <w:marTop w:val="0"/>
      <w:marBottom w:val="0"/>
      <w:divBdr>
        <w:top w:val="none" w:sz="0" w:space="0" w:color="auto"/>
        <w:left w:val="none" w:sz="0" w:space="0" w:color="auto"/>
        <w:bottom w:val="none" w:sz="0" w:space="0" w:color="auto"/>
        <w:right w:val="none" w:sz="0" w:space="0" w:color="auto"/>
      </w:divBdr>
    </w:div>
    <w:div w:id="681249833">
      <w:bodyDiv w:val="1"/>
      <w:marLeft w:val="0"/>
      <w:marRight w:val="0"/>
      <w:marTop w:val="0"/>
      <w:marBottom w:val="0"/>
      <w:divBdr>
        <w:top w:val="none" w:sz="0" w:space="0" w:color="auto"/>
        <w:left w:val="none" w:sz="0" w:space="0" w:color="auto"/>
        <w:bottom w:val="none" w:sz="0" w:space="0" w:color="auto"/>
        <w:right w:val="none" w:sz="0" w:space="0" w:color="auto"/>
      </w:divBdr>
    </w:div>
    <w:div w:id="681322876">
      <w:bodyDiv w:val="1"/>
      <w:marLeft w:val="0"/>
      <w:marRight w:val="0"/>
      <w:marTop w:val="0"/>
      <w:marBottom w:val="0"/>
      <w:divBdr>
        <w:top w:val="none" w:sz="0" w:space="0" w:color="auto"/>
        <w:left w:val="none" w:sz="0" w:space="0" w:color="auto"/>
        <w:bottom w:val="none" w:sz="0" w:space="0" w:color="auto"/>
        <w:right w:val="none" w:sz="0" w:space="0" w:color="auto"/>
      </w:divBdr>
    </w:div>
    <w:div w:id="681323221">
      <w:bodyDiv w:val="1"/>
      <w:marLeft w:val="0"/>
      <w:marRight w:val="0"/>
      <w:marTop w:val="0"/>
      <w:marBottom w:val="0"/>
      <w:divBdr>
        <w:top w:val="none" w:sz="0" w:space="0" w:color="auto"/>
        <w:left w:val="none" w:sz="0" w:space="0" w:color="auto"/>
        <w:bottom w:val="none" w:sz="0" w:space="0" w:color="auto"/>
        <w:right w:val="none" w:sz="0" w:space="0" w:color="auto"/>
      </w:divBdr>
    </w:div>
    <w:div w:id="681397506">
      <w:bodyDiv w:val="1"/>
      <w:marLeft w:val="0"/>
      <w:marRight w:val="0"/>
      <w:marTop w:val="0"/>
      <w:marBottom w:val="0"/>
      <w:divBdr>
        <w:top w:val="none" w:sz="0" w:space="0" w:color="auto"/>
        <w:left w:val="none" w:sz="0" w:space="0" w:color="auto"/>
        <w:bottom w:val="none" w:sz="0" w:space="0" w:color="auto"/>
        <w:right w:val="none" w:sz="0" w:space="0" w:color="auto"/>
      </w:divBdr>
    </w:div>
    <w:div w:id="681512546">
      <w:bodyDiv w:val="1"/>
      <w:marLeft w:val="0"/>
      <w:marRight w:val="0"/>
      <w:marTop w:val="0"/>
      <w:marBottom w:val="0"/>
      <w:divBdr>
        <w:top w:val="none" w:sz="0" w:space="0" w:color="auto"/>
        <w:left w:val="none" w:sz="0" w:space="0" w:color="auto"/>
        <w:bottom w:val="none" w:sz="0" w:space="0" w:color="auto"/>
        <w:right w:val="none" w:sz="0" w:space="0" w:color="auto"/>
      </w:divBdr>
    </w:div>
    <w:div w:id="681593412">
      <w:bodyDiv w:val="1"/>
      <w:marLeft w:val="0"/>
      <w:marRight w:val="0"/>
      <w:marTop w:val="0"/>
      <w:marBottom w:val="0"/>
      <w:divBdr>
        <w:top w:val="none" w:sz="0" w:space="0" w:color="auto"/>
        <w:left w:val="none" w:sz="0" w:space="0" w:color="auto"/>
        <w:bottom w:val="none" w:sz="0" w:space="0" w:color="auto"/>
        <w:right w:val="none" w:sz="0" w:space="0" w:color="auto"/>
      </w:divBdr>
    </w:div>
    <w:div w:id="681665507">
      <w:bodyDiv w:val="1"/>
      <w:marLeft w:val="0"/>
      <w:marRight w:val="0"/>
      <w:marTop w:val="0"/>
      <w:marBottom w:val="0"/>
      <w:divBdr>
        <w:top w:val="none" w:sz="0" w:space="0" w:color="auto"/>
        <w:left w:val="none" w:sz="0" w:space="0" w:color="auto"/>
        <w:bottom w:val="none" w:sz="0" w:space="0" w:color="auto"/>
        <w:right w:val="none" w:sz="0" w:space="0" w:color="auto"/>
      </w:divBdr>
    </w:div>
    <w:div w:id="681785006">
      <w:bodyDiv w:val="1"/>
      <w:marLeft w:val="0"/>
      <w:marRight w:val="0"/>
      <w:marTop w:val="0"/>
      <w:marBottom w:val="0"/>
      <w:divBdr>
        <w:top w:val="none" w:sz="0" w:space="0" w:color="auto"/>
        <w:left w:val="none" w:sz="0" w:space="0" w:color="auto"/>
        <w:bottom w:val="none" w:sz="0" w:space="0" w:color="auto"/>
        <w:right w:val="none" w:sz="0" w:space="0" w:color="auto"/>
      </w:divBdr>
    </w:div>
    <w:div w:id="681857828">
      <w:bodyDiv w:val="1"/>
      <w:marLeft w:val="0"/>
      <w:marRight w:val="0"/>
      <w:marTop w:val="0"/>
      <w:marBottom w:val="0"/>
      <w:divBdr>
        <w:top w:val="none" w:sz="0" w:space="0" w:color="auto"/>
        <w:left w:val="none" w:sz="0" w:space="0" w:color="auto"/>
        <w:bottom w:val="none" w:sz="0" w:space="0" w:color="auto"/>
        <w:right w:val="none" w:sz="0" w:space="0" w:color="auto"/>
      </w:divBdr>
    </w:div>
    <w:div w:id="681859062">
      <w:bodyDiv w:val="1"/>
      <w:marLeft w:val="0"/>
      <w:marRight w:val="0"/>
      <w:marTop w:val="0"/>
      <w:marBottom w:val="0"/>
      <w:divBdr>
        <w:top w:val="none" w:sz="0" w:space="0" w:color="auto"/>
        <w:left w:val="none" w:sz="0" w:space="0" w:color="auto"/>
        <w:bottom w:val="none" w:sz="0" w:space="0" w:color="auto"/>
        <w:right w:val="none" w:sz="0" w:space="0" w:color="auto"/>
      </w:divBdr>
    </w:div>
    <w:div w:id="681859873">
      <w:bodyDiv w:val="1"/>
      <w:marLeft w:val="0"/>
      <w:marRight w:val="0"/>
      <w:marTop w:val="0"/>
      <w:marBottom w:val="0"/>
      <w:divBdr>
        <w:top w:val="none" w:sz="0" w:space="0" w:color="auto"/>
        <w:left w:val="none" w:sz="0" w:space="0" w:color="auto"/>
        <w:bottom w:val="none" w:sz="0" w:space="0" w:color="auto"/>
        <w:right w:val="none" w:sz="0" w:space="0" w:color="auto"/>
      </w:divBdr>
    </w:div>
    <w:div w:id="681934301">
      <w:bodyDiv w:val="1"/>
      <w:marLeft w:val="0"/>
      <w:marRight w:val="0"/>
      <w:marTop w:val="0"/>
      <w:marBottom w:val="0"/>
      <w:divBdr>
        <w:top w:val="none" w:sz="0" w:space="0" w:color="auto"/>
        <w:left w:val="none" w:sz="0" w:space="0" w:color="auto"/>
        <w:bottom w:val="none" w:sz="0" w:space="0" w:color="auto"/>
        <w:right w:val="none" w:sz="0" w:space="0" w:color="auto"/>
      </w:divBdr>
    </w:div>
    <w:div w:id="682053166">
      <w:bodyDiv w:val="1"/>
      <w:marLeft w:val="0"/>
      <w:marRight w:val="0"/>
      <w:marTop w:val="0"/>
      <w:marBottom w:val="0"/>
      <w:divBdr>
        <w:top w:val="none" w:sz="0" w:space="0" w:color="auto"/>
        <w:left w:val="none" w:sz="0" w:space="0" w:color="auto"/>
        <w:bottom w:val="none" w:sz="0" w:space="0" w:color="auto"/>
        <w:right w:val="none" w:sz="0" w:space="0" w:color="auto"/>
      </w:divBdr>
    </w:div>
    <w:div w:id="682248206">
      <w:bodyDiv w:val="1"/>
      <w:marLeft w:val="0"/>
      <w:marRight w:val="0"/>
      <w:marTop w:val="0"/>
      <w:marBottom w:val="0"/>
      <w:divBdr>
        <w:top w:val="none" w:sz="0" w:space="0" w:color="auto"/>
        <w:left w:val="none" w:sz="0" w:space="0" w:color="auto"/>
        <w:bottom w:val="none" w:sz="0" w:space="0" w:color="auto"/>
        <w:right w:val="none" w:sz="0" w:space="0" w:color="auto"/>
      </w:divBdr>
    </w:div>
    <w:div w:id="682362387">
      <w:bodyDiv w:val="1"/>
      <w:marLeft w:val="0"/>
      <w:marRight w:val="0"/>
      <w:marTop w:val="0"/>
      <w:marBottom w:val="0"/>
      <w:divBdr>
        <w:top w:val="none" w:sz="0" w:space="0" w:color="auto"/>
        <w:left w:val="none" w:sz="0" w:space="0" w:color="auto"/>
        <w:bottom w:val="none" w:sz="0" w:space="0" w:color="auto"/>
        <w:right w:val="none" w:sz="0" w:space="0" w:color="auto"/>
      </w:divBdr>
    </w:div>
    <w:div w:id="682365752">
      <w:bodyDiv w:val="1"/>
      <w:marLeft w:val="0"/>
      <w:marRight w:val="0"/>
      <w:marTop w:val="0"/>
      <w:marBottom w:val="0"/>
      <w:divBdr>
        <w:top w:val="none" w:sz="0" w:space="0" w:color="auto"/>
        <w:left w:val="none" w:sz="0" w:space="0" w:color="auto"/>
        <w:bottom w:val="none" w:sz="0" w:space="0" w:color="auto"/>
        <w:right w:val="none" w:sz="0" w:space="0" w:color="auto"/>
      </w:divBdr>
    </w:div>
    <w:div w:id="682366312">
      <w:bodyDiv w:val="1"/>
      <w:marLeft w:val="0"/>
      <w:marRight w:val="0"/>
      <w:marTop w:val="0"/>
      <w:marBottom w:val="0"/>
      <w:divBdr>
        <w:top w:val="none" w:sz="0" w:space="0" w:color="auto"/>
        <w:left w:val="none" w:sz="0" w:space="0" w:color="auto"/>
        <w:bottom w:val="none" w:sz="0" w:space="0" w:color="auto"/>
        <w:right w:val="none" w:sz="0" w:space="0" w:color="auto"/>
      </w:divBdr>
    </w:div>
    <w:div w:id="682558225">
      <w:bodyDiv w:val="1"/>
      <w:marLeft w:val="0"/>
      <w:marRight w:val="0"/>
      <w:marTop w:val="0"/>
      <w:marBottom w:val="0"/>
      <w:divBdr>
        <w:top w:val="none" w:sz="0" w:space="0" w:color="auto"/>
        <w:left w:val="none" w:sz="0" w:space="0" w:color="auto"/>
        <w:bottom w:val="none" w:sz="0" w:space="0" w:color="auto"/>
        <w:right w:val="none" w:sz="0" w:space="0" w:color="auto"/>
      </w:divBdr>
    </w:div>
    <w:div w:id="682560992">
      <w:bodyDiv w:val="1"/>
      <w:marLeft w:val="0"/>
      <w:marRight w:val="0"/>
      <w:marTop w:val="0"/>
      <w:marBottom w:val="0"/>
      <w:divBdr>
        <w:top w:val="none" w:sz="0" w:space="0" w:color="auto"/>
        <w:left w:val="none" w:sz="0" w:space="0" w:color="auto"/>
        <w:bottom w:val="none" w:sz="0" w:space="0" w:color="auto"/>
        <w:right w:val="none" w:sz="0" w:space="0" w:color="auto"/>
      </w:divBdr>
    </w:div>
    <w:div w:id="682584571">
      <w:bodyDiv w:val="1"/>
      <w:marLeft w:val="0"/>
      <w:marRight w:val="0"/>
      <w:marTop w:val="0"/>
      <w:marBottom w:val="0"/>
      <w:divBdr>
        <w:top w:val="none" w:sz="0" w:space="0" w:color="auto"/>
        <w:left w:val="none" w:sz="0" w:space="0" w:color="auto"/>
        <w:bottom w:val="none" w:sz="0" w:space="0" w:color="auto"/>
        <w:right w:val="none" w:sz="0" w:space="0" w:color="auto"/>
      </w:divBdr>
    </w:div>
    <w:div w:id="682709019">
      <w:bodyDiv w:val="1"/>
      <w:marLeft w:val="0"/>
      <w:marRight w:val="0"/>
      <w:marTop w:val="0"/>
      <w:marBottom w:val="0"/>
      <w:divBdr>
        <w:top w:val="none" w:sz="0" w:space="0" w:color="auto"/>
        <w:left w:val="none" w:sz="0" w:space="0" w:color="auto"/>
        <w:bottom w:val="none" w:sz="0" w:space="0" w:color="auto"/>
        <w:right w:val="none" w:sz="0" w:space="0" w:color="auto"/>
      </w:divBdr>
    </w:div>
    <w:div w:id="682972010">
      <w:bodyDiv w:val="1"/>
      <w:marLeft w:val="0"/>
      <w:marRight w:val="0"/>
      <w:marTop w:val="0"/>
      <w:marBottom w:val="0"/>
      <w:divBdr>
        <w:top w:val="none" w:sz="0" w:space="0" w:color="auto"/>
        <w:left w:val="none" w:sz="0" w:space="0" w:color="auto"/>
        <w:bottom w:val="none" w:sz="0" w:space="0" w:color="auto"/>
        <w:right w:val="none" w:sz="0" w:space="0" w:color="auto"/>
      </w:divBdr>
    </w:div>
    <w:div w:id="683359321">
      <w:bodyDiv w:val="1"/>
      <w:marLeft w:val="0"/>
      <w:marRight w:val="0"/>
      <w:marTop w:val="0"/>
      <w:marBottom w:val="0"/>
      <w:divBdr>
        <w:top w:val="none" w:sz="0" w:space="0" w:color="auto"/>
        <w:left w:val="none" w:sz="0" w:space="0" w:color="auto"/>
        <w:bottom w:val="none" w:sz="0" w:space="0" w:color="auto"/>
        <w:right w:val="none" w:sz="0" w:space="0" w:color="auto"/>
      </w:divBdr>
    </w:div>
    <w:div w:id="683366356">
      <w:bodyDiv w:val="1"/>
      <w:marLeft w:val="0"/>
      <w:marRight w:val="0"/>
      <w:marTop w:val="0"/>
      <w:marBottom w:val="0"/>
      <w:divBdr>
        <w:top w:val="none" w:sz="0" w:space="0" w:color="auto"/>
        <w:left w:val="none" w:sz="0" w:space="0" w:color="auto"/>
        <w:bottom w:val="none" w:sz="0" w:space="0" w:color="auto"/>
        <w:right w:val="none" w:sz="0" w:space="0" w:color="auto"/>
      </w:divBdr>
    </w:div>
    <w:div w:id="683433921">
      <w:bodyDiv w:val="1"/>
      <w:marLeft w:val="0"/>
      <w:marRight w:val="0"/>
      <w:marTop w:val="0"/>
      <w:marBottom w:val="0"/>
      <w:divBdr>
        <w:top w:val="none" w:sz="0" w:space="0" w:color="auto"/>
        <w:left w:val="none" w:sz="0" w:space="0" w:color="auto"/>
        <w:bottom w:val="none" w:sz="0" w:space="0" w:color="auto"/>
        <w:right w:val="none" w:sz="0" w:space="0" w:color="auto"/>
      </w:divBdr>
    </w:div>
    <w:div w:id="683436630">
      <w:bodyDiv w:val="1"/>
      <w:marLeft w:val="0"/>
      <w:marRight w:val="0"/>
      <w:marTop w:val="0"/>
      <w:marBottom w:val="0"/>
      <w:divBdr>
        <w:top w:val="none" w:sz="0" w:space="0" w:color="auto"/>
        <w:left w:val="none" w:sz="0" w:space="0" w:color="auto"/>
        <w:bottom w:val="none" w:sz="0" w:space="0" w:color="auto"/>
        <w:right w:val="none" w:sz="0" w:space="0" w:color="auto"/>
      </w:divBdr>
    </w:div>
    <w:div w:id="683478717">
      <w:bodyDiv w:val="1"/>
      <w:marLeft w:val="0"/>
      <w:marRight w:val="0"/>
      <w:marTop w:val="0"/>
      <w:marBottom w:val="0"/>
      <w:divBdr>
        <w:top w:val="none" w:sz="0" w:space="0" w:color="auto"/>
        <w:left w:val="none" w:sz="0" w:space="0" w:color="auto"/>
        <w:bottom w:val="none" w:sz="0" w:space="0" w:color="auto"/>
        <w:right w:val="none" w:sz="0" w:space="0" w:color="auto"/>
      </w:divBdr>
    </w:div>
    <w:div w:id="683480012">
      <w:bodyDiv w:val="1"/>
      <w:marLeft w:val="0"/>
      <w:marRight w:val="0"/>
      <w:marTop w:val="0"/>
      <w:marBottom w:val="0"/>
      <w:divBdr>
        <w:top w:val="none" w:sz="0" w:space="0" w:color="auto"/>
        <w:left w:val="none" w:sz="0" w:space="0" w:color="auto"/>
        <w:bottom w:val="none" w:sz="0" w:space="0" w:color="auto"/>
        <w:right w:val="none" w:sz="0" w:space="0" w:color="auto"/>
      </w:divBdr>
    </w:div>
    <w:div w:id="683482820">
      <w:bodyDiv w:val="1"/>
      <w:marLeft w:val="0"/>
      <w:marRight w:val="0"/>
      <w:marTop w:val="0"/>
      <w:marBottom w:val="0"/>
      <w:divBdr>
        <w:top w:val="none" w:sz="0" w:space="0" w:color="auto"/>
        <w:left w:val="none" w:sz="0" w:space="0" w:color="auto"/>
        <w:bottom w:val="none" w:sz="0" w:space="0" w:color="auto"/>
        <w:right w:val="none" w:sz="0" w:space="0" w:color="auto"/>
      </w:divBdr>
    </w:div>
    <w:div w:id="683552099">
      <w:bodyDiv w:val="1"/>
      <w:marLeft w:val="0"/>
      <w:marRight w:val="0"/>
      <w:marTop w:val="0"/>
      <w:marBottom w:val="0"/>
      <w:divBdr>
        <w:top w:val="none" w:sz="0" w:space="0" w:color="auto"/>
        <w:left w:val="none" w:sz="0" w:space="0" w:color="auto"/>
        <w:bottom w:val="none" w:sz="0" w:space="0" w:color="auto"/>
        <w:right w:val="none" w:sz="0" w:space="0" w:color="auto"/>
      </w:divBdr>
    </w:div>
    <w:div w:id="683631195">
      <w:bodyDiv w:val="1"/>
      <w:marLeft w:val="0"/>
      <w:marRight w:val="0"/>
      <w:marTop w:val="0"/>
      <w:marBottom w:val="0"/>
      <w:divBdr>
        <w:top w:val="none" w:sz="0" w:space="0" w:color="auto"/>
        <w:left w:val="none" w:sz="0" w:space="0" w:color="auto"/>
        <w:bottom w:val="none" w:sz="0" w:space="0" w:color="auto"/>
        <w:right w:val="none" w:sz="0" w:space="0" w:color="auto"/>
      </w:divBdr>
    </w:div>
    <w:div w:id="683672159">
      <w:bodyDiv w:val="1"/>
      <w:marLeft w:val="0"/>
      <w:marRight w:val="0"/>
      <w:marTop w:val="0"/>
      <w:marBottom w:val="0"/>
      <w:divBdr>
        <w:top w:val="none" w:sz="0" w:space="0" w:color="auto"/>
        <w:left w:val="none" w:sz="0" w:space="0" w:color="auto"/>
        <w:bottom w:val="none" w:sz="0" w:space="0" w:color="auto"/>
        <w:right w:val="none" w:sz="0" w:space="0" w:color="auto"/>
      </w:divBdr>
    </w:div>
    <w:div w:id="683672439">
      <w:bodyDiv w:val="1"/>
      <w:marLeft w:val="0"/>
      <w:marRight w:val="0"/>
      <w:marTop w:val="0"/>
      <w:marBottom w:val="0"/>
      <w:divBdr>
        <w:top w:val="none" w:sz="0" w:space="0" w:color="auto"/>
        <w:left w:val="none" w:sz="0" w:space="0" w:color="auto"/>
        <w:bottom w:val="none" w:sz="0" w:space="0" w:color="auto"/>
        <w:right w:val="none" w:sz="0" w:space="0" w:color="auto"/>
      </w:divBdr>
    </w:div>
    <w:div w:id="683673629">
      <w:bodyDiv w:val="1"/>
      <w:marLeft w:val="0"/>
      <w:marRight w:val="0"/>
      <w:marTop w:val="0"/>
      <w:marBottom w:val="0"/>
      <w:divBdr>
        <w:top w:val="none" w:sz="0" w:space="0" w:color="auto"/>
        <w:left w:val="none" w:sz="0" w:space="0" w:color="auto"/>
        <w:bottom w:val="none" w:sz="0" w:space="0" w:color="auto"/>
        <w:right w:val="none" w:sz="0" w:space="0" w:color="auto"/>
      </w:divBdr>
    </w:div>
    <w:div w:id="683869430">
      <w:bodyDiv w:val="1"/>
      <w:marLeft w:val="0"/>
      <w:marRight w:val="0"/>
      <w:marTop w:val="0"/>
      <w:marBottom w:val="0"/>
      <w:divBdr>
        <w:top w:val="none" w:sz="0" w:space="0" w:color="auto"/>
        <w:left w:val="none" w:sz="0" w:space="0" w:color="auto"/>
        <w:bottom w:val="none" w:sz="0" w:space="0" w:color="auto"/>
        <w:right w:val="none" w:sz="0" w:space="0" w:color="auto"/>
      </w:divBdr>
    </w:div>
    <w:div w:id="683871225">
      <w:bodyDiv w:val="1"/>
      <w:marLeft w:val="0"/>
      <w:marRight w:val="0"/>
      <w:marTop w:val="0"/>
      <w:marBottom w:val="0"/>
      <w:divBdr>
        <w:top w:val="none" w:sz="0" w:space="0" w:color="auto"/>
        <w:left w:val="none" w:sz="0" w:space="0" w:color="auto"/>
        <w:bottom w:val="none" w:sz="0" w:space="0" w:color="auto"/>
        <w:right w:val="none" w:sz="0" w:space="0" w:color="auto"/>
      </w:divBdr>
    </w:div>
    <w:div w:id="683897463">
      <w:bodyDiv w:val="1"/>
      <w:marLeft w:val="0"/>
      <w:marRight w:val="0"/>
      <w:marTop w:val="0"/>
      <w:marBottom w:val="0"/>
      <w:divBdr>
        <w:top w:val="none" w:sz="0" w:space="0" w:color="auto"/>
        <w:left w:val="none" w:sz="0" w:space="0" w:color="auto"/>
        <w:bottom w:val="none" w:sz="0" w:space="0" w:color="auto"/>
        <w:right w:val="none" w:sz="0" w:space="0" w:color="auto"/>
      </w:divBdr>
    </w:div>
    <w:div w:id="684019791">
      <w:bodyDiv w:val="1"/>
      <w:marLeft w:val="0"/>
      <w:marRight w:val="0"/>
      <w:marTop w:val="0"/>
      <w:marBottom w:val="0"/>
      <w:divBdr>
        <w:top w:val="none" w:sz="0" w:space="0" w:color="auto"/>
        <w:left w:val="none" w:sz="0" w:space="0" w:color="auto"/>
        <w:bottom w:val="none" w:sz="0" w:space="0" w:color="auto"/>
        <w:right w:val="none" w:sz="0" w:space="0" w:color="auto"/>
      </w:divBdr>
    </w:div>
    <w:div w:id="684091826">
      <w:bodyDiv w:val="1"/>
      <w:marLeft w:val="0"/>
      <w:marRight w:val="0"/>
      <w:marTop w:val="0"/>
      <w:marBottom w:val="0"/>
      <w:divBdr>
        <w:top w:val="none" w:sz="0" w:space="0" w:color="auto"/>
        <w:left w:val="none" w:sz="0" w:space="0" w:color="auto"/>
        <w:bottom w:val="none" w:sz="0" w:space="0" w:color="auto"/>
        <w:right w:val="none" w:sz="0" w:space="0" w:color="auto"/>
      </w:divBdr>
    </w:div>
    <w:div w:id="684094831">
      <w:bodyDiv w:val="1"/>
      <w:marLeft w:val="0"/>
      <w:marRight w:val="0"/>
      <w:marTop w:val="0"/>
      <w:marBottom w:val="0"/>
      <w:divBdr>
        <w:top w:val="none" w:sz="0" w:space="0" w:color="auto"/>
        <w:left w:val="none" w:sz="0" w:space="0" w:color="auto"/>
        <w:bottom w:val="none" w:sz="0" w:space="0" w:color="auto"/>
        <w:right w:val="none" w:sz="0" w:space="0" w:color="auto"/>
      </w:divBdr>
    </w:div>
    <w:div w:id="684135425">
      <w:bodyDiv w:val="1"/>
      <w:marLeft w:val="0"/>
      <w:marRight w:val="0"/>
      <w:marTop w:val="0"/>
      <w:marBottom w:val="0"/>
      <w:divBdr>
        <w:top w:val="none" w:sz="0" w:space="0" w:color="auto"/>
        <w:left w:val="none" w:sz="0" w:space="0" w:color="auto"/>
        <w:bottom w:val="none" w:sz="0" w:space="0" w:color="auto"/>
        <w:right w:val="none" w:sz="0" w:space="0" w:color="auto"/>
      </w:divBdr>
    </w:div>
    <w:div w:id="684400976">
      <w:bodyDiv w:val="1"/>
      <w:marLeft w:val="0"/>
      <w:marRight w:val="0"/>
      <w:marTop w:val="0"/>
      <w:marBottom w:val="0"/>
      <w:divBdr>
        <w:top w:val="none" w:sz="0" w:space="0" w:color="auto"/>
        <w:left w:val="none" w:sz="0" w:space="0" w:color="auto"/>
        <w:bottom w:val="none" w:sz="0" w:space="0" w:color="auto"/>
        <w:right w:val="none" w:sz="0" w:space="0" w:color="auto"/>
      </w:divBdr>
    </w:div>
    <w:div w:id="684403084">
      <w:bodyDiv w:val="1"/>
      <w:marLeft w:val="0"/>
      <w:marRight w:val="0"/>
      <w:marTop w:val="0"/>
      <w:marBottom w:val="0"/>
      <w:divBdr>
        <w:top w:val="none" w:sz="0" w:space="0" w:color="auto"/>
        <w:left w:val="none" w:sz="0" w:space="0" w:color="auto"/>
        <w:bottom w:val="none" w:sz="0" w:space="0" w:color="auto"/>
        <w:right w:val="none" w:sz="0" w:space="0" w:color="auto"/>
      </w:divBdr>
    </w:div>
    <w:div w:id="684483565">
      <w:bodyDiv w:val="1"/>
      <w:marLeft w:val="0"/>
      <w:marRight w:val="0"/>
      <w:marTop w:val="0"/>
      <w:marBottom w:val="0"/>
      <w:divBdr>
        <w:top w:val="none" w:sz="0" w:space="0" w:color="auto"/>
        <w:left w:val="none" w:sz="0" w:space="0" w:color="auto"/>
        <w:bottom w:val="none" w:sz="0" w:space="0" w:color="auto"/>
        <w:right w:val="none" w:sz="0" w:space="0" w:color="auto"/>
      </w:divBdr>
    </w:div>
    <w:div w:id="684553082">
      <w:bodyDiv w:val="1"/>
      <w:marLeft w:val="0"/>
      <w:marRight w:val="0"/>
      <w:marTop w:val="0"/>
      <w:marBottom w:val="0"/>
      <w:divBdr>
        <w:top w:val="none" w:sz="0" w:space="0" w:color="auto"/>
        <w:left w:val="none" w:sz="0" w:space="0" w:color="auto"/>
        <w:bottom w:val="none" w:sz="0" w:space="0" w:color="auto"/>
        <w:right w:val="none" w:sz="0" w:space="0" w:color="auto"/>
      </w:divBdr>
    </w:div>
    <w:div w:id="684598176">
      <w:bodyDiv w:val="1"/>
      <w:marLeft w:val="0"/>
      <w:marRight w:val="0"/>
      <w:marTop w:val="0"/>
      <w:marBottom w:val="0"/>
      <w:divBdr>
        <w:top w:val="none" w:sz="0" w:space="0" w:color="auto"/>
        <w:left w:val="none" w:sz="0" w:space="0" w:color="auto"/>
        <w:bottom w:val="none" w:sz="0" w:space="0" w:color="auto"/>
        <w:right w:val="none" w:sz="0" w:space="0" w:color="auto"/>
      </w:divBdr>
    </w:div>
    <w:div w:id="684674502">
      <w:bodyDiv w:val="1"/>
      <w:marLeft w:val="0"/>
      <w:marRight w:val="0"/>
      <w:marTop w:val="0"/>
      <w:marBottom w:val="0"/>
      <w:divBdr>
        <w:top w:val="none" w:sz="0" w:space="0" w:color="auto"/>
        <w:left w:val="none" w:sz="0" w:space="0" w:color="auto"/>
        <w:bottom w:val="none" w:sz="0" w:space="0" w:color="auto"/>
        <w:right w:val="none" w:sz="0" w:space="0" w:color="auto"/>
      </w:divBdr>
    </w:div>
    <w:div w:id="685059490">
      <w:bodyDiv w:val="1"/>
      <w:marLeft w:val="0"/>
      <w:marRight w:val="0"/>
      <w:marTop w:val="0"/>
      <w:marBottom w:val="0"/>
      <w:divBdr>
        <w:top w:val="none" w:sz="0" w:space="0" w:color="auto"/>
        <w:left w:val="none" w:sz="0" w:space="0" w:color="auto"/>
        <w:bottom w:val="none" w:sz="0" w:space="0" w:color="auto"/>
        <w:right w:val="none" w:sz="0" w:space="0" w:color="auto"/>
      </w:divBdr>
    </w:div>
    <w:div w:id="685134554">
      <w:bodyDiv w:val="1"/>
      <w:marLeft w:val="0"/>
      <w:marRight w:val="0"/>
      <w:marTop w:val="0"/>
      <w:marBottom w:val="0"/>
      <w:divBdr>
        <w:top w:val="none" w:sz="0" w:space="0" w:color="auto"/>
        <w:left w:val="none" w:sz="0" w:space="0" w:color="auto"/>
        <w:bottom w:val="none" w:sz="0" w:space="0" w:color="auto"/>
        <w:right w:val="none" w:sz="0" w:space="0" w:color="auto"/>
      </w:divBdr>
    </w:div>
    <w:div w:id="685206217">
      <w:bodyDiv w:val="1"/>
      <w:marLeft w:val="0"/>
      <w:marRight w:val="0"/>
      <w:marTop w:val="0"/>
      <w:marBottom w:val="0"/>
      <w:divBdr>
        <w:top w:val="none" w:sz="0" w:space="0" w:color="auto"/>
        <w:left w:val="none" w:sz="0" w:space="0" w:color="auto"/>
        <w:bottom w:val="none" w:sz="0" w:space="0" w:color="auto"/>
        <w:right w:val="none" w:sz="0" w:space="0" w:color="auto"/>
      </w:divBdr>
    </w:div>
    <w:div w:id="685249192">
      <w:bodyDiv w:val="1"/>
      <w:marLeft w:val="0"/>
      <w:marRight w:val="0"/>
      <w:marTop w:val="0"/>
      <w:marBottom w:val="0"/>
      <w:divBdr>
        <w:top w:val="none" w:sz="0" w:space="0" w:color="auto"/>
        <w:left w:val="none" w:sz="0" w:space="0" w:color="auto"/>
        <w:bottom w:val="none" w:sz="0" w:space="0" w:color="auto"/>
        <w:right w:val="none" w:sz="0" w:space="0" w:color="auto"/>
      </w:divBdr>
    </w:div>
    <w:div w:id="685323865">
      <w:bodyDiv w:val="1"/>
      <w:marLeft w:val="0"/>
      <w:marRight w:val="0"/>
      <w:marTop w:val="0"/>
      <w:marBottom w:val="0"/>
      <w:divBdr>
        <w:top w:val="none" w:sz="0" w:space="0" w:color="auto"/>
        <w:left w:val="none" w:sz="0" w:space="0" w:color="auto"/>
        <w:bottom w:val="none" w:sz="0" w:space="0" w:color="auto"/>
        <w:right w:val="none" w:sz="0" w:space="0" w:color="auto"/>
      </w:divBdr>
    </w:div>
    <w:div w:id="685331196">
      <w:bodyDiv w:val="1"/>
      <w:marLeft w:val="0"/>
      <w:marRight w:val="0"/>
      <w:marTop w:val="0"/>
      <w:marBottom w:val="0"/>
      <w:divBdr>
        <w:top w:val="none" w:sz="0" w:space="0" w:color="auto"/>
        <w:left w:val="none" w:sz="0" w:space="0" w:color="auto"/>
        <w:bottom w:val="none" w:sz="0" w:space="0" w:color="auto"/>
        <w:right w:val="none" w:sz="0" w:space="0" w:color="auto"/>
      </w:divBdr>
    </w:div>
    <w:div w:id="685404204">
      <w:bodyDiv w:val="1"/>
      <w:marLeft w:val="0"/>
      <w:marRight w:val="0"/>
      <w:marTop w:val="0"/>
      <w:marBottom w:val="0"/>
      <w:divBdr>
        <w:top w:val="none" w:sz="0" w:space="0" w:color="auto"/>
        <w:left w:val="none" w:sz="0" w:space="0" w:color="auto"/>
        <w:bottom w:val="none" w:sz="0" w:space="0" w:color="auto"/>
        <w:right w:val="none" w:sz="0" w:space="0" w:color="auto"/>
      </w:divBdr>
    </w:div>
    <w:div w:id="685406228">
      <w:bodyDiv w:val="1"/>
      <w:marLeft w:val="0"/>
      <w:marRight w:val="0"/>
      <w:marTop w:val="0"/>
      <w:marBottom w:val="0"/>
      <w:divBdr>
        <w:top w:val="none" w:sz="0" w:space="0" w:color="auto"/>
        <w:left w:val="none" w:sz="0" w:space="0" w:color="auto"/>
        <w:bottom w:val="none" w:sz="0" w:space="0" w:color="auto"/>
        <w:right w:val="none" w:sz="0" w:space="0" w:color="auto"/>
      </w:divBdr>
    </w:div>
    <w:div w:id="685446526">
      <w:bodyDiv w:val="1"/>
      <w:marLeft w:val="0"/>
      <w:marRight w:val="0"/>
      <w:marTop w:val="0"/>
      <w:marBottom w:val="0"/>
      <w:divBdr>
        <w:top w:val="none" w:sz="0" w:space="0" w:color="auto"/>
        <w:left w:val="none" w:sz="0" w:space="0" w:color="auto"/>
        <w:bottom w:val="none" w:sz="0" w:space="0" w:color="auto"/>
        <w:right w:val="none" w:sz="0" w:space="0" w:color="auto"/>
      </w:divBdr>
    </w:div>
    <w:div w:id="685450431">
      <w:bodyDiv w:val="1"/>
      <w:marLeft w:val="0"/>
      <w:marRight w:val="0"/>
      <w:marTop w:val="0"/>
      <w:marBottom w:val="0"/>
      <w:divBdr>
        <w:top w:val="none" w:sz="0" w:space="0" w:color="auto"/>
        <w:left w:val="none" w:sz="0" w:space="0" w:color="auto"/>
        <w:bottom w:val="none" w:sz="0" w:space="0" w:color="auto"/>
        <w:right w:val="none" w:sz="0" w:space="0" w:color="auto"/>
      </w:divBdr>
    </w:div>
    <w:div w:id="685600483">
      <w:bodyDiv w:val="1"/>
      <w:marLeft w:val="0"/>
      <w:marRight w:val="0"/>
      <w:marTop w:val="0"/>
      <w:marBottom w:val="0"/>
      <w:divBdr>
        <w:top w:val="none" w:sz="0" w:space="0" w:color="auto"/>
        <w:left w:val="none" w:sz="0" w:space="0" w:color="auto"/>
        <w:bottom w:val="none" w:sz="0" w:space="0" w:color="auto"/>
        <w:right w:val="none" w:sz="0" w:space="0" w:color="auto"/>
      </w:divBdr>
    </w:div>
    <w:div w:id="685670023">
      <w:bodyDiv w:val="1"/>
      <w:marLeft w:val="0"/>
      <w:marRight w:val="0"/>
      <w:marTop w:val="0"/>
      <w:marBottom w:val="0"/>
      <w:divBdr>
        <w:top w:val="none" w:sz="0" w:space="0" w:color="auto"/>
        <w:left w:val="none" w:sz="0" w:space="0" w:color="auto"/>
        <w:bottom w:val="none" w:sz="0" w:space="0" w:color="auto"/>
        <w:right w:val="none" w:sz="0" w:space="0" w:color="auto"/>
      </w:divBdr>
    </w:div>
    <w:div w:id="685717599">
      <w:bodyDiv w:val="1"/>
      <w:marLeft w:val="0"/>
      <w:marRight w:val="0"/>
      <w:marTop w:val="0"/>
      <w:marBottom w:val="0"/>
      <w:divBdr>
        <w:top w:val="none" w:sz="0" w:space="0" w:color="auto"/>
        <w:left w:val="none" w:sz="0" w:space="0" w:color="auto"/>
        <w:bottom w:val="none" w:sz="0" w:space="0" w:color="auto"/>
        <w:right w:val="none" w:sz="0" w:space="0" w:color="auto"/>
      </w:divBdr>
    </w:div>
    <w:div w:id="685718298">
      <w:bodyDiv w:val="1"/>
      <w:marLeft w:val="0"/>
      <w:marRight w:val="0"/>
      <w:marTop w:val="0"/>
      <w:marBottom w:val="0"/>
      <w:divBdr>
        <w:top w:val="none" w:sz="0" w:space="0" w:color="auto"/>
        <w:left w:val="none" w:sz="0" w:space="0" w:color="auto"/>
        <w:bottom w:val="none" w:sz="0" w:space="0" w:color="auto"/>
        <w:right w:val="none" w:sz="0" w:space="0" w:color="auto"/>
      </w:divBdr>
    </w:div>
    <w:div w:id="685785702">
      <w:bodyDiv w:val="1"/>
      <w:marLeft w:val="0"/>
      <w:marRight w:val="0"/>
      <w:marTop w:val="0"/>
      <w:marBottom w:val="0"/>
      <w:divBdr>
        <w:top w:val="none" w:sz="0" w:space="0" w:color="auto"/>
        <w:left w:val="none" w:sz="0" w:space="0" w:color="auto"/>
        <w:bottom w:val="none" w:sz="0" w:space="0" w:color="auto"/>
        <w:right w:val="none" w:sz="0" w:space="0" w:color="auto"/>
      </w:divBdr>
    </w:div>
    <w:div w:id="685863399">
      <w:bodyDiv w:val="1"/>
      <w:marLeft w:val="0"/>
      <w:marRight w:val="0"/>
      <w:marTop w:val="0"/>
      <w:marBottom w:val="0"/>
      <w:divBdr>
        <w:top w:val="none" w:sz="0" w:space="0" w:color="auto"/>
        <w:left w:val="none" w:sz="0" w:space="0" w:color="auto"/>
        <w:bottom w:val="none" w:sz="0" w:space="0" w:color="auto"/>
        <w:right w:val="none" w:sz="0" w:space="0" w:color="auto"/>
      </w:divBdr>
    </w:div>
    <w:div w:id="685865112">
      <w:bodyDiv w:val="1"/>
      <w:marLeft w:val="0"/>
      <w:marRight w:val="0"/>
      <w:marTop w:val="0"/>
      <w:marBottom w:val="0"/>
      <w:divBdr>
        <w:top w:val="none" w:sz="0" w:space="0" w:color="auto"/>
        <w:left w:val="none" w:sz="0" w:space="0" w:color="auto"/>
        <w:bottom w:val="none" w:sz="0" w:space="0" w:color="auto"/>
        <w:right w:val="none" w:sz="0" w:space="0" w:color="auto"/>
      </w:divBdr>
    </w:div>
    <w:div w:id="685912078">
      <w:bodyDiv w:val="1"/>
      <w:marLeft w:val="0"/>
      <w:marRight w:val="0"/>
      <w:marTop w:val="0"/>
      <w:marBottom w:val="0"/>
      <w:divBdr>
        <w:top w:val="none" w:sz="0" w:space="0" w:color="auto"/>
        <w:left w:val="none" w:sz="0" w:space="0" w:color="auto"/>
        <w:bottom w:val="none" w:sz="0" w:space="0" w:color="auto"/>
        <w:right w:val="none" w:sz="0" w:space="0" w:color="auto"/>
      </w:divBdr>
    </w:div>
    <w:div w:id="686062265">
      <w:bodyDiv w:val="1"/>
      <w:marLeft w:val="0"/>
      <w:marRight w:val="0"/>
      <w:marTop w:val="0"/>
      <w:marBottom w:val="0"/>
      <w:divBdr>
        <w:top w:val="none" w:sz="0" w:space="0" w:color="auto"/>
        <w:left w:val="none" w:sz="0" w:space="0" w:color="auto"/>
        <w:bottom w:val="none" w:sz="0" w:space="0" w:color="auto"/>
        <w:right w:val="none" w:sz="0" w:space="0" w:color="auto"/>
      </w:divBdr>
    </w:div>
    <w:div w:id="686296991">
      <w:bodyDiv w:val="1"/>
      <w:marLeft w:val="0"/>
      <w:marRight w:val="0"/>
      <w:marTop w:val="0"/>
      <w:marBottom w:val="0"/>
      <w:divBdr>
        <w:top w:val="none" w:sz="0" w:space="0" w:color="auto"/>
        <w:left w:val="none" w:sz="0" w:space="0" w:color="auto"/>
        <w:bottom w:val="none" w:sz="0" w:space="0" w:color="auto"/>
        <w:right w:val="none" w:sz="0" w:space="0" w:color="auto"/>
      </w:divBdr>
    </w:div>
    <w:div w:id="686366825">
      <w:bodyDiv w:val="1"/>
      <w:marLeft w:val="0"/>
      <w:marRight w:val="0"/>
      <w:marTop w:val="0"/>
      <w:marBottom w:val="0"/>
      <w:divBdr>
        <w:top w:val="none" w:sz="0" w:space="0" w:color="auto"/>
        <w:left w:val="none" w:sz="0" w:space="0" w:color="auto"/>
        <w:bottom w:val="none" w:sz="0" w:space="0" w:color="auto"/>
        <w:right w:val="none" w:sz="0" w:space="0" w:color="auto"/>
      </w:divBdr>
    </w:div>
    <w:div w:id="686441373">
      <w:bodyDiv w:val="1"/>
      <w:marLeft w:val="0"/>
      <w:marRight w:val="0"/>
      <w:marTop w:val="0"/>
      <w:marBottom w:val="0"/>
      <w:divBdr>
        <w:top w:val="none" w:sz="0" w:space="0" w:color="auto"/>
        <w:left w:val="none" w:sz="0" w:space="0" w:color="auto"/>
        <w:bottom w:val="none" w:sz="0" w:space="0" w:color="auto"/>
        <w:right w:val="none" w:sz="0" w:space="0" w:color="auto"/>
      </w:divBdr>
    </w:div>
    <w:div w:id="686446409">
      <w:bodyDiv w:val="1"/>
      <w:marLeft w:val="0"/>
      <w:marRight w:val="0"/>
      <w:marTop w:val="0"/>
      <w:marBottom w:val="0"/>
      <w:divBdr>
        <w:top w:val="none" w:sz="0" w:space="0" w:color="auto"/>
        <w:left w:val="none" w:sz="0" w:space="0" w:color="auto"/>
        <w:bottom w:val="none" w:sz="0" w:space="0" w:color="auto"/>
        <w:right w:val="none" w:sz="0" w:space="0" w:color="auto"/>
      </w:divBdr>
    </w:div>
    <w:div w:id="686828993">
      <w:bodyDiv w:val="1"/>
      <w:marLeft w:val="0"/>
      <w:marRight w:val="0"/>
      <w:marTop w:val="0"/>
      <w:marBottom w:val="0"/>
      <w:divBdr>
        <w:top w:val="none" w:sz="0" w:space="0" w:color="auto"/>
        <w:left w:val="none" w:sz="0" w:space="0" w:color="auto"/>
        <w:bottom w:val="none" w:sz="0" w:space="0" w:color="auto"/>
        <w:right w:val="none" w:sz="0" w:space="0" w:color="auto"/>
      </w:divBdr>
    </w:div>
    <w:div w:id="686836581">
      <w:bodyDiv w:val="1"/>
      <w:marLeft w:val="0"/>
      <w:marRight w:val="0"/>
      <w:marTop w:val="0"/>
      <w:marBottom w:val="0"/>
      <w:divBdr>
        <w:top w:val="none" w:sz="0" w:space="0" w:color="auto"/>
        <w:left w:val="none" w:sz="0" w:space="0" w:color="auto"/>
        <w:bottom w:val="none" w:sz="0" w:space="0" w:color="auto"/>
        <w:right w:val="none" w:sz="0" w:space="0" w:color="auto"/>
      </w:divBdr>
    </w:div>
    <w:div w:id="687215817">
      <w:bodyDiv w:val="1"/>
      <w:marLeft w:val="0"/>
      <w:marRight w:val="0"/>
      <w:marTop w:val="0"/>
      <w:marBottom w:val="0"/>
      <w:divBdr>
        <w:top w:val="none" w:sz="0" w:space="0" w:color="auto"/>
        <w:left w:val="none" w:sz="0" w:space="0" w:color="auto"/>
        <w:bottom w:val="none" w:sz="0" w:space="0" w:color="auto"/>
        <w:right w:val="none" w:sz="0" w:space="0" w:color="auto"/>
      </w:divBdr>
    </w:div>
    <w:div w:id="687291167">
      <w:bodyDiv w:val="1"/>
      <w:marLeft w:val="0"/>
      <w:marRight w:val="0"/>
      <w:marTop w:val="0"/>
      <w:marBottom w:val="0"/>
      <w:divBdr>
        <w:top w:val="none" w:sz="0" w:space="0" w:color="auto"/>
        <w:left w:val="none" w:sz="0" w:space="0" w:color="auto"/>
        <w:bottom w:val="none" w:sz="0" w:space="0" w:color="auto"/>
        <w:right w:val="none" w:sz="0" w:space="0" w:color="auto"/>
      </w:divBdr>
    </w:div>
    <w:div w:id="687411749">
      <w:bodyDiv w:val="1"/>
      <w:marLeft w:val="0"/>
      <w:marRight w:val="0"/>
      <w:marTop w:val="0"/>
      <w:marBottom w:val="0"/>
      <w:divBdr>
        <w:top w:val="none" w:sz="0" w:space="0" w:color="auto"/>
        <w:left w:val="none" w:sz="0" w:space="0" w:color="auto"/>
        <w:bottom w:val="none" w:sz="0" w:space="0" w:color="auto"/>
        <w:right w:val="none" w:sz="0" w:space="0" w:color="auto"/>
      </w:divBdr>
    </w:div>
    <w:div w:id="687482764">
      <w:bodyDiv w:val="1"/>
      <w:marLeft w:val="0"/>
      <w:marRight w:val="0"/>
      <w:marTop w:val="0"/>
      <w:marBottom w:val="0"/>
      <w:divBdr>
        <w:top w:val="none" w:sz="0" w:space="0" w:color="auto"/>
        <w:left w:val="none" w:sz="0" w:space="0" w:color="auto"/>
        <w:bottom w:val="none" w:sz="0" w:space="0" w:color="auto"/>
        <w:right w:val="none" w:sz="0" w:space="0" w:color="auto"/>
      </w:divBdr>
    </w:div>
    <w:div w:id="687560384">
      <w:bodyDiv w:val="1"/>
      <w:marLeft w:val="0"/>
      <w:marRight w:val="0"/>
      <w:marTop w:val="0"/>
      <w:marBottom w:val="0"/>
      <w:divBdr>
        <w:top w:val="none" w:sz="0" w:space="0" w:color="auto"/>
        <w:left w:val="none" w:sz="0" w:space="0" w:color="auto"/>
        <w:bottom w:val="none" w:sz="0" w:space="0" w:color="auto"/>
        <w:right w:val="none" w:sz="0" w:space="0" w:color="auto"/>
      </w:divBdr>
    </w:div>
    <w:div w:id="687679039">
      <w:bodyDiv w:val="1"/>
      <w:marLeft w:val="0"/>
      <w:marRight w:val="0"/>
      <w:marTop w:val="0"/>
      <w:marBottom w:val="0"/>
      <w:divBdr>
        <w:top w:val="none" w:sz="0" w:space="0" w:color="auto"/>
        <w:left w:val="none" w:sz="0" w:space="0" w:color="auto"/>
        <w:bottom w:val="none" w:sz="0" w:space="0" w:color="auto"/>
        <w:right w:val="none" w:sz="0" w:space="0" w:color="auto"/>
      </w:divBdr>
    </w:div>
    <w:div w:id="687682352">
      <w:bodyDiv w:val="1"/>
      <w:marLeft w:val="0"/>
      <w:marRight w:val="0"/>
      <w:marTop w:val="0"/>
      <w:marBottom w:val="0"/>
      <w:divBdr>
        <w:top w:val="none" w:sz="0" w:space="0" w:color="auto"/>
        <w:left w:val="none" w:sz="0" w:space="0" w:color="auto"/>
        <w:bottom w:val="none" w:sz="0" w:space="0" w:color="auto"/>
        <w:right w:val="none" w:sz="0" w:space="0" w:color="auto"/>
      </w:divBdr>
    </w:div>
    <w:div w:id="688027754">
      <w:bodyDiv w:val="1"/>
      <w:marLeft w:val="0"/>
      <w:marRight w:val="0"/>
      <w:marTop w:val="0"/>
      <w:marBottom w:val="0"/>
      <w:divBdr>
        <w:top w:val="none" w:sz="0" w:space="0" w:color="auto"/>
        <w:left w:val="none" w:sz="0" w:space="0" w:color="auto"/>
        <w:bottom w:val="none" w:sz="0" w:space="0" w:color="auto"/>
        <w:right w:val="none" w:sz="0" w:space="0" w:color="auto"/>
      </w:divBdr>
    </w:div>
    <w:div w:id="688067357">
      <w:bodyDiv w:val="1"/>
      <w:marLeft w:val="0"/>
      <w:marRight w:val="0"/>
      <w:marTop w:val="0"/>
      <w:marBottom w:val="0"/>
      <w:divBdr>
        <w:top w:val="none" w:sz="0" w:space="0" w:color="auto"/>
        <w:left w:val="none" w:sz="0" w:space="0" w:color="auto"/>
        <w:bottom w:val="none" w:sz="0" w:space="0" w:color="auto"/>
        <w:right w:val="none" w:sz="0" w:space="0" w:color="auto"/>
      </w:divBdr>
    </w:div>
    <w:div w:id="688145914">
      <w:bodyDiv w:val="1"/>
      <w:marLeft w:val="0"/>
      <w:marRight w:val="0"/>
      <w:marTop w:val="0"/>
      <w:marBottom w:val="0"/>
      <w:divBdr>
        <w:top w:val="none" w:sz="0" w:space="0" w:color="auto"/>
        <w:left w:val="none" w:sz="0" w:space="0" w:color="auto"/>
        <w:bottom w:val="none" w:sz="0" w:space="0" w:color="auto"/>
        <w:right w:val="none" w:sz="0" w:space="0" w:color="auto"/>
      </w:divBdr>
    </w:div>
    <w:div w:id="688262860">
      <w:bodyDiv w:val="1"/>
      <w:marLeft w:val="0"/>
      <w:marRight w:val="0"/>
      <w:marTop w:val="0"/>
      <w:marBottom w:val="0"/>
      <w:divBdr>
        <w:top w:val="none" w:sz="0" w:space="0" w:color="auto"/>
        <w:left w:val="none" w:sz="0" w:space="0" w:color="auto"/>
        <w:bottom w:val="none" w:sz="0" w:space="0" w:color="auto"/>
        <w:right w:val="none" w:sz="0" w:space="0" w:color="auto"/>
      </w:divBdr>
    </w:div>
    <w:div w:id="688288738">
      <w:bodyDiv w:val="1"/>
      <w:marLeft w:val="0"/>
      <w:marRight w:val="0"/>
      <w:marTop w:val="0"/>
      <w:marBottom w:val="0"/>
      <w:divBdr>
        <w:top w:val="none" w:sz="0" w:space="0" w:color="auto"/>
        <w:left w:val="none" w:sz="0" w:space="0" w:color="auto"/>
        <w:bottom w:val="none" w:sz="0" w:space="0" w:color="auto"/>
        <w:right w:val="none" w:sz="0" w:space="0" w:color="auto"/>
      </w:divBdr>
    </w:div>
    <w:div w:id="688337744">
      <w:bodyDiv w:val="1"/>
      <w:marLeft w:val="0"/>
      <w:marRight w:val="0"/>
      <w:marTop w:val="0"/>
      <w:marBottom w:val="0"/>
      <w:divBdr>
        <w:top w:val="none" w:sz="0" w:space="0" w:color="auto"/>
        <w:left w:val="none" w:sz="0" w:space="0" w:color="auto"/>
        <w:bottom w:val="none" w:sz="0" w:space="0" w:color="auto"/>
        <w:right w:val="none" w:sz="0" w:space="0" w:color="auto"/>
      </w:divBdr>
    </w:div>
    <w:div w:id="688487024">
      <w:bodyDiv w:val="1"/>
      <w:marLeft w:val="0"/>
      <w:marRight w:val="0"/>
      <w:marTop w:val="0"/>
      <w:marBottom w:val="0"/>
      <w:divBdr>
        <w:top w:val="none" w:sz="0" w:space="0" w:color="auto"/>
        <w:left w:val="none" w:sz="0" w:space="0" w:color="auto"/>
        <w:bottom w:val="none" w:sz="0" w:space="0" w:color="auto"/>
        <w:right w:val="none" w:sz="0" w:space="0" w:color="auto"/>
      </w:divBdr>
    </w:div>
    <w:div w:id="688677736">
      <w:bodyDiv w:val="1"/>
      <w:marLeft w:val="0"/>
      <w:marRight w:val="0"/>
      <w:marTop w:val="0"/>
      <w:marBottom w:val="0"/>
      <w:divBdr>
        <w:top w:val="none" w:sz="0" w:space="0" w:color="auto"/>
        <w:left w:val="none" w:sz="0" w:space="0" w:color="auto"/>
        <w:bottom w:val="none" w:sz="0" w:space="0" w:color="auto"/>
        <w:right w:val="none" w:sz="0" w:space="0" w:color="auto"/>
      </w:divBdr>
    </w:div>
    <w:div w:id="688683436">
      <w:bodyDiv w:val="1"/>
      <w:marLeft w:val="0"/>
      <w:marRight w:val="0"/>
      <w:marTop w:val="0"/>
      <w:marBottom w:val="0"/>
      <w:divBdr>
        <w:top w:val="none" w:sz="0" w:space="0" w:color="auto"/>
        <w:left w:val="none" w:sz="0" w:space="0" w:color="auto"/>
        <w:bottom w:val="none" w:sz="0" w:space="0" w:color="auto"/>
        <w:right w:val="none" w:sz="0" w:space="0" w:color="auto"/>
      </w:divBdr>
    </w:div>
    <w:div w:id="688718568">
      <w:bodyDiv w:val="1"/>
      <w:marLeft w:val="0"/>
      <w:marRight w:val="0"/>
      <w:marTop w:val="0"/>
      <w:marBottom w:val="0"/>
      <w:divBdr>
        <w:top w:val="none" w:sz="0" w:space="0" w:color="auto"/>
        <w:left w:val="none" w:sz="0" w:space="0" w:color="auto"/>
        <w:bottom w:val="none" w:sz="0" w:space="0" w:color="auto"/>
        <w:right w:val="none" w:sz="0" w:space="0" w:color="auto"/>
      </w:divBdr>
    </w:div>
    <w:div w:id="688794583">
      <w:bodyDiv w:val="1"/>
      <w:marLeft w:val="0"/>
      <w:marRight w:val="0"/>
      <w:marTop w:val="0"/>
      <w:marBottom w:val="0"/>
      <w:divBdr>
        <w:top w:val="none" w:sz="0" w:space="0" w:color="auto"/>
        <w:left w:val="none" w:sz="0" w:space="0" w:color="auto"/>
        <w:bottom w:val="none" w:sz="0" w:space="0" w:color="auto"/>
        <w:right w:val="none" w:sz="0" w:space="0" w:color="auto"/>
      </w:divBdr>
    </w:div>
    <w:div w:id="688874925">
      <w:bodyDiv w:val="1"/>
      <w:marLeft w:val="0"/>
      <w:marRight w:val="0"/>
      <w:marTop w:val="0"/>
      <w:marBottom w:val="0"/>
      <w:divBdr>
        <w:top w:val="none" w:sz="0" w:space="0" w:color="auto"/>
        <w:left w:val="none" w:sz="0" w:space="0" w:color="auto"/>
        <w:bottom w:val="none" w:sz="0" w:space="0" w:color="auto"/>
        <w:right w:val="none" w:sz="0" w:space="0" w:color="auto"/>
      </w:divBdr>
    </w:div>
    <w:div w:id="688878000">
      <w:bodyDiv w:val="1"/>
      <w:marLeft w:val="0"/>
      <w:marRight w:val="0"/>
      <w:marTop w:val="0"/>
      <w:marBottom w:val="0"/>
      <w:divBdr>
        <w:top w:val="none" w:sz="0" w:space="0" w:color="auto"/>
        <w:left w:val="none" w:sz="0" w:space="0" w:color="auto"/>
        <w:bottom w:val="none" w:sz="0" w:space="0" w:color="auto"/>
        <w:right w:val="none" w:sz="0" w:space="0" w:color="auto"/>
      </w:divBdr>
    </w:div>
    <w:div w:id="688914483">
      <w:bodyDiv w:val="1"/>
      <w:marLeft w:val="0"/>
      <w:marRight w:val="0"/>
      <w:marTop w:val="0"/>
      <w:marBottom w:val="0"/>
      <w:divBdr>
        <w:top w:val="none" w:sz="0" w:space="0" w:color="auto"/>
        <w:left w:val="none" w:sz="0" w:space="0" w:color="auto"/>
        <w:bottom w:val="none" w:sz="0" w:space="0" w:color="auto"/>
        <w:right w:val="none" w:sz="0" w:space="0" w:color="auto"/>
      </w:divBdr>
    </w:div>
    <w:div w:id="688920221">
      <w:bodyDiv w:val="1"/>
      <w:marLeft w:val="0"/>
      <w:marRight w:val="0"/>
      <w:marTop w:val="0"/>
      <w:marBottom w:val="0"/>
      <w:divBdr>
        <w:top w:val="none" w:sz="0" w:space="0" w:color="auto"/>
        <w:left w:val="none" w:sz="0" w:space="0" w:color="auto"/>
        <w:bottom w:val="none" w:sz="0" w:space="0" w:color="auto"/>
        <w:right w:val="none" w:sz="0" w:space="0" w:color="auto"/>
      </w:divBdr>
    </w:div>
    <w:div w:id="688990105">
      <w:bodyDiv w:val="1"/>
      <w:marLeft w:val="0"/>
      <w:marRight w:val="0"/>
      <w:marTop w:val="0"/>
      <w:marBottom w:val="0"/>
      <w:divBdr>
        <w:top w:val="none" w:sz="0" w:space="0" w:color="auto"/>
        <w:left w:val="none" w:sz="0" w:space="0" w:color="auto"/>
        <w:bottom w:val="none" w:sz="0" w:space="0" w:color="auto"/>
        <w:right w:val="none" w:sz="0" w:space="0" w:color="auto"/>
      </w:divBdr>
    </w:div>
    <w:div w:id="688992273">
      <w:bodyDiv w:val="1"/>
      <w:marLeft w:val="0"/>
      <w:marRight w:val="0"/>
      <w:marTop w:val="0"/>
      <w:marBottom w:val="0"/>
      <w:divBdr>
        <w:top w:val="none" w:sz="0" w:space="0" w:color="auto"/>
        <w:left w:val="none" w:sz="0" w:space="0" w:color="auto"/>
        <w:bottom w:val="none" w:sz="0" w:space="0" w:color="auto"/>
        <w:right w:val="none" w:sz="0" w:space="0" w:color="auto"/>
      </w:divBdr>
    </w:div>
    <w:div w:id="689067691">
      <w:bodyDiv w:val="1"/>
      <w:marLeft w:val="0"/>
      <w:marRight w:val="0"/>
      <w:marTop w:val="0"/>
      <w:marBottom w:val="0"/>
      <w:divBdr>
        <w:top w:val="none" w:sz="0" w:space="0" w:color="auto"/>
        <w:left w:val="none" w:sz="0" w:space="0" w:color="auto"/>
        <w:bottom w:val="none" w:sz="0" w:space="0" w:color="auto"/>
        <w:right w:val="none" w:sz="0" w:space="0" w:color="auto"/>
      </w:divBdr>
    </w:div>
    <w:div w:id="689069467">
      <w:bodyDiv w:val="1"/>
      <w:marLeft w:val="0"/>
      <w:marRight w:val="0"/>
      <w:marTop w:val="0"/>
      <w:marBottom w:val="0"/>
      <w:divBdr>
        <w:top w:val="none" w:sz="0" w:space="0" w:color="auto"/>
        <w:left w:val="none" w:sz="0" w:space="0" w:color="auto"/>
        <w:bottom w:val="none" w:sz="0" w:space="0" w:color="auto"/>
        <w:right w:val="none" w:sz="0" w:space="0" w:color="auto"/>
      </w:divBdr>
    </w:div>
    <w:div w:id="689111544">
      <w:bodyDiv w:val="1"/>
      <w:marLeft w:val="0"/>
      <w:marRight w:val="0"/>
      <w:marTop w:val="0"/>
      <w:marBottom w:val="0"/>
      <w:divBdr>
        <w:top w:val="none" w:sz="0" w:space="0" w:color="auto"/>
        <w:left w:val="none" w:sz="0" w:space="0" w:color="auto"/>
        <w:bottom w:val="none" w:sz="0" w:space="0" w:color="auto"/>
        <w:right w:val="none" w:sz="0" w:space="0" w:color="auto"/>
      </w:divBdr>
    </w:div>
    <w:div w:id="689112894">
      <w:bodyDiv w:val="1"/>
      <w:marLeft w:val="0"/>
      <w:marRight w:val="0"/>
      <w:marTop w:val="0"/>
      <w:marBottom w:val="0"/>
      <w:divBdr>
        <w:top w:val="none" w:sz="0" w:space="0" w:color="auto"/>
        <w:left w:val="none" w:sz="0" w:space="0" w:color="auto"/>
        <w:bottom w:val="none" w:sz="0" w:space="0" w:color="auto"/>
        <w:right w:val="none" w:sz="0" w:space="0" w:color="auto"/>
      </w:divBdr>
    </w:div>
    <w:div w:id="689334216">
      <w:bodyDiv w:val="1"/>
      <w:marLeft w:val="0"/>
      <w:marRight w:val="0"/>
      <w:marTop w:val="0"/>
      <w:marBottom w:val="0"/>
      <w:divBdr>
        <w:top w:val="none" w:sz="0" w:space="0" w:color="auto"/>
        <w:left w:val="none" w:sz="0" w:space="0" w:color="auto"/>
        <w:bottom w:val="none" w:sz="0" w:space="0" w:color="auto"/>
        <w:right w:val="none" w:sz="0" w:space="0" w:color="auto"/>
      </w:divBdr>
    </w:div>
    <w:div w:id="689450238">
      <w:bodyDiv w:val="1"/>
      <w:marLeft w:val="0"/>
      <w:marRight w:val="0"/>
      <w:marTop w:val="0"/>
      <w:marBottom w:val="0"/>
      <w:divBdr>
        <w:top w:val="none" w:sz="0" w:space="0" w:color="auto"/>
        <w:left w:val="none" w:sz="0" w:space="0" w:color="auto"/>
        <w:bottom w:val="none" w:sz="0" w:space="0" w:color="auto"/>
        <w:right w:val="none" w:sz="0" w:space="0" w:color="auto"/>
      </w:divBdr>
    </w:div>
    <w:div w:id="689601496">
      <w:bodyDiv w:val="1"/>
      <w:marLeft w:val="0"/>
      <w:marRight w:val="0"/>
      <w:marTop w:val="0"/>
      <w:marBottom w:val="0"/>
      <w:divBdr>
        <w:top w:val="none" w:sz="0" w:space="0" w:color="auto"/>
        <w:left w:val="none" w:sz="0" w:space="0" w:color="auto"/>
        <w:bottom w:val="none" w:sz="0" w:space="0" w:color="auto"/>
        <w:right w:val="none" w:sz="0" w:space="0" w:color="auto"/>
      </w:divBdr>
    </w:div>
    <w:div w:id="689642917">
      <w:bodyDiv w:val="1"/>
      <w:marLeft w:val="0"/>
      <w:marRight w:val="0"/>
      <w:marTop w:val="0"/>
      <w:marBottom w:val="0"/>
      <w:divBdr>
        <w:top w:val="none" w:sz="0" w:space="0" w:color="auto"/>
        <w:left w:val="none" w:sz="0" w:space="0" w:color="auto"/>
        <w:bottom w:val="none" w:sz="0" w:space="0" w:color="auto"/>
        <w:right w:val="none" w:sz="0" w:space="0" w:color="auto"/>
      </w:divBdr>
    </w:div>
    <w:div w:id="689644788">
      <w:bodyDiv w:val="1"/>
      <w:marLeft w:val="0"/>
      <w:marRight w:val="0"/>
      <w:marTop w:val="0"/>
      <w:marBottom w:val="0"/>
      <w:divBdr>
        <w:top w:val="none" w:sz="0" w:space="0" w:color="auto"/>
        <w:left w:val="none" w:sz="0" w:space="0" w:color="auto"/>
        <w:bottom w:val="none" w:sz="0" w:space="0" w:color="auto"/>
        <w:right w:val="none" w:sz="0" w:space="0" w:color="auto"/>
      </w:divBdr>
    </w:div>
    <w:div w:id="689649205">
      <w:bodyDiv w:val="1"/>
      <w:marLeft w:val="0"/>
      <w:marRight w:val="0"/>
      <w:marTop w:val="0"/>
      <w:marBottom w:val="0"/>
      <w:divBdr>
        <w:top w:val="none" w:sz="0" w:space="0" w:color="auto"/>
        <w:left w:val="none" w:sz="0" w:space="0" w:color="auto"/>
        <w:bottom w:val="none" w:sz="0" w:space="0" w:color="auto"/>
        <w:right w:val="none" w:sz="0" w:space="0" w:color="auto"/>
      </w:divBdr>
    </w:div>
    <w:div w:id="689649217">
      <w:bodyDiv w:val="1"/>
      <w:marLeft w:val="0"/>
      <w:marRight w:val="0"/>
      <w:marTop w:val="0"/>
      <w:marBottom w:val="0"/>
      <w:divBdr>
        <w:top w:val="none" w:sz="0" w:space="0" w:color="auto"/>
        <w:left w:val="none" w:sz="0" w:space="0" w:color="auto"/>
        <w:bottom w:val="none" w:sz="0" w:space="0" w:color="auto"/>
        <w:right w:val="none" w:sz="0" w:space="0" w:color="auto"/>
      </w:divBdr>
    </w:div>
    <w:div w:id="689796924">
      <w:bodyDiv w:val="1"/>
      <w:marLeft w:val="0"/>
      <w:marRight w:val="0"/>
      <w:marTop w:val="0"/>
      <w:marBottom w:val="0"/>
      <w:divBdr>
        <w:top w:val="none" w:sz="0" w:space="0" w:color="auto"/>
        <w:left w:val="none" w:sz="0" w:space="0" w:color="auto"/>
        <w:bottom w:val="none" w:sz="0" w:space="0" w:color="auto"/>
        <w:right w:val="none" w:sz="0" w:space="0" w:color="auto"/>
      </w:divBdr>
    </w:div>
    <w:div w:id="689844472">
      <w:bodyDiv w:val="1"/>
      <w:marLeft w:val="0"/>
      <w:marRight w:val="0"/>
      <w:marTop w:val="0"/>
      <w:marBottom w:val="0"/>
      <w:divBdr>
        <w:top w:val="none" w:sz="0" w:space="0" w:color="auto"/>
        <w:left w:val="none" w:sz="0" w:space="0" w:color="auto"/>
        <w:bottom w:val="none" w:sz="0" w:space="0" w:color="auto"/>
        <w:right w:val="none" w:sz="0" w:space="0" w:color="auto"/>
      </w:divBdr>
    </w:div>
    <w:div w:id="689989786">
      <w:bodyDiv w:val="1"/>
      <w:marLeft w:val="0"/>
      <w:marRight w:val="0"/>
      <w:marTop w:val="0"/>
      <w:marBottom w:val="0"/>
      <w:divBdr>
        <w:top w:val="none" w:sz="0" w:space="0" w:color="auto"/>
        <w:left w:val="none" w:sz="0" w:space="0" w:color="auto"/>
        <w:bottom w:val="none" w:sz="0" w:space="0" w:color="auto"/>
        <w:right w:val="none" w:sz="0" w:space="0" w:color="auto"/>
      </w:divBdr>
    </w:div>
    <w:div w:id="689990743">
      <w:bodyDiv w:val="1"/>
      <w:marLeft w:val="0"/>
      <w:marRight w:val="0"/>
      <w:marTop w:val="0"/>
      <w:marBottom w:val="0"/>
      <w:divBdr>
        <w:top w:val="none" w:sz="0" w:space="0" w:color="auto"/>
        <w:left w:val="none" w:sz="0" w:space="0" w:color="auto"/>
        <w:bottom w:val="none" w:sz="0" w:space="0" w:color="auto"/>
        <w:right w:val="none" w:sz="0" w:space="0" w:color="auto"/>
      </w:divBdr>
    </w:div>
    <w:div w:id="690037854">
      <w:bodyDiv w:val="1"/>
      <w:marLeft w:val="0"/>
      <w:marRight w:val="0"/>
      <w:marTop w:val="0"/>
      <w:marBottom w:val="0"/>
      <w:divBdr>
        <w:top w:val="none" w:sz="0" w:space="0" w:color="auto"/>
        <w:left w:val="none" w:sz="0" w:space="0" w:color="auto"/>
        <w:bottom w:val="none" w:sz="0" w:space="0" w:color="auto"/>
        <w:right w:val="none" w:sz="0" w:space="0" w:color="auto"/>
      </w:divBdr>
    </w:div>
    <w:div w:id="690299230">
      <w:bodyDiv w:val="1"/>
      <w:marLeft w:val="0"/>
      <w:marRight w:val="0"/>
      <w:marTop w:val="0"/>
      <w:marBottom w:val="0"/>
      <w:divBdr>
        <w:top w:val="none" w:sz="0" w:space="0" w:color="auto"/>
        <w:left w:val="none" w:sz="0" w:space="0" w:color="auto"/>
        <w:bottom w:val="none" w:sz="0" w:space="0" w:color="auto"/>
        <w:right w:val="none" w:sz="0" w:space="0" w:color="auto"/>
      </w:divBdr>
    </w:div>
    <w:div w:id="690380657">
      <w:bodyDiv w:val="1"/>
      <w:marLeft w:val="0"/>
      <w:marRight w:val="0"/>
      <w:marTop w:val="0"/>
      <w:marBottom w:val="0"/>
      <w:divBdr>
        <w:top w:val="none" w:sz="0" w:space="0" w:color="auto"/>
        <w:left w:val="none" w:sz="0" w:space="0" w:color="auto"/>
        <w:bottom w:val="none" w:sz="0" w:space="0" w:color="auto"/>
        <w:right w:val="none" w:sz="0" w:space="0" w:color="auto"/>
      </w:divBdr>
    </w:div>
    <w:div w:id="690453451">
      <w:bodyDiv w:val="1"/>
      <w:marLeft w:val="0"/>
      <w:marRight w:val="0"/>
      <w:marTop w:val="0"/>
      <w:marBottom w:val="0"/>
      <w:divBdr>
        <w:top w:val="none" w:sz="0" w:space="0" w:color="auto"/>
        <w:left w:val="none" w:sz="0" w:space="0" w:color="auto"/>
        <w:bottom w:val="none" w:sz="0" w:space="0" w:color="auto"/>
        <w:right w:val="none" w:sz="0" w:space="0" w:color="auto"/>
      </w:divBdr>
    </w:div>
    <w:div w:id="690571305">
      <w:bodyDiv w:val="1"/>
      <w:marLeft w:val="0"/>
      <w:marRight w:val="0"/>
      <w:marTop w:val="0"/>
      <w:marBottom w:val="0"/>
      <w:divBdr>
        <w:top w:val="none" w:sz="0" w:space="0" w:color="auto"/>
        <w:left w:val="none" w:sz="0" w:space="0" w:color="auto"/>
        <w:bottom w:val="none" w:sz="0" w:space="0" w:color="auto"/>
        <w:right w:val="none" w:sz="0" w:space="0" w:color="auto"/>
      </w:divBdr>
    </w:div>
    <w:div w:id="690689126">
      <w:bodyDiv w:val="1"/>
      <w:marLeft w:val="0"/>
      <w:marRight w:val="0"/>
      <w:marTop w:val="0"/>
      <w:marBottom w:val="0"/>
      <w:divBdr>
        <w:top w:val="none" w:sz="0" w:space="0" w:color="auto"/>
        <w:left w:val="none" w:sz="0" w:space="0" w:color="auto"/>
        <w:bottom w:val="none" w:sz="0" w:space="0" w:color="auto"/>
        <w:right w:val="none" w:sz="0" w:space="0" w:color="auto"/>
      </w:divBdr>
    </w:div>
    <w:div w:id="690835882">
      <w:bodyDiv w:val="1"/>
      <w:marLeft w:val="0"/>
      <w:marRight w:val="0"/>
      <w:marTop w:val="0"/>
      <w:marBottom w:val="0"/>
      <w:divBdr>
        <w:top w:val="none" w:sz="0" w:space="0" w:color="auto"/>
        <w:left w:val="none" w:sz="0" w:space="0" w:color="auto"/>
        <w:bottom w:val="none" w:sz="0" w:space="0" w:color="auto"/>
        <w:right w:val="none" w:sz="0" w:space="0" w:color="auto"/>
      </w:divBdr>
    </w:div>
    <w:div w:id="691105399">
      <w:bodyDiv w:val="1"/>
      <w:marLeft w:val="0"/>
      <w:marRight w:val="0"/>
      <w:marTop w:val="0"/>
      <w:marBottom w:val="0"/>
      <w:divBdr>
        <w:top w:val="none" w:sz="0" w:space="0" w:color="auto"/>
        <w:left w:val="none" w:sz="0" w:space="0" w:color="auto"/>
        <w:bottom w:val="none" w:sz="0" w:space="0" w:color="auto"/>
        <w:right w:val="none" w:sz="0" w:space="0" w:color="auto"/>
      </w:divBdr>
    </w:div>
    <w:div w:id="691151030">
      <w:bodyDiv w:val="1"/>
      <w:marLeft w:val="0"/>
      <w:marRight w:val="0"/>
      <w:marTop w:val="0"/>
      <w:marBottom w:val="0"/>
      <w:divBdr>
        <w:top w:val="none" w:sz="0" w:space="0" w:color="auto"/>
        <w:left w:val="none" w:sz="0" w:space="0" w:color="auto"/>
        <w:bottom w:val="none" w:sz="0" w:space="0" w:color="auto"/>
        <w:right w:val="none" w:sz="0" w:space="0" w:color="auto"/>
      </w:divBdr>
    </w:div>
    <w:div w:id="691299205">
      <w:bodyDiv w:val="1"/>
      <w:marLeft w:val="0"/>
      <w:marRight w:val="0"/>
      <w:marTop w:val="0"/>
      <w:marBottom w:val="0"/>
      <w:divBdr>
        <w:top w:val="none" w:sz="0" w:space="0" w:color="auto"/>
        <w:left w:val="none" w:sz="0" w:space="0" w:color="auto"/>
        <w:bottom w:val="none" w:sz="0" w:space="0" w:color="auto"/>
        <w:right w:val="none" w:sz="0" w:space="0" w:color="auto"/>
      </w:divBdr>
    </w:div>
    <w:div w:id="691299989">
      <w:bodyDiv w:val="1"/>
      <w:marLeft w:val="0"/>
      <w:marRight w:val="0"/>
      <w:marTop w:val="0"/>
      <w:marBottom w:val="0"/>
      <w:divBdr>
        <w:top w:val="none" w:sz="0" w:space="0" w:color="auto"/>
        <w:left w:val="none" w:sz="0" w:space="0" w:color="auto"/>
        <w:bottom w:val="none" w:sz="0" w:space="0" w:color="auto"/>
        <w:right w:val="none" w:sz="0" w:space="0" w:color="auto"/>
      </w:divBdr>
    </w:div>
    <w:div w:id="691339444">
      <w:bodyDiv w:val="1"/>
      <w:marLeft w:val="0"/>
      <w:marRight w:val="0"/>
      <w:marTop w:val="0"/>
      <w:marBottom w:val="0"/>
      <w:divBdr>
        <w:top w:val="none" w:sz="0" w:space="0" w:color="auto"/>
        <w:left w:val="none" w:sz="0" w:space="0" w:color="auto"/>
        <w:bottom w:val="none" w:sz="0" w:space="0" w:color="auto"/>
        <w:right w:val="none" w:sz="0" w:space="0" w:color="auto"/>
      </w:divBdr>
    </w:div>
    <w:div w:id="691567365">
      <w:bodyDiv w:val="1"/>
      <w:marLeft w:val="0"/>
      <w:marRight w:val="0"/>
      <w:marTop w:val="0"/>
      <w:marBottom w:val="0"/>
      <w:divBdr>
        <w:top w:val="none" w:sz="0" w:space="0" w:color="auto"/>
        <w:left w:val="none" w:sz="0" w:space="0" w:color="auto"/>
        <w:bottom w:val="none" w:sz="0" w:space="0" w:color="auto"/>
        <w:right w:val="none" w:sz="0" w:space="0" w:color="auto"/>
      </w:divBdr>
    </w:div>
    <w:div w:id="691615352">
      <w:bodyDiv w:val="1"/>
      <w:marLeft w:val="0"/>
      <w:marRight w:val="0"/>
      <w:marTop w:val="0"/>
      <w:marBottom w:val="0"/>
      <w:divBdr>
        <w:top w:val="none" w:sz="0" w:space="0" w:color="auto"/>
        <w:left w:val="none" w:sz="0" w:space="0" w:color="auto"/>
        <w:bottom w:val="none" w:sz="0" w:space="0" w:color="auto"/>
        <w:right w:val="none" w:sz="0" w:space="0" w:color="auto"/>
      </w:divBdr>
    </w:div>
    <w:div w:id="691616884">
      <w:bodyDiv w:val="1"/>
      <w:marLeft w:val="0"/>
      <w:marRight w:val="0"/>
      <w:marTop w:val="0"/>
      <w:marBottom w:val="0"/>
      <w:divBdr>
        <w:top w:val="none" w:sz="0" w:space="0" w:color="auto"/>
        <w:left w:val="none" w:sz="0" w:space="0" w:color="auto"/>
        <w:bottom w:val="none" w:sz="0" w:space="0" w:color="auto"/>
        <w:right w:val="none" w:sz="0" w:space="0" w:color="auto"/>
      </w:divBdr>
    </w:div>
    <w:div w:id="691996418">
      <w:bodyDiv w:val="1"/>
      <w:marLeft w:val="0"/>
      <w:marRight w:val="0"/>
      <w:marTop w:val="0"/>
      <w:marBottom w:val="0"/>
      <w:divBdr>
        <w:top w:val="none" w:sz="0" w:space="0" w:color="auto"/>
        <w:left w:val="none" w:sz="0" w:space="0" w:color="auto"/>
        <w:bottom w:val="none" w:sz="0" w:space="0" w:color="auto"/>
        <w:right w:val="none" w:sz="0" w:space="0" w:color="auto"/>
      </w:divBdr>
    </w:div>
    <w:div w:id="691996436">
      <w:bodyDiv w:val="1"/>
      <w:marLeft w:val="0"/>
      <w:marRight w:val="0"/>
      <w:marTop w:val="0"/>
      <w:marBottom w:val="0"/>
      <w:divBdr>
        <w:top w:val="none" w:sz="0" w:space="0" w:color="auto"/>
        <w:left w:val="none" w:sz="0" w:space="0" w:color="auto"/>
        <w:bottom w:val="none" w:sz="0" w:space="0" w:color="auto"/>
        <w:right w:val="none" w:sz="0" w:space="0" w:color="auto"/>
      </w:divBdr>
    </w:div>
    <w:div w:id="691998704">
      <w:bodyDiv w:val="1"/>
      <w:marLeft w:val="0"/>
      <w:marRight w:val="0"/>
      <w:marTop w:val="0"/>
      <w:marBottom w:val="0"/>
      <w:divBdr>
        <w:top w:val="none" w:sz="0" w:space="0" w:color="auto"/>
        <w:left w:val="none" w:sz="0" w:space="0" w:color="auto"/>
        <w:bottom w:val="none" w:sz="0" w:space="0" w:color="auto"/>
        <w:right w:val="none" w:sz="0" w:space="0" w:color="auto"/>
      </w:divBdr>
    </w:div>
    <w:div w:id="692003311">
      <w:bodyDiv w:val="1"/>
      <w:marLeft w:val="0"/>
      <w:marRight w:val="0"/>
      <w:marTop w:val="0"/>
      <w:marBottom w:val="0"/>
      <w:divBdr>
        <w:top w:val="none" w:sz="0" w:space="0" w:color="auto"/>
        <w:left w:val="none" w:sz="0" w:space="0" w:color="auto"/>
        <w:bottom w:val="none" w:sz="0" w:space="0" w:color="auto"/>
        <w:right w:val="none" w:sz="0" w:space="0" w:color="auto"/>
      </w:divBdr>
    </w:div>
    <w:div w:id="692146922">
      <w:bodyDiv w:val="1"/>
      <w:marLeft w:val="0"/>
      <w:marRight w:val="0"/>
      <w:marTop w:val="0"/>
      <w:marBottom w:val="0"/>
      <w:divBdr>
        <w:top w:val="none" w:sz="0" w:space="0" w:color="auto"/>
        <w:left w:val="none" w:sz="0" w:space="0" w:color="auto"/>
        <w:bottom w:val="none" w:sz="0" w:space="0" w:color="auto"/>
        <w:right w:val="none" w:sz="0" w:space="0" w:color="auto"/>
      </w:divBdr>
    </w:div>
    <w:div w:id="692220132">
      <w:bodyDiv w:val="1"/>
      <w:marLeft w:val="0"/>
      <w:marRight w:val="0"/>
      <w:marTop w:val="0"/>
      <w:marBottom w:val="0"/>
      <w:divBdr>
        <w:top w:val="none" w:sz="0" w:space="0" w:color="auto"/>
        <w:left w:val="none" w:sz="0" w:space="0" w:color="auto"/>
        <w:bottom w:val="none" w:sz="0" w:space="0" w:color="auto"/>
        <w:right w:val="none" w:sz="0" w:space="0" w:color="auto"/>
      </w:divBdr>
    </w:div>
    <w:div w:id="692342531">
      <w:bodyDiv w:val="1"/>
      <w:marLeft w:val="0"/>
      <w:marRight w:val="0"/>
      <w:marTop w:val="0"/>
      <w:marBottom w:val="0"/>
      <w:divBdr>
        <w:top w:val="none" w:sz="0" w:space="0" w:color="auto"/>
        <w:left w:val="none" w:sz="0" w:space="0" w:color="auto"/>
        <w:bottom w:val="none" w:sz="0" w:space="0" w:color="auto"/>
        <w:right w:val="none" w:sz="0" w:space="0" w:color="auto"/>
      </w:divBdr>
    </w:div>
    <w:div w:id="692608573">
      <w:bodyDiv w:val="1"/>
      <w:marLeft w:val="0"/>
      <w:marRight w:val="0"/>
      <w:marTop w:val="0"/>
      <w:marBottom w:val="0"/>
      <w:divBdr>
        <w:top w:val="none" w:sz="0" w:space="0" w:color="auto"/>
        <w:left w:val="none" w:sz="0" w:space="0" w:color="auto"/>
        <w:bottom w:val="none" w:sz="0" w:space="0" w:color="auto"/>
        <w:right w:val="none" w:sz="0" w:space="0" w:color="auto"/>
      </w:divBdr>
    </w:div>
    <w:div w:id="692610482">
      <w:bodyDiv w:val="1"/>
      <w:marLeft w:val="0"/>
      <w:marRight w:val="0"/>
      <w:marTop w:val="0"/>
      <w:marBottom w:val="0"/>
      <w:divBdr>
        <w:top w:val="none" w:sz="0" w:space="0" w:color="auto"/>
        <w:left w:val="none" w:sz="0" w:space="0" w:color="auto"/>
        <w:bottom w:val="none" w:sz="0" w:space="0" w:color="auto"/>
        <w:right w:val="none" w:sz="0" w:space="0" w:color="auto"/>
      </w:divBdr>
    </w:div>
    <w:div w:id="692614246">
      <w:bodyDiv w:val="1"/>
      <w:marLeft w:val="0"/>
      <w:marRight w:val="0"/>
      <w:marTop w:val="0"/>
      <w:marBottom w:val="0"/>
      <w:divBdr>
        <w:top w:val="none" w:sz="0" w:space="0" w:color="auto"/>
        <w:left w:val="none" w:sz="0" w:space="0" w:color="auto"/>
        <w:bottom w:val="none" w:sz="0" w:space="0" w:color="auto"/>
        <w:right w:val="none" w:sz="0" w:space="0" w:color="auto"/>
      </w:divBdr>
    </w:div>
    <w:div w:id="692851746">
      <w:bodyDiv w:val="1"/>
      <w:marLeft w:val="0"/>
      <w:marRight w:val="0"/>
      <w:marTop w:val="0"/>
      <w:marBottom w:val="0"/>
      <w:divBdr>
        <w:top w:val="none" w:sz="0" w:space="0" w:color="auto"/>
        <w:left w:val="none" w:sz="0" w:space="0" w:color="auto"/>
        <w:bottom w:val="none" w:sz="0" w:space="0" w:color="auto"/>
        <w:right w:val="none" w:sz="0" w:space="0" w:color="auto"/>
      </w:divBdr>
    </w:div>
    <w:div w:id="692924229">
      <w:bodyDiv w:val="1"/>
      <w:marLeft w:val="0"/>
      <w:marRight w:val="0"/>
      <w:marTop w:val="0"/>
      <w:marBottom w:val="0"/>
      <w:divBdr>
        <w:top w:val="none" w:sz="0" w:space="0" w:color="auto"/>
        <w:left w:val="none" w:sz="0" w:space="0" w:color="auto"/>
        <w:bottom w:val="none" w:sz="0" w:space="0" w:color="auto"/>
        <w:right w:val="none" w:sz="0" w:space="0" w:color="auto"/>
      </w:divBdr>
    </w:div>
    <w:div w:id="692993641">
      <w:bodyDiv w:val="1"/>
      <w:marLeft w:val="0"/>
      <w:marRight w:val="0"/>
      <w:marTop w:val="0"/>
      <w:marBottom w:val="0"/>
      <w:divBdr>
        <w:top w:val="none" w:sz="0" w:space="0" w:color="auto"/>
        <w:left w:val="none" w:sz="0" w:space="0" w:color="auto"/>
        <w:bottom w:val="none" w:sz="0" w:space="0" w:color="auto"/>
        <w:right w:val="none" w:sz="0" w:space="0" w:color="auto"/>
      </w:divBdr>
    </w:div>
    <w:div w:id="693001493">
      <w:bodyDiv w:val="1"/>
      <w:marLeft w:val="0"/>
      <w:marRight w:val="0"/>
      <w:marTop w:val="0"/>
      <w:marBottom w:val="0"/>
      <w:divBdr>
        <w:top w:val="none" w:sz="0" w:space="0" w:color="auto"/>
        <w:left w:val="none" w:sz="0" w:space="0" w:color="auto"/>
        <w:bottom w:val="none" w:sz="0" w:space="0" w:color="auto"/>
        <w:right w:val="none" w:sz="0" w:space="0" w:color="auto"/>
      </w:divBdr>
    </w:div>
    <w:div w:id="693073918">
      <w:bodyDiv w:val="1"/>
      <w:marLeft w:val="0"/>
      <w:marRight w:val="0"/>
      <w:marTop w:val="0"/>
      <w:marBottom w:val="0"/>
      <w:divBdr>
        <w:top w:val="none" w:sz="0" w:space="0" w:color="auto"/>
        <w:left w:val="none" w:sz="0" w:space="0" w:color="auto"/>
        <w:bottom w:val="none" w:sz="0" w:space="0" w:color="auto"/>
        <w:right w:val="none" w:sz="0" w:space="0" w:color="auto"/>
      </w:divBdr>
    </w:div>
    <w:div w:id="693115429">
      <w:bodyDiv w:val="1"/>
      <w:marLeft w:val="0"/>
      <w:marRight w:val="0"/>
      <w:marTop w:val="0"/>
      <w:marBottom w:val="0"/>
      <w:divBdr>
        <w:top w:val="none" w:sz="0" w:space="0" w:color="auto"/>
        <w:left w:val="none" w:sz="0" w:space="0" w:color="auto"/>
        <w:bottom w:val="none" w:sz="0" w:space="0" w:color="auto"/>
        <w:right w:val="none" w:sz="0" w:space="0" w:color="auto"/>
      </w:divBdr>
    </w:div>
    <w:div w:id="693263073">
      <w:bodyDiv w:val="1"/>
      <w:marLeft w:val="0"/>
      <w:marRight w:val="0"/>
      <w:marTop w:val="0"/>
      <w:marBottom w:val="0"/>
      <w:divBdr>
        <w:top w:val="none" w:sz="0" w:space="0" w:color="auto"/>
        <w:left w:val="none" w:sz="0" w:space="0" w:color="auto"/>
        <w:bottom w:val="none" w:sz="0" w:space="0" w:color="auto"/>
        <w:right w:val="none" w:sz="0" w:space="0" w:color="auto"/>
      </w:divBdr>
    </w:div>
    <w:div w:id="693268585">
      <w:bodyDiv w:val="1"/>
      <w:marLeft w:val="0"/>
      <w:marRight w:val="0"/>
      <w:marTop w:val="0"/>
      <w:marBottom w:val="0"/>
      <w:divBdr>
        <w:top w:val="none" w:sz="0" w:space="0" w:color="auto"/>
        <w:left w:val="none" w:sz="0" w:space="0" w:color="auto"/>
        <w:bottom w:val="none" w:sz="0" w:space="0" w:color="auto"/>
        <w:right w:val="none" w:sz="0" w:space="0" w:color="auto"/>
      </w:divBdr>
    </w:div>
    <w:div w:id="693312522">
      <w:bodyDiv w:val="1"/>
      <w:marLeft w:val="0"/>
      <w:marRight w:val="0"/>
      <w:marTop w:val="0"/>
      <w:marBottom w:val="0"/>
      <w:divBdr>
        <w:top w:val="none" w:sz="0" w:space="0" w:color="auto"/>
        <w:left w:val="none" w:sz="0" w:space="0" w:color="auto"/>
        <w:bottom w:val="none" w:sz="0" w:space="0" w:color="auto"/>
        <w:right w:val="none" w:sz="0" w:space="0" w:color="auto"/>
      </w:divBdr>
    </w:div>
    <w:div w:id="693456044">
      <w:bodyDiv w:val="1"/>
      <w:marLeft w:val="0"/>
      <w:marRight w:val="0"/>
      <w:marTop w:val="0"/>
      <w:marBottom w:val="0"/>
      <w:divBdr>
        <w:top w:val="none" w:sz="0" w:space="0" w:color="auto"/>
        <w:left w:val="none" w:sz="0" w:space="0" w:color="auto"/>
        <w:bottom w:val="none" w:sz="0" w:space="0" w:color="auto"/>
        <w:right w:val="none" w:sz="0" w:space="0" w:color="auto"/>
      </w:divBdr>
    </w:div>
    <w:div w:id="693456396">
      <w:bodyDiv w:val="1"/>
      <w:marLeft w:val="0"/>
      <w:marRight w:val="0"/>
      <w:marTop w:val="0"/>
      <w:marBottom w:val="0"/>
      <w:divBdr>
        <w:top w:val="none" w:sz="0" w:space="0" w:color="auto"/>
        <w:left w:val="none" w:sz="0" w:space="0" w:color="auto"/>
        <w:bottom w:val="none" w:sz="0" w:space="0" w:color="auto"/>
        <w:right w:val="none" w:sz="0" w:space="0" w:color="auto"/>
      </w:divBdr>
    </w:div>
    <w:div w:id="693506114">
      <w:bodyDiv w:val="1"/>
      <w:marLeft w:val="0"/>
      <w:marRight w:val="0"/>
      <w:marTop w:val="0"/>
      <w:marBottom w:val="0"/>
      <w:divBdr>
        <w:top w:val="none" w:sz="0" w:space="0" w:color="auto"/>
        <w:left w:val="none" w:sz="0" w:space="0" w:color="auto"/>
        <w:bottom w:val="none" w:sz="0" w:space="0" w:color="auto"/>
        <w:right w:val="none" w:sz="0" w:space="0" w:color="auto"/>
      </w:divBdr>
    </w:div>
    <w:div w:id="693533387">
      <w:bodyDiv w:val="1"/>
      <w:marLeft w:val="0"/>
      <w:marRight w:val="0"/>
      <w:marTop w:val="0"/>
      <w:marBottom w:val="0"/>
      <w:divBdr>
        <w:top w:val="none" w:sz="0" w:space="0" w:color="auto"/>
        <w:left w:val="none" w:sz="0" w:space="0" w:color="auto"/>
        <w:bottom w:val="none" w:sz="0" w:space="0" w:color="auto"/>
        <w:right w:val="none" w:sz="0" w:space="0" w:color="auto"/>
      </w:divBdr>
    </w:div>
    <w:div w:id="693729909">
      <w:bodyDiv w:val="1"/>
      <w:marLeft w:val="0"/>
      <w:marRight w:val="0"/>
      <w:marTop w:val="0"/>
      <w:marBottom w:val="0"/>
      <w:divBdr>
        <w:top w:val="none" w:sz="0" w:space="0" w:color="auto"/>
        <w:left w:val="none" w:sz="0" w:space="0" w:color="auto"/>
        <w:bottom w:val="none" w:sz="0" w:space="0" w:color="auto"/>
        <w:right w:val="none" w:sz="0" w:space="0" w:color="auto"/>
      </w:divBdr>
    </w:div>
    <w:div w:id="693842405">
      <w:bodyDiv w:val="1"/>
      <w:marLeft w:val="0"/>
      <w:marRight w:val="0"/>
      <w:marTop w:val="0"/>
      <w:marBottom w:val="0"/>
      <w:divBdr>
        <w:top w:val="none" w:sz="0" w:space="0" w:color="auto"/>
        <w:left w:val="none" w:sz="0" w:space="0" w:color="auto"/>
        <w:bottom w:val="none" w:sz="0" w:space="0" w:color="auto"/>
        <w:right w:val="none" w:sz="0" w:space="0" w:color="auto"/>
      </w:divBdr>
    </w:div>
    <w:div w:id="693848823">
      <w:bodyDiv w:val="1"/>
      <w:marLeft w:val="0"/>
      <w:marRight w:val="0"/>
      <w:marTop w:val="0"/>
      <w:marBottom w:val="0"/>
      <w:divBdr>
        <w:top w:val="none" w:sz="0" w:space="0" w:color="auto"/>
        <w:left w:val="none" w:sz="0" w:space="0" w:color="auto"/>
        <w:bottom w:val="none" w:sz="0" w:space="0" w:color="auto"/>
        <w:right w:val="none" w:sz="0" w:space="0" w:color="auto"/>
      </w:divBdr>
    </w:div>
    <w:div w:id="693920226">
      <w:bodyDiv w:val="1"/>
      <w:marLeft w:val="0"/>
      <w:marRight w:val="0"/>
      <w:marTop w:val="0"/>
      <w:marBottom w:val="0"/>
      <w:divBdr>
        <w:top w:val="none" w:sz="0" w:space="0" w:color="auto"/>
        <w:left w:val="none" w:sz="0" w:space="0" w:color="auto"/>
        <w:bottom w:val="none" w:sz="0" w:space="0" w:color="auto"/>
        <w:right w:val="none" w:sz="0" w:space="0" w:color="auto"/>
      </w:divBdr>
    </w:div>
    <w:div w:id="694236060">
      <w:bodyDiv w:val="1"/>
      <w:marLeft w:val="0"/>
      <w:marRight w:val="0"/>
      <w:marTop w:val="0"/>
      <w:marBottom w:val="0"/>
      <w:divBdr>
        <w:top w:val="none" w:sz="0" w:space="0" w:color="auto"/>
        <w:left w:val="none" w:sz="0" w:space="0" w:color="auto"/>
        <w:bottom w:val="none" w:sz="0" w:space="0" w:color="auto"/>
        <w:right w:val="none" w:sz="0" w:space="0" w:color="auto"/>
      </w:divBdr>
    </w:div>
    <w:div w:id="694304888">
      <w:bodyDiv w:val="1"/>
      <w:marLeft w:val="0"/>
      <w:marRight w:val="0"/>
      <w:marTop w:val="0"/>
      <w:marBottom w:val="0"/>
      <w:divBdr>
        <w:top w:val="none" w:sz="0" w:space="0" w:color="auto"/>
        <w:left w:val="none" w:sz="0" w:space="0" w:color="auto"/>
        <w:bottom w:val="none" w:sz="0" w:space="0" w:color="auto"/>
        <w:right w:val="none" w:sz="0" w:space="0" w:color="auto"/>
      </w:divBdr>
    </w:div>
    <w:div w:id="694354193">
      <w:bodyDiv w:val="1"/>
      <w:marLeft w:val="0"/>
      <w:marRight w:val="0"/>
      <w:marTop w:val="0"/>
      <w:marBottom w:val="0"/>
      <w:divBdr>
        <w:top w:val="none" w:sz="0" w:space="0" w:color="auto"/>
        <w:left w:val="none" w:sz="0" w:space="0" w:color="auto"/>
        <w:bottom w:val="none" w:sz="0" w:space="0" w:color="auto"/>
        <w:right w:val="none" w:sz="0" w:space="0" w:color="auto"/>
      </w:divBdr>
    </w:div>
    <w:div w:id="694498906">
      <w:bodyDiv w:val="1"/>
      <w:marLeft w:val="0"/>
      <w:marRight w:val="0"/>
      <w:marTop w:val="0"/>
      <w:marBottom w:val="0"/>
      <w:divBdr>
        <w:top w:val="none" w:sz="0" w:space="0" w:color="auto"/>
        <w:left w:val="none" w:sz="0" w:space="0" w:color="auto"/>
        <w:bottom w:val="none" w:sz="0" w:space="0" w:color="auto"/>
        <w:right w:val="none" w:sz="0" w:space="0" w:color="auto"/>
      </w:divBdr>
    </w:div>
    <w:div w:id="694503388">
      <w:bodyDiv w:val="1"/>
      <w:marLeft w:val="0"/>
      <w:marRight w:val="0"/>
      <w:marTop w:val="0"/>
      <w:marBottom w:val="0"/>
      <w:divBdr>
        <w:top w:val="none" w:sz="0" w:space="0" w:color="auto"/>
        <w:left w:val="none" w:sz="0" w:space="0" w:color="auto"/>
        <w:bottom w:val="none" w:sz="0" w:space="0" w:color="auto"/>
        <w:right w:val="none" w:sz="0" w:space="0" w:color="auto"/>
      </w:divBdr>
    </w:div>
    <w:div w:id="694575268">
      <w:bodyDiv w:val="1"/>
      <w:marLeft w:val="0"/>
      <w:marRight w:val="0"/>
      <w:marTop w:val="0"/>
      <w:marBottom w:val="0"/>
      <w:divBdr>
        <w:top w:val="none" w:sz="0" w:space="0" w:color="auto"/>
        <w:left w:val="none" w:sz="0" w:space="0" w:color="auto"/>
        <w:bottom w:val="none" w:sz="0" w:space="0" w:color="auto"/>
        <w:right w:val="none" w:sz="0" w:space="0" w:color="auto"/>
      </w:divBdr>
    </w:div>
    <w:div w:id="694579008">
      <w:bodyDiv w:val="1"/>
      <w:marLeft w:val="0"/>
      <w:marRight w:val="0"/>
      <w:marTop w:val="0"/>
      <w:marBottom w:val="0"/>
      <w:divBdr>
        <w:top w:val="none" w:sz="0" w:space="0" w:color="auto"/>
        <w:left w:val="none" w:sz="0" w:space="0" w:color="auto"/>
        <w:bottom w:val="none" w:sz="0" w:space="0" w:color="auto"/>
        <w:right w:val="none" w:sz="0" w:space="0" w:color="auto"/>
      </w:divBdr>
    </w:div>
    <w:div w:id="694624702">
      <w:bodyDiv w:val="1"/>
      <w:marLeft w:val="0"/>
      <w:marRight w:val="0"/>
      <w:marTop w:val="0"/>
      <w:marBottom w:val="0"/>
      <w:divBdr>
        <w:top w:val="none" w:sz="0" w:space="0" w:color="auto"/>
        <w:left w:val="none" w:sz="0" w:space="0" w:color="auto"/>
        <w:bottom w:val="none" w:sz="0" w:space="0" w:color="auto"/>
        <w:right w:val="none" w:sz="0" w:space="0" w:color="auto"/>
      </w:divBdr>
    </w:div>
    <w:div w:id="694767216">
      <w:bodyDiv w:val="1"/>
      <w:marLeft w:val="0"/>
      <w:marRight w:val="0"/>
      <w:marTop w:val="0"/>
      <w:marBottom w:val="0"/>
      <w:divBdr>
        <w:top w:val="none" w:sz="0" w:space="0" w:color="auto"/>
        <w:left w:val="none" w:sz="0" w:space="0" w:color="auto"/>
        <w:bottom w:val="none" w:sz="0" w:space="0" w:color="auto"/>
        <w:right w:val="none" w:sz="0" w:space="0" w:color="auto"/>
      </w:divBdr>
    </w:div>
    <w:div w:id="694772974">
      <w:bodyDiv w:val="1"/>
      <w:marLeft w:val="0"/>
      <w:marRight w:val="0"/>
      <w:marTop w:val="0"/>
      <w:marBottom w:val="0"/>
      <w:divBdr>
        <w:top w:val="none" w:sz="0" w:space="0" w:color="auto"/>
        <w:left w:val="none" w:sz="0" w:space="0" w:color="auto"/>
        <w:bottom w:val="none" w:sz="0" w:space="0" w:color="auto"/>
        <w:right w:val="none" w:sz="0" w:space="0" w:color="auto"/>
      </w:divBdr>
    </w:div>
    <w:div w:id="694884331">
      <w:bodyDiv w:val="1"/>
      <w:marLeft w:val="0"/>
      <w:marRight w:val="0"/>
      <w:marTop w:val="0"/>
      <w:marBottom w:val="0"/>
      <w:divBdr>
        <w:top w:val="none" w:sz="0" w:space="0" w:color="auto"/>
        <w:left w:val="none" w:sz="0" w:space="0" w:color="auto"/>
        <w:bottom w:val="none" w:sz="0" w:space="0" w:color="auto"/>
        <w:right w:val="none" w:sz="0" w:space="0" w:color="auto"/>
      </w:divBdr>
    </w:div>
    <w:div w:id="694888957">
      <w:bodyDiv w:val="1"/>
      <w:marLeft w:val="0"/>
      <w:marRight w:val="0"/>
      <w:marTop w:val="0"/>
      <w:marBottom w:val="0"/>
      <w:divBdr>
        <w:top w:val="none" w:sz="0" w:space="0" w:color="auto"/>
        <w:left w:val="none" w:sz="0" w:space="0" w:color="auto"/>
        <w:bottom w:val="none" w:sz="0" w:space="0" w:color="auto"/>
        <w:right w:val="none" w:sz="0" w:space="0" w:color="auto"/>
      </w:divBdr>
    </w:div>
    <w:div w:id="694964871">
      <w:bodyDiv w:val="1"/>
      <w:marLeft w:val="0"/>
      <w:marRight w:val="0"/>
      <w:marTop w:val="0"/>
      <w:marBottom w:val="0"/>
      <w:divBdr>
        <w:top w:val="none" w:sz="0" w:space="0" w:color="auto"/>
        <w:left w:val="none" w:sz="0" w:space="0" w:color="auto"/>
        <w:bottom w:val="none" w:sz="0" w:space="0" w:color="auto"/>
        <w:right w:val="none" w:sz="0" w:space="0" w:color="auto"/>
      </w:divBdr>
    </w:div>
    <w:div w:id="694965651">
      <w:bodyDiv w:val="1"/>
      <w:marLeft w:val="0"/>
      <w:marRight w:val="0"/>
      <w:marTop w:val="0"/>
      <w:marBottom w:val="0"/>
      <w:divBdr>
        <w:top w:val="none" w:sz="0" w:space="0" w:color="auto"/>
        <w:left w:val="none" w:sz="0" w:space="0" w:color="auto"/>
        <w:bottom w:val="none" w:sz="0" w:space="0" w:color="auto"/>
        <w:right w:val="none" w:sz="0" w:space="0" w:color="auto"/>
      </w:divBdr>
    </w:div>
    <w:div w:id="694966265">
      <w:bodyDiv w:val="1"/>
      <w:marLeft w:val="0"/>
      <w:marRight w:val="0"/>
      <w:marTop w:val="0"/>
      <w:marBottom w:val="0"/>
      <w:divBdr>
        <w:top w:val="none" w:sz="0" w:space="0" w:color="auto"/>
        <w:left w:val="none" w:sz="0" w:space="0" w:color="auto"/>
        <w:bottom w:val="none" w:sz="0" w:space="0" w:color="auto"/>
        <w:right w:val="none" w:sz="0" w:space="0" w:color="auto"/>
      </w:divBdr>
    </w:div>
    <w:div w:id="695010783">
      <w:bodyDiv w:val="1"/>
      <w:marLeft w:val="0"/>
      <w:marRight w:val="0"/>
      <w:marTop w:val="0"/>
      <w:marBottom w:val="0"/>
      <w:divBdr>
        <w:top w:val="none" w:sz="0" w:space="0" w:color="auto"/>
        <w:left w:val="none" w:sz="0" w:space="0" w:color="auto"/>
        <w:bottom w:val="none" w:sz="0" w:space="0" w:color="auto"/>
        <w:right w:val="none" w:sz="0" w:space="0" w:color="auto"/>
      </w:divBdr>
    </w:div>
    <w:div w:id="695011299">
      <w:bodyDiv w:val="1"/>
      <w:marLeft w:val="0"/>
      <w:marRight w:val="0"/>
      <w:marTop w:val="0"/>
      <w:marBottom w:val="0"/>
      <w:divBdr>
        <w:top w:val="none" w:sz="0" w:space="0" w:color="auto"/>
        <w:left w:val="none" w:sz="0" w:space="0" w:color="auto"/>
        <w:bottom w:val="none" w:sz="0" w:space="0" w:color="auto"/>
        <w:right w:val="none" w:sz="0" w:space="0" w:color="auto"/>
      </w:divBdr>
    </w:div>
    <w:div w:id="695234647">
      <w:bodyDiv w:val="1"/>
      <w:marLeft w:val="0"/>
      <w:marRight w:val="0"/>
      <w:marTop w:val="0"/>
      <w:marBottom w:val="0"/>
      <w:divBdr>
        <w:top w:val="none" w:sz="0" w:space="0" w:color="auto"/>
        <w:left w:val="none" w:sz="0" w:space="0" w:color="auto"/>
        <w:bottom w:val="none" w:sz="0" w:space="0" w:color="auto"/>
        <w:right w:val="none" w:sz="0" w:space="0" w:color="auto"/>
      </w:divBdr>
    </w:div>
    <w:div w:id="695423938">
      <w:bodyDiv w:val="1"/>
      <w:marLeft w:val="0"/>
      <w:marRight w:val="0"/>
      <w:marTop w:val="0"/>
      <w:marBottom w:val="0"/>
      <w:divBdr>
        <w:top w:val="none" w:sz="0" w:space="0" w:color="auto"/>
        <w:left w:val="none" w:sz="0" w:space="0" w:color="auto"/>
        <w:bottom w:val="none" w:sz="0" w:space="0" w:color="auto"/>
        <w:right w:val="none" w:sz="0" w:space="0" w:color="auto"/>
      </w:divBdr>
    </w:div>
    <w:div w:id="695428370">
      <w:bodyDiv w:val="1"/>
      <w:marLeft w:val="0"/>
      <w:marRight w:val="0"/>
      <w:marTop w:val="0"/>
      <w:marBottom w:val="0"/>
      <w:divBdr>
        <w:top w:val="none" w:sz="0" w:space="0" w:color="auto"/>
        <w:left w:val="none" w:sz="0" w:space="0" w:color="auto"/>
        <w:bottom w:val="none" w:sz="0" w:space="0" w:color="auto"/>
        <w:right w:val="none" w:sz="0" w:space="0" w:color="auto"/>
      </w:divBdr>
    </w:div>
    <w:div w:id="695430304">
      <w:bodyDiv w:val="1"/>
      <w:marLeft w:val="0"/>
      <w:marRight w:val="0"/>
      <w:marTop w:val="0"/>
      <w:marBottom w:val="0"/>
      <w:divBdr>
        <w:top w:val="none" w:sz="0" w:space="0" w:color="auto"/>
        <w:left w:val="none" w:sz="0" w:space="0" w:color="auto"/>
        <w:bottom w:val="none" w:sz="0" w:space="0" w:color="auto"/>
        <w:right w:val="none" w:sz="0" w:space="0" w:color="auto"/>
      </w:divBdr>
    </w:div>
    <w:div w:id="695430704">
      <w:bodyDiv w:val="1"/>
      <w:marLeft w:val="0"/>
      <w:marRight w:val="0"/>
      <w:marTop w:val="0"/>
      <w:marBottom w:val="0"/>
      <w:divBdr>
        <w:top w:val="none" w:sz="0" w:space="0" w:color="auto"/>
        <w:left w:val="none" w:sz="0" w:space="0" w:color="auto"/>
        <w:bottom w:val="none" w:sz="0" w:space="0" w:color="auto"/>
        <w:right w:val="none" w:sz="0" w:space="0" w:color="auto"/>
      </w:divBdr>
    </w:div>
    <w:div w:id="695544096">
      <w:bodyDiv w:val="1"/>
      <w:marLeft w:val="0"/>
      <w:marRight w:val="0"/>
      <w:marTop w:val="0"/>
      <w:marBottom w:val="0"/>
      <w:divBdr>
        <w:top w:val="none" w:sz="0" w:space="0" w:color="auto"/>
        <w:left w:val="none" w:sz="0" w:space="0" w:color="auto"/>
        <w:bottom w:val="none" w:sz="0" w:space="0" w:color="auto"/>
        <w:right w:val="none" w:sz="0" w:space="0" w:color="auto"/>
      </w:divBdr>
    </w:div>
    <w:div w:id="695547681">
      <w:bodyDiv w:val="1"/>
      <w:marLeft w:val="0"/>
      <w:marRight w:val="0"/>
      <w:marTop w:val="0"/>
      <w:marBottom w:val="0"/>
      <w:divBdr>
        <w:top w:val="none" w:sz="0" w:space="0" w:color="auto"/>
        <w:left w:val="none" w:sz="0" w:space="0" w:color="auto"/>
        <w:bottom w:val="none" w:sz="0" w:space="0" w:color="auto"/>
        <w:right w:val="none" w:sz="0" w:space="0" w:color="auto"/>
      </w:divBdr>
    </w:div>
    <w:div w:id="695665134">
      <w:bodyDiv w:val="1"/>
      <w:marLeft w:val="0"/>
      <w:marRight w:val="0"/>
      <w:marTop w:val="0"/>
      <w:marBottom w:val="0"/>
      <w:divBdr>
        <w:top w:val="none" w:sz="0" w:space="0" w:color="auto"/>
        <w:left w:val="none" w:sz="0" w:space="0" w:color="auto"/>
        <w:bottom w:val="none" w:sz="0" w:space="0" w:color="auto"/>
        <w:right w:val="none" w:sz="0" w:space="0" w:color="auto"/>
      </w:divBdr>
    </w:div>
    <w:div w:id="695666209">
      <w:bodyDiv w:val="1"/>
      <w:marLeft w:val="0"/>
      <w:marRight w:val="0"/>
      <w:marTop w:val="0"/>
      <w:marBottom w:val="0"/>
      <w:divBdr>
        <w:top w:val="none" w:sz="0" w:space="0" w:color="auto"/>
        <w:left w:val="none" w:sz="0" w:space="0" w:color="auto"/>
        <w:bottom w:val="none" w:sz="0" w:space="0" w:color="auto"/>
        <w:right w:val="none" w:sz="0" w:space="0" w:color="auto"/>
      </w:divBdr>
    </w:div>
    <w:div w:id="695666484">
      <w:bodyDiv w:val="1"/>
      <w:marLeft w:val="0"/>
      <w:marRight w:val="0"/>
      <w:marTop w:val="0"/>
      <w:marBottom w:val="0"/>
      <w:divBdr>
        <w:top w:val="none" w:sz="0" w:space="0" w:color="auto"/>
        <w:left w:val="none" w:sz="0" w:space="0" w:color="auto"/>
        <w:bottom w:val="none" w:sz="0" w:space="0" w:color="auto"/>
        <w:right w:val="none" w:sz="0" w:space="0" w:color="auto"/>
      </w:divBdr>
    </w:div>
    <w:div w:id="695885782">
      <w:bodyDiv w:val="1"/>
      <w:marLeft w:val="0"/>
      <w:marRight w:val="0"/>
      <w:marTop w:val="0"/>
      <w:marBottom w:val="0"/>
      <w:divBdr>
        <w:top w:val="none" w:sz="0" w:space="0" w:color="auto"/>
        <w:left w:val="none" w:sz="0" w:space="0" w:color="auto"/>
        <w:bottom w:val="none" w:sz="0" w:space="0" w:color="auto"/>
        <w:right w:val="none" w:sz="0" w:space="0" w:color="auto"/>
      </w:divBdr>
    </w:div>
    <w:div w:id="695892666">
      <w:bodyDiv w:val="1"/>
      <w:marLeft w:val="0"/>
      <w:marRight w:val="0"/>
      <w:marTop w:val="0"/>
      <w:marBottom w:val="0"/>
      <w:divBdr>
        <w:top w:val="none" w:sz="0" w:space="0" w:color="auto"/>
        <w:left w:val="none" w:sz="0" w:space="0" w:color="auto"/>
        <w:bottom w:val="none" w:sz="0" w:space="0" w:color="auto"/>
        <w:right w:val="none" w:sz="0" w:space="0" w:color="auto"/>
      </w:divBdr>
    </w:div>
    <w:div w:id="695929282">
      <w:bodyDiv w:val="1"/>
      <w:marLeft w:val="0"/>
      <w:marRight w:val="0"/>
      <w:marTop w:val="0"/>
      <w:marBottom w:val="0"/>
      <w:divBdr>
        <w:top w:val="none" w:sz="0" w:space="0" w:color="auto"/>
        <w:left w:val="none" w:sz="0" w:space="0" w:color="auto"/>
        <w:bottom w:val="none" w:sz="0" w:space="0" w:color="auto"/>
        <w:right w:val="none" w:sz="0" w:space="0" w:color="auto"/>
      </w:divBdr>
    </w:div>
    <w:div w:id="695930868">
      <w:bodyDiv w:val="1"/>
      <w:marLeft w:val="0"/>
      <w:marRight w:val="0"/>
      <w:marTop w:val="0"/>
      <w:marBottom w:val="0"/>
      <w:divBdr>
        <w:top w:val="none" w:sz="0" w:space="0" w:color="auto"/>
        <w:left w:val="none" w:sz="0" w:space="0" w:color="auto"/>
        <w:bottom w:val="none" w:sz="0" w:space="0" w:color="auto"/>
        <w:right w:val="none" w:sz="0" w:space="0" w:color="auto"/>
      </w:divBdr>
    </w:div>
    <w:div w:id="696005908">
      <w:bodyDiv w:val="1"/>
      <w:marLeft w:val="0"/>
      <w:marRight w:val="0"/>
      <w:marTop w:val="0"/>
      <w:marBottom w:val="0"/>
      <w:divBdr>
        <w:top w:val="none" w:sz="0" w:space="0" w:color="auto"/>
        <w:left w:val="none" w:sz="0" w:space="0" w:color="auto"/>
        <w:bottom w:val="none" w:sz="0" w:space="0" w:color="auto"/>
        <w:right w:val="none" w:sz="0" w:space="0" w:color="auto"/>
      </w:divBdr>
    </w:div>
    <w:div w:id="696127678">
      <w:bodyDiv w:val="1"/>
      <w:marLeft w:val="0"/>
      <w:marRight w:val="0"/>
      <w:marTop w:val="0"/>
      <w:marBottom w:val="0"/>
      <w:divBdr>
        <w:top w:val="none" w:sz="0" w:space="0" w:color="auto"/>
        <w:left w:val="none" w:sz="0" w:space="0" w:color="auto"/>
        <w:bottom w:val="none" w:sz="0" w:space="0" w:color="auto"/>
        <w:right w:val="none" w:sz="0" w:space="0" w:color="auto"/>
      </w:divBdr>
    </w:div>
    <w:div w:id="696392735">
      <w:bodyDiv w:val="1"/>
      <w:marLeft w:val="0"/>
      <w:marRight w:val="0"/>
      <w:marTop w:val="0"/>
      <w:marBottom w:val="0"/>
      <w:divBdr>
        <w:top w:val="none" w:sz="0" w:space="0" w:color="auto"/>
        <w:left w:val="none" w:sz="0" w:space="0" w:color="auto"/>
        <w:bottom w:val="none" w:sz="0" w:space="0" w:color="auto"/>
        <w:right w:val="none" w:sz="0" w:space="0" w:color="auto"/>
      </w:divBdr>
    </w:div>
    <w:div w:id="696539582">
      <w:bodyDiv w:val="1"/>
      <w:marLeft w:val="0"/>
      <w:marRight w:val="0"/>
      <w:marTop w:val="0"/>
      <w:marBottom w:val="0"/>
      <w:divBdr>
        <w:top w:val="none" w:sz="0" w:space="0" w:color="auto"/>
        <w:left w:val="none" w:sz="0" w:space="0" w:color="auto"/>
        <w:bottom w:val="none" w:sz="0" w:space="0" w:color="auto"/>
        <w:right w:val="none" w:sz="0" w:space="0" w:color="auto"/>
      </w:divBdr>
    </w:div>
    <w:div w:id="696539895">
      <w:bodyDiv w:val="1"/>
      <w:marLeft w:val="0"/>
      <w:marRight w:val="0"/>
      <w:marTop w:val="0"/>
      <w:marBottom w:val="0"/>
      <w:divBdr>
        <w:top w:val="none" w:sz="0" w:space="0" w:color="auto"/>
        <w:left w:val="none" w:sz="0" w:space="0" w:color="auto"/>
        <w:bottom w:val="none" w:sz="0" w:space="0" w:color="auto"/>
        <w:right w:val="none" w:sz="0" w:space="0" w:color="auto"/>
      </w:divBdr>
    </w:div>
    <w:div w:id="696547287">
      <w:bodyDiv w:val="1"/>
      <w:marLeft w:val="0"/>
      <w:marRight w:val="0"/>
      <w:marTop w:val="0"/>
      <w:marBottom w:val="0"/>
      <w:divBdr>
        <w:top w:val="none" w:sz="0" w:space="0" w:color="auto"/>
        <w:left w:val="none" w:sz="0" w:space="0" w:color="auto"/>
        <w:bottom w:val="none" w:sz="0" w:space="0" w:color="auto"/>
        <w:right w:val="none" w:sz="0" w:space="0" w:color="auto"/>
      </w:divBdr>
    </w:div>
    <w:div w:id="696779542">
      <w:bodyDiv w:val="1"/>
      <w:marLeft w:val="0"/>
      <w:marRight w:val="0"/>
      <w:marTop w:val="0"/>
      <w:marBottom w:val="0"/>
      <w:divBdr>
        <w:top w:val="none" w:sz="0" w:space="0" w:color="auto"/>
        <w:left w:val="none" w:sz="0" w:space="0" w:color="auto"/>
        <w:bottom w:val="none" w:sz="0" w:space="0" w:color="auto"/>
        <w:right w:val="none" w:sz="0" w:space="0" w:color="auto"/>
      </w:divBdr>
    </w:div>
    <w:div w:id="696809665">
      <w:bodyDiv w:val="1"/>
      <w:marLeft w:val="0"/>
      <w:marRight w:val="0"/>
      <w:marTop w:val="0"/>
      <w:marBottom w:val="0"/>
      <w:divBdr>
        <w:top w:val="none" w:sz="0" w:space="0" w:color="auto"/>
        <w:left w:val="none" w:sz="0" w:space="0" w:color="auto"/>
        <w:bottom w:val="none" w:sz="0" w:space="0" w:color="auto"/>
        <w:right w:val="none" w:sz="0" w:space="0" w:color="auto"/>
      </w:divBdr>
    </w:div>
    <w:div w:id="696856089">
      <w:bodyDiv w:val="1"/>
      <w:marLeft w:val="0"/>
      <w:marRight w:val="0"/>
      <w:marTop w:val="0"/>
      <w:marBottom w:val="0"/>
      <w:divBdr>
        <w:top w:val="none" w:sz="0" w:space="0" w:color="auto"/>
        <w:left w:val="none" w:sz="0" w:space="0" w:color="auto"/>
        <w:bottom w:val="none" w:sz="0" w:space="0" w:color="auto"/>
        <w:right w:val="none" w:sz="0" w:space="0" w:color="auto"/>
      </w:divBdr>
    </w:div>
    <w:div w:id="696928719">
      <w:bodyDiv w:val="1"/>
      <w:marLeft w:val="0"/>
      <w:marRight w:val="0"/>
      <w:marTop w:val="0"/>
      <w:marBottom w:val="0"/>
      <w:divBdr>
        <w:top w:val="none" w:sz="0" w:space="0" w:color="auto"/>
        <w:left w:val="none" w:sz="0" w:space="0" w:color="auto"/>
        <w:bottom w:val="none" w:sz="0" w:space="0" w:color="auto"/>
        <w:right w:val="none" w:sz="0" w:space="0" w:color="auto"/>
      </w:divBdr>
    </w:div>
    <w:div w:id="697048265">
      <w:bodyDiv w:val="1"/>
      <w:marLeft w:val="0"/>
      <w:marRight w:val="0"/>
      <w:marTop w:val="0"/>
      <w:marBottom w:val="0"/>
      <w:divBdr>
        <w:top w:val="none" w:sz="0" w:space="0" w:color="auto"/>
        <w:left w:val="none" w:sz="0" w:space="0" w:color="auto"/>
        <w:bottom w:val="none" w:sz="0" w:space="0" w:color="auto"/>
        <w:right w:val="none" w:sz="0" w:space="0" w:color="auto"/>
      </w:divBdr>
    </w:div>
    <w:div w:id="697120896">
      <w:bodyDiv w:val="1"/>
      <w:marLeft w:val="0"/>
      <w:marRight w:val="0"/>
      <w:marTop w:val="0"/>
      <w:marBottom w:val="0"/>
      <w:divBdr>
        <w:top w:val="none" w:sz="0" w:space="0" w:color="auto"/>
        <w:left w:val="none" w:sz="0" w:space="0" w:color="auto"/>
        <w:bottom w:val="none" w:sz="0" w:space="0" w:color="auto"/>
        <w:right w:val="none" w:sz="0" w:space="0" w:color="auto"/>
      </w:divBdr>
    </w:div>
    <w:div w:id="697127054">
      <w:bodyDiv w:val="1"/>
      <w:marLeft w:val="0"/>
      <w:marRight w:val="0"/>
      <w:marTop w:val="0"/>
      <w:marBottom w:val="0"/>
      <w:divBdr>
        <w:top w:val="none" w:sz="0" w:space="0" w:color="auto"/>
        <w:left w:val="none" w:sz="0" w:space="0" w:color="auto"/>
        <w:bottom w:val="none" w:sz="0" w:space="0" w:color="auto"/>
        <w:right w:val="none" w:sz="0" w:space="0" w:color="auto"/>
      </w:divBdr>
    </w:div>
    <w:div w:id="697194016">
      <w:bodyDiv w:val="1"/>
      <w:marLeft w:val="0"/>
      <w:marRight w:val="0"/>
      <w:marTop w:val="0"/>
      <w:marBottom w:val="0"/>
      <w:divBdr>
        <w:top w:val="none" w:sz="0" w:space="0" w:color="auto"/>
        <w:left w:val="none" w:sz="0" w:space="0" w:color="auto"/>
        <w:bottom w:val="none" w:sz="0" w:space="0" w:color="auto"/>
        <w:right w:val="none" w:sz="0" w:space="0" w:color="auto"/>
      </w:divBdr>
    </w:div>
    <w:div w:id="697237558">
      <w:bodyDiv w:val="1"/>
      <w:marLeft w:val="0"/>
      <w:marRight w:val="0"/>
      <w:marTop w:val="0"/>
      <w:marBottom w:val="0"/>
      <w:divBdr>
        <w:top w:val="none" w:sz="0" w:space="0" w:color="auto"/>
        <w:left w:val="none" w:sz="0" w:space="0" w:color="auto"/>
        <w:bottom w:val="none" w:sz="0" w:space="0" w:color="auto"/>
        <w:right w:val="none" w:sz="0" w:space="0" w:color="auto"/>
      </w:divBdr>
    </w:div>
    <w:div w:id="697238836">
      <w:bodyDiv w:val="1"/>
      <w:marLeft w:val="0"/>
      <w:marRight w:val="0"/>
      <w:marTop w:val="0"/>
      <w:marBottom w:val="0"/>
      <w:divBdr>
        <w:top w:val="none" w:sz="0" w:space="0" w:color="auto"/>
        <w:left w:val="none" w:sz="0" w:space="0" w:color="auto"/>
        <w:bottom w:val="none" w:sz="0" w:space="0" w:color="auto"/>
        <w:right w:val="none" w:sz="0" w:space="0" w:color="auto"/>
      </w:divBdr>
    </w:div>
    <w:div w:id="697313734">
      <w:bodyDiv w:val="1"/>
      <w:marLeft w:val="0"/>
      <w:marRight w:val="0"/>
      <w:marTop w:val="0"/>
      <w:marBottom w:val="0"/>
      <w:divBdr>
        <w:top w:val="none" w:sz="0" w:space="0" w:color="auto"/>
        <w:left w:val="none" w:sz="0" w:space="0" w:color="auto"/>
        <w:bottom w:val="none" w:sz="0" w:space="0" w:color="auto"/>
        <w:right w:val="none" w:sz="0" w:space="0" w:color="auto"/>
      </w:divBdr>
    </w:div>
    <w:div w:id="697436412">
      <w:bodyDiv w:val="1"/>
      <w:marLeft w:val="0"/>
      <w:marRight w:val="0"/>
      <w:marTop w:val="0"/>
      <w:marBottom w:val="0"/>
      <w:divBdr>
        <w:top w:val="none" w:sz="0" w:space="0" w:color="auto"/>
        <w:left w:val="none" w:sz="0" w:space="0" w:color="auto"/>
        <w:bottom w:val="none" w:sz="0" w:space="0" w:color="auto"/>
        <w:right w:val="none" w:sz="0" w:space="0" w:color="auto"/>
      </w:divBdr>
    </w:div>
    <w:div w:id="697505193">
      <w:bodyDiv w:val="1"/>
      <w:marLeft w:val="0"/>
      <w:marRight w:val="0"/>
      <w:marTop w:val="0"/>
      <w:marBottom w:val="0"/>
      <w:divBdr>
        <w:top w:val="none" w:sz="0" w:space="0" w:color="auto"/>
        <w:left w:val="none" w:sz="0" w:space="0" w:color="auto"/>
        <w:bottom w:val="none" w:sz="0" w:space="0" w:color="auto"/>
        <w:right w:val="none" w:sz="0" w:space="0" w:color="auto"/>
      </w:divBdr>
    </w:div>
    <w:div w:id="697510917">
      <w:bodyDiv w:val="1"/>
      <w:marLeft w:val="0"/>
      <w:marRight w:val="0"/>
      <w:marTop w:val="0"/>
      <w:marBottom w:val="0"/>
      <w:divBdr>
        <w:top w:val="none" w:sz="0" w:space="0" w:color="auto"/>
        <w:left w:val="none" w:sz="0" w:space="0" w:color="auto"/>
        <w:bottom w:val="none" w:sz="0" w:space="0" w:color="auto"/>
        <w:right w:val="none" w:sz="0" w:space="0" w:color="auto"/>
      </w:divBdr>
    </w:div>
    <w:div w:id="697585104">
      <w:bodyDiv w:val="1"/>
      <w:marLeft w:val="0"/>
      <w:marRight w:val="0"/>
      <w:marTop w:val="0"/>
      <w:marBottom w:val="0"/>
      <w:divBdr>
        <w:top w:val="none" w:sz="0" w:space="0" w:color="auto"/>
        <w:left w:val="none" w:sz="0" w:space="0" w:color="auto"/>
        <w:bottom w:val="none" w:sz="0" w:space="0" w:color="auto"/>
        <w:right w:val="none" w:sz="0" w:space="0" w:color="auto"/>
      </w:divBdr>
    </w:div>
    <w:div w:id="697706480">
      <w:bodyDiv w:val="1"/>
      <w:marLeft w:val="0"/>
      <w:marRight w:val="0"/>
      <w:marTop w:val="0"/>
      <w:marBottom w:val="0"/>
      <w:divBdr>
        <w:top w:val="none" w:sz="0" w:space="0" w:color="auto"/>
        <w:left w:val="none" w:sz="0" w:space="0" w:color="auto"/>
        <w:bottom w:val="none" w:sz="0" w:space="0" w:color="auto"/>
        <w:right w:val="none" w:sz="0" w:space="0" w:color="auto"/>
      </w:divBdr>
    </w:div>
    <w:div w:id="697773726">
      <w:bodyDiv w:val="1"/>
      <w:marLeft w:val="0"/>
      <w:marRight w:val="0"/>
      <w:marTop w:val="0"/>
      <w:marBottom w:val="0"/>
      <w:divBdr>
        <w:top w:val="none" w:sz="0" w:space="0" w:color="auto"/>
        <w:left w:val="none" w:sz="0" w:space="0" w:color="auto"/>
        <w:bottom w:val="none" w:sz="0" w:space="0" w:color="auto"/>
        <w:right w:val="none" w:sz="0" w:space="0" w:color="auto"/>
      </w:divBdr>
    </w:div>
    <w:div w:id="697854983">
      <w:bodyDiv w:val="1"/>
      <w:marLeft w:val="0"/>
      <w:marRight w:val="0"/>
      <w:marTop w:val="0"/>
      <w:marBottom w:val="0"/>
      <w:divBdr>
        <w:top w:val="none" w:sz="0" w:space="0" w:color="auto"/>
        <w:left w:val="none" w:sz="0" w:space="0" w:color="auto"/>
        <w:bottom w:val="none" w:sz="0" w:space="0" w:color="auto"/>
        <w:right w:val="none" w:sz="0" w:space="0" w:color="auto"/>
      </w:divBdr>
    </w:div>
    <w:div w:id="698047787">
      <w:bodyDiv w:val="1"/>
      <w:marLeft w:val="0"/>
      <w:marRight w:val="0"/>
      <w:marTop w:val="0"/>
      <w:marBottom w:val="0"/>
      <w:divBdr>
        <w:top w:val="none" w:sz="0" w:space="0" w:color="auto"/>
        <w:left w:val="none" w:sz="0" w:space="0" w:color="auto"/>
        <w:bottom w:val="none" w:sz="0" w:space="0" w:color="auto"/>
        <w:right w:val="none" w:sz="0" w:space="0" w:color="auto"/>
      </w:divBdr>
    </w:div>
    <w:div w:id="698093218">
      <w:bodyDiv w:val="1"/>
      <w:marLeft w:val="0"/>
      <w:marRight w:val="0"/>
      <w:marTop w:val="0"/>
      <w:marBottom w:val="0"/>
      <w:divBdr>
        <w:top w:val="none" w:sz="0" w:space="0" w:color="auto"/>
        <w:left w:val="none" w:sz="0" w:space="0" w:color="auto"/>
        <w:bottom w:val="none" w:sz="0" w:space="0" w:color="auto"/>
        <w:right w:val="none" w:sz="0" w:space="0" w:color="auto"/>
      </w:divBdr>
    </w:div>
    <w:div w:id="698119529">
      <w:bodyDiv w:val="1"/>
      <w:marLeft w:val="0"/>
      <w:marRight w:val="0"/>
      <w:marTop w:val="0"/>
      <w:marBottom w:val="0"/>
      <w:divBdr>
        <w:top w:val="none" w:sz="0" w:space="0" w:color="auto"/>
        <w:left w:val="none" w:sz="0" w:space="0" w:color="auto"/>
        <w:bottom w:val="none" w:sz="0" w:space="0" w:color="auto"/>
        <w:right w:val="none" w:sz="0" w:space="0" w:color="auto"/>
      </w:divBdr>
    </w:div>
    <w:div w:id="698167391">
      <w:bodyDiv w:val="1"/>
      <w:marLeft w:val="0"/>
      <w:marRight w:val="0"/>
      <w:marTop w:val="0"/>
      <w:marBottom w:val="0"/>
      <w:divBdr>
        <w:top w:val="none" w:sz="0" w:space="0" w:color="auto"/>
        <w:left w:val="none" w:sz="0" w:space="0" w:color="auto"/>
        <w:bottom w:val="none" w:sz="0" w:space="0" w:color="auto"/>
        <w:right w:val="none" w:sz="0" w:space="0" w:color="auto"/>
      </w:divBdr>
    </w:div>
    <w:div w:id="698239087">
      <w:bodyDiv w:val="1"/>
      <w:marLeft w:val="0"/>
      <w:marRight w:val="0"/>
      <w:marTop w:val="0"/>
      <w:marBottom w:val="0"/>
      <w:divBdr>
        <w:top w:val="none" w:sz="0" w:space="0" w:color="auto"/>
        <w:left w:val="none" w:sz="0" w:space="0" w:color="auto"/>
        <w:bottom w:val="none" w:sz="0" w:space="0" w:color="auto"/>
        <w:right w:val="none" w:sz="0" w:space="0" w:color="auto"/>
      </w:divBdr>
    </w:div>
    <w:div w:id="698240976">
      <w:bodyDiv w:val="1"/>
      <w:marLeft w:val="0"/>
      <w:marRight w:val="0"/>
      <w:marTop w:val="0"/>
      <w:marBottom w:val="0"/>
      <w:divBdr>
        <w:top w:val="none" w:sz="0" w:space="0" w:color="auto"/>
        <w:left w:val="none" w:sz="0" w:space="0" w:color="auto"/>
        <w:bottom w:val="none" w:sz="0" w:space="0" w:color="auto"/>
        <w:right w:val="none" w:sz="0" w:space="0" w:color="auto"/>
      </w:divBdr>
    </w:div>
    <w:div w:id="698241084">
      <w:bodyDiv w:val="1"/>
      <w:marLeft w:val="0"/>
      <w:marRight w:val="0"/>
      <w:marTop w:val="0"/>
      <w:marBottom w:val="0"/>
      <w:divBdr>
        <w:top w:val="none" w:sz="0" w:space="0" w:color="auto"/>
        <w:left w:val="none" w:sz="0" w:space="0" w:color="auto"/>
        <w:bottom w:val="none" w:sz="0" w:space="0" w:color="auto"/>
        <w:right w:val="none" w:sz="0" w:space="0" w:color="auto"/>
      </w:divBdr>
    </w:div>
    <w:div w:id="698431724">
      <w:bodyDiv w:val="1"/>
      <w:marLeft w:val="0"/>
      <w:marRight w:val="0"/>
      <w:marTop w:val="0"/>
      <w:marBottom w:val="0"/>
      <w:divBdr>
        <w:top w:val="none" w:sz="0" w:space="0" w:color="auto"/>
        <w:left w:val="none" w:sz="0" w:space="0" w:color="auto"/>
        <w:bottom w:val="none" w:sz="0" w:space="0" w:color="auto"/>
        <w:right w:val="none" w:sz="0" w:space="0" w:color="auto"/>
      </w:divBdr>
    </w:div>
    <w:div w:id="698512032">
      <w:bodyDiv w:val="1"/>
      <w:marLeft w:val="0"/>
      <w:marRight w:val="0"/>
      <w:marTop w:val="0"/>
      <w:marBottom w:val="0"/>
      <w:divBdr>
        <w:top w:val="none" w:sz="0" w:space="0" w:color="auto"/>
        <w:left w:val="none" w:sz="0" w:space="0" w:color="auto"/>
        <w:bottom w:val="none" w:sz="0" w:space="0" w:color="auto"/>
        <w:right w:val="none" w:sz="0" w:space="0" w:color="auto"/>
      </w:divBdr>
    </w:div>
    <w:div w:id="698554408">
      <w:bodyDiv w:val="1"/>
      <w:marLeft w:val="0"/>
      <w:marRight w:val="0"/>
      <w:marTop w:val="0"/>
      <w:marBottom w:val="0"/>
      <w:divBdr>
        <w:top w:val="none" w:sz="0" w:space="0" w:color="auto"/>
        <w:left w:val="none" w:sz="0" w:space="0" w:color="auto"/>
        <w:bottom w:val="none" w:sz="0" w:space="0" w:color="auto"/>
        <w:right w:val="none" w:sz="0" w:space="0" w:color="auto"/>
      </w:divBdr>
    </w:div>
    <w:div w:id="698579469">
      <w:bodyDiv w:val="1"/>
      <w:marLeft w:val="0"/>
      <w:marRight w:val="0"/>
      <w:marTop w:val="0"/>
      <w:marBottom w:val="0"/>
      <w:divBdr>
        <w:top w:val="none" w:sz="0" w:space="0" w:color="auto"/>
        <w:left w:val="none" w:sz="0" w:space="0" w:color="auto"/>
        <w:bottom w:val="none" w:sz="0" w:space="0" w:color="auto"/>
        <w:right w:val="none" w:sz="0" w:space="0" w:color="auto"/>
      </w:divBdr>
    </w:div>
    <w:div w:id="698896529">
      <w:bodyDiv w:val="1"/>
      <w:marLeft w:val="0"/>
      <w:marRight w:val="0"/>
      <w:marTop w:val="0"/>
      <w:marBottom w:val="0"/>
      <w:divBdr>
        <w:top w:val="none" w:sz="0" w:space="0" w:color="auto"/>
        <w:left w:val="none" w:sz="0" w:space="0" w:color="auto"/>
        <w:bottom w:val="none" w:sz="0" w:space="0" w:color="auto"/>
        <w:right w:val="none" w:sz="0" w:space="0" w:color="auto"/>
      </w:divBdr>
    </w:div>
    <w:div w:id="698967903">
      <w:bodyDiv w:val="1"/>
      <w:marLeft w:val="0"/>
      <w:marRight w:val="0"/>
      <w:marTop w:val="0"/>
      <w:marBottom w:val="0"/>
      <w:divBdr>
        <w:top w:val="none" w:sz="0" w:space="0" w:color="auto"/>
        <w:left w:val="none" w:sz="0" w:space="0" w:color="auto"/>
        <w:bottom w:val="none" w:sz="0" w:space="0" w:color="auto"/>
        <w:right w:val="none" w:sz="0" w:space="0" w:color="auto"/>
      </w:divBdr>
    </w:div>
    <w:div w:id="699087999">
      <w:bodyDiv w:val="1"/>
      <w:marLeft w:val="0"/>
      <w:marRight w:val="0"/>
      <w:marTop w:val="0"/>
      <w:marBottom w:val="0"/>
      <w:divBdr>
        <w:top w:val="none" w:sz="0" w:space="0" w:color="auto"/>
        <w:left w:val="none" w:sz="0" w:space="0" w:color="auto"/>
        <w:bottom w:val="none" w:sz="0" w:space="0" w:color="auto"/>
        <w:right w:val="none" w:sz="0" w:space="0" w:color="auto"/>
      </w:divBdr>
    </w:div>
    <w:div w:id="699165323">
      <w:bodyDiv w:val="1"/>
      <w:marLeft w:val="0"/>
      <w:marRight w:val="0"/>
      <w:marTop w:val="0"/>
      <w:marBottom w:val="0"/>
      <w:divBdr>
        <w:top w:val="none" w:sz="0" w:space="0" w:color="auto"/>
        <w:left w:val="none" w:sz="0" w:space="0" w:color="auto"/>
        <w:bottom w:val="none" w:sz="0" w:space="0" w:color="auto"/>
        <w:right w:val="none" w:sz="0" w:space="0" w:color="auto"/>
      </w:divBdr>
    </w:div>
    <w:div w:id="699167119">
      <w:bodyDiv w:val="1"/>
      <w:marLeft w:val="0"/>
      <w:marRight w:val="0"/>
      <w:marTop w:val="0"/>
      <w:marBottom w:val="0"/>
      <w:divBdr>
        <w:top w:val="none" w:sz="0" w:space="0" w:color="auto"/>
        <w:left w:val="none" w:sz="0" w:space="0" w:color="auto"/>
        <w:bottom w:val="none" w:sz="0" w:space="0" w:color="auto"/>
        <w:right w:val="none" w:sz="0" w:space="0" w:color="auto"/>
      </w:divBdr>
    </w:div>
    <w:div w:id="699209362">
      <w:bodyDiv w:val="1"/>
      <w:marLeft w:val="0"/>
      <w:marRight w:val="0"/>
      <w:marTop w:val="0"/>
      <w:marBottom w:val="0"/>
      <w:divBdr>
        <w:top w:val="none" w:sz="0" w:space="0" w:color="auto"/>
        <w:left w:val="none" w:sz="0" w:space="0" w:color="auto"/>
        <w:bottom w:val="none" w:sz="0" w:space="0" w:color="auto"/>
        <w:right w:val="none" w:sz="0" w:space="0" w:color="auto"/>
      </w:divBdr>
    </w:div>
    <w:div w:id="699280469">
      <w:bodyDiv w:val="1"/>
      <w:marLeft w:val="0"/>
      <w:marRight w:val="0"/>
      <w:marTop w:val="0"/>
      <w:marBottom w:val="0"/>
      <w:divBdr>
        <w:top w:val="none" w:sz="0" w:space="0" w:color="auto"/>
        <w:left w:val="none" w:sz="0" w:space="0" w:color="auto"/>
        <w:bottom w:val="none" w:sz="0" w:space="0" w:color="auto"/>
        <w:right w:val="none" w:sz="0" w:space="0" w:color="auto"/>
      </w:divBdr>
    </w:div>
    <w:div w:id="699354222">
      <w:bodyDiv w:val="1"/>
      <w:marLeft w:val="0"/>
      <w:marRight w:val="0"/>
      <w:marTop w:val="0"/>
      <w:marBottom w:val="0"/>
      <w:divBdr>
        <w:top w:val="none" w:sz="0" w:space="0" w:color="auto"/>
        <w:left w:val="none" w:sz="0" w:space="0" w:color="auto"/>
        <w:bottom w:val="none" w:sz="0" w:space="0" w:color="auto"/>
        <w:right w:val="none" w:sz="0" w:space="0" w:color="auto"/>
      </w:divBdr>
    </w:div>
    <w:div w:id="699360441">
      <w:bodyDiv w:val="1"/>
      <w:marLeft w:val="0"/>
      <w:marRight w:val="0"/>
      <w:marTop w:val="0"/>
      <w:marBottom w:val="0"/>
      <w:divBdr>
        <w:top w:val="none" w:sz="0" w:space="0" w:color="auto"/>
        <w:left w:val="none" w:sz="0" w:space="0" w:color="auto"/>
        <w:bottom w:val="none" w:sz="0" w:space="0" w:color="auto"/>
        <w:right w:val="none" w:sz="0" w:space="0" w:color="auto"/>
      </w:divBdr>
    </w:div>
    <w:div w:id="699400344">
      <w:bodyDiv w:val="1"/>
      <w:marLeft w:val="0"/>
      <w:marRight w:val="0"/>
      <w:marTop w:val="0"/>
      <w:marBottom w:val="0"/>
      <w:divBdr>
        <w:top w:val="none" w:sz="0" w:space="0" w:color="auto"/>
        <w:left w:val="none" w:sz="0" w:space="0" w:color="auto"/>
        <w:bottom w:val="none" w:sz="0" w:space="0" w:color="auto"/>
        <w:right w:val="none" w:sz="0" w:space="0" w:color="auto"/>
      </w:divBdr>
    </w:div>
    <w:div w:id="699480357">
      <w:bodyDiv w:val="1"/>
      <w:marLeft w:val="0"/>
      <w:marRight w:val="0"/>
      <w:marTop w:val="0"/>
      <w:marBottom w:val="0"/>
      <w:divBdr>
        <w:top w:val="none" w:sz="0" w:space="0" w:color="auto"/>
        <w:left w:val="none" w:sz="0" w:space="0" w:color="auto"/>
        <w:bottom w:val="none" w:sz="0" w:space="0" w:color="auto"/>
        <w:right w:val="none" w:sz="0" w:space="0" w:color="auto"/>
      </w:divBdr>
    </w:div>
    <w:div w:id="699665477">
      <w:bodyDiv w:val="1"/>
      <w:marLeft w:val="0"/>
      <w:marRight w:val="0"/>
      <w:marTop w:val="0"/>
      <w:marBottom w:val="0"/>
      <w:divBdr>
        <w:top w:val="none" w:sz="0" w:space="0" w:color="auto"/>
        <w:left w:val="none" w:sz="0" w:space="0" w:color="auto"/>
        <w:bottom w:val="none" w:sz="0" w:space="0" w:color="auto"/>
        <w:right w:val="none" w:sz="0" w:space="0" w:color="auto"/>
      </w:divBdr>
    </w:div>
    <w:div w:id="699668582">
      <w:bodyDiv w:val="1"/>
      <w:marLeft w:val="0"/>
      <w:marRight w:val="0"/>
      <w:marTop w:val="0"/>
      <w:marBottom w:val="0"/>
      <w:divBdr>
        <w:top w:val="none" w:sz="0" w:space="0" w:color="auto"/>
        <w:left w:val="none" w:sz="0" w:space="0" w:color="auto"/>
        <w:bottom w:val="none" w:sz="0" w:space="0" w:color="auto"/>
        <w:right w:val="none" w:sz="0" w:space="0" w:color="auto"/>
      </w:divBdr>
    </w:div>
    <w:div w:id="699740961">
      <w:bodyDiv w:val="1"/>
      <w:marLeft w:val="0"/>
      <w:marRight w:val="0"/>
      <w:marTop w:val="0"/>
      <w:marBottom w:val="0"/>
      <w:divBdr>
        <w:top w:val="none" w:sz="0" w:space="0" w:color="auto"/>
        <w:left w:val="none" w:sz="0" w:space="0" w:color="auto"/>
        <w:bottom w:val="none" w:sz="0" w:space="0" w:color="auto"/>
        <w:right w:val="none" w:sz="0" w:space="0" w:color="auto"/>
      </w:divBdr>
    </w:div>
    <w:div w:id="699747510">
      <w:bodyDiv w:val="1"/>
      <w:marLeft w:val="0"/>
      <w:marRight w:val="0"/>
      <w:marTop w:val="0"/>
      <w:marBottom w:val="0"/>
      <w:divBdr>
        <w:top w:val="none" w:sz="0" w:space="0" w:color="auto"/>
        <w:left w:val="none" w:sz="0" w:space="0" w:color="auto"/>
        <w:bottom w:val="none" w:sz="0" w:space="0" w:color="auto"/>
        <w:right w:val="none" w:sz="0" w:space="0" w:color="auto"/>
      </w:divBdr>
    </w:div>
    <w:div w:id="699818359">
      <w:bodyDiv w:val="1"/>
      <w:marLeft w:val="0"/>
      <w:marRight w:val="0"/>
      <w:marTop w:val="0"/>
      <w:marBottom w:val="0"/>
      <w:divBdr>
        <w:top w:val="none" w:sz="0" w:space="0" w:color="auto"/>
        <w:left w:val="none" w:sz="0" w:space="0" w:color="auto"/>
        <w:bottom w:val="none" w:sz="0" w:space="0" w:color="auto"/>
        <w:right w:val="none" w:sz="0" w:space="0" w:color="auto"/>
      </w:divBdr>
    </w:div>
    <w:div w:id="699860049">
      <w:bodyDiv w:val="1"/>
      <w:marLeft w:val="0"/>
      <w:marRight w:val="0"/>
      <w:marTop w:val="0"/>
      <w:marBottom w:val="0"/>
      <w:divBdr>
        <w:top w:val="none" w:sz="0" w:space="0" w:color="auto"/>
        <w:left w:val="none" w:sz="0" w:space="0" w:color="auto"/>
        <w:bottom w:val="none" w:sz="0" w:space="0" w:color="auto"/>
        <w:right w:val="none" w:sz="0" w:space="0" w:color="auto"/>
      </w:divBdr>
    </w:div>
    <w:div w:id="699862142">
      <w:bodyDiv w:val="1"/>
      <w:marLeft w:val="0"/>
      <w:marRight w:val="0"/>
      <w:marTop w:val="0"/>
      <w:marBottom w:val="0"/>
      <w:divBdr>
        <w:top w:val="none" w:sz="0" w:space="0" w:color="auto"/>
        <w:left w:val="none" w:sz="0" w:space="0" w:color="auto"/>
        <w:bottom w:val="none" w:sz="0" w:space="0" w:color="auto"/>
        <w:right w:val="none" w:sz="0" w:space="0" w:color="auto"/>
      </w:divBdr>
    </w:div>
    <w:div w:id="699932955">
      <w:bodyDiv w:val="1"/>
      <w:marLeft w:val="0"/>
      <w:marRight w:val="0"/>
      <w:marTop w:val="0"/>
      <w:marBottom w:val="0"/>
      <w:divBdr>
        <w:top w:val="none" w:sz="0" w:space="0" w:color="auto"/>
        <w:left w:val="none" w:sz="0" w:space="0" w:color="auto"/>
        <w:bottom w:val="none" w:sz="0" w:space="0" w:color="auto"/>
        <w:right w:val="none" w:sz="0" w:space="0" w:color="auto"/>
      </w:divBdr>
    </w:div>
    <w:div w:id="700013997">
      <w:bodyDiv w:val="1"/>
      <w:marLeft w:val="0"/>
      <w:marRight w:val="0"/>
      <w:marTop w:val="0"/>
      <w:marBottom w:val="0"/>
      <w:divBdr>
        <w:top w:val="none" w:sz="0" w:space="0" w:color="auto"/>
        <w:left w:val="none" w:sz="0" w:space="0" w:color="auto"/>
        <w:bottom w:val="none" w:sz="0" w:space="0" w:color="auto"/>
        <w:right w:val="none" w:sz="0" w:space="0" w:color="auto"/>
      </w:divBdr>
    </w:div>
    <w:div w:id="700015727">
      <w:bodyDiv w:val="1"/>
      <w:marLeft w:val="0"/>
      <w:marRight w:val="0"/>
      <w:marTop w:val="0"/>
      <w:marBottom w:val="0"/>
      <w:divBdr>
        <w:top w:val="none" w:sz="0" w:space="0" w:color="auto"/>
        <w:left w:val="none" w:sz="0" w:space="0" w:color="auto"/>
        <w:bottom w:val="none" w:sz="0" w:space="0" w:color="auto"/>
        <w:right w:val="none" w:sz="0" w:space="0" w:color="auto"/>
      </w:divBdr>
    </w:div>
    <w:div w:id="700017053">
      <w:bodyDiv w:val="1"/>
      <w:marLeft w:val="0"/>
      <w:marRight w:val="0"/>
      <w:marTop w:val="0"/>
      <w:marBottom w:val="0"/>
      <w:divBdr>
        <w:top w:val="none" w:sz="0" w:space="0" w:color="auto"/>
        <w:left w:val="none" w:sz="0" w:space="0" w:color="auto"/>
        <w:bottom w:val="none" w:sz="0" w:space="0" w:color="auto"/>
        <w:right w:val="none" w:sz="0" w:space="0" w:color="auto"/>
      </w:divBdr>
    </w:div>
    <w:div w:id="700084434">
      <w:bodyDiv w:val="1"/>
      <w:marLeft w:val="0"/>
      <w:marRight w:val="0"/>
      <w:marTop w:val="0"/>
      <w:marBottom w:val="0"/>
      <w:divBdr>
        <w:top w:val="none" w:sz="0" w:space="0" w:color="auto"/>
        <w:left w:val="none" w:sz="0" w:space="0" w:color="auto"/>
        <w:bottom w:val="none" w:sz="0" w:space="0" w:color="auto"/>
        <w:right w:val="none" w:sz="0" w:space="0" w:color="auto"/>
      </w:divBdr>
    </w:div>
    <w:div w:id="700127373">
      <w:bodyDiv w:val="1"/>
      <w:marLeft w:val="0"/>
      <w:marRight w:val="0"/>
      <w:marTop w:val="0"/>
      <w:marBottom w:val="0"/>
      <w:divBdr>
        <w:top w:val="none" w:sz="0" w:space="0" w:color="auto"/>
        <w:left w:val="none" w:sz="0" w:space="0" w:color="auto"/>
        <w:bottom w:val="none" w:sz="0" w:space="0" w:color="auto"/>
        <w:right w:val="none" w:sz="0" w:space="0" w:color="auto"/>
      </w:divBdr>
    </w:div>
    <w:div w:id="700127925">
      <w:bodyDiv w:val="1"/>
      <w:marLeft w:val="0"/>
      <w:marRight w:val="0"/>
      <w:marTop w:val="0"/>
      <w:marBottom w:val="0"/>
      <w:divBdr>
        <w:top w:val="none" w:sz="0" w:space="0" w:color="auto"/>
        <w:left w:val="none" w:sz="0" w:space="0" w:color="auto"/>
        <w:bottom w:val="none" w:sz="0" w:space="0" w:color="auto"/>
        <w:right w:val="none" w:sz="0" w:space="0" w:color="auto"/>
      </w:divBdr>
    </w:div>
    <w:div w:id="700129527">
      <w:bodyDiv w:val="1"/>
      <w:marLeft w:val="0"/>
      <w:marRight w:val="0"/>
      <w:marTop w:val="0"/>
      <w:marBottom w:val="0"/>
      <w:divBdr>
        <w:top w:val="none" w:sz="0" w:space="0" w:color="auto"/>
        <w:left w:val="none" w:sz="0" w:space="0" w:color="auto"/>
        <w:bottom w:val="none" w:sz="0" w:space="0" w:color="auto"/>
        <w:right w:val="none" w:sz="0" w:space="0" w:color="auto"/>
      </w:divBdr>
    </w:div>
    <w:div w:id="700204495">
      <w:bodyDiv w:val="1"/>
      <w:marLeft w:val="0"/>
      <w:marRight w:val="0"/>
      <w:marTop w:val="0"/>
      <w:marBottom w:val="0"/>
      <w:divBdr>
        <w:top w:val="none" w:sz="0" w:space="0" w:color="auto"/>
        <w:left w:val="none" w:sz="0" w:space="0" w:color="auto"/>
        <w:bottom w:val="none" w:sz="0" w:space="0" w:color="auto"/>
        <w:right w:val="none" w:sz="0" w:space="0" w:color="auto"/>
      </w:divBdr>
    </w:div>
    <w:div w:id="700252905">
      <w:bodyDiv w:val="1"/>
      <w:marLeft w:val="0"/>
      <w:marRight w:val="0"/>
      <w:marTop w:val="0"/>
      <w:marBottom w:val="0"/>
      <w:divBdr>
        <w:top w:val="none" w:sz="0" w:space="0" w:color="auto"/>
        <w:left w:val="none" w:sz="0" w:space="0" w:color="auto"/>
        <w:bottom w:val="none" w:sz="0" w:space="0" w:color="auto"/>
        <w:right w:val="none" w:sz="0" w:space="0" w:color="auto"/>
      </w:divBdr>
    </w:div>
    <w:div w:id="700402114">
      <w:bodyDiv w:val="1"/>
      <w:marLeft w:val="0"/>
      <w:marRight w:val="0"/>
      <w:marTop w:val="0"/>
      <w:marBottom w:val="0"/>
      <w:divBdr>
        <w:top w:val="none" w:sz="0" w:space="0" w:color="auto"/>
        <w:left w:val="none" w:sz="0" w:space="0" w:color="auto"/>
        <w:bottom w:val="none" w:sz="0" w:space="0" w:color="auto"/>
        <w:right w:val="none" w:sz="0" w:space="0" w:color="auto"/>
      </w:divBdr>
    </w:div>
    <w:div w:id="700545703">
      <w:bodyDiv w:val="1"/>
      <w:marLeft w:val="0"/>
      <w:marRight w:val="0"/>
      <w:marTop w:val="0"/>
      <w:marBottom w:val="0"/>
      <w:divBdr>
        <w:top w:val="none" w:sz="0" w:space="0" w:color="auto"/>
        <w:left w:val="none" w:sz="0" w:space="0" w:color="auto"/>
        <w:bottom w:val="none" w:sz="0" w:space="0" w:color="auto"/>
        <w:right w:val="none" w:sz="0" w:space="0" w:color="auto"/>
      </w:divBdr>
    </w:div>
    <w:div w:id="700714757">
      <w:bodyDiv w:val="1"/>
      <w:marLeft w:val="0"/>
      <w:marRight w:val="0"/>
      <w:marTop w:val="0"/>
      <w:marBottom w:val="0"/>
      <w:divBdr>
        <w:top w:val="none" w:sz="0" w:space="0" w:color="auto"/>
        <w:left w:val="none" w:sz="0" w:space="0" w:color="auto"/>
        <w:bottom w:val="none" w:sz="0" w:space="0" w:color="auto"/>
        <w:right w:val="none" w:sz="0" w:space="0" w:color="auto"/>
      </w:divBdr>
    </w:div>
    <w:div w:id="700860217">
      <w:bodyDiv w:val="1"/>
      <w:marLeft w:val="0"/>
      <w:marRight w:val="0"/>
      <w:marTop w:val="0"/>
      <w:marBottom w:val="0"/>
      <w:divBdr>
        <w:top w:val="none" w:sz="0" w:space="0" w:color="auto"/>
        <w:left w:val="none" w:sz="0" w:space="0" w:color="auto"/>
        <w:bottom w:val="none" w:sz="0" w:space="0" w:color="auto"/>
        <w:right w:val="none" w:sz="0" w:space="0" w:color="auto"/>
      </w:divBdr>
    </w:div>
    <w:div w:id="701050527">
      <w:bodyDiv w:val="1"/>
      <w:marLeft w:val="0"/>
      <w:marRight w:val="0"/>
      <w:marTop w:val="0"/>
      <w:marBottom w:val="0"/>
      <w:divBdr>
        <w:top w:val="none" w:sz="0" w:space="0" w:color="auto"/>
        <w:left w:val="none" w:sz="0" w:space="0" w:color="auto"/>
        <w:bottom w:val="none" w:sz="0" w:space="0" w:color="auto"/>
        <w:right w:val="none" w:sz="0" w:space="0" w:color="auto"/>
      </w:divBdr>
    </w:div>
    <w:div w:id="701050935">
      <w:bodyDiv w:val="1"/>
      <w:marLeft w:val="0"/>
      <w:marRight w:val="0"/>
      <w:marTop w:val="0"/>
      <w:marBottom w:val="0"/>
      <w:divBdr>
        <w:top w:val="none" w:sz="0" w:space="0" w:color="auto"/>
        <w:left w:val="none" w:sz="0" w:space="0" w:color="auto"/>
        <w:bottom w:val="none" w:sz="0" w:space="0" w:color="auto"/>
        <w:right w:val="none" w:sz="0" w:space="0" w:color="auto"/>
      </w:divBdr>
    </w:div>
    <w:div w:id="701059059">
      <w:bodyDiv w:val="1"/>
      <w:marLeft w:val="0"/>
      <w:marRight w:val="0"/>
      <w:marTop w:val="0"/>
      <w:marBottom w:val="0"/>
      <w:divBdr>
        <w:top w:val="none" w:sz="0" w:space="0" w:color="auto"/>
        <w:left w:val="none" w:sz="0" w:space="0" w:color="auto"/>
        <w:bottom w:val="none" w:sz="0" w:space="0" w:color="auto"/>
        <w:right w:val="none" w:sz="0" w:space="0" w:color="auto"/>
      </w:divBdr>
    </w:div>
    <w:div w:id="701127351">
      <w:bodyDiv w:val="1"/>
      <w:marLeft w:val="0"/>
      <w:marRight w:val="0"/>
      <w:marTop w:val="0"/>
      <w:marBottom w:val="0"/>
      <w:divBdr>
        <w:top w:val="none" w:sz="0" w:space="0" w:color="auto"/>
        <w:left w:val="none" w:sz="0" w:space="0" w:color="auto"/>
        <w:bottom w:val="none" w:sz="0" w:space="0" w:color="auto"/>
        <w:right w:val="none" w:sz="0" w:space="0" w:color="auto"/>
      </w:divBdr>
    </w:div>
    <w:div w:id="701244642">
      <w:bodyDiv w:val="1"/>
      <w:marLeft w:val="0"/>
      <w:marRight w:val="0"/>
      <w:marTop w:val="0"/>
      <w:marBottom w:val="0"/>
      <w:divBdr>
        <w:top w:val="none" w:sz="0" w:space="0" w:color="auto"/>
        <w:left w:val="none" w:sz="0" w:space="0" w:color="auto"/>
        <w:bottom w:val="none" w:sz="0" w:space="0" w:color="auto"/>
        <w:right w:val="none" w:sz="0" w:space="0" w:color="auto"/>
      </w:divBdr>
    </w:div>
    <w:div w:id="701319259">
      <w:bodyDiv w:val="1"/>
      <w:marLeft w:val="0"/>
      <w:marRight w:val="0"/>
      <w:marTop w:val="0"/>
      <w:marBottom w:val="0"/>
      <w:divBdr>
        <w:top w:val="none" w:sz="0" w:space="0" w:color="auto"/>
        <w:left w:val="none" w:sz="0" w:space="0" w:color="auto"/>
        <w:bottom w:val="none" w:sz="0" w:space="0" w:color="auto"/>
        <w:right w:val="none" w:sz="0" w:space="0" w:color="auto"/>
      </w:divBdr>
    </w:div>
    <w:div w:id="701323923">
      <w:bodyDiv w:val="1"/>
      <w:marLeft w:val="0"/>
      <w:marRight w:val="0"/>
      <w:marTop w:val="0"/>
      <w:marBottom w:val="0"/>
      <w:divBdr>
        <w:top w:val="none" w:sz="0" w:space="0" w:color="auto"/>
        <w:left w:val="none" w:sz="0" w:space="0" w:color="auto"/>
        <w:bottom w:val="none" w:sz="0" w:space="0" w:color="auto"/>
        <w:right w:val="none" w:sz="0" w:space="0" w:color="auto"/>
      </w:divBdr>
    </w:div>
    <w:div w:id="701368613">
      <w:bodyDiv w:val="1"/>
      <w:marLeft w:val="0"/>
      <w:marRight w:val="0"/>
      <w:marTop w:val="0"/>
      <w:marBottom w:val="0"/>
      <w:divBdr>
        <w:top w:val="none" w:sz="0" w:space="0" w:color="auto"/>
        <w:left w:val="none" w:sz="0" w:space="0" w:color="auto"/>
        <w:bottom w:val="none" w:sz="0" w:space="0" w:color="auto"/>
        <w:right w:val="none" w:sz="0" w:space="0" w:color="auto"/>
      </w:divBdr>
    </w:div>
    <w:div w:id="701394513">
      <w:bodyDiv w:val="1"/>
      <w:marLeft w:val="0"/>
      <w:marRight w:val="0"/>
      <w:marTop w:val="0"/>
      <w:marBottom w:val="0"/>
      <w:divBdr>
        <w:top w:val="none" w:sz="0" w:space="0" w:color="auto"/>
        <w:left w:val="none" w:sz="0" w:space="0" w:color="auto"/>
        <w:bottom w:val="none" w:sz="0" w:space="0" w:color="auto"/>
        <w:right w:val="none" w:sz="0" w:space="0" w:color="auto"/>
      </w:divBdr>
    </w:div>
    <w:div w:id="701395757">
      <w:bodyDiv w:val="1"/>
      <w:marLeft w:val="0"/>
      <w:marRight w:val="0"/>
      <w:marTop w:val="0"/>
      <w:marBottom w:val="0"/>
      <w:divBdr>
        <w:top w:val="none" w:sz="0" w:space="0" w:color="auto"/>
        <w:left w:val="none" w:sz="0" w:space="0" w:color="auto"/>
        <w:bottom w:val="none" w:sz="0" w:space="0" w:color="auto"/>
        <w:right w:val="none" w:sz="0" w:space="0" w:color="auto"/>
      </w:divBdr>
    </w:div>
    <w:div w:id="701518608">
      <w:bodyDiv w:val="1"/>
      <w:marLeft w:val="0"/>
      <w:marRight w:val="0"/>
      <w:marTop w:val="0"/>
      <w:marBottom w:val="0"/>
      <w:divBdr>
        <w:top w:val="none" w:sz="0" w:space="0" w:color="auto"/>
        <w:left w:val="none" w:sz="0" w:space="0" w:color="auto"/>
        <w:bottom w:val="none" w:sz="0" w:space="0" w:color="auto"/>
        <w:right w:val="none" w:sz="0" w:space="0" w:color="auto"/>
      </w:divBdr>
    </w:div>
    <w:div w:id="701590529">
      <w:bodyDiv w:val="1"/>
      <w:marLeft w:val="0"/>
      <w:marRight w:val="0"/>
      <w:marTop w:val="0"/>
      <w:marBottom w:val="0"/>
      <w:divBdr>
        <w:top w:val="none" w:sz="0" w:space="0" w:color="auto"/>
        <w:left w:val="none" w:sz="0" w:space="0" w:color="auto"/>
        <w:bottom w:val="none" w:sz="0" w:space="0" w:color="auto"/>
        <w:right w:val="none" w:sz="0" w:space="0" w:color="auto"/>
      </w:divBdr>
    </w:div>
    <w:div w:id="701636113">
      <w:bodyDiv w:val="1"/>
      <w:marLeft w:val="0"/>
      <w:marRight w:val="0"/>
      <w:marTop w:val="0"/>
      <w:marBottom w:val="0"/>
      <w:divBdr>
        <w:top w:val="none" w:sz="0" w:space="0" w:color="auto"/>
        <w:left w:val="none" w:sz="0" w:space="0" w:color="auto"/>
        <w:bottom w:val="none" w:sz="0" w:space="0" w:color="auto"/>
        <w:right w:val="none" w:sz="0" w:space="0" w:color="auto"/>
      </w:divBdr>
    </w:div>
    <w:div w:id="701706357">
      <w:bodyDiv w:val="1"/>
      <w:marLeft w:val="0"/>
      <w:marRight w:val="0"/>
      <w:marTop w:val="0"/>
      <w:marBottom w:val="0"/>
      <w:divBdr>
        <w:top w:val="none" w:sz="0" w:space="0" w:color="auto"/>
        <w:left w:val="none" w:sz="0" w:space="0" w:color="auto"/>
        <w:bottom w:val="none" w:sz="0" w:space="0" w:color="auto"/>
        <w:right w:val="none" w:sz="0" w:space="0" w:color="auto"/>
      </w:divBdr>
    </w:div>
    <w:div w:id="701788633">
      <w:bodyDiv w:val="1"/>
      <w:marLeft w:val="0"/>
      <w:marRight w:val="0"/>
      <w:marTop w:val="0"/>
      <w:marBottom w:val="0"/>
      <w:divBdr>
        <w:top w:val="none" w:sz="0" w:space="0" w:color="auto"/>
        <w:left w:val="none" w:sz="0" w:space="0" w:color="auto"/>
        <w:bottom w:val="none" w:sz="0" w:space="0" w:color="auto"/>
        <w:right w:val="none" w:sz="0" w:space="0" w:color="auto"/>
      </w:divBdr>
    </w:div>
    <w:div w:id="701831212">
      <w:bodyDiv w:val="1"/>
      <w:marLeft w:val="0"/>
      <w:marRight w:val="0"/>
      <w:marTop w:val="0"/>
      <w:marBottom w:val="0"/>
      <w:divBdr>
        <w:top w:val="none" w:sz="0" w:space="0" w:color="auto"/>
        <w:left w:val="none" w:sz="0" w:space="0" w:color="auto"/>
        <w:bottom w:val="none" w:sz="0" w:space="0" w:color="auto"/>
        <w:right w:val="none" w:sz="0" w:space="0" w:color="auto"/>
      </w:divBdr>
    </w:div>
    <w:div w:id="701904020">
      <w:bodyDiv w:val="1"/>
      <w:marLeft w:val="0"/>
      <w:marRight w:val="0"/>
      <w:marTop w:val="0"/>
      <w:marBottom w:val="0"/>
      <w:divBdr>
        <w:top w:val="none" w:sz="0" w:space="0" w:color="auto"/>
        <w:left w:val="none" w:sz="0" w:space="0" w:color="auto"/>
        <w:bottom w:val="none" w:sz="0" w:space="0" w:color="auto"/>
        <w:right w:val="none" w:sz="0" w:space="0" w:color="auto"/>
      </w:divBdr>
    </w:div>
    <w:div w:id="701981461">
      <w:bodyDiv w:val="1"/>
      <w:marLeft w:val="0"/>
      <w:marRight w:val="0"/>
      <w:marTop w:val="0"/>
      <w:marBottom w:val="0"/>
      <w:divBdr>
        <w:top w:val="none" w:sz="0" w:space="0" w:color="auto"/>
        <w:left w:val="none" w:sz="0" w:space="0" w:color="auto"/>
        <w:bottom w:val="none" w:sz="0" w:space="0" w:color="auto"/>
        <w:right w:val="none" w:sz="0" w:space="0" w:color="auto"/>
      </w:divBdr>
    </w:div>
    <w:div w:id="702025554">
      <w:bodyDiv w:val="1"/>
      <w:marLeft w:val="0"/>
      <w:marRight w:val="0"/>
      <w:marTop w:val="0"/>
      <w:marBottom w:val="0"/>
      <w:divBdr>
        <w:top w:val="none" w:sz="0" w:space="0" w:color="auto"/>
        <w:left w:val="none" w:sz="0" w:space="0" w:color="auto"/>
        <w:bottom w:val="none" w:sz="0" w:space="0" w:color="auto"/>
        <w:right w:val="none" w:sz="0" w:space="0" w:color="auto"/>
      </w:divBdr>
    </w:div>
    <w:div w:id="702096761">
      <w:bodyDiv w:val="1"/>
      <w:marLeft w:val="0"/>
      <w:marRight w:val="0"/>
      <w:marTop w:val="0"/>
      <w:marBottom w:val="0"/>
      <w:divBdr>
        <w:top w:val="none" w:sz="0" w:space="0" w:color="auto"/>
        <w:left w:val="none" w:sz="0" w:space="0" w:color="auto"/>
        <w:bottom w:val="none" w:sz="0" w:space="0" w:color="auto"/>
        <w:right w:val="none" w:sz="0" w:space="0" w:color="auto"/>
      </w:divBdr>
    </w:div>
    <w:div w:id="702293849">
      <w:bodyDiv w:val="1"/>
      <w:marLeft w:val="0"/>
      <w:marRight w:val="0"/>
      <w:marTop w:val="0"/>
      <w:marBottom w:val="0"/>
      <w:divBdr>
        <w:top w:val="none" w:sz="0" w:space="0" w:color="auto"/>
        <w:left w:val="none" w:sz="0" w:space="0" w:color="auto"/>
        <w:bottom w:val="none" w:sz="0" w:space="0" w:color="auto"/>
        <w:right w:val="none" w:sz="0" w:space="0" w:color="auto"/>
      </w:divBdr>
    </w:div>
    <w:div w:id="702436843">
      <w:bodyDiv w:val="1"/>
      <w:marLeft w:val="0"/>
      <w:marRight w:val="0"/>
      <w:marTop w:val="0"/>
      <w:marBottom w:val="0"/>
      <w:divBdr>
        <w:top w:val="none" w:sz="0" w:space="0" w:color="auto"/>
        <w:left w:val="none" w:sz="0" w:space="0" w:color="auto"/>
        <w:bottom w:val="none" w:sz="0" w:space="0" w:color="auto"/>
        <w:right w:val="none" w:sz="0" w:space="0" w:color="auto"/>
      </w:divBdr>
    </w:div>
    <w:div w:id="702440140">
      <w:bodyDiv w:val="1"/>
      <w:marLeft w:val="0"/>
      <w:marRight w:val="0"/>
      <w:marTop w:val="0"/>
      <w:marBottom w:val="0"/>
      <w:divBdr>
        <w:top w:val="none" w:sz="0" w:space="0" w:color="auto"/>
        <w:left w:val="none" w:sz="0" w:space="0" w:color="auto"/>
        <w:bottom w:val="none" w:sz="0" w:space="0" w:color="auto"/>
        <w:right w:val="none" w:sz="0" w:space="0" w:color="auto"/>
      </w:divBdr>
    </w:div>
    <w:div w:id="702483032">
      <w:bodyDiv w:val="1"/>
      <w:marLeft w:val="0"/>
      <w:marRight w:val="0"/>
      <w:marTop w:val="0"/>
      <w:marBottom w:val="0"/>
      <w:divBdr>
        <w:top w:val="none" w:sz="0" w:space="0" w:color="auto"/>
        <w:left w:val="none" w:sz="0" w:space="0" w:color="auto"/>
        <w:bottom w:val="none" w:sz="0" w:space="0" w:color="auto"/>
        <w:right w:val="none" w:sz="0" w:space="0" w:color="auto"/>
      </w:divBdr>
    </w:div>
    <w:div w:id="702484378">
      <w:bodyDiv w:val="1"/>
      <w:marLeft w:val="0"/>
      <w:marRight w:val="0"/>
      <w:marTop w:val="0"/>
      <w:marBottom w:val="0"/>
      <w:divBdr>
        <w:top w:val="none" w:sz="0" w:space="0" w:color="auto"/>
        <w:left w:val="none" w:sz="0" w:space="0" w:color="auto"/>
        <w:bottom w:val="none" w:sz="0" w:space="0" w:color="auto"/>
        <w:right w:val="none" w:sz="0" w:space="0" w:color="auto"/>
      </w:divBdr>
    </w:div>
    <w:div w:id="702558317">
      <w:bodyDiv w:val="1"/>
      <w:marLeft w:val="0"/>
      <w:marRight w:val="0"/>
      <w:marTop w:val="0"/>
      <w:marBottom w:val="0"/>
      <w:divBdr>
        <w:top w:val="none" w:sz="0" w:space="0" w:color="auto"/>
        <w:left w:val="none" w:sz="0" w:space="0" w:color="auto"/>
        <w:bottom w:val="none" w:sz="0" w:space="0" w:color="auto"/>
        <w:right w:val="none" w:sz="0" w:space="0" w:color="auto"/>
      </w:divBdr>
    </w:div>
    <w:div w:id="702680242">
      <w:bodyDiv w:val="1"/>
      <w:marLeft w:val="0"/>
      <w:marRight w:val="0"/>
      <w:marTop w:val="0"/>
      <w:marBottom w:val="0"/>
      <w:divBdr>
        <w:top w:val="none" w:sz="0" w:space="0" w:color="auto"/>
        <w:left w:val="none" w:sz="0" w:space="0" w:color="auto"/>
        <w:bottom w:val="none" w:sz="0" w:space="0" w:color="auto"/>
        <w:right w:val="none" w:sz="0" w:space="0" w:color="auto"/>
      </w:divBdr>
    </w:div>
    <w:div w:id="702680721">
      <w:bodyDiv w:val="1"/>
      <w:marLeft w:val="0"/>
      <w:marRight w:val="0"/>
      <w:marTop w:val="0"/>
      <w:marBottom w:val="0"/>
      <w:divBdr>
        <w:top w:val="none" w:sz="0" w:space="0" w:color="auto"/>
        <w:left w:val="none" w:sz="0" w:space="0" w:color="auto"/>
        <w:bottom w:val="none" w:sz="0" w:space="0" w:color="auto"/>
        <w:right w:val="none" w:sz="0" w:space="0" w:color="auto"/>
      </w:divBdr>
    </w:div>
    <w:div w:id="702750414">
      <w:bodyDiv w:val="1"/>
      <w:marLeft w:val="0"/>
      <w:marRight w:val="0"/>
      <w:marTop w:val="0"/>
      <w:marBottom w:val="0"/>
      <w:divBdr>
        <w:top w:val="none" w:sz="0" w:space="0" w:color="auto"/>
        <w:left w:val="none" w:sz="0" w:space="0" w:color="auto"/>
        <w:bottom w:val="none" w:sz="0" w:space="0" w:color="auto"/>
        <w:right w:val="none" w:sz="0" w:space="0" w:color="auto"/>
      </w:divBdr>
    </w:div>
    <w:div w:id="702753665">
      <w:bodyDiv w:val="1"/>
      <w:marLeft w:val="0"/>
      <w:marRight w:val="0"/>
      <w:marTop w:val="0"/>
      <w:marBottom w:val="0"/>
      <w:divBdr>
        <w:top w:val="none" w:sz="0" w:space="0" w:color="auto"/>
        <w:left w:val="none" w:sz="0" w:space="0" w:color="auto"/>
        <w:bottom w:val="none" w:sz="0" w:space="0" w:color="auto"/>
        <w:right w:val="none" w:sz="0" w:space="0" w:color="auto"/>
      </w:divBdr>
    </w:div>
    <w:div w:id="702824095">
      <w:bodyDiv w:val="1"/>
      <w:marLeft w:val="0"/>
      <w:marRight w:val="0"/>
      <w:marTop w:val="0"/>
      <w:marBottom w:val="0"/>
      <w:divBdr>
        <w:top w:val="none" w:sz="0" w:space="0" w:color="auto"/>
        <w:left w:val="none" w:sz="0" w:space="0" w:color="auto"/>
        <w:bottom w:val="none" w:sz="0" w:space="0" w:color="auto"/>
        <w:right w:val="none" w:sz="0" w:space="0" w:color="auto"/>
      </w:divBdr>
    </w:div>
    <w:div w:id="702898985">
      <w:bodyDiv w:val="1"/>
      <w:marLeft w:val="0"/>
      <w:marRight w:val="0"/>
      <w:marTop w:val="0"/>
      <w:marBottom w:val="0"/>
      <w:divBdr>
        <w:top w:val="none" w:sz="0" w:space="0" w:color="auto"/>
        <w:left w:val="none" w:sz="0" w:space="0" w:color="auto"/>
        <w:bottom w:val="none" w:sz="0" w:space="0" w:color="auto"/>
        <w:right w:val="none" w:sz="0" w:space="0" w:color="auto"/>
      </w:divBdr>
    </w:div>
    <w:div w:id="702940737">
      <w:bodyDiv w:val="1"/>
      <w:marLeft w:val="0"/>
      <w:marRight w:val="0"/>
      <w:marTop w:val="0"/>
      <w:marBottom w:val="0"/>
      <w:divBdr>
        <w:top w:val="none" w:sz="0" w:space="0" w:color="auto"/>
        <w:left w:val="none" w:sz="0" w:space="0" w:color="auto"/>
        <w:bottom w:val="none" w:sz="0" w:space="0" w:color="auto"/>
        <w:right w:val="none" w:sz="0" w:space="0" w:color="auto"/>
      </w:divBdr>
    </w:div>
    <w:div w:id="703017511">
      <w:bodyDiv w:val="1"/>
      <w:marLeft w:val="0"/>
      <w:marRight w:val="0"/>
      <w:marTop w:val="0"/>
      <w:marBottom w:val="0"/>
      <w:divBdr>
        <w:top w:val="none" w:sz="0" w:space="0" w:color="auto"/>
        <w:left w:val="none" w:sz="0" w:space="0" w:color="auto"/>
        <w:bottom w:val="none" w:sz="0" w:space="0" w:color="auto"/>
        <w:right w:val="none" w:sz="0" w:space="0" w:color="auto"/>
      </w:divBdr>
    </w:div>
    <w:div w:id="703166750">
      <w:bodyDiv w:val="1"/>
      <w:marLeft w:val="0"/>
      <w:marRight w:val="0"/>
      <w:marTop w:val="0"/>
      <w:marBottom w:val="0"/>
      <w:divBdr>
        <w:top w:val="none" w:sz="0" w:space="0" w:color="auto"/>
        <w:left w:val="none" w:sz="0" w:space="0" w:color="auto"/>
        <w:bottom w:val="none" w:sz="0" w:space="0" w:color="auto"/>
        <w:right w:val="none" w:sz="0" w:space="0" w:color="auto"/>
      </w:divBdr>
    </w:div>
    <w:div w:id="703216845">
      <w:bodyDiv w:val="1"/>
      <w:marLeft w:val="0"/>
      <w:marRight w:val="0"/>
      <w:marTop w:val="0"/>
      <w:marBottom w:val="0"/>
      <w:divBdr>
        <w:top w:val="none" w:sz="0" w:space="0" w:color="auto"/>
        <w:left w:val="none" w:sz="0" w:space="0" w:color="auto"/>
        <w:bottom w:val="none" w:sz="0" w:space="0" w:color="auto"/>
        <w:right w:val="none" w:sz="0" w:space="0" w:color="auto"/>
      </w:divBdr>
    </w:div>
    <w:div w:id="703285228">
      <w:bodyDiv w:val="1"/>
      <w:marLeft w:val="0"/>
      <w:marRight w:val="0"/>
      <w:marTop w:val="0"/>
      <w:marBottom w:val="0"/>
      <w:divBdr>
        <w:top w:val="none" w:sz="0" w:space="0" w:color="auto"/>
        <w:left w:val="none" w:sz="0" w:space="0" w:color="auto"/>
        <w:bottom w:val="none" w:sz="0" w:space="0" w:color="auto"/>
        <w:right w:val="none" w:sz="0" w:space="0" w:color="auto"/>
      </w:divBdr>
    </w:div>
    <w:div w:id="703286448">
      <w:bodyDiv w:val="1"/>
      <w:marLeft w:val="0"/>
      <w:marRight w:val="0"/>
      <w:marTop w:val="0"/>
      <w:marBottom w:val="0"/>
      <w:divBdr>
        <w:top w:val="none" w:sz="0" w:space="0" w:color="auto"/>
        <w:left w:val="none" w:sz="0" w:space="0" w:color="auto"/>
        <w:bottom w:val="none" w:sz="0" w:space="0" w:color="auto"/>
        <w:right w:val="none" w:sz="0" w:space="0" w:color="auto"/>
      </w:divBdr>
    </w:div>
    <w:div w:id="703288863">
      <w:bodyDiv w:val="1"/>
      <w:marLeft w:val="0"/>
      <w:marRight w:val="0"/>
      <w:marTop w:val="0"/>
      <w:marBottom w:val="0"/>
      <w:divBdr>
        <w:top w:val="none" w:sz="0" w:space="0" w:color="auto"/>
        <w:left w:val="none" w:sz="0" w:space="0" w:color="auto"/>
        <w:bottom w:val="none" w:sz="0" w:space="0" w:color="auto"/>
        <w:right w:val="none" w:sz="0" w:space="0" w:color="auto"/>
      </w:divBdr>
    </w:div>
    <w:div w:id="703289952">
      <w:bodyDiv w:val="1"/>
      <w:marLeft w:val="0"/>
      <w:marRight w:val="0"/>
      <w:marTop w:val="0"/>
      <w:marBottom w:val="0"/>
      <w:divBdr>
        <w:top w:val="none" w:sz="0" w:space="0" w:color="auto"/>
        <w:left w:val="none" w:sz="0" w:space="0" w:color="auto"/>
        <w:bottom w:val="none" w:sz="0" w:space="0" w:color="auto"/>
        <w:right w:val="none" w:sz="0" w:space="0" w:color="auto"/>
      </w:divBdr>
    </w:div>
    <w:div w:id="703485397">
      <w:bodyDiv w:val="1"/>
      <w:marLeft w:val="0"/>
      <w:marRight w:val="0"/>
      <w:marTop w:val="0"/>
      <w:marBottom w:val="0"/>
      <w:divBdr>
        <w:top w:val="none" w:sz="0" w:space="0" w:color="auto"/>
        <w:left w:val="none" w:sz="0" w:space="0" w:color="auto"/>
        <w:bottom w:val="none" w:sz="0" w:space="0" w:color="auto"/>
        <w:right w:val="none" w:sz="0" w:space="0" w:color="auto"/>
      </w:divBdr>
    </w:div>
    <w:div w:id="703600347">
      <w:bodyDiv w:val="1"/>
      <w:marLeft w:val="0"/>
      <w:marRight w:val="0"/>
      <w:marTop w:val="0"/>
      <w:marBottom w:val="0"/>
      <w:divBdr>
        <w:top w:val="none" w:sz="0" w:space="0" w:color="auto"/>
        <w:left w:val="none" w:sz="0" w:space="0" w:color="auto"/>
        <w:bottom w:val="none" w:sz="0" w:space="0" w:color="auto"/>
        <w:right w:val="none" w:sz="0" w:space="0" w:color="auto"/>
      </w:divBdr>
    </w:div>
    <w:div w:id="703676193">
      <w:bodyDiv w:val="1"/>
      <w:marLeft w:val="0"/>
      <w:marRight w:val="0"/>
      <w:marTop w:val="0"/>
      <w:marBottom w:val="0"/>
      <w:divBdr>
        <w:top w:val="none" w:sz="0" w:space="0" w:color="auto"/>
        <w:left w:val="none" w:sz="0" w:space="0" w:color="auto"/>
        <w:bottom w:val="none" w:sz="0" w:space="0" w:color="auto"/>
        <w:right w:val="none" w:sz="0" w:space="0" w:color="auto"/>
      </w:divBdr>
    </w:div>
    <w:div w:id="703748620">
      <w:bodyDiv w:val="1"/>
      <w:marLeft w:val="0"/>
      <w:marRight w:val="0"/>
      <w:marTop w:val="0"/>
      <w:marBottom w:val="0"/>
      <w:divBdr>
        <w:top w:val="none" w:sz="0" w:space="0" w:color="auto"/>
        <w:left w:val="none" w:sz="0" w:space="0" w:color="auto"/>
        <w:bottom w:val="none" w:sz="0" w:space="0" w:color="auto"/>
        <w:right w:val="none" w:sz="0" w:space="0" w:color="auto"/>
      </w:divBdr>
    </w:div>
    <w:div w:id="703943616">
      <w:bodyDiv w:val="1"/>
      <w:marLeft w:val="0"/>
      <w:marRight w:val="0"/>
      <w:marTop w:val="0"/>
      <w:marBottom w:val="0"/>
      <w:divBdr>
        <w:top w:val="none" w:sz="0" w:space="0" w:color="auto"/>
        <w:left w:val="none" w:sz="0" w:space="0" w:color="auto"/>
        <w:bottom w:val="none" w:sz="0" w:space="0" w:color="auto"/>
        <w:right w:val="none" w:sz="0" w:space="0" w:color="auto"/>
      </w:divBdr>
    </w:div>
    <w:div w:id="703945284">
      <w:bodyDiv w:val="1"/>
      <w:marLeft w:val="0"/>
      <w:marRight w:val="0"/>
      <w:marTop w:val="0"/>
      <w:marBottom w:val="0"/>
      <w:divBdr>
        <w:top w:val="none" w:sz="0" w:space="0" w:color="auto"/>
        <w:left w:val="none" w:sz="0" w:space="0" w:color="auto"/>
        <w:bottom w:val="none" w:sz="0" w:space="0" w:color="auto"/>
        <w:right w:val="none" w:sz="0" w:space="0" w:color="auto"/>
      </w:divBdr>
    </w:div>
    <w:div w:id="703946130">
      <w:bodyDiv w:val="1"/>
      <w:marLeft w:val="0"/>
      <w:marRight w:val="0"/>
      <w:marTop w:val="0"/>
      <w:marBottom w:val="0"/>
      <w:divBdr>
        <w:top w:val="none" w:sz="0" w:space="0" w:color="auto"/>
        <w:left w:val="none" w:sz="0" w:space="0" w:color="auto"/>
        <w:bottom w:val="none" w:sz="0" w:space="0" w:color="auto"/>
        <w:right w:val="none" w:sz="0" w:space="0" w:color="auto"/>
      </w:divBdr>
    </w:div>
    <w:div w:id="703949173">
      <w:bodyDiv w:val="1"/>
      <w:marLeft w:val="0"/>
      <w:marRight w:val="0"/>
      <w:marTop w:val="0"/>
      <w:marBottom w:val="0"/>
      <w:divBdr>
        <w:top w:val="none" w:sz="0" w:space="0" w:color="auto"/>
        <w:left w:val="none" w:sz="0" w:space="0" w:color="auto"/>
        <w:bottom w:val="none" w:sz="0" w:space="0" w:color="auto"/>
        <w:right w:val="none" w:sz="0" w:space="0" w:color="auto"/>
      </w:divBdr>
    </w:div>
    <w:div w:id="704059992">
      <w:bodyDiv w:val="1"/>
      <w:marLeft w:val="0"/>
      <w:marRight w:val="0"/>
      <w:marTop w:val="0"/>
      <w:marBottom w:val="0"/>
      <w:divBdr>
        <w:top w:val="none" w:sz="0" w:space="0" w:color="auto"/>
        <w:left w:val="none" w:sz="0" w:space="0" w:color="auto"/>
        <w:bottom w:val="none" w:sz="0" w:space="0" w:color="auto"/>
        <w:right w:val="none" w:sz="0" w:space="0" w:color="auto"/>
      </w:divBdr>
    </w:div>
    <w:div w:id="704061498">
      <w:bodyDiv w:val="1"/>
      <w:marLeft w:val="0"/>
      <w:marRight w:val="0"/>
      <w:marTop w:val="0"/>
      <w:marBottom w:val="0"/>
      <w:divBdr>
        <w:top w:val="none" w:sz="0" w:space="0" w:color="auto"/>
        <w:left w:val="none" w:sz="0" w:space="0" w:color="auto"/>
        <w:bottom w:val="none" w:sz="0" w:space="0" w:color="auto"/>
        <w:right w:val="none" w:sz="0" w:space="0" w:color="auto"/>
      </w:divBdr>
    </w:div>
    <w:div w:id="704062532">
      <w:bodyDiv w:val="1"/>
      <w:marLeft w:val="0"/>
      <w:marRight w:val="0"/>
      <w:marTop w:val="0"/>
      <w:marBottom w:val="0"/>
      <w:divBdr>
        <w:top w:val="none" w:sz="0" w:space="0" w:color="auto"/>
        <w:left w:val="none" w:sz="0" w:space="0" w:color="auto"/>
        <w:bottom w:val="none" w:sz="0" w:space="0" w:color="auto"/>
        <w:right w:val="none" w:sz="0" w:space="0" w:color="auto"/>
      </w:divBdr>
    </w:div>
    <w:div w:id="704065109">
      <w:bodyDiv w:val="1"/>
      <w:marLeft w:val="0"/>
      <w:marRight w:val="0"/>
      <w:marTop w:val="0"/>
      <w:marBottom w:val="0"/>
      <w:divBdr>
        <w:top w:val="none" w:sz="0" w:space="0" w:color="auto"/>
        <w:left w:val="none" w:sz="0" w:space="0" w:color="auto"/>
        <w:bottom w:val="none" w:sz="0" w:space="0" w:color="auto"/>
        <w:right w:val="none" w:sz="0" w:space="0" w:color="auto"/>
      </w:divBdr>
    </w:div>
    <w:div w:id="704208244">
      <w:bodyDiv w:val="1"/>
      <w:marLeft w:val="0"/>
      <w:marRight w:val="0"/>
      <w:marTop w:val="0"/>
      <w:marBottom w:val="0"/>
      <w:divBdr>
        <w:top w:val="none" w:sz="0" w:space="0" w:color="auto"/>
        <w:left w:val="none" w:sz="0" w:space="0" w:color="auto"/>
        <w:bottom w:val="none" w:sz="0" w:space="0" w:color="auto"/>
        <w:right w:val="none" w:sz="0" w:space="0" w:color="auto"/>
      </w:divBdr>
    </w:div>
    <w:div w:id="704215458">
      <w:bodyDiv w:val="1"/>
      <w:marLeft w:val="0"/>
      <w:marRight w:val="0"/>
      <w:marTop w:val="0"/>
      <w:marBottom w:val="0"/>
      <w:divBdr>
        <w:top w:val="none" w:sz="0" w:space="0" w:color="auto"/>
        <w:left w:val="none" w:sz="0" w:space="0" w:color="auto"/>
        <w:bottom w:val="none" w:sz="0" w:space="0" w:color="auto"/>
        <w:right w:val="none" w:sz="0" w:space="0" w:color="auto"/>
      </w:divBdr>
    </w:div>
    <w:div w:id="704217062">
      <w:bodyDiv w:val="1"/>
      <w:marLeft w:val="0"/>
      <w:marRight w:val="0"/>
      <w:marTop w:val="0"/>
      <w:marBottom w:val="0"/>
      <w:divBdr>
        <w:top w:val="none" w:sz="0" w:space="0" w:color="auto"/>
        <w:left w:val="none" w:sz="0" w:space="0" w:color="auto"/>
        <w:bottom w:val="none" w:sz="0" w:space="0" w:color="auto"/>
        <w:right w:val="none" w:sz="0" w:space="0" w:color="auto"/>
      </w:divBdr>
    </w:div>
    <w:div w:id="704254619">
      <w:bodyDiv w:val="1"/>
      <w:marLeft w:val="0"/>
      <w:marRight w:val="0"/>
      <w:marTop w:val="0"/>
      <w:marBottom w:val="0"/>
      <w:divBdr>
        <w:top w:val="none" w:sz="0" w:space="0" w:color="auto"/>
        <w:left w:val="none" w:sz="0" w:space="0" w:color="auto"/>
        <w:bottom w:val="none" w:sz="0" w:space="0" w:color="auto"/>
        <w:right w:val="none" w:sz="0" w:space="0" w:color="auto"/>
      </w:divBdr>
    </w:div>
    <w:div w:id="704332832">
      <w:bodyDiv w:val="1"/>
      <w:marLeft w:val="0"/>
      <w:marRight w:val="0"/>
      <w:marTop w:val="0"/>
      <w:marBottom w:val="0"/>
      <w:divBdr>
        <w:top w:val="none" w:sz="0" w:space="0" w:color="auto"/>
        <w:left w:val="none" w:sz="0" w:space="0" w:color="auto"/>
        <w:bottom w:val="none" w:sz="0" w:space="0" w:color="auto"/>
        <w:right w:val="none" w:sz="0" w:space="0" w:color="auto"/>
      </w:divBdr>
    </w:div>
    <w:div w:id="704335645">
      <w:bodyDiv w:val="1"/>
      <w:marLeft w:val="0"/>
      <w:marRight w:val="0"/>
      <w:marTop w:val="0"/>
      <w:marBottom w:val="0"/>
      <w:divBdr>
        <w:top w:val="none" w:sz="0" w:space="0" w:color="auto"/>
        <w:left w:val="none" w:sz="0" w:space="0" w:color="auto"/>
        <w:bottom w:val="none" w:sz="0" w:space="0" w:color="auto"/>
        <w:right w:val="none" w:sz="0" w:space="0" w:color="auto"/>
      </w:divBdr>
    </w:div>
    <w:div w:id="704447605">
      <w:bodyDiv w:val="1"/>
      <w:marLeft w:val="0"/>
      <w:marRight w:val="0"/>
      <w:marTop w:val="0"/>
      <w:marBottom w:val="0"/>
      <w:divBdr>
        <w:top w:val="none" w:sz="0" w:space="0" w:color="auto"/>
        <w:left w:val="none" w:sz="0" w:space="0" w:color="auto"/>
        <w:bottom w:val="none" w:sz="0" w:space="0" w:color="auto"/>
        <w:right w:val="none" w:sz="0" w:space="0" w:color="auto"/>
      </w:divBdr>
    </w:div>
    <w:div w:id="704476876">
      <w:bodyDiv w:val="1"/>
      <w:marLeft w:val="0"/>
      <w:marRight w:val="0"/>
      <w:marTop w:val="0"/>
      <w:marBottom w:val="0"/>
      <w:divBdr>
        <w:top w:val="none" w:sz="0" w:space="0" w:color="auto"/>
        <w:left w:val="none" w:sz="0" w:space="0" w:color="auto"/>
        <w:bottom w:val="none" w:sz="0" w:space="0" w:color="auto"/>
        <w:right w:val="none" w:sz="0" w:space="0" w:color="auto"/>
      </w:divBdr>
    </w:div>
    <w:div w:id="704479220">
      <w:bodyDiv w:val="1"/>
      <w:marLeft w:val="0"/>
      <w:marRight w:val="0"/>
      <w:marTop w:val="0"/>
      <w:marBottom w:val="0"/>
      <w:divBdr>
        <w:top w:val="none" w:sz="0" w:space="0" w:color="auto"/>
        <w:left w:val="none" w:sz="0" w:space="0" w:color="auto"/>
        <w:bottom w:val="none" w:sz="0" w:space="0" w:color="auto"/>
        <w:right w:val="none" w:sz="0" w:space="0" w:color="auto"/>
      </w:divBdr>
    </w:div>
    <w:div w:id="704601386">
      <w:bodyDiv w:val="1"/>
      <w:marLeft w:val="0"/>
      <w:marRight w:val="0"/>
      <w:marTop w:val="0"/>
      <w:marBottom w:val="0"/>
      <w:divBdr>
        <w:top w:val="none" w:sz="0" w:space="0" w:color="auto"/>
        <w:left w:val="none" w:sz="0" w:space="0" w:color="auto"/>
        <w:bottom w:val="none" w:sz="0" w:space="0" w:color="auto"/>
        <w:right w:val="none" w:sz="0" w:space="0" w:color="auto"/>
      </w:divBdr>
    </w:div>
    <w:div w:id="704675537">
      <w:bodyDiv w:val="1"/>
      <w:marLeft w:val="0"/>
      <w:marRight w:val="0"/>
      <w:marTop w:val="0"/>
      <w:marBottom w:val="0"/>
      <w:divBdr>
        <w:top w:val="none" w:sz="0" w:space="0" w:color="auto"/>
        <w:left w:val="none" w:sz="0" w:space="0" w:color="auto"/>
        <w:bottom w:val="none" w:sz="0" w:space="0" w:color="auto"/>
        <w:right w:val="none" w:sz="0" w:space="0" w:color="auto"/>
      </w:divBdr>
    </w:div>
    <w:div w:id="704714964">
      <w:bodyDiv w:val="1"/>
      <w:marLeft w:val="0"/>
      <w:marRight w:val="0"/>
      <w:marTop w:val="0"/>
      <w:marBottom w:val="0"/>
      <w:divBdr>
        <w:top w:val="none" w:sz="0" w:space="0" w:color="auto"/>
        <w:left w:val="none" w:sz="0" w:space="0" w:color="auto"/>
        <w:bottom w:val="none" w:sz="0" w:space="0" w:color="auto"/>
        <w:right w:val="none" w:sz="0" w:space="0" w:color="auto"/>
      </w:divBdr>
    </w:div>
    <w:div w:id="704793338">
      <w:bodyDiv w:val="1"/>
      <w:marLeft w:val="0"/>
      <w:marRight w:val="0"/>
      <w:marTop w:val="0"/>
      <w:marBottom w:val="0"/>
      <w:divBdr>
        <w:top w:val="none" w:sz="0" w:space="0" w:color="auto"/>
        <w:left w:val="none" w:sz="0" w:space="0" w:color="auto"/>
        <w:bottom w:val="none" w:sz="0" w:space="0" w:color="auto"/>
        <w:right w:val="none" w:sz="0" w:space="0" w:color="auto"/>
      </w:divBdr>
    </w:div>
    <w:div w:id="704907467">
      <w:bodyDiv w:val="1"/>
      <w:marLeft w:val="0"/>
      <w:marRight w:val="0"/>
      <w:marTop w:val="0"/>
      <w:marBottom w:val="0"/>
      <w:divBdr>
        <w:top w:val="none" w:sz="0" w:space="0" w:color="auto"/>
        <w:left w:val="none" w:sz="0" w:space="0" w:color="auto"/>
        <w:bottom w:val="none" w:sz="0" w:space="0" w:color="auto"/>
        <w:right w:val="none" w:sz="0" w:space="0" w:color="auto"/>
      </w:divBdr>
    </w:div>
    <w:div w:id="704910558">
      <w:bodyDiv w:val="1"/>
      <w:marLeft w:val="0"/>
      <w:marRight w:val="0"/>
      <w:marTop w:val="0"/>
      <w:marBottom w:val="0"/>
      <w:divBdr>
        <w:top w:val="none" w:sz="0" w:space="0" w:color="auto"/>
        <w:left w:val="none" w:sz="0" w:space="0" w:color="auto"/>
        <w:bottom w:val="none" w:sz="0" w:space="0" w:color="auto"/>
        <w:right w:val="none" w:sz="0" w:space="0" w:color="auto"/>
      </w:divBdr>
    </w:div>
    <w:div w:id="705180212">
      <w:bodyDiv w:val="1"/>
      <w:marLeft w:val="0"/>
      <w:marRight w:val="0"/>
      <w:marTop w:val="0"/>
      <w:marBottom w:val="0"/>
      <w:divBdr>
        <w:top w:val="none" w:sz="0" w:space="0" w:color="auto"/>
        <w:left w:val="none" w:sz="0" w:space="0" w:color="auto"/>
        <w:bottom w:val="none" w:sz="0" w:space="0" w:color="auto"/>
        <w:right w:val="none" w:sz="0" w:space="0" w:color="auto"/>
      </w:divBdr>
    </w:div>
    <w:div w:id="705180777">
      <w:bodyDiv w:val="1"/>
      <w:marLeft w:val="0"/>
      <w:marRight w:val="0"/>
      <w:marTop w:val="0"/>
      <w:marBottom w:val="0"/>
      <w:divBdr>
        <w:top w:val="none" w:sz="0" w:space="0" w:color="auto"/>
        <w:left w:val="none" w:sz="0" w:space="0" w:color="auto"/>
        <w:bottom w:val="none" w:sz="0" w:space="0" w:color="auto"/>
        <w:right w:val="none" w:sz="0" w:space="0" w:color="auto"/>
      </w:divBdr>
    </w:div>
    <w:div w:id="705183373">
      <w:bodyDiv w:val="1"/>
      <w:marLeft w:val="0"/>
      <w:marRight w:val="0"/>
      <w:marTop w:val="0"/>
      <w:marBottom w:val="0"/>
      <w:divBdr>
        <w:top w:val="none" w:sz="0" w:space="0" w:color="auto"/>
        <w:left w:val="none" w:sz="0" w:space="0" w:color="auto"/>
        <w:bottom w:val="none" w:sz="0" w:space="0" w:color="auto"/>
        <w:right w:val="none" w:sz="0" w:space="0" w:color="auto"/>
      </w:divBdr>
    </w:div>
    <w:div w:id="705327447">
      <w:bodyDiv w:val="1"/>
      <w:marLeft w:val="0"/>
      <w:marRight w:val="0"/>
      <w:marTop w:val="0"/>
      <w:marBottom w:val="0"/>
      <w:divBdr>
        <w:top w:val="none" w:sz="0" w:space="0" w:color="auto"/>
        <w:left w:val="none" w:sz="0" w:space="0" w:color="auto"/>
        <w:bottom w:val="none" w:sz="0" w:space="0" w:color="auto"/>
        <w:right w:val="none" w:sz="0" w:space="0" w:color="auto"/>
      </w:divBdr>
    </w:div>
    <w:div w:id="705328759">
      <w:bodyDiv w:val="1"/>
      <w:marLeft w:val="0"/>
      <w:marRight w:val="0"/>
      <w:marTop w:val="0"/>
      <w:marBottom w:val="0"/>
      <w:divBdr>
        <w:top w:val="none" w:sz="0" w:space="0" w:color="auto"/>
        <w:left w:val="none" w:sz="0" w:space="0" w:color="auto"/>
        <w:bottom w:val="none" w:sz="0" w:space="0" w:color="auto"/>
        <w:right w:val="none" w:sz="0" w:space="0" w:color="auto"/>
      </w:divBdr>
    </w:div>
    <w:div w:id="705330776">
      <w:bodyDiv w:val="1"/>
      <w:marLeft w:val="0"/>
      <w:marRight w:val="0"/>
      <w:marTop w:val="0"/>
      <w:marBottom w:val="0"/>
      <w:divBdr>
        <w:top w:val="none" w:sz="0" w:space="0" w:color="auto"/>
        <w:left w:val="none" w:sz="0" w:space="0" w:color="auto"/>
        <w:bottom w:val="none" w:sz="0" w:space="0" w:color="auto"/>
        <w:right w:val="none" w:sz="0" w:space="0" w:color="auto"/>
      </w:divBdr>
    </w:div>
    <w:div w:id="705368231">
      <w:bodyDiv w:val="1"/>
      <w:marLeft w:val="0"/>
      <w:marRight w:val="0"/>
      <w:marTop w:val="0"/>
      <w:marBottom w:val="0"/>
      <w:divBdr>
        <w:top w:val="none" w:sz="0" w:space="0" w:color="auto"/>
        <w:left w:val="none" w:sz="0" w:space="0" w:color="auto"/>
        <w:bottom w:val="none" w:sz="0" w:space="0" w:color="auto"/>
        <w:right w:val="none" w:sz="0" w:space="0" w:color="auto"/>
      </w:divBdr>
    </w:div>
    <w:div w:id="705374607">
      <w:bodyDiv w:val="1"/>
      <w:marLeft w:val="0"/>
      <w:marRight w:val="0"/>
      <w:marTop w:val="0"/>
      <w:marBottom w:val="0"/>
      <w:divBdr>
        <w:top w:val="none" w:sz="0" w:space="0" w:color="auto"/>
        <w:left w:val="none" w:sz="0" w:space="0" w:color="auto"/>
        <w:bottom w:val="none" w:sz="0" w:space="0" w:color="auto"/>
        <w:right w:val="none" w:sz="0" w:space="0" w:color="auto"/>
      </w:divBdr>
    </w:div>
    <w:div w:id="705527038">
      <w:bodyDiv w:val="1"/>
      <w:marLeft w:val="0"/>
      <w:marRight w:val="0"/>
      <w:marTop w:val="0"/>
      <w:marBottom w:val="0"/>
      <w:divBdr>
        <w:top w:val="none" w:sz="0" w:space="0" w:color="auto"/>
        <w:left w:val="none" w:sz="0" w:space="0" w:color="auto"/>
        <w:bottom w:val="none" w:sz="0" w:space="0" w:color="auto"/>
        <w:right w:val="none" w:sz="0" w:space="0" w:color="auto"/>
      </w:divBdr>
    </w:div>
    <w:div w:id="705565051">
      <w:bodyDiv w:val="1"/>
      <w:marLeft w:val="0"/>
      <w:marRight w:val="0"/>
      <w:marTop w:val="0"/>
      <w:marBottom w:val="0"/>
      <w:divBdr>
        <w:top w:val="none" w:sz="0" w:space="0" w:color="auto"/>
        <w:left w:val="none" w:sz="0" w:space="0" w:color="auto"/>
        <w:bottom w:val="none" w:sz="0" w:space="0" w:color="auto"/>
        <w:right w:val="none" w:sz="0" w:space="0" w:color="auto"/>
      </w:divBdr>
    </w:div>
    <w:div w:id="705641293">
      <w:bodyDiv w:val="1"/>
      <w:marLeft w:val="0"/>
      <w:marRight w:val="0"/>
      <w:marTop w:val="0"/>
      <w:marBottom w:val="0"/>
      <w:divBdr>
        <w:top w:val="none" w:sz="0" w:space="0" w:color="auto"/>
        <w:left w:val="none" w:sz="0" w:space="0" w:color="auto"/>
        <w:bottom w:val="none" w:sz="0" w:space="0" w:color="auto"/>
        <w:right w:val="none" w:sz="0" w:space="0" w:color="auto"/>
      </w:divBdr>
    </w:div>
    <w:div w:id="705762180">
      <w:bodyDiv w:val="1"/>
      <w:marLeft w:val="0"/>
      <w:marRight w:val="0"/>
      <w:marTop w:val="0"/>
      <w:marBottom w:val="0"/>
      <w:divBdr>
        <w:top w:val="none" w:sz="0" w:space="0" w:color="auto"/>
        <w:left w:val="none" w:sz="0" w:space="0" w:color="auto"/>
        <w:bottom w:val="none" w:sz="0" w:space="0" w:color="auto"/>
        <w:right w:val="none" w:sz="0" w:space="0" w:color="auto"/>
      </w:divBdr>
    </w:div>
    <w:div w:id="705787406">
      <w:bodyDiv w:val="1"/>
      <w:marLeft w:val="0"/>
      <w:marRight w:val="0"/>
      <w:marTop w:val="0"/>
      <w:marBottom w:val="0"/>
      <w:divBdr>
        <w:top w:val="none" w:sz="0" w:space="0" w:color="auto"/>
        <w:left w:val="none" w:sz="0" w:space="0" w:color="auto"/>
        <w:bottom w:val="none" w:sz="0" w:space="0" w:color="auto"/>
        <w:right w:val="none" w:sz="0" w:space="0" w:color="auto"/>
      </w:divBdr>
    </w:div>
    <w:div w:id="705787583">
      <w:bodyDiv w:val="1"/>
      <w:marLeft w:val="0"/>
      <w:marRight w:val="0"/>
      <w:marTop w:val="0"/>
      <w:marBottom w:val="0"/>
      <w:divBdr>
        <w:top w:val="none" w:sz="0" w:space="0" w:color="auto"/>
        <w:left w:val="none" w:sz="0" w:space="0" w:color="auto"/>
        <w:bottom w:val="none" w:sz="0" w:space="0" w:color="auto"/>
        <w:right w:val="none" w:sz="0" w:space="0" w:color="auto"/>
      </w:divBdr>
    </w:div>
    <w:div w:id="705985923">
      <w:bodyDiv w:val="1"/>
      <w:marLeft w:val="0"/>
      <w:marRight w:val="0"/>
      <w:marTop w:val="0"/>
      <w:marBottom w:val="0"/>
      <w:divBdr>
        <w:top w:val="none" w:sz="0" w:space="0" w:color="auto"/>
        <w:left w:val="none" w:sz="0" w:space="0" w:color="auto"/>
        <w:bottom w:val="none" w:sz="0" w:space="0" w:color="auto"/>
        <w:right w:val="none" w:sz="0" w:space="0" w:color="auto"/>
      </w:divBdr>
    </w:div>
    <w:div w:id="706023648">
      <w:bodyDiv w:val="1"/>
      <w:marLeft w:val="0"/>
      <w:marRight w:val="0"/>
      <w:marTop w:val="0"/>
      <w:marBottom w:val="0"/>
      <w:divBdr>
        <w:top w:val="none" w:sz="0" w:space="0" w:color="auto"/>
        <w:left w:val="none" w:sz="0" w:space="0" w:color="auto"/>
        <w:bottom w:val="none" w:sz="0" w:space="0" w:color="auto"/>
        <w:right w:val="none" w:sz="0" w:space="0" w:color="auto"/>
      </w:divBdr>
    </w:div>
    <w:div w:id="706025129">
      <w:bodyDiv w:val="1"/>
      <w:marLeft w:val="0"/>
      <w:marRight w:val="0"/>
      <w:marTop w:val="0"/>
      <w:marBottom w:val="0"/>
      <w:divBdr>
        <w:top w:val="none" w:sz="0" w:space="0" w:color="auto"/>
        <w:left w:val="none" w:sz="0" w:space="0" w:color="auto"/>
        <w:bottom w:val="none" w:sz="0" w:space="0" w:color="auto"/>
        <w:right w:val="none" w:sz="0" w:space="0" w:color="auto"/>
      </w:divBdr>
    </w:div>
    <w:div w:id="706029959">
      <w:bodyDiv w:val="1"/>
      <w:marLeft w:val="0"/>
      <w:marRight w:val="0"/>
      <w:marTop w:val="0"/>
      <w:marBottom w:val="0"/>
      <w:divBdr>
        <w:top w:val="none" w:sz="0" w:space="0" w:color="auto"/>
        <w:left w:val="none" w:sz="0" w:space="0" w:color="auto"/>
        <w:bottom w:val="none" w:sz="0" w:space="0" w:color="auto"/>
        <w:right w:val="none" w:sz="0" w:space="0" w:color="auto"/>
      </w:divBdr>
    </w:div>
    <w:div w:id="706104693">
      <w:bodyDiv w:val="1"/>
      <w:marLeft w:val="0"/>
      <w:marRight w:val="0"/>
      <w:marTop w:val="0"/>
      <w:marBottom w:val="0"/>
      <w:divBdr>
        <w:top w:val="none" w:sz="0" w:space="0" w:color="auto"/>
        <w:left w:val="none" w:sz="0" w:space="0" w:color="auto"/>
        <w:bottom w:val="none" w:sz="0" w:space="0" w:color="auto"/>
        <w:right w:val="none" w:sz="0" w:space="0" w:color="auto"/>
      </w:divBdr>
    </w:div>
    <w:div w:id="706106607">
      <w:bodyDiv w:val="1"/>
      <w:marLeft w:val="0"/>
      <w:marRight w:val="0"/>
      <w:marTop w:val="0"/>
      <w:marBottom w:val="0"/>
      <w:divBdr>
        <w:top w:val="none" w:sz="0" w:space="0" w:color="auto"/>
        <w:left w:val="none" w:sz="0" w:space="0" w:color="auto"/>
        <w:bottom w:val="none" w:sz="0" w:space="0" w:color="auto"/>
        <w:right w:val="none" w:sz="0" w:space="0" w:color="auto"/>
      </w:divBdr>
    </w:div>
    <w:div w:id="706174531">
      <w:bodyDiv w:val="1"/>
      <w:marLeft w:val="0"/>
      <w:marRight w:val="0"/>
      <w:marTop w:val="0"/>
      <w:marBottom w:val="0"/>
      <w:divBdr>
        <w:top w:val="none" w:sz="0" w:space="0" w:color="auto"/>
        <w:left w:val="none" w:sz="0" w:space="0" w:color="auto"/>
        <w:bottom w:val="none" w:sz="0" w:space="0" w:color="auto"/>
        <w:right w:val="none" w:sz="0" w:space="0" w:color="auto"/>
      </w:divBdr>
    </w:div>
    <w:div w:id="706175076">
      <w:bodyDiv w:val="1"/>
      <w:marLeft w:val="0"/>
      <w:marRight w:val="0"/>
      <w:marTop w:val="0"/>
      <w:marBottom w:val="0"/>
      <w:divBdr>
        <w:top w:val="none" w:sz="0" w:space="0" w:color="auto"/>
        <w:left w:val="none" w:sz="0" w:space="0" w:color="auto"/>
        <w:bottom w:val="none" w:sz="0" w:space="0" w:color="auto"/>
        <w:right w:val="none" w:sz="0" w:space="0" w:color="auto"/>
      </w:divBdr>
    </w:div>
    <w:div w:id="706225863">
      <w:bodyDiv w:val="1"/>
      <w:marLeft w:val="0"/>
      <w:marRight w:val="0"/>
      <w:marTop w:val="0"/>
      <w:marBottom w:val="0"/>
      <w:divBdr>
        <w:top w:val="none" w:sz="0" w:space="0" w:color="auto"/>
        <w:left w:val="none" w:sz="0" w:space="0" w:color="auto"/>
        <w:bottom w:val="none" w:sz="0" w:space="0" w:color="auto"/>
        <w:right w:val="none" w:sz="0" w:space="0" w:color="auto"/>
      </w:divBdr>
    </w:div>
    <w:div w:id="706375630">
      <w:bodyDiv w:val="1"/>
      <w:marLeft w:val="0"/>
      <w:marRight w:val="0"/>
      <w:marTop w:val="0"/>
      <w:marBottom w:val="0"/>
      <w:divBdr>
        <w:top w:val="none" w:sz="0" w:space="0" w:color="auto"/>
        <w:left w:val="none" w:sz="0" w:space="0" w:color="auto"/>
        <w:bottom w:val="none" w:sz="0" w:space="0" w:color="auto"/>
        <w:right w:val="none" w:sz="0" w:space="0" w:color="auto"/>
      </w:divBdr>
    </w:div>
    <w:div w:id="706493166">
      <w:bodyDiv w:val="1"/>
      <w:marLeft w:val="0"/>
      <w:marRight w:val="0"/>
      <w:marTop w:val="0"/>
      <w:marBottom w:val="0"/>
      <w:divBdr>
        <w:top w:val="none" w:sz="0" w:space="0" w:color="auto"/>
        <w:left w:val="none" w:sz="0" w:space="0" w:color="auto"/>
        <w:bottom w:val="none" w:sz="0" w:space="0" w:color="auto"/>
        <w:right w:val="none" w:sz="0" w:space="0" w:color="auto"/>
      </w:divBdr>
    </w:div>
    <w:div w:id="706569419">
      <w:bodyDiv w:val="1"/>
      <w:marLeft w:val="0"/>
      <w:marRight w:val="0"/>
      <w:marTop w:val="0"/>
      <w:marBottom w:val="0"/>
      <w:divBdr>
        <w:top w:val="none" w:sz="0" w:space="0" w:color="auto"/>
        <w:left w:val="none" w:sz="0" w:space="0" w:color="auto"/>
        <w:bottom w:val="none" w:sz="0" w:space="0" w:color="auto"/>
        <w:right w:val="none" w:sz="0" w:space="0" w:color="auto"/>
      </w:divBdr>
    </w:div>
    <w:div w:id="706637879">
      <w:bodyDiv w:val="1"/>
      <w:marLeft w:val="0"/>
      <w:marRight w:val="0"/>
      <w:marTop w:val="0"/>
      <w:marBottom w:val="0"/>
      <w:divBdr>
        <w:top w:val="none" w:sz="0" w:space="0" w:color="auto"/>
        <w:left w:val="none" w:sz="0" w:space="0" w:color="auto"/>
        <w:bottom w:val="none" w:sz="0" w:space="0" w:color="auto"/>
        <w:right w:val="none" w:sz="0" w:space="0" w:color="auto"/>
      </w:divBdr>
    </w:div>
    <w:div w:id="706637952">
      <w:bodyDiv w:val="1"/>
      <w:marLeft w:val="0"/>
      <w:marRight w:val="0"/>
      <w:marTop w:val="0"/>
      <w:marBottom w:val="0"/>
      <w:divBdr>
        <w:top w:val="none" w:sz="0" w:space="0" w:color="auto"/>
        <w:left w:val="none" w:sz="0" w:space="0" w:color="auto"/>
        <w:bottom w:val="none" w:sz="0" w:space="0" w:color="auto"/>
        <w:right w:val="none" w:sz="0" w:space="0" w:color="auto"/>
      </w:divBdr>
    </w:div>
    <w:div w:id="706687258">
      <w:bodyDiv w:val="1"/>
      <w:marLeft w:val="0"/>
      <w:marRight w:val="0"/>
      <w:marTop w:val="0"/>
      <w:marBottom w:val="0"/>
      <w:divBdr>
        <w:top w:val="none" w:sz="0" w:space="0" w:color="auto"/>
        <w:left w:val="none" w:sz="0" w:space="0" w:color="auto"/>
        <w:bottom w:val="none" w:sz="0" w:space="0" w:color="auto"/>
        <w:right w:val="none" w:sz="0" w:space="0" w:color="auto"/>
      </w:divBdr>
    </w:div>
    <w:div w:id="706875064">
      <w:bodyDiv w:val="1"/>
      <w:marLeft w:val="0"/>
      <w:marRight w:val="0"/>
      <w:marTop w:val="0"/>
      <w:marBottom w:val="0"/>
      <w:divBdr>
        <w:top w:val="none" w:sz="0" w:space="0" w:color="auto"/>
        <w:left w:val="none" w:sz="0" w:space="0" w:color="auto"/>
        <w:bottom w:val="none" w:sz="0" w:space="0" w:color="auto"/>
        <w:right w:val="none" w:sz="0" w:space="0" w:color="auto"/>
      </w:divBdr>
    </w:div>
    <w:div w:id="706877110">
      <w:bodyDiv w:val="1"/>
      <w:marLeft w:val="0"/>
      <w:marRight w:val="0"/>
      <w:marTop w:val="0"/>
      <w:marBottom w:val="0"/>
      <w:divBdr>
        <w:top w:val="none" w:sz="0" w:space="0" w:color="auto"/>
        <w:left w:val="none" w:sz="0" w:space="0" w:color="auto"/>
        <w:bottom w:val="none" w:sz="0" w:space="0" w:color="auto"/>
        <w:right w:val="none" w:sz="0" w:space="0" w:color="auto"/>
      </w:divBdr>
    </w:div>
    <w:div w:id="707074335">
      <w:bodyDiv w:val="1"/>
      <w:marLeft w:val="0"/>
      <w:marRight w:val="0"/>
      <w:marTop w:val="0"/>
      <w:marBottom w:val="0"/>
      <w:divBdr>
        <w:top w:val="none" w:sz="0" w:space="0" w:color="auto"/>
        <w:left w:val="none" w:sz="0" w:space="0" w:color="auto"/>
        <w:bottom w:val="none" w:sz="0" w:space="0" w:color="auto"/>
        <w:right w:val="none" w:sz="0" w:space="0" w:color="auto"/>
      </w:divBdr>
    </w:div>
    <w:div w:id="707098452">
      <w:bodyDiv w:val="1"/>
      <w:marLeft w:val="0"/>
      <w:marRight w:val="0"/>
      <w:marTop w:val="0"/>
      <w:marBottom w:val="0"/>
      <w:divBdr>
        <w:top w:val="none" w:sz="0" w:space="0" w:color="auto"/>
        <w:left w:val="none" w:sz="0" w:space="0" w:color="auto"/>
        <w:bottom w:val="none" w:sz="0" w:space="0" w:color="auto"/>
        <w:right w:val="none" w:sz="0" w:space="0" w:color="auto"/>
      </w:divBdr>
    </w:div>
    <w:div w:id="707219135">
      <w:bodyDiv w:val="1"/>
      <w:marLeft w:val="0"/>
      <w:marRight w:val="0"/>
      <w:marTop w:val="0"/>
      <w:marBottom w:val="0"/>
      <w:divBdr>
        <w:top w:val="none" w:sz="0" w:space="0" w:color="auto"/>
        <w:left w:val="none" w:sz="0" w:space="0" w:color="auto"/>
        <w:bottom w:val="none" w:sz="0" w:space="0" w:color="auto"/>
        <w:right w:val="none" w:sz="0" w:space="0" w:color="auto"/>
      </w:divBdr>
    </w:div>
    <w:div w:id="707220702">
      <w:bodyDiv w:val="1"/>
      <w:marLeft w:val="0"/>
      <w:marRight w:val="0"/>
      <w:marTop w:val="0"/>
      <w:marBottom w:val="0"/>
      <w:divBdr>
        <w:top w:val="none" w:sz="0" w:space="0" w:color="auto"/>
        <w:left w:val="none" w:sz="0" w:space="0" w:color="auto"/>
        <w:bottom w:val="none" w:sz="0" w:space="0" w:color="auto"/>
        <w:right w:val="none" w:sz="0" w:space="0" w:color="auto"/>
      </w:divBdr>
    </w:div>
    <w:div w:id="707294390">
      <w:bodyDiv w:val="1"/>
      <w:marLeft w:val="0"/>
      <w:marRight w:val="0"/>
      <w:marTop w:val="0"/>
      <w:marBottom w:val="0"/>
      <w:divBdr>
        <w:top w:val="none" w:sz="0" w:space="0" w:color="auto"/>
        <w:left w:val="none" w:sz="0" w:space="0" w:color="auto"/>
        <w:bottom w:val="none" w:sz="0" w:space="0" w:color="auto"/>
        <w:right w:val="none" w:sz="0" w:space="0" w:color="auto"/>
      </w:divBdr>
    </w:div>
    <w:div w:id="707334482">
      <w:bodyDiv w:val="1"/>
      <w:marLeft w:val="0"/>
      <w:marRight w:val="0"/>
      <w:marTop w:val="0"/>
      <w:marBottom w:val="0"/>
      <w:divBdr>
        <w:top w:val="none" w:sz="0" w:space="0" w:color="auto"/>
        <w:left w:val="none" w:sz="0" w:space="0" w:color="auto"/>
        <w:bottom w:val="none" w:sz="0" w:space="0" w:color="auto"/>
        <w:right w:val="none" w:sz="0" w:space="0" w:color="auto"/>
      </w:divBdr>
    </w:div>
    <w:div w:id="707338400">
      <w:bodyDiv w:val="1"/>
      <w:marLeft w:val="0"/>
      <w:marRight w:val="0"/>
      <w:marTop w:val="0"/>
      <w:marBottom w:val="0"/>
      <w:divBdr>
        <w:top w:val="none" w:sz="0" w:space="0" w:color="auto"/>
        <w:left w:val="none" w:sz="0" w:space="0" w:color="auto"/>
        <w:bottom w:val="none" w:sz="0" w:space="0" w:color="auto"/>
        <w:right w:val="none" w:sz="0" w:space="0" w:color="auto"/>
      </w:divBdr>
    </w:div>
    <w:div w:id="707338950">
      <w:bodyDiv w:val="1"/>
      <w:marLeft w:val="0"/>
      <w:marRight w:val="0"/>
      <w:marTop w:val="0"/>
      <w:marBottom w:val="0"/>
      <w:divBdr>
        <w:top w:val="none" w:sz="0" w:space="0" w:color="auto"/>
        <w:left w:val="none" w:sz="0" w:space="0" w:color="auto"/>
        <w:bottom w:val="none" w:sz="0" w:space="0" w:color="auto"/>
        <w:right w:val="none" w:sz="0" w:space="0" w:color="auto"/>
      </w:divBdr>
    </w:div>
    <w:div w:id="707409506">
      <w:bodyDiv w:val="1"/>
      <w:marLeft w:val="0"/>
      <w:marRight w:val="0"/>
      <w:marTop w:val="0"/>
      <w:marBottom w:val="0"/>
      <w:divBdr>
        <w:top w:val="none" w:sz="0" w:space="0" w:color="auto"/>
        <w:left w:val="none" w:sz="0" w:space="0" w:color="auto"/>
        <w:bottom w:val="none" w:sz="0" w:space="0" w:color="auto"/>
        <w:right w:val="none" w:sz="0" w:space="0" w:color="auto"/>
      </w:divBdr>
    </w:div>
    <w:div w:id="707487235">
      <w:bodyDiv w:val="1"/>
      <w:marLeft w:val="0"/>
      <w:marRight w:val="0"/>
      <w:marTop w:val="0"/>
      <w:marBottom w:val="0"/>
      <w:divBdr>
        <w:top w:val="none" w:sz="0" w:space="0" w:color="auto"/>
        <w:left w:val="none" w:sz="0" w:space="0" w:color="auto"/>
        <w:bottom w:val="none" w:sz="0" w:space="0" w:color="auto"/>
        <w:right w:val="none" w:sz="0" w:space="0" w:color="auto"/>
      </w:divBdr>
    </w:div>
    <w:div w:id="707683831">
      <w:bodyDiv w:val="1"/>
      <w:marLeft w:val="0"/>
      <w:marRight w:val="0"/>
      <w:marTop w:val="0"/>
      <w:marBottom w:val="0"/>
      <w:divBdr>
        <w:top w:val="none" w:sz="0" w:space="0" w:color="auto"/>
        <w:left w:val="none" w:sz="0" w:space="0" w:color="auto"/>
        <w:bottom w:val="none" w:sz="0" w:space="0" w:color="auto"/>
        <w:right w:val="none" w:sz="0" w:space="0" w:color="auto"/>
      </w:divBdr>
    </w:div>
    <w:div w:id="707872125">
      <w:bodyDiv w:val="1"/>
      <w:marLeft w:val="0"/>
      <w:marRight w:val="0"/>
      <w:marTop w:val="0"/>
      <w:marBottom w:val="0"/>
      <w:divBdr>
        <w:top w:val="none" w:sz="0" w:space="0" w:color="auto"/>
        <w:left w:val="none" w:sz="0" w:space="0" w:color="auto"/>
        <w:bottom w:val="none" w:sz="0" w:space="0" w:color="auto"/>
        <w:right w:val="none" w:sz="0" w:space="0" w:color="auto"/>
      </w:divBdr>
    </w:div>
    <w:div w:id="707872611">
      <w:bodyDiv w:val="1"/>
      <w:marLeft w:val="0"/>
      <w:marRight w:val="0"/>
      <w:marTop w:val="0"/>
      <w:marBottom w:val="0"/>
      <w:divBdr>
        <w:top w:val="none" w:sz="0" w:space="0" w:color="auto"/>
        <w:left w:val="none" w:sz="0" w:space="0" w:color="auto"/>
        <w:bottom w:val="none" w:sz="0" w:space="0" w:color="auto"/>
        <w:right w:val="none" w:sz="0" w:space="0" w:color="auto"/>
      </w:divBdr>
    </w:div>
    <w:div w:id="707947961">
      <w:bodyDiv w:val="1"/>
      <w:marLeft w:val="0"/>
      <w:marRight w:val="0"/>
      <w:marTop w:val="0"/>
      <w:marBottom w:val="0"/>
      <w:divBdr>
        <w:top w:val="none" w:sz="0" w:space="0" w:color="auto"/>
        <w:left w:val="none" w:sz="0" w:space="0" w:color="auto"/>
        <w:bottom w:val="none" w:sz="0" w:space="0" w:color="auto"/>
        <w:right w:val="none" w:sz="0" w:space="0" w:color="auto"/>
      </w:divBdr>
    </w:div>
    <w:div w:id="708072908">
      <w:bodyDiv w:val="1"/>
      <w:marLeft w:val="0"/>
      <w:marRight w:val="0"/>
      <w:marTop w:val="0"/>
      <w:marBottom w:val="0"/>
      <w:divBdr>
        <w:top w:val="none" w:sz="0" w:space="0" w:color="auto"/>
        <w:left w:val="none" w:sz="0" w:space="0" w:color="auto"/>
        <w:bottom w:val="none" w:sz="0" w:space="0" w:color="auto"/>
        <w:right w:val="none" w:sz="0" w:space="0" w:color="auto"/>
      </w:divBdr>
    </w:div>
    <w:div w:id="708140953">
      <w:bodyDiv w:val="1"/>
      <w:marLeft w:val="0"/>
      <w:marRight w:val="0"/>
      <w:marTop w:val="0"/>
      <w:marBottom w:val="0"/>
      <w:divBdr>
        <w:top w:val="none" w:sz="0" w:space="0" w:color="auto"/>
        <w:left w:val="none" w:sz="0" w:space="0" w:color="auto"/>
        <w:bottom w:val="none" w:sz="0" w:space="0" w:color="auto"/>
        <w:right w:val="none" w:sz="0" w:space="0" w:color="auto"/>
      </w:divBdr>
    </w:div>
    <w:div w:id="708191374">
      <w:bodyDiv w:val="1"/>
      <w:marLeft w:val="0"/>
      <w:marRight w:val="0"/>
      <w:marTop w:val="0"/>
      <w:marBottom w:val="0"/>
      <w:divBdr>
        <w:top w:val="none" w:sz="0" w:space="0" w:color="auto"/>
        <w:left w:val="none" w:sz="0" w:space="0" w:color="auto"/>
        <w:bottom w:val="none" w:sz="0" w:space="0" w:color="auto"/>
        <w:right w:val="none" w:sz="0" w:space="0" w:color="auto"/>
      </w:divBdr>
    </w:div>
    <w:div w:id="708380418">
      <w:bodyDiv w:val="1"/>
      <w:marLeft w:val="0"/>
      <w:marRight w:val="0"/>
      <w:marTop w:val="0"/>
      <w:marBottom w:val="0"/>
      <w:divBdr>
        <w:top w:val="none" w:sz="0" w:space="0" w:color="auto"/>
        <w:left w:val="none" w:sz="0" w:space="0" w:color="auto"/>
        <w:bottom w:val="none" w:sz="0" w:space="0" w:color="auto"/>
        <w:right w:val="none" w:sz="0" w:space="0" w:color="auto"/>
      </w:divBdr>
    </w:div>
    <w:div w:id="708409860">
      <w:bodyDiv w:val="1"/>
      <w:marLeft w:val="0"/>
      <w:marRight w:val="0"/>
      <w:marTop w:val="0"/>
      <w:marBottom w:val="0"/>
      <w:divBdr>
        <w:top w:val="none" w:sz="0" w:space="0" w:color="auto"/>
        <w:left w:val="none" w:sz="0" w:space="0" w:color="auto"/>
        <w:bottom w:val="none" w:sz="0" w:space="0" w:color="auto"/>
        <w:right w:val="none" w:sz="0" w:space="0" w:color="auto"/>
      </w:divBdr>
    </w:div>
    <w:div w:id="708453598">
      <w:bodyDiv w:val="1"/>
      <w:marLeft w:val="0"/>
      <w:marRight w:val="0"/>
      <w:marTop w:val="0"/>
      <w:marBottom w:val="0"/>
      <w:divBdr>
        <w:top w:val="none" w:sz="0" w:space="0" w:color="auto"/>
        <w:left w:val="none" w:sz="0" w:space="0" w:color="auto"/>
        <w:bottom w:val="none" w:sz="0" w:space="0" w:color="auto"/>
        <w:right w:val="none" w:sz="0" w:space="0" w:color="auto"/>
      </w:divBdr>
    </w:div>
    <w:div w:id="708531159">
      <w:bodyDiv w:val="1"/>
      <w:marLeft w:val="0"/>
      <w:marRight w:val="0"/>
      <w:marTop w:val="0"/>
      <w:marBottom w:val="0"/>
      <w:divBdr>
        <w:top w:val="none" w:sz="0" w:space="0" w:color="auto"/>
        <w:left w:val="none" w:sz="0" w:space="0" w:color="auto"/>
        <w:bottom w:val="none" w:sz="0" w:space="0" w:color="auto"/>
        <w:right w:val="none" w:sz="0" w:space="0" w:color="auto"/>
      </w:divBdr>
    </w:div>
    <w:div w:id="708575344">
      <w:bodyDiv w:val="1"/>
      <w:marLeft w:val="0"/>
      <w:marRight w:val="0"/>
      <w:marTop w:val="0"/>
      <w:marBottom w:val="0"/>
      <w:divBdr>
        <w:top w:val="none" w:sz="0" w:space="0" w:color="auto"/>
        <w:left w:val="none" w:sz="0" w:space="0" w:color="auto"/>
        <w:bottom w:val="none" w:sz="0" w:space="0" w:color="auto"/>
        <w:right w:val="none" w:sz="0" w:space="0" w:color="auto"/>
      </w:divBdr>
    </w:div>
    <w:div w:id="708576637">
      <w:bodyDiv w:val="1"/>
      <w:marLeft w:val="0"/>
      <w:marRight w:val="0"/>
      <w:marTop w:val="0"/>
      <w:marBottom w:val="0"/>
      <w:divBdr>
        <w:top w:val="none" w:sz="0" w:space="0" w:color="auto"/>
        <w:left w:val="none" w:sz="0" w:space="0" w:color="auto"/>
        <w:bottom w:val="none" w:sz="0" w:space="0" w:color="auto"/>
        <w:right w:val="none" w:sz="0" w:space="0" w:color="auto"/>
      </w:divBdr>
    </w:div>
    <w:div w:id="708577565">
      <w:bodyDiv w:val="1"/>
      <w:marLeft w:val="0"/>
      <w:marRight w:val="0"/>
      <w:marTop w:val="0"/>
      <w:marBottom w:val="0"/>
      <w:divBdr>
        <w:top w:val="none" w:sz="0" w:space="0" w:color="auto"/>
        <w:left w:val="none" w:sz="0" w:space="0" w:color="auto"/>
        <w:bottom w:val="none" w:sz="0" w:space="0" w:color="auto"/>
        <w:right w:val="none" w:sz="0" w:space="0" w:color="auto"/>
      </w:divBdr>
    </w:div>
    <w:div w:id="708606960">
      <w:bodyDiv w:val="1"/>
      <w:marLeft w:val="0"/>
      <w:marRight w:val="0"/>
      <w:marTop w:val="0"/>
      <w:marBottom w:val="0"/>
      <w:divBdr>
        <w:top w:val="none" w:sz="0" w:space="0" w:color="auto"/>
        <w:left w:val="none" w:sz="0" w:space="0" w:color="auto"/>
        <w:bottom w:val="none" w:sz="0" w:space="0" w:color="auto"/>
        <w:right w:val="none" w:sz="0" w:space="0" w:color="auto"/>
      </w:divBdr>
    </w:div>
    <w:div w:id="708607091">
      <w:bodyDiv w:val="1"/>
      <w:marLeft w:val="0"/>
      <w:marRight w:val="0"/>
      <w:marTop w:val="0"/>
      <w:marBottom w:val="0"/>
      <w:divBdr>
        <w:top w:val="none" w:sz="0" w:space="0" w:color="auto"/>
        <w:left w:val="none" w:sz="0" w:space="0" w:color="auto"/>
        <w:bottom w:val="none" w:sz="0" w:space="0" w:color="auto"/>
        <w:right w:val="none" w:sz="0" w:space="0" w:color="auto"/>
      </w:divBdr>
    </w:div>
    <w:div w:id="708650437">
      <w:bodyDiv w:val="1"/>
      <w:marLeft w:val="0"/>
      <w:marRight w:val="0"/>
      <w:marTop w:val="0"/>
      <w:marBottom w:val="0"/>
      <w:divBdr>
        <w:top w:val="none" w:sz="0" w:space="0" w:color="auto"/>
        <w:left w:val="none" w:sz="0" w:space="0" w:color="auto"/>
        <w:bottom w:val="none" w:sz="0" w:space="0" w:color="auto"/>
        <w:right w:val="none" w:sz="0" w:space="0" w:color="auto"/>
      </w:divBdr>
    </w:div>
    <w:div w:id="708653650">
      <w:bodyDiv w:val="1"/>
      <w:marLeft w:val="0"/>
      <w:marRight w:val="0"/>
      <w:marTop w:val="0"/>
      <w:marBottom w:val="0"/>
      <w:divBdr>
        <w:top w:val="none" w:sz="0" w:space="0" w:color="auto"/>
        <w:left w:val="none" w:sz="0" w:space="0" w:color="auto"/>
        <w:bottom w:val="none" w:sz="0" w:space="0" w:color="auto"/>
        <w:right w:val="none" w:sz="0" w:space="0" w:color="auto"/>
      </w:divBdr>
    </w:div>
    <w:div w:id="708799049">
      <w:bodyDiv w:val="1"/>
      <w:marLeft w:val="0"/>
      <w:marRight w:val="0"/>
      <w:marTop w:val="0"/>
      <w:marBottom w:val="0"/>
      <w:divBdr>
        <w:top w:val="none" w:sz="0" w:space="0" w:color="auto"/>
        <w:left w:val="none" w:sz="0" w:space="0" w:color="auto"/>
        <w:bottom w:val="none" w:sz="0" w:space="0" w:color="auto"/>
        <w:right w:val="none" w:sz="0" w:space="0" w:color="auto"/>
      </w:divBdr>
    </w:div>
    <w:div w:id="708917466">
      <w:bodyDiv w:val="1"/>
      <w:marLeft w:val="0"/>
      <w:marRight w:val="0"/>
      <w:marTop w:val="0"/>
      <w:marBottom w:val="0"/>
      <w:divBdr>
        <w:top w:val="none" w:sz="0" w:space="0" w:color="auto"/>
        <w:left w:val="none" w:sz="0" w:space="0" w:color="auto"/>
        <w:bottom w:val="none" w:sz="0" w:space="0" w:color="auto"/>
        <w:right w:val="none" w:sz="0" w:space="0" w:color="auto"/>
      </w:divBdr>
    </w:div>
    <w:div w:id="709065415">
      <w:bodyDiv w:val="1"/>
      <w:marLeft w:val="0"/>
      <w:marRight w:val="0"/>
      <w:marTop w:val="0"/>
      <w:marBottom w:val="0"/>
      <w:divBdr>
        <w:top w:val="none" w:sz="0" w:space="0" w:color="auto"/>
        <w:left w:val="none" w:sz="0" w:space="0" w:color="auto"/>
        <w:bottom w:val="none" w:sz="0" w:space="0" w:color="auto"/>
        <w:right w:val="none" w:sz="0" w:space="0" w:color="auto"/>
      </w:divBdr>
    </w:div>
    <w:div w:id="709231121">
      <w:bodyDiv w:val="1"/>
      <w:marLeft w:val="0"/>
      <w:marRight w:val="0"/>
      <w:marTop w:val="0"/>
      <w:marBottom w:val="0"/>
      <w:divBdr>
        <w:top w:val="none" w:sz="0" w:space="0" w:color="auto"/>
        <w:left w:val="none" w:sz="0" w:space="0" w:color="auto"/>
        <w:bottom w:val="none" w:sz="0" w:space="0" w:color="auto"/>
        <w:right w:val="none" w:sz="0" w:space="0" w:color="auto"/>
      </w:divBdr>
    </w:div>
    <w:div w:id="709258230">
      <w:bodyDiv w:val="1"/>
      <w:marLeft w:val="0"/>
      <w:marRight w:val="0"/>
      <w:marTop w:val="0"/>
      <w:marBottom w:val="0"/>
      <w:divBdr>
        <w:top w:val="none" w:sz="0" w:space="0" w:color="auto"/>
        <w:left w:val="none" w:sz="0" w:space="0" w:color="auto"/>
        <w:bottom w:val="none" w:sz="0" w:space="0" w:color="auto"/>
        <w:right w:val="none" w:sz="0" w:space="0" w:color="auto"/>
      </w:divBdr>
    </w:div>
    <w:div w:id="709262872">
      <w:bodyDiv w:val="1"/>
      <w:marLeft w:val="0"/>
      <w:marRight w:val="0"/>
      <w:marTop w:val="0"/>
      <w:marBottom w:val="0"/>
      <w:divBdr>
        <w:top w:val="none" w:sz="0" w:space="0" w:color="auto"/>
        <w:left w:val="none" w:sz="0" w:space="0" w:color="auto"/>
        <w:bottom w:val="none" w:sz="0" w:space="0" w:color="auto"/>
        <w:right w:val="none" w:sz="0" w:space="0" w:color="auto"/>
      </w:divBdr>
    </w:div>
    <w:div w:id="709308075">
      <w:bodyDiv w:val="1"/>
      <w:marLeft w:val="0"/>
      <w:marRight w:val="0"/>
      <w:marTop w:val="0"/>
      <w:marBottom w:val="0"/>
      <w:divBdr>
        <w:top w:val="none" w:sz="0" w:space="0" w:color="auto"/>
        <w:left w:val="none" w:sz="0" w:space="0" w:color="auto"/>
        <w:bottom w:val="none" w:sz="0" w:space="0" w:color="auto"/>
        <w:right w:val="none" w:sz="0" w:space="0" w:color="auto"/>
      </w:divBdr>
    </w:div>
    <w:div w:id="709457654">
      <w:bodyDiv w:val="1"/>
      <w:marLeft w:val="0"/>
      <w:marRight w:val="0"/>
      <w:marTop w:val="0"/>
      <w:marBottom w:val="0"/>
      <w:divBdr>
        <w:top w:val="none" w:sz="0" w:space="0" w:color="auto"/>
        <w:left w:val="none" w:sz="0" w:space="0" w:color="auto"/>
        <w:bottom w:val="none" w:sz="0" w:space="0" w:color="auto"/>
        <w:right w:val="none" w:sz="0" w:space="0" w:color="auto"/>
      </w:divBdr>
    </w:div>
    <w:div w:id="709651402">
      <w:bodyDiv w:val="1"/>
      <w:marLeft w:val="0"/>
      <w:marRight w:val="0"/>
      <w:marTop w:val="0"/>
      <w:marBottom w:val="0"/>
      <w:divBdr>
        <w:top w:val="none" w:sz="0" w:space="0" w:color="auto"/>
        <w:left w:val="none" w:sz="0" w:space="0" w:color="auto"/>
        <w:bottom w:val="none" w:sz="0" w:space="0" w:color="auto"/>
        <w:right w:val="none" w:sz="0" w:space="0" w:color="auto"/>
      </w:divBdr>
    </w:div>
    <w:div w:id="709762826">
      <w:bodyDiv w:val="1"/>
      <w:marLeft w:val="0"/>
      <w:marRight w:val="0"/>
      <w:marTop w:val="0"/>
      <w:marBottom w:val="0"/>
      <w:divBdr>
        <w:top w:val="none" w:sz="0" w:space="0" w:color="auto"/>
        <w:left w:val="none" w:sz="0" w:space="0" w:color="auto"/>
        <w:bottom w:val="none" w:sz="0" w:space="0" w:color="auto"/>
        <w:right w:val="none" w:sz="0" w:space="0" w:color="auto"/>
      </w:divBdr>
    </w:div>
    <w:div w:id="709768713">
      <w:bodyDiv w:val="1"/>
      <w:marLeft w:val="0"/>
      <w:marRight w:val="0"/>
      <w:marTop w:val="0"/>
      <w:marBottom w:val="0"/>
      <w:divBdr>
        <w:top w:val="none" w:sz="0" w:space="0" w:color="auto"/>
        <w:left w:val="none" w:sz="0" w:space="0" w:color="auto"/>
        <w:bottom w:val="none" w:sz="0" w:space="0" w:color="auto"/>
        <w:right w:val="none" w:sz="0" w:space="0" w:color="auto"/>
      </w:divBdr>
    </w:div>
    <w:div w:id="709839710">
      <w:bodyDiv w:val="1"/>
      <w:marLeft w:val="0"/>
      <w:marRight w:val="0"/>
      <w:marTop w:val="0"/>
      <w:marBottom w:val="0"/>
      <w:divBdr>
        <w:top w:val="none" w:sz="0" w:space="0" w:color="auto"/>
        <w:left w:val="none" w:sz="0" w:space="0" w:color="auto"/>
        <w:bottom w:val="none" w:sz="0" w:space="0" w:color="auto"/>
        <w:right w:val="none" w:sz="0" w:space="0" w:color="auto"/>
      </w:divBdr>
    </w:div>
    <w:div w:id="709886948">
      <w:bodyDiv w:val="1"/>
      <w:marLeft w:val="0"/>
      <w:marRight w:val="0"/>
      <w:marTop w:val="0"/>
      <w:marBottom w:val="0"/>
      <w:divBdr>
        <w:top w:val="none" w:sz="0" w:space="0" w:color="auto"/>
        <w:left w:val="none" w:sz="0" w:space="0" w:color="auto"/>
        <w:bottom w:val="none" w:sz="0" w:space="0" w:color="auto"/>
        <w:right w:val="none" w:sz="0" w:space="0" w:color="auto"/>
      </w:divBdr>
    </w:div>
    <w:div w:id="709888463">
      <w:bodyDiv w:val="1"/>
      <w:marLeft w:val="0"/>
      <w:marRight w:val="0"/>
      <w:marTop w:val="0"/>
      <w:marBottom w:val="0"/>
      <w:divBdr>
        <w:top w:val="none" w:sz="0" w:space="0" w:color="auto"/>
        <w:left w:val="none" w:sz="0" w:space="0" w:color="auto"/>
        <w:bottom w:val="none" w:sz="0" w:space="0" w:color="auto"/>
        <w:right w:val="none" w:sz="0" w:space="0" w:color="auto"/>
      </w:divBdr>
    </w:div>
    <w:div w:id="710038725">
      <w:bodyDiv w:val="1"/>
      <w:marLeft w:val="0"/>
      <w:marRight w:val="0"/>
      <w:marTop w:val="0"/>
      <w:marBottom w:val="0"/>
      <w:divBdr>
        <w:top w:val="none" w:sz="0" w:space="0" w:color="auto"/>
        <w:left w:val="none" w:sz="0" w:space="0" w:color="auto"/>
        <w:bottom w:val="none" w:sz="0" w:space="0" w:color="auto"/>
        <w:right w:val="none" w:sz="0" w:space="0" w:color="auto"/>
      </w:divBdr>
    </w:div>
    <w:div w:id="710299811">
      <w:bodyDiv w:val="1"/>
      <w:marLeft w:val="0"/>
      <w:marRight w:val="0"/>
      <w:marTop w:val="0"/>
      <w:marBottom w:val="0"/>
      <w:divBdr>
        <w:top w:val="none" w:sz="0" w:space="0" w:color="auto"/>
        <w:left w:val="none" w:sz="0" w:space="0" w:color="auto"/>
        <w:bottom w:val="none" w:sz="0" w:space="0" w:color="auto"/>
        <w:right w:val="none" w:sz="0" w:space="0" w:color="auto"/>
      </w:divBdr>
    </w:div>
    <w:div w:id="710350039">
      <w:bodyDiv w:val="1"/>
      <w:marLeft w:val="0"/>
      <w:marRight w:val="0"/>
      <w:marTop w:val="0"/>
      <w:marBottom w:val="0"/>
      <w:divBdr>
        <w:top w:val="none" w:sz="0" w:space="0" w:color="auto"/>
        <w:left w:val="none" w:sz="0" w:space="0" w:color="auto"/>
        <w:bottom w:val="none" w:sz="0" w:space="0" w:color="auto"/>
        <w:right w:val="none" w:sz="0" w:space="0" w:color="auto"/>
      </w:divBdr>
    </w:div>
    <w:div w:id="710418574">
      <w:bodyDiv w:val="1"/>
      <w:marLeft w:val="0"/>
      <w:marRight w:val="0"/>
      <w:marTop w:val="0"/>
      <w:marBottom w:val="0"/>
      <w:divBdr>
        <w:top w:val="none" w:sz="0" w:space="0" w:color="auto"/>
        <w:left w:val="none" w:sz="0" w:space="0" w:color="auto"/>
        <w:bottom w:val="none" w:sz="0" w:space="0" w:color="auto"/>
        <w:right w:val="none" w:sz="0" w:space="0" w:color="auto"/>
      </w:divBdr>
    </w:div>
    <w:div w:id="710500662">
      <w:bodyDiv w:val="1"/>
      <w:marLeft w:val="0"/>
      <w:marRight w:val="0"/>
      <w:marTop w:val="0"/>
      <w:marBottom w:val="0"/>
      <w:divBdr>
        <w:top w:val="none" w:sz="0" w:space="0" w:color="auto"/>
        <w:left w:val="none" w:sz="0" w:space="0" w:color="auto"/>
        <w:bottom w:val="none" w:sz="0" w:space="0" w:color="auto"/>
        <w:right w:val="none" w:sz="0" w:space="0" w:color="auto"/>
      </w:divBdr>
    </w:div>
    <w:div w:id="710500981">
      <w:bodyDiv w:val="1"/>
      <w:marLeft w:val="0"/>
      <w:marRight w:val="0"/>
      <w:marTop w:val="0"/>
      <w:marBottom w:val="0"/>
      <w:divBdr>
        <w:top w:val="none" w:sz="0" w:space="0" w:color="auto"/>
        <w:left w:val="none" w:sz="0" w:space="0" w:color="auto"/>
        <w:bottom w:val="none" w:sz="0" w:space="0" w:color="auto"/>
        <w:right w:val="none" w:sz="0" w:space="0" w:color="auto"/>
      </w:divBdr>
    </w:div>
    <w:div w:id="710761749">
      <w:bodyDiv w:val="1"/>
      <w:marLeft w:val="0"/>
      <w:marRight w:val="0"/>
      <w:marTop w:val="0"/>
      <w:marBottom w:val="0"/>
      <w:divBdr>
        <w:top w:val="none" w:sz="0" w:space="0" w:color="auto"/>
        <w:left w:val="none" w:sz="0" w:space="0" w:color="auto"/>
        <w:bottom w:val="none" w:sz="0" w:space="0" w:color="auto"/>
        <w:right w:val="none" w:sz="0" w:space="0" w:color="auto"/>
      </w:divBdr>
    </w:div>
    <w:div w:id="710764172">
      <w:bodyDiv w:val="1"/>
      <w:marLeft w:val="0"/>
      <w:marRight w:val="0"/>
      <w:marTop w:val="0"/>
      <w:marBottom w:val="0"/>
      <w:divBdr>
        <w:top w:val="none" w:sz="0" w:space="0" w:color="auto"/>
        <w:left w:val="none" w:sz="0" w:space="0" w:color="auto"/>
        <w:bottom w:val="none" w:sz="0" w:space="0" w:color="auto"/>
        <w:right w:val="none" w:sz="0" w:space="0" w:color="auto"/>
      </w:divBdr>
    </w:div>
    <w:div w:id="710764440">
      <w:bodyDiv w:val="1"/>
      <w:marLeft w:val="0"/>
      <w:marRight w:val="0"/>
      <w:marTop w:val="0"/>
      <w:marBottom w:val="0"/>
      <w:divBdr>
        <w:top w:val="none" w:sz="0" w:space="0" w:color="auto"/>
        <w:left w:val="none" w:sz="0" w:space="0" w:color="auto"/>
        <w:bottom w:val="none" w:sz="0" w:space="0" w:color="auto"/>
        <w:right w:val="none" w:sz="0" w:space="0" w:color="auto"/>
      </w:divBdr>
    </w:div>
    <w:div w:id="710808634">
      <w:bodyDiv w:val="1"/>
      <w:marLeft w:val="0"/>
      <w:marRight w:val="0"/>
      <w:marTop w:val="0"/>
      <w:marBottom w:val="0"/>
      <w:divBdr>
        <w:top w:val="none" w:sz="0" w:space="0" w:color="auto"/>
        <w:left w:val="none" w:sz="0" w:space="0" w:color="auto"/>
        <w:bottom w:val="none" w:sz="0" w:space="0" w:color="auto"/>
        <w:right w:val="none" w:sz="0" w:space="0" w:color="auto"/>
      </w:divBdr>
    </w:div>
    <w:div w:id="710809129">
      <w:bodyDiv w:val="1"/>
      <w:marLeft w:val="0"/>
      <w:marRight w:val="0"/>
      <w:marTop w:val="0"/>
      <w:marBottom w:val="0"/>
      <w:divBdr>
        <w:top w:val="none" w:sz="0" w:space="0" w:color="auto"/>
        <w:left w:val="none" w:sz="0" w:space="0" w:color="auto"/>
        <w:bottom w:val="none" w:sz="0" w:space="0" w:color="auto"/>
        <w:right w:val="none" w:sz="0" w:space="0" w:color="auto"/>
      </w:divBdr>
    </w:div>
    <w:div w:id="710884287">
      <w:bodyDiv w:val="1"/>
      <w:marLeft w:val="0"/>
      <w:marRight w:val="0"/>
      <w:marTop w:val="0"/>
      <w:marBottom w:val="0"/>
      <w:divBdr>
        <w:top w:val="none" w:sz="0" w:space="0" w:color="auto"/>
        <w:left w:val="none" w:sz="0" w:space="0" w:color="auto"/>
        <w:bottom w:val="none" w:sz="0" w:space="0" w:color="auto"/>
        <w:right w:val="none" w:sz="0" w:space="0" w:color="auto"/>
      </w:divBdr>
    </w:div>
    <w:div w:id="710959436">
      <w:bodyDiv w:val="1"/>
      <w:marLeft w:val="0"/>
      <w:marRight w:val="0"/>
      <w:marTop w:val="0"/>
      <w:marBottom w:val="0"/>
      <w:divBdr>
        <w:top w:val="none" w:sz="0" w:space="0" w:color="auto"/>
        <w:left w:val="none" w:sz="0" w:space="0" w:color="auto"/>
        <w:bottom w:val="none" w:sz="0" w:space="0" w:color="auto"/>
        <w:right w:val="none" w:sz="0" w:space="0" w:color="auto"/>
      </w:divBdr>
    </w:div>
    <w:div w:id="711075360">
      <w:bodyDiv w:val="1"/>
      <w:marLeft w:val="0"/>
      <w:marRight w:val="0"/>
      <w:marTop w:val="0"/>
      <w:marBottom w:val="0"/>
      <w:divBdr>
        <w:top w:val="none" w:sz="0" w:space="0" w:color="auto"/>
        <w:left w:val="none" w:sz="0" w:space="0" w:color="auto"/>
        <w:bottom w:val="none" w:sz="0" w:space="0" w:color="auto"/>
        <w:right w:val="none" w:sz="0" w:space="0" w:color="auto"/>
      </w:divBdr>
    </w:div>
    <w:div w:id="711155200">
      <w:bodyDiv w:val="1"/>
      <w:marLeft w:val="0"/>
      <w:marRight w:val="0"/>
      <w:marTop w:val="0"/>
      <w:marBottom w:val="0"/>
      <w:divBdr>
        <w:top w:val="none" w:sz="0" w:space="0" w:color="auto"/>
        <w:left w:val="none" w:sz="0" w:space="0" w:color="auto"/>
        <w:bottom w:val="none" w:sz="0" w:space="0" w:color="auto"/>
        <w:right w:val="none" w:sz="0" w:space="0" w:color="auto"/>
      </w:divBdr>
    </w:div>
    <w:div w:id="711155623">
      <w:bodyDiv w:val="1"/>
      <w:marLeft w:val="0"/>
      <w:marRight w:val="0"/>
      <w:marTop w:val="0"/>
      <w:marBottom w:val="0"/>
      <w:divBdr>
        <w:top w:val="none" w:sz="0" w:space="0" w:color="auto"/>
        <w:left w:val="none" w:sz="0" w:space="0" w:color="auto"/>
        <w:bottom w:val="none" w:sz="0" w:space="0" w:color="auto"/>
        <w:right w:val="none" w:sz="0" w:space="0" w:color="auto"/>
      </w:divBdr>
    </w:div>
    <w:div w:id="711196680">
      <w:bodyDiv w:val="1"/>
      <w:marLeft w:val="0"/>
      <w:marRight w:val="0"/>
      <w:marTop w:val="0"/>
      <w:marBottom w:val="0"/>
      <w:divBdr>
        <w:top w:val="none" w:sz="0" w:space="0" w:color="auto"/>
        <w:left w:val="none" w:sz="0" w:space="0" w:color="auto"/>
        <w:bottom w:val="none" w:sz="0" w:space="0" w:color="auto"/>
        <w:right w:val="none" w:sz="0" w:space="0" w:color="auto"/>
      </w:divBdr>
    </w:div>
    <w:div w:id="711226283">
      <w:bodyDiv w:val="1"/>
      <w:marLeft w:val="0"/>
      <w:marRight w:val="0"/>
      <w:marTop w:val="0"/>
      <w:marBottom w:val="0"/>
      <w:divBdr>
        <w:top w:val="none" w:sz="0" w:space="0" w:color="auto"/>
        <w:left w:val="none" w:sz="0" w:space="0" w:color="auto"/>
        <w:bottom w:val="none" w:sz="0" w:space="0" w:color="auto"/>
        <w:right w:val="none" w:sz="0" w:space="0" w:color="auto"/>
      </w:divBdr>
    </w:div>
    <w:div w:id="711347315">
      <w:bodyDiv w:val="1"/>
      <w:marLeft w:val="0"/>
      <w:marRight w:val="0"/>
      <w:marTop w:val="0"/>
      <w:marBottom w:val="0"/>
      <w:divBdr>
        <w:top w:val="none" w:sz="0" w:space="0" w:color="auto"/>
        <w:left w:val="none" w:sz="0" w:space="0" w:color="auto"/>
        <w:bottom w:val="none" w:sz="0" w:space="0" w:color="auto"/>
        <w:right w:val="none" w:sz="0" w:space="0" w:color="auto"/>
      </w:divBdr>
    </w:div>
    <w:div w:id="711460738">
      <w:bodyDiv w:val="1"/>
      <w:marLeft w:val="0"/>
      <w:marRight w:val="0"/>
      <w:marTop w:val="0"/>
      <w:marBottom w:val="0"/>
      <w:divBdr>
        <w:top w:val="none" w:sz="0" w:space="0" w:color="auto"/>
        <w:left w:val="none" w:sz="0" w:space="0" w:color="auto"/>
        <w:bottom w:val="none" w:sz="0" w:space="0" w:color="auto"/>
        <w:right w:val="none" w:sz="0" w:space="0" w:color="auto"/>
      </w:divBdr>
    </w:div>
    <w:div w:id="711614129">
      <w:bodyDiv w:val="1"/>
      <w:marLeft w:val="0"/>
      <w:marRight w:val="0"/>
      <w:marTop w:val="0"/>
      <w:marBottom w:val="0"/>
      <w:divBdr>
        <w:top w:val="none" w:sz="0" w:space="0" w:color="auto"/>
        <w:left w:val="none" w:sz="0" w:space="0" w:color="auto"/>
        <w:bottom w:val="none" w:sz="0" w:space="0" w:color="auto"/>
        <w:right w:val="none" w:sz="0" w:space="0" w:color="auto"/>
      </w:divBdr>
    </w:div>
    <w:div w:id="711615702">
      <w:bodyDiv w:val="1"/>
      <w:marLeft w:val="0"/>
      <w:marRight w:val="0"/>
      <w:marTop w:val="0"/>
      <w:marBottom w:val="0"/>
      <w:divBdr>
        <w:top w:val="none" w:sz="0" w:space="0" w:color="auto"/>
        <w:left w:val="none" w:sz="0" w:space="0" w:color="auto"/>
        <w:bottom w:val="none" w:sz="0" w:space="0" w:color="auto"/>
        <w:right w:val="none" w:sz="0" w:space="0" w:color="auto"/>
      </w:divBdr>
    </w:div>
    <w:div w:id="711661473">
      <w:bodyDiv w:val="1"/>
      <w:marLeft w:val="0"/>
      <w:marRight w:val="0"/>
      <w:marTop w:val="0"/>
      <w:marBottom w:val="0"/>
      <w:divBdr>
        <w:top w:val="none" w:sz="0" w:space="0" w:color="auto"/>
        <w:left w:val="none" w:sz="0" w:space="0" w:color="auto"/>
        <w:bottom w:val="none" w:sz="0" w:space="0" w:color="auto"/>
        <w:right w:val="none" w:sz="0" w:space="0" w:color="auto"/>
      </w:divBdr>
    </w:div>
    <w:div w:id="711734158">
      <w:bodyDiv w:val="1"/>
      <w:marLeft w:val="0"/>
      <w:marRight w:val="0"/>
      <w:marTop w:val="0"/>
      <w:marBottom w:val="0"/>
      <w:divBdr>
        <w:top w:val="none" w:sz="0" w:space="0" w:color="auto"/>
        <w:left w:val="none" w:sz="0" w:space="0" w:color="auto"/>
        <w:bottom w:val="none" w:sz="0" w:space="0" w:color="auto"/>
        <w:right w:val="none" w:sz="0" w:space="0" w:color="auto"/>
      </w:divBdr>
    </w:div>
    <w:div w:id="711811322">
      <w:bodyDiv w:val="1"/>
      <w:marLeft w:val="0"/>
      <w:marRight w:val="0"/>
      <w:marTop w:val="0"/>
      <w:marBottom w:val="0"/>
      <w:divBdr>
        <w:top w:val="none" w:sz="0" w:space="0" w:color="auto"/>
        <w:left w:val="none" w:sz="0" w:space="0" w:color="auto"/>
        <w:bottom w:val="none" w:sz="0" w:space="0" w:color="auto"/>
        <w:right w:val="none" w:sz="0" w:space="0" w:color="auto"/>
      </w:divBdr>
    </w:div>
    <w:div w:id="711884320">
      <w:bodyDiv w:val="1"/>
      <w:marLeft w:val="0"/>
      <w:marRight w:val="0"/>
      <w:marTop w:val="0"/>
      <w:marBottom w:val="0"/>
      <w:divBdr>
        <w:top w:val="none" w:sz="0" w:space="0" w:color="auto"/>
        <w:left w:val="none" w:sz="0" w:space="0" w:color="auto"/>
        <w:bottom w:val="none" w:sz="0" w:space="0" w:color="auto"/>
        <w:right w:val="none" w:sz="0" w:space="0" w:color="auto"/>
      </w:divBdr>
    </w:div>
    <w:div w:id="711928463">
      <w:bodyDiv w:val="1"/>
      <w:marLeft w:val="0"/>
      <w:marRight w:val="0"/>
      <w:marTop w:val="0"/>
      <w:marBottom w:val="0"/>
      <w:divBdr>
        <w:top w:val="none" w:sz="0" w:space="0" w:color="auto"/>
        <w:left w:val="none" w:sz="0" w:space="0" w:color="auto"/>
        <w:bottom w:val="none" w:sz="0" w:space="0" w:color="auto"/>
        <w:right w:val="none" w:sz="0" w:space="0" w:color="auto"/>
      </w:divBdr>
    </w:div>
    <w:div w:id="712003579">
      <w:bodyDiv w:val="1"/>
      <w:marLeft w:val="0"/>
      <w:marRight w:val="0"/>
      <w:marTop w:val="0"/>
      <w:marBottom w:val="0"/>
      <w:divBdr>
        <w:top w:val="none" w:sz="0" w:space="0" w:color="auto"/>
        <w:left w:val="none" w:sz="0" w:space="0" w:color="auto"/>
        <w:bottom w:val="none" w:sz="0" w:space="0" w:color="auto"/>
        <w:right w:val="none" w:sz="0" w:space="0" w:color="auto"/>
      </w:divBdr>
    </w:div>
    <w:div w:id="712072244">
      <w:bodyDiv w:val="1"/>
      <w:marLeft w:val="0"/>
      <w:marRight w:val="0"/>
      <w:marTop w:val="0"/>
      <w:marBottom w:val="0"/>
      <w:divBdr>
        <w:top w:val="none" w:sz="0" w:space="0" w:color="auto"/>
        <w:left w:val="none" w:sz="0" w:space="0" w:color="auto"/>
        <w:bottom w:val="none" w:sz="0" w:space="0" w:color="auto"/>
        <w:right w:val="none" w:sz="0" w:space="0" w:color="auto"/>
      </w:divBdr>
    </w:div>
    <w:div w:id="712072587">
      <w:bodyDiv w:val="1"/>
      <w:marLeft w:val="0"/>
      <w:marRight w:val="0"/>
      <w:marTop w:val="0"/>
      <w:marBottom w:val="0"/>
      <w:divBdr>
        <w:top w:val="none" w:sz="0" w:space="0" w:color="auto"/>
        <w:left w:val="none" w:sz="0" w:space="0" w:color="auto"/>
        <w:bottom w:val="none" w:sz="0" w:space="0" w:color="auto"/>
        <w:right w:val="none" w:sz="0" w:space="0" w:color="auto"/>
      </w:divBdr>
    </w:div>
    <w:div w:id="712115192">
      <w:bodyDiv w:val="1"/>
      <w:marLeft w:val="0"/>
      <w:marRight w:val="0"/>
      <w:marTop w:val="0"/>
      <w:marBottom w:val="0"/>
      <w:divBdr>
        <w:top w:val="none" w:sz="0" w:space="0" w:color="auto"/>
        <w:left w:val="none" w:sz="0" w:space="0" w:color="auto"/>
        <w:bottom w:val="none" w:sz="0" w:space="0" w:color="auto"/>
        <w:right w:val="none" w:sz="0" w:space="0" w:color="auto"/>
      </w:divBdr>
    </w:div>
    <w:div w:id="712121913">
      <w:bodyDiv w:val="1"/>
      <w:marLeft w:val="0"/>
      <w:marRight w:val="0"/>
      <w:marTop w:val="0"/>
      <w:marBottom w:val="0"/>
      <w:divBdr>
        <w:top w:val="none" w:sz="0" w:space="0" w:color="auto"/>
        <w:left w:val="none" w:sz="0" w:space="0" w:color="auto"/>
        <w:bottom w:val="none" w:sz="0" w:space="0" w:color="auto"/>
        <w:right w:val="none" w:sz="0" w:space="0" w:color="auto"/>
      </w:divBdr>
    </w:div>
    <w:div w:id="712123721">
      <w:bodyDiv w:val="1"/>
      <w:marLeft w:val="0"/>
      <w:marRight w:val="0"/>
      <w:marTop w:val="0"/>
      <w:marBottom w:val="0"/>
      <w:divBdr>
        <w:top w:val="none" w:sz="0" w:space="0" w:color="auto"/>
        <w:left w:val="none" w:sz="0" w:space="0" w:color="auto"/>
        <w:bottom w:val="none" w:sz="0" w:space="0" w:color="auto"/>
        <w:right w:val="none" w:sz="0" w:space="0" w:color="auto"/>
      </w:divBdr>
    </w:div>
    <w:div w:id="712196352">
      <w:bodyDiv w:val="1"/>
      <w:marLeft w:val="0"/>
      <w:marRight w:val="0"/>
      <w:marTop w:val="0"/>
      <w:marBottom w:val="0"/>
      <w:divBdr>
        <w:top w:val="none" w:sz="0" w:space="0" w:color="auto"/>
        <w:left w:val="none" w:sz="0" w:space="0" w:color="auto"/>
        <w:bottom w:val="none" w:sz="0" w:space="0" w:color="auto"/>
        <w:right w:val="none" w:sz="0" w:space="0" w:color="auto"/>
      </w:divBdr>
    </w:div>
    <w:div w:id="712387590">
      <w:bodyDiv w:val="1"/>
      <w:marLeft w:val="0"/>
      <w:marRight w:val="0"/>
      <w:marTop w:val="0"/>
      <w:marBottom w:val="0"/>
      <w:divBdr>
        <w:top w:val="none" w:sz="0" w:space="0" w:color="auto"/>
        <w:left w:val="none" w:sz="0" w:space="0" w:color="auto"/>
        <w:bottom w:val="none" w:sz="0" w:space="0" w:color="auto"/>
        <w:right w:val="none" w:sz="0" w:space="0" w:color="auto"/>
      </w:divBdr>
    </w:div>
    <w:div w:id="712508296">
      <w:bodyDiv w:val="1"/>
      <w:marLeft w:val="0"/>
      <w:marRight w:val="0"/>
      <w:marTop w:val="0"/>
      <w:marBottom w:val="0"/>
      <w:divBdr>
        <w:top w:val="none" w:sz="0" w:space="0" w:color="auto"/>
        <w:left w:val="none" w:sz="0" w:space="0" w:color="auto"/>
        <w:bottom w:val="none" w:sz="0" w:space="0" w:color="auto"/>
        <w:right w:val="none" w:sz="0" w:space="0" w:color="auto"/>
      </w:divBdr>
    </w:div>
    <w:div w:id="712657347">
      <w:bodyDiv w:val="1"/>
      <w:marLeft w:val="0"/>
      <w:marRight w:val="0"/>
      <w:marTop w:val="0"/>
      <w:marBottom w:val="0"/>
      <w:divBdr>
        <w:top w:val="none" w:sz="0" w:space="0" w:color="auto"/>
        <w:left w:val="none" w:sz="0" w:space="0" w:color="auto"/>
        <w:bottom w:val="none" w:sz="0" w:space="0" w:color="auto"/>
        <w:right w:val="none" w:sz="0" w:space="0" w:color="auto"/>
      </w:divBdr>
    </w:div>
    <w:div w:id="712729076">
      <w:bodyDiv w:val="1"/>
      <w:marLeft w:val="0"/>
      <w:marRight w:val="0"/>
      <w:marTop w:val="0"/>
      <w:marBottom w:val="0"/>
      <w:divBdr>
        <w:top w:val="none" w:sz="0" w:space="0" w:color="auto"/>
        <w:left w:val="none" w:sz="0" w:space="0" w:color="auto"/>
        <w:bottom w:val="none" w:sz="0" w:space="0" w:color="auto"/>
        <w:right w:val="none" w:sz="0" w:space="0" w:color="auto"/>
      </w:divBdr>
    </w:div>
    <w:div w:id="712731862">
      <w:bodyDiv w:val="1"/>
      <w:marLeft w:val="0"/>
      <w:marRight w:val="0"/>
      <w:marTop w:val="0"/>
      <w:marBottom w:val="0"/>
      <w:divBdr>
        <w:top w:val="none" w:sz="0" w:space="0" w:color="auto"/>
        <w:left w:val="none" w:sz="0" w:space="0" w:color="auto"/>
        <w:bottom w:val="none" w:sz="0" w:space="0" w:color="auto"/>
        <w:right w:val="none" w:sz="0" w:space="0" w:color="auto"/>
      </w:divBdr>
    </w:div>
    <w:div w:id="712845200">
      <w:bodyDiv w:val="1"/>
      <w:marLeft w:val="0"/>
      <w:marRight w:val="0"/>
      <w:marTop w:val="0"/>
      <w:marBottom w:val="0"/>
      <w:divBdr>
        <w:top w:val="none" w:sz="0" w:space="0" w:color="auto"/>
        <w:left w:val="none" w:sz="0" w:space="0" w:color="auto"/>
        <w:bottom w:val="none" w:sz="0" w:space="0" w:color="auto"/>
        <w:right w:val="none" w:sz="0" w:space="0" w:color="auto"/>
      </w:divBdr>
    </w:div>
    <w:div w:id="712846876">
      <w:bodyDiv w:val="1"/>
      <w:marLeft w:val="0"/>
      <w:marRight w:val="0"/>
      <w:marTop w:val="0"/>
      <w:marBottom w:val="0"/>
      <w:divBdr>
        <w:top w:val="none" w:sz="0" w:space="0" w:color="auto"/>
        <w:left w:val="none" w:sz="0" w:space="0" w:color="auto"/>
        <w:bottom w:val="none" w:sz="0" w:space="0" w:color="auto"/>
        <w:right w:val="none" w:sz="0" w:space="0" w:color="auto"/>
      </w:divBdr>
    </w:div>
    <w:div w:id="712925628">
      <w:bodyDiv w:val="1"/>
      <w:marLeft w:val="0"/>
      <w:marRight w:val="0"/>
      <w:marTop w:val="0"/>
      <w:marBottom w:val="0"/>
      <w:divBdr>
        <w:top w:val="none" w:sz="0" w:space="0" w:color="auto"/>
        <w:left w:val="none" w:sz="0" w:space="0" w:color="auto"/>
        <w:bottom w:val="none" w:sz="0" w:space="0" w:color="auto"/>
        <w:right w:val="none" w:sz="0" w:space="0" w:color="auto"/>
      </w:divBdr>
    </w:div>
    <w:div w:id="712926659">
      <w:bodyDiv w:val="1"/>
      <w:marLeft w:val="0"/>
      <w:marRight w:val="0"/>
      <w:marTop w:val="0"/>
      <w:marBottom w:val="0"/>
      <w:divBdr>
        <w:top w:val="none" w:sz="0" w:space="0" w:color="auto"/>
        <w:left w:val="none" w:sz="0" w:space="0" w:color="auto"/>
        <w:bottom w:val="none" w:sz="0" w:space="0" w:color="auto"/>
        <w:right w:val="none" w:sz="0" w:space="0" w:color="auto"/>
      </w:divBdr>
    </w:div>
    <w:div w:id="712927999">
      <w:bodyDiv w:val="1"/>
      <w:marLeft w:val="0"/>
      <w:marRight w:val="0"/>
      <w:marTop w:val="0"/>
      <w:marBottom w:val="0"/>
      <w:divBdr>
        <w:top w:val="none" w:sz="0" w:space="0" w:color="auto"/>
        <w:left w:val="none" w:sz="0" w:space="0" w:color="auto"/>
        <w:bottom w:val="none" w:sz="0" w:space="0" w:color="auto"/>
        <w:right w:val="none" w:sz="0" w:space="0" w:color="auto"/>
      </w:divBdr>
    </w:div>
    <w:div w:id="712971057">
      <w:bodyDiv w:val="1"/>
      <w:marLeft w:val="0"/>
      <w:marRight w:val="0"/>
      <w:marTop w:val="0"/>
      <w:marBottom w:val="0"/>
      <w:divBdr>
        <w:top w:val="none" w:sz="0" w:space="0" w:color="auto"/>
        <w:left w:val="none" w:sz="0" w:space="0" w:color="auto"/>
        <w:bottom w:val="none" w:sz="0" w:space="0" w:color="auto"/>
        <w:right w:val="none" w:sz="0" w:space="0" w:color="auto"/>
      </w:divBdr>
    </w:div>
    <w:div w:id="712996631">
      <w:bodyDiv w:val="1"/>
      <w:marLeft w:val="0"/>
      <w:marRight w:val="0"/>
      <w:marTop w:val="0"/>
      <w:marBottom w:val="0"/>
      <w:divBdr>
        <w:top w:val="none" w:sz="0" w:space="0" w:color="auto"/>
        <w:left w:val="none" w:sz="0" w:space="0" w:color="auto"/>
        <w:bottom w:val="none" w:sz="0" w:space="0" w:color="auto"/>
        <w:right w:val="none" w:sz="0" w:space="0" w:color="auto"/>
      </w:divBdr>
    </w:div>
    <w:div w:id="713240307">
      <w:bodyDiv w:val="1"/>
      <w:marLeft w:val="0"/>
      <w:marRight w:val="0"/>
      <w:marTop w:val="0"/>
      <w:marBottom w:val="0"/>
      <w:divBdr>
        <w:top w:val="none" w:sz="0" w:space="0" w:color="auto"/>
        <w:left w:val="none" w:sz="0" w:space="0" w:color="auto"/>
        <w:bottom w:val="none" w:sz="0" w:space="0" w:color="auto"/>
        <w:right w:val="none" w:sz="0" w:space="0" w:color="auto"/>
      </w:divBdr>
    </w:div>
    <w:div w:id="713387219">
      <w:bodyDiv w:val="1"/>
      <w:marLeft w:val="0"/>
      <w:marRight w:val="0"/>
      <w:marTop w:val="0"/>
      <w:marBottom w:val="0"/>
      <w:divBdr>
        <w:top w:val="none" w:sz="0" w:space="0" w:color="auto"/>
        <w:left w:val="none" w:sz="0" w:space="0" w:color="auto"/>
        <w:bottom w:val="none" w:sz="0" w:space="0" w:color="auto"/>
        <w:right w:val="none" w:sz="0" w:space="0" w:color="auto"/>
      </w:divBdr>
    </w:div>
    <w:div w:id="713425345">
      <w:bodyDiv w:val="1"/>
      <w:marLeft w:val="0"/>
      <w:marRight w:val="0"/>
      <w:marTop w:val="0"/>
      <w:marBottom w:val="0"/>
      <w:divBdr>
        <w:top w:val="none" w:sz="0" w:space="0" w:color="auto"/>
        <w:left w:val="none" w:sz="0" w:space="0" w:color="auto"/>
        <w:bottom w:val="none" w:sz="0" w:space="0" w:color="auto"/>
        <w:right w:val="none" w:sz="0" w:space="0" w:color="auto"/>
      </w:divBdr>
    </w:div>
    <w:div w:id="713429369">
      <w:bodyDiv w:val="1"/>
      <w:marLeft w:val="0"/>
      <w:marRight w:val="0"/>
      <w:marTop w:val="0"/>
      <w:marBottom w:val="0"/>
      <w:divBdr>
        <w:top w:val="none" w:sz="0" w:space="0" w:color="auto"/>
        <w:left w:val="none" w:sz="0" w:space="0" w:color="auto"/>
        <w:bottom w:val="none" w:sz="0" w:space="0" w:color="auto"/>
        <w:right w:val="none" w:sz="0" w:space="0" w:color="auto"/>
      </w:divBdr>
    </w:div>
    <w:div w:id="713508085">
      <w:bodyDiv w:val="1"/>
      <w:marLeft w:val="0"/>
      <w:marRight w:val="0"/>
      <w:marTop w:val="0"/>
      <w:marBottom w:val="0"/>
      <w:divBdr>
        <w:top w:val="none" w:sz="0" w:space="0" w:color="auto"/>
        <w:left w:val="none" w:sz="0" w:space="0" w:color="auto"/>
        <w:bottom w:val="none" w:sz="0" w:space="0" w:color="auto"/>
        <w:right w:val="none" w:sz="0" w:space="0" w:color="auto"/>
      </w:divBdr>
    </w:div>
    <w:div w:id="713579656">
      <w:bodyDiv w:val="1"/>
      <w:marLeft w:val="0"/>
      <w:marRight w:val="0"/>
      <w:marTop w:val="0"/>
      <w:marBottom w:val="0"/>
      <w:divBdr>
        <w:top w:val="none" w:sz="0" w:space="0" w:color="auto"/>
        <w:left w:val="none" w:sz="0" w:space="0" w:color="auto"/>
        <w:bottom w:val="none" w:sz="0" w:space="0" w:color="auto"/>
        <w:right w:val="none" w:sz="0" w:space="0" w:color="auto"/>
      </w:divBdr>
    </w:div>
    <w:div w:id="713820708">
      <w:bodyDiv w:val="1"/>
      <w:marLeft w:val="0"/>
      <w:marRight w:val="0"/>
      <w:marTop w:val="0"/>
      <w:marBottom w:val="0"/>
      <w:divBdr>
        <w:top w:val="none" w:sz="0" w:space="0" w:color="auto"/>
        <w:left w:val="none" w:sz="0" w:space="0" w:color="auto"/>
        <w:bottom w:val="none" w:sz="0" w:space="0" w:color="auto"/>
        <w:right w:val="none" w:sz="0" w:space="0" w:color="auto"/>
      </w:divBdr>
    </w:div>
    <w:div w:id="713847161">
      <w:bodyDiv w:val="1"/>
      <w:marLeft w:val="0"/>
      <w:marRight w:val="0"/>
      <w:marTop w:val="0"/>
      <w:marBottom w:val="0"/>
      <w:divBdr>
        <w:top w:val="none" w:sz="0" w:space="0" w:color="auto"/>
        <w:left w:val="none" w:sz="0" w:space="0" w:color="auto"/>
        <w:bottom w:val="none" w:sz="0" w:space="0" w:color="auto"/>
        <w:right w:val="none" w:sz="0" w:space="0" w:color="auto"/>
      </w:divBdr>
    </w:div>
    <w:div w:id="713849792">
      <w:bodyDiv w:val="1"/>
      <w:marLeft w:val="0"/>
      <w:marRight w:val="0"/>
      <w:marTop w:val="0"/>
      <w:marBottom w:val="0"/>
      <w:divBdr>
        <w:top w:val="none" w:sz="0" w:space="0" w:color="auto"/>
        <w:left w:val="none" w:sz="0" w:space="0" w:color="auto"/>
        <w:bottom w:val="none" w:sz="0" w:space="0" w:color="auto"/>
        <w:right w:val="none" w:sz="0" w:space="0" w:color="auto"/>
      </w:divBdr>
    </w:div>
    <w:div w:id="713892696">
      <w:bodyDiv w:val="1"/>
      <w:marLeft w:val="0"/>
      <w:marRight w:val="0"/>
      <w:marTop w:val="0"/>
      <w:marBottom w:val="0"/>
      <w:divBdr>
        <w:top w:val="none" w:sz="0" w:space="0" w:color="auto"/>
        <w:left w:val="none" w:sz="0" w:space="0" w:color="auto"/>
        <w:bottom w:val="none" w:sz="0" w:space="0" w:color="auto"/>
        <w:right w:val="none" w:sz="0" w:space="0" w:color="auto"/>
      </w:divBdr>
    </w:div>
    <w:div w:id="713963767">
      <w:bodyDiv w:val="1"/>
      <w:marLeft w:val="0"/>
      <w:marRight w:val="0"/>
      <w:marTop w:val="0"/>
      <w:marBottom w:val="0"/>
      <w:divBdr>
        <w:top w:val="none" w:sz="0" w:space="0" w:color="auto"/>
        <w:left w:val="none" w:sz="0" w:space="0" w:color="auto"/>
        <w:bottom w:val="none" w:sz="0" w:space="0" w:color="auto"/>
        <w:right w:val="none" w:sz="0" w:space="0" w:color="auto"/>
      </w:divBdr>
    </w:div>
    <w:div w:id="714235278">
      <w:bodyDiv w:val="1"/>
      <w:marLeft w:val="0"/>
      <w:marRight w:val="0"/>
      <w:marTop w:val="0"/>
      <w:marBottom w:val="0"/>
      <w:divBdr>
        <w:top w:val="none" w:sz="0" w:space="0" w:color="auto"/>
        <w:left w:val="none" w:sz="0" w:space="0" w:color="auto"/>
        <w:bottom w:val="none" w:sz="0" w:space="0" w:color="auto"/>
        <w:right w:val="none" w:sz="0" w:space="0" w:color="auto"/>
      </w:divBdr>
    </w:div>
    <w:div w:id="714236717">
      <w:bodyDiv w:val="1"/>
      <w:marLeft w:val="0"/>
      <w:marRight w:val="0"/>
      <w:marTop w:val="0"/>
      <w:marBottom w:val="0"/>
      <w:divBdr>
        <w:top w:val="none" w:sz="0" w:space="0" w:color="auto"/>
        <w:left w:val="none" w:sz="0" w:space="0" w:color="auto"/>
        <w:bottom w:val="none" w:sz="0" w:space="0" w:color="auto"/>
        <w:right w:val="none" w:sz="0" w:space="0" w:color="auto"/>
      </w:divBdr>
    </w:div>
    <w:div w:id="714499482">
      <w:bodyDiv w:val="1"/>
      <w:marLeft w:val="0"/>
      <w:marRight w:val="0"/>
      <w:marTop w:val="0"/>
      <w:marBottom w:val="0"/>
      <w:divBdr>
        <w:top w:val="none" w:sz="0" w:space="0" w:color="auto"/>
        <w:left w:val="none" w:sz="0" w:space="0" w:color="auto"/>
        <w:bottom w:val="none" w:sz="0" w:space="0" w:color="auto"/>
        <w:right w:val="none" w:sz="0" w:space="0" w:color="auto"/>
      </w:divBdr>
    </w:div>
    <w:div w:id="714500564">
      <w:bodyDiv w:val="1"/>
      <w:marLeft w:val="0"/>
      <w:marRight w:val="0"/>
      <w:marTop w:val="0"/>
      <w:marBottom w:val="0"/>
      <w:divBdr>
        <w:top w:val="none" w:sz="0" w:space="0" w:color="auto"/>
        <w:left w:val="none" w:sz="0" w:space="0" w:color="auto"/>
        <w:bottom w:val="none" w:sz="0" w:space="0" w:color="auto"/>
        <w:right w:val="none" w:sz="0" w:space="0" w:color="auto"/>
      </w:divBdr>
    </w:div>
    <w:div w:id="714504411">
      <w:bodyDiv w:val="1"/>
      <w:marLeft w:val="0"/>
      <w:marRight w:val="0"/>
      <w:marTop w:val="0"/>
      <w:marBottom w:val="0"/>
      <w:divBdr>
        <w:top w:val="none" w:sz="0" w:space="0" w:color="auto"/>
        <w:left w:val="none" w:sz="0" w:space="0" w:color="auto"/>
        <w:bottom w:val="none" w:sz="0" w:space="0" w:color="auto"/>
        <w:right w:val="none" w:sz="0" w:space="0" w:color="auto"/>
      </w:divBdr>
    </w:div>
    <w:div w:id="714548546">
      <w:bodyDiv w:val="1"/>
      <w:marLeft w:val="0"/>
      <w:marRight w:val="0"/>
      <w:marTop w:val="0"/>
      <w:marBottom w:val="0"/>
      <w:divBdr>
        <w:top w:val="none" w:sz="0" w:space="0" w:color="auto"/>
        <w:left w:val="none" w:sz="0" w:space="0" w:color="auto"/>
        <w:bottom w:val="none" w:sz="0" w:space="0" w:color="auto"/>
        <w:right w:val="none" w:sz="0" w:space="0" w:color="auto"/>
      </w:divBdr>
    </w:div>
    <w:div w:id="714819760">
      <w:bodyDiv w:val="1"/>
      <w:marLeft w:val="0"/>
      <w:marRight w:val="0"/>
      <w:marTop w:val="0"/>
      <w:marBottom w:val="0"/>
      <w:divBdr>
        <w:top w:val="none" w:sz="0" w:space="0" w:color="auto"/>
        <w:left w:val="none" w:sz="0" w:space="0" w:color="auto"/>
        <w:bottom w:val="none" w:sz="0" w:space="0" w:color="auto"/>
        <w:right w:val="none" w:sz="0" w:space="0" w:color="auto"/>
      </w:divBdr>
    </w:div>
    <w:div w:id="714890022">
      <w:bodyDiv w:val="1"/>
      <w:marLeft w:val="0"/>
      <w:marRight w:val="0"/>
      <w:marTop w:val="0"/>
      <w:marBottom w:val="0"/>
      <w:divBdr>
        <w:top w:val="none" w:sz="0" w:space="0" w:color="auto"/>
        <w:left w:val="none" w:sz="0" w:space="0" w:color="auto"/>
        <w:bottom w:val="none" w:sz="0" w:space="0" w:color="auto"/>
        <w:right w:val="none" w:sz="0" w:space="0" w:color="auto"/>
      </w:divBdr>
    </w:div>
    <w:div w:id="714937120">
      <w:bodyDiv w:val="1"/>
      <w:marLeft w:val="0"/>
      <w:marRight w:val="0"/>
      <w:marTop w:val="0"/>
      <w:marBottom w:val="0"/>
      <w:divBdr>
        <w:top w:val="none" w:sz="0" w:space="0" w:color="auto"/>
        <w:left w:val="none" w:sz="0" w:space="0" w:color="auto"/>
        <w:bottom w:val="none" w:sz="0" w:space="0" w:color="auto"/>
        <w:right w:val="none" w:sz="0" w:space="0" w:color="auto"/>
      </w:divBdr>
    </w:div>
    <w:div w:id="715010723">
      <w:bodyDiv w:val="1"/>
      <w:marLeft w:val="0"/>
      <w:marRight w:val="0"/>
      <w:marTop w:val="0"/>
      <w:marBottom w:val="0"/>
      <w:divBdr>
        <w:top w:val="none" w:sz="0" w:space="0" w:color="auto"/>
        <w:left w:val="none" w:sz="0" w:space="0" w:color="auto"/>
        <w:bottom w:val="none" w:sz="0" w:space="0" w:color="auto"/>
        <w:right w:val="none" w:sz="0" w:space="0" w:color="auto"/>
      </w:divBdr>
    </w:div>
    <w:div w:id="715157844">
      <w:bodyDiv w:val="1"/>
      <w:marLeft w:val="0"/>
      <w:marRight w:val="0"/>
      <w:marTop w:val="0"/>
      <w:marBottom w:val="0"/>
      <w:divBdr>
        <w:top w:val="none" w:sz="0" w:space="0" w:color="auto"/>
        <w:left w:val="none" w:sz="0" w:space="0" w:color="auto"/>
        <w:bottom w:val="none" w:sz="0" w:space="0" w:color="auto"/>
        <w:right w:val="none" w:sz="0" w:space="0" w:color="auto"/>
      </w:divBdr>
    </w:div>
    <w:div w:id="715159944">
      <w:bodyDiv w:val="1"/>
      <w:marLeft w:val="0"/>
      <w:marRight w:val="0"/>
      <w:marTop w:val="0"/>
      <w:marBottom w:val="0"/>
      <w:divBdr>
        <w:top w:val="none" w:sz="0" w:space="0" w:color="auto"/>
        <w:left w:val="none" w:sz="0" w:space="0" w:color="auto"/>
        <w:bottom w:val="none" w:sz="0" w:space="0" w:color="auto"/>
        <w:right w:val="none" w:sz="0" w:space="0" w:color="auto"/>
      </w:divBdr>
    </w:div>
    <w:div w:id="715277696">
      <w:bodyDiv w:val="1"/>
      <w:marLeft w:val="0"/>
      <w:marRight w:val="0"/>
      <w:marTop w:val="0"/>
      <w:marBottom w:val="0"/>
      <w:divBdr>
        <w:top w:val="none" w:sz="0" w:space="0" w:color="auto"/>
        <w:left w:val="none" w:sz="0" w:space="0" w:color="auto"/>
        <w:bottom w:val="none" w:sz="0" w:space="0" w:color="auto"/>
        <w:right w:val="none" w:sz="0" w:space="0" w:color="auto"/>
      </w:divBdr>
    </w:div>
    <w:div w:id="715278779">
      <w:bodyDiv w:val="1"/>
      <w:marLeft w:val="0"/>
      <w:marRight w:val="0"/>
      <w:marTop w:val="0"/>
      <w:marBottom w:val="0"/>
      <w:divBdr>
        <w:top w:val="none" w:sz="0" w:space="0" w:color="auto"/>
        <w:left w:val="none" w:sz="0" w:space="0" w:color="auto"/>
        <w:bottom w:val="none" w:sz="0" w:space="0" w:color="auto"/>
        <w:right w:val="none" w:sz="0" w:space="0" w:color="auto"/>
      </w:divBdr>
    </w:div>
    <w:div w:id="715280975">
      <w:bodyDiv w:val="1"/>
      <w:marLeft w:val="0"/>
      <w:marRight w:val="0"/>
      <w:marTop w:val="0"/>
      <w:marBottom w:val="0"/>
      <w:divBdr>
        <w:top w:val="none" w:sz="0" w:space="0" w:color="auto"/>
        <w:left w:val="none" w:sz="0" w:space="0" w:color="auto"/>
        <w:bottom w:val="none" w:sz="0" w:space="0" w:color="auto"/>
        <w:right w:val="none" w:sz="0" w:space="0" w:color="auto"/>
      </w:divBdr>
    </w:div>
    <w:div w:id="715354216">
      <w:bodyDiv w:val="1"/>
      <w:marLeft w:val="0"/>
      <w:marRight w:val="0"/>
      <w:marTop w:val="0"/>
      <w:marBottom w:val="0"/>
      <w:divBdr>
        <w:top w:val="none" w:sz="0" w:space="0" w:color="auto"/>
        <w:left w:val="none" w:sz="0" w:space="0" w:color="auto"/>
        <w:bottom w:val="none" w:sz="0" w:space="0" w:color="auto"/>
        <w:right w:val="none" w:sz="0" w:space="0" w:color="auto"/>
      </w:divBdr>
    </w:div>
    <w:div w:id="715473460">
      <w:bodyDiv w:val="1"/>
      <w:marLeft w:val="0"/>
      <w:marRight w:val="0"/>
      <w:marTop w:val="0"/>
      <w:marBottom w:val="0"/>
      <w:divBdr>
        <w:top w:val="none" w:sz="0" w:space="0" w:color="auto"/>
        <w:left w:val="none" w:sz="0" w:space="0" w:color="auto"/>
        <w:bottom w:val="none" w:sz="0" w:space="0" w:color="auto"/>
        <w:right w:val="none" w:sz="0" w:space="0" w:color="auto"/>
      </w:divBdr>
    </w:div>
    <w:div w:id="715546489">
      <w:bodyDiv w:val="1"/>
      <w:marLeft w:val="0"/>
      <w:marRight w:val="0"/>
      <w:marTop w:val="0"/>
      <w:marBottom w:val="0"/>
      <w:divBdr>
        <w:top w:val="none" w:sz="0" w:space="0" w:color="auto"/>
        <w:left w:val="none" w:sz="0" w:space="0" w:color="auto"/>
        <w:bottom w:val="none" w:sz="0" w:space="0" w:color="auto"/>
        <w:right w:val="none" w:sz="0" w:space="0" w:color="auto"/>
      </w:divBdr>
    </w:div>
    <w:div w:id="715734972">
      <w:bodyDiv w:val="1"/>
      <w:marLeft w:val="0"/>
      <w:marRight w:val="0"/>
      <w:marTop w:val="0"/>
      <w:marBottom w:val="0"/>
      <w:divBdr>
        <w:top w:val="none" w:sz="0" w:space="0" w:color="auto"/>
        <w:left w:val="none" w:sz="0" w:space="0" w:color="auto"/>
        <w:bottom w:val="none" w:sz="0" w:space="0" w:color="auto"/>
        <w:right w:val="none" w:sz="0" w:space="0" w:color="auto"/>
      </w:divBdr>
    </w:div>
    <w:div w:id="715854275">
      <w:bodyDiv w:val="1"/>
      <w:marLeft w:val="0"/>
      <w:marRight w:val="0"/>
      <w:marTop w:val="0"/>
      <w:marBottom w:val="0"/>
      <w:divBdr>
        <w:top w:val="none" w:sz="0" w:space="0" w:color="auto"/>
        <w:left w:val="none" w:sz="0" w:space="0" w:color="auto"/>
        <w:bottom w:val="none" w:sz="0" w:space="0" w:color="auto"/>
        <w:right w:val="none" w:sz="0" w:space="0" w:color="auto"/>
      </w:divBdr>
    </w:div>
    <w:div w:id="715854489">
      <w:bodyDiv w:val="1"/>
      <w:marLeft w:val="0"/>
      <w:marRight w:val="0"/>
      <w:marTop w:val="0"/>
      <w:marBottom w:val="0"/>
      <w:divBdr>
        <w:top w:val="none" w:sz="0" w:space="0" w:color="auto"/>
        <w:left w:val="none" w:sz="0" w:space="0" w:color="auto"/>
        <w:bottom w:val="none" w:sz="0" w:space="0" w:color="auto"/>
        <w:right w:val="none" w:sz="0" w:space="0" w:color="auto"/>
      </w:divBdr>
    </w:div>
    <w:div w:id="715860517">
      <w:bodyDiv w:val="1"/>
      <w:marLeft w:val="0"/>
      <w:marRight w:val="0"/>
      <w:marTop w:val="0"/>
      <w:marBottom w:val="0"/>
      <w:divBdr>
        <w:top w:val="none" w:sz="0" w:space="0" w:color="auto"/>
        <w:left w:val="none" w:sz="0" w:space="0" w:color="auto"/>
        <w:bottom w:val="none" w:sz="0" w:space="0" w:color="auto"/>
        <w:right w:val="none" w:sz="0" w:space="0" w:color="auto"/>
      </w:divBdr>
    </w:div>
    <w:div w:id="716010027">
      <w:bodyDiv w:val="1"/>
      <w:marLeft w:val="0"/>
      <w:marRight w:val="0"/>
      <w:marTop w:val="0"/>
      <w:marBottom w:val="0"/>
      <w:divBdr>
        <w:top w:val="none" w:sz="0" w:space="0" w:color="auto"/>
        <w:left w:val="none" w:sz="0" w:space="0" w:color="auto"/>
        <w:bottom w:val="none" w:sz="0" w:space="0" w:color="auto"/>
        <w:right w:val="none" w:sz="0" w:space="0" w:color="auto"/>
      </w:divBdr>
    </w:div>
    <w:div w:id="716054359">
      <w:bodyDiv w:val="1"/>
      <w:marLeft w:val="0"/>
      <w:marRight w:val="0"/>
      <w:marTop w:val="0"/>
      <w:marBottom w:val="0"/>
      <w:divBdr>
        <w:top w:val="none" w:sz="0" w:space="0" w:color="auto"/>
        <w:left w:val="none" w:sz="0" w:space="0" w:color="auto"/>
        <w:bottom w:val="none" w:sz="0" w:space="0" w:color="auto"/>
        <w:right w:val="none" w:sz="0" w:space="0" w:color="auto"/>
      </w:divBdr>
    </w:div>
    <w:div w:id="716130411">
      <w:bodyDiv w:val="1"/>
      <w:marLeft w:val="0"/>
      <w:marRight w:val="0"/>
      <w:marTop w:val="0"/>
      <w:marBottom w:val="0"/>
      <w:divBdr>
        <w:top w:val="none" w:sz="0" w:space="0" w:color="auto"/>
        <w:left w:val="none" w:sz="0" w:space="0" w:color="auto"/>
        <w:bottom w:val="none" w:sz="0" w:space="0" w:color="auto"/>
        <w:right w:val="none" w:sz="0" w:space="0" w:color="auto"/>
      </w:divBdr>
    </w:div>
    <w:div w:id="716244612">
      <w:bodyDiv w:val="1"/>
      <w:marLeft w:val="0"/>
      <w:marRight w:val="0"/>
      <w:marTop w:val="0"/>
      <w:marBottom w:val="0"/>
      <w:divBdr>
        <w:top w:val="none" w:sz="0" w:space="0" w:color="auto"/>
        <w:left w:val="none" w:sz="0" w:space="0" w:color="auto"/>
        <w:bottom w:val="none" w:sz="0" w:space="0" w:color="auto"/>
        <w:right w:val="none" w:sz="0" w:space="0" w:color="auto"/>
      </w:divBdr>
    </w:div>
    <w:div w:id="716272148">
      <w:bodyDiv w:val="1"/>
      <w:marLeft w:val="0"/>
      <w:marRight w:val="0"/>
      <w:marTop w:val="0"/>
      <w:marBottom w:val="0"/>
      <w:divBdr>
        <w:top w:val="none" w:sz="0" w:space="0" w:color="auto"/>
        <w:left w:val="none" w:sz="0" w:space="0" w:color="auto"/>
        <w:bottom w:val="none" w:sz="0" w:space="0" w:color="auto"/>
        <w:right w:val="none" w:sz="0" w:space="0" w:color="auto"/>
      </w:divBdr>
    </w:div>
    <w:div w:id="716318031">
      <w:bodyDiv w:val="1"/>
      <w:marLeft w:val="0"/>
      <w:marRight w:val="0"/>
      <w:marTop w:val="0"/>
      <w:marBottom w:val="0"/>
      <w:divBdr>
        <w:top w:val="none" w:sz="0" w:space="0" w:color="auto"/>
        <w:left w:val="none" w:sz="0" w:space="0" w:color="auto"/>
        <w:bottom w:val="none" w:sz="0" w:space="0" w:color="auto"/>
        <w:right w:val="none" w:sz="0" w:space="0" w:color="auto"/>
      </w:divBdr>
    </w:div>
    <w:div w:id="716465084">
      <w:bodyDiv w:val="1"/>
      <w:marLeft w:val="0"/>
      <w:marRight w:val="0"/>
      <w:marTop w:val="0"/>
      <w:marBottom w:val="0"/>
      <w:divBdr>
        <w:top w:val="none" w:sz="0" w:space="0" w:color="auto"/>
        <w:left w:val="none" w:sz="0" w:space="0" w:color="auto"/>
        <w:bottom w:val="none" w:sz="0" w:space="0" w:color="auto"/>
        <w:right w:val="none" w:sz="0" w:space="0" w:color="auto"/>
      </w:divBdr>
    </w:div>
    <w:div w:id="716508638">
      <w:bodyDiv w:val="1"/>
      <w:marLeft w:val="0"/>
      <w:marRight w:val="0"/>
      <w:marTop w:val="0"/>
      <w:marBottom w:val="0"/>
      <w:divBdr>
        <w:top w:val="none" w:sz="0" w:space="0" w:color="auto"/>
        <w:left w:val="none" w:sz="0" w:space="0" w:color="auto"/>
        <w:bottom w:val="none" w:sz="0" w:space="0" w:color="auto"/>
        <w:right w:val="none" w:sz="0" w:space="0" w:color="auto"/>
      </w:divBdr>
    </w:div>
    <w:div w:id="716709878">
      <w:bodyDiv w:val="1"/>
      <w:marLeft w:val="0"/>
      <w:marRight w:val="0"/>
      <w:marTop w:val="0"/>
      <w:marBottom w:val="0"/>
      <w:divBdr>
        <w:top w:val="none" w:sz="0" w:space="0" w:color="auto"/>
        <w:left w:val="none" w:sz="0" w:space="0" w:color="auto"/>
        <w:bottom w:val="none" w:sz="0" w:space="0" w:color="auto"/>
        <w:right w:val="none" w:sz="0" w:space="0" w:color="auto"/>
      </w:divBdr>
    </w:div>
    <w:div w:id="716854346">
      <w:bodyDiv w:val="1"/>
      <w:marLeft w:val="0"/>
      <w:marRight w:val="0"/>
      <w:marTop w:val="0"/>
      <w:marBottom w:val="0"/>
      <w:divBdr>
        <w:top w:val="none" w:sz="0" w:space="0" w:color="auto"/>
        <w:left w:val="none" w:sz="0" w:space="0" w:color="auto"/>
        <w:bottom w:val="none" w:sz="0" w:space="0" w:color="auto"/>
        <w:right w:val="none" w:sz="0" w:space="0" w:color="auto"/>
      </w:divBdr>
    </w:div>
    <w:div w:id="716930482">
      <w:bodyDiv w:val="1"/>
      <w:marLeft w:val="0"/>
      <w:marRight w:val="0"/>
      <w:marTop w:val="0"/>
      <w:marBottom w:val="0"/>
      <w:divBdr>
        <w:top w:val="none" w:sz="0" w:space="0" w:color="auto"/>
        <w:left w:val="none" w:sz="0" w:space="0" w:color="auto"/>
        <w:bottom w:val="none" w:sz="0" w:space="0" w:color="auto"/>
        <w:right w:val="none" w:sz="0" w:space="0" w:color="auto"/>
      </w:divBdr>
    </w:div>
    <w:div w:id="716930606">
      <w:bodyDiv w:val="1"/>
      <w:marLeft w:val="0"/>
      <w:marRight w:val="0"/>
      <w:marTop w:val="0"/>
      <w:marBottom w:val="0"/>
      <w:divBdr>
        <w:top w:val="none" w:sz="0" w:space="0" w:color="auto"/>
        <w:left w:val="none" w:sz="0" w:space="0" w:color="auto"/>
        <w:bottom w:val="none" w:sz="0" w:space="0" w:color="auto"/>
        <w:right w:val="none" w:sz="0" w:space="0" w:color="auto"/>
      </w:divBdr>
    </w:div>
    <w:div w:id="716970844">
      <w:bodyDiv w:val="1"/>
      <w:marLeft w:val="0"/>
      <w:marRight w:val="0"/>
      <w:marTop w:val="0"/>
      <w:marBottom w:val="0"/>
      <w:divBdr>
        <w:top w:val="none" w:sz="0" w:space="0" w:color="auto"/>
        <w:left w:val="none" w:sz="0" w:space="0" w:color="auto"/>
        <w:bottom w:val="none" w:sz="0" w:space="0" w:color="auto"/>
        <w:right w:val="none" w:sz="0" w:space="0" w:color="auto"/>
      </w:divBdr>
    </w:div>
    <w:div w:id="717046238">
      <w:bodyDiv w:val="1"/>
      <w:marLeft w:val="0"/>
      <w:marRight w:val="0"/>
      <w:marTop w:val="0"/>
      <w:marBottom w:val="0"/>
      <w:divBdr>
        <w:top w:val="none" w:sz="0" w:space="0" w:color="auto"/>
        <w:left w:val="none" w:sz="0" w:space="0" w:color="auto"/>
        <w:bottom w:val="none" w:sz="0" w:space="0" w:color="auto"/>
        <w:right w:val="none" w:sz="0" w:space="0" w:color="auto"/>
      </w:divBdr>
    </w:div>
    <w:div w:id="717510692">
      <w:bodyDiv w:val="1"/>
      <w:marLeft w:val="0"/>
      <w:marRight w:val="0"/>
      <w:marTop w:val="0"/>
      <w:marBottom w:val="0"/>
      <w:divBdr>
        <w:top w:val="none" w:sz="0" w:space="0" w:color="auto"/>
        <w:left w:val="none" w:sz="0" w:space="0" w:color="auto"/>
        <w:bottom w:val="none" w:sz="0" w:space="0" w:color="auto"/>
        <w:right w:val="none" w:sz="0" w:space="0" w:color="auto"/>
      </w:divBdr>
    </w:div>
    <w:div w:id="717585623">
      <w:bodyDiv w:val="1"/>
      <w:marLeft w:val="0"/>
      <w:marRight w:val="0"/>
      <w:marTop w:val="0"/>
      <w:marBottom w:val="0"/>
      <w:divBdr>
        <w:top w:val="none" w:sz="0" w:space="0" w:color="auto"/>
        <w:left w:val="none" w:sz="0" w:space="0" w:color="auto"/>
        <w:bottom w:val="none" w:sz="0" w:space="0" w:color="auto"/>
        <w:right w:val="none" w:sz="0" w:space="0" w:color="auto"/>
      </w:divBdr>
    </w:div>
    <w:div w:id="717585660">
      <w:bodyDiv w:val="1"/>
      <w:marLeft w:val="0"/>
      <w:marRight w:val="0"/>
      <w:marTop w:val="0"/>
      <w:marBottom w:val="0"/>
      <w:divBdr>
        <w:top w:val="none" w:sz="0" w:space="0" w:color="auto"/>
        <w:left w:val="none" w:sz="0" w:space="0" w:color="auto"/>
        <w:bottom w:val="none" w:sz="0" w:space="0" w:color="auto"/>
        <w:right w:val="none" w:sz="0" w:space="0" w:color="auto"/>
      </w:divBdr>
    </w:div>
    <w:div w:id="717627624">
      <w:bodyDiv w:val="1"/>
      <w:marLeft w:val="0"/>
      <w:marRight w:val="0"/>
      <w:marTop w:val="0"/>
      <w:marBottom w:val="0"/>
      <w:divBdr>
        <w:top w:val="none" w:sz="0" w:space="0" w:color="auto"/>
        <w:left w:val="none" w:sz="0" w:space="0" w:color="auto"/>
        <w:bottom w:val="none" w:sz="0" w:space="0" w:color="auto"/>
        <w:right w:val="none" w:sz="0" w:space="0" w:color="auto"/>
      </w:divBdr>
    </w:div>
    <w:div w:id="717709276">
      <w:bodyDiv w:val="1"/>
      <w:marLeft w:val="0"/>
      <w:marRight w:val="0"/>
      <w:marTop w:val="0"/>
      <w:marBottom w:val="0"/>
      <w:divBdr>
        <w:top w:val="none" w:sz="0" w:space="0" w:color="auto"/>
        <w:left w:val="none" w:sz="0" w:space="0" w:color="auto"/>
        <w:bottom w:val="none" w:sz="0" w:space="0" w:color="auto"/>
        <w:right w:val="none" w:sz="0" w:space="0" w:color="auto"/>
      </w:divBdr>
    </w:div>
    <w:div w:id="717779098">
      <w:bodyDiv w:val="1"/>
      <w:marLeft w:val="0"/>
      <w:marRight w:val="0"/>
      <w:marTop w:val="0"/>
      <w:marBottom w:val="0"/>
      <w:divBdr>
        <w:top w:val="none" w:sz="0" w:space="0" w:color="auto"/>
        <w:left w:val="none" w:sz="0" w:space="0" w:color="auto"/>
        <w:bottom w:val="none" w:sz="0" w:space="0" w:color="auto"/>
        <w:right w:val="none" w:sz="0" w:space="0" w:color="auto"/>
      </w:divBdr>
    </w:div>
    <w:div w:id="717969498">
      <w:bodyDiv w:val="1"/>
      <w:marLeft w:val="0"/>
      <w:marRight w:val="0"/>
      <w:marTop w:val="0"/>
      <w:marBottom w:val="0"/>
      <w:divBdr>
        <w:top w:val="none" w:sz="0" w:space="0" w:color="auto"/>
        <w:left w:val="none" w:sz="0" w:space="0" w:color="auto"/>
        <w:bottom w:val="none" w:sz="0" w:space="0" w:color="auto"/>
        <w:right w:val="none" w:sz="0" w:space="0" w:color="auto"/>
      </w:divBdr>
    </w:div>
    <w:div w:id="717970000">
      <w:bodyDiv w:val="1"/>
      <w:marLeft w:val="0"/>
      <w:marRight w:val="0"/>
      <w:marTop w:val="0"/>
      <w:marBottom w:val="0"/>
      <w:divBdr>
        <w:top w:val="none" w:sz="0" w:space="0" w:color="auto"/>
        <w:left w:val="none" w:sz="0" w:space="0" w:color="auto"/>
        <w:bottom w:val="none" w:sz="0" w:space="0" w:color="auto"/>
        <w:right w:val="none" w:sz="0" w:space="0" w:color="auto"/>
      </w:divBdr>
    </w:div>
    <w:div w:id="718211324">
      <w:bodyDiv w:val="1"/>
      <w:marLeft w:val="0"/>
      <w:marRight w:val="0"/>
      <w:marTop w:val="0"/>
      <w:marBottom w:val="0"/>
      <w:divBdr>
        <w:top w:val="none" w:sz="0" w:space="0" w:color="auto"/>
        <w:left w:val="none" w:sz="0" w:space="0" w:color="auto"/>
        <w:bottom w:val="none" w:sz="0" w:space="0" w:color="auto"/>
        <w:right w:val="none" w:sz="0" w:space="0" w:color="auto"/>
      </w:divBdr>
    </w:div>
    <w:div w:id="718288812">
      <w:bodyDiv w:val="1"/>
      <w:marLeft w:val="0"/>
      <w:marRight w:val="0"/>
      <w:marTop w:val="0"/>
      <w:marBottom w:val="0"/>
      <w:divBdr>
        <w:top w:val="none" w:sz="0" w:space="0" w:color="auto"/>
        <w:left w:val="none" w:sz="0" w:space="0" w:color="auto"/>
        <w:bottom w:val="none" w:sz="0" w:space="0" w:color="auto"/>
        <w:right w:val="none" w:sz="0" w:space="0" w:color="auto"/>
      </w:divBdr>
    </w:div>
    <w:div w:id="718289276">
      <w:bodyDiv w:val="1"/>
      <w:marLeft w:val="0"/>
      <w:marRight w:val="0"/>
      <w:marTop w:val="0"/>
      <w:marBottom w:val="0"/>
      <w:divBdr>
        <w:top w:val="none" w:sz="0" w:space="0" w:color="auto"/>
        <w:left w:val="none" w:sz="0" w:space="0" w:color="auto"/>
        <w:bottom w:val="none" w:sz="0" w:space="0" w:color="auto"/>
        <w:right w:val="none" w:sz="0" w:space="0" w:color="auto"/>
      </w:divBdr>
    </w:div>
    <w:div w:id="718361725">
      <w:bodyDiv w:val="1"/>
      <w:marLeft w:val="0"/>
      <w:marRight w:val="0"/>
      <w:marTop w:val="0"/>
      <w:marBottom w:val="0"/>
      <w:divBdr>
        <w:top w:val="none" w:sz="0" w:space="0" w:color="auto"/>
        <w:left w:val="none" w:sz="0" w:space="0" w:color="auto"/>
        <w:bottom w:val="none" w:sz="0" w:space="0" w:color="auto"/>
        <w:right w:val="none" w:sz="0" w:space="0" w:color="auto"/>
      </w:divBdr>
    </w:div>
    <w:div w:id="718436433">
      <w:bodyDiv w:val="1"/>
      <w:marLeft w:val="0"/>
      <w:marRight w:val="0"/>
      <w:marTop w:val="0"/>
      <w:marBottom w:val="0"/>
      <w:divBdr>
        <w:top w:val="none" w:sz="0" w:space="0" w:color="auto"/>
        <w:left w:val="none" w:sz="0" w:space="0" w:color="auto"/>
        <w:bottom w:val="none" w:sz="0" w:space="0" w:color="auto"/>
        <w:right w:val="none" w:sz="0" w:space="0" w:color="auto"/>
      </w:divBdr>
    </w:div>
    <w:div w:id="718437720">
      <w:bodyDiv w:val="1"/>
      <w:marLeft w:val="0"/>
      <w:marRight w:val="0"/>
      <w:marTop w:val="0"/>
      <w:marBottom w:val="0"/>
      <w:divBdr>
        <w:top w:val="none" w:sz="0" w:space="0" w:color="auto"/>
        <w:left w:val="none" w:sz="0" w:space="0" w:color="auto"/>
        <w:bottom w:val="none" w:sz="0" w:space="0" w:color="auto"/>
        <w:right w:val="none" w:sz="0" w:space="0" w:color="auto"/>
      </w:divBdr>
    </w:div>
    <w:div w:id="718554866">
      <w:bodyDiv w:val="1"/>
      <w:marLeft w:val="0"/>
      <w:marRight w:val="0"/>
      <w:marTop w:val="0"/>
      <w:marBottom w:val="0"/>
      <w:divBdr>
        <w:top w:val="none" w:sz="0" w:space="0" w:color="auto"/>
        <w:left w:val="none" w:sz="0" w:space="0" w:color="auto"/>
        <w:bottom w:val="none" w:sz="0" w:space="0" w:color="auto"/>
        <w:right w:val="none" w:sz="0" w:space="0" w:color="auto"/>
      </w:divBdr>
    </w:div>
    <w:div w:id="718557016">
      <w:bodyDiv w:val="1"/>
      <w:marLeft w:val="0"/>
      <w:marRight w:val="0"/>
      <w:marTop w:val="0"/>
      <w:marBottom w:val="0"/>
      <w:divBdr>
        <w:top w:val="none" w:sz="0" w:space="0" w:color="auto"/>
        <w:left w:val="none" w:sz="0" w:space="0" w:color="auto"/>
        <w:bottom w:val="none" w:sz="0" w:space="0" w:color="auto"/>
        <w:right w:val="none" w:sz="0" w:space="0" w:color="auto"/>
      </w:divBdr>
    </w:div>
    <w:div w:id="718627374">
      <w:bodyDiv w:val="1"/>
      <w:marLeft w:val="0"/>
      <w:marRight w:val="0"/>
      <w:marTop w:val="0"/>
      <w:marBottom w:val="0"/>
      <w:divBdr>
        <w:top w:val="none" w:sz="0" w:space="0" w:color="auto"/>
        <w:left w:val="none" w:sz="0" w:space="0" w:color="auto"/>
        <w:bottom w:val="none" w:sz="0" w:space="0" w:color="auto"/>
        <w:right w:val="none" w:sz="0" w:space="0" w:color="auto"/>
      </w:divBdr>
    </w:div>
    <w:div w:id="718628068">
      <w:bodyDiv w:val="1"/>
      <w:marLeft w:val="0"/>
      <w:marRight w:val="0"/>
      <w:marTop w:val="0"/>
      <w:marBottom w:val="0"/>
      <w:divBdr>
        <w:top w:val="none" w:sz="0" w:space="0" w:color="auto"/>
        <w:left w:val="none" w:sz="0" w:space="0" w:color="auto"/>
        <w:bottom w:val="none" w:sz="0" w:space="0" w:color="auto"/>
        <w:right w:val="none" w:sz="0" w:space="0" w:color="auto"/>
      </w:divBdr>
    </w:div>
    <w:div w:id="718629170">
      <w:bodyDiv w:val="1"/>
      <w:marLeft w:val="0"/>
      <w:marRight w:val="0"/>
      <w:marTop w:val="0"/>
      <w:marBottom w:val="0"/>
      <w:divBdr>
        <w:top w:val="none" w:sz="0" w:space="0" w:color="auto"/>
        <w:left w:val="none" w:sz="0" w:space="0" w:color="auto"/>
        <w:bottom w:val="none" w:sz="0" w:space="0" w:color="auto"/>
        <w:right w:val="none" w:sz="0" w:space="0" w:color="auto"/>
      </w:divBdr>
    </w:div>
    <w:div w:id="718671336">
      <w:bodyDiv w:val="1"/>
      <w:marLeft w:val="0"/>
      <w:marRight w:val="0"/>
      <w:marTop w:val="0"/>
      <w:marBottom w:val="0"/>
      <w:divBdr>
        <w:top w:val="none" w:sz="0" w:space="0" w:color="auto"/>
        <w:left w:val="none" w:sz="0" w:space="0" w:color="auto"/>
        <w:bottom w:val="none" w:sz="0" w:space="0" w:color="auto"/>
        <w:right w:val="none" w:sz="0" w:space="0" w:color="auto"/>
      </w:divBdr>
    </w:div>
    <w:div w:id="718743279">
      <w:bodyDiv w:val="1"/>
      <w:marLeft w:val="0"/>
      <w:marRight w:val="0"/>
      <w:marTop w:val="0"/>
      <w:marBottom w:val="0"/>
      <w:divBdr>
        <w:top w:val="none" w:sz="0" w:space="0" w:color="auto"/>
        <w:left w:val="none" w:sz="0" w:space="0" w:color="auto"/>
        <w:bottom w:val="none" w:sz="0" w:space="0" w:color="auto"/>
        <w:right w:val="none" w:sz="0" w:space="0" w:color="auto"/>
      </w:divBdr>
    </w:div>
    <w:div w:id="718751360">
      <w:bodyDiv w:val="1"/>
      <w:marLeft w:val="0"/>
      <w:marRight w:val="0"/>
      <w:marTop w:val="0"/>
      <w:marBottom w:val="0"/>
      <w:divBdr>
        <w:top w:val="none" w:sz="0" w:space="0" w:color="auto"/>
        <w:left w:val="none" w:sz="0" w:space="0" w:color="auto"/>
        <w:bottom w:val="none" w:sz="0" w:space="0" w:color="auto"/>
        <w:right w:val="none" w:sz="0" w:space="0" w:color="auto"/>
      </w:divBdr>
    </w:div>
    <w:div w:id="718821646">
      <w:bodyDiv w:val="1"/>
      <w:marLeft w:val="0"/>
      <w:marRight w:val="0"/>
      <w:marTop w:val="0"/>
      <w:marBottom w:val="0"/>
      <w:divBdr>
        <w:top w:val="none" w:sz="0" w:space="0" w:color="auto"/>
        <w:left w:val="none" w:sz="0" w:space="0" w:color="auto"/>
        <w:bottom w:val="none" w:sz="0" w:space="0" w:color="auto"/>
        <w:right w:val="none" w:sz="0" w:space="0" w:color="auto"/>
      </w:divBdr>
    </w:div>
    <w:div w:id="718867916">
      <w:bodyDiv w:val="1"/>
      <w:marLeft w:val="0"/>
      <w:marRight w:val="0"/>
      <w:marTop w:val="0"/>
      <w:marBottom w:val="0"/>
      <w:divBdr>
        <w:top w:val="none" w:sz="0" w:space="0" w:color="auto"/>
        <w:left w:val="none" w:sz="0" w:space="0" w:color="auto"/>
        <w:bottom w:val="none" w:sz="0" w:space="0" w:color="auto"/>
        <w:right w:val="none" w:sz="0" w:space="0" w:color="auto"/>
      </w:divBdr>
    </w:div>
    <w:div w:id="718894430">
      <w:bodyDiv w:val="1"/>
      <w:marLeft w:val="0"/>
      <w:marRight w:val="0"/>
      <w:marTop w:val="0"/>
      <w:marBottom w:val="0"/>
      <w:divBdr>
        <w:top w:val="none" w:sz="0" w:space="0" w:color="auto"/>
        <w:left w:val="none" w:sz="0" w:space="0" w:color="auto"/>
        <w:bottom w:val="none" w:sz="0" w:space="0" w:color="auto"/>
        <w:right w:val="none" w:sz="0" w:space="0" w:color="auto"/>
      </w:divBdr>
    </w:div>
    <w:div w:id="718895164">
      <w:bodyDiv w:val="1"/>
      <w:marLeft w:val="0"/>
      <w:marRight w:val="0"/>
      <w:marTop w:val="0"/>
      <w:marBottom w:val="0"/>
      <w:divBdr>
        <w:top w:val="none" w:sz="0" w:space="0" w:color="auto"/>
        <w:left w:val="none" w:sz="0" w:space="0" w:color="auto"/>
        <w:bottom w:val="none" w:sz="0" w:space="0" w:color="auto"/>
        <w:right w:val="none" w:sz="0" w:space="0" w:color="auto"/>
      </w:divBdr>
    </w:div>
    <w:div w:id="718897071">
      <w:bodyDiv w:val="1"/>
      <w:marLeft w:val="0"/>
      <w:marRight w:val="0"/>
      <w:marTop w:val="0"/>
      <w:marBottom w:val="0"/>
      <w:divBdr>
        <w:top w:val="none" w:sz="0" w:space="0" w:color="auto"/>
        <w:left w:val="none" w:sz="0" w:space="0" w:color="auto"/>
        <w:bottom w:val="none" w:sz="0" w:space="0" w:color="auto"/>
        <w:right w:val="none" w:sz="0" w:space="0" w:color="auto"/>
      </w:divBdr>
    </w:div>
    <w:div w:id="719019934">
      <w:bodyDiv w:val="1"/>
      <w:marLeft w:val="0"/>
      <w:marRight w:val="0"/>
      <w:marTop w:val="0"/>
      <w:marBottom w:val="0"/>
      <w:divBdr>
        <w:top w:val="none" w:sz="0" w:space="0" w:color="auto"/>
        <w:left w:val="none" w:sz="0" w:space="0" w:color="auto"/>
        <w:bottom w:val="none" w:sz="0" w:space="0" w:color="auto"/>
        <w:right w:val="none" w:sz="0" w:space="0" w:color="auto"/>
      </w:divBdr>
    </w:div>
    <w:div w:id="719132857">
      <w:bodyDiv w:val="1"/>
      <w:marLeft w:val="0"/>
      <w:marRight w:val="0"/>
      <w:marTop w:val="0"/>
      <w:marBottom w:val="0"/>
      <w:divBdr>
        <w:top w:val="none" w:sz="0" w:space="0" w:color="auto"/>
        <w:left w:val="none" w:sz="0" w:space="0" w:color="auto"/>
        <w:bottom w:val="none" w:sz="0" w:space="0" w:color="auto"/>
        <w:right w:val="none" w:sz="0" w:space="0" w:color="auto"/>
      </w:divBdr>
    </w:div>
    <w:div w:id="719208428">
      <w:bodyDiv w:val="1"/>
      <w:marLeft w:val="0"/>
      <w:marRight w:val="0"/>
      <w:marTop w:val="0"/>
      <w:marBottom w:val="0"/>
      <w:divBdr>
        <w:top w:val="none" w:sz="0" w:space="0" w:color="auto"/>
        <w:left w:val="none" w:sz="0" w:space="0" w:color="auto"/>
        <w:bottom w:val="none" w:sz="0" w:space="0" w:color="auto"/>
        <w:right w:val="none" w:sz="0" w:space="0" w:color="auto"/>
      </w:divBdr>
    </w:div>
    <w:div w:id="719210112">
      <w:bodyDiv w:val="1"/>
      <w:marLeft w:val="0"/>
      <w:marRight w:val="0"/>
      <w:marTop w:val="0"/>
      <w:marBottom w:val="0"/>
      <w:divBdr>
        <w:top w:val="none" w:sz="0" w:space="0" w:color="auto"/>
        <w:left w:val="none" w:sz="0" w:space="0" w:color="auto"/>
        <w:bottom w:val="none" w:sz="0" w:space="0" w:color="auto"/>
        <w:right w:val="none" w:sz="0" w:space="0" w:color="auto"/>
      </w:divBdr>
    </w:div>
    <w:div w:id="719283595">
      <w:bodyDiv w:val="1"/>
      <w:marLeft w:val="0"/>
      <w:marRight w:val="0"/>
      <w:marTop w:val="0"/>
      <w:marBottom w:val="0"/>
      <w:divBdr>
        <w:top w:val="none" w:sz="0" w:space="0" w:color="auto"/>
        <w:left w:val="none" w:sz="0" w:space="0" w:color="auto"/>
        <w:bottom w:val="none" w:sz="0" w:space="0" w:color="auto"/>
        <w:right w:val="none" w:sz="0" w:space="0" w:color="auto"/>
      </w:divBdr>
    </w:div>
    <w:div w:id="719285565">
      <w:bodyDiv w:val="1"/>
      <w:marLeft w:val="0"/>
      <w:marRight w:val="0"/>
      <w:marTop w:val="0"/>
      <w:marBottom w:val="0"/>
      <w:divBdr>
        <w:top w:val="none" w:sz="0" w:space="0" w:color="auto"/>
        <w:left w:val="none" w:sz="0" w:space="0" w:color="auto"/>
        <w:bottom w:val="none" w:sz="0" w:space="0" w:color="auto"/>
        <w:right w:val="none" w:sz="0" w:space="0" w:color="auto"/>
      </w:divBdr>
    </w:div>
    <w:div w:id="719330990">
      <w:bodyDiv w:val="1"/>
      <w:marLeft w:val="0"/>
      <w:marRight w:val="0"/>
      <w:marTop w:val="0"/>
      <w:marBottom w:val="0"/>
      <w:divBdr>
        <w:top w:val="none" w:sz="0" w:space="0" w:color="auto"/>
        <w:left w:val="none" w:sz="0" w:space="0" w:color="auto"/>
        <w:bottom w:val="none" w:sz="0" w:space="0" w:color="auto"/>
        <w:right w:val="none" w:sz="0" w:space="0" w:color="auto"/>
      </w:divBdr>
    </w:div>
    <w:div w:id="719475205">
      <w:bodyDiv w:val="1"/>
      <w:marLeft w:val="0"/>
      <w:marRight w:val="0"/>
      <w:marTop w:val="0"/>
      <w:marBottom w:val="0"/>
      <w:divBdr>
        <w:top w:val="none" w:sz="0" w:space="0" w:color="auto"/>
        <w:left w:val="none" w:sz="0" w:space="0" w:color="auto"/>
        <w:bottom w:val="none" w:sz="0" w:space="0" w:color="auto"/>
        <w:right w:val="none" w:sz="0" w:space="0" w:color="auto"/>
      </w:divBdr>
    </w:div>
    <w:div w:id="719672012">
      <w:bodyDiv w:val="1"/>
      <w:marLeft w:val="0"/>
      <w:marRight w:val="0"/>
      <w:marTop w:val="0"/>
      <w:marBottom w:val="0"/>
      <w:divBdr>
        <w:top w:val="none" w:sz="0" w:space="0" w:color="auto"/>
        <w:left w:val="none" w:sz="0" w:space="0" w:color="auto"/>
        <w:bottom w:val="none" w:sz="0" w:space="0" w:color="auto"/>
        <w:right w:val="none" w:sz="0" w:space="0" w:color="auto"/>
      </w:divBdr>
    </w:div>
    <w:div w:id="719673391">
      <w:bodyDiv w:val="1"/>
      <w:marLeft w:val="0"/>
      <w:marRight w:val="0"/>
      <w:marTop w:val="0"/>
      <w:marBottom w:val="0"/>
      <w:divBdr>
        <w:top w:val="none" w:sz="0" w:space="0" w:color="auto"/>
        <w:left w:val="none" w:sz="0" w:space="0" w:color="auto"/>
        <w:bottom w:val="none" w:sz="0" w:space="0" w:color="auto"/>
        <w:right w:val="none" w:sz="0" w:space="0" w:color="auto"/>
      </w:divBdr>
    </w:div>
    <w:div w:id="719674257">
      <w:bodyDiv w:val="1"/>
      <w:marLeft w:val="0"/>
      <w:marRight w:val="0"/>
      <w:marTop w:val="0"/>
      <w:marBottom w:val="0"/>
      <w:divBdr>
        <w:top w:val="none" w:sz="0" w:space="0" w:color="auto"/>
        <w:left w:val="none" w:sz="0" w:space="0" w:color="auto"/>
        <w:bottom w:val="none" w:sz="0" w:space="0" w:color="auto"/>
        <w:right w:val="none" w:sz="0" w:space="0" w:color="auto"/>
      </w:divBdr>
    </w:div>
    <w:div w:id="719980562">
      <w:bodyDiv w:val="1"/>
      <w:marLeft w:val="0"/>
      <w:marRight w:val="0"/>
      <w:marTop w:val="0"/>
      <w:marBottom w:val="0"/>
      <w:divBdr>
        <w:top w:val="none" w:sz="0" w:space="0" w:color="auto"/>
        <w:left w:val="none" w:sz="0" w:space="0" w:color="auto"/>
        <w:bottom w:val="none" w:sz="0" w:space="0" w:color="auto"/>
        <w:right w:val="none" w:sz="0" w:space="0" w:color="auto"/>
      </w:divBdr>
    </w:div>
    <w:div w:id="720179201">
      <w:bodyDiv w:val="1"/>
      <w:marLeft w:val="0"/>
      <w:marRight w:val="0"/>
      <w:marTop w:val="0"/>
      <w:marBottom w:val="0"/>
      <w:divBdr>
        <w:top w:val="none" w:sz="0" w:space="0" w:color="auto"/>
        <w:left w:val="none" w:sz="0" w:space="0" w:color="auto"/>
        <w:bottom w:val="none" w:sz="0" w:space="0" w:color="auto"/>
        <w:right w:val="none" w:sz="0" w:space="0" w:color="auto"/>
      </w:divBdr>
    </w:div>
    <w:div w:id="720326857">
      <w:bodyDiv w:val="1"/>
      <w:marLeft w:val="0"/>
      <w:marRight w:val="0"/>
      <w:marTop w:val="0"/>
      <w:marBottom w:val="0"/>
      <w:divBdr>
        <w:top w:val="none" w:sz="0" w:space="0" w:color="auto"/>
        <w:left w:val="none" w:sz="0" w:space="0" w:color="auto"/>
        <w:bottom w:val="none" w:sz="0" w:space="0" w:color="auto"/>
        <w:right w:val="none" w:sz="0" w:space="0" w:color="auto"/>
      </w:divBdr>
    </w:div>
    <w:div w:id="720326936">
      <w:bodyDiv w:val="1"/>
      <w:marLeft w:val="0"/>
      <w:marRight w:val="0"/>
      <w:marTop w:val="0"/>
      <w:marBottom w:val="0"/>
      <w:divBdr>
        <w:top w:val="none" w:sz="0" w:space="0" w:color="auto"/>
        <w:left w:val="none" w:sz="0" w:space="0" w:color="auto"/>
        <w:bottom w:val="none" w:sz="0" w:space="0" w:color="auto"/>
        <w:right w:val="none" w:sz="0" w:space="0" w:color="auto"/>
      </w:divBdr>
    </w:div>
    <w:div w:id="720328993">
      <w:bodyDiv w:val="1"/>
      <w:marLeft w:val="0"/>
      <w:marRight w:val="0"/>
      <w:marTop w:val="0"/>
      <w:marBottom w:val="0"/>
      <w:divBdr>
        <w:top w:val="none" w:sz="0" w:space="0" w:color="auto"/>
        <w:left w:val="none" w:sz="0" w:space="0" w:color="auto"/>
        <w:bottom w:val="none" w:sz="0" w:space="0" w:color="auto"/>
        <w:right w:val="none" w:sz="0" w:space="0" w:color="auto"/>
      </w:divBdr>
    </w:div>
    <w:div w:id="720522556">
      <w:bodyDiv w:val="1"/>
      <w:marLeft w:val="0"/>
      <w:marRight w:val="0"/>
      <w:marTop w:val="0"/>
      <w:marBottom w:val="0"/>
      <w:divBdr>
        <w:top w:val="none" w:sz="0" w:space="0" w:color="auto"/>
        <w:left w:val="none" w:sz="0" w:space="0" w:color="auto"/>
        <w:bottom w:val="none" w:sz="0" w:space="0" w:color="auto"/>
        <w:right w:val="none" w:sz="0" w:space="0" w:color="auto"/>
      </w:divBdr>
    </w:div>
    <w:div w:id="720634362">
      <w:bodyDiv w:val="1"/>
      <w:marLeft w:val="0"/>
      <w:marRight w:val="0"/>
      <w:marTop w:val="0"/>
      <w:marBottom w:val="0"/>
      <w:divBdr>
        <w:top w:val="none" w:sz="0" w:space="0" w:color="auto"/>
        <w:left w:val="none" w:sz="0" w:space="0" w:color="auto"/>
        <w:bottom w:val="none" w:sz="0" w:space="0" w:color="auto"/>
        <w:right w:val="none" w:sz="0" w:space="0" w:color="auto"/>
      </w:divBdr>
    </w:div>
    <w:div w:id="720789404">
      <w:bodyDiv w:val="1"/>
      <w:marLeft w:val="0"/>
      <w:marRight w:val="0"/>
      <w:marTop w:val="0"/>
      <w:marBottom w:val="0"/>
      <w:divBdr>
        <w:top w:val="none" w:sz="0" w:space="0" w:color="auto"/>
        <w:left w:val="none" w:sz="0" w:space="0" w:color="auto"/>
        <w:bottom w:val="none" w:sz="0" w:space="0" w:color="auto"/>
        <w:right w:val="none" w:sz="0" w:space="0" w:color="auto"/>
      </w:divBdr>
    </w:div>
    <w:div w:id="720790503">
      <w:bodyDiv w:val="1"/>
      <w:marLeft w:val="0"/>
      <w:marRight w:val="0"/>
      <w:marTop w:val="0"/>
      <w:marBottom w:val="0"/>
      <w:divBdr>
        <w:top w:val="none" w:sz="0" w:space="0" w:color="auto"/>
        <w:left w:val="none" w:sz="0" w:space="0" w:color="auto"/>
        <w:bottom w:val="none" w:sz="0" w:space="0" w:color="auto"/>
        <w:right w:val="none" w:sz="0" w:space="0" w:color="auto"/>
      </w:divBdr>
    </w:div>
    <w:div w:id="720831785">
      <w:bodyDiv w:val="1"/>
      <w:marLeft w:val="0"/>
      <w:marRight w:val="0"/>
      <w:marTop w:val="0"/>
      <w:marBottom w:val="0"/>
      <w:divBdr>
        <w:top w:val="none" w:sz="0" w:space="0" w:color="auto"/>
        <w:left w:val="none" w:sz="0" w:space="0" w:color="auto"/>
        <w:bottom w:val="none" w:sz="0" w:space="0" w:color="auto"/>
        <w:right w:val="none" w:sz="0" w:space="0" w:color="auto"/>
      </w:divBdr>
    </w:div>
    <w:div w:id="720860851">
      <w:bodyDiv w:val="1"/>
      <w:marLeft w:val="0"/>
      <w:marRight w:val="0"/>
      <w:marTop w:val="0"/>
      <w:marBottom w:val="0"/>
      <w:divBdr>
        <w:top w:val="none" w:sz="0" w:space="0" w:color="auto"/>
        <w:left w:val="none" w:sz="0" w:space="0" w:color="auto"/>
        <w:bottom w:val="none" w:sz="0" w:space="0" w:color="auto"/>
        <w:right w:val="none" w:sz="0" w:space="0" w:color="auto"/>
      </w:divBdr>
    </w:div>
    <w:div w:id="720861134">
      <w:bodyDiv w:val="1"/>
      <w:marLeft w:val="0"/>
      <w:marRight w:val="0"/>
      <w:marTop w:val="0"/>
      <w:marBottom w:val="0"/>
      <w:divBdr>
        <w:top w:val="none" w:sz="0" w:space="0" w:color="auto"/>
        <w:left w:val="none" w:sz="0" w:space="0" w:color="auto"/>
        <w:bottom w:val="none" w:sz="0" w:space="0" w:color="auto"/>
        <w:right w:val="none" w:sz="0" w:space="0" w:color="auto"/>
      </w:divBdr>
    </w:div>
    <w:div w:id="720902183">
      <w:bodyDiv w:val="1"/>
      <w:marLeft w:val="0"/>
      <w:marRight w:val="0"/>
      <w:marTop w:val="0"/>
      <w:marBottom w:val="0"/>
      <w:divBdr>
        <w:top w:val="none" w:sz="0" w:space="0" w:color="auto"/>
        <w:left w:val="none" w:sz="0" w:space="0" w:color="auto"/>
        <w:bottom w:val="none" w:sz="0" w:space="0" w:color="auto"/>
        <w:right w:val="none" w:sz="0" w:space="0" w:color="auto"/>
      </w:divBdr>
    </w:div>
    <w:div w:id="720906580">
      <w:bodyDiv w:val="1"/>
      <w:marLeft w:val="0"/>
      <w:marRight w:val="0"/>
      <w:marTop w:val="0"/>
      <w:marBottom w:val="0"/>
      <w:divBdr>
        <w:top w:val="none" w:sz="0" w:space="0" w:color="auto"/>
        <w:left w:val="none" w:sz="0" w:space="0" w:color="auto"/>
        <w:bottom w:val="none" w:sz="0" w:space="0" w:color="auto"/>
        <w:right w:val="none" w:sz="0" w:space="0" w:color="auto"/>
      </w:divBdr>
    </w:div>
    <w:div w:id="720908735">
      <w:bodyDiv w:val="1"/>
      <w:marLeft w:val="0"/>
      <w:marRight w:val="0"/>
      <w:marTop w:val="0"/>
      <w:marBottom w:val="0"/>
      <w:divBdr>
        <w:top w:val="none" w:sz="0" w:space="0" w:color="auto"/>
        <w:left w:val="none" w:sz="0" w:space="0" w:color="auto"/>
        <w:bottom w:val="none" w:sz="0" w:space="0" w:color="auto"/>
        <w:right w:val="none" w:sz="0" w:space="0" w:color="auto"/>
      </w:divBdr>
    </w:div>
    <w:div w:id="720978060">
      <w:bodyDiv w:val="1"/>
      <w:marLeft w:val="0"/>
      <w:marRight w:val="0"/>
      <w:marTop w:val="0"/>
      <w:marBottom w:val="0"/>
      <w:divBdr>
        <w:top w:val="none" w:sz="0" w:space="0" w:color="auto"/>
        <w:left w:val="none" w:sz="0" w:space="0" w:color="auto"/>
        <w:bottom w:val="none" w:sz="0" w:space="0" w:color="auto"/>
        <w:right w:val="none" w:sz="0" w:space="0" w:color="auto"/>
      </w:divBdr>
    </w:div>
    <w:div w:id="721096707">
      <w:bodyDiv w:val="1"/>
      <w:marLeft w:val="0"/>
      <w:marRight w:val="0"/>
      <w:marTop w:val="0"/>
      <w:marBottom w:val="0"/>
      <w:divBdr>
        <w:top w:val="none" w:sz="0" w:space="0" w:color="auto"/>
        <w:left w:val="none" w:sz="0" w:space="0" w:color="auto"/>
        <w:bottom w:val="none" w:sz="0" w:space="0" w:color="auto"/>
        <w:right w:val="none" w:sz="0" w:space="0" w:color="auto"/>
      </w:divBdr>
    </w:div>
    <w:div w:id="721096956">
      <w:bodyDiv w:val="1"/>
      <w:marLeft w:val="0"/>
      <w:marRight w:val="0"/>
      <w:marTop w:val="0"/>
      <w:marBottom w:val="0"/>
      <w:divBdr>
        <w:top w:val="none" w:sz="0" w:space="0" w:color="auto"/>
        <w:left w:val="none" w:sz="0" w:space="0" w:color="auto"/>
        <w:bottom w:val="none" w:sz="0" w:space="0" w:color="auto"/>
        <w:right w:val="none" w:sz="0" w:space="0" w:color="auto"/>
      </w:divBdr>
    </w:div>
    <w:div w:id="721176568">
      <w:bodyDiv w:val="1"/>
      <w:marLeft w:val="0"/>
      <w:marRight w:val="0"/>
      <w:marTop w:val="0"/>
      <w:marBottom w:val="0"/>
      <w:divBdr>
        <w:top w:val="none" w:sz="0" w:space="0" w:color="auto"/>
        <w:left w:val="none" w:sz="0" w:space="0" w:color="auto"/>
        <w:bottom w:val="none" w:sz="0" w:space="0" w:color="auto"/>
        <w:right w:val="none" w:sz="0" w:space="0" w:color="auto"/>
      </w:divBdr>
    </w:div>
    <w:div w:id="721321672">
      <w:bodyDiv w:val="1"/>
      <w:marLeft w:val="0"/>
      <w:marRight w:val="0"/>
      <w:marTop w:val="0"/>
      <w:marBottom w:val="0"/>
      <w:divBdr>
        <w:top w:val="none" w:sz="0" w:space="0" w:color="auto"/>
        <w:left w:val="none" w:sz="0" w:space="0" w:color="auto"/>
        <w:bottom w:val="none" w:sz="0" w:space="0" w:color="auto"/>
        <w:right w:val="none" w:sz="0" w:space="0" w:color="auto"/>
      </w:divBdr>
    </w:div>
    <w:div w:id="721321918">
      <w:bodyDiv w:val="1"/>
      <w:marLeft w:val="0"/>
      <w:marRight w:val="0"/>
      <w:marTop w:val="0"/>
      <w:marBottom w:val="0"/>
      <w:divBdr>
        <w:top w:val="none" w:sz="0" w:space="0" w:color="auto"/>
        <w:left w:val="none" w:sz="0" w:space="0" w:color="auto"/>
        <w:bottom w:val="none" w:sz="0" w:space="0" w:color="auto"/>
        <w:right w:val="none" w:sz="0" w:space="0" w:color="auto"/>
      </w:divBdr>
    </w:div>
    <w:div w:id="721368261">
      <w:bodyDiv w:val="1"/>
      <w:marLeft w:val="0"/>
      <w:marRight w:val="0"/>
      <w:marTop w:val="0"/>
      <w:marBottom w:val="0"/>
      <w:divBdr>
        <w:top w:val="none" w:sz="0" w:space="0" w:color="auto"/>
        <w:left w:val="none" w:sz="0" w:space="0" w:color="auto"/>
        <w:bottom w:val="none" w:sz="0" w:space="0" w:color="auto"/>
        <w:right w:val="none" w:sz="0" w:space="0" w:color="auto"/>
      </w:divBdr>
    </w:div>
    <w:div w:id="721514098">
      <w:bodyDiv w:val="1"/>
      <w:marLeft w:val="0"/>
      <w:marRight w:val="0"/>
      <w:marTop w:val="0"/>
      <w:marBottom w:val="0"/>
      <w:divBdr>
        <w:top w:val="none" w:sz="0" w:space="0" w:color="auto"/>
        <w:left w:val="none" w:sz="0" w:space="0" w:color="auto"/>
        <w:bottom w:val="none" w:sz="0" w:space="0" w:color="auto"/>
        <w:right w:val="none" w:sz="0" w:space="0" w:color="auto"/>
      </w:divBdr>
    </w:div>
    <w:div w:id="721633608">
      <w:bodyDiv w:val="1"/>
      <w:marLeft w:val="0"/>
      <w:marRight w:val="0"/>
      <w:marTop w:val="0"/>
      <w:marBottom w:val="0"/>
      <w:divBdr>
        <w:top w:val="none" w:sz="0" w:space="0" w:color="auto"/>
        <w:left w:val="none" w:sz="0" w:space="0" w:color="auto"/>
        <w:bottom w:val="none" w:sz="0" w:space="0" w:color="auto"/>
        <w:right w:val="none" w:sz="0" w:space="0" w:color="auto"/>
      </w:divBdr>
    </w:div>
    <w:div w:id="721640435">
      <w:bodyDiv w:val="1"/>
      <w:marLeft w:val="0"/>
      <w:marRight w:val="0"/>
      <w:marTop w:val="0"/>
      <w:marBottom w:val="0"/>
      <w:divBdr>
        <w:top w:val="none" w:sz="0" w:space="0" w:color="auto"/>
        <w:left w:val="none" w:sz="0" w:space="0" w:color="auto"/>
        <w:bottom w:val="none" w:sz="0" w:space="0" w:color="auto"/>
        <w:right w:val="none" w:sz="0" w:space="0" w:color="auto"/>
      </w:divBdr>
    </w:div>
    <w:div w:id="721750140">
      <w:bodyDiv w:val="1"/>
      <w:marLeft w:val="0"/>
      <w:marRight w:val="0"/>
      <w:marTop w:val="0"/>
      <w:marBottom w:val="0"/>
      <w:divBdr>
        <w:top w:val="none" w:sz="0" w:space="0" w:color="auto"/>
        <w:left w:val="none" w:sz="0" w:space="0" w:color="auto"/>
        <w:bottom w:val="none" w:sz="0" w:space="0" w:color="auto"/>
        <w:right w:val="none" w:sz="0" w:space="0" w:color="auto"/>
      </w:divBdr>
    </w:div>
    <w:div w:id="721752897">
      <w:bodyDiv w:val="1"/>
      <w:marLeft w:val="0"/>
      <w:marRight w:val="0"/>
      <w:marTop w:val="0"/>
      <w:marBottom w:val="0"/>
      <w:divBdr>
        <w:top w:val="none" w:sz="0" w:space="0" w:color="auto"/>
        <w:left w:val="none" w:sz="0" w:space="0" w:color="auto"/>
        <w:bottom w:val="none" w:sz="0" w:space="0" w:color="auto"/>
        <w:right w:val="none" w:sz="0" w:space="0" w:color="auto"/>
      </w:divBdr>
    </w:div>
    <w:div w:id="721755807">
      <w:bodyDiv w:val="1"/>
      <w:marLeft w:val="0"/>
      <w:marRight w:val="0"/>
      <w:marTop w:val="0"/>
      <w:marBottom w:val="0"/>
      <w:divBdr>
        <w:top w:val="none" w:sz="0" w:space="0" w:color="auto"/>
        <w:left w:val="none" w:sz="0" w:space="0" w:color="auto"/>
        <w:bottom w:val="none" w:sz="0" w:space="0" w:color="auto"/>
        <w:right w:val="none" w:sz="0" w:space="0" w:color="auto"/>
      </w:divBdr>
    </w:div>
    <w:div w:id="721830485">
      <w:bodyDiv w:val="1"/>
      <w:marLeft w:val="0"/>
      <w:marRight w:val="0"/>
      <w:marTop w:val="0"/>
      <w:marBottom w:val="0"/>
      <w:divBdr>
        <w:top w:val="none" w:sz="0" w:space="0" w:color="auto"/>
        <w:left w:val="none" w:sz="0" w:space="0" w:color="auto"/>
        <w:bottom w:val="none" w:sz="0" w:space="0" w:color="auto"/>
        <w:right w:val="none" w:sz="0" w:space="0" w:color="auto"/>
      </w:divBdr>
    </w:div>
    <w:div w:id="721831956">
      <w:bodyDiv w:val="1"/>
      <w:marLeft w:val="0"/>
      <w:marRight w:val="0"/>
      <w:marTop w:val="0"/>
      <w:marBottom w:val="0"/>
      <w:divBdr>
        <w:top w:val="none" w:sz="0" w:space="0" w:color="auto"/>
        <w:left w:val="none" w:sz="0" w:space="0" w:color="auto"/>
        <w:bottom w:val="none" w:sz="0" w:space="0" w:color="auto"/>
        <w:right w:val="none" w:sz="0" w:space="0" w:color="auto"/>
      </w:divBdr>
    </w:div>
    <w:div w:id="722019222">
      <w:bodyDiv w:val="1"/>
      <w:marLeft w:val="0"/>
      <w:marRight w:val="0"/>
      <w:marTop w:val="0"/>
      <w:marBottom w:val="0"/>
      <w:divBdr>
        <w:top w:val="none" w:sz="0" w:space="0" w:color="auto"/>
        <w:left w:val="none" w:sz="0" w:space="0" w:color="auto"/>
        <w:bottom w:val="none" w:sz="0" w:space="0" w:color="auto"/>
        <w:right w:val="none" w:sz="0" w:space="0" w:color="auto"/>
      </w:divBdr>
    </w:div>
    <w:div w:id="722144500">
      <w:bodyDiv w:val="1"/>
      <w:marLeft w:val="0"/>
      <w:marRight w:val="0"/>
      <w:marTop w:val="0"/>
      <w:marBottom w:val="0"/>
      <w:divBdr>
        <w:top w:val="none" w:sz="0" w:space="0" w:color="auto"/>
        <w:left w:val="none" w:sz="0" w:space="0" w:color="auto"/>
        <w:bottom w:val="none" w:sz="0" w:space="0" w:color="auto"/>
        <w:right w:val="none" w:sz="0" w:space="0" w:color="auto"/>
      </w:divBdr>
    </w:div>
    <w:div w:id="722219613">
      <w:bodyDiv w:val="1"/>
      <w:marLeft w:val="0"/>
      <w:marRight w:val="0"/>
      <w:marTop w:val="0"/>
      <w:marBottom w:val="0"/>
      <w:divBdr>
        <w:top w:val="none" w:sz="0" w:space="0" w:color="auto"/>
        <w:left w:val="none" w:sz="0" w:space="0" w:color="auto"/>
        <w:bottom w:val="none" w:sz="0" w:space="0" w:color="auto"/>
        <w:right w:val="none" w:sz="0" w:space="0" w:color="auto"/>
      </w:divBdr>
    </w:div>
    <w:div w:id="722405923">
      <w:bodyDiv w:val="1"/>
      <w:marLeft w:val="0"/>
      <w:marRight w:val="0"/>
      <w:marTop w:val="0"/>
      <w:marBottom w:val="0"/>
      <w:divBdr>
        <w:top w:val="none" w:sz="0" w:space="0" w:color="auto"/>
        <w:left w:val="none" w:sz="0" w:space="0" w:color="auto"/>
        <w:bottom w:val="none" w:sz="0" w:space="0" w:color="auto"/>
        <w:right w:val="none" w:sz="0" w:space="0" w:color="auto"/>
      </w:divBdr>
    </w:div>
    <w:div w:id="722487301">
      <w:bodyDiv w:val="1"/>
      <w:marLeft w:val="0"/>
      <w:marRight w:val="0"/>
      <w:marTop w:val="0"/>
      <w:marBottom w:val="0"/>
      <w:divBdr>
        <w:top w:val="none" w:sz="0" w:space="0" w:color="auto"/>
        <w:left w:val="none" w:sz="0" w:space="0" w:color="auto"/>
        <w:bottom w:val="none" w:sz="0" w:space="0" w:color="auto"/>
        <w:right w:val="none" w:sz="0" w:space="0" w:color="auto"/>
      </w:divBdr>
    </w:div>
    <w:div w:id="722605994">
      <w:bodyDiv w:val="1"/>
      <w:marLeft w:val="0"/>
      <w:marRight w:val="0"/>
      <w:marTop w:val="0"/>
      <w:marBottom w:val="0"/>
      <w:divBdr>
        <w:top w:val="none" w:sz="0" w:space="0" w:color="auto"/>
        <w:left w:val="none" w:sz="0" w:space="0" w:color="auto"/>
        <w:bottom w:val="none" w:sz="0" w:space="0" w:color="auto"/>
        <w:right w:val="none" w:sz="0" w:space="0" w:color="auto"/>
      </w:divBdr>
    </w:div>
    <w:div w:id="722632387">
      <w:bodyDiv w:val="1"/>
      <w:marLeft w:val="0"/>
      <w:marRight w:val="0"/>
      <w:marTop w:val="0"/>
      <w:marBottom w:val="0"/>
      <w:divBdr>
        <w:top w:val="none" w:sz="0" w:space="0" w:color="auto"/>
        <w:left w:val="none" w:sz="0" w:space="0" w:color="auto"/>
        <w:bottom w:val="none" w:sz="0" w:space="0" w:color="auto"/>
        <w:right w:val="none" w:sz="0" w:space="0" w:color="auto"/>
      </w:divBdr>
    </w:div>
    <w:div w:id="722675793">
      <w:bodyDiv w:val="1"/>
      <w:marLeft w:val="0"/>
      <w:marRight w:val="0"/>
      <w:marTop w:val="0"/>
      <w:marBottom w:val="0"/>
      <w:divBdr>
        <w:top w:val="none" w:sz="0" w:space="0" w:color="auto"/>
        <w:left w:val="none" w:sz="0" w:space="0" w:color="auto"/>
        <w:bottom w:val="none" w:sz="0" w:space="0" w:color="auto"/>
        <w:right w:val="none" w:sz="0" w:space="0" w:color="auto"/>
      </w:divBdr>
    </w:div>
    <w:div w:id="722756564">
      <w:bodyDiv w:val="1"/>
      <w:marLeft w:val="0"/>
      <w:marRight w:val="0"/>
      <w:marTop w:val="0"/>
      <w:marBottom w:val="0"/>
      <w:divBdr>
        <w:top w:val="none" w:sz="0" w:space="0" w:color="auto"/>
        <w:left w:val="none" w:sz="0" w:space="0" w:color="auto"/>
        <w:bottom w:val="none" w:sz="0" w:space="0" w:color="auto"/>
        <w:right w:val="none" w:sz="0" w:space="0" w:color="auto"/>
      </w:divBdr>
    </w:div>
    <w:div w:id="722875346">
      <w:bodyDiv w:val="1"/>
      <w:marLeft w:val="0"/>
      <w:marRight w:val="0"/>
      <w:marTop w:val="0"/>
      <w:marBottom w:val="0"/>
      <w:divBdr>
        <w:top w:val="none" w:sz="0" w:space="0" w:color="auto"/>
        <w:left w:val="none" w:sz="0" w:space="0" w:color="auto"/>
        <w:bottom w:val="none" w:sz="0" w:space="0" w:color="auto"/>
        <w:right w:val="none" w:sz="0" w:space="0" w:color="auto"/>
      </w:divBdr>
    </w:div>
    <w:div w:id="722945595">
      <w:bodyDiv w:val="1"/>
      <w:marLeft w:val="0"/>
      <w:marRight w:val="0"/>
      <w:marTop w:val="0"/>
      <w:marBottom w:val="0"/>
      <w:divBdr>
        <w:top w:val="none" w:sz="0" w:space="0" w:color="auto"/>
        <w:left w:val="none" w:sz="0" w:space="0" w:color="auto"/>
        <w:bottom w:val="none" w:sz="0" w:space="0" w:color="auto"/>
        <w:right w:val="none" w:sz="0" w:space="0" w:color="auto"/>
      </w:divBdr>
    </w:div>
    <w:div w:id="723020585">
      <w:bodyDiv w:val="1"/>
      <w:marLeft w:val="0"/>
      <w:marRight w:val="0"/>
      <w:marTop w:val="0"/>
      <w:marBottom w:val="0"/>
      <w:divBdr>
        <w:top w:val="none" w:sz="0" w:space="0" w:color="auto"/>
        <w:left w:val="none" w:sz="0" w:space="0" w:color="auto"/>
        <w:bottom w:val="none" w:sz="0" w:space="0" w:color="auto"/>
        <w:right w:val="none" w:sz="0" w:space="0" w:color="auto"/>
      </w:divBdr>
    </w:div>
    <w:div w:id="723137324">
      <w:bodyDiv w:val="1"/>
      <w:marLeft w:val="0"/>
      <w:marRight w:val="0"/>
      <w:marTop w:val="0"/>
      <w:marBottom w:val="0"/>
      <w:divBdr>
        <w:top w:val="none" w:sz="0" w:space="0" w:color="auto"/>
        <w:left w:val="none" w:sz="0" w:space="0" w:color="auto"/>
        <w:bottom w:val="none" w:sz="0" w:space="0" w:color="auto"/>
        <w:right w:val="none" w:sz="0" w:space="0" w:color="auto"/>
      </w:divBdr>
    </w:div>
    <w:div w:id="723140591">
      <w:bodyDiv w:val="1"/>
      <w:marLeft w:val="0"/>
      <w:marRight w:val="0"/>
      <w:marTop w:val="0"/>
      <w:marBottom w:val="0"/>
      <w:divBdr>
        <w:top w:val="none" w:sz="0" w:space="0" w:color="auto"/>
        <w:left w:val="none" w:sz="0" w:space="0" w:color="auto"/>
        <w:bottom w:val="none" w:sz="0" w:space="0" w:color="auto"/>
        <w:right w:val="none" w:sz="0" w:space="0" w:color="auto"/>
      </w:divBdr>
    </w:div>
    <w:div w:id="723141134">
      <w:bodyDiv w:val="1"/>
      <w:marLeft w:val="0"/>
      <w:marRight w:val="0"/>
      <w:marTop w:val="0"/>
      <w:marBottom w:val="0"/>
      <w:divBdr>
        <w:top w:val="none" w:sz="0" w:space="0" w:color="auto"/>
        <w:left w:val="none" w:sz="0" w:space="0" w:color="auto"/>
        <w:bottom w:val="none" w:sz="0" w:space="0" w:color="auto"/>
        <w:right w:val="none" w:sz="0" w:space="0" w:color="auto"/>
      </w:divBdr>
    </w:div>
    <w:div w:id="723214286">
      <w:bodyDiv w:val="1"/>
      <w:marLeft w:val="0"/>
      <w:marRight w:val="0"/>
      <w:marTop w:val="0"/>
      <w:marBottom w:val="0"/>
      <w:divBdr>
        <w:top w:val="none" w:sz="0" w:space="0" w:color="auto"/>
        <w:left w:val="none" w:sz="0" w:space="0" w:color="auto"/>
        <w:bottom w:val="none" w:sz="0" w:space="0" w:color="auto"/>
        <w:right w:val="none" w:sz="0" w:space="0" w:color="auto"/>
      </w:divBdr>
    </w:div>
    <w:div w:id="723256024">
      <w:bodyDiv w:val="1"/>
      <w:marLeft w:val="0"/>
      <w:marRight w:val="0"/>
      <w:marTop w:val="0"/>
      <w:marBottom w:val="0"/>
      <w:divBdr>
        <w:top w:val="none" w:sz="0" w:space="0" w:color="auto"/>
        <w:left w:val="none" w:sz="0" w:space="0" w:color="auto"/>
        <w:bottom w:val="none" w:sz="0" w:space="0" w:color="auto"/>
        <w:right w:val="none" w:sz="0" w:space="0" w:color="auto"/>
      </w:divBdr>
    </w:div>
    <w:div w:id="723408679">
      <w:bodyDiv w:val="1"/>
      <w:marLeft w:val="0"/>
      <w:marRight w:val="0"/>
      <w:marTop w:val="0"/>
      <w:marBottom w:val="0"/>
      <w:divBdr>
        <w:top w:val="none" w:sz="0" w:space="0" w:color="auto"/>
        <w:left w:val="none" w:sz="0" w:space="0" w:color="auto"/>
        <w:bottom w:val="none" w:sz="0" w:space="0" w:color="auto"/>
        <w:right w:val="none" w:sz="0" w:space="0" w:color="auto"/>
      </w:divBdr>
    </w:div>
    <w:div w:id="723523711">
      <w:bodyDiv w:val="1"/>
      <w:marLeft w:val="0"/>
      <w:marRight w:val="0"/>
      <w:marTop w:val="0"/>
      <w:marBottom w:val="0"/>
      <w:divBdr>
        <w:top w:val="none" w:sz="0" w:space="0" w:color="auto"/>
        <w:left w:val="none" w:sz="0" w:space="0" w:color="auto"/>
        <w:bottom w:val="none" w:sz="0" w:space="0" w:color="auto"/>
        <w:right w:val="none" w:sz="0" w:space="0" w:color="auto"/>
      </w:divBdr>
    </w:div>
    <w:div w:id="723601794">
      <w:bodyDiv w:val="1"/>
      <w:marLeft w:val="0"/>
      <w:marRight w:val="0"/>
      <w:marTop w:val="0"/>
      <w:marBottom w:val="0"/>
      <w:divBdr>
        <w:top w:val="none" w:sz="0" w:space="0" w:color="auto"/>
        <w:left w:val="none" w:sz="0" w:space="0" w:color="auto"/>
        <w:bottom w:val="none" w:sz="0" w:space="0" w:color="auto"/>
        <w:right w:val="none" w:sz="0" w:space="0" w:color="auto"/>
      </w:divBdr>
    </w:div>
    <w:div w:id="723680271">
      <w:bodyDiv w:val="1"/>
      <w:marLeft w:val="0"/>
      <w:marRight w:val="0"/>
      <w:marTop w:val="0"/>
      <w:marBottom w:val="0"/>
      <w:divBdr>
        <w:top w:val="none" w:sz="0" w:space="0" w:color="auto"/>
        <w:left w:val="none" w:sz="0" w:space="0" w:color="auto"/>
        <w:bottom w:val="none" w:sz="0" w:space="0" w:color="auto"/>
        <w:right w:val="none" w:sz="0" w:space="0" w:color="auto"/>
      </w:divBdr>
    </w:div>
    <w:div w:id="723722871">
      <w:bodyDiv w:val="1"/>
      <w:marLeft w:val="0"/>
      <w:marRight w:val="0"/>
      <w:marTop w:val="0"/>
      <w:marBottom w:val="0"/>
      <w:divBdr>
        <w:top w:val="none" w:sz="0" w:space="0" w:color="auto"/>
        <w:left w:val="none" w:sz="0" w:space="0" w:color="auto"/>
        <w:bottom w:val="none" w:sz="0" w:space="0" w:color="auto"/>
        <w:right w:val="none" w:sz="0" w:space="0" w:color="auto"/>
      </w:divBdr>
    </w:div>
    <w:div w:id="723793632">
      <w:bodyDiv w:val="1"/>
      <w:marLeft w:val="0"/>
      <w:marRight w:val="0"/>
      <w:marTop w:val="0"/>
      <w:marBottom w:val="0"/>
      <w:divBdr>
        <w:top w:val="none" w:sz="0" w:space="0" w:color="auto"/>
        <w:left w:val="none" w:sz="0" w:space="0" w:color="auto"/>
        <w:bottom w:val="none" w:sz="0" w:space="0" w:color="auto"/>
        <w:right w:val="none" w:sz="0" w:space="0" w:color="auto"/>
      </w:divBdr>
    </w:div>
    <w:div w:id="723794632">
      <w:bodyDiv w:val="1"/>
      <w:marLeft w:val="0"/>
      <w:marRight w:val="0"/>
      <w:marTop w:val="0"/>
      <w:marBottom w:val="0"/>
      <w:divBdr>
        <w:top w:val="none" w:sz="0" w:space="0" w:color="auto"/>
        <w:left w:val="none" w:sz="0" w:space="0" w:color="auto"/>
        <w:bottom w:val="none" w:sz="0" w:space="0" w:color="auto"/>
        <w:right w:val="none" w:sz="0" w:space="0" w:color="auto"/>
      </w:divBdr>
    </w:div>
    <w:div w:id="723800657">
      <w:bodyDiv w:val="1"/>
      <w:marLeft w:val="0"/>
      <w:marRight w:val="0"/>
      <w:marTop w:val="0"/>
      <w:marBottom w:val="0"/>
      <w:divBdr>
        <w:top w:val="none" w:sz="0" w:space="0" w:color="auto"/>
        <w:left w:val="none" w:sz="0" w:space="0" w:color="auto"/>
        <w:bottom w:val="none" w:sz="0" w:space="0" w:color="auto"/>
        <w:right w:val="none" w:sz="0" w:space="0" w:color="auto"/>
      </w:divBdr>
    </w:div>
    <w:div w:id="723917309">
      <w:bodyDiv w:val="1"/>
      <w:marLeft w:val="0"/>
      <w:marRight w:val="0"/>
      <w:marTop w:val="0"/>
      <w:marBottom w:val="0"/>
      <w:divBdr>
        <w:top w:val="none" w:sz="0" w:space="0" w:color="auto"/>
        <w:left w:val="none" w:sz="0" w:space="0" w:color="auto"/>
        <w:bottom w:val="none" w:sz="0" w:space="0" w:color="auto"/>
        <w:right w:val="none" w:sz="0" w:space="0" w:color="auto"/>
      </w:divBdr>
    </w:div>
    <w:div w:id="724108199">
      <w:bodyDiv w:val="1"/>
      <w:marLeft w:val="0"/>
      <w:marRight w:val="0"/>
      <w:marTop w:val="0"/>
      <w:marBottom w:val="0"/>
      <w:divBdr>
        <w:top w:val="none" w:sz="0" w:space="0" w:color="auto"/>
        <w:left w:val="none" w:sz="0" w:space="0" w:color="auto"/>
        <w:bottom w:val="none" w:sz="0" w:space="0" w:color="auto"/>
        <w:right w:val="none" w:sz="0" w:space="0" w:color="auto"/>
      </w:divBdr>
    </w:div>
    <w:div w:id="724138542">
      <w:bodyDiv w:val="1"/>
      <w:marLeft w:val="0"/>
      <w:marRight w:val="0"/>
      <w:marTop w:val="0"/>
      <w:marBottom w:val="0"/>
      <w:divBdr>
        <w:top w:val="none" w:sz="0" w:space="0" w:color="auto"/>
        <w:left w:val="none" w:sz="0" w:space="0" w:color="auto"/>
        <w:bottom w:val="none" w:sz="0" w:space="0" w:color="auto"/>
        <w:right w:val="none" w:sz="0" w:space="0" w:color="auto"/>
      </w:divBdr>
    </w:div>
    <w:div w:id="724261946">
      <w:bodyDiv w:val="1"/>
      <w:marLeft w:val="0"/>
      <w:marRight w:val="0"/>
      <w:marTop w:val="0"/>
      <w:marBottom w:val="0"/>
      <w:divBdr>
        <w:top w:val="none" w:sz="0" w:space="0" w:color="auto"/>
        <w:left w:val="none" w:sz="0" w:space="0" w:color="auto"/>
        <w:bottom w:val="none" w:sz="0" w:space="0" w:color="auto"/>
        <w:right w:val="none" w:sz="0" w:space="0" w:color="auto"/>
      </w:divBdr>
    </w:div>
    <w:div w:id="724335019">
      <w:bodyDiv w:val="1"/>
      <w:marLeft w:val="0"/>
      <w:marRight w:val="0"/>
      <w:marTop w:val="0"/>
      <w:marBottom w:val="0"/>
      <w:divBdr>
        <w:top w:val="none" w:sz="0" w:space="0" w:color="auto"/>
        <w:left w:val="none" w:sz="0" w:space="0" w:color="auto"/>
        <w:bottom w:val="none" w:sz="0" w:space="0" w:color="auto"/>
        <w:right w:val="none" w:sz="0" w:space="0" w:color="auto"/>
      </w:divBdr>
    </w:div>
    <w:div w:id="724373069">
      <w:bodyDiv w:val="1"/>
      <w:marLeft w:val="0"/>
      <w:marRight w:val="0"/>
      <w:marTop w:val="0"/>
      <w:marBottom w:val="0"/>
      <w:divBdr>
        <w:top w:val="none" w:sz="0" w:space="0" w:color="auto"/>
        <w:left w:val="none" w:sz="0" w:space="0" w:color="auto"/>
        <w:bottom w:val="none" w:sz="0" w:space="0" w:color="auto"/>
        <w:right w:val="none" w:sz="0" w:space="0" w:color="auto"/>
      </w:divBdr>
    </w:div>
    <w:div w:id="724448144">
      <w:bodyDiv w:val="1"/>
      <w:marLeft w:val="0"/>
      <w:marRight w:val="0"/>
      <w:marTop w:val="0"/>
      <w:marBottom w:val="0"/>
      <w:divBdr>
        <w:top w:val="none" w:sz="0" w:space="0" w:color="auto"/>
        <w:left w:val="none" w:sz="0" w:space="0" w:color="auto"/>
        <w:bottom w:val="none" w:sz="0" w:space="0" w:color="auto"/>
        <w:right w:val="none" w:sz="0" w:space="0" w:color="auto"/>
      </w:divBdr>
    </w:div>
    <w:div w:id="724455259">
      <w:bodyDiv w:val="1"/>
      <w:marLeft w:val="0"/>
      <w:marRight w:val="0"/>
      <w:marTop w:val="0"/>
      <w:marBottom w:val="0"/>
      <w:divBdr>
        <w:top w:val="none" w:sz="0" w:space="0" w:color="auto"/>
        <w:left w:val="none" w:sz="0" w:space="0" w:color="auto"/>
        <w:bottom w:val="none" w:sz="0" w:space="0" w:color="auto"/>
        <w:right w:val="none" w:sz="0" w:space="0" w:color="auto"/>
      </w:divBdr>
    </w:div>
    <w:div w:id="724523679">
      <w:bodyDiv w:val="1"/>
      <w:marLeft w:val="0"/>
      <w:marRight w:val="0"/>
      <w:marTop w:val="0"/>
      <w:marBottom w:val="0"/>
      <w:divBdr>
        <w:top w:val="none" w:sz="0" w:space="0" w:color="auto"/>
        <w:left w:val="none" w:sz="0" w:space="0" w:color="auto"/>
        <w:bottom w:val="none" w:sz="0" w:space="0" w:color="auto"/>
        <w:right w:val="none" w:sz="0" w:space="0" w:color="auto"/>
      </w:divBdr>
    </w:div>
    <w:div w:id="724525229">
      <w:bodyDiv w:val="1"/>
      <w:marLeft w:val="0"/>
      <w:marRight w:val="0"/>
      <w:marTop w:val="0"/>
      <w:marBottom w:val="0"/>
      <w:divBdr>
        <w:top w:val="none" w:sz="0" w:space="0" w:color="auto"/>
        <w:left w:val="none" w:sz="0" w:space="0" w:color="auto"/>
        <w:bottom w:val="none" w:sz="0" w:space="0" w:color="auto"/>
        <w:right w:val="none" w:sz="0" w:space="0" w:color="auto"/>
      </w:divBdr>
    </w:div>
    <w:div w:id="724570911">
      <w:bodyDiv w:val="1"/>
      <w:marLeft w:val="0"/>
      <w:marRight w:val="0"/>
      <w:marTop w:val="0"/>
      <w:marBottom w:val="0"/>
      <w:divBdr>
        <w:top w:val="none" w:sz="0" w:space="0" w:color="auto"/>
        <w:left w:val="none" w:sz="0" w:space="0" w:color="auto"/>
        <w:bottom w:val="none" w:sz="0" w:space="0" w:color="auto"/>
        <w:right w:val="none" w:sz="0" w:space="0" w:color="auto"/>
      </w:divBdr>
    </w:div>
    <w:div w:id="724762940">
      <w:bodyDiv w:val="1"/>
      <w:marLeft w:val="0"/>
      <w:marRight w:val="0"/>
      <w:marTop w:val="0"/>
      <w:marBottom w:val="0"/>
      <w:divBdr>
        <w:top w:val="none" w:sz="0" w:space="0" w:color="auto"/>
        <w:left w:val="none" w:sz="0" w:space="0" w:color="auto"/>
        <w:bottom w:val="none" w:sz="0" w:space="0" w:color="auto"/>
        <w:right w:val="none" w:sz="0" w:space="0" w:color="auto"/>
      </w:divBdr>
    </w:div>
    <w:div w:id="724910239">
      <w:bodyDiv w:val="1"/>
      <w:marLeft w:val="0"/>
      <w:marRight w:val="0"/>
      <w:marTop w:val="0"/>
      <w:marBottom w:val="0"/>
      <w:divBdr>
        <w:top w:val="none" w:sz="0" w:space="0" w:color="auto"/>
        <w:left w:val="none" w:sz="0" w:space="0" w:color="auto"/>
        <w:bottom w:val="none" w:sz="0" w:space="0" w:color="auto"/>
        <w:right w:val="none" w:sz="0" w:space="0" w:color="auto"/>
      </w:divBdr>
    </w:div>
    <w:div w:id="724915796">
      <w:bodyDiv w:val="1"/>
      <w:marLeft w:val="0"/>
      <w:marRight w:val="0"/>
      <w:marTop w:val="0"/>
      <w:marBottom w:val="0"/>
      <w:divBdr>
        <w:top w:val="none" w:sz="0" w:space="0" w:color="auto"/>
        <w:left w:val="none" w:sz="0" w:space="0" w:color="auto"/>
        <w:bottom w:val="none" w:sz="0" w:space="0" w:color="auto"/>
        <w:right w:val="none" w:sz="0" w:space="0" w:color="auto"/>
      </w:divBdr>
    </w:div>
    <w:div w:id="725298268">
      <w:bodyDiv w:val="1"/>
      <w:marLeft w:val="0"/>
      <w:marRight w:val="0"/>
      <w:marTop w:val="0"/>
      <w:marBottom w:val="0"/>
      <w:divBdr>
        <w:top w:val="none" w:sz="0" w:space="0" w:color="auto"/>
        <w:left w:val="none" w:sz="0" w:space="0" w:color="auto"/>
        <w:bottom w:val="none" w:sz="0" w:space="0" w:color="auto"/>
        <w:right w:val="none" w:sz="0" w:space="0" w:color="auto"/>
      </w:divBdr>
    </w:div>
    <w:div w:id="725301016">
      <w:bodyDiv w:val="1"/>
      <w:marLeft w:val="0"/>
      <w:marRight w:val="0"/>
      <w:marTop w:val="0"/>
      <w:marBottom w:val="0"/>
      <w:divBdr>
        <w:top w:val="none" w:sz="0" w:space="0" w:color="auto"/>
        <w:left w:val="none" w:sz="0" w:space="0" w:color="auto"/>
        <w:bottom w:val="none" w:sz="0" w:space="0" w:color="auto"/>
        <w:right w:val="none" w:sz="0" w:space="0" w:color="auto"/>
      </w:divBdr>
    </w:div>
    <w:div w:id="725375894">
      <w:bodyDiv w:val="1"/>
      <w:marLeft w:val="0"/>
      <w:marRight w:val="0"/>
      <w:marTop w:val="0"/>
      <w:marBottom w:val="0"/>
      <w:divBdr>
        <w:top w:val="none" w:sz="0" w:space="0" w:color="auto"/>
        <w:left w:val="none" w:sz="0" w:space="0" w:color="auto"/>
        <w:bottom w:val="none" w:sz="0" w:space="0" w:color="auto"/>
        <w:right w:val="none" w:sz="0" w:space="0" w:color="auto"/>
      </w:divBdr>
    </w:div>
    <w:div w:id="725378301">
      <w:bodyDiv w:val="1"/>
      <w:marLeft w:val="0"/>
      <w:marRight w:val="0"/>
      <w:marTop w:val="0"/>
      <w:marBottom w:val="0"/>
      <w:divBdr>
        <w:top w:val="none" w:sz="0" w:space="0" w:color="auto"/>
        <w:left w:val="none" w:sz="0" w:space="0" w:color="auto"/>
        <w:bottom w:val="none" w:sz="0" w:space="0" w:color="auto"/>
        <w:right w:val="none" w:sz="0" w:space="0" w:color="auto"/>
      </w:divBdr>
    </w:div>
    <w:div w:id="725378406">
      <w:bodyDiv w:val="1"/>
      <w:marLeft w:val="0"/>
      <w:marRight w:val="0"/>
      <w:marTop w:val="0"/>
      <w:marBottom w:val="0"/>
      <w:divBdr>
        <w:top w:val="none" w:sz="0" w:space="0" w:color="auto"/>
        <w:left w:val="none" w:sz="0" w:space="0" w:color="auto"/>
        <w:bottom w:val="none" w:sz="0" w:space="0" w:color="auto"/>
        <w:right w:val="none" w:sz="0" w:space="0" w:color="auto"/>
      </w:divBdr>
    </w:div>
    <w:div w:id="725449540">
      <w:bodyDiv w:val="1"/>
      <w:marLeft w:val="0"/>
      <w:marRight w:val="0"/>
      <w:marTop w:val="0"/>
      <w:marBottom w:val="0"/>
      <w:divBdr>
        <w:top w:val="none" w:sz="0" w:space="0" w:color="auto"/>
        <w:left w:val="none" w:sz="0" w:space="0" w:color="auto"/>
        <w:bottom w:val="none" w:sz="0" w:space="0" w:color="auto"/>
        <w:right w:val="none" w:sz="0" w:space="0" w:color="auto"/>
      </w:divBdr>
    </w:div>
    <w:div w:id="725685792">
      <w:bodyDiv w:val="1"/>
      <w:marLeft w:val="0"/>
      <w:marRight w:val="0"/>
      <w:marTop w:val="0"/>
      <w:marBottom w:val="0"/>
      <w:divBdr>
        <w:top w:val="none" w:sz="0" w:space="0" w:color="auto"/>
        <w:left w:val="none" w:sz="0" w:space="0" w:color="auto"/>
        <w:bottom w:val="none" w:sz="0" w:space="0" w:color="auto"/>
        <w:right w:val="none" w:sz="0" w:space="0" w:color="auto"/>
      </w:divBdr>
    </w:div>
    <w:div w:id="725756928">
      <w:bodyDiv w:val="1"/>
      <w:marLeft w:val="0"/>
      <w:marRight w:val="0"/>
      <w:marTop w:val="0"/>
      <w:marBottom w:val="0"/>
      <w:divBdr>
        <w:top w:val="none" w:sz="0" w:space="0" w:color="auto"/>
        <w:left w:val="none" w:sz="0" w:space="0" w:color="auto"/>
        <w:bottom w:val="none" w:sz="0" w:space="0" w:color="auto"/>
        <w:right w:val="none" w:sz="0" w:space="0" w:color="auto"/>
      </w:divBdr>
    </w:div>
    <w:div w:id="725762196">
      <w:bodyDiv w:val="1"/>
      <w:marLeft w:val="0"/>
      <w:marRight w:val="0"/>
      <w:marTop w:val="0"/>
      <w:marBottom w:val="0"/>
      <w:divBdr>
        <w:top w:val="none" w:sz="0" w:space="0" w:color="auto"/>
        <w:left w:val="none" w:sz="0" w:space="0" w:color="auto"/>
        <w:bottom w:val="none" w:sz="0" w:space="0" w:color="auto"/>
        <w:right w:val="none" w:sz="0" w:space="0" w:color="auto"/>
      </w:divBdr>
    </w:div>
    <w:div w:id="725764197">
      <w:bodyDiv w:val="1"/>
      <w:marLeft w:val="0"/>
      <w:marRight w:val="0"/>
      <w:marTop w:val="0"/>
      <w:marBottom w:val="0"/>
      <w:divBdr>
        <w:top w:val="none" w:sz="0" w:space="0" w:color="auto"/>
        <w:left w:val="none" w:sz="0" w:space="0" w:color="auto"/>
        <w:bottom w:val="none" w:sz="0" w:space="0" w:color="auto"/>
        <w:right w:val="none" w:sz="0" w:space="0" w:color="auto"/>
      </w:divBdr>
    </w:div>
    <w:div w:id="725840808">
      <w:bodyDiv w:val="1"/>
      <w:marLeft w:val="0"/>
      <w:marRight w:val="0"/>
      <w:marTop w:val="0"/>
      <w:marBottom w:val="0"/>
      <w:divBdr>
        <w:top w:val="none" w:sz="0" w:space="0" w:color="auto"/>
        <w:left w:val="none" w:sz="0" w:space="0" w:color="auto"/>
        <w:bottom w:val="none" w:sz="0" w:space="0" w:color="auto"/>
        <w:right w:val="none" w:sz="0" w:space="0" w:color="auto"/>
      </w:divBdr>
    </w:div>
    <w:div w:id="725841648">
      <w:bodyDiv w:val="1"/>
      <w:marLeft w:val="0"/>
      <w:marRight w:val="0"/>
      <w:marTop w:val="0"/>
      <w:marBottom w:val="0"/>
      <w:divBdr>
        <w:top w:val="none" w:sz="0" w:space="0" w:color="auto"/>
        <w:left w:val="none" w:sz="0" w:space="0" w:color="auto"/>
        <w:bottom w:val="none" w:sz="0" w:space="0" w:color="auto"/>
        <w:right w:val="none" w:sz="0" w:space="0" w:color="auto"/>
      </w:divBdr>
    </w:div>
    <w:div w:id="725877867">
      <w:bodyDiv w:val="1"/>
      <w:marLeft w:val="0"/>
      <w:marRight w:val="0"/>
      <w:marTop w:val="0"/>
      <w:marBottom w:val="0"/>
      <w:divBdr>
        <w:top w:val="none" w:sz="0" w:space="0" w:color="auto"/>
        <w:left w:val="none" w:sz="0" w:space="0" w:color="auto"/>
        <w:bottom w:val="none" w:sz="0" w:space="0" w:color="auto"/>
        <w:right w:val="none" w:sz="0" w:space="0" w:color="auto"/>
      </w:divBdr>
    </w:div>
    <w:div w:id="725958722">
      <w:bodyDiv w:val="1"/>
      <w:marLeft w:val="0"/>
      <w:marRight w:val="0"/>
      <w:marTop w:val="0"/>
      <w:marBottom w:val="0"/>
      <w:divBdr>
        <w:top w:val="none" w:sz="0" w:space="0" w:color="auto"/>
        <w:left w:val="none" w:sz="0" w:space="0" w:color="auto"/>
        <w:bottom w:val="none" w:sz="0" w:space="0" w:color="auto"/>
        <w:right w:val="none" w:sz="0" w:space="0" w:color="auto"/>
      </w:divBdr>
    </w:div>
    <w:div w:id="726025451">
      <w:bodyDiv w:val="1"/>
      <w:marLeft w:val="0"/>
      <w:marRight w:val="0"/>
      <w:marTop w:val="0"/>
      <w:marBottom w:val="0"/>
      <w:divBdr>
        <w:top w:val="none" w:sz="0" w:space="0" w:color="auto"/>
        <w:left w:val="none" w:sz="0" w:space="0" w:color="auto"/>
        <w:bottom w:val="none" w:sz="0" w:space="0" w:color="auto"/>
        <w:right w:val="none" w:sz="0" w:space="0" w:color="auto"/>
      </w:divBdr>
    </w:div>
    <w:div w:id="726034115">
      <w:bodyDiv w:val="1"/>
      <w:marLeft w:val="0"/>
      <w:marRight w:val="0"/>
      <w:marTop w:val="0"/>
      <w:marBottom w:val="0"/>
      <w:divBdr>
        <w:top w:val="none" w:sz="0" w:space="0" w:color="auto"/>
        <w:left w:val="none" w:sz="0" w:space="0" w:color="auto"/>
        <w:bottom w:val="none" w:sz="0" w:space="0" w:color="auto"/>
        <w:right w:val="none" w:sz="0" w:space="0" w:color="auto"/>
      </w:divBdr>
    </w:div>
    <w:div w:id="726146841">
      <w:bodyDiv w:val="1"/>
      <w:marLeft w:val="0"/>
      <w:marRight w:val="0"/>
      <w:marTop w:val="0"/>
      <w:marBottom w:val="0"/>
      <w:divBdr>
        <w:top w:val="none" w:sz="0" w:space="0" w:color="auto"/>
        <w:left w:val="none" w:sz="0" w:space="0" w:color="auto"/>
        <w:bottom w:val="none" w:sz="0" w:space="0" w:color="auto"/>
        <w:right w:val="none" w:sz="0" w:space="0" w:color="auto"/>
      </w:divBdr>
    </w:div>
    <w:div w:id="726219906">
      <w:bodyDiv w:val="1"/>
      <w:marLeft w:val="0"/>
      <w:marRight w:val="0"/>
      <w:marTop w:val="0"/>
      <w:marBottom w:val="0"/>
      <w:divBdr>
        <w:top w:val="none" w:sz="0" w:space="0" w:color="auto"/>
        <w:left w:val="none" w:sz="0" w:space="0" w:color="auto"/>
        <w:bottom w:val="none" w:sz="0" w:space="0" w:color="auto"/>
        <w:right w:val="none" w:sz="0" w:space="0" w:color="auto"/>
      </w:divBdr>
    </w:div>
    <w:div w:id="726339804">
      <w:bodyDiv w:val="1"/>
      <w:marLeft w:val="0"/>
      <w:marRight w:val="0"/>
      <w:marTop w:val="0"/>
      <w:marBottom w:val="0"/>
      <w:divBdr>
        <w:top w:val="none" w:sz="0" w:space="0" w:color="auto"/>
        <w:left w:val="none" w:sz="0" w:space="0" w:color="auto"/>
        <w:bottom w:val="none" w:sz="0" w:space="0" w:color="auto"/>
        <w:right w:val="none" w:sz="0" w:space="0" w:color="auto"/>
      </w:divBdr>
    </w:div>
    <w:div w:id="726341281">
      <w:bodyDiv w:val="1"/>
      <w:marLeft w:val="0"/>
      <w:marRight w:val="0"/>
      <w:marTop w:val="0"/>
      <w:marBottom w:val="0"/>
      <w:divBdr>
        <w:top w:val="none" w:sz="0" w:space="0" w:color="auto"/>
        <w:left w:val="none" w:sz="0" w:space="0" w:color="auto"/>
        <w:bottom w:val="none" w:sz="0" w:space="0" w:color="auto"/>
        <w:right w:val="none" w:sz="0" w:space="0" w:color="auto"/>
      </w:divBdr>
    </w:div>
    <w:div w:id="726412330">
      <w:bodyDiv w:val="1"/>
      <w:marLeft w:val="0"/>
      <w:marRight w:val="0"/>
      <w:marTop w:val="0"/>
      <w:marBottom w:val="0"/>
      <w:divBdr>
        <w:top w:val="none" w:sz="0" w:space="0" w:color="auto"/>
        <w:left w:val="none" w:sz="0" w:space="0" w:color="auto"/>
        <w:bottom w:val="none" w:sz="0" w:space="0" w:color="auto"/>
        <w:right w:val="none" w:sz="0" w:space="0" w:color="auto"/>
      </w:divBdr>
    </w:div>
    <w:div w:id="726412826">
      <w:bodyDiv w:val="1"/>
      <w:marLeft w:val="0"/>
      <w:marRight w:val="0"/>
      <w:marTop w:val="0"/>
      <w:marBottom w:val="0"/>
      <w:divBdr>
        <w:top w:val="none" w:sz="0" w:space="0" w:color="auto"/>
        <w:left w:val="none" w:sz="0" w:space="0" w:color="auto"/>
        <w:bottom w:val="none" w:sz="0" w:space="0" w:color="auto"/>
        <w:right w:val="none" w:sz="0" w:space="0" w:color="auto"/>
      </w:divBdr>
    </w:div>
    <w:div w:id="726414906">
      <w:bodyDiv w:val="1"/>
      <w:marLeft w:val="0"/>
      <w:marRight w:val="0"/>
      <w:marTop w:val="0"/>
      <w:marBottom w:val="0"/>
      <w:divBdr>
        <w:top w:val="none" w:sz="0" w:space="0" w:color="auto"/>
        <w:left w:val="none" w:sz="0" w:space="0" w:color="auto"/>
        <w:bottom w:val="none" w:sz="0" w:space="0" w:color="auto"/>
        <w:right w:val="none" w:sz="0" w:space="0" w:color="auto"/>
      </w:divBdr>
    </w:div>
    <w:div w:id="726490939">
      <w:bodyDiv w:val="1"/>
      <w:marLeft w:val="0"/>
      <w:marRight w:val="0"/>
      <w:marTop w:val="0"/>
      <w:marBottom w:val="0"/>
      <w:divBdr>
        <w:top w:val="none" w:sz="0" w:space="0" w:color="auto"/>
        <w:left w:val="none" w:sz="0" w:space="0" w:color="auto"/>
        <w:bottom w:val="none" w:sz="0" w:space="0" w:color="auto"/>
        <w:right w:val="none" w:sz="0" w:space="0" w:color="auto"/>
      </w:divBdr>
    </w:div>
    <w:div w:id="726532341">
      <w:bodyDiv w:val="1"/>
      <w:marLeft w:val="0"/>
      <w:marRight w:val="0"/>
      <w:marTop w:val="0"/>
      <w:marBottom w:val="0"/>
      <w:divBdr>
        <w:top w:val="none" w:sz="0" w:space="0" w:color="auto"/>
        <w:left w:val="none" w:sz="0" w:space="0" w:color="auto"/>
        <w:bottom w:val="none" w:sz="0" w:space="0" w:color="auto"/>
        <w:right w:val="none" w:sz="0" w:space="0" w:color="auto"/>
      </w:divBdr>
    </w:div>
    <w:div w:id="726684793">
      <w:bodyDiv w:val="1"/>
      <w:marLeft w:val="0"/>
      <w:marRight w:val="0"/>
      <w:marTop w:val="0"/>
      <w:marBottom w:val="0"/>
      <w:divBdr>
        <w:top w:val="none" w:sz="0" w:space="0" w:color="auto"/>
        <w:left w:val="none" w:sz="0" w:space="0" w:color="auto"/>
        <w:bottom w:val="none" w:sz="0" w:space="0" w:color="auto"/>
        <w:right w:val="none" w:sz="0" w:space="0" w:color="auto"/>
      </w:divBdr>
    </w:div>
    <w:div w:id="726732942">
      <w:bodyDiv w:val="1"/>
      <w:marLeft w:val="0"/>
      <w:marRight w:val="0"/>
      <w:marTop w:val="0"/>
      <w:marBottom w:val="0"/>
      <w:divBdr>
        <w:top w:val="none" w:sz="0" w:space="0" w:color="auto"/>
        <w:left w:val="none" w:sz="0" w:space="0" w:color="auto"/>
        <w:bottom w:val="none" w:sz="0" w:space="0" w:color="auto"/>
        <w:right w:val="none" w:sz="0" w:space="0" w:color="auto"/>
      </w:divBdr>
    </w:div>
    <w:div w:id="726759206">
      <w:bodyDiv w:val="1"/>
      <w:marLeft w:val="0"/>
      <w:marRight w:val="0"/>
      <w:marTop w:val="0"/>
      <w:marBottom w:val="0"/>
      <w:divBdr>
        <w:top w:val="none" w:sz="0" w:space="0" w:color="auto"/>
        <w:left w:val="none" w:sz="0" w:space="0" w:color="auto"/>
        <w:bottom w:val="none" w:sz="0" w:space="0" w:color="auto"/>
        <w:right w:val="none" w:sz="0" w:space="0" w:color="auto"/>
      </w:divBdr>
    </w:div>
    <w:div w:id="727219797">
      <w:bodyDiv w:val="1"/>
      <w:marLeft w:val="0"/>
      <w:marRight w:val="0"/>
      <w:marTop w:val="0"/>
      <w:marBottom w:val="0"/>
      <w:divBdr>
        <w:top w:val="none" w:sz="0" w:space="0" w:color="auto"/>
        <w:left w:val="none" w:sz="0" w:space="0" w:color="auto"/>
        <w:bottom w:val="none" w:sz="0" w:space="0" w:color="auto"/>
        <w:right w:val="none" w:sz="0" w:space="0" w:color="auto"/>
      </w:divBdr>
    </w:div>
    <w:div w:id="727266983">
      <w:bodyDiv w:val="1"/>
      <w:marLeft w:val="0"/>
      <w:marRight w:val="0"/>
      <w:marTop w:val="0"/>
      <w:marBottom w:val="0"/>
      <w:divBdr>
        <w:top w:val="none" w:sz="0" w:space="0" w:color="auto"/>
        <w:left w:val="none" w:sz="0" w:space="0" w:color="auto"/>
        <w:bottom w:val="none" w:sz="0" w:space="0" w:color="auto"/>
        <w:right w:val="none" w:sz="0" w:space="0" w:color="auto"/>
      </w:divBdr>
    </w:div>
    <w:div w:id="727338204">
      <w:bodyDiv w:val="1"/>
      <w:marLeft w:val="0"/>
      <w:marRight w:val="0"/>
      <w:marTop w:val="0"/>
      <w:marBottom w:val="0"/>
      <w:divBdr>
        <w:top w:val="none" w:sz="0" w:space="0" w:color="auto"/>
        <w:left w:val="none" w:sz="0" w:space="0" w:color="auto"/>
        <w:bottom w:val="none" w:sz="0" w:space="0" w:color="auto"/>
        <w:right w:val="none" w:sz="0" w:space="0" w:color="auto"/>
      </w:divBdr>
    </w:div>
    <w:div w:id="727343040">
      <w:bodyDiv w:val="1"/>
      <w:marLeft w:val="0"/>
      <w:marRight w:val="0"/>
      <w:marTop w:val="0"/>
      <w:marBottom w:val="0"/>
      <w:divBdr>
        <w:top w:val="none" w:sz="0" w:space="0" w:color="auto"/>
        <w:left w:val="none" w:sz="0" w:space="0" w:color="auto"/>
        <w:bottom w:val="none" w:sz="0" w:space="0" w:color="auto"/>
        <w:right w:val="none" w:sz="0" w:space="0" w:color="auto"/>
      </w:divBdr>
    </w:div>
    <w:div w:id="727388229">
      <w:bodyDiv w:val="1"/>
      <w:marLeft w:val="0"/>
      <w:marRight w:val="0"/>
      <w:marTop w:val="0"/>
      <w:marBottom w:val="0"/>
      <w:divBdr>
        <w:top w:val="none" w:sz="0" w:space="0" w:color="auto"/>
        <w:left w:val="none" w:sz="0" w:space="0" w:color="auto"/>
        <w:bottom w:val="none" w:sz="0" w:space="0" w:color="auto"/>
        <w:right w:val="none" w:sz="0" w:space="0" w:color="auto"/>
      </w:divBdr>
    </w:div>
    <w:div w:id="727458118">
      <w:bodyDiv w:val="1"/>
      <w:marLeft w:val="0"/>
      <w:marRight w:val="0"/>
      <w:marTop w:val="0"/>
      <w:marBottom w:val="0"/>
      <w:divBdr>
        <w:top w:val="none" w:sz="0" w:space="0" w:color="auto"/>
        <w:left w:val="none" w:sz="0" w:space="0" w:color="auto"/>
        <w:bottom w:val="none" w:sz="0" w:space="0" w:color="auto"/>
        <w:right w:val="none" w:sz="0" w:space="0" w:color="auto"/>
      </w:divBdr>
    </w:div>
    <w:div w:id="727799153">
      <w:bodyDiv w:val="1"/>
      <w:marLeft w:val="0"/>
      <w:marRight w:val="0"/>
      <w:marTop w:val="0"/>
      <w:marBottom w:val="0"/>
      <w:divBdr>
        <w:top w:val="none" w:sz="0" w:space="0" w:color="auto"/>
        <w:left w:val="none" w:sz="0" w:space="0" w:color="auto"/>
        <w:bottom w:val="none" w:sz="0" w:space="0" w:color="auto"/>
        <w:right w:val="none" w:sz="0" w:space="0" w:color="auto"/>
      </w:divBdr>
    </w:div>
    <w:div w:id="727873309">
      <w:bodyDiv w:val="1"/>
      <w:marLeft w:val="0"/>
      <w:marRight w:val="0"/>
      <w:marTop w:val="0"/>
      <w:marBottom w:val="0"/>
      <w:divBdr>
        <w:top w:val="none" w:sz="0" w:space="0" w:color="auto"/>
        <w:left w:val="none" w:sz="0" w:space="0" w:color="auto"/>
        <w:bottom w:val="none" w:sz="0" w:space="0" w:color="auto"/>
        <w:right w:val="none" w:sz="0" w:space="0" w:color="auto"/>
      </w:divBdr>
    </w:div>
    <w:div w:id="728118729">
      <w:bodyDiv w:val="1"/>
      <w:marLeft w:val="0"/>
      <w:marRight w:val="0"/>
      <w:marTop w:val="0"/>
      <w:marBottom w:val="0"/>
      <w:divBdr>
        <w:top w:val="none" w:sz="0" w:space="0" w:color="auto"/>
        <w:left w:val="none" w:sz="0" w:space="0" w:color="auto"/>
        <w:bottom w:val="none" w:sz="0" w:space="0" w:color="auto"/>
        <w:right w:val="none" w:sz="0" w:space="0" w:color="auto"/>
      </w:divBdr>
    </w:div>
    <w:div w:id="728189698">
      <w:bodyDiv w:val="1"/>
      <w:marLeft w:val="0"/>
      <w:marRight w:val="0"/>
      <w:marTop w:val="0"/>
      <w:marBottom w:val="0"/>
      <w:divBdr>
        <w:top w:val="none" w:sz="0" w:space="0" w:color="auto"/>
        <w:left w:val="none" w:sz="0" w:space="0" w:color="auto"/>
        <w:bottom w:val="none" w:sz="0" w:space="0" w:color="auto"/>
        <w:right w:val="none" w:sz="0" w:space="0" w:color="auto"/>
      </w:divBdr>
    </w:div>
    <w:div w:id="728192361">
      <w:bodyDiv w:val="1"/>
      <w:marLeft w:val="0"/>
      <w:marRight w:val="0"/>
      <w:marTop w:val="0"/>
      <w:marBottom w:val="0"/>
      <w:divBdr>
        <w:top w:val="none" w:sz="0" w:space="0" w:color="auto"/>
        <w:left w:val="none" w:sz="0" w:space="0" w:color="auto"/>
        <w:bottom w:val="none" w:sz="0" w:space="0" w:color="auto"/>
        <w:right w:val="none" w:sz="0" w:space="0" w:color="auto"/>
      </w:divBdr>
    </w:div>
    <w:div w:id="728259859">
      <w:bodyDiv w:val="1"/>
      <w:marLeft w:val="0"/>
      <w:marRight w:val="0"/>
      <w:marTop w:val="0"/>
      <w:marBottom w:val="0"/>
      <w:divBdr>
        <w:top w:val="none" w:sz="0" w:space="0" w:color="auto"/>
        <w:left w:val="none" w:sz="0" w:space="0" w:color="auto"/>
        <w:bottom w:val="none" w:sz="0" w:space="0" w:color="auto"/>
        <w:right w:val="none" w:sz="0" w:space="0" w:color="auto"/>
      </w:divBdr>
    </w:div>
    <w:div w:id="728529292">
      <w:bodyDiv w:val="1"/>
      <w:marLeft w:val="0"/>
      <w:marRight w:val="0"/>
      <w:marTop w:val="0"/>
      <w:marBottom w:val="0"/>
      <w:divBdr>
        <w:top w:val="none" w:sz="0" w:space="0" w:color="auto"/>
        <w:left w:val="none" w:sz="0" w:space="0" w:color="auto"/>
        <w:bottom w:val="none" w:sz="0" w:space="0" w:color="auto"/>
        <w:right w:val="none" w:sz="0" w:space="0" w:color="auto"/>
      </w:divBdr>
    </w:div>
    <w:div w:id="728571964">
      <w:bodyDiv w:val="1"/>
      <w:marLeft w:val="0"/>
      <w:marRight w:val="0"/>
      <w:marTop w:val="0"/>
      <w:marBottom w:val="0"/>
      <w:divBdr>
        <w:top w:val="none" w:sz="0" w:space="0" w:color="auto"/>
        <w:left w:val="none" w:sz="0" w:space="0" w:color="auto"/>
        <w:bottom w:val="none" w:sz="0" w:space="0" w:color="auto"/>
        <w:right w:val="none" w:sz="0" w:space="0" w:color="auto"/>
      </w:divBdr>
    </w:div>
    <w:div w:id="728698010">
      <w:bodyDiv w:val="1"/>
      <w:marLeft w:val="0"/>
      <w:marRight w:val="0"/>
      <w:marTop w:val="0"/>
      <w:marBottom w:val="0"/>
      <w:divBdr>
        <w:top w:val="none" w:sz="0" w:space="0" w:color="auto"/>
        <w:left w:val="none" w:sz="0" w:space="0" w:color="auto"/>
        <w:bottom w:val="none" w:sz="0" w:space="0" w:color="auto"/>
        <w:right w:val="none" w:sz="0" w:space="0" w:color="auto"/>
      </w:divBdr>
    </w:div>
    <w:div w:id="728724418">
      <w:bodyDiv w:val="1"/>
      <w:marLeft w:val="0"/>
      <w:marRight w:val="0"/>
      <w:marTop w:val="0"/>
      <w:marBottom w:val="0"/>
      <w:divBdr>
        <w:top w:val="none" w:sz="0" w:space="0" w:color="auto"/>
        <w:left w:val="none" w:sz="0" w:space="0" w:color="auto"/>
        <w:bottom w:val="none" w:sz="0" w:space="0" w:color="auto"/>
        <w:right w:val="none" w:sz="0" w:space="0" w:color="auto"/>
      </w:divBdr>
    </w:div>
    <w:div w:id="728958266">
      <w:bodyDiv w:val="1"/>
      <w:marLeft w:val="0"/>
      <w:marRight w:val="0"/>
      <w:marTop w:val="0"/>
      <w:marBottom w:val="0"/>
      <w:divBdr>
        <w:top w:val="none" w:sz="0" w:space="0" w:color="auto"/>
        <w:left w:val="none" w:sz="0" w:space="0" w:color="auto"/>
        <w:bottom w:val="none" w:sz="0" w:space="0" w:color="auto"/>
        <w:right w:val="none" w:sz="0" w:space="0" w:color="auto"/>
      </w:divBdr>
    </w:div>
    <w:div w:id="729040338">
      <w:bodyDiv w:val="1"/>
      <w:marLeft w:val="0"/>
      <w:marRight w:val="0"/>
      <w:marTop w:val="0"/>
      <w:marBottom w:val="0"/>
      <w:divBdr>
        <w:top w:val="none" w:sz="0" w:space="0" w:color="auto"/>
        <w:left w:val="none" w:sz="0" w:space="0" w:color="auto"/>
        <w:bottom w:val="none" w:sz="0" w:space="0" w:color="auto"/>
        <w:right w:val="none" w:sz="0" w:space="0" w:color="auto"/>
      </w:divBdr>
    </w:div>
    <w:div w:id="729110742">
      <w:bodyDiv w:val="1"/>
      <w:marLeft w:val="0"/>
      <w:marRight w:val="0"/>
      <w:marTop w:val="0"/>
      <w:marBottom w:val="0"/>
      <w:divBdr>
        <w:top w:val="none" w:sz="0" w:space="0" w:color="auto"/>
        <w:left w:val="none" w:sz="0" w:space="0" w:color="auto"/>
        <w:bottom w:val="none" w:sz="0" w:space="0" w:color="auto"/>
        <w:right w:val="none" w:sz="0" w:space="0" w:color="auto"/>
      </w:divBdr>
    </w:div>
    <w:div w:id="729159415">
      <w:bodyDiv w:val="1"/>
      <w:marLeft w:val="0"/>
      <w:marRight w:val="0"/>
      <w:marTop w:val="0"/>
      <w:marBottom w:val="0"/>
      <w:divBdr>
        <w:top w:val="none" w:sz="0" w:space="0" w:color="auto"/>
        <w:left w:val="none" w:sz="0" w:space="0" w:color="auto"/>
        <w:bottom w:val="none" w:sz="0" w:space="0" w:color="auto"/>
        <w:right w:val="none" w:sz="0" w:space="0" w:color="auto"/>
      </w:divBdr>
    </w:div>
    <w:div w:id="729228307">
      <w:bodyDiv w:val="1"/>
      <w:marLeft w:val="0"/>
      <w:marRight w:val="0"/>
      <w:marTop w:val="0"/>
      <w:marBottom w:val="0"/>
      <w:divBdr>
        <w:top w:val="none" w:sz="0" w:space="0" w:color="auto"/>
        <w:left w:val="none" w:sz="0" w:space="0" w:color="auto"/>
        <w:bottom w:val="none" w:sz="0" w:space="0" w:color="auto"/>
        <w:right w:val="none" w:sz="0" w:space="0" w:color="auto"/>
      </w:divBdr>
    </w:div>
    <w:div w:id="729232231">
      <w:bodyDiv w:val="1"/>
      <w:marLeft w:val="0"/>
      <w:marRight w:val="0"/>
      <w:marTop w:val="0"/>
      <w:marBottom w:val="0"/>
      <w:divBdr>
        <w:top w:val="none" w:sz="0" w:space="0" w:color="auto"/>
        <w:left w:val="none" w:sz="0" w:space="0" w:color="auto"/>
        <w:bottom w:val="none" w:sz="0" w:space="0" w:color="auto"/>
        <w:right w:val="none" w:sz="0" w:space="0" w:color="auto"/>
      </w:divBdr>
    </w:div>
    <w:div w:id="729308459">
      <w:bodyDiv w:val="1"/>
      <w:marLeft w:val="0"/>
      <w:marRight w:val="0"/>
      <w:marTop w:val="0"/>
      <w:marBottom w:val="0"/>
      <w:divBdr>
        <w:top w:val="none" w:sz="0" w:space="0" w:color="auto"/>
        <w:left w:val="none" w:sz="0" w:space="0" w:color="auto"/>
        <w:bottom w:val="none" w:sz="0" w:space="0" w:color="auto"/>
        <w:right w:val="none" w:sz="0" w:space="0" w:color="auto"/>
      </w:divBdr>
    </w:div>
    <w:div w:id="729496261">
      <w:bodyDiv w:val="1"/>
      <w:marLeft w:val="0"/>
      <w:marRight w:val="0"/>
      <w:marTop w:val="0"/>
      <w:marBottom w:val="0"/>
      <w:divBdr>
        <w:top w:val="none" w:sz="0" w:space="0" w:color="auto"/>
        <w:left w:val="none" w:sz="0" w:space="0" w:color="auto"/>
        <w:bottom w:val="none" w:sz="0" w:space="0" w:color="auto"/>
        <w:right w:val="none" w:sz="0" w:space="0" w:color="auto"/>
      </w:divBdr>
    </w:div>
    <w:div w:id="729578475">
      <w:bodyDiv w:val="1"/>
      <w:marLeft w:val="0"/>
      <w:marRight w:val="0"/>
      <w:marTop w:val="0"/>
      <w:marBottom w:val="0"/>
      <w:divBdr>
        <w:top w:val="none" w:sz="0" w:space="0" w:color="auto"/>
        <w:left w:val="none" w:sz="0" w:space="0" w:color="auto"/>
        <w:bottom w:val="none" w:sz="0" w:space="0" w:color="auto"/>
        <w:right w:val="none" w:sz="0" w:space="0" w:color="auto"/>
      </w:divBdr>
    </w:div>
    <w:div w:id="729888477">
      <w:bodyDiv w:val="1"/>
      <w:marLeft w:val="0"/>
      <w:marRight w:val="0"/>
      <w:marTop w:val="0"/>
      <w:marBottom w:val="0"/>
      <w:divBdr>
        <w:top w:val="none" w:sz="0" w:space="0" w:color="auto"/>
        <w:left w:val="none" w:sz="0" w:space="0" w:color="auto"/>
        <w:bottom w:val="none" w:sz="0" w:space="0" w:color="auto"/>
        <w:right w:val="none" w:sz="0" w:space="0" w:color="auto"/>
      </w:divBdr>
    </w:div>
    <w:div w:id="730226881">
      <w:bodyDiv w:val="1"/>
      <w:marLeft w:val="0"/>
      <w:marRight w:val="0"/>
      <w:marTop w:val="0"/>
      <w:marBottom w:val="0"/>
      <w:divBdr>
        <w:top w:val="none" w:sz="0" w:space="0" w:color="auto"/>
        <w:left w:val="none" w:sz="0" w:space="0" w:color="auto"/>
        <w:bottom w:val="none" w:sz="0" w:space="0" w:color="auto"/>
        <w:right w:val="none" w:sz="0" w:space="0" w:color="auto"/>
      </w:divBdr>
    </w:div>
    <w:div w:id="730273499">
      <w:bodyDiv w:val="1"/>
      <w:marLeft w:val="0"/>
      <w:marRight w:val="0"/>
      <w:marTop w:val="0"/>
      <w:marBottom w:val="0"/>
      <w:divBdr>
        <w:top w:val="none" w:sz="0" w:space="0" w:color="auto"/>
        <w:left w:val="none" w:sz="0" w:space="0" w:color="auto"/>
        <w:bottom w:val="none" w:sz="0" w:space="0" w:color="auto"/>
        <w:right w:val="none" w:sz="0" w:space="0" w:color="auto"/>
      </w:divBdr>
    </w:div>
    <w:div w:id="730344389">
      <w:bodyDiv w:val="1"/>
      <w:marLeft w:val="0"/>
      <w:marRight w:val="0"/>
      <w:marTop w:val="0"/>
      <w:marBottom w:val="0"/>
      <w:divBdr>
        <w:top w:val="none" w:sz="0" w:space="0" w:color="auto"/>
        <w:left w:val="none" w:sz="0" w:space="0" w:color="auto"/>
        <w:bottom w:val="none" w:sz="0" w:space="0" w:color="auto"/>
        <w:right w:val="none" w:sz="0" w:space="0" w:color="auto"/>
      </w:divBdr>
    </w:div>
    <w:div w:id="730345725">
      <w:bodyDiv w:val="1"/>
      <w:marLeft w:val="0"/>
      <w:marRight w:val="0"/>
      <w:marTop w:val="0"/>
      <w:marBottom w:val="0"/>
      <w:divBdr>
        <w:top w:val="none" w:sz="0" w:space="0" w:color="auto"/>
        <w:left w:val="none" w:sz="0" w:space="0" w:color="auto"/>
        <w:bottom w:val="none" w:sz="0" w:space="0" w:color="auto"/>
        <w:right w:val="none" w:sz="0" w:space="0" w:color="auto"/>
      </w:divBdr>
    </w:div>
    <w:div w:id="730353102">
      <w:bodyDiv w:val="1"/>
      <w:marLeft w:val="0"/>
      <w:marRight w:val="0"/>
      <w:marTop w:val="0"/>
      <w:marBottom w:val="0"/>
      <w:divBdr>
        <w:top w:val="none" w:sz="0" w:space="0" w:color="auto"/>
        <w:left w:val="none" w:sz="0" w:space="0" w:color="auto"/>
        <w:bottom w:val="none" w:sz="0" w:space="0" w:color="auto"/>
        <w:right w:val="none" w:sz="0" w:space="0" w:color="auto"/>
      </w:divBdr>
    </w:div>
    <w:div w:id="730466163">
      <w:bodyDiv w:val="1"/>
      <w:marLeft w:val="0"/>
      <w:marRight w:val="0"/>
      <w:marTop w:val="0"/>
      <w:marBottom w:val="0"/>
      <w:divBdr>
        <w:top w:val="none" w:sz="0" w:space="0" w:color="auto"/>
        <w:left w:val="none" w:sz="0" w:space="0" w:color="auto"/>
        <w:bottom w:val="none" w:sz="0" w:space="0" w:color="auto"/>
        <w:right w:val="none" w:sz="0" w:space="0" w:color="auto"/>
      </w:divBdr>
    </w:div>
    <w:div w:id="730470769">
      <w:bodyDiv w:val="1"/>
      <w:marLeft w:val="0"/>
      <w:marRight w:val="0"/>
      <w:marTop w:val="0"/>
      <w:marBottom w:val="0"/>
      <w:divBdr>
        <w:top w:val="none" w:sz="0" w:space="0" w:color="auto"/>
        <w:left w:val="none" w:sz="0" w:space="0" w:color="auto"/>
        <w:bottom w:val="none" w:sz="0" w:space="0" w:color="auto"/>
        <w:right w:val="none" w:sz="0" w:space="0" w:color="auto"/>
      </w:divBdr>
    </w:div>
    <w:div w:id="730542253">
      <w:bodyDiv w:val="1"/>
      <w:marLeft w:val="0"/>
      <w:marRight w:val="0"/>
      <w:marTop w:val="0"/>
      <w:marBottom w:val="0"/>
      <w:divBdr>
        <w:top w:val="none" w:sz="0" w:space="0" w:color="auto"/>
        <w:left w:val="none" w:sz="0" w:space="0" w:color="auto"/>
        <w:bottom w:val="none" w:sz="0" w:space="0" w:color="auto"/>
        <w:right w:val="none" w:sz="0" w:space="0" w:color="auto"/>
      </w:divBdr>
    </w:div>
    <w:div w:id="730882972">
      <w:bodyDiv w:val="1"/>
      <w:marLeft w:val="0"/>
      <w:marRight w:val="0"/>
      <w:marTop w:val="0"/>
      <w:marBottom w:val="0"/>
      <w:divBdr>
        <w:top w:val="none" w:sz="0" w:space="0" w:color="auto"/>
        <w:left w:val="none" w:sz="0" w:space="0" w:color="auto"/>
        <w:bottom w:val="none" w:sz="0" w:space="0" w:color="auto"/>
        <w:right w:val="none" w:sz="0" w:space="0" w:color="auto"/>
      </w:divBdr>
    </w:div>
    <w:div w:id="730999590">
      <w:bodyDiv w:val="1"/>
      <w:marLeft w:val="0"/>
      <w:marRight w:val="0"/>
      <w:marTop w:val="0"/>
      <w:marBottom w:val="0"/>
      <w:divBdr>
        <w:top w:val="none" w:sz="0" w:space="0" w:color="auto"/>
        <w:left w:val="none" w:sz="0" w:space="0" w:color="auto"/>
        <w:bottom w:val="none" w:sz="0" w:space="0" w:color="auto"/>
        <w:right w:val="none" w:sz="0" w:space="0" w:color="auto"/>
      </w:divBdr>
    </w:div>
    <w:div w:id="731121206">
      <w:bodyDiv w:val="1"/>
      <w:marLeft w:val="0"/>
      <w:marRight w:val="0"/>
      <w:marTop w:val="0"/>
      <w:marBottom w:val="0"/>
      <w:divBdr>
        <w:top w:val="none" w:sz="0" w:space="0" w:color="auto"/>
        <w:left w:val="none" w:sz="0" w:space="0" w:color="auto"/>
        <w:bottom w:val="none" w:sz="0" w:space="0" w:color="auto"/>
        <w:right w:val="none" w:sz="0" w:space="0" w:color="auto"/>
      </w:divBdr>
    </w:div>
    <w:div w:id="731268947">
      <w:bodyDiv w:val="1"/>
      <w:marLeft w:val="0"/>
      <w:marRight w:val="0"/>
      <w:marTop w:val="0"/>
      <w:marBottom w:val="0"/>
      <w:divBdr>
        <w:top w:val="none" w:sz="0" w:space="0" w:color="auto"/>
        <w:left w:val="none" w:sz="0" w:space="0" w:color="auto"/>
        <w:bottom w:val="none" w:sz="0" w:space="0" w:color="auto"/>
        <w:right w:val="none" w:sz="0" w:space="0" w:color="auto"/>
      </w:divBdr>
    </w:div>
    <w:div w:id="731270131">
      <w:bodyDiv w:val="1"/>
      <w:marLeft w:val="0"/>
      <w:marRight w:val="0"/>
      <w:marTop w:val="0"/>
      <w:marBottom w:val="0"/>
      <w:divBdr>
        <w:top w:val="none" w:sz="0" w:space="0" w:color="auto"/>
        <w:left w:val="none" w:sz="0" w:space="0" w:color="auto"/>
        <w:bottom w:val="none" w:sz="0" w:space="0" w:color="auto"/>
        <w:right w:val="none" w:sz="0" w:space="0" w:color="auto"/>
      </w:divBdr>
    </w:div>
    <w:div w:id="731317785">
      <w:bodyDiv w:val="1"/>
      <w:marLeft w:val="0"/>
      <w:marRight w:val="0"/>
      <w:marTop w:val="0"/>
      <w:marBottom w:val="0"/>
      <w:divBdr>
        <w:top w:val="none" w:sz="0" w:space="0" w:color="auto"/>
        <w:left w:val="none" w:sz="0" w:space="0" w:color="auto"/>
        <w:bottom w:val="none" w:sz="0" w:space="0" w:color="auto"/>
        <w:right w:val="none" w:sz="0" w:space="0" w:color="auto"/>
      </w:divBdr>
    </w:div>
    <w:div w:id="731347144">
      <w:bodyDiv w:val="1"/>
      <w:marLeft w:val="0"/>
      <w:marRight w:val="0"/>
      <w:marTop w:val="0"/>
      <w:marBottom w:val="0"/>
      <w:divBdr>
        <w:top w:val="none" w:sz="0" w:space="0" w:color="auto"/>
        <w:left w:val="none" w:sz="0" w:space="0" w:color="auto"/>
        <w:bottom w:val="none" w:sz="0" w:space="0" w:color="auto"/>
        <w:right w:val="none" w:sz="0" w:space="0" w:color="auto"/>
      </w:divBdr>
    </w:div>
    <w:div w:id="731391541">
      <w:bodyDiv w:val="1"/>
      <w:marLeft w:val="0"/>
      <w:marRight w:val="0"/>
      <w:marTop w:val="0"/>
      <w:marBottom w:val="0"/>
      <w:divBdr>
        <w:top w:val="none" w:sz="0" w:space="0" w:color="auto"/>
        <w:left w:val="none" w:sz="0" w:space="0" w:color="auto"/>
        <w:bottom w:val="none" w:sz="0" w:space="0" w:color="auto"/>
        <w:right w:val="none" w:sz="0" w:space="0" w:color="auto"/>
      </w:divBdr>
    </w:div>
    <w:div w:id="731393381">
      <w:bodyDiv w:val="1"/>
      <w:marLeft w:val="0"/>
      <w:marRight w:val="0"/>
      <w:marTop w:val="0"/>
      <w:marBottom w:val="0"/>
      <w:divBdr>
        <w:top w:val="none" w:sz="0" w:space="0" w:color="auto"/>
        <w:left w:val="none" w:sz="0" w:space="0" w:color="auto"/>
        <w:bottom w:val="none" w:sz="0" w:space="0" w:color="auto"/>
        <w:right w:val="none" w:sz="0" w:space="0" w:color="auto"/>
      </w:divBdr>
    </w:div>
    <w:div w:id="731463940">
      <w:bodyDiv w:val="1"/>
      <w:marLeft w:val="0"/>
      <w:marRight w:val="0"/>
      <w:marTop w:val="0"/>
      <w:marBottom w:val="0"/>
      <w:divBdr>
        <w:top w:val="none" w:sz="0" w:space="0" w:color="auto"/>
        <w:left w:val="none" w:sz="0" w:space="0" w:color="auto"/>
        <w:bottom w:val="none" w:sz="0" w:space="0" w:color="auto"/>
        <w:right w:val="none" w:sz="0" w:space="0" w:color="auto"/>
      </w:divBdr>
    </w:div>
    <w:div w:id="731657499">
      <w:bodyDiv w:val="1"/>
      <w:marLeft w:val="0"/>
      <w:marRight w:val="0"/>
      <w:marTop w:val="0"/>
      <w:marBottom w:val="0"/>
      <w:divBdr>
        <w:top w:val="none" w:sz="0" w:space="0" w:color="auto"/>
        <w:left w:val="none" w:sz="0" w:space="0" w:color="auto"/>
        <w:bottom w:val="none" w:sz="0" w:space="0" w:color="auto"/>
        <w:right w:val="none" w:sz="0" w:space="0" w:color="auto"/>
      </w:divBdr>
    </w:div>
    <w:div w:id="731661629">
      <w:bodyDiv w:val="1"/>
      <w:marLeft w:val="0"/>
      <w:marRight w:val="0"/>
      <w:marTop w:val="0"/>
      <w:marBottom w:val="0"/>
      <w:divBdr>
        <w:top w:val="none" w:sz="0" w:space="0" w:color="auto"/>
        <w:left w:val="none" w:sz="0" w:space="0" w:color="auto"/>
        <w:bottom w:val="none" w:sz="0" w:space="0" w:color="auto"/>
        <w:right w:val="none" w:sz="0" w:space="0" w:color="auto"/>
      </w:divBdr>
    </w:div>
    <w:div w:id="731923329">
      <w:bodyDiv w:val="1"/>
      <w:marLeft w:val="0"/>
      <w:marRight w:val="0"/>
      <w:marTop w:val="0"/>
      <w:marBottom w:val="0"/>
      <w:divBdr>
        <w:top w:val="none" w:sz="0" w:space="0" w:color="auto"/>
        <w:left w:val="none" w:sz="0" w:space="0" w:color="auto"/>
        <w:bottom w:val="none" w:sz="0" w:space="0" w:color="auto"/>
        <w:right w:val="none" w:sz="0" w:space="0" w:color="auto"/>
      </w:divBdr>
    </w:div>
    <w:div w:id="731924409">
      <w:bodyDiv w:val="1"/>
      <w:marLeft w:val="0"/>
      <w:marRight w:val="0"/>
      <w:marTop w:val="0"/>
      <w:marBottom w:val="0"/>
      <w:divBdr>
        <w:top w:val="none" w:sz="0" w:space="0" w:color="auto"/>
        <w:left w:val="none" w:sz="0" w:space="0" w:color="auto"/>
        <w:bottom w:val="none" w:sz="0" w:space="0" w:color="auto"/>
        <w:right w:val="none" w:sz="0" w:space="0" w:color="auto"/>
      </w:divBdr>
    </w:div>
    <w:div w:id="732194372">
      <w:bodyDiv w:val="1"/>
      <w:marLeft w:val="0"/>
      <w:marRight w:val="0"/>
      <w:marTop w:val="0"/>
      <w:marBottom w:val="0"/>
      <w:divBdr>
        <w:top w:val="none" w:sz="0" w:space="0" w:color="auto"/>
        <w:left w:val="none" w:sz="0" w:space="0" w:color="auto"/>
        <w:bottom w:val="none" w:sz="0" w:space="0" w:color="auto"/>
        <w:right w:val="none" w:sz="0" w:space="0" w:color="auto"/>
      </w:divBdr>
    </w:div>
    <w:div w:id="732197890">
      <w:bodyDiv w:val="1"/>
      <w:marLeft w:val="0"/>
      <w:marRight w:val="0"/>
      <w:marTop w:val="0"/>
      <w:marBottom w:val="0"/>
      <w:divBdr>
        <w:top w:val="none" w:sz="0" w:space="0" w:color="auto"/>
        <w:left w:val="none" w:sz="0" w:space="0" w:color="auto"/>
        <w:bottom w:val="none" w:sz="0" w:space="0" w:color="auto"/>
        <w:right w:val="none" w:sz="0" w:space="0" w:color="auto"/>
      </w:divBdr>
    </w:div>
    <w:div w:id="732197959">
      <w:bodyDiv w:val="1"/>
      <w:marLeft w:val="0"/>
      <w:marRight w:val="0"/>
      <w:marTop w:val="0"/>
      <w:marBottom w:val="0"/>
      <w:divBdr>
        <w:top w:val="none" w:sz="0" w:space="0" w:color="auto"/>
        <w:left w:val="none" w:sz="0" w:space="0" w:color="auto"/>
        <w:bottom w:val="none" w:sz="0" w:space="0" w:color="auto"/>
        <w:right w:val="none" w:sz="0" w:space="0" w:color="auto"/>
      </w:divBdr>
    </w:div>
    <w:div w:id="732239744">
      <w:bodyDiv w:val="1"/>
      <w:marLeft w:val="0"/>
      <w:marRight w:val="0"/>
      <w:marTop w:val="0"/>
      <w:marBottom w:val="0"/>
      <w:divBdr>
        <w:top w:val="none" w:sz="0" w:space="0" w:color="auto"/>
        <w:left w:val="none" w:sz="0" w:space="0" w:color="auto"/>
        <w:bottom w:val="none" w:sz="0" w:space="0" w:color="auto"/>
        <w:right w:val="none" w:sz="0" w:space="0" w:color="auto"/>
      </w:divBdr>
    </w:div>
    <w:div w:id="732243412">
      <w:bodyDiv w:val="1"/>
      <w:marLeft w:val="0"/>
      <w:marRight w:val="0"/>
      <w:marTop w:val="0"/>
      <w:marBottom w:val="0"/>
      <w:divBdr>
        <w:top w:val="none" w:sz="0" w:space="0" w:color="auto"/>
        <w:left w:val="none" w:sz="0" w:space="0" w:color="auto"/>
        <w:bottom w:val="none" w:sz="0" w:space="0" w:color="auto"/>
        <w:right w:val="none" w:sz="0" w:space="0" w:color="auto"/>
      </w:divBdr>
    </w:div>
    <w:div w:id="732313590">
      <w:bodyDiv w:val="1"/>
      <w:marLeft w:val="0"/>
      <w:marRight w:val="0"/>
      <w:marTop w:val="0"/>
      <w:marBottom w:val="0"/>
      <w:divBdr>
        <w:top w:val="none" w:sz="0" w:space="0" w:color="auto"/>
        <w:left w:val="none" w:sz="0" w:space="0" w:color="auto"/>
        <w:bottom w:val="none" w:sz="0" w:space="0" w:color="auto"/>
        <w:right w:val="none" w:sz="0" w:space="0" w:color="auto"/>
      </w:divBdr>
    </w:div>
    <w:div w:id="732654992">
      <w:bodyDiv w:val="1"/>
      <w:marLeft w:val="0"/>
      <w:marRight w:val="0"/>
      <w:marTop w:val="0"/>
      <w:marBottom w:val="0"/>
      <w:divBdr>
        <w:top w:val="none" w:sz="0" w:space="0" w:color="auto"/>
        <w:left w:val="none" w:sz="0" w:space="0" w:color="auto"/>
        <w:bottom w:val="none" w:sz="0" w:space="0" w:color="auto"/>
        <w:right w:val="none" w:sz="0" w:space="0" w:color="auto"/>
      </w:divBdr>
    </w:div>
    <w:div w:id="732696886">
      <w:bodyDiv w:val="1"/>
      <w:marLeft w:val="0"/>
      <w:marRight w:val="0"/>
      <w:marTop w:val="0"/>
      <w:marBottom w:val="0"/>
      <w:divBdr>
        <w:top w:val="none" w:sz="0" w:space="0" w:color="auto"/>
        <w:left w:val="none" w:sz="0" w:space="0" w:color="auto"/>
        <w:bottom w:val="none" w:sz="0" w:space="0" w:color="auto"/>
        <w:right w:val="none" w:sz="0" w:space="0" w:color="auto"/>
      </w:divBdr>
    </w:div>
    <w:div w:id="732775128">
      <w:bodyDiv w:val="1"/>
      <w:marLeft w:val="0"/>
      <w:marRight w:val="0"/>
      <w:marTop w:val="0"/>
      <w:marBottom w:val="0"/>
      <w:divBdr>
        <w:top w:val="none" w:sz="0" w:space="0" w:color="auto"/>
        <w:left w:val="none" w:sz="0" w:space="0" w:color="auto"/>
        <w:bottom w:val="none" w:sz="0" w:space="0" w:color="auto"/>
        <w:right w:val="none" w:sz="0" w:space="0" w:color="auto"/>
      </w:divBdr>
    </w:div>
    <w:div w:id="732848516">
      <w:bodyDiv w:val="1"/>
      <w:marLeft w:val="0"/>
      <w:marRight w:val="0"/>
      <w:marTop w:val="0"/>
      <w:marBottom w:val="0"/>
      <w:divBdr>
        <w:top w:val="none" w:sz="0" w:space="0" w:color="auto"/>
        <w:left w:val="none" w:sz="0" w:space="0" w:color="auto"/>
        <w:bottom w:val="none" w:sz="0" w:space="0" w:color="auto"/>
        <w:right w:val="none" w:sz="0" w:space="0" w:color="auto"/>
      </w:divBdr>
    </w:div>
    <w:div w:id="732898550">
      <w:bodyDiv w:val="1"/>
      <w:marLeft w:val="0"/>
      <w:marRight w:val="0"/>
      <w:marTop w:val="0"/>
      <w:marBottom w:val="0"/>
      <w:divBdr>
        <w:top w:val="none" w:sz="0" w:space="0" w:color="auto"/>
        <w:left w:val="none" w:sz="0" w:space="0" w:color="auto"/>
        <w:bottom w:val="none" w:sz="0" w:space="0" w:color="auto"/>
        <w:right w:val="none" w:sz="0" w:space="0" w:color="auto"/>
      </w:divBdr>
    </w:div>
    <w:div w:id="733233679">
      <w:bodyDiv w:val="1"/>
      <w:marLeft w:val="0"/>
      <w:marRight w:val="0"/>
      <w:marTop w:val="0"/>
      <w:marBottom w:val="0"/>
      <w:divBdr>
        <w:top w:val="none" w:sz="0" w:space="0" w:color="auto"/>
        <w:left w:val="none" w:sz="0" w:space="0" w:color="auto"/>
        <w:bottom w:val="none" w:sz="0" w:space="0" w:color="auto"/>
        <w:right w:val="none" w:sz="0" w:space="0" w:color="auto"/>
      </w:divBdr>
    </w:div>
    <w:div w:id="733236418">
      <w:bodyDiv w:val="1"/>
      <w:marLeft w:val="0"/>
      <w:marRight w:val="0"/>
      <w:marTop w:val="0"/>
      <w:marBottom w:val="0"/>
      <w:divBdr>
        <w:top w:val="none" w:sz="0" w:space="0" w:color="auto"/>
        <w:left w:val="none" w:sz="0" w:space="0" w:color="auto"/>
        <w:bottom w:val="none" w:sz="0" w:space="0" w:color="auto"/>
        <w:right w:val="none" w:sz="0" w:space="0" w:color="auto"/>
      </w:divBdr>
    </w:div>
    <w:div w:id="733241632">
      <w:bodyDiv w:val="1"/>
      <w:marLeft w:val="0"/>
      <w:marRight w:val="0"/>
      <w:marTop w:val="0"/>
      <w:marBottom w:val="0"/>
      <w:divBdr>
        <w:top w:val="none" w:sz="0" w:space="0" w:color="auto"/>
        <w:left w:val="none" w:sz="0" w:space="0" w:color="auto"/>
        <w:bottom w:val="none" w:sz="0" w:space="0" w:color="auto"/>
        <w:right w:val="none" w:sz="0" w:space="0" w:color="auto"/>
      </w:divBdr>
    </w:div>
    <w:div w:id="733284072">
      <w:bodyDiv w:val="1"/>
      <w:marLeft w:val="0"/>
      <w:marRight w:val="0"/>
      <w:marTop w:val="0"/>
      <w:marBottom w:val="0"/>
      <w:divBdr>
        <w:top w:val="none" w:sz="0" w:space="0" w:color="auto"/>
        <w:left w:val="none" w:sz="0" w:space="0" w:color="auto"/>
        <w:bottom w:val="none" w:sz="0" w:space="0" w:color="auto"/>
        <w:right w:val="none" w:sz="0" w:space="0" w:color="auto"/>
      </w:divBdr>
    </w:div>
    <w:div w:id="733432269">
      <w:bodyDiv w:val="1"/>
      <w:marLeft w:val="0"/>
      <w:marRight w:val="0"/>
      <w:marTop w:val="0"/>
      <w:marBottom w:val="0"/>
      <w:divBdr>
        <w:top w:val="none" w:sz="0" w:space="0" w:color="auto"/>
        <w:left w:val="none" w:sz="0" w:space="0" w:color="auto"/>
        <w:bottom w:val="none" w:sz="0" w:space="0" w:color="auto"/>
        <w:right w:val="none" w:sz="0" w:space="0" w:color="auto"/>
      </w:divBdr>
    </w:div>
    <w:div w:id="733507527">
      <w:bodyDiv w:val="1"/>
      <w:marLeft w:val="0"/>
      <w:marRight w:val="0"/>
      <w:marTop w:val="0"/>
      <w:marBottom w:val="0"/>
      <w:divBdr>
        <w:top w:val="none" w:sz="0" w:space="0" w:color="auto"/>
        <w:left w:val="none" w:sz="0" w:space="0" w:color="auto"/>
        <w:bottom w:val="none" w:sz="0" w:space="0" w:color="auto"/>
        <w:right w:val="none" w:sz="0" w:space="0" w:color="auto"/>
      </w:divBdr>
    </w:div>
    <w:div w:id="733553200">
      <w:bodyDiv w:val="1"/>
      <w:marLeft w:val="0"/>
      <w:marRight w:val="0"/>
      <w:marTop w:val="0"/>
      <w:marBottom w:val="0"/>
      <w:divBdr>
        <w:top w:val="none" w:sz="0" w:space="0" w:color="auto"/>
        <w:left w:val="none" w:sz="0" w:space="0" w:color="auto"/>
        <w:bottom w:val="none" w:sz="0" w:space="0" w:color="auto"/>
        <w:right w:val="none" w:sz="0" w:space="0" w:color="auto"/>
      </w:divBdr>
    </w:div>
    <w:div w:id="733624764">
      <w:bodyDiv w:val="1"/>
      <w:marLeft w:val="0"/>
      <w:marRight w:val="0"/>
      <w:marTop w:val="0"/>
      <w:marBottom w:val="0"/>
      <w:divBdr>
        <w:top w:val="none" w:sz="0" w:space="0" w:color="auto"/>
        <w:left w:val="none" w:sz="0" w:space="0" w:color="auto"/>
        <w:bottom w:val="none" w:sz="0" w:space="0" w:color="auto"/>
        <w:right w:val="none" w:sz="0" w:space="0" w:color="auto"/>
      </w:divBdr>
    </w:div>
    <w:div w:id="733702287">
      <w:bodyDiv w:val="1"/>
      <w:marLeft w:val="0"/>
      <w:marRight w:val="0"/>
      <w:marTop w:val="0"/>
      <w:marBottom w:val="0"/>
      <w:divBdr>
        <w:top w:val="none" w:sz="0" w:space="0" w:color="auto"/>
        <w:left w:val="none" w:sz="0" w:space="0" w:color="auto"/>
        <w:bottom w:val="none" w:sz="0" w:space="0" w:color="auto"/>
        <w:right w:val="none" w:sz="0" w:space="0" w:color="auto"/>
      </w:divBdr>
    </w:div>
    <w:div w:id="733820635">
      <w:bodyDiv w:val="1"/>
      <w:marLeft w:val="0"/>
      <w:marRight w:val="0"/>
      <w:marTop w:val="0"/>
      <w:marBottom w:val="0"/>
      <w:divBdr>
        <w:top w:val="none" w:sz="0" w:space="0" w:color="auto"/>
        <w:left w:val="none" w:sz="0" w:space="0" w:color="auto"/>
        <w:bottom w:val="none" w:sz="0" w:space="0" w:color="auto"/>
        <w:right w:val="none" w:sz="0" w:space="0" w:color="auto"/>
      </w:divBdr>
    </w:div>
    <w:div w:id="733896522">
      <w:bodyDiv w:val="1"/>
      <w:marLeft w:val="0"/>
      <w:marRight w:val="0"/>
      <w:marTop w:val="0"/>
      <w:marBottom w:val="0"/>
      <w:divBdr>
        <w:top w:val="none" w:sz="0" w:space="0" w:color="auto"/>
        <w:left w:val="none" w:sz="0" w:space="0" w:color="auto"/>
        <w:bottom w:val="none" w:sz="0" w:space="0" w:color="auto"/>
        <w:right w:val="none" w:sz="0" w:space="0" w:color="auto"/>
      </w:divBdr>
    </w:div>
    <w:div w:id="733965702">
      <w:bodyDiv w:val="1"/>
      <w:marLeft w:val="0"/>
      <w:marRight w:val="0"/>
      <w:marTop w:val="0"/>
      <w:marBottom w:val="0"/>
      <w:divBdr>
        <w:top w:val="none" w:sz="0" w:space="0" w:color="auto"/>
        <w:left w:val="none" w:sz="0" w:space="0" w:color="auto"/>
        <w:bottom w:val="none" w:sz="0" w:space="0" w:color="auto"/>
        <w:right w:val="none" w:sz="0" w:space="0" w:color="auto"/>
      </w:divBdr>
    </w:div>
    <w:div w:id="733967558">
      <w:bodyDiv w:val="1"/>
      <w:marLeft w:val="0"/>
      <w:marRight w:val="0"/>
      <w:marTop w:val="0"/>
      <w:marBottom w:val="0"/>
      <w:divBdr>
        <w:top w:val="none" w:sz="0" w:space="0" w:color="auto"/>
        <w:left w:val="none" w:sz="0" w:space="0" w:color="auto"/>
        <w:bottom w:val="none" w:sz="0" w:space="0" w:color="auto"/>
        <w:right w:val="none" w:sz="0" w:space="0" w:color="auto"/>
      </w:divBdr>
    </w:div>
    <w:div w:id="734087243">
      <w:bodyDiv w:val="1"/>
      <w:marLeft w:val="0"/>
      <w:marRight w:val="0"/>
      <w:marTop w:val="0"/>
      <w:marBottom w:val="0"/>
      <w:divBdr>
        <w:top w:val="none" w:sz="0" w:space="0" w:color="auto"/>
        <w:left w:val="none" w:sz="0" w:space="0" w:color="auto"/>
        <w:bottom w:val="none" w:sz="0" w:space="0" w:color="auto"/>
        <w:right w:val="none" w:sz="0" w:space="0" w:color="auto"/>
      </w:divBdr>
    </w:div>
    <w:div w:id="734088644">
      <w:bodyDiv w:val="1"/>
      <w:marLeft w:val="0"/>
      <w:marRight w:val="0"/>
      <w:marTop w:val="0"/>
      <w:marBottom w:val="0"/>
      <w:divBdr>
        <w:top w:val="none" w:sz="0" w:space="0" w:color="auto"/>
        <w:left w:val="none" w:sz="0" w:space="0" w:color="auto"/>
        <w:bottom w:val="none" w:sz="0" w:space="0" w:color="auto"/>
        <w:right w:val="none" w:sz="0" w:space="0" w:color="auto"/>
      </w:divBdr>
    </w:div>
    <w:div w:id="734088756">
      <w:bodyDiv w:val="1"/>
      <w:marLeft w:val="0"/>
      <w:marRight w:val="0"/>
      <w:marTop w:val="0"/>
      <w:marBottom w:val="0"/>
      <w:divBdr>
        <w:top w:val="none" w:sz="0" w:space="0" w:color="auto"/>
        <w:left w:val="none" w:sz="0" w:space="0" w:color="auto"/>
        <w:bottom w:val="none" w:sz="0" w:space="0" w:color="auto"/>
        <w:right w:val="none" w:sz="0" w:space="0" w:color="auto"/>
      </w:divBdr>
    </w:div>
    <w:div w:id="734165910">
      <w:bodyDiv w:val="1"/>
      <w:marLeft w:val="0"/>
      <w:marRight w:val="0"/>
      <w:marTop w:val="0"/>
      <w:marBottom w:val="0"/>
      <w:divBdr>
        <w:top w:val="none" w:sz="0" w:space="0" w:color="auto"/>
        <w:left w:val="none" w:sz="0" w:space="0" w:color="auto"/>
        <w:bottom w:val="none" w:sz="0" w:space="0" w:color="auto"/>
        <w:right w:val="none" w:sz="0" w:space="0" w:color="auto"/>
      </w:divBdr>
    </w:div>
    <w:div w:id="734354553">
      <w:bodyDiv w:val="1"/>
      <w:marLeft w:val="0"/>
      <w:marRight w:val="0"/>
      <w:marTop w:val="0"/>
      <w:marBottom w:val="0"/>
      <w:divBdr>
        <w:top w:val="none" w:sz="0" w:space="0" w:color="auto"/>
        <w:left w:val="none" w:sz="0" w:space="0" w:color="auto"/>
        <w:bottom w:val="none" w:sz="0" w:space="0" w:color="auto"/>
        <w:right w:val="none" w:sz="0" w:space="0" w:color="auto"/>
      </w:divBdr>
    </w:div>
    <w:div w:id="734355031">
      <w:bodyDiv w:val="1"/>
      <w:marLeft w:val="0"/>
      <w:marRight w:val="0"/>
      <w:marTop w:val="0"/>
      <w:marBottom w:val="0"/>
      <w:divBdr>
        <w:top w:val="none" w:sz="0" w:space="0" w:color="auto"/>
        <w:left w:val="none" w:sz="0" w:space="0" w:color="auto"/>
        <w:bottom w:val="none" w:sz="0" w:space="0" w:color="auto"/>
        <w:right w:val="none" w:sz="0" w:space="0" w:color="auto"/>
      </w:divBdr>
    </w:div>
    <w:div w:id="734396564">
      <w:bodyDiv w:val="1"/>
      <w:marLeft w:val="0"/>
      <w:marRight w:val="0"/>
      <w:marTop w:val="0"/>
      <w:marBottom w:val="0"/>
      <w:divBdr>
        <w:top w:val="none" w:sz="0" w:space="0" w:color="auto"/>
        <w:left w:val="none" w:sz="0" w:space="0" w:color="auto"/>
        <w:bottom w:val="none" w:sz="0" w:space="0" w:color="auto"/>
        <w:right w:val="none" w:sz="0" w:space="0" w:color="auto"/>
      </w:divBdr>
    </w:div>
    <w:div w:id="734622007">
      <w:bodyDiv w:val="1"/>
      <w:marLeft w:val="0"/>
      <w:marRight w:val="0"/>
      <w:marTop w:val="0"/>
      <w:marBottom w:val="0"/>
      <w:divBdr>
        <w:top w:val="none" w:sz="0" w:space="0" w:color="auto"/>
        <w:left w:val="none" w:sz="0" w:space="0" w:color="auto"/>
        <w:bottom w:val="none" w:sz="0" w:space="0" w:color="auto"/>
        <w:right w:val="none" w:sz="0" w:space="0" w:color="auto"/>
      </w:divBdr>
    </w:div>
    <w:div w:id="734862510">
      <w:bodyDiv w:val="1"/>
      <w:marLeft w:val="0"/>
      <w:marRight w:val="0"/>
      <w:marTop w:val="0"/>
      <w:marBottom w:val="0"/>
      <w:divBdr>
        <w:top w:val="none" w:sz="0" w:space="0" w:color="auto"/>
        <w:left w:val="none" w:sz="0" w:space="0" w:color="auto"/>
        <w:bottom w:val="none" w:sz="0" w:space="0" w:color="auto"/>
        <w:right w:val="none" w:sz="0" w:space="0" w:color="auto"/>
      </w:divBdr>
    </w:div>
    <w:div w:id="734936005">
      <w:bodyDiv w:val="1"/>
      <w:marLeft w:val="0"/>
      <w:marRight w:val="0"/>
      <w:marTop w:val="0"/>
      <w:marBottom w:val="0"/>
      <w:divBdr>
        <w:top w:val="none" w:sz="0" w:space="0" w:color="auto"/>
        <w:left w:val="none" w:sz="0" w:space="0" w:color="auto"/>
        <w:bottom w:val="none" w:sz="0" w:space="0" w:color="auto"/>
        <w:right w:val="none" w:sz="0" w:space="0" w:color="auto"/>
      </w:divBdr>
    </w:div>
    <w:div w:id="735056878">
      <w:bodyDiv w:val="1"/>
      <w:marLeft w:val="0"/>
      <w:marRight w:val="0"/>
      <w:marTop w:val="0"/>
      <w:marBottom w:val="0"/>
      <w:divBdr>
        <w:top w:val="none" w:sz="0" w:space="0" w:color="auto"/>
        <w:left w:val="none" w:sz="0" w:space="0" w:color="auto"/>
        <w:bottom w:val="none" w:sz="0" w:space="0" w:color="auto"/>
        <w:right w:val="none" w:sz="0" w:space="0" w:color="auto"/>
      </w:divBdr>
    </w:div>
    <w:div w:id="735131689">
      <w:bodyDiv w:val="1"/>
      <w:marLeft w:val="0"/>
      <w:marRight w:val="0"/>
      <w:marTop w:val="0"/>
      <w:marBottom w:val="0"/>
      <w:divBdr>
        <w:top w:val="none" w:sz="0" w:space="0" w:color="auto"/>
        <w:left w:val="none" w:sz="0" w:space="0" w:color="auto"/>
        <w:bottom w:val="none" w:sz="0" w:space="0" w:color="auto"/>
        <w:right w:val="none" w:sz="0" w:space="0" w:color="auto"/>
      </w:divBdr>
    </w:div>
    <w:div w:id="735132721">
      <w:bodyDiv w:val="1"/>
      <w:marLeft w:val="0"/>
      <w:marRight w:val="0"/>
      <w:marTop w:val="0"/>
      <w:marBottom w:val="0"/>
      <w:divBdr>
        <w:top w:val="none" w:sz="0" w:space="0" w:color="auto"/>
        <w:left w:val="none" w:sz="0" w:space="0" w:color="auto"/>
        <w:bottom w:val="none" w:sz="0" w:space="0" w:color="auto"/>
        <w:right w:val="none" w:sz="0" w:space="0" w:color="auto"/>
      </w:divBdr>
    </w:div>
    <w:div w:id="735200195">
      <w:bodyDiv w:val="1"/>
      <w:marLeft w:val="0"/>
      <w:marRight w:val="0"/>
      <w:marTop w:val="0"/>
      <w:marBottom w:val="0"/>
      <w:divBdr>
        <w:top w:val="none" w:sz="0" w:space="0" w:color="auto"/>
        <w:left w:val="none" w:sz="0" w:space="0" w:color="auto"/>
        <w:bottom w:val="none" w:sz="0" w:space="0" w:color="auto"/>
        <w:right w:val="none" w:sz="0" w:space="0" w:color="auto"/>
      </w:divBdr>
    </w:div>
    <w:div w:id="735202656">
      <w:bodyDiv w:val="1"/>
      <w:marLeft w:val="0"/>
      <w:marRight w:val="0"/>
      <w:marTop w:val="0"/>
      <w:marBottom w:val="0"/>
      <w:divBdr>
        <w:top w:val="none" w:sz="0" w:space="0" w:color="auto"/>
        <w:left w:val="none" w:sz="0" w:space="0" w:color="auto"/>
        <w:bottom w:val="none" w:sz="0" w:space="0" w:color="auto"/>
        <w:right w:val="none" w:sz="0" w:space="0" w:color="auto"/>
      </w:divBdr>
    </w:div>
    <w:div w:id="735248518">
      <w:bodyDiv w:val="1"/>
      <w:marLeft w:val="0"/>
      <w:marRight w:val="0"/>
      <w:marTop w:val="0"/>
      <w:marBottom w:val="0"/>
      <w:divBdr>
        <w:top w:val="none" w:sz="0" w:space="0" w:color="auto"/>
        <w:left w:val="none" w:sz="0" w:space="0" w:color="auto"/>
        <w:bottom w:val="none" w:sz="0" w:space="0" w:color="auto"/>
        <w:right w:val="none" w:sz="0" w:space="0" w:color="auto"/>
      </w:divBdr>
    </w:div>
    <w:div w:id="735251379">
      <w:bodyDiv w:val="1"/>
      <w:marLeft w:val="0"/>
      <w:marRight w:val="0"/>
      <w:marTop w:val="0"/>
      <w:marBottom w:val="0"/>
      <w:divBdr>
        <w:top w:val="none" w:sz="0" w:space="0" w:color="auto"/>
        <w:left w:val="none" w:sz="0" w:space="0" w:color="auto"/>
        <w:bottom w:val="none" w:sz="0" w:space="0" w:color="auto"/>
        <w:right w:val="none" w:sz="0" w:space="0" w:color="auto"/>
      </w:divBdr>
    </w:div>
    <w:div w:id="735468013">
      <w:bodyDiv w:val="1"/>
      <w:marLeft w:val="0"/>
      <w:marRight w:val="0"/>
      <w:marTop w:val="0"/>
      <w:marBottom w:val="0"/>
      <w:divBdr>
        <w:top w:val="none" w:sz="0" w:space="0" w:color="auto"/>
        <w:left w:val="none" w:sz="0" w:space="0" w:color="auto"/>
        <w:bottom w:val="none" w:sz="0" w:space="0" w:color="auto"/>
        <w:right w:val="none" w:sz="0" w:space="0" w:color="auto"/>
      </w:divBdr>
    </w:div>
    <w:div w:id="735468386">
      <w:bodyDiv w:val="1"/>
      <w:marLeft w:val="0"/>
      <w:marRight w:val="0"/>
      <w:marTop w:val="0"/>
      <w:marBottom w:val="0"/>
      <w:divBdr>
        <w:top w:val="none" w:sz="0" w:space="0" w:color="auto"/>
        <w:left w:val="none" w:sz="0" w:space="0" w:color="auto"/>
        <w:bottom w:val="none" w:sz="0" w:space="0" w:color="auto"/>
        <w:right w:val="none" w:sz="0" w:space="0" w:color="auto"/>
      </w:divBdr>
    </w:div>
    <w:div w:id="735475034">
      <w:bodyDiv w:val="1"/>
      <w:marLeft w:val="0"/>
      <w:marRight w:val="0"/>
      <w:marTop w:val="0"/>
      <w:marBottom w:val="0"/>
      <w:divBdr>
        <w:top w:val="none" w:sz="0" w:space="0" w:color="auto"/>
        <w:left w:val="none" w:sz="0" w:space="0" w:color="auto"/>
        <w:bottom w:val="none" w:sz="0" w:space="0" w:color="auto"/>
        <w:right w:val="none" w:sz="0" w:space="0" w:color="auto"/>
      </w:divBdr>
    </w:div>
    <w:div w:id="735518261">
      <w:bodyDiv w:val="1"/>
      <w:marLeft w:val="0"/>
      <w:marRight w:val="0"/>
      <w:marTop w:val="0"/>
      <w:marBottom w:val="0"/>
      <w:divBdr>
        <w:top w:val="none" w:sz="0" w:space="0" w:color="auto"/>
        <w:left w:val="none" w:sz="0" w:space="0" w:color="auto"/>
        <w:bottom w:val="none" w:sz="0" w:space="0" w:color="auto"/>
        <w:right w:val="none" w:sz="0" w:space="0" w:color="auto"/>
      </w:divBdr>
    </w:div>
    <w:div w:id="735519518">
      <w:bodyDiv w:val="1"/>
      <w:marLeft w:val="0"/>
      <w:marRight w:val="0"/>
      <w:marTop w:val="0"/>
      <w:marBottom w:val="0"/>
      <w:divBdr>
        <w:top w:val="none" w:sz="0" w:space="0" w:color="auto"/>
        <w:left w:val="none" w:sz="0" w:space="0" w:color="auto"/>
        <w:bottom w:val="none" w:sz="0" w:space="0" w:color="auto"/>
        <w:right w:val="none" w:sz="0" w:space="0" w:color="auto"/>
      </w:divBdr>
    </w:div>
    <w:div w:id="735707464">
      <w:bodyDiv w:val="1"/>
      <w:marLeft w:val="0"/>
      <w:marRight w:val="0"/>
      <w:marTop w:val="0"/>
      <w:marBottom w:val="0"/>
      <w:divBdr>
        <w:top w:val="none" w:sz="0" w:space="0" w:color="auto"/>
        <w:left w:val="none" w:sz="0" w:space="0" w:color="auto"/>
        <w:bottom w:val="none" w:sz="0" w:space="0" w:color="auto"/>
        <w:right w:val="none" w:sz="0" w:space="0" w:color="auto"/>
      </w:divBdr>
    </w:div>
    <w:div w:id="735780678">
      <w:bodyDiv w:val="1"/>
      <w:marLeft w:val="0"/>
      <w:marRight w:val="0"/>
      <w:marTop w:val="0"/>
      <w:marBottom w:val="0"/>
      <w:divBdr>
        <w:top w:val="none" w:sz="0" w:space="0" w:color="auto"/>
        <w:left w:val="none" w:sz="0" w:space="0" w:color="auto"/>
        <w:bottom w:val="none" w:sz="0" w:space="0" w:color="auto"/>
        <w:right w:val="none" w:sz="0" w:space="0" w:color="auto"/>
      </w:divBdr>
    </w:div>
    <w:div w:id="735855255">
      <w:bodyDiv w:val="1"/>
      <w:marLeft w:val="0"/>
      <w:marRight w:val="0"/>
      <w:marTop w:val="0"/>
      <w:marBottom w:val="0"/>
      <w:divBdr>
        <w:top w:val="none" w:sz="0" w:space="0" w:color="auto"/>
        <w:left w:val="none" w:sz="0" w:space="0" w:color="auto"/>
        <w:bottom w:val="none" w:sz="0" w:space="0" w:color="auto"/>
        <w:right w:val="none" w:sz="0" w:space="0" w:color="auto"/>
      </w:divBdr>
    </w:div>
    <w:div w:id="735932153">
      <w:bodyDiv w:val="1"/>
      <w:marLeft w:val="0"/>
      <w:marRight w:val="0"/>
      <w:marTop w:val="0"/>
      <w:marBottom w:val="0"/>
      <w:divBdr>
        <w:top w:val="none" w:sz="0" w:space="0" w:color="auto"/>
        <w:left w:val="none" w:sz="0" w:space="0" w:color="auto"/>
        <w:bottom w:val="none" w:sz="0" w:space="0" w:color="auto"/>
        <w:right w:val="none" w:sz="0" w:space="0" w:color="auto"/>
      </w:divBdr>
    </w:div>
    <w:div w:id="735936134">
      <w:bodyDiv w:val="1"/>
      <w:marLeft w:val="0"/>
      <w:marRight w:val="0"/>
      <w:marTop w:val="0"/>
      <w:marBottom w:val="0"/>
      <w:divBdr>
        <w:top w:val="none" w:sz="0" w:space="0" w:color="auto"/>
        <w:left w:val="none" w:sz="0" w:space="0" w:color="auto"/>
        <w:bottom w:val="none" w:sz="0" w:space="0" w:color="auto"/>
        <w:right w:val="none" w:sz="0" w:space="0" w:color="auto"/>
      </w:divBdr>
    </w:div>
    <w:div w:id="736241919">
      <w:bodyDiv w:val="1"/>
      <w:marLeft w:val="0"/>
      <w:marRight w:val="0"/>
      <w:marTop w:val="0"/>
      <w:marBottom w:val="0"/>
      <w:divBdr>
        <w:top w:val="none" w:sz="0" w:space="0" w:color="auto"/>
        <w:left w:val="none" w:sz="0" w:space="0" w:color="auto"/>
        <w:bottom w:val="none" w:sz="0" w:space="0" w:color="auto"/>
        <w:right w:val="none" w:sz="0" w:space="0" w:color="auto"/>
      </w:divBdr>
    </w:div>
    <w:div w:id="736320071">
      <w:bodyDiv w:val="1"/>
      <w:marLeft w:val="0"/>
      <w:marRight w:val="0"/>
      <w:marTop w:val="0"/>
      <w:marBottom w:val="0"/>
      <w:divBdr>
        <w:top w:val="none" w:sz="0" w:space="0" w:color="auto"/>
        <w:left w:val="none" w:sz="0" w:space="0" w:color="auto"/>
        <w:bottom w:val="none" w:sz="0" w:space="0" w:color="auto"/>
        <w:right w:val="none" w:sz="0" w:space="0" w:color="auto"/>
      </w:divBdr>
    </w:div>
    <w:div w:id="736321624">
      <w:bodyDiv w:val="1"/>
      <w:marLeft w:val="0"/>
      <w:marRight w:val="0"/>
      <w:marTop w:val="0"/>
      <w:marBottom w:val="0"/>
      <w:divBdr>
        <w:top w:val="none" w:sz="0" w:space="0" w:color="auto"/>
        <w:left w:val="none" w:sz="0" w:space="0" w:color="auto"/>
        <w:bottom w:val="none" w:sz="0" w:space="0" w:color="auto"/>
        <w:right w:val="none" w:sz="0" w:space="0" w:color="auto"/>
      </w:divBdr>
    </w:div>
    <w:div w:id="736393899">
      <w:bodyDiv w:val="1"/>
      <w:marLeft w:val="0"/>
      <w:marRight w:val="0"/>
      <w:marTop w:val="0"/>
      <w:marBottom w:val="0"/>
      <w:divBdr>
        <w:top w:val="none" w:sz="0" w:space="0" w:color="auto"/>
        <w:left w:val="none" w:sz="0" w:space="0" w:color="auto"/>
        <w:bottom w:val="none" w:sz="0" w:space="0" w:color="auto"/>
        <w:right w:val="none" w:sz="0" w:space="0" w:color="auto"/>
      </w:divBdr>
    </w:div>
    <w:div w:id="736778885">
      <w:bodyDiv w:val="1"/>
      <w:marLeft w:val="0"/>
      <w:marRight w:val="0"/>
      <w:marTop w:val="0"/>
      <w:marBottom w:val="0"/>
      <w:divBdr>
        <w:top w:val="none" w:sz="0" w:space="0" w:color="auto"/>
        <w:left w:val="none" w:sz="0" w:space="0" w:color="auto"/>
        <w:bottom w:val="none" w:sz="0" w:space="0" w:color="auto"/>
        <w:right w:val="none" w:sz="0" w:space="0" w:color="auto"/>
      </w:divBdr>
    </w:div>
    <w:div w:id="736786010">
      <w:bodyDiv w:val="1"/>
      <w:marLeft w:val="0"/>
      <w:marRight w:val="0"/>
      <w:marTop w:val="0"/>
      <w:marBottom w:val="0"/>
      <w:divBdr>
        <w:top w:val="none" w:sz="0" w:space="0" w:color="auto"/>
        <w:left w:val="none" w:sz="0" w:space="0" w:color="auto"/>
        <w:bottom w:val="none" w:sz="0" w:space="0" w:color="auto"/>
        <w:right w:val="none" w:sz="0" w:space="0" w:color="auto"/>
      </w:divBdr>
    </w:div>
    <w:div w:id="736905257">
      <w:bodyDiv w:val="1"/>
      <w:marLeft w:val="0"/>
      <w:marRight w:val="0"/>
      <w:marTop w:val="0"/>
      <w:marBottom w:val="0"/>
      <w:divBdr>
        <w:top w:val="none" w:sz="0" w:space="0" w:color="auto"/>
        <w:left w:val="none" w:sz="0" w:space="0" w:color="auto"/>
        <w:bottom w:val="none" w:sz="0" w:space="0" w:color="auto"/>
        <w:right w:val="none" w:sz="0" w:space="0" w:color="auto"/>
      </w:divBdr>
    </w:div>
    <w:div w:id="736981142">
      <w:bodyDiv w:val="1"/>
      <w:marLeft w:val="0"/>
      <w:marRight w:val="0"/>
      <w:marTop w:val="0"/>
      <w:marBottom w:val="0"/>
      <w:divBdr>
        <w:top w:val="none" w:sz="0" w:space="0" w:color="auto"/>
        <w:left w:val="none" w:sz="0" w:space="0" w:color="auto"/>
        <w:bottom w:val="none" w:sz="0" w:space="0" w:color="auto"/>
        <w:right w:val="none" w:sz="0" w:space="0" w:color="auto"/>
      </w:divBdr>
    </w:div>
    <w:div w:id="737048090">
      <w:bodyDiv w:val="1"/>
      <w:marLeft w:val="0"/>
      <w:marRight w:val="0"/>
      <w:marTop w:val="0"/>
      <w:marBottom w:val="0"/>
      <w:divBdr>
        <w:top w:val="none" w:sz="0" w:space="0" w:color="auto"/>
        <w:left w:val="none" w:sz="0" w:space="0" w:color="auto"/>
        <w:bottom w:val="none" w:sz="0" w:space="0" w:color="auto"/>
        <w:right w:val="none" w:sz="0" w:space="0" w:color="auto"/>
      </w:divBdr>
    </w:div>
    <w:div w:id="737098647">
      <w:bodyDiv w:val="1"/>
      <w:marLeft w:val="0"/>
      <w:marRight w:val="0"/>
      <w:marTop w:val="0"/>
      <w:marBottom w:val="0"/>
      <w:divBdr>
        <w:top w:val="none" w:sz="0" w:space="0" w:color="auto"/>
        <w:left w:val="none" w:sz="0" w:space="0" w:color="auto"/>
        <w:bottom w:val="none" w:sz="0" w:space="0" w:color="auto"/>
        <w:right w:val="none" w:sz="0" w:space="0" w:color="auto"/>
      </w:divBdr>
    </w:div>
    <w:div w:id="737440986">
      <w:bodyDiv w:val="1"/>
      <w:marLeft w:val="0"/>
      <w:marRight w:val="0"/>
      <w:marTop w:val="0"/>
      <w:marBottom w:val="0"/>
      <w:divBdr>
        <w:top w:val="none" w:sz="0" w:space="0" w:color="auto"/>
        <w:left w:val="none" w:sz="0" w:space="0" w:color="auto"/>
        <w:bottom w:val="none" w:sz="0" w:space="0" w:color="auto"/>
        <w:right w:val="none" w:sz="0" w:space="0" w:color="auto"/>
      </w:divBdr>
    </w:div>
    <w:div w:id="737441259">
      <w:bodyDiv w:val="1"/>
      <w:marLeft w:val="0"/>
      <w:marRight w:val="0"/>
      <w:marTop w:val="0"/>
      <w:marBottom w:val="0"/>
      <w:divBdr>
        <w:top w:val="none" w:sz="0" w:space="0" w:color="auto"/>
        <w:left w:val="none" w:sz="0" w:space="0" w:color="auto"/>
        <w:bottom w:val="none" w:sz="0" w:space="0" w:color="auto"/>
        <w:right w:val="none" w:sz="0" w:space="0" w:color="auto"/>
      </w:divBdr>
    </w:div>
    <w:div w:id="737485027">
      <w:bodyDiv w:val="1"/>
      <w:marLeft w:val="0"/>
      <w:marRight w:val="0"/>
      <w:marTop w:val="0"/>
      <w:marBottom w:val="0"/>
      <w:divBdr>
        <w:top w:val="none" w:sz="0" w:space="0" w:color="auto"/>
        <w:left w:val="none" w:sz="0" w:space="0" w:color="auto"/>
        <w:bottom w:val="none" w:sz="0" w:space="0" w:color="auto"/>
        <w:right w:val="none" w:sz="0" w:space="0" w:color="auto"/>
      </w:divBdr>
    </w:div>
    <w:div w:id="738021093">
      <w:bodyDiv w:val="1"/>
      <w:marLeft w:val="0"/>
      <w:marRight w:val="0"/>
      <w:marTop w:val="0"/>
      <w:marBottom w:val="0"/>
      <w:divBdr>
        <w:top w:val="none" w:sz="0" w:space="0" w:color="auto"/>
        <w:left w:val="none" w:sz="0" w:space="0" w:color="auto"/>
        <w:bottom w:val="none" w:sz="0" w:space="0" w:color="auto"/>
        <w:right w:val="none" w:sz="0" w:space="0" w:color="auto"/>
      </w:divBdr>
    </w:div>
    <w:div w:id="738090129">
      <w:bodyDiv w:val="1"/>
      <w:marLeft w:val="0"/>
      <w:marRight w:val="0"/>
      <w:marTop w:val="0"/>
      <w:marBottom w:val="0"/>
      <w:divBdr>
        <w:top w:val="none" w:sz="0" w:space="0" w:color="auto"/>
        <w:left w:val="none" w:sz="0" w:space="0" w:color="auto"/>
        <w:bottom w:val="none" w:sz="0" w:space="0" w:color="auto"/>
        <w:right w:val="none" w:sz="0" w:space="0" w:color="auto"/>
      </w:divBdr>
    </w:div>
    <w:div w:id="738400666">
      <w:bodyDiv w:val="1"/>
      <w:marLeft w:val="0"/>
      <w:marRight w:val="0"/>
      <w:marTop w:val="0"/>
      <w:marBottom w:val="0"/>
      <w:divBdr>
        <w:top w:val="none" w:sz="0" w:space="0" w:color="auto"/>
        <w:left w:val="none" w:sz="0" w:space="0" w:color="auto"/>
        <w:bottom w:val="none" w:sz="0" w:space="0" w:color="auto"/>
        <w:right w:val="none" w:sz="0" w:space="0" w:color="auto"/>
      </w:divBdr>
    </w:div>
    <w:div w:id="738477044">
      <w:bodyDiv w:val="1"/>
      <w:marLeft w:val="0"/>
      <w:marRight w:val="0"/>
      <w:marTop w:val="0"/>
      <w:marBottom w:val="0"/>
      <w:divBdr>
        <w:top w:val="none" w:sz="0" w:space="0" w:color="auto"/>
        <w:left w:val="none" w:sz="0" w:space="0" w:color="auto"/>
        <w:bottom w:val="none" w:sz="0" w:space="0" w:color="auto"/>
        <w:right w:val="none" w:sz="0" w:space="0" w:color="auto"/>
      </w:divBdr>
    </w:div>
    <w:div w:id="738555598">
      <w:bodyDiv w:val="1"/>
      <w:marLeft w:val="0"/>
      <w:marRight w:val="0"/>
      <w:marTop w:val="0"/>
      <w:marBottom w:val="0"/>
      <w:divBdr>
        <w:top w:val="none" w:sz="0" w:space="0" w:color="auto"/>
        <w:left w:val="none" w:sz="0" w:space="0" w:color="auto"/>
        <w:bottom w:val="none" w:sz="0" w:space="0" w:color="auto"/>
        <w:right w:val="none" w:sz="0" w:space="0" w:color="auto"/>
      </w:divBdr>
    </w:div>
    <w:div w:id="738673650">
      <w:bodyDiv w:val="1"/>
      <w:marLeft w:val="0"/>
      <w:marRight w:val="0"/>
      <w:marTop w:val="0"/>
      <w:marBottom w:val="0"/>
      <w:divBdr>
        <w:top w:val="none" w:sz="0" w:space="0" w:color="auto"/>
        <w:left w:val="none" w:sz="0" w:space="0" w:color="auto"/>
        <w:bottom w:val="none" w:sz="0" w:space="0" w:color="auto"/>
        <w:right w:val="none" w:sz="0" w:space="0" w:color="auto"/>
      </w:divBdr>
    </w:div>
    <w:div w:id="738790077">
      <w:bodyDiv w:val="1"/>
      <w:marLeft w:val="0"/>
      <w:marRight w:val="0"/>
      <w:marTop w:val="0"/>
      <w:marBottom w:val="0"/>
      <w:divBdr>
        <w:top w:val="none" w:sz="0" w:space="0" w:color="auto"/>
        <w:left w:val="none" w:sz="0" w:space="0" w:color="auto"/>
        <w:bottom w:val="none" w:sz="0" w:space="0" w:color="auto"/>
        <w:right w:val="none" w:sz="0" w:space="0" w:color="auto"/>
      </w:divBdr>
    </w:div>
    <w:div w:id="739063021">
      <w:bodyDiv w:val="1"/>
      <w:marLeft w:val="0"/>
      <w:marRight w:val="0"/>
      <w:marTop w:val="0"/>
      <w:marBottom w:val="0"/>
      <w:divBdr>
        <w:top w:val="none" w:sz="0" w:space="0" w:color="auto"/>
        <w:left w:val="none" w:sz="0" w:space="0" w:color="auto"/>
        <w:bottom w:val="none" w:sz="0" w:space="0" w:color="auto"/>
        <w:right w:val="none" w:sz="0" w:space="0" w:color="auto"/>
      </w:divBdr>
    </w:div>
    <w:div w:id="739252300">
      <w:bodyDiv w:val="1"/>
      <w:marLeft w:val="0"/>
      <w:marRight w:val="0"/>
      <w:marTop w:val="0"/>
      <w:marBottom w:val="0"/>
      <w:divBdr>
        <w:top w:val="none" w:sz="0" w:space="0" w:color="auto"/>
        <w:left w:val="none" w:sz="0" w:space="0" w:color="auto"/>
        <w:bottom w:val="none" w:sz="0" w:space="0" w:color="auto"/>
        <w:right w:val="none" w:sz="0" w:space="0" w:color="auto"/>
      </w:divBdr>
    </w:div>
    <w:div w:id="739253532">
      <w:bodyDiv w:val="1"/>
      <w:marLeft w:val="0"/>
      <w:marRight w:val="0"/>
      <w:marTop w:val="0"/>
      <w:marBottom w:val="0"/>
      <w:divBdr>
        <w:top w:val="none" w:sz="0" w:space="0" w:color="auto"/>
        <w:left w:val="none" w:sz="0" w:space="0" w:color="auto"/>
        <w:bottom w:val="none" w:sz="0" w:space="0" w:color="auto"/>
        <w:right w:val="none" w:sz="0" w:space="0" w:color="auto"/>
      </w:divBdr>
    </w:div>
    <w:div w:id="739256509">
      <w:bodyDiv w:val="1"/>
      <w:marLeft w:val="0"/>
      <w:marRight w:val="0"/>
      <w:marTop w:val="0"/>
      <w:marBottom w:val="0"/>
      <w:divBdr>
        <w:top w:val="none" w:sz="0" w:space="0" w:color="auto"/>
        <w:left w:val="none" w:sz="0" w:space="0" w:color="auto"/>
        <w:bottom w:val="none" w:sz="0" w:space="0" w:color="auto"/>
        <w:right w:val="none" w:sz="0" w:space="0" w:color="auto"/>
      </w:divBdr>
    </w:div>
    <w:div w:id="739599469">
      <w:bodyDiv w:val="1"/>
      <w:marLeft w:val="0"/>
      <w:marRight w:val="0"/>
      <w:marTop w:val="0"/>
      <w:marBottom w:val="0"/>
      <w:divBdr>
        <w:top w:val="none" w:sz="0" w:space="0" w:color="auto"/>
        <w:left w:val="none" w:sz="0" w:space="0" w:color="auto"/>
        <w:bottom w:val="none" w:sz="0" w:space="0" w:color="auto"/>
        <w:right w:val="none" w:sz="0" w:space="0" w:color="auto"/>
      </w:divBdr>
    </w:div>
    <w:div w:id="739600809">
      <w:bodyDiv w:val="1"/>
      <w:marLeft w:val="0"/>
      <w:marRight w:val="0"/>
      <w:marTop w:val="0"/>
      <w:marBottom w:val="0"/>
      <w:divBdr>
        <w:top w:val="none" w:sz="0" w:space="0" w:color="auto"/>
        <w:left w:val="none" w:sz="0" w:space="0" w:color="auto"/>
        <w:bottom w:val="none" w:sz="0" w:space="0" w:color="auto"/>
        <w:right w:val="none" w:sz="0" w:space="0" w:color="auto"/>
      </w:divBdr>
    </w:div>
    <w:div w:id="739712463">
      <w:bodyDiv w:val="1"/>
      <w:marLeft w:val="0"/>
      <w:marRight w:val="0"/>
      <w:marTop w:val="0"/>
      <w:marBottom w:val="0"/>
      <w:divBdr>
        <w:top w:val="none" w:sz="0" w:space="0" w:color="auto"/>
        <w:left w:val="none" w:sz="0" w:space="0" w:color="auto"/>
        <w:bottom w:val="none" w:sz="0" w:space="0" w:color="auto"/>
        <w:right w:val="none" w:sz="0" w:space="0" w:color="auto"/>
      </w:divBdr>
    </w:div>
    <w:div w:id="739717128">
      <w:bodyDiv w:val="1"/>
      <w:marLeft w:val="0"/>
      <w:marRight w:val="0"/>
      <w:marTop w:val="0"/>
      <w:marBottom w:val="0"/>
      <w:divBdr>
        <w:top w:val="none" w:sz="0" w:space="0" w:color="auto"/>
        <w:left w:val="none" w:sz="0" w:space="0" w:color="auto"/>
        <w:bottom w:val="none" w:sz="0" w:space="0" w:color="auto"/>
        <w:right w:val="none" w:sz="0" w:space="0" w:color="auto"/>
      </w:divBdr>
    </w:div>
    <w:div w:id="739787294">
      <w:bodyDiv w:val="1"/>
      <w:marLeft w:val="0"/>
      <w:marRight w:val="0"/>
      <w:marTop w:val="0"/>
      <w:marBottom w:val="0"/>
      <w:divBdr>
        <w:top w:val="none" w:sz="0" w:space="0" w:color="auto"/>
        <w:left w:val="none" w:sz="0" w:space="0" w:color="auto"/>
        <w:bottom w:val="none" w:sz="0" w:space="0" w:color="auto"/>
        <w:right w:val="none" w:sz="0" w:space="0" w:color="auto"/>
      </w:divBdr>
    </w:div>
    <w:div w:id="739864971">
      <w:bodyDiv w:val="1"/>
      <w:marLeft w:val="0"/>
      <w:marRight w:val="0"/>
      <w:marTop w:val="0"/>
      <w:marBottom w:val="0"/>
      <w:divBdr>
        <w:top w:val="none" w:sz="0" w:space="0" w:color="auto"/>
        <w:left w:val="none" w:sz="0" w:space="0" w:color="auto"/>
        <w:bottom w:val="none" w:sz="0" w:space="0" w:color="auto"/>
        <w:right w:val="none" w:sz="0" w:space="0" w:color="auto"/>
      </w:divBdr>
    </w:div>
    <w:div w:id="739982166">
      <w:bodyDiv w:val="1"/>
      <w:marLeft w:val="0"/>
      <w:marRight w:val="0"/>
      <w:marTop w:val="0"/>
      <w:marBottom w:val="0"/>
      <w:divBdr>
        <w:top w:val="none" w:sz="0" w:space="0" w:color="auto"/>
        <w:left w:val="none" w:sz="0" w:space="0" w:color="auto"/>
        <w:bottom w:val="none" w:sz="0" w:space="0" w:color="auto"/>
        <w:right w:val="none" w:sz="0" w:space="0" w:color="auto"/>
      </w:divBdr>
    </w:div>
    <w:div w:id="740249312">
      <w:bodyDiv w:val="1"/>
      <w:marLeft w:val="0"/>
      <w:marRight w:val="0"/>
      <w:marTop w:val="0"/>
      <w:marBottom w:val="0"/>
      <w:divBdr>
        <w:top w:val="none" w:sz="0" w:space="0" w:color="auto"/>
        <w:left w:val="none" w:sz="0" w:space="0" w:color="auto"/>
        <w:bottom w:val="none" w:sz="0" w:space="0" w:color="auto"/>
        <w:right w:val="none" w:sz="0" w:space="0" w:color="auto"/>
      </w:divBdr>
    </w:div>
    <w:div w:id="740298123">
      <w:bodyDiv w:val="1"/>
      <w:marLeft w:val="0"/>
      <w:marRight w:val="0"/>
      <w:marTop w:val="0"/>
      <w:marBottom w:val="0"/>
      <w:divBdr>
        <w:top w:val="none" w:sz="0" w:space="0" w:color="auto"/>
        <w:left w:val="none" w:sz="0" w:space="0" w:color="auto"/>
        <w:bottom w:val="none" w:sz="0" w:space="0" w:color="auto"/>
        <w:right w:val="none" w:sz="0" w:space="0" w:color="auto"/>
      </w:divBdr>
    </w:div>
    <w:div w:id="740299321">
      <w:bodyDiv w:val="1"/>
      <w:marLeft w:val="0"/>
      <w:marRight w:val="0"/>
      <w:marTop w:val="0"/>
      <w:marBottom w:val="0"/>
      <w:divBdr>
        <w:top w:val="none" w:sz="0" w:space="0" w:color="auto"/>
        <w:left w:val="none" w:sz="0" w:space="0" w:color="auto"/>
        <w:bottom w:val="none" w:sz="0" w:space="0" w:color="auto"/>
        <w:right w:val="none" w:sz="0" w:space="0" w:color="auto"/>
      </w:divBdr>
    </w:div>
    <w:div w:id="740370278">
      <w:bodyDiv w:val="1"/>
      <w:marLeft w:val="0"/>
      <w:marRight w:val="0"/>
      <w:marTop w:val="0"/>
      <w:marBottom w:val="0"/>
      <w:divBdr>
        <w:top w:val="none" w:sz="0" w:space="0" w:color="auto"/>
        <w:left w:val="none" w:sz="0" w:space="0" w:color="auto"/>
        <w:bottom w:val="none" w:sz="0" w:space="0" w:color="auto"/>
        <w:right w:val="none" w:sz="0" w:space="0" w:color="auto"/>
      </w:divBdr>
    </w:div>
    <w:div w:id="740445523">
      <w:bodyDiv w:val="1"/>
      <w:marLeft w:val="0"/>
      <w:marRight w:val="0"/>
      <w:marTop w:val="0"/>
      <w:marBottom w:val="0"/>
      <w:divBdr>
        <w:top w:val="none" w:sz="0" w:space="0" w:color="auto"/>
        <w:left w:val="none" w:sz="0" w:space="0" w:color="auto"/>
        <w:bottom w:val="none" w:sz="0" w:space="0" w:color="auto"/>
        <w:right w:val="none" w:sz="0" w:space="0" w:color="auto"/>
      </w:divBdr>
    </w:div>
    <w:div w:id="740635536">
      <w:bodyDiv w:val="1"/>
      <w:marLeft w:val="0"/>
      <w:marRight w:val="0"/>
      <w:marTop w:val="0"/>
      <w:marBottom w:val="0"/>
      <w:divBdr>
        <w:top w:val="none" w:sz="0" w:space="0" w:color="auto"/>
        <w:left w:val="none" w:sz="0" w:space="0" w:color="auto"/>
        <w:bottom w:val="none" w:sz="0" w:space="0" w:color="auto"/>
        <w:right w:val="none" w:sz="0" w:space="0" w:color="auto"/>
      </w:divBdr>
    </w:div>
    <w:div w:id="740712126">
      <w:bodyDiv w:val="1"/>
      <w:marLeft w:val="0"/>
      <w:marRight w:val="0"/>
      <w:marTop w:val="0"/>
      <w:marBottom w:val="0"/>
      <w:divBdr>
        <w:top w:val="none" w:sz="0" w:space="0" w:color="auto"/>
        <w:left w:val="none" w:sz="0" w:space="0" w:color="auto"/>
        <w:bottom w:val="none" w:sz="0" w:space="0" w:color="auto"/>
        <w:right w:val="none" w:sz="0" w:space="0" w:color="auto"/>
      </w:divBdr>
    </w:div>
    <w:div w:id="740756018">
      <w:bodyDiv w:val="1"/>
      <w:marLeft w:val="0"/>
      <w:marRight w:val="0"/>
      <w:marTop w:val="0"/>
      <w:marBottom w:val="0"/>
      <w:divBdr>
        <w:top w:val="none" w:sz="0" w:space="0" w:color="auto"/>
        <w:left w:val="none" w:sz="0" w:space="0" w:color="auto"/>
        <w:bottom w:val="none" w:sz="0" w:space="0" w:color="auto"/>
        <w:right w:val="none" w:sz="0" w:space="0" w:color="auto"/>
      </w:divBdr>
    </w:div>
    <w:div w:id="740760574">
      <w:bodyDiv w:val="1"/>
      <w:marLeft w:val="0"/>
      <w:marRight w:val="0"/>
      <w:marTop w:val="0"/>
      <w:marBottom w:val="0"/>
      <w:divBdr>
        <w:top w:val="none" w:sz="0" w:space="0" w:color="auto"/>
        <w:left w:val="none" w:sz="0" w:space="0" w:color="auto"/>
        <w:bottom w:val="none" w:sz="0" w:space="0" w:color="auto"/>
        <w:right w:val="none" w:sz="0" w:space="0" w:color="auto"/>
      </w:divBdr>
    </w:div>
    <w:div w:id="740910425">
      <w:bodyDiv w:val="1"/>
      <w:marLeft w:val="0"/>
      <w:marRight w:val="0"/>
      <w:marTop w:val="0"/>
      <w:marBottom w:val="0"/>
      <w:divBdr>
        <w:top w:val="none" w:sz="0" w:space="0" w:color="auto"/>
        <w:left w:val="none" w:sz="0" w:space="0" w:color="auto"/>
        <w:bottom w:val="none" w:sz="0" w:space="0" w:color="auto"/>
        <w:right w:val="none" w:sz="0" w:space="0" w:color="auto"/>
      </w:divBdr>
    </w:div>
    <w:div w:id="740982350">
      <w:bodyDiv w:val="1"/>
      <w:marLeft w:val="0"/>
      <w:marRight w:val="0"/>
      <w:marTop w:val="0"/>
      <w:marBottom w:val="0"/>
      <w:divBdr>
        <w:top w:val="none" w:sz="0" w:space="0" w:color="auto"/>
        <w:left w:val="none" w:sz="0" w:space="0" w:color="auto"/>
        <w:bottom w:val="none" w:sz="0" w:space="0" w:color="auto"/>
        <w:right w:val="none" w:sz="0" w:space="0" w:color="auto"/>
      </w:divBdr>
    </w:div>
    <w:div w:id="741101484">
      <w:bodyDiv w:val="1"/>
      <w:marLeft w:val="0"/>
      <w:marRight w:val="0"/>
      <w:marTop w:val="0"/>
      <w:marBottom w:val="0"/>
      <w:divBdr>
        <w:top w:val="none" w:sz="0" w:space="0" w:color="auto"/>
        <w:left w:val="none" w:sz="0" w:space="0" w:color="auto"/>
        <w:bottom w:val="none" w:sz="0" w:space="0" w:color="auto"/>
        <w:right w:val="none" w:sz="0" w:space="0" w:color="auto"/>
      </w:divBdr>
    </w:div>
    <w:div w:id="741174515">
      <w:bodyDiv w:val="1"/>
      <w:marLeft w:val="0"/>
      <w:marRight w:val="0"/>
      <w:marTop w:val="0"/>
      <w:marBottom w:val="0"/>
      <w:divBdr>
        <w:top w:val="none" w:sz="0" w:space="0" w:color="auto"/>
        <w:left w:val="none" w:sz="0" w:space="0" w:color="auto"/>
        <w:bottom w:val="none" w:sz="0" w:space="0" w:color="auto"/>
        <w:right w:val="none" w:sz="0" w:space="0" w:color="auto"/>
      </w:divBdr>
    </w:div>
    <w:div w:id="741175532">
      <w:bodyDiv w:val="1"/>
      <w:marLeft w:val="0"/>
      <w:marRight w:val="0"/>
      <w:marTop w:val="0"/>
      <w:marBottom w:val="0"/>
      <w:divBdr>
        <w:top w:val="none" w:sz="0" w:space="0" w:color="auto"/>
        <w:left w:val="none" w:sz="0" w:space="0" w:color="auto"/>
        <w:bottom w:val="none" w:sz="0" w:space="0" w:color="auto"/>
        <w:right w:val="none" w:sz="0" w:space="0" w:color="auto"/>
      </w:divBdr>
    </w:div>
    <w:div w:id="741178174">
      <w:bodyDiv w:val="1"/>
      <w:marLeft w:val="0"/>
      <w:marRight w:val="0"/>
      <w:marTop w:val="0"/>
      <w:marBottom w:val="0"/>
      <w:divBdr>
        <w:top w:val="none" w:sz="0" w:space="0" w:color="auto"/>
        <w:left w:val="none" w:sz="0" w:space="0" w:color="auto"/>
        <w:bottom w:val="none" w:sz="0" w:space="0" w:color="auto"/>
        <w:right w:val="none" w:sz="0" w:space="0" w:color="auto"/>
      </w:divBdr>
    </w:div>
    <w:div w:id="741366746">
      <w:bodyDiv w:val="1"/>
      <w:marLeft w:val="0"/>
      <w:marRight w:val="0"/>
      <w:marTop w:val="0"/>
      <w:marBottom w:val="0"/>
      <w:divBdr>
        <w:top w:val="none" w:sz="0" w:space="0" w:color="auto"/>
        <w:left w:val="none" w:sz="0" w:space="0" w:color="auto"/>
        <w:bottom w:val="none" w:sz="0" w:space="0" w:color="auto"/>
        <w:right w:val="none" w:sz="0" w:space="0" w:color="auto"/>
      </w:divBdr>
    </w:div>
    <w:div w:id="741367633">
      <w:bodyDiv w:val="1"/>
      <w:marLeft w:val="0"/>
      <w:marRight w:val="0"/>
      <w:marTop w:val="0"/>
      <w:marBottom w:val="0"/>
      <w:divBdr>
        <w:top w:val="none" w:sz="0" w:space="0" w:color="auto"/>
        <w:left w:val="none" w:sz="0" w:space="0" w:color="auto"/>
        <w:bottom w:val="none" w:sz="0" w:space="0" w:color="auto"/>
        <w:right w:val="none" w:sz="0" w:space="0" w:color="auto"/>
      </w:divBdr>
    </w:div>
    <w:div w:id="741369062">
      <w:bodyDiv w:val="1"/>
      <w:marLeft w:val="0"/>
      <w:marRight w:val="0"/>
      <w:marTop w:val="0"/>
      <w:marBottom w:val="0"/>
      <w:divBdr>
        <w:top w:val="none" w:sz="0" w:space="0" w:color="auto"/>
        <w:left w:val="none" w:sz="0" w:space="0" w:color="auto"/>
        <w:bottom w:val="none" w:sz="0" w:space="0" w:color="auto"/>
        <w:right w:val="none" w:sz="0" w:space="0" w:color="auto"/>
      </w:divBdr>
    </w:div>
    <w:div w:id="741412496">
      <w:bodyDiv w:val="1"/>
      <w:marLeft w:val="0"/>
      <w:marRight w:val="0"/>
      <w:marTop w:val="0"/>
      <w:marBottom w:val="0"/>
      <w:divBdr>
        <w:top w:val="none" w:sz="0" w:space="0" w:color="auto"/>
        <w:left w:val="none" w:sz="0" w:space="0" w:color="auto"/>
        <w:bottom w:val="none" w:sz="0" w:space="0" w:color="auto"/>
        <w:right w:val="none" w:sz="0" w:space="0" w:color="auto"/>
      </w:divBdr>
    </w:div>
    <w:div w:id="741483575">
      <w:bodyDiv w:val="1"/>
      <w:marLeft w:val="0"/>
      <w:marRight w:val="0"/>
      <w:marTop w:val="0"/>
      <w:marBottom w:val="0"/>
      <w:divBdr>
        <w:top w:val="none" w:sz="0" w:space="0" w:color="auto"/>
        <w:left w:val="none" w:sz="0" w:space="0" w:color="auto"/>
        <w:bottom w:val="none" w:sz="0" w:space="0" w:color="auto"/>
        <w:right w:val="none" w:sz="0" w:space="0" w:color="auto"/>
      </w:divBdr>
    </w:div>
    <w:div w:id="741560763">
      <w:bodyDiv w:val="1"/>
      <w:marLeft w:val="0"/>
      <w:marRight w:val="0"/>
      <w:marTop w:val="0"/>
      <w:marBottom w:val="0"/>
      <w:divBdr>
        <w:top w:val="none" w:sz="0" w:space="0" w:color="auto"/>
        <w:left w:val="none" w:sz="0" w:space="0" w:color="auto"/>
        <w:bottom w:val="none" w:sz="0" w:space="0" w:color="auto"/>
        <w:right w:val="none" w:sz="0" w:space="0" w:color="auto"/>
      </w:divBdr>
    </w:div>
    <w:div w:id="741560777">
      <w:bodyDiv w:val="1"/>
      <w:marLeft w:val="0"/>
      <w:marRight w:val="0"/>
      <w:marTop w:val="0"/>
      <w:marBottom w:val="0"/>
      <w:divBdr>
        <w:top w:val="none" w:sz="0" w:space="0" w:color="auto"/>
        <w:left w:val="none" w:sz="0" w:space="0" w:color="auto"/>
        <w:bottom w:val="none" w:sz="0" w:space="0" w:color="auto"/>
        <w:right w:val="none" w:sz="0" w:space="0" w:color="auto"/>
      </w:divBdr>
    </w:div>
    <w:div w:id="741566199">
      <w:bodyDiv w:val="1"/>
      <w:marLeft w:val="0"/>
      <w:marRight w:val="0"/>
      <w:marTop w:val="0"/>
      <w:marBottom w:val="0"/>
      <w:divBdr>
        <w:top w:val="none" w:sz="0" w:space="0" w:color="auto"/>
        <w:left w:val="none" w:sz="0" w:space="0" w:color="auto"/>
        <w:bottom w:val="none" w:sz="0" w:space="0" w:color="auto"/>
        <w:right w:val="none" w:sz="0" w:space="0" w:color="auto"/>
      </w:divBdr>
    </w:div>
    <w:div w:id="741754691">
      <w:bodyDiv w:val="1"/>
      <w:marLeft w:val="0"/>
      <w:marRight w:val="0"/>
      <w:marTop w:val="0"/>
      <w:marBottom w:val="0"/>
      <w:divBdr>
        <w:top w:val="none" w:sz="0" w:space="0" w:color="auto"/>
        <w:left w:val="none" w:sz="0" w:space="0" w:color="auto"/>
        <w:bottom w:val="none" w:sz="0" w:space="0" w:color="auto"/>
        <w:right w:val="none" w:sz="0" w:space="0" w:color="auto"/>
      </w:divBdr>
    </w:div>
    <w:div w:id="741877116">
      <w:bodyDiv w:val="1"/>
      <w:marLeft w:val="0"/>
      <w:marRight w:val="0"/>
      <w:marTop w:val="0"/>
      <w:marBottom w:val="0"/>
      <w:divBdr>
        <w:top w:val="none" w:sz="0" w:space="0" w:color="auto"/>
        <w:left w:val="none" w:sz="0" w:space="0" w:color="auto"/>
        <w:bottom w:val="none" w:sz="0" w:space="0" w:color="auto"/>
        <w:right w:val="none" w:sz="0" w:space="0" w:color="auto"/>
      </w:divBdr>
    </w:div>
    <w:div w:id="741951987">
      <w:bodyDiv w:val="1"/>
      <w:marLeft w:val="0"/>
      <w:marRight w:val="0"/>
      <w:marTop w:val="0"/>
      <w:marBottom w:val="0"/>
      <w:divBdr>
        <w:top w:val="none" w:sz="0" w:space="0" w:color="auto"/>
        <w:left w:val="none" w:sz="0" w:space="0" w:color="auto"/>
        <w:bottom w:val="none" w:sz="0" w:space="0" w:color="auto"/>
        <w:right w:val="none" w:sz="0" w:space="0" w:color="auto"/>
      </w:divBdr>
    </w:div>
    <w:div w:id="741953449">
      <w:bodyDiv w:val="1"/>
      <w:marLeft w:val="0"/>
      <w:marRight w:val="0"/>
      <w:marTop w:val="0"/>
      <w:marBottom w:val="0"/>
      <w:divBdr>
        <w:top w:val="none" w:sz="0" w:space="0" w:color="auto"/>
        <w:left w:val="none" w:sz="0" w:space="0" w:color="auto"/>
        <w:bottom w:val="none" w:sz="0" w:space="0" w:color="auto"/>
        <w:right w:val="none" w:sz="0" w:space="0" w:color="auto"/>
      </w:divBdr>
    </w:div>
    <w:div w:id="742144201">
      <w:bodyDiv w:val="1"/>
      <w:marLeft w:val="0"/>
      <w:marRight w:val="0"/>
      <w:marTop w:val="0"/>
      <w:marBottom w:val="0"/>
      <w:divBdr>
        <w:top w:val="none" w:sz="0" w:space="0" w:color="auto"/>
        <w:left w:val="none" w:sz="0" w:space="0" w:color="auto"/>
        <w:bottom w:val="none" w:sz="0" w:space="0" w:color="auto"/>
        <w:right w:val="none" w:sz="0" w:space="0" w:color="auto"/>
      </w:divBdr>
    </w:div>
    <w:div w:id="742261163">
      <w:bodyDiv w:val="1"/>
      <w:marLeft w:val="0"/>
      <w:marRight w:val="0"/>
      <w:marTop w:val="0"/>
      <w:marBottom w:val="0"/>
      <w:divBdr>
        <w:top w:val="none" w:sz="0" w:space="0" w:color="auto"/>
        <w:left w:val="none" w:sz="0" w:space="0" w:color="auto"/>
        <w:bottom w:val="none" w:sz="0" w:space="0" w:color="auto"/>
        <w:right w:val="none" w:sz="0" w:space="0" w:color="auto"/>
      </w:divBdr>
    </w:div>
    <w:div w:id="742413593">
      <w:bodyDiv w:val="1"/>
      <w:marLeft w:val="0"/>
      <w:marRight w:val="0"/>
      <w:marTop w:val="0"/>
      <w:marBottom w:val="0"/>
      <w:divBdr>
        <w:top w:val="none" w:sz="0" w:space="0" w:color="auto"/>
        <w:left w:val="none" w:sz="0" w:space="0" w:color="auto"/>
        <w:bottom w:val="none" w:sz="0" w:space="0" w:color="auto"/>
        <w:right w:val="none" w:sz="0" w:space="0" w:color="auto"/>
      </w:divBdr>
    </w:div>
    <w:div w:id="742529193">
      <w:bodyDiv w:val="1"/>
      <w:marLeft w:val="0"/>
      <w:marRight w:val="0"/>
      <w:marTop w:val="0"/>
      <w:marBottom w:val="0"/>
      <w:divBdr>
        <w:top w:val="none" w:sz="0" w:space="0" w:color="auto"/>
        <w:left w:val="none" w:sz="0" w:space="0" w:color="auto"/>
        <w:bottom w:val="none" w:sz="0" w:space="0" w:color="auto"/>
        <w:right w:val="none" w:sz="0" w:space="0" w:color="auto"/>
      </w:divBdr>
    </w:div>
    <w:div w:id="742534288">
      <w:bodyDiv w:val="1"/>
      <w:marLeft w:val="0"/>
      <w:marRight w:val="0"/>
      <w:marTop w:val="0"/>
      <w:marBottom w:val="0"/>
      <w:divBdr>
        <w:top w:val="none" w:sz="0" w:space="0" w:color="auto"/>
        <w:left w:val="none" w:sz="0" w:space="0" w:color="auto"/>
        <w:bottom w:val="none" w:sz="0" w:space="0" w:color="auto"/>
        <w:right w:val="none" w:sz="0" w:space="0" w:color="auto"/>
      </w:divBdr>
    </w:div>
    <w:div w:id="742604149">
      <w:bodyDiv w:val="1"/>
      <w:marLeft w:val="0"/>
      <w:marRight w:val="0"/>
      <w:marTop w:val="0"/>
      <w:marBottom w:val="0"/>
      <w:divBdr>
        <w:top w:val="none" w:sz="0" w:space="0" w:color="auto"/>
        <w:left w:val="none" w:sz="0" w:space="0" w:color="auto"/>
        <w:bottom w:val="none" w:sz="0" w:space="0" w:color="auto"/>
        <w:right w:val="none" w:sz="0" w:space="0" w:color="auto"/>
      </w:divBdr>
    </w:div>
    <w:div w:id="742680568">
      <w:bodyDiv w:val="1"/>
      <w:marLeft w:val="0"/>
      <w:marRight w:val="0"/>
      <w:marTop w:val="0"/>
      <w:marBottom w:val="0"/>
      <w:divBdr>
        <w:top w:val="none" w:sz="0" w:space="0" w:color="auto"/>
        <w:left w:val="none" w:sz="0" w:space="0" w:color="auto"/>
        <w:bottom w:val="none" w:sz="0" w:space="0" w:color="auto"/>
        <w:right w:val="none" w:sz="0" w:space="0" w:color="auto"/>
      </w:divBdr>
    </w:div>
    <w:div w:id="742721000">
      <w:bodyDiv w:val="1"/>
      <w:marLeft w:val="0"/>
      <w:marRight w:val="0"/>
      <w:marTop w:val="0"/>
      <w:marBottom w:val="0"/>
      <w:divBdr>
        <w:top w:val="none" w:sz="0" w:space="0" w:color="auto"/>
        <w:left w:val="none" w:sz="0" w:space="0" w:color="auto"/>
        <w:bottom w:val="none" w:sz="0" w:space="0" w:color="auto"/>
        <w:right w:val="none" w:sz="0" w:space="0" w:color="auto"/>
      </w:divBdr>
    </w:div>
    <w:div w:id="742725184">
      <w:bodyDiv w:val="1"/>
      <w:marLeft w:val="0"/>
      <w:marRight w:val="0"/>
      <w:marTop w:val="0"/>
      <w:marBottom w:val="0"/>
      <w:divBdr>
        <w:top w:val="none" w:sz="0" w:space="0" w:color="auto"/>
        <w:left w:val="none" w:sz="0" w:space="0" w:color="auto"/>
        <w:bottom w:val="none" w:sz="0" w:space="0" w:color="auto"/>
        <w:right w:val="none" w:sz="0" w:space="0" w:color="auto"/>
      </w:divBdr>
    </w:div>
    <w:div w:id="742797972">
      <w:bodyDiv w:val="1"/>
      <w:marLeft w:val="0"/>
      <w:marRight w:val="0"/>
      <w:marTop w:val="0"/>
      <w:marBottom w:val="0"/>
      <w:divBdr>
        <w:top w:val="none" w:sz="0" w:space="0" w:color="auto"/>
        <w:left w:val="none" w:sz="0" w:space="0" w:color="auto"/>
        <w:bottom w:val="none" w:sz="0" w:space="0" w:color="auto"/>
        <w:right w:val="none" w:sz="0" w:space="0" w:color="auto"/>
      </w:divBdr>
    </w:div>
    <w:div w:id="742916953">
      <w:bodyDiv w:val="1"/>
      <w:marLeft w:val="0"/>
      <w:marRight w:val="0"/>
      <w:marTop w:val="0"/>
      <w:marBottom w:val="0"/>
      <w:divBdr>
        <w:top w:val="none" w:sz="0" w:space="0" w:color="auto"/>
        <w:left w:val="none" w:sz="0" w:space="0" w:color="auto"/>
        <w:bottom w:val="none" w:sz="0" w:space="0" w:color="auto"/>
        <w:right w:val="none" w:sz="0" w:space="0" w:color="auto"/>
      </w:divBdr>
    </w:div>
    <w:div w:id="742994205">
      <w:bodyDiv w:val="1"/>
      <w:marLeft w:val="0"/>
      <w:marRight w:val="0"/>
      <w:marTop w:val="0"/>
      <w:marBottom w:val="0"/>
      <w:divBdr>
        <w:top w:val="none" w:sz="0" w:space="0" w:color="auto"/>
        <w:left w:val="none" w:sz="0" w:space="0" w:color="auto"/>
        <w:bottom w:val="none" w:sz="0" w:space="0" w:color="auto"/>
        <w:right w:val="none" w:sz="0" w:space="0" w:color="auto"/>
      </w:divBdr>
    </w:div>
    <w:div w:id="743069019">
      <w:bodyDiv w:val="1"/>
      <w:marLeft w:val="0"/>
      <w:marRight w:val="0"/>
      <w:marTop w:val="0"/>
      <w:marBottom w:val="0"/>
      <w:divBdr>
        <w:top w:val="none" w:sz="0" w:space="0" w:color="auto"/>
        <w:left w:val="none" w:sz="0" w:space="0" w:color="auto"/>
        <w:bottom w:val="none" w:sz="0" w:space="0" w:color="auto"/>
        <w:right w:val="none" w:sz="0" w:space="0" w:color="auto"/>
      </w:divBdr>
    </w:div>
    <w:div w:id="743071371">
      <w:bodyDiv w:val="1"/>
      <w:marLeft w:val="0"/>
      <w:marRight w:val="0"/>
      <w:marTop w:val="0"/>
      <w:marBottom w:val="0"/>
      <w:divBdr>
        <w:top w:val="none" w:sz="0" w:space="0" w:color="auto"/>
        <w:left w:val="none" w:sz="0" w:space="0" w:color="auto"/>
        <w:bottom w:val="none" w:sz="0" w:space="0" w:color="auto"/>
        <w:right w:val="none" w:sz="0" w:space="0" w:color="auto"/>
      </w:divBdr>
    </w:div>
    <w:div w:id="743113139">
      <w:bodyDiv w:val="1"/>
      <w:marLeft w:val="0"/>
      <w:marRight w:val="0"/>
      <w:marTop w:val="0"/>
      <w:marBottom w:val="0"/>
      <w:divBdr>
        <w:top w:val="none" w:sz="0" w:space="0" w:color="auto"/>
        <w:left w:val="none" w:sz="0" w:space="0" w:color="auto"/>
        <w:bottom w:val="none" w:sz="0" w:space="0" w:color="auto"/>
        <w:right w:val="none" w:sz="0" w:space="0" w:color="auto"/>
      </w:divBdr>
    </w:div>
    <w:div w:id="743137897">
      <w:bodyDiv w:val="1"/>
      <w:marLeft w:val="0"/>
      <w:marRight w:val="0"/>
      <w:marTop w:val="0"/>
      <w:marBottom w:val="0"/>
      <w:divBdr>
        <w:top w:val="none" w:sz="0" w:space="0" w:color="auto"/>
        <w:left w:val="none" w:sz="0" w:space="0" w:color="auto"/>
        <w:bottom w:val="none" w:sz="0" w:space="0" w:color="auto"/>
        <w:right w:val="none" w:sz="0" w:space="0" w:color="auto"/>
      </w:divBdr>
    </w:div>
    <w:div w:id="743382060">
      <w:bodyDiv w:val="1"/>
      <w:marLeft w:val="0"/>
      <w:marRight w:val="0"/>
      <w:marTop w:val="0"/>
      <w:marBottom w:val="0"/>
      <w:divBdr>
        <w:top w:val="none" w:sz="0" w:space="0" w:color="auto"/>
        <w:left w:val="none" w:sz="0" w:space="0" w:color="auto"/>
        <w:bottom w:val="none" w:sz="0" w:space="0" w:color="auto"/>
        <w:right w:val="none" w:sz="0" w:space="0" w:color="auto"/>
      </w:divBdr>
    </w:div>
    <w:div w:id="743458492">
      <w:bodyDiv w:val="1"/>
      <w:marLeft w:val="0"/>
      <w:marRight w:val="0"/>
      <w:marTop w:val="0"/>
      <w:marBottom w:val="0"/>
      <w:divBdr>
        <w:top w:val="none" w:sz="0" w:space="0" w:color="auto"/>
        <w:left w:val="none" w:sz="0" w:space="0" w:color="auto"/>
        <w:bottom w:val="none" w:sz="0" w:space="0" w:color="auto"/>
        <w:right w:val="none" w:sz="0" w:space="0" w:color="auto"/>
      </w:divBdr>
    </w:div>
    <w:div w:id="743531350">
      <w:bodyDiv w:val="1"/>
      <w:marLeft w:val="0"/>
      <w:marRight w:val="0"/>
      <w:marTop w:val="0"/>
      <w:marBottom w:val="0"/>
      <w:divBdr>
        <w:top w:val="none" w:sz="0" w:space="0" w:color="auto"/>
        <w:left w:val="none" w:sz="0" w:space="0" w:color="auto"/>
        <w:bottom w:val="none" w:sz="0" w:space="0" w:color="auto"/>
        <w:right w:val="none" w:sz="0" w:space="0" w:color="auto"/>
      </w:divBdr>
    </w:div>
    <w:div w:id="743531530">
      <w:bodyDiv w:val="1"/>
      <w:marLeft w:val="0"/>
      <w:marRight w:val="0"/>
      <w:marTop w:val="0"/>
      <w:marBottom w:val="0"/>
      <w:divBdr>
        <w:top w:val="none" w:sz="0" w:space="0" w:color="auto"/>
        <w:left w:val="none" w:sz="0" w:space="0" w:color="auto"/>
        <w:bottom w:val="none" w:sz="0" w:space="0" w:color="auto"/>
        <w:right w:val="none" w:sz="0" w:space="0" w:color="auto"/>
      </w:divBdr>
    </w:div>
    <w:div w:id="743644480">
      <w:bodyDiv w:val="1"/>
      <w:marLeft w:val="0"/>
      <w:marRight w:val="0"/>
      <w:marTop w:val="0"/>
      <w:marBottom w:val="0"/>
      <w:divBdr>
        <w:top w:val="none" w:sz="0" w:space="0" w:color="auto"/>
        <w:left w:val="none" w:sz="0" w:space="0" w:color="auto"/>
        <w:bottom w:val="none" w:sz="0" w:space="0" w:color="auto"/>
        <w:right w:val="none" w:sz="0" w:space="0" w:color="auto"/>
      </w:divBdr>
    </w:div>
    <w:div w:id="743645467">
      <w:bodyDiv w:val="1"/>
      <w:marLeft w:val="0"/>
      <w:marRight w:val="0"/>
      <w:marTop w:val="0"/>
      <w:marBottom w:val="0"/>
      <w:divBdr>
        <w:top w:val="none" w:sz="0" w:space="0" w:color="auto"/>
        <w:left w:val="none" w:sz="0" w:space="0" w:color="auto"/>
        <w:bottom w:val="none" w:sz="0" w:space="0" w:color="auto"/>
        <w:right w:val="none" w:sz="0" w:space="0" w:color="auto"/>
      </w:divBdr>
    </w:div>
    <w:div w:id="743727377">
      <w:bodyDiv w:val="1"/>
      <w:marLeft w:val="0"/>
      <w:marRight w:val="0"/>
      <w:marTop w:val="0"/>
      <w:marBottom w:val="0"/>
      <w:divBdr>
        <w:top w:val="none" w:sz="0" w:space="0" w:color="auto"/>
        <w:left w:val="none" w:sz="0" w:space="0" w:color="auto"/>
        <w:bottom w:val="none" w:sz="0" w:space="0" w:color="auto"/>
        <w:right w:val="none" w:sz="0" w:space="0" w:color="auto"/>
      </w:divBdr>
    </w:div>
    <w:div w:id="743796090">
      <w:bodyDiv w:val="1"/>
      <w:marLeft w:val="0"/>
      <w:marRight w:val="0"/>
      <w:marTop w:val="0"/>
      <w:marBottom w:val="0"/>
      <w:divBdr>
        <w:top w:val="none" w:sz="0" w:space="0" w:color="auto"/>
        <w:left w:val="none" w:sz="0" w:space="0" w:color="auto"/>
        <w:bottom w:val="none" w:sz="0" w:space="0" w:color="auto"/>
        <w:right w:val="none" w:sz="0" w:space="0" w:color="auto"/>
      </w:divBdr>
    </w:div>
    <w:div w:id="743839592">
      <w:bodyDiv w:val="1"/>
      <w:marLeft w:val="0"/>
      <w:marRight w:val="0"/>
      <w:marTop w:val="0"/>
      <w:marBottom w:val="0"/>
      <w:divBdr>
        <w:top w:val="none" w:sz="0" w:space="0" w:color="auto"/>
        <w:left w:val="none" w:sz="0" w:space="0" w:color="auto"/>
        <w:bottom w:val="none" w:sz="0" w:space="0" w:color="auto"/>
        <w:right w:val="none" w:sz="0" w:space="0" w:color="auto"/>
      </w:divBdr>
    </w:div>
    <w:div w:id="743842842">
      <w:bodyDiv w:val="1"/>
      <w:marLeft w:val="0"/>
      <w:marRight w:val="0"/>
      <w:marTop w:val="0"/>
      <w:marBottom w:val="0"/>
      <w:divBdr>
        <w:top w:val="none" w:sz="0" w:space="0" w:color="auto"/>
        <w:left w:val="none" w:sz="0" w:space="0" w:color="auto"/>
        <w:bottom w:val="none" w:sz="0" w:space="0" w:color="auto"/>
        <w:right w:val="none" w:sz="0" w:space="0" w:color="auto"/>
      </w:divBdr>
    </w:div>
    <w:div w:id="743913707">
      <w:bodyDiv w:val="1"/>
      <w:marLeft w:val="0"/>
      <w:marRight w:val="0"/>
      <w:marTop w:val="0"/>
      <w:marBottom w:val="0"/>
      <w:divBdr>
        <w:top w:val="none" w:sz="0" w:space="0" w:color="auto"/>
        <w:left w:val="none" w:sz="0" w:space="0" w:color="auto"/>
        <w:bottom w:val="none" w:sz="0" w:space="0" w:color="auto"/>
        <w:right w:val="none" w:sz="0" w:space="0" w:color="auto"/>
      </w:divBdr>
    </w:div>
    <w:div w:id="744033767">
      <w:bodyDiv w:val="1"/>
      <w:marLeft w:val="0"/>
      <w:marRight w:val="0"/>
      <w:marTop w:val="0"/>
      <w:marBottom w:val="0"/>
      <w:divBdr>
        <w:top w:val="none" w:sz="0" w:space="0" w:color="auto"/>
        <w:left w:val="none" w:sz="0" w:space="0" w:color="auto"/>
        <w:bottom w:val="none" w:sz="0" w:space="0" w:color="auto"/>
        <w:right w:val="none" w:sz="0" w:space="0" w:color="auto"/>
      </w:divBdr>
    </w:div>
    <w:div w:id="744061616">
      <w:bodyDiv w:val="1"/>
      <w:marLeft w:val="0"/>
      <w:marRight w:val="0"/>
      <w:marTop w:val="0"/>
      <w:marBottom w:val="0"/>
      <w:divBdr>
        <w:top w:val="none" w:sz="0" w:space="0" w:color="auto"/>
        <w:left w:val="none" w:sz="0" w:space="0" w:color="auto"/>
        <w:bottom w:val="none" w:sz="0" w:space="0" w:color="auto"/>
        <w:right w:val="none" w:sz="0" w:space="0" w:color="auto"/>
      </w:divBdr>
    </w:div>
    <w:div w:id="744300471">
      <w:bodyDiv w:val="1"/>
      <w:marLeft w:val="0"/>
      <w:marRight w:val="0"/>
      <w:marTop w:val="0"/>
      <w:marBottom w:val="0"/>
      <w:divBdr>
        <w:top w:val="none" w:sz="0" w:space="0" w:color="auto"/>
        <w:left w:val="none" w:sz="0" w:space="0" w:color="auto"/>
        <w:bottom w:val="none" w:sz="0" w:space="0" w:color="auto"/>
        <w:right w:val="none" w:sz="0" w:space="0" w:color="auto"/>
      </w:divBdr>
    </w:div>
    <w:div w:id="744372907">
      <w:bodyDiv w:val="1"/>
      <w:marLeft w:val="0"/>
      <w:marRight w:val="0"/>
      <w:marTop w:val="0"/>
      <w:marBottom w:val="0"/>
      <w:divBdr>
        <w:top w:val="none" w:sz="0" w:space="0" w:color="auto"/>
        <w:left w:val="none" w:sz="0" w:space="0" w:color="auto"/>
        <w:bottom w:val="none" w:sz="0" w:space="0" w:color="auto"/>
        <w:right w:val="none" w:sz="0" w:space="0" w:color="auto"/>
      </w:divBdr>
    </w:div>
    <w:div w:id="744451877">
      <w:bodyDiv w:val="1"/>
      <w:marLeft w:val="0"/>
      <w:marRight w:val="0"/>
      <w:marTop w:val="0"/>
      <w:marBottom w:val="0"/>
      <w:divBdr>
        <w:top w:val="none" w:sz="0" w:space="0" w:color="auto"/>
        <w:left w:val="none" w:sz="0" w:space="0" w:color="auto"/>
        <w:bottom w:val="none" w:sz="0" w:space="0" w:color="auto"/>
        <w:right w:val="none" w:sz="0" w:space="0" w:color="auto"/>
      </w:divBdr>
    </w:div>
    <w:div w:id="744571513">
      <w:bodyDiv w:val="1"/>
      <w:marLeft w:val="0"/>
      <w:marRight w:val="0"/>
      <w:marTop w:val="0"/>
      <w:marBottom w:val="0"/>
      <w:divBdr>
        <w:top w:val="none" w:sz="0" w:space="0" w:color="auto"/>
        <w:left w:val="none" w:sz="0" w:space="0" w:color="auto"/>
        <w:bottom w:val="none" w:sz="0" w:space="0" w:color="auto"/>
        <w:right w:val="none" w:sz="0" w:space="0" w:color="auto"/>
      </w:divBdr>
    </w:div>
    <w:div w:id="744642002">
      <w:bodyDiv w:val="1"/>
      <w:marLeft w:val="0"/>
      <w:marRight w:val="0"/>
      <w:marTop w:val="0"/>
      <w:marBottom w:val="0"/>
      <w:divBdr>
        <w:top w:val="none" w:sz="0" w:space="0" w:color="auto"/>
        <w:left w:val="none" w:sz="0" w:space="0" w:color="auto"/>
        <w:bottom w:val="none" w:sz="0" w:space="0" w:color="auto"/>
        <w:right w:val="none" w:sz="0" w:space="0" w:color="auto"/>
      </w:divBdr>
    </w:div>
    <w:div w:id="744692528">
      <w:bodyDiv w:val="1"/>
      <w:marLeft w:val="0"/>
      <w:marRight w:val="0"/>
      <w:marTop w:val="0"/>
      <w:marBottom w:val="0"/>
      <w:divBdr>
        <w:top w:val="none" w:sz="0" w:space="0" w:color="auto"/>
        <w:left w:val="none" w:sz="0" w:space="0" w:color="auto"/>
        <w:bottom w:val="none" w:sz="0" w:space="0" w:color="auto"/>
        <w:right w:val="none" w:sz="0" w:space="0" w:color="auto"/>
      </w:divBdr>
    </w:div>
    <w:div w:id="744766639">
      <w:bodyDiv w:val="1"/>
      <w:marLeft w:val="0"/>
      <w:marRight w:val="0"/>
      <w:marTop w:val="0"/>
      <w:marBottom w:val="0"/>
      <w:divBdr>
        <w:top w:val="none" w:sz="0" w:space="0" w:color="auto"/>
        <w:left w:val="none" w:sz="0" w:space="0" w:color="auto"/>
        <w:bottom w:val="none" w:sz="0" w:space="0" w:color="auto"/>
        <w:right w:val="none" w:sz="0" w:space="0" w:color="auto"/>
      </w:divBdr>
    </w:div>
    <w:div w:id="744957245">
      <w:bodyDiv w:val="1"/>
      <w:marLeft w:val="0"/>
      <w:marRight w:val="0"/>
      <w:marTop w:val="0"/>
      <w:marBottom w:val="0"/>
      <w:divBdr>
        <w:top w:val="none" w:sz="0" w:space="0" w:color="auto"/>
        <w:left w:val="none" w:sz="0" w:space="0" w:color="auto"/>
        <w:bottom w:val="none" w:sz="0" w:space="0" w:color="auto"/>
        <w:right w:val="none" w:sz="0" w:space="0" w:color="auto"/>
      </w:divBdr>
    </w:div>
    <w:div w:id="745037126">
      <w:bodyDiv w:val="1"/>
      <w:marLeft w:val="0"/>
      <w:marRight w:val="0"/>
      <w:marTop w:val="0"/>
      <w:marBottom w:val="0"/>
      <w:divBdr>
        <w:top w:val="none" w:sz="0" w:space="0" w:color="auto"/>
        <w:left w:val="none" w:sz="0" w:space="0" w:color="auto"/>
        <w:bottom w:val="none" w:sz="0" w:space="0" w:color="auto"/>
        <w:right w:val="none" w:sz="0" w:space="0" w:color="auto"/>
      </w:divBdr>
    </w:div>
    <w:div w:id="745106709">
      <w:bodyDiv w:val="1"/>
      <w:marLeft w:val="0"/>
      <w:marRight w:val="0"/>
      <w:marTop w:val="0"/>
      <w:marBottom w:val="0"/>
      <w:divBdr>
        <w:top w:val="none" w:sz="0" w:space="0" w:color="auto"/>
        <w:left w:val="none" w:sz="0" w:space="0" w:color="auto"/>
        <w:bottom w:val="none" w:sz="0" w:space="0" w:color="auto"/>
        <w:right w:val="none" w:sz="0" w:space="0" w:color="auto"/>
      </w:divBdr>
    </w:div>
    <w:div w:id="745418667">
      <w:bodyDiv w:val="1"/>
      <w:marLeft w:val="0"/>
      <w:marRight w:val="0"/>
      <w:marTop w:val="0"/>
      <w:marBottom w:val="0"/>
      <w:divBdr>
        <w:top w:val="none" w:sz="0" w:space="0" w:color="auto"/>
        <w:left w:val="none" w:sz="0" w:space="0" w:color="auto"/>
        <w:bottom w:val="none" w:sz="0" w:space="0" w:color="auto"/>
        <w:right w:val="none" w:sz="0" w:space="0" w:color="auto"/>
      </w:divBdr>
    </w:div>
    <w:div w:id="745539059">
      <w:bodyDiv w:val="1"/>
      <w:marLeft w:val="0"/>
      <w:marRight w:val="0"/>
      <w:marTop w:val="0"/>
      <w:marBottom w:val="0"/>
      <w:divBdr>
        <w:top w:val="none" w:sz="0" w:space="0" w:color="auto"/>
        <w:left w:val="none" w:sz="0" w:space="0" w:color="auto"/>
        <w:bottom w:val="none" w:sz="0" w:space="0" w:color="auto"/>
        <w:right w:val="none" w:sz="0" w:space="0" w:color="auto"/>
      </w:divBdr>
    </w:div>
    <w:div w:id="745539288">
      <w:bodyDiv w:val="1"/>
      <w:marLeft w:val="0"/>
      <w:marRight w:val="0"/>
      <w:marTop w:val="0"/>
      <w:marBottom w:val="0"/>
      <w:divBdr>
        <w:top w:val="none" w:sz="0" w:space="0" w:color="auto"/>
        <w:left w:val="none" w:sz="0" w:space="0" w:color="auto"/>
        <w:bottom w:val="none" w:sz="0" w:space="0" w:color="auto"/>
        <w:right w:val="none" w:sz="0" w:space="0" w:color="auto"/>
      </w:divBdr>
    </w:div>
    <w:div w:id="745803876">
      <w:bodyDiv w:val="1"/>
      <w:marLeft w:val="0"/>
      <w:marRight w:val="0"/>
      <w:marTop w:val="0"/>
      <w:marBottom w:val="0"/>
      <w:divBdr>
        <w:top w:val="none" w:sz="0" w:space="0" w:color="auto"/>
        <w:left w:val="none" w:sz="0" w:space="0" w:color="auto"/>
        <w:bottom w:val="none" w:sz="0" w:space="0" w:color="auto"/>
        <w:right w:val="none" w:sz="0" w:space="0" w:color="auto"/>
      </w:divBdr>
    </w:div>
    <w:div w:id="745957008">
      <w:bodyDiv w:val="1"/>
      <w:marLeft w:val="0"/>
      <w:marRight w:val="0"/>
      <w:marTop w:val="0"/>
      <w:marBottom w:val="0"/>
      <w:divBdr>
        <w:top w:val="none" w:sz="0" w:space="0" w:color="auto"/>
        <w:left w:val="none" w:sz="0" w:space="0" w:color="auto"/>
        <w:bottom w:val="none" w:sz="0" w:space="0" w:color="auto"/>
        <w:right w:val="none" w:sz="0" w:space="0" w:color="auto"/>
      </w:divBdr>
    </w:div>
    <w:div w:id="746070884">
      <w:bodyDiv w:val="1"/>
      <w:marLeft w:val="0"/>
      <w:marRight w:val="0"/>
      <w:marTop w:val="0"/>
      <w:marBottom w:val="0"/>
      <w:divBdr>
        <w:top w:val="none" w:sz="0" w:space="0" w:color="auto"/>
        <w:left w:val="none" w:sz="0" w:space="0" w:color="auto"/>
        <w:bottom w:val="none" w:sz="0" w:space="0" w:color="auto"/>
        <w:right w:val="none" w:sz="0" w:space="0" w:color="auto"/>
      </w:divBdr>
    </w:div>
    <w:div w:id="746264606">
      <w:bodyDiv w:val="1"/>
      <w:marLeft w:val="0"/>
      <w:marRight w:val="0"/>
      <w:marTop w:val="0"/>
      <w:marBottom w:val="0"/>
      <w:divBdr>
        <w:top w:val="none" w:sz="0" w:space="0" w:color="auto"/>
        <w:left w:val="none" w:sz="0" w:space="0" w:color="auto"/>
        <w:bottom w:val="none" w:sz="0" w:space="0" w:color="auto"/>
        <w:right w:val="none" w:sz="0" w:space="0" w:color="auto"/>
      </w:divBdr>
    </w:div>
    <w:div w:id="746270839">
      <w:bodyDiv w:val="1"/>
      <w:marLeft w:val="0"/>
      <w:marRight w:val="0"/>
      <w:marTop w:val="0"/>
      <w:marBottom w:val="0"/>
      <w:divBdr>
        <w:top w:val="none" w:sz="0" w:space="0" w:color="auto"/>
        <w:left w:val="none" w:sz="0" w:space="0" w:color="auto"/>
        <w:bottom w:val="none" w:sz="0" w:space="0" w:color="auto"/>
        <w:right w:val="none" w:sz="0" w:space="0" w:color="auto"/>
      </w:divBdr>
    </w:div>
    <w:div w:id="746272555">
      <w:bodyDiv w:val="1"/>
      <w:marLeft w:val="0"/>
      <w:marRight w:val="0"/>
      <w:marTop w:val="0"/>
      <w:marBottom w:val="0"/>
      <w:divBdr>
        <w:top w:val="none" w:sz="0" w:space="0" w:color="auto"/>
        <w:left w:val="none" w:sz="0" w:space="0" w:color="auto"/>
        <w:bottom w:val="none" w:sz="0" w:space="0" w:color="auto"/>
        <w:right w:val="none" w:sz="0" w:space="0" w:color="auto"/>
      </w:divBdr>
    </w:div>
    <w:div w:id="746417649">
      <w:bodyDiv w:val="1"/>
      <w:marLeft w:val="0"/>
      <w:marRight w:val="0"/>
      <w:marTop w:val="0"/>
      <w:marBottom w:val="0"/>
      <w:divBdr>
        <w:top w:val="none" w:sz="0" w:space="0" w:color="auto"/>
        <w:left w:val="none" w:sz="0" w:space="0" w:color="auto"/>
        <w:bottom w:val="none" w:sz="0" w:space="0" w:color="auto"/>
        <w:right w:val="none" w:sz="0" w:space="0" w:color="auto"/>
      </w:divBdr>
    </w:div>
    <w:div w:id="746533437">
      <w:bodyDiv w:val="1"/>
      <w:marLeft w:val="0"/>
      <w:marRight w:val="0"/>
      <w:marTop w:val="0"/>
      <w:marBottom w:val="0"/>
      <w:divBdr>
        <w:top w:val="none" w:sz="0" w:space="0" w:color="auto"/>
        <w:left w:val="none" w:sz="0" w:space="0" w:color="auto"/>
        <w:bottom w:val="none" w:sz="0" w:space="0" w:color="auto"/>
        <w:right w:val="none" w:sz="0" w:space="0" w:color="auto"/>
      </w:divBdr>
    </w:div>
    <w:div w:id="746653832">
      <w:bodyDiv w:val="1"/>
      <w:marLeft w:val="0"/>
      <w:marRight w:val="0"/>
      <w:marTop w:val="0"/>
      <w:marBottom w:val="0"/>
      <w:divBdr>
        <w:top w:val="none" w:sz="0" w:space="0" w:color="auto"/>
        <w:left w:val="none" w:sz="0" w:space="0" w:color="auto"/>
        <w:bottom w:val="none" w:sz="0" w:space="0" w:color="auto"/>
        <w:right w:val="none" w:sz="0" w:space="0" w:color="auto"/>
      </w:divBdr>
    </w:div>
    <w:div w:id="746807386">
      <w:bodyDiv w:val="1"/>
      <w:marLeft w:val="0"/>
      <w:marRight w:val="0"/>
      <w:marTop w:val="0"/>
      <w:marBottom w:val="0"/>
      <w:divBdr>
        <w:top w:val="none" w:sz="0" w:space="0" w:color="auto"/>
        <w:left w:val="none" w:sz="0" w:space="0" w:color="auto"/>
        <w:bottom w:val="none" w:sz="0" w:space="0" w:color="auto"/>
        <w:right w:val="none" w:sz="0" w:space="0" w:color="auto"/>
      </w:divBdr>
    </w:div>
    <w:div w:id="746920543">
      <w:bodyDiv w:val="1"/>
      <w:marLeft w:val="0"/>
      <w:marRight w:val="0"/>
      <w:marTop w:val="0"/>
      <w:marBottom w:val="0"/>
      <w:divBdr>
        <w:top w:val="none" w:sz="0" w:space="0" w:color="auto"/>
        <w:left w:val="none" w:sz="0" w:space="0" w:color="auto"/>
        <w:bottom w:val="none" w:sz="0" w:space="0" w:color="auto"/>
        <w:right w:val="none" w:sz="0" w:space="0" w:color="auto"/>
      </w:divBdr>
    </w:div>
    <w:div w:id="746922624">
      <w:bodyDiv w:val="1"/>
      <w:marLeft w:val="0"/>
      <w:marRight w:val="0"/>
      <w:marTop w:val="0"/>
      <w:marBottom w:val="0"/>
      <w:divBdr>
        <w:top w:val="none" w:sz="0" w:space="0" w:color="auto"/>
        <w:left w:val="none" w:sz="0" w:space="0" w:color="auto"/>
        <w:bottom w:val="none" w:sz="0" w:space="0" w:color="auto"/>
        <w:right w:val="none" w:sz="0" w:space="0" w:color="auto"/>
      </w:divBdr>
    </w:div>
    <w:div w:id="746925678">
      <w:bodyDiv w:val="1"/>
      <w:marLeft w:val="0"/>
      <w:marRight w:val="0"/>
      <w:marTop w:val="0"/>
      <w:marBottom w:val="0"/>
      <w:divBdr>
        <w:top w:val="none" w:sz="0" w:space="0" w:color="auto"/>
        <w:left w:val="none" w:sz="0" w:space="0" w:color="auto"/>
        <w:bottom w:val="none" w:sz="0" w:space="0" w:color="auto"/>
        <w:right w:val="none" w:sz="0" w:space="0" w:color="auto"/>
      </w:divBdr>
    </w:div>
    <w:div w:id="747196622">
      <w:bodyDiv w:val="1"/>
      <w:marLeft w:val="0"/>
      <w:marRight w:val="0"/>
      <w:marTop w:val="0"/>
      <w:marBottom w:val="0"/>
      <w:divBdr>
        <w:top w:val="none" w:sz="0" w:space="0" w:color="auto"/>
        <w:left w:val="none" w:sz="0" w:space="0" w:color="auto"/>
        <w:bottom w:val="none" w:sz="0" w:space="0" w:color="auto"/>
        <w:right w:val="none" w:sz="0" w:space="0" w:color="auto"/>
      </w:divBdr>
    </w:div>
    <w:div w:id="747196946">
      <w:bodyDiv w:val="1"/>
      <w:marLeft w:val="0"/>
      <w:marRight w:val="0"/>
      <w:marTop w:val="0"/>
      <w:marBottom w:val="0"/>
      <w:divBdr>
        <w:top w:val="none" w:sz="0" w:space="0" w:color="auto"/>
        <w:left w:val="none" w:sz="0" w:space="0" w:color="auto"/>
        <w:bottom w:val="none" w:sz="0" w:space="0" w:color="auto"/>
        <w:right w:val="none" w:sz="0" w:space="0" w:color="auto"/>
      </w:divBdr>
    </w:div>
    <w:div w:id="747270613">
      <w:bodyDiv w:val="1"/>
      <w:marLeft w:val="0"/>
      <w:marRight w:val="0"/>
      <w:marTop w:val="0"/>
      <w:marBottom w:val="0"/>
      <w:divBdr>
        <w:top w:val="none" w:sz="0" w:space="0" w:color="auto"/>
        <w:left w:val="none" w:sz="0" w:space="0" w:color="auto"/>
        <w:bottom w:val="none" w:sz="0" w:space="0" w:color="auto"/>
        <w:right w:val="none" w:sz="0" w:space="0" w:color="auto"/>
      </w:divBdr>
    </w:div>
    <w:div w:id="747459344">
      <w:bodyDiv w:val="1"/>
      <w:marLeft w:val="0"/>
      <w:marRight w:val="0"/>
      <w:marTop w:val="0"/>
      <w:marBottom w:val="0"/>
      <w:divBdr>
        <w:top w:val="none" w:sz="0" w:space="0" w:color="auto"/>
        <w:left w:val="none" w:sz="0" w:space="0" w:color="auto"/>
        <w:bottom w:val="none" w:sz="0" w:space="0" w:color="auto"/>
        <w:right w:val="none" w:sz="0" w:space="0" w:color="auto"/>
      </w:divBdr>
    </w:div>
    <w:div w:id="747464169">
      <w:bodyDiv w:val="1"/>
      <w:marLeft w:val="0"/>
      <w:marRight w:val="0"/>
      <w:marTop w:val="0"/>
      <w:marBottom w:val="0"/>
      <w:divBdr>
        <w:top w:val="none" w:sz="0" w:space="0" w:color="auto"/>
        <w:left w:val="none" w:sz="0" w:space="0" w:color="auto"/>
        <w:bottom w:val="none" w:sz="0" w:space="0" w:color="auto"/>
        <w:right w:val="none" w:sz="0" w:space="0" w:color="auto"/>
      </w:divBdr>
    </w:div>
    <w:div w:id="747769626">
      <w:bodyDiv w:val="1"/>
      <w:marLeft w:val="0"/>
      <w:marRight w:val="0"/>
      <w:marTop w:val="0"/>
      <w:marBottom w:val="0"/>
      <w:divBdr>
        <w:top w:val="none" w:sz="0" w:space="0" w:color="auto"/>
        <w:left w:val="none" w:sz="0" w:space="0" w:color="auto"/>
        <w:bottom w:val="none" w:sz="0" w:space="0" w:color="auto"/>
        <w:right w:val="none" w:sz="0" w:space="0" w:color="auto"/>
      </w:divBdr>
    </w:div>
    <w:div w:id="747967837">
      <w:bodyDiv w:val="1"/>
      <w:marLeft w:val="0"/>
      <w:marRight w:val="0"/>
      <w:marTop w:val="0"/>
      <w:marBottom w:val="0"/>
      <w:divBdr>
        <w:top w:val="none" w:sz="0" w:space="0" w:color="auto"/>
        <w:left w:val="none" w:sz="0" w:space="0" w:color="auto"/>
        <w:bottom w:val="none" w:sz="0" w:space="0" w:color="auto"/>
        <w:right w:val="none" w:sz="0" w:space="0" w:color="auto"/>
      </w:divBdr>
    </w:div>
    <w:div w:id="748040607">
      <w:bodyDiv w:val="1"/>
      <w:marLeft w:val="0"/>
      <w:marRight w:val="0"/>
      <w:marTop w:val="0"/>
      <w:marBottom w:val="0"/>
      <w:divBdr>
        <w:top w:val="none" w:sz="0" w:space="0" w:color="auto"/>
        <w:left w:val="none" w:sz="0" w:space="0" w:color="auto"/>
        <w:bottom w:val="none" w:sz="0" w:space="0" w:color="auto"/>
        <w:right w:val="none" w:sz="0" w:space="0" w:color="auto"/>
      </w:divBdr>
    </w:div>
    <w:div w:id="748116748">
      <w:bodyDiv w:val="1"/>
      <w:marLeft w:val="0"/>
      <w:marRight w:val="0"/>
      <w:marTop w:val="0"/>
      <w:marBottom w:val="0"/>
      <w:divBdr>
        <w:top w:val="none" w:sz="0" w:space="0" w:color="auto"/>
        <w:left w:val="none" w:sz="0" w:space="0" w:color="auto"/>
        <w:bottom w:val="none" w:sz="0" w:space="0" w:color="auto"/>
        <w:right w:val="none" w:sz="0" w:space="0" w:color="auto"/>
      </w:divBdr>
    </w:div>
    <w:div w:id="748312014">
      <w:bodyDiv w:val="1"/>
      <w:marLeft w:val="0"/>
      <w:marRight w:val="0"/>
      <w:marTop w:val="0"/>
      <w:marBottom w:val="0"/>
      <w:divBdr>
        <w:top w:val="none" w:sz="0" w:space="0" w:color="auto"/>
        <w:left w:val="none" w:sz="0" w:space="0" w:color="auto"/>
        <w:bottom w:val="none" w:sz="0" w:space="0" w:color="auto"/>
        <w:right w:val="none" w:sz="0" w:space="0" w:color="auto"/>
      </w:divBdr>
    </w:div>
    <w:div w:id="748380868">
      <w:bodyDiv w:val="1"/>
      <w:marLeft w:val="0"/>
      <w:marRight w:val="0"/>
      <w:marTop w:val="0"/>
      <w:marBottom w:val="0"/>
      <w:divBdr>
        <w:top w:val="none" w:sz="0" w:space="0" w:color="auto"/>
        <w:left w:val="none" w:sz="0" w:space="0" w:color="auto"/>
        <w:bottom w:val="none" w:sz="0" w:space="0" w:color="auto"/>
        <w:right w:val="none" w:sz="0" w:space="0" w:color="auto"/>
      </w:divBdr>
    </w:div>
    <w:div w:id="748382688">
      <w:bodyDiv w:val="1"/>
      <w:marLeft w:val="0"/>
      <w:marRight w:val="0"/>
      <w:marTop w:val="0"/>
      <w:marBottom w:val="0"/>
      <w:divBdr>
        <w:top w:val="none" w:sz="0" w:space="0" w:color="auto"/>
        <w:left w:val="none" w:sz="0" w:space="0" w:color="auto"/>
        <w:bottom w:val="none" w:sz="0" w:space="0" w:color="auto"/>
        <w:right w:val="none" w:sz="0" w:space="0" w:color="auto"/>
      </w:divBdr>
    </w:div>
    <w:div w:id="748383016">
      <w:bodyDiv w:val="1"/>
      <w:marLeft w:val="0"/>
      <w:marRight w:val="0"/>
      <w:marTop w:val="0"/>
      <w:marBottom w:val="0"/>
      <w:divBdr>
        <w:top w:val="none" w:sz="0" w:space="0" w:color="auto"/>
        <w:left w:val="none" w:sz="0" w:space="0" w:color="auto"/>
        <w:bottom w:val="none" w:sz="0" w:space="0" w:color="auto"/>
        <w:right w:val="none" w:sz="0" w:space="0" w:color="auto"/>
      </w:divBdr>
    </w:div>
    <w:div w:id="748426398">
      <w:bodyDiv w:val="1"/>
      <w:marLeft w:val="0"/>
      <w:marRight w:val="0"/>
      <w:marTop w:val="0"/>
      <w:marBottom w:val="0"/>
      <w:divBdr>
        <w:top w:val="none" w:sz="0" w:space="0" w:color="auto"/>
        <w:left w:val="none" w:sz="0" w:space="0" w:color="auto"/>
        <w:bottom w:val="none" w:sz="0" w:space="0" w:color="auto"/>
        <w:right w:val="none" w:sz="0" w:space="0" w:color="auto"/>
      </w:divBdr>
    </w:div>
    <w:div w:id="748427260">
      <w:bodyDiv w:val="1"/>
      <w:marLeft w:val="0"/>
      <w:marRight w:val="0"/>
      <w:marTop w:val="0"/>
      <w:marBottom w:val="0"/>
      <w:divBdr>
        <w:top w:val="none" w:sz="0" w:space="0" w:color="auto"/>
        <w:left w:val="none" w:sz="0" w:space="0" w:color="auto"/>
        <w:bottom w:val="none" w:sz="0" w:space="0" w:color="auto"/>
        <w:right w:val="none" w:sz="0" w:space="0" w:color="auto"/>
      </w:divBdr>
    </w:div>
    <w:div w:id="748582577">
      <w:bodyDiv w:val="1"/>
      <w:marLeft w:val="0"/>
      <w:marRight w:val="0"/>
      <w:marTop w:val="0"/>
      <w:marBottom w:val="0"/>
      <w:divBdr>
        <w:top w:val="none" w:sz="0" w:space="0" w:color="auto"/>
        <w:left w:val="none" w:sz="0" w:space="0" w:color="auto"/>
        <w:bottom w:val="none" w:sz="0" w:space="0" w:color="auto"/>
        <w:right w:val="none" w:sz="0" w:space="0" w:color="auto"/>
      </w:divBdr>
    </w:div>
    <w:div w:id="748698629">
      <w:bodyDiv w:val="1"/>
      <w:marLeft w:val="0"/>
      <w:marRight w:val="0"/>
      <w:marTop w:val="0"/>
      <w:marBottom w:val="0"/>
      <w:divBdr>
        <w:top w:val="none" w:sz="0" w:space="0" w:color="auto"/>
        <w:left w:val="none" w:sz="0" w:space="0" w:color="auto"/>
        <w:bottom w:val="none" w:sz="0" w:space="0" w:color="auto"/>
        <w:right w:val="none" w:sz="0" w:space="0" w:color="auto"/>
      </w:divBdr>
    </w:div>
    <w:div w:id="748843633">
      <w:bodyDiv w:val="1"/>
      <w:marLeft w:val="0"/>
      <w:marRight w:val="0"/>
      <w:marTop w:val="0"/>
      <w:marBottom w:val="0"/>
      <w:divBdr>
        <w:top w:val="none" w:sz="0" w:space="0" w:color="auto"/>
        <w:left w:val="none" w:sz="0" w:space="0" w:color="auto"/>
        <w:bottom w:val="none" w:sz="0" w:space="0" w:color="auto"/>
        <w:right w:val="none" w:sz="0" w:space="0" w:color="auto"/>
      </w:divBdr>
    </w:div>
    <w:div w:id="748960433">
      <w:bodyDiv w:val="1"/>
      <w:marLeft w:val="0"/>
      <w:marRight w:val="0"/>
      <w:marTop w:val="0"/>
      <w:marBottom w:val="0"/>
      <w:divBdr>
        <w:top w:val="none" w:sz="0" w:space="0" w:color="auto"/>
        <w:left w:val="none" w:sz="0" w:space="0" w:color="auto"/>
        <w:bottom w:val="none" w:sz="0" w:space="0" w:color="auto"/>
        <w:right w:val="none" w:sz="0" w:space="0" w:color="auto"/>
      </w:divBdr>
    </w:div>
    <w:div w:id="749079149">
      <w:bodyDiv w:val="1"/>
      <w:marLeft w:val="0"/>
      <w:marRight w:val="0"/>
      <w:marTop w:val="0"/>
      <w:marBottom w:val="0"/>
      <w:divBdr>
        <w:top w:val="none" w:sz="0" w:space="0" w:color="auto"/>
        <w:left w:val="none" w:sz="0" w:space="0" w:color="auto"/>
        <w:bottom w:val="none" w:sz="0" w:space="0" w:color="auto"/>
        <w:right w:val="none" w:sz="0" w:space="0" w:color="auto"/>
      </w:divBdr>
    </w:div>
    <w:div w:id="749161197">
      <w:bodyDiv w:val="1"/>
      <w:marLeft w:val="0"/>
      <w:marRight w:val="0"/>
      <w:marTop w:val="0"/>
      <w:marBottom w:val="0"/>
      <w:divBdr>
        <w:top w:val="none" w:sz="0" w:space="0" w:color="auto"/>
        <w:left w:val="none" w:sz="0" w:space="0" w:color="auto"/>
        <w:bottom w:val="none" w:sz="0" w:space="0" w:color="auto"/>
        <w:right w:val="none" w:sz="0" w:space="0" w:color="auto"/>
      </w:divBdr>
    </w:div>
    <w:div w:id="749277873">
      <w:bodyDiv w:val="1"/>
      <w:marLeft w:val="0"/>
      <w:marRight w:val="0"/>
      <w:marTop w:val="0"/>
      <w:marBottom w:val="0"/>
      <w:divBdr>
        <w:top w:val="none" w:sz="0" w:space="0" w:color="auto"/>
        <w:left w:val="none" w:sz="0" w:space="0" w:color="auto"/>
        <w:bottom w:val="none" w:sz="0" w:space="0" w:color="auto"/>
        <w:right w:val="none" w:sz="0" w:space="0" w:color="auto"/>
      </w:divBdr>
    </w:div>
    <w:div w:id="749347724">
      <w:bodyDiv w:val="1"/>
      <w:marLeft w:val="0"/>
      <w:marRight w:val="0"/>
      <w:marTop w:val="0"/>
      <w:marBottom w:val="0"/>
      <w:divBdr>
        <w:top w:val="none" w:sz="0" w:space="0" w:color="auto"/>
        <w:left w:val="none" w:sz="0" w:space="0" w:color="auto"/>
        <w:bottom w:val="none" w:sz="0" w:space="0" w:color="auto"/>
        <w:right w:val="none" w:sz="0" w:space="0" w:color="auto"/>
      </w:divBdr>
    </w:div>
    <w:div w:id="749348061">
      <w:bodyDiv w:val="1"/>
      <w:marLeft w:val="0"/>
      <w:marRight w:val="0"/>
      <w:marTop w:val="0"/>
      <w:marBottom w:val="0"/>
      <w:divBdr>
        <w:top w:val="none" w:sz="0" w:space="0" w:color="auto"/>
        <w:left w:val="none" w:sz="0" w:space="0" w:color="auto"/>
        <w:bottom w:val="none" w:sz="0" w:space="0" w:color="auto"/>
        <w:right w:val="none" w:sz="0" w:space="0" w:color="auto"/>
      </w:divBdr>
    </w:div>
    <w:div w:id="749501293">
      <w:bodyDiv w:val="1"/>
      <w:marLeft w:val="0"/>
      <w:marRight w:val="0"/>
      <w:marTop w:val="0"/>
      <w:marBottom w:val="0"/>
      <w:divBdr>
        <w:top w:val="none" w:sz="0" w:space="0" w:color="auto"/>
        <w:left w:val="none" w:sz="0" w:space="0" w:color="auto"/>
        <w:bottom w:val="none" w:sz="0" w:space="0" w:color="auto"/>
        <w:right w:val="none" w:sz="0" w:space="0" w:color="auto"/>
      </w:divBdr>
    </w:div>
    <w:div w:id="749618575">
      <w:bodyDiv w:val="1"/>
      <w:marLeft w:val="0"/>
      <w:marRight w:val="0"/>
      <w:marTop w:val="0"/>
      <w:marBottom w:val="0"/>
      <w:divBdr>
        <w:top w:val="none" w:sz="0" w:space="0" w:color="auto"/>
        <w:left w:val="none" w:sz="0" w:space="0" w:color="auto"/>
        <w:bottom w:val="none" w:sz="0" w:space="0" w:color="auto"/>
        <w:right w:val="none" w:sz="0" w:space="0" w:color="auto"/>
      </w:divBdr>
    </w:div>
    <w:div w:id="749740910">
      <w:bodyDiv w:val="1"/>
      <w:marLeft w:val="0"/>
      <w:marRight w:val="0"/>
      <w:marTop w:val="0"/>
      <w:marBottom w:val="0"/>
      <w:divBdr>
        <w:top w:val="none" w:sz="0" w:space="0" w:color="auto"/>
        <w:left w:val="none" w:sz="0" w:space="0" w:color="auto"/>
        <w:bottom w:val="none" w:sz="0" w:space="0" w:color="auto"/>
        <w:right w:val="none" w:sz="0" w:space="0" w:color="auto"/>
      </w:divBdr>
    </w:div>
    <w:div w:id="749742663">
      <w:bodyDiv w:val="1"/>
      <w:marLeft w:val="0"/>
      <w:marRight w:val="0"/>
      <w:marTop w:val="0"/>
      <w:marBottom w:val="0"/>
      <w:divBdr>
        <w:top w:val="none" w:sz="0" w:space="0" w:color="auto"/>
        <w:left w:val="none" w:sz="0" w:space="0" w:color="auto"/>
        <w:bottom w:val="none" w:sz="0" w:space="0" w:color="auto"/>
        <w:right w:val="none" w:sz="0" w:space="0" w:color="auto"/>
      </w:divBdr>
    </w:div>
    <w:div w:id="749813354">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005199">
      <w:bodyDiv w:val="1"/>
      <w:marLeft w:val="0"/>
      <w:marRight w:val="0"/>
      <w:marTop w:val="0"/>
      <w:marBottom w:val="0"/>
      <w:divBdr>
        <w:top w:val="none" w:sz="0" w:space="0" w:color="auto"/>
        <w:left w:val="none" w:sz="0" w:space="0" w:color="auto"/>
        <w:bottom w:val="none" w:sz="0" w:space="0" w:color="auto"/>
        <w:right w:val="none" w:sz="0" w:space="0" w:color="auto"/>
      </w:divBdr>
    </w:div>
    <w:div w:id="750006331">
      <w:bodyDiv w:val="1"/>
      <w:marLeft w:val="0"/>
      <w:marRight w:val="0"/>
      <w:marTop w:val="0"/>
      <w:marBottom w:val="0"/>
      <w:divBdr>
        <w:top w:val="none" w:sz="0" w:space="0" w:color="auto"/>
        <w:left w:val="none" w:sz="0" w:space="0" w:color="auto"/>
        <w:bottom w:val="none" w:sz="0" w:space="0" w:color="auto"/>
        <w:right w:val="none" w:sz="0" w:space="0" w:color="auto"/>
      </w:divBdr>
    </w:div>
    <w:div w:id="750077848">
      <w:bodyDiv w:val="1"/>
      <w:marLeft w:val="0"/>
      <w:marRight w:val="0"/>
      <w:marTop w:val="0"/>
      <w:marBottom w:val="0"/>
      <w:divBdr>
        <w:top w:val="none" w:sz="0" w:space="0" w:color="auto"/>
        <w:left w:val="none" w:sz="0" w:space="0" w:color="auto"/>
        <w:bottom w:val="none" w:sz="0" w:space="0" w:color="auto"/>
        <w:right w:val="none" w:sz="0" w:space="0" w:color="auto"/>
      </w:divBdr>
    </w:div>
    <w:div w:id="750082552">
      <w:bodyDiv w:val="1"/>
      <w:marLeft w:val="0"/>
      <w:marRight w:val="0"/>
      <w:marTop w:val="0"/>
      <w:marBottom w:val="0"/>
      <w:divBdr>
        <w:top w:val="none" w:sz="0" w:space="0" w:color="auto"/>
        <w:left w:val="none" w:sz="0" w:space="0" w:color="auto"/>
        <w:bottom w:val="none" w:sz="0" w:space="0" w:color="auto"/>
        <w:right w:val="none" w:sz="0" w:space="0" w:color="auto"/>
      </w:divBdr>
    </w:div>
    <w:div w:id="750126244">
      <w:bodyDiv w:val="1"/>
      <w:marLeft w:val="0"/>
      <w:marRight w:val="0"/>
      <w:marTop w:val="0"/>
      <w:marBottom w:val="0"/>
      <w:divBdr>
        <w:top w:val="none" w:sz="0" w:space="0" w:color="auto"/>
        <w:left w:val="none" w:sz="0" w:space="0" w:color="auto"/>
        <w:bottom w:val="none" w:sz="0" w:space="0" w:color="auto"/>
        <w:right w:val="none" w:sz="0" w:space="0" w:color="auto"/>
      </w:divBdr>
    </w:div>
    <w:div w:id="750346219">
      <w:bodyDiv w:val="1"/>
      <w:marLeft w:val="0"/>
      <w:marRight w:val="0"/>
      <w:marTop w:val="0"/>
      <w:marBottom w:val="0"/>
      <w:divBdr>
        <w:top w:val="none" w:sz="0" w:space="0" w:color="auto"/>
        <w:left w:val="none" w:sz="0" w:space="0" w:color="auto"/>
        <w:bottom w:val="none" w:sz="0" w:space="0" w:color="auto"/>
        <w:right w:val="none" w:sz="0" w:space="0" w:color="auto"/>
      </w:divBdr>
    </w:div>
    <w:div w:id="750539463">
      <w:bodyDiv w:val="1"/>
      <w:marLeft w:val="0"/>
      <w:marRight w:val="0"/>
      <w:marTop w:val="0"/>
      <w:marBottom w:val="0"/>
      <w:divBdr>
        <w:top w:val="none" w:sz="0" w:space="0" w:color="auto"/>
        <w:left w:val="none" w:sz="0" w:space="0" w:color="auto"/>
        <w:bottom w:val="none" w:sz="0" w:space="0" w:color="auto"/>
        <w:right w:val="none" w:sz="0" w:space="0" w:color="auto"/>
      </w:divBdr>
    </w:div>
    <w:div w:id="750663739">
      <w:bodyDiv w:val="1"/>
      <w:marLeft w:val="0"/>
      <w:marRight w:val="0"/>
      <w:marTop w:val="0"/>
      <w:marBottom w:val="0"/>
      <w:divBdr>
        <w:top w:val="none" w:sz="0" w:space="0" w:color="auto"/>
        <w:left w:val="none" w:sz="0" w:space="0" w:color="auto"/>
        <w:bottom w:val="none" w:sz="0" w:space="0" w:color="auto"/>
        <w:right w:val="none" w:sz="0" w:space="0" w:color="auto"/>
      </w:divBdr>
    </w:div>
    <w:div w:id="750733632">
      <w:bodyDiv w:val="1"/>
      <w:marLeft w:val="0"/>
      <w:marRight w:val="0"/>
      <w:marTop w:val="0"/>
      <w:marBottom w:val="0"/>
      <w:divBdr>
        <w:top w:val="none" w:sz="0" w:space="0" w:color="auto"/>
        <w:left w:val="none" w:sz="0" w:space="0" w:color="auto"/>
        <w:bottom w:val="none" w:sz="0" w:space="0" w:color="auto"/>
        <w:right w:val="none" w:sz="0" w:space="0" w:color="auto"/>
      </w:divBdr>
    </w:div>
    <w:div w:id="750739912">
      <w:bodyDiv w:val="1"/>
      <w:marLeft w:val="0"/>
      <w:marRight w:val="0"/>
      <w:marTop w:val="0"/>
      <w:marBottom w:val="0"/>
      <w:divBdr>
        <w:top w:val="none" w:sz="0" w:space="0" w:color="auto"/>
        <w:left w:val="none" w:sz="0" w:space="0" w:color="auto"/>
        <w:bottom w:val="none" w:sz="0" w:space="0" w:color="auto"/>
        <w:right w:val="none" w:sz="0" w:space="0" w:color="auto"/>
      </w:divBdr>
    </w:div>
    <w:div w:id="750780694">
      <w:bodyDiv w:val="1"/>
      <w:marLeft w:val="0"/>
      <w:marRight w:val="0"/>
      <w:marTop w:val="0"/>
      <w:marBottom w:val="0"/>
      <w:divBdr>
        <w:top w:val="none" w:sz="0" w:space="0" w:color="auto"/>
        <w:left w:val="none" w:sz="0" w:space="0" w:color="auto"/>
        <w:bottom w:val="none" w:sz="0" w:space="0" w:color="auto"/>
        <w:right w:val="none" w:sz="0" w:space="0" w:color="auto"/>
      </w:divBdr>
    </w:div>
    <w:div w:id="750808811">
      <w:bodyDiv w:val="1"/>
      <w:marLeft w:val="0"/>
      <w:marRight w:val="0"/>
      <w:marTop w:val="0"/>
      <w:marBottom w:val="0"/>
      <w:divBdr>
        <w:top w:val="none" w:sz="0" w:space="0" w:color="auto"/>
        <w:left w:val="none" w:sz="0" w:space="0" w:color="auto"/>
        <w:bottom w:val="none" w:sz="0" w:space="0" w:color="auto"/>
        <w:right w:val="none" w:sz="0" w:space="0" w:color="auto"/>
      </w:divBdr>
    </w:div>
    <w:div w:id="750857160">
      <w:bodyDiv w:val="1"/>
      <w:marLeft w:val="0"/>
      <w:marRight w:val="0"/>
      <w:marTop w:val="0"/>
      <w:marBottom w:val="0"/>
      <w:divBdr>
        <w:top w:val="none" w:sz="0" w:space="0" w:color="auto"/>
        <w:left w:val="none" w:sz="0" w:space="0" w:color="auto"/>
        <w:bottom w:val="none" w:sz="0" w:space="0" w:color="auto"/>
        <w:right w:val="none" w:sz="0" w:space="0" w:color="auto"/>
      </w:divBdr>
    </w:div>
    <w:div w:id="750925606">
      <w:bodyDiv w:val="1"/>
      <w:marLeft w:val="0"/>
      <w:marRight w:val="0"/>
      <w:marTop w:val="0"/>
      <w:marBottom w:val="0"/>
      <w:divBdr>
        <w:top w:val="none" w:sz="0" w:space="0" w:color="auto"/>
        <w:left w:val="none" w:sz="0" w:space="0" w:color="auto"/>
        <w:bottom w:val="none" w:sz="0" w:space="0" w:color="auto"/>
        <w:right w:val="none" w:sz="0" w:space="0" w:color="auto"/>
      </w:divBdr>
    </w:div>
    <w:div w:id="750929800">
      <w:bodyDiv w:val="1"/>
      <w:marLeft w:val="0"/>
      <w:marRight w:val="0"/>
      <w:marTop w:val="0"/>
      <w:marBottom w:val="0"/>
      <w:divBdr>
        <w:top w:val="none" w:sz="0" w:space="0" w:color="auto"/>
        <w:left w:val="none" w:sz="0" w:space="0" w:color="auto"/>
        <w:bottom w:val="none" w:sz="0" w:space="0" w:color="auto"/>
        <w:right w:val="none" w:sz="0" w:space="0" w:color="auto"/>
      </w:divBdr>
    </w:div>
    <w:div w:id="751044947">
      <w:bodyDiv w:val="1"/>
      <w:marLeft w:val="0"/>
      <w:marRight w:val="0"/>
      <w:marTop w:val="0"/>
      <w:marBottom w:val="0"/>
      <w:divBdr>
        <w:top w:val="none" w:sz="0" w:space="0" w:color="auto"/>
        <w:left w:val="none" w:sz="0" w:space="0" w:color="auto"/>
        <w:bottom w:val="none" w:sz="0" w:space="0" w:color="auto"/>
        <w:right w:val="none" w:sz="0" w:space="0" w:color="auto"/>
      </w:divBdr>
    </w:div>
    <w:div w:id="751124089">
      <w:bodyDiv w:val="1"/>
      <w:marLeft w:val="0"/>
      <w:marRight w:val="0"/>
      <w:marTop w:val="0"/>
      <w:marBottom w:val="0"/>
      <w:divBdr>
        <w:top w:val="none" w:sz="0" w:space="0" w:color="auto"/>
        <w:left w:val="none" w:sz="0" w:space="0" w:color="auto"/>
        <w:bottom w:val="none" w:sz="0" w:space="0" w:color="auto"/>
        <w:right w:val="none" w:sz="0" w:space="0" w:color="auto"/>
      </w:divBdr>
    </w:div>
    <w:div w:id="751202563">
      <w:bodyDiv w:val="1"/>
      <w:marLeft w:val="0"/>
      <w:marRight w:val="0"/>
      <w:marTop w:val="0"/>
      <w:marBottom w:val="0"/>
      <w:divBdr>
        <w:top w:val="none" w:sz="0" w:space="0" w:color="auto"/>
        <w:left w:val="none" w:sz="0" w:space="0" w:color="auto"/>
        <w:bottom w:val="none" w:sz="0" w:space="0" w:color="auto"/>
        <w:right w:val="none" w:sz="0" w:space="0" w:color="auto"/>
      </w:divBdr>
    </w:div>
    <w:div w:id="751241262">
      <w:bodyDiv w:val="1"/>
      <w:marLeft w:val="0"/>
      <w:marRight w:val="0"/>
      <w:marTop w:val="0"/>
      <w:marBottom w:val="0"/>
      <w:divBdr>
        <w:top w:val="none" w:sz="0" w:space="0" w:color="auto"/>
        <w:left w:val="none" w:sz="0" w:space="0" w:color="auto"/>
        <w:bottom w:val="none" w:sz="0" w:space="0" w:color="auto"/>
        <w:right w:val="none" w:sz="0" w:space="0" w:color="auto"/>
      </w:divBdr>
    </w:div>
    <w:div w:id="751314365">
      <w:bodyDiv w:val="1"/>
      <w:marLeft w:val="0"/>
      <w:marRight w:val="0"/>
      <w:marTop w:val="0"/>
      <w:marBottom w:val="0"/>
      <w:divBdr>
        <w:top w:val="none" w:sz="0" w:space="0" w:color="auto"/>
        <w:left w:val="none" w:sz="0" w:space="0" w:color="auto"/>
        <w:bottom w:val="none" w:sz="0" w:space="0" w:color="auto"/>
        <w:right w:val="none" w:sz="0" w:space="0" w:color="auto"/>
      </w:divBdr>
    </w:div>
    <w:div w:id="751319567">
      <w:bodyDiv w:val="1"/>
      <w:marLeft w:val="0"/>
      <w:marRight w:val="0"/>
      <w:marTop w:val="0"/>
      <w:marBottom w:val="0"/>
      <w:divBdr>
        <w:top w:val="none" w:sz="0" w:space="0" w:color="auto"/>
        <w:left w:val="none" w:sz="0" w:space="0" w:color="auto"/>
        <w:bottom w:val="none" w:sz="0" w:space="0" w:color="auto"/>
        <w:right w:val="none" w:sz="0" w:space="0" w:color="auto"/>
      </w:divBdr>
    </w:div>
    <w:div w:id="751395779">
      <w:bodyDiv w:val="1"/>
      <w:marLeft w:val="0"/>
      <w:marRight w:val="0"/>
      <w:marTop w:val="0"/>
      <w:marBottom w:val="0"/>
      <w:divBdr>
        <w:top w:val="none" w:sz="0" w:space="0" w:color="auto"/>
        <w:left w:val="none" w:sz="0" w:space="0" w:color="auto"/>
        <w:bottom w:val="none" w:sz="0" w:space="0" w:color="auto"/>
        <w:right w:val="none" w:sz="0" w:space="0" w:color="auto"/>
      </w:divBdr>
    </w:div>
    <w:div w:id="751437213">
      <w:bodyDiv w:val="1"/>
      <w:marLeft w:val="0"/>
      <w:marRight w:val="0"/>
      <w:marTop w:val="0"/>
      <w:marBottom w:val="0"/>
      <w:divBdr>
        <w:top w:val="none" w:sz="0" w:space="0" w:color="auto"/>
        <w:left w:val="none" w:sz="0" w:space="0" w:color="auto"/>
        <w:bottom w:val="none" w:sz="0" w:space="0" w:color="auto"/>
        <w:right w:val="none" w:sz="0" w:space="0" w:color="auto"/>
      </w:divBdr>
    </w:div>
    <w:div w:id="751588998">
      <w:bodyDiv w:val="1"/>
      <w:marLeft w:val="0"/>
      <w:marRight w:val="0"/>
      <w:marTop w:val="0"/>
      <w:marBottom w:val="0"/>
      <w:divBdr>
        <w:top w:val="none" w:sz="0" w:space="0" w:color="auto"/>
        <w:left w:val="none" w:sz="0" w:space="0" w:color="auto"/>
        <w:bottom w:val="none" w:sz="0" w:space="0" w:color="auto"/>
        <w:right w:val="none" w:sz="0" w:space="0" w:color="auto"/>
      </w:divBdr>
    </w:div>
    <w:div w:id="751701145">
      <w:bodyDiv w:val="1"/>
      <w:marLeft w:val="0"/>
      <w:marRight w:val="0"/>
      <w:marTop w:val="0"/>
      <w:marBottom w:val="0"/>
      <w:divBdr>
        <w:top w:val="none" w:sz="0" w:space="0" w:color="auto"/>
        <w:left w:val="none" w:sz="0" w:space="0" w:color="auto"/>
        <w:bottom w:val="none" w:sz="0" w:space="0" w:color="auto"/>
        <w:right w:val="none" w:sz="0" w:space="0" w:color="auto"/>
      </w:divBdr>
    </w:div>
    <w:div w:id="751702003">
      <w:bodyDiv w:val="1"/>
      <w:marLeft w:val="0"/>
      <w:marRight w:val="0"/>
      <w:marTop w:val="0"/>
      <w:marBottom w:val="0"/>
      <w:divBdr>
        <w:top w:val="none" w:sz="0" w:space="0" w:color="auto"/>
        <w:left w:val="none" w:sz="0" w:space="0" w:color="auto"/>
        <w:bottom w:val="none" w:sz="0" w:space="0" w:color="auto"/>
        <w:right w:val="none" w:sz="0" w:space="0" w:color="auto"/>
      </w:divBdr>
    </w:div>
    <w:div w:id="751776962">
      <w:bodyDiv w:val="1"/>
      <w:marLeft w:val="0"/>
      <w:marRight w:val="0"/>
      <w:marTop w:val="0"/>
      <w:marBottom w:val="0"/>
      <w:divBdr>
        <w:top w:val="none" w:sz="0" w:space="0" w:color="auto"/>
        <w:left w:val="none" w:sz="0" w:space="0" w:color="auto"/>
        <w:bottom w:val="none" w:sz="0" w:space="0" w:color="auto"/>
        <w:right w:val="none" w:sz="0" w:space="0" w:color="auto"/>
      </w:divBdr>
    </w:div>
    <w:div w:id="751778152">
      <w:bodyDiv w:val="1"/>
      <w:marLeft w:val="0"/>
      <w:marRight w:val="0"/>
      <w:marTop w:val="0"/>
      <w:marBottom w:val="0"/>
      <w:divBdr>
        <w:top w:val="none" w:sz="0" w:space="0" w:color="auto"/>
        <w:left w:val="none" w:sz="0" w:space="0" w:color="auto"/>
        <w:bottom w:val="none" w:sz="0" w:space="0" w:color="auto"/>
        <w:right w:val="none" w:sz="0" w:space="0" w:color="auto"/>
      </w:divBdr>
    </w:div>
    <w:div w:id="751780389">
      <w:bodyDiv w:val="1"/>
      <w:marLeft w:val="0"/>
      <w:marRight w:val="0"/>
      <w:marTop w:val="0"/>
      <w:marBottom w:val="0"/>
      <w:divBdr>
        <w:top w:val="none" w:sz="0" w:space="0" w:color="auto"/>
        <w:left w:val="none" w:sz="0" w:space="0" w:color="auto"/>
        <w:bottom w:val="none" w:sz="0" w:space="0" w:color="auto"/>
        <w:right w:val="none" w:sz="0" w:space="0" w:color="auto"/>
      </w:divBdr>
    </w:div>
    <w:div w:id="751853904">
      <w:bodyDiv w:val="1"/>
      <w:marLeft w:val="0"/>
      <w:marRight w:val="0"/>
      <w:marTop w:val="0"/>
      <w:marBottom w:val="0"/>
      <w:divBdr>
        <w:top w:val="none" w:sz="0" w:space="0" w:color="auto"/>
        <w:left w:val="none" w:sz="0" w:space="0" w:color="auto"/>
        <w:bottom w:val="none" w:sz="0" w:space="0" w:color="auto"/>
        <w:right w:val="none" w:sz="0" w:space="0" w:color="auto"/>
      </w:divBdr>
    </w:div>
    <w:div w:id="751857404">
      <w:bodyDiv w:val="1"/>
      <w:marLeft w:val="0"/>
      <w:marRight w:val="0"/>
      <w:marTop w:val="0"/>
      <w:marBottom w:val="0"/>
      <w:divBdr>
        <w:top w:val="none" w:sz="0" w:space="0" w:color="auto"/>
        <w:left w:val="none" w:sz="0" w:space="0" w:color="auto"/>
        <w:bottom w:val="none" w:sz="0" w:space="0" w:color="auto"/>
        <w:right w:val="none" w:sz="0" w:space="0" w:color="auto"/>
      </w:divBdr>
    </w:div>
    <w:div w:id="751858808">
      <w:bodyDiv w:val="1"/>
      <w:marLeft w:val="0"/>
      <w:marRight w:val="0"/>
      <w:marTop w:val="0"/>
      <w:marBottom w:val="0"/>
      <w:divBdr>
        <w:top w:val="none" w:sz="0" w:space="0" w:color="auto"/>
        <w:left w:val="none" w:sz="0" w:space="0" w:color="auto"/>
        <w:bottom w:val="none" w:sz="0" w:space="0" w:color="auto"/>
        <w:right w:val="none" w:sz="0" w:space="0" w:color="auto"/>
      </w:divBdr>
    </w:div>
    <w:div w:id="751975109">
      <w:bodyDiv w:val="1"/>
      <w:marLeft w:val="0"/>
      <w:marRight w:val="0"/>
      <w:marTop w:val="0"/>
      <w:marBottom w:val="0"/>
      <w:divBdr>
        <w:top w:val="none" w:sz="0" w:space="0" w:color="auto"/>
        <w:left w:val="none" w:sz="0" w:space="0" w:color="auto"/>
        <w:bottom w:val="none" w:sz="0" w:space="0" w:color="auto"/>
        <w:right w:val="none" w:sz="0" w:space="0" w:color="auto"/>
      </w:divBdr>
    </w:div>
    <w:div w:id="752094299">
      <w:bodyDiv w:val="1"/>
      <w:marLeft w:val="0"/>
      <w:marRight w:val="0"/>
      <w:marTop w:val="0"/>
      <w:marBottom w:val="0"/>
      <w:divBdr>
        <w:top w:val="none" w:sz="0" w:space="0" w:color="auto"/>
        <w:left w:val="none" w:sz="0" w:space="0" w:color="auto"/>
        <w:bottom w:val="none" w:sz="0" w:space="0" w:color="auto"/>
        <w:right w:val="none" w:sz="0" w:space="0" w:color="auto"/>
      </w:divBdr>
    </w:div>
    <w:div w:id="752162443">
      <w:bodyDiv w:val="1"/>
      <w:marLeft w:val="0"/>
      <w:marRight w:val="0"/>
      <w:marTop w:val="0"/>
      <w:marBottom w:val="0"/>
      <w:divBdr>
        <w:top w:val="none" w:sz="0" w:space="0" w:color="auto"/>
        <w:left w:val="none" w:sz="0" w:space="0" w:color="auto"/>
        <w:bottom w:val="none" w:sz="0" w:space="0" w:color="auto"/>
        <w:right w:val="none" w:sz="0" w:space="0" w:color="auto"/>
      </w:divBdr>
    </w:div>
    <w:div w:id="752245839">
      <w:bodyDiv w:val="1"/>
      <w:marLeft w:val="0"/>
      <w:marRight w:val="0"/>
      <w:marTop w:val="0"/>
      <w:marBottom w:val="0"/>
      <w:divBdr>
        <w:top w:val="none" w:sz="0" w:space="0" w:color="auto"/>
        <w:left w:val="none" w:sz="0" w:space="0" w:color="auto"/>
        <w:bottom w:val="none" w:sz="0" w:space="0" w:color="auto"/>
        <w:right w:val="none" w:sz="0" w:space="0" w:color="auto"/>
      </w:divBdr>
    </w:div>
    <w:div w:id="752320122">
      <w:bodyDiv w:val="1"/>
      <w:marLeft w:val="0"/>
      <w:marRight w:val="0"/>
      <w:marTop w:val="0"/>
      <w:marBottom w:val="0"/>
      <w:divBdr>
        <w:top w:val="none" w:sz="0" w:space="0" w:color="auto"/>
        <w:left w:val="none" w:sz="0" w:space="0" w:color="auto"/>
        <w:bottom w:val="none" w:sz="0" w:space="0" w:color="auto"/>
        <w:right w:val="none" w:sz="0" w:space="0" w:color="auto"/>
      </w:divBdr>
    </w:div>
    <w:div w:id="752581758">
      <w:bodyDiv w:val="1"/>
      <w:marLeft w:val="0"/>
      <w:marRight w:val="0"/>
      <w:marTop w:val="0"/>
      <w:marBottom w:val="0"/>
      <w:divBdr>
        <w:top w:val="none" w:sz="0" w:space="0" w:color="auto"/>
        <w:left w:val="none" w:sz="0" w:space="0" w:color="auto"/>
        <w:bottom w:val="none" w:sz="0" w:space="0" w:color="auto"/>
        <w:right w:val="none" w:sz="0" w:space="0" w:color="auto"/>
      </w:divBdr>
    </w:div>
    <w:div w:id="752582444">
      <w:bodyDiv w:val="1"/>
      <w:marLeft w:val="0"/>
      <w:marRight w:val="0"/>
      <w:marTop w:val="0"/>
      <w:marBottom w:val="0"/>
      <w:divBdr>
        <w:top w:val="none" w:sz="0" w:space="0" w:color="auto"/>
        <w:left w:val="none" w:sz="0" w:space="0" w:color="auto"/>
        <w:bottom w:val="none" w:sz="0" w:space="0" w:color="auto"/>
        <w:right w:val="none" w:sz="0" w:space="0" w:color="auto"/>
      </w:divBdr>
    </w:div>
    <w:div w:id="752893956">
      <w:bodyDiv w:val="1"/>
      <w:marLeft w:val="0"/>
      <w:marRight w:val="0"/>
      <w:marTop w:val="0"/>
      <w:marBottom w:val="0"/>
      <w:divBdr>
        <w:top w:val="none" w:sz="0" w:space="0" w:color="auto"/>
        <w:left w:val="none" w:sz="0" w:space="0" w:color="auto"/>
        <w:bottom w:val="none" w:sz="0" w:space="0" w:color="auto"/>
        <w:right w:val="none" w:sz="0" w:space="0" w:color="auto"/>
      </w:divBdr>
    </w:div>
    <w:div w:id="752897480">
      <w:bodyDiv w:val="1"/>
      <w:marLeft w:val="0"/>
      <w:marRight w:val="0"/>
      <w:marTop w:val="0"/>
      <w:marBottom w:val="0"/>
      <w:divBdr>
        <w:top w:val="none" w:sz="0" w:space="0" w:color="auto"/>
        <w:left w:val="none" w:sz="0" w:space="0" w:color="auto"/>
        <w:bottom w:val="none" w:sz="0" w:space="0" w:color="auto"/>
        <w:right w:val="none" w:sz="0" w:space="0" w:color="auto"/>
      </w:divBdr>
    </w:div>
    <w:div w:id="752970150">
      <w:bodyDiv w:val="1"/>
      <w:marLeft w:val="0"/>
      <w:marRight w:val="0"/>
      <w:marTop w:val="0"/>
      <w:marBottom w:val="0"/>
      <w:divBdr>
        <w:top w:val="none" w:sz="0" w:space="0" w:color="auto"/>
        <w:left w:val="none" w:sz="0" w:space="0" w:color="auto"/>
        <w:bottom w:val="none" w:sz="0" w:space="0" w:color="auto"/>
        <w:right w:val="none" w:sz="0" w:space="0" w:color="auto"/>
      </w:divBdr>
    </w:div>
    <w:div w:id="753160867">
      <w:bodyDiv w:val="1"/>
      <w:marLeft w:val="0"/>
      <w:marRight w:val="0"/>
      <w:marTop w:val="0"/>
      <w:marBottom w:val="0"/>
      <w:divBdr>
        <w:top w:val="none" w:sz="0" w:space="0" w:color="auto"/>
        <w:left w:val="none" w:sz="0" w:space="0" w:color="auto"/>
        <w:bottom w:val="none" w:sz="0" w:space="0" w:color="auto"/>
        <w:right w:val="none" w:sz="0" w:space="0" w:color="auto"/>
      </w:divBdr>
    </w:div>
    <w:div w:id="753163794">
      <w:bodyDiv w:val="1"/>
      <w:marLeft w:val="0"/>
      <w:marRight w:val="0"/>
      <w:marTop w:val="0"/>
      <w:marBottom w:val="0"/>
      <w:divBdr>
        <w:top w:val="none" w:sz="0" w:space="0" w:color="auto"/>
        <w:left w:val="none" w:sz="0" w:space="0" w:color="auto"/>
        <w:bottom w:val="none" w:sz="0" w:space="0" w:color="auto"/>
        <w:right w:val="none" w:sz="0" w:space="0" w:color="auto"/>
      </w:divBdr>
    </w:div>
    <w:div w:id="753168339">
      <w:bodyDiv w:val="1"/>
      <w:marLeft w:val="0"/>
      <w:marRight w:val="0"/>
      <w:marTop w:val="0"/>
      <w:marBottom w:val="0"/>
      <w:divBdr>
        <w:top w:val="none" w:sz="0" w:space="0" w:color="auto"/>
        <w:left w:val="none" w:sz="0" w:space="0" w:color="auto"/>
        <w:bottom w:val="none" w:sz="0" w:space="0" w:color="auto"/>
        <w:right w:val="none" w:sz="0" w:space="0" w:color="auto"/>
      </w:divBdr>
    </w:div>
    <w:div w:id="753209582">
      <w:bodyDiv w:val="1"/>
      <w:marLeft w:val="0"/>
      <w:marRight w:val="0"/>
      <w:marTop w:val="0"/>
      <w:marBottom w:val="0"/>
      <w:divBdr>
        <w:top w:val="none" w:sz="0" w:space="0" w:color="auto"/>
        <w:left w:val="none" w:sz="0" w:space="0" w:color="auto"/>
        <w:bottom w:val="none" w:sz="0" w:space="0" w:color="auto"/>
        <w:right w:val="none" w:sz="0" w:space="0" w:color="auto"/>
      </w:divBdr>
    </w:div>
    <w:div w:id="753282382">
      <w:bodyDiv w:val="1"/>
      <w:marLeft w:val="0"/>
      <w:marRight w:val="0"/>
      <w:marTop w:val="0"/>
      <w:marBottom w:val="0"/>
      <w:divBdr>
        <w:top w:val="none" w:sz="0" w:space="0" w:color="auto"/>
        <w:left w:val="none" w:sz="0" w:space="0" w:color="auto"/>
        <w:bottom w:val="none" w:sz="0" w:space="0" w:color="auto"/>
        <w:right w:val="none" w:sz="0" w:space="0" w:color="auto"/>
      </w:divBdr>
    </w:div>
    <w:div w:id="753433056">
      <w:bodyDiv w:val="1"/>
      <w:marLeft w:val="0"/>
      <w:marRight w:val="0"/>
      <w:marTop w:val="0"/>
      <w:marBottom w:val="0"/>
      <w:divBdr>
        <w:top w:val="none" w:sz="0" w:space="0" w:color="auto"/>
        <w:left w:val="none" w:sz="0" w:space="0" w:color="auto"/>
        <w:bottom w:val="none" w:sz="0" w:space="0" w:color="auto"/>
        <w:right w:val="none" w:sz="0" w:space="0" w:color="auto"/>
      </w:divBdr>
    </w:div>
    <w:div w:id="753476021">
      <w:bodyDiv w:val="1"/>
      <w:marLeft w:val="0"/>
      <w:marRight w:val="0"/>
      <w:marTop w:val="0"/>
      <w:marBottom w:val="0"/>
      <w:divBdr>
        <w:top w:val="none" w:sz="0" w:space="0" w:color="auto"/>
        <w:left w:val="none" w:sz="0" w:space="0" w:color="auto"/>
        <w:bottom w:val="none" w:sz="0" w:space="0" w:color="auto"/>
        <w:right w:val="none" w:sz="0" w:space="0" w:color="auto"/>
      </w:divBdr>
    </w:div>
    <w:div w:id="753598863">
      <w:bodyDiv w:val="1"/>
      <w:marLeft w:val="0"/>
      <w:marRight w:val="0"/>
      <w:marTop w:val="0"/>
      <w:marBottom w:val="0"/>
      <w:divBdr>
        <w:top w:val="none" w:sz="0" w:space="0" w:color="auto"/>
        <w:left w:val="none" w:sz="0" w:space="0" w:color="auto"/>
        <w:bottom w:val="none" w:sz="0" w:space="0" w:color="auto"/>
        <w:right w:val="none" w:sz="0" w:space="0" w:color="auto"/>
      </w:divBdr>
    </w:div>
    <w:div w:id="753625201">
      <w:bodyDiv w:val="1"/>
      <w:marLeft w:val="0"/>
      <w:marRight w:val="0"/>
      <w:marTop w:val="0"/>
      <w:marBottom w:val="0"/>
      <w:divBdr>
        <w:top w:val="none" w:sz="0" w:space="0" w:color="auto"/>
        <w:left w:val="none" w:sz="0" w:space="0" w:color="auto"/>
        <w:bottom w:val="none" w:sz="0" w:space="0" w:color="auto"/>
        <w:right w:val="none" w:sz="0" w:space="0" w:color="auto"/>
      </w:divBdr>
    </w:div>
    <w:div w:id="753667556">
      <w:bodyDiv w:val="1"/>
      <w:marLeft w:val="0"/>
      <w:marRight w:val="0"/>
      <w:marTop w:val="0"/>
      <w:marBottom w:val="0"/>
      <w:divBdr>
        <w:top w:val="none" w:sz="0" w:space="0" w:color="auto"/>
        <w:left w:val="none" w:sz="0" w:space="0" w:color="auto"/>
        <w:bottom w:val="none" w:sz="0" w:space="0" w:color="auto"/>
        <w:right w:val="none" w:sz="0" w:space="0" w:color="auto"/>
      </w:divBdr>
    </w:div>
    <w:div w:id="753746310">
      <w:bodyDiv w:val="1"/>
      <w:marLeft w:val="0"/>
      <w:marRight w:val="0"/>
      <w:marTop w:val="0"/>
      <w:marBottom w:val="0"/>
      <w:divBdr>
        <w:top w:val="none" w:sz="0" w:space="0" w:color="auto"/>
        <w:left w:val="none" w:sz="0" w:space="0" w:color="auto"/>
        <w:bottom w:val="none" w:sz="0" w:space="0" w:color="auto"/>
        <w:right w:val="none" w:sz="0" w:space="0" w:color="auto"/>
      </w:divBdr>
    </w:div>
    <w:div w:id="754059066">
      <w:bodyDiv w:val="1"/>
      <w:marLeft w:val="0"/>
      <w:marRight w:val="0"/>
      <w:marTop w:val="0"/>
      <w:marBottom w:val="0"/>
      <w:divBdr>
        <w:top w:val="none" w:sz="0" w:space="0" w:color="auto"/>
        <w:left w:val="none" w:sz="0" w:space="0" w:color="auto"/>
        <w:bottom w:val="none" w:sz="0" w:space="0" w:color="auto"/>
        <w:right w:val="none" w:sz="0" w:space="0" w:color="auto"/>
      </w:divBdr>
    </w:div>
    <w:div w:id="754134421">
      <w:bodyDiv w:val="1"/>
      <w:marLeft w:val="0"/>
      <w:marRight w:val="0"/>
      <w:marTop w:val="0"/>
      <w:marBottom w:val="0"/>
      <w:divBdr>
        <w:top w:val="none" w:sz="0" w:space="0" w:color="auto"/>
        <w:left w:val="none" w:sz="0" w:space="0" w:color="auto"/>
        <w:bottom w:val="none" w:sz="0" w:space="0" w:color="auto"/>
        <w:right w:val="none" w:sz="0" w:space="0" w:color="auto"/>
      </w:divBdr>
    </w:div>
    <w:div w:id="754279016">
      <w:bodyDiv w:val="1"/>
      <w:marLeft w:val="0"/>
      <w:marRight w:val="0"/>
      <w:marTop w:val="0"/>
      <w:marBottom w:val="0"/>
      <w:divBdr>
        <w:top w:val="none" w:sz="0" w:space="0" w:color="auto"/>
        <w:left w:val="none" w:sz="0" w:space="0" w:color="auto"/>
        <w:bottom w:val="none" w:sz="0" w:space="0" w:color="auto"/>
        <w:right w:val="none" w:sz="0" w:space="0" w:color="auto"/>
      </w:divBdr>
    </w:div>
    <w:div w:id="754402552">
      <w:bodyDiv w:val="1"/>
      <w:marLeft w:val="0"/>
      <w:marRight w:val="0"/>
      <w:marTop w:val="0"/>
      <w:marBottom w:val="0"/>
      <w:divBdr>
        <w:top w:val="none" w:sz="0" w:space="0" w:color="auto"/>
        <w:left w:val="none" w:sz="0" w:space="0" w:color="auto"/>
        <w:bottom w:val="none" w:sz="0" w:space="0" w:color="auto"/>
        <w:right w:val="none" w:sz="0" w:space="0" w:color="auto"/>
      </w:divBdr>
    </w:div>
    <w:div w:id="754789188">
      <w:bodyDiv w:val="1"/>
      <w:marLeft w:val="0"/>
      <w:marRight w:val="0"/>
      <w:marTop w:val="0"/>
      <w:marBottom w:val="0"/>
      <w:divBdr>
        <w:top w:val="none" w:sz="0" w:space="0" w:color="auto"/>
        <w:left w:val="none" w:sz="0" w:space="0" w:color="auto"/>
        <w:bottom w:val="none" w:sz="0" w:space="0" w:color="auto"/>
        <w:right w:val="none" w:sz="0" w:space="0" w:color="auto"/>
      </w:divBdr>
    </w:div>
    <w:div w:id="754866504">
      <w:bodyDiv w:val="1"/>
      <w:marLeft w:val="0"/>
      <w:marRight w:val="0"/>
      <w:marTop w:val="0"/>
      <w:marBottom w:val="0"/>
      <w:divBdr>
        <w:top w:val="none" w:sz="0" w:space="0" w:color="auto"/>
        <w:left w:val="none" w:sz="0" w:space="0" w:color="auto"/>
        <w:bottom w:val="none" w:sz="0" w:space="0" w:color="auto"/>
        <w:right w:val="none" w:sz="0" w:space="0" w:color="auto"/>
      </w:divBdr>
    </w:div>
    <w:div w:id="755052367">
      <w:bodyDiv w:val="1"/>
      <w:marLeft w:val="0"/>
      <w:marRight w:val="0"/>
      <w:marTop w:val="0"/>
      <w:marBottom w:val="0"/>
      <w:divBdr>
        <w:top w:val="none" w:sz="0" w:space="0" w:color="auto"/>
        <w:left w:val="none" w:sz="0" w:space="0" w:color="auto"/>
        <w:bottom w:val="none" w:sz="0" w:space="0" w:color="auto"/>
        <w:right w:val="none" w:sz="0" w:space="0" w:color="auto"/>
      </w:divBdr>
    </w:div>
    <w:div w:id="755133609">
      <w:bodyDiv w:val="1"/>
      <w:marLeft w:val="0"/>
      <w:marRight w:val="0"/>
      <w:marTop w:val="0"/>
      <w:marBottom w:val="0"/>
      <w:divBdr>
        <w:top w:val="none" w:sz="0" w:space="0" w:color="auto"/>
        <w:left w:val="none" w:sz="0" w:space="0" w:color="auto"/>
        <w:bottom w:val="none" w:sz="0" w:space="0" w:color="auto"/>
        <w:right w:val="none" w:sz="0" w:space="0" w:color="auto"/>
      </w:divBdr>
    </w:div>
    <w:div w:id="755396975">
      <w:bodyDiv w:val="1"/>
      <w:marLeft w:val="0"/>
      <w:marRight w:val="0"/>
      <w:marTop w:val="0"/>
      <w:marBottom w:val="0"/>
      <w:divBdr>
        <w:top w:val="none" w:sz="0" w:space="0" w:color="auto"/>
        <w:left w:val="none" w:sz="0" w:space="0" w:color="auto"/>
        <w:bottom w:val="none" w:sz="0" w:space="0" w:color="auto"/>
        <w:right w:val="none" w:sz="0" w:space="0" w:color="auto"/>
      </w:divBdr>
    </w:div>
    <w:div w:id="755590705">
      <w:bodyDiv w:val="1"/>
      <w:marLeft w:val="0"/>
      <w:marRight w:val="0"/>
      <w:marTop w:val="0"/>
      <w:marBottom w:val="0"/>
      <w:divBdr>
        <w:top w:val="none" w:sz="0" w:space="0" w:color="auto"/>
        <w:left w:val="none" w:sz="0" w:space="0" w:color="auto"/>
        <w:bottom w:val="none" w:sz="0" w:space="0" w:color="auto"/>
        <w:right w:val="none" w:sz="0" w:space="0" w:color="auto"/>
      </w:divBdr>
    </w:div>
    <w:div w:id="755633405">
      <w:bodyDiv w:val="1"/>
      <w:marLeft w:val="0"/>
      <w:marRight w:val="0"/>
      <w:marTop w:val="0"/>
      <w:marBottom w:val="0"/>
      <w:divBdr>
        <w:top w:val="none" w:sz="0" w:space="0" w:color="auto"/>
        <w:left w:val="none" w:sz="0" w:space="0" w:color="auto"/>
        <w:bottom w:val="none" w:sz="0" w:space="0" w:color="auto"/>
        <w:right w:val="none" w:sz="0" w:space="0" w:color="auto"/>
      </w:divBdr>
    </w:div>
    <w:div w:id="755714773">
      <w:bodyDiv w:val="1"/>
      <w:marLeft w:val="0"/>
      <w:marRight w:val="0"/>
      <w:marTop w:val="0"/>
      <w:marBottom w:val="0"/>
      <w:divBdr>
        <w:top w:val="none" w:sz="0" w:space="0" w:color="auto"/>
        <w:left w:val="none" w:sz="0" w:space="0" w:color="auto"/>
        <w:bottom w:val="none" w:sz="0" w:space="0" w:color="auto"/>
        <w:right w:val="none" w:sz="0" w:space="0" w:color="auto"/>
      </w:divBdr>
    </w:div>
    <w:div w:id="755786237">
      <w:bodyDiv w:val="1"/>
      <w:marLeft w:val="0"/>
      <w:marRight w:val="0"/>
      <w:marTop w:val="0"/>
      <w:marBottom w:val="0"/>
      <w:divBdr>
        <w:top w:val="none" w:sz="0" w:space="0" w:color="auto"/>
        <w:left w:val="none" w:sz="0" w:space="0" w:color="auto"/>
        <w:bottom w:val="none" w:sz="0" w:space="0" w:color="auto"/>
        <w:right w:val="none" w:sz="0" w:space="0" w:color="auto"/>
      </w:divBdr>
    </w:div>
    <w:div w:id="755830015">
      <w:bodyDiv w:val="1"/>
      <w:marLeft w:val="0"/>
      <w:marRight w:val="0"/>
      <w:marTop w:val="0"/>
      <w:marBottom w:val="0"/>
      <w:divBdr>
        <w:top w:val="none" w:sz="0" w:space="0" w:color="auto"/>
        <w:left w:val="none" w:sz="0" w:space="0" w:color="auto"/>
        <w:bottom w:val="none" w:sz="0" w:space="0" w:color="auto"/>
        <w:right w:val="none" w:sz="0" w:space="0" w:color="auto"/>
      </w:divBdr>
    </w:div>
    <w:div w:id="755831741">
      <w:bodyDiv w:val="1"/>
      <w:marLeft w:val="0"/>
      <w:marRight w:val="0"/>
      <w:marTop w:val="0"/>
      <w:marBottom w:val="0"/>
      <w:divBdr>
        <w:top w:val="none" w:sz="0" w:space="0" w:color="auto"/>
        <w:left w:val="none" w:sz="0" w:space="0" w:color="auto"/>
        <w:bottom w:val="none" w:sz="0" w:space="0" w:color="auto"/>
        <w:right w:val="none" w:sz="0" w:space="0" w:color="auto"/>
      </w:divBdr>
    </w:div>
    <w:div w:id="755980210">
      <w:bodyDiv w:val="1"/>
      <w:marLeft w:val="0"/>
      <w:marRight w:val="0"/>
      <w:marTop w:val="0"/>
      <w:marBottom w:val="0"/>
      <w:divBdr>
        <w:top w:val="none" w:sz="0" w:space="0" w:color="auto"/>
        <w:left w:val="none" w:sz="0" w:space="0" w:color="auto"/>
        <w:bottom w:val="none" w:sz="0" w:space="0" w:color="auto"/>
        <w:right w:val="none" w:sz="0" w:space="0" w:color="auto"/>
      </w:divBdr>
    </w:div>
    <w:div w:id="756173464">
      <w:bodyDiv w:val="1"/>
      <w:marLeft w:val="0"/>
      <w:marRight w:val="0"/>
      <w:marTop w:val="0"/>
      <w:marBottom w:val="0"/>
      <w:divBdr>
        <w:top w:val="none" w:sz="0" w:space="0" w:color="auto"/>
        <w:left w:val="none" w:sz="0" w:space="0" w:color="auto"/>
        <w:bottom w:val="none" w:sz="0" w:space="0" w:color="auto"/>
        <w:right w:val="none" w:sz="0" w:space="0" w:color="auto"/>
      </w:divBdr>
    </w:div>
    <w:div w:id="756247841">
      <w:bodyDiv w:val="1"/>
      <w:marLeft w:val="0"/>
      <w:marRight w:val="0"/>
      <w:marTop w:val="0"/>
      <w:marBottom w:val="0"/>
      <w:divBdr>
        <w:top w:val="none" w:sz="0" w:space="0" w:color="auto"/>
        <w:left w:val="none" w:sz="0" w:space="0" w:color="auto"/>
        <w:bottom w:val="none" w:sz="0" w:space="0" w:color="auto"/>
        <w:right w:val="none" w:sz="0" w:space="0" w:color="auto"/>
      </w:divBdr>
    </w:div>
    <w:div w:id="756248229">
      <w:bodyDiv w:val="1"/>
      <w:marLeft w:val="0"/>
      <w:marRight w:val="0"/>
      <w:marTop w:val="0"/>
      <w:marBottom w:val="0"/>
      <w:divBdr>
        <w:top w:val="none" w:sz="0" w:space="0" w:color="auto"/>
        <w:left w:val="none" w:sz="0" w:space="0" w:color="auto"/>
        <w:bottom w:val="none" w:sz="0" w:space="0" w:color="auto"/>
        <w:right w:val="none" w:sz="0" w:space="0" w:color="auto"/>
      </w:divBdr>
    </w:div>
    <w:div w:id="756292509">
      <w:bodyDiv w:val="1"/>
      <w:marLeft w:val="0"/>
      <w:marRight w:val="0"/>
      <w:marTop w:val="0"/>
      <w:marBottom w:val="0"/>
      <w:divBdr>
        <w:top w:val="none" w:sz="0" w:space="0" w:color="auto"/>
        <w:left w:val="none" w:sz="0" w:space="0" w:color="auto"/>
        <w:bottom w:val="none" w:sz="0" w:space="0" w:color="auto"/>
        <w:right w:val="none" w:sz="0" w:space="0" w:color="auto"/>
      </w:divBdr>
    </w:div>
    <w:div w:id="756366736">
      <w:bodyDiv w:val="1"/>
      <w:marLeft w:val="0"/>
      <w:marRight w:val="0"/>
      <w:marTop w:val="0"/>
      <w:marBottom w:val="0"/>
      <w:divBdr>
        <w:top w:val="none" w:sz="0" w:space="0" w:color="auto"/>
        <w:left w:val="none" w:sz="0" w:space="0" w:color="auto"/>
        <w:bottom w:val="none" w:sz="0" w:space="0" w:color="auto"/>
        <w:right w:val="none" w:sz="0" w:space="0" w:color="auto"/>
      </w:divBdr>
    </w:div>
    <w:div w:id="756438339">
      <w:bodyDiv w:val="1"/>
      <w:marLeft w:val="0"/>
      <w:marRight w:val="0"/>
      <w:marTop w:val="0"/>
      <w:marBottom w:val="0"/>
      <w:divBdr>
        <w:top w:val="none" w:sz="0" w:space="0" w:color="auto"/>
        <w:left w:val="none" w:sz="0" w:space="0" w:color="auto"/>
        <w:bottom w:val="none" w:sz="0" w:space="0" w:color="auto"/>
        <w:right w:val="none" w:sz="0" w:space="0" w:color="auto"/>
      </w:divBdr>
    </w:div>
    <w:div w:id="756444008">
      <w:bodyDiv w:val="1"/>
      <w:marLeft w:val="0"/>
      <w:marRight w:val="0"/>
      <w:marTop w:val="0"/>
      <w:marBottom w:val="0"/>
      <w:divBdr>
        <w:top w:val="none" w:sz="0" w:space="0" w:color="auto"/>
        <w:left w:val="none" w:sz="0" w:space="0" w:color="auto"/>
        <w:bottom w:val="none" w:sz="0" w:space="0" w:color="auto"/>
        <w:right w:val="none" w:sz="0" w:space="0" w:color="auto"/>
      </w:divBdr>
    </w:div>
    <w:div w:id="756444920">
      <w:bodyDiv w:val="1"/>
      <w:marLeft w:val="0"/>
      <w:marRight w:val="0"/>
      <w:marTop w:val="0"/>
      <w:marBottom w:val="0"/>
      <w:divBdr>
        <w:top w:val="none" w:sz="0" w:space="0" w:color="auto"/>
        <w:left w:val="none" w:sz="0" w:space="0" w:color="auto"/>
        <w:bottom w:val="none" w:sz="0" w:space="0" w:color="auto"/>
        <w:right w:val="none" w:sz="0" w:space="0" w:color="auto"/>
      </w:divBdr>
    </w:div>
    <w:div w:id="756483278">
      <w:bodyDiv w:val="1"/>
      <w:marLeft w:val="0"/>
      <w:marRight w:val="0"/>
      <w:marTop w:val="0"/>
      <w:marBottom w:val="0"/>
      <w:divBdr>
        <w:top w:val="none" w:sz="0" w:space="0" w:color="auto"/>
        <w:left w:val="none" w:sz="0" w:space="0" w:color="auto"/>
        <w:bottom w:val="none" w:sz="0" w:space="0" w:color="auto"/>
        <w:right w:val="none" w:sz="0" w:space="0" w:color="auto"/>
      </w:divBdr>
    </w:div>
    <w:div w:id="756631692">
      <w:bodyDiv w:val="1"/>
      <w:marLeft w:val="0"/>
      <w:marRight w:val="0"/>
      <w:marTop w:val="0"/>
      <w:marBottom w:val="0"/>
      <w:divBdr>
        <w:top w:val="none" w:sz="0" w:space="0" w:color="auto"/>
        <w:left w:val="none" w:sz="0" w:space="0" w:color="auto"/>
        <w:bottom w:val="none" w:sz="0" w:space="0" w:color="auto"/>
        <w:right w:val="none" w:sz="0" w:space="0" w:color="auto"/>
      </w:divBdr>
    </w:div>
    <w:div w:id="756710702">
      <w:bodyDiv w:val="1"/>
      <w:marLeft w:val="0"/>
      <w:marRight w:val="0"/>
      <w:marTop w:val="0"/>
      <w:marBottom w:val="0"/>
      <w:divBdr>
        <w:top w:val="none" w:sz="0" w:space="0" w:color="auto"/>
        <w:left w:val="none" w:sz="0" w:space="0" w:color="auto"/>
        <w:bottom w:val="none" w:sz="0" w:space="0" w:color="auto"/>
        <w:right w:val="none" w:sz="0" w:space="0" w:color="auto"/>
      </w:divBdr>
    </w:div>
    <w:div w:id="756824953">
      <w:bodyDiv w:val="1"/>
      <w:marLeft w:val="0"/>
      <w:marRight w:val="0"/>
      <w:marTop w:val="0"/>
      <w:marBottom w:val="0"/>
      <w:divBdr>
        <w:top w:val="none" w:sz="0" w:space="0" w:color="auto"/>
        <w:left w:val="none" w:sz="0" w:space="0" w:color="auto"/>
        <w:bottom w:val="none" w:sz="0" w:space="0" w:color="auto"/>
        <w:right w:val="none" w:sz="0" w:space="0" w:color="auto"/>
      </w:divBdr>
    </w:div>
    <w:div w:id="756902212">
      <w:bodyDiv w:val="1"/>
      <w:marLeft w:val="0"/>
      <w:marRight w:val="0"/>
      <w:marTop w:val="0"/>
      <w:marBottom w:val="0"/>
      <w:divBdr>
        <w:top w:val="none" w:sz="0" w:space="0" w:color="auto"/>
        <w:left w:val="none" w:sz="0" w:space="0" w:color="auto"/>
        <w:bottom w:val="none" w:sz="0" w:space="0" w:color="auto"/>
        <w:right w:val="none" w:sz="0" w:space="0" w:color="auto"/>
      </w:divBdr>
    </w:div>
    <w:div w:id="756904430">
      <w:bodyDiv w:val="1"/>
      <w:marLeft w:val="0"/>
      <w:marRight w:val="0"/>
      <w:marTop w:val="0"/>
      <w:marBottom w:val="0"/>
      <w:divBdr>
        <w:top w:val="none" w:sz="0" w:space="0" w:color="auto"/>
        <w:left w:val="none" w:sz="0" w:space="0" w:color="auto"/>
        <w:bottom w:val="none" w:sz="0" w:space="0" w:color="auto"/>
        <w:right w:val="none" w:sz="0" w:space="0" w:color="auto"/>
      </w:divBdr>
    </w:div>
    <w:div w:id="756949027">
      <w:bodyDiv w:val="1"/>
      <w:marLeft w:val="0"/>
      <w:marRight w:val="0"/>
      <w:marTop w:val="0"/>
      <w:marBottom w:val="0"/>
      <w:divBdr>
        <w:top w:val="none" w:sz="0" w:space="0" w:color="auto"/>
        <w:left w:val="none" w:sz="0" w:space="0" w:color="auto"/>
        <w:bottom w:val="none" w:sz="0" w:space="0" w:color="auto"/>
        <w:right w:val="none" w:sz="0" w:space="0" w:color="auto"/>
      </w:divBdr>
    </w:div>
    <w:div w:id="757484445">
      <w:bodyDiv w:val="1"/>
      <w:marLeft w:val="0"/>
      <w:marRight w:val="0"/>
      <w:marTop w:val="0"/>
      <w:marBottom w:val="0"/>
      <w:divBdr>
        <w:top w:val="none" w:sz="0" w:space="0" w:color="auto"/>
        <w:left w:val="none" w:sz="0" w:space="0" w:color="auto"/>
        <w:bottom w:val="none" w:sz="0" w:space="0" w:color="auto"/>
        <w:right w:val="none" w:sz="0" w:space="0" w:color="auto"/>
      </w:divBdr>
    </w:div>
    <w:div w:id="757597384">
      <w:bodyDiv w:val="1"/>
      <w:marLeft w:val="0"/>
      <w:marRight w:val="0"/>
      <w:marTop w:val="0"/>
      <w:marBottom w:val="0"/>
      <w:divBdr>
        <w:top w:val="none" w:sz="0" w:space="0" w:color="auto"/>
        <w:left w:val="none" w:sz="0" w:space="0" w:color="auto"/>
        <w:bottom w:val="none" w:sz="0" w:space="0" w:color="auto"/>
        <w:right w:val="none" w:sz="0" w:space="0" w:color="auto"/>
      </w:divBdr>
    </w:div>
    <w:div w:id="757602496">
      <w:bodyDiv w:val="1"/>
      <w:marLeft w:val="0"/>
      <w:marRight w:val="0"/>
      <w:marTop w:val="0"/>
      <w:marBottom w:val="0"/>
      <w:divBdr>
        <w:top w:val="none" w:sz="0" w:space="0" w:color="auto"/>
        <w:left w:val="none" w:sz="0" w:space="0" w:color="auto"/>
        <w:bottom w:val="none" w:sz="0" w:space="0" w:color="auto"/>
        <w:right w:val="none" w:sz="0" w:space="0" w:color="auto"/>
      </w:divBdr>
    </w:div>
    <w:div w:id="757748313">
      <w:bodyDiv w:val="1"/>
      <w:marLeft w:val="0"/>
      <w:marRight w:val="0"/>
      <w:marTop w:val="0"/>
      <w:marBottom w:val="0"/>
      <w:divBdr>
        <w:top w:val="none" w:sz="0" w:space="0" w:color="auto"/>
        <w:left w:val="none" w:sz="0" w:space="0" w:color="auto"/>
        <w:bottom w:val="none" w:sz="0" w:space="0" w:color="auto"/>
        <w:right w:val="none" w:sz="0" w:space="0" w:color="auto"/>
      </w:divBdr>
    </w:div>
    <w:div w:id="757753798">
      <w:bodyDiv w:val="1"/>
      <w:marLeft w:val="0"/>
      <w:marRight w:val="0"/>
      <w:marTop w:val="0"/>
      <w:marBottom w:val="0"/>
      <w:divBdr>
        <w:top w:val="none" w:sz="0" w:space="0" w:color="auto"/>
        <w:left w:val="none" w:sz="0" w:space="0" w:color="auto"/>
        <w:bottom w:val="none" w:sz="0" w:space="0" w:color="auto"/>
        <w:right w:val="none" w:sz="0" w:space="0" w:color="auto"/>
      </w:divBdr>
    </w:div>
    <w:div w:id="757868286">
      <w:bodyDiv w:val="1"/>
      <w:marLeft w:val="0"/>
      <w:marRight w:val="0"/>
      <w:marTop w:val="0"/>
      <w:marBottom w:val="0"/>
      <w:divBdr>
        <w:top w:val="none" w:sz="0" w:space="0" w:color="auto"/>
        <w:left w:val="none" w:sz="0" w:space="0" w:color="auto"/>
        <w:bottom w:val="none" w:sz="0" w:space="0" w:color="auto"/>
        <w:right w:val="none" w:sz="0" w:space="0" w:color="auto"/>
      </w:divBdr>
    </w:div>
    <w:div w:id="758065249">
      <w:bodyDiv w:val="1"/>
      <w:marLeft w:val="0"/>
      <w:marRight w:val="0"/>
      <w:marTop w:val="0"/>
      <w:marBottom w:val="0"/>
      <w:divBdr>
        <w:top w:val="none" w:sz="0" w:space="0" w:color="auto"/>
        <w:left w:val="none" w:sz="0" w:space="0" w:color="auto"/>
        <w:bottom w:val="none" w:sz="0" w:space="0" w:color="auto"/>
        <w:right w:val="none" w:sz="0" w:space="0" w:color="auto"/>
      </w:divBdr>
    </w:div>
    <w:div w:id="758210299">
      <w:bodyDiv w:val="1"/>
      <w:marLeft w:val="0"/>
      <w:marRight w:val="0"/>
      <w:marTop w:val="0"/>
      <w:marBottom w:val="0"/>
      <w:divBdr>
        <w:top w:val="none" w:sz="0" w:space="0" w:color="auto"/>
        <w:left w:val="none" w:sz="0" w:space="0" w:color="auto"/>
        <w:bottom w:val="none" w:sz="0" w:space="0" w:color="auto"/>
        <w:right w:val="none" w:sz="0" w:space="0" w:color="auto"/>
      </w:divBdr>
    </w:div>
    <w:div w:id="758216260">
      <w:bodyDiv w:val="1"/>
      <w:marLeft w:val="0"/>
      <w:marRight w:val="0"/>
      <w:marTop w:val="0"/>
      <w:marBottom w:val="0"/>
      <w:divBdr>
        <w:top w:val="none" w:sz="0" w:space="0" w:color="auto"/>
        <w:left w:val="none" w:sz="0" w:space="0" w:color="auto"/>
        <w:bottom w:val="none" w:sz="0" w:space="0" w:color="auto"/>
        <w:right w:val="none" w:sz="0" w:space="0" w:color="auto"/>
      </w:divBdr>
    </w:div>
    <w:div w:id="758597397">
      <w:bodyDiv w:val="1"/>
      <w:marLeft w:val="0"/>
      <w:marRight w:val="0"/>
      <w:marTop w:val="0"/>
      <w:marBottom w:val="0"/>
      <w:divBdr>
        <w:top w:val="none" w:sz="0" w:space="0" w:color="auto"/>
        <w:left w:val="none" w:sz="0" w:space="0" w:color="auto"/>
        <w:bottom w:val="none" w:sz="0" w:space="0" w:color="auto"/>
        <w:right w:val="none" w:sz="0" w:space="0" w:color="auto"/>
      </w:divBdr>
    </w:div>
    <w:div w:id="758600840">
      <w:bodyDiv w:val="1"/>
      <w:marLeft w:val="0"/>
      <w:marRight w:val="0"/>
      <w:marTop w:val="0"/>
      <w:marBottom w:val="0"/>
      <w:divBdr>
        <w:top w:val="none" w:sz="0" w:space="0" w:color="auto"/>
        <w:left w:val="none" w:sz="0" w:space="0" w:color="auto"/>
        <w:bottom w:val="none" w:sz="0" w:space="0" w:color="auto"/>
        <w:right w:val="none" w:sz="0" w:space="0" w:color="auto"/>
      </w:divBdr>
    </w:div>
    <w:div w:id="758676827">
      <w:bodyDiv w:val="1"/>
      <w:marLeft w:val="0"/>
      <w:marRight w:val="0"/>
      <w:marTop w:val="0"/>
      <w:marBottom w:val="0"/>
      <w:divBdr>
        <w:top w:val="none" w:sz="0" w:space="0" w:color="auto"/>
        <w:left w:val="none" w:sz="0" w:space="0" w:color="auto"/>
        <w:bottom w:val="none" w:sz="0" w:space="0" w:color="auto"/>
        <w:right w:val="none" w:sz="0" w:space="0" w:color="auto"/>
      </w:divBdr>
    </w:div>
    <w:div w:id="758791919">
      <w:bodyDiv w:val="1"/>
      <w:marLeft w:val="0"/>
      <w:marRight w:val="0"/>
      <w:marTop w:val="0"/>
      <w:marBottom w:val="0"/>
      <w:divBdr>
        <w:top w:val="none" w:sz="0" w:space="0" w:color="auto"/>
        <w:left w:val="none" w:sz="0" w:space="0" w:color="auto"/>
        <w:bottom w:val="none" w:sz="0" w:space="0" w:color="auto"/>
        <w:right w:val="none" w:sz="0" w:space="0" w:color="auto"/>
      </w:divBdr>
    </w:div>
    <w:div w:id="758989548">
      <w:bodyDiv w:val="1"/>
      <w:marLeft w:val="0"/>
      <w:marRight w:val="0"/>
      <w:marTop w:val="0"/>
      <w:marBottom w:val="0"/>
      <w:divBdr>
        <w:top w:val="none" w:sz="0" w:space="0" w:color="auto"/>
        <w:left w:val="none" w:sz="0" w:space="0" w:color="auto"/>
        <w:bottom w:val="none" w:sz="0" w:space="0" w:color="auto"/>
        <w:right w:val="none" w:sz="0" w:space="0" w:color="auto"/>
      </w:divBdr>
    </w:div>
    <w:div w:id="758990556">
      <w:bodyDiv w:val="1"/>
      <w:marLeft w:val="0"/>
      <w:marRight w:val="0"/>
      <w:marTop w:val="0"/>
      <w:marBottom w:val="0"/>
      <w:divBdr>
        <w:top w:val="none" w:sz="0" w:space="0" w:color="auto"/>
        <w:left w:val="none" w:sz="0" w:space="0" w:color="auto"/>
        <w:bottom w:val="none" w:sz="0" w:space="0" w:color="auto"/>
        <w:right w:val="none" w:sz="0" w:space="0" w:color="auto"/>
      </w:divBdr>
    </w:div>
    <w:div w:id="759108356">
      <w:bodyDiv w:val="1"/>
      <w:marLeft w:val="0"/>
      <w:marRight w:val="0"/>
      <w:marTop w:val="0"/>
      <w:marBottom w:val="0"/>
      <w:divBdr>
        <w:top w:val="none" w:sz="0" w:space="0" w:color="auto"/>
        <w:left w:val="none" w:sz="0" w:space="0" w:color="auto"/>
        <w:bottom w:val="none" w:sz="0" w:space="0" w:color="auto"/>
        <w:right w:val="none" w:sz="0" w:space="0" w:color="auto"/>
      </w:divBdr>
    </w:div>
    <w:div w:id="759133057">
      <w:bodyDiv w:val="1"/>
      <w:marLeft w:val="0"/>
      <w:marRight w:val="0"/>
      <w:marTop w:val="0"/>
      <w:marBottom w:val="0"/>
      <w:divBdr>
        <w:top w:val="none" w:sz="0" w:space="0" w:color="auto"/>
        <w:left w:val="none" w:sz="0" w:space="0" w:color="auto"/>
        <w:bottom w:val="none" w:sz="0" w:space="0" w:color="auto"/>
        <w:right w:val="none" w:sz="0" w:space="0" w:color="auto"/>
      </w:divBdr>
    </w:div>
    <w:div w:id="759179094">
      <w:bodyDiv w:val="1"/>
      <w:marLeft w:val="0"/>
      <w:marRight w:val="0"/>
      <w:marTop w:val="0"/>
      <w:marBottom w:val="0"/>
      <w:divBdr>
        <w:top w:val="none" w:sz="0" w:space="0" w:color="auto"/>
        <w:left w:val="none" w:sz="0" w:space="0" w:color="auto"/>
        <w:bottom w:val="none" w:sz="0" w:space="0" w:color="auto"/>
        <w:right w:val="none" w:sz="0" w:space="0" w:color="auto"/>
      </w:divBdr>
    </w:div>
    <w:div w:id="759330541">
      <w:bodyDiv w:val="1"/>
      <w:marLeft w:val="0"/>
      <w:marRight w:val="0"/>
      <w:marTop w:val="0"/>
      <w:marBottom w:val="0"/>
      <w:divBdr>
        <w:top w:val="none" w:sz="0" w:space="0" w:color="auto"/>
        <w:left w:val="none" w:sz="0" w:space="0" w:color="auto"/>
        <w:bottom w:val="none" w:sz="0" w:space="0" w:color="auto"/>
        <w:right w:val="none" w:sz="0" w:space="0" w:color="auto"/>
      </w:divBdr>
    </w:div>
    <w:div w:id="759369469">
      <w:bodyDiv w:val="1"/>
      <w:marLeft w:val="0"/>
      <w:marRight w:val="0"/>
      <w:marTop w:val="0"/>
      <w:marBottom w:val="0"/>
      <w:divBdr>
        <w:top w:val="none" w:sz="0" w:space="0" w:color="auto"/>
        <w:left w:val="none" w:sz="0" w:space="0" w:color="auto"/>
        <w:bottom w:val="none" w:sz="0" w:space="0" w:color="auto"/>
        <w:right w:val="none" w:sz="0" w:space="0" w:color="auto"/>
      </w:divBdr>
    </w:div>
    <w:div w:id="759372947">
      <w:bodyDiv w:val="1"/>
      <w:marLeft w:val="0"/>
      <w:marRight w:val="0"/>
      <w:marTop w:val="0"/>
      <w:marBottom w:val="0"/>
      <w:divBdr>
        <w:top w:val="none" w:sz="0" w:space="0" w:color="auto"/>
        <w:left w:val="none" w:sz="0" w:space="0" w:color="auto"/>
        <w:bottom w:val="none" w:sz="0" w:space="0" w:color="auto"/>
        <w:right w:val="none" w:sz="0" w:space="0" w:color="auto"/>
      </w:divBdr>
    </w:div>
    <w:div w:id="759377412">
      <w:bodyDiv w:val="1"/>
      <w:marLeft w:val="0"/>
      <w:marRight w:val="0"/>
      <w:marTop w:val="0"/>
      <w:marBottom w:val="0"/>
      <w:divBdr>
        <w:top w:val="none" w:sz="0" w:space="0" w:color="auto"/>
        <w:left w:val="none" w:sz="0" w:space="0" w:color="auto"/>
        <w:bottom w:val="none" w:sz="0" w:space="0" w:color="auto"/>
        <w:right w:val="none" w:sz="0" w:space="0" w:color="auto"/>
      </w:divBdr>
    </w:div>
    <w:div w:id="759833292">
      <w:bodyDiv w:val="1"/>
      <w:marLeft w:val="0"/>
      <w:marRight w:val="0"/>
      <w:marTop w:val="0"/>
      <w:marBottom w:val="0"/>
      <w:divBdr>
        <w:top w:val="none" w:sz="0" w:space="0" w:color="auto"/>
        <w:left w:val="none" w:sz="0" w:space="0" w:color="auto"/>
        <w:bottom w:val="none" w:sz="0" w:space="0" w:color="auto"/>
        <w:right w:val="none" w:sz="0" w:space="0" w:color="auto"/>
      </w:divBdr>
    </w:div>
    <w:div w:id="760027438">
      <w:bodyDiv w:val="1"/>
      <w:marLeft w:val="0"/>
      <w:marRight w:val="0"/>
      <w:marTop w:val="0"/>
      <w:marBottom w:val="0"/>
      <w:divBdr>
        <w:top w:val="none" w:sz="0" w:space="0" w:color="auto"/>
        <w:left w:val="none" w:sz="0" w:space="0" w:color="auto"/>
        <w:bottom w:val="none" w:sz="0" w:space="0" w:color="auto"/>
        <w:right w:val="none" w:sz="0" w:space="0" w:color="auto"/>
      </w:divBdr>
    </w:div>
    <w:div w:id="760180368">
      <w:bodyDiv w:val="1"/>
      <w:marLeft w:val="0"/>
      <w:marRight w:val="0"/>
      <w:marTop w:val="0"/>
      <w:marBottom w:val="0"/>
      <w:divBdr>
        <w:top w:val="none" w:sz="0" w:space="0" w:color="auto"/>
        <w:left w:val="none" w:sz="0" w:space="0" w:color="auto"/>
        <w:bottom w:val="none" w:sz="0" w:space="0" w:color="auto"/>
        <w:right w:val="none" w:sz="0" w:space="0" w:color="auto"/>
      </w:divBdr>
    </w:div>
    <w:div w:id="760222681">
      <w:bodyDiv w:val="1"/>
      <w:marLeft w:val="0"/>
      <w:marRight w:val="0"/>
      <w:marTop w:val="0"/>
      <w:marBottom w:val="0"/>
      <w:divBdr>
        <w:top w:val="none" w:sz="0" w:space="0" w:color="auto"/>
        <w:left w:val="none" w:sz="0" w:space="0" w:color="auto"/>
        <w:bottom w:val="none" w:sz="0" w:space="0" w:color="auto"/>
        <w:right w:val="none" w:sz="0" w:space="0" w:color="auto"/>
      </w:divBdr>
    </w:div>
    <w:div w:id="760417100">
      <w:bodyDiv w:val="1"/>
      <w:marLeft w:val="0"/>
      <w:marRight w:val="0"/>
      <w:marTop w:val="0"/>
      <w:marBottom w:val="0"/>
      <w:divBdr>
        <w:top w:val="none" w:sz="0" w:space="0" w:color="auto"/>
        <w:left w:val="none" w:sz="0" w:space="0" w:color="auto"/>
        <w:bottom w:val="none" w:sz="0" w:space="0" w:color="auto"/>
        <w:right w:val="none" w:sz="0" w:space="0" w:color="auto"/>
      </w:divBdr>
    </w:div>
    <w:div w:id="760486031">
      <w:bodyDiv w:val="1"/>
      <w:marLeft w:val="0"/>
      <w:marRight w:val="0"/>
      <w:marTop w:val="0"/>
      <w:marBottom w:val="0"/>
      <w:divBdr>
        <w:top w:val="none" w:sz="0" w:space="0" w:color="auto"/>
        <w:left w:val="none" w:sz="0" w:space="0" w:color="auto"/>
        <w:bottom w:val="none" w:sz="0" w:space="0" w:color="auto"/>
        <w:right w:val="none" w:sz="0" w:space="0" w:color="auto"/>
      </w:divBdr>
    </w:div>
    <w:div w:id="760488126">
      <w:bodyDiv w:val="1"/>
      <w:marLeft w:val="0"/>
      <w:marRight w:val="0"/>
      <w:marTop w:val="0"/>
      <w:marBottom w:val="0"/>
      <w:divBdr>
        <w:top w:val="none" w:sz="0" w:space="0" w:color="auto"/>
        <w:left w:val="none" w:sz="0" w:space="0" w:color="auto"/>
        <w:bottom w:val="none" w:sz="0" w:space="0" w:color="auto"/>
        <w:right w:val="none" w:sz="0" w:space="0" w:color="auto"/>
      </w:divBdr>
    </w:div>
    <w:div w:id="760488291">
      <w:bodyDiv w:val="1"/>
      <w:marLeft w:val="0"/>
      <w:marRight w:val="0"/>
      <w:marTop w:val="0"/>
      <w:marBottom w:val="0"/>
      <w:divBdr>
        <w:top w:val="none" w:sz="0" w:space="0" w:color="auto"/>
        <w:left w:val="none" w:sz="0" w:space="0" w:color="auto"/>
        <w:bottom w:val="none" w:sz="0" w:space="0" w:color="auto"/>
        <w:right w:val="none" w:sz="0" w:space="0" w:color="auto"/>
      </w:divBdr>
    </w:div>
    <w:div w:id="760495729">
      <w:bodyDiv w:val="1"/>
      <w:marLeft w:val="0"/>
      <w:marRight w:val="0"/>
      <w:marTop w:val="0"/>
      <w:marBottom w:val="0"/>
      <w:divBdr>
        <w:top w:val="none" w:sz="0" w:space="0" w:color="auto"/>
        <w:left w:val="none" w:sz="0" w:space="0" w:color="auto"/>
        <w:bottom w:val="none" w:sz="0" w:space="0" w:color="auto"/>
        <w:right w:val="none" w:sz="0" w:space="0" w:color="auto"/>
      </w:divBdr>
    </w:div>
    <w:div w:id="760562562">
      <w:bodyDiv w:val="1"/>
      <w:marLeft w:val="0"/>
      <w:marRight w:val="0"/>
      <w:marTop w:val="0"/>
      <w:marBottom w:val="0"/>
      <w:divBdr>
        <w:top w:val="none" w:sz="0" w:space="0" w:color="auto"/>
        <w:left w:val="none" w:sz="0" w:space="0" w:color="auto"/>
        <w:bottom w:val="none" w:sz="0" w:space="0" w:color="auto"/>
        <w:right w:val="none" w:sz="0" w:space="0" w:color="auto"/>
      </w:divBdr>
    </w:div>
    <w:div w:id="760562834">
      <w:bodyDiv w:val="1"/>
      <w:marLeft w:val="0"/>
      <w:marRight w:val="0"/>
      <w:marTop w:val="0"/>
      <w:marBottom w:val="0"/>
      <w:divBdr>
        <w:top w:val="none" w:sz="0" w:space="0" w:color="auto"/>
        <w:left w:val="none" w:sz="0" w:space="0" w:color="auto"/>
        <w:bottom w:val="none" w:sz="0" w:space="0" w:color="auto"/>
        <w:right w:val="none" w:sz="0" w:space="0" w:color="auto"/>
      </w:divBdr>
    </w:div>
    <w:div w:id="760568671">
      <w:bodyDiv w:val="1"/>
      <w:marLeft w:val="0"/>
      <w:marRight w:val="0"/>
      <w:marTop w:val="0"/>
      <w:marBottom w:val="0"/>
      <w:divBdr>
        <w:top w:val="none" w:sz="0" w:space="0" w:color="auto"/>
        <w:left w:val="none" w:sz="0" w:space="0" w:color="auto"/>
        <w:bottom w:val="none" w:sz="0" w:space="0" w:color="auto"/>
        <w:right w:val="none" w:sz="0" w:space="0" w:color="auto"/>
      </w:divBdr>
    </w:div>
    <w:div w:id="760636743">
      <w:bodyDiv w:val="1"/>
      <w:marLeft w:val="0"/>
      <w:marRight w:val="0"/>
      <w:marTop w:val="0"/>
      <w:marBottom w:val="0"/>
      <w:divBdr>
        <w:top w:val="none" w:sz="0" w:space="0" w:color="auto"/>
        <w:left w:val="none" w:sz="0" w:space="0" w:color="auto"/>
        <w:bottom w:val="none" w:sz="0" w:space="0" w:color="auto"/>
        <w:right w:val="none" w:sz="0" w:space="0" w:color="auto"/>
      </w:divBdr>
    </w:div>
    <w:div w:id="760683566">
      <w:bodyDiv w:val="1"/>
      <w:marLeft w:val="0"/>
      <w:marRight w:val="0"/>
      <w:marTop w:val="0"/>
      <w:marBottom w:val="0"/>
      <w:divBdr>
        <w:top w:val="none" w:sz="0" w:space="0" w:color="auto"/>
        <w:left w:val="none" w:sz="0" w:space="0" w:color="auto"/>
        <w:bottom w:val="none" w:sz="0" w:space="0" w:color="auto"/>
        <w:right w:val="none" w:sz="0" w:space="0" w:color="auto"/>
      </w:divBdr>
    </w:div>
    <w:div w:id="760833560">
      <w:bodyDiv w:val="1"/>
      <w:marLeft w:val="0"/>
      <w:marRight w:val="0"/>
      <w:marTop w:val="0"/>
      <w:marBottom w:val="0"/>
      <w:divBdr>
        <w:top w:val="none" w:sz="0" w:space="0" w:color="auto"/>
        <w:left w:val="none" w:sz="0" w:space="0" w:color="auto"/>
        <w:bottom w:val="none" w:sz="0" w:space="0" w:color="auto"/>
        <w:right w:val="none" w:sz="0" w:space="0" w:color="auto"/>
      </w:divBdr>
    </w:div>
    <w:div w:id="760875852">
      <w:bodyDiv w:val="1"/>
      <w:marLeft w:val="0"/>
      <w:marRight w:val="0"/>
      <w:marTop w:val="0"/>
      <w:marBottom w:val="0"/>
      <w:divBdr>
        <w:top w:val="none" w:sz="0" w:space="0" w:color="auto"/>
        <w:left w:val="none" w:sz="0" w:space="0" w:color="auto"/>
        <w:bottom w:val="none" w:sz="0" w:space="0" w:color="auto"/>
        <w:right w:val="none" w:sz="0" w:space="0" w:color="auto"/>
      </w:divBdr>
    </w:div>
    <w:div w:id="760951936">
      <w:bodyDiv w:val="1"/>
      <w:marLeft w:val="0"/>
      <w:marRight w:val="0"/>
      <w:marTop w:val="0"/>
      <w:marBottom w:val="0"/>
      <w:divBdr>
        <w:top w:val="none" w:sz="0" w:space="0" w:color="auto"/>
        <w:left w:val="none" w:sz="0" w:space="0" w:color="auto"/>
        <w:bottom w:val="none" w:sz="0" w:space="0" w:color="auto"/>
        <w:right w:val="none" w:sz="0" w:space="0" w:color="auto"/>
      </w:divBdr>
    </w:div>
    <w:div w:id="761070976">
      <w:bodyDiv w:val="1"/>
      <w:marLeft w:val="0"/>
      <w:marRight w:val="0"/>
      <w:marTop w:val="0"/>
      <w:marBottom w:val="0"/>
      <w:divBdr>
        <w:top w:val="none" w:sz="0" w:space="0" w:color="auto"/>
        <w:left w:val="none" w:sz="0" w:space="0" w:color="auto"/>
        <w:bottom w:val="none" w:sz="0" w:space="0" w:color="auto"/>
        <w:right w:val="none" w:sz="0" w:space="0" w:color="auto"/>
      </w:divBdr>
    </w:div>
    <w:div w:id="761075163">
      <w:bodyDiv w:val="1"/>
      <w:marLeft w:val="0"/>
      <w:marRight w:val="0"/>
      <w:marTop w:val="0"/>
      <w:marBottom w:val="0"/>
      <w:divBdr>
        <w:top w:val="none" w:sz="0" w:space="0" w:color="auto"/>
        <w:left w:val="none" w:sz="0" w:space="0" w:color="auto"/>
        <w:bottom w:val="none" w:sz="0" w:space="0" w:color="auto"/>
        <w:right w:val="none" w:sz="0" w:space="0" w:color="auto"/>
      </w:divBdr>
    </w:div>
    <w:div w:id="761147404">
      <w:bodyDiv w:val="1"/>
      <w:marLeft w:val="0"/>
      <w:marRight w:val="0"/>
      <w:marTop w:val="0"/>
      <w:marBottom w:val="0"/>
      <w:divBdr>
        <w:top w:val="none" w:sz="0" w:space="0" w:color="auto"/>
        <w:left w:val="none" w:sz="0" w:space="0" w:color="auto"/>
        <w:bottom w:val="none" w:sz="0" w:space="0" w:color="auto"/>
        <w:right w:val="none" w:sz="0" w:space="0" w:color="auto"/>
      </w:divBdr>
    </w:div>
    <w:div w:id="761223486">
      <w:bodyDiv w:val="1"/>
      <w:marLeft w:val="0"/>
      <w:marRight w:val="0"/>
      <w:marTop w:val="0"/>
      <w:marBottom w:val="0"/>
      <w:divBdr>
        <w:top w:val="none" w:sz="0" w:space="0" w:color="auto"/>
        <w:left w:val="none" w:sz="0" w:space="0" w:color="auto"/>
        <w:bottom w:val="none" w:sz="0" w:space="0" w:color="auto"/>
        <w:right w:val="none" w:sz="0" w:space="0" w:color="auto"/>
      </w:divBdr>
    </w:div>
    <w:div w:id="761335413">
      <w:bodyDiv w:val="1"/>
      <w:marLeft w:val="0"/>
      <w:marRight w:val="0"/>
      <w:marTop w:val="0"/>
      <w:marBottom w:val="0"/>
      <w:divBdr>
        <w:top w:val="none" w:sz="0" w:space="0" w:color="auto"/>
        <w:left w:val="none" w:sz="0" w:space="0" w:color="auto"/>
        <w:bottom w:val="none" w:sz="0" w:space="0" w:color="auto"/>
        <w:right w:val="none" w:sz="0" w:space="0" w:color="auto"/>
      </w:divBdr>
    </w:div>
    <w:div w:id="761410461">
      <w:bodyDiv w:val="1"/>
      <w:marLeft w:val="0"/>
      <w:marRight w:val="0"/>
      <w:marTop w:val="0"/>
      <w:marBottom w:val="0"/>
      <w:divBdr>
        <w:top w:val="none" w:sz="0" w:space="0" w:color="auto"/>
        <w:left w:val="none" w:sz="0" w:space="0" w:color="auto"/>
        <w:bottom w:val="none" w:sz="0" w:space="0" w:color="auto"/>
        <w:right w:val="none" w:sz="0" w:space="0" w:color="auto"/>
      </w:divBdr>
    </w:div>
    <w:div w:id="761486402">
      <w:bodyDiv w:val="1"/>
      <w:marLeft w:val="0"/>
      <w:marRight w:val="0"/>
      <w:marTop w:val="0"/>
      <w:marBottom w:val="0"/>
      <w:divBdr>
        <w:top w:val="none" w:sz="0" w:space="0" w:color="auto"/>
        <w:left w:val="none" w:sz="0" w:space="0" w:color="auto"/>
        <w:bottom w:val="none" w:sz="0" w:space="0" w:color="auto"/>
        <w:right w:val="none" w:sz="0" w:space="0" w:color="auto"/>
      </w:divBdr>
    </w:div>
    <w:div w:id="761488666">
      <w:bodyDiv w:val="1"/>
      <w:marLeft w:val="0"/>
      <w:marRight w:val="0"/>
      <w:marTop w:val="0"/>
      <w:marBottom w:val="0"/>
      <w:divBdr>
        <w:top w:val="none" w:sz="0" w:space="0" w:color="auto"/>
        <w:left w:val="none" w:sz="0" w:space="0" w:color="auto"/>
        <w:bottom w:val="none" w:sz="0" w:space="0" w:color="auto"/>
        <w:right w:val="none" w:sz="0" w:space="0" w:color="auto"/>
      </w:divBdr>
    </w:div>
    <w:div w:id="761536173">
      <w:bodyDiv w:val="1"/>
      <w:marLeft w:val="0"/>
      <w:marRight w:val="0"/>
      <w:marTop w:val="0"/>
      <w:marBottom w:val="0"/>
      <w:divBdr>
        <w:top w:val="none" w:sz="0" w:space="0" w:color="auto"/>
        <w:left w:val="none" w:sz="0" w:space="0" w:color="auto"/>
        <w:bottom w:val="none" w:sz="0" w:space="0" w:color="auto"/>
        <w:right w:val="none" w:sz="0" w:space="0" w:color="auto"/>
      </w:divBdr>
    </w:div>
    <w:div w:id="761536836">
      <w:bodyDiv w:val="1"/>
      <w:marLeft w:val="0"/>
      <w:marRight w:val="0"/>
      <w:marTop w:val="0"/>
      <w:marBottom w:val="0"/>
      <w:divBdr>
        <w:top w:val="none" w:sz="0" w:space="0" w:color="auto"/>
        <w:left w:val="none" w:sz="0" w:space="0" w:color="auto"/>
        <w:bottom w:val="none" w:sz="0" w:space="0" w:color="auto"/>
        <w:right w:val="none" w:sz="0" w:space="0" w:color="auto"/>
      </w:divBdr>
    </w:div>
    <w:div w:id="761686037">
      <w:bodyDiv w:val="1"/>
      <w:marLeft w:val="0"/>
      <w:marRight w:val="0"/>
      <w:marTop w:val="0"/>
      <w:marBottom w:val="0"/>
      <w:divBdr>
        <w:top w:val="none" w:sz="0" w:space="0" w:color="auto"/>
        <w:left w:val="none" w:sz="0" w:space="0" w:color="auto"/>
        <w:bottom w:val="none" w:sz="0" w:space="0" w:color="auto"/>
        <w:right w:val="none" w:sz="0" w:space="0" w:color="auto"/>
      </w:divBdr>
    </w:div>
    <w:div w:id="761805581">
      <w:bodyDiv w:val="1"/>
      <w:marLeft w:val="0"/>
      <w:marRight w:val="0"/>
      <w:marTop w:val="0"/>
      <w:marBottom w:val="0"/>
      <w:divBdr>
        <w:top w:val="none" w:sz="0" w:space="0" w:color="auto"/>
        <w:left w:val="none" w:sz="0" w:space="0" w:color="auto"/>
        <w:bottom w:val="none" w:sz="0" w:space="0" w:color="auto"/>
        <w:right w:val="none" w:sz="0" w:space="0" w:color="auto"/>
      </w:divBdr>
    </w:div>
    <w:div w:id="761874423">
      <w:bodyDiv w:val="1"/>
      <w:marLeft w:val="0"/>
      <w:marRight w:val="0"/>
      <w:marTop w:val="0"/>
      <w:marBottom w:val="0"/>
      <w:divBdr>
        <w:top w:val="none" w:sz="0" w:space="0" w:color="auto"/>
        <w:left w:val="none" w:sz="0" w:space="0" w:color="auto"/>
        <w:bottom w:val="none" w:sz="0" w:space="0" w:color="auto"/>
        <w:right w:val="none" w:sz="0" w:space="0" w:color="auto"/>
      </w:divBdr>
    </w:div>
    <w:div w:id="761953473">
      <w:bodyDiv w:val="1"/>
      <w:marLeft w:val="0"/>
      <w:marRight w:val="0"/>
      <w:marTop w:val="0"/>
      <w:marBottom w:val="0"/>
      <w:divBdr>
        <w:top w:val="none" w:sz="0" w:space="0" w:color="auto"/>
        <w:left w:val="none" w:sz="0" w:space="0" w:color="auto"/>
        <w:bottom w:val="none" w:sz="0" w:space="0" w:color="auto"/>
        <w:right w:val="none" w:sz="0" w:space="0" w:color="auto"/>
      </w:divBdr>
    </w:div>
    <w:div w:id="761998709">
      <w:bodyDiv w:val="1"/>
      <w:marLeft w:val="0"/>
      <w:marRight w:val="0"/>
      <w:marTop w:val="0"/>
      <w:marBottom w:val="0"/>
      <w:divBdr>
        <w:top w:val="none" w:sz="0" w:space="0" w:color="auto"/>
        <w:left w:val="none" w:sz="0" w:space="0" w:color="auto"/>
        <w:bottom w:val="none" w:sz="0" w:space="0" w:color="auto"/>
        <w:right w:val="none" w:sz="0" w:space="0" w:color="auto"/>
      </w:divBdr>
    </w:div>
    <w:div w:id="762073664">
      <w:bodyDiv w:val="1"/>
      <w:marLeft w:val="0"/>
      <w:marRight w:val="0"/>
      <w:marTop w:val="0"/>
      <w:marBottom w:val="0"/>
      <w:divBdr>
        <w:top w:val="none" w:sz="0" w:space="0" w:color="auto"/>
        <w:left w:val="none" w:sz="0" w:space="0" w:color="auto"/>
        <w:bottom w:val="none" w:sz="0" w:space="0" w:color="auto"/>
        <w:right w:val="none" w:sz="0" w:space="0" w:color="auto"/>
      </w:divBdr>
    </w:div>
    <w:div w:id="762140967">
      <w:bodyDiv w:val="1"/>
      <w:marLeft w:val="0"/>
      <w:marRight w:val="0"/>
      <w:marTop w:val="0"/>
      <w:marBottom w:val="0"/>
      <w:divBdr>
        <w:top w:val="none" w:sz="0" w:space="0" w:color="auto"/>
        <w:left w:val="none" w:sz="0" w:space="0" w:color="auto"/>
        <w:bottom w:val="none" w:sz="0" w:space="0" w:color="auto"/>
        <w:right w:val="none" w:sz="0" w:space="0" w:color="auto"/>
      </w:divBdr>
    </w:div>
    <w:div w:id="762147165">
      <w:bodyDiv w:val="1"/>
      <w:marLeft w:val="0"/>
      <w:marRight w:val="0"/>
      <w:marTop w:val="0"/>
      <w:marBottom w:val="0"/>
      <w:divBdr>
        <w:top w:val="none" w:sz="0" w:space="0" w:color="auto"/>
        <w:left w:val="none" w:sz="0" w:space="0" w:color="auto"/>
        <w:bottom w:val="none" w:sz="0" w:space="0" w:color="auto"/>
        <w:right w:val="none" w:sz="0" w:space="0" w:color="auto"/>
      </w:divBdr>
    </w:div>
    <w:div w:id="762184575">
      <w:bodyDiv w:val="1"/>
      <w:marLeft w:val="0"/>
      <w:marRight w:val="0"/>
      <w:marTop w:val="0"/>
      <w:marBottom w:val="0"/>
      <w:divBdr>
        <w:top w:val="none" w:sz="0" w:space="0" w:color="auto"/>
        <w:left w:val="none" w:sz="0" w:space="0" w:color="auto"/>
        <w:bottom w:val="none" w:sz="0" w:space="0" w:color="auto"/>
        <w:right w:val="none" w:sz="0" w:space="0" w:color="auto"/>
      </w:divBdr>
    </w:div>
    <w:div w:id="762336107">
      <w:bodyDiv w:val="1"/>
      <w:marLeft w:val="0"/>
      <w:marRight w:val="0"/>
      <w:marTop w:val="0"/>
      <w:marBottom w:val="0"/>
      <w:divBdr>
        <w:top w:val="none" w:sz="0" w:space="0" w:color="auto"/>
        <w:left w:val="none" w:sz="0" w:space="0" w:color="auto"/>
        <w:bottom w:val="none" w:sz="0" w:space="0" w:color="auto"/>
        <w:right w:val="none" w:sz="0" w:space="0" w:color="auto"/>
      </w:divBdr>
    </w:div>
    <w:div w:id="762386132">
      <w:bodyDiv w:val="1"/>
      <w:marLeft w:val="0"/>
      <w:marRight w:val="0"/>
      <w:marTop w:val="0"/>
      <w:marBottom w:val="0"/>
      <w:divBdr>
        <w:top w:val="none" w:sz="0" w:space="0" w:color="auto"/>
        <w:left w:val="none" w:sz="0" w:space="0" w:color="auto"/>
        <w:bottom w:val="none" w:sz="0" w:space="0" w:color="auto"/>
        <w:right w:val="none" w:sz="0" w:space="0" w:color="auto"/>
      </w:divBdr>
    </w:div>
    <w:div w:id="762411145">
      <w:bodyDiv w:val="1"/>
      <w:marLeft w:val="0"/>
      <w:marRight w:val="0"/>
      <w:marTop w:val="0"/>
      <w:marBottom w:val="0"/>
      <w:divBdr>
        <w:top w:val="none" w:sz="0" w:space="0" w:color="auto"/>
        <w:left w:val="none" w:sz="0" w:space="0" w:color="auto"/>
        <w:bottom w:val="none" w:sz="0" w:space="0" w:color="auto"/>
        <w:right w:val="none" w:sz="0" w:space="0" w:color="auto"/>
      </w:divBdr>
    </w:div>
    <w:div w:id="762457770">
      <w:bodyDiv w:val="1"/>
      <w:marLeft w:val="0"/>
      <w:marRight w:val="0"/>
      <w:marTop w:val="0"/>
      <w:marBottom w:val="0"/>
      <w:divBdr>
        <w:top w:val="none" w:sz="0" w:space="0" w:color="auto"/>
        <w:left w:val="none" w:sz="0" w:space="0" w:color="auto"/>
        <w:bottom w:val="none" w:sz="0" w:space="0" w:color="auto"/>
        <w:right w:val="none" w:sz="0" w:space="0" w:color="auto"/>
      </w:divBdr>
    </w:div>
    <w:div w:id="762527298">
      <w:bodyDiv w:val="1"/>
      <w:marLeft w:val="0"/>
      <w:marRight w:val="0"/>
      <w:marTop w:val="0"/>
      <w:marBottom w:val="0"/>
      <w:divBdr>
        <w:top w:val="none" w:sz="0" w:space="0" w:color="auto"/>
        <w:left w:val="none" w:sz="0" w:space="0" w:color="auto"/>
        <w:bottom w:val="none" w:sz="0" w:space="0" w:color="auto"/>
        <w:right w:val="none" w:sz="0" w:space="0" w:color="auto"/>
      </w:divBdr>
    </w:div>
    <w:div w:id="762603229">
      <w:bodyDiv w:val="1"/>
      <w:marLeft w:val="0"/>
      <w:marRight w:val="0"/>
      <w:marTop w:val="0"/>
      <w:marBottom w:val="0"/>
      <w:divBdr>
        <w:top w:val="none" w:sz="0" w:space="0" w:color="auto"/>
        <w:left w:val="none" w:sz="0" w:space="0" w:color="auto"/>
        <w:bottom w:val="none" w:sz="0" w:space="0" w:color="auto"/>
        <w:right w:val="none" w:sz="0" w:space="0" w:color="auto"/>
      </w:divBdr>
    </w:div>
    <w:div w:id="762607198">
      <w:bodyDiv w:val="1"/>
      <w:marLeft w:val="0"/>
      <w:marRight w:val="0"/>
      <w:marTop w:val="0"/>
      <w:marBottom w:val="0"/>
      <w:divBdr>
        <w:top w:val="none" w:sz="0" w:space="0" w:color="auto"/>
        <w:left w:val="none" w:sz="0" w:space="0" w:color="auto"/>
        <w:bottom w:val="none" w:sz="0" w:space="0" w:color="auto"/>
        <w:right w:val="none" w:sz="0" w:space="0" w:color="auto"/>
      </w:divBdr>
    </w:div>
    <w:div w:id="762608828">
      <w:bodyDiv w:val="1"/>
      <w:marLeft w:val="0"/>
      <w:marRight w:val="0"/>
      <w:marTop w:val="0"/>
      <w:marBottom w:val="0"/>
      <w:divBdr>
        <w:top w:val="none" w:sz="0" w:space="0" w:color="auto"/>
        <w:left w:val="none" w:sz="0" w:space="0" w:color="auto"/>
        <w:bottom w:val="none" w:sz="0" w:space="0" w:color="auto"/>
        <w:right w:val="none" w:sz="0" w:space="0" w:color="auto"/>
      </w:divBdr>
    </w:div>
    <w:div w:id="762653072">
      <w:bodyDiv w:val="1"/>
      <w:marLeft w:val="0"/>
      <w:marRight w:val="0"/>
      <w:marTop w:val="0"/>
      <w:marBottom w:val="0"/>
      <w:divBdr>
        <w:top w:val="none" w:sz="0" w:space="0" w:color="auto"/>
        <w:left w:val="none" w:sz="0" w:space="0" w:color="auto"/>
        <w:bottom w:val="none" w:sz="0" w:space="0" w:color="auto"/>
        <w:right w:val="none" w:sz="0" w:space="0" w:color="auto"/>
      </w:divBdr>
    </w:div>
    <w:div w:id="762653954">
      <w:bodyDiv w:val="1"/>
      <w:marLeft w:val="0"/>
      <w:marRight w:val="0"/>
      <w:marTop w:val="0"/>
      <w:marBottom w:val="0"/>
      <w:divBdr>
        <w:top w:val="none" w:sz="0" w:space="0" w:color="auto"/>
        <w:left w:val="none" w:sz="0" w:space="0" w:color="auto"/>
        <w:bottom w:val="none" w:sz="0" w:space="0" w:color="auto"/>
        <w:right w:val="none" w:sz="0" w:space="0" w:color="auto"/>
      </w:divBdr>
    </w:div>
    <w:div w:id="762726215">
      <w:bodyDiv w:val="1"/>
      <w:marLeft w:val="0"/>
      <w:marRight w:val="0"/>
      <w:marTop w:val="0"/>
      <w:marBottom w:val="0"/>
      <w:divBdr>
        <w:top w:val="none" w:sz="0" w:space="0" w:color="auto"/>
        <w:left w:val="none" w:sz="0" w:space="0" w:color="auto"/>
        <w:bottom w:val="none" w:sz="0" w:space="0" w:color="auto"/>
        <w:right w:val="none" w:sz="0" w:space="0" w:color="auto"/>
      </w:divBdr>
    </w:div>
    <w:div w:id="762797065">
      <w:bodyDiv w:val="1"/>
      <w:marLeft w:val="0"/>
      <w:marRight w:val="0"/>
      <w:marTop w:val="0"/>
      <w:marBottom w:val="0"/>
      <w:divBdr>
        <w:top w:val="none" w:sz="0" w:space="0" w:color="auto"/>
        <w:left w:val="none" w:sz="0" w:space="0" w:color="auto"/>
        <w:bottom w:val="none" w:sz="0" w:space="0" w:color="auto"/>
        <w:right w:val="none" w:sz="0" w:space="0" w:color="auto"/>
      </w:divBdr>
    </w:div>
    <w:div w:id="762841674">
      <w:bodyDiv w:val="1"/>
      <w:marLeft w:val="0"/>
      <w:marRight w:val="0"/>
      <w:marTop w:val="0"/>
      <w:marBottom w:val="0"/>
      <w:divBdr>
        <w:top w:val="none" w:sz="0" w:space="0" w:color="auto"/>
        <w:left w:val="none" w:sz="0" w:space="0" w:color="auto"/>
        <w:bottom w:val="none" w:sz="0" w:space="0" w:color="auto"/>
        <w:right w:val="none" w:sz="0" w:space="0" w:color="auto"/>
      </w:divBdr>
    </w:div>
    <w:div w:id="763038472">
      <w:bodyDiv w:val="1"/>
      <w:marLeft w:val="0"/>
      <w:marRight w:val="0"/>
      <w:marTop w:val="0"/>
      <w:marBottom w:val="0"/>
      <w:divBdr>
        <w:top w:val="none" w:sz="0" w:space="0" w:color="auto"/>
        <w:left w:val="none" w:sz="0" w:space="0" w:color="auto"/>
        <w:bottom w:val="none" w:sz="0" w:space="0" w:color="auto"/>
        <w:right w:val="none" w:sz="0" w:space="0" w:color="auto"/>
      </w:divBdr>
    </w:div>
    <w:div w:id="763113090">
      <w:bodyDiv w:val="1"/>
      <w:marLeft w:val="0"/>
      <w:marRight w:val="0"/>
      <w:marTop w:val="0"/>
      <w:marBottom w:val="0"/>
      <w:divBdr>
        <w:top w:val="none" w:sz="0" w:space="0" w:color="auto"/>
        <w:left w:val="none" w:sz="0" w:space="0" w:color="auto"/>
        <w:bottom w:val="none" w:sz="0" w:space="0" w:color="auto"/>
        <w:right w:val="none" w:sz="0" w:space="0" w:color="auto"/>
      </w:divBdr>
    </w:div>
    <w:div w:id="763260667">
      <w:bodyDiv w:val="1"/>
      <w:marLeft w:val="0"/>
      <w:marRight w:val="0"/>
      <w:marTop w:val="0"/>
      <w:marBottom w:val="0"/>
      <w:divBdr>
        <w:top w:val="none" w:sz="0" w:space="0" w:color="auto"/>
        <w:left w:val="none" w:sz="0" w:space="0" w:color="auto"/>
        <w:bottom w:val="none" w:sz="0" w:space="0" w:color="auto"/>
        <w:right w:val="none" w:sz="0" w:space="0" w:color="auto"/>
      </w:divBdr>
    </w:div>
    <w:div w:id="763378781">
      <w:bodyDiv w:val="1"/>
      <w:marLeft w:val="0"/>
      <w:marRight w:val="0"/>
      <w:marTop w:val="0"/>
      <w:marBottom w:val="0"/>
      <w:divBdr>
        <w:top w:val="none" w:sz="0" w:space="0" w:color="auto"/>
        <w:left w:val="none" w:sz="0" w:space="0" w:color="auto"/>
        <w:bottom w:val="none" w:sz="0" w:space="0" w:color="auto"/>
        <w:right w:val="none" w:sz="0" w:space="0" w:color="auto"/>
      </w:divBdr>
    </w:div>
    <w:div w:id="763385375">
      <w:bodyDiv w:val="1"/>
      <w:marLeft w:val="0"/>
      <w:marRight w:val="0"/>
      <w:marTop w:val="0"/>
      <w:marBottom w:val="0"/>
      <w:divBdr>
        <w:top w:val="none" w:sz="0" w:space="0" w:color="auto"/>
        <w:left w:val="none" w:sz="0" w:space="0" w:color="auto"/>
        <w:bottom w:val="none" w:sz="0" w:space="0" w:color="auto"/>
        <w:right w:val="none" w:sz="0" w:space="0" w:color="auto"/>
      </w:divBdr>
    </w:div>
    <w:div w:id="763452363">
      <w:bodyDiv w:val="1"/>
      <w:marLeft w:val="0"/>
      <w:marRight w:val="0"/>
      <w:marTop w:val="0"/>
      <w:marBottom w:val="0"/>
      <w:divBdr>
        <w:top w:val="none" w:sz="0" w:space="0" w:color="auto"/>
        <w:left w:val="none" w:sz="0" w:space="0" w:color="auto"/>
        <w:bottom w:val="none" w:sz="0" w:space="0" w:color="auto"/>
        <w:right w:val="none" w:sz="0" w:space="0" w:color="auto"/>
      </w:divBdr>
    </w:div>
    <w:div w:id="763458108">
      <w:bodyDiv w:val="1"/>
      <w:marLeft w:val="0"/>
      <w:marRight w:val="0"/>
      <w:marTop w:val="0"/>
      <w:marBottom w:val="0"/>
      <w:divBdr>
        <w:top w:val="none" w:sz="0" w:space="0" w:color="auto"/>
        <w:left w:val="none" w:sz="0" w:space="0" w:color="auto"/>
        <w:bottom w:val="none" w:sz="0" w:space="0" w:color="auto"/>
        <w:right w:val="none" w:sz="0" w:space="0" w:color="auto"/>
      </w:divBdr>
    </w:div>
    <w:div w:id="763645373">
      <w:bodyDiv w:val="1"/>
      <w:marLeft w:val="0"/>
      <w:marRight w:val="0"/>
      <w:marTop w:val="0"/>
      <w:marBottom w:val="0"/>
      <w:divBdr>
        <w:top w:val="none" w:sz="0" w:space="0" w:color="auto"/>
        <w:left w:val="none" w:sz="0" w:space="0" w:color="auto"/>
        <w:bottom w:val="none" w:sz="0" w:space="0" w:color="auto"/>
        <w:right w:val="none" w:sz="0" w:space="0" w:color="auto"/>
      </w:divBdr>
    </w:div>
    <w:div w:id="763651799">
      <w:bodyDiv w:val="1"/>
      <w:marLeft w:val="0"/>
      <w:marRight w:val="0"/>
      <w:marTop w:val="0"/>
      <w:marBottom w:val="0"/>
      <w:divBdr>
        <w:top w:val="none" w:sz="0" w:space="0" w:color="auto"/>
        <w:left w:val="none" w:sz="0" w:space="0" w:color="auto"/>
        <w:bottom w:val="none" w:sz="0" w:space="0" w:color="auto"/>
        <w:right w:val="none" w:sz="0" w:space="0" w:color="auto"/>
      </w:divBdr>
    </w:div>
    <w:div w:id="763955843">
      <w:bodyDiv w:val="1"/>
      <w:marLeft w:val="0"/>
      <w:marRight w:val="0"/>
      <w:marTop w:val="0"/>
      <w:marBottom w:val="0"/>
      <w:divBdr>
        <w:top w:val="none" w:sz="0" w:space="0" w:color="auto"/>
        <w:left w:val="none" w:sz="0" w:space="0" w:color="auto"/>
        <w:bottom w:val="none" w:sz="0" w:space="0" w:color="auto"/>
        <w:right w:val="none" w:sz="0" w:space="0" w:color="auto"/>
      </w:divBdr>
    </w:div>
    <w:div w:id="763957207">
      <w:bodyDiv w:val="1"/>
      <w:marLeft w:val="0"/>
      <w:marRight w:val="0"/>
      <w:marTop w:val="0"/>
      <w:marBottom w:val="0"/>
      <w:divBdr>
        <w:top w:val="none" w:sz="0" w:space="0" w:color="auto"/>
        <w:left w:val="none" w:sz="0" w:space="0" w:color="auto"/>
        <w:bottom w:val="none" w:sz="0" w:space="0" w:color="auto"/>
        <w:right w:val="none" w:sz="0" w:space="0" w:color="auto"/>
      </w:divBdr>
    </w:div>
    <w:div w:id="764031728">
      <w:bodyDiv w:val="1"/>
      <w:marLeft w:val="0"/>
      <w:marRight w:val="0"/>
      <w:marTop w:val="0"/>
      <w:marBottom w:val="0"/>
      <w:divBdr>
        <w:top w:val="none" w:sz="0" w:space="0" w:color="auto"/>
        <w:left w:val="none" w:sz="0" w:space="0" w:color="auto"/>
        <w:bottom w:val="none" w:sz="0" w:space="0" w:color="auto"/>
        <w:right w:val="none" w:sz="0" w:space="0" w:color="auto"/>
      </w:divBdr>
    </w:div>
    <w:div w:id="764033346">
      <w:bodyDiv w:val="1"/>
      <w:marLeft w:val="0"/>
      <w:marRight w:val="0"/>
      <w:marTop w:val="0"/>
      <w:marBottom w:val="0"/>
      <w:divBdr>
        <w:top w:val="none" w:sz="0" w:space="0" w:color="auto"/>
        <w:left w:val="none" w:sz="0" w:space="0" w:color="auto"/>
        <w:bottom w:val="none" w:sz="0" w:space="0" w:color="auto"/>
        <w:right w:val="none" w:sz="0" w:space="0" w:color="auto"/>
      </w:divBdr>
    </w:div>
    <w:div w:id="764036679">
      <w:bodyDiv w:val="1"/>
      <w:marLeft w:val="0"/>
      <w:marRight w:val="0"/>
      <w:marTop w:val="0"/>
      <w:marBottom w:val="0"/>
      <w:divBdr>
        <w:top w:val="none" w:sz="0" w:space="0" w:color="auto"/>
        <w:left w:val="none" w:sz="0" w:space="0" w:color="auto"/>
        <w:bottom w:val="none" w:sz="0" w:space="0" w:color="auto"/>
        <w:right w:val="none" w:sz="0" w:space="0" w:color="auto"/>
      </w:divBdr>
    </w:div>
    <w:div w:id="764106549">
      <w:bodyDiv w:val="1"/>
      <w:marLeft w:val="0"/>
      <w:marRight w:val="0"/>
      <w:marTop w:val="0"/>
      <w:marBottom w:val="0"/>
      <w:divBdr>
        <w:top w:val="none" w:sz="0" w:space="0" w:color="auto"/>
        <w:left w:val="none" w:sz="0" w:space="0" w:color="auto"/>
        <w:bottom w:val="none" w:sz="0" w:space="0" w:color="auto"/>
        <w:right w:val="none" w:sz="0" w:space="0" w:color="auto"/>
      </w:divBdr>
    </w:div>
    <w:div w:id="764153799">
      <w:bodyDiv w:val="1"/>
      <w:marLeft w:val="0"/>
      <w:marRight w:val="0"/>
      <w:marTop w:val="0"/>
      <w:marBottom w:val="0"/>
      <w:divBdr>
        <w:top w:val="none" w:sz="0" w:space="0" w:color="auto"/>
        <w:left w:val="none" w:sz="0" w:space="0" w:color="auto"/>
        <w:bottom w:val="none" w:sz="0" w:space="0" w:color="auto"/>
        <w:right w:val="none" w:sz="0" w:space="0" w:color="auto"/>
      </w:divBdr>
    </w:div>
    <w:div w:id="764225777">
      <w:bodyDiv w:val="1"/>
      <w:marLeft w:val="0"/>
      <w:marRight w:val="0"/>
      <w:marTop w:val="0"/>
      <w:marBottom w:val="0"/>
      <w:divBdr>
        <w:top w:val="none" w:sz="0" w:space="0" w:color="auto"/>
        <w:left w:val="none" w:sz="0" w:space="0" w:color="auto"/>
        <w:bottom w:val="none" w:sz="0" w:space="0" w:color="auto"/>
        <w:right w:val="none" w:sz="0" w:space="0" w:color="auto"/>
      </w:divBdr>
    </w:div>
    <w:div w:id="764303492">
      <w:bodyDiv w:val="1"/>
      <w:marLeft w:val="0"/>
      <w:marRight w:val="0"/>
      <w:marTop w:val="0"/>
      <w:marBottom w:val="0"/>
      <w:divBdr>
        <w:top w:val="none" w:sz="0" w:space="0" w:color="auto"/>
        <w:left w:val="none" w:sz="0" w:space="0" w:color="auto"/>
        <w:bottom w:val="none" w:sz="0" w:space="0" w:color="auto"/>
        <w:right w:val="none" w:sz="0" w:space="0" w:color="auto"/>
      </w:divBdr>
    </w:div>
    <w:div w:id="764418176">
      <w:bodyDiv w:val="1"/>
      <w:marLeft w:val="0"/>
      <w:marRight w:val="0"/>
      <w:marTop w:val="0"/>
      <w:marBottom w:val="0"/>
      <w:divBdr>
        <w:top w:val="none" w:sz="0" w:space="0" w:color="auto"/>
        <w:left w:val="none" w:sz="0" w:space="0" w:color="auto"/>
        <w:bottom w:val="none" w:sz="0" w:space="0" w:color="auto"/>
        <w:right w:val="none" w:sz="0" w:space="0" w:color="auto"/>
      </w:divBdr>
    </w:div>
    <w:div w:id="764423762">
      <w:bodyDiv w:val="1"/>
      <w:marLeft w:val="0"/>
      <w:marRight w:val="0"/>
      <w:marTop w:val="0"/>
      <w:marBottom w:val="0"/>
      <w:divBdr>
        <w:top w:val="none" w:sz="0" w:space="0" w:color="auto"/>
        <w:left w:val="none" w:sz="0" w:space="0" w:color="auto"/>
        <w:bottom w:val="none" w:sz="0" w:space="0" w:color="auto"/>
        <w:right w:val="none" w:sz="0" w:space="0" w:color="auto"/>
      </w:divBdr>
    </w:div>
    <w:div w:id="764495196">
      <w:bodyDiv w:val="1"/>
      <w:marLeft w:val="0"/>
      <w:marRight w:val="0"/>
      <w:marTop w:val="0"/>
      <w:marBottom w:val="0"/>
      <w:divBdr>
        <w:top w:val="none" w:sz="0" w:space="0" w:color="auto"/>
        <w:left w:val="none" w:sz="0" w:space="0" w:color="auto"/>
        <w:bottom w:val="none" w:sz="0" w:space="0" w:color="auto"/>
        <w:right w:val="none" w:sz="0" w:space="0" w:color="auto"/>
      </w:divBdr>
    </w:div>
    <w:div w:id="764498111">
      <w:bodyDiv w:val="1"/>
      <w:marLeft w:val="0"/>
      <w:marRight w:val="0"/>
      <w:marTop w:val="0"/>
      <w:marBottom w:val="0"/>
      <w:divBdr>
        <w:top w:val="none" w:sz="0" w:space="0" w:color="auto"/>
        <w:left w:val="none" w:sz="0" w:space="0" w:color="auto"/>
        <w:bottom w:val="none" w:sz="0" w:space="0" w:color="auto"/>
        <w:right w:val="none" w:sz="0" w:space="0" w:color="auto"/>
      </w:divBdr>
    </w:div>
    <w:div w:id="764766374">
      <w:bodyDiv w:val="1"/>
      <w:marLeft w:val="0"/>
      <w:marRight w:val="0"/>
      <w:marTop w:val="0"/>
      <w:marBottom w:val="0"/>
      <w:divBdr>
        <w:top w:val="none" w:sz="0" w:space="0" w:color="auto"/>
        <w:left w:val="none" w:sz="0" w:space="0" w:color="auto"/>
        <w:bottom w:val="none" w:sz="0" w:space="0" w:color="auto"/>
        <w:right w:val="none" w:sz="0" w:space="0" w:color="auto"/>
      </w:divBdr>
    </w:div>
    <w:div w:id="764807921">
      <w:bodyDiv w:val="1"/>
      <w:marLeft w:val="0"/>
      <w:marRight w:val="0"/>
      <w:marTop w:val="0"/>
      <w:marBottom w:val="0"/>
      <w:divBdr>
        <w:top w:val="none" w:sz="0" w:space="0" w:color="auto"/>
        <w:left w:val="none" w:sz="0" w:space="0" w:color="auto"/>
        <w:bottom w:val="none" w:sz="0" w:space="0" w:color="auto"/>
        <w:right w:val="none" w:sz="0" w:space="0" w:color="auto"/>
      </w:divBdr>
    </w:div>
    <w:div w:id="765031315">
      <w:bodyDiv w:val="1"/>
      <w:marLeft w:val="0"/>
      <w:marRight w:val="0"/>
      <w:marTop w:val="0"/>
      <w:marBottom w:val="0"/>
      <w:divBdr>
        <w:top w:val="none" w:sz="0" w:space="0" w:color="auto"/>
        <w:left w:val="none" w:sz="0" w:space="0" w:color="auto"/>
        <w:bottom w:val="none" w:sz="0" w:space="0" w:color="auto"/>
        <w:right w:val="none" w:sz="0" w:space="0" w:color="auto"/>
      </w:divBdr>
    </w:div>
    <w:div w:id="765074505">
      <w:bodyDiv w:val="1"/>
      <w:marLeft w:val="0"/>
      <w:marRight w:val="0"/>
      <w:marTop w:val="0"/>
      <w:marBottom w:val="0"/>
      <w:divBdr>
        <w:top w:val="none" w:sz="0" w:space="0" w:color="auto"/>
        <w:left w:val="none" w:sz="0" w:space="0" w:color="auto"/>
        <w:bottom w:val="none" w:sz="0" w:space="0" w:color="auto"/>
        <w:right w:val="none" w:sz="0" w:space="0" w:color="auto"/>
      </w:divBdr>
    </w:div>
    <w:div w:id="765077569">
      <w:bodyDiv w:val="1"/>
      <w:marLeft w:val="0"/>
      <w:marRight w:val="0"/>
      <w:marTop w:val="0"/>
      <w:marBottom w:val="0"/>
      <w:divBdr>
        <w:top w:val="none" w:sz="0" w:space="0" w:color="auto"/>
        <w:left w:val="none" w:sz="0" w:space="0" w:color="auto"/>
        <w:bottom w:val="none" w:sz="0" w:space="0" w:color="auto"/>
        <w:right w:val="none" w:sz="0" w:space="0" w:color="auto"/>
      </w:divBdr>
    </w:div>
    <w:div w:id="765150415">
      <w:bodyDiv w:val="1"/>
      <w:marLeft w:val="0"/>
      <w:marRight w:val="0"/>
      <w:marTop w:val="0"/>
      <w:marBottom w:val="0"/>
      <w:divBdr>
        <w:top w:val="none" w:sz="0" w:space="0" w:color="auto"/>
        <w:left w:val="none" w:sz="0" w:space="0" w:color="auto"/>
        <w:bottom w:val="none" w:sz="0" w:space="0" w:color="auto"/>
        <w:right w:val="none" w:sz="0" w:space="0" w:color="auto"/>
      </w:divBdr>
    </w:div>
    <w:div w:id="765153612">
      <w:bodyDiv w:val="1"/>
      <w:marLeft w:val="0"/>
      <w:marRight w:val="0"/>
      <w:marTop w:val="0"/>
      <w:marBottom w:val="0"/>
      <w:divBdr>
        <w:top w:val="none" w:sz="0" w:space="0" w:color="auto"/>
        <w:left w:val="none" w:sz="0" w:space="0" w:color="auto"/>
        <w:bottom w:val="none" w:sz="0" w:space="0" w:color="auto"/>
        <w:right w:val="none" w:sz="0" w:space="0" w:color="auto"/>
      </w:divBdr>
    </w:div>
    <w:div w:id="765230578">
      <w:bodyDiv w:val="1"/>
      <w:marLeft w:val="0"/>
      <w:marRight w:val="0"/>
      <w:marTop w:val="0"/>
      <w:marBottom w:val="0"/>
      <w:divBdr>
        <w:top w:val="none" w:sz="0" w:space="0" w:color="auto"/>
        <w:left w:val="none" w:sz="0" w:space="0" w:color="auto"/>
        <w:bottom w:val="none" w:sz="0" w:space="0" w:color="auto"/>
        <w:right w:val="none" w:sz="0" w:space="0" w:color="auto"/>
      </w:divBdr>
    </w:div>
    <w:div w:id="765467314">
      <w:bodyDiv w:val="1"/>
      <w:marLeft w:val="0"/>
      <w:marRight w:val="0"/>
      <w:marTop w:val="0"/>
      <w:marBottom w:val="0"/>
      <w:divBdr>
        <w:top w:val="none" w:sz="0" w:space="0" w:color="auto"/>
        <w:left w:val="none" w:sz="0" w:space="0" w:color="auto"/>
        <w:bottom w:val="none" w:sz="0" w:space="0" w:color="auto"/>
        <w:right w:val="none" w:sz="0" w:space="0" w:color="auto"/>
      </w:divBdr>
    </w:div>
    <w:div w:id="765468199">
      <w:bodyDiv w:val="1"/>
      <w:marLeft w:val="0"/>
      <w:marRight w:val="0"/>
      <w:marTop w:val="0"/>
      <w:marBottom w:val="0"/>
      <w:divBdr>
        <w:top w:val="none" w:sz="0" w:space="0" w:color="auto"/>
        <w:left w:val="none" w:sz="0" w:space="0" w:color="auto"/>
        <w:bottom w:val="none" w:sz="0" w:space="0" w:color="auto"/>
        <w:right w:val="none" w:sz="0" w:space="0" w:color="auto"/>
      </w:divBdr>
    </w:div>
    <w:div w:id="765729210">
      <w:bodyDiv w:val="1"/>
      <w:marLeft w:val="0"/>
      <w:marRight w:val="0"/>
      <w:marTop w:val="0"/>
      <w:marBottom w:val="0"/>
      <w:divBdr>
        <w:top w:val="none" w:sz="0" w:space="0" w:color="auto"/>
        <w:left w:val="none" w:sz="0" w:space="0" w:color="auto"/>
        <w:bottom w:val="none" w:sz="0" w:space="0" w:color="auto"/>
        <w:right w:val="none" w:sz="0" w:space="0" w:color="auto"/>
      </w:divBdr>
    </w:div>
    <w:div w:id="765808692">
      <w:bodyDiv w:val="1"/>
      <w:marLeft w:val="0"/>
      <w:marRight w:val="0"/>
      <w:marTop w:val="0"/>
      <w:marBottom w:val="0"/>
      <w:divBdr>
        <w:top w:val="none" w:sz="0" w:space="0" w:color="auto"/>
        <w:left w:val="none" w:sz="0" w:space="0" w:color="auto"/>
        <w:bottom w:val="none" w:sz="0" w:space="0" w:color="auto"/>
        <w:right w:val="none" w:sz="0" w:space="0" w:color="auto"/>
      </w:divBdr>
    </w:div>
    <w:div w:id="765854523">
      <w:bodyDiv w:val="1"/>
      <w:marLeft w:val="0"/>
      <w:marRight w:val="0"/>
      <w:marTop w:val="0"/>
      <w:marBottom w:val="0"/>
      <w:divBdr>
        <w:top w:val="none" w:sz="0" w:space="0" w:color="auto"/>
        <w:left w:val="none" w:sz="0" w:space="0" w:color="auto"/>
        <w:bottom w:val="none" w:sz="0" w:space="0" w:color="auto"/>
        <w:right w:val="none" w:sz="0" w:space="0" w:color="auto"/>
      </w:divBdr>
    </w:div>
    <w:div w:id="765925887">
      <w:bodyDiv w:val="1"/>
      <w:marLeft w:val="0"/>
      <w:marRight w:val="0"/>
      <w:marTop w:val="0"/>
      <w:marBottom w:val="0"/>
      <w:divBdr>
        <w:top w:val="none" w:sz="0" w:space="0" w:color="auto"/>
        <w:left w:val="none" w:sz="0" w:space="0" w:color="auto"/>
        <w:bottom w:val="none" w:sz="0" w:space="0" w:color="auto"/>
        <w:right w:val="none" w:sz="0" w:space="0" w:color="auto"/>
      </w:divBdr>
    </w:div>
    <w:div w:id="765998812">
      <w:bodyDiv w:val="1"/>
      <w:marLeft w:val="0"/>
      <w:marRight w:val="0"/>
      <w:marTop w:val="0"/>
      <w:marBottom w:val="0"/>
      <w:divBdr>
        <w:top w:val="none" w:sz="0" w:space="0" w:color="auto"/>
        <w:left w:val="none" w:sz="0" w:space="0" w:color="auto"/>
        <w:bottom w:val="none" w:sz="0" w:space="0" w:color="auto"/>
        <w:right w:val="none" w:sz="0" w:space="0" w:color="auto"/>
      </w:divBdr>
    </w:div>
    <w:div w:id="766123803">
      <w:bodyDiv w:val="1"/>
      <w:marLeft w:val="0"/>
      <w:marRight w:val="0"/>
      <w:marTop w:val="0"/>
      <w:marBottom w:val="0"/>
      <w:divBdr>
        <w:top w:val="none" w:sz="0" w:space="0" w:color="auto"/>
        <w:left w:val="none" w:sz="0" w:space="0" w:color="auto"/>
        <w:bottom w:val="none" w:sz="0" w:space="0" w:color="auto"/>
        <w:right w:val="none" w:sz="0" w:space="0" w:color="auto"/>
      </w:divBdr>
    </w:div>
    <w:div w:id="766194849">
      <w:bodyDiv w:val="1"/>
      <w:marLeft w:val="0"/>
      <w:marRight w:val="0"/>
      <w:marTop w:val="0"/>
      <w:marBottom w:val="0"/>
      <w:divBdr>
        <w:top w:val="none" w:sz="0" w:space="0" w:color="auto"/>
        <w:left w:val="none" w:sz="0" w:space="0" w:color="auto"/>
        <w:bottom w:val="none" w:sz="0" w:space="0" w:color="auto"/>
        <w:right w:val="none" w:sz="0" w:space="0" w:color="auto"/>
      </w:divBdr>
    </w:div>
    <w:div w:id="766199116">
      <w:bodyDiv w:val="1"/>
      <w:marLeft w:val="0"/>
      <w:marRight w:val="0"/>
      <w:marTop w:val="0"/>
      <w:marBottom w:val="0"/>
      <w:divBdr>
        <w:top w:val="none" w:sz="0" w:space="0" w:color="auto"/>
        <w:left w:val="none" w:sz="0" w:space="0" w:color="auto"/>
        <w:bottom w:val="none" w:sz="0" w:space="0" w:color="auto"/>
        <w:right w:val="none" w:sz="0" w:space="0" w:color="auto"/>
      </w:divBdr>
    </w:div>
    <w:div w:id="766314747">
      <w:bodyDiv w:val="1"/>
      <w:marLeft w:val="0"/>
      <w:marRight w:val="0"/>
      <w:marTop w:val="0"/>
      <w:marBottom w:val="0"/>
      <w:divBdr>
        <w:top w:val="none" w:sz="0" w:space="0" w:color="auto"/>
        <w:left w:val="none" w:sz="0" w:space="0" w:color="auto"/>
        <w:bottom w:val="none" w:sz="0" w:space="0" w:color="auto"/>
        <w:right w:val="none" w:sz="0" w:space="0" w:color="auto"/>
      </w:divBdr>
    </w:div>
    <w:div w:id="766343708">
      <w:bodyDiv w:val="1"/>
      <w:marLeft w:val="0"/>
      <w:marRight w:val="0"/>
      <w:marTop w:val="0"/>
      <w:marBottom w:val="0"/>
      <w:divBdr>
        <w:top w:val="none" w:sz="0" w:space="0" w:color="auto"/>
        <w:left w:val="none" w:sz="0" w:space="0" w:color="auto"/>
        <w:bottom w:val="none" w:sz="0" w:space="0" w:color="auto"/>
        <w:right w:val="none" w:sz="0" w:space="0" w:color="auto"/>
      </w:divBdr>
    </w:div>
    <w:div w:id="766344643">
      <w:bodyDiv w:val="1"/>
      <w:marLeft w:val="0"/>
      <w:marRight w:val="0"/>
      <w:marTop w:val="0"/>
      <w:marBottom w:val="0"/>
      <w:divBdr>
        <w:top w:val="none" w:sz="0" w:space="0" w:color="auto"/>
        <w:left w:val="none" w:sz="0" w:space="0" w:color="auto"/>
        <w:bottom w:val="none" w:sz="0" w:space="0" w:color="auto"/>
        <w:right w:val="none" w:sz="0" w:space="0" w:color="auto"/>
      </w:divBdr>
    </w:div>
    <w:div w:id="766383417">
      <w:bodyDiv w:val="1"/>
      <w:marLeft w:val="0"/>
      <w:marRight w:val="0"/>
      <w:marTop w:val="0"/>
      <w:marBottom w:val="0"/>
      <w:divBdr>
        <w:top w:val="none" w:sz="0" w:space="0" w:color="auto"/>
        <w:left w:val="none" w:sz="0" w:space="0" w:color="auto"/>
        <w:bottom w:val="none" w:sz="0" w:space="0" w:color="auto"/>
        <w:right w:val="none" w:sz="0" w:space="0" w:color="auto"/>
      </w:divBdr>
    </w:div>
    <w:div w:id="766391696">
      <w:bodyDiv w:val="1"/>
      <w:marLeft w:val="0"/>
      <w:marRight w:val="0"/>
      <w:marTop w:val="0"/>
      <w:marBottom w:val="0"/>
      <w:divBdr>
        <w:top w:val="none" w:sz="0" w:space="0" w:color="auto"/>
        <w:left w:val="none" w:sz="0" w:space="0" w:color="auto"/>
        <w:bottom w:val="none" w:sz="0" w:space="0" w:color="auto"/>
        <w:right w:val="none" w:sz="0" w:space="0" w:color="auto"/>
      </w:divBdr>
    </w:div>
    <w:div w:id="766460673">
      <w:bodyDiv w:val="1"/>
      <w:marLeft w:val="0"/>
      <w:marRight w:val="0"/>
      <w:marTop w:val="0"/>
      <w:marBottom w:val="0"/>
      <w:divBdr>
        <w:top w:val="none" w:sz="0" w:space="0" w:color="auto"/>
        <w:left w:val="none" w:sz="0" w:space="0" w:color="auto"/>
        <w:bottom w:val="none" w:sz="0" w:space="0" w:color="auto"/>
        <w:right w:val="none" w:sz="0" w:space="0" w:color="auto"/>
      </w:divBdr>
    </w:div>
    <w:div w:id="766539527">
      <w:bodyDiv w:val="1"/>
      <w:marLeft w:val="0"/>
      <w:marRight w:val="0"/>
      <w:marTop w:val="0"/>
      <w:marBottom w:val="0"/>
      <w:divBdr>
        <w:top w:val="none" w:sz="0" w:space="0" w:color="auto"/>
        <w:left w:val="none" w:sz="0" w:space="0" w:color="auto"/>
        <w:bottom w:val="none" w:sz="0" w:space="0" w:color="auto"/>
        <w:right w:val="none" w:sz="0" w:space="0" w:color="auto"/>
      </w:divBdr>
    </w:div>
    <w:div w:id="766659917">
      <w:bodyDiv w:val="1"/>
      <w:marLeft w:val="0"/>
      <w:marRight w:val="0"/>
      <w:marTop w:val="0"/>
      <w:marBottom w:val="0"/>
      <w:divBdr>
        <w:top w:val="none" w:sz="0" w:space="0" w:color="auto"/>
        <w:left w:val="none" w:sz="0" w:space="0" w:color="auto"/>
        <w:bottom w:val="none" w:sz="0" w:space="0" w:color="auto"/>
        <w:right w:val="none" w:sz="0" w:space="0" w:color="auto"/>
      </w:divBdr>
    </w:div>
    <w:div w:id="766734386">
      <w:bodyDiv w:val="1"/>
      <w:marLeft w:val="0"/>
      <w:marRight w:val="0"/>
      <w:marTop w:val="0"/>
      <w:marBottom w:val="0"/>
      <w:divBdr>
        <w:top w:val="none" w:sz="0" w:space="0" w:color="auto"/>
        <w:left w:val="none" w:sz="0" w:space="0" w:color="auto"/>
        <w:bottom w:val="none" w:sz="0" w:space="0" w:color="auto"/>
        <w:right w:val="none" w:sz="0" w:space="0" w:color="auto"/>
      </w:divBdr>
    </w:div>
    <w:div w:id="766848010">
      <w:bodyDiv w:val="1"/>
      <w:marLeft w:val="0"/>
      <w:marRight w:val="0"/>
      <w:marTop w:val="0"/>
      <w:marBottom w:val="0"/>
      <w:divBdr>
        <w:top w:val="none" w:sz="0" w:space="0" w:color="auto"/>
        <w:left w:val="none" w:sz="0" w:space="0" w:color="auto"/>
        <w:bottom w:val="none" w:sz="0" w:space="0" w:color="auto"/>
        <w:right w:val="none" w:sz="0" w:space="0" w:color="auto"/>
      </w:divBdr>
    </w:div>
    <w:div w:id="766925279">
      <w:bodyDiv w:val="1"/>
      <w:marLeft w:val="0"/>
      <w:marRight w:val="0"/>
      <w:marTop w:val="0"/>
      <w:marBottom w:val="0"/>
      <w:divBdr>
        <w:top w:val="none" w:sz="0" w:space="0" w:color="auto"/>
        <w:left w:val="none" w:sz="0" w:space="0" w:color="auto"/>
        <w:bottom w:val="none" w:sz="0" w:space="0" w:color="auto"/>
        <w:right w:val="none" w:sz="0" w:space="0" w:color="auto"/>
      </w:divBdr>
    </w:div>
    <w:div w:id="767041126">
      <w:bodyDiv w:val="1"/>
      <w:marLeft w:val="0"/>
      <w:marRight w:val="0"/>
      <w:marTop w:val="0"/>
      <w:marBottom w:val="0"/>
      <w:divBdr>
        <w:top w:val="none" w:sz="0" w:space="0" w:color="auto"/>
        <w:left w:val="none" w:sz="0" w:space="0" w:color="auto"/>
        <w:bottom w:val="none" w:sz="0" w:space="0" w:color="auto"/>
        <w:right w:val="none" w:sz="0" w:space="0" w:color="auto"/>
      </w:divBdr>
    </w:div>
    <w:div w:id="767119034">
      <w:bodyDiv w:val="1"/>
      <w:marLeft w:val="0"/>
      <w:marRight w:val="0"/>
      <w:marTop w:val="0"/>
      <w:marBottom w:val="0"/>
      <w:divBdr>
        <w:top w:val="none" w:sz="0" w:space="0" w:color="auto"/>
        <w:left w:val="none" w:sz="0" w:space="0" w:color="auto"/>
        <w:bottom w:val="none" w:sz="0" w:space="0" w:color="auto"/>
        <w:right w:val="none" w:sz="0" w:space="0" w:color="auto"/>
      </w:divBdr>
    </w:div>
    <w:div w:id="767310151">
      <w:bodyDiv w:val="1"/>
      <w:marLeft w:val="0"/>
      <w:marRight w:val="0"/>
      <w:marTop w:val="0"/>
      <w:marBottom w:val="0"/>
      <w:divBdr>
        <w:top w:val="none" w:sz="0" w:space="0" w:color="auto"/>
        <w:left w:val="none" w:sz="0" w:space="0" w:color="auto"/>
        <w:bottom w:val="none" w:sz="0" w:space="0" w:color="auto"/>
        <w:right w:val="none" w:sz="0" w:space="0" w:color="auto"/>
      </w:divBdr>
    </w:div>
    <w:div w:id="767389549">
      <w:bodyDiv w:val="1"/>
      <w:marLeft w:val="0"/>
      <w:marRight w:val="0"/>
      <w:marTop w:val="0"/>
      <w:marBottom w:val="0"/>
      <w:divBdr>
        <w:top w:val="none" w:sz="0" w:space="0" w:color="auto"/>
        <w:left w:val="none" w:sz="0" w:space="0" w:color="auto"/>
        <w:bottom w:val="none" w:sz="0" w:space="0" w:color="auto"/>
        <w:right w:val="none" w:sz="0" w:space="0" w:color="auto"/>
      </w:divBdr>
    </w:div>
    <w:div w:id="767432873">
      <w:bodyDiv w:val="1"/>
      <w:marLeft w:val="0"/>
      <w:marRight w:val="0"/>
      <w:marTop w:val="0"/>
      <w:marBottom w:val="0"/>
      <w:divBdr>
        <w:top w:val="none" w:sz="0" w:space="0" w:color="auto"/>
        <w:left w:val="none" w:sz="0" w:space="0" w:color="auto"/>
        <w:bottom w:val="none" w:sz="0" w:space="0" w:color="auto"/>
        <w:right w:val="none" w:sz="0" w:space="0" w:color="auto"/>
      </w:divBdr>
    </w:div>
    <w:div w:id="767505693">
      <w:bodyDiv w:val="1"/>
      <w:marLeft w:val="0"/>
      <w:marRight w:val="0"/>
      <w:marTop w:val="0"/>
      <w:marBottom w:val="0"/>
      <w:divBdr>
        <w:top w:val="none" w:sz="0" w:space="0" w:color="auto"/>
        <w:left w:val="none" w:sz="0" w:space="0" w:color="auto"/>
        <w:bottom w:val="none" w:sz="0" w:space="0" w:color="auto"/>
        <w:right w:val="none" w:sz="0" w:space="0" w:color="auto"/>
      </w:divBdr>
    </w:div>
    <w:div w:id="767579111">
      <w:bodyDiv w:val="1"/>
      <w:marLeft w:val="0"/>
      <w:marRight w:val="0"/>
      <w:marTop w:val="0"/>
      <w:marBottom w:val="0"/>
      <w:divBdr>
        <w:top w:val="none" w:sz="0" w:space="0" w:color="auto"/>
        <w:left w:val="none" w:sz="0" w:space="0" w:color="auto"/>
        <w:bottom w:val="none" w:sz="0" w:space="0" w:color="auto"/>
        <w:right w:val="none" w:sz="0" w:space="0" w:color="auto"/>
      </w:divBdr>
    </w:div>
    <w:div w:id="767624388">
      <w:bodyDiv w:val="1"/>
      <w:marLeft w:val="0"/>
      <w:marRight w:val="0"/>
      <w:marTop w:val="0"/>
      <w:marBottom w:val="0"/>
      <w:divBdr>
        <w:top w:val="none" w:sz="0" w:space="0" w:color="auto"/>
        <w:left w:val="none" w:sz="0" w:space="0" w:color="auto"/>
        <w:bottom w:val="none" w:sz="0" w:space="0" w:color="auto"/>
        <w:right w:val="none" w:sz="0" w:space="0" w:color="auto"/>
      </w:divBdr>
    </w:div>
    <w:div w:id="767627126">
      <w:bodyDiv w:val="1"/>
      <w:marLeft w:val="0"/>
      <w:marRight w:val="0"/>
      <w:marTop w:val="0"/>
      <w:marBottom w:val="0"/>
      <w:divBdr>
        <w:top w:val="none" w:sz="0" w:space="0" w:color="auto"/>
        <w:left w:val="none" w:sz="0" w:space="0" w:color="auto"/>
        <w:bottom w:val="none" w:sz="0" w:space="0" w:color="auto"/>
        <w:right w:val="none" w:sz="0" w:space="0" w:color="auto"/>
      </w:divBdr>
    </w:div>
    <w:div w:id="767700551">
      <w:bodyDiv w:val="1"/>
      <w:marLeft w:val="0"/>
      <w:marRight w:val="0"/>
      <w:marTop w:val="0"/>
      <w:marBottom w:val="0"/>
      <w:divBdr>
        <w:top w:val="none" w:sz="0" w:space="0" w:color="auto"/>
        <w:left w:val="none" w:sz="0" w:space="0" w:color="auto"/>
        <w:bottom w:val="none" w:sz="0" w:space="0" w:color="auto"/>
        <w:right w:val="none" w:sz="0" w:space="0" w:color="auto"/>
      </w:divBdr>
    </w:div>
    <w:div w:id="767776674">
      <w:bodyDiv w:val="1"/>
      <w:marLeft w:val="0"/>
      <w:marRight w:val="0"/>
      <w:marTop w:val="0"/>
      <w:marBottom w:val="0"/>
      <w:divBdr>
        <w:top w:val="none" w:sz="0" w:space="0" w:color="auto"/>
        <w:left w:val="none" w:sz="0" w:space="0" w:color="auto"/>
        <w:bottom w:val="none" w:sz="0" w:space="0" w:color="auto"/>
        <w:right w:val="none" w:sz="0" w:space="0" w:color="auto"/>
      </w:divBdr>
    </w:div>
    <w:div w:id="767776928">
      <w:bodyDiv w:val="1"/>
      <w:marLeft w:val="0"/>
      <w:marRight w:val="0"/>
      <w:marTop w:val="0"/>
      <w:marBottom w:val="0"/>
      <w:divBdr>
        <w:top w:val="none" w:sz="0" w:space="0" w:color="auto"/>
        <w:left w:val="none" w:sz="0" w:space="0" w:color="auto"/>
        <w:bottom w:val="none" w:sz="0" w:space="0" w:color="auto"/>
        <w:right w:val="none" w:sz="0" w:space="0" w:color="auto"/>
      </w:divBdr>
    </w:div>
    <w:div w:id="767970501">
      <w:bodyDiv w:val="1"/>
      <w:marLeft w:val="0"/>
      <w:marRight w:val="0"/>
      <w:marTop w:val="0"/>
      <w:marBottom w:val="0"/>
      <w:divBdr>
        <w:top w:val="none" w:sz="0" w:space="0" w:color="auto"/>
        <w:left w:val="none" w:sz="0" w:space="0" w:color="auto"/>
        <w:bottom w:val="none" w:sz="0" w:space="0" w:color="auto"/>
        <w:right w:val="none" w:sz="0" w:space="0" w:color="auto"/>
      </w:divBdr>
    </w:div>
    <w:div w:id="768046676">
      <w:bodyDiv w:val="1"/>
      <w:marLeft w:val="0"/>
      <w:marRight w:val="0"/>
      <w:marTop w:val="0"/>
      <w:marBottom w:val="0"/>
      <w:divBdr>
        <w:top w:val="none" w:sz="0" w:space="0" w:color="auto"/>
        <w:left w:val="none" w:sz="0" w:space="0" w:color="auto"/>
        <w:bottom w:val="none" w:sz="0" w:space="0" w:color="auto"/>
        <w:right w:val="none" w:sz="0" w:space="0" w:color="auto"/>
      </w:divBdr>
    </w:div>
    <w:div w:id="768089054">
      <w:bodyDiv w:val="1"/>
      <w:marLeft w:val="0"/>
      <w:marRight w:val="0"/>
      <w:marTop w:val="0"/>
      <w:marBottom w:val="0"/>
      <w:divBdr>
        <w:top w:val="none" w:sz="0" w:space="0" w:color="auto"/>
        <w:left w:val="none" w:sz="0" w:space="0" w:color="auto"/>
        <w:bottom w:val="none" w:sz="0" w:space="0" w:color="auto"/>
        <w:right w:val="none" w:sz="0" w:space="0" w:color="auto"/>
      </w:divBdr>
    </w:div>
    <w:div w:id="768232795">
      <w:bodyDiv w:val="1"/>
      <w:marLeft w:val="0"/>
      <w:marRight w:val="0"/>
      <w:marTop w:val="0"/>
      <w:marBottom w:val="0"/>
      <w:divBdr>
        <w:top w:val="none" w:sz="0" w:space="0" w:color="auto"/>
        <w:left w:val="none" w:sz="0" w:space="0" w:color="auto"/>
        <w:bottom w:val="none" w:sz="0" w:space="0" w:color="auto"/>
        <w:right w:val="none" w:sz="0" w:space="0" w:color="auto"/>
      </w:divBdr>
    </w:div>
    <w:div w:id="768279992">
      <w:bodyDiv w:val="1"/>
      <w:marLeft w:val="0"/>
      <w:marRight w:val="0"/>
      <w:marTop w:val="0"/>
      <w:marBottom w:val="0"/>
      <w:divBdr>
        <w:top w:val="none" w:sz="0" w:space="0" w:color="auto"/>
        <w:left w:val="none" w:sz="0" w:space="0" w:color="auto"/>
        <w:bottom w:val="none" w:sz="0" w:space="0" w:color="auto"/>
        <w:right w:val="none" w:sz="0" w:space="0" w:color="auto"/>
      </w:divBdr>
    </w:div>
    <w:div w:id="768282012">
      <w:bodyDiv w:val="1"/>
      <w:marLeft w:val="0"/>
      <w:marRight w:val="0"/>
      <w:marTop w:val="0"/>
      <w:marBottom w:val="0"/>
      <w:divBdr>
        <w:top w:val="none" w:sz="0" w:space="0" w:color="auto"/>
        <w:left w:val="none" w:sz="0" w:space="0" w:color="auto"/>
        <w:bottom w:val="none" w:sz="0" w:space="0" w:color="auto"/>
        <w:right w:val="none" w:sz="0" w:space="0" w:color="auto"/>
      </w:divBdr>
    </w:div>
    <w:div w:id="768282970">
      <w:bodyDiv w:val="1"/>
      <w:marLeft w:val="0"/>
      <w:marRight w:val="0"/>
      <w:marTop w:val="0"/>
      <w:marBottom w:val="0"/>
      <w:divBdr>
        <w:top w:val="none" w:sz="0" w:space="0" w:color="auto"/>
        <w:left w:val="none" w:sz="0" w:space="0" w:color="auto"/>
        <w:bottom w:val="none" w:sz="0" w:space="0" w:color="auto"/>
        <w:right w:val="none" w:sz="0" w:space="0" w:color="auto"/>
      </w:divBdr>
    </w:div>
    <w:div w:id="768355653">
      <w:bodyDiv w:val="1"/>
      <w:marLeft w:val="0"/>
      <w:marRight w:val="0"/>
      <w:marTop w:val="0"/>
      <w:marBottom w:val="0"/>
      <w:divBdr>
        <w:top w:val="none" w:sz="0" w:space="0" w:color="auto"/>
        <w:left w:val="none" w:sz="0" w:space="0" w:color="auto"/>
        <w:bottom w:val="none" w:sz="0" w:space="0" w:color="auto"/>
        <w:right w:val="none" w:sz="0" w:space="0" w:color="auto"/>
      </w:divBdr>
    </w:div>
    <w:div w:id="768427304">
      <w:bodyDiv w:val="1"/>
      <w:marLeft w:val="0"/>
      <w:marRight w:val="0"/>
      <w:marTop w:val="0"/>
      <w:marBottom w:val="0"/>
      <w:divBdr>
        <w:top w:val="none" w:sz="0" w:space="0" w:color="auto"/>
        <w:left w:val="none" w:sz="0" w:space="0" w:color="auto"/>
        <w:bottom w:val="none" w:sz="0" w:space="0" w:color="auto"/>
        <w:right w:val="none" w:sz="0" w:space="0" w:color="auto"/>
      </w:divBdr>
    </w:div>
    <w:div w:id="768551736">
      <w:bodyDiv w:val="1"/>
      <w:marLeft w:val="0"/>
      <w:marRight w:val="0"/>
      <w:marTop w:val="0"/>
      <w:marBottom w:val="0"/>
      <w:divBdr>
        <w:top w:val="none" w:sz="0" w:space="0" w:color="auto"/>
        <w:left w:val="none" w:sz="0" w:space="0" w:color="auto"/>
        <w:bottom w:val="none" w:sz="0" w:space="0" w:color="auto"/>
        <w:right w:val="none" w:sz="0" w:space="0" w:color="auto"/>
      </w:divBdr>
    </w:div>
    <w:div w:id="768624747">
      <w:bodyDiv w:val="1"/>
      <w:marLeft w:val="0"/>
      <w:marRight w:val="0"/>
      <w:marTop w:val="0"/>
      <w:marBottom w:val="0"/>
      <w:divBdr>
        <w:top w:val="none" w:sz="0" w:space="0" w:color="auto"/>
        <w:left w:val="none" w:sz="0" w:space="0" w:color="auto"/>
        <w:bottom w:val="none" w:sz="0" w:space="0" w:color="auto"/>
        <w:right w:val="none" w:sz="0" w:space="0" w:color="auto"/>
      </w:divBdr>
    </w:div>
    <w:div w:id="768744127">
      <w:bodyDiv w:val="1"/>
      <w:marLeft w:val="0"/>
      <w:marRight w:val="0"/>
      <w:marTop w:val="0"/>
      <w:marBottom w:val="0"/>
      <w:divBdr>
        <w:top w:val="none" w:sz="0" w:space="0" w:color="auto"/>
        <w:left w:val="none" w:sz="0" w:space="0" w:color="auto"/>
        <w:bottom w:val="none" w:sz="0" w:space="0" w:color="auto"/>
        <w:right w:val="none" w:sz="0" w:space="0" w:color="auto"/>
      </w:divBdr>
    </w:div>
    <w:div w:id="768889460">
      <w:bodyDiv w:val="1"/>
      <w:marLeft w:val="0"/>
      <w:marRight w:val="0"/>
      <w:marTop w:val="0"/>
      <w:marBottom w:val="0"/>
      <w:divBdr>
        <w:top w:val="none" w:sz="0" w:space="0" w:color="auto"/>
        <w:left w:val="none" w:sz="0" w:space="0" w:color="auto"/>
        <w:bottom w:val="none" w:sz="0" w:space="0" w:color="auto"/>
        <w:right w:val="none" w:sz="0" w:space="0" w:color="auto"/>
      </w:divBdr>
    </w:div>
    <w:div w:id="768891337">
      <w:bodyDiv w:val="1"/>
      <w:marLeft w:val="0"/>
      <w:marRight w:val="0"/>
      <w:marTop w:val="0"/>
      <w:marBottom w:val="0"/>
      <w:divBdr>
        <w:top w:val="none" w:sz="0" w:space="0" w:color="auto"/>
        <w:left w:val="none" w:sz="0" w:space="0" w:color="auto"/>
        <w:bottom w:val="none" w:sz="0" w:space="0" w:color="auto"/>
        <w:right w:val="none" w:sz="0" w:space="0" w:color="auto"/>
      </w:divBdr>
    </w:div>
    <w:div w:id="769083240">
      <w:bodyDiv w:val="1"/>
      <w:marLeft w:val="0"/>
      <w:marRight w:val="0"/>
      <w:marTop w:val="0"/>
      <w:marBottom w:val="0"/>
      <w:divBdr>
        <w:top w:val="none" w:sz="0" w:space="0" w:color="auto"/>
        <w:left w:val="none" w:sz="0" w:space="0" w:color="auto"/>
        <w:bottom w:val="none" w:sz="0" w:space="0" w:color="auto"/>
        <w:right w:val="none" w:sz="0" w:space="0" w:color="auto"/>
      </w:divBdr>
    </w:div>
    <w:div w:id="769157110">
      <w:bodyDiv w:val="1"/>
      <w:marLeft w:val="0"/>
      <w:marRight w:val="0"/>
      <w:marTop w:val="0"/>
      <w:marBottom w:val="0"/>
      <w:divBdr>
        <w:top w:val="none" w:sz="0" w:space="0" w:color="auto"/>
        <w:left w:val="none" w:sz="0" w:space="0" w:color="auto"/>
        <w:bottom w:val="none" w:sz="0" w:space="0" w:color="auto"/>
        <w:right w:val="none" w:sz="0" w:space="0" w:color="auto"/>
      </w:divBdr>
    </w:div>
    <w:div w:id="769161802">
      <w:bodyDiv w:val="1"/>
      <w:marLeft w:val="0"/>
      <w:marRight w:val="0"/>
      <w:marTop w:val="0"/>
      <w:marBottom w:val="0"/>
      <w:divBdr>
        <w:top w:val="none" w:sz="0" w:space="0" w:color="auto"/>
        <w:left w:val="none" w:sz="0" w:space="0" w:color="auto"/>
        <w:bottom w:val="none" w:sz="0" w:space="0" w:color="auto"/>
        <w:right w:val="none" w:sz="0" w:space="0" w:color="auto"/>
      </w:divBdr>
    </w:div>
    <w:div w:id="769475065">
      <w:bodyDiv w:val="1"/>
      <w:marLeft w:val="0"/>
      <w:marRight w:val="0"/>
      <w:marTop w:val="0"/>
      <w:marBottom w:val="0"/>
      <w:divBdr>
        <w:top w:val="none" w:sz="0" w:space="0" w:color="auto"/>
        <w:left w:val="none" w:sz="0" w:space="0" w:color="auto"/>
        <w:bottom w:val="none" w:sz="0" w:space="0" w:color="auto"/>
        <w:right w:val="none" w:sz="0" w:space="0" w:color="auto"/>
      </w:divBdr>
    </w:div>
    <w:div w:id="769740984">
      <w:bodyDiv w:val="1"/>
      <w:marLeft w:val="0"/>
      <w:marRight w:val="0"/>
      <w:marTop w:val="0"/>
      <w:marBottom w:val="0"/>
      <w:divBdr>
        <w:top w:val="none" w:sz="0" w:space="0" w:color="auto"/>
        <w:left w:val="none" w:sz="0" w:space="0" w:color="auto"/>
        <w:bottom w:val="none" w:sz="0" w:space="0" w:color="auto"/>
        <w:right w:val="none" w:sz="0" w:space="0" w:color="auto"/>
      </w:divBdr>
    </w:div>
    <w:div w:id="769818193">
      <w:bodyDiv w:val="1"/>
      <w:marLeft w:val="0"/>
      <w:marRight w:val="0"/>
      <w:marTop w:val="0"/>
      <w:marBottom w:val="0"/>
      <w:divBdr>
        <w:top w:val="none" w:sz="0" w:space="0" w:color="auto"/>
        <w:left w:val="none" w:sz="0" w:space="0" w:color="auto"/>
        <w:bottom w:val="none" w:sz="0" w:space="0" w:color="auto"/>
        <w:right w:val="none" w:sz="0" w:space="0" w:color="auto"/>
      </w:divBdr>
    </w:div>
    <w:div w:id="769859642">
      <w:bodyDiv w:val="1"/>
      <w:marLeft w:val="0"/>
      <w:marRight w:val="0"/>
      <w:marTop w:val="0"/>
      <w:marBottom w:val="0"/>
      <w:divBdr>
        <w:top w:val="none" w:sz="0" w:space="0" w:color="auto"/>
        <w:left w:val="none" w:sz="0" w:space="0" w:color="auto"/>
        <w:bottom w:val="none" w:sz="0" w:space="0" w:color="auto"/>
        <w:right w:val="none" w:sz="0" w:space="0" w:color="auto"/>
      </w:divBdr>
    </w:div>
    <w:div w:id="769929789">
      <w:bodyDiv w:val="1"/>
      <w:marLeft w:val="0"/>
      <w:marRight w:val="0"/>
      <w:marTop w:val="0"/>
      <w:marBottom w:val="0"/>
      <w:divBdr>
        <w:top w:val="none" w:sz="0" w:space="0" w:color="auto"/>
        <w:left w:val="none" w:sz="0" w:space="0" w:color="auto"/>
        <w:bottom w:val="none" w:sz="0" w:space="0" w:color="auto"/>
        <w:right w:val="none" w:sz="0" w:space="0" w:color="auto"/>
      </w:divBdr>
    </w:div>
    <w:div w:id="770051702">
      <w:bodyDiv w:val="1"/>
      <w:marLeft w:val="0"/>
      <w:marRight w:val="0"/>
      <w:marTop w:val="0"/>
      <w:marBottom w:val="0"/>
      <w:divBdr>
        <w:top w:val="none" w:sz="0" w:space="0" w:color="auto"/>
        <w:left w:val="none" w:sz="0" w:space="0" w:color="auto"/>
        <w:bottom w:val="none" w:sz="0" w:space="0" w:color="auto"/>
        <w:right w:val="none" w:sz="0" w:space="0" w:color="auto"/>
      </w:divBdr>
    </w:div>
    <w:div w:id="770128424">
      <w:bodyDiv w:val="1"/>
      <w:marLeft w:val="0"/>
      <w:marRight w:val="0"/>
      <w:marTop w:val="0"/>
      <w:marBottom w:val="0"/>
      <w:divBdr>
        <w:top w:val="none" w:sz="0" w:space="0" w:color="auto"/>
        <w:left w:val="none" w:sz="0" w:space="0" w:color="auto"/>
        <w:bottom w:val="none" w:sz="0" w:space="0" w:color="auto"/>
        <w:right w:val="none" w:sz="0" w:space="0" w:color="auto"/>
      </w:divBdr>
    </w:div>
    <w:div w:id="770206263">
      <w:bodyDiv w:val="1"/>
      <w:marLeft w:val="0"/>
      <w:marRight w:val="0"/>
      <w:marTop w:val="0"/>
      <w:marBottom w:val="0"/>
      <w:divBdr>
        <w:top w:val="none" w:sz="0" w:space="0" w:color="auto"/>
        <w:left w:val="none" w:sz="0" w:space="0" w:color="auto"/>
        <w:bottom w:val="none" w:sz="0" w:space="0" w:color="auto"/>
        <w:right w:val="none" w:sz="0" w:space="0" w:color="auto"/>
      </w:divBdr>
    </w:div>
    <w:div w:id="770206482">
      <w:bodyDiv w:val="1"/>
      <w:marLeft w:val="0"/>
      <w:marRight w:val="0"/>
      <w:marTop w:val="0"/>
      <w:marBottom w:val="0"/>
      <w:divBdr>
        <w:top w:val="none" w:sz="0" w:space="0" w:color="auto"/>
        <w:left w:val="none" w:sz="0" w:space="0" w:color="auto"/>
        <w:bottom w:val="none" w:sz="0" w:space="0" w:color="auto"/>
        <w:right w:val="none" w:sz="0" w:space="0" w:color="auto"/>
      </w:divBdr>
    </w:div>
    <w:div w:id="770248970">
      <w:bodyDiv w:val="1"/>
      <w:marLeft w:val="0"/>
      <w:marRight w:val="0"/>
      <w:marTop w:val="0"/>
      <w:marBottom w:val="0"/>
      <w:divBdr>
        <w:top w:val="none" w:sz="0" w:space="0" w:color="auto"/>
        <w:left w:val="none" w:sz="0" w:space="0" w:color="auto"/>
        <w:bottom w:val="none" w:sz="0" w:space="0" w:color="auto"/>
        <w:right w:val="none" w:sz="0" w:space="0" w:color="auto"/>
      </w:divBdr>
    </w:div>
    <w:div w:id="770273424">
      <w:bodyDiv w:val="1"/>
      <w:marLeft w:val="0"/>
      <w:marRight w:val="0"/>
      <w:marTop w:val="0"/>
      <w:marBottom w:val="0"/>
      <w:divBdr>
        <w:top w:val="none" w:sz="0" w:space="0" w:color="auto"/>
        <w:left w:val="none" w:sz="0" w:space="0" w:color="auto"/>
        <w:bottom w:val="none" w:sz="0" w:space="0" w:color="auto"/>
        <w:right w:val="none" w:sz="0" w:space="0" w:color="auto"/>
      </w:divBdr>
    </w:div>
    <w:div w:id="770274874">
      <w:bodyDiv w:val="1"/>
      <w:marLeft w:val="0"/>
      <w:marRight w:val="0"/>
      <w:marTop w:val="0"/>
      <w:marBottom w:val="0"/>
      <w:divBdr>
        <w:top w:val="none" w:sz="0" w:space="0" w:color="auto"/>
        <w:left w:val="none" w:sz="0" w:space="0" w:color="auto"/>
        <w:bottom w:val="none" w:sz="0" w:space="0" w:color="auto"/>
        <w:right w:val="none" w:sz="0" w:space="0" w:color="auto"/>
      </w:divBdr>
    </w:div>
    <w:div w:id="770316895">
      <w:bodyDiv w:val="1"/>
      <w:marLeft w:val="0"/>
      <w:marRight w:val="0"/>
      <w:marTop w:val="0"/>
      <w:marBottom w:val="0"/>
      <w:divBdr>
        <w:top w:val="none" w:sz="0" w:space="0" w:color="auto"/>
        <w:left w:val="none" w:sz="0" w:space="0" w:color="auto"/>
        <w:bottom w:val="none" w:sz="0" w:space="0" w:color="auto"/>
        <w:right w:val="none" w:sz="0" w:space="0" w:color="auto"/>
      </w:divBdr>
    </w:div>
    <w:div w:id="770585931">
      <w:bodyDiv w:val="1"/>
      <w:marLeft w:val="0"/>
      <w:marRight w:val="0"/>
      <w:marTop w:val="0"/>
      <w:marBottom w:val="0"/>
      <w:divBdr>
        <w:top w:val="none" w:sz="0" w:space="0" w:color="auto"/>
        <w:left w:val="none" w:sz="0" w:space="0" w:color="auto"/>
        <w:bottom w:val="none" w:sz="0" w:space="0" w:color="auto"/>
        <w:right w:val="none" w:sz="0" w:space="0" w:color="auto"/>
      </w:divBdr>
    </w:div>
    <w:div w:id="770588358">
      <w:bodyDiv w:val="1"/>
      <w:marLeft w:val="0"/>
      <w:marRight w:val="0"/>
      <w:marTop w:val="0"/>
      <w:marBottom w:val="0"/>
      <w:divBdr>
        <w:top w:val="none" w:sz="0" w:space="0" w:color="auto"/>
        <w:left w:val="none" w:sz="0" w:space="0" w:color="auto"/>
        <w:bottom w:val="none" w:sz="0" w:space="0" w:color="auto"/>
        <w:right w:val="none" w:sz="0" w:space="0" w:color="auto"/>
      </w:divBdr>
    </w:div>
    <w:div w:id="770659121">
      <w:bodyDiv w:val="1"/>
      <w:marLeft w:val="0"/>
      <w:marRight w:val="0"/>
      <w:marTop w:val="0"/>
      <w:marBottom w:val="0"/>
      <w:divBdr>
        <w:top w:val="none" w:sz="0" w:space="0" w:color="auto"/>
        <w:left w:val="none" w:sz="0" w:space="0" w:color="auto"/>
        <w:bottom w:val="none" w:sz="0" w:space="0" w:color="auto"/>
        <w:right w:val="none" w:sz="0" w:space="0" w:color="auto"/>
      </w:divBdr>
    </w:div>
    <w:div w:id="770901965">
      <w:bodyDiv w:val="1"/>
      <w:marLeft w:val="0"/>
      <w:marRight w:val="0"/>
      <w:marTop w:val="0"/>
      <w:marBottom w:val="0"/>
      <w:divBdr>
        <w:top w:val="none" w:sz="0" w:space="0" w:color="auto"/>
        <w:left w:val="none" w:sz="0" w:space="0" w:color="auto"/>
        <w:bottom w:val="none" w:sz="0" w:space="0" w:color="auto"/>
        <w:right w:val="none" w:sz="0" w:space="0" w:color="auto"/>
      </w:divBdr>
    </w:div>
    <w:div w:id="770971672">
      <w:bodyDiv w:val="1"/>
      <w:marLeft w:val="0"/>
      <w:marRight w:val="0"/>
      <w:marTop w:val="0"/>
      <w:marBottom w:val="0"/>
      <w:divBdr>
        <w:top w:val="none" w:sz="0" w:space="0" w:color="auto"/>
        <w:left w:val="none" w:sz="0" w:space="0" w:color="auto"/>
        <w:bottom w:val="none" w:sz="0" w:space="0" w:color="auto"/>
        <w:right w:val="none" w:sz="0" w:space="0" w:color="auto"/>
      </w:divBdr>
    </w:div>
    <w:div w:id="770977959">
      <w:bodyDiv w:val="1"/>
      <w:marLeft w:val="0"/>
      <w:marRight w:val="0"/>
      <w:marTop w:val="0"/>
      <w:marBottom w:val="0"/>
      <w:divBdr>
        <w:top w:val="none" w:sz="0" w:space="0" w:color="auto"/>
        <w:left w:val="none" w:sz="0" w:space="0" w:color="auto"/>
        <w:bottom w:val="none" w:sz="0" w:space="0" w:color="auto"/>
        <w:right w:val="none" w:sz="0" w:space="0" w:color="auto"/>
      </w:divBdr>
    </w:div>
    <w:div w:id="771055404">
      <w:bodyDiv w:val="1"/>
      <w:marLeft w:val="0"/>
      <w:marRight w:val="0"/>
      <w:marTop w:val="0"/>
      <w:marBottom w:val="0"/>
      <w:divBdr>
        <w:top w:val="none" w:sz="0" w:space="0" w:color="auto"/>
        <w:left w:val="none" w:sz="0" w:space="0" w:color="auto"/>
        <w:bottom w:val="none" w:sz="0" w:space="0" w:color="auto"/>
        <w:right w:val="none" w:sz="0" w:space="0" w:color="auto"/>
      </w:divBdr>
    </w:div>
    <w:div w:id="771247574">
      <w:bodyDiv w:val="1"/>
      <w:marLeft w:val="0"/>
      <w:marRight w:val="0"/>
      <w:marTop w:val="0"/>
      <w:marBottom w:val="0"/>
      <w:divBdr>
        <w:top w:val="none" w:sz="0" w:space="0" w:color="auto"/>
        <w:left w:val="none" w:sz="0" w:space="0" w:color="auto"/>
        <w:bottom w:val="none" w:sz="0" w:space="0" w:color="auto"/>
        <w:right w:val="none" w:sz="0" w:space="0" w:color="auto"/>
      </w:divBdr>
    </w:div>
    <w:div w:id="771314661">
      <w:bodyDiv w:val="1"/>
      <w:marLeft w:val="0"/>
      <w:marRight w:val="0"/>
      <w:marTop w:val="0"/>
      <w:marBottom w:val="0"/>
      <w:divBdr>
        <w:top w:val="none" w:sz="0" w:space="0" w:color="auto"/>
        <w:left w:val="none" w:sz="0" w:space="0" w:color="auto"/>
        <w:bottom w:val="none" w:sz="0" w:space="0" w:color="auto"/>
        <w:right w:val="none" w:sz="0" w:space="0" w:color="auto"/>
      </w:divBdr>
    </w:div>
    <w:div w:id="771319372">
      <w:bodyDiv w:val="1"/>
      <w:marLeft w:val="0"/>
      <w:marRight w:val="0"/>
      <w:marTop w:val="0"/>
      <w:marBottom w:val="0"/>
      <w:divBdr>
        <w:top w:val="none" w:sz="0" w:space="0" w:color="auto"/>
        <w:left w:val="none" w:sz="0" w:space="0" w:color="auto"/>
        <w:bottom w:val="none" w:sz="0" w:space="0" w:color="auto"/>
        <w:right w:val="none" w:sz="0" w:space="0" w:color="auto"/>
      </w:divBdr>
    </w:div>
    <w:div w:id="771365918">
      <w:bodyDiv w:val="1"/>
      <w:marLeft w:val="0"/>
      <w:marRight w:val="0"/>
      <w:marTop w:val="0"/>
      <w:marBottom w:val="0"/>
      <w:divBdr>
        <w:top w:val="none" w:sz="0" w:space="0" w:color="auto"/>
        <w:left w:val="none" w:sz="0" w:space="0" w:color="auto"/>
        <w:bottom w:val="none" w:sz="0" w:space="0" w:color="auto"/>
        <w:right w:val="none" w:sz="0" w:space="0" w:color="auto"/>
      </w:divBdr>
    </w:div>
    <w:div w:id="771515376">
      <w:bodyDiv w:val="1"/>
      <w:marLeft w:val="0"/>
      <w:marRight w:val="0"/>
      <w:marTop w:val="0"/>
      <w:marBottom w:val="0"/>
      <w:divBdr>
        <w:top w:val="none" w:sz="0" w:space="0" w:color="auto"/>
        <w:left w:val="none" w:sz="0" w:space="0" w:color="auto"/>
        <w:bottom w:val="none" w:sz="0" w:space="0" w:color="auto"/>
        <w:right w:val="none" w:sz="0" w:space="0" w:color="auto"/>
      </w:divBdr>
    </w:div>
    <w:div w:id="771633295">
      <w:bodyDiv w:val="1"/>
      <w:marLeft w:val="0"/>
      <w:marRight w:val="0"/>
      <w:marTop w:val="0"/>
      <w:marBottom w:val="0"/>
      <w:divBdr>
        <w:top w:val="none" w:sz="0" w:space="0" w:color="auto"/>
        <w:left w:val="none" w:sz="0" w:space="0" w:color="auto"/>
        <w:bottom w:val="none" w:sz="0" w:space="0" w:color="auto"/>
        <w:right w:val="none" w:sz="0" w:space="0" w:color="auto"/>
      </w:divBdr>
    </w:div>
    <w:div w:id="771634903">
      <w:bodyDiv w:val="1"/>
      <w:marLeft w:val="0"/>
      <w:marRight w:val="0"/>
      <w:marTop w:val="0"/>
      <w:marBottom w:val="0"/>
      <w:divBdr>
        <w:top w:val="none" w:sz="0" w:space="0" w:color="auto"/>
        <w:left w:val="none" w:sz="0" w:space="0" w:color="auto"/>
        <w:bottom w:val="none" w:sz="0" w:space="0" w:color="auto"/>
        <w:right w:val="none" w:sz="0" w:space="0" w:color="auto"/>
      </w:divBdr>
    </w:div>
    <w:div w:id="771782114">
      <w:bodyDiv w:val="1"/>
      <w:marLeft w:val="0"/>
      <w:marRight w:val="0"/>
      <w:marTop w:val="0"/>
      <w:marBottom w:val="0"/>
      <w:divBdr>
        <w:top w:val="none" w:sz="0" w:space="0" w:color="auto"/>
        <w:left w:val="none" w:sz="0" w:space="0" w:color="auto"/>
        <w:bottom w:val="none" w:sz="0" w:space="0" w:color="auto"/>
        <w:right w:val="none" w:sz="0" w:space="0" w:color="auto"/>
      </w:divBdr>
    </w:div>
    <w:div w:id="771827570">
      <w:bodyDiv w:val="1"/>
      <w:marLeft w:val="0"/>
      <w:marRight w:val="0"/>
      <w:marTop w:val="0"/>
      <w:marBottom w:val="0"/>
      <w:divBdr>
        <w:top w:val="none" w:sz="0" w:space="0" w:color="auto"/>
        <w:left w:val="none" w:sz="0" w:space="0" w:color="auto"/>
        <w:bottom w:val="none" w:sz="0" w:space="0" w:color="auto"/>
        <w:right w:val="none" w:sz="0" w:space="0" w:color="auto"/>
      </w:divBdr>
    </w:div>
    <w:div w:id="772093639">
      <w:bodyDiv w:val="1"/>
      <w:marLeft w:val="0"/>
      <w:marRight w:val="0"/>
      <w:marTop w:val="0"/>
      <w:marBottom w:val="0"/>
      <w:divBdr>
        <w:top w:val="none" w:sz="0" w:space="0" w:color="auto"/>
        <w:left w:val="none" w:sz="0" w:space="0" w:color="auto"/>
        <w:bottom w:val="none" w:sz="0" w:space="0" w:color="auto"/>
        <w:right w:val="none" w:sz="0" w:space="0" w:color="auto"/>
      </w:divBdr>
    </w:div>
    <w:div w:id="772095961">
      <w:bodyDiv w:val="1"/>
      <w:marLeft w:val="0"/>
      <w:marRight w:val="0"/>
      <w:marTop w:val="0"/>
      <w:marBottom w:val="0"/>
      <w:divBdr>
        <w:top w:val="none" w:sz="0" w:space="0" w:color="auto"/>
        <w:left w:val="none" w:sz="0" w:space="0" w:color="auto"/>
        <w:bottom w:val="none" w:sz="0" w:space="0" w:color="auto"/>
        <w:right w:val="none" w:sz="0" w:space="0" w:color="auto"/>
      </w:divBdr>
    </w:div>
    <w:div w:id="772167838">
      <w:bodyDiv w:val="1"/>
      <w:marLeft w:val="0"/>
      <w:marRight w:val="0"/>
      <w:marTop w:val="0"/>
      <w:marBottom w:val="0"/>
      <w:divBdr>
        <w:top w:val="none" w:sz="0" w:space="0" w:color="auto"/>
        <w:left w:val="none" w:sz="0" w:space="0" w:color="auto"/>
        <w:bottom w:val="none" w:sz="0" w:space="0" w:color="auto"/>
        <w:right w:val="none" w:sz="0" w:space="0" w:color="auto"/>
      </w:divBdr>
    </w:div>
    <w:div w:id="772238493">
      <w:bodyDiv w:val="1"/>
      <w:marLeft w:val="0"/>
      <w:marRight w:val="0"/>
      <w:marTop w:val="0"/>
      <w:marBottom w:val="0"/>
      <w:divBdr>
        <w:top w:val="none" w:sz="0" w:space="0" w:color="auto"/>
        <w:left w:val="none" w:sz="0" w:space="0" w:color="auto"/>
        <w:bottom w:val="none" w:sz="0" w:space="0" w:color="auto"/>
        <w:right w:val="none" w:sz="0" w:space="0" w:color="auto"/>
      </w:divBdr>
    </w:div>
    <w:div w:id="772287155">
      <w:bodyDiv w:val="1"/>
      <w:marLeft w:val="0"/>
      <w:marRight w:val="0"/>
      <w:marTop w:val="0"/>
      <w:marBottom w:val="0"/>
      <w:divBdr>
        <w:top w:val="none" w:sz="0" w:space="0" w:color="auto"/>
        <w:left w:val="none" w:sz="0" w:space="0" w:color="auto"/>
        <w:bottom w:val="none" w:sz="0" w:space="0" w:color="auto"/>
        <w:right w:val="none" w:sz="0" w:space="0" w:color="auto"/>
      </w:divBdr>
    </w:div>
    <w:div w:id="772408052">
      <w:bodyDiv w:val="1"/>
      <w:marLeft w:val="0"/>
      <w:marRight w:val="0"/>
      <w:marTop w:val="0"/>
      <w:marBottom w:val="0"/>
      <w:divBdr>
        <w:top w:val="none" w:sz="0" w:space="0" w:color="auto"/>
        <w:left w:val="none" w:sz="0" w:space="0" w:color="auto"/>
        <w:bottom w:val="none" w:sz="0" w:space="0" w:color="auto"/>
        <w:right w:val="none" w:sz="0" w:space="0" w:color="auto"/>
      </w:divBdr>
    </w:div>
    <w:div w:id="772435748">
      <w:bodyDiv w:val="1"/>
      <w:marLeft w:val="0"/>
      <w:marRight w:val="0"/>
      <w:marTop w:val="0"/>
      <w:marBottom w:val="0"/>
      <w:divBdr>
        <w:top w:val="none" w:sz="0" w:space="0" w:color="auto"/>
        <w:left w:val="none" w:sz="0" w:space="0" w:color="auto"/>
        <w:bottom w:val="none" w:sz="0" w:space="0" w:color="auto"/>
        <w:right w:val="none" w:sz="0" w:space="0" w:color="auto"/>
      </w:divBdr>
    </w:div>
    <w:div w:id="772436390">
      <w:bodyDiv w:val="1"/>
      <w:marLeft w:val="0"/>
      <w:marRight w:val="0"/>
      <w:marTop w:val="0"/>
      <w:marBottom w:val="0"/>
      <w:divBdr>
        <w:top w:val="none" w:sz="0" w:space="0" w:color="auto"/>
        <w:left w:val="none" w:sz="0" w:space="0" w:color="auto"/>
        <w:bottom w:val="none" w:sz="0" w:space="0" w:color="auto"/>
        <w:right w:val="none" w:sz="0" w:space="0" w:color="auto"/>
      </w:divBdr>
    </w:div>
    <w:div w:id="772481316">
      <w:bodyDiv w:val="1"/>
      <w:marLeft w:val="0"/>
      <w:marRight w:val="0"/>
      <w:marTop w:val="0"/>
      <w:marBottom w:val="0"/>
      <w:divBdr>
        <w:top w:val="none" w:sz="0" w:space="0" w:color="auto"/>
        <w:left w:val="none" w:sz="0" w:space="0" w:color="auto"/>
        <w:bottom w:val="none" w:sz="0" w:space="0" w:color="auto"/>
        <w:right w:val="none" w:sz="0" w:space="0" w:color="auto"/>
      </w:divBdr>
    </w:div>
    <w:div w:id="772554319">
      <w:bodyDiv w:val="1"/>
      <w:marLeft w:val="0"/>
      <w:marRight w:val="0"/>
      <w:marTop w:val="0"/>
      <w:marBottom w:val="0"/>
      <w:divBdr>
        <w:top w:val="none" w:sz="0" w:space="0" w:color="auto"/>
        <w:left w:val="none" w:sz="0" w:space="0" w:color="auto"/>
        <w:bottom w:val="none" w:sz="0" w:space="0" w:color="auto"/>
        <w:right w:val="none" w:sz="0" w:space="0" w:color="auto"/>
      </w:divBdr>
    </w:div>
    <w:div w:id="772556462">
      <w:bodyDiv w:val="1"/>
      <w:marLeft w:val="0"/>
      <w:marRight w:val="0"/>
      <w:marTop w:val="0"/>
      <w:marBottom w:val="0"/>
      <w:divBdr>
        <w:top w:val="none" w:sz="0" w:space="0" w:color="auto"/>
        <w:left w:val="none" w:sz="0" w:space="0" w:color="auto"/>
        <w:bottom w:val="none" w:sz="0" w:space="0" w:color="auto"/>
        <w:right w:val="none" w:sz="0" w:space="0" w:color="auto"/>
      </w:divBdr>
    </w:div>
    <w:div w:id="772671521">
      <w:bodyDiv w:val="1"/>
      <w:marLeft w:val="0"/>
      <w:marRight w:val="0"/>
      <w:marTop w:val="0"/>
      <w:marBottom w:val="0"/>
      <w:divBdr>
        <w:top w:val="none" w:sz="0" w:space="0" w:color="auto"/>
        <w:left w:val="none" w:sz="0" w:space="0" w:color="auto"/>
        <w:bottom w:val="none" w:sz="0" w:space="0" w:color="auto"/>
        <w:right w:val="none" w:sz="0" w:space="0" w:color="auto"/>
      </w:divBdr>
    </w:div>
    <w:div w:id="772866081">
      <w:bodyDiv w:val="1"/>
      <w:marLeft w:val="0"/>
      <w:marRight w:val="0"/>
      <w:marTop w:val="0"/>
      <w:marBottom w:val="0"/>
      <w:divBdr>
        <w:top w:val="none" w:sz="0" w:space="0" w:color="auto"/>
        <w:left w:val="none" w:sz="0" w:space="0" w:color="auto"/>
        <w:bottom w:val="none" w:sz="0" w:space="0" w:color="auto"/>
        <w:right w:val="none" w:sz="0" w:space="0" w:color="auto"/>
      </w:divBdr>
    </w:div>
    <w:div w:id="772869335">
      <w:bodyDiv w:val="1"/>
      <w:marLeft w:val="0"/>
      <w:marRight w:val="0"/>
      <w:marTop w:val="0"/>
      <w:marBottom w:val="0"/>
      <w:divBdr>
        <w:top w:val="none" w:sz="0" w:space="0" w:color="auto"/>
        <w:left w:val="none" w:sz="0" w:space="0" w:color="auto"/>
        <w:bottom w:val="none" w:sz="0" w:space="0" w:color="auto"/>
        <w:right w:val="none" w:sz="0" w:space="0" w:color="auto"/>
      </w:divBdr>
    </w:div>
    <w:div w:id="773087656">
      <w:bodyDiv w:val="1"/>
      <w:marLeft w:val="0"/>
      <w:marRight w:val="0"/>
      <w:marTop w:val="0"/>
      <w:marBottom w:val="0"/>
      <w:divBdr>
        <w:top w:val="none" w:sz="0" w:space="0" w:color="auto"/>
        <w:left w:val="none" w:sz="0" w:space="0" w:color="auto"/>
        <w:bottom w:val="none" w:sz="0" w:space="0" w:color="auto"/>
        <w:right w:val="none" w:sz="0" w:space="0" w:color="auto"/>
      </w:divBdr>
    </w:div>
    <w:div w:id="773136354">
      <w:bodyDiv w:val="1"/>
      <w:marLeft w:val="0"/>
      <w:marRight w:val="0"/>
      <w:marTop w:val="0"/>
      <w:marBottom w:val="0"/>
      <w:divBdr>
        <w:top w:val="none" w:sz="0" w:space="0" w:color="auto"/>
        <w:left w:val="none" w:sz="0" w:space="0" w:color="auto"/>
        <w:bottom w:val="none" w:sz="0" w:space="0" w:color="auto"/>
        <w:right w:val="none" w:sz="0" w:space="0" w:color="auto"/>
      </w:divBdr>
    </w:div>
    <w:div w:id="773280132">
      <w:bodyDiv w:val="1"/>
      <w:marLeft w:val="0"/>
      <w:marRight w:val="0"/>
      <w:marTop w:val="0"/>
      <w:marBottom w:val="0"/>
      <w:divBdr>
        <w:top w:val="none" w:sz="0" w:space="0" w:color="auto"/>
        <w:left w:val="none" w:sz="0" w:space="0" w:color="auto"/>
        <w:bottom w:val="none" w:sz="0" w:space="0" w:color="auto"/>
        <w:right w:val="none" w:sz="0" w:space="0" w:color="auto"/>
      </w:divBdr>
    </w:div>
    <w:div w:id="773327742">
      <w:bodyDiv w:val="1"/>
      <w:marLeft w:val="0"/>
      <w:marRight w:val="0"/>
      <w:marTop w:val="0"/>
      <w:marBottom w:val="0"/>
      <w:divBdr>
        <w:top w:val="none" w:sz="0" w:space="0" w:color="auto"/>
        <w:left w:val="none" w:sz="0" w:space="0" w:color="auto"/>
        <w:bottom w:val="none" w:sz="0" w:space="0" w:color="auto"/>
        <w:right w:val="none" w:sz="0" w:space="0" w:color="auto"/>
      </w:divBdr>
    </w:div>
    <w:div w:id="773356247">
      <w:bodyDiv w:val="1"/>
      <w:marLeft w:val="0"/>
      <w:marRight w:val="0"/>
      <w:marTop w:val="0"/>
      <w:marBottom w:val="0"/>
      <w:divBdr>
        <w:top w:val="none" w:sz="0" w:space="0" w:color="auto"/>
        <w:left w:val="none" w:sz="0" w:space="0" w:color="auto"/>
        <w:bottom w:val="none" w:sz="0" w:space="0" w:color="auto"/>
        <w:right w:val="none" w:sz="0" w:space="0" w:color="auto"/>
      </w:divBdr>
    </w:div>
    <w:div w:id="773356989">
      <w:bodyDiv w:val="1"/>
      <w:marLeft w:val="0"/>
      <w:marRight w:val="0"/>
      <w:marTop w:val="0"/>
      <w:marBottom w:val="0"/>
      <w:divBdr>
        <w:top w:val="none" w:sz="0" w:space="0" w:color="auto"/>
        <w:left w:val="none" w:sz="0" w:space="0" w:color="auto"/>
        <w:bottom w:val="none" w:sz="0" w:space="0" w:color="auto"/>
        <w:right w:val="none" w:sz="0" w:space="0" w:color="auto"/>
      </w:divBdr>
    </w:div>
    <w:div w:id="773524190">
      <w:bodyDiv w:val="1"/>
      <w:marLeft w:val="0"/>
      <w:marRight w:val="0"/>
      <w:marTop w:val="0"/>
      <w:marBottom w:val="0"/>
      <w:divBdr>
        <w:top w:val="none" w:sz="0" w:space="0" w:color="auto"/>
        <w:left w:val="none" w:sz="0" w:space="0" w:color="auto"/>
        <w:bottom w:val="none" w:sz="0" w:space="0" w:color="auto"/>
        <w:right w:val="none" w:sz="0" w:space="0" w:color="auto"/>
      </w:divBdr>
    </w:div>
    <w:div w:id="773669658">
      <w:bodyDiv w:val="1"/>
      <w:marLeft w:val="0"/>
      <w:marRight w:val="0"/>
      <w:marTop w:val="0"/>
      <w:marBottom w:val="0"/>
      <w:divBdr>
        <w:top w:val="none" w:sz="0" w:space="0" w:color="auto"/>
        <w:left w:val="none" w:sz="0" w:space="0" w:color="auto"/>
        <w:bottom w:val="none" w:sz="0" w:space="0" w:color="auto"/>
        <w:right w:val="none" w:sz="0" w:space="0" w:color="auto"/>
      </w:divBdr>
    </w:div>
    <w:div w:id="773671173">
      <w:bodyDiv w:val="1"/>
      <w:marLeft w:val="0"/>
      <w:marRight w:val="0"/>
      <w:marTop w:val="0"/>
      <w:marBottom w:val="0"/>
      <w:divBdr>
        <w:top w:val="none" w:sz="0" w:space="0" w:color="auto"/>
        <w:left w:val="none" w:sz="0" w:space="0" w:color="auto"/>
        <w:bottom w:val="none" w:sz="0" w:space="0" w:color="auto"/>
        <w:right w:val="none" w:sz="0" w:space="0" w:color="auto"/>
      </w:divBdr>
    </w:div>
    <w:div w:id="773749085">
      <w:bodyDiv w:val="1"/>
      <w:marLeft w:val="0"/>
      <w:marRight w:val="0"/>
      <w:marTop w:val="0"/>
      <w:marBottom w:val="0"/>
      <w:divBdr>
        <w:top w:val="none" w:sz="0" w:space="0" w:color="auto"/>
        <w:left w:val="none" w:sz="0" w:space="0" w:color="auto"/>
        <w:bottom w:val="none" w:sz="0" w:space="0" w:color="auto"/>
        <w:right w:val="none" w:sz="0" w:space="0" w:color="auto"/>
      </w:divBdr>
    </w:div>
    <w:div w:id="773860018">
      <w:bodyDiv w:val="1"/>
      <w:marLeft w:val="0"/>
      <w:marRight w:val="0"/>
      <w:marTop w:val="0"/>
      <w:marBottom w:val="0"/>
      <w:divBdr>
        <w:top w:val="none" w:sz="0" w:space="0" w:color="auto"/>
        <w:left w:val="none" w:sz="0" w:space="0" w:color="auto"/>
        <w:bottom w:val="none" w:sz="0" w:space="0" w:color="auto"/>
        <w:right w:val="none" w:sz="0" w:space="0" w:color="auto"/>
      </w:divBdr>
    </w:div>
    <w:div w:id="774322924">
      <w:bodyDiv w:val="1"/>
      <w:marLeft w:val="0"/>
      <w:marRight w:val="0"/>
      <w:marTop w:val="0"/>
      <w:marBottom w:val="0"/>
      <w:divBdr>
        <w:top w:val="none" w:sz="0" w:space="0" w:color="auto"/>
        <w:left w:val="none" w:sz="0" w:space="0" w:color="auto"/>
        <w:bottom w:val="none" w:sz="0" w:space="0" w:color="auto"/>
        <w:right w:val="none" w:sz="0" w:space="0" w:color="auto"/>
      </w:divBdr>
    </w:div>
    <w:div w:id="774515564">
      <w:bodyDiv w:val="1"/>
      <w:marLeft w:val="0"/>
      <w:marRight w:val="0"/>
      <w:marTop w:val="0"/>
      <w:marBottom w:val="0"/>
      <w:divBdr>
        <w:top w:val="none" w:sz="0" w:space="0" w:color="auto"/>
        <w:left w:val="none" w:sz="0" w:space="0" w:color="auto"/>
        <w:bottom w:val="none" w:sz="0" w:space="0" w:color="auto"/>
        <w:right w:val="none" w:sz="0" w:space="0" w:color="auto"/>
      </w:divBdr>
    </w:div>
    <w:div w:id="774636597">
      <w:bodyDiv w:val="1"/>
      <w:marLeft w:val="0"/>
      <w:marRight w:val="0"/>
      <w:marTop w:val="0"/>
      <w:marBottom w:val="0"/>
      <w:divBdr>
        <w:top w:val="none" w:sz="0" w:space="0" w:color="auto"/>
        <w:left w:val="none" w:sz="0" w:space="0" w:color="auto"/>
        <w:bottom w:val="none" w:sz="0" w:space="0" w:color="auto"/>
        <w:right w:val="none" w:sz="0" w:space="0" w:color="auto"/>
      </w:divBdr>
    </w:div>
    <w:div w:id="774711336">
      <w:bodyDiv w:val="1"/>
      <w:marLeft w:val="0"/>
      <w:marRight w:val="0"/>
      <w:marTop w:val="0"/>
      <w:marBottom w:val="0"/>
      <w:divBdr>
        <w:top w:val="none" w:sz="0" w:space="0" w:color="auto"/>
        <w:left w:val="none" w:sz="0" w:space="0" w:color="auto"/>
        <w:bottom w:val="none" w:sz="0" w:space="0" w:color="auto"/>
        <w:right w:val="none" w:sz="0" w:space="0" w:color="auto"/>
      </w:divBdr>
    </w:div>
    <w:div w:id="774718171">
      <w:bodyDiv w:val="1"/>
      <w:marLeft w:val="0"/>
      <w:marRight w:val="0"/>
      <w:marTop w:val="0"/>
      <w:marBottom w:val="0"/>
      <w:divBdr>
        <w:top w:val="none" w:sz="0" w:space="0" w:color="auto"/>
        <w:left w:val="none" w:sz="0" w:space="0" w:color="auto"/>
        <w:bottom w:val="none" w:sz="0" w:space="0" w:color="auto"/>
        <w:right w:val="none" w:sz="0" w:space="0" w:color="auto"/>
      </w:divBdr>
    </w:div>
    <w:div w:id="774833149">
      <w:bodyDiv w:val="1"/>
      <w:marLeft w:val="0"/>
      <w:marRight w:val="0"/>
      <w:marTop w:val="0"/>
      <w:marBottom w:val="0"/>
      <w:divBdr>
        <w:top w:val="none" w:sz="0" w:space="0" w:color="auto"/>
        <w:left w:val="none" w:sz="0" w:space="0" w:color="auto"/>
        <w:bottom w:val="none" w:sz="0" w:space="0" w:color="auto"/>
        <w:right w:val="none" w:sz="0" w:space="0" w:color="auto"/>
      </w:divBdr>
    </w:div>
    <w:div w:id="774834385">
      <w:bodyDiv w:val="1"/>
      <w:marLeft w:val="0"/>
      <w:marRight w:val="0"/>
      <w:marTop w:val="0"/>
      <w:marBottom w:val="0"/>
      <w:divBdr>
        <w:top w:val="none" w:sz="0" w:space="0" w:color="auto"/>
        <w:left w:val="none" w:sz="0" w:space="0" w:color="auto"/>
        <w:bottom w:val="none" w:sz="0" w:space="0" w:color="auto"/>
        <w:right w:val="none" w:sz="0" w:space="0" w:color="auto"/>
      </w:divBdr>
    </w:div>
    <w:div w:id="774903744">
      <w:bodyDiv w:val="1"/>
      <w:marLeft w:val="0"/>
      <w:marRight w:val="0"/>
      <w:marTop w:val="0"/>
      <w:marBottom w:val="0"/>
      <w:divBdr>
        <w:top w:val="none" w:sz="0" w:space="0" w:color="auto"/>
        <w:left w:val="none" w:sz="0" w:space="0" w:color="auto"/>
        <w:bottom w:val="none" w:sz="0" w:space="0" w:color="auto"/>
        <w:right w:val="none" w:sz="0" w:space="0" w:color="auto"/>
      </w:divBdr>
    </w:div>
    <w:div w:id="774981723">
      <w:bodyDiv w:val="1"/>
      <w:marLeft w:val="0"/>
      <w:marRight w:val="0"/>
      <w:marTop w:val="0"/>
      <w:marBottom w:val="0"/>
      <w:divBdr>
        <w:top w:val="none" w:sz="0" w:space="0" w:color="auto"/>
        <w:left w:val="none" w:sz="0" w:space="0" w:color="auto"/>
        <w:bottom w:val="none" w:sz="0" w:space="0" w:color="auto"/>
        <w:right w:val="none" w:sz="0" w:space="0" w:color="auto"/>
      </w:divBdr>
    </w:div>
    <w:div w:id="774984622">
      <w:bodyDiv w:val="1"/>
      <w:marLeft w:val="0"/>
      <w:marRight w:val="0"/>
      <w:marTop w:val="0"/>
      <w:marBottom w:val="0"/>
      <w:divBdr>
        <w:top w:val="none" w:sz="0" w:space="0" w:color="auto"/>
        <w:left w:val="none" w:sz="0" w:space="0" w:color="auto"/>
        <w:bottom w:val="none" w:sz="0" w:space="0" w:color="auto"/>
        <w:right w:val="none" w:sz="0" w:space="0" w:color="auto"/>
      </w:divBdr>
    </w:div>
    <w:div w:id="774985084">
      <w:bodyDiv w:val="1"/>
      <w:marLeft w:val="0"/>
      <w:marRight w:val="0"/>
      <w:marTop w:val="0"/>
      <w:marBottom w:val="0"/>
      <w:divBdr>
        <w:top w:val="none" w:sz="0" w:space="0" w:color="auto"/>
        <w:left w:val="none" w:sz="0" w:space="0" w:color="auto"/>
        <w:bottom w:val="none" w:sz="0" w:space="0" w:color="auto"/>
        <w:right w:val="none" w:sz="0" w:space="0" w:color="auto"/>
      </w:divBdr>
    </w:div>
    <w:div w:id="774986657">
      <w:bodyDiv w:val="1"/>
      <w:marLeft w:val="0"/>
      <w:marRight w:val="0"/>
      <w:marTop w:val="0"/>
      <w:marBottom w:val="0"/>
      <w:divBdr>
        <w:top w:val="none" w:sz="0" w:space="0" w:color="auto"/>
        <w:left w:val="none" w:sz="0" w:space="0" w:color="auto"/>
        <w:bottom w:val="none" w:sz="0" w:space="0" w:color="auto"/>
        <w:right w:val="none" w:sz="0" w:space="0" w:color="auto"/>
      </w:divBdr>
    </w:div>
    <w:div w:id="775056095">
      <w:bodyDiv w:val="1"/>
      <w:marLeft w:val="0"/>
      <w:marRight w:val="0"/>
      <w:marTop w:val="0"/>
      <w:marBottom w:val="0"/>
      <w:divBdr>
        <w:top w:val="none" w:sz="0" w:space="0" w:color="auto"/>
        <w:left w:val="none" w:sz="0" w:space="0" w:color="auto"/>
        <w:bottom w:val="none" w:sz="0" w:space="0" w:color="auto"/>
        <w:right w:val="none" w:sz="0" w:space="0" w:color="auto"/>
      </w:divBdr>
    </w:div>
    <w:div w:id="775097903">
      <w:bodyDiv w:val="1"/>
      <w:marLeft w:val="0"/>
      <w:marRight w:val="0"/>
      <w:marTop w:val="0"/>
      <w:marBottom w:val="0"/>
      <w:divBdr>
        <w:top w:val="none" w:sz="0" w:space="0" w:color="auto"/>
        <w:left w:val="none" w:sz="0" w:space="0" w:color="auto"/>
        <w:bottom w:val="none" w:sz="0" w:space="0" w:color="auto"/>
        <w:right w:val="none" w:sz="0" w:space="0" w:color="auto"/>
      </w:divBdr>
    </w:div>
    <w:div w:id="775176289">
      <w:bodyDiv w:val="1"/>
      <w:marLeft w:val="0"/>
      <w:marRight w:val="0"/>
      <w:marTop w:val="0"/>
      <w:marBottom w:val="0"/>
      <w:divBdr>
        <w:top w:val="none" w:sz="0" w:space="0" w:color="auto"/>
        <w:left w:val="none" w:sz="0" w:space="0" w:color="auto"/>
        <w:bottom w:val="none" w:sz="0" w:space="0" w:color="auto"/>
        <w:right w:val="none" w:sz="0" w:space="0" w:color="auto"/>
      </w:divBdr>
    </w:div>
    <w:div w:id="775251954">
      <w:bodyDiv w:val="1"/>
      <w:marLeft w:val="0"/>
      <w:marRight w:val="0"/>
      <w:marTop w:val="0"/>
      <w:marBottom w:val="0"/>
      <w:divBdr>
        <w:top w:val="none" w:sz="0" w:space="0" w:color="auto"/>
        <w:left w:val="none" w:sz="0" w:space="0" w:color="auto"/>
        <w:bottom w:val="none" w:sz="0" w:space="0" w:color="auto"/>
        <w:right w:val="none" w:sz="0" w:space="0" w:color="auto"/>
      </w:divBdr>
    </w:div>
    <w:div w:id="775296935">
      <w:bodyDiv w:val="1"/>
      <w:marLeft w:val="0"/>
      <w:marRight w:val="0"/>
      <w:marTop w:val="0"/>
      <w:marBottom w:val="0"/>
      <w:divBdr>
        <w:top w:val="none" w:sz="0" w:space="0" w:color="auto"/>
        <w:left w:val="none" w:sz="0" w:space="0" w:color="auto"/>
        <w:bottom w:val="none" w:sz="0" w:space="0" w:color="auto"/>
        <w:right w:val="none" w:sz="0" w:space="0" w:color="auto"/>
      </w:divBdr>
    </w:div>
    <w:div w:id="775442540">
      <w:bodyDiv w:val="1"/>
      <w:marLeft w:val="0"/>
      <w:marRight w:val="0"/>
      <w:marTop w:val="0"/>
      <w:marBottom w:val="0"/>
      <w:divBdr>
        <w:top w:val="none" w:sz="0" w:space="0" w:color="auto"/>
        <w:left w:val="none" w:sz="0" w:space="0" w:color="auto"/>
        <w:bottom w:val="none" w:sz="0" w:space="0" w:color="auto"/>
        <w:right w:val="none" w:sz="0" w:space="0" w:color="auto"/>
      </w:divBdr>
    </w:div>
    <w:div w:id="775518308">
      <w:bodyDiv w:val="1"/>
      <w:marLeft w:val="0"/>
      <w:marRight w:val="0"/>
      <w:marTop w:val="0"/>
      <w:marBottom w:val="0"/>
      <w:divBdr>
        <w:top w:val="none" w:sz="0" w:space="0" w:color="auto"/>
        <w:left w:val="none" w:sz="0" w:space="0" w:color="auto"/>
        <w:bottom w:val="none" w:sz="0" w:space="0" w:color="auto"/>
        <w:right w:val="none" w:sz="0" w:space="0" w:color="auto"/>
      </w:divBdr>
    </w:div>
    <w:div w:id="775637489">
      <w:bodyDiv w:val="1"/>
      <w:marLeft w:val="0"/>
      <w:marRight w:val="0"/>
      <w:marTop w:val="0"/>
      <w:marBottom w:val="0"/>
      <w:divBdr>
        <w:top w:val="none" w:sz="0" w:space="0" w:color="auto"/>
        <w:left w:val="none" w:sz="0" w:space="0" w:color="auto"/>
        <w:bottom w:val="none" w:sz="0" w:space="0" w:color="auto"/>
        <w:right w:val="none" w:sz="0" w:space="0" w:color="auto"/>
      </w:divBdr>
    </w:div>
    <w:div w:id="775904672">
      <w:bodyDiv w:val="1"/>
      <w:marLeft w:val="0"/>
      <w:marRight w:val="0"/>
      <w:marTop w:val="0"/>
      <w:marBottom w:val="0"/>
      <w:divBdr>
        <w:top w:val="none" w:sz="0" w:space="0" w:color="auto"/>
        <w:left w:val="none" w:sz="0" w:space="0" w:color="auto"/>
        <w:bottom w:val="none" w:sz="0" w:space="0" w:color="auto"/>
        <w:right w:val="none" w:sz="0" w:space="0" w:color="auto"/>
      </w:divBdr>
    </w:div>
    <w:div w:id="776170349">
      <w:bodyDiv w:val="1"/>
      <w:marLeft w:val="0"/>
      <w:marRight w:val="0"/>
      <w:marTop w:val="0"/>
      <w:marBottom w:val="0"/>
      <w:divBdr>
        <w:top w:val="none" w:sz="0" w:space="0" w:color="auto"/>
        <w:left w:val="none" w:sz="0" w:space="0" w:color="auto"/>
        <w:bottom w:val="none" w:sz="0" w:space="0" w:color="auto"/>
        <w:right w:val="none" w:sz="0" w:space="0" w:color="auto"/>
      </w:divBdr>
    </w:div>
    <w:div w:id="776366510">
      <w:bodyDiv w:val="1"/>
      <w:marLeft w:val="0"/>
      <w:marRight w:val="0"/>
      <w:marTop w:val="0"/>
      <w:marBottom w:val="0"/>
      <w:divBdr>
        <w:top w:val="none" w:sz="0" w:space="0" w:color="auto"/>
        <w:left w:val="none" w:sz="0" w:space="0" w:color="auto"/>
        <w:bottom w:val="none" w:sz="0" w:space="0" w:color="auto"/>
        <w:right w:val="none" w:sz="0" w:space="0" w:color="auto"/>
      </w:divBdr>
    </w:div>
    <w:div w:id="776367728">
      <w:bodyDiv w:val="1"/>
      <w:marLeft w:val="0"/>
      <w:marRight w:val="0"/>
      <w:marTop w:val="0"/>
      <w:marBottom w:val="0"/>
      <w:divBdr>
        <w:top w:val="none" w:sz="0" w:space="0" w:color="auto"/>
        <w:left w:val="none" w:sz="0" w:space="0" w:color="auto"/>
        <w:bottom w:val="none" w:sz="0" w:space="0" w:color="auto"/>
        <w:right w:val="none" w:sz="0" w:space="0" w:color="auto"/>
      </w:divBdr>
    </w:div>
    <w:div w:id="776409107">
      <w:bodyDiv w:val="1"/>
      <w:marLeft w:val="0"/>
      <w:marRight w:val="0"/>
      <w:marTop w:val="0"/>
      <w:marBottom w:val="0"/>
      <w:divBdr>
        <w:top w:val="none" w:sz="0" w:space="0" w:color="auto"/>
        <w:left w:val="none" w:sz="0" w:space="0" w:color="auto"/>
        <w:bottom w:val="none" w:sz="0" w:space="0" w:color="auto"/>
        <w:right w:val="none" w:sz="0" w:space="0" w:color="auto"/>
      </w:divBdr>
    </w:div>
    <w:div w:id="776411781">
      <w:bodyDiv w:val="1"/>
      <w:marLeft w:val="0"/>
      <w:marRight w:val="0"/>
      <w:marTop w:val="0"/>
      <w:marBottom w:val="0"/>
      <w:divBdr>
        <w:top w:val="none" w:sz="0" w:space="0" w:color="auto"/>
        <w:left w:val="none" w:sz="0" w:space="0" w:color="auto"/>
        <w:bottom w:val="none" w:sz="0" w:space="0" w:color="auto"/>
        <w:right w:val="none" w:sz="0" w:space="0" w:color="auto"/>
      </w:divBdr>
    </w:div>
    <w:div w:id="776414552">
      <w:bodyDiv w:val="1"/>
      <w:marLeft w:val="0"/>
      <w:marRight w:val="0"/>
      <w:marTop w:val="0"/>
      <w:marBottom w:val="0"/>
      <w:divBdr>
        <w:top w:val="none" w:sz="0" w:space="0" w:color="auto"/>
        <w:left w:val="none" w:sz="0" w:space="0" w:color="auto"/>
        <w:bottom w:val="none" w:sz="0" w:space="0" w:color="auto"/>
        <w:right w:val="none" w:sz="0" w:space="0" w:color="auto"/>
      </w:divBdr>
    </w:div>
    <w:div w:id="776490596">
      <w:bodyDiv w:val="1"/>
      <w:marLeft w:val="0"/>
      <w:marRight w:val="0"/>
      <w:marTop w:val="0"/>
      <w:marBottom w:val="0"/>
      <w:divBdr>
        <w:top w:val="none" w:sz="0" w:space="0" w:color="auto"/>
        <w:left w:val="none" w:sz="0" w:space="0" w:color="auto"/>
        <w:bottom w:val="none" w:sz="0" w:space="0" w:color="auto"/>
        <w:right w:val="none" w:sz="0" w:space="0" w:color="auto"/>
      </w:divBdr>
    </w:div>
    <w:div w:id="776608273">
      <w:bodyDiv w:val="1"/>
      <w:marLeft w:val="0"/>
      <w:marRight w:val="0"/>
      <w:marTop w:val="0"/>
      <w:marBottom w:val="0"/>
      <w:divBdr>
        <w:top w:val="none" w:sz="0" w:space="0" w:color="auto"/>
        <w:left w:val="none" w:sz="0" w:space="0" w:color="auto"/>
        <w:bottom w:val="none" w:sz="0" w:space="0" w:color="auto"/>
        <w:right w:val="none" w:sz="0" w:space="0" w:color="auto"/>
      </w:divBdr>
    </w:div>
    <w:div w:id="776633747">
      <w:bodyDiv w:val="1"/>
      <w:marLeft w:val="0"/>
      <w:marRight w:val="0"/>
      <w:marTop w:val="0"/>
      <w:marBottom w:val="0"/>
      <w:divBdr>
        <w:top w:val="none" w:sz="0" w:space="0" w:color="auto"/>
        <w:left w:val="none" w:sz="0" w:space="0" w:color="auto"/>
        <w:bottom w:val="none" w:sz="0" w:space="0" w:color="auto"/>
        <w:right w:val="none" w:sz="0" w:space="0" w:color="auto"/>
      </w:divBdr>
    </w:div>
    <w:div w:id="776674793">
      <w:bodyDiv w:val="1"/>
      <w:marLeft w:val="0"/>
      <w:marRight w:val="0"/>
      <w:marTop w:val="0"/>
      <w:marBottom w:val="0"/>
      <w:divBdr>
        <w:top w:val="none" w:sz="0" w:space="0" w:color="auto"/>
        <w:left w:val="none" w:sz="0" w:space="0" w:color="auto"/>
        <w:bottom w:val="none" w:sz="0" w:space="0" w:color="auto"/>
        <w:right w:val="none" w:sz="0" w:space="0" w:color="auto"/>
      </w:divBdr>
    </w:div>
    <w:div w:id="776680904">
      <w:bodyDiv w:val="1"/>
      <w:marLeft w:val="0"/>
      <w:marRight w:val="0"/>
      <w:marTop w:val="0"/>
      <w:marBottom w:val="0"/>
      <w:divBdr>
        <w:top w:val="none" w:sz="0" w:space="0" w:color="auto"/>
        <w:left w:val="none" w:sz="0" w:space="0" w:color="auto"/>
        <w:bottom w:val="none" w:sz="0" w:space="0" w:color="auto"/>
        <w:right w:val="none" w:sz="0" w:space="0" w:color="auto"/>
      </w:divBdr>
    </w:div>
    <w:div w:id="776870963">
      <w:bodyDiv w:val="1"/>
      <w:marLeft w:val="0"/>
      <w:marRight w:val="0"/>
      <w:marTop w:val="0"/>
      <w:marBottom w:val="0"/>
      <w:divBdr>
        <w:top w:val="none" w:sz="0" w:space="0" w:color="auto"/>
        <w:left w:val="none" w:sz="0" w:space="0" w:color="auto"/>
        <w:bottom w:val="none" w:sz="0" w:space="0" w:color="auto"/>
        <w:right w:val="none" w:sz="0" w:space="0" w:color="auto"/>
      </w:divBdr>
    </w:div>
    <w:div w:id="776952517">
      <w:bodyDiv w:val="1"/>
      <w:marLeft w:val="0"/>
      <w:marRight w:val="0"/>
      <w:marTop w:val="0"/>
      <w:marBottom w:val="0"/>
      <w:divBdr>
        <w:top w:val="none" w:sz="0" w:space="0" w:color="auto"/>
        <w:left w:val="none" w:sz="0" w:space="0" w:color="auto"/>
        <w:bottom w:val="none" w:sz="0" w:space="0" w:color="auto"/>
        <w:right w:val="none" w:sz="0" w:space="0" w:color="auto"/>
      </w:divBdr>
    </w:div>
    <w:div w:id="777137657">
      <w:bodyDiv w:val="1"/>
      <w:marLeft w:val="0"/>
      <w:marRight w:val="0"/>
      <w:marTop w:val="0"/>
      <w:marBottom w:val="0"/>
      <w:divBdr>
        <w:top w:val="none" w:sz="0" w:space="0" w:color="auto"/>
        <w:left w:val="none" w:sz="0" w:space="0" w:color="auto"/>
        <w:bottom w:val="none" w:sz="0" w:space="0" w:color="auto"/>
        <w:right w:val="none" w:sz="0" w:space="0" w:color="auto"/>
      </w:divBdr>
    </w:div>
    <w:div w:id="777259674">
      <w:bodyDiv w:val="1"/>
      <w:marLeft w:val="0"/>
      <w:marRight w:val="0"/>
      <w:marTop w:val="0"/>
      <w:marBottom w:val="0"/>
      <w:divBdr>
        <w:top w:val="none" w:sz="0" w:space="0" w:color="auto"/>
        <w:left w:val="none" w:sz="0" w:space="0" w:color="auto"/>
        <w:bottom w:val="none" w:sz="0" w:space="0" w:color="auto"/>
        <w:right w:val="none" w:sz="0" w:space="0" w:color="auto"/>
      </w:divBdr>
    </w:div>
    <w:div w:id="777412989">
      <w:bodyDiv w:val="1"/>
      <w:marLeft w:val="0"/>
      <w:marRight w:val="0"/>
      <w:marTop w:val="0"/>
      <w:marBottom w:val="0"/>
      <w:divBdr>
        <w:top w:val="none" w:sz="0" w:space="0" w:color="auto"/>
        <w:left w:val="none" w:sz="0" w:space="0" w:color="auto"/>
        <w:bottom w:val="none" w:sz="0" w:space="0" w:color="auto"/>
        <w:right w:val="none" w:sz="0" w:space="0" w:color="auto"/>
      </w:divBdr>
    </w:div>
    <w:div w:id="777453593">
      <w:bodyDiv w:val="1"/>
      <w:marLeft w:val="0"/>
      <w:marRight w:val="0"/>
      <w:marTop w:val="0"/>
      <w:marBottom w:val="0"/>
      <w:divBdr>
        <w:top w:val="none" w:sz="0" w:space="0" w:color="auto"/>
        <w:left w:val="none" w:sz="0" w:space="0" w:color="auto"/>
        <w:bottom w:val="none" w:sz="0" w:space="0" w:color="auto"/>
        <w:right w:val="none" w:sz="0" w:space="0" w:color="auto"/>
      </w:divBdr>
    </w:div>
    <w:div w:id="777600113">
      <w:bodyDiv w:val="1"/>
      <w:marLeft w:val="0"/>
      <w:marRight w:val="0"/>
      <w:marTop w:val="0"/>
      <w:marBottom w:val="0"/>
      <w:divBdr>
        <w:top w:val="none" w:sz="0" w:space="0" w:color="auto"/>
        <w:left w:val="none" w:sz="0" w:space="0" w:color="auto"/>
        <w:bottom w:val="none" w:sz="0" w:space="0" w:color="auto"/>
        <w:right w:val="none" w:sz="0" w:space="0" w:color="auto"/>
      </w:divBdr>
    </w:div>
    <w:div w:id="777650348">
      <w:bodyDiv w:val="1"/>
      <w:marLeft w:val="0"/>
      <w:marRight w:val="0"/>
      <w:marTop w:val="0"/>
      <w:marBottom w:val="0"/>
      <w:divBdr>
        <w:top w:val="none" w:sz="0" w:space="0" w:color="auto"/>
        <w:left w:val="none" w:sz="0" w:space="0" w:color="auto"/>
        <w:bottom w:val="none" w:sz="0" w:space="0" w:color="auto"/>
        <w:right w:val="none" w:sz="0" w:space="0" w:color="auto"/>
      </w:divBdr>
    </w:div>
    <w:div w:id="777793442">
      <w:bodyDiv w:val="1"/>
      <w:marLeft w:val="0"/>
      <w:marRight w:val="0"/>
      <w:marTop w:val="0"/>
      <w:marBottom w:val="0"/>
      <w:divBdr>
        <w:top w:val="none" w:sz="0" w:space="0" w:color="auto"/>
        <w:left w:val="none" w:sz="0" w:space="0" w:color="auto"/>
        <w:bottom w:val="none" w:sz="0" w:space="0" w:color="auto"/>
        <w:right w:val="none" w:sz="0" w:space="0" w:color="auto"/>
      </w:divBdr>
    </w:div>
    <w:div w:id="777871167">
      <w:bodyDiv w:val="1"/>
      <w:marLeft w:val="0"/>
      <w:marRight w:val="0"/>
      <w:marTop w:val="0"/>
      <w:marBottom w:val="0"/>
      <w:divBdr>
        <w:top w:val="none" w:sz="0" w:space="0" w:color="auto"/>
        <w:left w:val="none" w:sz="0" w:space="0" w:color="auto"/>
        <w:bottom w:val="none" w:sz="0" w:space="0" w:color="auto"/>
        <w:right w:val="none" w:sz="0" w:space="0" w:color="auto"/>
      </w:divBdr>
    </w:div>
    <w:div w:id="777990867">
      <w:bodyDiv w:val="1"/>
      <w:marLeft w:val="0"/>
      <w:marRight w:val="0"/>
      <w:marTop w:val="0"/>
      <w:marBottom w:val="0"/>
      <w:divBdr>
        <w:top w:val="none" w:sz="0" w:space="0" w:color="auto"/>
        <w:left w:val="none" w:sz="0" w:space="0" w:color="auto"/>
        <w:bottom w:val="none" w:sz="0" w:space="0" w:color="auto"/>
        <w:right w:val="none" w:sz="0" w:space="0" w:color="auto"/>
      </w:divBdr>
    </w:div>
    <w:div w:id="777993010">
      <w:bodyDiv w:val="1"/>
      <w:marLeft w:val="0"/>
      <w:marRight w:val="0"/>
      <w:marTop w:val="0"/>
      <w:marBottom w:val="0"/>
      <w:divBdr>
        <w:top w:val="none" w:sz="0" w:space="0" w:color="auto"/>
        <w:left w:val="none" w:sz="0" w:space="0" w:color="auto"/>
        <w:bottom w:val="none" w:sz="0" w:space="0" w:color="auto"/>
        <w:right w:val="none" w:sz="0" w:space="0" w:color="auto"/>
      </w:divBdr>
    </w:div>
    <w:div w:id="778256812">
      <w:bodyDiv w:val="1"/>
      <w:marLeft w:val="0"/>
      <w:marRight w:val="0"/>
      <w:marTop w:val="0"/>
      <w:marBottom w:val="0"/>
      <w:divBdr>
        <w:top w:val="none" w:sz="0" w:space="0" w:color="auto"/>
        <w:left w:val="none" w:sz="0" w:space="0" w:color="auto"/>
        <w:bottom w:val="none" w:sz="0" w:space="0" w:color="auto"/>
        <w:right w:val="none" w:sz="0" w:space="0" w:color="auto"/>
      </w:divBdr>
    </w:div>
    <w:div w:id="778261442">
      <w:bodyDiv w:val="1"/>
      <w:marLeft w:val="0"/>
      <w:marRight w:val="0"/>
      <w:marTop w:val="0"/>
      <w:marBottom w:val="0"/>
      <w:divBdr>
        <w:top w:val="none" w:sz="0" w:space="0" w:color="auto"/>
        <w:left w:val="none" w:sz="0" w:space="0" w:color="auto"/>
        <w:bottom w:val="none" w:sz="0" w:space="0" w:color="auto"/>
        <w:right w:val="none" w:sz="0" w:space="0" w:color="auto"/>
      </w:divBdr>
    </w:div>
    <w:div w:id="778329960">
      <w:bodyDiv w:val="1"/>
      <w:marLeft w:val="0"/>
      <w:marRight w:val="0"/>
      <w:marTop w:val="0"/>
      <w:marBottom w:val="0"/>
      <w:divBdr>
        <w:top w:val="none" w:sz="0" w:space="0" w:color="auto"/>
        <w:left w:val="none" w:sz="0" w:space="0" w:color="auto"/>
        <w:bottom w:val="none" w:sz="0" w:space="0" w:color="auto"/>
        <w:right w:val="none" w:sz="0" w:space="0" w:color="auto"/>
      </w:divBdr>
    </w:div>
    <w:div w:id="778641971">
      <w:bodyDiv w:val="1"/>
      <w:marLeft w:val="0"/>
      <w:marRight w:val="0"/>
      <w:marTop w:val="0"/>
      <w:marBottom w:val="0"/>
      <w:divBdr>
        <w:top w:val="none" w:sz="0" w:space="0" w:color="auto"/>
        <w:left w:val="none" w:sz="0" w:space="0" w:color="auto"/>
        <w:bottom w:val="none" w:sz="0" w:space="0" w:color="auto"/>
        <w:right w:val="none" w:sz="0" w:space="0" w:color="auto"/>
      </w:divBdr>
    </w:div>
    <w:div w:id="778716173">
      <w:bodyDiv w:val="1"/>
      <w:marLeft w:val="0"/>
      <w:marRight w:val="0"/>
      <w:marTop w:val="0"/>
      <w:marBottom w:val="0"/>
      <w:divBdr>
        <w:top w:val="none" w:sz="0" w:space="0" w:color="auto"/>
        <w:left w:val="none" w:sz="0" w:space="0" w:color="auto"/>
        <w:bottom w:val="none" w:sz="0" w:space="0" w:color="auto"/>
        <w:right w:val="none" w:sz="0" w:space="0" w:color="auto"/>
      </w:divBdr>
    </w:div>
    <w:div w:id="778723438">
      <w:bodyDiv w:val="1"/>
      <w:marLeft w:val="0"/>
      <w:marRight w:val="0"/>
      <w:marTop w:val="0"/>
      <w:marBottom w:val="0"/>
      <w:divBdr>
        <w:top w:val="none" w:sz="0" w:space="0" w:color="auto"/>
        <w:left w:val="none" w:sz="0" w:space="0" w:color="auto"/>
        <w:bottom w:val="none" w:sz="0" w:space="0" w:color="auto"/>
        <w:right w:val="none" w:sz="0" w:space="0" w:color="auto"/>
      </w:divBdr>
    </w:div>
    <w:div w:id="778795163">
      <w:bodyDiv w:val="1"/>
      <w:marLeft w:val="0"/>
      <w:marRight w:val="0"/>
      <w:marTop w:val="0"/>
      <w:marBottom w:val="0"/>
      <w:divBdr>
        <w:top w:val="none" w:sz="0" w:space="0" w:color="auto"/>
        <w:left w:val="none" w:sz="0" w:space="0" w:color="auto"/>
        <w:bottom w:val="none" w:sz="0" w:space="0" w:color="auto"/>
        <w:right w:val="none" w:sz="0" w:space="0" w:color="auto"/>
      </w:divBdr>
    </w:div>
    <w:div w:id="778838788">
      <w:bodyDiv w:val="1"/>
      <w:marLeft w:val="0"/>
      <w:marRight w:val="0"/>
      <w:marTop w:val="0"/>
      <w:marBottom w:val="0"/>
      <w:divBdr>
        <w:top w:val="none" w:sz="0" w:space="0" w:color="auto"/>
        <w:left w:val="none" w:sz="0" w:space="0" w:color="auto"/>
        <w:bottom w:val="none" w:sz="0" w:space="0" w:color="auto"/>
        <w:right w:val="none" w:sz="0" w:space="0" w:color="auto"/>
      </w:divBdr>
    </w:div>
    <w:div w:id="779030690">
      <w:bodyDiv w:val="1"/>
      <w:marLeft w:val="0"/>
      <w:marRight w:val="0"/>
      <w:marTop w:val="0"/>
      <w:marBottom w:val="0"/>
      <w:divBdr>
        <w:top w:val="none" w:sz="0" w:space="0" w:color="auto"/>
        <w:left w:val="none" w:sz="0" w:space="0" w:color="auto"/>
        <w:bottom w:val="none" w:sz="0" w:space="0" w:color="auto"/>
        <w:right w:val="none" w:sz="0" w:space="0" w:color="auto"/>
      </w:divBdr>
    </w:div>
    <w:div w:id="779109720">
      <w:bodyDiv w:val="1"/>
      <w:marLeft w:val="0"/>
      <w:marRight w:val="0"/>
      <w:marTop w:val="0"/>
      <w:marBottom w:val="0"/>
      <w:divBdr>
        <w:top w:val="none" w:sz="0" w:space="0" w:color="auto"/>
        <w:left w:val="none" w:sz="0" w:space="0" w:color="auto"/>
        <w:bottom w:val="none" w:sz="0" w:space="0" w:color="auto"/>
        <w:right w:val="none" w:sz="0" w:space="0" w:color="auto"/>
      </w:divBdr>
    </w:div>
    <w:div w:id="779185754">
      <w:bodyDiv w:val="1"/>
      <w:marLeft w:val="0"/>
      <w:marRight w:val="0"/>
      <w:marTop w:val="0"/>
      <w:marBottom w:val="0"/>
      <w:divBdr>
        <w:top w:val="none" w:sz="0" w:space="0" w:color="auto"/>
        <w:left w:val="none" w:sz="0" w:space="0" w:color="auto"/>
        <w:bottom w:val="none" w:sz="0" w:space="0" w:color="auto"/>
        <w:right w:val="none" w:sz="0" w:space="0" w:color="auto"/>
      </w:divBdr>
    </w:div>
    <w:div w:id="779253033">
      <w:bodyDiv w:val="1"/>
      <w:marLeft w:val="0"/>
      <w:marRight w:val="0"/>
      <w:marTop w:val="0"/>
      <w:marBottom w:val="0"/>
      <w:divBdr>
        <w:top w:val="none" w:sz="0" w:space="0" w:color="auto"/>
        <w:left w:val="none" w:sz="0" w:space="0" w:color="auto"/>
        <w:bottom w:val="none" w:sz="0" w:space="0" w:color="auto"/>
        <w:right w:val="none" w:sz="0" w:space="0" w:color="auto"/>
      </w:divBdr>
    </w:div>
    <w:div w:id="779297842">
      <w:bodyDiv w:val="1"/>
      <w:marLeft w:val="0"/>
      <w:marRight w:val="0"/>
      <w:marTop w:val="0"/>
      <w:marBottom w:val="0"/>
      <w:divBdr>
        <w:top w:val="none" w:sz="0" w:space="0" w:color="auto"/>
        <w:left w:val="none" w:sz="0" w:space="0" w:color="auto"/>
        <w:bottom w:val="none" w:sz="0" w:space="0" w:color="auto"/>
        <w:right w:val="none" w:sz="0" w:space="0" w:color="auto"/>
      </w:divBdr>
    </w:div>
    <w:div w:id="779371049">
      <w:bodyDiv w:val="1"/>
      <w:marLeft w:val="0"/>
      <w:marRight w:val="0"/>
      <w:marTop w:val="0"/>
      <w:marBottom w:val="0"/>
      <w:divBdr>
        <w:top w:val="none" w:sz="0" w:space="0" w:color="auto"/>
        <w:left w:val="none" w:sz="0" w:space="0" w:color="auto"/>
        <w:bottom w:val="none" w:sz="0" w:space="0" w:color="auto"/>
        <w:right w:val="none" w:sz="0" w:space="0" w:color="auto"/>
      </w:divBdr>
    </w:div>
    <w:div w:id="779446160">
      <w:bodyDiv w:val="1"/>
      <w:marLeft w:val="0"/>
      <w:marRight w:val="0"/>
      <w:marTop w:val="0"/>
      <w:marBottom w:val="0"/>
      <w:divBdr>
        <w:top w:val="none" w:sz="0" w:space="0" w:color="auto"/>
        <w:left w:val="none" w:sz="0" w:space="0" w:color="auto"/>
        <w:bottom w:val="none" w:sz="0" w:space="0" w:color="auto"/>
        <w:right w:val="none" w:sz="0" w:space="0" w:color="auto"/>
      </w:divBdr>
    </w:div>
    <w:div w:id="779493640">
      <w:bodyDiv w:val="1"/>
      <w:marLeft w:val="0"/>
      <w:marRight w:val="0"/>
      <w:marTop w:val="0"/>
      <w:marBottom w:val="0"/>
      <w:divBdr>
        <w:top w:val="none" w:sz="0" w:space="0" w:color="auto"/>
        <w:left w:val="none" w:sz="0" w:space="0" w:color="auto"/>
        <w:bottom w:val="none" w:sz="0" w:space="0" w:color="auto"/>
        <w:right w:val="none" w:sz="0" w:space="0" w:color="auto"/>
      </w:divBdr>
    </w:div>
    <w:div w:id="779647948">
      <w:bodyDiv w:val="1"/>
      <w:marLeft w:val="0"/>
      <w:marRight w:val="0"/>
      <w:marTop w:val="0"/>
      <w:marBottom w:val="0"/>
      <w:divBdr>
        <w:top w:val="none" w:sz="0" w:space="0" w:color="auto"/>
        <w:left w:val="none" w:sz="0" w:space="0" w:color="auto"/>
        <w:bottom w:val="none" w:sz="0" w:space="0" w:color="auto"/>
        <w:right w:val="none" w:sz="0" w:space="0" w:color="auto"/>
      </w:divBdr>
    </w:div>
    <w:div w:id="779760301">
      <w:bodyDiv w:val="1"/>
      <w:marLeft w:val="0"/>
      <w:marRight w:val="0"/>
      <w:marTop w:val="0"/>
      <w:marBottom w:val="0"/>
      <w:divBdr>
        <w:top w:val="none" w:sz="0" w:space="0" w:color="auto"/>
        <w:left w:val="none" w:sz="0" w:space="0" w:color="auto"/>
        <w:bottom w:val="none" w:sz="0" w:space="0" w:color="auto"/>
        <w:right w:val="none" w:sz="0" w:space="0" w:color="auto"/>
      </w:divBdr>
    </w:div>
    <w:div w:id="779762695">
      <w:bodyDiv w:val="1"/>
      <w:marLeft w:val="0"/>
      <w:marRight w:val="0"/>
      <w:marTop w:val="0"/>
      <w:marBottom w:val="0"/>
      <w:divBdr>
        <w:top w:val="none" w:sz="0" w:space="0" w:color="auto"/>
        <w:left w:val="none" w:sz="0" w:space="0" w:color="auto"/>
        <w:bottom w:val="none" w:sz="0" w:space="0" w:color="auto"/>
        <w:right w:val="none" w:sz="0" w:space="0" w:color="auto"/>
      </w:divBdr>
    </w:div>
    <w:div w:id="779952629">
      <w:bodyDiv w:val="1"/>
      <w:marLeft w:val="0"/>
      <w:marRight w:val="0"/>
      <w:marTop w:val="0"/>
      <w:marBottom w:val="0"/>
      <w:divBdr>
        <w:top w:val="none" w:sz="0" w:space="0" w:color="auto"/>
        <w:left w:val="none" w:sz="0" w:space="0" w:color="auto"/>
        <w:bottom w:val="none" w:sz="0" w:space="0" w:color="auto"/>
        <w:right w:val="none" w:sz="0" w:space="0" w:color="auto"/>
      </w:divBdr>
    </w:div>
    <w:div w:id="780027140">
      <w:bodyDiv w:val="1"/>
      <w:marLeft w:val="0"/>
      <w:marRight w:val="0"/>
      <w:marTop w:val="0"/>
      <w:marBottom w:val="0"/>
      <w:divBdr>
        <w:top w:val="none" w:sz="0" w:space="0" w:color="auto"/>
        <w:left w:val="none" w:sz="0" w:space="0" w:color="auto"/>
        <w:bottom w:val="none" w:sz="0" w:space="0" w:color="auto"/>
        <w:right w:val="none" w:sz="0" w:space="0" w:color="auto"/>
      </w:divBdr>
    </w:div>
    <w:div w:id="780029793">
      <w:bodyDiv w:val="1"/>
      <w:marLeft w:val="0"/>
      <w:marRight w:val="0"/>
      <w:marTop w:val="0"/>
      <w:marBottom w:val="0"/>
      <w:divBdr>
        <w:top w:val="none" w:sz="0" w:space="0" w:color="auto"/>
        <w:left w:val="none" w:sz="0" w:space="0" w:color="auto"/>
        <w:bottom w:val="none" w:sz="0" w:space="0" w:color="auto"/>
        <w:right w:val="none" w:sz="0" w:space="0" w:color="auto"/>
      </w:divBdr>
    </w:div>
    <w:div w:id="780031416">
      <w:bodyDiv w:val="1"/>
      <w:marLeft w:val="0"/>
      <w:marRight w:val="0"/>
      <w:marTop w:val="0"/>
      <w:marBottom w:val="0"/>
      <w:divBdr>
        <w:top w:val="none" w:sz="0" w:space="0" w:color="auto"/>
        <w:left w:val="none" w:sz="0" w:space="0" w:color="auto"/>
        <w:bottom w:val="none" w:sz="0" w:space="0" w:color="auto"/>
        <w:right w:val="none" w:sz="0" w:space="0" w:color="auto"/>
      </w:divBdr>
    </w:div>
    <w:div w:id="780075437">
      <w:bodyDiv w:val="1"/>
      <w:marLeft w:val="0"/>
      <w:marRight w:val="0"/>
      <w:marTop w:val="0"/>
      <w:marBottom w:val="0"/>
      <w:divBdr>
        <w:top w:val="none" w:sz="0" w:space="0" w:color="auto"/>
        <w:left w:val="none" w:sz="0" w:space="0" w:color="auto"/>
        <w:bottom w:val="none" w:sz="0" w:space="0" w:color="auto"/>
        <w:right w:val="none" w:sz="0" w:space="0" w:color="auto"/>
      </w:divBdr>
    </w:div>
    <w:div w:id="780104758">
      <w:bodyDiv w:val="1"/>
      <w:marLeft w:val="0"/>
      <w:marRight w:val="0"/>
      <w:marTop w:val="0"/>
      <w:marBottom w:val="0"/>
      <w:divBdr>
        <w:top w:val="none" w:sz="0" w:space="0" w:color="auto"/>
        <w:left w:val="none" w:sz="0" w:space="0" w:color="auto"/>
        <w:bottom w:val="none" w:sz="0" w:space="0" w:color="auto"/>
        <w:right w:val="none" w:sz="0" w:space="0" w:color="auto"/>
      </w:divBdr>
    </w:div>
    <w:div w:id="780146154">
      <w:bodyDiv w:val="1"/>
      <w:marLeft w:val="0"/>
      <w:marRight w:val="0"/>
      <w:marTop w:val="0"/>
      <w:marBottom w:val="0"/>
      <w:divBdr>
        <w:top w:val="none" w:sz="0" w:space="0" w:color="auto"/>
        <w:left w:val="none" w:sz="0" w:space="0" w:color="auto"/>
        <w:bottom w:val="none" w:sz="0" w:space="0" w:color="auto"/>
        <w:right w:val="none" w:sz="0" w:space="0" w:color="auto"/>
      </w:divBdr>
    </w:div>
    <w:div w:id="780151344">
      <w:bodyDiv w:val="1"/>
      <w:marLeft w:val="0"/>
      <w:marRight w:val="0"/>
      <w:marTop w:val="0"/>
      <w:marBottom w:val="0"/>
      <w:divBdr>
        <w:top w:val="none" w:sz="0" w:space="0" w:color="auto"/>
        <w:left w:val="none" w:sz="0" w:space="0" w:color="auto"/>
        <w:bottom w:val="none" w:sz="0" w:space="0" w:color="auto"/>
        <w:right w:val="none" w:sz="0" w:space="0" w:color="auto"/>
      </w:divBdr>
    </w:div>
    <w:div w:id="780152982">
      <w:bodyDiv w:val="1"/>
      <w:marLeft w:val="0"/>
      <w:marRight w:val="0"/>
      <w:marTop w:val="0"/>
      <w:marBottom w:val="0"/>
      <w:divBdr>
        <w:top w:val="none" w:sz="0" w:space="0" w:color="auto"/>
        <w:left w:val="none" w:sz="0" w:space="0" w:color="auto"/>
        <w:bottom w:val="none" w:sz="0" w:space="0" w:color="auto"/>
        <w:right w:val="none" w:sz="0" w:space="0" w:color="auto"/>
      </w:divBdr>
    </w:div>
    <w:div w:id="780299095">
      <w:bodyDiv w:val="1"/>
      <w:marLeft w:val="0"/>
      <w:marRight w:val="0"/>
      <w:marTop w:val="0"/>
      <w:marBottom w:val="0"/>
      <w:divBdr>
        <w:top w:val="none" w:sz="0" w:space="0" w:color="auto"/>
        <w:left w:val="none" w:sz="0" w:space="0" w:color="auto"/>
        <w:bottom w:val="none" w:sz="0" w:space="0" w:color="auto"/>
        <w:right w:val="none" w:sz="0" w:space="0" w:color="auto"/>
      </w:divBdr>
    </w:div>
    <w:div w:id="780342332">
      <w:bodyDiv w:val="1"/>
      <w:marLeft w:val="0"/>
      <w:marRight w:val="0"/>
      <w:marTop w:val="0"/>
      <w:marBottom w:val="0"/>
      <w:divBdr>
        <w:top w:val="none" w:sz="0" w:space="0" w:color="auto"/>
        <w:left w:val="none" w:sz="0" w:space="0" w:color="auto"/>
        <w:bottom w:val="none" w:sz="0" w:space="0" w:color="auto"/>
        <w:right w:val="none" w:sz="0" w:space="0" w:color="auto"/>
      </w:divBdr>
    </w:div>
    <w:div w:id="780490349">
      <w:bodyDiv w:val="1"/>
      <w:marLeft w:val="0"/>
      <w:marRight w:val="0"/>
      <w:marTop w:val="0"/>
      <w:marBottom w:val="0"/>
      <w:divBdr>
        <w:top w:val="none" w:sz="0" w:space="0" w:color="auto"/>
        <w:left w:val="none" w:sz="0" w:space="0" w:color="auto"/>
        <w:bottom w:val="none" w:sz="0" w:space="0" w:color="auto"/>
        <w:right w:val="none" w:sz="0" w:space="0" w:color="auto"/>
      </w:divBdr>
    </w:div>
    <w:div w:id="780495994">
      <w:bodyDiv w:val="1"/>
      <w:marLeft w:val="0"/>
      <w:marRight w:val="0"/>
      <w:marTop w:val="0"/>
      <w:marBottom w:val="0"/>
      <w:divBdr>
        <w:top w:val="none" w:sz="0" w:space="0" w:color="auto"/>
        <w:left w:val="none" w:sz="0" w:space="0" w:color="auto"/>
        <w:bottom w:val="none" w:sz="0" w:space="0" w:color="auto"/>
        <w:right w:val="none" w:sz="0" w:space="0" w:color="auto"/>
      </w:divBdr>
    </w:div>
    <w:div w:id="780535709">
      <w:bodyDiv w:val="1"/>
      <w:marLeft w:val="0"/>
      <w:marRight w:val="0"/>
      <w:marTop w:val="0"/>
      <w:marBottom w:val="0"/>
      <w:divBdr>
        <w:top w:val="none" w:sz="0" w:space="0" w:color="auto"/>
        <w:left w:val="none" w:sz="0" w:space="0" w:color="auto"/>
        <w:bottom w:val="none" w:sz="0" w:space="0" w:color="auto"/>
        <w:right w:val="none" w:sz="0" w:space="0" w:color="auto"/>
      </w:divBdr>
    </w:div>
    <w:div w:id="780606961">
      <w:bodyDiv w:val="1"/>
      <w:marLeft w:val="0"/>
      <w:marRight w:val="0"/>
      <w:marTop w:val="0"/>
      <w:marBottom w:val="0"/>
      <w:divBdr>
        <w:top w:val="none" w:sz="0" w:space="0" w:color="auto"/>
        <w:left w:val="none" w:sz="0" w:space="0" w:color="auto"/>
        <w:bottom w:val="none" w:sz="0" w:space="0" w:color="auto"/>
        <w:right w:val="none" w:sz="0" w:space="0" w:color="auto"/>
      </w:divBdr>
    </w:div>
    <w:div w:id="780757228">
      <w:bodyDiv w:val="1"/>
      <w:marLeft w:val="0"/>
      <w:marRight w:val="0"/>
      <w:marTop w:val="0"/>
      <w:marBottom w:val="0"/>
      <w:divBdr>
        <w:top w:val="none" w:sz="0" w:space="0" w:color="auto"/>
        <w:left w:val="none" w:sz="0" w:space="0" w:color="auto"/>
        <w:bottom w:val="none" w:sz="0" w:space="0" w:color="auto"/>
        <w:right w:val="none" w:sz="0" w:space="0" w:color="auto"/>
      </w:divBdr>
    </w:div>
    <w:div w:id="780803421">
      <w:bodyDiv w:val="1"/>
      <w:marLeft w:val="0"/>
      <w:marRight w:val="0"/>
      <w:marTop w:val="0"/>
      <w:marBottom w:val="0"/>
      <w:divBdr>
        <w:top w:val="none" w:sz="0" w:space="0" w:color="auto"/>
        <w:left w:val="none" w:sz="0" w:space="0" w:color="auto"/>
        <w:bottom w:val="none" w:sz="0" w:space="0" w:color="auto"/>
        <w:right w:val="none" w:sz="0" w:space="0" w:color="auto"/>
      </w:divBdr>
    </w:div>
    <w:div w:id="780956763">
      <w:bodyDiv w:val="1"/>
      <w:marLeft w:val="0"/>
      <w:marRight w:val="0"/>
      <w:marTop w:val="0"/>
      <w:marBottom w:val="0"/>
      <w:divBdr>
        <w:top w:val="none" w:sz="0" w:space="0" w:color="auto"/>
        <w:left w:val="none" w:sz="0" w:space="0" w:color="auto"/>
        <w:bottom w:val="none" w:sz="0" w:space="0" w:color="auto"/>
        <w:right w:val="none" w:sz="0" w:space="0" w:color="auto"/>
      </w:divBdr>
    </w:div>
    <w:div w:id="781076255">
      <w:bodyDiv w:val="1"/>
      <w:marLeft w:val="0"/>
      <w:marRight w:val="0"/>
      <w:marTop w:val="0"/>
      <w:marBottom w:val="0"/>
      <w:divBdr>
        <w:top w:val="none" w:sz="0" w:space="0" w:color="auto"/>
        <w:left w:val="none" w:sz="0" w:space="0" w:color="auto"/>
        <w:bottom w:val="none" w:sz="0" w:space="0" w:color="auto"/>
        <w:right w:val="none" w:sz="0" w:space="0" w:color="auto"/>
      </w:divBdr>
    </w:div>
    <w:div w:id="781151490">
      <w:bodyDiv w:val="1"/>
      <w:marLeft w:val="0"/>
      <w:marRight w:val="0"/>
      <w:marTop w:val="0"/>
      <w:marBottom w:val="0"/>
      <w:divBdr>
        <w:top w:val="none" w:sz="0" w:space="0" w:color="auto"/>
        <w:left w:val="none" w:sz="0" w:space="0" w:color="auto"/>
        <w:bottom w:val="none" w:sz="0" w:space="0" w:color="auto"/>
        <w:right w:val="none" w:sz="0" w:space="0" w:color="auto"/>
      </w:divBdr>
    </w:div>
    <w:div w:id="781220701">
      <w:bodyDiv w:val="1"/>
      <w:marLeft w:val="0"/>
      <w:marRight w:val="0"/>
      <w:marTop w:val="0"/>
      <w:marBottom w:val="0"/>
      <w:divBdr>
        <w:top w:val="none" w:sz="0" w:space="0" w:color="auto"/>
        <w:left w:val="none" w:sz="0" w:space="0" w:color="auto"/>
        <w:bottom w:val="none" w:sz="0" w:space="0" w:color="auto"/>
        <w:right w:val="none" w:sz="0" w:space="0" w:color="auto"/>
      </w:divBdr>
    </w:div>
    <w:div w:id="781264681">
      <w:bodyDiv w:val="1"/>
      <w:marLeft w:val="0"/>
      <w:marRight w:val="0"/>
      <w:marTop w:val="0"/>
      <w:marBottom w:val="0"/>
      <w:divBdr>
        <w:top w:val="none" w:sz="0" w:space="0" w:color="auto"/>
        <w:left w:val="none" w:sz="0" w:space="0" w:color="auto"/>
        <w:bottom w:val="none" w:sz="0" w:space="0" w:color="auto"/>
        <w:right w:val="none" w:sz="0" w:space="0" w:color="auto"/>
      </w:divBdr>
    </w:div>
    <w:div w:id="781339690">
      <w:bodyDiv w:val="1"/>
      <w:marLeft w:val="0"/>
      <w:marRight w:val="0"/>
      <w:marTop w:val="0"/>
      <w:marBottom w:val="0"/>
      <w:divBdr>
        <w:top w:val="none" w:sz="0" w:space="0" w:color="auto"/>
        <w:left w:val="none" w:sz="0" w:space="0" w:color="auto"/>
        <w:bottom w:val="none" w:sz="0" w:space="0" w:color="auto"/>
        <w:right w:val="none" w:sz="0" w:space="0" w:color="auto"/>
      </w:divBdr>
    </w:div>
    <w:div w:id="781417878">
      <w:bodyDiv w:val="1"/>
      <w:marLeft w:val="0"/>
      <w:marRight w:val="0"/>
      <w:marTop w:val="0"/>
      <w:marBottom w:val="0"/>
      <w:divBdr>
        <w:top w:val="none" w:sz="0" w:space="0" w:color="auto"/>
        <w:left w:val="none" w:sz="0" w:space="0" w:color="auto"/>
        <w:bottom w:val="none" w:sz="0" w:space="0" w:color="auto"/>
        <w:right w:val="none" w:sz="0" w:space="0" w:color="auto"/>
      </w:divBdr>
    </w:div>
    <w:div w:id="781455195">
      <w:bodyDiv w:val="1"/>
      <w:marLeft w:val="0"/>
      <w:marRight w:val="0"/>
      <w:marTop w:val="0"/>
      <w:marBottom w:val="0"/>
      <w:divBdr>
        <w:top w:val="none" w:sz="0" w:space="0" w:color="auto"/>
        <w:left w:val="none" w:sz="0" w:space="0" w:color="auto"/>
        <w:bottom w:val="none" w:sz="0" w:space="0" w:color="auto"/>
        <w:right w:val="none" w:sz="0" w:space="0" w:color="auto"/>
      </w:divBdr>
    </w:div>
    <w:div w:id="781605724">
      <w:bodyDiv w:val="1"/>
      <w:marLeft w:val="0"/>
      <w:marRight w:val="0"/>
      <w:marTop w:val="0"/>
      <w:marBottom w:val="0"/>
      <w:divBdr>
        <w:top w:val="none" w:sz="0" w:space="0" w:color="auto"/>
        <w:left w:val="none" w:sz="0" w:space="0" w:color="auto"/>
        <w:bottom w:val="none" w:sz="0" w:space="0" w:color="auto"/>
        <w:right w:val="none" w:sz="0" w:space="0" w:color="auto"/>
      </w:divBdr>
    </w:div>
    <w:div w:id="781649655">
      <w:bodyDiv w:val="1"/>
      <w:marLeft w:val="0"/>
      <w:marRight w:val="0"/>
      <w:marTop w:val="0"/>
      <w:marBottom w:val="0"/>
      <w:divBdr>
        <w:top w:val="none" w:sz="0" w:space="0" w:color="auto"/>
        <w:left w:val="none" w:sz="0" w:space="0" w:color="auto"/>
        <w:bottom w:val="none" w:sz="0" w:space="0" w:color="auto"/>
        <w:right w:val="none" w:sz="0" w:space="0" w:color="auto"/>
      </w:divBdr>
    </w:div>
    <w:div w:id="781650782">
      <w:bodyDiv w:val="1"/>
      <w:marLeft w:val="0"/>
      <w:marRight w:val="0"/>
      <w:marTop w:val="0"/>
      <w:marBottom w:val="0"/>
      <w:divBdr>
        <w:top w:val="none" w:sz="0" w:space="0" w:color="auto"/>
        <w:left w:val="none" w:sz="0" w:space="0" w:color="auto"/>
        <w:bottom w:val="none" w:sz="0" w:space="0" w:color="auto"/>
        <w:right w:val="none" w:sz="0" w:space="0" w:color="auto"/>
      </w:divBdr>
    </w:div>
    <w:div w:id="781725682">
      <w:bodyDiv w:val="1"/>
      <w:marLeft w:val="0"/>
      <w:marRight w:val="0"/>
      <w:marTop w:val="0"/>
      <w:marBottom w:val="0"/>
      <w:divBdr>
        <w:top w:val="none" w:sz="0" w:space="0" w:color="auto"/>
        <w:left w:val="none" w:sz="0" w:space="0" w:color="auto"/>
        <w:bottom w:val="none" w:sz="0" w:space="0" w:color="auto"/>
        <w:right w:val="none" w:sz="0" w:space="0" w:color="auto"/>
      </w:divBdr>
    </w:div>
    <w:div w:id="781729031">
      <w:bodyDiv w:val="1"/>
      <w:marLeft w:val="0"/>
      <w:marRight w:val="0"/>
      <w:marTop w:val="0"/>
      <w:marBottom w:val="0"/>
      <w:divBdr>
        <w:top w:val="none" w:sz="0" w:space="0" w:color="auto"/>
        <w:left w:val="none" w:sz="0" w:space="0" w:color="auto"/>
        <w:bottom w:val="none" w:sz="0" w:space="0" w:color="auto"/>
        <w:right w:val="none" w:sz="0" w:space="0" w:color="auto"/>
      </w:divBdr>
    </w:div>
    <w:div w:id="781730038">
      <w:bodyDiv w:val="1"/>
      <w:marLeft w:val="0"/>
      <w:marRight w:val="0"/>
      <w:marTop w:val="0"/>
      <w:marBottom w:val="0"/>
      <w:divBdr>
        <w:top w:val="none" w:sz="0" w:space="0" w:color="auto"/>
        <w:left w:val="none" w:sz="0" w:space="0" w:color="auto"/>
        <w:bottom w:val="none" w:sz="0" w:space="0" w:color="auto"/>
        <w:right w:val="none" w:sz="0" w:space="0" w:color="auto"/>
      </w:divBdr>
    </w:div>
    <w:div w:id="782072622">
      <w:bodyDiv w:val="1"/>
      <w:marLeft w:val="0"/>
      <w:marRight w:val="0"/>
      <w:marTop w:val="0"/>
      <w:marBottom w:val="0"/>
      <w:divBdr>
        <w:top w:val="none" w:sz="0" w:space="0" w:color="auto"/>
        <w:left w:val="none" w:sz="0" w:space="0" w:color="auto"/>
        <w:bottom w:val="none" w:sz="0" w:space="0" w:color="auto"/>
        <w:right w:val="none" w:sz="0" w:space="0" w:color="auto"/>
      </w:divBdr>
    </w:div>
    <w:div w:id="782191322">
      <w:bodyDiv w:val="1"/>
      <w:marLeft w:val="0"/>
      <w:marRight w:val="0"/>
      <w:marTop w:val="0"/>
      <w:marBottom w:val="0"/>
      <w:divBdr>
        <w:top w:val="none" w:sz="0" w:space="0" w:color="auto"/>
        <w:left w:val="none" w:sz="0" w:space="0" w:color="auto"/>
        <w:bottom w:val="none" w:sz="0" w:space="0" w:color="auto"/>
        <w:right w:val="none" w:sz="0" w:space="0" w:color="auto"/>
      </w:divBdr>
    </w:div>
    <w:div w:id="782309217">
      <w:bodyDiv w:val="1"/>
      <w:marLeft w:val="0"/>
      <w:marRight w:val="0"/>
      <w:marTop w:val="0"/>
      <w:marBottom w:val="0"/>
      <w:divBdr>
        <w:top w:val="none" w:sz="0" w:space="0" w:color="auto"/>
        <w:left w:val="none" w:sz="0" w:space="0" w:color="auto"/>
        <w:bottom w:val="none" w:sz="0" w:space="0" w:color="auto"/>
        <w:right w:val="none" w:sz="0" w:space="0" w:color="auto"/>
      </w:divBdr>
    </w:div>
    <w:div w:id="782382996">
      <w:bodyDiv w:val="1"/>
      <w:marLeft w:val="0"/>
      <w:marRight w:val="0"/>
      <w:marTop w:val="0"/>
      <w:marBottom w:val="0"/>
      <w:divBdr>
        <w:top w:val="none" w:sz="0" w:space="0" w:color="auto"/>
        <w:left w:val="none" w:sz="0" w:space="0" w:color="auto"/>
        <w:bottom w:val="none" w:sz="0" w:space="0" w:color="auto"/>
        <w:right w:val="none" w:sz="0" w:space="0" w:color="auto"/>
      </w:divBdr>
    </w:div>
    <w:div w:id="782648682">
      <w:bodyDiv w:val="1"/>
      <w:marLeft w:val="0"/>
      <w:marRight w:val="0"/>
      <w:marTop w:val="0"/>
      <w:marBottom w:val="0"/>
      <w:divBdr>
        <w:top w:val="none" w:sz="0" w:space="0" w:color="auto"/>
        <w:left w:val="none" w:sz="0" w:space="0" w:color="auto"/>
        <w:bottom w:val="none" w:sz="0" w:space="0" w:color="auto"/>
        <w:right w:val="none" w:sz="0" w:space="0" w:color="auto"/>
      </w:divBdr>
    </w:div>
    <w:div w:id="782651546">
      <w:bodyDiv w:val="1"/>
      <w:marLeft w:val="0"/>
      <w:marRight w:val="0"/>
      <w:marTop w:val="0"/>
      <w:marBottom w:val="0"/>
      <w:divBdr>
        <w:top w:val="none" w:sz="0" w:space="0" w:color="auto"/>
        <w:left w:val="none" w:sz="0" w:space="0" w:color="auto"/>
        <w:bottom w:val="none" w:sz="0" w:space="0" w:color="auto"/>
        <w:right w:val="none" w:sz="0" w:space="0" w:color="auto"/>
      </w:divBdr>
    </w:div>
    <w:div w:id="782767564">
      <w:bodyDiv w:val="1"/>
      <w:marLeft w:val="0"/>
      <w:marRight w:val="0"/>
      <w:marTop w:val="0"/>
      <w:marBottom w:val="0"/>
      <w:divBdr>
        <w:top w:val="none" w:sz="0" w:space="0" w:color="auto"/>
        <w:left w:val="none" w:sz="0" w:space="0" w:color="auto"/>
        <w:bottom w:val="none" w:sz="0" w:space="0" w:color="auto"/>
        <w:right w:val="none" w:sz="0" w:space="0" w:color="auto"/>
      </w:divBdr>
    </w:div>
    <w:div w:id="782768163">
      <w:bodyDiv w:val="1"/>
      <w:marLeft w:val="0"/>
      <w:marRight w:val="0"/>
      <w:marTop w:val="0"/>
      <w:marBottom w:val="0"/>
      <w:divBdr>
        <w:top w:val="none" w:sz="0" w:space="0" w:color="auto"/>
        <w:left w:val="none" w:sz="0" w:space="0" w:color="auto"/>
        <w:bottom w:val="none" w:sz="0" w:space="0" w:color="auto"/>
        <w:right w:val="none" w:sz="0" w:space="0" w:color="auto"/>
      </w:divBdr>
    </w:div>
    <w:div w:id="782849440">
      <w:bodyDiv w:val="1"/>
      <w:marLeft w:val="0"/>
      <w:marRight w:val="0"/>
      <w:marTop w:val="0"/>
      <w:marBottom w:val="0"/>
      <w:divBdr>
        <w:top w:val="none" w:sz="0" w:space="0" w:color="auto"/>
        <w:left w:val="none" w:sz="0" w:space="0" w:color="auto"/>
        <w:bottom w:val="none" w:sz="0" w:space="0" w:color="auto"/>
        <w:right w:val="none" w:sz="0" w:space="0" w:color="auto"/>
      </w:divBdr>
    </w:div>
    <w:div w:id="782918036">
      <w:bodyDiv w:val="1"/>
      <w:marLeft w:val="0"/>
      <w:marRight w:val="0"/>
      <w:marTop w:val="0"/>
      <w:marBottom w:val="0"/>
      <w:divBdr>
        <w:top w:val="none" w:sz="0" w:space="0" w:color="auto"/>
        <w:left w:val="none" w:sz="0" w:space="0" w:color="auto"/>
        <w:bottom w:val="none" w:sz="0" w:space="0" w:color="auto"/>
        <w:right w:val="none" w:sz="0" w:space="0" w:color="auto"/>
      </w:divBdr>
    </w:div>
    <w:div w:id="783039021">
      <w:bodyDiv w:val="1"/>
      <w:marLeft w:val="0"/>
      <w:marRight w:val="0"/>
      <w:marTop w:val="0"/>
      <w:marBottom w:val="0"/>
      <w:divBdr>
        <w:top w:val="none" w:sz="0" w:space="0" w:color="auto"/>
        <w:left w:val="none" w:sz="0" w:space="0" w:color="auto"/>
        <w:bottom w:val="none" w:sz="0" w:space="0" w:color="auto"/>
        <w:right w:val="none" w:sz="0" w:space="0" w:color="auto"/>
      </w:divBdr>
    </w:div>
    <w:div w:id="783040054">
      <w:bodyDiv w:val="1"/>
      <w:marLeft w:val="0"/>
      <w:marRight w:val="0"/>
      <w:marTop w:val="0"/>
      <w:marBottom w:val="0"/>
      <w:divBdr>
        <w:top w:val="none" w:sz="0" w:space="0" w:color="auto"/>
        <w:left w:val="none" w:sz="0" w:space="0" w:color="auto"/>
        <w:bottom w:val="none" w:sz="0" w:space="0" w:color="auto"/>
        <w:right w:val="none" w:sz="0" w:space="0" w:color="auto"/>
      </w:divBdr>
    </w:div>
    <w:div w:id="783159176">
      <w:bodyDiv w:val="1"/>
      <w:marLeft w:val="0"/>
      <w:marRight w:val="0"/>
      <w:marTop w:val="0"/>
      <w:marBottom w:val="0"/>
      <w:divBdr>
        <w:top w:val="none" w:sz="0" w:space="0" w:color="auto"/>
        <w:left w:val="none" w:sz="0" w:space="0" w:color="auto"/>
        <w:bottom w:val="none" w:sz="0" w:space="0" w:color="auto"/>
        <w:right w:val="none" w:sz="0" w:space="0" w:color="auto"/>
      </w:divBdr>
    </w:div>
    <w:div w:id="783232290">
      <w:bodyDiv w:val="1"/>
      <w:marLeft w:val="0"/>
      <w:marRight w:val="0"/>
      <w:marTop w:val="0"/>
      <w:marBottom w:val="0"/>
      <w:divBdr>
        <w:top w:val="none" w:sz="0" w:space="0" w:color="auto"/>
        <w:left w:val="none" w:sz="0" w:space="0" w:color="auto"/>
        <w:bottom w:val="none" w:sz="0" w:space="0" w:color="auto"/>
        <w:right w:val="none" w:sz="0" w:space="0" w:color="auto"/>
      </w:divBdr>
    </w:div>
    <w:div w:id="783579052">
      <w:bodyDiv w:val="1"/>
      <w:marLeft w:val="0"/>
      <w:marRight w:val="0"/>
      <w:marTop w:val="0"/>
      <w:marBottom w:val="0"/>
      <w:divBdr>
        <w:top w:val="none" w:sz="0" w:space="0" w:color="auto"/>
        <w:left w:val="none" w:sz="0" w:space="0" w:color="auto"/>
        <w:bottom w:val="none" w:sz="0" w:space="0" w:color="auto"/>
        <w:right w:val="none" w:sz="0" w:space="0" w:color="auto"/>
      </w:divBdr>
    </w:div>
    <w:div w:id="783615836">
      <w:bodyDiv w:val="1"/>
      <w:marLeft w:val="0"/>
      <w:marRight w:val="0"/>
      <w:marTop w:val="0"/>
      <w:marBottom w:val="0"/>
      <w:divBdr>
        <w:top w:val="none" w:sz="0" w:space="0" w:color="auto"/>
        <w:left w:val="none" w:sz="0" w:space="0" w:color="auto"/>
        <w:bottom w:val="none" w:sz="0" w:space="0" w:color="auto"/>
        <w:right w:val="none" w:sz="0" w:space="0" w:color="auto"/>
      </w:divBdr>
    </w:div>
    <w:div w:id="783617442">
      <w:bodyDiv w:val="1"/>
      <w:marLeft w:val="0"/>
      <w:marRight w:val="0"/>
      <w:marTop w:val="0"/>
      <w:marBottom w:val="0"/>
      <w:divBdr>
        <w:top w:val="none" w:sz="0" w:space="0" w:color="auto"/>
        <w:left w:val="none" w:sz="0" w:space="0" w:color="auto"/>
        <w:bottom w:val="none" w:sz="0" w:space="0" w:color="auto"/>
        <w:right w:val="none" w:sz="0" w:space="0" w:color="auto"/>
      </w:divBdr>
    </w:div>
    <w:div w:id="783623317">
      <w:bodyDiv w:val="1"/>
      <w:marLeft w:val="0"/>
      <w:marRight w:val="0"/>
      <w:marTop w:val="0"/>
      <w:marBottom w:val="0"/>
      <w:divBdr>
        <w:top w:val="none" w:sz="0" w:space="0" w:color="auto"/>
        <w:left w:val="none" w:sz="0" w:space="0" w:color="auto"/>
        <w:bottom w:val="none" w:sz="0" w:space="0" w:color="auto"/>
        <w:right w:val="none" w:sz="0" w:space="0" w:color="auto"/>
      </w:divBdr>
    </w:div>
    <w:div w:id="783689286">
      <w:bodyDiv w:val="1"/>
      <w:marLeft w:val="0"/>
      <w:marRight w:val="0"/>
      <w:marTop w:val="0"/>
      <w:marBottom w:val="0"/>
      <w:divBdr>
        <w:top w:val="none" w:sz="0" w:space="0" w:color="auto"/>
        <w:left w:val="none" w:sz="0" w:space="0" w:color="auto"/>
        <w:bottom w:val="none" w:sz="0" w:space="0" w:color="auto"/>
        <w:right w:val="none" w:sz="0" w:space="0" w:color="auto"/>
      </w:divBdr>
    </w:div>
    <w:div w:id="783769025">
      <w:bodyDiv w:val="1"/>
      <w:marLeft w:val="0"/>
      <w:marRight w:val="0"/>
      <w:marTop w:val="0"/>
      <w:marBottom w:val="0"/>
      <w:divBdr>
        <w:top w:val="none" w:sz="0" w:space="0" w:color="auto"/>
        <w:left w:val="none" w:sz="0" w:space="0" w:color="auto"/>
        <w:bottom w:val="none" w:sz="0" w:space="0" w:color="auto"/>
        <w:right w:val="none" w:sz="0" w:space="0" w:color="auto"/>
      </w:divBdr>
    </w:div>
    <w:div w:id="783813198">
      <w:bodyDiv w:val="1"/>
      <w:marLeft w:val="0"/>
      <w:marRight w:val="0"/>
      <w:marTop w:val="0"/>
      <w:marBottom w:val="0"/>
      <w:divBdr>
        <w:top w:val="none" w:sz="0" w:space="0" w:color="auto"/>
        <w:left w:val="none" w:sz="0" w:space="0" w:color="auto"/>
        <w:bottom w:val="none" w:sz="0" w:space="0" w:color="auto"/>
        <w:right w:val="none" w:sz="0" w:space="0" w:color="auto"/>
      </w:divBdr>
    </w:div>
    <w:div w:id="783839961">
      <w:bodyDiv w:val="1"/>
      <w:marLeft w:val="0"/>
      <w:marRight w:val="0"/>
      <w:marTop w:val="0"/>
      <w:marBottom w:val="0"/>
      <w:divBdr>
        <w:top w:val="none" w:sz="0" w:space="0" w:color="auto"/>
        <w:left w:val="none" w:sz="0" w:space="0" w:color="auto"/>
        <w:bottom w:val="none" w:sz="0" w:space="0" w:color="auto"/>
        <w:right w:val="none" w:sz="0" w:space="0" w:color="auto"/>
      </w:divBdr>
    </w:div>
    <w:div w:id="783841236">
      <w:bodyDiv w:val="1"/>
      <w:marLeft w:val="0"/>
      <w:marRight w:val="0"/>
      <w:marTop w:val="0"/>
      <w:marBottom w:val="0"/>
      <w:divBdr>
        <w:top w:val="none" w:sz="0" w:space="0" w:color="auto"/>
        <w:left w:val="none" w:sz="0" w:space="0" w:color="auto"/>
        <w:bottom w:val="none" w:sz="0" w:space="0" w:color="auto"/>
        <w:right w:val="none" w:sz="0" w:space="0" w:color="auto"/>
      </w:divBdr>
    </w:div>
    <w:div w:id="783886648">
      <w:bodyDiv w:val="1"/>
      <w:marLeft w:val="0"/>
      <w:marRight w:val="0"/>
      <w:marTop w:val="0"/>
      <w:marBottom w:val="0"/>
      <w:divBdr>
        <w:top w:val="none" w:sz="0" w:space="0" w:color="auto"/>
        <w:left w:val="none" w:sz="0" w:space="0" w:color="auto"/>
        <w:bottom w:val="none" w:sz="0" w:space="0" w:color="auto"/>
        <w:right w:val="none" w:sz="0" w:space="0" w:color="auto"/>
      </w:divBdr>
    </w:div>
    <w:div w:id="783890844">
      <w:bodyDiv w:val="1"/>
      <w:marLeft w:val="0"/>
      <w:marRight w:val="0"/>
      <w:marTop w:val="0"/>
      <w:marBottom w:val="0"/>
      <w:divBdr>
        <w:top w:val="none" w:sz="0" w:space="0" w:color="auto"/>
        <w:left w:val="none" w:sz="0" w:space="0" w:color="auto"/>
        <w:bottom w:val="none" w:sz="0" w:space="0" w:color="auto"/>
        <w:right w:val="none" w:sz="0" w:space="0" w:color="auto"/>
      </w:divBdr>
    </w:div>
    <w:div w:id="784007952">
      <w:bodyDiv w:val="1"/>
      <w:marLeft w:val="0"/>
      <w:marRight w:val="0"/>
      <w:marTop w:val="0"/>
      <w:marBottom w:val="0"/>
      <w:divBdr>
        <w:top w:val="none" w:sz="0" w:space="0" w:color="auto"/>
        <w:left w:val="none" w:sz="0" w:space="0" w:color="auto"/>
        <w:bottom w:val="none" w:sz="0" w:space="0" w:color="auto"/>
        <w:right w:val="none" w:sz="0" w:space="0" w:color="auto"/>
      </w:divBdr>
    </w:div>
    <w:div w:id="784038337">
      <w:bodyDiv w:val="1"/>
      <w:marLeft w:val="0"/>
      <w:marRight w:val="0"/>
      <w:marTop w:val="0"/>
      <w:marBottom w:val="0"/>
      <w:divBdr>
        <w:top w:val="none" w:sz="0" w:space="0" w:color="auto"/>
        <w:left w:val="none" w:sz="0" w:space="0" w:color="auto"/>
        <w:bottom w:val="none" w:sz="0" w:space="0" w:color="auto"/>
        <w:right w:val="none" w:sz="0" w:space="0" w:color="auto"/>
      </w:divBdr>
    </w:div>
    <w:div w:id="784079510">
      <w:bodyDiv w:val="1"/>
      <w:marLeft w:val="0"/>
      <w:marRight w:val="0"/>
      <w:marTop w:val="0"/>
      <w:marBottom w:val="0"/>
      <w:divBdr>
        <w:top w:val="none" w:sz="0" w:space="0" w:color="auto"/>
        <w:left w:val="none" w:sz="0" w:space="0" w:color="auto"/>
        <w:bottom w:val="none" w:sz="0" w:space="0" w:color="auto"/>
        <w:right w:val="none" w:sz="0" w:space="0" w:color="auto"/>
      </w:divBdr>
    </w:div>
    <w:div w:id="784230813">
      <w:bodyDiv w:val="1"/>
      <w:marLeft w:val="0"/>
      <w:marRight w:val="0"/>
      <w:marTop w:val="0"/>
      <w:marBottom w:val="0"/>
      <w:divBdr>
        <w:top w:val="none" w:sz="0" w:space="0" w:color="auto"/>
        <w:left w:val="none" w:sz="0" w:space="0" w:color="auto"/>
        <w:bottom w:val="none" w:sz="0" w:space="0" w:color="auto"/>
        <w:right w:val="none" w:sz="0" w:space="0" w:color="auto"/>
      </w:divBdr>
    </w:div>
    <w:div w:id="784233407">
      <w:bodyDiv w:val="1"/>
      <w:marLeft w:val="0"/>
      <w:marRight w:val="0"/>
      <w:marTop w:val="0"/>
      <w:marBottom w:val="0"/>
      <w:divBdr>
        <w:top w:val="none" w:sz="0" w:space="0" w:color="auto"/>
        <w:left w:val="none" w:sz="0" w:space="0" w:color="auto"/>
        <w:bottom w:val="none" w:sz="0" w:space="0" w:color="auto"/>
        <w:right w:val="none" w:sz="0" w:space="0" w:color="auto"/>
      </w:divBdr>
    </w:div>
    <w:div w:id="784469645">
      <w:bodyDiv w:val="1"/>
      <w:marLeft w:val="0"/>
      <w:marRight w:val="0"/>
      <w:marTop w:val="0"/>
      <w:marBottom w:val="0"/>
      <w:divBdr>
        <w:top w:val="none" w:sz="0" w:space="0" w:color="auto"/>
        <w:left w:val="none" w:sz="0" w:space="0" w:color="auto"/>
        <w:bottom w:val="none" w:sz="0" w:space="0" w:color="auto"/>
        <w:right w:val="none" w:sz="0" w:space="0" w:color="auto"/>
      </w:divBdr>
    </w:div>
    <w:div w:id="784615379">
      <w:bodyDiv w:val="1"/>
      <w:marLeft w:val="0"/>
      <w:marRight w:val="0"/>
      <w:marTop w:val="0"/>
      <w:marBottom w:val="0"/>
      <w:divBdr>
        <w:top w:val="none" w:sz="0" w:space="0" w:color="auto"/>
        <w:left w:val="none" w:sz="0" w:space="0" w:color="auto"/>
        <w:bottom w:val="none" w:sz="0" w:space="0" w:color="auto"/>
        <w:right w:val="none" w:sz="0" w:space="0" w:color="auto"/>
      </w:divBdr>
    </w:div>
    <w:div w:id="784616722">
      <w:bodyDiv w:val="1"/>
      <w:marLeft w:val="0"/>
      <w:marRight w:val="0"/>
      <w:marTop w:val="0"/>
      <w:marBottom w:val="0"/>
      <w:divBdr>
        <w:top w:val="none" w:sz="0" w:space="0" w:color="auto"/>
        <w:left w:val="none" w:sz="0" w:space="0" w:color="auto"/>
        <w:bottom w:val="none" w:sz="0" w:space="0" w:color="auto"/>
        <w:right w:val="none" w:sz="0" w:space="0" w:color="auto"/>
      </w:divBdr>
    </w:div>
    <w:div w:id="784694936">
      <w:bodyDiv w:val="1"/>
      <w:marLeft w:val="0"/>
      <w:marRight w:val="0"/>
      <w:marTop w:val="0"/>
      <w:marBottom w:val="0"/>
      <w:divBdr>
        <w:top w:val="none" w:sz="0" w:space="0" w:color="auto"/>
        <w:left w:val="none" w:sz="0" w:space="0" w:color="auto"/>
        <w:bottom w:val="none" w:sz="0" w:space="0" w:color="auto"/>
        <w:right w:val="none" w:sz="0" w:space="0" w:color="auto"/>
      </w:divBdr>
    </w:div>
    <w:div w:id="784735221">
      <w:bodyDiv w:val="1"/>
      <w:marLeft w:val="0"/>
      <w:marRight w:val="0"/>
      <w:marTop w:val="0"/>
      <w:marBottom w:val="0"/>
      <w:divBdr>
        <w:top w:val="none" w:sz="0" w:space="0" w:color="auto"/>
        <w:left w:val="none" w:sz="0" w:space="0" w:color="auto"/>
        <w:bottom w:val="none" w:sz="0" w:space="0" w:color="auto"/>
        <w:right w:val="none" w:sz="0" w:space="0" w:color="auto"/>
      </w:divBdr>
    </w:div>
    <w:div w:id="784806340">
      <w:bodyDiv w:val="1"/>
      <w:marLeft w:val="0"/>
      <w:marRight w:val="0"/>
      <w:marTop w:val="0"/>
      <w:marBottom w:val="0"/>
      <w:divBdr>
        <w:top w:val="none" w:sz="0" w:space="0" w:color="auto"/>
        <w:left w:val="none" w:sz="0" w:space="0" w:color="auto"/>
        <w:bottom w:val="none" w:sz="0" w:space="0" w:color="auto"/>
        <w:right w:val="none" w:sz="0" w:space="0" w:color="auto"/>
      </w:divBdr>
    </w:div>
    <w:div w:id="784809388">
      <w:bodyDiv w:val="1"/>
      <w:marLeft w:val="0"/>
      <w:marRight w:val="0"/>
      <w:marTop w:val="0"/>
      <w:marBottom w:val="0"/>
      <w:divBdr>
        <w:top w:val="none" w:sz="0" w:space="0" w:color="auto"/>
        <w:left w:val="none" w:sz="0" w:space="0" w:color="auto"/>
        <w:bottom w:val="none" w:sz="0" w:space="0" w:color="auto"/>
        <w:right w:val="none" w:sz="0" w:space="0" w:color="auto"/>
      </w:divBdr>
    </w:div>
    <w:div w:id="784888092">
      <w:bodyDiv w:val="1"/>
      <w:marLeft w:val="0"/>
      <w:marRight w:val="0"/>
      <w:marTop w:val="0"/>
      <w:marBottom w:val="0"/>
      <w:divBdr>
        <w:top w:val="none" w:sz="0" w:space="0" w:color="auto"/>
        <w:left w:val="none" w:sz="0" w:space="0" w:color="auto"/>
        <w:bottom w:val="none" w:sz="0" w:space="0" w:color="auto"/>
        <w:right w:val="none" w:sz="0" w:space="0" w:color="auto"/>
      </w:divBdr>
    </w:div>
    <w:div w:id="785007526">
      <w:bodyDiv w:val="1"/>
      <w:marLeft w:val="0"/>
      <w:marRight w:val="0"/>
      <w:marTop w:val="0"/>
      <w:marBottom w:val="0"/>
      <w:divBdr>
        <w:top w:val="none" w:sz="0" w:space="0" w:color="auto"/>
        <w:left w:val="none" w:sz="0" w:space="0" w:color="auto"/>
        <w:bottom w:val="none" w:sz="0" w:space="0" w:color="auto"/>
        <w:right w:val="none" w:sz="0" w:space="0" w:color="auto"/>
      </w:divBdr>
    </w:div>
    <w:div w:id="785083829">
      <w:bodyDiv w:val="1"/>
      <w:marLeft w:val="0"/>
      <w:marRight w:val="0"/>
      <w:marTop w:val="0"/>
      <w:marBottom w:val="0"/>
      <w:divBdr>
        <w:top w:val="none" w:sz="0" w:space="0" w:color="auto"/>
        <w:left w:val="none" w:sz="0" w:space="0" w:color="auto"/>
        <w:bottom w:val="none" w:sz="0" w:space="0" w:color="auto"/>
        <w:right w:val="none" w:sz="0" w:space="0" w:color="auto"/>
      </w:divBdr>
    </w:div>
    <w:div w:id="785318595">
      <w:bodyDiv w:val="1"/>
      <w:marLeft w:val="0"/>
      <w:marRight w:val="0"/>
      <w:marTop w:val="0"/>
      <w:marBottom w:val="0"/>
      <w:divBdr>
        <w:top w:val="none" w:sz="0" w:space="0" w:color="auto"/>
        <w:left w:val="none" w:sz="0" w:space="0" w:color="auto"/>
        <w:bottom w:val="none" w:sz="0" w:space="0" w:color="auto"/>
        <w:right w:val="none" w:sz="0" w:space="0" w:color="auto"/>
      </w:divBdr>
    </w:div>
    <w:div w:id="785348837">
      <w:bodyDiv w:val="1"/>
      <w:marLeft w:val="0"/>
      <w:marRight w:val="0"/>
      <w:marTop w:val="0"/>
      <w:marBottom w:val="0"/>
      <w:divBdr>
        <w:top w:val="none" w:sz="0" w:space="0" w:color="auto"/>
        <w:left w:val="none" w:sz="0" w:space="0" w:color="auto"/>
        <w:bottom w:val="none" w:sz="0" w:space="0" w:color="auto"/>
        <w:right w:val="none" w:sz="0" w:space="0" w:color="auto"/>
      </w:divBdr>
    </w:div>
    <w:div w:id="785349842">
      <w:bodyDiv w:val="1"/>
      <w:marLeft w:val="0"/>
      <w:marRight w:val="0"/>
      <w:marTop w:val="0"/>
      <w:marBottom w:val="0"/>
      <w:divBdr>
        <w:top w:val="none" w:sz="0" w:space="0" w:color="auto"/>
        <w:left w:val="none" w:sz="0" w:space="0" w:color="auto"/>
        <w:bottom w:val="none" w:sz="0" w:space="0" w:color="auto"/>
        <w:right w:val="none" w:sz="0" w:space="0" w:color="auto"/>
      </w:divBdr>
    </w:div>
    <w:div w:id="785394556">
      <w:bodyDiv w:val="1"/>
      <w:marLeft w:val="0"/>
      <w:marRight w:val="0"/>
      <w:marTop w:val="0"/>
      <w:marBottom w:val="0"/>
      <w:divBdr>
        <w:top w:val="none" w:sz="0" w:space="0" w:color="auto"/>
        <w:left w:val="none" w:sz="0" w:space="0" w:color="auto"/>
        <w:bottom w:val="none" w:sz="0" w:space="0" w:color="auto"/>
        <w:right w:val="none" w:sz="0" w:space="0" w:color="auto"/>
      </w:divBdr>
    </w:div>
    <w:div w:id="785580444">
      <w:bodyDiv w:val="1"/>
      <w:marLeft w:val="0"/>
      <w:marRight w:val="0"/>
      <w:marTop w:val="0"/>
      <w:marBottom w:val="0"/>
      <w:divBdr>
        <w:top w:val="none" w:sz="0" w:space="0" w:color="auto"/>
        <w:left w:val="none" w:sz="0" w:space="0" w:color="auto"/>
        <w:bottom w:val="none" w:sz="0" w:space="0" w:color="auto"/>
        <w:right w:val="none" w:sz="0" w:space="0" w:color="auto"/>
      </w:divBdr>
    </w:div>
    <w:div w:id="785589207">
      <w:bodyDiv w:val="1"/>
      <w:marLeft w:val="0"/>
      <w:marRight w:val="0"/>
      <w:marTop w:val="0"/>
      <w:marBottom w:val="0"/>
      <w:divBdr>
        <w:top w:val="none" w:sz="0" w:space="0" w:color="auto"/>
        <w:left w:val="none" w:sz="0" w:space="0" w:color="auto"/>
        <w:bottom w:val="none" w:sz="0" w:space="0" w:color="auto"/>
        <w:right w:val="none" w:sz="0" w:space="0" w:color="auto"/>
      </w:divBdr>
    </w:div>
    <w:div w:id="785738772">
      <w:bodyDiv w:val="1"/>
      <w:marLeft w:val="0"/>
      <w:marRight w:val="0"/>
      <w:marTop w:val="0"/>
      <w:marBottom w:val="0"/>
      <w:divBdr>
        <w:top w:val="none" w:sz="0" w:space="0" w:color="auto"/>
        <w:left w:val="none" w:sz="0" w:space="0" w:color="auto"/>
        <w:bottom w:val="none" w:sz="0" w:space="0" w:color="auto"/>
        <w:right w:val="none" w:sz="0" w:space="0" w:color="auto"/>
      </w:divBdr>
    </w:div>
    <w:div w:id="785778601">
      <w:bodyDiv w:val="1"/>
      <w:marLeft w:val="0"/>
      <w:marRight w:val="0"/>
      <w:marTop w:val="0"/>
      <w:marBottom w:val="0"/>
      <w:divBdr>
        <w:top w:val="none" w:sz="0" w:space="0" w:color="auto"/>
        <w:left w:val="none" w:sz="0" w:space="0" w:color="auto"/>
        <w:bottom w:val="none" w:sz="0" w:space="0" w:color="auto"/>
        <w:right w:val="none" w:sz="0" w:space="0" w:color="auto"/>
      </w:divBdr>
    </w:div>
    <w:div w:id="785850077">
      <w:bodyDiv w:val="1"/>
      <w:marLeft w:val="0"/>
      <w:marRight w:val="0"/>
      <w:marTop w:val="0"/>
      <w:marBottom w:val="0"/>
      <w:divBdr>
        <w:top w:val="none" w:sz="0" w:space="0" w:color="auto"/>
        <w:left w:val="none" w:sz="0" w:space="0" w:color="auto"/>
        <w:bottom w:val="none" w:sz="0" w:space="0" w:color="auto"/>
        <w:right w:val="none" w:sz="0" w:space="0" w:color="auto"/>
      </w:divBdr>
    </w:div>
    <w:div w:id="785851111">
      <w:bodyDiv w:val="1"/>
      <w:marLeft w:val="0"/>
      <w:marRight w:val="0"/>
      <w:marTop w:val="0"/>
      <w:marBottom w:val="0"/>
      <w:divBdr>
        <w:top w:val="none" w:sz="0" w:space="0" w:color="auto"/>
        <w:left w:val="none" w:sz="0" w:space="0" w:color="auto"/>
        <w:bottom w:val="none" w:sz="0" w:space="0" w:color="auto"/>
        <w:right w:val="none" w:sz="0" w:space="0" w:color="auto"/>
      </w:divBdr>
    </w:div>
    <w:div w:id="785923524">
      <w:bodyDiv w:val="1"/>
      <w:marLeft w:val="0"/>
      <w:marRight w:val="0"/>
      <w:marTop w:val="0"/>
      <w:marBottom w:val="0"/>
      <w:divBdr>
        <w:top w:val="none" w:sz="0" w:space="0" w:color="auto"/>
        <w:left w:val="none" w:sz="0" w:space="0" w:color="auto"/>
        <w:bottom w:val="none" w:sz="0" w:space="0" w:color="auto"/>
        <w:right w:val="none" w:sz="0" w:space="0" w:color="auto"/>
      </w:divBdr>
    </w:div>
    <w:div w:id="785928240">
      <w:bodyDiv w:val="1"/>
      <w:marLeft w:val="0"/>
      <w:marRight w:val="0"/>
      <w:marTop w:val="0"/>
      <w:marBottom w:val="0"/>
      <w:divBdr>
        <w:top w:val="none" w:sz="0" w:space="0" w:color="auto"/>
        <w:left w:val="none" w:sz="0" w:space="0" w:color="auto"/>
        <w:bottom w:val="none" w:sz="0" w:space="0" w:color="auto"/>
        <w:right w:val="none" w:sz="0" w:space="0" w:color="auto"/>
      </w:divBdr>
    </w:div>
    <w:div w:id="786118790">
      <w:bodyDiv w:val="1"/>
      <w:marLeft w:val="0"/>
      <w:marRight w:val="0"/>
      <w:marTop w:val="0"/>
      <w:marBottom w:val="0"/>
      <w:divBdr>
        <w:top w:val="none" w:sz="0" w:space="0" w:color="auto"/>
        <w:left w:val="none" w:sz="0" w:space="0" w:color="auto"/>
        <w:bottom w:val="none" w:sz="0" w:space="0" w:color="auto"/>
        <w:right w:val="none" w:sz="0" w:space="0" w:color="auto"/>
      </w:divBdr>
    </w:div>
    <w:div w:id="786120350">
      <w:bodyDiv w:val="1"/>
      <w:marLeft w:val="0"/>
      <w:marRight w:val="0"/>
      <w:marTop w:val="0"/>
      <w:marBottom w:val="0"/>
      <w:divBdr>
        <w:top w:val="none" w:sz="0" w:space="0" w:color="auto"/>
        <w:left w:val="none" w:sz="0" w:space="0" w:color="auto"/>
        <w:bottom w:val="none" w:sz="0" w:space="0" w:color="auto"/>
        <w:right w:val="none" w:sz="0" w:space="0" w:color="auto"/>
      </w:divBdr>
    </w:div>
    <w:div w:id="786122195">
      <w:bodyDiv w:val="1"/>
      <w:marLeft w:val="0"/>
      <w:marRight w:val="0"/>
      <w:marTop w:val="0"/>
      <w:marBottom w:val="0"/>
      <w:divBdr>
        <w:top w:val="none" w:sz="0" w:space="0" w:color="auto"/>
        <w:left w:val="none" w:sz="0" w:space="0" w:color="auto"/>
        <w:bottom w:val="none" w:sz="0" w:space="0" w:color="auto"/>
        <w:right w:val="none" w:sz="0" w:space="0" w:color="auto"/>
      </w:divBdr>
    </w:div>
    <w:div w:id="786125867">
      <w:bodyDiv w:val="1"/>
      <w:marLeft w:val="0"/>
      <w:marRight w:val="0"/>
      <w:marTop w:val="0"/>
      <w:marBottom w:val="0"/>
      <w:divBdr>
        <w:top w:val="none" w:sz="0" w:space="0" w:color="auto"/>
        <w:left w:val="none" w:sz="0" w:space="0" w:color="auto"/>
        <w:bottom w:val="none" w:sz="0" w:space="0" w:color="auto"/>
        <w:right w:val="none" w:sz="0" w:space="0" w:color="auto"/>
      </w:divBdr>
    </w:div>
    <w:div w:id="786195276">
      <w:bodyDiv w:val="1"/>
      <w:marLeft w:val="0"/>
      <w:marRight w:val="0"/>
      <w:marTop w:val="0"/>
      <w:marBottom w:val="0"/>
      <w:divBdr>
        <w:top w:val="none" w:sz="0" w:space="0" w:color="auto"/>
        <w:left w:val="none" w:sz="0" w:space="0" w:color="auto"/>
        <w:bottom w:val="none" w:sz="0" w:space="0" w:color="auto"/>
        <w:right w:val="none" w:sz="0" w:space="0" w:color="auto"/>
      </w:divBdr>
    </w:div>
    <w:div w:id="786200069">
      <w:bodyDiv w:val="1"/>
      <w:marLeft w:val="0"/>
      <w:marRight w:val="0"/>
      <w:marTop w:val="0"/>
      <w:marBottom w:val="0"/>
      <w:divBdr>
        <w:top w:val="none" w:sz="0" w:space="0" w:color="auto"/>
        <w:left w:val="none" w:sz="0" w:space="0" w:color="auto"/>
        <w:bottom w:val="none" w:sz="0" w:space="0" w:color="auto"/>
        <w:right w:val="none" w:sz="0" w:space="0" w:color="auto"/>
      </w:divBdr>
    </w:div>
    <w:div w:id="786314360">
      <w:bodyDiv w:val="1"/>
      <w:marLeft w:val="0"/>
      <w:marRight w:val="0"/>
      <w:marTop w:val="0"/>
      <w:marBottom w:val="0"/>
      <w:divBdr>
        <w:top w:val="none" w:sz="0" w:space="0" w:color="auto"/>
        <w:left w:val="none" w:sz="0" w:space="0" w:color="auto"/>
        <w:bottom w:val="none" w:sz="0" w:space="0" w:color="auto"/>
        <w:right w:val="none" w:sz="0" w:space="0" w:color="auto"/>
      </w:divBdr>
    </w:div>
    <w:div w:id="786387892">
      <w:bodyDiv w:val="1"/>
      <w:marLeft w:val="0"/>
      <w:marRight w:val="0"/>
      <w:marTop w:val="0"/>
      <w:marBottom w:val="0"/>
      <w:divBdr>
        <w:top w:val="none" w:sz="0" w:space="0" w:color="auto"/>
        <w:left w:val="none" w:sz="0" w:space="0" w:color="auto"/>
        <w:bottom w:val="none" w:sz="0" w:space="0" w:color="auto"/>
        <w:right w:val="none" w:sz="0" w:space="0" w:color="auto"/>
      </w:divBdr>
    </w:div>
    <w:div w:id="786433808">
      <w:bodyDiv w:val="1"/>
      <w:marLeft w:val="0"/>
      <w:marRight w:val="0"/>
      <w:marTop w:val="0"/>
      <w:marBottom w:val="0"/>
      <w:divBdr>
        <w:top w:val="none" w:sz="0" w:space="0" w:color="auto"/>
        <w:left w:val="none" w:sz="0" w:space="0" w:color="auto"/>
        <w:bottom w:val="none" w:sz="0" w:space="0" w:color="auto"/>
        <w:right w:val="none" w:sz="0" w:space="0" w:color="auto"/>
      </w:divBdr>
    </w:div>
    <w:div w:id="786513104">
      <w:bodyDiv w:val="1"/>
      <w:marLeft w:val="0"/>
      <w:marRight w:val="0"/>
      <w:marTop w:val="0"/>
      <w:marBottom w:val="0"/>
      <w:divBdr>
        <w:top w:val="none" w:sz="0" w:space="0" w:color="auto"/>
        <w:left w:val="none" w:sz="0" w:space="0" w:color="auto"/>
        <w:bottom w:val="none" w:sz="0" w:space="0" w:color="auto"/>
        <w:right w:val="none" w:sz="0" w:space="0" w:color="auto"/>
      </w:divBdr>
    </w:div>
    <w:div w:id="786578786">
      <w:bodyDiv w:val="1"/>
      <w:marLeft w:val="0"/>
      <w:marRight w:val="0"/>
      <w:marTop w:val="0"/>
      <w:marBottom w:val="0"/>
      <w:divBdr>
        <w:top w:val="none" w:sz="0" w:space="0" w:color="auto"/>
        <w:left w:val="none" w:sz="0" w:space="0" w:color="auto"/>
        <w:bottom w:val="none" w:sz="0" w:space="0" w:color="auto"/>
        <w:right w:val="none" w:sz="0" w:space="0" w:color="auto"/>
      </w:divBdr>
    </w:div>
    <w:div w:id="786583408">
      <w:bodyDiv w:val="1"/>
      <w:marLeft w:val="0"/>
      <w:marRight w:val="0"/>
      <w:marTop w:val="0"/>
      <w:marBottom w:val="0"/>
      <w:divBdr>
        <w:top w:val="none" w:sz="0" w:space="0" w:color="auto"/>
        <w:left w:val="none" w:sz="0" w:space="0" w:color="auto"/>
        <w:bottom w:val="none" w:sz="0" w:space="0" w:color="auto"/>
        <w:right w:val="none" w:sz="0" w:space="0" w:color="auto"/>
      </w:divBdr>
    </w:div>
    <w:div w:id="786659316">
      <w:bodyDiv w:val="1"/>
      <w:marLeft w:val="0"/>
      <w:marRight w:val="0"/>
      <w:marTop w:val="0"/>
      <w:marBottom w:val="0"/>
      <w:divBdr>
        <w:top w:val="none" w:sz="0" w:space="0" w:color="auto"/>
        <w:left w:val="none" w:sz="0" w:space="0" w:color="auto"/>
        <w:bottom w:val="none" w:sz="0" w:space="0" w:color="auto"/>
        <w:right w:val="none" w:sz="0" w:space="0" w:color="auto"/>
      </w:divBdr>
    </w:div>
    <w:div w:id="786704167">
      <w:bodyDiv w:val="1"/>
      <w:marLeft w:val="0"/>
      <w:marRight w:val="0"/>
      <w:marTop w:val="0"/>
      <w:marBottom w:val="0"/>
      <w:divBdr>
        <w:top w:val="none" w:sz="0" w:space="0" w:color="auto"/>
        <w:left w:val="none" w:sz="0" w:space="0" w:color="auto"/>
        <w:bottom w:val="none" w:sz="0" w:space="0" w:color="auto"/>
        <w:right w:val="none" w:sz="0" w:space="0" w:color="auto"/>
      </w:divBdr>
    </w:div>
    <w:div w:id="786849811">
      <w:bodyDiv w:val="1"/>
      <w:marLeft w:val="0"/>
      <w:marRight w:val="0"/>
      <w:marTop w:val="0"/>
      <w:marBottom w:val="0"/>
      <w:divBdr>
        <w:top w:val="none" w:sz="0" w:space="0" w:color="auto"/>
        <w:left w:val="none" w:sz="0" w:space="0" w:color="auto"/>
        <w:bottom w:val="none" w:sz="0" w:space="0" w:color="auto"/>
        <w:right w:val="none" w:sz="0" w:space="0" w:color="auto"/>
      </w:divBdr>
    </w:div>
    <w:div w:id="786856807">
      <w:bodyDiv w:val="1"/>
      <w:marLeft w:val="0"/>
      <w:marRight w:val="0"/>
      <w:marTop w:val="0"/>
      <w:marBottom w:val="0"/>
      <w:divBdr>
        <w:top w:val="none" w:sz="0" w:space="0" w:color="auto"/>
        <w:left w:val="none" w:sz="0" w:space="0" w:color="auto"/>
        <w:bottom w:val="none" w:sz="0" w:space="0" w:color="auto"/>
        <w:right w:val="none" w:sz="0" w:space="0" w:color="auto"/>
      </w:divBdr>
    </w:div>
    <w:div w:id="787043976">
      <w:bodyDiv w:val="1"/>
      <w:marLeft w:val="0"/>
      <w:marRight w:val="0"/>
      <w:marTop w:val="0"/>
      <w:marBottom w:val="0"/>
      <w:divBdr>
        <w:top w:val="none" w:sz="0" w:space="0" w:color="auto"/>
        <w:left w:val="none" w:sz="0" w:space="0" w:color="auto"/>
        <w:bottom w:val="none" w:sz="0" w:space="0" w:color="auto"/>
        <w:right w:val="none" w:sz="0" w:space="0" w:color="auto"/>
      </w:divBdr>
    </w:div>
    <w:div w:id="787240607">
      <w:bodyDiv w:val="1"/>
      <w:marLeft w:val="0"/>
      <w:marRight w:val="0"/>
      <w:marTop w:val="0"/>
      <w:marBottom w:val="0"/>
      <w:divBdr>
        <w:top w:val="none" w:sz="0" w:space="0" w:color="auto"/>
        <w:left w:val="none" w:sz="0" w:space="0" w:color="auto"/>
        <w:bottom w:val="none" w:sz="0" w:space="0" w:color="auto"/>
        <w:right w:val="none" w:sz="0" w:space="0" w:color="auto"/>
      </w:divBdr>
    </w:div>
    <w:div w:id="787353530">
      <w:bodyDiv w:val="1"/>
      <w:marLeft w:val="0"/>
      <w:marRight w:val="0"/>
      <w:marTop w:val="0"/>
      <w:marBottom w:val="0"/>
      <w:divBdr>
        <w:top w:val="none" w:sz="0" w:space="0" w:color="auto"/>
        <w:left w:val="none" w:sz="0" w:space="0" w:color="auto"/>
        <w:bottom w:val="none" w:sz="0" w:space="0" w:color="auto"/>
        <w:right w:val="none" w:sz="0" w:space="0" w:color="auto"/>
      </w:divBdr>
    </w:div>
    <w:div w:id="787435210">
      <w:bodyDiv w:val="1"/>
      <w:marLeft w:val="0"/>
      <w:marRight w:val="0"/>
      <w:marTop w:val="0"/>
      <w:marBottom w:val="0"/>
      <w:divBdr>
        <w:top w:val="none" w:sz="0" w:space="0" w:color="auto"/>
        <w:left w:val="none" w:sz="0" w:space="0" w:color="auto"/>
        <w:bottom w:val="none" w:sz="0" w:space="0" w:color="auto"/>
        <w:right w:val="none" w:sz="0" w:space="0" w:color="auto"/>
      </w:divBdr>
    </w:div>
    <w:div w:id="787546532">
      <w:bodyDiv w:val="1"/>
      <w:marLeft w:val="0"/>
      <w:marRight w:val="0"/>
      <w:marTop w:val="0"/>
      <w:marBottom w:val="0"/>
      <w:divBdr>
        <w:top w:val="none" w:sz="0" w:space="0" w:color="auto"/>
        <w:left w:val="none" w:sz="0" w:space="0" w:color="auto"/>
        <w:bottom w:val="none" w:sz="0" w:space="0" w:color="auto"/>
        <w:right w:val="none" w:sz="0" w:space="0" w:color="auto"/>
      </w:divBdr>
    </w:div>
    <w:div w:id="787621795">
      <w:bodyDiv w:val="1"/>
      <w:marLeft w:val="0"/>
      <w:marRight w:val="0"/>
      <w:marTop w:val="0"/>
      <w:marBottom w:val="0"/>
      <w:divBdr>
        <w:top w:val="none" w:sz="0" w:space="0" w:color="auto"/>
        <w:left w:val="none" w:sz="0" w:space="0" w:color="auto"/>
        <w:bottom w:val="none" w:sz="0" w:space="0" w:color="auto"/>
        <w:right w:val="none" w:sz="0" w:space="0" w:color="auto"/>
      </w:divBdr>
    </w:div>
    <w:div w:id="787697456">
      <w:bodyDiv w:val="1"/>
      <w:marLeft w:val="0"/>
      <w:marRight w:val="0"/>
      <w:marTop w:val="0"/>
      <w:marBottom w:val="0"/>
      <w:divBdr>
        <w:top w:val="none" w:sz="0" w:space="0" w:color="auto"/>
        <w:left w:val="none" w:sz="0" w:space="0" w:color="auto"/>
        <w:bottom w:val="none" w:sz="0" w:space="0" w:color="auto"/>
        <w:right w:val="none" w:sz="0" w:space="0" w:color="auto"/>
      </w:divBdr>
    </w:div>
    <w:div w:id="787822339">
      <w:bodyDiv w:val="1"/>
      <w:marLeft w:val="0"/>
      <w:marRight w:val="0"/>
      <w:marTop w:val="0"/>
      <w:marBottom w:val="0"/>
      <w:divBdr>
        <w:top w:val="none" w:sz="0" w:space="0" w:color="auto"/>
        <w:left w:val="none" w:sz="0" w:space="0" w:color="auto"/>
        <w:bottom w:val="none" w:sz="0" w:space="0" w:color="auto"/>
        <w:right w:val="none" w:sz="0" w:space="0" w:color="auto"/>
      </w:divBdr>
    </w:div>
    <w:div w:id="787895987">
      <w:bodyDiv w:val="1"/>
      <w:marLeft w:val="0"/>
      <w:marRight w:val="0"/>
      <w:marTop w:val="0"/>
      <w:marBottom w:val="0"/>
      <w:divBdr>
        <w:top w:val="none" w:sz="0" w:space="0" w:color="auto"/>
        <w:left w:val="none" w:sz="0" w:space="0" w:color="auto"/>
        <w:bottom w:val="none" w:sz="0" w:space="0" w:color="auto"/>
        <w:right w:val="none" w:sz="0" w:space="0" w:color="auto"/>
      </w:divBdr>
    </w:div>
    <w:div w:id="787968018">
      <w:bodyDiv w:val="1"/>
      <w:marLeft w:val="0"/>
      <w:marRight w:val="0"/>
      <w:marTop w:val="0"/>
      <w:marBottom w:val="0"/>
      <w:divBdr>
        <w:top w:val="none" w:sz="0" w:space="0" w:color="auto"/>
        <w:left w:val="none" w:sz="0" w:space="0" w:color="auto"/>
        <w:bottom w:val="none" w:sz="0" w:space="0" w:color="auto"/>
        <w:right w:val="none" w:sz="0" w:space="0" w:color="auto"/>
      </w:divBdr>
    </w:div>
    <w:div w:id="788206916">
      <w:bodyDiv w:val="1"/>
      <w:marLeft w:val="0"/>
      <w:marRight w:val="0"/>
      <w:marTop w:val="0"/>
      <w:marBottom w:val="0"/>
      <w:divBdr>
        <w:top w:val="none" w:sz="0" w:space="0" w:color="auto"/>
        <w:left w:val="none" w:sz="0" w:space="0" w:color="auto"/>
        <w:bottom w:val="none" w:sz="0" w:space="0" w:color="auto"/>
        <w:right w:val="none" w:sz="0" w:space="0" w:color="auto"/>
      </w:divBdr>
    </w:div>
    <w:div w:id="788282426">
      <w:bodyDiv w:val="1"/>
      <w:marLeft w:val="0"/>
      <w:marRight w:val="0"/>
      <w:marTop w:val="0"/>
      <w:marBottom w:val="0"/>
      <w:divBdr>
        <w:top w:val="none" w:sz="0" w:space="0" w:color="auto"/>
        <w:left w:val="none" w:sz="0" w:space="0" w:color="auto"/>
        <w:bottom w:val="none" w:sz="0" w:space="0" w:color="auto"/>
        <w:right w:val="none" w:sz="0" w:space="0" w:color="auto"/>
      </w:divBdr>
    </w:div>
    <w:div w:id="788474018">
      <w:bodyDiv w:val="1"/>
      <w:marLeft w:val="0"/>
      <w:marRight w:val="0"/>
      <w:marTop w:val="0"/>
      <w:marBottom w:val="0"/>
      <w:divBdr>
        <w:top w:val="none" w:sz="0" w:space="0" w:color="auto"/>
        <w:left w:val="none" w:sz="0" w:space="0" w:color="auto"/>
        <w:bottom w:val="none" w:sz="0" w:space="0" w:color="auto"/>
        <w:right w:val="none" w:sz="0" w:space="0" w:color="auto"/>
      </w:divBdr>
    </w:div>
    <w:div w:id="788549006">
      <w:bodyDiv w:val="1"/>
      <w:marLeft w:val="0"/>
      <w:marRight w:val="0"/>
      <w:marTop w:val="0"/>
      <w:marBottom w:val="0"/>
      <w:divBdr>
        <w:top w:val="none" w:sz="0" w:space="0" w:color="auto"/>
        <w:left w:val="none" w:sz="0" w:space="0" w:color="auto"/>
        <w:bottom w:val="none" w:sz="0" w:space="0" w:color="auto"/>
        <w:right w:val="none" w:sz="0" w:space="0" w:color="auto"/>
      </w:divBdr>
    </w:div>
    <w:div w:id="788858272">
      <w:bodyDiv w:val="1"/>
      <w:marLeft w:val="0"/>
      <w:marRight w:val="0"/>
      <w:marTop w:val="0"/>
      <w:marBottom w:val="0"/>
      <w:divBdr>
        <w:top w:val="none" w:sz="0" w:space="0" w:color="auto"/>
        <w:left w:val="none" w:sz="0" w:space="0" w:color="auto"/>
        <w:bottom w:val="none" w:sz="0" w:space="0" w:color="auto"/>
        <w:right w:val="none" w:sz="0" w:space="0" w:color="auto"/>
      </w:divBdr>
    </w:div>
    <w:div w:id="788863867">
      <w:bodyDiv w:val="1"/>
      <w:marLeft w:val="0"/>
      <w:marRight w:val="0"/>
      <w:marTop w:val="0"/>
      <w:marBottom w:val="0"/>
      <w:divBdr>
        <w:top w:val="none" w:sz="0" w:space="0" w:color="auto"/>
        <w:left w:val="none" w:sz="0" w:space="0" w:color="auto"/>
        <w:bottom w:val="none" w:sz="0" w:space="0" w:color="auto"/>
        <w:right w:val="none" w:sz="0" w:space="0" w:color="auto"/>
      </w:divBdr>
    </w:div>
    <w:div w:id="788865527">
      <w:bodyDiv w:val="1"/>
      <w:marLeft w:val="0"/>
      <w:marRight w:val="0"/>
      <w:marTop w:val="0"/>
      <w:marBottom w:val="0"/>
      <w:divBdr>
        <w:top w:val="none" w:sz="0" w:space="0" w:color="auto"/>
        <w:left w:val="none" w:sz="0" w:space="0" w:color="auto"/>
        <w:bottom w:val="none" w:sz="0" w:space="0" w:color="auto"/>
        <w:right w:val="none" w:sz="0" w:space="0" w:color="auto"/>
      </w:divBdr>
    </w:div>
    <w:div w:id="788931796">
      <w:bodyDiv w:val="1"/>
      <w:marLeft w:val="0"/>
      <w:marRight w:val="0"/>
      <w:marTop w:val="0"/>
      <w:marBottom w:val="0"/>
      <w:divBdr>
        <w:top w:val="none" w:sz="0" w:space="0" w:color="auto"/>
        <w:left w:val="none" w:sz="0" w:space="0" w:color="auto"/>
        <w:bottom w:val="none" w:sz="0" w:space="0" w:color="auto"/>
        <w:right w:val="none" w:sz="0" w:space="0" w:color="auto"/>
      </w:divBdr>
    </w:div>
    <w:div w:id="788938025">
      <w:bodyDiv w:val="1"/>
      <w:marLeft w:val="0"/>
      <w:marRight w:val="0"/>
      <w:marTop w:val="0"/>
      <w:marBottom w:val="0"/>
      <w:divBdr>
        <w:top w:val="none" w:sz="0" w:space="0" w:color="auto"/>
        <w:left w:val="none" w:sz="0" w:space="0" w:color="auto"/>
        <w:bottom w:val="none" w:sz="0" w:space="0" w:color="auto"/>
        <w:right w:val="none" w:sz="0" w:space="0" w:color="auto"/>
      </w:divBdr>
    </w:div>
    <w:div w:id="788938535">
      <w:bodyDiv w:val="1"/>
      <w:marLeft w:val="0"/>
      <w:marRight w:val="0"/>
      <w:marTop w:val="0"/>
      <w:marBottom w:val="0"/>
      <w:divBdr>
        <w:top w:val="none" w:sz="0" w:space="0" w:color="auto"/>
        <w:left w:val="none" w:sz="0" w:space="0" w:color="auto"/>
        <w:bottom w:val="none" w:sz="0" w:space="0" w:color="auto"/>
        <w:right w:val="none" w:sz="0" w:space="0" w:color="auto"/>
      </w:divBdr>
    </w:div>
    <w:div w:id="789129162">
      <w:bodyDiv w:val="1"/>
      <w:marLeft w:val="0"/>
      <w:marRight w:val="0"/>
      <w:marTop w:val="0"/>
      <w:marBottom w:val="0"/>
      <w:divBdr>
        <w:top w:val="none" w:sz="0" w:space="0" w:color="auto"/>
        <w:left w:val="none" w:sz="0" w:space="0" w:color="auto"/>
        <w:bottom w:val="none" w:sz="0" w:space="0" w:color="auto"/>
        <w:right w:val="none" w:sz="0" w:space="0" w:color="auto"/>
      </w:divBdr>
    </w:div>
    <w:div w:id="789250884">
      <w:bodyDiv w:val="1"/>
      <w:marLeft w:val="0"/>
      <w:marRight w:val="0"/>
      <w:marTop w:val="0"/>
      <w:marBottom w:val="0"/>
      <w:divBdr>
        <w:top w:val="none" w:sz="0" w:space="0" w:color="auto"/>
        <w:left w:val="none" w:sz="0" w:space="0" w:color="auto"/>
        <w:bottom w:val="none" w:sz="0" w:space="0" w:color="auto"/>
        <w:right w:val="none" w:sz="0" w:space="0" w:color="auto"/>
      </w:divBdr>
    </w:div>
    <w:div w:id="789276964">
      <w:bodyDiv w:val="1"/>
      <w:marLeft w:val="0"/>
      <w:marRight w:val="0"/>
      <w:marTop w:val="0"/>
      <w:marBottom w:val="0"/>
      <w:divBdr>
        <w:top w:val="none" w:sz="0" w:space="0" w:color="auto"/>
        <w:left w:val="none" w:sz="0" w:space="0" w:color="auto"/>
        <w:bottom w:val="none" w:sz="0" w:space="0" w:color="auto"/>
        <w:right w:val="none" w:sz="0" w:space="0" w:color="auto"/>
      </w:divBdr>
    </w:div>
    <w:div w:id="789471453">
      <w:bodyDiv w:val="1"/>
      <w:marLeft w:val="0"/>
      <w:marRight w:val="0"/>
      <w:marTop w:val="0"/>
      <w:marBottom w:val="0"/>
      <w:divBdr>
        <w:top w:val="none" w:sz="0" w:space="0" w:color="auto"/>
        <w:left w:val="none" w:sz="0" w:space="0" w:color="auto"/>
        <w:bottom w:val="none" w:sz="0" w:space="0" w:color="auto"/>
        <w:right w:val="none" w:sz="0" w:space="0" w:color="auto"/>
      </w:divBdr>
    </w:div>
    <w:div w:id="789586818">
      <w:bodyDiv w:val="1"/>
      <w:marLeft w:val="0"/>
      <w:marRight w:val="0"/>
      <w:marTop w:val="0"/>
      <w:marBottom w:val="0"/>
      <w:divBdr>
        <w:top w:val="none" w:sz="0" w:space="0" w:color="auto"/>
        <w:left w:val="none" w:sz="0" w:space="0" w:color="auto"/>
        <w:bottom w:val="none" w:sz="0" w:space="0" w:color="auto"/>
        <w:right w:val="none" w:sz="0" w:space="0" w:color="auto"/>
      </w:divBdr>
    </w:div>
    <w:div w:id="789588128">
      <w:bodyDiv w:val="1"/>
      <w:marLeft w:val="0"/>
      <w:marRight w:val="0"/>
      <w:marTop w:val="0"/>
      <w:marBottom w:val="0"/>
      <w:divBdr>
        <w:top w:val="none" w:sz="0" w:space="0" w:color="auto"/>
        <w:left w:val="none" w:sz="0" w:space="0" w:color="auto"/>
        <w:bottom w:val="none" w:sz="0" w:space="0" w:color="auto"/>
        <w:right w:val="none" w:sz="0" w:space="0" w:color="auto"/>
      </w:divBdr>
    </w:div>
    <w:div w:id="789666274">
      <w:bodyDiv w:val="1"/>
      <w:marLeft w:val="0"/>
      <w:marRight w:val="0"/>
      <w:marTop w:val="0"/>
      <w:marBottom w:val="0"/>
      <w:divBdr>
        <w:top w:val="none" w:sz="0" w:space="0" w:color="auto"/>
        <w:left w:val="none" w:sz="0" w:space="0" w:color="auto"/>
        <w:bottom w:val="none" w:sz="0" w:space="0" w:color="auto"/>
        <w:right w:val="none" w:sz="0" w:space="0" w:color="auto"/>
      </w:divBdr>
    </w:div>
    <w:div w:id="789667386">
      <w:bodyDiv w:val="1"/>
      <w:marLeft w:val="0"/>
      <w:marRight w:val="0"/>
      <w:marTop w:val="0"/>
      <w:marBottom w:val="0"/>
      <w:divBdr>
        <w:top w:val="none" w:sz="0" w:space="0" w:color="auto"/>
        <w:left w:val="none" w:sz="0" w:space="0" w:color="auto"/>
        <w:bottom w:val="none" w:sz="0" w:space="0" w:color="auto"/>
        <w:right w:val="none" w:sz="0" w:space="0" w:color="auto"/>
      </w:divBdr>
    </w:div>
    <w:div w:id="789670875">
      <w:bodyDiv w:val="1"/>
      <w:marLeft w:val="0"/>
      <w:marRight w:val="0"/>
      <w:marTop w:val="0"/>
      <w:marBottom w:val="0"/>
      <w:divBdr>
        <w:top w:val="none" w:sz="0" w:space="0" w:color="auto"/>
        <w:left w:val="none" w:sz="0" w:space="0" w:color="auto"/>
        <w:bottom w:val="none" w:sz="0" w:space="0" w:color="auto"/>
        <w:right w:val="none" w:sz="0" w:space="0" w:color="auto"/>
      </w:divBdr>
    </w:div>
    <w:div w:id="789671512">
      <w:bodyDiv w:val="1"/>
      <w:marLeft w:val="0"/>
      <w:marRight w:val="0"/>
      <w:marTop w:val="0"/>
      <w:marBottom w:val="0"/>
      <w:divBdr>
        <w:top w:val="none" w:sz="0" w:space="0" w:color="auto"/>
        <w:left w:val="none" w:sz="0" w:space="0" w:color="auto"/>
        <w:bottom w:val="none" w:sz="0" w:space="0" w:color="auto"/>
        <w:right w:val="none" w:sz="0" w:space="0" w:color="auto"/>
      </w:divBdr>
    </w:div>
    <w:div w:id="789711776">
      <w:bodyDiv w:val="1"/>
      <w:marLeft w:val="0"/>
      <w:marRight w:val="0"/>
      <w:marTop w:val="0"/>
      <w:marBottom w:val="0"/>
      <w:divBdr>
        <w:top w:val="none" w:sz="0" w:space="0" w:color="auto"/>
        <w:left w:val="none" w:sz="0" w:space="0" w:color="auto"/>
        <w:bottom w:val="none" w:sz="0" w:space="0" w:color="auto"/>
        <w:right w:val="none" w:sz="0" w:space="0" w:color="auto"/>
      </w:divBdr>
    </w:div>
    <w:div w:id="789714134">
      <w:bodyDiv w:val="1"/>
      <w:marLeft w:val="0"/>
      <w:marRight w:val="0"/>
      <w:marTop w:val="0"/>
      <w:marBottom w:val="0"/>
      <w:divBdr>
        <w:top w:val="none" w:sz="0" w:space="0" w:color="auto"/>
        <w:left w:val="none" w:sz="0" w:space="0" w:color="auto"/>
        <w:bottom w:val="none" w:sz="0" w:space="0" w:color="auto"/>
        <w:right w:val="none" w:sz="0" w:space="0" w:color="auto"/>
      </w:divBdr>
    </w:div>
    <w:div w:id="789737733">
      <w:bodyDiv w:val="1"/>
      <w:marLeft w:val="0"/>
      <w:marRight w:val="0"/>
      <w:marTop w:val="0"/>
      <w:marBottom w:val="0"/>
      <w:divBdr>
        <w:top w:val="none" w:sz="0" w:space="0" w:color="auto"/>
        <w:left w:val="none" w:sz="0" w:space="0" w:color="auto"/>
        <w:bottom w:val="none" w:sz="0" w:space="0" w:color="auto"/>
        <w:right w:val="none" w:sz="0" w:space="0" w:color="auto"/>
      </w:divBdr>
    </w:div>
    <w:div w:id="789741427">
      <w:bodyDiv w:val="1"/>
      <w:marLeft w:val="0"/>
      <w:marRight w:val="0"/>
      <w:marTop w:val="0"/>
      <w:marBottom w:val="0"/>
      <w:divBdr>
        <w:top w:val="none" w:sz="0" w:space="0" w:color="auto"/>
        <w:left w:val="none" w:sz="0" w:space="0" w:color="auto"/>
        <w:bottom w:val="none" w:sz="0" w:space="0" w:color="auto"/>
        <w:right w:val="none" w:sz="0" w:space="0" w:color="auto"/>
      </w:divBdr>
    </w:div>
    <w:div w:id="789936124">
      <w:bodyDiv w:val="1"/>
      <w:marLeft w:val="0"/>
      <w:marRight w:val="0"/>
      <w:marTop w:val="0"/>
      <w:marBottom w:val="0"/>
      <w:divBdr>
        <w:top w:val="none" w:sz="0" w:space="0" w:color="auto"/>
        <w:left w:val="none" w:sz="0" w:space="0" w:color="auto"/>
        <w:bottom w:val="none" w:sz="0" w:space="0" w:color="auto"/>
        <w:right w:val="none" w:sz="0" w:space="0" w:color="auto"/>
      </w:divBdr>
    </w:div>
    <w:div w:id="789979978">
      <w:bodyDiv w:val="1"/>
      <w:marLeft w:val="0"/>
      <w:marRight w:val="0"/>
      <w:marTop w:val="0"/>
      <w:marBottom w:val="0"/>
      <w:divBdr>
        <w:top w:val="none" w:sz="0" w:space="0" w:color="auto"/>
        <w:left w:val="none" w:sz="0" w:space="0" w:color="auto"/>
        <w:bottom w:val="none" w:sz="0" w:space="0" w:color="auto"/>
        <w:right w:val="none" w:sz="0" w:space="0" w:color="auto"/>
      </w:divBdr>
    </w:div>
    <w:div w:id="790169197">
      <w:bodyDiv w:val="1"/>
      <w:marLeft w:val="0"/>
      <w:marRight w:val="0"/>
      <w:marTop w:val="0"/>
      <w:marBottom w:val="0"/>
      <w:divBdr>
        <w:top w:val="none" w:sz="0" w:space="0" w:color="auto"/>
        <w:left w:val="none" w:sz="0" w:space="0" w:color="auto"/>
        <w:bottom w:val="none" w:sz="0" w:space="0" w:color="auto"/>
        <w:right w:val="none" w:sz="0" w:space="0" w:color="auto"/>
      </w:divBdr>
    </w:div>
    <w:div w:id="790248691">
      <w:bodyDiv w:val="1"/>
      <w:marLeft w:val="0"/>
      <w:marRight w:val="0"/>
      <w:marTop w:val="0"/>
      <w:marBottom w:val="0"/>
      <w:divBdr>
        <w:top w:val="none" w:sz="0" w:space="0" w:color="auto"/>
        <w:left w:val="none" w:sz="0" w:space="0" w:color="auto"/>
        <w:bottom w:val="none" w:sz="0" w:space="0" w:color="auto"/>
        <w:right w:val="none" w:sz="0" w:space="0" w:color="auto"/>
      </w:divBdr>
    </w:div>
    <w:div w:id="790321081">
      <w:bodyDiv w:val="1"/>
      <w:marLeft w:val="0"/>
      <w:marRight w:val="0"/>
      <w:marTop w:val="0"/>
      <w:marBottom w:val="0"/>
      <w:divBdr>
        <w:top w:val="none" w:sz="0" w:space="0" w:color="auto"/>
        <w:left w:val="none" w:sz="0" w:space="0" w:color="auto"/>
        <w:bottom w:val="none" w:sz="0" w:space="0" w:color="auto"/>
        <w:right w:val="none" w:sz="0" w:space="0" w:color="auto"/>
      </w:divBdr>
    </w:div>
    <w:div w:id="790393467">
      <w:bodyDiv w:val="1"/>
      <w:marLeft w:val="0"/>
      <w:marRight w:val="0"/>
      <w:marTop w:val="0"/>
      <w:marBottom w:val="0"/>
      <w:divBdr>
        <w:top w:val="none" w:sz="0" w:space="0" w:color="auto"/>
        <w:left w:val="none" w:sz="0" w:space="0" w:color="auto"/>
        <w:bottom w:val="none" w:sz="0" w:space="0" w:color="auto"/>
        <w:right w:val="none" w:sz="0" w:space="0" w:color="auto"/>
      </w:divBdr>
    </w:div>
    <w:div w:id="790437866">
      <w:bodyDiv w:val="1"/>
      <w:marLeft w:val="0"/>
      <w:marRight w:val="0"/>
      <w:marTop w:val="0"/>
      <w:marBottom w:val="0"/>
      <w:divBdr>
        <w:top w:val="none" w:sz="0" w:space="0" w:color="auto"/>
        <w:left w:val="none" w:sz="0" w:space="0" w:color="auto"/>
        <w:bottom w:val="none" w:sz="0" w:space="0" w:color="auto"/>
        <w:right w:val="none" w:sz="0" w:space="0" w:color="auto"/>
      </w:divBdr>
    </w:div>
    <w:div w:id="790561432">
      <w:bodyDiv w:val="1"/>
      <w:marLeft w:val="0"/>
      <w:marRight w:val="0"/>
      <w:marTop w:val="0"/>
      <w:marBottom w:val="0"/>
      <w:divBdr>
        <w:top w:val="none" w:sz="0" w:space="0" w:color="auto"/>
        <w:left w:val="none" w:sz="0" w:space="0" w:color="auto"/>
        <w:bottom w:val="none" w:sz="0" w:space="0" w:color="auto"/>
        <w:right w:val="none" w:sz="0" w:space="0" w:color="auto"/>
      </w:divBdr>
    </w:div>
    <w:div w:id="790588243">
      <w:bodyDiv w:val="1"/>
      <w:marLeft w:val="0"/>
      <w:marRight w:val="0"/>
      <w:marTop w:val="0"/>
      <w:marBottom w:val="0"/>
      <w:divBdr>
        <w:top w:val="none" w:sz="0" w:space="0" w:color="auto"/>
        <w:left w:val="none" w:sz="0" w:space="0" w:color="auto"/>
        <w:bottom w:val="none" w:sz="0" w:space="0" w:color="auto"/>
        <w:right w:val="none" w:sz="0" w:space="0" w:color="auto"/>
      </w:divBdr>
    </w:div>
    <w:div w:id="790635896">
      <w:bodyDiv w:val="1"/>
      <w:marLeft w:val="0"/>
      <w:marRight w:val="0"/>
      <w:marTop w:val="0"/>
      <w:marBottom w:val="0"/>
      <w:divBdr>
        <w:top w:val="none" w:sz="0" w:space="0" w:color="auto"/>
        <w:left w:val="none" w:sz="0" w:space="0" w:color="auto"/>
        <w:bottom w:val="none" w:sz="0" w:space="0" w:color="auto"/>
        <w:right w:val="none" w:sz="0" w:space="0" w:color="auto"/>
      </w:divBdr>
    </w:div>
    <w:div w:id="790782467">
      <w:bodyDiv w:val="1"/>
      <w:marLeft w:val="0"/>
      <w:marRight w:val="0"/>
      <w:marTop w:val="0"/>
      <w:marBottom w:val="0"/>
      <w:divBdr>
        <w:top w:val="none" w:sz="0" w:space="0" w:color="auto"/>
        <w:left w:val="none" w:sz="0" w:space="0" w:color="auto"/>
        <w:bottom w:val="none" w:sz="0" w:space="0" w:color="auto"/>
        <w:right w:val="none" w:sz="0" w:space="0" w:color="auto"/>
      </w:divBdr>
    </w:div>
    <w:div w:id="790827993">
      <w:bodyDiv w:val="1"/>
      <w:marLeft w:val="0"/>
      <w:marRight w:val="0"/>
      <w:marTop w:val="0"/>
      <w:marBottom w:val="0"/>
      <w:divBdr>
        <w:top w:val="none" w:sz="0" w:space="0" w:color="auto"/>
        <w:left w:val="none" w:sz="0" w:space="0" w:color="auto"/>
        <w:bottom w:val="none" w:sz="0" w:space="0" w:color="auto"/>
        <w:right w:val="none" w:sz="0" w:space="0" w:color="auto"/>
      </w:divBdr>
    </w:div>
    <w:div w:id="790854844">
      <w:bodyDiv w:val="1"/>
      <w:marLeft w:val="0"/>
      <w:marRight w:val="0"/>
      <w:marTop w:val="0"/>
      <w:marBottom w:val="0"/>
      <w:divBdr>
        <w:top w:val="none" w:sz="0" w:space="0" w:color="auto"/>
        <w:left w:val="none" w:sz="0" w:space="0" w:color="auto"/>
        <w:bottom w:val="none" w:sz="0" w:space="0" w:color="auto"/>
        <w:right w:val="none" w:sz="0" w:space="0" w:color="auto"/>
      </w:divBdr>
    </w:div>
    <w:div w:id="790855482">
      <w:bodyDiv w:val="1"/>
      <w:marLeft w:val="0"/>
      <w:marRight w:val="0"/>
      <w:marTop w:val="0"/>
      <w:marBottom w:val="0"/>
      <w:divBdr>
        <w:top w:val="none" w:sz="0" w:space="0" w:color="auto"/>
        <w:left w:val="none" w:sz="0" w:space="0" w:color="auto"/>
        <w:bottom w:val="none" w:sz="0" w:space="0" w:color="auto"/>
        <w:right w:val="none" w:sz="0" w:space="0" w:color="auto"/>
      </w:divBdr>
    </w:div>
    <w:div w:id="790979016">
      <w:bodyDiv w:val="1"/>
      <w:marLeft w:val="0"/>
      <w:marRight w:val="0"/>
      <w:marTop w:val="0"/>
      <w:marBottom w:val="0"/>
      <w:divBdr>
        <w:top w:val="none" w:sz="0" w:space="0" w:color="auto"/>
        <w:left w:val="none" w:sz="0" w:space="0" w:color="auto"/>
        <w:bottom w:val="none" w:sz="0" w:space="0" w:color="auto"/>
        <w:right w:val="none" w:sz="0" w:space="0" w:color="auto"/>
      </w:divBdr>
    </w:div>
    <w:div w:id="790981673">
      <w:bodyDiv w:val="1"/>
      <w:marLeft w:val="0"/>
      <w:marRight w:val="0"/>
      <w:marTop w:val="0"/>
      <w:marBottom w:val="0"/>
      <w:divBdr>
        <w:top w:val="none" w:sz="0" w:space="0" w:color="auto"/>
        <w:left w:val="none" w:sz="0" w:space="0" w:color="auto"/>
        <w:bottom w:val="none" w:sz="0" w:space="0" w:color="auto"/>
        <w:right w:val="none" w:sz="0" w:space="0" w:color="auto"/>
      </w:divBdr>
    </w:div>
    <w:div w:id="791024531">
      <w:bodyDiv w:val="1"/>
      <w:marLeft w:val="0"/>
      <w:marRight w:val="0"/>
      <w:marTop w:val="0"/>
      <w:marBottom w:val="0"/>
      <w:divBdr>
        <w:top w:val="none" w:sz="0" w:space="0" w:color="auto"/>
        <w:left w:val="none" w:sz="0" w:space="0" w:color="auto"/>
        <w:bottom w:val="none" w:sz="0" w:space="0" w:color="auto"/>
        <w:right w:val="none" w:sz="0" w:space="0" w:color="auto"/>
      </w:divBdr>
    </w:div>
    <w:div w:id="791171559">
      <w:bodyDiv w:val="1"/>
      <w:marLeft w:val="0"/>
      <w:marRight w:val="0"/>
      <w:marTop w:val="0"/>
      <w:marBottom w:val="0"/>
      <w:divBdr>
        <w:top w:val="none" w:sz="0" w:space="0" w:color="auto"/>
        <w:left w:val="none" w:sz="0" w:space="0" w:color="auto"/>
        <w:bottom w:val="none" w:sz="0" w:space="0" w:color="auto"/>
        <w:right w:val="none" w:sz="0" w:space="0" w:color="auto"/>
      </w:divBdr>
    </w:div>
    <w:div w:id="791486362">
      <w:bodyDiv w:val="1"/>
      <w:marLeft w:val="0"/>
      <w:marRight w:val="0"/>
      <w:marTop w:val="0"/>
      <w:marBottom w:val="0"/>
      <w:divBdr>
        <w:top w:val="none" w:sz="0" w:space="0" w:color="auto"/>
        <w:left w:val="none" w:sz="0" w:space="0" w:color="auto"/>
        <w:bottom w:val="none" w:sz="0" w:space="0" w:color="auto"/>
        <w:right w:val="none" w:sz="0" w:space="0" w:color="auto"/>
      </w:divBdr>
    </w:div>
    <w:div w:id="791676463">
      <w:bodyDiv w:val="1"/>
      <w:marLeft w:val="0"/>
      <w:marRight w:val="0"/>
      <w:marTop w:val="0"/>
      <w:marBottom w:val="0"/>
      <w:divBdr>
        <w:top w:val="none" w:sz="0" w:space="0" w:color="auto"/>
        <w:left w:val="none" w:sz="0" w:space="0" w:color="auto"/>
        <w:bottom w:val="none" w:sz="0" w:space="0" w:color="auto"/>
        <w:right w:val="none" w:sz="0" w:space="0" w:color="auto"/>
      </w:divBdr>
    </w:div>
    <w:div w:id="791706748">
      <w:bodyDiv w:val="1"/>
      <w:marLeft w:val="0"/>
      <w:marRight w:val="0"/>
      <w:marTop w:val="0"/>
      <w:marBottom w:val="0"/>
      <w:divBdr>
        <w:top w:val="none" w:sz="0" w:space="0" w:color="auto"/>
        <w:left w:val="none" w:sz="0" w:space="0" w:color="auto"/>
        <w:bottom w:val="none" w:sz="0" w:space="0" w:color="auto"/>
        <w:right w:val="none" w:sz="0" w:space="0" w:color="auto"/>
      </w:divBdr>
    </w:div>
    <w:div w:id="791751901">
      <w:bodyDiv w:val="1"/>
      <w:marLeft w:val="0"/>
      <w:marRight w:val="0"/>
      <w:marTop w:val="0"/>
      <w:marBottom w:val="0"/>
      <w:divBdr>
        <w:top w:val="none" w:sz="0" w:space="0" w:color="auto"/>
        <w:left w:val="none" w:sz="0" w:space="0" w:color="auto"/>
        <w:bottom w:val="none" w:sz="0" w:space="0" w:color="auto"/>
        <w:right w:val="none" w:sz="0" w:space="0" w:color="auto"/>
      </w:divBdr>
    </w:div>
    <w:div w:id="791827641">
      <w:bodyDiv w:val="1"/>
      <w:marLeft w:val="0"/>
      <w:marRight w:val="0"/>
      <w:marTop w:val="0"/>
      <w:marBottom w:val="0"/>
      <w:divBdr>
        <w:top w:val="none" w:sz="0" w:space="0" w:color="auto"/>
        <w:left w:val="none" w:sz="0" w:space="0" w:color="auto"/>
        <w:bottom w:val="none" w:sz="0" w:space="0" w:color="auto"/>
        <w:right w:val="none" w:sz="0" w:space="0" w:color="auto"/>
      </w:divBdr>
    </w:div>
    <w:div w:id="791872072">
      <w:bodyDiv w:val="1"/>
      <w:marLeft w:val="0"/>
      <w:marRight w:val="0"/>
      <w:marTop w:val="0"/>
      <w:marBottom w:val="0"/>
      <w:divBdr>
        <w:top w:val="none" w:sz="0" w:space="0" w:color="auto"/>
        <w:left w:val="none" w:sz="0" w:space="0" w:color="auto"/>
        <w:bottom w:val="none" w:sz="0" w:space="0" w:color="auto"/>
        <w:right w:val="none" w:sz="0" w:space="0" w:color="auto"/>
      </w:divBdr>
    </w:div>
    <w:div w:id="791872906">
      <w:bodyDiv w:val="1"/>
      <w:marLeft w:val="0"/>
      <w:marRight w:val="0"/>
      <w:marTop w:val="0"/>
      <w:marBottom w:val="0"/>
      <w:divBdr>
        <w:top w:val="none" w:sz="0" w:space="0" w:color="auto"/>
        <w:left w:val="none" w:sz="0" w:space="0" w:color="auto"/>
        <w:bottom w:val="none" w:sz="0" w:space="0" w:color="auto"/>
        <w:right w:val="none" w:sz="0" w:space="0" w:color="auto"/>
      </w:divBdr>
    </w:div>
    <w:div w:id="791941199">
      <w:bodyDiv w:val="1"/>
      <w:marLeft w:val="0"/>
      <w:marRight w:val="0"/>
      <w:marTop w:val="0"/>
      <w:marBottom w:val="0"/>
      <w:divBdr>
        <w:top w:val="none" w:sz="0" w:space="0" w:color="auto"/>
        <w:left w:val="none" w:sz="0" w:space="0" w:color="auto"/>
        <w:bottom w:val="none" w:sz="0" w:space="0" w:color="auto"/>
        <w:right w:val="none" w:sz="0" w:space="0" w:color="auto"/>
      </w:divBdr>
    </w:div>
    <w:div w:id="792092757">
      <w:bodyDiv w:val="1"/>
      <w:marLeft w:val="0"/>
      <w:marRight w:val="0"/>
      <w:marTop w:val="0"/>
      <w:marBottom w:val="0"/>
      <w:divBdr>
        <w:top w:val="none" w:sz="0" w:space="0" w:color="auto"/>
        <w:left w:val="none" w:sz="0" w:space="0" w:color="auto"/>
        <w:bottom w:val="none" w:sz="0" w:space="0" w:color="auto"/>
        <w:right w:val="none" w:sz="0" w:space="0" w:color="auto"/>
      </w:divBdr>
    </w:div>
    <w:div w:id="792401484">
      <w:bodyDiv w:val="1"/>
      <w:marLeft w:val="0"/>
      <w:marRight w:val="0"/>
      <w:marTop w:val="0"/>
      <w:marBottom w:val="0"/>
      <w:divBdr>
        <w:top w:val="none" w:sz="0" w:space="0" w:color="auto"/>
        <w:left w:val="none" w:sz="0" w:space="0" w:color="auto"/>
        <w:bottom w:val="none" w:sz="0" w:space="0" w:color="auto"/>
        <w:right w:val="none" w:sz="0" w:space="0" w:color="auto"/>
      </w:divBdr>
    </w:div>
    <w:div w:id="792403240">
      <w:bodyDiv w:val="1"/>
      <w:marLeft w:val="0"/>
      <w:marRight w:val="0"/>
      <w:marTop w:val="0"/>
      <w:marBottom w:val="0"/>
      <w:divBdr>
        <w:top w:val="none" w:sz="0" w:space="0" w:color="auto"/>
        <w:left w:val="none" w:sz="0" w:space="0" w:color="auto"/>
        <w:bottom w:val="none" w:sz="0" w:space="0" w:color="auto"/>
        <w:right w:val="none" w:sz="0" w:space="0" w:color="auto"/>
      </w:divBdr>
    </w:div>
    <w:div w:id="792752935">
      <w:bodyDiv w:val="1"/>
      <w:marLeft w:val="0"/>
      <w:marRight w:val="0"/>
      <w:marTop w:val="0"/>
      <w:marBottom w:val="0"/>
      <w:divBdr>
        <w:top w:val="none" w:sz="0" w:space="0" w:color="auto"/>
        <w:left w:val="none" w:sz="0" w:space="0" w:color="auto"/>
        <w:bottom w:val="none" w:sz="0" w:space="0" w:color="auto"/>
        <w:right w:val="none" w:sz="0" w:space="0" w:color="auto"/>
      </w:divBdr>
    </w:div>
    <w:div w:id="792866246">
      <w:bodyDiv w:val="1"/>
      <w:marLeft w:val="0"/>
      <w:marRight w:val="0"/>
      <w:marTop w:val="0"/>
      <w:marBottom w:val="0"/>
      <w:divBdr>
        <w:top w:val="none" w:sz="0" w:space="0" w:color="auto"/>
        <w:left w:val="none" w:sz="0" w:space="0" w:color="auto"/>
        <w:bottom w:val="none" w:sz="0" w:space="0" w:color="auto"/>
        <w:right w:val="none" w:sz="0" w:space="0" w:color="auto"/>
      </w:divBdr>
    </w:div>
    <w:div w:id="793015432">
      <w:bodyDiv w:val="1"/>
      <w:marLeft w:val="0"/>
      <w:marRight w:val="0"/>
      <w:marTop w:val="0"/>
      <w:marBottom w:val="0"/>
      <w:divBdr>
        <w:top w:val="none" w:sz="0" w:space="0" w:color="auto"/>
        <w:left w:val="none" w:sz="0" w:space="0" w:color="auto"/>
        <w:bottom w:val="none" w:sz="0" w:space="0" w:color="auto"/>
        <w:right w:val="none" w:sz="0" w:space="0" w:color="auto"/>
      </w:divBdr>
    </w:div>
    <w:div w:id="793064043">
      <w:bodyDiv w:val="1"/>
      <w:marLeft w:val="0"/>
      <w:marRight w:val="0"/>
      <w:marTop w:val="0"/>
      <w:marBottom w:val="0"/>
      <w:divBdr>
        <w:top w:val="none" w:sz="0" w:space="0" w:color="auto"/>
        <w:left w:val="none" w:sz="0" w:space="0" w:color="auto"/>
        <w:bottom w:val="none" w:sz="0" w:space="0" w:color="auto"/>
        <w:right w:val="none" w:sz="0" w:space="0" w:color="auto"/>
      </w:divBdr>
    </w:div>
    <w:div w:id="793064306">
      <w:bodyDiv w:val="1"/>
      <w:marLeft w:val="0"/>
      <w:marRight w:val="0"/>
      <w:marTop w:val="0"/>
      <w:marBottom w:val="0"/>
      <w:divBdr>
        <w:top w:val="none" w:sz="0" w:space="0" w:color="auto"/>
        <w:left w:val="none" w:sz="0" w:space="0" w:color="auto"/>
        <w:bottom w:val="none" w:sz="0" w:space="0" w:color="auto"/>
        <w:right w:val="none" w:sz="0" w:space="0" w:color="auto"/>
      </w:divBdr>
    </w:div>
    <w:div w:id="793139918">
      <w:bodyDiv w:val="1"/>
      <w:marLeft w:val="0"/>
      <w:marRight w:val="0"/>
      <w:marTop w:val="0"/>
      <w:marBottom w:val="0"/>
      <w:divBdr>
        <w:top w:val="none" w:sz="0" w:space="0" w:color="auto"/>
        <w:left w:val="none" w:sz="0" w:space="0" w:color="auto"/>
        <w:bottom w:val="none" w:sz="0" w:space="0" w:color="auto"/>
        <w:right w:val="none" w:sz="0" w:space="0" w:color="auto"/>
      </w:divBdr>
    </w:div>
    <w:div w:id="793329677">
      <w:bodyDiv w:val="1"/>
      <w:marLeft w:val="0"/>
      <w:marRight w:val="0"/>
      <w:marTop w:val="0"/>
      <w:marBottom w:val="0"/>
      <w:divBdr>
        <w:top w:val="none" w:sz="0" w:space="0" w:color="auto"/>
        <w:left w:val="none" w:sz="0" w:space="0" w:color="auto"/>
        <w:bottom w:val="none" w:sz="0" w:space="0" w:color="auto"/>
        <w:right w:val="none" w:sz="0" w:space="0" w:color="auto"/>
      </w:divBdr>
    </w:div>
    <w:div w:id="793450065">
      <w:bodyDiv w:val="1"/>
      <w:marLeft w:val="0"/>
      <w:marRight w:val="0"/>
      <w:marTop w:val="0"/>
      <w:marBottom w:val="0"/>
      <w:divBdr>
        <w:top w:val="none" w:sz="0" w:space="0" w:color="auto"/>
        <w:left w:val="none" w:sz="0" w:space="0" w:color="auto"/>
        <w:bottom w:val="none" w:sz="0" w:space="0" w:color="auto"/>
        <w:right w:val="none" w:sz="0" w:space="0" w:color="auto"/>
      </w:divBdr>
    </w:div>
    <w:div w:id="793475500">
      <w:bodyDiv w:val="1"/>
      <w:marLeft w:val="0"/>
      <w:marRight w:val="0"/>
      <w:marTop w:val="0"/>
      <w:marBottom w:val="0"/>
      <w:divBdr>
        <w:top w:val="none" w:sz="0" w:space="0" w:color="auto"/>
        <w:left w:val="none" w:sz="0" w:space="0" w:color="auto"/>
        <w:bottom w:val="none" w:sz="0" w:space="0" w:color="auto"/>
        <w:right w:val="none" w:sz="0" w:space="0" w:color="auto"/>
      </w:divBdr>
    </w:div>
    <w:div w:id="793672639">
      <w:bodyDiv w:val="1"/>
      <w:marLeft w:val="0"/>
      <w:marRight w:val="0"/>
      <w:marTop w:val="0"/>
      <w:marBottom w:val="0"/>
      <w:divBdr>
        <w:top w:val="none" w:sz="0" w:space="0" w:color="auto"/>
        <w:left w:val="none" w:sz="0" w:space="0" w:color="auto"/>
        <w:bottom w:val="none" w:sz="0" w:space="0" w:color="auto"/>
        <w:right w:val="none" w:sz="0" w:space="0" w:color="auto"/>
      </w:divBdr>
    </w:div>
    <w:div w:id="793787502">
      <w:bodyDiv w:val="1"/>
      <w:marLeft w:val="0"/>
      <w:marRight w:val="0"/>
      <w:marTop w:val="0"/>
      <w:marBottom w:val="0"/>
      <w:divBdr>
        <w:top w:val="none" w:sz="0" w:space="0" w:color="auto"/>
        <w:left w:val="none" w:sz="0" w:space="0" w:color="auto"/>
        <w:bottom w:val="none" w:sz="0" w:space="0" w:color="auto"/>
        <w:right w:val="none" w:sz="0" w:space="0" w:color="auto"/>
      </w:divBdr>
    </w:div>
    <w:div w:id="793793187">
      <w:bodyDiv w:val="1"/>
      <w:marLeft w:val="0"/>
      <w:marRight w:val="0"/>
      <w:marTop w:val="0"/>
      <w:marBottom w:val="0"/>
      <w:divBdr>
        <w:top w:val="none" w:sz="0" w:space="0" w:color="auto"/>
        <w:left w:val="none" w:sz="0" w:space="0" w:color="auto"/>
        <w:bottom w:val="none" w:sz="0" w:space="0" w:color="auto"/>
        <w:right w:val="none" w:sz="0" w:space="0" w:color="auto"/>
      </w:divBdr>
    </w:div>
    <w:div w:id="793795685">
      <w:bodyDiv w:val="1"/>
      <w:marLeft w:val="0"/>
      <w:marRight w:val="0"/>
      <w:marTop w:val="0"/>
      <w:marBottom w:val="0"/>
      <w:divBdr>
        <w:top w:val="none" w:sz="0" w:space="0" w:color="auto"/>
        <w:left w:val="none" w:sz="0" w:space="0" w:color="auto"/>
        <w:bottom w:val="none" w:sz="0" w:space="0" w:color="auto"/>
        <w:right w:val="none" w:sz="0" w:space="0" w:color="auto"/>
      </w:divBdr>
    </w:div>
    <w:div w:id="793838865">
      <w:bodyDiv w:val="1"/>
      <w:marLeft w:val="0"/>
      <w:marRight w:val="0"/>
      <w:marTop w:val="0"/>
      <w:marBottom w:val="0"/>
      <w:divBdr>
        <w:top w:val="none" w:sz="0" w:space="0" w:color="auto"/>
        <w:left w:val="none" w:sz="0" w:space="0" w:color="auto"/>
        <w:bottom w:val="none" w:sz="0" w:space="0" w:color="auto"/>
        <w:right w:val="none" w:sz="0" w:space="0" w:color="auto"/>
      </w:divBdr>
    </w:div>
    <w:div w:id="793863801">
      <w:bodyDiv w:val="1"/>
      <w:marLeft w:val="0"/>
      <w:marRight w:val="0"/>
      <w:marTop w:val="0"/>
      <w:marBottom w:val="0"/>
      <w:divBdr>
        <w:top w:val="none" w:sz="0" w:space="0" w:color="auto"/>
        <w:left w:val="none" w:sz="0" w:space="0" w:color="auto"/>
        <w:bottom w:val="none" w:sz="0" w:space="0" w:color="auto"/>
        <w:right w:val="none" w:sz="0" w:space="0" w:color="auto"/>
      </w:divBdr>
    </w:div>
    <w:div w:id="793864238">
      <w:bodyDiv w:val="1"/>
      <w:marLeft w:val="0"/>
      <w:marRight w:val="0"/>
      <w:marTop w:val="0"/>
      <w:marBottom w:val="0"/>
      <w:divBdr>
        <w:top w:val="none" w:sz="0" w:space="0" w:color="auto"/>
        <w:left w:val="none" w:sz="0" w:space="0" w:color="auto"/>
        <w:bottom w:val="none" w:sz="0" w:space="0" w:color="auto"/>
        <w:right w:val="none" w:sz="0" w:space="0" w:color="auto"/>
      </w:divBdr>
    </w:div>
    <w:div w:id="793864541">
      <w:bodyDiv w:val="1"/>
      <w:marLeft w:val="0"/>
      <w:marRight w:val="0"/>
      <w:marTop w:val="0"/>
      <w:marBottom w:val="0"/>
      <w:divBdr>
        <w:top w:val="none" w:sz="0" w:space="0" w:color="auto"/>
        <w:left w:val="none" w:sz="0" w:space="0" w:color="auto"/>
        <w:bottom w:val="none" w:sz="0" w:space="0" w:color="auto"/>
        <w:right w:val="none" w:sz="0" w:space="0" w:color="auto"/>
      </w:divBdr>
    </w:div>
    <w:div w:id="793911465">
      <w:bodyDiv w:val="1"/>
      <w:marLeft w:val="0"/>
      <w:marRight w:val="0"/>
      <w:marTop w:val="0"/>
      <w:marBottom w:val="0"/>
      <w:divBdr>
        <w:top w:val="none" w:sz="0" w:space="0" w:color="auto"/>
        <w:left w:val="none" w:sz="0" w:space="0" w:color="auto"/>
        <w:bottom w:val="none" w:sz="0" w:space="0" w:color="auto"/>
        <w:right w:val="none" w:sz="0" w:space="0" w:color="auto"/>
      </w:divBdr>
    </w:div>
    <w:div w:id="794063131">
      <w:bodyDiv w:val="1"/>
      <w:marLeft w:val="0"/>
      <w:marRight w:val="0"/>
      <w:marTop w:val="0"/>
      <w:marBottom w:val="0"/>
      <w:divBdr>
        <w:top w:val="none" w:sz="0" w:space="0" w:color="auto"/>
        <w:left w:val="none" w:sz="0" w:space="0" w:color="auto"/>
        <w:bottom w:val="none" w:sz="0" w:space="0" w:color="auto"/>
        <w:right w:val="none" w:sz="0" w:space="0" w:color="auto"/>
      </w:divBdr>
    </w:div>
    <w:div w:id="794100173">
      <w:bodyDiv w:val="1"/>
      <w:marLeft w:val="0"/>
      <w:marRight w:val="0"/>
      <w:marTop w:val="0"/>
      <w:marBottom w:val="0"/>
      <w:divBdr>
        <w:top w:val="none" w:sz="0" w:space="0" w:color="auto"/>
        <w:left w:val="none" w:sz="0" w:space="0" w:color="auto"/>
        <w:bottom w:val="none" w:sz="0" w:space="0" w:color="auto"/>
        <w:right w:val="none" w:sz="0" w:space="0" w:color="auto"/>
      </w:divBdr>
    </w:div>
    <w:div w:id="794176771">
      <w:bodyDiv w:val="1"/>
      <w:marLeft w:val="0"/>
      <w:marRight w:val="0"/>
      <w:marTop w:val="0"/>
      <w:marBottom w:val="0"/>
      <w:divBdr>
        <w:top w:val="none" w:sz="0" w:space="0" w:color="auto"/>
        <w:left w:val="none" w:sz="0" w:space="0" w:color="auto"/>
        <w:bottom w:val="none" w:sz="0" w:space="0" w:color="auto"/>
        <w:right w:val="none" w:sz="0" w:space="0" w:color="auto"/>
      </w:divBdr>
    </w:div>
    <w:div w:id="794253814">
      <w:bodyDiv w:val="1"/>
      <w:marLeft w:val="0"/>
      <w:marRight w:val="0"/>
      <w:marTop w:val="0"/>
      <w:marBottom w:val="0"/>
      <w:divBdr>
        <w:top w:val="none" w:sz="0" w:space="0" w:color="auto"/>
        <w:left w:val="none" w:sz="0" w:space="0" w:color="auto"/>
        <w:bottom w:val="none" w:sz="0" w:space="0" w:color="auto"/>
        <w:right w:val="none" w:sz="0" w:space="0" w:color="auto"/>
      </w:divBdr>
    </w:div>
    <w:div w:id="794370087">
      <w:bodyDiv w:val="1"/>
      <w:marLeft w:val="0"/>
      <w:marRight w:val="0"/>
      <w:marTop w:val="0"/>
      <w:marBottom w:val="0"/>
      <w:divBdr>
        <w:top w:val="none" w:sz="0" w:space="0" w:color="auto"/>
        <w:left w:val="none" w:sz="0" w:space="0" w:color="auto"/>
        <w:bottom w:val="none" w:sz="0" w:space="0" w:color="auto"/>
        <w:right w:val="none" w:sz="0" w:space="0" w:color="auto"/>
      </w:divBdr>
    </w:div>
    <w:div w:id="794442742">
      <w:bodyDiv w:val="1"/>
      <w:marLeft w:val="0"/>
      <w:marRight w:val="0"/>
      <w:marTop w:val="0"/>
      <w:marBottom w:val="0"/>
      <w:divBdr>
        <w:top w:val="none" w:sz="0" w:space="0" w:color="auto"/>
        <w:left w:val="none" w:sz="0" w:space="0" w:color="auto"/>
        <w:bottom w:val="none" w:sz="0" w:space="0" w:color="auto"/>
        <w:right w:val="none" w:sz="0" w:space="0" w:color="auto"/>
      </w:divBdr>
    </w:div>
    <w:div w:id="794443928">
      <w:bodyDiv w:val="1"/>
      <w:marLeft w:val="0"/>
      <w:marRight w:val="0"/>
      <w:marTop w:val="0"/>
      <w:marBottom w:val="0"/>
      <w:divBdr>
        <w:top w:val="none" w:sz="0" w:space="0" w:color="auto"/>
        <w:left w:val="none" w:sz="0" w:space="0" w:color="auto"/>
        <w:bottom w:val="none" w:sz="0" w:space="0" w:color="auto"/>
        <w:right w:val="none" w:sz="0" w:space="0" w:color="auto"/>
      </w:divBdr>
    </w:div>
    <w:div w:id="794445587">
      <w:bodyDiv w:val="1"/>
      <w:marLeft w:val="0"/>
      <w:marRight w:val="0"/>
      <w:marTop w:val="0"/>
      <w:marBottom w:val="0"/>
      <w:divBdr>
        <w:top w:val="none" w:sz="0" w:space="0" w:color="auto"/>
        <w:left w:val="none" w:sz="0" w:space="0" w:color="auto"/>
        <w:bottom w:val="none" w:sz="0" w:space="0" w:color="auto"/>
        <w:right w:val="none" w:sz="0" w:space="0" w:color="auto"/>
      </w:divBdr>
    </w:div>
    <w:div w:id="794638206">
      <w:bodyDiv w:val="1"/>
      <w:marLeft w:val="0"/>
      <w:marRight w:val="0"/>
      <w:marTop w:val="0"/>
      <w:marBottom w:val="0"/>
      <w:divBdr>
        <w:top w:val="none" w:sz="0" w:space="0" w:color="auto"/>
        <w:left w:val="none" w:sz="0" w:space="0" w:color="auto"/>
        <w:bottom w:val="none" w:sz="0" w:space="0" w:color="auto"/>
        <w:right w:val="none" w:sz="0" w:space="0" w:color="auto"/>
      </w:divBdr>
    </w:div>
    <w:div w:id="794638489">
      <w:bodyDiv w:val="1"/>
      <w:marLeft w:val="0"/>
      <w:marRight w:val="0"/>
      <w:marTop w:val="0"/>
      <w:marBottom w:val="0"/>
      <w:divBdr>
        <w:top w:val="none" w:sz="0" w:space="0" w:color="auto"/>
        <w:left w:val="none" w:sz="0" w:space="0" w:color="auto"/>
        <w:bottom w:val="none" w:sz="0" w:space="0" w:color="auto"/>
        <w:right w:val="none" w:sz="0" w:space="0" w:color="auto"/>
      </w:divBdr>
    </w:div>
    <w:div w:id="795100200">
      <w:bodyDiv w:val="1"/>
      <w:marLeft w:val="0"/>
      <w:marRight w:val="0"/>
      <w:marTop w:val="0"/>
      <w:marBottom w:val="0"/>
      <w:divBdr>
        <w:top w:val="none" w:sz="0" w:space="0" w:color="auto"/>
        <w:left w:val="none" w:sz="0" w:space="0" w:color="auto"/>
        <w:bottom w:val="none" w:sz="0" w:space="0" w:color="auto"/>
        <w:right w:val="none" w:sz="0" w:space="0" w:color="auto"/>
      </w:divBdr>
    </w:div>
    <w:div w:id="795216285">
      <w:bodyDiv w:val="1"/>
      <w:marLeft w:val="0"/>
      <w:marRight w:val="0"/>
      <w:marTop w:val="0"/>
      <w:marBottom w:val="0"/>
      <w:divBdr>
        <w:top w:val="none" w:sz="0" w:space="0" w:color="auto"/>
        <w:left w:val="none" w:sz="0" w:space="0" w:color="auto"/>
        <w:bottom w:val="none" w:sz="0" w:space="0" w:color="auto"/>
        <w:right w:val="none" w:sz="0" w:space="0" w:color="auto"/>
      </w:divBdr>
    </w:div>
    <w:div w:id="795219109">
      <w:bodyDiv w:val="1"/>
      <w:marLeft w:val="0"/>
      <w:marRight w:val="0"/>
      <w:marTop w:val="0"/>
      <w:marBottom w:val="0"/>
      <w:divBdr>
        <w:top w:val="none" w:sz="0" w:space="0" w:color="auto"/>
        <w:left w:val="none" w:sz="0" w:space="0" w:color="auto"/>
        <w:bottom w:val="none" w:sz="0" w:space="0" w:color="auto"/>
        <w:right w:val="none" w:sz="0" w:space="0" w:color="auto"/>
      </w:divBdr>
    </w:div>
    <w:div w:id="795565756">
      <w:bodyDiv w:val="1"/>
      <w:marLeft w:val="0"/>
      <w:marRight w:val="0"/>
      <w:marTop w:val="0"/>
      <w:marBottom w:val="0"/>
      <w:divBdr>
        <w:top w:val="none" w:sz="0" w:space="0" w:color="auto"/>
        <w:left w:val="none" w:sz="0" w:space="0" w:color="auto"/>
        <w:bottom w:val="none" w:sz="0" w:space="0" w:color="auto"/>
        <w:right w:val="none" w:sz="0" w:space="0" w:color="auto"/>
      </w:divBdr>
    </w:div>
    <w:div w:id="795567535">
      <w:bodyDiv w:val="1"/>
      <w:marLeft w:val="0"/>
      <w:marRight w:val="0"/>
      <w:marTop w:val="0"/>
      <w:marBottom w:val="0"/>
      <w:divBdr>
        <w:top w:val="none" w:sz="0" w:space="0" w:color="auto"/>
        <w:left w:val="none" w:sz="0" w:space="0" w:color="auto"/>
        <w:bottom w:val="none" w:sz="0" w:space="0" w:color="auto"/>
        <w:right w:val="none" w:sz="0" w:space="0" w:color="auto"/>
      </w:divBdr>
    </w:div>
    <w:div w:id="795677238">
      <w:bodyDiv w:val="1"/>
      <w:marLeft w:val="0"/>
      <w:marRight w:val="0"/>
      <w:marTop w:val="0"/>
      <w:marBottom w:val="0"/>
      <w:divBdr>
        <w:top w:val="none" w:sz="0" w:space="0" w:color="auto"/>
        <w:left w:val="none" w:sz="0" w:space="0" w:color="auto"/>
        <w:bottom w:val="none" w:sz="0" w:space="0" w:color="auto"/>
        <w:right w:val="none" w:sz="0" w:space="0" w:color="auto"/>
      </w:divBdr>
    </w:div>
    <w:div w:id="795870822">
      <w:bodyDiv w:val="1"/>
      <w:marLeft w:val="0"/>
      <w:marRight w:val="0"/>
      <w:marTop w:val="0"/>
      <w:marBottom w:val="0"/>
      <w:divBdr>
        <w:top w:val="none" w:sz="0" w:space="0" w:color="auto"/>
        <w:left w:val="none" w:sz="0" w:space="0" w:color="auto"/>
        <w:bottom w:val="none" w:sz="0" w:space="0" w:color="auto"/>
        <w:right w:val="none" w:sz="0" w:space="0" w:color="auto"/>
      </w:divBdr>
    </w:div>
    <w:div w:id="795950203">
      <w:bodyDiv w:val="1"/>
      <w:marLeft w:val="0"/>
      <w:marRight w:val="0"/>
      <w:marTop w:val="0"/>
      <w:marBottom w:val="0"/>
      <w:divBdr>
        <w:top w:val="none" w:sz="0" w:space="0" w:color="auto"/>
        <w:left w:val="none" w:sz="0" w:space="0" w:color="auto"/>
        <w:bottom w:val="none" w:sz="0" w:space="0" w:color="auto"/>
        <w:right w:val="none" w:sz="0" w:space="0" w:color="auto"/>
      </w:divBdr>
    </w:div>
    <w:div w:id="795954505">
      <w:bodyDiv w:val="1"/>
      <w:marLeft w:val="0"/>
      <w:marRight w:val="0"/>
      <w:marTop w:val="0"/>
      <w:marBottom w:val="0"/>
      <w:divBdr>
        <w:top w:val="none" w:sz="0" w:space="0" w:color="auto"/>
        <w:left w:val="none" w:sz="0" w:space="0" w:color="auto"/>
        <w:bottom w:val="none" w:sz="0" w:space="0" w:color="auto"/>
        <w:right w:val="none" w:sz="0" w:space="0" w:color="auto"/>
      </w:divBdr>
    </w:div>
    <w:div w:id="796023235">
      <w:bodyDiv w:val="1"/>
      <w:marLeft w:val="0"/>
      <w:marRight w:val="0"/>
      <w:marTop w:val="0"/>
      <w:marBottom w:val="0"/>
      <w:divBdr>
        <w:top w:val="none" w:sz="0" w:space="0" w:color="auto"/>
        <w:left w:val="none" w:sz="0" w:space="0" w:color="auto"/>
        <w:bottom w:val="none" w:sz="0" w:space="0" w:color="auto"/>
        <w:right w:val="none" w:sz="0" w:space="0" w:color="auto"/>
      </w:divBdr>
    </w:div>
    <w:div w:id="796070735">
      <w:bodyDiv w:val="1"/>
      <w:marLeft w:val="0"/>
      <w:marRight w:val="0"/>
      <w:marTop w:val="0"/>
      <w:marBottom w:val="0"/>
      <w:divBdr>
        <w:top w:val="none" w:sz="0" w:space="0" w:color="auto"/>
        <w:left w:val="none" w:sz="0" w:space="0" w:color="auto"/>
        <w:bottom w:val="none" w:sz="0" w:space="0" w:color="auto"/>
        <w:right w:val="none" w:sz="0" w:space="0" w:color="auto"/>
      </w:divBdr>
    </w:div>
    <w:div w:id="796098099">
      <w:bodyDiv w:val="1"/>
      <w:marLeft w:val="0"/>
      <w:marRight w:val="0"/>
      <w:marTop w:val="0"/>
      <w:marBottom w:val="0"/>
      <w:divBdr>
        <w:top w:val="none" w:sz="0" w:space="0" w:color="auto"/>
        <w:left w:val="none" w:sz="0" w:space="0" w:color="auto"/>
        <w:bottom w:val="none" w:sz="0" w:space="0" w:color="auto"/>
        <w:right w:val="none" w:sz="0" w:space="0" w:color="auto"/>
      </w:divBdr>
    </w:div>
    <w:div w:id="796141655">
      <w:bodyDiv w:val="1"/>
      <w:marLeft w:val="0"/>
      <w:marRight w:val="0"/>
      <w:marTop w:val="0"/>
      <w:marBottom w:val="0"/>
      <w:divBdr>
        <w:top w:val="none" w:sz="0" w:space="0" w:color="auto"/>
        <w:left w:val="none" w:sz="0" w:space="0" w:color="auto"/>
        <w:bottom w:val="none" w:sz="0" w:space="0" w:color="auto"/>
        <w:right w:val="none" w:sz="0" w:space="0" w:color="auto"/>
      </w:divBdr>
    </w:div>
    <w:div w:id="796217496">
      <w:bodyDiv w:val="1"/>
      <w:marLeft w:val="0"/>
      <w:marRight w:val="0"/>
      <w:marTop w:val="0"/>
      <w:marBottom w:val="0"/>
      <w:divBdr>
        <w:top w:val="none" w:sz="0" w:space="0" w:color="auto"/>
        <w:left w:val="none" w:sz="0" w:space="0" w:color="auto"/>
        <w:bottom w:val="none" w:sz="0" w:space="0" w:color="auto"/>
        <w:right w:val="none" w:sz="0" w:space="0" w:color="auto"/>
      </w:divBdr>
    </w:div>
    <w:div w:id="796335603">
      <w:bodyDiv w:val="1"/>
      <w:marLeft w:val="0"/>
      <w:marRight w:val="0"/>
      <w:marTop w:val="0"/>
      <w:marBottom w:val="0"/>
      <w:divBdr>
        <w:top w:val="none" w:sz="0" w:space="0" w:color="auto"/>
        <w:left w:val="none" w:sz="0" w:space="0" w:color="auto"/>
        <w:bottom w:val="none" w:sz="0" w:space="0" w:color="auto"/>
        <w:right w:val="none" w:sz="0" w:space="0" w:color="auto"/>
      </w:divBdr>
    </w:div>
    <w:div w:id="796408557">
      <w:bodyDiv w:val="1"/>
      <w:marLeft w:val="0"/>
      <w:marRight w:val="0"/>
      <w:marTop w:val="0"/>
      <w:marBottom w:val="0"/>
      <w:divBdr>
        <w:top w:val="none" w:sz="0" w:space="0" w:color="auto"/>
        <w:left w:val="none" w:sz="0" w:space="0" w:color="auto"/>
        <w:bottom w:val="none" w:sz="0" w:space="0" w:color="auto"/>
        <w:right w:val="none" w:sz="0" w:space="0" w:color="auto"/>
      </w:divBdr>
    </w:div>
    <w:div w:id="796408755">
      <w:bodyDiv w:val="1"/>
      <w:marLeft w:val="0"/>
      <w:marRight w:val="0"/>
      <w:marTop w:val="0"/>
      <w:marBottom w:val="0"/>
      <w:divBdr>
        <w:top w:val="none" w:sz="0" w:space="0" w:color="auto"/>
        <w:left w:val="none" w:sz="0" w:space="0" w:color="auto"/>
        <w:bottom w:val="none" w:sz="0" w:space="0" w:color="auto"/>
        <w:right w:val="none" w:sz="0" w:space="0" w:color="auto"/>
      </w:divBdr>
    </w:div>
    <w:div w:id="796412533">
      <w:bodyDiv w:val="1"/>
      <w:marLeft w:val="0"/>
      <w:marRight w:val="0"/>
      <w:marTop w:val="0"/>
      <w:marBottom w:val="0"/>
      <w:divBdr>
        <w:top w:val="none" w:sz="0" w:space="0" w:color="auto"/>
        <w:left w:val="none" w:sz="0" w:space="0" w:color="auto"/>
        <w:bottom w:val="none" w:sz="0" w:space="0" w:color="auto"/>
        <w:right w:val="none" w:sz="0" w:space="0" w:color="auto"/>
      </w:divBdr>
    </w:div>
    <w:div w:id="796483838">
      <w:bodyDiv w:val="1"/>
      <w:marLeft w:val="0"/>
      <w:marRight w:val="0"/>
      <w:marTop w:val="0"/>
      <w:marBottom w:val="0"/>
      <w:divBdr>
        <w:top w:val="none" w:sz="0" w:space="0" w:color="auto"/>
        <w:left w:val="none" w:sz="0" w:space="0" w:color="auto"/>
        <w:bottom w:val="none" w:sz="0" w:space="0" w:color="auto"/>
        <w:right w:val="none" w:sz="0" w:space="0" w:color="auto"/>
      </w:divBdr>
    </w:div>
    <w:div w:id="796487546">
      <w:bodyDiv w:val="1"/>
      <w:marLeft w:val="0"/>
      <w:marRight w:val="0"/>
      <w:marTop w:val="0"/>
      <w:marBottom w:val="0"/>
      <w:divBdr>
        <w:top w:val="none" w:sz="0" w:space="0" w:color="auto"/>
        <w:left w:val="none" w:sz="0" w:space="0" w:color="auto"/>
        <w:bottom w:val="none" w:sz="0" w:space="0" w:color="auto"/>
        <w:right w:val="none" w:sz="0" w:space="0" w:color="auto"/>
      </w:divBdr>
    </w:div>
    <w:div w:id="796487636">
      <w:bodyDiv w:val="1"/>
      <w:marLeft w:val="0"/>
      <w:marRight w:val="0"/>
      <w:marTop w:val="0"/>
      <w:marBottom w:val="0"/>
      <w:divBdr>
        <w:top w:val="none" w:sz="0" w:space="0" w:color="auto"/>
        <w:left w:val="none" w:sz="0" w:space="0" w:color="auto"/>
        <w:bottom w:val="none" w:sz="0" w:space="0" w:color="auto"/>
        <w:right w:val="none" w:sz="0" w:space="0" w:color="auto"/>
      </w:divBdr>
    </w:div>
    <w:div w:id="796679723">
      <w:bodyDiv w:val="1"/>
      <w:marLeft w:val="0"/>
      <w:marRight w:val="0"/>
      <w:marTop w:val="0"/>
      <w:marBottom w:val="0"/>
      <w:divBdr>
        <w:top w:val="none" w:sz="0" w:space="0" w:color="auto"/>
        <w:left w:val="none" w:sz="0" w:space="0" w:color="auto"/>
        <w:bottom w:val="none" w:sz="0" w:space="0" w:color="auto"/>
        <w:right w:val="none" w:sz="0" w:space="0" w:color="auto"/>
      </w:divBdr>
    </w:div>
    <w:div w:id="796795405">
      <w:bodyDiv w:val="1"/>
      <w:marLeft w:val="0"/>
      <w:marRight w:val="0"/>
      <w:marTop w:val="0"/>
      <w:marBottom w:val="0"/>
      <w:divBdr>
        <w:top w:val="none" w:sz="0" w:space="0" w:color="auto"/>
        <w:left w:val="none" w:sz="0" w:space="0" w:color="auto"/>
        <w:bottom w:val="none" w:sz="0" w:space="0" w:color="auto"/>
        <w:right w:val="none" w:sz="0" w:space="0" w:color="auto"/>
      </w:divBdr>
    </w:div>
    <w:div w:id="796920261">
      <w:bodyDiv w:val="1"/>
      <w:marLeft w:val="0"/>
      <w:marRight w:val="0"/>
      <w:marTop w:val="0"/>
      <w:marBottom w:val="0"/>
      <w:divBdr>
        <w:top w:val="none" w:sz="0" w:space="0" w:color="auto"/>
        <w:left w:val="none" w:sz="0" w:space="0" w:color="auto"/>
        <w:bottom w:val="none" w:sz="0" w:space="0" w:color="auto"/>
        <w:right w:val="none" w:sz="0" w:space="0" w:color="auto"/>
      </w:divBdr>
    </w:div>
    <w:div w:id="796921117">
      <w:bodyDiv w:val="1"/>
      <w:marLeft w:val="0"/>
      <w:marRight w:val="0"/>
      <w:marTop w:val="0"/>
      <w:marBottom w:val="0"/>
      <w:divBdr>
        <w:top w:val="none" w:sz="0" w:space="0" w:color="auto"/>
        <w:left w:val="none" w:sz="0" w:space="0" w:color="auto"/>
        <w:bottom w:val="none" w:sz="0" w:space="0" w:color="auto"/>
        <w:right w:val="none" w:sz="0" w:space="0" w:color="auto"/>
      </w:divBdr>
    </w:div>
    <w:div w:id="796990273">
      <w:bodyDiv w:val="1"/>
      <w:marLeft w:val="0"/>
      <w:marRight w:val="0"/>
      <w:marTop w:val="0"/>
      <w:marBottom w:val="0"/>
      <w:divBdr>
        <w:top w:val="none" w:sz="0" w:space="0" w:color="auto"/>
        <w:left w:val="none" w:sz="0" w:space="0" w:color="auto"/>
        <w:bottom w:val="none" w:sz="0" w:space="0" w:color="auto"/>
        <w:right w:val="none" w:sz="0" w:space="0" w:color="auto"/>
      </w:divBdr>
    </w:div>
    <w:div w:id="797140029">
      <w:bodyDiv w:val="1"/>
      <w:marLeft w:val="0"/>
      <w:marRight w:val="0"/>
      <w:marTop w:val="0"/>
      <w:marBottom w:val="0"/>
      <w:divBdr>
        <w:top w:val="none" w:sz="0" w:space="0" w:color="auto"/>
        <w:left w:val="none" w:sz="0" w:space="0" w:color="auto"/>
        <w:bottom w:val="none" w:sz="0" w:space="0" w:color="auto"/>
        <w:right w:val="none" w:sz="0" w:space="0" w:color="auto"/>
      </w:divBdr>
    </w:div>
    <w:div w:id="797143264">
      <w:bodyDiv w:val="1"/>
      <w:marLeft w:val="0"/>
      <w:marRight w:val="0"/>
      <w:marTop w:val="0"/>
      <w:marBottom w:val="0"/>
      <w:divBdr>
        <w:top w:val="none" w:sz="0" w:space="0" w:color="auto"/>
        <w:left w:val="none" w:sz="0" w:space="0" w:color="auto"/>
        <w:bottom w:val="none" w:sz="0" w:space="0" w:color="auto"/>
        <w:right w:val="none" w:sz="0" w:space="0" w:color="auto"/>
      </w:divBdr>
    </w:div>
    <w:div w:id="797183488">
      <w:bodyDiv w:val="1"/>
      <w:marLeft w:val="0"/>
      <w:marRight w:val="0"/>
      <w:marTop w:val="0"/>
      <w:marBottom w:val="0"/>
      <w:divBdr>
        <w:top w:val="none" w:sz="0" w:space="0" w:color="auto"/>
        <w:left w:val="none" w:sz="0" w:space="0" w:color="auto"/>
        <w:bottom w:val="none" w:sz="0" w:space="0" w:color="auto"/>
        <w:right w:val="none" w:sz="0" w:space="0" w:color="auto"/>
      </w:divBdr>
    </w:div>
    <w:div w:id="797261290">
      <w:bodyDiv w:val="1"/>
      <w:marLeft w:val="0"/>
      <w:marRight w:val="0"/>
      <w:marTop w:val="0"/>
      <w:marBottom w:val="0"/>
      <w:divBdr>
        <w:top w:val="none" w:sz="0" w:space="0" w:color="auto"/>
        <w:left w:val="none" w:sz="0" w:space="0" w:color="auto"/>
        <w:bottom w:val="none" w:sz="0" w:space="0" w:color="auto"/>
        <w:right w:val="none" w:sz="0" w:space="0" w:color="auto"/>
      </w:divBdr>
    </w:div>
    <w:div w:id="797332848">
      <w:bodyDiv w:val="1"/>
      <w:marLeft w:val="0"/>
      <w:marRight w:val="0"/>
      <w:marTop w:val="0"/>
      <w:marBottom w:val="0"/>
      <w:divBdr>
        <w:top w:val="none" w:sz="0" w:space="0" w:color="auto"/>
        <w:left w:val="none" w:sz="0" w:space="0" w:color="auto"/>
        <w:bottom w:val="none" w:sz="0" w:space="0" w:color="auto"/>
        <w:right w:val="none" w:sz="0" w:space="0" w:color="auto"/>
      </w:divBdr>
    </w:div>
    <w:div w:id="797381367">
      <w:bodyDiv w:val="1"/>
      <w:marLeft w:val="0"/>
      <w:marRight w:val="0"/>
      <w:marTop w:val="0"/>
      <w:marBottom w:val="0"/>
      <w:divBdr>
        <w:top w:val="none" w:sz="0" w:space="0" w:color="auto"/>
        <w:left w:val="none" w:sz="0" w:space="0" w:color="auto"/>
        <w:bottom w:val="none" w:sz="0" w:space="0" w:color="auto"/>
        <w:right w:val="none" w:sz="0" w:space="0" w:color="auto"/>
      </w:divBdr>
    </w:div>
    <w:div w:id="797455567">
      <w:bodyDiv w:val="1"/>
      <w:marLeft w:val="0"/>
      <w:marRight w:val="0"/>
      <w:marTop w:val="0"/>
      <w:marBottom w:val="0"/>
      <w:divBdr>
        <w:top w:val="none" w:sz="0" w:space="0" w:color="auto"/>
        <w:left w:val="none" w:sz="0" w:space="0" w:color="auto"/>
        <w:bottom w:val="none" w:sz="0" w:space="0" w:color="auto"/>
        <w:right w:val="none" w:sz="0" w:space="0" w:color="auto"/>
      </w:divBdr>
    </w:div>
    <w:div w:id="797601936">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799029">
      <w:bodyDiv w:val="1"/>
      <w:marLeft w:val="0"/>
      <w:marRight w:val="0"/>
      <w:marTop w:val="0"/>
      <w:marBottom w:val="0"/>
      <w:divBdr>
        <w:top w:val="none" w:sz="0" w:space="0" w:color="auto"/>
        <w:left w:val="none" w:sz="0" w:space="0" w:color="auto"/>
        <w:bottom w:val="none" w:sz="0" w:space="0" w:color="auto"/>
        <w:right w:val="none" w:sz="0" w:space="0" w:color="auto"/>
      </w:divBdr>
    </w:div>
    <w:div w:id="797845011">
      <w:bodyDiv w:val="1"/>
      <w:marLeft w:val="0"/>
      <w:marRight w:val="0"/>
      <w:marTop w:val="0"/>
      <w:marBottom w:val="0"/>
      <w:divBdr>
        <w:top w:val="none" w:sz="0" w:space="0" w:color="auto"/>
        <w:left w:val="none" w:sz="0" w:space="0" w:color="auto"/>
        <w:bottom w:val="none" w:sz="0" w:space="0" w:color="auto"/>
        <w:right w:val="none" w:sz="0" w:space="0" w:color="auto"/>
      </w:divBdr>
    </w:div>
    <w:div w:id="797845593">
      <w:bodyDiv w:val="1"/>
      <w:marLeft w:val="0"/>
      <w:marRight w:val="0"/>
      <w:marTop w:val="0"/>
      <w:marBottom w:val="0"/>
      <w:divBdr>
        <w:top w:val="none" w:sz="0" w:space="0" w:color="auto"/>
        <w:left w:val="none" w:sz="0" w:space="0" w:color="auto"/>
        <w:bottom w:val="none" w:sz="0" w:space="0" w:color="auto"/>
        <w:right w:val="none" w:sz="0" w:space="0" w:color="auto"/>
      </w:divBdr>
    </w:div>
    <w:div w:id="797921039">
      <w:bodyDiv w:val="1"/>
      <w:marLeft w:val="0"/>
      <w:marRight w:val="0"/>
      <w:marTop w:val="0"/>
      <w:marBottom w:val="0"/>
      <w:divBdr>
        <w:top w:val="none" w:sz="0" w:space="0" w:color="auto"/>
        <w:left w:val="none" w:sz="0" w:space="0" w:color="auto"/>
        <w:bottom w:val="none" w:sz="0" w:space="0" w:color="auto"/>
        <w:right w:val="none" w:sz="0" w:space="0" w:color="auto"/>
      </w:divBdr>
    </w:div>
    <w:div w:id="798499078">
      <w:bodyDiv w:val="1"/>
      <w:marLeft w:val="0"/>
      <w:marRight w:val="0"/>
      <w:marTop w:val="0"/>
      <w:marBottom w:val="0"/>
      <w:divBdr>
        <w:top w:val="none" w:sz="0" w:space="0" w:color="auto"/>
        <w:left w:val="none" w:sz="0" w:space="0" w:color="auto"/>
        <w:bottom w:val="none" w:sz="0" w:space="0" w:color="auto"/>
        <w:right w:val="none" w:sz="0" w:space="0" w:color="auto"/>
      </w:divBdr>
    </w:div>
    <w:div w:id="798569908">
      <w:bodyDiv w:val="1"/>
      <w:marLeft w:val="0"/>
      <w:marRight w:val="0"/>
      <w:marTop w:val="0"/>
      <w:marBottom w:val="0"/>
      <w:divBdr>
        <w:top w:val="none" w:sz="0" w:space="0" w:color="auto"/>
        <w:left w:val="none" w:sz="0" w:space="0" w:color="auto"/>
        <w:bottom w:val="none" w:sz="0" w:space="0" w:color="auto"/>
        <w:right w:val="none" w:sz="0" w:space="0" w:color="auto"/>
      </w:divBdr>
    </w:div>
    <w:div w:id="798648696">
      <w:bodyDiv w:val="1"/>
      <w:marLeft w:val="0"/>
      <w:marRight w:val="0"/>
      <w:marTop w:val="0"/>
      <w:marBottom w:val="0"/>
      <w:divBdr>
        <w:top w:val="none" w:sz="0" w:space="0" w:color="auto"/>
        <w:left w:val="none" w:sz="0" w:space="0" w:color="auto"/>
        <w:bottom w:val="none" w:sz="0" w:space="0" w:color="auto"/>
        <w:right w:val="none" w:sz="0" w:space="0" w:color="auto"/>
      </w:divBdr>
    </w:div>
    <w:div w:id="798692839">
      <w:bodyDiv w:val="1"/>
      <w:marLeft w:val="0"/>
      <w:marRight w:val="0"/>
      <w:marTop w:val="0"/>
      <w:marBottom w:val="0"/>
      <w:divBdr>
        <w:top w:val="none" w:sz="0" w:space="0" w:color="auto"/>
        <w:left w:val="none" w:sz="0" w:space="0" w:color="auto"/>
        <w:bottom w:val="none" w:sz="0" w:space="0" w:color="auto"/>
        <w:right w:val="none" w:sz="0" w:space="0" w:color="auto"/>
      </w:divBdr>
    </w:div>
    <w:div w:id="798761164">
      <w:bodyDiv w:val="1"/>
      <w:marLeft w:val="0"/>
      <w:marRight w:val="0"/>
      <w:marTop w:val="0"/>
      <w:marBottom w:val="0"/>
      <w:divBdr>
        <w:top w:val="none" w:sz="0" w:space="0" w:color="auto"/>
        <w:left w:val="none" w:sz="0" w:space="0" w:color="auto"/>
        <w:bottom w:val="none" w:sz="0" w:space="0" w:color="auto"/>
        <w:right w:val="none" w:sz="0" w:space="0" w:color="auto"/>
      </w:divBdr>
    </w:div>
    <w:div w:id="798954437">
      <w:bodyDiv w:val="1"/>
      <w:marLeft w:val="0"/>
      <w:marRight w:val="0"/>
      <w:marTop w:val="0"/>
      <w:marBottom w:val="0"/>
      <w:divBdr>
        <w:top w:val="none" w:sz="0" w:space="0" w:color="auto"/>
        <w:left w:val="none" w:sz="0" w:space="0" w:color="auto"/>
        <w:bottom w:val="none" w:sz="0" w:space="0" w:color="auto"/>
        <w:right w:val="none" w:sz="0" w:space="0" w:color="auto"/>
      </w:divBdr>
    </w:div>
    <w:div w:id="798960143">
      <w:bodyDiv w:val="1"/>
      <w:marLeft w:val="0"/>
      <w:marRight w:val="0"/>
      <w:marTop w:val="0"/>
      <w:marBottom w:val="0"/>
      <w:divBdr>
        <w:top w:val="none" w:sz="0" w:space="0" w:color="auto"/>
        <w:left w:val="none" w:sz="0" w:space="0" w:color="auto"/>
        <w:bottom w:val="none" w:sz="0" w:space="0" w:color="auto"/>
        <w:right w:val="none" w:sz="0" w:space="0" w:color="auto"/>
      </w:divBdr>
    </w:div>
    <w:div w:id="799031005">
      <w:bodyDiv w:val="1"/>
      <w:marLeft w:val="0"/>
      <w:marRight w:val="0"/>
      <w:marTop w:val="0"/>
      <w:marBottom w:val="0"/>
      <w:divBdr>
        <w:top w:val="none" w:sz="0" w:space="0" w:color="auto"/>
        <w:left w:val="none" w:sz="0" w:space="0" w:color="auto"/>
        <w:bottom w:val="none" w:sz="0" w:space="0" w:color="auto"/>
        <w:right w:val="none" w:sz="0" w:space="0" w:color="auto"/>
      </w:divBdr>
    </w:div>
    <w:div w:id="799113127">
      <w:bodyDiv w:val="1"/>
      <w:marLeft w:val="0"/>
      <w:marRight w:val="0"/>
      <w:marTop w:val="0"/>
      <w:marBottom w:val="0"/>
      <w:divBdr>
        <w:top w:val="none" w:sz="0" w:space="0" w:color="auto"/>
        <w:left w:val="none" w:sz="0" w:space="0" w:color="auto"/>
        <w:bottom w:val="none" w:sz="0" w:space="0" w:color="auto"/>
        <w:right w:val="none" w:sz="0" w:space="0" w:color="auto"/>
      </w:divBdr>
    </w:div>
    <w:div w:id="799349114">
      <w:bodyDiv w:val="1"/>
      <w:marLeft w:val="0"/>
      <w:marRight w:val="0"/>
      <w:marTop w:val="0"/>
      <w:marBottom w:val="0"/>
      <w:divBdr>
        <w:top w:val="none" w:sz="0" w:space="0" w:color="auto"/>
        <w:left w:val="none" w:sz="0" w:space="0" w:color="auto"/>
        <w:bottom w:val="none" w:sz="0" w:space="0" w:color="auto"/>
        <w:right w:val="none" w:sz="0" w:space="0" w:color="auto"/>
      </w:divBdr>
    </w:div>
    <w:div w:id="799418626">
      <w:bodyDiv w:val="1"/>
      <w:marLeft w:val="0"/>
      <w:marRight w:val="0"/>
      <w:marTop w:val="0"/>
      <w:marBottom w:val="0"/>
      <w:divBdr>
        <w:top w:val="none" w:sz="0" w:space="0" w:color="auto"/>
        <w:left w:val="none" w:sz="0" w:space="0" w:color="auto"/>
        <w:bottom w:val="none" w:sz="0" w:space="0" w:color="auto"/>
        <w:right w:val="none" w:sz="0" w:space="0" w:color="auto"/>
      </w:divBdr>
    </w:div>
    <w:div w:id="799541458">
      <w:bodyDiv w:val="1"/>
      <w:marLeft w:val="0"/>
      <w:marRight w:val="0"/>
      <w:marTop w:val="0"/>
      <w:marBottom w:val="0"/>
      <w:divBdr>
        <w:top w:val="none" w:sz="0" w:space="0" w:color="auto"/>
        <w:left w:val="none" w:sz="0" w:space="0" w:color="auto"/>
        <w:bottom w:val="none" w:sz="0" w:space="0" w:color="auto"/>
        <w:right w:val="none" w:sz="0" w:space="0" w:color="auto"/>
      </w:divBdr>
    </w:div>
    <w:div w:id="799570818">
      <w:bodyDiv w:val="1"/>
      <w:marLeft w:val="0"/>
      <w:marRight w:val="0"/>
      <w:marTop w:val="0"/>
      <w:marBottom w:val="0"/>
      <w:divBdr>
        <w:top w:val="none" w:sz="0" w:space="0" w:color="auto"/>
        <w:left w:val="none" w:sz="0" w:space="0" w:color="auto"/>
        <w:bottom w:val="none" w:sz="0" w:space="0" w:color="auto"/>
        <w:right w:val="none" w:sz="0" w:space="0" w:color="auto"/>
      </w:divBdr>
    </w:div>
    <w:div w:id="799609134">
      <w:bodyDiv w:val="1"/>
      <w:marLeft w:val="0"/>
      <w:marRight w:val="0"/>
      <w:marTop w:val="0"/>
      <w:marBottom w:val="0"/>
      <w:divBdr>
        <w:top w:val="none" w:sz="0" w:space="0" w:color="auto"/>
        <w:left w:val="none" w:sz="0" w:space="0" w:color="auto"/>
        <w:bottom w:val="none" w:sz="0" w:space="0" w:color="auto"/>
        <w:right w:val="none" w:sz="0" w:space="0" w:color="auto"/>
      </w:divBdr>
    </w:div>
    <w:div w:id="799612680">
      <w:bodyDiv w:val="1"/>
      <w:marLeft w:val="0"/>
      <w:marRight w:val="0"/>
      <w:marTop w:val="0"/>
      <w:marBottom w:val="0"/>
      <w:divBdr>
        <w:top w:val="none" w:sz="0" w:space="0" w:color="auto"/>
        <w:left w:val="none" w:sz="0" w:space="0" w:color="auto"/>
        <w:bottom w:val="none" w:sz="0" w:space="0" w:color="auto"/>
        <w:right w:val="none" w:sz="0" w:space="0" w:color="auto"/>
      </w:divBdr>
    </w:div>
    <w:div w:id="799686472">
      <w:bodyDiv w:val="1"/>
      <w:marLeft w:val="0"/>
      <w:marRight w:val="0"/>
      <w:marTop w:val="0"/>
      <w:marBottom w:val="0"/>
      <w:divBdr>
        <w:top w:val="none" w:sz="0" w:space="0" w:color="auto"/>
        <w:left w:val="none" w:sz="0" w:space="0" w:color="auto"/>
        <w:bottom w:val="none" w:sz="0" w:space="0" w:color="auto"/>
        <w:right w:val="none" w:sz="0" w:space="0" w:color="auto"/>
      </w:divBdr>
    </w:div>
    <w:div w:id="799692692">
      <w:bodyDiv w:val="1"/>
      <w:marLeft w:val="0"/>
      <w:marRight w:val="0"/>
      <w:marTop w:val="0"/>
      <w:marBottom w:val="0"/>
      <w:divBdr>
        <w:top w:val="none" w:sz="0" w:space="0" w:color="auto"/>
        <w:left w:val="none" w:sz="0" w:space="0" w:color="auto"/>
        <w:bottom w:val="none" w:sz="0" w:space="0" w:color="auto"/>
        <w:right w:val="none" w:sz="0" w:space="0" w:color="auto"/>
      </w:divBdr>
    </w:div>
    <w:div w:id="799763299">
      <w:bodyDiv w:val="1"/>
      <w:marLeft w:val="0"/>
      <w:marRight w:val="0"/>
      <w:marTop w:val="0"/>
      <w:marBottom w:val="0"/>
      <w:divBdr>
        <w:top w:val="none" w:sz="0" w:space="0" w:color="auto"/>
        <w:left w:val="none" w:sz="0" w:space="0" w:color="auto"/>
        <w:bottom w:val="none" w:sz="0" w:space="0" w:color="auto"/>
        <w:right w:val="none" w:sz="0" w:space="0" w:color="auto"/>
      </w:divBdr>
    </w:div>
    <w:div w:id="799955352">
      <w:bodyDiv w:val="1"/>
      <w:marLeft w:val="0"/>
      <w:marRight w:val="0"/>
      <w:marTop w:val="0"/>
      <w:marBottom w:val="0"/>
      <w:divBdr>
        <w:top w:val="none" w:sz="0" w:space="0" w:color="auto"/>
        <w:left w:val="none" w:sz="0" w:space="0" w:color="auto"/>
        <w:bottom w:val="none" w:sz="0" w:space="0" w:color="auto"/>
        <w:right w:val="none" w:sz="0" w:space="0" w:color="auto"/>
      </w:divBdr>
    </w:div>
    <w:div w:id="799957340">
      <w:bodyDiv w:val="1"/>
      <w:marLeft w:val="0"/>
      <w:marRight w:val="0"/>
      <w:marTop w:val="0"/>
      <w:marBottom w:val="0"/>
      <w:divBdr>
        <w:top w:val="none" w:sz="0" w:space="0" w:color="auto"/>
        <w:left w:val="none" w:sz="0" w:space="0" w:color="auto"/>
        <w:bottom w:val="none" w:sz="0" w:space="0" w:color="auto"/>
        <w:right w:val="none" w:sz="0" w:space="0" w:color="auto"/>
      </w:divBdr>
    </w:div>
    <w:div w:id="800002351">
      <w:bodyDiv w:val="1"/>
      <w:marLeft w:val="0"/>
      <w:marRight w:val="0"/>
      <w:marTop w:val="0"/>
      <w:marBottom w:val="0"/>
      <w:divBdr>
        <w:top w:val="none" w:sz="0" w:space="0" w:color="auto"/>
        <w:left w:val="none" w:sz="0" w:space="0" w:color="auto"/>
        <w:bottom w:val="none" w:sz="0" w:space="0" w:color="auto"/>
        <w:right w:val="none" w:sz="0" w:space="0" w:color="auto"/>
      </w:divBdr>
    </w:div>
    <w:div w:id="800151460">
      <w:bodyDiv w:val="1"/>
      <w:marLeft w:val="0"/>
      <w:marRight w:val="0"/>
      <w:marTop w:val="0"/>
      <w:marBottom w:val="0"/>
      <w:divBdr>
        <w:top w:val="none" w:sz="0" w:space="0" w:color="auto"/>
        <w:left w:val="none" w:sz="0" w:space="0" w:color="auto"/>
        <w:bottom w:val="none" w:sz="0" w:space="0" w:color="auto"/>
        <w:right w:val="none" w:sz="0" w:space="0" w:color="auto"/>
      </w:divBdr>
    </w:div>
    <w:div w:id="800225893">
      <w:bodyDiv w:val="1"/>
      <w:marLeft w:val="0"/>
      <w:marRight w:val="0"/>
      <w:marTop w:val="0"/>
      <w:marBottom w:val="0"/>
      <w:divBdr>
        <w:top w:val="none" w:sz="0" w:space="0" w:color="auto"/>
        <w:left w:val="none" w:sz="0" w:space="0" w:color="auto"/>
        <w:bottom w:val="none" w:sz="0" w:space="0" w:color="auto"/>
        <w:right w:val="none" w:sz="0" w:space="0" w:color="auto"/>
      </w:divBdr>
    </w:div>
    <w:div w:id="800272678">
      <w:bodyDiv w:val="1"/>
      <w:marLeft w:val="0"/>
      <w:marRight w:val="0"/>
      <w:marTop w:val="0"/>
      <w:marBottom w:val="0"/>
      <w:divBdr>
        <w:top w:val="none" w:sz="0" w:space="0" w:color="auto"/>
        <w:left w:val="none" w:sz="0" w:space="0" w:color="auto"/>
        <w:bottom w:val="none" w:sz="0" w:space="0" w:color="auto"/>
        <w:right w:val="none" w:sz="0" w:space="0" w:color="auto"/>
      </w:divBdr>
    </w:div>
    <w:div w:id="800457455">
      <w:bodyDiv w:val="1"/>
      <w:marLeft w:val="0"/>
      <w:marRight w:val="0"/>
      <w:marTop w:val="0"/>
      <w:marBottom w:val="0"/>
      <w:divBdr>
        <w:top w:val="none" w:sz="0" w:space="0" w:color="auto"/>
        <w:left w:val="none" w:sz="0" w:space="0" w:color="auto"/>
        <w:bottom w:val="none" w:sz="0" w:space="0" w:color="auto"/>
        <w:right w:val="none" w:sz="0" w:space="0" w:color="auto"/>
      </w:divBdr>
    </w:div>
    <w:div w:id="800459301">
      <w:bodyDiv w:val="1"/>
      <w:marLeft w:val="0"/>
      <w:marRight w:val="0"/>
      <w:marTop w:val="0"/>
      <w:marBottom w:val="0"/>
      <w:divBdr>
        <w:top w:val="none" w:sz="0" w:space="0" w:color="auto"/>
        <w:left w:val="none" w:sz="0" w:space="0" w:color="auto"/>
        <w:bottom w:val="none" w:sz="0" w:space="0" w:color="auto"/>
        <w:right w:val="none" w:sz="0" w:space="0" w:color="auto"/>
      </w:divBdr>
    </w:div>
    <w:div w:id="800463516">
      <w:bodyDiv w:val="1"/>
      <w:marLeft w:val="0"/>
      <w:marRight w:val="0"/>
      <w:marTop w:val="0"/>
      <w:marBottom w:val="0"/>
      <w:divBdr>
        <w:top w:val="none" w:sz="0" w:space="0" w:color="auto"/>
        <w:left w:val="none" w:sz="0" w:space="0" w:color="auto"/>
        <w:bottom w:val="none" w:sz="0" w:space="0" w:color="auto"/>
        <w:right w:val="none" w:sz="0" w:space="0" w:color="auto"/>
      </w:divBdr>
    </w:div>
    <w:div w:id="800539692">
      <w:bodyDiv w:val="1"/>
      <w:marLeft w:val="0"/>
      <w:marRight w:val="0"/>
      <w:marTop w:val="0"/>
      <w:marBottom w:val="0"/>
      <w:divBdr>
        <w:top w:val="none" w:sz="0" w:space="0" w:color="auto"/>
        <w:left w:val="none" w:sz="0" w:space="0" w:color="auto"/>
        <w:bottom w:val="none" w:sz="0" w:space="0" w:color="auto"/>
        <w:right w:val="none" w:sz="0" w:space="0" w:color="auto"/>
      </w:divBdr>
    </w:div>
    <w:div w:id="800615954">
      <w:bodyDiv w:val="1"/>
      <w:marLeft w:val="0"/>
      <w:marRight w:val="0"/>
      <w:marTop w:val="0"/>
      <w:marBottom w:val="0"/>
      <w:divBdr>
        <w:top w:val="none" w:sz="0" w:space="0" w:color="auto"/>
        <w:left w:val="none" w:sz="0" w:space="0" w:color="auto"/>
        <w:bottom w:val="none" w:sz="0" w:space="0" w:color="auto"/>
        <w:right w:val="none" w:sz="0" w:space="0" w:color="auto"/>
      </w:divBdr>
    </w:div>
    <w:div w:id="800805581">
      <w:bodyDiv w:val="1"/>
      <w:marLeft w:val="0"/>
      <w:marRight w:val="0"/>
      <w:marTop w:val="0"/>
      <w:marBottom w:val="0"/>
      <w:divBdr>
        <w:top w:val="none" w:sz="0" w:space="0" w:color="auto"/>
        <w:left w:val="none" w:sz="0" w:space="0" w:color="auto"/>
        <w:bottom w:val="none" w:sz="0" w:space="0" w:color="auto"/>
        <w:right w:val="none" w:sz="0" w:space="0" w:color="auto"/>
      </w:divBdr>
    </w:div>
    <w:div w:id="800852991">
      <w:bodyDiv w:val="1"/>
      <w:marLeft w:val="0"/>
      <w:marRight w:val="0"/>
      <w:marTop w:val="0"/>
      <w:marBottom w:val="0"/>
      <w:divBdr>
        <w:top w:val="none" w:sz="0" w:space="0" w:color="auto"/>
        <w:left w:val="none" w:sz="0" w:space="0" w:color="auto"/>
        <w:bottom w:val="none" w:sz="0" w:space="0" w:color="auto"/>
        <w:right w:val="none" w:sz="0" w:space="0" w:color="auto"/>
      </w:divBdr>
    </w:div>
    <w:div w:id="800877400">
      <w:bodyDiv w:val="1"/>
      <w:marLeft w:val="0"/>
      <w:marRight w:val="0"/>
      <w:marTop w:val="0"/>
      <w:marBottom w:val="0"/>
      <w:divBdr>
        <w:top w:val="none" w:sz="0" w:space="0" w:color="auto"/>
        <w:left w:val="none" w:sz="0" w:space="0" w:color="auto"/>
        <w:bottom w:val="none" w:sz="0" w:space="0" w:color="auto"/>
        <w:right w:val="none" w:sz="0" w:space="0" w:color="auto"/>
      </w:divBdr>
    </w:div>
    <w:div w:id="800879760">
      <w:bodyDiv w:val="1"/>
      <w:marLeft w:val="0"/>
      <w:marRight w:val="0"/>
      <w:marTop w:val="0"/>
      <w:marBottom w:val="0"/>
      <w:divBdr>
        <w:top w:val="none" w:sz="0" w:space="0" w:color="auto"/>
        <w:left w:val="none" w:sz="0" w:space="0" w:color="auto"/>
        <w:bottom w:val="none" w:sz="0" w:space="0" w:color="auto"/>
        <w:right w:val="none" w:sz="0" w:space="0" w:color="auto"/>
      </w:divBdr>
    </w:div>
    <w:div w:id="800919691">
      <w:bodyDiv w:val="1"/>
      <w:marLeft w:val="0"/>
      <w:marRight w:val="0"/>
      <w:marTop w:val="0"/>
      <w:marBottom w:val="0"/>
      <w:divBdr>
        <w:top w:val="none" w:sz="0" w:space="0" w:color="auto"/>
        <w:left w:val="none" w:sz="0" w:space="0" w:color="auto"/>
        <w:bottom w:val="none" w:sz="0" w:space="0" w:color="auto"/>
        <w:right w:val="none" w:sz="0" w:space="0" w:color="auto"/>
      </w:divBdr>
    </w:div>
    <w:div w:id="800924023">
      <w:bodyDiv w:val="1"/>
      <w:marLeft w:val="0"/>
      <w:marRight w:val="0"/>
      <w:marTop w:val="0"/>
      <w:marBottom w:val="0"/>
      <w:divBdr>
        <w:top w:val="none" w:sz="0" w:space="0" w:color="auto"/>
        <w:left w:val="none" w:sz="0" w:space="0" w:color="auto"/>
        <w:bottom w:val="none" w:sz="0" w:space="0" w:color="auto"/>
        <w:right w:val="none" w:sz="0" w:space="0" w:color="auto"/>
      </w:divBdr>
    </w:div>
    <w:div w:id="800996322">
      <w:bodyDiv w:val="1"/>
      <w:marLeft w:val="0"/>
      <w:marRight w:val="0"/>
      <w:marTop w:val="0"/>
      <w:marBottom w:val="0"/>
      <w:divBdr>
        <w:top w:val="none" w:sz="0" w:space="0" w:color="auto"/>
        <w:left w:val="none" w:sz="0" w:space="0" w:color="auto"/>
        <w:bottom w:val="none" w:sz="0" w:space="0" w:color="auto"/>
        <w:right w:val="none" w:sz="0" w:space="0" w:color="auto"/>
      </w:divBdr>
    </w:div>
    <w:div w:id="801197268">
      <w:bodyDiv w:val="1"/>
      <w:marLeft w:val="0"/>
      <w:marRight w:val="0"/>
      <w:marTop w:val="0"/>
      <w:marBottom w:val="0"/>
      <w:divBdr>
        <w:top w:val="none" w:sz="0" w:space="0" w:color="auto"/>
        <w:left w:val="none" w:sz="0" w:space="0" w:color="auto"/>
        <w:bottom w:val="none" w:sz="0" w:space="0" w:color="auto"/>
        <w:right w:val="none" w:sz="0" w:space="0" w:color="auto"/>
      </w:divBdr>
    </w:div>
    <w:div w:id="801313512">
      <w:bodyDiv w:val="1"/>
      <w:marLeft w:val="0"/>
      <w:marRight w:val="0"/>
      <w:marTop w:val="0"/>
      <w:marBottom w:val="0"/>
      <w:divBdr>
        <w:top w:val="none" w:sz="0" w:space="0" w:color="auto"/>
        <w:left w:val="none" w:sz="0" w:space="0" w:color="auto"/>
        <w:bottom w:val="none" w:sz="0" w:space="0" w:color="auto"/>
        <w:right w:val="none" w:sz="0" w:space="0" w:color="auto"/>
      </w:divBdr>
    </w:div>
    <w:div w:id="801314986">
      <w:bodyDiv w:val="1"/>
      <w:marLeft w:val="0"/>
      <w:marRight w:val="0"/>
      <w:marTop w:val="0"/>
      <w:marBottom w:val="0"/>
      <w:divBdr>
        <w:top w:val="none" w:sz="0" w:space="0" w:color="auto"/>
        <w:left w:val="none" w:sz="0" w:space="0" w:color="auto"/>
        <w:bottom w:val="none" w:sz="0" w:space="0" w:color="auto"/>
        <w:right w:val="none" w:sz="0" w:space="0" w:color="auto"/>
      </w:divBdr>
    </w:div>
    <w:div w:id="801385936">
      <w:bodyDiv w:val="1"/>
      <w:marLeft w:val="0"/>
      <w:marRight w:val="0"/>
      <w:marTop w:val="0"/>
      <w:marBottom w:val="0"/>
      <w:divBdr>
        <w:top w:val="none" w:sz="0" w:space="0" w:color="auto"/>
        <w:left w:val="none" w:sz="0" w:space="0" w:color="auto"/>
        <w:bottom w:val="none" w:sz="0" w:space="0" w:color="auto"/>
        <w:right w:val="none" w:sz="0" w:space="0" w:color="auto"/>
      </w:divBdr>
    </w:div>
    <w:div w:id="801465652">
      <w:bodyDiv w:val="1"/>
      <w:marLeft w:val="0"/>
      <w:marRight w:val="0"/>
      <w:marTop w:val="0"/>
      <w:marBottom w:val="0"/>
      <w:divBdr>
        <w:top w:val="none" w:sz="0" w:space="0" w:color="auto"/>
        <w:left w:val="none" w:sz="0" w:space="0" w:color="auto"/>
        <w:bottom w:val="none" w:sz="0" w:space="0" w:color="auto"/>
        <w:right w:val="none" w:sz="0" w:space="0" w:color="auto"/>
      </w:divBdr>
    </w:div>
    <w:div w:id="801466125">
      <w:bodyDiv w:val="1"/>
      <w:marLeft w:val="0"/>
      <w:marRight w:val="0"/>
      <w:marTop w:val="0"/>
      <w:marBottom w:val="0"/>
      <w:divBdr>
        <w:top w:val="none" w:sz="0" w:space="0" w:color="auto"/>
        <w:left w:val="none" w:sz="0" w:space="0" w:color="auto"/>
        <w:bottom w:val="none" w:sz="0" w:space="0" w:color="auto"/>
        <w:right w:val="none" w:sz="0" w:space="0" w:color="auto"/>
      </w:divBdr>
    </w:div>
    <w:div w:id="801659408">
      <w:bodyDiv w:val="1"/>
      <w:marLeft w:val="0"/>
      <w:marRight w:val="0"/>
      <w:marTop w:val="0"/>
      <w:marBottom w:val="0"/>
      <w:divBdr>
        <w:top w:val="none" w:sz="0" w:space="0" w:color="auto"/>
        <w:left w:val="none" w:sz="0" w:space="0" w:color="auto"/>
        <w:bottom w:val="none" w:sz="0" w:space="0" w:color="auto"/>
        <w:right w:val="none" w:sz="0" w:space="0" w:color="auto"/>
      </w:divBdr>
    </w:div>
    <w:div w:id="801770373">
      <w:bodyDiv w:val="1"/>
      <w:marLeft w:val="0"/>
      <w:marRight w:val="0"/>
      <w:marTop w:val="0"/>
      <w:marBottom w:val="0"/>
      <w:divBdr>
        <w:top w:val="none" w:sz="0" w:space="0" w:color="auto"/>
        <w:left w:val="none" w:sz="0" w:space="0" w:color="auto"/>
        <w:bottom w:val="none" w:sz="0" w:space="0" w:color="auto"/>
        <w:right w:val="none" w:sz="0" w:space="0" w:color="auto"/>
      </w:divBdr>
    </w:div>
    <w:div w:id="801777048">
      <w:bodyDiv w:val="1"/>
      <w:marLeft w:val="0"/>
      <w:marRight w:val="0"/>
      <w:marTop w:val="0"/>
      <w:marBottom w:val="0"/>
      <w:divBdr>
        <w:top w:val="none" w:sz="0" w:space="0" w:color="auto"/>
        <w:left w:val="none" w:sz="0" w:space="0" w:color="auto"/>
        <w:bottom w:val="none" w:sz="0" w:space="0" w:color="auto"/>
        <w:right w:val="none" w:sz="0" w:space="0" w:color="auto"/>
      </w:divBdr>
    </w:div>
    <w:div w:id="801843743">
      <w:bodyDiv w:val="1"/>
      <w:marLeft w:val="0"/>
      <w:marRight w:val="0"/>
      <w:marTop w:val="0"/>
      <w:marBottom w:val="0"/>
      <w:divBdr>
        <w:top w:val="none" w:sz="0" w:space="0" w:color="auto"/>
        <w:left w:val="none" w:sz="0" w:space="0" w:color="auto"/>
        <w:bottom w:val="none" w:sz="0" w:space="0" w:color="auto"/>
        <w:right w:val="none" w:sz="0" w:space="0" w:color="auto"/>
      </w:divBdr>
    </w:div>
    <w:div w:id="801849437">
      <w:bodyDiv w:val="1"/>
      <w:marLeft w:val="0"/>
      <w:marRight w:val="0"/>
      <w:marTop w:val="0"/>
      <w:marBottom w:val="0"/>
      <w:divBdr>
        <w:top w:val="none" w:sz="0" w:space="0" w:color="auto"/>
        <w:left w:val="none" w:sz="0" w:space="0" w:color="auto"/>
        <w:bottom w:val="none" w:sz="0" w:space="0" w:color="auto"/>
        <w:right w:val="none" w:sz="0" w:space="0" w:color="auto"/>
      </w:divBdr>
    </w:div>
    <w:div w:id="801851431">
      <w:bodyDiv w:val="1"/>
      <w:marLeft w:val="0"/>
      <w:marRight w:val="0"/>
      <w:marTop w:val="0"/>
      <w:marBottom w:val="0"/>
      <w:divBdr>
        <w:top w:val="none" w:sz="0" w:space="0" w:color="auto"/>
        <w:left w:val="none" w:sz="0" w:space="0" w:color="auto"/>
        <w:bottom w:val="none" w:sz="0" w:space="0" w:color="auto"/>
        <w:right w:val="none" w:sz="0" w:space="0" w:color="auto"/>
      </w:divBdr>
    </w:div>
    <w:div w:id="801851770">
      <w:bodyDiv w:val="1"/>
      <w:marLeft w:val="0"/>
      <w:marRight w:val="0"/>
      <w:marTop w:val="0"/>
      <w:marBottom w:val="0"/>
      <w:divBdr>
        <w:top w:val="none" w:sz="0" w:space="0" w:color="auto"/>
        <w:left w:val="none" w:sz="0" w:space="0" w:color="auto"/>
        <w:bottom w:val="none" w:sz="0" w:space="0" w:color="auto"/>
        <w:right w:val="none" w:sz="0" w:space="0" w:color="auto"/>
      </w:divBdr>
    </w:div>
    <w:div w:id="801928243">
      <w:bodyDiv w:val="1"/>
      <w:marLeft w:val="0"/>
      <w:marRight w:val="0"/>
      <w:marTop w:val="0"/>
      <w:marBottom w:val="0"/>
      <w:divBdr>
        <w:top w:val="none" w:sz="0" w:space="0" w:color="auto"/>
        <w:left w:val="none" w:sz="0" w:space="0" w:color="auto"/>
        <w:bottom w:val="none" w:sz="0" w:space="0" w:color="auto"/>
        <w:right w:val="none" w:sz="0" w:space="0" w:color="auto"/>
      </w:divBdr>
    </w:div>
    <w:div w:id="802036724">
      <w:bodyDiv w:val="1"/>
      <w:marLeft w:val="0"/>
      <w:marRight w:val="0"/>
      <w:marTop w:val="0"/>
      <w:marBottom w:val="0"/>
      <w:divBdr>
        <w:top w:val="none" w:sz="0" w:space="0" w:color="auto"/>
        <w:left w:val="none" w:sz="0" w:space="0" w:color="auto"/>
        <w:bottom w:val="none" w:sz="0" w:space="0" w:color="auto"/>
        <w:right w:val="none" w:sz="0" w:space="0" w:color="auto"/>
      </w:divBdr>
    </w:div>
    <w:div w:id="802041618">
      <w:bodyDiv w:val="1"/>
      <w:marLeft w:val="0"/>
      <w:marRight w:val="0"/>
      <w:marTop w:val="0"/>
      <w:marBottom w:val="0"/>
      <w:divBdr>
        <w:top w:val="none" w:sz="0" w:space="0" w:color="auto"/>
        <w:left w:val="none" w:sz="0" w:space="0" w:color="auto"/>
        <w:bottom w:val="none" w:sz="0" w:space="0" w:color="auto"/>
        <w:right w:val="none" w:sz="0" w:space="0" w:color="auto"/>
      </w:divBdr>
    </w:div>
    <w:div w:id="802112268">
      <w:bodyDiv w:val="1"/>
      <w:marLeft w:val="0"/>
      <w:marRight w:val="0"/>
      <w:marTop w:val="0"/>
      <w:marBottom w:val="0"/>
      <w:divBdr>
        <w:top w:val="none" w:sz="0" w:space="0" w:color="auto"/>
        <w:left w:val="none" w:sz="0" w:space="0" w:color="auto"/>
        <w:bottom w:val="none" w:sz="0" w:space="0" w:color="auto"/>
        <w:right w:val="none" w:sz="0" w:space="0" w:color="auto"/>
      </w:divBdr>
    </w:div>
    <w:div w:id="802499436">
      <w:bodyDiv w:val="1"/>
      <w:marLeft w:val="0"/>
      <w:marRight w:val="0"/>
      <w:marTop w:val="0"/>
      <w:marBottom w:val="0"/>
      <w:divBdr>
        <w:top w:val="none" w:sz="0" w:space="0" w:color="auto"/>
        <w:left w:val="none" w:sz="0" w:space="0" w:color="auto"/>
        <w:bottom w:val="none" w:sz="0" w:space="0" w:color="auto"/>
        <w:right w:val="none" w:sz="0" w:space="0" w:color="auto"/>
      </w:divBdr>
    </w:div>
    <w:div w:id="802500873">
      <w:bodyDiv w:val="1"/>
      <w:marLeft w:val="0"/>
      <w:marRight w:val="0"/>
      <w:marTop w:val="0"/>
      <w:marBottom w:val="0"/>
      <w:divBdr>
        <w:top w:val="none" w:sz="0" w:space="0" w:color="auto"/>
        <w:left w:val="none" w:sz="0" w:space="0" w:color="auto"/>
        <w:bottom w:val="none" w:sz="0" w:space="0" w:color="auto"/>
        <w:right w:val="none" w:sz="0" w:space="0" w:color="auto"/>
      </w:divBdr>
    </w:div>
    <w:div w:id="802620702">
      <w:bodyDiv w:val="1"/>
      <w:marLeft w:val="0"/>
      <w:marRight w:val="0"/>
      <w:marTop w:val="0"/>
      <w:marBottom w:val="0"/>
      <w:divBdr>
        <w:top w:val="none" w:sz="0" w:space="0" w:color="auto"/>
        <w:left w:val="none" w:sz="0" w:space="0" w:color="auto"/>
        <w:bottom w:val="none" w:sz="0" w:space="0" w:color="auto"/>
        <w:right w:val="none" w:sz="0" w:space="0" w:color="auto"/>
      </w:divBdr>
    </w:div>
    <w:div w:id="802651007">
      <w:bodyDiv w:val="1"/>
      <w:marLeft w:val="0"/>
      <w:marRight w:val="0"/>
      <w:marTop w:val="0"/>
      <w:marBottom w:val="0"/>
      <w:divBdr>
        <w:top w:val="none" w:sz="0" w:space="0" w:color="auto"/>
        <w:left w:val="none" w:sz="0" w:space="0" w:color="auto"/>
        <w:bottom w:val="none" w:sz="0" w:space="0" w:color="auto"/>
        <w:right w:val="none" w:sz="0" w:space="0" w:color="auto"/>
      </w:divBdr>
    </w:div>
    <w:div w:id="802693259">
      <w:bodyDiv w:val="1"/>
      <w:marLeft w:val="0"/>
      <w:marRight w:val="0"/>
      <w:marTop w:val="0"/>
      <w:marBottom w:val="0"/>
      <w:divBdr>
        <w:top w:val="none" w:sz="0" w:space="0" w:color="auto"/>
        <w:left w:val="none" w:sz="0" w:space="0" w:color="auto"/>
        <w:bottom w:val="none" w:sz="0" w:space="0" w:color="auto"/>
        <w:right w:val="none" w:sz="0" w:space="0" w:color="auto"/>
      </w:divBdr>
    </w:div>
    <w:div w:id="802697494">
      <w:bodyDiv w:val="1"/>
      <w:marLeft w:val="0"/>
      <w:marRight w:val="0"/>
      <w:marTop w:val="0"/>
      <w:marBottom w:val="0"/>
      <w:divBdr>
        <w:top w:val="none" w:sz="0" w:space="0" w:color="auto"/>
        <w:left w:val="none" w:sz="0" w:space="0" w:color="auto"/>
        <w:bottom w:val="none" w:sz="0" w:space="0" w:color="auto"/>
        <w:right w:val="none" w:sz="0" w:space="0" w:color="auto"/>
      </w:divBdr>
    </w:div>
    <w:div w:id="802886026">
      <w:bodyDiv w:val="1"/>
      <w:marLeft w:val="0"/>
      <w:marRight w:val="0"/>
      <w:marTop w:val="0"/>
      <w:marBottom w:val="0"/>
      <w:divBdr>
        <w:top w:val="none" w:sz="0" w:space="0" w:color="auto"/>
        <w:left w:val="none" w:sz="0" w:space="0" w:color="auto"/>
        <w:bottom w:val="none" w:sz="0" w:space="0" w:color="auto"/>
        <w:right w:val="none" w:sz="0" w:space="0" w:color="auto"/>
      </w:divBdr>
    </w:div>
    <w:div w:id="802886340">
      <w:bodyDiv w:val="1"/>
      <w:marLeft w:val="0"/>
      <w:marRight w:val="0"/>
      <w:marTop w:val="0"/>
      <w:marBottom w:val="0"/>
      <w:divBdr>
        <w:top w:val="none" w:sz="0" w:space="0" w:color="auto"/>
        <w:left w:val="none" w:sz="0" w:space="0" w:color="auto"/>
        <w:bottom w:val="none" w:sz="0" w:space="0" w:color="auto"/>
        <w:right w:val="none" w:sz="0" w:space="0" w:color="auto"/>
      </w:divBdr>
    </w:div>
    <w:div w:id="802889525">
      <w:bodyDiv w:val="1"/>
      <w:marLeft w:val="0"/>
      <w:marRight w:val="0"/>
      <w:marTop w:val="0"/>
      <w:marBottom w:val="0"/>
      <w:divBdr>
        <w:top w:val="none" w:sz="0" w:space="0" w:color="auto"/>
        <w:left w:val="none" w:sz="0" w:space="0" w:color="auto"/>
        <w:bottom w:val="none" w:sz="0" w:space="0" w:color="auto"/>
        <w:right w:val="none" w:sz="0" w:space="0" w:color="auto"/>
      </w:divBdr>
    </w:div>
    <w:div w:id="802960738">
      <w:bodyDiv w:val="1"/>
      <w:marLeft w:val="0"/>
      <w:marRight w:val="0"/>
      <w:marTop w:val="0"/>
      <w:marBottom w:val="0"/>
      <w:divBdr>
        <w:top w:val="none" w:sz="0" w:space="0" w:color="auto"/>
        <w:left w:val="none" w:sz="0" w:space="0" w:color="auto"/>
        <w:bottom w:val="none" w:sz="0" w:space="0" w:color="auto"/>
        <w:right w:val="none" w:sz="0" w:space="0" w:color="auto"/>
      </w:divBdr>
    </w:div>
    <w:div w:id="803547340">
      <w:bodyDiv w:val="1"/>
      <w:marLeft w:val="0"/>
      <w:marRight w:val="0"/>
      <w:marTop w:val="0"/>
      <w:marBottom w:val="0"/>
      <w:divBdr>
        <w:top w:val="none" w:sz="0" w:space="0" w:color="auto"/>
        <w:left w:val="none" w:sz="0" w:space="0" w:color="auto"/>
        <w:bottom w:val="none" w:sz="0" w:space="0" w:color="auto"/>
        <w:right w:val="none" w:sz="0" w:space="0" w:color="auto"/>
      </w:divBdr>
    </w:div>
    <w:div w:id="803695387">
      <w:bodyDiv w:val="1"/>
      <w:marLeft w:val="0"/>
      <w:marRight w:val="0"/>
      <w:marTop w:val="0"/>
      <w:marBottom w:val="0"/>
      <w:divBdr>
        <w:top w:val="none" w:sz="0" w:space="0" w:color="auto"/>
        <w:left w:val="none" w:sz="0" w:space="0" w:color="auto"/>
        <w:bottom w:val="none" w:sz="0" w:space="0" w:color="auto"/>
        <w:right w:val="none" w:sz="0" w:space="0" w:color="auto"/>
      </w:divBdr>
    </w:div>
    <w:div w:id="803809103">
      <w:bodyDiv w:val="1"/>
      <w:marLeft w:val="0"/>
      <w:marRight w:val="0"/>
      <w:marTop w:val="0"/>
      <w:marBottom w:val="0"/>
      <w:divBdr>
        <w:top w:val="none" w:sz="0" w:space="0" w:color="auto"/>
        <w:left w:val="none" w:sz="0" w:space="0" w:color="auto"/>
        <w:bottom w:val="none" w:sz="0" w:space="0" w:color="auto"/>
        <w:right w:val="none" w:sz="0" w:space="0" w:color="auto"/>
      </w:divBdr>
    </w:div>
    <w:div w:id="803810507">
      <w:bodyDiv w:val="1"/>
      <w:marLeft w:val="0"/>
      <w:marRight w:val="0"/>
      <w:marTop w:val="0"/>
      <w:marBottom w:val="0"/>
      <w:divBdr>
        <w:top w:val="none" w:sz="0" w:space="0" w:color="auto"/>
        <w:left w:val="none" w:sz="0" w:space="0" w:color="auto"/>
        <w:bottom w:val="none" w:sz="0" w:space="0" w:color="auto"/>
        <w:right w:val="none" w:sz="0" w:space="0" w:color="auto"/>
      </w:divBdr>
    </w:div>
    <w:div w:id="803887089">
      <w:bodyDiv w:val="1"/>
      <w:marLeft w:val="0"/>
      <w:marRight w:val="0"/>
      <w:marTop w:val="0"/>
      <w:marBottom w:val="0"/>
      <w:divBdr>
        <w:top w:val="none" w:sz="0" w:space="0" w:color="auto"/>
        <w:left w:val="none" w:sz="0" w:space="0" w:color="auto"/>
        <w:bottom w:val="none" w:sz="0" w:space="0" w:color="auto"/>
        <w:right w:val="none" w:sz="0" w:space="0" w:color="auto"/>
      </w:divBdr>
    </w:div>
    <w:div w:id="803893412">
      <w:bodyDiv w:val="1"/>
      <w:marLeft w:val="0"/>
      <w:marRight w:val="0"/>
      <w:marTop w:val="0"/>
      <w:marBottom w:val="0"/>
      <w:divBdr>
        <w:top w:val="none" w:sz="0" w:space="0" w:color="auto"/>
        <w:left w:val="none" w:sz="0" w:space="0" w:color="auto"/>
        <w:bottom w:val="none" w:sz="0" w:space="0" w:color="auto"/>
        <w:right w:val="none" w:sz="0" w:space="0" w:color="auto"/>
      </w:divBdr>
    </w:div>
    <w:div w:id="803933019">
      <w:bodyDiv w:val="1"/>
      <w:marLeft w:val="0"/>
      <w:marRight w:val="0"/>
      <w:marTop w:val="0"/>
      <w:marBottom w:val="0"/>
      <w:divBdr>
        <w:top w:val="none" w:sz="0" w:space="0" w:color="auto"/>
        <w:left w:val="none" w:sz="0" w:space="0" w:color="auto"/>
        <w:bottom w:val="none" w:sz="0" w:space="0" w:color="auto"/>
        <w:right w:val="none" w:sz="0" w:space="0" w:color="auto"/>
      </w:divBdr>
    </w:div>
    <w:div w:id="804127237">
      <w:bodyDiv w:val="1"/>
      <w:marLeft w:val="0"/>
      <w:marRight w:val="0"/>
      <w:marTop w:val="0"/>
      <w:marBottom w:val="0"/>
      <w:divBdr>
        <w:top w:val="none" w:sz="0" w:space="0" w:color="auto"/>
        <w:left w:val="none" w:sz="0" w:space="0" w:color="auto"/>
        <w:bottom w:val="none" w:sz="0" w:space="0" w:color="auto"/>
        <w:right w:val="none" w:sz="0" w:space="0" w:color="auto"/>
      </w:divBdr>
    </w:div>
    <w:div w:id="804278804">
      <w:bodyDiv w:val="1"/>
      <w:marLeft w:val="0"/>
      <w:marRight w:val="0"/>
      <w:marTop w:val="0"/>
      <w:marBottom w:val="0"/>
      <w:divBdr>
        <w:top w:val="none" w:sz="0" w:space="0" w:color="auto"/>
        <w:left w:val="none" w:sz="0" w:space="0" w:color="auto"/>
        <w:bottom w:val="none" w:sz="0" w:space="0" w:color="auto"/>
        <w:right w:val="none" w:sz="0" w:space="0" w:color="auto"/>
      </w:divBdr>
    </w:div>
    <w:div w:id="804353067">
      <w:bodyDiv w:val="1"/>
      <w:marLeft w:val="0"/>
      <w:marRight w:val="0"/>
      <w:marTop w:val="0"/>
      <w:marBottom w:val="0"/>
      <w:divBdr>
        <w:top w:val="none" w:sz="0" w:space="0" w:color="auto"/>
        <w:left w:val="none" w:sz="0" w:space="0" w:color="auto"/>
        <w:bottom w:val="none" w:sz="0" w:space="0" w:color="auto"/>
        <w:right w:val="none" w:sz="0" w:space="0" w:color="auto"/>
      </w:divBdr>
    </w:div>
    <w:div w:id="804662701">
      <w:bodyDiv w:val="1"/>
      <w:marLeft w:val="0"/>
      <w:marRight w:val="0"/>
      <w:marTop w:val="0"/>
      <w:marBottom w:val="0"/>
      <w:divBdr>
        <w:top w:val="none" w:sz="0" w:space="0" w:color="auto"/>
        <w:left w:val="none" w:sz="0" w:space="0" w:color="auto"/>
        <w:bottom w:val="none" w:sz="0" w:space="0" w:color="auto"/>
        <w:right w:val="none" w:sz="0" w:space="0" w:color="auto"/>
      </w:divBdr>
    </w:div>
    <w:div w:id="804663318">
      <w:bodyDiv w:val="1"/>
      <w:marLeft w:val="0"/>
      <w:marRight w:val="0"/>
      <w:marTop w:val="0"/>
      <w:marBottom w:val="0"/>
      <w:divBdr>
        <w:top w:val="none" w:sz="0" w:space="0" w:color="auto"/>
        <w:left w:val="none" w:sz="0" w:space="0" w:color="auto"/>
        <w:bottom w:val="none" w:sz="0" w:space="0" w:color="auto"/>
        <w:right w:val="none" w:sz="0" w:space="0" w:color="auto"/>
      </w:divBdr>
    </w:div>
    <w:div w:id="804665684">
      <w:bodyDiv w:val="1"/>
      <w:marLeft w:val="0"/>
      <w:marRight w:val="0"/>
      <w:marTop w:val="0"/>
      <w:marBottom w:val="0"/>
      <w:divBdr>
        <w:top w:val="none" w:sz="0" w:space="0" w:color="auto"/>
        <w:left w:val="none" w:sz="0" w:space="0" w:color="auto"/>
        <w:bottom w:val="none" w:sz="0" w:space="0" w:color="auto"/>
        <w:right w:val="none" w:sz="0" w:space="0" w:color="auto"/>
      </w:divBdr>
    </w:div>
    <w:div w:id="804733979">
      <w:bodyDiv w:val="1"/>
      <w:marLeft w:val="0"/>
      <w:marRight w:val="0"/>
      <w:marTop w:val="0"/>
      <w:marBottom w:val="0"/>
      <w:divBdr>
        <w:top w:val="none" w:sz="0" w:space="0" w:color="auto"/>
        <w:left w:val="none" w:sz="0" w:space="0" w:color="auto"/>
        <w:bottom w:val="none" w:sz="0" w:space="0" w:color="auto"/>
        <w:right w:val="none" w:sz="0" w:space="0" w:color="auto"/>
      </w:divBdr>
    </w:div>
    <w:div w:id="804859347">
      <w:bodyDiv w:val="1"/>
      <w:marLeft w:val="0"/>
      <w:marRight w:val="0"/>
      <w:marTop w:val="0"/>
      <w:marBottom w:val="0"/>
      <w:divBdr>
        <w:top w:val="none" w:sz="0" w:space="0" w:color="auto"/>
        <w:left w:val="none" w:sz="0" w:space="0" w:color="auto"/>
        <w:bottom w:val="none" w:sz="0" w:space="0" w:color="auto"/>
        <w:right w:val="none" w:sz="0" w:space="0" w:color="auto"/>
      </w:divBdr>
    </w:div>
    <w:div w:id="804933025">
      <w:bodyDiv w:val="1"/>
      <w:marLeft w:val="0"/>
      <w:marRight w:val="0"/>
      <w:marTop w:val="0"/>
      <w:marBottom w:val="0"/>
      <w:divBdr>
        <w:top w:val="none" w:sz="0" w:space="0" w:color="auto"/>
        <w:left w:val="none" w:sz="0" w:space="0" w:color="auto"/>
        <w:bottom w:val="none" w:sz="0" w:space="0" w:color="auto"/>
        <w:right w:val="none" w:sz="0" w:space="0" w:color="auto"/>
      </w:divBdr>
    </w:div>
    <w:div w:id="805003245">
      <w:bodyDiv w:val="1"/>
      <w:marLeft w:val="0"/>
      <w:marRight w:val="0"/>
      <w:marTop w:val="0"/>
      <w:marBottom w:val="0"/>
      <w:divBdr>
        <w:top w:val="none" w:sz="0" w:space="0" w:color="auto"/>
        <w:left w:val="none" w:sz="0" w:space="0" w:color="auto"/>
        <w:bottom w:val="none" w:sz="0" w:space="0" w:color="auto"/>
        <w:right w:val="none" w:sz="0" w:space="0" w:color="auto"/>
      </w:divBdr>
    </w:div>
    <w:div w:id="805201167">
      <w:bodyDiv w:val="1"/>
      <w:marLeft w:val="0"/>
      <w:marRight w:val="0"/>
      <w:marTop w:val="0"/>
      <w:marBottom w:val="0"/>
      <w:divBdr>
        <w:top w:val="none" w:sz="0" w:space="0" w:color="auto"/>
        <w:left w:val="none" w:sz="0" w:space="0" w:color="auto"/>
        <w:bottom w:val="none" w:sz="0" w:space="0" w:color="auto"/>
        <w:right w:val="none" w:sz="0" w:space="0" w:color="auto"/>
      </w:divBdr>
    </w:div>
    <w:div w:id="805319839">
      <w:bodyDiv w:val="1"/>
      <w:marLeft w:val="0"/>
      <w:marRight w:val="0"/>
      <w:marTop w:val="0"/>
      <w:marBottom w:val="0"/>
      <w:divBdr>
        <w:top w:val="none" w:sz="0" w:space="0" w:color="auto"/>
        <w:left w:val="none" w:sz="0" w:space="0" w:color="auto"/>
        <w:bottom w:val="none" w:sz="0" w:space="0" w:color="auto"/>
        <w:right w:val="none" w:sz="0" w:space="0" w:color="auto"/>
      </w:divBdr>
    </w:div>
    <w:div w:id="805395984">
      <w:bodyDiv w:val="1"/>
      <w:marLeft w:val="0"/>
      <w:marRight w:val="0"/>
      <w:marTop w:val="0"/>
      <w:marBottom w:val="0"/>
      <w:divBdr>
        <w:top w:val="none" w:sz="0" w:space="0" w:color="auto"/>
        <w:left w:val="none" w:sz="0" w:space="0" w:color="auto"/>
        <w:bottom w:val="none" w:sz="0" w:space="0" w:color="auto"/>
        <w:right w:val="none" w:sz="0" w:space="0" w:color="auto"/>
      </w:divBdr>
    </w:div>
    <w:div w:id="805437589">
      <w:bodyDiv w:val="1"/>
      <w:marLeft w:val="0"/>
      <w:marRight w:val="0"/>
      <w:marTop w:val="0"/>
      <w:marBottom w:val="0"/>
      <w:divBdr>
        <w:top w:val="none" w:sz="0" w:space="0" w:color="auto"/>
        <w:left w:val="none" w:sz="0" w:space="0" w:color="auto"/>
        <w:bottom w:val="none" w:sz="0" w:space="0" w:color="auto"/>
        <w:right w:val="none" w:sz="0" w:space="0" w:color="auto"/>
      </w:divBdr>
    </w:div>
    <w:div w:id="805440368">
      <w:bodyDiv w:val="1"/>
      <w:marLeft w:val="0"/>
      <w:marRight w:val="0"/>
      <w:marTop w:val="0"/>
      <w:marBottom w:val="0"/>
      <w:divBdr>
        <w:top w:val="none" w:sz="0" w:space="0" w:color="auto"/>
        <w:left w:val="none" w:sz="0" w:space="0" w:color="auto"/>
        <w:bottom w:val="none" w:sz="0" w:space="0" w:color="auto"/>
        <w:right w:val="none" w:sz="0" w:space="0" w:color="auto"/>
      </w:divBdr>
    </w:div>
    <w:div w:id="805581868">
      <w:bodyDiv w:val="1"/>
      <w:marLeft w:val="0"/>
      <w:marRight w:val="0"/>
      <w:marTop w:val="0"/>
      <w:marBottom w:val="0"/>
      <w:divBdr>
        <w:top w:val="none" w:sz="0" w:space="0" w:color="auto"/>
        <w:left w:val="none" w:sz="0" w:space="0" w:color="auto"/>
        <w:bottom w:val="none" w:sz="0" w:space="0" w:color="auto"/>
        <w:right w:val="none" w:sz="0" w:space="0" w:color="auto"/>
      </w:divBdr>
    </w:div>
    <w:div w:id="805585966">
      <w:bodyDiv w:val="1"/>
      <w:marLeft w:val="0"/>
      <w:marRight w:val="0"/>
      <w:marTop w:val="0"/>
      <w:marBottom w:val="0"/>
      <w:divBdr>
        <w:top w:val="none" w:sz="0" w:space="0" w:color="auto"/>
        <w:left w:val="none" w:sz="0" w:space="0" w:color="auto"/>
        <w:bottom w:val="none" w:sz="0" w:space="0" w:color="auto"/>
        <w:right w:val="none" w:sz="0" w:space="0" w:color="auto"/>
      </w:divBdr>
    </w:div>
    <w:div w:id="806051031">
      <w:bodyDiv w:val="1"/>
      <w:marLeft w:val="0"/>
      <w:marRight w:val="0"/>
      <w:marTop w:val="0"/>
      <w:marBottom w:val="0"/>
      <w:divBdr>
        <w:top w:val="none" w:sz="0" w:space="0" w:color="auto"/>
        <w:left w:val="none" w:sz="0" w:space="0" w:color="auto"/>
        <w:bottom w:val="none" w:sz="0" w:space="0" w:color="auto"/>
        <w:right w:val="none" w:sz="0" w:space="0" w:color="auto"/>
      </w:divBdr>
    </w:div>
    <w:div w:id="806051846">
      <w:bodyDiv w:val="1"/>
      <w:marLeft w:val="0"/>
      <w:marRight w:val="0"/>
      <w:marTop w:val="0"/>
      <w:marBottom w:val="0"/>
      <w:divBdr>
        <w:top w:val="none" w:sz="0" w:space="0" w:color="auto"/>
        <w:left w:val="none" w:sz="0" w:space="0" w:color="auto"/>
        <w:bottom w:val="none" w:sz="0" w:space="0" w:color="auto"/>
        <w:right w:val="none" w:sz="0" w:space="0" w:color="auto"/>
      </w:divBdr>
    </w:div>
    <w:div w:id="806506851">
      <w:bodyDiv w:val="1"/>
      <w:marLeft w:val="0"/>
      <w:marRight w:val="0"/>
      <w:marTop w:val="0"/>
      <w:marBottom w:val="0"/>
      <w:divBdr>
        <w:top w:val="none" w:sz="0" w:space="0" w:color="auto"/>
        <w:left w:val="none" w:sz="0" w:space="0" w:color="auto"/>
        <w:bottom w:val="none" w:sz="0" w:space="0" w:color="auto"/>
        <w:right w:val="none" w:sz="0" w:space="0" w:color="auto"/>
      </w:divBdr>
    </w:div>
    <w:div w:id="806507003">
      <w:bodyDiv w:val="1"/>
      <w:marLeft w:val="0"/>
      <w:marRight w:val="0"/>
      <w:marTop w:val="0"/>
      <w:marBottom w:val="0"/>
      <w:divBdr>
        <w:top w:val="none" w:sz="0" w:space="0" w:color="auto"/>
        <w:left w:val="none" w:sz="0" w:space="0" w:color="auto"/>
        <w:bottom w:val="none" w:sz="0" w:space="0" w:color="auto"/>
        <w:right w:val="none" w:sz="0" w:space="0" w:color="auto"/>
      </w:divBdr>
    </w:div>
    <w:div w:id="806508875">
      <w:bodyDiv w:val="1"/>
      <w:marLeft w:val="0"/>
      <w:marRight w:val="0"/>
      <w:marTop w:val="0"/>
      <w:marBottom w:val="0"/>
      <w:divBdr>
        <w:top w:val="none" w:sz="0" w:space="0" w:color="auto"/>
        <w:left w:val="none" w:sz="0" w:space="0" w:color="auto"/>
        <w:bottom w:val="none" w:sz="0" w:space="0" w:color="auto"/>
        <w:right w:val="none" w:sz="0" w:space="0" w:color="auto"/>
      </w:divBdr>
    </w:div>
    <w:div w:id="806509734">
      <w:bodyDiv w:val="1"/>
      <w:marLeft w:val="0"/>
      <w:marRight w:val="0"/>
      <w:marTop w:val="0"/>
      <w:marBottom w:val="0"/>
      <w:divBdr>
        <w:top w:val="none" w:sz="0" w:space="0" w:color="auto"/>
        <w:left w:val="none" w:sz="0" w:space="0" w:color="auto"/>
        <w:bottom w:val="none" w:sz="0" w:space="0" w:color="auto"/>
        <w:right w:val="none" w:sz="0" w:space="0" w:color="auto"/>
      </w:divBdr>
    </w:div>
    <w:div w:id="806581024">
      <w:bodyDiv w:val="1"/>
      <w:marLeft w:val="0"/>
      <w:marRight w:val="0"/>
      <w:marTop w:val="0"/>
      <w:marBottom w:val="0"/>
      <w:divBdr>
        <w:top w:val="none" w:sz="0" w:space="0" w:color="auto"/>
        <w:left w:val="none" w:sz="0" w:space="0" w:color="auto"/>
        <w:bottom w:val="none" w:sz="0" w:space="0" w:color="auto"/>
        <w:right w:val="none" w:sz="0" w:space="0" w:color="auto"/>
      </w:divBdr>
    </w:div>
    <w:div w:id="806629697">
      <w:bodyDiv w:val="1"/>
      <w:marLeft w:val="0"/>
      <w:marRight w:val="0"/>
      <w:marTop w:val="0"/>
      <w:marBottom w:val="0"/>
      <w:divBdr>
        <w:top w:val="none" w:sz="0" w:space="0" w:color="auto"/>
        <w:left w:val="none" w:sz="0" w:space="0" w:color="auto"/>
        <w:bottom w:val="none" w:sz="0" w:space="0" w:color="auto"/>
        <w:right w:val="none" w:sz="0" w:space="0" w:color="auto"/>
      </w:divBdr>
    </w:div>
    <w:div w:id="806632841">
      <w:bodyDiv w:val="1"/>
      <w:marLeft w:val="0"/>
      <w:marRight w:val="0"/>
      <w:marTop w:val="0"/>
      <w:marBottom w:val="0"/>
      <w:divBdr>
        <w:top w:val="none" w:sz="0" w:space="0" w:color="auto"/>
        <w:left w:val="none" w:sz="0" w:space="0" w:color="auto"/>
        <w:bottom w:val="none" w:sz="0" w:space="0" w:color="auto"/>
        <w:right w:val="none" w:sz="0" w:space="0" w:color="auto"/>
      </w:divBdr>
    </w:div>
    <w:div w:id="806707347">
      <w:bodyDiv w:val="1"/>
      <w:marLeft w:val="0"/>
      <w:marRight w:val="0"/>
      <w:marTop w:val="0"/>
      <w:marBottom w:val="0"/>
      <w:divBdr>
        <w:top w:val="none" w:sz="0" w:space="0" w:color="auto"/>
        <w:left w:val="none" w:sz="0" w:space="0" w:color="auto"/>
        <w:bottom w:val="none" w:sz="0" w:space="0" w:color="auto"/>
        <w:right w:val="none" w:sz="0" w:space="0" w:color="auto"/>
      </w:divBdr>
    </w:div>
    <w:div w:id="806818126">
      <w:bodyDiv w:val="1"/>
      <w:marLeft w:val="0"/>
      <w:marRight w:val="0"/>
      <w:marTop w:val="0"/>
      <w:marBottom w:val="0"/>
      <w:divBdr>
        <w:top w:val="none" w:sz="0" w:space="0" w:color="auto"/>
        <w:left w:val="none" w:sz="0" w:space="0" w:color="auto"/>
        <w:bottom w:val="none" w:sz="0" w:space="0" w:color="auto"/>
        <w:right w:val="none" w:sz="0" w:space="0" w:color="auto"/>
      </w:divBdr>
    </w:div>
    <w:div w:id="807018888">
      <w:bodyDiv w:val="1"/>
      <w:marLeft w:val="0"/>
      <w:marRight w:val="0"/>
      <w:marTop w:val="0"/>
      <w:marBottom w:val="0"/>
      <w:divBdr>
        <w:top w:val="none" w:sz="0" w:space="0" w:color="auto"/>
        <w:left w:val="none" w:sz="0" w:space="0" w:color="auto"/>
        <w:bottom w:val="none" w:sz="0" w:space="0" w:color="auto"/>
        <w:right w:val="none" w:sz="0" w:space="0" w:color="auto"/>
      </w:divBdr>
    </w:div>
    <w:div w:id="807088697">
      <w:bodyDiv w:val="1"/>
      <w:marLeft w:val="0"/>
      <w:marRight w:val="0"/>
      <w:marTop w:val="0"/>
      <w:marBottom w:val="0"/>
      <w:divBdr>
        <w:top w:val="none" w:sz="0" w:space="0" w:color="auto"/>
        <w:left w:val="none" w:sz="0" w:space="0" w:color="auto"/>
        <w:bottom w:val="none" w:sz="0" w:space="0" w:color="auto"/>
        <w:right w:val="none" w:sz="0" w:space="0" w:color="auto"/>
      </w:divBdr>
    </w:div>
    <w:div w:id="807163959">
      <w:bodyDiv w:val="1"/>
      <w:marLeft w:val="0"/>
      <w:marRight w:val="0"/>
      <w:marTop w:val="0"/>
      <w:marBottom w:val="0"/>
      <w:divBdr>
        <w:top w:val="none" w:sz="0" w:space="0" w:color="auto"/>
        <w:left w:val="none" w:sz="0" w:space="0" w:color="auto"/>
        <w:bottom w:val="none" w:sz="0" w:space="0" w:color="auto"/>
        <w:right w:val="none" w:sz="0" w:space="0" w:color="auto"/>
      </w:divBdr>
    </w:div>
    <w:div w:id="807547662">
      <w:bodyDiv w:val="1"/>
      <w:marLeft w:val="0"/>
      <w:marRight w:val="0"/>
      <w:marTop w:val="0"/>
      <w:marBottom w:val="0"/>
      <w:divBdr>
        <w:top w:val="none" w:sz="0" w:space="0" w:color="auto"/>
        <w:left w:val="none" w:sz="0" w:space="0" w:color="auto"/>
        <w:bottom w:val="none" w:sz="0" w:space="0" w:color="auto"/>
        <w:right w:val="none" w:sz="0" w:space="0" w:color="auto"/>
      </w:divBdr>
    </w:div>
    <w:div w:id="807553553">
      <w:bodyDiv w:val="1"/>
      <w:marLeft w:val="0"/>
      <w:marRight w:val="0"/>
      <w:marTop w:val="0"/>
      <w:marBottom w:val="0"/>
      <w:divBdr>
        <w:top w:val="none" w:sz="0" w:space="0" w:color="auto"/>
        <w:left w:val="none" w:sz="0" w:space="0" w:color="auto"/>
        <w:bottom w:val="none" w:sz="0" w:space="0" w:color="auto"/>
        <w:right w:val="none" w:sz="0" w:space="0" w:color="auto"/>
      </w:divBdr>
    </w:div>
    <w:div w:id="807673667">
      <w:bodyDiv w:val="1"/>
      <w:marLeft w:val="0"/>
      <w:marRight w:val="0"/>
      <w:marTop w:val="0"/>
      <w:marBottom w:val="0"/>
      <w:divBdr>
        <w:top w:val="none" w:sz="0" w:space="0" w:color="auto"/>
        <w:left w:val="none" w:sz="0" w:space="0" w:color="auto"/>
        <w:bottom w:val="none" w:sz="0" w:space="0" w:color="auto"/>
        <w:right w:val="none" w:sz="0" w:space="0" w:color="auto"/>
      </w:divBdr>
    </w:div>
    <w:div w:id="807937228">
      <w:bodyDiv w:val="1"/>
      <w:marLeft w:val="0"/>
      <w:marRight w:val="0"/>
      <w:marTop w:val="0"/>
      <w:marBottom w:val="0"/>
      <w:divBdr>
        <w:top w:val="none" w:sz="0" w:space="0" w:color="auto"/>
        <w:left w:val="none" w:sz="0" w:space="0" w:color="auto"/>
        <w:bottom w:val="none" w:sz="0" w:space="0" w:color="auto"/>
        <w:right w:val="none" w:sz="0" w:space="0" w:color="auto"/>
      </w:divBdr>
    </w:div>
    <w:div w:id="808091168">
      <w:bodyDiv w:val="1"/>
      <w:marLeft w:val="0"/>
      <w:marRight w:val="0"/>
      <w:marTop w:val="0"/>
      <w:marBottom w:val="0"/>
      <w:divBdr>
        <w:top w:val="none" w:sz="0" w:space="0" w:color="auto"/>
        <w:left w:val="none" w:sz="0" w:space="0" w:color="auto"/>
        <w:bottom w:val="none" w:sz="0" w:space="0" w:color="auto"/>
        <w:right w:val="none" w:sz="0" w:space="0" w:color="auto"/>
      </w:divBdr>
    </w:div>
    <w:div w:id="808129726">
      <w:bodyDiv w:val="1"/>
      <w:marLeft w:val="0"/>
      <w:marRight w:val="0"/>
      <w:marTop w:val="0"/>
      <w:marBottom w:val="0"/>
      <w:divBdr>
        <w:top w:val="none" w:sz="0" w:space="0" w:color="auto"/>
        <w:left w:val="none" w:sz="0" w:space="0" w:color="auto"/>
        <w:bottom w:val="none" w:sz="0" w:space="0" w:color="auto"/>
        <w:right w:val="none" w:sz="0" w:space="0" w:color="auto"/>
      </w:divBdr>
    </w:div>
    <w:div w:id="808133851">
      <w:bodyDiv w:val="1"/>
      <w:marLeft w:val="0"/>
      <w:marRight w:val="0"/>
      <w:marTop w:val="0"/>
      <w:marBottom w:val="0"/>
      <w:divBdr>
        <w:top w:val="none" w:sz="0" w:space="0" w:color="auto"/>
        <w:left w:val="none" w:sz="0" w:space="0" w:color="auto"/>
        <w:bottom w:val="none" w:sz="0" w:space="0" w:color="auto"/>
        <w:right w:val="none" w:sz="0" w:space="0" w:color="auto"/>
      </w:divBdr>
    </w:div>
    <w:div w:id="808203350">
      <w:bodyDiv w:val="1"/>
      <w:marLeft w:val="0"/>
      <w:marRight w:val="0"/>
      <w:marTop w:val="0"/>
      <w:marBottom w:val="0"/>
      <w:divBdr>
        <w:top w:val="none" w:sz="0" w:space="0" w:color="auto"/>
        <w:left w:val="none" w:sz="0" w:space="0" w:color="auto"/>
        <w:bottom w:val="none" w:sz="0" w:space="0" w:color="auto"/>
        <w:right w:val="none" w:sz="0" w:space="0" w:color="auto"/>
      </w:divBdr>
    </w:div>
    <w:div w:id="808327139">
      <w:bodyDiv w:val="1"/>
      <w:marLeft w:val="0"/>
      <w:marRight w:val="0"/>
      <w:marTop w:val="0"/>
      <w:marBottom w:val="0"/>
      <w:divBdr>
        <w:top w:val="none" w:sz="0" w:space="0" w:color="auto"/>
        <w:left w:val="none" w:sz="0" w:space="0" w:color="auto"/>
        <w:bottom w:val="none" w:sz="0" w:space="0" w:color="auto"/>
        <w:right w:val="none" w:sz="0" w:space="0" w:color="auto"/>
      </w:divBdr>
    </w:div>
    <w:div w:id="808353495">
      <w:bodyDiv w:val="1"/>
      <w:marLeft w:val="0"/>
      <w:marRight w:val="0"/>
      <w:marTop w:val="0"/>
      <w:marBottom w:val="0"/>
      <w:divBdr>
        <w:top w:val="none" w:sz="0" w:space="0" w:color="auto"/>
        <w:left w:val="none" w:sz="0" w:space="0" w:color="auto"/>
        <w:bottom w:val="none" w:sz="0" w:space="0" w:color="auto"/>
        <w:right w:val="none" w:sz="0" w:space="0" w:color="auto"/>
      </w:divBdr>
    </w:div>
    <w:div w:id="808472016">
      <w:bodyDiv w:val="1"/>
      <w:marLeft w:val="0"/>
      <w:marRight w:val="0"/>
      <w:marTop w:val="0"/>
      <w:marBottom w:val="0"/>
      <w:divBdr>
        <w:top w:val="none" w:sz="0" w:space="0" w:color="auto"/>
        <w:left w:val="none" w:sz="0" w:space="0" w:color="auto"/>
        <w:bottom w:val="none" w:sz="0" w:space="0" w:color="auto"/>
        <w:right w:val="none" w:sz="0" w:space="0" w:color="auto"/>
      </w:divBdr>
    </w:div>
    <w:div w:id="808522522">
      <w:bodyDiv w:val="1"/>
      <w:marLeft w:val="0"/>
      <w:marRight w:val="0"/>
      <w:marTop w:val="0"/>
      <w:marBottom w:val="0"/>
      <w:divBdr>
        <w:top w:val="none" w:sz="0" w:space="0" w:color="auto"/>
        <w:left w:val="none" w:sz="0" w:space="0" w:color="auto"/>
        <w:bottom w:val="none" w:sz="0" w:space="0" w:color="auto"/>
        <w:right w:val="none" w:sz="0" w:space="0" w:color="auto"/>
      </w:divBdr>
    </w:div>
    <w:div w:id="808592672">
      <w:bodyDiv w:val="1"/>
      <w:marLeft w:val="0"/>
      <w:marRight w:val="0"/>
      <w:marTop w:val="0"/>
      <w:marBottom w:val="0"/>
      <w:divBdr>
        <w:top w:val="none" w:sz="0" w:space="0" w:color="auto"/>
        <w:left w:val="none" w:sz="0" w:space="0" w:color="auto"/>
        <w:bottom w:val="none" w:sz="0" w:space="0" w:color="auto"/>
        <w:right w:val="none" w:sz="0" w:space="0" w:color="auto"/>
      </w:divBdr>
    </w:div>
    <w:div w:id="808740917">
      <w:bodyDiv w:val="1"/>
      <w:marLeft w:val="0"/>
      <w:marRight w:val="0"/>
      <w:marTop w:val="0"/>
      <w:marBottom w:val="0"/>
      <w:divBdr>
        <w:top w:val="none" w:sz="0" w:space="0" w:color="auto"/>
        <w:left w:val="none" w:sz="0" w:space="0" w:color="auto"/>
        <w:bottom w:val="none" w:sz="0" w:space="0" w:color="auto"/>
        <w:right w:val="none" w:sz="0" w:space="0" w:color="auto"/>
      </w:divBdr>
    </w:div>
    <w:div w:id="808790742">
      <w:bodyDiv w:val="1"/>
      <w:marLeft w:val="0"/>
      <w:marRight w:val="0"/>
      <w:marTop w:val="0"/>
      <w:marBottom w:val="0"/>
      <w:divBdr>
        <w:top w:val="none" w:sz="0" w:space="0" w:color="auto"/>
        <w:left w:val="none" w:sz="0" w:space="0" w:color="auto"/>
        <w:bottom w:val="none" w:sz="0" w:space="0" w:color="auto"/>
        <w:right w:val="none" w:sz="0" w:space="0" w:color="auto"/>
      </w:divBdr>
    </w:div>
    <w:div w:id="808982348">
      <w:bodyDiv w:val="1"/>
      <w:marLeft w:val="0"/>
      <w:marRight w:val="0"/>
      <w:marTop w:val="0"/>
      <w:marBottom w:val="0"/>
      <w:divBdr>
        <w:top w:val="none" w:sz="0" w:space="0" w:color="auto"/>
        <w:left w:val="none" w:sz="0" w:space="0" w:color="auto"/>
        <w:bottom w:val="none" w:sz="0" w:space="0" w:color="auto"/>
        <w:right w:val="none" w:sz="0" w:space="0" w:color="auto"/>
      </w:divBdr>
    </w:div>
    <w:div w:id="808985617">
      <w:bodyDiv w:val="1"/>
      <w:marLeft w:val="0"/>
      <w:marRight w:val="0"/>
      <w:marTop w:val="0"/>
      <w:marBottom w:val="0"/>
      <w:divBdr>
        <w:top w:val="none" w:sz="0" w:space="0" w:color="auto"/>
        <w:left w:val="none" w:sz="0" w:space="0" w:color="auto"/>
        <w:bottom w:val="none" w:sz="0" w:space="0" w:color="auto"/>
        <w:right w:val="none" w:sz="0" w:space="0" w:color="auto"/>
      </w:divBdr>
    </w:div>
    <w:div w:id="809054155">
      <w:bodyDiv w:val="1"/>
      <w:marLeft w:val="0"/>
      <w:marRight w:val="0"/>
      <w:marTop w:val="0"/>
      <w:marBottom w:val="0"/>
      <w:divBdr>
        <w:top w:val="none" w:sz="0" w:space="0" w:color="auto"/>
        <w:left w:val="none" w:sz="0" w:space="0" w:color="auto"/>
        <w:bottom w:val="none" w:sz="0" w:space="0" w:color="auto"/>
        <w:right w:val="none" w:sz="0" w:space="0" w:color="auto"/>
      </w:divBdr>
    </w:div>
    <w:div w:id="809130940">
      <w:bodyDiv w:val="1"/>
      <w:marLeft w:val="0"/>
      <w:marRight w:val="0"/>
      <w:marTop w:val="0"/>
      <w:marBottom w:val="0"/>
      <w:divBdr>
        <w:top w:val="none" w:sz="0" w:space="0" w:color="auto"/>
        <w:left w:val="none" w:sz="0" w:space="0" w:color="auto"/>
        <w:bottom w:val="none" w:sz="0" w:space="0" w:color="auto"/>
        <w:right w:val="none" w:sz="0" w:space="0" w:color="auto"/>
      </w:divBdr>
    </w:div>
    <w:div w:id="809205034">
      <w:bodyDiv w:val="1"/>
      <w:marLeft w:val="0"/>
      <w:marRight w:val="0"/>
      <w:marTop w:val="0"/>
      <w:marBottom w:val="0"/>
      <w:divBdr>
        <w:top w:val="none" w:sz="0" w:space="0" w:color="auto"/>
        <w:left w:val="none" w:sz="0" w:space="0" w:color="auto"/>
        <w:bottom w:val="none" w:sz="0" w:space="0" w:color="auto"/>
        <w:right w:val="none" w:sz="0" w:space="0" w:color="auto"/>
      </w:divBdr>
    </w:div>
    <w:div w:id="809248147">
      <w:bodyDiv w:val="1"/>
      <w:marLeft w:val="0"/>
      <w:marRight w:val="0"/>
      <w:marTop w:val="0"/>
      <w:marBottom w:val="0"/>
      <w:divBdr>
        <w:top w:val="none" w:sz="0" w:space="0" w:color="auto"/>
        <w:left w:val="none" w:sz="0" w:space="0" w:color="auto"/>
        <w:bottom w:val="none" w:sz="0" w:space="0" w:color="auto"/>
        <w:right w:val="none" w:sz="0" w:space="0" w:color="auto"/>
      </w:divBdr>
    </w:div>
    <w:div w:id="809319960">
      <w:bodyDiv w:val="1"/>
      <w:marLeft w:val="0"/>
      <w:marRight w:val="0"/>
      <w:marTop w:val="0"/>
      <w:marBottom w:val="0"/>
      <w:divBdr>
        <w:top w:val="none" w:sz="0" w:space="0" w:color="auto"/>
        <w:left w:val="none" w:sz="0" w:space="0" w:color="auto"/>
        <w:bottom w:val="none" w:sz="0" w:space="0" w:color="auto"/>
        <w:right w:val="none" w:sz="0" w:space="0" w:color="auto"/>
      </w:divBdr>
    </w:div>
    <w:div w:id="809372072">
      <w:bodyDiv w:val="1"/>
      <w:marLeft w:val="0"/>
      <w:marRight w:val="0"/>
      <w:marTop w:val="0"/>
      <w:marBottom w:val="0"/>
      <w:divBdr>
        <w:top w:val="none" w:sz="0" w:space="0" w:color="auto"/>
        <w:left w:val="none" w:sz="0" w:space="0" w:color="auto"/>
        <w:bottom w:val="none" w:sz="0" w:space="0" w:color="auto"/>
        <w:right w:val="none" w:sz="0" w:space="0" w:color="auto"/>
      </w:divBdr>
    </w:div>
    <w:div w:id="809517040">
      <w:bodyDiv w:val="1"/>
      <w:marLeft w:val="0"/>
      <w:marRight w:val="0"/>
      <w:marTop w:val="0"/>
      <w:marBottom w:val="0"/>
      <w:divBdr>
        <w:top w:val="none" w:sz="0" w:space="0" w:color="auto"/>
        <w:left w:val="none" w:sz="0" w:space="0" w:color="auto"/>
        <w:bottom w:val="none" w:sz="0" w:space="0" w:color="auto"/>
        <w:right w:val="none" w:sz="0" w:space="0" w:color="auto"/>
      </w:divBdr>
    </w:div>
    <w:div w:id="809638381">
      <w:bodyDiv w:val="1"/>
      <w:marLeft w:val="0"/>
      <w:marRight w:val="0"/>
      <w:marTop w:val="0"/>
      <w:marBottom w:val="0"/>
      <w:divBdr>
        <w:top w:val="none" w:sz="0" w:space="0" w:color="auto"/>
        <w:left w:val="none" w:sz="0" w:space="0" w:color="auto"/>
        <w:bottom w:val="none" w:sz="0" w:space="0" w:color="auto"/>
        <w:right w:val="none" w:sz="0" w:space="0" w:color="auto"/>
      </w:divBdr>
    </w:div>
    <w:div w:id="809710926">
      <w:bodyDiv w:val="1"/>
      <w:marLeft w:val="0"/>
      <w:marRight w:val="0"/>
      <w:marTop w:val="0"/>
      <w:marBottom w:val="0"/>
      <w:divBdr>
        <w:top w:val="none" w:sz="0" w:space="0" w:color="auto"/>
        <w:left w:val="none" w:sz="0" w:space="0" w:color="auto"/>
        <w:bottom w:val="none" w:sz="0" w:space="0" w:color="auto"/>
        <w:right w:val="none" w:sz="0" w:space="0" w:color="auto"/>
      </w:divBdr>
    </w:div>
    <w:div w:id="809712203">
      <w:bodyDiv w:val="1"/>
      <w:marLeft w:val="0"/>
      <w:marRight w:val="0"/>
      <w:marTop w:val="0"/>
      <w:marBottom w:val="0"/>
      <w:divBdr>
        <w:top w:val="none" w:sz="0" w:space="0" w:color="auto"/>
        <w:left w:val="none" w:sz="0" w:space="0" w:color="auto"/>
        <w:bottom w:val="none" w:sz="0" w:space="0" w:color="auto"/>
        <w:right w:val="none" w:sz="0" w:space="0" w:color="auto"/>
      </w:divBdr>
    </w:div>
    <w:div w:id="809861100">
      <w:bodyDiv w:val="1"/>
      <w:marLeft w:val="0"/>
      <w:marRight w:val="0"/>
      <w:marTop w:val="0"/>
      <w:marBottom w:val="0"/>
      <w:divBdr>
        <w:top w:val="none" w:sz="0" w:space="0" w:color="auto"/>
        <w:left w:val="none" w:sz="0" w:space="0" w:color="auto"/>
        <w:bottom w:val="none" w:sz="0" w:space="0" w:color="auto"/>
        <w:right w:val="none" w:sz="0" w:space="0" w:color="auto"/>
      </w:divBdr>
    </w:div>
    <w:div w:id="809900415">
      <w:bodyDiv w:val="1"/>
      <w:marLeft w:val="0"/>
      <w:marRight w:val="0"/>
      <w:marTop w:val="0"/>
      <w:marBottom w:val="0"/>
      <w:divBdr>
        <w:top w:val="none" w:sz="0" w:space="0" w:color="auto"/>
        <w:left w:val="none" w:sz="0" w:space="0" w:color="auto"/>
        <w:bottom w:val="none" w:sz="0" w:space="0" w:color="auto"/>
        <w:right w:val="none" w:sz="0" w:space="0" w:color="auto"/>
      </w:divBdr>
    </w:div>
    <w:div w:id="809975650">
      <w:bodyDiv w:val="1"/>
      <w:marLeft w:val="0"/>
      <w:marRight w:val="0"/>
      <w:marTop w:val="0"/>
      <w:marBottom w:val="0"/>
      <w:divBdr>
        <w:top w:val="none" w:sz="0" w:space="0" w:color="auto"/>
        <w:left w:val="none" w:sz="0" w:space="0" w:color="auto"/>
        <w:bottom w:val="none" w:sz="0" w:space="0" w:color="auto"/>
        <w:right w:val="none" w:sz="0" w:space="0" w:color="auto"/>
      </w:divBdr>
    </w:div>
    <w:div w:id="809982397">
      <w:bodyDiv w:val="1"/>
      <w:marLeft w:val="0"/>
      <w:marRight w:val="0"/>
      <w:marTop w:val="0"/>
      <w:marBottom w:val="0"/>
      <w:divBdr>
        <w:top w:val="none" w:sz="0" w:space="0" w:color="auto"/>
        <w:left w:val="none" w:sz="0" w:space="0" w:color="auto"/>
        <w:bottom w:val="none" w:sz="0" w:space="0" w:color="auto"/>
        <w:right w:val="none" w:sz="0" w:space="0" w:color="auto"/>
      </w:divBdr>
    </w:div>
    <w:div w:id="809983830">
      <w:bodyDiv w:val="1"/>
      <w:marLeft w:val="0"/>
      <w:marRight w:val="0"/>
      <w:marTop w:val="0"/>
      <w:marBottom w:val="0"/>
      <w:divBdr>
        <w:top w:val="none" w:sz="0" w:space="0" w:color="auto"/>
        <w:left w:val="none" w:sz="0" w:space="0" w:color="auto"/>
        <w:bottom w:val="none" w:sz="0" w:space="0" w:color="auto"/>
        <w:right w:val="none" w:sz="0" w:space="0" w:color="auto"/>
      </w:divBdr>
    </w:div>
    <w:div w:id="810098624">
      <w:bodyDiv w:val="1"/>
      <w:marLeft w:val="0"/>
      <w:marRight w:val="0"/>
      <w:marTop w:val="0"/>
      <w:marBottom w:val="0"/>
      <w:divBdr>
        <w:top w:val="none" w:sz="0" w:space="0" w:color="auto"/>
        <w:left w:val="none" w:sz="0" w:space="0" w:color="auto"/>
        <w:bottom w:val="none" w:sz="0" w:space="0" w:color="auto"/>
        <w:right w:val="none" w:sz="0" w:space="0" w:color="auto"/>
      </w:divBdr>
    </w:div>
    <w:div w:id="810171068">
      <w:bodyDiv w:val="1"/>
      <w:marLeft w:val="0"/>
      <w:marRight w:val="0"/>
      <w:marTop w:val="0"/>
      <w:marBottom w:val="0"/>
      <w:divBdr>
        <w:top w:val="none" w:sz="0" w:space="0" w:color="auto"/>
        <w:left w:val="none" w:sz="0" w:space="0" w:color="auto"/>
        <w:bottom w:val="none" w:sz="0" w:space="0" w:color="auto"/>
        <w:right w:val="none" w:sz="0" w:space="0" w:color="auto"/>
      </w:divBdr>
    </w:div>
    <w:div w:id="810178076">
      <w:bodyDiv w:val="1"/>
      <w:marLeft w:val="0"/>
      <w:marRight w:val="0"/>
      <w:marTop w:val="0"/>
      <w:marBottom w:val="0"/>
      <w:divBdr>
        <w:top w:val="none" w:sz="0" w:space="0" w:color="auto"/>
        <w:left w:val="none" w:sz="0" w:space="0" w:color="auto"/>
        <w:bottom w:val="none" w:sz="0" w:space="0" w:color="auto"/>
        <w:right w:val="none" w:sz="0" w:space="0" w:color="auto"/>
      </w:divBdr>
    </w:div>
    <w:div w:id="810288948">
      <w:bodyDiv w:val="1"/>
      <w:marLeft w:val="0"/>
      <w:marRight w:val="0"/>
      <w:marTop w:val="0"/>
      <w:marBottom w:val="0"/>
      <w:divBdr>
        <w:top w:val="none" w:sz="0" w:space="0" w:color="auto"/>
        <w:left w:val="none" w:sz="0" w:space="0" w:color="auto"/>
        <w:bottom w:val="none" w:sz="0" w:space="0" w:color="auto"/>
        <w:right w:val="none" w:sz="0" w:space="0" w:color="auto"/>
      </w:divBdr>
    </w:div>
    <w:div w:id="810364808">
      <w:bodyDiv w:val="1"/>
      <w:marLeft w:val="0"/>
      <w:marRight w:val="0"/>
      <w:marTop w:val="0"/>
      <w:marBottom w:val="0"/>
      <w:divBdr>
        <w:top w:val="none" w:sz="0" w:space="0" w:color="auto"/>
        <w:left w:val="none" w:sz="0" w:space="0" w:color="auto"/>
        <w:bottom w:val="none" w:sz="0" w:space="0" w:color="auto"/>
        <w:right w:val="none" w:sz="0" w:space="0" w:color="auto"/>
      </w:divBdr>
    </w:div>
    <w:div w:id="810438428">
      <w:bodyDiv w:val="1"/>
      <w:marLeft w:val="0"/>
      <w:marRight w:val="0"/>
      <w:marTop w:val="0"/>
      <w:marBottom w:val="0"/>
      <w:divBdr>
        <w:top w:val="none" w:sz="0" w:space="0" w:color="auto"/>
        <w:left w:val="none" w:sz="0" w:space="0" w:color="auto"/>
        <w:bottom w:val="none" w:sz="0" w:space="0" w:color="auto"/>
        <w:right w:val="none" w:sz="0" w:space="0" w:color="auto"/>
      </w:divBdr>
    </w:div>
    <w:div w:id="810440106">
      <w:bodyDiv w:val="1"/>
      <w:marLeft w:val="0"/>
      <w:marRight w:val="0"/>
      <w:marTop w:val="0"/>
      <w:marBottom w:val="0"/>
      <w:divBdr>
        <w:top w:val="none" w:sz="0" w:space="0" w:color="auto"/>
        <w:left w:val="none" w:sz="0" w:space="0" w:color="auto"/>
        <w:bottom w:val="none" w:sz="0" w:space="0" w:color="auto"/>
        <w:right w:val="none" w:sz="0" w:space="0" w:color="auto"/>
      </w:divBdr>
    </w:div>
    <w:div w:id="810441964">
      <w:bodyDiv w:val="1"/>
      <w:marLeft w:val="0"/>
      <w:marRight w:val="0"/>
      <w:marTop w:val="0"/>
      <w:marBottom w:val="0"/>
      <w:divBdr>
        <w:top w:val="none" w:sz="0" w:space="0" w:color="auto"/>
        <w:left w:val="none" w:sz="0" w:space="0" w:color="auto"/>
        <w:bottom w:val="none" w:sz="0" w:space="0" w:color="auto"/>
        <w:right w:val="none" w:sz="0" w:space="0" w:color="auto"/>
      </w:divBdr>
    </w:div>
    <w:div w:id="810445445">
      <w:bodyDiv w:val="1"/>
      <w:marLeft w:val="0"/>
      <w:marRight w:val="0"/>
      <w:marTop w:val="0"/>
      <w:marBottom w:val="0"/>
      <w:divBdr>
        <w:top w:val="none" w:sz="0" w:space="0" w:color="auto"/>
        <w:left w:val="none" w:sz="0" w:space="0" w:color="auto"/>
        <w:bottom w:val="none" w:sz="0" w:space="0" w:color="auto"/>
        <w:right w:val="none" w:sz="0" w:space="0" w:color="auto"/>
      </w:divBdr>
    </w:div>
    <w:div w:id="810484114">
      <w:bodyDiv w:val="1"/>
      <w:marLeft w:val="0"/>
      <w:marRight w:val="0"/>
      <w:marTop w:val="0"/>
      <w:marBottom w:val="0"/>
      <w:divBdr>
        <w:top w:val="none" w:sz="0" w:space="0" w:color="auto"/>
        <w:left w:val="none" w:sz="0" w:space="0" w:color="auto"/>
        <w:bottom w:val="none" w:sz="0" w:space="0" w:color="auto"/>
        <w:right w:val="none" w:sz="0" w:space="0" w:color="auto"/>
      </w:divBdr>
    </w:div>
    <w:div w:id="810560526">
      <w:bodyDiv w:val="1"/>
      <w:marLeft w:val="0"/>
      <w:marRight w:val="0"/>
      <w:marTop w:val="0"/>
      <w:marBottom w:val="0"/>
      <w:divBdr>
        <w:top w:val="none" w:sz="0" w:space="0" w:color="auto"/>
        <w:left w:val="none" w:sz="0" w:space="0" w:color="auto"/>
        <w:bottom w:val="none" w:sz="0" w:space="0" w:color="auto"/>
        <w:right w:val="none" w:sz="0" w:space="0" w:color="auto"/>
      </w:divBdr>
    </w:div>
    <w:div w:id="810635703">
      <w:bodyDiv w:val="1"/>
      <w:marLeft w:val="0"/>
      <w:marRight w:val="0"/>
      <w:marTop w:val="0"/>
      <w:marBottom w:val="0"/>
      <w:divBdr>
        <w:top w:val="none" w:sz="0" w:space="0" w:color="auto"/>
        <w:left w:val="none" w:sz="0" w:space="0" w:color="auto"/>
        <w:bottom w:val="none" w:sz="0" w:space="0" w:color="auto"/>
        <w:right w:val="none" w:sz="0" w:space="0" w:color="auto"/>
      </w:divBdr>
    </w:div>
    <w:div w:id="810708848">
      <w:bodyDiv w:val="1"/>
      <w:marLeft w:val="0"/>
      <w:marRight w:val="0"/>
      <w:marTop w:val="0"/>
      <w:marBottom w:val="0"/>
      <w:divBdr>
        <w:top w:val="none" w:sz="0" w:space="0" w:color="auto"/>
        <w:left w:val="none" w:sz="0" w:space="0" w:color="auto"/>
        <w:bottom w:val="none" w:sz="0" w:space="0" w:color="auto"/>
        <w:right w:val="none" w:sz="0" w:space="0" w:color="auto"/>
      </w:divBdr>
    </w:div>
    <w:div w:id="810749915">
      <w:bodyDiv w:val="1"/>
      <w:marLeft w:val="0"/>
      <w:marRight w:val="0"/>
      <w:marTop w:val="0"/>
      <w:marBottom w:val="0"/>
      <w:divBdr>
        <w:top w:val="none" w:sz="0" w:space="0" w:color="auto"/>
        <w:left w:val="none" w:sz="0" w:space="0" w:color="auto"/>
        <w:bottom w:val="none" w:sz="0" w:space="0" w:color="auto"/>
        <w:right w:val="none" w:sz="0" w:space="0" w:color="auto"/>
      </w:divBdr>
    </w:div>
    <w:div w:id="810903591">
      <w:bodyDiv w:val="1"/>
      <w:marLeft w:val="0"/>
      <w:marRight w:val="0"/>
      <w:marTop w:val="0"/>
      <w:marBottom w:val="0"/>
      <w:divBdr>
        <w:top w:val="none" w:sz="0" w:space="0" w:color="auto"/>
        <w:left w:val="none" w:sz="0" w:space="0" w:color="auto"/>
        <w:bottom w:val="none" w:sz="0" w:space="0" w:color="auto"/>
        <w:right w:val="none" w:sz="0" w:space="0" w:color="auto"/>
      </w:divBdr>
    </w:div>
    <w:div w:id="810946698">
      <w:bodyDiv w:val="1"/>
      <w:marLeft w:val="0"/>
      <w:marRight w:val="0"/>
      <w:marTop w:val="0"/>
      <w:marBottom w:val="0"/>
      <w:divBdr>
        <w:top w:val="none" w:sz="0" w:space="0" w:color="auto"/>
        <w:left w:val="none" w:sz="0" w:space="0" w:color="auto"/>
        <w:bottom w:val="none" w:sz="0" w:space="0" w:color="auto"/>
        <w:right w:val="none" w:sz="0" w:space="0" w:color="auto"/>
      </w:divBdr>
    </w:div>
    <w:div w:id="811170907">
      <w:bodyDiv w:val="1"/>
      <w:marLeft w:val="0"/>
      <w:marRight w:val="0"/>
      <w:marTop w:val="0"/>
      <w:marBottom w:val="0"/>
      <w:divBdr>
        <w:top w:val="none" w:sz="0" w:space="0" w:color="auto"/>
        <w:left w:val="none" w:sz="0" w:space="0" w:color="auto"/>
        <w:bottom w:val="none" w:sz="0" w:space="0" w:color="auto"/>
        <w:right w:val="none" w:sz="0" w:space="0" w:color="auto"/>
      </w:divBdr>
    </w:div>
    <w:div w:id="811171265">
      <w:bodyDiv w:val="1"/>
      <w:marLeft w:val="0"/>
      <w:marRight w:val="0"/>
      <w:marTop w:val="0"/>
      <w:marBottom w:val="0"/>
      <w:divBdr>
        <w:top w:val="none" w:sz="0" w:space="0" w:color="auto"/>
        <w:left w:val="none" w:sz="0" w:space="0" w:color="auto"/>
        <w:bottom w:val="none" w:sz="0" w:space="0" w:color="auto"/>
        <w:right w:val="none" w:sz="0" w:space="0" w:color="auto"/>
      </w:divBdr>
    </w:div>
    <w:div w:id="811286089">
      <w:bodyDiv w:val="1"/>
      <w:marLeft w:val="0"/>
      <w:marRight w:val="0"/>
      <w:marTop w:val="0"/>
      <w:marBottom w:val="0"/>
      <w:divBdr>
        <w:top w:val="none" w:sz="0" w:space="0" w:color="auto"/>
        <w:left w:val="none" w:sz="0" w:space="0" w:color="auto"/>
        <w:bottom w:val="none" w:sz="0" w:space="0" w:color="auto"/>
        <w:right w:val="none" w:sz="0" w:space="0" w:color="auto"/>
      </w:divBdr>
    </w:div>
    <w:div w:id="811286322">
      <w:bodyDiv w:val="1"/>
      <w:marLeft w:val="0"/>
      <w:marRight w:val="0"/>
      <w:marTop w:val="0"/>
      <w:marBottom w:val="0"/>
      <w:divBdr>
        <w:top w:val="none" w:sz="0" w:space="0" w:color="auto"/>
        <w:left w:val="none" w:sz="0" w:space="0" w:color="auto"/>
        <w:bottom w:val="none" w:sz="0" w:space="0" w:color="auto"/>
        <w:right w:val="none" w:sz="0" w:space="0" w:color="auto"/>
      </w:divBdr>
    </w:div>
    <w:div w:id="811288890">
      <w:bodyDiv w:val="1"/>
      <w:marLeft w:val="0"/>
      <w:marRight w:val="0"/>
      <w:marTop w:val="0"/>
      <w:marBottom w:val="0"/>
      <w:divBdr>
        <w:top w:val="none" w:sz="0" w:space="0" w:color="auto"/>
        <w:left w:val="none" w:sz="0" w:space="0" w:color="auto"/>
        <w:bottom w:val="none" w:sz="0" w:space="0" w:color="auto"/>
        <w:right w:val="none" w:sz="0" w:space="0" w:color="auto"/>
      </w:divBdr>
    </w:div>
    <w:div w:id="811290311">
      <w:bodyDiv w:val="1"/>
      <w:marLeft w:val="0"/>
      <w:marRight w:val="0"/>
      <w:marTop w:val="0"/>
      <w:marBottom w:val="0"/>
      <w:divBdr>
        <w:top w:val="none" w:sz="0" w:space="0" w:color="auto"/>
        <w:left w:val="none" w:sz="0" w:space="0" w:color="auto"/>
        <w:bottom w:val="none" w:sz="0" w:space="0" w:color="auto"/>
        <w:right w:val="none" w:sz="0" w:space="0" w:color="auto"/>
      </w:divBdr>
    </w:div>
    <w:div w:id="811361736">
      <w:bodyDiv w:val="1"/>
      <w:marLeft w:val="0"/>
      <w:marRight w:val="0"/>
      <w:marTop w:val="0"/>
      <w:marBottom w:val="0"/>
      <w:divBdr>
        <w:top w:val="none" w:sz="0" w:space="0" w:color="auto"/>
        <w:left w:val="none" w:sz="0" w:space="0" w:color="auto"/>
        <w:bottom w:val="none" w:sz="0" w:space="0" w:color="auto"/>
        <w:right w:val="none" w:sz="0" w:space="0" w:color="auto"/>
      </w:divBdr>
    </w:div>
    <w:div w:id="811365342">
      <w:bodyDiv w:val="1"/>
      <w:marLeft w:val="0"/>
      <w:marRight w:val="0"/>
      <w:marTop w:val="0"/>
      <w:marBottom w:val="0"/>
      <w:divBdr>
        <w:top w:val="none" w:sz="0" w:space="0" w:color="auto"/>
        <w:left w:val="none" w:sz="0" w:space="0" w:color="auto"/>
        <w:bottom w:val="none" w:sz="0" w:space="0" w:color="auto"/>
        <w:right w:val="none" w:sz="0" w:space="0" w:color="auto"/>
      </w:divBdr>
    </w:div>
    <w:div w:id="811367060">
      <w:bodyDiv w:val="1"/>
      <w:marLeft w:val="0"/>
      <w:marRight w:val="0"/>
      <w:marTop w:val="0"/>
      <w:marBottom w:val="0"/>
      <w:divBdr>
        <w:top w:val="none" w:sz="0" w:space="0" w:color="auto"/>
        <w:left w:val="none" w:sz="0" w:space="0" w:color="auto"/>
        <w:bottom w:val="none" w:sz="0" w:space="0" w:color="auto"/>
        <w:right w:val="none" w:sz="0" w:space="0" w:color="auto"/>
      </w:divBdr>
    </w:div>
    <w:div w:id="811485080">
      <w:bodyDiv w:val="1"/>
      <w:marLeft w:val="0"/>
      <w:marRight w:val="0"/>
      <w:marTop w:val="0"/>
      <w:marBottom w:val="0"/>
      <w:divBdr>
        <w:top w:val="none" w:sz="0" w:space="0" w:color="auto"/>
        <w:left w:val="none" w:sz="0" w:space="0" w:color="auto"/>
        <w:bottom w:val="none" w:sz="0" w:space="0" w:color="auto"/>
        <w:right w:val="none" w:sz="0" w:space="0" w:color="auto"/>
      </w:divBdr>
    </w:div>
    <w:div w:id="811602787">
      <w:bodyDiv w:val="1"/>
      <w:marLeft w:val="0"/>
      <w:marRight w:val="0"/>
      <w:marTop w:val="0"/>
      <w:marBottom w:val="0"/>
      <w:divBdr>
        <w:top w:val="none" w:sz="0" w:space="0" w:color="auto"/>
        <w:left w:val="none" w:sz="0" w:space="0" w:color="auto"/>
        <w:bottom w:val="none" w:sz="0" w:space="0" w:color="auto"/>
        <w:right w:val="none" w:sz="0" w:space="0" w:color="auto"/>
      </w:divBdr>
    </w:div>
    <w:div w:id="811676202">
      <w:bodyDiv w:val="1"/>
      <w:marLeft w:val="0"/>
      <w:marRight w:val="0"/>
      <w:marTop w:val="0"/>
      <w:marBottom w:val="0"/>
      <w:divBdr>
        <w:top w:val="none" w:sz="0" w:space="0" w:color="auto"/>
        <w:left w:val="none" w:sz="0" w:space="0" w:color="auto"/>
        <w:bottom w:val="none" w:sz="0" w:space="0" w:color="auto"/>
        <w:right w:val="none" w:sz="0" w:space="0" w:color="auto"/>
      </w:divBdr>
    </w:div>
    <w:div w:id="811678005">
      <w:bodyDiv w:val="1"/>
      <w:marLeft w:val="0"/>
      <w:marRight w:val="0"/>
      <w:marTop w:val="0"/>
      <w:marBottom w:val="0"/>
      <w:divBdr>
        <w:top w:val="none" w:sz="0" w:space="0" w:color="auto"/>
        <w:left w:val="none" w:sz="0" w:space="0" w:color="auto"/>
        <w:bottom w:val="none" w:sz="0" w:space="0" w:color="auto"/>
        <w:right w:val="none" w:sz="0" w:space="0" w:color="auto"/>
      </w:divBdr>
    </w:div>
    <w:div w:id="811749127">
      <w:bodyDiv w:val="1"/>
      <w:marLeft w:val="0"/>
      <w:marRight w:val="0"/>
      <w:marTop w:val="0"/>
      <w:marBottom w:val="0"/>
      <w:divBdr>
        <w:top w:val="none" w:sz="0" w:space="0" w:color="auto"/>
        <w:left w:val="none" w:sz="0" w:space="0" w:color="auto"/>
        <w:bottom w:val="none" w:sz="0" w:space="0" w:color="auto"/>
        <w:right w:val="none" w:sz="0" w:space="0" w:color="auto"/>
      </w:divBdr>
    </w:div>
    <w:div w:id="811947460">
      <w:bodyDiv w:val="1"/>
      <w:marLeft w:val="0"/>
      <w:marRight w:val="0"/>
      <w:marTop w:val="0"/>
      <w:marBottom w:val="0"/>
      <w:divBdr>
        <w:top w:val="none" w:sz="0" w:space="0" w:color="auto"/>
        <w:left w:val="none" w:sz="0" w:space="0" w:color="auto"/>
        <w:bottom w:val="none" w:sz="0" w:space="0" w:color="auto"/>
        <w:right w:val="none" w:sz="0" w:space="0" w:color="auto"/>
      </w:divBdr>
    </w:div>
    <w:div w:id="812023449">
      <w:bodyDiv w:val="1"/>
      <w:marLeft w:val="0"/>
      <w:marRight w:val="0"/>
      <w:marTop w:val="0"/>
      <w:marBottom w:val="0"/>
      <w:divBdr>
        <w:top w:val="none" w:sz="0" w:space="0" w:color="auto"/>
        <w:left w:val="none" w:sz="0" w:space="0" w:color="auto"/>
        <w:bottom w:val="none" w:sz="0" w:space="0" w:color="auto"/>
        <w:right w:val="none" w:sz="0" w:space="0" w:color="auto"/>
      </w:divBdr>
    </w:div>
    <w:div w:id="812134894">
      <w:bodyDiv w:val="1"/>
      <w:marLeft w:val="0"/>
      <w:marRight w:val="0"/>
      <w:marTop w:val="0"/>
      <w:marBottom w:val="0"/>
      <w:divBdr>
        <w:top w:val="none" w:sz="0" w:space="0" w:color="auto"/>
        <w:left w:val="none" w:sz="0" w:space="0" w:color="auto"/>
        <w:bottom w:val="none" w:sz="0" w:space="0" w:color="auto"/>
        <w:right w:val="none" w:sz="0" w:space="0" w:color="auto"/>
      </w:divBdr>
    </w:div>
    <w:div w:id="812331796">
      <w:bodyDiv w:val="1"/>
      <w:marLeft w:val="0"/>
      <w:marRight w:val="0"/>
      <w:marTop w:val="0"/>
      <w:marBottom w:val="0"/>
      <w:divBdr>
        <w:top w:val="none" w:sz="0" w:space="0" w:color="auto"/>
        <w:left w:val="none" w:sz="0" w:space="0" w:color="auto"/>
        <w:bottom w:val="none" w:sz="0" w:space="0" w:color="auto"/>
        <w:right w:val="none" w:sz="0" w:space="0" w:color="auto"/>
      </w:divBdr>
    </w:div>
    <w:div w:id="812409951">
      <w:bodyDiv w:val="1"/>
      <w:marLeft w:val="0"/>
      <w:marRight w:val="0"/>
      <w:marTop w:val="0"/>
      <w:marBottom w:val="0"/>
      <w:divBdr>
        <w:top w:val="none" w:sz="0" w:space="0" w:color="auto"/>
        <w:left w:val="none" w:sz="0" w:space="0" w:color="auto"/>
        <w:bottom w:val="none" w:sz="0" w:space="0" w:color="auto"/>
        <w:right w:val="none" w:sz="0" w:space="0" w:color="auto"/>
      </w:divBdr>
    </w:div>
    <w:div w:id="812454416">
      <w:bodyDiv w:val="1"/>
      <w:marLeft w:val="0"/>
      <w:marRight w:val="0"/>
      <w:marTop w:val="0"/>
      <w:marBottom w:val="0"/>
      <w:divBdr>
        <w:top w:val="none" w:sz="0" w:space="0" w:color="auto"/>
        <w:left w:val="none" w:sz="0" w:space="0" w:color="auto"/>
        <w:bottom w:val="none" w:sz="0" w:space="0" w:color="auto"/>
        <w:right w:val="none" w:sz="0" w:space="0" w:color="auto"/>
      </w:divBdr>
    </w:div>
    <w:div w:id="812528813">
      <w:bodyDiv w:val="1"/>
      <w:marLeft w:val="0"/>
      <w:marRight w:val="0"/>
      <w:marTop w:val="0"/>
      <w:marBottom w:val="0"/>
      <w:divBdr>
        <w:top w:val="none" w:sz="0" w:space="0" w:color="auto"/>
        <w:left w:val="none" w:sz="0" w:space="0" w:color="auto"/>
        <w:bottom w:val="none" w:sz="0" w:space="0" w:color="auto"/>
        <w:right w:val="none" w:sz="0" w:space="0" w:color="auto"/>
      </w:divBdr>
    </w:div>
    <w:div w:id="812602893">
      <w:bodyDiv w:val="1"/>
      <w:marLeft w:val="0"/>
      <w:marRight w:val="0"/>
      <w:marTop w:val="0"/>
      <w:marBottom w:val="0"/>
      <w:divBdr>
        <w:top w:val="none" w:sz="0" w:space="0" w:color="auto"/>
        <w:left w:val="none" w:sz="0" w:space="0" w:color="auto"/>
        <w:bottom w:val="none" w:sz="0" w:space="0" w:color="auto"/>
        <w:right w:val="none" w:sz="0" w:space="0" w:color="auto"/>
      </w:divBdr>
    </w:div>
    <w:div w:id="812678404">
      <w:bodyDiv w:val="1"/>
      <w:marLeft w:val="0"/>
      <w:marRight w:val="0"/>
      <w:marTop w:val="0"/>
      <w:marBottom w:val="0"/>
      <w:divBdr>
        <w:top w:val="none" w:sz="0" w:space="0" w:color="auto"/>
        <w:left w:val="none" w:sz="0" w:space="0" w:color="auto"/>
        <w:bottom w:val="none" w:sz="0" w:space="0" w:color="auto"/>
        <w:right w:val="none" w:sz="0" w:space="0" w:color="auto"/>
      </w:divBdr>
    </w:div>
    <w:div w:id="812791970">
      <w:bodyDiv w:val="1"/>
      <w:marLeft w:val="0"/>
      <w:marRight w:val="0"/>
      <w:marTop w:val="0"/>
      <w:marBottom w:val="0"/>
      <w:divBdr>
        <w:top w:val="none" w:sz="0" w:space="0" w:color="auto"/>
        <w:left w:val="none" w:sz="0" w:space="0" w:color="auto"/>
        <w:bottom w:val="none" w:sz="0" w:space="0" w:color="auto"/>
        <w:right w:val="none" w:sz="0" w:space="0" w:color="auto"/>
      </w:divBdr>
    </w:div>
    <w:div w:id="812794980">
      <w:bodyDiv w:val="1"/>
      <w:marLeft w:val="0"/>
      <w:marRight w:val="0"/>
      <w:marTop w:val="0"/>
      <w:marBottom w:val="0"/>
      <w:divBdr>
        <w:top w:val="none" w:sz="0" w:space="0" w:color="auto"/>
        <w:left w:val="none" w:sz="0" w:space="0" w:color="auto"/>
        <w:bottom w:val="none" w:sz="0" w:space="0" w:color="auto"/>
        <w:right w:val="none" w:sz="0" w:space="0" w:color="auto"/>
      </w:divBdr>
    </w:div>
    <w:div w:id="812797563">
      <w:bodyDiv w:val="1"/>
      <w:marLeft w:val="0"/>
      <w:marRight w:val="0"/>
      <w:marTop w:val="0"/>
      <w:marBottom w:val="0"/>
      <w:divBdr>
        <w:top w:val="none" w:sz="0" w:space="0" w:color="auto"/>
        <w:left w:val="none" w:sz="0" w:space="0" w:color="auto"/>
        <w:bottom w:val="none" w:sz="0" w:space="0" w:color="auto"/>
        <w:right w:val="none" w:sz="0" w:space="0" w:color="auto"/>
      </w:divBdr>
    </w:div>
    <w:div w:id="812915135">
      <w:bodyDiv w:val="1"/>
      <w:marLeft w:val="0"/>
      <w:marRight w:val="0"/>
      <w:marTop w:val="0"/>
      <w:marBottom w:val="0"/>
      <w:divBdr>
        <w:top w:val="none" w:sz="0" w:space="0" w:color="auto"/>
        <w:left w:val="none" w:sz="0" w:space="0" w:color="auto"/>
        <w:bottom w:val="none" w:sz="0" w:space="0" w:color="auto"/>
        <w:right w:val="none" w:sz="0" w:space="0" w:color="auto"/>
      </w:divBdr>
    </w:div>
    <w:div w:id="812985269">
      <w:bodyDiv w:val="1"/>
      <w:marLeft w:val="0"/>
      <w:marRight w:val="0"/>
      <w:marTop w:val="0"/>
      <w:marBottom w:val="0"/>
      <w:divBdr>
        <w:top w:val="none" w:sz="0" w:space="0" w:color="auto"/>
        <w:left w:val="none" w:sz="0" w:space="0" w:color="auto"/>
        <w:bottom w:val="none" w:sz="0" w:space="0" w:color="auto"/>
        <w:right w:val="none" w:sz="0" w:space="0" w:color="auto"/>
      </w:divBdr>
    </w:div>
    <w:div w:id="813060333">
      <w:bodyDiv w:val="1"/>
      <w:marLeft w:val="0"/>
      <w:marRight w:val="0"/>
      <w:marTop w:val="0"/>
      <w:marBottom w:val="0"/>
      <w:divBdr>
        <w:top w:val="none" w:sz="0" w:space="0" w:color="auto"/>
        <w:left w:val="none" w:sz="0" w:space="0" w:color="auto"/>
        <w:bottom w:val="none" w:sz="0" w:space="0" w:color="auto"/>
        <w:right w:val="none" w:sz="0" w:space="0" w:color="auto"/>
      </w:divBdr>
    </w:div>
    <w:div w:id="813060550">
      <w:bodyDiv w:val="1"/>
      <w:marLeft w:val="0"/>
      <w:marRight w:val="0"/>
      <w:marTop w:val="0"/>
      <w:marBottom w:val="0"/>
      <w:divBdr>
        <w:top w:val="none" w:sz="0" w:space="0" w:color="auto"/>
        <w:left w:val="none" w:sz="0" w:space="0" w:color="auto"/>
        <w:bottom w:val="none" w:sz="0" w:space="0" w:color="auto"/>
        <w:right w:val="none" w:sz="0" w:space="0" w:color="auto"/>
      </w:divBdr>
    </w:div>
    <w:div w:id="813332971">
      <w:bodyDiv w:val="1"/>
      <w:marLeft w:val="0"/>
      <w:marRight w:val="0"/>
      <w:marTop w:val="0"/>
      <w:marBottom w:val="0"/>
      <w:divBdr>
        <w:top w:val="none" w:sz="0" w:space="0" w:color="auto"/>
        <w:left w:val="none" w:sz="0" w:space="0" w:color="auto"/>
        <w:bottom w:val="none" w:sz="0" w:space="0" w:color="auto"/>
        <w:right w:val="none" w:sz="0" w:space="0" w:color="auto"/>
      </w:divBdr>
    </w:div>
    <w:div w:id="813377158">
      <w:bodyDiv w:val="1"/>
      <w:marLeft w:val="0"/>
      <w:marRight w:val="0"/>
      <w:marTop w:val="0"/>
      <w:marBottom w:val="0"/>
      <w:divBdr>
        <w:top w:val="none" w:sz="0" w:space="0" w:color="auto"/>
        <w:left w:val="none" w:sz="0" w:space="0" w:color="auto"/>
        <w:bottom w:val="none" w:sz="0" w:space="0" w:color="auto"/>
        <w:right w:val="none" w:sz="0" w:space="0" w:color="auto"/>
      </w:divBdr>
    </w:div>
    <w:div w:id="813448041">
      <w:bodyDiv w:val="1"/>
      <w:marLeft w:val="0"/>
      <w:marRight w:val="0"/>
      <w:marTop w:val="0"/>
      <w:marBottom w:val="0"/>
      <w:divBdr>
        <w:top w:val="none" w:sz="0" w:space="0" w:color="auto"/>
        <w:left w:val="none" w:sz="0" w:space="0" w:color="auto"/>
        <w:bottom w:val="none" w:sz="0" w:space="0" w:color="auto"/>
        <w:right w:val="none" w:sz="0" w:space="0" w:color="auto"/>
      </w:divBdr>
    </w:div>
    <w:div w:id="813452506">
      <w:bodyDiv w:val="1"/>
      <w:marLeft w:val="0"/>
      <w:marRight w:val="0"/>
      <w:marTop w:val="0"/>
      <w:marBottom w:val="0"/>
      <w:divBdr>
        <w:top w:val="none" w:sz="0" w:space="0" w:color="auto"/>
        <w:left w:val="none" w:sz="0" w:space="0" w:color="auto"/>
        <w:bottom w:val="none" w:sz="0" w:space="0" w:color="auto"/>
        <w:right w:val="none" w:sz="0" w:space="0" w:color="auto"/>
      </w:divBdr>
    </w:div>
    <w:div w:id="813564883">
      <w:bodyDiv w:val="1"/>
      <w:marLeft w:val="0"/>
      <w:marRight w:val="0"/>
      <w:marTop w:val="0"/>
      <w:marBottom w:val="0"/>
      <w:divBdr>
        <w:top w:val="none" w:sz="0" w:space="0" w:color="auto"/>
        <w:left w:val="none" w:sz="0" w:space="0" w:color="auto"/>
        <w:bottom w:val="none" w:sz="0" w:space="0" w:color="auto"/>
        <w:right w:val="none" w:sz="0" w:space="0" w:color="auto"/>
      </w:divBdr>
    </w:div>
    <w:div w:id="813641631">
      <w:bodyDiv w:val="1"/>
      <w:marLeft w:val="0"/>
      <w:marRight w:val="0"/>
      <w:marTop w:val="0"/>
      <w:marBottom w:val="0"/>
      <w:divBdr>
        <w:top w:val="none" w:sz="0" w:space="0" w:color="auto"/>
        <w:left w:val="none" w:sz="0" w:space="0" w:color="auto"/>
        <w:bottom w:val="none" w:sz="0" w:space="0" w:color="auto"/>
        <w:right w:val="none" w:sz="0" w:space="0" w:color="auto"/>
      </w:divBdr>
    </w:div>
    <w:div w:id="813907890">
      <w:bodyDiv w:val="1"/>
      <w:marLeft w:val="0"/>
      <w:marRight w:val="0"/>
      <w:marTop w:val="0"/>
      <w:marBottom w:val="0"/>
      <w:divBdr>
        <w:top w:val="none" w:sz="0" w:space="0" w:color="auto"/>
        <w:left w:val="none" w:sz="0" w:space="0" w:color="auto"/>
        <w:bottom w:val="none" w:sz="0" w:space="0" w:color="auto"/>
        <w:right w:val="none" w:sz="0" w:space="0" w:color="auto"/>
      </w:divBdr>
    </w:div>
    <w:div w:id="813911632">
      <w:bodyDiv w:val="1"/>
      <w:marLeft w:val="0"/>
      <w:marRight w:val="0"/>
      <w:marTop w:val="0"/>
      <w:marBottom w:val="0"/>
      <w:divBdr>
        <w:top w:val="none" w:sz="0" w:space="0" w:color="auto"/>
        <w:left w:val="none" w:sz="0" w:space="0" w:color="auto"/>
        <w:bottom w:val="none" w:sz="0" w:space="0" w:color="auto"/>
        <w:right w:val="none" w:sz="0" w:space="0" w:color="auto"/>
      </w:divBdr>
    </w:div>
    <w:div w:id="813912542">
      <w:bodyDiv w:val="1"/>
      <w:marLeft w:val="0"/>
      <w:marRight w:val="0"/>
      <w:marTop w:val="0"/>
      <w:marBottom w:val="0"/>
      <w:divBdr>
        <w:top w:val="none" w:sz="0" w:space="0" w:color="auto"/>
        <w:left w:val="none" w:sz="0" w:space="0" w:color="auto"/>
        <w:bottom w:val="none" w:sz="0" w:space="0" w:color="auto"/>
        <w:right w:val="none" w:sz="0" w:space="0" w:color="auto"/>
      </w:divBdr>
    </w:div>
    <w:div w:id="813914439">
      <w:bodyDiv w:val="1"/>
      <w:marLeft w:val="0"/>
      <w:marRight w:val="0"/>
      <w:marTop w:val="0"/>
      <w:marBottom w:val="0"/>
      <w:divBdr>
        <w:top w:val="none" w:sz="0" w:space="0" w:color="auto"/>
        <w:left w:val="none" w:sz="0" w:space="0" w:color="auto"/>
        <w:bottom w:val="none" w:sz="0" w:space="0" w:color="auto"/>
        <w:right w:val="none" w:sz="0" w:space="0" w:color="auto"/>
      </w:divBdr>
    </w:div>
    <w:div w:id="813915720">
      <w:bodyDiv w:val="1"/>
      <w:marLeft w:val="0"/>
      <w:marRight w:val="0"/>
      <w:marTop w:val="0"/>
      <w:marBottom w:val="0"/>
      <w:divBdr>
        <w:top w:val="none" w:sz="0" w:space="0" w:color="auto"/>
        <w:left w:val="none" w:sz="0" w:space="0" w:color="auto"/>
        <w:bottom w:val="none" w:sz="0" w:space="0" w:color="auto"/>
        <w:right w:val="none" w:sz="0" w:space="0" w:color="auto"/>
      </w:divBdr>
    </w:div>
    <w:div w:id="814103501">
      <w:bodyDiv w:val="1"/>
      <w:marLeft w:val="0"/>
      <w:marRight w:val="0"/>
      <w:marTop w:val="0"/>
      <w:marBottom w:val="0"/>
      <w:divBdr>
        <w:top w:val="none" w:sz="0" w:space="0" w:color="auto"/>
        <w:left w:val="none" w:sz="0" w:space="0" w:color="auto"/>
        <w:bottom w:val="none" w:sz="0" w:space="0" w:color="auto"/>
        <w:right w:val="none" w:sz="0" w:space="0" w:color="auto"/>
      </w:divBdr>
    </w:div>
    <w:div w:id="814684433">
      <w:bodyDiv w:val="1"/>
      <w:marLeft w:val="0"/>
      <w:marRight w:val="0"/>
      <w:marTop w:val="0"/>
      <w:marBottom w:val="0"/>
      <w:divBdr>
        <w:top w:val="none" w:sz="0" w:space="0" w:color="auto"/>
        <w:left w:val="none" w:sz="0" w:space="0" w:color="auto"/>
        <w:bottom w:val="none" w:sz="0" w:space="0" w:color="auto"/>
        <w:right w:val="none" w:sz="0" w:space="0" w:color="auto"/>
      </w:divBdr>
    </w:div>
    <w:div w:id="814758001">
      <w:bodyDiv w:val="1"/>
      <w:marLeft w:val="0"/>
      <w:marRight w:val="0"/>
      <w:marTop w:val="0"/>
      <w:marBottom w:val="0"/>
      <w:divBdr>
        <w:top w:val="none" w:sz="0" w:space="0" w:color="auto"/>
        <w:left w:val="none" w:sz="0" w:space="0" w:color="auto"/>
        <w:bottom w:val="none" w:sz="0" w:space="0" w:color="auto"/>
        <w:right w:val="none" w:sz="0" w:space="0" w:color="auto"/>
      </w:divBdr>
    </w:div>
    <w:div w:id="814875425">
      <w:bodyDiv w:val="1"/>
      <w:marLeft w:val="0"/>
      <w:marRight w:val="0"/>
      <w:marTop w:val="0"/>
      <w:marBottom w:val="0"/>
      <w:divBdr>
        <w:top w:val="none" w:sz="0" w:space="0" w:color="auto"/>
        <w:left w:val="none" w:sz="0" w:space="0" w:color="auto"/>
        <w:bottom w:val="none" w:sz="0" w:space="0" w:color="auto"/>
        <w:right w:val="none" w:sz="0" w:space="0" w:color="auto"/>
      </w:divBdr>
    </w:div>
    <w:div w:id="814876569">
      <w:bodyDiv w:val="1"/>
      <w:marLeft w:val="0"/>
      <w:marRight w:val="0"/>
      <w:marTop w:val="0"/>
      <w:marBottom w:val="0"/>
      <w:divBdr>
        <w:top w:val="none" w:sz="0" w:space="0" w:color="auto"/>
        <w:left w:val="none" w:sz="0" w:space="0" w:color="auto"/>
        <w:bottom w:val="none" w:sz="0" w:space="0" w:color="auto"/>
        <w:right w:val="none" w:sz="0" w:space="0" w:color="auto"/>
      </w:divBdr>
    </w:div>
    <w:div w:id="814882543">
      <w:bodyDiv w:val="1"/>
      <w:marLeft w:val="0"/>
      <w:marRight w:val="0"/>
      <w:marTop w:val="0"/>
      <w:marBottom w:val="0"/>
      <w:divBdr>
        <w:top w:val="none" w:sz="0" w:space="0" w:color="auto"/>
        <w:left w:val="none" w:sz="0" w:space="0" w:color="auto"/>
        <w:bottom w:val="none" w:sz="0" w:space="0" w:color="auto"/>
        <w:right w:val="none" w:sz="0" w:space="0" w:color="auto"/>
      </w:divBdr>
    </w:div>
    <w:div w:id="814883014">
      <w:bodyDiv w:val="1"/>
      <w:marLeft w:val="0"/>
      <w:marRight w:val="0"/>
      <w:marTop w:val="0"/>
      <w:marBottom w:val="0"/>
      <w:divBdr>
        <w:top w:val="none" w:sz="0" w:space="0" w:color="auto"/>
        <w:left w:val="none" w:sz="0" w:space="0" w:color="auto"/>
        <w:bottom w:val="none" w:sz="0" w:space="0" w:color="auto"/>
        <w:right w:val="none" w:sz="0" w:space="0" w:color="auto"/>
      </w:divBdr>
    </w:div>
    <w:div w:id="814952548">
      <w:bodyDiv w:val="1"/>
      <w:marLeft w:val="0"/>
      <w:marRight w:val="0"/>
      <w:marTop w:val="0"/>
      <w:marBottom w:val="0"/>
      <w:divBdr>
        <w:top w:val="none" w:sz="0" w:space="0" w:color="auto"/>
        <w:left w:val="none" w:sz="0" w:space="0" w:color="auto"/>
        <w:bottom w:val="none" w:sz="0" w:space="0" w:color="auto"/>
        <w:right w:val="none" w:sz="0" w:space="0" w:color="auto"/>
      </w:divBdr>
    </w:div>
    <w:div w:id="815028603">
      <w:bodyDiv w:val="1"/>
      <w:marLeft w:val="0"/>
      <w:marRight w:val="0"/>
      <w:marTop w:val="0"/>
      <w:marBottom w:val="0"/>
      <w:divBdr>
        <w:top w:val="none" w:sz="0" w:space="0" w:color="auto"/>
        <w:left w:val="none" w:sz="0" w:space="0" w:color="auto"/>
        <w:bottom w:val="none" w:sz="0" w:space="0" w:color="auto"/>
        <w:right w:val="none" w:sz="0" w:space="0" w:color="auto"/>
      </w:divBdr>
    </w:div>
    <w:div w:id="815075605">
      <w:bodyDiv w:val="1"/>
      <w:marLeft w:val="0"/>
      <w:marRight w:val="0"/>
      <w:marTop w:val="0"/>
      <w:marBottom w:val="0"/>
      <w:divBdr>
        <w:top w:val="none" w:sz="0" w:space="0" w:color="auto"/>
        <w:left w:val="none" w:sz="0" w:space="0" w:color="auto"/>
        <w:bottom w:val="none" w:sz="0" w:space="0" w:color="auto"/>
        <w:right w:val="none" w:sz="0" w:space="0" w:color="auto"/>
      </w:divBdr>
    </w:div>
    <w:div w:id="815146961">
      <w:bodyDiv w:val="1"/>
      <w:marLeft w:val="0"/>
      <w:marRight w:val="0"/>
      <w:marTop w:val="0"/>
      <w:marBottom w:val="0"/>
      <w:divBdr>
        <w:top w:val="none" w:sz="0" w:space="0" w:color="auto"/>
        <w:left w:val="none" w:sz="0" w:space="0" w:color="auto"/>
        <w:bottom w:val="none" w:sz="0" w:space="0" w:color="auto"/>
        <w:right w:val="none" w:sz="0" w:space="0" w:color="auto"/>
      </w:divBdr>
    </w:div>
    <w:div w:id="815419718">
      <w:bodyDiv w:val="1"/>
      <w:marLeft w:val="0"/>
      <w:marRight w:val="0"/>
      <w:marTop w:val="0"/>
      <w:marBottom w:val="0"/>
      <w:divBdr>
        <w:top w:val="none" w:sz="0" w:space="0" w:color="auto"/>
        <w:left w:val="none" w:sz="0" w:space="0" w:color="auto"/>
        <w:bottom w:val="none" w:sz="0" w:space="0" w:color="auto"/>
        <w:right w:val="none" w:sz="0" w:space="0" w:color="auto"/>
      </w:divBdr>
    </w:div>
    <w:div w:id="815604165">
      <w:bodyDiv w:val="1"/>
      <w:marLeft w:val="0"/>
      <w:marRight w:val="0"/>
      <w:marTop w:val="0"/>
      <w:marBottom w:val="0"/>
      <w:divBdr>
        <w:top w:val="none" w:sz="0" w:space="0" w:color="auto"/>
        <w:left w:val="none" w:sz="0" w:space="0" w:color="auto"/>
        <w:bottom w:val="none" w:sz="0" w:space="0" w:color="auto"/>
        <w:right w:val="none" w:sz="0" w:space="0" w:color="auto"/>
      </w:divBdr>
    </w:div>
    <w:div w:id="815608250">
      <w:bodyDiv w:val="1"/>
      <w:marLeft w:val="0"/>
      <w:marRight w:val="0"/>
      <w:marTop w:val="0"/>
      <w:marBottom w:val="0"/>
      <w:divBdr>
        <w:top w:val="none" w:sz="0" w:space="0" w:color="auto"/>
        <w:left w:val="none" w:sz="0" w:space="0" w:color="auto"/>
        <w:bottom w:val="none" w:sz="0" w:space="0" w:color="auto"/>
        <w:right w:val="none" w:sz="0" w:space="0" w:color="auto"/>
      </w:divBdr>
    </w:div>
    <w:div w:id="815609894">
      <w:bodyDiv w:val="1"/>
      <w:marLeft w:val="0"/>
      <w:marRight w:val="0"/>
      <w:marTop w:val="0"/>
      <w:marBottom w:val="0"/>
      <w:divBdr>
        <w:top w:val="none" w:sz="0" w:space="0" w:color="auto"/>
        <w:left w:val="none" w:sz="0" w:space="0" w:color="auto"/>
        <w:bottom w:val="none" w:sz="0" w:space="0" w:color="auto"/>
        <w:right w:val="none" w:sz="0" w:space="0" w:color="auto"/>
      </w:divBdr>
    </w:div>
    <w:div w:id="815686161">
      <w:bodyDiv w:val="1"/>
      <w:marLeft w:val="0"/>
      <w:marRight w:val="0"/>
      <w:marTop w:val="0"/>
      <w:marBottom w:val="0"/>
      <w:divBdr>
        <w:top w:val="none" w:sz="0" w:space="0" w:color="auto"/>
        <w:left w:val="none" w:sz="0" w:space="0" w:color="auto"/>
        <w:bottom w:val="none" w:sz="0" w:space="0" w:color="auto"/>
        <w:right w:val="none" w:sz="0" w:space="0" w:color="auto"/>
      </w:divBdr>
    </w:div>
    <w:div w:id="815686943">
      <w:bodyDiv w:val="1"/>
      <w:marLeft w:val="0"/>
      <w:marRight w:val="0"/>
      <w:marTop w:val="0"/>
      <w:marBottom w:val="0"/>
      <w:divBdr>
        <w:top w:val="none" w:sz="0" w:space="0" w:color="auto"/>
        <w:left w:val="none" w:sz="0" w:space="0" w:color="auto"/>
        <w:bottom w:val="none" w:sz="0" w:space="0" w:color="auto"/>
        <w:right w:val="none" w:sz="0" w:space="0" w:color="auto"/>
      </w:divBdr>
    </w:div>
    <w:div w:id="815726925">
      <w:bodyDiv w:val="1"/>
      <w:marLeft w:val="0"/>
      <w:marRight w:val="0"/>
      <w:marTop w:val="0"/>
      <w:marBottom w:val="0"/>
      <w:divBdr>
        <w:top w:val="none" w:sz="0" w:space="0" w:color="auto"/>
        <w:left w:val="none" w:sz="0" w:space="0" w:color="auto"/>
        <w:bottom w:val="none" w:sz="0" w:space="0" w:color="auto"/>
        <w:right w:val="none" w:sz="0" w:space="0" w:color="auto"/>
      </w:divBdr>
    </w:div>
    <w:div w:id="815804950">
      <w:bodyDiv w:val="1"/>
      <w:marLeft w:val="0"/>
      <w:marRight w:val="0"/>
      <w:marTop w:val="0"/>
      <w:marBottom w:val="0"/>
      <w:divBdr>
        <w:top w:val="none" w:sz="0" w:space="0" w:color="auto"/>
        <w:left w:val="none" w:sz="0" w:space="0" w:color="auto"/>
        <w:bottom w:val="none" w:sz="0" w:space="0" w:color="auto"/>
        <w:right w:val="none" w:sz="0" w:space="0" w:color="auto"/>
      </w:divBdr>
    </w:div>
    <w:div w:id="815880959">
      <w:bodyDiv w:val="1"/>
      <w:marLeft w:val="0"/>
      <w:marRight w:val="0"/>
      <w:marTop w:val="0"/>
      <w:marBottom w:val="0"/>
      <w:divBdr>
        <w:top w:val="none" w:sz="0" w:space="0" w:color="auto"/>
        <w:left w:val="none" w:sz="0" w:space="0" w:color="auto"/>
        <w:bottom w:val="none" w:sz="0" w:space="0" w:color="auto"/>
        <w:right w:val="none" w:sz="0" w:space="0" w:color="auto"/>
      </w:divBdr>
    </w:div>
    <w:div w:id="815880990">
      <w:bodyDiv w:val="1"/>
      <w:marLeft w:val="0"/>
      <w:marRight w:val="0"/>
      <w:marTop w:val="0"/>
      <w:marBottom w:val="0"/>
      <w:divBdr>
        <w:top w:val="none" w:sz="0" w:space="0" w:color="auto"/>
        <w:left w:val="none" w:sz="0" w:space="0" w:color="auto"/>
        <w:bottom w:val="none" w:sz="0" w:space="0" w:color="auto"/>
        <w:right w:val="none" w:sz="0" w:space="0" w:color="auto"/>
      </w:divBdr>
    </w:div>
    <w:div w:id="815882114">
      <w:bodyDiv w:val="1"/>
      <w:marLeft w:val="0"/>
      <w:marRight w:val="0"/>
      <w:marTop w:val="0"/>
      <w:marBottom w:val="0"/>
      <w:divBdr>
        <w:top w:val="none" w:sz="0" w:space="0" w:color="auto"/>
        <w:left w:val="none" w:sz="0" w:space="0" w:color="auto"/>
        <w:bottom w:val="none" w:sz="0" w:space="0" w:color="auto"/>
        <w:right w:val="none" w:sz="0" w:space="0" w:color="auto"/>
      </w:divBdr>
    </w:div>
    <w:div w:id="815996954">
      <w:bodyDiv w:val="1"/>
      <w:marLeft w:val="0"/>
      <w:marRight w:val="0"/>
      <w:marTop w:val="0"/>
      <w:marBottom w:val="0"/>
      <w:divBdr>
        <w:top w:val="none" w:sz="0" w:space="0" w:color="auto"/>
        <w:left w:val="none" w:sz="0" w:space="0" w:color="auto"/>
        <w:bottom w:val="none" w:sz="0" w:space="0" w:color="auto"/>
        <w:right w:val="none" w:sz="0" w:space="0" w:color="auto"/>
      </w:divBdr>
    </w:div>
    <w:div w:id="816074320">
      <w:bodyDiv w:val="1"/>
      <w:marLeft w:val="0"/>
      <w:marRight w:val="0"/>
      <w:marTop w:val="0"/>
      <w:marBottom w:val="0"/>
      <w:divBdr>
        <w:top w:val="none" w:sz="0" w:space="0" w:color="auto"/>
        <w:left w:val="none" w:sz="0" w:space="0" w:color="auto"/>
        <w:bottom w:val="none" w:sz="0" w:space="0" w:color="auto"/>
        <w:right w:val="none" w:sz="0" w:space="0" w:color="auto"/>
      </w:divBdr>
    </w:div>
    <w:div w:id="816147495">
      <w:bodyDiv w:val="1"/>
      <w:marLeft w:val="0"/>
      <w:marRight w:val="0"/>
      <w:marTop w:val="0"/>
      <w:marBottom w:val="0"/>
      <w:divBdr>
        <w:top w:val="none" w:sz="0" w:space="0" w:color="auto"/>
        <w:left w:val="none" w:sz="0" w:space="0" w:color="auto"/>
        <w:bottom w:val="none" w:sz="0" w:space="0" w:color="auto"/>
        <w:right w:val="none" w:sz="0" w:space="0" w:color="auto"/>
      </w:divBdr>
    </w:div>
    <w:div w:id="816217622">
      <w:bodyDiv w:val="1"/>
      <w:marLeft w:val="0"/>
      <w:marRight w:val="0"/>
      <w:marTop w:val="0"/>
      <w:marBottom w:val="0"/>
      <w:divBdr>
        <w:top w:val="none" w:sz="0" w:space="0" w:color="auto"/>
        <w:left w:val="none" w:sz="0" w:space="0" w:color="auto"/>
        <w:bottom w:val="none" w:sz="0" w:space="0" w:color="auto"/>
        <w:right w:val="none" w:sz="0" w:space="0" w:color="auto"/>
      </w:divBdr>
    </w:div>
    <w:div w:id="816266056">
      <w:bodyDiv w:val="1"/>
      <w:marLeft w:val="0"/>
      <w:marRight w:val="0"/>
      <w:marTop w:val="0"/>
      <w:marBottom w:val="0"/>
      <w:divBdr>
        <w:top w:val="none" w:sz="0" w:space="0" w:color="auto"/>
        <w:left w:val="none" w:sz="0" w:space="0" w:color="auto"/>
        <w:bottom w:val="none" w:sz="0" w:space="0" w:color="auto"/>
        <w:right w:val="none" w:sz="0" w:space="0" w:color="auto"/>
      </w:divBdr>
    </w:div>
    <w:div w:id="816335889">
      <w:bodyDiv w:val="1"/>
      <w:marLeft w:val="0"/>
      <w:marRight w:val="0"/>
      <w:marTop w:val="0"/>
      <w:marBottom w:val="0"/>
      <w:divBdr>
        <w:top w:val="none" w:sz="0" w:space="0" w:color="auto"/>
        <w:left w:val="none" w:sz="0" w:space="0" w:color="auto"/>
        <w:bottom w:val="none" w:sz="0" w:space="0" w:color="auto"/>
        <w:right w:val="none" w:sz="0" w:space="0" w:color="auto"/>
      </w:divBdr>
    </w:div>
    <w:div w:id="816340834">
      <w:bodyDiv w:val="1"/>
      <w:marLeft w:val="0"/>
      <w:marRight w:val="0"/>
      <w:marTop w:val="0"/>
      <w:marBottom w:val="0"/>
      <w:divBdr>
        <w:top w:val="none" w:sz="0" w:space="0" w:color="auto"/>
        <w:left w:val="none" w:sz="0" w:space="0" w:color="auto"/>
        <w:bottom w:val="none" w:sz="0" w:space="0" w:color="auto"/>
        <w:right w:val="none" w:sz="0" w:space="0" w:color="auto"/>
      </w:divBdr>
    </w:div>
    <w:div w:id="816528622">
      <w:bodyDiv w:val="1"/>
      <w:marLeft w:val="0"/>
      <w:marRight w:val="0"/>
      <w:marTop w:val="0"/>
      <w:marBottom w:val="0"/>
      <w:divBdr>
        <w:top w:val="none" w:sz="0" w:space="0" w:color="auto"/>
        <w:left w:val="none" w:sz="0" w:space="0" w:color="auto"/>
        <w:bottom w:val="none" w:sz="0" w:space="0" w:color="auto"/>
        <w:right w:val="none" w:sz="0" w:space="0" w:color="auto"/>
      </w:divBdr>
    </w:div>
    <w:div w:id="816532637">
      <w:bodyDiv w:val="1"/>
      <w:marLeft w:val="0"/>
      <w:marRight w:val="0"/>
      <w:marTop w:val="0"/>
      <w:marBottom w:val="0"/>
      <w:divBdr>
        <w:top w:val="none" w:sz="0" w:space="0" w:color="auto"/>
        <w:left w:val="none" w:sz="0" w:space="0" w:color="auto"/>
        <w:bottom w:val="none" w:sz="0" w:space="0" w:color="auto"/>
        <w:right w:val="none" w:sz="0" w:space="0" w:color="auto"/>
      </w:divBdr>
    </w:div>
    <w:div w:id="816537009">
      <w:bodyDiv w:val="1"/>
      <w:marLeft w:val="0"/>
      <w:marRight w:val="0"/>
      <w:marTop w:val="0"/>
      <w:marBottom w:val="0"/>
      <w:divBdr>
        <w:top w:val="none" w:sz="0" w:space="0" w:color="auto"/>
        <w:left w:val="none" w:sz="0" w:space="0" w:color="auto"/>
        <w:bottom w:val="none" w:sz="0" w:space="0" w:color="auto"/>
        <w:right w:val="none" w:sz="0" w:space="0" w:color="auto"/>
      </w:divBdr>
    </w:div>
    <w:div w:id="816610362">
      <w:bodyDiv w:val="1"/>
      <w:marLeft w:val="0"/>
      <w:marRight w:val="0"/>
      <w:marTop w:val="0"/>
      <w:marBottom w:val="0"/>
      <w:divBdr>
        <w:top w:val="none" w:sz="0" w:space="0" w:color="auto"/>
        <w:left w:val="none" w:sz="0" w:space="0" w:color="auto"/>
        <w:bottom w:val="none" w:sz="0" w:space="0" w:color="auto"/>
        <w:right w:val="none" w:sz="0" w:space="0" w:color="auto"/>
      </w:divBdr>
    </w:div>
    <w:div w:id="816645970">
      <w:bodyDiv w:val="1"/>
      <w:marLeft w:val="0"/>
      <w:marRight w:val="0"/>
      <w:marTop w:val="0"/>
      <w:marBottom w:val="0"/>
      <w:divBdr>
        <w:top w:val="none" w:sz="0" w:space="0" w:color="auto"/>
        <w:left w:val="none" w:sz="0" w:space="0" w:color="auto"/>
        <w:bottom w:val="none" w:sz="0" w:space="0" w:color="auto"/>
        <w:right w:val="none" w:sz="0" w:space="0" w:color="auto"/>
      </w:divBdr>
    </w:div>
    <w:div w:id="816648614">
      <w:bodyDiv w:val="1"/>
      <w:marLeft w:val="0"/>
      <w:marRight w:val="0"/>
      <w:marTop w:val="0"/>
      <w:marBottom w:val="0"/>
      <w:divBdr>
        <w:top w:val="none" w:sz="0" w:space="0" w:color="auto"/>
        <w:left w:val="none" w:sz="0" w:space="0" w:color="auto"/>
        <w:bottom w:val="none" w:sz="0" w:space="0" w:color="auto"/>
        <w:right w:val="none" w:sz="0" w:space="0" w:color="auto"/>
      </w:divBdr>
    </w:div>
    <w:div w:id="816802491">
      <w:bodyDiv w:val="1"/>
      <w:marLeft w:val="0"/>
      <w:marRight w:val="0"/>
      <w:marTop w:val="0"/>
      <w:marBottom w:val="0"/>
      <w:divBdr>
        <w:top w:val="none" w:sz="0" w:space="0" w:color="auto"/>
        <w:left w:val="none" w:sz="0" w:space="0" w:color="auto"/>
        <w:bottom w:val="none" w:sz="0" w:space="0" w:color="auto"/>
        <w:right w:val="none" w:sz="0" w:space="0" w:color="auto"/>
      </w:divBdr>
    </w:div>
    <w:div w:id="816804849">
      <w:bodyDiv w:val="1"/>
      <w:marLeft w:val="0"/>
      <w:marRight w:val="0"/>
      <w:marTop w:val="0"/>
      <w:marBottom w:val="0"/>
      <w:divBdr>
        <w:top w:val="none" w:sz="0" w:space="0" w:color="auto"/>
        <w:left w:val="none" w:sz="0" w:space="0" w:color="auto"/>
        <w:bottom w:val="none" w:sz="0" w:space="0" w:color="auto"/>
        <w:right w:val="none" w:sz="0" w:space="0" w:color="auto"/>
      </w:divBdr>
    </w:div>
    <w:div w:id="816989899">
      <w:bodyDiv w:val="1"/>
      <w:marLeft w:val="0"/>
      <w:marRight w:val="0"/>
      <w:marTop w:val="0"/>
      <w:marBottom w:val="0"/>
      <w:divBdr>
        <w:top w:val="none" w:sz="0" w:space="0" w:color="auto"/>
        <w:left w:val="none" w:sz="0" w:space="0" w:color="auto"/>
        <w:bottom w:val="none" w:sz="0" w:space="0" w:color="auto"/>
        <w:right w:val="none" w:sz="0" w:space="0" w:color="auto"/>
      </w:divBdr>
    </w:div>
    <w:div w:id="817039993">
      <w:bodyDiv w:val="1"/>
      <w:marLeft w:val="0"/>
      <w:marRight w:val="0"/>
      <w:marTop w:val="0"/>
      <w:marBottom w:val="0"/>
      <w:divBdr>
        <w:top w:val="none" w:sz="0" w:space="0" w:color="auto"/>
        <w:left w:val="none" w:sz="0" w:space="0" w:color="auto"/>
        <w:bottom w:val="none" w:sz="0" w:space="0" w:color="auto"/>
        <w:right w:val="none" w:sz="0" w:space="0" w:color="auto"/>
      </w:divBdr>
    </w:div>
    <w:div w:id="817110106">
      <w:bodyDiv w:val="1"/>
      <w:marLeft w:val="0"/>
      <w:marRight w:val="0"/>
      <w:marTop w:val="0"/>
      <w:marBottom w:val="0"/>
      <w:divBdr>
        <w:top w:val="none" w:sz="0" w:space="0" w:color="auto"/>
        <w:left w:val="none" w:sz="0" w:space="0" w:color="auto"/>
        <w:bottom w:val="none" w:sz="0" w:space="0" w:color="auto"/>
        <w:right w:val="none" w:sz="0" w:space="0" w:color="auto"/>
      </w:divBdr>
    </w:div>
    <w:div w:id="817190449">
      <w:bodyDiv w:val="1"/>
      <w:marLeft w:val="0"/>
      <w:marRight w:val="0"/>
      <w:marTop w:val="0"/>
      <w:marBottom w:val="0"/>
      <w:divBdr>
        <w:top w:val="none" w:sz="0" w:space="0" w:color="auto"/>
        <w:left w:val="none" w:sz="0" w:space="0" w:color="auto"/>
        <w:bottom w:val="none" w:sz="0" w:space="0" w:color="auto"/>
        <w:right w:val="none" w:sz="0" w:space="0" w:color="auto"/>
      </w:divBdr>
    </w:div>
    <w:div w:id="817499496">
      <w:bodyDiv w:val="1"/>
      <w:marLeft w:val="0"/>
      <w:marRight w:val="0"/>
      <w:marTop w:val="0"/>
      <w:marBottom w:val="0"/>
      <w:divBdr>
        <w:top w:val="none" w:sz="0" w:space="0" w:color="auto"/>
        <w:left w:val="none" w:sz="0" w:space="0" w:color="auto"/>
        <w:bottom w:val="none" w:sz="0" w:space="0" w:color="auto"/>
        <w:right w:val="none" w:sz="0" w:space="0" w:color="auto"/>
      </w:divBdr>
    </w:div>
    <w:div w:id="817572120">
      <w:bodyDiv w:val="1"/>
      <w:marLeft w:val="0"/>
      <w:marRight w:val="0"/>
      <w:marTop w:val="0"/>
      <w:marBottom w:val="0"/>
      <w:divBdr>
        <w:top w:val="none" w:sz="0" w:space="0" w:color="auto"/>
        <w:left w:val="none" w:sz="0" w:space="0" w:color="auto"/>
        <w:bottom w:val="none" w:sz="0" w:space="0" w:color="auto"/>
        <w:right w:val="none" w:sz="0" w:space="0" w:color="auto"/>
      </w:divBdr>
    </w:div>
    <w:div w:id="817765937">
      <w:bodyDiv w:val="1"/>
      <w:marLeft w:val="0"/>
      <w:marRight w:val="0"/>
      <w:marTop w:val="0"/>
      <w:marBottom w:val="0"/>
      <w:divBdr>
        <w:top w:val="none" w:sz="0" w:space="0" w:color="auto"/>
        <w:left w:val="none" w:sz="0" w:space="0" w:color="auto"/>
        <w:bottom w:val="none" w:sz="0" w:space="0" w:color="auto"/>
        <w:right w:val="none" w:sz="0" w:space="0" w:color="auto"/>
      </w:divBdr>
    </w:div>
    <w:div w:id="817767331">
      <w:bodyDiv w:val="1"/>
      <w:marLeft w:val="0"/>
      <w:marRight w:val="0"/>
      <w:marTop w:val="0"/>
      <w:marBottom w:val="0"/>
      <w:divBdr>
        <w:top w:val="none" w:sz="0" w:space="0" w:color="auto"/>
        <w:left w:val="none" w:sz="0" w:space="0" w:color="auto"/>
        <w:bottom w:val="none" w:sz="0" w:space="0" w:color="auto"/>
        <w:right w:val="none" w:sz="0" w:space="0" w:color="auto"/>
      </w:divBdr>
    </w:div>
    <w:div w:id="817769810">
      <w:bodyDiv w:val="1"/>
      <w:marLeft w:val="0"/>
      <w:marRight w:val="0"/>
      <w:marTop w:val="0"/>
      <w:marBottom w:val="0"/>
      <w:divBdr>
        <w:top w:val="none" w:sz="0" w:space="0" w:color="auto"/>
        <w:left w:val="none" w:sz="0" w:space="0" w:color="auto"/>
        <w:bottom w:val="none" w:sz="0" w:space="0" w:color="auto"/>
        <w:right w:val="none" w:sz="0" w:space="0" w:color="auto"/>
      </w:divBdr>
    </w:div>
    <w:div w:id="817844812">
      <w:bodyDiv w:val="1"/>
      <w:marLeft w:val="0"/>
      <w:marRight w:val="0"/>
      <w:marTop w:val="0"/>
      <w:marBottom w:val="0"/>
      <w:divBdr>
        <w:top w:val="none" w:sz="0" w:space="0" w:color="auto"/>
        <w:left w:val="none" w:sz="0" w:space="0" w:color="auto"/>
        <w:bottom w:val="none" w:sz="0" w:space="0" w:color="auto"/>
        <w:right w:val="none" w:sz="0" w:space="0" w:color="auto"/>
      </w:divBdr>
    </w:div>
    <w:div w:id="817958194">
      <w:bodyDiv w:val="1"/>
      <w:marLeft w:val="0"/>
      <w:marRight w:val="0"/>
      <w:marTop w:val="0"/>
      <w:marBottom w:val="0"/>
      <w:divBdr>
        <w:top w:val="none" w:sz="0" w:space="0" w:color="auto"/>
        <w:left w:val="none" w:sz="0" w:space="0" w:color="auto"/>
        <w:bottom w:val="none" w:sz="0" w:space="0" w:color="auto"/>
        <w:right w:val="none" w:sz="0" w:space="0" w:color="auto"/>
      </w:divBdr>
    </w:div>
    <w:div w:id="818032168">
      <w:bodyDiv w:val="1"/>
      <w:marLeft w:val="0"/>
      <w:marRight w:val="0"/>
      <w:marTop w:val="0"/>
      <w:marBottom w:val="0"/>
      <w:divBdr>
        <w:top w:val="none" w:sz="0" w:space="0" w:color="auto"/>
        <w:left w:val="none" w:sz="0" w:space="0" w:color="auto"/>
        <w:bottom w:val="none" w:sz="0" w:space="0" w:color="auto"/>
        <w:right w:val="none" w:sz="0" w:space="0" w:color="auto"/>
      </w:divBdr>
    </w:div>
    <w:div w:id="818035192">
      <w:bodyDiv w:val="1"/>
      <w:marLeft w:val="0"/>
      <w:marRight w:val="0"/>
      <w:marTop w:val="0"/>
      <w:marBottom w:val="0"/>
      <w:divBdr>
        <w:top w:val="none" w:sz="0" w:space="0" w:color="auto"/>
        <w:left w:val="none" w:sz="0" w:space="0" w:color="auto"/>
        <w:bottom w:val="none" w:sz="0" w:space="0" w:color="auto"/>
        <w:right w:val="none" w:sz="0" w:space="0" w:color="auto"/>
      </w:divBdr>
    </w:div>
    <w:div w:id="818116196">
      <w:bodyDiv w:val="1"/>
      <w:marLeft w:val="0"/>
      <w:marRight w:val="0"/>
      <w:marTop w:val="0"/>
      <w:marBottom w:val="0"/>
      <w:divBdr>
        <w:top w:val="none" w:sz="0" w:space="0" w:color="auto"/>
        <w:left w:val="none" w:sz="0" w:space="0" w:color="auto"/>
        <w:bottom w:val="none" w:sz="0" w:space="0" w:color="auto"/>
        <w:right w:val="none" w:sz="0" w:space="0" w:color="auto"/>
      </w:divBdr>
    </w:div>
    <w:div w:id="818154338">
      <w:bodyDiv w:val="1"/>
      <w:marLeft w:val="0"/>
      <w:marRight w:val="0"/>
      <w:marTop w:val="0"/>
      <w:marBottom w:val="0"/>
      <w:divBdr>
        <w:top w:val="none" w:sz="0" w:space="0" w:color="auto"/>
        <w:left w:val="none" w:sz="0" w:space="0" w:color="auto"/>
        <w:bottom w:val="none" w:sz="0" w:space="0" w:color="auto"/>
        <w:right w:val="none" w:sz="0" w:space="0" w:color="auto"/>
      </w:divBdr>
    </w:div>
    <w:div w:id="818426633">
      <w:bodyDiv w:val="1"/>
      <w:marLeft w:val="0"/>
      <w:marRight w:val="0"/>
      <w:marTop w:val="0"/>
      <w:marBottom w:val="0"/>
      <w:divBdr>
        <w:top w:val="none" w:sz="0" w:space="0" w:color="auto"/>
        <w:left w:val="none" w:sz="0" w:space="0" w:color="auto"/>
        <w:bottom w:val="none" w:sz="0" w:space="0" w:color="auto"/>
        <w:right w:val="none" w:sz="0" w:space="0" w:color="auto"/>
      </w:divBdr>
    </w:div>
    <w:div w:id="818575590">
      <w:bodyDiv w:val="1"/>
      <w:marLeft w:val="0"/>
      <w:marRight w:val="0"/>
      <w:marTop w:val="0"/>
      <w:marBottom w:val="0"/>
      <w:divBdr>
        <w:top w:val="none" w:sz="0" w:space="0" w:color="auto"/>
        <w:left w:val="none" w:sz="0" w:space="0" w:color="auto"/>
        <w:bottom w:val="none" w:sz="0" w:space="0" w:color="auto"/>
        <w:right w:val="none" w:sz="0" w:space="0" w:color="auto"/>
      </w:divBdr>
    </w:div>
    <w:div w:id="818690168">
      <w:bodyDiv w:val="1"/>
      <w:marLeft w:val="0"/>
      <w:marRight w:val="0"/>
      <w:marTop w:val="0"/>
      <w:marBottom w:val="0"/>
      <w:divBdr>
        <w:top w:val="none" w:sz="0" w:space="0" w:color="auto"/>
        <w:left w:val="none" w:sz="0" w:space="0" w:color="auto"/>
        <w:bottom w:val="none" w:sz="0" w:space="0" w:color="auto"/>
        <w:right w:val="none" w:sz="0" w:space="0" w:color="auto"/>
      </w:divBdr>
    </w:div>
    <w:div w:id="818771384">
      <w:bodyDiv w:val="1"/>
      <w:marLeft w:val="0"/>
      <w:marRight w:val="0"/>
      <w:marTop w:val="0"/>
      <w:marBottom w:val="0"/>
      <w:divBdr>
        <w:top w:val="none" w:sz="0" w:space="0" w:color="auto"/>
        <w:left w:val="none" w:sz="0" w:space="0" w:color="auto"/>
        <w:bottom w:val="none" w:sz="0" w:space="0" w:color="auto"/>
        <w:right w:val="none" w:sz="0" w:space="0" w:color="auto"/>
      </w:divBdr>
    </w:div>
    <w:div w:id="818955860">
      <w:bodyDiv w:val="1"/>
      <w:marLeft w:val="0"/>
      <w:marRight w:val="0"/>
      <w:marTop w:val="0"/>
      <w:marBottom w:val="0"/>
      <w:divBdr>
        <w:top w:val="none" w:sz="0" w:space="0" w:color="auto"/>
        <w:left w:val="none" w:sz="0" w:space="0" w:color="auto"/>
        <w:bottom w:val="none" w:sz="0" w:space="0" w:color="auto"/>
        <w:right w:val="none" w:sz="0" w:space="0" w:color="auto"/>
      </w:divBdr>
    </w:div>
    <w:div w:id="818965274">
      <w:bodyDiv w:val="1"/>
      <w:marLeft w:val="0"/>
      <w:marRight w:val="0"/>
      <w:marTop w:val="0"/>
      <w:marBottom w:val="0"/>
      <w:divBdr>
        <w:top w:val="none" w:sz="0" w:space="0" w:color="auto"/>
        <w:left w:val="none" w:sz="0" w:space="0" w:color="auto"/>
        <w:bottom w:val="none" w:sz="0" w:space="0" w:color="auto"/>
        <w:right w:val="none" w:sz="0" w:space="0" w:color="auto"/>
      </w:divBdr>
    </w:div>
    <w:div w:id="819006253">
      <w:bodyDiv w:val="1"/>
      <w:marLeft w:val="0"/>
      <w:marRight w:val="0"/>
      <w:marTop w:val="0"/>
      <w:marBottom w:val="0"/>
      <w:divBdr>
        <w:top w:val="none" w:sz="0" w:space="0" w:color="auto"/>
        <w:left w:val="none" w:sz="0" w:space="0" w:color="auto"/>
        <w:bottom w:val="none" w:sz="0" w:space="0" w:color="auto"/>
        <w:right w:val="none" w:sz="0" w:space="0" w:color="auto"/>
      </w:divBdr>
    </w:div>
    <w:div w:id="819074633">
      <w:bodyDiv w:val="1"/>
      <w:marLeft w:val="0"/>
      <w:marRight w:val="0"/>
      <w:marTop w:val="0"/>
      <w:marBottom w:val="0"/>
      <w:divBdr>
        <w:top w:val="none" w:sz="0" w:space="0" w:color="auto"/>
        <w:left w:val="none" w:sz="0" w:space="0" w:color="auto"/>
        <w:bottom w:val="none" w:sz="0" w:space="0" w:color="auto"/>
        <w:right w:val="none" w:sz="0" w:space="0" w:color="auto"/>
      </w:divBdr>
    </w:div>
    <w:div w:id="819076938">
      <w:bodyDiv w:val="1"/>
      <w:marLeft w:val="0"/>
      <w:marRight w:val="0"/>
      <w:marTop w:val="0"/>
      <w:marBottom w:val="0"/>
      <w:divBdr>
        <w:top w:val="none" w:sz="0" w:space="0" w:color="auto"/>
        <w:left w:val="none" w:sz="0" w:space="0" w:color="auto"/>
        <w:bottom w:val="none" w:sz="0" w:space="0" w:color="auto"/>
        <w:right w:val="none" w:sz="0" w:space="0" w:color="auto"/>
      </w:divBdr>
    </w:div>
    <w:div w:id="819078115">
      <w:bodyDiv w:val="1"/>
      <w:marLeft w:val="0"/>
      <w:marRight w:val="0"/>
      <w:marTop w:val="0"/>
      <w:marBottom w:val="0"/>
      <w:divBdr>
        <w:top w:val="none" w:sz="0" w:space="0" w:color="auto"/>
        <w:left w:val="none" w:sz="0" w:space="0" w:color="auto"/>
        <w:bottom w:val="none" w:sz="0" w:space="0" w:color="auto"/>
        <w:right w:val="none" w:sz="0" w:space="0" w:color="auto"/>
      </w:divBdr>
    </w:div>
    <w:div w:id="819150982">
      <w:bodyDiv w:val="1"/>
      <w:marLeft w:val="0"/>
      <w:marRight w:val="0"/>
      <w:marTop w:val="0"/>
      <w:marBottom w:val="0"/>
      <w:divBdr>
        <w:top w:val="none" w:sz="0" w:space="0" w:color="auto"/>
        <w:left w:val="none" w:sz="0" w:space="0" w:color="auto"/>
        <w:bottom w:val="none" w:sz="0" w:space="0" w:color="auto"/>
        <w:right w:val="none" w:sz="0" w:space="0" w:color="auto"/>
      </w:divBdr>
    </w:div>
    <w:div w:id="819270369">
      <w:bodyDiv w:val="1"/>
      <w:marLeft w:val="0"/>
      <w:marRight w:val="0"/>
      <w:marTop w:val="0"/>
      <w:marBottom w:val="0"/>
      <w:divBdr>
        <w:top w:val="none" w:sz="0" w:space="0" w:color="auto"/>
        <w:left w:val="none" w:sz="0" w:space="0" w:color="auto"/>
        <w:bottom w:val="none" w:sz="0" w:space="0" w:color="auto"/>
        <w:right w:val="none" w:sz="0" w:space="0" w:color="auto"/>
      </w:divBdr>
    </w:div>
    <w:div w:id="819344646">
      <w:bodyDiv w:val="1"/>
      <w:marLeft w:val="0"/>
      <w:marRight w:val="0"/>
      <w:marTop w:val="0"/>
      <w:marBottom w:val="0"/>
      <w:divBdr>
        <w:top w:val="none" w:sz="0" w:space="0" w:color="auto"/>
        <w:left w:val="none" w:sz="0" w:space="0" w:color="auto"/>
        <w:bottom w:val="none" w:sz="0" w:space="0" w:color="auto"/>
        <w:right w:val="none" w:sz="0" w:space="0" w:color="auto"/>
      </w:divBdr>
    </w:div>
    <w:div w:id="819346405">
      <w:bodyDiv w:val="1"/>
      <w:marLeft w:val="0"/>
      <w:marRight w:val="0"/>
      <w:marTop w:val="0"/>
      <w:marBottom w:val="0"/>
      <w:divBdr>
        <w:top w:val="none" w:sz="0" w:space="0" w:color="auto"/>
        <w:left w:val="none" w:sz="0" w:space="0" w:color="auto"/>
        <w:bottom w:val="none" w:sz="0" w:space="0" w:color="auto"/>
        <w:right w:val="none" w:sz="0" w:space="0" w:color="auto"/>
      </w:divBdr>
    </w:div>
    <w:div w:id="819418298">
      <w:bodyDiv w:val="1"/>
      <w:marLeft w:val="0"/>
      <w:marRight w:val="0"/>
      <w:marTop w:val="0"/>
      <w:marBottom w:val="0"/>
      <w:divBdr>
        <w:top w:val="none" w:sz="0" w:space="0" w:color="auto"/>
        <w:left w:val="none" w:sz="0" w:space="0" w:color="auto"/>
        <w:bottom w:val="none" w:sz="0" w:space="0" w:color="auto"/>
        <w:right w:val="none" w:sz="0" w:space="0" w:color="auto"/>
      </w:divBdr>
    </w:div>
    <w:div w:id="819419011">
      <w:bodyDiv w:val="1"/>
      <w:marLeft w:val="0"/>
      <w:marRight w:val="0"/>
      <w:marTop w:val="0"/>
      <w:marBottom w:val="0"/>
      <w:divBdr>
        <w:top w:val="none" w:sz="0" w:space="0" w:color="auto"/>
        <w:left w:val="none" w:sz="0" w:space="0" w:color="auto"/>
        <w:bottom w:val="none" w:sz="0" w:space="0" w:color="auto"/>
        <w:right w:val="none" w:sz="0" w:space="0" w:color="auto"/>
      </w:divBdr>
    </w:div>
    <w:div w:id="819462293">
      <w:bodyDiv w:val="1"/>
      <w:marLeft w:val="0"/>
      <w:marRight w:val="0"/>
      <w:marTop w:val="0"/>
      <w:marBottom w:val="0"/>
      <w:divBdr>
        <w:top w:val="none" w:sz="0" w:space="0" w:color="auto"/>
        <w:left w:val="none" w:sz="0" w:space="0" w:color="auto"/>
        <w:bottom w:val="none" w:sz="0" w:space="0" w:color="auto"/>
        <w:right w:val="none" w:sz="0" w:space="0" w:color="auto"/>
      </w:divBdr>
    </w:div>
    <w:div w:id="819541266">
      <w:bodyDiv w:val="1"/>
      <w:marLeft w:val="0"/>
      <w:marRight w:val="0"/>
      <w:marTop w:val="0"/>
      <w:marBottom w:val="0"/>
      <w:divBdr>
        <w:top w:val="none" w:sz="0" w:space="0" w:color="auto"/>
        <w:left w:val="none" w:sz="0" w:space="0" w:color="auto"/>
        <w:bottom w:val="none" w:sz="0" w:space="0" w:color="auto"/>
        <w:right w:val="none" w:sz="0" w:space="0" w:color="auto"/>
      </w:divBdr>
    </w:div>
    <w:div w:id="819686492">
      <w:bodyDiv w:val="1"/>
      <w:marLeft w:val="0"/>
      <w:marRight w:val="0"/>
      <w:marTop w:val="0"/>
      <w:marBottom w:val="0"/>
      <w:divBdr>
        <w:top w:val="none" w:sz="0" w:space="0" w:color="auto"/>
        <w:left w:val="none" w:sz="0" w:space="0" w:color="auto"/>
        <w:bottom w:val="none" w:sz="0" w:space="0" w:color="auto"/>
        <w:right w:val="none" w:sz="0" w:space="0" w:color="auto"/>
      </w:divBdr>
    </w:div>
    <w:div w:id="819729116">
      <w:bodyDiv w:val="1"/>
      <w:marLeft w:val="0"/>
      <w:marRight w:val="0"/>
      <w:marTop w:val="0"/>
      <w:marBottom w:val="0"/>
      <w:divBdr>
        <w:top w:val="none" w:sz="0" w:space="0" w:color="auto"/>
        <w:left w:val="none" w:sz="0" w:space="0" w:color="auto"/>
        <w:bottom w:val="none" w:sz="0" w:space="0" w:color="auto"/>
        <w:right w:val="none" w:sz="0" w:space="0" w:color="auto"/>
      </w:divBdr>
    </w:div>
    <w:div w:id="819735919">
      <w:bodyDiv w:val="1"/>
      <w:marLeft w:val="0"/>
      <w:marRight w:val="0"/>
      <w:marTop w:val="0"/>
      <w:marBottom w:val="0"/>
      <w:divBdr>
        <w:top w:val="none" w:sz="0" w:space="0" w:color="auto"/>
        <w:left w:val="none" w:sz="0" w:space="0" w:color="auto"/>
        <w:bottom w:val="none" w:sz="0" w:space="0" w:color="auto"/>
        <w:right w:val="none" w:sz="0" w:space="0" w:color="auto"/>
      </w:divBdr>
    </w:div>
    <w:div w:id="819805391">
      <w:bodyDiv w:val="1"/>
      <w:marLeft w:val="0"/>
      <w:marRight w:val="0"/>
      <w:marTop w:val="0"/>
      <w:marBottom w:val="0"/>
      <w:divBdr>
        <w:top w:val="none" w:sz="0" w:space="0" w:color="auto"/>
        <w:left w:val="none" w:sz="0" w:space="0" w:color="auto"/>
        <w:bottom w:val="none" w:sz="0" w:space="0" w:color="auto"/>
        <w:right w:val="none" w:sz="0" w:space="0" w:color="auto"/>
      </w:divBdr>
    </w:div>
    <w:div w:id="819881744">
      <w:bodyDiv w:val="1"/>
      <w:marLeft w:val="0"/>
      <w:marRight w:val="0"/>
      <w:marTop w:val="0"/>
      <w:marBottom w:val="0"/>
      <w:divBdr>
        <w:top w:val="none" w:sz="0" w:space="0" w:color="auto"/>
        <w:left w:val="none" w:sz="0" w:space="0" w:color="auto"/>
        <w:bottom w:val="none" w:sz="0" w:space="0" w:color="auto"/>
        <w:right w:val="none" w:sz="0" w:space="0" w:color="auto"/>
      </w:divBdr>
    </w:div>
    <w:div w:id="819887362">
      <w:bodyDiv w:val="1"/>
      <w:marLeft w:val="0"/>
      <w:marRight w:val="0"/>
      <w:marTop w:val="0"/>
      <w:marBottom w:val="0"/>
      <w:divBdr>
        <w:top w:val="none" w:sz="0" w:space="0" w:color="auto"/>
        <w:left w:val="none" w:sz="0" w:space="0" w:color="auto"/>
        <w:bottom w:val="none" w:sz="0" w:space="0" w:color="auto"/>
        <w:right w:val="none" w:sz="0" w:space="0" w:color="auto"/>
      </w:divBdr>
    </w:div>
    <w:div w:id="820072922">
      <w:bodyDiv w:val="1"/>
      <w:marLeft w:val="0"/>
      <w:marRight w:val="0"/>
      <w:marTop w:val="0"/>
      <w:marBottom w:val="0"/>
      <w:divBdr>
        <w:top w:val="none" w:sz="0" w:space="0" w:color="auto"/>
        <w:left w:val="none" w:sz="0" w:space="0" w:color="auto"/>
        <w:bottom w:val="none" w:sz="0" w:space="0" w:color="auto"/>
        <w:right w:val="none" w:sz="0" w:space="0" w:color="auto"/>
      </w:divBdr>
    </w:div>
    <w:div w:id="820148907">
      <w:bodyDiv w:val="1"/>
      <w:marLeft w:val="0"/>
      <w:marRight w:val="0"/>
      <w:marTop w:val="0"/>
      <w:marBottom w:val="0"/>
      <w:divBdr>
        <w:top w:val="none" w:sz="0" w:space="0" w:color="auto"/>
        <w:left w:val="none" w:sz="0" w:space="0" w:color="auto"/>
        <w:bottom w:val="none" w:sz="0" w:space="0" w:color="auto"/>
        <w:right w:val="none" w:sz="0" w:space="0" w:color="auto"/>
      </w:divBdr>
    </w:div>
    <w:div w:id="820195085">
      <w:bodyDiv w:val="1"/>
      <w:marLeft w:val="0"/>
      <w:marRight w:val="0"/>
      <w:marTop w:val="0"/>
      <w:marBottom w:val="0"/>
      <w:divBdr>
        <w:top w:val="none" w:sz="0" w:space="0" w:color="auto"/>
        <w:left w:val="none" w:sz="0" w:space="0" w:color="auto"/>
        <w:bottom w:val="none" w:sz="0" w:space="0" w:color="auto"/>
        <w:right w:val="none" w:sz="0" w:space="0" w:color="auto"/>
      </w:divBdr>
    </w:div>
    <w:div w:id="820196078">
      <w:bodyDiv w:val="1"/>
      <w:marLeft w:val="0"/>
      <w:marRight w:val="0"/>
      <w:marTop w:val="0"/>
      <w:marBottom w:val="0"/>
      <w:divBdr>
        <w:top w:val="none" w:sz="0" w:space="0" w:color="auto"/>
        <w:left w:val="none" w:sz="0" w:space="0" w:color="auto"/>
        <w:bottom w:val="none" w:sz="0" w:space="0" w:color="auto"/>
        <w:right w:val="none" w:sz="0" w:space="0" w:color="auto"/>
      </w:divBdr>
    </w:div>
    <w:div w:id="820584279">
      <w:bodyDiv w:val="1"/>
      <w:marLeft w:val="0"/>
      <w:marRight w:val="0"/>
      <w:marTop w:val="0"/>
      <w:marBottom w:val="0"/>
      <w:divBdr>
        <w:top w:val="none" w:sz="0" w:space="0" w:color="auto"/>
        <w:left w:val="none" w:sz="0" w:space="0" w:color="auto"/>
        <w:bottom w:val="none" w:sz="0" w:space="0" w:color="auto"/>
        <w:right w:val="none" w:sz="0" w:space="0" w:color="auto"/>
      </w:divBdr>
    </w:div>
    <w:div w:id="820584812">
      <w:bodyDiv w:val="1"/>
      <w:marLeft w:val="0"/>
      <w:marRight w:val="0"/>
      <w:marTop w:val="0"/>
      <w:marBottom w:val="0"/>
      <w:divBdr>
        <w:top w:val="none" w:sz="0" w:space="0" w:color="auto"/>
        <w:left w:val="none" w:sz="0" w:space="0" w:color="auto"/>
        <w:bottom w:val="none" w:sz="0" w:space="0" w:color="auto"/>
        <w:right w:val="none" w:sz="0" w:space="0" w:color="auto"/>
      </w:divBdr>
    </w:div>
    <w:div w:id="820586198">
      <w:bodyDiv w:val="1"/>
      <w:marLeft w:val="0"/>
      <w:marRight w:val="0"/>
      <w:marTop w:val="0"/>
      <w:marBottom w:val="0"/>
      <w:divBdr>
        <w:top w:val="none" w:sz="0" w:space="0" w:color="auto"/>
        <w:left w:val="none" w:sz="0" w:space="0" w:color="auto"/>
        <w:bottom w:val="none" w:sz="0" w:space="0" w:color="auto"/>
        <w:right w:val="none" w:sz="0" w:space="0" w:color="auto"/>
      </w:divBdr>
    </w:div>
    <w:div w:id="820729020">
      <w:bodyDiv w:val="1"/>
      <w:marLeft w:val="0"/>
      <w:marRight w:val="0"/>
      <w:marTop w:val="0"/>
      <w:marBottom w:val="0"/>
      <w:divBdr>
        <w:top w:val="none" w:sz="0" w:space="0" w:color="auto"/>
        <w:left w:val="none" w:sz="0" w:space="0" w:color="auto"/>
        <w:bottom w:val="none" w:sz="0" w:space="0" w:color="auto"/>
        <w:right w:val="none" w:sz="0" w:space="0" w:color="auto"/>
      </w:divBdr>
    </w:div>
    <w:div w:id="820805606">
      <w:bodyDiv w:val="1"/>
      <w:marLeft w:val="0"/>
      <w:marRight w:val="0"/>
      <w:marTop w:val="0"/>
      <w:marBottom w:val="0"/>
      <w:divBdr>
        <w:top w:val="none" w:sz="0" w:space="0" w:color="auto"/>
        <w:left w:val="none" w:sz="0" w:space="0" w:color="auto"/>
        <w:bottom w:val="none" w:sz="0" w:space="0" w:color="auto"/>
        <w:right w:val="none" w:sz="0" w:space="0" w:color="auto"/>
      </w:divBdr>
    </w:div>
    <w:div w:id="821121333">
      <w:bodyDiv w:val="1"/>
      <w:marLeft w:val="0"/>
      <w:marRight w:val="0"/>
      <w:marTop w:val="0"/>
      <w:marBottom w:val="0"/>
      <w:divBdr>
        <w:top w:val="none" w:sz="0" w:space="0" w:color="auto"/>
        <w:left w:val="none" w:sz="0" w:space="0" w:color="auto"/>
        <w:bottom w:val="none" w:sz="0" w:space="0" w:color="auto"/>
        <w:right w:val="none" w:sz="0" w:space="0" w:color="auto"/>
      </w:divBdr>
    </w:div>
    <w:div w:id="821190497">
      <w:bodyDiv w:val="1"/>
      <w:marLeft w:val="0"/>
      <w:marRight w:val="0"/>
      <w:marTop w:val="0"/>
      <w:marBottom w:val="0"/>
      <w:divBdr>
        <w:top w:val="none" w:sz="0" w:space="0" w:color="auto"/>
        <w:left w:val="none" w:sz="0" w:space="0" w:color="auto"/>
        <w:bottom w:val="none" w:sz="0" w:space="0" w:color="auto"/>
        <w:right w:val="none" w:sz="0" w:space="0" w:color="auto"/>
      </w:divBdr>
    </w:div>
    <w:div w:id="821191700">
      <w:bodyDiv w:val="1"/>
      <w:marLeft w:val="0"/>
      <w:marRight w:val="0"/>
      <w:marTop w:val="0"/>
      <w:marBottom w:val="0"/>
      <w:divBdr>
        <w:top w:val="none" w:sz="0" w:space="0" w:color="auto"/>
        <w:left w:val="none" w:sz="0" w:space="0" w:color="auto"/>
        <w:bottom w:val="none" w:sz="0" w:space="0" w:color="auto"/>
        <w:right w:val="none" w:sz="0" w:space="0" w:color="auto"/>
      </w:divBdr>
    </w:div>
    <w:div w:id="821235751">
      <w:bodyDiv w:val="1"/>
      <w:marLeft w:val="0"/>
      <w:marRight w:val="0"/>
      <w:marTop w:val="0"/>
      <w:marBottom w:val="0"/>
      <w:divBdr>
        <w:top w:val="none" w:sz="0" w:space="0" w:color="auto"/>
        <w:left w:val="none" w:sz="0" w:space="0" w:color="auto"/>
        <w:bottom w:val="none" w:sz="0" w:space="0" w:color="auto"/>
        <w:right w:val="none" w:sz="0" w:space="0" w:color="auto"/>
      </w:divBdr>
    </w:div>
    <w:div w:id="821317099">
      <w:bodyDiv w:val="1"/>
      <w:marLeft w:val="0"/>
      <w:marRight w:val="0"/>
      <w:marTop w:val="0"/>
      <w:marBottom w:val="0"/>
      <w:divBdr>
        <w:top w:val="none" w:sz="0" w:space="0" w:color="auto"/>
        <w:left w:val="none" w:sz="0" w:space="0" w:color="auto"/>
        <w:bottom w:val="none" w:sz="0" w:space="0" w:color="auto"/>
        <w:right w:val="none" w:sz="0" w:space="0" w:color="auto"/>
      </w:divBdr>
    </w:div>
    <w:div w:id="821386396">
      <w:bodyDiv w:val="1"/>
      <w:marLeft w:val="0"/>
      <w:marRight w:val="0"/>
      <w:marTop w:val="0"/>
      <w:marBottom w:val="0"/>
      <w:divBdr>
        <w:top w:val="none" w:sz="0" w:space="0" w:color="auto"/>
        <w:left w:val="none" w:sz="0" w:space="0" w:color="auto"/>
        <w:bottom w:val="none" w:sz="0" w:space="0" w:color="auto"/>
        <w:right w:val="none" w:sz="0" w:space="0" w:color="auto"/>
      </w:divBdr>
    </w:div>
    <w:div w:id="821390876">
      <w:bodyDiv w:val="1"/>
      <w:marLeft w:val="0"/>
      <w:marRight w:val="0"/>
      <w:marTop w:val="0"/>
      <w:marBottom w:val="0"/>
      <w:divBdr>
        <w:top w:val="none" w:sz="0" w:space="0" w:color="auto"/>
        <w:left w:val="none" w:sz="0" w:space="0" w:color="auto"/>
        <w:bottom w:val="none" w:sz="0" w:space="0" w:color="auto"/>
        <w:right w:val="none" w:sz="0" w:space="0" w:color="auto"/>
      </w:divBdr>
    </w:div>
    <w:div w:id="821430282">
      <w:bodyDiv w:val="1"/>
      <w:marLeft w:val="0"/>
      <w:marRight w:val="0"/>
      <w:marTop w:val="0"/>
      <w:marBottom w:val="0"/>
      <w:divBdr>
        <w:top w:val="none" w:sz="0" w:space="0" w:color="auto"/>
        <w:left w:val="none" w:sz="0" w:space="0" w:color="auto"/>
        <w:bottom w:val="none" w:sz="0" w:space="0" w:color="auto"/>
        <w:right w:val="none" w:sz="0" w:space="0" w:color="auto"/>
      </w:divBdr>
    </w:div>
    <w:div w:id="821507866">
      <w:bodyDiv w:val="1"/>
      <w:marLeft w:val="0"/>
      <w:marRight w:val="0"/>
      <w:marTop w:val="0"/>
      <w:marBottom w:val="0"/>
      <w:divBdr>
        <w:top w:val="none" w:sz="0" w:space="0" w:color="auto"/>
        <w:left w:val="none" w:sz="0" w:space="0" w:color="auto"/>
        <w:bottom w:val="none" w:sz="0" w:space="0" w:color="auto"/>
        <w:right w:val="none" w:sz="0" w:space="0" w:color="auto"/>
      </w:divBdr>
    </w:div>
    <w:div w:id="821695806">
      <w:bodyDiv w:val="1"/>
      <w:marLeft w:val="0"/>
      <w:marRight w:val="0"/>
      <w:marTop w:val="0"/>
      <w:marBottom w:val="0"/>
      <w:divBdr>
        <w:top w:val="none" w:sz="0" w:space="0" w:color="auto"/>
        <w:left w:val="none" w:sz="0" w:space="0" w:color="auto"/>
        <w:bottom w:val="none" w:sz="0" w:space="0" w:color="auto"/>
        <w:right w:val="none" w:sz="0" w:space="0" w:color="auto"/>
      </w:divBdr>
    </w:div>
    <w:div w:id="821821659">
      <w:bodyDiv w:val="1"/>
      <w:marLeft w:val="0"/>
      <w:marRight w:val="0"/>
      <w:marTop w:val="0"/>
      <w:marBottom w:val="0"/>
      <w:divBdr>
        <w:top w:val="none" w:sz="0" w:space="0" w:color="auto"/>
        <w:left w:val="none" w:sz="0" w:space="0" w:color="auto"/>
        <w:bottom w:val="none" w:sz="0" w:space="0" w:color="auto"/>
        <w:right w:val="none" w:sz="0" w:space="0" w:color="auto"/>
      </w:divBdr>
    </w:div>
    <w:div w:id="821890875">
      <w:bodyDiv w:val="1"/>
      <w:marLeft w:val="0"/>
      <w:marRight w:val="0"/>
      <w:marTop w:val="0"/>
      <w:marBottom w:val="0"/>
      <w:divBdr>
        <w:top w:val="none" w:sz="0" w:space="0" w:color="auto"/>
        <w:left w:val="none" w:sz="0" w:space="0" w:color="auto"/>
        <w:bottom w:val="none" w:sz="0" w:space="0" w:color="auto"/>
        <w:right w:val="none" w:sz="0" w:space="0" w:color="auto"/>
      </w:divBdr>
    </w:div>
    <w:div w:id="821892384">
      <w:bodyDiv w:val="1"/>
      <w:marLeft w:val="0"/>
      <w:marRight w:val="0"/>
      <w:marTop w:val="0"/>
      <w:marBottom w:val="0"/>
      <w:divBdr>
        <w:top w:val="none" w:sz="0" w:space="0" w:color="auto"/>
        <w:left w:val="none" w:sz="0" w:space="0" w:color="auto"/>
        <w:bottom w:val="none" w:sz="0" w:space="0" w:color="auto"/>
        <w:right w:val="none" w:sz="0" w:space="0" w:color="auto"/>
      </w:divBdr>
    </w:div>
    <w:div w:id="821893847">
      <w:bodyDiv w:val="1"/>
      <w:marLeft w:val="0"/>
      <w:marRight w:val="0"/>
      <w:marTop w:val="0"/>
      <w:marBottom w:val="0"/>
      <w:divBdr>
        <w:top w:val="none" w:sz="0" w:space="0" w:color="auto"/>
        <w:left w:val="none" w:sz="0" w:space="0" w:color="auto"/>
        <w:bottom w:val="none" w:sz="0" w:space="0" w:color="auto"/>
        <w:right w:val="none" w:sz="0" w:space="0" w:color="auto"/>
      </w:divBdr>
    </w:div>
    <w:div w:id="821966052">
      <w:bodyDiv w:val="1"/>
      <w:marLeft w:val="0"/>
      <w:marRight w:val="0"/>
      <w:marTop w:val="0"/>
      <w:marBottom w:val="0"/>
      <w:divBdr>
        <w:top w:val="none" w:sz="0" w:space="0" w:color="auto"/>
        <w:left w:val="none" w:sz="0" w:space="0" w:color="auto"/>
        <w:bottom w:val="none" w:sz="0" w:space="0" w:color="auto"/>
        <w:right w:val="none" w:sz="0" w:space="0" w:color="auto"/>
      </w:divBdr>
    </w:div>
    <w:div w:id="822041321">
      <w:bodyDiv w:val="1"/>
      <w:marLeft w:val="0"/>
      <w:marRight w:val="0"/>
      <w:marTop w:val="0"/>
      <w:marBottom w:val="0"/>
      <w:divBdr>
        <w:top w:val="none" w:sz="0" w:space="0" w:color="auto"/>
        <w:left w:val="none" w:sz="0" w:space="0" w:color="auto"/>
        <w:bottom w:val="none" w:sz="0" w:space="0" w:color="auto"/>
        <w:right w:val="none" w:sz="0" w:space="0" w:color="auto"/>
      </w:divBdr>
    </w:div>
    <w:div w:id="822042376">
      <w:bodyDiv w:val="1"/>
      <w:marLeft w:val="0"/>
      <w:marRight w:val="0"/>
      <w:marTop w:val="0"/>
      <w:marBottom w:val="0"/>
      <w:divBdr>
        <w:top w:val="none" w:sz="0" w:space="0" w:color="auto"/>
        <w:left w:val="none" w:sz="0" w:space="0" w:color="auto"/>
        <w:bottom w:val="none" w:sz="0" w:space="0" w:color="auto"/>
        <w:right w:val="none" w:sz="0" w:space="0" w:color="auto"/>
      </w:divBdr>
    </w:div>
    <w:div w:id="822045192">
      <w:bodyDiv w:val="1"/>
      <w:marLeft w:val="0"/>
      <w:marRight w:val="0"/>
      <w:marTop w:val="0"/>
      <w:marBottom w:val="0"/>
      <w:divBdr>
        <w:top w:val="none" w:sz="0" w:space="0" w:color="auto"/>
        <w:left w:val="none" w:sz="0" w:space="0" w:color="auto"/>
        <w:bottom w:val="none" w:sz="0" w:space="0" w:color="auto"/>
        <w:right w:val="none" w:sz="0" w:space="0" w:color="auto"/>
      </w:divBdr>
    </w:div>
    <w:div w:id="822046518">
      <w:bodyDiv w:val="1"/>
      <w:marLeft w:val="0"/>
      <w:marRight w:val="0"/>
      <w:marTop w:val="0"/>
      <w:marBottom w:val="0"/>
      <w:divBdr>
        <w:top w:val="none" w:sz="0" w:space="0" w:color="auto"/>
        <w:left w:val="none" w:sz="0" w:space="0" w:color="auto"/>
        <w:bottom w:val="none" w:sz="0" w:space="0" w:color="auto"/>
        <w:right w:val="none" w:sz="0" w:space="0" w:color="auto"/>
      </w:divBdr>
    </w:div>
    <w:div w:id="822280376">
      <w:bodyDiv w:val="1"/>
      <w:marLeft w:val="0"/>
      <w:marRight w:val="0"/>
      <w:marTop w:val="0"/>
      <w:marBottom w:val="0"/>
      <w:divBdr>
        <w:top w:val="none" w:sz="0" w:space="0" w:color="auto"/>
        <w:left w:val="none" w:sz="0" w:space="0" w:color="auto"/>
        <w:bottom w:val="none" w:sz="0" w:space="0" w:color="auto"/>
        <w:right w:val="none" w:sz="0" w:space="0" w:color="auto"/>
      </w:divBdr>
    </w:div>
    <w:div w:id="822308697">
      <w:bodyDiv w:val="1"/>
      <w:marLeft w:val="0"/>
      <w:marRight w:val="0"/>
      <w:marTop w:val="0"/>
      <w:marBottom w:val="0"/>
      <w:divBdr>
        <w:top w:val="none" w:sz="0" w:space="0" w:color="auto"/>
        <w:left w:val="none" w:sz="0" w:space="0" w:color="auto"/>
        <w:bottom w:val="none" w:sz="0" w:space="0" w:color="auto"/>
        <w:right w:val="none" w:sz="0" w:space="0" w:color="auto"/>
      </w:divBdr>
    </w:div>
    <w:div w:id="822311070">
      <w:bodyDiv w:val="1"/>
      <w:marLeft w:val="0"/>
      <w:marRight w:val="0"/>
      <w:marTop w:val="0"/>
      <w:marBottom w:val="0"/>
      <w:divBdr>
        <w:top w:val="none" w:sz="0" w:space="0" w:color="auto"/>
        <w:left w:val="none" w:sz="0" w:space="0" w:color="auto"/>
        <w:bottom w:val="none" w:sz="0" w:space="0" w:color="auto"/>
        <w:right w:val="none" w:sz="0" w:space="0" w:color="auto"/>
      </w:divBdr>
    </w:div>
    <w:div w:id="822428701">
      <w:bodyDiv w:val="1"/>
      <w:marLeft w:val="0"/>
      <w:marRight w:val="0"/>
      <w:marTop w:val="0"/>
      <w:marBottom w:val="0"/>
      <w:divBdr>
        <w:top w:val="none" w:sz="0" w:space="0" w:color="auto"/>
        <w:left w:val="none" w:sz="0" w:space="0" w:color="auto"/>
        <w:bottom w:val="none" w:sz="0" w:space="0" w:color="auto"/>
        <w:right w:val="none" w:sz="0" w:space="0" w:color="auto"/>
      </w:divBdr>
    </w:div>
    <w:div w:id="822627439">
      <w:bodyDiv w:val="1"/>
      <w:marLeft w:val="0"/>
      <w:marRight w:val="0"/>
      <w:marTop w:val="0"/>
      <w:marBottom w:val="0"/>
      <w:divBdr>
        <w:top w:val="none" w:sz="0" w:space="0" w:color="auto"/>
        <w:left w:val="none" w:sz="0" w:space="0" w:color="auto"/>
        <w:bottom w:val="none" w:sz="0" w:space="0" w:color="auto"/>
        <w:right w:val="none" w:sz="0" w:space="0" w:color="auto"/>
      </w:divBdr>
    </w:div>
    <w:div w:id="822744851">
      <w:bodyDiv w:val="1"/>
      <w:marLeft w:val="0"/>
      <w:marRight w:val="0"/>
      <w:marTop w:val="0"/>
      <w:marBottom w:val="0"/>
      <w:divBdr>
        <w:top w:val="none" w:sz="0" w:space="0" w:color="auto"/>
        <w:left w:val="none" w:sz="0" w:space="0" w:color="auto"/>
        <w:bottom w:val="none" w:sz="0" w:space="0" w:color="auto"/>
        <w:right w:val="none" w:sz="0" w:space="0" w:color="auto"/>
      </w:divBdr>
    </w:div>
    <w:div w:id="822813464">
      <w:bodyDiv w:val="1"/>
      <w:marLeft w:val="0"/>
      <w:marRight w:val="0"/>
      <w:marTop w:val="0"/>
      <w:marBottom w:val="0"/>
      <w:divBdr>
        <w:top w:val="none" w:sz="0" w:space="0" w:color="auto"/>
        <w:left w:val="none" w:sz="0" w:space="0" w:color="auto"/>
        <w:bottom w:val="none" w:sz="0" w:space="0" w:color="auto"/>
        <w:right w:val="none" w:sz="0" w:space="0" w:color="auto"/>
      </w:divBdr>
    </w:div>
    <w:div w:id="822817333">
      <w:bodyDiv w:val="1"/>
      <w:marLeft w:val="0"/>
      <w:marRight w:val="0"/>
      <w:marTop w:val="0"/>
      <w:marBottom w:val="0"/>
      <w:divBdr>
        <w:top w:val="none" w:sz="0" w:space="0" w:color="auto"/>
        <w:left w:val="none" w:sz="0" w:space="0" w:color="auto"/>
        <w:bottom w:val="none" w:sz="0" w:space="0" w:color="auto"/>
        <w:right w:val="none" w:sz="0" w:space="0" w:color="auto"/>
      </w:divBdr>
    </w:div>
    <w:div w:id="822890847">
      <w:bodyDiv w:val="1"/>
      <w:marLeft w:val="0"/>
      <w:marRight w:val="0"/>
      <w:marTop w:val="0"/>
      <w:marBottom w:val="0"/>
      <w:divBdr>
        <w:top w:val="none" w:sz="0" w:space="0" w:color="auto"/>
        <w:left w:val="none" w:sz="0" w:space="0" w:color="auto"/>
        <w:bottom w:val="none" w:sz="0" w:space="0" w:color="auto"/>
        <w:right w:val="none" w:sz="0" w:space="0" w:color="auto"/>
      </w:divBdr>
    </w:div>
    <w:div w:id="822965627">
      <w:bodyDiv w:val="1"/>
      <w:marLeft w:val="0"/>
      <w:marRight w:val="0"/>
      <w:marTop w:val="0"/>
      <w:marBottom w:val="0"/>
      <w:divBdr>
        <w:top w:val="none" w:sz="0" w:space="0" w:color="auto"/>
        <w:left w:val="none" w:sz="0" w:space="0" w:color="auto"/>
        <w:bottom w:val="none" w:sz="0" w:space="0" w:color="auto"/>
        <w:right w:val="none" w:sz="0" w:space="0" w:color="auto"/>
      </w:divBdr>
    </w:div>
    <w:div w:id="823005389">
      <w:bodyDiv w:val="1"/>
      <w:marLeft w:val="0"/>
      <w:marRight w:val="0"/>
      <w:marTop w:val="0"/>
      <w:marBottom w:val="0"/>
      <w:divBdr>
        <w:top w:val="none" w:sz="0" w:space="0" w:color="auto"/>
        <w:left w:val="none" w:sz="0" w:space="0" w:color="auto"/>
        <w:bottom w:val="none" w:sz="0" w:space="0" w:color="auto"/>
        <w:right w:val="none" w:sz="0" w:space="0" w:color="auto"/>
      </w:divBdr>
    </w:div>
    <w:div w:id="823006650">
      <w:bodyDiv w:val="1"/>
      <w:marLeft w:val="0"/>
      <w:marRight w:val="0"/>
      <w:marTop w:val="0"/>
      <w:marBottom w:val="0"/>
      <w:divBdr>
        <w:top w:val="none" w:sz="0" w:space="0" w:color="auto"/>
        <w:left w:val="none" w:sz="0" w:space="0" w:color="auto"/>
        <w:bottom w:val="none" w:sz="0" w:space="0" w:color="auto"/>
        <w:right w:val="none" w:sz="0" w:space="0" w:color="auto"/>
      </w:divBdr>
    </w:div>
    <w:div w:id="823007492">
      <w:bodyDiv w:val="1"/>
      <w:marLeft w:val="0"/>
      <w:marRight w:val="0"/>
      <w:marTop w:val="0"/>
      <w:marBottom w:val="0"/>
      <w:divBdr>
        <w:top w:val="none" w:sz="0" w:space="0" w:color="auto"/>
        <w:left w:val="none" w:sz="0" w:space="0" w:color="auto"/>
        <w:bottom w:val="none" w:sz="0" w:space="0" w:color="auto"/>
        <w:right w:val="none" w:sz="0" w:space="0" w:color="auto"/>
      </w:divBdr>
    </w:div>
    <w:div w:id="823012756">
      <w:bodyDiv w:val="1"/>
      <w:marLeft w:val="0"/>
      <w:marRight w:val="0"/>
      <w:marTop w:val="0"/>
      <w:marBottom w:val="0"/>
      <w:divBdr>
        <w:top w:val="none" w:sz="0" w:space="0" w:color="auto"/>
        <w:left w:val="none" w:sz="0" w:space="0" w:color="auto"/>
        <w:bottom w:val="none" w:sz="0" w:space="0" w:color="auto"/>
        <w:right w:val="none" w:sz="0" w:space="0" w:color="auto"/>
      </w:divBdr>
    </w:div>
    <w:div w:id="823084129">
      <w:bodyDiv w:val="1"/>
      <w:marLeft w:val="0"/>
      <w:marRight w:val="0"/>
      <w:marTop w:val="0"/>
      <w:marBottom w:val="0"/>
      <w:divBdr>
        <w:top w:val="none" w:sz="0" w:space="0" w:color="auto"/>
        <w:left w:val="none" w:sz="0" w:space="0" w:color="auto"/>
        <w:bottom w:val="none" w:sz="0" w:space="0" w:color="auto"/>
        <w:right w:val="none" w:sz="0" w:space="0" w:color="auto"/>
      </w:divBdr>
    </w:div>
    <w:div w:id="823087838">
      <w:bodyDiv w:val="1"/>
      <w:marLeft w:val="0"/>
      <w:marRight w:val="0"/>
      <w:marTop w:val="0"/>
      <w:marBottom w:val="0"/>
      <w:divBdr>
        <w:top w:val="none" w:sz="0" w:space="0" w:color="auto"/>
        <w:left w:val="none" w:sz="0" w:space="0" w:color="auto"/>
        <w:bottom w:val="none" w:sz="0" w:space="0" w:color="auto"/>
        <w:right w:val="none" w:sz="0" w:space="0" w:color="auto"/>
      </w:divBdr>
    </w:div>
    <w:div w:id="823160260">
      <w:bodyDiv w:val="1"/>
      <w:marLeft w:val="0"/>
      <w:marRight w:val="0"/>
      <w:marTop w:val="0"/>
      <w:marBottom w:val="0"/>
      <w:divBdr>
        <w:top w:val="none" w:sz="0" w:space="0" w:color="auto"/>
        <w:left w:val="none" w:sz="0" w:space="0" w:color="auto"/>
        <w:bottom w:val="none" w:sz="0" w:space="0" w:color="auto"/>
        <w:right w:val="none" w:sz="0" w:space="0" w:color="auto"/>
      </w:divBdr>
    </w:div>
    <w:div w:id="823163247">
      <w:bodyDiv w:val="1"/>
      <w:marLeft w:val="0"/>
      <w:marRight w:val="0"/>
      <w:marTop w:val="0"/>
      <w:marBottom w:val="0"/>
      <w:divBdr>
        <w:top w:val="none" w:sz="0" w:space="0" w:color="auto"/>
        <w:left w:val="none" w:sz="0" w:space="0" w:color="auto"/>
        <w:bottom w:val="none" w:sz="0" w:space="0" w:color="auto"/>
        <w:right w:val="none" w:sz="0" w:space="0" w:color="auto"/>
      </w:divBdr>
    </w:div>
    <w:div w:id="823200646">
      <w:bodyDiv w:val="1"/>
      <w:marLeft w:val="0"/>
      <w:marRight w:val="0"/>
      <w:marTop w:val="0"/>
      <w:marBottom w:val="0"/>
      <w:divBdr>
        <w:top w:val="none" w:sz="0" w:space="0" w:color="auto"/>
        <w:left w:val="none" w:sz="0" w:space="0" w:color="auto"/>
        <w:bottom w:val="none" w:sz="0" w:space="0" w:color="auto"/>
        <w:right w:val="none" w:sz="0" w:space="0" w:color="auto"/>
      </w:divBdr>
    </w:div>
    <w:div w:id="823202644">
      <w:bodyDiv w:val="1"/>
      <w:marLeft w:val="0"/>
      <w:marRight w:val="0"/>
      <w:marTop w:val="0"/>
      <w:marBottom w:val="0"/>
      <w:divBdr>
        <w:top w:val="none" w:sz="0" w:space="0" w:color="auto"/>
        <w:left w:val="none" w:sz="0" w:space="0" w:color="auto"/>
        <w:bottom w:val="none" w:sz="0" w:space="0" w:color="auto"/>
        <w:right w:val="none" w:sz="0" w:space="0" w:color="auto"/>
      </w:divBdr>
    </w:div>
    <w:div w:id="823279893">
      <w:bodyDiv w:val="1"/>
      <w:marLeft w:val="0"/>
      <w:marRight w:val="0"/>
      <w:marTop w:val="0"/>
      <w:marBottom w:val="0"/>
      <w:divBdr>
        <w:top w:val="none" w:sz="0" w:space="0" w:color="auto"/>
        <w:left w:val="none" w:sz="0" w:space="0" w:color="auto"/>
        <w:bottom w:val="none" w:sz="0" w:space="0" w:color="auto"/>
        <w:right w:val="none" w:sz="0" w:space="0" w:color="auto"/>
      </w:divBdr>
    </w:div>
    <w:div w:id="823355588">
      <w:bodyDiv w:val="1"/>
      <w:marLeft w:val="0"/>
      <w:marRight w:val="0"/>
      <w:marTop w:val="0"/>
      <w:marBottom w:val="0"/>
      <w:divBdr>
        <w:top w:val="none" w:sz="0" w:space="0" w:color="auto"/>
        <w:left w:val="none" w:sz="0" w:space="0" w:color="auto"/>
        <w:bottom w:val="none" w:sz="0" w:space="0" w:color="auto"/>
        <w:right w:val="none" w:sz="0" w:space="0" w:color="auto"/>
      </w:divBdr>
    </w:div>
    <w:div w:id="823355917">
      <w:bodyDiv w:val="1"/>
      <w:marLeft w:val="0"/>
      <w:marRight w:val="0"/>
      <w:marTop w:val="0"/>
      <w:marBottom w:val="0"/>
      <w:divBdr>
        <w:top w:val="none" w:sz="0" w:space="0" w:color="auto"/>
        <w:left w:val="none" w:sz="0" w:space="0" w:color="auto"/>
        <w:bottom w:val="none" w:sz="0" w:space="0" w:color="auto"/>
        <w:right w:val="none" w:sz="0" w:space="0" w:color="auto"/>
      </w:divBdr>
    </w:div>
    <w:div w:id="823396679">
      <w:bodyDiv w:val="1"/>
      <w:marLeft w:val="0"/>
      <w:marRight w:val="0"/>
      <w:marTop w:val="0"/>
      <w:marBottom w:val="0"/>
      <w:divBdr>
        <w:top w:val="none" w:sz="0" w:space="0" w:color="auto"/>
        <w:left w:val="none" w:sz="0" w:space="0" w:color="auto"/>
        <w:bottom w:val="none" w:sz="0" w:space="0" w:color="auto"/>
        <w:right w:val="none" w:sz="0" w:space="0" w:color="auto"/>
      </w:divBdr>
    </w:div>
    <w:div w:id="823400110">
      <w:bodyDiv w:val="1"/>
      <w:marLeft w:val="0"/>
      <w:marRight w:val="0"/>
      <w:marTop w:val="0"/>
      <w:marBottom w:val="0"/>
      <w:divBdr>
        <w:top w:val="none" w:sz="0" w:space="0" w:color="auto"/>
        <w:left w:val="none" w:sz="0" w:space="0" w:color="auto"/>
        <w:bottom w:val="none" w:sz="0" w:space="0" w:color="auto"/>
        <w:right w:val="none" w:sz="0" w:space="0" w:color="auto"/>
      </w:divBdr>
    </w:div>
    <w:div w:id="823400689">
      <w:bodyDiv w:val="1"/>
      <w:marLeft w:val="0"/>
      <w:marRight w:val="0"/>
      <w:marTop w:val="0"/>
      <w:marBottom w:val="0"/>
      <w:divBdr>
        <w:top w:val="none" w:sz="0" w:space="0" w:color="auto"/>
        <w:left w:val="none" w:sz="0" w:space="0" w:color="auto"/>
        <w:bottom w:val="none" w:sz="0" w:space="0" w:color="auto"/>
        <w:right w:val="none" w:sz="0" w:space="0" w:color="auto"/>
      </w:divBdr>
    </w:div>
    <w:div w:id="823425208">
      <w:bodyDiv w:val="1"/>
      <w:marLeft w:val="0"/>
      <w:marRight w:val="0"/>
      <w:marTop w:val="0"/>
      <w:marBottom w:val="0"/>
      <w:divBdr>
        <w:top w:val="none" w:sz="0" w:space="0" w:color="auto"/>
        <w:left w:val="none" w:sz="0" w:space="0" w:color="auto"/>
        <w:bottom w:val="none" w:sz="0" w:space="0" w:color="auto"/>
        <w:right w:val="none" w:sz="0" w:space="0" w:color="auto"/>
      </w:divBdr>
    </w:div>
    <w:div w:id="823468174">
      <w:bodyDiv w:val="1"/>
      <w:marLeft w:val="0"/>
      <w:marRight w:val="0"/>
      <w:marTop w:val="0"/>
      <w:marBottom w:val="0"/>
      <w:divBdr>
        <w:top w:val="none" w:sz="0" w:space="0" w:color="auto"/>
        <w:left w:val="none" w:sz="0" w:space="0" w:color="auto"/>
        <w:bottom w:val="none" w:sz="0" w:space="0" w:color="auto"/>
        <w:right w:val="none" w:sz="0" w:space="0" w:color="auto"/>
      </w:divBdr>
    </w:div>
    <w:div w:id="823661886">
      <w:bodyDiv w:val="1"/>
      <w:marLeft w:val="0"/>
      <w:marRight w:val="0"/>
      <w:marTop w:val="0"/>
      <w:marBottom w:val="0"/>
      <w:divBdr>
        <w:top w:val="none" w:sz="0" w:space="0" w:color="auto"/>
        <w:left w:val="none" w:sz="0" w:space="0" w:color="auto"/>
        <w:bottom w:val="none" w:sz="0" w:space="0" w:color="auto"/>
        <w:right w:val="none" w:sz="0" w:space="0" w:color="auto"/>
      </w:divBdr>
    </w:div>
    <w:div w:id="823744269">
      <w:bodyDiv w:val="1"/>
      <w:marLeft w:val="0"/>
      <w:marRight w:val="0"/>
      <w:marTop w:val="0"/>
      <w:marBottom w:val="0"/>
      <w:divBdr>
        <w:top w:val="none" w:sz="0" w:space="0" w:color="auto"/>
        <w:left w:val="none" w:sz="0" w:space="0" w:color="auto"/>
        <w:bottom w:val="none" w:sz="0" w:space="0" w:color="auto"/>
        <w:right w:val="none" w:sz="0" w:space="0" w:color="auto"/>
      </w:divBdr>
    </w:div>
    <w:div w:id="823856518">
      <w:bodyDiv w:val="1"/>
      <w:marLeft w:val="0"/>
      <w:marRight w:val="0"/>
      <w:marTop w:val="0"/>
      <w:marBottom w:val="0"/>
      <w:divBdr>
        <w:top w:val="none" w:sz="0" w:space="0" w:color="auto"/>
        <w:left w:val="none" w:sz="0" w:space="0" w:color="auto"/>
        <w:bottom w:val="none" w:sz="0" w:space="0" w:color="auto"/>
        <w:right w:val="none" w:sz="0" w:space="0" w:color="auto"/>
      </w:divBdr>
    </w:div>
    <w:div w:id="823861743">
      <w:bodyDiv w:val="1"/>
      <w:marLeft w:val="0"/>
      <w:marRight w:val="0"/>
      <w:marTop w:val="0"/>
      <w:marBottom w:val="0"/>
      <w:divBdr>
        <w:top w:val="none" w:sz="0" w:space="0" w:color="auto"/>
        <w:left w:val="none" w:sz="0" w:space="0" w:color="auto"/>
        <w:bottom w:val="none" w:sz="0" w:space="0" w:color="auto"/>
        <w:right w:val="none" w:sz="0" w:space="0" w:color="auto"/>
      </w:divBdr>
    </w:div>
    <w:div w:id="824246784">
      <w:bodyDiv w:val="1"/>
      <w:marLeft w:val="0"/>
      <w:marRight w:val="0"/>
      <w:marTop w:val="0"/>
      <w:marBottom w:val="0"/>
      <w:divBdr>
        <w:top w:val="none" w:sz="0" w:space="0" w:color="auto"/>
        <w:left w:val="none" w:sz="0" w:space="0" w:color="auto"/>
        <w:bottom w:val="none" w:sz="0" w:space="0" w:color="auto"/>
        <w:right w:val="none" w:sz="0" w:space="0" w:color="auto"/>
      </w:divBdr>
    </w:div>
    <w:div w:id="824399273">
      <w:bodyDiv w:val="1"/>
      <w:marLeft w:val="0"/>
      <w:marRight w:val="0"/>
      <w:marTop w:val="0"/>
      <w:marBottom w:val="0"/>
      <w:divBdr>
        <w:top w:val="none" w:sz="0" w:space="0" w:color="auto"/>
        <w:left w:val="none" w:sz="0" w:space="0" w:color="auto"/>
        <w:bottom w:val="none" w:sz="0" w:space="0" w:color="auto"/>
        <w:right w:val="none" w:sz="0" w:space="0" w:color="auto"/>
      </w:divBdr>
    </w:div>
    <w:div w:id="824469293">
      <w:bodyDiv w:val="1"/>
      <w:marLeft w:val="0"/>
      <w:marRight w:val="0"/>
      <w:marTop w:val="0"/>
      <w:marBottom w:val="0"/>
      <w:divBdr>
        <w:top w:val="none" w:sz="0" w:space="0" w:color="auto"/>
        <w:left w:val="none" w:sz="0" w:space="0" w:color="auto"/>
        <w:bottom w:val="none" w:sz="0" w:space="0" w:color="auto"/>
        <w:right w:val="none" w:sz="0" w:space="0" w:color="auto"/>
      </w:divBdr>
    </w:div>
    <w:div w:id="824514652">
      <w:bodyDiv w:val="1"/>
      <w:marLeft w:val="0"/>
      <w:marRight w:val="0"/>
      <w:marTop w:val="0"/>
      <w:marBottom w:val="0"/>
      <w:divBdr>
        <w:top w:val="none" w:sz="0" w:space="0" w:color="auto"/>
        <w:left w:val="none" w:sz="0" w:space="0" w:color="auto"/>
        <w:bottom w:val="none" w:sz="0" w:space="0" w:color="auto"/>
        <w:right w:val="none" w:sz="0" w:space="0" w:color="auto"/>
      </w:divBdr>
    </w:div>
    <w:div w:id="824667117">
      <w:bodyDiv w:val="1"/>
      <w:marLeft w:val="0"/>
      <w:marRight w:val="0"/>
      <w:marTop w:val="0"/>
      <w:marBottom w:val="0"/>
      <w:divBdr>
        <w:top w:val="none" w:sz="0" w:space="0" w:color="auto"/>
        <w:left w:val="none" w:sz="0" w:space="0" w:color="auto"/>
        <w:bottom w:val="none" w:sz="0" w:space="0" w:color="auto"/>
        <w:right w:val="none" w:sz="0" w:space="0" w:color="auto"/>
      </w:divBdr>
    </w:div>
    <w:div w:id="824711315">
      <w:bodyDiv w:val="1"/>
      <w:marLeft w:val="0"/>
      <w:marRight w:val="0"/>
      <w:marTop w:val="0"/>
      <w:marBottom w:val="0"/>
      <w:divBdr>
        <w:top w:val="none" w:sz="0" w:space="0" w:color="auto"/>
        <w:left w:val="none" w:sz="0" w:space="0" w:color="auto"/>
        <w:bottom w:val="none" w:sz="0" w:space="0" w:color="auto"/>
        <w:right w:val="none" w:sz="0" w:space="0" w:color="auto"/>
      </w:divBdr>
    </w:div>
    <w:div w:id="824777938">
      <w:bodyDiv w:val="1"/>
      <w:marLeft w:val="0"/>
      <w:marRight w:val="0"/>
      <w:marTop w:val="0"/>
      <w:marBottom w:val="0"/>
      <w:divBdr>
        <w:top w:val="none" w:sz="0" w:space="0" w:color="auto"/>
        <w:left w:val="none" w:sz="0" w:space="0" w:color="auto"/>
        <w:bottom w:val="none" w:sz="0" w:space="0" w:color="auto"/>
        <w:right w:val="none" w:sz="0" w:space="0" w:color="auto"/>
      </w:divBdr>
    </w:div>
    <w:div w:id="824857960">
      <w:bodyDiv w:val="1"/>
      <w:marLeft w:val="0"/>
      <w:marRight w:val="0"/>
      <w:marTop w:val="0"/>
      <w:marBottom w:val="0"/>
      <w:divBdr>
        <w:top w:val="none" w:sz="0" w:space="0" w:color="auto"/>
        <w:left w:val="none" w:sz="0" w:space="0" w:color="auto"/>
        <w:bottom w:val="none" w:sz="0" w:space="0" w:color="auto"/>
        <w:right w:val="none" w:sz="0" w:space="0" w:color="auto"/>
      </w:divBdr>
    </w:div>
    <w:div w:id="824929626">
      <w:bodyDiv w:val="1"/>
      <w:marLeft w:val="0"/>
      <w:marRight w:val="0"/>
      <w:marTop w:val="0"/>
      <w:marBottom w:val="0"/>
      <w:divBdr>
        <w:top w:val="none" w:sz="0" w:space="0" w:color="auto"/>
        <w:left w:val="none" w:sz="0" w:space="0" w:color="auto"/>
        <w:bottom w:val="none" w:sz="0" w:space="0" w:color="auto"/>
        <w:right w:val="none" w:sz="0" w:space="0" w:color="auto"/>
      </w:divBdr>
    </w:div>
    <w:div w:id="824931999">
      <w:bodyDiv w:val="1"/>
      <w:marLeft w:val="0"/>
      <w:marRight w:val="0"/>
      <w:marTop w:val="0"/>
      <w:marBottom w:val="0"/>
      <w:divBdr>
        <w:top w:val="none" w:sz="0" w:space="0" w:color="auto"/>
        <w:left w:val="none" w:sz="0" w:space="0" w:color="auto"/>
        <w:bottom w:val="none" w:sz="0" w:space="0" w:color="auto"/>
        <w:right w:val="none" w:sz="0" w:space="0" w:color="auto"/>
      </w:divBdr>
    </w:div>
    <w:div w:id="824934080">
      <w:bodyDiv w:val="1"/>
      <w:marLeft w:val="0"/>
      <w:marRight w:val="0"/>
      <w:marTop w:val="0"/>
      <w:marBottom w:val="0"/>
      <w:divBdr>
        <w:top w:val="none" w:sz="0" w:space="0" w:color="auto"/>
        <w:left w:val="none" w:sz="0" w:space="0" w:color="auto"/>
        <w:bottom w:val="none" w:sz="0" w:space="0" w:color="auto"/>
        <w:right w:val="none" w:sz="0" w:space="0" w:color="auto"/>
      </w:divBdr>
    </w:div>
    <w:div w:id="824976639">
      <w:bodyDiv w:val="1"/>
      <w:marLeft w:val="0"/>
      <w:marRight w:val="0"/>
      <w:marTop w:val="0"/>
      <w:marBottom w:val="0"/>
      <w:divBdr>
        <w:top w:val="none" w:sz="0" w:space="0" w:color="auto"/>
        <w:left w:val="none" w:sz="0" w:space="0" w:color="auto"/>
        <w:bottom w:val="none" w:sz="0" w:space="0" w:color="auto"/>
        <w:right w:val="none" w:sz="0" w:space="0" w:color="auto"/>
      </w:divBdr>
    </w:div>
    <w:div w:id="825051035">
      <w:bodyDiv w:val="1"/>
      <w:marLeft w:val="0"/>
      <w:marRight w:val="0"/>
      <w:marTop w:val="0"/>
      <w:marBottom w:val="0"/>
      <w:divBdr>
        <w:top w:val="none" w:sz="0" w:space="0" w:color="auto"/>
        <w:left w:val="none" w:sz="0" w:space="0" w:color="auto"/>
        <w:bottom w:val="none" w:sz="0" w:space="0" w:color="auto"/>
        <w:right w:val="none" w:sz="0" w:space="0" w:color="auto"/>
      </w:divBdr>
    </w:div>
    <w:div w:id="825248571">
      <w:bodyDiv w:val="1"/>
      <w:marLeft w:val="0"/>
      <w:marRight w:val="0"/>
      <w:marTop w:val="0"/>
      <w:marBottom w:val="0"/>
      <w:divBdr>
        <w:top w:val="none" w:sz="0" w:space="0" w:color="auto"/>
        <w:left w:val="none" w:sz="0" w:space="0" w:color="auto"/>
        <w:bottom w:val="none" w:sz="0" w:space="0" w:color="auto"/>
        <w:right w:val="none" w:sz="0" w:space="0" w:color="auto"/>
      </w:divBdr>
    </w:div>
    <w:div w:id="825365577">
      <w:bodyDiv w:val="1"/>
      <w:marLeft w:val="0"/>
      <w:marRight w:val="0"/>
      <w:marTop w:val="0"/>
      <w:marBottom w:val="0"/>
      <w:divBdr>
        <w:top w:val="none" w:sz="0" w:space="0" w:color="auto"/>
        <w:left w:val="none" w:sz="0" w:space="0" w:color="auto"/>
        <w:bottom w:val="none" w:sz="0" w:space="0" w:color="auto"/>
        <w:right w:val="none" w:sz="0" w:space="0" w:color="auto"/>
      </w:divBdr>
    </w:div>
    <w:div w:id="825392706">
      <w:bodyDiv w:val="1"/>
      <w:marLeft w:val="0"/>
      <w:marRight w:val="0"/>
      <w:marTop w:val="0"/>
      <w:marBottom w:val="0"/>
      <w:divBdr>
        <w:top w:val="none" w:sz="0" w:space="0" w:color="auto"/>
        <w:left w:val="none" w:sz="0" w:space="0" w:color="auto"/>
        <w:bottom w:val="none" w:sz="0" w:space="0" w:color="auto"/>
        <w:right w:val="none" w:sz="0" w:space="0" w:color="auto"/>
      </w:divBdr>
    </w:div>
    <w:div w:id="825433551">
      <w:bodyDiv w:val="1"/>
      <w:marLeft w:val="0"/>
      <w:marRight w:val="0"/>
      <w:marTop w:val="0"/>
      <w:marBottom w:val="0"/>
      <w:divBdr>
        <w:top w:val="none" w:sz="0" w:space="0" w:color="auto"/>
        <w:left w:val="none" w:sz="0" w:space="0" w:color="auto"/>
        <w:bottom w:val="none" w:sz="0" w:space="0" w:color="auto"/>
        <w:right w:val="none" w:sz="0" w:space="0" w:color="auto"/>
      </w:divBdr>
    </w:div>
    <w:div w:id="825441735">
      <w:bodyDiv w:val="1"/>
      <w:marLeft w:val="0"/>
      <w:marRight w:val="0"/>
      <w:marTop w:val="0"/>
      <w:marBottom w:val="0"/>
      <w:divBdr>
        <w:top w:val="none" w:sz="0" w:space="0" w:color="auto"/>
        <w:left w:val="none" w:sz="0" w:space="0" w:color="auto"/>
        <w:bottom w:val="none" w:sz="0" w:space="0" w:color="auto"/>
        <w:right w:val="none" w:sz="0" w:space="0" w:color="auto"/>
      </w:divBdr>
    </w:div>
    <w:div w:id="825512437">
      <w:bodyDiv w:val="1"/>
      <w:marLeft w:val="0"/>
      <w:marRight w:val="0"/>
      <w:marTop w:val="0"/>
      <w:marBottom w:val="0"/>
      <w:divBdr>
        <w:top w:val="none" w:sz="0" w:space="0" w:color="auto"/>
        <w:left w:val="none" w:sz="0" w:space="0" w:color="auto"/>
        <w:bottom w:val="none" w:sz="0" w:space="0" w:color="auto"/>
        <w:right w:val="none" w:sz="0" w:space="0" w:color="auto"/>
      </w:divBdr>
    </w:div>
    <w:div w:id="825586400">
      <w:bodyDiv w:val="1"/>
      <w:marLeft w:val="0"/>
      <w:marRight w:val="0"/>
      <w:marTop w:val="0"/>
      <w:marBottom w:val="0"/>
      <w:divBdr>
        <w:top w:val="none" w:sz="0" w:space="0" w:color="auto"/>
        <w:left w:val="none" w:sz="0" w:space="0" w:color="auto"/>
        <w:bottom w:val="none" w:sz="0" w:space="0" w:color="auto"/>
        <w:right w:val="none" w:sz="0" w:space="0" w:color="auto"/>
      </w:divBdr>
    </w:div>
    <w:div w:id="825588247">
      <w:bodyDiv w:val="1"/>
      <w:marLeft w:val="0"/>
      <w:marRight w:val="0"/>
      <w:marTop w:val="0"/>
      <w:marBottom w:val="0"/>
      <w:divBdr>
        <w:top w:val="none" w:sz="0" w:space="0" w:color="auto"/>
        <w:left w:val="none" w:sz="0" w:space="0" w:color="auto"/>
        <w:bottom w:val="none" w:sz="0" w:space="0" w:color="auto"/>
        <w:right w:val="none" w:sz="0" w:space="0" w:color="auto"/>
      </w:divBdr>
    </w:div>
    <w:div w:id="825703595">
      <w:bodyDiv w:val="1"/>
      <w:marLeft w:val="0"/>
      <w:marRight w:val="0"/>
      <w:marTop w:val="0"/>
      <w:marBottom w:val="0"/>
      <w:divBdr>
        <w:top w:val="none" w:sz="0" w:space="0" w:color="auto"/>
        <w:left w:val="none" w:sz="0" w:space="0" w:color="auto"/>
        <w:bottom w:val="none" w:sz="0" w:space="0" w:color="auto"/>
        <w:right w:val="none" w:sz="0" w:space="0" w:color="auto"/>
      </w:divBdr>
    </w:div>
    <w:div w:id="825825305">
      <w:bodyDiv w:val="1"/>
      <w:marLeft w:val="0"/>
      <w:marRight w:val="0"/>
      <w:marTop w:val="0"/>
      <w:marBottom w:val="0"/>
      <w:divBdr>
        <w:top w:val="none" w:sz="0" w:space="0" w:color="auto"/>
        <w:left w:val="none" w:sz="0" w:space="0" w:color="auto"/>
        <w:bottom w:val="none" w:sz="0" w:space="0" w:color="auto"/>
        <w:right w:val="none" w:sz="0" w:space="0" w:color="auto"/>
      </w:divBdr>
    </w:div>
    <w:div w:id="825826609">
      <w:bodyDiv w:val="1"/>
      <w:marLeft w:val="0"/>
      <w:marRight w:val="0"/>
      <w:marTop w:val="0"/>
      <w:marBottom w:val="0"/>
      <w:divBdr>
        <w:top w:val="none" w:sz="0" w:space="0" w:color="auto"/>
        <w:left w:val="none" w:sz="0" w:space="0" w:color="auto"/>
        <w:bottom w:val="none" w:sz="0" w:space="0" w:color="auto"/>
        <w:right w:val="none" w:sz="0" w:space="0" w:color="auto"/>
      </w:divBdr>
    </w:div>
    <w:div w:id="825976137">
      <w:bodyDiv w:val="1"/>
      <w:marLeft w:val="0"/>
      <w:marRight w:val="0"/>
      <w:marTop w:val="0"/>
      <w:marBottom w:val="0"/>
      <w:divBdr>
        <w:top w:val="none" w:sz="0" w:space="0" w:color="auto"/>
        <w:left w:val="none" w:sz="0" w:space="0" w:color="auto"/>
        <w:bottom w:val="none" w:sz="0" w:space="0" w:color="auto"/>
        <w:right w:val="none" w:sz="0" w:space="0" w:color="auto"/>
      </w:divBdr>
    </w:div>
    <w:div w:id="826169955">
      <w:bodyDiv w:val="1"/>
      <w:marLeft w:val="0"/>
      <w:marRight w:val="0"/>
      <w:marTop w:val="0"/>
      <w:marBottom w:val="0"/>
      <w:divBdr>
        <w:top w:val="none" w:sz="0" w:space="0" w:color="auto"/>
        <w:left w:val="none" w:sz="0" w:space="0" w:color="auto"/>
        <w:bottom w:val="none" w:sz="0" w:space="0" w:color="auto"/>
        <w:right w:val="none" w:sz="0" w:space="0" w:color="auto"/>
      </w:divBdr>
    </w:div>
    <w:div w:id="826240643">
      <w:bodyDiv w:val="1"/>
      <w:marLeft w:val="0"/>
      <w:marRight w:val="0"/>
      <w:marTop w:val="0"/>
      <w:marBottom w:val="0"/>
      <w:divBdr>
        <w:top w:val="none" w:sz="0" w:space="0" w:color="auto"/>
        <w:left w:val="none" w:sz="0" w:space="0" w:color="auto"/>
        <w:bottom w:val="none" w:sz="0" w:space="0" w:color="auto"/>
        <w:right w:val="none" w:sz="0" w:space="0" w:color="auto"/>
      </w:divBdr>
    </w:div>
    <w:div w:id="826288636">
      <w:bodyDiv w:val="1"/>
      <w:marLeft w:val="0"/>
      <w:marRight w:val="0"/>
      <w:marTop w:val="0"/>
      <w:marBottom w:val="0"/>
      <w:divBdr>
        <w:top w:val="none" w:sz="0" w:space="0" w:color="auto"/>
        <w:left w:val="none" w:sz="0" w:space="0" w:color="auto"/>
        <w:bottom w:val="none" w:sz="0" w:space="0" w:color="auto"/>
        <w:right w:val="none" w:sz="0" w:space="0" w:color="auto"/>
      </w:divBdr>
    </w:div>
    <w:div w:id="826432407">
      <w:bodyDiv w:val="1"/>
      <w:marLeft w:val="0"/>
      <w:marRight w:val="0"/>
      <w:marTop w:val="0"/>
      <w:marBottom w:val="0"/>
      <w:divBdr>
        <w:top w:val="none" w:sz="0" w:space="0" w:color="auto"/>
        <w:left w:val="none" w:sz="0" w:space="0" w:color="auto"/>
        <w:bottom w:val="none" w:sz="0" w:space="0" w:color="auto"/>
        <w:right w:val="none" w:sz="0" w:space="0" w:color="auto"/>
      </w:divBdr>
    </w:div>
    <w:div w:id="826475449">
      <w:bodyDiv w:val="1"/>
      <w:marLeft w:val="0"/>
      <w:marRight w:val="0"/>
      <w:marTop w:val="0"/>
      <w:marBottom w:val="0"/>
      <w:divBdr>
        <w:top w:val="none" w:sz="0" w:space="0" w:color="auto"/>
        <w:left w:val="none" w:sz="0" w:space="0" w:color="auto"/>
        <w:bottom w:val="none" w:sz="0" w:space="0" w:color="auto"/>
        <w:right w:val="none" w:sz="0" w:space="0" w:color="auto"/>
      </w:divBdr>
    </w:div>
    <w:div w:id="826553037">
      <w:bodyDiv w:val="1"/>
      <w:marLeft w:val="0"/>
      <w:marRight w:val="0"/>
      <w:marTop w:val="0"/>
      <w:marBottom w:val="0"/>
      <w:divBdr>
        <w:top w:val="none" w:sz="0" w:space="0" w:color="auto"/>
        <w:left w:val="none" w:sz="0" w:space="0" w:color="auto"/>
        <w:bottom w:val="none" w:sz="0" w:space="0" w:color="auto"/>
        <w:right w:val="none" w:sz="0" w:space="0" w:color="auto"/>
      </w:divBdr>
    </w:div>
    <w:div w:id="826557510">
      <w:bodyDiv w:val="1"/>
      <w:marLeft w:val="0"/>
      <w:marRight w:val="0"/>
      <w:marTop w:val="0"/>
      <w:marBottom w:val="0"/>
      <w:divBdr>
        <w:top w:val="none" w:sz="0" w:space="0" w:color="auto"/>
        <w:left w:val="none" w:sz="0" w:space="0" w:color="auto"/>
        <w:bottom w:val="none" w:sz="0" w:space="0" w:color="auto"/>
        <w:right w:val="none" w:sz="0" w:space="0" w:color="auto"/>
      </w:divBdr>
    </w:div>
    <w:div w:id="826671356">
      <w:bodyDiv w:val="1"/>
      <w:marLeft w:val="0"/>
      <w:marRight w:val="0"/>
      <w:marTop w:val="0"/>
      <w:marBottom w:val="0"/>
      <w:divBdr>
        <w:top w:val="none" w:sz="0" w:space="0" w:color="auto"/>
        <w:left w:val="none" w:sz="0" w:space="0" w:color="auto"/>
        <w:bottom w:val="none" w:sz="0" w:space="0" w:color="auto"/>
        <w:right w:val="none" w:sz="0" w:space="0" w:color="auto"/>
      </w:divBdr>
    </w:div>
    <w:div w:id="826674751">
      <w:bodyDiv w:val="1"/>
      <w:marLeft w:val="0"/>
      <w:marRight w:val="0"/>
      <w:marTop w:val="0"/>
      <w:marBottom w:val="0"/>
      <w:divBdr>
        <w:top w:val="none" w:sz="0" w:space="0" w:color="auto"/>
        <w:left w:val="none" w:sz="0" w:space="0" w:color="auto"/>
        <w:bottom w:val="none" w:sz="0" w:space="0" w:color="auto"/>
        <w:right w:val="none" w:sz="0" w:space="0" w:color="auto"/>
      </w:divBdr>
    </w:div>
    <w:div w:id="826743532">
      <w:bodyDiv w:val="1"/>
      <w:marLeft w:val="0"/>
      <w:marRight w:val="0"/>
      <w:marTop w:val="0"/>
      <w:marBottom w:val="0"/>
      <w:divBdr>
        <w:top w:val="none" w:sz="0" w:space="0" w:color="auto"/>
        <w:left w:val="none" w:sz="0" w:space="0" w:color="auto"/>
        <w:bottom w:val="none" w:sz="0" w:space="0" w:color="auto"/>
        <w:right w:val="none" w:sz="0" w:space="0" w:color="auto"/>
      </w:divBdr>
    </w:div>
    <w:div w:id="827089442">
      <w:bodyDiv w:val="1"/>
      <w:marLeft w:val="0"/>
      <w:marRight w:val="0"/>
      <w:marTop w:val="0"/>
      <w:marBottom w:val="0"/>
      <w:divBdr>
        <w:top w:val="none" w:sz="0" w:space="0" w:color="auto"/>
        <w:left w:val="none" w:sz="0" w:space="0" w:color="auto"/>
        <w:bottom w:val="none" w:sz="0" w:space="0" w:color="auto"/>
        <w:right w:val="none" w:sz="0" w:space="0" w:color="auto"/>
      </w:divBdr>
    </w:div>
    <w:div w:id="827289174">
      <w:bodyDiv w:val="1"/>
      <w:marLeft w:val="0"/>
      <w:marRight w:val="0"/>
      <w:marTop w:val="0"/>
      <w:marBottom w:val="0"/>
      <w:divBdr>
        <w:top w:val="none" w:sz="0" w:space="0" w:color="auto"/>
        <w:left w:val="none" w:sz="0" w:space="0" w:color="auto"/>
        <w:bottom w:val="none" w:sz="0" w:space="0" w:color="auto"/>
        <w:right w:val="none" w:sz="0" w:space="0" w:color="auto"/>
      </w:divBdr>
    </w:div>
    <w:div w:id="827329397">
      <w:bodyDiv w:val="1"/>
      <w:marLeft w:val="0"/>
      <w:marRight w:val="0"/>
      <w:marTop w:val="0"/>
      <w:marBottom w:val="0"/>
      <w:divBdr>
        <w:top w:val="none" w:sz="0" w:space="0" w:color="auto"/>
        <w:left w:val="none" w:sz="0" w:space="0" w:color="auto"/>
        <w:bottom w:val="none" w:sz="0" w:space="0" w:color="auto"/>
        <w:right w:val="none" w:sz="0" w:space="0" w:color="auto"/>
      </w:divBdr>
    </w:div>
    <w:div w:id="827407286">
      <w:bodyDiv w:val="1"/>
      <w:marLeft w:val="0"/>
      <w:marRight w:val="0"/>
      <w:marTop w:val="0"/>
      <w:marBottom w:val="0"/>
      <w:divBdr>
        <w:top w:val="none" w:sz="0" w:space="0" w:color="auto"/>
        <w:left w:val="none" w:sz="0" w:space="0" w:color="auto"/>
        <w:bottom w:val="none" w:sz="0" w:space="0" w:color="auto"/>
        <w:right w:val="none" w:sz="0" w:space="0" w:color="auto"/>
      </w:divBdr>
    </w:div>
    <w:div w:id="827669908">
      <w:bodyDiv w:val="1"/>
      <w:marLeft w:val="0"/>
      <w:marRight w:val="0"/>
      <w:marTop w:val="0"/>
      <w:marBottom w:val="0"/>
      <w:divBdr>
        <w:top w:val="none" w:sz="0" w:space="0" w:color="auto"/>
        <w:left w:val="none" w:sz="0" w:space="0" w:color="auto"/>
        <w:bottom w:val="none" w:sz="0" w:space="0" w:color="auto"/>
        <w:right w:val="none" w:sz="0" w:space="0" w:color="auto"/>
      </w:divBdr>
    </w:div>
    <w:div w:id="827671911">
      <w:bodyDiv w:val="1"/>
      <w:marLeft w:val="0"/>
      <w:marRight w:val="0"/>
      <w:marTop w:val="0"/>
      <w:marBottom w:val="0"/>
      <w:divBdr>
        <w:top w:val="none" w:sz="0" w:space="0" w:color="auto"/>
        <w:left w:val="none" w:sz="0" w:space="0" w:color="auto"/>
        <w:bottom w:val="none" w:sz="0" w:space="0" w:color="auto"/>
        <w:right w:val="none" w:sz="0" w:space="0" w:color="auto"/>
      </w:divBdr>
    </w:div>
    <w:div w:id="827674043">
      <w:bodyDiv w:val="1"/>
      <w:marLeft w:val="0"/>
      <w:marRight w:val="0"/>
      <w:marTop w:val="0"/>
      <w:marBottom w:val="0"/>
      <w:divBdr>
        <w:top w:val="none" w:sz="0" w:space="0" w:color="auto"/>
        <w:left w:val="none" w:sz="0" w:space="0" w:color="auto"/>
        <w:bottom w:val="none" w:sz="0" w:space="0" w:color="auto"/>
        <w:right w:val="none" w:sz="0" w:space="0" w:color="auto"/>
      </w:divBdr>
    </w:div>
    <w:div w:id="827742989">
      <w:bodyDiv w:val="1"/>
      <w:marLeft w:val="0"/>
      <w:marRight w:val="0"/>
      <w:marTop w:val="0"/>
      <w:marBottom w:val="0"/>
      <w:divBdr>
        <w:top w:val="none" w:sz="0" w:space="0" w:color="auto"/>
        <w:left w:val="none" w:sz="0" w:space="0" w:color="auto"/>
        <w:bottom w:val="none" w:sz="0" w:space="0" w:color="auto"/>
        <w:right w:val="none" w:sz="0" w:space="0" w:color="auto"/>
      </w:divBdr>
    </w:div>
    <w:div w:id="827747137">
      <w:bodyDiv w:val="1"/>
      <w:marLeft w:val="0"/>
      <w:marRight w:val="0"/>
      <w:marTop w:val="0"/>
      <w:marBottom w:val="0"/>
      <w:divBdr>
        <w:top w:val="none" w:sz="0" w:space="0" w:color="auto"/>
        <w:left w:val="none" w:sz="0" w:space="0" w:color="auto"/>
        <w:bottom w:val="none" w:sz="0" w:space="0" w:color="auto"/>
        <w:right w:val="none" w:sz="0" w:space="0" w:color="auto"/>
      </w:divBdr>
    </w:div>
    <w:div w:id="827863723">
      <w:bodyDiv w:val="1"/>
      <w:marLeft w:val="0"/>
      <w:marRight w:val="0"/>
      <w:marTop w:val="0"/>
      <w:marBottom w:val="0"/>
      <w:divBdr>
        <w:top w:val="none" w:sz="0" w:space="0" w:color="auto"/>
        <w:left w:val="none" w:sz="0" w:space="0" w:color="auto"/>
        <w:bottom w:val="none" w:sz="0" w:space="0" w:color="auto"/>
        <w:right w:val="none" w:sz="0" w:space="0" w:color="auto"/>
      </w:divBdr>
    </w:div>
    <w:div w:id="827864733">
      <w:bodyDiv w:val="1"/>
      <w:marLeft w:val="0"/>
      <w:marRight w:val="0"/>
      <w:marTop w:val="0"/>
      <w:marBottom w:val="0"/>
      <w:divBdr>
        <w:top w:val="none" w:sz="0" w:space="0" w:color="auto"/>
        <w:left w:val="none" w:sz="0" w:space="0" w:color="auto"/>
        <w:bottom w:val="none" w:sz="0" w:space="0" w:color="auto"/>
        <w:right w:val="none" w:sz="0" w:space="0" w:color="auto"/>
      </w:divBdr>
    </w:div>
    <w:div w:id="827984008">
      <w:bodyDiv w:val="1"/>
      <w:marLeft w:val="0"/>
      <w:marRight w:val="0"/>
      <w:marTop w:val="0"/>
      <w:marBottom w:val="0"/>
      <w:divBdr>
        <w:top w:val="none" w:sz="0" w:space="0" w:color="auto"/>
        <w:left w:val="none" w:sz="0" w:space="0" w:color="auto"/>
        <w:bottom w:val="none" w:sz="0" w:space="0" w:color="auto"/>
        <w:right w:val="none" w:sz="0" w:space="0" w:color="auto"/>
      </w:divBdr>
    </w:div>
    <w:div w:id="828206579">
      <w:bodyDiv w:val="1"/>
      <w:marLeft w:val="0"/>
      <w:marRight w:val="0"/>
      <w:marTop w:val="0"/>
      <w:marBottom w:val="0"/>
      <w:divBdr>
        <w:top w:val="none" w:sz="0" w:space="0" w:color="auto"/>
        <w:left w:val="none" w:sz="0" w:space="0" w:color="auto"/>
        <w:bottom w:val="none" w:sz="0" w:space="0" w:color="auto"/>
        <w:right w:val="none" w:sz="0" w:space="0" w:color="auto"/>
      </w:divBdr>
    </w:div>
    <w:div w:id="828329143">
      <w:bodyDiv w:val="1"/>
      <w:marLeft w:val="0"/>
      <w:marRight w:val="0"/>
      <w:marTop w:val="0"/>
      <w:marBottom w:val="0"/>
      <w:divBdr>
        <w:top w:val="none" w:sz="0" w:space="0" w:color="auto"/>
        <w:left w:val="none" w:sz="0" w:space="0" w:color="auto"/>
        <w:bottom w:val="none" w:sz="0" w:space="0" w:color="auto"/>
        <w:right w:val="none" w:sz="0" w:space="0" w:color="auto"/>
      </w:divBdr>
    </w:div>
    <w:div w:id="828444036">
      <w:bodyDiv w:val="1"/>
      <w:marLeft w:val="0"/>
      <w:marRight w:val="0"/>
      <w:marTop w:val="0"/>
      <w:marBottom w:val="0"/>
      <w:divBdr>
        <w:top w:val="none" w:sz="0" w:space="0" w:color="auto"/>
        <w:left w:val="none" w:sz="0" w:space="0" w:color="auto"/>
        <w:bottom w:val="none" w:sz="0" w:space="0" w:color="auto"/>
        <w:right w:val="none" w:sz="0" w:space="0" w:color="auto"/>
      </w:divBdr>
    </w:div>
    <w:div w:id="828444546">
      <w:bodyDiv w:val="1"/>
      <w:marLeft w:val="0"/>
      <w:marRight w:val="0"/>
      <w:marTop w:val="0"/>
      <w:marBottom w:val="0"/>
      <w:divBdr>
        <w:top w:val="none" w:sz="0" w:space="0" w:color="auto"/>
        <w:left w:val="none" w:sz="0" w:space="0" w:color="auto"/>
        <w:bottom w:val="none" w:sz="0" w:space="0" w:color="auto"/>
        <w:right w:val="none" w:sz="0" w:space="0" w:color="auto"/>
      </w:divBdr>
    </w:div>
    <w:div w:id="828446887">
      <w:bodyDiv w:val="1"/>
      <w:marLeft w:val="0"/>
      <w:marRight w:val="0"/>
      <w:marTop w:val="0"/>
      <w:marBottom w:val="0"/>
      <w:divBdr>
        <w:top w:val="none" w:sz="0" w:space="0" w:color="auto"/>
        <w:left w:val="none" w:sz="0" w:space="0" w:color="auto"/>
        <w:bottom w:val="none" w:sz="0" w:space="0" w:color="auto"/>
        <w:right w:val="none" w:sz="0" w:space="0" w:color="auto"/>
      </w:divBdr>
    </w:div>
    <w:div w:id="828710976">
      <w:bodyDiv w:val="1"/>
      <w:marLeft w:val="0"/>
      <w:marRight w:val="0"/>
      <w:marTop w:val="0"/>
      <w:marBottom w:val="0"/>
      <w:divBdr>
        <w:top w:val="none" w:sz="0" w:space="0" w:color="auto"/>
        <w:left w:val="none" w:sz="0" w:space="0" w:color="auto"/>
        <w:bottom w:val="none" w:sz="0" w:space="0" w:color="auto"/>
        <w:right w:val="none" w:sz="0" w:space="0" w:color="auto"/>
      </w:divBdr>
    </w:div>
    <w:div w:id="828909486">
      <w:bodyDiv w:val="1"/>
      <w:marLeft w:val="0"/>
      <w:marRight w:val="0"/>
      <w:marTop w:val="0"/>
      <w:marBottom w:val="0"/>
      <w:divBdr>
        <w:top w:val="none" w:sz="0" w:space="0" w:color="auto"/>
        <w:left w:val="none" w:sz="0" w:space="0" w:color="auto"/>
        <w:bottom w:val="none" w:sz="0" w:space="0" w:color="auto"/>
        <w:right w:val="none" w:sz="0" w:space="0" w:color="auto"/>
      </w:divBdr>
    </w:div>
    <w:div w:id="828982691">
      <w:bodyDiv w:val="1"/>
      <w:marLeft w:val="0"/>
      <w:marRight w:val="0"/>
      <w:marTop w:val="0"/>
      <w:marBottom w:val="0"/>
      <w:divBdr>
        <w:top w:val="none" w:sz="0" w:space="0" w:color="auto"/>
        <w:left w:val="none" w:sz="0" w:space="0" w:color="auto"/>
        <w:bottom w:val="none" w:sz="0" w:space="0" w:color="auto"/>
        <w:right w:val="none" w:sz="0" w:space="0" w:color="auto"/>
      </w:divBdr>
    </w:div>
    <w:div w:id="829054103">
      <w:bodyDiv w:val="1"/>
      <w:marLeft w:val="0"/>
      <w:marRight w:val="0"/>
      <w:marTop w:val="0"/>
      <w:marBottom w:val="0"/>
      <w:divBdr>
        <w:top w:val="none" w:sz="0" w:space="0" w:color="auto"/>
        <w:left w:val="none" w:sz="0" w:space="0" w:color="auto"/>
        <w:bottom w:val="none" w:sz="0" w:space="0" w:color="auto"/>
        <w:right w:val="none" w:sz="0" w:space="0" w:color="auto"/>
      </w:divBdr>
    </w:div>
    <w:div w:id="829061883">
      <w:bodyDiv w:val="1"/>
      <w:marLeft w:val="0"/>
      <w:marRight w:val="0"/>
      <w:marTop w:val="0"/>
      <w:marBottom w:val="0"/>
      <w:divBdr>
        <w:top w:val="none" w:sz="0" w:space="0" w:color="auto"/>
        <w:left w:val="none" w:sz="0" w:space="0" w:color="auto"/>
        <w:bottom w:val="none" w:sz="0" w:space="0" w:color="auto"/>
        <w:right w:val="none" w:sz="0" w:space="0" w:color="auto"/>
      </w:divBdr>
    </w:div>
    <w:div w:id="829099500">
      <w:bodyDiv w:val="1"/>
      <w:marLeft w:val="0"/>
      <w:marRight w:val="0"/>
      <w:marTop w:val="0"/>
      <w:marBottom w:val="0"/>
      <w:divBdr>
        <w:top w:val="none" w:sz="0" w:space="0" w:color="auto"/>
        <w:left w:val="none" w:sz="0" w:space="0" w:color="auto"/>
        <w:bottom w:val="none" w:sz="0" w:space="0" w:color="auto"/>
        <w:right w:val="none" w:sz="0" w:space="0" w:color="auto"/>
      </w:divBdr>
    </w:div>
    <w:div w:id="829247740">
      <w:bodyDiv w:val="1"/>
      <w:marLeft w:val="0"/>
      <w:marRight w:val="0"/>
      <w:marTop w:val="0"/>
      <w:marBottom w:val="0"/>
      <w:divBdr>
        <w:top w:val="none" w:sz="0" w:space="0" w:color="auto"/>
        <w:left w:val="none" w:sz="0" w:space="0" w:color="auto"/>
        <w:bottom w:val="none" w:sz="0" w:space="0" w:color="auto"/>
        <w:right w:val="none" w:sz="0" w:space="0" w:color="auto"/>
      </w:divBdr>
    </w:div>
    <w:div w:id="829255437">
      <w:bodyDiv w:val="1"/>
      <w:marLeft w:val="0"/>
      <w:marRight w:val="0"/>
      <w:marTop w:val="0"/>
      <w:marBottom w:val="0"/>
      <w:divBdr>
        <w:top w:val="none" w:sz="0" w:space="0" w:color="auto"/>
        <w:left w:val="none" w:sz="0" w:space="0" w:color="auto"/>
        <w:bottom w:val="none" w:sz="0" w:space="0" w:color="auto"/>
        <w:right w:val="none" w:sz="0" w:space="0" w:color="auto"/>
      </w:divBdr>
    </w:div>
    <w:div w:id="829521459">
      <w:bodyDiv w:val="1"/>
      <w:marLeft w:val="0"/>
      <w:marRight w:val="0"/>
      <w:marTop w:val="0"/>
      <w:marBottom w:val="0"/>
      <w:divBdr>
        <w:top w:val="none" w:sz="0" w:space="0" w:color="auto"/>
        <w:left w:val="none" w:sz="0" w:space="0" w:color="auto"/>
        <w:bottom w:val="none" w:sz="0" w:space="0" w:color="auto"/>
        <w:right w:val="none" w:sz="0" w:space="0" w:color="auto"/>
      </w:divBdr>
    </w:div>
    <w:div w:id="829634406">
      <w:bodyDiv w:val="1"/>
      <w:marLeft w:val="0"/>
      <w:marRight w:val="0"/>
      <w:marTop w:val="0"/>
      <w:marBottom w:val="0"/>
      <w:divBdr>
        <w:top w:val="none" w:sz="0" w:space="0" w:color="auto"/>
        <w:left w:val="none" w:sz="0" w:space="0" w:color="auto"/>
        <w:bottom w:val="none" w:sz="0" w:space="0" w:color="auto"/>
        <w:right w:val="none" w:sz="0" w:space="0" w:color="auto"/>
      </w:divBdr>
    </w:div>
    <w:div w:id="829713135">
      <w:bodyDiv w:val="1"/>
      <w:marLeft w:val="0"/>
      <w:marRight w:val="0"/>
      <w:marTop w:val="0"/>
      <w:marBottom w:val="0"/>
      <w:divBdr>
        <w:top w:val="none" w:sz="0" w:space="0" w:color="auto"/>
        <w:left w:val="none" w:sz="0" w:space="0" w:color="auto"/>
        <w:bottom w:val="none" w:sz="0" w:space="0" w:color="auto"/>
        <w:right w:val="none" w:sz="0" w:space="0" w:color="auto"/>
      </w:divBdr>
    </w:div>
    <w:div w:id="829833451">
      <w:bodyDiv w:val="1"/>
      <w:marLeft w:val="0"/>
      <w:marRight w:val="0"/>
      <w:marTop w:val="0"/>
      <w:marBottom w:val="0"/>
      <w:divBdr>
        <w:top w:val="none" w:sz="0" w:space="0" w:color="auto"/>
        <w:left w:val="none" w:sz="0" w:space="0" w:color="auto"/>
        <w:bottom w:val="none" w:sz="0" w:space="0" w:color="auto"/>
        <w:right w:val="none" w:sz="0" w:space="0" w:color="auto"/>
      </w:divBdr>
    </w:div>
    <w:div w:id="829908167">
      <w:bodyDiv w:val="1"/>
      <w:marLeft w:val="0"/>
      <w:marRight w:val="0"/>
      <w:marTop w:val="0"/>
      <w:marBottom w:val="0"/>
      <w:divBdr>
        <w:top w:val="none" w:sz="0" w:space="0" w:color="auto"/>
        <w:left w:val="none" w:sz="0" w:space="0" w:color="auto"/>
        <w:bottom w:val="none" w:sz="0" w:space="0" w:color="auto"/>
        <w:right w:val="none" w:sz="0" w:space="0" w:color="auto"/>
      </w:divBdr>
    </w:div>
    <w:div w:id="829909486">
      <w:bodyDiv w:val="1"/>
      <w:marLeft w:val="0"/>
      <w:marRight w:val="0"/>
      <w:marTop w:val="0"/>
      <w:marBottom w:val="0"/>
      <w:divBdr>
        <w:top w:val="none" w:sz="0" w:space="0" w:color="auto"/>
        <w:left w:val="none" w:sz="0" w:space="0" w:color="auto"/>
        <w:bottom w:val="none" w:sz="0" w:space="0" w:color="auto"/>
        <w:right w:val="none" w:sz="0" w:space="0" w:color="auto"/>
      </w:divBdr>
    </w:div>
    <w:div w:id="829909674">
      <w:bodyDiv w:val="1"/>
      <w:marLeft w:val="0"/>
      <w:marRight w:val="0"/>
      <w:marTop w:val="0"/>
      <w:marBottom w:val="0"/>
      <w:divBdr>
        <w:top w:val="none" w:sz="0" w:space="0" w:color="auto"/>
        <w:left w:val="none" w:sz="0" w:space="0" w:color="auto"/>
        <w:bottom w:val="none" w:sz="0" w:space="0" w:color="auto"/>
        <w:right w:val="none" w:sz="0" w:space="0" w:color="auto"/>
      </w:divBdr>
    </w:div>
    <w:div w:id="829909688">
      <w:bodyDiv w:val="1"/>
      <w:marLeft w:val="0"/>
      <w:marRight w:val="0"/>
      <w:marTop w:val="0"/>
      <w:marBottom w:val="0"/>
      <w:divBdr>
        <w:top w:val="none" w:sz="0" w:space="0" w:color="auto"/>
        <w:left w:val="none" w:sz="0" w:space="0" w:color="auto"/>
        <w:bottom w:val="none" w:sz="0" w:space="0" w:color="auto"/>
        <w:right w:val="none" w:sz="0" w:space="0" w:color="auto"/>
      </w:divBdr>
    </w:div>
    <w:div w:id="829977789">
      <w:bodyDiv w:val="1"/>
      <w:marLeft w:val="0"/>
      <w:marRight w:val="0"/>
      <w:marTop w:val="0"/>
      <w:marBottom w:val="0"/>
      <w:divBdr>
        <w:top w:val="none" w:sz="0" w:space="0" w:color="auto"/>
        <w:left w:val="none" w:sz="0" w:space="0" w:color="auto"/>
        <w:bottom w:val="none" w:sz="0" w:space="0" w:color="auto"/>
        <w:right w:val="none" w:sz="0" w:space="0" w:color="auto"/>
      </w:divBdr>
    </w:div>
    <w:div w:id="830146070">
      <w:bodyDiv w:val="1"/>
      <w:marLeft w:val="0"/>
      <w:marRight w:val="0"/>
      <w:marTop w:val="0"/>
      <w:marBottom w:val="0"/>
      <w:divBdr>
        <w:top w:val="none" w:sz="0" w:space="0" w:color="auto"/>
        <w:left w:val="none" w:sz="0" w:space="0" w:color="auto"/>
        <w:bottom w:val="none" w:sz="0" w:space="0" w:color="auto"/>
        <w:right w:val="none" w:sz="0" w:space="0" w:color="auto"/>
      </w:divBdr>
    </w:div>
    <w:div w:id="830290077">
      <w:bodyDiv w:val="1"/>
      <w:marLeft w:val="0"/>
      <w:marRight w:val="0"/>
      <w:marTop w:val="0"/>
      <w:marBottom w:val="0"/>
      <w:divBdr>
        <w:top w:val="none" w:sz="0" w:space="0" w:color="auto"/>
        <w:left w:val="none" w:sz="0" w:space="0" w:color="auto"/>
        <w:bottom w:val="none" w:sz="0" w:space="0" w:color="auto"/>
        <w:right w:val="none" w:sz="0" w:space="0" w:color="auto"/>
      </w:divBdr>
    </w:div>
    <w:div w:id="830293152">
      <w:bodyDiv w:val="1"/>
      <w:marLeft w:val="0"/>
      <w:marRight w:val="0"/>
      <w:marTop w:val="0"/>
      <w:marBottom w:val="0"/>
      <w:divBdr>
        <w:top w:val="none" w:sz="0" w:space="0" w:color="auto"/>
        <w:left w:val="none" w:sz="0" w:space="0" w:color="auto"/>
        <w:bottom w:val="none" w:sz="0" w:space="0" w:color="auto"/>
        <w:right w:val="none" w:sz="0" w:space="0" w:color="auto"/>
      </w:divBdr>
    </w:div>
    <w:div w:id="830412653">
      <w:bodyDiv w:val="1"/>
      <w:marLeft w:val="0"/>
      <w:marRight w:val="0"/>
      <w:marTop w:val="0"/>
      <w:marBottom w:val="0"/>
      <w:divBdr>
        <w:top w:val="none" w:sz="0" w:space="0" w:color="auto"/>
        <w:left w:val="none" w:sz="0" w:space="0" w:color="auto"/>
        <w:bottom w:val="none" w:sz="0" w:space="0" w:color="auto"/>
        <w:right w:val="none" w:sz="0" w:space="0" w:color="auto"/>
      </w:divBdr>
    </w:div>
    <w:div w:id="830675831">
      <w:bodyDiv w:val="1"/>
      <w:marLeft w:val="0"/>
      <w:marRight w:val="0"/>
      <w:marTop w:val="0"/>
      <w:marBottom w:val="0"/>
      <w:divBdr>
        <w:top w:val="none" w:sz="0" w:space="0" w:color="auto"/>
        <w:left w:val="none" w:sz="0" w:space="0" w:color="auto"/>
        <w:bottom w:val="none" w:sz="0" w:space="0" w:color="auto"/>
        <w:right w:val="none" w:sz="0" w:space="0" w:color="auto"/>
      </w:divBdr>
    </w:div>
    <w:div w:id="830684446">
      <w:bodyDiv w:val="1"/>
      <w:marLeft w:val="0"/>
      <w:marRight w:val="0"/>
      <w:marTop w:val="0"/>
      <w:marBottom w:val="0"/>
      <w:divBdr>
        <w:top w:val="none" w:sz="0" w:space="0" w:color="auto"/>
        <w:left w:val="none" w:sz="0" w:space="0" w:color="auto"/>
        <w:bottom w:val="none" w:sz="0" w:space="0" w:color="auto"/>
        <w:right w:val="none" w:sz="0" w:space="0" w:color="auto"/>
      </w:divBdr>
    </w:div>
    <w:div w:id="830756969">
      <w:bodyDiv w:val="1"/>
      <w:marLeft w:val="0"/>
      <w:marRight w:val="0"/>
      <w:marTop w:val="0"/>
      <w:marBottom w:val="0"/>
      <w:divBdr>
        <w:top w:val="none" w:sz="0" w:space="0" w:color="auto"/>
        <w:left w:val="none" w:sz="0" w:space="0" w:color="auto"/>
        <w:bottom w:val="none" w:sz="0" w:space="0" w:color="auto"/>
        <w:right w:val="none" w:sz="0" w:space="0" w:color="auto"/>
      </w:divBdr>
    </w:div>
    <w:div w:id="830802776">
      <w:bodyDiv w:val="1"/>
      <w:marLeft w:val="0"/>
      <w:marRight w:val="0"/>
      <w:marTop w:val="0"/>
      <w:marBottom w:val="0"/>
      <w:divBdr>
        <w:top w:val="none" w:sz="0" w:space="0" w:color="auto"/>
        <w:left w:val="none" w:sz="0" w:space="0" w:color="auto"/>
        <w:bottom w:val="none" w:sz="0" w:space="0" w:color="auto"/>
        <w:right w:val="none" w:sz="0" w:space="0" w:color="auto"/>
      </w:divBdr>
    </w:div>
    <w:div w:id="830829443">
      <w:bodyDiv w:val="1"/>
      <w:marLeft w:val="0"/>
      <w:marRight w:val="0"/>
      <w:marTop w:val="0"/>
      <w:marBottom w:val="0"/>
      <w:divBdr>
        <w:top w:val="none" w:sz="0" w:space="0" w:color="auto"/>
        <w:left w:val="none" w:sz="0" w:space="0" w:color="auto"/>
        <w:bottom w:val="none" w:sz="0" w:space="0" w:color="auto"/>
        <w:right w:val="none" w:sz="0" w:space="0" w:color="auto"/>
      </w:divBdr>
    </w:div>
    <w:div w:id="831019129">
      <w:bodyDiv w:val="1"/>
      <w:marLeft w:val="0"/>
      <w:marRight w:val="0"/>
      <w:marTop w:val="0"/>
      <w:marBottom w:val="0"/>
      <w:divBdr>
        <w:top w:val="none" w:sz="0" w:space="0" w:color="auto"/>
        <w:left w:val="none" w:sz="0" w:space="0" w:color="auto"/>
        <w:bottom w:val="none" w:sz="0" w:space="0" w:color="auto"/>
        <w:right w:val="none" w:sz="0" w:space="0" w:color="auto"/>
      </w:divBdr>
    </w:div>
    <w:div w:id="831019394">
      <w:bodyDiv w:val="1"/>
      <w:marLeft w:val="0"/>
      <w:marRight w:val="0"/>
      <w:marTop w:val="0"/>
      <w:marBottom w:val="0"/>
      <w:divBdr>
        <w:top w:val="none" w:sz="0" w:space="0" w:color="auto"/>
        <w:left w:val="none" w:sz="0" w:space="0" w:color="auto"/>
        <w:bottom w:val="none" w:sz="0" w:space="0" w:color="auto"/>
        <w:right w:val="none" w:sz="0" w:space="0" w:color="auto"/>
      </w:divBdr>
    </w:div>
    <w:div w:id="831019803">
      <w:bodyDiv w:val="1"/>
      <w:marLeft w:val="0"/>
      <w:marRight w:val="0"/>
      <w:marTop w:val="0"/>
      <w:marBottom w:val="0"/>
      <w:divBdr>
        <w:top w:val="none" w:sz="0" w:space="0" w:color="auto"/>
        <w:left w:val="none" w:sz="0" w:space="0" w:color="auto"/>
        <w:bottom w:val="none" w:sz="0" w:space="0" w:color="auto"/>
        <w:right w:val="none" w:sz="0" w:space="0" w:color="auto"/>
      </w:divBdr>
    </w:div>
    <w:div w:id="831068063">
      <w:bodyDiv w:val="1"/>
      <w:marLeft w:val="0"/>
      <w:marRight w:val="0"/>
      <w:marTop w:val="0"/>
      <w:marBottom w:val="0"/>
      <w:divBdr>
        <w:top w:val="none" w:sz="0" w:space="0" w:color="auto"/>
        <w:left w:val="none" w:sz="0" w:space="0" w:color="auto"/>
        <w:bottom w:val="none" w:sz="0" w:space="0" w:color="auto"/>
        <w:right w:val="none" w:sz="0" w:space="0" w:color="auto"/>
      </w:divBdr>
    </w:div>
    <w:div w:id="831143339">
      <w:bodyDiv w:val="1"/>
      <w:marLeft w:val="0"/>
      <w:marRight w:val="0"/>
      <w:marTop w:val="0"/>
      <w:marBottom w:val="0"/>
      <w:divBdr>
        <w:top w:val="none" w:sz="0" w:space="0" w:color="auto"/>
        <w:left w:val="none" w:sz="0" w:space="0" w:color="auto"/>
        <w:bottom w:val="none" w:sz="0" w:space="0" w:color="auto"/>
        <w:right w:val="none" w:sz="0" w:space="0" w:color="auto"/>
      </w:divBdr>
    </w:div>
    <w:div w:id="831146763">
      <w:bodyDiv w:val="1"/>
      <w:marLeft w:val="0"/>
      <w:marRight w:val="0"/>
      <w:marTop w:val="0"/>
      <w:marBottom w:val="0"/>
      <w:divBdr>
        <w:top w:val="none" w:sz="0" w:space="0" w:color="auto"/>
        <w:left w:val="none" w:sz="0" w:space="0" w:color="auto"/>
        <w:bottom w:val="none" w:sz="0" w:space="0" w:color="auto"/>
        <w:right w:val="none" w:sz="0" w:space="0" w:color="auto"/>
      </w:divBdr>
    </w:div>
    <w:div w:id="831406049">
      <w:bodyDiv w:val="1"/>
      <w:marLeft w:val="0"/>
      <w:marRight w:val="0"/>
      <w:marTop w:val="0"/>
      <w:marBottom w:val="0"/>
      <w:divBdr>
        <w:top w:val="none" w:sz="0" w:space="0" w:color="auto"/>
        <w:left w:val="none" w:sz="0" w:space="0" w:color="auto"/>
        <w:bottom w:val="none" w:sz="0" w:space="0" w:color="auto"/>
        <w:right w:val="none" w:sz="0" w:space="0" w:color="auto"/>
      </w:divBdr>
    </w:div>
    <w:div w:id="831410466">
      <w:bodyDiv w:val="1"/>
      <w:marLeft w:val="0"/>
      <w:marRight w:val="0"/>
      <w:marTop w:val="0"/>
      <w:marBottom w:val="0"/>
      <w:divBdr>
        <w:top w:val="none" w:sz="0" w:space="0" w:color="auto"/>
        <w:left w:val="none" w:sz="0" w:space="0" w:color="auto"/>
        <w:bottom w:val="none" w:sz="0" w:space="0" w:color="auto"/>
        <w:right w:val="none" w:sz="0" w:space="0" w:color="auto"/>
      </w:divBdr>
    </w:div>
    <w:div w:id="831412289">
      <w:bodyDiv w:val="1"/>
      <w:marLeft w:val="0"/>
      <w:marRight w:val="0"/>
      <w:marTop w:val="0"/>
      <w:marBottom w:val="0"/>
      <w:divBdr>
        <w:top w:val="none" w:sz="0" w:space="0" w:color="auto"/>
        <w:left w:val="none" w:sz="0" w:space="0" w:color="auto"/>
        <w:bottom w:val="none" w:sz="0" w:space="0" w:color="auto"/>
        <w:right w:val="none" w:sz="0" w:space="0" w:color="auto"/>
      </w:divBdr>
    </w:div>
    <w:div w:id="831413021">
      <w:bodyDiv w:val="1"/>
      <w:marLeft w:val="0"/>
      <w:marRight w:val="0"/>
      <w:marTop w:val="0"/>
      <w:marBottom w:val="0"/>
      <w:divBdr>
        <w:top w:val="none" w:sz="0" w:space="0" w:color="auto"/>
        <w:left w:val="none" w:sz="0" w:space="0" w:color="auto"/>
        <w:bottom w:val="none" w:sz="0" w:space="0" w:color="auto"/>
        <w:right w:val="none" w:sz="0" w:space="0" w:color="auto"/>
      </w:divBdr>
    </w:div>
    <w:div w:id="831484786">
      <w:bodyDiv w:val="1"/>
      <w:marLeft w:val="0"/>
      <w:marRight w:val="0"/>
      <w:marTop w:val="0"/>
      <w:marBottom w:val="0"/>
      <w:divBdr>
        <w:top w:val="none" w:sz="0" w:space="0" w:color="auto"/>
        <w:left w:val="none" w:sz="0" w:space="0" w:color="auto"/>
        <w:bottom w:val="none" w:sz="0" w:space="0" w:color="auto"/>
        <w:right w:val="none" w:sz="0" w:space="0" w:color="auto"/>
      </w:divBdr>
    </w:div>
    <w:div w:id="831528683">
      <w:bodyDiv w:val="1"/>
      <w:marLeft w:val="0"/>
      <w:marRight w:val="0"/>
      <w:marTop w:val="0"/>
      <w:marBottom w:val="0"/>
      <w:divBdr>
        <w:top w:val="none" w:sz="0" w:space="0" w:color="auto"/>
        <w:left w:val="none" w:sz="0" w:space="0" w:color="auto"/>
        <w:bottom w:val="none" w:sz="0" w:space="0" w:color="auto"/>
        <w:right w:val="none" w:sz="0" w:space="0" w:color="auto"/>
      </w:divBdr>
    </w:div>
    <w:div w:id="831529045">
      <w:bodyDiv w:val="1"/>
      <w:marLeft w:val="0"/>
      <w:marRight w:val="0"/>
      <w:marTop w:val="0"/>
      <w:marBottom w:val="0"/>
      <w:divBdr>
        <w:top w:val="none" w:sz="0" w:space="0" w:color="auto"/>
        <w:left w:val="none" w:sz="0" w:space="0" w:color="auto"/>
        <w:bottom w:val="none" w:sz="0" w:space="0" w:color="auto"/>
        <w:right w:val="none" w:sz="0" w:space="0" w:color="auto"/>
      </w:divBdr>
    </w:div>
    <w:div w:id="831677602">
      <w:bodyDiv w:val="1"/>
      <w:marLeft w:val="0"/>
      <w:marRight w:val="0"/>
      <w:marTop w:val="0"/>
      <w:marBottom w:val="0"/>
      <w:divBdr>
        <w:top w:val="none" w:sz="0" w:space="0" w:color="auto"/>
        <w:left w:val="none" w:sz="0" w:space="0" w:color="auto"/>
        <w:bottom w:val="none" w:sz="0" w:space="0" w:color="auto"/>
        <w:right w:val="none" w:sz="0" w:space="0" w:color="auto"/>
      </w:divBdr>
    </w:div>
    <w:div w:id="831874443">
      <w:bodyDiv w:val="1"/>
      <w:marLeft w:val="0"/>
      <w:marRight w:val="0"/>
      <w:marTop w:val="0"/>
      <w:marBottom w:val="0"/>
      <w:divBdr>
        <w:top w:val="none" w:sz="0" w:space="0" w:color="auto"/>
        <w:left w:val="none" w:sz="0" w:space="0" w:color="auto"/>
        <w:bottom w:val="none" w:sz="0" w:space="0" w:color="auto"/>
        <w:right w:val="none" w:sz="0" w:space="0" w:color="auto"/>
      </w:divBdr>
    </w:div>
    <w:div w:id="831987713">
      <w:bodyDiv w:val="1"/>
      <w:marLeft w:val="0"/>
      <w:marRight w:val="0"/>
      <w:marTop w:val="0"/>
      <w:marBottom w:val="0"/>
      <w:divBdr>
        <w:top w:val="none" w:sz="0" w:space="0" w:color="auto"/>
        <w:left w:val="none" w:sz="0" w:space="0" w:color="auto"/>
        <w:bottom w:val="none" w:sz="0" w:space="0" w:color="auto"/>
        <w:right w:val="none" w:sz="0" w:space="0" w:color="auto"/>
      </w:divBdr>
    </w:div>
    <w:div w:id="832065025">
      <w:bodyDiv w:val="1"/>
      <w:marLeft w:val="0"/>
      <w:marRight w:val="0"/>
      <w:marTop w:val="0"/>
      <w:marBottom w:val="0"/>
      <w:divBdr>
        <w:top w:val="none" w:sz="0" w:space="0" w:color="auto"/>
        <w:left w:val="none" w:sz="0" w:space="0" w:color="auto"/>
        <w:bottom w:val="none" w:sz="0" w:space="0" w:color="auto"/>
        <w:right w:val="none" w:sz="0" w:space="0" w:color="auto"/>
      </w:divBdr>
    </w:div>
    <w:div w:id="832186837">
      <w:bodyDiv w:val="1"/>
      <w:marLeft w:val="0"/>
      <w:marRight w:val="0"/>
      <w:marTop w:val="0"/>
      <w:marBottom w:val="0"/>
      <w:divBdr>
        <w:top w:val="none" w:sz="0" w:space="0" w:color="auto"/>
        <w:left w:val="none" w:sz="0" w:space="0" w:color="auto"/>
        <w:bottom w:val="none" w:sz="0" w:space="0" w:color="auto"/>
        <w:right w:val="none" w:sz="0" w:space="0" w:color="auto"/>
      </w:divBdr>
    </w:div>
    <w:div w:id="832263860">
      <w:bodyDiv w:val="1"/>
      <w:marLeft w:val="0"/>
      <w:marRight w:val="0"/>
      <w:marTop w:val="0"/>
      <w:marBottom w:val="0"/>
      <w:divBdr>
        <w:top w:val="none" w:sz="0" w:space="0" w:color="auto"/>
        <w:left w:val="none" w:sz="0" w:space="0" w:color="auto"/>
        <w:bottom w:val="none" w:sz="0" w:space="0" w:color="auto"/>
        <w:right w:val="none" w:sz="0" w:space="0" w:color="auto"/>
      </w:divBdr>
    </w:div>
    <w:div w:id="832380787">
      <w:bodyDiv w:val="1"/>
      <w:marLeft w:val="0"/>
      <w:marRight w:val="0"/>
      <w:marTop w:val="0"/>
      <w:marBottom w:val="0"/>
      <w:divBdr>
        <w:top w:val="none" w:sz="0" w:space="0" w:color="auto"/>
        <w:left w:val="none" w:sz="0" w:space="0" w:color="auto"/>
        <w:bottom w:val="none" w:sz="0" w:space="0" w:color="auto"/>
        <w:right w:val="none" w:sz="0" w:space="0" w:color="auto"/>
      </w:divBdr>
    </w:div>
    <w:div w:id="832405389">
      <w:bodyDiv w:val="1"/>
      <w:marLeft w:val="0"/>
      <w:marRight w:val="0"/>
      <w:marTop w:val="0"/>
      <w:marBottom w:val="0"/>
      <w:divBdr>
        <w:top w:val="none" w:sz="0" w:space="0" w:color="auto"/>
        <w:left w:val="none" w:sz="0" w:space="0" w:color="auto"/>
        <w:bottom w:val="none" w:sz="0" w:space="0" w:color="auto"/>
        <w:right w:val="none" w:sz="0" w:space="0" w:color="auto"/>
      </w:divBdr>
    </w:div>
    <w:div w:id="832456742">
      <w:bodyDiv w:val="1"/>
      <w:marLeft w:val="0"/>
      <w:marRight w:val="0"/>
      <w:marTop w:val="0"/>
      <w:marBottom w:val="0"/>
      <w:divBdr>
        <w:top w:val="none" w:sz="0" w:space="0" w:color="auto"/>
        <w:left w:val="none" w:sz="0" w:space="0" w:color="auto"/>
        <w:bottom w:val="none" w:sz="0" w:space="0" w:color="auto"/>
        <w:right w:val="none" w:sz="0" w:space="0" w:color="auto"/>
      </w:divBdr>
    </w:div>
    <w:div w:id="832524553">
      <w:bodyDiv w:val="1"/>
      <w:marLeft w:val="0"/>
      <w:marRight w:val="0"/>
      <w:marTop w:val="0"/>
      <w:marBottom w:val="0"/>
      <w:divBdr>
        <w:top w:val="none" w:sz="0" w:space="0" w:color="auto"/>
        <w:left w:val="none" w:sz="0" w:space="0" w:color="auto"/>
        <w:bottom w:val="none" w:sz="0" w:space="0" w:color="auto"/>
        <w:right w:val="none" w:sz="0" w:space="0" w:color="auto"/>
      </w:divBdr>
    </w:div>
    <w:div w:id="832525601">
      <w:bodyDiv w:val="1"/>
      <w:marLeft w:val="0"/>
      <w:marRight w:val="0"/>
      <w:marTop w:val="0"/>
      <w:marBottom w:val="0"/>
      <w:divBdr>
        <w:top w:val="none" w:sz="0" w:space="0" w:color="auto"/>
        <w:left w:val="none" w:sz="0" w:space="0" w:color="auto"/>
        <w:bottom w:val="none" w:sz="0" w:space="0" w:color="auto"/>
        <w:right w:val="none" w:sz="0" w:space="0" w:color="auto"/>
      </w:divBdr>
    </w:div>
    <w:div w:id="832530719">
      <w:bodyDiv w:val="1"/>
      <w:marLeft w:val="0"/>
      <w:marRight w:val="0"/>
      <w:marTop w:val="0"/>
      <w:marBottom w:val="0"/>
      <w:divBdr>
        <w:top w:val="none" w:sz="0" w:space="0" w:color="auto"/>
        <w:left w:val="none" w:sz="0" w:space="0" w:color="auto"/>
        <w:bottom w:val="none" w:sz="0" w:space="0" w:color="auto"/>
        <w:right w:val="none" w:sz="0" w:space="0" w:color="auto"/>
      </w:divBdr>
    </w:div>
    <w:div w:id="832530775">
      <w:bodyDiv w:val="1"/>
      <w:marLeft w:val="0"/>
      <w:marRight w:val="0"/>
      <w:marTop w:val="0"/>
      <w:marBottom w:val="0"/>
      <w:divBdr>
        <w:top w:val="none" w:sz="0" w:space="0" w:color="auto"/>
        <w:left w:val="none" w:sz="0" w:space="0" w:color="auto"/>
        <w:bottom w:val="none" w:sz="0" w:space="0" w:color="auto"/>
        <w:right w:val="none" w:sz="0" w:space="0" w:color="auto"/>
      </w:divBdr>
    </w:div>
    <w:div w:id="832531133">
      <w:bodyDiv w:val="1"/>
      <w:marLeft w:val="0"/>
      <w:marRight w:val="0"/>
      <w:marTop w:val="0"/>
      <w:marBottom w:val="0"/>
      <w:divBdr>
        <w:top w:val="none" w:sz="0" w:space="0" w:color="auto"/>
        <w:left w:val="none" w:sz="0" w:space="0" w:color="auto"/>
        <w:bottom w:val="none" w:sz="0" w:space="0" w:color="auto"/>
        <w:right w:val="none" w:sz="0" w:space="0" w:color="auto"/>
      </w:divBdr>
    </w:div>
    <w:div w:id="832766306">
      <w:bodyDiv w:val="1"/>
      <w:marLeft w:val="0"/>
      <w:marRight w:val="0"/>
      <w:marTop w:val="0"/>
      <w:marBottom w:val="0"/>
      <w:divBdr>
        <w:top w:val="none" w:sz="0" w:space="0" w:color="auto"/>
        <w:left w:val="none" w:sz="0" w:space="0" w:color="auto"/>
        <w:bottom w:val="none" w:sz="0" w:space="0" w:color="auto"/>
        <w:right w:val="none" w:sz="0" w:space="0" w:color="auto"/>
      </w:divBdr>
    </w:div>
    <w:div w:id="832767310">
      <w:bodyDiv w:val="1"/>
      <w:marLeft w:val="0"/>
      <w:marRight w:val="0"/>
      <w:marTop w:val="0"/>
      <w:marBottom w:val="0"/>
      <w:divBdr>
        <w:top w:val="none" w:sz="0" w:space="0" w:color="auto"/>
        <w:left w:val="none" w:sz="0" w:space="0" w:color="auto"/>
        <w:bottom w:val="none" w:sz="0" w:space="0" w:color="auto"/>
        <w:right w:val="none" w:sz="0" w:space="0" w:color="auto"/>
      </w:divBdr>
    </w:div>
    <w:div w:id="832792947">
      <w:bodyDiv w:val="1"/>
      <w:marLeft w:val="0"/>
      <w:marRight w:val="0"/>
      <w:marTop w:val="0"/>
      <w:marBottom w:val="0"/>
      <w:divBdr>
        <w:top w:val="none" w:sz="0" w:space="0" w:color="auto"/>
        <w:left w:val="none" w:sz="0" w:space="0" w:color="auto"/>
        <w:bottom w:val="none" w:sz="0" w:space="0" w:color="auto"/>
        <w:right w:val="none" w:sz="0" w:space="0" w:color="auto"/>
      </w:divBdr>
    </w:div>
    <w:div w:id="832985473">
      <w:bodyDiv w:val="1"/>
      <w:marLeft w:val="0"/>
      <w:marRight w:val="0"/>
      <w:marTop w:val="0"/>
      <w:marBottom w:val="0"/>
      <w:divBdr>
        <w:top w:val="none" w:sz="0" w:space="0" w:color="auto"/>
        <w:left w:val="none" w:sz="0" w:space="0" w:color="auto"/>
        <w:bottom w:val="none" w:sz="0" w:space="0" w:color="auto"/>
        <w:right w:val="none" w:sz="0" w:space="0" w:color="auto"/>
      </w:divBdr>
    </w:div>
    <w:div w:id="833030602">
      <w:bodyDiv w:val="1"/>
      <w:marLeft w:val="0"/>
      <w:marRight w:val="0"/>
      <w:marTop w:val="0"/>
      <w:marBottom w:val="0"/>
      <w:divBdr>
        <w:top w:val="none" w:sz="0" w:space="0" w:color="auto"/>
        <w:left w:val="none" w:sz="0" w:space="0" w:color="auto"/>
        <w:bottom w:val="none" w:sz="0" w:space="0" w:color="auto"/>
        <w:right w:val="none" w:sz="0" w:space="0" w:color="auto"/>
      </w:divBdr>
    </w:div>
    <w:div w:id="833108293">
      <w:bodyDiv w:val="1"/>
      <w:marLeft w:val="0"/>
      <w:marRight w:val="0"/>
      <w:marTop w:val="0"/>
      <w:marBottom w:val="0"/>
      <w:divBdr>
        <w:top w:val="none" w:sz="0" w:space="0" w:color="auto"/>
        <w:left w:val="none" w:sz="0" w:space="0" w:color="auto"/>
        <w:bottom w:val="none" w:sz="0" w:space="0" w:color="auto"/>
        <w:right w:val="none" w:sz="0" w:space="0" w:color="auto"/>
      </w:divBdr>
    </w:div>
    <w:div w:id="833184073">
      <w:bodyDiv w:val="1"/>
      <w:marLeft w:val="0"/>
      <w:marRight w:val="0"/>
      <w:marTop w:val="0"/>
      <w:marBottom w:val="0"/>
      <w:divBdr>
        <w:top w:val="none" w:sz="0" w:space="0" w:color="auto"/>
        <w:left w:val="none" w:sz="0" w:space="0" w:color="auto"/>
        <w:bottom w:val="none" w:sz="0" w:space="0" w:color="auto"/>
        <w:right w:val="none" w:sz="0" w:space="0" w:color="auto"/>
      </w:divBdr>
    </w:div>
    <w:div w:id="833372226">
      <w:bodyDiv w:val="1"/>
      <w:marLeft w:val="0"/>
      <w:marRight w:val="0"/>
      <w:marTop w:val="0"/>
      <w:marBottom w:val="0"/>
      <w:divBdr>
        <w:top w:val="none" w:sz="0" w:space="0" w:color="auto"/>
        <w:left w:val="none" w:sz="0" w:space="0" w:color="auto"/>
        <w:bottom w:val="none" w:sz="0" w:space="0" w:color="auto"/>
        <w:right w:val="none" w:sz="0" w:space="0" w:color="auto"/>
      </w:divBdr>
    </w:div>
    <w:div w:id="833376946">
      <w:bodyDiv w:val="1"/>
      <w:marLeft w:val="0"/>
      <w:marRight w:val="0"/>
      <w:marTop w:val="0"/>
      <w:marBottom w:val="0"/>
      <w:divBdr>
        <w:top w:val="none" w:sz="0" w:space="0" w:color="auto"/>
        <w:left w:val="none" w:sz="0" w:space="0" w:color="auto"/>
        <w:bottom w:val="none" w:sz="0" w:space="0" w:color="auto"/>
        <w:right w:val="none" w:sz="0" w:space="0" w:color="auto"/>
      </w:divBdr>
    </w:div>
    <w:div w:id="833448049">
      <w:bodyDiv w:val="1"/>
      <w:marLeft w:val="0"/>
      <w:marRight w:val="0"/>
      <w:marTop w:val="0"/>
      <w:marBottom w:val="0"/>
      <w:divBdr>
        <w:top w:val="none" w:sz="0" w:space="0" w:color="auto"/>
        <w:left w:val="none" w:sz="0" w:space="0" w:color="auto"/>
        <w:bottom w:val="none" w:sz="0" w:space="0" w:color="auto"/>
        <w:right w:val="none" w:sz="0" w:space="0" w:color="auto"/>
      </w:divBdr>
    </w:div>
    <w:div w:id="833448318">
      <w:bodyDiv w:val="1"/>
      <w:marLeft w:val="0"/>
      <w:marRight w:val="0"/>
      <w:marTop w:val="0"/>
      <w:marBottom w:val="0"/>
      <w:divBdr>
        <w:top w:val="none" w:sz="0" w:space="0" w:color="auto"/>
        <w:left w:val="none" w:sz="0" w:space="0" w:color="auto"/>
        <w:bottom w:val="none" w:sz="0" w:space="0" w:color="auto"/>
        <w:right w:val="none" w:sz="0" w:space="0" w:color="auto"/>
      </w:divBdr>
    </w:div>
    <w:div w:id="833497817">
      <w:bodyDiv w:val="1"/>
      <w:marLeft w:val="0"/>
      <w:marRight w:val="0"/>
      <w:marTop w:val="0"/>
      <w:marBottom w:val="0"/>
      <w:divBdr>
        <w:top w:val="none" w:sz="0" w:space="0" w:color="auto"/>
        <w:left w:val="none" w:sz="0" w:space="0" w:color="auto"/>
        <w:bottom w:val="none" w:sz="0" w:space="0" w:color="auto"/>
        <w:right w:val="none" w:sz="0" w:space="0" w:color="auto"/>
      </w:divBdr>
    </w:div>
    <w:div w:id="833565918">
      <w:bodyDiv w:val="1"/>
      <w:marLeft w:val="0"/>
      <w:marRight w:val="0"/>
      <w:marTop w:val="0"/>
      <w:marBottom w:val="0"/>
      <w:divBdr>
        <w:top w:val="none" w:sz="0" w:space="0" w:color="auto"/>
        <w:left w:val="none" w:sz="0" w:space="0" w:color="auto"/>
        <w:bottom w:val="none" w:sz="0" w:space="0" w:color="auto"/>
        <w:right w:val="none" w:sz="0" w:space="0" w:color="auto"/>
      </w:divBdr>
    </w:div>
    <w:div w:id="833644330">
      <w:bodyDiv w:val="1"/>
      <w:marLeft w:val="0"/>
      <w:marRight w:val="0"/>
      <w:marTop w:val="0"/>
      <w:marBottom w:val="0"/>
      <w:divBdr>
        <w:top w:val="none" w:sz="0" w:space="0" w:color="auto"/>
        <w:left w:val="none" w:sz="0" w:space="0" w:color="auto"/>
        <w:bottom w:val="none" w:sz="0" w:space="0" w:color="auto"/>
        <w:right w:val="none" w:sz="0" w:space="0" w:color="auto"/>
      </w:divBdr>
    </w:div>
    <w:div w:id="833647624">
      <w:bodyDiv w:val="1"/>
      <w:marLeft w:val="0"/>
      <w:marRight w:val="0"/>
      <w:marTop w:val="0"/>
      <w:marBottom w:val="0"/>
      <w:divBdr>
        <w:top w:val="none" w:sz="0" w:space="0" w:color="auto"/>
        <w:left w:val="none" w:sz="0" w:space="0" w:color="auto"/>
        <w:bottom w:val="none" w:sz="0" w:space="0" w:color="auto"/>
        <w:right w:val="none" w:sz="0" w:space="0" w:color="auto"/>
      </w:divBdr>
    </w:div>
    <w:div w:id="833882647">
      <w:bodyDiv w:val="1"/>
      <w:marLeft w:val="0"/>
      <w:marRight w:val="0"/>
      <w:marTop w:val="0"/>
      <w:marBottom w:val="0"/>
      <w:divBdr>
        <w:top w:val="none" w:sz="0" w:space="0" w:color="auto"/>
        <w:left w:val="none" w:sz="0" w:space="0" w:color="auto"/>
        <w:bottom w:val="none" w:sz="0" w:space="0" w:color="auto"/>
        <w:right w:val="none" w:sz="0" w:space="0" w:color="auto"/>
      </w:divBdr>
    </w:div>
    <w:div w:id="833885512">
      <w:bodyDiv w:val="1"/>
      <w:marLeft w:val="0"/>
      <w:marRight w:val="0"/>
      <w:marTop w:val="0"/>
      <w:marBottom w:val="0"/>
      <w:divBdr>
        <w:top w:val="none" w:sz="0" w:space="0" w:color="auto"/>
        <w:left w:val="none" w:sz="0" w:space="0" w:color="auto"/>
        <w:bottom w:val="none" w:sz="0" w:space="0" w:color="auto"/>
        <w:right w:val="none" w:sz="0" w:space="0" w:color="auto"/>
      </w:divBdr>
    </w:div>
    <w:div w:id="833910481">
      <w:bodyDiv w:val="1"/>
      <w:marLeft w:val="0"/>
      <w:marRight w:val="0"/>
      <w:marTop w:val="0"/>
      <w:marBottom w:val="0"/>
      <w:divBdr>
        <w:top w:val="none" w:sz="0" w:space="0" w:color="auto"/>
        <w:left w:val="none" w:sz="0" w:space="0" w:color="auto"/>
        <w:bottom w:val="none" w:sz="0" w:space="0" w:color="auto"/>
        <w:right w:val="none" w:sz="0" w:space="0" w:color="auto"/>
      </w:divBdr>
    </w:div>
    <w:div w:id="833956187">
      <w:bodyDiv w:val="1"/>
      <w:marLeft w:val="0"/>
      <w:marRight w:val="0"/>
      <w:marTop w:val="0"/>
      <w:marBottom w:val="0"/>
      <w:divBdr>
        <w:top w:val="none" w:sz="0" w:space="0" w:color="auto"/>
        <w:left w:val="none" w:sz="0" w:space="0" w:color="auto"/>
        <w:bottom w:val="none" w:sz="0" w:space="0" w:color="auto"/>
        <w:right w:val="none" w:sz="0" w:space="0" w:color="auto"/>
      </w:divBdr>
    </w:div>
    <w:div w:id="834153229">
      <w:bodyDiv w:val="1"/>
      <w:marLeft w:val="0"/>
      <w:marRight w:val="0"/>
      <w:marTop w:val="0"/>
      <w:marBottom w:val="0"/>
      <w:divBdr>
        <w:top w:val="none" w:sz="0" w:space="0" w:color="auto"/>
        <w:left w:val="none" w:sz="0" w:space="0" w:color="auto"/>
        <w:bottom w:val="none" w:sz="0" w:space="0" w:color="auto"/>
        <w:right w:val="none" w:sz="0" w:space="0" w:color="auto"/>
      </w:divBdr>
    </w:div>
    <w:div w:id="834228274">
      <w:bodyDiv w:val="1"/>
      <w:marLeft w:val="0"/>
      <w:marRight w:val="0"/>
      <w:marTop w:val="0"/>
      <w:marBottom w:val="0"/>
      <w:divBdr>
        <w:top w:val="none" w:sz="0" w:space="0" w:color="auto"/>
        <w:left w:val="none" w:sz="0" w:space="0" w:color="auto"/>
        <w:bottom w:val="none" w:sz="0" w:space="0" w:color="auto"/>
        <w:right w:val="none" w:sz="0" w:space="0" w:color="auto"/>
      </w:divBdr>
    </w:div>
    <w:div w:id="834229008">
      <w:bodyDiv w:val="1"/>
      <w:marLeft w:val="0"/>
      <w:marRight w:val="0"/>
      <w:marTop w:val="0"/>
      <w:marBottom w:val="0"/>
      <w:divBdr>
        <w:top w:val="none" w:sz="0" w:space="0" w:color="auto"/>
        <w:left w:val="none" w:sz="0" w:space="0" w:color="auto"/>
        <w:bottom w:val="none" w:sz="0" w:space="0" w:color="auto"/>
        <w:right w:val="none" w:sz="0" w:space="0" w:color="auto"/>
      </w:divBdr>
    </w:div>
    <w:div w:id="834300030">
      <w:bodyDiv w:val="1"/>
      <w:marLeft w:val="0"/>
      <w:marRight w:val="0"/>
      <w:marTop w:val="0"/>
      <w:marBottom w:val="0"/>
      <w:divBdr>
        <w:top w:val="none" w:sz="0" w:space="0" w:color="auto"/>
        <w:left w:val="none" w:sz="0" w:space="0" w:color="auto"/>
        <w:bottom w:val="none" w:sz="0" w:space="0" w:color="auto"/>
        <w:right w:val="none" w:sz="0" w:space="0" w:color="auto"/>
      </w:divBdr>
    </w:div>
    <w:div w:id="834610894">
      <w:bodyDiv w:val="1"/>
      <w:marLeft w:val="0"/>
      <w:marRight w:val="0"/>
      <w:marTop w:val="0"/>
      <w:marBottom w:val="0"/>
      <w:divBdr>
        <w:top w:val="none" w:sz="0" w:space="0" w:color="auto"/>
        <w:left w:val="none" w:sz="0" w:space="0" w:color="auto"/>
        <w:bottom w:val="none" w:sz="0" w:space="0" w:color="auto"/>
        <w:right w:val="none" w:sz="0" w:space="0" w:color="auto"/>
      </w:divBdr>
    </w:div>
    <w:div w:id="834763941">
      <w:bodyDiv w:val="1"/>
      <w:marLeft w:val="0"/>
      <w:marRight w:val="0"/>
      <w:marTop w:val="0"/>
      <w:marBottom w:val="0"/>
      <w:divBdr>
        <w:top w:val="none" w:sz="0" w:space="0" w:color="auto"/>
        <w:left w:val="none" w:sz="0" w:space="0" w:color="auto"/>
        <w:bottom w:val="none" w:sz="0" w:space="0" w:color="auto"/>
        <w:right w:val="none" w:sz="0" w:space="0" w:color="auto"/>
      </w:divBdr>
    </w:div>
    <w:div w:id="834881526">
      <w:bodyDiv w:val="1"/>
      <w:marLeft w:val="0"/>
      <w:marRight w:val="0"/>
      <w:marTop w:val="0"/>
      <w:marBottom w:val="0"/>
      <w:divBdr>
        <w:top w:val="none" w:sz="0" w:space="0" w:color="auto"/>
        <w:left w:val="none" w:sz="0" w:space="0" w:color="auto"/>
        <w:bottom w:val="none" w:sz="0" w:space="0" w:color="auto"/>
        <w:right w:val="none" w:sz="0" w:space="0" w:color="auto"/>
      </w:divBdr>
    </w:div>
    <w:div w:id="835073922">
      <w:bodyDiv w:val="1"/>
      <w:marLeft w:val="0"/>
      <w:marRight w:val="0"/>
      <w:marTop w:val="0"/>
      <w:marBottom w:val="0"/>
      <w:divBdr>
        <w:top w:val="none" w:sz="0" w:space="0" w:color="auto"/>
        <w:left w:val="none" w:sz="0" w:space="0" w:color="auto"/>
        <w:bottom w:val="none" w:sz="0" w:space="0" w:color="auto"/>
        <w:right w:val="none" w:sz="0" w:space="0" w:color="auto"/>
      </w:divBdr>
    </w:div>
    <w:div w:id="835152126">
      <w:bodyDiv w:val="1"/>
      <w:marLeft w:val="0"/>
      <w:marRight w:val="0"/>
      <w:marTop w:val="0"/>
      <w:marBottom w:val="0"/>
      <w:divBdr>
        <w:top w:val="none" w:sz="0" w:space="0" w:color="auto"/>
        <w:left w:val="none" w:sz="0" w:space="0" w:color="auto"/>
        <w:bottom w:val="none" w:sz="0" w:space="0" w:color="auto"/>
        <w:right w:val="none" w:sz="0" w:space="0" w:color="auto"/>
      </w:divBdr>
    </w:div>
    <w:div w:id="835219474">
      <w:bodyDiv w:val="1"/>
      <w:marLeft w:val="0"/>
      <w:marRight w:val="0"/>
      <w:marTop w:val="0"/>
      <w:marBottom w:val="0"/>
      <w:divBdr>
        <w:top w:val="none" w:sz="0" w:space="0" w:color="auto"/>
        <w:left w:val="none" w:sz="0" w:space="0" w:color="auto"/>
        <w:bottom w:val="none" w:sz="0" w:space="0" w:color="auto"/>
        <w:right w:val="none" w:sz="0" w:space="0" w:color="auto"/>
      </w:divBdr>
    </w:div>
    <w:div w:id="835266789">
      <w:bodyDiv w:val="1"/>
      <w:marLeft w:val="0"/>
      <w:marRight w:val="0"/>
      <w:marTop w:val="0"/>
      <w:marBottom w:val="0"/>
      <w:divBdr>
        <w:top w:val="none" w:sz="0" w:space="0" w:color="auto"/>
        <w:left w:val="none" w:sz="0" w:space="0" w:color="auto"/>
        <w:bottom w:val="none" w:sz="0" w:space="0" w:color="auto"/>
        <w:right w:val="none" w:sz="0" w:space="0" w:color="auto"/>
      </w:divBdr>
    </w:div>
    <w:div w:id="835268934">
      <w:bodyDiv w:val="1"/>
      <w:marLeft w:val="0"/>
      <w:marRight w:val="0"/>
      <w:marTop w:val="0"/>
      <w:marBottom w:val="0"/>
      <w:divBdr>
        <w:top w:val="none" w:sz="0" w:space="0" w:color="auto"/>
        <w:left w:val="none" w:sz="0" w:space="0" w:color="auto"/>
        <w:bottom w:val="none" w:sz="0" w:space="0" w:color="auto"/>
        <w:right w:val="none" w:sz="0" w:space="0" w:color="auto"/>
      </w:divBdr>
    </w:div>
    <w:div w:id="835345018">
      <w:bodyDiv w:val="1"/>
      <w:marLeft w:val="0"/>
      <w:marRight w:val="0"/>
      <w:marTop w:val="0"/>
      <w:marBottom w:val="0"/>
      <w:divBdr>
        <w:top w:val="none" w:sz="0" w:space="0" w:color="auto"/>
        <w:left w:val="none" w:sz="0" w:space="0" w:color="auto"/>
        <w:bottom w:val="none" w:sz="0" w:space="0" w:color="auto"/>
        <w:right w:val="none" w:sz="0" w:space="0" w:color="auto"/>
      </w:divBdr>
    </w:div>
    <w:div w:id="835418090">
      <w:bodyDiv w:val="1"/>
      <w:marLeft w:val="0"/>
      <w:marRight w:val="0"/>
      <w:marTop w:val="0"/>
      <w:marBottom w:val="0"/>
      <w:divBdr>
        <w:top w:val="none" w:sz="0" w:space="0" w:color="auto"/>
        <w:left w:val="none" w:sz="0" w:space="0" w:color="auto"/>
        <w:bottom w:val="none" w:sz="0" w:space="0" w:color="auto"/>
        <w:right w:val="none" w:sz="0" w:space="0" w:color="auto"/>
      </w:divBdr>
    </w:div>
    <w:div w:id="835418693">
      <w:bodyDiv w:val="1"/>
      <w:marLeft w:val="0"/>
      <w:marRight w:val="0"/>
      <w:marTop w:val="0"/>
      <w:marBottom w:val="0"/>
      <w:divBdr>
        <w:top w:val="none" w:sz="0" w:space="0" w:color="auto"/>
        <w:left w:val="none" w:sz="0" w:space="0" w:color="auto"/>
        <w:bottom w:val="none" w:sz="0" w:space="0" w:color="auto"/>
        <w:right w:val="none" w:sz="0" w:space="0" w:color="auto"/>
      </w:divBdr>
    </w:div>
    <w:div w:id="835538300">
      <w:bodyDiv w:val="1"/>
      <w:marLeft w:val="0"/>
      <w:marRight w:val="0"/>
      <w:marTop w:val="0"/>
      <w:marBottom w:val="0"/>
      <w:divBdr>
        <w:top w:val="none" w:sz="0" w:space="0" w:color="auto"/>
        <w:left w:val="none" w:sz="0" w:space="0" w:color="auto"/>
        <w:bottom w:val="none" w:sz="0" w:space="0" w:color="auto"/>
        <w:right w:val="none" w:sz="0" w:space="0" w:color="auto"/>
      </w:divBdr>
    </w:div>
    <w:div w:id="835731430">
      <w:bodyDiv w:val="1"/>
      <w:marLeft w:val="0"/>
      <w:marRight w:val="0"/>
      <w:marTop w:val="0"/>
      <w:marBottom w:val="0"/>
      <w:divBdr>
        <w:top w:val="none" w:sz="0" w:space="0" w:color="auto"/>
        <w:left w:val="none" w:sz="0" w:space="0" w:color="auto"/>
        <w:bottom w:val="none" w:sz="0" w:space="0" w:color="auto"/>
        <w:right w:val="none" w:sz="0" w:space="0" w:color="auto"/>
      </w:divBdr>
    </w:div>
    <w:div w:id="835996653">
      <w:bodyDiv w:val="1"/>
      <w:marLeft w:val="0"/>
      <w:marRight w:val="0"/>
      <w:marTop w:val="0"/>
      <w:marBottom w:val="0"/>
      <w:divBdr>
        <w:top w:val="none" w:sz="0" w:space="0" w:color="auto"/>
        <w:left w:val="none" w:sz="0" w:space="0" w:color="auto"/>
        <w:bottom w:val="none" w:sz="0" w:space="0" w:color="auto"/>
        <w:right w:val="none" w:sz="0" w:space="0" w:color="auto"/>
      </w:divBdr>
    </w:div>
    <w:div w:id="836068197">
      <w:bodyDiv w:val="1"/>
      <w:marLeft w:val="0"/>
      <w:marRight w:val="0"/>
      <w:marTop w:val="0"/>
      <w:marBottom w:val="0"/>
      <w:divBdr>
        <w:top w:val="none" w:sz="0" w:space="0" w:color="auto"/>
        <w:left w:val="none" w:sz="0" w:space="0" w:color="auto"/>
        <w:bottom w:val="none" w:sz="0" w:space="0" w:color="auto"/>
        <w:right w:val="none" w:sz="0" w:space="0" w:color="auto"/>
      </w:divBdr>
    </w:div>
    <w:div w:id="836074998">
      <w:bodyDiv w:val="1"/>
      <w:marLeft w:val="0"/>
      <w:marRight w:val="0"/>
      <w:marTop w:val="0"/>
      <w:marBottom w:val="0"/>
      <w:divBdr>
        <w:top w:val="none" w:sz="0" w:space="0" w:color="auto"/>
        <w:left w:val="none" w:sz="0" w:space="0" w:color="auto"/>
        <w:bottom w:val="none" w:sz="0" w:space="0" w:color="auto"/>
        <w:right w:val="none" w:sz="0" w:space="0" w:color="auto"/>
      </w:divBdr>
    </w:div>
    <w:div w:id="836187232">
      <w:bodyDiv w:val="1"/>
      <w:marLeft w:val="0"/>
      <w:marRight w:val="0"/>
      <w:marTop w:val="0"/>
      <w:marBottom w:val="0"/>
      <w:divBdr>
        <w:top w:val="none" w:sz="0" w:space="0" w:color="auto"/>
        <w:left w:val="none" w:sz="0" w:space="0" w:color="auto"/>
        <w:bottom w:val="none" w:sz="0" w:space="0" w:color="auto"/>
        <w:right w:val="none" w:sz="0" w:space="0" w:color="auto"/>
      </w:divBdr>
    </w:div>
    <w:div w:id="836267627">
      <w:bodyDiv w:val="1"/>
      <w:marLeft w:val="0"/>
      <w:marRight w:val="0"/>
      <w:marTop w:val="0"/>
      <w:marBottom w:val="0"/>
      <w:divBdr>
        <w:top w:val="none" w:sz="0" w:space="0" w:color="auto"/>
        <w:left w:val="none" w:sz="0" w:space="0" w:color="auto"/>
        <w:bottom w:val="none" w:sz="0" w:space="0" w:color="auto"/>
        <w:right w:val="none" w:sz="0" w:space="0" w:color="auto"/>
      </w:divBdr>
    </w:div>
    <w:div w:id="836460335">
      <w:bodyDiv w:val="1"/>
      <w:marLeft w:val="0"/>
      <w:marRight w:val="0"/>
      <w:marTop w:val="0"/>
      <w:marBottom w:val="0"/>
      <w:divBdr>
        <w:top w:val="none" w:sz="0" w:space="0" w:color="auto"/>
        <w:left w:val="none" w:sz="0" w:space="0" w:color="auto"/>
        <w:bottom w:val="none" w:sz="0" w:space="0" w:color="auto"/>
        <w:right w:val="none" w:sz="0" w:space="0" w:color="auto"/>
      </w:divBdr>
    </w:div>
    <w:div w:id="836463163">
      <w:bodyDiv w:val="1"/>
      <w:marLeft w:val="0"/>
      <w:marRight w:val="0"/>
      <w:marTop w:val="0"/>
      <w:marBottom w:val="0"/>
      <w:divBdr>
        <w:top w:val="none" w:sz="0" w:space="0" w:color="auto"/>
        <w:left w:val="none" w:sz="0" w:space="0" w:color="auto"/>
        <w:bottom w:val="none" w:sz="0" w:space="0" w:color="auto"/>
        <w:right w:val="none" w:sz="0" w:space="0" w:color="auto"/>
      </w:divBdr>
    </w:div>
    <w:div w:id="836580262">
      <w:bodyDiv w:val="1"/>
      <w:marLeft w:val="0"/>
      <w:marRight w:val="0"/>
      <w:marTop w:val="0"/>
      <w:marBottom w:val="0"/>
      <w:divBdr>
        <w:top w:val="none" w:sz="0" w:space="0" w:color="auto"/>
        <w:left w:val="none" w:sz="0" w:space="0" w:color="auto"/>
        <w:bottom w:val="none" w:sz="0" w:space="0" w:color="auto"/>
        <w:right w:val="none" w:sz="0" w:space="0" w:color="auto"/>
      </w:divBdr>
    </w:div>
    <w:div w:id="836726336">
      <w:bodyDiv w:val="1"/>
      <w:marLeft w:val="0"/>
      <w:marRight w:val="0"/>
      <w:marTop w:val="0"/>
      <w:marBottom w:val="0"/>
      <w:divBdr>
        <w:top w:val="none" w:sz="0" w:space="0" w:color="auto"/>
        <w:left w:val="none" w:sz="0" w:space="0" w:color="auto"/>
        <w:bottom w:val="none" w:sz="0" w:space="0" w:color="auto"/>
        <w:right w:val="none" w:sz="0" w:space="0" w:color="auto"/>
      </w:divBdr>
    </w:div>
    <w:div w:id="836767236">
      <w:bodyDiv w:val="1"/>
      <w:marLeft w:val="0"/>
      <w:marRight w:val="0"/>
      <w:marTop w:val="0"/>
      <w:marBottom w:val="0"/>
      <w:divBdr>
        <w:top w:val="none" w:sz="0" w:space="0" w:color="auto"/>
        <w:left w:val="none" w:sz="0" w:space="0" w:color="auto"/>
        <w:bottom w:val="none" w:sz="0" w:space="0" w:color="auto"/>
        <w:right w:val="none" w:sz="0" w:space="0" w:color="auto"/>
      </w:divBdr>
    </w:div>
    <w:div w:id="836774419">
      <w:bodyDiv w:val="1"/>
      <w:marLeft w:val="0"/>
      <w:marRight w:val="0"/>
      <w:marTop w:val="0"/>
      <w:marBottom w:val="0"/>
      <w:divBdr>
        <w:top w:val="none" w:sz="0" w:space="0" w:color="auto"/>
        <w:left w:val="none" w:sz="0" w:space="0" w:color="auto"/>
        <w:bottom w:val="none" w:sz="0" w:space="0" w:color="auto"/>
        <w:right w:val="none" w:sz="0" w:space="0" w:color="auto"/>
      </w:divBdr>
    </w:div>
    <w:div w:id="836966771">
      <w:bodyDiv w:val="1"/>
      <w:marLeft w:val="0"/>
      <w:marRight w:val="0"/>
      <w:marTop w:val="0"/>
      <w:marBottom w:val="0"/>
      <w:divBdr>
        <w:top w:val="none" w:sz="0" w:space="0" w:color="auto"/>
        <w:left w:val="none" w:sz="0" w:space="0" w:color="auto"/>
        <w:bottom w:val="none" w:sz="0" w:space="0" w:color="auto"/>
        <w:right w:val="none" w:sz="0" w:space="0" w:color="auto"/>
      </w:divBdr>
    </w:div>
    <w:div w:id="837111699">
      <w:bodyDiv w:val="1"/>
      <w:marLeft w:val="0"/>
      <w:marRight w:val="0"/>
      <w:marTop w:val="0"/>
      <w:marBottom w:val="0"/>
      <w:divBdr>
        <w:top w:val="none" w:sz="0" w:space="0" w:color="auto"/>
        <w:left w:val="none" w:sz="0" w:space="0" w:color="auto"/>
        <w:bottom w:val="none" w:sz="0" w:space="0" w:color="auto"/>
        <w:right w:val="none" w:sz="0" w:space="0" w:color="auto"/>
      </w:divBdr>
    </w:div>
    <w:div w:id="837115197">
      <w:bodyDiv w:val="1"/>
      <w:marLeft w:val="0"/>
      <w:marRight w:val="0"/>
      <w:marTop w:val="0"/>
      <w:marBottom w:val="0"/>
      <w:divBdr>
        <w:top w:val="none" w:sz="0" w:space="0" w:color="auto"/>
        <w:left w:val="none" w:sz="0" w:space="0" w:color="auto"/>
        <w:bottom w:val="none" w:sz="0" w:space="0" w:color="auto"/>
        <w:right w:val="none" w:sz="0" w:space="0" w:color="auto"/>
      </w:divBdr>
    </w:div>
    <w:div w:id="837115746">
      <w:bodyDiv w:val="1"/>
      <w:marLeft w:val="0"/>
      <w:marRight w:val="0"/>
      <w:marTop w:val="0"/>
      <w:marBottom w:val="0"/>
      <w:divBdr>
        <w:top w:val="none" w:sz="0" w:space="0" w:color="auto"/>
        <w:left w:val="none" w:sz="0" w:space="0" w:color="auto"/>
        <w:bottom w:val="none" w:sz="0" w:space="0" w:color="auto"/>
        <w:right w:val="none" w:sz="0" w:space="0" w:color="auto"/>
      </w:divBdr>
    </w:div>
    <w:div w:id="837157627">
      <w:bodyDiv w:val="1"/>
      <w:marLeft w:val="0"/>
      <w:marRight w:val="0"/>
      <w:marTop w:val="0"/>
      <w:marBottom w:val="0"/>
      <w:divBdr>
        <w:top w:val="none" w:sz="0" w:space="0" w:color="auto"/>
        <w:left w:val="none" w:sz="0" w:space="0" w:color="auto"/>
        <w:bottom w:val="none" w:sz="0" w:space="0" w:color="auto"/>
        <w:right w:val="none" w:sz="0" w:space="0" w:color="auto"/>
      </w:divBdr>
    </w:div>
    <w:div w:id="837158195">
      <w:bodyDiv w:val="1"/>
      <w:marLeft w:val="0"/>
      <w:marRight w:val="0"/>
      <w:marTop w:val="0"/>
      <w:marBottom w:val="0"/>
      <w:divBdr>
        <w:top w:val="none" w:sz="0" w:space="0" w:color="auto"/>
        <w:left w:val="none" w:sz="0" w:space="0" w:color="auto"/>
        <w:bottom w:val="none" w:sz="0" w:space="0" w:color="auto"/>
        <w:right w:val="none" w:sz="0" w:space="0" w:color="auto"/>
      </w:divBdr>
    </w:div>
    <w:div w:id="837235523">
      <w:bodyDiv w:val="1"/>
      <w:marLeft w:val="0"/>
      <w:marRight w:val="0"/>
      <w:marTop w:val="0"/>
      <w:marBottom w:val="0"/>
      <w:divBdr>
        <w:top w:val="none" w:sz="0" w:space="0" w:color="auto"/>
        <w:left w:val="none" w:sz="0" w:space="0" w:color="auto"/>
        <w:bottom w:val="none" w:sz="0" w:space="0" w:color="auto"/>
        <w:right w:val="none" w:sz="0" w:space="0" w:color="auto"/>
      </w:divBdr>
    </w:div>
    <w:div w:id="837384342">
      <w:bodyDiv w:val="1"/>
      <w:marLeft w:val="0"/>
      <w:marRight w:val="0"/>
      <w:marTop w:val="0"/>
      <w:marBottom w:val="0"/>
      <w:divBdr>
        <w:top w:val="none" w:sz="0" w:space="0" w:color="auto"/>
        <w:left w:val="none" w:sz="0" w:space="0" w:color="auto"/>
        <w:bottom w:val="none" w:sz="0" w:space="0" w:color="auto"/>
        <w:right w:val="none" w:sz="0" w:space="0" w:color="auto"/>
      </w:divBdr>
    </w:div>
    <w:div w:id="837616393">
      <w:bodyDiv w:val="1"/>
      <w:marLeft w:val="0"/>
      <w:marRight w:val="0"/>
      <w:marTop w:val="0"/>
      <w:marBottom w:val="0"/>
      <w:divBdr>
        <w:top w:val="none" w:sz="0" w:space="0" w:color="auto"/>
        <w:left w:val="none" w:sz="0" w:space="0" w:color="auto"/>
        <w:bottom w:val="none" w:sz="0" w:space="0" w:color="auto"/>
        <w:right w:val="none" w:sz="0" w:space="0" w:color="auto"/>
      </w:divBdr>
    </w:div>
    <w:div w:id="837623065">
      <w:bodyDiv w:val="1"/>
      <w:marLeft w:val="0"/>
      <w:marRight w:val="0"/>
      <w:marTop w:val="0"/>
      <w:marBottom w:val="0"/>
      <w:divBdr>
        <w:top w:val="none" w:sz="0" w:space="0" w:color="auto"/>
        <w:left w:val="none" w:sz="0" w:space="0" w:color="auto"/>
        <w:bottom w:val="none" w:sz="0" w:space="0" w:color="auto"/>
        <w:right w:val="none" w:sz="0" w:space="0" w:color="auto"/>
      </w:divBdr>
    </w:div>
    <w:div w:id="837692150">
      <w:bodyDiv w:val="1"/>
      <w:marLeft w:val="0"/>
      <w:marRight w:val="0"/>
      <w:marTop w:val="0"/>
      <w:marBottom w:val="0"/>
      <w:divBdr>
        <w:top w:val="none" w:sz="0" w:space="0" w:color="auto"/>
        <w:left w:val="none" w:sz="0" w:space="0" w:color="auto"/>
        <w:bottom w:val="none" w:sz="0" w:space="0" w:color="auto"/>
        <w:right w:val="none" w:sz="0" w:space="0" w:color="auto"/>
      </w:divBdr>
    </w:div>
    <w:div w:id="837695091">
      <w:bodyDiv w:val="1"/>
      <w:marLeft w:val="0"/>
      <w:marRight w:val="0"/>
      <w:marTop w:val="0"/>
      <w:marBottom w:val="0"/>
      <w:divBdr>
        <w:top w:val="none" w:sz="0" w:space="0" w:color="auto"/>
        <w:left w:val="none" w:sz="0" w:space="0" w:color="auto"/>
        <w:bottom w:val="none" w:sz="0" w:space="0" w:color="auto"/>
        <w:right w:val="none" w:sz="0" w:space="0" w:color="auto"/>
      </w:divBdr>
    </w:div>
    <w:div w:id="837698952">
      <w:bodyDiv w:val="1"/>
      <w:marLeft w:val="0"/>
      <w:marRight w:val="0"/>
      <w:marTop w:val="0"/>
      <w:marBottom w:val="0"/>
      <w:divBdr>
        <w:top w:val="none" w:sz="0" w:space="0" w:color="auto"/>
        <w:left w:val="none" w:sz="0" w:space="0" w:color="auto"/>
        <w:bottom w:val="none" w:sz="0" w:space="0" w:color="auto"/>
        <w:right w:val="none" w:sz="0" w:space="0" w:color="auto"/>
      </w:divBdr>
    </w:div>
    <w:div w:id="837812252">
      <w:bodyDiv w:val="1"/>
      <w:marLeft w:val="0"/>
      <w:marRight w:val="0"/>
      <w:marTop w:val="0"/>
      <w:marBottom w:val="0"/>
      <w:divBdr>
        <w:top w:val="none" w:sz="0" w:space="0" w:color="auto"/>
        <w:left w:val="none" w:sz="0" w:space="0" w:color="auto"/>
        <w:bottom w:val="none" w:sz="0" w:space="0" w:color="auto"/>
        <w:right w:val="none" w:sz="0" w:space="0" w:color="auto"/>
      </w:divBdr>
    </w:div>
    <w:div w:id="837965402">
      <w:bodyDiv w:val="1"/>
      <w:marLeft w:val="0"/>
      <w:marRight w:val="0"/>
      <w:marTop w:val="0"/>
      <w:marBottom w:val="0"/>
      <w:divBdr>
        <w:top w:val="none" w:sz="0" w:space="0" w:color="auto"/>
        <w:left w:val="none" w:sz="0" w:space="0" w:color="auto"/>
        <w:bottom w:val="none" w:sz="0" w:space="0" w:color="auto"/>
        <w:right w:val="none" w:sz="0" w:space="0" w:color="auto"/>
      </w:divBdr>
    </w:div>
    <w:div w:id="838039338">
      <w:bodyDiv w:val="1"/>
      <w:marLeft w:val="0"/>
      <w:marRight w:val="0"/>
      <w:marTop w:val="0"/>
      <w:marBottom w:val="0"/>
      <w:divBdr>
        <w:top w:val="none" w:sz="0" w:space="0" w:color="auto"/>
        <w:left w:val="none" w:sz="0" w:space="0" w:color="auto"/>
        <w:bottom w:val="none" w:sz="0" w:space="0" w:color="auto"/>
        <w:right w:val="none" w:sz="0" w:space="0" w:color="auto"/>
      </w:divBdr>
    </w:div>
    <w:div w:id="838077902">
      <w:bodyDiv w:val="1"/>
      <w:marLeft w:val="0"/>
      <w:marRight w:val="0"/>
      <w:marTop w:val="0"/>
      <w:marBottom w:val="0"/>
      <w:divBdr>
        <w:top w:val="none" w:sz="0" w:space="0" w:color="auto"/>
        <w:left w:val="none" w:sz="0" w:space="0" w:color="auto"/>
        <w:bottom w:val="none" w:sz="0" w:space="0" w:color="auto"/>
        <w:right w:val="none" w:sz="0" w:space="0" w:color="auto"/>
      </w:divBdr>
    </w:div>
    <w:div w:id="838154947">
      <w:bodyDiv w:val="1"/>
      <w:marLeft w:val="0"/>
      <w:marRight w:val="0"/>
      <w:marTop w:val="0"/>
      <w:marBottom w:val="0"/>
      <w:divBdr>
        <w:top w:val="none" w:sz="0" w:space="0" w:color="auto"/>
        <w:left w:val="none" w:sz="0" w:space="0" w:color="auto"/>
        <w:bottom w:val="none" w:sz="0" w:space="0" w:color="auto"/>
        <w:right w:val="none" w:sz="0" w:space="0" w:color="auto"/>
      </w:divBdr>
    </w:div>
    <w:div w:id="838230863">
      <w:bodyDiv w:val="1"/>
      <w:marLeft w:val="0"/>
      <w:marRight w:val="0"/>
      <w:marTop w:val="0"/>
      <w:marBottom w:val="0"/>
      <w:divBdr>
        <w:top w:val="none" w:sz="0" w:space="0" w:color="auto"/>
        <w:left w:val="none" w:sz="0" w:space="0" w:color="auto"/>
        <w:bottom w:val="none" w:sz="0" w:space="0" w:color="auto"/>
        <w:right w:val="none" w:sz="0" w:space="0" w:color="auto"/>
      </w:divBdr>
    </w:div>
    <w:div w:id="838471819">
      <w:bodyDiv w:val="1"/>
      <w:marLeft w:val="0"/>
      <w:marRight w:val="0"/>
      <w:marTop w:val="0"/>
      <w:marBottom w:val="0"/>
      <w:divBdr>
        <w:top w:val="none" w:sz="0" w:space="0" w:color="auto"/>
        <w:left w:val="none" w:sz="0" w:space="0" w:color="auto"/>
        <w:bottom w:val="none" w:sz="0" w:space="0" w:color="auto"/>
        <w:right w:val="none" w:sz="0" w:space="0" w:color="auto"/>
      </w:divBdr>
    </w:div>
    <w:div w:id="838614579">
      <w:bodyDiv w:val="1"/>
      <w:marLeft w:val="0"/>
      <w:marRight w:val="0"/>
      <w:marTop w:val="0"/>
      <w:marBottom w:val="0"/>
      <w:divBdr>
        <w:top w:val="none" w:sz="0" w:space="0" w:color="auto"/>
        <w:left w:val="none" w:sz="0" w:space="0" w:color="auto"/>
        <w:bottom w:val="none" w:sz="0" w:space="0" w:color="auto"/>
        <w:right w:val="none" w:sz="0" w:space="0" w:color="auto"/>
      </w:divBdr>
    </w:div>
    <w:div w:id="838618307">
      <w:bodyDiv w:val="1"/>
      <w:marLeft w:val="0"/>
      <w:marRight w:val="0"/>
      <w:marTop w:val="0"/>
      <w:marBottom w:val="0"/>
      <w:divBdr>
        <w:top w:val="none" w:sz="0" w:space="0" w:color="auto"/>
        <w:left w:val="none" w:sz="0" w:space="0" w:color="auto"/>
        <w:bottom w:val="none" w:sz="0" w:space="0" w:color="auto"/>
        <w:right w:val="none" w:sz="0" w:space="0" w:color="auto"/>
      </w:divBdr>
    </w:div>
    <w:div w:id="838618641">
      <w:bodyDiv w:val="1"/>
      <w:marLeft w:val="0"/>
      <w:marRight w:val="0"/>
      <w:marTop w:val="0"/>
      <w:marBottom w:val="0"/>
      <w:divBdr>
        <w:top w:val="none" w:sz="0" w:space="0" w:color="auto"/>
        <w:left w:val="none" w:sz="0" w:space="0" w:color="auto"/>
        <w:bottom w:val="none" w:sz="0" w:space="0" w:color="auto"/>
        <w:right w:val="none" w:sz="0" w:space="0" w:color="auto"/>
      </w:divBdr>
    </w:div>
    <w:div w:id="838737051">
      <w:bodyDiv w:val="1"/>
      <w:marLeft w:val="0"/>
      <w:marRight w:val="0"/>
      <w:marTop w:val="0"/>
      <w:marBottom w:val="0"/>
      <w:divBdr>
        <w:top w:val="none" w:sz="0" w:space="0" w:color="auto"/>
        <w:left w:val="none" w:sz="0" w:space="0" w:color="auto"/>
        <w:bottom w:val="none" w:sz="0" w:space="0" w:color="auto"/>
        <w:right w:val="none" w:sz="0" w:space="0" w:color="auto"/>
      </w:divBdr>
    </w:div>
    <w:div w:id="838738946">
      <w:bodyDiv w:val="1"/>
      <w:marLeft w:val="0"/>
      <w:marRight w:val="0"/>
      <w:marTop w:val="0"/>
      <w:marBottom w:val="0"/>
      <w:divBdr>
        <w:top w:val="none" w:sz="0" w:space="0" w:color="auto"/>
        <w:left w:val="none" w:sz="0" w:space="0" w:color="auto"/>
        <w:bottom w:val="none" w:sz="0" w:space="0" w:color="auto"/>
        <w:right w:val="none" w:sz="0" w:space="0" w:color="auto"/>
      </w:divBdr>
    </w:div>
    <w:div w:id="838814228">
      <w:bodyDiv w:val="1"/>
      <w:marLeft w:val="0"/>
      <w:marRight w:val="0"/>
      <w:marTop w:val="0"/>
      <w:marBottom w:val="0"/>
      <w:divBdr>
        <w:top w:val="none" w:sz="0" w:space="0" w:color="auto"/>
        <w:left w:val="none" w:sz="0" w:space="0" w:color="auto"/>
        <w:bottom w:val="none" w:sz="0" w:space="0" w:color="auto"/>
        <w:right w:val="none" w:sz="0" w:space="0" w:color="auto"/>
      </w:divBdr>
    </w:div>
    <w:div w:id="838816672">
      <w:bodyDiv w:val="1"/>
      <w:marLeft w:val="0"/>
      <w:marRight w:val="0"/>
      <w:marTop w:val="0"/>
      <w:marBottom w:val="0"/>
      <w:divBdr>
        <w:top w:val="none" w:sz="0" w:space="0" w:color="auto"/>
        <w:left w:val="none" w:sz="0" w:space="0" w:color="auto"/>
        <w:bottom w:val="none" w:sz="0" w:space="0" w:color="auto"/>
        <w:right w:val="none" w:sz="0" w:space="0" w:color="auto"/>
      </w:divBdr>
    </w:div>
    <w:div w:id="839005782">
      <w:bodyDiv w:val="1"/>
      <w:marLeft w:val="0"/>
      <w:marRight w:val="0"/>
      <w:marTop w:val="0"/>
      <w:marBottom w:val="0"/>
      <w:divBdr>
        <w:top w:val="none" w:sz="0" w:space="0" w:color="auto"/>
        <w:left w:val="none" w:sz="0" w:space="0" w:color="auto"/>
        <w:bottom w:val="none" w:sz="0" w:space="0" w:color="auto"/>
        <w:right w:val="none" w:sz="0" w:space="0" w:color="auto"/>
      </w:divBdr>
    </w:div>
    <w:div w:id="839153050">
      <w:bodyDiv w:val="1"/>
      <w:marLeft w:val="0"/>
      <w:marRight w:val="0"/>
      <w:marTop w:val="0"/>
      <w:marBottom w:val="0"/>
      <w:divBdr>
        <w:top w:val="none" w:sz="0" w:space="0" w:color="auto"/>
        <w:left w:val="none" w:sz="0" w:space="0" w:color="auto"/>
        <w:bottom w:val="none" w:sz="0" w:space="0" w:color="auto"/>
        <w:right w:val="none" w:sz="0" w:space="0" w:color="auto"/>
      </w:divBdr>
    </w:div>
    <w:div w:id="839349205">
      <w:bodyDiv w:val="1"/>
      <w:marLeft w:val="0"/>
      <w:marRight w:val="0"/>
      <w:marTop w:val="0"/>
      <w:marBottom w:val="0"/>
      <w:divBdr>
        <w:top w:val="none" w:sz="0" w:space="0" w:color="auto"/>
        <w:left w:val="none" w:sz="0" w:space="0" w:color="auto"/>
        <w:bottom w:val="none" w:sz="0" w:space="0" w:color="auto"/>
        <w:right w:val="none" w:sz="0" w:space="0" w:color="auto"/>
      </w:divBdr>
    </w:div>
    <w:div w:id="839468389">
      <w:bodyDiv w:val="1"/>
      <w:marLeft w:val="0"/>
      <w:marRight w:val="0"/>
      <w:marTop w:val="0"/>
      <w:marBottom w:val="0"/>
      <w:divBdr>
        <w:top w:val="none" w:sz="0" w:space="0" w:color="auto"/>
        <w:left w:val="none" w:sz="0" w:space="0" w:color="auto"/>
        <w:bottom w:val="none" w:sz="0" w:space="0" w:color="auto"/>
        <w:right w:val="none" w:sz="0" w:space="0" w:color="auto"/>
      </w:divBdr>
    </w:div>
    <w:div w:id="839664094">
      <w:bodyDiv w:val="1"/>
      <w:marLeft w:val="0"/>
      <w:marRight w:val="0"/>
      <w:marTop w:val="0"/>
      <w:marBottom w:val="0"/>
      <w:divBdr>
        <w:top w:val="none" w:sz="0" w:space="0" w:color="auto"/>
        <w:left w:val="none" w:sz="0" w:space="0" w:color="auto"/>
        <w:bottom w:val="none" w:sz="0" w:space="0" w:color="auto"/>
        <w:right w:val="none" w:sz="0" w:space="0" w:color="auto"/>
      </w:divBdr>
    </w:div>
    <w:div w:id="839778877">
      <w:bodyDiv w:val="1"/>
      <w:marLeft w:val="0"/>
      <w:marRight w:val="0"/>
      <w:marTop w:val="0"/>
      <w:marBottom w:val="0"/>
      <w:divBdr>
        <w:top w:val="none" w:sz="0" w:space="0" w:color="auto"/>
        <w:left w:val="none" w:sz="0" w:space="0" w:color="auto"/>
        <w:bottom w:val="none" w:sz="0" w:space="0" w:color="auto"/>
        <w:right w:val="none" w:sz="0" w:space="0" w:color="auto"/>
      </w:divBdr>
    </w:div>
    <w:div w:id="839779179">
      <w:bodyDiv w:val="1"/>
      <w:marLeft w:val="0"/>
      <w:marRight w:val="0"/>
      <w:marTop w:val="0"/>
      <w:marBottom w:val="0"/>
      <w:divBdr>
        <w:top w:val="none" w:sz="0" w:space="0" w:color="auto"/>
        <w:left w:val="none" w:sz="0" w:space="0" w:color="auto"/>
        <w:bottom w:val="none" w:sz="0" w:space="0" w:color="auto"/>
        <w:right w:val="none" w:sz="0" w:space="0" w:color="auto"/>
      </w:divBdr>
    </w:div>
    <w:div w:id="839809017">
      <w:bodyDiv w:val="1"/>
      <w:marLeft w:val="0"/>
      <w:marRight w:val="0"/>
      <w:marTop w:val="0"/>
      <w:marBottom w:val="0"/>
      <w:divBdr>
        <w:top w:val="none" w:sz="0" w:space="0" w:color="auto"/>
        <w:left w:val="none" w:sz="0" w:space="0" w:color="auto"/>
        <w:bottom w:val="none" w:sz="0" w:space="0" w:color="auto"/>
        <w:right w:val="none" w:sz="0" w:space="0" w:color="auto"/>
      </w:divBdr>
    </w:div>
    <w:div w:id="839849956">
      <w:bodyDiv w:val="1"/>
      <w:marLeft w:val="0"/>
      <w:marRight w:val="0"/>
      <w:marTop w:val="0"/>
      <w:marBottom w:val="0"/>
      <w:divBdr>
        <w:top w:val="none" w:sz="0" w:space="0" w:color="auto"/>
        <w:left w:val="none" w:sz="0" w:space="0" w:color="auto"/>
        <w:bottom w:val="none" w:sz="0" w:space="0" w:color="auto"/>
        <w:right w:val="none" w:sz="0" w:space="0" w:color="auto"/>
      </w:divBdr>
    </w:div>
    <w:div w:id="840004623">
      <w:bodyDiv w:val="1"/>
      <w:marLeft w:val="0"/>
      <w:marRight w:val="0"/>
      <w:marTop w:val="0"/>
      <w:marBottom w:val="0"/>
      <w:divBdr>
        <w:top w:val="none" w:sz="0" w:space="0" w:color="auto"/>
        <w:left w:val="none" w:sz="0" w:space="0" w:color="auto"/>
        <w:bottom w:val="none" w:sz="0" w:space="0" w:color="auto"/>
        <w:right w:val="none" w:sz="0" w:space="0" w:color="auto"/>
      </w:divBdr>
    </w:div>
    <w:div w:id="840048316">
      <w:bodyDiv w:val="1"/>
      <w:marLeft w:val="0"/>
      <w:marRight w:val="0"/>
      <w:marTop w:val="0"/>
      <w:marBottom w:val="0"/>
      <w:divBdr>
        <w:top w:val="none" w:sz="0" w:space="0" w:color="auto"/>
        <w:left w:val="none" w:sz="0" w:space="0" w:color="auto"/>
        <w:bottom w:val="none" w:sz="0" w:space="0" w:color="auto"/>
        <w:right w:val="none" w:sz="0" w:space="0" w:color="auto"/>
      </w:divBdr>
    </w:div>
    <w:div w:id="840048505">
      <w:bodyDiv w:val="1"/>
      <w:marLeft w:val="0"/>
      <w:marRight w:val="0"/>
      <w:marTop w:val="0"/>
      <w:marBottom w:val="0"/>
      <w:divBdr>
        <w:top w:val="none" w:sz="0" w:space="0" w:color="auto"/>
        <w:left w:val="none" w:sz="0" w:space="0" w:color="auto"/>
        <w:bottom w:val="none" w:sz="0" w:space="0" w:color="auto"/>
        <w:right w:val="none" w:sz="0" w:space="0" w:color="auto"/>
      </w:divBdr>
    </w:div>
    <w:div w:id="840049096">
      <w:bodyDiv w:val="1"/>
      <w:marLeft w:val="0"/>
      <w:marRight w:val="0"/>
      <w:marTop w:val="0"/>
      <w:marBottom w:val="0"/>
      <w:divBdr>
        <w:top w:val="none" w:sz="0" w:space="0" w:color="auto"/>
        <w:left w:val="none" w:sz="0" w:space="0" w:color="auto"/>
        <w:bottom w:val="none" w:sz="0" w:space="0" w:color="auto"/>
        <w:right w:val="none" w:sz="0" w:space="0" w:color="auto"/>
      </w:divBdr>
    </w:div>
    <w:div w:id="840119773">
      <w:bodyDiv w:val="1"/>
      <w:marLeft w:val="0"/>
      <w:marRight w:val="0"/>
      <w:marTop w:val="0"/>
      <w:marBottom w:val="0"/>
      <w:divBdr>
        <w:top w:val="none" w:sz="0" w:space="0" w:color="auto"/>
        <w:left w:val="none" w:sz="0" w:space="0" w:color="auto"/>
        <w:bottom w:val="none" w:sz="0" w:space="0" w:color="auto"/>
        <w:right w:val="none" w:sz="0" w:space="0" w:color="auto"/>
      </w:divBdr>
    </w:div>
    <w:div w:id="840200855">
      <w:bodyDiv w:val="1"/>
      <w:marLeft w:val="0"/>
      <w:marRight w:val="0"/>
      <w:marTop w:val="0"/>
      <w:marBottom w:val="0"/>
      <w:divBdr>
        <w:top w:val="none" w:sz="0" w:space="0" w:color="auto"/>
        <w:left w:val="none" w:sz="0" w:space="0" w:color="auto"/>
        <w:bottom w:val="none" w:sz="0" w:space="0" w:color="auto"/>
        <w:right w:val="none" w:sz="0" w:space="0" w:color="auto"/>
      </w:divBdr>
    </w:div>
    <w:div w:id="840319001">
      <w:bodyDiv w:val="1"/>
      <w:marLeft w:val="0"/>
      <w:marRight w:val="0"/>
      <w:marTop w:val="0"/>
      <w:marBottom w:val="0"/>
      <w:divBdr>
        <w:top w:val="none" w:sz="0" w:space="0" w:color="auto"/>
        <w:left w:val="none" w:sz="0" w:space="0" w:color="auto"/>
        <w:bottom w:val="none" w:sz="0" w:space="0" w:color="auto"/>
        <w:right w:val="none" w:sz="0" w:space="0" w:color="auto"/>
      </w:divBdr>
    </w:div>
    <w:div w:id="840393449">
      <w:bodyDiv w:val="1"/>
      <w:marLeft w:val="0"/>
      <w:marRight w:val="0"/>
      <w:marTop w:val="0"/>
      <w:marBottom w:val="0"/>
      <w:divBdr>
        <w:top w:val="none" w:sz="0" w:space="0" w:color="auto"/>
        <w:left w:val="none" w:sz="0" w:space="0" w:color="auto"/>
        <w:bottom w:val="none" w:sz="0" w:space="0" w:color="auto"/>
        <w:right w:val="none" w:sz="0" w:space="0" w:color="auto"/>
      </w:divBdr>
    </w:div>
    <w:div w:id="840464837">
      <w:bodyDiv w:val="1"/>
      <w:marLeft w:val="0"/>
      <w:marRight w:val="0"/>
      <w:marTop w:val="0"/>
      <w:marBottom w:val="0"/>
      <w:divBdr>
        <w:top w:val="none" w:sz="0" w:space="0" w:color="auto"/>
        <w:left w:val="none" w:sz="0" w:space="0" w:color="auto"/>
        <w:bottom w:val="none" w:sz="0" w:space="0" w:color="auto"/>
        <w:right w:val="none" w:sz="0" w:space="0" w:color="auto"/>
      </w:divBdr>
    </w:div>
    <w:div w:id="840466007">
      <w:bodyDiv w:val="1"/>
      <w:marLeft w:val="0"/>
      <w:marRight w:val="0"/>
      <w:marTop w:val="0"/>
      <w:marBottom w:val="0"/>
      <w:divBdr>
        <w:top w:val="none" w:sz="0" w:space="0" w:color="auto"/>
        <w:left w:val="none" w:sz="0" w:space="0" w:color="auto"/>
        <w:bottom w:val="none" w:sz="0" w:space="0" w:color="auto"/>
        <w:right w:val="none" w:sz="0" w:space="0" w:color="auto"/>
      </w:divBdr>
    </w:div>
    <w:div w:id="840505338">
      <w:bodyDiv w:val="1"/>
      <w:marLeft w:val="0"/>
      <w:marRight w:val="0"/>
      <w:marTop w:val="0"/>
      <w:marBottom w:val="0"/>
      <w:divBdr>
        <w:top w:val="none" w:sz="0" w:space="0" w:color="auto"/>
        <w:left w:val="none" w:sz="0" w:space="0" w:color="auto"/>
        <w:bottom w:val="none" w:sz="0" w:space="0" w:color="auto"/>
        <w:right w:val="none" w:sz="0" w:space="0" w:color="auto"/>
      </w:divBdr>
    </w:div>
    <w:div w:id="840511068">
      <w:bodyDiv w:val="1"/>
      <w:marLeft w:val="0"/>
      <w:marRight w:val="0"/>
      <w:marTop w:val="0"/>
      <w:marBottom w:val="0"/>
      <w:divBdr>
        <w:top w:val="none" w:sz="0" w:space="0" w:color="auto"/>
        <w:left w:val="none" w:sz="0" w:space="0" w:color="auto"/>
        <w:bottom w:val="none" w:sz="0" w:space="0" w:color="auto"/>
        <w:right w:val="none" w:sz="0" w:space="0" w:color="auto"/>
      </w:divBdr>
    </w:div>
    <w:div w:id="840656111">
      <w:bodyDiv w:val="1"/>
      <w:marLeft w:val="0"/>
      <w:marRight w:val="0"/>
      <w:marTop w:val="0"/>
      <w:marBottom w:val="0"/>
      <w:divBdr>
        <w:top w:val="none" w:sz="0" w:space="0" w:color="auto"/>
        <w:left w:val="none" w:sz="0" w:space="0" w:color="auto"/>
        <w:bottom w:val="none" w:sz="0" w:space="0" w:color="auto"/>
        <w:right w:val="none" w:sz="0" w:space="0" w:color="auto"/>
      </w:divBdr>
    </w:div>
    <w:div w:id="840706188">
      <w:bodyDiv w:val="1"/>
      <w:marLeft w:val="0"/>
      <w:marRight w:val="0"/>
      <w:marTop w:val="0"/>
      <w:marBottom w:val="0"/>
      <w:divBdr>
        <w:top w:val="none" w:sz="0" w:space="0" w:color="auto"/>
        <w:left w:val="none" w:sz="0" w:space="0" w:color="auto"/>
        <w:bottom w:val="none" w:sz="0" w:space="0" w:color="auto"/>
        <w:right w:val="none" w:sz="0" w:space="0" w:color="auto"/>
      </w:divBdr>
    </w:div>
    <w:div w:id="840853463">
      <w:bodyDiv w:val="1"/>
      <w:marLeft w:val="0"/>
      <w:marRight w:val="0"/>
      <w:marTop w:val="0"/>
      <w:marBottom w:val="0"/>
      <w:divBdr>
        <w:top w:val="none" w:sz="0" w:space="0" w:color="auto"/>
        <w:left w:val="none" w:sz="0" w:space="0" w:color="auto"/>
        <w:bottom w:val="none" w:sz="0" w:space="0" w:color="auto"/>
        <w:right w:val="none" w:sz="0" w:space="0" w:color="auto"/>
      </w:divBdr>
    </w:div>
    <w:div w:id="840975016">
      <w:bodyDiv w:val="1"/>
      <w:marLeft w:val="0"/>
      <w:marRight w:val="0"/>
      <w:marTop w:val="0"/>
      <w:marBottom w:val="0"/>
      <w:divBdr>
        <w:top w:val="none" w:sz="0" w:space="0" w:color="auto"/>
        <w:left w:val="none" w:sz="0" w:space="0" w:color="auto"/>
        <w:bottom w:val="none" w:sz="0" w:space="0" w:color="auto"/>
        <w:right w:val="none" w:sz="0" w:space="0" w:color="auto"/>
      </w:divBdr>
    </w:div>
    <w:div w:id="840975039">
      <w:bodyDiv w:val="1"/>
      <w:marLeft w:val="0"/>
      <w:marRight w:val="0"/>
      <w:marTop w:val="0"/>
      <w:marBottom w:val="0"/>
      <w:divBdr>
        <w:top w:val="none" w:sz="0" w:space="0" w:color="auto"/>
        <w:left w:val="none" w:sz="0" w:space="0" w:color="auto"/>
        <w:bottom w:val="none" w:sz="0" w:space="0" w:color="auto"/>
        <w:right w:val="none" w:sz="0" w:space="0" w:color="auto"/>
      </w:divBdr>
    </w:div>
    <w:div w:id="841092778">
      <w:bodyDiv w:val="1"/>
      <w:marLeft w:val="0"/>
      <w:marRight w:val="0"/>
      <w:marTop w:val="0"/>
      <w:marBottom w:val="0"/>
      <w:divBdr>
        <w:top w:val="none" w:sz="0" w:space="0" w:color="auto"/>
        <w:left w:val="none" w:sz="0" w:space="0" w:color="auto"/>
        <w:bottom w:val="none" w:sz="0" w:space="0" w:color="auto"/>
        <w:right w:val="none" w:sz="0" w:space="0" w:color="auto"/>
      </w:divBdr>
    </w:div>
    <w:div w:id="841166364">
      <w:bodyDiv w:val="1"/>
      <w:marLeft w:val="0"/>
      <w:marRight w:val="0"/>
      <w:marTop w:val="0"/>
      <w:marBottom w:val="0"/>
      <w:divBdr>
        <w:top w:val="none" w:sz="0" w:space="0" w:color="auto"/>
        <w:left w:val="none" w:sz="0" w:space="0" w:color="auto"/>
        <w:bottom w:val="none" w:sz="0" w:space="0" w:color="auto"/>
        <w:right w:val="none" w:sz="0" w:space="0" w:color="auto"/>
      </w:divBdr>
    </w:div>
    <w:div w:id="841169076">
      <w:bodyDiv w:val="1"/>
      <w:marLeft w:val="0"/>
      <w:marRight w:val="0"/>
      <w:marTop w:val="0"/>
      <w:marBottom w:val="0"/>
      <w:divBdr>
        <w:top w:val="none" w:sz="0" w:space="0" w:color="auto"/>
        <w:left w:val="none" w:sz="0" w:space="0" w:color="auto"/>
        <w:bottom w:val="none" w:sz="0" w:space="0" w:color="auto"/>
        <w:right w:val="none" w:sz="0" w:space="0" w:color="auto"/>
      </w:divBdr>
    </w:div>
    <w:div w:id="841236653">
      <w:bodyDiv w:val="1"/>
      <w:marLeft w:val="0"/>
      <w:marRight w:val="0"/>
      <w:marTop w:val="0"/>
      <w:marBottom w:val="0"/>
      <w:divBdr>
        <w:top w:val="none" w:sz="0" w:space="0" w:color="auto"/>
        <w:left w:val="none" w:sz="0" w:space="0" w:color="auto"/>
        <w:bottom w:val="none" w:sz="0" w:space="0" w:color="auto"/>
        <w:right w:val="none" w:sz="0" w:space="0" w:color="auto"/>
      </w:divBdr>
    </w:div>
    <w:div w:id="841352920">
      <w:bodyDiv w:val="1"/>
      <w:marLeft w:val="0"/>
      <w:marRight w:val="0"/>
      <w:marTop w:val="0"/>
      <w:marBottom w:val="0"/>
      <w:divBdr>
        <w:top w:val="none" w:sz="0" w:space="0" w:color="auto"/>
        <w:left w:val="none" w:sz="0" w:space="0" w:color="auto"/>
        <w:bottom w:val="none" w:sz="0" w:space="0" w:color="auto"/>
        <w:right w:val="none" w:sz="0" w:space="0" w:color="auto"/>
      </w:divBdr>
    </w:div>
    <w:div w:id="841507164">
      <w:bodyDiv w:val="1"/>
      <w:marLeft w:val="0"/>
      <w:marRight w:val="0"/>
      <w:marTop w:val="0"/>
      <w:marBottom w:val="0"/>
      <w:divBdr>
        <w:top w:val="none" w:sz="0" w:space="0" w:color="auto"/>
        <w:left w:val="none" w:sz="0" w:space="0" w:color="auto"/>
        <w:bottom w:val="none" w:sz="0" w:space="0" w:color="auto"/>
        <w:right w:val="none" w:sz="0" w:space="0" w:color="auto"/>
      </w:divBdr>
    </w:div>
    <w:div w:id="841552566">
      <w:bodyDiv w:val="1"/>
      <w:marLeft w:val="0"/>
      <w:marRight w:val="0"/>
      <w:marTop w:val="0"/>
      <w:marBottom w:val="0"/>
      <w:divBdr>
        <w:top w:val="none" w:sz="0" w:space="0" w:color="auto"/>
        <w:left w:val="none" w:sz="0" w:space="0" w:color="auto"/>
        <w:bottom w:val="none" w:sz="0" w:space="0" w:color="auto"/>
        <w:right w:val="none" w:sz="0" w:space="0" w:color="auto"/>
      </w:divBdr>
    </w:div>
    <w:div w:id="841629141">
      <w:bodyDiv w:val="1"/>
      <w:marLeft w:val="0"/>
      <w:marRight w:val="0"/>
      <w:marTop w:val="0"/>
      <w:marBottom w:val="0"/>
      <w:divBdr>
        <w:top w:val="none" w:sz="0" w:space="0" w:color="auto"/>
        <w:left w:val="none" w:sz="0" w:space="0" w:color="auto"/>
        <w:bottom w:val="none" w:sz="0" w:space="0" w:color="auto"/>
        <w:right w:val="none" w:sz="0" w:space="0" w:color="auto"/>
      </w:divBdr>
    </w:div>
    <w:div w:id="841630583">
      <w:bodyDiv w:val="1"/>
      <w:marLeft w:val="0"/>
      <w:marRight w:val="0"/>
      <w:marTop w:val="0"/>
      <w:marBottom w:val="0"/>
      <w:divBdr>
        <w:top w:val="none" w:sz="0" w:space="0" w:color="auto"/>
        <w:left w:val="none" w:sz="0" w:space="0" w:color="auto"/>
        <w:bottom w:val="none" w:sz="0" w:space="0" w:color="auto"/>
        <w:right w:val="none" w:sz="0" w:space="0" w:color="auto"/>
      </w:divBdr>
    </w:div>
    <w:div w:id="841747343">
      <w:bodyDiv w:val="1"/>
      <w:marLeft w:val="0"/>
      <w:marRight w:val="0"/>
      <w:marTop w:val="0"/>
      <w:marBottom w:val="0"/>
      <w:divBdr>
        <w:top w:val="none" w:sz="0" w:space="0" w:color="auto"/>
        <w:left w:val="none" w:sz="0" w:space="0" w:color="auto"/>
        <w:bottom w:val="none" w:sz="0" w:space="0" w:color="auto"/>
        <w:right w:val="none" w:sz="0" w:space="0" w:color="auto"/>
      </w:divBdr>
    </w:div>
    <w:div w:id="841818952">
      <w:bodyDiv w:val="1"/>
      <w:marLeft w:val="0"/>
      <w:marRight w:val="0"/>
      <w:marTop w:val="0"/>
      <w:marBottom w:val="0"/>
      <w:divBdr>
        <w:top w:val="none" w:sz="0" w:space="0" w:color="auto"/>
        <w:left w:val="none" w:sz="0" w:space="0" w:color="auto"/>
        <w:bottom w:val="none" w:sz="0" w:space="0" w:color="auto"/>
        <w:right w:val="none" w:sz="0" w:space="0" w:color="auto"/>
      </w:divBdr>
    </w:div>
    <w:div w:id="842017329">
      <w:bodyDiv w:val="1"/>
      <w:marLeft w:val="0"/>
      <w:marRight w:val="0"/>
      <w:marTop w:val="0"/>
      <w:marBottom w:val="0"/>
      <w:divBdr>
        <w:top w:val="none" w:sz="0" w:space="0" w:color="auto"/>
        <w:left w:val="none" w:sz="0" w:space="0" w:color="auto"/>
        <w:bottom w:val="none" w:sz="0" w:space="0" w:color="auto"/>
        <w:right w:val="none" w:sz="0" w:space="0" w:color="auto"/>
      </w:divBdr>
    </w:div>
    <w:div w:id="842210428">
      <w:bodyDiv w:val="1"/>
      <w:marLeft w:val="0"/>
      <w:marRight w:val="0"/>
      <w:marTop w:val="0"/>
      <w:marBottom w:val="0"/>
      <w:divBdr>
        <w:top w:val="none" w:sz="0" w:space="0" w:color="auto"/>
        <w:left w:val="none" w:sz="0" w:space="0" w:color="auto"/>
        <w:bottom w:val="none" w:sz="0" w:space="0" w:color="auto"/>
        <w:right w:val="none" w:sz="0" w:space="0" w:color="auto"/>
      </w:divBdr>
    </w:div>
    <w:div w:id="842354777">
      <w:bodyDiv w:val="1"/>
      <w:marLeft w:val="0"/>
      <w:marRight w:val="0"/>
      <w:marTop w:val="0"/>
      <w:marBottom w:val="0"/>
      <w:divBdr>
        <w:top w:val="none" w:sz="0" w:space="0" w:color="auto"/>
        <w:left w:val="none" w:sz="0" w:space="0" w:color="auto"/>
        <w:bottom w:val="none" w:sz="0" w:space="0" w:color="auto"/>
        <w:right w:val="none" w:sz="0" w:space="0" w:color="auto"/>
      </w:divBdr>
    </w:div>
    <w:div w:id="842355455">
      <w:bodyDiv w:val="1"/>
      <w:marLeft w:val="0"/>
      <w:marRight w:val="0"/>
      <w:marTop w:val="0"/>
      <w:marBottom w:val="0"/>
      <w:divBdr>
        <w:top w:val="none" w:sz="0" w:space="0" w:color="auto"/>
        <w:left w:val="none" w:sz="0" w:space="0" w:color="auto"/>
        <w:bottom w:val="none" w:sz="0" w:space="0" w:color="auto"/>
        <w:right w:val="none" w:sz="0" w:space="0" w:color="auto"/>
      </w:divBdr>
    </w:div>
    <w:div w:id="842355570">
      <w:bodyDiv w:val="1"/>
      <w:marLeft w:val="0"/>
      <w:marRight w:val="0"/>
      <w:marTop w:val="0"/>
      <w:marBottom w:val="0"/>
      <w:divBdr>
        <w:top w:val="none" w:sz="0" w:space="0" w:color="auto"/>
        <w:left w:val="none" w:sz="0" w:space="0" w:color="auto"/>
        <w:bottom w:val="none" w:sz="0" w:space="0" w:color="auto"/>
        <w:right w:val="none" w:sz="0" w:space="0" w:color="auto"/>
      </w:divBdr>
    </w:div>
    <w:div w:id="842358076">
      <w:bodyDiv w:val="1"/>
      <w:marLeft w:val="0"/>
      <w:marRight w:val="0"/>
      <w:marTop w:val="0"/>
      <w:marBottom w:val="0"/>
      <w:divBdr>
        <w:top w:val="none" w:sz="0" w:space="0" w:color="auto"/>
        <w:left w:val="none" w:sz="0" w:space="0" w:color="auto"/>
        <w:bottom w:val="none" w:sz="0" w:space="0" w:color="auto"/>
        <w:right w:val="none" w:sz="0" w:space="0" w:color="auto"/>
      </w:divBdr>
    </w:div>
    <w:div w:id="842427886">
      <w:bodyDiv w:val="1"/>
      <w:marLeft w:val="0"/>
      <w:marRight w:val="0"/>
      <w:marTop w:val="0"/>
      <w:marBottom w:val="0"/>
      <w:divBdr>
        <w:top w:val="none" w:sz="0" w:space="0" w:color="auto"/>
        <w:left w:val="none" w:sz="0" w:space="0" w:color="auto"/>
        <w:bottom w:val="none" w:sz="0" w:space="0" w:color="auto"/>
        <w:right w:val="none" w:sz="0" w:space="0" w:color="auto"/>
      </w:divBdr>
    </w:div>
    <w:div w:id="842432280">
      <w:bodyDiv w:val="1"/>
      <w:marLeft w:val="0"/>
      <w:marRight w:val="0"/>
      <w:marTop w:val="0"/>
      <w:marBottom w:val="0"/>
      <w:divBdr>
        <w:top w:val="none" w:sz="0" w:space="0" w:color="auto"/>
        <w:left w:val="none" w:sz="0" w:space="0" w:color="auto"/>
        <w:bottom w:val="none" w:sz="0" w:space="0" w:color="auto"/>
        <w:right w:val="none" w:sz="0" w:space="0" w:color="auto"/>
      </w:divBdr>
    </w:div>
    <w:div w:id="842741885">
      <w:bodyDiv w:val="1"/>
      <w:marLeft w:val="0"/>
      <w:marRight w:val="0"/>
      <w:marTop w:val="0"/>
      <w:marBottom w:val="0"/>
      <w:divBdr>
        <w:top w:val="none" w:sz="0" w:space="0" w:color="auto"/>
        <w:left w:val="none" w:sz="0" w:space="0" w:color="auto"/>
        <w:bottom w:val="none" w:sz="0" w:space="0" w:color="auto"/>
        <w:right w:val="none" w:sz="0" w:space="0" w:color="auto"/>
      </w:divBdr>
    </w:div>
    <w:div w:id="842816246">
      <w:bodyDiv w:val="1"/>
      <w:marLeft w:val="0"/>
      <w:marRight w:val="0"/>
      <w:marTop w:val="0"/>
      <w:marBottom w:val="0"/>
      <w:divBdr>
        <w:top w:val="none" w:sz="0" w:space="0" w:color="auto"/>
        <w:left w:val="none" w:sz="0" w:space="0" w:color="auto"/>
        <w:bottom w:val="none" w:sz="0" w:space="0" w:color="auto"/>
        <w:right w:val="none" w:sz="0" w:space="0" w:color="auto"/>
      </w:divBdr>
    </w:div>
    <w:div w:id="842861686">
      <w:bodyDiv w:val="1"/>
      <w:marLeft w:val="0"/>
      <w:marRight w:val="0"/>
      <w:marTop w:val="0"/>
      <w:marBottom w:val="0"/>
      <w:divBdr>
        <w:top w:val="none" w:sz="0" w:space="0" w:color="auto"/>
        <w:left w:val="none" w:sz="0" w:space="0" w:color="auto"/>
        <w:bottom w:val="none" w:sz="0" w:space="0" w:color="auto"/>
        <w:right w:val="none" w:sz="0" w:space="0" w:color="auto"/>
      </w:divBdr>
    </w:div>
    <w:div w:id="843007407">
      <w:bodyDiv w:val="1"/>
      <w:marLeft w:val="0"/>
      <w:marRight w:val="0"/>
      <w:marTop w:val="0"/>
      <w:marBottom w:val="0"/>
      <w:divBdr>
        <w:top w:val="none" w:sz="0" w:space="0" w:color="auto"/>
        <w:left w:val="none" w:sz="0" w:space="0" w:color="auto"/>
        <w:bottom w:val="none" w:sz="0" w:space="0" w:color="auto"/>
        <w:right w:val="none" w:sz="0" w:space="0" w:color="auto"/>
      </w:divBdr>
    </w:div>
    <w:div w:id="843203733">
      <w:bodyDiv w:val="1"/>
      <w:marLeft w:val="0"/>
      <w:marRight w:val="0"/>
      <w:marTop w:val="0"/>
      <w:marBottom w:val="0"/>
      <w:divBdr>
        <w:top w:val="none" w:sz="0" w:space="0" w:color="auto"/>
        <w:left w:val="none" w:sz="0" w:space="0" w:color="auto"/>
        <w:bottom w:val="none" w:sz="0" w:space="0" w:color="auto"/>
        <w:right w:val="none" w:sz="0" w:space="0" w:color="auto"/>
      </w:divBdr>
    </w:div>
    <w:div w:id="843203945">
      <w:bodyDiv w:val="1"/>
      <w:marLeft w:val="0"/>
      <w:marRight w:val="0"/>
      <w:marTop w:val="0"/>
      <w:marBottom w:val="0"/>
      <w:divBdr>
        <w:top w:val="none" w:sz="0" w:space="0" w:color="auto"/>
        <w:left w:val="none" w:sz="0" w:space="0" w:color="auto"/>
        <w:bottom w:val="none" w:sz="0" w:space="0" w:color="auto"/>
        <w:right w:val="none" w:sz="0" w:space="0" w:color="auto"/>
      </w:divBdr>
    </w:div>
    <w:div w:id="843205175">
      <w:bodyDiv w:val="1"/>
      <w:marLeft w:val="0"/>
      <w:marRight w:val="0"/>
      <w:marTop w:val="0"/>
      <w:marBottom w:val="0"/>
      <w:divBdr>
        <w:top w:val="none" w:sz="0" w:space="0" w:color="auto"/>
        <w:left w:val="none" w:sz="0" w:space="0" w:color="auto"/>
        <w:bottom w:val="none" w:sz="0" w:space="0" w:color="auto"/>
        <w:right w:val="none" w:sz="0" w:space="0" w:color="auto"/>
      </w:divBdr>
    </w:div>
    <w:div w:id="843318721">
      <w:bodyDiv w:val="1"/>
      <w:marLeft w:val="0"/>
      <w:marRight w:val="0"/>
      <w:marTop w:val="0"/>
      <w:marBottom w:val="0"/>
      <w:divBdr>
        <w:top w:val="none" w:sz="0" w:space="0" w:color="auto"/>
        <w:left w:val="none" w:sz="0" w:space="0" w:color="auto"/>
        <w:bottom w:val="none" w:sz="0" w:space="0" w:color="auto"/>
        <w:right w:val="none" w:sz="0" w:space="0" w:color="auto"/>
      </w:divBdr>
    </w:div>
    <w:div w:id="843325384">
      <w:bodyDiv w:val="1"/>
      <w:marLeft w:val="0"/>
      <w:marRight w:val="0"/>
      <w:marTop w:val="0"/>
      <w:marBottom w:val="0"/>
      <w:divBdr>
        <w:top w:val="none" w:sz="0" w:space="0" w:color="auto"/>
        <w:left w:val="none" w:sz="0" w:space="0" w:color="auto"/>
        <w:bottom w:val="none" w:sz="0" w:space="0" w:color="auto"/>
        <w:right w:val="none" w:sz="0" w:space="0" w:color="auto"/>
      </w:divBdr>
    </w:div>
    <w:div w:id="843397525">
      <w:bodyDiv w:val="1"/>
      <w:marLeft w:val="0"/>
      <w:marRight w:val="0"/>
      <w:marTop w:val="0"/>
      <w:marBottom w:val="0"/>
      <w:divBdr>
        <w:top w:val="none" w:sz="0" w:space="0" w:color="auto"/>
        <w:left w:val="none" w:sz="0" w:space="0" w:color="auto"/>
        <w:bottom w:val="none" w:sz="0" w:space="0" w:color="auto"/>
        <w:right w:val="none" w:sz="0" w:space="0" w:color="auto"/>
      </w:divBdr>
    </w:div>
    <w:div w:id="843473141">
      <w:bodyDiv w:val="1"/>
      <w:marLeft w:val="0"/>
      <w:marRight w:val="0"/>
      <w:marTop w:val="0"/>
      <w:marBottom w:val="0"/>
      <w:divBdr>
        <w:top w:val="none" w:sz="0" w:space="0" w:color="auto"/>
        <w:left w:val="none" w:sz="0" w:space="0" w:color="auto"/>
        <w:bottom w:val="none" w:sz="0" w:space="0" w:color="auto"/>
        <w:right w:val="none" w:sz="0" w:space="0" w:color="auto"/>
      </w:divBdr>
    </w:div>
    <w:div w:id="843476765">
      <w:bodyDiv w:val="1"/>
      <w:marLeft w:val="0"/>
      <w:marRight w:val="0"/>
      <w:marTop w:val="0"/>
      <w:marBottom w:val="0"/>
      <w:divBdr>
        <w:top w:val="none" w:sz="0" w:space="0" w:color="auto"/>
        <w:left w:val="none" w:sz="0" w:space="0" w:color="auto"/>
        <w:bottom w:val="none" w:sz="0" w:space="0" w:color="auto"/>
        <w:right w:val="none" w:sz="0" w:space="0" w:color="auto"/>
      </w:divBdr>
    </w:div>
    <w:div w:id="843663685">
      <w:bodyDiv w:val="1"/>
      <w:marLeft w:val="0"/>
      <w:marRight w:val="0"/>
      <w:marTop w:val="0"/>
      <w:marBottom w:val="0"/>
      <w:divBdr>
        <w:top w:val="none" w:sz="0" w:space="0" w:color="auto"/>
        <w:left w:val="none" w:sz="0" w:space="0" w:color="auto"/>
        <w:bottom w:val="none" w:sz="0" w:space="0" w:color="auto"/>
        <w:right w:val="none" w:sz="0" w:space="0" w:color="auto"/>
      </w:divBdr>
    </w:div>
    <w:div w:id="843665336">
      <w:bodyDiv w:val="1"/>
      <w:marLeft w:val="0"/>
      <w:marRight w:val="0"/>
      <w:marTop w:val="0"/>
      <w:marBottom w:val="0"/>
      <w:divBdr>
        <w:top w:val="none" w:sz="0" w:space="0" w:color="auto"/>
        <w:left w:val="none" w:sz="0" w:space="0" w:color="auto"/>
        <w:bottom w:val="none" w:sz="0" w:space="0" w:color="auto"/>
        <w:right w:val="none" w:sz="0" w:space="0" w:color="auto"/>
      </w:divBdr>
    </w:div>
    <w:div w:id="843667317">
      <w:bodyDiv w:val="1"/>
      <w:marLeft w:val="0"/>
      <w:marRight w:val="0"/>
      <w:marTop w:val="0"/>
      <w:marBottom w:val="0"/>
      <w:divBdr>
        <w:top w:val="none" w:sz="0" w:space="0" w:color="auto"/>
        <w:left w:val="none" w:sz="0" w:space="0" w:color="auto"/>
        <w:bottom w:val="none" w:sz="0" w:space="0" w:color="auto"/>
        <w:right w:val="none" w:sz="0" w:space="0" w:color="auto"/>
      </w:divBdr>
    </w:div>
    <w:div w:id="843670658">
      <w:bodyDiv w:val="1"/>
      <w:marLeft w:val="0"/>
      <w:marRight w:val="0"/>
      <w:marTop w:val="0"/>
      <w:marBottom w:val="0"/>
      <w:divBdr>
        <w:top w:val="none" w:sz="0" w:space="0" w:color="auto"/>
        <w:left w:val="none" w:sz="0" w:space="0" w:color="auto"/>
        <w:bottom w:val="none" w:sz="0" w:space="0" w:color="auto"/>
        <w:right w:val="none" w:sz="0" w:space="0" w:color="auto"/>
      </w:divBdr>
    </w:div>
    <w:div w:id="843737952">
      <w:bodyDiv w:val="1"/>
      <w:marLeft w:val="0"/>
      <w:marRight w:val="0"/>
      <w:marTop w:val="0"/>
      <w:marBottom w:val="0"/>
      <w:divBdr>
        <w:top w:val="none" w:sz="0" w:space="0" w:color="auto"/>
        <w:left w:val="none" w:sz="0" w:space="0" w:color="auto"/>
        <w:bottom w:val="none" w:sz="0" w:space="0" w:color="auto"/>
        <w:right w:val="none" w:sz="0" w:space="0" w:color="auto"/>
      </w:divBdr>
    </w:div>
    <w:div w:id="843786651">
      <w:bodyDiv w:val="1"/>
      <w:marLeft w:val="0"/>
      <w:marRight w:val="0"/>
      <w:marTop w:val="0"/>
      <w:marBottom w:val="0"/>
      <w:divBdr>
        <w:top w:val="none" w:sz="0" w:space="0" w:color="auto"/>
        <w:left w:val="none" w:sz="0" w:space="0" w:color="auto"/>
        <w:bottom w:val="none" w:sz="0" w:space="0" w:color="auto"/>
        <w:right w:val="none" w:sz="0" w:space="0" w:color="auto"/>
      </w:divBdr>
    </w:div>
    <w:div w:id="843857659">
      <w:bodyDiv w:val="1"/>
      <w:marLeft w:val="0"/>
      <w:marRight w:val="0"/>
      <w:marTop w:val="0"/>
      <w:marBottom w:val="0"/>
      <w:divBdr>
        <w:top w:val="none" w:sz="0" w:space="0" w:color="auto"/>
        <w:left w:val="none" w:sz="0" w:space="0" w:color="auto"/>
        <w:bottom w:val="none" w:sz="0" w:space="0" w:color="auto"/>
        <w:right w:val="none" w:sz="0" w:space="0" w:color="auto"/>
      </w:divBdr>
    </w:div>
    <w:div w:id="843938278">
      <w:bodyDiv w:val="1"/>
      <w:marLeft w:val="0"/>
      <w:marRight w:val="0"/>
      <w:marTop w:val="0"/>
      <w:marBottom w:val="0"/>
      <w:divBdr>
        <w:top w:val="none" w:sz="0" w:space="0" w:color="auto"/>
        <w:left w:val="none" w:sz="0" w:space="0" w:color="auto"/>
        <w:bottom w:val="none" w:sz="0" w:space="0" w:color="auto"/>
        <w:right w:val="none" w:sz="0" w:space="0" w:color="auto"/>
      </w:divBdr>
    </w:div>
    <w:div w:id="843979835">
      <w:bodyDiv w:val="1"/>
      <w:marLeft w:val="0"/>
      <w:marRight w:val="0"/>
      <w:marTop w:val="0"/>
      <w:marBottom w:val="0"/>
      <w:divBdr>
        <w:top w:val="none" w:sz="0" w:space="0" w:color="auto"/>
        <w:left w:val="none" w:sz="0" w:space="0" w:color="auto"/>
        <w:bottom w:val="none" w:sz="0" w:space="0" w:color="auto"/>
        <w:right w:val="none" w:sz="0" w:space="0" w:color="auto"/>
      </w:divBdr>
    </w:div>
    <w:div w:id="844171954">
      <w:bodyDiv w:val="1"/>
      <w:marLeft w:val="0"/>
      <w:marRight w:val="0"/>
      <w:marTop w:val="0"/>
      <w:marBottom w:val="0"/>
      <w:divBdr>
        <w:top w:val="none" w:sz="0" w:space="0" w:color="auto"/>
        <w:left w:val="none" w:sz="0" w:space="0" w:color="auto"/>
        <w:bottom w:val="none" w:sz="0" w:space="0" w:color="auto"/>
        <w:right w:val="none" w:sz="0" w:space="0" w:color="auto"/>
      </w:divBdr>
    </w:div>
    <w:div w:id="844244825">
      <w:bodyDiv w:val="1"/>
      <w:marLeft w:val="0"/>
      <w:marRight w:val="0"/>
      <w:marTop w:val="0"/>
      <w:marBottom w:val="0"/>
      <w:divBdr>
        <w:top w:val="none" w:sz="0" w:space="0" w:color="auto"/>
        <w:left w:val="none" w:sz="0" w:space="0" w:color="auto"/>
        <w:bottom w:val="none" w:sz="0" w:space="0" w:color="auto"/>
        <w:right w:val="none" w:sz="0" w:space="0" w:color="auto"/>
      </w:divBdr>
    </w:div>
    <w:div w:id="844247876">
      <w:bodyDiv w:val="1"/>
      <w:marLeft w:val="0"/>
      <w:marRight w:val="0"/>
      <w:marTop w:val="0"/>
      <w:marBottom w:val="0"/>
      <w:divBdr>
        <w:top w:val="none" w:sz="0" w:space="0" w:color="auto"/>
        <w:left w:val="none" w:sz="0" w:space="0" w:color="auto"/>
        <w:bottom w:val="none" w:sz="0" w:space="0" w:color="auto"/>
        <w:right w:val="none" w:sz="0" w:space="0" w:color="auto"/>
      </w:divBdr>
    </w:div>
    <w:div w:id="844251929">
      <w:bodyDiv w:val="1"/>
      <w:marLeft w:val="0"/>
      <w:marRight w:val="0"/>
      <w:marTop w:val="0"/>
      <w:marBottom w:val="0"/>
      <w:divBdr>
        <w:top w:val="none" w:sz="0" w:space="0" w:color="auto"/>
        <w:left w:val="none" w:sz="0" w:space="0" w:color="auto"/>
        <w:bottom w:val="none" w:sz="0" w:space="0" w:color="auto"/>
        <w:right w:val="none" w:sz="0" w:space="0" w:color="auto"/>
      </w:divBdr>
    </w:div>
    <w:div w:id="844367707">
      <w:bodyDiv w:val="1"/>
      <w:marLeft w:val="0"/>
      <w:marRight w:val="0"/>
      <w:marTop w:val="0"/>
      <w:marBottom w:val="0"/>
      <w:divBdr>
        <w:top w:val="none" w:sz="0" w:space="0" w:color="auto"/>
        <w:left w:val="none" w:sz="0" w:space="0" w:color="auto"/>
        <w:bottom w:val="none" w:sz="0" w:space="0" w:color="auto"/>
        <w:right w:val="none" w:sz="0" w:space="0" w:color="auto"/>
      </w:divBdr>
    </w:div>
    <w:div w:id="844394030">
      <w:bodyDiv w:val="1"/>
      <w:marLeft w:val="0"/>
      <w:marRight w:val="0"/>
      <w:marTop w:val="0"/>
      <w:marBottom w:val="0"/>
      <w:divBdr>
        <w:top w:val="none" w:sz="0" w:space="0" w:color="auto"/>
        <w:left w:val="none" w:sz="0" w:space="0" w:color="auto"/>
        <w:bottom w:val="none" w:sz="0" w:space="0" w:color="auto"/>
        <w:right w:val="none" w:sz="0" w:space="0" w:color="auto"/>
      </w:divBdr>
    </w:div>
    <w:div w:id="844398264">
      <w:bodyDiv w:val="1"/>
      <w:marLeft w:val="0"/>
      <w:marRight w:val="0"/>
      <w:marTop w:val="0"/>
      <w:marBottom w:val="0"/>
      <w:divBdr>
        <w:top w:val="none" w:sz="0" w:space="0" w:color="auto"/>
        <w:left w:val="none" w:sz="0" w:space="0" w:color="auto"/>
        <w:bottom w:val="none" w:sz="0" w:space="0" w:color="auto"/>
        <w:right w:val="none" w:sz="0" w:space="0" w:color="auto"/>
      </w:divBdr>
    </w:div>
    <w:div w:id="844516048">
      <w:bodyDiv w:val="1"/>
      <w:marLeft w:val="0"/>
      <w:marRight w:val="0"/>
      <w:marTop w:val="0"/>
      <w:marBottom w:val="0"/>
      <w:divBdr>
        <w:top w:val="none" w:sz="0" w:space="0" w:color="auto"/>
        <w:left w:val="none" w:sz="0" w:space="0" w:color="auto"/>
        <w:bottom w:val="none" w:sz="0" w:space="0" w:color="auto"/>
        <w:right w:val="none" w:sz="0" w:space="0" w:color="auto"/>
      </w:divBdr>
    </w:div>
    <w:div w:id="844592022">
      <w:bodyDiv w:val="1"/>
      <w:marLeft w:val="0"/>
      <w:marRight w:val="0"/>
      <w:marTop w:val="0"/>
      <w:marBottom w:val="0"/>
      <w:divBdr>
        <w:top w:val="none" w:sz="0" w:space="0" w:color="auto"/>
        <w:left w:val="none" w:sz="0" w:space="0" w:color="auto"/>
        <w:bottom w:val="none" w:sz="0" w:space="0" w:color="auto"/>
        <w:right w:val="none" w:sz="0" w:space="0" w:color="auto"/>
      </w:divBdr>
    </w:div>
    <w:div w:id="844634073">
      <w:bodyDiv w:val="1"/>
      <w:marLeft w:val="0"/>
      <w:marRight w:val="0"/>
      <w:marTop w:val="0"/>
      <w:marBottom w:val="0"/>
      <w:divBdr>
        <w:top w:val="none" w:sz="0" w:space="0" w:color="auto"/>
        <w:left w:val="none" w:sz="0" w:space="0" w:color="auto"/>
        <w:bottom w:val="none" w:sz="0" w:space="0" w:color="auto"/>
        <w:right w:val="none" w:sz="0" w:space="0" w:color="auto"/>
      </w:divBdr>
    </w:div>
    <w:div w:id="844704409">
      <w:bodyDiv w:val="1"/>
      <w:marLeft w:val="0"/>
      <w:marRight w:val="0"/>
      <w:marTop w:val="0"/>
      <w:marBottom w:val="0"/>
      <w:divBdr>
        <w:top w:val="none" w:sz="0" w:space="0" w:color="auto"/>
        <w:left w:val="none" w:sz="0" w:space="0" w:color="auto"/>
        <w:bottom w:val="none" w:sz="0" w:space="0" w:color="auto"/>
        <w:right w:val="none" w:sz="0" w:space="0" w:color="auto"/>
      </w:divBdr>
    </w:div>
    <w:div w:id="844824599">
      <w:bodyDiv w:val="1"/>
      <w:marLeft w:val="0"/>
      <w:marRight w:val="0"/>
      <w:marTop w:val="0"/>
      <w:marBottom w:val="0"/>
      <w:divBdr>
        <w:top w:val="none" w:sz="0" w:space="0" w:color="auto"/>
        <w:left w:val="none" w:sz="0" w:space="0" w:color="auto"/>
        <w:bottom w:val="none" w:sz="0" w:space="0" w:color="auto"/>
        <w:right w:val="none" w:sz="0" w:space="0" w:color="auto"/>
      </w:divBdr>
    </w:div>
    <w:div w:id="844976585">
      <w:bodyDiv w:val="1"/>
      <w:marLeft w:val="0"/>
      <w:marRight w:val="0"/>
      <w:marTop w:val="0"/>
      <w:marBottom w:val="0"/>
      <w:divBdr>
        <w:top w:val="none" w:sz="0" w:space="0" w:color="auto"/>
        <w:left w:val="none" w:sz="0" w:space="0" w:color="auto"/>
        <w:bottom w:val="none" w:sz="0" w:space="0" w:color="auto"/>
        <w:right w:val="none" w:sz="0" w:space="0" w:color="auto"/>
      </w:divBdr>
    </w:div>
    <w:div w:id="845175645">
      <w:bodyDiv w:val="1"/>
      <w:marLeft w:val="0"/>
      <w:marRight w:val="0"/>
      <w:marTop w:val="0"/>
      <w:marBottom w:val="0"/>
      <w:divBdr>
        <w:top w:val="none" w:sz="0" w:space="0" w:color="auto"/>
        <w:left w:val="none" w:sz="0" w:space="0" w:color="auto"/>
        <w:bottom w:val="none" w:sz="0" w:space="0" w:color="auto"/>
        <w:right w:val="none" w:sz="0" w:space="0" w:color="auto"/>
      </w:divBdr>
    </w:div>
    <w:div w:id="845286501">
      <w:bodyDiv w:val="1"/>
      <w:marLeft w:val="0"/>
      <w:marRight w:val="0"/>
      <w:marTop w:val="0"/>
      <w:marBottom w:val="0"/>
      <w:divBdr>
        <w:top w:val="none" w:sz="0" w:space="0" w:color="auto"/>
        <w:left w:val="none" w:sz="0" w:space="0" w:color="auto"/>
        <w:bottom w:val="none" w:sz="0" w:space="0" w:color="auto"/>
        <w:right w:val="none" w:sz="0" w:space="0" w:color="auto"/>
      </w:divBdr>
    </w:div>
    <w:div w:id="845289026">
      <w:bodyDiv w:val="1"/>
      <w:marLeft w:val="0"/>
      <w:marRight w:val="0"/>
      <w:marTop w:val="0"/>
      <w:marBottom w:val="0"/>
      <w:divBdr>
        <w:top w:val="none" w:sz="0" w:space="0" w:color="auto"/>
        <w:left w:val="none" w:sz="0" w:space="0" w:color="auto"/>
        <w:bottom w:val="none" w:sz="0" w:space="0" w:color="auto"/>
        <w:right w:val="none" w:sz="0" w:space="0" w:color="auto"/>
      </w:divBdr>
    </w:div>
    <w:div w:id="845289801">
      <w:bodyDiv w:val="1"/>
      <w:marLeft w:val="0"/>
      <w:marRight w:val="0"/>
      <w:marTop w:val="0"/>
      <w:marBottom w:val="0"/>
      <w:divBdr>
        <w:top w:val="none" w:sz="0" w:space="0" w:color="auto"/>
        <w:left w:val="none" w:sz="0" w:space="0" w:color="auto"/>
        <w:bottom w:val="none" w:sz="0" w:space="0" w:color="auto"/>
        <w:right w:val="none" w:sz="0" w:space="0" w:color="auto"/>
      </w:divBdr>
    </w:div>
    <w:div w:id="845289911">
      <w:bodyDiv w:val="1"/>
      <w:marLeft w:val="0"/>
      <w:marRight w:val="0"/>
      <w:marTop w:val="0"/>
      <w:marBottom w:val="0"/>
      <w:divBdr>
        <w:top w:val="none" w:sz="0" w:space="0" w:color="auto"/>
        <w:left w:val="none" w:sz="0" w:space="0" w:color="auto"/>
        <w:bottom w:val="none" w:sz="0" w:space="0" w:color="auto"/>
        <w:right w:val="none" w:sz="0" w:space="0" w:color="auto"/>
      </w:divBdr>
    </w:div>
    <w:div w:id="845436140">
      <w:bodyDiv w:val="1"/>
      <w:marLeft w:val="0"/>
      <w:marRight w:val="0"/>
      <w:marTop w:val="0"/>
      <w:marBottom w:val="0"/>
      <w:divBdr>
        <w:top w:val="none" w:sz="0" w:space="0" w:color="auto"/>
        <w:left w:val="none" w:sz="0" w:space="0" w:color="auto"/>
        <w:bottom w:val="none" w:sz="0" w:space="0" w:color="auto"/>
        <w:right w:val="none" w:sz="0" w:space="0" w:color="auto"/>
      </w:divBdr>
    </w:div>
    <w:div w:id="845439498">
      <w:bodyDiv w:val="1"/>
      <w:marLeft w:val="0"/>
      <w:marRight w:val="0"/>
      <w:marTop w:val="0"/>
      <w:marBottom w:val="0"/>
      <w:divBdr>
        <w:top w:val="none" w:sz="0" w:space="0" w:color="auto"/>
        <w:left w:val="none" w:sz="0" w:space="0" w:color="auto"/>
        <w:bottom w:val="none" w:sz="0" w:space="0" w:color="auto"/>
        <w:right w:val="none" w:sz="0" w:space="0" w:color="auto"/>
      </w:divBdr>
    </w:div>
    <w:div w:id="845554956">
      <w:bodyDiv w:val="1"/>
      <w:marLeft w:val="0"/>
      <w:marRight w:val="0"/>
      <w:marTop w:val="0"/>
      <w:marBottom w:val="0"/>
      <w:divBdr>
        <w:top w:val="none" w:sz="0" w:space="0" w:color="auto"/>
        <w:left w:val="none" w:sz="0" w:space="0" w:color="auto"/>
        <w:bottom w:val="none" w:sz="0" w:space="0" w:color="auto"/>
        <w:right w:val="none" w:sz="0" w:space="0" w:color="auto"/>
      </w:divBdr>
    </w:div>
    <w:div w:id="845561184">
      <w:bodyDiv w:val="1"/>
      <w:marLeft w:val="0"/>
      <w:marRight w:val="0"/>
      <w:marTop w:val="0"/>
      <w:marBottom w:val="0"/>
      <w:divBdr>
        <w:top w:val="none" w:sz="0" w:space="0" w:color="auto"/>
        <w:left w:val="none" w:sz="0" w:space="0" w:color="auto"/>
        <w:bottom w:val="none" w:sz="0" w:space="0" w:color="auto"/>
        <w:right w:val="none" w:sz="0" w:space="0" w:color="auto"/>
      </w:divBdr>
    </w:div>
    <w:div w:id="845561539">
      <w:bodyDiv w:val="1"/>
      <w:marLeft w:val="0"/>
      <w:marRight w:val="0"/>
      <w:marTop w:val="0"/>
      <w:marBottom w:val="0"/>
      <w:divBdr>
        <w:top w:val="none" w:sz="0" w:space="0" w:color="auto"/>
        <w:left w:val="none" w:sz="0" w:space="0" w:color="auto"/>
        <w:bottom w:val="none" w:sz="0" w:space="0" w:color="auto"/>
        <w:right w:val="none" w:sz="0" w:space="0" w:color="auto"/>
      </w:divBdr>
    </w:div>
    <w:div w:id="845562453">
      <w:bodyDiv w:val="1"/>
      <w:marLeft w:val="0"/>
      <w:marRight w:val="0"/>
      <w:marTop w:val="0"/>
      <w:marBottom w:val="0"/>
      <w:divBdr>
        <w:top w:val="none" w:sz="0" w:space="0" w:color="auto"/>
        <w:left w:val="none" w:sz="0" w:space="0" w:color="auto"/>
        <w:bottom w:val="none" w:sz="0" w:space="0" w:color="auto"/>
        <w:right w:val="none" w:sz="0" w:space="0" w:color="auto"/>
      </w:divBdr>
    </w:div>
    <w:div w:id="845756061">
      <w:bodyDiv w:val="1"/>
      <w:marLeft w:val="0"/>
      <w:marRight w:val="0"/>
      <w:marTop w:val="0"/>
      <w:marBottom w:val="0"/>
      <w:divBdr>
        <w:top w:val="none" w:sz="0" w:space="0" w:color="auto"/>
        <w:left w:val="none" w:sz="0" w:space="0" w:color="auto"/>
        <w:bottom w:val="none" w:sz="0" w:space="0" w:color="auto"/>
        <w:right w:val="none" w:sz="0" w:space="0" w:color="auto"/>
      </w:divBdr>
    </w:div>
    <w:div w:id="845897269">
      <w:bodyDiv w:val="1"/>
      <w:marLeft w:val="0"/>
      <w:marRight w:val="0"/>
      <w:marTop w:val="0"/>
      <w:marBottom w:val="0"/>
      <w:divBdr>
        <w:top w:val="none" w:sz="0" w:space="0" w:color="auto"/>
        <w:left w:val="none" w:sz="0" w:space="0" w:color="auto"/>
        <w:bottom w:val="none" w:sz="0" w:space="0" w:color="auto"/>
        <w:right w:val="none" w:sz="0" w:space="0" w:color="auto"/>
      </w:divBdr>
    </w:div>
    <w:div w:id="845903867">
      <w:bodyDiv w:val="1"/>
      <w:marLeft w:val="0"/>
      <w:marRight w:val="0"/>
      <w:marTop w:val="0"/>
      <w:marBottom w:val="0"/>
      <w:divBdr>
        <w:top w:val="none" w:sz="0" w:space="0" w:color="auto"/>
        <w:left w:val="none" w:sz="0" w:space="0" w:color="auto"/>
        <w:bottom w:val="none" w:sz="0" w:space="0" w:color="auto"/>
        <w:right w:val="none" w:sz="0" w:space="0" w:color="auto"/>
      </w:divBdr>
    </w:div>
    <w:div w:id="845944595">
      <w:bodyDiv w:val="1"/>
      <w:marLeft w:val="0"/>
      <w:marRight w:val="0"/>
      <w:marTop w:val="0"/>
      <w:marBottom w:val="0"/>
      <w:divBdr>
        <w:top w:val="none" w:sz="0" w:space="0" w:color="auto"/>
        <w:left w:val="none" w:sz="0" w:space="0" w:color="auto"/>
        <w:bottom w:val="none" w:sz="0" w:space="0" w:color="auto"/>
        <w:right w:val="none" w:sz="0" w:space="0" w:color="auto"/>
      </w:divBdr>
    </w:div>
    <w:div w:id="846022762">
      <w:bodyDiv w:val="1"/>
      <w:marLeft w:val="0"/>
      <w:marRight w:val="0"/>
      <w:marTop w:val="0"/>
      <w:marBottom w:val="0"/>
      <w:divBdr>
        <w:top w:val="none" w:sz="0" w:space="0" w:color="auto"/>
        <w:left w:val="none" w:sz="0" w:space="0" w:color="auto"/>
        <w:bottom w:val="none" w:sz="0" w:space="0" w:color="auto"/>
        <w:right w:val="none" w:sz="0" w:space="0" w:color="auto"/>
      </w:divBdr>
    </w:div>
    <w:div w:id="846095734">
      <w:bodyDiv w:val="1"/>
      <w:marLeft w:val="0"/>
      <w:marRight w:val="0"/>
      <w:marTop w:val="0"/>
      <w:marBottom w:val="0"/>
      <w:divBdr>
        <w:top w:val="none" w:sz="0" w:space="0" w:color="auto"/>
        <w:left w:val="none" w:sz="0" w:space="0" w:color="auto"/>
        <w:bottom w:val="none" w:sz="0" w:space="0" w:color="auto"/>
        <w:right w:val="none" w:sz="0" w:space="0" w:color="auto"/>
      </w:divBdr>
    </w:div>
    <w:div w:id="846140542">
      <w:bodyDiv w:val="1"/>
      <w:marLeft w:val="0"/>
      <w:marRight w:val="0"/>
      <w:marTop w:val="0"/>
      <w:marBottom w:val="0"/>
      <w:divBdr>
        <w:top w:val="none" w:sz="0" w:space="0" w:color="auto"/>
        <w:left w:val="none" w:sz="0" w:space="0" w:color="auto"/>
        <w:bottom w:val="none" w:sz="0" w:space="0" w:color="auto"/>
        <w:right w:val="none" w:sz="0" w:space="0" w:color="auto"/>
      </w:divBdr>
    </w:div>
    <w:div w:id="846217750">
      <w:bodyDiv w:val="1"/>
      <w:marLeft w:val="0"/>
      <w:marRight w:val="0"/>
      <w:marTop w:val="0"/>
      <w:marBottom w:val="0"/>
      <w:divBdr>
        <w:top w:val="none" w:sz="0" w:space="0" w:color="auto"/>
        <w:left w:val="none" w:sz="0" w:space="0" w:color="auto"/>
        <w:bottom w:val="none" w:sz="0" w:space="0" w:color="auto"/>
        <w:right w:val="none" w:sz="0" w:space="0" w:color="auto"/>
      </w:divBdr>
    </w:div>
    <w:div w:id="846285314">
      <w:bodyDiv w:val="1"/>
      <w:marLeft w:val="0"/>
      <w:marRight w:val="0"/>
      <w:marTop w:val="0"/>
      <w:marBottom w:val="0"/>
      <w:divBdr>
        <w:top w:val="none" w:sz="0" w:space="0" w:color="auto"/>
        <w:left w:val="none" w:sz="0" w:space="0" w:color="auto"/>
        <w:bottom w:val="none" w:sz="0" w:space="0" w:color="auto"/>
        <w:right w:val="none" w:sz="0" w:space="0" w:color="auto"/>
      </w:divBdr>
    </w:div>
    <w:div w:id="846287951">
      <w:bodyDiv w:val="1"/>
      <w:marLeft w:val="0"/>
      <w:marRight w:val="0"/>
      <w:marTop w:val="0"/>
      <w:marBottom w:val="0"/>
      <w:divBdr>
        <w:top w:val="none" w:sz="0" w:space="0" w:color="auto"/>
        <w:left w:val="none" w:sz="0" w:space="0" w:color="auto"/>
        <w:bottom w:val="none" w:sz="0" w:space="0" w:color="auto"/>
        <w:right w:val="none" w:sz="0" w:space="0" w:color="auto"/>
      </w:divBdr>
    </w:div>
    <w:div w:id="846290212">
      <w:bodyDiv w:val="1"/>
      <w:marLeft w:val="0"/>
      <w:marRight w:val="0"/>
      <w:marTop w:val="0"/>
      <w:marBottom w:val="0"/>
      <w:divBdr>
        <w:top w:val="none" w:sz="0" w:space="0" w:color="auto"/>
        <w:left w:val="none" w:sz="0" w:space="0" w:color="auto"/>
        <w:bottom w:val="none" w:sz="0" w:space="0" w:color="auto"/>
        <w:right w:val="none" w:sz="0" w:space="0" w:color="auto"/>
      </w:divBdr>
    </w:div>
    <w:div w:id="846291868">
      <w:bodyDiv w:val="1"/>
      <w:marLeft w:val="0"/>
      <w:marRight w:val="0"/>
      <w:marTop w:val="0"/>
      <w:marBottom w:val="0"/>
      <w:divBdr>
        <w:top w:val="none" w:sz="0" w:space="0" w:color="auto"/>
        <w:left w:val="none" w:sz="0" w:space="0" w:color="auto"/>
        <w:bottom w:val="none" w:sz="0" w:space="0" w:color="auto"/>
        <w:right w:val="none" w:sz="0" w:space="0" w:color="auto"/>
      </w:divBdr>
    </w:div>
    <w:div w:id="846403039">
      <w:bodyDiv w:val="1"/>
      <w:marLeft w:val="0"/>
      <w:marRight w:val="0"/>
      <w:marTop w:val="0"/>
      <w:marBottom w:val="0"/>
      <w:divBdr>
        <w:top w:val="none" w:sz="0" w:space="0" w:color="auto"/>
        <w:left w:val="none" w:sz="0" w:space="0" w:color="auto"/>
        <w:bottom w:val="none" w:sz="0" w:space="0" w:color="auto"/>
        <w:right w:val="none" w:sz="0" w:space="0" w:color="auto"/>
      </w:divBdr>
    </w:div>
    <w:div w:id="846404693">
      <w:bodyDiv w:val="1"/>
      <w:marLeft w:val="0"/>
      <w:marRight w:val="0"/>
      <w:marTop w:val="0"/>
      <w:marBottom w:val="0"/>
      <w:divBdr>
        <w:top w:val="none" w:sz="0" w:space="0" w:color="auto"/>
        <w:left w:val="none" w:sz="0" w:space="0" w:color="auto"/>
        <w:bottom w:val="none" w:sz="0" w:space="0" w:color="auto"/>
        <w:right w:val="none" w:sz="0" w:space="0" w:color="auto"/>
      </w:divBdr>
    </w:div>
    <w:div w:id="846479334">
      <w:bodyDiv w:val="1"/>
      <w:marLeft w:val="0"/>
      <w:marRight w:val="0"/>
      <w:marTop w:val="0"/>
      <w:marBottom w:val="0"/>
      <w:divBdr>
        <w:top w:val="none" w:sz="0" w:space="0" w:color="auto"/>
        <w:left w:val="none" w:sz="0" w:space="0" w:color="auto"/>
        <w:bottom w:val="none" w:sz="0" w:space="0" w:color="auto"/>
        <w:right w:val="none" w:sz="0" w:space="0" w:color="auto"/>
      </w:divBdr>
    </w:div>
    <w:div w:id="846483880">
      <w:bodyDiv w:val="1"/>
      <w:marLeft w:val="0"/>
      <w:marRight w:val="0"/>
      <w:marTop w:val="0"/>
      <w:marBottom w:val="0"/>
      <w:divBdr>
        <w:top w:val="none" w:sz="0" w:space="0" w:color="auto"/>
        <w:left w:val="none" w:sz="0" w:space="0" w:color="auto"/>
        <w:bottom w:val="none" w:sz="0" w:space="0" w:color="auto"/>
        <w:right w:val="none" w:sz="0" w:space="0" w:color="auto"/>
      </w:divBdr>
    </w:div>
    <w:div w:id="846595614">
      <w:bodyDiv w:val="1"/>
      <w:marLeft w:val="0"/>
      <w:marRight w:val="0"/>
      <w:marTop w:val="0"/>
      <w:marBottom w:val="0"/>
      <w:divBdr>
        <w:top w:val="none" w:sz="0" w:space="0" w:color="auto"/>
        <w:left w:val="none" w:sz="0" w:space="0" w:color="auto"/>
        <w:bottom w:val="none" w:sz="0" w:space="0" w:color="auto"/>
        <w:right w:val="none" w:sz="0" w:space="0" w:color="auto"/>
      </w:divBdr>
    </w:div>
    <w:div w:id="846673770">
      <w:bodyDiv w:val="1"/>
      <w:marLeft w:val="0"/>
      <w:marRight w:val="0"/>
      <w:marTop w:val="0"/>
      <w:marBottom w:val="0"/>
      <w:divBdr>
        <w:top w:val="none" w:sz="0" w:space="0" w:color="auto"/>
        <w:left w:val="none" w:sz="0" w:space="0" w:color="auto"/>
        <w:bottom w:val="none" w:sz="0" w:space="0" w:color="auto"/>
        <w:right w:val="none" w:sz="0" w:space="0" w:color="auto"/>
      </w:divBdr>
    </w:div>
    <w:div w:id="846677236">
      <w:bodyDiv w:val="1"/>
      <w:marLeft w:val="0"/>
      <w:marRight w:val="0"/>
      <w:marTop w:val="0"/>
      <w:marBottom w:val="0"/>
      <w:divBdr>
        <w:top w:val="none" w:sz="0" w:space="0" w:color="auto"/>
        <w:left w:val="none" w:sz="0" w:space="0" w:color="auto"/>
        <w:bottom w:val="none" w:sz="0" w:space="0" w:color="auto"/>
        <w:right w:val="none" w:sz="0" w:space="0" w:color="auto"/>
      </w:divBdr>
    </w:div>
    <w:div w:id="846821366">
      <w:bodyDiv w:val="1"/>
      <w:marLeft w:val="0"/>
      <w:marRight w:val="0"/>
      <w:marTop w:val="0"/>
      <w:marBottom w:val="0"/>
      <w:divBdr>
        <w:top w:val="none" w:sz="0" w:space="0" w:color="auto"/>
        <w:left w:val="none" w:sz="0" w:space="0" w:color="auto"/>
        <w:bottom w:val="none" w:sz="0" w:space="0" w:color="auto"/>
        <w:right w:val="none" w:sz="0" w:space="0" w:color="auto"/>
      </w:divBdr>
    </w:div>
    <w:div w:id="846872621">
      <w:bodyDiv w:val="1"/>
      <w:marLeft w:val="0"/>
      <w:marRight w:val="0"/>
      <w:marTop w:val="0"/>
      <w:marBottom w:val="0"/>
      <w:divBdr>
        <w:top w:val="none" w:sz="0" w:space="0" w:color="auto"/>
        <w:left w:val="none" w:sz="0" w:space="0" w:color="auto"/>
        <w:bottom w:val="none" w:sz="0" w:space="0" w:color="auto"/>
        <w:right w:val="none" w:sz="0" w:space="0" w:color="auto"/>
      </w:divBdr>
    </w:div>
    <w:div w:id="846872968">
      <w:bodyDiv w:val="1"/>
      <w:marLeft w:val="0"/>
      <w:marRight w:val="0"/>
      <w:marTop w:val="0"/>
      <w:marBottom w:val="0"/>
      <w:divBdr>
        <w:top w:val="none" w:sz="0" w:space="0" w:color="auto"/>
        <w:left w:val="none" w:sz="0" w:space="0" w:color="auto"/>
        <w:bottom w:val="none" w:sz="0" w:space="0" w:color="auto"/>
        <w:right w:val="none" w:sz="0" w:space="0" w:color="auto"/>
      </w:divBdr>
    </w:div>
    <w:div w:id="847063699">
      <w:bodyDiv w:val="1"/>
      <w:marLeft w:val="0"/>
      <w:marRight w:val="0"/>
      <w:marTop w:val="0"/>
      <w:marBottom w:val="0"/>
      <w:divBdr>
        <w:top w:val="none" w:sz="0" w:space="0" w:color="auto"/>
        <w:left w:val="none" w:sz="0" w:space="0" w:color="auto"/>
        <w:bottom w:val="none" w:sz="0" w:space="0" w:color="auto"/>
        <w:right w:val="none" w:sz="0" w:space="0" w:color="auto"/>
      </w:divBdr>
    </w:div>
    <w:div w:id="847064336">
      <w:bodyDiv w:val="1"/>
      <w:marLeft w:val="0"/>
      <w:marRight w:val="0"/>
      <w:marTop w:val="0"/>
      <w:marBottom w:val="0"/>
      <w:divBdr>
        <w:top w:val="none" w:sz="0" w:space="0" w:color="auto"/>
        <w:left w:val="none" w:sz="0" w:space="0" w:color="auto"/>
        <w:bottom w:val="none" w:sz="0" w:space="0" w:color="auto"/>
        <w:right w:val="none" w:sz="0" w:space="0" w:color="auto"/>
      </w:divBdr>
    </w:div>
    <w:div w:id="847132610">
      <w:bodyDiv w:val="1"/>
      <w:marLeft w:val="0"/>
      <w:marRight w:val="0"/>
      <w:marTop w:val="0"/>
      <w:marBottom w:val="0"/>
      <w:divBdr>
        <w:top w:val="none" w:sz="0" w:space="0" w:color="auto"/>
        <w:left w:val="none" w:sz="0" w:space="0" w:color="auto"/>
        <w:bottom w:val="none" w:sz="0" w:space="0" w:color="auto"/>
        <w:right w:val="none" w:sz="0" w:space="0" w:color="auto"/>
      </w:divBdr>
    </w:div>
    <w:div w:id="847213857">
      <w:bodyDiv w:val="1"/>
      <w:marLeft w:val="0"/>
      <w:marRight w:val="0"/>
      <w:marTop w:val="0"/>
      <w:marBottom w:val="0"/>
      <w:divBdr>
        <w:top w:val="none" w:sz="0" w:space="0" w:color="auto"/>
        <w:left w:val="none" w:sz="0" w:space="0" w:color="auto"/>
        <w:bottom w:val="none" w:sz="0" w:space="0" w:color="auto"/>
        <w:right w:val="none" w:sz="0" w:space="0" w:color="auto"/>
      </w:divBdr>
    </w:div>
    <w:div w:id="847216260">
      <w:bodyDiv w:val="1"/>
      <w:marLeft w:val="0"/>
      <w:marRight w:val="0"/>
      <w:marTop w:val="0"/>
      <w:marBottom w:val="0"/>
      <w:divBdr>
        <w:top w:val="none" w:sz="0" w:space="0" w:color="auto"/>
        <w:left w:val="none" w:sz="0" w:space="0" w:color="auto"/>
        <w:bottom w:val="none" w:sz="0" w:space="0" w:color="auto"/>
        <w:right w:val="none" w:sz="0" w:space="0" w:color="auto"/>
      </w:divBdr>
    </w:div>
    <w:div w:id="847250641">
      <w:bodyDiv w:val="1"/>
      <w:marLeft w:val="0"/>
      <w:marRight w:val="0"/>
      <w:marTop w:val="0"/>
      <w:marBottom w:val="0"/>
      <w:divBdr>
        <w:top w:val="none" w:sz="0" w:space="0" w:color="auto"/>
        <w:left w:val="none" w:sz="0" w:space="0" w:color="auto"/>
        <w:bottom w:val="none" w:sz="0" w:space="0" w:color="auto"/>
        <w:right w:val="none" w:sz="0" w:space="0" w:color="auto"/>
      </w:divBdr>
    </w:div>
    <w:div w:id="847327652">
      <w:bodyDiv w:val="1"/>
      <w:marLeft w:val="0"/>
      <w:marRight w:val="0"/>
      <w:marTop w:val="0"/>
      <w:marBottom w:val="0"/>
      <w:divBdr>
        <w:top w:val="none" w:sz="0" w:space="0" w:color="auto"/>
        <w:left w:val="none" w:sz="0" w:space="0" w:color="auto"/>
        <w:bottom w:val="none" w:sz="0" w:space="0" w:color="auto"/>
        <w:right w:val="none" w:sz="0" w:space="0" w:color="auto"/>
      </w:divBdr>
    </w:div>
    <w:div w:id="847328131">
      <w:bodyDiv w:val="1"/>
      <w:marLeft w:val="0"/>
      <w:marRight w:val="0"/>
      <w:marTop w:val="0"/>
      <w:marBottom w:val="0"/>
      <w:divBdr>
        <w:top w:val="none" w:sz="0" w:space="0" w:color="auto"/>
        <w:left w:val="none" w:sz="0" w:space="0" w:color="auto"/>
        <w:bottom w:val="none" w:sz="0" w:space="0" w:color="auto"/>
        <w:right w:val="none" w:sz="0" w:space="0" w:color="auto"/>
      </w:divBdr>
    </w:div>
    <w:div w:id="847476618">
      <w:bodyDiv w:val="1"/>
      <w:marLeft w:val="0"/>
      <w:marRight w:val="0"/>
      <w:marTop w:val="0"/>
      <w:marBottom w:val="0"/>
      <w:divBdr>
        <w:top w:val="none" w:sz="0" w:space="0" w:color="auto"/>
        <w:left w:val="none" w:sz="0" w:space="0" w:color="auto"/>
        <w:bottom w:val="none" w:sz="0" w:space="0" w:color="auto"/>
        <w:right w:val="none" w:sz="0" w:space="0" w:color="auto"/>
      </w:divBdr>
    </w:div>
    <w:div w:id="847527153">
      <w:bodyDiv w:val="1"/>
      <w:marLeft w:val="0"/>
      <w:marRight w:val="0"/>
      <w:marTop w:val="0"/>
      <w:marBottom w:val="0"/>
      <w:divBdr>
        <w:top w:val="none" w:sz="0" w:space="0" w:color="auto"/>
        <w:left w:val="none" w:sz="0" w:space="0" w:color="auto"/>
        <w:bottom w:val="none" w:sz="0" w:space="0" w:color="auto"/>
        <w:right w:val="none" w:sz="0" w:space="0" w:color="auto"/>
      </w:divBdr>
    </w:div>
    <w:div w:id="847603598">
      <w:bodyDiv w:val="1"/>
      <w:marLeft w:val="0"/>
      <w:marRight w:val="0"/>
      <w:marTop w:val="0"/>
      <w:marBottom w:val="0"/>
      <w:divBdr>
        <w:top w:val="none" w:sz="0" w:space="0" w:color="auto"/>
        <w:left w:val="none" w:sz="0" w:space="0" w:color="auto"/>
        <w:bottom w:val="none" w:sz="0" w:space="0" w:color="auto"/>
        <w:right w:val="none" w:sz="0" w:space="0" w:color="auto"/>
      </w:divBdr>
    </w:div>
    <w:div w:id="847789980">
      <w:bodyDiv w:val="1"/>
      <w:marLeft w:val="0"/>
      <w:marRight w:val="0"/>
      <w:marTop w:val="0"/>
      <w:marBottom w:val="0"/>
      <w:divBdr>
        <w:top w:val="none" w:sz="0" w:space="0" w:color="auto"/>
        <w:left w:val="none" w:sz="0" w:space="0" w:color="auto"/>
        <w:bottom w:val="none" w:sz="0" w:space="0" w:color="auto"/>
        <w:right w:val="none" w:sz="0" w:space="0" w:color="auto"/>
      </w:divBdr>
    </w:div>
    <w:div w:id="847791710">
      <w:bodyDiv w:val="1"/>
      <w:marLeft w:val="0"/>
      <w:marRight w:val="0"/>
      <w:marTop w:val="0"/>
      <w:marBottom w:val="0"/>
      <w:divBdr>
        <w:top w:val="none" w:sz="0" w:space="0" w:color="auto"/>
        <w:left w:val="none" w:sz="0" w:space="0" w:color="auto"/>
        <w:bottom w:val="none" w:sz="0" w:space="0" w:color="auto"/>
        <w:right w:val="none" w:sz="0" w:space="0" w:color="auto"/>
      </w:divBdr>
    </w:div>
    <w:div w:id="847983642">
      <w:bodyDiv w:val="1"/>
      <w:marLeft w:val="0"/>
      <w:marRight w:val="0"/>
      <w:marTop w:val="0"/>
      <w:marBottom w:val="0"/>
      <w:divBdr>
        <w:top w:val="none" w:sz="0" w:space="0" w:color="auto"/>
        <w:left w:val="none" w:sz="0" w:space="0" w:color="auto"/>
        <w:bottom w:val="none" w:sz="0" w:space="0" w:color="auto"/>
        <w:right w:val="none" w:sz="0" w:space="0" w:color="auto"/>
      </w:divBdr>
    </w:div>
    <w:div w:id="848102561">
      <w:bodyDiv w:val="1"/>
      <w:marLeft w:val="0"/>
      <w:marRight w:val="0"/>
      <w:marTop w:val="0"/>
      <w:marBottom w:val="0"/>
      <w:divBdr>
        <w:top w:val="none" w:sz="0" w:space="0" w:color="auto"/>
        <w:left w:val="none" w:sz="0" w:space="0" w:color="auto"/>
        <w:bottom w:val="none" w:sz="0" w:space="0" w:color="auto"/>
        <w:right w:val="none" w:sz="0" w:space="0" w:color="auto"/>
      </w:divBdr>
    </w:div>
    <w:div w:id="848183251">
      <w:bodyDiv w:val="1"/>
      <w:marLeft w:val="0"/>
      <w:marRight w:val="0"/>
      <w:marTop w:val="0"/>
      <w:marBottom w:val="0"/>
      <w:divBdr>
        <w:top w:val="none" w:sz="0" w:space="0" w:color="auto"/>
        <w:left w:val="none" w:sz="0" w:space="0" w:color="auto"/>
        <w:bottom w:val="none" w:sz="0" w:space="0" w:color="auto"/>
        <w:right w:val="none" w:sz="0" w:space="0" w:color="auto"/>
      </w:divBdr>
    </w:div>
    <w:div w:id="848328045">
      <w:bodyDiv w:val="1"/>
      <w:marLeft w:val="0"/>
      <w:marRight w:val="0"/>
      <w:marTop w:val="0"/>
      <w:marBottom w:val="0"/>
      <w:divBdr>
        <w:top w:val="none" w:sz="0" w:space="0" w:color="auto"/>
        <w:left w:val="none" w:sz="0" w:space="0" w:color="auto"/>
        <w:bottom w:val="none" w:sz="0" w:space="0" w:color="auto"/>
        <w:right w:val="none" w:sz="0" w:space="0" w:color="auto"/>
      </w:divBdr>
    </w:div>
    <w:div w:id="848368057">
      <w:bodyDiv w:val="1"/>
      <w:marLeft w:val="0"/>
      <w:marRight w:val="0"/>
      <w:marTop w:val="0"/>
      <w:marBottom w:val="0"/>
      <w:divBdr>
        <w:top w:val="none" w:sz="0" w:space="0" w:color="auto"/>
        <w:left w:val="none" w:sz="0" w:space="0" w:color="auto"/>
        <w:bottom w:val="none" w:sz="0" w:space="0" w:color="auto"/>
        <w:right w:val="none" w:sz="0" w:space="0" w:color="auto"/>
      </w:divBdr>
    </w:div>
    <w:div w:id="848525500">
      <w:bodyDiv w:val="1"/>
      <w:marLeft w:val="0"/>
      <w:marRight w:val="0"/>
      <w:marTop w:val="0"/>
      <w:marBottom w:val="0"/>
      <w:divBdr>
        <w:top w:val="none" w:sz="0" w:space="0" w:color="auto"/>
        <w:left w:val="none" w:sz="0" w:space="0" w:color="auto"/>
        <w:bottom w:val="none" w:sz="0" w:space="0" w:color="auto"/>
        <w:right w:val="none" w:sz="0" w:space="0" w:color="auto"/>
      </w:divBdr>
    </w:div>
    <w:div w:id="848567677">
      <w:bodyDiv w:val="1"/>
      <w:marLeft w:val="0"/>
      <w:marRight w:val="0"/>
      <w:marTop w:val="0"/>
      <w:marBottom w:val="0"/>
      <w:divBdr>
        <w:top w:val="none" w:sz="0" w:space="0" w:color="auto"/>
        <w:left w:val="none" w:sz="0" w:space="0" w:color="auto"/>
        <w:bottom w:val="none" w:sz="0" w:space="0" w:color="auto"/>
        <w:right w:val="none" w:sz="0" w:space="0" w:color="auto"/>
      </w:divBdr>
    </w:div>
    <w:div w:id="848639807">
      <w:bodyDiv w:val="1"/>
      <w:marLeft w:val="0"/>
      <w:marRight w:val="0"/>
      <w:marTop w:val="0"/>
      <w:marBottom w:val="0"/>
      <w:divBdr>
        <w:top w:val="none" w:sz="0" w:space="0" w:color="auto"/>
        <w:left w:val="none" w:sz="0" w:space="0" w:color="auto"/>
        <w:bottom w:val="none" w:sz="0" w:space="0" w:color="auto"/>
        <w:right w:val="none" w:sz="0" w:space="0" w:color="auto"/>
      </w:divBdr>
    </w:div>
    <w:div w:id="848716469">
      <w:bodyDiv w:val="1"/>
      <w:marLeft w:val="0"/>
      <w:marRight w:val="0"/>
      <w:marTop w:val="0"/>
      <w:marBottom w:val="0"/>
      <w:divBdr>
        <w:top w:val="none" w:sz="0" w:space="0" w:color="auto"/>
        <w:left w:val="none" w:sz="0" w:space="0" w:color="auto"/>
        <w:bottom w:val="none" w:sz="0" w:space="0" w:color="auto"/>
        <w:right w:val="none" w:sz="0" w:space="0" w:color="auto"/>
      </w:divBdr>
    </w:div>
    <w:div w:id="848758005">
      <w:bodyDiv w:val="1"/>
      <w:marLeft w:val="0"/>
      <w:marRight w:val="0"/>
      <w:marTop w:val="0"/>
      <w:marBottom w:val="0"/>
      <w:divBdr>
        <w:top w:val="none" w:sz="0" w:space="0" w:color="auto"/>
        <w:left w:val="none" w:sz="0" w:space="0" w:color="auto"/>
        <w:bottom w:val="none" w:sz="0" w:space="0" w:color="auto"/>
        <w:right w:val="none" w:sz="0" w:space="0" w:color="auto"/>
      </w:divBdr>
    </w:div>
    <w:div w:id="848831955">
      <w:bodyDiv w:val="1"/>
      <w:marLeft w:val="0"/>
      <w:marRight w:val="0"/>
      <w:marTop w:val="0"/>
      <w:marBottom w:val="0"/>
      <w:divBdr>
        <w:top w:val="none" w:sz="0" w:space="0" w:color="auto"/>
        <w:left w:val="none" w:sz="0" w:space="0" w:color="auto"/>
        <w:bottom w:val="none" w:sz="0" w:space="0" w:color="auto"/>
        <w:right w:val="none" w:sz="0" w:space="0" w:color="auto"/>
      </w:divBdr>
    </w:div>
    <w:div w:id="848905442">
      <w:bodyDiv w:val="1"/>
      <w:marLeft w:val="0"/>
      <w:marRight w:val="0"/>
      <w:marTop w:val="0"/>
      <w:marBottom w:val="0"/>
      <w:divBdr>
        <w:top w:val="none" w:sz="0" w:space="0" w:color="auto"/>
        <w:left w:val="none" w:sz="0" w:space="0" w:color="auto"/>
        <w:bottom w:val="none" w:sz="0" w:space="0" w:color="auto"/>
        <w:right w:val="none" w:sz="0" w:space="0" w:color="auto"/>
      </w:divBdr>
    </w:div>
    <w:div w:id="848983300">
      <w:bodyDiv w:val="1"/>
      <w:marLeft w:val="0"/>
      <w:marRight w:val="0"/>
      <w:marTop w:val="0"/>
      <w:marBottom w:val="0"/>
      <w:divBdr>
        <w:top w:val="none" w:sz="0" w:space="0" w:color="auto"/>
        <w:left w:val="none" w:sz="0" w:space="0" w:color="auto"/>
        <w:bottom w:val="none" w:sz="0" w:space="0" w:color="auto"/>
        <w:right w:val="none" w:sz="0" w:space="0" w:color="auto"/>
      </w:divBdr>
    </w:div>
    <w:div w:id="849023263">
      <w:bodyDiv w:val="1"/>
      <w:marLeft w:val="0"/>
      <w:marRight w:val="0"/>
      <w:marTop w:val="0"/>
      <w:marBottom w:val="0"/>
      <w:divBdr>
        <w:top w:val="none" w:sz="0" w:space="0" w:color="auto"/>
        <w:left w:val="none" w:sz="0" w:space="0" w:color="auto"/>
        <w:bottom w:val="none" w:sz="0" w:space="0" w:color="auto"/>
        <w:right w:val="none" w:sz="0" w:space="0" w:color="auto"/>
      </w:divBdr>
    </w:div>
    <w:div w:id="849178343">
      <w:bodyDiv w:val="1"/>
      <w:marLeft w:val="0"/>
      <w:marRight w:val="0"/>
      <w:marTop w:val="0"/>
      <w:marBottom w:val="0"/>
      <w:divBdr>
        <w:top w:val="none" w:sz="0" w:space="0" w:color="auto"/>
        <w:left w:val="none" w:sz="0" w:space="0" w:color="auto"/>
        <w:bottom w:val="none" w:sz="0" w:space="0" w:color="auto"/>
        <w:right w:val="none" w:sz="0" w:space="0" w:color="auto"/>
      </w:divBdr>
    </w:div>
    <w:div w:id="849415729">
      <w:bodyDiv w:val="1"/>
      <w:marLeft w:val="0"/>
      <w:marRight w:val="0"/>
      <w:marTop w:val="0"/>
      <w:marBottom w:val="0"/>
      <w:divBdr>
        <w:top w:val="none" w:sz="0" w:space="0" w:color="auto"/>
        <w:left w:val="none" w:sz="0" w:space="0" w:color="auto"/>
        <w:bottom w:val="none" w:sz="0" w:space="0" w:color="auto"/>
        <w:right w:val="none" w:sz="0" w:space="0" w:color="auto"/>
      </w:divBdr>
    </w:div>
    <w:div w:id="849417477">
      <w:bodyDiv w:val="1"/>
      <w:marLeft w:val="0"/>
      <w:marRight w:val="0"/>
      <w:marTop w:val="0"/>
      <w:marBottom w:val="0"/>
      <w:divBdr>
        <w:top w:val="none" w:sz="0" w:space="0" w:color="auto"/>
        <w:left w:val="none" w:sz="0" w:space="0" w:color="auto"/>
        <w:bottom w:val="none" w:sz="0" w:space="0" w:color="auto"/>
        <w:right w:val="none" w:sz="0" w:space="0" w:color="auto"/>
      </w:divBdr>
    </w:div>
    <w:div w:id="849486471">
      <w:bodyDiv w:val="1"/>
      <w:marLeft w:val="0"/>
      <w:marRight w:val="0"/>
      <w:marTop w:val="0"/>
      <w:marBottom w:val="0"/>
      <w:divBdr>
        <w:top w:val="none" w:sz="0" w:space="0" w:color="auto"/>
        <w:left w:val="none" w:sz="0" w:space="0" w:color="auto"/>
        <w:bottom w:val="none" w:sz="0" w:space="0" w:color="auto"/>
        <w:right w:val="none" w:sz="0" w:space="0" w:color="auto"/>
      </w:divBdr>
    </w:div>
    <w:div w:id="849564376">
      <w:bodyDiv w:val="1"/>
      <w:marLeft w:val="0"/>
      <w:marRight w:val="0"/>
      <w:marTop w:val="0"/>
      <w:marBottom w:val="0"/>
      <w:divBdr>
        <w:top w:val="none" w:sz="0" w:space="0" w:color="auto"/>
        <w:left w:val="none" w:sz="0" w:space="0" w:color="auto"/>
        <w:bottom w:val="none" w:sz="0" w:space="0" w:color="auto"/>
        <w:right w:val="none" w:sz="0" w:space="0" w:color="auto"/>
      </w:divBdr>
    </w:div>
    <w:div w:id="849568298">
      <w:bodyDiv w:val="1"/>
      <w:marLeft w:val="0"/>
      <w:marRight w:val="0"/>
      <w:marTop w:val="0"/>
      <w:marBottom w:val="0"/>
      <w:divBdr>
        <w:top w:val="none" w:sz="0" w:space="0" w:color="auto"/>
        <w:left w:val="none" w:sz="0" w:space="0" w:color="auto"/>
        <w:bottom w:val="none" w:sz="0" w:space="0" w:color="auto"/>
        <w:right w:val="none" w:sz="0" w:space="0" w:color="auto"/>
      </w:divBdr>
    </w:div>
    <w:div w:id="849612318">
      <w:bodyDiv w:val="1"/>
      <w:marLeft w:val="0"/>
      <w:marRight w:val="0"/>
      <w:marTop w:val="0"/>
      <w:marBottom w:val="0"/>
      <w:divBdr>
        <w:top w:val="none" w:sz="0" w:space="0" w:color="auto"/>
        <w:left w:val="none" w:sz="0" w:space="0" w:color="auto"/>
        <w:bottom w:val="none" w:sz="0" w:space="0" w:color="auto"/>
        <w:right w:val="none" w:sz="0" w:space="0" w:color="auto"/>
      </w:divBdr>
    </w:div>
    <w:div w:id="849641000">
      <w:bodyDiv w:val="1"/>
      <w:marLeft w:val="0"/>
      <w:marRight w:val="0"/>
      <w:marTop w:val="0"/>
      <w:marBottom w:val="0"/>
      <w:divBdr>
        <w:top w:val="none" w:sz="0" w:space="0" w:color="auto"/>
        <w:left w:val="none" w:sz="0" w:space="0" w:color="auto"/>
        <w:bottom w:val="none" w:sz="0" w:space="0" w:color="auto"/>
        <w:right w:val="none" w:sz="0" w:space="0" w:color="auto"/>
      </w:divBdr>
    </w:div>
    <w:div w:id="849837580">
      <w:bodyDiv w:val="1"/>
      <w:marLeft w:val="0"/>
      <w:marRight w:val="0"/>
      <w:marTop w:val="0"/>
      <w:marBottom w:val="0"/>
      <w:divBdr>
        <w:top w:val="none" w:sz="0" w:space="0" w:color="auto"/>
        <w:left w:val="none" w:sz="0" w:space="0" w:color="auto"/>
        <w:bottom w:val="none" w:sz="0" w:space="0" w:color="auto"/>
        <w:right w:val="none" w:sz="0" w:space="0" w:color="auto"/>
      </w:divBdr>
    </w:div>
    <w:div w:id="849876387">
      <w:bodyDiv w:val="1"/>
      <w:marLeft w:val="0"/>
      <w:marRight w:val="0"/>
      <w:marTop w:val="0"/>
      <w:marBottom w:val="0"/>
      <w:divBdr>
        <w:top w:val="none" w:sz="0" w:space="0" w:color="auto"/>
        <w:left w:val="none" w:sz="0" w:space="0" w:color="auto"/>
        <w:bottom w:val="none" w:sz="0" w:space="0" w:color="auto"/>
        <w:right w:val="none" w:sz="0" w:space="0" w:color="auto"/>
      </w:divBdr>
    </w:div>
    <w:div w:id="850144203">
      <w:bodyDiv w:val="1"/>
      <w:marLeft w:val="0"/>
      <w:marRight w:val="0"/>
      <w:marTop w:val="0"/>
      <w:marBottom w:val="0"/>
      <w:divBdr>
        <w:top w:val="none" w:sz="0" w:space="0" w:color="auto"/>
        <w:left w:val="none" w:sz="0" w:space="0" w:color="auto"/>
        <w:bottom w:val="none" w:sz="0" w:space="0" w:color="auto"/>
        <w:right w:val="none" w:sz="0" w:space="0" w:color="auto"/>
      </w:divBdr>
    </w:div>
    <w:div w:id="850224511">
      <w:bodyDiv w:val="1"/>
      <w:marLeft w:val="0"/>
      <w:marRight w:val="0"/>
      <w:marTop w:val="0"/>
      <w:marBottom w:val="0"/>
      <w:divBdr>
        <w:top w:val="none" w:sz="0" w:space="0" w:color="auto"/>
        <w:left w:val="none" w:sz="0" w:space="0" w:color="auto"/>
        <w:bottom w:val="none" w:sz="0" w:space="0" w:color="auto"/>
        <w:right w:val="none" w:sz="0" w:space="0" w:color="auto"/>
      </w:divBdr>
    </w:div>
    <w:div w:id="850294501">
      <w:bodyDiv w:val="1"/>
      <w:marLeft w:val="0"/>
      <w:marRight w:val="0"/>
      <w:marTop w:val="0"/>
      <w:marBottom w:val="0"/>
      <w:divBdr>
        <w:top w:val="none" w:sz="0" w:space="0" w:color="auto"/>
        <w:left w:val="none" w:sz="0" w:space="0" w:color="auto"/>
        <w:bottom w:val="none" w:sz="0" w:space="0" w:color="auto"/>
        <w:right w:val="none" w:sz="0" w:space="0" w:color="auto"/>
      </w:divBdr>
    </w:div>
    <w:div w:id="850338223">
      <w:bodyDiv w:val="1"/>
      <w:marLeft w:val="0"/>
      <w:marRight w:val="0"/>
      <w:marTop w:val="0"/>
      <w:marBottom w:val="0"/>
      <w:divBdr>
        <w:top w:val="none" w:sz="0" w:space="0" w:color="auto"/>
        <w:left w:val="none" w:sz="0" w:space="0" w:color="auto"/>
        <w:bottom w:val="none" w:sz="0" w:space="0" w:color="auto"/>
        <w:right w:val="none" w:sz="0" w:space="0" w:color="auto"/>
      </w:divBdr>
    </w:div>
    <w:div w:id="850408854">
      <w:bodyDiv w:val="1"/>
      <w:marLeft w:val="0"/>
      <w:marRight w:val="0"/>
      <w:marTop w:val="0"/>
      <w:marBottom w:val="0"/>
      <w:divBdr>
        <w:top w:val="none" w:sz="0" w:space="0" w:color="auto"/>
        <w:left w:val="none" w:sz="0" w:space="0" w:color="auto"/>
        <w:bottom w:val="none" w:sz="0" w:space="0" w:color="auto"/>
        <w:right w:val="none" w:sz="0" w:space="0" w:color="auto"/>
      </w:divBdr>
    </w:div>
    <w:div w:id="850409235">
      <w:bodyDiv w:val="1"/>
      <w:marLeft w:val="0"/>
      <w:marRight w:val="0"/>
      <w:marTop w:val="0"/>
      <w:marBottom w:val="0"/>
      <w:divBdr>
        <w:top w:val="none" w:sz="0" w:space="0" w:color="auto"/>
        <w:left w:val="none" w:sz="0" w:space="0" w:color="auto"/>
        <w:bottom w:val="none" w:sz="0" w:space="0" w:color="auto"/>
        <w:right w:val="none" w:sz="0" w:space="0" w:color="auto"/>
      </w:divBdr>
    </w:div>
    <w:div w:id="850535252">
      <w:bodyDiv w:val="1"/>
      <w:marLeft w:val="0"/>
      <w:marRight w:val="0"/>
      <w:marTop w:val="0"/>
      <w:marBottom w:val="0"/>
      <w:divBdr>
        <w:top w:val="none" w:sz="0" w:space="0" w:color="auto"/>
        <w:left w:val="none" w:sz="0" w:space="0" w:color="auto"/>
        <w:bottom w:val="none" w:sz="0" w:space="0" w:color="auto"/>
        <w:right w:val="none" w:sz="0" w:space="0" w:color="auto"/>
      </w:divBdr>
    </w:div>
    <w:div w:id="850604423">
      <w:bodyDiv w:val="1"/>
      <w:marLeft w:val="0"/>
      <w:marRight w:val="0"/>
      <w:marTop w:val="0"/>
      <w:marBottom w:val="0"/>
      <w:divBdr>
        <w:top w:val="none" w:sz="0" w:space="0" w:color="auto"/>
        <w:left w:val="none" w:sz="0" w:space="0" w:color="auto"/>
        <w:bottom w:val="none" w:sz="0" w:space="0" w:color="auto"/>
        <w:right w:val="none" w:sz="0" w:space="0" w:color="auto"/>
      </w:divBdr>
    </w:div>
    <w:div w:id="850606805">
      <w:bodyDiv w:val="1"/>
      <w:marLeft w:val="0"/>
      <w:marRight w:val="0"/>
      <w:marTop w:val="0"/>
      <w:marBottom w:val="0"/>
      <w:divBdr>
        <w:top w:val="none" w:sz="0" w:space="0" w:color="auto"/>
        <w:left w:val="none" w:sz="0" w:space="0" w:color="auto"/>
        <w:bottom w:val="none" w:sz="0" w:space="0" w:color="auto"/>
        <w:right w:val="none" w:sz="0" w:space="0" w:color="auto"/>
      </w:divBdr>
    </w:div>
    <w:div w:id="850608526">
      <w:bodyDiv w:val="1"/>
      <w:marLeft w:val="0"/>
      <w:marRight w:val="0"/>
      <w:marTop w:val="0"/>
      <w:marBottom w:val="0"/>
      <w:divBdr>
        <w:top w:val="none" w:sz="0" w:space="0" w:color="auto"/>
        <w:left w:val="none" w:sz="0" w:space="0" w:color="auto"/>
        <w:bottom w:val="none" w:sz="0" w:space="0" w:color="auto"/>
        <w:right w:val="none" w:sz="0" w:space="0" w:color="auto"/>
      </w:divBdr>
    </w:div>
    <w:div w:id="850680823">
      <w:bodyDiv w:val="1"/>
      <w:marLeft w:val="0"/>
      <w:marRight w:val="0"/>
      <w:marTop w:val="0"/>
      <w:marBottom w:val="0"/>
      <w:divBdr>
        <w:top w:val="none" w:sz="0" w:space="0" w:color="auto"/>
        <w:left w:val="none" w:sz="0" w:space="0" w:color="auto"/>
        <w:bottom w:val="none" w:sz="0" w:space="0" w:color="auto"/>
        <w:right w:val="none" w:sz="0" w:space="0" w:color="auto"/>
      </w:divBdr>
    </w:div>
    <w:div w:id="850685015">
      <w:bodyDiv w:val="1"/>
      <w:marLeft w:val="0"/>
      <w:marRight w:val="0"/>
      <w:marTop w:val="0"/>
      <w:marBottom w:val="0"/>
      <w:divBdr>
        <w:top w:val="none" w:sz="0" w:space="0" w:color="auto"/>
        <w:left w:val="none" w:sz="0" w:space="0" w:color="auto"/>
        <w:bottom w:val="none" w:sz="0" w:space="0" w:color="auto"/>
        <w:right w:val="none" w:sz="0" w:space="0" w:color="auto"/>
      </w:divBdr>
    </w:div>
    <w:div w:id="850796739">
      <w:bodyDiv w:val="1"/>
      <w:marLeft w:val="0"/>
      <w:marRight w:val="0"/>
      <w:marTop w:val="0"/>
      <w:marBottom w:val="0"/>
      <w:divBdr>
        <w:top w:val="none" w:sz="0" w:space="0" w:color="auto"/>
        <w:left w:val="none" w:sz="0" w:space="0" w:color="auto"/>
        <w:bottom w:val="none" w:sz="0" w:space="0" w:color="auto"/>
        <w:right w:val="none" w:sz="0" w:space="0" w:color="auto"/>
      </w:divBdr>
    </w:div>
    <w:div w:id="850803805">
      <w:bodyDiv w:val="1"/>
      <w:marLeft w:val="0"/>
      <w:marRight w:val="0"/>
      <w:marTop w:val="0"/>
      <w:marBottom w:val="0"/>
      <w:divBdr>
        <w:top w:val="none" w:sz="0" w:space="0" w:color="auto"/>
        <w:left w:val="none" w:sz="0" w:space="0" w:color="auto"/>
        <w:bottom w:val="none" w:sz="0" w:space="0" w:color="auto"/>
        <w:right w:val="none" w:sz="0" w:space="0" w:color="auto"/>
      </w:divBdr>
    </w:div>
    <w:div w:id="850951831">
      <w:bodyDiv w:val="1"/>
      <w:marLeft w:val="0"/>
      <w:marRight w:val="0"/>
      <w:marTop w:val="0"/>
      <w:marBottom w:val="0"/>
      <w:divBdr>
        <w:top w:val="none" w:sz="0" w:space="0" w:color="auto"/>
        <w:left w:val="none" w:sz="0" w:space="0" w:color="auto"/>
        <w:bottom w:val="none" w:sz="0" w:space="0" w:color="auto"/>
        <w:right w:val="none" w:sz="0" w:space="0" w:color="auto"/>
      </w:divBdr>
    </w:div>
    <w:div w:id="850991620">
      <w:bodyDiv w:val="1"/>
      <w:marLeft w:val="0"/>
      <w:marRight w:val="0"/>
      <w:marTop w:val="0"/>
      <w:marBottom w:val="0"/>
      <w:divBdr>
        <w:top w:val="none" w:sz="0" w:space="0" w:color="auto"/>
        <w:left w:val="none" w:sz="0" w:space="0" w:color="auto"/>
        <w:bottom w:val="none" w:sz="0" w:space="0" w:color="auto"/>
        <w:right w:val="none" w:sz="0" w:space="0" w:color="auto"/>
      </w:divBdr>
    </w:div>
    <w:div w:id="851064838">
      <w:bodyDiv w:val="1"/>
      <w:marLeft w:val="0"/>
      <w:marRight w:val="0"/>
      <w:marTop w:val="0"/>
      <w:marBottom w:val="0"/>
      <w:divBdr>
        <w:top w:val="none" w:sz="0" w:space="0" w:color="auto"/>
        <w:left w:val="none" w:sz="0" w:space="0" w:color="auto"/>
        <w:bottom w:val="none" w:sz="0" w:space="0" w:color="auto"/>
        <w:right w:val="none" w:sz="0" w:space="0" w:color="auto"/>
      </w:divBdr>
    </w:div>
    <w:div w:id="851334091">
      <w:bodyDiv w:val="1"/>
      <w:marLeft w:val="0"/>
      <w:marRight w:val="0"/>
      <w:marTop w:val="0"/>
      <w:marBottom w:val="0"/>
      <w:divBdr>
        <w:top w:val="none" w:sz="0" w:space="0" w:color="auto"/>
        <w:left w:val="none" w:sz="0" w:space="0" w:color="auto"/>
        <w:bottom w:val="none" w:sz="0" w:space="0" w:color="auto"/>
        <w:right w:val="none" w:sz="0" w:space="0" w:color="auto"/>
      </w:divBdr>
    </w:div>
    <w:div w:id="851534366">
      <w:bodyDiv w:val="1"/>
      <w:marLeft w:val="0"/>
      <w:marRight w:val="0"/>
      <w:marTop w:val="0"/>
      <w:marBottom w:val="0"/>
      <w:divBdr>
        <w:top w:val="none" w:sz="0" w:space="0" w:color="auto"/>
        <w:left w:val="none" w:sz="0" w:space="0" w:color="auto"/>
        <w:bottom w:val="none" w:sz="0" w:space="0" w:color="auto"/>
        <w:right w:val="none" w:sz="0" w:space="0" w:color="auto"/>
      </w:divBdr>
    </w:div>
    <w:div w:id="851535494">
      <w:bodyDiv w:val="1"/>
      <w:marLeft w:val="0"/>
      <w:marRight w:val="0"/>
      <w:marTop w:val="0"/>
      <w:marBottom w:val="0"/>
      <w:divBdr>
        <w:top w:val="none" w:sz="0" w:space="0" w:color="auto"/>
        <w:left w:val="none" w:sz="0" w:space="0" w:color="auto"/>
        <w:bottom w:val="none" w:sz="0" w:space="0" w:color="auto"/>
        <w:right w:val="none" w:sz="0" w:space="0" w:color="auto"/>
      </w:divBdr>
    </w:div>
    <w:div w:id="851652148">
      <w:bodyDiv w:val="1"/>
      <w:marLeft w:val="0"/>
      <w:marRight w:val="0"/>
      <w:marTop w:val="0"/>
      <w:marBottom w:val="0"/>
      <w:divBdr>
        <w:top w:val="none" w:sz="0" w:space="0" w:color="auto"/>
        <w:left w:val="none" w:sz="0" w:space="0" w:color="auto"/>
        <w:bottom w:val="none" w:sz="0" w:space="0" w:color="auto"/>
        <w:right w:val="none" w:sz="0" w:space="0" w:color="auto"/>
      </w:divBdr>
    </w:div>
    <w:div w:id="851840337">
      <w:bodyDiv w:val="1"/>
      <w:marLeft w:val="0"/>
      <w:marRight w:val="0"/>
      <w:marTop w:val="0"/>
      <w:marBottom w:val="0"/>
      <w:divBdr>
        <w:top w:val="none" w:sz="0" w:space="0" w:color="auto"/>
        <w:left w:val="none" w:sz="0" w:space="0" w:color="auto"/>
        <w:bottom w:val="none" w:sz="0" w:space="0" w:color="auto"/>
        <w:right w:val="none" w:sz="0" w:space="0" w:color="auto"/>
      </w:divBdr>
    </w:div>
    <w:div w:id="852186178">
      <w:bodyDiv w:val="1"/>
      <w:marLeft w:val="0"/>
      <w:marRight w:val="0"/>
      <w:marTop w:val="0"/>
      <w:marBottom w:val="0"/>
      <w:divBdr>
        <w:top w:val="none" w:sz="0" w:space="0" w:color="auto"/>
        <w:left w:val="none" w:sz="0" w:space="0" w:color="auto"/>
        <w:bottom w:val="none" w:sz="0" w:space="0" w:color="auto"/>
        <w:right w:val="none" w:sz="0" w:space="0" w:color="auto"/>
      </w:divBdr>
    </w:div>
    <w:div w:id="852306294">
      <w:bodyDiv w:val="1"/>
      <w:marLeft w:val="0"/>
      <w:marRight w:val="0"/>
      <w:marTop w:val="0"/>
      <w:marBottom w:val="0"/>
      <w:divBdr>
        <w:top w:val="none" w:sz="0" w:space="0" w:color="auto"/>
        <w:left w:val="none" w:sz="0" w:space="0" w:color="auto"/>
        <w:bottom w:val="none" w:sz="0" w:space="0" w:color="auto"/>
        <w:right w:val="none" w:sz="0" w:space="0" w:color="auto"/>
      </w:divBdr>
    </w:div>
    <w:div w:id="852452053">
      <w:bodyDiv w:val="1"/>
      <w:marLeft w:val="0"/>
      <w:marRight w:val="0"/>
      <w:marTop w:val="0"/>
      <w:marBottom w:val="0"/>
      <w:divBdr>
        <w:top w:val="none" w:sz="0" w:space="0" w:color="auto"/>
        <w:left w:val="none" w:sz="0" w:space="0" w:color="auto"/>
        <w:bottom w:val="none" w:sz="0" w:space="0" w:color="auto"/>
        <w:right w:val="none" w:sz="0" w:space="0" w:color="auto"/>
      </w:divBdr>
    </w:div>
    <w:div w:id="852498354">
      <w:bodyDiv w:val="1"/>
      <w:marLeft w:val="0"/>
      <w:marRight w:val="0"/>
      <w:marTop w:val="0"/>
      <w:marBottom w:val="0"/>
      <w:divBdr>
        <w:top w:val="none" w:sz="0" w:space="0" w:color="auto"/>
        <w:left w:val="none" w:sz="0" w:space="0" w:color="auto"/>
        <w:bottom w:val="none" w:sz="0" w:space="0" w:color="auto"/>
        <w:right w:val="none" w:sz="0" w:space="0" w:color="auto"/>
      </w:divBdr>
    </w:div>
    <w:div w:id="852570848">
      <w:bodyDiv w:val="1"/>
      <w:marLeft w:val="0"/>
      <w:marRight w:val="0"/>
      <w:marTop w:val="0"/>
      <w:marBottom w:val="0"/>
      <w:divBdr>
        <w:top w:val="none" w:sz="0" w:space="0" w:color="auto"/>
        <w:left w:val="none" w:sz="0" w:space="0" w:color="auto"/>
        <w:bottom w:val="none" w:sz="0" w:space="0" w:color="auto"/>
        <w:right w:val="none" w:sz="0" w:space="0" w:color="auto"/>
      </w:divBdr>
    </w:div>
    <w:div w:id="852647748">
      <w:bodyDiv w:val="1"/>
      <w:marLeft w:val="0"/>
      <w:marRight w:val="0"/>
      <w:marTop w:val="0"/>
      <w:marBottom w:val="0"/>
      <w:divBdr>
        <w:top w:val="none" w:sz="0" w:space="0" w:color="auto"/>
        <w:left w:val="none" w:sz="0" w:space="0" w:color="auto"/>
        <w:bottom w:val="none" w:sz="0" w:space="0" w:color="auto"/>
        <w:right w:val="none" w:sz="0" w:space="0" w:color="auto"/>
      </w:divBdr>
    </w:div>
    <w:div w:id="852649033">
      <w:bodyDiv w:val="1"/>
      <w:marLeft w:val="0"/>
      <w:marRight w:val="0"/>
      <w:marTop w:val="0"/>
      <w:marBottom w:val="0"/>
      <w:divBdr>
        <w:top w:val="none" w:sz="0" w:space="0" w:color="auto"/>
        <w:left w:val="none" w:sz="0" w:space="0" w:color="auto"/>
        <w:bottom w:val="none" w:sz="0" w:space="0" w:color="auto"/>
        <w:right w:val="none" w:sz="0" w:space="0" w:color="auto"/>
      </w:divBdr>
    </w:div>
    <w:div w:id="852650888">
      <w:bodyDiv w:val="1"/>
      <w:marLeft w:val="0"/>
      <w:marRight w:val="0"/>
      <w:marTop w:val="0"/>
      <w:marBottom w:val="0"/>
      <w:divBdr>
        <w:top w:val="none" w:sz="0" w:space="0" w:color="auto"/>
        <w:left w:val="none" w:sz="0" w:space="0" w:color="auto"/>
        <w:bottom w:val="none" w:sz="0" w:space="0" w:color="auto"/>
        <w:right w:val="none" w:sz="0" w:space="0" w:color="auto"/>
      </w:divBdr>
    </w:div>
    <w:div w:id="852651365">
      <w:bodyDiv w:val="1"/>
      <w:marLeft w:val="0"/>
      <w:marRight w:val="0"/>
      <w:marTop w:val="0"/>
      <w:marBottom w:val="0"/>
      <w:divBdr>
        <w:top w:val="none" w:sz="0" w:space="0" w:color="auto"/>
        <w:left w:val="none" w:sz="0" w:space="0" w:color="auto"/>
        <w:bottom w:val="none" w:sz="0" w:space="0" w:color="auto"/>
        <w:right w:val="none" w:sz="0" w:space="0" w:color="auto"/>
      </w:divBdr>
    </w:div>
    <w:div w:id="852766915">
      <w:bodyDiv w:val="1"/>
      <w:marLeft w:val="0"/>
      <w:marRight w:val="0"/>
      <w:marTop w:val="0"/>
      <w:marBottom w:val="0"/>
      <w:divBdr>
        <w:top w:val="none" w:sz="0" w:space="0" w:color="auto"/>
        <w:left w:val="none" w:sz="0" w:space="0" w:color="auto"/>
        <w:bottom w:val="none" w:sz="0" w:space="0" w:color="auto"/>
        <w:right w:val="none" w:sz="0" w:space="0" w:color="auto"/>
      </w:divBdr>
    </w:div>
    <w:div w:id="853030756">
      <w:bodyDiv w:val="1"/>
      <w:marLeft w:val="0"/>
      <w:marRight w:val="0"/>
      <w:marTop w:val="0"/>
      <w:marBottom w:val="0"/>
      <w:divBdr>
        <w:top w:val="none" w:sz="0" w:space="0" w:color="auto"/>
        <w:left w:val="none" w:sz="0" w:space="0" w:color="auto"/>
        <w:bottom w:val="none" w:sz="0" w:space="0" w:color="auto"/>
        <w:right w:val="none" w:sz="0" w:space="0" w:color="auto"/>
      </w:divBdr>
    </w:div>
    <w:div w:id="853110137">
      <w:bodyDiv w:val="1"/>
      <w:marLeft w:val="0"/>
      <w:marRight w:val="0"/>
      <w:marTop w:val="0"/>
      <w:marBottom w:val="0"/>
      <w:divBdr>
        <w:top w:val="none" w:sz="0" w:space="0" w:color="auto"/>
        <w:left w:val="none" w:sz="0" w:space="0" w:color="auto"/>
        <w:bottom w:val="none" w:sz="0" w:space="0" w:color="auto"/>
        <w:right w:val="none" w:sz="0" w:space="0" w:color="auto"/>
      </w:divBdr>
    </w:div>
    <w:div w:id="853110918">
      <w:bodyDiv w:val="1"/>
      <w:marLeft w:val="0"/>
      <w:marRight w:val="0"/>
      <w:marTop w:val="0"/>
      <w:marBottom w:val="0"/>
      <w:divBdr>
        <w:top w:val="none" w:sz="0" w:space="0" w:color="auto"/>
        <w:left w:val="none" w:sz="0" w:space="0" w:color="auto"/>
        <w:bottom w:val="none" w:sz="0" w:space="0" w:color="auto"/>
        <w:right w:val="none" w:sz="0" w:space="0" w:color="auto"/>
      </w:divBdr>
    </w:div>
    <w:div w:id="853113019">
      <w:bodyDiv w:val="1"/>
      <w:marLeft w:val="0"/>
      <w:marRight w:val="0"/>
      <w:marTop w:val="0"/>
      <w:marBottom w:val="0"/>
      <w:divBdr>
        <w:top w:val="none" w:sz="0" w:space="0" w:color="auto"/>
        <w:left w:val="none" w:sz="0" w:space="0" w:color="auto"/>
        <w:bottom w:val="none" w:sz="0" w:space="0" w:color="auto"/>
        <w:right w:val="none" w:sz="0" w:space="0" w:color="auto"/>
      </w:divBdr>
    </w:div>
    <w:div w:id="853306244">
      <w:bodyDiv w:val="1"/>
      <w:marLeft w:val="0"/>
      <w:marRight w:val="0"/>
      <w:marTop w:val="0"/>
      <w:marBottom w:val="0"/>
      <w:divBdr>
        <w:top w:val="none" w:sz="0" w:space="0" w:color="auto"/>
        <w:left w:val="none" w:sz="0" w:space="0" w:color="auto"/>
        <w:bottom w:val="none" w:sz="0" w:space="0" w:color="auto"/>
        <w:right w:val="none" w:sz="0" w:space="0" w:color="auto"/>
      </w:divBdr>
    </w:div>
    <w:div w:id="853420707">
      <w:bodyDiv w:val="1"/>
      <w:marLeft w:val="0"/>
      <w:marRight w:val="0"/>
      <w:marTop w:val="0"/>
      <w:marBottom w:val="0"/>
      <w:divBdr>
        <w:top w:val="none" w:sz="0" w:space="0" w:color="auto"/>
        <w:left w:val="none" w:sz="0" w:space="0" w:color="auto"/>
        <w:bottom w:val="none" w:sz="0" w:space="0" w:color="auto"/>
        <w:right w:val="none" w:sz="0" w:space="0" w:color="auto"/>
      </w:divBdr>
    </w:div>
    <w:div w:id="853803918">
      <w:bodyDiv w:val="1"/>
      <w:marLeft w:val="0"/>
      <w:marRight w:val="0"/>
      <w:marTop w:val="0"/>
      <w:marBottom w:val="0"/>
      <w:divBdr>
        <w:top w:val="none" w:sz="0" w:space="0" w:color="auto"/>
        <w:left w:val="none" w:sz="0" w:space="0" w:color="auto"/>
        <w:bottom w:val="none" w:sz="0" w:space="0" w:color="auto"/>
        <w:right w:val="none" w:sz="0" w:space="0" w:color="auto"/>
      </w:divBdr>
    </w:div>
    <w:div w:id="853953919">
      <w:bodyDiv w:val="1"/>
      <w:marLeft w:val="0"/>
      <w:marRight w:val="0"/>
      <w:marTop w:val="0"/>
      <w:marBottom w:val="0"/>
      <w:divBdr>
        <w:top w:val="none" w:sz="0" w:space="0" w:color="auto"/>
        <w:left w:val="none" w:sz="0" w:space="0" w:color="auto"/>
        <w:bottom w:val="none" w:sz="0" w:space="0" w:color="auto"/>
        <w:right w:val="none" w:sz="0" w:space="0" w:color="auto"/>
      </w:divBdr>
    </w:div>
    <w:div w:id="853959580">
      <w:bodyDiv w:val="1"/>
      <w:marLeft w:val="0"/>
      <w:marRight w:val="0"/>
      <w:marTop w:val="0"/>
      <w:marBottom w:val="0"/>
      <w:divBdr>
        <w:top w:val="none" w:sz="0" w:space="0" w:color="auto"/>
        <w:left w:val="none" w:sz="0" w:space="0" w:color="auto"/>
        <w:bottom w:val="none" w:sz="0" w:space="0" w:color="auto"/>
        <w:right w:val="none" w:sz="0" w:space="0" w:color="auto"/>
      </w:divBdr>
    </w:div>
    <w:div w:id="854000277">
      <w:bodyDiv w:val="1"/>
      <w:marLeft w:val="0"/>
      <w:marRight w:val="0"/>
      <w:marTop w:val="0"/>
      <w:marBottom w:val="0"/>
      <w:divBdr>
        <w:top w:val="none" w:sz="0" w:space="0" w:color="auto"/>
        <w:left w:val="none" w:sz="0" w:space="0" w:color="auto"/>
        <w:bottom w:val="none" w:sz="0" w:space="0" w:color="auto"/>
        <w:right w:val="none" w:sz="0" w:space="0" w:color="auto"/>
      </w:divBdr>
    </w:div>
    <w:div w:id="854003602">
      <w:bodyDiv w:val="1"/>
      <w:marLeft w:val="0"/>
      <w:marRight w:val="0"/>
      <w:marTop w:val="0"/>
      <w:marBottom w:val="0"/>
      <w:divBdr>
        <w:top w:val="none" w:sz="0" w:space="0" w:color="auto"/>
        <w:left w:val="none" w:sz="0" w:space="0" w:color="auto"/>
        <w:bottom w:val="none" w:sz="0" w:space="0" w:color="auto"/>
        <w:right w:val="none" w:sz="0" w:space="0" w:color="auto"/>
      </w:divBdr>
    </w:div>
    <w:div w:id="854080288">
      <w:bodyDiv w:val="1"/>
      <w:marLeft w:val="0"/>
      <w:marRight w:val="0"/>
      <w:marTop w:val="0"/>
      <w:marBottom w:val="0"/>
      <w:divBdr>
        <w:top w:val="none" w:sz="0" w:space="0" w:color="auto"/>
        <w:left w:val="none" w:sz="0" w:space="0" w:color="auto"/>
        <w:bottom w:val="none" w:sz="0" w:space="0" w:color="auto"/>
        <w:right w:val="none" w:sz="0" w:space="0" w:color="auto"/>
      </w:divBdr>
    </w:div>
    <w:div w:id="854151672">
      <w:bodyDiv w:val="1"/>
      <w:marLeft w:val="0"/>
      <w:marRight w:val="0"/>
      <w:marTop w:val="0"/>
      <w:marBottom w:val="0"/>
      <w:divBdr>
        <w:top w:val="none" w:sz="0" w:space="0" w:color="auto"/>
        <w:left w:val="none" w:sz="0" w:space="0" w:color="auto"/>
        <w:bottom w:val="none" w:sz="0" w:space="0" w:color="auto"/>
        <w:right w:val="none" w:sz="0" w:space="0" w:color="auto"/>
      </w:divBdr>
    </w:div>
    <w:div w:id="854153246">
      <w:bodyDiv w:val="1"/>
      <w:marLeft w:val="0"/>
      <w:marRight w:val="0"/>
      <w:marTop w:val="0"/>
      <w:marBottom w:val="0"/>
      <w:divBdr>
        <w:top w:val="none" w:sz="0" w:space="0" w:color="auto"/>
        <w:left w:val="none" w:sz="0" w:space="0" w:color="auto"/>
        <w:bottom w:val="none" w:sz="0" w:space="0" w:color="auto"/>
        <w:right w:val="none" w:sz="0" w:space="0" w:color="auto"/>
      </w:divBdr>
    </w:div>
    <w:div w:id="854154590">
      <w:bodyDiv w:val="1"/>
      <w:marLeft w:val="0"/>
      <w:marRight w:val="0"/>
      <w:marTop w:val="0"/>
      <w:marBottom w:val="0"/>
      <w:divBdr>
        <w:top w:val="none" w:sz="0" w:space="0" w:color="auto"/>
        <w:left w:val="none" w:sz="0" w:space="0" w:color="auto"/>
        <w:bottom w:val="none" w:sz="0" w:space="0" w:color="auto"/>
        <w:right w:val="none" w:sz="0" w:space="0" w:color="auto"/>
      </w:divBdr>
    </w:div>
    <w:div w:id="854269188">
      <w:bodyDiv w:val="1"/>
      <w:marLeft w:val="0"/>
      <w:marRight w:val="0"/>
      <w:marTop w:val="0"/>
      <w:marBottom w:val="0"/>
      <w:divBdr>
        <w:top w:val="none" w:sz="0" w:space="0" w:color="auto"/>
        <w:left w:val="none" w:sz="0" w:space="0" w:color="auto"/>
        <w:bottom w:val="none" w:sz="0" w:space="0" w:color="auto"/>
        <w:right w:val="none" w:sz="0" w:space="0" w:color="auto"/>
      </w:divBdr>
    </w:div>
    <w:div w:id="854341937">
      <w:bodyDiv w:val="1"/>
      <w:marLeft w:val="0"/>
      <w:marRight w:val="0"/>
      <w:marTop w:val="0"/>
      <w:marBottom w:val="0"/>
      <w:divBdr>
        <w:top w:val="none" w:sz="0" w:space="0" w:color="auto"/>
        <w:left w:val="none" w:sz="0" w:space="0" w:color="auto"/>
        <w:bottom w:val="none" w:sz="0" w:space="0" w:color="auto"/>
        <w:right w:val="none" w:sz="0" w:space="0" w:color="auto"/>
      </w:divBdr>
    </w:div>
    <w:div w:id="854345371">
      <w:bodyDiv w:val="1"/>
      <w:marLeft w:val="0"/>
      <w:marRight w:val="0"/>
      <w:marTop w:val="0"/>
      <w:marBottom w:val="0"/>
      <w:divBdr>
        <w:top w:val="none" w:sz="0" w:space="0" w:color="auto"/>
        <w:left w:val="none" w:sz="0" w:space="0" w:color="auto"/>
        <w:bottom w:val="none" w:sz="0" w:space="0" w:color="auto"/>
        <w:right w:val="none" w:sz="0" w:space="0" w:color="auto"/>
      </w:divBdr>
    </w:div>
    <w:div w:id="854614888">
      <w:bodyDiv w:val="1"/>
      <w:marLeft w:val="0"/>
      <w:marRight w:val="0"/>
      <w:marTop w:val="0"/>
      <w:marBottom w:val="0"/>
      <w:divBdr>
        <w:top w:val="none" w:sz="0" w:space="0" w:color="auto"/>
        <w:left w:val="none" w:sz="0" w:space="0" w:color="auto"/>
        <w:bottom w:val="none" w:sz="0" w:space="0" w:color="auto"/>
        <w:right w:val="none" w:sz="0" w:space="0" w:color="auto"/>
      </w:divBdr>
    </w:div>
    <w:div w:id="854615625">
      <w:bodyDiv w:val="1"/>
      <w:marLeft w:val="0"/>
      <w:marRight w:val="0"/>
      <w:marTop w:val="0"/>
      <w:marBottom w:val="0"/>
      <w:divBdr>
        <w:top w:val="none" w:sz="0" w:space="0" w:color="auto"/>
        <w:left w:val="none" w:sz="0" w:space="0" w:color="auto"/>
        <w:bottom w:val="none" w:sz="0" w:space="0" w:color="auto"/>
        <w:right w:val="none" w:sz="0" w:space="0" w:color="auto"/>
      </w:divBdr>
    </w:div>
    <w:div w:id="854685530">
      <w:bodyDiv w:val="1"/>
      <w:marLeft w:val="0"/>
      <w:marRight w:val="0"/>
      <w:marTop w:val="0"/>
      <w:marBottom w:val="0"/>
      <w:divBdr>
        <w:top w:val="none" w:sz="0" w:space="0" w:color="auto"/>
        <w:left w:val="none" w:sz="0" w:space="0" w:color="auto"/>
        <w:bottom w:val="none" w:sz="0" w:space="0" w:color="auto"/>
        <w:right w:val="none" w:sz="0" w:space="0" w:color="auto"/>
      </w:divBdr>
    </w:div>
    <w:div w:id="854730026">
      <w:bodyDiv w:val="1"/>
      <w:marLeft w:val="0"/>
      <w:marRight w:val="0"/>
      <w:marTop w:val="0"/>
      <w:marBottom w:val="0"/>
      <w:divBdr>
        <w:top w:val="none" w:sz="0" w:space="0" w:color="auto"/>
        <w:left w:val="none" w:sz="0" w:space="0" w:color="auto"/>
        <w:bottom w:val="none" w:sz="0" w:space="0" w:color="auto"/>
        <w:right w:val="none" w:sz="0" w:space="0" w:color="auto"/>
      </w:divBdr>
    </w:div>
    <w:div w:id="854734055">
      <w:bodyDiv w:val="1"/>
      <w:marLeft w:val="0"/>
      <w:marRight w:val="0"/>
      <w:marTop w:val="0"/>
      <w:marBottom w:val="0"/>
      <w:divBdr>
        <w:top w:val="none" w:sz="0" w:space="0" w:color="auto"/>
        <w:left w:val="none" w:sz="0" w:space="0" w:color="auto"/>
        <w:bottom w:val="none" w:sz="0" w:space="0" w:color="auto"/>
        <w:right w:val="none" w:sz="0" w:space="0" w:color="auto"/>
      </w:divBdr>
    </w:div>
    <w:div w:id="854736247">
      <w:bodyDiv w:val="1"/>
      <w:marLeft w:val="0"/>
      <w:marRight w:val="0"/>
      <w:marTop w:val="0"/>
      <w:marBottom w:val="0"/>
      <w:divBdr>
        <w:top w:val="none" w:sz="0" w:space="0" w:color="auto"/>
        <w:left w:val="none" w:sz="0" w:space="0" w:color="auto"/>
        <w:bottom w:val="none" w:sz="0" w:space="0" w:color="auto"/>
        <w:right w:val="none" w:sz="0" w:space="0" w:color="auto"/>
      </w:divBdr>
    </w:div>
    <w:div w:id="854803791">
      <w:bodyDiv w:val="1"/>
      <w:marLeft w:val="0"/>
      <w:marRight w:val="0"/>
      <w:marTop w:val="0"/>
      <w:marBottom w:val="0"/>
      <w:divBdr>
        <w:top w:val="none" w:sz="0" w:space="0" w:color="auto"/>
        <w:left w:val="none" w:sz="0" w:space="0" w:color="auto"/>
        <w:bottom w:val="none" w:sz="0" w:space="0" w:color="auto"/>
        <w:right w:val="none" w:sz="0" w:space="0" w:color="auto"/>
      </w:divBdr>
    </w:div>
    <w:div w:id="854882650">
      <w:bodyDiv w:val="1"/>
      <w:marLeft w:val="0"/>
      <w:marRight w:val="0"/>
      <w:marTop w:val="0"/>
      <w:marBottom w:val="0"/>
      <w:divBdr>
        <w:top w:val="none" w:sz="0" w:space="0" w:color="auto"/>
        <w:left w:val="none" w:sz="0" w:space="0" w:color="auto"/>
        <w:bottom w:val="none" w:sz="0" w:space="0" w:color="auto"/>
        <w:right w:val="none" w:sz="0" w:space="0" w:color="auto"/>
      </w:divBdr>
    </w:div>
    <w:div w:id="854927348">
      <w:bodyDiv w:val="1"/>
      <w:marLeft w:val="0"/>
      <w:marRight w:val="0"/>
      <w:marTop w:val="0"/>
      <w:marBottom w:val="0"/>
      <w:divBdr>
        <w:top w:val="none" w:sz="0" w:space="0" w:color="auto"/>
        <w:left w:val="none" w:sz="0" w:space="0" w:color="auto"/>
        <w:bottom w:val="none" w:sz="0" w:space="0" w:color="auto"/>
        <w:right w:val="none" w:sz="0" w:space="0" w:color="auto"/>
      </w:divBdr>
    </w:div>
    <w:div w:id="855115271">
      <w:bodyDiv w:val="1"/>
      <w:marLeft w:val="0"/>
      <w:marRight w:val="0"/>
      <w:marTop w:val="0"/>
      <w:marBottom w:val="0"/>
      <w:divBdr>
        <w:top w:val="none" w:sz="0" w:space="0" w:color="auto"/>
        <w:left w:val="none" w:sz="0" w:space="0" w:color="auto"/>
        <w:bottom w:val="none" w:sz="0" w:space="0" w:color="auto"/>
        <w:right w:val="none" w:sz="0" w:space="0" w:color="auto"/>
      </w:divBdr>
    </w:div>
    <w:div w:id="855115859">
      <w:bodyDiv w:val="1"/>
      <w:marLeft w:val="0"/>
      <w:marRight w:val="0"/>
      <w:marTop w:val="0"/>
      <w:marBottom w:val="0"/>
      <w:divBdr>
        <w:top w:val="none" w:sz="0" w:space="0" w:color="auto"/>
        <w:left w:val="none" w:sz="0" w:space="0" w:color="auto"/>
        <w:bottom w:val="none" w:sz="0" w:space="0" w:color="auto"/>
        <w:right w:val="none" w:sz="0" w:space="0" w:color="auto"/>
      </w:divBdr>
    </w:div>
    <w:div w:id="855266234">
      <w:bodyDiv w:val="1"/>
      <w:marLeft w:val="0"/>
      <w:marRight w:val="0"/>
      <w:marTop w:val="0"/>
      <w:marBottom w:val="0"/>
      <w:divBdr>
        <w:top w:val="none" w:sz="0" w:space="0" w:color="auto"/>
        <w:left w:val="none" w:sz="0" w:space="0" w:color="auto"/>
        <w:bottom w:val="none" w:sz="0" w:space="0" w:color="auto"/>
        <w:right w:val="none" w:sz="0" w:space="0" w:color="auto"/>
      </w:divBdr>
    </w:div>
    <w:div w:id="855271522">
      <w:bodyDiv w:val="1"/>
      <w:marLeft w:val="0"/>
      <w:marRight w:val="0"/>
      <w:marTop w:val="0"/>
      <w:marBottom w:val="0"/>
      <w:divBdr>
        <w:top w:val="none" w:sz="0" w:space="0" w:color="auto"/>
        <w:left w:val="none" w:sz="0" w:space="0" w:color="auto"/>
        <w:bottom w:val="none" w:sz="0" w:space="0" w:color="auto"/>
        <w:right w:val="none" w:sz="0" w:space="0" w:color="auto"/>
      </w:divBdr>
    </w:div>
    <w:div w:id="855340328">
      <w:bodyDiv w:val="1"/>
      <w:marLeft w:val="0"/>
      <w:marRight w:val="0"/>
      <w:marTop w:val="0"/>
      <w:marBottom w:val="0"/>
      <w:divBdr>
        <w:top w:val="none" w:sz="0" w:space="0" w:color="auto"/>
        <w:left w:val="none" w:sz="0" w:space="0" w:color="auto"/>
        <w:bottom w:val="none" w:sz="0" w:space="0" w:color="auto"/>
        <w:right w:val="none" w:sz="0" w:space="0" w:color="auto"/>
      </w:divBdr>
    </w:div>
    <w:div w:id="855342683">
      <w:bodyDiv w:val="1"/>
      <w:marLeft w:val="0"/>
      <w:marRight w:val="0"/>
      <w:marTop w:val="0"/>
      <w:marBottom w:val="0"/>
      <w:divBdr>
        <w:top w:val="none" w:sz="0" w:space="0" w:color="auto"/>
        <w:left w:val="none" w:sz="0" w:space="0" w:color="auto"/>
        <w:bottom w:val="none" w:sz="0" w:space="0" w:color="auto"/>
        <w:right w:val="none" w:sz="0" w:space="0" w:color="auto"/>
      </w:divBdr>
    </w:div>
    <w:div w:id="855460068">
      <w:bodyDiv w:val="1"/>
      <w:marLeft w:val="0"/>
      <w:marRight w:val="0"/>
      <w:marTop w:val="0"/>
      <w:marBottom w:val="0"/>
      <w:divBdr>
        <w:top w:val="none" w:sz="0" w:space="0" w:color="auto"/>
        <w:left w:val="none" w:sz="0" w:space="0" w:color="auto"/>
        <w:bottom w:val="none" w:sz="0" w:space="0" w:color="auto"/>
        <w:right w:val="none" w:sz="0" w:space="0" w:color="auto"/>
      </w:divBdr>
    </w:div>
    <w:div w:id="855581653">
      <w:bodyDiv w:val="1"/>
      <w:marLeft w:val="0"/>
      <w:marRight w:val="0"/>
      <w:marTop w:val="0"/>
      <w:marBottom w:val="0"/>
      <w:divBdr>
        <w:top w:val="none" w:sz="0" w:space="0" w:color="auto"/>
        <w:left w:val="none" w:sz="0" w:space="0" w:color="auto"/>
        <w:bottom w:val="none" w:sz="0" w:space="0" w:color="auto"/>
        <w:right w:val="none" w:sz="0" w:space="0" w:color="auto"/>
      </w:divBdr>
    </w:div>
    <w:div w:id="855733709">
      <w:bodyDiv w:val="1"/>
      <w:marLeft w:val="0"/>
      <w:marRight w:val="0"/>
      <w:marTop w:val="0"/>
      <w:marBottom w:val="0"/>
      <w:divBdr>
        <w:top w:val="none" w:sz="0" w:space="0" w:color="auto"/>
        <w:left w:val="none" w:sz="0" w:space="0" w:color="auto"/>
        <w:bottom w:val="none" w:sz="0" w:space="0" w:color="auto"/>
        <w:right w:val="none" w:sz="0" w:space="0" w:color="auto"/>
      </w:divBdr>
    </w:div>
    <w:div w:id="855769418">
      <w:bodyDiv w:val="1"/>
      <w:marLeft w:val="0"/>
      <w:marRight w:val="0"/>
      <w:marTop w:val="0"/>
      <w:marBottom w:val="0"/>
      <w:divBdr>
        <w:top w:val="none" w:sz="0" w:space="0" w:color="auto"/>
        <w:left w:val="none" w:sz="0" w:space="0" w:color="auto"/>
        <w:bottom w:val="none" w:sz="0" w:space="0" w:color="auto"/>
        <w:right w:val="none" w:sz="0" w:space="0" w:color="auto"/>
      </w:divBdr>
    </w:div>
    <w:div w:id="855772154">
      <w:bodyDiv w:val="1"/>
      <w:marLeft w:val="0"/>
      <w:marRight w:val="0"/>
      <w:marTop w:val="0"/>
      <w:marBottom w:val="0"/>
      <w:divBdr>
        <w:top w:val="none" w:sz="0" w:space="0" w:color="auto"/>
        <w:left w:val="none" w:sz="0" w:space="0" w:color="auto"/>
        <w:bottom w:val="none" w:sz="0" w:space="0" w:color="auto"/>
        <w:right w:val="none" w:sz="0" w:space="0" w:color="auto"/>
      </w:divBdr>
    </w:div>
    <w:div w:id="855845855">
      <w:bodyDiv w:val="1"/>
      <w:marLeft w:val="0"/>
      <w:marRight w:val="0"/>
      <w:marTop w:val="0"/>
      <w:marBottom w:val="0"/>
      <w:divBdr>
        <w:top w:val="none" w:sz="0" w:space="0" w:color="auto"/>
        <w:left w:val="none" w:sz="0" w:space="0" w:color="auto"/>
        <w:bottom w:val="none" w:sz="0" w:space="0" w:color="auto"/>
        <w:right w:val="none" w:sz="0" w:space="0" w:color="auto"/>
      </w:divBdr>
    </w:div>
    <w:div w:id="856190566">
      <w:bodyDiv w:val="1"/>
      <w:marLeft w:val="0"/>
      <w:marRight w:val="0"/>
      <w:marTop w:val="0"/>
      <w:marBottom w:val="0"/>
      <w:divBdr>
        <w:top w:val="none" w:sz="0" w:space="0" w:color="auto"/>
        <w:left w:val="none" w:sz="0" w:space="0" w:color="auto"/>
        <w:bottom w:val="none" w:sz="0" w:space="0" w:color="auto"/>
        <w:right w:val="none" w:sz="0" w:space="0" w:color="auto"/>
      </w:divBdr>
    </w:div>
    <w:div w:id="856237406">
      <w:bodyDiv w:val="1"/>
      <w:marLeft w:val="0"/>
      <w:marRight w:val="0"/>
      <w:marTop w:val="0"/>
      <w:marBottom w:val="0"/>
      <w:divBdr>
        <w:top w:val="none" w:sz="0" w:space="0" w:color="auto"/>
        <w:left w:val="none" w:sz="0" w:space="0" w:color="auto"/>
        <w:bottom w:val="none" w:sz="0" w:space="0" w:color="auto"/>
        <w:right w:val="none" w:sz="0" w:space="0" w:color="auto"/>
      </w:divBdr>
    </w:div>
    <w:div w:id="856315220">
      <w:bodyDiv w:val="1"/>
      <w:marLeft w:val="0"/>
      <w:marRight w:val="0"/>
      <w:marTop w:val="0"/>
      <w:marBottom w:val="0"/>
      <w:divBdr>
        <w:top w:val="none" w:sz="0" w:space="0" w:color="auto"/>
        <w:left w:val="none" w:sz="0" w:space="0" w:color="auto"/>
        <w:bottom w:val="none" w:sz="0" w:space="0" w:color="auto"/>
        <w:right w:val="none" w:sz="0" w:space="0" w:color="auto"/>
      </w:divBdr>
    </w:div>
    <w:div w:id="856390016">
      <w:bodyDiv w:val="1"/>
      <w:marLeft w:val="0"/>
      <w:marRight w:val="0"/>
      <w:marTop w:val="0"/>
      <w:marBottom w:val="0"/>
      <w:divBdr>
        <w:top w:val="none" w:sz="0" w:space="0" w:color="auto"/>
        <w:left w:val="none" w:sz="0" w:space="0" w:color="auto"/>
        <w:bottom w:val="none" w:sz="0" w:space="0" w:color="auto"/>
        <w:right w:val="none" w:sz="0" w:space="0" w:color="auto"/>
      </w:divBdr>
    </w:div>
    <w:div w:id="856390896">
      <w:bodyDiv w:val="1"/>
      <w:marLeft w:val="0"/>
      <w:marRight w:val="0"/>
      <w:marTop w:val="0"/>
      <w:marBottom w:val="0"/>
      <w:divBdr>
        <w:top w:val="none" w:sz="0" w:space="0" w:color="auto"/>
        <w:left w:val="none" w:sz="0" w:space="0" w:color="auto"/>
        <w:bottom w:val="none" w:sz="0" w:space="0" w:color="auto"/>
        <w:right w:val="none" w:sz="0" w:space="0" w:color="auto"/>
      </w:divBdr>
    </w:div>
    <w:div w:id="856580962">
      <w:bodyDiv w:val="1"/>
      <w:marLeft w:val="0"/>
      <w:marRight w:val="0"/>
      <w:marTop w:val="0"/>
      <w:marBottom w:val="0"/>
      <w:divBdr>
        <w:top w:val="none" w:sz="0" w:space="0" w:color="auto"/>
        <w:left w:val="none" w:sz="0" w:space="0" w:color="auto"/>
        <w:bottom w:val="none" w:sz="0" w:space="0" w:color="auto"/>
        <w:right w:val="none" w:sz="0" w:space="0" w:color="auto"/>
      </w:divBdr>
    </w:div>
    <w:div w:id="856622587">
      <w:bodyDiv w:val="1"/>
      <w:marLeft w:val="0"/>
      <w:marRight w:val="0"/>
      <w:marTop w:val="0"/>
      <w:marBottom w:val="0"/>
      <w:divBdr>
        <w:top w:val="none" w:sz="0" w:space="0" w:color="auto"/>
        <w:left w:val="none" w:sz="0" w:space="0" w:color="auto"/>
        <w:bottom w:val="none" w:sz="0" w:space="0" w:color="auto"/>
        <w:right w:val="none" w:sz="0" w:space="0" w:color="auto"/>
      </w:divBdr>
    </w:div>
    <w:div w:id="856623626">
      <w:bodyDiv w:val="1"/>
      <w:marLeft w:val="0"/>
      <w:marRight w:val="0"/>
      <w:marTop w:val="0"/>
      <w:marBottom w:val="0"/>
      <w:divBdr>
        <w:top w:val="none" w:sz="0" w:space="0" w:color="auto"/>
        <w:left w:val="none" w:sz="0" w:space="0" w:color="auto"/>
        <w:bottom w:val="none" w:sz="0" w:space="0" w:color="auto"/>
        <w:right w:val="none" w:sz="0" w:space="0" w:color="auto"/>
      </w:divBdr>
    </w:div>
    <w:div w:id="856624288">
      <w:bodyDiv w:val="1"/>
      <w:marLeft w:val="0"/>
      <w:marRight w:val="0"/>
      <w:marTop w:val="0"/>
      <w:marBottom w:val="0"/>
      <w:divBdr>
        <w:top w:val="none" w:sz="0" w:space="0" w:color="auto"/>
        <w:left w:val="none" w:sz="0" w:space="0" w:color="auto"/>
        <w:bottom w:val="none" w:sz="0" w:space="0" w:color="auto"/>
        <w:right w:val="none" w:sz="0" w:space="0" w:color="auto"/>
      </w:divBdr>
    </w:div>
    <w:div w:id="856702256">
      <w:bodyDiv w:val="1"/>
      <w:marLeft w:val="0"/>
      <w:marRight w:val="0"/>
      <w:marTop w:val="0"/>
      <w:marBottom w:val="0"/>
      <w:divBdr>
        <w:top w:val="none" w:sz="0" w:space="0" w:color="auto"/>
        <w:left w:val="none" w:sz="0" w:space="0" w:color="auto"/>
        <w:bottom w:val="none" w:sz="0" w:space="0" w:color="auto"/>
        <w:right w:val="none" w:sz="0" w:space="0" w:color="auto"/>
      </w:divBdr>
    </w:div>
    <w:div w:id="856769149">
      <w:bodyDiv w:val="1"/>
      <w:marLeft w:val="0"/>
      <w:marRight w:val="0"/>
      <w:marTop w:val="0"/>
      <w:marBottom w:val="0"/>
      <w:divBdr>
        <w:top w:val="none" w:sz="0" w:space="0" w:color="auto"/>
        <w:left w:val="none" w:sz="0" w:space="0" w:color="auto"/>
        <w:bottom w:val="none" w:sz="0" w:space="0" w:color="auto"/>
        <w:right w:val="none" w:sz="0" w:space="0" w:color="auto"/>
      </w:divBdr>
    </w:div>
    <w:div w:id="856850009">
      <w:bodyDiv w:val="1"/>
      <w:marLeft w:val="0"/>
      <w:marRight w:val="0"/>
      <w:marTop w:val="0"/>
      <w:marBottom w:val="0"/>
      <w:divBdr>
        <w:top w:val="none" w:sz="0" w:space="0" w:color="auto"/>
        <w:left w:val="none" w:sz="0" w:space="0" w:color="auto"/>
        <w:bottom w:val="none" w:sz="0" w:space="0" w:color="auto"/>
        <w:right w:val="none" w:sz="0" w:space="0" w:color="auto"/>
      </w:divBdr>
    </w:div>
    <w:div w:id="856965948">
      <w:bodyDiv w:val="1"/>
      <w:marLeft w:val="0"/>
      <w:marRight w:val="0"/>
      <w:marTop w:val="0"/>
      <w:marBottom w:val="0"/>
      <w:divBdr>
        <w:top w:val="none" w:sz="0" w:space="0" w:color="auto"/>
        <w:left w:val="none" w:sz="0" w:space="0" w:color="auto"/>
        <w:bottom w:val="none" w:sz="0" w:space="0" w:color="auto"/>
        <w:right w:val="none" w:sz="0" w:space="0" w:color="auto"/>
      </w:divBdr>
    </w:div>
    <w:div w:id="857037730">
      <w:bodyDiv w:val="1"/>
      <w:marLeft w:val="0"/>
      <w:marRight w:val="0"/>
      <w:marTop w:val="0"/>
      <w:marBottom w:val="0"/>
      <w:divBdr>
        <w:top w:val="none" w:sz="0" w:space="0" w:color="auto"/>
        <w:left w:val="none" w:sz="0" w:space="0" w:color="auto"/>
        <w:bottom w:val="none" w:sz="0" w:space="0" w:color="auto"/>
        <w:right w:val="none" w:sz="0" w:space="0" w:color="auto"/>
      </w:divBdr>
    </w:div>
    <w:div w:id="857037787">
      <w:bodyDiv w:val="1"/>
      <w:marLeft w:val="0"/>
      <w:marRight w:val="0"/>
      <w:marTop w:val="0"/>
      <w:marBottom w:val="0"/>
      <w:divBdr>
        <w:top w:val="none" w:sz="0" w:space="0" w:color="auto"/>
        <w:left w:val="none" w:sz="0" w:space="0" w:color="auto"/>
        <w:bottom w:val="none" w:sz="0" w:space="0" w:color="auto"/>
        <w:right w:val="none" w:sz="0" w:space="0" w:color="auto"/>
      </w:divBdr>
    </w:div>
    <w:div w:id="857082098">
      <w:bodyDiv w:val="1"/>
      <w:marLeft w:val="0"/>
      <w:marRight w:val="0"/>
      <w:marTop w:val="0"/>
      <w:marBottom w:val="0"/>
      <w:divBdr>
        <w:top w:val="none" w:sz="0" w:space="0" w:color="auto"/>
        <w:left w:val="none" w:sz="0" w:space="0" w:color="auto"/>
        <w:bottom w:val="none" w:sz="0" w:space="0" w:color="auto"/>
        <w:right w:val="none" w:sz="0" w:space="0" w:color="auto"/>
      </w:divBdr>
    </w:div>
    <w:div w:id="857276623">
      <w:bodyDiv w:val="1"/>
      <w:marLeft w:val="0"/>
      <w:marRight w:val="0"/>
      <w:marTop w:val="0"/>
      <w:marBottom w:val="0"/>
      <w:divBdr>
        <w:top w:val="none" w:sz="0" w:space="0" w:color="auto"/>
        <w:left w:val="none" w:sz="0" w:space="0" w:color="auto"/>
        <w:bottom w:val="none" w:sz="0" w:space="0" w:color="auto"/>
        <w:right w:val="none" w:sz="0" w:space="0" w:color="auto"/>
      </w:divBdr>
    </w:div>
    <w:div w:id="857307091">
      <w:bodyDiv w:val="1"/>
      <w:marLeft w:val="0"/>
      <w:marRight w:val="0"/>
      <w:marTop w:val="0"/>
      <w:marBottom w:val="0"/>
      <w:divBdr>
        <w:top w:val="none" w:sz="0" w:space="0" w:color="auto"/>
        <w:left w:val="none" w:sz="0" w:space="0" w:color="auto"/>
        <w:bottom w:val="none" w:sz="0" w:space="0" w:color="auto"/>
        <w:right w:val="none" w:sz="0" w:space="0" w:color="auto"/>
      </w:divBdr>
    </w:div>
    <w:div w:id="857350970">
      <w:bodyDiv w:val="1"/>
      <w:marLeft w:val="0"/>
      <w:marRight w:val="0"/>
      <w:marTop w:val="0"/>
      <w:marBottom w:val="0"/>
      <w:divBdr>
        <w:top w:val="none" w:sz="0" w:space="0" w:color="auto"/>
        <w:left w:val="none" w:sz="0" w:space="0" w:color="auto"/>
        <w:bottom w:val="none" w:sz="0" w:space="0" w:color="auto"/>
        <w:right w:val="none" w:sz="0" w:space="0" w:color="auto"/>
      </w:divBdr>
    </w:div>
    <w:div w:id="857473029">
      <w:bodyDiv w:val="1"/>
      <w:marLeft w:val="0"/>
      <w:marRight w:val="0"/>
      <w:marTop w:val="0"/>
      <w:marBottom w:val="0"/>
      <w:divBdr>
        <w:top w:val="none" w:sz="0" w:space="0" w:color="auto"/>
        <w:left w:val="none" w:sz="0" w:space="0" w:color="auto"/>
        <w:bottom w:val="none" w:sz="0" w:space="0" w:color="auto"/>
        <w:right w:val="none" w:sz="0" w:space="0" w:color="auto"/>
      </w:divBdr>
    </w:div>
    <w:div w:id="857499750">
      <w:bodyDiv w:val="1"/>
      <w:marLeft w:val="0"/>
      <w:marRight w:val="0"/>
      <w:marTop w:val="0"/>
      <w:marBottom w:val="0"/>
      <w:divBdr>
        <w:top w:val="none" w:sz="0" w:space="0" w:color="auto"/>
        <w:left w:val="none" w:sz="0" w:space="0" w:color="auto"/>
        <w:bottom w:val="none" w:sz="0" w:space="0" w:color="auto"/>
        <w:right w:val="none" w:sz="0" w:space="0" w:color="auto"/>
      </w:divBdr>
    </w:div>
    <w:div w:id="857621183">
      <w:bodyDiv w:val="1"/>
      <w:marLeft w:val="0"/>
      <w:marRight w:val="0"/>
      <w:marTop w:val="0"/>
      <w:marBottom w:val="0"/>
      <w:divBdr>
        <w:top w:val="none" w:sz="0" w:space="0" w:color="auto"/>
        <w:left w:val="none" w:sz="0" w:space="0" w:color="auto"/>
        <w:bottom w:val="none" w:sz="0" w:space="0" w:color="auto"/>
        <w:right w:val="none" w:sz="0" w:space="0" w:color="auto"/>
      </w:divBdr>
    </w:div>
    <w:div w:id="857692150">
      <w:bodyDiv w:val="1"/>
      <w:marLeft w:val="0"/>
      <w:marRight w:val="0"/>
      <w:marTop w:val="0"/>
      <w:marBottom w:val="0"/>
      <w:divBdr>
        <w:top w:val="none" w:sz="0" w:space="0" w:color="auto"/>
        <w:left w:val="none" w:sz="0" w:space="0" w:color="auto"/>
        <w:bottom w:val="none" w:sz="0" w:space="0" w:color="auto"/>
        <w:right w:val="none" w:sz="0" w:space="0" w:color="auto"/>
      </w:divBdr>
    </w:div>
    <w:div w:id="857697406">
      <w:bodyDiv w:val="1"/>
      <w:marLeft w:val="0"/>
      <w:marRight w:val="0"/>
      <w:marTop w:val="0"/>
      <w:marBottom w:val="0"/>
      <w:divBdr>
        <w:top w:val="none" w:sz="0" w:space="0" w:color="auto"/>
        <w:left w:val="none" w:sz="0" w:space="0" w:color="auto"/>
        <w:bottom w:val="none" w:sz="0" w:space="0" w:color="auto"/>
        <w:right w:val="none" w:sz="0" w:space="0" w:color="auto"/>
      </w:divBdr>
    </w:div>
    <w:div w:id="857741405">
      <w:bodyDiv w:val="1"/>
      <w:marLeft w:val="0"/>
      <w:marRight w:val="0"/>
      <w:marTop w:val="0"/>
      <w:marBottom w:val="0"/>
      <w:divBdr>
        <w:top w:val="none" w:sz="0" w:space="0" w:color="auto"/>
        <w:left w:val="none" w:sz="0" w:space="0" w:color="auto"/>
        <w:bottom w:val="none" w:sz="0" w:space="0" w:color="auto"/>
        <w:right w:val="none" w:sz="0" w:space="0" w:color="auto"/>
      </w:divBdr>
    </w:div>
    <w:div w:id="857933337">
      <w:bodyDiv w:val="1"/>
      <w:marLeft w:val="0"/>
      <w:marRight w:val="0"/>
      <w:marTop w:val="0"/>
      <w:marBottom w:val="0"/>
      <w:divBdr>
        <w:top w:val="none" w:sz="0" w:space="0" w:color="auto"/>
        <w:left w:val="none" w:sz="0" w:space="0" w:color="auto"/>
        <w:bottom w:val="none" w:sz="0" w:space="0" w:color="auto"/>
        <w:right w:val="none" w:sz="0" w:space="0" w:color="auto"/>
      </w:divBdr>
    </w:div>
    <w:div w:id="857934870">
      <w:bodyDiv w:val="1"/>
      <w:marLeft w:val="0"/>
      <w:marRight w:val="0"/>
      <w:marTop w:val="0"/>
      <w:marBottom w:val="0"/>
      <w:divBdr>
        <w:top w:val="none" w:sz="0" w:space="0" w:color="auto"/>
        <w:left w:val="none" w:sz="0" w:space="0" w:color="auto"/>
        <w:bottom w:val="none" w:sz="0" w:space="0" w:color="auto"/>
        <w:right w:val="none" w:sz="0" w:space="0" w:color="auto"/>
      </w:divBdr>
    </w:div>
    <w:div w:id="857961626">
      <w:bodyDiv w:val="1"/>
      <w:marLeft w:val="0"/>
      <w:marRight w:val="0"/>
      <w:marTop w:val="0"/>
      <w:marBottom w:val="0"/>
      <w:divBdr>
        <w:top w:val="none" w:sz="0" w:space="0" w:color="auto"/>
        <w:left w:val="none" w:sz="0" w:space="0" w:color="auto"/>
        <w:bottom w:val="none" w:sz="0" w:space="0" w:color="auto"/>
        <w:right w:val="none" w:sz="0" w:space="0" w:color="auto"/>
      </w:divBdr>
    </w:div>
    <w:div w:id="858009170">
      <w:bodyDiv w:val="1"/>
      <w:marLeft w:val="0"/>
      <w:marRight w:val="0"/>
      <w:marTop w:val="0"/>
      <w:marBottom w:val="0"/>
      <w:divBdr>
        <w:top w:val="none" w:sz="0" w:space="0" w:color="auto"/>
        <w:left w:val="none" w:sz="0" w:space="0" w:color="auto"/>
        <w:bottom w:val="none" w:sz="0" w:space="0" w:color="auto"/>
        <w:right w:val="none" w:sz="0" w:space="0" w:color="auto"/>
      </w:divBdr>
    </w:div>
    <w:div w:id="858085258">
      <w:bodyDiv w:val="1"/>
      <w:marLeft w:val="0"/>
      <w:marRight w:val="0"/>
      <w:marTop w:val="0"/>
      <w:marBottom w:val="0"/>
      <w:divBdr>
        <w:top w:val="none" w:sz="0" w:space="0" w:color="auto"/>
        <w:left w:val="none" w:sz="0" w:space="0" w:color="auto"/>
        <w:bottom w:val="none" w:sz="0" w:space="0" w:color="auto"/>
        <w:right w:val="none" w:sz="0" w:space="0" w:color="auto"/>
      </w:divBdr>
    </w:div>
    <w:div w:id="858156542">
      <w:bodyDiv w:val="1"/>
      <w:marLeft w:val="0"/>
      <w:marRight w:val="0"/>
      <w:marTop w:val="0"/>
      <w:marBottom w:val="0"/>
      <w:divBdr>
        <w:top w:val="none" w:sz="0" w:space="0" w:color="auto"/>
        <w:left w:val="none" w:sz="0" w:space="0" w:color="auto"/>
        <w:bottom w:val="none" w:sz="0" w:space="0" w:color="auto"/>
        <w:right w:val="none" w:sz="0" w:space="0" w:color="auto"/>
      </w:divBdr>
    </w:div>
    <w:div w:id="858203406">
      <w:bodyDiv w:val="1"/>
      <w:marLeft w:val="0"/>
      <w:marRight w:val="0"/>
      <w:marTop w:val="0"/>
      <w:marBottom w:val="0"/>
      <w:divBdr>
        <w:top w:val="none" w:sz="0" w:space="0" w:color="auto"/>
        <w:left w:val="none" w:sz="0" w:space="0" w:color="auto"/>
        <w:bottom w:val="none" w:sz="0" w:space="0" w:color="auto"/>
        <w:right w:val="none" w:sz="0" w:space="0" w:color="auto"/>
      </w:divBdr>
    </w:div>
    <w:div w:id="858274160">
      <w:bodyDiv w:val="1"/>
      <w:marLeft w:val="0"/>
      <w:marRight w:val="0"/>
      <w:marTop w:val="0"/>
      <w:marBottom w:val="0"/>
      <w:divBdr>
        <w:top w:val="none" w:sz="0" w:space="0" w:color="auto"/>
        <w:left w:val="none" w:sz="0" w:space="0" w:color="auto"/>
        <w:bottom w:val="none" w:sz="0" w:space="0" w:color="auto"/>
        <w:right w:val="none" w:sz="0" w:space="0" w:color="auto"/>
      </w:divBdr>
    </w:div>
    <w:div w:id="858277717">
      <w:bodyDiv w:val="1"/>
      <w:marLeft w:val="0"/>
      <w:marRight w:val="0"/>
      <w:marTop w:val="0"/>
      <w:marBottom w:val="0"/>
      <w:divBdr>
        <w:top w:val="none" w:sz="0" w:space="0" w:color="auto"/>
        <w:left w:val="none" w:sz="0" w:space="0" w:color="auto"/>
        <w:bottom w:val="none" w:sz="0" w:space="0" w:color="auto"/>
        <w:right w:val="none" w:sz="0" w:space="0" w:color="auto"/>
      </w:divBdr>
    </w:div>
    <w:div w:id="858356390">
      <w:bodyDiv w:val="1"/>
      <w:marLeft w:val="0"/>
      <w:marRight w:val="0"/>
      <w:marTop w:val="0"/>
      <w:marBottom w:val="0"/>
      <w:divBdr>
        <w:top w:val="none" w:sz="0" w:space="0" w:color="auto"/>
        <w:left w:val="none" w:sz="0" w:space="0" w:color="auto"/>
        <w:bottom w:val="none" w:sz="0" w:space="0" w:color="auto"/>
        <w:right w:val="none" w:sz="0" w:space="0" w:color="auto"/>
      </w:divBdr>
    </w:div>
    <w:div w:id="858472668">
      <w:bodyDiv w:val="1"/>
      <w:marLeft w:val="0"/>
      <w:marRight w:val="0"/>
      <w:marTop w:val="0"/>
      <w:marBottom w:val="0"/>
      <w:divBdr>
        <w:top w:val="none" w:sz="0" w:space="0" w:color="auto"/>
        <w:left w:val="none" w:sz="0" w:space="0" w:color="auto"/>
        <w:bottom w:val="none" w:sz="0" w:space="0" w:color="auto"/>
        <w:right w:val="none" w:sz="0" w:space="0" w:color="auto"/>
      </w:divBdr>
    </w:div>
    <w:div w:id="858544403">
      <w:bodyDiv w:val="1"/>
      <w:marLeft w:val="0"/>
      <w:marRight w:val="0"/>
      <w:marTop w:val="0"/>
      <w:marBottom w:val="0"/>
      <w:divBdr>
        <w:top w:val="none" w:sz="0" w:space="0" w:color="auto"/>
        <w:left w:val="none" w:sz="0" w:space="0" w:color="auto"/>
        <w:bottom w:val="none" w:sz="0" w:space="0" w:color="auto"/>
        <w:right w:val="none" w:sz="0" w:space="0" w:color="auto"/>
      </w:divBdr>
    </w:div>
    <w:div w:id="858548481">
      <w:bodyDiv w:val="1"/>
      <w:marLeft w:val="0"/>
      <w:marRight w:val="0"/>
      <w:marTop w:val="0"/>
      <w:marBottom w:val="0"/>
      <w:divBdr>
        <w:top w:val="none" w:sz="0" w:space="0" w:color="auto"/>
        <w:left w:val="none" w:sz="0" w:space="0" w:color="auto"/>
        <w:bottom w:val="none" w:sz="0" w:space="0" w:color="auto"/>
        <w:right w:val="none" w:sz="0" w:space="0" w:color="auto"/>
      </w:divBdr>
    </w:div>
    <w:div w:id="858663711">
      <w:bodyDiv w:val="1"/>
      <w:marLeft w:val="0"/>
      <w:marRight w:val="0"/>
      <w:marTop w:val="0"/>
      <w:marBottom w:val="0"/>
      <w:divBdr>
        <w:top w:val="none" w:sz="0" w:space="0" w:color="auto"/>
        <w:left w:val="none" w:sz="0" w:space="0" w:color="auto"/>
        <w:bottom w:val="none" w:sz="0" w:space="0" w:color="auto"/>
        <w:right w:val="none" w:sz="0" w:space="0" w:color="auto"/>
      </w:divBdr>
    </w:div>
    <w:div w:id="858736150">
      <w:bodyDiv w:val="1"/>
      <w:marLeft w:val="0"/>
      <w:marRight w:val="0"/>
      <w:marTop w:val="0"/>
      <w:marBottom w:val="0"/>
      <w:divBdr>
        <w:top w:val="none" w:sz="0" w:space="0" w:color="auto"/>
        <w:left w:val="none" w:sz="0" w:space="0" w:color="auto"/>
        <w:bottom w:val="none" w:sz="0" w:space="0" w:color="auto"/>
        <w:right w:val="none" w:sz="0" w:space="0" w:color="auto"/>
      </w:divBdr>
    </w:div>
    <w:div w:id="858934314">
      <w:bodyDiv w:val="1"/>
      <w:marLeft w:val="0"/>
      <w:marRight w:val="0"/>
      <w:marTop w:val="0"/>
      <w:marBottom w:val="0"/>
      <w:divBdr>
        <w:top w:val="none" w:sz="0" w:space="0" w:color="auto"/>
        <w:left w:val="none" w:sz="0" w:space="0" w:color="auto"/>
        <w:bottom w:val="none" w:sz="0" w:space="0" w:color="auto"/>
        <w:right w:val="none" w:sz="0" w:space="0" w:color="auto"/>
      </w:divBdr>
    </w:div>
    <w:div w:id="859005262">
      <w:bodyDiv w:val="1"/>
      <w:marLeft w:val="0"/>
      <w:marRight w:val="0"/>
      <w:marTop w:val="0"/>
      <w:marBottom w:val="0"/>
      <w:divBdr>
        <w:top w:val="none" w:sz="0" w:space="0" w:color="auto"/>
        <w:left w:val="none" w:sz="0" w:space="0" w:color="auto"/>
        <w:bottom w:val="none" w:sz="0" w:space="0" w:color="auto"/>
        <w:right w:val="none" w:sz="0" w:space="0" w:color="auto"/>
      </w:divBdr>
    </w:div>
    <w:div w:id="859005899">
      <w:bodyDiv w:val="1"/>
      <w:marLeft w:val="0"/>
      <w:marRight w:val="0"/>
      <w:marTop w:val="0"/>
      <w:marBottom w:val="0"/>
      <w:divBdr>
        <w:top w:val="none" w:sz="0" w:space="0" w:color="auto"/>
        <w:left w:val="none" w:sz="0" w:space="0" w:color="auto"/>
        <w:bottom w:val="none" w:sz="0" w:space="0" w:color="auto"/>
        <w:right w:val="none" w:sz="0" w:space="0" w:color="auto"/>
      </w:divBdr>
    </w:div>
    <w:div w:id="859012007">
      <w:bodyDiv w:val="1"/>
      <w:marLeft w:val="0"/>
      <w:marRight w:val="0"/>
      <w:marTop w:val="0"/>
      <w:marBottom w:val="0"/>
      <w:divBdr>
        <w:top w:val="none" w:sz="0" w:space="0" w:color="auto"/>
        <w:left w:val="none" w:sz="0" w:space="0" w:color="auto"/>
        <w:bottom w:val="none" w:sz="0" w:space="0" w:color="auto"/>
        <w:right w:val="none" w:sz="0" w:space="0" w:color="auto"/>
      </w:divBdr>
    </w:div>
    <w:div w:id="859047191">
      <w:bodyDiv w:val="1"/>
      <w:marLeft w:val="0"/>
      <w:marRight w:val="0"/>
      <w:marTop w:val="0"/>
      <w:marBottom w:val="0"/>
      <w:divBdr>
        <w:top w:val="none" w:sz="0" w:space="0" w:color="auto"/>
        <w:left w:val="none" w:sz="0" w:space="0" w:color="auto"/>
        <w:bottom w:val="none" w:sz="0" w:space="0" w:color="auto"/>
        <w:right w:val="none" w:sz="0" w:space="0" w:color="auto"/>
      </w:divBdr>
    </w:div>
    <w:div w:id="859122308">
      <w:bodyDiv w:val="1"/>
      <w:marLeft w:val="0"/>
      <w:marRight w:val="0"/>
      <w:marTop w:val="0"/>
      <w:marBottom w:val="0"/>
      <w:divBdr>
        <w:top w:val="none" w:sz="0" w:space="0" w:color="auto"/>
        <w:left w:val="none" w:sz="0" w:space="0" w:color="auto"/>
        <w:bottom w:val="none" w:sz="0" w:space="0" w:color="auto"/>
        <w:right w:val="none" w:sz="0" w:space="0" w:color="auto"/>
      </w:divBdr>
    </w:div>
    <w:div w:id="859126694">
      <w:bodyDiv w:val="1"/>
      <w:marLeft w:val="0"/>
      <w:marRight w:val="0"/>
      <w:marTop w:val="0"/>
      <w:marBottom w:val="0"/>
      <w:divBdr>
        <w:top w:val="none" w:sz="0" w:space="0" w:color="auto"/>
        <w:left w:val="none" w:sz="0" w:space="0" w:color="auto"/>
        <w:bottom w:val="none" w:sz="0" w:space="0" w:color="auto"/>
        <w:right w:val="none" w:sz="0" w:space="0" w:color="auto"/>
      </w:divBdr>
    </w:div>
    <w:div w:id="859128174">
      <w:bodyDiv w:val="1"/>
      <w:marLeft w:val="0"/>
      <w:marRight w:val="0"/>
      <w:marTop w:val="0"/>
      <w:marBottom w:val="0"/>
      <w:divBdr>
        <w:top w:val="none" w:sz="0" w:space="0" w:color="auto"/>
        <w:left w:val="none" w:sz="0" w:space="0" w:color="auto"/>
        <w:bottom w:val="none" w:sz="0" w:space="0" w:color="auto"/>
        <w:right w:val="none" w:sz="0" w:space="0" w:color="auto"/>
      </w:divBdr>
    </w:div>
    <w:div w:id="859322537">
      <w:bodyDiv w:val="1"/>
      <w:marLeft w:val="0"/>
      <w:marRight w:val="0"/>
      <w:marTop w:val="0"/>
      <w:marBottom w:val="0"/>
      <w:divBdr>
        <w:top w:val="none" w:sz="0" w:space="0" w:color="auto"/>
        <w:left w:val="none" w:sz="0" w:space="0" w:color="auto"/>
        <w:bottom w:val="none" w:sz="0" w:space="0" w:color="auto"/>
        <w:right w:val="none" w:sz="0" w:space="0" w:color="auto"/>
      </w:divBdr>
    </w:div>
    <w:div w:id="859465571">
      <w:bodyDiv w:val="1"/>
      <w:marLeft w:val="0"/>
      <w:marRight w:val="0"/>
      <w:marTop w:val="0"/>
      <w:marBottom w:val="0"/>
      <w:divBdr>
        <w:top w:val="none" w:sz="0" w:space="0" w:color="auto"/>
        <w:left w:val="none" w:sz="0" w:space="0" w:color="auto"/>
        <w:bottom w:val="none" w:sz="0" w:space="0" w:color="auto"/>
        <w:right w:val="none" w:sz="0" w:space="0" w:color="auto"/>
      </w:divBdr>
    </w:div>
    <w:div w:id="859511632">
      <w:bodyDiv w:val="1"/>
      <w:marLeft w:val="0"/>
      <w:marRight w:val="0"/>
      <w:marTop w:val="0"/>
      <w:marBottom w:val="0"/>
      <w:divBdr>
        <w:top w:val="none" w:sz="0" w:space="0" w:color="auto"/>
        <w:left w:val="none" w:sz="0" w:space="0" w:color="auto"/>
        <w:bottom w:val="none" w:sz="0" w:space="0" w:color="auto"/>
        <w:right w:val="none" w:sz="0" w:space="0" w:color="auto"/>
      </w:divBdr>
    </w:div>
    <w:div w:id="859513311">
      <w:bodyDiv w:val="1"/>
      <w:marLeft w:val="0"/>
      <w:marRight w:val="0"/>
      <w:marTop w:val="0"/>
      <w:marBottom w:val="0"/>
      <w:divBdr>
        <w:top w:val="none" w:sz="0" w:space="0" w:color="auto"/>
        <w:left w:val="none" w:sz="0" w:space="0" w:color="auto"/>
        <w:bottom w:val="none" w:sz="0" w:space="0" w:color="auto"/>
        <w:right w:val="none" w:sz="0" w:space="0" w:color="auto"/>
      </w:divBdr>
    </w:div>
    <w:div w:id="859587978">
      <w:bodyDiv w:val="1"/>
      <w:marLeft w:val="0"/>
      <w:marRight w:val="0"/>
      <w:marTop w:val="0"/>
      <w:marBottom w:val="0"/>
      <w:divBdr>
        <w:top w:val="none" w:sz="0" w:space="0" w:color="auto"/>
        <w:left w:val="none" w:sz="0" w:space="0" w:color="auto"/>
        <w:bottom w:val="none" w:sz="0" w:space="0" w:color="auto"/>
        <w:right w:val="none" w:sz="0" w:space="0" w:color="auto"/>
      </w:divBdr>
    </w:div>
    <w:div w:id="859709720">
      <w:bodyDiv w:val="1"/>
      <w:marLeft w:val="0"/>
      <w:marRight w:val="0"/>
      <w:marTop w:val="0"/>
      <w:marBottom w:val="0"/>
      <w:divBdr>
        <w:top w:val="none" w:sz="0" w:space="0" w:color="auto"/>
        <w:left w:val="none" w:sz="0" w:space="0" w:color="auto"/>
        <w:bottom w:val="none" w:sz="0" w:space="0" w:color="auto"/>
        <w:right w:val="none" w:sz="0" w:space="0" w:color="auto"/>
      </w:divBdr>
    </w:div>
    <w:div w:id="859778348">
      <w:bodyDiv w:val="1"/>
      <w:marLeft w:val="0"/>
      <w:marRight w:val="0"/>
      <w:marTop w:val="0"/>
      <w:marBottom w:val="0"/>
      <w:divBdr>
        <w:top w:val="none" w:sz="0" w:space="0" w:color="auto"/>
        <w:left w:val="none" w:sz="0" w:space="0" w:color="auto"/>
        <w:bottom w:val="none" w:sz="0" w:space="0" w:color="auto"/>
        <w:right w:val="none" w:sz="0" w:space="0" w:color="auto"/>
      </w:divBdr>
    </w:div>
    <w:div w:id="859901768">
      <w:bodyDiv w:val="1"/>
      <w:marLeft w:val="0"/>
      <w:marRight w:val="0"/>
      <w:marTop w:val="0"/>
      <w:marBottom w:val="0"/>
      <w:divBdr>
        <w:top w:val="none" w:sz="0" w:space="0" w:color="auto"/>
        <w:left w:val="none" w:sz="0" w:space="0" w:color="auto"/>
        <w:bottom w:val="none" w:sz="0" w:space="0" w:color="auto"/>
        <w:right w:val="none" w:sz="0" w:space="0" w:color="auto"/>
      </w:divBdr>
    </w:div>
    <w:div w:id="859927761">
      <w:bodyDiv w:val="1"/>
      <w:marLeft w:val="0"/>
      <w:marRight w:val="0"/>
      <w:marTop w:val="0"/>
      <w:marBottom w:val="0"/>
      <w:divBdr>
        <w:top w:val="none" w:sz="0" w:space="0" w:color="auto"/>
        <w:left w:val="none" w:sz="0" w:space="0" w:color="auto"/>
        <w:bottom w:val="none" w:sz="0" w:space="0" w:color="auto"/>
        <w:right w:val="none" w:sz="0" w:space="0" w:color="auto"/>
      </w:divBdr>
    </w:div>
    <w:div w:id="860050663">
      <w:bodyDiv w:val="1"/>
      <w:marLeft w:val="0"/>
      <w:marRight w:val="0"/>
      <w:marTop w:val="0"/>
      <w:marBottom w:val="0"/>
      <w:divBdr>
        <w:top w:val="none" w:sz="0" w:space="0" w:color="auto"/>
        <w:left w:val="none" w:sz="0" w:space="0" w:color="auto"/>
        <w:bottom w:val="none" w:sz="0" w:space="0" w:color="auto"/>
        <w:right w:val="none" w:sz="0" w:space="0" w:color="auto"/>
      </w:divBdr>
    </w:div>
    <w:div w:id="860319160">
      <w:bodyDiv w:val="1"/>
      <w:marLeft w:val="0"/>
      <w:marRight w:val="0"/>
      <w:marTop w:val="0"/>
      <w:marBottom w:val="0"/>
      <w:divBdr>
        <w:top w:val="none" w:sz="0" w:space="0" w:color="auto"/>
        <w:left w:val="none" w:sz="0" w:space="0" w:color="auto"/>
        <w:bottom w:val="none" w:sz="0" w:space="0" w:color="auto"/>
        <w:right w:val="none" w:sz="0" w:space="0" w:color="auto"/>
      </w:divBdr>
    </w:div>
    <w:div w:id="860510413">
      <w:bodyDiv w:val="1"/>
      <w:marLeft w:val="0"/>
      <w:marRight w:val="0"/>
      <w:marTop w:val="0"/>
      <w:marBottom w:val="0"/>
      <w:divBdr>
        <w:top w:val="none" w:sz="0" w:space="0" w:color="auto"/>
        <w:left w:val="none" w:sz="0" w:space="0" w:color="auto"/>
        <w:bottom w:val="none" w:sz="0" w:space="0" w:color="auto"/>
        <w:right w:val="none" w:sz="0" w:space="0" w:color="auto"/>
      </w:divBdr>
    </w:div>
    <w:div w:id="860558436">
      <w:bodyDiv w:val="1"/>
      <w:marLeft w:val="0"/>
      <w:marRight w:val="0"/>
      <w:marTop w:val="0"/>
      <w:marBottom w:val="0"/>
      <w:divBdr>
        <w:top w:val="none" w:sz="0" w:space="0" w:color="auto"/>
        <w:left w:val="none" w:sz="0" w:space="0" w:color="auto"/>
        <w:bottom w:val="none" w:sz="0" w:space="0" w:color="auto"/>
        <w:right w:val="none" w:sz="0" w:space="0" w:color="auto"/>
      </w:divBdr>
    </w:div>
    <w:div w:id="860780941">
      <w:bodyDiv w:val="1"/>
      <w:marLeft w:val="0"/>
      <w:marRight w:val="0"/>
      <w:marTop w:val="0"/>
      <w:marBottom w:val="0"/>
      <w:divBdr>
        <w:top w:val="none" w:sz="0" w:space="0" w:color="auto"/>
        <w:left w:val="none" w:sz="0" w:space="0" w:color="auto"/>
        <w:bottom w:val="none" w:sz="0" w:space="0" w:color="auto"/>
        <w:right w:val="none" w:sz="0" w:space="0" w:color="auto"/>
      </w:divBdr>
    </w:div>
    <w:div w:id="860898354">
      <w:bodyDiv w:val="1"/>
      <w:marLeft w:val="0"/>
      <w:marRight w:val="0"/>
      <w:marTop w:val="0"/>
      <w:marBottom w:val="0"/>
      <w:divBdr>
        <w:top w:val="none" w:sz="0" w:space="0" w:color="auto"/>
        <w:left w:val="none" w:sz="0" w:space="0" w:color="auto"/>
        <w:bottom w:val="none" w:sz="0" w:space="0" w:color="auto"/>
        <w:right w:val="none" w:sz="0" w:space="0" w:color="auto"/>
      </w:divBdr>
    </w:div>
    <w:div w:id="860901795">
      <w:bodyDiv w:val="1"/>
      <w:marLeft w:val="0"/>
      <w:marRight w:val="0"/>
      <w:marTop w:val="0"/>
      <w:marBottom w:val="0"/>
      <w:divBdr>
        <w:top w:val="none" w:sz="0" w:space="0" w:color="auto"/>
        <w:left w:val="none" w:sz="0" w:space="0" w:color="auto"/>
        <w:bottom w:val="none" w:sz="0" w:space="0" w:color="auto"/>
        <w:right w:val="none" w:sz="0" w:space="0" w:color="auto"/>
      </w:divBdr>
    </w:div>
    <w:div w:id="861018826">
      <w:bodyDiv w:val="1"/>
      <w:marLeft w:val="0"/>
      <w:marRight w:val="0"/>
      <w:marTop w:val="0"/>
      <w:marBottom w:val="0"/>
      <w:divBdr>
        <w:top w:val="none" w:sz="0" w:space="0" w:color="auto"/>
        <w:left w:val="none" w:sz="0" w:space="0" w:color="auto"/>
        <w:bottom w:val="none" w:sz="0" w:space="0" w:color="auto"/>
        <w:right w:val="none" w:sz="0" w:space="0" w:color="auto"/>
      </w:divBdr>
    </w:div>
    <w:div w:id="861092294">
      <w:bodyDiv w:val="1"/>
      <w:marLeft w:val="0"/>
      <w:marRight w:val="0"/>
      <w:marTop w:val="0"/>
      <w:marBottom w:val="0"/>
      <w:divBdr>
        <w:top w:val="none" w:sz="0" w:space="0" w:color="auto"/>
        <w:left w:val="none" w:sz="0" w:space="0" w:color="auto"/>
        <w:bottom w:val="none" w:sz="0" w:space="0" w:color="auto"/>
        <w:right w:val="none" w:sz="0" w:space="0" w:color="auto"/>
      </w:divBdr>
    </w:div>
    <w:div w:id="861358202">
      <w:bodyDiv w:val="1"/>
      <w:marLeft w:val="0"/>
      <w:marRight w:val="0"/>
      <w:marTop w:val="0"/>
      <w:marBottom w:val="0"/>
      <w:divBdr>
        <w:top w:val="none" w:sz="0" w:space="0" w:color="auto"/>
        <w:left w:val="none" w:sz="0" w:space="0" w:color="auto"/>
        <w:bottom w:val="none" w:sz="0" w:space="0" w:color="auto"/>
        <w:right w:val="none" w:sz="0" w:space="0" w:color="auto"/>
      </w:divBdr>
    </w:div>
    <w:div w:id="861548990">
      <w:bodyDiv w:val="1"/>
      <w:marLeft w:val="0"/>
      <w:marRight w:val="0"/>
      <w:marTop w:val="0"/>
      <w:marBottom w:val="0"/>
      <w:divBdr>
        <w:top w:val="none" w:sz="0" w:space="0" w:color="auto"/>
        <w:left w:val="none" w:sz="0" w:space="0" w:color="auto"/>
        <w:bottom w:val="none" w:sz="0" w:space="0" w:color="auto"/>
        <w:right w:val="none" w:sz="0" w:space="0" w:color="auto"/>
      </w:divBdr>
    </w:div>
    <w:div w:id="861745602">
      <w:bodyDiv w:val="1"/>
      <w:marLeft w:val="0"/>
      <w:marRight w:val="0"/>
      <w:marTop w:val="0"/>
      <w:marBottom w:val="0"/>
      <w:divBdr>
        <w:top w:val="none" w:sz="0" w:space="0" w:color="auto"/>
        <w:left w:val="none" w:sz="0" w:space="0" w:color="auto"/>
        <w:bottom w:val="none" w:sz="0" w:space="0" w:color="auto"/>
        <w:right w:val="none" w:sz="0" w:space="0" w:color="auto"/>
      </w:divBdr>
    </w:div>
    <w:div w:id="861822401">
      <w:bodyDiv w:val="1"/>
      <w:marLeft w:val="0"/>
      <w:marRight w:val="0"/>
      <w:marTop w:val="0"/>
      <w:marBottom w:val="0"/>
      <w:divBdr>
        <w:top w:val="none" w:sz="0" w:space="0" w:color="auto"/>
        <w:left w:val="none" w:sz="0" w:space="0" w:color="auto"/>
        <w:bottom w:val="none" w:sz="0" w:space="0" w:color="auto"/>
        <w:right w:val="none" w:sz="0" w:space="0" w:color="auto"/>
      </w:divBdr>
    </w:div>
    <w:div w:id="861938111">
      <w:bodyDiv w:val="1"/>
      <w:marLeft w:val="0"/>
      <w:marRight w:val="0"/>
      <w:marTop w:val="0"/>
      <w:marBottom w:val="0"/>
      <w:divBdr>
        <w:top w:val="none" w:sz="0" w:space="0" w:color="auto"/>
        <w:left w:val="none" w:sz="0" w:space="0" w:color="auto"/>
        <w:bottom w:val="none" w:sz="0" w:space="0" w:color="auto"/>
        <w:right w:val="none" w:sz="0" w:space="0" w:color="auto"/>
      </w:divBdr>
    </w:div>
    <w:div w:id="862015148">
      <w:bodyDiv w:val="1"/>
      <w:marLeft w:val="0"/>
      <w:marRight w:val="0"/>
      <w:marTop w:val="0"/>
      <w:marBottom w:val="0"/>
      <w:divBdr>
        <w:top w:val="none" w:sz="0" w:space="0" w:color="auto"/>
        <w:left w:val="none" w:sz="0" w:space="0" w:color="auto"/>
        <w:bottom w:val="none" w:sz="0" w:space="0" w:color="auto"/>
        <w:right w:val="none" w:sz="0" w:space="0" w:color="auto"/>
      </w:divBdr>
    </w:div>
    <w:div w:id="862288299">
      <w:bodyDiv w:val="1"/>
      <w:marLeft w:val="0"/>
      <w:marRight w:val="0"/>
      <w:marTop w:val="0"/>
      <w:marBottom w:val="0"/>
      <w:divBdr>
        <w:top w:val="none" w:sz="0" w:space="0" w:color="auto"/>
        <w:left w:val="none" w:sz="0" w:space="0" w:color="auto"/>
        <w:bottom w:val="none" w:sz="0" w:space="0" w:color="auto"/>
        <w:right w:val="none" w:sz="0" w:space="0" w:color="auto"/>
      </w:divBdr>
    </w:div>
    <w:div w:id="862477289">
      <w:bodyDiv w:val="1"/>
      <w:marLeft w:val="0"/>
      <w:marRight w:val="0"/>
      <w:marTop w:val="0"/>
      <w:marBottom w:val="0"/>
      <w:divBdr>
        <w:top w:val="none" w:sz="0" w:space="0" w:color="auto"/>
        <w:left w:val="none" w:sz="0" w:space="0" w:color="auto"/>
        <w:bottom w:val="none" w:sz="0" w:space="0" w:color="auto"/>
        <w:right w:val="none" w:sz="0" w:space="0" w:color="auto"/>
      </w:divBdr>
    </w:div>
    <w:div w:id="862477683">
      <w:bodyDiv w:val="1"/>
      <w:marLeft w:val="0"/>
      <w:marRight w:val="0"/>
      <w:marTop w:val="0"/>
      <w:marBottom w:val="0"/>
      <w:divBdr>
        <w:top w:val="none" w:sz="0" w:space="0" w:color="auto"/>
        <w:left w:val="none" w:sz="0" w:space="0" w:color="auto"/>
        <w:bottom w:val="none" w:sz="0" w:space="0" w:color="auto"/>
        <w:right w:val="none" w:sz="0" w:space="0" w:color="auto"/>
      </w:divBdr>
    </w:div>
    <w:div w:id="862671389">
      <w:bodyDiv w:val="1"/>
      <w:marLeft w:val="0"/>
      <w:marRight w:val="0"/>
      <w:marTop w:val="0"/>
      <w:marBottom w:val="0"/>
      <w:divBdr>
        <w:top w:val="none" w:sz="0" w:space="0" w:color="auto"/>
        <w:left w:val="none" w:sz="0" w:space="0" w:color="auto"/>
        <w:bottom w:val="none" w:sz="0" w:space="0" w:color="auto"/>
        <w:right w:val="none" w:sz="0" w:space="0" w:color="auto"/>
      </w:divBdr>
    </w:div>
    <w:div w:id="862742103">
      <w:bodyDiv w:val="1"/>
      <w:marLeft w:val="0"/>
      <w:marRight w:val="0"/>
      <w:marTop w:val="0"/>
      <w:marBottom w:val="0"/>
      <w:divBdr>
        <w:top w:val="none" w:sz="0" w:space="0" w:color="auto"/>
        <w:left w:val="none" w:sz="0" w:space="0" w:color="auto"/>
        <w:bottom w:val="none" w:sz="0" w:space="0" w:color="auto"/>
        <w:right w:val="none" w:sz="0" w:space="0" w:color="auto"/>
      </w:divBdr>
    </w:div>
    <w:div w:id="862743859">
      <w:bodyDiv w:val="1"/>
      <w:marLeft w:val="0"/>
      <w:marRight w:val="0"/>
      <w:marTop w:val="0"/>
      <w:marBottom w:val="0"/>
      <w:divBdr>
        <w:top w:val="none" w:sz="0" w:space="0" w:color="auto"/>
        <w:left w:val="none" w:sz="0" w:space="0" w:color="auto"/>
        <w:bottom w:val="none" w:sz="0" w:space="0" w:color="auto"/>
        <w:right w:val="none" w:sz="0" w:space="0" w:color="auto"/>
      </w:divBdr>
    </w:div>
    <w:div w:id="862790695">
      <w:bodyDiv w:val="1"/>
      <w:marLeft w:val="0"/>
      <w:marRight w:val="0"/>
      <w:marTop w:val="0"/>
      <w:marBottom w:val="0"/>
      <w:divBdr>
        <w:top w:val="none" w:sz="0" w:space="0" w:color="auto"/>
        <w:left w:val="none" w:sz="0" w:space="0" w:color="auto"/>
        <w:bottom w:val="none" w:sz="0" w:space="0" w:color="auto"/>
        <w:right w:val="none" w:sz="0" w:space="0" w:color="auto"/>
      </w:divBdr>
    </w:div>
    <w:div w:id="862936401">
      <w:bodyDiv w:val="1"/>
      <w:marLeft w:val="0"/>
      <w:marRight w:val="0"/>
      <w:marTop w:val="0"/>
      <w:marBottom w:val="0"/>
      <w:divBdr>
        <w:top w:val="none" w:sz="0" w:space="0" w:color="auto"/>
        <w:left w:val="none" w:sz="0" w:space="0" w:color="auto"/>
        <w:bottom w:val="none" w:sz="0" w:space="0" w:color="auto"/>
        <w:right w:val="none" w:sz="0" w:space="0" w:color="auto"/>
      </w:divBdr>
    </w:div>
    <w:div w:id="862943197">
      <w:bodyDiv w:val="1"/>
      <w:marLeft w:val="0"/>
      <w:marRight w:val="0"/>
      <w:marTop w:val="0"/>
      <w:marBottom w:val="0"/>
      <w:divBdr>
        <w:top w:val="none" w:sz="0" w:space="0" w:color="auto"/>
        <w:left w:val="none" w:sz="0" w:space="0" w:color="auto"/>
        <w:bottom w:val="none" w:sz="0" w:space="0" w:color="auto"/>
        <w:right w:val="none" w:sz="0" w:space="0" w:color="auto"/>
      </w:divBdr>
    </w:div>
    <w:div w:id="862978625">
      <w:bodyDiv w:val="1"/>
      <w:marLeft w:val="0"/>
      <w:marRight w:val="0"/>
      <w:marTop w:val="0"/>
      <w:marBottom w:val="0"/>
      <w:divBdr>
        <w:top w:val="none" w:sz="0" w:space="0" w:color="auto"/>
        <w:left w:val="none" w:sz="0" w:space="0" w:color="auto"/>
        <w:bottom w:val="none" w:sz="0" w:space="0" w:color="auto"/>
        <w:right w:val="none" w:sz="0" w:space="0" w:color="auto"/>
      </w:divBdr>
    </w:div>
    <w:div w:id="862985513">
      <w:bodyDiv w:val="1"/>
      <w:marLeft w:val="0"/>
      <w:marRight w:val="0"/>
      <w:marTop w:val="0"/>
      <w:marBottom w:val="0"/>
      <w:divBdr>
        <w:top w:val="none" w:sz="0" w:space="0" w:color="auto"/>
        <w:left w:val="none" w:sz="0" w:space="0" w:color="auto"/>
        <w:bottom w:val="none" w:sz="0" w:space="0" w:color="auto"/>
        <w:right w:val="none" w:sz="0" w:space="0" w:color="auto"/>
      </w:divBdr>
    </w:div>
    <w:div w:id="863053464">
      <w:bodyDiv w:val="1"/>
      <w:marLeft w:val="0"/>
      <w:marRight w:val="0"/>
      <w:marTop w:val="0"/>
      <w:marBottom w:val="0"/>
      <w:divBdr>
        <w:top w:val="none" w:sz="0" w:space="0" w:color="auto"/>
        <w:left w:val="none" w:sz="0" w:space="0" w:color="auto"/>
        <w:bottom w:val="none" w:sz="0" w:space="0" w:color="auto"/>
        <w:right w:val="none" w:sz="0" w:space="0" w:color="auto"/>
      </w:divBdr>
    </w:div>
    <w:div w:id="863059426">
      <w:bodyDiv w:val="1"/>
      <w:marLeft w:val="0"/>
      <w:marRight w:val="0"/>
      <w:marTop w:val="0"/>
      <w:marBottom w:val="0"/>
      <w:divBdr>
        <w:top w:val="none" w:sz="0" w:space="0" w:color="auto"/>
        <w:left w:val="none" w:sz="0" w:space="0" w:color="auto"/>
        <w:bottom w:val="none" w:sz="0" w:space="0" w:color="auto"/>
        <w:right w:val="none" w:sz="0" w:space="0" w:color="auto"/>
      </w:divBdr>
    </w:div>
    <w:div w:id="863249854">
      <w:bodyDiv w:val="1"/>
      <w:marLeft w:val="0"/>
      <w:marRight w:val="0"/>
      <w:marTop w:val="0"/>
      <w:marBottom w:val="0"/>
      <w:divBdr>
        <w:top w:val="none" w:sz="0" w:space="0" w:color="auto"/>
        <w:left w:val="none" w:sz="0" w:space="0" w:color="auto"/>
        <w:bottom w:val="none" w:sz="0" w:space="0" w:color="auto"/>
        <w:right w:val="none" w:sz="0" w:space="0" w:color="auto"/>
      </w:divBdr>
    </w:div>
    <w:div w:id="863251289">
      <w:bodyDiv w:val="1"/>
      <w:marLeft w:val="0"/>
      <w:marRight w:val="0"/>
      <w:marTop w:val="0"/>
      <w:marBottom w:val="0"/>
      <w:divBdr>
        <w:top w:val="none" w:sz="0" w:space="0" w:color="auto"/>
        <w:left w:val="none" w:sz="0" w:space="0" w:color="auto"/>
        <w:bottom w:val="none" w:sz="0" w:space="0" w:color="auto"/>
        <w:right w:val="none" w:sz="0" w:space="0" w:color="auto"/>
      </w:divBdr>
    </w:div>
    <w:div w:id="863324855">
      <w:bodyDiv w:val="1"/>
      <w:marLeft w:val="0"/>
      <w:marRight w:val="0"/>
      <w:marTop w:val="0"/>
      <w:marBottom w:val="0"/>
      <w:divBdr>
        <w:top w:val="none" w:sz="0" w:space="0" w:color="auto"/>
        <w:left w:val="none" w:sz="0" w:space="0" w:color="auto"/>
        <w:bottom w:val="none" w:sz="0" w:space="0" w:color="auto"/>
        <w:right w:val="none" w:sz="0" w:space="0" w:color="auto"/>
      </w:divBdr>
    </w:div>
    <w:div w:id="863400481">
      <w:bodyDiv w:val="1"/>
      <w:marLeft w:val="0"/>
      <w:marRight w:val="0"/>
      <w:marTop w:val="0"/>
      <w:marBottom w:val="0"/>
      <w:divBdr>
        <w:top w:val="none" w:sz="0" w:space="0" w:color="auto"/>
        <w:left w:val="none" w:sz="0" w:space="0" w:color="auto"/>
        <w:bottom w:val="none" w:sz="0" w:space="0" w:color="auto"/>
        <w:right w:val="none" w:sz="0" w:space="0" w:color="auto"/>
      </w:divBdr>
    </w:div>
    <w:div w:id="863403091">
      <w:bodyDiv w:val="1"/>
      <w:marLeft w:val="0"/>
      <w:marRight w:val="0"/>
      <w:marTop w:val="0"/>
      <w:marBottom w:val="0"/>
      <w:divBdr>
        <w:top w:val="none" w:sz="0" w:space="0" w:color="auto"/>
        <w:left w:val="none" w:sz="0" w:space="0" w:color="auto"/>
        <w:bottom w:val="none" w:sz="0" w:space="0" w:color="auto"/>
        <w:right w:val="none" w:sz="0" w:space="0" w:color="auto"/>
      </w:divBdr>
    </w:div>
    <w:div w:id="863403727">
      <w:bodyDiv w:val="1"/>
      <w:marLeft w:val="0"/>
      <w:marRight w:val="0"/>
      <w:marTop w:val="0"/>
      <w:marBottom w:val="0"/>
      <w:divBdr>
        <w:top w:val="none" w:sz="0" w:space="0" w:color="auto"/>
        <w:left w:val="none" w:sz="0" w:space="0" w:color="auto"/>
        <w:bottom w:val="none" w:sz="0" w:space="0" w:color="auto"/>
        <w:right w:val="none" w:sz="0" w:space="0" w:color="auto"/>
      </w:divBdr>
    </w:div>
    <w:div w:id="863442944">
      <w:bodyDiv w:val="1"/>
      <w:marLeft w:val="0"/>
      <w:marRight w:val="0"/>
      <w:marTop w:val="0"/>
      <w:marBottom w:val="0"/>
      <w:divBdr>
        <w:top w:val="none" w:sz="0" w:space="0" w:color="auto"/>
        <w:left w:val="none" w:sz="0" w:space="0" w:color="auto"/>
        <w:bottom w:val="none" w:sz="0" w:space="0" w:color="auto"/>
        <w:right w:val="none" w:sz="0" w:space="0" w:color="auto"/>
      </w:divBdr>
    </w:div>
    <w:div w:id="863664944">
      <w:bodyDiv w:val="1"/>
      <w:marLeft w:val="0"/>
      <w:marRight w:val="0"/>
      <w:marTop w:val="0"/>
      <w:marBottom w:val="0"/>
      <w:divBdr>
        <w:top w:val="none" w:sz="0" w:space="0" w:color="auto"/>
        <w:left w:val="none" w:sz="0" w:space="0" w:color="auto"/>
        <w:bottom w:val="none" w:sz="0" w:space="0" w:color="auto"/>
        <w:right w:val="none" w:sz="0" w:space="0" w:color="auto"/>
      </w:divBdr>
    </w:div>
    <w:div w:id="863790654">
      <w:bodyDiv w:val="1"/>
      <w:marLeft w:val="0"/>
      <w:marRight w:val="0"/>
      <w:marTop w:val="0"/>
      <w:marBottom w:val="0"/>
      <w:divBdr>
        <w:top w:val="none" w:sz="0" w:space="0" w:color="auto"/>
        <w:left w:val="none" w:sz="0" w:space="0" w:color="auto"/>
        <w:bottom w:val="none" w:sz="0" w:space="0" w:color="auto"/>
        <w:right w:val="none" w:sz="0" w:space="0" w:color="auto"/>
      </w:divBdr>
    </w:div>
    <w:div w:id="863862598">
      <w:bodyDiv w:val="1"/>
      <w:marLeft w:val="0"/>
      <w:marRight w:val="0"/>
      <w:marTop w:val="0"/>
      <w:marBottom w:val="0"/>
      <w:divBdr>
        <w:top w:val="none" w:sz="0" w:space="0" w:color="auto"/>
        <w:left w:val="none" w:sz="0" w:space="0" w:color="auto"/>
        <w:bottom w:val="none" w:sz="0" w:space="0" w:color="auto"/>
        <w:right w:val="none" w:sz="0" w:space="0" w:color="auto"/>
      </w:divBdr>
    </w:div>
    <w:div w:id="863907592">
      <w:bodyDiv w:val="1"/>
      <w:marLeft w:val="0"/>
      <w:marRight w:val="0"/>
      <w:marTop w:val="0"/>
      <w:marBottom w:val="0"/>
      <w:divBdr>
        <w:top w:val="none" w:sz="0" w:space="0" w:color="auto"/>
        <w:left w:val="none" w:sz="0" w:space="0" w:color="auto"/>
        <w:bottom w:val="none" w:sz="0" w:space="0" w:color="auto"/>
        <w:right w:val="none" w:sz="0" w:space="0" w:color="auto"/>
      </w:divBdr>
    </w:div>
    <w:div w:id="864172575">
      <w:bodyDiv w:val="1"/>
      <w:marLeft w:val="0"/>
      <w:marRight w:val="0"/>
      <w:marTop w:val="0"/>
      <w:marBottom w:val="0"/>
      <w:divBdr>
        <w:top w:val="none" w:sz="0" w:space="0" w:color="auto"/>
        <w:left w:val="none" w:sz="0" w:space="0" w:color="auto"/>
        <w:bottom w:val="none" w:sz="0" w:space="0" w:color="auto"/>
        <w:right w:val="none" w:sz="0" w:space="0" w:color="auto"/>
      </w:divBdr>
    </w:div>
    <w:div w:id="864174144">
      <w:bodyDiv w:val="1"/>
      <w:marLeft w:val="0"/>
      <w:marRight w:val="0"/>
      <w:marTop w:val="0"/>
      <w:marBottom w:val="0"/>
      <w:divBdr>
        <w:top w:val="none" w:sz="0" w:space="0" w:color="auto"/>
        <w:left w:val="none" w:sz="0" w:space="0" w:color="auto"/>
        <w:bottom w:val="none" w:sz="0" w:space="0" w:color="auto"/>
        <w:right w:val="none" w:sz="0" w:space="0" w:color="auto"/>
      </w:divBdr>
    </w:div>
    <w:div w:id="864247671">
      <w:bodyDiv w:val="1"/>
      <w:marLeft w:val="0"/>
      <w:marRight w:val="0"/>
      <w:marTop w:val="0"/>
      <w:marBottom w:val="0"/>
      <w:divBdr>
        <w:top w:val="none" w:sz="0" w:space="0" w:color="auto"/>
        <w:left w:val="none" w:sz="0" w:space="0" w:color="auto"/>
        <w:bottom w:val="none" w:sz="0" w:space="0" w:color="auto"/>
        <w:right w:val="none" w:sz="0" w:space="0" w:color="auto"/>
      </w:divBdr>
    </w:div>
    <w:div w:id="864294135">
      <w:bodyDiv w:val="1"/>
      <w:marLeft w:val="0"/>
      <w:marRight w:val="0"/>
      <w:marTop w:val="0"/>
      <w:marBottom w:val="0"/>
      <w:divBdr>
        <w:top w:val="none" w:sz="0" w:space="0" w:color="auto"/>
        <w:left w:val="none" w:sz="0" w:space="0" w:color="auto"/>
        <w:bottom w:val="none" w:sz="0" w:space="0" w:color="auto"/>
        <w:right w:val="none" w:sz="0" w:space="0" w:color="auto"/>
      </w:divBdr>
    </w:div>
    <w:div w:id="864447159">
      <w:bodyDiv w:val="1"/>
      <w:marLeft w:val="0"/>
      <w:marRight w:val="0"/>
      <w:marTop w:val="0"/>
      <w:marBottom w:val="0"/>
      <w:divBdr>
        <w:top w:val="none" w:sz="0" w:space="0" w:color="auto"/>
        <w:left w:val="none" w:sz="0" w:space="0" w:color="auto"/>
        <w:bottom w:val="none" w:sz="0" w:space="0" w:color="auto"/>
        <w:right w:val="none" w:sz="0" w:space="0" w:color="auto"/>
      </w:divBdr>
    </w:div>
    <w:div w:id="864489362">
      <w:bodyDiv w:val="1"/>
      <w:marLeft w:val="0"/>
      <w:marRight w:val="0"/>
      <w:marTop w:val="0"/>
      <w:marBottom w:val="0"/>
      <w:divBdr>
        <w:top w:val="none" w:sz="0" w:space="0" w:color="auto"/>
        <w:left w:val="none" w:sz="0" w:space="0" w:color="auto"/>
        <w:bottom w:val="none" w:sz="0" w:space="0" w:color="auto"/>
        <w:right w:val="none" w:sz="0" w:space="0" w:color="auto"/>
      </w:divBdr>
    </w:div>
    <w:div w:id="864635407">
      <w:bodyDiv w:val="1"/>
      <w:marLeft w:val="0"/>
      <w:marRight w:val="0"/>
      <w:marTop w:val="0"/>
      <w:marBottom w:val="0"/>
      <w:divBdr>
        <w:top w:val="none" w:sz="0" w:space="0" w:color="auto"/>
        <w:left w:val="none" w:sz="0" w:space="0" w:color="auto"/>
        <w:bottom w:val="none" w:sz="0" w:space="0" w:color="auto"/>
        <w:right w:val="none" w:sz="0" w:space="0" w:color="auto"/>
      </w:divBdr>
    </w:div>
    <w:div w:id="864751886">
      <w:bodyDiv w:val="1"/>
      <w:marLeft w:val="0"/>
      <w:marRight w:val="0"/>
      <w:marTop w:val="0"/>
      <w:marBottom w:val="0"/>
      <w:divBdr>
        <w:top w:val="none" w:sz="0" w:space="0" w:color="auto"/>
        <w:left w:val="none" w:sz="0" w:space="0" w:color="auto"/>
        <w:bottom w:val="none" w:sz="0" w:space="0" w:color="auto"/>
        <w:right w:val="none" w:sz="0" w:space="0" w:color="auto"/>
      </w:divBdr>
    </w:div>
    <w:div w:id="864755591">
      <w:bodyDiv w:val="1"/>
      <w:marLeft w:val="0"/>
      <w:marRight w:val="0"/>
      <w:marTop w:val="0"/>
      <w:marBottom w:val="0"/>
      <w:divBdr>
        <w:top w:val="none" w:sz="0" w:space="0" w:color="auto"/>
        <w:left w:val="none" w:sz="0" w:space="0" w:color="auto"/>
        <w:bottom w:val="none" w:sz="0" w:space="0" w:color="auto"/>
        <w:right w:val="none" w:sz="0" w:space="0" w:color="auto"/>
      </w:divBdr>
    </w:div>
    <w:div w:id="864903456">
      <w:bodyDiv w:val="1"/>
      <w:marLeft w:val="0"/>
      <w:marRight w:val="0"/>
      <w:marTop w:val="0"/>
      <w:marBottom w:val="0"/>
      <w:divBdr>
        <w:top w:val="none" w:sz="0" w:space="0" w:color="auto"/>
        <w:left w:val="none" w:sz="0" w:space="0" w:color="auto"/>
        <w:bottom w:val="none" w:sz="0" w:space="0" w:color="auto"/>
        <w:right w:val="none" w:sz="0" w:space="0" w:color="auto"/>
      </w:divBdr>
    </w:div>
    <w:div w:id="864906018">
      <w:bodyDiv w:val="1"/>
      <w:marLeft w:val="0"/>
      <w:marRight w:val="0"/>
      <w:marTop w:val="0"/>
      <w:marBottom w:val="0"/>
      <w:divBdr>
        <w:top w:val="none" w:sz="0" w:space="0" w:color="auto"/>
        <w:left w:val="none" w:sz="0" w:space="0" w:color="auto"/>
        <w:bottom w:val="none" w:sz="0" w:space="0" w:color="auto"/>
        <w:right w:val="none" w:sz="0" w:space="0" w:color="auto"/>
      </w:divBdr>
    </w:div>
    <w:div w:id="865021805">
      <w:bodyDiv w:val="1"/>
      <w:marLeft w:val="0"/>
      <w:marRight w:val="0"/>
      <w:marTop w:val="0"/>
      <w:marBottom w:val="0"/>
      <w:divBdr>
        <w:top w:val="none" w:sz="0" w:space="0" w:color="auto"/>
        <w:left w:val="none" w:sz="0" w:space="0" w:color="auto"/>
        <w:bottom w:val="none" w:sz="0" w:space="0" w:color="auto"/>
        <w:right w:val="none" w:sz="0" w:space="0" w:color="auto"/>
      </w:divBdr>
    </w:div>
    <w:div w:id="865022201">
      <w:bodyDiv w:val="1"/>
      <w:marLeft w:val="0"/>
      <w:marRight w:val="0"/>
      <w:marTop w:val="0"/>
      <w:marBottom w:val="0"/>
      <w:divBdr>
        <w:top w:val="none" w:sz="0" w:space="0" w:color="auto"/>
        <w:left w:val="none" w:sz="0" w:space="0" w:color="auto"/>
        <w:bottom w:val="none" w:sz="0" w:space="0" w:color="auto"/>
        <w:right w:val="none" w:sz="0" w:space="0" w:color="auto"/>
      </w:divBdr>
    </w:div>
    <w:div w:id="865095259">
      <w:bodyDiv w:val="1"/>
      <w:marLeft w:val="0"/>
      <w:marRight w:val="0"/>
      <w:marTop w:val="0"/>
      <w:marBottom w:val="0"/>
      <w:divBdr>
        <w:top w:val="none" w:sz="0" w:space="0" w:color="auto"/>
        <w:left w:val="none" w:sz="0" w:space="0" w:color="auto"/>
        <w:bottom w:val="none" w:sz="0" w:space="0" w:color="auto"/>
        <w:right w:val="none" w:sz="0" w:space="0" w:color="auto"/>
      </w:divBdr>
    </w:div>
    <w:div w:id="865145262">
      <w:bodyDiv w:val="1"/>
      <w:marLeft w:val="0"/>
      <w:marRight w:val="0"/>
      <w:marTop w:val="0"/>
      <w:marBottom w:val="0"/>
      <w:divBdr>
        <w:top w:val="none" w:sz="0" w:space="0" w:color="auto"/>
        <w:left w:val="none" w:sz="0" w:space="0" w:color="auto"/>
        <w:bottom w:val="none" w:sz="0" w:space="0" w:color="auto"/>
        <w:right w:val="none" w:sz="0" w:space="0" w:color="auto"/>
      </w:divBdr>
    </w:div>
    <w:div w:id="865171580">
      <w:bodyDiv w:val="1"/>
      <w:marLeft w:val="0"/>
      <w:marRight w:val="0"/>
      <w:marTop w:val="0"/>
      <w:marBottom w:val="0"/>
      <w:divBdr>
        <w:top w:val="none" w:sz="0" w:space="0" w:color="auto"/>
        <w:left w:val="none" w:sz="0" w:space="0" w:color="auto"/>
        <w:bottom w:val="none" w:sz="0" w:space="0" w:color="auto"/>
        <w:right w:val="none" w:sz="0" w:space="0" w:color="auto"/>
      </w:divBdr>
    </w:div>
    <w:div w:id="865220670">
      <w:bodyDiv w:val="1"/>
      <w:marLeft w:val="0"/>
      <w:marRight w:val="0"/>
      <w:marTop w:val="0"/>
      <w:marBottom w:val="0"/>
      <w:divBdr>
        <w:top w:val="none" w:sz="0" w:space="0" w:color="auto"/>
        <w:left w:val="none" w:sz="0" w:space="0" w:color="auto"/>
        <w:bottom w:val="none" w:sz="0" w:space="0" w:color="auto"/>
        <w:right w:val="none" w:sz="0" w:space="0" w:color="auto"/>
      </w:divBdr>
    </w:div>
    <w:div w:id="865292631">
      <w:bodyDiv w:val="1"/>
      <w:marLeft w:val="0"/>
      <w:marRight w:val="0"/>
      <w:marTop w:val="0"/>
      <w:marBottom w:val="0"/>
      <w:divBdr>
        <w:top w:val="none" w:sz="0" w:space="0" w:color="auto"/>
        <w:left w:val="none" w:sz="0" w:space="0" w:color="auto"/>
        <w:bottom w:val="none" w:sz="0" w:space="0" w:color="auto"/>
        <w:right w:val="none" w:sz="0" w:space="0" w:color="auto"/>
      </w:divBdr>
    </w:div>
    <w:div w:id="865368196">
      <w:bodyDiv w:val="1"/>
      <w:marLeft w:val="0"/>
      <w:marRight w:val="0"/>
      <w:marTop w:val="0"/>
      <w:marBottom w:val="0"/>
      <w:divBdr>
        <w:top w:val="none" w:sz="0" w:space="0" w:color="auto"/>
        <w:left w:val="none" w:sz="0" w:space="0" w:color="auto"/>
        <w:bottom w:val="none" w:sz="0" w:space="0" w:color="auto"/>
        <w:right w:val="none" w:sz="0" w:space="0" w:color="auto"/>
      </w:divBdr>
    </w:div>
    <w:div w:id="865488514">
      <w:bodyDiv w:val="1"/>
      <w:marLeft w:val="0"/>
      <w:marRight w:val="0"/>
      <w:marTop w:val="0"/>
      <w:marBottom w:val="0"/>
      <w:divBdr>
        <w:top w:val="none" w:sz="0" w:space="0" w:color="auto"/>
        <w:left w:val="none" w:sz="0" w:space="0" w:color="auto"/>
        <w:bottom w:val="none" w:sz="0" w:space="0" w:color="auto"/>
        <w:right w:val="none" w:sz="0" w:space="0" w:color="auto"/>
      </w:divBdr>
    </w:div>
    <w:div w:id="865562072">
      <w:bodyDiv w:val="1"/>
      <w:marLeft w:val="0"/>
      <w:marRight w:val="0"/>
      <w:marTop w:val="0"/>
      <w:marBottom w:val="0"/>
      <w:divBdr>
        <w:top w:val="none" w:sz="0" w:space="0" w:color="auto"/>
        <w:left w:val="none" w:sz="0" w:space="0" w:color="auto"/>
        <w:bottom w:val="none" w:sz="0" w:space="0" w:color="auto"/>
        <w:right w:val="none" w:sz="0" w:space="0" w:color="auto"/>
      </w:divBdr>
    </w:div>
    <w:div w:id="865607342">
      <w:bodyDiv w:val="1"/>
      <w:marLeft w:val="0"/>
      <w:marRight w:val="0"/>
      <w:marTop w:val="0"/>
      <w:marBottom w:val="0"/>
      <w:divBdr>
        <w:top w:val="none" w:sz="0" w:space="0" w:color="auto"/>
        <w:left w:val="none" w:sz="0" w:space="0" w:color="auto"/>
        <w:bottom w:val="none" w:sz="0" w:space="0" w:color="auto"/>
        <w:right w:val="none" w:sz="0" w:space="0" w:color="auto"/>
      </w:divBdr>
    </w:div>
    <w:div w:id="865682756">
      <w:bodyDiv w:val="1"/>
      <w:marLeft w:val="0"/>
      <w:marRight w:val="0"/>
      <w:marTop w:val="0"/>
      <w:marBottom w:val="0"/>
      <w:divBdr>
        <w:top w:val="none" w:sz="0" w:space="0" w:color="auto"/>
        <w:left w:val="none" w:sz="0" w:space="0" w:color="auto"/>
        <w:bottom w:val="none" w:sz="0" w:space="0" w:color="auto"/>
        <w:right w:val="none" w:sz="0" w:space="0" w:color="auto"/>
      </w:divBdr>
    </w:div>
    <w:div w:id="865753994">
      <w:bodyDiv w:val="1"/>
      <w:marLeft w:val="0"/>
      <w:marRight w:val="0"/>
      <w:marTop w:val="0"/>
      <w:marBottom w:val="0"/>
      <w:divBdr>
        <w:top w:val="none" w:sz="0" w:space="0" w:color="auto"/>
        <w:left w:val="none" w:sz="0" w:space="0" w:color="auto"/>
        <w:bottom w:val="none" w:sz="0" w:space="0" w:color="auto"/>
        <w:right w:val="none" w:sz="0" w:space="0" w:color="auto"/>
      </w:divBdr>
    </w:div>
    <w:div w:id="865756342">
      <w:bodyDiv w:val="1"/>
      <w:marLeft w:val="0"/>
      <w:marRight w:val="0"/>
      <w:marTop w:val="0"/>
      <w:marBottom w:val="0"/>
      <w:divBdr>
        <w:top w:val="none" w:sz="0" w:space="0" w:color="auto"/>
        <w:left w:val="none" w:sz="0" w:space="0" w:color="auto"/>
        <w:bottom w:val="none" w:sz="0" w:space="0" w:color="auto"/>
        <w:right w:val="none" w:sz="0" w:space="0" w:color="auto"/>
      </w:divBdr>
    </w:div>
    <w:div w:id="865798521">
      <w:bodyDiv w:val="1"/>
      <w:marLeft w:val="0"/>
      <w:marRight w:val="0"/>
      <w:marTop w:val="0"/>
      <w:marBottom w:val="0"/>
      <w:divBdr>
        <w:top w:val="none" w:sz="0" w:space="0" w:color="auto"/>
        <w:left w:val="none" w:sz="0" w:space="0" w:color="auto"/>
        <w:bottom w:val="none" w:sz="0" w:space="0" w:color="auto"/>
        <w:right w:val="none" w:sz="0" w:space="0" w:color="auto"/>
      </w:divBdr>
    </w:div>
    <w:div w:id="866018365">
      <w:bodyDiv w:val="1"/>
      <w:marLeft w:val="0"/>
      <w:marRight w:val="0"/>
      <w:marTop w:val="0"/>
      <w:marBottom w:val="0"/>
      <w:divBdr>
        <w:top w:val="none" w:sz="0" w:space="0" w:color="auto"/>
        <w:left w:val="none" w:sz="0" w:space="0" w:color="auto"/>
        <w:bottom w:val="none" w:sz="0" w:space="0" w:color="auto"/>
        <w:right w:val="none" w:sz="0" w:space="0" w:color="auto"/>
      </w:divBdr>
    </w:div>
    <w:div w:id="866020134">
      <w:bodyDiv w:val="1"/>
      <w:marLeft w:val="0"/>
      <w:marRight w:val="0"/>
      <w:marTop w:val="0"/>
      <w:marBottom w:val="0"/>
      <w:divBdr>
        <w:top w:val="none" w:sz="0" w:space="0" w:color="auto"/>
        <w:left w:val="none" w:sz="0" w:space="0" w:color="auto"/>
        <w:bottom w:val="none" w:sz="0" w:space="0" w:color="auto"/>
        <w:right w:val="none" w:sz="0" w:space="0" w:color="auto"/>
      </w:divBdr>
    </w:div>
    <w:div w:id="866021919">
      <w:bodyDiv w:val="1"/>
      <w:marLeft w:val="0"/>
      <w:marRight w:val="0"/>
      <w:marTop w:val="0"/>
      <w:marBottom w:val="0"/>
      <w:divBdr>
        <w:top w:val="none" w:sz="0" w:space="0" w:color="auto"/>
        <w:left w:val="none" w:sz="0" w:space="0" w:color="auto"/>
        <w:bottom w:val="none" w:sz="0" w:space="0" w:color="auto"/>
        <w:right w:val="none" w:sz="0" w:space="0" w:color="auto"/>
      </w:divBdr>
    </w:div>
    <w:div w:id="866068006">
      <w:bodyDiv w:val="1"/>
      <w:marLeft w:val="0"/>
      <w:marRight w:val="0"/>
      <w:marTop w:val="0"/>
      <w:marBottom w:val="0"/>
      <w:divBdr>
        <w:top w:val="none" w:sz="0" w:space="0" w:color="auto"/>
        <w:left w:val="none" w:sz="0" w:space="0" w:color="auto"/>
        <w:bottom w:val="none" w:sz="0" w:space="0" w:color="auto"/>
        <w:right w:val="none" w:sz="0" w:space="0" w:color="auto"/>
      </w:divBdr>
    </w:div>
    <w:div w:id="866137817">
      <w:bodyDiv w:val="1"/>
      <w:marLeft w:val="0"/>
      <w:marRight w:val="0"/>
      <w:marTop w:val="0"/>
      <w:marBottom w:val="0"/>
      <w:divBdr>
        <w:top w:val="none" w:sz="0" w:space="0" w:color="auto"/>
        <w:left w:val="none" w:sz="0" w:space="0" w:color="auto"/>
        <w:bottom w:val="none" w:sz="0" w:space="0" w:color="auto"/>
        <w:right w:val="none" w:sz="0" w:space="0" w:color="auto"/>
      </w:divBdr>
    </w:div>
    <w:div w:id="866139512">
      <w:bodyDiv w:val="1"/>
      <w:marLeft w:val="0"/>
      <w:marRight w:val="0"/>
      <w:marTop w:val="0"/>
      <w:marBottom w:val="0"/>
      <w:divBdr>
        <w:top w:val="none" w:sz="0" w:space="0" w:color="auto"/>
        <w:left w:val="none" w:sz="0" w:space="0" w:color="auto"/>
        <w:bottom w:val="none" w:sz="0" w:space="0" w:color="auto"/>
        <w:right w:val="none" w:sz="0" w:space="0" w:color="auto"/>
      </w:divBdr>
    </w:div>
    <w:div w:id="866142953">
      <w:bodyDiv w:val="1"/>
      <w:marLeft w:val="0"/>
      <w:marRight w:val="0"/>
      <w:marTop w:val="0"/>
      <w:marBottom w:val="0"/>
      <w:divBdr>
        <w:top w:val="none" w:sz="0" w:space="0" w:color="auto"/>
        <w:left w:val="none" w:sz="0" w:space="0" w:color="auto"/>
        <w:bottom w:val="none" w:sz="0" w:space="0" w:color="auto"/>
        <w:right w:val="none" w:sz="0" w:space="0" w:color="auto"/>
      </w:divBdr>
    </w:div>
    <w:div w:id="866255009">
      <w:bodyDiv w:val="1"/>
      <w:marLeft w:val="0"/>
      <w:marRight w:val="0"/>
      <w:marTop w:val="0"/>
      <w:marBottom w:val="0"/>
      <w:divBdr>
        <w:top w:val="none" w:sz="0" w:space="0" w:color="auto"/>
        <w:left w:val="none" w:sz="0" w:space="0" w:color="auto"/>
        <w:bottom w:val="none" w:sz="0" w:space="0" w:color="auto"/>
        <w:right w:val="none" w:sz="0" w:space="0" w:color="auto"/>
      </w:divBdr>
    </w:div>
    <w:div w:id="866258283">
      <w:bodyDiv w:val="1"/>
      <w:marLeft w:val="0"/>
      <w:marRight w:val="0"/>
      <w:marTop w:val="0"/>
      <w:marBottom w:val="0"/>
      <w:divBdr>
        <w:top w:val="none" w:sz="0" w:space="0" w:color="auto"/>
        <w:left w:val="none" w:sz="0" w:space="0" w:color="auto"/>
        <w:bottom w:val="none" w:sz="0" w:space="0" w:color="auto"/>
        <w:right w:val="none" w:sz="0" w:space="0" w:color="auto"/>
      </w:divBdr>
    </w:div>
    <w:div w:id="866286833">
      <w:bodyDiv w:val="1"/>
      <w:marLeft w:val="0"/>
      <w:marRight w:val="0"/>
      <w:marTop w:val="0"/>
      <w:marBottom w:val="0"/>
      <w:divBdr>
        <w:top w:val="none" w:sz="0" w:space="0" w:color="auto"/>
        <w:left w:val="none" w:sz="0" w:space="0" w:color="auto"/>
        <w:bottom w:val="none" w:sz="0" w:space="0" w:color="auto"/>
        <w:right w:val="none" w:sz="0" w:space="0" w:color="auto"/>
      </w:divBdr>
    </w:div>
    <w:div w:id="866452145">
      <w:bodyDiv w:val="1"/>
      <w:marLeft w:val="0"/>
      <w:marRight w:val="0"/>
      <w:marTop w:val="0"/>
      <w:marBottom w:val="0"/>
      <w:divBdr>
        <w:top w:val="none" w:sz="0" w:space="0" w:color="auto"/>
        <w:left w:val="none" w:sz="0" w:space="0" w:color="auto"/>
        <w:bottom w:val="none" w:sz="0" w:space="0" w:color="auto"/>
        <w:right w:val="none" w:sz="0" w:space="0" w:color="auto"/>
      </w:divBdr>
    </w:div>
    <w:div w:id="866479350">
      <w:bodyDiv w:val="1"/>
      <w:marLeft w:val="0"/>
      <w:marRight w:val="0"/>
      <w:marTop w:val="0"/>
      <w:marBottom w:val="0"/>
      <w:divBdr>
        <w:top w:val="none" w:sz="0" w:space="0" w:color="auto"/>
        <w:left w:val="none" w:sz="0" w:space="0" w:color="auto"/>
        <w:bottom w:val="none" w:sz="0" w:space="0" w:color="auto"/>
        <w:right w:val="none" w:sz="0" w:space="0" w:color="auto"/>
      </w:divBdr>
    </w:div>
    <w:div w:id="866482240">
      <w:bodyDiv w:val="1"/>
      <w:marLeft w:val="0"/>
      <w:marRight w:val="0"/>
      <w:marTop w:val="0"/>
      <w:marBottom w:val="0"/>
      <w:divBdr>
        <w:top w:val="none" w:sz="0" w:space="0" w:color="auto"/>
        <w:left w:val="none" w:sz="0" w:space="0" w:color="auto"/>
        <w:bottom w:val="none" w:sz="0" w:space="0" w:color="auto"/>
        <w:right w:val="none" w:sz="0" w:space="0" w:color="auto"/>
      </w:divBdr>
    </w:div>
    <w:div w:id="866482733">
      <w:bodyDiv w:val="1"/>
      <w:marLeft w:val="0"/>
      <w:marRight w:val="0"/>
      <w:marTop w:val="0"/>
      <w:marBottom w:val="0"/>
      <w:divBdr>
        <w:top w:val="none" w:sz="0" w:space="0" w:color="auto"/>
        <w:left w:val="none" w:sz="0" w:space="0" w:color="auto"/>
        <w:bottom w:val="none" w:sz="0" w:space="0" w:color="auto"/>
        <w:right w:val="none" w:sz="0" w:space="0" w:color="auto"/>
      </w:divBdr>
    </w:div>
    <w:div w:id="866524566">
      <w:bodyDiv w:val="1"/>
      <w:marLeft w:val="0"/>
      <w:marRight w:val="0"/>
      <w:marTop w:val="0"/>
      <w:marBottom w:val="0"/>
      <w:divBdr>
        <w:top w:val="none" w:sz="0" w:space="0" w:color="auto"/>
        <w:left w:val="none" w:sz="0" w:space="0" w:color="auto"/>
        <w:bottom w:val="none" w:sz="0" w:space="0" w:color="auto"/>
        <w:right w:val="none" w:sz="0" w:space="0" w:color="auto"/>
      </w:divBdr>
    </w:div>
    <w:div w:id="866599195">
      <w:bodyDiv w:val="1"/>
      <w:marLeft w:val="0"/>
      <w:marRight w:val="0"/>
      <w:marTop w:val="0"/>
      <w:marBottom w:val="0"/>
      <w:divBdr>
        <w:top w:val="none" w:sz="0" w:space="0" w:color="auto"/>
        <w:left w:val="none" w:sz="0" w:space="0" w:color="auto"/>
        <w:bottom w:val="none" w:sz="0" w:space="0" w:color="auto"/>
        <w:right w:val="none" w:sz="0" w:space="0" w:color="auto"/>
      </w:divBdr>
    </w:div>
    <w:div w:id="866603472">
      <w:bodyDiv w:val="1"/>
      <w:marLeft w:val="0"/>
      <w:marRight w:val="0"/>
      <w:marTop w:val="0"/>
      <w:marBottom w:val="0"/>
      <w:divBdr>
        <w:top w:val="none" w:sz="0" w:space="0" w:color="auto"/>
        <w:left w:val="none" w:sz="0" w:space="0" w:color="auto"/>
        <w:bottom w:val="none" w:sz="0" w:space="0" w:color="auto"/>
        <w:right w:val="none" w:sz="0" w:space="0" w:color="auto"/>
      </w:divBdr>
    </w:div>
    <w:div w:id="866679183">
      <w:bodyDiv w:val="1"/>
      <w:marLeft w:val="0"/>
      <w:marRight w:val="0"/>
      <w:marTop w:val="0"/>
      <w:marBottom w:val="0"/>
      <w:divBdr>
        <w:top w:val="none" w:sz="0" w:space="0" w:color="auto"/>
        <w:left w:val="none" w:sz="0" w:space="0" w:color="auto"/>
        <w:bottom w:val="none" w:sz="0" w:space="0" w:color="auto"/>
        <w:right w:val="none" w:sz="0" w:space="0" w:color="auto"/>
      </w:divBdr>
    </w:div>
    <w:div w:id="866718514">
      <w:bodyDiv w:val="1"/>
      <w:marLeft w:val="0"/>
      <w:marRight w:val="0"/>
      <w:marTop w:val="0"/>
      <w:marBottom w:val="0"/>
      <w:divBdr>
        <w:top w:val="none" w:sz="0" w:space="0" w:color="auto"/>
        <w:left w:val="none" w:sz="0" w:space="0" w:color="auto"/>
        <w:bottom w:val="none" w:sz="0" w:space="0" w:color="auto"/>
        <w:right w:val="none" w:sz="0" w:space="0" w:color="auto"/>
      </w:divBdr>
    </w:div>
    <w:div w:id="866793653">
      <w:bodyDiv w:val="1"/>
      <w:marLeft w:val="0"/>
      <w:marRight w:val="0"/>
      <w:marTop w:val="0"/>
      <w:marBottom w:val="0"/>
      <w:divBdr>
        <w:top w:val="none" w:sz="0" w:space="0" w:color="auto"/>
        <w:left w:val="none" w:sz="0" w:space="0" w:color="auto"/>
        <w:bottom w:val="none" w:sz="0" w:space="0" w:color="auto"/>
        <w:right w:val="none" w:sz="0" w:space="0" w:color="auto"/>
      </w:divBdr>
    </w:div>
    <w:div w:id="866797792">
      <w:bodyDiv w:val="1"/>
      <w:marLeft w:val="0"/>
      <w:marRight w:val="0"/>
      <w:marTop w:val="0"/>
      <w:marBottom w:val="0"/>
      <w:divBdr>
        <w:top w:val="none" w:sz="0" w:space="0" w:color="auto"/>
        <w:left w:val="none" w:sz="0" w:space="0" w:color="auto"/>
        <w:bottom w:val="none" w:sz="0" w:space="0" w:color="auto"/>
        <w:right w:val="none" w:sz="0" w:space="0" w:color="auto"/>
      </w:divBdr>
    </w:div>
    <w:div w:id="866871895">
      <w:bodyDiv w:val="1"/>
      <w:marLeft w:val="0"/>
      <w:marRight w:val="0"/>
      <w:marTop w:val="0"/>
      <w:marBottom w:val="0"/>
      <w:divBdr>
        <w:top w:val="none" w:sz="0" w:space="0" w:color="auto"/>
        <w:left w:val="none" w:sz="0" w:space="0" w:color="auto"/>
        <w:bottom w:val="none" w:sz="0" w:space="0" w:color="auto"/>
        <w:right w:val="none" w:sz="0" w:space="0" w:color="auto"/>
      </w:divBdr>
    </w:div>
    <w:div w:id="867061888">
      <w:bodyDiv w:val="1"/>
      <w:marLeft w:val="0"/>
      <w:marRight w:val="0"/>
      <w:marTop w:val="0"/>
      <w:marBottom w:val="0"/>
      <w:divBdr>
        <w:top w:val="none" w:sz="0" w:space="0" w:color="auto"/>
        <w:left w:val="none" w:sz="0" w:space="0" w:color="auto"/>
        <w:bottom w:val="none" w:sz="0" w:space="0" w:color="auto"/>
        <w:right w:val="none" w:sz="0" w:space="0" w:color="auto"/>
      </w:divBdr>
    </w:div>
    <w:div w:id="867063832">
      <w:bodyDiv w:val="1"/>
      <w:marLeft w:val="0"/>
      <w:marRight w:val="0"/>
      <w:marTop w:val="0"/>
      <w:marBottom w:val="0"/>
      <w:divBdr>
        <w:top w:val="none" w:sz="0" w:space="0" w:color="auto"/>
        <w:left w:val="none" w:sz="0" w:space="0" w:color="auto"/>
        <w:bottom w:val="none" w:sz="0" w:space="0" w:color="auto"/>
        <w:right w:val="none" w:sz="0" w:space="0" w:color="auto"/>
      </w:divBdr>
    </w:div>
    <w:div w:id="867065570">
      <w:bodyDiv w:val="1"/>
      <w:marLeft w:val="0"/>
      <w:marRight w:val="0"/>
      <w:marTop w:val="0"/>
      <w:marBottom w:val="0"/>
      <w:divBdr>
        <w:top w:val="none" w:sz="0" w:space="0" w:color="auto"/>
        <w:left w:val="none" w:sz="0" w:space="0" w:color="auto"/>
        <w:bottom w:val="none" w:sz="0" w:space="0" w:color="auto"/>
        <w:right w:val="none" w:sz="0" w:space="0" w:color="auto"/>
      </w:divBdr>
    </w:div>
    <w:div w:id="867255756">
      <w:bodyDiv w:val="1"/>
      <w:marLeft w:val="0"/>
      <w:marRight w:val="0"/>
      <w:marTop w:val="0"/>
      <w:marBottom w:val="0"/>
      <w:divBdr>
        <w:top w:val="none" w:sz="0" w:space="0" w:color="auto"/>
        <w:left w:val="none" w:sz="0" w:space="0" w:color="auto"/>
        <w:bottom w:val="none" w:sz="0" w:space="0" w:color="auto"/>
        <w:right w:val="none" w:sz="0" w:space="0" w:color="auto"/>
      </w:divBdr>
    </w:div>
    <w:div w:id="867256748">
      <w:bodyDiv w:val="1"/>
      <w:marLeft w:val="0"/>
      <w:marRight w:val="0"/>
      <w:marTop w:val="0"/>
      <w:marBottom w:val="0"/>
      <w:divBdr>
        <w:top w:val="none" w:sz="0" w:space="0" w:color="auto"/>
        <w:left w:val="none" w:sz="0" w:space="0" w:color="auto"/>
        <w:bottom w:val="none" w:sz="0" w:space="0" w:color="auto"/>
        <w:right w:val="none" w:sz="0" w:space="0" w:color="auto"/>
      </w:divBdr>
    </w:div>
    <w:div w:id="867258128">
      <w:bodyDiv w:val="1"/>
      <w:marLeft w:val="0"/>
      <w:marRight w:val="0"/>
      <w:marTop w:val="0"/>
      <w:marBottom w:val="0"/>
      <w:divBdr>
        <w:top w:val="none" w:sz="0" w:space="0" w:color="auto"/>
        <w:left w:val="none" w:sz="0" w:space="0" w:color="auto"/>
        <w:bottom w:val="none" w:sz="0" w:space="0" w:color="auto"/>
        <w:right w:val="none" w:sz="0" w:space="0" w:color="auto"/>
      </w:divBdr>
    </w:div>
    <w:div w:id="867329426">
      <w:bodyDiv w:val="1"/>
      <w:marLeft w:val="0"/>
      <w:marRight w:val="0"/>
      <w:marTop w:val="0"/>
      <w:marBottom w:val="0"/>
      <w:divBdr>
        <w:top w:val="none" w:sz="0" w:space="0" w:color="auto"/>
        <w:left w:val="none" w:sz="0" w:space="0" w:color="auto"/>
        <w:bottom w:val="none" w:sz="0" w:space="0" w:color="auto"/>
        <w:right w:val="none" w:sz="0" w:space="0" w:color="auto"/>
      </w:divBdr>
    </w:div>
    <w:div w:id="867329701">
      <w:bodyDiv w:val="1"/>
      <w:marLeft w:val="0"/>
      <w:marRight w:val="0"/>
      <w:marTop w:val="0"/>
      <w:marBottom w:val="0"/>
      <w:divBdr>
        <w:top w:val="none" w:sz="0" w:space="0" w:color="auto"/>
        <w:left w:val="none" w:sz="0" w:space="0" w:color="auto"/>
        <w:bottom w:val="none" w:sz="0" w:space="0" w:color="auto"/>
        <w:right w:val="none" w:sz="0" w:space="0" w:color="auto"/>
      </w:divBdr>
    </w:div>
    <w:div w:id="867450767">
      <w:bodyDiv w:val="1"/>
      <w:marLeft w:val="0"/>
      <w:marRight w:val="0"/>
      <w:marTop w:val="0"/>
      <w:marBottom w:val="0"/>
      <w:divBdr>
        <w:top w:val="none" w:sz="0" w:space="0" w:color="auto"/>
        <w:left w:val="none" w:sz="0" w:space="0" w:color="auto"/>
        <w:bottom w:val="none" w:sz="0" w:space="0" w:color="auto"/>
        <w:right w:val="none" w:sz="0" w:space="0" w:color="auto"/>
      </w:divBdr>
    </w:div>
    <w:div w:id="867523050">
      <w:bodyDiv w:val="1"/>
      <w:marLeft w:val="0"/>
      <w:marRight w:val="0"/>
      <w:marTop w:val="0"/>
      <w:marBottom w:val="0"/>
      <w:divBdr>
        <w:top w:val="none" w:sz="0" w:space="0" w:color="auto"/>
        <w:left w:val="none" w:sz="0" w:space="0" w:color="auto"/>
        <w:bottom w:val="none" w:sz="0" w:space="0" w:color="auto"/>
        <w:right w:val="none" w:sz="0" w:space="0" w:color="auto"/>
      </w:divBdr>
    </w:div>
    <w:div w:id="867527373">
      <w:bodyDiv w:val="1"/>
      <w:marLeft w:val="0"/>
      <w:marRight w:val="0"/>
      <w:marTop w:val="0"/>
      <w:marBottom w:val="0"/>
      <w:divBdr>
        <w:top w:val="none" w:sz="0" w:space="0" w:color="auto"/>
        <w:left w:val="none" w:sz="0" w:space="0" w:color="auto"/>
        <w:bottom w:val="none" w:sz="0" w:space="0" w:color="auto"/>
        <w:right w:val="none" w:sz="0" w:space="0" w:color="auto"/>
      </w:divBdr>
    </w:div>
    <w:div w:id="867570303">
      <w:bodyDiv w:val="1"/>
      <w:marLeft w:val="0"/>
      <w:marRight w:val="0"/>
      <w:marTop w:val="0"/>
      <w:marBottom w:val="0"/>
      <w:divBdr>
        <w:top w:val="none" w:sz="0" w:space="0" w:color="auto"/>
        <w:left w:val="none" w:sz="0" w:space="0" w:color="auto"/>
        <w:bottom w:val="none" w:sz="0" w:space="0" w:color="auto"/>
        <w:right w:val="none" w:sz="0" w:space="0" w:color="auto"/>
      </w:divBdr>
    </w:div>
    <w:div w:id="867596806">
      <w:bodyDiv w:val="1"/>
      <w:marLeft w:val="0"/>
      <w:marRight w:val="0"/>
      <w:marTop w:val="0"/>
      <w:marBottom w:val="0"/>
      <w:divBdr>
        <w:top w:val="none" w:sz="0" w:space="0" w:color="auto"/>
        <w:left w:val="none" w:sz="0" w:space="0" w:color="auto"/>
        <w:bottom w:val="none" w:sz="0" w:space="0" w:color="auto"/>
        <w:right w:val="none" w:sz="0" w:space="0" w:color="auto"/>
      </w:divBdr>
    </w:div>
    <w:div w:id="867646541">
      <w:bodyDiv w:val="1"/>
      <w:marLeft w:val="0"/>
      <w:marRight w:val="0"/>
      <w:marTop w:val="0"/>
      <w:marBottom w:val="0"/>
      <w:divBdr>
        <w:top w:val="none" w:sz="0" w:space="0" w:color="auto"/>
        <w:left w:val="none" w:sz="0" w:space="0" w:color="auto"/>
        <w:bottom w:val="none" w:sz="0" w:space="0" w:color="auto"/>
        <w:right w:val="none" w:sz="0" w:space="0" w:color="auto"/>
      </w:divBdr>
    </w:div>
    <w:div w:id="867833489">
      <w:bodyDiv w:val="1"/>
      <w:marLeft w:val="0"/>
      <w:marRight w:val="0"/>
      <w:marTop w:val="0"/>
      <w:marBottom w:val="0"/>
      <w:divBdr>
        <w:top w:val="none" w:sz="0" w:space="0" w:color="auto"/>
        <w:left w:val="none" w:sz="0" w:space="0" w:color="auto"/>
        <w:bottom w:val="none" w:sz="0" w:space="0" w:color="auto"/>
        <w:right w:val="none" w:sz="0" w:space="0" w:color="auto"/>
      </w:divBdr>
    </w:div>
    <w:div w:id="867990150">
      <w:bodyDiv w:val="1"/>
      <w:marLeft w:val="0"/>
      <w:marRight w:val="0"/>
      <w:marTop w:val="0"/>
      <w:marBottom w:val="0"/>
      <w:divBdr>
        <w:top w:val="none" w:sz="0" w:space="0" w:color="auto"/>
        <w:left w:val="none" w:sz="0" w:space="0" w:color="auto"/>
        <w:bottom w:val="none" w:sz="0" w:space="0" w:color="auto"/>
        <w:right w:val="none" w:sz="0" w:space="0" w:color="auto"/>
      </w:divBdr>
    </w:div>
    <w:div w:id="867991507">
      <w:bodyDiv w:val="1"/>
      <w:marLeft w:val="0"/>
      <w:marRight w:val="0"/>
      <w:marTop w:val="0"/>
      <w:marBottom w:val="0"/>
      <w:divBdr>
        <w:top w:val="none" w:sz="0" w:space="0" w:color="auto"/>
        <w:left w:val="none" w:sz="0" w:space="0" w:color="auto"/>
        <w:bottom w:val="none" w:sz="0" w:space="0" w:color="auto"/>
        <w:right w:val="none" w:sz="0" w:space="0" w:color="auto"/>
      </w:divBdr>
    </w:div>
    <w:div w:id="868297276">
      <w:bodyDiv w:val="1"/>
      <w:marLeft w:val="0"/>
      <w:marRight w:val="0"/>
      <w:marTop w:val="0"/>
      <w:marBottom w:val="0"/>
      <w:divBdr>
        <w:top w:val="none" w:sz="0" w:space="0" w:color="auto"/>
        <w:left w:val="none" w:sz="0" w:space="0" w:color="auto"/>
        <w:bottom w:val="none" w:sz="0" w:space="0" w:color="auto"/>
        <w:right w:val="none" w:sz="0" w:space="0" w:color="auto"/>
      </w:divBdr>
    </w:div>
    <w:div w:id="868374958">
      <w:bodyDiv w:val="1"/>
      <w:marLeft w:val="0"/>
      <w:marRight w:val="0"/>
      <w:marTop w:val="0"/>
      <w:marBottom w:val="0"/>
      <w:divBdr>
        <w:top w:val="none" w:sz="0" w:space="0" w:color="auto"/>
        <w:left w:val="none" w:sz="0" w:space="0" w:color="auto"/>
        <w:bottom w:val="none" w:sz="0" w:space="0" w:color="auto"/>
        <w:right w:val="none" w:sz="0" w:space="0" w:color="auto"/>
      </w:divBdr>
    </w:div>
    <w:div w:id="868376276">
      <w:bodyDiv w:val="1"/>
      <w:marLeft w:val="0"/>
      <w:marRight w:val="0"/>
      <w:marTop w:val="0"/>
      <w:marBottom w:val="0"/>
      <w:divBdr>
        <w:top w:val="none" w:sz="0" w:space="0" w:color="auto"/>
        <w:left w:val="none" w:sz="0" w:space="0" w:color="auto"/>
        <w:bottom w:val="none" w:sz="0" w:space="0" w:color="auto"/>
        <w:right w:val="none" w:sz="0" w:space="0" w:color="auto"/>
      </w:divBdr>
    </w:div>
    <w:div w:id="868419555">
      <w:bodyDiv w:val="1"/>
      <w:marLeft w:val="0"/>
      <w:marRight w:val="0"/>
      <w:marTop w:val="0"/>
      <w:marBottom w:val="0"/>
      <w:divBdr>
        <w:top w:val="none" w:sz="0" w:space="0" w:color="auto"/>
        <w:left w:val="none" w:sz="0" w:space="0" w:color="auto"/>
        <w:bottom w:val="none" w:sz="0" w:space="0" w:color="auto"/>
        <w:right w:val="none" w:sz="0" w:space="0" w:color="auto"/>
      </w:divBdr>
    </w:div>
    <w:div w:id="868445999">
      <w:bodyDiv w:val="1"/>
      <w:marLeft w:val="0"/>
      <w:marRight w:val="0"/>
      <w:marTop w:val="0"/>
      <w:marBottom w:val="0"/>
      <w:divBdr>
        <w:top w:val="none" w:sz="0" w:space="0" w:color="auto"/>
        <w:left w:val="none" w:sz="0" w:space="0" w:color="auto"/>
        <w:bottom w:val="none" w:sz="0" w:space="0" w:color="auto"/>
        <w:right w:val="none" w:sz="0" w:space="0" w:color="auto"/>
      </w:divBdr>
    </w:div>
    <w:div w:id="868448796">
      <w:bodyDiv w:val="1"/>
      <w:marLeft w:val="0"/>
      <w:marRight w:val="0"/>
      <w:marTop w:val="0"/>
      <w:marBottom w:val="0"/>
      <w:divBdr>
        <w:top w:val="none" w:sz="0" w:space="0" w:color="auto"/>
        <w:left w:val="none" w:sz="0" w:space="0" w:color="auto"/>
        <w:bottom w:val="none" w:sz="0" w:space="0" w:color="auto"/>
        <w:right w:val="none" w:sz="0" w:space="0" w:color="auto"/>
      </w:divBdr>
    </w:div>
    <w:div w:id="868491965">
      <w:bodyDiv w:val="1"/>
      <w:marLeft w:val="0"/>
      <w:marRight w:val="0"/>
      <w:marTop w:val="0"/>
      <w:marBottom w:val="0"/>
      <w:divBdr>
        <w:top w:val="none" w:sz="0" w:space="0" w:color="auto"/>
        <w:left w:val="none" w:sz="0" w:space="0" w:color="auto"/>
        <w:bottom w:val="none" w:sz="0" w:space="0" w:color="auto"/>
        <w:right w:val="none" w:sz="0" w:space="0" w:color="auto"/>
      </w:divBdr>
    </w:div>
    <w:div w:id="868495682">
      <w:bodyDiv w:val="1"/>
      <w:marLeft w:val="0"/>
      <w:marRight w:val="0"/>
      <w:marTop w:val="0"/>
      <w:marBottom w:val="0"/>
      <w:divBdr>
        <w:top w:val="none" w:sz="0" w:space="0" w:color="auto"/>
        <w:left w:val="none" w:sz="0" w:space="0" w:color="auto"/>
        <w:bottom w:val="none" w:sz="0" w:space="0" w:color="auto"/>
        <w:right w:val="none" w:sz="0" w:space="0" w:color="auto"/>
      </w:divBdr>
    </w:div>
    <w:div w:id="868571994">
      <w:bodyDiv w:val="1"/>
      <w:marLeft w:val="0"/>
      <w:marRight w:val="0"/>
      <w:marTop w:val="0"/>
      <w:marBottom w:val="0"/>
      <w:divBdr>
        <w:top w:val="none" w:sz="0" w:space="0" w:color="auto"/>
        <w:left w:val="none" w:sz="0" w:space="0" w:color="auto"/>
        <w:bottom w:val="none" w:sz="0" w:space="0" w:color="auto"/>
        <w:right w:val="none" w:sz="0" w:space="0" w:color="auto"/>
      </w:divBdr>
    </w:div>
    <w:div w:id="868638584">
      <w:bodyDiv w:val="1"/>
      <w:marLeft w:val="0"/>
      <w:marRight w:val="0"/>
      <w:marTop w:val="0"/>
      <w:marBottom w:val="0"/>
      <w:divBdr>
        <w:top w:val="none" w:sz="0" w:space="0" w:color="auto"/>
        <w:left w:val="none" w:sz="0" w:space="0" w:color="auto"/>
        <w:bottom w:val="none" w:sz="0" w:space="0" w:color="auto"/>
        <w:right w:val="none" w:sz="0" w:space="0" w:color="auto"/>
      </w:divBdr>
    </w:div>
    <w:div w:id="868642510">
      <w:bodyDiv w:val="1"/>
      <w:marLeft w:val="0"/>
      <w:marRight w:val="0"/>
      <w:marTop w:val="0"/>
      <w:marBottom w:val="0"/>
      <w:divBdr>
        <w:top w:val="none" w:sz="0" w:space="0" w:color="auto"/>
        <w:left w:val="none" w:sz="0" w:space="0" w:color="auto"/>
        <w:bottom w:val="none" w:sz="0" w:space="0" w:color="auto"/>
        <w:right w:val="none" w:sz="0" w:space="0" w:color="auto"/>
      </w:divBdr>
    </w:div>
    <w:div w:id="868643457">
      <w:bodyDiv w:val="1"/>
      <w:marLeft w:val="0"/>
      <w:marRight w:val="0"/>
      <w:marTop w:val="0"/>
      <w:marBottom w:val="0"/>
      <w:divBdr>
        <w:top w:val="none" w:sz="0" w:space="0" w:color="auto"/>
        <w:left w:val="none" w:sz="0" w:space="0" w:color="auto"/>
        <w:bottom w:val="none" w:sz="0" w:space="0" w:color="auto"/>
        <w:right w:val="none" w:sz="0" w:space="0" w:color="auto"/>
      </w:divBdr>
    </w:div>
    <w:div w:id="868685406">
      <w:bodyDiv w:val="1"/>
      <w:marLeft w:val="0"/>
      <w:marRight w:val="0"/>
      <w:marTop w:val="0"/>
      <w:marBottom w:val="0"/>
      <w:divBdr>
        <w:top w:val="none" w:sz="0" w:space="0" w:color="auto"/>
        <w:left w:val="none" w:sz="0" w:space="0" w:color="auto"/>
        <w:bottom w:val="none" w:sz="0" w:space="0" w:color="auto"/>
        <w:right w:val="none" w:sz="0" w:space="0" w:color="auto"/>
      </w:divBdr>
    </w:div>
    <w:div w:id="868686207">
      <w:bodyDiv w:val="1"/>
      <w:marLeft w:val="0"/>
      <w:marRight w:val="0"/>
      <w:marTop w:val="0"/>
      <w:marBottom w:val="0"/>
      <w:divBdr>
        <w:top w:val="none" w:sz="0" w:space="0" w:color="auto"/>
        <w:left w:val="none" w:sz="0" w:space="0" w:color="auto"/>
        <w:bottom w:val="none" w:sz="0" w:space="0" w:color="auto"/>
        <w:right w:val="none" w:sz="0" w:space="0" w:color="auto"/>
      </w:divBdr>
    </w:div>
    <w:div w:id="868688826">
      <w:bodyDiv w:val="1"/>
      <w:marLeft w:val="0"/>
      <w:marRight w:val="0"/>
      <w:marTop w:val="0"/>
      <w:marBottom w:val="0"/>
      <w:divBdr>
        <w:top w:val="none" w:sz="0" w:space="0" w:color="auto"/>
        <w:left w:val="none" w:sz="0" w:space="0" w:color="auto"/>
        <w:bottom w:val="none" w:sz="0" w:space="0" w:color="auto"/>
        <w:right w:val="none" w:sz="0" w:space="0" w:color="auto"/>
      </w:divBdr>
    </w:div>
    <w:div w:id="868688928">
      <w:bodyDiv w:val="1"/>
      <w:marLeft w:val="0"/>
      <w:marRight w:val="0"/>
      <w:marTop w:val="0"/>
      <w:marBottom w:val="0"/>
      <w:divBdr>
        <w:top w:val="none" w:sz="0" w:space="0" w:color="auto"/>
        <w:left w:val="none" w:sz="0" w:space="0" w:color="auto"/>
        <w:bottom w:val="none" w:sz="0" w:space="0" w:color="auto"/>
        <w:right w:val="none" w:sz="0" w:space="0" w:color="auto"/>
      </w:divBdr>
    </w:div>
    <w:div w:id="868957370">
      <w:bodyDiv w:val="1"/>
      <w:marLeft w:val="0"/>
      <w:marRight w:val="0"/>
      <w:marTop w:val="0"/>
      <w:marBottom w:val="0"/>
      <w:divBdr>
        <w:top w:val="none" w:sz="0" w:space="0" w:color="auto"/>
        <w:left w:val="none" w:sz="0" w:space="0" w:color="auto"/>
        <w:bottom w:val="none" w:sz="0" w:space="0" w:color="auto"/>
        <w:right w:val="none" w:sz="0" w:space="0" w:color="auto"/>
      </w:divBdr>
    </w:div>
    <w:div w:id="869028333">
      <w:bodyDiv w:val="1"/>
      <w:marLeft w:val="0"/>
      <w:marRight w:val="0"/>
      <w:marTop w:val="0"/>
      <w:marBottom w:val="0"/>
      <w:divBdr>
        <w:top w:val="none" w:sz="0" w:space="0" w:color="auto"/>
        <w:left w:val="none" w:sz="0" w:space="0" w:color="auto"/>
        <w:bottom w:val="none" w:sz="0" w:space="0" w:color="auto"/>
        <w:right w:val="none" w:sz="0" w:space="0" w:color="auto"/>
      </w:divBdr>
    </w:div>
    <w:div w:id="869029469">
      <w:bodyDiv w:val="1"/>
      <w:marLeft w:val="0"/>
      <w:marRight w:val="0"/>
      <w:marTop w:val="0"/>
      <w:marBottom w:val="0"/>
      <w:divBdr>
        <w:top w:val="none" w:sz="0" w:space="0" w:color="auto"/>
        <w:left w:val="none" w:sz="0" w:space="0" w:color="auto"/>
        <w:bottom w:val="none" w:sz="0" w:space="0" w:color="auto"/>
        <w:right w:val="none" w:sz="0" w:space="0" w:color="auto"/>
      </w:divBdr>
    </w:div>
    <w:div w:id="869029970">
      <w:bodyDiv w:val="1"/>
      <w:marLeft w:val="0"/>
      <w:marRight w:val="0"/>
      <w:marTop w:val="0"/>
      <w:marBottom w:val="0"/>
      <w:divBdr>
        <w:top w:val="none" w:sz="0" w:space="0" w:color="auto"/>
        <w:left w:val="none" w:sz="0" w:space="0" w:color="auto"/>
        <w:bottom w:val="none" w:sz="0" w:space="0" w:color="auto"/>
        <w:right w:val="none" w:sz="0" w:space="0" w:color="auto"/>
      </w:divBdr>
    </w:div>
    <w:div w:id="869105339">
      <w:bodyDiv w:val="1"/>
      <w:marLeft w:val="0"/>
      <w:marRight w:val="0"/>
      <w:marTop w:val="0"/>
      <w:marBottom w:val="0"/>
      <w:divBdr>
        <w:top w:val="none" w:sz="0" w:space="0" w:color="auto"/>
        <w:left w:val="none" w:sz="0" w:space="0" w:color="auto"/>
        <w:bottom w:val="none" w:sz="0" w:space="0" w:color="auto"/>
        <w:right w:val="none" w:sz="0" w:space="0" w:color="auto"/>
      </w:divBdr>
    </w:div>
    <w:div w:id="869219235">
      <w:bodyDiv w:val="1"/>
      <w:marLeft w:val="0"/>
      <w:marRight w:val="0"/>
      <w:marTop w:val="0"/>
      <w:marBottom w:val="0"/>
      <w:divBdr>
        <w:top w:val="none" w:sz="0" w:space="0" w:color="auto"/>
        <w:left w:val="none" w:sz="0" w:space="0" w:color="auto"/>
        <w:bottom w:val="none" w:sz="0" w:space="0" w:color="auto"/>
        <w:right w:val="none" w:sz="0" w:space="0" w:color="auto"/>
      </w:divBdr>
    </w:div>
    <w:div w:id="869219431">
      <w:bodyDiv w:val="1"/>
      <w:marLeft w:val="0"/>
      <w:marRight w:val="0"/>
      <w:marTop w:val="0"/>
      <w:marBottom w:val="0"/>
      <w:divBdr>
        <w:top w:val="none" w:sz="0" w:space="0" w:color="auto"/>
        <w:left w:val="none" w:sz="0" w:space="0" w:color="auto"/>
        <w:bottom w:val="none" w:sz="0" w:space="0" w:color="auto"/>
        <w:right w:val="none" w:sz="0" w:space="0" w:color="auto"/>
      </w:divBdr>
    </w:div>
    <w:div w:id="869220985">
      <w:bodyDiv w:val="1"/>
      <w:marLeft w:val="0"/>
      <w:marRight w:val="0"/>
      <w:marTop w:val="0"/>
      <w:marBottom w:val="0"/>
      <w:divBdr>
        <w:top w:val="none" w:sz="0" w:space="0" w:color="auto"/>
        <w:left w:val="none" w:sz="0" w:space="0" w:color="auto"/>
        <w:bottom w:val="none" w:sz="0" w:space="0" w:color="auto"/>
        <w:right w:val="none" w:sz="0" w:space="0" w:color="auto"/>
      </w:divBdr>
    </w:div>
    <w:div w:id="869223267">
      <w:bodyDiv w:val="1"/>
      <w:marLeft w:val="0"/>
      <w:marRight w:val="0"/>
      <w:marTop w:val="0"/>
      <w:marBottom w:val="0"/>
      <w:divBdr>
        <w:top w:val="none" w:sz="0" w:space="0" w:color="auto"/>
        <w:left w:val="none" w:sz="0" w:space="0" w:color="auto"/>
        <w:bottom w:val="none" w:sz="0" w:space="0" w:color="auto"/>
        <w:right w:val="none" w:sz="0" w:space="0" w:color="auto"/>
      </w:divBdr>
    </w:div>
    <w:div w:id="869224131">
      <w:bodyDiv w:val="1"/>
      <w:marLeft w:val="0"/>
      <w:marRight w:val="0"/>
      <w:marTop w:val="0"/>
      <w:marBottom w:val="0"/>
      <w:divBdr>
        <w:top w:val="none" w:sz="0" w:space="0" w:color="auto"/>
        <w:left w:val="none" w:sz="0" w:space="0" w:color="auto"/>
        <w:bottom w:val="none" w:sz="0" w:space="0" w:color="auto"/>
        <w:right w:val="none" w:sz="0" w:space="0" w:color="auto"/>
      </w:divBdr>
    </w:div>
    <w:div w:id="869300219">
      <w:bodyDiv w:val="1"/>
      <w:marLeft w:val="0"/>
      <w:marRight w:val="0"/>
      <w:marTop w:val="0"/>
      <w:marBottom w:val="0"/>
      <w:divBdr>
        <w:top w:val="none" w:sz="0" w:space="0" w:color="auto"/>
        <w:left w:val="none" w:sz="0" w:space="0" w:color="auto"/>
        <w:bottom w:val="none" w:sz="0" w:space="0" w:color="auto"/>
        <w:right w:val="none" w:sz="0" w:space="0" w:color="auto"/>
      </w:divBdr>
    </w:div>
    <w:div w:id="869337271">
      <w:bodyDiv w:val="1"/>
      <w:marLeft w:val="0"/>
      <w:marRight w:val="0"/>
      <w:marTop w:val="0"/>
      <w:marBottom w:val="0"/>
      <w:divBdr>
        <w:top w:val="none" w:sz="0" w:space="0" w:color="auto"/>
        <w:left w:val="none" w:sz="0" w:space="0" w:color="auto"/>
        <w:bottom w:val="none" w:sz="0" w:space="0" w:color="auto"/>
        <w:right w:val="none" w:sz="0" w:space="0" w:color="auto"/>
      </w:divBdr>
    </w:div>
    <w:div w:id="869345518">
      <w:bodyDiv w:val="1"/>
      <w:marLeft w:val="0"/>
      <w:marRight w:val="0"/>
      <w:marTop w:val="0"/>
      <w:marBottom w:val="0"/>
      <w:divBdr>
        <w:top w:val="none" w:sz="0" w:space="0" w:color="auto"/>
        <w:left w:val="none" w:sz="0" w:space="0" w:color="auto"/>
        <w:bottom w:val="none" w:sz="0" w:space="0" w:color="auto"/>
        <w:right w:val="none" w:sz="0" w:space="0" w:color="auto"/>
      </w:divBdr>
    </w:div>
    <w:div w:id="869413543">
      <w:bodyDiv w:val="1"/>
      <w:marLeft w:val="0"/>
      <w:marRight w:val="0"/>
      <w:marTop w:val="0"/>
      <w:marBottom w:val="0"/>
      <w:divBdr>
        <w:top w:val="none" w:sz="0" w:space="0" w:color="auto"/>
        <w:left w:val="none" w:sz="0" w:space="0" w:color="auto"/>
        <w:bottom w:val="none" w:sz="0" w:space="0" w:color="auto"/>
        <w:right w:val="none" w:sz="0" w:space="0" w:color="auto"/>
      </w:divBdr>
    </w:div>
    <w:div w:id="869492818">
      <w:bodyDiv w:val="1"/>
      <w:marLeft w:val="0"/>
      <w:marRight w:val="0"/>
      <w:marTop w:val="0"/>
      <w:marBottom w:val="0"/>
      <w:divBdr>
        <w:top w:val="none" w:sz="0" w:space="0" w:color="auto"/>
        <w:left w:val="none" w:sz="0" w:space="0" w:color="auto"/>
        <w:bottom w:val="none" w:sz="0" w:space="0" w:color="auto"/>
        <w:right w:val="none" w:sz="0" w:space="0" w:color="auto"/>
      </w:divBdr>
    </w:div>
    <w:div w:id="869496199">
      <w:bodyDiv w:val="1"/>
      <w:marLeft w:val="0"/>
      <w:marRight w:val="0"/>
      <w:marTop w:val="0"/>
      <w:marBottom w:val="0"/>
      <w:divBdr>
        <w:top w:val="none" w:sz="0" w:space="0" w:color="auto"/>
        <w:left w:val="none" w:sz="0" w:space="0" w:color="auto"/>
        <w:bottom w:val="none" w:sz="0" w:space="0" w:color="auto"/>
        <w:right w:val="none" w:sz="0" w:space="0" w:color="auto"/>
      </w:divBdr>
    </w:div>
    <w:div w:id="869538280">
      <w:bodyDiv w:val="1"/>
      <w:marLeft w:val="0"/>
      <w:marRight w:val="0"/>
      <w:marTop w:val="0"/>
      <w:marBottom w:val="0"/>
      <w:divBdr>
        <w:top w:val="none" w:sz="0" w:space="0" w:color="auto"/>
        <w:left w:val="none" w:sz="0" w:space="0" w:color="auto"/>
        <w:bottom w:val="none" w:sz="0" w:space="0" w:color="auto"/>
        <w:right w:val="none" w:sz="0" w:space="0" w:color="auto"/>
      </w:divBdr>
    </w:div>
    <w:div w:id="869604920">
      <w:bodyDiv w:val="1"/>
      <w:marLeft w:val="0"/>
      <w:marRight w:val="0"/>
      <w:marTop w:val="0"/>
      <w:marBottom w:val="0"/>
      <w:divBdr>
        <w:top w:val="none" w:sz="0" w:space="0" w:color="auto"/>
        <w:left w:val="none" w:sz="0" w:space="0" w:color="auto"/>
        <w:bottom w:val="none" w:sz="0" w:space="0" w:color="auto"/>
        <w:right w:val="none" w:sz="0" w:space="0" w:color="auto"/>
      </w:divBdr>
    </w:div>
    <w:div w:id="869758247">
      <w:bodyDiv w:val="1"/>
      <w:marLeft w:val="0"/>
      <w:marRight w:val="0"/>
      <w:marTop w:val="0"/>
      <w:marBottom w:val="0"/>
      <w:divBdr>
        <w:top w:val="none" w:sz="0" w:space="0" w:color="auto"/>
        <w:left w:val="none" w:sz="0" w:space="0" w:color="auto"/>
        <w:bottom w:val="none" w:sz="0" w:space="0" w:color="auto"/>
        <w:right w:val="none" w:sz="0" w:space="0" w:color="auto"/>
      </w:divBdr>
    </w:div>
    <w:div w:id="869799404">
      <w:bodyDiv w:val="1"/>
      <w:marLeft w:val="0"/>
      <w:marRight w:val="0"/>
      <w:marTop w:val="0"/>
      <w:marBottom w:val="0"/>
      <w:divBdr>
        <w:top w:val="none" w:sz="0" w:space="0" w:color="auto"/>
        <w:left w:val="none" w:sz="0" w:space="0" w:color="auto"/>
        <w:bottom w:val="none" w:sz="0" w:space="0" w:color="auto"/>
        <w:right w:val="none" w:sz="0" w:space="0" w:color="auto"/>
      </w:divBdr>
    </w:div>
    <w:div w:id="869807534">
      <w:bodyDiv w:val="1"/>
      <w:marLeft w:val="0"/>
      <w:marRight w:val="0"/>
      <w:marTop w:val="0"/>
      <w:marBottom w:val="0"/>
      <w:divBdr>
        <w:top w:val="none" w:sz="0" w:space="0" w:color="auto"/>
        <w:left w:val="none" w:sz="0" w:space="0" w:color="auto"/>
        <w:bottom w:val="none" w:sz="0" w:space="0" w:color="auto"/>
        <w:right w:val="none" w:sz="0" w:space="0" w:color="auto"/>
      </w:divBdr>
    </w:div>
    <w:div w:id="869874672">
      <w:bodyDiv w:val="1"/>
      <w:marLeft w:val="0"/>
      <w:marRight w:val="0"/>
      <w:marTop w:val="0"/>
      <w:marBottom w:val="0"/>
      <w:divBdr>
        <w:top w:val="none" w:sz="0" w:space="0" w:color="auto"/>
        <w:left w:val="none" w:sz="0" w:space="0" w:color="auto"/>
        <w:bottom w:val="none" w:sz="0" w:space="0" w:color="auto"/>
        <w:right w:val="none" w:sz="0" w:space="0" w:color="auto"/>
      </w:divBdr>
    </w:div>
    <w:div w:id="869925058">
      <w:bodyDiv w:val="1"/>
      <w:marLeft w:val="0"/>
      <w:marRight w:val="0"/>
      <w:marTop w:val="0"/>
      <w:marBottom w:val="0"/>
      <w:divBdr>
        <w:top w:val="none" w:sz="0" w:space="0" w:color="auto"/>
        <w:left w:val="none" w:sz="0" w:space="0" w:color="auto"/>
        <w:bottom w:val="none" w:sz="0" w:space="0" w:color="auto"/>
        <w:right w:val="none" w:sz="0" w:space="0" w:color="auto"/>
      </w:divBdr>
    </w:div>
    <w:div w:id="869950547">
      <w:bodyDiv w:val="1"/>
      <w:marLeft w:val="0"/>
      <w:marRight w:val="0"/>
      <w:marTop w:val="0"/>
      <w:marBottom w:val="0"/>
      <w:divBdr>
        <w:top w:val="none" w:sz="0" w:space="0" w:color="auto"/>
        <w:left w:val="none" w:sz="0" w:space="0" w:color="auto"/>
        <w:bottom w:val="none" w:sz="0" w:space="0" w:color="auto"/>
        <w:right w:val="none" w:sz="0" w:space="0" w:color="auto"/>
      </w:divBdr>
    </w:div>
    <w:div w:id="869996522">
      <w:bodyDiv w:val="1"/>
      <w:marLeft w:val="0"/>
      <w:marRight w:val="0"/>
      <w:marTop w:val="0"/>
      <w:marBottom w:val="0"/>
      <w:divBdr>
        <w:top w:val="none" w:sz="0" w:space="0" w:color="auto"/>
        <w:left w:val="none" w:sz="0" w:space="0" w:color="auto"/>
        <w:bottom w:val="none" w:sz="0" w:space="0" w:color="auto"/>
        <w:right w:val="none" w:sz="0" w:space="0" w:color="auto"/>
      </w:divBdr>
    </w:div>
    <w:div w:id="870068105">
      <w:bodyDiv w:val="1"/>
      <w:marLeft w:val="0"/>
      <w:marRight w:val="0"/>
      <w:marTop w:val="0"/>
      <w:marBottom w:val="0"/>
      <w:divBdr>
        <w:top w:val="none" w:sz="0" w:space="0" w:color="auto"/>
        <w:left w:val="none" w:sz="0" w:space="0" w:color="auto"/>
        <w:bottom w:val="none" w:sz="0" w:space="0" w:color="auto"/>
        <w:right w:val="none" w:sz="0" w:space="0" w:color="auto"/>
      </w:divBdr>
    </w:div>
    <w:div w:id="870073251">
      <w:bodyDiv w:val="1"/>
      <w:marLeft w:val="0"/>
      <w:marRight w:val="0"/>
      <w:marTop w:val="0"/>
      <w:marBottom w:val="0"/>
      <w:divBdr>
        <w:top w:val="none" w:sz="0" w:space="0" w:color="auto"/>
        <w:left w:val="none" w:sz="0" w:space="0" w:color="auto"/>
        <w:bottom w:val="none" w:sz="0" w:space="0" w:color="auto"/>
        <w:right w:val="none" w:sz="0" w:space="0" w:color="auto"/>
      </w:divBdr>
    </w:div>
    <w:div w:id="870148958">
      <w:bodyDiv w:val="1"/>
      <w:marLeft w:val="0"/>
      <w:marRight w:val="0"/>
      <w:marTop w:val="0"/>
      <w:marBottom w:val="0"/>
      <w:divBdr>
        <w:top w:val="none" w:sz="0" w:space="0" w:color="auto"/>
        <w:left w:val="none" w:sz="0" w:space="0" w:color="auto"/>
        <w:bottom w:val="none" w:sz="0" w:space="0" w:color="auto"/>
        <w:right w:val="none" w:sz="0" w:space="0" w:color="auto"/>
      </w:divBdr>
    </w:div>
    <w:div w:id="870151704">
      <w:bodyDiv w:val="1"/>
      <w:marLeft w:val="0"/>
      <w:marRight w:val="0"/>
      <w:marTop w:val="0"/>
      <w:marBottom w:val="0"/>
      <w:divBdr>
        <w:top w:val="none" w:sz="0" w:space="0" w:color="auto"/>
        <w:left w:val="none" w:sz="0" w:space="0" w:color="auto"/>
        <w:bottom w:val="none" w:sz="0" w:space="0" w:color="auto"/>
        <w:right w:val="none" w:sz="0" w:space="0" w:color="auto"/>
      </w:divBdr>
    </w:div>
    <w:div w:id="870342827">
      <w:bodyDiv w:val="1"/>
      <w:marLeft w:val="0"/>
      <w:marRight w:val="0"/>
      <w:marTop w:val="0"/>
      <w:marBottom w:val="0"/>
      <w:divBdr>
        <w:top w:val="none" w:sz="0" w:space="0" w:color="auto"/>
        <w:left w:val="none" w:sz="0" w:space="0" w:color="auto"/>
        <w:bottom w:val="none" w:sz="0" w:space="0" w:color="auto"/>
        <w:right w:val="none" w:sz="0" w:space="0" w:color="auto"/>
      </w:divBdr>
    </w:div>
    <w:div w:id="870385441">
      <w:bodyDiv w:val="1"/>
      <w:marLeft w:val="0"/>
      <w:marRight w:val="0"/>
      <w:marTop w:val="0"/>
      <w:marBottom w:val="0"/>
      <w:divBdr>
        <w:top w:val="none" w:sz="0" w:space="0" w:color="auto"/>
        <w:left w:val="none" w:sz="0" w:space="0" w:color="auto"/>
        <w:bottom w:val="none" w:sz="0" w:space="0" w:color="auto"/>
        <w:right w:val="none" w:sz="0" w:space="0" w:color="auto"/>
      </w:divBdr>
    </w:div>
    <w:div w:id="870457987">
      <w:bodyDiv w:val="1"/>
      <w:marLeft w:val="0"/>
      <w:marRight w:val="0"/>
      <w:marTop w:val="0"/>
      <w:marBottom w:val="0"/>
      <w:divBdr>
        <w:top w:val="none" w:sz="0" w:space="0" w:color="auto"/>
        <w:left w:val="none" w:sz="0" w:space="0" w:color="auto"/>
        <w:bottom w:val="none" w:sz="0" w:space="0" w:color="auto"/>
        <w:right w:val="none" w:sz="0" w:space="0" w:color="auto"/>
      </w:divBdr>
    </w:div>
    <w:div w:id="870531266">
      <w:bodyDiv w:val="1"/>
      <w:marLeft w:val="0"/>
      <w:marRight w:val="0"/>
      <w:marTop w:val="0"/>
      <w:marBottom w:val="0"/>
      <w:divBdr>
        <w:top w:val="none" w:sz="0" w:space="0" w:color="auto"/>
        <w:left w:val="none" w:sz="0" w:space="0" w:color="auto"/>
        <w:bottom w:val="none" w:sz="0" w:space="0" w:color="auto"/>
        <w:right w:val="none" w:sz="0" w:space="0" w:color="auto"/>
      </w:divBdr>
    </w:div>
    <w:div w:id="870607064">
      <w:bodyDiv w:val="1"/>
      <w:marLeft w:val="0"/>
      <w:marRight w:val="0"/>
      <w:marTop w:val="0"/>
      <w:marBottom w:val="0"/>
      <w:divBdr>
        <w:top w:val="none" w:sz="0" w:space="0" w:color="auto"/>
        <w:left w:val="none" w:sz="0" w:space="0" w:color="auto"/>
        <w:bottom w:val="none" w:sz="0" w:space="0" w:color="auto"/>
        <w:right w:val="none" w:sz="0" w:space="0" w:color="auto"/>
      </w:divBdr>
    </w:div>
    <w:div w:id="870648091">
      <w:bodyDiv w:val="1"/>
      <w:marLeft w:val="0"/>
      <w:marRight w:val="0"/>
      <w:marTop w:val="0"/>
      <w:marBottom w:val="0"/>
      <w:divBdr>
        <w:top w:val="none" w:sz="0" w:space="0" w:color="auto"/>
        <w:left w:val="none" w:sz="0" w:space="0" w:color="auto"/>
        <w:bottom w:val="none" w:sz="0" w:space="0" w:color="auto"/>
        <w:right w:val="none" w:sz="0" w:space="0" w:color="auto"/>
      </w:divBdr>
    </w:div>
    <w:div w:id="870725017">
      <w:bodyDiv w:val="1"/>
      <w:marLeft w:val="0"/>
      <w:marRight w:val="0"/>
      <w:marTop w:val="0"/>
      <w:marBottom w:val="0"/>
      <w:divBdr>
        <w:top w:val="none" w:sz="0" w:space="0" w:color="auto"/>
        <w:left w:val="none" w:sz="0" w:space="0" w:color="auto"/>
        <w:bottom w:val="none" w:sz="0" w:space="0" w:color="auto"/>
        <w:right w:val="none" w:sz="0" w:space="0" w:color="auto"/>
      </w:divBdr>
    </w:div>
    <w:div w:id="870843594">
      <w:bodyDiv w:val="1"/>
      <w:marLeft w:val="0"/>
      <w:marRight w:val="0"/>
      <w:marTop w:val="0"/>
      <w:marBottom w:val="0"/>
      <w:divBdr>
        <w:top w:val="none" w:sz="0" w:space="0" w:color="auto"/>
        <w:left w:val="none" w:sz="0" w:space="0" w:color="auto"/>
        <w:bottom w:val="none" w:sz="0" w:space="0" w:color="auto"/>
        <w:right w:val="none" w:sz="0" w:space="0" w:color="auto"/>
      </w:divBdr>
    </w:div>
    <w:div w:id="870917572">
      <w:bodyDiv w:val="1"/>
      <w:marLeft w:val="0"/>
      <w:marRight w:val="0"/>
      <w:marTop w:val="0"/>
      <w:marBottom w:val="0"/>
      <w:divBdr>
        <w:top w:val="none" w:sz="0" w:space="0" w:color="auto"/>
        <w:left w:val="none" w:sz="0" w:space="0" w:color="auto"/>
        <w:bottom w:val="none" w:sz="0" w:space="0" w:color="auto"/>
        <w:right w:val="none" w:sz="0" w:space="0" w:color="auto"/>
      </w:divBdr>
    </w:div>
    <w:div w:id="871259627">
      <w:bodyDiv w:val="1"/>
      <w:marLeft w:val="0"/>
      <w:marRight w:val="0"/>
      <w:marTop w:val="0"/>
      <w:marBottom w:val="0"/>
      <w:divBdr>
        <w:top w:val="none" w:sz="0" w:space="0" w:color="auto"/>
        <w:left w:val="none" w:sz="0" w:space="0" w:color="auto"/>
        <w:bottom w:val="none" w:sz="0" w:space="0" w:color="auto"/>
        <w:right w:val="none" w:sz="0" w:space="0" w:color="auto"/>
      </w:divBdr>
    </w:div>
    <w:div w:id="871261861">
      <w:bodyDiv w:val="1"/>
      <w:marLeft w:val="0"/>
      <w:marRight w:val="0"/>
      <w:marTop w:val="0"/>
      <w:marBottom w:val="0"/>
      <w:divBdr>
        <w:top w:val="none" w:sz="0" w:space="0" w:color="auto"/>
        <w:left w:val="none" w:sz="0" w:space="0" w:color="auto"/>
        <w:bottom w:val="none" w:sz="0" w:space="0" w:color="auto"/>
        <w:right w:val="none" w:sz="0" w:space="0" w:color="auto"/>
      </w:divBdr>
    </w:div>
    <w:div w:id="871309413">
      <w:bodyDiv w:val="1"/>
      <w:marLeft w:val="0"/>
      <w:marRight w:val="0"/>
      <w:marTop w:val="0"/>
      <w:marBottom w:val="0"/>
      <w:divBdr>
        <w:top w:val="none" w:sz="0" w:space="0" w:color="auto"/>
        <w:left w:val="none" w:sz="0" w:space="0" w:color="auto"/>
        <w:bottom w:val="none" w:sz="0" w:space="0" w:color="auto"/>
        <w:right w:val="none" w:sz="0" w:space="0" w:color="auto"/>
      </w:divBdr>
    </w:div>
    <w:div w:id="871647760">
      <w:bodyDiv w:val="1"/>
      <w:marLeft w:val="0"/>
      <w:marRight w:val="0"/>
      <w:marTop w:val="0"/>
      <w:marBottom w:val="0"/>
      <w:divBdr>
        <w:top w:val="none" w:sz="0" w:space="0" w:color="auto"/>
        <w:left w:val="none" w:sz="0" w:space="0" w:color="auto"/>
        <w:bottom w:val="none" w:sz="0" w:space="0" w:color="auto"/>
        <w:right w:val="none" w:sz="0" w:space="0" w:color="auto"/>
      </w:divBdr>
    </w:div>
    <w:div w:id="871765943">
      <w:bodyDiv w:val="1"/>
      <w:marLeft w:val="0"/>
      <w:marRight w:val="0"/>
      <w:marTop w:val="0"/>
      <w:marBottom w:val="0"/>
      <w:divBdr>
        <w:top w:val="none" w:sz="0" w:space="0" w:color="auto"/>
        <w:left w:val="none" w:sz="0" w:space="0" w:color="auto"/>
        <w:bottom w:val="none" w:sz="0" w:space="0" w:color="auto"/>
        <w:right w:val="none" w:sz="0" w:space="0" w:color="auto"/>
      </w:divBdr>
    </w:div>
    <w:div w:id="871923262">
      <w:bodyDiv w:val="1"/>
      <w:marLeft w:val="0"/>
      <w:marRight w:val="0"/>
      <w:marTop w:val="0"/>
      <w:marBottom w:val="0"/>
      <w:divBdr>
        <w:top w:val="none" w:sz="0" w:space="0" w:color="auto"/>
        <w:left w:val="none" w:sz="0" w:space="0" w:color="auto"/>
        <w:bottom w:val="none" w:sz="0" w:space="0" w:color="auto"/>
        <w:right w:val="none" w:sz="0" w:space="0" w:color="auto"/>
      </w:divBdr>
    </w:div>
    <w:div w:id="871957613">
      <w:bodyDiv w:val="1"/>
      <w:marLeft w:val="0"/>
      <w:marRight w:val="0"/>
      <w:marTop w:val="0"/>
      <w:marBottom w:val="0"/>
      <w:divBdr>
        <w:top w:val="none" w:sz="0" w:space="0" w:color="auto"/>
        <w:left w:val="none" w:sz="0" w:space="0" w:color="auto"/>
        <w:bottom w:val="none" w:sz="0" w:space="0" w:color="auto"/>
        <w:right w:val="none" w:sz="0" w:space="0" w:color="auto"/>
      </w:divBdr>
    </w:div>
    <w:div w:id="871964713">
      <w:bodyDiv w:val="1"/>
      <w:marLeft w:val="0"/>
      <w:marRight w:val="0"/>
      <w:marTop w:val="0"/>
      <w:marBottom w:val="0"/>
      <w:divBdr>
        <w:top w:val="none" w:sz="0" w:space="0" w:color="auto"/>
        <w:left w:val="none" w:sz="0" w:space="0" w:color="auto"/>
        <w:bottom w:val="none" w:sz="0" w:space="0" w:color="auto"/>
        <w:right w:val="none" w:sz="0" w:space="0" w:color="auto"/>
      </w:divBdr>
    </w:div>
    <w:div w:id="872110160">
      <w:bodyDiv w:val="1"/>
      <w:marLeft w:val="0"/>
      <w:marRight w:val="0"/>
      <w:marTop w:val="0"/>
      <w:marBottom w:val="0"/>
      <w:divBdr>
        <w:top w:val="none" w:sz="0" w:space="0" w:color="auto"/>
        <w:left w:val="none" w:sz="0" w:space="0" w:color="auto"/>
        <w:bottom w:val="none" w:sz="0" w:space="0" w:color="auto"/>
        <w:right w:val="none" w:sz="0" w:space="0" w:color="auto"/>
      </w:divBdr>
    </w:div>
    <w:div w:id="872111823">
      <w:bodyDiv w:val="1"/>
      <w:marLeft w:val="0"/>
      <w:marRight w:val="0"/>
      <w:marTop w:val="0"/>
      <w:marBottom w:val="0"/>
      <w:divBdr>
        <w:top w:val="none" w:sz="0" w:space="0" w:color="auto"/>
        <w:left w:val="none" w:sz="0" w:space="0" w:color="auto"/>
        <w:bottom w:val="none" w:sz="0" w:space="0" w:color="auto"/>
        <w:right w:val="none" w:sz="0" w:space="0" w:color="auto"/>
      </w:divBdr>
    </w:div>
    <w:div w:id="872115575">
      <w:bodyDiv w:val="1"/>
      <w:marLeft w:val="0"/>
      <w:marRight w:val="0"/>
      <w:marTop w:val="0"/>
      <w:marBottom w:val="0"/>
      <w:divBdr>
        <w:top w:val="none" w:sz="0" w:space="0" w:color="auto"/>
        <w:left w:val="none" w:sz="0" w:space="0" w:color="auto"/>
        <w:bottom w:val="none" w:sz="0" w:space="0" w:color="auto"/>
        <w:right w:val="none" w:sz="0" w:space="0" w:color="auto"/>
      </w:divBdr>
    </w:div>
    <w:div w:id="872159377">
      <w:bodyDiv w:val="1"/>
      <w:marLeft w:val="0"/>
      <w:marRight w:val="0"/>
      <w:marTop w:val="0"/>
      <w:marBottom w:val="0"/>
      <w:divBdr>
        <w:top w:val="none" w:sz="0" w:space="0" w:color="auto"/>
        <w:left w:val="none" w:sz="0" w:space="0" w:color="auto"/>
        <w:bottom w:val="none" w:sz="0" w:space="0" w:color="auto"/>
        <w:right w:val="none" w:sz="0" w:space="0" w:color="auto"/>
      </w:divBdr>
    </w:div>
    <w:div w:id="872226272">
      <w:bodyDiv w:val="1"/>
      <w:marLeft w:val="0"/>
      <w:marRight w:val="0"/>
      <w:marTop w:val="0"/>
      <w:marBottom w:val="0"/>
      <w:divBdr>
        <w:top w:val="none" w:sz="0" w:space="0" w:color="auto"/>
        <w:left w:val="none" w:sz="0" w:space="0" w:color="auto"/>
        <w:bottom w:val="none" w:sz="0" w:space="0" w:color="auto"/>
        <w:right w:val="none" w:sz="0" w:space="0" w:color="auto"/>
      </w:divBdr>
    </w:div>
    <w:div w:id="872229916">
      <w:bodyDiv w:val="1"/>
      <w:marLeft w:val="0"/>
      <w:marRight w:val="0"/>
      <w:marTop w:val="0"/>
      <w:marBottom w:val="0"/>
      <w:divBdr>
        <w:top w:val="none" w:sz="0" w:space="0" w:color="auto"/>
        <w:left w:val="none" w:sz="0" w:space="0" w:color="auto"/>
        <w:bottom w:val="none" w:sz="0" w:space="0" w:color="auto"/>
        <w:right w:val="none" w:sz="0" w:space="0" w:color="auto"/>
      </w:divBdr>
    </w:div>
    <w:div w:id="872382202">
      <w:bodyDiv w:val="1"/>
      <w:marLeft w:val="0"/>
      <w:marRight w:val="0"/>
      <w:marTop w:val="0"/>
      <w:marBottom w:val="0"/>
      <w:divBdr>
        <w:top w:val="none" w:sz="0" w:space="0" w:color="auto"/>
        <w:left w:val="none" w:sz="0" w:space="0" w:color="auto"/>
        <w:bottom w:val="none" w:sz="0" w:space="0" w:color="auto"/>
        <w:right w:val="none" w:sz="0" w:space="0" w:color="auto"/>
      </w:divBdr>
    </w:div>
    <w:div w:id="872495318">
      <w:bodyDiv w:val="1"/>
      <w:marLeft w:val="0"/>
      <w:marRight w:val="0"/>
      <w:marTop w:val="0"/>
      <w:marBottom w:val="0"/>
      <w:divBdr>
        <w:top w:val="none" w:sz="0" w:space="0" w:color="auto"/>
        <w:left w:val="none" w:sz="0" w:space="0" w:color="auto"/>
        <w:bottom w:val="none" w:sz="0" w:space="0" w:color="auto"/>
        <w:right w:val="none" w:sz="0" w:space="0" w:color="auto"/>
      </w:divBdr>
    </w:div>
    <w:div w:id="872496025">
      <w:bodyDiv w:val="1"/>
      <w:marLeft w:val="0"/>
      <w:marRight w:val="0"/>
      <w:marTop w:val="0"/>
      <w:marBottom w:val="0"/>
      <w:divBdr>
        <w:top w:val="none" w:sz="0" w:space="0" w:color="auto"/>
        <w:left w:val="none" w:sz="0" w:space="0" w:color="auto"/>
        <w:bottom w:val="none" w:sz="0" w:space="0" w:color="auto"/>
        <w:right w:val="none" w:sz="0" w:space="0" w:color="auto"/>
      </w:divBdr>
    </w:div>
    <w:div w:id="872501780">
      <w:bodyDiv w:val="1"/>
      <w:marLeft w:val="0"/>
      <w:marRight w:val="0"/>
      <w:marTop w:val="0"/>
      <w:marBottom w:val="0"/>
      <w:divBdr>
        <w:top w:val="none" w:sz="0" w:space="0" w:color="auto"/>
        <w:left w:val="none" w:sz="0" w:space="0" w:color="auto"/>
        <w:bottom w:val="none" w:sz="0" w:space="0" w:color="auto"/>
        <w:right w:val="none" w:sz="0" w:space="0" w:color="auto"/>
      </w:divBdr>
    </w:div>
    <w:div w:id="872546575">
      <w:bodyDiv w:val="1"/>
      <w:marLeft w:val="0"/>
      <w:marRight w:val="0"/>
      <w:marTop w:val="0"/>
      <w:marBottom w:val="0"/>
      <w:divBdr>
        <w:top w:val="none" w:sz="0" w:space="0" w:color="auto"/>
        <w:left w:val="none" w:sz="0" w:space="0" w:color="auto"/>
        <w:bottom w:val="none" w:sz="0" w:space="0" w:color="auto"/>
        <w:right w:val="none" w:sz="0" w:space="0" w:color="auto"/>
      </w:divBdr>
    </w:div>
    <w:div w:id="872571707">
      <w:bodyDiv w:val="1"/>
      <w:marLeft w:val="0"/>
      <w:marRight w:val="0"/>
      <w:marTop w:val="0"/>
      <w:marBottom w:val="0"/>
      <w:divBdr>
        <w:top w:val="none" w:sz="0" w:space="0" w:color="auto"/>
        <w:left w:val="none" w:sz="0" w:space="0" w:color="auto"/>
        <w:bottom w:val="none" w:sz="0" w:space="0" w:color="auto"/>
        <w:right w:val="none" w:sz="0" w:space="0" w:color="auto"/>
      </w:divBdr>
    </w:div>
    <w:div w:id="872956604">
      <w:bodyDiv w:val="1"/>
      <w:marLeft w:val="0"/>
      <w:marRight w:val="0"/>
      <w:marTop w:val="0"/>
      <w:marBottom w:val="0"/>
      <w:divBdr>
        <w:top w:val="none" w:sz="0" w:space="0" w:color="auto"/>
        <w:left w:val="none" w:sz="0" w:space="0" w:color="auto"/>
        <w:bottom w:val="none" w:sz="0" w:space="0" w:color="auto"/>
        <w:right w:val="none" w:sz="0" w:space="0" w:color="auto"/>
      </w:divBdr>
    </w:div>
    <w:div w:id="873155145">
      <w:bodyDiv w:val="1"/>
      <w:marLeft w:val="0"/>
      <w:marRight w:val="0"/>
      <w:marTop w:val="0"/>
      <w:marBottom w:val="0"/>
      <w:divBdr>
        <w:top w:val="none" w:sz="0" w:space="0" w:color="auto"/>
        <w:left w:val="none" w:sz="0" w:space="0" w:color="auto"/>
        <w:bottom w:val="none" w:sz="0" w:space="0" w:color="auto"/>
        <w:right w:val="none" w:sz="0" w:space="0" w:color="auto"/>
      </w:divBdr>
    </w:div>
    <w:div w:id="873156953">
      <w:bodyDiv w:val="1"/>
      <w:marLeft w:val="0"/>
      <w:marRight w:val="0"/>
      <w:marTop w:val="0"/>
      <w:marBottom w:val="0"/>
      <w:divBdr>
        <w:top w:val="none" w:sz="0" w:space="0" w:color="auto"/>
        <w:left w:val="none" w:sz="0" w:space="0" w:color="auto"/>
        <w:bottom w:val="none" w:sz="0" w:space="0" w:color="auto"/>
        <w:right w:val="none" w:sz="0" w:space="0" w:color="auto"/>
      </w:divBdr>
    </w:div>
    <w:div w:id="873232240">
      <w:bodyDiv w:val="1"/>
      <w:marLeft w:val="0"/>
      <w:marRight w:val="0"/>
      <w:marTop w:val="0"/>
      <w:marBottom w:val="0"/>
      <w:divBdr>
        <w:top w:val="none" w:sz="0" w:space="0" w:color="auto"/>
        <w:left w:val="none" w:sz="0" w:space="0" w:color="auto"/>
        <w:bottom w:val="none" w:sz="0" w:space="0" w:color="auto"/>
        <w:right w:val="none" w:sz="0" w:space="0" w:color="auto"/>
      </w:divBdr>
    </w:div>
    <w:div w:id="873275476">
      <w:bodyDiv w:val="1"/>
      <w:marLeft w:val="0"/>
      <w:marRight w:val="0"/>
      <w:marTop w:val="0"/>
      <w:marBottom w:val="0"/>
      <w:divBdr>
        <w:top w:val="none" w:sz="0" w:space="0" w:color="auto"/>
        <w:left w:val="none" w:sz="0" w:space="0" w:color="auto"/>
        <w:bottom w:val="none" w:sz="0" w:space="0" w:color="auto"/>
        <w:right w:val="none" w:sz="0" w:space="0" w:color="auto"/>
      </w:divBdr>
    </w:div>
    <w:div w:id="873422246">
      <w:bodyDiv w:val="1"/>
      <w:marLeft w:val="0"/>
      <w:marRight w:val="0"/>
      <w:marTop w:val="0"/>
      <w:marBottom w:val="0"/>
      <w:divBdr>
        <w:top w:val="none" w:sz="0" w:space="0" w:color="auto"/>
        <w:left w:val="none" w:sz="0" w:space="0" w:color="auto"/>
        <w:bottom w:val="none" w:sz="0" w:space="0" w:color="auto"/>
        <w:right w:val="none" w:sz="0" w:space="0" w:color="auto"/>
      </w:divBdr>
    </w:div>
    <w:div w:id="873469347">
      <w:bodyDiv w:val="1"/>
      <w:marLeft w:val="0"/>
      <w:marRight w:val="0"/>
      <w:marTop w:val="0"/>
      <w:marBottom w:val="0"/>
      <w:divBdr>
        <w:top w:val="none" w:sz="0" w:space="0" w:color="auto"/>
        <w:left w:val="none" w:sz="0" w:space="0" w:color="auto"/>
        <w:bottom w:val="none" w:sz="0" w:space="0" w:color="auto"/>
        <w:right w:val="none" w:sz="0" w:space="0" w:color="auto"/>
      </w:divBdr>
    </w:div>
    <w:div w:id="873496238">
      <w:bodyDiv w:val="1"/>
      <w:marLeft w:val="0"/>
      <w:marRight w:val="0"/>
      <w:marTop w:val="0"/>
      <w:marBottom w:val="0"/>
      <w:divBdr>
        <w:top w:val="none" w:sz="0" w:space="0" w:color="auto"/>
        <w:left w:val="none" w:sz="0" w:space="0" w:color="auto"/>
        <w:bottom w:val="none" w:sz="0" w:space="0" w:color="auto"/>
        <w:right w:val="none" w:sz="0" w:space="0" w:color="auto"/>
      </w:divBdr>
    </w:div>
    <w:div w:id="873541662">
      <w:bodyDiv w:val="1"/>
      <w:marLeft w:val="0"/>
      <w:marRight w:val="0"/>
      <w:marTop w:val="0"/>
      <w:marBottom w:val="0"/>
      <w:divBdr>
        <w:top w:val="none" w:sz="0" w:space="0" w:color="auto"/>
        <w:left w:val="none" w:sz="0" w:space="0" w:color="auto"/>
        <w:bottom w:val="none" w:sz="0" w:space="0" w:color="auto"/>
        <w:right w:val="none" w:sz="0" w:space="0" w:color="auto"/>
      </w:divBdr>
    </w:div>
    <w:div w:id="873543268">
      <w:bodyDiv w:val="1"/>
      <w:marLeft w:val="0"/>
      <w:marRight w:val="0"/>
      <w:marTop w:val="0"/>
      <w:marBottom w:val="0"/>
      <w:divBdr>
        <w:top w:val="none" w:sz="0" w:space="0" w:color="auto"/>
        <w:left w:val="none" w:sz="0" w:space="0" w:color="auto"/>
        <w:bottom w:val="none" w:sz="0" w:space="0" w:color="auto"/>
        <w:right w:val="none" w:sz="0" w:space="0" w:color="auto"/>
      </w:divBdr>
    </w:div>
    <w:div w:id="873615237">
      <w:bodyDiv w:val="1"/>
      <w:marLeft w:val="0"/>
      <w:marRight w:val="0"/>
      <w:marTop w:val="0"/>
      <w:marBottom w:val="0"/>
      <w:divBdr>
        <w:top w:val="none" w:sz="0" w:space="0" w:color="auto"/>
        <w:left w:val="none" w:sz="0" w:space="0" w:color="auto"/>
        <w:bottom w:val="none" w:sz="0" w:space="0" w:color="auto"/>
        <w:right w:val="none" w:sz="0" w:space="0" w:color="auto"/>
      </w:divBdr>
    </w:div>
    <w:div w:id="873617585">
      <w:bodyDiv w:val="1"/>
      <w:marLeft w:val="0"/>
      <w:marRight w:val="0"/>
      <w:marTop w:val="0"/>
      <w:marBottom w:val="0"/>
      <w:divBdr>
        <w:top w:val="none" w:sz="0" w:space="0" w:color="auto"/>
        <w:left w:val="none" w:sz="0" w:space="0" w:color="auto"/>
        <w:bottom w:val="none" w:sz="0" w:space="0" w:color="auto"/>
        <w:right w:val="none" w:sz="0" w:space="0" w:color="auto"/>
      </w:divBdr>
    </w:div>
    <w:div w:id="873620294">
      <w:bodyDiv w:val="1"/>
      <w:marLeft w:val="0"/>
      <w:marRight w:val="0"/>
      <w:marTop w:val="0"/>
      <w:marBottom w:val="0"/>
      <w:divBdr>
        <w:top w:val="none" w:sz="0" w:space="0" w:color="auto"/>
        <w:left w:val="none" w:sz="0" w:space="0" w:color="auto"/>
        <w:bottom w:val="none" w:sz="0" w:space="0" w:color="auto"/>
        <w:right w:val="none" w:sz="0" w:space="0" w:color="auto"/>
      </w:divBdr>
    </w:div>
    <w:div w:id="873662558">
      <w:bodyDiv w:val="1"/>
      <w:marLeft w:val="0"/>
      <w:marRight w:val="0"/>
      <w:marTop w:val="0"/>
      <w:marBottom w:val="0"/>
      <w:divBdr>
        <w:top w:val="none" w:sz="0" w:space="0" w:color="auto"/>
        <w:left w:val="none" w:sz="0" w:space="0" w:color="auto"/>
        <w:bottom w:val="none" w:sz="0" w:space="0" w:color="auto"/>
        <w:right w:val="none" w:sz="0" w:space="0" w:color="auto"/>
      </w:divBdr>
    </w:div>
    <w:div w:id="873663073">
      <w:bodyDiv w:val="1"/>
      <w:marLeft w:val="0"/>
      <w:marRight w:val="0"/>
      <w:marTop w:val="0"/>
      <w:marBottom w:val="0"/>
      <w:divBdr>
        <w:top w:val="none" w:sz="0" w:space="0" w:color="auto"/>
        <w:left w:val="none" w:sz="0" w:space="0" w:color="auto"/>
        <w:bottom w:val="none" w:sz="0" w:space="0" w:color="auto"/>
        <w:right w:val="none" w:sz="0" w:space="0" w:color="auto"/>
      </w:divBdr>
    </w:div>
    <w:div w:id="873882992">
      <w:bodyDiv w:val="1"/>
      <w:marLeft w:val="0"/>
      <w:marRight w:val="0"/>
      <w:marTop w:val="0"/>
      <w:marBottom w:val="0"/>
      <w:divBdr>
        <w:top w:val="none" w:sz="0" w:space="0" w:color="auto"/>
        <w:left w:val="none" w:sz="0" w:space="0" w:color="auto"/>
        <w:bottom w:val="none" w:sz="0" w:space="0" w:color="auto"/>
        <w:right w:val="none" w:sz="0" w:space="0" w:color="auto"/>
      </w:divBdr>
    </w:div>
    <w:div w:id="873887389">
      <w:bodyDiv w:val="1"/>
      <w:marLeft w:val="0"/>
      <w:marRight w:val="0"/>
      <w:marTop w:val="0"/>
      <w:marBottom w:val="0"/>
      <w:divBdr>
        <w:top w:val="none" w:sz="0" w:space="0" w:color="auto"/>
        <w:left w:val="none" w:sz="0" w:space="0" w:color="auto"/>
        <w:bottom w:val="none" w:sz="0" w:space="0" w:color="auto"/>
        <w:right w:val="none" w:sz="0" w:space="0" w:color="auto"/>
      </w:divBdr>
    </w:div>
    <w:div w:id="874006086">
      <w:bodyDiv w:val="1"/>
      <w:marLeft w:val="0"/>
      <w:marRight w:val="0"/>
      <w:marTop w:val="0"/>
      <w:marBottom w:val="0"/>
      <w:divBdr>
        <w:top w:val="none" w:sz="0" w:space="0" w:color="auto"/>
        <w:left w:val="none" w:sz="0" w:space="0" w:color="auto"/>
        <w:bottom w:val="none" w:sz="0" w:space="0" w:color="auto"/>
        <w:right w:val="none" w:sz="0" w:space="0" w:color="auto"/>
      </w:divBdr>
    </w:div>
    <w:div w:id="874079039">
      <w:bodyDiv w:val="1"/>
      <w:marLeft w:val="0"/>
      <w:marRight w:val="0"/>
      <w:marTop w:val="0"/>
      <w:marBottom w:val="0"/>
      <w:divBdr>
        <w:top w:val="none" w:sz="0" w:space="0" w:color="auto"/>
        <w:left w:val="none" w:sz="0" w:space="0" w:color="auto"/>
        <w:bottom w:val="none" w:sz="0" w:space="0" w:color="auto"/>
        <w:right w:val="none" w:sz="0" w:space="0" w:color="auto"/>
      </w:divBdr>
    </w:div>
    <w:div w:id="874192930">
      <w:bodyDiv w:val="1"/>
      <w:marLeft w:val="0"/>
      <w:marRight w:val="0"/>
      <w:marTop w:val="0"/>
      <w:marBottom w:val="0"/>
      <w:divBdr>
        <w:top w:val="none" w:sz="0" w:space="0" w:color="auto"/>
        <w:left w:val="none" w:sz="0" w:space="0" w:color="auto"/>
        <w:bottom w:val="none" w:sz="0" w:space="0" w:color="auto"/>
        <w:right w:val="none" w:sz="0" w:space="0" w:color="auto"/>
      </w:divBdr>
    </w:div>
    <w:div w:id="874346947">
      <w:bodyDiv w:val="1"/>
      <w:marLeft w:val="0"/>
      <w:marRight w:val="0"/>
      <w:marTop w:val="0"/>
      <w:marBottom w:val="0"/>
      <w:divBdr>
        <w:top w:val="none" w:sz="0" w:space="0" w:color="auto"/>
        <w:left w:val="none" w:sz="0" w:space="0" w:color="auto"/>
        <w:bottom w:val="none" w:sz="0" w:space="0" w:color="auto"/>
        <w:right w:val="none" w:sz="0" w:space="0" w:color="auto"/>
      </w:divBdr>
    </w:div>
    <w:div w:id="874539520">
      <w:bodyDiv w:val="1"/>
      <w:marLeft w:val="0"/>
      <w:marRight w:val="0"/>
      <w:marTop w:val="0"/>
      <w:marBottom w:val="0"/>
      <w:divBdr>
        <w:top w:val="none" w:sz="0" w:space="0" w:color="auto"/>
        <w:left w:val="none" w:sz="0" w:space="0" w:color="auto"/>
        <w:bottom w:val="none" w:sz="0" w:space="0" w:color="auto"/>
        <w:right w:val="none" w:sz="0" w:space="0" w:color="auto"/>
      </w:divBdr>
    </w:div>
    <w:div w:id="874544439">
      <w:bodyDiv w:val="1"/>
      <w:marLeft w:val="0"/>
      <w:marRight w:val="0"/>
      <w:marTop w:val="0"/>
      <w:marBottom w:val="0"/>
      <w:divBdr>
        <w:top w:val="none" w:sz="0" w:space="0" w:color="auto"/>
        <w:left w:val="none" w:sz="0" w:space="0" w:color="auto"/>
        <w:bottom w:val="none" w:sz="0" w:space="0" w:color="auto"/>
        <w:right w:val="none" w:sz="0" w:space="0" w:color="auto"/>
      </w:divBdr>
    </w:div>
    <w:div w:id="874581200">
      <w:bodyDiv w:val="1"/>
      <w:marLeft w:val="0"/>
      <w:marRight w:val="0"/>
      <w:marTop w:val="0"/>
      <w:marBottom w:val="0"/>
      <w:divBdr>
        <w:top w:val="none" w:sz="0" w:space="0" w:color="auto"/>
        <w:left w:val="none" w:sz="0" w:space="0" w:color="auto"/>
        <w:bottom w:val="none" w:sz="0" w:space="0" w:color="auto"/>
        <w:right w:val="none" w:sz="0" w:space="0" w:color="auto"/>
      </w:divBdr>
    </w:div>
    <w:div w:id="874655517">
      <w:bodyDiv w:val="1"/>
      <w:marLeft w:val="0"/>
      <w:marRight w:val="0"/>
      <w:marTop w:val="0"/>
      <w:marBottom w:val="0"/>
      <w:divBdr>
        <w:top w:val="none" w:sz="0" w:space="0" w:color="auto"/>
        <w:left w:val="none" w:sz="0" w:space="0" w:color="auto"/>
        <w:bottom w:val="none" w:sz="0" w:space="0" w:color="auto"/>
        <w:right w:val="none" w:sz="0" w:space="0" w:color="auto"/>
      </w:divBdr>
    </w:div>
    <w:div w:id="874805971">
      <w:bodyDiv w:val="1"/>
      <w:marLeft w:val="0"/>
      <w:marRight w:val="0"/>
      <w:marTop w:val="0"/>
      <w:marBottom w:val="0"/>
      <w:divBdr>
        <w:top w:val="none" w:sz="0" w:space="0" w:color="auto"/>
        <w:left w:val="none" w:sz="0" w:space="0" w:color="auto"/>
        <w:bottom w:val="none" w:sz="0" w:space="0" w:color="auto"/>
        <w:right w:val="none" w:sz="0" w:space="0" w:color="auto"/>
      </w:divBdr>
    </w:div>
    <w:div w:id="874854017">
      <w:bodyDiv w:val="1"/>
      <w:marLeft w:val="0"/>
      <w:marRight w:val="0"/>
      <w:marTop w:val="0"/>
      <w:marBottom w:val="0"/>
      <w:divBdr>
        <w:top w:val="none" w:sz="0" w:space="0" w:color="auto"/>
        <w:left w:val="none" w:sz="0" w:space="0" w:color="auto"/>
        <w:bottom w:val="none" w:sz="0" w:space="0" w:color="auto"/>
        <w:right w:val="none" w:sz="0" w:space="0" w:color="auto"/>
      </w:divBdr>
    </w:div>
    <w:div w:id="875192826">
      <w:bodyDiv w:val="1"/>
      <w:marLeft w:val="0"/>
      <w:marRight w:val="0"/>
      <w:marTop w:val="0"/>
      <w:marBottom w:val="0"/>
      <w:divBdr>
        <w:top w:val="none" w:sz="0" w:space="0" w:color="auto"/>
        <w:left w:val="none" w:sz="0" w:space="0" w:color="auto"/>
        <w:bottom w:val="none" w:sz="0" w:space="0" w:color="auto"/>
        <w:right w:val="none" w:sz="0" w:space="0" w:color="auto"/>
      </w:divBdr>
    </w:div>
    <w:div w:id="875853941">
      <w:bodyDiv w:val="1"/>
      <w:marLeft w:val="0"/>
      <w:marRight w:val="0"/>
      <w:marTop w:val="0"/>
      <w:marBottom w:val="0"/>
      <w:divBdr>
        <w:top w:val="none" w:sz="0" w:space="0" w:color="auto"/>
        <w:left w:val="none" w:sz="0" w:space="0" w:color="auto"/>
        <w:bottom w:val="none" w:sz="0" w:space="0" w:color="auto"/>
        <w:right w:val="none" w:sz="0" w:space="0" w:color="auto"/>
      </w:divBdr>
    </w:div>
    <w:div w:id="875897010">
      <w:bodyDiv w:val="1"/>
      <w:marLeft w:val="0"/>
      <w:marRight w:val="0"/>
      <w:marTop w:val="0"/>
      <w:marBottom w:val="0"/>
      <w:divBdr>
        <w:top w:val="none" w:sz="0" w:space="0" w:color="auto"/>
        <w:left w:val="none" w:sz="0" w:space="0" w:color="auto"/>
        <w:bottom w:val="none" w:sz="0" w:space="0" w:color="auto"/>
        <w:right w:val="none" w:sz="0" w:space="0" w:color="auto"/>
      </w:divBdr>
    </w:div>
    <w:div w:id="875970583">
      <w:bodyDiv w:val="1"/>
      <w:marLeft w:val="0"/>
      <w:marRight w:val="0"/>
      <w:marTop w:val="0"/>
      <w:marBottom w:val="0"/>
      <w:divBdr>
        <w:top w:val="none" w:sz="0" w:space="0" w:color="auto"/>
        <w:left w:val="none" w:sz="0" w:space="0" w:color="auto"/>
        <w:bottom w:val="none" w:sz="0" w:space="0" w:color="auto"/>
        <w:right w:val="none" w:sz="0" w:space="0" w:color="auto"/>
      </w:divBdr>
    </w:div>
    <w:div w:id="876041699">
      <w:bodyDiv w:val="1"/>
      <w:marLeft w:val="0"/>
      <w:marRight w:val="0"/>
      <w:marTop w:val="0"/>
      <w:marBottom w:val="0"/>
      <w:divBdr>
        <w:top w:val="none" w:sz="0" w:space="0" w:color="auto"/>
        <w:left w:val="none" w:sz="0" w:space="0" w:color="auto"/>
        <w:bottom w:val="none" w:sz="0" w:space="0" w:color="auto"/>
        <w:right w:val="none" w:sz="0" w:space="0" w:color="auto"/>
      </w:divBdr>
    </w:div>
    <w:div w:id="876087971">
      <w:bodyDiv w:val="1"/>
      <w:marLeft w:val="0"/>
      <w:marRight w:val="0"/>
      <w:marTop w:val="0"/>
      <w:marBottom w:val="0"/>
      <w:divBdr>
        <w:top w:val="none" w:sz="0" w:space="0" w:color="auto"/>
        <w:left w:val="none" w:sz="0" w:space="0" w:color="auto"/>
        <w:bottom w:val="none" w:sz="0" w:space="0" w:color="auto"/>
        <w:right w:val="none" w:sz="0" w:space="0" w:color="auto"/>
      </w:divBdr>
    </w:div>
    <w:div w:id="876159462">
      <w:bodyDiv w:val="1"/>
      <w:marLeft w:val="0"/>
      <w:marRight w:val="0"/>
      <w:marTop w:val="0"/>
      <w:marBottom w:val="0"/>
      <w:divBdr>
        <w:top w:val="none" w:sz="0" w:space="0" w:color="auto"/>
        <w:left w:val="none" w:sz="0" w:space="0" w:color="auto"/>
        <w:bottom w:val="none" w:sz="0" w:space="0" w:color="auto"/>
        <w:right w:val="none" w:sz="0" w:space="0" w:color="auto"/>
      </w:divBdr>
    </w:div>
    <w:div w:id="876311131">
      <w:bodyDiv w:val="1"/>
      <w:marLeft w:val="0"/>
      <w:marRight w:val="0"/>
      <w:marTop w:val="0"/>
      <w:marBottom w:val="0"/>
      <w:divBdr>
        <w:top w:val="none" w:sz="0" w:space="0" w:color="auto"/>
        <w:left w:val="none" w:sz="0" w:space="0" w:color="auto"/>
        <w:bottom w:val="none" w:sz="0" w:space="0" w:color="auto"/>
        <w:right w:val="none" w:sz="0" w:space="0" w:color="auto"/>
      </w:divBdr>
    </w:div>
    <w:div w:id="876432304">
      <w:bodyDiv w:val="1"/>
      <w:marLeft w:val="0"/>
      <w:marRight w:val="0"/>
      <w:marTop w:val="0"/>
      <w:marBottom w:val="0"/>
      <w:divBdr>
        <w:top w:val="none" w:sz="0" w:space="0" w:color="auto"/>
        <w:left w:val="none" w:sz="0" w:space="0" w:color="auto"/>
        <w:bottom w:val="none" w:sz="0" w:space="0" w:color="auto"/>
        <w:right w:val="none" w:sz="0" w:space="0" w:color="auto"/>
      </w:divBdr>
    </w:div>
    <w:div w:id="876505787">
      <w:bodyDiv w:val="1"/>
      <w:marLeft w:val="0"/>
      <w:marRight w:val="0"/>
      <w:marTop w:val="0"/>
      <w:marBottom w:val="0"/>
      <w:divBdr>
        <w:top w:val="none" w:sz="0" w:space="0" w:color="auto"/>
        <w:left w:val="none" w:sz="0" w:space="0" w:color="auto"/>
        <w:bottom w:val="none" w:sz="0" w:space="0" w:color="auto"/>
        <w:right w:val="none" w:sz="0" w:space="0" w:color="auto"/>
      </w:divBdr>
    </w:div>
    <w:div w:id="876509651">
      <w:bodyDiv w:val="1"/>
      <w:marLeft w:val="0"/>
      <w:marRight w:val="0"/>
      <w:marTop w:val="0"/>
      <w:marBottom w:val="0"/>
      <w:divBdr>
        <w:top w:val="none" w:sz="0" w:space="0" w:color="auto"/>
        <w:left w:val="none" w:sz="0" w:space="0" w:color="auto"/>
        <w:bottom w:val="none" w:sz="0" w:space="0" w:color="auto"/>
        <w:right w:val="none" w:sz="0" w:space="0" w:color="auto"/>
      </w:divBdr>
    </w:div>
    <w:div w:id="876545665">
      <w:bodyDiv w:val="1"/>
      <w:marLeft w:val="0"/>
      <w:marRight w:val="0"/>
      <w:marTop w:val="0"/>
      <w:marBottom w:val="0"/>
      <w:divBdr>
        <w:top w:val="none" w:sz="0" w:space="0" w:color="auto"/>
        <w:left w:val="none" w:sz="0" w:space="0" w:color="auto"/>
        <w:bottom w:val="none" w:sz="0" w:space="0" w:color="auto"/>
        <w:right w:val="none" w:sz="0" w:space="0" w:color="auto"/>
      </w:divBdr>
    </w:div>
    <w:div w:id="876703471">
      <w:bodyDiv w:val="1"/>
      <w:marLeft w:val="0"/>
      <w:marRight w:val="0"/>
      <w:marTop w:val="0"/>
      <w:marBottom w:val="0"/>
      <w:divBdr>
        <w:top w:val="none" w:sz="0" w:space="0" w:color="auto"/>
        <w:left w:val="none" w:sz="0" w:space="0" w:color="auto"/>
        <w:bottom w:val="none" w:sz="0" w:space="0" w:color="auto"/>
        <w:right w:val="none" w:sz="0" w:space="0" w:color="auto"/>
      </w:divBdr>
    </w:div>
    <w:div w:id="877204970">
      <w:bodyDiv w:val="1"/>
      <w:marLeft w:val="0"/>
      <w:marRight w:val="0"/>
      <w:marTop w:val="0"/>
      <w:marBottom w:val="0"/>
      <w:divBdr>
        <w:top w:val="none" w:sz="0" w:space="0" w:color="auto"/>
        <w:left w:val="none" w:sz="0" w:space="0" w:color="auto"/>
        <w:bottom w:val="none" w:sz="0" w:space="0" w:color="auto"/>
        <w:right w:val="none" w:sz="0" w:space="0" w:color="auto"/>
      </w:divBdr>
    </w:div>
    <w:div w:id="877283393">
      <w:bodyDiv w:val="1"/>
      <w:marLeft w:val="0"/>
      <w:marRight w:val="0"/>
      <w:marTop w:val="0"/>
      <w:marBottom w:val="0"/>
      <w:divBdr>
        <w:top w:val="none" w:sz="0" w:space="0" w:color="auto"/>
        <w:left w:val="none" w:sz="0" w:space="0" w:color="auto"/>
        <w:bottom w:val="none" w:sz="0" w:space="0" w:color="auto"/>
        <w:right w:val="none" w:sz="0" w:space="0" w:color="auto"/>
      </w:divBdr>
    </w:div>
    <w:div w:id="877354444">
      <w:bodyDiv w:val="1"/>
      <w:marLeft w:val="0"/>
      <w:marRight w:val="0"/>
      <w:marTop w:val="0"/>
      <w:marBottom w:val="0"/>
      <w:divBdr>
        <w:top w:val="none" w:sz="0" w:space="0" w:color="auto"/>
        <w:left w:val="none" w:sz="0" w:space="0" w:color="auto"/>
        <w:bottom w:val="none" w:sz="0" w:space="0" w:color="auto"/>
        <w:right w:val="none" w:sz="0" w:space="0" w:color="auto"/>
      </w:divBdr>
    </w:div>
    <w:div w:id="877470560">
      <w:bodyDiv w:val="1"/>
      <w:marLeft w:val="0"/>
      <w:marRight w:val="0"/>
      <w:marTop w:val="0"/>
      <w:marBottom w:val="0"/>
      <w:divBdr>
        <w:top w:val="none" w:sz="0" w:space="0" w:color="auto"/>
        <w:left w:val="none" w:sz="0" w:space="0" w:color="auto"/>
        <w:bottom w:val="none" w:sz="0" w:space="0" w:color="auto"/>
        <w:right w:val="none" w:sz="0" w:space="0" w:color="auto"/>
      </w:divBdr>
    </w:div>
    <w:div w:id="877477200">
      <w:bodyDiv w:val="1"/>
      <w:marLeft w:val="0"/>
      <w:marRight w:val="0"/>
      <w:marTop w:val="0"/>
      <w:marBottom w:val="0"/>
      <w:divBdr>
        <w:top w:val="none" w:sz="0" w:space="0" w:color="auto"/>
        <w:left w:val="none" w:sz="0" w:space="0" w:color="auto"/>
        <w:bottom w:val="none" w:sz="0" w:space="0" w:color="auto"/>
        <w:right w:val="none" w:sz="0" w:space="0" w:color="auto"/>
      </w:divBdr>
    </w:div>
    <w:div w:id="877620511">
      <w:bodyDiv w:val="1"/>
      <w:marLeft w:val="0"/>
      <w:marRight w:val="0"/>
      <w:marTop w:val="0"/>
      <w:marBottom w:val="0"/>
      <w:divBdr>
        <w:top w:val="none" w:sz="0" w:space="0" w:color="auto"/>
        <w:left w:val="none" w:sz="0" w:space="0" w:color="auto"/>
        <w:bottom w:val="none" w:sz="0" w:space="0" w:color="auto"/>
        <w:right w:val="none" w:sz="0" w:space="0" w:color="auto"/>
      </w:divBdr>
    </w:div>
    <w:div w:id="877737092">
      <w:bodyDiv w:val="1"/>
      <w:marLeft w:val="0"/>
      <w:marRight w:val="0"/>
      <w:marTop w:val="0"/>
      <w:marBottom w:val="0"/>
      <w:divBdr>
        <w:top w:val="none" w:sz="0" w:space="0" w:color="auto"/>
        <w:left w:val="none" w:sz="0" w:space="0" w:color="auto"/>
        <w:bottom w:val="none" w:sz="0" w:space="0" w:color="auto"/>
        <w:right w:val="none" w:sz="0" w:space="0" w:color="auto"/>
      </w:divBdr>
    </w:div>
    <w:div w:id="877745055">
      <w:bodyDiv w:val="1"/>
      <w:marLeft w:val="0"/>
      <w:marRight w:val="0"/>
      <w:marTop w:val="0"/>
      <w:marBottom w:val="0"/>
      <w:divBdr>
        <w:top w:val="none" w:sz="0" w:space="0" w:color="auto"/>
        <w:left w:val="none" w:sz="0" w:space="0" w:color="auto"/>
        <w:bottom w:val="none" w:sz="0" w:space="0" w:color="auto"/>
        <w:right w:val="none" w:sz="0" w:space="0" w:color="auto"/>
      </w:divBdr>
    </w:div>
    <w:div w:id="877813332">
      <w:bodyDiv w:val="1"/>
      <w:marLeft w:val="0"/>
      <w:marRight w:val="0"/>
      <w:marTop w:val="0"/>
      <w:marBottom w:val="0"/>
      <w:divBdr>
        <w:top w:val="none" w:sz="0" w:space="0" w:color="auto"/>
        <w:left w:val="none" w:sz="0" w:space="0" w:color="auto"/>
        <w:bottom w:val="none" w:sz="0" w:space="0" w:color="auto"/>
        <w:right w:val="none" w:sz="0" w:space="0" w:color="auto"/>
      </w:divBdr>
    </w:div>
    <w:div w:id="877936079">
      <w:bodyDiv w:val="1"/>
      <w:marLeft w:val="0"/>
      <w:marRight w:val="0"/>
      <w:marTop w:val="0"/>
      <w:marBottom w:val="0"/>
      <w:divBdr>
        <w:top w:val="none" w:sz="0" w:space="0" w:color="auto"/>
        <w:left w:val="none" w:sz="0" w:space="0" w:color="auto"/>
        <w:bottom w:val="none" w:sz="0" w:space="0" w:color="auto"/>
        <w:right w:val="none" w:sz="0" w:space="0" w:color="auto"/>
      </w:divBdr>
    </w:div>
    <w:div w:id="878082405">
      <w:bodyDiv w:val="1"/>
      <w:marLeft w:val="0"/>
      <w:marRight w:val="0"/>
      <w:marTop w:val="0"/>
      <w:marBottom w:val="0"/>
      <w:divBdr>
        <w:top w:val="none" w:sz="0" w:space="0" w:color="auto"/>
        <w:left w:val="none" w:sz="0" w:space="0" w:color="auto"/>
        <w:bottom w:val="none" w:sz="0" w:space="0" w:color="auto"/>
        <w:right w:val="none" w:sz="0" w:space="0" w:color="auto"/>
      </w:divBdr>
    </w:div>
    <w:div w:id="878083514">
      <w:bodyDiv w:val="1"/>
      <w:marLeft w:val="0"/>
      <w:marRight w:val="0"/>
      <w:marTop w:val="0"/>
      <w:marBottom w:val="0"/>
      <w:divBdr>
        <w:top w:val="none" w:sz="0" w:space="0" w:color="auto"/>
        <w:left w:val="none" w:sz="0" w:space="0" w:color="auto"/>
        <w:bottom w:val="none" w:sz="0" w:space="0" w:color="auto"/>
        <w:right w:val="none" w:sz="0" w:space="0" w:color="auto"/>
      </w:divBdr>
    </w:div>
    <w:div w:id="878126718">
      <w:bodyDiv w:val="1"/>
      <w:marLeft w:val="0"/>
      <w:marRight w:val="0"/>
      <w:marTop w:val="0"/>
      <w:marBottom w:val="0"/>
      <w:divBdr>
        <w:top w:val="none" w:sz="0" w:space="0" w:color="auto"/>
        <w:left w:val="none" w:sz="0" w:space="0" w:color="auto"/>
        <w:bottom w:val="none" w:sz="0" w:space="0" w:color="auto"/>
        <w:right w:val="none" w:sz="0" w:space="0" w:color="auto"/>
      </w:divBdr>
    </w:div>
    <w:div w:id="878132915">
      <w:bodyDiv w:val="1"/>
      <w:marLeft w:val="0"/>
      <w:marRight w:val="0"/>
      <w:marTop w:val="0"/>
      <w:marBottom w:val="0"/>
      <w:divBdr>
        <w:top w:val="none" w:sz="0" w:space="0" w:color="auto"/>
        <w:left w:val="none" w:sz="0" w:space="0" w:color="auto"/>
        <w:bottom w:val="none" w:sz="0" w:space="0" w:color="auto"/>
        <w:right w:val="none" w:sz="0" w:space="0" w:color="auto"/>
      </w:divBdr>
    </w:div>
    <w:div w:id="878206717">
      <w:bodyDiv w:val="1"/>
      <w:marLeft w:val="0"/>
      <w:marRight w:val="0"/>
      <w:marTop w:val="0"/>
      <w:marBottom w:val="0"/>
      <w:divBdr>
        <w:top w:val="none" w:sz="0" w:space="0" w:color="auto"/>
        <w:left w:val="none" w:sz="0" w:space="0" w:color="auto"/>
        <w:bottom w:val="none" w:sz="0" w:space="0" w:color="auto"/>
        <w:right w:val="none" w:sz="0" w:space="0" w:color="auto"/>
      </w:divBdr>
    </w:div>
    <w:div w:id="878250375">
      <w:bodyDiv w:val="1"/>
      <w:marLeft w:val="0"/>
      <w:marRight w:val="0"/>
      <w:marTop w:val="0"/>
      <w:marBottom w:val="0"/>
      <w:divBdr>
        <w:top w:val="none" w:sz="0" w:space="0" w:color="auto"/>
        <w:left w:val="none" w:sz="0" w:space="0" w:color="auto"/>
        <w:bottom w:val="none" w:sz="0" w:space="0" w:color="auto"/>
        <w:right w:val="none" w:sz="0" w:space="0" w:color="auto"/>
      </w:divBdr>
    </w:div>
    <w:div w:id="878316756">
      <w:bodyDiv w:val="1"/>
      <w:marLeft w:val="0"/>
      <w:marRight w:val="0"/>
      <w:marTop w:val="0"/>
      <w:marBottom w:val="0"/>
      <w:divBdr>
        <w:top w:val="none" w:sz="0" w:space="0" w:color="auto"/>
        <w:left w:val="none" w:sz="0" w:space="0" w:color="auto"/>
        <w:bottom w:val="none" w:sz="0" w:space="0" w:color="auto"/>
        <w:right w:val="none" w:sz="0" w:space="0" w:color="auto"/>
      </w:divBdr>
    </w:div>
    <w:div w:id="878400363">
      <w:bodyDiv w:val="1"/>
      <w:marLeft w:val="0"/>
      <w:marRight w:val="0"/>
      <w:marTop w:val="0"/>
      <w:marBottom w:val="0"/>
      <w:divBdr>
        <w:top w:val="none" w:sz="0" w:space="0" w:color="auto"/>
        <w:left w:val="none" w:sz="0" w:space="0" w:color="auto"/>
        <w:bottom w:val="none" w:sz="0" w:space="0" w:color="auto"/>
        <w:right w:val="none" w:sz="0" w:space="0" w:color="auto"/>
      </w:divBdr>
    </w:div>
    <w:div w:id="878517420">
      <w:bodyDiv w:val="1"/>
      <w:marLeft w:val="0"/>
      <w:marRight w:val="0"/>
      <w:marTop w:val="0"/>
      <w:marBottom w:val="0"/>
      <w:divBdr>
        <w:top w:val="none" w:sz="0" w:space="0" w:color="auto"/>
        <w:left w:val="none" w:sz="0" w:space="0" w:color="auto"/>
        <w:bottom w:val="none" w:sz="0" w:space="0" w:color="auto"/>
        <w:right w:val="none" w:sz="0" w:space="0" w:color="auto"/>
      </w:divBdr>
    </w:div>
    <w:div w:id="878588138">
      <w:bodyDiv w:val="1"/>
      <w:marLeft w:val="0"/>
      <w:marRight w:val="0"/>
      <w:marTop w:val="0"/>
      <w:marBottom w:val="0"/>
      <w:divBdr>
        <w:top w:val="none" w:sz="0" w:space="0" w:color="auto"/>
        <w:left w:val="none" w:sz="0" w:space="0" w:color="auto"/>
        <w:bottom w:val="none" w:sz="0" w:space="0" w:color="auto"/>
        <w:right w:val="none" w:sz="0" w:space="0" w:color="auto"/>
      </w:divBdr>
    </w:div>
    <w:div w:id="878858604">
      <w:bodyDiv w:val="1"/>
      <w:marLeft w:val="0"/>
      <w:marRight w:val="0"/>
      <w:marTop w:val="0"/>
      <w:marBottom w:val="0"/>
      <w:divBdr>
        <w:top w:val="none" w:sz="0" w:space="0" w:color="auto"/>
        <w:left w:val="none" w:sz="0" w:space="0" w:color="auto"/>
        <w:bottom w:val="none" w:sz="0" w:space="0" w:color="auto"/>
        <w:right w:val="none" w:sz="0" w:space="0" w:color="auto"/>
      </w:divBdr>
    </w:div>
    <w:div w:id="878860296">
      <w:bodyDiv w:val="1"/>
      <w:marLeft w:val="0"/>
      <w:marRight w:val="0"/>
      <w:marTop w:val="0"/>
      <w:marBottom w:val="0"/>
      <w:divBdr>
        <w:top w:val="none" w:sz="0" w:space="0" w:color="auto"/>
        <w:left w:val="none" w:sz="0" w:space="0" w:color="auto"/>
        <w:bottom w:val="none" w:sz="0" w:space="0" w:color="auto"/>
        <w:right w:val="none" w:sz="0" w:space="0" w:color="auto"/>
      </w:divBdr>
    </w:div>
    <w:div w:id="878929630">
      <w:bodyDiv w:val="1"/>
      <w:marLeft w:val="0"/>
      <w:marRight w:val="0"/>
      <w:marTop w:val="0"/>
      <w:marBottom w:val="0"/>
      <w:divBdr>
        <w:top w:val="none" w:sz="0" w:space="0" w:color="auto"/>
        <w:left w:val="none" w:sz="0" w:space="0" w:color="auto"/>
        <w:bottom w:val="none" w:sz="0" w:space="0" w:color="auto"/>
        <w:right w:val="none" w:sz="0" w:space="0" w:color="auto"/>
      </w:divBdr>
    </w:div>
    <w:div w:id="878931685">
      <w:bodyDiv w:val="1"/>
      <w:marLeft w:val="0"/>
      <w:marRight w:val="0"/>
      <w:marTop w:val="0"/>
      <w:marBottom w:val="0"/>
      <w:divBdr>
        <w:top w:val="none" w:sz="0" w:space="0" w:color="auto"/>
        <w:left w:val="none" w:sz="0" w:space="0" w:color="auto"/>
        <w:bottom w:val="none" w:sz="0" w:space="0" w:color="auto"/>
        <w:right w:val="none" w:sz="0" w:space="0" w:color="auto"/>
      </w:divBdr>
    </w:div>
    <w:div w:id="878979445">
      <w:bodyDiv w:val="1"/>
      <w:marLeft w:val="0"/>
      <w:marRight w:val="0"/>
      <w:marTop w:val="0"/>
      <w:marBottom w:val="0"/>
      <w:divBdr>
        <w:top w:val="none" w:sz="0" w:space="0" w:color="auto"/>
        <w:left w:val="none" w:sz="0" w:space="0" w:color="auto"/>
        <w:bottom w:val="none" w:sz="0" w:space="0" w:color="auto"/>
        <w:right w:val="none" w:sz="0" w:space="0" w:color="auto"/>
      </w:divBdr>
    </w:div>
    <w:div w:id="878979930">
      <w:bodyDiv w:val="1"/>
      <w:marLeft w:val="0"/>
      <w:marRight w:val="0"/>
      <w:marTop w:val="0"/>
      <w:marBottom w:val="0"/>
      <w:divBdr>
        <w:top w:val="none" w:sz="0" w:space="0" w:color="auto"/>
        <w:left w:val="none" w:sz="0" w:space="0" w:color="auto"/>
        <w:bottom w:val="none" w:sz="0" w:space="0" w:color="auto"/>
        <w:right w:val="none" w:sz="0" w:space="0" w:color="auto"/>
      </w:divBdr>
    </w:div>
    <w:div w:id="879051858">
      <w:bodyDiv w:val="1"/>
      <w:marLeft w:val="0"/>
      <w:marRight w:val="0"/>
      <w:marTop w:val="0"/>
      <w:marBottom w:val="0"/>
      <w:divBdr>
        <w:top w:val="none" w:sz="0" w:space="0" w:color="auto"/>
        <w:left w:val="none" w:sz="0" w:space="0" w:color="auto"/>
        <w:bottom w:val="none" w:sz="0" w:space="0" w:color="auto"/>
        <w:right w:val="none" w:sz="0" w:space="0" w:color="auto"/>
      </w:divBdr>
    </w:div>
    <w:div w:id="879323259">
      <w:bodyDiv w:val="1"/>
      <w:marLeft w:val="0"/>
      <w:marRight w:val="0"/>
      <w:marTop w:val="0"/>
      <w:marBottom w:val="0"/>
      <w:divBdr>
        <w:top w:val="none" w:sz="0" w:space="0" w:color="auto"/>
        <w:left w:val="none" w:sz="0" w:space="0" w:color="auto"/>
        <w:bottom w:val="none" w:sz="0" w:space="0" w:color="auto"/>
        <w:right w:val="none" w:sz="0" w:space="0" w:color="auto"/>
      </w:divBdr>
    </w:div>
    <w:div w:id="879362096">
      <w:bodyDiv w:val="1"/>
      <w:marLeft w:val="0"/>
      <w:marRight w:val="0"/>
      <w:marTop w:val="0"/>
      <w:marBottom w:val="0"/>
      <w:divBdr>
        <w:top w:val="none" w:sz="0" w:space="0" w:color="auto"/>
        <w:left w:val="none" w:sz="0" w:space="0" w:color="auto"/>
        <w:bottom w:val="none" w:sz="0" w:space="0" w:color="auto"/>
        <w:right w:val="none" w:sz="0" w:space="0" w:color="auto"/>
      </w:divBdr>
    </w:div>
    <w:div w:id="879365593">
      <w:bodyDiv w:val="1"/>
      <w:marLeft w:val="0"/>
      <w:marRight w:val="0"/>
      <w:marTop w:val="0"/>
      <w:marBottom w:val="0"/>
      <w:divBdr>
        <w:top w:val="none" w:sz="0" w:space="0" w:color="auto"/>
        <w:left w:val="none" w:sz="0" w:space="0" w:color="auto"/>
        <w:bottom w:val="none" w:sz="0" w:space="0" w:color="auto"/>
        <w:right w:val="none" w:sz="0" w:space="0" w:color="auto"/>
      </w:divBdr>
    </w:div>
    <w:div w:id="879438216">
      <w:bodyDiv w:val="1"/>
      <w:marLeft w:val="0"/>
      <w:marRight w:val="0"/>
      <w:marTop w:val="0"/>
      <w:marBottom w:val="0"/>
      <w:divBdr>
        <w:top w:val="none" w:sz="0" w:space="0" w:color="auto"/>
        <w:left w:val="none" w:sz="0" w:space="0" w:color="auto"/>
        <w:bottom w:val="none" w:sz="0" w:space="0" w:color="auto"/>
        <w:right w:val="none" w:sz="0" w:space="0" w:color="auto"/>
      </w:divBdr>
    </w:div>
    <w:div w:id="879558856">
      <w:bodyDiv w:val="1"/>
      <w:marLeft w:val="0"/>
      <w:marRight w:val="0"/>
      <w:marTop w:val="0"/>
      <w:marBottom w:val="0"/>
      <w:divBdr>
        <w:top w:val="none" w:sz="0" w:space="0" w:color="auto"/>
        <w:left w:val="none" w:sz="0" w:space="0" w:color="auto"/>
        <w:bottom w:val="none" w:sz="0" w:space="0" w:color="auto"/>
        <w:right w:val="none" w:sz="0" w:space="0" w:color="auto"/>
      </w:divBdr>
    </w:div>
    <w:div w:id="879703641">
      <w:bodyDiv w:val="1"/>
      <w:marLeft w:val="0"/>
      <w:marRight w:val="0"/>
      <w:marTop w:val="0"/>
      <w:marBottom w:val="0"/>
      <w:divBdr>
        <w:top w:val="none" w:sz="0" w:space="0" w:color="auto"/>
        <w:left w:val="none" w:sz="0" w:space="0" w:color="auto"/>
        <w:bottom w:val="none" w:sz="0" w:space="0" w:color="auto"/>
        <w:right w:val="none" w:sz="0" w:space="0" w:color="auto"/>
      </w:divBdr>
    </w:div>
    <w:div w:id="879823458">
      <w:bodyDiv w:val="1"/>
      <w:marLeft w:val="0"/>
      <w:marRight w:val="0"/>
      <w:marTop w:val="0"/>
      <w:marBottom w:val="0"/>
      <w:divBdr>
        <w:top w:val="none" w:sz="0" w:space="0" w:color="auto"/>
        <w:left w:val="none" w:sz="0" w:space="0" w:color="auto"/>
        <w:bottom w:val="none" w:sz="0" w:space="0" w:color="auto"/>
        <w:right w:val="none" w:sz="0" w:space="0" w:color="auto"/>
      </w:divBdr>
    </w:div>
    <w:div w:id="879903281">
      <w:bodyDiv w:val="1"/>
      <w:marLeft w:val="0"/>
      <w:marRight w:val="0"/>
      <w:marTop w:val="0"/>
      <w:marBottom w:val="0"/>
      <w:divBdr>
        <w:top w:val="none" w:sz="0" w:space="0" w:color="auto"/>
        <w:left w:val="none" w:sz="0" w:space="0" w:color="auto"/>
        <w:bottom w:val="none" w:sz="0" w:space="0" w:color="auto"/>
        <w:right w:val="none" w:sz="0" w:space="0" w:color="auto"/>
      </w:divBdr>
    </w:div>
    <w:div w:id="879903828">
      <w:bodyDiv w:val="1"/>
      <w:marLeft w:val="0"/>
      <w:marRight w:val="0"/>
      <w:marTop w:val="0"/>
      <w:marBottom w:val="0"/>
      <w:divBdr>
        <w:top w:val="none" w:sz="0" w:space="0" w:color="auto"/>
        <w:left w:val="none" w:sz="0" w:space="0" w:color="auto"/>
        <w:bottom w:val="none" w:sz="0" w:space="0" w:color="auto"/>
        <w:right w:val="none" w:sz="0" w:space="0" w:color="auto"/>
      </w:divBdr>
    </w:div>
    <w:div w:id="880020674">
      <w:bodyDiv w:val="1"/>
      <w:marLeft w:val="0"/>
      <w:marRight w:val="0"/>
      <w:marTop w:val="0"/>
      <w:marBottom w:val="0"/>
      <w:divBdr>
        <w:top w:val="none" w:sz="0" w:space="0" w:color="auto"/>
        <w:left w:val="none" w:sz="0" w:space="0" w:color="auto"/>
        <w:bottom w:val="none" w:sz="0" w:space="0" w:color="auto"/>
        <w:right w:val="none" w:sz="0" w:space="0" w:color="auto"/>
      </w:divBdr>
    </w:div>
    <w:div w:id="880021499">
      <w:bodyDiv w:val="1"/>
      <w:marLeft w:val="0"/>
      <w:marRight w:val="0"/>
      <w:marTop w:val="0"/>
      <w:marBottom w:val="0"/>
      <w:divBdr>
        <w:top w:val="none" w:sz="0" w:space="0" w:color="auto"/>
        <w:left w:val="none" w:sz="0" w:space="0" w:color="auto"/>
        <w:bottom w:val="none" w:sz="0" w:space="0" w:color="auto"/>
        <w:right w:val="none" w:sz="0" w:space="0" w:color="auto"/>
      </w:divBdr>
    </w:div>
    <w:div w:id="880049938">
      <w:bodyDiv w:val="1"/>
      <w:marLeft w:val="0"/>
      <w:marRight w:val="0"/>
      <w:marTop w:val="0"/>
      <w:marBottom w:val="0"/>
      <w:divBdr>
        <w:top w:val="none" w:sz="0" w:space="0" w:color="auto"/>
        <w:left w:val="none" w:sz="0" w:space="0" w:color="auto"/>
        <w:bottom w:val="none" w:sz="0" w:space="0" w:color="auto"/>
        <w:right w:val="none" w:sz="0" w:space="0" w:color="auto"/>
      </w:divBdr>
    </w:div>
    <w:div w:id="880091318">
      <w:bodyDiv w:val="1"/>
      <w:marLeft w:val="0"/>
      <w:marRight w:val="0"/>
      <w:marTop w:val="0"/>
      <w:marBottom w:val="0"/>
      <w:divBdr>
        <w:top w:val="none" w:sz="0" w:space="0" w:color="auto"/>
        <w:left w:val="none" w:sz="0" w:space="0" w:color="auto"/>
        <w:bottom w:val="none" w:sz="0" w:space="0" w:color="auto"/>
        <w:right w:val="none" w:sz="0" w:space="0" w:color="auto"/>
      </w:divBdr>
    </w:div>
    <w:div w:id="880285227">
      <w:bodyDiv w:val="1"/>
      <w:marLeft w:val="0"/>
      <w:marRight w:val="0"/>
      <w:marTop w:val="0"/>
      <w:marBottom w:val="0"/>
      <w:divBdr>
        <w:top w:val="none" w:sz="0" w:space="0" w:color="auto"/>
        <w:left w:val="none" w:sz="0" w:space="0" w:color="auto"/>
        <w:bottom w:val="none" w:sz="0" w:space="0" w:color="auto"/>
        <w:right w:val="none" w:sz="0" w:space="0" w:color="auto"/>
      </w:divBdr>
    </w:div>
    <w:div w:id="880357837">
      <w:bodyDiv w:val="1"/>
      <w:marLeft w:val="0"/>
      <w:marRight w:val="0"/>
      <w:marTop w:val="0"/>
      <w:marBottom w:val="0"/>
      <w:divBdr>
        <w:top w:val="none" w:sz="0" w:space="0" w:color="auto"/>
        <w:left w:val="none" w:sz="0" w:space="0" w:color="auto"/>
        <w:bottom w:val="none" w:sz="0" w:space="0" w:color="auto"/>
        <w:right w:val="none" w:sz="0" w:space="0" w:color="auto"/>
      </w:divBdr>
    </w:div>
    <w:div w:id="880366578">
      <w:bodyDiv w:val="1"/>
      <w:marLeft w:val="0"/>
      <w:marRight w:val="0"/>
      <w:marTop w:val="0"/>
      <w:marBottom w:val="0"/>
      <w:divBdr>
        <w:top w:val="none" w:sz="0" w:space="0" w:color="auto"/>
        <w:left w:val="none" w:sz="0" w:space="0" w:color="auto"/>
        <w:bottom w:val="none" w:sz="0" w:space="0" w:color="auto"/>
        <w:right w:val="none" w:sz="0" w:space="0" w:color="auto"/>
      </w:divBdr>
    </w:div>
    <w:div w:id="880440221">
      <w:bodyDiv w:val="1"/>
      <w:marLeft w:val="0"/>
      <w:marRight w:val="0"/>
      <w:marTop w:val="0"/>
      <w:marBottom w:val="0"/>
      <w:divBdr>
        <w:top w:val="none" w:sz="0" w:space="0" w:color="auto"/>
        <w:left w:val="none" w:sz="0" w:space="0" w:color="auto"/>
        <w:bottom w:val="none" w:sz="0" w:space="0" w:color="auto"/>
        <w:right w:val="none" w:sz="0" w:space="0" w:color="auto"/>
      </w:divBdr>
    </w:div>
    <w:div w:id="880635699">
      <w:bodyDiv w:val="1"/>
      <w:marLeft w:val="0"/>
      <w:marRight w:val="0"/>
      <w:marTop w:val="0"/>
      <w:marBottom w:val="0"/>
      <w:divBdr>
        <w:top w:val="none" w:sz="0" w:space="0" w:color="auto"/>
        <w:left w:val="none" w:sz="0" w:space="0" w:color="auto"/>
        <w:bottom w:val="none" w:sz="0" w:space="0" w:color="auto"/>
        <w:right w:val="none" w:sz="0" w:space="0" w:color="auto"/>
      </w:divBdr>
    </w:div>
    <w:div w:id="880674419">
      <w:bodyDiv w:val="1"/>
      <w:marLeft w:val="0"/>
      <w:marRight w:val="0"/>
      <w:marTop w:val="0"/>
      <w:marBottom w:val="0"/>
      <w:divBdr>
        <w:top w:val="none" w:sz="0" w:space="0" w:color="auto"/>
        <w:left w:val="none" w:sz="0" w:space="0" w:color="auto"/>
        <w:bottom w:val="none" w:sz="0" w:space="0" w:color="auto"/>
        <w:right w:val="none" w:sz="0" w:space="0" w:color="auto"/>
      </w:divBdr>
    </w:div>
    <w:div w:id="880748568">
      <w:bodyDiv w:val="1"/>
      <w:marLeft w:val="0"/>
      <w:marRight w:val="0"/>
      <w:marTop w:val="0"/>
      <w:marBottom w:val="0"/>
      <w:divBdr>
        <w:top w:val="none" w:sz="0" w:space="0" w:color="auto"/>
        <w:left w:val="none" w:sz="0" w:space="0" w:color="auto"/>
        <w:bottom w:val="none" w:sz="0" w:space="0" w:color="auto"/>
        <w:right w:val="none" w:sz="0" w:space="0" w:color="auto"/>
      </w:divBdr>
    </w:div>
    <w:div w:id="880751119">
      <w:bodyDiv w:val="1"/>
      <w:marLeft w:val="0"/>
      <w:marRight w:val="0"/>
      <w:marTop w:val="0"/>
      <w:marBottom w:val="0"/>
      <w:divBdr>
        <w:top w:val="none" w:sz="0" w:space="0" w:color="auto"/>
        <w:left w:val="none" w:sz="0" w:space="0" w:color="auto"/>
        <w:bottom w:val="none" w:sz="0" w:space="0" w:color="auto"/>
        <w:right w:val="none" w:sz="0" w:space="0" w:color="auto"/>
      </w:divBdr>
    </w:div>
    <w:div w:id="880899251">
      <w:bodyDiv w:val="1"/>
      <w:marLeft w:val="0"/>
      <w:marRight w:val="0"/>
      <w:marTop w:val="0"/>
      <w:marBottom w:val="0"/>
      <w:divBdr>
        <w:top w:val="none" w:sz="0" w:space="0" w:color="auto"/>
        <w:left w:val="none" w:sz="0" w:space="0" w:color="auto"/>
        <w:bottom w:val="none" w:sz="0" w:space="0" w:color="auto"/>
        <w:right w:val="none" w:sz="0" w:space="0" w:color="auto"/>
      </w:divBdr>
    </w:div>
    <w:div w:id="880945705">
      <w:bodyDiv w:val="1"/>
      <w:marLeft w:val="0"/>
      <w:marRight w:val="0"/>
      <w:marTop w:val="0"/>
      <w:marBottom w:val="0"/>
      <w:divBdr>
        <w:top w:val="none" w:sz="0" w:space="0" w:color="auto"/>
        <w:left w:val="none" w:sz="0" w:space="0" w:color="auto"/>
        <w:bottom w:val="none" w:sz="0" w:space="0" w:color="auto"/>
        <w:right w:val="none" w:sz="0" w:space="0" w:color="auto"/>
      </w:divBdr>
    </w:div>
    <w:div w:id="881088733">
      <w:bodyDiv w:val="1"/>
      <w:marLeft w:val="0"/>
      <w:marRight w:val="0"/>
      <w:marTop w:val="0"/>
      <w:marBottom w:val="0"/>
      <w:divBdr>
        <w:top w:val="none" w:sz="0" w:space="0" w:color="auto"/>
        <w:left w:val="none" w:sz="0" w:space="0" w:color="auto"/>
        <w:bottom w:val="none" w:sz="0" w:space="0" w:color="auto"/>
        <w:right w:val="none" w:sz="0" w:space="0" w:color="auto"/>
      </w:divBdr>
    </w:div>
    <w:div w:id="881090372">
      <w:bodyDiv w:val="1"/>
      <w:marLeft w:val="0"/>
      <w:marRight w:val="0"/>
      <w:marTop w:val="0"/>
      <w:marBottom w:val="0"/>
      <w:divBdr>
        <w:top w:val="none" w:sz="0" w:space="0" w:color="auto"/>
        <w:left w:val="none" w:sz="0" w:space="0" w:color="auto"/>
        <w:bottom w:val="none" w:sz="0" w:space="0" w:color="auto"/>
        <w:right w:val="none" w:sz="0" w:space="0" w:color="auto"/>
      </w:divBdr>
    </w:div>
    <w:div w:id="881282738">
      <w:bodyDiv w:val="1"/>
      <w:marLeft w:val="0"/>
      <w:marRight w:val="0"/>
      <w:marTop w:val="0"/>
      <w:marBottom w:val="0"/>
      <w:divBdr>
        <w:top w:val="none" w:sz="0" w:space="0" w:color="auto"/>
        <w:left w:val="none" w:sz="0" w:space="0" w:color="auto"/>
        <w:bottom w:val="none" w:sz="0" w:space="0" w:color="auto"/>
        <w:right w:val="none" w:sz="0" w:space="0" w:color="auto"/>
      </w:divBdr>
    </w:div>
    <w:div w:id="881408199">
      <w:bodyDiv w:val="1"/>
      <w:marLeft w:val="0"/>
      <w:marRight w:val="0"/>
      <w:marTop w:val="0"/>
      <w:marBottom w:val="0"/>
      <w:divBdr>
        <w:top w:val="none" w:sz="0" w:space="0" w:color="auto"/>
        <w:left w:val="none" w:sz="0" w:space="0" w:color="auto"/>
        <w:bottom w:val="none" w:sz="0" w:space="0" w:color="auto"/>
        <w:right w:val="none" w:sz="0" w:space="0" w:color="auto"/>
      </w:divBdr>
    </w:div>
    <w:div w:id="881408643">
      <w:bodyDiv w:val="1"/>
      <w:marLeft w:val="0"/>
      <w:marRight w:val="0"/>
      <w:marTop w:val="0"/>
      <w:marBottom w:val="0"/>
      <w:divBdr>
        <w:top w:val="none" w:sz="0" w:space="0" w:color="auto"/>
        <w:left w:val="none" w:sz="0" w:space="0" w:color="auto"/>
        <w:bottom w:val="none" w:sz="0" w:space="0" w:color="auto"/>
        <w:right w:val="none" w:sz="0" w:space="0" w:color="auto"/>
      </w:divBdr>
    </w:div>
    <w:div w:id="881593571">
      <w:bodyDiv w:val="1"/>
      <w:marLeft w:val="0"/>
      <w:marRight w:val="0"/>
      <w:marTop w:val="0"/>
      <w:marBottom w:val="0"/>
      <w:divBdr>
        <w:top w:val="none" w:sz="0" w:space="0" w:color="auto"/>
        <w:left w:val="none" w:sz="0" w:space="0" w:color="auto"/>
        <w:bottom w:val="none" w:sz="0" w:space="0" w:color="auto"/>
        <w:right w:val="none" w:sz="0" w:space="0" w:color="auto"/>
      </w:divBdr>
    </w:div>
    <w:div w:id="881748925">
      <w:bodyDiv w:val="1"/>
      <w:marLeft w:val="0"/>
      <w:marRight w:val="0"/>
      <w:marTop w:val="0"/>
      <w:marBottom w:val="0"/>
      <w:divBdr>
        <w:top w:val="none" w:sz="0" w:space="0" w:color="auto"/>
        <w:left w:val="none" w:sz="0" w:space="0" w:color="auto"/>
        <w:bottom w:val="none" w:sz="0" w:space="0" w:color="auto"/>
        <w:right w:val="none" w:sz="0" w:space="0" w:color="auto"/>
      </w:divBdr>
    </w:div>
    <w:div w:id="881941881">
      <w:bodyDiv w:val="1"/>
      <w:marLeft w:val="0"/>
      <w:marRight w:val="0"/>
      <w:marTop w:val="0"/>
      <w:marBottom w:val="0"/>
      <w:divBdr>
        <w:top w:val="none" w:sz="0" w:space="0" w:color="auto"/>
        <w:left w:val="none" w:sz="0" w:space="0" w:color="auto"/>
        <w:bottom w:val="none" w:sz="0" w:space="0" w:color="auto"/>
        <w:right w:val="none" w:sz="0" w:space="0" w:color="auto"/>
      </w:divBdr>
    </w:div>
    <w:div w:id="881943367">
      <w:bodyDiv w:val="1"/>
      <w:marLeft w:val="0"/>
      <w:marRight w:val="0"/>
      <w:marTop w:val="0"/>
      <w:marBottom w:val="0"/>
      <w:divBdr>
        <w:top w:val="none" w:sz="0" w:space="0" w:color="auto"/>
        <w:left w:val="none" w:sz="0" w:space="0" w:color="auto"/>
        <w:bottom w:val="none" w:sz="0" w:space="0" w:color="auto"/>
        <w:right w:val="none" w:sz="0" w:space="0" w:color="auto"/>
      </w:divBdr>
    </w:div>
    <w:div w:id="881986515">
      <w:bodyDiv w:val="1"/>
      <w:marLeft w:val="0"/>
      <w:marRight w:val="0"/>
      <w:marTop w:val="0"/>
      <w:marBottom w:val="0"/>
      <w:divBdr>
        <w:top w:val="none" w:sz="0" w:space="0" w:color="auto"/>
        <w:left w:val="none" w:sz="0" w:space="0" w:color="auto"/>
        <w:bottom w:val="none" w:sz="0" w:space="0" w:color="auto"/>
        <w:right w:val="none" w:sz="0" w:space="0" w:color="auto"/>
      </w:divBdr>
    </w:div>
    <w:div w:id="881989001">
      <w:bodyDiv w:val="1"/>
      <w:marLeft w:val="0"/>
      <w:marRight w:val="0"/>
      <w:marTop w:val="0"/>
      <w:marBottom w:val="0"/>
      <w:divBdr>
        <w:top w:val="none" w:sz="0" w:space="0" w:color="auto"/>
        <w:left w:val="none" w:sz="0" w:space="0" w:color="auto"/>
        <w:bottom w:val="none" w:sz="0" w:space="0" w:color="auto"/>
        <w:right w:val="none" w:sz="0" w:space="0" w:color="auto"/>
      </w:divBdr>
    </w:div>
    <w:div w:id="882209387">
      <w:bodyDiv w:val="1"/>
      <w:marLeft w:val="0"/>
      <w:marRight w:val="0"/>
      <w:marTop w:val="0"/>
      <w:marBottom w:val="0"/>
      <w:divBdr>
        <w:top w:val="none" w:sz="0" w:space="0" w:color="auto"/>
        <w:left w:val="none" w:sz="0" w:space="0" w:color="auto"/>
        <w:bottom w:val="none" w:sz="0" w:space="0" w:color="auto"/>
        <w:right w:val="none" w:sz="0" w:space="0" w:color="auto"/>
      </w:divBdr>
    </w:div>
    <w:div w:id="882210247">
      <w:bodyDiv w:val="1"/>
      <w:marLeft w:val="0"/>
      <w:marRight w:val="0"/>
      <w:marTop w:val="0"/>
      <w:marBottom w:val="0"/>
      <w:divBdr>
        <w:top w:val="none" w:sz="0" w:space="0" w:color="auto"/>
        <w:left w:val="none" w:sz="0" w:space="0" w:color="auto"/>
        <w:bottom w:val="none" w:sz="0" w:space="0" w:color="auto"/>
        <w:right w:val="none" w:sz="0" w:space="0" w:color="auto"/>
      </w:divBdr>
    </w:div>
    <w:div w:id="882249923">
      <w:bodyDiv w:val="1"/>
      <w:marLeft w:val="0"/>
      <w:marRight w:val="0"/>
      <w:marTop w:val="0"/>
      <w:marBottom w:val="0"/>
      <w:divBdr>
        <w:top w:val="none" w:sz="0" w:space="0" w:color="auto"/>
        <w:left w:val="none" w:sz="0" w:space="0" w:color="auto"/>
        <w:bottom w:val="none" w:sz="0" w:space="0" w:color="auto"/>
        <w:right w:val="none" w:sz="0" w:space="0" w:color="auto"/>
      </w:divBdr>
    </w:div>
    <w:div w:id="882252885">
      <w:bodyDiv w:val="1"/>
      <w:marLeft w:val="0"/>
      <w:marRight w:val="0"/>
      <w:marTop w:val="0"/>
      <w:marBottom w:val="0"/>
      <w:divBdr>
        <w:top w:val="none" w:sz="0" w:space="0" w:color="auto"/>
        <w:left w:val="none" w:sz="0" w:space="0" w:color="auto"/>
        <w:bottom w:val="none" w:sz="0" w:space="0" w:color="auto"/>
        <w:right w:val="none" w:sz="0" w:space="0" w:color="auto"/>
      </w:divBdr>
    </w:div>
    <w:div w:id="882254722">
      <w:bodyDiv w:val="1"/>
      <w:marLeft w:val="0"/>
      <w:marRight w:val="0"/>
      <w:marTop w:val="0"/>
      <w:marBottom w:val="0"/>
      <w:divBdr>
        <w:top w:val="none" w:sz="0" w:space="0" w:color="auto"/>
        <w:left w:val="none" w:sz="0" w:space="0" w:color="auto"/>
        <w:bottom w:val="none" w:sz="0" w:space="0" w:color="auto"/>
        <w:right w:val="none" w:sz="0" w:space="0" w:color="auto"/>
      </w:divBdr>
    </w:div>
    <w:div w:id="882332290">
      <w:bodyDiv w:val="1"/>
      <w:marLeft w:val="0"/>
      <w:marRight w:val="0"/>
      <w:marTop w:val="0"/>
      <w:marBottom w:val="0"/>
      <w:divBdr>
        <w:top w:val="none" w:sz="0" w:space="0" w:color="auto"/>
        <w:left w:val="none" w:sz="0" w:space="0" w:color="auto"/>
        <w:bottom w:val="none" w:sz="0" w:space="0" w:color="auto"/>
        <w:right w:val="none" w:sz="0" w:space="0" w:color="auto"/>
      </w:divBdr>
    </w:div>
    <w:div w:id="882401029">
      <w:bodyDiv w:val="1"/>
      <w:marLeft w:val="0"/>
      <w:marRight w:val="0"/>
      <w:marTop w:val="0"/>
      <w:marBottom w:val="0"/>
      <w:divBdr>
        <w:top w:val="none" w:sz="0" w:space="0" w:color="auto"/>
        <w:left w:val="none" w:sz="0" w:space="0" w:color="auto"/>
        <w:bottom w:val="none" w:sz="0" w:space="0" w:color="auto"/>
        <w:right w:val="none" w:sz="0" w:space="0" w:color="auto"/>
      </w:divBdr>
    </w:div>
    <w:div w:id="882445317">
      <w:bodyDiv w:val="1"/>
      <w:marLeft w:val="0"/>
      <w:marRight w:val="0"/>
      <w:marTop w:val="0"/>
      <w:marBottom w:val="0"/>
      <w:divBdr>
        <w:top w:val="none" w:sz="0" w:space="0" w:color="auto"/>
        <w:left w:val="none" w:sz="0" w:space="0" w:color="auto"/>
        <w:bottom w:val="none" w:sz="0" w:space="0" w:color="auto"/>
        <w:right w:val="none" w:sz="0" w:space="0" w:color="auto"/>
      </w:divBdr>
    </w:div>
    <w:div w:id="882446629">
      <w:bodyDiv w:val="1"/>
      <w:marLeft w:val="0"/>
      <w:marRight w:val="0"/>
      <w:marTop w:val="0"/>
      <w:marBottom w:val="0"/>
      <w:divBdr>
        <w:top w:val="none" w:sz="0" w:space="0" w:color="auto"/>
        <w:left w:val="none" w:sz="0" w:space="0" w:color="auto"/>
        <w:bottom w:val="none" w:sz="0" w:space="0" w:color="auto"/>
        <w:right w:val="none" w:sz="0" w:space="0" w:color="auto"/>
      </w:divBdr>
    </w:div>
    <w:div w:id="882592690">
      <w:bodyDiv w:val="1"/>
      <w:marLeft w:val="0"/>
      <w:marRight w:val="0"/>
      <w:marTop w:val="0"/>
      <w:marBottom w:val="0"/>
      <w:divBdr>
        <w:top w:val="none" w:sz="0" w:space="0" w:color="auto"/>
        <w:left w:val="none" w:sz="0" w:space="0" w:color="auto"/>
        <w:bottom w:val="none" w:sz="0" w:space="0" w:color="auto"/>
        <w:right w:val="none" w:sz="0" w:space="0" w:color="auto"/>
      </w:divBdr>
    </w:div>
    <w:div w:id="882643925">
      <w:bodyDiv w:val="1"/>
      <w:marLeft w:val="0"/>
      <w:marRight w:val="0"/>
      <w:marTop w:val="0"/>
      <w:marBottom w:val="0"/>
      <w:divBdr>
        <w:top w:val="none" w:sz="0" w:space="0" w:color="auto"/>
        <w:left w:val="none" w:sz="0" w:space="0" w:color="auto"/>
        <w:bottom w:val="none" w:sz="0" w:space="0" w:color="auto"/>
        <w:right w:val="none" w:sz="0" w:space="0" w:color="auto"/>
      </w:divBdr>
    </w:div>
    <w:div w:id="882862812">
      <w:bodyDiv w:val="1"/>
      <w:marLeft w:val="0"/>
      <w:marRight w:val="0"/>
      <w:marTop w:val="0"/>
      <w:marBottom w:val="0"/>
      <w:divBdr>
        <w:top w:val="none" w:sz="0" w:space="0" w:color="auto"/>
        <w:left w:val="none" w:sz="0" w:space="0" w:color="auto"/>
        <w:bottom w:val="none" w:sz="0" w:space="0" w:color="auto"/>
        <w:right w:val="none" w:sz="0" w:space="0" w:color="auto"/>
      </w:divBdr>
    </w:div>
    <w:div w:id="882863248">
      <w:bodyDiv w:val="1"/>
      <w:marLeft w:val="0"/>
      <w:marRight w:val="0"/>
      <w:marTop w:val="0"/>
      <w:marBottom w:val="0"/>
      <w:divBdr>
        <w:top w:val="none" w:sz="0" w:space="0" w:color="auto"/>
        <w:left w:val="none" w:sz="0" w:space="0" w:color="auto"/>
        <w:bottom w:val="none" w:sz="0" w:space="0" w:color="auto"/>
        <w:right w:val="none" w:sz="0" w:space="0" w:color="auto"/>
      </w:divBdr>
    </w:div>
    <w:div w:id="882904571">
      <w:bodyDiv w:val="1"/>
      <w:marLeft w:val="0"/>
      <w:marRight w:val="0"/>
      <w:marTop w:val="0"/>
      <w:marBottom w:val="0"/>
      <w:divBdr>
        <w:top w:val="none" w:sz="0" w:space="0" w:color="auto"/>
        <w:left w:val="none" w:sz="0" w:space="0" w:color="auto"/>
        <w:bottom w:val="none" w:sz="0" w:space="0" w:color="auto"/>
        <w:right w:val="none" w:sz="0" w:space="0" w:color="auto"/>
      </w:divBdr>
    </w:div>
    <w:div w:id="883105251">
      <w:bodyDiv w:val="1"/>
      <w:marLeft w:val="0"/>
      <w:marRight w:val="0"/>
      <w:marTop w:val="0"/>
      <w:marBottom w:val="0"/>
      <w:divBdr>
        <w:top w:val="none" w:sz="0" w:space="0" w:color="auto"/>
        <w:left w:val="none" w:sz="0" w:space="0" w:color="auto"/>
        <w:bottom w:val="none" w:sz="0" w:space="0" w:color="auto"/>
        <w:right w:val="none" w:sz="0" w:space="0" w:color="auto"/>
      </w:divBdr>
    </w:div>
    <w:div w:id="883248827">
      <w:bodyDiv w:val="1"/>
      <w:marLeft w:val="0"/>
      <w:marRight w:val="0"/>
      <w:marTop w:val="0"/>
      <w:marBottom w:val="0"/>
      <w:divBdr>
        <w:top w:val="none" w:sz="0" w:space="0" w:color="auto"/>
        <w:left w:val="none" w:sz="0" w:space="0" w:color="auto"/>
        <w:bottom w:val="none" w:sz="0" w:space="0" w:color="auto"/>
        <w:right w:val="none" w:sz="0" w:space="0" w:color="auto"/>
      </w:divBdr>
    </w:div>
    <w:div w:id="883372927">
      <w:bodyDiv w:val="1"/>
      <w:marLeft w:val="0"/>
      <w:marRight w:val="0"/>
      <w:marTop w:val="0"/>
      <w:marBottom w:val="0"/>
      <w:divBdr>
        <w:top w:val="none" w:sz="0" w:space="0" w:color="auto"/>
        <w:left w:val="none" w:sz="0" w:space="0" w:color="auto"/>
        <w:bottom w:val="none" w:sz="0" w:space="0" w:color="auto"/>
        <w:right w:val="none" w:sz="0" w:space="0" w:color="auto"/>
      </w:divBdr>
    </w:div>
    <w:div w:id="883443385">
      <w:bodyDiv w:val="1"/>
      <w:marLeft w:val="0"/>
      <w:marRight w:val="0"/>
      <w:marTop w:val="0"/>
      <w:marBottom w:val="0"/>
      <w:divBdr>
        <w:top w:val="none" w:sz="0" w:space="0" w:color="auto"/>
        <w:left w:val="none" w:sz="0" w:space="0" w:color="auto"/>
        <w:bottom w:val="none" w:sz="0" w:space="0" w:color="auto"/>
        <w:right w:val="none" w:sz="0" w:space="0" w:color="auto"/>
      </w:divBdr>
    </w:div>
    <w:div w:id="883443538">
      <w:bodyDiv w:val="1"/>
      <w:marLeft w:val="0"/>
      <w:marRight w:val="0"/>
      <w:marTop w:val="0"/>
      <w:marBottom w:val="0"/>
      <w:divBdr>
        <w:top w:val="none" w:sz="0" w:space="0" w:color="auto"/>
        <w:left w:val="none" w:sz="0" w:space="0" w:color="auto"/>
        <w:bottom w:val="none" w:sz="0" w:space="0" w:color="auto"/>
        <w:right w:val="none" w:sz="0" w:space="0" w:color="auto"/>
      </w:divBdr>
    </w:div>
    <w:div w:id="883562559">
      <w:bodyDiv w:val="1"/>
      <w:marLeft w:val="0"/>
      <w:marRight w:val="0"/>
      <w:marTop w:val="0"/>
      <w:marBottom w:val="0"/>
      <w:divBdr>
        <w:top w:val="none" w:sz="0" w:space="0" w:color="auto"/>
        <w:left w:val="none" w:sz="0" w:space="0" w:color="auto"/>
        <w:bottom w:val="none" w:sz="0" w:space="0" w:color="auto"/>
        <w:right w:val="none" w:sz="0" w:space="0" w:color="auto"/>
      </w:divBdr>
    </w:div>
    <w:div w:id="883640986">
      <w:bodyDiv w:val="1"/>
      <w:marLeft w:val="0"/>
      <w:marRight w:val="0"/>
      <w:marTop w:val="0"/>
      <w:marBottom w:val="0"/>
      <w:divBdr>
        <w:top w:val="none" w:sz="0" w:space="0" w:color="auto"/>
        <w:left w:val="none" w:sz="0" w:space="0" w:color="auto"/>
        <w:bottom w:val="none" w:sz="0" w:space="0" w:color="auto"/>
        <w:right w:val="none" w:sz="0" w:space="0" w:color="auto"/>
      </w:divBdr>
    </w:div>
    <w:div w:id="883715937">
      <w:bodyDiv w:val="1"/>
      <w:marLeft w:val="0"/>
      <w:marRight w:val="0"/>
      <w:marTop w:val="0"/>
      <w:marBottom w:val="0"/>
      <w:divBdr>
        <w:top w:val="none" w:sz="0" w:space="0" w:color="auto"/>
        <w:left w:val="none" w:sz="0" w:space="0" w:color="auto"/>
        <w:bottom w:val="none" w:sz="0" w:space="0" w:color="auto"/>
        <w:right w:val="none" w:sz="0" w:space="0" w:color="auto"/>
      </w:divBdr>
    </w:div>
    <w:div w:id="883829632">
      <w:bodyDiv w:val="1"/>
      <w:marLeft w:val="0"/>
      <w:marRight w:val="0"/>
      <w:marTop w:val="0"/>
      <w:marBottom w:val="0"/>
      <w:divBdr>
        <w:top w:val="none" w:sz="0" w:space="0" w:color="auto"/>
        <w:left w:val="none" w:sz="0" w:space="0" w:color="auto"/>
        <w:bottom w:val="none" w:sz="0" w:space="0" w:color="auto"/>
        <w:right w:val="none" w:sz="0" w:space="0" w:color="auto"/>
      </w:divBdr>
    </w:div>
    <w:div w:id="883906888">
      <w:bodyDiv w:val="1"/>
      <w:marLeft w:val="0"/>
      <w:marRight w:val="0"/>
      <w:marTop w:val="0"/>
      <w:marBottom w:val="0"/>
      <w:divBdr>
        <w:top w:val="none" w:sz="0" w:space="0" w:color="auto"/>
        <w:left w:val="none" w:sz="0" w:space="0" w:color="auto"/>
        <w:bottom w:val="none" w:sz="0" w:space="0" w:color="auto"/>
        <w:right w:val="none" w:sz="0" w:space="0" w:color="auto"/>
      </w:divBdr>
    </w:div>
    <w:div w:id="883953388">
      <w:bodyDiv w:val="1"/>
      <w:marLeft w:val="0"/>
      <w:marRight w:val="0"/>
      <w:marTop w:val="0"/>
      <w:marBottom w:val="0"/>
      <w:divBdr>
        <w:top w:val="none" w:sz="0" w:space="0" w:color="auto"/>
        <w:left w:val="none" w:sz="0" w:space="0" w:color="auto"/>
        <w:bottom w:val="none" w:sz="0" w:space="0" w:color="auto"/>
        <w:right w:val="none" w:sz="0" w:space="0" w:color="auto"/>
      </w:divBdr>
    </w:div>
    <w:div w:id="883978209">
      <w:bodyDiv w:val="1"/>
      <w:marLeft w:val="0"/>
      <w:marRight w:val="0"/>
      <w:marTop w:val="0"/>
      <w:marBottom w:val="0"/>
      <w:divBdr>
        <w:top w:val="none" w:sz="0" w:space="0" w:color="auto"/>
        <w:left w:val="none" w:sz="0" w:space="0" w:color="auto"/>
        <w:bottom w:val="none" w:sz="0" w:space="0" w:color="auto"/>
        <w:right w:val="none" w:sz="0" w:space="0" w:color="auto"/>
      </w:divBdr>
    </w:div>
    <w:div w:id="883979713">
      <w:bodyDiv w:val="1"/>
      <w:marLeft w:val="0"/>
      <w:marRight w:val="0"/>
      <w:marTop w:val="0"/>
      <w:marBottom w:val="0"/>
      <w:divBdr>
        <w:top w:val="none" w:sz="0" w:space="0" w:color="auto"/>
        <w:left w:val="none" w:sz="0" w:space="0" w:color="auto"/>
        <w:bottom w:val="none" w:sz="0" w:space="0" w:color="auto"/>
        <w:right w:val="none" w:sz="0" w:space="0" w:color="auto"/>
      </w:divBdr>
    </w:div>
    <w:div w:id="884096349">
      <w:bodyDiv w:val="1"/>
      <w:marLeft w:val="0"/>
      <w:marRight w:val="0"/>
      <w:marTop w:val="0"/>
      <w:marBottom w:val="0"/>
      <w:divBdr>
        <w:top w:val="none" w:sz="0" w:space="0" w:color="auto"/>
        <w:left w:val="none" w:sz="0" w:space="0" w:color="auto"/>
        <w:bottom w:val="none" w:sz="0" w:space="0" w:color="auto"/>
        <w:right w:val="none" w:sz="0" w:space="0" w:color="auto"/>
      </w:divBdr>
    </w:div>
    <w:div w:id="884104171">
      <w:bodyDiv w:val="1"/>
      <w:marLeft w:val="0"/>
      <w:marRight w:val="0"/>
      <w:marTop w:val="0"/>
      <w:marBottom w:val="0"/>
      <w:divBdr>
        <w:top w:val="none" w:sz="0" w:space="0" w:color="auto"/>
        <w:left w:val="none" w:sz="0" w:space="0" w:color="auto"/>
        <w:bottom w:val="none" w:sz="0" w:space="0" w:color="auto"/>
        <w:right w:val="none" w:sz="0" w:space="0" w:color="auto"/>
      </w:divBdr>
    </w:div>
    <w:div w:id="884221663">
      <w:bodyDiv w:val="1"/>
      <w:marLeft w:val="0"/>
      <w:marRight w:val="0"/>
      <w:marTop w:val="0"/>
      <w:marBottom w:val="0"/>
      <w:divBdr>
        <w:top w:val="none" w:sz="0" w:space="0" w:color="auto"/>
        <w:left w:val="none" w:sz="0" w:space="0" w:color="auto"/>
        <w:bottom w:val="none" w:sz="0" w:space="0" w:color="auto"/>
        <w:right w:val="none" w:sz="0" w:space="0" w:color="auto"/>
      </w:divBdr>
    </w:div>
    <w:div w:id="884374180">
      <w:bodyDiv w:val="1"/>
      <w:marLeft w:val="0"/>
      <w:marRight w:val="0"/>
      <w:marTop w:val="0"/>
      <w:marBottom w:val="0"/>
      <w:divBdr>
        <w:top w:val="none" w:sz="0" w:space="0" w:color="auto"/>
        <w:left w:val="none" w:sz="0" w:space="0" w:color="auto"/>
        <w:bottom w:val="none" w:sz="0" w:space="0" w:color="auto"/>
        <w:right w:val="none" w:sz="0" w:space="0" w:color="auto"/>
      </w:divBdr>
    </w:div>
    <w:div w:id="884413794">
      <w:bodyDiv w:val="1"/>
      <w:marLeft w:val="0"/>
      <w:marRight w:val="0"/>
      <w:marTop w:val="0"/>
      <w:marBottom w:val="0"/>
      <w:divBdr>
        <w:top w:val="none" w:sz="0" w:space="0" w:color="auto"/>
        <w:left w:val="none" w:sz="0" w:space="0" w:color="auto"/>
        <w:bottom w:val="none" w:sz="0" w:space="0" w:color="auto"/>
        <w:right w:val="none" w:sz="0" w:space="0" w:color="auto"/>
      </w:divBdr>
    </w:div>
    <w:div w:id="884440999">
      <w:bodyDiv w:val="1"/>
      <w:marLeft w:val="0"/>
      <w:marRight w:val="0"/>
      <w:marTop w:val="0"/>
      <w:marBottom w:val="0"/>
      <w:divBdr>
        <w:top w:val="none" w:sz="0" w:space="0" w:color="auto"/>
        <w:left w:val="none" w:sz="0" w:space="0" w:color="auto"/>
        <w:bottom w:val="none" w:sz="0" w:space="0" w:color="auto"/>
        <w:right w:val="none" w:sz="0" w:space="0" w:color="auto"/>
      </w:divBdr>
    </w:div>
    <w:div w:id="884485717">
      <w:bodyDiv w:val="1"/>
      <w:marLeft w:val="0"/>
      <w:marRight w:val="0"/>
      <w:marTop w:val="0"/>
      <w:marBottom w:val="0"/>
      <w:divBdr>
        <w:top w:val="none" w:sz="0" w:space="0" w:color="auto"/>
        <w:left w:val="none" w:sz="0" w:space="0" w:color="auto"/>
        <w:bottom w:val="none" w:sz="0" w:space="0" w:color="auto"/>
        <w:right w:val="none" w:sz="0" w:space="0" w:color="auto"/>
      </w:divBdr>
    </w:div>
    <w:div w:id="884491069">
      <w:bodyDiv w:val="1"/>
      <w:marLeft w:val="0"/>
      <w:marRight w:val="0"/>
      <w:marTop w:val="0"/>
      <w:marBottom w:val="0"/>
      <w:divBdr>
        <w:top w:val="none" w:sz="0" w:space="0" w:color="auto"/>
        <w:left w:val="none" w:sz="0" w:space="0" w:color="auto"/>
        <w:bottom w:val="none" w:sz="0" w:space="0" w:color="auto"/>
        <w:right w:val="none" w:sz="0" w:space="0" w:color="auto"/>
      </w:divBdr>
    </w:div>
    <w:div w:id="884491244">
      <w:bodyDiv w:val="1"/>
      <w:marLeft w:val="0"/>
      <w:marRight w:val="0"/>
      <w:marTop w:val="0"/>
      <w:marBottom w:val="0"/>
      <w:divBdr>
        <w:top w:val="none" w:sz="0" w:space="0" w:color="auto"/>
        <w:left w:val="none" w:sz="0" w:space="0" w:color="auto"/>
        <w:bottom w:val="none" w:sz="0" w:space="0" w:color="auto"/>
        <w:right w:val="none" w:sz="0" w:space="0" w:color="auto"/>
      </w:divBdr>
    </w:div>
    <w:div w:id="884562651">
      <w:bodyDiv w:val="1"/>
      <w:marLeft w:val="0"/>
      <w:marRight w:val="0"/>
      <w:marTop w:val="0"/>
      <w:marBottom w:val="0"/>
      <w:divBdr>
        <w:top w:val="none" w:sz="0" w:space="0" w:color="auto"/>
        <w:left w:val="none" w:sz="0" w:space="0" w:color="auto"/>
        <w:bottom w:val="none" w:sz="0" w:space="0" w:color="auto"/>
        <w:right w:val="none" w:sz="0" w:space="0" w:color="auto"/>
      </w:divBdr>
    </w:div>
    <w:div w:id="884564417">
      <w:bodyDiv w:val="1"/>
      <w:marLeft w:val="0"/>
      <w:marRight w:val="0"/>
      <w:marTop w:val="0"/>
      <w:marBottom w:val="0"/>
      <w:divBdr>
        <w:top w:val="none" w:sz="0" w:space="0" w:color="auto"/>
        <w:left w:val="none" w:sz="0" w:space="0" w:color="auto"/>
        <w:bottom w:val="none" w:sz="0" w:space="0" w:color="auto"/>
        <w:right w:val="none" w:sz="0" w:space="0" w:color="auto"/>
      </w:divBdr>
    </w:div>
    <w:div w:id="884679661">
      <w:bodyDiv w:val="1"/>
      <w:marLeft w:val="0"/>
      <w:marRight w:val="0"/>
      <w:marTop w:val="0"/>
      <w:marBottom w:val="0"/>
      <w:divBdr>
        <w:top w:val="none" w:sz="0" w:space="0" w:color="auto"/>
        <w:left w:val="none" w:sz="0" w:space="0" w:color="auto"/>
        <w:bottom w:val="none" w:sz="0" w:space="0" w:color="auto"/>
        <w:right w:val="none" w:sz="0" w:space="0" w:color="auto"/>
      </w:divBdr>
    </w:div>
    <w:div w:id="884681650">
      <w:bodyDiv w:val="1"/>
      <w:marLeft w:val="0"/>
      <w:marRight w:val="0"/>
      <w:marTop w:val="0"/>
      <w:marBottom w:val="0"/>
      <w:divBdr>
        <w:top w:val="none" w:sz="0" w:space="0" w:color="auto"/>
        <w:left w:val="none" w:sz="0" w:space="0" w:color="auto"/>
        <w:bottom w:val="none" w:sz="0" w:space="0" w:color="auto"/>
        <w:right w:val="none" w:sz="0" w:space="0" w:color="auto"/>
      </w:divBdr>
    </w:div>
    <w:div w:id="884754553">
      <w:bodyDiv w:val="1"/>
      <w:marLeft w:val="0"/>
      <w:marRight w:val="0"/>
      <w:marTop w:val="0"/>
      <w:marBottom w:val="0"/>
      <w:divBdr>
        <w:top w:val="none" w:sz="0" w:space="0" w:color="auto"/>
        <w:left w:val="none" w:sz="0" w:space="0" w:color="auto"/>
        <w:bottom w:val="none" w:sz="0" w:space="0" w:color="auto"/>
        <w:right w:val="none" w:sz="0" w:space="0" w:color="auto"/>
      </w:divBdr>
    </w:div>
    <w:div w:id="884829700">
      <w:bodyDiv w:val="1"/>
      <w:marLeft w:val="0"/>
      <w:marRight w:val="0"/>
      <w:marTop w:val="0"/>
      <w:marBottom w:val="0"/>
      <w:divBdr>
        <w:top w:val="none" w:sz="0" w:space="0" w:color="auto"/>
        <w:left w:val="none" w:sz="0" w:space="0" w:color="auto"/>
        <w:bottom w:val="none" w:sz="0" w:space="0" w:color="auto"/>
        <w:right w:val="none" w:sz="0" w:space="0" w:color="auto"/>
      </w:divBdr>
    </w:div>
    <w:div w:id="884953764">
      <w:bodyDiv w:val="1"/>
      <w:marLeft w:val="0"/>
      <w:marRight w:val="0"/>
      <w:marTop w:val="0"/>
      <w:marBottom w:val="0"/>
      <w:divBdr>
        <w:top w:val="none" w:sz="0" w:space="0" w:color="auto"/>
        <w:left w:val="none" w:sz="0" w:space="0" w:color="auto"/>
        <w:bottom w:val="none" w:sz="0" w:space="0" w:color="auto"/>
        <w:right w:val="none" w:sz="0" w:space="0" w:color="auto"/>
      </w:divBdr>
    </w:div>
    <w:div w:id="885021662">
      <w:bodyDiv w:val="1"/>
      <w:marLeft w:val="0"/>
      <w:marRight w:val="0"/>
      <w:marTop w:val="0"/>
      <w:marBottom w:val="0"/>
      <w:divBdr>
        <w:top w:val="none" w:sz="0" w:space="0" w:color="auto"/>
        <w:left w:val="none" w:sz="0" w:space="0" w:color="auto"/>
        <w:bottom w:val="none" w:sz="0" w:space="0" w:color="auto"/>
        <w:right w:val="none" w:sz="0" w:space="0" w:color="auto"/>
      </w:divBdr>
    </w:div>
    <w:div w:id="885024190">
      <w:bodyDiv w:val="1"/>
      <w:marLeft w:val="0"/>
      <w:marRight w:val="0"/>
      <w:marTop w:val="0"/>
      <w:marBottom w:val="0"/>
      <w:divBdr>
        <w:top w:val="none" w:sz="0" w:space="0" w:color="auto"/>
        <w:left w:val="none" w:sz="0" w:space="0" w:color="auto"/>
        <w:bottom w:val="none" w:sz="0" w:space="0" w:color="auto"/>
        <w:right w:val="none" w:sz="0" w:space="0" w:color="auto"/>
      </w:divBdr>
    </w:div>
    <w:div w:id="885068690">
      <w:bodyDiv w:val="1"/>
      <w:marLeft w:val="0"/>
      <w:marRight w:val="0"/>
      <w:marTop w:val="0"/>
      <w:marBottom w:val="0"/>
      <w:divBdr>
        <w:top w:val="none" w:sz="0" w:space="0" w:color="auto"/>
        <w:left w:val="none" w:sz="0" w:space="0" w:color="auto"/>
        <w:bottom w:val="none" w:sz="0" w:space="0" w:color="auto"/>
        <w:right w:val="none" w:sz="0" w:space="0" w:color="auto"/>
      </w:divBdr>
    </w:div>
    <w:div w:id="885261134">
      <w:bodyDiv w:val="1"/>
      <w:marLeft w:val="0"/>
      <w:marRight w:val="0"/>
      <w:marTop w:val="0"/>
      <w:marBottom w:val="0"/>
      <w:divBdr>
        <w:top w:val="none" w:sz="0" w:space="0" w:color="auto"/>
        <w:left w:val="none" w:sz="0" w:space="0" w:color="auto"/>
        <w:bottom w:val="none" w:sz="0" w:space="0" w:color="auto"/>
        <w:right w:val="none" w:sz="0" w:space="0" w:color="auto"/>
      </w:divBdr>
    </w:div>
    <w:div w:id="885409746">
      <w:bodyDiv w:val="1"/>
      <w:marLeft w:val="0"/>
      <w:marRight w:val="0"/>
      <w:marTop w:val="0"/>
      <w:marBottom w:val="0"/>
      <w:divBdr>
        <w:top w:val="none" w:sz="0" w:space="0" w:color="auto"/>
        <w:left w:val="none" w:sz="0" w:space="0" w:color="auto"/>
        <w:bottom w:val="none" w:sz="0" w:space="0" w:color="auto"/>
        <w:right w:val="none" w:sz="0" w:space="0" w:color="auto"/>
      </w:divBdr>
    </w:div>
    <w:div w:id="885412820">
      <w:bodyDiv w:val="1"/>
      <w:marLeft w:val="0"/>
      <w:marRight w:val="0"/>
      <w:marTop w:val="0"/>
      <w:marBottom w:val="0"/>
      <w:divBdr>
        <w:top w:val="none" w:sz="0" w:space="0" w:color="auto"/>
        <w:left w:val="none" w:sz="0" w:space="0" w:color="auto"/>
        <w:bottom w:val="none" w:sz="0" w:space="0" w:color="auto"/>
        <w:right w:val="none" w:sz="0" w:space="0" w:color="auto"/>
      </w:divBdr>
    </w:div>
    <w:div w:id="885457262">
      <w:bodyDiv w:val="1"/>
      <w:marLeft w:val="0"/>
      <w:marRight w:val="0"/>
      <w:marTop w:val="0"/>
      <w:marBottom w:val="0"/>
      <w:divBdr>
        <w:top w:val="none" w:sz="0" w:space="0" w:color="auto"/>
        <w:left w:val="none" w:sz="0" w:space="0" w:color="auto"/>
        <w:bottom w:val="none" w:sz="0" w:space="0" w:color="auto"/>
        <w:right w:val="none" w:sz="0" w:space="0" w:color="auto"/>
      </w:divBdr>
    </w:div>
    <w:div w:id="885488895">
      <w:bodyDiv w:val="1"/>
      <w:marLeft w:val="0"/>
      <w:marRight w:val="0"/>
      <w:marTop w:val="0"/>
      <w:marBottom w:val="0"/>
      <w:divBdr>
        <w:top w:val="none" w:sz="0" w:space="0" w:color="auto"/>
        <w:left w:val="none" w:sz="0" w:space="0" w:color="auto"/>
        <w:bottom w:val="none" w:sz="0" w:space="0" w:color="auto"/>
        <w:right w:val="none" w:sz="0" w:space="0" w:color="auto"/>
      </w:divBdr>
    </w:div>
    <w:div w:id="885609001">
      <w:bodyDiv w:val="1"/>
      <w:marLeft w:val="0"/>
      <w:marRight w:val="0"/>
      <w:marTop w:val="0"/>
      <w:marBottom w:val="0"/>
      <w:divBdr>
        <w:top w:val="none" w:sz="0" w:space="0" w:color="auto"/>
        <w:left w:val="none" w:sz="0" w:space="0" w:color="auto"/>
        <w:bottom w:val="none" w:sz="0" w:space="0" w:color="auto"/>
        <w:right w:val="none" w:sz="0" w:space="0" w:color="auto"/>
      </w:divBdr>
    </w:div>
    <w:div w:id="885679517">
      <w:bodyDiv w:val="1"/>
      <w:marLeft w:val="0"/>
      <w:marRight w:val="0"/>
      <w:marTop w:val="0"/>
      <w:marBottom w:val="0"/>
      <w:divBdr>
        <w:top w:val="none" w:sz="0" w:space="0" w:color="auto"/>
        <w:left w:val="none" w:sz="0" w:space="0" w:color="auto"/>
        <w:bottom w:val="none" w:sz="0" w:space="0" w:color="auto"/>
        <w:right w:val="none" w:sz="0" w:space="0" w:color="auto"/>
      </w:divBdr>
    </w:div>
    <w:div w:id="885682359">
      <w:bodyDiv w:val="1"/>
      <w:marLeft w:val="0"/>
      <w:marRight w:val="0"/>
      <w:marTop w:val="0"/>
      <w:marBottom w:val="0"/>
      <w:divBdr>
        <w:top w:val="none" w:sz="0" w:space="0" w:color="auto"/>
        <w:left w:val="none" w:sz="0" w:space="0" w:color="auto"/>
        <w:bottom w:val="none" w:sz="0" w:space="0" w:color="auto"/>
        <w:right w:val="none" w:sz="0" w:space="0" w:color="auto"/>
      </w:divBdr>
    </w:div>
    <w:div w:id="885796411">
      <w:bodyDiv w:val="1"/>
      <w:marLeft w:val="0"/>
      <w:marRight w:val="0"/>
      <w:marTop w:val="0"/>
      <w:marBottom w:val="0"/>
      <w:divBdr>
        <w:top w:val="none" w:sz="0" w:space="0" w:color="auto"/>
        <w:left w:val="none" w:sz="0" w:space="0" w:color="auto"/>
        <w:bottom w:val="none" w:sz="0" w:space="0" w:color="auto"/>
        <w:right w:val="none" w:sz="0" w:space="0" w:color="auto"/>
      </w:divBdr>
    </w:div>
    <w:div w:id="886069137">
      <w:bodyDiv w:val="1"/>
      <w:marLeft w:val="0"/>
      <w:marRight w:val="0"/>
      <w:marTop w:val="0"/>
      <w:marBottom w:val="0"/>
      <w:divBdr>
        <w:top w:val="none" w:sz="0" w:space="0" w:color="auto"/>
        <w:left w:val="none" w:sz="0" w:space="0" w:color="auto"/>
        <w:bottom w:val="none" w:sz="0" w:space="0" w:color="auto"/>
        <w:right w:val="none" w:sz="0" w:space="0" w:color="auto"/>
      </w:divBdr>
    </w:div>
    <w:div w:id="886334599">
      <w:bodyDiv w:val="1"/>
      <w:marLeft w:val="0"/>
      <w:marRight w:val="0"/>
      <w:marTop w:val="0"/>
      <w:marBottom w:val="0"/>
      <w:divBdr>
        <w:top w:val="none" w:sz="0" w:space="0" w:color="auto"/>
        <w:left w:val="none" w:sz="0" w:space="0" w:color="auto"/>
        <w:bottom w:val="none" w:sz="0" w:space="0" w:color="auto"/>
        <w:right w:val="none" w:sz="0" w:space="0" w:color="auto"/>
      </w:divBdr>
    </w:div>
    <w:div w:id="886449792">
      <w:bodyDiv w:val="1"/>
      <w:marLeft w:val="0"/>
      <w:marRight w:val="0"/>
      <w:marTop w:val="0"/>
      <w:marBottom w:val="0"/>
      <w:divBdr>
        <w:top w:val="none" w:sz="0" w:space="0" w:color="auto"/>
        <w:left w:val="none" w:sz="0" w:space="0" w:color="auto"/>
        <w:bottom w:val="none" w:sz="0" w:space="0" w:color="auto"/>
        <w:right w:val="none" w:sz="0" w:space="0" w:color="auto"/>
      </w:divBdr>
    </w:div>
    <w:div w:id="886529269">
      <w:bodyDiv w:val="1"/>
      <w:marLeft w:val="0"/>
      <w:marRight w:val="0"/>
      <w:marTop w:val="0"/>
      <w:marBottom w:val="0"/>
      <w:divBdr>
        <w:top w:val="none" w:sz="0" w:space="0" w:color="auto"/>
        <w:left w:val="none" w:sz="0" w:space="0" w:color="auto"/>
        <w:bottom w:val="none" w:sz="0" w:space="0" w:color="auto"/>
        <w:right w:val="none" w:sz="0" w:space="0" w:color="auto"/>
      </w:divBdr>
    </w:div>
    <w:div w:id="886644447">
      <w:bodyDiv w:val="1"/>
      <w:marLeft w:val="0"/>
      <w:marRight w:val="0"/>
      <w:marTop w:val="0"/>
      <w:marBottom w:val="0"/>
      <w:divBdr>
        <w:top w:val="none" w:sz="0" w:space="0" w:color="auto"/>
        <w:left w:val="none" w:sz="0" w:space="0" w:color="auto"/>
        <w:bottom w:val="none" w:sz="0" w:space="0" w:color="auto"/>
        <w:right w:val="none" w:sz="0" w:space="0" w:color="auto"/>
      </w:divBdr>
    </w:div>
    <w:div w:id="886718256">
      <w:bodyDiv w:val="1"/>
      <w:marLeft w:val="0"/>
      <w:marRight w:val="0"/>
      <w:marTop w:val="0"/>
      <w:marBottom w:val="0"/>
      <w:divBdr>
        <w:top w:val="none" w:sz="0" w:space="0" w:color="auto"/>
        <w:left w:val="none" w:sz="0" w:space="0" w:color="auto"/>
        <w:bottom w:val="none" w:sz="0" w:space="0" w:color="auto"/>
        <w:right w:val="none" w:sz="0" w:space="0" w:color="auto"/>
      </w:divBdr>
    </w:div>
    <w:div w:id="886837507">
      <w:bodyDiv w:val="1"/>
      <w:marLeft w:val="0"/>
      <w:marRight w:val="0"/>
      <w:marTop w:val="0"/>
      <w:marBottom w:val="0"/>
      <w:divBdr>
        <w:top w:val="none" w:sz="0" w:space="0" w:color="auto"/>
        <w:left w:val="none" w:sz="0" w:space="0" w:color="auto"/>
        <w:bottom w:val="none" w:sz="0" w:space="0" w:color="auto"/>
        <w:right w:val="none" w:sz="0" w:space="0" w:color="auto"/>
      </w:divBdr>
    </w:div>
    <w:div w:id="886916971">
      <w:bodyDiv w:val="1"/>
      <w:marLeft w:val="0"/>
      <w:marRight w:val="0"/>
      <w:marTop w:val="0"/>
      <w:marBottom w:val="0"/>
      <w:divBdr>
        <w:top w:val="none" w:sz="0" w:space="0" w:color="auto"/>
        <w:left w:val="none" w:sz="0" w:space="0" w:color="auto"/>
        <w:bottom w:val="none" w:sz="0" w:space="0" w:color="auto"/>
        <w:right w:val="none" w:sz="0" w:space="0" w:color="auto"/>
      </w:divBdr>
    </w:div>
    <w:div w:id="886919491">
      <w:bodyDiv w:val="1"/>
      <w:marLeft w:val="0"/>
      <w:marRight w:val="0"/>
      <w:marTop w:val="0"/>
      <w:marBottom w:val="0"/>
      <w:divBdr>
        <w:top w:val="none" w:sz="0" w:space="0" w:color="auto"/>
        <w:left w:val="none" w:sz="0" w:space="0" w:color="auto"/>
        <w:bottom w:val="none" w:sz="0" w:space="0" w:color="auto"/>
        <w:right w:val="none" w:sz="0" w:space="0" w:color="auto"/>
      </w:divBdr>
    </w:div>
    <w:div w:id="886989580">
      <w:bodyDiv w:val="1"/>
      <w:marLeft w:val="0"/>
      <w:marRight w:val="0"/>
      <w:marTop w:val="0"/>
      <w:marBottom w:val="0"/>
      <w:divBdr>
        <w:top w:val="none" w:sz="0" w:space="0" w:color="auto"/>
        <w:left w:val="none" w:sz="0" w:space="0" w:color="auto"/>
        <w:bottom w:val="none" w:sz="0" w:space="0" w:color="auto"/>
        <w:right w:val="none" w:sz="0" w:space="0" w:color="auto"/>
      </w:divBdr>
    </w:div>
    <w:div w:id="887033422">
      <w:bodyDiv w:val="1"/>
      <w:marLeft w:val="0"/>
      <w:marRight w:val="0"/>
      <w:marTop w:val="0"/>
      <w:marBottom w:val="0"/>
      <w:divBdr>
        <w:top w:val="none" w:sz="0" w:space="0" w:color="auto"/>
        <w:left w:val="none" w:sz="0" w:space="0" w:color="auto"/>
        <w:bottom w:val="none" w:sz="0" w:space="0" w:color="auto"/>
        <w:right w:val="none" w:sz="0" w:space="0" w:color="auto"/>
      </w:divBdr>
    </w:div>
    <w:div w:id="887298167">
      <w:bodyDiv w:val="1"/>
      <w:marLeft w:val="0"/>
      <w:marRight w:val="0"/>
      <w:marTop w:val="0"/>
      <w:marBottom w:val="0"/>
      <w:divBdr>
        <w:top w:val="none" w:sz="0" w:space="0" w:color="auto"/>
        <w:left w:val="none" w:sz="0" w:space="0" w:color="auto"/>
        <w:bottom w:val="none" w:sz="0" w:space="0" w:color="auto"/>
        <w:right w:val="none" w:sz="0" w:space="0" w:color="auto"/>
      </w:divBdr>
    </w:div>
    <w:div w:id="887377355">
      <w:bodyDiv w:val="1"/>
      <w:marLeft w:val="0"/>
      <w:marRight w:val="0"/>
      <w:marTop w:val="0"/>
      <w:marBottom w:val="0"/>
      <w:divBdr>
        <w:top w:val="none" w:sz="0" w:space="0" w:color="auto"/>
        <w:left w:val="none" w:sz="0" w:space="0" w:color="auto"/>
        <w:bottom w:val="none" w:sz="0" w:space="0" w:color="auto"/>
        <w:right w:val="none" w:sz="0" w:space="0" w:color="auto"/>
      </w:divBdr>
    </w:div>
    <w:div w:id="887566347">
      <w:bodyDiv w:val="1"/>
      <w:marLeft w:val="0"/>
      <w:marRight w:val="0"/>
      <w:marTop w:val="0"/>
      <w:marBottom w:val="0"/>
      <w:divBdr>
        <w:top w:val="none" w:sz="0" w:space="0" w:color="auto"/>
        <w:left w:val="none" w:sz="0" w:space="0" w:color="auto"/>
        <w:bottom w:val="none" w:sz="0" w:space="0" w:color="auto"/>
        <w:right w:val="none" w:sz="0" w:space="0" w:color="auto"/>
      </w:divBdr>
    </w:div>
    <w:div w:id="887572353">
      <w:bodyDiv w:val="1"/>
      <w:marLeft w:val="0"/>
      <w:marRight w:val="0"/>
      <w:marTop w:val="0"/>
      <w:marBottom w:val="0"/>
      <w:divBdr>
        <w:top w:val="none" w:sz="0" w:space="0" w:color="auto"/>
        <w:left w:val="none" w:sz="0" w:space="0" w:color="auto"/>
        <w:bottom w:val="none" w:sz="0" w:space="0" w:color="auto"/>
        <w:right w:val="none" w:sz="0" w:space="0" w:color="auto"/>
      </w:divBdr>
    </w:div>
    <w:div w:id="887691546">
      <w:bodyDiv w:val="1"/>
      <w:marLeft w:val="0"/>
      <w:marRight w:val="0"/>
      <w:marTop w:val="0"/>
      <w:marBottom w:val="0"/>
      <w:divBdr>
        <w:top w:val="none" w:sz="0" w:space="0" w:color="auto"/>
        <w:left w:val="none" w:sz="0" w:space="0" w:color="auto"/>
        <w:bottom w:val="none" w:sz="0" w:space="0" w:color="auto"/>
        <w:right w:val="none" w:sz="0" w:space="0" w:color="auto"/>
      </w:divBdr>
    </w:div>
    <w:div w:id="887691653">
      <w:bodyDiv w:val="1"/>
      <w:marLeft w:val="0"/>
      <w:marRight w:val="0"/>
      <w:marTop w:val="0"/>
      <w:marBottom w:val="0"/>
      <w:divBdr>
        <w:top w:val="none" w:sz="0" w:space="0" w:color="auto"/>
        <w:left w:val="none" w:sz="0" w:space="0" w:color="auto"/>
        <w:bottom w:val="none" w:sz="0" w:space="0" w:color="auto"/>
        <w:right w:val="none" w:sz="0" w:space="0" w:color="auto"/>
      </w:divBdr>
    </w:div>
    <w:div w:id="887716567">
      <w:bodyDiv w:val="1"/>
      <w:marLeft w:val="0"/>
      <w:marRight w:val="0"/>
      <w:marTop w:val="0"/>
      <w:marBottom w:val="0"/>
      <w:divBdr>
        <w:top w:val="none" w:sz="0" w:space="0" w:color="auto"/>
        <w:left w:val="none" w:sz="0" w:space="0" w:color="auto"/>
        <w:bottom w:val="none" w:sz="0" w:space="0" w:color="auto"/>
        <w:right w:val="none" w:sz="0" w:space="0" w:color="auto"/>
      </w:divBdr>
    </w:div>
    <w:div w:id="887716950">
      <w:bodyDiv w:val="1"/>
      <w:marLeft w:val="0"/>
      <w:marRight w:val="0"/>
      <w:marTop w:val="0"/>
      <w:marBottom w:val="0"/>
      <w:divBdr>
        <w:top w:val="none" w:sz="0" w:space="0" w:color="auto"/>
        <w:left w:val="none" w:sz="0" w:space="0" w:color="auto"/>
        <w:bottom w:val="none" w:sz="0" w:space="0" w:color="auto"/>
        <w:right w:val="none" w:sz="0" w:space="0" w:color="auto"/>
      </w:divBdr>
    </w:div>
    <w:div w:id="887834793">
      <w:bodyDiv w:val="1"/>
      <w:marLeft w:val="0"/>
      <w:marRight w:val="0"/>
      <w:marTop w:val="0"/>
      <w:marBottom w:val="0"/>
      <w:divBdr>
        <w:top w:val="none" w:sz="0" w:space="0" w:color="auto"/>
        <w:left w:val="none" w:sz="0" w:space="0" w:color="auto"/>
        <w:bottom w:val="none" w:sz="0" w:space="0" w:color="auto"/>
        <w:right w:val="none" w:sz="0" w:space="0" w:color="auto"/>
      </w:divBdr>
    </w:div>
    <w:div w:id="887914468">
      <w:bodyDiv w:val="1"/>
      <w:marLeft w:val="0"/>
      <w:marRight w:val="0"/>
      <w:marTop w:val="0"/>
      <w:marBottom w:val="0"/>
      <w:divBdr>
        <w:top w:val="none" w:sz="0" w:space="0" w:color="auto"/>
        <w:left w:val="none" w:sz="0" w:space="0" w:color="auto"/>
        <w:bottom w:val="none" w:sz="0" w:space="0" w:color="auto"/>
        <w:right w:val="none" w:sz="0" w:space="0" w:color="auto"/>
      </w:divBdr>
    </w:div>
    <w:div w:id="887958779">
      <w:bodyDiv w:val="1"/>
      <w:marLeft w:val="0"/>
      <w:marRight w:val="0"/>
      <w:marTop w:val="0"/>
      <w:marBottom w:val="0"/>
      <w:divBdr>
        <w:top w:val="none" w:sz="0" w:space="0" w:color="auto"/>
        <w:left w:val="none" w:sz="0" w:space="0" w:color="auto"/>
        <w:bottom w:val="none" w:sz="0" w:space="0" w:color="auto"/>
        <w:right w:val="none" w:sz="0" w:space="0" w:color="auto"/>
      </w:divBdr>
    </w:div>
    <w:div w:id="888036266">
      <w:bodyDiv w:val="1"/>
      <w:marLeft w:val="0"/>
      <w:marRight w:val="0"/>
      <w:marTop w:val="0"/>
      <w:marBottom w:val="0"/>
      <w:divBdr>
        <w:top w:val="none" w:sz="0" w:space="0" w:color="auto"/>
        <w:left w:val="none" w:sz="0" w:space="0" w:color="auto"/>
        <w:bottom w:val="none" w:sz="0" w:space="0" w:color="auto"/>
        <w:right w:val="none" w:sz="0" w:space="0" w:color="auto"/>
      </w:divBdr>
    </w:div>
    <w:div w:id="888110406">
      <w:bodyDiv w:val="1"/>
      <w:marLeft w:val="0"/>
      <w:marRight w:val="0"/>
      <w:marTop w:val="0"/>
      <w:marBottom w:val="0"/>
      <w:divBdr>
        <w:top w:val="none" w:sz="0" w:space="0" w:color="auto"/>
        <w:left w:val="none" w:sz="0" w:space="0" w:color="auto"/>
        <w:bottom w:val="none" w:sz="0" w:space="0" w:color="auto"/>
        <w:right w:val="none" w:sz="0" w:space="0" w:color="auto"/>
      </w:divBdr>
    </w:div>
    <w:div w:id="888229218">
      <w:bodyDiv w:val="1"/>
      <w:marLeft w:val="0"/>
      <w:marRight w:val="0"/>
      <w:marTop w:val="0"/>
      <w:marBottom w:val="0"/>
      <w:divBdr>
        <w:top w:val="none" w:sz="0" w:space="0" w:color="auto"/>
        <w:left w:val="none" w:sz="0" w:space="0" w:color="auto"/>
        <w:bottom w:val="none" w:sz="0" w:space="0" w:color="auto"/>
        <w:right w:val="none" w:sz="0" w:space="0" w:color="auto"/>
      </w:divBdr>
    </w:div>
    <w:div w:id="888305641">
      <w:bodyDiv w:val="1"/>
      <w:marLeft w:val="0"/>
      <w:marRight w:val="0"/>
      <w:marTop w:val="0"/>
      <w:marBottom w:val="0"/>
      <w:divBdr>
        <w:top w:val="none" w:sz="0" w:space="0" w:color="auto"/>
        <w:left w:val="none" w:sz="0" w:space="0" w:color="auto"/>
        <w:bottom w:val="none" w:sz="0" w:space="0" w:color="auto"/>
        <w:right w:val="none" w:sz="0" w:space="0" w:color="auto"/>
      </w:divBdr>
    </w:div>
    <w:div w:id="888346891">
      <w:bodyDiv w:val="1"/>
      <w:marLeft w:val="0"/>
      <w:marRight w:val="0"/>
      <w:marTop w:val="0"/>
      <w:marBottom w:val="0"/>
      <w:divBdr>
        <w:top w:val="none" w:sz="0" w:space="0" w:color="auto"/>
        <w:left w:val="none" w:sz="0" w:space="0" w:color="auto"/>
        <w:bottom w:val="none" w:sz="0" w:space="0" w:color="auto"/>
        <w:right w:val="none" w:sz="0" w:space="0" w:color="auto"/>
      </w:divBdr>
    </w:div>
    <w:div w:id="888613050">
      <w:bodyDiv w:val="1"/>
      <w:marLeft w:val="0"/>
      <w:marRight w:val="0"/>
      <w:marTop w:val="0"/>
      <w:marBottom w:val="0"/>
      <w:divBdr>
        <w:top w:val="none" w:sz="0" w:space="0" w:color="auto"/>
        <w:left w:val="none" w:sz="0" w:space="0" w:color="auto"/>
        <w:bottom w:val="none" w:sz="0" w:space="0" w:color="auto"/>
        <w:right w:val="none" w:sz="0" w:space="0" w:color="auto"/>
      </w:divBdr>
    </w:div>
    <w:div w:id="888613488">
      <w:bodyDiv w:val="1"/>
      <w:marLeft w:val="0"/>
      <w:marRight w:val="0"/>
      <w:marTop w:val="0"/>
      <w:marBottom w:val="0"/>
      <w:divBdr>
        <w:top w:val="none" w:sz="0" w:space="0" w:color="auto"/>
        <w:left w:val="none" w:sz="0" w:space="0" w:color="auto"/>
        <w:bottom w:val="none" w:sz="0" w:space="0" w:color="auto"/>
        <w:right w:val="none" w:sz="0" w:space="0" w:color="auto"/>
      </w:divBdr>
    </w:div>
    <w:div w:id="888615595">
      <w:bodyDiv w:val="1"/>
      <w:marLeft w:val="0"/>
      <w:marRight w:val="0"/>
      <w:marTop w:val="0"/>
      <w:marBottom w:val="0"/>
      <w:divBdr>
        <w:top w:val="none" w:sz="0" w:space="0" w:color="auto"/>
        <w:left w:val="none" w:sz="0" w:space="0" w:color="auto"/>
        <w:bottom w:val="none" w:sz="0" w:space="0" w:color="auto"/>
        <w:right w:val="none" w:sz="0" w:space="0" w:color="auto"/>
      </w:divBdr>
    </w:div>
    <w:div w:id="888802110">
      <w:bodyDiv w:val="1"/>
      <w:marLeft w:val="0"/>
      <w:marRight w:val="0"/>
      <w:marTop w:val="0"/>
      <w:marBottom w:val="0"/>
      <w:divBdr>
        <w:top w:val="none" w:sz="0" w:space="0" w:color="auto"/>
        <w:left w:val="none" w:sz="0" w:space="0" w:color="auto"/>
        <w:bottom w:val="none" w:sz="0" w:space="0" w:color="auto"/>
        <w:right w:val="none" w:sz="0" w:space="0" w:color="auto"/>
      </w:divBdr>
    </w:div>
    <w:div w:id="888803030">
      <w:bodyDiv w:val="1"/>
      <w:marLeft w:val="0"/>
      <w:marRight w:val="0"/>
      <w:marTop w:val="0"/>
      <w:marBottom w:val="0"/>
      <w:divBdr>
        <w:top w:val="none" w:sz="0" w:space="0" w:color="auto"/>
        <w:left w:val="none" w:sz="0" w:space="0" w:color="auto"/>
        <w:bottom w:val="none" w:sz="0" w:space="0" w:color="auto"/>
        <w:right w:val="none" w:sz="0" w:space="0" w:color="auto"/>
      </w:divBdr>
    </w:div>
    <w:div w:id="888806102">
      <w:bodyDiv w:val="1"/>
      <w:marLeft w:val="0"/>
      <w:marRight w:val="0"/>
      <w:marTop w:val="0"/>
      <w:marBottom w:val="0"/>
      <w:divBdr>
        <w:top w:val="none" w:sz="0" w:space="0" w:color="auto"/>
        <w:left w:val="none" w:sz="0" w:space="0" w:color="auto"/>
        <w:bottom w:val="none" w:sz="0" w:space="0" w:color="auto"/>
        <w:right w:val="none" w:sz="0" w:space="0" w:color="auto"/>
      </w:divBdr>
    </w:div>
    <w:div w:id="888881688">
      <w:bodyDiv w:val="1"/>
      <w:marLeft w:val="0"/>
      <w:marRight w:val="0"/>
      <w:marTop w:val="0"/>
      <w:marBottom w:val="0"/>
      <w:divBdr>
        <w:top w:val="none" w:sz="0" w:space="0" w:color="auto"/>
        <w:left w:val="none" w:sz="0" w:space="0" w:color="auto"/>
        <w:bottom w:val="none" w:sz="0" w:space="0" w:color="auto"/>
        <w:right w:val="none" w:sz="0" w:space="0" w:color="auto"/>
      </w:divBdr>
    </w:div>
    <w:div w:id="889000261">
      <w:bodyDiv w:val="1"/>
      <w:marLeft w:val="0"/>
      <w:marRight w:val="0"/>
      <w:marTop w:val="0"/>
      <w:marBottom w:val="0"/>
      <w:divBdr>
        <w:top w:val="none" w:sz="0" w:space="0" w:color="auto"/>
        <w:left w:val="none" w:sz="0" w:space="0" w:color="auto"/>
        <w:bottom w:val="none" w:sz="0" w:space="0" w:color="auto"/>
        <w:right w:val="none" w:sz="0" w:space="0" w:color="auto"/>
      </w:divBdr>
    </w:div>
    <w:div w:id="889072803">
      <w:bodyDiv w:val="1"/>
      <w:marLeft w:val="0"/>
      <w:marRight w:val="0"/>
      <w:marTop w:val="0"/>
      <w:marBottom w:val="0"/>
      <w:divBdr>
        <w:top w:val="none" w:sz="0" w:space="0" w:color="auto"/>
        <w:left w:val="none" w:sz="0" w:space="0" w:color="auto"/>
        <w:bottom w:val="none" w:sz="0" w:space="0" w:color="auto"/>
        <w:right w:val="none" w:sz="0" w:space="0" w:color="auto"/>
      </w:divBdr>
    </w:div>
    <w:div w:id="889077459">
      <w:bodyDiv w:val="1"/>
      <w:marLeft w:val="0"/>
      <w:marRight w:val="0"/>
      <w:marTop w:val="0"/>
      <w:marBottom w:val="0"/>
      <w:divBdr>
        <w:top w:val="none" w:sz="0" w:space="0" w:color="auto"/>
        <w:left w:val="none" w:sz="0" w:space="0" w:color="auto"/>
        <w:bottom w:val="none" w:sz="0" w:space="0" w:color="auto"/>
        <w:right w:val="none" w:sz="0" w:space="0" w:color="auto"/>
      </w:divBdr>
    </w:div>
    <w:div w:id="889078797">
      <w:bodyDiv w:val="1"/>
      <w:marLeft w:val="0"/>
      <w:marRight w:val="0"/>
      <w:marTop w:val="0"/>
      <w:marBottom w:val="0"/>
      <w:divBdr>
        <w:top w:val="none" w:sz="0" w:space="0" w:color="auto"/>
        <w:left w:val="none" w:sz="0" w:space="0" w:color="auto"/>
        <w:bottom w:val="none" w:sz="0" w:space="0" w:color="auto"/>
        <w:right w:val="none" w:sz="0" w:space="0" w:color="auto"/>
      </w:divBdr>
    </w:div>
    <w:div w:id="889144979">
      <w:bodyDiv w:val="1"/>
      <w:marLeft w:val="0"/>
      <w:marRight w:val="0"/>
      <w:marTop w:val="0"/>
      <w:marBottom w:val="0"/>
      <w:divBdr>
        <w:top w:val="none" w:sz="0" w:space="0" w:color="auto"/>
        <w:left w:val="none" w:sz="0" w:space="0" w:color="auto"/>
        <w:bottom w:val="none" w:sz="0" w:space="0" w:color="auto"/>
        <w:right w:val="none" w:sz="0" w:space="0" w:color="auto"/>
      </w:divBdr>
    </w:div>
    <w:div w:id="889148783">
      <w:bodyDiv w:val="1"/>
      <w:marLeft w:val="0"/>
      <w:marRight w:val="0"/>
      <w:marTop w:val="0"/>
      <w:marBottom w:val="0"/>
      <w:divBdr>
        <w:top w:val="none" w:sz="0" w:space="0" w:color="auto"/>
        <w:left w:val="none" w:sz="0" w:space="0" w:color="auto"/>
        <w:bottom w:val="none" w:sz="0" w:space="0" w:color="auto"/>
        <w:right w:val="none" w:sz="0" w:space="0" w:color="auto"/>
      </w:divBdr>
    </w:div>
    <w:div w:id="889220469">
      <w:bodyDiv w:val="1"/>
      <w:marLeft w:val="0"/>
      <w:marRight w:val="0"/>
      <w:marTop w:val="0"/>
      <w:marBottom w:val="0"/>
      <w:divBdr>
        <w:top w:val="none" w:sz="0" w:space="0" w:color="auto"/>
        <w:left w:val="none" w:sz="0" w:space="0" w:color="auto"/>
        <w:bottom w:val="none" w:sz="0" w:space="0" w:color="auto"/>
        <w:right w:val="none" w:sz="0" w:space="0" w:color="auto"/>
      </w:divBdr>
    </w:div>
    <w:div w:id="889264238">
      <w:bodyDiv w:val="1"/>
      <w:marLeft w:val="0"/>
      <w:marRight w:val="0"/>
      <w:marTop w:val="0"/>
      <w:marBottom w:val="0"/>
      <w:divBdr>
        <w:top w:val="none" w:sz="0" w:space="0" w:color="auto"/>
        <w:left w:val="none" w:sz="0" w:space="0" w:color="auto"/>
        <w:bottom w:val="none" w:sz="0" w:space="0" w:color="auto"/>
        <w:right w:val="none" w:sz="0" w:space="0" w:color="auto"/>
      </w:divBdr>
    </w:div>
    <w:div w:id="889341672">
      <w:bodyDiv w:val="1"/>
      <w:marLeft w:val="0"/>
      <w:marRight w:val="0"/>
      <w:marTop w:val="0"/>
      <w:marBottom w:val="0"/>
      <w:divBdr>
        <w:top w:val="none" w:sz="0" w:space="0" w:color="auto"/>
        <w:left w:val="none" w:sz="0" w:space="0" w:color="auto"/>
        <w:bottom w:val="none" w:sz="0" w:space="0" w:color="auto"/>
        <w:right w:val="none" w:sz="0" w:space="0" w:color="auto"/>
      </w:divBdr>
    </w:div>
    <w:div w:id="889343774">
      <w:bodyDiv w:val="1"/>
      <w:marLeft w:val="0"/>
      <w:marRight w:val="0"/>
      <w:marTop w:val="0"/>
      <w:marBottom w:val="0"/>
      <w:divBdr>
        <w:top w:val="none" w:sz="0" w:space="0" w:color="auto"/>
        <w:left w:val="none" w:sz="0" w:space="0" w:color="auto"/>
        <w:bottom w:val="none" w:sz="0" w:space="0" w:color="auto"/>
        <w:right w:val="none" w:sz="0" w:space="0" w:color="auto"/>
      </w:divBdr>
    </w:div>
    <w:div w:id="889347660">
      <w:bodyDiv w:val="1"/>
      <w:marLeft w:val="0"/>
      <w:marRight w:val="0"/>
      <w:marTop w:val="0"/>
      <w:marBottom w:val="0"/>
      <w:divBdr>
        <w:top w:val="none" w:sz="0" w:space="0" w:color="auto"/>
        <w:left w:val="none" w:sz="0" w:space="0" w:color="auto"/>
        <w:bottom w:val="none" w:sz="0" w:space="0" w:color="auto"/>
        <w:right w:val="none" w:sz="0" w:space="0" w:color="auto"/>
      </w:divBdr>
    </w:div>
    <w:div w:id="889413783">
      <w:bodyDiv w:val="1"/>
      <w:marLeft w:val="0"/>
      <w:marRight w:val="0"/>
      <w:marTop w:val="0"/>
      <w:marBottom w:val="0"/>
      <w:divBdr>
        <w:top w:val="none" w:sz="0" w:space="0" w:color="auto"/>
        <w:left w:val="none" w:sz="0" w:space="0" w:color="auto"/>
        <w:bottom w:val="none" w:sz="0" w:space="0" w:color="auto"/>
        <w:right w:val="none" w:sz="0" w:space="0" w:color="auto"/>
      </w:divBdr>
    </w:div>
    <w:div w:id="889417896">
      <w:bodyDiv w:val="1"/>
      <w:marLeft w:val="0"/>
      <w:marRight w:val="0"/>
      <w:marTop w:val="0"/>
      <w:marBottom w:val="0"/>
      <w:divBdr>
        <w:top w:val="none" w:sz="0" w:space="0" w:color="auto"/>
        <w:left w:val="none" w:sz="0" w:space="0" w:color="auto"/>
        <w:bottom w:val="none" w:sz="0" w:space="0" w:color="auto"/>
        <w:right w:val="none" w:sz="0" w:space="0" w:color="auto"/>
      </w:divBdr>
    </w:div>
    <w:div w:id="889460852">
      <w:bodyDiv w:val="1"/>
      <w:marLeft w:val="0"/>
      <w:marRight w:val="0"/>
      <w:marTop w:val="0"/>
      <w:marBottom w:val="0"/>
      <w:divBdr>
        <w:top w:val="none" w:sz="0" w:space="0" w:color="auto"/>
        <w:left w:val="none" w:sz="0" w:space="0" w:color="auto"/>
        <w:bottom w:val="none" w:sz="0" w:space="0" w:color="auto"/>
        <w:right w:val="none" w:sz="0" w:space="0" w:color="auto"/>
      </w:divBdr>
    </w:div>
    <w:div w:id="889464488">
      <w:bodyDiv w:val="1"/>
      <w:marLeft w:val="0"/>
      <w:marRight w:val="0"/>
      <w:marTop w:val="0"/>
      <w:marBottom w:val="0"/>
      <w:divBdr>
        <w:top w:val="none" w:sz="0" w:space="0" w:color="auto"/>
        <w:left w:val="none" w:sz="0" w:space="0" w:color="auto"/>
        <w:bottom w:val="none" w:sz="0" w:space="0" w:color="auto"/>
        <w:right w:val="none" w:sz="0" w:space="0" w:color="auto"/>
      </w:divBdr>
    </w:div>
    <w:div w:id="889613761">
      <w:bodyDiv w:val="1"/>
      <w:marLeft w:val="0"/>
      <w:marRight w:val="0"/>
      <w:marTop w:val="0"/>
      <w:marBottom w:val="0"/>
      <w:divBdr>
        <w:top w:val="none" w:sz="0" w:space="0" w:color="auto"/>
        <w:left w:val="none" w:sz="0" w:space="0" w:color="auto"/>
        <w:bottom w:val="none" w:sz="0" w:space="0" w:color="auto"/>
        <w:right w:val="none" w:sz="0" w:space="0" w:color="auto"/>
      </w:divBdr>
    </w:div>
    <w:div w:id="889615861">
      <w:bodyDiv w:val="1"/>
      <w:marLeft w:val="0"/>
      <w:marRight w:val="0"/>
      <w:marTop w:val="0"/>
      <w:marBottom w:val="0"/>
      <w:divBdr>
        <w:top w:val="none" w:sz="0" w:space="0" w:color="auto"/>
        <w:left w:val="none" w:sz="0" w:space="0" w:color="auto"/>
        <w:bottom w:val="none" w:sz="0" w:space="0" w:color="auto"/>
        <w:right w:val="none" w:sz="0" w:space="0" w:color="auto"/>
      </w:divBdr>
    </w:div>
    <w:div w:id="889657920">
      <w:bodyDiv w:val="1"/>
      <w:marLeft w:val="0"/>
      <w:marRight w:val="0"/>
      <w:marTop w:val="0"/>
      <w:marBottom w:val="0"/>
      <w:divBdr>
        <w:top w:val="none" w:sz="0" w:space="0" w:color="auto"/>
        <w:left w:val="none" w:sz="0" w:space="0" w:color="auto"/>
        <w:bottom w:val="none" w:sz="0" w:space="0" w:color="auto"/>
        <w:right w:val="none" w:sz="0" w:space="0" w:color="auto"/>
      </w:divBdr>
    </w:div>
    <w:div w:id="889802673">
      <w:bodyDiv w:val="1"/>
      <w:marLeft w:val="0"/>
      <w:marRight w:val="0"/>
      <w:marTop w:val="0"/>
      <w:marBottom w:val="0"/>
      <w:divBdr>
        <w:top w:val="none" w:sz="0" w:space="0" w:color="auto"/>
        <w:left w:val="none" w:sz="0" w:space="0" w:color="auto"/>
        <w:bottom w:val="none" w:sz="0" w:space="0" w:color="auto"/>
        <w:right w:val="none" w:sz="0" w:space="0" w:color="auto"/>
      </w:divBdr>
    </w:div>
    <w:div w:id="889804879">
      <w:bodyDiv w:val="1"/>
      <w:marLeft w:val="0"/>
      <w:marRight w:val="0"/>
      <w:marTop w:val="0"/>
      <w:marBottom w:val="0"/>
      <w:divBdr>
        <w:top w:val="none" w:sz="0" w:space="0" w:color="auto"/>
        <w:left w:val="none" w:sz="0" w:space="0" w:color="auto"/>
        <w:bottom w:val="none" w:sz="0" w:space="0" w:color="auto"/>
        <w:right w:val="none" w:sz="0" w:space="0" w:color="auto"/>
      </w:divBdr>
    </w:div>
    <w:div w:id="889805946">
      <w:bodyDiv w:val="1"/>
      <w:marLeft w:val="0"/>
      <w:marRight w:val="0"/>
      <w:marTop w:val="0"/>
      <w:marBottom w:val="0"/>
      <w:divBdr>
        <w:top w:val="none" w:sz="0" w:space="0" w:color="auto"/>
        <w:left w:val="none" w:sz="0" w:space="0" w:color="auto"/>
        <w:bottom w:val="none" w:sz="0" w:space="0" w:color="auto"/>
        <w:right w:val="none" w:sz="0" w:space="0" w:color="auto"/>
      </w:divBdr>
    </w:div>
    <w:div w:id="890076376">
      <w:bodyDiv w:val="1"/>
      <w:marLeft w:val="0"/>
      <w:marRight w:val="0"/>
      <w:marTop w:val="0"/>
      <w:marBottom w:val="0"/>
      <w:divBdr>
        <w:top w:val="none" w:sz="0" w:space="0" w:color="auto"/>
        <w:left w:val="none" w:sz="0" w:space="0" w:color="auto"/>
        <w:bottom w:val="none" w:sz="0" w:space="0" w:color="auto"/>
        <w:right w:val="none" w:sz="0" w:space="0" w:color="auto"/>
      </w:divBdr>
    </w:div>
    <w:div w:id="890117297">
      <w:bodyDiv w:val="1"/>
      <w:marLeft w:val="0"/>
      <w:marRight w:val="0"/>
      <w:marTop w:val="0"/>
      <w:marBottom w:val="0"/>
      <w:divBdr>
        <w:top w:val="none" w:sz="0" w:space="0" w:color="auto"/>
        <w:left w:val="none" w:sz="0" w:space="0" w:color="auto"/>
        <w:bottom w:val="none" w:sz="0" w:space="0" w:color="auto"/>
        <w:right w:val="none" w:sz="0" w:space="0" w:color="auto"/>
      </w:divBdr>
    </w:div>
    <w:div w:id="890120678">
      <w:bodyDiv w:val="1"/>
      <w:marLeft w:val="0"/>
      <w:marRight w:val="0"/>
      <w:marTop w:val="0"/>
      <w:marBottom w:val="0"/>
      <w:divBdr>
        <w:top w:val="none" w:sz="0" w:space="0" w:color="auto"/>
        <w:left w:val="none" w:sz="0" w:space="0" w:color="auto"/>
        <w:bottom w:val="none" w:sz="0" w:space="0" w:color="auto"/>
        <w:right w:val="none" w:sz="0" w:space="0" w:color="auto"/>
      </w:divBdr>
    </w:div>
    <w:div w:id="890262942">
      <w:bodyDiv w:val="1"/>
      <w:marLeft w:val="0"/>
      <w:marRight w:val="0"/>
      <w:marTop w:val="0"/>
      <w:marBottom w:val="0"/>
      <w:divBdr>
        <w:top w:val="none" w:sz="0" w:space="0" w:color="auto"/>
        <w:left w:val="none" w:sz="0" w:space="0" w:color="auto"/>
        <w:bottom w:val="none" w:sz="0" w:space="0" w:color="auto"/>
        <w:right w:val="none" w:sz="0" w:space="0" w:color="auto"/>
      </w:divBdr>
    </w:div>
    <w:div w:id="890263274">
      <w:bodyDiv w:val="1"/>
      <w:marLeft w:val="0"/>
      <w:marRight w:val="0"/>
      <w:marTop w:val="0"/>
      <w:marBottom w:val="0"/>
      <w:divBdr>
        <w:top w:val="none" w:sz="0" w:space="0" w:color="auto"/>
        <w:left w:val="none" w:sz="0" w:space="0" w:color="auto"/>
        <w:bottom w:val="none" w:sz="0" w:space="0" w:color="auto"/>
        <w:right w:val="none" w:sz="0" w:space="0" w:color="auto"/>
      </w:divBdr>
    </w:div>
    <w:div w:id="890381575">
      <w:bodyDiv w:val="1"/>
      <w:marLeft w:val="0"/>
      <w:marRight w:val="0"/>
      <w:marTop w:val="0"/>
      <w:marBottom w:val="0"/>
      <w:divBdr>
        <w:top w:val="none" w:sz="0" w:space="0" w:color="auto"/>
        <w:left w:val="none" w:sz="0" w:space="0" w:color="auto"/>
        <w:bottom w:val="none" w:sz="0" w:space="0" w:color="auto"/>
        <w:right w:val="none" w:sz="0" w:space="0" w:color="auto"/>
      </w:divBdr>
    </w:div>
    <w:div w:id="890386654">
      <w:bodyDiv w:val="1"/>
      <w:marLeft w:val="0"/>
      <w:marRight w:val="0"/>
      <w:marTop w:val="0"/>
      <w:marBottom w:val="0"/>
      <w:divBdr>
        <w:top w:val="none" w:sz="0" w:space="0" w:color="auto"/>
        <w:left w:val="none" w:sz="0" w:space="0" w:color="auto"/>
        <w:bottom w:val="none" w:sz="0" w:space="0" w:color="auto"/>
        <w:right w:val="none" w:sz="0" w:space="0" w:color="auto"/>
      </w:divBdr>
    </w:div>
    <w:div w:id="890464350">
      <w:bodyDiv w:val="1"/>
      <w:marLeft w:val="0"/>
      <w:marRight w:val="0"/>
      <w:marTop w:val="0"/>
      <w:marBottom w:val="0"/>
      <w:divBdr>
        <w:top w:val="none" w:sz="0" w:space="0" w:color="auto"/>
        <w:left w:val="none" w:sz="0" w:space="0" w:color="auto"/>
        <w:bottom w:val="none" w:sz="0" w:space="0" w:color="auto"/>
        <w:right w:val="none" w:sz="0" w:space="0" w:color="auto"/>
      </w:divBdr>
    </w:div>
    <w:div w:id="890772690">
      <w:bodyDiv w:val="1"/>
      <w:marLeft w:val="0"/>
      <w:marRight w:val="0"/>
      <w:marTop w:val="0"/>
      <w:marBottom w:val="0"/>
      <w:divBdr>
        <w:top w:val="none" w:sz="0" w:space="0" w:color="auto"/>
        <w:left w:val="none" w:sz="0" w:space="0" w:color="auto"/>
        <w:bottom w:val="none" w:sz="0" w:space="0" w:color="auto"/>
        <w:right w:val="none" w:sz="0" w:space="0" w:color="auto"/>
      </w:divBdr>
    </w:div>
    <w:div w:id="890845349">
      <w:bodyDiv w:val="1"/>
      <w:marLeft w:val="0"/>
      <w:marRight w:val="0"/>
      <w:marTop w:val="0"/>
      <w:marBottom w:val="0"/>
      <w:divBdr>
        <w:top w:val="none" w:sz="0" w:space="0" w:color="auto"/>
        <w:left w:val="none" w:sz="0" w:space="0" w:color="auto"/>
        <w:bottom w:val="none" w:sz="0" w:space="0" w:color="auto"/>
        <w:right w:val="none" w:sz="0" w:space="0" w:color="auto"/>
      </w:divBdr>
    </w:div>
    <w:div w:id="890924105">
      <w:bodyDiv w:val="1"/>
      <w:marLeft w:val="0"/>
      <w:marRight w:val="0"/>
      <w:marTop w:val="0"/>
      <w:marBottom w:val="0"/>
      <w:divBdr>
        <w:top w:val="none" w:sz="0" w:space="0" w:color="auto"/>
        <w:left w:val="none" w:sz="0" w:space="0" w:color="auto"/>
        <w:bottom w:val="none" w:sz="0" w:space="0" w:color="auto"/>
        <w:right w:val="none" w:sz="0" w:space="0" w:color="auto"/>
      </w:divBdr>
    </w:div>
    <w:div w:id="890924338">
      <w:bodyDiv w:val="1"/>
      <w:marLeft w:val="0"/>
      <w:marRight w:val="0"/>
      <w:marTop w:val="0"/>
      <w:marBottom w:val="0"/>
      <w:divBdr>
        <w:top w:val="none" w:sz="0" w:space="0" w:color="auto"/>
        <w:left w:val="none" w:sz="0" w:space="0" w:color="auto"/>
        <w:bottom w:val="none" w:sz="0" w:space="0" w:color="auto"/>
        <w:right w:val="none" w:sz="0" w:space="0" w:color="auto"/>
      </w:divBdr>
    </w:div>
    <w:div w:id="891189186">
      <w:bodyDiv w:val="1"/>
      <w:marLeft w:val="0"/>
      <w:marRight w:val="0"/>
      <w:marTop w:val="0"/>
      <w:marBottom w:val="0"/>
      <w:divBdr>
        <w:top w:val="none" w:sz="0" w:space="0" w:color="auto"/>
        <w:left w:val="none" w:sz="0" w:space="0" w:color="auto"/>
        <w:bottom w:val="none" w:sz="0" w:space="0" w:color="auto"/>
        <w:right w:val="none" w:sz="0" w:space="0" w:color="auto"/>
      </w:divBdr>
    </w:div>
    <w:div w:id="891190021">
      <w:bodyDiv w:val="1"/>
      <w:marLeft w:val="0"/>
      <w:marRight w:val="0"/>
      <w:marTop w:val="0"/>
      <w:marBottom w:val="0"/>
      <w:divBdr>
        <w:top w:val="none" w:sz="0" w:space="0" w:color="auto"/>
        <w:left w:val="none" w:sz="0" w:space="0" w:color="auto"/>
        <w:bottom w:val="none" w:sz="0" w:space="0" w:color="auto"/>
        <w:right w:val="none" w:sz="0" w:space="0" w:color="auto"/>
      </w:divBdr>
    </w:div>
    <w:div w:id="891617400">
      <w:bodyDiv w:val="1"/>
      <w:marLeft w:val="0"/>
      <w:marRight w:val="0"/>
      <w:marTop w:val="0"/>
      <w:marBottom w:val="0"/>
      <w:divBdr>
        <w:top w:val="none" w:sz="0" w:space="0" w:color="auto"/>
        <w:left w:val="none" w:sz="0" w:space="0" w:color="auto"/>
        <w:bottom w:val="none" w:sz="0" w:space="0" w:color="auto"/>
        <w:right w:val="none" w:sz="0" w:space="0" w:color="auto"/>
      </w:divBdr>
    </w:div>
    <w:div w:id="891620606">
      <w:bodyDiv w:val="1"/>
      <w:marLeft w:val="0"/>
      <w:marRight w:val="0"/>
      <w:marTop w:val="0"/>
      <w:marBottom w:val="0"/>
      <w:divBdr>
        <w:top w:val="none" w:sz="0" w:space="0" w:color="auto"/>
        <w:left w:val="none" w:sz="0" w:space="0" w:color="auto"/>
        <w:bottom w:val="none" w:sz="0" w:space="0" w:color="auto"/>
        <w:right w:val="none" w:sz="0" w:space="0" w:color="auto"/>
      </w:divBdr>
    </w:div>
    <w:div w:id="891691616">
      <w:bodyDiv w:val="1"/>
      <w:marLeft w:val="0"/>
      <w:marRight w:val="0"/>
      <w:marTop w:val="0"/>
      <w:marBottom w:val="0"/>
      <w:divBdr>
        <w:top w:val="none" w:sz="0" w:space="0" w:color="auto"/>
        <w:left w:val="none" w:sz="0" w:space="0" w:color="auto"/>
        <w:bottom w:val="none" w:sz="0" w:space="0" w:color="auto"/>
        <w:right w:val="none" w:sz="0" w:space="0" w:color="auto"/>
      </w:divBdr>
    </w:div>
    <w:div w:id="891693432">
      <w:bodyDiv w:val="1"/>
      <w:marLeft w:val="0"/>
      <w:marRight w:val="0"/>
      <w:marTop w:val="0"/>
      <w:marBottom w:val="0"/>
      <w:divBdr>
        <w:top w:val="none" w:sz="0" w:space="0" w:color="auto"/>
        <w:left w:val="none" w:sz="0" w:space="0" w:color="auto"/>
        <w:bottom w:val="none" w:sz="0" w:space="0" w:color="auto"/>
        <w:right w:val="none" w:sz="0" w:space="0" w:color="auto"/>
      </w:divBdr>
    </w:div>
    <w:div w:id="891768665">
      <w:bodyDiv w:val="1"/>
      <w:marLeft w:val="0"/>
      <w:marRight w:val="0"/>
      <w:marTop w:val="0"/>
      <w:marBottom w:val="0"/>
      <w:divBdr>
        <w:top w:val="none" w:sz="0" w:space="0" w:color="auto"/>
        <w:left w:val="none" w:sz="0" w:space="0" w:color="auto"/>
        <w:bottom w:val="none" w:sz="0" w:space="0" w:color="auto"/>
        <w:right w:val="none" w:sz="0" w:space="0" w:color="auto"/>
      </w:divBdr>
    </w:div>
    <w:div w:id="891775563">
      <w:bodyDiv w:val="1"/>
      <w:marLeft w:val="0"/>
      <w:marRight w:val="0"/>
      <w:marTop w:val="0"/>
      <w:marBottom w:val="0"/>
      <w:divBdr>
        <w:top w:val="none" w:sz="0" w:space="0" w:color="auto"/>
        <w:left w:val="none" w:sz="0" w:space="0" w:color="auto"/>
        <w:bottom w:val="none" w:sz="0" w:space="0" w:color="auto"/>
        <w:right w:val="none" w:sz="0" w:space="0" w:color="auto"/>
      </w:divBdr>
    </w:div>
    <w:div w:id="891891672">
      <w:bodyDiv w:val="1"/>
      <w:marLeft w:val="0"/>
      <w:marRight w:val="0"/>
      <w:marTop w:val="0"/>
      <w:marBottom w:val="0"/>
      <w:divBdr>
        <w:top w:val="none" w:sz="0" w:space="0" w:color="auto"/>
        <w:left w:val="none" w:sz="0" w:space="0" w:color="auto"/>
        <w:bottom w:val="none" w:sz="0" w:space="0" w:color="auto"/>
        <w:right w:val="none" w:sz="0" w:space="0" w:color="auto"/>
      </w:divBdr>
    </w:div>
    <w:div w:id="892010693">
      <w:bodyDiv w:val="1"/>
      <w:marLeft w:val="0"/>
      <w:marRight w:val="0"/>
      <w:marTop w:val="0"/>
      <w:marBottom w:val="0"/>
      <w:divBdr>
        <w:top w:val="none" w:sz="0" w:space="0" w:color="auto"/>
        <w:left w:val="none" w:sz="0" w:space="0" w:color="auto"/>
        <w:bottom w:val="none" w:sz="0" w:space="0" w:color="auto"/>
        <w:right w:val="none" w:sz="0" w:space="0" w:color="auto"/>
      </w:divBdr>
    </w:div>
    <w:div w:id="892038467">
      <w:bodyDiv w:val="1"/>
      <w:marLeft w:val="0"/>
      <w:marRight w:val="0"/>
      <w:marTop w:val="0"/>
      <w:marBottom w:val="0"/>
      <w:divBdr>
        <w:top w:val="none" w:sz="0" w:space="0" w:color="auto"/>
        <w:left w:val="none" w:sz="0" w:space="0" w:color="auto"/>
        <w:bottom w:val="none" w:sz="0" w:space="0" w:color="auto"/>
        <w:right w:val="none" w:sz="0" w:space="0" w:color="auto"/>
      </w:divBdr>
    </w:div>
    <w:div w:id="892082006">
      <w:bodyDiv w:val="1"/>
      <w:marLeft w:val="0"/>
      <w:marRight w:val="0"/>
      <w:marTop w:val="0"/>
      <w:marBottom w:val="0"/>
      <w:divBdr>
        <w:top w:val="none" w:sz="0" w:space="0" w:color="auto"/>
        <w:left w:val="none" w:sz="0" w:space="0" w:color="auto"/>
        <w:bottom w:val="none" w:sz="0" w:space="0" w:color="auto"/>
        <w:right w:val="none" w:sz="0" w:space="0" w:color="auto"/>
      </w:divBdr>
    </w:div>
    <w:div w:id="892157514">
      <w:bodyDiv w:val="1"/>
      <w:marLeft w:val="0"/>
      <w:marRight w:val="0"/>
      <w:marTop w:val="0"/>
      <w:marBottom w:val="0"/>
      <w:divBdr>
        <w:top w:val="none" w:sz="0" w:space="0" w:color="auto"/>
        <w:left w:val="none" w:sz="0" w:space="0" w:color="auto"/>
        <w:bottom w:val="none" w:sz="0" w:space="0" w:color="auto"/>
        <w:right w:val="none" w:sz="0" w:space="0" w:color="auto"/>
      </w:divBdr>
    </w:div>
    <w:div w:id="892160430">
      <w:bodyDiv w:val="1"/>
      <w:marLeft w:val="0"/>
      <w:marRight w:val="0"/>
      <w:marTop w:val="0"/>
      <w:marBottom w:val="0"/>
      <w:divBdr>
        <w:top w:val="none" w:sz="0" w:space="0" w:color="auto"/>
        <w:left w:val="none" w:sz="0" w:space="0" w:color="auto"/>
        <w:bottom w:val="none" w:sz="0" w:space="0" w:color="auto"/>
        <w:right w:val="none" w:sz="0" w:space="0" w:color="auto"/>
      </w:divBdr>
    </w:div>
    <w:div w:id="892160442">
      <w:bodyDiv w:val="1"/>
      <w:marLeft w:val="0"/>
      <w:marRight w:val="0"/>
      <w:marTop w:val="0"/>
      <w:marBottom w:val="0"/>
      <w:divBdr>
        <w:top w:val="none" w:sz="0" w:space="0" w:color="auto"/>
        <w:left w:val="none" w:sz="0" w:space="0" w:color="auto"/>
        <w:bottom w:val="none" w:sz="0" w:space="0" w:color="auto"/>
        <w:right w:val="none" w:sz="0" w:space="0" w:color="auto"/>
      </w:divBdr>
    </w:div>
    <w:div w:id="892231064">
      <w:bodyDiv w:val="1"/>
      <w:marLeft w:val="0"/>
      <w:marRight w:val="0"/>
      <w:marTop w:val="0"/>
      <w:marBottom w:val="0"/>
      <w:divBdr>
        <w:top w:val="none" w:sz="0" w:space="0" w:color="auto"/>
        <w:left w:val="none" w:sz="0" w:space="0" w:color="auto"/>
        <w:bottom w:val="none" w:sz="0" w:space="0" w:color="auto"/>
        <w:right w:val="none" w:sz="0" w:space="0" w:color="auto"/>
      </w:divBdr>
    </w:div>
    <w:div w:id="892276920">
      <w:bodyDiv w:val="1"/>
      <w:marLeft w:val="0"/>
      <w:marRight w:val="0"/>
      <w:marTop w:val="0"/>
      <w:marBottom w:val="0"/>
      <w:divBdr>
        <w:top w:val="none" w:sz="0" w:space="0" w:color="auto"/>
        <w:left w:val="none" w:sz="0" w:space="0" w:color="auto"/>
        <w:bottom w:val="none" w:sz="0" w:space="0" w:color="auto"/>
        <w:right w:val="none" w:sz="0" w:space="0" w:color="auto"/>
      </w:divBdr>
    </w:div>
    <w:div w:id="892422043">
      <w:bodyDiv w:val="1"/>
      <w:marLeft w:val="0"/>
      <w:marRight w:val="0"/>
      <w:marTop w:val="0"/>
      <w:marBottom w:val="0"/>
      <w:divBdr>
        <w:top w:val="none" w:sz="0" w:space="0" w:color="auto"/>
        <w:left w:val="none" w:sz="0" w:space="0" w:color="auto"/>
        <w:bottom w:val="none" w:sz="0" w:space="0" w:color="auto"/>
        <w:right w:val="none" w:sz="0" w:space="0" w:color="auto"/>
      </w:divBdr>
    </w:div>
    <w:div w:id="892426518">
      <w:bodyDiv w:val="1"/>
      <w:marLeft w:val="0"/>
      <w:marRight w:val="0"/>
      <w:marTop w:val="0"/>
      <w:marBottom w:val="0"/>
      <w:divBdr>
        <w:top w:val="none" w:sz="0" w:space="0" w:color="auto"/>
        <w:left w:val="none" w:sz="0" w:space="0" w:color="auto"/>
        <w:bottom w:val="none" w:sz="0" w:space="0" w:color="auto"/>
        <w:right w:val="none" w:sz="0" w:space="0" w:color="auto"/>
      </w:divBdr>
    </w:div>
    <w:div w:id="892542999">
      <w:bodyDiv w:val="1"/>
      <w:marLeft w:val="0"/>
      <w:marRight w:val="0"/>
      <w:marTop w:val="0"/>
      <w:marBottom w:val="0"/>
      <w:divBdr>
        <w:top w:val="none" w:sz="0" w:space="0" w:color="auto"/>
        <w:left w:val="none" w:sz="0" w:space="0" w:color="auto"/>
        <w:bottom w:val="none" w:sz="0" w:space="0" w:color="auto"/>
        <w:right w:val="none" w:sz="0" w:space="0" w:color="auto"/>
      </w:divBdr>
    </w:div>
    <w:div w:id="892544343">
      <w:bodyDiv w:val="1"/>
      <w:marLeft w:val="0"/>
      <w:marRight w:val="0"/>
      <w:marTop w:val="0"/>
      <w:marBottom w:val="0"/>
      <w:divBdr>
        <w:top w:val="none" w:sz="0" w:space="0" w:color="auto"/>
        <w:left w:val="none" w:sz="0" w:space="0" w:color="auto"/>
        <w:bottom w:val="none" w:sz="0" w:space="0" w:color="auto"/>
        <w:right w:val="none" w:sz="0" w:space="0" w:color="auto"/>
      </w:divBdr>
    </w:div>
    <w:div w:id="892617969">
      <w:bodyDiv w:val="1"/>
      <w:marLeft w:val="0"/>
      <w:marRight w:val="0"/>
      <w:marTop w:val="0"/>
      <w:marBottom w:val="0"/>
      <w:divBdr>
        <w:top w:val="none" w:sz="0" w:space="0" w:color="auto"/>
        <w:left w:val="none" w:sz="0" w:space="0" w:color="auto"/>
        <w:bottom w:val="none" w:sz="0" w:space="0" w:color="auto"/>
        <w:right w:val="none" w:sz="0" w:space="0" w:color="auto"/>
      </w:divBdr>
    </w:div>
    <w:div w:id="892735030">
      <w:bodyDiv w:val="1"/>
      <w:marLeft w:val="0"/>
      <w:marRight w:val="0"/>
      <w:marTop w:val="0"/>
      <w:marBottom w:val="0"/>
      <w:divBdr>
        <w:top w:val="none" w:sz="0" w:space="0" w:color="auto"/>
        <w:left w:val="none" w:sz="0" w:space="0" w:color="auto"/>
        <w:bottom w:val="none" w:sz="0" w:space="0" w:color="auto"/>
        <w:right w:val="none" w:sz="0" w:space="0" w:color="auto"/>
      </w:divBdr>
    </w:div>
    <w:div w:id="892808520">
      <w:bodyDiv w:val="1"/>
      <w:marLeft w:val="0"/>
      <w:marRight w:val="0"/>
      <w:marTop w:val="0"/>
      <w:marBottom w:val="0"/>
      <w:divBdr>
        <w:top w:val="none" w:sz="0" w:space="0" w:color="auto"/>
        <w:left w:val="none" w:sz="0" w:space="0" w:color="auto"/>
        <w:bottom w:val="none" w:sz="0" w:space="0" w:color="auto"/>
        <w:right w:val="none" w:sz="0" w:space="0" w:color="auto"/>
      </w:divBdr>
    </w:div>
    <w:div w:id="892883411">
      <w:bodyDiv w:val="1"/>
      <w:marLeft w:val="0"/>
      <w:marRight w:val="0"/>
      <w:marTop w:val="0"/>
      <w:marBottom w:val="0"/>
      <w:divBdr>
        <w:top w:val="none" w:sz="0" w:space="0" w:color="auto"/>
        <w:left w:val="none" w:sz="0" w:space="0" w:color="auto"/>
        <w:bottom w:val="none" w:sz="0" w:space="0" w:color="auto"/>
        <w:right w:val="none" w:sz="0" w:space="0" w:color="auto"/>
      </w:divBdr>
    </w:div>
    <w:div w:id="892930045">
      <w:bodyDiv w:val="1"/>
      <w:marLeft w:val="0"/>
      <w:marRight w:val="0"/>
      <w:marTop w:val="0"/>
      <w:marBottom w:val="0"/>
      <w:divBdr>
        <w:top w:val="none" w:sz="0" w:space="0" w:color="auto"/>
        <w:left w:val="none" w:sz="0" w:space="0" w:color="auto"/>
        <w:bottom w:val="none" w:sz="0" w:space="0" w:color="auto"/>
        <w:right w:val="none" w:sz="0" w:space="0" w:color="auto"/>
      </w:divBdr>
    </w:div>
    <w:div w:id="892930206">
      <w:bodyDiv w:val="1"/>
      <w:marLeft w:val="0"/>
      <w:marRight w:val="0"/>
      <w:marTop w:val="0"/>
      <w:marBottom w:val="0"/>
      <w:divBdr>
        <w:top w:val="none" w:sz="0" w:space="0" w:color="auto"/>
        <w:left w:val="none" w:sz="0" w:space="0" w:color="auto"/>
        <w:bottom w:val="none" w:sz="0" w:space="0" w:color="auto"/>
        <w:right w:val="none" w:sz="0" w:space="0" w:color="auto"/>
      </w:divBdr>
    </w:div>
    <w:div w:id="892958607">
      <w:bodyDiv w:val="1"/>
      <w:marLeft w:val="0"/>
      <w:marRight w:val="0"/>
      <w:marTop w:val="0"/>
      <w:marBottom w:val="0"/>
      <w:divBdr>
        <w:top w:val="none" w:sz="0" w:space="0" w:color="auto"/>
        <w:left w:val="none" w:sz="0" w:space="0" w:color="auto"/>
        <w:bottom w:val="none" w:sz="0" w:space="0" w:color="auto"/>
        <w:right w:val="none" w:sz="0" w:space="0" w:color="auto"/>
      </w:divBdr>
    </w:div>
    <w:div w:id="893006110">
      <w:bodyDiv w:val="1"/>
      <w:marLeft w:val="0"/>
      <w:marRight w:val="0"/>
      <w:marTop w:val="0"/>
      <w:marBottom w:val="0"/>
      <w:divBdr>
        <w:top w:val="none" w:sz="0" w:space="0" w:color="auto"/>
        <w:left w:val="none" w:sz="0" w:space="0" w:color="auto"/>
        <w:bottom w:val="none" w:sz="0" w:space="0" w:color="auto"/>
        <w:right w:val="none" w:sz="0" w:space="0" w:color="auto"/>
      </w:divBdr>
    </w:div>
    <w:div w:id="893079734">
      <w:bodyDiv w:val="1"/>
      <w:marLeft w:val="0"/>
      <w:marRight w:val="0"/>
      <w:marTop w:val="0"/>
      <w:marBottom w:val="0"/>
      <w:divBdr>
        <w:top w:val="none" w:sz="0" w:space="0" w:color="auto"/>
        <w:left w:val="none" w:sz="0" w:space="0" w:color="auto"/>
        <w:bottom w:val="none" w:sz="0" w:space="0" w:color="auto"/>
        <w:right w:val="none" w:sz="0" w:space="0" w:color="auto"/>
      </w:divBdr>
    </w:div>
    <w:div w:id="893126600">
      <w:bodyDiv w:val="1"/>
      <w:marLeft w:val="0"/>
      <w:marRight w:val="0"/>
      <w:marTop w:val="0"/>
      <w:marBottom w:val="0"/>
      <w:divBdr>
        <w:top w:val="none" w:sz="0" w:space="0" w:color="auto"/>
        <w:left w:val="none" w:sz="0" w:space="0" w:color="auto"/>
        <w:bottom w:val="none" w:sz="0" w:space="0" w:color="auto"/>
        <w:right w:val="none" w:sz="0" w:space="0" w:color="auto"/>
      </w:divBdr>
    </w:div>
    <w:div w:id="893390577">
      <w:bodyDiv w:val="1"/>
      <w:marLeft w:val="0"/>
      <w:marRight w:val="0"/>
      <w:marTop w:val="0"/>
      <w:marBottom w:val="0"/>
      <w:divBdr>
        <w:top w:val="none" w:sz="0" w:space="0" w:color="auto"/>
        <w:left w:val="none" w:sz="0" w:space="0" w:color="auto"/>
        <w:bottom w:val="none" w:sz="0" w:space="0" w:color="auto"/>
        <w:right w:val="none" w:sz="0" w:space="0" w:color="auto"/>
      </w:divBdr>
    </w:div>
    <w:div w:id="893465371">
      <w:bodyDiv w:val="1"/>
      <w:marLeft w:val="0"/>
      <w:marRight w:val="0"/>
      <w:marTop w:val="0"/>
      <w:marBottom w:val="0"/>
      <w:divBdr>
        <w:top w:val="none" w:sz="0" w:space="0" w:color="auto"/>
        <w:left w:val="none" w:sz="0" w:space="0" w:color="auto"/>
        <w:bottom w:val="none" w:sz="0" w:space="0" w:color="auto"/>
        <w:right w:val="none" w:sz="0" w:space="0" w:color="auto"/>
      </w:divBdr>
    </w:div>
    <w:div w:id="893588531">
      <w:bodyDiv w:val="1"/>
      <w:marLeft w:val="0"/>
      <w:marRight w:val="0"/>
      <w:marTop w:val="0"/>
      <w:marBottom w:val="0"/>
      <w:divBdr>
        <w:top w:val="none" w:sz="0" w:space="0" w:color="auto"/>
        <w:left w:val="none" w:sz="0" w:space="0" w:color="auto"/>
        <w:bottom w:val="none" w:sz="0" w:space="0" w:color="auto"/>
        <w:right w:val="none" w:sz="0" w:space="0" w:color="auto"/>
      </w:divBdr>
    </w:div>
    <w:div w:id="893615285">
      <w:bodyDiv w:val="1"/>
      <w:marLeft w:val="0"/>
      <w:marRight w:val="0"/>
      <w:marTop w:val="0"/>
      <w:marBottom w:val="0"/>
      <w:divBdr>
        <w:top w:val="none" w:sz="0" w:space="0" w:color="auto"/>
        <w:left w:val="none" w:sz="0" w:space="0" w:color="auto"/>
        <w:bottom w:val="none" w:sz="0" w:space="0" w:color="auto"/>
        <w:right w:val="none" w:sz="0" w:space="0" w:color="auto"/>
      </w:divBdr>
    </w:div>
    <w:div w:id="893735090">
      <w:bodyDiv w:val="1"/>
      <w:marLeft w:val="0"/>
      <w:marRight w:val="0"/>
      <w:marTop w:val="0"/>
      <w:marBottom w:val="0"/>
      <w:divBdr>
        <w:top w:val="none" w:sz="0" w:space="0" w:color="auto"/>
        <w:left w:val="none" w:sz="0" w:space="0" w:color="auto"/>
        <w:bottom w:val="none" w:sz="0" w:space="0" w:color="auto"/>
        <w:right w:val="none" w:sz="0" w:space="0" w:color="auto"/>
      </w:divBdr>
    </w:div>
    <w:div w:id="893780176">
      <w:bodyDiv w:val="1"/>
      <w:marLeft w:val="0"/>
      <w:marRight w:val="0"/>
      <w:marTop w:val="0"/>
      <w:marBottom w:val="0"/>
      <w:divBdr>
        <w:top w:val="none" w:sz="0" w:space="0" w:color="auto"/>
        <w:left w:val="none" w:sz="0" w:space="0" w:color="auto"/>
        <w:bottom w:val="none" w:sz="0" w:space="0" w:color="auto"/>
        <w:right w:val="none" w:sz="0" w:space="0" w:color="auto"/>
      </w:divBdr>
    </w:div>
    <w:div w:id="893927688">
      <w:bodyDiv w:val="1"/>
      <w:marLeft w:val="0"/>
      <w:marRight w:val="0"/>
      <w:marTop w:val="0"/>
      <w:marBottom w:val="0"/>
      <w:divBdr>
        <w:top w:val="none" w:sz="0" w:space="0" w:color="auto"/>
        <w:left w:val="none" w:sz="0" w:space="0" w:color="auto"/>
        <w:bottom w:val="none" w:sz="0" w:space="0" w:color="auto"/>
        <w:right w:val="none" w:sz="0" w:space="0" w:color="auto"/>
      </w:divBdr>
    </w:div>
    <w:div w:id="894121159">
      <w:bodyDiv w:val="1"/>
      <w:marLeft w:val="0"/>
      <w:marRight w:val="0"/>
      <w:marTop w:val="0"/>
      <w:marBottom w:val="0"/>
      <w:divBdr>
        <w:top w:val="none" w:sz="0" w:space="0" w:color="auto"/>
        <w:left w:val="none" w:sz="0" w:space="0" w:color="auto"/>
        <w:bottom w:val="none" w:sz="0" w:space="0" w:color="auto"/>
        <w:right w:val="none" w:sz="0" w:space="0" w:color="auto"/>
      </w:divBdr>
    </w:div>
    <w:div w:id="894127437">
      <w:bodyDiv w:val="1"/>
      <w:marLeft w:val="0"/>
      <w:marRight w:val="0"/>
      <w:marTop w:val="0"/>
      <w:marBottom w:val="0"/>
      <w:divBdr>
        <w:top w:val="none" w:sz="0" w:space="0" w:color="auto"/>
        <w:left w:val="none" w:sz="0" w:space="0" w:color="auto"/>
        <w:bottom w:val="none" w:sz="0" w:space="0" w:color="auto"/>
        <w:right w:val="none" w:sz="0" w:space="0" w:color="auto"/>
      </w:divBdr>
    </w:div>
    <w:div w:id="894198874">
      <w:bodyDiv w:val="1"/>
      <w:marLeft w:val="0"/>
      <w:marRight w:val="0"/>
      <w:marTop w:val="0"/>
      <w:marBottom w:val="0"/>
      <w:divBdr>
        <w:top w:val="none" w:sz="0" w:space="0" w:color="auto"/>
        <w:left w:val="none" w:sz="0" w:space="0" w:color="auto"/>
        <w:bottom w:val="none" w:sz="0" w:space="0" w:color="auto"/>
        <w:right w:val="none" w:sz="0" w:space="0" w:color="auto"/>
      </w:divBdr>
    </w:div>
    <w:div w:id="894199573">
      <w:bodyDiv w:val="1"/>
      <w:marLeft w:val="0"/>
      <w:marRight w:val="0"/>
      <w:marTop w:val="0"/>
      <w:marBottom w:val="0"/>
      <w:divBdr>
        <w:top w:val="none" w:sz="0" w:space="0" w:color="auto"/>
        <w:left w:val="none" w:sz="0" w:space="0" w:color="auto"/>
        <w:bottom w:val="none" w:sz="0" w:space="0" w:color="auto"/>
        <w:right w:val="none" w:sz="0" w:space="0" w:color="auto"/>
      </w:divBdr>
    </w:div>
    <w:div w:id="894203037">
      <w:bodyDiv w:val="1"/>
      <w:marLeft w:val="0"/>
      <w:marRight w:val="0"/>
      <w:marTop w:val="0"/>
      <w:marBottom w:val="0"/>
      <w:divBdr>
        <w:top w:val="none" w:sz="0" w:space="0" w:color="auto"/>
        <w:left w:val="none" w:sz="0" w:space="0" w:color="auto"/>
        <w:bottom w:val="none" w:sz="0" w:space="0" w:color="auto"/>
        <w:right w:val="none" w:sz="0" w:space="0" w:color="auto"/>
      </w:divBdr>
    </w:div>
    <w:div w:id="894241359">
      <w:bodyDiv w:val="1"/>
      <w:marLeft w:val="0"/>
      <w:marRight w:val="0"/>
      <w:marTop w:val="0"/>
      <w:marBottom w:val="0"/>
      <w:divBdr>
        <w:top w:val="none" w:sz="0" w:space="0" w:color="auto"/>
        <w:left w:val="none" w:sz="0" w:space="0" w:color="auto"/>
        <w:bottom w:val="none" w:sz="0" w:space="0" w:color="auto"/>
        <w:right w:val="none" w:sz="0" w:space="0" w:color="auto"/>
      </w:divBdr>
    </w:div>
    <w:div w:id="894269430">
      <w:bodyDiv w:val="1"/>
      <w:marLeft w:val="0"/>
      <w:marRight w:val="0"/>
      <w:marTop w:val="0"/>
      <w:marBottom w:val="0"/>
      <w:divBdr>
        <w:top w:val="none" w:sz="0" w:space="0" w:color="auto"/>
        <w:left w:val="none" w:sz="0" w:space="0" w:color="auto"/>
        <w:bottom w:val="none" w:sz="0" w:space="0" w:color="auto"/>
        <w:right w:val="none" w:sz="0" w:space="0" w:color="auto"/>
      </w:divBdr>
    </w:div>
    <w:div w:id="894393471">
      <w:bodyDiv w:val="1"/>
      <w:marLeft w:val="0"/>
      <w:marRight w:val="0"/>
      <w:marTop w:val="0"/>
      <w:marBottom w:val="0"/>
      <w:divBdr>
        <w:top w:val="none" w:sz="0" w:space="0" w:color="auto"/>
        <w:left w:val="none" w:sz="0" w:space="0" w:color="auto"/>
        <w:bottom w:val="none" w:sz="0" w:space="0" w:color="auto"/>
        <w:right w:val="none" w:sz="0" w:space="0" w:color="auto"/>
      </w:divBdr>
    </w:div>
    <w:div w:id="894700463">
      <w:bodyDiv w:val="1"/>
      <w:marLeft w:val="0"/>
      <w:marRight w:val="0"/>
      <w:marTop w:val="0"/>
      <w:marBottom w:val="0"/>
      <w:divBdr>
        <w:top w:val="none" w:sz="0" w:space="0" w:color="auto"/>
        <w:left w:val="none" w:sz="0" w:space="0" w:color="auto"/>
        <w:bottom w:val="none" w:sz="0" w:space="0" w:color="auto"/>
        <w:right w:val="none" w:sz="0" w:space="0" w:color="auto"/>
      </w:divBdr>
    </w:div>
    <w:div w:id="894701771">
      <w:bodyDiv w:val="1"/>
      <w:marLeft w:val="0"/>
      <w:marRight w:val="0"/>
      <w:marTop w:val="0"/>
      <w:marBottom w:val="0"/>
      <w:divBdr>
        <w:top w:val="none" w:sz="0" w:space="0" w:color="auto"/>
        <w:left w:val="none" w:sz="0" w:space="0" w:color="auto"/>
        <w:bottom w:val="none" w:sz="0" w:space="0" w:color="auto"/>
        <w:right w:val="none" w:sz="0" w:space="0" w:color="auto"/>
      </w:divBdr>
    </w:div>
    <w:div w:id="894775713">
      <w:bodyDiv w:val="1"/>
      <w:marLeft w:val="0"/>
      <w:marRight w:val="0"/>
      <w:marTop w:val="0"/>
      <w:marBottom w:val="0"/>
      <w:divBdr>
        <w:top w:val="none" w:sz="0" w:space="0" w:color="auto"/>
        <w:left w:val="none" w:sz="0" w:space="0" w:color="auto"/>
        <w:bottom w:val="none" w:sz="0" w:space="0" w:color="auto"/>
        <w:right w:val="none" w:sz="0" w:space="0" w:color="auto"/>
      </w:divBdr>
    </w:div>
    <w:div w:id="894781296">
      <w:bodyDiv w:val="1"/>
      <w:marLeft w:val="0"/>
      <w:marRight w:val="0"/>
      <w:marTop w:val="0"/>
      <w:marBottom w:val="0"/>
      <w:divBdr>
        <w:top w:val="none" w:sz="0" w:space="0" w:color="auto"/>
        <w:left w:val="none" w:sz="0" w:space="0" w:color="auto"/>
        <w:bottom w:val="none" w:sz="0" w:space="0" w:color="auto"/>
        <w:right w:val="none" w:sz="0" w:space="0" w:color="auto"/>
      </w:divBdr>
    </w:div>
    <w:div w:id="894850358">
      <w:bodyDiv w:val="1"/>
      <w:marLeft w:val="0"/>
      <w:marRight w:val="0"/>
      <w:marTop w:val="0"/>
      <w:marBottom w:val="0"/>
      <w:divBdr>
        <w:top w:val="none" w:sz="0" w:space="0" w:color="auto"/>
        <w:left w:val="none" w:sz="0" w:space="0" w:color="auto"/>
        <w:bottom w:val="none" w:sz="0" w:space="0" w:color="auto"/>
        <w:right w:val="none" w:sz="0" w:space="0" w:color="auto"/>
      </w:divBdr>
    </w:div>
    <w:div w:id="894968718">
      <w:bodyDiv w:val="1"/>
      <w:marLeft w:val="0"/>
      <w:marRight w:val="0"/>
      <w:marTop w:val="0"/>
      <w:marBottom w:val="0"/>
      <w:divBdr>
        <w:top w:val="none" w:sz="0" w:space="0" w:color="auto"/>
        <w:left w:val="none" w:sz="0" w:space="0" w:color="auto"/>
        <w:bottom w:val="none" w:sz="0" w:space="0" w:color="auto"/>
        <w:right w:val="none" w:sz="0" w:space="0" w:color="auto"/>
      </w:divBdr>
    </w:div>
    <w:div w:id="895045016">
      <w:bodyDiv w:val="1"/>
      <w:marLeft w:val="0"/>
      <w:marRight w:val="0"/>
      <w:marTop w:val="0"/>
      <w:marBottom w:val="0"/>
      <w:divBdr>
        <w:top w:val="none" w:sz="0" w:space="0" w:color="auto"/>
        <w:left w:val="none" w:sz="0" w:space="0" w:color="auto"/>
        <w:bottom w:val="none" w:sz="0" w:space="0" w:color="auto"/>
        <w:right w:val="none" w:sz="0" w:space="0" w:color="auto"/>
      </w:divBdr>
    </w:div>
    <w:div w:id="895118827">
      <w:bodyDiv w:val="1"/>
      <w:marLeft w:val="0"/>
      <w:marRight w:val="0"/>
      <w:marTop w:val="0"/>
      <w:marBottom w:val="0"/>
      <w:divBdr>
        <w:top w:val="none" w:sz="0" w:space="0" w:color="auto"/>
        <w:left w:val="none" w:sz="0" w:space="0" w:color="auto"/>
        <w:bottom w:val="none" w:sz="0" w:space="0" w:color="auto"/>
        <w:right w:val="none" w:sz="0" w:space="0" w:color="auto"/>
      </w:divBdr>
    </w:div>
    <w:div w:id="895119595">
      <w:bodyDiv w:val="1"/>
      <w:marLeft w:val="0"/>
      <w:marRight w:val="0"/>
      <w:marTop w:val="0"/>
      <w:marBottom w:val="0"/>
      <w:divBdr>
        <w:top w:val="none" w:sz="0" w:space="0" w:color="auto"/>
        <w:left w:val="none" w:sz="0" w:space="0" w:color="auto"/>
        <w:bottom w:val="none" w:sz="0" w:space="0" w:color="auto"/>
        <w:right w:val="none" w:sz="0" w:space="0" w:color="auto"/>
      </w:divBdr>
    </w:div>
    <w:div w:id="895167009">
      <w:bodyDiv w:val="1"/>
      <w:marLeft w:val="0"/>
      <w:marRight w:val="0"/>
      <w:marTop w:val="0"/>
      <w:marBottom w:val="0"/>
      <w:divBdr>
        <w:top w:val="none" w:sz="0" w:space="0" w:color="auto"/>
        <w:left w:val="none" w:sz="0" w:space="0" w:color="auto"/>
        <w:bottom w:val="none" w:sz="0" w:space="0" w:color="auto"/>
        <w:right w:val="none" w:sz="0" w:space="0" w:color="auto"/>
      </w:divBdr>
    </w:div>
    <w:div w:id="895356035">
      <w:bodyDiv w:val="1"/>
      <w:marLeft w:val="0"/>
      <w:marRight w:val="0"/>
      <w:marTop w:val="0"/>
      <w:marBottom w:val="0"/>
      <w:divBdr>
        <w:top w:val="none" w:sz="0" w:space="0" w:color="auto"/>
        <w:left w:val="none" w:sz="0" w:space="0" w:color="auto"/>
        <w:bottom w:val="none" w:sz="0" w:space="0" w:color="auto"/>
        <w:right w:val="none" w:sz="0" w:space="0" w:color="auto"/>
      </w:divBdr>
    </w:div>
    <w:div w:id="895358633">
      <w:bodyDiv w:val="1"/>
      <w:marLeft w:val="0"/>
      <w:marRight w:val="0"/>
      <w:marTop w:val="0"/>
      <w:marBottom w:val="0"/>
      <w:divBdr>
        <w:top w:val="none" w:sz="0" w:space="0" w:color="auto"/>
        <w:left w:val="none" w:sz="0" w:space="0" w:color="auto"/>
        <w:bottom w:val="none" w:sz="0" w:space="0" w:color="auto"/>
        <w:right w:val="none" w:sz="0" w:space="0" w:color="auto"/>
      </w:divBdr>
    </w:div>
    <w:div w:id="895431322">
      <w:bodyDiv w:val="1"/>
      <w:marLeft w:val="0"/>
      <w:marRight w:val="0"/>
      <w:marTop w:val="0"/>
      <w:marBottom w:val="0"/>
      <w:divBdr>
        <w:top w:val="none" w:sz="0" w:space="0" w:color="auto"/>
        <w:left w:val="none" w:sz="0" w:space="0" w:color="auto"/>
        <w:bottom w:val="none" w:sz="0" w:space="0" w:color="auto"/>
        <w:right w:val="none" w:sz="0" w:space="0" w:color="auto"/>
      </w:divBdr>
    </w:div>
    <w:div w:id="895555308">
      <w:bodyDiv w:val="1"/>
      <w:marLeft w:val="0"/>
      <w:marRight w:val="0"/>
      <w:marTop w:val="0"/>
      <w:marBottom w:val="0"/>
      <w:divBdr>
        <w:top w:val="none" w:sz="0" w:space="0" w:color="auto"/>
        <w:left w:val="none" w:sz="0" w:space="0" w:color="auto"/>
        <w:bottom w:val="none" w:sz="0" w:space="0" w:color="auto"/>
        <w:right w:val="none" w:sz="0" w:space="0" w:color="auto"/>
      </w:divBdr>
    </w:div>
    <w:div w:id="895707020">
      <w:bodyDiv w:val="1"/>
      <w:marLeft w:val="0"/>
      <w:marRight w:val="0"/>
      <w:marTop w:val="0"/>
      <w:marBottom w:val="0"/>
      <w:divBdr>
        <w:top w:val="none" w:sz="0" w:space="0" w:color="auto"/>
        <w:left w:val="none" w:sz="0" w:space="0" w:color="auto"/>
        <w:bottom w:val="none" w:sz="0" w:space="0" w:color="auto"/>
        <w:right w:val="none" w:sz="0" w:space="0" w:color="auto"/>
      </w:divBdr>
    </w:div>
    <w:div w:id="895747677">
      <w:bodyDiv w:val="1"/>
      <w:marLeft w:val="0"/>
      <w:marRight w:val="0"/>
      <w:marTop w:val="0"/>
      <w:marBottom w:val="0"/>
      <w:divBdr>
        <w:top w:val="none" w:sz="0" w:space="0" w:color="auto"/>
        <w:left w:val="none" w:sz="0" w:space="0" w:color="auto"/>
        <w:bottom w:val="none" w:sz="0" w:space="0" w:color="auto"/>
        <w:right w:val="none" w:sz="0" w:space="0" w:color="auto"/>
      </w:divBdr>
    </w:div>
    <w:div w:id="895818500">
      <w:bodyDiv w:val="1"/>
      <w:marLeft w:val="0"/>
      <w:marRight w:val="0"/>
      <w:marTop w:val="0"/>
      <w:marBottom w:val="0"/>
      <w:divBdr>
        <w:top w:val="none" w:sz="0" w:space="0" w:color="auto"/>
        <w:left w:val="none" w:sz="0" w:space="0" w:color="auto"/>
        <w:bottom w:val="none" w:sz="0" w:space="0" w:color="auto"/>
        <w:right w:val="none" w:sz="0" w:space="0" w:color="auto"/>
      </w:divBdr>
    </w:div>
    <w:div w:id="895894114">
      <w:bodyDiv w:val="1"/>
      <w:marLeft w:val="0"/>
      <w:marRight w:val="0"/>
      <w:marTop w:val="0"/>
      <w:marBottom w:val="0"/>
      <w:divBdr>
        <w:top w:val="none" w:sz="0" w:space="0" w:color="auto"/>
        <w:left w:val="none" w:sz="0" w:space="0" w:color="auto"/>
        <w:bottom w:val="none" w:sz="0" w:space="0" w:color="auto"/>
        <w:right w:val="none" w:sz="0" w:space="0" w:color="auto"/>
      </w:divBdr>
    </w:div>
    <w:div w:id="896159502">
      <w:bodyDiv w:val="1"/>
      <w:marLeft w:val="0"/>
      <w:marRight w:val="0"/>
      <w:marTop w:val="0"/>
      <w:marBottom w:val="0"/>
      <w:divBdr>
        <w:top w:val="none" w:sz="0" w:space="0" w:color="auto"/>
        <w:left w:val="none" w:sz="0" w:space="0" w:color="auto"/>
        <w:bottom w:val="none" w:sz="0" w:space="0" w:color="auto"/>
        <w:right w:val="none" w:sz="0" w:space="0" w:color="auto"/>
      </w:divBdr>
    </w:div>
    <w:div w:id="896206528">
      <w:bodyDiv w:val="1"/>
      <w:marLeft w:val="0"/>
      <w:marRight w:val="0"/>
      <w:marTop w:val="0"/>
      <w:marBottom w:val="0"/>
      <w:divBdr>
        <w:top w:val="none" w:sz="0" w:space="0" w:color="auto"/>
        <w:left w:val="none" w:sz="0" w:space="0" w:color="auto"/>
        <w:bottom w:val="none" w:sz="0" w:space="0" w:color="auto"/>
        <w:right w:val="none" w:sz="0" w:space="0" w:color="auto"/>
      </w:divBdr>
    </w:div>
    <w:div w:id="896358289">
      <w:bodyDiv w:val="1"/>
      <w:marLeft w:val="0"/>
      <w:marRight w:val="0"/>
      <w:marTop w:val="0"/>
      <w:marBottom w:val="0"/>
      <w:divBdr>
        <w:top w:val="none" w:sz="0" w:space="0" w:color="auto"/>
        <w:left w:val="none" w:sz="0" w:space="0" w:color="auto"/>
        <w:bottom w:val="none" w:sz="0" w:space="0" w:color="auto"/>
        <w:right w:val="none" w:sz="0" w:space="0" w:color="auto"/>
      </w:divBdr>
    </w:div>
    <w:div w:id="896360757">
      <w:bodyDiv w:val="1"/>
      <w:marLeft w:val="0"/>
      <w:marRight w:val="0"/>
      <w:marTop w:val="0"/>
      <w:marBottom w:val="0"/>
      <w:divBdr>
        <w:top w:val="none" w:sz="0" w:space="0" w:color="auto"/>
        <w:left w:val="none" w:sz="0" w:space="0" w:color="auto"/>
        <w:bottom w:val="none" w:sz="0" w:space="0" w:color="auto"/>
        <w:right w:val="none" w:sz="0" w:space="0" w:color="auto"/>
      </w:divBdr>
    </w:div>
    <w:div w:id="896360844">
      <w:bodyDiv w:val="1"/>
      <w:marLeft w:val="0"/>
      <w:marRight w:val="0"/>
      <w:marTop w:val="0"/>
      <w:marBottom w:val="0"/>
      <w:divBdr>
        <w:top w:val="none" w:sz="0" w:space="0" w:color="auto"/>
        <w:left w:val="none" w:sz="0" w:space="0" w:color="auto"/>
        <w:bottom w:val="none" w:sz="0" w:space="0" w:color="auto"/>
        <w:right w:val="none" w:sz="0" w:space="0" w:color="auto"/>
      </w:divBdr>
    </w:div>
    <w:div w:id="896475534">
      <w:bodyDiv w:val="1"/>
      <w:marLeft w:val="0"/>
      <w:marRight w:val="0"/>
      <w:marTop w:val="0"/>
      <w:marBottom w:val="0"/>
      <w:divBdr>
        <w:top w:val="none" w:sz="0" w:space="0" w:color="auto"/>
        <w:left w:val="none" w:sz="0" w:space="0" w:color="auto"/>
        <w:bottom w:val="none" w:sz="0" w:space="0" w:color="auto"/>
        <w:right w:val="none" w:sz="0" w:space="0" w:color="auto"/>
      </w:divBdr>
    </w:div>
    <w:div w:id="896480082">
      <w:bodyDiv w:val="1"/>
      <w:marLeft w:val="0"/>
      <w:marRight w:val="0"/>
      <w:marTop w:val="0"/>
      <w:marBottom w:val="0"/>
      <w:divBdr>
        <w:top w:val="none" w:sz="0" w:space="0" w:color="auto"/>
        <w:left w:val="none" w:sz="0" w:space="0" w:color="auto"/>
        <w:bottom w:val="none" w:sz="0" w:space="0" w:color="auto"/>
        <w:right w:val="none" w:sz="0" w:space="0" w:color="auto"/>
      </w:divBdr>
    </w:div>
    <w:div w:id="896626120">
      <w:bodyDiv w:val="1"/>
      <w:marLeft w:val="0"/>
      <w:marRight w:val="0"/>
      <w:marTop w:val="0"/>
      <w:marBottom w:val="0"/>
      <w:divBdr>
        <w:top w:val="none" w:sz="0" w:space="0" w:color="auto"/>
        <w:left w:val="none" w:sz="0" w:space="0" w:color="auto"/>
        <w:bottom w:val="none" w:sz="0" w:space="0" w:color="auto"/>
        <w:right w:val="none" w:sz="0" w:space="0" w:color="auto"/>
      </w:divBdr>
    </w:div>
    <w:div w:id="896665759">
      <w:bodyDiv w:val="1"/>
      <w:marLeft w:val="0"/>
      <w:marRight w:val="0"/>
      <w:marTop w:val="0"/>
      <w:marBottom w:val="0"/>
      <w:divBdr>
        <w:top w:val="none" w:sz="0" w:space="0" w:color="auto"/>
        <w:left w:val="none" w:sz="0" w:space="0" w:color="auto"/>
        <w:bottom w:val="none" w:sz="0" w:space="0" w:color="auto"/>
        <w:right w:val="none" w:sz="0" w:space="0" w:color="auto"/>
      </w:divBdr>
    </w:div>
    <w:div w:id="896666833">
      <w:bodyDiv w:val="1"/>
      <w:marLeft w:val="0"/>
      <w:marRight w:val="0"/>
      <w:marTop w:val="0"/>
      <w:marBottom w:val="0"/>
      <w:divBdr>
        <w:top w:val="none" w:sz="0" w:space="0" w:color="auto"/>
        <w:left w:val="none" w:sz="0" w:space="0" w:color="auto"/>
        <w:bottom w:val="none" w:sz="0" w:space="0" w:color="auto"/>
        <w:right w:val="none" w:sz="0" w:space="0" w:color="auto"/>
      </w:divBdr>
    </w:div>
    <w:div w:id="896669672">
      <w:bodyDiv w:val="1"/>
      <w:marLeft w:val="0"/>
      <w:marRight w:val="0"/>
      <w:marTop w:val="0"/>
      <w:marBottom w:val="0"/>
      <w:divBdr>
        <w:top w:val="none" w:sz="0" w:space="0" w:color="auto"/>
        <w:left w:val="none" w:sz="0" w:space="0" w:color="auto"/>
        <w:bottom w:val="none" w:sz="0" w:space="0" w:color="auto"/>
        <w:right w:val="none" w:sz="0" w:space="0" w:color="auto"/>
      </w:divBdr>
    </w:div>
    <w:div w:id="896892546">
      <w:bodyDiv w:val="1"/>
      <w:marLeft w:val="0"/>
      <w:marRight w:val="0"/>
      <w:marTop w:val="0"/>
      <w:marBottom w:val="0"/>
      <w:divBdr>
        <w:top w:val="none" w:sz="0" w:space="0" w:color="auto"/>
        <w:left w:val="none" w:sz="0" w:space="0" w:color="auto"/>
        <w:bottom w:val="none" w:sz="0" w:space="0" w:color="auto"/>
        <w:right w:val="none" w:sz="0" w:space="0" w:color="auto"/>
      </w:divBdr>
    </w:div>
    <w:div w:id="896934439">
      <w:bodyDiv w:val="1"/>
      <w:marLeft w:val="0"/>
      <w:marRight w:val="0"/>
      <w:marTop w:val="0"/>
      <w:marBottom w:val="0"/>
      <w:divBdr>
        <w:top w:val="none" w:sz="0" w:space="0" w:color="auto"/>
        <w:left w:val="none" w:sz="0" w:space="0" w:color="auto"/>
        <w:bottom w:val="none" w:sz="0" w:space="0" w:color="auto"/>
        <w:right w:val="none" w:sz="0" w:space="0" w:color="auto"/>
      </w:divBdr>
    </w:div>
    <w:div w:id="897015565">
      <w:bodyDiv w:val="1"/>
      <w:marLeft w:val="0"/>
      <w:marRight w:val="0"/>
      <w:marTop w:val="0"/>
      <w:marBottom w:val="0"/>
      <w:divBdr>
        <w:top w:val="none" w:sz="0" w:space="0" w:color="auto"/>
        <w:left w:val="none" w:sz="0" w:space="0" w:color="auto"/>
        <w:bottom w:val="none" w:sz="0" w:space="0" w:color="auto"/>
        <w:right w:val="none" w:sz="0" w:space="0" w:color="auto"/>
      </w:divBdr>
    </w:div>
    <w:div w:id="897017670">
      <w:bodyDiv w:val="1"/>
      <w:marLeft w:val="0"/>
      <w:marRight w:val="0"/>
      <w:marTop w:val="0"/>
      <w:marBottom w:val="0"/>
      <w:divBdr>
        <w:top w:val="none" w:sz="0" w:space="0" w:color="auto"/>
        <w:left w:val="none" w:sz="0" w:space="0" w:color="auto"/>
        <w:bottom w:val="none" w:sz="0" w:space="0" w:color="auto"/>
        <w:right w:val="none" w:sz="0" w:space="0" w:color="auto"/>
      </w:divBdr>
    </w:div>
    <w:div w:id="897057512">
      <w:bodyDiv w:val="1"/>
      <w:marLeft w:val="0"/>
      <w:marRight w:val="0"/>
      <w:marTop w:val="0"/>
      <w:marBottom w:val="0"/>
      <w:divBdr>
        <w:top w:val="none" w:sz="0" w:space="0" w:color="auto"/>
        <w:left w:val="none" w:sz="0" w:space="0" w:color="auto"/>
        <w:bottom w:val="none" w:sz="0" w:space="0" w:color="auto"/>
        <w:right w:val="none" w:sz="0" w:space="0" w:color="auto"/>
      </w:divBdr>
    </w:div>
    <w:div w:id="897059773">
      <w:bodyDiv w:val="1"/>
      <w:marLeft w:val="0"/>
      <w:marRight w:val="0"/>
      <w:marTop w:val="0"/>
      <w:marBottom w:val="0"/>
      <w:divBdr>
        <w:top w:val="none" w:sz="0" w:space="0" w:color="auto"/>
        <w:left w:val="none" w:sz="0" w:space="0" w:color="auto"/>
        <w:bottom w:val="none" w:sz="0" w:space="0" w:color="auto"/>
        <w:right w:val="none" w:sz="0" w:space="0" w:color="auto"/>
      </w:divBdr>
    </w:div>
    <w:div w:id="897089176">
      <w:bodyDiv w:val="1"/>
      <w:marLeft w:val="0"/>
      <w:marRight w:val="0"/>
      <w:marTop w:val="0"/>
      <w:marBottom w:val="0"/>
      <w:divBdr>
        <w:top w:val="none" w:sz="0" w:space="0" w:color="auto"/>
        <w:left w:val="none" w:sz="0" w:space="0" w:color="auto"/>
        <w:bottom w:val="none" w:sz="0" w:space="0" w:color="auto"/>
        <w:right w:val="none" w:sz="0" w:space="0" w:color="auto"/>
      </w:divBdr>
    </w:div>
    <w:div w:id="897126666">
      <w:bodyDiv w:val="1"/>
      <w:marLeft w:val="0"/>
      <w:marRight w:val="0"/>
      <w:marTop w:val="0"/>
      <w:marBottom w:val="0"/>
      <w:divBdr>
        <w:top w:val="none" w:sz="0" w:space="0" w:color="auto"/>
        <w:left w:val="none" w:sz="0" w:space="0" w:color="auto"/>
        <w:bottom w:val="none" w:sz="0" w:space="0" w:color="auto"/>
        <w:right w:val="none" w:sz="0" w:space="0" w:color="auto"/>
      </w:divBdr>
    </w:div>
    <w:div w:id="897394871">
      <w:bodyDiv w:val="1"/>
      <w:marLeft w:val="0"/>
      <w:marRight w:val="0"/>
      <w:marTop w:val="0"/>
      <w:marBottom w:val="0"/>
      <w:divBdr>
        <w:top w:val="none" w:sz="0" w:space="0" w:color="auto"/>
        <w:left w:val="none" w:sz="0" w:space="0" w:color="auto"/>
        <w:bottom w:val="none" w:sz="0" w:space="0" w:color="auto"/>
        <w:right w:val="none" w:sz="0" w:space="0" w:color="auto"/>
      </w:divBdr>
    </w:div>
    <w:div w:id="897397119">
      <w:bodyDiv w:val="1"/>
      <w:marLeft w:val="0"/>
      <w:marRight w:val="0"/>
      <w:marTop w:val="0"/>
      <w:marBottom w:val="0"/>
      <w:divBdr>
        <w:top w:val="none" w:sz="0" w:space="0" w:color="auto"/>
        <w:left w:val="none" w:sz="0" w:space="0" w:color="auto"/>
        <w:bottom w:val="none" w:sz="0" w:space="0" w:color="auto"/>
        <w:right w:val="none" w:sz="0" w:space="0" w:color="auto"/>
      </w:divBdr>
    </w:div>
    <w:div w:id="897397691">
      <w:bodyDiv w:val="1"/>
      <w:marLeft w:val="0"/>
      <w:marRight w:val="0"/>
      <w:marTop w:val="0"/>
      <w:marBottom w:val="0"/>
      <w:divBdr>
        <w:top w:val="none" w:sz="0" w:space="0" w:color="auto"/>
        <w:left w:val="none" w:sz="0" w:space="0" w:color="auto"/>
        <w:bottom w:val="none" w:sz="0" w:space="0" w:color="auto"/>
        <w:right w:val="none" w:sz="0" w:space="0" w:color="auto"/>
      </w:divBdr>
    </w:div>
    <w:div w:id="897471104">
      <w:bodyDiv w:val="1"/>
      <w:marLeft w:val="0"/>
      <w:marRight w:val="0"/>
      <w:marTop w:val="0"/>
      <w:marBottom w:val="0"/>
      <w:divBdr>
        <w:top w:val="none" w:sz="0" w:space="0" w:color="auto"/>
        <w:left w:val="none" w:sz="0" w:space="0" w:color="auto"/>
        <w:bottom w:val="none" w:sz="0" w:space="0" w:color="auto"/>
        <w:right w:val="none" w:sz="0" w:space="0" w:color="auto"/>
      </w:divBdr>
    </w:div>
    <w:div w:id="897475274">
      <w:bodyDiv w:val="1"/>
      <w:marLeft w:val="0"/>
      <w:marRight w:val="0"/>
      <w:marTop w:val="0"/>
      <w:marBottom w:val="0"/>
      <w:divBdr>
        <w:top w:val="none" w:sz="0" w:space="0" w:color="auto"/>
        <w:left w:val="none" w:sz="0" w:space="0" w:color="auto"/>
        <w:bottom w:val="none" w:sz="0" w:space="0" w:color="auto"/>
        <w:right w:val="none" w:sz="0" w:space="0" w:color="auto"/>
      </w:divBdr>
    </w:div>
    <w:div w:id="897517484">
      <w:bodyDiv w:val="1"/>
      <w:marLeft w:val="0"/>
      <w:marRight w:val="0"/>
      <w:marTop w:val="0"/>
      <w:marBottom w:val="0"/>
      <w:divBdr>
        <w:top w:val="none" w:sz="0" w:space="0" w:color="auto"/>
        <w:left w:val="none" w:sz="0" w:space="0" w:color="auto"/>
        <w:bottom w:val="none" w:sz="0" w:space="0" w:color="auto"/>
        <w:right w:val="none" w:sz="0" w:space="0" w:color="auto"/>
      </w:divBdr>
    </w:div>
    <w:div w:id="897588350">
      <w:bodyDiv w:val="1"/>
      <w:marLeft w:val="0"/>
      <w:marRight w:val="0"/>
      <w:marTop w:val="0"/>
      <w:marBottom w:val="0"/>
      <w:divBdr>
        <w:top w:val="none" w:sz="0" w:space="0" w:color="auto"/>
        <w:left w:val="none" w:sz="0" w:space="0" w:color="auto"/>
        <w:bottom w:val="none" w:sz="0" w:space="0" w:color="auto"/>
        <w:right w:val="none" w:sz="0" w:space="0" w:color="auto"/>
      </w:divBdr>
    </w:div>
    <w:div w:id="897589416">
      <w:bodyDiv w:val="1"/>
      <w:marLeft w:val="0"/>
      <w:marRight w:val="0"/>
      <w:marTop w:val="0"/>
      <w:marBottom w:val="0"/>
      <w:divBdr>
        <w:top w:val="none" w:sz="0" w:space="0" w:color="auto"/>
        <w:left w:val="none" w:sz="0" w:space="0" w:color="auto"/>
        <w:bottom w:val="none" w:sz="0" w:space="0" w:color="auto"/>
        <w:right w:val="none" w:sz="0" w:space="0" w:color="auto"/>
      </w:divBdr>
    </w:div>
    <w:div w:id="897593290">
      <w:bodyDiv w:val="1"/>
      <w:marLeft w:val="0"/>
      <w:marRight w:val="0"/>
      <w:marTop w:val="0"/>
      <w:marBottom w:val="0"/>
      <w:divBdr>
        <w:top w:val="none" w:sz="0" w:space="0" w:color="auto"/>
        <w:left w:val="none" w:sz="0" w:space="0" w:color="auto"/>
        <w:bottom w:val="none" w:sz="0" w:space="0" w:color="auto"/>
        <w:right w:val="none" w:sz="0" w:space="0" w:color="auto"/>
      </w:divBdr>
    </w:div>
    <w:div w:id="897594746">
      <w:bodyDiv w:val="1"/>
      <w:marLeft w:val="0"/>
      <w:marRight w:val="0"/>
      <w:marTop w:val="0"/>
      <w:marBottom w:val="0"/>
      <w:divBdr>
        <w:top w:val="none" w:sz="0" w:space="0" w:color="auto"/>
        <w:left w:val="none" w:sz="0" w:space="0" w:color="auto"/>
        <w:bottom w:val="none" w:sz="0" w:space="0" w:color="auto"/>
        <w:right w:val="none" w:sz="0" w:space="0" w:color="auto"/>
      </w:divBdr>
    </w:div>
    <w:div w:id="897664835">
      <w:bodyDiv w:val="1"/>
      <w:marLeft w:val="0"/>
      <w:marRight w:val="0"/>
      <w:marTop w:val="0"/>
      <w:marBottom w:val="0"/>
      <w:divBdr>
        <w:top w:val="none" w:sz="0" w:space="0" w:color="auto"/>
        <w:left w:val="none" w:sz="0" w:space="0" w:color="auto"/>
        <w:bottom w:val="none" w:sz="0" w:space="0" w:color="auto"/>
        <w:right w:val="none" w:sz="0" w:space="0" w:color="auto"/>
      </w:divBdr>
    </w:div>
    <w:div w:id="897666700">
      <w:bodyDiv w:val="1"/>
      <w:marLeft w:val="0"/>
      <w:marRight w:val="0"/>
      <w:marTop w:val="0"/>
      <w:marBottom w:val="0"/>
      <w:divBdr>
        <w:top w:val="none" w:sz="0" w:space="0" w:color="auto"/>
        <w:left w:val="none" w:sz="0" w:space="0" w:color="auto"/>
        <w:bottom w:val="none" w:sz="0" w:space="0" w:color="auto"/>
        <w:right w:val="none" w:sz="0" w:space="0" w:color="auto"/>
      </w:divBdr>
    </w:div>
    <w:div w:id="897739170">
      <w:bodyDiv w:val="1"/>
      <w:marLeft w:val="0"/>
      <w:marRight w:val="0"/>
      <w:marTop w:val="0"/>
      <w:marBottom w:val="0"/>
      <w:divBdr>
        <w:top w:val="none" w:sz="0" w:space="0" w:color="auto"/>
        <w:left w:val="none" w:sz="0" w:space="0" w:color="auto"/>
        <w:bottom w:val="none" w:sz="0" w:space="0" w:color="auto"/>
        <w:right w:val="none" w:sz="0" w:space="0" w:color="auto"/>
      </w:divBdr>
    </w:div>
    <w:div w:id="897784420">
      <w:bodyDiv w:val="1"/>
      <w:marLeft w:val="0"/>
      <w:marRight w:val="0"/>
      <w:marTop w:val="0"/>
      <w:marBottom w:val="0"/>
      <w:divBdr>
        <w:top w:val="none" w:sz="0" w:space="0" w:color="auto"/>
        <w:left w:val="none" w:sz="0" w:space="0" w:color="auto"/>
        <w:bottom w:val="none" w:sz="0" w:space="0" w:color="auto"/>
        <w:right w:val="none" w:sz="0" w:space="0" w:color="auto"/>
      </w:divBdr>
    </w:div>
    <w:div w:id="897938668">
      <w:bodyDiv w:val="1"/>
      <w:marLeft w:val="0"/>
      <w:marRight w:val="0"/>
      <w:marTop w:val="0"/>
      <w:marBottom w:val="0"/>
      <w:divBdr>
        <w:top w:val="none" w:sz="0" w:space="0" w:color="auto"/>
        <w:left w:val="none" w:sz="0" w:space="0" w:color="auto"/>
        <w:bottom w:val="none" w:sz="0" w:space="0" w:color="auto"/>
        <w:right w:val="none" w:sz="0" w:space="0" w:color="auto"/>
      </w:divBdr>
    </w:div>
    <w:div w:id="897977025">
      <w:bodyDiv w:val="1"/>
      <w:marLeft w:val="0"/>
      <w:marRight w:val="0"/>
      <w:marTop w:val="0"/>
      <w:marBottom w:val="0"/>
      <w:divBdr>
        <w:top w:val="none" w:sz="0" w:space="0" w:color="auto"/>
        <w:left w:val="none" w:sz="0" w:space="0" w:color="auto"/>
        <w:bottom w:val="none" w:sz="0" w:space="0" w:color="auto"/>
        <w:right w:val="none" w:sz="0" w:space="0" w:color="auto"/>
      </w:divBdr>
    </w:div>
    <w:div w:id="898054998">
      <w:bodyDiv w:val="1"/>
      <w:marLeft w:val="0"/>
      <w:marRight w:val="0"/>
      <w:marTop w:val="0"/>
      <w:marBottom w:val="0"/>
      <w:divBdr>
        <w:top w:val="none" w:sz="0" w:space="0" w:color="auto"/>
        <w:left w:val="none" w:sz="0" w:space="0" w:color="auto"/>
        <w:bottom w:val="none" w:sz="0" w:space="0" w:color="auto"/>
        <w:right w:val="none" w:sz="0" w:space="0" w:color="auto"/>
      </w:divBdr>
    </w:div>
    <w:div w:id="898200566">
      <w:bodyDiv w:val="1"/>
      <w:marLeft w:val="0"/>
      <w:marRight w:val="0"/>
      <w:marTop w:val="0"/>
      <w:marBottom w:val="0"/>
      <w:divBdr>
        <w:top w:val="none" w:sz="0" w:space="0" w:color="auto"/>
        <w:left w:val="none" w:sz="0" w:space="0" w:color="auto"/>
        <w:bottom w:val="none" w:sz="0" w:space="0" w:color="auto"/>
        <w:right w:val="none" w:sz="0" w:space="0" w:color="auto"/>
      </w:divBdr>
    </w:div>
    <w:div w:id="898588034">
      <w:bodyDiv w:val="1"/>
      <w:marLeft w:val="0"/>
      <w:marRight w:val="0"/>
      <w:marTop w:val="0"/>
      <w:marBottom w:val="0"/>
      <w:divBdr>
        <w:top w:val="none" w:sz="0" w:space="0" w:color="auto"/>
        <w:left w:val="none" w:sz="0" w:space="0" w:color="auto"/>
        <w:bottom w:val="none" w:sz="0" w:space="0" w:color="auto"/>
        <w:right w:val="none" w:sz="0" w:space="0" w:color="auto"/>
      </w:divBdr>
    </w:div>
    <w:div w:id="898634381">
      <w:bodyDiv w:val="1"/>
      <w:marLeft w:val="0"/>
      <w:marRight w:val="0"/>
      <w:marTop w:val="0"/>
      <w:marBottom w:val="0"/>
      <w:divBdr>
        <w:top w:val="none" w:sz="0" w:space="0" w:color="auto"/>
        <w:left w:val="none" w:sz="0" w:space="0" w:color="auto"/>
        <w:bottom w:val="none" w:sz="0" w:space="0" w:color="auto"/>
        <w:right w:val="none" w:sz="0" w:space="0" w:color="auto"/>
      </w:divBdr>
    </w:div>
    <w:div w:id="898784666">
      <w:bodyDiv w:val="1"/>
      <w:marLeft w:val="0"/>
      <w:marRight w:val="0"/>
      <w:marTop w:val="0"/>
      <w:marBottom w:val="0"/>
      <w:divBdr>
        <w:top w:val="none" w:sz="0" w:space="0" w:color="auto"/>
        <w:left w:val="none" w:sz="0" w:space="0" w:color="auto"/>
        <w:bottom w:val="none" w:sz="0" w:space="0" w:color="auto"/>
        <w:right w:val="none" w:sz="0" w:space="0" w:color="auto"/>
      </w:divBdr>
    </w:div>
    <w:div w:id="899025638">
      <w:bodyDiv w:val="1"/>
      <w:marLeft w:val="0"/>
      <w:marRight w:val="0"/>
      <w:marTop w:val="0"/>
      <w:marBottom w:val="0"/>
      <w:divBdr>
        <w:top w:val="none" w:sz="0" w:space="0" w:color="auto"/>
        <w:left w:val="none" w:sz="0" w:space="0" w:color="auto"/>
        <w:bottom w:val="none" w:sz="0" w:space="0" w:color="auto"/>
        <w:right w:val="none" w:sz="0" w:space="0" w:color="auto"/>
      </w:divBdr>
    </w:div>
    <w:div w:id="899093577">
      <w:bodyDiv w:val="1"/>
      <w:marLeft w:val="0"/>
      <w:marRight w:val="0"/>
      <w:marTop w:val="0"/>
      <w:marBottom w:val="0"/>
      <w:divBdr>
        <w:top w:val="none" w:sz="0" w:space="0" w:color="auto"/>
        <w:left w:val="none" w:sz="0" w:space="0" w:color="auto"/>
        <w:bottom w:val="none" w:sz="0" w:space="0" w:color="auto"/>
        <w:right w:val="none" w:sz="0" w:space="0" w:color="auto"/>
      </w:divBdr>
    </w:div>
    <w:div w:id="899098124">
      <w:bodyDiv w:val="1"/>
      <w:marLeft w:val="0"/>
      <w:marRight w:val="0"/>
      <w:marTop w:val="0"/>
      <w:marBottom w:val="0"/>
      <w:divBdr>
        <w:top w:val="none" w:sz="0" w:space="0" w:color="auto"/>
        <w:left w:val="none" w:sz="0" w:space="0" w:color="auto"/>
        <w:bottom w:val="none" w:sz="0" w:space="0" w:color="auto"/>
        <w:right w:val="none" w:sz="0" w:space="0" w:color="auto"/>
      </w:divBdr>
    </w:div>
    <w:div w:id="899287400">
      <w:bodyDiv w:val="1"/>
      <w:marLeft w:val="0"/>
      <w:marRight w:val="0"/>
      <w:marTop w:val="0"/>
      <w:marBottom w:val="0"/>
      <w:divBdr>
        <w:top w:val="none" w:sz="0" w:space="0" w:color="auto"/>
        <w:left w:val="none" w:sz="0" w:space="0" w:color="auto"/>
        <w:bottom w:val="none" w:sz="0" w:space="0" w:color="auto"/>
        <w:right w:val="none" w:sz="0" w:space="0" w:color="auto"/>
      </w:divBdr>
    </w:div>
    <w:div w:id="899294684">
      <w:bodyDiv w:val="1"/>
      <w:marLeft w:val="0"/>
      <w:marRight w:val="0"/>
      <w:marTop w:val="0"/>
      <w:marBottom w:val="0"/>
      <w:divBdr>
        <w:top w:val="none" w:sz="0" w:space="0" w:color="auto"/>
        <w:left w:val="none" w:sz="0" w:space="0" w:color="auto"/>
        <w:bottom w:val="none" w:sz="0" w:space="0" w:color="auto"/>
        <w:right w:val="none" w:sz="0" w:space="0" w:color="auto"/>
      </w:divBdr>
    </w:div>
    <w:div w:id="899485964">
      <w:bodyDiv w:val="1"/>
      <w:marLeft w:val="0"/>
      <w:marRight w:val="0"/>
      <w:marTop w:val="0"/>
      <w:marBottom w:val="0"/>
      <w:divBdr>
        <w:top w:val="none" w:sz="0" w:space="0" w:color="auto"/>
        <w:left w:val="none" w:sz="0" w:space="0" w:color="auto"/>
        <w:bottom w:val="none" w:sz="0" w:space="0" w:color="auto"/>
        <w:right w:val="none" w:sz="0" w:space="0" w:color="auto"/>
      </w:divBdr>
    </w:div>
    <w:div w:id="899558131">
      <w:bodyDiv w:val="1"/>
      <w:marLeft w:val="0"/>
      <w:marRight w:val="0"/>
      <w:marTop w:val="0"/>
      <w:marBottom w:val="0"/>
      <w:divBdr>
        <w:top w:val="none" w:sz="0" w:space="0" w:color="auto"/>
        <w:left w:val="none" w:sz="0" w:space="0" w:color="auto"/>
        <w:bottom w:val="none" w:sz="0" w:space="0" w:color="auto"/>
        <w:right w:val="none" w:sz="0" w:space="0" w:color="auto"/>
      </w:divBdr>
    </w:div>
    <w:div w:id="899563072">
      <w:bodyDiv w:val="1"/>
      <w:marLeft w:val="0"/>
      <w:marRight w:val="0"/>
      <w:marTop w:val="0"/>
      <w:marBottom w:val="0"/>
      <w:divBdr>
        <w:top w:val="none" w:sz="0" w:space="0" w:color="auto"/>
        <w:left w:val="none" w:sz="0" w:space="0" w:color="auto"/>
        <w:bottom w:val="none" w:sz="0" w:space="0" w:color="auto"/>
        <w:right w:val="none" w:sz="0" w:space="0" w:color="auto"/>
      </w:divBdr>
    </w:div>
    <w:div w:id="899635457">
      <w:bodyDiv w:val="1"/>
      <w:marLeft w:val="0"/>
      <w:marRight w:val="0"/>
      <w:marTop w:val="0"/>
      <w:marBottom w:val="0"/>
      <w:divBdr>
        <w:top w:val="none" w:sz="0" w:space="0" w:color="auto"/>
        <w:left w:val="none" w:sz="0" w:space="0" w:color="auto"/>
        <w:bottom w:val="none" w:sz="0" w:space="0" w:color="auto"/>
        <w:right w:val="none" w:sz="0" w:space="0" w:color="auto"/>
      </w:divBdr>
    </w:div>
    <w:div w:id="899949302">
      <w:bodyDiv w:val="1"/>
      <w:marLeft w:val="0"/>
      <w:marRight w:val="0"/>
      <w:marTop w:val="0"/>
      <w:marBottom w:val="0"/>
      <w:divBdr>
        <w:top w:val="none" w:sz="0" w:space="0" w:color="auto"/>
        <w:left w:val="none" w:sz="0" w:space="0" w:color="auto"/>
        <w:bottom w:val="none" w:sz="0" w:space="0" w:color="auto"/>
        <w:right w:val="none" w:sz="0" w:space="0" w:color="auto"/>
      </w:divBdr>
    </w:div>
    <w:div w:id="900099810">
      <w:bodyDiv w:val="1"/>
      <w:marLeft w:val="0"/>
      <w:marRight w:val="0"/>
      <w:marTop w:val="0"/>
      <w:marBottom w:val="0"/>
      <w:divBdr>
        <w:top w:val="none" w:sz="0" w:space="0" w:color="auto"/>
        <w:left w:val="none" w:sz="0" w:space="0" w:color="auto"/>
        <w:bottom w:val="none" w:sz="0" w:space="0" w:color="auto"/>
        <w:right w:val="none" w:sz="0" w:space="0" w:color="auto"/>
      </w:divBdr>
    </w:div>
    <w:div w:id="900213237">
      <w:bodyDiv w:val="1"/>
      <w:marLeft w:val="0"/>
      <w:marRight w:val="0"/>
      <w:marTop w:val="0"/>
      <w:marBottom w:val="0"/>
      <w:divBdr>
        <w:top w:val="none" w:sz="0" w:space="0" w:color="auto"/>
        <w:left w:val="none" w:sz="0" w:space="0" w:color="auto"/>
        <w:bottom w:val="none" w:sz="0" w:space="0" w:color="auto"/>
        <w:right w:val="none" w:sz="0" w:space="0" w:color="auto"/>
      </w:divBdr>
    </w:div>
    <w:div w:id="900288673">
      <w:bodyDiv w:val="1"/>
      <w:marLeft w:val="0"/>
      <w:marRight w:val="0"/>
      <w:marTop w:val="0"/>
      <w:marBottom w:val="0"/>
      <w:divBdr>
        <w:top w:val="none" w:sz="0" w:space="0" w:color="auto"/>
        <w:left w:val="none" w:sz="0" w:space="0" w:color="auto"/>
        <w:bottom w:val="none" w:sz="0" w:space="0" w:color="auto"/>
        <w:right w:val="none" w:sz="0" w:space="0" w:color="auto"/>
      </w:divBdr>
    </w:div>
    <w:div w:id="900293242">
      <w:bodyDiv w:val="1"/>
      <w:marLeft w:val="0"/>
      <w:marRight w:val="0"/>
      <w:marTop w:val="0"/>
      <w:marBottom w:val="0"/>
      <w:divBdr>
        <w:top w:val="none" w:sz="0" w:space="0" w:color="auto"/>
        <w:left w:val="none" w:sz="0" w:space="0" w:color="auto"/>
        <w:bottom w:val="none" w:sz="0" w:space="0" w:color="auto"/>
        <w:right w:val="none" w:sz="0" w:space="0" w:color="auto"/>
      </w:divBdr>
    </w:div>
    <w:div w:id="900361838">
      <w:bodyDiv w:val="1"/>
      <w:marLeft w:val="0"/>
      <w:marRight w:val="0"/>
      <w:marTop w:val="0"/>
      <w:marBottom w:val="0"/>
      <w:divBdr>
        <w:top w:val="none" w:sz="0" w:space="0" w:color="auto"/>
        <w:left w:val="none" w:sz="0" w:space="0" w:color="auto"/>
        <w:bottom w:val="none" w:sz="0" w:space="0" w:color="auto"/>
        <w:right w:val="none" w:sz="0" w:space="0" w:color="auto"/>
      </w:divBdr>
    </w:div>
    <w:div w:id="900598401">
      <w:bodyDiv w:val="1"/>
      <w:marLeft w:val="0"/>
      <w:marRight w:val="0"/>
      <w:marTop w:val="0"/>
      <w:marBottom w:val="0"/>
      <w:divBdr>
        <w:top w:val="none" w:sz="0" w:space="0" w:color="auto"/>
        <w:left w:val="none" w:sz="0" w:space="0" w:color="auto"/>
        <w:bottom w:val="none" w:sz="0" w:space="0" w:color="auto"/>
        <w:right w:val="none" w:sz="0" w:space="0" w:color="auto"/>
      </w:divBdr>
    </w:div>
    <w:div w:id="900604686">
      <w:bodyDiv w:val="1"/>
      <w:marLeft w:val="0"/>
      <w:marRight w:val="0"/>
      <w:marTop w:val="0"/>
      <w:marBottom w:val="0"/>
      <w:divBdr>
        <w:top w:val="none" w:sz="0" w:space="0" w:color="auto"/>
        <w:left w:val="none" w:sz="0" w:space="0" w:color="auto"/>
        <w:bottom w:val="none" w:sz="0" w:space="0" w:color="auto"/>
        <w:right w:val="none" w:sz="0" w:space="0" w:color="auto"/>
      </w:divBdr>
    </w:div>
    <w:div w:id="900676462">
      <w:bodyDiv w:val="1"/>
      <w:marLeft w:val="0"/>
      <w:marRight w:val="0"/>
      <w:marTop w:val="0"/>
      <w:marBottom w:val="0"/>
      <w:divBdr>
        <w:top w:val="none" w:sz="0" w:space="0" w:color="auto"/>
        <w:left w:val="none" w:sz="0" w:space="0" w:color="auto"/>
        <w:bottom w:val="none" w:sz="0" w:space="0" w:color="auto"/>
        <w:right w:val="none" w:sz="0" w:space="0" w:color="auto"/>
      </w:divBdr>
    </w:div>
    <w:div w:id="900753097">
      <w:bodyDiv w:val="1"/>
      <w:marLeft w:val="0"/>
      <w:marRight w:val="0"/>
      <w:marTop w:val="0"/>
      <w:marBottom w:val="0"/>
      <w:divBdr>
        <w:top w:val="none" w:sz="0" w:space="0" w:color="auto"/>
        <w:left w:val="none" w:sz="0" w:space="0" w:color="auto"/>
        <w:bottom w:val="none" w:sz="0" w:space="0" w:color="auto"/>
        <w:right w:val="none" w:sz="0" w:space="0" w:color="auto"/>
      </w:divBdr>
    </w:div>
    <w:div w:id="900823569">
      <w:bodyDiv w:val="1"/>
      <w:marLeft w:val="0"/>
      <w:marRight w:val="0"/>
      <w:marTop w:val="0"/>
      <w:marBottom w:val="0"/>
      <w:divBdr>
        <w:top w:val="none" w:sz="0" w:space="0" w:color="auto"/>
        <w:left w:val="none" w:sz="0" w:space="0" w:color="auto"/>
        <w:bottom w:val="none" w:sz="0" w:space="0" w:color="auto"/>
        <w:right w:val="none" w:sz="0" w:space="0" w:color="auto"/>
      </w:divBdr>
    </w:div>
    <w:div w:id="900948288">
      <w:bodyDiv w:val="1"/>
      <w:marLeft w:val="0"/>
      <w:marRight w:val="0"/>
      <w:marTop w:val="0"/>
      <w:marBottom w:val="0"/>
      <w:divBdr>
        <w:top w:val="none" w:sz="0" w:space="0" w:color="auto"/>
        <w:left w:val="none" w:sz="0" w:space="0" w:color="auto"/>
        <w:bottom w:val="none" w:sz="0" w:space="0" w:color="auto"/>
        <w:right w:val="none" w:sz="0" w:space="0" w:color="auto"/>
      </w:divBdr>
    </w:div>
    <w:div w:id="901019046">
      <w:bodyDiv w:val="1"/>
      <w:marLeft w:val="0"/>
      <w:marRight w:val="0"/>
      <w:marTop w:val="0"/>
      <w:marBottom w:val="0"/>
      <w:divBdr>
        <w:top w:val="none" w:sz="0" w:space="0" w:color="auto"/>
        <w:left w:val="none" w:sz="0" w:space="0" w:color="auto"/>
        <w:bottom w:val="none" w:sz="0" w:space="0" w:color="auto"/>
        <w:right w:val="none" w:sz="0" w:space="0" w:color="auto"/>
      </w:divBdr>
    </w:div>
    <w:div w:id="901062228">
      <w:bodyDiv w:val="1"/>
      <w:marLeft w:val="0"/>
      <w:marRight w:val="0"/>
      <w:marTop w:val="0"/>
      <w:marBottom w:val="0"/>
      <w:divBdr>
        <w:top w:val="none" w:sz="0" w:space="0" w:color="auto"/>
        <w:left w:val="none" w:sz="0" w:space="0" w:color="auto"/>
        <w:bottom w:val="none" w:sz="0" w:space="0" w:color="auto"/>
        <w:right w:val="none" w:sz="0" w:space="0" w:color="auto"/>
      </w:divBdr>
    </w:div>
    <w:div w:id="901066276">
      <w:bodyDiv w:val="1"/>
      <w:marLeft w:val="0"/>
      <w:marRight w:val="0"/>
      <w:marTop w:val="0"/>
      <w:marBottom w:val="0"/>
      <w:divBdr>
        <w:top w:val="none" w:sz="0" w:space="0" w:color="auto"/>
        <w:left w:val="none" w:sz="0" w:space="0" w:color="auto"/>
        <w:bottom w:val="none" w:sz="0" w:space="0" w:color="auto"/>
        <w:right w:val="none" w:sz="0" w:space="0" w:color="auto"/>
      </w:divBdr>
    </w:div>
    <w:div w:id="901255424">
      <w:bodyDiv w:val="1"/>
      <w:marLeft w:val="0"/>
      <w:marRight w:val="0"/>
      <w:marTop w:val="0"/>
      <w:marBottom w:val="0"/>
      <w:divBdr>
        <w:top w:val="none" w:sz="0" w:space="0" w:color="auto"/>
        <w:left w:val="none" w:sz="0" w:space="0" w:color="auto"/>
        <w:bottom w:val="none" w:sz="0" w:space="0" w:color="auto"/>
        <w:right w:val="none" w:sz="0" w:space="0" w:color="auto"/>
      </w:divBdr>
    </w:div>
    <w:div w:id="901326248">
      <w:bodyDiv w:val="1"/>
      <w:marLeft w:val="0"/>
      <w:marRight w:val="0"/>
      <w:marTop w:val="0"/>
      <w:marBottom w:val="0"/>
      <w:divBdr>
        <w:top w:val="none" w:sz="0" w:space="0" w:color="auto"/>
        <w:left w:val="none" w:sz="0" w:space="0" w:color="auto"/>
        <w:bottom w:val="none" w:sz="0" w:space="0" w:color="auto"/>
        <w:right w:val="none" w:sz="0" w:space="0" w:color="auto"/>
      </w:divBdr>
    </w:div>
    <w:div w:id="901477579">
      <w:bodyDiv w:val="1"/>
      <w:marLeft w:val="0"/>
      <w:marRight w:val="0"/>
      <w:marTop w:val="0"/>
      <w:marBottom w:val="0"/>
      <w:divBdr>
        <w:top w:val="none" w:sz="0" w:space="0" w:color="auto"/>
        <w:left w:val="none" w:sz="0" w:space="0" w:color="auto"/>
        <w:bottom w:val="none" w:sz="0" w:space="0" w:color="auto"/>
        <w:right w:val="none" w:sz="0" w:space="0" w:color="auto"/>
      </w:divBdr>
    </w:div>
    <w:div w:id="901525617">
      <w:bodyDiv w:val="1"/>
      <w:marLeft w:val="0"/>
      <w:marRight w:val="0"/>
      <w:marTop w:val="0"/>
      <w:marBottom w:val="0"/>
      <w:divBdr>
        <w:top w:val="none" w:sz="0" w:space="0" w:color="auto"/>
        <w:left w:val="none" w:sz="0" w:space="0" w:color="auto"/>
        <w:bottom w:val="none" w:sz="0" w:space="0" w:color="auto"/>
        <w:right w:val="none" w:sz="0" w:space="0" w:color="auto"/>
      </w:divBdr>
    </w:div>
    <w:div w:id="901527663">
      <w:bodyDiv w:val="1"/>
      <w:marLeft w:val="0"/>
      <w:marRight w:val="0"/>
      <w:marTop w:val="0"/>
      <w:marBottom w:val="0"/>
      <w:divBdr>
        <w:top w:val="none" w:sz="0" w:space="0" w:color="auto"/>
        <w:left w:val="none" w:sz="0" w:space="0" w:color="auto"/>
        <w:bottom w:val="none" w:sz="0" w:space="0" w:color="auto"/>
        <w:right w:val="none" w:sz="0" w:space="0" w:color="auto"/>
      </w:divBdr>
    </w:div>
    <w:div w:id="901646515">
      <w:bodyDiv w:val="1"/>
      <w:marLeft w:val="0"/>
      <w:marRight w:val="0"/>
      <w:marTop w:val="0"/>
      <w:marBottom w:val="0"/>
      <w:divBdr>
        <w:top w:val="none" w:sz="0" w:space="0" w:color="auto"/>
        <w:left w:val="none" w:sz="0" w:space="0" w:color="auto"/>
        <w:bottom w:val="none" w:sz="0" w:space="0" w:color="auto"/>
        <w:right w:val="none" w:sz="0" w:space="0" w:color="auto"/>
      </w:divBdr>
    </w:div>
    <w:div w:id="901796751">
      <w:bodyDiv w:val="1"/>
      <w:marLeft w:val="0"/>
      <w:marRight w:val="0"/>
      <w:marTop w:val="0"/>
      <w:marBottom w:val="0"/>
      <w:divBdr>
        <w:top w:val="none" w:sz="0" w:space="0" w:color="auto"/>
        <w:left w:val="none" w:sz="0" w:space="0" w:color="auto"/>
        <w:bottom w:val="none" w:sz="0" w:space="0" w:color="auto"/>
        <w:right w:val="none" w:sz="0" w:space="0" w:color="auto"/>
      </w:divBdr>
    </w:div>
    <w:div w:id="901865881">
      <w:bodyDiv w:val="1"/>
      <w:marLeft w:val="0"/>
      <w:marRight w:val="0"/>
      <w:marTop w:val="0"/>
      <w:marBottom w:val="0"/>
      <w:divBdr>
        <w:top w:val="none" w:sz="0" w:space="0" w:color="auto"/>
        <w:left w:val="none" w:sz="0" w:space="0" w:color="auto"/>
        <w:bottom w:val="none" w:sz="0" w:space="0" w:color="auto"/>
        <w:right w:val="none" w:sz="0" w:space="0" w:color="auto"/>
      </w:divBdr>
    </w:div>
    <w:div w:id="901867292">
      <w:bodyDiv w:val="1"/>
      <w:marLeft w:val="0"/>
      <w:marRight w:val="0"/>
      <w:marTop w:val="0"/>
      <w:marBottom w:val="0"/>
      <w:divBdr>
        <w:top w:val="none" w:sz="0" w:space="0" w:color="auto"/>
        <w:left w:val="none" w:sz="0" w:space="0" w:color="auto"/>
        <w:bottom w:val="none" w:sz="0" w:space="0" w:color="auto"/>
        <w:right w:val="none" w:sz="0" w:space="0" w:color="auto"/>
      </w:divBdr>
    </w:div>
    <w:div w:id="901907768">
      <w:bodyDiv w:val="1"/>
      <w:marLeft w:val="0"/>
      <w:marRight w:val="0"/>
      <w:marTop w:val="0"/>
      <w:marBottom w:val="0"/>
      <w:divBdr>
        <w:top w:val="none" w:sz="0" w:space="0" w:color="auto"/>
        <w:left w:val="none" w:sz="0" w:space="0" w:color="auto"/>
        <w:bottom w:val="none" w:sz="0" w:space="0" w:color="auto"/>
        <w:right w:val="none" w:sz="0" w:space="0" w:color="auto"/>
      </w:divBdr>
    </w:div>
    <w:div w:id="901913399">
      <w:bodyDiv w:val="1"/>
      <w:marLeft w:val="0"/>
      <w:marRight w:val="0"/>
      <w:marTop w:val="0"/>
      <w:marBottom w:val="0"/>
      <w:divBdr>
        <w:top w:val="none" w:sz="0" w:space="0" w:color="auto"/>
        <w:left w:val="none" w:sz="0" w:space="0" w:color="auto"/>
        <w:bottom w:val="none" w:sz="0" w:space="0" w:color="auto"/>
        <w:right w:val="none" w:sz="0" w:space="0" w:color="auto"/>
      </w:divBdr>
    </w:div>
    <w:div w:id="902103653">
      <w:bodyDiv w:val="1"/>
      <w:marLeft w:val="0"/>
      <w:marRight w:val="0"/>
      <w:marTop w:val="0"/>
      <w:marBottom w:val="0"/>
      <w:divBdr>
        <w:top w:val="none" w:sz="0" w:space="0" w:color="auto"/>
        <w:left w:val="none" w:sz="0" w:space="0" w:color="auto"/>
        <w:bottom w:val="none" w:sz="0" w:space="0" w:color="auto"/>
        <w:right w:val="none" w:sz="0" w:space="0" w:color="auto"/>
      </w:divBdr>
    </w:div>
    <w:div w:id="902106878">
      <w:bodyDiv w:val="1"/>
      <w:marLeft w:val="0"/>
      <w:marRight w:val="0"/>
      <w:marTop w:val="0"/>
      <w:marBottom w:val="0"/>
      <w:divBdr>
        <w:top w:val="none" w:sz="0" w:space="0" w:color="auto"/>
        <w:left w:val="none" w:sz="0" w:space="0" w:color="auto"/>
        <w:bottom w:val="none" w:sz="0" w:space="0" w:color="auto"/>
        <w:right w:val="none" w:sz="0" w:space="0" w:color="auto"/>
      </w:divBdr>
    </w:div>
    <w:div w:id="902183273">
      <w:bodyDiv w:val="1"/>
      <w:marLeft w:val="0"/>
      <w:marRight w:val="0"/>
      <w:marTop w:val="0"/>
      <w:marBottom w:val="0"/>
      <w:divBdr>
        <w:top w:val="none" w:sz="0" w:space="0" w:color="auto"/>
        <w:left w:val="none" w:sz="0" w:space="0" w:color="auto"/>
        <w:bottom w:val="none" w:sz="0" w:space="0" w:color="auto"/>
        <w:right w:val="none" w:sz="0" w:space="0" w:color="auto"/>
      </w:divBdr>
    </w:div>
    <w:div w:id="902259538">
      <w:bodyDiv w:val="1"/>
      <w:marLeft w:val="0"/>
      <w:marRight w:val="0"/>
      <w:marTop w:val="0"/>
      <w:marBottom w:val="0"/>
      <w:divBdr>
        <w:top w:val="none" w:sz="0" w:space="0" w:color="auto"/>
        <w:left w:val="none" w:sz="0" w:space="0" w:color="auto"/>
        <w:bottom w:val="none" w:sz="0" w:space="0" w:color="auto"/>
        <w:right w:val="none" w:sz="0" w:space="0" w:color="auto"/>
      </w:divBdr>
    </w:div>
    <w:div w:id="902370533">
      <w:bodyDiv w:val="1"/>
      <w:marLeft w:val="0"/>
      <w:marRight w:val="0"/>
      <w:marTop w:val="0"/>
      <w:marBottom w:val="0"/>
      <w:divBdr>
        <w:top w:val="none" w:sz="0" w:space="0" w:color="auto"/>
        <w:left w:val="none" w:sz="0" w:space="0" w:color="auto"/>
        <w:bottom w:val="none" w:sz="0" w:space="0" w:color="auto"/>
        <w:right w:val="none" w:sz="0" w:space="0" w:color="auto"/>
      </w:divBdr>
    </w:div>
    <w:div w:id="902565023">
      <w:bodyDiv w:val="1"/>
      <w:marLeft w:val="0"/>
      <w:marRight w:val="0"/>
      <w:marTop w:val="0"/>
      <w:marBottom w:val="0"/>
      <w:divBdr>
        <w:top w:val="none" w:sz="0" w:space="0" w:color="auto"/>
        <w:left w:val="none" w:sz="0" w:space="0" w:color="auto"/>
        <w:bottom w:val="none" w:sz="0" w:space="0" w:color="auto"/>
        <w:right w:val="none" w:sz="0" w:space="0" w:color="auto"/>
      </w:divBdr>
    </w:div>
    <w:div w:id="902565169">
      <w:bodyDiv w:val="1"/>
      <w:marLeft w:val="0"/>
      <w:marRight w:val="0"/>
      <w:marTop w:val="0"/>
      <w:marBottom w:val="0"/>
      <w:divBdr>
        <w:top w:val="none" w:sz="0" w:space="0" w:color="auto"/>
        <w:left w:val="none" w:sz="0" w:space="0" w:color="auto"/>
        <w:bottom w:val="none" w:sz="0" w:space="0" w:color="auto"/>
        <w:right w:val="none" w:sz="0" w:space="0" w:color="auto"/>
      </w:divBdr>
    </w:div>
    <w:div w:id="902566320">
      <w:bodyDiv w:val="1"/>
      <w:marLeft w:val="0"/>
      <w:marRight w:val="0"/>
      <w:marTop w:val="0"/>
      <w:marBottom w:val="0"/>
      <w:divBdr>
        <w:top w:val="none" w:sz="0" w:space="0" w:color="auto"/>
        <w:left w:val="none" w:sz="0" w:space="0" w:color="auto"/>
        <w:bottom w:val="none" w:sz="0" w:space="0" w:color="auto"/>
        <w:right w:val="none" w:sz="0" w:space="0" w:color="auto"/>
      </w:divBdr>
    </w:div>
    <w:div w:id="902566752">
      <w:bodyDiv w:val="1"/>
      <w:marLeft w:val="0"/>
      <w:marRight w:val="0"/>
      <w:marTop w:val="0"/>
      <w:marBottom w:val="0"/>
      <w:divBdr>
        <w:top w:val="none" w:sz="0" w:space="0" w:color="auto"/>
        <w:left w:val="none" w:sz="0" w:space="0" w:color="auto"/>
        <w:bottom w:val="none" w:sz="0" w:space="0" w:color="auto"/>
        <w:right w:val="none" w:sz="0" w:space="0" w:color="auto"/>
      </w:divBdr>
    </w:div>
    <w:div w:id="902717143">
      <w:bodyDiv w:val="1"/>
      <w:marLeft w:val="0"/>
      <w:marRight w:val="0"/>
      <w:marTop w:val="0"/>
      <w:marBottom w:val="0"/>
      <w:divBdr>
        <w:top w:val="none" w:sz="0" w:space="0" w:color="auto"/>
        <w:left w:val="none" w:sz="0" w:space="0" w:color="auto"/>
        <w:bottom w:val="none" w:sz="0" w:space="0" w:color="auto"/>
        <w:right w:val="none" w:sz="0" w:space="0" w:color="auto"/>
      </w:divBdr>
    </w:div>
    <w:div w:id="902839280">
      <w:bodyDiv w:val="1"/>
      <w:marLeft w:val="0"/>
      <w:marRight w:val="0"/>
      <w:marTop w:val="0"/>
      <w:marBottom w:val="0"/>
      <w:divBdr>
        <w:top w:val="none" w:sz="0" w:space="0" w:color="auto"/>
        <w:left w:val="none" w:sz="0" w:space="0" w:color="auto"/>
        <w:bottom w:val="none" w:sz="0" w:space="0" w:color="auto"/>
        <w:right w:val="none" w:sz="0" w:space="0" w:color="auto"/>
      </w:divBdr>
    </w:div>
    <w:div w:id="903032599">
      <w:bodyDiv w:val="1"/>
      <w:marLeft w:val="0"/>
      <w:marRight w:val="0"/>
      <w:marTop w:val="0"/>
      <w:marBottom w:val="0"/>
      <w:divBdr>
        <w:top w:val="none" w:sz="0" w:space="0" w:color="auto"/>
        <w:left w:val="none" w:sz="0" w:space="0" w:color="auto"/>
        <w:bottom w:val="none" w:sz="0" w:space="0" w:color="auto"/>
        <w:right w:val="none" w:sz="0" w:space="0" w:color="auto"/>
      </w:divBdr>
    </w:div>
    <w:div w:id="903099740">
      <w:bodyDiv w:val="1"/>
      <w:marLeft w:val="0"/>
      <w:marRight w:val="0"/>
      <w:marTop w:val="0"/>
      <w:marBottom w:val="0"/>
      <w:divBdr>
        <w:top w:val="none" w:sz="0" w:space="0" w:color="auto"/>
        <w:left w:val="none" w:sz="0" w:space="0" w:color="auto"/>
        <w:bottom w:val="none" w:sz="0" w:space="0" w:color="auto"/>
        <w:right w:val="none" w:sz="0" w:space="0" w:color="auto"/>
      </w:divBdr>
    </w:div>
    <w:div w:id="903103374">
      <w:bodyDiv w:val="1"/>
      <w:marLeft w:val="0"/>
      <w:marRight w:val="0"/>
      <w:marTop w:val="0"/>
      <w:marBottom w:val="0"/>
      <w:divBdr>
        <w:top w:val="none" w:sz="0" w:space="0" w:color="auto"/>
        <w:left w:val="none" w:sz="0" w:space="0" w:color="auto"/>
        <w:bottom w:val="none" w:sz="0" w:space="0" w:color="auto"/>
        <w:right w:val="none" w:sz="0" w:space="0" w:color="auto"/>
      </w:divBdr>
    </w:div>
    <w:div w:id="903220943">
      <w:bodyDiv w:val="1"/>
      <w:marLeft w:val="0"/>
      <w:marRight w:val="0"/>
      <w:marTop w:val="0"/>
      <w:marBottom w:val="0"/>
      <w:divBdr>
        <w:top w:val="none" w:sz="0" w:space="0" w:color="auto"/>
        <w:left w:val="none" w:sz="0" w:space="0" w:color="auto"/>
        <w:bottom w:val="none" w:sz="0" w:space="0" w:color="auto"/>
        <w:right w:val="none" w:sz="0" w:space="0" w:color="auto"/>
      </w:divBdr>
    </w:div>
    <w:div w:id="903225649">
      <w:bodyDiv w:val="1"/>
      <w:marLeft w:val="0"/>
      <w:marRight w:val="0"/>
      <w:marTop w:val="0"/>
      <w:marBottom w:val="0"/>
      <w:divBdr>
        <w:top w:val="none" w:sz="0" w:space="0" w:color="auto"/>
        <w:left w:val="none" w:sz="0" w:space="0" w:color="auto"/>
        <w:bottom w:val="none" w:sz="0" w:space="0" w:color="auto"/>
        <w:right w:val="none" w:sz="0" w:space="0" w:color="auto"/>
      </w:divBdr>
    </w:div>
    <w:div w:id="903372867">
      <w:bodyDiv w:val="1"/>
      <w:marLeft w:val="0"/>
      <w:marRight w:val="0"/>
      <w:marTop w:val="0"/>
      <w:marBottom w:val="0"/>
      <w:divBdr>
        <w:top w:val="none" w:sz="0" w:space="0" w:color="auto"/>
        <w:left w:val="none" w:sz="0" w:space="0" w:color="auto"/>
        <w:bottom w:val="none" w:sz="0" w:space="0" w:color="auto"/>
        <w:right w:val="none" w:sz="0" w:space="0" w:color="auto"/>
      </w:divBdr>
    </w:div>
    <w:div w:id="903374061">
      <w:bodyDiv w:val="1"/>
      <w:marLeft w:val="0"/>
      <w:marRight w:val="0"/>
      <w:marTop w:val="0"/>
      <w:marBottom w:val="0"/>
      <w:divBdr>
        <w:top w:val="none" w:sz="0" w:space="0" w:color="auto"/>
        <w:left w:val="none" w:sz="0" w:space="0" w:color="auto"/>
        <w:bottom w:val="none" w:sz="0" w:space="0" w:color="auto"/>
        <w:right w:val="none" w:sz="0" w:space="0" w:color="auto"/>
      </w:divBdr>
    </w:div>
    <w:div w:id="903374681">
      <w:bodyDiv w:val="1"/>
      <w:marLeft w:val="0"/>
      <w:marRight w:val="0"/>
      <w:marTop w:val="0"/>
      <w:marBottom w:val="0"/>
      <w:divBdr>
        <w:top w:val="none" w:sz="0" w:space="0" w:color="auto"/>
        <w:left w:val="none" w:sz="0" w:space="0" w:color="auto"/>
        <w:bottom w:val="none" w:sz="0" w:space="0" w:color="auto"/>
        <w:right w:val="none" w:sz="0" w:space="0" w:color="auto"/>
      </w:divBdr>
    </w:div>
    <w:div w:id="903487935">
      <w:bodyDiv w:val="1"/>
      <w:marLeft w:val="0"/>
      <w:marRight w:val="0"/>
      <w:marTop w:val="0"/>
      <w:marBottom w:val="0"/>
      <w:divBdr>
        <w:top w:val="none" w:sz="0" w:space="0" w:color="auto"/>
        <w:left w:val="none" w:sz="0" w:space="0" w:color="auto"/>
        <w:bottom w:val="none" w:sz="0" w:space="0" w:color="auto"/>
        <w:right w:val="none" w:sz="0" w:space="0" w:color="auto"/>
      </w:divBdr>
    </w:div>
    <w:div w:id="903488438">
      <w:bodyDiv w:val="1"/>
      <w:marLeft w:val="0"/>
      <w:marRight w:val="0"/>
      <w:marTop w:val="0"/>
      <w:marBottom w:val="0"/>
      <w:divBdr>
        <w:top w:val="none" w:sz="0" w:space="0" w:color="auto"/>
        <w:left w:val="none" w:sz="0" w:space="0" w:color="auto"/>
        <w:bottom w:val="none" w:sz="0" w:space="0" w:color="auto"/>
        <w:right w:val="none" w:sz="0" w:space="0" w:color="auto"/>
      </w:divBdr>
    </w:div>
    <w:div w:id="903685385">
      <w:bodyDiv w:val="1"/>
      <w:marLeft w:val="0"/>
      <w:marRight w:val="0"/>
      <w:marTop w:val="0"/>
      <w:marBottom w:val="0"/>
      <w:divBdr>
        <w:top w:val="none" w:sz="0" w:space="0" w:color="auto"/>
        <w:left w:val="none" w:sz="0" w:space="0" w:color="auto"/>
        <w:bottom w:val="none" w:sz="0" w:space="0" w:color="auto"/>
        <w:right w:val="none" w:sz="0" w:space="0" w:color="auto"/>
      </w:divBdr>
    </w:div>
    <w:div w:id="903687627">
      <w:bodyDiv w:val="1"/>
      <w:marLeft w:val="0"/>
      <w:marRight w:val="0"/>
      <w:marTop w:val="0"/>
      <w:marBottom w:val="0"/>
      <w:divBdr>
        <w:top w:val="none" w:sz="0" w:space="0" w:color="auto"/>
        <w:left w:val="none" w:sz="0" w:space="0" w:color="auto"/>
        <w:bottom w:val="none" w:sz="0" w:space="0" w:color="auto"/>
        <w:right w:val="none" w:sz="0" w:space="0" w:color="auto"/>
      </w:divBdr>
    </w:div>
    <w:div w:id="903878854">
      <w:bodyDiv w:val="1"/>
      <w:marLeft w:val="0"/>
      <w:marRight w:val="0"/>
      <w:marTop w:val="0"/>
      <w:marBottom w:val="0"/>
      <w:divBdr>
        <w:top w:val="none" w:sz="0" w:space="0" w:color="auto"/>
        <w:left w:val="none" w:sz="0" w:space="0" w:color="auto"/>
        <w:bottom w:val="none" w:sz="0" w:space="0" w:color="auto"/>
        <w:right w:val="none" w:sz="0" w:space="0" w:color="auto"/>
      </w:divBdr>
    </w:div>
    <w:div w:id="903952280">
      <w:bodyDiv w:val="1"/>
      <w:marLeft w:val="0"/>
      <w:marRight w:val="0"/>
      <w:marTop w:val="0"/>
      <w:marBottom w:val="0"/>
      <w:divBdr>
        <w:top w:val="none" w:sz="0" w:space="0" w:color="auto"/>
        <w:left w:val="none" w:sz="0" w:space="0" w:color="auto"/>
        <w:bottom w:val="none" w:sz="0" w:space="0" w:color="auto"/>
        <w:right w:val="none" w:sz="0" w:space="0" w:color="auto"/>
      </w:divBdr>
    </w:div>
    <w:div w:id="903953560">
      <w:bodyDiv w:val="1"/>
      <w:marLeft w:val="0"/>
      <w:marRight w:val="0"/>
      <w:marTop w:val="0"/>
      <w:marBottom w:val="0"/>
      <w:divBdr>
        <w:top w:val="none" w:sz="0" w:space="0" w:color="auto"/>
        <w:left w:val="none" w:sz="0" w:space="0" w:color="auto"/>
        <w:bottom w:val="none" w:sz="0" w:space="0" w:color="auto"/>
        <w:right w:val="none" w:sz="0" w:space="0" w:color="auto"/>
      </w:divBdr>
    </w:div>
    <w:div w:id="904030671">
      <w:bodyDiv w:val="1"/>
      <w:marLeft w:val="0"/>
      <w:marRight w:val="0"/>
      <w:marTop w:val="0"/>
      <w:marBottom w:val="0"/>
      <w:divBdr>
        <w:top w:val="none" w:sz="0" w:space="0" w:color="auto"/>
        <w:left w:val="none" w:sz="0" w:space="0" w:color="auto"/>
        <w:bottom w:val="none" w:sz="0" w:space="0" w:color="auto"/>
        <w:right w:val="none" w:sz="0" w:space="0" w:color="auto"/>
      </w:divBdr>
    </w:div>
    <w:div w:id="904144603">
      <w:bodyDiv w:val="1"/>
      <w:marLeft w:val="0"/>
      <w:marRight w:val="0"/>
      <w:marTop w:val="0"/>
      <w:marBottom w:val="0"/>
      <w:divBdr>
        <w:top w:val="none" w:sz="0" w:space="0" w:color="auto"/>
        <w:left w:val="none" w:sz="0" w:space="0" w:color="auto"/>
        <w:bottom w:val="none" w:sz="0" w:space="0" w:color="auto"/>
        <w:right w:val="none" w:sz="0" w:space="0" w:color="auto"/>
      </w:divBdr>
    </w:div>
    <w:div w:id="904148565">
      <w:bodyDiv w:val="1"/>
      <w:marLeft w:val="0"/>
      <w:marRight w:val="0"/>
      <w:marTop w:val="0"/>
      <w:marBottom w:val="0"/>
      <w:divBdr>
        <w:top w:val="none" w:sz="0" w:space="0" w:color="auto"/>
        <w:left w:val="none" w:sz="0" w:space="0" w:color="auto"/>
        <w:bottom w:val="none" w:sz="0" w:space="0" w:color="auto"/>
        <w:right w:val="none" w:sz="0" w:space="0" w:color="auto"/>
      </w:divBdr>
    </w:div>
    <w:div w:id="904216628">
      <w:bodyDiv w:val="1"/>
      <w:marLeft w:val="0"/>
      <w:marRight w:val="0"/>
      <w:marTop w:val="0"/>
      <w:marBottom w:val="0"/>
      <w:divBdr>
        <w:top w:val="none" w:sz="0" w:space="0" w:color="auto"/>
        <w:left w:val="none" w:sz="0" w:space="0" w:color="auto"/>
        <w:bottom w:val="none" w:sz="0" w:space="0" w:color="auto"/>
        <w:right w:val="none" w:sz="0" w:space="0" w:color="auto"/>
      </w:divBdr>
    </w:div>
    <w:div w:id="904217845">
      <w:bodyDiv w:val="1"/>
      <w:marLeft w:val="0"/>
      <w:marRight w:val="0"/>
      <w:marTop w:val="0"/>
      <w:marBottom w:val="0"/>
      <w:divBdr>
        <w:top w:val="none" w:sz="0" w:space="0" w:color="auto"/>
        <w:left w:val="none" w:sz="0" w:space="0" w:color="auto"/>
        <w:bottom w:val="none" w:sz="0" w:space="0" w:color="auto"/>
        <w:right w:val="none" w:sz="0" w:space="0" w:color="auto"/>
      </w:divBdr>
    </w:div>
    <w:div w:id="904295335">
      <w:bodyDiv w:val="1"/>
      <w:marLeft w:val="0"/>
      <w:marRight w:val="0"/>
      <w:marTop w:val="0"/>
      <w:marBottom w:val="0"/>
      <w:divBdr>
        <w:top w:val="none" w:sz="0" w:space="0" w:color="auto"/>
        <w:left w:val="none" w:sz="0" w:space="0" w:color="auto"/>
        <w:bottom w:val="none" w:sz="0" w:space="0" w:color="auto"/>
        <w:right w:val="none" w:sz="0" w:space="0" w:color="auto"/>
      </w:divBdr>
    </w:div>
    <w:div w:id="904339393">
      <w:bodyDiv w:val="1"/>
      <w:marLeft w:val="0"/>
      <w:marRight w:val="0"/>
      <w:marTop w:val="0"/>
      <w:marBottom w:val="0"/>
      <w:divBdr>
        <w:top w:val="none" w:sz="0" w:space="0" w:color="auto"/>
        <w:left w:val="none" w:sz="0" w:space="0" w:color="auto"/>
        <w:bottom w:val="none" w:sz="0" w:space="0" w:color="auto"/>
        <w:right w:val="none" w:sz="0" w:space="0" w:color="auto"/>
      </w:divBdr>
    </w:div>
    <w:div w:id="904343341">
      <w:bodyDiv w:val="1"/>
      <w:marLeft w:val="0"/>
      <w:marRight w:val="0"/>
      <w:marTop w:val="0"/>
      <w:marBottom w:val="0"/>
      <w:divBdr>
        <w:top w:val="none" w:sz="0" w:space="0" w:color="auto"/>
        <w:left w:val="none" w:sz="0" w:space="0" w:color="auto"/>
        <w:bottom w:val="none" w:sz="0" w:space="0" w:color="auto"/>
        <w:right w:val="none" w:sz="0" w:space="0" w:color="auto"/>
      </w:divBdr>
    </w:div>
    <w:div w:id="904410868">
      <w:bodyDiv w:val="1"/>
      <w:marLeft w:val="0"/>
      <w:marRight w:val="0"/>
      <w:marTop w:val="0"/>
      <w:marBottom w:val="0"/>
      <w:divBdr>
        <w:top w:val="none" w:sz="0" w:space="0" w:color="auto"/>
        <w:left w:val="none" w:sz="0" w:space="0" w:color="auto"/>
        <w:bottom w:val="none" w:sz="0" w:space="0" w:color="auto"/>
        <w:right w:val="none" w:sz="0" w:space="0" w:color="auto"/>
      </w:divBdr>
    </w:div>
    <w:div w:id="904415168">
      <w:bodyDiv w:val="1"/>
      <w:marLeft w:val="0"/>
      <w:marRight w:val="0"/>
      <w:marTop w:val="0"/>
      <w:marBottom w:val="0"/>
      <w:divBdr>
        <w:top w:val="none" w:sz="0" w:space="0" w:color="auto"/>
        <w:left w:val="none" w:sz="0" w:space="0" w:color="auto"/>
        <w:bottom w:val="none" w:sz="0" w:space="0" w:color="auto"/>
        <w:right w:val="none" w:sz="0" w:space="0" w:color="auto"/>
      </w:divBdr>
    </w:div>
    <w:div w:id="904484788">
      <w:bodyDiv w:val="1"/>
      <w:marLeft w:val="0"/>
      <w:marRight w:val="0"/>
      <w:marTop w:val="0"/>
      <w:marBottom w:val="0"/>
      <w:divBdr>
        <w:top w:val="none" w:sz="0" w:space="0" w:color="auto"/>
        <w:left w:val="none" w:sz="0" w:space="0" w:color="auto"/>
        <w:bottom w:val="none" w:sz="0" w:space="0" w:color="auto"/>
        <w:right w:val="none" w:sz="0" w:space="0" w:color="auto"/>
      </w:divBdr>
    </w:div>
    <w:div w:id="904530146">
      <w:bodyDiv w:val="1"/>
      <w:marLeft w:val="0"/>
      <w:marRight w:val="0"/>
      <w:marTop w:val="0"/>
      <w:marBottom w:val="0"/>
      <w:divBdr>
        <w:top w:val="none" w:sz="0" w:space="0" w:color="auto"/>
        <w:left w:val="none" w:sz="0" w:space="0" w:color="auto"/>
        <w:bottom w:val="none" w:sz="0" w:space="0" w:color="auto"/>
        <w:right w:val="none" w:sz="0" w:space="0" w:color="auto"/>
      </w:divBdr>
    </w:div>
    <w:div w:id="904725781">
      <w:bodyDiv w:val="1"/>
      <w:marLeft w:val="0"/>
      <w:marRight w:val="0"/>
      <w:marTop w:val="0"/>
      <w:marBottom w:val="0"/>
      <w:divBdr>
        <w:top w:val="none" w:sz="0" w:space="0" w:color="auto"/>
        <w:left w:val="none" w:sz="0" w:space="0" w:color="auto"/>
        <w:bottom w:val="none" w:sz="0" w:space="0" w:color="auto"/>
        <w:right w:val="none" w:sz="0" w:space="0" w:color="auto"/>
      </w:divBdr>
    </w:div>
    <w:div w:id="904799029">
      <w:bodyDiv w:val="1"/>
      <w:marLeft w:val="0"/>
      <w:marRight w:val="0"/>
      <w:marTop w:val="0"/>
      <w:marBottom w:val="0"/>
      <w:divBdr>
        <w:top w:val="none" w:sz="0" w:space="0" w:color="auto"/>
        <w:left w:val="none" w:sz="0" w:space="0" w:color="auto"/>
        <w:bottom w:val="none" w:sz="0" w:space="0" w:color="auto"/>
        <w:right w:val="none" w:sz="0" w:space="0" w:color="auto"/>
      </w:divBdr>
    </w:div>
    <w:div w:id="904874384">
      <w:bodyDiv w:val="1"/>
      <w:marLeft w:val="0"/>
      <w:marRight w:val="0"/>
      <w:marTop w:val="0"/>
      <w:marBottom w:val="0"/>
      <w:divBdr>
        <w:top w:val="none" w:sz="0" w:space="0" w:color="auto"/>
        <w:left w:val="none" w:sz="0" w:space="0" w:color="auto"/>
        <w:bottom w:val="none" w:sz="0" w:space="0" w:color="auto"/>
        <w:right w:val="none" w:sz="0" w:space="0" w:color="auto"/>
      </w:divBdr>
    </w:div>
    <w:div w:id="904874768">
      <w:bodyDiv w:val="1"/>
      <w:marLeft w:val="0"/>
      <w:marRight w:val="0"/>
      <w:marTop w:val="0"/>
      <w:marBottom w:val="0"/>
      <w:divBdr>
        <w:top w:val="none" w:sz="0" w:space="0" w:color="auto"/>
        <w:left w:val="none" w:sz="0" w:space="0" w:color="auto"/>
        <w:bottom w:val="none" w:sz="0" w:space="0" w:color="auto"/>
        <w:right w:val="none" w:sz="0" w:space="0" w:color="auto"/>
      </w:divBdr>
    </w:div>
    <w:div w:id="904950325">
      <w:bodyDiv w:val="1"/>
      <w:marLeft w:val="0"/>
      <w:marRight w:val="0"/>
      <w:marTop w:val="0"/>
      <w:marBottom w:val="0"/>
      <w:divBdr>
        <w:top w:val="none" w:sz="0" w:space="0" w:color="auto"/>
        <w:left w:val="none" w:sz="0" w:space="0" w:color="auto"/>
        <w:bottom w:val="none" w:sz="0" w:space="0" w:color="auto"/>
        <w:right w:val="none" w:sz="0" w:space="0" w:color="auto"/>
      </w:divBdr>
    </w:div>
    <w:div w:id="905073737">
      <w:bodyDiv w:val="1"/>
      <w:marLeft w:val="0"/>
      <w:marRight w:val="0"/>
      <w:marTop w:val="0"/>
      <w:marBottom w:val="0"/>
      <w:divBdr>
        <w:top w:val="none" w:sz="0" w:space="0" w:color="auto"/>
        <w:left w:val="none" w:sz="0" w:space="0" w:color="auto"/>
        <w:bottom w:val="none" w:sz="0" w:space="0" w:color="auto"/>
        <w:right w:val="none" w:sz="0" w:space="0" w:color="auto"/>
      </w:divBdr>
    </w:div>
    <w:div w:id="905073862">
      <w:bodyDiv w:val="1"/>
      <w:marLeft w:val="0"/>
      <w:marRight w:val="0"/>
      <w:marTop w:val="0"/>
      <w:marBottom w:val="0"/>
      <w:divBdr>
        <w:top w:val="none" w:sz="0" w:space="0" w:color="auto"/>
        <w:left w:val="none" w:sz="0" w:space="0" w:color="auto"/>
        <w:bottom w:val="none" w:sz="0" w:space="0" w:color="auto"/>
        <w:right w:val="none" w:sz="0" w:space="0" w:color="auto"/>
      </w:divBdr>
    </w:div>
    <w:div w:id="905141732">
      <w:bodyDiv w:val="1"/>
      <w:marLeft w:val="0"/>
      <w:marRight w:val="0"/>
      <w:marTop w:val="0"/>
      <w:marBottom w:val="0"/>
      <w:divBdr>
        <w:top w:val="none" w:sz="0" w:space="0" w:color="auto"/>
        <w:left w:val="none" w:sz="0" w:space="0" w:color="auto"/>
        <w:bottom w:val="none" w:sz="0" w:space="0" w:color="auto"/>
        <w:right w:val="none" w:sz="0" w:space="0" w:color="auto"/>
      </w:divBdr>
    </w:div>
    <w:div w:id="905148209">
      <w:bodyDiv w:val="1"/>
      <w:marLeft w:val="0"/>
      <w:marRight w:val="0"/>
      <w:marTop w:val="0"/>
      <w:marBottom w:val="0"/>
      <w:divBdr>
        <w:top w:val="none" w:sz="0" w:space="0" w:color="auto"/>
        <w:left w:val="none" w:sz="0" w:space="0" w:color="auto"/>
        <w:bottom w:val="none" w:sz="0" w:space="0" w:color="auto"/>
        <w:right w:val="none" w:sz="0" w:space="0" w:color="auto"/>
      </w:divBdr>
    </w:div>
    <w:div w:id="905149373">
      <w:bodyDiv w:val="1"/>
      <w:marLeft w:val="0"/>
      <w:marRight w:val="0"/>
      <w:marTop w:val="0"/>
      <w:marBottom w:val="0"/>
      <w:divBdr>
        <w:top w:val="none" w:sz="0" w:space="0" w:color="auto"/>
        <w:left w:val="none" w:sz="0" w:space="0" w:color="auto"/>
        <w:bottom w:val="none" w:sz="0" w:space="0" w:color="auto"/>
        <w:right w:val="none" w:sz="0" w:space="0" w:color="auto"/>
      </w:divBdr>
    </w:div>
    <w:div w:id="905189282">
      <w:bodyDiv w:val="1"/>
      <w:marLeft w:val="0"/>
      <w:marRight w:val="0"/>
      <w:marTop w:val="0"/>
      <w:marBottom w:val="0"/>
      <w:divBdr>
        <w:top w:val="none" w:sz="0" w:space="0" w:color="auto"/>
        <w:left w:val="none" w:sz="0" w:space="0" w:color="auto"/>
        <w:bottom w:val="none" w:sz="0" w:space="0" w:color="auto"/>
        <w:right w:val="none" w:sz="0" w:space="0" w:color="auto"/>
      </w:divBdr>
    </w:div>
    <w:div w:id="905262385">
      <w:bodyDiv w:val="1"/>
      <w:marLeft w:val="0"/>
      <w:marRight w:val="0"/>
      <w:marTop w:val="0"/>
      <w:marBottom w:val="0"/>
      <w:divBdr>
        <w:top w:val="none" w:sz="0" w:space="0" w:color="auto"/>
        <w:left w:val="none" w:sz="0" w:space="0" w:color="auto"/>
        <w:bottom w:val="none" w:sz="0" w:space="0" w:color="auto"/>
        <w:right w:val="none" w:sz="0" w:space="0" w:color="auto"/>
      </w:divBdr>
    </w:div>
    <w:div w:id="905408995">
      <w:bodyDiv w:val="1"/>
      <w:marLeft w:val="0"/>
      <w:marRight w:val="0"/>
      <w:marTop w:val="0"/>
      <w:marBottom w:val="0"/>
      <w:divBdr>
        <w:top w:val="none" w:sz="0" w:space="0" w:color="auto"/>
        <w:left w:val="none" w:sz="0" w:space="0" w:color="auto"/>
        <w:bottom w:val="none" w:sz="0" w:space="0" w:color="auto"/>
        <w:right w:val="none" w:sz="0" w:space="0" w:color="auto"/>
      </w:divBdr>
    </w:div>
    <w:div w:id="905456952">
      <w:bodyDiv w:val="1"/>
      <w:marLeft w:val="0"/>
      <w:marRight w:val="0"/>
      <w:marTop w:val="0"/>
      <w:marBottom w:val="0"/>
      <w:divBdr>
        <w:top w:val="none" w:sz="0" w:space="0" w:color="auto"/>
        <w:left w:val="none" w:sz="0" w:space="0" w:color="auto"/>
        <w:bottom w:val="none" w:sz="0" w:space="0" w:color="auto"/>
        <w:right w:val="none" w:sz="0" w:space="0" w:color="auto"/>
      </w:divBdr>
    </w:div>
    <w:div w:id="905535958">
      <w:bodyDiv w:val="1"/>
      <w:marLeft w:val="0"/>
      <w:marRight w:val="0"/>
      <w:marTop w:val="0"/>
      <w:marBottom w:val="0"/>
      <w:divBdr>
        <w:top w:val="none" w:sz="0" w:space="0" w:color="auto"/>
        <w:left w:val="none" w:sz="0" w:space="0" w:color="auto"/>
        <w:bottom w:val="none" w:sz="0" w:space="0" w:color="auto"/>
        <w:right w:val="none" w:sz="0" w:space="0" w:color="auto"/>
      </w:divBdr>
    </w:div>
    <w:div w:id="905577415">
      <w:bodyDiv w:val="1"/>
      <w:marLeft w:val="0"/>
      <w:marRight w:val="0"/>
      <w:marTop w:val="0"/>
      <w:marBottom w:val="0"/>
      <w:divBdr>
        <w:top w:val="none" w:sz="0" w:space="0" w:color="auto"/>
        <w:left w:val="none" w:sz="0" w:space="0" w:color="auto"/>
        <w:bottom w:val="none" w:sz="0" w:space="0" w:color="auto"/>
        <w:right w:val="none" w:sz="0" w:space="0" w:color="auto"/>
      </w:divBdr>
    </w:div>
    <w:div w:id="905602858">
      <w:bodyDiv w:val="1"/>
      <w:marLeft w:val="0"/>
      <w:marRight w:val="0"/>
      <w:marTop w:val="0"/>
      <w:marBottom w:val="0"/>
      <w:divBdr>
        <w:top w:val="none" w:sz="0" w:space="0" w:color="auto"/>
        <w:left w:val="none" w:sz="0" w:space="0" w:color="auto"/>
        <w:bottom w:val="none" w:sz="0" w:space="0" w:color="auto"/>
        <w:right w:val="none" w:sz="0" w:space="0" w:color="auto"/>
      </w:divBdr>
    </w:div>
    <w:div w:id="905606867">
      <w:bodyDiv w:val="1"/>
      <w:marLeft w:val="0"/>
      <w:marRight w:val="0"/>
      <w:marTop w:val="0"/>
      <w:marBottom w:val="0"/>
      <w:divBdr>
        <w:top w:val="none" w:sz="0" w:space="0" w:color="auto"/>
        <w:left w:val="none" w:sz="0" w:space="0" w:color="auto"/>
        <w:bottom w:val="none" w:sz="0" w:space="0" w:color="auto"/>
        <w:right w:val="none" w:sz="0" w:space="0" w:color="auto"/>
      </w:divBdr>
    </w:div>
    <w:div w:id="905913994">
      <w:bodyDiv w:val="1"/>
      <w:marLeft w:val="0"/>
      <w:marRight w:val="0"/>
      <w:marTop w:val="0"/>
      <w:marBottom w:val="0"/>
      <w:divBdr>
        <w:top w:val="none" w:sz="0" w:space="0" w:color="auto"/>
        <w:left w:val="none" w:sz="0" w:space="0" w:color="auto"/>
        <w:bottom w:val="none" w:sz="0" w:space="0" w:color="auto"/>
        <w:right w:val="none" w:sz="0" w:space="0" w:color="auto"/>
      </w:divBdr>
    </w:div>
    <w:div w:id="905989057">
      <w:bodyDiv w:val="1"/>
      <w:marLeft w:val="0"/>
      <w:marRight w:val="0"/>
      <w:marTop w:val="0"/>
      <w:marBottom w:val="0"/>
      <w:divBdr>
        <w:top w:val="none" w:sz="0" w:space="0" w:color="auto"/>
        <w:left w:val="none" w:sz="0" w:space="0" w:color="auto"/>
        <w:bottom w:val="none" w:sz="0" w:space="0" w:color="auto"/>
        <w:right w:val="none" w:sz="0" w:space="0" w:color="auto"/>
      </w:divBdr>
    </w:div>
    <w:div w:id="905996175">
      <w:bodyDiv w:val="1"/>
      <w:marLeft w:val="0"/>
      <w:marRight w:val="0"/>
      <w:marTop w:val="0"/>
      <w:marBottom w:val="0"/>
      <w:divBdr>
        <w:top w:val="none" w:sz="0" w:space="0" w:color="auto"/>
        <w:left w:val="none" w:sz="0" w:space="0" w:color="auto"/>
        <w:bottom w:val="none" w:sz="0" w:space="0" w:color="auto"/>
        <w:right w:val="none" w:sz="0" w:space="0" w:color="auto"/>
      </w:divBdr>
    </w:div>
    <w:div w:id="906035957">
      <w:bodyDiv w:val="1"/>
      <w:marLeft w:val="0"/>
      <w:marRight w:val="0"/>
      <w:marTop w:val="0"/>
      <w:marBottom w:val="0"/>
      <w:divBdr>
        <w:top w:val="none" w:sz="0" w:space="0" w:color="auto"/>
        <w:left w:val="none" w:sz="0" w:space="0" w:color="auto"/>
        <w:bottom w:val="none" w:sz="0" w:space="0" w:color="auto"/>
        <w:right w:val="none" w:sz="0" w:space="0" w:color="auto"/>
      </w:divBdr>
    </w:div>
    <w:div w:id="906036283">
      <w:bodyDiv w:val="1"/>
      <w:marLeft w:val="0"/>
      <w:marRight w:val="0"/>
      <w:marTop w:val="0"/>
      <w:marBottom w:val="0"/>
      <w:divBdr>
        <w:top w:val="none" w:sz="0" w:space="0" w:color="auto"/>
        <w:left w:val="none" w:sz="0" w:space="0" w:color="auto"/>
        <w:bottom w:val="none" w:sz="0" w:space="0" w:color="auto"/>
        <w:right w:val="none" w:sz="0" w:space="0" w:color="auto"/>
      </w:divBdr>
    </w:div>
    <w:div w:id="906037207">
      <w:bodyDiv w:val="1"/>
      <w:marLeft w:val="0"/>
      <w:marRight w:val="0"/>
      <w:marTop w:val="0"/>
      <w:marBottom w:val="0"/>
      <w:divBdr>
        <w:top w:val="none" w:sz="0" w:space="0" w:color="auto"/>
        <w:left w:val="none" w:sz="0" w:space="0" w:color="auto"/>
        <w:bottom w:val="none" w:sz="0" w:space="0" w:color="auto"/>
        <w:right w:val="none" w:sz="0" w:space="0" w:color="auto"/>
      </w:divBdr>
    </w:div>
    <w:div w:id="906107948">
      <w:bodyDiv w:val="1"/>
      <w:marLeft w:val="0"/>
      <w:marRight w:val="0"/>
      <w:marTop w:val="0"/>
      <w:marBottom w:val="0"/>
      <w:divBdr>
        <w:top w:val="none" w:sz="0" w:space="0" w:color="auto"/>
        <w:left w:val="none" w:sz="0" w:space="0" w:color="auto"/>
        <w:bottom w:val="none" w:sz="0" w:space="0" w:color="auto"/>
        <w:right w:val="none" w:sz="0" w:space="0" w:color="auto"/>
      </w:divBdr>
    </w:div>
    <w:div w:id="906110215">
      <w:bodyDiv w:val="1"/>
      <w:marLeft w:val="0"/>
      <w:marRight w:val="0"/>
      <w:marTop w:val="0"/>
      <w:marBottom w:val="0"/>
      <w:divBdr>
        <w:top w:val="none" w:sz="0" w:space="0" w:color="auto"/>
        <w:left w:val="none" w:sz="0" w:space="0" w:color="auto"/>
        <w:bottom w:val="none" w:sz="0" w:space="0" w:color="auto"/>
        <w:right w:val="none" w:sz="0" w:space="0" w:color="auto"/>
      </w:divBdr>
    </w:div>
    <w:div w:id="906187106">
      <w:bodyDiv w:val="1"/>
      <w:marLeft w:val="0"/>
      <w:marRight w:val="0"/>
      <w:marTop w:val="0"/>
      <w:marBottom w:val="0"/>
      <w:divBdr>
        <w:top w:val="none" w:sz="0" w:space="0" w:color="auto"/>
        <w:left w:val="none" w:sz="0" w:space="0" w:color="auto"/>
        <w:bottom w:val="none" w:sz="0" w:space="0" w:color="auto"/>
        <w:right w:val="none" w:sz="0" w:space="0" w:color="auto"/>
      </w:divBdr>
    </w:div>
    <w:div w:id="906231814">
      <w:bodyDiv w:val="1"/>
      <w:marLeft w:val="0"/>
      <w:marRight w:val="0"/>
      <w:marTop w:val="0"/>
      <w:marBottom w:val="0"/>
      <w:divBdr>
        <w:top w:val="none" w:sz="0" w:space="0" w:color="auto"/>
        <w:left w:val="none" w:sz="0" w:space="0" w:color="auto"/>
        <w:bottom w:val="none" w:sz="0" w:space="0" w:color="auto"/>
        <w:right w:val="none" w:sz="0" w:space="0" w:color="auto"/>
      </w:divBdr>
    </w:div>
    <w:div w:id="906232019">
      <w:bodyDiv w:val="1"/>
      <w:marLeft w:val="0"/>
      <w:marRight w:val="0"/>
      <w:marTop w:val="0"/>
      <w:marBottom w:val="0"/>
      <w:divBdr>
        <w:top w:val="none" w:sz="0" w:space="0" w:color="auto"/>
        <w:left w:val="none" w:sz="0" w:space="0" w:color="auto"/>
        <w:bottom w:val="none" w:sz="0" w:space="0" w:color="auto"/>
        <w:right w:val="none" w:sz="0" w:space="0" w:color="auto"/>
      </w:divBdr>
    </w:div>
    <w:div w:id="906233696">
      <w:bodyDiv w:val="1"/>
      <w:marLeft w:val="0"/>
      <w:marRight w:val="0"/>
      <w:marTop w:val="0"/>
      <w:marBottom w:val="0"/>
      <w:divBdr>
        <w:top w:val="none" w:sz="0" w:space="0" w:color="auto"/>
        <w:left w:val="none" w:sz="0" w:space="0" w:color="auto"/>
        <w:bottom w:val="none" w:sz="0" w:space="0" w:color="auto"/>
        <w:right w:val="none" w:sz="0" w:space="0" w:color="auto"/>
      </w:divBdr>
    </w:div>
    <w:div w:id="906382184">
      <w:bodyDiv w:val="1"/>
      <w:marLeft w:val="0"/>
      <w:marRight w:val="0"/>
      <w:marTop w:val="0"/>
      <w:marBottom w:val="0"/>
      <w:divBdr>
        <w:top w:val="none" w:sz="0" w:space="0" w:color="auto"/>
        <w:left w:val="none" w:sz="0" w:space="0" w:color="auto"/>
        <w:bottom w:val="none" w:sz="0" w:space="0" w:color="auto"/>
        <w:right w:val="none" w:sz="0" w:space="0" w:color="auto"/>
      </w:divBdr>
    </w:div>
    <w:div w:id="906450412">
      <w:bodyDiv w:val="1"/>
      <w:marLeft w:val="0"/>
      <w:marRight w:val="0"/>
      <w:marTop w:val="0"/>
      <w:marBottom w:val="0"/>
      <w:divBdr>
        <w:top w:val="none" w:sz="0" w:space="0" w:color="auto"/>
        <w:left w:val="none" w:sz="0" w:space="0" w:color="auto"/>
        <w:bottom w:val="none" w:sz="0" w:space="0" w:color="auto"/>
        <w:right w:val="none" w:sz="0" w:space="0" w:color="auto"/>
      </w:divBdr>
    </w:div>
    <w:div w:id="906459798">
      <w:bodyDiv w:val="1"/>
      <w:marLeft w:val="0"/>
      <w:marRight w:val="0"/>
      <w:marTop w:val="0"/>
      <w:marBottom w:val="0"/>
      <w:divBdr>
        <w:top w:val="none" w:sz="0" w:space="0" w:color="auto"/>
        <w:left w:val="none" w:sz="0" w:space="0" w:color="auto"/>
        <w:bottom w:val="none" w:sz="0" w:space="0" w:color="auto"/>
        <w:right w:val="none" w:sz="0" w:space="0" w:color="auto"/>
      </w:divBdr>
    </w:div>
    <w:div w:id="906495942">
      <w:bodyDiv w:val="1"/>
      <w:marLeft w:val="0"/>
      <w:marRight w:val="0"/>
      <w:marTop w:val="0"/>
      <w:marBottom w:val="0"/>
      <w:divBdr>
        <w:top w:val="none" w:sz="0" w:space="0" w:color="auto"/>
        <w:left w:val="none" w:sz="0" w:space="0" w:color="auto"/>
        <w:bottom w:val="none" w:sz="0" w:space="0" w:color="auto"/>
        <w:right w:val="none" w:sz="0" w:space="0" w:color="auto"/>
      </w:divBdr>
    </w:div>
    <w:div w:id="906501214">
      <w:bodyDiv w:val="1"/>
      <w:marLeft w:val="0"/>
      <w:marRight w:val="0"/>
      <w:marTop w:val="0"/>
      <w:marBottom w:val="0"/>
      <w:divBdr>
        <w:top w:val="none" w:sz="0" w:space="0" w:color="auto"/>
        <w:left w:val="none" w:sz="0" w:space="0" w:color="auto"/>
        <w:bottom w:val="none" w:sz="0" w:space="0" w:color="auto"/>
        <w:right w:val="none" w:sz="0" w:space="0" w:color="auto"/>
      </w:divBdr>
    </w:div>
    <w:div w:id="906770467">
      <w:bodyDiv w:val="1"/>
      <w:marLeft w:val="0"/>
      <w:marRight w:val="0"/>
      <w:marTop w:val="0"/>
      <w:marBottom w:val="0"/>
      <w:divBdr>
        <w:top w:val="none" w:sz="0" w:space="0" w:color="auto"/>
        <w:left w:val="none" w:sz="0" w:space="0" w:color="auto"/>
        <w:bottom w:val="none" w:sz="0" w:space="0" w:color="auto"/>
        <w:right w:val="none" w:sz="0" w:space="0" w:color="auto"/>
      </w:divBdr>
    </w:div>
    <w:div w:id="906843223">
      <w:bodyDiv w:val="1"/>
      <w:marLeft w:val="0"/>
      <w:marRight w:val="0"/>
      <w:marTop w:val="0"/>
      <w:marBottom w:val="0"/>
      <w:divBdr>
        <w:top w:val="none" w:sz="0" w:space="0" w:color="auto"/>
        <w:left w:val="none" w:sz="0" w:space="0" w:color="auto"/>
        <w:bottom w:val="none" w:sz="0" w:space="0" w:color="auto"/>
        <w:right w:val="none" w:sz="0" w:space="0" w:color="auto"/>
      </w:divBdr>
    </w:div>
    <w:div w:id="906843537">
      <w:bodyDiv w:val="1"/>
      <w:marLeft w:val="0"/>
      <w:marRight w:val="0"/>
      <w:marTop w:val="0"/>
      <w:marBottom w:val="0"/>
      <w:divBdr>
        <w:top w:val="none" w:sz="0" w:space="0" w:color="auto"/>
        <w:left w:val="none" w:sz="0" w:space="0" w:color="auto"/>
        <w:bottom w:val="none" w:sz="0" w:space="0" w:color="auto"/>
        <w:right w:val="none" w:sz="0" w:space="0" w:color="auto"/>
      </w:divBdr>
    </w:div>
    <w:div w:id="907347397">
      <w:bodyDiv w:val="1"/>
      <w:marLeft w:val="0"/>
      <w:marRight w:val="0"/>
      <w:marTop w:val="0"/>
      <w:marBottom w:val="0"/>
      <w:divBdr>
        <w:top w:val="none" w:sz="0" w:space="0" w:color="auto"/>
        <w:left w:val="none" w:sz="0" w:space="0" w:color="auto"/>
        <w:bottom w:val="none" w:sz="0" w:space="0" w:color="auto"/>
        <w:right w:val="none" w:sz="0" w:space="0" w:color="auto"/>
      </w:divBdr>
    </w:div>
    <w:div w:id="907348327">
      <w:bodyDiv w:val="1"/>
      <w:marLeft w:val="0"/>
      <w:marRight w:val="0"/>
      <w:marTop w:val="0"/>
      <w:marBottom w:val="0"/>
      <w:divBdr>
        <w:top w:val="none" w:sz="0" w:space="0" w:color="auto"/>
        <w:left w:val="none" w:sz="0" w:space="0" w:color="auto"/>
        <w:bottom w:val="none" w:sz="0" w:space="0" w:color="auto"/>
        <w:right w:val="none" w:sz="0" w:space="0" w:color="auto"/>
      </w:divBdr>
    </w:div>
    <w:div w:id="907377191">
      <w:bodyDiv w:val="1"/>
      <w:marLeft w:val="0"/>
      <w:marRight w:val="0"/>
      <w:marTop w:val="0"/>
      <w:marBottom w:val="0"/>
      <w:divBdr>
        <w:top w:val="none" w:sz="0" w:space="0" w:color="auto"/>
        <w:left w:val="none" w:sz="0" w:space="0" w:color="auto"/>
        <w:bottom w:val="none" w:sz="0" w:space="0" w:color="auto"/>
        <w:right w:val="none" w:sz="0" w:space="0" w:color="auto"/>
      </w:divBdr>
    </w:div>
    <w:div w:id="907378264">
      <w:bodyDiv w:val="1"/>
      <w:marLeft w:val="0"/>
      <w:marRight w:val="0"/>
      <w:marTop w:val="0"/>
      <w:marBottom w:val="0"/>
      <w:divBdr>
        <w:top w:val="none" w:sz="0" w:space="0" w:color="auto"/>
        <w:left w:val="none" w:sz="0" w:space="0" w:color="auto"/>
        <w:bottom w:val="none" w:sz="0" w:space="0" w:color="auto"/>
        <w:right w:val="none" w:sz="0" w:space="0" w:color="auto"/>
      </w:divBdr>
    </w:div>
    <w:div w:id="907416967">
      <w:bodyDiv w:val="1"/>
      <w:marLeft w:val="0"/>
      <w:marRight w:val="0"/>
      <w:marTop w:val="0"/>
      <w:marBottom w:val="0"/>
      <w:divBdr>
        <w:top w:val="none" w:sz="0" w:space="0" w:color="auto"/>
        <w:left w:val="none" w:sz="0" w:space="0" w:color="auto"/>
        <w:bottom w:val="none" w:sz="0" w:space="0" w:color="auto"/>
        <w:right w:val="none" w:sz="0" w:space="0" w:color="auto"/>
      </w:divBdr>
    </w:div>
    <w:div w:id="907495516">
      <w:bodyDiv w:val="1"/>
      <w:marLeft w:val="0"/>
      <w:marRight w:val="0"/>
      <w:marTop w:val="0"/>
      <w:marBottom w:val="0"/>
      <w:divBdr>
        <w:top w:val="none" w:sz="0" w:space="0" w:color="auto"/>
        <w:left w:val="none" w:sz="0" w:space="0" w:color="auto"/>
        <w:bottom w:val="none" w:sz="0" w:space="0" w:color="auto"/>
        <w:right w:val="none" w:sz="0" w:space="0" w:color="auto"/>
      </w:divBdr>
    </w:div>
    <w:div w:id="907543260">
      <w:bodyDiv w:val="1"/>
      <w:marLeft w:val="0"/>
      <w:marRight w:val="0"/>
      <w:marTop w:val="0"/>
      <w:marBottom w:val="0"/>
      <w:divBdr>
        <w:top w:val="none" w:sz="0" w:space="0" w:color="auto"/>
        <w:left w:val="none" w:sz="0" w:space="0" w:color="auto"/>
        <w:bottom w:val="none" w:sz="0" w:space="0" w:color="auto"/>
        <w:right w:val="none" w:sz="0" w:space="0" w:color="auto"/>
      </w:divBdr>
    </w:div>
    <w:div w:id="907543694">
      <w:bodyDiv w:val="1"/>
      <w:marLeft w:val="0"/>
      <w:marRight w:val="0"/>
      <w:marTop w:val="0"/>
      <w:marBottom w:val="0"/>
      <w:divBdr>
        <w:top w:val="none" w:sz="0" w:space="0" w:color="auto"/>
        <w:left w:val="none" w:sz="0" w:space="0" w:color="auto"/>
        <w:bottom w:val="none" w:sz="0" w:space="0" w:color="auto"/>
        <w:right w:val="none" w:sz="0" w:space="0" w:color="auto"/>
      </w:divBdr>
    </w:div>
    <w:div w:id="907572033">
      <w:bodyDiv w:val="1"/>
      <w:marLeft w:val="0"/>
      <w:marRight w:val="0"/>
      <w:marTop w:val="0"/>
      <w:marBottom w:val="0"/>
      <w:divBdr>
        <w:top w:val="none" w:sz="0" w:space="0" w:color="auto"/>
        <w:left w:val="none" w:sz="0" w:space="0" w:color="auto"/>
        <w:bottom w:val="none" w:sz="0" w:space="0" w:color="auto"/>
        <w:right w:val="none" w:sz="0" w:space="0" w:color="auto"/>
      </w:divBdr>
    </w:div>
    <w:div w:id="907573600">
      <w:bodyDiv w:val="1"/>
      <w:marLeft w:val="0"/>
      <w:marRight w:val="0"/>
      <w:marTop w:val="0"/>
      <w:marBottom w:val="0"/>
      <w:divBdr>
        <w:top w:val="none" w:sz="0" w:space="0" w:color="auto"/>
        <w:left w:val="none" w:sz="0" w:space="0" w:color="auto"/>
        <w:bottom w:val="none" w:sz="0" w:space="0" w:color="auto"/>
        <w:right w:val="none" w:sz="0" w:space="0" w:color="auto"/>
      </w:divBdr>
    </w:div>
    <w:div w:id="907686237">
      <w:bodyDiv w:val="1"/>
      <w:marLeft w:val="0"/>
      <w:marRight w:val="0"/>
      <w:marTop w:val="0"/>
      <w:marBottom w:val="0"/>
      <w:divBdr>
        <w:top w:val="none" w:sz="0" w:space="0" w:color="auto"/>
        <w:left w:val="none" w:sz="0" w:space="0" w:color="auto"/>
        <w:bottom w:val="none" w:sz="0" w:space="0" w:color="auto"/>
        <w:right w:val="none" w:sz="0" w:space="0" w:color="auto"/>
      </w:divBdr>
    </w:div>
    <w:div w:id="907765551">
      <w:bodyDiv w:val="1"/>
      <w:marLeft w:val="0"/>
      <w:marRight w:val="0"/>
      <w:marTop w:val="0"/>
      <w:marBottom w:val="0"/>
      <w:divBdr>
        <w:top w:val="none" w:sz="0" w:space="0" w:color="auto"/>
        <w:left w:val="none" w:sz="0" w:space="0" w:color="auto"/>
        <w:bottom w:val="none" w:sz="0" w:space="0" w:color="auto"/>
        <w:right w:val="none" w:sz="0" w:space="0" w:color="auto"/>
      </w:divBdr>
    </w:div>
    <w:div w:id="907767262">
      <w:bodyDiv w:val="1"/>
      <w:marLeft w:val="0"/>
      <w:marRight w:val="0"/>
      <w:marTop w:val="0"/>
      <w:marBottom w:val="0"/>
      <w:divBdr>
        <w:top w:val="none" w:sz="0" w:space="0" w:color="auto"/>
        <w:left w:val="none" w:sz="0" w:space="0" w:color="auto"/>
        <w:bottom w:val="none" w:sz="0" w:space="0" w:color="auto"/>
        <w:right w:val="none" w:sz="0" w:space="0" w:color="auto"/>
      </w:divBdr>
    </w:div>
    <w:div w:id="907768373">
      <w:bodyDiv w:val="1"/>
      <w:marLeft w:val="0"/>
      <w:marRight w:val="0"/>
      <w:marTop w:val="0"/>
      <w:marBottom w:val="0"/>
      <w:divBdr>
        <w:top w:val="none" w:sz="0" w:space="0" w:color="auto"/>
        <w:left w:val="none" w:sz="0" w:space="0" w:color="auto"/>
        <w:bottom w:val="none" w:sz="0" w:space="0" w:color="auto"/>
        <w:right w:val="none" w:sz="0" w:space="0" w:color="auto"/>
      </w:divBdr>
    </w:div>
    <w:div w:id="907882598">
      <w:bodyDiv w:val="1"/>
      <w:marLeft w:val="0"/>
      <w:marRight w:val="0"/>
      <w:marTop w:val="0"/>
      <w:marBottom w:val="0"/>
      <w:divBdr>
        <w:top w:val="none" w:sz="0" w:space="0" w:color="auto"/>
        <w:left w:val="none" w:sz="0" w:space="0" w:color="auto"/>
        <w:bottom w:val="none" w:sz="0" w:space="0" w:color="auto"/>
        <w:right w:val="none" w:sz="0" w:space="0" w:color="auto"/>
      </w:divBdr>
    </w:div>
    <w:div w:id="908271833">
      <w:bodyDiv w:val="1"/>
      <w:marLeft w:val="0"/>
      <w:marRight w:val="0"/>
      <w:marTop w:val="0"/>
      <w:marBottom w:val="0"/>
      <w:divBdr>
        <w:top w:val="none" w:sz="0" w:space="0" w:color="auto"/>
        <w:left w:val="none" w:sz="0" w:space="0" w:color="auto"/>
        <w:bottom w:val="none" w:sz="0" w:space="0" w:color="auto"/>
        <w:right w:val="none" w:sz="0" w:space="0" w:color="auto"/>
      </w:divBdr>
    </w:div>
    <w:div w:id="908343711">
      <w:bodyDiv w:val="1"/>
      <w:marLeft w:val="0"/>
      <w:marRight w:val="0"/>
      <w:marTop w:val="0"/>
      <w:marBottom w:val="0"/>
      <w:divBdr>
        <w:top w:val="none" w:sz="0" w:space="0" w:color="auto"/>
        <w:left w:val="none" w:sz="0" w:space="0" w:color="auto"/>
        <w:bottom w:val="none" w:sz="0" w:space="0" w:color="auto"/>
        <w:right w:val="none" w:sz="0" w:space="0" w:color="auto"/>
      </w:divBdr>
    </w:div>
    <w:div w:id="908350489">
      <w:bodyDiv w:val="1"/>
      <w:marLeft w:val="0"/>
      <w:marRight w:val="0"/>
      <w:marTop w:val="0"/>
      <w:marBottom w:val="0"/>
      <w:divBdr>
        <w:top w:val="none" w:sz="0" w:space="0" w:color="auto"/>
        <w:left w:val="none" w:sz="0" w:space="0" w:color="auto"/>
        <w:bottom w:val="none" w:sz="0" w:space="0" w:color="auto"/>
        <w:right w:val="none" w:sz="0" w:space="0" w:color="auto"/>
      </w:divBdr>
    </w:div>
    <w:div w:id="908420532">
      <w:bodyDiv w:val="1"/>
      <w:marLeft w:val="0"/>
      <w:marRight w:val="0"/>
      <w:marTop w:val="0"/>
      <w:marBottom w:val="0"/>
      <w:divBdr>
        <w:top w:val="none" w:sz="0" w:space="0" w:color="auto"/>
        <w:left w:val="none" w:sz="0" w:space="0" w:color="auto"/>
        <w:bottom w:val="none" w:sz="0" w:space="0" w:color="auto"/>
        <w:right w:val="none" w:sz="0" w:space="0" w:color="auto"/>
      </w:divBdr>
    </w:div>
    <w:div w:id="908466216">
      <w:bodyDiv w:val="1"/>
      <w:marLeft w:val="0"/>
      <w:marRight w:val="0"/>
      <w:marTop w:val="0"/>
      <w:marBottom w:val="0"/>
      <w:divBdr>
        <w:top w:val="none" w:sz="0" w:space="0" w:color="auto"/>
        <w:left w:val="none" w:sz="0" w:space="0" w:color="auto"/>
        <w:bottom w:val="none" w:sz="0" w:space="0" w:color="auto"/>
        <w:right w:val="none" w:sz="0" w:space="0" w:color="auto"/>
      </w:divBdr>
    </w:div>
    <w:div w:id="908539454">
      <w:bodyDiv w:val="1"/>
      <w:marLeft w:val="0"/>
      <w:marRight w:val="0"/>
      <w:marTop w:val="0"/>
      <w:marBottom w:val="0"/>
      <w:divBdr>
        <w:top w:val="none" w:sz="0" w:space="0" w:color="auto"/>
        <w:left w:val="none" w:sz="0" w:space="0" w:color="auto"/>
        <w:bottom w:val="none" w:sz="0" w:space="0" w:color="auto"/>
        <w:right w:val="none" w:sz="0" w:space="0" w:color="auto"/>
      </w:divBdr>
    </w:div>
    <w:div w:id="908610871">
      <w:bodyDiv w:val="1"/>
      <w:marLeft w:val="0"/>
      <w:marRight w:val="0"/>
      <w:marTop w:val="0"/>
      <w:marBottom w:val="0"/>
      <w:divBdr>
        <w:top w:val="none" w:sz="0" w:space="0" w:color="auto"/>
        <w:left w:val="none" w:sz="0" w:space="0" w:color="auto"/>
        <w:bottom w:val="none" w:sz="0" w:space="0" w:color="auto"/>
        <w:right w:val="none" w:sz="0" w:space="0" w:color="auto"/>
      </w:divBdr>
    </w:div>
    <w:div w:id="908729158">
      <w:bodyDiv w:val="1"/>
      <w:marLeft w:val="0"/>
      <w:marRight w:val="0"/>
      <w:marTop w:val="0"/>
      <w:marBottom w:val="0"/>
      <w:divBdr>
        <w:top w:val="none" w:sz="0" w:space="0" w:color="auto"/>
        <w:left w:val="none" w:sz="0" w:space="0" w:color="auto"/>
        <w:bottom w:val="none" w:sz="0" w:space="0" w:color="auto"/>
        <w:right w:val="none" w:sz="0" w:space="0" w:color="auto"/>
      </w:divBdr>
    </w:div>
    <w:div w:id="908731136">
      <w:bodyDiv w:val="1"/>
      <w:marLeft w:val="0"/>
      <w:marRight w:val="0"/>
      <w:marTop w:val="0"/>
      <w:marBottom w:val="0"/>
      <w:divBdr>
        <w:top w:val="none" w:sz="0" w:space="0" w:color="auto"/>
        <w:left w:val="none" w:sz="0" w:space="0" w:color="auto"/>
        <w:bottom w:val="none" w:sz="0" w:space="0" w:color="auto"/>
        <w:right w:val="none" w:sz="0" w:space="0" w:color="auto"/>
      </w:divBdr>
    </w:div>
    <w:div w:id="908731801">
      <w:bodyDiv w:val="1"/>
      <w:marLeft w:val="0"/>
      <w:marRight w:val="0"/>
      <w:marTop w:val="0"/>
      <w:marBottom w:val="0"/>
      <w:divBdr>
        <w:top w:val="none" w:sz="0" w:space="0" w:color="auto"/>
        <w:left w:val="none" w:sz="0" w:space="0" w:color="auto"/>
        <w:bottom w:val="none" w:sz="0" w:space="0" w:color="auto"/>
        <w:right w:val="none" w:sz="0" w:space="0" w:color="auto"/>
      </w:divBdr>
    </w:div>
    <w:div w:id="908733194">
      <w:bodyDiv w:val="1"/>
      <w:marLeft w:val="0"/>
      <w:marRight w:val="0"/>
      <w:marTop w:val="0"/>
      <w:marBottom w:val="0"/>
      <w:divBdr>
        <w:top w:val="none" w:sz="0" w:space="0" w:color="auto"/>
        <w:left w:val="none" w:sz="0" w:space="0" w:color="auto"/>
        <w:bottom w:val="none" w:sz="0" w:space="0" w:color="auto"/>
        <w:right w:val="none" w:sz="0" w:space="0" w:color="auto"/>
      </w:divBdr>
    </w:div>
    <w:div w:id="908806716">
      <w:bodyDiv w:val="1"/>
      <w:marLeft w:val="0"/>
      <w:marRight w:val="0"/>
      <w:marTop w:val="0"/>
      <w:marBottom w:val="0"/>
      <w:divBdr>
        <w:top w:val="none" w:sz="0" w:space="0" w:color="auto"/>
        <w:left w:val="none" w:sz="0" w:space="0" w:color="auto"/>
        <w:bottom w:val="none" w:sz="0" w:space="0" w:color="auto"/>
        <w:right w:val="none" w:sz="0" w:space="0" w:color="auto"/>
      </w:divBdr>
    </w:div>
    <w:div w:id="908883053">
      <w:bodyDiv w:val="1"/>
      <w:marLeft w:val="0"/>
      <w:marRight w:val="0"/>
      <w:marTop w:val="0"/>
      <w:marBottom w:val="0"/>
      <w:divBdr>
        <w:top w:val="none" w:sz="0" w:space="0" w:color="auto"/>
        <w:left w:val="none" w:sz="0" w:space="0" w:color="auto"/>
        <w:bottom w:val="none" w:sz="0" w:space="0" w:color="auto"/>
        <w:right w:val="none" w:sz="0" w:space="0" w:color="auto"/>
      </w:divBdr>
    </w:div>
    <w:div w:id="909003314">
      <w:bodyDiv w:val="1"/>
      <w:marLeft w:val="0"/>
      <w:marRight w:val="0"/>
      <w:marTop w:val="0"/>
      <w:marBottom w:val="0"/>
      <w:divBdr>
        <w:top w:val="none" w:sz="0" w:space="0" w:color="auto"/>
        <w:left w:val="none" w:sz="0" w:space="0" w:color="auto"/>
        <w:bottom w:val="none" w:sz="0" w:space="0" w:color="auto"/>
        <w:right w:val="none" w:sz="0" w:space="0" w:color="auto"/>
      </w:divBdr>
    </w:div>
    <w:div w:id="909077524">
      <w:bodyDiv w:val="1"/>
      <w:marLeft w:val="0"/>
      <w:marRight w:val="0"/>
      <w:marTop w:val="0"/>
      <w:marBottom w:val="0"/>
      <w:divBdr>
        <w:top w:val="none" w:sz="0" w:space="0" w:color="auto"/>
        <w:left w:val="none" w:sz="0" w:space="0" w:color="auto"/>
        <w:bottom w:val="none" w:sz="0" w:space="0" w:color="auto"/>
        <w:right w:val="none" w:sz="0" w:space="0" w:color="auto"/>
      </w:divBdr>
    </w:div>
    <w:div w:id="909080882">
      <w:bodyDiv w:val="1"/>
      <w:marLeft w:val="0"/>
      <w:marRight w:val="0"/>
      <w:marTop w:val="0"/>
      <w:marBottom w:val="0"/>
      <w:divBdr>
        <w:top w:val="none" w:sz="0" w:space="0" w:color="auto"/>
        <w:left w:val="none" w:sz="0" w:space="0" w:color="auto"/>
        <w:bottom w:val="none" w:sz="0" w:space="0" w:color="auto"/>
        <w:right w:val="none" w:sz="0" w:space="0" w:color="auto"/>
      </w:divBdr>
    </w:div>
    <w:div w:id="909119020">
      <w:bodyDiv w:val="1"/>
      <w:marLeft w:val="0"/>
      <w:marRight w:val="0"/>
      <w:marTop w:val="0"/>
      <w:marBottom w:val="0"/>
      <w:divBdr>
        <w:top w:val="none" w:sz="0" w:space="0" w:color="auto"/>
        <w:left w:val="none" w:sz="0" w:space="0" w:color="auto"/>
        <w:bottom w:val="none" w:sz="0" w:space="0" w:color="auto"/>
        <w:right w:val="none" w:sz="0" w:space="0" w:color="auto"/>
      </w:divBdr>
    </w:div>
    <w:div w:id="909386213">
      <w:bodyDiv w:val="1"/>
      <w:marLeft w:val="0"/>
      <w:marRight w:val="0"/>
      <w:marTop w:val="0"/>
      <w:marBottom w:val="0"/>
      <w:divBdr>
        <w:top w:val="none" w:sz="0" w:space="0" w:color="auto"/>
        <w:left w:val="none" w:sz="0" w:space="0" w:color="auto"/>
        <w:bottom w:val="none" w:sz="0" w:space="0" w:color="auto"/>
        <w:right w:val="none" w:sz="0" w:space="0" w:color="auto"/>
      </w:divBdr>
    </w:div>
    <w:div w:id="909578087">
      <w:bodyDiv w:val="1"/>
      <w:marLeft w:val="0"/>
      <w:marRight w:val="0"/>
      <w:marTop w:val="0"/>
      <w:marBottom w:val="0"/>
      <w:divBdr>
        <w:top w:val="none" w:sz="0" w:space="0" w:color="auto"/>
        <w:left w:val="none" w:sz="0" w:space="0" w:color="auto"/>
        <w:bottom w:val="none" w:sz="0" w:space="0" w:color="auto"/>
        <w:right w:val="none" w:sz="0" w:space="0" w:color="auto"/>
      </w:divBdr>
    </w:div>
    <w:div w:id="909580766">
      <w:bodyDiv w:val="1"/>
      <w:marLeft w:val="0"/>
      <w:marRight w:val="0"/>
      <w:marTop w:val="0"/>
      <w:marBottom w:val="0"/>
      <w:divBdr>
        <w:top w:val="none" w:sz="0" w:space="0" w:color="auto"/>
        <w:left w:val="none" w:sz="0" w:space="0" w:color="auto"/>
        <w:bottom w:val="none" w:sz="0" w:space="0" w:color="auto"/>
        <w:right w:val="none" w:sz="0" w:space="0" w:color="auto"/>
      </w:divBdr>
    </w:div>
    <w:div w:id="909733018">
      <w:bodyDiv w:val="1"/>
      <w:marLeft w:val="0"/>
      <w:marRight w:val="0"/>
      <w:marTop w:val="0"/>
      <w:marBottom w:val="0"/>
      <w:divBdr>
        <w:top w:val="none" w:sz="0" w:space="0" w:color="auto"/>
        <w:left w:val="none" w:sz="0" w:space="0" w:color="auto"/>
        <w:bottom w:val="none" w:sz="0" w:space="0" w:color="auto"/>
        <w:right w:val="none" w:sz="0" w:space="0" w:color="auto"/>
      </w:divBdr>
    </w:div>
    <w:div w:id="910040634">
      <w:bodyDiv w:val="1"/>
      <w:marLeft w:val="0"/>
      <w:marRight w:val="0"/>
      <w:marTop w:val="0"/>
      <w:marBottom w:val="0"/>
      <w:divBdr>
        <w:top w:val="none" w:sz="0" w:space="0" w:color="auto"/>
        <w:left w:val="none" w:sz="0" w:space="0" w:color="auto"/>
        <w:bottom w:val="none" w:sz="0" w:space="0" w:color="auto"/>
        <w:right w:val="none" w:sz="0" w:space="0" w:color="auto"/>
      </w:divBdr>
    </w:div>
    <w:div w:id="910120703">
      <w:bodyDiv w:val="1"/>
      <w:marLeft w:val="0"/>
      <w:marRight w:val="0"/>
      <w:marTop w:val="0"/>
      <w:marBottom w:val="0"/>
      <w:divBdr>
        <w:top w:val="none" w:sz="0" w:space="0" w:color="auto"/>
        <w:left w:val="none" w:sz="0" w:space="0" w:color="auto"/>
        <w:bottom w:val="none" w:sz="0" w:space="0" w:color="auto"/>
        <w:right w:val="none" w:sz="0" w:space="0" w:color="auto"/>
      </w:divBdr>
    </w:div>
    <w:div w:id="910196071">
      <w:bodyDiv w:val="1"/>
      <w:marLeft w:val="0"/>
      <w:marRight w:val="0"/>
      <w:marTop w:val="0"/>
      <w:marBottom w:val="0"/>
      <w:divBdr>
        <w:top w:val="none" w:sz="0" w:space="0" w:color="auto"/>
        <w:left w:val="none" w:sz="0" w:space="0" w:color="auto"/>
        <w:bottom w:val="none" w:sz="0" w:space="0" w:color="auto"/>
        <w:right w:val="none" w:sz="0" w:space="0" w:color="auto"/>
      </w:divBdr>
    </w:div>
    <w:div w:id="910233103">
      <w:bodyDiv w:val="1"/>
      <w:marLeft w:val="0"/>
      <w:marRight w:val="0"/>
      <w:marTop w:val="0"/>
      <w:marBottom w:val="0"/>
      <w:divBdr>
        <w:top w:val="none" w:sz="0" w:space="0" w:color="auto"/>
        <w:left w:val="none" w:sz="0" w:space="0" w:color="auto"/>
        <w:bottom w:val="none" w:sz="0" w:space="0" w:color="auto"/>
        <w:right w:val="none" w:sz="0" w:space="0" w:color="auto"/>
      </w:divBdr>
    </w:div>
    <w:div w:id="910238216">
      <w:bodyDiv w:val="1"/>
      <w:marLeft w:val="0"/>
      <w:marRight w:val="0"/>
      <w:marTop w:val="0"/>
      <w:marBottom w:val="0"/>
      <w:divBdr>
        <w:top w:val="none" w:sz="0" w:space="0" w:color="auto"/>
        <w:left w:val="none" w:sz="0" w:space="0" w:color="auto"/>
        <w:bottom w:val="none" w:sz="0" w:space="0" w:color="auto"/>
        <w:right w:val="none" w:sz="0" w:space="0" w:color="auto"/>
      </w:divBdr>
    </w:div>
    <w:div w:id="910238288">
      <w:bodyDiv w:val="1"/>
      <w:marLeft w:val="0"/>
      <w:marRight w:val="0"/>
      <w:marTop w:val="0"/>
      <w:marBottom w:val="0"/>
      <w:divBdr>
        <w:top w:val="none" w:sz="0" w:space="0" w:color="auto"/>
        <w:left w:val="none" w:sz="0" w:space="0" w:color="auto"/>
        <w:bottom w:val="none" w:sz="0" w:space="0" w:color="auto"/>
        <w:right w:val="none" w:sz="0" w:space="0" w:color="auto"/>
      </w:divBdr>
    </w:div>
    <w:div w:id="910310069">
      <w:bodyDiv w:val="1"/>
      <w:marLeft w:val="0"/>
      <w:marRight w:val="0"/>
      <w:marTop w:val="0"/>
      <w:marBottom w:val="0"/>
      <w:divBdr>
        <w:top w:val="none" w:sz="0" w:space="0" w:color="auto"/>
        <w:left w:val="none" w:sz="0" w:space="0" w:color="auto"/>
        <w:bottom w:val="none" w:sz="0" w:space="0" w:color="auto"/>
        <w:right w:val="none" w:sz="0" w:space="0" w:color="auto"/>
      </w:divBdr>
    </w:div>
    <w:div w:id="910310104">
      <w:bodyDiv w:val="1"/>
      <w:marLeft w:val="0"/>
      <w:marRight w:val="0"/>
      <w:marTop w:val="0"/>
      <w:marBottom w:val="0"/>
      <w:divBdr>
        <w:top w:val="none" w:sz="0" w:space="0" w:color="auto"/>
        <w:left w:val="none" w:sz="0" w:space="0" w:color="auto"/>
        <w:bottom w:val="none" w:sz="0" w:space="0" w:color="auto"/>
        <w:right w:val="none" w:sz="0" w:space="0" w:color="auto"/>
      </w:divBdr>
    </w:div>
    <w:div w:id="910312674">
      <w:bodyDiv w:val="1"/>
      <w:marLeft w:val="0"/>
      <w:marRight w:val="0"/>
      <w:marTop w:val="0"/>
      <w:marBottom w:val="0"/>
      <w:divBdr>
        <w:top w:val="none" w:sz="0" w:space="0" w:color="auto"/>
        <w:left w:val="none" w:sz="0" w:space="0" w:color="auto"/>
        <w:bottom w:val="none" w:sz="0" w:space="0" w:color="auto"/>
        <w:right w:val="none" w:sz="0" w:space="0" w:color="auto"/>
      </w:divBdr>
    </w:div>
    <w:div w:id="910385172">
      <w:bodyDiv w:val="1"/>
      <w:marLeft w:val="0"/>
      <w:marRight w:val="0"/>
      <w:marTop w:val="0"/>
      <w:marBottom w:val="0"/>
      <w:divBdr>
        <w:top w:val="none" w:sz="0" w:space="0" w:color="auto"/>
        <w:left w:val="none" w:sz="0" w:space="0" w:color="auto"/>
        <w:bottom w:val="none" w:sz="0" w:space="0" w:color="auto"/>
        <w:right w:val="none" w:sz="0" w:space="0" w:color="auto"/>
      </w:divBdr>
    </w:div>
    <w:div w:id="910427573">
      <w:bodyDiv w:val="1"/>
      <w:marLeft w:val="0"/>
      <w:marRight w:val="0"/>
      <w:marTop w:val="0"/>
      <w:marBottom w:val="0"/>
      <w:divBdr>
        <w:top w:val="none" w:sz="0" w:space="0" w:color="auto"/>
        <w:left w:val="none" w:sz="0" w:space="0" w:color="auto"/>
        <w:bottom w:val="none" w:sz="0" w:space="0" w:color="auto"/>
        <w:right w:val="none" w:sz="0" w:space="0" w:color="auto"/>
      </w:divBdr>
    </w:div>
    <w:div w:id="910576674">
      <w:bodyDiv w:val="1"/>
      <w:marLeft w:val="0"/>
      <w:marRight w:val="0"/>
      <w:marTop w:val="0"/>
      <w:marBottom w:val="0"/>
      <w:divBdr>
        <w:top w:val="none" w:sz="0" w:space="0" w:color="auto"/>
        <w:left w:val="none" w:sz="0" w:space="0" w:color="auto"/>
        <w:bottom w:val="none" w:sz="0" w:space="0" w:color="auto"/>
        <w:right w:val="none" w:sz="0" w:space="0" w:color="auto"/>
      </w:divBdr>
    </w:div>
    <w:div w:id="910651954">
      <w:bodyDiv w:val="1"/>
      <w:marLeft w:val="0"/>
      <w:marRight w:val="0"/>
      <w:marTop w:val="0"/>
      <w:marBottom w:val="0"/>
      <w:divBdr>
        <w:top w:val="none" w:sz="0" w:space="0" w:color="auto"/>
        <w:left w:val="none" w:sz="0" w:space="0" w:color="auto"/>
        <w:bottom w:val="none" w:sz="0" w:space="0" w:color="auto"/>
        <w:right w:val="none" w:sz="0" w:space="0" w:color="auto"/>
      </w:divBdr>
    </w:div>
    <w:div w:id="910850694">
      <w:bodyDiv w:val="1"/>
      <w:marLeft w:val="0"/>
      <w:marRight w:val="0"/>
      <w:marTop w:val="0"/>
      <w:marBottom w:val="0"/>
      <w:divBdr>
        <w:top w:val="none" w:sz="0" w:space="0" w:color="auto"/>
        <w:left w:val="none" w:sz="0" w:space="0" w:color="auto"/>
        <w:bottom w:val="none" w:sz="0" w:space="0" w:color="auto"/>
        <w:right w:val="none" w:sz="0" w:space="0" w:color="auto"/>
      </w:divBdr>
    </w:div>
    <w:div w:id="910888114">
      <w:bodyDiv w:val="1"/>
      <w:marLeft w:val="0"/>
      <w:marRight w:val="0"/>
      <w:marTop w:val="0"/>
      <w:marBottom w:val="0"/>
      <w:divBdr>
        <w:top w:val="none" w:sz="0" w:space="0" w:color="auto"/>
        <w:left w:val="none" w:sz="0" w:space="0" w:color="auto"/>
        <w:bottom w:val="none" w:sz="0" w:space="0" w:color="auto"/>
        <w:right w:val="none" w:sz="0" w:space="0" w:color="auto"/>
      </w:divBdr>
    </w:div>
    <w:div w:id="911040484">
      <w:bodyDiv w:val="1"/>
      <w:marLeft w:val="0"/>
      <w:marRight w:val="0"/>
      <w:marTop w:val="0"/>
      <w:marBottom w:val="0"/>
      <w:divBdr>
        <w:top w:val="none" w:sz="0" w:space="0" w:color="auto"/>
        <w:left w:val="none" w:sz="0" w:space="0" w:color="auto"/>
        <w:bottom w:val="none" w:sz="0" w:space="0" w:color="auto"/>
        <w:right w:val="none" w:sz="0" w:space="0" w:color="auto"/>
      </w:divBdr>
    </w:div>
    <w:div w:id="911087953">
      <w:bodyDiv w:val="1"/>
      <w:marLeft w:val="0"/>
      <w:marRight w:val="0"/>
      <w:marTop w:val="0"/>
      <w:marBottom w:val="0"/>
      <w:divBdr>
        <w:top w:val="none" w:sz="0" w:space="0" w:color="auto"/>
        <w:left w:val="none" w:sz="0" w:space="0" w:color="auto"/>
        <w:bottom w:val="none" w:sz="0" w:space="0" w:color="auto"/>
        <w:right w:val="none" w:sz="0" w:space="0" w:color="auto"/>
      </w:divBdr>
    </w:div>
    <w:div w:id="911157421">
      <w:bodyDiv w:val="1"/>
      <w:marLeft w:val="0"/>
      <w:marRight w:val="0"/>
      <w:marTop w:val="0"/>
      <w:marBottom w:val="0"/>
      <w:divBdr>
        <w:top w:val="none" w:sz="0" w:space="0" w:color="auto"/>
        <w:left w:val="none" w:sz="0" w:space="0" w:color="auto"/>
        <w:bottom w:val="none" w:sz="0" w:space="0" w:color="auto"/>
        <w:right w:val="none" w:sz="0" w:space="0" w:color="auto"/>
      </w:divBdr>
    </w:div>
    <w:div w:id="911232876">
      <w:bodyDiv w:val="1"/>
      <w:marLeft w:val="0"/>
      <w:marRight w:val="0"/>
      <w:marTop w:val="0"/>
      <w:marBottom w:val="0"/>
      <w:divBdr>
        <w:top w:val="none" w:sz="0" w:space="0" w:color="auto"/>
        <w:left w:val="none" w:sz="0" w:space="0" w:color="auto"/>
        <w:bottom w:val="none" w:sz="0" w:space="0" w:color="auto"/>
        <w:right w:val="none" w:sz="0" w:space="0" w:color="auto"/>
      </w:divBdr>
    </w:div>
    <w:div w:id="911282281">
      <w:bodyDiv w:val="1"/>
      <w:marLeft w:val="0"/>
      <w:marRight w:val="0"/>
      <w:marTop w:val="0"/>
      <w:marBottom w:val="0"/>
      <w:divBdr>
        <w:top w:val="none" w:sz="0" w:space="0" w:color="auto"/>
        <w:left w:val="none" w:sz="0" w:space="0" w:color="auto"/>
        <w:bottom w:val="none" w:sz="0" w:space="0" w:color="auto"/>
        <w:right w:val="none" w:sz="0" w:space="0" w:color="auto"/>
      </w:divBdr>
    </w:div>
    <w:div w:id="911623785">
      <w:bodyDiv w:val="1"/>
      <w:marLeft w:val="0"/>
      <w:marRight w:val="0"/>
      <w:marTop w:val="0"/>
      <w:marBottom w:val="0"/>
      <w:divBdr>
        <w:top w:val="none" w:sz="0" w:space="0" w:color="auto"/>
        <w:left w:val="none" w:sz="0" w:space="0" w:color="auto"/>
        <w:bottom w:val="none" w:sz="0" w:space="0" w:color="auto"/>
        <w:right w:val="none" w:sz="0" w:space="0" w:color="auto"/>
      </w:divBdr>
    </w:div>
    <w:div w:id="911624395">
      <w:bodyDiv w:val="1"/>
      <w:marLeft w:val="0"/>
      <w:marRight w:val="0"/>
      <w:marTop w:val="0"/>
      <w:marBottom w:val="0"/>
      <w:divBdr>
        <w:top w:val="none" w:sz="0" w:space="0" w:color="auto"/>
        <w:left w:val="none" w:sz="0" w:space="0" w:color="auto"/>
        <w:bottom w:val="none" w:sz="0" w:space="0" w:color="auto"/>
        <w:right w:val="none" w:sz="0" w:space="0" w:color="auto"/>
      </w:divBdr>
    </w:div>
    <w:div w:id="911624651">
      <w:bodyDiv w:val="1"/>
      <w:marLeft w:val="0"/>
      <w:marRight w:val="0"/>
      <w:marTop w:val="0"/>
      <w:marBottom w:val="0"/>
      <w:divBdr>
        <w:top w:val="none" w:sz="0" w:space="0" w:color="auto"/>
        <w:left w:val="none" w:sz="0" w:space="0" w:color="auto"/>
        <w:bottom w:val="none" w:sz="0" w:space="0" w:color="auto"/>
        <w:right w:val="none" w:sz="0" w:space="0" w:color="auto"/>
      </w:divBdr>
    </w:div>
    <w:div w:id="911698189">
      <w:bodyDiv w:val="1"/>
      <w:marLeft w:val="0"/>
      <w:marRight w:val="0"/>
      <w:marTop w:val="0"/>
      <w:marBottom w:val="0"/>
      <w:divBdr>
        <w:top w:val="none" w:sz="0" w:space="0" w:color="auto"/>
        <w:left w:val="none" w:sz="0" w:space="0" w:color="auto"/>
        <w:bottom w:val="none" w:sz="0" w:space="0" w:color="auto"/>
        <w:right w:val="none" w:sz="0" w:space="0" w:color="auto"/>
      </w:divBdr>
    </w:div>
    <w:div w:id="911700874">
      <w:bodyDiv w:val="1"/>
      <w:marLeft w:val="0"/>
      <w:marRight w:val="0"/>
      <w:marTop w:val="0"/>
      <w:marBottom w:val="0"/>
      <w:divBdr>
        <w:top w:val="none" w:sz="0" w:space="0" w:color="auto"/>
        <w:left w:val="none" w:sz="0" w:space="0" w:color="auto"/>
        <w:bottom w:val="none" w:sz="0" w:space="0" w:color="auto"/>
        <w:right w:val="none" w:sz="0" w:space="0" w:color="auto"/>
      </w:divBdr>
    </w:div>
    <w:div w:id="911815834">
      <w:bodyDiv w:val="1"/>
      <w:marLeft w:val="0"/>
      <w:marRight w:val="0"/>
      <w:marTop w:val="0"/>
      <w:marBottom w:val="0"/>
      <w:divBdr>
        <w:top w:val="none" w:sz="0" w:space="0" w:color="auto"/>
        <w:left w:val="none" w:sz="0" w:space="0" w:color="auto"/>
        <w:bottom w:val="none" w:sz="0" w:space="0" w:color="auto"/>
        <w:right w:val="none" w:sz="0" w:space="0" w:color="auto"/>
      </w:divBdr>
    </w:div>
    <w:div w:id="911964500">
      <w:bodyDiv w:val="1"/>
      <w:marLeft w:val="0"/>
      <w:marRight w:val="0"/>
      <w:marTop w:val="0"/>
      <w:marBottom w:val="0"/>
      <w:divBdr>
        <w:top w:val="none" w:sz="0" w:space="0" w:color="auto"/>
        <w:left w:val="none" w:sz="0" w:space="0" w:color="auto"/>
        <w:bottom w:val="none" w:sz="0" w:space="0" w:color="auto"/>
        <w:right w:val="none" w:sz="0" w:space="0" w:color="auto"/>
      </w:divBdr>
    </w:div>
    <w:div w:id="911964881">
      <w:bodyDiv w:val="1"/>
      <w:marLeft w:val="0"/>
      <w:marRight w:val="0"/>
      <w:marTop w:val="0"/>
      <w:marBottom w:val="0"/>
      <w:divBdr>
        <w:top w:val="none" w:sz="0" w:space="0" w:color="auto"/>
        <w:left w:val="none" w:sz="0" w:space="0" w:color="auto"/>
        <w:bottom w:val="none" w:sz="0" w:space="0" w:color="auto"/>
        <w:right w:val="none" w:sz="0" w:space="0" w:color="auto"/>
      </w:divBdr>
    </w:div>
    <w:div w:id="912086312">
      <w:bodyDiv w:val="1"/>
      <w:marLeft w:val="0"/>
      <w:marRight w:val="0"/>
      <w:marTop w:val="0"/>
      <w:marBottom w:val="0"/>
      <w:divBdr>
        <w:top w:val="none" w:sz="0" w:space="0" w:color="auto"/>
        <w:left w:val="none" w:sz="0" w:space="0" w:color="auto"/>
        <w:bottom w:val="none" w:sz="0" w:space="0" w:color="auto"/>
        <w:right w:val="none" w:sz="0" w:space="0" w:color="auto"/>
      </w:divBdr>
    </w:div>
    <w:div w:id="912130295">
      <w:bodyDiv w:val="1"/>
      <w:marLeft w:val="0"/>
      <w:marRight w:val="0"/>
      <w:marTop w:val="0"/>
      <w:marBottom w:val="0"/>
      <w:divBdr>
        <w:top w:val="none" w:sz="0" w:space="0" w:color="auto"/>
        <w:left w:val="none" w:sz="0" w:space="0" w:color="auto"/>
        <w:bottom w:val="none" w:sz="0" w:space="0" w:color="auto"/>
        <w:right w:val="none" w:sz="0" w:space="0" w:color="auto"/>
      </w:divBdr>
    </w:div>
    <w:div w:id="912162055">
      <w:bodyDiv w:val="1"/>
      <w:marLeft w:val="0"/>
      <w:marRight w:val="0"/>
      <w:marTop w:val="0"/>
      <w:marBottom w:val="0"/>
      <w:divBdr>
        <w:top w:val="none" w:sz="0" w:space="0" w:color="auto"/>
        <w:left w:val="none" w:sz="0" w:space="0" w:color="auto"/>
        <w:bottom w:val="none" w:sz="0" w:space="0" w:color="auto"/>
        <w:right w:val="none" w:sz="0" w:space="0" w:color="auto"/>
      </w:divBdr>
    </w:div>
    <w:div w:id="912197098">
      <w:bodyDiv w:val="1"/>
      <w:marLeft w:val="0"/>
      <w:marRight w:val="0"/>
      <w:marTop w:val="0"/>
      <w:marBottom w:val="0"/>
      <w:divBdr>
        <w:top w:val="none" w:sz="0" w:space="0" w:color="auto"/>
        <w:left w:val="none" w:sz="0" w:space="0" w:color="auto"/>
        <w:bottom w:val="none" w:sz="0" w:space="0" w:color="auto"/>
        <w:right w:val="none" w:sz="0" w:space="0" w:color="auto"/>
      </w:divBdr>
    </w:div>
    <w:div w:id="912274718">
      <w:bodyDiv w:val="1"/>
      <w:marLeft w:val="0"/>
      <w:marRight w:val="0"/>
      <w:marTop w:val="0"/>
      <w:marBottom w:val="0"/>
      <w:divBdr>
        <w:top w:val="none" w:sz="0" w:space="0" w:color="auto"/>
        <w:left w:val="none" w:sz="0" w:space="0" w:color="auto"/>
        <w:bottom w:val="none" w:sz="0" w:space="0" w:color="auto"/>
        <w:right w:val="none" w:sz="0" w:space="0" w:color="auto"/>
      </w:divBdr>
    </w:div>
    <w:div w:id="912279040">
      <w:bodyDiv w:val="1"/>
      <w:marLeft w:val="0"/>
      <w:marRight w:val="0"/>
      <w:marTop w:val="0"/>
      <w:marBottom w:val="0"/>
      <w:divBdr>
        <w:top w:val="none" w:sz="0" w:space="0" w:color="auto"/>
        <w:left w:val="none" w:sz="0" w:space="0" w:color="auto"/>
        <w:bottom w:val="none" w:sz="0" w:space="0" w:color="auto"/>
        <w:right w:val="none" w:sz="0" w:space="0" w:color="auto"/>
      </w:divBdr>
    </w:div>
    <w:div w:id="912281042">
      <w:bodyDiv w:val="1"/>
      <w:marLeft w:val="0"/>
      <w:marRight w:val="0"/>
      <w:marTop w:val="0"/>
      <w:marBottom w:val="0"/>
      <w:divBdr>
        <w:top w:val="none" w:sz="0" w:space="0" w:color="auto"/>
        <w:left w:val="none" w:sz="0" w:space="0" w:color="auto"/>
        <w:bottom w:val="none" w:sz="0" w:space="0" w:color="auto"/>
        <w:right w:val="none" w:sz="0" w:space="0" w:color="auto"/>
      </w:divBdr>
    </w:div>
    <w:div w:id="912348004">
      <w:bodyDiv w:val="1"/>
      <w:marLeft w:val="0"/>
      <w:marRight w:val="0"/>
      <w:marTop w:val="0"/>
      <w:marBottom w:val="0"/>
      <w:divBdr>
        <w:top w:val="none" w:sz="0" w:space="0" w:color="auto"/>
        <w:left w:val="none" w:sz="0" w:space="0" w:color="auto"/>
        <w:bottom w:val="none" w:sz="0" w:space="0" w:color="auto"/>
        <w:right w:val="none" w:sz="0" w:space="0" w:color="auto"/>
      </w:divBdr>
    </w:div>
    <w:div w:id="912354492">
      <w:bodyDiv w:val="1"/>
      <w:marLeft w:val="0"/>
      <w:marRight w:val="0"/>
      <w:marTop w:val="0"/>
      <w:marBottom w:val="0"/>
      <w:divBdr>
        <w:top w:val="none" w:sz="0" w:space="0" w:color="auto"/>
        <w:left w:val="none" w:sz="0" w:space="0" w:color="auto"/>
        <w:bottom w:val="none" w:sz="0" w:space="0" w:color="auto"/>
        <w:right w:val="none" w:sz="0" w:space="0" w:color="auto"/>
      </w:divBdr>
    </w:div>
    <w:div w:id="912472226">
      <w:bodyDiv w:val="1"/>
      <w:marLeft w:val="0"/>
      <w:marRight w:val="0"/>
      <w:marTop w:val="0"/>
      <w:marBottom w:val="0"/>
      <w:divBdr>
        <w:top w:val="none" w:sz="0" w:space="0" w:color="auto"/>
        <w:left w:val="none" w:sz="0" w:space="0" w:color="auto"/>
        <w:bottom w:val="none" w:sz="0" w:space="0" w:color="auto"/>
        <w:right w:val="none" w:sz="0" w:space="0" w:color="auto"/>
      </w:divBdr>
    </w:div>
    <w:div w:id="912473368">
      <w:bodyDiv w:val="1"/>
      <w:marLeft w:val="0"/>
      <w:marRight w:val="0"/>
      <w:marTop w:val="0"/>
      <w:marBottom w:val="0"/>
      <w:divBdr>
        <w:top w:val="none" w:sz="0" w:space="0" w:color="auto"/>
        <w:left w:val="none" w:sz="0" w:space="0" w:color="auto"/>
        <w:bottom w:val="none" w:sz="0" w:space="0" w:color="auto"/>
        <w:right w:val="none" w:sz="0" w:space="0" w:color="auto"/>
      </w:divBdr>
    </w:div>
    <w:div w:id="912474806">
      <w:bodyDiv w:val="1"/>
      <w:marLeft w:val="0"/>
      <w:marRight w:val="0"/>
      <w:marTop w:val="0"/>
      <w:marBottom w:val="0"/>
      <w:divBdr>
        <w:top w:val="none" w:sz="0" w:space="0" w:color="auto"/>
        <w:left w:val="none" w:sz="0" w:space="0" w:color="auto"/>
        <w:bottom w:val="none" w:sz="0" w:space="0" w:color="auto"/>
        <w:right w:val="none" w:sz="0" w:space="0" w:color="auto"/>
      </w:divBdr>
    </w:div>
    <w:div w:id="912550341">
      <w:bodyDiv w:val="1"/>
      <w:marLeft w:val="0"/>
      <w:marRight w:val="0"/>
      <w:marTop w:val="0"/>
      <w:marBottom w:val="0"/>
      <w:divBdr>
        <w:top w:val="none" w:sz="0" w:space="0" w:color="auto"/>
        <w:left w:val="none" w:sz="0" w:space="0" w:color="auto"/>
        <w:bottom w:val="none" w:sz="0" w:space="0" w:color="auto"/>
        <w:right w:val="none" w:sz="0" w:space="0" w:color="auto"/>
      </w:divBdr>
    </w:div>
    <w:div w:id="912617487">
      <w:bodyDiv w:val="1"/>
      <w:marLeft w:val="0"/>
      <w:marRight w:val="0"/>
      <w:marTop w:val="0"/>
      <w:marBottom w:val="0"/>
      <w:divBdr>
        <w:top w:val="none" w:sz="0" w:space="0" w:color="auto"/>
        <w:left w:val="none" w:sz="0" w:space="0" w:color="auto"/>
        <w:bottom w:val="none" w:sz="0" w:space="0" w:color="auto"/>
        <w:right w:val="none" w:sz="0" w:space="0" w:color="auto"/>
      </w:divBdr>
    </w:div>
    <w:div w:id="912617534">
      <w:bodyDiv w:val="1"/>
      <w:marLeft w:val="0"/>
      <w:marRight w:val="0"/>
      <w:marTop w:val="0"/>
      <w:marBottom w:val="0"/>
      <w:divBdr>
        <w:top w:val="none" w:sz="0" w:space="0" w:color="auto"/>
        <w:left w:val="none" w:sz="0" w:space="0" w:color="auto"/>
        <w:bottom w:val="none" w:sz="0" w:space="0" w:color="auto"/>
        <w:right w:val="none" w:sz="0" w:space="0" w:color="auto"/>
      </w:divBdr>
    </w:div>
    <w:div w:id="912659802">
      <w:bodyDiv w:val="1"/>
      <w:marLeft w:val="0"/>
      <w:marRight w:val="0"/>
      <w:marTop w:val="0"/>
      <w:marBottom w:val="0"/>
      <w:divBdr>
        <w:top w:val="none" w:sz="0" w:space="0" w:color="auto"/>
        <w:left w:val="none" w:sz="0" w:space="0" w:color="auto"/>
        <w:bottom w:val="none" w:sz="0" w:space="0" w:color="auto"/>
        <w:right w:val="none" w:sz="0" w:space="0" w:color="auto"/>
      </w:divBdr>
    </w:div>
    <w:div w:id="912665669">
      <w:bodyDiv w:val="1"/>
      <w:marLeft w:val="0"/>
      <w:marRight w:val="0"/>
      <w:marTop w:val="0"/>
      <w:marBottom w:val="0"/>
      <w:divBdr>
        <w:top w:val="none" w:sz="0" w:space="0" w:color="auto"/>
        <w:left w:val="none" w:sz="0" w:space="0" w:color="auto"/>
        <w:bottom w:val="none" w:sz="0" w:space="0" w:color="auto"/>
        <w:right w:val="none" w:sz="0" w:space="0" w:color="auto"/>
      </w:divBdr>
    </w:div>
    <w:div w:id="912741859">
      <w:bodyDiv w:val="1"/>
      <w:marLeft w:val="0"/>
      <w:marRight w:val="0"/>
      <w:marTop w:val="0"/>
      <w:marBottom w:val="0"/>
      <w:divBdr>
        <w:top w:val="none" w:sz="0" w:space="0" w:color="auto"/>
        <w:left w:val="none" w:sz="0" w:space="0" w:color="auto"/>
        <w:bottom w:val="none" w:sz="0" w:space="0" w:color="auto"/>
        <w:right w:val="none" w:sz="0" w:space="0" w:color="auto"/>
      </w:divBdr>
    </w:div>
    <w:div w:id="912861254">
      <w:bodyDiv w:val="1"/>
      <w:marLeft w:val="0"/>
      <w:marRight w:val="0"/>
      <w:marTop w:val="0"/>
      <w:marBottom w:val="0"/>
      <w:divBdr>
        <w:top w:val="none" w:sz="0" w:space="0" w:color="auto"/>
        <w:left w:val="none" w:sz="0" w:space="0" w:color="auto"/>
        <w:bottom w:val="none" w:sz="0" w:space="0" w:color="auto"/>
        <w:right w:val="none" w:sz="0" w:space="0" w:color="auto"/>
      </w:divBdr>
    </w:div>
    <w:div w:id="912936154">
      <w:bodyDiv w:val="1"/>
      <w:marLeft w:val="0"/>
      <w:marRight w:val="0"/>
      <w:marTop w:val="0"/>
      <w:marBottom w:val="0"/>
      <w:divBdr>
        <w:top w:val="none" w:sz="0" w:space="0" w:color="auto"/>
        <w:left w:val="none" w:sz="0" w:space="0" w:color="auto"/>
        <w:bottom w:val="none" w:sz="0" w:space="0" w:color="auto"/>
        <w:right w:val="none" w:sz="0" w:space="0" w:color="auto"/>
      </w:divBdr>
    </w:div>
    <w:div w:id="913246930">
      <w:bodyDiv w:val="1"/>
      <w:marLeft w:val="0"/>
      <w:marRight w:val="0"/>
      <w:marTop w:val="0"/>
      <w:marBottom w:val="0"/>
      <w:divBdr>
        <w:top w:val="none" w:sz="0" w:space="0" w:color="auto"/>
        <w:left w:val="none" w:sz="0" w:space="0" w:color="auto"/>
        <w:bottom w:val="none" w:sz="0" w:space="0" w:color="auto"/>
        <w:right w:val="none" w:sz="0" w:space="0" w:color="auto"/>
      </w:divBdr>
    </w:div>
    <w:div w:id="913272576">
      <w:bodyDiv w:val="1"/>
      <w:marLeft w:val="0"/>
      <w:marRight w:val="0"/>
      <w:marTop w:val="0"/>
      <w:marBottom w:val="0"/>
      <w:divBdr>
        <w:top w:val="none" w:sz="0" w:space="0" w:color="auto"/>
        <w:left w:val="none" w:sz="0" w:space="0" w:color="auto"/>
        <w:bottom w:val="none" w:sz="0" w:space="0" w:color="auto"/>
        <w:right w:val="none" w:sz="0" w:space="0" w:color="auto"/>
      </w:divBdr>
    </w:div>
    <w:div w:id="913314618">
      <w:bodyDiv w:val="1"/>
      <w:marLeft w:val="0"/>
      <w:marRight w:val="0"/>
      <w:marTop w:val="0"/>
      <w:marBottom w:val="0"/>
      <w:divBdr>
        <w:top w:val="none" w:sz="0" w:space="0" w:color="auto"/>
        <w:left w:val="none" w:sz="0" w:space="0" w:color="auto"/>
        <w:bottom w:val="none" w:sz="0" w:space="0" w:color="auto"/>
        <w:right w:val="none" w:sz="0" w:space="0" w:color="auto"/>
      </w:divBdr>
    </w:div>
    <w:div w:id="913318949">
      <w:bodyDiv w:val="1"/>
      <w:marLeft w:val="0"/>
      <w:marRight w:val="0"/>
      <w:marTop w:val="0"/>
      <w:marBottom w:val="0"/>
      <w:divBdr>
        <w:top w:val="none" w:sz="0" w:space="0" w:color="auto"/>
        <w:left w:val="none" w:sz="0" w:space="0" w:color="auto"/>
        <w:bottom w:val="none" w:sz="0" w:space="0" w:color="auto"/>
        <w:right w:val="none" w:sz="0" w:space="0" w:color="auto"/>
      </w:divBdr>
    </w:div>
    <w:div w:id="913398910">
      <w:bodyDiv w:val="1"/>
      <w:marLeft w:val="0"/>
      <w:marRight w:val="0"/>
      <w:marTop w:val="0"/>
      <w:marBottom w:val="0"/>
      <w:divBdr>
        <w:top w:val="none" w:sz="0" w:space="0" w:color="auto"/>
        <w:left w:val="none" w:sz="0" w:space="0" w:color="auto"/>
        <w:bottom w:val="none" w:sz="0" w:space="0" w:color="auto"/>
        <w:right w:val="none" w:sz="0" w:space="0" w:color="auto"/>
      </w:divBdr>
    </w:div>
    <w:div w:id="913516728">
      <w:bodyDiv w:val="1"/>
      <w:marLeft w:val="0"/>
      <w:marRight w:val="0"/>
      <w:marTop w:val="0"/>
      <w:marBottom w:val="0"/>
      <w:divBdr>
        <w:top w:val="none" w:sz="0" w:space="0" w:color="auto"/>
        <w:left w:val="none" w:sz="0" w:space="0" w:color="auto"/>
        <w:bottom w:val="none" w:sz="0" w:space="0" w:color="auto"/>
        <w:right w:val="none" w:sz="0" w:space="0" w:color="auto"/>
      </w:divBdr>
    </w:div>
    <w:div w:id="913590748">
      <w:bodyDiv w:val="1"/>
      <w:marLeft w:val="0"/>
      <w:marRight w:val="0"/>
      <w:marTop w:val="0"/>
      <w:marBottom w:val="0"/>
      <w:divBdr>
        <w:top w:val="none" w:sz="0" w:space="0" w:color="auto"/>
        <w:left w:val="none" w:sz="0" w:space="0" w:color="auto"/>
        <w:bottom w:val="none" w:sz="0" w:space="0" w:color="auto"/>
        <w:right w:val="none" w:sz="0" w:space="0" w:color="auto"/>
      </w:divBdr>
    </w:div>
    <w:div w:id="913658535">
      <w:bodyDiv w:val="1"/>
      <w:marLeft w:val="0"/>
      <w:marRight w:val="0"/>
      <w:marTop w:val="0"/>
      <w:marBottom w:val="0"/>
      <w:divBdr>
        <w:top w:val="none" w:sz="0" w:space="0" w:color="auto"/>
        <w:left w:val="none" w:sz="0" w:space="0" w:color="auto"/>
        <w:bottom w:val="none" w:sz="0" w:space="0" w:color="auto"/>
        <w:right w:val="none" w:sz="0" w:space="0" w:color="auto"/>
      </w:divBdr>
    </w:div>
    <w:div w:id="913662283">
      <w:bodyDiv w:val="1"/>
      <w:marLeft w:val="0"/>
      <w:marRight w:val="0"/>
      <w:marTop w:val="0"/>
      <w:marBottom w:val="0"/>
      <w:divBdr>
        <w:top w:val="none" w:sz="0" w:space="0" w:color="auto"/>
        <w:left w:val="none" w:sz="0" w:space="0" w:color="auto"/>
        <w:bottom w:val="none" w:sz="0" w:space="0" w:color="auto"/>
        <w:right w:val="none" w:sz="0" w:space="0" w:color="auto"/>
      </w:divBdr>
    </w:div>
    <w:div w:id="913666984">
      <w:bodyDiv w:val="1"/>
      <w:marLeft w:val="0"/>
      <w:marRight w:val="0"/>
      <w:marTop w:val="0"/>
      <w:marBottom w:val="0"/>
      <w:divBdr>
        <w:top w:val="none" w:sz="0" w:space="0" w:color="auto"/>
        <w:left w:val="none" w:sz="0" w:space="0" w:color="auto"/>
        <w:bottom w:val="none" w:sz="0" w:space="0" w:color="auto"/>
        <w:right w:val="none" w:sz="0" w:space="0" w:color="auto"/>
      </w:divBdr>
    </w:div>
    <w:div w:id="913707073">
      <w:bodyDiv w:val="1"/>
      <w:marLeft w:val="0"/>
      <w:marRight w:val="0"/>
      <w:marTop w:val="0"/>
      <w:marBottom w:val="0"/>
      <w:divBdr>
        <w:top w:val="none" w:sz="0" w:space="0" w:color="auto"/>
        <w:left w:val="none" w:sz="0" w:space="0" w:color="auto"/>
        <w:bottom w:val="none" w:sz="0" w:space="0" w:color="auto"/>
        <w:right w:val="none" w:sz="0" w:space="0" w:color="auto"/>
      </w:divBdr>
    </w:div>
    <w:div w:id="913857986">
      <w:bodyDiv w:val="1"/>
      <w:marLeft w:val="0"/>
      <w:marRight w:val="0"/>
      <w:marTop w:val="0"/>
      <w:marBottom w:val="0"/>
      <w:divBdr>
        <w:top w:val="none" w:sz="0" w:space="0" w:color="auto"/>
        <w:left w:val="none" w:sz="0" w:space="0" w:color="auto"/>
        <w:bottom w:val="none" w:sz="0" w:space="0" w:color="auto"/>
        <w:right w:val="none" w:sz="0" w:space="0" w:color="auto"/>
      </w:divBdr>
    </w:div>
    <w:div w:id="913975435">
      <w:bodyDiv w:val="1"/>
      <w:marLeft w:val="0"/>
      <w:marRight w:val="0"/>
      <w:marTop w:val="0"/>
      <w:marBottom w:val="0"/>
      <w:divBdr>
        <w:top w:val="none" w:sz="0" w:space="0" w:color="auto"/>
        <w:left w:val="none" w:sz="0" w:space="0" w:color="auto"/>
        <w:bottom w:val="none" w:sz="0" w:space="0" w:color="auto"/>
        <w:right w:val="none" w:sz="0" w:space="0" w:color="auto"/>
      </w:divBdr>
    </w:div>
    <w:div w:id="914047856">
      <w:bodyDiv w:val="1"/>
      <w:marLeft w:val="0"/>
      <w:marRight w:val="0"/>
      <w:marTop w:val="0"/>
      <w:marBottom w:val="0"/>
      <w:divBdr>
        <w:top w:val="none" w:sz="0" w:space="0" w:color="auto"/>
        <w:left w:val="none" w:sz="0" w:space="0" w:color="auto"/>
        <w:bottom w:val="none" w:sz="0" w:space="0" w:color="auto"/>
        <w:right w:val="none" w:sz="0" w:space="0" w:color="auto"/>
      </w:divBdr>
    </w:div>
    <w:div w:id="914052635">
      <w:bodyDiv w:val="1"/>
      <w:marLeft w:val="0"/>
      <w:marRight w:val="0"/>
      <w:marTop w:val="0"/>
      <w:marBottom w:val="0"/>
      <w:divBdr>
        <w:top w:val="none" w:sz="0" w:space="0" w:color="auto"/>
        <w:left w:val="none" w:sz="0" w:space="0" w:color="auto"/>
        <w:bottom w:val="none" w:sz="0" w:space="0" w:color="auto"/>
        <w:right w:val="none" w:sz="0" w:space="0" w:color="auto"/>
      </w:divBdr>
    </w:div>
    <w:div w:id="914124918">
      <w:bodyDiv w:val="1"/>
      <w:marLeft w:val="0"/>
      <w:marRight w:val="0"/>
      <w:marTop w:val="0"/>
      <w:marBottom w:val="0"/>
      <w:divBdr>
        <w:top w:val="none" w:sz="0" w:space="0" w:color="auto"/>
        <w:left w:val="none" w:sz="0" w:space="0" w:color="auto"/>
        <w:bottom w:val="none" w:sz="0" w:space="0" w:color="auto"/>
        <w:right w:val="none" w:sz="0" w:space="0" w:color="auto"/>
      </w:divBdr>
    </w:div>
    <w:div w:id="914322327">
      <w:bodyDiv w:val="1"/>
      <w:marLeft w:val="0"/>
      <w:marRight w:val="0"/>
      <w:marTop w:val="0"/>
      <w:marBottom w:val="0"/>
      <w:divBdr>
        <w:top w:val="none" w:sz="0" w:space="0" w:color="auto"/>
        <w:left w:val="none" w:sz="0" w:space="0" w:color="auto"/>
        <w:bottom w:val="none" w:sz="0" w:space="0" w:color="auto"/>
        <w:right w:val="none" w:sz="0" w:space="0" w:color="auto"/>
      </w:divBdr>
    </w:div>
    <w:div w:id="914508685">
      <w:bodyDiv w:val="1"/>
      <w:marLeft w:val="0"/>
      <w:marRight w:val="0"/>
      <w:marTop w:val="0"/>
      <w:marBottom w:val="0"/>
      <w:divBdr>
        <w:top w:val="none" w:sz="0" w:space="0" w:color="auto"/>
        <w:left w:val="none" w:sz="0" w:space="0" w:color="auto"/>
        <w:bottom w:val="none" w:sz="0" w:space="0" w:color="auto"/>
        <w:right w:val="none" w:sz="0" w:space="0" w:color="auto"/>
      </w:divBdr>
    </w:div>
    <w:div w:id="914704195">
      <w:bodyDiv w:val="1"/>
      <w:marLeft w:val="0"/>
      <w:marRight w:val="0"/>
      <w:marTop w:val="0"/>
      <w:marBottom w:val="0"/>
      <w:divBdr>
        <w:top w:val="none" w:sz="0" w:space="0" w:color="auto"/>
        <w:left w:val="none" w:sz="0" w:space="0" w:color="auto"/>
        <w:bottom w:val="none" w:sz="0" w:space="0" w:color="auto"/>
        <w:right w:val="none" w:sz="0" w:space="0" w:color="auto"/>
      </w:divBdr>
    </w:div>
    <w:div w:id="915167523">
      <w:bodyDiv w:val="1"/>
      <w:marLeft w:val="0"/>
      <w:marRight w:val="0"/>
      <w:marTop w:val="0"/>
      <w:marBottom w:val="0"/>
      <w:divBdr>
        <w:top w:val="none" w:sz="0" w:space="0" w:color="auto"/>
        <w:left w:val="none" w:sz="0" w:space="0" w:color="auto"/>
        <w:bottom w:val="none" w:sz="0" w:space="0" w:color="auto"/>
        <w:right w:val="none" w:sz="0" w:space="0" w:color="auto"/>
      </w:divBdr>
    </w:div>
    <w:div w:id="915211612">
      <w:bodyDiv w:val="1"/>
      <w:marLeft w:val="0"/>
      <w:marRight w:val="0"/>
      <w:marTop w:val="0"/>
      <w:marBottom w:val="0"/>
      <w:divBdr>
        <w:top w:val="none" w:sz="0" w:space="0" w:color="auto"/>
        <w:left w:val="none" w:sz="0" w:space="0" w:color="auto"/>
        <w:bottom w:val="none" w:sz="0" w:space="0" w:color="auto"/>
        <w:right w:val="none" w:sz="0" w:space="0" w:color="auto"/>
      </w:divBdr>
    </w:div>
    <w:div w:id="915237545">
      <w:bodyDiv w:val="1"/>
      <w:marLeft w:val="0"/>
      <w:marRight w:val="0"/>
      <w:marTop w:val="0"/>
      <w:marBottom w:val="0"/>
      <w:divBdr>
        <w:top w:val="none" w:sz="0" w:space="0" w:color="auto"/>
        <w:left w:val="none" w:sz="0" w:space="0" w:color="auto"/>
        <w:bottom w:val="none" w:sz="0" w:space="0" w:color="auto"/>
        <w:right w:val="none" w:sz="0" w:space="0" w:color="auto"/>
      </w:divBdr>
    </w:div>
    <w:div w:id="915239135">
      <w:bodyDiv w:val="1"/>
      <w:marLeft w:val="0"/>
      <w:marRight w:val="0"/>
      <w:marTop w:val="0"/>
      <w:marBottom w:val="0"/>
      <w:divBdr>
        <w:top w:val="none" w:sz="0" w:space="0" w:color="auto"/>
        <w:left w:val="none" w:sz="0" w:space="0" w:color="auto"/>
        <w:bottom w:val="none" w:sz="0" w:space="0" w:color="auto"/>
        <w:right w:val="none" w:sz="0" w:space="0" w:color="auto"/>
      </w:divBdr>
    </w:div>
    <w:div w:id="915242705">
      <w:bodyDiv w:val="1"/>
      <w:marLeft w:val="0"/>
      <w:marRight w:val="0"/>
      <w:marTop w:val="0"/>
      <w:marBottom w:val="0"/>
      <w:divBdr>
        <w:top w:val="none" w:sz="0" w:space="0" w:color="auto"/>
        <w:left w:val="none" w:sz="0" w:space="0" w:color="auto"/>
        <w:bottom w:val="none" w:sz="0" w:space="0" w:color="auto"/>
        <w:right w:val="none" w:sz="0" w:space="0" w:color="auto"/>
      </w:divBdr>
    </w:div>
    <w:div w:id="915288060">
      <w:bodyDiv w:val="1"/>
      <w:marLeft w:val="0"/>
      <w:marRight w:val="0"/>
      <w:marTop w:val="0"/>
      <w:marBottom w:val="0"/>
      <w:divBdr>
        <w:top w:val="none" w:sz="0" w:space="0" w:color="auto"/>
        <w:left w:val="none" w:sz="0" w:space="0" w:color="auto"/>
        <w:bottom w:val="none" w:sz="0" w:space="0" w:color="auto"/>
        <w:right w:val="none" w:sz="0" w:space="0" w:color="auto"/>
      </w:divBdr>
    </w:div>
    <w:div w:id="915478766">
      <w:bodyDiv w:val="1"/>
      <w:marLeft w:val="0"/>
      <w:marRight w:val="0"/>
      <w:marTop w:val="0"/>
      <w:marBottom w:val="0"/>
      <w:divBdr>
        <w:top w:val="none" w:sz="0" w:space="0" w:color="auto"/>
        <w:left w:val="none" w:sz="0" w:space="0" w:color="auto"/>
        <w:bottom w:val="none" w:sz="0" w:space="0" w:color="auto"/>
        <w:right w:val="none" w:sz="0" w:space="0" w:color="auto"/>
      </w:divBdr>
    </w:div>
    <w:div w:id="915555971">
      <w:bodyDiv w:val="1"/>
      <w:marLeft w:val="0"/>
      <w:marRight w:val="0"/>
      <w:marTop w:val="0"/>
      <w:marBottom w:val="0"/>
      <w:divBdr>
        <w:top w:val="none" w:sz="0" w:space="0" w:color="auto"/>
        <w:left w:val="none" w:sz="0" w:space="0" w:color="auto"/>
        <w:bottom w:val="none" w:sz="0" w:space="0" w:color="auto"/>
        <w:right w:val="none" w:sz="0" w:space="0" w:color="auto"/>
      </w:divBdr>
    </w:div>
    <w:div w:id="915669014">
      <w:bodyDiv w:val="1"/>
      <w:marLeft w:val="0"/>
      <w:marRight w:val="0"/>
      <w:marTop w:val="0"/>
      <w:marBottom w:val="0"/>
      <w:divBdr>
        <w:top w:val="none" w:sz="0" w:space="0" w:color="auto"/>
        <w:left w:val="none" w:sz="0" w:space="0" w:color="auto"/>
        <w:bottom w:val="none" w:sz="0" w:space="0" w:color="auto"/>
        <w:right w:val="none" w:sz="0" w:space="0" w:color="auto"/>
      </w:divBdr>
    </w:div>
    <w:div w:id="915671320">
      <w:bodyDiv w:val="1"/>
      <w:marLeft w:val="0"/>
      <w:marRight w:val="0"/>
      <w:marTop w:val="0"/>
      <w:marBottom w:val="0"/>
      <w:divBdr>
        <w:top w:val="none" w:sz="0" w:space="0" w:color="auto"/>
        <w:left w:val="none" w:sz="0" w:space="0" w:color="auto"/>
        <w:bottom w:val="none" w:sz="0" w:space="0" w:color="auto"/>
        <w:right w:val="none" w:sz="0" w:space="0" w:color="auto"/>
      </w:divBdr>
    </w:div>
    <w:div w:id="915674057">
      <w:bodyDiv w:val="1"/>
      <w:marLeft w:val="0"/>
      <w:marRight w:val="0"/>
      <w:marTop w:val="0"/>
      <w:marBottom w:val="0"/>
      <w:divBdr>
        <w:top w:val="none" w:sz="0" w:space="0" w:color="auto"/>
        <w:left w:val="none" w:sz="0" w:space="0" w:color="auto"/>
        <w:bottom w:val="none" w:sz="0" w:space="0" w:color="auto"/>
        <w:right w:val="none" w:sz="0" w:space="0" w:color="auto"/>
      </w:divBdr>
    </w:div>
    <w:div w:id="915674436">
      <w:bodyDiv w:val="1"/>
      <w:marLeft w:val="0"/>
      <w:marRight w:val="0"/>
      <w:marTop w:val="0"/>
      <w:marBottom w:val="0"/>
      <w:divBdr>
        <w:top w:val="none" w:sz="0" w:space="0" w:color="auto"/>
        <w:left w:val="none" w:sz="0" w:space="0" w:color="auto"/>
        <w:bottom w:val="none" w:sz="0" w:space="0" w:color="auto"/>
        <w:right w:val="none" w:sz="0" w:space="0" w:color="auto"/>
      </w:divBdr>
    </w:div>
    <w:div w:id="915742292">
      <w:bodyDiv w:val="1"/>
      <w:marLeft w:val="0"/>
      <w:marRight w:val="0"/>
      <w:marTop w:val="0"/>
      <w:marBottom w:val="0"/>
      <w:divBdr>
        <w:top w:val="none" w:sz="0" w:space="0" w:color="auto"/>
        <w:left w:val="none" w:sz="0" w:space="0" w:color="auto"/>
        <w:bottom w:val="none" w:sz="0" w:space="0" w:color="auto"/>
        <w:right w:val="none" w:sz="0" w:space="0" w:color="auto"/>
      </w:divBdr>
    </w:div>
    <w:div w:id="915743120">
      <w:bodyDiv w:val="1"/>
      <w:marLeft w:val="0"/>
      <w:marRight w:val="0"/>
      <w:marTop w:val="0"/>
      <w:marBottom w:val="0"/>
      <w:divBdr>
        <w:top w:val="none" w:sz="0" w:space="0" w:color="auto"/>
        <w:left w:val="none" w:sz="0" w:space="0" w:color="auto"/>
        <w:bottom w:val="none" w:sz="0" w:space="0" w:color="auto"/>
        <w:right w:val="none" w:sz="0" w:space="0" w:color="auto"/>
      </w:divBdr>
    </w:div>
    <w:div w:id="915746033">
      <w:bodyDiv w:val="1"/>
      <w:marLeft w:val="0"/>
      <w:marRight w:val="0"/>
      <w:marTop w:val="0"/>
      <w:marBottom w:val="0"/>
      <w:divBdr>
        <w:top w:val="none" w:sz="0" w:space="0" w:color="auto"/>
        <w:left w:val="none" w:sz="0" w:space="0" w:color="auto"/>
        <w:bottom w:val="none" w:sz="0" w:space="0" w:color="auto"/>
        <w:right w:val="none" w:sz="0" w:space="0" w:color="auto"/>
      </w:divBdr>
    </w:div>
    <w:div w:id="915746819">
      <w:bodyDiv w:val="1"/>
      <w:marLeft w:val="0"/>
      <w:marRight w:val="0"/>
      <w:marTop w:val="0"/>
      <w:marBottom w:val="0"/>
      <w:divBdr>
        <w:top w:val="none" w:sz="0" w:space="0" w:color="auto"/>
        <w:left w:val="none" w:sz="0" w:space="0" w:color="auto"/>
        <w:bottom w:val="none" w:sz="0" w:space="0" w:color="auto"/>
        <w:right w:val="none" w:sz="0" w:space="0" w:color="auto"/>
      </w:divBdr>
    </w:div>
    <w:div w:id="915937980">
      <w:bodyDiv w:val="1"/>
      <w:marLeft w:val="0"/>
      <w:marRight w:val="0"/>
      <w:marTop w:val="0"/>
      <w:marBottom w:val="0"/>
      <w:divBdr>
        <w:top w:val="none" w:sz="0" w:space="0" w:color="auto"/>
        <w:left w:val="none" w:sz="0" w:space="0" w:color="auto"/>
        <w:bottom w:val="none" w:sz="0" w:space="0" w:color="auto"/>
        <w:right w:val="none" w:sz="0" w:space="0" w:color="auto"/>
      </w:divBdr>
    </w:div>
    <w:div w:id="915943683">
      <w:bodyDiv w:val="1"/>
      <w:marLeft w:val="0"/>
      <w:marRight w:val="0"/>
      <w:marTop w:val="0"/>
      <w:marBottom w:val="0"/>
      <w:divBdr>
        <w:top w:val="none" w:sz="0" w:space="0" w:color="auto"/>
        <w:left w:val="none" w:sz="0" w:space="0" w:color="auto"/>
        <w:bottom w:val="none" w:sz="0" w:space="0" w:color="auto"/>
        <w:right w:val="none" w:sz="0" w:space="0" w:color="auto"/>
      </w:divBdr>
    </w:div>
    <w:div w:id="915944099">
      <w:bodyDiv w:val="1"/>
      <w:marLeft w:val="0"/>
      <w:marRight w:val="0"/>
      <w:marTop w:val="0"/>
      <w:marBottom w:val="0"/>
      <w:divBdr>
        <w:top w:val="none" w:sz="0" w:space="0" w:color="auto"/>
        <w:left w:val="none" w:sz="0" w:space="0" w:color="auto"/>
        <w:bottom w:val="none" w:sz="0" w:space="0" w:color="auto"/>
        <w:right w:val="none" w:sz="0" w:space="0" w:color="auto"/>
      </w:divBdr>
    </w:div>
    <w:div w:id="916132214">
      <w:bodyDiv w:val="1"/>
      <w:marLeft w:val="0"/>
      <w:marRight w:val="0"/>
      <w:marTop w:val="0"/>
      <w:marBottom w:val="0"/>
      <w:divBdr>
        <w:top w:val="none" w:sz="0" w:space="0" w:color="auto"/>
        <w:left w:val="none" w:sz="0" w:space="0" w:color="auto"/>
        <w:bottom w:val="none" w:sz="0" w:space="0" w:color="auto"/>
        <w:right w:val="none" w:sz="0" w:space="0" w:color="auto"/>
      </w:divBdr>
    </w:div>
    <w:div w:id="916212056">
      <w:bodyDiv w:val="1"/>
      <w:marLeft w:val="0"/>
      <w:marRight w:val="0"/>
      <w:marTop w:val="0"/>
      <w:marBottom w:val="0"/>
      <w:divBdr>
        <w:top w:val="none" w:sz="0" w:space="0" w:color="auto"/>
        <w:left w:val="none" w:sz="0" w:space="0" w:color="auto"/>
        <w:bottom w:val="none" w:sz="0" w:space="0" w:color="auto"/>
        <w:right w:val="none" w:sz="0" w:space="0" w:color="auto"/>
      </w:divBdr>
    </w:div>
    <w:div w:id="916286743">
      <w:bodyDiv w:val="1"/>
      <w:marLeft w:val="0"/>
      <w:marRight w:val="0"/>
      <w:marTop w:val="0"/>
      <w:marBottom w:val="0"/>
      <w:divBdr>
        <w:top w:val="none" w:sz="0" w:space="0" w:color="auto"/>
        <w:left w:val="none" w:sz="0" w:space="0" w:color="auto"/>
        <w:bottom w:val="none" w:sz="0" w:space="0" w:color="auto"/>
        <w:right w:val="none" w:sz="0" w:space="0" w:color="auto"/>
      </w:divBdr>
    </w:div>
    <w:div w:id="916357057">
      <w:bodyDiv w:val="1"/>
      <w:marLeft w:val="0"/>
      <w:marRight w:val="0"/>
      <w:marTop w:val="0"/>
      <w:marBottom w:val="0"/>
      <w:divBdr>
        <w:top w:val="none" w:sz="0" w:space="0" w:color="auto"/>
        <w:left w:val="none" w:sz="0" w:space="0" w:color="auto"/>
        <w:bottom w:val="none" w:sz="0" w:space="0" w:color="auto"/>
        <w:right w:val="none" w:sz="0" w:space="0" w:color="auto"/>
      </w:divBdr>
    </w:div>
    <w:div w:id="916398318">
      <w:bodyDiv w:val="1"/>
      <w:marLeft w:val="0"/>
      <w:marRight w:val="0"/>
      <w:marTop w:val="0"/>
      <w:marBottom w:val="0"/>
      <w:divBdr>
        <w:top w:val="none" w:sz="0" w:space="0" w:color="auto"/>
        <w:left w:val="none" w:sz="0" w:space="0" w:color="auto"/>
        <w:bottom w:val="none" w:sz="0" w:space="0" w:color="auto"/>
        <w:right w:val="none" w:sz="0" w:space="0" w:color="auto"/>
      </w:divBdr>
    </w:div>
    <w:div w:id="916405063">
      <w:bodyDiv w:val="1"/>
      <w:marLeft w:val="0"/>
      <w:marRight w:val="0"/>
      <w:marTop w:val="0"/>
      <w:marBottom w:val="0"/>
      <w:divBdr>
        <w:top w:val="none" w:sz="0" w:space="0" w:color="auto"/>
        <w:left w:val="none" w:sz="0" w:space="0" w:color="auto"/>
        <w:bottom w:val="none" w:sz="0" w:space="0" w:color="auto"/>
        <w:right w:val="none" w:sz="0" w:space="0" w:color="auto"/>
      </w:divBdr>
    </w:div>
    <w:div w:id="916668142">
      <w:bodyDiv w:val="1"/>
      <w:marLeft w:val="0"/>
      <w:marRight w:val="0"/>
      <w:marTop w:val="0"/>
      <w:marBottom w:val="0"/>
      <w:divBdr>
        <w:top w:val="none" w:sz="0" w:space="0" w:color="auto"/>
        <w:left w:val="none" w:sz="0" w:space="0" w:color="auto"/>
        <w:bottom w:val="none" w:sz="0" w:space="0" w:color="auto"/>
        <w:right w:val="none" w:sz="0" w:space="0" w:color="auto"/>
      </w:divBdr>
    </w:div>
    <w:div w:id="916671066">
      <w:bodyDiv w:val="1"/>
      <w:marLeft w:val="0"/>
      <w:marRight w:val="0"/>
      <w:marTop w:val="0"/>
      <w:marBottom w:val="0"/>
      <w:divBdr>
        <w:top w:val="none" w:sz="0" w:space="0" w:color="auto"/>
        <w:left w:val="none" w:sz="0" w:space="0" w:color="auto"/>
        <w:bottom w:val="none" w:sz="0" w:space="0" w:color="auto"/>
        <w:right w:val="none" w:sz="0" w:space="0" w:color="auto"/>
      </w:divBdr>
    </w:div>
    <w:div w:id="916748972">
      <w:bodyDiv w:val="1"/>
      <w:marLeft w:val="0"/>
      <w:marRight w:val="0"/>
      <w:marTop w:val="0"/>
      <w:marBottom w:val="0"/>
      <w:divBdr>
        <w:top w:val="none" w:sz="0" w:space="0" w:color="auto"/>
        <w:left w:val="none" w:sz="0" w:space="0" w:color="auto"/>
        <w:bottom w:val="none" w:sz="0" w:space="0" w:color="auto"/>
        <w:right w:val="none" w:sz="0" w:space="0" w:color="auto"/>
      </w:divBdr>
    </w:div>
    <w:div w:id="916789801">
      <w:bodyDiv w:val="1"/>
      <w:marLeft w:val="0"/>
      <w:marRight w:val="0"/>
      <w:marTop w:val="0"/>
      <w:marBottom w:val="0"/>
      <w:divBdr>
        <w:top w:val="none" w:sz="0" w:space="0" w:color="auto"/>
        <w:left w:val="none" w:sz="0" w:space="0" w:color="auto"/>
        <w:bottom w:val="none" w:sz="0" w:space="0" w:color="auto"/>
        <w:right w:val="none" w:sz="0" w:space="0" w:color="auto"/>
      </w:divBdr>
    </w:div>
    <w:div w:id="916938594">
      <w:bodyDiv w:val="1"/>
      <w:marLeft w:val="0"/>
      <w:marRight w:val="0"/>
      <w:marTop w:val="0"/>
      <w:marBottom w:val="0"/>
      <w:divBdr>
        <w:top w:val="none" w:sz="0" w:space="0" w:color="auto"/>
        <w:left w:val="none" w:sz="0" w:space="0" w:color="auto"/>
        <w:bottom w:val="none" w:sz="0" w:space="0" w:color="auto"/>
        <w:right w:val="none" w:sz="0" w:space="0" w:color="auto"/>
      </w:divBdr>
    </w:div>
    <w:div w:id="917059041">
      <w:bodyDiv w:val="1"/>
      <w:marLeft w:val="0"/>
      <w:marRight w:val="0"/>
      <w:marTop w:val="0"/>
      <w:marBottom w:val="0"/>
      <w:divBdr>
        <w:top w:val="none" w:sz="0" w:space="0" w:color="auto"/>
        <w:left w:val="none" w:sz="0" w:space="0" w:color="auto"/>
        <w:bottom w:val="none" w:sz="0" w:space="0" w:color="auto"/>
        <w:right w:val="none" w:sz="0" w:space="0" w:color="auto"/>
      </w:divBdr>
    </w:div>
    <w:div w:id="917179471">
      <w:bodyDiv w:val="1"/>
      <w:marLeft w:val="0"/>
      <w:marRight w:val="0"/>
      <w:marTop w:val="0"/>
      <w:marBottom w:val="0"/>
      <w:divBdr>
        <w:top w:val="none" w:sz="0" w:space="0" w:color="auto"/>
        <w:left w:val="none" w:sz="0" w:space="0" w:color="auto"/>
        <w:bottom w:val="none" w:sz="0" w:space="0" w:color="auto"/>
        <w:right w:val="none" w:sz="0" w:space="0" w:color="auto"/>
      </w:divBdr>
    </w:div>
    <w:div w:id="917205919">
      <w:bodyDiv w:val="1"/>
      <w:marLeft w:val="0"/>
      <w:marRight w:val="0"/>
      <w:marTop w:val="0"/>
      <w:marBottom w:val="0"/>
      <w:divBdr>
        <w:top w:val="none" w:sz="0" w:space="0" w:color="auto"/>
        <w:left w:val="none" w:sz="0" w:space="0" w:color="auto"/>
        <w:bottom w:val="none" w:sz="0" w:space="0" w:color="auto"/>
        <w:right w:val="none" w:sz="0" w:space="0" w:color="auto"/>
      </w:divBdr>
    </w:div>
    <w:div w:id="917251578">
      <w:bodyDiv w:val="1"/>
      <w:marLeft w:val="0"/>
      <w:marRight w:val="0"/>
      <w:marTop w:val="0"/>
      <w:marBottom w:val="0"/>
      <w:divBdr>
        <w:top w:val="none" w:sz="0" w:space="0" w:color="auto"/>
        <w:left w:val="none" w:sz="0" w:space="0" w:color="auto"/>
        <w:bottom w:val="none" w:sz="0" w:space="0" w:color="auto"/>
        <w:right w:val="none" w:sz="0" w:space="0" w:color="auto"/>
      </w:divBdr>
    </w:div>
    <w:div w:id="917255699">
      <w:bodyDiv w:val="1"/>
      <w:marLeft w:val="0"/>
      <w:marRight w:val="0"/>
      <w:marTop w:val="0"/>
      <w:marBottom w:val="0"/>
      <w:divBdr>
        <w:top w:val="none" w:sz="0" w:space="0" w:color="auto"/>
        <w:left w:val="none" w:sz="0" w:space="0" w:color="auto"/>
        <w:bottom w:val="none" w:sz="0" w:space="0" w:color="auto"/>
        <w:right w:val="none" w:sz="0" w:space="0" w:color="auto"/>
      </w:divBdr>
    </w:div>
    <w:div w:id="917321576">
      <w:bodyDiv w:val="1"/>
      <w:marLeft w:val="0"/>
      <w:marRight w:val="0"/>
      <w:marTop w:val="0"/>
      <w:marBottom w:val="0"/>
      <w:divBdr>
        <w:top w:val="none" w:sz="0" w:space="0" w:color="auto"/>
        <w:left w:val="none" w:sz="0" w:space="0" w:color="auto"/>
        <w:bottom w:val="none" w:sz="0" w:space="0" w:color="auto"/>
        <w:right w:val="none" w:sz="0" w:space="0" w:color="auto"/>
      </w:divBdr>
    </w:div>
    <w:div w:id="917322007">
      <w:bodyDiv w:val="1"/>
      <w:marLeft w:val="0"/>
      <w:marRight w:val="0"/>
      <w:marTop w:val="0"/>
      <w:marBottom w:val="0"/>
      <w:divBdr>
        <w:top w:val="none" w:sz="0" w:space="0" w:color="auto"/>
        <w:left w:val="none" w:sz="0" w:space="0" w:color="auto"/>
        <w:bottom w:val="none" w:sz="0" w:space="0" w:color="auto"/>
        <w:right w:val="none" w:sz="0" w:space="0" w:color="auto"/>
      </w:divBdr>
    </w:div>
    <w:div w:id="917328784">
      <w:bodyDiv w:val="1"/>
      <w:marLeft w:val="0"/>
      <w:marRight w:val="0"/>
      <w:marTop w:val="0"/>
      <w:marBottom w:val="0"/>
      <w:divBdr>
        <w:top w:val="none" w:sz="0" w:space="0" w:color="auto"/>
        <w:left w:val="none" w:sz="0" w:space="0" w:color="auto"/>
        <w:bottom w:val="none" w:sz="0" w:space="0" w:color="auto"/>
        <w:right w:val="none" w:sz="0" w:space="0" w:color="auto"/>
      </w:divBdr>
    </w:div>
    <w:div w:id="917515094">
      <w:bodyDiv w:val="1"/>
      <w:marLeft w:val="0"/>
      <w:marRight w:val="0"/>
      <w:marTop w:val="0"/>
      <w:marBottom w:val="0"/>
      <w:divBdr>
        <w:top w:val="none" w:sz="0" w:space="0" w:color="auto"/>
        <w:left w:val="none" w:sz="0" w:space="0" w:color="auto"/>
        <w:bottom w:val="none" w:sz="0" w:space="0" w:color="auto"/>
        <w:right w:val="none" w:sz="0" w:space="0" w:color="auto"/>
      </w:divBdr>
    </w:div>
    <w:div w:id="917598579">
      <w:bodyDiv w:val="1"/>
      <w:marLeft w:val="0"/>
      <w:marRight w:val="0"/>
      <w:marTop w:val="0"/>
      <w:marBottom w:val="0"/>
      <w:divBdr>
        <w:top w:val="none" w:sz="0" w:space="0" w:color="auto"/>
        <w:left w:val="none" w:sz="0" w:space="0" w:color="auto"/>
        <w:bottom w:val="none" w:sz="0" w:space="0" w:color="auto"/>
        <w:right w:val="none" w:sz="0" w:space="0" w:color="auto"/>
      </w:divBdr>
    </w:div>
    <w:div w:id="917708193">
      <w:bodyDiv w:val="1"/>
      <w:marLeft w:val="0"/>
      <w:marRight w:val="0"/>
      <w:marTop w:val="0"/>
      <w:marBottom w:val="0"/>
      <w:divBdr>
        <w:top w:val="none" w:sz="0" w:space="0" w:color="auto"/>
        <w:left w:val="none" w:sz="0" w:space="0" w:color="auto"/>
        <w:bottom w:val="none" w:sz="0" w:space="0" w:color="auto"/>
        <w:right w:val="none" w:sz="0" w:space="0" w:color="auto"/>
      </w:divBdr>
    </w:div>
    <w:div w:id="917861716">
      <w:bodyDiv w:val="1"/>
      <w:marLeft w:val="0"/>
      <w:marRight w:val="0"/>
      <w:marTop w:val="0"/>
      <w:marBottom w:val="0"/>
      <w:divBdr>
        <w:top w:val="none" w:sz="0" w:space="0" w:color="auto"/>
        <w:left w:val="none" w:sz="0" w:space="0" w:color="auto"/>
        <w:bottom w:val="none" w:sz="0" w:space="0" w:color="auto"/>
        <w:right w:val="none" w:sz="0" w:space="0" w:color="auto"/>
      </w:divBdr>
    </w:div>
    <w:div w:id="917864004">
      <w:bodyDiv w:val="1"/>
      <w:marLeft w:val="0"/>
      <w:marRight w:val="0"/>
      <w:marTop w:val="0"/>
      <w:marBottom w:val="0"/>
      <w:divBdr>
        <w:top w:val="none" w:sz="0" w:space="0" w:color="auto"/>
        <w:left w:val="none" w:sz="0" w:space="0" w:color="auto"/>
        <w:bottom w:val="none" w:sz="0" w:space="0" w:color="auto"/>
        <w:right w:val="none" w:sz="0" w:space="0" w:color="auto"/>
      </w:divBdr>
    </w:div>
    <w:div w:id="917905455">
      <w:bodyDiv w:val="1"/>
      <w:marLeft w:val="0"/>
      <w:marRight w:val="0"/>
      <w:marTop w:val="0"/>
      <w:marBottom w:val="0"/>
      <w:divBdr>
        <w:top w:val="none" w:sz="0" w:space="0" w:color="auto"/>
        <w:left w:val="none" w:sz="0" w:space="0" w:color="auto"/>
        <w:bottom w:val="none" w:sz="0" w:space="0" w:color="auto"/>
        <w:right w:val="none" w:sz="0" w:space="0" w:color="auto"/>
      </w:divBdr>
    </w:div>
    <w:div w:id="917908604">
      <w:bodyDiv w:val="1"/>
      <w:marLeft w:val="0"/>
      <w:marRight w:val="0"/>
      <w:marTop w:val="0"/>
      <w:marBottom w:val="0"/>
      <w:divBdr>
        <w:top w:val="none" w:sz="0" w:space="0" w:color="auto"/>
        <w:left w:val="none" w:sz="0" w:space="0" w:color="auto"/>
        <w:bottom w:val="none" w:sz="0" w:space="0" w:color="auto"/>
        <w:right w:val="none" w:sz="0" w:space="0" w:color="auto"/>
      </w:divBdr>
    </w:div>
    <w:div w:id="918058122">
      <w:bodyDiv w:val="1"/>
      <w:marLeft w:val="0"/>
      <w:marRight w:val="0"/>
      <w:marTop w:val="0"/>
      <w:marBottom w:val="0"/>
      <w:divBdr>
        <w:top w:val="none" w:sz="0" w:space="0" w:color="auto"/>
        <w:left w:val="none" w:sz="0" w:space="0" w:color="auto"/>
        <w:bottom w:val="none" w:sz="0" w:space="0" w:color="auto"/>
        <w:right w:val="none" w:sz="0" w:space="0" w:color="auto"/>
      </w:divBdr>
    </w:div>
    <w:div w:id="918171329">
      <w:bodyDiv w:val="1"/>
      <w:marLeft w:val="0"/>
      <w:marRight w:val="0"/>
      <w:marTop w:val="0"/>
      <w:marBottom w:val="0"/>
      <w:divBdr>
        <w:top w:val="none" w:sz="0" w:space="0" w:color="auto"/>
        <w:left w:val="none" w:sz="0" w:space="0" w:color="auto"/>
        <w:bottom w:val="none" w:sz="0" w:space="0" w:color="auto"/>
        <w:right w:val="none" w:sz="0" w:space="0" w:color="auto"/>
      </w:divBdr>
    </w:div>
    <w:div w:id="918250724">
      <w:bodyDiv w:val="1"/>
      <w:marLeft w:val="0"/>
      <w:marRight w:val="0"/>
      <w:marTop w:val="0"/>
      <w:marBottom w:val="0"/>
      <w:divBdr>
        <w:top w:val="none" w:sz="0" w:space="0" w:color="auto"/>
        <w:left w:val="none" w:sz="0" w:space="0" w:color="auto"/>
        <w:bottom w:val="none" w:sz="0" w:space="0" w:color="auto"/>
        <w:right w:val="none" w:sz="0" w:space="0" w:color="auto"/>
      </w:divBdr>
    </w:div>
    <w:div w:id="918251004">
      <w:bodyDiv w:val="1"/>
      <w:marLeft w:val="0"/>
      <w:marRight w:val="0"/>
      <w:marTop w:val="0"/>
      <w:marBottom w:val="0"/>
      <w:divBdr>
        <w:top w:val="none" w:sz="0" w:space="0" w:color="auto"/>
        <w:left w:val="none" w:sz="0" w:space="0" w:color="auto"/>
        <w:bottom w:val="none" w:sz="0" w:space="0" w:color="auto"/>
        <w:right w:val="none" w:sz="0" w:space="0" w:color="auto"/>
      </w:divBdr>
    </w:div>
    <w:div w:id="918372046">
      <w:bodyDiv w:val="1"/>
      <w:marLeft w:val="0"/>
      <w:marRight w:val="0"/>
      <w:marTop w:val="0"/>
      <w:marBottom w:val="0"/>
      <w:divBdr>
        <w:top w:val="none" w:sz="0" w:space="0" w:color="auto"/>
        <w:left w:val="none" w:sz="0" w:space="0" w:color="auto"/>
        <w:bottom w:val="none" w:sz="0" w:space="0" w:color="auto"/>
        <w:right w:val="none" w:sz="0" w:space="0" w:color="auto"/>
      </w:divBdr>
    </w:div>
    <w:div w:id="918372461">
      <w:bodyDiv w:val="1"/>
      <w:marLeft w:val="0"/>
      <w:marRight w:val="0"/>
      <w:marTop w:val="0"/>
      <w:marBottom w:val="0"/>
      <w:divBdr>
        <w:top w:val="none" w:sz="0" w:space="0" w:color="auto"/>
        <w:left w:val="none" w:sz="0" w:space="0" w:color="auto"/>
        <w:bottom w:val="none" w:sz="0" w:space="0" w:color="auto"/>
        <w:right w:val="none" w:sz="0" w:space="0" w:color="auto"/>
      </w:divBdr>
    </w:div>
    <w:div w:id="918558013">
      <w:bodyDiv w:val="1"/>
      <w:marLeft w:val="0"/>
      <w:marRight w:val="0"/>
      <w:marTop w:val="0"/>
      <w:marBottom w:val="0"/>
      <w:divBdr>
        <w:top w:val="none" w:sz="0" w:space="0" w:color="auto"/>
        <w:left w:val="none" w:sz="0" w:space="0" w:color="auto"/>
        <w:bottom w:val="none" w:sz="0" w:space="0" w:color="auto"/>
        <w:right w:val="none" w:sz="0" w:space="0" w:color="auto"/>
      </w:divBdr>
    </w:div>
    <w:div w:id="918562072">
      <w:bodyDiv w:val="1"/>
      <w:marLeft w:val="0"/>
      <w:marRight w:val="0"/>
      <w:marTop w:val="0"/>
      <w:marBottom w:val="0"/>
      <w:divBdr>
        <w:top w:val="none" w:sz="0" w:space="0" w:color="auto"/>
        <w:left w:val="none" w:sz="0" w:space="0" w:color="auto"/>
        <w:bottom w:val="none" w:sz="0" w:space="0" w:color="auto"/>
        <w:right w:val="none" w:sz="0" w:space="0" w:color="auto"/>
      </w:divBdr>
    </w:div>
    <w:div w:id="918710117">
      <w:bodyDiv w:val="1"/>
      <w:marLeft w:val="0"/>
      <w:marRight w:val="0"/>
      <w:marTop w:val="0"/>
      <w:marBottom w:val="0"/>
      <w:divBdr>
        <w:top w:val="none" w:sz="0" w:space="0" w:color="auto"/>
        <w:left w:val="none" w:sz="0" w:space="0" w:color="auto"/>
        <w:bottom w:val="none" w:sz="0" w:space="0" w:color="auto"/>
        <w:right w:val="none" w:sz="0" w:space="0" w:color="auto"/>
      </w:divBdr>
    </w:div>
    <w:div w:id="918905242">
      <w:bodyDiv w:val="1"/>
      <w:marLeft w:val="0"/>
      <w:marRight w:val="0"/>
      <w:marTop w:val="0"/>
      <w:marBottom w:val="0"/>
      <w:divBdr>
        <w:top w:val="none" w:sz="0" w:space="0" w:color="auto"/>
        <w:left w:val="none" w:sz="0" w:space="0" w:color="auto"/>
        <w:bottom w:val="none" w:sz="0" w:space="0" w:color="auto"/>
        <w:right w:val="none" w:sz="0" w:space="0" w:color="auto"/>
      </w:divBdr>
    </w:div>
    <w:div w:id="919022197">
      <w:bodyDiv w:val="1"/>
      <w:marLeft w:val="0"/>
      <w:marRight w:val="0"/>
      <w:marTop w:val="0"/>
      <w:marBottom w:val="0"/>
      <w:divBdr>
        <w:top w:val="none" w:sz="0" w:space="0" w:color="auto"/>
        <w:left w:val="none" w:sz="0" w:space="0" w:color="auto"/>
        <w:bottom w:val="none" w:sz="0" w:space="0" w:color="auto"/>
        <w:right w:val="none" w:sz="0" w:space="0" w:color="auto"/>
      </w:divBdr>
    </w:div>
    <w:div w:id="919027906">
      <w:bodyDiv w:val="1"/>
      <w:marLeft w:val="0"/>
      <w:marRight w:val="0"/>
      <w:marTop w:val="0"/>
      <w:marBottom w:val="0"/>
      <w:divBdr>
        <w:top w:val="none" w:sz="0" w:space="0" w:color="auto"/>
        <w:left w:val="none" w:sz="0" w:space="0" w:color="auto"/>
        <w:bottom w:val="none" w:sz="0" w:space="0" w:color="auto"/>
        <w:right w:val="none" w:sz="0" w:space="0" w:color="auto"/>
      </w:divBdr>
    </w:div>
    <w:div w:id="919221055">
      <w:bodyDiv w:val="1"/>
      <w:marLeft w:val="0"/>
      <w:marRight w:val="0"/>
      <w:marTop w:val="0"/>
      <w:marBottom w:val="0"/>
      <w:divBdr>
        <w:top w:val="none" w:sz="0" w:space="0" w:color="auto"/>
        <w:left w:val="none" w:sz="0" w:space="0" w:color="auto"/>
        <w:bottom w:val="none" w:sz="0" w:space="0" w:color="auto"/>
        <w:right w:val="none" w:sz="0" w:space="0" w:color="auto"/>
      </w:divBdr>
    </w:div>
    <w:div w:id="919293927">
      <w:bodyDiv w:val="1"/>
      <w:marLeft w:val="0"/>
      <w:marRight w:val="0"/>
      <w:marTop w:val="0"/>
      <w:marBottom w:val="0"/>
      <w:divBdr>
        <w:top w:val="none" w:sz="0" w:space="0" w:color="auto"/>
        <w:left w:val="none" w:sz="0" w:space="0" w:color="auto"/>
        <w:bottom w:val="none" w:sz="0" w:space="0" w:color="auto"/>
        <w:right w:val="none" w:sz="0" w:space="0" w:color="auto"/>
      </w:divBdr>
    </w:div>
    <w:div w:id="919295155">
      <w:bodyDiv w:val="1"/>
      <w:marLeft w:val="0"/>
      <w:marRight w:val="0"/>
      <w:marTop w:val="0"/>
      <w:marBottom w:val="0"/>
      <w:divBdr>
        <w:top w:val="none" w:sz="0" w:space="0" w:color="auto"/>
        <w:left w:val="none" w:sz="0" w:space="0" w:color="auto"/>
        <w:bottom w:val="none" w:sz="0" w:space="0" w:color="auto"/>
        <w:right w:val="none" w:sz="0" w:space="0" w:color="auto"/>
      </w:divBdr>
    </w:div>
    <w:div w:id="919367706">
      <w:bodyDiv w:val="1"/>
      <w:marLeft w:val="0"/>
      <w:marRight w:val="0"/>
      <w:marTop w:val="0"/>
      <w:marBottom w:val="0"/>
      <w:divBdr>
        <w:top w:val="none" w:sz="0" w:space="0" w:color="auto"/>
        <w:left w:val="none" w:sz="0" w:space="0" w:color="auto"/>
        <w:bottom w:val="none" w:sz="0" w:space="0" w:color="auto"/>
        <w:right w:val="none" w:sz="0" w:space="0" w:color="auto"/>
      </w:divBdr>
    </w:div>
    <w:div w:id="919414509">
      <w:bodyDiv w:val="1"/>
      <w:marLeft w:val="0"/>
      <w:marRight w:val="0"/>
      <w:marTop w:val="0"/>
      <w:marBottom w:val="0"/>
      <w:divBdr>
        <w:top w:val="none" w:sz="0" w:space="0" w:color="auto"/>
        <w:left w:val="none" w:sz="0" w:space="0" w:color="auto"/>
        <w:bottom w:val="none" w:sz="0" w:space="0" w:color="auto"/>
        <w:right w:val="none" w:sz="0" w:space="0" w:color="auto"/>
      </w:divBdr>
    </w:div>
    <w:div w:id="919559207">
      <w:bodyDiv w:val="1"/>
      <w:marLeft w:val="0"/>
      <w:marRight w:val="0"/>
      <w:marTop w:val="0"/>
      <w:marBottom w:val="0"/>
      <w:divBdr>
        <w:top w:val="none" w:sz="0" w:space="0" w:color="auto"/>
        <w:left w:val="none" w:sz="0" w:space="0" w:color="auto"/>
        <w:bottom w:val="none" w:sz="0" w:space="0" w:color="auto"/>
        <w:right w:val="none" w:sz="0" w:space="0" w:color="auto"/>
      </w:divBdr>
    </w:div>
    <w:div w:id="919561935">
      <w:bodyDiv w:val="1"/>
      <w:marLeft w:val="0"/>
      <w:marRight w:val="0"/>
      <w:marTop w:val="0"/>
      <w:marBottom w:val="0"/>
      <w:divBdr>
        <w:top w:val="none" w:sz="0" w:space="0" w:color="auto"/>
        <w:left w:val="none" w:sz="0" w:space="0" w:color="auto"/>
        <w:bottom w:val="none" w:sz="0" w:space="0" w:color="auto"/>
        <w:right w:val="none" w:sz="0" w:space="0" w:color="auto"/>
      </w:divBdr>
    </w:div>
    <w:div w:id="919606900">
      <w:bodyDiv w:val="1"/>
      <w:marLeft w:val="0"/>
      <w:marRight w:val="0"/>
      <w:marTop w:val="0"/>
      <w:marBottom w:val="0"/>
      <w:divBdr>
        <w:top w:val="none" w:sz="0" w:space="0" w:color="auto"/>
        <w:left w:val="none" w:sz="0" w:space="0" w:color="auto"/>
        <w:bottom w:val="none" w:sz="0" w:space="0" w:color="auto"/>
        <w:right w:val="none" w:sz="0" w:space="0" w:color="auto"/>
      </w:divBdr>
    </w:div>
    <w:div w:id="919674152">
      <w:bodyDiv w:val="1"/>
      <w:marLeft w:val="0"/>
      <w:marRight w:val="0"/>
      <w:marTop w:val="0"/>
      <w:marBottom w:val="0"/>
      <w:divBdr>
        <w:top w:val="none" w:sz="0" w:space="0" w:color="auto"/>
        <w:left w:val="none" w:sz="0" w:space="0" w:color="auto"/>
        <w:bottom w:val="none" w:sz="0" w:space="0" w:color="auto"/>
        <w:right w:val="none" w:sz="0" w:space="0" w:color="auto"/>
      </w:divBdr>
    </w:div>
    <w:div w:id="919682187">
      <w:bodyDiv w:val="1"/>
      <w:marLeft w:val="0"/>
      <w:marRight w:val="0"/>
      <w:marTop w:val="0"/>
      <w:marBottom w:val="0"/>
      <w:divBdr>
        <w:top w:val="none" w:sz="0" w:space="0" w:color="auto"/>
        <w:left w:val="none" w:sz="0" w:space="0" w:color="auto"/>
        <w:bottom w:val="none" w:sz="0" w:space="0" w:color="auto"/>
        <w:right w:val="none" w:sz="0" w:space="0" w:color="auto"/>
      </w:divBdr>
    </w:div>
    <w:div w:id="919758204">
      <w:bodyDiv w:val="1"/>
      <w:marLeft w:val="0"/>
      <w:marRight w:val="0"/>
      <w:marTop w:val="0"/>
      <w:marBottom w:val="0"/>
      <w:divBdr>
        <w:top w:val="none" w:sz="0" w:space="0" w:color="auto"/>
        <w:left w:val="none" w:sz="0" w:space="0" w:color="auto"/>
        <w:bottom w:val="none" w:sz="0" w:space="0" w:color="auto"/>
        <w:right w:val="none" w:sz="0" w:space="0" w:color="auto"/>
      </w:divBdr>
    </w:div>
    <w:div w:id="919798524">
      <w:bodyDiv w:val="1"/>
      <w:marLeft w:val="0"/>
      <w:marRight w:val="0"/>
      <w:marTop w:val="0"/>
      <w:marBottom w:val="0"/>
      <w:divBdr>
        <w:top w:val="none" w:sz="0" w:space="0" w:color="auto"/>
        <w:left w:val="none" w:sz="0" w:space="0" w:color="auto"/>
        <w:bottom w:val="none" w:sz="0" w:space="0" w:color="auto"/>
        <w:right w:val="none" w:sz="0" w:space="0" w:color="auto"/>
      </w:divBdr>
    </w:div>
    <w:div w:id="919867883">
      <w:bodyDiv w:val="1"/>
      <w:marLeft w:val="0"/>
      <w:marRight w:val="0"/>
      <w:marTop w:val="0"/>
      <w:marBottom w:val="0"/>
      <w:divBdr>
        <w:top w:val="none" w:sz="0" w:space="0" w:color="auto"/>
        <w:left w:val="none" w:sz="0" w:space="0" w:color="auto"/>
        <w:bottom w:val="none" w:sz="0" w:space="0" w:color="auto"/>
        <w:right w:val="none" w:sz="0" w:space="0" w:color="auto"/>
      </w:divBdr>
    </w:div>
    <w:div w:id="919868771">
      <w:bodyDiv w:val="1"/>
      <w:marLeft w:val="0"/>
      <w:marRight w:val="0"/>
      <w:marTop w:val="0"/>
      <w:marBottom w:val="0"/>
      <w:divBdr>
        <w:top w:val="none" w:sz="0" w:space="0" w:color="auto"/>
        <w:left w:val="none" w:sz="0" w:space="0" w:color="auto"/>
        <w:bottom w:val="none" w:sz="0" w:space="0" w:color="auto"/>
        <w:right w:val="none" w:sz="0" w:space="0" w:color="auto"/>
      </w:divBdr>
    </w:div>
    <w:div w:id="920257214">
      <w:bodyDiv w:val="1"/>
      <w:marLeft w:val="0"/>
      <w:marRight w:val="0"/>
      <w:marTop w:val="0"/>
      <w:marBottom w:val="0"/>
      <w:divBdr>
        <w:top w:val="none" w:sz="0" w:space="0" w:color="auto"/>
        <w:left w:val="none" w:sz="0" w:space="0" w:color="auto"/>
        <w:bottom w:val="none" w:sz="0" w:space="0" w:color="auto"/>
        <w:right w:val="none" w:sz="0" w:space="0" w:color="auto"/>
      </w:divBdr>
    </w:div>
    <w:div w:id="920262738">
      <w:bodyDiv w:val="1"/>
      <w:marLeft w:val="0"/>
      <w:marRight w:val="0"/>
      <w:marTop w:val="0"/>
      <w:marBottom w:val="0"/>
      <w:divBdr>
        <w:top w:val="none" w:sz="0" w:space="0" w:color="auto"/>
        <w:left w:val="none" w:sz="0" w:space="0" w:color="auto"/>
        <w:bottom w:val="none" w:sz="0" w:space="0" w:color="auto"/>
        <w:right w:val="none" w:sz="0" w:space="0" w:color="auto"/>
      </w:divBdr>
    </w:div>
    <w:div w:id="920289273">
      <w:bodyDiv w:val="1"/>
      <w:marLeft w:val="0"/>
      <w:marRight w:val="0"/>
      <w:marTop w:val="0"/>
      <w:marBottom w:val="0"/>
      <w:divBdr>
        <w:top w:val="none" w:sz="0" w:space="0" w:color="auto"/>
        <w:left w:val="none" w:sz="0" w:space="0" w:color="auto"/>
        <w:bottom w:val="none" w:sz="0" w:space="0" w:color="auto"/>
        <w:right w:val="none" w:sz="0" w:space="0" w:color="auto"/>
      </w:divBdr>
    </w:div>
    <w:div w:id="920674125">
      <w:bodyDiv w:val="1"/>
      <w:marLeft w:val="0"/>
      <w:marRight w:val="0"/>
      <w:marTop w:val="0"/>
      <w:marBottom w:val="0"/>
      <w:divBdr>
        <w:top w:val="none" w:sz="0" w:space="0" w:color="auto"/>
        <w:left w:val="none" w:sz="0" w:space="0" w:color="auto"/>
        <w:bottom w:val="none" w:sz="0" w:space="0" w:color="auto"/>
        <w:right w:val="none" w:sz="0" w:space="0" w:color="auto"/>
      </w:divBdr>
    </w:div>
    <w:div w:id="920679178">
      <w:bodyDiv w:val="1"/>
      <w:marLeft w:val="0"/>
      <w:marRight w:val="0"/>
      <w:marTop w:val="0"/>
      <w:marBottom w:val="0"/>
      <w:divBdr>
        <w:top w:val="none" w:sz="0" w:space="0" w:color="auto"/>
        <w:left w:val="none" w:sz="0" w:space="0" w:color="auto"/>
        <w:bottom w:val="none" w:sz="0" w:space="0" w:color="auto"/>
        <w:right w:val="none" w:sz="0" w:space="0" w:color="auto"/>
      </w:divBdr>
    </w:div>
    <w:div w:id="920716196">
      <w:bodyDiv w:val="1"/>
      <w:marLeft w:val="0"/>
      <w:marRight w:val="0"/>
      <w:marTop w:val="0"/>
      <w:marBottom w:val="0"/>
      <w:divBdr>
        <w:top w:val="none" w:sz="0" w:space="0" w:color="auto"/>
        <w:left w:val="none" w:sz="0" w:space="0" w:color="auto"/>
        <w:bottom w:val="none" w:sz="0" w:space="0" w:color="auto"/>
        <w:right w:val="none" w:sz="0" w:space="0" w:color="auto"/>
      </w:divBdr>
    </w:div>
    <w:div w:id="920869024">
      <w:bodyDiv w:val="1"/>
      <w:marLeft w:val="0"/>
      <w:marRight w:val="0"/>
      <w:marTop w:val="0"/>
      <w:marBottom w:val="0"/>
      <w:divBdr>
        <w:top w:val="none" w:sz="0" w:space="0" w:color="auto"/>
        <w:left w:val="none" w:sz="0" w:space="0" w:color="auto"/>
        <w:bottom w:val="none" w:sz="0" w:space="0" w:color="auto"/>
        <w:right w:val="none" w:sz="0" w:space="0" w:color="auto"/>
      </w:divBdr>
    </w:div>
    <w:div w:id="920873365">
      <w:bodyDiv w:val="1"/>
      <w:marLeft w:val="0"/>
      <w:marRight w:val="0"/>
      <w:marTop w:val="0"/>
      <w:marBottom w:val="0"/>
      <w:divBdr>
        <w:top w:val="none" w:sz="0" w:space="0" w:color="auto"/>
        <w:left w:val="none" w:sz="0" w:space="0" w:color="auto"/>
        <w:bottom w:val="none" w:sz="0" w:space="0" w:color="auto"/>
        <w:right w:val="none" w:sz="0" w:space="0" w:color="auto"/>
      </w:divBdr>
    </w:div>
    <w:div w:id="920915327">
      <w:bodyDiv w:val="1"/>
      <w:marLeft w:val="0"/>
      <w:marRight w:val="0"/>
      <w:marTop w:val="0"/>
      <w:marBottom w:val="0"/>
      <w:divBdr>
        <w:top w:val="none" w:sz="0" w:space="0" w:color="auto"/>
        <w:left w:val="none" w:sz="0" w:space="0" w:color="auto"/>
        <w:bottom w:val="none" w:sz="0" w:space="0" w:color="auto"/>
        <w:right w:val="none" w:sz="0" w:space="0" w:color="auto"/>
      </w:divBdr>
    </w:div>
    <w:div w:id="920916212">
      <w:bodyDiv w:val="1"/>
      <w:marLeft w:val="0"/>
      <w:marRight w:val="0"/>
      <w:marTop w:val="0"/>
      <w:marBottom w:val="0"/>
      <w:divBdr>
        <w:top w:val="none" w:sz="0" w:space="0" w:color="auto"/>
        <w:left w:val="none" w:sz="0" w:space="0" w:color="auto"/>
        <w:bottom w:val="none" w:sz="0" w:space="0" w:color="auto"/>
        <w:right w:val="none" w:sz="0" w:space="0" w:color="auto"/>
      </w:divBdr>
    </w:div>
    <w:div w:id="921136690">
      <w:bodyDiv w:val="1"/>
      <w:marLeft w:val="0"/>
      <w:marRight w:val="0"/>
      <w:marTop w:val="0"/>
      <w:marBottom w:val="0"/>
      <w:divBdr>
        <w:top w:val="none" w:sz="0" w:space="0" w:color="auto"/>
        <w:left w:val="none" w:sz="0" w:space="0" w:color="auto"/>
        <w:bottom w:val="none" w:sz="0" w:space="0" w:color="auto"/>
        <w:right w:val="none" w:sz="0" w:space="0" w:color="auto"/>
      </w:divBdr>
    </w:div>
    <w:div w:id="921179055">
      <w:bodyDiv w:val="1"/>
      <w:marLeft w:val="0"/>
      <w:marRight w:val="0"/>
      <w:marTop w:val="0"/>
      <w:marBottom w:val="0"/>
      <w:divBdr>
        <w:top w:val="none" w:sz="0" w:space="0" w:color="auto"/>
        <w:left w:val="none" w:sz="0" w:space="0" w:color="auto"/>
        <w:bottom w:val="none" w:sz="0" w:space="0" w:color="auto"/>
        <w:right w:val="none" w:sz="0" w:space="0" w:color="auto"/>
      </w:divBdr>
    </w:div>
    <w:div w:id="921184170">
      <w:bodyDiv w:val="1"/>
      <w:marLeft w:val="0"/>
      <w:marRight w:val="0"/>
      <w:marTop w:val="0"/>
      <w:marBottom w:val="0"/>
      <w:divBdr>
        <w:top w:val="none" w:sz="0" w:space="0" w:color="auto"/>
        <w:left w:val="none" w:sz="0" w:space="0" w:color="auto"/>
        <w:bottom w:val="none" w:sz="0" w:space="0" w:color="auto"/>
        <w:right w:val="none" w:sz="0" w:space="0" w:color="auto"/>
      </w:divBdr>
    </w:div>
    <w:div w:id="921330342">
      <w:bodyDiv w:val="1"/>
      <w:marLeft w:val="0"/>
      <w:marRight w:val="0"/>
      <w:marTop w:val="0"/>
      <w:marBottom w:val="0"/>
      <w:divBdr>
        <w:top w:val="none" w:sz="0" w:space="0" w:color="auto"/>
        <w:left w:val="none" w:sz="0" w:space="0" w:color="auto"/>
        <w:bottom w:val="none" w:sz="0" w:space="0" w:color="auto"/>
        <w:right w:val="none" w:sz="0" w:space="0" w:color="auto"/>
      </w:divBdr>
    </w:div>
    <w:div w:id="921333763">
      <w:bodyDiv w:val="1"/>
      <w:marLeft w:val="0"/>
      <w:marRight w:val="0"/>
      <w:marTop w:val="0"/>
      <w:marBottom w:val="0"/>
      <w:divBdr>
        <w:top w:val="none" w:sz="0" w:space="0" w:color="auto"/>
        <w:left w:val="none" w:sz="0" w:space="0" w:color="auto"/>
        <w:bottom w:val="none" w:sz="0" w:space="0" w:color="auto"/>
        <w:right w:val="none" w:sz="0" w:space="0" w:color="auto"/>
      </w:divBdr>
    </w:div>
    <w:div w:id="921450163">
      <w:bodyDiv w:val="1"/>
      <w:marLeft w:val="0"/>
      <w:marRight w:val="0"/>
      <w:marTop w:val="0"/>
      <w:marBottom w:val="0"/>
      <w:divBdr>
        <w:top w:val="none" w:sz="0" w:space="0" w:color="auto"/>
        <w:left w:val="none" w:sz="0" w:space="0" w:color="auto"/>
        <w:bottom w:val="none" w:sz="0" w:space="0" w:color="auto"/>
        <w:right w:val="none" w:sz="0" w:space="0" w:color="auto"/>
      </w:divBdr>
    </w:div>
    <w:div w:id="921453501">
      <w:bodyDiv w:val="1"/>
      <w:marLeft w:val="0"/>
      <w:marRight w:val="0"/>
      <w:marTop w:val="0"/>
      <w:marBottom w:val="0"/>
      <w:divBdr>
        <w:top w:val="none" w:sz="0" w:space="0" w:color="auto"/>
        <w:left w:val="none" w:sz="0" w:space="0" w:color="auto"/>
        <w:bottom w:val="none" w:sz="0" w:space="0" w:color="auto"/>
        <w:right w:val="none" w:sz="0" w:space="0" w:color="auto"/>
      </w:divBdr>
    </w:div>
    <w:div w:id="921530151">
      <w:bodyDiv w:val="1"/>
      <w:marLeft w:val="0"/>
      <w:marRight w:val="0"/>
      <w:marTop w:val="0"/>
      <w:marBottom w:val="0"/>
      <w:divBdr>
        <w:top w:val="none" w:sz="0" w:space="0" w:color="auto"/>
        <w:left w:val="none" w:sz="0" w:space="0" w:color="auto"/>
        <w:bottom w:val="none" w:sz="0" w:space="0" w:color="auto"/>
        <w:right w:val="none" w:sz="0" w:space="0" w:color="auto"/>
      </w:divBdr>
    </w:div>
    <w:div w:id="921568156">
      <w:bodyDiv w:val="1"/>
      <w:marLeft w:val="0"/>
      <w:marRight w:val="0"/>
      <w:marTop w:val="0"/>
      <w:marBottom w:val="0"/>
      <w:divBdr>
        <w:top w:val="none" w:sz="0" w:space="0" w:color="auto"/>
        <w:left w:val="none" w:sz="0" w:space="0" w:color="auto"/>
        <w:bottom w:val="none" w:sz="0" w:space="0" w:color="auto"/>
        <w:right w:val="none" w:sz="0" w:space="0" w:color="auto"/>
      </w:divBdr>
    </w:div>
    <w:div w:id="921572108">
      <w:bodyDiv w:val="1"/>
      <w:marLeft w:val="0"/>
      <w:marRight w:val="0"/>
      <w:marTop w:val="0"/>
      <w:marBottom w:val="0"/>
      <w:divBdr>
        <w:top w:val="none" w:sz="0" w:space="0" w:color="auto"/>
        <w:left w:val="none" w:sz="0" w:space="0" w:color="auto"/>
        <w:bottom w:val="none" w:sz="0" w:space="0" w:color="auto"/>
        <w:right w:val="none" w:sz="0" w:space="0" w:color="auto"/>
      </w:divBdr>
    </w:div>
    <w:div w:id="921573166">
      <w:bodyDiv w:val="1"/>
      <w:marLeft w:val="0"/>
      <w:marRight w:val="0"/>
      <w:marTop w:val="0"/>
      <w:marBottom w:val="0"/>
      <w:divBdr>
        <w:top w:val="none" w:sz="0" w:space="0" w:color="auto"/>
        <w:left w:val="none" w:sz="0" w:space="0" w:color="auto"/>
        <w:bottom w:val="none" w:sz="0" w:space="0" w:color="auto"/>
        <w:right w:val="none" w:sz="0" w:space="0" w:color="auto"/>
      </w:divBdr>
    </w:div>
    <w:div w:id="921643580">
      <w:bodyDiv w:val="1"/>
      <w:marLeft w:val="0"/>
      <w:marRight w:val="0"/>
      <w:marTop w:val="0"/>
      <w:marBottom w:val="0"/>
      <w:divBdr>
        <w:top w:val="none" w:sz="0" w:space="0" w:color="auto"/>
        <w:left w:val="none" w:sz="0" w:space="0" w:color="auto"/>
        <w:bottom w:val="none" w:sz="0" w:space="0" w:color="auto"/>
        <w:right w:val="none" w:sz="0" w:space="0" w:color="auto"/>
      </w:divBdr>
    </w:div>
    <w:div w:id="921909762">
      <w:bodyDiv w:val="1"/>
      <w:marLeft w:val="0"/>
      <w:marRight w:val="0"/>
      <w:marTop w:val="0"/>
      <w:marBottom w:val="0"/>
      <w:divBdr>
        <w:top w:val="none" w:sz="0" w:space="0" w:color="auto"/>
        <w:left w:val="none" w:sz="0" w:space="0" w:color="auto"/>
        <w:bottom w:val="none" w:sz="0" w:space="0" w:color="auto"/>
        <w:right w:val="none" w:sz="0" w:space="0" w:color="auto"/>
      </w:divBdr>
    </w:div>
    <w:div w:id="921911037">
      <w:bodyDiv w:val="1"/>
      <w:marLeft w:val="0"/>
      <w:marRight w:val="0"/>
      <w:marTop w:val="0"/>
      <w:marBottom w:val="0"/>
      <w:divBdr>
        <w:top w:val="none" w:sz="0" w:space="0" w:color="auto"/>
        <w:left w:val="none" w:sz="0" w:space="0" w:color="auto"/>
        <w:bottom w:val="none" w:sz="0" w:space="0" w:color="auto"/>
        <w:right w:val="none" w:sz="0" w:space="0" w:color="auto"/>
      </w:divBdr>
    </w:div>
    <w:div w:id="921911546">
      <w:bodyDiv w:val="1"/>
      <w:marLeft w:val="0"/>
      <w:marRight w:val="0"/>
      <w:marTop w:val="0"/>
      <w:marBottom w:val="0"/>
      <w:divBdr>
        <w:top w:val="none" w:sz="0" w:space="0" w:color="auto"/>
        <w:left w:val="none" w:sz="0" w:space="0" w:color="auto"/>
        <w:bottom w:val="none" w:sz="0" w:space="0" w:color="auto"/>
        <w:right w:val="none" w:sz="0" w:space="0" w:color="auto"/>
      </w:divBdr>
    </w:div>
    <w:div w:id="921985633">
      <w:bodyDiv w:val="1"/>
      <w:marLeft w:val="0"/>
      <w:marRight w:val="0"/>
      <w:marTop w:val="0"/>
      <w:marBottom w:val="0"/>
      <w:divBdr>
        <w:top w:val="none" w:sz="0" w:space="0" w:color="auto"/>
        <w:left w:val="none" w:sz="0" w:space="0" w:color="auto"/>
        <w:bottom w:val="none" w:sz="0" w:space="0" w:color="auto"/>
        <w:right w:val="none" w:sz="0" w:space="0" w:color="auto"/>
      </w:divBdr>
    </w:div>
    <w:div w:id="922028247">
      <w:bodyDiv w:val="1"/>
      <w:marLeft w:val="0"/>
      <w:marRight w:val="0"/>
      <w:marTop w:val="0"/>
      <w:marBottom w:val="0"/>
      <w:divBdr>
        <w:top w:val="none" w:sz="0" w:space="0" w:color="auto"/>
        <w:left w:val="none" w:sz="0" w:space="0" w:color="auto"/>
        <w:bottom w:val="none" w:sz="0" w:space="0" w:color="auto"/>
        <w:right w:val="none" w:sz="0" w:space="0" w:color="auto"/>
      </w:divBdr>
    </w:div>
    <w:div w:id="922031563">
      <w:bodyDiv w:val="1"/>
      <w:marLeft w:val="0"/>
      <w:marRight w:val="0"/>
      <w:marTop w:val="0"/>
      <w:marBottom w:val="0"/>
      <w:divBdr>
        <w:top w:val="none" w:sz="0" w:space="0" w:color="auto"/>
        <w:left w:val="none" w:sz="0" w:space="0" w:color="auto"/>
        <w:bottom w:val="none" w:sz="0" w:space="0" w:color="auto"/>
        <w:right w:val="none" w:sz="0" w:space="0" w:color="auto"/>
      </w:divBdr>
    </w:div>
    <w:div w:id="922371206">
      <w:bodyDiv w:val="1"/>
      <w:marLeft w:val="0"/>
      <w:marRight w:val="0"/>
      <w:marTop w:val="0"/>
      <w:marBottom w:val="0"/>
      <w:divBdr>
        <w:top w:val="none" w:sz="0" w:space="0" w:color="auto"/>
        <w:left w:val="none" w:sz="0" w:space="0" w:color="auto"/>
        <w:bottom w:val="none" w:sz="0" w:space="0" w:color="auto"/>
        <w:right w:val="none" w:sz="0" w:space="0" w:color="auto"/>
      </w:divBdr>
    </w:div>
    <w:div w:id="922419795">
      <w:bodyDiv w:val="1"/>
      <w:marLeft w:val="0"/>
      <w:marRight w:val="0"/>
      <w:marTop w:val="0"/>
      <w:marBottom w:val="0"/>
      <w:divBdr>
        <w:top w:val="none" w:sz="0" w:space="0" w:color="auto"/>
        <w:left w:val="none" w:sz="0" w:space="0" w:color="auto"/>
        <w:bottom w:val="none" w:sz="0" w:space="0" w:color="auto"/>
        <w:right w:val="none" w:sz="0" w:space="0" w:color="auto"/>
      </w:divBdr>
    </w:div>
    <w:div w:id="922566877">
      <w:bodyDiv w:val="1"/>
      <w:marLeft w:val="0"/>
      <w:marRight w:val="0"/>
      <w:marTop w:val="0"/>
      <w:marBottom w:val="0"/>
      <w:divBdr>
        <w:top w:val="none" w:sz="0" w:space="0" w:color="auto"/>
        <w:left w:val="none" w:sz="0" w:space="0" w:color="auto"/>
        <w:bottom w:val="none" w:sz="0" w:space="0" w:color="auto"/>
        <w:right w:val="none" w:sz="0" w:space="0" w:color="auto"/>
      </w:divBdr>
    </w:div>
    <w:div w:id="922570533">
      <w:bodyDiv w:val="1"/>
      <w:marLeft w:val="0"/>
      <w:marRight w:val="0"/>
      <w:marTop w:val="0"/>
      <w:marBottom w:val="0"/>
      <w:divBdr>
        <w:top w:val="none" w:sz="0" w:space="0" w:color="auto"/>
        <w:left w:val="none" w:sz="0" w:space="0" w:color="auto"/>
        <w:bottom w:val="none" w:sz="0" w:space="0" w:color="auto"/>
        <w:right w:val="none" w:sz="0" w:space="0" w:color="auto"/>
      </w:divBdr>
    </w:div>
    <w:div w:id="922643856">
      <w:bodyDiv w:val="1"/>
      <w:marLeft w:val="0"/>
      <w:marRight w:val="0"/>
      <w:marTop w:val="0"/>
      <w:marBottom w:val="0"/>
      <w:divBdr>
        <w:top w:val="none" w:sz="0" w:space="0" w:color="auto"/>
        <w:left w:val="none" w:sz="0" w:space="0" w:color="auto"/>
        <w:bottom w:val="none" w:sz="0" w:space="0" w:color="auto"/>
        <w:right w:val="none" w:sz="0" w:space="0" w:color="auto"/>
      </w:divBdr>
    </w:div>
    <w:div w:id="922835622">
      <w:bodyDiv w:val="1"/>
      <w:marLeft w:val="0"/>
      <w:marRight w:val="0"/>
      <w:marTop w:val="0"/>
      <w:marBottom w:val="0"/>
      <w:divBdr>
        <w:top w:val="none" w:sz="0" w:space="0" w:color="auto"/>
        <w:left w:val="none" w:sz="0" w:space="0" w:color="auto"/>
        <w:bottom w:val="none" w:sz="0" w:space="0" w:color="auto"/>
        <w:right w:val="none" w:sz="0" w:space="0" w:color="auto"/>
      </w:divBdr>
    </w:div>
    <w:div w:id="922956233">
      <w:bodyDiv w:val="1"/>
      <w:marLeft w:val="0"/>
      <w:marRight w:val="0"/>
      <w:marTop w:val="0"/>
      <w:marBottom w:val="0"/>
      <w:divBdr>
        <w:top w:val="none" w:sz="0" w:space="0" w:color="auto"/>
        <w:left w:val="none" w:sz="0" w:space="0" w:color="auto"/>
        <w:bottom w:val="none" w:sz="0" w:space="0" w:color="auto"/>
        <w:right w:val="none" w:sz="0" w:space="0" w:color="auto"/>
      </w:divBdr>
    </w:div>
    <w:div w:id="922957633">
      <w:bodyDiv w:val="1"/>
      <w:marLeft w:val="0"/>
      <w:marRight w:val="0"/>
      <w:marTop w:val="0"/>
      <w:marBottom w:val="0"/>
      <w:divBdr>
        <w:top w:val="none" w:sz="0" w:space="0" w:color="auto"/>
        <w:left w:val="none" w:sz="0" w:space="0" w:color="auto"/>
        <w:bottom w:val="none" w:sz="0" w:space="0" w:color="auto"/>
        <w:right w:val="none" w:sz="0" w:space="0" w:color="auto"/>
      </w:divBdr>
    </w:div>
    <w:div w:id="923145472">
      <w:bodyDiv w:val="1"/>
      <w:marLeft w:val="0"/>
      <w:marRight w:val="0"/>
      <w:marTop w:val="0"/>
      <w:marBottom w:val="0"/>
      <w:divBdr>
        <w:top w:val="none" w:sz="0" w:space="0" w:color="auto"/>
        <w:left w:val="none" w:sz="0" w:space="0" w:color="auto"/>
        <w:bottom w:val="none" w:sz="0" w:space="0" w:color="auto"/>
        <w:right w:val="none" w:sz="0" w:space="0" w:color="auto"/>
      </w:divBdr>
    </w:div>
    <w:div w:id="923147257">
      <w:bodyDiv w:val="1"/>
      <w:marLeft w:val="0"/>
      <w:marRight w:val="0"/>
      <w:marTop w:val="0"/>
      <w:marBottom w:val="0"/>
      <w:divBdr>
        <w:top w:val="none" w:sz="0" w:space="0" w:color="auto"/>
        <w:left w:val="none" w:sz="0" w:space="0" w:color="auto"/>
        <w:bottom w:val="none" w:sz="0" w:space="0" w:color="auto"/>
        <w:right w:val="none" w:sz="0" w:space="0" w:color="auto"/>
      </w:divBdr>
    </w:div>
    <w:div w:id="923227982">
      <w:bodyDiv w:val="1"/>
      <w:marLeft w:val="0"/>
      <w:marRight w:val="0"/>
      <w:marTop w:val="0"/>
      <w:marBottom w:val="0"/>
      <w:divBdr>
        <w:top w:val="none" w:sz="0" w:space="0" w:color="auto"/>
        <w:left w:val="none" w:sz="0" w:space="0" w:color="auto"/>
        <w:bottom w:val="none" w:sz="0" w:space="0" w:color="auto"/>
        <w:right w:val="none" w:sz="0" w:space="0" w:color="auto"/>
      </w:divBdr>
    </w:div>
    <w:div w:id="923415262">
      <w:bodyDiv w:val="1"/>
      <w:marLeft w:val="0"/>
      <w:marRight w:val="0"/>
      <w:marTop w:val="0"/>
      <w:marBottom w:val="0"/>
      <w:divBdr>
        <w:top w:val="none" w:sz="0" w:space="0" w:color="auto"/>
        <w:left w:val="none" w:sz="0" w:space="0" w:color="auto"/>
        <w:bottom w:val="none" w:sz="0" w:space="0" w:color="auto"/>
        <w:right w:val="none" w:sz="0" w:space="0" w:color="auto"/>
      </w:divBdr>
    </w:div>
    <w:div w:id="923418648">
      <w:bodyDiv w:val="1"/>
      <w:marLeft w:val="0"/>
      <w:marRight w:val="0"/>
      <w:marTop w:val="0"/>
      <w:marBottom w:val="0"/>
      <w:divBdr>
        <w:top w:val="none" w:sz="0" w:space="0" w:color="auto"/>
        <w:left w:val="none" w:sz="0" w:space="0" w:color="auto"/>
        <w:bottom w:val="none" w:sz="0" w:space="0" w:color="auto"/>
        <w:right w:val="none" w:sz="0" w:space="0" w:color="auto"/>
      </w:divBdr>
    </w:div>
    <w:div w:id="923487775">
      <w:bodyDiv w:val="1"/>
      <w:marLeft w:val="0"/>
      <w:marRight w:val="0"/>
      <w:marTop w:val="0"/>
      <w:marBottom w:val="0"/>
      <w:divBdr>
        <w:top w:val="none" w:sz="0" w:space="0" w:color="auto"/>
        <w:left w:val="none" w:sz="0" w:space="0" w:color="auto"/>
        <w:bottom w:val="none" w:sz="0" w:space="0" w:color="auto"/>
        <w:right w:val="none" w:sz="0" w:space="0" w:color="auto"/>
      </w:divBdr>
    </w:div>
    <w:div w:id="923493277">
      <w:bodyDiv w:val="1"/>
      <w:marLeft w:val="0"/>
      <w:marRight w:val="0"/>
      <w:marTop w:val="0"/>
      <w:marBottom w:val="0"/>
      <w:divBdr>
        <w:top w:val="none" w:sz="0" w:space="0" w:color="auto"/>
        <w:left w:val="none" w:sz="0" w:space="0" w:color="auto"/>
        <w:bottom w:val="none" w:sz="0" w:space="0" w:color="auto"/>
        <w:right w:val="none" w:sz="0" w:space="0" w:color="auto"/>
      </w:divBdr>
    </w:div>
    <w:div w:id="923496718">
      <w:bodyDiv w:val="1"/>
      <w:marLeft w:val="0"/>
      <w:marRight w:val="0"/>
      <w:marTop w:val="0"/>
      <w:marBottom w:val="0"/>
      <w:divBdr>
        <w:top w:val="none" w:sz="0" w:space="0" w:color="auto"/>
        <w:left w:val="none" w:sz="0" w:space="0" w:color="auto"/>
        <w:bottom w:val="none" w:sz="0" w:space="0" w:color="auto"/>
        <w:right w:val="none" w:sz="0" w:space="0" w:color="auto"/>
      </w:divBdr>
    </w:div>
    <w:div w:id="923538128">
      <w:bodyDiv w:val="1"/>
      <w:marLeft w:val="0"/>
      <w:marRight w:val="0"/>
      <w:marTop w:val="0"/>
      <w:marBottom w:val="0"/>
      <w:divBdr>
        <w:top w:val="none" w:sz="0" w:space="0" w:color="auto"/>
        <w:left w:val="none" w:sz="0" w:space="0" w:color="auto"/>
        <w:bottom w:val="none" w:sz="0" w:space="0" w:color="auto"/>
        <w:right w:val="none" w:sz="0" w:space="0" w:color="auto"/>
      </w:divBdr>
    </w:div>
    <w:div w:id="923756257">
      <w:bodyDiv w:val="1"/>
      <w:marLeft w:val="0"/>
      <w:marRight w:val="0"/>
      <w:marTop w:val="0"/>
      <w:marBottom w:val="0"/>
      <w:divBdr>
        <w:top w:val="none" w:sz="0" w:space="0" w:color="auto"/>
        <w:left w:val="none" w:sz="0" w:space="0" w:color="auto"/>
        <w:bottom w:val="none" w:sz="0" w:space="0" w:color="auto"/>
        <w:right w:val="none" w:sz="0" w:space="0" w:color="auto"/>
      </w:divBdr>
    </w:div>
    <w:div w:id="923882887">
      <w:bodyDiv w:val="1"/>
      <w:marLeft w:val="0"/>
      <w:marRight w:val="0"/>
      <w:marTop w:val="0"/>
      <w:marBottom w:val="0"/>
      <w:divBdr>
        <w:top w:val="none" w:sz="0" w:space="0" w:color="auto"/>
        <w:left w:val="none" w:sz="0" w:space="0" w:color="auto"/>
        <w:bottom w:val="none" w:sz="0" w:space="0" w:color="auto"/>
        <w:right w:val="none" w:sz="0" w:space="0" w:color="auto"/>
      </w:divBdr>
    </w:div>
    <w:div w:id="923953513">
      <w:bodyDiv w:val="1"/>
      <w:marLeft w:val="0"/>
      <w:marRight w:val="0"/>
      <w:marTop w:val="0"/>
      <w:marBottom w:val="0"/>
      <w:divBdr>
        <w:top w:val="none" w:sz="0" w:space="0" w:color="auto"/>
        <w:left w:val="none" w:sz="0" w:space="0" w:color="auto"/>
        <w:bottom w:val="none" w:sz="0" w:space="0" w:color="auto"/>
        <w:right w:val="none" w:sz="0" w:space="0" w:color="auto"/>
      </w:divBdr>
    </w:div>
    <w:div w:id="924068451">
      <w:bodyDiv w:val="1"/>
      <w:marLeft w:val="0"/>
      <w:marRight w:val="0"/>
      <w:marTop w:val="0"/>
      <w:marBottom w:val="0"/>
      <w:divBdr>
        <w:top w:val="none" w:sz="0" w:space="0" w:color="auto"/>
        <w:left w:val="none" w:sz="0" w:space="0" w:color="auto"/>
        <w:bottom w:val="none" w:sz="0" w:space="0" w:color="auto"/>
        <w:right w:val="none" w:sz="0" w:space="0" w:color="auto"/>
      </w:divBdr>
    </w:div>
    <w:div w:id="924190790">
      <w:bodyDiv w:val="1"/>
      <w:marLeft w:val="0"/>
      <w:marRight w:val="0"/>
      <w:marTop w:val="0"/>
      <w:marBottom w:val="0"/>
      <w:divBdr>
        <w:top w:val="none" w:sz="0" w:space="0" w:color="auto"/>
        <w:left w:val="none" w:sz="0" w:space="0" w:color="auto"/>
        <w:bottom w:val="none" w:sz="0" w:space="0" w:color="auto"/>
        <w:right w:val="none" w:sz="0" w:space="0" w:color="auto"/>
      </w:divBdr>
    </w:div>
    <w:div w:id="924387826">
      <w:bodyDiv w:val="1"/>
      <w:marLeft w:val="0"/>
      <w:marRight w:val="0"/>
      <w:marTop w:val="0"/>
      <w:marBottom w:val="0"/>
      <w:divBdr>
        <w:top w:val="none" w:sz="0" w:space="0" w:color="auto"/>
        <w:left w:val="none" w:sz="0" w:space="0" w:color="auto"/>
        <w:bottom w:val="none" w:sz="0" w:space="0" w:color="auto"/>
        <w:right w:val="none" w:sz="0" w:space="0" w:color="auto"/>
      </w:divBdr>
    </w:div>
    <w:div w:id="924611466">
      <w:bodyDiv w:val="1"/>
      <w:marLeft w:val="0"/>
      <w:marRight w:val="0"/>
      <w:marTop w:val="0"/>
      <w:marBottom w:val="0"/>
      <w:divBdr>
        <w:top w:val="none" w:sz="0" w:space="0" w:color="auto"/>
        <w:left w:val="none" w:sz="0" w:space="0" w:color="auto"/>
        <w:bottom w:val="none" w:sz="0" w:space="0" w:color="auto"/>
        <w:right w:val="none" w:sz="0" w:space="0" w:color="auto"/>
      </w:divBdr>
    </w:div>
    <w:div w:id="924647529">
      <w:bodyDiv w:val="1"/>
      <w:marLeft w:val="0"/>
      <w:marRight w:val="0"/>
      <w:marTop w:val="0"/>
      <w:marBottom w:val="0"/>
      <w:divBdr>
        <w:top w:val="none" w:sz="0" w:space="0" w:color="auto"/>
        <w:left w:val="none" w:sz="0" w:space="0" w:color="auto"/>
        <w:bottom w:val="none" w:sz="0" w:space="0" w:color="auto"/>
        <w:right w:val="none" w:sz="0" w:space="0" w:color="auto"/>
      </w:divBdr>
    </w:div>
    <w:div w:id="924724616">
      <w:bodyDiv w:val="1"/>
      <w:marLeft w:val="0"/>
      <w:marRight w:val="0"/>
      <w:marTop w:val="0"/>
      <w:marBottom w:val="0"/>
      <w:divBdr>
        <w:top w:val="none" w:sz="0" w:space="0" w:color="auto"/>
        <w:left w:val="none" w:sz="0" w:space="0" w:color="auto"/>
        <w:bottom w:val="none" w:sz="0" w:space="0" w:color="auto"/>
        <w:right w:val="none" w:sz="0" w:space="0" w:color="auto"/>
      </w:divBdr>
    </w:div>
    <w:div w:id="924925008">
      <w:bodyDiv w:val="1"/>
      <w:marLeft w:val="0"/>
      <w:marRight w:val="0"/>
      <w:marTop w:val="0"/>
      <w:marBottom w:val="0"/>
      <w:divBdr>
        <w:top w:val="none" w:sz="0" w:space="0" w:color="auto"/>
        <w:left w:val="none" w:sz="0" w:space="0" w:color="auto"/>
        <w:bottom w:val="none" w:sz="0" w:space="0" w:color="auto"/>
        <w:right w:val="none" w:sz="0" w:space="0" w:color="auto"/>
      </w:divBdr>
    </w:div>
    <w:div w:id="925190884">
      <w:bodyDiv w:val="1"/>
      <w:marLeft w:val="0"/>
      <w:marRight w:val="0"/>
      <w:marTop w:val="0"/>
      <w:marBottom w:val="0"/>
      <w:divBdr>
        <w:top w:val="none" w:sz="0" w:space="0" w:color="auto"/>
        <w:left w:val="none" w:sz="0" w:space="0" w:color="auto"/>
        <w:bottom w:val="none" w:sz="0" w:space="0" w:color="auto"/>
        <w:right w:val="none" w:sz="0" w:space="0" w:color="auto"/>
      </w:divBdr>
    </w:div>
    <w:div w:id="925529974">
      <w:bodyDiv w:val="1"/>
      <w:marLeft w:val="0"/>
      <w:marRight w:val="0"/>
      <w:marTop w:val="0"/>
      <w:marBottom w:val="0"/>
      <w:divBdr>
        <w:top w:val="none" w:sz="0" w:space="0" w:color="auto"/>
        <w:left w:val="none" w:sz="0" w:space="0" w:color="auto"/>
        <w:bottom w:val="none" w:sz="0" w:space="0" w:color="auto"/>
        <w:right w:val="none" w:sz="0" w:space="0" w:color="auto"/>
      </w:divBdr>
    </w:div>
    <w:div w:id="925571200">
      <w:bodyDiv w:val="1"/>
      <w:marLeft w:val="0"/>
      <w:marRight w:val="0"/>
      <w:marTop w:val="0"/>
      <w:marBottom w:val="0"/>
      <w:divBdr>
        <w:top w:val="none" w:sz="0" w:space="0" w:color="auto"/>
        <w:left w:val="none" w:sz="0" w:space="0" w:color="auto"/>
        <w:bottom w:val="none" w:sz="0" w:space="0" w:color="auto"/>
        <w:right w:val="none" w:sz="0" w:space="0" w:color="auto"/>
      </w:divBdr>
    </w:div>
    <w:div w:id="925575778">
      <w:bodyDiv w:val="1"/>
      <w:marLeft w:val="0"/>
      <w:marRight w:val="0"/>
      <w:marTop w:val="0"/>
      <w:marBottom w:val="0"/>
      <w:divBdr>
        <w:top w:val="none" w:sz="0" w:space="0" w:color="auto"/>
        <w:left w:val="none" w:sz="0" w:space="0" w:color="auto"/>
        <w:bottom w:val="none" w:sz="0" w:space="0" w:color="auto"/>
        <w:right w:val="none" w:sz="0" w:space="0" w:color="auto"/>
      </w:divBdr>
    </w:div>
    <w:div w:id="925578415">
      <w:bodyDiv w:val="1"/>
      <w:marLeft w:val="0"/>
      <w:marRight w:val="0"/>
      <w:marTop w:val="0"/>
      <w:marBottom w:val="0"/>
      <w:divBdr>
        <w:top w:val="none" w:sz="0" w:space="0" w:color="auto"/>
        <w:left w:val="none" w:sz="0" w:space="0" w:color="auto"/>
        <w:bottom w:val="none" w:sz="0" w:space="0" w:color="auto"/>
        <w:right w:val="none" w:sz="0" w:space="0" w:color="auto"/>
      </w:divBdr>
    </w:div>
    <w:div w:id="925727258">
      <w:bodyDiv w:val="1"/>
      <w:marLeft w:val="0"/>
      <w:marRight w:val="0"/>
      <w:marTop w:val="0"/>
      <w:marBottom w:val="0"/>
      <w:divBdr>
        <w:top w:val="none" w:sz="0" w:space="0" w:color="auto"/>
        <w:left w:val="none" w:sz="0" w:space="0" w:color="auto"/>
        <w:bottom w:val="none" w:sz="0" w:space="0" w:color="auto"/>
        <w:right w:val="none" w:sz="0" w:space="0" w:color="auto"/>
      </w:divBdr>
    </w:div>
    <w:div w:id="925919487">
      <w:bodyDiv w:val="1"/>
      <w:marLeft w:val="0"/>
      <w:marRight w:val="0"/>
      <w:marTop w:val="0"/>
      <w:marBottom w:val="0"/>
      <w:divBdr>
        <w:top w:val="none" w:sz="0" w:space="0" w:color="auto"/>
        <w:left w:val="none" w:sz="0" w:space="0" w:color="auto"/>
        <w:bottom w:val="none" w:sz="0" w:space="0" w:color="auto"/>
        <w:right w:val="none" w:sz="0" w:space="0" w:color="auto"/>
      </w:divBdr>
    </w:div>
    <w:div w:id="925924846">
      <w:bodyDiv w:val="1"/>
      <w:marLeft w:val="0"/>
      <w:marRight w:val="0"/>
      <w:marTop w:val="0"/>
      <w:marBottom w:val="0"/>
      <w:divBdr>
        <w:top w:val="none" w:sz="0" w:space="0" w:color="auto"/>
        <w:left w:val="none" w:sz="0" w:space="0" w:color="auto"/>
        <w:bottom w:val="none" w:sz="0" w:space="0" w:color="auto"/>
        <w:right w:val="none" w:sz="0" w:space="0" w:color="auto"/>
      </w:divBdr>
    </w:div>
    <w:div w:id="925959604">
      <w:bodyDiv w:val="1"/>
      <w:marLeft w:val="0"/>
      <w:marRight w:val="0"/>
      <w:marTop w:val="0"/>
      <w:marBottom w:val="0"/>
      <w:divBdr>
        <w:top w:val="none" w:sz="0" w:space="0" w:color="auto"/>
        <w:left w:val="none" w:sz="0" w:space="0" w:color="auto"/>
        <w:bottom w:val="none" w:sz="0" w:space="0" w:color="auto"/>
        <w:right w:val="none" w:sz="0" w:space="0" w:color="auto"/>
      </w:divBdr>
    </w:div>
    <w:div w:id="926038968">
      <w:bodyDiv w:val="1"/>
      <w:marLeft w:val="0"/>
      <w:marRight w:val="0"/>
      <w:marTop w:val="0"/>
      <w:marBottom w:val="0"/>
      <w:divBdr>
        <w:top w:val="none" w:sz="0" w:space="0" w:color="auto"/>
        <w:left w:val="none" w:sz="0" w:space="0" w:color="auto"/>
        <w:bottom w:val="none" w:sz="0" w:space="0" w:color="auto"/>
        <w:right w:val="none" w:sz="0" w:space="0" w:color="auto"/>
      </w:divBdr>
    </w:div>
    <w:div w:id="926113999">
      <w:bodyDiv w:val="1"/>
      <w:marLeft w:val="0"/>
      <w:marRight w:val="0"/>
      <w:marTop w:val="0"/>
      <w:marBottom w:val="0"/>
      <w:divBdr>
        <w:top w:val="none" w:sz="0" w:space="0" w:color="auto"/>
        <w:left w:val="none" w:sz="0" w:space="0" w:color="auto"/>
        <w:bottom w:val="none" w:sz="0" w:space="0" w:color="auto"/>
        <w:right w:val="none" w:sz="0" w:space="0" w:color="auto"/>
      </w:divBdr>
    </w:div>
    <w:div w:id="926114975">
      <w:bodyDiv w:val="1"/>
      <w:marLeft w:val="0"/>
      <w:marRight w:val="0"/>
      <w:marTop w:val="0"/>
      <w:marBottom w:val="0"/>
      <w:divBdr>
        <w:top w:val="none" w:sz="0" w:space="0" w:color="auto"/>
        <w:left w:val="none" w:sz="0" w:space="0" w:color="auto"/>
        <w:bottom w:val="none" w:sz="0" w:space="0" w:color="auto"/>
        <w:right w:val="none" w:sz="0" w:space="0" w:color="auto"/>
      </w:divBdr>
    </w:div>
    <w:div w:id="926117842">
      <w:bodyDiv w:val="1"/>
      <w:marLeft w:val="0"/>
      <w:marRight w:val="0"/>
      <w:marTop w:val="0"/>
      <w:marBottom w:val="0"/>
      <w:divBdr>
        <w:top w:val="none" w:sz="0" w:space="0" w:color="auto"/>
        <w:left w:val="none" w:sz="0" w:space="0" w:color="auto"/>
        <w:bottom w:val="none" w:sz="0" w:space="0" w:color="auto"/>
        <w:right w:val="none" w:sz="0" w:space="0" w:color="auto"/>
      </w:divBdr>
    </w:div>
    <w:div w:id="926307233">
      <w:bodyDiv w:val="1"/>
      <w:marLeft w:val="0"/>
      <w:marRight w:val="0"/>
      <w:marTop w:val="0"/>
      <w:marBottom w:val="0"/>
      <w:divBdr>
        <w:top w:val="none" w:sz="0" w:space="0" w:color="auto"/>
        <w:left w:val="none" w:sz="0" w:space="0" w:color="auto"/>
        <w:bottom w:val="none" w:sz="0" w:space="0" w:color="auto"/>
        <w:right w:val="none" w:sz="0" w:space="0" w:color="auto"/>
      </w:divBdr>
    </w:div>
    <w:div w:id="926308613">
      <w:bodyDiv w:val="1"/>
      <w:marLeft w:val="0"/>
      <w:marRight w:val="0"/>
      <w:marTop w:val="0"/>
      <w:marBottom w:val="0"/>
      <w:divBdr>
        <w:top w:val="none" w:sz="0" w:space="0" w:color="auto"/>
        <w:left w:val="none" w:sz="0" w:space="0" w:color="auto"/>
        <w:bottom w:val="none" w:sz="0" w:space="0" w:color="auto"/>
        <w:right w:val="none" w:sz="0" w:space="0" w:color="auto"/>
      </w:divBdr>
    </w:div>
    <w:div w:id="926428668">
      <w:bodyDiv w:val="1"/>
      <w:marLeft w:val="0"/>
      <w:marRight w:val="0"/>
      <w:marTop w:val="0"/>
      <w:marBottom w:val="0"/>
      <w:divBdr>
        <w:top w:val="none" w:sz="0" w:space="0" w:color="auto"/>
        <w:left w:val="none" w:sz="0" w:space="0" w:color="auto"/>
        <w:bottom w:val="none" w:sz="0" w:space="0" w:color="auto"/>
        <w:right w:val="none" w:sz="0" w:space="0" w:color="auto"/>
      </w:divBdr>
    </w:div>
    <w:div w:id="926615323">
      <w:bodyDiv w:val="1"/>
      <w:marLeft w:val="0"/>
      <w:marRight w:val="0"/>
      <w:marTop w:val="0"/>
      <w:marBottom w:val="0"/>
      <w:divBdr>
        <w:top w:val="none" w:sz="0" w:space="0" w:color="auto"/>
        <w:left w:val="none" w:sz="0" w:space="0" w:color="auto"/>
        <w:bottom w:val="none" w:sz="0" w:space="0" w:color="auto"/>
        <w:right w:val="none" w:sz="0" w:space="0" w:color="auto"/>
      </w:divBdr>
    </w:div>
    <w:div w:id="926765814">
      <w:bodyDiv w:val="1"/>
      <w:marLeft w:val="0"/>
      <w:marRight w:val="0"/>
      <w:marTop w:val="0"/>
      <w:marBottom w:val="0"/>
      <w:divBdr>
        <w:top w:val="none" w:sz="0" w:space="0" w:color="auto"/>
        <w:left w:val="none" w:sz="0" w:space="0" w:color="auto"/>
        <w:bottom w:val="none" w:sz="0" w:space="0" w:color="auto"/>
        <w:right w:val="none" w:sz="0" w:space="0" w:color="auto"/>
      </w:divBdr>
    </w:div>
    <w:div w:id="926882916">
      <w:bodyDiv w:val="1"/>
      <w:marLeft w:val="0"/>
      <w:marRight w:val="0"/>
      <w:marTop w:val="0"/>
      <w:marBottom w:val="0"/>
      <w:divBdr>
        <w:top w:val="none" w:sz="0" w:space="0" w:color="auto"/>
        <w:left w:val="none" w:sz="0" w:space="0" w:color="auto"/>
        <w:bottom w:val="none" w:sz="0" w:space="0" w:color="auto"/>
        <w:right w:val="none" w:sz="0" w:space="0" w:color="auto"/>
      </w:divBdr>
    </w:div>
    <w:div w:id="926886980">
      <w:bodyDiv w:val="1"/>
      <w:marLeft w:val="0"/>
      <w:marRight w:val="0"/>
      <w:marTop w:val="0"/>
      <w:marBottom w:val="0"/>
      <w:divBdr>
        <w:top w:val="none" w:sz="0" w:space="0" w:color="auto"/>
        <w:left w:val="none" w:sz="0" w:space="0" w:color="auto"/>
        <w:bottom w:val="none" w:sz="0" w:space="0" w:color="auto"/>
        <w:right w:val="none" w:sz="0" w:space="0" w:color="auto"/>
      </w:divBdr>
    </w:div>
    <w:div w:id="926961018">
      <w:bodyDiv w:val="1"/>
      <w:marLeft w:val="0"/>
      <w:marRight w:val="0"/>
      <w:marTop w:val="0"/>
      <w:marBottom w:val="0"/>
      <w:divBdr>
        <w:top w:val="none" w:sz="0" w:space="0" w:color="auto"/>
        <w:left w:val="none" w:sz="0" w:space="0" w:color="auto"/>
        <w:bottom w:val="none" w:sz="0" w:space="0" w:color="auto"/>
        <w:right w:val="none" w:sz="0" w:space="0" w:color="auto"/>
      </w:divBdr>
    </w:div>
    <w:div w:id="927007584">
      <w:bodyDiv w:val="1"/>
      <w:marLeft w:val="0"/>
      <w:marRight w:val="0"/>
      <w:marTop w:val="0"/>
      <w:marBottom w:val="0"/>
      <w:divBdr>
        <w:top w:val="none" w:sz="0" w:space="0" w:color="auto"/>
        <w:left w:val="none" w:sz="0" w:space="0" w:color="auto"/>
        <w:bottom w:val="none" w:sz="0" w:space="0" w:color="auto"/>
        <w:right w:val="none" w:sz="0" w:space="0" w:color="auto"/>
      </w:divBdr>
    </w:div>
    <w:div w:id="927084620">
      <w:bodyDiv w:val="1"/>
      <w:marLeft w:val="0"/>
      <w:marRight w:val="0"/>
      <w:marTop w:val="0"/>
      <w:marBottom w:val="0"/>
      <w:divBdr>
        <w:top w:val="none" w:sz="0" w:space="0" w:color="auto"/>
        <w:left w:val="none" w:sz="0" w:space="0" w:color="auto"/>
        <w:bottom w:val="none" w:sz="0" w:space="0" w:color="auto"/>
        <w:right w:val="none" w:sz="0" w:space="0" w:color="auto"/>
      </w:divBdr>
    </w:div>
    <w:div w:id="927154551">
      <w:bodyDiv w:val="1"/>
      <w:marLeft w:val="0"/>
      <w:marRight w:val="0"/>
      <w:marTop w:val="0"/>
      <w:marBottom w:val="0"/>
      <w:divBdr>
        <w:top w:val="none" w:sz="0" w:space="0" w:color="auto"/>
        <w:left w:val="none" w:sz="0" w:space="0" w:color="auto"/>
        <w:bottom w:val="none" w:sz="0" w:space="0" w:color="auto"/>
        <w:right w:val="none" w:sz="0" w:space="0" w:color="auto"/>
      </w:divBdr>
    </w:div>
    <w:div w:id="927275519">
      <w:bodyDiv w:val="1"/>
      <w:marLeft w:val="0"/>
      <w:marRight w:val="0"/>
      <w:marTop w:val="0"/>
      <w:marBottom w:val="0"/>
      <w:divBdr>
        <w:top w:val="none" w:sz="0" w:space="0" w:color="auto"/>
        <w:left w:val="none" w:sz="0" w:space="0" w:color="auto"/>
        <w:bottom w:val="none" w:sz="0" w:space="0" w:color="auto"/>
        <w:right w:val="none" w:sz="0" w:space="0" w:color="auto"/>
      </w:divBdr>
    </w:div>
    <w:div w:id="927276607">
      <w:bodyDiv w:val="1"/>
      <w:marLeft w:val="0"/>
      <w:marRight w:val="0"/>
      <w:marTop w:val="0"/>
      <w:marBottom w:val="0"/>
      <w:divBdr>
        <w:top w:val="none" w:sz="0" w:space="0" w:color="auto"/>
        <w:left w:val="none" w:sz="0" w:space="0" w:color="auto"/>
        <w:bottom w:val="none" w:sz="0" w:space="0" w:color="auto"/>
        <w:right w:val="none" w:sz="0" w:space="0" w:color="auto"/>
      </w:divBdr>
    </w:div>
    <w:div w:id="927346768">
      <w:bodyDiv w:val="1"/>
      <w:marLeft w:val="0"/>
      <w:marRight w:val="0"/>
      <w:marTop w:val="0"/>
      <w:marBottom w:val="0"/>
      <w:divBdr>
        <w:top w:val="none" w:sz="0" w:space="0" w:color="auto"/>
        <w:left w:val="none" w:sz="0" w:space="0" w:color="auto"/>
        <w:bottom w:val="none" w:sz="0" w:space="0" w:color="auto"/>
        <w:right w:val="none" w:sz="0" w:space="0" w:color="auto"/>
      </w:divBdr>
    </w:div>
    <w:div w:id="927347464">
      <w:bodyDiv w:val="1"/>
      <w:marLeft w:val="0"/>
      <w:marRight w:val="0"/>
      <w:marTop w:val="0"/>
      <w:marBottom w:val="0"/>
      <w:divBdr>
        <w:top w:val="none" w:sz="0" w:space="0" w:color="auto"/>
        <w:left w:val="none" w:sz="0" w:space="0" w:color="auto"/>
        <w:bottom w:val="none" w:sz="0" w:space="0" w:color="auto"/>
        <w:right w:val="none" w:sz="0" w:space="0" w:color="auto"/>
      </w:divBdr>
    </w:div>
    <w:div w:id="927350999">
      <w:bodyDiv w:val="1"/>
      <w:marLeft w:val="0"/>
      <w:marRight w:val="0"/>
      <w:marTop w:val="0"/>
      <w:marBottom w:val="0"/>
      <w:divBdr>
        <w:top w:val="none" w:sz="0" w:space="0" w:color="auto"/>
        <w:left w:val="none" w:sz="0" w:space="0" w:color="auto"/>
        <w:bottom w:val="none" w:sz="0" w:space="0" w:color="auto"/>
        <w:right w:val="none" w:sz="0" w:space="0" w:color="auto"/>
      </w:divBdr>
    </w:div>
    <w:div w:id="927497627">
      <w:bodyDiv w:val="1"/>
      <w:marLeft w:val="0"/>
      <w:marRight w:val="0"/>
      <w:marTop w:val="0"/>
      <w:marBottom w:val="0"/>
      <w:divBdr>
        <w:top w:val="none" w:sz="0" w:space="0" w:color="auto"/>
        <w:left w:val="none" w:sz="0" w:space="0" w:color="auto"/>
        <w:bottom w:val="none" w:sz="0" w:space="0" w:color="auto"/>
        <w:right w:val="none" w:sz="0" w:space="0" w:color="auto"/>
      </w:divBdr>
    </w:div>
    <w:div w:id="927540196">
      <w:bodyDiv w:val="1"/>
      <w:marLeft w:val="0"/>
      <w:marRight w:val="0"/>
      <w:marTop w:val="0"/>
      <w:marBottom w:val="0"/>
      <w:divBdr>
        <w:top w:val="none" w:sz="0" w:space="0" w:color="auto"/>
        <w:left w:val="none" w:sz="0" w:space="0" w:color="auto"/>
        <w:bottom w:val="none" w:sz="0" w:space="0" w:color="auto"/>
        <w:right w:val="none" w:sz="0" w:space="0" w:color="auto"/>
      </w:divBdr>
    </w:div>
    <w:div w:id="927614765">
      <w:bodyDiv w:val="1"/>
      <w:marLeft w:val="0"/>
      <w:marRight w:val="0"/>
      <w:marTop w:val="0"/>
      <w:marBottom w:val="0"/>
      <w:divBdr>
        <w:top w:val="none" w:sz="0" w:space="0" w:color="auto"/>
        <w:left w:val="none" w:sz="0" w:space="0" w:color="auto"/>
        <w:bottom w:val="none" w:sz="0" w:space="0" w:color="auto"/>
        <w:right w:val="none" w:sz="0" w:space="0" w:color="auto"/>
      </w:divBdr>
    </w:div>
    <w:div w:id="927693069">
      <w:bodyDiv w:val="1"/>
      <w:marLeft w:val="0"/>
      <w:marRight w:val="0"/>
      <w:marTop w:val="0"/>
      <w:marBottom w:val="0"/>
      <w:divBdr>
        <w:top w:val="none" w:sz="0" w:space="0" w:color="auto"/>
        <w:left w:val="none" w:sz="0" w:space="0" w:color="auto"/>
        <w:bottom w:val="none" w:sz="0" w:space="0" w:color="auto"/>
        <w:right w:val="none" w:sz="0" w:space="0" w:color="auto"/>
      </w:divBdr>
    </w:div>
    <w:div w:id="927805687">
      <w:bodyDiv w:val="1"/>
      <w:marLeft w:val="0"/>
      <w:marRight w:val="0"/>
      <w:marTop w:val="0"/>
      <w:marBottom w:val="0"/>
      <w:divBdr>
        <w:top w:val="none" w:sz="0" w:space="0" w:color="auto"/>
        <w:left w:val="none" w:sz="0" w:space="0" w:color="auto"/>
        <w:bottom w:val="none" w:sz="0" w:space="0" w:color="auto"/>
        <w:right w:val="none" w:sz="0" w:space="0" w:color="auto"/>
      </w:divBdr>
    </w:div>
    <w:div w:id="927886610">
      <w:bodyDiv w:val="1"/>
      <w:marLeft w:val="0"/>
      <w:marRight w:val="0"/>
      <w:marTop w:val="0"/>
      <w:marBottom w:val="0"/>
      <w:divBdr>
        <w:top w:val="none" w:sz="0" w:space="0" w:color="auto"/>
        <w:left w:val="none" w:sz="0" w:space="0" w:color="auto"/>
        <w:bottom w:val="none" w:sz="0" w:space="0" w:color="auto"/>
        <w:right w:val="none" w:sz="0" w:space="0" w:color="auto"/>
      </w:divBdr>
    </w:div>
    <w:div w:id="928074407">
      <w:bodyDiv w:val="1"/>
      <w:marLeft w:val="0"/>
      <w:marRight w:val="0"/>
      <w:marTop w:val="0"/>
      <w:marBottom w:val="0"/>
      <w:divBdr>
        <w:top w:val="none" w:sz="0" w:space="0" w:color="auto"/>
        <w:left w:val="none" w:sz="0" w:space="0" w:color="auto"/>
        <w:bottom w:val="none" w:sz="0" w:space="0" w:color="auto"/>
        <w:right w:val="none" w:sz="0" w:space="0" w:color="auto"/>
      </w:divBdr>
    </w:div>
    <w:div w:id="928126301">
      <w:bodyDiv w:val="1"/>
      <w:marLeft w:val="0"/>
      <w:marRight w:val="0"/>
      <w:marTop w:val="0"/>
      <w:marBottom w:val="0"/>
      <w:divBdr>
        <w:top w:val="none" w:sz="0" w:space="0" w:color="auto"/>
        <w:left w:val="none" w:sz="0" w:space="0" w:color="auto"/>
        <w:bottom w:val="none" w:sz="0" w:space="0" w:color="auto"/>
        <w:right w:val="none" w:sz="0" w:space="0" w:color="auto"/>
      </w:divBdr>
    </w:div>
    <w:div w:id="928151930">
      <w:bodyDiv w:val="1"/>
      <w:marLeft w:val="0"/>
      <w:marRight w:val="0"/>
      <w:marTop w:val="0"/>
      <w:marBottom w:val="0"/>
      <w:divBdr>
        <w:top w:val="none" w:sz="0" w:space="0" w:color="auto"/>
        <w:left w:val="none" w:sz="0" w:space="0" w:color="auto"/>
        <w:bottom w:val="none" w:sz="0" w:space="0" w:color="auto"/>
        <w:right w:val="none" w:sz="0" w:space="0" w:color="auto"/>
      </w:divBdr>
    </w:div>
    <w:div w:id="928152900">
      <w:bodyDiv w:val="1"/>
      <w:marLeft w:val="0"/>
      <w:marRight w:val="0"/>
      <w:marTop w:val="0"/>
      <w:marBottom w:val="0"/>
      <w:divBdr>
        <w:top w:val="none" w:sz="0" w:space="0" w:color="auto"/>
        <w:left w:val="none" w:sz="0" w:space="0" w:color="auto"/>
        <w:bottom w:val="none" w:sz="0" w:space="0" w:color="auto"/>
        <w:right w:val="none" w:sz="0" w:space="0" w:color="auto"/>
      </w:divBdr>
    </w:div>
    <w:div w:id="928199130">
      <w:bodyDiv w:val="1"/>
      <w:marLeft w:val="0"/>
      <w:marRight w:val="0"/>
      <w:marTop w:val="0"/>
      <w:marBottom w:val="0"/>
      <w:divBdr>
        <w:top w:val="none" w:sz="0" w:space="0" w:color="auto"/>
        <w:left w:val="none" w:sz="0" w:space="0" w:color="auto"/>
        <w:bottom w:val="none" w:sz="0" w:space="0" w:color="auto"/>
        <w:right w:val="none" w:sz="0" w:space="0" w:color="auto"/>
      </w:divBdr>
    </w:div>
    <w:div w:id="928386831">
      <w:bodyDiv w:val="1"/>
      <w:marLeft w:val="0"/>
      <w:marRight w:val="0"/>
      <w:marTop w:val="0"/>
      <w:marBottom w:val="0"/>
      <w:divBdr>
        <w:top w:val="none" w:sz="0" w:space="0" w:color="auto"/>
        <w:left w:val="none" w:sz="0" w:space="0" w:color="auto"/>
        <w:bottom w:val="none" w:sz="0" w:space="0" w:color="auto"/>
        <w:right w:val="none" w:sz="0" w:space="0" w:color="auto"/>
      </w:divBdr>
    </w:div>
    <w:div w:id="928466846">
      <w:bodyDiv w:val="1"/>
      <w:marLeft w:val="0"/>
      <w:marRight w:val="0"/>
      <w:marTop w:val="0"/>
      <w:marBottom w:val="0"/>
      <w:divBdr>
        <w:top w:val="none" w:sz="0" w:space="0" w:color="auto"/>
        <w:left w:val="none" w:sz="0" w:space="0" w:color="auto"/>
        <w:bottom w:val="none" w:sz="0" w:space="0" w:color="auto"/>
        <w:right w:val="none" w:sz="0" w:space="0" w:color="auto"/>
      </w:divBdr>
    </w:div>
    <w:div w:id="928541890">
      <w:bodyDiv w:val="1"/>
      <w:marLeft w:val="0"/>
      <w:marRight w:val="0"/>
      <w:marTop w:val="0"/>
      <w:marBottom w:val="0"/>
      <w:divBdr>
        <w:top w:val="none" w:sz="0" w:space="0" w:color="auto"/>
        <w:left w:val="none" w:sz="0" w:space="0" w:color="auto"/>
        <w:bottom w:val="none" w:sz="0" w:space="0" w:color="auto"/>
        <w:right w:val="none" w:sz="0" w:space="0" w:color="auto"/>
      </w:divBdr>
    </w:div>
    <w:div w:id="928586726">
      <w:bodyDiv w:val="1"/>
      <w:marLeft w:val="0"/>
      <w:marRight w:val="0"/>
      <w:marTop w:val="0"/>
      <w:marBottom w:val="0"/>
      <w:divBdr>
        <w:top w:val="none" w:sz="0" w:space="0" w:color="auto"/>
        <w:left w:val="none" w:sz="0" w:space="0" w:color="auto"/>
        <w:bottom w:val="none" w:sz="0" w:space="0" w:color="auto"/>
        <w:right w:val="none" w:sz="0" w:space="0" w:color="auto"/>
      </w:divBdr>
    </w:div>
    <w:div w:id="928587709">
      <w:bodyDiv w:val="1"/>
      <w:marLeft w:val="0"/>
      <w:marRight w:val="0"/>
      <w:marTop w:val="0"/>
      <w:marBottom w:val="0"/>
      <w:divBdr>
        <w:top w:val="none" w:sz="0" w:space="0" w:color="auto"/>
        <w:left w:val="none" w:sz="0" w:space="0" w:color="auto"/>
        <w:bottom w:val="none" w:sz="0" w:space="0" w:color="auto"/>
        <w:right w:val="none" w:sz="0" w:space="0" w:color="auto"/>
      </w:divBdr>
    </w:div>
    <w:div w:id="928663147">
      <w:bodyDiv w:val="1"/>
      <w:marLeft w:val="0"/>
      <w:marRight w:val="0"/>
      <w:marTop w:val="0"/>
      <w:marBottom w:val="0"/>
      <w:divBdr>
        <w:top w:val="none" w:sz="0" w:space="0" w:color="auto"/>
        <w:left w:val="none" w:sz="0" w:space="0" w:color="auto"/>
        <w:bottom w:val="none" w:sz="0" w:space="0" w:color="auto"/>
        <w:right w:val="none" w:sz="0" w:space="0" w:color="auto"/>
      </w:divBdr>
    </w:div>
    <w:div w:id="928851998">
      <w:bodyDiv w:val="1"/>
      <w:marLeft w:val="0"/>
      <w:marRight w:val="0"/>
      <w:marTop w:val="0"/>
      <w:marBottom w:val="0"/>
      <w:divBdr>
        <w:top w:val="none" w:sz="0" w:space="0" w:color="auto"/>
        <w:left w:val="none" w:sz="0" w:space="0" w:color="auto"/>
        <w:bottom w:val="none" w:sz="0" w:space="0" w:color="auto"/>
        <w:right w:val="none" w:sz="0" w:space="0" w:color="auto"/>
      </w:divBdr>
    </w:div>
    <w:div w:id="929048044">
      <w:bodyDiv w:val="1"/>
      <w:marLeft w:val="0"/>
      <w:marRight w:val="0"/>
      <w:marTop w:val="0"/>
      <w:marBottom w:val="0"/>
      <w:divBdr>
        <w:top w:val="none" w:sz="0" w:space="0" w:color="auto"/>
        <w:left w:val="none" w:sz="0" w:space="0" w:color="auto"/>
        <w:bottom w:val="none" w:sz="0" w:space="0" w:color="auto"/>
        <w:right w:val="none" w:sz="0" w:space="0" w:color="auto"/>
      </w:divBdr>
    </w:div>
    <w:div w:id="929193261">
      <w:bodyDiv w:val="1"/>
      <w:marLeft w:val="0"/>
      <w:marRight w:val="0"/>
      <w:marTop w:val="0"/>
      <w:marBottom w:val="0"/>
      <w:divBdr>
        <w:top w:val="none" w:sz="0" w:space="0" w:color="auto"/>
        <w:left w:val="none" w:sz="0" w:space="0" w:color="auto"/>
        <w:bottom w:val="none" w:sz="0" w:space="0" w:color="auto"/>
        <w:right w:val="none" w:sz="0" w:space="0" w:color="auto"/>
      </w:divBdr>
    </w:div>
    <w:div w:id="929309749">
      <w:bodyDiv w:val="1"/>
      <w:marLeft w:val="0"/>
      <w:marRight w:val="0"/>
      <w:marTop w:val="0"/>
      <w:marBottom w:val="0"/>
      <w:divBdr>
        <w:top w:val="none" w:sz="0" w:space="0" w:color="auto"/>
        <w:left w:val="none" w:sz="0" w:space="0" w:color="auto"/>
        <w:bottom w:val="none" w:sz="0" w:space="0" w:color="auto"/>
        <w:right w:val="none" w:sz="0" w:space="0" w:color="auto"/>
      </w:divBdr>
    </w:div>
    <w:div w:id="929316808">
      <w:bodyDiv w:val="1"/>
      <w:marLeft w:val="0"/>
      <w:marRight w:val="0"/>
      <w:marTop w:val="0"/>
      <w:marBottom w:val="0"/>
      <w:divBdr>
        <w:top w:val="none" w:sz="0" w:space="0" w:color="auto"/>
        <w:left w:val="none" w:sz="0" w:space="0" w:color="auto"/>
        <w:bottom w:val="none" w:sz="0" w:space="0" w:color="auto"/>
        <w:right w:val="none" w:sz="0" w:space="0" w:color="auto"/>
      </w:divBdr>
    </w:div>
    <w:div w:id="929318064">
      <w:bodyDiv w:val="1"/>
      <w:marLeft w:val="0"/>
      <w:marRight w:val="0"/>
      <w:marTop w:val="0"/>
      <w:marBottom w:val="0"/>
      <w:divBdr>
        <w:top w:val="none" w:sz="0" w:space="0" w:color="auto"/>
        <w:left w:val="none" w:sz="0" w:space="0" w:color="auto"/>
        <w:bottom w:val="none" w:sz="0" w:space="0" w:color="auto"/>
        <w:right w:val="none" w:sz="0" w:space="0" w:color="auto"/>
      </w:divBdr>
    </w:div>
    <w:div w:id="929391679">
      <w:bodyDiv w:val="1"/>
      <w:marLeft w:val="0"/>
      <w:marRight w:val="0"/>
      <w:marTop w:val="0"/>
      <w:marBottom w:val="0"/>
      <w:divBdr>
        <w:top w:val="none" w:sz="0" w:space="0" w:color="auto"/>
        <w:left w:val="none" w:sz="0" w:space="0" w:color="auto"/>
        <w:bottom w:val="none" w:sz="0" w:space="0" w:color="auto"/>
        <w:right w:val="none" w:sz="0" w:space="0" w:color="auto"/>
      </w:divBdr>
    </w:div>
    <w:div w:id="929432671">
      <w:bodyDiv w:val="1"/>
      <w:marLeft w:val="0"/>
      <w:marRight w:val="0"/>
      <w:marTop w:val="0"/>
      <w:marBottom w:val="0"/>
      <w:divBdr>
        <w:top w:val="none" w:sz="0" w:space="0" w:color="auto"/>
        <w:left w:val="none" w:sz="0" w:space="0" w:color="auto"/>
        <w:bottom w:val="none" w:sz="0" w:space="0" w:color="auto"/>
        <w:right w:val="none" w:sz="0" w:space="0" w:color="auto"/>
      </w:divBdr>
    </w:div>
    <w:div w:id="929435337">
      <w:bodyDiv w:val="1"/>
      <w:marLeft w:val="0"/>
      <w:marRight w:val="0"/>
      <w:marTop w:val="0"/>
      <w:marBottom w:val="0"/>
      <w:divBdr>
        <w:top w:val="none" w:sz="0" w:space="0" w:color="auto"/>
        <w:left w:val="none" w:sz="0" w:space="0" w:color="auto"/>
        <w:bottom w:val="none" w:sz="0" w:space="0" w:color="auto"/>
        <w:right w:val="none" w:sz="0" w:space="0" w:color="auto"/>
      </w:divBdr>
    </w:div>
    <w:div w:id="929629030">
      <w:bodyDiv w:val="1"/>
      <w:marLeft w:val="0"/>
      <w:marRight w:val="0"/>
      <w:marTop w:val="0"/>
      <w:marBottom w:val="0"/>
      <w:divBdr>
        <w:top w:val="none" w:sz="0" w:space="0" w:color="auto"/>
        <w:left w:val="none" w:sz="0" w:space="0" w:color="auto"/>
        <w:bottom w:val="none" w:sz="0" w:space="0" w:color="auto"/>
        <w:right w:val="none" w:sz="0" w:space="0" w:color="auto"/>
      </w:divBdr>
    </w:div>
    <w:div w:id="929699323">
      <w:bodyDiv w:val="1"/>
      <w:marLeft w:val="0"/>
      <w:marRight w:val="0"/>
      <w:marTop w:val="0"/>
      <w:marBottom w:val="0"/>
      <w:divBdr>
        <w:top w:val="none" w:sz="0" w:space="0" w:color="auto"/>
        <w:left w:val="none" w:sz="0" w:space="0" w:color="auto"/>
        <w:bottom w:val="none" w:sz="0" w:space="0" w:color="auto"/>
        <w:right w:val="none" w:sz="0" w:space="0" w:color="auto"/>
      </w:divBdr>
    </w:div>
    <w:div w:id="929699534">
      <w:bodyDiv w:val="1"/>
      <w:marLeft w:val="0"/>
      <w:marRight w:val="0"/>
      <w:marTop w:val="0"/>
      <w:marBottom w:val="0"/>
      <w:divBdr>
        <w:top w:val="none" w:sz="0" w:space="0" w:color="auto"/>
        <w:left w:val="none" w:sz="0" w:space="0" w:color="auto"/>
        <w:bottom w:val="none" w:sz="0" w:space="0" w:color="auto"/>
        <w:right w:val="none" w:sz="0" w:space="0" w:color="auto"/>
      </w:divBdr>
    </w:div>
    <w:div w:id="929776385">
      <w:bodyDiv w:val="1"/>
      <w:marLeft w:val="0"/>
      <w:marRight w:val="0"/>
      <w:marTop w:val="0"/>
      <w:marBottom w:val="0"/>
      <w:divBdr>
        <w:top w:val="none" w:sz="0" w:space="0" w:color="auto"/>
        <w:left w:val="none" w:sz="0" w:space="0" w:color="auto"/>
        <w:bottom w:val="none" w:sz="0" w:space="0" w:color="auto"/>
        <w:right w:val="none" w:sz="0" w:space="0" w:color="auto"/>
      </w:divBdr>
    </w:div>
    <w:div w:id="929922896">
      <w:bodyDiv w:val="1"/>
      <w:marLeft w:val="0"/>
      <w:marRight w:val="0"/>
      <w:marTop w:val="0"/>
      <w:marBottom w:val="0"/>
      <w:divBdr>
        <w:top w:val="none" w:sz="0" w:space="0" w:color="auto"/>
        <w:left w:val="none" w:sz="0" w:space="0" w:color="auto"/>
        <w:bottom w:val="none" w:sz="0" w:space="0" w:color="auto"/>
        <w:right w:val="none" w:sz="0" w:space="0" w:color="auto"/>
      </w:divBdr>
    </w:div>
    <w:div w:id="930048818">
      <w:bodyDiv w:val="1"/>
      <w:marLeft w:val="0"/>
      <w:marRight w:val="0"/>
      <w:marTop w:val="0"/>
      <w:marBottom w:val="0"/>
      <w:divBdr>
        <w:top w:val="none" w:sz="0" w:space="0" w:color="auto"/>
        <w:left w:val="none" w:sz="0" w:space="0" w:color="auto"/>
        <w:bottom w:val="none" w:sz="0" w:space="0" w:color="auto"/>
        <w:right w:val="none" w:sz="0" w:space="0" w:color="auto"/>
      </w:divBdr>
    </w:div>
    <w:div w:id="930092179">
      <w:bodyDiv w:val="1"/>
      <w:marLeft w:val="0"/>
      <w:marRight w:val="0"/>
      <w:marTop w:val="0"/>
      <w:marBottom w:val="0"/>
      <w:divBdr>
        <w:top w:val="none" w:sz="0" w:space="0" w:color="auto"/>
        <w:left w:val="none" w:sz="0" w:space="0" w:color="auto"/>
        <w:bottom w:val="none" w:sz="0" w:space="0" w:color="auto"/>
        <w:right w:val="none" w:sz="0" w:space="0" w:color="auto"/>
      </w:divBdr>
    </w:div>
    <w:div w:id="930116941">
      <w:bodyDiv w:val="1"/>
      <w:marLeft w:val="0"/>
      <w:marRight w:val="0"/>
      <w:marTop w:val="0"/>
      <w:marBottom w:val="0"/>
      <w:divBdr>
        <w:top w:val="none" w:sz="0" w:space="0" w:color="auto"/>
        <w:left w:val="none" w:sz="0" w:space="0" w:color="auto"/>
        <w:bottom w:val="none" w:sz="0" w:space="0" w:color="auto"/>
        <w:right w:val="none" w:sz="0" w:space="0" w:color="auto"/>
      </w:divBdr>
    </w:div>
    <w:div w:id="930158534">
      <w:bodyDiv w:val="1"/>
      <w:marLeft w:val="0"/>
      <w:marRight w:val="0"/>
      <w:marTop w:val="0"/>
      <w:marBottom w:val="0"/>
      <w:divBdr>
        <w:top w:val="none" w:sz="0" w:space="0" w:color="auto"/>
        <w:left w:val="none" w:sz="0" w:space="0" w:color="auto"/>
        <w:bottom w:val="none" w:sz="0" w:space="0" w:color="auto"/>
        <w:right w:val="none" w:sz="0" w:space="0" w:color="auto"/>
      </w:divBdr>
    </w:div>
    <w:div w:id="930242288">
      <w:bodyDiv w:val="1"/>
      <w:marLeft w:val="0"/>
      <w:marRight w:val="0"/>
      <w:marTop w:val="0"/>
      <w:marBottom w:val="0"/>
      <w:divBdr>
        <w:top w:val="none" w:sz="0" w:space="0" w:color="auto"/>
        <w:left w:val="none" w:sz="0" w:space="0" w:color="auto"/>
        <w:bottom w:val="none" w:sz="0" w:space="0" w:color="auto"/>
        <w:right w:val="none" w:sz="0" w:space="0" w:color="auto"/>
      </w:divBdr>
    </w:div>
    <w:div w:id="930355007">
      <w:bodyDiv w:val="1"/>
      <w:marLeft w:val="0"/>
      <w:marRight w:val="0"/>
      <w:marTop w:val="0"/>
      <w:marBottom w:val="0"/>
      <w:divBdr>
        <w:top w:val="none" w:sz="0" w:space="0" w:color="auto"/>
        <w:left w:val="none" w:sz="0" w:space="0" w:color="auto"/>
        <w:bottom w:val="none" w:sz="0" w:space="0" w:color="auto"/>
        <w:right w:val="none" w:sz="0" w:space="0" w:color="auto"/>
      </w:divBdr>
    </w:div>
    <w:div w:id="930356156">
      <w:bodyDiv w:val="1"/>
      <w:marLeft w:val="0"/>
      <w:marRight w:val="0"/>
      <w:marTop w:val="0"/>
      <w:marBottom w:val="0"/>
      <w:divBdr>
        <w:top w:val="none" w:sz="0" w:space="0" w:color="auto"/>
        <w:left w:val="none" w:sz="0" w:space="0" w:color="auto"/>
        <w:bottom w:val="none" w:sz="0" w:space="0" w:color="auto"/>
        <w:right w:val="none" w:sz="0" w:space="0" w:color="auto"/>
      </w:divBdr>
    </w:div>
    <w:div w:id="930427111">
      <w:bodyDiv w:val="1"/>
      <w:marLeft w:val="0"/>
      <w:marRight w:val="0"/>
      <w:marTop w:val="0"/>
      <w:marBottom w:val="0"/>
      <w:divBdr>
        <w:top w:val="none" w:sz="0" w:space="0" w:color="auto"/>
        <w:left w:val="none" w:sz="0" w:space="0" w:color="auto"/>
        <w:bottom w:val="none" w:sz="0" w:space="0" w:color="auto"/>
        <w:right w:val="none" w:sz="0" w:space="0" w:color="auto"/>
      </w:divBdr>
    </w:div>
    <w:div w:id="930507372">
      <w:bodyDiv w:val="1"/>
      <w:marLeft w:val="0"/>
      <w:marRight w:val="0"/>
      <w:marTop w:val="0"/>
      <w:marBottom w:val="0"/>
      <w:divBdr>
        <w:top w:val="none" w:sz="0" w:space="0" w:color="auto"/>
        <w:left w:val="none" w:sz="0" w:space="0" w:color="auto"/>
        <w:bottom w:val="none" w:sz="0" w:space="0" w:color="auto"/>
        <w:right w:val="none" w:sz="0" w:space="0" w:color="auto"/>
      </w:divBdr>
    </w:div>
    <w:div w:id="930507385">
      <w:bodyDiv w:val="1"/>
      <w:marLeft w:val="0"/>
      <w:marRight w:val="0"/>
      <w:marTop w:val="0"/>
      <w:marBottom w:val="0"/>
      <w:divBdr>
        <w:top w:val="none" w:sz="0" w:space="0" w:color="auto"/>
        <w:left w:val="none" w:sz="0" w:space="0" w:color="auto"/>
        <w:bottom w:val="none" w:sz="0" w:space="0" w:color="auto"/>
        <w:right w:val="none" w:sz="0" w:space="0" w:color="auto"/>
      </w:divBdr>
    </w:div>
    <w:div w:id="930510764">
      <w:bodyDiv w:val="1"/>
      <w:marLeft w:val="0"/>
      <w:marRight w:val="0"/>
      <w:marTop w:val="0"/>
      <w:marBottom w:val="0"/>
      <w:divBdr>
        <w:top w:val="none" w:sz="0" w:space="0" w:color="auto"/>
        <w:left w:val="none" w:sz="0" w:space="0" w:color="auto"/>
        <w:bottom w:val="none" w:sz="0" w:space="0" w:color="auto"/>
        <w:right w:val="none" w:sz="0" w:space="0" w:color="auto"/>
      </w:divBdr>
    </w:div>
    <w:div w:id="930623777">
      <w:bodyDiv w:val="1"/>
      <w:marLeft w:val="0"/>
      <w:marRight w:val="0"/>
      <w:marTop w:val="0"/>
      <w:marBottom w:val="0"/>
      <w:divBdr>
        <w:top w:val="none" w:sz="0" w:space="0" w:color="auto"/>
        <w:left w:val="none" w:sz="0" w:space="0" w:color="auto"/>
        <w:bottom w:val="none" w:sz="0" w:space="0" w:color="auto"/>
        <w:right w:val="none" w:sz="0" w:space="0" w:color="auto"/>
      </w:divBdr>
    </w:div>
    <w:div w:id="930743458">
      <w:bodyDiv w:val="1"/>
      <w:marLeft w:val="0"/>
      <w:marRight w:val="0"/>
      <w:marTop w:val="0"/>
      <w:marBottom w:val="0"/>
      <w:divBdr>
        <w:top w:val="none" w:sz="0" w:space="0" w:color="auto"/>
        <w:left w:val="none" w:sz="0" w:space="0" w:color="auto"/>
        <w:bottom w:val="none" w:sz="0" w:space="0" w:color="auto"/>
        <w:right w:val="none" w:sz="0" w:space="0" w:color="auto"/>
      </w:divBdr>
    </w:div>
    <w:div w:id="930744452">
      <w:bodyDiv w:val="1"/>
      <w:marLeft w:val="0"/>
      <w:marRight w:val="0"/>
      <w:marTop w:val="0"/>
      <w:marBottom w:val="0"/>
      <w:divBdr>
        <w:top w:val="none" w:sz="0" w:space="0" w:color="auto"/>
        <w:left w:val="none" w:sz="0" w:space="0" w:color="auto"/>
        <w:bottom w:val="none" w:sz="0" w:space="0" w:color="auto"/>
        <w:right w:val="none" w:sz="0" w:space="0" w:color="auto"/>
      </w:divBdr>
    </w:div>
    <w:div w:id="931011600">
      <w:bodyDiv w:val="1"/>
      <w:marLeft w:val="0"/>
      <w:marRight w:val="0"/>
      <w:marTop w:val="0"/>
      <w:marBottom w:val="0"/>
      <w:divBdr>
        <w:top w:val="none" w:sz="0" w:space="0" w:color="auto"/>
        <w:left w:val="none" w:sz="0" w:space="0" w:color="auto"/>
        <w:bottom w:val="none" w:sz="0" w:space="0" w:color="auto"/>
        <w:right w:val="none" w:sz="0" w:space="0" w:color="auto"/>
      </w:divBdr>
    </w:div>
    <w:div w:id="931013972">
      <w:bodyDiv w:val="1"/>
      <w:marLeft w:val="0"/>
      <w:marRight w:val="0"/>
      <w:marTop w:val="0"/>
      <w:marBottom w:val="0"/>
      <w:divBdr>
        <w:top w:val="none" w:sz="0" w:space="0" w:color="auto"/>
        <w:left w:val="none" w:sz="0" w:space="0" w:color="auto"/>
        <w:bottom w:val="none" w:sz="0" w:space="0" w:color="auto"/>
        <w:right w:val="none" w:sz="0" w:space="0" w:color="auto"/>
      </w:divBdr>
    </w:div>
    <w:div w:id="931085365">
      <w:bodyDiv w:val="1"/>
      <w:marLeft w:val="0"/>
      <w:marRight w:val="0"/>
      <w:marTop w:val="0"/>
      <w:marBottom w:val="0"/>
      <w:divBdr>
        <w:top w:val="none" w:sz="0" w:space="0" w:color="auto"/>
        <w:left w:val="none" w:sz="0" w:space="0" w:color="auto"/>
        <w:bottom w:val="none" w:sz="0" w:space="0" w:color="auto"/>
        <w:right w:val="none" w:sz="0" w:space="0" w:color="auto"/>
      </w:divBdr>
    </w:div>
    <w:div w:id="931429103">
      <w:bodyDiv w:val="1"/>
      <w:marLeft w:val="0"/>
      <w:marRight w:val="0"/>
      <w:marTop w:val="0"/>
      <w:marBottom w:val="0"/>
      <w:divBdr>
        <w:top w:val="none" w:sz="0" w:space="0" w:color="auto"/>
        <w:left w:val="none" w:sz="0" w:space="0" w:color="auto"/>
        <w:bottom w:val="none" w:sz="0" w:space="0" w:color="auto"/>
        <w:right w:val="none" w:sz="0" w:space="0" w:color="auto"/>
      </w:divBdr>
    </w:div>
    <w:div w:id="931429796">
      <w:bodyDiv w:val="1"/>
      <w:marLeft w:val="0"/>
      <w:marRight w:val="0"/>
      <w:marTop w:val="0"/>
      <w:marBottom w:val="0"/>
      <w:divBdr>
        <w:top w:val="none" w:sz="0" w:space="0" w:color="auto"/>
        <w:left w:val="none" w:sz="0" w:space="0" w:color="auto"/>
        <w:bottom w:val="none" w:sz="0" w:space="0" w:color="auto"/>
        <w:right w:val="none" w:sz="0" w:space="0" w:color="auto"/>
      </w:divBdr>
    </w:div>
    <w:div w:id="931472244">
      <w:bodyDiv w:val="1"/>
      <w:marLeft w:val="0"/>
      <w:marRight w:val="0"/>
      <w:marTop w:val="0"/>
      <w:marBottom w:val="0"/>
      <w:divBdr>
        <w:top w:val="none" w:sz="0" w:space="0" w:color="auto"/>
        <w:left w:val="none" w:sz="0" w:space="0" w:color="auto"/>
        <w:bottom w:val="none" w:sz="0" w:space="0" w:color="auto"/>
        <w:right w:val="none" w:sz="0" w:space="0" w:color="auto"/>
      </w:divBdr>
    </w:div>
    <w:div w:id="931476842">
      <w:bodyDiv w:val="1"/>
      <w:marLeft w:val="0"/>
      <w:marRight w:val="0"/>
      <w:marTop w:val="0"/>
      <w:marBottom w:val="0"/>
      <w:divBdr>
        <w:top w:val="none" w:sz="0" w:space="0" w:color="auto"/>
        <w:left w:val="none" w:sz="0" w:space="0" w:color="auto"/>
        <w:bottom w:val="none" w:sz="0" w:space="0" w:color="auto"/>
        <w:right w:val="none" w:sz="0" w:space="0" w:color="auto"/>
      </w:divBdr>
    </w:div>
    <w:div w:id="931548103">
      <w:bodyDiv w:val="1"/>
      <w:marLeft w:val="0"/>
      <w:marRight w:val="0"/>
      <w:marTop w:val="0"/>
      <w:marBottom w:val="0"/>
      <w:divBdr>
        <w:top w:val="none" w:sz="0" w:space="0" w:color="auto"/>
        <w:left w:val="none" w:sz="0" w:space="0" w:color="auto"/>
        <w:bottom w:val="none" w:sz="0" w:space="0" w:color="auto"/>
        <w:right w:val="none" w:sz="0" w:space="0" w:color="auto"/>
      </w:divBdr>
    </w:div>
    <w:div w:id="931595546">
      <w:bodyDiv w:val="1"/>
      <w:marLeft w:val="0"/>
      <w:marRight w:val="0"/>
      <w:marTop w:val="0"/>
      <w:marBottom w:val="0"/>
      <w:divBdr>
        <w:top w:val="none" w:sz="0" w:space="0" w:color="auto"/>
        <w:left w:val="none" w:sz="0" w:space="0" w:color="auto"/>
        <w:bottom w:val="none" w:sz="0" w:space="0" w:color="auto"/>
        <w:right w:val="none" w:sz="0" w:space="0" w:color="auto"/>
      </w:divBdr>
    </w:div>
    <w:div w:id="931624841">
      <w:bodyDiv w:val="1"/>
      <w:marLeft w:val="0"/>
      <w:marRight w:val="0"/>
      <w:marTop w:val="0"/>
      <w:marBottom w:val="0"/>
      <w:divBdr>
        <w:top w:val="none" w:sz="0" w:space="0" w:color="auto"/>
        <w:left w:val="none" w:sz="0" w:space="0" w:color="auto"/>
        <w:bottom w:val="none" w:sz="0" w:space="0" w:color="auto"/>
        <w:right w:val="none" w:sz="0" w:space="0" w:color="auto"/>
      </w:divBdr>
    </w:div>
    <w:div w:id="931625019">
      <w:bodyDiv w:val="1"/>
      <w:marLeft w:val="0"/>
      <w:marRight w:val="0"/>
      <w:marTop w:val="0"/>
      <w:marBottom w:val="0"/>
      <w:divBdr>
        <w:top w:val="none" w:sz="0" w:space="0" w:color="auto"/>
        <w:left w:val="none" w:sz="0" w:space="0" w:color="auto"/>
        <w:bottom w:val="none" w:sz="0" w:space="0" w:color="auto"/>
        <w:right w:val="none" w:sz="0" w:space="0" w:color="auto"/>
      </w:divBdr>
    </w:div>
    <w:div w:id="931817068">
      <w:bodyDiv w:val="1"/>
      <w:marLeft w:val="0"/>
      <w:marRight w:val="0"/>
      <w:marTop w:val="0"/>
      <w:marBottom w:val="0"/>
      <w:divBdr>
        <w:top w:val="none" w:sz="0" w:space="0" w:color="auto"/>
        <w:left w:val="none" w:sz="0" w:space="0" w:color="auto"/>
        <w:bottom w:val="none" w:sz="0" w:space="0" w:color="auto"/>
        <w:right w:val="none" w:sz="0" w:space="0" w:color="auto"/>
      </w:divBdr>
    </w:div>
    <w:div w:id="931857165">
      <w:bodyDiv w:val="1"/>
      <w:marLeft w:val="0"/>
      <w:marRight w:val="0"/>
      <w:marTop w:val="0"/>
      <w:marBottom w:val="0"/>
      <w:divBdr>
        <w:top w:val="none" w:sz="0" w:space="0" w:color="auto"/>
        <w:left w:val="none" w:sz="0" w:space="0" w:color="auto"/>
        <w:bottom w:val="none" w:sz="0" w:space="0" w:color="auto"/>
        <w:right w:val="none" w:sz="0" w:space="0" w:color="auto"/>
      </w:divBdr>
    </w:div>
    <w:div w:id="931939433">
      <w:bodyDiv w:val="1"/>
      <w:marLeft w:val="0"/>
      <w:marRight w:val="0"/>
      <w:marTop w:val="0"/>
      <w:marBottom w:val="0"/>
      <w:divBdr>
        <w:top w:val="none" w:sz="0" w:space="0" w:color="auto"/>
        <w:left w:val="none" w:sz="0" w:space="0" w:color="auto"/>
        <w:bottom w:val="none" w:sz="0" w:space="0" w:color="auto"/>
        <w:right w:val="none" w:sz="0" w:space="0" w:color="auto"/>
      </w:divBdr>
    </w:div>
    <w:div w:id="932012252">
      <w:bodyDiv w:val="1"/>
      <w:marLeft w:val="0"/>
      <w:marRight w:val="0"/>
      <w:marTop w:val="0"/>
      <w:marBottom w:val="0"/>
      <w:divBdr>
        <w:top w:val="none" w:sz="0" w:space="0" w:color="auto"/>
        <w:left w:val="none" w:sz="0" w:space="0" w:color="auto"/>
        <w:bottom w:val="none" w:sz="0" w:space="0" w:color="auto"/>
        <w:right w:val="none" w:sz="0" w:space="0" w:color="auto"/>
      </w:divBdr>
    </w:div>
    <w:div w:id="932014260">
      <w:bodyDiv w:val="1"/>
      <w:marLeft w:val="0"/>
      <w:marRight w:val="0"/>
      <w:marTop w:val="0"/>
      <w:marBottom w:val="0"/>
      <w:divBdr>
        <w:top w:val="none" w:sz="0" w:space="0" w:color="auto"/>
        <w:left w:val="none" w:sz="0" w:space="0" w:color="auto"/>
        <w:bottom w:val="none" w:sz="0" w:space="0" w:color="auto"/>
        <w:right w:val="none" w:sz="0" w:space="0" w:color="auto"/>
      </w:divBdr>
    </w:div>
    <w:div w:id="932591203">
      <w:bodyDiv w:val="1"/>
      <w:marLeft w:val="0"/>
      <w:marRight w:val="0"/>
      <w:marTop w:val="0"/>
      <w:marBottom w:val="0"/>
      <w:divBdr>
        <w:top w:val="none" w:sz="0" w:space="0" w:color="auto"/>
        <w:left w:val="none" w:sz="0" w:space="0" w:color="auto"/>
        <w:bottom w:val="none" w:sz="0" w:space="0" w:color="auto"/>
        <w:right w:val="none" w:sz="0" w:space="0" w:color="auto"/>
      </w:divBdr>
    </w:div>
    <w:div w:id="932595478">
      <w:bodyDiv w:val="1"/>
      <w:marLeft w:val="0"/>
      <w:marRight w:val="0"/>
      <w:marTop w:val="0"/>
      <w:marBottom w:val="0"/>
      <w:divBdr>
        <w:top w:val="none" w:sz="0" w:space="0" w:color="auto"/>
        <w:left w:val="none" w:sz="0" w:space="0" w:color="auto"/>
        <w:bottom w:val="none" w:sz="0" w:space="0" w:color="auto"/>
        <w:right w:val="none" w:sz="0" w:space="0" w:color="auto"/>
      </w:divBdr>
    </w:div>
    <w:div w:id="932665639">
      <w:bodyDiv w:val="1"/>
      <w:marLeft w:val="0"/>
      <w:marRight w:val="0"/>
      <w:marTop w:val="0"/>
      <w:marBottom w:val="0"/>
      <w:divBdr>
        <w:top w:val="none" w:sz="0" w:space="0" w:color="auto"/>
        <w:left w:val="none" w:sz="0" w:space="0" w:color="auto"/>
        <w:bottom w:val="none" w:sz="0" w:space="0" w:color="auto"/>
        <w:right w:val="none" w:sz="0" w:space="0" w:color="auto"/>
      </w:divBdr>
    </w:div>
    <w:div w:id="932710741">
      <w:bodyDiv w:val="1"/>
      <w:marLeft w:val="0"/>
      <w:marRight w:val="0"/>
      <w:marTop w:val="0"/>
      <w:marBottom w:val="0"/>
      <w:divBdr>
        <w:top w:val="none" w:sz="0" w:space="0" w:color="auto"/>
        <w:left w:val="none" w:sz="0" w:space="0" w:color="auto"/>
        <w:bottom w:val="none" w:sz="0" w:space="0" w:color="auto"/>
        <w:right w:val="none" w:sz="0" w:space="0" w:color="auto"/>
      </w:divBdr>
    </w:div>
    <w:div w:id="933366649">
      <w:bodyDiv w:val="1"/>
      <w:marLeft w:val="0"/>
      <w:marRight w:val="0"/>
      <w:marTop w:val="0"/>
      <w:marBottom w:val="0"/>
      <w:divBdr>
        <w:top w:val="none" w:sz="0" w:space="0" w:color="auto"/>
        <w:left w:val="none" w:sz="0" w:space="0" w:color="auto"/>
        <w:bottom w:val="none" w:sz="0" w:space="0" w:color="auto"/>
        <w:right w:val="none" w:sz="0" w:space="0" w:color="auto"/>
      </w:divBdr>
    </w:div>
    <w:div w:id="933391894">
      <w:bodyDiv w:val="1"/>
      <w:marLeft w:val="0"/>
      <w:marRight w:val="0"/>
      <w:marTop w:val="0"/>
      <w:marBottom w:val="0"/>
      <w:divBdr>
        <w:top w:val="none" w:sz="0" w:space="0" w:color="auto"/>
        <w:left w:val="none" w:sz="0" w:space="0" w:color="auto"/>
        <w:bottom w:val="none" w:sz="0" w:space="0" w:color="auto"/>
        <w:right w:val="none" w:sz="0" w:space="0" w:color="auto"/>
      </w:divBdr>
    </w:div>
    <w:div w:id="933587982">
      <w:bodyDiv w:val="1"/>
      <w:marLeft w:val="0"/>
      <w:marRight w:val="0"/>
      <w:marTop w:val="0"/>
      <w:marBottom w:val="0"/>
      <w:divBdr>
        <w:top w:val="none" w:sz="0" w:space="0" w:color="auto"/>
        <w:left w:val="none" w:sz="0" w:space="0" w:color="auto"/>
        <w:bottom w:val="none" w:sz="0" w:space="0" w:color="auto"/>
        <w:right w:val="none" w:sz="0" w:space="0" w:color="auto"/>
      </w:divBdr>
    </w:div>
    <w:div w:id="933590823">
      <w:bodyDiv w:val="1"/>
      <w:marLeft w:val="0"/>
      <w:marRight w:val="0"/>
      <w:marTop w:val="0"/>
      <w:marBottom w:val="0"/>
      <w:divBdr>
        <w:top w:val="none" w:sz="0" w:space="0" w:color="auto"/>
        <w:left w:val="none" w:sz="0" w:space="0" w:color="auto"/>
        <w:bottom w:val="none" w:sz="0" w:space="0" w:color="auto"/>
        <w:right w:val="none" w:sz="0" w:space="0" w:color="auto"/>
      </w:divBdr>
    </w:div>
    <w:div w:id="933704668">
      <w:bodyDiv w:val="1"/>
      <w:marLeft w:val="0"/>
      <w:marRight w:val="0"/>
      <w:marTop w:val="0"/>
      <w:marBottom w:val="0"/>
      <w:divBdr>
        <w:top w:val="none" w:sz="0" w:space="0" w:color="auto"/>
        <w:left w:val="none" w:sz="0" w:space="0" w:color="auto"/>
        <w:bottom w:val="none" w:sz="0" w:space="0" w:color="auto"/>
        <w:right w:val="none" w:sz="0" w:space="0" w:color="auto"/>
      </w:divBdr>
    </w:div>
    <w:div w:id="933785506">
      <w:bodyDiv w:val="1"/>
      <w:marLeft w:val="0"/>
      <w:marRight w:val="0"/>
      <w:marTop w:val="0"/>
      <w:marBottom w:val="0"/>
      <w:divBdr>
        <w:top w:val="none" w:sz="0" w:space="0" w:color="auto"/>
        <w:left w:val="none" w:sz="0" w:space="0" w:color="auto"/>
        <w:bottom w:val="none" w:sz="0" w:space="0" w:color="auto"/>
        <w:right w:val="none" w:sz="0" w:space="0" w:color="auto"/>
      </w:divBdr>
    </w:div>
    <w:div w:id="933830355">
      <w:bodyDiv w:val="1"/>
      <w:marLeft w:val="0"/>
      <w:marRight w:val="0"/>
      <w:marTop w:val="0"/>
      <w:marBottom w:val="0"/>
      <w:divBdr>
        <w:top w:val="none" w:sz="0" w:space="0" w:color="auto"/>
        <w:left w:val="none" w:sz="0" w:space="0" w:color="auto"/>
        <w:bottom w:val="none" w:sz="0" w:space="0" w:color="auto"/>
        <w:right w:val="none" w:sz="0" w:space="0" w:color="auto"/>
      </w:divBdr>
    </w:div>
    <w:div w:id="933896610">
      <w:bodyDiv w:val="1"/>
      <w:marLeft w:val="0"/>
      <w:marRight w:val="0"/>
      <w:marTop w:val="0"/>
      <w:marBottom w:val="0"/>
      <w:divBdr>
        <w:top w:val="none" w:sz="0" w:space="0" w:color="auto"/>
        <w:left w:val="none" w:sz="0" w:space="0" w:color="auto"/>
        <w:bottom w:val="none" w:sz="0" w:space="0" w:color="auto"/>
        <w:right w:val="none" w:sz="0" w:space="0" w:color="auto"/>
      </w:divBdr>
    </w:div>
    <w:div w:id="933900865">
      <w:bodyDiv w:val="1"/>
      <w:marLeft w:val="0"/>
      <w:marRight w:val="0"/>
      <w:marTop w:val="0"/>
      <w:marBottom w:val="0"/>
      <w:divBdr>
        <w:top w:val="none" w:sz="0" w:space="0" w:color="auto"/>
        <w:left w:val="none" w:sz="0" w:space="0" w:color="auto"/>
        <w:bottom w:val="none" w:sz="0" w:space="0" w:color="auto"/>
        <w:right w:val="none" w:sz="0" w:space="0" w:color="auto"/>
      </w:divBdr>
    </w:div>
    <w:div w:id="934019633">
      <w:bodyDiv w:val="1"/>
      <w:marLeft w:val="0"/>
      <w:marRight w:val="0"/>
      <w:marTop w:val="0"/>
      <w:marBottom w:val="0"/>
      <w:divBdr>
        <w:top w:val="none" w:sz="0" w:space="0" w:color="auto"/>
        <w:left w:val="none" w:sz="0" w:space="0" w:color="auto"/>
        <w:bottom w:val="none" w:sz="0" w:space="0" w:color="auto"/>
        <w:right w:val="none" w:sz="0" w:space="0" w:color="auto"/>
      </w:divBdr>
    </w:div>
    <w:div w:id="934048305">
      <w:bodyDiv w:val="1"/>
      <w:marLeft w:val="0"/>
      <w:marRight w:val="0"/>
      <w:marTop w:val="0"/>
      <w:marBottom w:val="0"/>
      <w:divBdr>
        <w:top w:val="none" w:sz="0" w:space="0" w:color="auto"/>
        <w:left w:val="none" w:sz="0" w:space="0" w:color="auto"/>
        <w:bottom w:val="none" w:sz="0" w:space="0" w:color="auto"/>
        <w:right w:val="none" w:sz="0" w:space="0" w:color="auto"/>
      </w:divBdr>
    </w:div>
    <w:div w:id="934169057">
      <w:bodyDiv w:val="1"/>
      <w:marLeft w:val="0"/>
      <w:marRight w:val="0"/>
      <w:marTop w:val="0"/>
      <w:marBottom w:val="0"/>
      <w:divBdr>
        <w:top w:val="none" w:sz="0" w:space="0" w:color="auto"/>
        <w:left w:val="none" w:sz="0" w:space="0" w:color="auto"/>
        <w:bottom w:val="none" w:sz="0" w:space="0" w:color="auto"/>
        <w:right w:val="none" w:sz="0" w:space="0" w:color="auto"/>
      </w:divBdr>
    </w:div>
    <w:div w:id="934290714">
      <w:bodyDiv w:val="1"/>
      <w:marLeft w:val="0"/>
      <w:marRight w:val="0"/>
      <w:marTop w:val="0"/>
      <w:marBottom w:val="0"/>
      <w:divBdr>
        <w:top w:val="none" w:sz="0" w:space="0" w:color="auto"/>
        <w:left w:val="none" w:sz="0" w:space="0" w:color="auto"/>
        <w:bottom w:val="none" w:sz="0" w:space="0" w:color="auto"/>
        <w:right w:val="none" w:sz="0" w:space="0" w:color="auto"/>
      </w:divBdr>
    </w:div>
    <w:div w:id="934359592">
      <w:bodyDiv w:val="1"/>
      <w:marLeft w:val="0"/>
      <w:marRight w:val="0"/>
      <w:marTop w:val="0"/>
      <w:marBottom w:val="0"/>
      <w:divBdr>
        <w:top w:val="none" w:sz="0" w:space="0" w:color="auto"/>
        <w:left w:val="none" w:sz="0" w:space="0" w:color="auto"/>
        <w:bottom w:val="none" w:sz="0" w:space="0" w:color="auto"/>
        <w:right w:val="none" w:sz="0" w:space="0" w:color="auto"/>
      </w:divBdr>
    </w:div>
    <w:div w:id="934361664">
      <w:bodyDiv w:val="1"/>
      <w:marLeft w:val="0"/>
      <w:marRight w:val="0"/>
      <w:marTop w:val="0"/>
      <w:marBottom w:val="0"/>
      <w:divBdr>
        <w:top w:val="none" w:sz="0" w:space="0" w:color="auto"/>
        <w:left w:val="none" w:sz="0" w:space="0" w:color="auto"/>
        <w:bottom w:val="none" w:sz="0" w:space="0" w:color="auto"/>
        <w:right w:val="none" w:sz="0" w:space="0" w:color="auto"/>
      </w:divBdr>
    </w:div>
    <w:div w:id="934440221">
      <w:bodyDiv w:val="1"/>
      <w:marLeft w:val="0"/>
      <w:marRight w:val="0"/>
      <w:marTop w:val="0"/>
      <w:marBottom w:val="0"/>
      <w:divBdr>
        <w:top w:val="none" w:sz="0" w:space="0" w:color="auto"/>
        <w:left w:val="none" w:sz="0" w:space="0" w:color="auto"/>
        <w:bottom w:val="none" w:sz="0" w:space="0" w:color="auto"/>
        <w:right w:val="none" w:sz="0" w:space="0" w:color="auto"/>
      </w:divBdr>
    </w:div>
    <w:div w:id="934479082">
      <w:bodyDiv w:val="1"/>
      <w:marLeft w:val="0"/>
      <w:marRight w:val="0"/>
      <w:marTop w:val="0"/>
      <w:marBottom w:val="0"/>
      <w:divBdr>
        <w:top w:val="none" w:sz="0" w:space="0" w:color="auto"/>
        <w:left w:val="none" w:sz="0" w:space="0" w:color="auto"/>
        <w:bottom w:val="none" w:sz="0" w:space="0" w:color="auto"/>
        <w:right w:val="none" w:sz="0" w:space="0" w:color="auto"/>
      </w:divBdr>
    </w:div>
    <w:div w:id="934509557">
      <w:bodyDiv w:val="1"/>
      <w:marLeft w:val="0"/>
      <w:marRight w:val="0"/>
      <w:marTop w:val="0"/>
      <w:marBottom w:val="0"/>
      <w:divBdr>
        <w:top w:val="none" w:sz="0" w:space="0" w:color="auto"/>
        <w:left w:val="none" w:sz="0" w:space="0" w:color="auto"/>
        <w:bottom w:val="none" w:sz="0" w:space="0" w:color="auto"/>
        <w:right w:val="none" w:sz="0" w:space="0" w:color="auto"/>
      </w:divBdr>
    </w:div>
    <w:div w:id="934557287">
      <w:bodyDiv w:val="1"/>
      <w:marLeft w:val="0"/>
      <w:marRight w:val="0"/>
      <w:marTop w:val="0"/>
      <w:marBottom w:val="0"/>
      <w:divBdr>
        <w:top w:val="none" w:sz="0" w:space="0" w:color="auto"/>
        <w:left w:val="none" w:sz="0" w:space="0" w:color="auto"/>
        <w:bottom w:val="none" w:sz="0" w:space="0" w:color="auto"/>
        <w:right w:val="none" w:sz="0" w:space="0" w:color="auto"/>
      </w:divBdr>
    </w:div>
    <w:div w:id="934630900">
      <w:bodyDiv w:val="1"/>
      <w:marLeft w:val="0"/>
      <w:marRight w:val="0"/>
      <w:marTop w:val="0"/>
      <w:marBottom w:val="0"/>
      <w:divBdr>
        <w:top w:val="none" w:sz="0" w:space="0" w:color="auto"/>
        <w:left w:val="none" w:sz="0" w:space="0" w:color="auto"/>
        <w:bottom w:val="none" w:sz="0" w:space="0" w:color="auto"/>
        <w:right w:val="none" w:sz="0" w:space="0" w:color="auto"/>
      </w:divBdr>
    </w:div>
    <w:div w:id="934702995">
      <w:bodyDiv w:val="1"/>
      <w:marLeft w:val="0"/>
      <w:marRight w:val="0"/>
      <w:marTop w:val="0"/>
      <w:marBottom w:val="0"/>
      <w:divBdr>
        <w:top w:val="none" w:sz="0" w:space="0" w:color="auto"/>
        <w:left w:val="none" w:sz="0" w:space="0" w:color="auto"/>
        <w:bottom w:val="none" w:sz="0" w:space="0" w:color="auto"/>
        <w:right w:val="none" w:sz="0" w:space="0" w:color="auto"/>
      </w:divBdr>
    </w:div>
    <w:div w:id="934703808">
      <w:bodyDiv w:val="1"/>
      <w:marLeft w:val="0"/>
      <w:marRight w:val="0"/>
      <w:marTop w:val="0"/>
      <w:marBottom w:val="0"/>
      <w:divBdr>
        <w:top w:val="none" w:sz="0" w:space="0" w:color="auto"/>
        <w:left w:val="none" w:sz="0" w:space="0" w:color="auto"/>
        <w:bottom w:val="none" w:sz="0" w:space="0" w:color="auto"/>
        <w:right w:val="none" w:sz="0" w:space="0" w:color="auto"/>
      </w:divBdr>
    </w:div>
    <w:div w:id="934747096">
      <w:bodyDiv w:val="1"/>
      <w:marLeft w:val="0"/>
      <w:marRight w:val="0"/>
      <w:marTop w:val="0"/>
      <w:marBottom w:val="0"/>
      <w:divBdr>
        <w:top w:val="none" w:sz="0" w:space="0" w:color="auto"/>
        <w:left w:val="none" w:sz="0" w:space="0" w:color="auto"/>
        <w:bottom w:val="none" w:sz="0" w:space="0" w:color="auto"/>
        <w:right w:val="none" w:sz="0" w:space="0" w:color="auto"/>
      </w:divBdr>
    </w:div>
    <w:div w:id="934821789">
      <w:bodyDiv w:val="1"/>
      <w:marLeft w:val="0"/>
      <w:marRight w:val="0"/>
      <w:marTop w:val="0"/>
      <w:marBottom w:val="0"/>
      <w:divBdr>
        <w:top w:val="none" w:sz="0" w:space="0" w:color="auto"/>
        <w:left w:val="none" w:sz="0" w:space="0" w:color="auto"/>
        <w:bottom w:val="none" w:sz="0" w:space="0" w:color="auto"/>
        <w:right w:val="none" w:sz="0" w:space="0" w:color="auto"/>
      </w:divBdr>
    </w:div>
    <w:div w:id="934827853">
      <w:bodyDiv w:val="1"/>
      <w:marLeft w:val="0"/>
      <w:marRight w:val="0"/>
      <w:marTop w:val="0"/>
      <w:marBottom w:val="0"/>
      <w:divBdr>
        <w:top w:val="none" w:sz="0" w:space="0" w:color="auto"/>
        <w:left w:val="none" w:sz="0" w:space="0" w:color="auto"/>
        <w:bottom w:val="none" w:sz="0" w:space="0" w:color="auto"/>
        <w:right w:val="none" w:sz="0" w:space="0" w:color="auto"/>
      </w:divBdr>
    </w:div>
    <w:div w:id="934828670">
      <w:bodyDiv w:val="1"/>
      <w:marLeft w:val="0"/>
      <w:marRight w:val="0"/>
      <w:marTop w:val="0"/>
      <w:marBottom w:val="0"/>
      <w:divBdr>
        <w:top w:val="none" w:sz="0" w:space="0" w:color="auto"/>
        <w:left w:val="none" w:sz="0" w:space="0" w:color="auto"/>
        <w:bottom w:val="none" w:sz="0" w:space="0" w:color="auto"/>
        <w:right w:val="none" w:sz="0" w:space="0" w:color="auto"/>
      </w:divBdr>
    </w:div>
    <w:div w:id="934871852">
      <w:bodyDiv w:val="1"/>
      <w:marLeft w:val="0"/>
      <w:marRight w:val="0"/>
      <w:marTop w:val="0"/>
      <w:marBottom w:val="0"/>
      <w:divBdr>
        <w:top w:val="none" w:sz="0" w:space="0" w:color="auto"/>
        <w:left w:val="none" w:sz="0" w:space="0" w:color="auto"/>
        <w:bottom w:val="none" w:sz="0" w:space="0" w:color="auto"/>
        <w:right w:val="none" w:sz="0" w:space="0" w:color="auto"/>
      </w:divBdr>
    </w:div>
    <w:div w:id="934943394">
      <w:bodyDiv w:val="1"/>
      <w:marLeft w:val="0"/>
      <w:marRight w:val="0"/>
      <w:marTop w:val="0"/>
      <w:marBottom w:val="0"/>
      <w:divBdr>
        <w:top w:val="none" w:sz="0" w:space="0" w:color="auto"/>
        <w:left w:val="none" w:sz="0" w:space="0" w:color="auto"/>
        <w:bottom w:val="none" w:sz="0" w:space="0" w:color="auto"/>
        <w:right w:val="none" w:sz="0" w:space="0" w:color="auto"/>
      </w:divBdr>
    </w:div>
    <w:div w:id="934946952">
      <w:bodyDiv w:val="1"/>
      <w:marLeft w:val="0"/>
      <w:marRight w:val="0"/>
      <w:marTop w:val="0"/>
      <w:marBottom w:val="0"/>
      <w:divBdr>
        <w:top w:val="none" w:sz="0" w:space="0" w:color="auto"/>
        <w:left w:val="none" w:sz="0" w:space="0" w:color="auto"/>
        <w:bottom w:val="none" w:sz="0" w:space="0" w:color="auto"/>
        <w:right w:val="none" w:sz="0" w:space="0" w:color="auto"/>
      </w:divBdr>
    </w:div>
    <w:div w:id="935017889">
      <w:bodyDiv w:val="1"/>
      <w:marLeft w:val="0"/>
      <w:marRight w:val="0"/>
      <w:marTop w:val="0"/>
      <w:marBottom w:val="0"/>
      <w:divBdr>
        <w:top w:val="none" w:sz="0" w:space="0" w:color="auto"/>
        <w:left w:val="none" w:sz="0" w:space="0" w:color="auto"/>
        <w:bottom w:val="none" w:sz="0" w:space="0" w:color="auto"/>
        <w:right w:val="none" w:sz="0" w:space="0" w:color="auto"/>
      </w:divBdr>
    </w:div>
    <w:div w:id="935093864">
      <w:bodyDiv w:val="1"/>
      <w:marLeft w:val="0"/>
      <w:marRight w:val="0"/>
      <w:marTop w:val="0"/>
      <w:marBottom w:val="0"/>
      <w:divBdr>
        <w:top w:val="none" w:sz="0" w:space="0" w:color="auto"/>
        <w:left w:val="none" w:sz="0" w:space="0" w:color="auto"/>
        <w:bottom w:val="none" w:sz="0" w:space="0" w:color="auto"/>
        <w:right w:val="none" w:sz="0" w:space="0" w:color="auto"/>
      </w:divBdr>
    </w:div>
    <w:div w:id="935139061">
      <w:bodyDiv w:val="1"/>
      <w:marLeft w:val="0"/>
      <w:marRight w:val="0"/>
      <w:marTop w:val="0"/>
      <w:marBottom w:val="0"/>
      <w:divBdr>
        <w:top w:val="none" w:sz="0" w:space="0" w:color="auto"/>
        <w:left w:val="none" w:sz="0" w:space="0" w:color="auto"/>
        <w:bottom w:val="none" w:sz="0" w:space="0" w:color="auto"/>
        <w:right w:val="none" w:sz="0" w:space="0" w:color="auto"/>
      </w:divBdr>
    </w:div>
    <w:div w:id="935288913">
      <w:bodyDiv w:val="1"/>
      <w:marLeft w:val="0"/>
      <w:marRight w:val="0"/>
      <w:marTop w:val="0"/>
      <w:marBottom w:val="0"/>
      <w:divBdr>
        <w:top w:val="none" w:sz="0" w:space="0" w:color="auto"/>
        <w:left w:val="none" w:sz="0" w:space="0" w:color="auto"/>
        <w:bottom w:val="none" w:sz="0" w:space="0" w:color="auto"/>
        <w:right w:val="none" w:sz="0" w:space="0" w:color="auto"/>
      </w:divBdr>
    </w:div>
    <w:div w:id="935289926">
      <w:bodyDiv w:val="1"/>
      <w:marLeft w:val="0"/>
      <w:marRight w:val="0"/>
      <w:marTop w:val="0"/>
      <w:marBottom w:val="0"/>
      <w:divBdr>
        <w:top w:val="none" w:sz="0" w:space="0" w:color="auto"/>
        <w:left w:val="none" w:sz="0" w:space="0" w:color="auto"/>
        <w:bottom w:val="none" w:sz="0" w:space="0" w:color="auto"/>
        <w:right w:val="none" w:sz="0" w:space="0" w:color="auto"/>
      </w:divBdr>
    </w:div>
    <w:div w:id="935291871">
      <w:bodyDiv w:val="1"/>
      <w:marLeft w:val="0"/>
      <w:marRight w:val="0"/>
      <w:marTop w:val="0"/>
      <w:marBottom w:val="0"/>
      <w:divBdr>
        <w:top w:val="none" w:sz="0" w:space="0" w:color="auto"/>
        <w:left w:val="none" w:sz="0" w:space="0" w:color="auto"/>
        <w:bottom w:val="none" w:sz="0" w:space="0" w:color="auto"/>
        <w:right w:val="none" w:sz="0" w:space="0" w:color="auto"/>
      </w:divBdr>
    </w:div>
    <w:div w:id="935527818">
      <w:bodyDiv w:val="1"/>
      <w:marLeft w:val="0"/>
      <w:marRight w:val="0"/>
      <w:marTop w:val="0"/>
      <w:marBottom w:val="0"/>
      <w:divBdr>
        <w:top w:val="none" w:sz="0" w:space="0" w:color="auto"/>
        <w:left w:val="none" w:sz="0" w:space="0" w:color="auto"/>
        <w:bottom w:val="none" w:sz="0" w:space="0" w:color="auto"/>
        <w:right w:val="none" w:sz="0" w:space="0" w:color="auto"/>
      </w:divBdr>
    </w:div>
    <w:div w:id="935555612">
      <w:bodyDiv w:val="1"/>
      <w:marLeft w:val="0"/>
      <w:marRight w:val="0"/>
      <w:marTop w:val="0"/>
      <w:marBottom w:val="0"/>
      <w:divBdr>
        <w:top w:val="none" w:sz="0" w:space="0" w:color="auto"/>
        <w:left w:val="none" w:sz="0" w:space="0" w:color="auto"/>
        <w:bottom w:val="none" w:sz="0" w:space="0" w:color="auto"/>
        <w:right w:val="none" w:sz="0" w:space="0" w:color="auto"/>
      </w:divBdr>
    </w:div>
    <w:div w:id="935792224">
      <w:bodyDiv w:val="1"/>
      <w:marLeft w:val="0"/>
      <w:marRight w:val="0"/>
      <w:marTop w:val="0"/>
      <w:marBottom w:val="0"/>
      <w:divBdr>
        <w:top w:val="none" w:sz="0" w:space="0" w:color="auto"/>
        <w:left w:val="none" w:sz="0" w:space="0" w:color="auto"/>
        <w:bottom w:val="none" w:sz="0" w:space="0" w:color="auto"/>
        <w:right w:val="none" w:sz="0" w:space="0" w:color="auto"/>
      </w:divBdr>
    </w:div>
    <w:div w:id="935794929">
      <w:bodyDiv w:val="1"/>
      <w:marLeft w:val="0"/>
      <w:marRight w:val="0"/>
      <w:marTop w:val="0"/>
      <w:marBottom w:val="0"/>
      <w:divBdr>
        <w:top w:val="none" w:sz="0" w:space="0" w:color="auto"/>
        <w:left w:val="none" w:sz="0" w:space="0" w:color="auto"/>
        <w:bottom w:val="none" w:sz="0" w:space="0" w:color="auto"/>
        <w:right w:val="none" w:sz="0" w:space="0" w:color="auto"/>
      </w:divBdr>
    </w:div>
    <w:div w:id="935937643">
      <w:bodyDiv w:val="1"/>
      <w:marLeft w:val="0"/>
      <w:marRight w:val="0"/>
      <w:marTop w:val="0"/>
      <w:marBottom w:val="0"/>
      <w:divBdr>
        <w:top w:val="none" w:sz="0" w:space="0" w:color="auto"/>
        <w:left w:val="none" w:sz="0" w:space="0" w:color="auto"/>
        <w:bottom w:val="none" w:sz="0" w:space="0" w:color="auto"/>
        <w:right w:val="none" w:sz="0" w:space="0" w:color="auto"/>
      </w:divBdr>
    </w:div>
    <w:div w:id="935938643">
      <w:bodyDiv w:val="1"/>
      <w:marLeft w:val="0"/>
      <w:marRight w:val="0"/>
      <w:marTop w:val="0"/>
      <w:marBottom w:val="0"/>
      <w:divBdr>
        <w:top w:val="none" w:sz="0" w:space="0" w:color="auto"/>
        <w:left w:val="none" w:sz="0" w:space="0" w:color="auto"/>
        <w:bottom w:val="none" w:sz="0" w:space="0" w:color="auto"/>
        <w:right w:val="none" w:sz="0" w:space="0" w:color="auto"/>
      </w:divBdr>
    </w:div>
    <w:div w:id="935987487">
      <w:bodyDiv w:val="1"/>
      <w:marLeft w:val="0"/>
      <w:marRight w:val="0"/>
      <w:marTop w:val="0"/>
      <w:marBottom w:val="0"/>
      <w:divBdr>
        <w:top w:val="none" w:sz="0" w:space="0" w:color="auto"/>
        <w:left w:val="none" w:sz="0" w:space="0" w:color="auto"/>
        <w:bottom w:val="none" w:sz="0" w:space="0" w:color="auto"/>
        <w:right w:val="none" w:sz="0" w:space="0" w:color="auto"/>
      </w:divBdr>
    </w:div>
    <w:div w:id="936063318">
      <w:bodyDiv w:val="1"/>
      <w:marLeft w:val="0"/>
      <w:marRight w:val="0"/>
      <w:marTop w:val="0"/>
      <w:marBottom w:val="0"/>
      <w:divBdr>
        <w:top w:val="none" w:sz="0" w:space="0" w:color="auto"/>
        <w:left w:val="none" w:sz="0" w:space="0" w:color="auto"/>
        <w:bottom w:val="none" w:sz="0" w:space="0" w:color="auto"/>
        <w:right w:val="none" w:sz="0" w:space="0" w:color="auto"/>
      </w:divBdr>
    </w:div>
    <w:div w:id="936249794">
      <w:bodyDiv w:val="1"/>
      <w:marLeft w:val="0"/>
      <w:marRight w:val="0"/>
      <w:marTop w:val="0"/>
      <w:marBottom w:val="0"/>
      <w:divBdr>
        <w:top w:val="none" w:sz="0" w:space="0" w:color="auto"/>
        <w:left w:val="none" w:sz="0" w:space="0" w:color="auto"/>
        <w:bottom w:val="none" w:sz="0" w:space="0" w:color="auto"/>
        <w:right w:val="none" w:sz="0" w:space="0" w:color="auto"/>
      </w:divBdr>
    </w:div>
    <w:div w:id="936251119">
      <w:bodyDiv w:val="1"/>
      <w:marLeft w:val="0"/>
      <w:marRight w:val="0"/>
      <w:marTop w:val="0"/>
      <w:marBottom w:val="0"/>
      <w:divBdr>
        <w:top w:val="none" w:sz="0" w:space="0" w:color="auto"/>
        <w:left w:val="none" w:sz="0" w:space="0" w:color="auto"/>
        <w:bottom w:val="none" w:sz="0" w:space="0" w:color="auto"/>
        <w:right w:val="none" w:sz="0" w:space="0" w:color="auto"/>
      </w:divBdr>
    </w:div>
    <w:div w:id="936324900">
      <w:bodyDiv w:val="1"/>
      <w:marLeft w:val="0"/>
      <w:marRight w:val="0"/>
      <w:marTop w:val="0"/>
      <w:marBottom w:val="0"/>
      <w:divBdr>
        <w:top w:val="none" w:sz="0" w:space="0" w:color="auto"/>
        <w:left w:val="none" w:sz="0" w:space="0" w:color="auto"/>
        <w:bottom w:val="none" w:sz="0" w:space="0" w:color="auto"/>
        <w:right w:val="none" w:sz="0" w:space="0" w:color="auto"/>
      </w:divBdr>
    </w:div>
    <w:div w:id="936450302">
      <w:bodyDiv w:val="1"/>
      <w:marLeft w:val="0"/>
      <w:marRight w:val="0"/>
      <w:marTop w:val="0"/>
      <w:marBottom w:val="0"/>
      <w:divBdr>
        <w:top w:val="none" w:sz="0" w:space="0" w:color="auto"/>
        <w:left w:val="none" w:sz="0" w:space="0" w:color="auto"/>
        <w:bottom w:val="none" w:sz="0" w:space="0" w:color="auto"/>
        <w:right w:val="none" w:sz="0" w:space="0" w:color="auto"/>
      </w:divBdr>
    </w:div>
    <w:div w:id="936517465">
      <w:bodyDiv w:val="1"/>
      <w:marLeft w:val="0"/>
      <w:marRight w:val="0"/>
      <w:marTop w:val="0"/>
      <w:marBottom w:val="0"/>
      <w:divBdr>
        <w:top w:val="none" w:sz="0" w:space="0" w:color="auto"/>
        <w:left w:val="none" w:sz="0" w:space="0" w:color="auto"/>
        <w:bottom w:val="none" w:sz="0" w:space="0" w:color="auto"/>
        <w:right w:val="none" w:sz="0" w:space="0" w:color="auto"/>
      </w:divBdr>
    </w:div>
    <w:div w:id="936519075">
      <w:bodyDiv w:val="1"/>
      <w:marLeft w:val="0"/>
      <w:marRight w:val="0"/>
      <w:marTop w:val="0"/>
      <w:marBottom w:val="0"/>
      <w:divBdr>
        <w:top w:val="none" w:sz="0" w:space="0" w:color="auto"/>
        <w:left w:val="none" w:sz="0" w:space="0" w:color="auto"/>
        <w:bottom w:val="none" w:sz="0" w:space="0" w:color="auto"/>
        <w:right w:val="none" w:sz="0" w:space="0" w:color="auto"/>
      </w:divBdr>
    </w:div>
    <w:div w:id="936668176">
      <w:bodyDiv w:val="1"/>
      <w:marLeft w:val="0"/>
      <w:marRight w:val="0"/>
      <w:marTop w:val="0"/>
      <w:marBottom w:val="0"/>
      <w:divBdr>
        <w:top w:val="none" w:sz="0" w:space="0" w:color="auto"/>
        <w:left w:val="none" w:sz="0" w:space="0" w:color="auto"/>
        <w:bottom w:val="none" w:sz="0" w:space="0" w:color="auto"/>
        <w:right w:val="none" w:sz="0" w:space="0" w:color="auto"/>
      </w:divBdr>
    </w:div>
    <w:div w:id="936713695">
      <w:bodyDiv w:val="1"/>
      <w:marLeft w:val="0"/>
      <w:marRight w:val="0"/>
      <w:marTop w:val="0"/>
      <w:marBottom w:val="0"/>
      <w:divBdr>
        <w:top w:val="none" w:sz="0" w:space="0" w:color="auto"/>
        <w:left w:val="none" w:sz="0" w:space="0" w:color="auto"/>
        <w:bottom w:val="none" w:sz="0" w:space="0" w:color="auto"/>
        <w:right w:val="none" w:sz="0" w:space="0" w:color="auto"/>
      </w:divBdr>
    </w:div>
    <w:div w:id="936905103">
      <w:bodyDiv w:val="1"/>
      <w:marLeft w:val="0"/>
      <w:marRight w:val="0"/>
      <w:marTop w:val="0"/>
      <w:marBottom w:val="0"/>
      <w:divBdr>
        <w:top w:val="none" w:sz="0" w:space="0" w:color="auto"/>
        <w:left w:val="none" w:sz="0" w:space="0" w:color="auto"/>
        <w:bottom w:val="none" w:sz="0" w:space="0" w:color="auto"/>
        <w:right w:val="none" w:sz="0" w:space="0" w:color="auto"/>
      </w:divBdr>
    </w:div>
    <w:div w:id="936910269">
      <w:bodyDiv w:val="1"/>
      <w:marLeft w:val="0"/>
      <w:marRight w:val="0"/>
      <w:marTop w:val="0"/>
      <w:marBottom w:val="0"/>
      <w:divBdr>
        <w:top w:val="none" w:sz="0" w:space="0" w:color="auto"/>
        <w:left w:val="none" w:sz="0" w:space="0" w:color="auto"/>
        <w:bottom w:val="none" w:sz="0" w:space="0" w:color="auto"/>
        <w:right w:val="none" w:sz="0" w:space="0" w:color="auto"/>
      </w:divBdr>
    </w:div>
    <w:div w:id="936912873">
      <w:bodyDiv w:val="1"/>
      <w:marLeft w:val="0"/>
      <w:marRight w:val="0"/>
      <w:marTop w:val="0"/>
      <w:marBottom w:val="0"/>
      <w:divBdr>
        <w:top w:val="none" w:sz="0" w:space="0" w:color="auto"/>
        <w:left w:val="none" w:sz="0" w:space="0" w:color="auto"/>
        <w:bottom w:val="none" w:sz="0" w:space="0" w:color="auto"/>
        <w:right w:val="none" w:sz="0" w:space="0" w:color="auto"/>
      </w:divBdr>
    </w:div>
    <w:div w:id="936912898">
      <w:bodyDiv w:val="1"/>
      <w:marLeft w:val="0"/>
      <w:marRight w:val="0"/>
      <w:marTop w:val="0"/>
      <w:marBottom w:val="0"/>
      <w:divBdr>
        <w:top w:val="none" w:sz="0" w:space="0" w:color="auto"/>
        <w:left w:val="none" w:sz="0" w:space="0" w:color="auto"/>
        <w:bottom w:val="none" w:sz="0" w:space="0" w:color="auto"/>
        <w:right w:val="none" w:sz="0" w:space="0" w:color="auto"/>
      </w:divBdr>
    </w:div>
    <w:div w:id="936982870">
      <w:bodyDiv w:val="1"/>
      <w:marLeft w:val="0"/>
      <w:marRight w:val="0"/>
      <w:marTop w:val="0"/>
      <w:marBottom w:val="0"/>
      <w:divBdr>
        <w:top w:val="none" w:sz="0" w:space="0" w:color="auto"/>
        <w:left w:val="none" w:sz="0" w:space="0" w:color="auto"/>
        <w:bottom w:val="none" w:sz="0" w:space="0" w:color="auto"/>
        <w:right w:val="none" w:sz="0" w:space="0" w:color="auto"/>
      </w:divBdr>
    </w:div>
    <w:div w:id="936984843">
      <w:bodyDiv w:val="1"/>
      <w:marLeft w:val="0"/>
      <w:marRight w:val="0"/>
      <w:marTop w:val="0"/>
      <w:marBottom w:val="0"/>
      <w:divBdr>
        <w:top w:val="none" w:sz="0" w:space="0" w:color="auto"/>
        <w:left w:val="none" w:sz="0" w:space="0" w:color="auto"/>
        <w:bottom w:val="none" w:sz="0" w:space="0" w:color="auto"/>
        <w:right w:val="none" w:sz="0" w:space="0" w:color="auto"/>
      </w:divBdr>
    </w:div>
    <w:div w:id="937061491">
      <w:bodyDiv w:val="1"/>
      <w:marLeft w:val="0"/>
      <w:marRight w:val="0"/>
      <w:marTop w:val="0"/>
      <w:marBottom w:val="0"/>
      <w:divBdr>
        <w:top w:val="none" w:sz="0" w:space="0" w:color="auto"/>
        <w:left w:val="none" w:sz="0" w:space="0" w:color="auto"/>
        <w:bottom w:val="none" w:sz="0" w:space="0" w:color="auto"/>
        <w:right w:val="none" w:sz="0" w:space="0" w:color="auto"/>
      </w:divBdr>
    </w:div>
    <w:div w:id="937099797">
      <w:bodyDiv w:val="1"/>
      <w:marLeft w:val="0"/>
      <w:marRight w:val="0"/>
      <w:marTop w:val="0"/>
      <w:marBottom w:val="0"/>
      <w:divBdr>
        <w:top w:val="none" w:sz="0" w:space="0" w:color="auto"/>
        <w:left w:val="none" w:sz="0" w:space="0" w:color="auto"/>
        <w:bottom w:val="none" w:sz="0" w:space="0" w:color="auto"/>
        <w:right w:val="none" w:sz="0" w:space="0" w:color="auto"/>
      </w:divBdr>
    </w:div>
    <w:div w:id="937102520">
      <w:bodyDiv w:val="1"/>
      <w:marLeft w:val="0"/>
      <w:marRight w:val="0"/>
      <w:marTop w:val="0"/>
      <w:marBottom w:val="0"/>
      <w:divBdr>
        <w:top w:val="none" w:sz="0" w:space="0" w:color="auto"/>
        <w:left w:val="none" w:sz="0" w:space="0" w:color="auto"/>
        <w:bottom w:val="none" w:sz="0" w:space="0" w:color="auto"/>
        <w:right w:val="none" w:sz="0" w:space="0" w:color="auto"/>
      </w:divBdr>
    </w:div>
    <w:div w:id="937175060">
      <w:bodyDiv w:val="1"/>
      <w:marLeft w:val="0"/>
      <w:marRight w:val="0"/>
      <w:marTop w:val="0"/>
      <w:marBottom w:val="0"/>
      <w:divBdr>
        <w:top w:val="none" w:sz="0" w:space="0" w:color="auto"/>
        <w:left w:val="none" w:sz="0" w:space="0" w:color="auto"/>
        <w:bottom w:val="none" w:sz="0" w:space="0" w:color="auto"/>
        <w:right w:val="none" w:sz="0" w:space="0" w:color="auto"/>
      </w:divBdr>
    </w:div>
    <w:div w:id="937251043">
      <w:bodyDiv w:val="1"/>
      <w:marLeft w:val="0"/>
      <w:marRight w:val="0"/>
      <w:marTop w:val="0"/>
      <w:marBottom w:val="0"/>
      <w:divBdr>
        <w:top w:val="none" w:sz="0" w:space="0" w:color="auto"/>
        <w:left w:val="none" w:sz="0" w:space="0" w:color="auto"/>
        <w:bottom w:val="none" w:sz="0" w:space="0" w:color="auto"/>
        <w:right w:val="none" w:sz="0" w:space="0" w:color="auto"/>
      </w:divBdr>
    </w:div>
    <w:div w:id="937370756">
      <w:bodyDiv w:val="1"/>
      <w:marLeft w:val="0"/>
      <w:marRight w:val="0"/>
      <w:marTop w:val="0"/>
      <w:marBottom w:val="0"/>
      <w:divBdr>
        <w:top w:val="none" w:sz="0" w:space="0" w:color="auto"/>
        <w:left w:val="none" w:sz="0" w:space="0" w:color="auto"/>
        <w:bottom w:val="none" w:sz="0" w:space="0" w:color="auto"/>
        <w:right w:val="none" w:sz="0" w:space="0" w:color="auto"/>
      </w:divBdr>
    </w:div>
    <w:div w:id="937443514">
      <w:bodyDiv w:val="1"/>
      <w:marLeft w:val="0"/>
      <w:marRight w:val="0"/>
      <w:marTop w:val="0"/>
      <w:marBottom w:val="0"/>
      <w:divBdr>
        <w:top w:val="none" w:sz="0" w:space="0" w:color="auto"/>
        <w:left w:val="none" w:sz="0" w:space="0" w:color="auto"/>
        <w:bottom w:val="none" w:sz="0" w:space="0" w:color="auto"/>
        <w:right w:val="none" w:sz="0" w:space="0" w:color="auto"/>
      </w:divBdr>
    </w:div>
    <w:div w:id="937449243">
      <w:bodyDiv w:val="1"/>
      <w:marLeft w:val="0"/>
      <w:marRight w:val="0"/>
      <w:marTop w:val="0"/>
      <w:marBottom w:val="0"/>
      <w:divBdr>
        <w:top w:val="none" w:sz="0" w:space="0" w:color="auto"/>
        <w:left w:val="none" w:sz="0" w:space="0" w:color="auto"/>
        <w:bottom w:val="none" w:sz="0" w:space="0" w:color="auto"/>
        <w:right w:val="none" w:sz="0" w:space="0" w:color="auto"/>
      </w:divBdr>
    </w:div>
    <w:div w:id="937520594">
      <w:bodyDiv w:val="1"/>
      <w:marLeft w:val="0"/>
      <w:marRight w:val="0"/>
      <w:marTop w:val="0"/>
      <w:marBottom w:val="0"/>
      <w:divBdr>
        <w:top w:val="none" w:sz="0" w:space="0" w:color="auto"/>
        <w:left w:val="none" w:sz="0" w:space="0" w:color="auto"/>
        <w:bottom w:val="none" w:sz="0" w:space="0" w:color="auto"/>
        <w:right w:val="none" w:sz="0" w:space="0" w:color="auto"/>
      </w:divBdr>
    </w:div>
    <w:div w:id="937560459">
      <w:bodyDiv w:val="1"/>
      <w:marLeft w:val="0"/>
      <w:marRight w:val="0"/>
      <w:marTop w:val="0"/>
      <w:marBottom w:val="0"/>
      <w:divBdr>
        <w:top w:val="none" w:sz="0" w:space="0" w:color="auto"/>
        <w:left w:val="none" w:sz="0" w:space="0" w:color="auto"/>
        <w:bottom w:val="none" w:sz="0" w:space="0" w:color="auto"/>
        <w:right w:val="none" w:sz="0" w:space="0" w:color="auto"/>
      </w:divBdr>
    </w:div>
    <w:div w:id="937562465">
      <w:bodyDiv w:val="1"/>
      <w:marLeft w:val="0"/>
      <w:marRight w:val="0"/>
      <w:marTop w:val="0"/>
      <w:marBottom w:val="0"/>
      <w:divBdr>
        <w:top w:val="none" w:sz="0" w:space="0" w:color="auto"/>
        <w:left w:val="none" w:sz="0" w:space="0" w:color="auto"/>
        <w:bottom w:val="none" w:sz="0" w:space="0" w:color="auto"/>
        <w:right w:val="none" w:sz="0" w:space="0" w:color="auto"/>
      </w:divBdr>
    </w:div>
    <w:div w:id="937566741">
      <w:bodyDiv w:val="1"/>
      <w:marLeft w:val="0"/>
      <w:marRight w:val="0"/>
      <w:marTop w:val="0"/>
      <w:marBottom w:val="0"/>
      <w:divBdr>
        <w:top w:val="none" w:sz="0" w:space="0" w:color="auto"/>
        <w:left w:val="none" w:sz="0" w:space="0" w:color="auto"/>
        <w:bottom w:val="none" w:sz="0" w:space="0" w:color="auto"/>
        <w:right w:val="none" w:sz="0" w:space="0" w:color="auto"/>
      </w:divBdr>
    </w:div>
    <w:div w:id="937755158">
      <w:bodyDiv w:val="1"/>
      <w:marLeft w:val="0"/>
      <w:marRight w:val="0"/>
      <w:marTop w:val="0"/>
      <w:marBottom w:val="0"/>
      <w:divBdr>
        <w:top w:val="none" w:sz="0" w:space="0" w:color="auto"/>
        <w:left w:val="none" w:sz="0" w:space="0" w:color="auto"/>
        <w:bottom w:val="none" w:sz="0" w:space="0" w:color="auto"/>
        <w:right w:val="none" w:sz="0" w:space="0" w:color="auto"/>
      </w:divBdr>
    </w:div>
    <w:div w:id="937761677">
      <w:bodyDiv w:val="1"/>
      <w:marLeft w:val="0"/>
      <w:marRight w:val="0"/>
      <w:marTop w:val="0"/>
      <w:marBottom w:val="0"/>
      <w:divBdr>
        <w:top w:val="none" w:sz="0" w:space="0" w:color="auto"/>
        <w:left w:val="none" w:sz="0" w:space="0" w:color="auto"/>
        <w:bottom w:val="none" w:sz="0" w:space="0" w:color="auto"/>
        <w:right w:val="none" w:sz="0" w:space="0" w:color="auto"/>
      </w:divBdr>
    </w:div>
    <w:div w:id="937787109">
      <w:bodyDiv w:val="1"/>
      <w:marLeft w:val="0"/>
      <w:marRight w:val="0"/>
      <w:marTop w:val="0"/>
      <w:marBottom w:val="0"/>
      <w:divBdr>
        <w:top w:val="none" w:sz="0" w:space="0" w:color="auto"/>
        <w:left w:val="none" w:sz="0" w:space="0" w:color="auto"/>
        <w:bottom w:val="none" w:sz="0" w:space="0" w:color="auto"/>
        <w:right w:val="none" w:sz="0" w:space="0" w:color="auto"/>
      </w:divBdr>
    </w:div>
    <w:div w:id="937981756">
      <w:bodyDiv w:val="1"/>
      <w:marLeft w:val="0"/>
      <w:marRight w:val="0"/>
      <w:marTop w:val="0"/>
      <w:marBottom w:val="0"/>
      <w:divBdr>
        <w:top w:val="none" w:sz="0" w:space="0" w:color="auto"/>
        <w:left w:val="none" w:sz="0" w:space="0" w:color="auto"/>
        <w:bottom w:val="none" w:sz="0" w:space="0" w:color="auto"/>
        <w:right w:val="none" w:sz="0" w:space="0" w:color="auto"/>
      </w:divBdr>
    </w:div>
    <w:div w:id="938026049">
      <w:bodyDiv w:val="1"/>
      <w:marLeft w:val="0"/>
      <w:marRight w:val="0"/>
      <w:marTop w:val="0"/>
      <w:marBottom w:val="0"/>
      <w:divBdr>
        <w:top w:val="none" w:sz="0" w:space="0" w:color="auto"/>
        <w:left w:val="none" w:sz="0" w:space="0" w:color="auto"/>
        <w:bottom w:val="none" w:sz="0" w:space="0" w:color="auto"/>
        <w:right w:val="none" w:sz="0" w:space="0" w:color="auto"/>
      </w:divBdr>
    </w:div>
    <w:div w:id="938029099">
      <w:bodyDiv w:val="1"/>
      <w:marLeft w:val="0"/>
      <w:marRight w:val="0"/>
      <w:marTop w:val="0"/>
      <w:marBottom w:val="0"/>
      <w:divBdr>
        <w:top w:val="none" w:sz="0" w:space="0" w:color="auto"/>
        <w:left w:val="none" w:sz="0" w:space="0" w:color="auto"/>
        <w:bottom w:val="none" w:sz="0" w:space="0" w:color="auto"/>
        <w:right w:val="none" w:sz="0" w:space="0" w:color="auto"/>
      </w:divBdr>
    </w:div>
    <w:div w:id="938415310">
      <w:bodyDiv w:val="1"/>
      <w:marLeft w:val="0"/>
      <w:marRight w:val="0"/>
      <w:marTop w:val="0"/>
      <w:marBottom w:val="0"/>
      <w:divBdr>
        <w:top w:val="none" w:sz="0" w:space="0" w:color="auto"/>
        <w:left w:val="none" w:sz="0" w:space="0" w:color="auto"/>
        <w:bottom w:val="none" w:sz="0" w:space="0" w:color="auto"/>
        <w:right w:val="none" w:sz="0" w:space="0" w:color="auto"/>
      </w:divBdr>
    </w:div>
    <w:div w:id="938560708">
      <w:bodyDiv w:val="1"/>
      <w:marLeft w:val="0"/>
      <w:marRight w:val="0"/>
      <w:marTop w:val="0"/>
      <w:marBottom w:val="0"/>
      <w:divBdr>
        <w:top w:val="none" w:sz="0" w:space="0" w:color="auto"/>
        <w:left w:val="none" w:sz="0" w:space="0" w:color="auto"/>
        <w:bottom w:val="none" w:sz="0" w:space="0" w:color="auto"/>
        <w:right w:val="none" w:sz="0" w:space="0" w:color="auto"/>
      </w:divBdr>
    </w:div>
    <w:div w:id="938608684">
      <w:bodyDiv w:val="1"/>
      <w:marLeft w:val="0"/>
      <w:marRight w:val="0"/>
      <w:marTop w:val="0"/>
      <w:marBottom w:val="0"/>
      <w:divBdr>
        <w:top w:val="none" w:sz="0" w:space="0" w:color="auto"/>
        <w:left w:val="none" w:sz="0" w:space="0" w:color="auto"/>
        <w:bottom w:val="none" w:sz="0" w:space="0" w:color="auto"/>
        <w:right w:val="none" w:sz="0" w:space="0" w:color="auto"/>
      </w:divBdr>
    </w:div>
    <w:div w:id="938635000">
      <w:bodyDiv w:val="1"/>
      <w:marLeft w:val="0"/>
      <w:marRight w:val="0"/>
      <w:marTop w:val="0"/>
      <w:marBottom w:val="0"/>
      <w:divBdr>
        <w:top w:val="none" w:sz="0" w:space="0" w:color="auto"/>
        <w:left w:val="none" w:sz="0" w:space="0" w:color="auto"/>
        <w:bottom w:val="none" w:sz="0" w:space="0" w:color="auto"/>
        <w:right w:val="none" w:sz="0" w:space="0" w:color="auto"/>
      </w:divBdr>
    </w:div>
    <w:div w:id="938636906">
      <w:bodyDiv w:val="1"/>
      <w:marLeft w:val="0"/>
      <w:marRight w:val="0"/>
      <w:marTop w:val="0"/>
      <w:marBottom w:val="0"/>
      <w:divBdr>
        <w:top w:val="none" w:sz="0" w:space="0" w:color="auto"/>
        <w:left w:val="none" w:sz="0" w:space="0" w:color="auto"/>
        <w:bottom w:val="none" w:sz="0" w:space="0" w:color="auto"/>
        <w:right w:val="none" w:sz="0" w:space="0" w:color="auto"/>
      </w:divBdr>
    </w:div>
    <w:div w:id="938835663">
      <w:bodyDiv w:val="1"/>
      <w:marLeft w:val="0"/>
      <w:marRight w:val="0"/>
      <w:marTop w:val="0"/>
      <w:marBottom w:val="0"/>
      <w:divBdr>
        <w:top w:val="none" w:sz="0" w:space="0" w:color="auto"/>
        <w:left w:val="none" w:sz="0" w:space="0" w:color="auto"/>
        <w:bottom w:val="none" w:sz="0" w:space="0" w:color="auto"/>
        <w:right w:val="none" w:sz="0" w:space="0" w:color="auto"/>
      </w:divBdr>
    </w:div>
    <w:div w:id="938873469">
      <w:bodyDiv w:val="1"/>
      <w:marLeft w:val="0"/>
      <w:marRight w:val="0"/>
      <w:marTop w:val="0"/>
      <w:marBottom w:val="0"/>
      <w:divBdr>
        <w:top w:val="none" w:sz="0" w:space="0" w:color="auto"/>
        <w:left w:val="none" w:sz="0" w:space="0" w:color="auto"/>
        <w:bottom w:val="none" w:sz="0" w:space="0" w:color="auto"/>
        <w:right w:val="none" w:sz="0" w:space="0" w:color="auto"/>
      </w:divBdr>
    </w:div>
    <w:div w:id="938876859">
      <w:bodyDiv w:val="1"/>
      <w:marLeft w:val="0"/>
      <w:marRight w:val="0"/>
      <w:marTop w:val="0"/>
      <w:marBottom w:val="0"/>
      <w:divBdr>
        <w:top w:val="none" w:sz="0" w:space="0" w:color="auto"/>
        <w:left w:val="none" w:sz="0" w:space="0" w:color="auto"/>
        <w:bottom w:val="none" w:sz="0" w:space="0" w:color="auto"/>
        <w:right w:val="none" w:sz="0" w:space="0" w:color="auto"/>
      </w:divBdr>
    </w:div>
    <w:div w:id="938877718">
      <w:bodyDiv w:val="1"/>
      <w:marLeft w:val="0"/>
      <w:marRight w:val="0"/>
      <w:marTop w:val="0"/>
      <w:marBottom w:val="0"/>
      <w:divBdr>
        <w:top w:val="none" w:sz="0" w:space="0" w:color="auto"/>
        <w:left w:val="none" w:sz="0" w:space="0" w:color="auto"/>
        <w:bottom w:val="none" w:sz="0" w:space="0" w:color="auto"/>
        <w:right w:val="none" w:sz="0" w:space="0" w:color="auto"/>
      </w:divBdr>
    </w:div>
    <w:div w:id="939143251">
      <w:bodyDiv w:val="1"/>
      <w:marLeft w:val="0"/>
      <w:marRight w:val="0"/>
      <w:marTop w:val="0"/>
      <w:marBottom w:val="0"/>
      <w:divBdr>
        <w:top w:val="none" w:sz="0" w:space="0" w:color="auto"/>
        <w:left w:val="none" w:sz="0" w:space="0" w:color="auto"/>
        <w:bottom w:val="none" w:sz="0" w:space="0" w:color="auto"/>
        <w:right w:val="none" w:sz="0" w:space="0" w:color="auto"/>
      </w:divBdr>
    </w:div>
    <w:div w:id="939219914">
      <w:bodyDiv w:val="1"/>
      <w:marLeft w:val="0"/>
      <w:marRight w:val="0"/>
      <w:marTop w:val="0"/>
      <w:marBottom w:val="0"/>
      <w:divBdr>
        <w:top w:val="none" w:sz="0" w:space="0" w:color="auto"/>
        <w:left w:val="none" w:sz="0" w:space="0" w:color="auto"/>
        <w:bottom w:val="none" w:sz="0" w:space="0" w:color="auto"/>
        <w:right w:val="none" w:sz="0" w:space="0" w:color="auto"/>
      </w:divBdr>
    </w:div>
    <w:div w:id="939290751">
      <w:bodyDiv w:val="1"/>
      <w:marLeft w:val="0"/>
      <w:marRight w:val="0"/>
      <w:marTop w:val="0"/>
      <w:marBottom w:val="0"/>
      <w:divBdr>
        <w:top w:val="none" w:sz="0" w:space="0" w:color="auto"/>
        <w:left w:val="none" w:sz="0" w:space="0" w:color="auto"/>
        <w:bottom w:val="none" w:sz="0" w:space="0" w:color="auto"/>
        <w:right w:val="none" w:sz="0" w:space="0" w:color="auto"/>
      </w:divBdr>
    </w:div>
    <w:div w:id="939293443">
      <w:bodyDiv w:val="1"/>
      <w:marLeft w:val="0"/>
      <w:marRight w:val="0"/>
      <w:marTop w:val="0"/>
      <w:marBottom w:val="0"/>
      <w:divBdr>
        <w:top w:val="none" w:sz="0" w:space="0" w:color="auto"/>
        <w:left w:val="none" w:sz="0" w:space="0" w:color="auto"/>
        <w:bottom w:val="none" w:sz="0" w:space="0" w:color="auto"/>
        <w:right w:val="none" w:sz="0" w:space="0" w:color="auto"/>
      </w:divBdr>
    </w:div>
    <w:div w:id="939531256">
      <w:bodyDiv w:val="1"/>
      <w:marLeft w:val="0"/>
      <w:marRight w:val="0"/>
      <w:marTop w:val="0"/>
      <w:marBottom w:val="0"/>
      <w:divBdr>
        <w:top w:val="none" w:sz="0" w:space="0" w:color="auto"/>
        <w:left w:val="none" w:sz="0" w:space="0" w:color="auto"/>
        <w:bottom w:val="none" w:sz="0" w:space="0" w:color="auto"/>
        <w:right w:val="none" w:sz="0" w:space="0" w:color="auto"/>
      </w:divBdr>
    </w:div>
    <w:div w:id="939605764">
      <w:bodyDiv w:val="1"/>
      <w:marLeft w:val="0"/>
      <w:marRight w:val="0"/>
      <w:marTop w:val="0"/>
      <w:marBottom w:val="0"/>
      <w:divBdr>
        <w:top w:val="none" w:sz="0" w:space="0" w:color="auto"/>
        <w:left w:val="none" w:sz="0" w:space="0" w:color="auto"/>
        <w:bottom w:val="none" w:sz="0" w:space="0" w:color="auto"/>
        <w:right w:val="none" w:sz="0" w:space="0" w:color="auto"/>
      </w:divBdr>
    </w:div>
    <w:div w:id="939676918">
      <w:bodyDiv w:val="1"/>
      <w:marLeft w:val="0"/>
      <w:marRight w:val="0"/>
      <w:marTop w:val="0"/>
      <w:marBottom w:val="0"/>
      <w:divBdr>
        <w:top w:val="none" w:sz="0" w:space="0" w:color="auto"/>
        <w:left w:val="none" w:sz="0" w:space="0" w:color="auto"/>
        <w:bottom w:val="none" w:sz="0" w:space="0" w:color="auto"/>
        <w:right w:val="none" w:sz="0" w:space="0" w:color="auto"/>
      </w:divBdr>
    </w:div>
    <w:div w:id="939680998">
      <w:bodyDiv w:val="1"/>
      <w:marLeft w:val="0"/>
      <w:marRight w:val="0"/>
      <w:marTop w:val="0"/>
      <w:marBottom w:val="0"/>
      <w:divBdr>
        <w:top w:val="none" w:sz="0" w:space="0" w:color="auto"/>
        <w:left w:val="none" w:sz="0" w:space="0" w:color="auto"/>
        <w:bottom w:val="none" w:sz="0" w:space="0" w:color="auto"/>
        <w:right w:val="none" w:sz="0" w:space="0" w:color="auto"/>
      </w:divBdr>
    </w:div>
    <w:div w:id="939684446">
      <w:bodyDiv w:val="1"/>
      <w:marLeft w:val="0"/>
      <w:marRight w:val="0"/>
      <w:marTop w:val="0"/>
      <w:marBottom w:val="0"/>
      <w:divBdr>
        <w:top w:val="none" w:sz="0" w:space="0" w:color="auto"/>
        <w:left w:val="none" w:sz="0" w:space="0" w:color="auto"/>
        <w:bottom w:val="none" w:sz="0" w:space="0" w:color="auto"/>
        <w:right w:val="none" w:sz="0" w:space="0" w:color="auto"/>
      </w:divBdr>
    </w:div>
    <w:div w:id="939724828">
      <w:bodyDiv w:val="1"/>
      <w:marLeft w:val="0"/>
      <w:marRight w:val="0"/>
      <w:marTop w:val="0"/>
      <w:marBottom w:val="0"/>
      <w:divBdr>
        <w:top w:val="none" w:sz="0" w:space="0" w:color="auto"/>
        <w:left w:val="none" w:sz="0" w:space="0" w:color="auto"/>
        <w:bottom w:val="none" w:sz="0" w:space="0" w:color="auto"/>
        <w:right w:val="none" w:sz="0" w:space="0" w:color="auto"/>
      </w:divBdr>
    </w:div>
    <w:div w:id="939798310">
      <w:bodyDiv w:val="1"/>
      <w:marLeft w:val="0"/>
      <w:marRight w:val="0"/>
      <w:marTop w:val="0"/>
      <w:marBottom w:val="0"/>
      <w:divBdr>
        <w:top w:val="none" w:sz="0" w:space="0" w:color="auto"/>
        <w:left w:val="none" w:sz="0" w:space="0" w:color="auto"/>
        <w:bottom w:val="none" w:sz="0" w:space="0" w:color="auto"/>
        <w:right w:val="none" w:sz="0" w:space="0" w:color="auto"/>
      </w:divBdr>
    </w:div>
    <w:div w:id="939872527">
      <w:bodyDiv w:val="1"/>
      <w:marLeft w:val="0"/>
      <w:marRight w:val="0"/>
      <w:marTop w:val="0"/>
      <w:marBottom w:val="0"/>
      <w:divBdr>
        <w:top w:val="none" w:sz="0" w:space="0" w:color="auto"/>
        <w:left w:val="none" w:sz="0" w:space="0" w:color="auto"/>
        <w:bottom w:val="none" w:sz="0" w:space="0" w:color="auto"/>
        <w:right w:val="none" w:sz="0" w:space="0" w:color="auto"/>
      </w:divBdr>
    </w:div>
    <w:div w:id="939875288">
      <w:bodyDiv w:val="1"/>
      <w:marLeft w:val="0"/>
      <w:marRight w:val="0"/>
      <w:marTop w:val="0"/>
      <w:marBottom w:val="0"/>
      <w:divBdr>
        <w:top w:val="none" w:sz="0" w:space="0" w:color="auto"/>
        <w:left w:val="none" w:sz="0" w:space="0" w:color="auto"/>
        <w:bottom w:val="none" w:sz="0" w:space="0" w:color="auto"/>
        <w:right w:val="none" w:sz="0" w:space="0" w:color="auto"/>
      </w:divBdr>
    </w:div>
    <w:div w:id="940067781">
      <w:bodyDiv w:val="1"/>
      <w:marLeft w:val="0"/>
      <w:marRight w:val="0"/>
      <w:marTop w:val="0"/>
      <w:marBottom w:val="0"/>
      <w:divBdr>
        <w:top w:val="none" w:sz="0" w:space="0" w:color="auto"/>
        <w:left w:val="none" w:sz="0" w:space="0" w:color="auto"/>
        <w:bottom w:val="none" w:sz="0" w:space="0" w:color="auto"/>
        <w:right w:val="none" w:sz="0" w:space="0" w:color="auto"/>
      </w:divBdr>
    </w:div>
    <w:div w:id="940068090">
      <w:bodyDiv w:val="1"/>
      <w:marLeft w:val="0"/>
      <w:marRight w:val="0"/>
      <w:marTop w:val="0"/>
      <w:marBottom w:val="0"/>
      <w:divBdr>
        <w:top w:val="none" w:sz="0" w:space="0" w:color="auto"/>
        <w:left w:val="none" w:sz="0" w:space="0" w:color="auto"/>
        <w:bottom w:val="none" w:sz="0" w:space="0" w:color="auto"/>
        <w:right w:val="none" w:sz="0" w:space="0" w:color="auto"/>
      </w:divBdr>
    </w:div>
    <w:div w:id="940069065">
      <w:bodyDiv w:val="1"/>
      <w:marLeft w:val="0"/>
      <w:marRight w:val="0"/>
      <w:marTop w:val="0"/>
      <w:marBottom w:val="0"/>
      <w:divBdr>
        <w:top w:val="none" w:sz="0" w:space="0" w:color="auto"/>
        <w:left w:val="none" w:sz="0" w:space="0" w:color="auto"/>
        <w:bottom w:val="none" w:sz="0" w:space="0" w:color="auto"/>
        <w:right w:val="none" w:sz="0" w:space="0" w:color="auto"/>
      </w:divBdr>
    </w:div>
    <w:div w:id="940181120">
      <w:bodyDiv w:val="1"/>
      <w:marLeft w:val="0"/>
      <w:marRight w:val="0"/>
      <w:marTop w:val="0"/>
      <w:marBottom w:val="0"/>
      <w:divBdr>
        <w:top w:val="none" w:sz="0" w:space="0" w:color="auto"/>
        <w:left w:val="none" w:sz="0" w:space="0" w:color="auto"/>
        <w:bottom w:val="none" w:sz="0" w:space="0" w:color="auto"/>
        <w:right w:val="none" w:sz="0" w:space="0" w:color="auto"/>
      </w:divBdr>
    </w:div>
    <w:div w:id="940340528">
      <w:bodyDiv w:val="1"/>
      <w:marLeft w:val="0"/>
      <w:marRight w:val="0"/>
      <w:marTop w:val="0"/>
      <w:marBottom w:val="0"/>
      <w:divBdr>
        <w:top w:val="none" w:sz="0" w:space="0" w:color="auto"/>
        <w:left w:val="none" w:sz="0" w:space="0" w:color="auto"/>
        <w:bottom w:val="none" w:sz="0" w:space="0" w:color="auto"/>
        <w:right w:val="none" w:sz="0" w:space="0" w:color="auto"/>
      </w:divBdr>
    </w:div>
    <w:div w:id="940408469">
      <w:bodyDiv w:val="1"/>
      <w:marLeft w:val="0"/>
      <w:marRight w:val="0"/>
      <w:marTop w:val="0"/>
      <w:marBottom w:val="0"/>
      <w:divBdr>
        <w:top w:val="none" w:sz="0" w:space="0" w:color="auto"/>
        <w:left w:val="none" w:sz="0" w:space="0" w:color="auto"/>
        <w:bottom w:val="none" w:sz="0" w:space="0" w:color="auto"/>
        <w:right w:val="none" w:sz="0" w:space="0" w:color="auto"/>
      </w:divBdr>
    </w:div>
    <w:div w:id="940525199">
      <w:bodyDiv w:val="1"/>
      <w:marLeft w:val="0"/>
      <w:marRight w:val="0"/>
      <w:marTop w:val="0"/>
      <w:marBottom w:val="0"/>
      <w:divBdr>
        <w:top w:val="none" w:sz="0" w:space="0" w:color="auto"/>
        <w:left w:val="none" w:sz="0" w:space="0" w:color="auto"/>
        <w:bottom w:val="none" w:sz="0" w:space="0" w:color="auto"/>
        <w:right w:val="none" w:sz="0" w:space="0" w:color="auto"/>
      </w:divBdr>
    </w:div>
    <w:div w:id="940643158">
      <w:bodyDiv w:val="1"/>
      <w:marLeft w:val="0"/>
      <w:marRight w:val="0"/>
      <w:marTop w:val="0"/>
      <w:marBottom w:val="0"/>
      <w:divBdr>
        <w:top w:val="none" w:sz="0" w:space="0" w:color="auto"/>
        <w:left w:val="none" w:sz="0" w:space="0" w:color="auto"/>
        <w:bottom w:val="none" w:sz="0" w:space="0" w:color="auto"/>
        <w:right w:val="none" w:sz="0" w:space="0" w:color="auto"/>
      </w:divBdr>
    </w:div>
    <w:div w:id="940650027">
      <w:bodyDiv w:val="1"/>
      <w:marLeft w:val="0"/>
      <w:marRight w:val="0"/>
      <w:marTop w:val="0"/>
      <w:marBottom w:val="0"/>
      <w:divBdr>
        <w:top w:val="none" w:sz="0" w:space="0" w:color="auto"/>
        <w:left w:val="none" w:sz="0" w:space="0" w:color="auto"/>
        <w:bottom w:val="none" w:sz="0" w:space="0" w:color="auto"/>
        <w:right w:val="none" w:sz="0" w:space="0" w:color="auto"/>
      </w:divBdr>
    </w:div>
    <w:div w:id="940650681">
      <w:bodyDiv w:val="1"/>
      <w:marLeft w:val="0"/>
      <w:marRight w:val="0"/>
      <w:marTop w:val="0"/>
      <w:marBottom w:val="0"/>
      <w:divBdr>
        <w:top w:val="none" w:sz="0" w:space="0" w:color="auto"/>
        <w:left w:val="none" w:sz="0" w:space="0" w:color="auto"/>
        <w:bottom w:val="none" w:sz="0" w:space="0" w:color="auto"/>
        <w:right w:val="none" w:sz="0" w:space="0" w:color="auto"/>
      </w:divBdr>
    </w:div>
    <w:div w:id="940726671">
      <w:bodyDiv w:val="1"/>
      <w:marLeft w:val="0"/>
      <w:marRight w:val="0"/>
      <w:marTop w:val="0"/>
      <w:marBottom w:val="0"/>
      <w:divBdr>
        <w:top w:val="none" w:sz="0" w:space="0" w:color="auto"/>
        <w:left w:val="none" w:sz="0" w:space="0" w:color="auto"/>
        <w:bottom w:val="none" w:sz="0" w:space="0" w:color="auto"/>
        <w:right w:val="none" w:sz="0" w:space="0" w:color="auto"/>
      </w:divBdr>
    </w:div>
    <w:div w:id="940727160">
      <w:bodyDiv w:val="1"/>
      <w:marLeft w:val="0"/>
      <w:marRight w:val="0"/>
      <w:marTop w:val="0"/>
      <w:marBottom w:val="0"/>
      <w:divBdr>
        <w:top w:val="none" w:sz="0" w:space="0" w:color="auto"/>
        <w:left w:val="none" w:sz="0" w:space="0" w:color="auto"/>
        <w:bottom w:val="none" w:sz="0" w:space="0" w:color="auto"/>
        <w:right w:val="none" w:sz="0" w:space="0" w:color="auto"/>
      </w:divBdr>
    </w:div>
    <w:div w:id="940911256">
      <w:bodyDiv w:val="1"/>
      <w:marLeft w:val="0"/>
      <w:marRight w:val="0"/>
      <w:marTop w:val="0"/>
      <w:marBottom w:val="0"/>
      <w:divBdr>
        <w:top w:val="none" w:sz="0" w:space="0" w:color="auto"/>
        <w:left w:val="none" w:sz="0" w:space="0" w:color="auto"/>
        <w:bottom w:val="none" w:sz="0" w:space="0" w:color="auto"/>
        <w:right w:val="none" w:sz="0" w:space="0" w:color="auto"/>
      </w:divBdr>
    </w:div>
    <w:div w:id="940913471">
      <w:bodyDiv w:val="1"/>
      <w:marLeft w:val="0"/>
      <w:marRight w:val="0"/>
      <w:marTop w:val="0"/>
      <w:marBottom w:val="0"/>
      <w:divBdr>
        <w:top w:val="none" w:sz="0" w:space="0" w:color="auto"/>
        <w:left w:val="none" w:sz="0" w:space="0" w:color="auto"/>
        <w:bottom w:val="none" w:sz="0" w:space="0" w:color="auto"/>
        <w:right w:val="none" w:sz="0" w:space="0" w:color="auto"/>
      </w:divBdr>
    </w:div>
    <w:div w:id="940989676">
      <w:bodyDiv w:val="1"/>
      <w:marLeft w:val="0"/>
      <w:marRight w:val="0"/>
      <w:marTop w:val="0"/>
      <w:marBottom w:val="0"/>
      <w:divBdr>
        <w:top w:val="none" w:sz="0" w:space="0" w:color="auto"/>
        <w:left w:val="none" w:sz="0" w:space="0" w:color="auto"/>
        <w:bottom w:val="none" w:sz="0" w:space="0" w:color="auto"/>
        <w:right w:val="none" w:sz="0" w:space="0" w:color="auto"/>
      </w:divBdr>
    </w:div>
    <w:div w:id="940991046">
      <w:bodyDiv w:val="1"/>
      <w:marLeft w:val="0"/>
      <w:marRight w:val="0"/>
      <w:marTop w:val="0"/>
      <w:marBottom w:val="0"/>
      <w:divBdr>
        <w:top w:val="none" w:sz="0" w:space="0" w:color="auto"/>
        <w:left w:val="none" w:sz="0" w:space="0" w:color="auto"/>
        <w:bottom w:val="none" w:sz="0" w:space="0" w:color="auto"/>
        <w:right w:val="none" w:sz="0" w:space="0" w:color="auto"/>
      </w:divBdr>
    </w:div>
    <w:div w:id="941033215">
      <w:bodyDiv w:val="1"/>
      <w:marLeft w:val="0"/>
      <w:marRight w:val="0"/>
      <w:marTop w:val="0"/>
      <w:marBottom w:val="0"/>
      <w:divBdr>
        <w:top w:val="none" w:sz="0" w:space="0" w:color="auto"/>
        <w:left w:val="none" w:sz="0" w:space="0" w:color="auto"/>
        <w:bottom w:val="none" w:sz="0" w:space="0" w:color="auto"/>
        <w:right w:val="none" w:sz="0" w:space="0" w:color="auto"/>
      </w:divBdr>
    </w:div>
    <w:div w:id="941187141">
      <w:bodyDiv w:val="1"/>
      <w:marLeft w:val="0"/>
      <w:marRight w:val="0"/>
      <w:marTop w:val="0"/>
      <w:marBottom w:val="0"/>
      <w:divBdr>
        <w:top w:val="none" w:sz="0" w:space="0" w:color="auto"/>
        <w:left w:val="none" w:sz="0" w:space="0" w:color="auto"/>
        <w:bottom w:val="none" w:sz="0" w:space="0" w:color="auto"/>
        <w:right w:val="none" w:sz="0" w:space="0" w:color="auto"/>
      </w:divBdr>
    </w:div>
    <w:div w:id="941188450">
      <w:bodyDiv w:val="1"/>
      <w:marLeft w:val="0"/>
      <w:marRight w:val="0"/>
      <w:marTop w:val="0"/>
      <w:marBottom w:val="0"/>
      <w:divBdr>
        <w:top w:val="none" w:sz="0" w:space="0" w:color="auto"/>
        <w:left w:val="none" w:sz="0" w:space="0" w:color="auto"/>
        <w:bottom w:val="none" w:sz="0" w:space="0" w:color="auto"/>
        <w:right w:val="none" w:sz="0" w:space="0" w:color="auto"/>
      </w:divBdr>
    </w:div>
    <w:div w:id="941188550">
      <w:bodyDiv w:val="1"/>
      <w:marLeft w:val="0"/>
      <w:marRight w:val="0"/>
      <w:marTop w:val="0"/>
      <w:marBottom w:val="0"/>
      <w:divBdr>
        <w:top w:val="none" w:sz="0" w:space="0" w:color="auto"/>
        <w:left w:val="none" w:sz="0" w:space="0" w:color="auto"/>
        <w:bottom w:val="none" w:sz="0" w:space="0" w:color="auto"/>
        <w:right w:val="none" w:sz="0" w:space="0" w:color="auto"/>
      </w:divBdr>
    </w:div>
    <w:div w:id="941189420">
      <w:bodyDiv w:val="1"/>
      <w:marLeft w:val="0"/>
      <w:marRight w:val="0"/>
      <w:marTop w:val="0"/>
      <w:marBottom w:val="0"/>
      <w:divBdr>
        <w:top w:val="none" w:sz="0" w:space="0" w:color="auto"/>
        <w:left w:val="none" w:sz="0" w:space="0" w:color="auto"/>
        <w:bottom w:val="none" w:sz="0" w:space="0" w:color="auto"/>
        <w:right w:val="none" w:sz="0" w:space="0" w:color="auto"/>
      </w:divBdr>
    </w:div>
    <w:div w:id="941231882">
      <w:bodyDiv w:val="1"/>
      <w:marLeft w:val="0"/>
      <w:marRight w:val="0"/>
      <w:marTop w:val="0"/>
      <w:marBottom w:val="0"/>
      <w:divBdr>
        <w:top w:val="none" w:sz="0" w:space="0" w:color="auto"/>
        <w:left w:val="none" w:sz="0" w:space="0" w:color="auto"/>
        <w:bottom w:val="none" w:sz="0" w:space="0" w:color="auto"/>
        <w:right w:val="none" w:sz="0" w:space="0" w:color="auto"/>
      </w:divBdr>
    </w:div>
    <w:div w:id="941255323">
      <w:bodyDiv w:val="1"/>
      <w:marLeft w:val="0"/>
      <w:marRight w:val="0"/>
      <w:marTop w:val="0"/>
      <w:marBottom w:val="0"/>
      <w:divBdr>
        <w:top w:val="none" w:sz="0" w:space="0" w:color="auto"/>
        <w:left w:val="none" w:sz="0" w:space="0" w:color="auto"/>
        <w:bottom w:val="none" w:sz="0" w:space="0" w:color="auto"/>
        <w:right w:val="none" w:sz="0" w:space="0" w:color="auto"/>
      </w:divBdr>
    </w:div>
    <w:div w:id="941299635">
      <w:bodyDiv w:val="1"/>
      <w:marLeft w:val="0"/>
      <w:marRight w:val="0"/>
      <w:marTop w:val="0"/>
      <w:marBottom w:val="0"/>
      <w:divBdr>
        <w:top w:val="none" w:sz="0" w:space="0" w:color="auto"/>
        <w:left w:val="none" w:sz="0" w:space="0" w:color="auto"/>
        <w:bottom w:val="none" w:sz="0" w:space="0" w:color="auto"/>
        <w:right w:val="none" w:sz="0" w:space="0" w:color="auto"/>
      </w:divBdr>
    </w:div>
    <w:div w:id="941301716">
      <w:bodyDiv w:val="1"/>
      <w:marLeft w:val="0"/>
      <w:marRight w:val="0"/>
      <w:marTop w:val="0"/>
      <w:marBottom w:val="0"/>
      <w:divBdr>
        <w:top w:val="none" w:sz="0" w:space="0" w:color="auto"/>
        <w:left w:val="none" w:sz="0" w:space="0" w:color="auto"/>
        <w:bottom w:val="none" w:sz="0" w:space="0" w:color="auto"/>
        <w:right w:val="none" w:sz="0" w:space="0" w:color="auto"/>
      </w:divBdr>
    </w:div>
    <w:div w:id="941452514">
      <w:bodyDiv w:val="1"/>
      <w:marLeft w:val="0"/>
      <w:marRight w:val="0"/>
      <w:marTop w:val="0"/>
      <w:marBottom w:val="0"/>
      <w:divBdr>
        <w:top w:val="none" w:sz="0" w:space="0" w:color="auto"/>
        <w:left w:val="none" w:sz="0" w:space="0" w:color="auto"/>
        <w:bottom w:val="none" w:sz="0" w:space="0" w:color="auto"/>
        <w:right w:val="none" w:sz="0" w:space="0" w:color="auto"/>
      </w:divBdr>
    </w:div>
    <w:div w:id="941499807">
      <w:bodyDiv w:val="1"/>
      <w:marLeft w:val="0"/>
      <w:marRight w:val="0"/>
      <w:marTop w:val="0"/>
      <w:marBottom w:val="0"/>
      <w:divBdr>
        <w:top w:val="none" w:sz="0" w:space="0" w:color="auto"/>
        <w:left w:val="none" w:sz="0" w:space="0" w:color="auto"/>
        <w:bottom w:val="none" w:sz="0" w:space="0" w:color="auto"/>
        <w:right w:val="none" w:sz="0" w:space="0" w:color="auto"/>
      </w:divBdr>
    </w:div>
    <w:div w:id="941568893">
      <w:bodyDiv w:val="1"/>
      <w:marLeft w:val="0"/>
      <w:marRight w:val="0"/>
      <w:marTop w:val="0"/>
      <w:marBottom w:val="0"/>
      <w:divBdr>
        <w:top w:val="none" w:sz="0" w:space="0" w:color="auto"/>
        <w:left w:val="none" w:sz="0" w:space="0" w:color="auto"/>
        <w:bottom w:val="none" w:sz="0" w:space="0" w:color="auto"/>
        <w:right w:val="none" w:sz="0" w:space="0" w:color="auto"/>
      </w:divBdr>
    </w:div>
    <w:div w:id="941642911">
      <w:bodyDiv w:val="1"/>
      <w:marLeft w:val="0"/>
      <w:marRight w:val="0"/>
      <w:marTop w:val="0"/>
      <w:marBottom w:val="0"/>
      <w:divBdr>
        <w:top w:val="none" w:sz="0" w:space="0" w:color="auto"/>
        <w:left w:val="none" w:sz="0" w:space="0" w:color="auto"/>
        <w:bottom w:val="none" w:sz="0" w:space="0" w:color="auto"/>
        <w:right w:val="none" w:sz="0" w:space="0" w:color="auto"/>
      </w:divBdr>
    </w:div>
    <w:div w:id="941760078">
      <w:bodyDiv w:val="1"/>
      <w:marLeft w:val="0"/>
      <w:marRight w:val="0"/>
      <w:marTop w:val="0"/>
      <w:marBottom w:val="0"/>
      <w:divBdr>
        <w:top w:val="none" w:sz="0" w:space="0" w:color="auto"/>
        <w:left w:val="none" w:sz="0" w:space="0" w:color="auto"/>
        <w:bottom w:val="none" w:sz="0" w:space="0" w:color="auto"/>
        <w:right w:val="none" w:sz="0" w:space="0" w:color="auto"/>
      </w:divBdr>
    </w:div>
    <w:div w:id="941769027">
      <w:bodyDiv w:val="1"/>
      <w:marLeft w:val="0"/>
      <w:marRight w:val="0"/>
      <w:marTop w:val="0"/>
      <w:marBottom w:val="0"/>
      <w:divBdr>
        <w:top w:val="none" w:sz="0" w:space="0" w:color="auto"/>
        <w:left w:val="none" w:sz="0" w:space="0" w:color="auto"/>
        <w:bottom w:val="none" w:sz="0" w:space="0" w:color="auto"/>
        <w:right w:val="none" w:sz="0" w:space="0" w:color="auto"/>
      </w:divBdr>
    </w:div>
    <w:div w:id="941958911">
      <w:bodyDiv w:val="1"/>
      <w:marLeft w:val="0"/>
      <w:marRight w:val="0"/>
      <w:marTop w:val="0"/>
      <w:marBottom w:val="0"/>
      <w:divBdr>
        <w:top w:val="none" w:sz="0" w:space="0" w:color="auto"/>
        <w:left w:val="none" w:sz="0" w:space="0" w:color="auto"/>
        <w:bottom w:val="none" w:sz="0" w:space="0" w:color="auto"/>
        <w:right w:val="none" w:sz="0" w:space="0" w:color="auto"/>
      </w:divBdr>
    </w:div>
    <w:div w:id="941959030">
      <w:bodyDiv w:val="1"/>
      <w:marLeft w:val="0"/>
      <w:marRight w:val="0"/>
      <w:marTop w:val="0"/>
      <w:marBottom w:val="0"/>
      <w:divBdr>
        <w:top w:val="none" w:sz="0" w:space="0" w:color="auto"/>
        <w:left w:val="none" w:sz="0" w:space="0" w:color="auto"/>
        <w:bottom w:val="none" w:sz="0" w:space="0" w:color="auto"/>
        <w:right w:val="none" w:sz="0" w:space="0" w:color="auto"/>
      </w:divBdr>
    </w:div>
    <w:div w:id="941959362">
      <w:bodyDiv w:val="1"/>
      <w:marLeft w:val="0"/>
      <w:marRight w:val="0"/>
      <w:marTop w:val="0"/>
      <w:marBottom w:val="0"/>
      <w:divBdr>
        <w:top w:val="none" w:sz="0" w:space="0" w:color="auto"/>
        <w:left w:val="none" w:sz="0" w:space="0" w:color="auto"/>
        <w:bottom w:val="none" w:sz="0" w:space="0" w:color="auto"/>
        <w:right w:val="none" w:sz="0" w:space="0" w:color="auto"/>
      </w:divBdr>
    </w:div>
    <w:div w:id="942032008">
      <w:bodyDiv w:val="1"/>
      <w:marLeft w:val="0"/>
      <w:marRight w:val="0"/>
      <w:marTop w:val="0"/>
      <w:marBottom w:val="0"/>
      <w:divBdr>
        <w:top w:val="none" w:sz="0" w:space="0" w:color="auto"/>
        <w:left w:val="none" w:sz="0" w:space="0" w:color="auto"/>
        <w:bottom w:val="none" w:sz="0" w:space="0" w:color="auto"/>
        <w:right w:val="none" w:sz="0" w:space="0" w:color="auto"/>
      </w:divBdr>
    </w:div>
    <w:div w:id="942035058">
      <w:bodyDiv w:val="1"/>
      <w:marLeft w:val="0"/>
      <w:marRight w:val="0"/>
      <w:marTop w:val="0"/>
      <w:marBottom w:val="0"/>
      <w:divBdr>
        <w:top w:val="none" w:sz="0" w:space="0" w:color="auto"/>
        <w:left w:val="none" w:sz="0" w:space="0" w:color="auto"/>
        <w:bottom w:val="none" w:sz="0" w:space="0" w:color="auto"/>
        <w:right w:val="none" w:sz="0" w:space="0" w:color="auto"/>
      </w:divBdr>
    </w:div>
    <w:div w:id="942035767">
      <w:bodyDiv w:val="1"/>
      <w:marLeft w:val="0"/>
      <w:marRight w:val="0"/>
      <w:marTop w:val="0"/>
      <w:marBottom w:val="0"/>
      <w:divBdr>
        <w:top w:val="none" w:sz="0" w:space="0" w:color="auto"/>
        <w:left w:val="none" w:sz="0" w:space="0" w:color="auto"/>
        <w:bottom w:val="none" w:sz="0" w:space="0" w:color="auto"/>
        <w:right w:val="none" w:sz="0" w:space="0" w:color="auto"/>
      </w:divBdr>
    </w:div>
    <w:div w:id="942107186">
      <w:bodyDiv w:val="1"/>
      <w:marLeft w:val="0"/>
      <w:marRight w:val="0"/>
      <w:marTop w:val="0"/>
      <w:marBottom w:val="0"/>
      <w:divBdr>
        <w:top w:val="none" w:sz="0" w:space="0" w:color="auto"/>
        <w:left w:val="none" w:sz="0" w:space="0" w:color="auto"/>
        <w:bottom w:val="none" w:sz="0" w:space="0" w:color="auto"/>
        <w:right w:val="none" w:sz="0" w:space="0" w:color="auto"/>
      </w:divBdr>
    </w:div>
    <w:div w:id="942230452">
      <w:bodyDiv w:val="1"/>
      <w:marLeft w:val="0"/>
      <w:marRight w:val="0"/>
      <w:marTop w:val="0"/>
      <w:marBottom w:val="0"/>
      <w:divBdr>
        <w:top w:val="none" w:sz="0" w:space="0" w:color="auto"/>
        <w:left w:val="none" w:sz="0" w:space="0" w:color="auto"/>
        <w:bottom w:val="none" w:sz="0" w:space="0" w:color="auto"/>
        <w:right w:val="none" w:sz="0" w:space="0" w:color="auto"/>
      </w:divBdr>
    </w:div>
    <w:div w:id="942372603">
      <w:bodyDiv w:val="1"/>
      <w:marLeft w:val="0"/>
      <w:marRight w:val="0"/>
      <w:marTop w:val="0"/>
      <w:marBottom w:val="0"/>
      <w:divBdr>
        <w:top w:val="none" w:sz="0" w:space="0" w:color="auto"/>
        <w:left w:val="none" w:sz="0" w:space="0" w:color="auto"/>
        <w:bottom w:val="none" w:sz="0" w:space="0" w:color="auto"/>
        <w:right w:val="none" w:sz="0" w:space="0" w:color="auto"/>
      </w:divBdr>
    </w:div>
    <w:div w:id="942414979">
      <w:bodyDiv w:val="1"/>
      <w:marLeft w:val="0"/>
      <w:marRight w:val="0"/>
      <w:marTop w:val="0"/>
      <w:marBottom w:val="0"/>
      <w:divBdr>
        <w:top w:val="none" w:sz="0" w:space="0" w:color="auto"/>
        <w:left w:val="none" w:sz="0" w:space="0" w:color="auto"/>
        <w:bottom w:val="none" w:sz="0" w:space="0" w:color="auto"/>
        <w:right w:val="none" w:sz="0" w:space="0" w:color="auto"/>
      </w:divBdr>
    </w:div>
    <w:div w:id="942539932">
      <w:bodyDiv w:val="1"/>
      <w:marLeft w:val="0"/>
      <w:marRight w:val="0"/>
      <w:marTop w:val="0"/>
      <w:marBottom w:val="0"/>
      <w:divBdr>
        <w:top w:val="none" w:sz="0" w:space="0" w:color="auto"/>
        <w:left w:val="none" w:sz="0" w:space="0" w:color="auto"/>
        <w:bottom w:val="none" w:sz="0" w:space="0" w:color="auto"/>
        <w:right w:val="none" w:sz="0" w:space="0" w:color="auto"/>
      </w:divBdr>
    </w:div>
    <w:div w:id="942608583">
      <w:bodyDiv w:val="1"/>
      <w:marLeft w:val="0"/>
      <w:marRight w:val="0"/>
      <w:marTop w:val="0"/>
      <w:marBottom w:val="0"/>
      <w:divBdr>
        <w:top w:val="none" w:sz="0" w:space="0" w:color="auto"/>
        <w:left w:val="none" w:sz="0" w:space="0" w:color="auto"/>
        <w:bottom w:val="none" w:sz="0" w:space="0" w:color="auto"/>
        <w:right w:val="none" w:sz="0" w:space="0" w:color="auto"/>
      </w:divBdr>
    </w:div>
    <w:div w:id="942609729">
      <w:bodyDiv w:val="1"/>
      <w:marLeft w:val="0"/>
      <w:marRight w:val="0"/>
      <w:marTop w:val="0"/>
      <w:marBottom w:val="0"/>
      <w:divBdr>
        <w:top w:val="none" w:sz="0" w:space="0" w:color="auto"/>
        <w:left w:val="none" w:sz="0" w:space="0" w:color="auto"/>
        <w:bottom w:val="none" w:sz="0" w:space="0" w:color="auto"/>
        <w:right w:val="none" w:sz="0" w:space="0" w:color="auto"/>
      </w:divBdr>
    </w:div>
    <w:div w:id="942614050">
      <w:bodyDiv w:val="1"/>
      <w:marLeft w:val="0"/>
      <w:marRight w:val="0"/>
      <w:marTop w:val="0"/>
      <w:marBottom w:val="0"/>
      <w:divBdr>
        <w:top w:val="none" w:sz="0" w:space="0" w:color="auto"/>
        <w:left w:val="none" w:sz="0" w:space="0" w:color="auto"/>
        <w:bottom w:val="none" w:sz="0" w:space="0" w:color="auto"/>
        <w:right w:val="none" w:sz="0" w:space="0" w:color="auto"/>
      </w:divBdr>
    </w:div>
    <w:div w:id="942617265">
      <w:bodyDiv w:val="1"/>
      <w:marLeft w:val="0"/>
      <w:marRight w:val="0"/>
      <w:marTop w:val="0"/>
      <w:marBottom w:val="0"/>
      <w:divBdr>
        <w:top w:val="none" w:sz="0" w:space="0" w:color="auto"/>
        <w:left w:val="none" w:sz="0" w:space="0" w:color="auto"/>
        <w:bottom w:val="none" w:sz="0" w:space="0" w:color="auto"/>
        <w:right w:val="none" w:sz="0" w:space="0" w:color="auto"/>
      </w:divBdr>
    </w:div>
    <w:div w:id="942801752">
      <w:bodyDiv w:val="1"/>
      <w:marLeft w:val="0"/>
      <w:marRight w:val="0"/>
      <w:marTop w:val="0"/>
      <w:marBottom w:val="0"/>
      <w:divBdr>
        <w:top w:val="none" w:sz="0" w:space="0" w:color="auto"/>
        <w:left w:val="none" w:sz="0" w:space="0" w:color="auto"/>
        <w:bottom w:val="none" w:sz="0" w:space="0" w:color="auto"/>
        <w:right w:val="none" w:sz="0" w:space="0" w:color="auto"/>
      </w:divBdr>
    </w:div>
    <w:div w:id="942884421">
      <w:bodyDiv w:val="1"/>
      <w:marLeft w:val="0"/>
      <w:marRight w:val="0"/>
      <w:marTop w:val="0"/>
      <w:marBottom w:val="0"/>
      <w:divBdr>
        <w:top w:val="none" w:sz="0" w:space="0" w:color="auto"/>
        <w:left w:val="none" w:sz="0" w:space="0" w:color="auto"/>
        <w:bottom w:val="none" w:sz="0" w:space="0" w:color="auto"/>
        <w:right w:val="none" w:sz="0" w:space="0" w:color="auto"/>
      </w:divBdr>
    </w:div>
    <w:div w:id="942886282">
      <w:bodyDiv w:val="1"/>
      <w:marLeft w:val="0"/>
      <w:marRight w:val="0"/>
      <w:marTop w:val="0"/>
      <w:marBottom w:val="0"/>
      <w:divBdr>
        <w:top w:val="none" w:sz="0" w:space="0" w:color="auto"/>
        <w:left w:val="none" w:sz="0" w:space="0" w:color="auto"/>
        <w:bottom w:val="none" w:sz="0" w:space="0" w:color="auto"/>
        <w:right w:val="none" w:sz="0" w:space="0" w:color="auto"/>
      </w:divBdr>
    </w:div>
    <w:div w:id="942958474">
      <w:bodyDiv w:val="1"/>
      <w:marLeft w:val="0"/>
      <w:marRight w:val="0"/>
      <w:marTop w:val="0"/>
      <w:marBottom w:val="0"/>
      <w:divBdr>
        <w:top w:val="none" w:sz="0" w:space="0" w:color="auto"/>
        <w:left w:val="none" w:sz="0" w:space="0" w:color="auto"/>
        <w:bottom w:val="none" w:sz="0" w:space="0" w:color="auto"/>
        <w:right w:val="none" w:sz="0" w:space="0" w:color="auto"/>
      </w:divBdr>
    </w:div>
    <w:div w:id="943070222">
      <w:bodyDiv w:val="1"/>
      <w:marLeft w:val="0"/>
      <w:marRight w:val="0"/>
      <w:marTop w:val="0"/>
      <w:marBottom w:val="0"/>
      <w:divBdr>
        <w:top w:val="none" w:sz="0" w:space="0" w:color="auto"/>
        <w:left w:val="none" w:sz="0" w:space="0" w:color="auto"/>
        <w:bottom w:val="none" w:sz="0" w:space="0" w:color="auto"/>
        <w:right w:val="none" w:sz="0" w:space="0" w:color="auto"/>
      </w:divBdr>
    </w:div>
    <w:div w:id="943273061">
      <w:bodyDiv w:val="1"/>
      <w:marLeft w:val="0"/>
      <w:marRight w:val="0"/>
      <w:marTop w:val="0"/>
      <w:marBottom w:val="0"/>
      <w:divBdr>
        <w:top w:val="none" w:sz="0" w:space="0" w:color="auto"/>
        <w:left w:val="none" w:sz="0" w:space="0" w:color="auto"/>
        <w:bottom w:val="none" w:sz="0" w:space="0" w:color="auto"/>
        <w:right w:val="none" w:sz="0" w:space="0" w:color="auto"/>
      </w:divBdr>
    </w:div>
    <w:div w:id="943417771">
      <w:bodyDiv w:val="1"/>
      <w:marLeft w:val="0"/>
      <w:marRight w:val="0"/>
      <w:marTop w:val="0"/>
      <w:marBottom w:val="0"/>
      <w:divBdr>
        <w:top w:val="none" w:sz="0" w:space="0" w:color="auto"/>
        <w:left w:val="none" w:sz="0" w:space="0" w:color="auto"/>
        <w:bottom w:val="none" w:sz="0" w:space="0" w:color="auto"/>
        <w:right w:val="none" w:sz="0" w:space="0" w:color="auto"/>
      </w:divBdr>
    </w:div>
    <w:div w:id="943418579">
      <w:bodyDiv w:val="1"/>
      <w:marLeft w:val="0"/>
      <w:marRight w:val="0"/>
      <w:marTop w:val="0"/>
      <w:marBottom w:val="0"/>
      <w:divBdr>
        <w:top w:val="none" w:sz="0" w:space="0" w:color="auto"/>
        <w:left w:val="none" w:sz="0" w:space="0" w:color="auto"/>
        <w:bottom w:val="none" w:sz="0" w:space="0" w:color="auto"/>
        <w:right w:val="none" w:sz="0" w:space="0" w:color="auto"/>
      </w:divBdr>
    </w:div>
    <w:div w:id="943536005">
      <w:bodyDiv w:val="1"/>
      <w:marLeft w:val="0"/>
      <w:marRight w:val="0"/>
      <w:marTop w:val="0"/>
      <w:marBottom w:val="0"/>
      <w:divBdr>
        <w:top w:val="none" w:sz="0" w:space="0" w:color="auto"/>
        <w:left w:val="none" w:sz="0" w:space="0" w:color="auto"/>
        <w:bottom w:val="none" w:sz="0" w:space="0" w:color="auto"/>
        <w:right w:val="none" w:sz="0" w:space="0" w:color="auto"/>
      </w:divBdr>
    </w:div>
    <w:div w:id="943920588">
      <w:bodyDiv w:val="1"/>
      <w:marLeft w:val="0"/>
      <w:marRight w:val="0"/>
      <w:marTop w:val="0"/>
      <w:marBottom w:val="0"/>
      <w:divBdr>
        <w:top w:val="none" w:sz="0" w:space="0" w:color="auto"/>
        <w:left w:val="none" w:sz="0" w:space="0" w:color="auto"/>
        <w:bottom w:val="none" w:sz="0" w:space="0" w:color="auto"/>
        <w:right w:val="none" w:sz="0" w:space="0" w:color="auto"/>
      </w:divBdr>
    </w:div>
    <w:div w:id="943926313">
      <w:bodyDiv w:val="1"/>
      <w:marLeft w:val="0"/>
      <w:marRight w:val="0"/>
      <w:marTop w:val="0"/>
      <w:marBottom w:val="0"/>
      <w:divBdr>
        <w:top w:val="none" w:sz="0" w:space="0" w:color="auto"/>
        <w:left w:val="none" w:sz="0" w:space="0" w:color="auto"/>
        <w:bottom w:val="none" w:sz="0" w:space="0" w:color="auto"/>
        <w:right w:val="none" w:sz="0" w:space="0" w:color="auto"/>
      </w:divBdr>
    </w:div>
    <w:div w:id="944002588">
      <w:bodyDiv w:val="1"/>
      <w:marLeft w:val="0"/>
      <w:marRight w:val="0"/>
      <w:marTop w:val="0"/>
      <w:marBottom w:val="0"/>
      <w:divBdr>
        <w:top w:val="none" w:sz="0" w:space="0" w:color="auto"/>
        <w:left w:val="none" w:sz="0" w:space="0" w:color="auto"/>
        <w:bottom w:val="none" w:sz="0" w:space="0" w:color="auto"/>
        <w:right w:val="none" w:sz="0" w:space="0" w:color="auto"/>
      </w:divBdr>
    </w:div>
    <w:div w:id="944003245">
      <w:bodyDiv w:val="1"/>
      <w:marLeft w:val="0"/>
      <w:marRight w:val="0"/>
      <w:marTop w:val="0"/>
      <w:marBottom w:val="0"/>
      <w:divBdr>
        <w:top w:val="none" w:sz="0" w:space="0" w:color="auto"/>
        <w:left w:val="none" w:sz="0" w:space="0" w:color="auto"/>
        <w:bottom w:val="none" w:sz="0" w:space="0" w:color="auto"/>
        <w:right w:val="none" w:sz="0" w:space="0" w:color="auto"/>
      </w:divBdr>
    </w:div>
    <w:div w:id="944070112">
      <w:bodyDiv w:val="1"/>
      <w:marLeft w:val="0"/>
      <w:marRight w:val="0"/>
      <w:marTop w:val="0"/>
      <w:marBottom w:val="0"/>
      <w:divBdr>
        <w:top w:val="none" w:sz="0" w:space="0" w:color="auto"/>
        <w:left w:val="none" w:sz="0" w:space="0" w:color="auto"/>
        <w:bottom w:val="none" w:sz="0" w:space="0" w:color="auto"/>
        <w:right w:val="none" w:sz="0" w:space="0" w:color="auto"/>
      </w:divBdr>
    </w:div>
    <w:div w:id="944070983">
      <w:bodyDiv w:val="1"/>
      <w:marLeft w:val="0"/>
      <w:marRight w:val="0"/>
      <w:marTop w:val="0"/>
      <w:marBottom w:val="0"/>
      <w:divBdr>
        <w:top w:val="none" w:sz="0" w:space="0" w:color="auto"/>
        <w:left w:val="none" w:sz="0" w:space="0" w:color="auto"/>
        <w:bottom w:val="none" w:sz="0" w:space="0" w:color="auto"/>
        <w:right w:val="none" w:sz="0" w:space="0" w:color="auto"/>
      </w:divBdr>
    </w:div>
    <w:div w:id="944265943">
      <w:bodyDiv w:val="1"/>
      <w:marLeft w:val="0"/>
      <w:marRight w:val="0"/>
      <w:marTop w:val="0"/>
      <w:marBottom w:val="0"/>
      <w:divBdr>
        <w:top w:val="none" w:sz="0" w:space="0" w:color="auto"/>
        <w:left w:val="none" w:sz="0" w:space="0" w:color="auto"/>
        <w:bottom w:val="none" w:sz="0" w:space="0" w:color="auto"/>
        <w:right w:val="none" w:sz="0" w:space="0" w:color="auto"/>
      </w:divBdr>
    </w:div>
    <w:div w:id="944309627">
      <w:bodyDiv w:val="1"/>
      <w:marLeft w:val="0"/>
      <w:marRight w:val="0"/>
      <w:marTop w:val="0"/>
      <w:marBottom w:val="0"/>
      <w:divBdr>
        <w:top w:val="none" w:sz="0" w:space="0" w:color="auto"/>
        <w:left w:val="none" w:sz="0" w:space="0" w:color="auto"/>
        <w:bottom w:val="none" w:sz="0" w:space="0" w:color="auto"/>
        <w:right w:val="none" w:sz="0" w:space="0" w:color="auto"/>
      </w:divBdr>
    </w:div>
    <w:div w:id="944389905">
      <w:bodyDiv w:val="1"/>
      <w:marLeft w:val="0"/>
      <w:marRight w:val="0"/>
      <w:marTop w:val="0"/>
      <w:marBottom w:val="0"/>
      <w:divBdr>
        <w:top w:val="none" w:sz="0" w:space="0" w:color="auto"/>
        <w:left w:val="none" w:sz="0" w:space="0" w:color="auto"/>
        <w:bottom w:val="none" w:sz="0" w:space="0" w:color="auto"/>
        <w:right w:val="none" w:sz="0" w:space="0" w:color="auto"/>
      </w:divBdr>
    </w:div>
    <w:div w:id="944465001">
      <w:bodyDiv w:val="1"/>
      <w:marLeft w:val="0"/>
      <w:marRight w:val="0"/>
      <w:marTop w:val="0"/>
      <w:marBottom w:val="0"/>
      <w:divBdr>
        <w:top w:val="none" w:sz="0" w:space="0" w:color="auto"/>
        <w:left w:val="none" w:sz="0" w:space="0" w:color="auto"/>
        <w:bottom w:val="none" w:sz="0" w:space="0" w:color="auto"/>
        <w:right w:val="none" w:sz="0" w:space="0" w:color="auto"/>
      </w:divBdr>
    </w:div>
    <w:div w:id="944504843">
      <w:bodyDiv w:val="1"/>
      <w:marLeft w:val="0"/>
      <w:marRight w:val="0"/>
      <w:marTop w:val="0"/>
      <w:marBottom w:val="0"/>
      <w:divBdr>
        <w:top w:val="none" w:sz="0" w:space="0" w:color="auto"/>
        <w:left w:val="none" w:sz="0" w:space="0" w:color="auto"/>
        <w:bottom w:val="none" w:sz="0" w:space="0" w:color="auto"/>
        <w:right w:val="none" w:sz="0" w:space="0" w:color="auto"/>
      </w:divBdr>
    </w:div>
    <w:div w:id="944577748">
      <w:bodyDiv w:val="1"/>
      <w:marLeft w:val="0"/>
      <w:marRight w:val="0"/>
      <w:marTop w:val="0"/>
      <w:marBottom w:val="0"/>
      <w:divBdr>
        <w:top w:val="none" w:sz="0" w:space="0" w:color="auto"/>
        <w:left w:val="none" w:sz="0" w:space="0" w:color="auto"/>
        <w:bottom w:val="none" w:sz="0" w:space="0" w:color="auto"/>
        <w:right w:val="none" w:sz="0" w:space="0" w:color="auto"/>
      </w:divBdr>
    </w:div>
    <w:div w:id="944580557">
      <w:bodyDiv w:val="1"/>
      <w:marLeft w:val="0"/>
      <w:marRight w:val="0"/>
      <w:marTop w:val="0"/>
      <w:marBottom w:val="0"/>
      <w:divBdr>
        <w:top w:val="none" w:sz="0" w:space="0" w:color="auto"/>
        <w:left w:val="none" w:sz="0" w:space="0" w:color="auto"/>
        <w:bottom w:val="none" w:sz="0" w:space="0" w:color="auto"/>
        <w:right w:val="none" w:sz="0" w:space="0" w:color="auto"/>
      </w:divBdr>
    </w:div>
    <w:div w:id="944733289">
      <w:bodyDiv w:val="1"/>
      <w:marLeft w:val="0"/>
      <w:marRight w:val="0"/>
      <w:marTop w:val="0"/>
      <w:marBottom w:val="0"/>
      <w:divBdr>
        <w:top w:val="none" w:sz="0" w:space="0" w:color="auto"/>
        <w:left w:val="none" w:sz="0" w:space="0" w:color="auto"/>
        <w:bottom w:val="none" w:sz="0" w:space="0" w:color="auto"/>
        <w:right w:val="none" w:sz="0" w:space="0" w:color="auto"/>
      </w:divBdr>
    </w:div>
    <w:div w:id="944734181">
      <w:bodyDiv w:val="1"/>
      <w:marLeft w:val="0"/>
      <w:marRight w:val="0"/>
      <w:marTop w:val="0"/>
      <w:marBottom w:val="0"/>
      <w:divBdr>
        <w:top w:val="none" w:sz="0" w:space="0" w:color="auto"/>
        <w:left w:val="none" w:sz="0" w:space="0" w:color="auto"/>
        <w:bottom w:val="none" w:sz="0" w:space="0" w:color="auto"/>
        <w:right w:val="none" w:sz="0" w:space="0" w:color="auto"/>
      </w:divBdr>
    </w:div>
    <w:div w:id="944966832">
      <w:bodyDiv w:val="1"/>
      <w:marLeft w:val="0"/>
      <w:marRight w:val="0"/>
      <w:marTop w:val="0"/>
      <w:marBottom w:val="0"/>
      <w:divBdr>
        <w:top w:val="none" w:sz="0" w:space="0" w:color="auto"/>
        <w:left w:val="none" w:sz="0" w:space="0" w:color="auto"/>
        <w:bottom w:val="none" w:sz="0" w:space="0" w:color="auto"/>
        <w:right w:val="none" w:sz="0" w:space="0" w:color="auto"/>
      </w:divBdr>
    </w:div>
    <w:div w:id="945118759">
      <w:bodyDiv w:val="1"/>
      <w:marLeft w:val="0"/>
      <w:marRight w:val="0"/>
      <w:marTop w:val="0"/>
      <w:marBottom w:val="0"/>
      <w:divBdr>
        <w:top w:val="none" w:sz="0" w:space="0" w:color="auto"/>
        <w:left w:val="none" w:sz="0" w:space="0" w:color="auto"/>
        <w:bottom w:val="none" w:sz="0" w:space="0" w:color="auto"/>
        <w:right w:val="none" w:sz="0" w:space="0" w:color="auto"/>
      </w:divBdr>
    </w:div>
    <w:div w:id="945119285">
      <w:bodyDiv w:val="1"/>
      <w:marLeft w:val="0"/>
      <w:marRight w:val="0"/>
      <w:marTop w:val="0"/>
      <w:marBottom w:val="0"/>
      <w:divBdr>
        <w:top w:val="none" w:sz="0" w:space="0" w:color="auto"/>
        <w:left w:val="none" w:sz="0" w:space="0" w:color="auto"/>
        <w:bottom w:val="none" w:sz="0" w:space="0" w:color="auto"/>
        <w:right w:val="none" w:sz="0" w:space="0" w:color="auto"/>
      </w:divBdr>
    </w:div>
    <w:div w:id="945423697">
      <w:bodyDiv w:val="1"/>
      <w:marLeft w:val="0"/>
      <w:marRight w:val="0"/>
      <w:marTop w:val="0"/>
      <w:marBottom w:val="0"/>
      <w:divBdr>
        <w:top w:val="none" w:sz="0" w:space="0" w:color="auto"/>
        <w:left w:val="none" w:sz="0" w:space="0" w:color="auto"/>
        <w:bottom w:val="none" w:sz="0" w:space="0" w:color="auto"/>
        <w:right w:val="none" w:sz="0" w:space="0" w:color="auto"/>
      </w:divBdr>
    </w:div>
    <w:div w:id="945425382">
      <w:bodyDiv w:val="1"/>
      <w:marLeft w:val="0"/>
      <w:marRight w:val="0"/>
      <w:marTop w:val="0"/>
      <w:marBottom w:val="0"/>
      <w:divBdr>
        <w:top w:val="none" w:sz="0" w:space="0" w:color="auto"/>
        <w:left w:val="none" w:sz="0" w:space="0" w:color="auto"/>
        <w:bottom w:val="none" w:sz="0" w:space="0" w:color="auto"/>
        <w:right w:val="none" w:sz="0" w:space="0" w:color="auto"/>
      </w:divBdr>
    </w:div>
    <w:div w:id="945505795">
      <w:bodyDiv w:val="1"/>
      <w:marLeft w:val="0"/>
      <w:marRight w:val="0"/>
      <w:marTop w:val="0"/>
      <w:marBottom w:val="0"/>
      <w:divBdr>
        <w:top w:val="none" w:sz="0" w:space="0" w:color="auto"/>
        <w:left w:val="none" w:sz="0" w:space="0" w:color="auto"/>
        <w:bottom w:val="none" w:sz="0" w:space="0" w:color="auto"/>
        <w:right w:val="none" w:sz="0" w:space="0" w:color="auto"/>
      </w:divBdr>
    </w:div>
    <w:div w:id="945506219">
      <w:bodyDiv w:val="1"/>
      <w:marLeft w:val="0"/>
      <w:marRight w:val="0"/>
      <w:marTop w:val="0"/>
      <w:marBottom w:val="0"/>
      <w:divBdr>
        <w:top w:val="none" w:sz="0" w:space="0" w:color="auto"/>
        <w:left w:val="none" w:sz="0" w:space="0" w:color="auto"/>
        <w:bottom w:val="none" w:sz="0" w:space="0" w:color="auto"/>
        <w:right w:val="none" w:sz="0" w:space="0" w:color="auto"/>
      </w:divBdr>
    </w:div>
    <w:div w:id="945506688">
      <w:bodyDiv w:val="1"/>
      <w:marLeft w:val="0"/>
      <w:marRight w:val="0"/>
      <w:marTop w:val="0"/>
      <w:marBottom w:val="0"/>
      <w:divBdr>
        <w:top w:val="none" w:sz="0" w:space="0" w:color="auto"/>
        <w:left w:val="none" w:sz="0" w:space="0" w:color="auto"/>
        <w:bottom w:val="none" w:sz="0" w:space="0" w:color="auto"/>
        <w:right w:val="none" w:sz="0" w:space="0" w:color="auto"/>
      </w:divBdr>
    </w:div>
    <w:div w:id="945577930">
      <w:bodyDiv w:val="1"/>
      <w:marLeft w:val="0"/>
      <w:marRight w:val="0"/>
      <w:marTop w:val="0"/>
      <w:marBottom w:val="0"/>
      <w:divBdr>
        <w:top w:val="none" w:sz="0" w:space="0" w:color="auto"/>
        <w:left w:val="none" w:sz="0" w:space="0" w:color="auto"/>
        <w:bottom w:val="none" w:sz="0" w:space="0" w:color="auto"/>
        <w:right w:val="none" w:sz="0" w:space="0" w:color="auto"/>
      </w:divBdr>
    </w:div>
    <w:div w:id="945619376">
      <w:bodyDiv w:val="1"/>
      <w:marLeft w:val="0"/>
      <w:marRight w:val="0"/>
      <w:marTop w:val="0"/>
      <w:marBottom w:val="0"/>
      <w:divBdr>
        <w:top w:val="none" w:sz="0" w:space="0" w:color="auto"/>
        <w:left w:val="none" w:sz="0" w:space="0" w:color="auto"/>
        <w:bottom w:val="none" w:sz="0" w:space="0" w:color="auto"/>
        <w:right w:val="none" w:sz="0" w:space="0" w:color="auto"/>
      </w:divBdr>
    </w:div>
    <w:div w:id="945619712">
      <w:bodyDiv w:val="1"/>
      <w:marLeft w:val="0"/>
      <w:marRight w:val="0"/>
      <w:marTop w:val="0"/>
      <w:marBottom w:val="0"/>
      <w:divBdr>
        <w:top w:val="none" w:sz="0" w:space="0" w:color="auto"/>
        <w:left w:val="none" w:sz="0" w:space="0" w:color="auto"/>
        <w:bottom w:val="none" w:sz="0" w:space="0" w:color="auto"/>
        <w:right w:val="none" w:sz="0" w:space="0" w:color="auto"/>
      </w:divBdr>
    </w:div>
    <w:div w:id="945768196">
      <w:bodyDiv w:val="1"/>
      <w:marLeft w:val="0"/>
      <w:marRight w:val="0"/>
      <w:marTop w:val="0"/>
      <w:marBottom w:val="0"/>
      <w:divBdr>
        <w:top w:val="none" w:sz="0" w:space="0" w:color="auto"/>
        <w:left w:val="none" w:sz="0" w:space="0" w:color="auto"/>
        <w:bottom w:val="none" w:sz="0" w:space="0" w:color="auto"/>
        <w:right w:val="none" w:sz="0" w:space="0" w:color="auto"/>
      </w:divBdr>
    </w:div>
    <w:div w:id="945770626">
      <w:bodyDiv w:val="1"/>
      <w:marLeft w:val="0"/>
      <w:marRight w:val="0"/>
      <w:marTop w:val="0"/>
      <w:marBottom w:val="0"/>
      <w:divBdr>
        <w:top w:val="none" w:sz="0" w:space="0" w:color="auto"/>
        <w:left w:val="none" w:sz="0" w:space="0" w:color="auto"/>
        <w:bottom w:val="none" w:sz="0" w:space="0" w:color="auto"/>
        <w:right w:val="none" w:sz="0" w:space="0" w:color="auto"/>
      </w:divBdr>
    </w:div>
    <w:div w:id="945818042">
      <w:bodyDiv w:val="1"/>
      <w:marLeft w:val="0"/>
      <w:marRight w:val="0"/>
      <w:marTop w:val="0"/>
      <w:marBottom w:val="0"/>
      <w:divBdr>
        <w:top w:val="none" w:sz="0" w:space="0" w:color="auto"/>
        <w:left w:val="none" w:sz="0" w:space="0" w:color="auto"/>
        <w:bottom w:val="none" w:sz="0" w:space="0" w:color="auto"/>
        <w:right w:val="none" w:sz="0" w:space="0" w:color="auto"/>
      </w:divBdr>
    </w:div>
    <w:div w:id="946160031">
      <w:bodyDiv w:val="1"/>
      <w:marLeft w:val="0"/>
      <w:marRight w:val="0"/>
      <w:marTop w:val="0"/>
      <w:marBottom w:val="0"/>
      <w:divBdr>
        <w:top w:val="none" w:sz="0" w:space="0" w:color="auto"/>
        <w:left w:val="none" w:sz="0" w:space="0" w:color="auto"/>
        <w:bottom w:val="none" w:sz="0" w:space="0" w:color="auto"/>
        <w:right w:val="none" w:sz="0" w:space="0" w:color="auto"/>
      </w:divBdr>
    </w:div>
    <w:div w:id="946160875">
      <w:bodyDiv w:val="1"/>
      <w:marLeft w:val="0"/>
      <w:marRight w:val="0"/>
      <w:marTop w:val="0"/>
      <w:marBottom w:val="0"/>
      <w:divBdr>
        <w:top w:val="none" w:sz="0" w:space="0" w:color="auto"/>
        <w:left w:val="none" w:sz="0" w:space="0" w:color="auto"/>
        <w:bottom w:val="none" w:sz="0" w:space="0" w:color="auto"/>
        <w:right w:val="none" w:sz="0" w:space="0" w:color="auto"/>
      </w:divBdr>
    </w:div>
    <w:div w:id="946230933">
      <w:bodyDiv w:val="1"/>
      <w:marLeft w:val="0"/>
      <w:marRight w:val="0"/>
      <w:marTop w:val="0"/>
      <w:marBottom w:val="0"/>
      <w:divBdr>
        <w:top w:val="none" w:sz="0" w:space="0" w:color="auto"/>
        <w:left w:val="none" w:sz="0" w:space="0" w:color="auto"/>
        <w:bottom w:val="none" w:sz="0" w:space="0" w:color="auto"/>
        <w:right w:val="none" w:sz="0" w:space="0" w:color="auto"/>
      </w:divBdr>
    </w:div>
    <w:div w:id="946231484">
      <w:bodyDiv w:val="1"/>
      <w:marLeft w:val="0"/>
      <w:marRight w:val="0"/>
      <w:marTop w:val="0"/>
      <w:marBottom w:val="0"/>
      <w:divBdr>
        <w:top w:val="none" w:sz="0" w:space="0" w:color="auto"/>
        <w:left w:val="none" w:sz="0" w:space="0" w:color="auto"/>
        <w:bottom w:val="none" w:sz="0" w:space="0" w:color="auto"/>
        <w:right w:val="none" w:sz="0" w:space="0" w:color="auto"/>
      </w:divBdr>
    </w:div>
    <w:div w:id="946236517">
      <w:bodyDiv w:val="1"/>
      <w:marLeft w:val="0"/>
      <w:marRight w:val="0"/>
      <w:marTop w:val="0"/>
      <w:marBottom w:val="0"/>
      <w:divBdr>
        <w:top w:val="none" w:sz="0" w:space="0" w:color="auto"/>
        <w:left w:val="none" w:sz="0" w:space="0" w:color="auto"/>
        <w:bottom w:val="none" w:sz="0" w:space="0" w:color="auto"/>
        <w:right w:val="none" w:sz="0" w:space="0" w:color="auto"/>
      </w:divBdr>
    </w:div>
    <w:div w:id="946278136">
      <w:bodyDiv w:val="1"/>
      <w:marLeft w:val="0"/>
      <w:marRight w:val="0"/>
      <w:marTop w:val="0"/>
      <w:marBottom w:val="0"/>
      <w:divBdr>
        <w:top w:val="none" w:sz="0" w:space="0" w:color="auto"/>
        <w:left w:val="none" w:sz="0" w:space="0" w:color="auto"/>
        <w:bottom w:val="none" w:sz="0" w:space="0" w:color="auto"/>
        <w:right w:val="none" w:sz="0" w:space="0" w:color="auto"/>
      </w:divBdr>
    </w:div>
    <w:div w:id="946278303">
      <w:bodyDiv w:val="1"/>
      <w:marLeft w:val="0"/>
      <w:marRight w:val="0"/>
      <w:marTop w:val="0"/>
      <w:marBottom w:val="0"/>
      <w:divBdr>
        <w:top w:val="none" w:sz="0" w:space="0" w:color="auto"/>
        <w:left w:val="none" w:sz="0" w:space="0" w:color="auto"/>
        <w:bottom w:val="none" w:sz="0" w:space="0" w:color="auto"/>
        <w:right w:val="none" w:sz="0" w:space="0" w:color="auto"/>
      </w:divBdr>
    </w:div>
    <w:div w:id="946279288">
      <w:bodyDiv w:val="1"/>
      <w:marLeft w:val="0"/>
      <w:marRight w:val="0"/>
      <w:marTop w:val="0"/>
      <w:marBottom w:val="0"/>
      <w:divBdr>
        <w:top w:val="none" w:sz="0" w:space="0" w:color="auto"/>
        <w:left w:val="none" w:sz="0" w:space="0" w:color="auto"/>
        <w:bottom w:val="none" w:sz="0" w:space="0" w:color="auto"/>
        <w:right w:val="none" w:sz="0" w:space="0" w:color="auto"/>
      </w:divBdr>
    </w:div>
    <w:div w:id="946352426">
      <w:bodyDiv w:val="1"/>
      <w:marLeft w:val="0"/>
      <w:marRight w:val="0"/>
      <w:marTop w:val="0"/>
      <w:marBottom w:val="0"/>
      <w:divBdr>
        <w:top w:val="none" w:sz="0" w:space="0" w:color="auto"/>
        <w:left w:val="none" w:sz="0" w:space="0" w:color="auto"/>
        <w:bottom w:val="none" w:sz="0" w:space="0" w:color="auto"/>
        <w:right w:val="none" w:sz="0" w:space="0" w:color="auto"/>
      </w:divBdr>
    </w:div>
    <w:div w:id="946498413">
      <w:bodyDiv w:val="1"/>
      <w:marLeft w:val="0"/>
      <w:marRight w:val="0"/>
      <w:marTop w:val="0"/>
      <w:marBottom w:val="0"/>
      <w:divBdr>
        <w:top w:val="none" w:sz="0" w:space="0" w:color="auto"/>
        <w:left w:val="none" w:sz="0" w:space="0" w:color="auto"/>
        <w:bottom w:val="none" w:sz="0" w:space="0" w:color="auto"/>
        <w:right w:val="none" w:sz="0" w:space="0" w:color="auto"/>
      </w:divBdr>
    </w:div>
    <w:div w:id="946549160">
      <w:bodyDiv w:val="1"/>
      <w:marLeft w:val="0"/>
      <w:marRight w:val="0"/>
      <w:marTop w:val="0"/>
      <w:marBottom w:val="0"/>
      <w:divBdr>
        <w:top w:val="none" w:sz="0" w:space="0" w:color="auto"/>
        <w:left w:val="none" w:sz="0" w:space="0" w:color="auto"/>
        <w:bottom w:val="none" w:sz="0" w:space="0" w:color="auto"/>
        <w:right w:val="none" w:sz="0" w:space="0" w:color="auto"/>
      </w:divBdr>
    </w:div>
    <w:div w:id="946619610">
      <w:bodyDiv w:val="1"/>
      <w:marLeft w:val="0"/>
      <w:marRight w:val="0"/>
      <w:marTop w:val="0"/>
      <w:marBottom w:val="0"/>
      <w:divBdr>
        <w:top w:val="none" w:sz="0" w:space="0" w:color="auto"/>
        <w:left w:val="none" w:sz="0" w:space="0" w:color="auto"/>
        <w:bottom w:val="none" w:sz="0" w:space="0" w:color="auto"/>
        <w:right w:val="none" w:sz="0" w:space="0" w:color="auto"/>
      </w:divBdr>
    </w:div>
    <w:div w:id="946733090">
      <w:bodyDiv w:val="1"/>
      <w:marLeft w:val="0"/>
      <w:marRight w:val="0"/>
      <w:marTop w:val="0"/>
      <w:marBottom w:val="0"/>
      <w:divBdr>
        <w:top w:val="none" w:sz="0" w:space="0" w:color="auto"/>
        <w:left w:val="none" w:sz="0" w:space="0" w:color="auto"/>
        <w:bottom w:val="none" w:sz="0" w:space="0" w:color="auto"/>
        <w:right w:val="none" w:sz="0" w:space="0" w:color="auto"/>
      </w:divBdr>
    </w:div>
    <w:div w:id="946736775">
      <w:bodyDiv w:val="1"/>
      <w:marLeft w:val="0"/>
      <w:marRight w:val="0"/>
      <w:marTop w:val="0"/>
      <w:marBottom w:val="0"/>
      <w:divBdr>
        <w:top w:val="none" w:sz="0" w:space="0" w:color="auto"/>
        <w:left w:val="none" w:sz="0" w:space="0" w:color="auto"/>
        <w:bottom w:val="none" w:sz="0" w:space="0" w:color="auto"/>
        <w:right w:val="none" w:sz="0" w:space="0" w:color="auto"/>
      </w:divBdr>
    </w:div>
    <w:div w:id="946887711">
      <w:bodyDiv w:val="1"/>
      <w:marLeft w:val="0"/>
      <w:marRight w:val="0"/>
      <w:marTop w:val="0"/>
      <w:marBottom w:val="0"/>
      <w:divBdr>
        <w:top w:val="none" w:sz="0" w:space="0" w:color="auto"/>
        <w:left w:val="none" w:sz="0" w:space="0" w:color="auto"/>
        <w:bottom w:val="none" w:sz="0" w:space="0" w:color="auto"/>
        <w:right w:val="none" w:sz="0" w:space="0" w:color="auto"/>
      </w:divBdr>
    </w:div>
    <w:div w:id="947007406">
      <w:bodyDiv w:val="1"/>
      <w:marLeft w:val="0"/>
      <w:marRight w:val="0"/>
      <w:marTop w:val="0"/>
      <w:marBottom w:val="0"/>
      <w:divBdr>
        <w:top w:val="none" w:sz="0" w:space="0" w:color="auto"/>
        <w:left w:val="none" w:sz="0" w:space="0" w:color="auto"/>
        <w:bottom w:val="none" w:sz="0" w:space="0" w:color="auto"/>
        <w:right w:val="none" w:sz="0" w:space="0" w:color="auto"/>
      </w:divBdr>
    </w:div>
    <w:div w:id="947009906">
      <w:bodyDiv w:val="1"/>
      <w:marLeft w:val="0"/>
      <w:marRight w:val="0"/>
      <w:marTop w:val="0"/>
      <w:marBottom w:val="0"/>
      <w:divBdr>
        <w:top w:val="none" w:sz="0" w:space="0" w:color="auto"/>
        <w:left w:val="none" w:sz="0" w:space="0" w:color="auto"/>
        <w:bottom w:val="none" w:sz="0" w:space="0" w:color="auto"/>
        <w:right w:val="none" w:sz="0" w:space="0" w:color="auto"/>
      </w:divBdr>
    </w:div>
    <w:div w:id="947084392">
      <w:bodyDiv w:val="1"/>
      <w:marLeft w:val="0"/>
      <w:marRight w:val="0"/>
      <w:marTop w:val="0"/>
      <w:marBottom w:val="0"/>
      <w:divBdr>
        <w:top w:val="none" w:sz="0" w:space="0" w:color="auto"/>
        <w:left w:val="none" w:sz="0" w:space="0" w:color="auto"/>
        <w:bottom w:val="none" w:sz="0" w:space="0" w:color="auto"/>
        <w:right w:val="none" w:sz="0" w:space="0" w:color="auto"/>
      </w:divBdr>
    </w:div>
    <w:div w:id="947128756">
      <w:bodyDiv w:val="1"/>
      <w:marLeft w:val="0"/>
      <w:marRight w:val="0"/>
      <w:marTop w:val="0"/>
      <w:marBottom w:val="0"/>
      <w:divBdr>
        <w:top w:val="none" w:sz="0" w:space="0" w:color="auto"/>
        <w:left w:val="none" w:sz="0" w:space="0" w:color="auto"/>
        <w:bottom w:val="none" w:sz="0" w:space="0" w:color="auto"/>
        <w:right w:val="none" w:sz="0" w:space="0" w:color="auto"/>
      </w:divBdr>
    </w:div>
    <w:div w:id="947156114">
      <w:bodyDiv w:val="1"/>
      <w:marLeft w:val="0"/>
      <w:marRight w:val="0"/>
      <w:marTop w:val="0"/>
      <w:marBottom w:val="0"/>
      <w:divBdr>
        <w:top w:val="none" w:sz="0" w:space="0" w:color="auto"/>
        <w:left w:val="none" w:sz="0" w:space="0" w:color="auto"/>
        <w:bottom w:val="none" w:sz="0" w:space="0" w:color="auto"/>
        <w:right w:val="none" w:sz="0" w:space="0" w:color="auto"/>
      </w:divBdr>
    </w:div>
    <w:div w:id="947196090">
      <w:bodyDiv w:val="1"/>
      <w:marLeft w:val="0"/>
      <w:marRight w:val="0"/>
      <w:marTop w:val="0"/>
      <w:marBottom w:val="0"/>
      <w:divBdr>
        <w:top w:val="none" w:sz="0" w:space="0" w:color="auto"/>
        <w:left w:val="none" w:sz="0" w:space="0" w:color="auto"/>
        <w:bottom w:val="none" w:sz="0" w:space="0" w:color="auto"/>
        <w:right w:val="none" w:sz="0" w:space="0" w:color="auto"/>
      </w:divBdr>
    </w:div>
    <w:div w:id="947198738">
      <w:bodyDiv w:val="1"/>
      <w:marLeft w:val="0"/>
      <w:marRight w:val="0"/>
      <w:marTop w:val="0"/>
      <w:marBottom w:val="0"/>
      <w:divBdr>
        <w:top w:val="none" w:sz="0" w:space="0" w:color="auto"/>
        <w:left w:val="none" w:sz="0" w:space="0" w:color="auto"/>
        <w:bottom w:val="none" w:sz="0" w:space="0" w:color="auto"/>
        <w:right w:val="none" w:sz="0" w:space="0" w:color="auto"/>
      </w:divBdr>
    </w:div>
    <w:div w:id="947201105">
      <w:bodyDiv w:val="1"/>
      <w:marLeft w:val="0"/>
      <w:marRight w:val="0"/>
      <w:marTop w:val="0"/>
      <w:marBottom w:val="0"/>
      <w:divBdr>
        <w:top w:val="none" w:sz="0" w:space="0" w:color="auto"/>
        <w:left w:val="none" w:sz="0" w:space="0" w:color="auto"/>
        <w:bottom w:val="none" w:sz="0" w:space="0" w:color="auto"/>
        <w:right w:val="none" w:sz="0" w:space="0" w:color="auto"/>
      </w:divBdr>
    </w:div>
    <w:div w:id="947203759">
      <w:bodyDiv w:val="1"/>
      <w:marLeft w:val="0"/>
      <w:marRight w:val="0"/>
      <w:marTop w:val="0"/>
      <w:marBottom w:val="0"/>
      <w:divBdr>
        <w:top w:val="none" w:sz="0" w:space="0" w:color="auto"/>
        <w:left w:val="none" w:sz="0" w:space="0" w:color="auto"/>
        <w:bottom w:val="none" w:sz="0" w:space="0" w:color="auto"/>
        <w:right w:val="none" w:sz="0" w:space="0" w:color="auto"/>
      </w:divBdr>
    </w:div>
    <w:div w:id="947272679">
      <w:bodyDiv w:val="1"/>
      <w:marLeft w:val="0"/>
      <w:marRight w:val="0"/>
      <w:marTop w:val="0"/>
      <w:marBottom w:val="0"/>
      <w:divBdr>
        <w:top w:val="none" w:sz="0" w:space="0" w:color="auto"/>
        <w:left w:val="none" w:sz="0" w:space="0" w:color="auto"/>
        <w:bottom w:val="none" w:sz="0" w:space="0" w:color="auto"/>
        <w:right w:val="none" w:sz="0" w:space="0" w:color="auto"/>
      </w:divBdr>
    </w:div>
    <w:div w:id="947277154">
      <w:bodyDiv w:val="1"/>
      <w:marLeft w:val="0"/>
      <w:marRight w:val="0"/>
      <w:marTop w:val="0"/>
      <w:marBottom w:val="0"/>
      <w:divBdr>
        <w:top w:val="none" w:sz="0" w:space="0" w:color="auto"/>
        <w:left w:val="none" w:sz="0" w:space="0" w:color="auto"/>
        <w:bottom w:val="none" w:sz="0" w:space="0" w:color="auto"/>
        <w:right w:val="none" w:sz="0" w:space="0" w:color="auto"/>
      </w:divBdr>
    </w:div>
    <w:div w:id="947355103">
      <w:bodyDiv w:val="1"/>
      <w:marLeft w:val="0"/>
      <w:marRight w:val="0"/>
      <w:marTop w:val="0"/>
      <w:marBottom w:val="0"/>
      <w:divBdr>
        <w:top w:val="none" w:sz="0" w:space="0" w:color="auto"/>
        <w:left w:val="none" w:sz="0" w:space="0" w:color="auto"/>
        <w:bottom w:val="none" w:sz="0" w:space="0" w:color="auto"/>
        <w:right w:val="none" w:sz="0" w:space="0" w:color="auto"/>
      </w:divBdr>
    </w:div>
    <w:div w:id="947464099">
      <w:bodyDiv w:val="1"/>
      <w:marLeft w:val="0"/>
      <w:marRight w:val="0"/>
      <w:marTop w:val="0"/>
      <w:marBottom w:val="0"/>
      <w:divBdr>
        <w:top w:val="none" w:sz="0" w:space="0" w:color="auto"/>
        <w:left w:val="none" w:sz="0" w:space="0" w:color="auto"/>
        <w:bottom w:val="none" w:sz="0" w:space="0" w:color="auto"/>
        <w:right w:val="none" w:sz="0" w:space="0" w:color="auto"/>
      </w:divBdr>
    </w:div>
    <w:div w:id="947544430">
      <w:bodyDiv w:val="1"/>
      <w:marLeft w:val="0"/>
      <w:marRight w:val="0"/>
      <w:marTop w:val="0"/>
      <w:marBottom w:val="0"/>
      <w:divBdr>
        <w:top w:val="none" w:sz="0" w:space="0" w:color="auto"/>
        <w:left w:val="none" w:sz="0" w:space="0" w:color="auto"/>
        <w:bottom w:val="none" w:sz="0" w:space="0" w:color="auto"/>
        <w:right w:val="none" w:sz="0" w:space="0" w:color="auto"/>
      </w:divBdr>
    </w:div>
    <w:div w:id="947732894">
      <w:bodyDiv w:val="1"/>
      <w:marLeft w:val="0"/>
      <w:marRight w:val="0"/>
      <w:marTop w:val="0"/>
      <w:marBottom w:val="0"/>
      <w:divBdr>
        <w:top w:val="none" w:sz="0" w:space="0" w:color="auto"/>
        <w:left w:val="none" w:sz="0" w:space="0" w:color="auto"/>
        <w:bottom w:val="none" w:sz="0" w:space="0" w:color="auto"/>
        <w:right w:val="none" w:sz="0" w:space="0" w:color="auto"/>
      </w:divBdr>
    </w:div>
    <w:div w:id="947738982">
      <w:bodyDiv w:val="1"/>
      <w:marLeft w:val="0"/>
      <w:marRight w:val="0"/>
      <w:marTop w:val="0"/>
      <w:marBottom w:val="0"/>
      <w:divBdr>
        <w:top w:val="none" w:sz="0" w:space="0" w:color="auto"/>
        <w:left w:val="none" w:sz="0" w:space="0" w:color="auto"/>
        <w:bottom w:val="none" w:sz="0" w:space="0" w:color="auto"/>
        <w:right w:val="none" w:sz="0" w:space="0" w:color="auto"/>
      </w:divBdr>
    </w:div>
    <w:div w:id="947740405">
      <w:bodyDiv w:val="1"/>
      <w:marLeft w:val="0"/>
      <w:marRight w:val="0"/>
      <w:marTop w:val="0"/>
      <w:marBottom w:val="0"/>
      <w:divBdr>
        <w:top w:val="none" w:sz="0" w:space="0" w:color="auto"/>
        <w:left w:val="none" w:sz="0" w:space="0" w:color="auto"/>
        <w:bottom w:val="none" w:sz="0" w:space="0" w:color="auto"/>
        <w:right w:val="none" w:sz="0" w:space="0" w:color="auto"/>
      </w:divBdr>
    </w:div>
    <w:div w:id="947782304">
      <w:bodyDiv w:val="1"/>
      <w:marLeft w:val="0"/>
      <w:marRight w:val="0"/>
      <w:marTop w:val="0"/>
      <w:marBottom w:val="0"/>
      <w:divBdr>
        <w:top w:val="none" w:sz="0" w:space="0" w:color="auto"/>
        <w:left w:val="none" w:sz="0" w:space="0" w:color="auto"/>
        <w:bottom w:val="none" w:sz="0" w:space="0" w:color="auto"/>
        <w:right w:val="none" w:sz="0" w:space="0" w:color="auto"/>
      </w:divBdr>
    </w:div>
    <w:div w:id="947808983">
      <w:bodyDiv w:val="1"/>
      <w:marLeft w:val="0"/>
      <w:marRight w:val="0"/>
      <w:marTop w:val="0"/>
      <w:marBottom w:val="0"/>
      <w:divBdr>
        <w:top w:val="none" w:sz="0" w:space="0" w:color="auto"/>
        <w:left w:val="none" w:sz="0" w:space="0" w:color="auto"/>
        <w:bottom w:val="none" w:sz="0" w:space="0" w:color="auto"/>
        <w:right w:val="none" w:sz="0" w:space="0" w:color="auto"/>
      </w:divBdr>
    </w:div>
    <w:div w:id="947809576">
      <w:bodyDiv w:val="1"/>
      <w:marLeft w:val="0"/>
      <w:marRight w:val="0"/>
      <w:marTop w:val="0"/>
      <w:marBottom w:val="0"/>
      <w:divBdr>
        <w:top w:val="none" w:sz="0" w:space="0" w:color="auto"/>
        <w:left w:val="none" w:sz="0" w:space="0" w:color="auto"/>
        <w:bottom w:val="none" w:sz="0" w:space="0" w:color="auto"/>
        <w:right w:val="none" w:sz="0" w:space="0" w:color="auto"/>
      </w:divBdr>
    </w:div>
    <w:div w:id="947813318">
      <w:bodyDiv w:val="1"/>
      <w:marLeft w:val="0"/>
      <w:marRight w:val="0"/>
      <w:marTop w:val="0"/>
      <w:marBottom w:val="0"/>
      <w:divBdr>
        <w:top w:val="none" w:sz="0" w:space="0" w:color="auto"/>
        <w:left w:val="none" w:sz="0" w:space="0" w:color="auto"/>
        <w:bottom w:val="none" w:sz="0" w:space="0" w:color="auto"/>
        <w:right w:val="none" w:sz="0" w:space="0" w:color="auto"/>
      </w:divBdr>
    </w:div>
    <w:div w:id="947930501">
      <w:bodyDiv w:val="1"/>
      <w:marLeft w:val="0"/>
      <w:marRight w:val="0"/>
      <w:marTop w:val="0"/>
      <w:marBottom w:val="0"/>
      <w:divBdr>
        <w:top w:val="none" w:sz="0" w:space="0" w:color="auto"/>
        <w:left w:val="none" w:sz="0" w:space="0" w:color="auto"/>
        <w:bottom w:val="none" w:sz="0" w:space="0" w:color="auto"/>
        <w:right w:val="none" w:sz="0" w:space="0" w:color="auto"/>
      </w:divBdr>
    </w:div>
    <w:div w:id="948003370">
      <w:bodyDiv w:val="1"/>
      <w:marLeft w:val="0"/>
      <w:marRight w:val="0"/>
      <w:marTop w:val="0"/>
      <w:marBottom w:val="0"/>
      <w:divBdr>
        <w:top w:val="none" w:sz="0" w:space="0" w:color="auto"/>
        <w:left w:val="none" w:sz="0" w:space="0" w:color="auto"/>
        <w:bottom w:val="none" w:sz="0" w:space="0" w:color="auto"/>
        <w:right w:val="none" w:sz="0" w:space="0" w:color="auto"/>
      </w:divBdr>
    </w:div>
    <w:div w:id="948003733">
      <w:bodyDiv w:val="1"/>
      <w:marLeft w:val="0"/>
      <w:marRight w:val="0"/>
      <w:marTop w:val="0"/>
      <w:marBottom w:val="0"/>
      <w:divBdr>
        <w:top w:val="none" w:sz="0" w:space="0" w:color="auto"/>
        <w:left w:val="none" w:sz="0" w:space="0" w:color="auto"/>
        <w:bottom w:val="none" w:sz="0" w:space="0" w:color="auto"/>
        <w:right w:val="none" w:sz="0" w:space="0" w:color="auto"/>
      </w:divBdr>
    </w:div>
    <w:div w:id="948004183">
      <w:bodyDiv w:val="1"/>
      <w:marLeft w:val="0"/>
      <w:marRight w:val="0"/>
      <w:marTop w:val="0"/>
      <w:marBottom w:val="0"/>
      <w:divBdr>
        <w:top w:val="none" w:sz="0" w:space="0" w:color="auto"/>
        <w:left w:val="none" w:sz="0" w:space="0" w:color="auto"/>
        <w:bottom w:val="none" w:sz="0" w:space="0" w:color="auto"/>
        <w:right w:val="none" w:sz="0" w:space="0" w:color="auto"/>
      </w:divBdr>
    </w:div>
    <w:div w:id="948008019">
      <w:bodyDiv w:val="1"/>
      <w:marLeft w:val="0"/>
      <w:marRight w:val="0"/>
      <w:marTop w:val="0"/>
      <w:marBottom w:val="0"/>
      <w:divBdr>
        <w:top w:val="none" w:sz="0" w:space="0" w:color="auto"/>
        <w:left w:val="none" w:sz="0" w:space="0" w:color="auto"/>
        <w:bottom w:val="none" w:sz="0" w:space="0" w:color="auto"/>
        <w:right w:val="none" w:sz="0" w:space="0" w:color="auto"/>
      </w:divBdr>
    </w:div>
    <w:div w:id="948121858">
      <w:bodyDiv w:val="1"/>
      <w:marLeft w:val="0"/>
      <w:marRight w:val="0"/>
      <w:marTop w:val="0"/>
      <w:marBottom w:val="0"/>
      <w:divBdr>
        <w:top w:val="none" w:sz="0" w:space="0" w:color="auto"/>
        <w:left w:val="none" w:sz="0" w:space="0" w:color="auto"/>
        <w:bottom w:val="none" w:sz="0" w:space="0" w:color="auto"/>
        <w:right w:val="none" w:sz="0" w:space="0" w:color="auto"/>
      </w:divBdr>
    </w:div>
    <w:div w:id="948122398">
      <w:bodyDiv w:val="1"/>
      <w:marLeft w:val="0"/>
      <w:marRight w:val="0"/>
      <w:marTop w:val="0"/>
      <w:marBottom w:val="0"/>
      <w:divBdr>
        <w:top w:val="none" w:sz="0" w:space="0" w:color="auto"/>
        <w:left w:val="none" w:sz="0" w:space="0" w:color="auto"/>
        <w:bottom w:val="none" w:sz="0" w:space="0" w:color="auto"/>
        <w:right w:val="none" w:sz="0" w:space="0" w:color="auto"/>
      </w:divBdr>
    </w:div>
    <w:div w:id="948243786">
      <w:bodyDiv w:val="1"/>
      <w:marLeft w:val="0"/>
      <w:marRight w:val="0"/>
      <w:marTop w:val="0"/>
      <w:marBottom w:val="0"/>
      <w:divBdr>
        <w:top w:val="none" w:sz="0" w:space="0" w:color="auto"/>
        <w:left w:val="none" w:sz="0" w:space="0" w:color="auto"/>
        <w:bottom w:val="none" w:sz="0" w:space="0" w:color="auto"/>
        <w:right w:val="none" w:sz="0" w:space="0" w:color="auto"/>
      </w:divBdr>
    </w:div>
    <w:div w:id="948315064">
      <w:bodyDiv w:val="1"/>
      <w:marLeft w:val="0"/>
      <w:marRight w:val="0"/>
      <w:marTop w:val="0"/>
      <w:marBottom w:val="0"/>
      <w:divBdr>
        <w:top w:val="none" w:sz="0" w:space="0" w:color="auto"/>
        <w:left w:val="none" w:sz="0" w:space="0" w:color="auto"/>
        <w:bottom w:val="none" w:sz="0" w:space="0" w:color="auto"/>
        <w:right w:val="none" w:sz="0" w:space="0" w:color="auto"/>
      </w:divBdr>
    </w:div>
    <w:div w:id="948392979">
      <w:bodyDiv w:val="1"/>
      <w:marLeft w:val="0"/>
      <w:marRight w:val="0"/>
      <w:marTop w:val="0"/>
      <w:marBottom w:val="0"/>
      <w:divBdr>
        <w:top w:val="none" w:sz="0" w:space="0" w:color="auto"/>
        <w:left w:val="none" w:sz="0" w:space="0" w:color="auto"/>
        <w:bottom w:val="none" w:sz="0" w:space="0" w:color="auto"/>
        <w:right w:val="none" w:sz="0" w:space="0" w:color="auto"/>
      </w:divBdr>
    </w:div>
    <w:div w:id="948396526">
      <w:bodyDiv w:val="1"/>
      <w:marLeft w:val="0"/>
      <w:marRight w:val="0"/>
      <w:marTop w:val="0"/>
      <w:marBottom w:val="0"/>
      <w:divBdr>
        <w:top w:val="none" w:sz="0" w:space="0" w:color="auto"/>
        <w:left w:val="none" w:sz="0" w:space="0" w:color="auto"/>
        <w:bottom w:val="none" w:sz="0" w:space="0" w:color="auto"/>
        <w:right w:val="none" w:sz="0" w:space="0" w:color="auto"/>
      </w:divBdr>
    </w:div>
    <w:div w:id="948463020">
      <w:bodyDiv w:val="1"/>
      <w:marLeft w:val="0"/>
      <w:marRight w:val="0"/>
      <w:marTop w:val="0"/>
      <w:marBottom w:val="0"/>
      <w:divBdr>
        <w:top w:val="none" w:sz="0" w:space="0" w:color="auto"/>
        <w:left w:val="none" w:sz="0" w:space="0" w:color="auto"/>
        <w:bottom w:val="none" w:sz="0" w:space="0" w:color="auto"/>
        <w:right w:val="none" w:sz="0" w:space="0" w:color="auto"/>
      </w:divBdr>
    </w:div>
    <w:div w:id="948508522">
      <w:bodyDiv w:val="1"/>
      <w:marLeft w:val="0"/>
      <w:marRight w:val="0"/>
      <w:marTop w:val="0"/>
      <w:marBottom w:val="0"/>
      <w:divBdr>
        <w:top w:val="none" w:sz="0" w:space="0" w:color="auto"/>
        <w:left w:val="none" w:sz="0" w:space="0" w:color="auto"/>
        <w:bottom w:val="none" w:sz="0" w:space="0" w:color="auto"/>
        <w:right w:val="none" w:sz="0" w:space="0" w:color="auto"/>
      </w:divBdr>
    </w:div>
    <w:div w:id="948510367">
      <w:bodyDiv w:val="1"/>
      <w:marLeft w:val="0"/>
      <w:marRight w:val="0"/>
      <w:marTop w:val="0"/>
      <w:marBottom w:val="0"/>
      <w:divBdr>
        <w:top w:val="none" w:sz="0" w:space="0" w:color="auto"/>
        <w:left w:val="none" w:sz="0" w:space="0" w:color="auto"/>
        <w:bottom w:val="none" w:sz="0" w:space="0" w:color="auto"/>
        <w:right w:val="none" w:sz="0" w:space="0" w:color="auto"/>
      </w:divBdr>
    </w:div>
    <w:div w:id="948665490">
      <w:bodyDiv w:val="1"/>
      <w:marLeft w:val="0"/>
      <w:marRight w:val="0"/>
      <w:marTop w:val="0"/>
      <w:marBottom w:val="0"/>
      <w:divBdr>
        <w:top w:val="none" w:sz="0" w:space="0" w:color="auto"/>
        <w:left w:val="none" w:sz="0" w:space="0" w:color="auto"/>
        <w:bottom w:val="none" w:sz="0" w:space="0" w:color="auto"/>
        <w:right w:val="none" w:sz="0" w:space="0" w:color="auto"/>
      </w:divBdr>
    </w:div>
    <w:div w:id="948705431">
      <w:bodyDiv w:val="1"/>
      <w:marLeft w:val="0"/>
      <w:marRight w:val="0"/>
      <w:marTop w:val="0"/>
      <w:marBottom w:val="0"/>
      <w:divBdr>
        <w:top w:val="none" w:sz="0" w:space="0" w:color="auto"/>
        <w:left w:val="none" w:sz="0" w:space="0" w:color="auto"/>
        <w:bottom w:val="none" w:sz="0" w:space="0" w:color="auto"/>
        <w:right w:val="none" w:sz="0" w:space="0" w:color="auto"/>
      </w:divBdr>
    </w:div>
    <w:div w:id="948708419">
      <w:bodyDiv w:val="1"/>
      <w:marLeft w:val="0"/>
      <w:marRight w:val="0"/>
      <w:marTop w:val="0"/>
      <w:marBottom w:val="0"/>
      <w:divBdr>
        <w:top w:val="none" w:sz="0" w:space="0" w:color="auto"/>
        <w:left w:val="none" w:sz="0" w:space="0" w:color="auto"/>
        <w:bottom w:val="none" w:sz="0" w:space="0" w:color="auto"/>
        <w:right w:val="none" w:sz="0" w:space="0" w:color="auto"/>
      </w:divBdr>
    </w:div>
    <w:div w:id="948856591">
      <w:bodyDiv w:val="1"/>
      <w:marLeft w:val="0"/>
      <w:marRight w:val="0"/>
      <w:marTop w:val="0"/>
      <w:marBottom w:val="0"/>
      <w:divBdr>
        <w:top w:val="none" w:sz="0" w:space="0" w:color="auto"/>
        <w:left w:val="none" w:sz="0" w:space="0" w:color="auto"/>
        <w:bottom w:val="none" w:sz="0" w:space="0" w:color="auto"/>
        <w:right w:val="none" w:sz="0" w:space="0" w:color="auto"/>
      </w:divBdr>
    </w:div>
    <w:div w:id="948856755">
      <w:bodyDiv w:val="1"/>
      <w:marLeft w:val="0"/>
      <w:marRight w:val="0"/>
      <w:marTop w:val="0"/>
      <w:marBottom w:val="0"/>
      <w:divBdr>
        <w:top w:val="none" w:sz="0" w:space="0" w:color="auto"/>
        <w:left w:val="none" w:sz="0" w:space="0" w:color="auto"/>
        <w:bottom w:val="none" w:sz="0" w:space="0" w:color="auto"/>
        <w:right w:val="none" w:sz="0" w:space="0" w:color="auto"/>
      </w:divBdr>
    </w:div>
    <w:div w:id="948968727">
      <w:bodyDiv w:val="1"/>
      <w:marLeft w:val="0"/>
      <w:marRight w:val="0"/>
      <w:marTop w:val="0"/>
      <w:marBottom w:val="0"/>
      <w:divBdr>
        <w:top w:val="none" w:sz="0" w:space="0" w:color="auto"/>
        <w:left w:val="none" w:sz="0" w:space="0" w:color="auto"/>
        <w:bottom w:val="none" w:sz="0" w:space="0" w:color="auto"/>
        <w:right w:val="none" w:sz="0" w:space="0" w:color="auto"/>
      </w:divBdr>
    </w:div>
    <w:div w:id="949092441">
      <w:bodyDiv w:val="1"/>
      <w:marLeft w:val="0"/>
      <w:marRight w:val="0"/>
      <w:marTop w:val="0"/>
      <w:marBottom w:val="0"/>
      <w:divBdr>
        <w:top w:val="none" w:sz="0" w:space="0" w:color="auto"/>
        <w:left w:val="none" w:sz="0" w:space="0" w:color="auto"/>
        <w:bottom w:val="none" w:sz="0" w:space="0" w:color="auto"/>
        <w:right w:val="none" w:sz="0" w:space="0" w:color="auto"/>
      </w:divBdr>
    </w:div>
    <w:div w:id="949125071">
      <w:bodyDiv w:val="1"/>
      <w:marLeft w:val="0"/>
      <w:marRight w:val="0"/>
      <w:marTop w:val="0"/>
      <w:marBottom w:val="0"/>
      <w:divBdr>
        <w:top w:val="none" w:sz="0" w:space="0" w:color="auto"/>
        <w:left w:val="none" w:sz="0" w:space="0" w:color="auto"/>
        <w:bottom w:val="none" w:sz="0" w:space="0" w:color="auto"/>
        <w:right w:val="none" w:sz="0" w:space="0" w:color="auto"/>
      </w:divBdr>
    </w:div>
    <w:div w:id="949164745">
      <w:bodyDiv w:val="1"/>
      <w:marLeft w:val="0"/>
      <w:marRight w:val="0"/>
      <w:marTop w:val="0"/>
      <w:marBottom w:val="0"/>
      <w:divBdr>
        <w:top w:val="none" w:sz="0" w:space="0" w:color="auto"/>
        <w:left w:val="none" w:sz="0" w:space="0" w:color="auto"/>
        <w:bottom w:val="none" w:sz="0" w:space="0" w:color="auto"/>
        <w:right w:val="none" w:sz="0" w:space="0" w:color="auto"/>
      </w:divBdr>
    </w:div>
    <w:div w:id="949241320">
      <w:bodyDiv w:val="1"/>
      <w:marLeft w:val="0"/>
      <w:marRight w:val="0"/>
      <w:marTop w:val="0"/>
      <w:marBottom w:val="0"/>
      <w:divBdr>
        <w:top w:val="none" w:sz="0" w:space="0" w:color="auto"/>
        <w:left w:val="none" w:sz="0" w:space="0" w:color="auto"/>
        <w:bottom w:val="none" w:sz="0" w:space="0" w:color="auto"/>
        <w:right w:val="none" w:sz="0" w:space="0" w:color="auto"/>
      </w:divBdr>
    </w:div>
    <w:div w:id="949361180">
      <w:bodyDiv w:val="1"/>
      <w:marLeft w:val="0"/>
      <w:marRight w:val="0"/>
      <w:marTop w:val="0"/>
      <w:marBottom w:val="0"/>
      <w:divBdr>
        <w:top w:val="none" w:sz="0" w:space="0" w:color="auto"/>
        <w:left w:val="none" w:sz="0" w:space="0" w:color="auto"/>
        <w:bottom w:val="none" w:sz="0" w:space="0" w:color="auto"/>
        <w:right w:val="none" w:sz="0" w:space="0" w:color="auto"/>
      </w:divBdr>
    </w:div>
    <w:div w:id="949433751">
      <w:bodyDiv w:val="1"/>
      <w:marLeft w:val="0"/>
      <w:marRight w:val="0"/>
      <w:marTop w:val="0"/>
      <w:marBottom w:val="0"/>
      <w:divBdr>
        <w:top w:val="none" w:sz="0" w:space="0" w:color="auto"/>
        <w:left w:val="none" w:sz="0" w:space="0" w:color="auto"/>
        <w:bottom w:val="none" w:sz="0" w:space="0" w:color="auto"/>
        <w:right w:val="none" w:sz="0" w:space="0" w:color="auto"/>
      </w:divBdr>
    </w:div>
    <w:div w:id="949703312">
      <w:bodyDiv w:val="1"/>
      <w:marLeft w:val="0"/>
      <w:marRight w:val="0"/>
      <w:marTop w:val="0"/>
      <w:marBottom w:val="0"/>
      <w:divBdr>
        <w:top w:val="none" w:sz="0" w:space="0" w:color="auto"/>
        <w:left w:val="none" w:sz="0" w:space="0" w:color="auto"/>
        <w:bottom w:val="none" w:sz="0" w:space="0" w:color="auto"/>
        <w:right w:val="none" w:sz="0" w:space="0" w:color="auto"/>
      </w:divBdr>
    </w:div>
    <w:div w:id="949773574">
      <w:bodyDiv w:val="1"/>
      <w:marLeft w:val="0"/>
      <w:marRight w:val="0"/>
      <w:marTop w:val="0"/>
      <w:marBottom w:val="0"/>
      <w:divBdr>
        <w:top w:val="none" w:sz="0" w:space="0" w:color="auto"/>
        <w:left w:val="none" w:sz="0" w:space="0" w:color="auto"/>
        <w:bottom w:val="none" w:sz="0" w:space="0" w:color="auto"/>
        <w:right w:val="none" w:sz="0" w:space="0" w:color="auto"/>
      </w:divBdr>
    </w:div>
    <w:div w:id="949892085">
      <w:bodyDiv w:val="1"/>
      <w:marLeft w:val="0"/>
      <w:marRight w:val="0"/>
      <w:marTop w:val="0"/>
      <w:marBottom w:val="0"/>
      <w:divBdr>
        <w:top w:val="none" w:sz="0" w:space="0" w:color="auto"/>
        <w:left w:val="none" w:sz="0" w:space="0" w:color="auto"/>
        <w:bottom w:val="none" w:sz="0" w:space="0" w:color="auto"/>
        <w:right w:val="none" w:sz="0" w:space="0" w:color="auto"/>
      </w:divBdr>
    </w:div>
    <w:div w:id="949896230">
      <w:bodyDiv w:val="1"/>
      <w:marLeft w:val="0"/>
      <w:marRight w:val="0"/>
      <w:marTop w:val="0"/>
      <w:marBottom w:val="0"/>
      <w:divBdr>
        <w:top w:val="none" w:sz="0" w:space="0" w:color="auto"/>
        <w:left w:val="none" w:sz="0" w:space="0" w:color="auto"/>
        <w:bottom w:val="none" w:sz="0" w:space="0" w:color="auto"/>
        <w:right w:val="none" w:sz="0" w:space="0" w:color="auto"/>
      </w:divBdr>
    </w:div>
    <w:div w:id="950160467">
      <w:bodyDiv w:val="1"/>
      <w:marLeft w:val="0"/>
      <w:marRight w:val="0"/>
      <w:marTop w:val="0"/>
      <w:marBottom w:val="0"/>
      <w:divBdr>
        <w:top w:val="none" w:sz="0" w:space="0" w:color="auto"/>
        <w:left w:val="none" w:sz="0" w:space="0" w:color="auto"/>
        <w:bottom w:val="none" w:sz="0" w:space="0" w:color="auto"/>
        <w:right w:val="none" w:sz="0" w:space="0" w:color="auto"/>
      </w:divBdr>
    </w:div>
    <w:div w:id="950281254">
      <w:bodyDiv w:val="1"/>
      <w:marLeft w:val="0"/>
      <w:marRight w:val="0"/>
      <w:marTop w:val="0"/>
      <w:marBottom w:val="0"/>
      <w:divBdr>
        <w:top w:val="none" w:sz="0" w:space="0" w:color="auto"/>
        <w:left w:val="none" w:sz="0" w:space="0" w:color="auto"/>
        <w:bottom w:val="none" w:sz="0" w:space="0" w:color="auto"/>
        <w:right w:val="none" w:sz="0" w:space="0" w:color="auto"/>
      </w:divBdr>
    </w:div>
    <w:div w:id="950353453">
      <w:bodyDiv w:val="1"/>
      <w:marLeft w:val="0"/>
      <w:marRight w:val="0"/>
      <w:marTop w:val="0"/>
      <w:marBottom w:val="0"/>
      <w:divBdr>
        <w:top w:val="none" w:sz="0" w:space="0" w:color="auto"/>
        <w:left w:val="none" w:sz="0" w:space="0" w:color="auto"/>
        <w:bottom w:val="none" w:sz="0" w:space="0" w:color="auto"/>
        <w:right w:val="none" w:sz="0" w:space="0" w:color="auto"/>
      </w:divBdr>
    </w:div>
    <w:div w:id="950435204">
      <w:bodyDiv w:val="1"/>
      <w:marLeft w:val="0"/>
      <w:marRight w:val="0"/>
      <w:marTop w:val="0"/>
      <w:marBottom w:val="0"/>
      <w:divBdr>
        <w:top w:val="none" w:sz="0" w:space="0" w:color="auto"/>
        <w:left w:val="none" w:sz="0" w:space="0" w:color="auto"/>
        <w:bottom w:val="none" w:sz="0" w:space="0" w:color="auto"/>
        <w:right w:val="none" w:sz="0" w:space="0" w:color="auto"/>
      </w:divBdr>
    </w:div>
    <w:div w:id="950435224">
      <w:bodyDiv w:val="1"/>
      <w:marLeft w:val="0"/>
      <w:marRight w:val="0"/>
      <w:marTop w:val="0"/>
      <w:marBottom w:val="0"/>
      <w:divBdr>
        <w:top w:val="none" w:sz="0" w:space="0" w:color="auto"/>
        <w:left w:val="none" w:sz="0" w:space="0" w:color="auto"/>
        <w:bottom w:val="none" w:sz="0" w:space="0" w:color="auto"/>
        <w:right w:val="none" w:sz="0" w:space="0" w:color="auto"/>
      </w:divBdr>
    </w:div>
    <w:div w:id="950471658">
      <w:bodyDiv w:val="1"/>
      <w:marLeft w:val="0"/>
      <w:marRight w:val="0"/>
      <w:marTop w:val="0"/>
      <w:marBottom w:val="0"/>
      <w:divBdr>
        <w:top w:val="none" w:sz="0" w:space="0" w:color="auto"/>
        <w:left w:val="none" w:sz="0" w:space="0" w:color="auto"/>
        <w:bottom w:val="none" w:sz="0" w:space="0" w:color="auto"/>
        <w:right w:val="none" w:sz="0" w:space="0" w:color="auto"/>
      </w:divBdr>
    </w:div>
    <w:div w:id="950476937">
      <w:bodyDiv w:val="1"/>
      <w:marLeft w:val="0"/>
      <w:marRight w:val="0"/>
      <w:marTop w:val="0"/>
      <w:marBottom w:val="0"/>
      <w:divBdr>
        <w:top w:val="none" w:sz="0" w:space="0" w:color="auto"/>
        <w:left w:val="none" w:sz="0" w:space="0" w:color="auto"/>
        <w:bottom w:val="none" w:sz="0" w:space="0" w:color="auto"/>
        <w:right w:val="none" w:sz="0" w:space="0" w:color="auto"/>
      </w:divBdr>
    </w:div>
    <w:div w:id="950480925">
      <w:bodyDiv w:val="1"/>
      <w:marLeft w:val="0"/>
      <w:marRight w:val="0"/>
      <w:marTop w:val="0"/>
      <w:marBottom w:val="0"/>
      <w:divBdr>
        <w:top w:val="none" w:sz="0" w:space="0" w:color="auto"/>
        <w:left w:val="none" w:sz="0" w:space="0" w:color="auto"/>
        <w:bottom w:val="none" w:sz="0" w:space="0" w:color="auto"/>
        <w:right w:val="none" w:sz="0" w:space="0" w:color="auto"/>
      </w:divBdr>
    </w:div>
    <w:div w:id="950547490">
      <w:bodyDiv w:val="1"/>
      <w:marLeft w:val="0"/>
      <w:marRight w:val="0"/>
      <w:marTop w:val="0"/>
      <w:marBottom w:val="0"/>
      <w:divBdr>
        <w:top w:val="none" w:sz="0" w:space="0" w:color="auto"/>
        <w:left w:val="none" w:sz="0" w:space="0" w:color="auto"/>
        <w:bottom w:val="none" w:sz="0" w:space="0" w:color="auto"/>
        <w:right w:val="none" w:sz="0" w:space="0" w:color="auto"/>
      </w:divBdr>
    </w:div>
    <w:div w:id="950550924">
      <w:bodyDiv w:val="1"/>
      <w:marLeft w:val="0"/>
      <w:marRight w:val="0"/>
      <w:marTop w:val="0"/>
      <w:marBottom w:val="0"/>
      <w:divBdr>
        <w:top w:val="none" w:sz="0" w:space="0" w:color="auto"/>
        <w:left w:val="none" w:sz="0" w:space="0" w:color="auto"/>
        <w:bottom w:val="none" w:sz="0" w:space="0" w:color="auto"/>
        <w:right w:val="none" w:sz="0" w:space="0" w:color="auto"/>
      </w:divBdr>
    </w:div>
    <w:div w:id="950665707">
      <w:bodyDiv w:val="1"/>
      <w:marLeft w:val="0"/>
      <w:marRight w:val="0"/>
      <w:marTop w:val="0"/>
      <w:marBottom w:val="0"/>
      <w:divBdr>
        <w:top w:val="none" w:sz="0" w:space="0" w:color="auto"/>
        <w:left w:val="none" w:sz="0" w:space="0" w:color="auto"/>
        <w:bottom w:val="none" w:sz="0" w:space="0" w:color="auto"/>
        <w:right w:val="none" w:sz="0" w:space="0" w:color="auto"/>
      </w:divBdr>
    </w:div>
    <w:div w:id="950669214">
      <w:bodyDiv w:val="1"/>
      <w:marLeft w:val="0"/>
      <w:marRight w:val="0"/>
      <w:marTop w:val="0"/>
      <w:marBottom w:val="0"/>
      <w:divBdr>
        <w:top w:val="none" w:sz="0" w:space="0" w:color="auto"/>
        <w:left w:val="none" w:sz="0" w:space="0" w:color="auto"/>
        <w:bottom w:val="none" w:sz="0" w:space="0" w:color="auto"/>
        <w:right w:val="none" w:sz="0" w:space="0" w:color="auto"/>
      </w:divBdr>
    </w:div>
    <w:div w:id="950697487">
      <w:bodyDiv w:val="1"/>
      <w:marLeft w:val="0"/>
      <w:marRight w:val="0"/>
      <w:marTop w:val="0"/>
      <w:marBottom w:val="0"/>
      <w:divBdr>
        <w:top w:val="none" w:sz="0" w:space="0" w:color="auto"/>
        <w:left w:val="none" w:sz="0" w:space="0" w:color="auto"/>
        <w:bottom w:val="none" w:sz="0" w:space="0" w:color="auto"/>
        <w:right w:val="none" w:sz="0" w:space="0" w:color="auto"/>
      </w:divBdr>
    </w:div>
    <w:div w:id="950747661">
      <w:bodyDiv w:val="1"/>
      <w:marLeft w:val="0"/>
      <w:marRight w:val="0"/>
      <w:marTop w:val="0"/>
      <w:marBottom w:val="0"/>
      <w:divBdr>
        <w:top w:val="none" w:sz="0" w:space="0" w:color="auto"/>
        <w:left w:val="none" w:sz="0" w:space="0" w:color="auto"/>
        <w:bottom w:val="none" w:sz="0" w:space="0" w:color="auto"/>
        <w:right w:val="none" w:sz="0" w:space="0" w:color="auto"/>
      </w:divBdr>
    </w:div>
    <w:div w:id="950822596">
      <w:bodyDiv w:val="1"/>
      <w:marLeft w:val="0"/>
      <w:marRight w:val="0"/>
      <w:marTop w:val="0"/>
      <w:marBottom w:val="0"/>
      <w:divBdr>
        <w:top w:val="none" w:sz="0" w:space="0" w:color="auto"/>
        <w:left w:val="none" w:sz="0" w:space="0" w:color="auto"/>
        <w:bottom w:val="none" w:sz="0" w:space="0" w:color="auto"/>
        <w:right w:val="none" w:sz="0" w:space="0" w:color="auto"/>
      </w:divBdr>
    </w:div>
    <w:div w:id="950823823">
      <w:bodyDiv w:val="1"/>
      <w:marLeft w:val="0"/>
      <w:marRight w:val="0"/>
      <w:marTop w:val="0"/>
      <w:marBottom w:val="0"/>
      <w:divBdr>
        <w:top w:val="none" w:sz="0" w:space="0" w:color="auto"/>
        <w:left w:val="none" w:sz="0" w:space="0" w:color="auto"/>
        <w:bottom w:val="none" w:sz="0" w:space="0" w:color="auto"/>
        <w:right w:val="none" w:sz="0" w:space="0" w:color="auto"/>
      </w:divBdr>
    </w:div>
    <w:div w:id="950935049">
      <w:bodyDiv w:val="1"/>
      <w:marLeft w:val="0"/>
      <w:marRight w:val="0"/>
      <w:marTop w:val="0"/>
      <w:marBottom w:val="0"/>
      <w:divBdr>
        <w:top w:val="none" w:sz="0" w:space="0" w:color="auto"/>
        <w:left w:val="none" w:sz="0" w:space="0" w:color="auto"/>
        <w:bottom w:val="none" w:sz="0" w:space="0" w:color="auto"/>
        <w:right w:val="none" w:sz="0" w:space="0" w:color="auto"/>
      </w:divBdr>
    </w:div>
    <w:div w:id="951204488">
      <w:bodyDiv w:val="1"/>
      <w:marLeft w:val="0"/>
      <w:marRight w:val="0"/>
      <w:marTop w:val="0"/>
      <w:marBottom w:val="0"/>
      <w:divBdr>
        <w:top w:val="none" w:sz="0" w:space="0" w:color="auto"/>
        <w:left w:val="none" w:sz="0" w:space="0" w:color="auto"/>
        <w:bottom w:val="none" w:sz="0" w:space="0" w:color="auto"/>
        <w:right w:val="none" w:sz="0" w:space="0" w:color="auto"/>
      </w:divBdr>
    </w:div>
    <w:div w:id="951211211">
      <w:bodyDiv w:val="1"/>
      <w:marLeft w:val="0"/>
      <w:marRight w:val="0"/>
      <w:marTop w:val="0"/>
      <w:marBottom w:val="0"/>
      <w:divBdr>
        <w:top w:val="none" w:sz="0" w:space="0" w:color="auto"/>
        <w:left w:val="none" w:sz="0" w:space="0" w:color="auto"/>
        <w:bottom w:val="none" w:sz="0" w:space="0" w:color="auto"/>
        <w:right w:val="none" w:sz="0" w:space="0" w:color="auto"/>
      </w:divBdr>
    </w:div>
    <w:div w:id="951279086">
      <w:bodyDiv w:val="1"/>
      <w:marLeft w:val="0"/>
      <w:marRight w:val="0"/>
      <w:marTop w:val="0"/>
      <w:marBottom w:val="0"/>
      <w:divBdr>
        <w:top w:val="none" w:sz="0" w:space="0" w:color="auto"/>
        <w:left w:val="none" w:sz="0" w:space="0" w:color="auto"/>
        <w:bottom w:val="none" w:sz="0" w:space="0" w:color="auto"/>
        <w:right w:val="none" w:sz="0" w:space="0" w:color="auto"/>
      </w:divBdr>
    </w:div>
    <w:div w:id="951279536">
      <w:bodyDiv w:val="1"/>
      <w:marLeft w:val="0"/>
      <w:marRight w:val="0"/>
      <w:marTop w:val="0"/>
      <w:marBottom w:val="0"/>
      <w:divBdr>
        <w:top w:val="none" w:sz="0" w:space="0" w:color="auto"/>
        <w:left w:val="none" w:sz="0" w:space="0" w:color="auto"/>
        <w:bottom w:val="none" w:sz="0" w:space="0" w:color="auto"/>
        <w:right w:val="none" w:sz="0" w:space="0" w:color="auto"/>
      </w:divBdr>
    </w:div>
    <w:div w:id="951325428">
      <w:bodyDiv w:val="1"/>
      <w:marLeft w:val="0"/>
      <w:marRight w:val="0"/>
      <w:marTop w:val="0"/>
      <w:marBottom w:val="0"/>
      <w:divBdr>
        <w:top w:val="none" w:sz="0" w:space="0" w:color="auto"/>
        <w:left w:val="none" w:sz="0" w:space="0" w:color="auto"/>
        <w:bottom w:val="none" w:sz="0" w:space="0" w:color="auto"/>
        <w:right w:val="none" w:sz="0" w:space="0" w:color="auto"/>
      </w:divBdr>
    </w:div>
    <w:div w:id="951520321">
      <w:bodyDiv w:val="1"/>
      <w:marLeft w:val="0"/>
      <w:marRight w:val="0"/>
      <w:marTop w:val="0"/>
      <w:marBottom w:val="0"/>
      <w:divBdr>
        <w:top w:val="none" w:sz="0" w:space="0" w:color="auto"/>
        <w:left w:val="none" w:sz="0" w:space="0" w:color="auto"/>
        <w:bottom w:val="none" w:sz="0" w:space="0" w:color="auto"/>
        <w:right w:val="none" w:sz="0" w:space="0" w:color="auto"/>
      </w:divBdr>
    </w:div>
    <w:div w:id="951549656">
      <w:bodyDiv w:val="1"/>
      <w:marLeft w:val="0"/>
      <w:marRight w:val="0"/>
      <w:marTop w:val="0"/>
      <w:marBottom w:val="0"/>
      <w:divBdr>
        <w:top w:val="none" w:sz="0" w:space="0" w:color="auto"/>
        <w:left w:val="none" w:sz="0" w:space="0" w:color="auto"/>
        <w:bottom w:val="none" w:sz="0" w:space="0" w:color="auto"/>
        <w:right w:val="none" w:sz="0" w:space="0" w:color="auto"/>
      </w:divBdr>
    </w:div>
    <w:div w:id="951666807">
      <w:bodyDiv w:val="1"/>
      <w:marLeft w:val="0"/>
      <w:marRight w:val="0"/>
      <w:marTop w:val="0"/>
      <w:marBottom w:val="0"/>
      <w:divBdr>
        <w:top w:val="none" w:sz="0" w:space="0" w:color="auto"/>
        <w:left w:val="none" w:sz="0" w:space="0" w:color="auto"/>
        <w:bottom w:val="none" w:sz="0" w:space="0" w:color="auto"/>
        <w:right w:val="none" w:sz="0" w:space="0" w:color="auto"/>
      </w:divBdr>
    </w:div>
    <w:div w:id="951744768">
      <w:bodyDiv w:val="1"/>
      <w:marLeft w:val="0"/>
      <w:marRight w:val="0"/>
      <w:marTop w:val="0"/>
      <w:marBottom w:val="0"/>
      <w:divBdr>
        <w:top w:val="none" w:sz="0" w:space="0" w:color="auto"/>
        <w:left w:val="none" w:sz="0" w:space="0" w:color="auto"/>
        <w:bottom w:val="none" w:sz="0" w:space="0" w:color="auto"/>
        <w:right w:val="none" w:sz="0" w:space="0" w:color="auto"/>
      </w:divBdr>
    </w:div>
    <w:div w:id="951745897">
      <w:bodyDiv w:val="1"/>
      <w:marLeft w:val="0"/>
      <w:marRight w:val="0"/>
      <w:marTop w:val="0"/>
      <w:marBottom w:val="0"/>
      <w:divBdr>
        <w:top w:val="none" w:sz="0" w:space="0" w:color="auto"/>
        <w:left w:val="none" w:sz="0" w:space="0" w:color="auto"/>
        <w:bottom w:val="none" w:sz="0" w:space="0" w:color="auto"/>
        <w:right w:val="none" w:sz="0" w:space="0" w:color="auto"/>
      </w:divBdr>
    </w:div>
    <w:div w:id="951746348">
      <w:bodyDiv w:val="1"/>
      <w:marLeft w:val="0"/>
      <w:marRight w:val="0"/>
      <w:marTop w:val="0"/>
      <w:marBottom w:val="0"/>
      <w:divBdr>
        <w:top w:val="none" w:sz="0" w:space="0" w:color="auto"/>
        <w:left w:val="none" w:sz="0" w:space="0" w:color="auto"/>
        <w:bottom w:val="none" w:sz="0" w:space="0" w:color="auto"/>
        <w:right w:val="none" w:sz="0" w:space="0" w:color="auto"/>
      </w:divBdr>
    </w:div>
    <w:div w:id="951782613">
      <w:bodyDiv w:val="1"/>
      <w:marLeft w:val="0"/>
      <w:marRight w:val="0"/>
      <w:marTop w:val="0"/>
      <w:marBottom w:val="0"/>
      <w:divBdr>
        <w:top w:val="none" w:sz="0" w:space="0" w:color="auto"/>
        <w:left w:val="none" w:sz="0" w:space="0" w:color="auto"/>
        <w:bottom w:val="none" w:sz="0" w:space="0" w:color="auto"/>
        <w:right w:val="none" w:sz="0" w:space="0" w:color="auto"/>
      </w:divBdr>
    </w:div>
    <w:div w:id="951860069">
      <w:bodyDiv w:val="1"/>
      <w:marLeft w:val="0"/>
      <w:marRight w:val="0"/>
      <w:marTop w:val="0"/>
      <w:marBottom w:val="0"/>
      <w:divBdr>
        <w:top w:val="none" w:sz="0" w:space="0" w:color="auto"/>
        <w:left w:val="none" w:sz="0" w:space="0" w:color="auto"/>
        <w:bottom w:val="none" w:sz="0" w:space="0" w:color="auto"/>
        <w:right w:val="none" w:sz="0" w:space="0" w:color="auto"/>
      </w:divBdr>
    </w:div>
    <w:div w:id="951861169">
      <w:bodyDiv w:val="1"/>
      <w:marLeft w:val="0"/>
      <w:marRight w:val="0"/>
      <w:marTop w:val="0"/>
      <w:marBottom w:val="0"/>
      <w:divBdr>
        <w:top w:val="none" w:sz="0" w:space="0" w:color="auto"/>
        <w:left w:val="none" w:sz="0" w:space="0" w:color="auto"/>
        <w:bottom w:val="none" w:sz="0" w:space="0" w:color="auto"/>
        <w:right w:val="none" w:sz="0" w:space="0" w:color="auto"/>
      </w:divBdr>
    </w:div>
    <w:div w:id="951976410">
      <w:bodyDiv w:val="1"/>
      <w:marLeft w:val="0"/>
      <w:marRight w:val="0"/>
      <w:marTop w:val="0"/>
      <w:marBottom w:val="0"/>
      <w:divBdr>
        <w:top w:val="none" w:sz="0" w:space="0" w:color="auto"/>
        <w:left w:val="none" w:sz="0" w:space="0" w:color="auto"/>
        <w:bottom w:val="none" w:sz="0" w:space="0" w:color="auto"/>
        <w:right w:val="none" w:sz="0" w:space="0" w:color="auto"/>
      </w:divBdr>
    </w:div>
    <w:div w:id="951978624">
      <w:bodyDiv w:val="1"/>
      <w:marLeft w:val="0"/>
      <w:marRight w:val="0"/>
      <w:marTop w:val="0"/>
      <w:marBottom w:val="0"/>
      <w:divBdr>
        <w:top w:val="none" w:sz="0" w:space="0" w:color="auto"/>
        <w:left w:val="none" w:sz="0" w:space="0" w:color="auto"/>
        <w:bottom w:val="none" w:sz="0" w:space="0" w:color="auto"/>
        <w:right w:val="none" w:sz="0" w:space="0" w:color="auto"/>
      </w:divBdr>
    </w:div>
    <w:div w:id="951982199">
      <w:bodyDiv w:val="1"/>
      <w:marLeft w:val="0"/>
      <w:marRight w:val="0"/>
      <w:marTop w:val="0"/>
      <w:marBottom w:val="0"/>
      <w:divBdr>
        <w:top w:val="none" w:sz="0" w:space="0" w:color="auto"/>
        <w:left w:val="none" w:sz="0" w:space="0" w:color="auto"/>
        <w:bottom w:val="none" w:sz="0" w:space="0" w:color="auto"/>
        <w:right w:val="none" w:sz="0" w:space="0" w:color="auto"/>
      </w:divBdr>
    </w:div>
    <w:div w:id="952008473">
      <w:bodyDiv w:val="1"/>
      <w:marLeft w:val="0"/>
      <w:marRight w:val="0"/>
      <w:marTop w:val="0"/>
      <w:marBottom w:val="0"/>
      <w:divBdr>
        <w:top w:val="none" w:sz="0" w:space="0" w:color="auto"/>
        <w:left w:val="none" w:sz="0" w:space="0" w:color="auto"/>
        <w:bottom w:val="none" w:sz="0" w:space="0" w:color="auto"/>
        <w:right w:val="none" w:sz="0" w:space="0" w:color="auto"/>
      </w:divBdr>
    </w:div>
    <w:div w:id="952059100">
      <w:bodyDiv w:val="1"/>
      <w:marLeft w:val="0"/>
      <w:marRight w:val="0"/>
      <w:marTop w:val="0"/>
      <w:marBottom w:val="0"/>
      <w:divBdr>
        <w:top w:val="none" w:sz="0" w:space="0" w:color="auto"/>
        <w:left w:val="none" w:sz="0" w:space="0" w:color="auto"/>
        <w:bottom w:val="none" w:sz="0" w:space="0" w:color="auto"/>
        <w:right w:val="none" w:sz="0" w:space="0" w:color="auto"/>
      </w:divBdr>
    </w:div>
    <w:div w:id="952319675">
      <w:bodyDiv w:val="1"/>
      <w:marLeft w:val="0"/>
      <w:marRight w:val="0"/>
      <w:marTop w:val="0"/>
      <w:marBottom w:val="0"/>
      <w:divBdr>
        <w:top w:val="none" w:sz="0" w:space="0" w:color="auto"/>
        <w:left w:val="none" w:sz="0" w:space="0" w:color="auto"/>
        <w:bottom w:val="none" w:sz="0" w:space="0" w:color="auto"/>
        <w:right w:val="none" w:sz="0" w:space="0" w:color="auto"/>
      </w:divBdr>
    </w:div>
    <w:div w:id="952438338">
      <w:bodyDiv w:val="1"/>
      <w:marLeft w:val="0"/>
      <w:marRight w:val="0"/>
      <w:marTop w:val="0"/>
      <w:marBottom w:val="0"/>
      <w:divBdr>
        <w:top w:val="none" w:sz="0" w:space="0" w:color="auto"/>
        <w:left w:val="none" w:sz="0" w:space="0" w:color="auto"/>
        <w:bottom w:val="none" w:sz="0" w:space="0" w:color="auto"/>
        <w:right w:val="none" w:sz="0" w:space="0" w:color="auto"/>
      </w:divBdr>
    </w:div>
    <w:div w:id="952441315">
      <w:bodyDiv w:val="1"/>
      <w:marLeft w:val="0"/>
      <w:marRight w:val="0"/>
      <w:marTop w:val="0"/>
      <w:marBottom w:val="0"/>
      <w:divBdr>
        <w:top w:val="none" w:sz="0" w:space="0" w:color="auto"/>
        <w:left w:val="none" w:sz="0" w:space="0" w:color="auto"/>
        <w:bottom w:val="none" w:sz="0" w:space="0" w:color="auto"/>
        <w:right w:val="none" w:sz="0" w:space="0" w:color="auto"/>
      </w:divBdr>
    </w:div>
    <w:div w:id="952517144">
      <w:bodyDiv w:val="1"/>
      <w:marLeft w:val="0"/>
      <w:marRight w:val="0"/>
      <w:marTop w:val="0"/>
      <w:marBottom w:val="0"/>
      <w:divBdr>
        <w:top w:val="none" w:sz="0" w:space="0" w:color="auto"/>
        <w:left w:val="none" w:sz="0" w:space="0" w:color="auto"/>
        <w:bottom w:val="none" w:sz="0" w:space="0" w:color="auto"/>
        <w:right w:val="none" w:sz="0" w:space="0" w:color="auto"/>
      </w:divBdr>
    </w:div>
    <w:div w:id="952713142">
      <w:bodyDiv w:val="1"/>
      <w:marLeft w:val="0"/>
      <w:marRight w:val="0"/>
      <w:marTop w:val="0"/>
      <w:marBottom w:val="0"/>
      <w:divBdr>
        <w:top w:val="none" w:sz="0" w:space="0" w:color="auto"/>
        <w:left w:val="none" w:sz="0" w:space="0" w:color="auto"/>
        <w:bottom w:val="none" w:sz="0" w:space="0" w:color="auto"/>
        <w:right w:val="none" w:sz="0" w:space="0" w:color="auto"/>
      </w:divBdr>
    </w:div>
    <w:div w:id="952789434">
      <w:bodyDiv w:val="1"/>
      <w:marLeft w:val="0"/>
      <w:marRight w:val="0"/>
      <w:marTop w:val="0"/>
      <w:marBottom w:val="0"/>
      <w:divBdr>
        <w:top w:val="none" w:sz="0" w:space="0" w:color="auto"/>
        <w:left w:val="none" w:sz="0" w:space="0" w:color="auto"/>
        <w:bottom w:val="none" w:sz="0" w:space="0" w:color="auto"/>
        <w:right w:val="none" w:sz="0" w:space="0" w:color="auto"/>
      </w:divBdr>
    </w:div>
    <w:div w:id="952828937">
      <w:bodyDiv w:val="1"/>
      <w:marLeft w:val="0"/>
      <w:marRight w:val="0"/>
      <w:marTop w:val="0"/>
      <w:marBottom w:val="0"/>
      <w:divBdr>
        <w:top w:val="none" w:sz="0" w:space="0" w:color="auto"/>
        <w:left w:val="none" w:sz="0" w:space="0" w:color="auto"/>
        <w:bottom w:val="none" w:sz="0" w:space="0" w:color="auto"/>
        <w:right w:val="none" w:sz="0" w:space="0" w:color="auto"/>
      </w:divBdr>
    </w:div>
    <w:div w:id="952831291">
      <w:bodyDiv w:val="1"/>
      <w:marLeft w:val="0"/>
      <w:marRight w:val="0"/>
      <w:marTop w:val="0"/>
      <w:marBottom w:val="0"/>
      <w:divBdr>
        <w:top w:val="none" w:sz="0" w:space="0" w:color="auto"/>
        <w:left w:val="none" w:sz="0" w:space="0" w:color="auto"/>
        <w:bottom w:val="none" w:sz="0" w:space="0" w:color="auto"/>
        <w:right w:val="none" w:sz="0" w:space="0" w:color="auto"/>
      </w:divBdr>
    </w:div>
    <w:div w:id="952832168">
      <w:bodyDiv w:val="1"/>
      <w:marLeft w:val="0"/>
      <w:marRight w:val="0"/>
      <w:marTop w:val="0"/>
      <w:marBottom w:val="0"/>
      <w:divBdr>
        <w:top w:val="none" w:sz="0" w:space="0" w:color="auto"/>
        <w:left w:val="none" w:sz="0" w:space="0" w:color="auto"/>
        <w:bottom w:val="none" w:sz="0" w:space="0" w:color="auto"/>
        <w:right w:val="none" w:sz="0" w:space="0" w:color="auto"/>
      </w:divBdr>
    </w:div>
    <w:div w:id="952908303">
      <w:bodyDiv w:val="1"/>
      <w:marLeft w:val="0"/>
      <w:marRight w:val="0"/>
      <w:marTop w:val="0"/>
      <w:marBottom w:val="0"/>
      <w:divBdr>
        <w:top w:val="none" w:sz="0" w:space="0" w:color="auto"/>
        <w:left w:val="none" w:sz="0" w:space="0" w:color="auto"/>
        <w:bottom w:val="none" w:sz="0" w:space="0" w:color="auto"/>
        <w:right w:val="none" w:sz="0" w:space="0" w:color="auto"/>
      </w:divBdr>
    </w:div>
    <w:div w:id="952977087">
      <w:bodyDiv w:val="1"/>
      <w:marLeft w:val="0"/>
      <w:marRight w:val="0"/>
      <w:marTop w:val="0"/>
      <w:marBottom w:val="0"/>
      <w:divBdr>
        <w:top w:val="none" w:sz="0" w:space="0" w:color="auto"/>
        <w:left w:val="none" w:sz="0" w:space="0" w:color="auto"/>
        <w:bottom w:val="none" w:sz="0" w:space="0" w:color="auto"/>
        <w:right w:val="none" w:sz="0" w:space="0" w:color="auto"/>
      </w:divBdr>
    </w:div>
    <w:div w:id="953169445">
      <w:bodyDiv w:val="1"/>
      <w:marLeft w:val="0"/>
      <w:marRight w:val="0"/>
      <w:marTop w:val="0"/>
      <w:marBottom w:val="0"/>
      <w:divBdr>
        <w:top w:val="none" w:sz="0" w:space="0" w:color="auto"/>
        <w:left w:val="none" w:sz="0" w:space="0" w:color="auto"/>
        <w:bottom w:val="none" w:sz="0" w:space="0" w:color="auto"/>
        <w:right w:val="none" w:sz="0" w:space="0" w:color="auto"/>
      </w:divBdr>
    </w:div>
    <w:div w:id="953245889">
      <w:bodyDiv w:val="1"/>
      <w:marLeft w:val="0"/>
      <w:marRight w:val="0"/>
      <w:marTop w:val="0"/>
      <w:marBottom w:val="0"/>
      <w:divBdr>
        <w:top w:val="none" w:sz="0" w:space="0" w:color="auto"/>
        <w:left w:val="none" w:sz="0" w:space="0" w:color="auto"/>
        <w:bottom w:val="none" w:sz="0" w:space="0" w:color="auto"/>
        <w:right w:val="none" w:sz="0" w:space="0" w:color="auto"/>
      </w:divBdr>
    </w:div>
    <w:div w:id="953364997">
      <w:bodyDiv w:val="1"/>
      <w:marLeft w:val="0"/>
      <w:marRight w:val="0"/>
      <w:marTop w:val="0"/>
      <w:marBottom w:val="0"/>
      <w:divBdr>
        <w:top w:val="none" w:sz="0" w:space="0" w:color="auto"/>
        <w:left w:val="none" w:sz="0" w:space="0" w:color="auto"/>
        <w:bottom w:val="none" w:sz="0" w:space="0" w:color="auto"/>
        <w:right w:val="none" w:sz="0" w:space="0" w:color="auto"/>
      </w:divBdr>
    </w:div>
    <w:div w:id="953563147">
      <w:bodyDiv w:val="1"/>
      <w:marLeft w:val="0"/>
      <w:marRight w:val="0"/>
      <w:marTop w:val="0"/>
      <w:marBottom w:val="0"/>
      <w:divBdr>
        <w:top w:val="none" w:sz="0" w:space="0" w:color="auto"/>
        <w:left w:val="none" w:sz="0" w:space="0" w:color="auto"/>
        <w:bottom w:val="none" w:sz="0" w:space="0" w:color="auto"/>
        <w:right w:val="none" w:sz="0" w:space="0" w:color="auto"/>
      </w:divBdr>
    </w:div>
    <w:div w:id="953633610">
      <w:bodyDiv w:val="1"/>
      <w:marLeft w:val="0"/>
      <w:marRight w:val="0"/>
      <w:marTop w:val="0"/>
      <w:marBottom w:val="0"/>
      <w:divBdr>
        <w:top w:val="none" w:sz="0" w:space="0" w:color="auto"/>
        <w:left w:val="none" w:sz="0" w:space="0" w:color="auto"/>
        <w:bottom w:val="none" w:sz="0" w:space="0" w:color="auto"/>
        <w:right w:val="none" w:sz="0" w:space="0" w:color="auto"/>
      </w:divBdr>
    </w:div>
    <w:div w:id="953635606">
      <w:bodyDiv w:val="1"/>
      <w:marLeft w:val="0"/>
      <w:marRight w:val="0"/>
      <w:marTop w:val="0"/>
      <w:marBottom w:val="0"/>
      <w:divBdr>
        <w:top w:val="none" w:sz="0" w:space="0" w:color="auto"/>
        <w:left w:val="none" w:sz="0" w:space="0" w:color="auto"/>
        <w:bottom w:val="none" w:sz="0" w:space="0" w:color="auto"/>
        <w:right w:val="none" w:sz="0" w:space="0" w:color="auto"/>
      </w:divBdr>
    </w:div>
    <w:div w:id="953709198">
      <w:bodyDiv w:val="1"/>
      <w:marLeft w:val="0"/>
      <w:marRight w:val="0"/>
      <w:marTop w:val="0"/>
      <w:marBottom w:val="0"/>
      <w:divBdr>
        <w:top w:val="none" w:sz="0" w:space="0" w:color="auto"/>
        <w:left w:val="none" w:sz="0" w:space="0" w:color="auto"/>
        <w:bottom w:val="none" w:sz="0" w:space="0" w:color="auto"/>
        <w:right w:val="none" w:sz="0" w:space="0" w:color="auto"/>
      </w:divBdr>
    </w:div>
    <w:div w:id="953755762">
      <w:bodyDiv w:val="1"/>
      <w:marLeft w:val="0"/>
      <w:marRight w:val="0"/>
      <w:marTop w:val="0"/>
      <w:marBottom w:val="0"/>
      <w:divBdr>
        <w:top w:val="none" w:sz="0" w:space="0" w:color="auto"/>
        <w:left w:val="none" w:sz="0" w:space="0" w:color="auto"/>
        <w:bottom w:val="none" w:sz="0" w:space="0" w:color="auto"/>
        <w:right w:val="none" w:sz="0" w:space="0" w:color="auto"/>
      </w:divBdr>
    </w:div>
    <w:div w:id="953756928">
      <w:bodyDiv w:val="1"/>
      <w:marLeft w:val="0"/>
      <w:marRight w:val="0"/>
      <w:marTop w:val="0"/>
      <w:marBottom w:val="0"/>
      <w:divBdr>
        <w:top w:val="none" w:sz="0" w:space="0" w:color="auto"/>
        <w:left w:val="none" w:sz="0" w:space="0" w:color="auto"/>
        <w:bottom w:val="none" w:sz="0" w:space="0" w:color="auto"/>
        <w:right w:val="none" w:sz="0" w:space="0" w:color="auto"/>
      </w:divBdr>
    </w:div>
    <w:div w:id="953830730">
      <w:bodyDiv w:val="1"/>
      <w:marLeft w:val="0"/>
      <w:marRight w:val="0"/>
      <w:marTop w:val="0"/>
      <w:marBottom w:val="0"/>
      <w:divBdr>
        <w:top w:val="none" w:sz="0" w:space="0" w:color="auto"/>
        <w:left w:val="none" w:sz="0" w:space="0" w:color="auto"/>
        <w:bottom w:val="none" w:sz="0" w:space="0" w:color="auto"/>
        <w:right w:val="none" w:sz="0" w:space="0" w:color="auto"/>
      </w:divBdr>
    </w:div>
    <w:div w:id="953899098">
      <w:bodyDiv w:val="1"/>
      <w:marLeft w:val="0"/>
      <w:marRight w:val="0"/>
      <w:marTop w:val="0"/>
      <w:marBottom w:val="0"/>
      <w:divBdr>
        <w:top w:val="none" w:sz="0" w:space="0" w:color="auto"/>
        <w:left w:val="none" w:sz="0" w:space="0" w:color="auto"/>
        <w:bottom w:val="none" w:sz="0" w:space="0" w:color="auto"/>
        <w:right w:val="none" w:sz="0" w:space="0" w:color="auto"/>
      </w:divBdr>
    </w:div>
    <w:div w:id="953905122">
      <w:bodyDiv w:val="1"/>
      <w:marLeft w:val="0"/>
      <w:marRight w:val="0"/>
      <w:marTop w:val="0"/>
      <w:marBottom w:val="0"/>
      <w:divBdr>
        <w:top w:val="none" w:sz="0" w:space="0" w:color="auto"/>
        <w:left w:val="none" w:sz="0" w:space="0" w:color="auto"/>
        <w:bottom w:val="none" w:sz="0" w:space="0" w:color="auto"/>
        <w:right w:val="none" w:sz="0" w:space="0" w:color="auto"/>
      </w:divBdr>
    </w:div>
    <w:div w:id="953945130">
      <w:bodyDiv w:val="1"/>
      <w:marLeft w:val="0"/>
      <w:marRight w:val="0"/>
      <w:marTop w:val="0"/>
      <w:marBottom w:val="0"/>
      <w:divBdr>
        <w:top w:val="none" w:sz="0" w:space="0" w:color="auto"/>
        <w:left w:val="none" w:sz="0" w:space="0" w:color="auto"/>
        <w:bottom w:val="none" w:sz="0" w:space="0" w:color="auto"/>
        <w:right w:val="none" w:sz="0" w:space="0" w:color="auto"/>
      </w:divBdr>
    </w:div>
    <w:div w:id="953945993">
      <w:bodyDiv w:val="1"/>
      <w:marLeft w:val="0"/>
      <w:marRight w:val="0"/>
      <w:marTop w:val="0"/>
      <w:marBottom w:val="0"/>
      <w:divBdr>
        <w:top w:val="none" w:sz="0" w:space="0" w:color="auto"/>
        <w:left w:val="none" w:sz="0" w:space="0" w:color="auto"/>
        <w:bottom w:val="none" w:sz="0" w:space="0" w:color="auto"/>
        <w:right w:val="none" w:sz="0" w:space="0" w:color="auto"/>
      </w:divBdr>
    </w:div>
    <w:div w:id="953947936">
      <w:bodyDiv w:val="1"/>
      <w:marLeft w:val="0"/>
      <w:marRight w:val="0"/>
      <w:marTop w:val="0"/>
      <w:marBottom w:val="0"/>
      <w:divBdr>
        <w:top w:val="none" w:sz="0" w:space="0" w:color="auto"/>
        <w:left w:val="none" w:sz="0" w:space="0" w:color="auto"/>
        <w:bottom w:val="none" w:sz="0" w:space="0" w:color="auto"/>
        <w:right w:val="none" w:sz="0" w:space="0" w:color="auto"/>
      </w:divBdr>
    </w:div>
    <w:div w:id="953948005">
      <w:bodyDiv w:val="1"/>
      <w:marLeft w:val="0"/>
      <w:marRight w:val="0"/>
      <w:marTop w:val="0"/>
      <w:marBottom w:val="0"/>
      <w:divBdr>
        <w:top w:val="none" w:sz="0" w:space="0" w:color="auto"/>
        <w:left w:val="none" w:sz="0" w:space="0" w:color="auto"/>
        <w:bottom w:val="none" w:sz="0" w:space="0" w:color="auto"/>
        <w:right w:val="none" w:sz="0" w:space="0" w:color="auto"/>
      </w:divBdr>
    </w:div>
    <w:div w:id="953948983">
      <w:bodyDiv w:val="1"/>
      <w:marLeft w:val="0"/>
      <w:marRight w:val="0"/>
      <w:marTop w:val="0"/>
      <w:marBottom w:val="0"/>
      <w:divBdr>
        <w:top w:val="none" w:sz="0" w:space="0" w:color="auto"/>
        <w:left w:val="none" w:sz="0" w:space="0" w:color="auto"/>
        <w:bottom w:val="none" w:sz="0" w:space="0" w:color="auto"/>
        <w:right w:val="none" w:sz="0" w:space="0" w:color="auto"/>
      </w:divBdr>
    </w:div>
    <w:div w:id="954094039">
      <w:bodyDiv w:val="1"/>
      <w:marLeft w:val="0"/>
      <w:marRight w:val="0"/>
      <w:marTop w:val="0"/>
      <w:marBottom w:val="0"/>
      <w:divBdr>
        <w:top w:val="none" w:sz="0" w:space="0" w:color="auto"/>
        <w:left w:val="none" w:sz="0" w:space="0" w:color="auto"/>
        <w:bottom w:val="none" w:sz="0" w:space="0" w:color="auto"/>
        <w:right w:val="none" w:sz="0" w:space="0" w:color="auto"/>
      </w:divBdr>
    </w:div>
    <w:div w:id="954140825">
      <w:bodyDiv w:val="1"/>
      <w:marLeft w:val="0"/>
      <w:marRight w:val="0"/>
      <w:marTop w:val="0"/>
      <w:marBottom w:val="0"/>
      <w:divBdr>
        <w:top w:val="none" w:sz="0" w:space="0" w:color="auto"/>
        <w:left w:val="none" w:sz="0" w:space="0" w:color="auto"/>
        <w:bottom w:val="none" w:sz="0" w:space="0" w:color="auto"/>
        <w:right w:val="none" w:sz="0" w:space="0" w:color="auto"/>
      </w:divBdr>
    </w:div>
    <w:div w:id="954214075">
      <w:bodyDiv w:val="1"/>
      <w:marLeft w:val="0"/>
      <w:marRight w:val="0"/>
      <w:marTop w:val="0"/>
      <w:marBottom w:val="0"/>
      <w:divBdr>
        <w:top w:val="none" w:sz="0" w:space="0" w:color="auto"/>
        <w:left w:val="none" w:sz="0" w:space="0" w:color="auto"/>
        <w:bottom w:val="none" w:sz="0" w:space="0" w:color="auto"/>
        <w:right w:val="none" w:sz="0" w:space="0" w:color="auto"/>
      </w:divBdr>
    </w:div>
    <w:div w:id="954363180">
      <w:bodyDiv w:val="1"/>
      <w:marLeft w:val="0"/>
      <w:marRight w:val="0"/>
      <w:marTop w:val="0"/>
      <w:marBottom w:val="0"/>
      <w:divBdr>
        <w:top w:val="none" w:sz="0" w:space="0" w:color="auto"/>
        <w:left w:val="none" w:sz="0" w:space="0" w:color="auto"/>
        <w:bottom w:val="none" w:sz="0" w:space="0" w:color="auto"/>
        <w:right w:val="none" w:sz="0" w:space="0" w:color="auto"/>
      </w:divBdr>
    </w:div>
    <w:div w:id="954367432">
      <w:bodyDiv w:val="1"/>
      <w:marLeft w:val="0"/>
      <w:marRight w:val="0"/>
      <w:marTop w:val="0"/>
      <w:marBottom w:val="0"/>
      <w:divBdr>
        <w:top w:val="none" w:sz="0" w:space="0" w:color="auto"/>
        <w:left w:val="none" w:sz="0" w:space="0" w:color="auto"/>
        <w:bottom w:val="none" w:sz="0" w:space="0" w:color="auto"/>
        <w:right w:val="none" w:sz="0" w:space="0" w:color="auto"/>
      </w:divBdr>
    </w:div>
    <w:div w:id="954412357">
      <w:bodyDiv w:val="1"/>
      <w:marLeft w:val="0"/>
      <w:marRight w:val="0"/>
      <w:marTop w:val="0"/>
      <w:marBottom w:val="0"/>
      <w:divBdr>
        <w:top w:val="none" w:sz="0" w:space="0" w:color="auto"/>
        <w:left w:val="none" w:sz="0" w:space="0" w:color="auto"/>
        <w:bottom w:val="none" w:sz="0" w:space="0" w:color="auto"/>
        <w:right w:val="none" w:sz="0" w:space="0" w:color="auto"/>
      </w:divBdr>
    </w:div>
    <w:div w:id="954478726">
      <w:bodyDiv w:val="1"/>
      <w:marLeft w:val="0"/>
      <w:marRight w:val="0"/>
      <w:marTop w:val="0"/>
      <w:marBottom w:val="0"/>
      <w:divBdr>
        <w:top w:val="none" w:sz="0" w:space="0" w:color="auto"/>
        <w:left w:val="none" w:sz="0" w:space="0" w:color="auto"/>
        <w:bottom w:val="none" w:sz="0" w:space="0" w:color="auto"/>
        <w:right w:val="none" w:sz="0" w:space="0" w:color="auto"/>
      </w:divBdr>
    </w:div>
    <w:div w:id="954481864">
      <w:bodyDiv w:val="1"/>
      <w:marLeft w:val="0"/>
      <w:marRight w:val="0"/>
      <w:marTop w:val="0"/>
      <w:marBottom w:val="0"/>
      <w:divBdr>
        <w:top w:val="none" w:sz="0" w:space="0" w:color="auto"/>
        <w:left w:val="none" w:sz="0" w:space="0" w:color="auto"/>
        <w:bottom w:val="none" w:sz="0" w:space="0" w:color="auto"/>
        <w:right w:val="none" w:sz="0" w:space="0" w:color="auto"/>
      </w:divBdr>
    </w:div>
    <w:div w:id="954560582">
      <w:bodyDiv w:val="1"/>
      <w:marLeft w:val="0"/>
      <w:marRight w:val="0"/>
      <w:marTop w:val="0"/>
      <w:marBottom w:val="0"/>
      <w:divBdr>
        <w:top w:val="none" w:sz="0" w:space="0" w:color="auto"/>
        <w:left w:val="none" w:sz="0" w:space="0" w:color="auto"/>
        <w:bottom w:val="none" w:sz="0" w:space="0" w:color="auto"/>
        <w:right w:val="none" w:sz="0" w:space="0" w:color="auto"/>
      </w:divBdr>
    </w:div>
    <w:div w:id="955018249">
      <w:bodyDiv w:val="1"/>
      <w:marLeft w:val="0"/>
      <w:marRight w:val="0"/>
      <w:marTop w:val="0"/>
      <w:marBottom w:val="0"/>
      <w:divBdr>
        <w:top w:val="none" w:sz="0" w:space="0" w:color="auto"/>
        <w:left w:val="none" w:sz="0" w:space="0" w:color="auto"/>
        <w:bottom w:val="none" w:sz="0" w:space="0" w:color="auto"/>
        <w:right w:val="none" w:sz="0" w:space="0" w:color="auto"/>
      </w:divBdr>
    </w:div>
    <w:div w:id="955020550">
      <w:bodyDiv w:val="1"/>
      <w:marLeft w:val="0"/>
      <w:marRight w:val="0"/>
      <w:marTop w:val="0"/>
      <w:marBottom w:val="0"/>
      <w:divBdr>
        <w:top w:val="none" w:sz="0" w:space="0" w:color="auto"/>
        <w:left w:val="none" w:sz="0" w:space="0" w:color="auto"/>
        <w:bottom w:val="none" w:sz="0" w:space="0" w:color="auto"/>
        <w:right w:val="none" w:sz="0" w:space="0" w:color="auto"/>
      </w:divBdr>
    </w:div>
    <w:div w:id="955022384">
      <w:bodyDiv w:val="1"/>
      <w:marLeft w:val="0"/>
      <w:marRight w:val="0"/>
      <w:marTop w:val="0"/>
      <w:marBottom w:val="0"/>
      <w:divBdr>
        <w:top w:val="none" w:sz="0" w:space="0" w:color="auto"/>
        <w:left w:val="none" w:sz="0" w:space="0" w:color="auto"/>
        <w:bottom w:val="none" w:sz="0" w:space="0" w:color="auto"/>
        <w:right w:val="none" w:sz="0" w:space="0" w:color="auto"/>
      </w:divBdr>
    </w:div>
    <w:div w:id="955063610">
      <w:bodyDiv w:val="1"/>
      <w:marLeft w:val="0"/>
      <w:marRight w:val="0"/>
      <w:marTop w:val="0"/>
      <w:marBottom w:val="0"/>
      <w:divBdr>
        <w:top w:val="none" w:sz="0" w:space="0" w:color="auto"/>
        <w:left w:val="none" w:sz="0" w:space="0" w:color="auto"/>
        <w:bottom w:val="none" w:sz="0" w:space="0" w:color="auto"/>
        <w:right w:val="none" w:sz="0" w:space="0" w:color="auto"/>
      </w:divBdr>
    </w:div>
    <w:div w:id="955067885">
      <w:bodyDiv w:val="1"/>
      <w:marLeft w:val="0"/>
      <w:marRight w:val="0"/>
      <w:marTop w:val="0"/>
      <w:marBottom w:val="0"/>
      <w:divBdr>
        <w:top w:val="none" w:sz="0" w:space="0" w:color="auto"/>
        <w:left w:val="none" w:sz="0" w:space="0" w:color="auto"/>
        <w:bottom w:val="none" w:sz="0" w:space="0" w:color="auto"/>
        <w:right w:val="none" w:sz="0" w:space="0" w:color="auto"/>
      </w:divBdr>
    </w:div>
    <w:div w:id="955209919">
      <w:bodyDiv w:val="1"/>
      <w:marLeft w:val="0"/>
      <w:marRight w:val="0"/>
      <w:marTop w:val="0"/>
      <w:marBottom w:val="0"/>
      <w:divBdr>
        <w:top w:val="none" w:sz="0" w:space="0" w:color="auto"/>
        <w:left w:val="none" w:sz="0" w:space="0" w:color="auto"/>
        <w:bottom w:val="none" w:sz="0" w:space="0" w:color="auto"/>
        <w:right w:val="none" w:sz="0" w:space="0" w:color="auto"/>
      </w:divBdr>
    </w:div>
    <w:div w:id="955329043">
      <w:bodyDiv w:val="1"/>
      <w:marLeft w:val="0"/>
      <w:marRight w:val="0"/>
      <w:marTop w:val="0"/>
      <w:marBottom w:val="0"/>
      <w:divBdr>
        <w:top w:val="none" w:sz="0" w:space="0" w:color="auto"/>
        <w:left w:val="none" w:sz="0" w:space="0" w:color="auto"/>
        <w:bottom w:val="none" w:sz="0" w:space="0" w:color="auto"/>
        <w:right w:val="none" w:sz="0" w:space="0" w:color="auto"/>
      </w:divBdr>
    </w:div>
    <w:div w:id="955411807">
      <w:bodyDiv w:val="1"/>
      <w:marLeft w:val="0"/>
      <w:marRight w:val="0"/>
      <w:marTop w:val="0"/>
      <w:marBottom w:val="0"/>
      <w:divBdr>
        <w:top w:val="none" w:sz="0" w:space="0" w:color="auto"/>
        <w:left w:val="none" w:sz="0" w:space="0" w:color="auto"/>
        <w:bottom w:val="none" w:sz="0" w:space="0" w:color="auto"/>
        <w:right w:val="none" w:sz="0" w:space="0" w:color="auto"/>
      </w:divBdr>
    </w:div>
    <w:div w:id="955596397">
      <w:bodyDiv w:val="1"/>
      <w:marLeft w:val="0"/>
      <w:marRight w:val="0"/>
      <w:marTop w:val="0"/>
      <w:marBottom w:val="0"/>
      <w:divBdr>
        <w:top w:val="none" w:sz="0" w:space="0" w:color="auto"/>
        <w:left w:val="none" w:sz="0" w:space="0" w:color="auto"/>
        <w:bottom w:val="none" w:sz="0" w:space="0" w:color="auto"/>
        <w:right w:val="none" w:sz="0" w:space="0" w:color="auto"/>
      </w:divBdr>
    </w:div>
    <w:div w:id="955604716">
      <w:bodyDiv w:val="1"/>
      <w:marLeft w:val="0"/>
      <w:marRight w:val="0"/>
      <w:marTop w:val="0"/>
      <w:marBottom w:val="0"/>
      <w:divBdr>
        <w:top w:val="none" w:sz="0" w:space="0" w:color="auto"/>
        <w:left w:val="none" w:sz="0" w:space="0" w:color="auto"/>
        <w:bottom w:val="none" w:sz="0" w:space="0" w:color="auto"/>
        <w:right w:val="none" w:sz="0" w:space="0" w:color="auto"/>
      </w:divBdr>
    </w:div>
    <w:div w:id="955673339">
      <w:bodyDiv w:val="1"/>
      <w:marLeft w:val="0"/>
      <w:marRight w:val="0"/>
      <w:marTop w:val="0"/>
      <w:marBottom w:val="0"/>
      <w:divBdr>
        <w:top w:val="none" w:sz="0" w:space="0" w:color="auto"/>
        <w:left w:val="none" w:sz="0" w:space="0" w:color="auto"/>
        <w:bottom w:val="none" w:sz="0" w:space="0" w:color="auto"/>
        <w:right w:val="none" w:sz="0" w:space="0" w:color="auto"/>
      </w:divBdr>
    </w:div>
    <w:div w:id="955790628">
      <w:bodyDiv w:val="1"/>
      <w:marLeft w:val="0"/>
      <w:marRight w:val="0"/>
      <w:marTop w:val="0"/>
      <w:marBottom w:val="0"/>
      <w:divBdr>
        <w:top w:val="none" w:sz="0" w:space="0" w:color="auto"/>
        <w:left w:val="none" w:sz="0" w:space="0" w:color="auto"/>
        <w:bottom w:val="none" w:sz="0" w:space="0" w:color="auto"/>
        <w:right w:val="none" w:sz="0" w:space="0" w:color="auto"/>
      </w:divBdr>
    </w:div>
    <w:div w:id="955983043">
      <w:bodyDiv w:val="1"/>
      <w:marLeft w:val="0"/>
      <w:marRight w:val="0"/>
      <w:marTop w:val="0"/>
      <w:marBottom w:val="0"/>
      <w:divBdr>
        <w:top w:val="none" w:sz="0" w:space="0" w:color="auto"/>
        <w:left w:val="none" w:sz="0" w:space="0" w:color="auto"/>
        <w:bottom w:val="none" w:sz="0" w:space="0" w:color="auto"/>
        <w:right w:val="none" w:sz="0" w:space="0" w:color="auto"/>
      </w:divBdr>
    </w:div>
    <w:div w:id="956058468">
      <w:bodyDiv w:val="1"/>
      <w:marLeft w:val="0"/>
      <w:marRight w:val="0"/>
      <w:marTop w:val="0"/>
      <w:marBottom w:val="0"/>
      <w:divBdr>
        <w:top w:val="none" w:sz="0" w:space="0" w:color="auto"/>
        <w:left w:val="none" w:sz="0" w:space="0" w:color="auto"/>
        <w:bottom w:val="none" w:sz="0" w:space="0" w:color="auto"/>
        <w:right w:val="none" w:sz="0" w:space="0" w:color="auto"/>
      </w:divBdr>
    </w:div>
    <w:div w:id="956060807">
      <w:bodyDiv w:val="1"/>
      <w:marLeft w:val="0"/>
      <w:marRight w:val="0"/>
      <w:marTop w:val="0"/>
      <w:marBottom w:val="0"/>
      <w:divBdr>
        <w:top w:val="none" w:sz="0" w:space="0" w:color="auto"/>
        <w:left w:val="none" w:sz="0" w:space="0" w:color="auto"/>
        <w:bottom w:val="none" w:sz="0" w:space="0" w:color="auto"/>
        <w:right w:val="none" w:sz="0" w:space="0" w:color="auto"/>
      </w:divBdr>
    </w:div>
    <w:div w:id="956105422">
      <w:bodyDiv w:val="1"/>
      <w:marLeft w:val="0"/>
      <w:marRight w:val="0"/>
      <w:marTop w:val="0"/>
      <w:marBottom w:val="0"/>
      <w:divBdr>
        <w:top w:val="none" w:sz="0" w:space="0" w:color="auto"/>
        <w:left w:val="none" w:sz="0" w:space="0" w:color="auto"/>
        <w:bottom w:val="none" w:sz="0" w:space="0" w:color="auto"/>
        <w:right w:val="none" w:sz="0" w:space="0" w:color="auto"/>
      </w:divBdr>
    </w:div>
    <w:div w:id="956520035">
      <w:bodyDiv w:val="1"/>
      <w:marLeft w:val="0"/>
      <w:marRight w:val="0"/>
      <w:marTop w:val="0"/>
      <w:marBottom w:val="0"/>
      <w:divBdr>
        <w:top w:val="none" w:sz="0" w:space="0" w:color="auto"/>
        <w:left w:val="none" w:sz="0" w:space="0" w:color="auto"/>
        <w:bottom w:val="none" w:sz="0" w:space="0" w:color="auto"/>
        <w:right w:val="none" w:sz="0" w:space="0" w:color="auto"/>
      </w:divBdr>
    </w:div>
    <w:div w:id="956525078">
      <w:bodyDiv w:val="1"/>
      <w:marLeft w:val="0"/>
      <w:marRight w:val="0"/>
      <w:marTop w:val="0"/>
      <w:marBottom w:val="0"/>
      <w:divBdr>
        <w:top w:val="none" w:sz="0" w:space="0" w:color="auto"/>
        <w:left w:val="none" w:sz="0" w:space="0" w:color="auto"/>
        <w:bottom w:val="none" w:sz="0" w:space="0" w:color="auto"/>
        <w:right w:val="none" w:sz="0" w:space="0" w:color="auto"/>
      </w:divBdr>
    </w:div>
    <w:div w:id="956527031">
      <w:bodyDiv w:val="1"/>
      <w:marLeft w:val="0"/>
      <w:marRight w:val="0"/>
      <w:marTop w:val="0"/>
      <w:marBottom w:val="0"/>
      <w:divBdr>
        <w:top w:val="none" w:sz="0" w:space="0" w:color="auto"/>
        <w:left w:val="none" w:sz="0" w:space="0" w:color="auto"/>
        <w:bottom w:val="none" w:sz="0" w:space="0" w:color="auto"/>
        <w:right w:val="none" w:sz="0" w:space="0" w:color="auto"/>
      </w:divBdr>
    </w:div>
    <w:div w:id="956643167">
      <w:bodyDiv w:val="1"/>
      <w:marLeft w:val="0"/>
      <w:marRight w:val="0"/>
      <w:marTop w:val="0"/>
      <w:marBottom w:val="0"/>
      <w:divBdr>
        <w:top w:val="none" w:sz="0" w:space="0" w:color="auto"/>
        <w:left w:val="none" w:sz="0" w:space="0" w:color="auto"/>
        <w:bottom w:val="none" w:sz="0" w:space="0" w:color="auto"/>
        <w:right w:val="none" w:sz="0" w:space="0" w:color="auto"/>
      </w:divBdr>
    </w:div>
    <w:div w:id="956762351">
      <w:bodyDiv w:val="1"/>
      <w:marLeft w:val="0"/>
      <w:marRight w:val="0"/>
      <w:marTop w:val="0"/>
      <w:marBottom w:val="0"/>
      <w:divBdr>
        <w:top w:val="none" w:sz="0" w:space="0" w:color="auto"/>
        <w:left w:val="none" w:sz="0" w:space="0" w:color="auto"/>
        <w:bottom w:val="none" w:sz="0" w:space="0" w:color="auto"/>
        <w:right w:val="none" w:sz="0" w:space="0" w:color="auto"/>
      </w:divBdr>
    </w:div>
    <w:div w:id="956839041">
      <w:bodyDiv w:val="1"/>
      <w:marLeft w:val="0"/>
      <w:marRight w:val="0"/>
      <w:marTop w:val="0"/>
      <w:marBottom w:val="0"/>
      <w:divBdr>
        <w:top w:val="none" w:sz="0" w:space="0" w:color="auto"/>
        <w:left w:val="none" w:sz="0" w:space="0" w:color="auto"/>
        <w:bottom w:val="none" w:sz="0" w:space="0" w:color="auto"/>
        <w:right w:val="none" w:sz="0" w:space="0" w:color="auto"/>
      </w:divBdr>
    </w:div>
    <w:div w:id="956912586">
      <w:bodyDiv w:val="1"/>
      <w:marLeft w:val="0"/>
      <w:marRight w:val="0"/>
      <w:marTop w:val="0"/>
      <w:marBottom w:val="0"/>
      <w:divBdr>
        <w:top w:val="none" w:sz="0" w:space="0" w:color="auto"/>
        <w:left w:val="none" w:sz="0" w:space="0" w:color="auto"/>
        <w:bottom w:val="none" w:sz="0" w:space="0" w:color="auto"/>
        <w:right w:val="none" w:sz="0" w:space="0" w:color="auto"/>
      </w:divBdr>
    </w:div>
    <w:div w:id="956914332">
      <w:bodyDiv w:val="1"/>
      <w:marLeft w:val="0"/>
      <w:marRight w:val="0"/>
      <w:marTop w:val="0"/>
      <w:marBottom w:val="0"/>
      <w:divBdr>
        <w:top w:val="none" w:sz="0" w:space="0" w:color="auto"/>
        <w:left w:val="none" w:sz="0" w:space="0" w:color="auto"/>
        <w:bottom w:val="none" w:sz="0" w:space="0" w:color="auto"/>
        <w:right w:val="none" w:sz="0" w:space="0" w:color="auto"/>
      </w:divBdr>
    </w:div>
    <w:div w:id="957108511">
      <w:bodyDiv w:val="1"/>
      <w:marLeft w:val="0"/>
      <w:marRight w:val="0"/>
      <w:marTop w:val="0"/>
      <w:marBottom w:val="0"/>
      <w:divBdr>
        <w:top w:val="none" w:sz="0" w:space="0" w:color="auto"/>
        <w:left w:val="none" w:sz="0" w:space="0" w:color="auto"/>
        <w:bottom w:val="none" w:sz="0" w:space="0" w:color="auto"/>
        <w:right w:val="none" w:sz="0" w:space="0" w:color="auto"/>
      </w:divBdr>
    </w:div>
    <w:div w:id="957180979">
      <w:bodyDiv w:val="1"/>
      <w:marLeft w:val="0"/>
      <w:marRight w:val="0"/>
      <w:marTop w:val="0"/>
      <w:marBottom w:val="0"/>
      <w:divBdr>
        <w:top w:val="none" w:sz="0" w:space="0" w:color="auto"/>
        <w:left w:val="none" w:sz="0" w:space="0" w:color="auto"/>
        <w:bottom w:val="none" w:sz="0" w:space="0" w:color="auto"/>
        <w:right w:val="none" w:sz="0" w:space="0" w:color="auto"/>
      </w:divBdr>
    </w:div>
    <w:div w:id="957223141">
      <w:bodyDiv w:val="1"/>
      <w:marLeft w:val="0"/>
      <w:marRight w:val="0"/>
      <w:marTop w:val="0"/>
      <w:marBottom w:val="0"/>
      <w:divBdr>
        <w:top w:val="none" w:sz="0" w:space="0" w:color="auto"/>
        <w:left w:val="none" w:sz="0" w:space="0" w:color="auto"/>
        <w:bottom w:val="none" w:sz="0" w:space="0" w:color="auto"/>
        <w:right w:val="none" w:sz="0" w:space="0" w:color="auto"/>
      </w:divBdr>
    </w:div>
    <w:div w:id="957292847">
      <w:bodyDiv w:val="1"/>
      <w:marLeft w:val="0"/>
      <w:marRight w:val="0"/>
      <w:marTop w:val="0"/>
      <w:marBottom w:val="0"/>
      <w:divBdr>
        <w:top w:val="none" w:sz="0" w:space="0" w:color="auto"/>
        <w:left w:val="none" w:sz="0" w:space="0" w:color="auto"/>
        <w:bottom w:val="none" w:sz="0" w:space="0" w:color="auto"/>
        <w:right w:val="none" w:sz="0" w:space="0" w:color="auto"/>
      </w:divBdr>
    </w:div>
    <w:div w:id="957299330">
      <w:bodyDiv w:val="1"/>
      <w:marLeft w:val="0"/>
      <w:marRight w:val="0"/>
      <w:marTop w:val="0"/>
      <w:marBottom w:val="0"/>
      <w:divBdr>
        <w:top w:val="none" w:sz="0" w:space="0" w:color="auto"/>
        <w:left w:val="none" w:sz="0" w:space="0" w:color="auto"/>
        <w:bottom w:val="none" w:sz="0" w:space="0" w:color="auto"/>
        <w:right w:val="none" w:sz="0" w:space="0" w:color="auto"/>
      </w:divBdr>
    </w:div>
    <w:div w:id="957302509">
      <w:bodyDiv w:val="1"/>
      <w:marLeft w:val="0"/>
      <w:marRight w:val="0"/>
      <w:marTop w:val="0"/>
      <w:marBottom w:val="0"/>
      <w:divBdr>
        <w:top w:val="none" w:sz="0" w:space="0" w:color="auto"/>
        <w:left w:val="none" w:sz="0" w:space="0" w:color="auto"/>
        <w:bottom w:val="none" w:sz="0" w:space="0" w:color="auto"/>
        <w:right w:val="none" w:sz="0" w:space="0" w:color="auto"/>
      </w:divBdr>
    </w:div>
    <w:div w:id="957369074">
      <w:bodyDiv w:val="1"/>
      <w:marLeft w:val="0"/>
      <w:marRight w:val="0"/>
      <w:marTop w:val="0"/>
      <w:marBottom w:val="0"/>
      <w:divBdr>
        <w:top w:val="none" w:sz="0" w:space="0" w:color="auto"/>
        <w:left w:val="none" w:sz="0" w:space="0" w:color="auto"/>
        <w:bottom w:val="none" w:sz="0" w:space="0" w:color="auto"/>
        <w:right w:val="none" w:sz="0" w:space="0" w:color="auto"/>
      </w:divBdr>
    </w:div>
    <w:div w:id="957416916">
      <w:bodyDiv w:val="1"/>
      <w:marLeft w:val="0"/>
      <w:marRight w:val="0"/>
      <w:marTop w:val="0"/>
      <w:marBottom w:val="0"/>
      <w:divBdr>
        <w:top w:val="none" w:sz="0" w:space="0" w:color="auto"/>
        <w:left w:val="none" w:sz="0" w:space="0" w:color="auto"/>
        <w:bottom w:val="none" w:sz="0" w:space="0" w:color="auto"/>
        <w:right w:val="none" w:sz="0" w:space="0" w:color="auto"/>
      </w:divBdr>
    </w:div>
    <w:div w:id="957444063">
      <w:bodyDiv w:val="1"/>
      <w:marLeft w:val="0"/>
      <w:marRight w:val="0"/>
      <w:marTop w:val="0"/>
      <w:marBottom w:val="0"/>
      <w:divBdr>
        <w:top w:val="none" w:sz="0" w:space="0" w:color="auto"/>
        <w:left w:val="none" w:sz="0" w:space="0" w:color="auto"/>
        <w:bottom w:val="none" w:sz="0" w:space="0" w:color="auto"/>
        <w:right w:val="none" w:sz="0" w:space="0" w:color="auto"/>
      </w:divBdr>
    </w:div>
    <w:div w:id="957681394">
      <w:bodyDiv w:val="1"/>
      <w:marLeft w:val="0"/>
      <w:marRight w:val="0"/>
      <w:marTop w:val="0"/>
      <w:marBottom w:val="0"/>
      <w:divBdr>
        <w:top w:val="none" w:sz="0" w:space="0" w:color="auto"/>
        <w:left w:val="none" w:sz="0" w:space="0" w:color="auto"/>
        <w:bottom w:val="none" w:sz="0" w:space="0" w:color="auto"/>
        <w:right w:val="none" w:sz="0" w:space="0" w:color="auto"/>
      </w:divBdr>
    </w:div>
    <w:div w:id="957762101">
      <w:bodyDiv w:val="1"/>
      <w:marLeft w:val="0"/>
      <w:marRight w:val="0"/>
      <w:marTop w:val="0"/>
      <w:marBottom w:val="0"/>
      <w:divBdr>
        <w:top w:val="none" w:sz="0" w:space="0" w:color="auto"/>
        <w:left w:val="none" w:sz="0" w:space="0" w:color="auto"/>
        <w:bottom w:val="none" w:sz="0" w:space="0" w:color="auto"/>
        <w:right w:val="none" w:sz="0" w:space="0" w:color="auto"/>
      </w:divBdr>
    </w:div>
    <w:div w:id="957764287">
      <w:bodyDiv w:val="1"/>
      <w:marLeft w:val="0"/>
      <w:marRight w:val="0"/>
      <w:marTop w:val="0"/>
      <w:marBottom w:val="0"/>
      <w:divBdr>
        <w:top w:val="none" w:sz="0" w:space="0" w:color="auto"/>
        <w:left w:val="none" w:sz="0" w:space="0" w:color="auto"/>
        <w:bottom w:val="none" w:sz="0" w:space="0" w:color="auto"/>
        <w:right w:val="none" w:sz="0" w:space="0" w:color="auto"/>
      </w:divBdr>
    </w:div>
    <w:div w:id="957906123">
      <w:bodyDiv w:val="1"/>
      <w:marLeft w:val="0"/>
      <w:marRight w:val="0"/>
      <w:marTop w:val="0"/>
      <w:marBottom w:val="0"/>
      <w:divBdr>
        <w:top w:val="none" w:sz="0" w:space="0" w:color="auto"/>
        <w:left w:val="none" w:sz="0" w:space="0" w:color="auto"/>
        <w:bottom w:val="none" w:sz="0" w:space="0" w:color="auto"/>
        <w:right w:val="none" w:sz="0" w:space="0" w:color="auto"/>
      </w:divBdr>
    </w:div>
    <w:div w:id="957951587">
      <w:bodyDiv w:val="1"/>
      <w:marLeft w:val="0"/>
      <w:marRight w:val="0"/>
      <w:marTop w:val="0"/>
      <w:marBottom w:val="0"/>
      <w:divBdr>
        <w:top w:val="none" w:sz="0" w:space="0" w:color="auto"/>
        <w:left w:val="none" w:sz="0" w:space="0" w:color="auto"/>
        <w:bottom w:val="none" w:sz="0" w:space="0" w:color="auto"/>
        <w:right w:val="none" w:sz="0" w:space="0" w:color="auto"/>
      </w:divBdr>
    </w:div>
    <w:div w:id="957952358">
      <w:bodyDiv w:val="1"/>
      <w:marLeft w:val="0"/>
      <w:marRight w:val="0"/>
      <w:marTop w:val="0"/>
      <w:marBottom w:val="0"/>
      <w:divBdr>
        <w:top w:val="none" w:sz="0" w:space="0" w:color="auto"/>
        <w:left w:val="none" w:sz="0" w:space="0" w:color="auto"/>
        <w:bottom w:val="none" w:sz="0" w:space="0" w:color="auto"/>
        <w:right w:val="none" w:sz="0" w:space="0" w:color="auto"/>
      </w:divBdr>
    </w:div>
    <w:div w:id="958026976">
      <w:bodyDiv w:val="1"/>
      <w:marLeft w:val="0"/>
      <w:marRight w:val="0"/>
      <w:marTop w:val="0"/>
      <w:marBottom w:val="0"/>
      <w:divBdr>
        <w:top w:val="none" w:sz="0" w:space="0" w:color="auto"/>
        <w:left w:val="none" w:sz="0" w:space="0" w:color="auto"/>
        <w:bottom w:val="none" w:sz="0" w:space="0" w:color="auto"/>
        <w:right w:val="none" w:sz="0" w:space="0" w:color="auto"/>
      </w:divBdr>
    </w:div>
    <w:div w:id="958030832">
      <w:bodyDiv w:val="1"/>
      <w:marLeft w:val="0"/>
      <w:marRight w:val="0"/>
      <w:marTop w:val="0"/>
      <w:marBottom w:val="0"/>
      <w:divBdr>
        <w:top w:val="none" w:sz="0" w:space="0" w:color="auto"/>
        <w:left w:val="none" w:sz="0" w:space="0" w:color="auto"/>
        <w:bottom w:val="none" w:sz="0" w:space="0" w:color="auto"/>
        <w:right w:val="none" w:sz="0" w:space="0" w:color="auto"/>
      </w:divBdr>
    </w:div>
    <w:div w:id="958296822">
      <w:bodyDiv w:val="1"/>
      <w:marLeft w:val="0"/>
      <w:marRight w:val="0"/>
      <w:marTop w:val="0"/>
      <w:marBottom w:val="0"/>
      <w:divBdr>
        <w:top w:val="none" w:sz="0" w:space="0" w:color="auto"/>
        <w:left w:val="none" w:sz="0" w:space="0" w:color="auto"/>
        <w:bottom w:val="none" w:sz="0" w:space="0" w:color="auto"/>
        <w:right w:val="none" w:sz="0" w:space="0" w:color="auto"/>
      </w:divBdr>
    </w:div>
    <w:div w:id="958297524">
      <w:bodyDiv w:val="1"/>
      <w:marLeft w:val="0"/>
      <w:marRight w:val="0"/>
      <w:marTop w:val="0"/>
      <w:marBottom w:val="0"/>
      <w:divBdr>
        <w:top w:val="none" w:sz="0" w:space="0" w:color="auto"/>
        <w:left w:val="none" w:sz="0" w:space="0" w:color="auto"/>
        <w:bottom w:val="none" w:sz="0" w:space="0" w:color="auto"/>
        <w:right w:val="none" w:sz="0" w:space="0" w:color="auto"/>
      </w:divBdr>
    </w:div>
    <w:div w:id="958491339">
      <w:bodyDiv w:val="1"/>
      <w:marLeft w:val="0"/>
      <w:marRight w:val="0"/>
      <w:marTop w:val="0"/>
      <w:marBottom w:val="0"/>
      <w:divBdr>
        <w:top w:val="none" w:sz="0" w:space="0" w:color="auto"/>
        <w:left w:val="none" w:sz="0" w:space="0" w:color="auto"/>
        <w:bottom w:val="none" w:sz="0" w:space="0" w:color="auto"/>
        <w:right w:val="none" w:sz="0" w:space="0" w:color="auto"/>
      </w:divBdr>
    </w:div>
    <w:div w:id="958531890">
      <w:bodyDiv w:val="1"/>
      <w:marLeft w:val="0"/>
      <w:marRight w:val="0"/>
      <w:marTop w:val="0"/>
      <w:marBottom w:val="0"/>
      <w:divBdr>
        <w:top w:val="none" w:sz="0" w:space="0" w:color="auto"/>
        <w:left w:val="none" w:sz="0" w:space="0" w:color="auto"/>
        <w:bottom w:val="none" w:sz="0" w:space="0" w:color="auto"/>
        <w:right w:val="none" w:sz="0" w:space="0" w:color="auto"/>
      </w:divBdr>
    </w:div>
    <w:div w:id="958685640">
      <w:bodyDiv w:val="1"/>
      <w:marLeft w:val="0"/>
      <w:marRight w:val="0"/>
      <w:marTop w:val="0"/>
      <w:marBottom w:val="0"/>
      <w:divBdr>
        <w:top w:val="none" w:sz="0" w:space="0" w:color="auto"/>
        <w:left w:val="none" w:sz="0" w:space="0" w:color="auto"/>
        <w:bottom w:val="none" w:sz="0" w:space="0" w:color="auto"/>
        <w:right w:val="none" w:sz="0" w:space="0" w:color="auto"/>
      </w:divBdr>
    </w:div>
    <w:div w:id="958729649">
      <w:bodyDiv w:val="1"/>
      <w:marLeft w:val="0"/>
      <w:marRight w:val="0"/>
      <w:marTop w:val="0"/>
      <w:marBottom w:val="0"/>
      <w:divBdr>
        <w:top w:val="none" w:sz="0" w:space="0" w:color="auto"/>
        <w:left w:val="none" w:sz="0" w:space="0" w:color="auto"/>
        <w:bottom w:val="none" w:sz="0" w:space="0" w:color="auto"/>
        <w:right w:val="none" w:sz="0" w:space="0" w:color="auto"/>
      </w:divBdr>
    </w:div>
    <w:div w:id="958730822">
      <w:bodyDiv w:val="1"/>
      <w:marLeft w:val="0"/>
      <w:marRight w:val="0"/>
      <w:marTop w:val="0"/>
      <w:marBottom w:val="0"/>
      <w:divBdr>
        <w:top w:val="none" w:sz="0" w:space="0" w:color="auto"/>
        <w:left w:val="none" w:sz="0" w:space="0" w:color="auto"/>
        <w:bottom w:val="none" w:sz="0" w:space="0" w:color="auto"/>
        <w:right w:val="none" w:sz="0" w:space="0" w:color="auto"/>
      </w:divBdr>
    </w:div>
    <w:div w:id="958800205">
      <w:bodyDiv w:val="1"/>
      <w:marLeft w:val="0"/>
      <w:marRight w:val="0"/>
      <w:marTop w:val="0"/>
      <w:marBottom w:val="0"/>
      <w:divBdr>
        <w:top w:val="none" w:sz="0" w:space="0" w:color="auto"/>
        <w:left w:val="none" w:sz="0" w:space="0" w:color="auto"/>
        <w:bottom w:val="none" w:sz="0" w:space="0" w:color="auto"/>
        <w:right w:val="none" w:sz="0" w:space="0" w:color="auto"/>
      </w:divBdr>
    </w:div>
    <w:div w:id="958805021">
      <w:bodyDiv w:val="1"/>
      <w:marLeft w:val="0"/>
      <w:marRight w:val="0"/>
      <w:marTop w:val="0"/>
      <w:marBottom w:val="0"/>
      <w:divBdr>
        <w:top w:val="none" w:sz="0" w:space="0" w:color="auto"/>
        <w:left w:val="none" w:sz="0" w:space="0" w:color="auto"/>
        <w:bottom w:val="none" w:sz="0" w:space="0" w:color="auto"/>
        <w:right w:val="none" w:sz="0" w:space="0" w:color="auto"/>
      </w:divBdr>
    </w:div>
    <w:div w:id="958953612">
      <w:bodyDiv w:val="1"/>
      <w:marLeft w:val="0"/>
      <w:marRight w:val="0"/>
      <w:marTop w:val="0"/>
      <w:marBottom w:val="0"/>
      <w:divBdr>
        <w:top w:val="none" w:sz="0" w:space="0" w:color="auto"/>
        <w:left w:val="none" w:sz="0" w:space="0" w:color="auto"/>
        <w:bottom w:val="none" w:sz="0" w:space="0" w:color="auto"/>
        <w:right w:val="none" w:sz="0" w:space="0" w:color="auto"/>
      </w:divBdr>
    </w:div>
    <w:div w:id="958955122">
      <w:bodyDiv w:val="1"/>
      <w:marLeft w:val="0"/>
      <w:marRight w:val="0"/>
      <w:marTop w:val="0"/>
      <w:marBottom w:val="0"/>
      <w:divBdr>
        <w:top w:val="none" w:sz="0" w:space="0" w:color="auto"/>
        <w:left w:val="none" w:sz="0" w:space="0" w:color="auto"/>
        <w:bottom w:val="none" w:sz="0" w:space="0" w:color="auto"/>
        <w:right w:val="none" w:sz="0" w:space="0" w:color="auto"/>
      </w:divBdr>
    </w:div>
    <w:div w:id="959259486">
      <w:bodyDiv w:val="1"/>
      <w:marLeft w:val="0"/>
      <w:marRight w:val="0"/>
      <w:marTop w:val="0"/>
      <w:marBottom w:val="0"/>
      <w:divBdr>
        <w:top w:val="none" w:sz="0" w:space="0" w:color="auto"/>
        <w:left w:val="none" w:sz="0" w:space="0" w:color="auto"/>
        <w:bottom w:val="none" w:sz="0" w:space="0" w:color="auto"/>
        <w:right w:val="none" w:sz="0" w:space="0" w:color="auto"/>
      </w:divBdr>
    </w:div>
    <w:div w:id="959264602">
      <w:bodyDiv w:val="1"/>
      <w:marLeft w:val="0"/>
      <w:marRight w:val="0"/>
      <w:marTop w:val="0"/>
      <w:marBottom w:val="0"/>
      <w:divBdr>
        <w:top w:val="none" w:sz="0" w:space="0" w:color="auto"/>
        <w:left w:val="none" w:sz="0" w:space="0" w:color="auto"/>
        <w:bottom w:val="none" w:sz="0" w:space="0" w:color="auto"/>
        <w:right w:val="none" w:sz="0" w:space="0" w:color="auto"/>
      </w:divBdr>
    </w:div>
    <w:div w:id="959268267">
      <w:bodyDiv w:val="1"/>
      <w:marLeft w:val="0"/>
      <w:marRight w:val="0"/>
      <w:marTop w:val="0"/>
      <w:marBottom w:val="0"/>
      <w:divBdr>
        <w:top w:val="none" w:sz="0" w:space="0" w:color="auto"/>
        <w:left w:val="none" w:sz="0" w:space="0" w:color="auto"/>
        <w:bottom w:val="none" w:sz="0" w:space="0" w:color="auto"/>
        <w:right w:val="none" w:sz="0" w:space="0" w:color="auto"/>
      </w:divBdr>
    </w:div>
    <w:div w:id="959343663">
      <w:bodyDiv w:val="1"/>
      <w:marLeft w:val="0"/>
      <w:marRight w:val="0"/>
      <w:marTop w:val="0"/>
      <w:marBottom w:val="0"/>
      <w:divBdr>
        <w:top w:val="none" w:sz="0" w:space="0" w:color="auto"/>
        <w:left w:val="none" w:sz="0" w:space="0" w:color="auto"/>
        <w:bottom w:val="none" w:sz="0" w:space="0" w:color="auto"/>
        <w:right w:val="none" w:sz="0" w:space="0" w:color="auto"/>
      </w:divBdr>
    </w:div>
    <w:div w:id="959413428">
      <w:bodyDiv w:val="1"/>
      <w:marLeft w:val="0"/>
      <w:marRight w:val="0"/>
      <w:marTop w:val="0"/>
      <w:marBottom w:val="0"/>
      <w:divBdr>
        <w:top w:val="none" w:sz="0" w:space="0" w:color="auto"/>
        <w:left w:val="none" w:sz="0" w:space="0" w:color="auto"/>
        <w:bottom w:val="none" w:sz="0" w:space="0" w:color="auto"/>
        <w:right w:val="none" w:sz="0" w:space="0" w:color="auto"/>
      </w:divBdr>
    </w:div>
    <w:div w:id="959452383">
      <w:bodyDiv w:val="1"/>
      <w:marLeft w:val="0"/>
      <w:marRight w:val="0"/>
      <w:marTop w:val="0"/>
      <w:marBottom w:val="0"/>
      <w:divBdr>
        <w:top w:val="none" w:sz="0" w:space="0" w:color="auto"/>
        <w:left w:val="none" w:sz="0" w:space="0" w:color="auto"/>
        <w:bottom w:val="none" w:sz="0" w:space="0" w:color="auto"/>
        <w:right w:val="none" w:sz="0" w:space="0" w:color="auto"/>
      </w:divBdr>
    </w:div>
    <w:div w:id="959535184">
      <w:bodyDiv w:val="1"/>
      <w:marLeft w:val="0"/>
      <w:marRight w:val="0"/>
      <w:marTop w:val="0"/>
      <w:marBottom w:val="0"/>
      <w:divBdr>
        <w:top w:val="none" w:sz="0" w:space="0" w:color="auto"/>
        <w:left w:val="none" w:sz="0" w:space="0" w:color="auto"/>
        <w:bottom w:val="none" w:sz="0" w:space="0" w:color="auto"/>
        <w:right w:val="none" w:sz="0" w:space="0" w:color="auto"/>
      </w:divBdr>
    </w:div>
    <w:div w:id="959579044">
      <w:bodyDiv w:val="1"/>
      <w:marLeft w:val="0"/>
      <w:marRight w:val="0"/>
      <w:marTop w:val="0"/>
      <w:marBottom w:val="0"/>
      <w:divBdr>
        <w:top w:val="none" w:sz="0" w:space="0" w:color="auto"/>
        <w:left w:val="none" w:sz="0" w:space="0" w:color="auto"/>
        <w:bottom w:val="none" w:sz="0" w:space="0" w:color="auto"/>
        <w:right w:val="none" w:sz="0" w:space="0" w:color="auto"/>
      </w:divBdr>
    </w:div>
    <w:div w:id="959604415">
      <w:bodyDiv w:val="1"/>
      <w:marLeft w:val="0"/>
      <w:marRight w:val="0"/>
      <w:marTop w:val="0"/>
      <w:marBottom w:val="0"/>
      <w:divBdr>
        <w:top w:val="none" w:sz="0" w:space="0" w:color="auto"/>
        <w:left w:val="none" w:sz="0" w:space="0" w:color="auto"/>
        <w:bottom w:val="none" w:sz="0" w:space="0" w:color="auto"/>
        <w:right w:val="none" w:sz="0" w:space="0" w:color="auto"/>
      </w:divBdr>
    </w:div>
    <w:div w:id="959650116">
      <w:bodyDiv w:val="1"/>
      <w:marLeft w:val="0"/>
      <w:marRight w:val="0"/>
      <w:marTop w:val="0"/>
      <w:marBottom w:val="0"/>
      <w:divBdr>
        <w:top w:val="none" w:sz="0" w:space="0" w:color="auto"/>
        <w:left w:val="none" w:sz="0" w:space="0" w:color="auto"/>
        <w:bottom w:val="none" w:sz="0" w:space="0" w:color="auto"/>
        <w:right w:val="none" w:sz="0" w:space="0" w:color="auto"/>
      </w:divBdr>
    </w:div>
    <w:div w:id="959728587">
      <w:bodyDiv w:val="1"/>
      <w:marLeft w:val="0"/>
      <w:marRight w:val="0"/>
      <w:marTop w:val="0"/>
      <w:marBottom w:val="0"/>
      <w:divBdr>
        <w:top w:val="none" w:sz="0" w:space="0" w:color="auto"/>
        <w:left w:val="none" w:sz="0" w:space="0" w:color="auto"/>
        <w:bottom w:val="none" w:sz="0" w:space="0" w:color="auto"/>
        <w:right w:val="none" w:sz="0" w:space="0" w:color="auto"/>
      </w:divBdr>
    </w:div>
    <w:div w:id="959796138">
      <w:bodyDiv w:val="1"/>
      <w:marLeft w:val="0"/>
      <w:marRight w:val="0"/>
      <w:marTop w:val="0"/>
      <w:marBottom w:val="0"/>
      <w:divBdr>
        <w:top w:val="none" w:sz="0" w:space="0" w:color="auto"/>
        <w:left w:val="none" w:sz="0" w:space="0" w:color="auto"/>
        <w:bottom w:val="none" w:sz="0" w:space="0" w:color="auto"/>
        <w:right w:val="none" w:sz="0" w:space="0" w:color="auto"/>
      </w:divBdr>
    </w:div>
    <w:div w:id="959872518">
      <w:bodyDiv w:val="1"/>
      <w:marLeft w:val="0"/>
      <w:marRight w:val="0"/>
      <w:marTop w:val="0"/>
      <w:marBottom w:val="0"/>
      <w:divBdr>
        <w:top w:val="none" w:sz="0" w:space="0" w:color="auto"/>
        <w:left w:val="none" w:sz="0" w:space="0" w:color="auto"/>
        <w:bottom w:val="none" w:sz="0" w:space="0" w:color="auto"/>
        <w:right w:val="none" w:sz="0" w:space="0" w:color="auto"/>
      </w:divBdr>
    </w:div>
    <w:div w:id="959992892">
      <w:bodyDiv w:val="1"/>
      <w:marLeft w:val="0"/>
      <w:marRight w:val="0"/>
      <w:marTop w:val="0"/>
      <w:marBottom w:val="0"/>
      <w:divBdr>
        <w:top w:val="none" w:sz="0" w:space="0" w:color="auto"/>
        <w:left w:val="none" w:sz="0" w:space="0" w:color="auto"/>
        <w:bottom w:val="none" w:sz="0" w:space="0" w:color="auto"/>
        <w:right w:val="none" w:sz="0" w:space="0" w:color="auto"/>
      </w:divBdr>
    </w:div>
    <w:div w:id="960184300">
      <w:bodyDiv w:val="1"/>
      <w:marLeft w:val="0"/>
      <w:marRight w:val="0"/>
      <w:marTop w:val="0"/>
      <w:marBottom w:val="0"/>
      <w:divBdr>
        <w:top w:val="none" w:sz="0" w:space="0" w:color="auto"/>
        <w:left w:val="none" w:sz="0" w:space="0" w:color="auto"/>
        <w:bottom w:val="none" w:sz="0" w:space="0" w:color="auto"/>
        <w:right w:val="none" w:sz="0" w:space="0" w:color="auto"/>
      </w:divBdr>
    </w:div>
    <w:div w:id="960258515">
      <w:bodyDiv w:val="1"/>
      <w:marLeft w:val="0"/>
      <w:marRight w:val="0"/>
      <w:marTop w:val="0"/>
      <w:marBottom w:val="0"/>
      <w:divBdr>
        <w:top w:val="none" w:sz="0" w:space="0" w:color="auto"/>
        <w:left w:val="none" w:sz="0" w:space="0" w:color="auto"/>
        <w:bottom w:val="none" w:sz="0" w:space="0" w:color="auto"/>
        <w:right w:val="none" w:sz="0" w:space="0" w:color="auto"/>
      </w:divBdr>
    </w:div>
    <w:div w:id="960307829">
      <w:bodyDiv w:val="1"/>
      <w:marLeft w:val="0"/>
      <w:marRight w:val="0"/>
      <w:marTop w:val="0"/>
      <w:marBottom w:val="0"/>
      <w:divBdr>
        <w:top w:val="none" w:sz="0" w:space="0" w:color="auto"/>
        <w:left w:val="none" w:sz="0" w:space="0" w:color="auto"/>
        <w:bottom w:val="none" w:sz="0" w:space="0" w:color="auto"/>
        <w:right w:val="none" w:sz="0" w:space="0" w:color="auto"/>
      </w:divBdr>
    </w:div>
    <w:div w:id="960383036">
      <w:bodyDiv w:val="1"/>
      <w:marLeft w:val="0"/>
      <w:marRight w:val="0"/>
      <w:marTop w:val="0"/>
      <w:marBottom w:val="0"/>
      <w:divBdr>
        <w:top w:val="none" w:sz="0" w:space="0" w:color="auto"/>
        <w:left w:val="none" w:sz="0" w:space="0" w:color="auto"/>
        <w:bottom w:val="none" w:sz="0" w:space="0" w:color="auto"/>
        <w:right w:val="none" w:sz="0" w:space="0" w:color="auto"/>
      </w:divBdr>
    </w:div>
    <w:div w:id="960956646">
      <w:bodyDiv w:val="1"/>
      <w:marLeft w:val="0"/>
      <w:marRight w:val="0"/>
      <w:marTop w:val="0"/>
      <w:marBottom w:val="0"/>
      <w:divBdr>
        <w:top w:val="none" w:sz="0" w:space="0" w:color="auto"/>
        <w:left w:val="none" w:sz="0" w:space="0" w:color="auto"/>
        <w:bottom w:val="none" w:sz="0" w:space="0" w:color="auto"/>
        <w:right w:val="none" w:sz="0" w:space="0" w:color="auto"/>
      </w:divBdr>
    </w:div>
    <w:div w:id="960965461">
      <w:bodyDiv w:val="1"/>
      <w:marLeft w:val="0"/>
      <w:marRight w:val="0"/>
      <w:marTop w:val="0"/>
      <w:marBottom w:val="0"/>
      <w:divBdr>
        <w:top w:val="none" w:sz="0" w:space="0" w:color="auto"/>
        <w:left w:val="none" w:sz="0" w:space="0" w:color="auto"/>
        <w:bottom w:val="none" w:sz="0" w:space="0" w:color="auto"/>
        <w:right w:val="none" w:sz="0" w:space="0" w:color="auto"/>
      </w:divBdr>
    </w:div>
    <w:div w:id="961109118">
      <w:bodyDiv w:val="1"/>
      <w:marLeft w:val="0"/>
      <w:marRight w:val="0"/>
      <w:marTop w:val="0"/>
      <w:marBottom w:val="0"/>
      <w:divBdr>
        <w:top w:val="none" w:sz="0" w:space="0" w:color="auto"/>
        <w:left w:val="none" w:sz="0" w:space="0" w:color="auto"/>
        <w:bottom w:val="none" w:sz="0" w:space="0" w:color="auto"/>
        <w:right w:val="none" w:sz="0" w:space="0" w:color="auto"/>
      </w:divBdr>
    </w:div>
    <w:div w:id="961112566">
      <w:bodyDiv w:val="1"/>
      <w:marLeft w:val="0"/>
      <w:marRight w:val="0"/>
      <w:marTop w:val="0"/>
      <w:marBottom w:val="0"/>
      <w:divBdr>
        <w:top w:val="none" w:sz="0" w:space="0" w:color="auto"/>
        <w:left w:val="none" w:sz="0" w:space="0" w:color="auto"/>
        <w:bottom w:val="none" w:sz="0" w:space="0" w:color="auto"/>
        <w:right w:val="none" w:sz="0" w:space="0" w:color="auto"/>
      </w:divBdr>
    </w:div>
    <w:div w:id="961155969">
      <w:bodyDiv w:val="1"/>
      <w:marLeft w:val="0"/>
      <w:marRight w:val="0"/>
      <w:marTop w:val="0"/>
      <w:marBottom w:val="0"/>
      <w:divBdr>
        <w:top w:val="none" w:sz="0" w:space="0" w:color="auto"/>
        <w:left w:val="none" w:sz="0" w:space="0" w:color="auto"/>
        <w:bottom w:val="none" w:sz="0" w:space="0" w:color="auto"/>
        <w:right w:val="none" w:sz="0" w:space="0" w:color="auto"/>
      </w:divBdr>
    </w:div>
    <w:div w:id="961419246">
      <w:bodyDiv w:val="1"/>
      <w:marLeft w:val="0"/>
      <w:marRight w:val="0"/>
      <w:marTop w:val="0"/>
      <w:marBottom w:val="0"/>
      <w:divBdr>
        <w:top w:val="none" w:sz="0" w:space="0" w:color="auto"/>
        <w:left w:val="none" w:sz="0" w:space="0" w:color="auto"/>
        <w:bottom w:val="none" w:sz="0" w:space="0" w:color="auto"/>
        <w:right w:val="none" w:sz="0" w:space="0" w:color="auto"/>
      </w:divBdr>
    </w:div>
    <w:div w:id="961427226">
      <w:bodyDiv w:val="1"/>
      <w:marLeft w:val="0"/>
      <w:marRight w:val="0"/>
      <w:marTop w:val="0"/>
      <w:marBottom w:val="0"/>
      <w:divBdr>
        <w:top w:val="none" w:sz="0" w:space="0" w:color="auto"/>
        <w:left w:val="none" w:sz="0" w:space="0" w:color="auto"/>
        <w:bottom w:val="none" w:sz="0" w:space="0" w:color="auto"/>
        <w:right w:val="none" w:sz="0" w:space="0" w:color="auto"/>
      </w:divBdr>
    </w:div>
    <w:div w:id="961502533">
      <w:bodyDiv w:val="1"/>
      <w:marLeft w:val="0"/>
      <w:marRight w:val="0"/>
      <w:marTop w:val="0"/>
      <w:marBottom w:val="0"/>
      <w:divBdr>
        <w:top w:val="none" w:sz="0" w:space="0" w:color="auto"/>
        <w:left w:val="none" w:sz="0" w:space="0" w:color="auto"/>
        <w:bottom w:val="none" w:sz="0" w:space="0" w:color="auto"/>
        <w:right w:val="none" w:sz="0" w:space="0" w:color="auto"/>
      </w:divBdr>
    </w:div>
    <w:div w:id="961569316">
      <w:bodyDiv w:val="1"/>
      <w:marLeft w:val="0"/>
      <w:marRight w:val="0"/>
      <w:marTop w:val="0"/>
      <w:marBottom w:val="0"/>
      <w:divBdr>
        <w:top w:val="none" w:sz="0" w:space="0" w:color="auto"/>
        <w:left w:val="none" w:sz="0" w:space="0" w:color="auto"/>
        <w:bottom w:val="none" w:sz="0" w:space="0" w:color="auto"/>
        <w:right w:val="none" w:sz="0" w:space="0" w:color="auto"/>
      </w:divBdr>
    </w:div>
    <w:div w:id="961574896">
      <w:bodyDiv w:val="1"/>
      <w:marLeft w:val="0"/>
      <w:marRight w:val="0"/>
      <w:marTop w:val="0"/>
      <w:marBottom w:val="0"/>
      <w:divBdr>
        <w:top w:val="none" w:sz="0" w:space="0" w:color="auto"/>
        <w:left w:val="none" w:sz="0" w:space="0" w:color="auto"/>
        <w:bottom w:val="none" w:sz="0" w:space="0" w:color="auto"/>
        <w:right w:val="none" w:sz="0" w:space="0" w:color="auto"/>
      </w:divBdr>
    </w:div>
    <w:div w:id="961693035">
      <w:bodyDiv w:val="1"/>
      <w:marLeft w:val="0"/>
      <w:marRight w:val="0"/>
      <w:marTop w:val="0"/>
      <w:marBottom w:val="0"/>
      <w:divBdr>
        <w:top w:val="none" w:sz="0" w:space="0" w:color="auto"/>
        <w:left w:val="none" w:sz="0" w:space="0" w:color="auto"/>
        <w:bottom w:val="none" w:sz="0" w:space="0" w:color="auto"/>
        <w:right w:val="none" w:sz="0" w:space="0" w:color="auto"/>
      </w:divBdr>
    </w:div>
    <w:div w:id="961695388">
      <w:bodyDiv w:val="1"/>
      <w:marLeft w:val="0"/>
      <w:marRight w:val="0"/>
      <w:marTop w:val="0"/>
      <w:marBottom w:val="0"/>
      <w:divBdr>
        <w:top w:val="none" w:sz="0" w:space="0" w:color="auto"/>
        <w:left w:val="none" w:sz="0" w:space="0" w:color="auto"/>
        <w:bottom w:val="none" w:sz="0" w:space="0" w:color="auto"/>
        <w:right w:val="none" w:sz="0" w:space="0" w:color="auto"/>
      </w:divBdr>
    </w:div>
    <w:div w:id="961765538">
      <w:bodyDiv w:val="1"/>
      <w:marLeft w:val="0"/>
      <w:marRight w:val="0"/>
      <w:marTop w:val="0"/>
      <w:marBottom w:val="0"/>
      <w:divBdr>
        <w:top w:val="none" w:sz="0" w:space="0" w:color="auto"/>
        <w:left w:val="none" w:sz="0" w:space="0" w:color="auto"/>
        <w:bottom w:val="none" w:sz="0" w:space="0" w:color="auto"/>
        <w:right w:val="none" w:sz="0" w:space="0" w:color="auto"/>
      </w:divBdr>
    </w:div>
    <w:div w:id="961767717">
      <w:bodyDiv w:val="1"/>
      <w:marLeft w:val="0"/>
      <w:marRight w:val="0"/>
      <w:marTop w:val="0"/>
      <w:marBottom w:val="0"/>
      <w:divBdr>
        <w:top w:val="none" w:sz="0" w:space="0" w:color="auto"/>
        <w:left w:val="none" w:sz="0" w:space="0" w:color="auto"/>
        <w:bottom w:val="none" w:sz="0" w:space="0" w:color="auto"/>
        <w:right w:val="none" w:sz="0" w:space="0" w:color="auto"/>
      </w:divBdr>
    </w:div>
    <w:div w:id="961767872">
      <w:bodyDiv w:val="1"/>
      <w:marLeft w:val="0"/>
      <w:marRight w:val="0"/>
      <w:marTop w:val="0"/>
      <w:marBottom w:val="0"/>
      <w:divBdr>
        <w:top w:val="none" w:sz="0" w:space="0" w:color="auto"/>
        <w:left w:val="none" w:sz="0" w:space="0" w:color="auto"/>
        <w:bottom w:val="none" w:sz="0" w:space="0" w:color="auto"/>
        <w:right w:val="none" w:sz="0" w:space="0" w:color="auto"/>
      </w:divBdr>
    </w:div>
    <w:div w:id="961812589">
      <w:bodyDiv w:val="1"/>
      <w:marLeft w:val="0"/>
      <w:marRight w:val="0"/>
      <w:marTop w:val="0"/>
      <w:marBottom w:val="0"/>
      <w:divBdr>
        <w:top w:val="none" w:sz="0" w:space="0" w:color="auto"/>
        <w:left w:val="none" w:sz="0" w:space="0" w:color="auto"/>
        <w:bottom w:val="none" w:sz="0" w:space="0" w:color="auto"/>
        <w:right w:val="none" w:sz="0" w:space="0" w:color="auto"/>
      </w:divBdr>
    </w:div>
    <w:div w:id="961889054">
      <w:bodyDiv w:val="1"/>
      <w:marLeft w:val="0"/>
      <w:marRight w:val="0"/>
      <w:marTop w:val="0"/>
      <w:marBottom w:val="0"/>
      <w:divBdr>
        <w:top w:val="none" w:sz="0" w:space="0" w:color="auto"/>
        <w:left w:val="none" w:sz="0" w:space="0" w:color="auto"/>
        <w:bottom w:val="none" w:sz="0" w:space="0" w:color="auto"/>
        <w:right w:val="none" w:sz="0" w:space="0" w:color="auto"/>
      </w:divBdr>
    </w:div>
    <w:div w:id="961957191">
      <w:bodyDiv w:val="1"/>
      <w:marLeft w:val="0"/>
      <w:marRight w:val="0"/>
      <w:marTop w:val="0"/>
      <w:marBottom w:val="0"/>
      <w:divBdr>
        <w:top w:val="none" w:sz="0" w:space="0" w:color="auto"/>
        <w:left w:val="none" w:sz="0" w:space="0" w:color="auto"/>
        <w:bottom w:val="none" w:sz="0" w:space="0" w:color="auto"/>
        <w:right w:val="none" w:sz="0" w:space="0" w:color="auto"/>
      </w:divBdr>
    </w:div>
    <w:div w:id="962004252">
      <w:bodyDiv w:val="1"/>
      <w:marLeft w:val="0"/>
      <w:marRight w:val="0"/>
      <w:marTop w:val="0"/>
      <w:marBottom w:val="0"/>
      <w:divBdr>
        <w:top w:val="none" w:sz="0" w:space="0" w:color="auto"/>
        <w:left w:val="none" w:sz="0" w:space="0" w:color="auto"/>
        <w:bottom w:val="none" w:sz="0" w:space="0" w:color="auto"/>
        <w:right w:val="none" w:sz="0" w:space="0" w:color="auto"/>
      </w:divBdr>
    </w:div>
    <w:div w:id="962075033">
      <w:bodyDiv w:val="1"/>
      <w:marLeft w:val="0"/>
      <w:marRight w:val="0"/>
      <w:marTop w:val="0"/>
      <w:marBottom w:val="0"/>
      <w:divBdr>
        <w:top w:val="none" w:sz="0" w:space="0" w:color="auto"/>
        <w:left w:val="none" w:sz="0" w:space="0" w:color="auto"/>
        <w:bottom w:val="none" w:sz="0" w:space="0" w:color="auto"/>
        <w:right w:val="none" w:sz="0" w:space="0" w:color="auto"/>
      </w:divBdr>
    </w:div>
    <w:div w:id="962081793">
      <w:bodyDiv w:val="1"/>
      <w:marLeft w:val="0"/>
      <w:marRight w:val="0"/>
      <w:marTop w:val="0"/>
      <w:marBottom w:val="0"/>
      <w:divBdr>
        <w:top w:val="none" w:sz="0" w:space="0" w:color="auto"/>
        <w:left w:val="none" w:sz="0" w:space="0" w:color="auto"/>
        <w:bottom w:val="none" w:sz="0" w:space="0" w:color="auto"/>
        <w:right w:val="none" w:sz="0" w:space="0" w:color="auto"/>
      </w:divBdr>
    </w:div>
    <w:div w:id="962157330">
      <w:bodyDiv w:val="1"/>
      <w:marLeft w:val="0"/>
      <w:marRight w:val="0"/>
      <w:marTop w:val="0"/>
      <w:marBottom w:val="0"/>
      <w:divBdr>
        <w:top w:val="none" w:sz="0" w:space="0" w:color="auto"/>
        <w:left w:val="none" w:sz="0" w:space="0" w:color="auto"/>
        <w:bottom w:val="none" w:sz="0" w:space="0" w:color="auto"/>
        <w:right w:val="none" w:sz="0" w:space="0" w:color="auto"/>
      </w:divBdr>
    </w:div>
    <w:div w:id="962225219">
      <w:bodyDiv w:val="1"/>
      <w:marLeft w:val="0"/>
      <w:marRight w:val="0"/>
      <w:marTop w:val="0"/>
      <w:marBottom w:val="0"/>
      <w:divBdr>
        <w:top w:val="none" w:sz="0" w:space="0" w:color="auto"/>
        <w:left w:val="none" w:sz="0" w:space="0" w:color="auto"/>
        <w:bottom w:val="none" w:sz="0" w:space="0" w:color="auto"/>
        <w:right w:val="none" w:sz="0" w:space="0" w:color="auto"/>
      </w:divBdr>
    </w:div>
    <w:div w:id="962230017">
      <w:bodyDiv w:val="1"/>
      <w:marLeft w:val="0"/>
      <w:marRight w:val="0"/>
      <w:marTop w:val="0"/>
      <w:marBottom w:val="0"/>
      <w:divBdr>
        <w:top w:val="none" w:sz="0" w:space="0" w:color="auto"/>
        <w:left w:val="none" w:sz="0" w:space="0" w:color="auto"/>
        <w:bottom w:val="none" w:sz="0" w:space="0" w:color="auto"/>
        <w:right w:val="none" w:sz="0" w:space="0" w:color="auto"/>
      </w:divBdr>
    </w:div>
    <w:div w:id="962344914">
      <w:bodyDiv w:val="1"/>
      <w:marLeft w:val="0"/>
      <w:marRight w:val="0"/>
      <w:marTop w:val="0"/>
      <w:marBottom w:val="0"/>
      <w:divBdr>
        <w:top w:val="none" w:sz="0" w:space="0" w:color="auto"/>
        <w:left w:val="none" w:sz="0" w:space="0" w:color="auto"/>
        <w:bottom w:val="none" w:sz="0" w:space="0" w:color="auto"/>
        <w:right w:val="none" w:sz="0" w:space="0" w:color="auto"/>
      </w:divBdr>
    </w:div>
    <w:div w:id="962467444">
      <w:bodyDiv w:val="1"/>
      <w:marLeft w:val="0"/>
      <w:marRight w:val="0"/>
      <w:marTop w:val="0"/>
      <w:marBottom w:val="0"/>
      <w:divBdr>
        <w:top w:val="none" w:sz="0" w:space="0" w:color="auto"/>
        <w:left w:val="none" w:sz="0" w:space="0" w:color="auto"/>
        <w:bottom w:val="none" w:sz="0" w:space="0" w:color="auto"/>
        <w:right w:val="none" w:sz="0" w:space="0" w:color="auto"/>
      </w:divBdr>
    </w:div>
    <w:div w:id="962467602">
      <w:bodyDiv w:val="1"/>
      <w:marLeft w:val="0"/>
      <w:marRight w:val="0"/>
      <w:marTop w:val="0"/>
      <w:marBottom w:val="0"/>
      <w:divBdr>
        <w:top w:val="none" w:sz="0" w:space="0" w:color="auto"/>
        <w:left w:val="none" w:sz="0" w:space="0" w:color="auto"/>
        <w:bottom w:val="none" w:sz="0" w:space="0" w:color="auto"/>
        <w:right w:val="none" w:sz="0" w:space="0" w:color="auto"/>
      </w:divBdr>
    </w:div>
    <w:div w:id="962537618">
      <w:bodyDiv w:val="1"/>
      <w:marLeft w:val="0"/>
      <w:marRight w:val="0"/>
      <w:marTop w:val="0"/>
      <w:marBottom w:val="0"/>
      <w:divBdr>
        <w:top w:val="none" w:sz="0" w:space="0" w:color="auto"/>
        <w:left w:val="none" w:sz="0" w:space="0" w:color="auto"/>
        <w:bottom w:val="none" w:sz="0" w:space="0" w:color="auto"/>
        <w:right w:val="none" w:sz="0" w:space="0" w:color="auto"/>
      </w:divBdr>
    </w:div>
    <w:div w:id="962686590">
      <w:bodyDiv w:val="1"/>
      <w:marLeft w:val="0"/>
      <w:marRight w:val="0"/>
      <w:marTop w:val="0"/>
      <w:marBottom w:val="0"/>
      <w:divBdr>
        <w:top w:val="none" w:sz="0" w:space="0" w:color="auto"/>
        <w:left w:val="none" w:sz="0" w:space="0" w:color="auto"/>
        <w:bottom w:val="none" w:sz="0" w:space="0" w:color="auto"/>
        <w:right w:val="none" w:sz="0" w:space="0" w:color="auto"/>
      </w:divBdr>
    </w:div>
    <w:div w:id="962733948">
      <w:bodyDiv w:val="1"/>
      <w:marLeft w:val="0"/>
      <w:marRight w:val="0"/>
      <w:marTop w:val="0"/>
      <w:marBottom w:val="0"/>
      <w:divBdr>
        <w:top w:val="none" w:sz="0" w:space="0" w:color="auto"/>
        <w:left w:val="none" w:sz="0" w:space="0" w:color="auto"/>
        <w:bottom w:val="none" w:sz="0" w:space="0" w:color="auto"/>
        <w:right w:val="none" w:sz="0" w:space="0" w:color="auto"/>
      </w:divBdr>
    </w:div>
    <w:div w:id="963121797">
      <w:bodyDiv w:val="1"/>
      <w:marLeft w:val="0"/>
      <w:marRight w:val="0"/>
      <w:marTop w:val="0"/>
      <w:marBottom w:val="0"/>
      <w:divBdr>
        <w:top w:val="none" w:sz="0" w:space="0" w:color="auto"/>
        <w:left w:val="none" w:sz="0" w:space="0" w:color="auto"/>
        <w:bottom w:val="none" w:sz="0" w:space="0" w:color="auto"/>
        <w:right w:val="none" w:sz="0" w:space="0" w:color="auto"/>
      </w:divBdr>
    </w:div>
    <w:div w:id="963316121">
      <w:bodyDiv w:val="1"/>
      <w:marLeft w:val="0"/>
      <w:marRight w:val="0"/>
      <w:marTop w:val="0"/>
      <w:marBottom w:val="0"/>
      <w:divBdr>
        <w:top w:val="none" w:sz="0" w:space="0" w:color="auto"/>
        <w:left w:val="none" w:sz="0" w:space="0" w:color="auto"/>
        <w:bottom w:val="none" w:sz="0" w:space="0" w:color="auto"/>
        <w:right w:val="none" w:sz="0" w:space="0" w:color="auto"/>
      </w:divBdr>
    </w:div>
    <w:div w:id="963387019">
      <w:bodyDiv w:val="1"/>
      <w:marLeft w:val="0"/>
      <w:marRight w:val="0"/>
      <w:marTop w:val="0"/>
      <w:marBottom w:val="0"/>
      <w:divBdr>
        <w:top w:val="none" w:sz="0" w:space="0" w:color="auto"/>
        <w:left w:val="none" w:sz="0" w:space="0" w:color="auto"/>
        <w:bottom w:val="none" w:sz="0" w:space="0" w:color="auto"/>
        <w:right w:val="none" w:sz="0" w:space="0" w:color="auto"/>
      </w:divBdr>
    </w:div>
    <w:div w:id="963537934">
      <w:bodyDiv w:val="1"/>
      <w:marLeft w:val="0"/>
      <w:marRight w:val="0"/>
      <w:marTop w:val="0"/>
      <w:marBottom w:val="0"/>
      <w:divBdr>
        <w:top w:val="none" w:sz="0" w:space="0" w:color="auto"/>
        <w:left w:val="none" w:sz="0" w:space="0" w:color="auto"/>
        <w:bottom w:val="none" w:sz="0" w:space="0" w:color="auto"/>
        <w:right w:val="none" w:sz="0" w:space="0" w:color="auto"/>
      </w:divBdr>
    </w:div>
    <w:div w:id="963582447">
      <w:bodyDiv w:val="1"/>
      <w:marLeft w:val="0"/>
      <w:marRight w:val="0"/>
      <w:marTop w:val="0"/>
      <w:marBottom w:val="0"/>
      <w:divBdr>
        <w:top w:val="none" w:sz="0" w:space="0" w:color="auto"/>
        <w:left w:val="none" w:sz="0" w:space="0" w:color="auto"/>
        <w:bottom w:val="none" w:sz="0" w:space="0" w:color="auto"/>
        <w:right w:val="none" w:sz="0" w:space="0" w:color="auto"/>
      </w:divBdr>
    </w:div>
    <w:div w:id="963654879">
      <w:bodyDiv w:val="1"/>
      <w:marLeft w:val="0"/>
      <w:marRight w:val="0"/>
      <w:marTop w:val="0"/>
      <w:marBottom w:val="0"/>
      <w:divBdr>
        <w:top w:val="none" w:sz="0" w:space="0" w:color="auto"/>
        <w:left w:val="none" w:sz="0" w:space="0" w:color="auto"/>
        <w:bottom w:val="none" w:sz="0" w:space="0" w:color="auto"/>
        <w:right w:val="none" w:sz="0" w:space="0" w:color="auto"/>
      </w:divBdr>
    </w:div>
    <w:div w:id="963846038">
      <w:bodyDiv w:val="1"/>
      <w:marLeft w:val="0"/>
      <w:marRight w:val="0"/>
      <w:marTop w:val="0"/>
      <w:marBottom w:val="0"/>
      <w:divBdr>
        <w:top w:val="none" w:sz="0" w:space="0" w:color="auto"/>
        <w:left w:val="none" w:sz="0" w:space="0" w:color="auto"/>
        <w:bottom w:val="none" w:sz="0" w:space="0" w:color="auto"/>
        <w:right w:val="none" w:sz="0" w:space="0" w:color="auto"/>
      </w:divBdr>
    </w:div>
    <w:div w:id="963849775">
      <w:bodyDiv w:val="1"/>
      <w:marLeft w:val="0"/>
      <w:marRight w:val="0"/>
      <w:marTop w:val="0"/>
      <w:marBottom w:val="0"/>
      <w:divBdr>
        <w:top w:val="none" w:sz="0" w:space="0" w:color="auto"/>
        <w:left w:val="none" w:sz="0" w:space="0" w:color="auto"/>
        <w:bottom w:val="none" w:sz="0" w:space="0" w:color="auto"/>
        <w:right w:val="none" w:sz="0" w:space="0" w:color="auto"/>
      </w:divBdr>
    </w:div>
    <w:div w:id="963928044">
      <w:bodyDiv w:val="1"/>
      <w:marLeft w:val="0"/>
      <w:marRight w:val="0"/>
      <w:marTop w:val="0"/>
      <w:marBottom w:val="0"/>
      <w:divBdr>
        <w:top w:val="none" w:sz="0" w:space="0" w:color="auto"/>
        <w:left w:val="none" w:sz="0" w:space="0" w:color="auto"/>
        <w:bottom w:val="none" w:sz="0" w:space="0" w:color="auto"/>
        <w:right w:val="none" w:sz="0" w:space="0" w:color="auto"/>
      </w:divBdr>
    </w:div>
    <w:div w:id="963997359">
      <w:bodyDiv w:val="1"/>
      <w:marLeft w:val="0"/>
      <w:marRight w:val="0"/>
      <w:marTop w:val="0"/>
      <w:marBottom w:val="0"/>
      <w:divBdr>
        <w:top w:val="none" w:sz="0" w:space="0" w:color="auto"/>
        <w:left w:val="none" w:sz="0" w:space="0" w:color="auto"/>
        <w:bottom w:val="none" w:sz="0" w:space="0" w:color="auto"/>
        <w:right w:val="none" w:sz="0" w:space="0" w:color="auto"/>
      </w:divBdr>
    </w:div>
    <w:div w:id="963997718">
      <w:bodyDiv w:val="1"/>
      <w:marLeft w:val="0"/>
      <w:marRight w:val="0"/>
      <w:marTop w:val="0"/>
      <w:marBottom w:val="0"/>
      <w:divBdr>
        <w:top w:val="none" w:sz="0" w:space="0" w:color="auto"/>
        <w:left w:val="none" w:sz="0" w:space="0" w:color="auto"/>
        <w:bottom w:val="none" w:sz="0" w:space="0" w:color="auto"/>
        <w:right w:val="none" w:sz="0" w:space="0" w:color="auto"/>
      </w:divBdr>
    </w:div>
    <w:div w:id="964122402">
      <w:bodyDiv w:val="1"/>
      <w:marLeft w:val="0"/>
      <w:marRight w:val="0"/>
      <w:marTop w:val="0"/>
      <w:marBottom w:val="0"/>
      <w:divBdr>
        <w:top w:val="none" w:sz="0" w:space="0" w:color="auto"/>
        <w:left w:val="none" w:sz="0" w:space="0" w:color="auto"/>
        <w:bottom w:val="none" w:sz="0" w:space="0" w:color="auto"/>
        <w:right w:val="none" w:sz="0" w:space="0" w:color="auto"/>
      </w:divBdr>
    </w:div>
    <w:div w:id="964190162">
      <w:bodyDiv w:val="1"/>
      <w:marLeft w:val="0"/>
      <w:marRight w:val="0"/>
      <w:marTop w:val="0"/>
      <w:marBottom w:val="0"/>
      <w:divBdr>
        <w:top w:val="none" w:sz="0" w:space="0" w:color="auto"/>
        <w:left w:val="none" w:sz="0" w:space="0" w:color="auto"/>
        <w:bottom w:val="none" w:sz="0" w:space="0" w:color="auto"/>
        <w:right w:val="none" w:sz="0" w:space="0" w:color="auto"/>
      </w:divBdr>
    </w:div>
    <w:div w:id="964195587">
      <w:bodyDiv w:val="1"/>
      <w:marLeft w:val="0"/>
      <w:marRight w:val="0"/>
      <w:marTop w:val="0"/>
      <w:marBottom w:val="0"/>
      <w:divBdr>
        <w:top w:val="none" w:sz="0" w:space="0" w:color="auto"/>
        <w:left w:val="none" w:sz="0" w:space="0" w:color="auto"/>
        <w:bottom w:val="none" w:sz="0" w:space="0" w:color="auto"/>
        <w:right w:val="none" w:sz="0" w:space="0" w:color="auto"/>
      </w:divBdr>
    </w:div>
    <w:div w:id="964237554">
      <w:bodyDiv w:val="1"/>
      <w:marLeft w:val="0"/>
      <w:marRight w:val="0"/>
      <w:marTop w:val="0"/>
      <w:marBottom w:val="0"/>
      <w:divBdr>
        <w:top w:val="none" w:sz="0" w:space="0" w:color="auto"/>
        <w:left w:val="none" w:sz="0" w:space="0" w:color="auto"/>
        <w:bottom w:val="none" w:sz="0" w:space="0" w:color="auto"/>
        <w:right w:val="none" w:sz="0" w:space="0" w:color="auto"/>
      </w:divBdr>
    </w:div>
    <w:div w:id="964310344">
      <w:bodyDiv w:val="1"/>
      <w:marLeft w:val="0"/>
      <w:marRight w:val="0"/>
      <w:marTop w:val="0"/>
      <w:marBottom w:val="0"/>
      <w:divBdr>
        <w:top w:val="none" w:sz="0" w:space="0" w:color="auto"/>
        <w:left w:val="none" w:sz="0" w:space="0" w:color="auto"/>
        <w:bottom w:val="none" w:sz="0" w:space="0" w:color="auto"/>
        <w:right w:val="none" w:sz="0" w:space="0" w:color="auto"/>
      </w:divBdr>
    </w:div>
    <w:div w:id="964383052">
      <w:bodyDiv w:val="1"/>
      <w:marLeft w:val="0"/>
      <w:marRight w:val="0"/>
      <w:marTop w:val="0"/>
      <w:marBottom w:val="0"/>
      <w:divBdr>
        <w:top w:val="none" w:sz="0" w:space="0" w:color="auto"/>
        <w:left w:val="none" w:sz="0" w:space="0" w:color="auto"/>
        <w:bottom w:val="none" w:sz="0" w:space="0" w:color="auto"/>
        <w:right w:val="none" w:sz="0" w:space="0" w:color="auto"/>
      </w:divBdr>
    </w:div>
    <w:div w:id="964431788">
      <w:bodyDiv w:val="1"/>
      <w:marLeft w:val="0"/>
      <w:marRight w:val="0"/>
      <w:marTop w:val="0"/>
      <w:marBottom w:val="0"/>
      <w:divBdr>
        <w:top w:val="none" w:sz="0" w:space="0" w:color="auto"/>
        <w:left w:val="none" w:sz="0" w:space="0" w:color="auto"/>
        <w:bottom w:val="none" w:sz="0" w:space="0" w:color="auto"/>
        <w:right w:val="none" w:sz="0" w:space="0" w:color="auto"/>
      </w:divBdr>
    </w:div>
    <w:div w:id="964503812">
      <w:bodyDiv w:val="1"/>
      <w:marLeft w:val="0"/>
      <w:marRight w:val="0"/>
      <w:marTop w:val="0"/>
      <w:marBottom w:val="0"/>
      <w:divBdr>
        <w:top w:val="none" w:sz="0" w:space="0" w:color="auto"/>
        <w:left w:val="none" w:sz="0" w:space="0" w:color="auto"/>
        <w:bottom w:val="none" w:sz="0" w:space="0" w:color="auto"/>
        <w:right w:val="none" w:sz="0" w:space="0" w:color="auto"/>
      </w:divBdr>
    </w:div>
    <w:div w:id="964508163">
      <w:bodyDiv w:val="1"/>
      <w:marLeft w:val="0"/>
      <w:marRight w:val="0"/>
      <w:marTop w:val="0"/>
      <w:marBottom w:val="0"/>
      <w:divBdr>
        <w:top w:val="none" w:sz="0" w:space="0" w:color="auto"/>
        <w:left w:val="none" w:sz="0" w:space="0" w:color="auto"/>
        <w:bottom w:val="none" w:sz="0" w:space="0" w:color="auto"/>
        <w:right w:val="none" w:sz="0" w:space="0" w:color="auto"/>
      </w:divBdr>
    </w:div>
    <w:div w:id="964508981">
      <w:bodyDiv w:val="1"/>
      <w:marLeft w:val="0"/>
      <w:marRight w:val="0"/>
      <w:marTop w:val="0"/>
      <w:marBottom w:val="0"/>
      <w:divBdr>
        <w:top w:val="none" w:sz="0" w:space="0" w:color="auto"/>
        <w:left w:val="none" w:sz="0" w:space="0" w:color="auto"/>
        <w:bottom w:val="none" w:sz="0" w:space="0" w:color="auto"/>
        <w:right w:val="none" w:sz="0" w:space="0" w:color="auto"/>
      </w:divBdr>
    </w:div>
    <w:div w:id="964626354">
      <w:bodyDiv w:val="1"/>
      <w:marLeft w:val="0"/>
      <w:marRight w:val="0"/>
      <w:marTop w:val="0"/>
      <w:marBottom w:val="0"/>
      <w:divBdr>
        <w:top w:val="none" w:sz="0" w:space="0" w:color="auto"/>
        <w:left w:val="none" w:sz="0" w:space="0" w:color="auto"/>
        <w:bottom w:val="none" w:sz="0" w:space="0" w:color="auto"/>
        <w:right w:val="none" w:sz="0" w:space="0" w:color="auto"/>
      </w:divBdr>
    </w:div>
    <w:div w:id="964652434">
      <w:bodyDiv w:val="1"/>
      <w:marLeft w:val="0"/>
      <w:marRight w:val="0"/>
      <w:marTop w:val="0"/>
      <w:marBottom w:val="0"/>
      <w:divBdr>
        <w:top w:val="none" w:sz="0" w:space="0" w:color="auto"/>
        <w:left w:val="none" w:sz="0" w:space="0" w:color="auto"/>
        <w:bottom w:val="none" w:sz="0" w:space="0" w:color="auto"/>
        <w:right w:val="none" w:sz="0" w:space="0" w:color="auto"/>
      </w:divBdr>
    </w:div>
    <w:div w:id="964769364">
      <w:bodyDiv w:val="1"/>
      <w:marLeft w:val="0"/>
      <w:marRight w:val="0"/>
      <w:marTop w:val="0"/>
      <w:marBottom w:val="0"/>
      <w:divBdr>
        <w:top w:val="none" w:sz="0" w:space="0" w:color="auto"/>
        <w:left w:val="none" w:sz="0" w:space="0" w:color="auto"/>
        <w:bottom w:val="none" w:sz="0" w:space="0" w:color="auto"/>
        <w:right w:val="none" w:sz="0" w:space="0" w:color="auto"/>
      </w:divBdr>
    </w:div>
    <w:div w:id="964887423">
      <w:bodyDiv w:val="1"/>
      <w:marLeft w:val="0"/>
      <w:marRight w:val="0"/>
      <w:marTop w:val="0"/>
      <w:marBottom w:val="0"/>
      <w:divBdr>
        <w:top w:val="none" w:sz="0" w:space="0" w:color="auto"/>
        <w:left w:val="none" w:sz="0" w:space="0" w:color="auto"/>
        <w:bottom w:val="none" w:sz="0" w:space="0" w:color="auto"/>
        <w:right w:val="none" w:sz="0" w:space="0" w:color="auto"/>
      </w:divBdr>
    </w:div>
    <w:div w:id="964970068">
      <w:bodyDiv w:val="1"/>
      <w:marLeft w:val="0"/>
      <w:marRight w:val="0"/>
      <w:marTop w:val="0"/>
      <w:marBottom w:val="0"/>
      <w:divBdr>
        <w:top w:val="none" w:sz="0" w:space="0" w:color="auto"/>
        <w:left w:val="none" w:sz="0" w:space="0" w:color="auto"/>
        <w:bottom w:val="none" w:sz="0" w:space="0" w:color="auto"/>
        <w:right w:val="none" w:sz="0" w:space="0" w:color="auto"/>
      </w:divBdr>
    </w:div>
    <w:div w:id="965086185">
      <w:bodyDiv w:val="1"/>
      <w:marLeft w:val="0"/>
      <w:marRight w:val="0"/>
      <w:marTop w:val="0"/>
      <w:marBottom w:val="0"/>
      <w:divBdr>
        <w:top w:val="none" w:sz="0" w:space="0" w:color="auto"/>
        <w:left w:val="none" w:sz="0" w:space="0" w:color="auto"/>
        <w:bottom w:val="none" w:sz="0" w:space="0" w:color="auto"/>
        <w:right w:val="none" w:sz="0" w:space="0" w:color="auto"/>
      </w:divBdr>
    </w:div>
    <w:div w:id="965113842">
      <w:bodyDiv w:val="1"/>
      <w:marLeft w:val="0"/>
      <w:marRight w:val="0"/>
      <w:marTop w:val="0"/>
      <w:marBottom w:val="0"/>
      <w:divBdr>
        <w:top w:val="none" w:sz="0" w:space="0" w:color="auto"/>
        <w:left w:val="none" w:sz="0" w:space="0" w:color="auto"/>
        <w:bottom w:val="none" w:sz="0" w:space="0" w:color="auto"/>
        <w:right w:val="none" w:sz="0" w:space="0" w:color="auto"/>
      </w:divBdr>
    </w:div>
    <w:div w:id="965114704">
      <w:bodyDiv w:val="1"/>
      <w:marLeft w:val="0"/>
      <w:marRight w:val="0"/>
      <w:marTop w:val="0"/>
      <w:marBottom w:val="0"/>
      <w:divBdr>
        <w:top w:val="none" w:sz="0" w:space="0" w:color="auto"/>
        <w:left w:val="none" w:sz="0" w:space="0" w:color="auto"/>
        <w:bottom w:val="none" w:sz="0" w:space="0" w:color="auto"/>
        <w:right w:val="none" w:sz="0" w:space="0" w:color="auto"/>
      </w:divBdr>
    </w:div>
    <w:div w:id="965236900">
      <w:bodyDiv w:val="1"/>
      <w:marLeft w:val="0"/>
      <w:marRight w:val="0"/>
      <w:marTop w:val="0"/>
      <w:marBottom w:val="0"/>
      <w:divBdr>
        <w:top w:val="none" w:sz="0" w:space="0" w:color="auto"/>
        <w:left w:val="none" w:sz="0" w:space="0" w:color="auto"/>
        <w:bottom w:val="none" w:sz="0" w:space="0" w:color="auto"/>
        <w:right w:val="none" w:sz="0" w:space="0" w:color="auto"/>
      </w:divBdr>
    </w:div>
    <w:div w:id="965353387">
      <w:bodyDiv w:val="1"/>
      <w:marLeft w:val="0"/>
      <w:marRight w:val="0"/>
      <w:marTop w:val="0"/>
      <w:marBottom w:val="0"/>
      <w:divBdr>
        <w:top w:val="none" w:sz="0" w:space="0" w:color="auto"/>
        <w:left w:val="none" w:sz="0" w:space="0" w:color="auto"/>
        <w:bottom w:val="none" w:sz="0" w:space="0" w:color="auto"/>
        <w:right w:val="none" w:sz="0" w:space="0" w:color="auto"/>
      </w:divBdr>
    </w:div>
    <w:div w:id="965353511">
      <w:bodyDiv w:val="1"/>
      <w:marLeft w:val="0"/>
      <w:marRight w:val="0"/>
      <w:marTop w:val="0"/>
      <w:marBottom w:val="0"/>
      <w:divBdr>
        <w:top w:val="none" w:sz="0" w:space="0" w:color="auto"/>
        <w:left w:val="none" w:sz="0" w:space="0" w:color="auto"/>
        <w:bottom w:val="none" w:sz="0" w:space="0" w:color="auto"/>
        <w:right w:val="none" w:sz="0" w:space="0" w:color="auto"/>
      </w:divBdr>
    </w:div>
    <w:div w:id="965500312">
      <w:bodyDiv w:val="1"/>
      <w:marLeft w:val="0"/>
      <w:marRight w:val="0"/>
      <w:marTop w:val="0"/>
      <w:marBottom w:val="0"/>
      <w:divBdr>
        <w:top w:val="none" w:sz="0" w:space="0" w:color="auto"/>
        <w:left w:val="none" w:sz="0" w:space="0" w:color="auto"/>
        <w:bottom w:val="none" w:sz="0" w:space="0" w:color="auto"/>
        <w:right w:val="none" w:sz="0" w:space="0" w:color="auto"/>
      </w:divBdr>
    </w:div>
    <w:div w:id="965501729">
      <w:bodyDiv w:val="1"/>
      <w:marLeft w:val="0"/>
      <w:marRight w:val="0"/>
      <w:marTop w:val="0"/>
      <w:marBottom w:val="0"/>
      <w:divBdr>
        <w:top w:val="none" w:sz="0" w:space="0" w:color="auto"/>
        <w:left w:val="none" w:sz="0" w:space="0" w:color="auto"/>
        <w:bottom w:val="none" w:sz="0" w:space="0" w:color="auto"/>
        <w:right w:val="none" w:sz="0" w:space="0" w:color="auto"/>
      </w:divBdr>
    </w:div>
    <w:div w:id="965693772">
      <w:bodyDiv w:val="1"/>
      <w:marLeft w:val="0"/>
      <w:marRight w:val="0"/>
      <w:marTop w:val="0"/>
      <w:marBottom w:val="0"/>
      <w:divBdr>
        <w:top w:val="none" w:sz="0" w:space="0" w:color="auto"/>
        <w:left w:val="none" w:sz="0" w:space="0" w:color="auto"/>
        <w:bottom w:val="none" w:sz="0" w:space="0" w:color="auto"/>
        <w:right w:val="none" w:sz="0" w:space="0" w:color="auto"/>
      </w:divBdr>
    </w:div>
    <w:div w:id="965699689">
      <w:bodyDiv w:val="1"/>
      <w:marLeft w:val="0"/>
      <w:marRight w:val="0"/>
      <w:marTop w:val="0"/>
      <w:marBottom w:val="0"/>
      <w:divBdr>
        <w:top w:val="none" w:sz="0" w:space="0" w:color="auto"/>
        <w:left w:val="none" w:sz="0" w:space="0" w:color="auto"/>
        <w:bottom w:val="none" w:sz="0" w:space="0" w:color="auto"/>
        <w:right w:val="none" w:sz="0" w:space="0" w:color="auto"/>
      </w:divBdr>
    </w:div>
    <w:div w:id="965743196">
      <w:bodyDiv w:val="1"/>
      <w:marLeft w:val="0"/>
      <w:marRight w:val="0"/>
      <w:marTop w:val="0"/>
      <w:marBottom w:val="0"/>
      <w:divBdr>
        <w:top w:val="none" w:sz="0" w:space="0" w:color="auto"/>
        <w:left w:val="none" w:sz="0" w:space="0" w:color="auto"/>
        <w:bottom w:val="none" w:sz="0" w:space="0" w:color="auto"/>
        <w:right w:val="none" w:sz="0" w:space="0" w:color="auto"/>
      </w:divBdr>
    </w:div>
    <w:div w:id="965743585">
      <w:bodyDiv w:val="1"/>
      <w:marLeft w:val="0"/>
      <w:marRight w:val="0"/>
      <w:marTop w:val="0"/>
      <w:marBottom w:val="0"/>
      <w:divBdr>
        <w:top w:val="none" w:sz="0" w:space="0" w:color="auto"/>
        <w:left w:val="none" w:sz="0" w:space="0" w:color="auto"/>
        <w:bottom w:val="none" w:sz="0" w:space="0" w:color="auto"/>
        <w:right w:val="none" w:sz="0" w:space="0" w:color="auto"/>
      </w:divBdr>
    </w:div>
    <w:div w:id="965813608">
      <w:bodyDiv w:val="1"/>
      <w:marLeft w:val="0"/>
      <w:marRight w:val="0"/>
      <w:marTop w:val="0"/>
      <w:marBottom w:val="0"/>
      <w:divBdr>
        <w:top w:val="none" w:sz="0" w:space="0" w:color="auto"/>
        <w:left w:val="none" w:sz="0" w:space="0" w:color="auto"/>
        <w:bottom w:val="none" w:sz="0" w:space="0" w:color="auto"/>
        <w:right w:val="none" w:sz="0" w:space="0" w:color="auto"/>
      </w:divBdr>
    </w:div>
    <w:div w:id="966081442">
      <w:bodyDiv w:val="1"/>
      <w:marLeft w:val="0"/>
      <w:marRight w:val="0"/>
      <w:marTop w:val="0"/>
      <w:marBottom w:val="0"/>
      <w:divBdr>
        <w:top w:val="none" w:sz="0" w:space="0" w:color="auto"/>
        <w:left w:val="none" w:sz="0" w:space="0" w:color="auto"/>
        <w:bottom w:val="none" w:sz="0" w:space="0" w:color="auto"/>
        <w:right w:val="none" w:sz="0" w:space="0" w:color="auto"/>
      </w:divBdr>
    </w:div>
    <w:div w:id="966157373">
      <w:bodyDiv w:val="1"/>
      <w:marLeft w:val="0"/>
      <w:marRight w:val="0"/>
      <w:marTop w:val="0"/>
      <w:marBottom w:val="0"/>
      <w:divBdr>
        <w:top w:val="none" w:sz="0" w:space="0" w:color="auto"/>
        <w:left w:val="none" w:sz="0" w:space="0" w:color="auto"/>
        <w:bottom w:val="none" w:sz="0" w:space="0" w:color="auto"/>
        <w:right w:val="none" w:sz="0" w:space="0" w:color="auto"/>
      </w:divBdr>
    </w:div>
    <w:div w:id="966164459">
      <w:bodyDiv w:val="1"/>
      <w:marLeft w:val="0"/>
      <w:marRight w:val="0"/>
      <w:marTop w:val="0"/>
      <w:marBottom w:val="0"/>
      <w:divBdr>
        <w:top w:val="none" w:sz="0" w:space="0" w:color="auto"/>
        <w:left w:val="none" w:sz="0" w:space="0" w:color="auto"/>
        <w:bottom w:val="none" w:sz="0" w:space="0" w:color="auto"/>
        <w:right w:val="none" w:sz="0" w:space="0" w:color="auto"/>
      </w:divBdr>
    </w:div>
    <w:div w:id="966199321">
      <w:bodyDiv w:val="1"/>
      <w:marLeft w:val="0"/>
      <w:marRight w:val="0"/>
      <w:marTop w:val="0"/>
      <w:marBottom w:val="0"/>
      <w:divBdr>
        <w:top w:val="none" w:sz="0" w:space="0" w:color="auto"/>
        <w:left w:val="none" w:sz="0" w:space="0" w:color="auto"/>
        <w:bottom w:val="none" w:sz="0" w:space="0" w:color="auto"/>
        <w:right w:val="none" w:sz="0" w:space="0" w:color="auto"/>
      </w:divBdr>
    </w:div>
    <w:div w:id="966354743">
      <w:bodyDiv w:val="1"/>
      <w:marLeft w:val="0"/>
      <w:marRight w:val="0"/>
      <w:marTop w:val="0"/>
      <w:marBottom w:val="0"/>
      <w:divBdr>
        <w:top w:val="none" w:sz="0" w:space="0" w:color="auto"/>
        <w:left w:val="none" w:sz="0" w:space="0" w:color="auto"/>
        <w:bottom w:val="none" w:sz="0" w:space="0" w:color="auto"/>
        <w:right w:val="none" w:sz="0" w:space="0" w:color="auto"/>
      </w:divBdr>
    </w:div>
    <w:div w:id="966473513">
      <w:bodyDiv w:val="1"/>
      <w:marLeft w:val="0"/>
      <w:marRight w:val="0"/>
      <w:marTop w:val="0"/>
      <w:marBottom w:val="0"/>
      <w:divBdr>
        <w:top w:val="none" w:sz="0" w:space="0" w:color="auto"/>
        <w:left w:val="none" w:sz="0" w:space="0" w:color="auto"/>
        <w:bottom w:val="none" w:sz="0" w:space="0" w:color="auto"/>
        <w:right w:val="none" w:sz="0" w:space="0" w:color="auto"/>
      </w:divBdr>
    </w:div>
    <w:div w:id="966474646">
      <w:bodyDiv w:val="1"/>
      <w:marLeft w:val="0"/>
      <w:marRight w:val="0"/>
      <w:marTop w:val="0"/>
      <w:marBottom w:val="0"/>
      <w:divBdr>
        <w:top w:val="none" w:sz="0" w:space="0" w:color="auto"/>
        <w:left w:val="none" w:sz="0" w:space="0" w:color="auto"/>
        <w:bottom w:val="none" w:sz="0" w:space="0" w:color="auto"/>
        <w:right w:val="none" w:sz="0" w:space="0" w:color="auto"/>
      </w:divBdr>
    </w:div>
    <w:div w:id="966665842">
      <w:bodyDiv w:val="1"/>
      <w:marLeft w:val="0"/>
      <w:marRight w:val="0"/>
      <w:marTop w:val="0"/>
      <w:marBottom w:val="0"/>
      <w:divBdr>
        <w:top w:val="none" w:sz="0" w:space="0" w:color="auto"/>
        <w:left w:val="none" w:sz="0" w:space="0" w:color="auto"/>
        <w:bottom w:val="none" w:sz="0" w:space="0" w:color="auto"/>
        <w:right w:val="none" w:sz="0" w:space="0" w:color="auto"/>
      </w:divBdr>
    </w:div>
    <w:div w:id="966667403">
      <w:bodyDiv w:val="1"/>
      <w:marLeft w:val="0"/>
      <w:marRight w:val="0"/>
      <w:marTop w:val="0"/>
      <w:marBottom w:val="0"/>
      <w:divBdr>
        <w:top w:val="none" w:sz="0" w:space="0" w:color="auto"/>
        <w:left w:val="none" w:sz="0" w:space="0" w:color="auto"/>
        <w:bottom w:val="none" w:sz="0" w:space="0" w:color="auto"/>
        <w:right w:val="none" w:sz="0" w:space="0" w:color="auto"/>
      </w:divBdr>
    </w:div>
    <w:div w:id="966736523">
      <w:bodyDiv w:val="1"/>
      <w:marLeft w:val="0"/>
      <w:marRight w:val="0"/>
      <w:marTop w:val="0"/>
      <w:marBottom w:val="0"/>
      <w:divBdr>
        <w:top w:val="none" w:sz="0" w:space="0" w:color="auto"/>
        <w:left w:val="none" w:sz="0" w:space="0" w:color="auto"/>
        <w:bottom w:val="none" w:sz="0" w:space="0" w:color="auto"/>
        <w:right w:val="none" w:sz="0" w:space="0" w:color="auto"/>
      </w:divBdr>
    </w:div>
    <w:div w:id="966857663">
      <w:bodyDiv w:val="1"/>
      <w:marLeft w:val="0"/>
      <w:marRight w:val="0"/>
      <w:marTop w:val="0"/>
      <w:marBottom w:val="0"/>
      <w:divBdr>
        <w:top w:val="none" w:sz="0" w:space="0" w:color="auto"/>
        <w:left w:val="none" w:sz="0" w:space="0" w:color="auto"/>
        <w:bottom w:val="none" w:sz="0" w:space="0" w:color="auto"/>
        <w:right w:val="none" w:sz="0" w:space="0" w:color="auto"/>
      </w:divBdr>
    </w:div>
    <w:div w:id="966857855">
      <w:bodyDiv w:val="1"/>
      <w:marLeft w:val="0"/>
      <w:marRight w:val="0"/>
      <w:marTop w:val="0"/>
      <w:marBottom w:val="0"/>
      <w:divBdr>
        <w:top w:val="none" w:sz="0" w:space="0" w:color="auto"/>
        <w:left w:val="none" w:sz="0" w:space="0" w:color="auto"/>
        <w:bottom w:val="none" w:sz="0" w:space="0" w:color="auto"/>
        <w:right w:val="none" w:sz="0" w:space="0" w:color="auto"/>
      </w:divBdr>
    </w:div>
    <w:div w:id="966933059">
      <w:bodyDiv w:val="1"/>
      <w:marLeft w:val="0"/>
      <w:marRight w:val="0"/>
      <w:marTop w:val="0"/>
      <w:marBottom w:val="0"/>
      <w:divBdr>
        <w:top w:val="none" w:sz="0" w:space="0" w:color="auto"/>
        <w:left w:val="none" w:sz="0" w:space="0" w:color="auto"/>
        <w:bottom w:val="none" w:sz="0" w:space="0" w:color="auto"/>
        <w:right w:val="none" w:sz="0" w:space="0" w:color="auto"/>
      </w:divBdr>
    </w:div>
    <w:div w:id="966934152">
      <w:bodyDiv w:val="1"/>
      <w:marLeft w:val="0"/>
      <w:marRight w:val="0"/>
      <w:marTop w:val="0"/>
      <w:marBottom w:val="0"/>
      <w:divBdr>
        <w:top w:val="none" w:sz="0" w:space="0" w:color="auto"/>
        <w:left w:val="none" w:sz="0" w:space="0" w:color="auto"/>
        <w:bottom w:val="none" w:sz="0" w:space="0" w:color="auto"/>
        <w:right w:val="none" w:sz="0" w:space="0" w:color="auto"/>
      </w:divBdr>
    </w:div>
    <w:div w:id="967055666">
      <w:bodyDiv w:val="1"/>
      <w:marLeft w:val="0"/>
      <w:marRight w:val="0"/>
      <w:marTop w:val="0"/>
      <w:marBottom w:val="0"/>
      <w:divBdr>
        <w:top w:val="none" w:sz="0" w:space="0" w:color="auto"/>
        <w:left w:val="none" w:sz="0" w:space="0" w:color="auto"/>
        <w:bottom w:val="none" w:sz="0" w:space="0" w:color="auto"/>
        <w:right w:val="none" w:sz="0" w:space="0" w:color="auto"/>
      </w:divBdr>
    </w:div>
    <w:div w:id="967130842">
      <w:bodyDiv w:val="1"/>
      <w:marLeft w:val="0"/>
      <w:marRight w:val="0"/>
      <w:marTop w:val="0"/>
      <w:marBottom w:val="0"/>
      <w:divBdr>
        <w:top w:val="none" w:sz="0" w:space="0" w:color="auto"/>
        <w:left w:val="none" w:sz="0" w:space="0" w:color="auto"/>
        <w:bottom w:val="none" w:sz="0" w:space="0" w:color="auto"/>
        <w:right w:val="none" w:sz="0" w:space="0" w:color="auto"/>
      </w:divBdr>
    </w:div>
    <w:div w:id="967199589">
      <w:bodyDiv w:val="1"/>
      <w:marLeft w:val="0"/>
      <w:marRight w:val="0"/>
      <w:marTop w:val="0"/>
      <w:marBottom w:val="0"/>
      <w:divBdr>
        <w:top w:val="none" w:sz="0" w:space="0" w:color="auto"/>
        <w:left w:val="none" w:sz="0" w:space="0" w:color="auto"/>
        <w:bottom w:val="none" w:sz="0" w:space="0" w:color="auto"/>
        <w:right w:val="none" w:sz="0" w:space="0" w:color="auto"/>
      </w:divBdr>
    </w:div>
    <w:div w:id="967392436">
      <w:bodyDiv w:val="1"/>
      <w:marLeft w:val="0"/>
      <w:marRight w:val="0"/>
      <w:marTop w:val="0"/>
      <w:marBottom w:val="0"/>
      <w:divBdr>
        <w:top w:val="none" w:sz="0" w:space="0" w:color="auto"/>
        <w:left w:val="none" w:sz="0" w:space="0" w:color="auto"/>
        <w:bottom w:val="none" w:sz="0" w:space="0" w:color="auto"/>
        <w:right w:val="none" w:sz="0" w:space="0" w:color="auto"/>
      </w:divBdr>
    </w:div>
    <w:div w:id="967397583">
      <w:bodyDiv w:val="1"/>
      <w:marLeft w:val="0"/>
      <w:marRight w:val="0"/>
      <w:marTop w:val="0"/>
      <w:marBottom w:val="0"/>
      <w:divBdr>
        <w:top w:val="none" w:sz="0" w:space="0" w:color="auto"/>
        <w:left w:val="none" w:sz="0" w:space="0" w:color="auto"/>
        <w:bottom w:val="none" w:sz="0" w:space="0" w:color="auto"/>
        <w:right w:val="none" w:sz="0" w:space="0" w:color="auto"/>
      </w:divBdr>
    </w:div>
    <w:div w:id="967472561">
      <w:bodyDiv w:val="1"/>
      <w:marLeft w:val="0"/>
      <w:marRight w:val="0"/>
      <w:marTop w:val="0"/>
      <w:marBottom w:val="0"/>
      <w:divBdr>
        <w:top w:val="none" w:sz="0" w:space="0" w:color="auto"/>
        <w:left w:val="none" w:sz="0" w:space="0" w:color="auto"/>
        <w:bottom w:val="none" w:sz="0" w:space="0" w:color="auto"/>
        <w:right w:val="none" w:sz="0" w:space="0" w:color="auto"/>
      </w:divBdr>
    </w:div>
    <w:div w:id="967511117">
      <w:bodyDiv w:val="1"/>
      <w:marLeft w:val="0"/>
      <w:marRight w:val="0"/>
      <w:marTop w:val="0"/>
      <w:marBottom w:val="0"/>
      <w:divBdr>
        <w:top w:val="none" w:sz="0" w:space="0" w:color="auto"/>
        <w:left w:val="none" w:sz="0" w:space="0" w:color="auto"/>
        <w:bottom w:val="none" w:sz="0" w:space="0" w:color="auto"/>
        <w:right w:val="none" w:sz="0" w:space="0" w:color="auto"/>
      </w:divBdr>
    </w:div>
    <w:div w:id="967513479">
      <w:bodyDiv w:val="1"/>
      <w:marLeft w:val="0"/>
      <w:marRight w:val="0"/>
      <w:marTop w:val="0"/>
      <w:marBottom w:val="0"/>
      <w:divBdr>
        <w:top w:val="none" w:sz="0" w:space="0" w:color="auto"/>
        <w:left w:val="none" w:sz="0" w:space="0" w:color="auto"/>
        <w:bottom w:val="none" w:sz="0" w:space="0" w:color="auto"/>
        <w:right w:val="none" w:sz="0" w:space="0" w:color="auto"/>
      </w:divBdr>
    </w:div>
    <w:div w:id="967592294">
      <w:bodyDiv w:val="1"/>
      <w:marLeft w:val="0"/>
      <w:marRight w:val="0"/>
      <w:marTop w:val="0"/>
      <w:marBottom w:val="0"/>
      <w:divBdr>
        <w:top w:val="none" w:sz="0" w:space="0" w:color="auto"/>
        <w:left w:val="none" w:sz="0" w:space="0" w:color="auto"/>
        <w:bottom w:val="none" w:sz="0" w:space="0" w:color="auto"/>
        <w:right w:val="none" w:sz="0" w:space="0" w:color="auto"/>
      </w:divBdr>
    </w:div>
    <w:div w:id="967592295">
      <w:bodyDiv w:val="1"/>
      <w:marLeft w:val="0"/>
      <w:marRight w:val="0"/>
      <w:marTop w:val="0"/>
      <w:marBottom w:val="0"/>
      <w:divBdr>
        <w:top w:val="none" w:sz="0" w:space="0" w:color="auto"/>
        <w:left w:val="none" w:sz="0" w:space="0" w:color="auto"/>
        <w:bottom w:val="none" w:sz="0" w:space="0" w:color="auto"/>
        <w:right w:val="none" w:sz="0" w:space="0" w:color="auto"/>
      </w:divBdr>
    </w:div>
    <w:div w:id="967663362">
      <w:bodyDiv w:val="1"/>
      <w:marLeft w:val="0"/>
      <w:marRight w:val="0"/>
      <w:marTop w:val="0"/>
      <w:marBottom w:val="0"/>
      <w:divBdr>
        <w:top w:val="none" w:sz="0" w:space="0" w:color="auto"/>
        <w:left w:val="none" w:sz="0" w:space="0" w:color="auto"/>
        <w:bottom w:val="none" w:sz="0" w:space="0" w:color="auto"/>
        <w:right w:val="none" w:sz="0" w:space="0" w:color="auto"/>
      </w:divBdr>
    </w:div>
    <w:div w:id="967706417">
      <w:bodyDiv w:val="1"/>
      <w:marLeft w:val="0"/>
      <w:marRight w:val="0"/>
      <w:marTop w:val="0"/>
      <w:marBottom w:val="0"/>
      <w:divBdr>
        <w:top w:val="none" w:sz="0" w:space="0" w:color="auto"/>
        <w:left w:val="none" w:sz="0" w:space="0" w:color="auto"/>
        <w:bottom w:val="none" w:sz="0" w:space="0" w:color="auto"/>
        <w:right w:val="none" w:sz="0" w:space="0" w:color="auto"/>
      </w:divBdr>
    </w:div>
    <w:div w:id="967786354">
      <w:bodyDiv w:val="1"/>
      <w:marLeft w:val="0"/>
      <w:marRight w:val="0"/>
      <w:marTop w:val="0"/>
      <w:marBottom w:val="0"/>
      <w:divBdr>
        <w:top w:val="none" w:sz="0" w:space="0" w:color="auto"/>
        <w:left w:val="none" w:sz="0" w:space="0" w:color="auto"/>
        <w:bottom w:val="none" w:sz="0" w:space="0" w:color="auto"/>
        <w:right w:val="none" w:sz="0" w:space="0" w:color="auto"/>
      </w:divBdr>
    </w:div>
    <w:div w:id="967857063">
      <w:bodyDiv w:val="1"/>
      <w:marLeft w:val="0"/>
      <w:marRight w:val="0"/>
      <w:marTop w:val="0"/>
      <w:marBottom w:val="0"/>
      <w:divBdr>
        <w:top w:val="none" w:sz="0" w:space="0" w:color="auto"/>
        <w:left w:val="none" w:sz="0" w:space="0" w:color="auto"/>
        <w:bottom w:val="none" w:sz="0" w:space="0" w:color="auto"/>
        <w:right w:val="none" w:sz="0" w:space="0" w:color="auto"/>
      </w:divBdr>
    </w:div>
    <w:div w:id="967857844">
      <w:bodyDiv w:val="1"/>
      <w:marLeft w:val="0"/>
      <w:marRight w:val="0"/>
      <w:marTop w:val="0"/>
      <w:marBottom w:val="0"/>
      <w:divBdr>
        <w:top w:val="none" w:sz="0" w:space="0" w:color="auto"/>
        <w:left w:val="none" w:sz="0" w:space="0" w:color="auto"/>
        <w:bottom w:val="none" w:sz="0" w:space="0" w:color="auto"/>
        <w:right w:val="none" w:sz="0" w:space="0" w:color="auto"/>
      </w:divBdr>
    </w:div>
    <w:div w:id="968164650">
      <w:bodyDiv w:val="1"/>
      <w:marLeft w:val="0"/>
      <w:marRight w:val="0"/>
      <w:marTop w:val="0"/>
      <w:marBottom w:val="0"/>
      <w:divBdr>
        <w:top w:val="none" w:sz="0" w:space="0" w:color="auto"/>
        <w:left w:val="none" w:sz="0" w:space="0" w:color="auto"/>
        <w:bottom w:val="none" w:sz="0" w:space="0" w:color="auto"/>
        <w:right w:val="none" w:sz="0" w:space="0" w:color="auto"/>
      </w:divBdr>
    </w:div>
    <w:div w:id="968322752">
      <w:bodyDiv w:val="1"/>
      <w:marLeft w:val="0"/>
      <w:marRight w:val="0"/>
      <w:marTop w:val="0"/>
      <w:marBottom w:val="0"/>
      <w:divBdr>
        <w:top w:val="none" w:sz="0" w:space="0" w:color="auto"/>
        <w:left w:val="none" w:sz="0" w:space="0" w:color="auto"/>
        <w:bottom w:val="none" w:sz="0" w:space="0" w:color="auto"/>
        <w:right w:val="none" w:sz="0" w:space="0" w:color="auto"/>
      </w:divBdr>
    </w:div>
    <w:div w:id="968361867">
      <w:bodyDiv w:val="1"/>
      <w:marLeft w:val="0"/>
      <w:marRight w:val="0"/>
      <w:marTop w:val="0"/>
      <w:marBottom w:val="0"/>
      <w:divBdr>
        <w:top w:val="none" w:sz="0" w:space="0" w:color="auto"/>
        <w:left w:val="none" w:sz="0" w:space="0" w:color="auto"/>
        <w:bottom w:val="none" w:sz="0" w:space="0" w:color="auto"/>
        <w:right w:val="none" w:sz="0" w:space="0" w:color="auto"/>
      </w:divBdr>
    </w:div>
    <w:div w:id="968438068">
      <w:bodyDiv w:val="1"/>
      <w:marLeft w:val="0"/>
      <w:marRight w:val="0"/>
      <w:marTop w:val="0"/>
      <w:marBottom w:val="0"/>
      <w:divBdr>
        <w:top w:val="none" w:sz="0" w:space="0" w:color="auto"/>
        <w:left w:val="none" w:sz="0" w:space="0" w:color="auto"/>
        <w:bottom w:val="none" w:sz="0" w:space="0" w:color="auto"/>
        <w:right w:val="none" w:sz="0" w:space="0" w:color="auto"/>
      </w:divBdr>
    </w:div>
    <w:div w:id="968441265">
      <w:bodyDiv w:val="1"/>
      <w:marLeft w:val="0"/>
      <w:marRight w:val="0"/>
      <w:marTop w:val="0"/>
      <w:marBottom w:val="0"/>
      <w:divBdr>
        <w:top w:val="none" w:sz="0" w:space="0" w:color="auto"/>
        <w:left w:val="none" w:sz="0" w:space="0" w:color="auto"/>
        <w:bottom w:val="none" w:sz="0" w:space="0" w:color="auto"/>
        <w:right w:val="none" w:sz="0" w:space="0" w:color="auto"/>
      </w:divBdr>
    </w:div>
    <w:div w:id="968514723">
      <w:bodyDiv w:val="1"/>
      <w:marLeft w:val="0"/>
      <w:marRight w:val="0"/>
      <w:marTop w:val="0"/>
      <w:marBottom w:val="0"/>
      <w:divBdr>
        <w:top w:val="none" w:sz="0" w:space="0" w:color="auto"/>
        <w:left w:val="none" w:sz="0" w:space="0" w:color="auto"/>
        <w:bottom w:val="none" w:sz="0" w:space="0" w:color="auto"/>
        <w:right w:val="none" w:sz="0" w:space="0" w:color="auto"/>
      </w:divBdr>
    </w:div>
    <w:div w:id="968587552">
      <w:bodyDiv w:val="1"/>
      <w:marLeft w:val="0"/>
      <w:marRight w:val="0"/>
      <w:marTop w:val="0"/>
      <w:marBottom w:val="0"/>
      <w:divBdr>
        <w:top w:val="none" w:sz="0" w:space="0" w:color="auto"/>
        <w:left w:val="none" w:sz="0" w:space="0" w:color="auto"/>
        <w:bottom w:val="none" w:sz="0" w:space="0" w:color="auto"/>
        <w:right w:val="none" w:sz="0" w:space="0" w:color="auto"/>
      </w:divBdr>
    </w:div>
    <w:div w:id="968626927">
      <w:bodyDiv w:val="1"/>
      <w:marLeft w:val="0"/>
      <w:marRight w:val="0"/>
      <w:marTop w:val="0"/>
      <w:marBottom w:val="0"/>
      <w:divBdr>
        <w:top w:val="none" w:sz="0" w:space="0" w:color="auto"/>
        <w:left w:val="none" w:sz="0" w:space="0" w:color="auto"/>
        <w:bottom w:val="none" w:sz="0" w:space="0" w:color="auto"/>
        <w:right w:val="none" w:sz="0" w:space="0" w:color="auto"/>
      </w:divBdr>
    </w:div>
    <w:div w:id="968630383">
      <w:bodyDiv w:val="1"/>
      <w:marLeft w:val="0"/>
      <w:marRight w:val="0"/>
      <w:marTop w:val="0"/>
      <w:marBottom w:val="0"/>
      <w:divBdr>
        <w:top w:val="none" w:sz="0" w:space="0" w:color="auto"/>
        <w:left w:val="none" w:sz="0" w:space="0" w:color="auto"/>
        <w:bottom w:val="none" w:sz="0" w:space="0" w:color="auto"/>
        <w:right w:val="none" w:sz="0" w:space="0" w:color="auto"/>
      </w:divBdr>
    </w:div>
    <w:div w:id="968708779">
      <w:bodyDiv w:val="1"/>
      <w:marLeft w:val="0"/>
      <w:marRight w:val="0"/>
      <w:marTop w:val="0"/>
      <w:marBottom w:val="0"/>
      <w:divBdr>
        <w:top w:val="none" w:sz="0" w:space="0" w:color="auto"/>
        <w:left w:val="none" w:sz="0" w:space="0" w:color="auto"/>
        <w:bottom w:val="none" w:sz="0" w:space="0" w:color="auto"/>
        <w:right w:val="none" w:sz="0" w:space="0" w:color="auto"/>
      </w:divBdr>
    </w:div>
    <w:div w:id="968822672">
      <w:bodyDiv w:val="1"/>
      <w:marLeft w:val="0"/>
      <w:marRight w:val="0"/>
      <w:marTop w:val="0"/>
      <w:marBottom w:val="0"/>
      <w:divBdr>
        <w:top w:val="none" w:sz="0" w:space="0" w:color="auto"/>
        <w:left w:val="none" w:sz="0" w:space="0" w:color="auto"/>
        <w:bottom w:val="none" w:sz="0" w:space="0" w:color="auto"/>
        <w:right w:val="none" w:sz="0" w:space="0" w:color="auto"/>
      </w:divBdr>
    </w:div>
    <w:div w:id="968828262">
      <w:bodyDiv w:val="1"/>
      <w:marLeft w:val="0"/>
      <w:marRight w:val="0"/>
      <w:marTop w:val="0"/>
      <w:marBottom w:val="0"/>
      <w:divBdr>
        <w:top w:val="none" w:sz="0" w:space="0" w:color="auto"/>
        <w:left w:val="none" w:sz="0" w:space="0" w:color="auto"/>
        <w:bottom w:val="none" w:sz="0" w:space="0" w:color="auto"/>
        <w:right w:val="none" w:sz="0" w:space="0" w:color="auto"/>
      </w:divBdr>
    </w:div>
    <w:div w:id="968973575">
      <w:bodyDiv w:val="1"/>
      <w:marLeft w:val="0"/>
      <w:marRight w:val="0"/>
      <w:marTop w:val="0"/>
      <w:marBottom w:val="0"/>
      <w:divBdr>
        <w:top w:val="none" w:sz="0" w:space="0" w:color="auto"/>
        <w:left w:val="none" w:sz="0" w:space="0" w:color="auto"/>
        <w:bottom w:val="none" w:sz="0" w:space="0" w:color="auto"/>
        <w:right w:val="none" w:sz="0" w:space="0" w:color="auto"/>
      </w:divBdr>
    </w:div>
    <w:div w:id="969096097">
      <w:bodyDiv w:val="1"/>
      <w:marLeft w:val="0"/>
      <w:marRight w:val="0"/>
      <w:marTop w:val="0"/>
      <w:marBottom w:val="0"/>
      <w:divBdr>
        <w:top w:val="none" w:sz="0" w:space="0" w:color="auto"/>
        <w:left w:val="none" w:sz="0" w:space="0" w:color="auto"/>
        <w:bottom w:val="none" w:sz="0" w:space="0" w:color="auto"/>
        <w:right w:val="none" w:sz="0" w:space="0" w:color="auto"/>
      </w:divBdr>
    </w:div>
    <w:div w:id="969214778">
      <w:bodyDiv w:val="1"/>
      <w:marLeft w:val="0"/>
      <w:marRight w:val="0"/>
      <w:marTop w:val="0"/>
      <w:marBottom w:val="0"/>
      <w:divBdr>
        <w:top w:val="none" w:sz="0" w:space="0" w:color="auto"/>
        <w:left w:val="none" w:sz="0" w:space="0" w:color="auto"/>
        <w:bottom w:val="none" w:sz="0" w:space="0" w:color="auto"/>
        <w:right w:val="none" w:sz="0" w:space="0" w:color="auto"/>
      </w:divBdr>
    </w:div>
    <w:div w:id="969214872">
      <w:bodyDiv w:val="1"/>
      <w:marLeft w:val="0"/>
      <w:marRight w:val="0"/>
      <w:marTop w:val="0"/>
      <w:marBottom w:val="0"/>
      <w:divBdr>
        <w:top w:val="none" w:sz="0" w:space="0" w:color="auto"/>
        <w:left w:val="none" w:sz="0" w:space="0" w:color="auto"/>
        <w:bottom w:val="none" w:sz="0" w:space="0" w:color="auto"/>
        <w:right w:val="none" w:sz="0" w:space="0" w:color="auto"/>
      </w:divBdr>
    </w:div>
    <w:div w:id="969242359">
      <w:bodyDiv w:val="1"/>
      <w:marLeft w:val="0"/>
      <w:marRight w:val="0"/>
      <w:marTop w:val="0"/>
      <w:marBottom w:val="0"/>
      <w:divBdr>
        <w:top w:val="none" w:sz="0" w:space="0" w:color="auto"/>
        <w:left w:val="none" w:sz="0" w:space="0" w:color="auto"/>
        <w:bottom w:val="none" w:sz="0" w:space="0" w:color="auto"/>
        <w:right w:val="none" w:sz="0" w:space="0" w:color="auto"/>
      </w:divBdr>
    </w:div>
    <w:div w:id="969287669">
      <w:bodyDiv w:val="1"/>
      <w:marLeft w:val="0"/>
      <w:marRight w:val="0"/>
      <w:marTop w:val="0"/>
      <w:marBottom w:val="0"/>
      <w:divBdr>
        <w:top w:val="none" w:sz="0" w:space="0" w:color="auto"/>
        <w:left w:val="none" w:sz="0" w:space="0" w:color="auto"/>
        <w:bottom w:val="none" w:sz="0" w:space="0" w:color="auto"/>
        <w:right w:val="none" w:sz="0" w:space="0" w:color="auto"/>
      </w:divBdr>
    </w:div>
    <w:div w:id="969359593">
      <w:bodyDiv w:val="1"/>
      <w:marLeft w:val="0"/>
      <w:marRight w:val="0"/>
      <w:marTop w:val="0"/>
      <w:marBottom w:val="0"/>
      <w:divBdr>
        <w:top w:val="none" w:sz="0" w:space="0" w:color="auto"/>
        <w:left w:val="none" w:sz="0" w:space="0" w:color="auto"/>
        <w:bottom w:val="none" w:sz="0" w:space="0" w:color="auto"/>
        <w:right w:val="none" w:sz="0" w:space="0" w:color="auto"/>
      </w:divBdr>
    </w:div>
    <w:div w:id="969360215">
      <w:bodyDiv w:val="1"/>
      <w:marLeft w:val="0"/>
      <w:marRight w:val="0"/>
      <w:marTop w:val="0"/>
      <w:marBottom w:val="0"/>
      <w:divBdr>
        <w:top w:val="none" w:sz="0" w:space="0" w:color="auto"/>
        <w:left w:val="none" w:sz="0" w:space="0" w:color="auto"/>
        <w:bottom w:val="none" w:sz="0" w:space="0" w:color="auto"/>
        <w:right w:val="none" w:sz="0" w:space="0" w:color="auto"/>
      </w:divBdr>
    </w:div>
    <w:div w:id="969365093">
      <w:bodyDiv w:val="1"/>
      <w:marLeft w:val="0"/>
      <w:marRight w:val="0"/>
      <w:marTop w:val="0"/>
      <w:marBottom w:val="0"/>
      <w:divBdr>
        <w:top w:val="none" w:sz="0" w:space="0" w:color="auto"/>
        <w:left w:val="none" w:sz="0" w:space="0" w:color="auto"/>
        <w:bottom w:val="none" w:sz="0" w:space="0" w:color="auto"/>
        <w:right w:val="none" w:sz="0" w:space="0" w:color="auto"/>
      </w:divBdr>
    </w:div>
    <w:div w:id="969441029">
      <w:bodyDiv w:val="1"/>
      <w:marLeft w:val="0"/>
      <w:marRight w:val="0"/>
      <w:marTop w:val="0"/>
      <w:marBottom w:val="0"/>
      <w:divBdr>
        <w:top w:val="none" w:sz="0" w:space="0" w:color="auto"/>
        <w:left w:val="none" w:sz="0" w:space="0" w:color="auto"/>
        <w:bottom w:val="none" w:sz="0" w:space="0" w:color="auto"/>
        <w:right w:val="none" w:sz="0" w:space="0" w:color="auto"/>
      </w:divBdr>
    </w:div>
    <w:div w:id="969551904">
      <w:bodyDiv w:val="1"/>
      <w:marLeft w:val="0"/>
      <w:marRight w:val="0"/>
      <w:marTop w:val="0"/>
      <w:marBottom w:val="0"/>
      <w:divBdr>
        <w:top w:val="none" w:sz="0" w:space="0" w:color="auto"/>
        <w:left w:val="none" w:sz="0" w:space="0" w:color="auto"/>
        <w:bottom w:val="none" w:sz="0" w:space="0" w:color="auto"/>
        <w:right w:val="none" w:sz="0" w:space="0" w:color="auto"/>
      </w:divBdr>
    </w:div>
    <w:div w:id="969625471">
      <w:bodyDiv w:val="1"/>
      <w:marLeft w:val="0"/>
      <w:marRight w:val="0"/>
      <w:marTop w:val="0"/>
      <w:marBottom w:val="0"/>
      <w:divBdr>
        <w:top w:val="none" w:sz="0" w:space="0" w:color="auto"/>
        <w:left w:val="none" w:sz="0" w:space="0" w:color="auto"/>
        <w:bottom w:val="none" w:sz="0" w:space="0" w:color="auto"/>
        <w:right w:val="none" w:sz="0" w:space="0" w:color="auto"/>
      </w:divBdr>
    </w:div>
    <w:div w:id="969672757">
      <w:bodyDiv w:val="1"/>
      <w:marLeft w:val="0"/>
      <w:marRight w:val="0"/>
      <w:marTop w:val="0"/>
      <w:marBottom w:val="0"/>
      <w:divBdr>
        <w:top w:val="none" w:sz="0" w:space="0" w:color="auto"/>
        <w:left w:val="none" w:sz="0" w:space="0" w:color="auto"/>
        <w:bottom w:val="none" w:sz="0" w:space="0" w:color="auto"/>
        <w:right w:val="none" w:sz="0" w:space="0" w:color="auto"/>
      </w:divBdr>
    </w:div>
    <w:div w:id="969674704">
      <w:bodyDiv w:val="1"/>
      <w:marLeft w:val="0"/>
      <w:marRight w:val="0"/>
      <w:marTop w:val="0"/>
      <w:marBottom w:val="0"/>
      <w:divBdr>
        <w:top w:val="none" w:sz="0" w:space="0" w:color="auto"/>
        <w:left w:val="none" w:sz="0" w:space="0" w:color="auto"/>
        <w:bottom w:val="none" w:sz="0" w:space="0" w:color="auto"/>
        <w:right w:val="none" w:sz="0" w:space="0" w:color="auto"/>
      </w:divBdr>
    </w:div>
    <w:div w:id="969867276">
      <w:bodyDiv w:val="1"/>
      <w:marLeft w:val="0"/>
      <w:marRight w:val="0"/>
      <w:marTop w:val="0"/>
      <w:marBottom w:val="0"/>
      <w:divBdr>
        <w:top w:val="none" w:sz="0" w:space="0" w:color="auto"/>
        <w:left w:val="none" w:sz="0" w:space="0" w:color="auto"/>
        <w:bottom w:val="none" w:sz="0" w:space="0" w:color="auto"/>
        <w:right w:val="none" w:sz="0" w:space="0" w:color="auto"/>
      </w:divBdr>
    </w:div>
    <w:div w:id="969894776">
      <w:bodyDiv w:val="1"/>
      <w:marLeft w:val="0"/>
      <w:marRight w:val="0"/>
      <w:marTop w:val="0"/>
      <w:marBottom w:val="0"/>
      <w:divBdr>
        <w:top w:val="none" w:sz="0" w:space="0" w:color="auto"/>
        <w:left w:val="none" w:sz="0" w:space="0" w:color="auto"/>
        <w:bottom w:val="none" w:sz="0" w:space="0" w:color="auto"/>
        <w:right w:val="none" w:sz="0" w:space="0" w:color="auto"/>
      </w:divBdr>
    </w:div>
    <w:div w:id="969940022">
      <w:bodyDiv w:val="1"/>
      <w:marLeft w:val="0"/>
      <w:marRight w:val="0"/>
      <w:marTop w:val="0"/>
      <w:marBottom w:val="0"/>
      <w:divBdr>
        <w:top w:val="none" w:sz="0" w:space="0" w:color="auto"/>
        <w:left w:val="none" w:sz="0" w:space="0" w:color="auto"/>
        <w:bottom w:val="none" w:sz="0" w:space="0" w:color="auto"/>
        <w:right w:val="none" w:sz="0" w:space="0" w:color="auto"/>
      </w:divBdr>
    </w:div>
    <w:div w:id="970011968">
      <w:bodyDiv w:val="1"/>
      <w:marLeft w:val="0"/>
      <w:marRight w:val="0"/>
      <w:marTop w:val="0"/>
      <w:marBottom w:val="0"/>
      <w:divBdr>
        <w:top w:val="none" w:sz="0" w:space="0" w:color="auto"/>
        <w:left w:val="none" w:sz="0" w:space="0" w:color="auto"/>
        <w:bottom w:val="none" w:sz="0" w:space="0" w:color="auto"/>
        <w:right w:val="none" w:sz="0" w:space="0" w:color="auto"/>
      </w:divBdr>
    </w:div>
    <w:div w:id="970015713">
      <w:bodyDiv w:val="1"/>
      <w:marLeft w:val="0"/>
      <w:marRight w:val="0"/>
      <w:marTop w:val="0"/>
      <w:marBottom w:val="0"/>
      <w:divBdr>
        <w:top w:val="none" w:sz="0" w:space="0" w:color="auto"/>
        <w:left w:val="none" w:sz="0" w:space="0" w:color="auto"/>
        <w:bottom w:val="none" w:sz="0" w:space="0" w:color="auto"/>
        <w:right w:val="none" w:sz="0" w:space="0" w:color="auto"/>
      </w:divBdr>
    </w:div>
    <w:div w:id="970090428">
      <w:bodyDiv w:val="1"/>
      <w:marLeft w:val="0"/>
      <w:marRight w:val="0"/>
      <w:marTop w:val="0"/>
      <w:marBottom w:val="0"/>
      <w:divBdr>
        <w:top w:val="none" w:sz="0" w:space="0" w:color="auto"/>
        <w:left w:val="none" w:sz="0" w:space="0" w:color="auto"/>
        <w:bottom w:val="none" w:sz="0" w:space="0" w:color="auto"/>
        <w:right w:val="none" w:sz="0" w:space="0" w:color="auto"/>
      </w:divBdr>
    </w:div>
    <w:div w:id="970139027">
      <w:bodyDiv w:val="1"/>
      <w:marLeft w:val="0"/>
      <w:marRight w:val="0"/>
      <w:marTop w:val="0"/>
      <w:marBottom w:val="0"/>
      <w:divBdr>
        <w:top w:val="none" w:sz="0" w:space="0" w:color="auto"/>
        <w:left w:val="none" w:sz="0" w:space="0" w:color="auto"/>
        <w:bottom w:val="none" w:sz="0" w:space="0" w:color="auto"/>
        <w:right w:val="none" w:sz="0" w:space="0" w:color="auto"/>
      </w:divBdr>
    </w:div>
    <w:div w:id="970206254">
      <w:bodyDiv w:val="1"/>
      <w:marLeft w:val="0"/>
      <w:marRight w:val="0"/>
      <w:marTop w:val="0"/>
      <w:marBottom w:val="0"/>
      <w:divBdr>
        <w:top w:val="none" w:sz="0" w:space="0" w:color="auto"/>
        <w:left w:val="none" w:sz="0" w:space="0" w:color="auto"/>
        <w:bottom w:val="none" w:sz="0" w:space="0" w:color="auto"/>
        <w:right w:val="none" w:sz="0" w:space="0" w:color="auto"/>
      </w:divBdr>
    </w:div>
    <w:div w:id="970209494">
      <w:bodyDiv w:val="1"/>
      <w:marLeft w:val="0"/>
      <w:marRight w:val="0"/>
      <w:marTop w:val="0"/>
      <w:marBottom w:val="0"/>
      <w:divBdr>
        <w:top w:val="none" w:sz="0" w:space="0" w:color="auto"/>
        <w:left w:val="none" w:sz="0" w:space="0" w:color="auto"/>
        <w:bottom w:val="none" w:sz="0" w:space="0" w:color="auto"/>
        <w:right w:val="none" w:sz="0" w:space="0" w:color="auto"/>
      </w:divBdr>
    </w:div>
    <w:div w:id="970286458">
      <w:bodyDiv w:val="1"/>
      <w:marLeft w:val="0"/>
      <w:marRight w:val="0"/>
      <w:marTop w:val="0"/>
      <w:marBottom w:val="0"/>
      <w:divBdr>
        <w:top w:val="none" w:sz="0" w:space="0" w:color="auto"/>
        <w:left w:val="none" w:sz="0" w:space="0" w:color="auto"/>
        <w:bottom w:val="none" w:sz="0" w:space="0" w:color="auto"/>
        <w:right w:val="none" w:sz="0" w:space="0" w:color="auto"/>
      </w:divBdr>
    </w:div>
    <w:div w:id="970477074">
      <w:bodyDiv w:val="1"/>
      <w:marLeft w:val="0"/>
      <w:marRight w:val="0"/>
      <w:marTop w:val="0"/>
      <w:marBottom w:val="0"/>
      <w:divBdr>
        <w:top w:val="none" w:sz="0" w:space="0" w:color="auto"/>
        <w:left w:val="none" w:sz="0" w:space="0" w:color="auto"/>
        <w:bottom w:val="none" w:sz="0" w:space="0" w:color="auto"/>
        <w:right w:val="none" w:sz="0" w:space="0" w:color="auto"/>
      </w:divBdr>
    </w:div>
    <w:div w:id="970483138">
      <w:bodyDiv w:val="1"/>
      <w:marLeft w:val="0"/>
      <w:marRight w:val="0"/>
      <w:marTop w:val="0"/>
      <w:marBottom w:val="0"/>
      <w:divBdr>
        <w:top w:val="none" w:sz="0" w:space="0" w:color="auto"/>
        <w:left w:val="none" w:sz="0" w:space="0" w:color="auto"/>
        <w:bottom w:val="none" w:sz="0" w:space="0" w:color="auto"/>
        <w:right w:val="none" w:sz="0" w:space="0" w:color="auto"/>
      </w:divBdr>
    </w:div>
    <w:div w:id="970597742">
      <w:bodyDiv w:val="1"/>
      <w:marLeft w:val="0"/>
      <w:marRight w:val="0"/>
      <w:marTop w:val="0"/>
      <w:marBottom w:val="0"/>
      <w:divBdr>
        <w:top w:val="none" w:sz="0" w:space="0" w:color="auto"/>
        <w:left w:val="none" w:sz="0" w:space="0" w:color="auto"/>
        <w:bottom w:val="none" w:sz="0" w:space="0" w:color="auto"/>
        <w:right w:val="none" w:sz="0" w:space="0" w:color="auto"/>
      </w:divBdr>
    </w:div>
    <w:div w:id="970666910">
      <w:bodyDiv w:val="1"/>
      <w:marLeft w:val="0"/>
      <w:marRight w:val="0"/>
      <w:marTop w:val="0"/>
      <w:marBottom w:val="0"/>
      <w:divBdr>
        <w:top w:val="none" w:sz="0" w:space="0" w:color="auto"/>
        <w:left w:val="none" w:sz="0" w:space="0" w:color="auto"/>
        <w:bottom w:val="none" w:sz="0" w:space="0" w:color="auto"/>
        <w:right w:val="none" w:sz="0" w:space="0" w:color="auto"/>
      </w:divBdr>
    </w:div>
    <w:div w:id="970860704">
      <w:bodyDiv w:val="1"/>
      <w:marLeft w:val="0"/>
      <w:marRight w:val="0"/>
      <w:marTop w:val="0"/>
      <w:marBottom w:val="0"/>
      <w:divBdr>
        <w:top w:val="none" w:sz="0" w:space="0" w:color="auto"/>
        <w:left w:val="none" w:sz="0" w:space="0" w:color="auto"/>
        <w:bottom w:val="none" w:sz="0" w:space="0" w:color="auto"/>
        <w:right w:val="none" w:sz="0" w:space="0" w:color="auto"/>
      </w:divBdr>
    </w:div>
    <w:div w:id="970935509">
      <w:bodyDiv w:val="1"/>
      <w:marLeft w:val="0"/>
      <w:marRight w:val="0"/>
      <w:marTop w:val="0"/>
      <w:marBottom w:val="0"/>
      <w:divBdr>
        <w:top w:val="none" w:sz="0" w:space="0" w:color="auto"/>
        <w:left w:val="none" w:sz="0" w:space="0" w:color="auto"/>
        <w:bottom w:val="none" w:sz="0" w:space="0" w:color="auto"/>
        <w:right w:val="none" w:sz="0" w:space="0" w:color="auto"/>
      </w:divBdr>
    </w:div>
    <w:div w:id="970939376">
      <w:bodyDiv w:val="1"/>
      <w:marLeft w:val="0"/>
      <w:marRight w:val="0"/>
      <w:marTop w:val="0"/>
      <w:marBottom w:val="0"/>
      <w:divBdr>
        <w:top w:val="none" w:sz="0" w:space="0" w:color="auto"/>
        <w:left w:val="none" w:sz="0" w:space="0" w:color="auto"/>
        <w:bottom w:val="none" w:sz="0" w:space="0" w:color="auto"/>
        <w:right w:val="none" w:sz="0" w:space="0" w:color="auto"/>
      </w:divBdr>
    </w:div>
    <w:div w:id="971014087">
      <w:bodyDiv w:val="1"/>
      <w:marLeft w:val="0"/>
      <w:marRight w:val="0"/>
      <w:marTop w:val="0"/>
      <w:marBottom w:val="0"/>
      <w:divBdr>
        <w:top w:val="none" w:sz="0" w:space="0" w:color="auto"/>
        <w:left w:val="none" w:sz="0" w:space="0" w:color="auto"/>
        <w:bottom w:val="none" w:sz="0" w:space="0" w:color="auto"/>
        <w:right w:val="none" w:sz="0" w:space="0" w:color="auto"/>
      </w:divBdr>
    </w:div>
    <w:div w:id="971179576">
      <w:bodyDiv w:val="1"/>
      <w:marLeft w:val="0"/>
      <w:marRight w:val="0"/>
      <w:marTop w:val="0"/>
      <w:marBottom w:val="0"/>
      <w:divBdr>
        <w:top w:val="none" w:sz="0" w:space="0" w:color="auto"/>
        <w:left w:val="none" w:sz="0" w:space="0" w:color="auto"/>
        <w:bottom w:val="none" w:sz="0" w:space="0" w:color="auto"/>
        <w:right w:val="none" w:sz="0" w:space="0" w:color="auto"/>
      </w:divBdr>
    </w:div>
    <w:div w:id="971180045">
      <w:bodyDiv w:val="1"/>
      <w:marLeft w:val="0"/>
      <w:marRight w:val="0"/>
      <w:marTop w:val="0"/>
      <w:marBottom w:val="0"/>
      <w:divBdr>
        <w:top w:val="none" w:sz="0" w:space="0" w:color="auto"/>
        <w:left w:val="none" w:sz="0" w:space="0" w:color="auto"/>
        <w:bottom w:val="none" w:sz="0" w:space="0" w:color="auto"/>
        <w:right w:val="none" w:sz="0" w:space="0" w:color="auto"/>
      </w:divBdr>
    </w:div>
    <w:div w:id="971204452">
      <w:bodyDiv w:val="1"/>
      <w:marLeft w:val="0"/>
      <w:marRight w:val="0"/>
      <w:marTop w:val="0"/>
      <w:marBottom w:val="0"/>
      <w:divBdr>
        <w:top w:val="none" w:sz="0" w:space="0" w:color="auto"/>
        <w:left w:val="none" w:sz="0" w:space="0" w:color="auto"/>
        <w:bottom w:val="none" w:sz="0" w:space="0" w:color="auto"/>
        <w:right w:val="none" w:sz="0" w:space="0" w:color="auto"/>
      </w:divBdr>
    </w:div>
    <w:div w:id="971206465">
      <w:bodyDiv w:val="1"/>
      <w:marLeft w:val="0"/>
      <w:marRight w:val="0"/>
      <w:marTop w:val="0"/>
      <w:marBottom w:val="0"/>
      <w:divBdr>
        <w:top w:val="none" w:sz="0" w:space="0" w:color="auto"/>
        <w:left w:val="none" w:sz="0" w:space="0" w:color="auto"/>
        <w:bottom w:val="none" w:sz="0" w:space="0" w:color="auto"/>
        <w:right w:val="none" w:sz="0" w:space="0" w:color="auto"/>
      </w:divBdr>
    </w:div>
    <w:div w:id="971255624">
      <w:bodyDiv w:val="1"/>
      <w:marLeft w:val="0"/>
      <w:marRight w:val="0"/>
      <w:marTop w:val="0"/>
      <w:marBottom w:val="0"/>
      <w:divBdr>
        <w:top w:val="none" w:sz="0" w:space="0" w:color="auto"/>
        <w:left w:val="none" w:sz="0" w:space="0" w:color="auto"/>
        <w:bottom w:val="none" w:sz="0" w:space="0" w:color="auto"/>
        <w:right w:val="none" w:sz="0" w:space="0" w:color="auto"/>
      </w:divBdr>
    </w:div>
    <w:div w:id="971326805">
      <w:bodyDiv w:val="1"/>
      <w:marLeft w:val="0"/>
      <w:marRight w:val="0"/>
      <w:marTop w:val="0"/>
      <w:marBottom w:val="0"/>
      <w:divBdr>
        <w:top w:val="none" w:sz="0" w:space="0" w:color="auto"/>
        <w:left w:val="none" w:sz="0" w:space="0" w:color="auto"/>
        <w:bottom w:val="none" w:sz="0" w:space="0" w:color="auto"/>
        <w:right w:val="none" w:sz="0" w:space="0" w:color="auto"/>
      </w:divBdr>
    </w:div>
    <w:div w:id="971667709">
      <w:bodyDiv w:val="1"/>
      <w:marLeft w:val="0"/>
      <w:marRight w:val="0"/>
      <w:marTop w:val="0"/>
      <w:marBottom w:val="0"/>
      <w:divBdr>
        <w:top w:val="none" w:sz="0" w:space="0" w:color="auto"/>
        <w:left w:val="none" w:sz="0" w:space="0" w:color="auto"/>
        <w:bottom w:val="none" w:sz="0" w:space="0" w:color="auto"/>
        <w:right w:val="none" w:sz="0" w:space="0" w:color="auto"/>
      </w:divBdr>
    </w:div>
    <w:div w:id="971790153">
      <w:bodyDiv w:val="1"/>
      <w:marLeft w:val="0"/>
      <w:marRight w:val="0"/>
      <w:marTop w:val="0"/>
      <w:marBottom w:val="0"/>
      <w:divBdr>
        <w:top w:val="none" w:sz="0" w:space="0" w:color="auto"/>
        <w:left w:val="none" w:sz="0" w:space="0" w:color="auto"/>
        <w:bottom w:val="none" w:sz="0" w:space="0" w:color="auto"/>
        <w:right w:val="none" w:sz="0" w:space="0" w:color="auto"/>
      </w:divBdr>
    </w:div>
    <w:div w:id="971861652">
      <w:bodyDiv w:val="1"/>
      <w:marLeft w:val="0"/>
      <w:marRight w:val="0"/>
      <w:marTop w:val="0"/>
      <w:marBottom w:val="0"/>
      <w:divBdr>
        <w:top w:val="none" w:sz="0" w:space="0" w:color="auto"/>
        <w:left w:val="none" w:sz="0" w:space="0" w:color="auto"/>
        <w:bottom w:val="none" w:sz="0" w:space="0" w:color="auto"/>
        <w:right w:val="none" w:sz="0" w:space="0" w:color="auto"/>
      </w:divBdr>
    </w:div>
    <w:div w:id="971978329">
      <w:bodyDiv w:val="1"/>
      <w:marLeft w:val="0"/>
      <w:marRight w:val="0"/>
      <w:marTop w:val="0"/>
      <w:marBottom w:val="0"/>
      <w:divBdr>
        <w:top w:val="none" w:sz="0" w:space="0" w:color="auto"/>
        <w:left w:val="none" w:sz="0" w:space="0" w:color="auto"/>
        <w:bottom w:val="none" w:sz="0" w:space="0" w:color="auto"/>
        <w:right w:val="none" w:sz="0" w:space="0" w:color="auto"/>
      </w:divBdr>
    </w:div>
    <w:div w:id="971978947">
      <w:bodyDiv w:val="1"/>
      <w:marLeft w:val="0"/>
      <w:marRight w:val="0"/>
      <w:marTop w:val="0"/>
      <w:marBottom w:val="0"/>
      <w:divBdr>
        <w:top w:val="none" w:sz="0" w:space="0" w:color="auto"/>
        <w:left w:val="none" w:sz="0" w:space="0" w:color="auto"/>
        <w:bottom w:val="none" w:sz="0" w:space="0" w:color="auto"/>
        <w:right w:val="none" w:sz="0" w:space="0" w:color="auto"/>
      </w:divBdr>
    </w:div>
    <w:div w:id="972054335">
      <w:bodyDiv w:val="1"/>
      <w:marLeft w:val="0"/>
      <w:marRight w:val="0"/>
      <w:marTop w:val="0"/>
      <w:marBottom w:val="0"/>
      <w:divBdr>
        <w:top w:val="none" w:sz="0" w:space="0" w:color="auto"/>
        <w:left w:val="none" w:sz="0" w:space="0" w:color="auto"/>
        <w:bottom w:val="none" w:sz="0" w:space="0" w:color="auto"/>
        <w:right w:val="none" w:sz="0" w:space="0" w:color="auto"/>
      </w:divBdr>
    </w:div>
    <w:div w:id="972057856">
      <w:bodyDiv w:val="1"/>
      <w:marLeft w:val="0"/>
      <w:marRight w:val="0"/>
      <w:marTop w:val="0"/>
      <w:marBottom w:val="0"/>
      <w:divBdr>
        <w:top w:val="none" w:sz="0" w:space="0" w:color="auto"/>
        <w:left w:val="none" w:sz="0" w:space="0" w:color="auto"/>
        <w:bottom w:val="none" w:sz="0" w:space="0" w:color="auto"/>
        <w:right w:val="none" w:sz="0" w:space="0" w:color="auto"/>
      </w:divBdr>
    </w:div>
    <w:div w:id="972100488">
      <w:bodyDiv w:val="1"/>
      <w:marLeft w:val="0"/>
      <w:marRight w:val="0"/>
      <w:marTop w:val="0"/>
      <w:marBottom w:val="0"/>
      <w:divBdr>
        <w:top w:val="none" w:sz="0" w:space="0" w:color="auto"/>
        <w:left w:val="none" w:sz="0" w:space="0" w:color="auto"/>
        <w:bottom w:val="none" w:sz="0" w:space="0" w:color="auto"/>
        <w:right w:val="none" w:sz="0" w:space="0" w:color="auto"/>
      </w:divBdr>
    </w:div>
    <w:div w:id="972178727">
      <w:bodyDiv w:val="1"/>
      <w:marLeft w:val="0"/>
      <w:marRight w:val="0"/>
      <w:marTop w:val="0"/>
      <w:marBottom w:val="0"/>
      <w:divBdr>
        <w:top w:val="none" w:sz="0" w:space="0" w:color="auto"/>
        <w:left w:val="none" w:sz="0" w:space="0" w:color="auto"/>
        <w:bottom w:val="none" w:sz="0" w:space="0" w:color="auto"/>
        <w:right w:val="none" w:sz="0" w:space="0" w:color="auto"/>
      </w:divBdr>
    </w:div>
    <w:div w:id="972297750">
      <w:bodyDiv w:val="1"/>
      <w:marLeft w:val="0"/>
      <w:marRight w:val="0"/>
      <w:marTop w:val="0"/>
      <w:marBottom w:val="0"/>
      <w:divBdr>
        <w:top w:val="none" w:sz="0" w:space="0" w:color="auto"/>
        <w:left w:val="none" w:sz="0" w:space="0" w:color="auto"/>
        <w:bottom w:val="none" w:sz="0" w:space="0" w:color="auto"/>
        <w:right w:val="none" w:sz="0" w:space="0" w:color="auto"/>
      </w:divBdr>
    </w:div>
    <w:div w:id="972709339">
      <w:bodyDiv w:val="1"/>
      <w:marLeft w:val="0"/>
      <w:marRight w:val="0"/>
      <w:marTop w:val="0"/>
      <w:marBottom w:val="0"/>
      <w:divBdr>
        <w:top w:val="none" w:sz="0" w:space="0" w:color="auto"/>
        <w:left w:val="none" w:sz="0" w:space="0" w:color="auto"/>
        <w:bottom w:val="none" w:sz="0" w:space="0" w:color="auto"/>
        <w:right w:val="none" w:sz="0" w:space="0" w:color="auto"/>
      </w:divBdr>
    </w:div>
    <w:div w:id="972710232">
      <w:bodyDiv w:val="1"/>
      <w:marLeft w:val="0"/>
      <w:marRight w:val="0"/>
      <w:marTop w:val="0"/>
      <w:marBottom w:val="0"/>
      <w:divBdr>
        <w:top w:val="none" w:sz="0" w:space="0" w:color="auto"/>
        <w:left w:val="none" w:sz="0" w:space="0" w:color="auto"/>
        <w:bottom w:val="none" w:sz="0" w:space="0" w:color="auto"/>
        <w:right w:val="none" w:sz="0" w:space="0" w:color="auto"/>
      </w:divBdr>
    </w:div>
    <w:div w:id="972751334">
      <w:bodyDiv w:val="1"/>
      <w:marLeft w:val="0"/>
      <w:marRight w:val="0"/>
      <w:marTop w:val="0"/>
      <w:marBottom w:val="0"/>
      <w:divBdr>
        <w:top w:val="none" w:sz="0" w:space="0" w:color="auto"/>
        <w:left w:val="none" w:sz="0" w:space="0" w:color="auto"/>
        <w:bottom w:val="none" w:sz="0" w:space="0" w:color="auto"/>
        <w:right w:val="none" w:sz="0" w:space="0" w:color="auto"/>
      </w:divBdr>
    </w:div>
    <w:div w:id="972751823">
      <w:bodyDiv w:val="1"/>
      <w:marLeft w:val="0"/>
      <w:marRight w:val="0"/>
      <w:marTop w:val="0"/>
      <w:marBottom w:val="0"/>
      <w:divBdr>
        <w:top w:val="none" w:sz="0" w:space="0" w:color="auto"/>
        <w:left w:val="none" w:sz="0" w:space="0" w:color="auto"/>
        <w:bottom w:val="none" w:sz="0" w:space="0" w:color="auto"/>
        <w:right w:val="none" w:sz="0" w:space="0" w:color="auto"/>
      </w:divBdr>
    </w:div>
    <w:div w:id="973102680">
      <w:bodyDiv w:val="1"/>
      <w:marLeft w:val="0"/>
      <w:marRight w:val="0"/>
      <w:marTop w:val="0"/>
      <w:marBottom w:val="0"/>
      <w:divBdr>
        <w:top w:val="none" w:sz="0" w:space="0" w:color="auto"/>
        <w:left w:val="none" w:sz="0" w:space="0" w:color="auto"/>
        <w:bottom w:val="none" w:sz="0" w:space="0" w:color="auto"/>
        <w:right w:val="none" w:sz="0" w:space="0" w:color="auto"/>
      </w:divBdr>
    </w:div>
    <w:div w:id="973175180">
      <w:bodyDiv w:val="1"/>
      <w:marLeft w:val="0"/>
      <w:marRight w:val="0"/>
      <w:marTop w:val="0"/>
      <w:marBottom w:val="0"/>
      <w:divBdr>
        <w:top w:val="none" w:sz="0" w:space="0" w:color="auto"/>
        <w:left w:val="none" w:sz="0" w:space="0" w:color="auto"/>
        <w:bottom w:val="none" w:sz="0" w:space="0" w:color="auto"/>
        <w:right w:val="none" w:sz="0" w:space="0" w:color="auto"/>
      </w:divBdr>
    </w:div>
    <w:div w:id="973220671">
      <w:bodyDiv w:val="1"/>
      <w:marLeft w:val="0"/>
      <w:marRight w:val="0"/>
      <w:marTop w:val="0"/>
      <w:marBottom w:val="0"/>
      <w:divBdr>
        <w:top w:val="none" w:sz="0" w:space="0" w:color="auto"/>
        <w:left w:val="none" w:sz="0" w:space="0" w:color="auto"/>
        <w:bottom w:val="none" w:sz="0" w:space="0" w:color="auto"/>
        <w:right w:val="none" w:sz="0" w:space="0" w:color="auto"/>
      </w:divBdr>
    </w:div>
    <w:div w:id="973220809">
      <w:bodyDiv w:val="1"/>
      <w:marLeft w:val="0"/>
      <w:marRight w:val="0"/>
      <w:marTop w:val="0"/>
      <w:marBottom w:val="0"/>
      <w:divBdr>
        <w:top w:val="none" w:sz="0" w:space="0" w:color="auto"/>
        <w:left w:val="none" w:sz="0" w:space="0" w:color="auto"/>
        <w:bottom w:val="none" w:sz="0" w:space="0" w:color="auto"/>
        <w:right w:val="none" w:sz="0" w:space="0" w:color="auto"/>
      </w:divBdr>
    </w:div>
    <w:div w:id="973294373">
      <w:bodyDiv w:val="1"/>
      <w:marLeft w:val="0"/>
      <w:marRight w:val="0"/>
      <w:marTop w:val="0"/>
      <w:marBottom w:val="0"/>
      <w:divBdr>
        <w:top w:val="none" w:sz="0" w:space="0" w:color="auto"/>
        <w:left w:val="none" w:sz="0" w:space="0" w:color="auto"/>
        <w:bottom w:val="none" w:sz="0" w:space="0" w:color="auto"/>
        <w:right w:val="none" w:sz="0" w:space="0" w:color="auto"/>
      </w:divBdr>
    </w:div>
    <w:div w:id="973296265">
      <w:bodyDiv w:val="1"/>
      <w:marLeft w:val="0"/>
      <w:marRight w:val="0"/>
      <w:marTop w:val="0"/>
      <w:marBottom w:val="0"/>
      <w:divBdr>
        <w:top w:val="none" w:sz="0" w:space="0" w:color="auto"/>
        <w:left w:val="none" w:sz="0" w:space="0" w:color="auto"/>
        <w:bottom w:val="none" w:sz="0" w:space="0" w:color="auto"/>
        <w:right w:val="none" w:sz="0" w:space="0" w:color="auto"/>
      </w:divBdr>
    </w:div>
    <w:div w:id="973365819">
      <w:bodyDiv w:val="1"/>
      <w:marLeft w:val="0"/>
      <w:marRight w:val="0"/>
      <w:marTop w:val="0"/>
      <w:marBottom w:val="0"/>
      <w:divBdr>
        <w:top w:val="none" w:sz="0" w:space="0" w:color="auto"/>
        <w:left w:val="none" w:sz="0" w:space="0" w:color="auto"/>
        <w:bottom w:val="none" w:sz="0" w:space="0" w:color="auto"/>
        <w:right w:val="none" w:sz="0" w:space="0" w:color="auto"/>
      </w:divBdr>
    </w:div>
    <w:div w:id="973372694">
      <w:bodyDiv w:val="1"/>
      <w:marLeft w:val="0"/>
      <w:marRight w:val="0"/>
      <w:marTop w:val="0"/>
      <w:marBottom w:val="0"/>
      <w:divBdr>
        <w:top w:val="none" w:sz="0" w:space="0" w:color="auto"/>
        <w:left w:val="none" w:sz="0" w:space="0" w:color="auto"/>
        <w:bottom w:val="none" w:sz="0" w:space="0" w:color="auto"/>
        <w:right w:val="none" w:sz="0" w:space="0" w:color="auto"/>
      </w:divBdr>
    </w:div>
    <w:div w:id="973606562">
      <w:bodyDiv w:val="1"/>
      <w:marLeft w:val="0"/>
      <w:marRight w:val="0"/>
      <w:marTop w:val="0"/>
      <w:marBottom w:val="0"/>
      <w:divBdr>
        <w:top w:val="none" w:sz="0" w:space="0" w:color="auto"/>
        <w:left w:val="none" w:sz="0" w:space="0" w:color="auto"/>
        <w:bottom w:val="none" w:sz="0" w:space="0" w:color="auto"/>
        <w:right w:val="none" w:sz="0" w:space="0" w:color="auto"/>
      </w:divBdr>
    </w:div>
    <w:div w:id="973683224">
      <w:bodyDiv w:val="1"/>
      <w:marLeft w:val="0"/>
      <w:marRight w:val="0"/>
      <w:marTop w:val="0"/>
      <w:marBottom w:val="0"/>
      <w:divBdr>
        <w:top w:val="none" w:sz="0" w:space="0" w:color="auto"/>
        <w:left w:val="none" w:sz="0" w:space="0" w:color="auto"/>
        <w:bottom w:val="none" w:sz="0" w:space="0" w:color="auto"/>
        <w:right w:val="none" w:sz="0" w:space="0" w:color="auto"/>
      </w:divBdr>
    </w:div>
    <w:div w:id="973829072">
      <w:bodyDiv w:val="1"/>
      <w:marLeft w:val="0"/>
      <w:marRight w:val="0"/>
      <w:marTop w:val="0"/>
      <w:marBottom w:val="0"/>
      <w:divBdr>
        <w:top w:val="none" w:sz="0" w:space="0" w:color="auto"/>
        <w:left w:val="none" w:sz="0" w:space="0" w:color="auto"/>
        <w:bottom w:val="none" w:sz="0" w:space="0" w:color="auto"/>
        <w:right w:val="none" w:sz="0" w:space="0" w:color="auto"/>
      </w:divBdr>
    </w:div>
    <w:div w:id="973874134">
      <w:bodyDiv w:val="1"/>
      <w:marLeft w:val="0"/>
      <w:marRight w:val="0"/>
      <w:marTop w:val="0"/>
      <w:marBottom w:val="0"/>
      <w:divBdr>
        <w:top w:val="none" w:sz="0" w:space="0" w:color="auto"/>
        <w:left w:val="none" w:sz="0" w:space="0" w:color="auto"/>
        <w:bottom w:val="none" w:sz="0" w:space="0" w:color="auto"/>
        <w:right w:val="none" w:sz="0" w:space="0" w:color="auto"/>
      </w:divBdr>
    </w:div>
    <w:div w:id="974022672">
      <w:bodyDiv w:val="1"/>
      <w:marLeft w:val="0"/>
      <w:marRight w:val="0"/>
      <w:marTop w:val="0"/>
      <w:marBottom w:val="0"/>
      <w:divBdr>
        <w:top w:val="none" w:sz="0" w:space="0" w:color="auto"/>
        <w:left w:val="none" w:sz="0" w:space="0" w:color="auto"/>
        <w:bottom w:val="none" w:sz="0" w:space="0" w:color="auto"/>
        <w:right w:val="none" w:sz="0" w:space="0" w:color="auto"/>
      </w:divBdr>
    </w:div>
    <w:div w:id="974066201">
      <w:bodyDiv w:val="1"/>
      <w:marLeft w:val="0"/>
      <w:marRight w:val="0"/>
      <w:marTop w:val="0"/>
      <w:marBottom w:val="0"/>
      <w:divBdr>
        <w:top w:val="none" w:sz="0" w:space="0" w:color="auto"/>
        <w:left w:val="none" w:sz="0" w:space="0" w:color="auto"/>
        <w:bottom w:val="none" w:sz="0" w:space="0" w:color="auto"/>
        <w:right w:val="none" w:sz="0" w:space="0" w:color="auto"/>
      </w:divBdr>
    </w:div>
    <w:div w:id="974139517">
      <w:bodyDiv w:val="1"/>
      <w:marLeft w:val="0"/>
      <w:marRight w:val="0"/>
      <w:marTop w:val="0"/>
      <w:marBottom w:val="0"/>
      <w:divBdr>
        <w:top w:val="none" w:sz="0" w:space="0" w:color="auto"/>
        <w:left w:val="none" w:sz="0" w:space="0" w:color="auto"/>
        <w:bottom w:val="none" w:sz="0" w:space="0" w:color="auto"/>
        <w:right w:val="none" w:sz="0" w:space="0" w:color="auto"/>
      </w:divBdr>
    </w:div>
    <w:div w:id="974213534">
      <w:bodyDiv w:val="1"/>
      <w:marLeft w:val="0"/>
      <w:marRight w:val="0"/>
      <w:marTop w:val="0"/>
      <w:marBottom w:val="0"/>
      <w:divBdr>
        <w:top w:val="none" w:sz="0" w:space="0" w:color="auto"/>
        <w:left w:val="none" w:sz="0" w:space="0" w:color="auto"/>
        <w:bottom w:val="none" w:sz="0" w:space="0" w:color="auto"/>
        <w:right w:val="none" w:sz="0" w:space="0" w:color="auto"/>
      </w:divBdr>
    </w:div>
    <w:div w:id="974409626">
      <w:bodyDiv w:val="1"/>
      <w:marLeft w:val="0"/>
      <w:marRight w:val="0"/>
      <w:marTop w:val="0"/>
      <w:marBottom w:val="0"/>
      <w:divBdr>
        <w:top w:val="none" w:sz="0" w:space="0" w:color="auto"/>
        <w:left w:val="none" w:sz="0" w:space="0" w:color="auto"/>
        <w:bottom w:val="none" w:sz="0" w:space="0" w:color="auto"/>
        <w:right w:val="none" w:sz="0" w:space="0" w:color="auto"/>
      </w:divBdr>
    </w:div>
    <w:div w:id="974531694">
      <w:bodyDiv w:val="1"/>
      <w:marLeft w:val="0"/>
      <w:marRight w:val="0"/>
      <w:marTop w:val="0"/>
      <w:marBottom w:val="0"/>
      <w:divBdr>
        <w:top w:val="none" w:sz="0" w:space="0" w:color="auto"/>
        <w:left w:val="none" w:sz="0" w:space="0" w:color="auto"/>
        <w:bottom w:val="none" w:sz="0" w:space="0" w:color="auto"/>
        <w:right w:val="none" w:sz="0" w:space="0" w:color="auto"/>
      </w:divBdr>
    </w:div>
    <w:div w:id="974605961">
      <w:bodyDiv w:val="1"/>
      <w:marLeft w:val="0"/>
      <w:marRight w:val="0"/>
      <w:marTop w:val="0"/>
      <w:marBottom w:val="0"/>
      <w:divBdr>
        <w:top w:val="none" w:sz="0" w:space="0" w:color="auto"/>
        <w:left w:val="none" w:sz="0" w:space="0" w:color="auto"/>
        <w:bottom w:val="none" w:sz="0" w:space="0" w:color="auto"/>
        <w:right w:val="none" w:sz="0" w:space="0" w:color="auto"/>
      </w:divBdr>
    </w:div>
    <w:div w:id="974675601">
      <w:bodyDiv w:val="1"/>
      <w:marLeft w:val="0"/>
      <w:marRight w:val="0"/>
      <w:marTop w:val="0"/>
      <w:marBottom w:val="0"/>
      <w:divBdr>
        <w:top w:val="none" w:sz="0" w:space="0" w:color="auto"/>
        <w:left w:val="none" w:sz="0" w:space="0" w:color="auto"/>
        <w:bottom w:val="none" w:sz="0" w:space="0" w:color="auto"/>
        <w:right w:val="none" w:sz="0" w:space="0" w:color="auto"/>
      </w:divBdr>
    </w:div>
    <w:div w:id="974676265">
      <w:bodyDiv w:val="1"/>
      <w:marLeft w:val="0"/>
      <w:marRight w:val="0"/>
      <w:marTop w:val="0"/>
      <w:marBottom w:val="0"/>
      <w:divBdr>
        <w:top w:val="none" w:sz="0" w:space="0" w:color="auto"/>
        <w:left w:val="none" w:sz="0" w:space="0" w:color="auto"/>
        <w:bottom w:val="none" w:sz="0" w:space="0" w:color="auto"/>
        <w:right w:val="none" w:sz="0" w:space="0" w:color="auto"/>
      </w:divBdr>
    </w:div>
    <w:div w:id="974677770">
      <w:bodyDiv w:val="1"/>
      <w:marLeft w:val="0"/>
      <w:marRight w:val="0"/>
      <w:marTop w:val="0"/>
      <w:marBottom w:val="0"/>
      <w:divBdr>
        <w:top w:val="none" w:sz="0" w:space="0" w:color="auto"/>
        <w:left w:val="none" w:sz="0" w:space="0" w:color="auto"/>
        <w:bottom w:val="none" w:sz="0" w:space="0" w:color="auto"/>
        <w:right w:val="none" w:sz="0" w:space="0" w:color="auto"/>
      </w:divBdr>
    </w:div>
    <w:div w:id="974678016">
      <w:bodyDiv w:val="1"/>
      <w:marLeft w:val="0"/>
      <w:marRight w:val="0"/>
      <w:marTop w:val="0"/>
      <w:marBottom w:val="0"/>
      <w:divBdr>
        <w:top w:val="none" w:sz="0" w:space="0" w:color="auto"/>
        <w:left w:val="none" w:sz="0" w:space="0" w:color="auto"/>
        <w:bottom w:val="none" w:sz="0" w:space="0" w:color="auto"/>
        <w:right w:val="none" w:sz="0" w:space="0" w:color="auto"/>
      </w:divBdr>
    </w:div>
    <w:div w:id="974719095">
      <w:bodyDiv w:val="1"/>
      <w:marLeft w:val="0"/>
      <w:marRight w:val="0"/>
      <w:marTop w:val="0"/>
      <w:marBottom w:val="0"/>
      <w:divBdr>
        <w:top w:val="none" w:sz="0" w:space="0" w:color="auto"/>
        <w:left w:val="none" w:sz="0" w:space="0" w:color="auto"/>
        <w:bottom w:val="none" w:sz="0" w:space="0" w:color="auto"/>
        <w:right w:val="none" w:sz="0" w:space="0" w:color="auto"/>
      </w:divBdr>
    </w:div>
    <w:div w:id="974868290">
      <w:bodyDiv w:val="1"/>
      <w:marLeft w:val="0"/>
      <w:marRight w:val="0"/>
      <w:marTop w:val="0"/>
      <w:marBottom w:val="0"/>
      <w:divBdr>
        <w:top w:val="none" w:sz="0" w:space="0" w:color="auto"/>
        <w:left w:val="none" w:sz="0" w:space="0" w:color="auto"/>
        <w:bottom w:val="none" w:sz="0" w:space="0" w:color="auto"/>
        <w:right w:val="none" w:sz="0" w:space="0" w:color="auto"/>
      </w:divBdr>
    </w:div>
    <w:div w:id="974874219">
      <w:bodyDiv w:val="1"/>
      <w:marLeft w:val="0"/>
      <w:marRight w:val="0"/>
      <w:marTop w:val="0"/>
      <w:marBottom w:val="0"/>
      <w:divBdr>
        <w:top w:val="none" w:sz="0" w:space="0" w:color="auto"/>
        <w:left w:val="none" w:sz="0" w:space="0" w:color="auto"/>
        <w:bottom w:val="none" w:sz="0" w:space="0" w:color="auto"/>
        <w:right w:val="none" w:sz="0" w:space="0" w:color="auto"/>
      </w:divBdr>
    </w:div>
    <w:div w:id="974914834">
      <w:bodyDiv w:val="1"/>
      <w:marLeft w:val="0"/>
      <w:marRight w:val="0"/>
      <w:marTop w:val="0"/>
      <w:marBottom w:val="0"/>
      <w:divBdr>
        <w:top w:val="none" w:sz="0" w:space="0" w:color="auto"/>
        <w:left w:val="none" w:sz="0" w:space="0" w:color="auto"/>
        <w:bottom w:val="none" w:sz="0" w:space="0" w:color="auto"/>
        <w:right w:val="none" w:sz="0" w:space="0" w:color="auto"/>
      </w:divBdr>
    </w:div>
    <w:div w:id="974990350">
      <w:bodyDiv w:val="1"/>
      <w:marLeft w:val="0"/>
      <w:marRight w:val="0"/>
      <w:marTop w:val="0"/>
      <w:marBottom w:val="0"/>
      <w:divBdr>
        <w:top w:val="none" w:sz="0" w:space="0" w:color="auto"/>
        <w:left w:val="none" w:sz="0" w:space="0" w:color="auto"/>
        <w:bottom w:val="none" w:sz="0" w:space="0" w:color="auto"/>
        <w:right w:val="none" w:sz="0" w:space="0" w:color="auto"/>
      </w:divBdr>
    </w:div>
    <w:div w:id="974991546">
      <w:bodyDiv w:val="1"/>
      <w:marLeft w:val="0"/>
      <w:marRight w:val="0"/>
      <w:marTop w:val="0"/>
      <w:marBottom w:val="0"/>
      <w:divBdr>
        <w:top w:val="none" w:sz="0" w:space="0" w:color="auto"/>
        <w:left w:val="none" w:sz="0" w:space="0" w:color="auto"/>
        <w:bottom w:val="none" w:sz="0" w:space="0" w:color="auto"/>
        <w:right w:val="none" w:sz="0" w:space="0" w:color="auto"/>
      </w:divBdr>
    </w:div>
    <w:div w:id="975137416">
      <w:bodyDiv w:val="1"/>
      <w:marLeft w:val="0"/>
      <w:marRight w:val="0"/>
      <w:marTop w:val="0"/>
      <w:marBottom w:val="0"/>
      <w:divBdr>
        <w:top w:val="none" w:sz="0" w:space="0" w:color="auto"/>
        <w:left w:val="none" w:sz="0" w:space="0" w:color="auto"/>
        <w:bottom w:val="none" w:sz="0" w:space="0" w:color="auto"/>
        <w:right w:val="none" w:sz="0" w:space="0" w:color="auto"/>
      </w:divBdr>
    </w:div>
    <w:div w:id="975182511">
      <w:bodyDiv w:val="1"/>
      <w:marLeft w:val="0"/>
      <w:marRight w:val="0"/>
      <w:marTop w:val="0"/>
      <w:marBottom w:val="0"/>
      <w:divBdr>
        <w:top w:val="none" w:sz="0" w:space="0" w:color="auto"/>
        <w:left w:val="none" w:sz="0" w:space="0" w:color="auto"/>
        <w:bottom w:val="none" w:sz="0" w:space="0" w:color="auto"/>
        <w:right w:val="none" w:sz="0" w:space="0" w:color="auto"/>
      </w:divBdr>
    </w:div>
    <w:div w:id="975374365">
      <w:bodyDiv w:val="1"/>
      <w:marLeft w:val="0"/>
      <w:marRight w:val="0"/>
      <w:marTop w:val="0"/>
      <w:marBottom w:val="0"/>
      <w:divBdr>
        <w:top w:val="none" w:sz="0" w:space="0" w:color="auto"/>
        <w:left w:val="none" w:sz="0" w:space="0" w:color="auto"/>
        <w:bottom w:val="none" w:sz="0" w:space="0" w:color="auto"/>
        <w:right w:val="none" w:sz="0" w:space="0" w:color="auto"/>
      </w:divBdr>
    </w:div>
    <w:div w:id="975378486">
      <w:bodyDiv w:val="1"/>
      <w:marLeft w:val="0"/>
      <w:marRight w:val="0"/>
      <w:marTop w:val="0"/>
      <w:marBottom w:val="0"/>
      <w:divBdr>
        <w:top w:val="none" w:sz="0" w:space="0" w:color="auto"/>
        <w:left w:val="none" w:sz="0" w:space="0" w:color="auto"/>
        <w:bottom w:val="none" w:sz="0" w:space="0" w:color="auto"/>
        <w:right w:val="none" w:sz="0" w:space="0" w:color="auto"/>
      </w:divBdr>
    </w:div>
    <w:div w:id="975380700">
      <w:bodyDiv w:val="1"/>
      <w:marLeft w:val="0"/>
      <w:marRight w:val="0"/>
      <w:marTop w:val="0"/>
      <w:marBottom w:val="0"/>
      <w:divBdr>
        <w:top w:val="none" w:sz="0" w:space="0" w:color="auto"/>
        <w:left w:val="none" w:sz="0" w:space="0" w:color="auto"/>
        <w:bottom w:val="none" w:sz="0" w:space="0" w:color="auto"/>
        <w:right w:val="none" w:sz="0" w:space="0" w:color="auto"/>
      </w:divBdr>
    </w:div>
    <w:div w:id="975452272">
      <w:bodyDiv w:val="1"/>
      <w:marLeft w:val="0"/>
      <w:marRight w:val="0"/>
      <w:marTop w:val="0"/>
      <w:marBottom w:val="0"/>
      <w:divBdr>
        <w:top w:val="none" w:sz="0" w:space="0" w:color="auto"/>
        <w:left w:val="none" w:sz="0" w:space="0" w:color="auto"/>
        <w:bottom w:val="none" w:sz="0" w:space="0" w:color="auto"/>
        <w:right w:val="none" w:sz="0" w:space="0" w:color="auto"/>
      </w:divBdr>
    </w:div>
    <w:div w:id="975524353">
      <w:bodyDiv w:val="1"/>
      <w:marLeft w:val="0"/>
      <w:marRight w:val="0"/>
      <w:marTop w:val="0"/>
      <w:marBottom w:val="0"/>
      <w:divBdr>
        <w:top w:val="none" w:sz="0" w:space="0" w:color="auto"/>
        <w:left w:val="none" w:sz="0" w:space="0" w:color="auto"/>
        <w:bottom w:val="none" w:sz="0" w:space="0" w:color="auto"/>
        <w:right w:val="none" w:sz="0" w:space="0" w:color="auto"/>
      </w:divBdr>
    </w:div>
    <w:div w:id="975528244">
      <w:bodyDiv w:val="1"/>
      <w:marLeft w:val="0"/>
      <w:marRight w:val="0"/>
      <w:marTop w:val="0"/>
      <w:marBottom w:val="0"/>
      <w:divBdr>
        <w:top w:val="none" w:sz="0" w:space="0" w:color="auto"/>
        <w:left w:val="none" w:sz="0" w:space="0" w:color="auto"/>
        <w:bottom w:val="none" w:sz="0" w:space="0" w:color="auto"/>
        <w:right w:val="none" w:sz="0" w:space="0" w:color="auto"/>
      </w:divBdr>
    </w:div>
    <w:div w:id="975601517">
      <w:bodyDiv w:val="1"/>
      <w:marLeft w:val="0"/>
      <w:marRight w:val="0"/>
      <w:marTop w:val="0"/>
      <w:marBottom w:val="0"/>
      <w:divBdr>
        <w:top w:val="none" w:sz="0" w:space="0" w:color="auto"/>
        <w:left w:val="none" w:sz="0" w:space="0" w:color="auto"/>
        <w:bottom w:val="none" w:sz="0" w:space="0" w:color="auto"/>
        <w:right w:val="none" w:sz="0" w:space="0" w:color="auto"/>
      </w:divBdr>
    </w:div>
    <w:div w:id="975838101">
      <w:bodyDiv w:val="1"/>
      <w:marLeft w:val="0"/>
      <w:marRight w:val="0"/>
      <w:marTop w:val="0"/>
      <w:marBottom w:val="0"/>
      <w:divBdr>
        <w:top w:val="none" w:sz="0" w:space="0" w:color="auto"/>
        <w:left w:val="none" w:sz="0" w:space="0" w:color="auto"/>
        <w:bottom w:val="none" w:sz="0" w:space="0" w:color="auto"/>
        <w:right w:val="none" w:sz="0" w:space="0" w:color="auto"/>
      </w:divBdr>
    </w:div>
    <w:div w:id="975842015">
      <w:bodyDiv w:val="1"/>
      <w:marLeft w:val="0"/>
      <w:marRight w:val="0"/>
      <w:marTop w:val="0"/>
      <w:marBottom w:val="0"/>
      <w:divBdr>
        <w:top w:val="none" w:sz="0" w:space="0" w:color="auto"/>
        <w:left w:val="none" w:sz="0" w:space="0" w:color="auto"/>
        <w:bottom w:val="none" w:sz="0" w:space="0" w:color="auto"/>
        <w:right w:val="none" w:sz="0" w:space="0" w:color="auto"/>
      </w:divBdr>
    </w:div>
    <w:div w:id="975915639">
      <w:bodyDiv w:val="1"/>
      <w:marLeft w:val="0"/>
      <w:marRight w:val="0"/>
      <w:marTop w:val="0"/>
      <w:marBottom w:val="0"/>
      <w:divBdr>
        <w:top w:val="none" w:sz="0" w:space="0" w:color="auto"/>
        <w:left w:val="none" w:sz="0" w:space="0" w:color="auto"/>
        <w:bottom w:val="none" w:sz="0" w:space="0" w:color="auto"/>
        <w:right w:val="none" w:sz="0" w:space="0" w:color="auto"/>
      </w:divBdr>
    </w:div>
    <w:div w:id="975915685">
      <w:bodyDiv w:val="1"/>
      <w:marLeft w:val="0"/>
      <w:marRight w:val="0"/>
      <w:marTop w:val="0"/>
      <w:marBottom w:val="0"/>
      <w:divBdr>
        <w:top w:val="none" w:sz="0" w:space="0" w:color="auto"/>
        <w:left w:val="none" w:sz="0" w:space="0" w:color="auto"/>
        <w:bottom w:val="none" w:sz="0" w:space="0" w:color="auto"/>
        <w:right w:val="none" w:sz="0" w:space="0" w:color="auto"/>
      </w:divBdr>
    </w:div>
    <w:div w:id="975916450">
      <w:bodyDiv w:val="1"/>
      <w:marLeft w:val="0"/>
      <w:marRight w:val="0"/>
      <w:marTop w:val="0"/>
      <w:marBottom w:val="0"/>
      <w:divBdr>
        <w:top w:val="none" w:sz="0" w:space="0" w:color="auto"/>
        <w:left w:val="none" w:sz="0" w:space="0" w:color="auto"/>
        <w:bottom w:val="none" w:sz="0" w:space="0" w:color="auto"/>
        <w:right w:val="none" w:sz="0" w:space="0" w:color="auto"/>
      </w:divBdr>
    </w:div>
    <w:div w:id="976110409">
      <w:bodyDiv w:val="1"/>
      <w:marLeft w:val="0"/>
      <w:marRight w:val="0"/>
      <w:marTop w:val="0"/>
      <w:marBottom w:val="0"/>
      <w:divBdr>
        <w:top w:val="none" w:sz="0" w:space="0" w:color="auto"/>
        <w:left w:val="none" w:sz="0" w:space="0" w:color="auto"/>
        <w:bottom w:val="none" w:sz="0" w:space="0" w:color="auto"/>
        <w:right w:val="none" w:sz="0" w:space="0" w:color="auto"/>
      </w:divBdr>
    </w:div>
    <w:div w:id="976225977">
      <w:bodyDiv w:val="1"/>
      <w:marLeft w:val="0"/>
      <w:marRight w:val="0"/>
      <w:marTop w:val="0"/>
      <w:marBottom w:val="0"/>
      <w:divBdr>
        <w:top w:val="none" w:sz="0" w:space="0" w:color="auto"/>
        <w:left w:val="none" w:sz="0" w:space="0" w:color="auto"/>
        <w:bottom w:val="none" w:sz="0" w:space="0" w:color="auto"/>
        <w:right w:val="none" w:sz="0" w:space="0" w:color="auto"/>
      </w:divBdr>
    </w:div>
    <w:div w:id="976296885">
      <w:bodyDiv w:val="1"/>
      <w:marLeft w:val="0"/>
      <w:marRight w:val="0"/>
      <w:marTop w:val="0"/>
      <w:marBottom w:val="0"/>
      <w:divBdr>
        <w:top w:val="none" w:sz="0" w:space="0" w:color="auto"/>
        <w:left w:val="none" w:sz="0" w:space="0" w:color="auto"/>
        <w:bottom w:val="none" w:sz="0" w:space="0" w:color="auto"/>
        <w:right w:val="none" w:sz="0" w:space="0" w:color="auto"/>
      </w:divBdr>
    </w:div>
    <w:div w:id="976303251">
      <w:bodyDiv w:val="1"/>
      <w:marLeft w:val="0"/>
      <w:marRight w:val="0"/>
      <w:marTop w:val="0"/>
      <w:marBottom w:val="0"/>
      <w:divBdr>
        <w:top w:val="none" w:sz="0" w:space="0" w:color="auto"/>
        <w:left w:val="none" w:sz="0" w:space="0" w:color="auto"/>
        <w:bottom w:val="none" w:sz="0" w:space="0" w:color="auto"/>
        <w:right w:val="none" w:sz="0" w:space="0" w:color="auto"/>
      </w:divBdr>
    </w:div>
    <w:div w:id="976371656">
      <w:bodyDiv w:val="1"/>
      <w:marLeft w:val="0"/>
      <w:marRight w:val="0"/>
      <w:marTop w:val="0"/>
      <w:marBottom w:val="0"/>
      <w:divBdr>
        <w:top w:val="none" w:sz="0" w:space="0" w:color="auto"/>
        <w:left w:val="none" w:sz="0" w:space="0" w:color="auto"/>
        <w:bottom w:val="none" w:sz="0" w:space="0" w:color="auto"/>
        <w:right w:val="none" w:sz="0" w:space="0" w:color="auto"/>
      </w:divBdr>
    </w:div>
    <w:div w:id="976496504">
      <w:bodyDiv w:val="1"/>
      <w:marLeft w:val="0"/>
      <w:marRight w:val="0"/>
      <w:marTop w:val="0"/>
      <w:marBottom w:val="0"/>
      <w:divBdr>
        <w:top w:val="none" w:sz="0" w:space="0" w:color="auto"/>
        <w:left w:val="none" w:sz="0" w:space="0" w:color="auto"/>
        <w:bottom w:val="none" w:sz="0" w:space="0" w:color="auto"/>
        <w:right w:val="none" w:sz="0" w:space="0" w:color="auto"/>
      </w:divBdr>
    </w:div>
    <w:div w:id="976497210">
      <w:bodyDiv w:val="1"/>
      <w:marLeft w:val="0"/>
      <w:marRight w:val="0"/>
      <w:marTop w:val="0"/>
      <w:marBottom w:val="0"/>
      <w:divBdr>
        <w:top w:val="none" w:sz="0" w:space="0" w:color="auto"/>
        <w:left w:val="none" w:sz="0" w:space="0" w:color="auto"/>
        <w:bottom w:val="none" w:sz="0" w:space="0" w:color="auto"/>
        <w:right w:val="none" w:sz="0" w:space="0" w:color="auto"/>
      </w:divBdr>
    </w:div>
    <w:div w:id="976645343">
      <w:bodyDiv w:val="1"/>
      <w:marLeft w:val="0"/>
      <w:marRight w:val="0"/>
      <w:marTop w:val="0"/>
      <w:marBottom w:val="0"/>
      <w:divBdr>
        <w:top w:val="none" w:sz="0" w:space="0" w:color="auto"/>
        <w:left w:val="none" w:sz="0" w:space="0" w:color="auto"/>
        <w:bottom w:val="none" w:sz="0" w:space="0" w:color="auto"/>
        <w:right w:val="none" w:sz="0" w:space="0" w:color="auto"/>
      </w:divBdr>
    </w:div>
    <w:div w:id="976839513">
      <w:bodyDiv w:val="1"/>
      <w:marLeft w:val="0"/>
      <w:marRight w:val="0"/>
      <w:marTop w:val="0"/>
      <w:marBottom w:val="0"/>
      <w:divBdr>
        <w:top w:val="none" w:sz="0" w:space="0" w:color="auto"/>
        <w:left w:val="none" w:sz="0" w:space="0" w:color="auto"/>
        <w:bottom w:val="none" w:sz="0" w:space="0" w:color="auto"/>
        <w:right w:val="none" w:sz="0" w:space="0" w:color="auto"/>
      </w:divBdr>
    </w:div>
    <w:div w:id="976954423">
      <w:bodyDiv w:val="1"/>
      <w:marLeft w:val="0"/>
      <w:marRight w:val="0"/>
      <w:marTop w:val="0"/>
      <w:marBottom w:val="0"/>
      <w:divBdr>
        <w:top w:val="none" w:sz="0" w:space="0" w:color="auto"/>
        <w:left w:val="none" w:sz="0" w:space="0" w:color="auto"/>
        <w:bottom w:val="none" w:sz="0" w:space="0" w:color="auto"/>
        <w:right w:val="none" w:sz="0" w:space="0" w:color="auto"/>
      </w:divBdr>
    </w:div>
    <w:div w:id="976955514">
      <w:bodyDiv w:val="1"/>
      <w:marLeft w:val="0"/>
      <w:marRight w:val="0"/>
      <w:marTop w:val="0"/>
      <w:marBottom w:val="0"/>
      <w:divBdr>
        <w:top w:val="none" w:sz="0" w:space="0" w:color="auto"/>
        <w:left w:val="none" w:sz="0" w:space="0" w:color="auto"/>
        <w:bottom w:val="none" w:sz="0" w:space="0" w:color="auto"/>
        <w:right w:val="none" w:sz="0" w:space="0" w:color="auto"/>
      </w:divBdr>
    </w:div>
    <w:div w:id="977031735">
      <w:bodyDiv w:val="1"/>
      <w:marLeft w:val="0"/>
      <w:marRight w:val="0"/>
      <w:marTop w:val="0"/>
      <w:marBottom w:val="0"/>
      <w:divBdr>
        <w:top w:val="none" w:sz="0" w:space="0" w:color="auto"/>
        <w:left w:val="none" w:sz="0" w:space="0" w:color="auto"/>
        <w:bottom w:val="none" w:sz="0" w:space="0" w:color="auto"/>
        <w:right w:val="none" w:sz="0" w:space="0" w:color="auto"/>
      </w:divBdr>
    </w:div>
    <w:div w:id="977035101">
      <w:bodyDiv w:val="1"/>
      <w:marLeft w:val="0"/>
      <w:marRight w:val="0"/>
      <w:marTop w:val="0"/>
      <w:marBottom w:val="0"/>
      <w:divBdr>
        <w:top w:val="none" w:sz="0" w:space="0" w:color="auto"/>
        <w:left w:val="none" w:sz="0" w:space="0" w:color="auto"/>
        <w:bottom w:val="none" w:sz="0" w:space="0" w:color="auto"/>
        <w:right w:val="none" w:sz="0" w:space="0" w:color="auto"/>
      </w:divBdr>
    </w:div>
    <w:div w:id="977105633">
      <w:bodyDiv w:val="1"/>
      <w:marLeft w:val="0"/>
      <w:marRight w:val="0"/>
      <w:marTop w:val="0"/>
      <w:marBottom w:val="0"/>
      <w:divBdr>
        <w:top w:val="none" w:sz="0" w:space="0" w:color="auto"/>
        <w:left w:val="none" w:sz="0" w:space="0" w:color="auto"/>
        <w:bottom w:val="none" w:sz="0" w:space="0" w:color="auto"/>
        <w:right w:val="none" w:sz="0" w:space="0" w:color="auto"/>
      </w:divBdr>
    </w:div>
    <w:div w:id="977153857">
      <w:bodyDiv w:val="1"/>
      <w:marLeft w:val="0"/>
      <w:marRight w:val="0"/>
      <w:marTop w:val="0"/>
      <w:marBottom w:val="0"/>
      <w:divBdr>
        <w:top w:val="none" w:sz="0" w:space="0" w:color="auto"/>
        <w:left w:val="none" w:sz="0" w:space="0" w:color="auto"/>
        <w:bottom w:val="none" w:sz="0" w:space="0" w:color="auto"/>
        <w:right w:val="none" w:sz="0" w:space="0" w:color="auto"/>
      </w:divBdr>
    </w:div>
    <w:div w:id="977225208">
      <w:bodyDiv w:val="1"/>
      <w:marLeft w:val="0"/>
      <w:marRight w:val="0"/>
      <w:marTop w:val="0"/>
      <w:marBottom w:val="0"/>
      <w:divBdr>
        <w:top w:val="none" w:sz="0" w:space="0" w:color="auto"/>
        <w:left w:val="none" w:sz="0" w:space="0" w:color="auto"/>
        <w:bottom w:val="none" w:sz="0" w:space="0" w:color="auto"/>
        <w:right w:val="none" w:sz="0" w:space="0" w:color="auto"/>
      </w:divBdr>
    </w:div>
    <w:div w:id="977298520">
      <w:bodyDiv w:val="1"/>
      <w:marLeft w:val="0"/>
      <w:marRight w:val="0"/>
      <w:marTop w:val="0"/>
      <w:marBottom w:val="0"/>
      <w:divBdr>
        <w:top w:val="none" w:sz="0" w:space="0" w:color="auto"/>
        <w:left w:val="none" w:sz="0" w:space="0" w:color="auto"/>
        <w:bottom w:val="none" w:sz="0" w:space="0" w:color="auto"/>
        <w:right w:val="none" w:sz="0" w:space="0" w:color="auto"/>
      </w:divBdr>
    </w:div>
    <w:div w:id="977302211">
      <w:bodyDiv w:val="1"/>
      <w:marLeft w:val="0"/>
      <w:marRight w:val="0"/>
      <w:marTop w:val="0"/>
      <w:marBottom w:val="0"/>
      <w:divBdr>
        <w:top w:val="none" w:sz="0" w:space="0" w:color="auto"/>
        <w:left w:val="none" w:sz="0" w:space="0" w:color="auto"/>
        <w:bottom w:val="none" w:sz="0" w:space="0" w:color="auto"/>
        <w:right w:val="none" w:sz="0" w:space="0" w:color="auto"/>
      </w:divBdr>
    </w:div>
    <w:div w:id="977303967">
      <w:bodyDiv w:val="1"/>
      <w:marLeft w:val="0"/>
      <w:marRight w:val="0"/>
      <w:marTop w:val="0"/>
      <w:marBottom w:val="0"/>
      <w:divBdr>
        <w:top w:val="none" w:sz="0" w:space="0" w:color="auto"/>
        <w:left w:val="none" w:sz="0" w:space="0" w:color="auto"/>
        <w:bottom w:val="none" w:sz="0" w:space="0" w:color="auto"/>
        <w:right w:val="none" w:sz="0" w:space="0" w:color="auto"/>
      </w:divBdr>
    </w:div>
    <w:div w:id="977492550">
      <w:bodyDiv w:val="1"/>
      <w:marLeft w:val="0"/>
      <w:marRight w:val="0"/>
      <w:marTop w:val="0"/>
      <w:marBottom w:val="0"/>
      <w:divBdr>
        <w:top w:val="none" w:sz="0" w:space="0" w:color="auto"/>
        <w:left w:val="none" w:sz="0" w:space="0" w:color="auto"/>
        <w:bottom w:val="none" w:sz="0" w:space="0" w:color="auto"/>
        <w:right w:val="none" w:sz="0" w:space="0" w:color="auto"/>
      </w:divBdr>
    </w:div>
    <w:div w:id="977536663">
      <w:bodyDiv w:val="1"/>
      <w:marLeft w:val="0"/>
      <w:marRight w:val="0"/>
      <w:marTop w:val="0"/>
      <w:marBottom w:val="0"/>
      <w:divBdr>
        <w:top w:val="none" w:sz="0" w:space="0" w:color="auto"/>
        <w:left w:val="none" w:sz="0" w:space="0" w:color="auto"/>
        <w:bottom w:val="none" w:sz="0" w:space="0" w:color="auto"/>
        <w:right w:val="none" w:sz="0" w:space="0" w:color="auto"/>
      </w:divBdr>
    </w:div>
    <w:div w:id="977802933">
      <w:bodyDiv w:val="1"/>
      <w:marLeft w:val="0"/>
      <w:marRight w:val="0"/>
      <w:marTop w:val="0"/>
      <w:marBottom w:val="0"/>
      <w:divBdr>
        <w:top w:val="none" w:sz="0" w:space="0" w:color="auto"/>
        <w:left w:val="none" w:sz="0" w:space="0" w:color="auto"/>
        <w:bottom w:val="none" w:sz="0" w:space="0" w:color="auto"/>
        <w:right w:val="none" w:sz="0" w:space="0" w:color="auto"/>
      </w:divBdr>
    </w:div>
    <w:div w:id="977876233">
      <w:bodyDiv w:val="1"/>
      <w:marLeft w:val="0"/>
      <w:marRight w:val="0"/>
      <w:marTop w:val="0"/>
      <w:marBottom w:val="0"/>
      <w:divBdr>
        <w:top w:val="none" w:sz="0" w:space="0" w:color="auto"/>
        <w:left w:val="none" w:sz="0" w:space="0" w:color="auto"/>
        <w:bottom w:val="none" w:sz="0" w:space="0" w:color="auto"/>
        <w:right w:val="none" w:sz="0" w:space="0" w:color="auto"/>
      </w:divBdr>
    </w:div>
    <w:div w:id="977877215">
      <w:bodyDiv w:val="1"/>
      <w:marLeft w:val="0"/>
      <w:marRight w:val="0"/>
      <w:marTop w:val="0"/>
      <w:marBottom w:val="0"/>
      <w:divBdr>
        <w:top w:val="none" w:sz="0" w:space="0" w:color="auto"/>
        <w:left w:val="none" w:sz="0" w:space="0" w:color="auto"/>
        <w:bottom w:val="none" w:sz="0" w:space="0" w:color="auto"/>
        <w:right w:val="none" w:sz="0" w:space="0" w:color="auto"/>
      </w:divBdr>
    </w:div>
    <w:div w:id="978000709">
      <w:bodyDiv w:val="1"/>
      <w:marLeft w:val="0"/>
      <w:marRight w:val="0"/>
      <w:marTop w:val="0"/>
      <w:marBottom w:val="0"/>
      <w:divBdr>
        <w:top w:val="none" w:sz="0" w:space="0" w:color="auto"/>
        <w:left w:val="none" w:sz="0" w:space="0" w:color="auto"/>
        <w:bottom w:val="none" w:sz="0" w:space="0" w:color="auto"/>
        <w:right w:val="none" w:sz="0" w:space="0" w:color="auto"/>
      </w:divBdr>
    </w:div>
    <w:div w:id="978002382">
      <w:bodyDiv w:val="1"/>
      <w:marLeft w:val="0"/>
      <w:marRight w:val="0"/>
      <w:marTop w:val="0"/>
      <w:marBottom w:val="0"/>
      <w:divBdr>
        <w:top w:val="none" w:sz="0" w:space="0" w:color="auto"/>
        <w:left w:val="none" w:sz="0" w:space="0" w:color="auto"/>
        <w:bottom w:val="none" w:sz="0" w:space="0" w:color="auto"/>
        <w:right w:val="none" w:sz="0" w:space="0" w:color="auto"/>
      </w:divBdr>
    </w:div>
    <w:div w:id="978190345">
      <w:bodyDiv w:val="1"/>
      <w:marLeft w:val="0"/>
      <w:marRight w:val="0"/>
      <w:marTop w:val="0"/>
      <w:marBottom w:val="0"/>
      <w:divBdr>
        <w:top w:val="none" w:sz="0" w:space="0" w:color="auto"/>
        <w:left w:val="none" w:sz="0" w:space="0" w:color="auto"/>
        <w:bottom w:val="none" w:sz="0" w:space="0" w:color="auto"/>
        <w:right w:val="none" w:sz="0" w:space="0" w:color="auto"/>
      </w:divBdr>
    </w:div>
    <w:div w:id="978338192">
      <w:bodyDiv w:val="1"/>
      <w:marLeft w:val="0"/>
      <w:marRight w:val="0"/>
      <w:marTop w:val="0"/>
      <w:marBottom w:val="0"/>
      <w:divBdr>
        <w:top w:val="none" w:sz="0" w:space="0" w:color="auto"/>
        <w:left w:val="none" w:sz="0" w:space="0" w:color="auto"/>
        <w:bottom w:val="none" w:sz="0" w:space="0" w:color="auto"/>
        <w:right w:val="none" w:sz="0" w:space="0" w:color="auto"/>
      </w:divBdr>
    </w:div>
    <w:div w:id="978412335">
      <w:bodyDiv w:val="1"/>
      <w:marLeft w:val="0"/>
      <w:marRight w:val="0"/>
      <w:marTop w:val="0"/>
      <w:marBottom w:val="0"/>
      <w:divBdr>
        <w:top w:val="none" w:sz="0" w:space="0" w:color="auto"/>
        <w:left w:val="none" w:sz="0" w:space="0" w:color="auto"/>
        <w:bottom w:val="none" w:sz="0" w:space="0" w:color="auto"/>
        <w:right w:val="none" w:sz="0" w:space="0" w:color="auto"/>
      </w:divBdr>
    </w:div>
    <w:div w:id="978726090">
      <w:bodyDiv w:val="1"/>
      <w:marLeft w:val="0"/>
      <w:marRight w:val="0"/>
      <w:marTop w:val="0"/>
      <w:marBottom w:val="0"/>
      <w:divBdr>
        <w:top w:val="none" w:sz="0" w:space="0" w:color="auto"/>
        <w:left w:val="none" w:sz="0" w:space="0" w:color="auto"/>
        <w:bottom w:val="none" w:sz="0" w:space="0" w:color="auto"/>
        <w:right w:val="none" w:sz="0" w:space="0" w:color="auto"/>
      </w:divBdr>
    </w:div>
    <w:div w:id="978807051">
      <w:bodyDiv w:val="1"/>
      <w:marLeft w:val="0"/>
      <w:marRight w:val="0"/>
      <w:marTop w:val="0"/>
      <w:marBottom w:val="0"/>
      <w:divBdr>
        <w:top w:val="none" w:sz="0" w:space="0" w:color="auto"/>
        <w:left w:val="none" w:sz="0" w:space="0" w:color="auto"/>
        <w:bottom w:val="none" w:sz="0" w:space="0" w:color="auto"/>
        <w:right w:val="none" w:sz="0" w:space="0" w:color="auto"/>
      </w:divBdr>
    </w:div>
    <w:div w:id="978807954">
      <w:bodyDiv w:val="1"/>
      <w:marLeft w:val="0"/>
      <w:marRight w:val="0"/>
      <w:marTop w:val="0"/>
      <w:marBottom w:val="0"/>
      <w:divBdr>
        <w:top w:val="none" w:sz="0" w:space="0" w:color="auto"/>
        <w:left w:val="none" w:sz="0" w:space="0" w:color="auto"/>
        <w:bottom w:val="none" w:sz="0" w:space="0" w:color="auto"/>
        <w:right w:val="none" w:sz="0" w:space="0" w:color="auto"/>
      </w:divBdr>
    </w:div>
    <w:div w:id="978924040">
      <w:bodyDiv w:val="1"/>
      <w:marLeft w:val="0"/>
      <w:marRight w:val="0"/>
      <w:marTop w:val="0"/>
      <w:marBottom w:val="0"/>
      <w:divBdr>
        <w:top w:val="none" w:sz="0" w:space="0" w:color="auto"/>
        <w:left w:val="none" w:sz="0" w:space="0" w:color="auto"/>
        <w:bottom w:val="none" w:sz="0" w:space="0" w:color="auto"/>
        <w:right w:val="none" w:sz="0" w:space="0" w:color="auto"/>
      </w:divBdr>
    </w:div>
    <w:div w:id="978996986">
      <w:bodyDiv w:val="1"/>
      <w:marLeft w:val="0"/>
      <w:marRight w:val="0"/>
      <w:marTop w:val="0"/>
      <w:marBottom w:val="0"/>
      <w:divBdr>
        <w:top w:val="none" w:sz="0" w:space="0" w:color="auto"/>
        <w:left w:val="none" w:sz="0" w:space="0" w:color="auto"/>
        <w:bottom w:val="none" w:sz="0" w:space="0" w:color="auto"/>
        <w:right w:val="none" w:sz="0" w:space="0" w:color="auto"/>
      </w:divBdr>
    </w:div>
    <w:div w:id="978997238">
      <w:bodyDiv w:val="1"/>
      <w:marLeft w:val="0"/>
      <w:marRight w:val="0"/>
      <w:marTop w:val="0"/>
      <w:marBottom w:val="0"/>
      <w:divBdr>
        <w:top w:val="none" w:sz="0" w:space="0" w:color="auto"/>
        <w:left w:val="none" w:sz="0" w:space="0" w:color="auto"/>
        <w:bottom w:val="none" w:sz="0" w:space="0" w:color="auto"/>
        <w:right w:val="none" w:sz="0" w:space="0" w:color="auto"/>
      </w:divBdr>
    </w:div>
    <w:div w:id="979074765">
      <w:bodyDiv w:val="1"/>
      <w:marLeft w:val="0"/>
      <w:marRight w:val="0"/>
      <w:marTop w:val="0"/>
      <w:marBottom w:val="0"/>
      <w:divBdr>
        <w:top w:val="none" w:sz="0" w:space="0" w:color="auto"/>
        <w:left w:val="none" w:sz="0" w:space="0" w:color="auto"/>
        <w:bottom w:val="none" w:sz="0" w:space="0" w:color="auto"/>
        <w:right w:val="none" w:sz="0" w:space="0" w:color="auto"/>
      </w:divBdr>
    </w:div>
    <w:div w:id="979261835">
      <w:bodyDiv w:val="1"/>
      <w:marLeft w:val="0"/>
      <w:marRight w:val="0"/>
      <w:marTop w:val="0"/>
      <w:marBottom w:val="0"/>
      <w:divBdr>
        <w:top w:val="none" w:sz="0" w:space="0" w:color="auto"/>
        <w:left w:val="none" w:sz="0" w:space="0" w:color="auto"/>
        <w:bottom w:val="none" w:sz="0" w:space="0" w:color="auto"/>
        <w:right w:val="none" w:sz="0" w:space="0" w:color="auto"/>
      </w:divBdr>
    </w:div>
    <w:div w:id="979382942">
      <w:bodyDiv w:val="1"/>
      <w:marLeft w:val="0"/>
      <w:marRight w:val="0"/>
      <w:marTop w:val="0"/>
      <w:marBottom w:val="0"/>
      <w:divBdr>
        <w:top w:val="none" w:sz="0" w:space="0" w:color="auto"/>
        <w:left w:val="none" w:sz="0" w:space="0" w:color="auto"/>
        <w:bottom w:val="none" w:sz="0" w:space="0" w:color="auto"/>
        <w:right w:val="none" w:sz="0" w:space="0" w:color="auto"/>
      </w:divBdr>
    </w:div>
    <w:div w:id="979385673">
      <w:bodyDiv w:val="1"/>
      <w:marLeft w:val="0"/>
      <w:marRight w:val="0"/>
      <w:marTop w:val="0"/>
      <w:marBottom w:val="0"/>
      <w:divBdr>
        <w:top w:val="none" w:sz="0" w:space="0" w:color="auto"/>
        <w:left w:val="none" w:sz="0" w:space="0" w:color="auto"/>
        <w:bottom w:val="none" w:sz="0" w:space="0" w:color="auto"/>
        <w:right w:val="none" w:sz="0" w:space="0" w:color="auto"/>
      </w:divBdr>
    </w:div>
    <w:div w:id="979455607">
      <w:bodyDiv w:val="1"/>
      <w:marLeft w:val="0"/>
      <w:marRight w:val="0"/>
      <w:marTop w:val="0"/>
      <w:marBottom w:val="0"/>
      <w:divBdr>
        <w:top w:val="none" w:sz="0" w:space="0" w:color="auto"/>
        <w:left w:val="none" w:sz="0" w:space="0" w:color="auto"/>
        <w:bottom w:val="none" w:sz="0" w:space="0" w:color="auto"/>
        <w:right w:val="none" w:sz="0" w:space="0" w:color="auto"/>
      </w:divBdr>
    </w:div>
    <w:div w:id="979462982">
      <w:bodyDiv w:val="1"/>
      <w:marLeft w:val="0"/>
      <w:marRight w:val="0"/>
      <w:marTop w:val="0"/>
      <w:marBottom w:val="0"/>
      <w:divBdr>
        <w:top w:val="none" w:sz="0" w:space="0" w:color="auto"/>
        <w:left w:val="none" w:sz="0" w:space="0" w:color="auto"/>
        <w:bottom w:val="none" w:sz="0" w:space="0" w:color="auto"/>
        <w:right w:val="none" w:sz="0" w:space="0" w:color="auto"/>
      </w:divBdr>
    </w:div>
    <w:div w:id="979505672">
      <w:bodyDiv w:val="1"/>
      <w:marLeft w:val="0"/>
      <w:marRight w:val="0"/>
      <w:marTop w:val="0"/>
      <w:marBottom w:val="0"/>
      <w:divBdr>
        <w:top w:val="none" w:sz="0" w:space="0" w:color="auto"/>
        <w:left w:val="none" w:sz="0" w:space="0" w:color="auto"/>
        <w:bottom w:val="none" w:sz="0" w:space="0" w:color="auto"/>
        <w:right w:val="none" w:sz="0" w:space="0" w:color="auto"/>
      </w:divBdr>
    </w:div>
    <w:div w:id="979649581">
      <w:bodyDiv w:val="1"/>
      <w:marLeft w:val="0"/>
      <w:marRight w:val="0"/>
      <w:marTop w:val="0"/>
      <w:marBottom w:val="0"/>
      <w:divBdr>
        <w:top w:val="none" w:sz="0" w:space="0" w:color="auto"/>
        <w:left w:val="none" w:sz="0" w:space="0" w:color="auto"/>
        <w:bottom w:val="none" w:sz="0" w:space="0" w:color="auto"/>
        <w:right w:val="none" w:sz="0" w:space="0" w:color="auto"/>
      </w:divBdr>
    </w:div>
    <w:div w:id="979766444">
      <w:bodyDiv w:val="1"/>
      <w:marLeft w:val="0"/>
      <w:marRight w:val="0"/>
      <w:marTop w:val="0"/>
      <w:marBottom w:val="0"/>
      <w:divBdr>
        <w:top w:val="none" w:sz="0" w:space="0" w:color="auto"/>
        <w:left w:val="none" w:sz="0" w:space="0" w:color="auto"/>
        <w:bottom w:val="none" w:sz="0" w:space="0" w:color="auto"/>
        <w:right w:val="none" w:sz="0" w:space="0" w:color="auto"/>
      </w:divBdr>
    </w:div>
    <w:div w:id="979769691">
      <w:bodyDiv w:val="1"/>
      <w:marLeft w:val="0"/>
      <w:marRight w:val="0"/>
      <w:marTop w:val="0"/>
      <w:marBottom w:val="0"/>
      <w:divBdr>
        <w:top w:val="none" w:sz="0" w:space="0" w:color="auto"/>
        <w:left w:val="none" w:sz="0" w:space="0" w:color="auto"/>
        <w:bottom w:val="none" w:sz="0" w:space="0" w:color="auto"/>
        <w:right w:val="none" w:sz="0" w:space="0" w:color="auto"/>
      </w:divBdr>
    </w:div>
    <w:div w:id="979774687">
      <w:bodyDiv w:val="1"/>
      <w:marLeft w:val="0"/>
      <w:marRight w:val="0"/>
      <w:marTop w:val="0"/>
      <w:marBottom w:val="0"/>
      <w:divBdr>
        <w:top w:val="none" w:sz="0" w:space="0" w:color="auto"/>
        <w:left w:val="none" w:sz="0" w:space="0" w:color="auto"/>
        <w:bottom w:val="none" w:sz="0" w:space="0" w:color="auto"/>
        <w:right w:val="none" w:sz="0" w:space="0" w:color="auto"/>
      </w:divBdr>
    </w:div>
    <w:div w:id="979846486">
      <w:bodyDiv w:val="1"/>
      <w:marLeft w:val="0"/>
      <w:marRight w:val="0"/>
      <w:marTop w:val="0"/>
      <w:marBottom w:val="0"/>
      <w:divBdr>
        <w:top w:val="none" w:sz="0" w:space="0" w:color="auto"/>
        <w:left w:val="none" w:sz="0" w:space="0" w:color="auto"/>
        <w:bottom w:val="none" w:sz="0" w:space="0" w:color="auto"/>
        <w:right w:val="none" w:sz="0" w:space="0" w:color="auto"/>
      </w:divBdr>
    </w:div>
    <w:div w:id="979847825">
      <w:bodyDiv w:val="1"/>
      <w:marLeft w:val="0"/>
      <w:marRight w:val="0"/>
      <w:marTop w:val="0"/>
      <w:marBottom w:val="0"/>
      <w:divBdr>
        <w:top w:val="none" w:sz="0" w:space="0" w:color="auto"/>
        <w:left w:val="none" w:sz="0" w:space="0" w:color="auto"/>
        <w:bottom w:val="none" w:sz="0" w:space="0" w:color="auto"/>
        <w:right w:val="none" w:sz="0" w:space="0" w:color="auto"/>
      </w:divBdr>
    </w:div>
    <w:div w:id="980037528">
      <w:bodyDiv w:val="1"/>
      <w:marLeft w:val="0"/>
      <w:marRight w:val="0"/>
      <w:marTop w:val="0"/>
      <w:marBottom w:val="0"/>
      <w:divBdr>
        <w:top w:val="none" w:sz="0" w:space="0" w:color="auto"/>
        <w:left w:val="none" w:sz="0" w:space="0" w:color="auto"/>
        <w:bottom w:val="none" w:sz="0" w:space="0" w:color="auto"/>
        <w:right w:val="none" w:sz="0" w:space="0" w:color="auto"/>
      </w:divBdr>
    </w:div>
    <w:div w:id="980041786">
      <w:bodyDiv w:val="1"/>
      <w:marLeft w:val="0"/>
      <w:marRight w:val="0"/>
      <w:marTop w:val="0"/>
      <w:marBottom w:val="0"/>
      <w:divBdr>
        <w:top w:val="none" w:sz="0" w:space="0" w:color="auto"/>
        <w:left w:val="none" w:sz="0" w:space="0" w:color="auto"/>
        <w:bottom w:val="none" w:sz="0" w:space="0" w:color="auto"/>
        <w:right w:val="none" w:sz="0" w:space="0" w:color="auto"/>
      </w:divBdr>
    </w:div>
    <w:div w:id="980228552">
      <w:bodyDiv w:val="1"/>
      <w:marLeft w:val="0"/>
      <w:marRight w:val="0"/>
      <w:marTop w:val="0"/>
      <w:marBottom w:val="0"/>
      <w:divBdr>
        <w:top w:val="none" w:sz="0" w:space="0" w:color="auto"/>
        <w:left w:val="none" w:sz="0" w:space="0" w:color="auto"/>
        <w:bottom w:val="none" w:sz="0" w:space="0" w:color="auto"/>
        <w:right w:val="none" w:sz="0" w:space="0" w:color="auto"/>
      </w:divBdr>
    </w:div>
    <w:div w:id="980306407">
      <w:bodyDiv w:val="1"/>
      <w:marLeft w:val="0"/>
      <w:marRight w:val="0"/>
      <w:marTop w:val="0"/>
      <w:marBottom w:val="0"/>
      <w:divBdr>
        <w:top w:val="none" w:sz="0" w:space="0" w:color="auto"/>
        <w:left w:val="none" w:sz="0" w:space="0" w:color="auto"/>
        <w:bottom w:val="none" w:sz="0" w:space="0" w:color="auto"/>
        <w:right w:val="none" w:sz="0" w:space="0" w:color="auto"/>
      </w:divBdr>
    </w:div>
    <w:div w:id="980380250">
      <w:bodyDiv w:val="1"/>
      <w:marLeft w:val="0"/>
      <w:marRight w:val="0"/>
      <w:marTop w:val="0"/>
      <w:marBottom w:val="0"/>
      <w:divBdr>
        <w:top w:val="none" w:sz="0" w:space="0" w:color="auto"/>
        <w:left w:val="none" w:sz="0" w:space="0" w:color="auto"/>
        <w:bottom w:val="none" w:sz="0" w:space="0" w:color="auto"/>
        <w:right w:val="none" w:sz="0" w:space="0" w:color="auto"/>
      </w:divBdr>
    </w:div>
    <w:div w:id="980426025">
      <w:bodyDiv w:val="1"/>
      <w:marLeft w:val="0"/>
      <w:marRight w:val="0"/>
      <w:marTop w:val="0"/>
      <w:marBottom w:val="0"/>
      <w:divBdr>
        <w:top w:val="none" w:sz="0" w:space="0" w:color="auto"/>
        <w:left w:val="none" w:sz="0" w:space="0" w:color="auto"/>
        <w:bottom w:val="none" w:sz="0" w:space="0" w:color="auto"/>
        <w:right w:val="none" w:sz="0" w:space="0" w:color="auto"/>
      </w:divBdr>
    </w:div>
    <w:div w:id="980773197">
      <w:bodyDiv w:val="1"/>
      <w:marLeft w:val="0"/>
      <w:marRight w:val="0"/>
      <w:marTop w:val="0"/>
      <w:marBottom w:val="0"/>
      <w:divBdr>
        <w:top w:val="none" w:sz="0" w:space="0" w:color="auto"/>
        <w:left w:val="none" w:sz="0" w:space="0" w:color="auto"/>
        <w:bottom w:val="none" w:sz="0" w:space="0" w:color="auto"/>
        <w:right w:val="none" w:sz="0" w:space="0" w:color="auto"/>
      </w:divBdr>
    </w:div>
    <w:div w:id="980814137">
      <w:bodyDiv w:val="1"/>
      <w:marLeft w:val="0"/>
      <w:marRight w:val="0"/>
      <w:marTop w:val="0"/>
      <w:marBottom w:val="0"/>
      <w:divBdr>
        <w:top w:val="none" w:sz="0" w:space="0" w:color="auto"/>
        <w:left w:val="none" w:sz="0" w:space="0" w:color="auto"/>
        <w:bottom w:val="none" w:sz="0" w:space="0" w:color="auto"/>
        <w:right w:val="none" w:sz="0" w:space="0" w:color="auto"/>
      </w:divBdr>
    </w:div>
    <w:div w:id="980958514">
      <w:bodyDiv w:val="1"/>
      <w:marLeft w:val="0"/>
      <w:marRight w:val="0"/>
      <w:marTop w:val="0"/>
      <w:marBottom w:val="0"/>
      <w:divBdr>
        <w:top w:val="none" w:sz="0" w:space="0" w:color="auto"/>
        <w:left w:val="none" w:sz="0" w:space="0" w:color="auto"/>
        <w:bottom w:val="none" w:sz="0" w:space="0" w:color="auto"/>
        <w:right w:val="none" w:sz="0" w:space="0" w:color="auto"/>
      </w:divBdr>
    </w:div>
    <w:div w:id="981083007">
      <w:bodyDiv w:val="1"/>
      <w:marLeft w:val="0"/>
      <w:marRight w:val="0"/>
      <w:marTop w:val="0"/>
      <w:marBottom w:val="0"/>
      <w:divBdr>
        <w:top w:val="none" w:sz="0" w:space="0" w:color="auto"/>
        <w:left w:val="none" w:sz="0" w:space="0" w:color="auto"/>
        <w:bottom w:val="none" w:sz="0" w:space="0" w:color="auto"/>
        <w:right w:val="none" w:sz="0" w:space="0" w:color="auto"/>
      </w:divBdr>
    </w:div>
    <w:div w:id="981152976">
      <w:bodyDiv w:val="1"/>
      <w:marLeft w:val="0"/>
      <w:marRight w:val="0"/>
      <w:marTop w:val="0"/>
      <w:marBottom w:val="0"/>
      <w:divBdr>
        <w:top w:val="none" w:sz="0" w:space="0" w:color="auto"/>
        <w:left w:val="none" w:sz="0" w:space="0" w:color="auto"/>
        <w:bottom w:val="none" w:sz="0" w:space="0" w:color="auto"/>
        <w:right w:val="none" w:sz="0" w:space="0" w:color="auto"/>
      </w:divBdr>
    </w:div>
    <w:div w:id="981153417">
      <w:bodyDiv w:val="1"/>
      <w:marLeft w:val="0"/>
      <w:marRight w:val="0"/>
      <w:marTop w:val="0"/>
      <w:marBottom w:val="0"/>
      <w:divBdr>
        <w:top w:val="none" w:sz="0" w:space="0" w:color="auto"/>
        <w:left w:val="none" w:sz="0" w:space="0" w:color="auto"/>
        <w:bottom w:val="none" w:sz="0" w:space="0" w:color="auto"/>
        <w:right w:val="none" w:sz="0" w:space="0" w:color="auto"/>
      </w:divBdr>
    </w:div>
    <w:div w:id="981155168">
      <w:bodyDiv w:val="1"/>
      <w:marLeft w:val="0"/>
      <w:marRight w:val="0"/>
      <w:marTop w:val="0"/>
      <w:marBottom w:val="0"/>
      <w:divBdr>
        <w:top w:val="none" w:sz="0" w:space="0" w:color="auto"/>
        <w:left w:val="none" w:sz="0" w:space="0" w:color="auto"/>
        <w:bottom w:val="none" w:sz="0" w:space="0" w:color="auto"/>
        <w:right w:val="none" w:sz="0" w:space="0" w:color="auto"/>
      </w:divBdr>
    </w:div>
    <w:div w:id="981231670">
      <w:bodyDiv w:val="1"/>
      <w:marLeft w:val="0"/>
      <w:marRight w:val="0"/>
      <w:marTop w:val="0"/>
      <w:marBottom w:val="0"/>
      <w:divBdr>
        <w:top w:val="none" w:sz="0" w:space="0" w:color="auto"/>
        <w:left w:val="none" w:sz="0" w:space="0" w:color="auto"/>
        <w:bottom w:val="none" w:sz="0" w:space="0" w:color="auto"/>
        <w:right w:val="none" w:sz="0" w:space="0" w:color="auto"/>
      </w:divBdr>
    </w:div>
    <w:div w:id="981235684">
      <w:bodyDiv w:val="1"/>
      <w:marLeft w:val="0"/>
      <w:marRight w:val="0"/>
      <w:marTop w:val="0"/>
      <w:marBottom w:val="0"/>
      <w:divBdr>
        <w:top w:val="none" w:sz="0" w:space="0" w:color="auto"/>
        <w:left w:val="none" w:sz="0" w:space="0" w:color="auto"/>
        <w:bottom w:val="none" w:sz="0" w:space="0" w:color="auto"/>
        <w:right w:val="none" w:sz="0" w:space="0" w:color="auto"/>
      </w:divBdr>
    </w:div>
    <w:div w:id="981271598">
      <w:bodyDiv w:val="1"/>
      <w:marLeft w:val="0"/>
      <w:marRight w:val="0"/>
      <w:marTop w:val="0"/>
      <w:marBottom w:val="0"/>
      <w:divBdr>
        <w:top w:val="none" w:sz="0" w:space="0" w:color="auto"/>
        <w:left w:val="none" w:sz="0" w:space="0" w:color="auto"/>
        <w:bottom w:val="none" w:sz="0" w:space="0" w:color="auto"/>
        <w:right w:val="none" w:sz="0" w:space="0" w:color="auto"/>
      </w:divBdr>
    </w:div>
    <w:div w:id="981345864">
      <w:bodyDiv w:val="1"/>
      <w:marLeft w:val="0"/>
      <w:marRight w:val="0"/>
      <w:marTop w:val="0"/>
      <w:marBottom w:val="0"/>
      <w:divBdr>
        <w:top w:val="none" w:sz="0" w:space="0" w:color="auto"/>
        <w:left w:val="none" w:sz="0" w:space="0" w:color="auto"/>
        <w:bottom w:val="none" w:sz="0" w:space="0" w:color="auto"/>
        <w:right w:val="none" w:sz="0" w:space="0" w:color="auto"/>
      </w:divBdr>
    </w:div>
    <w:div w:id="981348585">
      <w:bodyDiv w:val="1"/>
      <w:marLeft w:val="0"/>
      <w:marRight w:val="0"/>
      <w:marTop w:val="0"/>
      <w:marBottom w:val="0"/>
      <w:divBdr>
        <w:top w:val="none" w:sz="0" w:space="0" w:color="auto"/>
        <w:left w:val="none" w:sz="0" w:space="0" w:color="auto"/>
        <w:bottom w:val="none" w:sz="0" w:space="0" w:color="auto"/>
        <w:right w:val="none" w:sz="0" w:space="0" w:color="auto"/>
      </w:divBdr>
    </w:div>
    <w:div w:id="981421576">
      <w:bodyDiv w:val="1"/>
      <w:marLeft w:val="0"/>
      <w:marRight w:val="0"/>
      <w:marTop w:val="0"/>
      <w:marBottom w:val="0"/>
      <w:divBdr>
        <w:top w:val="none" w:sz="0" w:space="0" w:color="auto"/>
        <w:left w:val="none" w:sz="0" w:space="0" w:color="auto"/>
        <w:bottom w:val="none" w:sz="0" w:space="0" w:color="auto"/>
        <w:right w:val="none" w:sz="0" w:space="0" w:color="auto"/>
      </w:divBdr>
    </w:div>
    <w:div w:id="981427304">
      <w:bodyDiv w:val="1"/>
      <w:marLeft w:val="0"/>
      <w:marRight w:val="0"/>
      <w:marTop w:val="0"/>
      <w:marBottom w:val="0"/>
      <w:divBdr>
        <w:top w:val="none" w:sz="0" w:space="0" w:color="auto"/>
        <w:left w:val="none" w:sz="0" w:space="0" w:color="auto"/>
        <w:bottom w:val="none" w:sz="0" w:space="0" w:color="auto"/>
        <w:right w:val="none" w:sz="0" w:space="0" w:color="auto"/>
      </w:divBdr>
    </w:div>
    <w:div w:id="981499884">
      <w:bodyDiv w:val="1"/>
      <w:marLeft w:val="0"/>
      <w:marRight w:val="0"/>
      <w:marTop w:val="0"/>
      <w:marBottom w:val="0"/>
      <w:divBdr>
        <w:top w:val="none" w:sz="0" w:space="0" w:color="auto"/>
        <w:left w:val="none" w:sz="0" w:space="0" w:color="auto"/>
        <w:bottom w:val="none" w:sz="0" w:space="0" w:color="auto"/>
        <w:right w:val="none" w:sz="0" w:space="0" w:color="auto"/>
      </w:divBdr>
    </w:div>
    <w:div w:id="981543307">
      <w:bodyDiv w:val="1"/>
      <w:marLeft w:val="0"/>
      <w:marRight w:val="0"/>
      <w:marTop w:val="0"/>
      <w:marBottom w:val="0"/>
      <w:divBdr>
        <w:top w:val="none" w:sz="0" w:space="0" w:color="auto"/>
        <w:left w:val="none" w:sz="0" w:space="0" w:color="auto"/>
        <w:bottom w:val="none" w:sz="0" w:space="0" w:color="auto"/>
        <w:right w:val="none" w:sz="0" w:space="0" w:color="auto"/>
      </w:divBdr>
    </w:div>
    <w:div w:id="981615974">
      <w:bodyDiv w:val="1"/>
      <w:marLeft w:val="0"/>
      <w:marRight w:val="0"/>
      <w:marTop w:val="0"/>
      <w:marBottom w:val="0"/>
      <w:divBdr>
        <w:top w:val="none" w:sz="0" w:space="0" w:color="auto"/>
        <w:left w:val="none" w:sz="0" w:space="0" w:color="auto"/>
        <w:bottom w:val="none" w:sz="0" w:space="0" w:color="auto"/>
        <w:right w:val="none" w:sz="0" w:space="0" w:color="auto"/>
      </w:divBdr>
    </w:div>
    <w:div w:id="981664037">
      <w:bodyDiv w:val="1"/>
      <w:marLeft w:val="0"/>
      <w:marRight w:val="0"/>
      <w:marTop w:val="0"/>
      <w:marBottom w:val="0"/>
      <w:divBdr>
        <w:top w:val="none" w:sz="0" w:space="0" w:color="auto"/>
        <w:left w:val="none" w:sz="0" w:space="0" w:color="auto"/>
        <w:bottom w:val="none" w:sz="0" w:space="0" w:color="auto"/>
        <w:right w:val="none" w:sz="0" w:space="0" w:color="auto"/>
      </w:divBdr>
    </w:div>
    <w:div w:id="981732043">
      <w:bodyDiv w:val="1"/>
      <w:marLeft w:val="0"/>
      <w:marRight w:val="0"/>
      <w:marTop w:val="0"/>
      <w:marBottom w:val="0"/>
      <w:divBdr>
        <w:top w:val="none" w:sz="0" w:space="0" w:color="auto"/>
        <w:left w:val="none" w:sz="0" w:space="0" w:color="auto"/>
        <w:bottom w:val="none" w:sz="0" w:space="0" w:color="auto"/>
        <w:right w:val="none" w:sz="0" w:space="0" w:color="auto"/>
      </w:divBdr>
    </w:div>
    <w:div w:id="981739154">
      <w:bodyDiv w:val="1"/>
      <w:marLeft w:val="0"/>
      <w:marRight w:val="0"/>
      <w:marTop w:val="0"/>
      <w:marBottom w:val="0"/>
      <w:divBdr>
        <w:top w:val="none" w:sz="0" w:space="0" w:color="auto"/>
        <w:left w:val="none" w:sz="0" w:space="0" w:color="auto"/>
        <w:bottom w:val="none" w:sz="0" w:space="0" w:color="auto"/>
        <w:right w:val="none" w:sz="0" w:space="0" w:color="auto"/>
      </w:divBdr>
    </w:div>
    <w:div w:id="981810957">
      <w:bodyDiv w:val="1"/>
      <w:marLeft w:val="0"/>
      <w:marRight w:val="0"/>
      <w:marTop w:val="0"/>
      <w:marBottom w:val="0"/>
      <w:divBdr>
        <w:top w:val="none" w:sz="0" w:space="0" w:color="auto"/>
        <w:left w:val="none" w:sz="0" w:space="0" w:color="auto"/>
        <w:bottom w:val="none" w:sz="0" w:space="0" w:color="auto"/>
        <w:right w:val="none" w:sz="0" w:space="0" w:color="auto"/>
      </w:divBdr>
    </w:div>
    <w:div w:id="981813796">
      <w:bodyDiv w:val="1"/>
      <w:marLeft w:val="0"/>
      <w:marRight w:val="0"/>
      <w:marTop w:val="0"/>
      <w:marBottom w:val="0"/>
      <w:divBdr>
        <w:top w:val="none" w:sz="0" w:space="0" w:color="auto"/>
        <w:left w:val="none" w:sz="0" w:space="0" w:color="auto"/>
        <w:bottom w:val="none" w:sz="0" w:space="0" w:color="auto"/>
        <w:right w:val="none" w:sz="0" w:space="0" w:color="auto"/>
      </w:divBdr>
    </w:div>
    <w:div w:id="981883131">
      <w:bodyDiv w:val="1"/>
      <w:marLeft w:val="0"/>
      <w:marRight w:val="0"/>
      <w:marTop w:val="0"/>
      <w:marBottom w:val="0"/>
      <w:divBdr>
        <w:top w:val="none" w:sz="0" w:space="0" w:color="auto"/>
        <w:left w:val="none" w:sz="0" w:space="0" w:color="auto"/>
        <w:bottom w:val="none" w:sz="0" w:space="0" w:color="auto"/>
        <w:right w:val="none" w:sz="0" w:space="0" w:color="auto"/>
      </w:divBdr>
    </w:div>
    <w:div w:id="981885506">
      <w:bodyDiv w:val="1"/>
      <w:marLeft w:val="0"/>
      <w:marRight w:val="0"/>
      <w:marTop w:val="0"/>
      <w:marBottom w:val="0"/>
      <w:divBdr>
        <w:top w:val="none" w:sz="0" w:space="0" w:color="auto"/>
        <w:left w:val="none" w:sz="0" w:space="0" w:color="auto"/>
        <w:bottom w:val="none" w:sz="0" w:space="0" w:color="auto"/>
        <w:right w:val="none" w:sz="0" w:space="0" w:color="auto"/>
      </w:divBdr>
    </w:div>
    <w:div w:id="981926615">
      <w:bodyDiv w:val="1"/>
      <w:marLeft w:val="0"/>
      <w:marRight w:val="0"/>
      <w:marTop w:val="0"/>
      <w:marBottom w:val="0"/>
      <w:divBdr>
        <w:top w:val="none" w:sz="0" w:space="0" w:color="auto"/>
        <w:left w:val="none" w:sz="0" w:space="0" w:color="auto"/>
        <w:bottom w:val="none" w:sz="0" w:space="0" w:color="auto"/>
        <w:right w:val="none" w:sz="0" w:space="0" w:color="auto"/>
      </w:divBdr>
    </w:div>
    <w:div w:id="982077205">
      <w:bodyDiv w:val="1"/>
      <w:marLeft w:val="0"/>
      <w:marRight w:val="0"/>
      <w:marTop w:val="0"/>
      <w:marBottom w:val="0"/>
      <w:divBdr>
        <w:top w:val="none" w:sz="0" w:space="0" w:color="auto"/>
        <w:left w:val="none" w:sz="0" w:space="0" w:color="auto"/>
        <w:bottom w:val="none" w:sz="0" w:space="0" w:color="auto"/>
        <w:right w:val="none" w:sz="0" w:space="0" w:color="auto"/>
      </w:divBdr>
    </w:div>
    <w:div w:id="982271371">
      <w:bodyDiv w:val="1"/>
      <w:marLeft w:val="0"/>
      <w:marRight w:val="0"/>
      <w:marTop w:val="0"/>
      <w:marBottom w:val="0"/>
      <w:divBdr>
        <w:top w:val="none" w:sz="0" w:space="0" w:color="auto"/>
        <w:left w:val="none" w:sz="0" w:space="0" w:color="auto"/>
        <w:bottom w:val="none" w:sz="0" w:space="0" w:color="auto"/>
        <w:right w:val="none" w:sz="0" w:space="0" w:color="auto"/>
      </w:divBdr>
    </w:div>
    <w:div w:id="982466801">
      <w:bodyDiv w:val="1"/>
      <w:marLeft w:val="0"/>
      <w:marRight w:val="0"/>
      <w:marTop w:val="0"/>
      <w:marBottom w:val="0"/>
      <w:divBdr>
        <w:top w:val="none" w:sz="0" w:space="0" w:color="auto"/>
        <w:left w:val="none" w:sz="0" w:space="0" w:color="auto"/>
        <w:bottom w:val="none" w:sz="0" w:space="0" w:color="auto"/>
        <w:right w:val="none" w:sz="0" w:space="0" w:color="auto"/>
      </w:divBdr>
    </w:div>
    <w:div w:id="982469630">
      <w:bodyDiv w:val="1"/>
      <w:marLeft w:val="0"/>
      <w:marRight w:val="0"/>
      <w:marTop w:val="0"/>
      <w:marBottom w:val="0"/>
      <w:divBdr>
        <w:top w:val="none" w:sz="0" w:space="0" w:color="auto"/>
        <w:left w:val="none" w:sz="0" w:space="0" w:color="auto"/>
        <w:bottom w:val="none" w:sz="0" w:space="0" w:color="auto"/>
        <w:right w:val="none" w:sz="0" w:space="0" w:color="auto"/>
      </w:divBdr>
    </w:div>
    <w:div w:id="982540400">
      <w:bodyDiv w:val="1"/>
      <w:marLeft w:val="0"/>
      <w:marRight w:val="0"/>
      <w:marTop w:val="0"/>
      <w:marBottom w:val="0"/>
      <w:divBdr>
        <w:top w:val="none" w:sz="0" w:space="0" w:color="auto"/>
        <w:left w:val="none" w:sz="0" w:space="0" w:color="auto"/>
        <w:bottom w:val="none" w:sz="0" w:space="0" w:color="auto"/>
        <w:right w:val="none" w:sz="0" w:space="0" w:color="auto"/>
      </w:divBdr>
    </w:div>
    <w:div w:id="982583310">
      <w:bodyDiv w:val="1"/>
      <w:marLeft w:val="0"/>
      <w:marRight w:val="0"/>
      <w:marTop w:val="0"/>
      <w:marBottom w:val="0"/>
      <w:divBdr>
        <w:top w:val="none" w:sz="0" w:space="0" w:color="auto"/>
        <w:left w:val="none" w:sz="0" w:space="0" w:color="auto"/>
        <w:bottom w:val="none" w:sz="0" w:space="0" w:color="auto"/>
        <w:right w:val="none" w:sz="0" w:space="0" w:color="auto"/>
      </w:divBdr>
    </w:div>
    <w:div w:id="982612513">
      <w:bodyDiv w:val="1"/>
      <w:marLeft w:val="0"/>
      <w:marRight w:val="0"/>
      <w:marTop w:val="0"/>
      <w:marBottom w:val="0"/>
      <w:divBdr>
        <w:top w:val="none" w:sz="0" w:space="0" w:color="auto"/>
        <w:left w:val="none" w:sz="0" w:space="0" w:color="auto"/>
        <w:bottom w:val="none" w:sz="0" w:space="0" w:color="auto"/>
        <w:right w:val="none" w:sz="0" w:space="0" w:color="auto"/>
      </w:divBdr>
    </w:div>
    <w:div w:id="982807121">
      <w:bodyDiv w:val="1"/>
      <w:marLeft w:val="0"/>
      <w:marRight w:val="0"/>
      <w:marTop w:val="0"/>
      <w:marBottom w:val="0"/>
      <w:divBdr>
        <w:top w:val="none" w:sz="0" w:space="0" w:color="auto"/>
        <w:left w:val="none" w:sz="0" w:space="0" w:color="auto"/>
        <w:bottom w:val="none" w:sz="0" w:space="0" w:color="auto"/>
        <w:right w:val="none" w:sz="0" w:space="0" w:color="auto"/>
      </w:divBdr>
    </w:div>
    <w:div w:id="982853379">
      <w:bodyDiv w:val="1"/>
      <w:marLeft w:val="0"/>
      <w:marRight w:val="0"/>
      <w:marTop w:val="0"/>
      <w:marBottom w:val="0"/>
      <w:divBdr>
        <w:top w:val="none" w:sz="0" w:space="0" w:color="auto"/>
        <w:left w:val="none" w:sz="0" w:space="0" w:color="auto"/>
        <w:bottom w:val="none" w:sz="0" w:space="0" w:color="auto"/>
        <w:right w:val="none" w:sz="0" w:space="0" w:color="auto"/>
      </w:divBdr>
    </w:div>
    <w:div w:id="982853385">
      <w:bodyDiv w:val="1"/>
      <w:marLeft w:val="0"/>
      <w:marRight w:val="0"/>
      <w:marTop w:val="0"/>
      <w:marBottom w:val="0"/>
      <w:divBdr>
        <w:top w:val="none" w:sz="0" w:space="0" w:color="auto"/>
        <w:left w:val="none" w:sz="0" w:space="0" w:color="auto"/>
        <w:bottom w:val="none" w:sz="0" w:space="0" w:color="auto"/>
        <w:right w:val="none" w:sz="0" w:space="0" w:color="auto"/>
      </w:divBdr>
    </w:div>
    <w:div w:id="983242080">
      <w:bodyDiv w:val="1"/>
      <w:marLeft w:val="0"/>
      <w:marRight w:val="0"/>
      <w:marTop w:val="0"/>
      <w:marBottom w:val="0"/>
      <w:divBdr>
        <w:top w:val="none" w:sz="0" w:space="0" w:color="auto"/>
        <w:left w:val="none" w:sz="0" w:space="0" w:color="auto"/>
        <w:bottom w:val="none" w:sz="0" w:space="0" w:color="auto"/>
        <w:right w:val="none" w:sz="0" w:space="0" w:color="auto"/>
      </w:divBdr>
    </w:div>
    <w:div w:id="983267595">
      <w:bodyDiv w:val="1"/>
      <w:marLeft w:val="0"/>
      <w:marRight w:val="0"/>
      <w:marTop w:val="0"/>
      <w:marBottom w:val="0"/>
      <w:divBdr>
        <w:top w:val="none" w:sz="0" w:space="0" w:color="auto"/>
        <w:left w:val="none" w:sz="0" w:space="0" w:color="auto"/>
        <w:bottom w:val="none" w:sz="0" w:space="0" w:color="auto"/>
        <w:right w:val="none" w:sz="0" w:space="0" w:color="auto"/>
      </w:divBdr>
    </w:div>
    <w:div w:id="983316916">
      <w:bodyDiv w:val="1"/>
      <w:marLeft w:val="0"/>
      <w:marRight w:val="0"/>
      <w:marTop w:val="0"/>
      <w:marBottom w:val="0"/>
      <w:divBdr>
        <w:top w:val="none" w:sz="0" w:space="0" w:color="auto"/>
        <w:left w:val="none" w:sz="0" w:space="0" w:color="auto"/>
        <w:bottom w:val="none" w:sz="0" w:space="0" w:color="auto"/>
        <w:right w:val="none" w:sz="0" w:space="0" w:color="auto"/>
      </w:divBdr>
    </w:div>
    <w:div w:id="983389290">
      <w:bodyDiv w:val="1"/>
      <w:marLeft w:val="0"/>
      <w:marRight w:val="0"/>
      <w:marTop w:val="0"/>
      <w:marBottom w:val="0"/>
      <w:divBdr>
        <w:top w:val="none" w:sz="0" w:space="0" w:color="auto"/>
        <w:left w:val="none" w:sz="0" w:space="0" w:color="auto"/>
        <w:bottom w:val="none" w:sz="0" w:space="0" w:color="auto"/>
        <w:right w:val="none" w:sz="0" w:space="0" w:color="auto"/>
      </w:divBdr>
    </w:div>
    <w:div w:id="983587665">
      <w:bodyDiv w:val="1"/>
      <w:marLeft w:val="0"/>
      <w:marRight w:val="0"/>
      <w:marTop w:val="0"/>
      <w:marBottom w:val="0"/>
      <w:divBdr>
        <w:top w:val="none" w:sz="0" w:space="0" w:color="auto"/>
        <w:left w:val="none" w:sz="0" w:space="0" w:color="auto"/>
        <w:bottom w:val="none" w:sz="0" w:space="0" w:color="auto"/>
        <w:right w:val="none" w:sz="0" w:space="0" w:color="auto"/>
      </w:divBdr>
    </w:div>
    <w:div w:id="983699410">
      <w:bodyDiv w:val="1"/>
      <w:marLeft w:val="0"/>
      <w:marRight w:val="0"/>
      <w:marTop w:val="0"/>
      <w:marBottom w:val="0"/>
      <w:divBdr>
        <w:top w:val="none" w:sz="0" w:space="0" w:color="auto"/>
        <w:left w:val="none" w:sz="0" w:space="0" w:color="auto"/>
        <w:bottom w:val="none" w:sz="0" w:space="0" w:color="auto"/>
        <w:right w:val="none" w:sz="0" w:space="0" w:color="auto"/>
      </w:divBdr>
    </w:div>
    <w:div w:id="983700304">
      <w:bodyDiv w:val="1"/>
      <w:marLeft w:val="0"/>
      <w:marRight w:val="0"/>
      <w:marTop w:val="0"/>
      <w:marBottom w:val="0"/>
      <w:divBdr>
        <w:top w:val="none" w:sz="0" w:space="0" w:color="auto"/>
        <w:left w:val="none" w:sz="0" w:space="0" w:color="auto"/>
        <w:bottom w:val="none" w:sz="0" w:space="0" w:color="auto"/>
        <w:right w:val="none" w:sz="0" w:space="0" w:color="auto"/>
      </w:divBdr>
    </w:div>
    <w:div w:id="983778868">
      <w:bodyDiv w:val="1"/>
      <w:marLeft w:val="0"/>
      <w:marRight w:val="0"/>
      <w:marTop w:val="0"/>
      <w:marBottom w:val="0"/>
      <w:divBdr>
        <w:top w:val="none" w:sz="0" w:space="0" w:color="auto"/>
        <w:left w:val="none" w:sz="0" w:space="0" w:color="auto"/>
        <w:bottom w:val="none" w:sz="0" w:space="0" w:color="auto"/>
        <w:right w:val="none" w:sz="0" w:space="0" w:color="auto"/>
      </w:divBdr>
    </w:div>
    <w:div w:id="983855637">
      <w:bodyDiv w:val="1"/>
      <w:marLeft w:val="0"/>
      <w:marRight w:val="0"/>
      <w:marTop w:val="0"/>
      <w:marBottom w:val="0"/>
      <w:divBdr>
        <w:top w:val="none" w:sz="0" w:space="0" w:color="auto"/>
        <w:left w:val="none" w:sz="0" w:space="0" w:color="auto"/>
        <w:bottom w:val="none" w:sz="0" w:space="0" w:color="auto"/>
        <w:right w:val="none" w:sz="0" w:space="0" w:color="auto"/>
      </w:divBdr>
    </w:div>
    <w:div w:id="983968958">
      <w:bodyDiv w:val="1"/>
      <w:marLeft w:val="0"/>
      <w:marRight w:val="0"/>
      <w:marTop w:val="0"/>
      <w:marBottom w:val="0"/>
      <w:divBdr>
        <w:top w:val="none" w:sz="0" w:space="0" w:color="auto"/>
        <w:left w:val="none" w:sz="0" w:space="0" w:color="auto"/>
        <w:bottom w:val="none" w:sz="0" w:space="0" w:color="auto"/>
        <w:right w:val="none" w:sz="0" w:space="0" w:color="auto"/>
      </w:divBdr>
    </w:div>
    <w:div w:id="984167423">
      <w:bodyDiv w:val="1"/>
      <w:marLeft w:val="0"/>
      <w:marRight w:val="0"/>
      <w:marTop w:val="0"/>
      <w:marBottom w:val="0"/>
      <w:divBdr>
        <w:top w:val="none" w:sz="0" w:space="0" w:color="auto"/>
        <w:left w:val="none" w:sz="0" w:space="0" w:color="auto"/>
        <w:bottom w:val="none" w:sz="0" w:space="0" w:color="auto"/>
        <w:right w:val="none" w:sz="0" w:space="0" w:color="auto"/>
      </w:divBdr>
    </w:div>
    <w:div w:id="984236994">
      <w:bodyDiv w:val="1"/>
      <w:marLeft w:val="0"/>
      <w:marRight w:val="0"/>
      <w:marTop w:val="0"/>
      <w:marBottom w:val="0"/>
      <w:divBdr>
        <w:top w:val="none" w:sz="0" w:space="0" w:color="auto"/>
        <w:left w:val="none" w:sz="0" w:space="0" w:color="auto"/>
        <w:bottom w:val="none" w:sz="0" w:space="0" w:color="auto"/>
        <w:right w:val="none" w:sz="0" w:space="0" w:color="auto"/>
      </w:divBdr>
    </w:div>
    <w:div w:id="984315351">
      <w:bodyDiv w:val="1"/>
      <w:marLeft w:val="0"/>
      <w:marRight w:val="0"/>
      <w:marTop w:val="0"/>
      <w:marBottom w:val="0"/>
      <w:divBdr>
        <w:top w:val="none" w:sz="0" w:space="0" w:color="auto"/>
        <w:left w:val="none" w:sz="0" w:space="0" w:color="auto"/>
        <w:bottom w:val="none" w:sz="0" w:space="0" w:color="auto"/>
        <w:right w:val="none" w:sz="0" w:space="0" w:color="auto"/>
      </w:divBdr>
    </w:div>
    <w:div w:id="984316857">
      <w:bodyDiv w:val="1"/>
      <w:marLeft w:val="0"/>
      <w:marRight w:val="0"/>
      <w:marTop w:val="0"/>
      <w:marBottom w:val="0"/>
      <w:divBdr>
        <w:top w:val="none" w:sz="0" w:space="0" w:color="auto"/>
        <w:left w:val="none" w:sz="0" w:space="0" w:color="auto"/>
        <w:bottom w:val="none" w:sz="0" w:space="0" w:color="auto"/>
        <w:right w:val="none" w:sz="0" w:space="0" w:color="auto"/>
      </w:divBdr>
    </w:div>
    <w:div w:id="984353681">
      <w:bodyDiv w:val="1"/>
      <w:marLeft w:val="0"/>
      <w:marRight w:val="0"/>
      <w:marTop w:val="0"/>
      <w:marBottom w:val="0"/>
      <w:divBdr>
        <w:top w:val="none" w:sz="0" w:space="0" w:color="auto"/>
        <w:left w:val="none" w:sz="0" w:space="0" w:color="auto"/>
        <w:bottom w:val="none" w:sz="0" w:space="0" w:color="auto"/>
        <w:right w:val="none" w:sz="0" w:space="0" w:color="auto"/>
      </w:divBdr>
    </w:div>
    <w:div w:id="984355415">
      <w:bodyDiv w:val="1"/>
      <w:marLeft w:val="0"/>
      <w:marRight w:val="0"/>
      <w:marTop w:val="0"/>
      <w:marBottom w:val="0"/>
      <w:divBdr>
        <w:top w:val="none" w:sz="0" w:space="0" w:color="auto"/>
        <w:left w:val="none" w:sz="0" w:space="0" w:color="auto"/>
        <w:bottom w:val="none" w:sz="0" w:space="0" w:color="auto"/>
        <w:right w:val="none" w:sz="0" w:space="0" w:color="auto"/>
      </w:divBdr>
    </w:div>
    <w:div w:id="984356072">
      <w:bodyDiv w:val="1"/>
      <w:marLeft w:val="0"/>
      <w:marRight w:val="0"/>
      <w:marTop w:val="0"/>
      <w:marBottom w:val="0"/>
      <w:divBdr>
        <w:top w:val="none" w:sz="0" w:space="0" w:color="auto"/>
        <w:left w:val="none" w:sz="0" w:space="0" w:color="auto"/>
        <w:bottom w:val="none" w:sz="0" w:space="0" w:color="auto"/>
        <w:right w:val="none" w:sz="0" w:space="0" w:color="auto"/>
      </w:divBdr>
    </w:div>
    <w:div w:id="984432935">
      <w:bodyDiv w:val="1"/>
      <w:marLeft w:val="0"/>
      <w:marRight w:val="0"/>
      <w:marTop w:val="0"/>
      <w:marBottom w:val="0"/>
      <w:divBdr>
        <w:top w:val="none" w:sz="0" w:space="0" w:color="auto"/>
        <w:left w:val="none" w:sz="0" w:space="0" w:color="auto"/>
        <w:bottom w:val="none" w:sz="0" w:space="0" w:color="auto"/>
        <w:right w:val="none" w:sz="0" w:space="0" w:color="auto"/>
      </w:divBdr>
    </w:div>
    <w:div w:id="984512205">
      <w:bodyDiv w:val="1"/>
      <w:marLeft w:val="0"/>
      <w:marRight w:val="0"/>
      <w:marTop w:val="0"/>
      <w:marBottom w:val="0"/>
      <w:divBdr>
        <w:top w:val="none" w:sz="0" w:space="0" w:color="auto"/>
        <w:left w:val="none" w:sz="0" w:space="0" w:color="auto"/>
        <w:bottom w:val="none" w:sz="0" w:space="0" w:color="auto"/>
        <w:right w:val="none" w:sz="0" w:space="0" w:color="auto"/>
      </w:divBdr>
    </w:div>
    <w:div w:id="984512442">
      <w:bodyDiv w:val="1"/>
      <w:marLeft w:val="0"/>
      <w:marRight w:val="0"/>
      <w:marTop w:val="0"/>
      <w:marBottom w:val="0"/>
      <w:divBdr>
        <w:top w:val="none" w:sz="0" w:space="0" w:color="auto"/>
        <w:left w:val="none" w:sz="0" w:space="0" w:color="auto"/>
        <w:bottom w:val="none" w:sz="0" w:space="0" w:color="auto"/>
        <w:right w:val="none" w:sz="0" w:space="0" w:color="auto"/>
      </w:divBdr>
    </w:div>
    <w:div w:id="984553083">
      <w:bodyDiv w:val="1"/>
      <w:marLeft w:val="0"/>
      <w:marRight w:val="0"/>
      <w:marTop w:val="0"/>
      <w:marBottom w:val="0"/>
      <w:divBdr>
        <w:top w:val="none" w:sz="0" w:space="0" w:color="auto"/>
        <w:left w:val="none" w:sz="0" w:space="0" w:color="auto"/>
        <w:bottom w:val="none" w:sz="0" w:space="0" w:color="auto"/>
        <w:right w:val="none" w:sz="0" w:space="0" w:color="auto"/>
      </w:divBdr>
    </w:div>
    <w:div w:id="984621070">
      <w:bodyDiv w:val="1"/>
      <w:marLeft w:val="0"/>
      <w:marRight w:val="0"/>
      <w:marTop w:val="0"/>
      <w:marBottom w:val="0"/>
      <w:divBdr>
        <w:top w:val="none" w:sz="0" w:space="0" w:color="auto"/>
        <w:left w:val="none" w:sz="0" w:space="0" w:color="auto"/>
        <w:bottom w:val="none" w:sz="0" w:space="0" w:color="auto"/>
        <w:right w:val="none" w:sz="0" w:space="0" w:color="auto"/>
      </w:divBdr>
    </w:div>
    <w:div w:id="984703121">
      <w:bodyDiv w:val="1"/>
      <w:marLeft w:val="0"/>
      <w:marRight w:val="0"/>
      <w:marTop w:val="0"/>
      <w:marBottom w:val="0"/>
      <w:divBdr>
        <w:top w:val="none" w:sz="0" w:space="0" w:color="auto"/>
        <w:left w:val="none" w:sz="0" w:space="0" w:color="auto"/>
        <w:bottom w:val="none" w:sz="0" w:space="0" w:color="auto"/>
        <w:right w:val="none" w:sz="0" w:space="0" w:color="auto"/>
      </w:divBdr>
    </w:div>
    <w:div w:id="984745898">
      <w:bodyDiv w:val="1"/>
      <w:marLeft w:val="0"/>
      <w:marRight w:val="0"/>
      <w:marTop w:val="0"/>
      <w:marBottom w:val="0"/>
      <w:divBdr>
        <w:top w:val="none" w:sz="0" w:space="0" w:color="auto"/>
        <w:left w:val="none" w:sz="0" w:space="0" w:color="auto"/>
        <w:bottom w:val="none" w:sz="0" w:space="0" w:color="auto"/>
        <w:right w:val="none" w:sz="0" w:space="0" w:color="auto"/>
      </w:divBdr>
    </w:div>
    <w:div w:id="984774612">
      <w:bodyDiv w:val="1"/>
      <w:marLeft w:val="0"/>
      <w:marRight w:val="0"/>
      <w:marTop w:val="0"/>
      <w:marBottom w:val="0"/>
      <w:divBdr>
        <w:top w:val="none" w:sz="0" w:space="0" w:color="auto"/>
        <w:left w:val="none" w:sz="0" w:space="0" w:color="auto"/>
        <w:bottom w:val="none" w:sz="0" w:space="0" w:color="auto"/>
        <w:right w:val="none" w:sz="0" w:space="0" w:color="auto"/>
      </w:divBdr>
    </w:div>
    <w:div w:id="984895086">
      <w:bodyDiv w:val="1"/>
      <w:marLeft w:val="0"/>
      <w:marRight w:val="0"/>
      <w:marTop w:val="0"/>
      <w:marBottom w:val="0"/>
      <w:divBdr>
        <w:top w:val="none" w:sz="0" w:space="0" w:color="auto"/>
        <w:left w:val="none" w:sz="0" w:space="0" w:color="auto"/>
        <w:bottom w:val="none" w:sz="0" w:space="0" w:color="auto"/>
        <w:right w:val="none" w:sz="0" w:space="0" w:color="auto"/>
      </w:divBdr>
    </w:div>
    <w:div w:id="984964842">
      <w:bodyDiv w:val="1"/>
      <w:marLeft w:val="0"/>
      <w:marRight w:val="0"/>
      <w:marTop w:val="0"/>
      <w:marBottom w:val="0"/>
      <w:divBdr>
        <w:top w:val="none" w:sz="0" w:space="0" w:color="auto"/>
        <w:left w:val="none" w:sz="0" w:space="0" w:color="auto"/>
        <w:bottom w:val="none" w:sz="0" w:space="0" w:color="auto"/>
        <w:right w:val="none" w:sz="0" w:space="0" w:color="auto"/>
      </w:divBdr>
    </w:div>
    <w:div w:id="985015334">
      <w:bodyDiv w:val="1"/>
      <w:marLeft w:val="0"/>
      <w:marRight w:val="0"/>
      <w:marTop w:val="0"/>
      <w:marBottom w:val="0"/>
      <w:divBdr>
        <w:top w:val="none" w:sz="0" w:space="0" w:color="auto"/>
        <w:left w:val="none" w:sz="0" w:space="0" w:color="auto"/>
        <w:bottom w:val="none" w:sz="0" w:space="0" w:color="auto"/>
        <w:right w:val="none" w:sz="0" w:space="0" w:color="auto"/>
      </w:divBdr>
    </w:div>
    <w:div w:id="985086746">
      <w:bodyDiv w:val="1"/>
      <w:marLeft w:val="0"/>
      <w:marRight w:val="0"/>
      <w:marTop w:val="0"/>
      <w:marBottom w:val="0"/>
      <w:divBdr>
        <w:top w:val="none" w:sz="0" w:space="0" w:color="auto"/>
        <w:left w:val="none" w:sz="0" w:space="0" w:color="auto"/>
        <w:bottom w:val="none" w:sz="0" w:space="0" w:color="auto"/>
        <w:right w:val="none" w:sz="0" w:space="0" w:color="auto"/>
      </w:divBdr>
    </w:div>
    <w:div w:id="985281995">
      <w:bodyDiv w:val="1"/>
      <w:marLeft w:val="0"/>
      <w:marRight w:val="0"/>
      <w:marTop w:val="0"/>
      <w:marBottom w:val="0"/>
      <w:divBdr>
        <w:top w:val="none" w:sz="0" w:space="0" w:color="auto"/>
        <w:left w:val="none" w:sz="0" w:space="0" w:color="auto"/>
        <w:bottom w:val="none" w:sz="0" w:space="0" w:color="auto"/>
        <w:right w:val="none" w:sz="0" w:space="0" w:color="auto"/>
      </w:divBdr>
    </w:div>
    <w:div w:id="985429589">
      <w:bodyDiv w:val="1"/>
      <w:marLeft w:val="0"/>
      <w:marRight w:val="0"/>
      <w:marTop w:val="0"/>
      <w:marBottom w:val="0"/>
      <w:divBdr>
        <w:top w:val="none" w:sz="0" w:space="0" w:color="auto"/>
        <w:left w:val="none" w:sz="0" w:space="0" w:color="auto"/>
        <w:bottom w:val="none" w:sz="0" w:space="0" w:color="auto"/>
        <w:right w:val="none" w:sz="0" w:space="0" w:color="auto"/>
      </w:divBdr>
    </w:div>
    <w:div w:id="985552789">
      <w:bodyDiv w:val="1"/>
      <w:marLeft w:val="0"/>
      <w:marRight w:val="0"/>
      <w:marTop w:val="0"/>
      <w:marBottom w:val="0"/>
      <w:divBdr>
        <w:top w:val="none" w:sz="0" w:space="0" w:color="auto"/>
        <w:left w:val="none" w:sz="0" w:space="0" w:color="auto"/>
        <w:bottom w:val="none" w:sz="0" w:space="0" w:color="auto"/>
        <w:right w:val="none" w:sz="0" w:space="0" w:color="auto"/>
      </w:divBdr>
    </w:div>
    <w:div w:id="985626579">
      <w:bodyDiv w:val="1"/>
      <w:marLeft w:val="0"/>
      <w:marRight w:val="0"/>
      <w:marTop w:val="0"/>
      <w:marBottom w:val="0"/>
      <w:divBdr>
        <w:top w:val="none" w:sz="0" w:space="0" w:color="auto"/>
        <w:left w:val="none" w:sz="0" w:space="0" w:color="auto"/>
        <w:bottom w:val="none" w:sz="0" w:space="0" w:color="auto"/>
        <w:right w:val="none" w:sz="0" w:space="0" w:color="auto"/>
      </w:divBdr>
    </w:div>
    <w:div w:id="985671169">
      <w:bodyDiv w:val="1"/>
      <w:marLeft w:val="0"/>
      <w:marRight w:val="0"/>
      <w:marTop w:val="0"/>
      <w:marBottom w:val="0"/>
      <w:divBdr>
        <w:top w:val="none" w:sz="0" w:space="0" w:color="auto"/>
        <w:left w:val="none" w:sz="0" w:space="0" w:color="auto"/>
        <w:bottom w:val="none" w:sz="0" w:space="0" w:color="auto"/>
        <w:right w:val="none" w:sz="0" w:space="0" w:color="auto"/>
      </w:divBdr>
    </w:div>
    <w:div w:id="985738109">
      <w:bodyDiv w:val="1"/>
      <w:marLeft w:val="0"/>
      <w:marRight w:val="0"/>
      <w:marTop w:val="0"/>
      <w:marBottom w:val="0"/>
      <w:divBdr>
        <w:top w:val="none" w:sz="0" w:space="0" w:color="auto"/>
        <w:left w:val="none" w:sz="0" w:space="0" w:color="auto"/>
        <w:bottom w:val="none" w:sz="0" w:space="0" w:color="auto"/>
        <w:right w:val="none" w:sz="0" w:space="0" w:color="auto"/>
      </w:divBdr>
    </w:div>
    <w:div w:id="985743576">
      <w:bodyDiv w:val="1"/>
      <w:marLeft w:val="0"/>
      <w:marRight w:val="0"/>
      <w:marTop w:val="0"/>
      <w:marBottom w:val="0"/>
      <w:divBdr>
        <w:top w:val="none" w:sz="0" w:space="0" w:color="auto"/>
        <w:left w:val="none" w:sz="0" w:space="0" w:color="auto"/>
        <w:bottom w:val="none" w:sz="0" w:space="0" w:color="auto"/>
        <w:right w:val="none" w:sz="0" w:space="0" w:color="auto"/>
      </w:divBdr>
    </w:div>
    <w:div w:id="985861906">
      <w:bodyDiv w:val="1"/>
      <w:marLeft w:val="0"/>
      <w:marRight w:val="0"/>
      <w:marTop w:val="0"/>
      <w:marBottom w:val="0"/>
      <w:divBdr>
        <w:top w:val="none" w:sz="0" w:space="0" w:color="auto"/>
        <w:left w:val="none" w:sz="0" w:space="0" w:color="auto"/>
        <w:bottom w:val="none" w:sz="0" w:space="0" w:color="auto"/>
        <w:right w:val="none" w:sz="0" w:space="0" w:color="auto"/>
      </w:divBdr>
    </w:div>
    <w:div w:id="986007080">
      <w:bodyDiv w:val="1"/>
      <w:marLeft w:val="0"/>
      <w:marRight w:val="0"/>
      <w:marTop w:val="0"/>
      <w:marBottom w:val="0"/>
      <w:divBdr>
        <w:top w:val="none" w:sz="0" w:space="0" w:color="auto"/>
        <w:left w:val="none" w:sz="0" w:space="0" w:color="auto"/>
        <w:bottom w:val="none" w:sz="0" w:space="0" w:color="auto"/>
        <w:right w:val="none" w:sz="0" w:space="0" w:color="auto"/>
      </w:divBdr>
    </w:div>
    <w:div w:id="986200543">
      <w:bodyDiv w:val="1"/>
      <w:marLeft w:val="0"/>
      <w:marRight w:val="0"/>
      <w:marTop w:val="0"/>
      <w:marBottom w:val="0"/>
      <w:divBdr>
        <w:top w:val="none" w:sz="0" w:space="0" w:color="auto"/>
        <w:left w:val="none" w:sz="0" w:space="0" w:color="auto"/>
        <w:bottom w:val="none" w:sz="0" w:space="0" w:color="auto"/>
        <w:right w:val="none" w:sz="0" w:space="0" w:color="auto"/>
      </w:divBdr>
    </w:div>
    <w:div w:id="986207816">
      <w:bodyDiv w:val="1"/>
      <w:marLeft w:val="0"/>
      <w:marRight w:val="0"/>
      <w:marTop w:val="0"/>
      <w:marBottom w:val="0"/>
      <w:divBdr>
        <w:top w:val="none" w:sz="0" w:space="0" w:color="auto"/>
        <w:left w:val="none" w:sz="0" w:space="0" w:color="auto"/>
        <w:bottom w:val="none" w:sz="0" w:space="0" w:color="auto"/>
        <w:right w:val="none" w:sz="0" w:space="0" w:color="auto"/>
      </w:divBdr>
    </w:div>
    <w:div w:id="986280214">
      <w:bodyDiv w:val="1"/>
      <w:marLeft w:val="0"/>
      <w:marRight w:val="0"/>
      <w:marTop w:val="0"/>
      <w:marBottom w:val="0"/>
      <w:divBdr>
        <w:top w:val="none" w:sz="0" w:space="0" w:color="auto"/>
        <w:left w:val="none" w:sz="0" w:space="0" w:color="auto"/>
        <w:bottom w:val="none" w:sz="0" w:space="0" w:color="auto"/>
        <w:right w:val="none" w:sz="0" w:space="0" w:color="auto"/>
      </w:divBdr>
    </w:div>
    <w:div w:id="986476956">
      <w:bodyDiv w:val="1"/>
      <w:marLeft w:val="0"/>
      <w:marRight w:val="0"/>
      <w:marTop w:val="0"/>
      <w:marBottom w:val="0"/>
      <w:divBdr>
        <w:top w:val="none" w:sz="0" w:space="0" w:color="auto"/>
        <w:left w:val="none" w:sz="0" w:space="0" w:color="auto"/>
        <w:bottom w:val="none" w:sz="0" w:space="0" w:color="auto"/>
        <w:right w:val="none" w:sz="0" w:space="0" w:color="auto"/>
      </w:divBdr>
    </w:div>
    <w:div w:id="986514754">
      <w:bodyDiv w:val="1"/>
      <w:marLeft w:val="0"/>
      <w:marRight w:val="0"/>
      <w:marTop w:val="0"/>
      <w:marBottom w:val="0"/>
      <w:divBdr>
        <w:top w:val="none" w:sz="0" w:space="0" w:color="auto"/>
        <w:left w:val="none" w:sz="0" w:space="0" w:color="auto"/>
        <w:bottom w:val="none" w:sz="0" w:space="0" w:color="auto"/>
        <w:right w:val="none" w:sz="0" w:space="0" w:color="auto"/>
      </w:divBdr>
    </w:div>
    <w:div w:id="986595336">
      <w:bodyDiv w:val="1"/>
      <w:marLeft w:val="0"/>
      <w:marRight w:val="0"/>
      <w:marTop w:val="0"/>
      <w:marBottom w:val="0"/>
      <w:divBdr>
        <w:top w:val="none" w:sz="0" w:space="0" w:color="auto"/>
        <w:left w:val="none" w:sz="0" w:space="0" w:color="auto"/>
        <w:bottom w:val="none" w:sz="0" w:space="0" w:color="auto"/>
        <w:right w:val="none" w:sz="0" w:space="0" w:color="auto"/>
      </w:divBdr>
    </w:div>
    <w:div w:id="986666780">
      <w:bodyDiv w:val="1"/>
      <w:marLeft w:val="0"/>
      <w:marRight w:val="0"/>
      <w:marTop w:val="0"/>
      <w:marBottom w:val="0"/>
      <w:divBdr>
        <w:top w:val="none" w:sz="0" w:space="0" w:color="auto"/>
        <w:left w:val="none" w:sz="0" w:space="0" w:color="auto"/>
        <w:bottom w:val="none" w:sz="0" w:space="0" w:color="auto"/>
        <w:right w:val="none" w:sz="0" w:space="0" w:color="auto"/>
      </w:divBdr>
    </w:div>
    <w:div w:id="986741938">
      <w:bodyDiv w:val="1"/>
      <w:marLeft w:val="0"/>
      <w:marRight w:val="0"/>
      <w:marTop w:val="0"/>
      <w:marBottom w:val="0"/>
      <w:divBdr>
        <w:top w:val="none" w:sz="0" w:space="0" w:color="auto"/>
        <w:left w:val="none" w:sz="0" w:space="0" w:color="auto"/>
        <w:bottom w:val="none" w:sz="0" w:space="0" w:color="auto"/>
        <w:right w:val="none" w:sz="0" w:space="0" w:color="auto"/>
      </w:divBdr>
    </w:div>
    <w:div w:id="986933195">
      <w:bodyDiv w:val="1"/>
      <w:marLeft w:val="0"/>
      <w:marRight w:val="0"/>
      <w:marTop w:val="0"/>
      <w:marBottom w:val="0"/>
      <w:divBdr>
        <w:top w:val="none" w:sz="0" w:space="0" w:color="auto"/>
        <w:left w:val="none" w:sz="0" w:space="0" w:color="auto"/>
        <w:bottom w:val="none" w:sz="0" w:space="0" w:color="auto"/>
        <w:right w:val="none" w:sz="0" w:space="0" w:color="auto"/>
      </w:divBdr>
    </w:div>
    <w:div w:id="986981908">
      <w:bodyDiv w:val="1"/>
      <w:marLeft w:val="0"/>
      <w:marRight w:val="0"/>
      <w:marTop w:val="0"/>
      <w:marBottom w:val="0"/>
      <w:divBdr>
        <w:top w:val="none" w:sz="0" w:space="0" w:color="auto"/>
        <w:left w:val="none" w:sz="0" w:space="0" w:color="auto"/>
        <w:bottom w:val="none" w:sz="0" w:space="0" w:color="auto"/>
        <w:right w:val="none" w:sz="0" w:space="0" w:color="auto"/>
      </w:divBdr>
    </w:div>
    <w:div w:id="987049445">
      <w:bodyDiv w:val="1"/>
      <w:marLeft w:val="0"/>
      <w:marRight w:val="0"/>
      <w:marTop w:val="0"/>
      <w:marBottom w:val="0"/>
      <w:divBdr>
        <w:top w:val="none" w:sz="0" w:space="0" w:color="auto"/>
        <w:left w:val="none" w:sz="0" w:space="0" w:color="auto"/>
        <w:bottom w:val="none" w:sz="0" w:space="0" w:color="auto"/>
        <w:right w:val="none" w:sz="0" w:space="0" w:color="auto"/>
      </w:divBdr>
    </w:div>
    <w:div w:id="987050277">
      <w:bodyDiv w:val="1"/>
      <w:marLeft w:val="0"/>
      <w:marRight w:val="0"/>
      <w:marTop w:val="0"/>
      <w:marBottom w:val="0"/>
      <w:divBdr>
        <w:top w:val="none" w:sz="0" w:space="0" w:color="auto"/>
        <w:left w:val="none" w:sz="0" w:space="0" w:color="auto"/>
        <w:bottom w:val="none" w:sz="0" w:space="0" w:color="auto"/>
        <w:right w:val="none" w:sz="0" w:space="0" w:color="auto"/>
      </w:divBdr>
    </w:div>
    <w:div w:id="987125984">
      <w:bodyDiv w:val="1"/>
      <w:marLeft w:val="0"/>
      <w:marRight w:val="0"/>
      <w:marTop w:val="0"/>
      <w:marBottom w:val="0"/>
      <w:divBdr>
        <w:top w:val="none" w:sz="0" w:space="0" w:color="auto"/>
        <w:left w:val="none" w:sz="0" w:space="0" w:color="auto"/>
        <w:bottom w:val="none" w:sz="0" w:space="0" w:color="auto"/>
        <w:right w:val="none" w:sz="0" w:space="0" w:color="auto"/>
      </w:divBdr>
    </w:div>
    <w:div w:id="987132925">
      <w:bodyDiv w:val="1"/>
      <w:marLeft w:val="0"/>
      <w:marRight w:val="0"/>
      <w:marTop w:val="0"/>
      <w:marBottom w:val="0"/>
      <w:divBdr>
        <w:top w:val="none" w:sz="0" w:space="0" w:color="auto"/>
        <w:left w:val="none" w:sz="0" w:space="0" w:color="auto"/>
        <w:bottom w:val="none" w:sz="0" w:space="0" w:color="auto"/>
        <w:right w:val="none" w:sz="0" w:space="0" w:color="auto"/>
      </w:divBdr>
    </w:div>
    <w:div w:id="987175614">
      <w:bodyDiv w:val="1"/>
      <w:marLeft w:val="0"/>
      <w:marRight w:val="0"/>
      <w:marTop w:val="0"/>
      <w:marBottom w:val="0"/>
      <w:divBdr>
        <w:top w:val="none" w:sz="0" w:space="0" w:color="auto"/>
        <w:left w:val="none" w:sz="0" w:space="0" w:color="auto"/>
        <w:bottom w:val="none" w:sz="0" w:space="0" w:color="auto"/>
        <w:right w:val="none" w:sz="0" w:space="0" w:color="auto"/>
      </w:divBdr>
    </w:div>
    <w:div w:id="987319143">
      <w:bodyDiv w:val="1"/>
      <w:marLeft w:val="0"/>
      <w:marRight w:val="0"/>
      <w:marTop w:val="0"/>
      <w:marBottom w:val="0"/>
      <w:divBdr>
        <w:top w:val="none" w:sz="0" w:space="0" w:color="auto"/>
        <w:left w:val="none" w:sz="0" w:space="0" w:color="auto"/>
        <w:bottom w:val="none" w:sz="0" w:space="0" w:color="auto"/>
        <w:right w:val="none" w:sz="0" w:space="0" w:color="auto"/>
      </w:divBdr>
    </w:div>
    <w:div w:id="987436691">
      <w:bodyDiv w:val="1"/>
      <w:marLeft w:val="0"/>
      <w:marRight w:val="0"/>
      <w:marTop w:val="0"/>
      <w:marBottom w:val="0"/>
      <w:divBdr>
        <w:top w:val="none" w:sz="0" w:space="0" w:color="auto"/>
        <w:left w:val="none" w:sz="0" w:space="0" w:color="auto"/>
        <w:bottom w:val="none" w:sz="0" w:space="0" w:color="auto"/>
        <w:right w:val="none" w:sz="0" w:space="0" w:color="auto"/>
      </w:divBdr>
    </w:div>
    <w:div w:id="987704190">
      <w:bodyDiv w:val="1"/>
      <w:marLeft w:val="0"/>
      <w:marRight w:val="0"/>
      <w:marTop w:val="0"/>
      <w:marBottom w:val="0"/>
      <w:divBdr>
        <w:top w:val="none" w:sz="0" w:space="0" w:color="auto"/>
        <w:left w:val="none" w:sz="0" w:space="0" w:color="auto"/>
        <w:bottom w:val="none" w:sz="0" w:space="0" w:color="auto"/>
        <w:right w:val="none" w:sz="0" w:space="0" w:color="auto"/>
      </w:divBdr>
    </w:div>
    <w:div w:id="987710862">
      <w:bodyDiv w:val="1"/>
      <w:marLeft w:val="0"/>
      <w:marRight w:val="0"/>
      <w:marTop w:val="0"/>
      <w:marBottom w:val="0"/>
      <w:divBdr>
        <w:top w:val="none" w:sz="0" w:space="0" w:color="auto"/>
        <w:left w:val="none" w:sz="0" w:space="0" w:color="auto"/>
        <w:bottom w:val="none" w:sz="0" w:space="0" w:color="auto"/>
        <w:right w:val="none" w:sz="0" w:space="0" w:color="auto"/>
      </w:divBdr>
    </w:div>
    <w:div w:id="987855476">
      <w:bodyDiv w:val="1"/>
      <w:marLeft w:val="0"/>
      <w:marRight w:val="0"/>
      <w:marTop w:val="0"/>
      <w:marBottom w:val="0"/>
      <w:divBdr>
        <w:top w:val="none" w:sz="0" w:space="0" w:color="auto"/>
        <w:left w:val="none" w:sz="0" w:space="0" w:color="auto"/>
        <w:bottom w:val="none" w:sz="0" w:space="0" w:color="auto"/>
        <w:right w:val="none" w:sz="0" w:space="0" w:color="auto"/>
      </w:divBdr>
    </w:div>
    <w:div w:id="987902891">
      <w:bodyDiv w:val="1"/>
      <w:marLeft w:val="0"/>
      <w:marRight w:val="0"/>
      <w:marTop w:val="0"/>
      <w:marBottom w:val="0"/>
      <w:divBdr>
        <w:top w:val="none" w:sz="0" w:space="0" w:color="auto"/>
        <w:left w:val="none" w:sz="0" w:space="0" w:color="auto"/>
        <w:bottom w:val="none" w:sz="0" w:space="0" w:color="auto"/>
        <w:right w:val="none" w:sz="0" w:space="0" w:color="auto"/>
      </w:divBdr>
    </w:div>
    <w:div w:id="987904301">
      <w:bodyDiv w:val="1"/>
      <w:marLeft w:val="0"/>
      <w:marRight w:val="0"/>
      <w:marTop w:val="0"/>
      <w:marBottom w:val="0"/>
      <w:divBdr>
        <w:top w:val="none" w:sz="0" w:space="0" w:color="auto"/>
        <w:left w:val="none" w:sz="0" w:space="0" w:color="auto"/>
        <w:bottom w:val="none" w:sz="0" w:space="0" w:color="auto"/>
        <w:right w:val="none" w:sz="0" w:space="0" w:color="auto"/>
      </w:divBdr>
    </w:div>
    <w:div w:id="987974059">
      <w:bodyDiv w:val="1"/>
      <w:marLeft w:val="0"/>
      <w:marRight w:val="0"/>
      <w:marTop w:val="0"/>
      <w:marBottom w:val="0"/>
      <w:divBdr>
        <w:top w:val="none" w:sz="0" w:space="0" w:color="auto"/>
        <w:left w:val="none" w:sz="0" w:space="0" w:color="auto"/>
        <w:bottom w:val="none" w:sz="0" w:space="0" w:color="auto"/>
        <w:right w:val="none" w:sz="0" w:space="0" w:color="auto"/>
      </w:divBdr>
    </w:div>
    <w:div w:id="988099745">
      <w:bodyDiv w:val="1"/>
      <w:marLeft w:val="0"/>
      <w:marRight w:val="0"/>
      <w:marTop w:val="0"/>
      <w:marBottom w:val="0"/>
      <w:divBdr>
        <w:top w:val="none" w:sz="0" w:space="0" w:color="auto"/>
        <w:left w:val="none" w:sz="0" w:space="0" w:color="auto"/>
        <w:bottom w:val="none" w:sz="0" w:space="0" w:color="auto"/>
        <w:right w:val="none" w:sz="0" w:space="0" w:color="auto"/>
      </w:divBdr>
    </w:div>
    <w:div w:id="988173903">
      <w:bodyDiv w:val="1"/>
      <w:marLeft w:val="0"/>
      <w:marRight w:val="0"/>
      <w:marTop w:val="0"/>
      <w:marBottom w:val="0"/>
      <w:divBdr>
        <w:top w:val="none" w:sz="0" w:space="0" w:color="auto"/>
        <w:left w:val="none" w:sz="0" w:space="0" w:color="auto"/>
        <w:bottom w:val="none" w:sz="0" w:space="0" w:color="auto"/>
        <w:right w:val="none" w:sz="0" w:space="0" w:color="auto"/>
      </w:divBdr>
    </w:div>
    <w:div w:id="988175285">
      <w:bodyDiv w:val="1"/>
      <w:marLeft w:val="0"/>
      <w:marRight w:val="0"/>
      <w:marTop w:val="0"/>
      <w:marBottom w:val="0"/>
      <w:divBdr>
        <w:top w:val="none" w:sz="0" w:space="0" w:color="auto"/>
        <w:left w:val="none" w:sz="0" w:space="0" w:color="auto"/>
        <w:bottom w:val="none" w:sz="0" w:space="0" w:color="auto"/>
        <w:right w:val="none" w:sz="0" w:space="0" w:color="auto"/>
      </w:divBdr>
    </w:div>
    <w:div w:id="988289078">
      <w:bodyDiv w:val="1"/>
      <w:marLeft w:val="0"/>
      <w:marRight w:val="0"/>
      <w:marTop w:val="0"/>
      <w:marBottom w:val="0"/>
      <w:divBdr>
        <w:top w:val="none" w:sz="0" w:space="0" w:color="auto"/>
        <w:left w:val="none" w:sz="0" w:space="0" w:color="auto"/>
        <w:bottom w:val="none" w:sz="0" w:space="0" w:color="auto"/>
        <w:right w:val="none" w:sz="0" w:space="0" w:color="auto"/>
      </w:divBdr>
    </w:div>
    <w:div w:id="988364848">
      <w:bodyDiv w:val="1"/>
      <w:marLeft w:val="0"/>
      <w:marRight w:val="0"/>
      <w:marTop w:val="0"/>
      <w:marBottom w:val="0"/>
      <w:divBdr>
        <w:top w:val="none" w:sz="0" w:space="0" w:color="auto"/>
        <w:left w:val="none" w:sz="0" w:space="0" w:color="auto"/>
        <w:bottom w:val="none" w:sz="0" w:space="0" w:color="auto"/>
        <w:right w:val="none" w:sz="0" w:space="0" w:color="auto"/>
      </w:divBdr>
    </w:div>
    <w:div w:id="988559174">
      <w:bodyDiv w:val="1"/>
      <w:marLeft w:val="0"/>
      <w:marRight w:val="0"/>
      <w:marTop w:val="0"/>
      <w:marBottom w:val="0"/>
      <w:divBdr>
        <w:top w:val="none" w:sz="0" w:space="0" w:color="auto"/>
        <w:left w:val="none" w:sz="0" w:space="0" w:color="auto"/>
        <w:bottom w:val="none" w:sz="0" w:space="0" w:color="auto"/>
        <w:right w:val="none" w:sz="0" w:space="0" w:color="auto"/>
      </w:divBdr>
    </w:div>
    <w:div w:id="988747129">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89212621">
      <w:bodyDiv w:val="1"/>
      <w:marLeft w:val="0"/>
      <w:marRight w:val="0"/>
      <w:marTop w:val="0"/>
      <w:marBottom w:val="0"/>
      <w:divBdr>
        <w:top w:val="none" w:sz="0" w:space="0" w:color="auto"/>
        <w:left w:val="none" w:sz="0" w:space="0" w:color="auto"/>
        <w:bottom w:val="none" w:sz="0" w:space="0" w:color="auto"/>
        <w:right w:val="none" w:sz="0" w:space="0" w:color="auto"/>
      </w:divBdr>
    </w:div>
    <w:div w:id="989333152">
      <w:bodyDiv w:val="1"/>
      <w:marLeft w:val="0"/>
      <w:marRight w:val="0"/>
      <w:marTop w:val="0"/>
      <w:marBottom w:val="0"/>
      <w:divBdr>
        <w:top w:val="none" w:sz="0" w:space="0" w:color="auto"/>
        <w:left w:val="none" w:sz="0" w:space="0" w:color="auto"/>
        <w:bottom w:val="none" w:sz="0" w:space="0" w:color="auto"/>
        <w:right w:val="none" w:sz="0" w:space="0" w:color="auto"/>
      </w:divBdr>
    </w:div>
    <w:div w:id="989401268">
      <w:bodyDiv w:val="1"/>
      <w:marLeft w:val="0"/>
      <w:marRight w:val="0"/>
      <w:marTop w:val="0"/>
      <w:marBottom w:val="0"/>
      <w:divBdr>
        <w:top w:val="none" w:sz="0" w:space="0" w:color="auto"/>
        <w:left w:val="none" w:sz="0" w:space="0" w:color="auto"/>
        <w:bottom w:val="none" w:sz="0" w:space="0" w:color="auto"/>
        <w:right w:val="none" w:sz="0" w:space="0" w:color="auto"/>
      </w:divBdr>
    </w:div>
    <w:div w:id="989482003">
      <w:bodyDiv w:val="1"/>
      <w:marLeft w:val="0"/>
      <w:marRight w:val="0"/>
      <w:marTop w:val="0"/>
      <w:marBottom w:val="0"/>
      <w:divBdr>
        <w:top w:val="none" w:sz="0" w:space="0" w:color="auto"/>
        <w:left w:val="none" w:sz="0" w:space="0" w:color="auto"/>
        <w:bottom w:val="none" w:sz="0" w:space="0" w:color="auto"/>
        <w:right w:val="none" w:sz="0" w:space="0" w:color="auto"/>
      </w:divBdr>
    </w:div>
    <w:div w:id="989559394">
      <w:bodyDiv w:val="1"/>
      <w:marLeft w:val="0"/>
      <w:marRight w:val="0"/>
      <w:marTop w:val="0"/>
      <w:marBottom w:val="0"/>
      <w:divBdr>
        <w:top w:val="none" w:sz="0" w:space="0" w:color="auto"/>
        <w:left w:val="none" w:sz="0" w:space="0" w:color="auto"/>
        <w:bottom w:val="none" w:sz="0" w:space="0" w:color="auto"/>
        <w:right w:val="none" w:sz="0" w:space="0" w:color="auto"/>
      </w:divBdr>
    </w:div>
    <w:div w:id="989673856">
      <w:bodyDiv w:val="1"/>
      <w:marLeft w:val="0"/>
      <w:marRight w:val="0"/>
      <w:marTop w:val="0"/>
      <w:marBottom w:val="0"/>
      <w:divBdr>
        <w:top w:val="none" w:sz="0" w:space="0" w:color="auto"/>
        <w:left w:val="none" w:sz="0" w:space="0" w:color="auto"/>
        <w:bottom w:val="none" w:sz="0" w:space="0" w:color="auto"/>
        <w:right w:val="none" w:sz="0" w:space="0" w:color="auto"/>
      </w:divBdr>
    </w:div>
    <w:div w:id="989677630">
      <w:bodyDiv w:val="1"/>
      <w:marLeft w:val="0"/>
      <w:marRight w:val="0"/>
      <w:marTop w:val="0"/>
      <w:marBottom w:val="0"/>
      <w:divBdr>
        <w:top w:val="none" w:sz="0" w:space="0" w:color="auto"/>
        <w:left w:val="none" w:sz="0" w:space="0" w:color="auto"/>
        <w:bottom w:val="none" w:sz="0" w:space="0" w:color="auto"/>
        <w:right w:val="none" w:sz="0" w:space="0" w:color="auto"/>
      </w:divBdr>
    </w:div>
    <w:div w:id="989745776">
      <w:bodyDiv w:val="1"/>
      <w:marLeft w:val="0"/>
      <w:marRight w:val="0"/>
      <w:marTop w:val="0"/>
      <w:marBottom w:val="0"/>
      <w:divBdr>
        <w:top w:val="none" w:sz="0" w:space="0" w:color="auto"/>
        <w:left w:val="none" w:sz="0" w:space="0" w:color="auto"/>
        <w:bottom w:val="none" w:sz="0" w:space="0" w:color="auto"/>
        <w:right w:val="none" w:sz="0" w:space="0" w:color="auto"/>
      </w:divBdr>
    </w:div>
    <w:div w:id="989947232">
      <w:bodyDiv w:val="1"/>
      <w:marLeft w:val="0"/>
      <w:marRight w:val="0"/>
      <w:marTop w:val="0"/>
      <w:marBottom w:val="0"/>
      <w:divBdr>
        <w:top w:val="none" w:sz="0" w:space="0" w:color="auto"/>
        <w:left w:val="none" w:sz="0" w:space="0" w:color="auto"/>
        <w:bottom w:val="none" w:sz="0" w:space="0" w:color="auto"/>
        <w:right w:val="none" w:sz="0" w:space="0" w:color="auto"/>
      </w:divBdr>
    </w:div>
    <w:div w:id="990015733">
      <w:bodyDiv w:val="1"/>
      <w:marLeft w:val="0"/>
      <w:marRight w:val="0"/>
      <w:marTop w:val="0"/>
      <w:marBottom w:val="0"/>
      <w:divBdr>
        <w:top w:val="none" w:sz="0" w:space="0" w:color="auto"/>
        <w:left w:val="none" w:sz="0" w:space="0" w:color="auto"/>
        <w:bottom w:val="none" w:sz="0" w:space="0" w:color="auto"/>
        <w:right w:val="none" w:sz="0" w:space="0" w:color="auto"/>
      </w:divBdr>
    </w:div>
    <w:div w:id="990059319">
      <w:bodyDiv w:val="1"/>
      <w:marLeft w:val="0"/>
      <w:marRight w:val="0"/>
      <w:marTop w:val="0"/>
      <w:marBottom w:val="0"/>
      <w:divBdr>
        <w:top w:val="none" w:sz="0" w:space="0" w:color="auto"/>
        <w:left w:val="none" w:sz="0" w:space="0" w:color="auto"/>
        <w:bottom w:val="none" w:sz="0" w:space="0" w:color="auto"/>
        <w:right w:val="none" w:sz="0" w:space="0" w:color="auto"/>
      </w:divBdr>
    </w:div>
    <w:div w:id="990060813">
      <w:bodyDiv w:val="1"/>
      <w:marLeft w:val="0"/>
      <w:marRight w:val="0"/>
      <w:marTop w:val="0"/>
      <w:marBottom w:val="0"/>
      <w:divBdr>
        <w:top w:val="none" w:sz="0" w:space="0" w:color="auto"/>
        <w:left w:val="none" w:sz="0" w:space="0" w:color="auto"/>
        <w:bottom w:val="none" w:sz="0" w:space="0" w:color="auto"/>
        <w:right w:val="none" w:sz="0" w:space="0" w:color="auto"/>
      </w:divBdr>
    </w:div>
    <w:div w:id="990061127">
      <w:bodyDiv w:val="1"/>
      <w:marLeft w:val="0"/>
      <w:marRight w:val="0"/>
      <w:marTop w:val="0"/>
      <w:marBottom w:val="0"/>
      <w:divBdr>
        <w:top w:val="none" w:sz="0" w:space="0" w:color="auto"/>
        <w:left w:val="none" w:sz="0" w:space="0" w:color="auto"/>
        <w:bottom w:val="none" w:sz="0" w:space="0" w:color="auto"/>
        <w:right w:val="none" w:sz="0" w:space="0" w:color="auto"/>
      </w:divBdr>
    </w:div>
    <w:div w:id="990063426">
      <w:bodyDiv w:val="1"/>
      <w:marLeft w:val="0"/>
      <w:marRight w:val="0"/>
      <w:marTop w:val="0"/>
      <w:marBottom w:val="0"/>
      <w:divBdr>
        <w:top w:val="none" w:sz="0" w:space="0" w:color="auto"/>
        <w:left w:val="none" w:sz="0" w:space="0" w:color="auto"/>
        <w:bottom w:val="none" w:sz="0" w:space="0" w:color="auto"/>
        <w:right w:val="none" w:sz="0" w:space="0" w:color="auto"/>
      </w:divBdr>
    </w:div>
    <w:div w:id="990139223">
      <w:bodyDiv w:val="1"/>
      <w:marLeft w:val="0"/>
      <w:marRight w:val="0"/>
      <w:marTop w:val="0"/>
      <w:marBottom w:val="0"/>
      <w:divBdr>
        <w:top w:val="none" w:sz="0" w:space="0" w:color="auto"/>
        <w:left w:val="none" w:sz="0" w:space="0" w:color="auto"/>
        <w:bottom w:val="none" w:sz="0" w:space="0" w:color="auto"/>
        <w:right w:val="none" w:sz="0" w:space="0" w:color="auto"/>
      </w:divBdr>
    </w:div>
    <w:div w:id="990139987">
      <w:bodyDiv w:val="1"/>
      <w:marLeft w:val="0"/>
      <w:marRight w:val="0"/>
      <w:marTop w:val="0"/>
      <w:marBottom w:val="0"/>
      <w:divBdr>
        <w:top w:val="none" w:sz="0" w:space="0" w:color="auto"/>
        <w:left w:val="none" w:sz="0" w:space="0" w:color="auto"/>
        <w:bottom w:val="none" w:sz="0" w:space="0" w:color="auto"/>
        <w:right w:val="none" w:sz="0" w:space="0" w:color="auto"/>
      </w:divBdr>
    </w:div>
    <w:div w:id="990140929">
      <w:bodyDiv w:val="1"/>
      <w:marLeft w:val="0"/>
      <w:marRight w:val="0"/>
      <w:marTop w:val="0"/>
      <w:marBottom w:val="0"/>
      <w:divBdr>
        <w:top w:val="none" w:sz="0" w:space="0" w:color="auto"/>
        <w:left w:val="none" w:sz="0" w:space="0" w:color="auto"/>
        <w:bottom w:val="none" w:sz="0" w:space="0" w:color="auto"/>
        <w:right w:val="none" w:sz="0" w:space="0" w:color="auto"/>
      </w:divBdr>
    </w:div>
    <w:div w:id="990212499">
      <w:bodyDiv w:val="1"/>
      <w:marLeft w:val="0"/>
      <w:marRight w:val="0"/>
      <w:marTop w:val="0"/>
      <w:marBottom w:val="0"/>
      <w:divBdr>
        <w:top w:val="none" w:sz="0" w:space="0" w:color="auto"/>
        <w:left w:val="none" w:sz="0" w:space="0" w:color="auto"/>
        <w:bottom w:val="none" w:sz="0" w:space="0" w:color="auto"/>
        <w:right w:val="none" w:sz="0" w:space="0" w:color="auto"/>
      </w:divBdr>
    </w:div>
    <w:div w:id="990249718">
      <w:bodyDiv w:val="1"/>
      <w:marLeft w:val="0"/>
      <w:marRight w:val="0"/>
      <w:marTop w:val="0"/>
      <w:marBottom w:val="0"/>
      <w:divBdr>
        <w:top w:val="none" w:sz="0" w:space="0" w:color="auto"/>
        <w:left w:val="none" w:sz="0" w:space="0" w:color="auto"/>
        <w:bottom w:val="none" w:sz="0" w:space="0" w:color="auto"/>
        <w:right w:val="none" w:sz="0" w:space="0" w:color="auto"/>
      </w:divBdr>
    </w:div>
    <w:div w:id="990325644">
      <w:bodyDiv w:val="1"/>
      <w:marLeft w:val="0"/>
      <w:marRight w:val="0"/>
      <w:marTop w:val="0"/>
      <w:marBottom w:val="0"/>
      <w:divBdr>
        <w:top w:val="none" w:sz="0" w:space="0" w:color="auto"/>
        <w:left w:val="none" w:sz="0" w:space="0" w:color="auto"/>
        <w:bottom w:val="none" w:sz="0" w:space="0" w:color="auto"/>
        <w:right w:val="none" w:sz="0" w:space="0" w:color="auto"/>
      </w:divBdr>
    </w:div>
    <w:div w:id="990326850">
      <w:bodyDiv w:val="1"/>
      <w:marLeft w:val="0"/>
      <w:marRight w:val="0"/>
      <w:marTop w:val="0"/>
      <w:marBottom w:val="0"/>
      <w:divBdr>
        <w:top w:val="none" w:sz="0" w:space="0" w:color="auto"/>
        <w:left w:val="none" w:sz="0" w:space="0" w:color="auto"/>
        <w:bottom w:val="none" w:sz="0" w:space="0" w:color="auto"/>
        <w:right w:val="none" w:sz="0" w:space="0" w:color="auto"/>
      </w:divBdr>
    </w:div>
    <w:div w:id="990522215">
      <w:bodyDiv w:val="1"/>
      <w:marLeft w:val="0"/>
      <w:marRight w:val="0"/>
      <w:marTop w:val="0"/>
      <w:marBottom w:val="0"/>
      <w:divBdr>
        <w:top w:val="none" w:sz="0" w:space="0" w:color="auto"/>
        <w:left w:val="none" w:sz="0" w:space="0" w:color="auto"/>
        <w:bottom w:val="none" w:sz="0" w:space="0" w:color="auto"/>
        <w:right w:val="none" w:sz="0" w:space="0" w:color="auto"/>
      </w:divBdr>
    </w:div>
    <w:div w:id="990525900">
      <w:bodyDiv w:val="1"/>
      <w:marLeft w:val="0"/>
      <w:marRight w:val="0"/>
      <w:marTop w:val="0"/>
      <w:marBottom w:val="0"/>
      <w:divBdr>
        <w:top w:val="none" w:sz="0" w:space="0" w:color="auto"/>
        <w:left w:val="none" w:sz="0" w:space="0" w:color="auto"/>
        <w:bottom w:val="none" w:sz="0" w:space="0" w:color="auto"/>
        <w:right w:val="none" w:sz="0" w:space="0" w:color="auto"/>
      </w:divBdr>
    </w:div>
    <w:div w:id="990645487">
      <w:bodyDiv w:val="1"/>
      <w:marLeft w:val="0"/>
      <w:marRight w:val="0"/>
      <w:marTop w:val="0"/>
      <w:marBottom w:val="0"/>
      <w:divBdr>
        <w:top w:val="none" w:sz="0" w:space="0" w:color="auto"/>
        <w:left w:val="none" w:sz="0" w:space="0" w:color="auto"/>
        <w:bottom w:val="none" w:sz="0" w:space="0" w:color="auto"/>
        <w:right w:val="none" w:sz="0" w:space="0" w:color="auto"/>
      </w:divBdr>
    </w:div>
    <w:div w:id="990716903">
      <w:bodyDiv w:val="1"/>
      <w:marLeft w:val="0"/>
      <w:marRight w:val="0"/>
      <w:marTop w:val="0"/>
      <w:marBottom w:val="0"/>
      <w:divBdr>
        <w:top w:val="none" w:sz="0" w:space="0" w:color="auto"/>
        <w:left w:val="none" w:sz="0" w:space="0" w:color="auto"/>
        <w:bottom w:val="none" w:sz="0" w:space="0" w:color="auto"/>
        <w:right w:val="none" w:sz="0" w:space="0" w:color="auto"/>
      </w:divBdr>
    </w:div>
    <w:div w:id="990790153">
      <w:bodyDiv w:val="1"/>
      <w:marLeft w:val="0"/>
      <w:marRight w:val="0"/>
      <w:marTop w:val="0"/>
      <w:marBottom w:val="0"/>
      <w:divBdr>
        <w:top w:val="none" w:sz="0" w:space="0" w:color="auto"/>
        <w:left w:val="none" w:sz="0" w:space="0" w:color="auto"/>
        <w:bottom w:val="none" w:sz="0" w:space="0" w:color="auto"/>
        <w:right w:val="none" w:sz="0" w:space="0" w:color="auto"/>
      </w:divBdr>
    </w:div>
    <w:div w:id="990793508">
      <w:bodyDiv w:val="1"/>
      <w:marLeft w:val="0"/>
      <w:marRight w:val="0"/>
      <w:marTop w:val="0"/>
      <w:marBottom w:val="0"/>
      <w:divBdr>
        <w:top w:val="none" w:sz="0" w:space="0" w:color="auto"/>
        <w:left w:val="none" w:sz="0" w:space="0" w:color="auto"/>
        <w:bottom w:val="none" w:sz="0" w:space="0" w:color="auto"/>
        <w:right w:val="none" w:sz="0" w:space="0" w:color="auto"/>
      </w:divBdr>
    </w:div>
    <w:div w:id="990871347">
      <w:bodyDiv w:val="1"/>
      <w:marLeft w:val="0"/>
      <w:marRight w:val="0"/>
      <w:marTop w:val="0"/>
      <w:marBottom w:val="0"/>
      <w:divBdr>
        <w:top w:val="none" w:sz="0" w:space="0" w:color="auto"/>
        <w:left w:val="none" w:sz="0" w:space="0" w:color="auto"/>
        <w:bottom w:val="none" w:sz="0" w:space="0" w:color="auto"/>
        <w:right w:val="none" w:sz="0" w:space="0" w:color="auto"/>
      </w:divBdr>
    </w:div>
    <w:div w:id="990982642">
      <w:bodyDiv w:val="1"/>
      <w:marLeft w:val="0"/>
      <w:marRight w:val="0"/>
      <w:marTop w:val="0"/>
      <w:marBottom w:val="0"/>
      <w:divBdr>
        <w:top w:val="none" w:sz="0" w:space="0" w:color="auto"/>
        <w:left w:val="none" w:sz="0" w:space="0" w:color="auto"/>
        <w:bottom w:val="none" w:sz="0" w:space="0" w:color="auto"/>
        <w:right w:val="none" w:sz="0" w:space="0" w:color="auto"/>
      </w:divBdr>
    </w:div>
    <w:div w:id="991371525">
      <w:bodyDiv w:val="1"/>
      <w:marLeft w:val="0"/>
      <w:marRight w:val="0"/>
      <w:marTop w:val="0"/>
      <w:marBottom w:val="0"/>
      <w:divBdr>
        <w:top w:val="none" w:sz="0" w:space="0" w:color="auto"/>
        <w:left w:val="none" w:sz="0" w:space="0" w:color="auto"/>
        <w:bottom w:val="none" w:sz="0" w:space="0" w:color="auto"/>
        <w:right w:val="none" w:sz="0" w:space="0" w:color="auto"/>
      </w:divBdr>
    </w:div>
    <w:div w:id="991569417">
      <w:bodyDiv w:val="1"/>
      <w:marLeft w:val="0"/>
      <w:marRight w:val="0"/>
      <w:marTop w:val="0"/>
      <w:marBottom w:val="0"/>
      <w:divBdr>
        <w:top w:val="none" w:sz="0" w:space="0" w:color="auto"/>
        <w:left w:val="none" w:sz="0" w:space="0" w:color="auto"/>
        <w:bottom w:val="none" w:sz="0" w:space="0" w:color="auto"/>
        <w:right w:val="none" w:sz="0" w:space="0" w:color="auto"/>
      </w:divBdr>
    </w:div>
    <w:div w:id="991787749">
      <w:bodyDiv w:val="1"/>
      <w:marLeft w:val="0"/>
      <w:marRight w:val="0"/>
      <w:marTop w:val="0"/>
      <w:marBottom w:val="0"/>
      <w:divBdr>
        <w:top w:val="none" w:sz="0" w:space="0" w:color="auto"/>
        <w:left w:val="none" w:sz="0" w:space="0" w:color="auto"/>
        <w:bottom w:val="none" w:sz="0" w:space="0" w:color="auto"/>
        <w:right w:val="none" w:sz="0" w:space="0" w:color="auto"/>
      </w:divBdr>
    </w:div>
    <w:div w:id="991836365">
      <w:bodyDiv w:val="1"/>
      <w:marLeft w:val="0"/>
      <w:marRight w:val="0"/>
      <w:marTop w:val="0"/>
      <w:marBottom w:val="0"/>
      <w:divBdr>
        <w:top w:val="none" w:sz="0" w:space="0" w:color="auto"/>
        <w:left w:val="none" w:sz="0" w:space="0" w:color="auto"/>
        <w:bottom w:val="none" w:sz="0" w:space="0" w:color="auto"/>
        <w:right w:val="none" w:sz="0" w:space="0" w:color="auto"/>
      </w:divBdr>
    </w:div>
    <w:div w:id="991907119">
      <w:bodyDiv w:val="1"/>
      <w:marLeft w:val="0"/>
      <w:marRight w:val="0"/>
      <w:marTop w:val="0"/>
      <w:marBottom w:val="0"/>
      <w:divBdr>
        <w:top w:val="none" w:sz="0" w:space="0" w:color="auto"/>
        <w:left w:val="none" w:sz="0" w:space="0" w:color="auto"/>
        <w:bottom w:val="none" w:sz="0" w:space="0" w:color="auto"/>
        <w:right w:val="none" w:sz="0" w:space="0" w:color="auto"/>
      </w:divBdr>
    </w:div>
    <w:div w:id="991911745">
      <w:bodyDiv w:val="1"/>
      <w:marLeft w:val="0"/>
      <w:marRight w:val="0"/>
      <w:marTop w:val="0"/>
      <w:marBottom w:val="0"/>
      <w:divBdr>
        <w:top w:val="none" w:sz="0" w:space="0" w:color="auto"/>
        <w:left w:val="none" w:sz="0" w:space="0" w:color="auto"/>
        <w:bottom w:val="none" w:sz="0" w:space="0" w:color="auto"/>
        <w:right w:val="none" w:sz="0" w:space="0" w:color="auto"/>
      </w:divBdr>
    </w:div>
    <w:div w:id="991979834">
      <w:bodyDiv w:val="1"/>
      <w:marLeft w:val="0"/>
      <w:marRight w:val="0"/>
      <w:marTop w:val="0"/>
      <w:marBottom w:val="0"/>
      <w:divBdr>
        <w:top w:val="none" w:sz="0" w:space="0" w:color="auto"/>
        <w:left w:val="none" w:sz="0" w:space="0" w:color="auto"/>
        <w:bottom w:val="none" w:sz="0" w:space="0" w:color="auto"/>
        <w:right w:val="none" w:sz="0" w:space="0" w:color="auto"/>
      </w:divBdr>
    </w:div>
    <w:div w:id="992221798">
      <w:bodyDiv w:val="1"/>
      <w:marLeft w:val="0"/>
      <w:marRight w:val="0"/>
      <w:marTop w:val="0"/>
      <w:marBottom w:val="0"/>
      <w:divBdr>
        <w:top w:val="none" w:sz="0" w:space="0" w:color="auto"/>
        <w:left w:val="none" w:sz="0" w:space="0" w:color="auto"/>
        <w:bottom w:val="none" w:sz="0" w:space="0" w:color="auto"/>
        <w:right w:val="none" w:sz="0" w:space="0" w:color="auto"/>
      </w:divBdr>
    </w:div>
    <w:div w:id="992222125">
      <w:bodyDiv w:val="1"/>
      <w:marLeft w:val="0"/>
      <w:marRight w:val="0"/>
      <w:marTop w:val="0"/>
      <w:marBottom w:val="0"/>
      <w:divBdr>
        <w:top w:val="none" w:sz="0" w:space="0" w:color="auto"/>
        <w:left w:val="none" w:sz="0" w:space="0" w:color="auto"/>
        <w:bottom w:val="none" w:sz="0" w:space="0" w:color="auto"/>
        <w:right w:val="none" w:sz="0" w:space="0" w:color="auto"/>
      </w:divBdr>
    </w:div>
    <w:div w:id="992300016">
      <w:bodyDiv w:val="1"/>
      <w:marLeft w:val="0"/>
      <w:marRight w:val="0"/>
      <w:marTop w:val="0"/>
      <w:marBottom w:val="0"/>
      <w:divBdr>
        <w:top w:val="none" w:sz="0" w:space="0" w:color="auto"/>
        <w:left w:val="none" w:sz="0" w:space="0" w:color="auto"/>
        <w:bottom w:val="none" w:sz="0" w:space="0" w:color="auto"/>
        <w:right w:val="none" w:sz="0" w:space="0" w:color="auto"/>
      </w:divBdr>
    </w:div>
    <w:div w:id="992373854">
      <w:bodyDiv w:val="1"/>
      <w:marLeft w:val="0"/>
      <w:marRight w:val="0"/>
      <w:marTop w:val="0"/>
      <w:marBottom w:val="0"/>
      <w:divBdr>
        <w:top w:val="none" w:sz="0" w:space="0" w:color="auto"/>
        <w:left w:val="none" w:sz="0" w:space="0" w:color="auto"/>
        <w:bottom w:val="none" w:sz="0" w:space="0" w:color="auto"/>
        <w:right w:val="none" w:sz="0" w:space="0" w:color="auto"/>
      </w:divBdr>
    </w:div>
    <w:div w:id="992373880">
      <w:bodyDiv w:val="1"/>
      <w:marLeft w:val="0"/>
      <w:marRight w:val="0"/>
      <w:marTop w:val="0"/>
      <w:marBottom w:val="0"/>
      <w:divBdr>
        <w:top w:val="none" w:sz="0" w:space="0" w:color="auto"/>
        <w:left w:val="none" w:sz="0" w:space="0" w:color="auto"/>
        <w:bottom w:val="none" w:sz="0" w:space="0" w:color="auto"/>
        <w:right w:val="none" w:sz="0" w:space="0" w:color="auto"/>
      </w:divBdr>
    </w:div>
    <w:div w:id="992414965">
      <w:bodyDiv w:val="1"/>
      <w:marLeft w:val="0"/>
      <w:marRight w:val="0"/>
      <w:marTop w:val="0"/>
      <w:marBottom w:val="0"/>
      <w:divBdr>
        <w:top w:val="none" w:sz="0" w:space="0" w:color="auto"/>
        <w:left w:val="none" w:sz="0" w:space="0" w:color="auto"/>
        <w:bottom w:val="none" w:sz="0" w:space="0" w:color="auto"/>
        <w:right w:val="none" w:sz="0" w:space="0" w:color="auto"/>
      </w:divBdr>
    </w:div>
    <w:div w:id="992486590">
      <w:bodyDiv w:val="1"/>
      <w:marLeft w:val="0"/>
      <w:marRight w:val="0"/>
      <w:marTop w:val="0"/>
      <w:marBottom w:val="0"/>
      <w:divBdr>
        <w:top w:val="none" w:sz="0" w:space="0" w:color="auto"/>
        <w:left w:val="none" w:sz="0" w:space="0" w:color="auto"/>
        <w:bottom w:val="none" w:sz="0" w:space="0" w:color="auto"/>
        <w:right w:val="none" w:sz="0" w:space="0" w:color="auto"/>
      </w:divBdr>
    </w:div>
    <w:div w:id="992560999">
      <w:bodyDiv w:val="1"/>
      <w:marLeft w:val="0"/>
      <w:marRight w:val="0"/>
      <w:marTop w:val="0"/>
      <w:marBottom w:val="0"/>
      <w:divBdr>
        <w:top w:val="none" w:sz="0" w:space="0" w:color="auto"/>
        <w:left w:val="none" w:sz="0" w:space="0" w:color="auto"/>
        <w:bottom w:val="none" w:sz="0" w:space="0" w:color="auto"/>
        <w:right w:val="none" w:sz="0" w:space="0" w:color="auto"/>
      </w:divBdr>
    </w:div>
    <w:div w:id="992561272">
      <w:bodyDiv w:val="1"/>
      <w:marLeft w:val="0"/>
      <w:marRight w:val="0"/>
      <w:marTop w:val="0"/>
      <w:marBottom w:val="0"/>
      <w:divBdr>
        <w:top w:val="none" w:sz="0" w:space="0" w:color="auto"/>
        <w:left w:val="none" w:sz="0" w:space="0" w:color="auto"/>
        <w:bottom w:val="none" w:sz="0" w:space="0" w:color="auto"/>
        <w:right w:val="none" w:sz="0" w:space="0" w:color="auto"/>
      </w:divBdr>
    </w:div>
    <w:div w:id="992567285">
      <w:bodyDiv w:val="1"/>
      <w:marLeft w:val="0"/>
      <w:marRight w:val="0"/>
      <w:marTop w:val="0"/>
      <w:marBottom w:val="0"/>
      <w:divBdr>
        <w:top w:val="none" w:sz="0" w:space="0" w:color="auto"/>
        <w:left w:val="none" w:sz="0" w:space="0" w:color="auto"/>
        <w:bottom w:val="none" w:sz="0" w:space="0" w:color="auto"/>
        <w:right w:val="none" w:sz="0" w:space="0" w:color="auto"/>
      </w:divBdr>
    </w:div>
    <w:div w:id="992759422">
      <w:bodyDiv w:val="1"/>
      <w:marLeft w:val="0"/>
      <w:marRight w:val="0"/>
      <w:marTop w:val="0"/>
      <w:marBottom w:val="0"/>
      <w:divBdr>
        <w:top w:val="none" w:sz="0" w:space="0" w:color="auto"/>
        <w:left w:val="none" w:sz="0" w:space="0" w:color="auto"/>
        <w:bottom w:val="none" w:sz="0" w:space="0" w:color="auto"/>
        <w:right w:val="none" w:sz="0" w:space="0" w:color="auto"/>
      </w:divBdr>
    </w:div>
    <w:div w:id="992871628">
      <w:bodyDiv w:val="1"/>
      <w:marLeft w:val="0"/>
      <w:marRight w:val="0"/>
      <w:marTop w:val="0"/>
      <w:marBottom w:val="0"/>
      <w:divBdr>
        <w:top w:val="none" w:sz="0" w:space="0" w:color="auto"/>
        <w:left w:val="none" w:sz="0" w:space="0" w:color="auto"/>
        <w:bottom w:val="none" w:sz="0" w:space="0" w:color="auto"/>
        <w:right w:val="none" w:sz="0" w:space="0" w:color="auto"/>
      </w:divBdr>
    </w:div>
    <w:div w:id="992872931">
      <w:bodyDiv w:val="1"/>
      <w:marLeft w:val="0"/>
      <w:marRight w:val="0"/>
      <w:marTop w:val="0"/>
      <w:marBottom w:val="0"/>
      <w:divBdr>
        <w:top w:val="none" w:sz="0" w:space="0" w:color="auto"/>
        <w:left w:val="none" w:sz="0" w:space="0" w:color="auto"/>
        <w:bottom w:val="none" w:sz="0" w:space="0" w:color="auto"/>
        <w:right w:val="none" w:sz="0" w:space="0" w:color="auto"/>
      </w:divBdr>
    </w:div>
    <w:div w:id="993027723">
      <w:bodyDiv w:val="1"/>
      <w:marLeft w:val="0"/>
      <w:marRight w:val="0"/>
      <w:marTop w:val="0"/>
      <w:marBottom w:val="0"/>
      <w:divBdr>
        <w:top w:val="none" w:sz="0" w:space="0" w:color="auto"/>
        <w:left w:val="none" w:sz="0" w:space="0" w:color="auto"/>
        <w:bottom w:val="none" w:sz="0" w:space="0" w:color="auto"/>
        <w:right w:val="none" w:sz="0" w:space="0" w:color="auto"/>
      </w:divBdr>
    </w:div>
    <w:div w:id="993072844">
      <w:bodyDiv w:val="1"/>
      <w:marLeft w:val="0"/>
      <w:marRight w:val="0"/>
      <w:marTop w:val="0"/>
      <w:marBottom w:val="0"/>
      <w:divBdr>
        <w:top w:val="none" w:sz="0" w:space="0" w:color="auto"/>
        <w:left w:val="none" w:sz="0" w:space="0" w:color="auto"/>
        <w:bottom w:val="none" w:sz="0" w:space="0" w:color="auto"/>
        <w:right w:val="none" w:sz="0" w:space="0" w:color="auto"/>
      </w:divBdr>
    </w:div>
    <w:div w:id="993218330">
      <w:bodyDiv w:val="1"/>
      <w:marLeft w:val="0"/>
      <w:marRight w:val="0"/>
      <w:marTop w:val="0"/>
      <w:marBottom w:val="0"/>
      <w:divBdr>
        <w:top w:val="none" w:sz="0" w:space="0" w:color="auto"/>
        <w:left w:val="none" w:sz="0" w:space="0" w:color="auto"/>
        <w:bottom w:val="none" w:sz="0" w:space="0" w:color="auto"/>
        <w:right w:val="none" w:sz="0" w:space="0" w:color="auto"/>
      </w:divBdr>
    </w:div>
    <w:div w:id="993263771">
      <w:bodyDiv w:val="1"/>
      <w:marLeft w:val="0"/>
      <w:marRight w:val="0"/>
      <w:marTop w:val="0"/>
      <w:marBottom w:val="0"/>
      <w:divBdr>
        <w:top w:val="none" w:sz="0" w:space="0" w:color="auto"/>
        <w:left w:val="none" w:sz="0" w:space="0" w:color="auto"/>
        <w:bottom w:val="none" w:sz="0" w:space="0" w:color="auto"/>
        <w:right w:val="none" w:sz="0" w:space="0" w:color="auto"/>
      </w:divBdr>
    </w:div>
    <w:div w:id="993337437">
      <w:bodyDiv w:val="1"/>
      <w:marLeft w:val="0"/>
      <w:marRight w:val="0"/>
      <w:marTop w:val="0"/>
      <w:marBottom w:val="0"/>
      <w:divBdr>
        <w:top w:val="none" w:sz="0" w:space="0" w:color="auto"/>
        <w:left w:val="none" w:sz="0" w:space="0" w:color="auto"/>
        <w:bottom w:val="none" w:sz="0" w:space="0" w:color="auto"/>
        <w:right w:val="none" w:sz="0" w:space="0" w:color="auto"/>
      </w:divBdr>
    </w:div>
    <w:div w:id="993340631">
      <w:bodyDiv w:val="1"/>
      <w:marLeft w:val="0"/>
      <w:marRight w:val="0"/>
      <w:marTop w:val="0"/>
      <w:marBottom w:val="0"/>
      <w:divBdr>
        <w:top w:val="none" w:sz="0" w:space="0" w:color="auto"/>
        <w:left w:val="none" w:sz="0" w:space="0" w:color="auto"/>
        <w:bottom w:val="none" w:sz="0" w:space="0" w:color="auto"/>
        <w:right w:val="none" w:sz="0" w:space="0" w:color="auto"/>
      </w:divBdr>
    </w:div>
    <w:div w:id="993341552">
      <w:bodyDiv w:val="1"/>
      <w:marLeft w:val="0"/>
      <w:marRight w:val="0"/>
      <w:marTop w:val="0"/>
      <w:marBottom w:val="0"/>
      <w:divBdr>
        <w:top w:val="none" w:sz="0" w:space="0" w:color="auto"/>
        <w:left w:val="none" w:sz="0" w:space="0" w:color="auto"/>
        <w:bottom w:val="none" w:sz="0" w:space="0" w:color="auto"/>
        <w:right w:val="none" w:sz="0" w:space="0" w:color="auto"/>
      </w:divBdr>
    </w:div>
    <w:div w:id="993414940">
      <w:bodyDiv w:val="1"/>
      <w:marLeft w:val="0"/>
      <w:marRight w:val="0"/>
      <w:marTop w:val="0"/>
      <w:marBottom w:val="0"/>
      <w:divBdr>
        <w:top w:val="none" w:sz="0" w:space="0" w:color="auto"/>
        <w:left w:val="none" w:sz="0" w:space="0" w:color="auto"/>
        <w:bottom w:val="none" w:sz="0" w:space="0" w:color="auto"/>
        <w:right w:val="none" w:sz="0" w:space="0" w:color="auto"/>
      </w:divBdr>
    </w:div>
    <w:div w:id="993492547">
      <w:bodyDiv w:val="1"/>
      <w:marLeft w:val="0"/>
      <w:marRight w:val="0"/>
      <w:marTop w:val="0"/>
      <w:marBottom w:val="0"/>
      <w:divBdr>
        <w:top w:val="none" w:sz="0" w:space="0" w:color="auto"/>
        <w:left w:val="none" w:sz="0" w:space="0" w:color="auto"/>
        <w:bottom w:val="none" w:sz="0" w:space="0" w:color="auto"/>
        <w:right w:val="none" w:sz="0" w:space="0" w:color="auto"/>
      </w:divBdr>
    </w:div>
    <w:div w:id="993526150">
      <w:bodyDiv w:val="1"/>
      <w:marLeft w:val="0"/>
      <w:marRight w:val="0"/>
      <w:marTop w:val="0"/>
      <w:marBottom w:val="0"/>
      <w:divBdr>
        <w:top w:val="none" w:sz="0" w:space="0" w:color="auto"/>
        <w:left w:val="none" w:sz="0" w:space="0" w:color="auto"/>
        <w:bottom w:val="none" w:sz="0" w:space="0" w:color="auto"/>
        <w:right w:val="none" w:sz="0" w:space="0" w:color="auto"/>
      </w:divBdr>
    </w:div>
    <w:div w:id="993527217">
      <w:bodyDiv w:val="1"/>
      <w:marLeft w:val="0"/>
      <w:marRight w:val="0"/>
      <w:marTop w:val="0"/>
      <w:marBottom w:val="0"/>
      <w:divBdr>
        <w:top w:val="none" w:sz="0" w:space="0" w:color="auto"/>
        <w:left w:val="none" w:sz="0" w:space="0" w:color="auto"/>
        <w:bottom w:val="none" w:sz="0" w:space="0" w:color="auto"/>
        <w:right w:val="none" w:sz="0" w:space="0" w:color="auto"/>
      </w:divBdr>
    </w:div>
    <w:div w:id="993529153">
      <w:bodyDiv w:val="1"/>
      <w:marLeft w:val="0"/>
      <w:marRight w:val="0"/>
      <w:marTop w:val="0"/>
      <w:marBottom w:val="0"/>
      <w:divBdr>
        <w:top w:val="none" w:sz="0" w:space="0" w:color="auto"/>
        <w:left w:val="none" w:sz="0" w:space="0" w:color="auto"/>
        <w:bottom w:val="none" w:sz="0" w:space="0" w:color="auto"/>
        <w:right w:val="none" w:sz="0" w:space="0" w:color="auto"/>
      </w:divBdr>
    </w:div>
    <w:div w:id="993676887">
      <w:bodyDiv w:val="1"/>
      <w:marLeft w:val="0"/>
      <w:marRight w:val="0"/>
      <w:marTop w:val="0"/>
      <w:marBottom w:val="0"/>
      <w:divBdr>
        <w:top w:val="none" w:sz="0" w:space="0" w:color="auto"/>
        <w:left w:val="none" w:sz="0" w:space="0" w:color="auto"/>
        <w:bottom w:val="none" w:sz="0" w:space="0" w:color="auto"/>
        <w:right w:val="none" w:sz="0" w:space="0" w:color="auto"/>
      </w:divBdr>
    </w:div>
    <w:div w:id="993685777">
      <w:bodyDiv w:val="1"/>
      <w:marLeft w:val="0"/>
      <w:marRight w:val="0"/>
      <w:marTop w:val="0"/>
      <w:marBottom w:val="0"/>
      <w:divBdr>
        <w:top w:val="none" w:sz="0" w:space="0" w:color="auto"/>
        <w:left w:val="none" w:sz="0" w:space="0" w:color="auto"/>
        <w:bottom w:val="none" w:sz="0" w:space="0" w:color="auto"/>
        <w:right w:val="none" w:sz="0" w:space="0" w:color="auto"/>
      </w:divBdr>
    </w:div>
    <w:div w:id="993796892">
      <w:bodyDiv w:val="1"/>
      <w:marLeft w:val="0"/>
      <w:marRight w:val="0"/>
      <w:marTop w:val="0"/>
      <w:marBottom w:val="0"/>
      <w:divBdr>
        <w:top w:val="none" w:sz="0" w:space="0" w:color="auto"/>
        <w:left w:val="none" w:sz="0" w:space="0" w:color="auto"/>
        <w:bottom w:val="none" w:sz="0" w:space="0" w:color="auto"/>
        <w:right w:val="none" w:sz="0" w:space="0" w:color="auto"/>
      </w:divBdr>
    </w:div>
    <w:div w:id="993797935">
      <w:bodyDiv w:val="1"/>
      <w:marLeft w:val="0"/>
      <w:marRight w:val="0"/>
      <w:marTop w:val="0"/>
      <w:marBottom w:val="0"/>
      <w:divBdr>
        <w:top w:val="none" w:sz="0" w:space="0" w:color="auto"/>
        <w:left w:val="none" w:sz="0" w:space="0" w:color="auto"/>
        <w:bottom w:val="none" w:sz="0" w:space="0" w:color="auto"/>
        <w:right w:val="none" w:sz="0" w:space="0" w:color="auto"/>
      </w:divBdr>
    </w:div>
    <w:div w:id="993799678">
      <w:bodyDiv w:val="1"/>
      <w:marLeft w:val="0"/>
      <w:marRight w:val="0"/>
      <w:marTop w:val="0"/>
      <w:marBottom w:val="0"/>
      <w:divBdr>
        <w:top w:val="none" w:sz="0" w:space="0" w:color="auto"/>
        <w:left w:val="none" w:sz="0" w:space="0" w:color="auto"/>
        <w:bottom w:val="none" w:sz="0" w:space="0" w:color="auto"/>
        <w:right w:val="none" w:sz="0" w:space="0" w:color="auto"/>
      </w:divBdr>
    </w:div>
    <w:div w:id="993802422">
      <w:bodyDiv w:val="1"/>
      <w:marLeft w:val="0"/>
      <w:marRight w:val="0"/>
      <w:marTop w:val="0"/>
      <w:marBottom w:val="0"/>
      <w:divBdr>
        <w:top w:val="none" w:sz="0" w:space="0" w:color="auto"/>
        <w:left w:val="none" w:sz="0" w:space="0" w:color="auto"/>
        <w:bottom w:val="none" w:sz="0" w:space="0" w:color="auto"/>
        <w:right w:val="none" w:sz="0" w:space="0" w:color="auto"/>
      </w:divBdr>
    </w:div>
    <w:div w:id="993874368">
      <w:bodyDiv w:val="1"/>
      <w:marLeft w:val="0"/>
      <w:marRight w:val="0"/>
      <w:marTop w:val="0"/>
      <w:marBottom w:val="0"/>
      <w:divBdr>
        <w:top w:val="none" w:sz="0" w:space="0" w:color="auto"/>
        <w:left w:val="none" w:sz="0" w:space="0" w:color="auto"/>
        <w:bottom w:val="none" w:sz="0" w:space="0" w:color="auto"/>
        <w:right w:val="none" w:sz="0" w:space="0" w:color="auto"/>
      </w:divBdr>
    </w:div>
    <w:div w:id="993989670">
      <w:bodyDiv w:val="1"/>
      <w:marLeft w:val="0"/>
      <w:marRight w:val="0"/>
      <w:marTop w:val="0"/>
      <w:marBottom w:val="0"/>
      <w:divBdr>
        <w:top w:val="none" w:sz="0" w:space="0" w:color="auto"/>
        <w:left w:val="none" w:sz="0" w:space="0" w:color="auto"/>
        <w:bottom w:val="none" w:sz="0" w:space="0" w:color="auto"/>
        <w:right w:val="none" w:sz="0" w:space="0" w:color="auto"/>
      </w:divBdr>
    </w:div>
    <w:div w:id="993989917">
      <w:bodyDiv w:val="1"/>
      <w:marLeft w:val="0"/>
      <w:marRight w:val="0"/>
      <w:marTop w:val="0"/>
      <w:marBottom w:val="0"/>
      <w:divBdr>
        <w:top w:val="none" w:sz="0" w:space="0" w:color="auto"/>
        <w:left w:val="none" w:sz="0" w:space="0" w:color="auto"/>
        <w:bottom w:val="none" w:sz="0" w:space="0" w:color="auto"/>
        <w:right w:val="none" w:sz="0" w:space="0" w:color="auto"/>
      </w:divBdr>
    </w:div>
    <w:div w:id="994063331">
      <w:bodyDiv w:val="1"/>
      <w:marLeft w:val="0"/>
      <w:marRight w:val="0"/>
      <w:marTop w:val="0"/>
      <w:marBottom w:val="0"/>
      <w:divBdr>
        <w:top w:val="none" w:sz="0" w:space="0" w:color="auto"/>
        <w:left w:val="none" w:sz="0" w:space="0" w:color="auto"/>
        <w:bottom w:val="none" w:sz="0" w:space="0" w:color="auto"/>
        <w:right w:val="none" w:sz="0" w:space="0" w:color="auto"/>
      </w:divBdr>
    </w:div>
    <w:div w:id="994145419">
      <w:bodyDiv w:val="1"/>
      <w:marLeft w:val="0"/>
      <w:marRight w:val="0"/>
      <w:marTop w:val="0"/>
      <w:marBottom w:val="0"/>
      <w:divBdr>
        <w:top w:val="none" w:sz="0" w:space="0" w:color="auto"/>
        <w:left w:val="none" w:sz="0" w:space="0" w:color="auto"/>
        <w:bottom w:val="none" w:sz="0" w:space="0" w:color="auto"/>
        <w:right w:val="none" w:sz="0" w:space="0" w:color="auto"/>
      </w:divBdr>
    </w:div>
    <w:div w:id="994264054">
      <w:bodyDiv w:val="1"/>
      <w:marLeft w:val="0"/>
      <w:marRight w:val="0"/>
      <w:marTop w:val="0"/>
      <w:marBottom w:val="0"/>
      <w:divBdr>
        <w:top w:val="none" w:sz="0" w:space="0" w:color="auto"/>
        <w:left w:val="none" w:sz="0" w:space="0" w:color="auto"/>
        <w:bottom w:val="none" w:sz="0" w:space="0" w:color="auto"/>
        <w:right w:val="none" w:sz="0" w:space="0" w:color="auto"/>
      </w:divBdr>
    </w:div>
    <w:div w:id="994450919">
      <w:bodyDiv w:val="1"/>
      <w:marLeft w:val="0"/>
      <w:marRight w:val="0"/>
      <w:marTop w:val="0"/>
      <w:marBottom w:val="0"/>
      <w:divBdr>
        <w:top w:val="none" w:sz="0" w:space="0" w:color="auto"/>
        <w:left w:val="none" w:sz="0" w:space="0" w:color="auto"/>
        <w:bottom w:val="none" w:sz="0" w:space="0" w:color="auto"/>
        <w:right w:val="none" w:sz="0" w:space="0" w:color="auto"/>
      </w:divBdr>
    </w:div>
    <w:div w:id="994652120">
      <w:bodyDiv w:val="1"/>
      <w:marLeft w:val="0"/>
      <w:marRight w:val="0"/>
      <w:marTop w:val="0"/>
      <w:marBottom w:val="0"/>
      <w:divBdr>
        <w:top w:val="none" w:sz="0" w:space="0" w:color="auto"/>
        <w:left w:val="none" w:sz="0" w:space="0" w:color="auto"/>
        <w:bottom w:val="none" w:sz="0" w:space="0" w:color="auto"/>
        <w:right w:val="none" w:sz="0" w:space="0" w:color="auto"/>
      </w:divBdr>
    </w:div>
    <w:div w:id="994728124">
      <w:bodyDiv w:val="1"/>
      <w:marLeft w:val="0"/>
      <w:marRight w:val="0"/>
      <w:marTop w:val="0"/>
      <w:marBottom w:val="0"/>
      <w:divBdr>
        <w:top w:val="none" w:sz="0" w:space="0" w:color="auto"/>
        <w:left w:val="none" w:sz="0" w:space="0" w:color="auto"/>
        <w:bottom w:val="none" w:sz="0" w:space="0" w:color="auto"/>
        <w:right w:val="none" w:sz="0" w:space="0" w:color="auto"/>
      </w:divBdr>
    </w:div>
    <w:div w:id="994796376">
      <w:bodyDiv w:val="1"/>
      <w:marLeft w:val="0"/>
      <w:marRight w:val="0"/>
      <w:marTop w:val="0"/>
      <w:marBottom w:val="0"/>
      <w:divBdr>
        <w:top w:val="none" w:sz="0" w:space="0" w:color="auto"/>
        <w:left w:val="none" w:sz="0" w:space="0" w:color="auto"/>
        <w:bottom w:val="none" w:sz="0" w:space="0" w:color="auto"/>
        <w:right w:val="none" w:sz="0" w:space="0" w:color="auto"/>
      </w:divBdr>
    </w:div>
    <w:div w:id="994800547">
      <w:bodyDiv w:val="1"/>
      <w:marLeft w:val="0"/>
      <w:marRight w:val="0"/>
      <w:marTop w:val="0"/>
      <w:marBottom w:val="0"/>
      <w:divBdr>
        <w:top w:val="none" w:sz="0" w:space="0" w:color="auto"/>
        <w:left w:val="none" w:sz="0" w:space="0" w:color="auto"/>
        <w:bottom w:val="none" w:sz="0" w:space="0" w:color="auto"/>
        <w:right w:val="none" w:sz="0" w:space="0" w:color="auto"/>
      </w:divBdr>
    </w:div>
    <w:div w:id="995035914">
      <w:bodyDiv w:val="1"/>
      <w:marLeft w:val="0"/>
      <w:marRight w:val="0"/>
      <w:marTop w:val="0"/>
      <w:marBottom w:val="0"/>
      <w:divBdr>
        <w:top w:val="none" w:sz="0" w:space="0" w:color="auto"/>
        <w:left w:val="none" w:sz="0" w:space="0" w:color="auto"/>
        <w:bottom w:val="none" w:sz="0" w:space="0" w:color="auto"/>
        <w:right w:val="none" w:sz="0" w:space="0" w:color="auto"/>
      </w:divBdr>
    </w:div>
    <w:div w:id="995262452">
      <w:bodyDiv w:val="1"/>
      <w:marLeft w:val="0"/>
      <w:marRight w:val="0"/>
      <w:marTop w:val="0"/>
      <w:marBottom w:val="0"/>
      <w:divBdr>
        <w:top w:val="none" w:sz="0" w:space="0" w:color="auto"/>
        <w:left w:val="none" w:sz="0" w:space="0" w:color="auto"/>
        <w:bottom w:val="none" w:sz="0" w:space="0" w:color="auto"/>
        <w:right w:val="none" w:sz="0" w:space="0" w:color="auto"/>
      </w:divBdr>
    </w:div>
    <w:div w:id="995308099">
      <w:bodyDiv w:val="1"/>
      <w:marLeft w:val="0"/>
      <w:marRight w:val="0"/>
      <w:marTop w:val="0"/>
      <w:marBottom w:val="0"/>
      <w:divBdr>
        <w:top w:val="none" w:sz="0" w:space="0" w:color="auto"/>
        <w:left w:val="none" w:sz="0" w:space="0" w:color="auto"/>
        <w:bottom w:val="none" w:sz="0" w:space="0" w:color="auto"/>
        <w:right w:val="none" w:sz="0" w:space="0" w:color="auto"/>
      </w:divBdr>
    </w:div>
    <w:div w:id="995688632">
      <w:bodyDiv w:val="1"/>
      <w:marLeft w:val="0"/>
      <w:marRight w:val="0"/>
      <w:marTop w:val="0"/>
      <w:marBottom w:val="0"/>
      <w:divBdr>
        <w:top w:val="none" w:sz="0" w:space="0" w:color="auto"/>
        <w:left w:val="none" w:sz="0" w:space="0" w:color="auto"/>
        <w:bottom w:val="none" w:sz="0" w:space="0" w:color="auto"/>
        <w:right w:val="none" w:sz="0" w:space="0" w:color="auto"/>
      </w:divBdr>
    </w:div>
    <w:div w:id="995765289">
      <w:bodyDiv w:val="1"/>
      <w:marLeft w:val="0"/>
      <w:marRight w:val="0"/>
      <w:marTop w:val="0"/>
      <w:marBottom w:val="0"/>
      <w:divBdr>
        <w:top w:val="none" w:sz="0" w:space="0" w:color="auto"/>
        <w:left w:val="none" w:sz="0" w:space="0" w:color="auto"/>
        <w:bottom w:val="none" w:sz="0" w:space="0" w:color="auto"/>
        <w:right w:val="none" w:sz="0" w:space="0" w:color="auto"/>
      </w:divBdr>
    </w:div>
    <w:div w:id="995838890">
      <w:bodyDiv w:val="1"/>
      <w:marLeft w:val="0"/>
      <w:marRight w:val="0"/>
      <w:marTop w:val="0"/>
      <w:marBottom w:val="0"/>
      <w:divBdr>
        <w:top w:val="none" w:sz="0" w:space="0" w:color="auto"/>
        <w:left w:val="none" w:sz="0" w:space="0" w:color="auto"/>
        <w:bottom w:val="none" w:sz="0" w:space="0" w:color="auto"/>
        <w:right w:val="none" w:sz="0" w:space="0" w:color="auto"/>
      </w:divBdr>
    </w:div>
    <w:div w:id="995839742">
      <w:bodyDiv w:val="1"/>
      <w:marLeft w:val="0"/>
      <w:marRight w:val="0"/>
      <w:marTop w:val="0"/>
      <w:marBottom w:val="0"/>
      <w:divBdr>
        <w:top w:val="none" w:sz="0" w:space="0" w:color="auto"/>
        <w:left w:val="none" w:sz="0" w:space="0" w:color="auto"/>
        <w:bottom w:val="none" w:sz="0" w:space="0" w:color="auto"/>
        <w:right w:val="none" w:sz="0" w:space="0" w:color="auto"/>
      </w:divBdr>
    </w:div>
    <w:div w:id="995954480">
      <w:bodyDiv w:val="1"/>
      <w:marLeft w:val="0"/>
      <w:marRight w:val="0"/>
      <w:marTop w:val="0"/>
      <w:marBottom w:val="0"/>
      <w:divBdr>
        <w:top w:val="none" w:sz="0" w:space="0" w:color="auto"/>
        <w:left w:val="none" w:sz="0" w:space="0" w:color="auto"/>
        <w:bottom w:val="none" w:sz="0" w:space="0" w:color="auto"/>
        <w:right w:val="none" w:sz="0" w:space="0" w:color="auto"/>
      </w:divBdr>
    </w:div>
    <w:div w:id="995959252">
      <w:bodyDiv w:val="1"/>
      <w:marLeft w:val="0"/>
      <w:marRight w:val="0"/>
      <w:marTop w:val="0"/>
      <w:marBottom w:val="0"/>
      <w:divBdr>
        <w:top w:val="none" w:sz="0" w:space="0" w:color="auto"/>
        <w:left w:val="none" w:sz="0" w:space="0" w:color="auto"/>
        <w:bottom w:val="none" w:sz="0" w:space="0" w:color="auto"/>
        <w:right w:val="none" w:sz="0" w:space="0" w:color="auto"/>
      </w:divBdr>
    </w:div>
    <w:div w:id="995959853">
      <w:bodyDiv w:val="1"/>
      <w:marLeft w:val="0"/>
      <w:marRight w:val="0"/>
      <w:marTop w:val="0"/>
      <w:marBottom w:val="0"/>
      <w:divBdr>
        <w:top w:val="none" w:sz="0" w:space="0" w:color="auto"/>
        <w:left w:val="none" w:sz="0" w:space="0" w:color="auto"/>
        <w:bottom w:val="none" w:sz="0" w:space="0" w:color="auto"/>
        <w:right w:val="none" w:sz="0" w:space="0" w:color="auto"/>
      </w:divBdr>
    </w:div>
    <w:div w:id="995960176">
      <w:bodyDiv w:val="1"/>
      <w:marLeft w:val="0"/>
      <w:marRight w:val="0"/>
      <w:marTop w:val="0"/>
      <w:marBottom w:val="0"/>
      <w:divBdr>
        <w:top w:val="none" w:sz="0" w:space="0" w:color="auto"/>
        <w:left w:val="none" w:sz="0" w:space="0" w:color="auto"/>
        <w:bottom w:val="none" w:sz="0" w:space="0" w:color="auto"/>
        <w:right w:val="none" w:sz="0" w:space="0" w:color="auto"/>
      </w:divBdr>
    </w:div>
    <w:div w:id="996030337">
      <w:bodyDiv w:val="1"/>
      <w:marLeft w:val="0"/>
      <w:marRight w:val="0"/>
      <w:marTop w:val="0"/>
      <w:marBottom w:val="0"/>
      <w:divBdr>
        <w:top w:val="none" w:sz="0" w:space="0" w:color="auto"/>
        <w:left w:val="none" w:sz="0" w:space="0" w:color="auto"/>
        <w:bottom w:val="none" w:sz="0" w:space="0" w:color="auto"/>
        <w:right w:val="none" w:sz="0" w:space="0" w:color="auto"/>
      </w:divBdr>
    </w:div>
    <w:div w:id="996031149">
      <w:bodyDiv w:val="1"/>
      <w:marLeft w:val="0"/>
      <w:marRight w:val="0"/>
      <w:marTop w:val="0"/>
      <w:marBottom w:val="0"/>
      <w:divBdr>
        <w:top w:val="none" w:sz="0" w:space="0" w:color="auto"/>
        <w:left w:val="none" w:sz="0" w:space="0" w:color="auto"/>
        <w:bottom w:val="none" w:sz="0" w:space="0" w:color="auto"/>
        <w:right w:val="none" w:sz="0" w:space="0" w:color="auto"/>
      </w:divBdr>
    </w:div>
    <w:div w:id="996036748">
      <w:bodyDiv w:val="1"/>
      <w:marLeft w:val="0"/>
      <w:marRight w:val="0"/>
      <w:marTop w:val="0"/>
      <w:marBottom w:val="0"/>
      <w:divBdr>
        <w:top w:val="none" w:sz="0" w:space="0" w:color="auto"/>
        <w:left w:val="none" w:sz="0" w:space="0" w:color="auto"/>
        <w:bottom w:val="none" w:sz="0" w:space="0" w:color="auto"/>
        <w:right w:val="none" w:sz="0" w:space="0" w:color="auto"/>
      </w:divBdr>
    </w:div>
    <w:div w:id="996149207">
      <w:bodyDiv w:val="1"/>
      <w:marLeft w:val="0"/>
      <w:marRight w:val="0"/>
      <w:marTop w:val="0"/>
      <w:marBottom w:val="0"/>
      <w:divBdr>
        <w:top w:val="none" w:sz="0" w:space="0" w:color="auto"/>
        <w:left w:val="none" w:sz="0" w:space="0" w:color="auto"/>
        <w:bottom w:val="none" w:sz="0" w:space="0" w:color="auto"/>
        <w:right w:val="none" w:sz="0" w:space="0" w:color="auto"/>
      </w:divBdr>
    </w:div>
    <w:div w:id="996149368">
      <w:bodyDiv w:val="1"/>
      <w:marLeft w:val="0"/>
      <w:marRight w:val="0"/>
      <w:marTop w:val="0"/>
      <w:marBottom w:val="0"/>
      <w:divBdr>
        <w:top w:val="none" w:sz="0" w:space="0" w:color="auto"/>
        <w:left w:val="none" w:sz="0" w:space="0" w:color="auto"/>
        <w:bottom w:val="none" w:sz="0" w:space="0" w:color="auto"/>
        <w:right w:val="none" w:sz="0" w:space="0" w:color="auto"/>
      </w:divBdr>
    </w:div>
    <w:div w:id="996231918">
      <w:bodyDiv w:val="1"/>
      <w:marLeft w:val="0"/>
      <w:marRight w:val="0"/>
      <w:marTop w:val="0"/>
      <w:marBottom w:val="0"/>
      <w:divBdr>
        <w:top w:val="none" w:sz="0" w:space="0" w:color="auto"/>
        <w:left w:val="none" w:sz="0" w:space="0" w:color="auto"/>
        <w:bottom w:val="none" w:sz="0" w:space="0" w:color="auto"/>
        <w:right w:val="none" w:sz="0" w:space="0" w:color="auto"/>
      </w:divBdr>
    </w:div>
    <w:div w:id="996347499">
      <w:bodyDiv w:val="1"/>
      <w:marLeft w:val="0"/>
      <w:marRight w:val="0"/>
      <w:marTop w:val="0"/>
      <w:marBottom w:val="0"/>
      <w:divBdr>
        <w:top w:val="none" w:sz="0" w:space="0" w:color="auto"/>
        <w:left w:val="none" w:sz="0" w:space="0" w:color="auto"/>
        <w:bottom w:val="none" w:sz="0" w:space="0" w:color="auto"/>
        <w:right w:val="none" w:sz="0" w:space="0" w:color="auto"/>
      </w:divBdr>
    </w:div>
    <w:div w:id="996416978">
      <w:bodyDiv w:val="1"/>
      <w:marLeft w:val="0"/>
      <w:marRight w:val="0"/>
      <w:marTop w:val="0"/>
      <w:marBottom w:val="0"/>
      <w:divBdr>
        <w:top w:val="none" w:sz="0" w:space="0" w:color="auto"/>
        <w:left w:val="none" w:sz="0" w:space="0" w:color="auto"/>
        <w:bottom w:val="none" w:sz="0" w:space="0" w:color="auto"/>
        <w:right w:val="none" w:sz="0" w:space="0" w:color="auto"/>
      </w:divBdr>
    </w:div>
    <w:div w:id="996617474">
      <w:bodyDiv w:val="1"/>
      <w:marLeft w:val="0"/>
      <w:marRight w:val="0"/>
      <w:marTop w:val="0"/>
      <w:marBottom w:val="0"/>
      <w:divBdr>
        <w:top w:val="none" w:sz="0" w:space="0" w:color="auto"/>
        <w:left w:val="none" w:sz="0" w:space="0" w:color="auto"/>
        <w:bottom w:val="none" w:sz="0" w:space="0" w:color="auto"/>
        <w:right w:val="none" w:sz="0" w:space="0" w:color="auto"/>
      </w:divBdr>
    </w:div>
    <w:div w:id="996687938">
      <w:bodyDiv w:val="1"/>
      <w:marLeft w:val="0"/>
      <w:marRight w:val="0"/>
      <w:marTop w:val="0"/>
      <w:marBottom w:val="0"/>
      <w:divBdr>
        <w:top w:val="none" w:sz="0" w:space="0" w:color="auto"/>
        <w:left w:val="none" w:sz="0" w:space="0" w:color="auto"/>
        <w:bottom w:val="none" w:sz="0" w:space="0" w:color="auto"/>
        <w:right w:val="none" w:sz="0" w:space="0" w:color="auto"/>
      </w:divBdr>
    </w:div>
    <w:div w:id="996688384">
      <w:bodyDiv w:val="1"/>
      <w:marLeft w:val="0"/>
      <w:marRight w:val="0"/>
      <w:marTop w:val="0"/>
      <w:marBottom w:val="0"/>
      <w:divBdr>
        <w:top w:val="none" w:sz="0" w:space="0" w:color="auto"/>
        <w:left w:val="none" w:sz="0" w:space="0" w:color="auto"/>
        <w:bottom w:val="none" w:sz="0" w:space="0" w:color="auto"/>
        <w:right w:val="none" w:sz="0" w:space="0" w:color="auto"/>
      </w:divBdr>
    </w:div>
    <w:div w:id="996766815">
      <w:bodyDiv w:val="1"/>
      <w:marLeft w:val="0"/>
      <w:marRight w:val="0"/>
      <w:marTop w:val="0"/>
      <w:marBottom w:val="0"/>
      <w:divBdr>
        <w:top w:val="none" w:sz="0" w:space="0" w:color="auto"/>
        <w:left w:val="none" w:sz="0" w:space="0" w:color="auto"/>
        <w:bottom w:val="none" w:sz="0" w:space="0" w:color="auto"/>
        <w:right w:val="none" w:sz="0" w:space="0" w:color="auto"/>
      </w:divBdr>
    </w:div>
    <w:div w:id="996884778">
      <w:bodyDiv w:val="1"/>
      <w:marLeft w:val="0"/>
      <w:marRight w:val="0"/>
      <w:marTop w:val="0"/>
      <w:marBottom w:val="0"/>
      <w:divBdr>
        <w:top w:val="none" w:sz="0" w:space="0" w:color="auto"/>
        <w:left w:val="none" w:sz="0" w:space="0" w:color="auto"/>
        <w:bottom w:val="none" w:sz="0" w:space="0" w:color="auto"/>
        <w:right w:val="none" w:sz="0" w:space="0" w:color="auto"/>
      </w:divBdr>
    </w:div>
    <w:div w:id="996962484">
      <w:bodyDiv w:val="1"/>
      <w:marLeft w:val="0"/>
      <w:marRight w:val="0"/>
      <w:marTop w:val="0"/>
      <w:marBottom w:val="0"/>
      <w:divBdr>
        <w:top w:val="none" w:sz="0" w:space="0" w:color="auto"/>
        <w:left w:val="none" w:sz="0" w:space="0" w:color="auto"/>
        <w:bottom w:val="none" w:sz="0" w:space="0" w:color="auto"/>
        <w:right w:val="none" w:sz="0" w:space="0" w:color="auto"/>
      </w:divBdr>
    </w:div>
    <w:div w:id="997028835">
      <w:bodyDiv w:val="1"/>
      <w:marLeft w:val="0"/>
      <w:marRight w:val="0"/>
      <w:marTop w:val="0"/>
      <w:marBottom w:val="0"/>
      <w:divBdr>
        <w:top w:val="none" w:sz="0" w:space="0" w:color="auto"/>
        <w:left w:val="none" w:sz="0" w:space="0" w:color="auto"/>
        <w:bottom w:val="none" w:sz="0" w:space="0" w:color="auto"/>
        <w:right w:val="none" w:sz="0" w:space="0" w:color="auto"/>
      </w:divBdr>
    </w:div>
    <w:div w:id="997074025">
      <w:bodyDiv w:val="1"/>
      <w:marLeft w:val="0"/>
      <w:marRight w:val="0"/>
      <w:marTop w:val="0"/>
      <w:marBottom w:val="0"/>
      <w:divBdr>
        <w:top w:val="none" w:sz="0" w:space="0" w:color="auto"/>
        <w:left w:val="none" w:sz="0" w:space="0" w:color="auto"/>
        <w:bottom w:val="none" w:sz="0" w:space="0" w:color="auto"/>
        <w:right w:val="none" w:sz="0" w:space="0" w:color="auto"/>
      </w:divBdr>
    </w:div>
    <w:div w:id="997074431">
      <w:bodyDiv w:val="1"/>
      <w:marLeft w:val="0"/>
      <w:marRight w:val="0"/>
      <w:marTop w:val="0"/>
      <w:marBottom w:val="0"/>
      <w:divBdr>
        <w:top w:val="none" w:sz="0" w:space="0" w:color="auto"/>
        <w:left w:val="none" w:sz="0" w:space="0" w:color="auto"/>
        <w:bottom w:val="none" w:sz="0" w:space="0" w:color="auto"/>
        <w:right w:val="none" w:sz="0" w:space="0" w:color="auto"/>
      </w:divBdr>
    </w:div>
    <w:div w:id="997153129">
      <w:bodyDiv w:val="1"/>
      <w:marLeft w:val="0"/>
      <w:marRight w:val="0"/>
      <w:marTop w:val="0"/>
      <w:marBottom w:val="0"/>
      <w:divBdr>
        <w:top w:val="none" w:sz="0" w:space="0" w:color="auto"/>
        <w:left w:val="none" w:sz="0" w:space="0" w:color="auto"/>
        <w:bottom w:val="none" w:sz="0" w:space="0" w:color="auto"/>
        <w:right w:val="none" w:sz="0" w:space="0" w:color="auto"/>
      </w:divBdr>
    </w:div>
    <w:div w:id="997272303">
      <w:bodyDiv w:val="1"/>
      <w:marLeft w:val="0"/>
      <w:marRight w:val="0"/>
      <w:marTop w:val="0"/>
      <w:marBottom w:val="0"/>
      <w:divBdr>
        <w:top w:val="none" w:sz="0" w:space="0" w:color="auto"/>
        <w:left w:val="none" w:sz="0" w:space="0" w:color="auto"/>
        <w:bottom w:val="none" w:sz="0" w:space="0" w:color="auto"/>
        <w:right w:val="none" w:sz="0" w:space="0" w:color="auto"/>
      </w:divBdr>
    </w:div>
    <w:div w:id="997272476">
      <w:bodyDiv w:val="1"/>
      <w:marLeft w:val="0"/>
      <w:marRight w:val="0"/>
      <w:marTop w:val="0"/>
      <w:marBottom w:val="0"/>
      <w:divBdr>
        <w:top w:val="none" w:sz="0" w:space="0" w:color="auto"/>
        <w:left w:val="none" w:sz="0" w:space="0" w:color="auto"/>
        <w:bottom w:val="none" w:sz="0" w:space="0" w:color="auto"/>
        <w:right w:val="none" w:sz="0" w:space="0" w:color="auto"/>
      </w:divBdr>
    </w:div>
    <w:div w:id="997414846">
      <w:bodyDiv w:val="1"/>
      <w:marLeft w:val="0"/>
      <w:marRight w:val="0"/>
      <w:marTop w:val="0"/>
      <w:marBottom w:val="0"/>
      <w:divBdr>
        <w:top w:val="none" w:sz="0" w:space="0" w:color="auto"/>
        <w:left w:val="none" w:sz="0" w:space="0" w:color="auto"/>
        <w:bottom w:val="none" w:sz="0" w:space="0" w:color="auto"/>
        <w:right w:val="none" w:sz="0" w:space="0" w:color="auto"/>
      </w:divBdr>
    </w:div>
    <w:div w:id="997423843">
      <w:bodyDiv w:val="1"/>
      <w:marLeft w:val="0"/>
      <w:marRight w:val="0"/>
      <w:marTop w:val="0"/>
      <w:marBottom w:val="0"/>
      <w:divBdr>
        <w:top w:val="none" w:sz="0" w:space="0" w:color="auto"/>
        <w:left w:val="none" w:sz="0" w:space="0" w:color="auto"/>
        <w:bottom w:val="none" w:sz="0" w:space="0" w:color="auto"/>
        <w:right w:val="none" w:sz="0" w:space="0" w:color="auto"/>
      </w:divBdr>
    </w:div>
    <w:div w:id="997459906">
      <w:bodyDiv w:val="1"/>
      <w:marLeft w:val="0"/>
      <w:marRight w:val="0"/>
      <w:marTop w:val="0"/>
      <w:marBottom w:val="0"/>
      <w:divBdr>
        <w:top w:val="none" w:sz="0" w:space="0" w:color="auto"/>
        <w:left w:val="none" w:sz="0" w:space="0" w:color="auto"/>
        <w:bottom w:val="none" w:sz="0" w:space="0" w:color="auto"/>
        <w:right w:val="none" w:sz="0" w:space="0" w:color="auto"/>
      </w:divBdr>
    </w:div>
    <w:div w:id="997463736">
      <w:bodyDiv w:val="1"/>
      <w:marLeft w:val="0"/>
      <w:marRight w:val="0"/>
      <w:marTop w:val="0"/>
      <w:marBottom w:val="0"/>
      <w:divBdr>
        <w:top w:val="none" w:sz="0" w:space="0" w:color="auto"/>
        <w:left w:val="none" w:sz="0" w:space="0" w:color="auto"/>
        <w:bottom w:val="none" w:sz="0" w:space="0" w:color="auto"/>
        <w:right w:val="none" w:sz="0" w:space="0" w:color="auto"/>
      </w:divBdr>
    </w:div>
    <w:div w:id="997538221">
      <w:bodyDiv w:val="1"/>
      <w:marLeft w:val="0"/>
      <w:marRight w:val="0"/>
      <w:marTop w:val="0"/>
      <w:marBottom w:val="0"/>
      <w:divBdr>
        <w:top w:val="none" w:sz="0" w:space="0" w:color="auto"/>
        <w:left w:val="none" w:sz="0" w:space="0" w:color="auto"/>
        <w:bottom w:val="none" w:sz="0" w:space="0" w:color="auto"/>
        <w:right w:val="none" w:sz="0" w:space="0" w:color="auto"/>
      </w:divBdr>
    </w:div>
    <w:div w:id="997687024">
      <w:bodyDiv w:val="1"/>
      <w:marLeft w:val="0"/>
      <w:marRight w:val="0"/>
      <w:marTop w:val="0"/>
      <w:marBottom w:val="0"/>
      <w:divBdr>
        <w:top w:val="none" w:sz="0" w:space="0" w:color="auto"/>
        <w:left w:val="none" w:sz="0" w:space="0" w:color="auto"/>
        <w:bottom w:val="none" w:sz="0" w:space="0" w:color="auto"/>
        <w:right w:val="none" w:sz="0" w:space="0" w:color="auto"/>
      </w:divBdr>
    </w:div>
    <w:div w:id="997728984">
      <w:bodyDiv w:val="1"/>
      <w:marLeft w:val="0"/>
      <w:marRight w:val="0"/>
      <w:marTop w:val="0"/>
      <w:marBottom w:val="0"/>
      <w:divBdr>
        <w:top w:val="none" w:sz="0" w:space="0" w:color="auto"/>
        <w:left w:val="none" w:sz="0" w:space="0" w:color="auto"/>
        <w:bottom w:val="none" w:sz="0" w:space="0" w:color="auto"/>
        <w:right w:val="none" w:sz="0" w:space="0" w:color="auto"/>
      </w:divBdr>
    </w:div>
    <w:div w:id="997731014">
      <w:bodyDiv w:val="1"/>
      <w:marLeft w:val="0"/>
      <w:marRight w:val="0"/>
      <w:marTop w:val="0"/>
      <w:marBottom w:val="0"/>
      <w:divBdr>
        <w:top w:val="none" w:sz="0" w:space="0" w:color="auto"/>
        <w:left w:val="none" w:sz="0" w:space="0" w:color="auto"/>
        <w:bottom w:val="none" w:sz="0" w:space="0" w:color="auto"/>
        <w:right w:val="none" w:sz="0" w:space="0" w:color="auto"/>
      </w:divBdr>
    </w:div>
    <w:div w:id="997925384">
      <w:bodyDiv w:val="1"/>
      <w:marLeft w:val="0"/>
      <w:marRight w:val="0"/>
      <w:marTop w:val="0"/>
      <w:marBottom w:val="0"/>
      <w:divBdr>
        <w:top w:val="none" w:sz="0" w:space="0" w:color="auto"/>
        <w:left w:val="none" w:sz="0" w:space="0" w:color="auto"/>
        <w:bottom w:val="none" w:sz="0" w:space="0" w:color="auto"/>
        <w:right w:val="none" w:sz="0" w:space="0" w:color="auto"/>
      </w:divBdr>
    </w:div>
    <w:div w:id="998072456">
      <w:bodyDiv w:val="1"/>
      <w:marLeft w:val="0"/>
      <w:marRight w:val="0"/>
      <w:marTop w:val="0"/>
      <w:marBottom w:val="0"/>
      <w:divBdr>
        <w:top w:val="none" w:sz="0" w:space="0" w:color="auto"/>
        <w:left w:val="none" w:sz="0" w:space="0" w:color="auto"/>
        <w:bottom w:val="none" w:sz="0" w:space="0" w:color="auto"/>
        <w:right w:val="none" w:sz="0" w:space="0" w:color="auto"/>
      </w:divBdr>
    </w:div>
    <w:div w:id="998077341">
      <w:bodyDiv w:val="1"/>
      <w:marLeft w:val="0"/>
      <w:marRight w:val="0"/>
      <w:marTop w:val="0"/>
      <w:marBottom w:val="0"/>
      <w:divBdr>
        <w:top w:val="none" w:sz="0" w:space="0" w:color="auto"/>
        <w:left w:val="none" w:sz="0" w:space="0" w:color="auto"/>
        <w:bottom w:val="none" w:sz="0" w:space="0" w:color="auto"/>
        <w:right w:val="none" w:sz="0" w:space="0" w:color="auto"/>
      </w:divBdr>
    </w:div>
    <w:div w:id="998194897">
      <w:bodyDiv w:val="1"/>
      <w:marLeft w:val="0"/>
      <w:marRight w:val="0"/>
      <w:marTop w:val="0"/>
      <w:marBottom w:val="0"/>
      <w:divBdr>
        <w:top w:val="none" w:sz="0" w:space="0" w:color="auto"/>
        <w:left w:val="none" w:sz="0" w:space="0" w:color="auto"/>
        <w:bottom w:val="none" w:sz="0" w:space="0" w:color="auto"/>
        <w:right w:val="none" w:sz="0" w:space="0" w:color="auto"/>
      </w:divBdr>
    </w:div>
    <w:div w:id="998271187">
      <w:bodyDiv w:val="1"/>
      <w:marLeft w:val="0"/>
      <w:marRight w:val="0"/>
      <w:marTop w:val="0"/>
      <w:marBottom w:val="0"/>
      <w:divBdr>
        <w:top w:val="none" w:sz="0" w:space="0" w:color="auto"/>
        <w:left w:val="none" w:sz="0" w:space="0" w:color="auto"/>
        <w:bottom w:val="none" w:sz="0" w:space="0" w:color="auto"/>
        <w:right w:val="none" w:sz="0" w:space="0" w:color="auto"/>
      </w:divBdr>
    </w:div>
    <w:div w:id="998340964">
      <w:bodyDiv w:val="1"/>
      <w:marLeft w:val="0"/>
      <w:marRight w:val="0"/>
      <w:marTop w:val="0"/>
      <w:marBottom w:val="0"/>
      <w:divBdr>
        <w:top w:val="none" w:sz="0" w:space="0" w:color="auto"/>
        <w:left w:val="none" w:sz="0" w:space="0" w:color="auto"/>
        <w:bottom w:val="none" w:sz="0" w:space="0" w:color="auto"/>
        <w:right w:val="none" w:sz="0" w:space="0" w:color="auto"/>
      </w:divBdr>
    </w:div>
    <w:div w:id="998461472">
      <w:bodyDiv w:val="1"/>
      <w:marLeft w:val="0"/>
      <w:marRight w:val="0"/>
      <w:marTop w:val="0"/>
      <w:marBottom w:val="0"/>
      <w:divBdr>
        <w:top w:val="none" w:sz="0" w:space="0" w:color="auto"/>
        <w:left w:val="none" w:sz="0" w:space="0" w:color="auto"/>
        <w:bottom w:val="none" w:sz="0" w:space="0" w:color="auto"/>
        <w:right w:val="none" w:sz="0" w:space="0" w:color="auto"/>
      </w:divBdr>
    </w:div>
    <w:div w:id="998506761">
      <w:bodyDiv w:val="1"/>
      <w:marLeft w:val="0"/>
      <w:marRight w:val="0"/>
      <w:marTop w:val="0"/>
      <w:marBottom w:val="0"/>
      <w:divBdr>
        <w:top w:val="none" w:sz="0" w:space="0" w:color="auto"/>
        <w:left w:val="none" w:sz="0" w:space="0" w:color="auto"/>
        <w:bottom w:val="none" w:sz="0" w:space="0" w:color="auto"/>
        <w:right w:val="none" w:sz="0" w:space="0" w:color="auto"/>
      </w:divBdr>
    </w:div>
    <w:div w:id="998535031">
      <w:bodyDiv w:val="1"/>
      <w:marLeft w:val="0"/>
      <w:marRight w:val="0"/>
      <w:marTop w:val="0"/>
      <w:marBottom w:val="0"/>
      <w:divBdr>
        <w:top w:val="none" w:sz="0" w:space="0" w:color="auto"/>
        <w:left w:val="none" w:sz="0" w:space="0" w:color="auto"/>
        <w:bottom w:val="none" w:sz="0" w:space="0" w:color="auto"/>
        <w:right w:val="none" w:sz="0" w:space="0" w:color="auto"/>
      </w:divBdr>
    </w:div>
    <w:div w:id="998579342">
      <w:bodyDiv w:val="1"/>
      <w:marLeft w:val="0"/>
      <w:marRight w:val="0"/>
      <w:marTop w:val="0"/>
      <w:marBottom w:val="0"/>
      <w:divBdr>
        <w:top w:val="none" w:sz="0" w:space="0" w:color="auto"/>
        <w:left w:val="none" w:sz="0" w:space="0" w:color="auto"/>
        <w:bottom w:val="none" w:sz="0" w:space="0" w:color="auto"/>
        <w:right w:val="none" w:sz="0" w:space="0" w:color="auto"/>
      </w:divBdr>
    </w:div>
    <w:div w:id="998581386">
      <w:bodyDiv w:val="1"/>
      <w:marLeft w:val="0"/>
      <w:marRight w:val="0"/>
      <w:marTop w:val="0"/>
      <w:marBottom w:val="0"/>
      <w:divBdr>
        <w:top w:val="none" w:sz="0" w:space="0" w:color="auto"/>
        <w:left w:val="none" w:sz="0" w:space="0" w:color="auto"/>
        <w:bottom w:val="none" w:sz="0" w:space="0" w:color="auto"/>
        <w:right w:val="none" w:sz="0" w:space="0" w:color="auto"/>
      </w:divBdr>
    </w:div>
    <w:div w:id="998581742">
      <w:bodyDiv w:val="1"/>
      <w:marLeft w:val="0"/>
      <w:marRight w:val="0"/>
      <w:marTop w:val="0"/>
      <w:marBottom w:val="0"/>
      <w:divBdr>
        <w:top w:val="none" w:sz="0" w:space="0" w:color="auto"/>
        <w:left w:val="none" w:sz="0" w:space="0" w:color="auto"/>
        <w:bottom w:val="none" w:sz="0" w:space="0" w:color="auto"/>
        <w:right w:val="none" w:sz="0" w:space="0" w:color="auto"/>
      </w:divBdr>
    </w:div>
    <w:div w:id="998582772">
      <w:bodyDiv w:val="1"/>
      <w:marLeft w:val="0"/>
      <w:marRight w:val="0"/>
      <w:marTop w:val="0"/>
      <w:marBottom w:val="0"/>
      <w:divBdr>
        <w:top w:val="none" w:sz="0" w:space="0" w:color="auto"/>
        <w:left w:val="none" w:sz="0" w:space="0" w:color="auto"/>
        <w:bottom w:val="none" w:sz="0" w:space="0" w:color="auto"/>
        <w:right w:val="none" w:sz="0" w:space="0" w:color="auto"/>
      </w:divBdr>
    </w:div>
    <w:div w:id="998582791">
      <w:bodyDiv w:val="1"/>
      <w:marLeft w:val="0"/>
      <w:marRight w:val="0"/>
      <w:marTop w:val="0"/>
      <w:marBottom w:val="0"/>
      <w:divBdr>
        <w:top w:val="none" w:sz="0" w:space="0" w:color="auto"/>
        <w:left w:val="none" w:sz="0" w:space="0" w:color="auto"/>
        <w:bottom w:val="none" w:sz="0" w:space="0" w:color="auto"/>
        <w:right w:val="none" w:sz="0" w:space="0" w:color="auto"/>
      </w:divBdr>
    </w:div>
    <w:div w:id="998656154">
      <w:bodyDiv w:val="1"/>
      <w:marLeft w:val="0"/>
      <w:marRight w:val="0"/>
      <w:marTop w:val="0"/>
      <w:marBottom w:val="0"/>
      <w:divBdr>
        <w:top w:val="none" w:sz="0" w:space="0" w:color="auto"/>
        <w:left w:val="none" w:sz="0" w:space="0" w:color="auto"/>
        <w:bottom w:val="none" w:sz="0" w:space="0" w:color="auto"/>
        <w:right w:val="none" w:sz="0" w:space="0" w:color="auto"/>
      </w:divBdr>
    </w:div>
    <w:div w:id="998657727">
      <w:bodyDiv w:val="1"/>
      <w:marLeft w:val="0"/>
      <w:marRight w:val="0"/>
      <w:marTop w:val="0"/>
      <w:marBottom w:val="0"/>
      <w:divBdr>
        <w:top w:val="none" w:sz="0" w:space="0" w:color="auto"/>
        <w:left w:val="none" w:sz="0" w:space="0" w:color="auto"/>
        <w:bottom w:val="none" w:sz="0" w:space="0" w:color="auto"/>
        <w:right w:val="none" w:sz="0" w:space="0" w:color="auto"/>
      </w:divBdr>
    </w:div>
    <w:div w:id="998658530">
      <w:bodyDiv w:val="1"/>
      <w:marLeft w:val="0"/>
      <w:marRight w:val="0"/>
      <w:marTop w:val="0"/>
      <w:marBottom w:val="0"/>
      <w:divBdr>
        <w:top w:val="none" w:sz="0" w:space="0" w:color="auto"/>
        <w:left w:val="none" w:sz="0" w:space="0" w:color="auto"/>
        <w:bottom w:val="none" w:sz="0" w:space="0" w:color="auto"/>
        <w:right w:val="none" w:sz="0" w:space="0" w:color="auto"/>
      </w:divBdr>
    </w:div>
    <w:div w:id="998728919">
      <w:bodyDiv w:val="1"/>
      <w:marLeft w:val="0"/>
      <w:marRight w:val="0"/>
      <w:marTop w:val="0"/>
      <w:marBottom w:val="0"/>
      <w:divBdr>
        <w:top w:val="none" w:sz="0" w:space="0" w:color="auto"/>
        <w:left w:val="none" w:sz="0" w:space="0" w:color="auto"/>
        <w:bottom w:val="none" w:sz="0" w:space="0" w:color="auto"/>
        <w:right w:val="none" w:sz="0" w:space="0" w:color="auto"/>
      </w:divBdr>
    </w:div>
    <w:div w:id="999231499">
      <w:bodyDiv w:val="1"/>
      <w:marLeft w:val="0"/>
      <w:marRight w:val="0"/>
      <w:marTop w:val="0"/>
      <w:marBottom w:val="0"/>
      <w:divBdr>
        <w:top w:val="none" w:sz="0" w:space="0" w:color="auto"/>
        <w:left w:val="none" w:sz="0" w:space="0" w:color="auto"/>
        <w:bottom w:val="none" w:sz="0" w:space="0" w:color="auto"/>
        <w:right w:val="none" w:sz="0" w:space="0" w:color="auto"/>
      </w:divBdr>
    </w:div>
    <w:div w:id="999390131">
      <w:bodyDiv w:val="1"/>
      <w:marLeft w:val="0"/>
      <w:marRight w:val="0"/>
      <w:marTop w:val="0"/>
      <w:marBottom w:val="0"/>
      <w:divBdr>
        <w:top w:val="none" w:sz="0" w:space="0" w:color="auto"/>
        <w:left w:val="none" w:sz="0" w:space="0" w:color="auto"/>
        <w:bottom w:val="none" w:sz="0" w:space="0" w:color="auto"/>
        <w:right w:val="none" w:sz="0" w:space="0" w:color="auto"/>
      </w:divBdr>
    </w:div>
    <w:div w:id="999424571">
      <w:bodyDiv w:val="1"/>
      <w:marLeft w:val="0"/>
      <w:marRight w:val="0"/>
      <w:marTop w:val="0"/>
      <w:marBottom w:val="0"/>
      <w:divBdr>
        <w:top w:val="none" w:sz="0" w:space="0" w:color="auto"/>
        <w:left w:val="none" w:sz="0" w:space="0" w:color="auto"/>
        <w:bottom w:val="none" w:sz="0" w:space="0" w:color="auto"/>
        <w:right w:val="none" w:sz="0" w:space="0" w:color="auto"/>
      </w:divBdr>
    </w:div>
    <w:div w:id="999425837">
      <w:bodyDiv w:val="1"/>
      <w:marLeft w:val="0"/>
      <w:marRight w:val="0"/>
      <w:marTop w:val="0"/>
      <w:marBottom w:val="0"/>
      <w:divBdr>
        <w:top w:val="none" w:sz="0" w:space="0" w:color="auto"/>
        <w:left w:val="none" w:sz="0" w:space="0" w:color="auto"/>
        <w:bottom w:val="none" w:sz="0" w:space="0" w:color="auto"/>
        <w:right w:val="none" w:sz="0" w:space="0" w:color="auto"/>
      </w:divBdr>
    </w:div>
    <w:div w:id="999505084">
      <w:bodyDiv w:val="1"/>
      <w:marLeft w:val="0"/>
      <w:marRight w:val="0"/>
      <w:marTop w:val="0"/>
      <w:marBottom w:val="0"/>
      <w:divBdr>
        <w:top w:val="none" w:sz="0" w:space="0" w:color="auto"/>
        <w:left w:val="none" w:sz="0" w:space="0" w:color="auto"/>
        <w:bottom w:val="none" w:sz="0" w:space="0" w:color="auto"/>
        <w:right w:val="none" w:sz="0" w:space="0" w:color="auto"/>
      </w:divBdr>
    </w:div>
    <w:div w:id="999578497">
      <w:bodyDiv w:val="1"/>
      <w:marLeft w:val="0"/>
      <w:marRight w:val="0"/>
      <w:marTop w:val="0"/>
      <w:marBottom w:val="0"/>
      <w:divBdr>
        <w:top w:val="none" w:sz="0" w:space="0" w:color="auto"/>
        <w:left w:val="none" w:sz="0" w:space="0" w:color="auto"/>
        <w:bottom w:val="none" w:sz="0" w:space="0" w:color="auto"/>
        <w:right w:val="none" w:sz="0" w:space="0" w:color="auto"/>
      </w:divBdr>
    </w:div>
    <w:div w:id="999580981">
      <w:bodyDiv w:val="1"/>
      <w:marLeft w:val="0"/>
      <w:marRight w:val="0"/>
      <w:marTop w:val="0"/>
      <w:marBottom w:val="0"/>
      <w:divBdr>
        <w:top w:val="none" w:sz="0" w:space="0" w:color="auto"/>
        <w:left w:val="none" w:sz="0" w:space="0" w:color="auto"/>
        <w:bottom w:val="none" w:sz="0" w:space="0" w:color="auto"/>
        <w:right w:val="none" w:sz="0" w:space="0" w:color="auto"/>
      </w:divBdr>
    </w:div>
    <w:div w:id="999698661">
      <w:bodyDiv w:val="1"/>
      <w:marLeft w:val="0"/>
      <w:marRight w:val="0"/>
      <w:marTop w:val="0"/>
      <w:marBottom w:val="0"/>
      <w:divBdr>
        <w:top w:val="none" w:sz="0" w:space="0" w:color="auto"/>
        <w:left w:val="none" w:sz="0" w:space="0" w:color="auto"/>
        <w:bottom w:val="none" w:sz="0" w:space="0" w:color="auto"/>
        <w:right w:val="none" w:sz="0" w:space="0" w:color="auto"/>
      </w:divBdr>
    </w:div>
    <w:div w:id="999701456">
      <w:bodyDiv w:val="1"/>
      <w:marLeft w:val="0"/>
      <w:marRight w:val="0"/>
      <w:marTop w:val="0"/>
      <w:marBottom w:val="0"/>
      <w:divBdr>
        <w:top w:val="none" w:sz="0" w:space="0" w:color="auto"/>
        <w:left w:val="none" w:sz="0" w:space="0" w:color="auto"/>
        <w:bottom w:val="none" w:sz="0" w:space="0" w:color="auto"/>
        <w:right w:val="none" w:sz="0" w:space="0" w:color="auto"/>
      </w:divBdr>
    </w:div>
    <w:div w:id="999889829">
      <w:bodyDiv w:val="1"/>
      <w:marLeft w:val="0"/>
      <w:marRight w:val="0"/>
      <w:marTop w:val="0"/>
      <w:marBottom w:val="0"/>
      <w:divBdr>
        <w:top w:val="none" w:sz="0" w:space="0" w:color="auto"/>
        <w:left w:val="none" w:sz="0" w:space="0" w:color="auto"/>
        <w:bottom w:val="none" w:sz="0" w:space="0" w:color="auto"/>
        <w:right w:val="none" w:sz="0" w:space="0" w:color="auto"/>
      </w:divBdr>
    </w:div>
    <w:div w:id="999892128">
      <w:bodyDiv w:val="1"/>
      <w:marLeft w:val="0"/>
      <w:marRight w:val="0"/>
      <w:marTop w:val="0"/>
      <w:marBottom w:val="0"/>
      <w:divBdr>
        <w:top w:val="none" w:sz="0" w:space="0" w:color="auto"/>
        <w:left w:val="none" w:sz="0" w:space="0" w:color="auto"/>
        <w:bottom w:val="none" w:sz="0" w:space="0" w:color="auto"/>
        <w:right w:val="none" w:sz="0" w:space="0" w:color="auto"/>
      </w:divBdr>
    </w:div>
    <w:div w:id="999892985">
      <w:bodyDiv w:val="1"/>
      <w:marLeft w:val="0"/>
      <w:marRight w:val="0"/>
      <w:marTop w:val="0"/>
      <w:marBottom w:val="0"/>
      <w:divBdr>
        <w:top w:val="none" w:sz="0" w:space="0" w:color="auto"/>
        <w:left w:val="none" w:sz="0" w:space="0" w:color="auto"/>
        <w:bottom w:val="none" w:sz="0" w:space="0" w:color="auto"/>
        <w:right w:val="none" w:sz="0" w:space="0" w:color="auto"/>
      </w:divBdr>
    </w:div>
    <w:div w:id="1000039024">
      <w:bodyDiv w:val="1"/>
      <w:marLeft w:val="0"/>
      <w:marRight w:val="0"/>
      <w:marTop w:val="0"/>
      <w:marBottom w:val="0"/>
      <w:divBdr>
        <w:top w:val="none" w:sz="0" w:space="0" w:color="auto"/>
        <w:left w:val="none" w:sz="0" w:space="0" w:color="auto"/>
        <w:bottom w:val="none" w:sz="0" w:space="0" w:color="auto"/>
        <w:right w:val="none" w:sz="0" w:space="0" w:color="auto"/>
      </w:divBdr>
    </w:div>
    <w:div w:id="1000079555">
      <w:bodyDiv w:val="1"/>
      <w:marLeft w:val="0"/>
      <w:marRight w:val="0"/>
      <w:marTop w:val="0"/>
      <w:marBottom w:val="0"/>
      <w:divBdr>
        <w:top w:val="none" w:sz="0" w:space="0" w:color="auto"/>
        <w:left w:val="none" w:sz="0" w:space="0" w:color="auto"/>
        <w:bottom w:val="none" w:sz="0" w:space="0" w:color="auto"/>
        <w:right w:val="none" w:sz="0" w:space="0" w:color="auto"/>
      </w:divBdr>
    </w:div>
    <w:div w:id="1000081418">
      <w:bodyDiv w:val="1"/>
      <w:marLeft w:val="0"/>
      <w:marRight w:val="0"/>
      <w:marTop w:val="0"/>
      <w:marBottom w:val="0"/>
      <w:divBdr>
        <w:top w:val="none" w:sz="0" w:space="0" w:color="auto"/>
        <w:left w:val="none" w:sz="0" w:space="0" w:color="auto"/>
        <w:bottom w:val="none" w:sz="0" w:space="0" w:color="auto"/>
        <w:right w:val="none" w:sz="0" w:space="0" w:color="auto"/>
      </w:divBdr>
    </w:div>
    <w:div w:id="1000157893">
      <w:bodyDiv w:val="1"/>
      <w:marLeft w:val="0"/>
      <w:marRight w:val="0"/>
      <w:marTop w:val="0"/>
      <w:marBottom w:val="0"/>
      <w:divBdr>
        <w:top w:val="none" w:sz="0" w:space="0" w:color="auto"/>
        <w:left w:val="none" w:sz="0" w:space="0" w:color="auto"/>
        <w:bottom w:val="none" w:sz="0" w:space="0" w:color="auto"/>
        <w:right w:val="none" w:sz="0" w:space="0" w:color="auto"/>
      </w:divBdr>
    </w:div>
    <w:div w:id="1000158701">
      <w:bodyDiv w:val="1"/>
      <w:marLeft w:val="0"/>
      <w:marRight w:val="0"/>
      <w:marTop w:val="0"/>
      <w:marBottom w:val="0"/>
      <w:divBdr>
        <w:top w:val="none" w:sz="0" w:space="0" w:color="auto"/>
        <w:left w:val="none" w:sz="0" w:space="0" w:color="auto"/>
        <w:bottom w:val="none" w:sz="0" w:space="0" w:color="auto"/>
        <w:right w:val="none" w:sz="0" w:space="0" w:color="auto"/>
      </w:divBdr>
    </w:div>
    <w:div w:id="1000160901">
      <w:bodyDiv w:val="1"/>
      <w:marLeft w:val="0"/>
      <w:marRight w:val="0"/>
      <w:marTop w:val="0"/>
      <w:marBottom w:val="0"/>
      <w:divBdr>
        <w:top w:val="none" w:sz="0" w:space="0" w:color="auto"/>
        <w:left w:val="none" w:sz="0" w:space="0" w:color="auto"/>
        <w:bottom w:val="none" w:sz="0" w:space="0" w:color="auto"/>
        <w:right w:val="none" w:sz="0" w:space="0" w:color="auto"/>
      </w:divBdr>
    </w:div>
    <w:div w:id="1000231698">
      <w:bodyDiv w:val="1"/>
      <w:marLeft w:val="0"/>
      <w:marRight w:val="0"/>
      <w:marTop w:val="0"/>
      <w:marBottom w:val="0"/>
      <w:divBdr>
        <w:top w:val="none" w:sz="0" w:space="0" w:color="auto"/>
        <w:left w:val="none" w:sz="0" w:space="0" w:color="auto"/>
        <w:bottom w:val="none" w:sz="0" w:space="0" w:color="auto"/>
        <w:right w:val="none" w:sz="0" w:space="0" w:color="auto"/>
      </w:divBdr>
    </w:div>
    <w:div w:id="1000281378">
      <w:bodyDiv w:val="1"/>
      <w:marLeft w:val="0"/>
      <w:marRight w:val="0"/>
      <w:marTop w:val="0"/>
      <w:marBottom w:val="0"/>
      <w:divBdr>
        <w:top w:val="none" w:sz="0" w:space="0" w:color="auto"/>
        <w:left w:val="none" w:sz="0" w:space="0" w:color="auto"/>
        <w:bottom w:val="none" w:sz="0" w:space="0" w:color="auto"/>
        <w:right w:val="none" w:sz="0" w:space="0" w:color="auto"/>
      </w:divBdr>
    </w:div>
    <w:div w:id="1000304643">
      <w:bodyDiv w:val="1"/>
      <w:marLeft w:val="0"/>
      <w:marRight w:val="0"/>
      <w:marTop w:val="0"/>
      <w:marBottom w:val="0"/>
      <w:divBdr>
        <w:top w:val="none" w:sz="0" w:space="0" w:color="auto"/>
        <w:left w:val="none" w:sz="0" w:space="0" w:color="auto"/>
        <w:bottom w:val="none" w:sz="0" w:space="0" w:color="auto"/>
        <w:right w:val="none" w:sz="0" w:space="0" w:color="auto"/>
      </w:divBdr>
    </w:div>
    <w:div w:id="1000622156">
      <w:bodyDiv w:val="1"/>
      <w:marLeft w:val="0"/>
      <w:marRight w:val="0"/>
      <w:marTop w:val="0"/>
      <w:marBottom w:val="0"/>
      <w:divBdr>
        <w:top w:val="none" w:sz="0" w:space="0" w:color="auto"/>
        <w:left w:val="none" w:sz="0" w:space="0" w:color="auto"/>
        <w:bottom w:val="none" w:sz="0" w:space="0" w:color="auto"/>
        <w:right w:val="none" w:sz="0" w:space="0" w:color="auto"/>
      </w:divBdr>
    </w:div>
    <w:div w:id="1000625176">
      <w:bodyDiv w:val="1"/>
      <w:marLeft w:val="0"/>
      <w:marRight w:val="0"/>
      <w:marTop w:val="0"/>
      <w:marBottom w:val="0"/>
      <w:divBdr>
        <w:top w:val="none" w:sz="0" w:space="0" w:color="auto"/>
        <w:left w:val="none" w:sz="0" w:space="0" w:color="auto"/>
        <w:bottom w:val="none" w:sz="0" w:space="0" w:color="auto"/>
        <w:right w:val="none" w:sz="0" w:space="0" w:color="auto"/>
      </w:divBdr>
    </w:div>
    <w:div w:id="1000696655">
      <w:bodyDiv w:val="1"/>
      <w:marLeft w:val="0"/>
      <w:marRight w:val="0"/>
      <w:marTop w:val="0"/>
      <w:marBottom w:val="0"/>
      <w:divBdr>
        <w:top w:val="none" w:sz="0" w:space="0" w:color="auto"/>
        <w:left w:val="none" w:sz="0" w:space="0" w:color="auto"/>
        <w:bottom w:val="none" w:sz="0" w:space="0" w:color="auto"/>
        <w:right w:val="none" w:sz="0" w:space="0" w:color="auto"/>
      </w:divBdr>
    </w:div>
    <w:div w:id="1000698715">
      <w:bodyDiv w:val="1"/>
      <w:marLeft w:val="0"/>
      <w:marRight w:val="0"/>
      <w:marTop w:val="0"/>
      <w:marBottom w:val="0"/>
      <w:divBdr>
        <w:top w:val="none" w:sz="0" w:space="0" w:color="auto"/>
        <w:left w:val="none" w:sz="0" w:space="0" w:color="auto"/>
        <w:bottom w:val="none" w:sz="0" w:space="0" w:color="auto"/>
        <w:right w:val="none" w:sz="0" w:space="0" w:color="auto"/>
      </w:divBdr>
    </w:div>
    <w:div w:id="1000892719">
      <w:bodyDiv w:val="1"/>
      <w:marLeft w:val="0"/>
      <w:marRight w:val="0"/>
      <w:marTop w:val="0"/>
      <w:marBottom w:val="0"/>
      <w:divBdr>
        <w:top w:val="none" w:sz="0" w:space="0" w:color="auto"/>
        <w:left w:val="none" w:sz="0" w:space="0" w:color="auto"/>
        <w:bottom w:val="none" w:sz="0" w:space="0" w:color="auto"/>
        <w:right w:val="none" w:sz="0" w:space="0" w:color="auto"/>
      </w:divBdr>
    </w:div>
    <w:div w:id="1000936252">
      <w:bodyDiv w:val="1"/>
      <w:marLeft w:val="0"/>
      <w:marRight w:val="0"/>
      <w:marTop w:val="0"/>
      <w:marBottom w:val="0"/>
      <w:divBdr>
        <w:top w:val="none" w:sz="0" w:space="0" w:color="auto"/>
        <w:left w:val="none" w:sz="0" w:space="0" w:color="auto"/>
        <w:bottom w:val="none" w:sz="0" w:space="0" w:color="auto"/>
        <w:right w:val="none" w:sz="0" w:space="0" w:color="auto"/>
      </w:divBdr>
    </w:div>
    <w:div w:id="1000962654">
      <w:bodyDiv w:val="1"/>
      <w:marLeft w:val="0"/>
      <w:marRight w:val="0"/>
      <w:marTop w:val="0"/>
      <w:marBottom w:val="0"/>
      <w:divBdr>
        <w:top w:val="none" w:sz="0" w:space="0" w:color="auto"/>
        <w:left w:val="none" w:sz="0" w:space="0" w:color="auto"/>
        <w:bottom w:val="none" w:sz="0" w:space="0" w:color="auto"/>
        <w:right w:val="none" w:sz="0" w:space="0" w:color="auto"/>
      </w:divBdr>
    </w:div>
    <w:div w:id="1001012047">
      <w:bodyDiv w:val="1"/>
      <w:marLeft w:val="0"/>
      <w:marRight w:val="0"/>
      <w:marTop w:val="0"/>
      <w:marBottom w:val="0"/>
      <w:divBdr>
        <w:top w:val="none" w:sz="0" w:space="0" w:color="auto"/>
        <w:left w:val="none" w:sz="0" w:space="0" w:color="auto"/>
        <w:bottom w:val="none" w:sz="0" w:space="0" w:color="auto"/>
        <w:right w:val="none" w:sz="0" w:space="0" w:color="auto"/>
      </w:divBdr>
    </w:div>
    <w:div w:id="1001158228">
      <w:bodyDiv w:val="1"/>
      <w:marLeft w:val="0"/>
      <w:marRight w:val="0"/>
      <w:marTop w:val="0"/>
      <w:marBottom w:val="0"/>
      <w:divBdr>
        <w:top w:val="none" w:sz="0" w:space="0" w:color="auto"/>
        <w:left w:val="none" w:sz="0" w:space="0" w:color="auto"/>
        <w:bottom w:val="none" w:sz="0" w:space="0" w:color="auto"/>
        <w:right w:val="none" w:sz="0" w:space="0" w:color="auto"/>
      </w:divBdr>
    </w:div>
    <w:div w:id="1001354513">
      <w:bodyDiv w:val="1"/>
      <w:marLeft w:val="0"/>
      <w:marRight w:val="0"/>
      <w:marTop w:val="0"/>
      <w:marBottom w:val="0"/>
      <w:divBdr>
        <w:top w:val="none" w:sz="0" w:space="0" w:color="auto"/>
        <w:left w:val="none" w:sz="0" w:space="0" w:color="auto"/>
        <w:bottom w:val="none" w:sz="0" w:space="0" w:color="auto"/>
        <w:right w:val="none" w:sz="0" w:space="0" w:color="auto"/>
      </w:divBdr>
    </w:div>
    <w:div w:id="1001391348">
      <w:bodyDiv w:val="1"/>
      <w:marLeft w:val="0"/>
      <w:marRight w:val="0"/>
      <w:marTop w:val="0"/>
      <w:marBottom w:val="0"/>
      <w:divBdr>
        <w:top w:val="none" w:sz="0" w:space="0" w:color="auto"/>
        <w:left w:val="none" w:sz="0" w:space="0" w:color="auto"/>
        <w:bottom w:val="none" w:sz="0" w:space="0" w:color="auto"/>
        <w:right w:val="none" w:sz="0" w:space="0" w:color="auto"/>
      </w:divBdr>
    </w:div>
    <w:div w:id="1001391949">
      <w:bodyDiv w:val="1"/>
      <w:marLeft w:val="0"/>
      <w:marRight w:val="0"/>
      <w:marTop w:val="0"/>
      <w:marBottom w:val="0"/>
      <w:divBdr>
        <w:top w:val="none" w:sz="0" w:space="0" w:color="auto"/>
        <w:left w:val="none" w:sz="0" w:space="0" w:color="auto"/>
        <w:bottom w:val="none" w:sz="0" w:space="0" w:color="auto"/>
        <w:right w:val="none" w:sz="0" w:space="0" w:color="auto"/>
      </w:divBdr>
    </w:div>
    <w:div w:id="1001393387">
      <w:bodyDiv w:val="1"/>
      <w:marLeft w:val="0"/>
      <w:marRight w:val="0"/>
      <w:marTop w:val="0"/>
      <w:marBottom w:val="0"/>
      <w:divBdr>
        <w:top w:val="none" w:sz="0" w:space="0" w:color="auto"/>
        <w:left w:val="none" w:sz="0" w:space="0" w:color="auto"/>
        <w:bottom w:val="none" w:sz="0" w:space="0" w:color="auto"/>
        <w:right w:val="none" w:sz="0" w:space="0" w:color="auto"/>
      </w:divBdr>
    </w:div>
    <w:div w:id="1001471370">
      <w:bodyDiv w:val="1"/>
      <w:marLeft w:val="0"/>
      <w:marRight w:val="0"/>
      <w:marTop w:val="0"/>
      <w:marBottom w:val="0"/>
      <w:divBdr>
        <w:top w:val="none" w:sz="0" w:space="0" w:color="auto"/>
        <w:left w:val="none" w:sz="0" w:space="0" w:color="auto"/>
        <w:bottom w:val="none" w:sz="0" w:space="0" w:color="auto"/>
        <w:right w:val="none" w:sz="0" w:space="0" w:color="auto"/>
      </w:divBdr>
    </w:div>
    <w:div w:id="1001541319">
      <w:bodyDiv w:val="1"/>
      <w:marLeft w:val="0"/>
      <w:marRight w:val="0"/>
      <w:marTop w:val="0"/>
      <w:marBottom w:val="0"/>
      <w:divBdr>
        <w:top w:val="none" w:sz="0" w:space="0" w:color="auto"/>
        <w:left w:val="none" w:sz="0" w:space="0" w:color="auto"/>
        <w:bottom w:val="none" w:sz="0" w:space="0" w:color="auto"/>
        <w:right w:val="none" w:sz="0" w:space="0" w:color="auto"/>
      </w:divBdr>
    </w:div>
    <w:div w:id="1001547805">
      <w:bodyDiv w:val="1"/>
      <w:marLeft w:val="0"/>
      <w:marRight w:val="0"/>
      <w:marTop w:val="0"/>
      <w:marBottom w:val="0"/>
      <w:divBdr>
        <w:top w:val="none" w:sz="0" w:space="0" w:color="auto"/>
        <w:left w:val="none" w:sz="0" w:space="0" w:color="auto"/>
        <w:bottom w:val="none" w:sz="0" w:space="0" w:color="auto"/>
        <w:right w:val="none" w:sz="0" w:space="0" w:color="auto"/>
      </w:divBdr>
    </w:div>
    <w:div w:id="1001659514">
      <w:bodyDiv w:val="1"/>
      <w:marLeft w:val="0"/>
      <w:marRight w:val="0"/>
      <w:marTop w:val="0"/>
      <w:marBottom w:val="0"/>
      <w:divBdr>
        <w:top w:val="none" w:sz="0" w:space="0" w:color="auto"/>
        <w:left w:val="none" w:sz="0" w:space="0" w:color="auto"/>
        <w:bottom w:val="none" w:sz="0" w:space="0" w:color="auto"/>
        <w:right w:val="none" w:sz="0" w:space="0" w:color="auto"/>
      </w:divBdr>
    </w:div>
    <w:div w:id="1001855657">
      <w:bodyDiv w:val="1"/>
      <w:marLeft w:val="0"/>
      <w:marRight w:val="0"/>
      <w:marTop w:val="0"/>
      <w:marBottom w:val="0"/>
      <w:divBdr>
        <w:top w:val="none" w:sz="0" w:space="0" w:color="auto"/>
        <w:left w:val="none" w:sz="0" w:space="0" w:color="auto"/>
        <w:bottom w:val="none" w:sz="0" w:space="0" w:color="auto"/>
        <w:right w:val="none" w:sz="0" w:space="0" w:color="auto"/>
      </w:divBdr>
    </w:div>
    <w:div w:id="1001859750">
      <w:bodyDiv w:val="1"/>
      <w:marLeft w:val="0"/>
      <w:marRight w:val="0"/>
      <w:marTop w:val="0"/>
      <w:marBottom w:val="0"/>
      <w:divBdr>
        <w:top w:val="none" w:sz="0" w:space="0" w:color="auto"/>
        <w:left w:val="none" w:sz="0" w:space="0" w:color="auto"/>
        <w:bottom w:val="none" w:sz="0" w:space="0" w:color="auto"/>
        <w:right w:val="none" w:sz="0" w:space="0" w:color="auto"/>
      </w:divBdr>
    </w:div>
    <w:div w:id="1002048944">
      <w:bodyDiv w:val="1"/>
      <w:marLeft w:val="0"/>
      <w:marRight w:val="0"/>
      <w:marTop w:val="0"/>
      <w:marBottom w:val="0"/>
      <w:divBdr>
        <w:top w:val="none" w:sz="0" w:space="0" w:color="auto"/>
        <w:left w:val="none" w:sz="0" w:space="0" w:color="auto"/>
        <w:bottom w:val="none" w:sz="0" w:space="0" w:color="auto"/>
        <w:right w:val="none" w:sz="0" w:space="0" w:color="auto"/>
      </w:divBdr>
    </w:div>
    <w:div w:id="1002246709">
      <w:bodyDiv w:val="1"/>
      <w:marLeft w:val="0"/>
      <w:marRight w:val="0"/>
      <w:marTop w:val="0"/>
      <w:marBottom w:val="0"/>
      <w:divBdr>
        <w:top w:val="none" w:sz="0" w:space="0" w:color="auto"/>
        <w:left w:val="none" w:sz="0" w:space="0" w:color="auto"/>
        <w:bottom w:val="none" w:sz="0" w:space="0" w:color="auto"/>
        <w:right w:val="none" w:sz="0" w:space="0" w:color="auto"/>
      </w:divBdr>
    </w:div>
    <w:div w:id="1002317877">
      <w:bodyDiv w:val="1"/>
      <w:marLeft w:val="0"/>
      <w:marRight w:val="0"/>
      <w:marTop w:val="0"/>
      <w:marBottom w:val="0"/>
      <w:divBdr>
        <w:top w:val="none" w:sz="0" w:space="0" w:color="auto"/>
        <w:left w:val="none" w:sz="0" w:space="0" w:color="auto"/>
        <w:bottom w:val="none" w:sz="0" w:space="0" w:color="auto"/>
        <w:right w:val="none" w:sz="0" w:space="0" w:color="auto"/>
      </w:divBdr>
    </w:div>
    <w:div w:id="1002507569">
      <w:bodyDiv w:val="1"/>
      <w:marLeft w:val="0"/>
      <w:marRight w:val="0"/>
      <w:marTop w:val="0"/>
      <w:marBottom w:val="0"/>
      <w:divBdr>
        <w:top w:val="none" w:sz="0" w:space="0" w:color="auto"/>
        <w:left w:val="none" w:sz="0" w:space="0" w:color="auto"/>
        <w:bottom w:val="none" w:sz="0" w:space="0" w:color="auto"/>
        <w:right w:val="none" w:sz="0" w:space="0" w:color="auto"/>
      </w:divBdr>
    </w:div>
    <w:div w:id="1002584257">
      <w:bodyDiv w:val="1"/>
      <w:marLeft w:val="0"/>
      <w:marRight w:val="0"/>
      <w:marTop w:val="0"/>
      <w:marBottom w:val="0"/>
      <w:divBdr>
        <w:top w:val="none" w:sz="0" w:space="0" w:color="auto"/>
        <w:left w:val="none" w:sz="0" w:space="0" w:color="auto"/>
        <w:bottom w:val="none" w:sz="0" w:space="0" w:color="auto"/>
        <w:right w:val="none" w:sz="0" w:space="0" w:color="auto"/>
      </w:divBdr>
    </w:div>
    <w:div w:id="1002589737">
      <w:bodyDiv w:val="1"/>
      <w:marLeft w:val="0"/>
      <w:marRight w:val="0"/>
      <w:marTop w:val="0"/>
      <w:marBottom w:val="0"/>
      <w:divBdr>
        <w:top w:val="none" w:sz="0" w:space="0" w:color="auto"/>
        <w:left w:val="none" w:sz="0" w:space="0" w:color="auto"/>
        <w:bottom w:val="none" w:sz="0" w:space="0" w:color="auto"/>
        <w:right w:val="none" w:sz="0" w:space="0" w:color="auto"/>
      </w:divBdr>
    </w:div>
    <w:div w:id="1002659711">
      <w:bodyDiv w:val="1"/>
      <w:marLeft w:val="0"/>
      <w:marRight w:val="0"/>
      <w:marTop w:val="0"/>
      <w:marBottom w:val="0"/>
      <w:divBdr>
        <w:top w:val="none" w:sz="0" w:space="0" w:color="auto"/>
        <w:left w:val="none" w:sz="0" w:space="0" w:color="auto"/>
        <w:bottom w:val="none" w:sz="0" w:space="0" w:color="auto"/>
        <w:right w:val="none" w:sz="0" w:space="0" w:color="auto"/>
      </w:divBdr>
    </w:div>
    <w:div w:id="1002851562">
      <w:bodyDiv w:val="1"/>
      <w:marLeft w:val="0"/>
      <w:marRight w:val="0"/>
      <w:marTop w:val="0"/>
      <w:marBottom w:val="0"/>
      <w:divBdr>
        <w:top w:val="none" w:sz="0" w:space="0" w:color="auto"/>
        <w:left w:val="none" w:sz="0" w:space="0" w:color="auto"/>
        <w:bottom w:val="none" w:sz="0" w:space="0" w:color="auto"/>
        <w:right w:val="none" w:sz="0" w:space="0" w:color="auto"/>
      </w:divBdr>
    </w:div>
    <w:div w:id="1003123947">
      <w:bodyDiv w:val="1"/>
      <w:marLeft w:val="0"/>
      <w:marRight w:val="0"/>
      <w:marTop w:val="0"/>
      <w:marBottom w:val="0"/>
      <w:divBdr>
        <w:top w:val="none" w:sz="0" w:space="0" w:color="auto"/>
        <w:left w:val="none" w:sz="0" w:space="0" w:color="auto"/>
        <w:bottom w:val="none" w:sz="0" w:space="0" w:color="auto"/>
        <w:right w:val="none" w:sz="0" w:space="0" w:color="auto"/>
      </w:divBdr>
    </w:div>
    <w:div w:id="1003124160">
      <w:bodyDiv w:val="1"/>
      <w:marLeft w:val="0"/>
      <w:marRight w:val="0"/>
      <w:marTop w:val="0"/>
      <w:marBottom w:val="0"/>
      <w:divBdr>
        <w:top w:val="none" w:sz="0" w:space="0" w:color="auto"/>
        <w:left w:val="none" w:sz="0" w:space="0" w:color="auto"/>
        <w:bottom w:val="none" w:sz="0" w:space="0" w:color="auto"/>
        <w:right w:val="none" w:sz="0" w:space="0" w:color="auto"/>
      </w:divBdr>
    </w:div>
    <w:div w:id="1003125667">
      <w:bodyDiv w:val="1"/>
      <w:marLeft w:val="0"/>
      <w:marRight w:val="0"/>
      <w:marTop w:val="0"/>
      <w:marBottom w:val="0"/>
      <w:divBdr>
        <w:top w:val="none" w:sz="0" w:space="0" w:color="auto"/>
        <w:left w:val="none" w:sz="0" w:space="0" w:color="auto"/>
        <w:bottom w:val="none" w:sz="0" w:space="0" w:color="auto"/>
        <w:right w:val="none" w:sz="0" w:space="0" w:color="auto"/>
      </w:divBdr>
    </w:div>
    <w:div w:id="1003239810">
      <w:bodyDiv w:val="1"/>
      <w:marLeft w:val="0"/>
      <w:marRight w:val="0"/>
      <w:marTop w:val="0"/>
      <w:marBottom w:val="0"/>
      <w:divBdr>
        <w:top w:val="none" w:sz="0" w:space="0" w:color="auto"/>
        <w:left w:val="none" w:sz="0" w:space="0" w:color="auto"/>
        <w:bottom w:val="none" w:sz="0" w:space="0" w:color="auto"/>
        <w:right w:val="none" w:sz="0" w:space="0" w:color="auto"/>
      </w:divBdr>
    </w:div>
    <w:div w:id="1003315490">
      <w:bodyDiv w:val="1"/>
      <w:marLeft w:val="0"/>
      <w:marRight w:val="0"/>
      <w:marTop w:val="0"/>
      <w:marBottom w:val="0"/>
      <w:divBdr>
        <w:top w:val="none" w:sz="0" w:space="0" w:color="auto"/>
        <w:left w:val="none" w:sz="0" w:space="0" w:color="auto"/>
        <w:bottom w:val="none" w:sz="0" w:space="0" w:color="auto"/>
        <w:right w:val="none" w:sz="0" w:space="0" w:color="auto"/>
      </w:divBdr>
    </w:div>
    <w:div w:id="1003318753">
      <w:bodyDiv w:val="1"/>
      <w:marLeft w:val="0"/>
      <w:marRight w:val="0"/>
      <w:marTop w:val="0"/>
      <w:marBottom w:val="0"/>
      <w:divBdr>
        <w:top w:val="none" w:sz="0" w:space="0" w:color="auto"/>
        <w:left w:val="none" w:sz="0" w:space="0" w:color="auto"/>
        <w:bottom w:val="none" w:sz="0" w:space="0" w:color="auto"/>
        <w:right w:val="none" w:sz="0" w:space="0" w:color="auto"/>
      </w:divBdr>
    </w:div>
    <w:div w:id="1003320791">
      <w:bodyDiv w:val="1"/>
      <w:marLeft w:val="0"/>
      <w:marRight w:val="0"/>
      <w:marTop w:val="0"/>
      <w:marBottom w:val="0"/>
      <w:divBdr>
        <w:top w:val="none" w:sz="0" w:space="0" w:color="auto"/>
        <w:left w:val="none" w:sz="0" w:space="0" w:color="auto"/>
        <w:bottom w:val="none" w:sz="0" w:space="0" w:color="auto"/>
        <w:right w:val="none" w:sz="0" w:space="0" w:color="auto"/>
      </w:divBdr>
    </w:div>
    <w:div w:id="1003363597">
      <w:bodyDiv w:val="1"/>
      <w:marLeft w:val="0"/>
      <w:marRight w:val="0"/>
      <w:marTop w:val="0"/>
      <w:marBottom w:val="0"/>
      <w:divBdr>
        <w:top w:val="none" w:sz="0" w:space="0" w:color="auto"/>
        <w:left w:val="none" w:sz="0" w:space="0" w:color="auto"/>
        <w:bottom w:val="none" w:sz="0" w:space="0" w:color="auto"/>
        <w:right w:val="none" w:sz="0" w:space="0" w:color="auto"/>
      </w:divBdr>
    </w:div>
    <w:div w:id="1003435275">
      <w:bodyDiv w:val="1"/>
      <w:marLeft w:val="0"/>
      <w:marRight w:val="0"/>
      <w:marTop w:val="0"/>
      <w:marBottom w:val="0"/>
      <w:divBdr>
        <w:top w:val="none" w:sz="0" w:space="0" w:color="auto"/>
        <w:left w:val="none" w:sz="0" w:space="0" w:color="auto"/>
        <w:bottom w:val="none" w:sz="0" w:space="0" w:color="auto"/>
        <w:right w:val="none" w:sz="0" w:space="0" w:color="auto"/>
      </w:divBdr>
    </w:div>
    <w:div w:id="1003553222">
      <w:bodyDiv w:val="1"/>
      <w:marLeft w:val="0"/>
      <w:marRight w:val="0"/>
      <w:marTop w:val="0"/>
      <w:marBottom w:val="0"/>
      <w:divBdr>
        <w:top w:val="none" w:sz="0" w:space="0" w:color="auto"/>
        <w:left w:val="none" w:sz="0" w:space="0" w:color="auto"/>
        <w:bottom w:val="none" w:sz="0" w:space="0" w:color="auto"/>
        <w:right w:val="none" w:sz="0" w:space="0" w:color="auto"/>
      </w:divBdr>
    </w:div>
    <w:div w:id="1003701123">
      <w:bodyDiv w:val="1"/>
      <w:marLeft w:val="0"/>
      <w:marRight w:val="0"/>
      <w:marTop w:val="0"/>
      <w:marBottom w:val="0"/>
      <w:divBdr>
        <w:top w:val="none" w:sz="0" w:space="0" w:color="auto"/>
        <w:left w:val="none" w:sz="0" w:space="0" w:color="auto"/>
        <w:bottom w:val="none" w:sz="0" w:space="0" w:color="auto"/>
        <w:right w:val="none" w:sz="0" w:space="0" w:color="auto"/>
      </w:divBdr>
    </w:div>
    <w:div w:id="1003819523">
      <w:bodyDiv w:val="1"/>
      <w:marLeft w:val="0"/>
      <w:marRight w:val="0"/>
      <w:marTop w:val="0"/>
      <w:marBottom w:val="0"/>
      <w:divBdr>
        <w:top w:val="none" w:sz="0" w:space="0" w:color="auto"/>
        <w:left w:val="none" w:sz="0" w:space="0" w:color="auto"/>
        <w:bottom w:val="none" w:sz="0" w:space="0" w:color="auto"/>
        <w:right w:val="none" w:sz="0" w:space="0" w:color="auto"/>
      </w:divBdr>
    </w:div>
    <w:div w:id="1003898709">
      <w:bodyDiv w:val="1"/>
      <w:marLeft w:val="0"/>
      <w:marRight w:val="0"/>
      <w:marTop w:val="0"/>
      <w:marBottom w:val="0"/>
      <w:divBdr>
        <w:top w:val="none" w:sz="0" w:space="0" w:color="auto"/>
        <w:left w:val="none" w:sz="0" w:space="0" w:color="auto"/>
        <w:bottom w:val="none" w:sz="0" w:space="0" w:color="auto"/>
        <w:right w:val="none" w:sz="0" w:space="0" w:color="auto"/>
      </w:divBdr>
    </w:div>
    <w:div w:id="1004017071">
      <w:bodyDiv w:val="1"/>
      <w:marLeft w:val="0"/>
      <w:marRight w:val="0"/>
      <w:marTop w:val="0"/>
      <w:marBottom w:val="0"/>
      <w:divBdr>
        <w:top w:val="none" w:sz="0" w:space="0" w:color="auto"/>
        <w:left w:val="none" w:sz="0" w:space="0" w:color="auto"/>
        <w:bottom w:val="none" w:sz="0" w:space="0" w:color="auto"/>
        <w:right w:val="none" w:sz="0" w:space="0" w:color="auto"/>
      </w:divBdr>
    </w:div>
    <w:div w:id="1004213024">
      <w:bodyDiv w:val="1"/>
      <w:marLeft w:val="0"/>
      <w:marRight w:val="0"/>
      <w:marTop w:val="0"/>
      <w:marBottom w:val="0"/>
      <w:divBdr>
        <w:top w:val="none" w:sz="0" w:space="0" w:color="auto"/>
        <w:left w:val="none" w:sz="0" w:space="0" w:color="auto"/>
        <w:bottom w:val="none" w:sz="0" w:space="0" w:color="auto"/>
        <w:right w:val="none" w:sz="0" w:space="0" w:color="auto"/>
      </w:divBdr>
    </w:div>
    <w:div w:id="1004356191">
      <w:bodyDiv w:val="1"/>
      <w:marLeft w:val="0"/>
      <w:marRight w:val="0"/>
      <w:marTop w:val="0"/>
      <w:marBottom w:val="0"/>
      <w:divBdr>
        <w:top w:val="none" w:sz="0" w:space="0" w:color="auto"/>
        <w:left w:val="none" w:sz="0" w:space="0" w:color="auto"/>
        <w:bottom w:val="none" w:sz="0" w:space="0" w:color="auto"/>
        <w:right w:val="none" w:sz="0" w:space="0" w:color="auto"/>
      </w:divBdr>
    </w:div>
    <w:div w:id="1004357820">
      <w:bodyDiv w:val="1"/>
      <w:marLeft w:val="0"/>
      <w:marRight w:val="0"/>
      <w:marTop w:val="0"/>
      <w:marBottom w:val="0"/>
      <w:divBdr>
        <w:top w:val="none" w:sz="0" w:space="0" w:color="auto"/>
        <w:left w:val="none" w:sz="0" w:space="0" w:color="auto"/>
        <w:bottom w:val="none" w:sz="0" w:space="0" w:color="auto"/>
        <w:right w:val="none" w:sz="0" w:space="0" w:color="auto"/>
      </w:divBdr>
    </w:div>
    <w:div w:id="1004631718">
      <w:bodyDiv w:val="1"/>
      <w:marLeft w:val="0"/>
      <w:marRight w:val="0"/>
      <w:marTop w:val="0"/>
      <w:marBottom w:val="0"/>
      <w:divBdr>
        <w:top w:val="none" w:sz="0" w:space="0" w:color="auto"/>
        <w:left w:val="none" w:sz="0" w:space="0" w:color="auto"/>
        <w:bottom w:val="none" w:sz="0" w:space="0" w:color="auto"/>
        <w:right w:val="none" w:sz="0" w:space="0" w:color="auto"/>
      </w:divBdr>
    </w:div>
    <w:div w:id="1004673772">
      <w:bodyDiv w:val="1"/>
      <w:marLeft w:val="0"/>
      <w:marRight w:val="0"/>
      <w:marTop w:val="0"/>
      <w:marBottom w:val="0"/>
      <w:divBdr>
        <w:top w:val="none" w:sz="0" w:space="0" w:color="auto"/>
        <w:left w:val="none" w:sz="0" w:space="0" w:color="auto"/>
        <w:bottom w:val="none" w:sz="0" w:space="0" w:color="auto"/>
        <w:right w:val="none" w:sz="0" w:space="0" w:color="auto"/>
      </w:divBdr>
    </w:div>
    <w:div w:id="1004743184">
      <w:bodyDiv w:val="1"/>
      <w:marLeft w:val="0"/>
      <w:marRight w:val="0"/>
      <w:marTop w:val="0"/>
      <w:marBottom w:val="0"/>
      <w:divBdr>
        <w:top w:val="none" w:sz="0" w:space="0" w:color="auto"/>
        <w:left w:val="none" w:sz="0" w:space="0" w:color="auto"/>
        <w:bottom w:val="none" w:sz="0" w:space="0" w:color="auto"/>
        <w:right w:val="none" w:sz="0" w:space="0" w:color="auto"/>
      </w:divBdr>
    </w:div>
    <w:div w:id="1004824889">
      <w:bodyDiv w:val="1"/>
      <w:marLeft w:val="0"/>
      <w:marRight w:val="0"/>
      <w:marTop w:val="0"/>
      <w:marBottom w:val="0"/>
      <w:divBdr>
        <w:top w:val="none" w:sz="0" w:space="0" w:color="auto"/>
        <w:left w:val="none" w:sz="0" w:space="0" w:color="auto"/>
        <w:bottom w:val="none" w:sz="0" w:space="0" w:color="auto"/>
        <w:right w:val="none" w:sz="0" w:space="0" w:color="auto"/>
      </w:divBdr>
    </w:div>
    <w:div w:id="1004895818">
      <w:bodyDiv w:val="1"/>
      <w:marLeft w:val="0"/>
      <w:marRight w:val="0"/>
      <w:marTop w:val="0"/>
      <w:marBottom w:val="0"/>
      <w:divBdr>
        <w:top w:val="none" w:sz="0" w:space="0" w:color="auto"/>
        <w:left w:val="none" w:sz="0" w:space="0" w:color="auto"/>
        <w:bottom w:val="none" w:sz="0" w:space="0" w:color="auto"/>
        <w:right w:val="none" w:sz="0" w:space="0" w:color="auto"/>
      </w:divBdr>
    </w:div>
    <w:div w:id="1004939825">
      <w:bodyDiv w:val="1"/>
      <w:marLeft w:val="0"/>
      <w:marRight w:val="0"/>
      <w:marTop w:val="0"/>
      <w:marBottom w:val="0"/>
      <w:divBdr>
        <w:top w:val="none" w:sz="0" w:space="0" w:color="auto"/>
        <w:left w:val="none" w:sz="0" w:space="0" w:color="auto"/>
        <w:bottom w:val="none" w:sz="0" w:space="0" w:color="auto"/>
        <w:right w:val="none" w:sz="0" w:space="0" w:color="auto"/>
      </w:divBdr>
    </w:div>
    <w:div w:id="1005009766">
      <w:bodyDiv w:val="1"/>
      <w:marLeft w:val="0"/>
      <w:marRight w:val="0"/>
      <w:marTop w:val="0"/>
      <w:marBottom w:val="0"/>
      <w:divBdr>
        <w:top w:val="none" w:sz="0" w:space="0" w:color="auto"/>
        <w:left w:val="none" w:sz="0" w:space="0" w:color="auto"/>
        <w:bottom w:val="none" w:sz="0" w:space="0" w:color="auto"/>
        <w:right w:val="none" w:sz="0" w:space="0" w:color="auto"/>
      </w:divBdr>
    </w:div>
    <w:div w:id="1005130227">
      <w:bodyDiv w:val="1"/>
      <w:marLeft w:val="0"/>
      <w:marRight w:val="0"/>
      <w:marTop w:val="0"/>
      <w:marBottom w:val="0"/>
      <w:divBdr>
        <w:top w:val="none" w:sz="0" w:space="0" w:color="auto"/>
        <w:left w:val="none" w:sz="0" w:space="0" w:color="auto"/>
        <w:bottom w:val="none" w:sz="0" w:space="0" w:color="auto"/>
        <w:right w:val="none" w:sz="0" w:space="0" w:color="auto"/>
      </w:divBdr>
    </w:div>
    <w:div w:id="1005202993">
      <w:bodyDiv w:val="1"/>
      <w:marLeft w:val="0"/>
      <w:marRight w:val="0"/>
      <w:marTop w:val="0"/>
      <w:marBottom w:val="0"/>
      <w:divBdr>
        <w:top w:val="none" w:sz="0" w:space="0" w:color="auto"/>
        <w:left w:val="none" w:sz="0" w:space="0" w:color="auto"/>
        <w:bottom w:val="none" w:sz="0" w:space="0" w:color="auto"/>
        <w:right w:val="none" w:sz="0" w:space="0" w:color="auto"/>
      </w:divBdr>
    </w:div>
    <w:div w:id="1005281068">
      <w:bodyDiv w:val="1"/>
      <w:marLeft w:val="0"/>
      <w:marRight w:val="0"/>
      <w:marTop w:val="0"/>
      <w:marBottom w:val="0"/>
      <w:divBdr>
        <w:top w:val="none" w:sz="0" w:space="0" w:color="auto"/>
        <w:left w:val="none" w:sz="0" w:space="0" w:color="auto"/>
        <w:bottom w:val="none" w:sz="0" w:space="0" w:color="auto"/>
        <w:right w:val="none" w:sz="0" w:space="0" w:color="auto"/>
      </w:divBdr>
    </w:div>
    <w:div w:id="1005396635">
      <w:bodyDiv w:val="1"/>
      <w:marLeft w:val="0"/>
      <w:marRight w:val="0"/>
      <w:marTop w:val="0"/>
      <w:marBottom w:val="0"/>
      <w:divBdr>
        <w:top w:val="none" w:sz="0" w:space="0" w:color="auto"/>
        <w:left w:val="none" w:sz="0" w:space="0" w:color="auto"/>
        <w:bottom w:val="none" w:sz="0" w:space="0" w:color="auto"/>
        <w:right w:val="none" w:sz="0" w:space="0" w:color="auto"/>
      </w:divBdr>
    </w:div>
    <w:div w:id="1005405049">
      <w:bodyDiv w:val="1"/>
      <w:marLeft w:val="0"/>
      <w:marRight w:val="0"/>
      <w:marTop w:val="0"/>
      <w:marBottom w:val="0"/>
      <w:divBdr>
        <w:top w:val="none" w:sz="0" w:space="0" w:color="auto"/>
        <w:left w:val="none" w:sz="0" w:space="0" w:color="auto"/>
        <w:bottom w:val="none" w:sz="0" w:space="0" w:color="auto"/>
        <w:right w:val="none" w:sz="0" w:space="0" w:color="auto"/>
      </w:divBdr>
    </w:div>
    <w:div w:id="1005598316">
      <w:bodyDiv w:val="1"/>
      <w:marLeft w:val="0"/>
      <w:marRight w:val="0"/>
      <w:marTop w:val="0"/>
      <w:marBottom w:val="0"/>
      <w:divBdr>
        <w:top w:val="none" w:sz="0" w:space="0" w:color="auto"/>
        <w:left w:val="none" w:sz="0" w:space="0" w:color="auto"/>
        <w:bottom w:val="none" w:sz="0" w:space="0" w:color="auto"/>
        <w:right w:val="none" w:sz="0" w:space="0" w:color="auto"/>
      </w:divBdr>
    </w:div>
    <w:div w:id="1005716550">
      <w:bodyDiv w:val="1"/>
      <w:marLeft w:val="0"/>
      <w:marRight w:val="0"/>
      <w:marTop w:val="0"/>
      <w:marBottom w:val="0"/>
      <w:divBdr>
        <w:top w:val="none" w:sz="0" w:space="0" w:color="auto"/>
        <w:left w:val="none" w:sz="0" w:space="0" w:color="auto"/>
        <w:bottom w:val="none" w:sz="0" w:space="0" w:color="auto"/>
        <w:right w:val="none" w:sz="0" w:space="0" w:color="auto"/>
      </w:divBdr>
    </w:div>
    <w:div w:id="1005741858">
      <w:bodyDiv w:val="1"/>
      <w:marLeft w:val="0"/>
      <w:marRight w:val="0"/>
      <w:marTop w:val="0"/>
      <w:marBottom w:val="0"/>
      <w:divBdr>
        <w:top w:val="none" w:sz="0" w:space="0" w:color="auto"/>
        <w:left w:val="none" w:sz="0" w:space="0" w:color="auto"/>
        <w:bottom w:val="none" w:sz="0" w:space="0" w:color="auto"/>
        <w:right w:val="none" w:sz="0" w:space="0" w:color="auto"/>
      </w:divBdr>
    </w:div>
    <w:div w:id="1006322901">
      <w:bodyDiv w:val="1"/>
      <w:marLeft w:val="0"/>
      <w:marRight w:val="0"/>
      <w:marTop w:val="0"/>
      <w:marBottom w:val="0"/>
      <w:divBdr>
        <w:top w:val="none" w:sz="0" w:space="0" w:color="auto"/>
        <w:left w:val="none" w:sz="0" w:space="0" w:color="auto"/>
        <w:bottom w:val="none" w:sz="0" w:space="0" w:color="auto"/>
        <w:right w:val="none" w:sz="0" w:space="0" w:color="auto"/>
      </w:divBdr>
    </w:div>
    <w:div w:id="1006400057">
      <w:bodyDiv w:val="1"/>
      <w:marLeft w:val="0"/>
      <w:marRight w:val="0"/>
      <w:marTop w:val="0"/>
      <w:marBottom w:val="0"/>
      <w:divBdr>
        <w:top w:val="none" w:sz="0" w:space="0" w:color="auto"/>
        <w:left w:val="none" w:sz="0" w:space="0" w:color="auto"/>
        <w:bottom w:val="none" w:sz="0" w:space="0" w:color="auto"/>
        <w:right w:val="none" w:sz="0" w:space="0" w:color="auto"/>
      </w:divBdr>
    </w:div>
    <w:div w:id="1006438578">
      <w:bodyDiv w:val="1"/>
      <w:marLeft w:val="0"/>
      <w:marRight w:val="0"/>
      <w:marTop w:val="0"/>
      <w:marBottom w:val="0"/>
      <w:divBdr>
        <w:top w:val="none" w:sz="0" w:space="0" w:color="auto"/>
        <w:left w:val="none" w:sz="0" w:space="0" w:color="auto"/>
        <w:bottom w:val="none" w:sz="0" w:space="0" w:color="auto"/>
        <w:right w:val="none" w:sz="0" w:space="0" w:color="auto"/>
      </w:divBdr>
    </w:div>
    <w:div w:id="1006445580">
      <w:bodyDiv w:val="1"/>
      <w:marLeft w:val="0"/>
      <w:marRight w:val="0"/>
      <w:marTop w:val="0"/>
      <w:marBottom w:val="0"/>
      <w:divBdr>
        <w:top w:val="none" w:sz="0" w:space="0" w:color="auto"/>
        <w:left w:val="none" w:sz="0" w:space="0" w:color="auto"/>
        <w:bottom w:val="none" w:sz="0" w:space="0" w:color="auto"/>
        <w:right w:val="none" w:sz="0" w:space="0" w:color="auto"/>
      </w:divBdr>
    </w:div>
    <w:div w:id="1006445768">
      <w:bodyDiv w:val="1"/>
      <w:marLeft w:val="0"/>
      <w:marRight w:val="0"/>
      <w:marTop w:val="0"/>
      <w:marBottom w:val="0"/>
      <w:divBdr>
        <w:top w:val="none" w:sz="0" w:space="0" w:color="auto"/>
        <w:left w:val="none" w:sz="0" w:space="0" w:color="auto"/>
        <w:bottom w:val="none" w:sz="0" w:space="0" w:color="auto"/>
        <w:right w:val="none" w:sz="0" w:space="0" w:color="auto"/>
      </w:divBdr>
    </w:div>
    <w:div w:id="1006446532">
      <w:bodyDiv w:val="1"/>
      <w:marLeft w:val="0"/>
      <w:marRight w:val="0"/>
      <w:marTop w:val="0"/>
      <w:marBottom w:val="0"/>
      <w:divBdr>
        <w:top w:val="none" w:sz="0" w:space="0" w:color="auto"/>
        <w:left w:val="none" w:sz="0" w:space="0" w:color="auto"/>
        <w:bottom w:val="none" w:sz="0" w:space="0" w:color="auto"/>
        <w:right w:val="none" w:sz="0" w:space="0" w:color="auto"/>
      </w:divBdr>
    </w:div>
    <w:div w:id="1006637800">
      <w:bodyDiv w:val="1"/>
      <w:marLeft w:val="0"/>
      <w:marRight w:val="0"/>
      <w:marTop w:val="0"/>
      <w:marBottom w:val="0"/>
      <w:divBdr>
        <w:top w:val="none" w:sz="0" w:space="0" w:color="auto"/>
        <w:left w:val="none" w:sz="0" w:space="0" w:color="auto"/>
        <w:bottom w:val="none" w:sz="0" w:space="0" w:color="auto"/>
        <w:right w:val="none" w:sz="0" w:space="0" w:color="auto"/>
      </w:divBdr>
    </w:div>
    <w:div w:id="1006710596">
      <w:bodyDiv w:val="1"/>
      <w:marLeft w:val="0"/>
      <w:marRight w:val="0"/>
      <w:marTop w:val="0"/>
      <w:marBottom w:val="0"/>
      <w:divBdr>
        <w:top w:val="none" w:sz="0" w:space="0" w:color="auto"/>
        <w:left w:val="none" w:sz="0" w:space="0" w:color="auto"/>
        <w:bottom w:val="none" w:sz="0" w:space="0" w:color="auto"/>
        <w:right w:val="none" w:sz="0" w:space="0" w:color="auto"/>
      </w:divBdr>
    </w:div>
    <w:div w:id="1006833020">
      <w:bodyDiv w:val="1"/>
      <w:marLeft w:val="0"/>
      <w:marRight w:val="0"/>
      <w:marTop w:val="0"/>
      <w:marBottom w:val="0"/>
      <w:divBdr>
        <w:top w:val="none" w:sz="0" w:space="0" w:color="auto"/>
        <w:left w:val="none" w:sz="0" w:space="0" w:color="auto"/>
        <w:bottom w:val="none" w:sz="0" w:space="0" w:color="auto"/>
        <w:right w:val="none" w:sz="0" w:space="0" w:color="auto"/>
      </w:divBdr>
    </w:div>
    <w:div w:id="1007057553">
      <w:bodyDiv w:val="1"/>
      <w:marLeft w:val="0"/>
      <w:marRight w:val="0"/>
      <w:marTop w:val="0"/>
      <w:marBottom w:val="0"/>
      <w:divBdr>
        <w:top w:val="none" w:sz="0" w:space="0" w:color="auto"/>
        <w:left w:val="none" w:sz="0" w:space="0" w:color="auto"/>
        <w:bottom w:val="none" w:sz="0" w:space="0" w:color="auto"/>
        <w:right w:val="none" w:sz="0" w:space="0" w:color="auto"/>
      </w:divBdr>
    </w:div>
    <w:div w:id="1007095674">
      <w:bodyDiv w:val="1"/>
      <w:marLeft w:val="0"/>
      <w:marRight w:val="0"/>
      <w:marTop w:val="0"/>
      <w:marBottom w:val="0"/>
      <w:divBdr>
        <w:top w:val="none" w:sz="0" w:space="0" w:color="auto"/>
        <w:left w:val="none" w:sz="0" w:space="0" w:color="auto"/>
        <w:bottom w:val="none" w:sz="0" w:space="0" w:color="auto"/>
        <w:right w:val="none" w:sz="0" w:space="0" w:color="auto"/>
      </w:divBdr>
    </w:div>
    <w:div w:id="1007253032">
      <w:bodyDiv w:val="1"/>
      <w:marLeft w:val="0"/>
      <w:marRight w:val="0"/>
      <w:marTop w:val="0"/>
      <w:marBottom w:val="0"/>
      <w:divBdr>
        <w:top w:val="none" w:sz="0" w:space="0" w:color="auto"/>
        <w:left w:val="none" w:sz="0" w:space="0" w:color="auto"/>
        <w:bottom w:val="none" w:sz="0" w:space="0" w:color="auto"/>
        <w:right w:val="none" w:sz="0" w:space="0" w:color="auto"/>
      </w:divBdr>
    </w:div>
    <w:div w:id="1007558820">
      <w:bodyDiv w:val="1"/>
      <w:marLeft w:val="0"/>
      <w:marRight w:val="0"/>
      <w:marTop w:val="0"/>
      <w:marBottom w:val="0"/>
      <w:divBdr>
        <w:top w:val="none" w:sz="0" w:space="0" w:color="auto"/>
        <w:left w:val="none" w:sz="0" w:space="0" w:color="auto"/>
        <w:bottom w:val="none" w:sz="0" w:space="0" w:color="auto"/>
        <w:right w:val="none" w:sz="0" w:space="0" w:color="auto"/>
      </w:divBdr>
    </w:div>
    <w:div w:id="1007562118">
      <w:bodyDiv w:val="1"/>
      <w:marLeft w:val="0"/>
      <w:marRight w:val="0"/>
      <w:marTop w:val="0"/>
      <w:marBottom w:val="0"/>
      <w:divBdr>
        <w:top w:val="none" w:sz="0" w:space="0" w:color="auto"/>
        <w:left w:val="none" w:sz="0" w:space="0" w:color="auto"/>
        <w:bottom w:val="none" w:sz="0" w:space="0" w:color="auto"/>
        <w:right w:val="none" w:sz="0" w:space="0" w:color="auto"/>
      </w:divBdr>
    </w:div>
    <w:div w:id="1007752082">
      <w:bodyDiv w:val="1"/>
      <w:marLeft w:val="0"/>
      <w:marRight w:val="0"/>
      <w:marTop w:val="0"/>
      <w:marBottom w:val="0"/>
      <w:divBdr>
        <w:top w:val="none" w:sz="0" w:space="0" w:color="auto"/>
        <w:left w:val="none" w:sz="0" w:space="0" w:color="auto"/>
        <w:bottom w:val="none" w:sz="0" w:space="0" w:color="auto"/>
        <w:right w:val="none" w:sz="0" w:space="0" w:color="auto"/>
      </w:divBdr>
    </w:div>
    <w:div w:id="1007823963">
      <w:bodyDiv w:val="1"/>
      <w:marLeft w:val="0"/>
      <w:marRight w:val="0"/>
      <w:marTop w:val="0"/>
      <w:marBottom w:val="0"/>
      <w:divBdr>
        <w:top w:val="none" w:sz="0" w:space="0" w:color="auto"/>
        <w:left w:val="none" w:sz="0" w:space="0" w:color="auto"/>
        <w:bottom w:val="none" w:sz="0" w:space="0" w:color="auto"/>
        <w:right w:val="none" w:sz="0" w:space="0" w:color="auto"/>
      </w:divBdr>
    </w:div>
    <w:div w:id="1007899467">
      <w:bodyDiv w:val="1"/>
      <w:marLeft w:val="0"/>
      <w:marRight w:val="0"/>
      <w:marTop w:val="0"/>
      <w:marBottom w:val="0"/>
      <w:divBdr>
        <w:top w:val="none" w:sz="0" w:space="0" w:color="auto"/>
        <w:left w:val="none" w:sz="0" w:space="0" w:color="auto"/>
        <w:bottom w:val="none" w:sz="0" w:space="0" w:color="auto"/>
        <w:right w:val="none" w:sz="0" w:space="0" w:color="auto"/>
      </w:divBdr>
    </w:div>
    <w:div w:id="1008169460">
      <w:bodyDiv w:val="1"/>
      <w:marLeft w:val="0"/>
      <w:marRight w:val="0"/>
      <w:marTop w:val="0"/>
      <w:marBottom w:val="0"/>
      <w:divBdr>
        <w:top w:val="none" w:sz="0" w:space="0" w:color="auto"/>
        <w:left w:val="none" w:sz="0" w:space="0" w:color="auto"/>
        <w:bottom w:val="none" w:sz="0" w:space="0" w:color="auto"/>
        <w:right w:val="none" w:sz="0" w:space="0" w:color="auto"/>
      </w:divBdr>
    </w:div>
    <w:div w:id="1008220188">
      <w:bodyDiv w:val="1"/>
      <w:marLeft w:val="0"/>
      <w:marRight w:val="0"/>
      <w:marTop w:val="0"/>
      <w:marBottom w:val="0"/>
      <w:divBdr>
        <w:top w:val="none" w:sz="0" w:space="0" w:color="auto"/>
        <w:left w:val="none" w:sz="0" w:space="0" w:color="auto"/>
        <w:bottom w:val="none" w:sz="0" w:space="0" w:color="auto"/>
        <w:right w:val="none" w:sz="0" w:space="0" w:color="auto"/>
      </w:divBdr>
    </w:div>
    <w:div w:id="1008405734">
      <w:bodyDiv w:val="1"/>
      <w:marLeft w:val="0"/>
      <w:marRight w:val="0"/>
      <w:marTop w:val="0"/>
      <w:marBottom w:val="0"/>
      <w:divBdr>
        <w:top w:val="none" w:sz="0" w:space="0" w:color="auto"/>
        <w:left w:val="none" w:sz="0" w:space="0" w:color="auto"/>
        <w:bottom w:val="none" w:sz="0" w:space="0" w:color="auto"/>
        <w:right w:val="none" w:sz="0" w:space="0" w:color="auto"/>
      </w:divBdr>
    </w:div>
    <w:div w:id="1008562930">
      <w:bodyDiv w:val="1"/>
      <w:marLeft w:val="0"/>
      <w:marRight w:val="0"/>
      <w:marTop w:val="0"/>
      <w:marBottom w:val="0"/>
      <w:divBdr>
        <w:top w:val="none" w:sz="0" w:space="0" w:color="auto"/>
        <w:left w:val="none" w:sz="0" w:space="0" w:color="auto"/>
        <w:bottom w:val="none" w:sz="0" w:space="0" w:color="auto"/>
        <w:right w:val="none" w:sz="0" w:space="0" w:color="auto"/>
      </w:divBdr>
    </w:div>
    <w:div w:id="1008629927">
      <w:bodyDiv w:val="1"/>
      <w:marLeft w:val="0"/>
      <w:marRight w:val="0"/>
      <w:marTop w:val="0"/>
      <w:marBottom w:val="0"/>
      <w:divBdr>
        <w:top w:val="none" w:sz="0" w:space="0" w:color="auto"/>
        <w:left w:val="none" w:sz="0" w:space="0" w:color="auto"/>
        <w:bottom w:val="none" w:sz="0" w:space="0" w:color="auto"/>
        <w:right w:val="none" w:sz="0" w:space="0" w:color="auto"/>
      </w:divBdr>
    </w:div>
    <w:div w:id="1008677198">
      <w:bodyDiv w:val="1"/>
      <w:marLeft w:val="0"/>
      <w:marRight w:val="0"/>
      <w:marTop w:val="0"/>
      <w:marBottom w:val="0"/>
      <w:divBdr>
        <w:top w:val="none" w:sz="0" w:space="0" w:color="auto"/>
        <w:left w:val="none" w:sz="0" w:space="0" w:color="auto"/>
        <w:bottom w:val="none" w:sz="0" w:space="0" w:color="auto"/>
        <w:right w:val="none" w:sz="0" w:space="0" w:color="auto"/>
      </w:divBdr>
    </w:div>
    <w:div w:id="1008823729">
      <w:bodyDiv w:val="1"/>
      <w:marLeft w:val="0"/>
      <w:marRight w:val="0"/>
      <w:marTop w:val="0"/>
      <w:marBottom w:val="0"/>
      <w:divBdr>
        <w:top w:val="none" w:sz="0" w:space="0" w:color="auto"/>
        <w:left w:val="none" w:sz="0" w:space="0" w:color="auto"/>
        <w:bottom w:val="none" w:sz="0" w:space="0" w:color="auto"/>
        <w:right w:val="none" w:sz="0" w:space="0" w:color="auto"/>
      </w:divBdr>
    </w:div>
    <w:div w:id="1008823992">
      <w:bodyDiv w:val="1"/>
      <w:marLeft w:val="0"/>
      <w:marRight w:val="0"/>
      <w:marTop w:val="0"/>
      <w:marBottom w:val="0"/>
      <w:divBdr>
        <w:top w:val="none" w:sz="0" w:space="0" w:color="auto"/>
        <w:left w:val="none" w:sz="0" w:space="0" w:color="auto"/>
        <w:bottom w:val="none" w:sz="0" w:space="0" w:color="auto"/>
        <w:right w:val="none" w:sz="0" w:space="0" w:color="auto"/>
      </w:divBdr>
    </w:div>
    <w:div w:id="1008824704">
      <w:bodyDiv w:val="1"/>
      <w:marLeft w:val="0"/>
      <w:marRight w:val="0"/>
      <w:marTop w:val="0"/>
      <w:marBottom w:val="0"/>
      <w:divBdr>
        <w:top w:val="none" w:sz="0" w:space="0" w:color="auto"/>
        <w:left w:val="none" w:sz="0" w:space="0" w:color="auto"/>
        <w:bottom w:val="none" w:sz="0" w:space="0" w:color="auto"/>
        <w:right w:val="none" w:sz="0" w:space="0" w:color="auto"/>
      </w:divBdr>
    </w:div>
    <w:div w:id="1008872936">
      <w:bodyDiv w:val="1"/>
      <w:marLeft w:val="0"/>
      <w:marRight w:val="0"/>
      <w:marTop w:val="0"/>
      <w:marBottom w:val="0"/>
      <w:divBdr>
        <w:top w:val="none" w:sz="0" w:space="0" w:color="auto"/>
        <w:left w:val="none" w:sz="0" w:space="0" w:color="auto"/>
        <w:bottom w:val="none" w:sz="0" w:space="0" w:color="auto"/>
        <w:right w:val="none" w:sz="0" w:space="0" w:color="auto"/>
      </w:divBdr>
    </w:div>
    <w:div w:id="1009018826">
      <w:bodyDiv w:val="1"/>
      <w:marLeft w:val="0"/>
      <w:marRight w:val="0"/>
      <w:marTop w:val="0"/>
      <w:marBottom w:val="0"/>
      <w:divBdr>
        <w:top w:val="none" w:sz="0" w:space="0" w:color="auto"/>
        <w:left w:val="none" w:sz="0" w:space="0" w:color="auto"/>
        <w:bottom w:val="none" w:sz="0" w:space="0" w:color="auto"/>
        <w:right w:val="none" w:sz="0" w:space="0" w:color="auto"/>
      </w:divBdr>
    </w:div>
    <w:div w:id="1009068700">
      <w:bodyDiv w:val="1"/>
      <w:marLeft w:val="0"/>
      <w:marRight w:val="0"/>
      <w:marTop w:val="0"/>
      <w:marBottom w:val="0"/>
      <w:divBdr>
        <w:top w:val="none" w:sz="0" w:space="0" w:color="auto"/>
        <w:left w:val="none" w:sz="0" w:space="0" w:color="auto"/>
        <w:bottom w:val="none" w:sz="0" w:space="0" w:color="auto"/>
        <w:right w:val="none" w:sz="0" w:space="0" w:color="auto"/>
      </w:divBdr>
    </w:div>
    <w:div w:id="1009135285">
      <w:bodyDiv w:val="1"/>
      <w:marLeft w:val="0"/>
      <w:marRight w:val="0"/>
      <w:marTop w:val="0"/>
      <w:marBottom w:val="0"/>
      <w:divBdr>
        <w:top w:val="none" w:sz="0" w:space="0" w:color="auto"/>
        <w:left w:val="none" w:sz="0" w:space="0" w:color="auto"/>
        <w:bottom w:val="none" w:sz="0" w:space="0" w:color="auto"/>
        <w:right w:val="none" w:sz="0" w:space="0" w:color="auto"/>
      </w:divBdr>
    </w:div>
    <w:div w:id="1009137054">
      <w:bodyDiv w:val="1"/>
      <w:marLeft w:val="0"/>
      <w:marRight w:val="0"/>
      <w:marTop w:val="0"/>
      <w:marBottom w:val="0"/>
      <w:divBdr>
        <w:top w:val="none" w:sz="0" w:space="0" w:color="auto"/>
        <w:left w:val="none" w:sz="0" w:space="0" w:color="auto"/>
        <w:bottom w:val="none" w:sz="0" w:space="0" w:color="auto"/>
        <w:right w:val="none" w:sz="0" w:space="0" w:color="auto"/>
      </w:divBdr>
    </w:div>
    <w:div w:id="1009143404">
      <w:bodyDiv w:val="1"/>
      <w:marLeft w:val="0"/>
      <w:marRight w:val="0"/>
      <w:marTop w:val="0"/>
      <w:marBottom w:val="0"/>
      <w:divBdr>
        <w:top w:val="none" w:sz="0" w:space="0" w:color="auto"/>
        <w:left w:val="none" w:sz="0" w:space="0" w:color="auto"/>
        <w:bottom w:val="none" w:sz="0" w:space="0" w:color="auto"/>
        <w:right w:val="none" w:sz="0" w:space="0" w:color="auto"/>
      </w:divBdr>
    </w:div>
    <w:div w:id="1009258000">
      <w:bodyDiv w:val="1"/>
      <w:marLeft w:val="0"/>
      <w:marRight w:val="0"/>
      <w:marTop w:val="0"/>
      <w:marBottom w:val="0"/>
      <w:divBdr>
        <w:top w:val="none" w:sz="0" w:space="0" w:color="auto"/>
        <w:left w:val="none" w:sz="0" w:space="0" w:color="auto"/>
        <w:bottom w:val="none" w:sz="0" w:space="0" w:color="auto"/>
        <w:right w:val="none" w:sz="0" w:space="0" w:color="auto"/>
      </w:divBdr>
    </w:div>
    <w:div w:id="1009332322">
      <w:bodyDiv w:val="1"/>
      <w:marLeft w:val="0"/>
      <w:marRight w:val="0"/>
      <w:marTop w:val="0"/>
      <w:marBottom w:val="0"/>
      <w:divBdr>
        <w:top w:val="none" w:sz="0" w:space="0" w:color="auto"/>
        <w:left w:val="none" w:sz="0" w:space="0" w:color="auto"/>
        <w:bottom w:val="none" w:sz="0" w:space="0" w:color="auto"/>
        <w:right w:val="none" w:sz="0" w:space="0" w:color="auto"/>
      </w:divBdr>
    </w:div>
    <w:div w:id="1009404843">
      <w:bodyDiv w:val="1"/>
      <w:marLeft w:val="0"/>
      <w:marRight w:val="0"/>
      <w:marTop w:val="0"/>
      <w:marBottom w:val="0"/>
      <w:divBdr>
        <w:top w:val="none" w:sz="0" w:space="0" w:color="auto"/>
        <w:left w:val="none" w:sz="0" w:space="0" w:color="auto"/>
        <w:bottom w:val="none" w:sz="0" w:space="0" w:color="auto"/>
        <w:right w:val="none" w:sz="0" w:space="0" w:color="auto"/>
      </w:divBdr>
    </w:div>
    <w:div w:id="1009483252">
      <w:bodyDiv w:val="1"/>
      <w:marLeft w:val="0"/>
      <w:marRight w:val="0"/>
      <w:marTop w:val="0"/>
      <w:marBottom w:val="0"/>
      <w:divBdr>
        <w:top w:val="none" w:sz="0" w:space="0" w:color="auto"/>
        <w:left w:val="none" w:sz="0" w:space="0" w:color="auto"/>
        <w:bottom w:val="none" w:sz="0" w:space="0" w:color="auto"/>
        <w:right w:val="none" w:sz="0" w:space="0" w:color="auto"/>
      </w:divBdr>
    </w:div>
    <w:div w:id="1009604104">
      <w:bodyDiv w:val="1"/>
      <w:marLeft w:val="0"/>
      <w:marRight w:val="0"/>
      <w:marTop w:val="0"/>
      <w:marBottom w:val="0"/>
      <w:divBdr>
        <w:top w:val="none" w:sz="0" w:space="0" w:color="auto"/>
        <w:left w:val="none" w:sz="0" w:space="0" w:color="auto"/>
        <w:bottom w:val="none" w:sz="0" w:space="0" w:color="auto"/>
        <w:right w:val="none" w:sz="0" w:space="0" w:color="auto"/>
      </w:divBdr>
    </w:div>
    <w:div w:id="1009793477">
      <w:bodyDiv w:val="1"/>
      <w:marLeft w:val="0"/>
      <w:marRight w:val="0"/>
      <w:marTop w:val="0"/>
      <w:marBottom w:val="0"/>
      <w:divBdr>
        <w:top w:val="none" w:sz="0" w:space="0" w:color="auto"/>
        <w:left w:val="none" w:sz="0" w:space="0" w:color="auto"/>
        <w:bottom w:val="none" w:sz="0" w:space="0" w:color="auto"/>
        <w:right w:val="none" w:sz="0" w:space="0" w:color="auto"/>
      </w:divBdr>
    </w:div>
    <w:div w:id="1010060202">
      <w:bodyDiv w:val="1"/>
      <w:marLeft w:val="0"/>
      <w:marRight w:val="0"/>
      <w:marTop w:val="0"/>
      <w:marBottom w:val="0"/>
      <w:divBdr>
        <w:top w:val="none" w:sz="0" w:space="0" w:color="auto"/>
        <w:left w:val="none" w:sz="0" w:space="0" w:color="auto"/>
        <w:bottom w:val="none" w:sz="0" w:space="0" w:color="auto"/>
        <w:right w:val="none" w:sz="0" w:space="0" w:color="auto"/>
      </w:divBdr>
    </w:div>
    <w:div w:id="1010179545">
      <w:bodyDiv w:val="1"/>
      <w:marLeft w:val="0"/>
      <w:marRight w:val="0"/>
      <w:marTop w:val="0"/>
      <w:marBottom w:val="0"/>
      <w:divBdr>
        <w:top w:val="none" w:sz="0" w:space="0" w:color="auto"/>
        <w:left w:val="none" w:sz="0" w:space="0" w:color="auto"/>
        <w:bottom w:val="none" w:sz="0" w:space="0" w:color="auto"/>
        <w:right w:val="none" w:sz="0" w:space="0" w:color="auto"/>
      </w:divBdr>
    </w:div>
    <w:div w:id="1010328660">
      <w:bodyDiv w:val="1"/>
      <w:marLeft w:val="0"/>
      <w:marRight w:val="0"/>
      <w:marTop w:val="0"/>
      <w:marBottom w:val="0"/>
      <w:divBdr>
        <w:top w:val="none" w:sz="0" w:space="0" w:color="auto"/>
        <w:left w:val="none" w:sz="0" w:space="0" w:color="auto"/>
        <w:bottom w:val="none" w:sz="0" w:space="0" w:color="auto"/>
        <w:right w:val="none" w:sz="0" w:space="0" w:color="auto"/>
      </w:divBdr>
    </w:div>
    <w:div w:id="1010378483">
      <w:bodyDiv w:val="1"/>
      <w:marLeft w:val="0"/>
      <w:marRight w:val="0"/>
      <w:marTop w:val="0"/>
      <w:marBottom w:val="0"/>
      <w:divBdr>
        <w:top w:val="none" w:sz="0" w:space="0" w:color="auto"/>
        <w:left w:val="none" w:sz="0" w:space="0" w:color="auto"/>
        <w:bottom w:val="none" w:sz="0" w:space="0" w:color="auto"/>
        <w:right w:val="none" w:sz="0" w:space="0" w:color="auto"/>
      </w:divBdr>
    </w:div>
    <w:div w:id="1010566784">
      <w:bodyDiv w:val="1"/>
      <w:marLeft w:val="0"/>
      <w:marRight w:val="0"/>
      <w:marTop w:val="0"/>
      <w:marBottom w:val="0"/>
      <w:divBdr>
        <w:top w:val="none" w:sz="0" w:space="0" w:color="auto"/>
        <w:left w:val="none" w:sz="0" w:space="0" w:color="auto"/>
        <w:bottom w:val="none" w:sz="0" w:space="0" w:color="auto"/>
        <w:right w:val="none" w:sz="0" w:space="0" w:color="auto"/>
      </w:divBdr>
    </w:div>
    <w:div w:id="1010642850">
      <w:bodyDiv w:val="1"/>
      <w:marLeft w:val="0"/>
      <w:marRight w:val="0"/>
      <w:marTop w:val="0"/>
      <w:marBottom w:val="0"/>
      <w:divBdr>
        <w:top w:val="none" w:sz="0" w:space="0" w:color="auto"/>
        <w:left w:val="none" w:sz="0" w:space="0" w:color="auto"/>
        <w:bottom w:val="none" w:sz="0" w:space="0" w:color="auto"/>
        <w:right w:val="none" w:sz="0" w:space="0" w:color="auto"/>
      </w:divBdr>
    </w:div>
    <w:div w:id="1010643439">
      <w:bodyDiv w:val="1"/>
      <w:marLeft w:val="0"/>
      <w:marRight w:val="0"/>
      <w:marTop w:val="0"/>
      <w:marBottom w:val="0"/>
      <w:divBdr>
        <w:top w:val="none" w:sz="0" w:space="0" w:color="auto"/>
        <w:left w:val="none" w:sz="0" w:space="0" w:color="auto"/>
        <w:bottom w:val="none" w:sz="0" w:space="0" w:color="auto"/>
        <w:right w:val="none" w:sz="0" w:space="0" w:color="auto"/>
      </w:divBdr>
    </w:div>
    <w:div w:id="1010644233">
      <w:bodyDiv w:val="1"/>
      <w:marLeft w:val="0"/>
      <w:marRight w:val="0"/>
      <w:marTop w:val="0"/>
      <w:marBottom w:val="0"/>
      <w:divBdr>
        <w:top w:val="none" w:sz="0" w:space="0" w:color="auto"/>
        <w:left w:val="none" w:sz="0" w:space="0" w:color="auto"/>
        <w:bottom w:val="none" w:sz="0" w:space="0" w:color="auto"/>
        <w:right w:val="none" w:sz="0" w:space="0" w:color="auto"/>
      </w:divBdr>
    </w:div>
    <w:div w:id="1010719046">
      <w:bodyDiv w:val="1"/>
      <w:marLeft w:val="0"/>
      <w:marRight w:val="0"/>
      <w:marTop w:val="0"/>
      <w:marBottom w:val="0"/>
      <w:divBdr>
        <w:top w:val="none" w:sz="0" w:space="0" w:color="auto"/>
        <w:left w:val="none" w:sz="0" w:space="0" w:color="auto"/>
        <w:bottom w:val="none" w:sz="0" w:space="0" w:color="auto"/>
        <w:right w:val="none" w:sz="0" w:space="0" w:color="auto"/>
      </w:divBdr>
    </w:div>
    <w:div w:id="1010790129">
      <w:bodyDiv w:val="1"/>
      <w:marLeft w:val="0"/>
      <w:marRight w:val="0"/>
      <w:marTop w:val="0"/>
      <w:marBottom w:val="0"/>
      <w:divBdr>
        <w:top w:val="none" w:sz="0" w:space="0" w:color="auto"/>
        <w:left w:val="none" w:sz="0" w:space="0" w:color="auto"/>
        <w:bottom w:val="none" w:sz="0" w:space="0" w:color="auto"/>
        <w:right w:val="none" w:sz="0" w:space="0" w:color="auto"/>
      </w:divBdr>
    </w:div>
    <w:div w:id="1010907104">
      <w:bodyDiv w:val="1"/>
      <w:marLeft w:val="0"/>
      <w:marRight w:val="0"/>
      <w:marTop w:val="0"/>
      <w:marBottom w:val="0"/>
      <w:divBdr>
        <w:top w:val="none" w:sz="0" w:space="0" w:color="auto"/>
        <w:left w:val="none" w:sz="0" w:space="0" w:color="auto"/>
        <w:bottom w:val="none" w:sz="0" w:space="0" w:color="auto"/>
        <w:right w:val="none" w:sz="0" w:space="0" w:color="auto"/>
      </w:divBdr>
    </w:div>
    <w:div w:id="1010907109">
      <w:bodyDiv w:val="1"/>
      <w:marLeft w:val="0"/>
      <w:marRight w:val="0"/>
      <w:marTop w:val="0"/>
      <w:marBottom w:val="0"/>
      <w:divBdr>
        <w:top w:val="none" w:sz="0" w:space="0" w:color="auto"/>
        <w:left w:val="none" w:sz="0" w:space="0" w:color="auto"/>
        <w:bottom w:val="none" w:sz="0" w:space="0" w:color="auto"/>
        <w:right w:val="none" w:sz="0" w:space="0" w:color="auto"/>
      </w:divBdr>
    </w:div>
    <w:div w:id="1010985032">
      <w:bodyDiv w:val="1"/>
      <w:marLeft w:val="0"/>
      <w:marRight w:val="0"/>
      <w:marTop w:val="0"/>
      <w:marBottom w:val="0"/>
      <w:divBdr>
        <w:top w:val="none" w:sz="0" w:space="0" w:color="auto"/>
        <w:left w:val="none" w:sz="0" w:space="0" w:color="auto"/>
        <w:bottom w:val="none" w:sz="0" w:space="0" w:color="auto"/>
        <w:right w:val="none" w:sz="0" w:space="0" w:color="auto"/>
      </w:divBdr>
    </w:div>
    <w:div w:id="1010987380">
      <w:bodyDiv w:val="1"/>
      <w:marLeft w:val="0"/>
      <w:marRight w:val="0"/>
      <w:marTop w:val="0"/>
      <w:marBottom w:val="0"/>
      <w:divBdr>
        <w:top w:val="none" w:sz="0" w:space="0" w:color="auto"/>
        <w:left w:val="none" w:sz="0" w:space="0" w:color="auto"/>
        <w:bottom w:val="none" w:sz="0" w:space="0" w:color="auto"/>
        <w:right w:val="none" w:sz="0" w:space="0" w:color="auto"/>
      </w:divBdr>
    </w:div>
    <w:div w:id="1011027332">
      <w:bodyDiv w:val="1"/>
      <w:marLeft w:val="0"/>
      <w:marRight w:val="0"/>
      <w:marTop w:val="0"/>
      <w:marBottom w:val="0"/>
      <w:divBdr>
        <w:top w:val="none" w:sz="0" w:space="0" w:color="auto"/>
        <w:left w:val="none" w:sz="0" w:space="0" w:color="auto"/>
        <w:bottom w:val="none" w:sz="0" w:space="0" w:color="auto"/>
        <w:right w:val="none" w:sz="0" w:space="0" w:color="auto"/>
      </w:divBdr>
    </w:div>
    <w:div w:id="1011101180">
      <w:bodyDiv w:val="1"/>
      <w:marLeft w:val="0"/>
      <w:marRight w:val="0"/>
      <w:marTop w:val="0"/>
      <w:marBottom w:val="0"/>
      <w:divBdr>
        <w:top w:val="none" w:sz="0" w:space="0" w:color="auto"/>
        <w:left w:val="none" w:sz="0" w:space="0" w:color="auto"/>
        <w:bottom w:val="none" w:sz="0" w:space="0" w:color="auto"/>
        <w:right w:val="none" w:sz="0" w:space="0" w:color="auto"/>
      </w:divBdr>
    </w:div>
    <w:div w:id="1011180914">
      <w:bodyDiv w:val="1"/>
      <w:marLeft w:val="0"/>
      <w:marRight w:val="0"/>
      <w:marTop w:val="0"/>
      <w:marBottom w:val="0"/>
      <w:divBdr>
        <w:top w:val="none" w:sz="0" w:space="0" w:color="auto"/>
        <w:left w:val="none" w:sz="0" w:space="0" w:color="auto"/>
        <w:bottom w:val="none" w:sz="0" w:space="0" w:color="auto"/>
        <w:right w:val="none" w:sz="0" w:space="0" w:color="auto"/>
      </w:divBdr>
    </w:div>
    <w:div w:id="1011613908">
      <w:bodyDiv w:val="1"/>
      <w:marLeft w:val="0"/>
      <w:marRight w:val="0"/>
      <w:marTop w:val="0"/>
      <w:marBottom w:val="0"/>
      <w:divBdr>
        <w:top w:val="none" w:sz="0" w:space="0" w:color="auto"/>
        <w:left w:val="none" w:sz="0" w:space="0" w:color="auto"/>
        <w:bottom w:val="none" w:sz="0" w:space="0" w:color="auto"/>
        <w:right w:val="none" w:sz="0" w:space="0" w:color="auto"/>
      </w:divBdr>
    </w:div>
    <w:div w:id="1011687610">
      <w:bodyDiv w:val="1"/>
      <w:marLeft w:val="0"/>
      <w:marRight w:val="0"/>
      <w:marTop w:val="0"/>
      <w:marBottom w:val="0"/>
      <w:divBdr>
        <w:top w:val="none" w:sz="0" w:space="0" w:color="auto"/>
        <w:left w:val="none" w:sz="0" w:space="0" w:color="auto"/>
        <w:bottom w:val="none" w:sz="0" w:space="0" w:color="auto"/>
        <w:right w:val="none" w:sz="0" w:space="0" w:color="auto"/>
      </w:divBdr>
    </w:div>
    <w:div w:id="1011830993">
      <w:bodyDiv w:val="1"/>
      <w:marLeft w:val="0"/>
      <w:marRight w:val="0"/>
      <w:marTop w:val="0"/>
      <w:marBottom w:val="0"/>
      <w:divBdr>
        <w:top w:val="none" w:sz="0" w:space="0" w:color="auto"/>
        <w:left w:val="none" w:sz="0" w:space="0" w:color="auto"/>
        <w:bottom w:val="none" w:sz="0" w:space="0" w:color="auto"/>
        <w:right w:val="none" w:sz="0" w:space="0" w:color="auto"/>
      </w:divBdr>
    </w:div>
    <w:div w:id="1011835487">
      <w:bodyDiv w:val="1"/>
      <w:marLeft w:val="0"/>
      <w:marRight w:val="0"/>
      <w:marTop w:val="0"/>
      <w:marBottom w:val="0"/>
      <w:divBdr>
        <w:top w:val="none" w:sz="0" w:space="0" w:color="auto"/>
        <w:left w:val="none" w:sz="0" w:space="0" w:color="auto"/>
        <w:bottom w:val="none" w:sz="0" w:space="0" w:color="auto"/>
        <w:right w:val="none" w:sz="0" w:space="0" w:color="auto"/>
      </w:divBdr>
    </w:div>
    <w:div w:id="1011876224">
      <w:bodyDiv w:val="1"/>
      <w:marLeft w:val="0"/>
      <w:marRight w:val="0"/>
      <w:marTop w:val="0"/>
      <w:marBottom w:val="0"/>
      <w:divBdr>
        <w:top w:val="none" w:sz="0" w:space="0" w:color="auto"/>
        <w:left w:val="none" w:sz="0" w:space="0" w:color="auto"/>
        <w:bottom w:val="none" w:sz="0" w:space="0" w:color="auto"/>
        <w:right w:val="none" w:sz="0" w:space="0" w:color="auto"/>
      </w:divBdr>
    </w:div>
    <w:div w:id="1011907694">
      <w:bodyDiv w:val="1"/>
      <w:marLeft w:val="0"/>
      <w:marRight w:val="0"/>
      <w:marTop w:val="0"/>
      <w:marBottom w:val="0"/>
      <w:divBdr>
        <w:top w:val="none" w:sz="0" w:space="0" w:color="auto"/>
        <w:left w:val="none" w:sz="0" w:space="0" w:color="auto"/>
        <w:bottom w:val="none" w:sz="0" w:space="0" w:color="auto"/>
        <w:right w:val="none" w:sz="0" w:space="0" w:color="auto"/>
      </w:divBdr>
    </w:div>
    <w:div w:id="1011950539">
      <w:bodyDiv w:val="1"/>
      <w:marLeft w:val="0"/>
      <w:marRight w:val="0"/>
      <w:marTop w:val="0"/>
      <w:marBottom w:val="0"/>
      <w:divBdr>
        <w:top w:val="none" w:sz="0" w:space="0" w:color="auto"/>
        <w:left w:val="none" w:sz="0" w:space="0" w:color="auto"/>
        <w:bottom w:val="none" w:sz="0" w:space="0" w:color="auto"/>
        <w:right w:val="none" w:sz="0" w:space="0" w:color="auto"/>
      </w:divBdr>
    </w:div>
    <w:div w:id="1011952273">
      <w:bodyDiv w:val="1"/>
      <w:marLeft w:val="0"/>
      <w:marRight w:val="0"/>
      <w:marTop w:val="0"/>
      <w:marBottom w:val="0"/>
      <w:divBdr>
        <w:top w:val="none" w:sz="0" w:space="0" w:color="auto"/>
        <w:left w:val="none" w:sz="0" w:space="0" w:color="auto"/>
        <w:bottom w:val="none" w:sz="0" w:space="0" w:color="auto"/>
        <w:right w:val="none" w:sz="0" w:space="0" w:color="auto"/>
      </w:divBdr>
    </w:div>
    <w:div w:id="1011952828">
      <w:bodyDiv w:val="1"/>
      <w:marLeft w:val="0"/>
      <w:marRight w:val="0"/>
      <w:marTop w:val="0"/>
      <w:marBottom w:val="0"/>
      <w:divBdr>
        <w:top w:val="none" w:sz="0" w:space="0" w:color="auto"/>
        <w:left w:val="none" w:sz="0" w:space="0" w:color="auto"/>
        <w:bottom w:val="none" w:sz="0" w:space="0" w:color="auto"/>
        <w:right w:val="none" w:sz="0" w:space="0" w:color="auto"/>
      </w:divBdr>
    </w:div>
    <w:div w:id="1011953305">
      <w:bodyDiv w:val="1"/>
      <w:marLeft w:val="0"/>
      <w:marRight w:val="0"/>
      <w:marTop w:val="0"/>
      <w:marBottom w:val="0"/>
      <w:divBdr>
        <w:top w:val="none" w:sz="0" w:space="0" w:color="auto"/>
        <w:left w:val="none" w:sz="0" w:space="0" w:color="auto"/>
        <w:bottom w:val="none" w:sz="0" w:space="0" w:color="auto"/>
        <w:right w:val="none" w:sz="0" w:space="0" w:color="auto"/>
      </w:divBdr>
    </w:div>
    <w:div w:id="1012031436">
      <w:bodyDiv w:val="1"/>
      <w:marLeft w:val="0"/>
      <w:marRight w:val="0"/>
      <w:marTop w:val="0"/>
      <w:marBottom w:val="0"/>
      <w:divBdr>
        <w:top w:val="none" w:sz="0" w:space="0" w:color="auto"/>
        <w:left w:val="none" w:sz="0" w:space="0" w:color="auto"/>
        <w:bottom w:val="none" w:sz="0" w:space="0" w:color="auto"/>
        <w:right w:val="none" w:sz="0" w:space="0" w:color="auto"/>
      </w:divBdr>
    </w:div>
    <w:div w:id="1012224571">
      <w:bodyDiv w:val="1"/>
      <w:marLeft w:val="0"/>
      <w:marRight w:val="0"/>
      <w:marTop w:val="0"/>
      <w:marBottom w:val="0"/>
      <w:divBdr>
        <w:top w:val="none" w:sz="0" w:space="0" w:color="auto"/>
        <w:left w:val="none" w:sz="0" w:space="0" w:color="auto"/>
        <w:bottom w:val="none" w:sz="0" w:space="0" w:color="auto"/>
        <w:right w:val="none" w:sz="0" w:space="0" w:color="auto"/>
      </w:divBdr>
    </w:div>
    <w:div w:id="1012225243">
      <w:bodyDiv w:val="1"/>
      <w:marLeft w:val="0"/>
      <w:marRight w:val="0"/>
      <w:marTop w:val="0"/>
      <w:marBottom w:val="0"/>
      <w:divBdr>
        <w:top w:val="none" w:sz="0" w:space="0" w:color="auto"/>
        <w:left w:val="none" w:sz="0" w:space="0" w:color="auto"/>
        <w:bottom w:val="none" w:sz="0" w:space="0" w:color="auto"/>
        <w:right w:val="none" w:sz="0" w:space="0" w:color="auto"/>
      </w:divBdr>
    </w:div>
    <w:div w:id="1012342942">
      <w:bodyDiv w:val="1"/>
      <w:marLeft w:val="0"/>
      <w:marRight w:val="0"/>
      <w:marTop w:val="0"/>
      <w:marBottom w:val="0"/>
      <w:divBdr>
        <w:top w:val="none" w:sz="0" w:space="0" w:color="auto"/>
        <w:left w:val="none" w:sz="0" w:space="0" w:color="auto"/>
        <w:bottom w:val="none" w:sz="0" w:space="0" w:color="auto"/>
        <w:right w:val="none" w:sz="0" w:space="0" w:color="auto"/>
      </w:divBdr>
    </w:div>
    <w:div w:id="1012343884">
      <w:bodyDiv w:val="1"/>
      <w:marLeft w:val="0"/>
      <w:marRight w:val="0"/>
      <w:marTop w:val="0"/>
      <w:marBottom w:val="0"/>
      <w:divBdr>
        <w:top w:val="none" w:sz="0" w:space="0" w:color="auto"/>
        <w:left w:val="none" w:sz="0" w:space="0" w:color="auto"/>
        <w:bottom w:val="none" w:sz="0" w:space="0" w:color="auto"/>
        <w:right w:val="none" w:sz="0" w:space="0" w:color="auto"/>
      </w:divBdr>
    </w:div>
    <w:div w:id="1012410849">
      <w:bodyDiv w:val="1"/>
      <w:marLeft w:val="0"/>
      <w:marRight w:val="0"/>
      <w:marTop w:val="0"/>
      <w:marBottom w:val="0"/>
      <w:divBdr>
        <w:top w:val="none" w:sz="0" w:space="0" w:color="auto"/>
        <w:left w:val="none" w:sz="0" w:space="0" w:color="auto"/>
        <w:bottom w:val="none" w:sz="0" w:space="0" w:color="auto"/>
        <w:right w:val="none" w:sz="0" w:space="0" w:color="auto"/>
      </w:divBdr>
    </w:div>
    <w:div w:id="1012414481">
      <w:bodyDiv w:val="1"/>
      <w:marLeft w:val="0"/>
      <w:marRight w:val="0"/>
      <w:marTop w:val="0"/>
      <w:marBottom w:val="0"/>
      <w:divBdr>
        <w:top w:val="none" w:sz="0" w:space="0" w:color="auto"/>
        <w:left w:val="none" w:sz="0" w:space="0" w:color="auto"/>
        <w:bottom w:val="none" w:sz="0" w:space="0" w:color="auto"/>
        <w:right w:val="none" w:sz="0" w:space="0" w:color="auto"/>
      </w:divBdr>
    </w:div>
    <w:div w:id="1012493311">
      <w:bodyDiv w:val="1"/>
      <w:marLeft w:val="0"/>
      <w:marRight w:val="0"/>
      <w:marTop w:val="0"/>
      <w:marBottom w:val="0"/>
      <w:divBdr>
        <w:top w:val="none" w:sz="0" w:space="0" w:color="auto"/>
        <w:left w:val="none" w:sz="0" w:space="0" w:color="auto"/>
        <w:bottom w:val="none" w:sz="0" w:space="0" w:color="auto"/>
        <w:right w:val="none" w:sz="0" w:space="0" w:color="auto"/>
      </w:divBdr>
    </w:div>
    <w:div w:id="1012610828">
      <w:bodyDiv w:val="1"/>
      <w:marLeft w:val="0"/>
      <w:marRight w:val="0"/>
      <w:marTop w:val="0"/>
      <w:marBottom w:val="0"/>
      <w:divBdr>
        <w:top w:val="none" w:sz="0" w:space="0" w:color="auto"/>
        <w:left w:val="none" w:sz="0" w:space="0" w:color="auto"/>
        <w:bottom w:val="none" w:sz="0" w:space="0" w:color="auto"/>
        <w:right w:val="none" w:sz="0" w:space="0" w:color="auto"/>
      </w:divBdr>
    </w:div>
    <w:div w:id="1012681900">
      <w:bodyDiv w:val="1"/>
      <w:marLeft w:val="0"/>
      <w:marRight w:val="0"/>
      <w:marTop w:val="0"/>
      <w:marBottom w:val="0"/>
      <w:divBdr>
        <w:top w:val="none" w:sz="0" w:space="0" w:color="auto"/>
        <w:left w:val="none" w:sz="0" w:space="0" w:color="auto"/>
        <w:bottom w:val="none" w:sz="0" w:space="0" w:color="auto"/>
        <w:right w:val="none" w:sz="0" w:space="0" w:color="auto"/>
      </w:divBdr>
    </w:div>
    <w:div w:id="1012686233">
      <w:bodyDiv w:val="1"/>
      <w:marLeft w:val="0"/>
      <w:marRight w:val="0"/>
      <w:marTop w:val="0"/>
      <w:marBottom w:val="0"/>
      <w:divBdr>
        <w:top w:val="none" w:sz="0" w:space="0" w:color="auto"/>
        <w:left w:val="none" w:sz="0" w:space="0" w:color="auto"/>
        <w:bottom w:val="none" w:sz="0" w:space="0" w:color="auto"/>
        <w:right w:val="none" w:sz="0" w:space="0" w:color="auto"/>
      </w:divBdr>
    </w:div>
    <w:div w:id="1012797463">
      <w:bodyDiv w:val="1"/>
      <w:marLeft w:val="0"/>
      <w:marRight w:val="0"/>
      <w:marTop w:val="0"/>
      <w:marBottom w:val="0"/>
      <w:divBdr>
        <w:top w:val="none" w:sz="0" w:space="0" w:color="auto"/>
        <w:left w:val="none" w:sz="0" w:space="0" w:color="auto"/>
        <w:bottom w:val="none" w:sz="0" w:space="0" w:color="auto"/>
        <w:right w:val="none" w:sz="0" w:space="0" w:color="auto"/>
      </w:divBdr>
    </w:div>
    <w:div w:id="1012873006">
      <w:bodyDiv w:val="1"/>
      <w:marLeft w:val="0"/>
      <w:marRight w:val="0"/>
      <w:marTop w:val="0"/>
      <w:marBottom w:val="0"/>
      <w:divBdr>
        <w:top w:val="none" w:sz="0" w:space="0" w:color="auto"/>
        <w:left w:val="none" w:sz="0" w:space="0" w:color="auto"/>
        <w:bottom w:val="none" w:sz="0" w:space="0" w:color="auto"/>
        <w:right w:val="none" w:sz="0" w:space="0" w:color="auto"/>
      </w:divBdr>
    </w:div>
    <w:div w:id="1012949562">
      <w:bodyDiv w:val="1"/>
      <w:marLeft w:val="0"/>
      <w:marRight w:val="0"/>
      <w:marTop w:val="0"/>
      <w:marBottom w:val="0"/>
      <w:divBdr>
        <w:top w:val="none" w:sz="0" w:space="0" w:color="auto"/>
        <w:left w:val="none" w:sz="0" w:space="0" w:color="auto"/>
        <w:bottom w:val="none" w:sz="0" w:space="0" w:color="auto"/>
        <w:right w:val="none" w:sz="0" w:space="0" w:color="auto"/>
      </w:divBdr>
    </w:div>
    <w:div w:id="1012996575">
      <w:bodyDiv w:val="1"/>
      <w:marLeft w:val="0"/>
      <w:marRight w:val="0"/>
      <w:marTop w:val="0"/>
      <w:marBottom w:val="0"/>
      <w:divBdr>
        <w:top w:val="none" w:sz="0" w:space="0" w:color="auto"/>
        <w:left w:val="none" w:sz="0" w:space="0" w:color="auto"/>
        <w:bottom w:val="none" w:sz="0" w:space="0" w:color="auto"/>
        <w:right w:val="none" w:sz="0" w:space="0" w:color="auto"/>
      </w:divBdr>
    </w:div>
    <w:div w:id="1012999206">
      <w:bodyDiv w:val="1"/>
      <w:marLeft w:val="0"/>
      <w:marRight w:val="0"/>
      <w:marTop w:val="0"/>
      <w:marBottom w:val="0"/>
      <w:divBdr>
        <w:top w:val="none" w:sz="0" w:space="0" w:color="auto"/>
        <w:left w:val="none" w:sz="0" w:space="0" w:color="auto"/>
        <w:bottom w:val="none" w:sz="0" w:space="0" w:color="auto"/>
        <w:right w:val="none" w:sz="0" w:space="0" w:color="auto"/>
      </w:divBdr>
    </w:div>
    <w:div w:id="1013147568">
      <w:bodyDiv w:val="1"/>
      <w:marLeft w:val="0"/>
      <w:marRight w:val="0"/>
      <w:marTop w:val="0"/>
      <w:marBottom w:val="0"/>
      <w:divBdr>
        <w:top w:val="none" w:sz="0" w:space="0" w:color="auto"/>
        <w:left w:val="none" w:sz="0" w:space="0" w:color="auto"/>
        <w:bottom w:val="none" w:sz="0" w:space="0" w:color="auto"/>
        <w:right w:val="none" w:sz="0" w:space="0" w:color="auto"/>
      </w:divBdr>
    </w:div>
    <w:div w:id="1013189148">
      <w:bodyDiv w:val="1"/>
      <w:marLeft w:val="0"/>
      <w:marRight w:val="0"/>
      <w:marTop w:val="0"/>
      <w:marBottom w:val="0"/>
      <w:divBdr>
        <w:top w:val="none" w:sz="0" w:space="0" w:color="auto"/>
        <w:left w:val="none" w:sz="0" w:space="0" w:color="auto"/>
        <w:bottom w:val="none" w:sz="0" w:space="0" w:color="auto"/>
        <w:right w:val="none" w:sz="0" w:space="0" w:color="auto"/>
      </w:divBdr>
    </w:div>
    <w:div w:id="1013532026">
      <w:bodyDiv w:val="1"/>
      <w:marLeft w:val="0"/>
      <w:marRight w:val="0"/>
      <w:marTop w:val="0"/>
      <w:marBottom w:val="0"/>
      <w:divBdr>
        <w:top w:val="none" w:sz="0" w:space="0" w:color="auto"/>
        <w:left w:val="none" w:sz="0" w:space="0" w:color="auto"/>
        <w:bottom w:val="none" w:sz="0" w:space="0" w:color="auto"/>
        <w:right w:val="none" w:sz="0" w:space="0" w:color="auto"/>
      </w:divBdr>
    </w:div>
    <w:div w:id="1013609234">
      <w:bodyDiv w:val="1"/>
      <w:marLeft w:val="0"/>
      <w:marRight w:val="0"/>
      <w:marTop w:val="0"/>
      <w:marBottom w:val="0"/>
      <w:divBdr>
        <w:top w:val="none" w:sz="0" w:space="0" w:color="auto"/>
        <w:left w:val="none" w:sz="0" w:space="0" w:color="auto"/>
        <w:bottom w:val="none" w:sz="0" w:space="0" w:color="auto"/>
        <w:right w:val="none" w:sz="0" w:space="0" w:color="auto"/>
      </w:divBdr>
    </w:div>
    <w:div w:id="1013798450">
      <w:bodyDiv w:val="1"/>
      <w:marLeft w:val="0"/>
      <w:marRight w:val="0"/>
      <w:marTop w:val="0"/>
      <w:marBottom w:val="0"/>
      <w:divBdr>
        <w:top w:val="none" w:sz="0" w:space="0" w:color="auto"/>
        <w:left w:val="none" w:sz="0" w:space="0" w:color="auto"/>
        <w:bottom w:val="none" w:sz="0" w:space="0" w:color="auto"/>
        <w:right w:val="none" w:sz="0" w:space="0" w:color="auto"/>
      </w:divBdr>
    </w:div>
    <w:div w:id="1013800541">
      <w:bodyDiv w:val="1"/>
      <w:marLeft w:val="0"/>
      <w:marRight w:val="0"/>
      <w:marTop w:val="0"/>
      <w:marBottom w:val="0"/>
      <w:divBdr>
        <w:top w:val="none" w:sz="0" w:space="0" w:color="auto"/>
        <w:left w:val="none" w:sz="0" w:space="0" w:color="auto"/>
        <w:bottom w:val="none" w:sz="0" w:space="0" w:color="auto"/>
        <w:right w:val="none" w:sz="0" w:space="0" w:color="auto"/>
      </w:divBdr>
    </w:div>
    <w:div w:id="1014039861">
      <w:bodyDiv w:val="1"/>
      <w:marLeft w:val="0"/>
      <w:marRight w:val="0"/>
      <w:marTop w:val="0"/>
      <w:marBottom w:val="0"/>
      <w:divBdr>
        <w:top w:val="none" w:sz="0" w:space="0" w:color="auto"/>
        <w:left w:val="none" w:sz="0" w:space="0" w:color="auto"/>
        <w:bottom w:val="none" w:sz="0" w:space="0" w:color="auto"/>
        <w:right w:val="none" w:sz="0" w:space="0" w:color="auto"/>
      </w:divBdr>
    </w:div>
    <w:div w:id="1014040241">
      <w:bodyDiv w:val="1"/>
      <w:marLeft w:val="0"/>
      <w:marRight w:val="0"/>
      <w:marTop w:val="0"/>
      <w:marBottom w:val="0"/>
      <w:divBdr>
        <w:top w:val="none" w:sz="0" w:space="0" w:color="auto"/>
        <w:left w:val="none" w:sz="0" w:space="0" w:color="auto"/>
        <w:bottom w:val="none" w:sz="0" w:space="0" w:color="auto"/>
        <w:right w:val="none" w:sz="0" w:space="0" w:color="auto"/>
      </w:divBdr>
    </w:div>
    <w:div w:id="1014184666">
      <w:bodyDiv w:val="1"/>
      <w:marLeft w:val="0"/>
      <w:marRight w:val="0"/>
      <w:marTop w:val="0"/>
      <w:marBottom w:val="0"/>
      <w:divBdr>
        <w:top w:val="none" w:sz="0" w:space="0" w:color="auto"/>
        <w:left w:val="none" w:sz="0" w:space="0" w:color="auto"/>
        <w:bottom w:val="none" w:sz="0" w:space="0" w:color="auto"/>
        <w:right w:val="none" w:sz="0" w:space="0" w:color="auto"/>
      </w:divBdr>
    </w:div>
    <w:div w:id="1014185522">
      <w:bodyDiv w:val="1"/>
      <w:marLeft w:val="0"/>
      <w:marRight w:val="0"/>
      <w:marTop w:val="0"/>
      <w:marBottom w:val="0"/>
      <w:divBdr>
        <w:top w:val="none" w:sz="0" w:space="0" w:color="auto"/>
        <w:left w:val="none" w:sz="0" w:space="0" w:color="auto"/>
        <w:bottom w:val="none" w:sz="0" w:space="0" w:color="auto"/>
        <w:right w:val="none" w:sz="0" w:space="0" w:color="auto"/>
      </w:divBdr>
    </w:div>
    <w:div w:id="1014191444">
      <w:bodyDiv w:val="1"/>
      <w:marLeft w:val="0"/>
      <w:marRight w:val="0"/>
      <w:marTop w:val="0"/>
      <w:marBottom w:val="0"/>
      <w:divBdr>
        <w:top w:val="none" w:sz="0" w:space="0" w:color="auto"/>
        <w:left w:val="none" w:sz="0" w:space="0" w:color="auto"/>
        <w:bottom w:val="none" w:sz="0" w:space="0" w:color="auto"/>
        <w:right w:val="none" w:sz="0" w:space="0" w:color="auto"/>
      </w:divBdr>
    </w:div>
    <w:div w:id="1014260083">
      <w:bodyDiv w:val="1"/>
      <w:marLeft w:val="0"/>
      <w:marRight w:val="0"/>
      <w:marTop w:val="0"/>
      <w:marBottom w:val="0"/>
      <w:divBdr>
        <w:top w:val="none" w:sz="0" w:space="0" w:color="auto"/>
        <w:left w:val="none" w:sz="0" w:space="0" w:color="auto"/>
        <w:bottom w:val="none" w:sz="0" w:space="0" w:color="auto"/>
        <w:right w:val="none" w:sz="0" w:space="0" w:color="auto"/>
      </w:divBdr>
    </w:div>
    <w:div w:id="1014301831">
      <w:bodyDiv w:val="1"/>
      <w:marLeft w:val="0"/>
      <w:marRight w:val="0"/>
      <w:marTop w:val="0"/>
      <w:marBottom w:val="0"/>
      <w:divBdr>
        <w:top w:val="none" w:sz="0" w:space="0" w:color="auto"/>
        <w:left w:val="none" w:sz="0" w:space="0" w:color="auto"/>
        <w:bottom w:val="none" w:sz="0" w:space="0" w:color="auto"/>
        <w:right w:val="none" w:sz="0" w:space="0" w:color="auto"/>
      </w:divBdr>
    </w:div>
    <w:div w:id="1014575941">
      <w:bodyDiv w:val="1"/>
      <w:marLeft w:val="0"/>
      <w:marRight w:val="0"/>
      <w:marTop w:val="0"/>
      <w:marBottom w:val="0"/>
      <w:divBdr>
        <w:top w:val="none" w:sz="0" w:space="0" w:color="auto"/>
        <w:left w:val="none" w:sz="0" w:space="0" w:color="auto"/>
        <w:bottom w:val="none" w:sz="0" w:space="0" w:color="auto"/>
        <w:right w:val="none" w:sz="0" w:space="0" w:color="auto"/>
      </w:divBdr>
    </w:div>
    <w:div w:id="1014695226">
      <w:bodyDiv w:val="1"/>
      <w:marLeft w:val="0"/>
      <w:marRight w:val="0"/>
      <w:marTop w:val="0"/>
      <w:marBottom w:val="0"/>
      <w:divBdr>
        <w:top w:val="none" w:sz="0" w:space="0" w:color="auto"/>
        <w:left w:val="none" w:sz="0" w:space="0" w:color="auto"/>
        <w:bottom w:val="none" w:sz="0" w:space="0" w:color="auto"/>
        <w:right w:val="none" w:sz="0" w:space="0" w:color="auto"/>
      </w:divBdr>
    </w:div>
    <w:div w:id="1014963209">
      <w:bodyDiv w:val="1"/>
      <w:marLeft w:val="0"/>
      <w:marRight w:val="0"/>
      <w:marTop w:val="0"/>
      <w:marBottom w:val="0"/>
      <w:divBdr>
        <w:top w:val="none" w:sz="0" w:space="0" w:color="auto"/>
        <w:left w:val="none" w:sz="0" w:space="0" w:color="auto"/>
        <w:bottom w:val="none" w:sz="0" w:space="0" w:color="auto"/>
        <w:right w:val="none" w:sz="0" w:space="0" w:color="auto"/>
      </w:divBdr>
    </w:div>
    <w:div w:id="1015041414">
      <w:bodyDiv w:val="1"/>
      <w:marLeft w:val="0"/>
      <w:marRight w:val="0"/>
      <w:marTop w:val="0"/>
      <w:marBottom w:val="0"/>
      <w:divBdr>
        <w:top w:val="none" w:sz="0" w:space="0" w:color="auto"/>
        <w:left w:val="none" w:sz="0" w:space="0" w:color="auto"/>
        <w:bottom w:val="none" w:sz="0" w:space="0" w:color="auto"/>
        <w:right w:val="none" w:sz="0" w:space="0" w:color="auto"/>
      </w:divBdr>
    </w:div>
    <w:div w:id="1015108668">
      <w:bodyDiv w:val="1"/>
      <w:marLeft w:val="0"/>
      <w:marRight w:val="0"/>
      <w:marTop w:val="0"/>
      <w:marBottom w:val="0"/>
      <w:divBdr>
        <w:top w:val="none" w:sz="0" w:space="0" w:color="auto"/>
        <w:left w:val="none" w:sz="0" w:space="0" w:color="auto"/>
        <w:bottom w:val="none" w:sz="0" w:space="0" w:color="auto"/>
        <w:right w:val="none" w:sz="0" w:space="0" w:color="auto"/>
      </w:divBdr>
    </w:div>
    <w:div w:id="1015154359">
      <w:bodyDiv w:val="1"/>
      <w:marLeft w:val="0"/>
      <w:marRight w:val="0"/>
      <w:marTop w:val="0"/>
      <w:marBottom w:val="0"/>
      <w:divBdr>
        <w:top w:val="none" w:sz="0" w:space="0" w:color="auto"/>
        <w:left w:val="none" w:sz="0" w:space="0" w:color="auto"/>
        <w:bottom w:val="none" w:sz="0" w:space="0" w:color="auto"/>
        <w:right w:val="none" w:sz="0" w:space="0" w:color="auto"/>
      </w:divBdr>
    </w:div>
    <w:div w:id="1015231793">
      <w:bodyDiv w:val="1"/>
      <w:marLeft w:val="0"/>
      <w:marRight w:val="0"/>
      <w:marTop w:val="0"/>
      <w:marBottom w:val="0"/>
      <w:divBdr>
        <w:top w:val="none" w:sz="0" w:space="0" w:color="auto"/>
        <w:left w:val="none" w:sz="0" w:space="0" w:color="auto"/>
        <w:bottom w:val="none" w:sz="0" w:space="0" w:color="auto"/>
        <w:right w:val="none" w:sz="0" w:space="0" w:color="auto"/>
      </w:divBdr>
    </w:div>
    <w:div w:id="1015377958">
      <w:bodyDiv w:val="1"/>
      <w:marLeft w:val="0"/>
      <w:marRight w:val="0"/>
      <w:marTop w:val="0"/>
      <w:marBottom w:val="0"/>
      <w:divBdr>
        <w:top w:val="none" w:sz="0" w:space="0" w:color="auto"/>
        <w:left w:val="none" w:sz="0" w:space="0" w:color="auto"/>
        <w:bottom w:val="none" w:sz="0" w:space="0" w:color="auto"/>
        <w:right w:val="none" w:sz="0" w:space="0" w:color="auto"/>
      </w:divBdr>
    </w:div>
    <w:div w:id="1015424299">
      <w:bodyDiv w:val="1"/>
      <w:marLeft w:val="0"/>
      <w:marRight w:val="0"/>
      <w:marTop w:val="0"/>
      <w:marBottom w:val="0"/>
      <w:divBdr>
        <w:top w:val="none" w:sz="0" w:space="0" w:color="auto"/>
        <w:left w:val="none" w:sz="0" w:space="0" w:color="auto"/>
        <w:bottom w:val="none" w:sz="0" w:space="0" w:color="auto"/>
        <w:right w:val="none" w:sz="0" w:space="0" w:color="auto"/>
      </w:divBdr>
    </w:div>
    <w:div w:id="1015502684">
      <w:bodyDiv w:val="1"/>
      <w:marLeft w:val="0"/>
      <w:marRight w:val="0"/>
      <w:marTop w:val="0"/>
      <w:marBottom w:val="0"/>
      <w:divBdr>
        <w:top w:val="none" w:sz="0" w:space="0" w:color="auto"/>
        <w:left w:val="none" w:sz="0" w:space="0" w:color="auto"/>
        <w:bottom w:val="none" w:sz="0" w:space="0" w:color="auto"/>
        <w:right w:val="none" w:sz="0" w:space="0" w:color="auto"/>
      </w:divBdr>
    </w:div>
    <w:div w:id="1015503267">
      <w:bodyDiv w:val="1"/>
      <w:marLeft w:val="0"/>
      <w:marRight w:val="0"/>
      <w:marTop w:val="0"/>
      <w:marBottom w:val="0"/>
      <w:divBdr>
        <w:top w:val="none" w:sz="0" w:space="0" w:color="auto"/>
        <w:left w:val="none" w:sz="0" w:space="0" w:color="auto"/>
        <w:bottom w:val="none" w:sz="0" w:space="0" w:color="auto"/>
        <w:right w:val="none" w:sz="0" w:space="0" w:color="auto"/>
      </w:divBdr>
    </w:div>
    <w:div w:id="1015572853">
      <w:bodyDiv w:val="1"/>
      <w:marLeft w:val="0"/>
      <w:marRight w:val="0"/>
      <w:marTop w:val="0"/>
      <w:marBottom w:val="0"/>
      <w:divBdr>
        <w:top w:val="none" w:sz="0" w:space="0" w:color="auto"/>
        <w:left w:val="none" w:sz="0" w:space="0" w:color="auto"/>
        <w:bottom w:val="none" w:sz="0" w:space="0" w:color="auto"/>
        <w:right w:val="none" w:sz="0" w:space="0" w:color="auto"/>
      </w:divBdr>
    </w:div>
    <w:div w:id="1015619538">
      <w:bodyDiv w:val="1"/>
      <w:marLeft w:val="0"/>
      <w:marRight w:val="0"/>
      <w:marTop w:val="0"/>
      <w:marBottom w:val="0"/>
      <w:divBdr>
        <w:top w:val="none" w:sz="0" w:space="0" w:color="auto"/>
        <w:left w:val="none" w:sz="0" w:space="0" w:color="auto"/>
        <w:bottom w:val="none" w:sz="0" w:space="0" w:color="auto"/>
        <w:right w:val="none" w:sz="0" w:space="0" w:color="auto"/>
      </w:divBdr>
    </w:div>
    <w:div w:id="1015695583">
      <w:bodyDiv w:val="1"/>
      <w:marLeft w:val="0"/>
      <w:marRight w:val="0"/>
      <w:marTop w:val="0"/>
      <w:marBottom w:val="0"/>
      <w:divBdr>
        <w:top w:val="none" w:sz="0" w:space="0" w:color="auto"/>
        <w:left w:val="none" w:sz="0" w:space="0" w:color="auto"/>
        <w:bottom w:val="none" w:sz="0" w:space="0" w:color="auto"/>
        <w:right w:val="none" w:sz="0" w:space="0" w:color="auto"/>
      </w:divBdr>
    </w:div>
    <w:div w:id="1015813527">
      <w:bodyDiv w:val="1"/>
      <w:marLeft w:val="0"/>
      <w:marRight w:val="0"/>
      <w:marTop w:val="0"/>
      <w:marBottom w:val="0"/>
      <w:divBdr>
        <w:top w:val="none" w:sz="0" w:space="0" w:color="auto"/>
        <w:left w:val="none" w:sz="0" w:space="0" w:color="auto"/>
        <w:bottom w:val="none" w:sz="0" w:space="0" w:color="auto"/>
        <w:right w:val="none" w:sz="0" w:space="0" w:color="auto"/>
      </w:divBdr>
    </w:div>
    <w:div w:id="1015883565">
      <w:bodyDiv w:val="1"/>
      <w:marLeft w:val="0"/>
      <w:marRight w:val="0"/>
      <w:marTop w:val="0"/>
      <w:marBottom w:val="0"/>
      <w:divBdr>
        <w:top w:val="none" w:sz="0" w:space="0" w:color="auto"/>
        <w:left w:val="none" w:sz="0" w:space="0" w:color="auto"/>
        <w:bottom w:val="none" w:sz="0" w:space="0" w:color="auto"/>
        <w:right w:val="none" w:sz="0" w:space="0" w:color="auto"/>
      </w:divBdr>
    </w:div>
    <w:div w:id="1015888032">
      <w:bodyDiv w:val="1"/>
      <w:marLeft w:val="0"/>
      <w:marRight w:val="0"/>
      <w:marTop w:val="0"/>
      <w:marBottom w:val="0"/>
      <w:divBdr>
        <w:top w:val="none" w:sz="0" w:space="0" w:color="auto"/>
        <w:left w:val="none" w:sz="0" w:space="0" w:color="auto"/>
        <w:bottom w:val="none" w:sz="0" w:space="0" w:color="auto"/>
        <w:right w:val="none" w:sz="0" w:space="0" w:color="auto"/>
      </w:divBdr>
    </w:div>
    <w:div w:id="1015958339">
      <w:bodyDiv w:val="1"/>
      <w:marLeft w:val="0"/>
      <w:marRight w:val="0"/>
      <w:marTop w:val="0"/>
      <w:marBottom w:val="0"/>
      <w:divBdr>
        <w:top w:val="none" w:sz="0" w:space="0" w:color="auto"/>
        <w:left w:val="none" w:sz="0" w:space="0" w:color="auto"/>
        <w:bottom w:val="none" w:sz="0" w:space="0" w:color="auto"/>
        <w:right w:val="none" w:sz="0" w:space="0" w:color="auto"/>
      </w:divBdr>
    </w:div>
    <w:div w:id="1016078999">
      <w:bodyDiv w:val="1"/>
      <w:marLeft w:val="0"/>
      <w:marRight w:val="0"/>
      <w:marTop w:val="0"/>
      <w:marBottom w:val="0"/>
      <w:divBdr>
        <w:top w:val="none" w:sz="0" w:space="0" w:color="auto"/>
        <w:left w:val="none" w:sz="0" w:space="0" w:color="auto"/>
        <w:bottom w:val="none" w:sz="0" w:space="0" w:color="auto"/>
        <w:right w:val="none" w:sz="0" w:space="0" w:color="auto"/>
      </w:divBdr>
    </w:div>
    <w:div w:id="1016276151">
      <w:bodyDiv w:val="1"/>
      <w:marLeft w:val="0"/>
      <w:marRight w:val="0"/>
      <w:marTop w:val="0"/>
      <w:marBottom w:val="0"/>
      <w:divBdr>
        <w:top w:val="none" w:sz="0" w:space="0" w:color="auto"/>
        <w:left w:val="none" w:sz="0" w:space="0" w:color="auto"/>
        <w:bottom w:val="none" w:sz="0" w:space="0" w:color="auto"/>
        <w:right w:val="none" w:sz="0" w:space="0" w:color="auto"/>
      </w:divBdr>
    </w:div>
    <w:div w:id="1016352052">
      <w:bodyDiv w:val="1"/>
      <w:marLeft w:val="0"/>
      <w:marRight w:val="0"/>
      <w:marTop w:val="0"/>
      <w:marBottom w:val="0"/>
      <w:divBdr>
        <w:top w:val="none" w:sz="0" w:space="0" w:color="auto"/>
        <w:left w:val="none" w:sz="0" w:space="0" w:color="auto"/>
        <w:bottom w:val="none" w:sz="0" w:space="0" w:color="auto"/>
        <w:right w:val="none" w:sz="0" w:space="0" w:color="auto"/>
      </w:divBdr>
    </w:div>
    <w:div w:id="1016493324">
      <w:bodyDiv w:val="1"/>
      <w:marLeft w:val="0"/>
      <w:marRight w:val="0"/>
      <w:marTop w:val="0"/>
      <w:marBottom w:val="0"/>
      <w:divBdr>
        <w:top w:val="none" w:sz="0" w:space="0" w:color="auto"/>
        <w:left w:val="none" w:sz="0" w:space="0" w:color="auto"/>
        <w:bottom w:val="none" w:sz="0" w:space="0" w:color="auto"/>
        <w:right w:val="none" w:sz="0" w:space="0" w:color="auto"/>
      </w:divBdr>
    </w:div>
    <w:div w:id="1016494629">
      <w:bodyDiv w:val="1"/>
      <w:marLeft w:val="0"/>
      <w:marRight w:val="0"/>
      <w:marTop w:val="0"/>
      <w:marBottom w:val="0"/>
      <w:divBdr>
        <w:top w:val="none" w:sz="0" w:space="0" w:color="auto"/>
        <w:left w:val="none" w:sz="0" w:space="0" w:color="auto"/>
        <w:bottom w:val="none" w:sz="0" w:space="0" w:color="auto"/>
        <w:right w:val="none" w:sz="0" w:space="0" w:color="auto"/>
      </w:divBdr>
    </w:div>
    <w:div w:id="1016495015">
      <w:bodyDiv w:val="1"/>
      <w:marLeft w:val="0"/>
      <w:marRight w:val="0"/>
      <w:marTop w:val="0"/>
      <w:marBottom w:val="0"/>
      <w:divBdr>
        <w:top w:val="none" w:sz="0" w:space="0" w:color="auto"/>
        <w:left w:val="none" w:sz="0" w:space="0" w:color="auto"/>
        <w:bottom w:val="none" w:sz="0" w:space="0" w:color="auto"/>
        <w:right w:val="none" w:sz="0" w:space="0" w:color="auto"/>
      </w:divBdr>
    </w:div>
    <w:div w:id="1016495246">
      <w:bodyDiv w:val="1"/>
      <w:marLeft w:val="0"/>
      <w:marRight w:val="0"/>
      <w:marTop w:val="0"/>
      <w:marBottom w:val="0"/>
      <w:divBdr>
        <w:top w:val="none" w:sz="0" w:space="0" w:color="auto"/>
        <w:left w:val="none" w:sz="0" w:space="0" w:color="auto"/>
        <w:bottom w:val="none" w:sz="0" w:space="0" w:color="auto"/>
        <w:right w:val="none" w:sz="0" w:space="0" w:color="auto"/>
      </w:divBdr>
    </w:div>
    <w:div w:id="1016536533">
      <w:bodyDiv w:val="1"/>
      <w:marLeft w:val="0"/>
      <w:marRight w:val="0"/>
      <w:marTop w:val="0"/>
      <w:marBottom w:val="0"/>
      <w:divBdr>
        <w:top w:val="none" w:sz="0" w:space="0" w:color="auto"/>
        <w:left w:val="none" w:sz="0" w:space="0" w:color="auto"/>
        <w:bottom w:val="none" w:sz="0" w:space="0" w:color="auto"/>
        <w:right w:val="none" w:sz="0" w:space="0" w:color="auto"/>
      </w:divBdr>
    </w:div>
    <w:div w:id="1016613218">
      <w:bodyDiv w:val="1"/>
      <w:marLeft w:val="0"/>
      <w:marRight w:val="0"/>
      <w:marTop w:val="0"/>
      <w:marBottom w:val="0"/>
      <w:divBdr>
        <w:top w:val="none" w:sz="0" w:space="0" w:color="auto"/>
        <w:left w:val="none" w:sz="0" w:space="0" w:color="auto"/>
        <w:bottom w:val="none" w:sz="0" w:space="0" w:color="auto"/>
        <w:right w:val="none" w:sz="0" w:space="0" w:color="auto"/>
      </w:divBdr>
    </w:div>
    <w:div w:id="1016620282">
      <w:bodyDiv w:val="1"/>
      <w:marLeft w:val="0"/>
      <w:marRight w:val="0"/>
      <w:marTop w:val="0"/>
      <w:marBottom w:val="0"/>
      <w:divBdr>
        <w:top w:val="none" w:sz="0" w:space="0" w:color="auto"/>
        <w:left w:val="none" w:sz="0" w:space="0" w:color="auto"/>
        <w:bottom w:val="none" w:sz="0" w:space="0" w:color="auto"/>
        <w:right w:val="none" w:sz="0" w:space="0" w:color="auto"/>
      </w:divBdr>
    </w:div>
    <w:div w:id="1016730599">
      <w:bodyDiv w:val="1"/>
      <w:marLeft w:val="0"/>
      <w:marRight w:val="0"/>
      <w:marTop w:val="0"/>
      <w:marBottom w:val="0"/>
      <w:divBdr>
        <w:top w:val="none" w:sz="0" w:space="0" w:color="auto"/>
        <w:left w:val="none" w:sz="0" w:space="0" w:color="auto"/>
        <w:bottom w:val="none" w:sz="0" w:space="0" w:color="auto"/>
        <w:right w:val="none" w:sz="0" w:space="0" w:color="auto"/>
      </w:divBdr>
    </w:div>
    <w:div w:id="1016734586">
      <w:bodyDiv w:val="1"/>
      <w:marLeft w:val="0"/>
      <w:marRight w:val="0"/>
      <w:marTop w:val="0"/>
      <w:marBottom w:val="0"/>
      <w:divBdr>
        <w:top w:val="none" w:sz="0" w:space="0" w:color="auto"/>
        <w:left w:val="none" w:sz="0" w:space="0" w:color="auto"/>
        <w:bottom w:val="none" w:sz="0" w:space="0" w:color="auto"/>
        <w:right w:val="none" w:sz="0" w:space="0" w:color="auto"/>
      </w:divBdr>
    </w:div>
    <w:div w:id="1016804718">
      <w:bodyDiv w:val="1"/>
      <w:marLeft w:val="0"/>
      <w:marRight w:val="0"/>
      <w:marTop w:val="0"/>
      <w:marBottom w:val="0"/>
      <w:divBdr>
        <w:top w:val="none" w:sz="0" w:space="0" w:color="auto"/>
        <w:left w:val="none" w:sz="0" w:space="0" w:color="auto"/>
        <w:bottom w:val="none" w:sz="0" w:space="0" w:color="auto"/>
        <w:right w:val="none" w:sz="0" w:space="0" w:color="auto"/>
      </w:divBdr>
    </w:div>
    <w:div w:id="1016805184">
      <w:bodyDiv w:val="1"/>
      <w:marLeft w:val="0"/>
      <w:marRight w:val="0"/>
      <w:marTop w:val="0"/>
      <w:marBottom w:val="0"/>
      <w:divBdr>
        <w:top w:val="none" w:sz="0" w:space="0" w:color="auto"/>
        <w:left w:val="none" w:sz="0" w:space="0" w:color="auto"/>
        <w:bottom w:val="none" w:sz="0" w:space="0" w:color="auto"/>
        <w:right w:val="none" w:sz="0" w:space="0" w:color="auto"/>
      </w:divBdr>
    </w:div>
    <w:div w:id="1016886061">
      <w:bodyDiv w:val="1"/>
      <w:marLeft w:val="0"/>
      <w:marRight w:val="0"/>
      <w:marTop w:val="0"/>
      <w:marBottom w:val="0"/>
      <w:divBdr>
        <w:top w:val="none" w:sz="0" w:space="0" w:color="auto"/>
        <w:left w:val="none" w:sz="0" w:space="0" w:color="auto"/>
        <w:bottom w:val="none" w:sz="0" w:space="0" w:color="auto"/>
        <w:right w:val="none" w:sz="0" w:space="0" w:color="auto"/>
      </w:divBdr>
    </w:div>
    <w:div w:id="1016926551">
      <w:bodyDiv w:val="1"/>
      <w:marLeft w:val="0"/>
      <w:marRight w:val="0"/>
      <w:marTop w:val="0"/>
      <w:marBottom w:val="0"/>
      <w:divBdr>
        <w:top w:val="none" w:sz="0" w:space="0" w:color="auto"/>
        <w:left w:val="none" w:sz="0" w:space="0" w:color="auto"/>
        <w:bottom w:val="none" w:sz="0" w:space="0" w:color="auto"/>
        <w:right w:val="none" w:sz="0" w:space="0" w:color="auto"/>
      </w:divBdr>
    </w:div>
    <w:div w:id="1017150532">
      <w:bodyDiv w:val="1"/>
      <w:marLeft w:val="0"/>
      <w:marRight w:val="0"/>
      <w:marTop w:val="0"/>
      <w:marBottom w:val="0"/>
      <w:divBdr>
        <w:top w:val="none" w:sz="0" w:space="0" w:color="auto"/>
        <w:left w:val="none" w:sz="0" w:space="0" w:color="auto"/>
        <w:bottom w:val="none" w:sz="0" w:space="0" w:color="auto"/>
        <w:right w:val="none" w:sz="0" w:space="0" w:color="auto"/>
      </w:divBdr>
    </w:div>
    <w:div w:id="1017266686">
      <w:bodyDiv w:val="1"/>
      <w:marLeft w:val="0"/>
      <w:marRight w:val="0"/>
      <w:marTop w:val="0"/>
      <w:marBottom w:val="0"/>
      <w:divBdr>
        <w:top w:val="none" w:sz="0" w:space="0" w:color="auto"/>
        <w:left w:val="none" w:sz="0" w:space="0" w:color="auto"/>
        <w:bottom w:val="none" w:sz="0" w:space="0" w:color="auto"/>
        <w:right w:val="none" w:sz="0" w:space="0" w:color="auto"/>
      </w:divBdr>
    </w:div>
    <w:div w:id="1017347556">
      <w:bodyDiv w:val="1"/>
      <w:marLeft w:val="0"/>
      <w:marRight w:val="0"/>
      <w:marTop w:val="0"/>
      <w:marBottom w:val="0"/>
      <w:divBdr>
        <w:top w:val="none" w:sz="0" w:space="0" w:color="auto"/>
        <w:left w:val="none" w:sz="0" w:space="0" w:color="auto"/>
        <w:bottom w:val="none" w:sz="0" w:space="0" w:color="auto"/>
        <w:right w:val="none" w:sz="0" w:space="0" w:color="auto"/>
      </w:divBdr>
    </w:div>
    <w:div w:id="1017388864">
      <w:bodyDiv w:val="1"/>
      <w:marLeft w:val="0"/>
      <w:marRight w:val="0"/>
      <w:marTop w:val="0"/>
      <w:marBottom w:val="0"/>
      <w:divBdr>
        <w:top w:val="none" w:sz="0" w:space="0" w:color="auto"/>
        <w:left w:val="none" w:sz="0" w:space="0" w:color="auto"/>
        <w:bottom w:val="none" w:sz="0" w:space="0" w:color="auto"/>
        <w:right w:val="none" w:sz="0" w:space="0" w:color="auto"/>
      </w:divBdr>
    </w:div>
    <w:div w:id="1017466108">
      <w:bodyDiv w:val="1"/>
      <w:marLeft w:val="0"/>
      <w:marRight w:val="0"/>
      <w:marTop w:val="0"/>
      <w:marBottom w:val="0"/>
      <w:divBdr>
        <w:top w:val="none" w:sz="0" w:space="0" w:color="auto"/>
        <w:left w:val="none" w:sz="0" w:space="0" w:color="auto"/>
        <w:bottom w:val="none" w:sz="0" w:space="0" w:color="auto"/>
        <w:right w:val="none" w:sz="0" w:space="0" w:color="auto"/>
      </w:divBdr>
    </w:div>
    <w:div w:id="1017468420">
      <w:bodyDiv w:val="1"/>
      <w:marLeft w:val="0"/>
      <w:marRight w:val="0"/>
      <w:marTop w:val="0"/>
      <w:marBottom w:val="0"/>
      <w:divBdr>
        <w:top w:val="none" w:sz="0" w:space="0" w:color="auto"/>
        <w:left w:val="none" w:sz="0" w:space="0" w:color="auto"/>
        <w:bottom w:val="none" w:sz="0" w:space="0" w:color="auto"/>
        <w:right w:val="none" w:sz="0" w:space="0" w:color="auto"/>
      </w:divBdr>
    </w:div>
    <w:div w:id="1017534956">
      <w:bodyDiv w:val="1"/>
      <w:marLeft w:val="0"/>
      <w:marRight w:val="0"/>
      <w:marTop w:val="0"/>
      <w:marBottom w:val="0"/>
      <w:divBdr>
        <w:top w:val="none" w:sz="0" w:space="0" w:color="auto"/>
        <w:left w:val="none" w:sz="0" w:space="0" w:color="auto"/>
        <w:bottom w:val="none" w:sz="0" w:space="0" w:color="auto"/>
        <w:right w:val="none" w:sz="0" w:space="0" w:color="auto"/>
      </w:divBdr>
    </w:div>
    <w:div w:id="1017578280">
      <w:bodyDiv w:val="1"/>
      <w:marLeft w:val="0"/>
      <w:marRight w:val="0"/>
      <w:marTop w:val="0"/>
      <w:marBottom w:val="0"/>
      <w:divBdr>
        <w:top w:val="none" w:sz="0" w:space="0" w:color="auto"/>
        <w:left w:val="none" w:sz="0" w:space="0" w:color="auto"/>
        <w:bottom w:val="none" w:sz="0" w:space="0" w:color="auto"/>
        <w:right w:val="none" w:sz="0" w:space="0" w:color="auto"/>
      </w:divBdr>
    </w:div>
    <w:div w:id="1017586875">
      <w:bodyDiv w:val="1"/>
      <w:marLeft w:val="0"/>
      <w:marRight w:val="0"/>
      <w:marTop w:val="0"/>
      <w:marBottom w:val="0"/>
      <w:divBdr>
        <w:top w:val="none" w:sz="0" w:space="0" w:color="auto"/>
        <w:left w:val="none" w:sz="0" w:space="0" w:color="auto"/>
        <w:bottom w:val="none" w:sz="0" w:space="0" w:color="auto"/>
        <w:right w:val="none" w:sz="0" w:space="0" w:color="auto"/>
      </w:divBdr>
    </w:div>
    <w:div w:id="1017729044">
      <w:bodyDiv w:val="1"/>
      <w:marLeft w:val="0"/>
      <w:marRight w:val="0"/>
      <w:marTop w:val="0"/>
      <w:marBottom w:val="0"/>
      <w:divBdr>
        <w:top w:val="none" w:sz="0" w:space="0" w:color="auto"/>
        <w:left w:val="none" w:sz="0" w:space="0" w:color="auto"/>
        <w:bottom w:val="none" w:sz="0" w:space="0" w:color="auto"/>
        <w:right w:val="none" w:sz="0" w:space="0" w:color="auto"/>
      </w:divBdr>
    </w:div>
    <w:div w:id="1017735064">
      <w:bodyDiv w:val="1"/>
      <w:marLeft w:val="0"/>
      <w:marRight w:val="0"/>
      <w:marTop w:val="0"/>
      <w:marBottom w:val="0"/>
      <w:divBdr>
        <w:top w:val="none" w:sz="0" w:space="0" w:color="auto"/>
        <w:left w:val="none" w:sz="0" w:space="0" w:color="auto"/>
        <w:bottom w:val="none" w:sz="0" w:space="0" w:color="auto"/>
        <w:right w:val="none" w:sz="0" w:space="0" w:color="auto"/>
      </w:divBdr>
    </w:div>
    <w:div w:id="1017774153">
      <w:bodyDiv w:val="1"/>
      <w:marLeft w:val="0"/>
      <w:marRight w:val="0"/>
      <w:marTop w:val="0"/>
      <w:marBottom w:val="0"/>
      <w:divBdr>
        <w:top w:val="none" w:sz="0" w:space="0" w:color="auto"/>
        <w:left w:val="none" w:sz="0" w:space="0" w:color="auto"/>
        <w:bottom w:val="none" w:sz="0" w:space="0" w:color="auto"/>
        <w:right w:val="none" w:sz="0" w:space="0" w:color="auto"/>
      </w:divBdr>
    </w:div>
    <w:div w:id="1017775268">
      <w:bodyDiv w:val="1"/>
      <w:marLeft w:val="0"/>
      <w:marRight w:val="0"/>
      <w:marTop w:val="0"/>
      <w:marBottom w:val="0"/>
      <w:divBdr>
        <w:top w:val="none" w:sz="0" w:space="0" w:color="auto"/>
        <w:left w:val="none" w:sz="0" w:space="0" w:color="auto"/>
        <w:bottom w:val="none" w:sz="0" w:space="0" w:color="auto"/>
        <w:right w:val="none" w:sz="0" w:space="0" w:color="auto"/>
      </w:divBdr>
    </w:div>
    <w:div w:id="1017778520">
      <w:bodyDiv w:val="1"/>
      <w:marLeft w:val="0"/>
      <w:marRight w:val="0"/>
      <w:marTop w:val="0"/>
      <w:marBottom w:val="0"/>
      <w:divBdr>
        <w:top w:val="none" w:sz="0" w:space="0" w:color="auto"/>
        <w:left w:val="none" w:sz="0" w:space="0" w:color="auto"/>
        <w:bottom w:val="none" w:sz="0" w:space="0" w:color="auto"/>
        <w:right w:val="none" w:sz="0" w:space="0" w:color="auto"/>
      </w:divBdr>
    </w:div>
    <w:div w:id="1017848699">
      <w:bodyDiv w:val="1"/>
      <w:marLeft w:val="0"/>
      <w:marRight w:val="0"/>
      <w:marTop w:val="0"/>
      <w:marBottom w:val="0"/>
      <w:divBdr>
        <w:top w:val="none" w:sz="0" w:space="0" w:color="auto"/>
        <w:left w:val="none" w:sz="0" w:space="0" w:color="auto"/>
        <w:bottom w:val="none" w:sz="0" w:space="0" w:color="auto"/>
        <w:right w:val="none" w:sz="0" w:space="0" w:color="auto"/>
      </w:divBdr>
    </w:div>
    <w:div w:id="1017848981">
      <w:bodyDiv w:val="1"/>
      <w:marLeft w:val="0"/>
      <w:marRight w:val="0"/>
      <w:marTop w:val="0"/>
      <w:marBottom w:val="0"/>
      <w:divBdr>
        <w:top w:val="none" w:sz="0" w:space="0" w:color="auto"/>
        <w:left w:val="none" w:sz="0" w:space="0" w:color="auto"/>
        <w:bottom w:val="none" w:sz="0" w:space="0" w:color="auto"/>
        <w:right w:val="none" w:sz="0" w:space="0" w:color="auto"/>
      </w:divBdr>
    </w:div>
    <w:div w:id="1017922712">
      <w:bodyDiv w:val="1"/>
      <w:marLeft w:val="0"/>
      <w:marRight w:val="0"/>
      <w:marTop w:val="0"/>
      <w:marBottom w:val="0"/>
      <w:divBdr>
        <w:top w:val="none" w:sz="0" w:space="0" w:color="auto"/>
        <w:left w:val="none" w:sz="0" w:space="0" w:color="auto"/>
        <w:bottom w:val="none" w:sz="0" w:space="0" w:color="auto"/>
        <w:right w:val="none" w:sz="0" w:space="0" w:color="auto"/>
      </w:divBdr>
    </w:div>
    <w:div w:id="1017971430">
      <w:bodyDiv w:val="1"/>
      <w:marLeft w:val="0"/>
      <w:marRight w:val="0"/>
      <w:marTop w:val="0"/>
      <w:marBottom w:val="0"/>
      <w:divBdr>
        <w:top w:val="none" w:sz="0" w:space="0" w:color="auto"/>
        <w:left w:val="none" w:sz="0" w:space="0" w:color="auto"/>
        <w:bottom w:val="none" w:sz="0" w:space="0" w:color="auto"/>
        <w:right w:val="none" w:sz="0" w:space="0" w:color="auto"/>
      </w:divBdr>
    </w:div>
    <w:div w:id="1017973272">
      <w:bodyDiv w:val="1"/>
      <w:marLeft w:val="0"/>
      <w:marRight w:val="0"/>
      <w:marTop w:val="0"/>
      <w:marBottom w:val="0"/>
      <w:divBdr>
        <w:top w:val="none" w:sz="0" w:space="0" w:color="auto"/>
        <w:left w:val="none" w:sz="0" w:space="0" w:color="auto"/>
        <w:bottom w:val="none" w:sz="0" w:space="0" w:color="auto"/>
        <w:right w:val="none" w:sz="0" w:space="0" w:color="auto"/>
      </w:divBdr>
    </w:div>
    <w:div w:id="1018194486">
      <w:bodyDiv w:val="1"/>
      <w:marLeft w:val="0"/>
      <w:marRight w:val="0"/>
      <w:marTop w:val="0"/>
      <w:marBottom w:val="0"/>
      <w:divBdr>
        <w:top w:val="none" w:sz="0" w:space="0" w:color="auto"/>
        <w:left w:val="none" w:sz="0" w:space="0" w:color="auto"/>
        <w:bottom w:val="none" w:sz="0" w:space="0" w:color="auto"/>
        <w:right w:val="none" w:sz="0" w:space="0" w:color="auto"/>
      </w:divBdr>
    </w:div>
    <w:div w:id="1018233274">
      <w:bodyDiv w:val="1"/>
      <w:marLeft w:val="0"/>
      <w:marRight w:val="0"/>
      <w:marTop w:val="0"/>
      <w:marBottom w:val="0"/>
      <w:divBdr>
        <w:top w:val="none" w:sz="0" w:space="0" w:color="auto"/>
        <w:left w:val="none" w:sz="0" w:space="0" w:color="auto"/>
        <w:bottom w:val="none" w:sz="0" w:space="0" w:color="auto"/>
        <w:right w:val="none" w:sz="0" w:space="0" w:color="auto"/>
      </w:divBdr>
    </w:div>
    <w:div w:id="1018317068">
      <w:bodyDiv w:val="1"/>
      <w:marLeft w:val="0"/>
      <w:marRight w:val="0"/>
      <w:marTop w:val="0"/>
      <w:marBottom w:val="0"/>
      <w:divBdr>
        <w:top w:val="none" w:sz="0" w:space="0" w:color="auto"/>
        <w:left w:val="none" w:sz="0" w:space="0" w:color="auto"/>
        <w:bottom w:val="none" w:sz="0" w:space="0" w:color="auto"/>
        <w:right w:val="none" w:sz="0" w:space="0" w:color="auto"/>
      </w:divBdr>
    </w:div>
    <w:div w:id="1018392201">
      <w:bodyDiv w:val="1"/>
      <w:marLeft w:val="0"/>
      <w:marRight w:val="0"/>
      <w:marTop w:val="0"/>
      <w:marBottom w:val="0"/>
      <w:divBdr>
        <w:top w:val="none" w:sz="0" w:space="0" w:color="auto"/>
        <w:left w:val="none" w:sz="0" w:space="0" w:color="auto"/>
        <w:bottom w:val="none" w:sz="0" w:space="0" w:color="auto"/>
        <w:right w:val="none" w:sz="0" w:space="0" w:color="auto"/>
      </w:divBdr>
    </w:div>
    <w:div w:id="1018509797">
      <w:bodyDiv w:val="1"/>
      <w:marLeft w:val="0"/>
      <w:marRight w:val="0"/>
      <w:marTop w:val="0"/>
      <w:marBottom w:val="0"/>
      <w:divBdr>
        <w:top w:val="none" w:sz="0" w:space="0" w:color="auto"/>
        <w:left w:val="none" w:sz="0" w:space="0" w:color="auto"/>
        <w:bottom w:val="none" w:sz="0" w:space="0" w:color="auto"/>
        <w:right w:val="none" w:sz="0" w:space="0" w:color="auto"/>
      </w:divBdr>
    </w:div>
    <w:div w:id="1018583924">
      <w:bodyDiv w:val="1"/>
      <w:marLeft w:val="0"/>
      <w:marRight w:val="0"/>
      <w:marTop w:val="0"/>
      <w:marBottom w:val="0"/>
      <w:divBdr>
        <w:top w:val="none" w:sz="0" w:space="0" w:color="auto"/>
        <w:left w:val="none" w:sz="0" w:space="0" w:color="auto"/>
        <w:bottom w:val="none" w:sz="0" w:space="0" w:color="auto"/>
        <w:right w:val="none" w:sz="0" w:space="0" w:color="auto"/>
      </w:divBdr>
    </w:div>
    <w:div w:id="1018628504">
      <w:bodyDiv w:val="1"/>
      <w:marLeft w:val="0"/>
      <w:marRight w:val="0"/>
      <w:marTop w:val="0"/>
      <w:marBottom w:val="0"/>
      <w:divBdr>
        <w:top w:val="none" w:sz="0" w:space="0" w:color="auto"/>
        <w:left w:val="none" w:sz="0" w:space="0" w:color="auto"/>
        <w:bottom w:val="none" w:sz="0" w:space="0" w:color="auto"/>
        <w:right w:val="none" w:sz="0" w:space="0" w:color="auto"/>
      </w:divBdr>
    </w:div>
    <w:div w:id="1018770812">
      <w:bodyDiv w:val="1"/>
      <w:marLeft w:val="0"/>
      <w:marRight w:val="0"/>
      <w:marTop w:val="0"/>
      <w:marBottom w:val="0"/>
      <w:divBdr>
        <w:top w:val="none" w:sz="0" w:space="0" w:color="auto"/>
        <w:left w:val="none" w:sz="0" w:space="0" w:color="auto"/>
        <w:bottom w:val="none" w:sz="0" w:space="0" w:color="auto"/>
        <w:right w:val="none" w:sz="0" w:space="0" w:color="auto"/>
      </w:divBdr>
    </w:div>
    <w:div w:id="1018774402">
      <w:bodyDiv w:val="1"/>
      <w:marLeft w:val="0"/>
      <w:marRight w:val="0"/>
      <w:marTop w:val="0"/>
      <w:marBottom w:val="0"/>
      <w:divBdr>
        <w:top w:val="none" w:sz="0" w:space="0" w:color="auto"/>
        <w:left w:val="none" w:sz="0" w:space="0" w:color="auto"/>
        <w:bottom w:val="none" w:sz="0" w:space="0" w:color="auto"/>
        <w:right w:val="none" w:sz="0" w:space="0" w:color="auto"/>
      </w:divBdr>
    </w:div>
    <w:div w:id="1018778197">
      <w:bodyDiv w:val="1"/>
      <w:marLeft w:val="0"/>
      <w:marRight w:val="0"/>
      <w:marTop w:val="0"/>
      <w:marBottom w:val="0"/>
      <w:divBdr>
        <w:top w:val="none" w:sz="0" w:space="0" w:color="auto"/>
        <w:left w:val="none" w:sz="0" w:space="0" w:color="auto"/>
        <w:bottom w:val="none" w:sz="0" w:space="0" w:color="auto"/>
        <w:right w:val="none" w:sz="0" w:space="0" w:color="auto"/>
      </w:divBdr>
    </w:div>
    <w:div w:id="1018972206">
      <w:bodyDiv w:val="1"/>
      <w:marLeft w:val="0"/>
      <w:marRight w:val="0"/>
      <w:marTop w:val="0"/>
      <w:marBottom w:val="0"/>
      <w:divBdr>
        <w:top w:val="none" w:sz="0" w:space="0" w:color="auto"/>
        <w:left w:val="none" w:sz="0" w:space="0" w:color="auto"/>
        <w:bottom w:val="none" w:sz="0" w:space="0" w:color="auto"/>
        <w:right w:val="none" w:sz="0" w:space="0" w:color="auto"/>
      </w:divBdr>
    </w:div>
    <w:div w:id="1019042269">
      <w:bodyDiv w:val="1"/>
      <w:marLeft w:val="0"/>
      <w:marRight w:val="0"/>
      <w:marTop w:val="0"/>
      <w:marBottom w:val="0"/>
      <w:divBdr>
        <w:top w:val="none" w:sz="0" w:space="0" w:color="auto"/>
        <w:left w:val="none" w:sz="0" w:space="0" w:color="auto"/>
        <w:bottom w:val="none" w:sz="0" w:space="0" w:color="auto"/>
        <w:right w:val="none" w:sz="0" w:space="0" w:color="auto"/>
      </w:divBdr>
    </w:div>
    <w:div w:id="1019042859">
      <w:bodyDiv w:val="1"/>
      <w:marLeft w:val="0"/>
      <w:marRight w:val="0"/>
      <w:marTop w:val="0"/>
      <w:marBottom w:val="0"/>
      <w:divBdr>
        <w:top w:val="none" w:sz="0" w:space="0" w:color="auto"/>
        <w:left w:val="none" w:sz="0" w:space="0" w:color="auto"/>
        <w:bottom w:val="none" w:sz="0" w:space="0" w:color="auto"/>
        <w:right w:val="none" w:sz="0" w:space="0" w:color="auto"/>
      </w:divBdr>
    </w:div>
    <w:div w:id="1019043051">
      <w:bodyDiv w:val="1"/>
      <w:marLeft w:val="0"/>
      <w:marRight w:val="0"/>
      <w:marTop w:val="0"/>
      <w:marBottom w:val="0"/>
      <w:divBdr>
        <w:top w:val="none" w:sz="0" w:space="0" w:color="auto"/>
        <w:left w:val="none" w:sz="0" w:space="0" w:color="auto"/>
        <w:bottom w:val="none" w:sz="0" w:space="0" w:color="auto"/>
        <w:right w:val="none" w:sz="0" w:space="0" w:color="auto"/>
      </w:divBdr>
    </w:div>
    <w:div w:id="1019046045">
      <w:bodyDiv w:val="1"/>
      <w:marLeft w:val="0"/>
      <w:marRight w:val="0"/>
      <w:marTop w:val="0"/>
      <w:marBottom w:val="0"/>
      <w:divBdr>
        <w:top w:val="none" w:sz="0" w:space="0" w:color="auto"/>
        <w:left w:val="none" w:sz="0" w:space="0" w:color="auto"/>
        <w:bottom w:val="none" w:sz="0" w:space="0" w:color="auto"/>
        <w:right w:val="none" w:sz="0" w:space="0" w:color="auto"/>
      </w:divBdr>
    </w:div>
    <w:div w:id="1019085001">
      <w:bodyDiv w:val="1"/>
      <w:marLeft w:val="0"/>
      <w:marRight w:val="0"/>
      <w:marTop w:val="0"/>
      <w:marBottom w:val="0"/>
      <w:divBdr>
        <w:top w:val="none" w:sz="0" w:space="0" w:color="auto"/>
        <w:left w:val="none" w:sz="0" w:space="0" w:color="auto"/>
        <w:bottom w:val="none" w:sz="0" w:space="0" w:color="auto"/>
        <w:right w:val="none" w:sz="0" w:space="0" w:color="auto"/>
      </w:divBdr>
    </w:div>
    <w:div w:id="1019088672">
      <w:bodyDiv w:val="1"/>
      <w:marLeft w:val="0"/>
      <w:marRight w:val="0"/>
      <w:marTop w:val="0"/>
      <w:marBottom w:val="0"/>
      <w:divBdr>
        <w:top w:val="none" w:sz="0" w:space="0" w:color="auto"/>
        <w:left w:val="none" w:sz="0" w:space="0" w:color="auto"/>
        <w:bottom w:val="none" w:sz="0" w:space="0" w:color="auto"/>
        <w:right w:val="none" w:sz="0" w:space="0" w:color="auto"/>
      </w:divBdr>
    </w:div>
    <w:div w:id="1019238708">
      <w:bodyDiv w:val="1"/>
      <w:marLeft w:val="0"/>
      <w:marRight w:val="0"/>
      <w:marTop w:val="0"/>
      <w:marBottom w:val="0"/>
      <w:divBdr>
        <w:top w:val="none" w:sz="0" w:space="0" w:color="auto"/>
        <w:left w:val="none" w:sz="0" w:space="0" w:color="auto"/>
        <w:bottom w:val="none" w:sz="0" w:space="0" w:color="auto"/>
        <w:right w:val="none" w:sz="0" w:space="0" w:color="auto"/>
      </w:divBdr>
    </w:div>
    <w:div w:id="1019240533">
      <w:bodyDiv w:val="1"/>
      <w:marLeft w:val="0"/>
      <w:marRight w:val="0"/>
      <w:marTop w:val="0"/>
      <w:marBottom w:val="0"/>
      <w:divBdr>
        <w:top w:val="none" w:sz="0" w:space="0" w:color="auto"/>
        <w:left w:val="none" w:sz="0" w:space="0" w:color="auto"/>
        <w:bottom w:val="none" w:sz="0" w:space="0" w:color="auto"/>
        <w:right w:val="none" w:sz="0" w:space="0" w:color="auto"/>
      </w:divBdr>
    </w:div>
    <w:div w:id="1019357024">
      <w:bodyDiv w:val="1"/>
      <w:marLeft w:val="0"/>
      <w:marRight w:val="0"/>
      <w:marTop w:val="0"/>
      <w:marBottom w:val="0"/>
      <w:divBdr>
        <w:top w:val="none" w:sz="0" w:space="0" w:color="auto"/>
        <w:left w:val="none" w:sz="0" w:space="0" w:color="auto"/>
        <w:bottom w:val="none" w:sz="0" w:space="0" w:color="auto"/>
        <w:right w:val="none" w:sz="0" w:space="0" w:color="auto"/>
      </w:divBdr>
    </w:div>
    <w:div w:id="1019357125">
      <w:bodyDiv w:val="1"/>
      <w:marLeft w:val="0"/>
      <w:marRight w:val="0"/>
      <w:marTop w:val="0"/>
      <w:marBottom w:val="0"/>
      <w:divBdr>
        <w:top w:val="none" w:sz="0" w:space="0" w:color="auto"/>
        <w:left w:val="none" w:sz="0" w:space="0" w:color="auto"/>
        <w:bottom w:val="none" w:sz="0" w:space="0" w:color="auto"/>
        <w:right w:val="none" w:sz="0" w:space="0" w:color="auto"/>
      </w:divBdr>
    </w:div>
    <w:div w:id="1019425426">
      <w:bodyDiv w:val="1"/>
      <w:marLeft w:val="0"/>
      <w:marRight w:val="0"/>
      <w:marTop w:val="0"/>
      <w:marBottom w:val="0"/>
      <w:divBdr>
        <w:top w:val="none" w:sz="0" w:space="0" w:color="auto"/>
        <w:left w:val="none" w:sz="0" w:space="0" w:color="auto"/>
        <w:bottom w:val="none" w:sz="0" w:space="0" w:color="auto"/>
        <w:right w:val="none" w:sz="0" w:space="0" w:color="auto"/>
      </w:divBdr>
    </w:div>
    <w:div w:id="1019429434">
      <w:bodyDiv w:val="1"/>
      <w:marLeft w:val="0"/>
      <w:marRight w:val="0"/>
      <w:marTop w:val="0"/>
      <w:marBottom w:val="0"/>
      <w:divBdr>
        <w:top w:val="none" w:sz="0" w:space="0" w:color="auto"/>
        <w:left w:val="none" w:sz="0" w:space="0" w:color="auto"/>
        <w:bottom w:val="none" w:sz="0" w:space="0" w:color="auto"/>
        <w:right w:val="none" w:sz="0" w:space="0" w:color="auto"/>
      </w:divBdr>
    </w:div>
    <w:div w:id="1019429567">
      <w:bodyDiv w:val="1"/>
      <w:marLeft w:val="0"/>
      <w:marRight w:val="0"/>
      <w:marTop w:val="0"/>
      <w:marBottom w:val="0"/>
      <w:divBdr>
        <w:top w:val="none" w:sz="0" w:space="0" w:color="auto"/>
        <w:left w:val="none" w:sz="0" w:space="0" w:color="auto"/>
        <w:bottom w:val="none" w:sz="0" w:space="0" w:color="auto"/>
        <w:right w:val="none" w:sz="0" w:space="0" w:color="auto"/>
      </w:divBdr>
    </w:div>
    <w:div w:id="1019432116">
      <w:bodyDiv w:val="1"/>
      <w:marLeft w:val="0"/>
      <w:marRight w:val="0"/>
      <w:marTop w:val="0"/>
      <w:marBottom w:val="0"/>
      <w:divBdr>
        <w:top w:val="none" w:sz="0" w:space="0" w:color="auto"/>
        <w:left w:val="none" w:sz="0" w:space="0" w:color="auto"/>
        <w:bottom w:val="none" w:sz="0" w:space="0" w:color="auto"/>
        <w:right w:val="none" w:sz="0" w:space="0" w:color="auto"/>
      </w:divBdr>
    </w:div>
    <w:div w:id="1019544800">
      <w:bodyDiv w:val="1"/>
      <w:marLeft w:val="0"/>
      <w:marRight w:val="0"/>
      <w:marTop w:val="0"/>
      <w:marBottom w:val="0"/>
      <w:divBdr>
        <w:top w:val="none" w:sz="0" w:space="0" w:color="auto"/>
        <w:left w:val="none" w:sz="0" w:space="0" w:color="auto"/>
        <w:bottom w:val="none" w:sz="0" w:space="0" w:color="auto"/>
        <w:right w:val="none" w:sz="0" w:space="0" w:color="auto"/>
      </w:divBdr>
    </w:div>
    <w:div w:id="1019618871">
      <w:bodyDiv w:val="1"/>
      <w:marLeft w:val="0"/>
      <w:marRight w:val="0"/>
      <w:marTop w:val="0"/>
      <w:marBottom w:val="0"/>
      <w:divBdr>
        <w:top w:val="none" w:sz="0" w:space="0" w:color="auto"/>
        <w:left w:val="none" w:sz="0" w:space="0" w:color="auto"/>
        <w:bottom w:val="none" w:sz="0" w:space="0" w:color="auto"/>
        <w:right w:val="none" w:sz="0" w:space="0" w:color="auto"/>
      </w:divBdr>
    </w:div>
    <w:div w:id="1019892269">
      <w:bodyDiv w:val="1"/>
      <w:marLeft w:val="0"/>
      <w:marRight w:val="0"/>
      <w:marTop w:val="0"/>
      <w:marBottom w:val="0"/>
      <w:divBdr>
        <w:top w:val="none" w:sz="0" w:space="0" w:color="auto"/>
        <w:left w:val="none" w:sz="0" w:space="0" w:color="auto"/>
        <w:bottom w:val="none" w:sz="0" w:space="0" w:color="auto"/>
        <w:right w:val="none" w:sz="0" w:space="0" w:color="auto"/>
      </w:divBdr>
    </w:div>
    <w:div w:id="1019893649">
      <w:bodyDiv w:val="1"/>
      <w:marLeft w:val="0"/>
      <w:marRight w:val="0"/>
      <w:marTop w:val="0"/>
      <w:marBottom w:val="0"/>
      <w:divBdr>
        <w:top w:val="none" w:sz="0" w:space="0" w:color="auto"/>
        <w:left w:val="none" w:sz="0" w:space="0" w:color="auto"/>
        <w:bottom w:val="none" w:sz="0" w:space="0" w:color="auto"/>
        <w:right w:val="none" w:sz="0" w:space="0" w:color="auto"/>
      </w:divBdr>
    </w:div>
    <w:div w:id="1020011046">
      <w:bodyDiv w:val="1"/>
      <w:marLeft w:val="0"/>
      <w:marRight w:val="0"/>
      <w:marTop w:val="0"/>
      <w:marBottom w:val="0"/>
      <w:divBdr>
        <w:top w:val="none" w:sz="0" w:space="0" w:color="auto"/>
        <w:left w:val="none" w:sz="0" w:space="0" w:color="auto"/>
        <w:bottom w:val="none" w:sz="0" w:space="0" w:color="auto"/>
        <w:right w:val="none" w:sz="0" w:space="0" w:color="auto"/>
      </w:divBdr>
    </w:div>
    <w:div w:id="1020011594">
      <w:bodyDiv w:val="1"/>
      <w:marLeft w:val="0"/>
      <w:marRight w:val="0"/>
      <w:marTop w:val="0"/>
      <w:marBottom w:val="0"/>
      <w:divBdr>
        <w:top w:val="none" w:sz="0" w:space="0" w:color="auto"/>
        <w:left w:val="none" w:sz="0" w:space="0" w:color="auto"/>
        <w:bottom w:val="none" w:sz="0" w:space="0" w:color="auto"/>
        <w:right w:val="none" w:sz="0" w:space="0" w:color="auto"/>
      </w:divBdr>
    </w:div>
    <w:div w:id="1020200925">
      <w:bodyDiv w:val="1"/>
      <w:marLeft w:val="0"/>
      <w:marRight w:val="0"/>
      <w:marTop w:val="0"/>
      <w:marBottom w:val="0"/>
      <w:divBdr>
        <w:top w:val="none" w:sz="0" w:space="0" w:color="auto"/>
        <w:left w:val="none" w:sz="0" w:space="0" w:color="auto"/>
        <w:bottom w:val="none" w:sz="0" w:space="0" w:color="auto"/>
        <w:right w:val="none" w:sz="0" w:space="0" w:color="auto"/>
      </w:divBdr>
    </w:div>
    <w:div w:id="1020398778">
      <w:bodyDiv w:val="1"/>
      <w:marLeft w:val="0"/>
      <w:marRight w:val="0"/>
      <w:marTop w:val="0"/>
      <w:marBottom w:val="0"/>
      <w:divBdr>
        <w:top w:val="none" w:sz="0" w:space="0" w:color="auto"/>
        <w:left w:val="none" w:sz="0" w:space="0" w:color="auto"/>
        <w:bottom w:val="none" w:sz="0" w:space="0" w:color="auto"/>
        <w:right w:val="none" w:sz="0" w:space="0" w:color="auto"/>
      </w:divBdr>
    </w:div>
    <w:div w:id="1020593831">
      <w:bodyDiv w:val="1"/>
      <w:marLeft w:val="0"/>
      <w:marRight w:val="0"/>
      <w:marTop w:val="0"/>
      <w:marBottom w:val="0"/>
      <w:divBdr>
        <w:top w:val="none" w:sz="0" w:space="0" w:color="auto"/>
        <w:left w:val="none" w:sz="0" w:space="0" w:color="auto"/>
        <w:bottom w:val="none" w:sz="0" w:space="0" w:color="auto"/>
        <w:right w:val="none" w:sz="0" w:space="0" w:color="auto"/>
      </w:divBdr>
    </w:div>
    <w:div w:id="1020668698">
      <w:bodyDiv w:val="1"/>
      <w:marLeft w:val="0"/>
      <w:marRight w:val="0"/>
      <w:marTop w:val="0"/>
      <w:marBottom w:val="0"/>
      <w:divBdr>
        <w:top w:val="none" w:sz="0" w:space="0" w:color="auto"/>
        <w:left w:val="none" w:sz="0" w:space="0" w:color="auto"/>
        <w:bottom w:val="none" w:sz="0" w:space="0" w:color="auto"/>
        <w:right w:val="none" w:sz="0" w:space="0" w:color="auto"/>
      </w:divBdr>
    </w:div>
    <w:div w:id="1020669038">
      <w:bodyDiv w:val="1"/>
      <w:marLeft w:val="0"/>
      <w:marRight w:val="0"/>
      <w:marTop w:val="0"/>
      <w:marBottom w:val="0"/>
      <w:divBdr>
        <w:top w:val="none" w:sz="0" w:space="0" w:color="auto"/>
        <w:left w:val="none" w:sz="0" w:space="0" w:color="auto"/>
        <w:bottom w:val="none" w:sz="0" w:space="0" w:color="auto"/>
        <w:right w:val="none" w:sz="0" w:space="0" w:color="auto"/>
      </w:divBdr>
    </w:div>
    <w:div w:id="1020669982">
      <w:bodyDiv w:val="1"/>
      <w:marLeft w:val="0"/>
      <w:marRight w:val="0"/>
      <w:marTop w:val="0"/>
      <w:marBottom w:val="0"/>
      <w:divBdr>
        <w:top w:val="none" w:sz="0" w:space="0" w:color="auto"/>
        <w:left w:val="none" w:sz="0" w:space="0" w:color="auto"/>
        <w:bottom w:val="none" w:sz="0" w:space="0" w:color="auto"/>
        <w:right w:val="none" w:sz="0" w:space="0" w:color="auto"/>
      </w:divBdr>
    </w:div>
    <w:div w:id="1020736482">
      <w:bodyDiv w:val="1"/>
      <w:marLeft w:val="0"/>
      <w:marRight w:val="0"/>
      <w:marTop w:val="0"/>
      <w:marBottom w:val="0"/>
      <w:divBdr>
        <w:top w:val="none" w:sz="0" w:space="0" w:color="auto"/>
        <w:left w:val="none" w:sz="0" w:space="0" w:color="auto"/>
        <w:bottom w:val="none" w:sz="0" w:space="0" w:color="auto"/>
        <w:right w:val="none" w:sz="0" w:space="0" w:color="auto"/>
      </w:divBdr>
    </w:div>
    <w:div w:id="1020819058">
      <w:bodyDiv w:val="1"/>
      <w:marLeft w:val="0"/>
      <w:marRight w:val="0"/>
      <w:marTop w:val="0"/>
      <w:marBottom w:val="0"/>
      <w:divBdr>
        <w:top w:val="none" w:sz="0" w:space="0" w:color="auto"/>
        <w:left w:val="none" w:sz="0" w:space="0" w:color="auto"/>
        <w:bottom w:val="none" w:sz="0" w:space="0" w:color="auto"/>
        <w:right w:val="none" w:sz="0" w:space="0" w:color="auto"/>
      </w:divBdr>
    </w:div>
    <w:div w:id="1020858513">
      <w:bodyDiv w:val="1"/>
      <w:marLeft w:val="0"/>
      <w:marRight w:val="0"/>
      <w:marTop w:val="0"/>
      <w:marBottom w:val="0"/>
      <w:divBdr>
        <w:top w:val="none" w:sz="0" w:space="0" w:color="auto"/>
        <w:left w:val="none" w:sz="0" w:space="0" w:color="auto"/>
        <w:bottom w:val="none" w:sz="0" w:space="0" w:color="auto"/>
        <w:right w:val="none" w:sz="0" w:space="0" w:color="auto"/>
      </w:divBdr>
    </w:div>
    <w:div w:id="1020860214">
      <w:bodyDiv w:val="1"/>
      <w:marLeft w:val="0"/>
      <w:marRight w:val="0"/>
      <w:marTop w:val="0"/>
      <w:marBottom w:val="0"/>
      <w:divBdr>
        <w:top w:val="none" w:sz="0" w:space="0" w:color="auto"/>
        <w:left w:val="none" w:sz="0" w:space="0" w:color="auto"/>
        <w:bottom w:val="none" w:sz="0" w:space="0" w:color="auto"/>
        <w:right w:val="none" w:sz="0" w:space="0" w:color="auto"/>
      </w:divBdr>
    </w:div>
    <w:div w:id="1020930025">
      <w:bodyDiv w:val="1"/>
      <w:marLeft w:val="0"/>
      <w:marRight w:val="0"/>
      <w:marTop w:val="0"/>
      <w:marBottom w:val="0"/>
      <w:divBdr>
        <w:top w:val="none" w:sz="0" w:space="0" w:color="auto"/>
        <w:left w:val="none" w:sz="0" w:space="0" w:color="auto"/>
        <w:bottom w:val="none" w:sz="0" w:space="0" w:color="auto"/>
        <w:right w:val="none" w:sz="0" w:space="0" w:color="auto"/>
      </w:divBdr>
    </w:div>
    <w:div w:id="1021011222">
      <w:bodyDiv w:val="1"/>
      <w:marLeft w:val="0"/>
      <w:marRight w:val="0"/>
      <w:marTop w:val="0"/>
      <w:marBottom w:val="0"/>
      <w:divBdr>
        <w:top w:val="none" w:sz="0" w:space="0" w:color="auto"/>
        <w:left w:val="none" w:sz="0" w:space="0" w:color="auto"/>
        <w:bottom w:val="none" w:sz="0" w:space="0" w:color="auto"/>
        <w:right w:val="none" w:sz="0" w:space="0" w:color="auto"/>
      </w:divBdr>
    </w:div>
    <w:div w:id="1021126639">
      <w:bodyDiv w:val="1"/>
      <w:marLeft w:val="0"/>
      <w:marRight w:val="0"/>
      <w:marTop w:val="0"/>
      <w:marBottom w:val="0"/>
      <w:divBdr>
        <w:top w:val="none" w:sz="0" w:space="0" w:color="auto"/>
        <w:left w:val="none" w:sz="0" w:space="0" w:color="auto"/>
        <w:bottom w:val="none" w:sz="0" w:space="0" w:color="auto"/>
        <w:right w:val="none" w:sz="0" w:space="0" w:color="auto"/>
      </w:divBdr>
    </w:div>
    <w:div w:id="1021199913">
      <w:bodyDiv w:val="1"/>
      <w:marLeft w:val="0"/>
      <w:marRight w:val="0"/>
      <w:marTop w:val="0"/>
      <w:marBottom w:val="0"/>
      <w:divBdr>
        <w:top w:val="none" w:sz="0" w:space="0" w:color="auto"/>
        <w:left w:val="none" w:sz="0" w:space="0" w:color="auto"/>
        <w:bottom w:val="none" w:sz="0" w:space="0" w:color="auto"/>
        <w:right w:val="none" w:sz="0" w:space="0" w:color="auto"/>
      </w:divBdr>
    </w:div>
    <w:div w:id="1021316874">
      <w:bodyDiv w:val="1"/>
      <w:marLeft w:val="0"/>
      <w:marRight w:val="0"/>
      <w:marTop w:val="0"/>
      <w:marBottom w:val="0"/>
      <w:divBdr>
        <w:top w:val="none" w:sz="0" w:space="0" w:color="auto"/>
        <w:left w:val="none" w:sz="0" w:space="0" w:color="auto"/>
        <w:bottom w:val="none" w:sz="0" w:space="0" w:color="auto"/>
        <w:right w:val="none" w:sz="0" w:space="0" w:color="auto"/>
      </w:divBdr>
    </w:div>
    <w:div w:id="1021322173">
      <w:bodyDiv w:val="1"/>
      <w:marLeft w:val="0"/>
      <w:marRight w:val="0"/>
      <w:marTop w:val="0"/>
      <w:marBottom w:val="0"/>
      <w:divBdr>
        <w:top w:val="none" w:sz="0" w:space="0" w:color="auto"/>
        <w:left w:val="none" w:sz="0" w:space="0" w:color="auto"/>
        <w:bottom w:val="none" w:sz="0" w:space="0" w:color="auto"/>
        <w:right w:val="none" w:sz="0" w:space="0" w:color="auto"/>
      </w:divBdr>
    </w:div>
    <w:div w:id="1021467923">
      <w:bodyDiv w:val="1"/>
      <w:marLeft w:val="0"/>
      <w:marRight w:val="0"/>
      <w:marTop w:val="0"/>
      <w:marBottom w:val="0"/>
      <w:divBdr>
        <w:top w:val="none" w:sz="0" w:space="0" w:color="auto"/>
        <w:left w:val="none" w:sz="0" w:space="0" w:color="auto"/>
        <w:bottom w:val="none" w:sz="0" w:space="0" w:color="auto"/>
        <w:right w:val="none" w:sz="0" w:space="0" w:color="auto"/>
      </w:divBdr>
    </w:div>
    <w:div w:id="1021471151">
      <w:bodyDiv w:val="1"/>
      <w:marLeft w:val="0"/>
      <w:marRight w:val="0"/>
      <w:marTop w:val="0"/>
      <w:marBottom w:val="0"/>
      <w:divBdr>
        <w:top w:val="none" w:sz="0" w:space="0" w:color="auto"/>
        <w:left w:val="none" w:sz="0" w:space="0" w:color="auto"/>
        <w:bottom w:val="none" w:sz="0" w:space="0" w:color="auto"/>
        <w:right w:val="none" w:sz="0" w:space="0" w:color="auto"/>
      </w:divBdr>
    </w:div>
    <w:div w:id="1021473733">
      <w:bodyDiv w:val="1"/>
      <w:marLeft w:val="0"/>
      <w:marRight w:val="0"/>
      <w:marTop w:val="0"/>
      <w:marBottom w:val="0"/>
      <w:divBdr>
        <w:top w:val="none" w:sz="0" w:space="0" w:color="auto"/>
        <w:left w:val="none" w:sz="0" w:space="0" w:color="auto"/>
        <w:bottom w:val="none" w:sz="0" w:space="0" w:color="auto"/>
        <w:right w:val="none" w:sz="0" w:space="0" w:color="auto"/>
      </w:divBdr>
    </w:div>
    <w:div w:id="1021586598">
      <w:bodyDiv w:val="1"/>
      <w:marLeft w:val="0"/>
      <w:marRight w:val="0"/>
      <w:marTop w:val="0"/>
      <w:marBottom w:val="0"/>
      <w:divBdr>
        <w:top w:val="none" w:sz="0" w:space="0" w:color="auto"/>
        <w:left w:val="none" w:sz="0" w:space="0" w:color="auto"/>
        <w:bottom w:val="none" w:sz="0" w:space="0" w:color="auto"/>
        <w:right w:val="none" w:sz="0" w:space="0" w:color="auto"/>
      </w:divBdr>
    </w:div>
    <w:div w:id="1021590409">
      <w:bodyDiv w:val="1"/>
      <w:marLeft w:val="0"/>
      <w:marRight w:val="0"/>
      <w:marTop w:val="0"/>
      <w:marBottom w:val="0"/>
      <w:divBdr>
        <w:top w:val="none" w:sz="0" w:space="0" w:color="auto"/>
        <w:left w:val="none" w:sz="0" w:space="0" w:color="auto"/>
        <w:bottom w:val="none" w:sz="0" w:space="0" w:color="auto"/>
        <w:right w:val="none" w:sz="0" w:space="0" w:color="auto"/>
      </w:divBdr>
    </w:div>
    <w:div w:id="1021664787">
      <w:bodyDiv w:val="1"/>
      <w:marLeft w:val="0"/>
      <w:marRight w:val="0"/>
      <w:marTop w:val="0"/>
      <w:marBottom w:val="0"/>
      <w:divBdr>
        <w:top w:val="none" w:sz="0" w:space="0" w:color="auto"/>
        <w:left w:val="none" w:sz="0" w:space="0" w:color="auto"/>
        <w:bottom w:val="none" w:sz="0" w:space="0" w:color="auto"/>
        <w:right w:val="none" w:sz="0" w:space="0" w:color="auto"/>
      </w:divBdr>
    </w:div>
    <w:div w:id="1021779172">
      <w:bodyDiv w:val="1"/>
      <w:marLeft w:val="0"/>
      <w:marRight w:val="0"/>
      <w:marTop w:val="0"/>
      <w:marBottom w:val="0"/>
      <w:divBdr>
        <w:top w:val="none" w:sz="0" w:space="0" w:color="auto"/>
        <w:left w:val="none" w:sz="0" w:space="0" w:color="auto"/>
        <w:bottom w:val="none" w:sz="0" w:space="0" w:color="auto"/>
        <w:right w:val="none" w:sz="0" w:space="0" w:color="auto"/>
      </w:divBdr>
    </w:div>
    <w:div w:id="1022055233">
      <w:bodyDiv w:val="1"/>
      <w:marLeft w:val="0"/>
      <w:marRight w:val="0"/>
      <w:marTop w:val="0"/>
      <w:marBottom w:val="0"/>
      <w:divBdr>
        <w:top w:val="none" w:sz="0" w:space="0" w:color="auto"/>
        <w:left w:val="none" w:sz="0" w:space="0" w:color="auto"/>
        <w:bottom w:val="none" w:sz="0" w:space="0" w:color="auto"/>
        <w:right w:val="none" w:sz="0" w:space="0" w:color="auto"/>
      </w:divBdr>
    </w:div>
    <w:div w:id="1022167675">
      <w:bodyDiv w:val="1"/>
      <w:marLeft w:val="0"/>
      <w:marRight w:val="0"/>
      <w:marTop w:val="0"/>
      <w:marBottom w:val="0"/>
      <w:divBdr>
        <w:top w:val="none" w:sz="0" w:space="0" w:color="auto"/>
        <w:left w:val="none" w:sz="0" w:space="0" w:color="auto"/>
        <w:bottom w:val="none" w:sz="0" w:space="0" w:color="auto"/>
        <w:right w:val="none" w:sz="0" w:space="0" w:color="auto"/>
      </w:divBdr>
    </w:div>
    <w:div w:id="1022172768">
      <w:bodyDiv w:val="1"/>
      <w:marLeft w:val="0"/>
      <w:marRight w:val="0"/>
      <w:marTop w:val="0"/>
      <w:marBottom w:val="0"/>
      <w:divBdr>
        <w:top w:val="none" w:sz="0" w:space="0" w:color="auto"/>
        <w:left w:val="none" w:sz="0" w:space="0" w:color="auto"/>
        <w:bottom w:val="none" w:sz="0" w:space="0" w:color="auto"/>
        <w:right w:val="none" w:sz="0" w:space="0" w:color="auto"/>
      </w:divBdr>
    </w:div>
    <w:div w:id="1022241685">
      <w:bodyDiv w:val="1"/>
      <w:marLeft w:val="0"/>
      <w:marRight w:val="0"/>
      <w:marTop w:val="0"/>
      <w:marBottom w:val="0"/>
      <w:divBdr>
        <w:top w:val="none" w:sz="0" w:space="0" w:color="auto"/>
        <w:left w:val="none" w:sz="0" w:space="0" w:color="auto"/>
        <w:bottom w:val="none" w:sz="0" w:space="0" w:color="auto"/>
        <w:right w:val="none" w:sz="0" w:space="0" w:color="auto"/>
      </w:divBdr>
    </w:div>
    <w:div w:id="1022318203">
      <w:bodyDiv w:val="1"/>
      <w:marLeft w:val="0"/>
      <w:marRight w:val="0"/>
      <w:marTop w:val="0"/>
      <w:marBottom w:val="0"/>
      <w:divBdr>
        <w:top w:val="none" w:sz="0" w:space="0" w:color="auto"/>
        <w:left w:val="none" w:sz="0" w:space="0" w:color="auto"/>
        <w:bottom w:val="none" w:sz="0" w:space="0" w:color="auto"/>
        <w:right w:val="none" w:sz="0" w:space="0" w:color="auto"/>
      </w:divBdr>
    </w:div>
    <w:div w:id="1022321599">
      <w:bodyDiv w:val="1"/>
      <w:marLeft w:val="0"/>
      <w:marRight w:val="0"/>
      <w:marTop w:val="0"/>
      <w:marBottom w:val="0"/>
      <w:divBdr>
        <w:top w:val="none" w:sz="0" w:space="0" w:color="auto"/>
        <w:left w:val="none" w:sz="0" w:space="0" w:color="auto"/>
        <w:bottom w:val="none" w:sz="0" w:space="0" w:color="auto"/>
        <w:right w:val="none" w:sz="0" w:space="0" w:color="auto"/>
      </w:divBdr>
    </w:div>
    <w:div w:id="1022322465">
      <w:bodyDiv w:val="1"/>
      <w:marLeft w:val="0"/>
      <w:marRight w:val="0"/>
      <w:marTop w:val="0"/>
      <w:marBottom w:val="0"/>
      <w:divBdr>
        <w:top w:val="none" w:sz="0" w:space="0" w:color="auto"/>
        <w:left w:val="none" w:sz="0" w:space="0" w:color="auto"/>
        <w:bottom w:val="none" w:sz="0" w:space="0" w:color="auto"/>
        <w:right w:val="none" w:sz="0" w:space="0" w:color="auto"/>
      </w:divBdr>
    </w:div>
    <w:div w:id="1022324091">
      <w:bodyDiv w:val="1"/>
      <w:marLeft w:val="0"/>
      <w:marRight w:val="0"/>
      <w:marTop w:val="0"/>
      <w:marBottom w:val="0"/>
      <w:divBdr>
        <w:top w:val="none" w:sz="0" w:space="0" w:color="auto"/>
        <w:left w:val="none" w:sz="0" w:space="0" w:color="auto"/>
        <w:bottom w:val="none" w:sz="0" w:space="0" w:color="auto"/>
        <w:right w:val="none" w:sz="0" w:space="0" w:color="auto"/>
      </w:divBdr>
    </w:div>
    <w:div w:id="1022585835">
      <w:bodyDiv w:val="1"/>
      <w:marLeft w:val="0"/>
      <w:marRight w:val="0"/>
      <w:marTop w:val="0"/>
      <w:marBottom w:val="0"/>
      <w:divBdr>
        <w:top w:val="none" w:sz="0" w:space="0" w:color="auto"/>
        <w:left w:val="none" w:sz="0" w:space="0" w:color="auto"/>
        <w:bottom w:val="none" w:sz="0" w:space="0" w:color="auto"/>
        <w:right w:val="none" w:sz="0" w:space="0" w:color="auto"/>
      </w:divBdr>
    </w:div>
    <w:div w:id="1022590366">
      <w:bodyDiv w:val="1"/>
      <w:marLeft w:val="0"/>
      <w:marRight w:val="0"/>
      <w:marTop w:val="0"/>
      <w:marBottom w:val="0"/>
      <w:divBdr>
        <w:top w:val="none" w:sz="0" w:space="0" w:color="auto"/>
        <w:left w:val="none" w:sz="0" w:space="0" w:color="auto"/>
        <w:bottom w:val="none" w:sz="0" w:space="0" w:color="auto"/>
        <w:right w:val="none" w:sz="0" w:space="0" w:color="auto"/>
      </w:divBdr>
    </w:div>
    <w:div w:id="1023021864">
      <w:bodyDiv w:val="1"/>
      <w:marLeft w:val="0"/>
      <w:marRight w:val="0"/>
      <w:marTop w:val="0"/>
      <w:marBottom w:val="0"/>
      <w:divBdr>
        <w:top w:val="none" w:sz="0" w:space="0" w:color="auto"/>
        <w:left w:val="none" w:sz="0" w:space="0" w:color="auto"/>
        <w:bottom w:val="none" w:sz="0" w:space="0" w:color="auto"/>
        <w:right w:val="none" w:sz="0" w:space="0" w:color="auto"/>
      </w:divBdr>
    </w:div>
    <w:div w:id="1023357119">
      <w:bodyDiv w:val="1"/>
      <w:marLeft w:val="0"/>
      <w:marRight w:val="0"/>
      <w:marTop w:val="0"/>
      <w:marBottom w:val="0"/>
      <w:divBdr>
        <w:top w:val="none" w:sz="0" w:space="0" w:color="auto"/>
        <w:left w:val="none" w:sz="0" w:space="0" w:color="auto"/>
        <w:bottom w:val="none" w:sz="0" w:space="0" w:color="auto"/>
        <w:right w:val="none" w:sz="0" w:space="0" w:color="auto"/>
      </w:divBdr>
    </w:div>
    <w:div w:id="1023477186">
      <w:bodyDiv w:val="1"/>
      <w:marLeft w:val="0"/>
      <w:marRight w:val="0"/>
      <w:marTop w:val="0"/>
      <w:marBottom w:val="0"/>
      <w:divBdr>
        <w:top w:val="none" w:sz="0" w:space="0" w:color="auto"/>
        <w:left w:val="none" w:sz="0" w:space="0" w:color="auto"/>
        <w:bottom w:val="none" w:sz="0" w:space="0" w:color="auto"/>
        <w:right w:val="none" w:sz="0" w:space="0" w:color="auto"/>
      </w:divBdr>
    </w:div>
    <w:div w:id="1023626126">
      <w:bodyDiv w:val="1"/>
      <w:marLeft w:val="0"/>
      <w:marRight w:val="0"/>
      <w:marTop w:val="0"/>
      <w:marBottom w:val="0"/>
      <w:divBdr>
        <w:top w:val="none" w:sz="0" w:space="0" w:color="auto"/>
        <w:left w:val="none" w:sz="0" w:space="0" w:color="auto"/>
        <w:bottom w:val="none" w:sz="0" w:space="0" w:color="auto"/>
        <w:right w:val="none" w:sz="0" w:space="0" w:color="auto"/>
      </w:divBdr>
    </w:div>
    <w:div w:id="1023745977">
      <w:bodyDiv w:val="1"/>
      <w:marLeft w:val="0"/>
      <w:marRight w:val="0"/>
      <w:marTop w:val="0"/>
      <w:marBottom w:val="0"/>
      <w:divBdr>
        <w:top w:val="none" w:sz="0" w:space="0" w:color="auto"/>
        <w:left w:val="none" w:sz="0" w:space="0" w:color="auto"/>
        <w:bottom w:val="none" w:sz="0" w:space="0" w:color="auto"/>
        <w:right w:val="none" w:sz="0" w:space="0" w:color="auto"/>
      </w:divBdr>
    </w:div>
    <w:div w:id="1024095855">
      <w:bodyDiv w:val="1"/>
      <w:marLeft w:val="0"/>
      <w:marRight w:val="0"/>
      <w:marTop w:val="0"/>
      <w:marBottom w:val="0"/>
      <w:divBdr>
        <w:top w:val="none" w:sz="0" w:space="0" w:color="auto"/>
        <w:left w:val="none" w:sz="0" w:space="0" w:color="auto"/>
        <w:bottom w:val="none" w:sz="0" w:space="0" w:color="auto"/>
        <w:right w:val="none" w:sz="0" w:space="0" w:color="auto"/>
      </w:divBdr>
    </w:div>
    <w:div w:id="1024281579">
      <w:bodyDiv w:val="1"/>
      <w:marLeft w:val="0"/>
      <w:marRight w:val="0"/>
      <w:marTop w:val="0"/>
      <w:marBottom w:val="0"/>
      <w:divBdr>
        <w:top w:val="none" w:sz="0" w:space="0" w:color="auto"/>
        <w:left w:val="none" w:sz="0" w:space="0" w:color="auto"/>
        <w:bottom w:val="none" w:sz="0" w:space="0" w:color="auto"/>
        <w:right w:val="none" w:sz="0" w:space="0" w:color="auto"/>
      </w:divBdr>
    </w:div>
    <w:div w:id="1024399186">
      <w:bodyDiv w:val="1"/>
      <w:marLeft w:val="0"/>
      <w:marRight w:val="0"/>
      <w:marTop w:val="0"/>
      <w:marBottom w:val="0"/>
      <w:divBdr>
        <w:top w:val="none" w:sz="0" w:space="0" w:color="auto"/>
        <w:left w:val="none" w:sz="0" w:space="0" w:color="auto"/>
        <w:bottom w:val="none" w:sz="0" w:space="0" w:color="auto"/>
        <w:right w:val="none" w:sz="0" w:space="0" w:color="auto"/>
      </w:divBdr>
    </w:div>
    <w:div w:id="1024406568">
      <w:bodyDiv w:val="1"/>
      <w:marLeft w:val="0"/>
      <w:marRight w:val="0"/>
      <w:marTop w:val="0"/>
      <w:marBottom w:val="0"/>
      <w:divBdr>
        <w:top w:val="none" w:sz="0" w:space="0" w:color="auto"/>
        <w:left w:val="none" w:sz="0" w:space="0" w:color="auto"/>
        <w:bottom w:val="none" w:sz="0" w:space="0" w:color="auto"/>
        <w:right w:val="none" w:sz="0" w:space="0" w:color="auto"/>
      </w:divBdr>
    </w:div>
    <w:div w:id="1024478506">
      <w:bodyDiv w:val="1"/>
      <w:marLeft w:val="0"/>
      <w:marRight w:val="0"/>
      <w:marTop w:val="0"/>
      <w:marBottom w:val="0"/>
      <w:divBdr>
        <w:top w:val="none" w:sz="0" w:space="0" w:color="auto"/>
        <w:left w:val="none" w:sz="0" w:space="0" w:color="auto"/>
        <w:bottom w:val="none" w:sz="0" w:space="0" w:color="auto"/>
        <w:right w:val="none" w:sz="0" w:space="0" w:color="auto"/>
      </w:divBdr>
    </w:div>
    <w:div w:id="1024479902">
      <w:bodyDiv w:val="1"/>
      <w:marLeft w:val="0"/>
      <w:marRight w:val="0"/>
      <w:marTop w:val="0"/>
      <w:marBottom w:val="0"/>
      <w:divBdr>
        <w:top w:val="none" w:sz="0" w:space="0" w:color="auto"/>
        <w:left w:val="none" w:sz="0" w:space="0" w:color="auto"/>
        <w:bottom w:val="none" w:sz="0" w:space="0" w:color="auto"/>
        <w:right w:val="none" w:sz="0" w:space="0" w:color="auto"/>
      </w:divBdr>
    </w:div>
    <w:div w:id="1024483498">
      <w:bodyDiv w:val="1"/>
      <w:marLeft w:val="0"/>
      <w:marRight w:val="0"/>
      <w:marTop w:val="0"/>
      <w:marBottom w:val="0"/>
      <w:divBdr>
        <w:top w:val="none" w:sz="0" w:space="0" w:color="auto"/>
        <w:left w:val="none" w:sz="0" w:space="0" w:color="auto"/>
        <w:bottom w:val="none" w:sz="0" w:space="0" w:color="auto"/>
        <w:right w:val="none" w:sz="0" w:space="0" w:color="auto"/>
      </w:divBdr>
    </w:div>
    <w:div w:id="1024553742">
      <w:bodyDiv w:val="1"/>
      <w:marLeft w:val="0"/>
      <w:marRight w:val="0"/>
      <w:marTop w:val="0"/>
      <w:marBottom w:val="0"/>
      <w:divBdr>
        <w:top w:val="none" w:sz="0" w:space="0" w:color="auto"/>
        <w:left w:val="none" w:sz="0" w:space="0" w:color="auto"/>
        <w:bottom w:val="none" w:sz="0" w:space="0" w:color="auto"/>
        <w:right w:val="none" w:sz="0" w:space="0" w:color="auto"/>
      </w:divBdr>
    </w:div>
    <w:div w:id="1024593074">
      <w:bodyDiv w:val="1"/>
      <w:marLeft w:val="0"/>
      <w:marRight w:val="0"/>
      <w:marTop w:val="0"/>
      <w:marBottom w:val="0"/>
      <w:divBdr>
        <w:top w:val="none" w:sz="0" w:space="0" w:color="auto"/>
        <w:left w:val="none" w:sz="0" w:space="0" w:color="auto"/>
        <w:bottom w:val="none" w:sz="0" w:space="0" w:color="auto"/>
        <w:right w:val="none" w:sz="0" w:space="0" w:color="auto"/>
      </w:divBdr>
    </w:div>
    <w:div w:id="1024599123">
      <w:bodyDiv w:val="1"/>
      <w:marLeft w:val="0"/>
      <w:marRight w:val="0"/>
      <w:marTop w:val="0"/>
      <w:marBottom w:val="0"/>
      <w:divBdr>
        <w:top w:val="none" w:sz="0" w:space="0" w:color="auto"/>
        <w:left w:val="none" w:sz="0" w:space="0" w:color="auto"/>
        <w:bottom w:val="none" w:sz="0" w:space="0" w:color="auto"/>
        <w:right w:val="none" w:sz="0" w:space="0" w:color="auto"/>
      </w:divBdr>
    </w:div>
    <w:div w:id="1024600993">
      <w:bodyDiv w:val="1"/>
      <w:marLeft w:val="0"/>
      <w:marRight w:val="0"/>
      <w:marTop w:val="0"/>
      <w:marBottom w:val="0"/>
      <w:divBdr>
        <w:top w:val="none" w:sz="0" w:space="0" w:color="auto"/>
        <w:left w:val="none" w:sz="0" w:space="0" w:color="auto"/>
        <w:bottom w:val="none" w:sz="0" w:space="0" w:color="auto"/>
        <w:right w:val="none" w:sz="0" w:space="0" w:color="auto"/>
      </w:divBdr>
    </w:div>
    <w:div w:id="1024862287">
      <w:bodyDiv w:val="1"/>
      <w:marLeft w:val="0"/>
      <w:marRight w:val="0"/>
      <w:marTop w:val="0"/>
      <w:marBottom w:val="0"/>
      <w:divBdr>
        <w:top w:val="none" w:sz="0" w:space="0" w:color="auto"/>
        <w:left w:val="none" w:sz="0" w:space="0" w:color="auto"/>
        <w:bottom w:val="none" w:sz="0" w:space="0" w:color="auto"/>
        <w:right w:val="none" w:sz="0" w:space="0" w:color="auto"/>
      </w:divBdr>
    </w:div>
    <w:div w:id="1024938726">
      <w:bodyDiv w:val="1"/>
      <w:marLeft w:val="0"/>
      <w:marRight w:val="0"/>
      <w:marTop w:val="0"/>
      <w:marBottom w:val="0"/>
      <w:divBdr>
        <w:top w:val="none" w:sz="0" w:space="0" w:color="auto"/>
        <w:left w:val="none" w:sz="0" w:space="0" w:color="auto"/>
        <w:bottom w:val="none" w:sz="0" w:space="0" w:color="auto"/>
        <w:right w:val="none" w:sz="0" w:space="0" w:color="auto"/>
      </w:divBdr>
    </w:div>
    <w:div w:id="1024945471">
      <w:bodyDiv w:val="1"/>
      <w:marLeft w:val="0"/>
      <w:marRight w:val="0"/>
      <w:marTop w:val="0"/>
      <w:marBottom w:val="0"/>
      <w:divBdr>
        <w:top w:val="none" w:sz="0" w:space="0" w:color="auto"/>
        <w:left w:val="none" w:sz="0" w:space="0" w:color="auto"/>
        <w:bottom w:val="none" w:sz="0" w:space="0" w:color="auto"/>
        <w:right w:val="none" w:sz="0" w:space="0" w:color="auto"/>
      </w:divBdr>
    </w:div>
    <w:div w:id="1025014524">
      <w:bodyDiv w:val="1"/>
      <w:marLeft w:val="0"/>
      <w:marRight w:val="0"/>
      <w:marTop w:val="0"/>
      <w:marBottom w:val="0"/>
      <w:divBdr>
        <w:top w:val="none" w:sz="0" w:space="0" w:color="auto"/>
        <w:left w:val="none" w:sz="0" w:space="0" w:color="auto"/>
        <w:bottom w:val="none" w:sz="0" w:space="0" w:color="auto"/>
        <w:right w:val="none" w:sz="0" w:space="0" w:color="auto"/>
      </w:divBdr>
    </w:div>
    <w:div w:id="1025058621">
      <w:bodyDiv w:val="1"/>
      <w:marLeft w:val="0"/>
      <w:marRight w:val="0"/>
      <w:marTop w:val="0"/>
      <w:marBottom w:val="0"/>
      <w:divBdr>
        <w:top w:val="none" w:sz="0" w:space="0" w:color="auto"/>
        <w:left w:val="none" w:sz="0" w:space="0" w:color="auto"/>
        <w:bottom w:val="none" w:sz="0" w:space="0" w:color="auto"/>
        <w:right w:val="none" w:sz="0" w:space="0" w:color="auto"/>
      </w:divBdr>
    </w:div>
    <w:div w:id="1025063103">
      <w:bodyDiv w:val="1"/>
      <w:marLeft w:val="0"/>
      <w:marRight w:val="0"/>
      <w:marTop w:val="0"/>
      <w:marBottom w:val="0"/>
      <w:divBdr>
        <w:top w:val="none" w:sz="0" w:space="0" w:color="auto"/>
        <w:left w:val="none" w:sz="0" w:space="0" w:color="auto"/>
        <w:bottom w:val="none" w:sz="0" w:space="0" w:color="auto"/>
        <w:right w:val="none" w:sz="0" w:space="0" w:color="auto"/>
      </w:divBdr>
    </w:div>
    <w:div w:id="1025132624">
      <w:bodyDiv w:val="1"/>
      <w:marLeft w:val="0"/>
      <w:marRight w:val="0"/>
      <w:marTop w:val="0"/>
      <w:marBottom w:val="0"/>
      <w:divBdr>
        <w:top w:val="none" w:sz="0" w:space="0" w:color="auto"/>
        <w:left w:val="none" w:sz="0" w:space="0" w:color="auto"/>
        <w:bottom w:val="none" w:sz="0" w:space="0" w:color="auto"/>
        <w:right w:val="none" w:sz="0" w:space="0" w:color="auto"/>
      </w:divBdr>
    </w:div>
    <w:div w:id="1025133375">
      <w:bodyDiv w:val="1"/>
      <w:marLeft w:val="0"/>
      <w:marRight w:val="0"/>
      <w:marTop w:val="0"/>
      <w:marBottom w:val="0"/>
      <w:divBdr>
        <w:top w:val="none" w:sz="0" w:space="0" w:color="auto"/>
        <w:left w:val="none" w:sz="0" w:space="0" w:color="auto"/>
        <w:bottom w:val="none" w:sz="0" w:space="0" w:color="auto"/>
        <w:right w:val="none" w:sz="0" w:space="0" w:color="auto"/>
      </w:divBdr>
    </w:div>
    <w:div w:id="1025248478">
      <w:bodyDiv w:val="1"/>
      <w:marLeft w:val="0"/>
      <w:marRight w:val="0"/>
      <w:marTop w:val="0"/>
      <w:marBottom w:val="0"/>
      <w:divBdr>
        <w:top w:val="none" w:sz="0" w:space="0" w:color="auto"/>
        <w:left w:val="none" w:sz="0" w:space="0" w:color="auto"/>
        <w:bottom w:val="none" w:sz="0" w:space="0" w:color="auto"/>
        <w:right w:val="none" w:sz="0" w:space="0" w:color="auto"/>
      </w:divBdr>
    </w:div>
    <w:div w:id="1025327281">
      <w:bodyDiv w:val="1"/>
      <w:marLeft w:val="0"/>
      <w:marRight w:val="0"/>
      <w:marTop w:val="0"/>
      <w:marBottom w:val="0"/>
      <w:divBdr>
        <w:top w:val="none" w:sz="0" w:space="0" w:color="auto"/>
        <w:left w:val="none" w:sz="0" w:space="0" w:color="auto"/>
        <w:bottom w:val="none" w:sz="0" w:space="0" w:color="auto"/>
        <w:right w:val="none" w:sz="0" w:space="0" w:color="auto"/>
      </w:divBdr>
    </w:div>
    <w:div w:id="1025399264">
      <w:bodyDiv w:val="1"/>
      <w:marLeft w:val="0"/>
      <w:marRight w:val="0"/>
      <w:marTop w:val="0"/>
      <w:marBottom w:val="0"/>
      <w:divBdr>
        <w:top w:val="none" w:sz="0" w:space="0" w:color="auto"/>
        <w:left w:val="none" w:sz="0" w:space="0" w:color="auto"/>
        <w:bottom w:val="none" w:sz="0" w:space="0" w:color="auto"/>
        <w:right w:val="none" w:sz="0" w:space="0" w:color="auto"/>
      </w:divBdr>
    </w:div>
    <w:div w:id="1025446744">
      <w:bodyDiv w:val="1"/>
      <w:marLeft w:val="0"/>
      <w:marRight w:val="0"/>
      <w:marTop w:val="0"/>
      <w:marBottom w:val="0"/>
      <w:divBdr>
        <w:top w:val="none" w:sz="0" w:space="0" w:color="auto"/>
        <w:left w:val="none" w:sz="0" w:space="0" w:color="auto"/>
        <w:bottom w:val="none" w:sz="0" w:space="0" w:color="auto"/>
        <w:right w:val="none" w:sz="0" w:space="0" w:color="auto"/>
      </w:divBdr>
    </w:div>
    <w:div w:id="1025523713">
      <w:bodyDiv w:val="1"/>
      <w:marLeft w:val="0"/>
      <w:marRight w:val="0"/>
      <w:marTop w:val="0"/>
      <w:marBottom w:val="0"/>
      <w:divBdr>
        <w:top w:val="none" w:sz="0" w:space="0" w:color="auto"/>
        <w:left w:val="none" w:sz="0" w:space="0" w:color="auto"/>
        <w:bottom w:val="none" w:sz="0" w:space="0" w:color="auto"/>
        <w:right w:val="none" w:sz="0" w:space="0" w:color="auto"/>
      </w:divBdr>
    </w:div>
    <w:div w:id="1025638815">
      <w:bodyDiv w:val="1"/>
      <w:marLeft w:val="0"/>
      <w:marRight w:val="0"/>
      <w:marTop w:val="0"/>
      <w:marBottom w:val="0"/>
      <w:divBdr>
        <w:top w:val="none" w:sz="0" w:space="0" w:color="auto"/>
        <w:left w:val="none" w:sz="0" w:space="0" w:color="auto"/>
        <w:bottom w:val="none" w:sz="0" w:space="0" w:color="auto"/>
        <w:right w:val="none" w:sz="0" w:space="0" w:color="auto"/>
      </w:divBdr>
    </w:div>
    <w:div w:id="1025711038">
      <w:bodyDiv w:val="1"/>
      <w:marLeft w:val="0"/>
      <w:marRight w:val="0"/>
      <w:marTop w:val="0"/>
      <w:marBottom w:val="0"/>
      <w:divBdr>
        <w:top w:val="none" w:sz="0" w:space="0" w:color="auto"/>
        <w:left w:val="none" w:sz="0" w:space="0" w:color="auto"/>
        <w:bottom w:val="none" w:sz="0" w:space="0" w:color="auto"/>
        <w:right w:val="none" w:sz="0" w:space="0" w:color="auto"/>
      </w:divBdr>
    </w:div>
    <w:div w:id="1025718887">
      <w:bodyDiv w:val="1"/>
      <w:marLeft w:val="0"/>
      <w:marRight w:val="0"/>
      <w:marTop w:val="0"/>
      <w:marBottom w:val="0"/>
      <w:divBdr>
        <w:top w:val="none" w:sz="0" w:space="0" w:color="auto"/>
        <w:left w:val="none" w:sz="0" w:space="0" w:color="auto"/>
        <w:bottom w:val="none" w:sz="0" w:space="0" w:color="auto"/>
        <w:right w:val="none" w:sz="0" w:space="0" w:color="auto"/>
      </w:divBdr>
    </w:div>
    <w:div w:id="1025786144">
      <w:bodyDiv w:val="1"/>
      <w:marLeft w:val="0"/>
      <w:marRight w:val="0"/>
      <w:marTop w:val="0"/>
      <w:marBottom w:val="0"/>
      <w:divBdr>
        <w:top w:val="none" w:sz="0" w:space="0" w:color="auto"/>
        <w:left w:val="none" w:sz="0" w:space="0" w:color="auto"/>
        <w:bottom w:val="none" w:sz="0" w:space="0" w:color="auto"/>
        <w:right w:val="none" w:sz="0" w:space="0" w:color="auto"/>
      </w:divBdr>
    </w:div>
    <w:div w:id="1025789010">
      <w:bodyDiv w:val="1"/>
      <w:marLeft w:val="0"/>
      <w:marRight w:val="0"/>
      <w:marTop w:val="0"/>
      <w:marBottom w:val="0"/>
      <w:divBdr>
        <w:top w:val="none" w:sz="0" w:space="0" w:color="auto"/>
        <w:left w:val="none" w:sz="0" w:space="0" w:color="auto"/>
        <w:bottom w:val="none" w:sz="0" w:space="0" w:color="auto"/>
        <w:right w:val="none" w:sz="0" w:space="0" w:color="auto"/>
      </w:divBdr>
    </w:div>
    <w:div w:id="1025791939">
      <w:bodyDiv w:val="1"/>
      <w:marLeft w:val="0"/>
      <w:marRight w:val="0"/>
      <w:marTop w:val="0"/>
      <w:marBottom w:val="0"/>
      <w:divBdr>
        <w:top w:val="none" w:sz="0" w:space="0" w:color="auto"/>
        <w:left w:val="none" w:sz="0" w:space="0" w:color="auto"/>
        <w:bottom w:val="none" w:sz="0" w:space="0" w:color="auto"/>
        <w:right w:val="none" w:sz="0" w:space="0" w:color="auto"/>
      </w:divBdr>
    </w:div>
    <w:div w:id="1025906592">
      <w:bodyDiv w:val="1"/>
      <w:marLeft w:val="0"/>
      <w:marRight w:val="0"/>
      <w:marTop w:val="0"/>
      <w:marBottom w:val="0"/>
      <w:divBdr>
        <w:top w:val="none" w:sz="0" w:space="0" w:color="auto"/>
        <w:left w:val="none" w:sz="0" w:space="0" w:color="auto"/>
        <w:bottom w:val="none" w:sz="0" w:space="0" w:color="auto"/>
        <w:right w:val="none" w:sz="0" w:space="0" w:color="auto"/>
      </w:divBdr>
    </w:div>
    <w:div w:id="1025910541">
      <w:bodyDiv w:val="1"/>
      <w:marLeft w:val="0"/>
      <w:marRight w:val="0"/>
      <w:marTop w:val="0"/>
      <w:marBottom w:val="0"/>
      <w:divBdr>
        <w:top w:val="none" w:sz="0" w:space="0" w:color="auto"/>
        <w:left w:val="none" w:sz="0" w:space="0" w:color="auto"/>
        <w:bottom w:val="none" w:sz="0" w:space="0" w:color="auto"/>
        <w:right w:val="none" w:sz="0" w:space="0" w:color="auto"/>
      </w:divBdr>
    </w:div>
    <w:div w:id="1026056768">
      <w:bodyDiv w:val="1"/>
      <w:marLeft w:val="0"/>
      <w:marRight w:val="0"/>
      <w:marTop w:val="0"/>
      <w:marBottom w:val="0"/>
      <w:divBdr>
        <w:top w:val="none" w:sz="0" w:space="0" w:color="auto"/>
        <w:left w:val="none" w:sz="0" w:space="0" w:color="auto"/>
        <w:bottom w:val="none" w:sz="0" w:space="0" w:color="auto"/>
        <w:right w:val="none" w:sz="0" w:space="0" w:color="auto"/>
      </w:divBdr>
    </w:div>
    <w:div w:id="1026060361">
      <w:bodyDiv w:val="1"/>
      <w:marLeft w:val="0"/>
      <w:marRight w:val="0"/>
      <w:marTop w:val="0"/>
      <w:marBottom w:val="0"/>
      <w:divBdr>
        <w:top w:val="none" w:sz="0" w:space="0" w:color="auto"/>
        <w:left w:val="none" w:sz="0" w:space="0" w:color="auto"/>
        <w:bottom w:val="none" w:sz="0" w:space="0" w:color="auto"/>
        <w:right w:val="none" w:sz="0" w:space="0" w:color="auto"/>
      </w:divBdr>
    </w:div>
    <w:div w:id="1026174125">
      <w:bodyDiv w:val="1"/>
      <w:marLeft w:val="0"/>
      <w:marRight w:val="0"/>
      <w:marTop w:val="0"/>
      <w:marBottom w:val="0"/>
      <w:divBdr>
        <w:top w:val="none" w:sz="0" w:space="0" w:color="auto"/>
        <w:left w:val="none" w:sz="0" w:space="0" w:color="auto"/>
        <w:bottom w:val="none" w:sz="0" w:space="0" w:color="auto"/>
        <w:right w:val="none" w:sz="0" w:space="0" w:color="auto"/>
      </w:divBdr>
    </w:div>
    <w:div w:id="1026252456">
      <w:bodyDiv w:val="1"/>
      <w:marLeft w:val="0"/>
      <w:marRight w:val="0"/>
      <w:marTop w:val="0"/>
      <w:marBottom w:val="0"/>
      <w:divBdr>
        <w:top w:val="none" w:sz="0" w:space="0" w:color="auto"/>
        <w:left w:val="none" w:sz="0" w:space="0" w:color="auto"/>
        <w:bottom w:val="none" w:sz="0" w:space="0" w:color="auto"/>
        <w:right w:val="none" w:sz="0" w:space="0" w:color="auto"/>
      </w:divBdr>
    </w:div>
    <w:div w:id="1026449030">
      <w:bodyDiv w:val="1"/>
      <w:marLeft w:val="0"/>
      <w:marRight w:val="0"/>
      <w:marTop w:val="0"/>
      <w:marBottom w:val="0"/>
      <w:divBdr>
        <w:top w:val="none" w:sz="0" w:space="0" w:color="auto"/>
        <w:left w:val="none" w:sz="0" w:space="0" w:color="auto"/>
        <w:bottom w:val="none" w:sz="0" w:space="0" w:color="auto"/>
        <w:right w:val="none" w:sz="0" w:space="0" w:color="auto"/>
      </w:divBdr>
    </w:div>
    <w:div w:id="1026517290">
      <w:bodyDiv w:val="1"/>
      <w:marLeft w:val="0"/>
      <w:marRight w:val="0"/>
      <w:marTop w:val="0"/>
      <w:marBottom w:val="0"/>
      <w:divBdr>
        <w:top w:val="none" w:sz="0" w:space="0" w:color="auto"/>
        <w:left w:val="none" w:sz="0" w:space="0" w:color="auto"/>
        <w:bottom w:val="none" w:sz="0" w:space="0" w:color="auto"/>
        <w:right w:val="none" w:sz="0" w:space="0" w:color="auto"/>
      </w:divBdr>
    </w:div>
    <w:div w:id="1026519226">
      <w:bodyDiv w:val="1"/>
      <w:marLeft w:val="0"/>
      <w:marRight w:val="0"/>
      <w:marTop w:val="0"/>
      <w:marBottom w:val="0"/>
      <w:divBdr>
        <w:top w:val="none" w:sz="0" w:space="0" w:color="auto"/>
        <w:left w:val="none" w:sz="0" w:space="0" w:color="auto"/>
        <w:bottom w:val="none" w:sz="0" w:space="0" w:color="auto"/>
        <w:right w:val="none" w:sz="0" w:space="0" w:color="auto"/>
      </w:divBdr>
    </w:div>
    <w:div w:id="1026640258">
      <w:bodyDiv w:val="1"/>
      <w:marLeft w:val="0"/>
      <w:marRight w:val="0"/>
      <w:marTop w:val="0"/>
      <w:marBottom w:val="0"/>
      <w:divBdr>
        <w:top w:val="none" w:sz="0" w:space="0" w:color="auto"/>
        <w:left w:val="none" w:sz="0" w:space="0" w:color="auto"/>
        <w:bottom w:val="none" w:sz="0" w:space="0" w:color="auto"/>
        <w:right w:val="none" w:sz="0" w:space="0" w:color="auto"/>
      </w:divBdr>
    </w:div>
    <w:div w:id="1026832420">
      <w:bodyDiv w:val="1"/>
      <w:marLeft w:val="0"/>
      <w:marRight w:val="0"/>
      <w:marTop w:val="0"/>
      <w:marBottom w:val="0"/>
      <w:divBdr>
        <w:top w:val="none" w:sz="0" w:space="0" w:color="auto"/>
        <w:left w:val="none" w:sz="0" w:space="0" w:color="auto"/>
        <w:bottom w:val="none" w:sz="0" w:space="0" w:color="auto"/>
        <w:right w:val="none" w:sz="0" w:space="0" w:color="auto"/>
      </w:divBdr>
    </w:div>
    <w:div w:id="1027026490">
      <w:bodyDiv w:val="1"/>
      <w:marLeft w:val="0"/>
      <w:marRight w:val="0"/>
      <w:marTop w:val="0"/>
      <w:marBottom w:val="0"/>
      <w:divBdr>
        <w:top w:val="none" w:sz="0" w:space="0" w:color="auto"/>
        <w:left w:val="none" w:sz="0" w:space="0" w:color="auto"/>
        <w:bottom w:val="none" w:sz="0" w:space="0" w:color="auto"/>
        <w:right w:val="none" w:sz="0" w:space="0" w:color="auto"/>
      </w:divBdr>
    </w:div>
    <w:div w:id="1027175042">
      <w:bodyDiv w:val="1"/>
      <w:marLeft w:val="0"/>
      <w:marRight w:val="0"/>
      <w:marTop w:val="0"/>
      <w:marBottom w:val="0"/>
      <w:divBdr>
        <w:top w:val="none" w:sz="0" w:space="0" w:color="auto"/>
        <w:left w:val="none" w:sz="0" w:space="0" w:color="auto"/>
        <w:bottom w:val="none" w:sz="0" w:space="0" w:color="auto"/>
        <w:right w:val="none" w:sz="0" w:space="0" w:color="auto"/>
      </w:divBdr>
    </w:div>
    <w:div w:id="1027294313">
      <w:bodyDiv w:val="1"/>
      <w:marLeft w:val="0"/>
      <w:marRight w:val="0"/>
      <w:marTop w:val="0"/>
      <w:marBottom w:val="0"/>
      <w:divBdr>
        <w:top w:val="none" w:sz="0" w:space="0" w:color="auto"/>
        <w:left w:val="none" w:sz="0" w:space="0" w:color="auto"/>
        <w:bottom w:val="none" w:sz="0" w:space="0" w:color="auto"/>
        <w:right w:val="none" w:sz="0" w:space="0" w:color="auto"/>
      </w:divBdr>
    </w:div>
    <w:div w:id="1027370427">
      <w:bodyDiv w:val="1"/>
      <w:marLeft w:val="0"/>
      <w:marRight w:val="0"/>
      <w:marTop w:val="0"/>
      <w:marBottom w:val="0"/>
      <w:divBdr>
        <w:top w:val="none" w:sz="0" w:space="0" w:color="auto"/>
        <w:left w:val="none" w:sz="0" w:space="0" w:color="auto"/>
        <w:bottom w:val="none" w:sz="0" w:space="0" w:color="auto"/>
        <w:right w:val="none" w:sz="0" w:space="0" w:color="auto"/>
      </w:divBdr>
    </w:div>
    <w:div w:id="1027370566">
      <w:bodyDiv w:val="1"/>
      <w:marLeft w:val="0"/>
      <w:marRight w:val="0"/>
      <w:marTop w:val="0"/>
      <w:marBottom w:val="0"/>
      <w:divBdr>
        <w:top w:val="none" w:sz="0" w:space="0" w:color="auto"/>
        <w:left w:val="none" w:sz="0" w:space="0" w:color="auto"/>
        <w:bottom w:val="none" w:sz="0" w:space="0" w:color="auto"/>
        <w:right w:val="none" w:sz="0" w:space="0" w:color="auto"/>
      </w:divBdr>
    </w:div>
    <w:div w:id="1027605749">
      <w:bodyDiv w:val="1"/>
      <w:marLeft w:val="0"/>
      <w:marRight w:val="0"/>
      <w:marTop w:val="0"/>
      <w:marBottom w:val="0"/>
      <w:divBdr>
        <w:top w:val="none" w:sz="0" w:space="0" w:color="auto"/>
        <w:left w:val="none" w:sz="0" w:space="0" w:color="auto"/>
        <w:bottom w:val="none" w:sz="0" w:space="0" w:color="auto"/>
        <w:right w:val="none" w:sz="0" w:space="0" w:color="auto"/>
      </w:divBdr>
    </w:div>
    <w:div w:id="1027633564">
      <w:bodyDiv w:val="1"/>
      <w:marLeft w:val="0"/>
      <w:marRight w:val="0"/>
      <w:marTop w:val="0"/>
      <w:marBottom w:val="0"/>
      <w:divBdr>
        <w:top w:val="none" w:sz="0" w:space="0" w:color="auto"/>
        <w:left w:val="none" w:sz="0" w:space="0" w:color="auto"/>
        <w:bottom w:val="none" w:sz="0" w:space="0" w:color="auto"/>
        <w:right w:val="none" w:sz="0" w:space="0" w:color="auto"/>
      </w:divBdr>
    </w:div>
    <w:div w:id="1027678551">
      <w:bodyDiv w:val="1"/>
      <w:marLeft w:val="0"/>
      <w:marRight w:val="0"/>
      <w:marTop w:val="0"/>
      <w:marBottom w:val="0"/>
      <w:divBdr>
        <w:top w:val="none" w:sz="0" w:space="0" w:color="auto"/>
        <w:left w:val="none" w:sz="0" w:space="0" w:color="auto"/>
        <w:bottom w:val="none" w:sz="0" w:space="0" w:color="auto"/>
        <w:right w:val="none" w:sz="0" w:space="0" w:color="auto"/>
      </w:divBdr>
    </w:div>
    <w:div w:id="1027827984">
      <w:bodyDiv w:val="1"/>
      <w:marLeft w:val="0"/>
      <w:marRight w:val="0"/>
      <w:marTop w:val="0"/>
      <w:marBottom w:val="0"/>
      <w:divBdr>
        <w:top w:val="none" w:sz="0" w:space="0" w:color="auto"/>
        <w:left w:val="none" w:sz="0" w:space="0" w:color="auto"/>
        <w:bottom w:val="none" w:sz="0" w:space="0" w:color="auto"/>
        <w:right w:val="none" w:sz="0" w:space="0" w:color="auto"/>
      </w:divBdr>
    </w:div>
    <w:div w:id="1027868647">
      <w:bodyDiv w:val="1"/>
      <w:marLeft w:val="0"/>
      <w:marRight w:val="0"/>
      <w:marTop w:val="0"/>
      <w:marBottom w:val="0"/>
      <w:divBdr>
        <w:top w:val="none" w:sz="0" w:space="0" w:color="auto"/>
        <w:left w:val="none" w:sz="0" w:space="0" w:color="auto"/>
        <w:bottom w:val="none" w:sz="0" w:space="0" w:color="auto"/>
        <w:right w:val="none" w:sz="0" w:space="0" w:color="auto"/>
      </w:divBdr>
    </w:div>
    <w:div w:id="1027872048">
      <w:bodyDiv w:val="1"/>
      <w:marLeft w:val="0"/>
      <w:marRight w:val="0"/>
      <w:marTop w:val="0"/>
      <w:marBottom w:val="0"/>
      <w:divBdr>
        <w:top w:val="none" w:sz="0" w:space="0" w:color="auto"/>
        <w:left w:val="none" w:sz="0" w:space="0" w:color="auto"/>
        <w:bottom w:val="none" w:sz="0" w:space="0" w:color="auto"/>
        <w:right w:val="none" w:sz="0" w:space="0" w:color="auto"/>
      </w:divBdr>
    </w:div>
    <w:div w:id="1027946658">
      <w:bodyDiv w:val="1"/>
      <w:marLeft w:val="0"/>
      <w:marRight w:val="0"/>
      <w:marTop w:val="0"/>
      <w:marBottom w:val="0"/>
      <w:divBdr>
        <w:top w:val="none" w:sz="0" w:space="0" w:color="auto"/>
        <w:left w:val="none" w:sz="0" w:space="0" w:color="auto"/>
        <w:bottom w:val="none" w:sz="0" w:space="0" w:color="auto"/>
        <w:right w:val="none" w:sz="0" w:space="0" w:color="auto"/>
      </w:divBdr>
    </w:div>
    <w:div w:id="1027950793">
      <w:bodyDiv w:val="1"/>
      <w:marLeft w:val="0"/>
      <w:marRight w:val="0"/>
      <w:marTop w:val="0"/>
      <w:marBottom w:val="0"/>
      <w:divBdr>
        <w:top w:val="none" w:sz="0" w:space="0" w:color="auto"/>
        <w:left w:val="none" w:sz="0" w:space="0" w:color="auto"/>
        <w:bottom w:val="none" w:sz="0" w:space="0" w:color="auto"/>
        <w:right w:val="none" w:sz="0" w:space="0" w:color="auto"/>
      </w:divBdr>
    </w:div>
    <w:div w:id="1028067357">
      <w:bodyDiv w:val="1"/>
      <w:marLeft w:val="0"/>
      <w:marRight w:val="0"/>
      <w:marTop w:val="0"/>
      <w:marBottom w:val="0"/>
      <w:divBdr>
        <w:top w:val="none" w:sz="0" w:space="0" w:color="auto"/>
        <w:left w:val="none" w:sz="0" w:space="0" w:color="auto"/>
        <w:bottom w:val="none" w:sz="0" w:space="0" w:color="auto"/>
        <w:right w:val="none" w:sz="0" w:space="0" w:color="auto"/>
      </w:divBdr>
    </w:div>
    <w:div w:id="1028215520">
      <w:bodyDiv w:val="1"/>
      <w:marLeft w:val="0"/>
      <w:marRight w:val="0"/>
      <w:marTop w:val="0"/>
      <w:marBottom w:val="0"/>
      <w:divBdr>
        <w:top w:val="none" w:sz="0" w:space="0" w:color="auto"/>
        <w:left w:val="none" w:sz="0" w:space="0" w:color="auto"/>
        <w:bottom w:val="none" w:sz="0" w:space="0" w:color="auto"/>
        <w:right w:val="none" w:sz="0" w:space="0" w:color="auto"/>
      </w:divBdr>
    </w:div>
    <w:div w:id="1028334427">
      <w:bodyDiv w:val="1"/>
      <w:marLeft w:val="0"/>
      <w:marRight w:val="0"/>
      <w:marTop w:val="0"/>
      <w:marBottom w:val="0"/>
      <w:divBdr>
        <w:top w:val="none" w:sz="0" w:space="0" w:color="auto"/>
        <w:left w:val="none" w:sz="0" w:space="0" w:color="auto"/>
        <w:bottom w:val="none" w:sz="0" w:space="0" w:color="auto"/>
        <w:right w:val="none" w:sz="0" w:space="0" w:color="auto"/>
      </w:divBdr>
    </w:div>
    <w:div w:id="1028488334">
      <w:bodyDiv w:val="1"/>
      <w:marLeft w:val="0"/>
      <w:marRight w:val="0"/>
      <w:marTop w:val="0"/>
      <w:marBottom w:val="0"/>
      <w:divBdr>
        <w:top w:val="none" w:sz="0" w:space="0" w:color="auto"/>
        <w:left w:val="none" w:sz="0" w:space="0" w:color="auto"/>
        <w:bottom w:val="none" w:sz="0" w:space="0" w:color="auto"/>
        <w:right w:val="none" w:sz="0" w:space="0" w:color="auto"/>
      </w:divBdr>
    </w:div>
    <w:div w:id="1028530501">
      <w:bodyDiv w:val="1"/>
      <w:marLeft w:val="0"/>
      <w:marRight w:val="0"/>
      <w:marTop w:val="0"/>
      <w:marBottom w:val="0"/>
      <w:divBdr>
        <w:top w:val="none" w:sz="0" w:space="0" w:color="auto"/>
        <w:left w:val="none" w:sz="0" w:space="0" w:color="auto"/>
        <w:bottom w:val="none" w:sz="0" w:space="0" w:color="auto"/>
        <w:right w:val="none" w:sz="0" w:space="0" w:color="auto"/>
      </w:divBdr>
    </w:div>
    <w:div w:id="1028604208">
      <w:bodyDiv w:val="1"/>
      <w:marLeft w:val="0"/>
      <w:marRight w:val="0"/>
      <w:marTop w:val="0"/>
      <w:marBottom w:val="0"/>
      <w:divBdr>
        <w:top w:val="none" w:sz="0" w:space="0" w:color="auto"/>
        <w:left w:val="none" w:sz="0" w:space="0" w:color="auto"/>
        <w:bottom w:val="none" w:sz="0" w:space="0" w:color="auto"/>
        <w:right w:val="none" w:sz="0" w:space="0" w:color="auto"/>
      </w:divBdr>
    </w:div>
    <w:div w:id="1028677763">
      <w:bodyDiv w:val="1"/>
      <w:marLeft w:val="0"/>
      <w:marRight w:val="0"/>
      <w:marTop w:val="0"/>
      <w:marBottom w:val="0"/>
      <w:divBdr>
        <w:top w:val="none" w:sz="0" w:space="0" w:color="auto"/>
        <w:left w:val="none" w:sz="0" w:space="0" w:color="auto"/>
        <w:bottom w:val="none" w:sz="0" w:space="0" w:color="auto"/>
        <w:right w:val="none" w:sz="0" w:space="0" w:color="auto"/>
      </w:divBdr>
    </w:div>
    <w:div w:id="1028750852">
      <w:bodyDiv w:val="1"/>
      <w:marLeft w:val="0"/>
      <w:marRight w:val="0"/>
      <w:marTop w:val="0"/>
      <w:marBottom w:val="0"/>
      <w:divBdr>
        <w:top w:val="none" w:sz="0" w:space="0" w:color="auto"/>
        <w:left w:val="none" w:sz="0" w:space="0" w:color="auto"/>
        <w:bottom w:val="none" w:sz="0" w:space="0" w:color="auto"/>
        <w:right w:val="none" w:sz="0" w:space="0" w:color="auto"/>
      </w:divBdr>
    </w:div>
    <w:div w:id="1028798510">
      <w:bodyDiv w:val="1"/>
      <w:marLeft w:val="0"/>
      <w:marRight w:val="0"/>
      <w:marTop w:val="0"/>
      <w:marBottom w:val="0"/>
      <w:divBdr>
        <w:top w:val="none" w:sz="0" w:space="0" w:color="auto"/>
        <w:left w:val="none" w:sz="0" w:space="0" w:color="auto"/>
        <w:bottom w:val="none" w:sz="0" w:space="0" w:color="auto"/>
        <w:right w:val="none" w:sz="0" w:space="0" w:color="auto"/>
      </w:divBdr>
    </w:div>
    <w:div w:id="1028874305">
      <w:bodyDiv w:val="1"/>
      <w:marLeft w:val="0"/>
      <w:marRight w:val="0"/>
      <w:marTop w:val="0"/>
      <w:marBottom w:val="0"/>
      <w:divBdr>
        <w:top w:val="none" w:sz="0" w:space="0" w:color="auto"/>
        <w:left w:val="none" w:sz="0" w:space="0" w:color="auto"/>
        <w:bottom w:val="none" w:sz="0" w:space="0" w:color="auto"/>
        <w:right w:val="none" w:sz="0" w:space="0" w:color="auto"/>
      </w:divBdr>
    </w:div>
    <w:div w:id="1028874905">
      <w:bodyDiv w:val="1"/>
      <w:marLeft w:val="0"/>
      <w:marRight w:val="0"/>
      <w:marTop w:val="0"/>
      <w:marBottom w:val="0"/>
      <w:divBdr>
        <w:top w:val="none" w:sz="0" w:space="0" w:color="auto"/>
        <w:left w:val="none" w:sz="0" w:space="0" w:color="auto"/>
        <w:bottom w:val="none" w:sz="0" w:space="0" w:color="auto"/>
        <w:right w:val="none" w:sz="0" w:space="0" w:color="auto"/>
      </w:divBdr>
    </w:div>
    <w:div w:id="1029111926">
      <w:bodyDiv w:val="1"/>
      <w:marLeft w:val="0"/>
      <w:marRight w:val="0"/>
      <w:marTop w:val="0"/>
      <w:marBottom w:val="0"/>
      <w:divBdr>
        <w:top w:val="none" w:sz="0" w:space="0" w:color="auto"/>
        <w:left w:val="none" w:sz="0" w:space="0" w:color="auto"/>
        <w:bottom w:val="none" w:sz="0" w:space="0" w:color="auto"/>
        <w:right w:val="none" w:sz="0" w:space="0" w:color="auto"/>
      </w:divBdr>
    </w:div>
    <w:div w:id="1029185832">
      <w:bodyDiv w:val="1"/>
      <w:marLeft w:val="0"/>
      <w:marRight w:val="0"/>
      <w:marTop w:val="0"/>
      <w:marBottom w:val="0"/>
      <w:divBdr>
        <w:top w:val="none" w:sz="0" w:space="0" w:color="auto"/>
        <w:left w:val="none" w:sz="0" w:space="0" w:color="auto"/>
        <w:bottom w:val="none" w:sz="0" w:space="0" w:color="auto"/>
        <w:right w:val="none" w:sz="0" w:space="0" w:color="auto"/>
      </w:divBdr>
    </w:div>
    <w:div w:id="1029262193">
      <w:bodyDiv w:val="1"/>
      <w:marLeft w:val="0"/>
      <w:marRight w:val="0"/>
      <w:marTop w:val="0"/>
      <w:marBottom w:val="0"/>
      <w:divBdr>
        <w:top w:val="none" w:sz="0" w:space="0" w:color="auto"/>
        <w:left w:val="none" w:sz="0" w:space="0" w:color="auto"/>
        <w:bottom w:val="none" w:sz="0" w:space="0" w:color="auto"/>
        <w:right w:val="none" w:sz="0" w:space="0" w:color="auto"/>
      </w:divBdr>
    </w:div>
    <w:div w:id="1029452517">
      <w:bodyDiv w:val="1"/>
      <w:marLeft w:val="0"/>
      <w:marRight w:val="0"/>
      <w:marTop w:val="0"/>
      <w:marBottom w:val="0"/>
      <w:divBdr>
        <w:top w:val="none" w:sz="0" w:space="0" w:color="auto"/>
        <w:left w:val="none" w:sz="0" w:space="0" w:color="auto"/>
        <w:bottom w:val="none" w:sz="0" w:space="0" w:color="auto"/>
        <w:right w:val="none" w:sz="0" w:space="0" w:color="auto"/>
      </w:divBdr>
    </w:div>
    <w:div w:id="1029530825">
      <w:bodyDiv w:val="1"/>
      <w:marLeft w:val="0"/>
      <w:marRight w:val="0"/>
      <w:marTop w:val="0"/>
      <w:marBottom w:val="0"/>
      <w:divBdr>
        <w:top w:val="none" w:sz="0" w:space="0" w:color="auto"/>
        <w:left w:val="none" w:sz="0" w:space="0" w:color="auto"/>
        <w:bottom w:val="none" w:sz="0" w:space="0" w:color="auto"/>
        <w:right w:val="none" w:sz="0" w:space="0" w:color="auto"/>
      </w:divBdr>
    </w:div>
    <w:div w:id="1029573962">
      <w:bodyDiv w:val="1"/>
      <w:marLeft w:val="0"/>
      <w:marRight w:val="0"/>
      <w:marTop w:val="0"/>
      <w:marBottom w:val="0"/>
      <w:divBdr>
        <w:top w:val="none" w:sz="0" w:space="0" w:color="auto"/>
        <w:left w:val="none" w:sz="0" w:space="0" w:color="auto"/>
        <w:bottom w:val="none" w:sz="0" w:space="0" w:color="auto"/>
        <w:right w:val="none" w:sz="0" w:space="0" w:color="auto"/>
      </w:divBdr>
    </w:div>
    <w:div w:id="1029646799">
      <w:bodyDiv w:val="1"/>
      <w:marLeft w:val="0"/>
      <w:marRight w:val="0"/>
      <w:marTop w:val="0"/>
      <w:marBottom w:val="0"/>
      <w:divBdr>
        <w:top w:val="none" w:sz="0" w:space="0" w:color="auto"/>
        <w:left w:val="none" w:sz="0" w:space="0" w:color="auto"/>
        <w:bottom w:val="none" w:sz="0" w:space="0" w:color="auto"/>
        <w:right w:val="none" w:sz="0" w:space="0" w:color="auto"/>
      </w:divBdr>
    </w:div>
    <w:div w:id="1029647249">
      <w:bodyDiv w:val="1"/>
      <w:marLeft w:val="0"/>
      <w:marRight w:val="0"/>
      <w:marTop w:val="0"/>
      <w:marBottom w:val="0"/>
      <w:divBdr>
        <w:top w:val="none" w:sz="0" w:space="0" w:color="auto"/>
        <w:left w:val="none" w:sz="0" w:space="0" w:color="auto"/>
        <w:bottom w:val="none" w:sz="0" w:space="0" w:color="auto"/>
        <w:right w:val="none" w:sz="0" w:space="0" w:color="auto"/>
      </w:divBdr>
    </w:div>
    <w:div w:id="1029917840">
      <w:bodyDiv w:val="1"/>
      <w:marLeft w:val="0"/>
      <w:marRight w:val="0"/>
      <w:marTop w:val="0"/>
      <w:marBottom w:val="0"/>
      <w:divBdr>
        <w:top w:val="none" w:sz="0" w:space="0" w:color="auto"/>
        <w:left w:val="none" w:sz="0" w:space="0" w:color="auto"/>
        <w:bottom w:val="none" w:sz="0" w:space="0" w:color="auto"/>
        <w:right w:val="none" w:sz="0" w:space="0" w:color="auto"/>
      </w:divBdr>
    </w:div>
    <w:div w:id="1030061624">
      <w:bodyDiv w:val="1"/>
      <w:marLeft w:val="0"/>
      <w:marRight w:val="0"/>
      <w:marTop w:val="0"/>
      <w:marBottom w:val="0"/>
      <w:divBdr>
        <w:top w:val="none" w:sz="0" w:space="0" w:color="auto"/>
        <w:left w:val="none" w:sz="0" w:space="0" w:color="auto"/>
        <w:bottom w:val="none" w:sz="0" w:space="0" w:color="auto"/>
        <w:right w:val="none" w:sz="0" w:space="0" w:color="auto"/>
      </w:divBdr>
    </w:div>
    <w:div w:id="1030105817">
      <w:bodyDiv w:val="1"/>
      <w:marLeft w:val="0"/>
      <w:marRight w:val="0"/>
      <w:marTop w:val="0"/>
      <w:marBottom w:val="0"/>
      <w:divBdr>
        <w:top w:val="none" w:sz="0" w:space="0" w:color="auto"/>
        <w:left w:val="none" w:sz="0" w:space="0" w:color="auto"/>
        <w:bottom w:val="none" w:sz="0" w:space="0" w:color="auto"/>
        <w:right w:val="none" w:sz="0" w:space="0" w:color="auto"/>
      </w:divBdr>
    </w:div>
    <w:div w:id="1030108782">
      <w:bodyDiv w:val="1"/>
      <w:marLeft w:val="0"/>
      <w:marRight w:val="0"/>
      <w:marTop w:val="0"/>
      <w:marBottom w:val="0"/>
      <w:divBdr>
        <w:top w:val="none" w:sz="0" w:space="0" w:color="auto"/>
        <w:left w:val="none" w:sz="0" w:space="0" w:color="auto"/>
        <w:bottom w:val="none" w:sz="0" w:space="0" w:color="auto"/>
        <w:right w:val="none" w:sz="0" w:space="0" w:color="auto"/>
      </w:divBdr>
    </w:div>
    <w:div w:id="1030112586">
      <w:bodyDiv w:val="1"/>
      <w:marLeft w:val="0"/>
      <w:marRight w:val="0"/>
      <w:marTop w:val="0"/>
      <w:marBottom w:val="0"/>
      <w:divBdr>
        <w:top w:val="none" w:sz="0" w:space="0" w:color="auto"/>
        <w:left w:val="none" w:sz="0" w:space="0" w:color="auto"/>
        <w:bottom w:val="none" w:sz="0" w:space="0" w:color="auto"/>
        <w:right w:val="none" w:sz="0" w:space="0" w:color="auto"/>
      </w:divBdr>
    </w:div>
    <w:div w:id="1030304659">
      <w:bodyDiv w:val="1"/>
      <w:marLeft w:val="0"/>
      <w:marRight w:val="0"/>
      <w:marTop w:val="0"/>
      <w:marBottom w:val="0"/>
      <w:divBdr>
        <w:top w:val="none" w:sz="0" w:space="0" w:color="auto"/>
        <w:left w:val="none" w:sz="0" w:space="0" w:color="auto"/>
        <w:bottom w:val="none" w:sz="0" w:space="0" w:color="auto"/>
        <w:right w:val="none" w:sz="0" w:space="0" w:color="auto"/>
      </w:divBdr>
    </w:div>
    <w:div w:id="1030376130">
      <w:bodyDiv w:val="1"/>
      <w:marLeft w:val="0"/>
      <w:marRight w:val="0"/>
      <w:marTop w:val="0"/>
      <w:marBottom w:val="0"/>
      <w:divBdr>
        <w:top w:val="none" w:sz="0" w:space="0" w:color="auto"/>
        <w:left w:val="none" w:sz="0" w:space="0" w:color="auto"/>
        <w:bottom w:val="none" w:sz="0" w:space="0" w:color="auto"/>
        <w:right w:val="none" w:sz="0" w:space="0" w:color="auto"/>
      </w:divBdr>
    </w:div>
    <w:div w:id="1030569539">
      <w:bodyDiv w:val="1"/>
      <w:marLeft w:val="0"/>
      <w:marRight w:val="0"/>
      <w:marTop w:val="0"/>
      <w:marBottom w:val="0"/>
      <w:divBdr>
        <w:top w:val="none" w:sz="0" w:space="0" w:color="auto"/>
        <w:left w:val="none" w:sz="0" w:space="0" w:color="auto"/>
        <w:bottom w:val="none" w:sz="0" w:space="0" w:color="auto"/>
        <w:right w:val="none" w:sz="0" w:space="0" w:color="auto"/>
      </w:divBdr>
    </w:div>
    <w:div w:id="1030911933">
      <w:bodyDiv w:val="1"/>
      <w:marLeft w:val="0"/>
      <w:marRight w:val="0"/>
      <w:marTop w:val="0"/>
      <w:marBottom w:val="0"/>
      <w:divBdr>
        <w:top w:val="none" w:sz="0" w:space="0" w:color="auto"/>
        <w:left w:val="none" w:sz="0" w:space="0" w:color="auto"/>
        <w:bottom w:val="none" w:sz="0" w:space="0" w:color="auto"/>
        <w:right w:val="none" w:sz="0" w:space="0" w:color="auto"/>
      </w:divBdr>
    </w:div>
    <w:div w:id="1031104848">
      <w:bodyDiv w:val="1"/>
      <w:marLeft w:val="0"/>
      <w:marRight w:val="0"/>
      <w:marTop w:val="0"/>
      <w:marBottom w:val="0"/>
      <w:divBdr>
        <w:top w:val="none" w:sz="0" w:space="0" w:color="auto"/>
        <w:left w:val="none" w:sz="0" w:space="0" w:color="auto"/>
        <w:bottom w:val="none" w:sz="0" w:space="0" w:color="auto"/>
        <w:right w:val="none" w:sz="0" w:space="0" w:color="auto"/>
      </w:divBdr>
    </w:div>
    <w:div w:id="1031340248">
      <w:bodyDiv w:val="1"/>
      <w:marLeft w:val="0"/>
      <w:marRight w:val="0"/>
      <w:marTop w:val="0"/>
      <w:marBottom w:val="0"/>
      <w:divBdr>
        <w:top w:val="none" w:sz="0" w:space="0" w:color="auto"/>
        <w:left w:val="none" w:sz="0" w:space="0" w:color="auto"/>
        <w:bottom w:val="none" w:sz="0" w:space="0" w:color="auto"/>
        <w:right w:val="none" w:sz="0" w:space="0" w:color="auto"/>
      </w:divBdr>
    </w:div>
    <w:div w:id="1031420685">
      <w:bodyDiv w:val="1"/>
      <w:marLeft w:val="0"/>
      <w:marRight w:val="0"/>
      <w:marTop w:val="0"/>
      <w:marBottom w:val="0"/>
      <w:divBdr>
        <w:top w:val="none" w:sz="0" w:space="0" w:color="auto"/>
        <w:left w:val="none" w:sz="0" w:space="0" w:color="auto"/>
        <w:bottom w:val="none" w:sz="0" w:space="0" w:color="auto"/>
        <w:right w:val="none" w:sz="0" w:space="0" w:color="auto"/>
      </w:divBdr>
    </w:div>
    <w:div w:id="1031491340">
      <w:bodyDiv w:val="1"/>
      <w:marLeft w:val="0"/>
      <w:marRight w:val="0"/>
      <w:marTop w:val="0"/>
      <w:marBottom w:val="0"/>
      <w:divBdr>
        <w:top w:val="none" w:sz="0" w:space="0" w:color="auto"/>
        <w:left w:val="none" w:sz="0" w:space="0" w:color="auto"/>
        <w:bottom w:val="none" w:sz="0" w:space="0" w:color="auto"/>
        <w:right w:val="none" w:sz="0" w:space="0" w:color="auto"/>
      </w:divBdr>
    </w:div>
    <w:div w:id="1031539185">
      <w:bodyDiv w:val="1"/>
      <w:marLeft w:val="0"/>
      <w:marRight w:val="0"/>
      <w:marTop w:val="0"/>
      <w:marBottom w:val="0"/>
      <w:divBdr>
        <w:top w:val="none" w:sz="0" w:space="0" w:color="auto"/>
        <w:left w:val="none" w:sz="0" w:space="0" w:color="auto"/>
        <w:bottom w:val="none" w:sz="0" w:space="0" w:color="auto"/>
        <w:right w:val="none" w:sz="0" w:space="0" w:color="auto"/>
      </w:divBdr>
    </w:div>
    <w:div w:id="1031691622">
      <w:bodyDiv w:val="1"/>
      <w:marLeft w:val="0"/>
      <w:marRight w:val="0"/>
      <w:marTop w:val="0"/>
      <w:marBottom w:val="0"/>
      <w:divBdr>
        <w:top w:val="none" w:sz="0" w:space="0" w:color="auto"/>
        <w:left w:val="none" w:sz="0" w:space="0" w:color="auto"/>
        <w:bottom w:val="none" w:sz="0" w:space="0" w:color="auto"/>
        <w:right w:val="none" w:sz="0" w:space="0" w:color="auto"/>
      </w:divBdr>
    </w:div>
    <w:div w:id="1031880582">
      <w:bodyDiv w:val="1"/>
      <w:marLeft w:val="0"/>
      <w:marRight w:val="0"/>
      <w:marTop w:val="0"/>
      <w:marBottom w:val="0"/>
      <w:divBdr>
        <w:top w:val="none" w:sz="0" w:space="0" w:color="auto"/>
        <w:left w:val="none" w:sz="0" w:space="0" w:color="auto"/>
        <w:bottom w:val="none" w:sz="0" w:space="0" w:color="auto"/>
        <w:right w:val="none" w:sz="0" w:space="0" w:color="auto"/>
      </w:divBdr>
    </w:div>
    <w:div w:id="1032073821">
      <w:bodyDiv w:val="1"/>
      <w:marLeft w:val="0"/>
      <w:marRight w:val="0"/>
      <w:marTop w:val="0"/>
      <w:marBottom w:val="0"/>
      <w:divBdr>
        <w:top w:val="none" w:sz="0" w:space="0" w:color="auto"/>
        <w:left w:val="none" w:sz="0" w:space="0" w:color="auto"/>
        <w:bottom w:val="none" w:sz="0" w:space="0" w:color="auto"/>
        <w:right w:val="none" w:sz="0" w:space="0" w:color="auto"/>
      </w:divBdr>
    </w:div>
    <w:div w:id="1032340885">
      <w:bodyDiv w:val="1"/>
      <w:marLeft w:val="0"/>
      <w:marRight w:val="0"/>
      <w:marTop w:val="0"/>
      <w:marBottom w:val="0"/>
      <w:divBdr>
        <w:top w:val="none" w:sz="0" w:space="0" w:color="auto"/>
        <w:left w:val="none" w:sz="0" w:space="0" w:color="auto"/>
        <w:bottom w:val="none" w:sz="0" w:space="0" w:color="auto"/>
        <w:right w:val="none" w:sz="0" w:space="0" w:color="auto"/>
      </w:divBdr>
    </w:div>
    <w:div w:id="1032458282">
      <w:bodyDiv w:val="1"/>
      <w:marLeft w:val="0"/>
      <w:marRight w:val="0"/>
      <w:marTop w:val="0"/>
      <w:marBottom w:val="0"/>
      <w:divBdr>
        <w:top w:val="none" w:sz="0" w:space="0" w:color="auto"/>
        <w:left w:val="none" w:sz="0" w:space="0" w:color="auto"/>
        <w:bottom w:val="none" w:sz="0" w:space="0" w:color="auto"/>
        <w:right w:val="none" w:sz="0" w:space="0" w:color="auto"/>
      </w:divBdr>
    </w:div>
    <w:div w:id="1032460981">
      <w:bodyDiv w:val="1"/>
      <w:marLeft w:val="0"/>
      <w:marRight w:val="0"/>
      <w:marTop w:val="0"/>
      <w:marBottom w:val="0"/>
      <w:divBdr>
        <w:top w:val="none" w:sz="0" w:space="0" w:color="auto"/>
        <w:left w:val="none" w:sz="0" w:space="0" w:color="auto"/>
        <w:bottom w:val="none" w:sz="0" w:space="0" w:color="auto"/>
        <w:right w:val="none" w:sz="0" w:space="0" w:color="auto"/>
      </w:divBdr>
    </w:div>
    <w:div w:id="1032464073">
      <w:bodyDiv w:val="1"/>
      <w:marLeft w:val="0"/>
      <w:marRight w:val="0"/>
      <w:marTop w:val="0"/>
      <w:marBottom w:val="0"/>
      <w:divBdr>
        <w:top w:val="none" w:sz="0" w:space="0" w:color="auto"/>
        <w:left w:val="none" w:sz="0" w:space="0" w:color="auto"/>
        <w:bottom w:val="none" w:sz="0" w:space="0" w:color="auto"/>
        <w:right w:val="none" w:sz="0" w:space="0" w:color="auto"/>
      </w:divBdr>
    </w:div>
    <w:div w:id="1032656333">
      <w:bodyDiv w:val="1"/>
      <w:marLeft w:val="0"/>
      <w:marRight w:val="0"/>
      <w:marTop w:val="0"/>
      <w:marBottom w:val="0"/>
      <w:divBdr>
        <w:top w:val="none" w:sz="0" w:space="0" w:color="auto"/>
        <w:left w:val="none" w:sz="0" w:space="0" w:color="auto"/>
        <w:bottom w:val="none" w:sz="0" w:space="0" w:color="auto"/>
        <w:right w:val="none" w:sz="0" w:space="0" w:color="auto"/>
      </w:divBdr>
    </w:div>
    <w:div w:id="1032725535">
      <w:bodyDiv w:val="1"/>
      <w:marLeft w:val="0"/>
      <w:marRight w:val="0"/>
      <w:marTop w:val="0"/>
      <w:marBottom w:val="0"/>
      <w:divBdr>
        <w:top w:val="none" w:sz="0" w:space="0" w:color="auto"/>
        <w:left w:val="none" w:sz="0" w:space="0" w:color="auto"/>
        <w:bottom w:val="none" w:sz="0" w:space="0" w:color="auto"/>
        <w:right w:val="none" w:sz="0" w:space="0" w:color="auto"/>
      </w:divBdr>
    </w:div>
    <w:div w:id="1033002245">
      <w:bodyDiv w:val="1"/>
      <w:marLeft w:val="0"/>
      <w:marRight w:val="0"/>
      <w:marTop w:val="0"/>
      <w:marBottom w:val="0"/>
      <w:divBdr>
        <w:top w:val="none" w:sz="0" w:space="0" w:color="auto"/>
        <w:left w:val="none" w:sz="0" w:space="0" w:color="auto"/>
        <w:bottom w:val="none" w:sz="0" w:space="0" w:color="auto"/>
        <w:right w:val="none" w:sz="0" w:space="0" w:color="auto"/>
      </w:divBdr>
    </w:div>
    <w:div w:id="1033068838">
      <w:bodyDiv w:val="1"/>
      <w:marLeft w:val="0"/>
      <w:marRight w:val="0"/>
      <w:marTop w:val="0"/>
      <w:marBottom w:val="0"/>
      <w:divBdr>
        <w:top w:val="none" w:sz="0" w:space="0" w:color="auto"/>
        <w:left w:val="none" w:sz="0" w:space="0" w:color="auto"/>
        <w:bottom w:val="none" w:sz="0" w:space="0" w:color="auto"/>
        <w:right w:val="none" w:sz="0" w:space="0" w:color="auto"/>
      </w:divBdr>
    </w:div>
    <w:div w:id="1033069805">
      <w:bodyDiv w:val="1"/>
      <w:marLeft w:val="0"/>
      <w:marRight w:val="0"/>
      <w:marTop w:val="0"/>
      <w:marBottom w:val="0"/>
      <w:divBdr>
        <w:top w:val="none" w:sz="0" w:space="0" w:color="auto"/>
        <w:left w:val="none" w:sz="0" w:space="0" w:color="auto"/>
        <w:bottom w:val="none" w:sz="0" w:space="0" w:color="auto"/>
        <w:right w:val="none" w:sz="0" w:space="0" w:color="auto"/>
      </w:divBdr>
    </w:div>
    <w:div w:id="1033073355">
      <w:bodyDiv w:val="1"/>
      <w:marLeft w:val="0"/>
      <w:marRight w:val="0"/>
      <w:marTop w:val="0"/>
      <w:marBottom w:val="0"/>
      <w:divBdr>
        <w:top w:val="none" w:sz="0" w:space="0" w:color="auto"/>
        <w:left w:val="none" w:sz="0" w:space="0" w:color="auto"/>
        <w:bottom w:val="none" w:sz="0" w:space="0" w:color="auto"/>
        <w:right w:val="none" w:sz="0" w:space="0" w:color="auto"/>
      </w:divBdr>
    </w:div>
    <w:div w:id="1033308001">
      <w:bodyDiv w:val="1"/>
      <w:marLeft w:val="0"/>
      <w:marRight w:val="0"/>
      <w:marTop w:val="0"/>
      <w:marBottom w:val="0"/>
      <w:divBdr>
        <w:top w:val="none" w:sz="0" w:space="0" w:color="auto"/>
        <w:left w:val="none" w:sz="0" w:space="0" w:color="auto"/>
        <w:bottom w:val="none" w:sz="0" w:space="0" w:color="auto"/>
        <w:right w:val="none" w:sz="0" w:space="0" w:color="auto"/>
      </w:divBdr>
    </w:div>
    <w:div w:id="1033462248">
      <w:bodyDiv w:val="1"/>
      <w:marLeft w:val="0"/>
      <w:marRight w:val="0"/>
      <w:marTop w:val="0"/>
      <w:marBottom w:val="0"/>
      <w:divBdr>
        <w:top w:val="none" w:sz="0" w:space="0" w:color="auto"/>
        <w:left w:val="none" w:sz="0" w:space="0" w:color="auto"/>
        <w:bottom w:val="none" w:sz="0" w:space="0" w:color="auto"/>
        <w:right w:val="none" w:sz="0" w:space="0" w:color="auto"/>
      </w:divBdr>
    </w:div>
    <w:div w:id="1033530874">
      <w:bodyDiv w:val="1"/>
      <w:marLeft w:val="0"/>
      <w:marRight w:val="0"/>
      <w:marTop w:val="0"/>
      <w:marBottom w:val="0"/>
      <w:divBdr>
        <w:top w:val="none" w:sz="0" w:space="0" w:color="auto"/>
        <w:left w:val="none" w:sz="0" w:space="0" w:color="auto"/>
        <w:bottom w:val="none" w:sz="0" w:space="0" w:color="auto"/>
        <w:right w:val="none" w:sz="0" w:space="0" w:color="auto"/>
      </w:divBdr>
    </w:div>
    <w:div w:id="1033535044">
      <w:bodyDiv w:val="1"/>
      <w:marLeft w:val="0"/>
      <w:marRight w:val="0"/>
      <w:marTop w:val="0"/>
      <w:marBottom w:val="0"/>
      <w:divBdr>
        <w:top w:val="none" w:sz="0" w:space="0" w:color="auto"/>
        <w:left w:val="none" w:sz="0" w:space="0" w:color="auto"/>
        <w:bottom w:val="none" w:sz="0" w:space="0" w:color="auto"/>
        <w:right w:val="none" w:sz="0" w:space="0" w:color="auto"/>
      </w:divBdr>
    </w:div>
    <w:div w:id="1033575918">
      <w:bodyDiv w:val="1"/>
      <w:marLeft w:val="0"/>
      <w:marRight w:val="0"/>
      <w:marTop w:val="0"/>
      <w:marBottom w:val="0"/>
      <w:divBdr>
        <w:top w:val="none" w:sz="0" w:space="0" w:color="auto"/>
        <w:left w:val="none" w:sz="0" w:space="0" w:color="auto"/>
        <w:bottom w:val="none" w:sz="0" w:space="0" w:color="auto"/>
        <w:right w:val="none" w:sz="0" w:space="0" w:color="auto"/>
      </w:divBdr>
    </w:div>
    <w:div w:id="1033581908">
      <w:bodyDiv w:val="1"/>
      <w:marLeft w:val="0"/>
      <w:marRight w:val="0"/>
      <w:marTop w:val="0"/>
      <w:marBottom w:val="0"/>
      <w:divBdr>
        <w:top w:val="none" w:sz="0" w:space="0" w:color="auto"/>
        <w:left w:val="none" w:sz="0" w:space="0" w:color="auto"/>
        <w:bottom w:val="none" w:sz="0" w:space="0" w:color="auto"/>
        <w:right w:val="none" w:sz="0" w:space="0" w:color="auto"/>
      </w:divBdr>
    </w:div>
    <w:div w:id="1033649604">
      <w:bodyDiv w:val="1"/>
      <w:marLeft w:val="0"/>
      <w:marRight w:val="0"/>
      <w:marTop w:val="0"/>
      <w:marBottom w:val="0"/>
      <w:divBdr>
        <w:top w:val="none" w:sz="0" w:space="0" w:color="auto"/>
        <w:left w:val="none" w:sz="0" w:space="0" w:color="auto"/>
        <w:bottom w:val="none" w:sz="0" w:space="0" w:color="auto"/>
        <w:right w:val="none" w:sz="0" w:space="0" w:color="auto"/>
      </w:divBdr>
    </w:div>
    <w:div w:id="1033726336">
      <w:bodyDiv w:val="1"/>
      <w:marLeft w:val="0"/>
      <w:marRight w:val="0"/>
      <w:marTop w:val="0"/>
      <w:marBottom w:val="0"/>
      <w:divBdr>
        <w:top w:val="none" w:sz="0" w:space="0" w:color="auto"/>
        <w:left w:val="none" w:sz="0" w:space="0" w:color="auto"/>
        <w:bottom w:val="none" w:sz="0" w:space="0" w:color="auto"/>
        <w:right w:val="none" w:sz="0" w:space="0" w:color="auto"/>
      </w:divBdr>
    </w:div>
    <w:div w:id="1033729363">
      <w:bodyDiv w:val="1"/>
      <w:marLeft w:val="0"/>
      <w:marRight w:val="0"/>
      <w:marTop w:val="0"/>
      <w:marBottom w:val="0"/>
      <w:divBdr>
        <w:top w:val="none" w:sz="0" w:space="0" w:color="auto"/>
        <w:left w:val="none" w:sz="0" w:space="0" w:color="auto"/>
        <w:bottom w:val="none" w:sz="0" w:space="0" w:color="auto"/>
        <w:right w:val="none" w:sz="0" w:space="0" w:color="auto"/>
      </w:divBdr>
    </w:div>
    <w:div w:id="1033922975">
      <w:bodyDiv w:val="1"/>
      <w:marLeft w:val="0"/>
      <w:marRight w:val="0"/>
      <w:marTop w:val="0"/>
      <w:marBottom w:val="0"/>
      <w:divBdr>
        <w:top w:val="none" w:sz="0" w:space="0" w:color="auto"/>
        <w:left w:val="none" w:sz="0" w:space="0" w:color="auto"/>
        <w:bottom w:val="none" w:sz="0" w:space="0" w:color="auto"/>
        <w:right w:val="none" w:sz="0" w:space="0" w:color="auto"/>
      </w:divBdr>
    </w:div>
    <w:div w:id="1034043087">
      <w:bodyDiv w:val="1"/>
      <w:marLeft w:val="0"/>
      <w:marRight w:val="0"/>
      <w:marTop w:val="0"/>
      <w:marBottom w:val="0"/>
      <w:divBdr>
        <w:top w:val="none" w:sz="0" w:space="0" w:color="auto"/>
        <w:left w:val="none" w:sz="0" w:space="0" w:color="auto"/>
        <w:bottom w:val="none" w:sz="0" w:space="0" w:color="auto"/>
        <w:right w:val="none" w:sz="0" w:space="0" w:color="auto"/>
      </w:divBdr>
    </w:div>
    <w:div w:id="1034113074">
      <w:bodyDiv w:val="1"/>
      <w:marLeft w:val="0"/>
      <w:marRight w:val="0"/>
      <w:marTop w:val="0"/>
      <w:marBottom w:val="0"/>
      <w:divBdr>
        <w:top w:val="none" w:sz="0" w:space="0" w:color="auto"/>
        <w:left w:val="none" w:sz="0" w:space="0" w:color="auto"/>
        <w:bottom w:val="none" w:sz="0" w:space="0" w:color="auto"/>
        <w:right w:val="none" w:sz="0" w:space="0" w:color="auto"/>
      </w:divBdr>
    </w:div>
    <w:div w:id="1034160136">
      <w:bodyDiv w:val="1"/>
      <w:marLeft w:val="0"/>
      <w:marRight w:val="0"/>
      <w:marTop w:val="0"/>
      <w:marBottom w:val="0"/>
      <w:divBdr>
        <w:top w:val="none" w:sz="0" w:space="0" w:color="auto"/>
        <w:left w:val="none" w:sz="0" w:space="0" w:color="auto"/>
        <w:bottom w:val="none" w:sz="0" w:space="0" w:color="auto"/>
        <w:right w:val="none" w:sz="0" w:space="0" w:color="auto"/>
      </w:divBdr>
    </w:div>
    <w:div w:id="1034187468">
      <w:bodyDiv w:val="1"/>
      <w:marLeft w:val="0"/>
      <w:marRight w:val="0"/>
      <w:marTop w:val="0"/>
      <w:marBottom w:val="0"/>
      <w:divBdr>
        <w:top w:val="none" w:sz="0" w:space="0" w:color="auto"/>
        <w:left w:val="none" w:sz="0" w:space="0" w:color="auto"/>
        <w:bottom w:val="none" w:sz="0" w:space="0" w:color="auto"/>
        <w:right w:val="none" w:sz="0" w:space="0" w:color="auto"/>
      </w:divBdr>
    </w:div>
    <w:div w:id="1034303413">
      <w:bodyDiv w:val="1"/>
      <w:marLeft w:val="0"/>
      <w:marRight w:val="0"/>
      <w:marTop w:val="0"/>
      <w:marBottom w:val="0"/>
      <w:divBdr>
        <w:top w:val="none" w:sz="0" w:space="0" w:color="auto"/>
        <w:left w:val="none" w:sz="0" w:space="0" w:color="auto"/>
        <w:bottom w:val="none" w:sz="0" w:space="0" w:color="auto"/>
        <w:right w:val="none" w:sz="0" w:space="0" w:color="auto"/>
      </w:divBdr>
    </w:div>
    <w:div w:id="1034497311">
      <w:bodyDiv w:val="1"/>
      <w:marLeft w:val="0"/>
      <w:marRight w:val="0"/>
      <w:marTop w:val="0"/>
      <w:marBottom w:val="0"/>
      <w:divBdr>
        <w:top w:val="none" w:sz="0" w:space="0" w:color="auto"/>
        <w:left w:val="none" w:sz="0" w:space="0" w:color="auto"/>
        <w:bottom w:val="none" w:sz="0" w:space="0" w:color="auto"/>
        <w:right w:val="none" w:sz="0" w:space="0" w:color="auto"/>
      </w:divBdr>
    </w:div>
    <w:div w:id="1034497446">
      <w:bodyDiv w:val="1"/>
      <w:marLeft w:val="0"/>
      <w:marRight w:val="0"/>
      <w:marTop w:val="0"/>
      <w:marBottom w:val="0"/>
      <w:divBdr>
        <w:top w:val="none" w:sz="0" w:space="0" w:color="auto"/>
        <w:left w:val="none" w:sz="0" w:space="0" w:color="auto"/>
        <w:bottom w:val="none" w:sz="0" w:space="0" w:color="auto"/>
        <w:right w:val="none" w:sz="0" w:space="0" w:color="auto"/>
      </w:divBdr>
    </w:div>
    <w:div w:id="1034501668">
      <w:bodyDiv w:val="1"/>
      <w:marLeft w:val="0"/>
      <w:marRight w:val="0"/>
      <w:marTop w:val="0"/>
      <w:marBottom w:val="0"/>
      <w:divBdr>
        <w:top w:val="none" w:sz="0" w:space="0" w:color="auto"/>
        <w:left w:val="none" w:sz="0" w:space="0" w:color="auto"/>
        <w:bottom w:val="none" w:sz="0" w:space="0" w:color="auto"/>
        <w:right w:val="none" w:sz="0" w:space="0" w:color="auto"/>
      </w:divBdr>
    </w:div>
    <w:div w:id="1034575626">
      <w:bodyDiv w:val="1"/>
      <w:marLeft w:val="0"/>
      <w:marRight w:val="0"/>
      <w:marTop w:val="0"/>
      <w:marBottom w:val="0"/>
      <w:divBdr>
        <w:top w:val="none" w:sz="0" w:space="0" w:color="auto"/>
        <w:left w:val="none" w:sz="0" w:space="0" w:color="auto"/>
        <w:bottom w:val="none" w:sz="0" w:space="0" w:color="auto"/>
        <w:right w:val="none" w:sz="0" w:space="0" w:color="auto"/>
      </w:divBdr>
    </w:div>
    <w:div w:id="1034578696">
      <w:bodyDiv w:val="1"/>
      <w:marLeft w:val="0"/>
      <w:marRight w:val="0"/>
      <w:marTop w:val="0"/>
      <w:marBottom w:val="0"/>
      <w:divBdr>
        <w:top w:val="none" w:sz="0" w:space="0" w:color="auto"/>
        <w:left w:val="none" w:sz="0" w:space="0" w:color="auto"/>
        <w:bottom w:val="none" w:sz="0" w:space="0" w:color="auto"/>
        <w:right w:val="none" w:sz="0" w:space="0" w:color="auto"/>
      </w:divBdr>
    </w:div>
    <w:div w:id="1034767137">
      <w:bodyDiv w:val="1"/>
      <w:marLeft w:val="0"/>
      <w:marRight w:val="0"/>
      <w:marTop w:val="0"/>
      <w:marBottom w:val="0"/>
      <w:divBdr>
        <w:top w:val="none" w:sz="0" w:space="0" w:color="auto"/>
        <w:left w:val="none" w:sz="0" w:space="0" w:color="auto"/>
        <w:bottom w:val="none" w:sz="0" w:space="0" w:color="auto"/>
        <w:right w:val="none" w:sz="0" w:space="0" w:color="auto"/>
      </w:divBdr>
    </w:div>
    <w:div w:id="1034963258">
      <w:bodyDiv w:val="1"/>
      <w:marLeft w:val="0"/>
      <w:marRight w:val="0"/>
      <w:marTop w:val="0"/>
      <w:marBottom w:val="0"/>
      <w:divBdr>
        <w:top w:val="none" w:sz="0" w:space="0" w:color="auto"/>
        <w:left w:val="none" w:sz="0" w:space="0" w:color="auto"/>
        <w:bottom w:val="none" w:sz="0" w:space="0" w:color="auto"/>
        <w:right w:val="none" w:sz="0" w:space="0" w:color="auto"/>
      </w:divBdr>
    </w:div>
    <w:div w:id="1035039281">
      <w:bodyDiv w:val="1"/>
      <w:marLeft w:val="0"/>
      <w:marRight w:val="0"/>
      <w:marTop w:val="0"/>
      <w:marBottom w:val="0"/>
      <w:divBdr>
        <w:top w:val="none" w:sz="0" w:space="0" w:color="auto"/>
        <w:left w:val="none" w:sz="0" w:space="0" w:color="auto"/>
        <w:bottom w:val="none" w:sz="0" w:space="0" w:color="auto"/>
        <w:right w:val="none" w:sz="0" w:space="0" w:color="auto"/>
      </w:divBdr>
    </w:div>
    <w:div w:id="1035076505">
      <w:bodyDiv w:val="1"/>
      <w:marLeft w:val="0"/>
      <w:marRight w:val="0"/>
      <w:marTop w:val="0"/>
      <w:marBottom w:val="0"/>
      <w:divBdr>
        <w:top w:val="none" w:sz="0" w:space="0" w:color="auto"/>
        <w:left w:val="none" w:sz="0" w:space="0" w:color="auto"/>
        <w:bottom w:val="none" w:sz="0" w:space="0" w:color="auto"/>
        <w:right w:val="none" w:sz="0" w:space="0" w:color="auto"/>
      </w:divBdr>
    </w:div>
    <w:div w:id="1035081958">
      <w:bodyDiv w:val="1"/>
      <w:marLeft w:val="0"/>
      <w:marRight w:val="0"/>
      <w:marTop w:val="0"/>
      <w:marBottom w:val="0"/>
      <w:divBdr>
        <w:top w:val="none" w:sz="0" w:space="0" w:color="auto"/>
        <w:left w:val="none" w:sz="0" w:space="0" w:color="auto"/>
        <w:bottom w:val="none" w:sz="0" w:space="0" w:color="auto"/>
        <w:right w:val="none" w:sz="0" w:space="0" w:color="auto"/>
      </w:divBdr>
    </w:div>
    <w:div w:id="1035157350">
      <w:bodyDiv w:val="1"/>
      <w:marLeft w:val="0"/>
      <w:marRight w:val="0"/>
      <w:marTop w:val="0"/>
      <w:marBottom w:val="0"/>
      <w:divBdr>
        <w:top w:val="none" w:sz="0" w:space="0" w:color="auto"/>
        <w:left w:val="none" w:sz="0" w:space="0" w:color="auto"/>
        <w:bottom w:val="none" w:sz="0" w:space="0" w:color="auto"/>
        <w:right w:val="none" w:sz="0" w:space="0" w:color="auto"/>
      </w:divBdr>
    </w:div>
    <w:div w:id="1035160616">
      <w:bodyDiv w:val="1"/>
      <w:marLeft w:val="0"/>
      <w:marRight w:val="0"/>
      <w:marTop w:val="0"/>
      <w:marBottom w:val="0"/>
      <w:divBdr>
        <w:top w:val="none" w:sz="0" w:space="0" w:color="auto"/>
        <w:left w:val="none" w:sz="0" w:space="0" w:color="auto"/>
        <w:bottom w:val="none" w:sz="0" w:space="0" w:color="auto"/>
        <w:right w:val="none" w:sz="0" w:space="0" w:color="auto"/>
      </w:divBdr>
    </w:div>
    <w:div w:id="1035229148">
      <w:bodyDiv w:val="1"/>
      <w:marLeft w:val="0"/>
      <w:marRight w:val="0"/>
      <w:marTop w:val="0"/>
      <w:marBottom w:val="0"/>
      <w:divBdr>
        <w:top w:val="none" w:sz="0" w:space="0" w:color="auto"/>
        <w:left w:val="none" w:sz="0" w:space="0" w:color="auto"/>
        <w:bottom w:val="none" w:sz="0" w:space="0" w:color="auto"/>
        <w:right w:val="none" w:sz="0" w:space="0" w:color="auto"/>
      </w:divBdr>
    </w:div>
    <w:div w:id="1035233406">
      <w:bodyDiv w:val="1"/>
      <w:marLeft w:val="0"/>
      <w:marRight w:val="0"/>
      <w:marTop w:val="0"/>
      <w:marBottom w:val="0"/>
      <w:divBdr>
        <w:top w:val="none" w:sz="0" w:space="0" w:color="auto"/>
        <w:left w:val="none" w:sz="0" w:space="0" w:color="auto"/>
        <w:bottom w:val="none" w:sz="0" w:space="0" w:color="auto"/>
        <w:right w:val="none" w:sz="0" w:space="0" w:color="auto"/>
      </w:divBdr>
    </w:div>
    <w:div w:id="1035470220">
      <w:bodyDiv w:val="1"/>
      <w:marLeft w:val="0"/>
      <w:marRight w:val="0"/>
      <w:marTop w:val="0"/>
      <w:marBottom w:val="0"/>
      <w:divBdr>
        <w:top w:val="none" w:sz="0" w:space="0" w:color="auto"/>
        <w:left w:val="none" w:sz="0" w:space="0" w:color="auto"/>
        <w:bottom w:val="none" w:sz="0" w:space="0" w:color="auto"/>
        <w:right w:val="none" w:sz="0" w:space="0" w:color="auto"/>
      </w:divBdr>
    </w:div>
    <w:div w:id="1035693756">
      <w:bodyDiv w:val="1"/>
      <w:marLeft w:val="0"/>
      <w:marRight w:val="0"/>
      <w:marTop w:val="0"/>
      <w:marBottom w:val="0"/>
      <w:divBdr>
        <w:top w:val="none" w:sz="0" w:space="0" w:color="auto"/>
        <w:left w:val="none" w:sz="0" w:space="0" w:color="auto"/>
        <w:bottom w:val="none" w:sz="0" w:space="0" w:color="auto"/>
        <w:right w:val="none" w:sz="0" w:space="0" w:color="auto"/>
      </w:divBdr>
    </w:div>
    <w:div w:id="1035694057">
      <w:bodyDiv w:val="1"/>
      <w:marLeft w:val="0"/>
      <w:marRight w:val="0"/>
      <w:marTop w:val="0"/>
      <w:marBottom w:val="0"/>
      <w:divBdr>
        <w:top w:val="none" w:sz="0" w:space="0" w:color="auto"/>
        <w:left w:val="none" w:sz="0" w:space="0" w:color="auto"/>
        <w:bottom w:val="none" w:sz="0" w:space="0" w:color="auto"/>
        <w:right w:val="none" w:sz="0" w:space="0" w:color="auto"/>
      </w:divBdr>
    </w:div>
    <w:div w:id="1035696592">
      <w:bodyDiv w:val="1"/>
      <w:marLeft w:val="0"/>
      <w:marRight w:val="0"/>
      <w:marTop w:val="0"/>
      <w:marBottom w:val="0"/>
      <w:divBdr>
        <w:top w:val="none" w:sz="0" w:space="0" w:color="auto"/>
        <w:left w:val="none" w:sz="0" w:space="0" w:color="auto"/>
        <w:bottom w:val="none" w:sz="0" w:space="0" w:color="auto"/>
        <w:right w:val="none" w:sz="0" w:space="0" w:color="auto"/>
      </w:divBdr>
    </w:div>
    <w:div w:id="1035735835">
      <w:bodyDiv w:val="1"/>
      <w:marLeft w:val="0"/>
      <w:marRight w:val="0"/>
      <w:marTop w:val="0"/>
      <w:marBottom w:val="0"/>
      <w:divBdr>
        <w:top w:val="none" w:sz="0" w:space="0" w:color="auto"/>
        <w:left w:val="none" w:sz="0" w:space="0" w:color="auto"/>
        <w:bottom w:val="none" w:sz="0" w:space="0" w:color="auto"/>
        <w:right w:val="none" w:sz="0" w:space="0" w:color="auto"/>
      </w:divBdr>
    </w:div>
    <w:div w:id="1035815587">
      <w:bodyDiv w:val="1"/>
      <w:marLeft w:val="0"/>
      <w:marRight w:val="0"/>
      <w:marTop w:val="0"/>
      <w:marBottom w:val="0"/>
      <w:divBdr>
        <w:top w:val="none" w:sz="0" w:space="0" w:color="auto"/>
        <w:left w:val="none" w:sz="0" w:space="0" w:color="auto"/>
        <w:bottom w:val="none" w:sz="0" w:space="0" w:color="auto"/>
        <w:right w:val="none" w:sz="0" w:space="0" w:color="auto"/>
      </w:divBdr>
    </w:div>
    <w:div w:id="1035932476">
      <w:bodyDiv w:val="1"/>
      <w:marLeft w:val="0"/>
      <w:marRight w:val="0"/>
      <w:marTop w:val="0"/>
      <w:marBottom w:val="0"/>
      <w:divBdr>
        <w:top w:val="none" w:sz="0" w:space="0" w:color="auto"/>
        <w:left w:val="none" w:sz="0" w:space="0" w:color="auto"/>
        <w:bottom w:val="none" w:sz="0" w:space="0" w:color="auto"/>
        <w:right w:val="none" w:sz="0" w:space="0" w:color="auto"/>
      </w:divBdr>
    </w:div>
    <w:div w:id="1035959859">
      <w:bodyDiv w:val="1"/>
      <w:marLeft w:val="0"/>
      <w:marRight w:val="0"/>
      <w:marTop w:val="0"/>
      <w:marBottom w:val="0"/>
      <w:divBdr>
        <w:top w:val="none" w:sz="0" w:space="0" w:color="auto"/>
        <w:left w:val="none" w:sz="0" w:space="0" w:color="auto"/>
        <w:bottom w:val="none" w:sz="0" w:space="0" w:color="auto"/>
        <w:right w:val="none" w:sz="0" w:space="0" w:color="auto"/>
      </w:divBdr>
    </w:div>
    <w:div w:id="1036009137">
      <w:bodyDiv w:val="1"/>
      <w:marLeft w:val="0"/>
      <w:marRight w:val="0"/>
      <w:marTop w:val="0"/>
      <w:marBottom w:val="0"/>
      <w:divBdr>
        <w:top w:val="none" w:sz="0" w:space="0" w:color="auto"/>
        <w:left w:val="none" w:sz="0" w:space="0" w:color="auto"/>
        <w:bottom w:val="none" w:sz="0" w:space="0" w:color="auto"/>
        <w:right w:val="none" w:sz="0" w:space="0" w:color="auto"/>
      </w:divBdr>
    </w:div>
    <w:div w:id="1036081357">
      <w:bodyDiv w:val="1"/>
      <w:marLeft w:val="0"/>
      <w:marRight w:val="0"/>
      <w:marTop w:val="0"/>
      <w:marBottom w:val="0"/>
      <w:divBdr>
        <w:top w:val="none" w:sz="0" w:space="0" w:color="auto"/>
        <w:left w:val="none" w:sz="0" w:space="0" w:color="auto"/>
        <w:bottom w:val="none" w:sz="0" w:space="0" w:color="auto"/>
        <w:right w:val="none" w:sz="0" w:space="0" w:color="auto"/>
      </w:divBdr>
    </w:div>
    <w:div w:id="1036126396">
      <w:bodyDiv w:val="1"/>
      <w:marLeft w:val="0"/>
      <w:marRight w:val="0"/>
      <w:marTop w:val="0"/>
      <w:marBottom w:val="0"/>
      <w:divBdr>
        <w:top w:val="none" w:sz="0" w:space="0" w:color="auto"/>
        <w:left w:val="none" w:sz="0" w:space="0" w:color="auto"/>
        <w:bottom w:val="none" w:sz="0" w:space="0" w:color="auto"/>
        <w:right w:val="none" w:sz="0" w:space="0" w:color="auto"/>
      </w:divBdr>
    </w:div>
    <w:div w:id="1036127238">
      <w:bodyDiv w:val="1"/>
      <w:marLeft w:val="0"/>
      <w:marRight w:val="0"/>
      <w:marTop w:val="0"/>
      <w:marBottom w:val="0"/>
      <w:divBdr>
        <w:top w:val="none" w:sz="0" w:space="0" w:color="auto"/>
        <w:left w:val="none" w:sz="0" w:space="0" w:color="auto"/>
        <w:bottom w:val="none" w:sz="0" w:space="0" w:color="auto"/>
        <w:right w:val="none" w:sz="0" w:space="0" w:color="auto"/>
      </w:divBdr>
    </w:div>
    <w:div w:id="1036153742">
      <w:bodyDiv w:val="1"/>
      <w:marLeft w:val="0"/>
      <w:marRight w:val="0"/>
      <w:marTop w:val="0"/>
      <w:marBottom w:val="0"/>
      <w:divBdr>
        <w:top w:val="none" w:sz="0" w:space="0" w:color="auto"/>
        <w:left w:val="none" w:sz="0" w:space="0" w:color="auto"/>
        <w:bottom w:val="none" w:sz="0" w:space="0" w:color="auto"/>
        <w:right w:val="none" w:sz="0" w:space="0" w:color="auto"/>
      </w:divBdr>
    </w:div>
    <w:div w:id="1036194920">
      <w:bodyDiv w:val="1"/>
      <w:marLeft w:val="0"/>
      <w:marRight w:val="0"/>
      <w:marTop w:val="0"/>
      <w:marBottom w:val="0"/>
      <w:divBdr>
        <w:top w:val="none" w:sz="0" w:space="0" w:color="auto"/>
        <w:left w:val="none" w:sz="0" w:space="0" w:color="auto"/>
        <w:bottom w:val="none" w:sz="0" w:space="0" w:color="auto"/>
        <w:right w:val="none" w:sz="0" w:space="0" w:color="auto"/>
      </w:divBdr>
    </w:div>
    <w:div w:id="1036201816">
      <w:bodyDiv w:val="1"/>
      <w:marLeft w:val="0"/>
      <w:marRight w:val="0"/>
      <w:marTop w:val="0"/>
      <w:marBottom w:val="0"/>
      <w:divBdr>
        <w:top w:val="none" w:sz="0" w:space="0" w:color="auto"/>
        <w:left w:val="none" w:sz="0" w:space="0" w:color="auto"/>
        <w:bottom w:val="none" w:sz="0" w:space="0" w:color="auto"/>
        <w:right w:val="none" w:sz="0" w:space="0" w:color="auto"/>
      </w:divBdr>
    </w:div>
    <w:div w:id="1036345688">
      <w:bodyDiv w:val="1"/>
      <w:marLeft w:val="0"/>
      <w:marRight w:val="0"/>
      <w:marTop w:val="0"/>
      <w:marBottom w:val="0"/>
      <w:divBdr>
        <w:top w:val="none" w:sz="0" w:space="0" w:color="auto"/>
        <w:left w:val="none" w:sz="0" w:space="0" w:color="auto"/>
        <w:bottom w:val="none" w:sz="0" w:space="0" w:color="auto"/>
        <w:right w:val="none" w:sz="0" w:space="0" w:color="auto"/>
      </w:divBdr>
    </w:div>
    <w:div w:id="1036387024">
      <w:bodyDiv w:val="1"/>
      <w:marLeft w:val="0"/>
      <w:marRight w:val="0"/>
      <w:marTop w:val="0"/>
      <w:marBottom w:val="0"/>
      <w:divBdr>
        <w:top w:val="none" w:sz="0" w:space="0" w:color="auto"/>
        <w:left w:val="none" w:sz="0" w:space="0" w:color="auto"/>
        <w:bottom w:val="none" w:sz="0" w:space="0" w:color="auto"/>
        <w:right w:val="none" w:sz="0" w:space="0" w:color="auto"/>
      </w:divBdr>
    </w:div>
    <w:div w:id="1036467829">
      <w:bodyDiv w:val="1"/>
      <w:marLeft w:val="0"/>
      <w:marRight w:val="0"/>
      <w:marTop w:val="0"/>
      <w:marBottom w:val="0"/>
      <w:divBdr>
        <w:top w:val="none" w:sz="0" w:space="0" w:color="auto"/>
        <w:left w:val="none" w:sz="0" w:space="0" w:color="auto"/>
        <w:bottom w:val="none" w:sz="0" w:space="0" w:color="auto"/>
        <w:right w:val="none" w:sz="0" w:space="0" w:color="auto"/>
      </w:divBdr>
    </w:div>
    <w:div w:id="1036544161">
      <w:bodyDiv w:val="1"/>
      <w:marLeft w:val="0"/>
      <w:marRight w:val="0"/>
      <w:marTop w:val="0"/>
      <w:marBottom w:val="0"/>
      <w:divBdr>
        <w:top w:val="none" w:sz="0" w:space="0" w:color="auto"/>
        <w:left w:val="none" w:sz="0" w:space="0" w:color="auto"/>
        <w:bottom w:val="none" w:sz="0" w:space="0" w:color="auto"/>
        <w:right w:val="none" w:sz="0" w:space="0" w:color="auto"/>
      </w:divBdr>
    </w:div>
    <w:div w:id="1036732752">
      <w:bodyDiv w:val="1"/>
      <w:marLeft w:val="0"/>
      <w:marRight w:val="0"/>
      <w:marTop w:val="0"/>
      <w:marBottom w:val="0"/>
      <w:divBdr>
        <w:top w:val="none" w:sz="0" w:space="0" w:color="auto"/>
        <w:left w:val="none" w:sz="0" w:space="0" w:color="auto"/>
        <w:bottom w:val="none" w:sz="0" w:space="0" w:color="auto"/>
        <w:right w:val="none" w:sz="0" w:space="0" w:color="auto"/>
      </w:divBdr>
    </w:div>
    <w:div w:id="1036811085">
      <w:bodyDiv w:val="1"/>
      <w:marLeft w:val="0"/>
      <w:marRight w:val="0"/>
      <w:marTop w:val="0"/>
      <w:marBottom w:val="0"/>
      <w:divBdr>
        <w:top w:val="none" w:sz="0" w:space="0" w:color="auto"/>
        <w:left w:val="none" w:sz="0" w:space="0" w:color="auto"/>
        <w:bottom w:val="none" w:sz="0" w:space="0" w:color="auto"/>
        <w:right w:val="none" w:sz="0" w:space="0" w:color="auto"/>
      </w:divBdr>
    </w:div>
    <w:div w:id="1037001888">
      <w:bodyDiv w:val="1"/>
      <w:marLeft w:val="0"/>
      <w:marRight w:val="0"/>
      <w:marTop w:val="0"/>
      <w:marBottom w:val="0"/>
      <w:divBdr>
        <w:top w:val="none" w:sz="0" w:space="0" w:color="auto"/>
        <w:left w:val="none" w:sz="0" w:space="0" w:color="auto"/>
        <w:bottom w:val="none" w:sz="0" w:space="0" w:color="auto"/>
        <w:right w:val="none" w:sz="0" w:space="0" w:color="auto"/>
      </w:divBdr>
    </w:div>
    <w:div w:id="1037002926">
      <w:bodyDiv w:val="1"/>
      <w:marLeft w:val="0"/>
      <w:marRight w:val="0"/>
      <w:marTop w:val="0"/>
      <w:marBottom w:val="0"/>
      <w:divBdr>
        <w:top w:val="none" w:sz="0" w:space="0" w:color="auto"/>
        <w:left w:val="none" w:sz="0" w:space="0" w:color="auto"/>
        <w:bottom w:val="none" w:sz="0" w:space="0" w:color="auto"/>
        <w:right w:val="none" w:sz="0" w:space="0" w:color="auto"/>
      </w:divBdr>
    </w:div>
    <w:div w:id="1037008332">
      <w:bodyDiv w:val="1"/>
      <w:marLeft w:val="0"/>
      <w:marRight w:val="0"/>
      <w:marTop w:val="0"/>
      <w:marBottom w:val="0"/>
      <w:divBdr>
        <w:top w:val="none" w:sz="0" w:space="0" w:color="auto"/>
        <w:left w:val="none" w:sz="0" w:space="0" w:color="auto"/>
        <w:bottom w:val="none" w:sz="0" w:space="0" w:color="auto"/>
        <w:right w:val="none" w:sz="0" w:space="0" w:color="auto"/>
      </w:divBdr>
    </w:div>
    <w:div w:id="1037046539">
      <w:bodyDiv w:val="1"/>
      <w:marLeft w:val="0"/>
      <w:marRight w:val="0"/>
      <w:marTop w:val="0"/>
      <w:marBottom w:val="0"/>
      <w:divBdr>
        <w:top w:val="none" w:sz="0" w:space="0" w:color="auto"/>
        <w:left w:val="none" w:sz="0" w:space="0" w:color="auto"/>
        <w:bottom w:val="none" w:sz="0" w:space="0" w:color="auto"/>
        <w:right w:val="none" w:sz="0" w:space="0" w:color="auto"/>
      </w:divBdr>
    </w:div>
    <w:div w:id="1037050329">
      <w:bodyDiv w:val="1"/>
      <w:marLeft w:val="0"/>
      <w:marRight w:val="0"/>
      <w:marTop w:val="0"/>
      <w:marBottom w:val="0"/>
      <w:divBdr>
        <w:top w:val="none" w:sz="0" w:space="0" w:color="auto"/>
        <w:left w:val="none" w:sz="0" w:space="0" w:color="auto"/>
        <w:bottom w:val="none" w:sz="0" w:space="0" w:color="auto"/>
        <w:right w:val="none" w:sz="0" w:space="0" w:color="auto"/>
      </w:divBdr>
    </w:div>
    <w:div w:id="1037193845">
      <w:bodyDiv w:val="1"/>
      <w:marLeft w:val="0"/>
      <w:marRight w:val="0"/>
      <w:marTop w:val="0"/>
      <w:marBottom w:val="0"/>
      <w:divBdr>
        <w:top w:val="none" w:sz="0" w:space="0" w:color="auto"/>
        <w:left w:val="none" w:sz="0" w:space="0" w:color="auto"/>
        <w:bottom w:val="none" w:sz="0" w:space="0" w:color="auto"/>
        <w:right w:val="none" w:sz="0" w:space="0" w:color="auto"/>
      </w:divBdr>
    </w:div>
    <w:div w:id="1037197241">
      <w:bodyDiv w:val="1"/>
      <w:marLeft w:val="0"/>
      <w:marRight w:val="0"/>
      <w:marTop w:val="0"/>
      <w:marBottom w:val="0"/>
      <w:divBdr>
        <w:top w:val="none" w:sz="0" w:space="0" w:color="auto"/>
        <w:left w:val="none" w:sz="0" w:space="0" w:color="auto"/>
        <w:bottom w:val="none" w:sz="0" w:space="0" w:color="auto"/>
        <w:right w:val="none" w:sz="0" w:space="0" w:color="auto"/>
      </w:divBdr>
    </w:div>
    <w:div w:id="1037242621">
      <w:bodyDiv w:val="1"/>
      <w:marLeft w:val="0"/>
      <w:marRight w:val="0"/>
      <w:marTop w:val="0"/>
      <w:marBottom w:val="0"/>
      <w:divBdr>
        <w:top w:val="none" w:sz="0" w:space="0" w:color="auto"/>
        <w:left w:val="none" w:sz="0" w:space="0" w:color="auto"/>
        <w:bottom w:val="none" w:sz="0" w:space="0" w:color="auto"/>
        <w:right w:val="none" w:sz="0" w:space="0" w:color="auto"/>
      </w:divBdr>
    </w:div>
    <w:div w:id="1037243948">
      <w:bodyDiv w:val="1"/>
      <w:marLeft w:val="0"/>
      <w:marRight w:val="0"/>
      <w:marTop w:val="0"/>
      <w:marBottom w:val="0"/>
      <w:divBdr>
        <w:top w:val="none" w:sz="0" w:space="0" w:color="auto"/>
        <w:left w:val="none" w:sz="0" w:space="0" w:color="auto"/>
        <w:bottom w:val="none" w:sz="0" w:space="0" w:color="auto"/>
        <w:right w:val="none" w:sz="0" w:space="0" w:color="auto"/>
      </w:divBdr>
    </w:div>
    <w:div w:id="1037315277">
      <w:bodyDiv w:val="1"/>
      <w:marLeft w:val="0"/>
      <w:marRight w:val="0"/>
      <w:marTop w:val="0"/>
      <w:marBottom w:val="0"/>
      <w:divBdr>
        <w:top w:val="none" w:sz="0" w:space="0" w:color="auto"/>
        <w:left w:val="none" w:sz="0" w:space="0" w:color="auto"/>
        <w:bottom w:val="none" w:sz="0" w:space="0" w:color="auto"/>
        <w:right w:val="none" w:sz="0" w:space="0" w:color="auto"/>
      </w:divBdr>
    </w:div>
    <w:div w:id="1037438071">
      <w:bodyDiv w:val="1"/>
      <w:marLeft w:val="0"/>
      <w:marRight w:val="0"/>
      <w:marTop w:val="0"/>
      <w:marBottom w:val="0"/>
      <w:divBdr>
        <w:top w:val="none" w:sz="0" w:space="0" w:color="auto"/>
        <w:left w:val="none" w:sz="0" w:space="0" w:color="auto"/>
        <w:bottom w:val="none" w:sz="0" w:space="0" w:color="auto"/>
        <w:right w:val="none" w:sz="0" w:space="0" w:color="auto"/>
      </w:divBdr>
    </w:div>
    <w:div w:id="1037582278">
      <w:bodyDiv w:val="1"/>
      <w:marLeft w:val="0"/>
      <w:marRight w:val="0"/>
      <w:marTop w:val="0"/>
      <w:marBottom w:val="0"/>
      <w:divBdr>
        <w:top w:val="none" w:sz="0" w:space="0" w:color="auto"/>
        <w:left w:val="none" w:sz="0" w:space="0" w:color="auto"/>
        <w:bottom w:val="none" w:sz="0" w:space="0" w:color="auto"/>
        <w:right w:val="none" w:sz="0" w:space="0" w:color="auto"/>
      </w:divBdr>
    </w:div>
    <w:div w:id="1037585246">
      <w:bodyDiv w:val="1"/>
      <w:marLeft w:val="0"/>
      <w:marRight w:val="0"/>
      <w:marTop w:val="0"/>
      <w:marBottom w:val="0"/>
      <w:divBdr>
        <w:top w:val="none" w:sz="0" w:space="0" w:color="auto"/>
        <w:left w:val="none" w:sz="0" w:space="0" w:color="auto"/>
        <w:bottom w:val="none" w:sz="0" w:space="0" w:color="auto"/>
        <w:right w:val="none" w:sz="0" w:space="0" w:color="auto"/>
      </w:divBdr>
    </w:div>
    <w:div w:id="1037776622">
      <w:bodyDiv w:val="1"/>
      <w:marLeft w:val="0"/>
      <w:marRight w:val="0"/>
      <w:marTop w:val="0"/>
      <w:marBottom w:val="0"/>
      <w:divBdr>
        <w:top w:val="none" w:sz="0" w:space="0" w:color="auto"/>
        <w:left w:val="none" w:sz="0" w:space="0" w:color="auto"/>
        <w:bottom w:val="none" w:sz="0" w:space="0" w:color="auto"/>
        <w:right w:val="none" w:sz="0" w:space="0" w:color="auto"/>
      </w:divBdr>
    </w:div>
    <w:div w:id="1037924067">
      <w:bodyDiv w:val="1"/>
      <w:marLeft w:val="0"/>
      <w:marRight w:val="0"/>
      <w:marTop w:val="0"/>
      <w:marBottom w:val="0"/>
      <w:divBdr>
        <w:top w:val="none" w:sz="0" w:space="0" w:color="auto"/>
        <w:left w:val="none" w:sz="0" w:space="0" w:color="auto"/>
        <w:bottom w:val="none" w:sz="0" w:space="0" w:color="auto"/>
        <w:right w:val="none" w:sz="0" w:space="0" w:color="auto"/>
      </w:divBdr>
    </w:div>
    <w:div w:id="1037924408">
      <w:bodyDiv w:val="1"/>
      <w:marLeft w:val="0"/>
      <w:marRight w:val="0"/>
      <w:marTop w:val="0"/>
      <w:marBottom w:val="0"/>
      <w:divBdr>
        <w:top w:val="none" w:sz="0" w:space="0" w:color="auto"/>
        <w:left w:val="none" w:sz="0" w:space="0" w:color="auto"/>
        <w:bottom w:val="none" w:sz="0" w:space="0" w:color="auto"/>
        <w:right w:val="none" w:sz="0" w:space="0" w:color="auto"/>
      </w:divBdr>
    </w:div>
    <w:div w:id="1037924830">
      <w:bodyDiv w:val="1"/>
      <w:marLeft w:val="0"/>
      <w:marRight w:val="0"/>
      <w:marTop w:val="0"/>
      <w:marBottom w:val="0"/>
      <w:divBdr>
        <w:top w:val="none" w:sz="0" w:space="0" w:color="auto"/>
        <w:left w:val="none" w:sz="0" w:space="0" w:color="auto"/>
        <w:bottom w:val="none" w:sz="0" w:space="0" w:color="auto"/>
        <w:right w:val="none" w:sz="0" w:space="0" w:color="auto"/>
      </w:divBdr>
    </w:div>
    <w:div w:id="1037926305">
      <w:bodyDiv w:val="1"/>
      <w:marLeft w:val="0"/>
      <w:marRight w:val="0"/>
      <w:marTop w:val="0"/>
      <w:marBottom w:val="0"/>
      <w:divBdr>
        <w:top w:val="none" w:sz="0" w:space="0" w:color="auto"/>
        <w:left w:val="none" w:sz="0" w:space="0" w:color="auto"/>
        <w:bottom w:val="none" w:sz="0" w:space="0" w:color="auto"/>
        <w:right w:val="none" w:sz="0" w:space="0" w:color="auto"/>
      </w:divBdr>
    </w:div>
    <w:div w:id="1038042098">
      <w:bodyDiv w:val="1"/>
      <w:marLeft w:val="0"/>
      <w:marRight w:val="0"/>
      <w:marTop w:val="0"/>
      <w:marBottom w:val="0"/>
      <w:divBdr>
        <w:top w:val="none" w:sz="0" w:space="0" w:color="auto"/>
        <w:left w:val="none" w:sz="0" w:space="0" w:color="auto"/>
        <w:bottom w:val="none" w:sz="0" w:space="0" w:color="auto"/>
        <w:right w:val="none" w:sz="0" w:space="0" w:color="auto"/>
      </w:divBdr>
    </w:div>
    <w:div w:id="1038160480">
      <w:bodyDiv w:val="1"/>
      <w:marLeft w:val="0"/>
      <w:marRight w:val="0"/>
      <w:marTop w:val="0"/>
      <w:marBottom w:val="0"/>
      <w:divBdr>
        <w:top w:val="none" w:sz="0" w:space="0" w:color="auto"/>
        <w:left w:val="none" w:sz="0" w:space="0" w:color="auto"/>
        <w:bottom w:val="none" w:sz="0" w:space="0" w:color="auto"/>
        <w:right w:val="none" w:sz="0" w:space="0" w:color="auto"/>
      </w:divBdr>
    </w:div>
    <w:div w:id="1038238606">
      <w:bodyDiv w:val="1"/>
      <w:marLeft w:val="0"/>
      <w:marRight w:val="0"/>
      <w:marTop w:val="0"/>
      <w:marBottom w:val="0"/>
      <w:divBdr>
        <w:top w:val="none" w:sz="0" w:space="0" w:color="auto"/>
        <w:left w:val="none" w:sz="0" w:space="0" w:color="auto"/>
        <w:bottom w:val="none" w:sz="0" w:space="0" w:color="auto"/>
        <w:right w:val="none" w:sz="0" w:space="0" w:color="auto"/>
      </w:divBdr>
    </w:div>
    <w:div w:id="1038317976">
      <w:bodyDiv w:val="1"/>
      <w:marLeft w:val="0"/>
      <w:marRight w:val="0"/>
      <w:marTop w:val="0"/>
      <w:marBottom w:val="0"/>
      <w:divBdr>
        <w:top w:val="none" w:sz="0" w:space="0" w:color="auto"/>
        <w:left w:val="none" w:sz="0" w:space="0" w:color="auto"/>
        <w:bottom w:val="none" w:sz="0" w:space="0" w:color="auto"/>
        <w:right w:val="none" w:sz="0" w:space="0" w:color="auto"/>
      </w:divBdr>
    </w:div>
    <w:div w:id="1038358309">
      <w:bodyDiv w:val="1"/>
      <w:marLeft w:val="0"/>
      <w:marRight w:val="0"/>
      <w:marTop w:val="0"/>
      <w:marBottom w:val="0"/>
      <w:divBdr>
        <w:top w:val="none" w:sz="0" w:space="0" w:color="auto"/>
        <w:left w:val="none" w:sz="0" w:space="0" w:color="auto"/>
        <w:bottom w:val="none" w:sz="0" w:space="0" w:color="auto"/>
        <w:right w:val="none" w:sz="0" w:space="0" w:color="auto"/>
      </w:divBdr>
    </w:div>
    <w:div w:id="1038430800">
      <w:bodyDiv w:val="1"/>
      <w:marLeft w:val="0"/>
      <w:marRight w:val="0"/>
      <w:marTop w:val="0"/>
      <w:marBottom w:val="0"/>
      <w:divBdr>
        <w:top w:val="none" w:sz="0" w:space="0" w:color="auto"/>
        <w:left w:val="none" w:sz="0" w:space="0" w:color="auto"/>
        <w:bottom w:val="none" w:sz="0" w:space="0" w:color="auto"/>
        <w:right w:val="none" w:sz="0" w:space="0" w:color="auto"/>
      </w:divBdr>
    </w:div>
    <w:div w:id="1038432102">
      <w:bodyDiv w:val="1"/>
      <w:marLeft w:val="0"/>
      <w:marRight w:val="0"/>
      <w:marTop w:val="0"/>
      <w:marBottom w:val="0"/>
      <w:divBdr>
        <w:top w:val="none" w:sz="0" w:space="0" w:color="auto"/>
        <w:left w:val="none" w:sz="0" w:space="0" w:color="auto"/>
        <w:bottom w:val="none" w:sz="0" w:space="0" w:color="auto"/>
        <w:right w:val="none" w:sz="0" w:space="0" w:color="auto"/>
      </w:divBdr>
    </w:div>
    <w:div w:id="1038434471">
      <w:bodyDiv w:val="1"/>
      <w:marLeft w:val="0"/>
      <w:marRight w:val="0"/>
      <w:marTop w:val="0"/>
      <w:marBottom w:val="0"/>
      <w:divBdr>
        <w:top w:val="none" w:sz="0" w:space="0" w:color="auto"/>
        <w:left w:val="none" w:sz="0" w:space="0" w:color="auto"/>
        <w:bottom w:val="none" w:sz="0" w:space="0" w:color="auto"/>
        <w:right w:val="none" w:sz="0" w:space="0" w:color="auto"/>
      </w:divBdr>
    </w:div>
    <w:div w:id="1038437800">
      <w:bodyDiv w:val="1"/>
      <w:marLeft w:val="0"/>
      <w:marRight w:val="0"/>
      <w:marTop w:val="0"/>
      <w:marBottom w:val="0"/>
      <w:divBdr>
        <w:top w:val="none" w:sz="0" w:space="0" w:color="auto"/>
        <w:left w:val="none" w:sz="0" w:space="0" w:color="auto"/>
        <w:bottom w:val="none" w:sz="0" w:space="0" w:color="auto"/>
        <w:right w:val="none" w:sz="0" w:space="0" w:color="auto"/>
      </w:divBdr>
    </w:div>
    <w:div w:id="1038550198">
      <w:bodyDiv w:val="1"/>
      <w:marLeft w:val="0"/>
      <w:marRight w:val="0"/>
      <w:marTop w:val="0"/>
      <w:marBottom w:val="0"/>
      <w:divBdr>
        <w:top w:val="none" w:sz="0" w:space="0" w:color="auto"/>
        <w:left w:val="none" w:sz="0" w:space="0" w:color="auto"/>
        <w:bottom w:val="none" w:sz="0" w:space="0" w:color="auto"/>
        <w:right w:val="none" w:sz="0" w:space="0" w:color="auto"/>
      </w:divBdr>
    </w:div>
    <w:div w:id="1038550749">
      <w:bodyDiv w:val="1"/>
      <w:marLeft w:val="0"/>
      <w:marRight w:val="0"/>
      <w:marTop w:val="0"/>
      <w:marBottom w:val="0"/>
      <w:divBdr>
        <w:top w:val="none" w:sz="0" w:space="0" w:color="auto"/>
        <w:left w:val="none" w:sz="0" w:space="0" w:color="auto"/>
        <w:bottom w:val="none" w:sz="0" w:space="0" w:color="auto"/>
        <w:right w:val="none" w:sz="0" w:space="0" w:color="auto"/>
      </w:divBdr>
    </w:div>
    <w:div w:id="1038621907">
      <w:bodyDiv w:val="1"/>
      <w:marLeft w:val="0"/>
      <w:marRight w:val="0"/>
      <w:marTop w:val="0"/>
      <w:marBottom w:val="0"/>
      <w:divBdr>
        <w:top w:val="none" w:sz="0" w:space="0" w:color="auto"/>
        <w:left w:val="none" w:sz="0" w:space="0" w:color="auto"/>
        <w:bottom w:val="none" w:sz="0" w:space="0" w:color="auto"/>
        <w:right w:val="none" w:sz="0" w:space="0" w:color="auto"/>
      </w:divBdr>
    </w:div>
    <w:div w:id="1038697625">
      <w:bodyDiv w:val="1"/>
      <w:marLeft w:val="0"/>
      <w:marRight w:val="0"/>
      <w:marTop w:val="0"/>
      <w:marBottom w:val="0"/>
      <w:divBdr>
        <w:top w:val="none" w:sz="0" w:space="0" w:color="auto"/>
        <w:left w:val="none" w:sz="0" w:space="0" w:color="auto"/>
        <w:bottom w:val="none" w:sz="0" w:space="0" w:color="auto"/>
        <w:right w:val="none" w:sz="0" w:space="0" w:color="auto"/>
      </w:divBdr>
    </w:div>
    <w:div w:id="1039014829">
      <w:bodyDiv w:val="1"/>
      <w:marLeft w:val="0"/>
      <w:marRight w:val="0"/>
      <w:marTop w:val="0"/>
      <w:marBottom w:val="0"/>
      <w:divBdr>
        <w:top w:val="none" w:sz="0" w:space="0" w:color="auto"/>
        <w:left w:val="none" w:sz="0" w:space="0" w:color="auto"/>
        <w:bottom w:val="none" w:sz="0" w:space="0" w:color="auto"/>
        <w:right w:val="none" w:sz="0" w:space="0" w:color="auto"/>
      </w:divBdr>
    </w:div>
    <w:div w:id="1039083976">
      <w:bodyDiv w:val="1"/>
      <w:marLeft w:val="0"/>
      <w:marRight w:val="0"/>
      <w:marTop w:val="0"/>
      <w:marBottom w:val="0"/>
      <w:divBdr>
        <w:top w:val="none" w:sz="0" w:space="0" w:color="auto"/>
        <w:left w:val="none" w:sz="0" w:space="0" w:color="auto"/>
        <w:bottom w:val="none" w:sz="0" w:space="0" w:color="auto"/>
        <w:right w:val="none" w:sz="0" w:space="0" w:color="auto"/>
      </w:divBdr>
    </w:div>
    <w:div w:id="1039210714">
      <w:bodyDiv w:val="1"/>
      <w:marLeft w:val="0"/>
      <w:marRight w:val="0"/>
      <w:marTop w:val="0"/>
      <w:marBottom w:val="0"/>
      <w:divBdr>
        <w:top w:val="none" w:sz="0" w:space="0" w:color="auto"/>
        <w:left w:val="none" w:sz="0" w:space="0" w:color="auto"/>
        <w:bottom w:val="none" w:sz="0" w:space="0" w:color="auto"/>
        <w:right w:val="none" w:sz="0" w:space="0" w:color="auto"/>
      </w:divBdr>
    </w:div>
    <w:div w:id="1039551546">
      <w:bodyDiv w:val="1"/>
      <w:marLeft w:val="0"/>
      <w:marRight w:val="0"/>
      <w:marTop w:val="0"/>
      <w:marBottom w:val="0"/>
      <w:divBdr>
        <w:top w:val="none" w:sz="0" w:space="0" w:color="auto"/>
        <w:left w:val="none" w:sz="0" w:space="0" w:color="auto"/>
        <w:bottom w:val="none" w:sz="0" w:space="0" w:color="auto"/>
        <w:right w:val="none" w:sz="0" w:space="0" w:color="auto"/>
      </w:divBdr>
    </w:div>
    <w:div w:id="1039814281">
      <w:bodyDiv w:val="1"/>
      <w:marLeft w:val="0"/>
      <w:marRight w:val="0"/>
      <w:marTop w:val="0"/>
      <w:marBottom w:val="0"/>
      <w:divBdr>
        <w:top w:val="none" w:sz="0" w:space="0" w:color="auto"/>
        <w:left w:val="none" w:sz="0" w:space="0" w:color="auto"/>
        <w:bottom w:val="none" w:sz="0" w:space="0" w:color="auto"/>
        <w:right w:val="none" w:sz="0" w:space="0" w:color="auto"/>
      </w:divBdr>
    </w:div>
    <w:div w:id="1039819820">
      <w:bodyDiv w:val="1"/>
      <w:marLeft w:val="0"/>
      <w:marRight w:val="0"/>
      <w:marTop w:val="0"/>
      <w:marBottom w:val="0"/>
      <w:divBdr>
        <w:top w:val="none" w:sz="0" w:space="0" w:color="auto"/>
        <w:left w:val="none" w:sz="0" w:space="0" w:color="auto"/>
        <w:bottom w:val="none" w:sz="0" w:space="0" w:color="auto"/>
        <w:right w:val="none" w:sz="0" w:space="0" w:color="auto"/>
      </w:divBdr>
    </w:div>
    <w:div w:id="1039938992">
      <w:bodyDiv w:val="1"/>
      <w:marLeft w:val="0"/>
      <w:marRight w:val="0"/>
      <w:marTop w:val="0"/>
      <w:marBottom w:val="0"/>
      <w:divBdr>
        <w:top w:val="none" w:sz="0" w:space="0" w:color="auto"/>
        <w:left w:val="none" w:sz="0" w:space="0" w:color="auto"/>
        <w:bottom w:val="none" w:sz="0" w:space="0" w:color="auto"/>
        <w:right w:val="none" w:sz="0" w:space="0" w:color="auto"/>
      </w:divBdr>
    </w:div>
    <w:div w:id="1040007847">
      <w:bodyDiv w:val="1"/>
      <w:marLeft w:val="0"/>
      <w:marRight w:val="0"/>
      <w:marTop w:val="0"/>
      <w:marBottom w:val="0"/>
      <w:divBdr>
        <w:top w:val="none" w:sz="0" w:space="0" w:color="auto"/>
        <w:left w:val="none" w:sz="0" w:space="0" w:color="auto"/>
        <w:bottom w:val="none" w:sz="0" w:space="0" w:color="auto"/>
        <w:right w:val="none" w:sz="0" w:space="0" w:color="auto"/>
      </w:divBdr>
    </w:div>
    <w:div w:id="1040203350">
      <w:bodyDiv w:val="1"/>
      <w:marLeft w:val="0"/>
      <w:marRight w:val="0"/>
      <w:marTop w:val="0"/>
      <w:marBottom w:val="0"/>
      <w:divBdr>
        <w:top w:val="none" w:sz="0" w:space="0" w:color="auto"/>
        <w:left w:val="none" w:sz="0" w:space="0" w:color="auto"/>
        <w:bottom w:val="none" w:sz="0" w:space="0" w:color="auto"/>
        <w:right w:val="none" w:sz="0" w:space="0" w:color="auto"/>
      </w:divBdr>
    </w:div>
    <w:div w:id="1040206277">
      <w:bodyDiv w:val="1"/>
      <w:marLeft w:val="0"/>
      <w:marRight w:val="0"/>
      <w:marTop w:val="0"/>
      <w:marBottom w:val="0"/>
      <w:divBdr>
        <w:top w:val="none" w:sz="0" w:space="0" w:color="auto"/>
        <w:left w:val="none" w:sz="0" w:space="0" w:color="auto"/>
        <w:bottom w:val="none" w:sz="0" w:space="0" w:color="auto"/>
        <w:right w:val="none" w:sz="0" w:space="0" w:color="auto"/>
      </w:divBdr>
    </w:div>
    <w:div w:id="1040279194">
      <w:bodyDiv w:val="1"/>
      <w:marLeft w:val="0"/>
      <w:marRight w:val="0"/>
      <w:marTop w:val="0"/>
      <w:marBottom w:val="0"/>
      <w:divBdr>
        <w:top w:val="none" w:sz="0" w:space="0" w:color="auto"/>
        <w:left w:val="none" w:sz="0" w:space="0" w:color="auto"/>
        <w:bottom w:val="none" w:sz="0" w:space="0" w:color="auto"/>
        <w:right w:val="none" w:sz="0" w:space="0" w:color="auto"/>
      </w:divBdr>
    </w:div>
    <w:div w:id="1040285249">
      <w:bodyDiv w:val="1"/>
      <w:marLeft w:val="0"/>
      <w:marRight w:val="0"/>
      <w:marTop w:val="0"/>
      <w:marBottom w:val="0"/>
      <w:divBdr>
        <w:top w:val="none" w:sz="0" w:space="0" w:color="auto"/>
        <w:left w:val="none" w:sz="0" w:space="0" w:color="auto"/>
        <w:bottom w:val="none" w:sz="0" w:space="0" w:color="auto"/>
        <w:right w:val="none" w:sz="0" w:space="0" w:color="auto"/>
      </w:divBdr>
    </w:div>
    <w:div w:id="1040322320">
      <w:bodyDiv w:val="1"/>
      <w:marLeft w:val="0"/>
      <w:marRight w:val="0"/>
      <w:marTop w:val="0"/>
      <w:marBottom w:val="0"/>
      <w:divBdr>
        <w:top w:val="none" w:sz="0" w:space="0" w:color="auto"/>
        <w:left w:val="none" w:sz="0" w:space="0" w:color="auto"/>
        <w:bottom w:val="none" w:sz="0" w:space="0" w:color="auto"/>
        <w:right w:val="none" w:sz="0" w:space="0" w:color="auto"/>
      </w:divBdr>
    </w:div>
    <w:div w:id="1040328115">
      <w:bodyDiv w:val="1"/>
      <w:marLeft w:val="0"/>
      <w:marRight w:val="0"/>
      <w:marTop w:val="0"/>
      <w:marBottom w:val="0"/>
      <w:divBdr>
        <w:top w:val="none" w:sz="0" w:space="0" w:color="auto"/>
        <w:left w:val="none" w:sz="0" w:space="0" w:color="auto"/>
        <w:bottom w:val="none" w:sz="0" w:space="0" w:color="auto"/>
        <w:right w:val="none" w:sz="0" w:space="0" w:color="auto"/>
      </w:divBdr>
    </w:div>
    <w:div w:id="1040478932">
      <w:bodyDiv w:val="1"/>
      <w:marLeft w:val="0"/>
      <w:marRight w:val="0"/>
      <w:marTop w:val="0"/>
      <w:marBottom w:val="0"/>
      <w:divBdr>
        <w:top w:val="none" w:sz="0" w:space="0" w:color="auto"/>
        <w:left w:val="none" w:sz="0" w:space="0" w:color="auto"/>
        <w:bottom w:val="none" w:sz="0" w:space="0" w:color="auto"/>
        <w:right w:val="none" w:sz="0" w:space="0" w:color="auto"/>
      </w:divBdr>
    </w:div>
    <w:div w:id="1040591475">
      <w:bodyDiv w:val="1"/>
      <w:marLeft w:val="0"/>
      <w:marRight w:val="0"/>
      <w:marTop w:val="0"/>
      <w:marBottom w:val="0"/>
      <w:divBdr>
        <w:top w:val="none" w:sz="0" w:space="0" w:color="auto"/>
        <w:left w:val="none" w:sz="0" w:space="0" w:color="auto"/>
        <w:bottom w:val="none" w:sz="0" w:space="0" w:color="auto"/>
        <w:right w:val="none" w:sz="0" w:space="0" w:color="auto"/>
      </w:divBdr>
    </w:div>
    <w:div w:id="1040593419">
      <w:bodyDiv w:val="1"/>
      <w:marLeft w:val="0"/>
      <w:marRight w:val="0"/>
      <w:marTop w:val="0"/>
      <w:marBottom w:val="0"/>
      <w:divBdr>
        <w:top w:val="none" w:sz="0" w:space="0" w:color="auto"/>
        <w:left w:val="none" w:sz="0" w:space="0" w:color="auto"/>
        <w:bottom w:val="none" w:sz="0" w:space="0" w:color="auto"/>
        <w:right w:val="none" w:sz="0" w:space="0" w:color="auto"/>
      </w:divBdr>
    </w:div>
    <w:div w:id="1040667096">
      <w:bodyDiv w:val="1"/>
      <w:marLeft w:val="0"/>
      <w:marRight w:val="0"/>
      <w:marTop w:val="0"/>
      <w:marBottom w:val="0"/>
      <w:divBdr>
        <w:top w:val="none" w:sz="0" w:space="0" w:color="auto"/>
        <w:left w:val="none" w:sz="0" w:space="0" w:color="auto"/>
        <w:bottom w:val="none" w:sz="0" w:space="0" w:color="auto"/>
        <w:right w:val="none" w:sz="0" w:space="0" w:color="auto"/>
      </w:divBdr>
    </w:div>
    <w:div w:id="1040668355">
      <w:bodyDiv w:val="1"/>
      <w:marLeft w:val="0"/>
      <w:marRight w:val="0"/>
      <w:marTop w:val="0"/>
      <w:marBottom w:val="0"/>
      <w:divBdr>
        <w:top w:val="none" w:sz="0" w:space="0" w:color="auto"/>
        <w:left w:val="none" w:sz="0" w:space="0" w:color="auto"/>
        <w:bottom w:val="none" w:sz="0" w:space="0" w:color="auto"/>
        <w:right w:val="none" w:sz="0" w:space="0" w:color="auto"/>
      </w:divBdr>
    </w:div>
    <w:div w:id="1040669593">
      <w:bodyDiv w:val="1"/>
      <w:marLeft w:val="0"/>
      <w:marRight w:val="0"/>
      <w:marTop w:val="0"/>
      <w:marBottom w:val="0"/>
      <w:divBdr>
        <w:top w:val="none" w:sz="0" w:space="0" w:color="auto"/>
        <w:left w:val="none" w:sz="0" w:space="0" w:color="auto"/>
        <w:bottom w:val="none" w:sz="0" w:space="0" w:color="auto"/>
        <w:right w:val="none" w:sz="0" w:space="0" w:color="auto"/>
      </w:divBdr>
    </w:div>
    <w:div w:id="1040781076">
      <w:bodyDiv w:val="1"/>
      <w:marLeft w:val="0"/>
      <w:marRight w:val="0"/>
      <w:marTop w:val="0"/>
      <w:marBottom w:val="0"/>
      <w:divBdr>
        <w:top w:val="none" w:sz="0" w:space="0" w:color="auto"/>
        <w:left w:val="none" w:sz="0" w:space="0" w:color="auto"/>
        <w:bottom w:val="none" w:sz="0" w:space="0" w:color="auto"/>
        <w:right w:val="none" w:sz="0" w:space="0" w:color="auto"/>
      </w:divBdr>
    </w:div>
    <w:div w:id="1040860201">
      <w:bodyDiv w:val="1"/>
      <w:marLeft w:val="0"/>
      <w:marRight w:val="0"/>
      <w:marTop w:val="0"/>
      <w:marBottom w:val="0"/>
      <w:divBdr>
        <w:top w:val="none" w:sz="0" w:space="0" w:color="auto"/>
        <w:left w:val="none" w:sz="0" w:space="0" w:color="auto"/>
        <w:bottom w:val="none" w:sz="0" w:space="0" w:color="auto"/>
        <w:right w:val="none" w:sz="0" w:space="0" w:color="auto"/>
      </w:divBdr>
    </w:div>
    <w:div w:id="1040981976">
      <w:bodyDiv w:val="1"/>
      <w:marLeft w:val="0"/>
      <w:marRight w:val="0"/>
      <w:marTop w:val="0"/>
      <w:marBottom w:val="0"/>
      <w:divBdr>
        <w:top w:val="none" w:sz="0" w:space="0" w:color="auto"/>
        <w:left w:val="none" w:sz="0" w:space="0" w:color="auto"/>
        <w:bottom w:val="none" w:sz="0" w:space="0" w:color="auto"/>
        <w:right w:val="none" w:sz="0" w:space="0" w:color="auto"/>
      </w:divBdr>
    </w:div>
    <w:div w:id="1041052994">
      <w:bodyDiv w:val="1"/>
      <w:marLeft w:val="0"/>
      <w:marRight w:val="0"/>
      <w:marTop w:val="0"/>
      <w:marBottom w:val="0"/>
      <w:divBdr>
        <w:top w:val="none" w:sz="0" w:space="0" w:color="auto"/>
        <w:left w:val="none" w:sz="0" w:space="0" w:color="auto"/>
        <w:bottom w:val="none" w:sz="0" w:space="0" w:color="auto"/>
        <w:right w:val="none" w:sz="0" w:space="0" w:color="auto"/>
      </w:divBdr>
    </w:div>
    <w:div w:id="1041056378">
      <w:bodyDiv w:val="1"/>
      <w:marLeft w:val="0"/>
      <w:marRight w:val="0"/>
      <w:marTop w:val="0"/>
      <w:marBottom w:val="0"/>
      <w:divBdr>
        <w:top w:val="none" w:sz="0" w:space="0" w:color="auto"/>
        <w:left w:val="none" w:sz="0" w:space="0" w:color="auto"/>
        <w:bottom w:val="none" w:sz="0" w:space="0" w:color="auto"/>
        <w:right w:val="none" w:sz="0" w:space="0" w:color="auto"/>
      </w:divBdr>
    </w:div>
    <w:div w:id="1041325248">
      <w:bodyDiv w:val="1"/>
      <w:marLeft w:val="0"/>
      <w:marRight w:val="0"/>
      <w:marTop w:val="0"/>
      <w:marBottom w:val="0"/>
      <w:divBdr>
        <w:top w:val="none" w:sz="0" w:space="0" w:color="auto"/>
        <w:left w:val="none" w:sz="0" w:space="0" w:color="auto"/>
        <w:bottom w:val="none" w:sz="0" w:space="0" w:color="auto"/>
        <w:right w:val="none" w:sz="0" w:space="0" w:color="auto"/>
      </w:divBdr>
    </w:div>
    <w:div w:id="1041399649">
      <w:bodyDiv w:val="1"/>
      <w:marLeft w:val="0"/>
      <w:marRight w:val="0"/>
      <w:marTop w:val="0"/>
      <w:marBottom w:val="0"/>
      <w:divBdr>
        <w:top w:val="none" w:sz="0" w:space="0" w:color="auto"/>
        <w:left w:val="none" w:sz="0" w:space="0" w:color="auto"/>
        <w:bottom w:val="none" w:sz="0" w:space="0" w:color="auto"/>
        <w:right w:val="none" w:sz="0" w:space="0" w:color="auto"/>
      </w:divBdr>
    </w:div>
    <w:div w:id="1041515912">
      <w:bodyDiv w:val="1"/>
      <w:marLeft w:val="0"/>
      <w:marRight w:val="0"/>
      <w:marTop w:val="0"/>
      <w:marBottom w:val="0"/>
      <w:divBdr>
        <w:top w:val="none" w:sz="0" w:space="0" w:color="auto"/>
        <w:left w:val="none" w:sz="0" w:space="0" w:color="auto"/>
        <w:bottom w:val="none" w:sz="0" w:space="0" w:color="auto"/>
        <w:right w:val="none" w:sz="0" w:space="0" w:color="auto"/>
      </w:divBdr>
    </w:div>
    <w:div w:id="1041590757">
      <w:bodyDiv w:val="1"/>
      <w:marLeft w:val="0"/>
      <w:marRight w:val="0"/>
      <w:marTop w:val="0"/>
      <w:marBottom w:val="0"/>
      <w:divBdr>
        <w:top w:val="none" w:sz="0" w:space="0" w:color="auto"/>
        <w:left w:val="none" w:sz="0" w:space="0" w:color="auto"/>
        <w:bottom w:val="none" w:sz="0" w:space="0" w:color="auto"/>
        <w:right w:val="none" w:sz="0" w:space="0" w:color="auto"/>
      </w:divBdr>
    </w:div>
    <w:div w:id="1041633414">
      <w:bodyDiv w:val="1"/>
      <w:marLeft w:val="0"/>
      <w:marRight w:val="0"/>
      <w:marTop w:val="0"/>
      <w:marBottom w:val="0"/>
      <w:divBdr>
        <w:top w:val="none" w:sz="0" w:space="0" w:color="auto"/>
        <w:left w:val="none" w:sz="0" w:space="0" w:color="auto"/>
        <w:bottom w:val="none" w:sz="0" w:space="0" w:color="auto"/>
        <w:right w:val="none" w:sz="0" w:space="0" w:color="auto"/>
      </w:divBdr>
    </w:div>
    <w:div w:id="1041903595">
      <w:bodyDiv w:val="1"/>
      <w:marLeft w:val="0"/>
      <w:marRight w:val="0"/>
      <w:marTop w:val="0"/>
      <w:marBottom w:val="0"/>
      <w:divBdr>
        <w:top w:val="none" w:sz="0" w:space="0" w:color="auto"/>
        <w:left w:val="none" w:sz="0" w:space="0" w:color="auto"/>
        <w:bottom w:val="none" w:sz="0" w:space="0" w:color="auto"/>
        <w:right w:val="none" w:sz="0" w:space="0" w:color="auto"/>
      </w:divBdr>
    </w:div>
    <w:div w:id="1041906792">
      <w:bodyDiv w:val="1"/>
      <w:marLeft w:val="0"/>
      <w:marRight w:val="0"/>
      <w:marTop w:val="0"/>
      <w:marBottom w:val="0"/>
      <w:divBdr>
        <w:top w:val="none" w:sz="0" w:space="0" w:color="auto"/>
        <w:left w:val="none" w:sz="0" w:space="0" w:color="auto"/>
        <w:bottom w:val="none" w:sz="0" w:space="0" w:color="auto"/>
        <w:right w:val="none" w:sz="0" w:space="0" w:color="auto"/>
      </w:divBdr>
    </w:div>
    <w:div w:id="1042249245">
      <w:bodyDiv w:val="1"/>
      <w:marLeft w:val="0"/>
      <w:marRight w:val="0"/>
      <w:marTop w:val="0"/>
      <w:marBottom w:val="0"/>
      <w:divBdr>
        <w:top w:val="none" w:sz="0" w:space="0" w:color="auto"/>
        <w:left w:val="none" w:sz="0" w:space="0" w:color="auto"/>
        <w:bottom w:val="none" w:sz="0" w:space="0" w:color="auto"/>
        <w:right w:val="none" w:sz="0" w:space="0" w:color="auto"/>
      </w:divBdr>
    </w:div>
    <w:div w:id="1042290963">
      <w:bodyDiv w:val="1"/>
      <w:marLeft w:val="0"/>
      <w:marRight w:val="0"/>
      <w:marTop w:val="0"/>
      <w:marBottom w:val="0"/>
      <w:divBdr>
        <w:top w:val="none" w:sz="0" w:space="0" w:color="auto"/>
        <w:left w:val="none" w:sz="0" w:space="0" w:color="auto"/>
        <w:bottom w:val="none" w:sz="0" w:space="0" w:color="auto"/>
        <w:right w:val="none" w:sz="0" w:space="0" w:color="auto"/>
      </w:divBdr>
    </w:div>
    <w:div w:id="1042291508">
      <w:bodyDiv w:val="1"/>
      <w:marLeft w:val="0"/>
      <w:marRight w:val="0"/>
      <w:marTop w:val="0"/>
      <w:marBottom w:val="0"/>
      <w:divBdr>
        <w:top w:val="none" w:sz="0" w:space="0" w:color="auto"/>
        <w:left w:val="none" w:sz="0" w:space="0" w:color="auto"/>
        <w:bottom w:val="none" w:sz="0" w:space="0" w:color="auto"/>
        <w:right w:val="none" w:sz="0" w:space="0" w:color="auto"/>
      </w:divBdr>
    </w:div>
    <w:div w:id="1042437844">
      <w:bodyDiv w:val="1"/>
      <w:marLeft w:val="0"/>
      <w:marRight w:val="0"/>
      <w:marTop w:val="0"/>
      <w:marBottom w:val="0"/>
      <w:divBdr>
        <w:top w:val="none" w:sz="0" w:space="0" w:color="auto"/>
        <w:left w:val="none" w:sz="0" w:space="0" w:color="auto"/>
        <w:bottom w:val="none" w:sz="0" w:space="0" w:color="auto"/>
        <w:right w:val="none" w:sz="0" w:space="0" w:color="auto"/>
      </w:divBdr>
    </w:div>
    <w:div w:id="1042636054">
      <w:bodyDiv w:val="1"/>
      <w:marLeft w:val="0"/>
      <w:marRight w:val="0"/>
      <w:marTop w:val="0"/>
      <w:marBottom w:val="0"/>
      <w:divBdr>
        <w:top w:val="none" w:sz="0" w:space="0" w:color="auto"/>
        <w:left w:val="none" w:sz="0" w:space="0" w:color="auto"/>
        <w:bottom w:val="none" w:sz="0" w:space="0" w:color="auto"/>
        <w:right w:val="none" w:sz="0" w:space="0" w:color="auto"/>
      </w:divBdr>
    </w:div>
    <w:div w:id="1042823729">
      <w:bodyDiv w:val="1"/>
      <w:marLeft w:val="0"/>
      <w:marRight w:val="0"/>
      <w:marTop w:val="0"/>
      <w:marBottom w:val="0"/>
      <w:divBdr>
        <w:top w:val="none" w:sz="0" w:space="0" w:color="auto"/>
        <w:left w:val="none" w:sz="0" w:space="0" w:color="auto"/>
        <w:bottom w:val="none" w:sz="0" w:space="0" w:color="auto"/>
        <w:right w:val="none" w:sz="0" w:space="0" w:color="auto"/>
      </w:divBdr>
    </w:div>
    <w:div w:id="1042828300">
      <w:bodyDiv w:val="1"/>
      <w:marLeft w:val="0"/>
      <w:marRight w:val="0"/>
      <w:marTop w:val="0"/>
      <w:marBottom w:val="0"/>
      <w:divBdr>
        <w:top w:val="none" w:sz="0" w:space="0" w:color="auto"/>
        <w:left w:val="none" w:sz="0" w:space="0" w:color="auto"/>
        <w:bottom w:val="none" w:sz="0" w:space="0" w:color="auto"/>
        <w:right w:val="none" w:sz="0" w:space="0" w:color="auto"/>
      </w:divBdr>
    </w:div>
    <w:div w:id="1042899255">
      <w:bodyDiv w:val="1"/>
      <w:marLeft w:val="0"/>
      <w:marRight w:val="0"/>
      <w:marTop w:val="0"/>
      <w:marBottom w:val="0"/>
      <w:divBdr>
        <w:top w:val="none" w:sz="0" w:space="0" w:color="auto"/>
        <w:left w:val="none" w:sz="0" w:space="0" w:color="auto"/>
        <w:bottom w:val="none" w:sz="0" w:space="0" w:color="auto"/>
        <w:right w:val="none" w:sz="0" w:space="0" w:color="auto"/>
      </w:divBdr>
    </w:div>
    <w:div w:id="1042901046">
      <w:bodyDiv w:val="1"/>
      <w:marLeft w:val="0"/>
      <w:marRight w:val="0"/>
      <w:marTop w:val="0"/>
      <w:marBottom w:val="0"/>
      <w:divBdr>
        <w:top w:val="none" w:sz="0" w:space="0" w:color="auto"/>
        <w:left w:val="none" w:sz="0" w:space="0" w:color="auto"/>
        <w:bottom w:val="none" w:sz="0" w:space="0" w:color="auto"/>
        <w:right w:val="none" w:sz="0" w:space="0" w:color="auto"/>
      </w:divBdr>
    </w:div>
    <w:div w:id="1042944193">
      <w:bodyDiv w:val="1"/>
      <w:marLeft w:val="0"/>
      <w:marRight w:val="0"/>
      <w:marTop w:val="0"/>
      <w:marBottom w:val="0"/>
      <w:divBdr>
        <w:top w:val="none" w:sz="0" w:space="0" w:color="auto"/>
        <w:left w:val="none" w:sz="0" w:space="0" w:color="auto"/>
        <w:bottom w:val="none" w:sz="0" w:space="0" w:color="auto"/>
        <w:right w:val="none" w:sz="0" w:space="0" w:color="auto"/>
      </w:divBdr>
    </w:div>
    <w:div w:id="1043022089">
      <w:bodyDiv w:val="1"/>
      <w:marLeft w:val="0"/>
      <w:marRight w:val="0"/>
      <w:marTop w:val="0"/>
      <w:marBottom w:val="0"/>
      <w:divBdr>
        <w:top w:val="none" w:sz="0" w:space="0" w:color="auto"/>
        <w:left w:val="none" w:sz="0" w:space="0" w:color="auto"/>
        <w:bottom w:val="none" w:sz="0" w:space="0" w:color="auto"/>
        <w:right w:val="none" w:sz="0" w:space="0" w:color="auto"/>
      </w:divBdr>
    </w:div>
    <w:div w:id="1043022552">
      <w:bodyDiv w:val="1"/>
      <w:marLeft w:val="0"/>
      <w:marRight w:val="0"/>
      <w:marTop w:val="0"/>
      <w:marBottom w:val="0"/>
      <w:divBdr>
        <w:top w:val="none" w:sz="0" w:space="0" w:color="auto"/>
        <w:left w:val="none" w:sz="0" w:space="0" w:color="auto"/>
        <w:bottom w:val="none" w:sz="0" w:space="0" w:color="auto"/>
        <w:right w:val="none" w:sz="0" w:space="0" w:color="auto"/>
      </w:divBdr>
    </w:div>
    <w:div w:id="1043023629">
      <w:bodyDiv w:val="1"/>
      <w:marLeft w:val="0"/>
      <w:marRight w:val="0"/>
      <w:marTop w:val="0"/>
      <w:marBottom w:val="0"/>
      <w:divBdr>
        <w:top w:val="none" w:sz="0" w:space="0" w:color="auto"/>
        <w:left w:val="none" w:sz="0" w:space="0" w:color="auto"/>
        <w:bottom w:val="none" w:sz="0" w:space="0" w:color="auto"/>
        <w:right w:val="none" w:sz="0" w:space="0" w:color="auto"/>
      </w:divBdr>
    </w:div>
    <w:div w:id="1043208442">
      <w:bodyDiv w:val="1"/>
      <w:marLeft w:val="0"/>
      <w:marRight w:val="0"/>
      <w:marTop w:val="0"/>
      <w:marBottom w:val="0"/>
      <w:divBdr>
        <w:top w:val="none" w:sz="0" w:space="0" w:color="auto"/>
        <w:left w:val="none" w:sz="0" w:space="0" w:color="auto"/>
        <w:bottom w:val="none" w:sz="0" w:space="0" w:color="auto"/>
        <w:right w:val="none" w:sz="0" w:space="0" w:color="auto"/>
      </w:divBdr>
    </w:div>
    <w:div w:id="1043482637">
      <w:bodyDiv w:val="1"/>
      <w:marLeft w:val="0"/>
      <w:marRight w:val="0"/>
      <w:marTop w:val="0"/>
      <w:marBottom w:val="0"/>
      <w:divBdr>
        <w:top w:val="none" w:sz="0" w:space="0" w:color="auto"/>
        <w:left w:val="none" w:sz="0" w:space="0" w:color="auto"/>
        <w:bottom w:val="none" w:sz="0" w:space="0" w:color="auto"/>
        <w:right w:val="none" w:sz="0" w:space="0" w:color="auto"/>
      </w:divBdr>
    </w:div>
    <w:div w:id="1043672113">
      <w:bodyDiv w:val="1"/>
      <w:marLeft w:val="0"/>
      <w:marRight w:val="0"/>
      <w:marTop w:val="0"/>
      <w:marBottom w:val="0"/>
      <w:divBdr>
        <w:top w:val="none" w:sz="0" w:space="0" w:color="auto"/>
        <w:left w:val="none" w:sz="0" w:space="0" w:color="auto"/>
        <w:bottom w:val="none" w:sz="0" w:space="0" w:color="auto"/>
        <w:right w:val="none" w:sz="0" w:space="0" w:color="auto"/>
      </w:divBdr>
    </w:div>
    <w:div w:id="1043749211">
      <w:bodyDiv w:val="1"/>
      <w:marLeft w:val="0"/>
      <w:marRight w:val="0"/>
      <w:marTop w:val="0"/>
      <w:marBottom w:val="0"/>
      <w:divBdr>
        <w:top w:val="none" w:sz="0" w:space="0" w:color="auto"/>
        <w:left w:val="none" w:sz="0" w:space="0" w:color="auto"/>
        <w:bottom w:val="none" w:sz="0" w:space="0" w:color="auto"/>
        <w:right w:val="none" w:sz="0" w:space="0" w:color="auto"/>
      </w:divBdr>
    </w:div>
    <w:div w:id="1043753234">
      <w:bodyDiv w:val="1"/>
      <w:marLeft w:val="0"/>
      <w:marRight w:val="0"/>
      <w:marTop w:val="0"/>
      <w:marBottom w:val="0"/>
      <w:divBdr>
        <w:top w:val="none" w:sz="0" w:space="0" w:color="auto"/>
        <w:left w:val="none" w:sz="0" w:space="0" w:color="auto"/>
        <w:bottom w:val="none" w:sz="0" w:space="0" w:color="auto"/>
        <w:right w:val="none" w:sz="0" w:space="0" w:color="auto"/>
      </w:divBdr>
    </w:div>
    <w:div w:id="1043753834">
      <w:bodyDiv w:val="1"/>
      <w:marLeft w:val="0"/>
      <w:marRight w:val="0"/>
      <w:marTop w:val="0"/>
      <w:marBottom w:val="0"/>
      <w:divBdr>
        <w:top w:val="none" w:sz="0" w:space="0" w:color="auto"/>
        <w:left w:val="none" w:sz="0" w:space="0" w:color="auto"/>
        <w:bottom w:val="none" w:sz="0" w:space="0" w:color="auto"/>
        <w:right w:val="none" w:sz="0" w:space="0" w:color="auto"/>
      </w:divBdr>
    </w:div>
    <w:div w:id="1043866581">
      <w:bodyDiv w:val="1"/>
      <w:marLeft w:val="0"/>
      <w:marRight w:val="0"/>
      <w:marTop w:val="0"/>
      <w:marBottom w:val="0"/>
      <w:divBdr>
        <w:top w:val="none" w:sz="0" w:space="0" w:color="auto"/>
        <w:left w:val="none" w:sz="0" w:space="0" w:color="auto"/>
        <w:bottom w:val="none" w:sz="0" w:space="0" w:color="auto"/>
        <w:right w:val="none" w:sz="0" w:space="0" w:color="auto"/>
      </w:divBdr>
    </w:div>
    <w:div w:id="1043871767">
      <w:bodyDiv w:val="1"/>
      <w:marLeft w:val="0"/>
      <w:marRight w:val="0"/>
      <w:marTop w:val="0"/>
      <w:marBottom w:val="0"/>
      <w:divBdr>
        <w:top w:val="none" w:sz="0" w:space="0" w:color="auto"/>
        <w:left w:val="none" w:sz="0" w:space="0" w:color="auto"/>
        <w:bottom w:val="none" w:sz="0" w:space="0" w:color="auto"/>
        <w:right w:val="none" w:sz="0" w:space="0" w:color="auto"/>
      </w:divBdr>
    </w:div>
    <w:div w:id="1044132269">
      <w:bodyDiv w:val="1"/>
      <w:marLeft w:val="0"/>
      <w:marRight w:val="0"/>
      <w:marTop w:val="0"/>
      <w:marBottom w:val="0"/>
      <w:divBdr>
        <w:top w:val="none" w:sz="0" w:space="0" w:color="auto"/>
        <w:left w:val="none" w:sz="0" w:space="0" w:color="auto"/>
        <w:bottom w:val="none" w:sz="0" w:space="0" w:color="auto"/>
        <w:right w:val="none" w:sz="0" w:space="0" w:color="auto"/>
      </w:divBdr>
    </w:div>
    <w:div w:id="1044209172">
      <w:bodyDiv w:val="1"/>
      <w:marLeft w:val="0"/>
      <w:marRight w:val="0"/>
      <w:marTop w:val="0"/>
      <w:marBottom w:val="0"/>
      <w:divBdr>
        <w:top w:val="none" w:sz="0" w:space="0" w:color="auto"/>
        <w:left w:val="none" w:sz="0" w:space="0" w:color="auto"/>
        <w:bottom w:val="none" w:sz="0" w:space="0" w:color="auto"/>
        <w:right w:val="none" w:sz="0" w:space="0" w:color="auto"/>
      </w:divBdr>
    </w:div>
    <w:div w:id="1044210916">
      <w:bodyDiv w:val="1"/>
      <w:marLeft w:val="0"/>
      <w:marRight w:val="0"/>
      <w:marTop w:val="0"/>
      <w:marBottom w:val="0"/>
      <w:divBdr>
        <w:top w:val="none" w:sz="0" w:space="0" w:color="auto"/>
        <w:left w:val="none" w:sz="0" w:space="0" w:color="auto"/>
        <w:bottom w:val="none" w:sz="0" w:space="0" w:color="auto"/>
        <w:right w:val="none" w:sz="0" w:space="0" w:color="auto"/>
      </w:divBdr>
    </w:div>
    <w:div w:id="1044250942">
      <w:bodyDiv w:val="1"/>
      <w:marLeft w:val="0"/>
      <w:marRight w:val="0"/>
      <w:marTop w:val="0"/>
      <w:marBottom w:val="0"/>
      <w:divBdr>
        <w:top w:val="none" w:sz="0" w:space="0" w:color="auto"/>
        <w:left w:val="none" w:sz="0" w:space="0" w:color="auto"/>
        <w:bottom w:val="none" w:sz="0" w:space="0" w:color="auto"/>
        <w:right w:val="none" w:sz="0" w:space="0" w:color="auto"/>
      </w:divBdr>
    </w:div>
    <w:div w:id="1044327295">
      <w:bodyDiv w:val="1"/>
      <w:marLeft w:val="0"/>
      <w:marRight w:val="0"/>
      <w:marTop w:val="0"/>
      <w:marBottom w:val="0"/>
      <w:divBdr>
        <w:top w:val="none" w:sz="0" w:space="0" w:color="auto"/>
        <w:left w:val="none" w:sz="0" w:space="0" w:color="auto"/>
        <w:bottom w:val="none" w:sz="0" w:space="0" w:color="auto"/>
        <w:right w:val="none" w:sz="0" w:space="0" w:color="auto"/>
      </w:divBdr>
    </w:div>
    <w:div w:id="1044333793">
      <w:bodyDiv w:val="1"/>
      <w:marLeft w:val="0"/>
      <w:marRight w:val="0"/>
      <w:marTop w:val="0"/>
      <w:marBottom w:val="0"/>
      <w:divBdr>
        <w:top w:val="none" w:sz="0" w:space="0" w:color="auto"/>
        <w:left w:val="none" w:sz="0" w:space="0" w:color="auto"/>
        <w:bottom w:val="none" w:sz="0" w:space="0" w:color="auto"/>
        <w:right w:val="none" w:sz="0" w:space="0" w:color="auto"/>
      </w:divBdr>
    </w:div>
    <w:div w:id="1044404127">
      <w:bodyDiv w:val="1"/>
      <w:marLeft w:val="0"/>
      <w:marRight w:val="0"/>
      <w:marTop w:val="0"/>
      <w:marBottom w:val="0"/>
      <w:divBdr>
        <w:top w:val="none" w:sz="0" w:space="0" w:color="auto"/>
        <w:left w:val="none" w:sz="0" w:space="0" w:color="auto"/>
        <w:bottom w:val="none" w:sz="0" w:space="0" w:color="auto"/>
        <w:right w:val="none" w:sz="0" w:space="0" w:color="auto"/>
      </w:divBdr>
    </w:div>
    <w:div w:id="1044448869">
      <w:bodyDiv w:val="1"/>
      <w:marLeft w:val="0"/>
      <w:marRight w:val="0"/>
      <w:marTop w:val="0"/>
      <w:marBottom w:val="0"/>
      <w:divBdr>
        <w:top w:val="none" w:sz="0" w:space="0" w:color="auto"/>
        <w:left w:val="none" w:sz="0" w:space="0" w:color="auto"/>
        <w:bottom w:val="none" w:sz="0" w:space="0" w:color="auto"/>
        <w:right w:val="none" w:sz="0" w:space="0" w:color="auto"/>
      </w:divBdr>
    </w:div>
    <w:div w:id="1044519380">
      <w:bodyDiv w:val="1"/>
      <w:marLeft w:val="0"/>
      <w:marRight w:val="0"/>
      <w:marTop w:val="0"/>
      <w:marBottom w:val="0"/>
      <w:divBdr>
        <w:top w:val="none" w:sz="0" w:space="0" w:color="auto"/>
        <w:left w:val="none" w:sz="0" w:space="0" w:color="auto"/>
        <w:bottom w:val="none" w:sz="0" w:space="0" w:color="auto"/>
        <w:right w:val="none" w:sz="0" w:space="0" w:color="auto"/>
      </w:divBdr>
    </w:div>
    <w:div w:id="1044525493">
      <w:bodyDiv w:val="1"/>
      <w:marLeft w:val="0"/>
      <w:marRight w:val="0"/>
      <w:marTop w:val="0"/>
      <w:marBottom w:val="0"/>
      <w:divBdr>
        <w:top w:val="none" w:sz="0" w:space="0" w:color="auto"/>
        <w:left w:val="none" w:sz="0" w:space="0" w:color="auto"/>
        <w:bottom w:val="none" w:sz="0" w:space="0" w:color="auto"/>
        <w:right w:val="none" w:sz="0" w:space="0" w:color="auto"/>
      </w:divBdr>
    </w:div>
    <w:div w:id="1044792141">
      <w:bodyDiv w:val="1"/>
      <w:marLeft w:val="0"/>
      <w:marRight w:val="0"/>
      <w:marTop w:val="0"/>
      <w:marBottom w:val="0"/>
      <w:divBdr>
        <w:top w:val="none" w:sz="0" w:space="0" w:color="auto"/>
        <w:left w:val="none" w:sz="0" w:space="0" w:color="auto"/>
        <w:bottom w:val="none" w:sz="0" w:space="0" w:color="auto"/>
        <w:right w:val="none" w:sz="0" w:space="0" w:color="auto"/>
      </w:divBdr>
    </w:div>
    <w:div w:id="1044870150">
      <w:bodyDiv w:val="1"/>
      <w:marLeft w:val="0"/>
      <w:marRight w:val="0"/>
      <w:marTop w:val="0"/>
      <w:marBottom w:val="0"/>
      <w:divBdr>
        <w:top w:val="none" w:sz="0" w:space="0" w:color="auto"/>
        <w:left w:val="none" w:sz="0" w:space="0" w:color="auto"/>
        <w:bottom w:val="none" w:sz="0" w:space="0" w:color="auto"/>
        <w:right w:val="none" w:sz="0" w:space="0" w:color="auto"/>
      </w:divBdr>
    </w:div>
    <w:div w:id="1044906270">
      <w:bodyDiv w:val="1"/>
      <w:marLeft w:val="0"/>
      <w:marRight w:val="0"/>
      <w:marTop w:val="0"/>
      <w:marBottom w:val="0"/>
      <w:divBdr>
        <w:top w:val="none" w:sz="0" w:space="0" w:color="auto"/>
        <w:left w:val="none" w:sz="0" w:space="0" w:color="auto"/>
        <w:bottom w:val="none" w:sz="0" w:space="0" w:color="auto"/>
        <w:right w:val="none" w:sz="0" w:space="0" w:color="auto"/>
      </w:divBdr>
    </w:div>
    <w:div w:id="1044914737">
      <w:bodyDiv w:val="1"/>
      <w:marLeft w:val="0"/>
      <w:marRight w:val="0"/>
      <w:marTop w:val="0"/>
      <w:marBottom w:val="0"/>
      <w:divBdr>
        <w:top w:val="none" w:sz="0" w:space="0" w:color="auto"/>
        <w:left w:val="none" w:sz="0" w:space="0" w:color="auto"/>
        <w:bottom w:val="none" w:sz="0" w:space="0" w:color="auto"/>
        <w:right w:val="none" w:sz="0" w:space="0" w:color="auto"/>
      </w:divBdr>
    </w:div>
    <w:div w:id="1044988886">
      <w:bodyDiv w:val="1"/>
      <w:marLeft w:val="0"/>
      <w:marRight w:val="0"/>
      <w:marTop w:val="0"/>
      <w:marBottom w:val="0"/>
      <w:divBdr>
        <w:top w:val="none" w:sz="0" w:space="0" w:color="auto"/>
        <w:left w:val="none" w:sz="0" w:space="0" w:color="auto"/>
        <w:bottom w:val="none" w:sz="0" w:space="0" w:color="auto"/>
        <w:right w:val="none" w:sz="0" w:space="0" w:color="auto"/>
      </w:divBdr>
    </w:div>
    <w:div w:id="1044989304">
      <w:bodyDiv w:val="1"/>
      <w:marLeft w:val="0"/>
      <w:marRight w:val="0"/>
      <w:marTop w:val="0"/>
      <w:marBottom w:val="0"/>
      <w:divBdr>
        <w:top w:val="none" w:sz="0" w:space="0" w:color="auto"/>
        <w:left w:val="none" w:sz="0" w:space="0" w:color="auto"/>
        <w:bottom w:val="none" w:sz="0" w:space="0" w:color="auto"/>
        <w:right w:val="none" w:sz="0" w:space="0" w:color="auto"/>
      </w:divBdr>
    </w:div>
    <w:div w:id="1045175224">
      <w:bodyDiv w:val="1"/>
      <w:marLeft w:val="0"/>
      <w:marRight w:val="0"/>
      <w:marTop w:val="0"/>
      <w:marBottom w:val="0"/>
      <w:divBdr>
        <w:top w:val="none" w:sz="0" w:space="0" w:color="auto"/>
        <w:left w:val="none" w:sz="0" w:space="0" w:color="auto"/>
        <w:bottom w:val="none" w:sz="0" w:space="0" w:color="auto"/>
        <w:right w:val="none" w:sz="0" w:space="0" w:color="auto"/>
      </w:divBdr>
    </w:div>
    <w:div w:id="1045259268">
      <w:bodyDiv w:val="1"/>
      <w:marLeft w:val="0"/>
      <w:marRight w:val="0"/>
      <w:marTop w:val="0"/>
      <w:marBottom w:val="0"/>
      <w:divBdr>
        <w:top w:val="none" w:sz="0" w:space="0" w:color="auto"/>
        <w:left w:val="none" w:sz="0" w:space="0" w:color="auto"/>
        <w:bottom w:val="none" w:sz="0" w:space="0" w:color="auto"/>
        <w:right w:val="none" w:sz="0" w:space="0" w:color="auto"/>
      </w:divBdr>
    </w:div>
    <w:div w:id="1045446310">
      <w:bodyDiv w:val="1"/>
      <w:marLeft w:val="0"/>
      <w:marRight w:val="0"/>
      <w:marTop w:val="0"/>
      <w:marBottom w:val="0"/>
      <w:divBdr>
        <w:top w:val="none" w:sz="0" w:space="0" w:color="auto"/>
        <w:left w:val="none" w:sz="0" w:space="0" w:color="auto"/>
        <w:bottom w:val="none" w:sz="0" w:space="0" w:color="auto"/>
        <w:right w:val="none" w:sz="0" w:space="0" w:color="auto"/>
      </w:divBdr>
    </w:div>
    <w:div w:id="1045641041">
      <w:bodyDiv w:val="1"/>
      <w:marLeft w:val="0"/>
      <w:marRight w:val="0"/>
      <w:marTop w:val="0"/>
      <w:marBottom w:val="0"/>
      <w:divBdr>
        <w:top w:val="none" w:sz="0" w:space="0" w:color="auto"/>
        <w:left w:val="none" w:sz="0" w:space="0" w:color="auto"/>
        <w:bottom w:val="none" w:sz="0" w:space="0" w:color="auto"/>
        <w:right w:val="none" w:sz="0" w:space="0" w:color="auto"/>
      </w:divBdr>
    </w:div>
    <w:div w:id="1045641474">
      <w:bodyDiv w:val="1"/>
      <w:marLeft w:val="0"/>
      <w:marRight w:val="0"/>
      <w:marTop w:val="0"/>
      <w:marBottom w:val="0"/>
      <w:divBdr>
        <w:top w:val="none" w:sz="0" w:space="0" w:color="auto"/>
        <w:left w:val="none" w:sz="0" w:space="0" w:color="auto"/>
        <w:bottom w:val="none" w:sz="0" w:space="0" w:color="auto"/>
        <w:right w:val="none" w:sz="0" w:space="0" w:color="auto"/>
      </w:divBdr>
    </w:div>
    <w:div w:id="1046217821">
      <w:bodyDiv w:val="1"/>
      <w:marLeft w:val="0"/>
      <w:marRight w:val="0"/>
      <w:marTop w:val="0"/>
      <w:marBottom w:val="0"/>
      <w:divBdr>
        <w:top w:val="none" w:sz="0" w:space="0" w:color="auto"/>
        <w:left w:val="none" w:sz="0" w:space="0" w:color="auto"/>
        <w:bottom w:val="none" w:sz="0" w:space="0" w:color="auto"/>
        <w:right w:val="none" w:sz="0" w:space="0" w:color="auto"/>
      </w:divBdr>
    </w:div>
    <w:div w:id="1046291365">
      <w:bodyDiv w:val="1"/>
      <w:marLeft w:val="0"/>
      <w:marRight w:val="0"/>
      <w:marTop w:val="0"/>
      <w:marBottom w:val="0"/>
      <w:divBdr>
        <w:top w:val="none" w:sz="0" w:space="0" w:color="auto"/>
        <w:left w:val="none" w:sz="0" w:space="0" w:color="auto"/>
        <w:bottom w:val="none" w:sz="0" w:space="0" w:color="auto"/>
        <w:right w:val="none" w:sz="0" w:space="0" w:color="auto"/>
      </w:divBdr>
    </w:div>
    <w:div w:id="1046563665">
      <w:bodyDiv w:val="1"/>
      <w:marLeft w:val="0"/>
      <w:marRight w:val="0"/>
      <w:marTop w:val="0"/>
      <w:marBottom w:val="0"/>
      <w:divBdr>
        <w:top w:val="none" w:sz="0" w:space="0" w:color="auto"/>
        <w:left w:val="none" w:sz="0" w:space="0" w:color="auto"/>
        <w:bottom w:val="none" w:sz="0" w:space="0" w:color="auto"/>
        <w:right w:val="none" w:sz="0" w:space="0" w:color="auto"/>
      </w:divBdr>
    </w:div>
    <w:div w:id="1046564149">
      <w:bodyDiv w:val="1"/>
      <w:marLeft w:val="0"/>
      <w:marRight w:val="0"/>
      <w:marTop w:val="0"/>
      <w:marBottom w:val="0"/>
      <w:divBdr>
        <w:top w:val="none" w:sz="0" w:space="0" w:color="auto"/>
        <w:left w:val="none" w:sz="0" w:space="0" w:color="auto"/>
        <w:bottom w:val="none" w:sz="0" w:space="0" w:color="auto"/>
        <w:right w:val="none" w:sz="0" w:space="0" w:color="auto"/>
      </w:divBdr>
    </w:div>
    <w:div w:id="1046636577">
      <w:bodyDiv w:val="1"/>
      <w:marLeft w:val="0"/>
      <w:marRight w:val="0"/>
      <w:marTop w:val="0"/>
      <w:marBottom w:val="0"/>
      <w:divBdr>
        <w:top w:val="none" w:sz="0" w:space="0" w:color="auto"/>
        <w:left w:val="none" w:sz="0" w:space="0" w:color="auto"/>
        <w:bottom w:val="none" w:sz="0" w:space="0" w:color="auto"/>
        <w:right w:val="none" w:sz="0" w:space="0" w:color="auto"/>
      </w:divBdr>
    </w:div>
    <w:div w:id="1046641279">
      <w:bodyDiv w:val="1"/>
      <w:marLeft w:val="0"/>
      <w:marRight w:val="0"/>
      <w:marTop w:val="0"/>
      <w:marBottom w:val="0"/>
      <w:divBdr>
        <w:top w:val="none" w:sz="0" w:space="0" w:color="auto"/>
        <w:left w:val="none" w:sz="0" w:space="0" w:color="auto"/>
        <w:bottom w:val="none" w:sz="0" w:space="0" w:color="auto"/>
        <w:right w:val="none" w:sz="0" w:space="0" w:color="auto"/>
      </w:divBdr>
    </w:div>
    <w:div w:id="1046680909">
      <w:bodyDiv w:val="1"/>
      <w:marLeft w:val="0"/>
      <w:marRight w:val="0"/>
      <w:marTop w:val="0"/>
      <w:marBottom w:val="0"/>
      <w:divBdr>
        <w:top w:val="none" w:sz="0" w:space="0" w:color="auto"/>
        <w:left w:val="none" w:sz="0" w:space="0" w:color="auto"/>
        <w:bottom w:val="none" w:sz="0" w:space="0" w:color="auto"/>
        <w:right w:val="none" w:sz="0" w:space="0" w:color="auto"/>
      </w:divBdr>
    </w:div>
    <w:div w:id="1046686645">
      <w:bodyDiv w:val="1"/>
      <w:marLeft w:val="0"/>
      <w:marRight w:val="0"/>
      <w:marTop w:val="0"/>
      <w:marBottom w:val="0"/>
      <w:divBdr>
        <w:top w:val="none" w:sz="0" w:space="0" w:color="auto"/>
        <w:left w:val="none" w:sz="0" w:space="0" w:color="auto"/>
        <w:bottom w:val="none" w:sz="0" w:space="0" w:color="auto"/>
        <w:right w:val="none" w:sz="0" w:space="0" w:color="auto"/>
      </w:divBdr>
    </w:div>
    <w:div w:id="1046829766">
      <w:bodyDiv w:val="1"/>
      <w:marLeft w:val="0"/>
      <w:marRight w:val="0"/>
      <w:marTop w:val="0"/>
      <w:marBottom w:val="0"/>
      <w:divBdr>
        <w:top w:val="none" w:sz="0" w:space="0" w:color="auto"/>
        <w:left w:val="none" w:sz="0" w:space="0" w:color="auto"/>
        <w:bottom w:val="none" w:sz="0" w:space="0" w:color="auto"/>
        <w:right w:val="none" w:sz="0" w:space="0" w:color="auto"/>
      </w:divBdr>
    </w:div>
    <w:div w:id="1046950838">
      <w:bodyDiv w:val="1"/>
      <w:marLeft w:val="0"/>
      <w:marRight w:val="0"/>
      <w:marTop w:val="0"/>
      <w:marBottom w:val="0"/>
      <w:divBdr>
        <w:top w:val="none" w:sz="0" w:space="0" w:color="auto"/>
        <w:left w:val="none" w:sz="0" w:space="0" w:color="auto"/>
        <w:bottom w:val="none" w:sz="0" w:space="0" w:color="auto"/>
        <w:right w:val="none" w:sz="0" w:space="0" w:color="auto"/>
      </w:divBdr>
    </w:div>
    <w:div w:id="1047024134">
      <w:bodyDiv w:val="1"/>
      <w:marLeft w:val="0"/>
      <w:marRight w:val="0"/>
      <w:marTop w:val="0"/>
      <w:marBottom w:val="0"/>
      <w:divBdr>
        <w:top w:val="none" w:sz="0" w:space="0" w:color="auto"/>
        <w:left w:val="none" w:sz="0" w:space="0" w:color="auto"/>
        <w:bottom w:val="none" w:sz="0" w:space="0" w:color="auto"/>
        <w:right w:val="none" w:sz="0" w:space="0" w:color="auto"/>
      </w:divBdr>
    </w:div>
    <w:div w:id="1047028138">
      <w:bodyDiv w:val="1"/>
      <w:marLeft w:val="0"/>
      <w:marRight w:val="0"/>
      <w:marTop w:val="0"/>
      <w:marBottom w:val="0"/>
      <w:divBdr>
        <w:top w:val="none" w:sz="0" w:space="0" w:color="auto"/>
        <w:left w:val="none" w:sz="0" w:space="0" w:color="auto"/>
        <w:bottom w:val="none" w:sz="0" w:space="0" w:color="auto"/>
        <w:right w:val="none" w:sz="0" w:space="0" w:color="auto"/>
      </w:divBdr>
    </w:div>
    <w:div w:id="1047071818">
      <w:bodyDiv w:val="1"/>
      <w:marLeft w:val="0"/>
      <w:marRight w:val="0"/>
      <w:marTop w:val="0"/>
      <w:marBottom w:val="0"/>
      <w:divBdr>
        <w:top w:val="none" w:sz="0" w:space="0" w:color="auto"/>
        <w:left w:val="none" w:sz="0" w:space="0" w:color="auto"/>
        <w:bottom w:val="none" w:sz="0" w:space="0" w:color="auto"/>
        <w:right w:val="none" w:sz="0" w:space="0" w:color="auto"/>
      </w:divBdr>
    </w:div>
    <w:div w:id="1047225048">
      <w:bodyDiv w:val="1"/>
      <w:marLeft w:val="0"/>
      <w:marRight w:val="0"/>
      <w:marTop w:val="0"/>
      <w:marBottom w:val="0"/>
      <w:divBdr>
        <w:top w:val="none" w:sz="0" w:space="0" w:color="auto"/>
        <w:left w:val="none" w:sz="0" w:space="0" w:color="auto"/>
        <w:bottom w:val="none" w:sz="0" w:space="0" w:color="auto"/>
        <w:right w:val="none" w:sz="0" w:space="0" w:color="auto"/>
      </w:divBdr>
    </w:div>
    <w:div w:id="1047416140">
      <w:bodyDiv w:val="1"/>
      <w:marLeft w:val="0"/>
      <w:marRight w:val="0"/>
      <w:marTop w:val="0"/>
      <w:marBottom w:val="0"/>
      <w:divBdr>
        <w:top w:val="none" w:sz="0" w:space="0" w:color="auto"/>
        <w:left w:val="none" w:sz="0" w:space="0" w:color="auto"/>
        <w:bottom w:val="none" w:sz="0" w:space="0" w:color="auto"/>
        <w:right w:val="none" w:sz="0" w:space="0" w:color="auto"/>
      </w:divBdr>
    </w:div>
    <w:div w:id="1047491976">
      <w:bodyDiv w:val="1"/>
      <w:marLeft w:val="0"/>
      <w:marRight w:val="0"/>
      <w:marTop w:val="0"/>
      <w:marBottom w:val="0"/>
      <w:divBdr>
        <w:top w:val="none" w:sz="0" w:space="0" w:color="auto"/>
        <w:left w:val="none" w:sz="0" w:space="0" w:color="auto"/>
        <w:bottom w:val="none" w:sz="0" w:space="0" w:color="auto"/>
        <w:right w:val="none" w:sz="0" w:space="0" w:color="auto"/>
      </w:divBdr>
    </w:div>
    <w:div w:id="1047531399">
      <w:bodyDiv w:val="1"/>
      <w:marLeft w:val="0"/>
      <w:marRight w:val="0"/>
      <w:marTop w:val="0"/>
      <w:marBottom w:val="0"/>
      <w:divBdr>
        <w:top w:val="none" w:sz="0" w:space="0" w:color="auto"/>
        <w:left w:val="none" w:sz="0" w:space="0" w:color="auto"/>
        <w:bottom w:val="none" w:sz="0" w:space="0" w:color="auto"/>
        <w:right w:val="none" w:sz="0" w:space="0" w:color="auto"/>
      </w:divBdr>
    </w:div>
    <w:div w:id="1047532411">
      <w:bodyDiv w:val="1"/>
      <w:marLeft w:val="0"/>
      <w:marRight w:val="0"/>
      <w:marTop w:val="0"/>
      <w:marBottom w:val="0"/>
      <w:divBdr>
        <w:top w:val="none" w:sz="0" w:space="0" w:color="auto"/>
        <w:left w:val="none" w:sz="0" w:space="0" w:color="auto"/>
        <w:bottom w:val="none" w:sz="0" w:space="0" w:color="auto"/>
        <w:right w:val="none" w:sz="0" w:space="0" w:color="auto"/>
      </w:divBdr>
    </w:div>
    <w:div w:id="1047602365">
      <w:bodyDiv w:val="1"/>
      <w:marLeft w:val="0"/>
      <w:marRight w:val="0"/>
      <w:marTop w:val="0"/>
      <w:marBottom w:val="0"/>
      <w:divBdr>
        <w:top w:val="none" w:sz="0" w:space="0" w:color="auto"/>
        <w:left w:val="none" w:sz="0" w:space="0" w:color="auto"/>
        <w:bottom w:val="none" w:sz="0" w:space="0" w:color="auto"/>
        <w:right w:val="none" w:sz="0" w:space="0" w:color="auto"/>
      </w:divBdr>
    </w:div>
    <w:div w:id="1047678408">
      <w:bodyDiv w:val="1"/>
      <w:marLeft w:val="0"/>
      <w:marRight w:val="0"/>
      <w:marTop w:val="0"/>
      <w:marBottom w:val="0"/>
      <w:divBdr>
        <w:top w:val="none" w:sz="0" w:space="0" w:color="auto"/>
        <w:left w:val="none" w:sz="0" w:space="0" w:color="auto"/>
        <w:bottom w:val="none" w:sz="0" w:space="0" w:color="auto"/>
        <w:right w:val="none" w:sz="0" w:space="0" w:color="auto"/>
      </w:divBdr>
    </w:div>
    <w:div w:id="1047685343">
      <w:bodyDiv w:val="1"/>
      <w:marLeft w:val="0"/>
      <w:marRight w:val="0"/>
      <w:marTop w:val="0"/>
      <w:marBottom w:val="0"/>
      <w:divBdr>
        <w:top w:val="none" w:sz="0" w:space="0" w:color="auto"/>
        <w:left w:val="none" w:sz="0" w:space="0" w:color="auto"/>
        <w:bottom w:val="none" w:sz="0" w:space="0" w:color="auto"/>
        <w:right w:val="none" w:sz="0" w:space="0" w:color="auto"/>
      </w:divBdr>
    </w:div>
    <w:div w:id="1047724813">
      <w:bodyDiv w:val="1"/>
      <w:marLeft w:val="0"/>
      <w:marRight w:val="0"/>
      <w:marTop w:val="0"/>
      <w:marBottom w:val="0"/>
      <w:divBdr>
        <w:top w:val="none" w:sz="0" w:space="0" w:color="auto"/>
        <w:left w:val="none" w:sz="0" w:space="0" w:color="auto"/>
        <w:bottom w:val="none" w:sz="0" w:space="0" w:color="auto"/>
        <w:right w:val="none" w:sz="0" w:space="0" w:color="auto"/>
      </w:divBdr>
    </w:div>
    <w:div w:id="1047797733">
      <w:bodyDiv w:val="1"/>
      <w:marLeft w:val="0"/>
      <w:marRight w:val="0"/>
      <w:marTop w:val="0"/>
      <w:marBottom w:val="0"/>
      <w:divBdr>
        <w:top w:val="none" w:sz="0" w:space="0" w:color="auto"/>
        <w:left w:val="none" w:sz="0" w:space="0" w:color="auto"/>
        <w:bottom w:val="none" w:sz="0" w:space="0" w:color="auto"/>
        <w:right w:val="none" w:sz="0" w:space="0" w:color="auto"/>
      </w:divBdr>
    </w:div>
    <w:div w:id="1047871440">
      <w:bodyDiv w:val="1"/>
      <w:marLeft w:val="0"/>
      <w:marRight w:val="0"/>
      <w:marTop w:val="0"/>
      <w:marBottom w:val="0"/>
      <w:divBdr>
        <w:top w:val="none" w:sz="0" w:space="0" w:color="auto"/>
        <w:left w:val="none" w:sz="0" w:space="0" w:color="auto"/>
        <w:bottom w:val="none" w:sz="0" w:space="0" w:color="auto"/>
        <w:right w:val="none" w:sz="0" w:space="0" w:color="auto"/>
      </w:divBdr>
    </w:div>
    <w:div w:id="1047873096">
      <w:bodyDiv w:val="1"/>
      <w:marLeft w:val="0"/>
      <w:marRight w:val="0"/>
      <w:marTop w:val="0"/>
      <w:marBottom w:val="0"/>
      <w:divBdr>
        <w:top w:val="none" w:sz="0" w:space="0" w:color="auto"/>
        <w:left w:val="none" w:sz="0" w:space="0" w:color="auto"/>
        <w:bottom w:val="none" w:sz="0" w:space="0" w:color="auto"/>
        <w:right w:val="none" w:sz="0" w:space="0" w:color="auto"/>
      </w:divBdr>
    </w:div>
    <w:div w:id="1047878943">
      <w:bodyDiv w:val="1"/>
      <w:marLeft w:val="0"/>
      <w:marRight w:val="0"/>
      <w:marTop w:val="0"/>
      <w:marBottom w:val="0"/>
      <w:divBdr>
        <w:top w:val="none" w:sz="0" w:space="0" w:color="auto"/>
        <w:left w:val="none" w:sz="0" w:space="0" w:color="auto"/>
        <w:bottom w:val="none" w:sz="0" w:space="0" w:color="auto"/>
        <w:right w:val="none" w:sz="0" w:space="0" w:color="auto"/>
      </w:divBdr>
    </w:div>
    <w:div w:id="1047921159">
      <w:bodyDiv w:val="1"/>
      <w:marLeft w:val="0"/>
      <w:marRight w:val="0"/>
      <w:marTop w:val="0"/>
      <w:marBottom w:val="0"/>
      <w:divBdr>
        <w:top w:val="none" w:sz="0" w:space="0" w:color="auto"/>
        <w:left w:val="none" w:sz="0" w:space="0" w:color="auto"/>
        <w:bottom w:val="none" w:sz="0" w:space="0" w:color="auto"/>
        <w:right w:val="none" w:sz="0" w:space="0" w:color="auto"/>
      </w:divBdr>
    </w:div>
    <w:div w:id="1048065480">
      <w:bodyDiv w:val="1"/>
      <w:marLeft w:val="0"/>
      <w:marRight w:val="0"/>
      <w:marTop w:val="0"/>
      <w:marBottom w:val="0"/>
      <w:divBdr>
        <w:top w:val="none" w:sz="0" w:space="0" w:color="auto"/>
        <w:left w:val="none" w:sz="0" w:space="0" w:color="auto"/>
        <w:bottom w:val="none" w:sz="0" w:space="0" w:color="auto"/>
        <w:right w:val="none" w:sz="0" w:space="0" w:color="auto"/>
      </w:divBdr>
    </w:div>
    <w:div w:id="1048339691">
      <w:bodyDiv w:val="1"/>
      <w:marLeft w:val="0"/>
      <w:marRight w:val="0"/>
      <w:marTop w:val="0"/>
      <w:marBottom w:val="0"/>
      <w:divBdr>
        <w:top w:val="none" w:sz="0" w:space="0" w:color="auto"/>
        <w:left w:val="none" w:sz="0" w:space="0" w:color="auto"/>
        <w:bottom w:val="none" w:sz="0" w:space="0" w:color="auto"/>
        <w:right w:val="none" w:sz="0" w:space="0" w:color="auto"/>
      </w:divBdr>
    </w:div>
    <w:div w:id="1048340521">
      <w:bodyDiv w:val="1"/>
      <w:marLeft w:val="0"/>
      <w:marRight w:val="0"/>
      <w:marTop w:val="0"/>
      <w:marBottom w:val="0"/>
      <w:divBdr>
        <w:top w:val="none" w:sz="0" w:space="0" w:color="auto"/>
        <w:left w:val="none" w:sz="0" w:space="0" w:color="auto"/>
        <w:bottom w:val="none" w:sz="0" w:space="0" w:color="auto"/>
        <w:right w:val="none" w:sz="0" w:space="0" w:color="auto"/>
      </w:divBdr>
    </w:div>
    <w:div w:id="1048381283">
      <w:bodyDiv w:val="1"/>
      <w:marLeft w:val="0"/>
      <w:marRight w:val="0"/>
      <w:marTop w:val="0"/>
      <w:marBottom w:val="0"/>
      <w:divBdr>
        <w:top w:val="none" w:sz="0" w:space="0" w:color="auto"/>
        <w:left w:val="none" w:sz="0" w:space="0" w:color="auto"/>
        <w:bottom w:val="none" w:sz="0" w:space="0" w:color="auto"/>
        <w:right w:val="none" w:sz="0" w:space="0" w:color="auto"/>
      </w:divBdr>
    </w:div>
    <w:div w:id="1048383691">
      <w:bodyDiv w:val="1"/>
      <w:marLeft w:val="0"/>
      <w:marRight w:val="0"/>
      <w:marTop w:val="0"/>
      <w:marBottom w:val="0"/>
      <w:divBdr>
        <w:top w:val="none" w:sz="0" w:space="0" w:color="auto"/>
        <w:left w:val="none" w:sz="0" w:space="0" w:color="auto"/>
        <w:bottom w:val="none" w:sz="0" w:space="0" w:color="auto"/>
        <w:right w:val="none" w:sz="0" w:space="0" w:color="auto"/>
      </w:divBdr>
    </w:div>
    <w:div w:id="1048408393">
      <w:bodyDiv w:val="1"/>
      <w:marLeft w:val="0"/>
      <w:marRight w:val="0"/>
      <w:marTop w:val="0"/>
      <w:marBottom w:val="0"/>
      <w:divBdr>
        <w:top w:val="none" w:sz="0" w:space="0" w:color="auto"/>
        <w:left w:val="none" w:sz="0" w:space="0" w:color="auto"/>
        <w:bottom w:val="none" w:sz="0" w:space="0" w:color="auto"/>
        <w:right w:val="none" w:sz="0" w:space="0" w:color="auto"/>
      </w:divBdr>
    </w:div>
    <w:div w:id="1048527327">
      <w:bodyDiv w:val="1"/>
      <w:marLeft w:val="0"/>
      <w:marRight w:val="0"/>
      <w:marTop w:val="0"/>
      <w:marBottom w:val="0"/>
      <w:divBdr>
        <w:top w:val="none" w:sz="0" w:space="0" w:color="auto"/>
        <w:left w:val="none" w:sz="0" w:space="0" w:color="auto"/>
        <w:bottom w:val="none" w:sz="0" w:space="0" w:color="auto"/>
        <w:right w:val="none" w:sz="0" w:space="0" w:color="auto"/>
      </w:divBdr>
    </w:div>
    <w:div w:id="1048650101">
      <w:bodyDiv w:val="1"/>
      <w:marLeft w:val="0"/>
      <w:marRight w:val="0"/>
      <w:marTop w:val="0"/>
      <w:marBottom w:val="0"/>
      <w:divBdr>
        <w:top w:val="none" w:sz="0" w:space="0" w:color="auto"/>
        <w:left w:val="none" w:sz="0" w:space="0" w:color="auto"/>
        <w:bottom w:val="none" w:sz="0" w:space="0" w:color="auto"/>
        <w:right w:val="none" w:sz="0" w:space="0" w:color="auto"/>
      </w:divBdr>
    </w:div>
    <w:div w:id="1048843428">
      <w:bodyDiv w:val="1"/>
      <w:marLeft w:val="0"/>
      <w:marRight w:val="0"/>
      <w:marTop w:val="0"/>
      <w:marBottom w:val="0"/>
      <w:divBdr>
        <w:top w:val="none" w:sz="0" w:space="0" w:color="auto"/>
        <w:left w:val="none" w:sz="0" w:space="0" w:color="auto"/>
        <w:bottom w:val="none" w:sz="0" w:space="0" w:color="auto"/>
        <w:right w:val="none" w:sz="0" w:space="0" w:color="auto"/>
      </w:divBdr>
    </w:div>
    <w:div w:id="1048846072">
      <w:bodyDiv w:val="1"/>
      <w:marLeft w:val="0"/>
      <w:marRight w:val="0"/>
      <w:marTop w:val="0"/>
      <w:marBottom w:val="0"/>
      <w:divBdr>
        <w:top w:val="none" w:sz="0" w:space="0" w:color="auto"/>
        <w:left w:val="none" w:sz="0" w:space="0" w:color="auto"/>
        <w:bottom w:val="none" w:sz="0" w:space="0" w:color="auto"/>
        <w:right w:val="none" w:sz="0" w:space="0" w:color="auto"/>
      </w:divBdr>
    </w:div>
    <w:div w:id="1048919674">
      <w:bodyDiv w:val="1"/>
      <w:marLeft w:val="0"/>
      <w:marRight w:val="0"/>
      <w:marTop w:val="0"/>
      <w:marBottom w:val="0"/>
      <w:divBdr>
        <w:top w:val="none" w:sz="0" w:space="0" w:color="auto"/>
        <w:left w:val="none" w:sz="0" w:space="0" w:color="auto"/>
        <w:bottom w:val="none" w:sz="0" w:space="0" w:color="auto"/>
        <w:right w:val="none" w:sz="0" w:space="0" w:color="auto"/>
      </w:divBdr>
    </w:div>
    <w:div w:id="1049189212">
      <w:bodyDiv w:val="1"/>
      <w:marLeft w:val="0"/>
      <w:marRight w:val="0"/>
      <w:marTop w:val="0"/>
      <w:marBottom w:val="0"/>
      <w:divBdr>
        <w:top w:val="none" w:sz="0" w:space="0" w:color="auto"/>
        <w:left w:val="none" w:sz="0" w:space="0" w:color="auto"/>
        <w:bottom w:val="none" w:sz="0" w:space="0" w:color="auto"/>
        <w:right w:val="none" w:sz="0" w:space="0" w:color="auto"/>
      </w:divBdr>
    </w:div>
    <w:div w:id="1049259960">
      <w:bodyDiv w:val="1"/>
      <w:marLeft w:val="0"/>
      <w:marRight w:val="0"/>
      <w:marTop w:val="0"/>
      <w:marBottom w:val="0"/>
      <w:divBdr>
        <w:top w:val="none" w:sz="0" w:space="0" w:color="auto"/>
        <w:left w:val="none" w:sz="0" w:space="0" w:color="auto"/>
        <w:bottom w:val="none" w:sz="0" w:space="0" w:color="auto"/>
        <w:right w:val="none" w:sz="0" w:space="0" w:color="auto"/>
      </w:divBdr>
    </w:div>
    <w:div w:id="1049374482">
      <w:bodyDiv w:val="1"/>
      <w:marLeft w:val="0"/>
      <w:marRight w:val="0"/>
      <w:marTop w:val="0"/>
      <w:marBottom w:val="0"/>
      <w:divBdr>
        <w:top w:val="none" w:sz="0" w:space="0" w:color="auto"/>
        <w:left w:val="none" w:sz="0" w:space="0" w:color="auto"/>
        <w:bottom w:val="none" w:sz="0" w:space="0" w:color="auto"/>
        <w:right w:val="none" w:sz="0" w:space="0" w:color="auto"/>
      </w:divBdr>
    </w:div>
    <w:div w:id="1049381132">
      <w:bodyDiv w:val="1"/>
      <w:marLeft w:val="0"/>
      <w:marRight w:val="0"/>
      <w:marTop w:val="0"/>
      <w:marBottom w:val="0"/>
      <w:divBdr>
        <w:top w:val="none" w:sz="0" w:space="0" w:color="auto"/>
        <w:left w:val="none" w:sz="0" w:space="0" w:color="auto"/>
        <w:bottom w:val="none" w:sz="0" w:space="0" w:color="auto"/>
        <w:right w:val="none" w:sz="0" w:space="0" w:color="auto"/>
      </w:divBdr>
    </w:div>
    <w:div w:id="1049457309">
      <w:bodyDiv w:val="1"/>
      <w:marLeft w:val="0"/>
      <w:marRight w:val="0"/>
      <w:marTop w:val="0"/>
      <w:marBottom w:val="0"/>
      <w:divBdr>
        <w:top w:val="none" w:sz="0" w:space="0" w:color="auto"/>
        <w:left w:val="none" w:sz="0" w:space="0" w:color="auto"/>
        <w:bottom w:val="none" w:sz="0" w:space="0" w:color="auto"/>
        <w:right w:val="none" w:sz="0" w:space="0" w:color="auto"/>
      </w:divBdr>
    </w:div>
    <w:div w:id="1049645186">
      <w:bodyDiv w:val="1"/>
      <w:marLeft w:val="0"/>
      <w:marRight w:val="0"/>
      <w:marTop w:val="0"/>
      <w:marBottom w:val="0"/>
      <w:divBdr>
        <w:top w:val="none" w:sz="0" w:space="0" w:color="auto"/>
        <w:left w:val="none" w:sz="0" w:space="0" w:color="auto"/>
        <w:bottom w:val="none" w:sz="0" w:space="0" w:color="auto"/>
        <w:right w:val="none" w:sz="0" w:space="0" w:color="auto"/>
      </w:divBdr>
    </w:div>
    <w:div w:id="1049650703">
      <w:bodyDiv w:val="1"/>
      <w:marLeft w:val="0"/>
      <w:marRight w:val="0"/>
      <w:marTop w:val="0"/>
      <w:marBottom w:val="0"/>
      <w:divBdr>
        <w:top w:val="none" w:sz="0" w:space="0" w:color="auto"/>
        <w:left w:val="none" w:sz="0" w:space="0" w:color="auto"/>
        <w:bottom w:val="none" w:sz="0" w:space="0" w:color="auto"/>
        <w:right w:val="none" w:sz="0" w:space="0" w:color="auto"/>
      </w:divBdr>
    </w:div>
    <w:div w:id="1049693223">
      <w:bodyDiv w:val="1"/>
      <w:marLeft w:val="0"/>
      <w:marRight w:val="0"/>
      <w:marTop w:val="0"/>
      <w:marBottom w:val="0"/>
      <w:divBdr>
        <w:top w:val="none" w:sz="0" w:space="0" w:color="auto"/>
        <w:left w:val="none" w:sz="0" w:space="0" w:color="auto"/>
        <w:bottom w:val="none" w:sz="0" w:space="0" w:color="auto"/>
        <w:right w:val="none" w:sz="0" w:space="0" w:color="auto"/>
      </w:divBdr>
    </w:div>
    <w:div w:id="1049913812">
      <w:bodyDiv w:val="1"/>
      <w:marLeft w:val="0"/>
      <w:marRight w:val="0"/>
      <w:marTop w:val="0"/>
      <w:marBottom w:val="0"/>
      <w:divBdr>
        <w:top w:val="none" w:sz="0" w:space="0" w:color="auto"/>
        <w:left w:val="none" w:sz="0" w:space="0" w:color="auto"/>
        <w:bottom w:val="none" w:sz="0" w:space="0" w:color="auto"/>
        <w:right w:val="none" w:sz="0" w:space="0" w:color="auto"/>
      </w:divBdr>
    </w:div>
    <w:div w:id="1049956859">
      <w:bodyDiv w:val="1"/>
      <w:marLeft w:val="0"/>
      <w:marRight w:val="0"/>
      <w:marTop w:val="0"/>
      <w:marBottom w:val="0"/>
      <w:divBdr>
        <w:top w:val="none" w:sz="0" w:space="0" w:color="auto"/>
        <w:left w:val="none" w:sz="0" w:space="0" w:color="auto"/>
        <w:bottom w:val="none" w:sz="0" w:space="0" w:color="auto"/>
        <w:right w:val="none" w:sz="0" w:space="0" w:color="auto"/>
      </w:divBdr>
    </w:div>
    <w:div w:id="1050150048">
      <w:bodyDiv w:val="1"/>
      <w:marLeft w:val="0"/>
      <w:marRight w:val="0"/>
      <w:marTop w:val="0"/>
      <w:marBottom w:val="0"/>
      <w:divBdr>
        <w:top w:val="none" w:sz="0" w:space="0" w:color="auto"/>
        <w:left w:val="none" w:sz="0" w:space="0" w:color="auto"/>
        <w:bottom w:val="none" w:sz="0" w:space="0" w:color="auto"/>
        <w:right w:val="none" w:sz="0" w:space="0" w:color="auto"/>
      </w:divBdr>
    </w:div>
    <w:div w:id="1050232305">
      <w:bodyDiv w:val="1"/>
      <w:marLeft w:val="0"/>
      <w:marRight w:val="0"/>
      <w:marTop w:val="0"/>
      <w:marBottom w:val="0"/>
      <w:divBdr>
        <w:top w:val="none" w:sz="0" w:space="0" w:color="auto"/>
        <w:left w:val="none" w:sz="0" w:space="0" w:color="auto"/>
        <w:bottom w:val="none" w:sz="0" w:space="0" w:color="auto"/>
        <w:right w:val="none" w:sz="0" w:space="0" w:color="auto"/>
      </w:divBdr>
    </w:div>
    <w:div w:id="1050300448">
      <w:bodyDiv w:val="1"/>
      <w:marLeft w:val="0"/>
      <w:marRight w:val="0"/>
      <w:marTop w:val="0"/>
      <w:marBottom w:val="0"/>
      <w:divBdr>
        <w:top w:val="none" w:sz="0" w:space="0" w:color="auto"/>
        <w:left w:val="none" w:sz="0" w:space="0" w:color="auto"/>
        <w:bottom w:val="none" w:sz="0" w:space="0" w:color="auto"/>
        <w:right w:val="none" w:sz="0" w:space="0" w:color="auto"/>
      </w:divBdr>
    </w:div>
    <w:div w:id="1050302986">
      <w:bodyDiv w:val="1"/>
      <w:marLeft w:val="0"/>
      <w:marRight w:val="0"/>
      <w:marTop w:val="0"/>
      <w:marBottom w:val="0"/>
      <w:divBdr>
        <w:top w:val="none" w:sz="0" w:space="0" w:color="auto"/>
        <w:left w:val="none" w:sz="0" w:space="0" w:color="auto"/>
        <w:bottom w:val="none" w:sz="0" w:space="0" w:color="auto"/>
        <w:right w:val="none" w:sz="0" w:space="0" w:color="auto"/>
      </w:divBdr>
    </w:div>
    <w:div w:id="1050347315">
      <w:bodyDiv w:val="1"/>
      <w:marLeft w:val="0"/>
      <w:marRight w:val="0"/>
      <w:marTop w:val="0"/>
      <w:marBottom w:val="0"/>
      <w:divBdr>
        <w:top w:val="none" w:sz="0" w:space="0" w:color="auto"/>
        <w:left w:val="none" w:sz="0" w:space="0" w:color="auto"/>
        <w:bottom w:val="none" w:sz="0" w:space="0" w:color="auto"/>
        <w:right w:val="none" w:sz="0" w:space="0" w:color="auto"/>
      </w:divBdr>
    </w:div>
    <w:div w:id="1050425843">
      <w:bodyDiv w:val="1"/>
      <w:marLeft w:val="0"/>
      <w:marRight w:val="0"/>
      <w:marTop w:val="0"/>
      <w:marBottom w:val="0"/>
      <w:divBdr>
        <w:top w:val="none" w:sz="0" w:space="0" w:color="auto"/>
        <w:left w:val="none" w:sz="0" w:space="0" w:color="auto"/>
        <w:bottom w:val="none" w:sz="0" w:space="0" w:color="auto"/>
        <w:right w:val="none" w:sz="0" w:space="0" w:color="auto"/>
      </w:divBdr>
    </w:div>
    <w:div w:id="1050567285">
      <w:bodyDiv w:val="1"/>
      <w:marLeft w:val="0"/>
      <w:marRight w:val="0"/>
      <w:marTop w:val="0"/>
      <w:marBottom w:val="0"/>
      <w:divBdr>
        <w:top w:val="none" w:sz="0" w:space="0" w:color="auto"/>
        <w:left w:val="none" w:sz="0" w:space="0" w:color="auto"/>
        <w:bottom w:val="none" w:sz="0" w:space="0" w:color="auto"/>
        <w:right w:val="none" w:sz="0" w:space="0" w:color="auto"/>
      </w:divBdr>
    </w:div>
    <w:div w:id="1050804733">
      <w:bodyDiv w:val="1"/>
      <w:marLeft w:val="0"/>
      <w:marRight w:val="0"/>
      <w:marTop w:val="0"/>
      <w:marBottom w:val="0"/>
      <w:divBdr>
        <w:top w:val="none" w:sz="0" w:space="0" w:color="auto"/>
        <w:left w:val="none" w:sz="0" w:space="0" w:color="auto"/>
        <w:bottom w:val="none" w:sz="0" w:space="0" w:color="auto"/>
        <w:right w:val="none" w:sz="0" w:space="0" w:color="auto"/>
      </w:divBdr>
    </w:div>
    <w:div w:id="1050887654">
      <w:bodyDiv w:val="1"/>
      <w:marLeft w:val="0"/>
      <w:marRight w:val="0"/>
      <w:marTop w:val="0"/>
      <w:marBottom w:val="0"/>
      <w:divBdr>
        <w:top w:val="none" w:sz="0" w:space="0" w:color="auto"/>
        <w:left w:val="none" w:sz="0" w:space="0" w:color="auto"/>
        <w:bottom w:val="none" w:sz="0" w:space="0" w:color="auto"/>
        <w:right w:val="none" w:sz="0" w:space="0" w:color="auto"/>
      </w:divBdr>
    </w:div>
    <w:div w:id="1050957762">
      <w:bodyDiv w:val="1"/>
      <w:marLeft w:val="0"/>
      <w:marRight w:val="0"/>
      <w:marTop w:val="0"/>
      <w:marBottom w:val="0"/>
      <w:divBdr>
        <w:top w:val="none" w:sz="0" w:space="0" w:color="auto"/>
        <w:left w:val="none" w:sz="0" w:space="0" w:color="auto"/>
        <w:bottom w:val="none" w:sz="0" w:space="0" w:color="auto"/>
        <w:right w:val="none" w:sz="0" w:space="0" w:color="auto"/>
      </w:divBdr>
    </w:div>
    <w:div w:id="1051001781">
      <w:bodyDiv w:val="1"/>
      <w:marLeft w:val="0"/>
      <w:marRight w:val="0"/>
      <w:marTop w:val="0"/>
      <w:marBottom w:val="0"/>
      <w:divBdr>
        <w:top w:val="none" w:sz="0" w:space="0" w:color="auto"/>
        <w:left w:val="none" w:sz="0" w:space="0" w:color="auto"/>
        <w:bottom w:val="none" w:sz="0" w:space="0" w:color="auto"/>
        <w:right w:val="none" w:sz="0" w:space="0" w:color="auto"/>
      </w:divBdr>
    </w:div>
    <w:div w:id="1051074974">
      <w:bodyDiv w:val="1"/>
      <w:marLeft w:val="0"/>
      <w:marRight w:val="0"/>
      <w:marTop w:val="0"/>
      <w:marBottom w:val="0"/>
      <w:divBdr>
        <w:top w:val="none" w:sz="0" w:space="0" w:color="auto"/>
        <w:left w:val="none" w:sz="0" w:space="0" w:color="auto"/>
        <w:bottom w:val="none" w:sz="0" w:space="0" w:color="auto"/>
        <w:right w:val="none" w:sz="0" w:space="0" w:color="auto"/>
      </w:divBdr>
    </w:div>
    <w:div w:id="1051198854">
      <w:bodyDiv w:val="1"/>
      <w:marLeft w:val="0"/>
      <w:marRight w:val="0"/>
      <w:marTop w:val="0"/>
      <w:marBottom w:val="0"/>
      <w:divBdr>
        <w:top w:val="none" w:sz="0" w:space="0" w:color="auto"/>
        <w:left w:val="none" w:sz="0" w:space="0" w:color="auto"/>
        <w:bottom w:val="none" w:sz="0" w:space="0" w:color="auto"/>
        <w:right w:val="none" w:sz="0" w:space="0" w:color="auto"/>
      </w:divBdr>
    </w:div>
    <w:div w:id="1051229066">
      <w:bodyDiv w:val="1"/>
      <w:marLeft w:val="0"/>
      <w:marRight w:val="0"/>
      <w:marTop w:val="0"/>
      <w:marBottom w:val="0"/>
      <w:divBdr>
        <w:top w:val="none" w:sz="0" w:space="0" w:color="auto"/>
        <w:left w:val="none" w:sz="0" w:space="0" w:color="auto"/>
        <w:bottom w:val="none" w:sz="0" w:space="0" w:color="auto"/>
        <w:right w:val="none" w:sz="0" w:space="0" w:color="auto"/>
      </w:divBdr>
    </w:div>
    <w:div w:id="1051271716">
      <w:bodyDiv w:val="1"/>
      <w:marLeft w:val="0"/>
      <w:marRight w:val="0"/>
      <w:marTop w:val="0"/>
      <w:marBottom w:val="0"/>
      <w:divBdr>
        <w:top w:val="none" w:sz="0" w:space="0" w:color="auto"/>
        <w:left w:val="none" w:sz="0" w:space="0" w:color="auto"/>
        <w:bottom w:val="none" w:sz="0" w:space="0" w:color="auto"/>
        <w:right w:val="none" w:sz="0" w:space="0" w:color="auto"/>
      </w:divBdr>
    </w:div>
    <w:div w:id="1051341281">
      <w:bodyDiv w:val="1"/>
      <w:marLeft w:val="0"/>
      <w:marRight w:val="0"/>
      <w:marTop w:val="0"/>
      <w:marBottom w:val="0"/>
      <w:divBdr>
        <w:top w:val="none" w:sz="0" w:space="0" w:color="auto"/>
        <w:left w:val="none" w:sz="0" w:space="0" w:color="auto"/>
        <w:bottom w:val="none" w:sz="0" w:space="0" w:color="auto"/>
        <w:right w:val="none" w:sz="0" w:space="0" w:color="auto"/>
      </w:divBdr>
    </w:div>
    <w:div w:id="1051347657">
      <w:bodyDiv w:val="1"/>
      <w:marLeft w:val="0"/>
      <w:marRight w:val="0"/>
      <w:marTop w:val="0"/>
      <w:marBottom w:val="0"/>
      <w:divBdr>
        <w:top w:val="none" w:sz="0" w:space="0" w:color="auto"/>
        <w:left w:val="none" w:sz="0" w:space="0" w:color="auto"/>
        <w:bottom w:val="none" w:sz="0" w:space="0" w:color="auto"/>
        <w:right w:val="none" w:sz="0" w:space="0" w:color="auto"/>
      </w:divBdr>
    </w:div>
    <w:div w:id="1051614749">
      <w:bodyDiv w:val="1"/>
      <w:marLeft w:val="0"/>
      <w:marRight w:val="0"/>
      <w:marTop w:val="0"/>
      <w:marBottom w:val="0"/>
      <w:divBdr>
        <w:top w:val="none" w:sz="0" w:space="0" w:color="auto"/>
        <w:left w:val="none" w:sz="0" w:space="0" w:color="auto"/>
        <w:bottom w:val="none" w:sz="0" w:space="0" w:color="auto"/>
        <w:right w:val="none" w:sz="0" w:space="0" w:color="auto"/>
      </w:divBdr>
    </w:div>
    <w:div w:id="1051617528">
      <w:bodyDiv w:val="1"/>
      <w:marLeft w:val="0"/>
      <w:marRight w:val="0"/>
      <w:marTop w:val="0"/>
      <w:marBottom w:val="0"/>
      <w:divBdr>
        <w:top w:val="none" w:sz="0" w:space="0" w:color="auto"/>
        <w:left w:val="none" w:sz="0" w:space="0" w:color="auto"/>
        <w:bottom w:val="none" w:sz="0" w:space="0" w:color="auto"/>
        <w:right w:val="none" w:sz="0" w:space="0" w:color="auto"/>
      </w:divBdr>
    </w:div>
    <w:div w:id="1051658826">
      <w:bodyDiv w:val="1"/>
      <w:marLeft w:val="0"/>
      <w:marRight w:val="0"/>
      <w:marTop w:val="0"/>
      <w:marBottom w:val="0"/>
      <w:divBdr>
        <w:top w:val="none" w:sz="0" w:space="0" w:color="auto"/>
        <w:left w:val="none" w:sz="0" w:space="0" w:color="auto"/>
        <w:bottom w:val="none" w:sz="0" w:space="0" w:color="auto"/>
        <w:right w:val="none" w:sz="0" w:space="0" w:color="auto"/>
      </w:divBdr>
    </w:div>
    <w:div w:id="1051729016">
      <w:bodyDiv w:val="1"/>
      <w:marLeft w:val="0"/>
      <w:marRight w:val="0"/>
      <w:marTop w:val="0"/>
      <w:marBottom w:val="0"/>
      <w:divBdr>
        <w:top w:val="none" w:sz="0" w:space="0" w:color="auto"/>
        <w:left w:val="none" w:sz="0" w:space="0" w:color="auto"/>
        <w:bottom w:val="none" w:sz="0" w:space="0" w:color="auto"/>
        <w:right w:val="none" w:sz="0" w:space="0" w:color="auto"/>
      </w:divBdr>
    </w:div>
    <w:div w:id="1051733819">
      <w:bodyDiv w:val="1"/>
      <w:marLeft w:val="0"/>
      <w:marRight w:val="0"/>
      <w:marTop w:val="0"/>
      <w:marBottom w:val="0"/>
      <w:divBdr>
        <w:top w:val="none" w:sz="0" w:space="0" w:color="auto"/>
        <w:left w:val="none" w:sz="0" w:space="0" w:color="auto"/>
        <w:bottom w:val="none" w:sz="0" w:space="0" w:color="auto"/>
        <w:right w:val="none" w:sz="0" w:space="0" w:color="auto"/>
      </w:divBdr>
    </w:div>
    <w:div w:id="1051734248">
      <w:bodyDiv w:val="1"/>
      <w:marLeft w:val="0"/>
      <w:marRight w:val="0"/>
      <w:marTop w:val="0"/>
      <w:marBottom w:val="0"/>
      <w:divBdr>
        <w:top w:val="none" w:sz="0" w:space="0" w:color="auto"/>
        <w:left w:val="none" w:sz="0" w:space="0" w:color="auto"/>
        <w:bottom w:val="none" w:sz="0" w:space="0" w:color="auto"/>
        <w:right w:val="none" w:sz="0" w:space="0" w:color="auto"/>
      </w:divBdr>
    </w:div>
    <w:div w:id="1051810477">
      <w:bodyDiv w:val="1"/>
      <w:marLeft w:val="0"/>
      <w:marRight w:val="0"/>
      <w:marTop w:val="0"/>
      <w:marBottom w:val="0"/>
      <w:divBdr>
        <w:top w:val="none" w:sz="0" w:space="0" w:color="auto"/>
        <w:left w:val="none" w:sz="0" w:space="0" w:color="auto"/>
        <w:bottom w:val="none" w:sz="0" w:space="0" w:color="auto"/>
        <w:right w:val="none" w:sz="0" w:space="0" w:color="auto"/>
      </w:divBdr>
    </w:div>
    <w:div w:id="1051853545">
      <w:bodyDiv w:val="1"/>
      <w:marLeft w:val="0"/>
      <w:marRight w:val="0"/>
      <w:marTop w:val="0"/>
      <w:marBottom w:val="0"/>
      <w:divBdr>
        <w:top w:val="none" w:sz="0" w:space="0" w:color="auto"/>
        <w:left w:val="none" w:sz="0" w:space="0" w:color="auto"/>
        <w:bottom w:val="none" w:sz="0" w:space="0" w:color="auto"/>
        <w:right w:val="none" w:sz="0" w:space="0" w:color="auto"/>
      </w:divBdr>
    </w:div>
    <w:div w:id="1051880200">
      <w:bodyDiv w:val="1"/>
      <w:marLeft w:val="0"/>
      <w:marRight w:val="0"/>
      <w:marTop w:val="0"/>
      <w:marBottom w:val="0"/>
      <w:divBdr>
        <w:top w:val="none" w:sz="0" w:space="0" w:color="auto"/>
        <w:left w:val="none" w:sz="0" w:space="0" w:color="auto"/>
        <w:bottom w:val="none" w:sz="0" w:space="0" w:color="auto"/>
        <w:right w:val="none" w:sz="0" w:space="0" w:color="auto"/>
      </w:divBdr>
    </w:div>
    <w:div w:id="1052072404">
      <w:bodyDiv w:val="1"/>
      <w:marLeft w:val="0"/>
      <w:marRight w:val="0"/>
      <w:marTop w:val="0"/>
      <w:marBottom w:val="0"/>
      <w:divBdr>
        <w:top w:val="none" w:sz="0" w:space="0" w:color="auto"/>
        <w:left w:val="none" w:sz="0" w:space="0" w:color="auto"/>
        <w:bottom w:val="none" w:sz="0" w:space="0" w:color="auto"/>
        <w:right w:val="none" w:sz="0" w:space="0" w:color="auto"/>
      </w:divBdr>
    </w:div>
    <w:div w:id="1052072412">
      <w:bodyDiv w:val="1"/>
      <w:marLeft w:val="0"/>
      <w:marRight w:val="0"/>
      <w:marTop w:val="0"/>
      <w:marBottom w:val="0"/>
      <w:divBdr>
        <w:top w:val="none" w:sz="0" w:space="0" w:color="auto"/>
        <w:left w:val="none" w:sz="0" w:space="0" w:color="auto"/>
        <w:bottom w:val="none" w:sz="0" w:space="0" w:color="auto"/>
        <w:right w:val="none" w:sz="0" w:space="0" w:color="auto"/>
      </w:divBdr>
    </w:div>
    <w:div w:id="1052073373">
      <w:bodyDiv w:val="1"/>
      <w:marLeft w:val="0"/>
      <w:marRight w:val="0"/>
      <w:marTop w:val="0"/>
      <w:marBottom w:val="0"/>
      <w:divBdr>
        <w:top w:val="none" w:sz="0" w:space="0" w:color="auto"/>
        <w:left w:val="none" w:sz="0" w:space="0" w:color="auto"/>
        <w:bottom w:val="none" w:sz="0" w:space="0" w:color="auto"/>
        <w:right w:val="none" w:sz="0" w:space="0" w:color="auto"/>
      </w:divBdr>
    </w:div>
    <w:div w:id="1052079867">
      <w:bodyDiv w:val="1"/>
      <w:marLeft w:val="0"/>
      <w:marRight w:val="0"/>
      <w:marTop w:val="0"/>
      <w:marBottom w:val="0"/>
      <w:divBdr>
        <w:top w:val="none" w:sz="0" w:space="0" w:color="auto"/>
        <w:left w:val="none" w:sz="0" w:space="0" w:color="auto"/>
        <w:bottom w:val="none" w:sz="0" w:space="0" w:color="auto"/>
        <w:right w:val="none" w:sz="0" w:space="0" w:color="auto"/>
      </w:divBdr>
    </w:div>
    <w:div w:id="1052118504">
      <w:bodyDiv w:val="1"/>
      <w:marLeft w:val="0"/>
      <w:marRight w:val="0"/>
      <w:marTop w:val="0"/>
      <w:marBottom w:val="0"/>
      <w:divBdr>
        <w:top w:val="none" w:sz="0" w:space="0" w:color="auto"/>
        <w:left w:val="none" w:sz="0" w:space="0" w:color="auto"/>
        <w:bottom w:val="none" w:sz="0" w:space="0" w:color="auto"/>
        <w:right w:val="none" w:sz="0" w:space="0" w:color="auto"/>
      </w:divBdr>
    </w:div>
    <w:div w:id="1052192365">
      <w:bodyDiv w:val="1"/>
      <w:marLeft w:val="0"/>
      <w:marRight w:val="0"/>
      <w:marTop w:val="0"/>
      <w:marBottom w:val="0"/>
      <w:divBdr>
        <w:top w:val="none" w:sz="0" w:space="0" w:color="auto"/>
        <w:left w:val="none" w:sz="0" w:space="0" w:color="auto"/>
        <w:bottom w:val="none" w:sz="0" w:space="0" w:color="auto"/>
        <w:right w:val="none" w:sz="0" w:space="0" w:color="auto"/>
      </w:divBdr>
    </w:div>
    <w:div w:id="1052342122">
      <w:bodyDiv w:val="1"/>
      <w:marLeft w:val="0"/>
      <w:marRight w:val="0"/>
      <w:marTop w:val="0"/>
      <w:marBottom w:val="0"/>
      <w:divBdr>
        <w:top w:val="none" w:sz="0" w:space="0" w:color="auto"/>
        <w:left w:val="none" w:sz="0" w:space="0" w:color="auto"/>
        <w:bottom w:val="none" w:sz="0" w:space="0" w:color="auto"/>
        <w:right w:val="none" w:sz="0" w:space="0" w:color="auto"/>
      </w:divBdr>
    </w:div>
    <w:div w:id="1052460277">
      <w:bodyDiv w:val="1"/>
      <w:marLeft w:val="0"/>
      <w:marRight w:val="0"/>
      <w:marTop w:val="0"/>
      <w:marBottom w:val="0"/>
      <w:divBdr>
        <w:top w:val="none" w:sz="0" w:space="0" w:color="auto"/>
        <w:left w:val="none" w:sz="0" w:space="0" w:color="auto"/>
        <w:bottom w:val="none" w:sz="0" w:space="0" w:color="auto"/>
        <w:right w:val="none" w:sz="0" w:space="0" w:color="auto"/>
      </w:divBdr>
    </w:div>
    <w:div w:id="1052581594">
      <w:bodyDiv w:val="1"/>
      <w:marLeft w:val="0"/>
      <w:marRight w:val="0"/>
      <w:marTop w:val="0"/>
      <w:marBottom w:val="0"/>
      <w:divBdr>
        <w:top w:val="none" w:sz="0" w:space="0" w:color="auto"/>
        <w:left w:val="none" w:sz="0" w:space="0" w:color="auto"/>
        <w:bottom w:val="none" w:sz="0" w:space="0" w:color="auto"/>
        <w:right w:val="none" w:sz="0" w:space="0" w:color="auto"/>
      </w:divBdr>
    </w:div>
    <w:div w:id="1052654162">
      <w:bodyDiv w:val="1"/>
      <w:marLeft w:val="0"/>
      <w:marRight w:val="0"/>
      <w:marTop w:val="0"/>
      <w:marBottom w:val="0"/>
      <w:divBdr>
        <w:top w:val="none" w:sz="0" w:space="0" w:color="auto"/>
        <w:left w:val="none" w:sz="0" w:space="0" w:color="auto"/>
        <w:bottom w:val="none" w:sz="0" w:space="0" w:color="auto"/>
        <w:right w:val="none" w:sz="0" w:space="0" w:color="auto"/>
      </w:divBdr>
    </w:div>
    <w:div w:id="1052654172">
      <w:bodyDiv w:val="1"/>
      <w:marLeft w:val="0"/>
      <w:marRight w:val="0"/>
      <w:marTop w:val="0"/>
      <w:marBottom w:val="0"/>
      <w:divBdr>
        <w:top w:val="none" w:sz="0" w:space="0" w:color="auto"/>
        <w:left w:val="none" w:sz="0" w:space="0" w:color="auto"/>
        <w:bottom w:val="none" w:sz="0" w:space="0" w:color="auto"/>
        <w:right w:val="none" w:sz="0" w:space="0" w:color="auto"/>
      </w:divBdr>
    </w:div>
    <w:div w:id="1052659051">
      <w:bodyDiv w:val="1"/>
      <w:marLeft w:val="0"/>
      <w:marRight w:val="0"/>
      <w:marTop w:val="0"/>
      <w:marBottom w:val="0"/>
      <w:divBdr>
        <w:top w:val="none" w:sz="0" w:space="0" w:color="auto"/>
        <w:left w:val="none" w:sz="0" w:space="0" w:color="auto"/>
        <w:bottom w:val="none" w:sz="0" w:space="0" w:color="auto"/>
        <w:right w:val="none" w:sz="0" w:space="0" w:color="auto"/>
      </w:divBdr>
    </w:div>
    <w:div w:id="1052660182">
      <w:bodyDiv w:val="1"/>
      <w:marLeft w:val="0"/>
      <w:marRight w:val="0"/>
      <w:marTop w:val="0"/>
      <w:marBottom w:val="0"/>
      <w:divBdr>
        <w:top w:val="none" w:sz="0" w:space="0" w:color="auto"/>
        <w:left w:val="none" w:sz="0" w:space="0" w:color="auto"/>
        <w:bottom w:val="none" w:sz="0" w:space="0" w:color="auto"/>
        <w:right w:val="none" w:sz="0" w:space="0" w:color="auto"/>
      </w:divBdr>
    </w:div>
    <w:div w:id="1052848404">
      <w:bodyDiv w:val="1"/>
      <w:marLeft w:val="0"/>
      <w:marRight w:val="0"/>
      <w:marTop w:val="0"/>
      <w:marBottom w:val="0"/>
      <w:divBdr>
        <w:top w:val="none" w:sz="0" w:space="0" w:color="auto"/>
        <w:left w:val="none" w:sz="0" w:space="0" w:color="auto"/>
        <w:bottom w:val="none" w:sz="0" w:space="0" w:color="auto"/>
        <w:right w:val="none" w:sz="0" w:space="0" w:color="auto"/>
      </w:divBdr>
    </w:div>
    <w:div w:id="1052970258">
      <w:bodyDiv w:val="1"/>
      <w:marLeft w:val="0"/>
      <w:marRight w:val="0"/>
      <w:marTop w:val="0"/>
      <w:marBottom w:val="0"/>
      <w:divBdr>
        <w:top w:val="none" w:sz="0" w:space="0" w:color="auto"/>
        <w:left w:val="none" w:sz="0" w:space="0" w:color="auto"/>
        <w:bottom w:val="none" w:sz="0" w:space="0" w:color="auto"/>
        <w:right w:val="none" w:sz="0" w:space="0" w:color="auto"/>
      </w:divBdr>
    </w:div>
    <w:div w:id="1053117190">
      <w:bodyDiv w:val="1"/>
      <w:marLeft w:val="0"/>
      <w:marRight w:val="0"/>
      <w:marTop w:val="0"/>
      <w:marBottom w:val="0"/>
      <w:divBdr>
        <w:top w:val="none" w:sz="0" w:space="0" w:color="auto"/>
        <w:left w:val="none" w:sz="0" w:space="0" w:color="auto"/>
        <w:bottom w:val="none" w:sz="0" w:space="0" w:color="auto"/>
        <w:right w:val="none" w:sz="0" w:space="0" w:color="auto"/>
      </w:divBdr>
    </w:div>
    <w:div w:id="1053193171">
      <w:bodyDiv w:val="1"/>
      <w:marLeft w:val="0"/>
      <w:marRight w:val="0"/>
      <w:marTop w:val="0"/>
      <w:marBottom w:val="0"/>
      <w:divBdr>
        <w:top w:val="none" w:sz="0" w:space="0" w:color="auto"/>
        <w:left w:val="none" w:sz="0" w:space="0" w:color="auto"/>
        <w:bottom w:val="none" w:sz="0" w:space="0" w:color="auto"/>
        <w:right w:val="none" w:sz="0" w:space="0" w:color="auto"/>
      </w:divBdr>
    </w:div>
    <w:div w:id="1053382316">
      <w:bodyDiv w:val="1"/>
      <w:marLeft w:val="0"/>
      <w:marRight w:val="0"/>
      <w:marTop w:val="0"/>
      <w:marBottom w:val="0"/>
      <w:divBdr>
        <w:top w:val="none" w:sz="0" w:space="0" w:color="auto"/>
        <w:left w:val="none" w:sz="0" w:space="0" w:color="auto"/>
        <w:bottom w:val="none" w:sz="0" w:space="0" w:color="auto"/>
        <w:right w:val="none" w:sz="0" w:space="0" w:color="auto"/>
      </w:divBdr>
    </w:div>
    <w:div w:id="1053432046">
      <w:bodyDiv w:val="1"/>
      <w:marLeft w:val="0"/>
      <w:marRight w:val="0"/>
      <w:marTop w:val="0"/>
      <w:marBottom w:val="0"/>
      <w:divBdr>
        <w:top w:val="none" w:sz="0" w:space="0" w:color="auto"/>
        <w:left w:val="none" w:sz="0" w:space="0" w:color="auto"/>
        <w:bottom w:val="none" w:sz="0" w:space="0" w:color="auto"/>
        <w:right w:val="none" w:sz="0" w:space="0" w:color="auto"/>
      </w:divBdr>
    </w:div>
    <w:div w:id="1053499607">
      <w:bodyDiv w:val="1"/>
      <w:marLeft w:val="0"/>
      <w:marRight w:val="0"/>
      <w:marTop w:val="0"/>
      <w:marBottom w:val="0"/>
      <w:divBdr>
        <w:top w:val="none" w:sz="0" w:space="0" w:color="auto"/>
        <w:left w:val="none" w:sz="0" w:space="0" w:color="auto"/>
        <w:bottom w:val="none" w:sz="0" w:space="0" w:color="auto"/>
        <w:right w:val="none" w:sz="0" w:space="0" w:color="auto"/>
      </w:divBdr>
    </w:div>
    <w:div w:id="1053652396">
      <w:bodyDiv w:val="1"/>
      <w:marLeft w:val="0"/>
      <w:marRight w:val="0"/>
      <w:marTop w:val="0"/>
      <w:marBottom w:val="0"/>
      <w:divBdr>
        <w:top w:val="none" w:sz="0" w:space="0" w:color="auto"/>
        <w:left w:val="none" w:sz="0" w:space="0" w:color="auto"/>
        <w:bottom w:val="none" w:sz="0" w:space="0" w:color="auto"/>
        <w:right w:val="none" w:sz="0" w:space="0" w:color="auto"/>
      </w:divBdr>
    </w:div>
    <w:div w:id="1053652906">
      <w:bodyDiv w:val="1"/>
      <w:marLeft w:val="0"/>
      <w:marRight w:val="0"/>
      <w:marTop w:val="0"/>
      <w:marBottom w:val="0"/>
      <w:divBdr>
        <w:top w:val="none" w:sz="0" w:space="0" w:color="auto"/>
        <w:left w:val="none" w:sz="0" w:space="0" w:color="auto"/>
        <w:bottom w:val="none" w:sz="0" w:space="0" w:color="auto"/>
        <w:right w:val="none" w:sz="0" w:space="0" w:color="auto"/>
      </w:divBdr>
    </w:div>
    <w:div w:id="1053693815">
      <w:bodyDiv w:val="1"/>
      <w:marLeft w:val="0"/>
      <w:marRight w:val="0"/>
      <w:marTop w:val="0"/>
      <w:marBottom w:val="0"/>
      <w:divBdr>
        <w:top w:val="none" w:sz="0" w:space="0" w:color="auto"/>
        <w:left w:val="none" w:sz="0" w:space="0" w:color="auto"/>
        <w:bottom w:val="none" w:sz="0" w:space="0" w:color="auto"/>
        <w:right w:val="none" w:sz="0" w:space="0" w:color="auto"/>
      </w:divBdr>
    </w:div>
    <w:div w:id="1053886420">
      <w:bodyDiv w:val="1"/>
      <w:marLeft w:val="0"/>
      <w:marRight w:val="0"/>
      <w:marTop w:val="0"/>
      <w:marBottom w:val="0"/>
      <w:divBdr>
        <w:top w:val="none" w:sz="0" w:space="0" w:color="auto"/>
        <w:left w:val="none" w:sz="0" w:space="0" w:color="auto"/>
        <w:bottom w:val="none" w:sz="0" w:space="0" w:color="auto"/>
        <w:right w:val="none" w:sz="0" w:space="0" w:color="auto"/>
      </w:divBdr>
    </w:div>
    <w:div w:id="1053965519">
      <w:bodyDiv w:val="1"/>
      <w:marLeft w:val="0"/>
      <w:marRight w:val="0"/>
      <w:marTop w:val="0"/>
      <w:marBottom w:val="0"/>
      <w:divBdr>
        <w:top w:val="none" w:sz="0" w:space="0" w:color="auto"/>
        <w:left w:val="none" w:sz="0" w:space="0" w:color="auto"/>
        <w:bottom w:val="none" w:sz="0" w:space="0" w:color="auto"/>
        <w:right w:val="none" w:sz="0" w:space="0" w:color="auto"/>
      </w:divBdr>
    </w:div>
    <w:div w:id="1054155805">
      <w:bodyDiv w:val="1"/>
      <w:marLeft w:val="0"/>
      <w:marRight w:val="0"/>
      <w:marTop w:val="0"/>
      <w:marBottom w:val="0"/>
      <w:divBdr>
        <w:top w:val="none" w:sz="0" w:space="0" w:color="auto"/>
        <w:left w:val="none" w:sz="0" w:space="0" w:color="auto"/>
        <w:bottom w:val="none" w:sz="0" w:space="0" w:color="auto"/>
        <w:right w:val="none" w:sz="0" w:space="0" w:color="auto"/>
      </w:divBdr>
    </w:div>
    <w:div w:id="1054236300">
      <w:bodyDiv w:val="1"/>
      <w:marLeft w:val="0"/>
      <w:marRight w:val="0"/>
      <w:marTop w:val="0"/>
      <w:marBottom w:val="0"/>
      <w:divBdr>
        <w:top w:val="none" w:sz="0" w:space="0" w:color="auto"/>
        <w:left w:val="none" w:sz="0" w:space="0" w:color="auto"/>
        <w:bottom w:val="none" w:sz="0" w:space="0" w:color="auto"/>
        <w:right w:val="none" w:sz="0" w:space="0" w:color="auto"/>
      </w:divBdr>
    </w:div>
    <w:div w:id="1054549801">
      <w:bodyDiv w:val="1"/>
      <w:marLeft w:val="0"/>
      <w:marRight w:val="0"/>
      <w:marTop w:val="0"/>
      <w:marBottom w:val="0"/>
      <w:divBdr>
        <w:top w:val="none" w:sz="0" w:space="0" w:color="auto"/>
        <w:left w:val="none" w:sz="0" w:space="0" w:color="auto"/>
        <w:bottom w:val="none" w:sz="0" w:space="0" w:color="auto"/>
        <w:right w:val="none" w:sz="0" w:space="0" w:color="auto"/>
      </w:divBdr>
    </w:div>
    <w:div w:id="1054620165">
      <w:bodyDiv w:val="1"/>
      <w:marLeft w:val="0"/>
      <w:marRight w:val="0"/>
      <w:marTop w:val="0"/>
      <w:marBottom w:val="0"/>
      <w:divBdr>
        <w:top w:val="none" w:sz="0" w:space="0" w:color="auto"/>
        <w:left w:val="none" w:sz="0" w:space="0" w:color="auto"/>
        <w:bottom w:val="none" w:sz="0" w:space="0" w:color="auto"/>
        <w:right w:val="none" w:sz="0" w:space="0" w:color="auto"/>
      </w:divBdr>
    </w:div>
    <w:div w:id="1054620754">
      <w:bodyDiv w:val="1"/>
      <w:marLeft w:val="0"/>
      <w:marRight w:val="0"/>
      <w:marTop w:val="0"/>
      <w:marBottom w:val="0"/>
      <w:divBdr>
        <w:top w:val="none" w:sz="0" w:space="0" w:color="auto"/>
        <w:left w:val="none" w:sz="0" w:space="0" w:color="auto"/>
        <w:bottom w:val="none" w:sz="0" w:space="0" w:color="auto"/>
        <w:right w:val="none" w:sz="0" w:space="0" w:color="auto"/>
      </w:divBdr>
    </w:div>
    <w:div w:id="1054736435">
      <w:bodyDiv w:val="1"/>
      <w:marLeft w:val="0"/>
      <w:marRight w:val="0"/>
      <w:marTop w:val="0"/>
      <w:marBottom w:val="0"/>
      <w:divBdr>
        <w:top w:val="none" w:sz="0" w:space="0" w:color="auto"/>
        <w:left w:val="none" w:sz="0" w:space="0" w:color="auto"/>
        <w:bottom w:val="none" w:sz="0" w:space="0" w:color="auto"/>
        <w:right w:val="none" w:sz="0" w:space="0" w:color="auto"/>
      </w:divBdr>
    </w:div>
    <w:div w:id="1054811445">
      <w:bodyDiv w:val="1"/>
      <w:marLeft w:val="0"/>
      <w:marRight w:val="0"/>
      <w:marTop w:val="0"/>
      <w:marBottom w:val="0"/>
      <w:divBdr>
        <w:top w:val="none" w:sz="0" w:space="0" w:color="auto"/>
        <w:left w:val="none" w:sz="0" w:space="0" w:color="auto"/>
        <w:bottom w:val="none" w:sz="0" w:space="0" w:color="auto"/>
        <w:right w:val="none" w:sz="0" w:space="0" w:color="auto"/>
      </w:divBdr>
    </w:div>
    <w:div w:id="1054814773">
      <w:bodyDiv w:val="1"/>
      <w:marLeft w:val="0"/>
      <w:marRight w:val="0"/>
      <w:marTop w:val="0"/>
      <w:marBottom w:val="0"/>
      <w:divBdr>
        <w:top w:val="none" w:sz="0" w:space="0" w:color="auto"/>
        <w:left w:val="none" w:sz="0" w:space="0" w:color="auto"/>
        <w:bottom w:val="none" w:sz="0" w:space="0" w:color="auto"/>
        <w:right w:val="none" w:sz="0" w:space="0" w:color="auto"/>
      </w:divBdr>
    </w:div>
    <w:div w:id="1054890209">
      <w:bodyDiv w:val="1"/>
      <w:marLeft w:val="0"/>
      <w:marRight w:val="0"/>
      <w:marTop w:val="0"/>
      <w:marBottom w:val="0"/>
      <w:divBdr>
        <w:top w:val="none" w:sz="0" w:space="0" w:color="auto"/>
        <w:left w:val="none" w:sz="0" w:space="0" w:color="auto"/>
        <w:bottom w:val="none" w:sz="0" w:space="0" w:color="auto"/>
        <w:right w:val="none" w:sz="0" w:space="0" w:color="auto"/>
      </w:divBdr>
    </w:div>
    <w:div w:id="1055006149">
      <w:bodyDiv w:val="1"/>
      <w:marLeft w:val="0"/>
      <w:marRight w:val="0"/>
      <w:marTop w:val="0"/>
      <w:marBottom w:val="0"/>
      <w:divBdr>
        <w:top w:val="none" w:sz="0" w:space="0" w:color="auto"/>
        <w:left w:val="none" w:sz="0" w:space="0" w:color="auto"/>
        <w:bottom w:val="none" w:sz="0" w:space="0" w:color="auto"/>
        <w:right w:val="none" w:sz="0" w:space="0" w:color="auto"/>
      </w:divBdr>
    </w:div>
    <w:div w:id="1055083770">
      <w:bodyDiv w:val="1"/>
      <w:marLeft w:val="0"/>
      <w:marRight w:val="0"/>
      <w:marTop w:val="0"/>
      <w:marBottom w:val="0"/>
      <w:divBdr>
        <w:top w:val="none" w:sz="0" w:space="0" w:color="auto"/>
        <w:left w:val="none" w:sz="0" w:space="0" w:color="auto"/>
        <w:bottom w:val="none" w:sz="0" w:space="0" w:color="auto"/>
        <w:right w:val="none" w:sz="0" w:space="0" w:color="auto"/>
      </w:divBdr>
    </w:div>
    <w:div w:id="1055154274">
      <w:bodyDiv w:val="1"/>
      <w:marLeft w:val="0"/>
      <w:marRight w:val="0"/>
      <w:marTop w:val="0"/>
      <w:marBottom w:val="0"/>
      <w:divBdr>
        <w:top w:val="none" w:sz="0" w:space="0" w:color="auto"/>
        <w:left w:val="none" w:sz="0" w:space="0" w:color="auto"/>
        <w:bottom w:val="none" w:sz="0" w:space="0" w:color="auto"/>
        <w:right w:val="none" w:sz="0" w:space="0" w:color="auto"/>
      </w:divBdr>
    </w:div>
    <w:div w:id="1055157051">
      <w:bodyDiv w:val="1"/>
      <w:marLeft w:val="0"/>
      <w:marRight w:val="0"/>
      <w:marTop w:val="0"/>
      <w:marBottom w:val="0"/>
      <w:divBdr>
        <w:top w:val="none" w:sz="0" w:space="0" w:color="auto"/>
        <w:left w:val="none" w:sz="0" w:space="0" w:color="auto"/>
        <w:bottom w:val="none" w:sz="0" w:space="0" w:color="auto"/>
        <w:right w:val="none" w:sz="0" w:space="0" w:color="auto"/>
      </w:divBdr>
    </w:div>
    <w:div w:id="1055157544">
      <w:bodyDiv w:val="1"/>
      <w:marLeft w:val="0"/>
      <w:marRight w:val="0"/>
      <w:marTop w:val="0"/>
      <w:marBottom w:val="0"/>
      <w:divBdr>
        <w:top w:val="none" w:sz="0" w:space="0" w:color="auto"/>
        <w:left w:val="none" w:sz="0" w:space="0" w:color="auto"/>
        <w:bottom w:val="none" w:sz="0" w:space="0" w:color="auto"/>
        <w:right w:val="none" w:sz="0" w:space="0" w:color="auto"/>
      </w:divBdr>
    </w:div>
    <w:div w:id="1055162046">
      <w:bodyDiv w:val="1"/>
      <w:marLeft w:val="0"/>
      <w:marRight w:val="0"/>
      <w:marTop w:val="0"/>
      <w:marBottom w:val="0"/>
      <w:divBdr>
        <w:top w:val="none" w:sz="0" w:space="0" w:color="auto"/>
        <w:left w:val="none" w:sz="0" w:space="0" w:color="auto"/>
        <w:bottom w:val="none" w:sz="0" w:space="0" w:color="auto"/>
        <w:right w:val="none" w:sz="0" w:space="0" w:color="auto"/>
      </w:divBdr>
    </w:div>
    <w:div w:id="1055197309">
      <w:bodyDiv w:val="1"/>
      <w:marLeft w:val="0"/>
      <w:marRight w:val="0"/>
      <w:marTop w:val="0"/>
      <w:marBottom w:val="0"/>
      <w:divBdr>
        <w:top w:val="none" w:sz="0" w:space="0" w:color="auto"/>
        <w:left w:val="none" w:sz="0" w:space="0" w:color="auto"/>
        <w:bottom w:val="none" w:sz="0" w:space="0" w:color="auto"/>
        <w:right w:val="none" w:sz="0" w:space="0" w:color="auto"/>
      </w:divBdr>
    </w:div>
    <w:div w:id="1055201421">
      <w:bodyDiv w:val="1"/>
      <w:marLeft w:val="0"/>
      <w:marRight w:val="0"/>
      <w:marTop w:val="0"/>
      <w:marBottom w:val="0"/>
      <w:divBdr>
        <w:top w:val="none" w:sz="0" w:space="0" w:color="auto"/>
        <w:left w:val="none" w:sz="0" w:space="0" w:color="auto"/>
        <w:bottom w:val="none" w:sz="0" w:space="0" w:color="auto"/>
        <w:right w:val="none" w:sz="0" w:space="0" w:color="auto"/>
      </w:divBdr>
    </w:div>
    <w:div w:id="1055273020">
      <w:bodyDiv w:val="1"/>
      <w:marLeft w:val="0"/>
      <w:marRight w:val="0"/>
      <w:marTop w:val="0"/>
      <w:marBottom w:val="0"/>
      <w:divBdr>
        <w:top w:val="none" w:sz="0" w:space="0" w:color="auto"/>
        <w:left w:val="none" w:sz="0" w:space="0" w:color="auto"/>
        <w:bottom w:val="none" w:sz="0" w:space="0" w:color="auto"/>
        <w:right w:val="none" w:sz="0" w:space="0" w:color="auto"/>
      </w:divBdr>
    </w:div>
    <w:div w:id="1055470456">
      <w:bodyDiv w:val="1"/>
      <w:marLeft w:val="0"/>
      <w:marRight w:val="0"/>
      <w:marTop w:val="0"/>
      <w:marBottom w:val="0"/>
      <w:divBdr>
        <w:top w:val="none" w:sz="0" w:space="0" w:color="auto"/>
        <w:left w:val="none" w:sz="0" w:space="0" w:color="auto"/>
        <w:bottom w:val="none" w:sz="0" w:space="0" w:color="auto"/>
        <w:right w:val="none" w:sz="0" w:space="0" w:color="auto"/>
      </w:divBdr>
    </w:div>
    <w:div w:id="1055473260">
      <w:bodyDiv w:val="1"/>
      <w:marLeft w:val="0"/>
      <w:marRight w:val="0"/>
      <w:marTop w:val="0"/>
      <w:marBottom w:val="0"/>
      <w:divBdr>
        <w:top w:val="none" w:sz="0" w:space="0" w:color="auto"/>
        <w:left w:val="none" w:sz="0" w:space="0" w:color="auto"/>
        <w:bottom w:val="none" w:sz="0" w:space="0" w:color="auto"/>
        <w:right w:val="none" w:sz="0" w:space="0" w:color="auto"/>
      </w:divBdr>
    </w:div>
    <w:div w:id="1055543844">
      <w:bodyDiv w:val="1"/>
      <w:marLeft w:val="0"/>
      <w:marRight w:val="0"/>
      <w:marTop w:val="0"/>
      <w:marBottom w:val="0"/>
      <w:divBdr>
        <w:top w:val="none" w:sz="0" w:space="0" w:color="auto"/>
        <w:left w:val="none" w:sz="0" w:space="0" w:color="auto"/>
        <w:bottom w:val="none" w:sz="0" w:space="0" w:color="auto"/>
        <w:right w:val="none" w:sz="0" w:space="0" w:color="auto"/>
      </w:divBdr>
    </w:div>
    <w:div w:id="1055549456">
      <w:bodyDiv w:val="1"/>
      <w:marLeft w:val="0"/>
      <w:marRight w:val="0"/>
      <w:marTop w:val="0"/>
      <w:marBottom w:val="0"/>
      <w:divBdr>
        <w:top w:val="none" w:sz="0" w:space="0" w:color="auto"/>
        <w:left w:val="none" w:sz="0" w:space="0" w:color="auto"/>
        <w:bottom w:val="none" w:sz="0" w:space="0" w:color="auto"/>
        <w:right w:val="none" w:sz="0" w:space="0" w:color="auto"/>
      </w:divBdr>
    </w:div>
    <w:div w:id="1055661383">
      <w:bodyDiv w:val="1"/>
      <w:marLeft w:val="0"/>
      <w:marRight w:val="0"/>
      <w:marTop w:val="0"/>
      <w:marBottom w:val="0"/>
      <w:divBdr>
        <w:top w:val="none" w:sz="0" w:space="0" w:color="auto"/>
        <w:left w:val="none" w:sz="0" w:space="0" w:color="auto"/>
        <w:bottom w:val="none" w:sz="0" w:space="0" w:color="auto"/>
        <w:right w:val="none" w:sz="0" w:space="0" w:color="auto"/>
      </w:divBdr>
    </w:div>
    <w:div w:id="1055734194">
      <w:bodyDiv w:val="1"/>
      <w:marLeft w:val="0"/>
      <w:marRight w:val="0"/>
      <w:marTop w:val="0"/>
      <w:marBottom w:val="0"/>
      <w:divBdr>
        <w:top w:val="none" w:sz="0" w:space="0" w:color="auto"/>
        <w:left w:val="none" w:sz="0" w:space="0" w:color="auto"/>
        <w:bottom w:val="none" w:sz="0" w:space="0" w:color="auto"/>
        <w:right w:val="none" w:sz="0" w:space="0" w:color="auto"/>
      </w:divBdr>
    </w:div>
    <w:div w:id="1055855105">
      <w:bodyDiv w:val="1"/>
      <w:marLeft w:val="0"/>
      <w:marRight w:val="0"/>
      <w:marTop w:val="0"/>
      <w:marBottom w:val="0"/>
      <w:divBdr>
        <w:top w:val="none" w:sz="0" w:space="0" w:color="auto"/>
        <w:left w:val="none" w:sz="0" w:space="0" w:color="auto"/>
        <w:bottom w:val="none" w:sz="0" w:space="0" w:color="auto"/>
        <w:right w:val="none" w:sz="0" w:space="0" w:color="auto"/>
      </w:divBdr>
    </w:div>
    <w:div w:id="1056123437">
      <w:bodyDiv w:val="1"/>
      <w:marLeft w:val="0"/>
      <w:marRight w:val="0"/>
      <w:marTop w:val="0"/>
      <w:marBottom w:val="0"/>
      <w:divBdr>
        <w:top w:val="none" w:sz="0" w:space="0" w:color="auto"/>
        <w:left w:val="none" w:sz="0" w:space="0" w:color="auto"/>
        <w:bottom w:val="none" w:sz="0" w:space="0" w:color="auto"/>
        <w:right w:val="none" w:sz="0" w:space="0" w:color="auto"/>
      </w:divBdr>
    </w:div>
    <w:div w:id="1056322976">
      <w:bodyDiv w:val="1"/>
      <w:marLeft w:val="0"/>
      <w:marRight w:val="0"/>
      <w:marTop w:val="0"/>
      <w:marBottom w:val="0"/>
      <w:divBdr>
        <w:top w:val="none" w:sz="0" w:space="0" w:color="auto"/>
        <w:left w:val="none" w:sz="0" w:space="0" w:color="auto"/>
        <w:bottom w:val="none" w:sz="0" w:space="0" w:color="auto"/>
        <w:right w:val="none" w:sz="0" w:space="0" w:color="auto"/>
      </w:divBdr>
    </w:div>
    <w:div w:id="1056469210">
      <w:bodyDiv w:val="1"/>
      <w:marLeft w:val="0"/>
      <w:marRight w:val="0"/>
      <w:marTop w:val="0"/>
      <w:marBottom w:val="0"/>
      <w:divBdr>
        <w:top w:val="none" w:sz="0" w:space="0" w:color="auto"/>
        <w:left w:val="none" w:sz="0" w:space="0" w:color="auto"/>
        <w:bottom w:val="none" w:sz="0" w:space="0" w:color="auto"/>
        <w:right w:val="none" w:sz="0" w:space="0" w:color="auto"/>
      </w:divBdr>
    </w:div>
    <w:div w:id="1056660003">
      <w:bodyDiv w:val="1"/>
      <w:marLeft w:val="0"/>
      <w:marRight w:val="0"/>
      <w:marTop w:val="0"/>
      <w:marBottom w:val="0"/>
      <w:divBdr>
        <w:top w:val="none" w:sz="0" w:space="0" w:color="auto"/>
        <w:left w:val="none" w:sz="0" w:space="0" w:color="auto"/>
        <w:bottom w:val="none" w:sz="0" w:space="0" w:color="auto"/>
        <w:right w:val="none" w:sz="0" w:space="0" w:color="auto"/>
      </w:divBdr>
    </w:div>
    <w:div w:id="1056663369">
      <w:bodyDiv w:val="1"/>
      <w:marLeft w:val="0"/>
      <w:marRight w:val="0"/>
      <w:marTop w:val="0"/>
      <w:marBottom w:val="0"/>
      <w:divBdr>
        <w:top w:val="none" w:sz="0" w:space="0" w:color="auto"/>
        <w:left w:val="none" w:sz="0" w:space="0" w:color="auto"/>
        <w:bottom w:val="none" w:sz="0" w:space="0" w:color="auto"/>
        <w:right w:val="none" w:sz="0" w:space="0" w:color="auto"/>
      </w:divBdr>
    </w:div>
    <w:div w:id="1056704474">
      <w:bodyDiv w:val="1"/>
      <w:marLeft w:val="0"/>
      <w:marRight w:val="0"/>
      <w:marTop w:val="0"/>
      <w:marBottom w:val="0"/>
      <w:divBdr>
        <w:top w:val="none" w:sz="0" w:space="0" w:color="auto"/>
        <w:left w:val="none" w:sz="0" w:space="0" w:color="auto"/>
        <w:bottom w:val="none" w:sz="0" w:space="0" w:color="auto"/>
        <w:right w:val="none" w:sz="0" w:space="0" w:color="auto"/>
      </w:divBdr>
    </w:div>
    <w:div w:id="1056709548">
      <w:bodyDiv w:val="1"/>
      <w:marLeft w:val="0"/>
      <w:marRight w:val="0"/>
      <w:marTop w:val="0"/>
      <w:marBottom w:val="0"/>
      <w:divBdr>
        <w:top w:val="none" w:sz="0" w:space="0" w:color="auto"/>
        <w:left w:val="none" w:sz="0" w:space="0" w:color="auto"/>
        <w:bottom w:val="none" w:sz="0" w:space="0" w:color="auto"/>
        <w:right w:val="none" w:sz="0" w:space="0" w:color="auto"/>
      </w:divBdr>
    </w:div>
    <w:div w:id="1056785040">
      <w:bodyDiv w:val="1"/>
      <w:marLeft w:val="0"/>
      <w:marRight w:val="0"/>
      <w:marTop w:val="0"/>
      <w:marBottom w:val="0"/>
      <w:divBdr>
        <w:top w:val="none" w:sz="0" w:space="0" w:color="auto"/>
        <w:left w:val="none" w:sz="0" w:space="0" w:color="auto"/>
        <w:bottom w:val="none" w:sz="0" w:space="0" w:color="auto"/>
        <w:right w:val="none" w:sz="0" w:space="0" w:color="auto"/>
      </w:divBdr>
    </w:div>
    <w:div w:id="1056858754">
      <w:bodyDiv w:val="1"/>
      <w:marLeft w:val="0"/>
      <w:marRight w:val="0"/>
      <w:marTop w:val="0"/>
      <w:marBottom w:val="0"/>
      <w:divBdr>
        <w:top w:val="none" w:sz="0" w:space="0" w:color="auto"/>
        <w:left w:val="none" w:sz="0" w:space="0" w:color="auto"/>
        <w:bottom w:val="none" w:sz="0" w:space="0" w:color="auto"/>
        <w:right w:val="none" w:sz="0" w:space="0" w:color="auto"/>
      </w:divBdr>
    </w:div>
    <w:div w:id="1056969425">
      <w:bodyDiv w:val="1"/>
      <w:marLeft w:val="0"/>
      <w:marRight w:val="0"/>
      <w:marTop w:val="0"/>
      <w:marBottom w:val="0"/>
      <w:divBdr>
        <w:top w:val="none" w:sz="0" w:space="0" w:color="auto"/>
        <w:left w:val="none" w:sz="0" w:space="0" w:color="auto"/>
        <w:bottom w:val="none" w:sz="0" w:space="0" w:color="auto"/>
        <w:right w:val="none" w:sz="0" w:space="0" w:color="auto"/>
      </w:divBdr>
    </w:div>
    <w:div w:id="1057050519">
      <w:bodyDiv w:val="1"/>
      <w:marLeft w:val="0"/>
      <w:marRight w:val="0"/>
      <w:marTop w:val="0"/>
      <w:marBottom w:val="0"/>
      <w:divBdr>
        <w:top w:val="none" w:sz="0" w:space="0" w:color="auto"/>
        <w:left w:val="none" w:sz="0" w:space="0" w:color="auto"/>
        <w:bottom w:val="none" w:sz="0" w:space="0" w:color="auto"/>
        <w:right w:val="none" w:sz="0" w:space="0" w:color="auto"/>
      </w:divBdr>
    </w:div>
    <w:div w:id="1057169944">
      <w:bodyDiv w:val="1"/>
      <w:marLeft w:val="0"/>
      <w:marRight w:val="0"/>
      <w:marTop w:val="0"/>
      <w:marBottom w:val="0"/>
      <w:divBdr>
        <w:top w:val="none" w:sz="0" w:space="0" w:color="auto"/>
        <w:left w:val="none" w:sz="0" w:space="0" w:color="auto"/>
        <w:bottom w:val="none" w:sz="0" w:space="0" w:color="auto"/>
        <w:right w:val="none" w:sz="0" w:space="0" w:color="auto"/>
      </w:divBdr>
    </w:div>
    <w:div w:id="1057171020">
      <w:bodyDiv w:val="1"/>
      <w:marLeft w:val="0"/>
      <w:marRight w:val="0"/>
      <w:marTop w:val="0"/>
      <w:marBottom w:val="0"/>
      <w:divBdr>
        <w:top w:val="none" w:sz="0" w:space="0" w:color="auto"/>
        <w:left w:val="none" w:sz="0" w:space="0" w:color="auto"/>
        <w:bottom w:val="none" w:sz="0" w:space="0" w:color="auto"/>
        <w:right w:val="none" w:sz="0" w:space="0" w:color="auto"/>
      </w:divBdr>
    </w:div>
    <w:div w:id="1057243021">
      <w:bodyDiv w:val="1"/>
      <w:marLeft w:val="0"/>
      <w:marRight w:val="0"/>
      <w:marTop w:val="0"/>
      <w:marBottom w:val="0"/>
      <w:divBdr>
        <w:top w:val="none" w:sz="0" w:space="0" w:color="auto"/>
        <w:left w:val="none" w:sz="0" w:space="0" w:color="auto"/>
        <w:bottom w:val="none" w:sz="0" w:space="0" w:color="auto"/>
        <w:right w:val="none" w:sz="0" w:space="0" w:color="auto"/>
      </w:divBdr>
    </w:div>
    <w:div w:id="1057362177">
      <w:bodyDiv w:val="1"/>
      <w:marLeft w:val="0"/>
      <w:marRight w:val="0"/>
      <w:marTop w:val="0"/>
      <w:marBottom w:val="0"/>
      <w:divBdr>
        <w:top w:val="none" w:sz="0" w:space="0" w:color="auto"/>
        <w:left w:val="none" w:sz="0" w:space="0" w:color="auto"/>
        <w:bottom w:val="none" w:sz="0" w:space="0" w:color="auto"/>
        <w:right w:val="none" w:sz="0" w:space="0" w:color="auto"/>
      </w:divBdr>
    </w:div>
    <w:div w:id="1057433649">
      <w:bodyDiv w:val="1"/>
      <w:marLeft w:val="0"/>
      <w:marRight w:val="0"/>
      <w:marTop w:val="0"/>
      <w:marBottom w:val="0"/>
      <w:divBdr>
        <w:top w:val="none" w:sz="0" w:space="0" w:color="auto"/>
        <w:left w:val="none" w:sz="0" w:space="0" w:color="auto"/>
        <w:bottom w:val="none" w:sz="0" w:space="0" w:color="auto"/>
        <w:right w:val="none" w:sz="0" w:space="0" w:color="auto"/>
      </w:divBdr>
    </w:div>
    <w:div w:id="1057440074">
      <w:bodyDiv w:val="1"/>
      <w:marLeft w:val="0"/>
      <w:marRight w:val="0"/>
      <w:marTop w:val="0"/>
      <w:marBottom w:val="0"/>
      <w:divBdr>
        <w:top w:val="none" w:sz="0" w:space="0" w:color="auto"/>
        <w:left w:val="none" w:sz="0" w:space="0" w:color="auto"/>
        <w:bottom w:val="none" w:sz="0" w:space="0" w:color="auto"/>
        <w:right w:val="none" w:sz="0" w:space="0" w:color="auto"/>
      </w:divBdr>
    </w:div>
    <w:div w:id="1057510597">
      <w:bodyDiv w:val="1"/>
      <w:marLeft w:val="0"/>
      <w:marRight w:val="0"/>
      <w:marTop w:val="0"/>
      <w:marBottom w:val="0"/>
      <w:divBdr>
        <w:top w:val="none" w:sz="0" w:space="0" w:color="auto"/>
        <w:left w:val="none" w:sz="0" w:space="0" w:color="auto"/>
        <w:bottom w:val="none" w:sz="0" w:space="0" w:color="auto"/>
        <w:right w:val="none" w:sz="0" w:space="0" w:color="auto"/>
      </w:divBdr>
    </w:div>
    <w:div w:id="1057514718">
      <w:bodyDiv w:val="1"/>
      <w:marLeft w:val="0"/>
      <w:marRight w:val="0"/>
      <w:marTop w:val="0"/>
      <w:marBottom w:val="0"/>
      <w:divBdr>
        <w:top w:val="none" w:sz="0" w:space="0" w:color="auto"/>
        <w:left w:val="none" w:sz="0" w:space="0" w:color="auto"/>
        <w:bottom w:val="none" w:sz="0" w:space="0" w:color="auto"/>
        <w:right w:val="none" w:sz="0" w:space="0" w:color="auto"/>
      </w:divBdr>
    </w:div>
    <w:div w:id="1057625893">
      <w:bodyDiv w:val="1"/>
      <w:marLeft w:val="0"/>
      <w:marRight w:val="0"/>
      <w:marTop w:val="0"/>
      <w:marBottom w:val="0"/>
      <w:divBdr>
        <w:top w:val="none" w:sz="0" w:space="0" w:color="auto"/>
        <w:left w:val="none" w:sz="0" w:space="0" w:color="auto"/>
        <w:bottom w:val="none" w:sz="0" w:space="0" w:color="auto"/>
        <w:right w:val="none" w:sz="0" w:space="0" w:color="auto"/>
      </w:divBdr>
    </w:div>
    <w:div w:id="1057627375">
      <w:bodyDiv w:val="1"/>
      <w:marLeft w:val="0"/>
      <w:marRight w:val="0"/>
      <w:marTop w:val="0"/>
      <w:marBottom w:val="0"/>
      <w:divBdr>
        <w:top w:val="none" w:sz="0" w:space="0" w:color="auto"/>
        <w:left w:val="none" w:sz="0" w:space="0" w:color="auto"/>
        <w:bottom w:val="none" w:sz="0" w:space="0" w:color="auto"/>
        <w:right w:val="none" w:sz="0" w:space="0" w:color="auto"/>
      </w:divBdr>
    </w:div>
    <w:div w:id="1057779763">
      <w:bodyDiv w:val="1"/>
      <w:marLeft w:val="0"/>
      <w:marRight w:val="0"/>
      <w:marTop w:val="0"/>
      <w:marBottom w:val="0"/>
      <w:divBdr>
        <w:top w:val="none" w:sz="0" w:space="0" w:color="auto"/>
        <w:left w:val="none" w:sz="0" w:space="0" w:color="auto"/>
        <w:bottom w:val="none" w:sz="0" w:space="0" w:color="auto"/>
        <w:right w:val="none" w:sz="0" w:space="0" w:color="auto"/>
      </w:divBdr>
    </w:div>
    <w:div w:id="1057780270">
      <w:bodyDiv w:val="1"/>
      <w:marLeft w:val="0"/>
      <w:marRight w:val="0"/>
      <w:marTop w:val="0"/>
      <w:marBottom w:val="0"/>
      <w:divBdr>
        <w:top w:val="none" w:sz="0" w:space="0" w:color="auto"/>
        <w:left w:val="none" w:sz="0" w:space="0" w:color="auto"/>
        <w:bottom w:val="none" w:sz="0" w:space="0" w:color="auto"/>
        <w:right w:val="none" w:sz="0" w:space="0" w:color="auto"/>
      </w:divBdr>
    </w:div>
    <w:div w:id="1057826209">
      <w:bodyDiv w:val="1"/>
      <w:marLeft w:val="0"/>
      <w:marRight w:val="0"/>
      <w:marTop w:val="0"/>
      <w:marBottom w:val="0"/>
      <w:divBdr>
        <w:top w:val="none" w:sz="0" w:space="0" w:color="auto"/>
        <w:left w:val="none" w:sz="0" w:space="0" w:color="auto"/>
        <w:bottom w:val="none" w:sz="0" w:space="0" w:color="auto"/>
        <w:right w:val="none" w:sz="0" w:space="0" w:color="auto"/>
      </w:divBdr>
    </w:div>
    <w:div w:id="1057901015">
      <w:bodyDiv w:val="1"/>
      <w:marLeft w:val="0"/>
      <w:marRight w:val="0"/>
      <w:marTop w:val="0"/>
      <w:marBottom w:val="0"/>
      <w:divBdr>
        <w:top w:val="none" w:sz="0" w:space="0" w:color="auto"/>
        <w:left w:val="none" w:sz="0" w:space="0" w:color="auto"/>
        <w:bottom w:val="none" w:sz="0" w:space="0" w:color="auto"/>
        <w:right w:val="none" w:sz="0" w:space="0" w:color="auto"/>
      </w:divBdr>
    </w:div>
    <w:div w:id="1057901237">
      <w:bodyDiv w:val="1"/>
      <w:marLeft w:val="0"/>
      <w:marRight w:val="0"/>
      <w:marTop w:val="0"/>
      <w:marBottom w:val="0"/>
      <w:divBdr>
        <w:top w:val="none" w:sz="0" w:space="0" w:color="auto"/>
        <w:left w:val="none" w:sz="0" w:space="0" w:color="auto"/>
        <w:bottom w:val="none" w:sz="0" w:space="0" w:color="auto"/>
        <w:right w:val="none" w:sz="0" w:space="0" w:color="auto"/>
      </w:divBdr>
    </w:div>
    <w:div w:id="1057973217">
      <w:bodyDiv w:val="1"/>
      <w:marLeft w:val="0"/>
      <w:marRight w:val="0"/>
      <w:marTop w:val="0"/>
      <w:marBottom w:val="0"/>
      <w:divBdr>
        <w:top w:val="none" w:sz="0" w:space="0" w:color="auto"/>
        <w:left w:val="none" w:sz="0" w:space="0" w:color="auto"/>
        <w:bottom w:val="none" w:sz="0" w:space="0" w:color="auto"/>
        <w:right w:val="none" w:sz="0" w:space="0" w:color="auto"/>
      </w:divBdr>
    </w:div>
    <w:div w:id="1057977333">
      <w:bodyDiv w:val="1"/>
      <w:marLeft w:val="0"/>
      <w:marRight w:val="0"/>
      <w:marTop w:val="0"/>
      <w:marBottom w:val="0"/>
      <w:divBdr>
        <w:top w:val="none" w:sz="0" w:space="0" w:color="auto"/>
        <w:left w:val="none" w:sz="0" w:space="0" w:color="auto"/>
        <w:bottom w:val="none" w:sz="0" w:space="0" w:color="auto"/>
        <w:right w:val="none" w:sz="0" w:space="0" w:color="auto"/>
      </w:divBdr>
    </w:div>
    <w:div w:id="1058016994">
      <w:bodyDiv w:val="1"/>
      <w:marLeft w:val="0"/>
      <w:marRight w:val="0"/>
      <w:marTop w:val="0"/>
      <w:marBottom w:val="0"/>
      <w:divBdr>
        <w:top w:val="none" w:sz="0" w:space="0" w:color="auto"/>
        <w:left w:val="none" w:sz="0" w:space="0" w:color="auto"/>
        <w:bottom w:val="none" w:sz="0" w:space="0" w:color="auto"/>
        <w:right w:val="none" w:sz="0" w:space="0" w:color="auto"/>
      </w:divBdr>
    </w:div>
    <w:div w:id="1058088599">
      <w:bodyDiv w:val="1"/>
      <w:marLeft w:val="0"/>
      <w:marRight w:val="0"/>
      <w:marTop w:val="0"/>
      <w:marBottom w:val="0"/>
      <w:divBdr>
        <w:top w:val="none" w:sz="0" w:space="0" w:color="auto"/>
        <w:left w:val="none" w:sz="0" w:space="0" w:color="auto"/>
        <w:bottom w:val="none" w:sz="0" w:space="0" w:color="auto"/>
        <w:right w:val="none" w:sz="0" w:space="0" w:color="auto"/>
      </w:divBdr>
    </w:div>
    <w:div w:id="1058169070">
      <w:bodyDiv w:val="1"/>
      <w:marLeft w:val="0"/>
      <w:marRight w:val="0"/>
      <w:marTop w:val="0"/>
      <w:marBottom w:val="0"/>
      <w:divBdr>
        <w:top w:val="none" w:sz="0" w:space="0" w:color="auto"/>
        <w:left w:val="none" w:sz="0" w:space="0" w:color="auto"/>
        <w:bottom w:val="none" w:sz="0" w:space="0" w:color="auto"/>
        <w:right w:val="none" w:sz="0" w:space="0" w:color="auto"/>
      </w:divBdr>
    </w:div>
    <w:div w:id="1058481832">
      <w:bodyDiv w:val="1"/>
      <w:marLeft w:val="0"/>
      <w:marRight w:val="0"/>
      <w:marTop w:val="0"/>
      <w:marBottom w:val="0"/>
      <w:divBdr>
        <w:top w:val="none" w:sz="0" w:space="0" w:color="auto"/>
        <w:left w:val="none" w:sz="0" w:space="0" w:color="auto"/>
        <w:bottom w:val="none" w:sz="0" w:space="0" w:color="auto"/>
        <w:right w:val="none" w:sz="0" w:space="0" w:color="auto"/>
      </w:divBdr>
    </w:div>
    <w:div w:id="1058626793">
      <w:bodyDiv w:val="1"/>
      <w:marLeft w:val="0"/>
      <w:marRight w:val="0"/>
      <w:marTop w:val="0"/>
      <w:marBottom w:val="0"/>
      <w:divBdr>
        <w:top w:val="none" w:sz="0" w:space="0" w:color="auto"/>
        <w:left w:val="none" w:sz="0" w:space="0" w:color="auto"/>
        <w:bottom w:val="none" w:sz="0" w:space="0" w:color="auto"/>
        <w:right w:val="none" w:sz="0" w:space="0" w:color="auto"/>
      </w:divBdr>
    </w:div>
    <w:div w:id="1058628347">
      <w:bodyDiv w:val="1"/>
      <w:marLeft w:val="0"/>
      <w:marRight w:val="0"/>
      <w:marTop w:val="0"/>
      <w:marBottom w:val="0"/>
      <w:divBdr>
        <w:top w:val="none" w:sz="0" w:space="0" w:color="auto"/>
        <w:left w:val="none" w:sz="0" w:space="0" w:color="auto"/>
        <w:bottom w:val="none" w:sz="0" w:space="0" w:color="auto"/>
        <w:right w:val="none" w:sz="0" w:space="0" w:color="auto"/>
      </w:divBdr>
    </w:div>
    <w:div w:id="1058631036">
      <w:bodyDiv w:val="1"/>
      <w:marLeft w:val="0"/>
      <w:marRight w:val="0"/>
      <w:marTop w:val="0"/>
      <w:marBottom w:val="0"/>
      <w:divBdr>
        <w:top w:val="none" w:sz="0" w:space="0" w:color="auto"/>
        <w:left w:val="none" w:sz="0" w:space="0" w:color="auto"/>
        <w:bottom w:val="none" w:sz="0" w:space="0" w:color="auto"/>
        <w:right w:val="none" w:sz="0" w:space="0" w:color="auto"/>
      </w:divBdr>
    </w:div>
    <w:div w:id="1058631953">
      <w:bodyDiv w:val="1"/>
      <w:marLeft w:val="0"/>
      <w:marRight w:val="0"/>
      <w:marTop w:val="0"/>
      <w:marBottom w:val="0"/>
      <w:divBdr>
        <w:top w:val="none" w:sz="0" w:space="0" w:color="auto"/>
        <w:left w:val="none" w:sz="0" w:space="0" w:color="auto"/>
        <w:bottom w:val="none" w:sz="0" w:space="0" w:color="auto"/>
        <w:right w:val="none" w:sz="0" w:space="0" w:color="auto"/>
      </w:divBdr>
    </w:div>
    <w:div w:id="1058669304">
      <w:bodyDiv w:val="1"/>
      <w:marLeft w:val="0"/>
      <w:marRight w:val="0"/>
      <w:marTop w:val="0"/>
      <w:marBottom w:val="0"/>
      <w:divBdr>
        <w:top w:val="none" w:sz="0" w:space="0" w:color="auto"/>
        <w:left w:val="none" w:sz="0" w:space="0" w:color="auto"/>
        <w:bottom w:val="none" w:sz="0" w:space="0" w:color="auto"/>
        <w:right w:val="none" w:sz="0" w:space="0" w:color="auto"/>
      </w:divBdr>
    </w:div>
    <w:div w:id="1058867767">
      <w:bodyDiv w:val="1"/>
      <w:marLeft w:val="0"/>
      <w:marRight w:val="0"/>
      <w:marTop w:val="0"/>
      <w:marBottom w:val="0"/>
      <w:divBdr>
        <w:top w:val="none" w:sz="0" w:space="0" w:color="auto"/>
        <w:left w:val="none" w:sz="0" w:space="0" w:color="auto"/>
        <w:bottom w:val="none" w:sz="0" w:space="0" w:color="auto"/>
        <w:right w:val="none" w:sz="0" w:space="0" w:color="auto"/>
      </w:divBdr>
    </w:div>
    <w:div w:id="1058934778">
      <w:bodyDiv w:val="1"/>
      <w:marLeft w:val="0"/>
      <w:marRight w:val="0"/>
      <w:marTop w:val="0"/>
      <w:marBottom w:val="0"/>
      <w:divBdr>
        <w:top w:val="none" w:sz="0" w:space="0" w:color="auto"/>
        <w:left w:val="none" w:sz="0" w:space="0" w:color="auto"/>
        <w:bottom w:val="none" w:sz="0" w:space="0" w:color="auto"/>
        <w:right w:val="none" w:sz="0" w:space="0" w:color="auto"/>
      </w:divBdr>
    </w:div>
    <w:div w:id="1058935875">
      <w:bodyDiv w:val="1"/>
      <w:marLeft w:val="0"/>
      <w:marRight w:val="0"/>
      <w:marTop w:val="0"/>
      <w:marBottom w:val="0"/>
      <w:divBdr>
        <w:top w:val="none" w:sz="0" w:space="0" w:color="auto"/>
        <w:left w:val="none" w:sz="0" w:space="0" w:color="auto"/>
        <w:bottom w:val="none" w:sz="0" w:space="0" w:color="auto"/>
        <w:right w:val="none" w:sz="0" w:space="0" w:color="auto"/>
      </w:divBdr>
    </w:div>
    <w:div w:id="1059016424">
      <w:bodyDiv w:val="1"/>
      <w:marLeft w:val="0"/>
      <w:marRight w:val="0"/>
      <w:marTop w:val="0"/>
      <w:marBottom w:val="0"/>
      <w:divBdr>
        <w:top w:val="none" w:sz="0" w:space="0" w:color="auto"/>
        <w:left w:val="none" w:sz="0" w:space="0" w:color="auto"/>
        <w:bottom w:val="none" w:sz="0" w:space="0" w:color="auto"/>
        <w:right w:val="none" w:sz="0" w:space="0" w:color="auto"/>
      </w:divBdr>
    </w:div>
    <w:div w:id="1059016841">
      <w:bodyDiv w:val="1"/>
      <w:marLeft w:val="0"/>
      <w:marRight w:val="0"/>
      <w:marTop w:val="0"/>
      <w:marBottom w:val="0"/>
      <w:divBdr>
        <w:top w:val="none" w:sz="0" w:space="0" w:color="auto"/>
        <w:left w:val="none" w:sz="0" w:space="0" w:color="auto"/>
        <w:bottom w:val="none" w:sz="0" w:space="0" w:color="auto"/>
        <w:right w:val="none" w:sz="0" w:space="0" w:color="auto"/>
      </w:divBdr>
    </w:div>
    <w:div w:id="1059017723">
      <w:bodyDiv w:val="1"/>
      <w:marLeft w:val="0"/>
      <w:marRight w:val="0"/>
      <w:marTop w:val="0"/>
      <w:marBottom w:val="0"/>
      <w:divBdr>
        <w:top w:val="none" w:sz="0" w:space="0" w:color="auto"/>
        <w:left w:val="none" w:sz="0" w:space="0" w:color="auto"/>
        <w:bottom w:val="none" w:sz="0" w:space="0" w:color="auto"/>
        <w:right w:val="none" w:sz="0" w:space="0" w:color="auto"/>
      </w:divBdr>
    </w:div>
    <w:div w:id="1059093934">
      <w:bodyDiv w:val="1"/>
      <w:marLeft w:val="0"/>
      <w:marRight w:val="0"/>
      <w:marTop w:val="0"/>
      <w:marBottom w:val="0"/>
      <w:divBdr>
        <w:top w:val="none" w:sz="0" w:space="0" w:color="auto"/>
        <w:left w:val="none" w:sz="0" w:space="0" w:color="auto"/>
        <w:bottom w:val="none" w:sz="0" w:space="0" w:color="auto"/>
        <w:right w:val="none" w:sz="0" w:space="0" w:color="auto"/>
      </w:divBdr>
    </w:div>
    <w:div w:id="1059131459">
      <w:bodyDiv w:val="1"/>
      <w:marLeft w:val="0"/>
      <w:marRight w:val="0"/>
      <w:marTop w:val="0"/>
      <w:marBottom w:val="0"/>
      <w:divBdr>
        <w:top w:val="none" w:sz="0" w:space="0" w:color="auto"/>
        <w:left w:val="none" w:sz="0" w:space="0" w:color="auto"/>
        <w:bottom w:val="none" w:sz="0" w:space="0" w:color="auto"/>
        <w:right w:val="none" w:sz="0" w:space="0" w:color="auto"/>
      </w:divBdr>
    </w:div>
    <w:div w:id="1059283950">
      <w:bodyDiv w:val="1"/>
      <w:marLeft w:val="0"/>
      <w:marRight w:val="0"/>
      <w:marTop w:val="0"/>
      <w:marBottom w:val="0"/>
      <w:divBdr>
        <w:top w:val="none" w:sz="0" w:space="0" w:color="auto"/>
        <w:left w:val="none" w:sz="0" w:space="0" w:color="auto"/>
        <w:bottom w:val="none" w:sz="0" w:space="0" w:color="auto"/>
        <w:right w:val="none" w:sz="0" w:space="0" w:color="auto"/>
      </w:divBdr>
    </w:div>
    <w:div w:id="1059284075">
      <w:bodyDiv w:val="1"/>
      <w:marLeft w:val="0"/>
      <w:marRight w:val="0"/>
      <w:marTop w:val="0"/>
      <w:marBottom w:val="0"/>
      <w:divBdr>
        <w:top w:val="none" w:sz="0" w:space="0" w:color="auto"/>
        <w:left w:val="none" w:sz="0" w:space="0" w:color="auto"/>
        <w:bottom w:val="none" w:sz="0" w:space="0" w:color="auto"/>
        <w:right w:val="none" w:sz="0" w:space="0" w:color="auto"/>
      </w:divBdr>
    </w:div>
    <w:div w:id="1059329891">
      <w:bodyDiv w:val="1"/>
      <w:marLeft w:val="0"/>
      <w:marRight w:val="0"/>
      <w:marTop w:val="0"/>
      <w:marBottom w:val="0"/>
      <w:divBdr>
        <w:top w:val="none" w:sz="0" w:space="0" w:color="auto"/>
        <w:left w:val="none" w:sz="0" w:space="0" w:color="auto"/>
        <w:bottom w:val="none" w:sz="0" w:space="0" w:color="auto"/>
        <w:right w:val="none" w:sz="0" w:space="0" w:color="auto"/>
      </w:divBdr>
    </w:div>
    <w:div w:id="1059401379">
      <w:bodyDiv w:val="1"/>
      <w:marLeft w:val="0"/>
      <w:marRight w:val="0"/>
      <w:marTop w:val="0"/>
      <w:marBottom w:val="0"/>
      <w:divBdr>
        <w:top w:val="none" w:sz="0" w:space="0" w:color="auto"/>
        <w:left w:val="none" w:sz="0" w:space="0" w:color="auto"/>
        <w:bottom w:val="none" w:sz="0" w:space="0" w:color="auto"/>
        <w:right w:val="none" w:sz="0" w:space="0" w:color="auto"/>
      </w:divBdr>
    </w:div>
    <w:div w:id="1059473744">
      <w:bodyDiv w:val="1"/>
      <w:marLeft w:val="0"/>
      <w:marRight w:val="0"/>
      <w:marTop w:val="0"/>
      <w:marBottom w:val="0"/>
      <w:divBdr>
        <w:top w:val="none" w:sz="0" w:space="0" w:color="auto"/>
        <w:left w:val="none" w:sz="0" w:space="0" w:color="auto"/>
        <w:bottom w:val="none" w:sz="0" w:space="0" w:color="auto"/>
        <w:right w:val="none" w:sz="0" w:space="0" w:color="auto"/>
      </w:divBdr>
    </w:div>
    <w:div w:id="1059475968">
      <w:bodyDiv w:val="1"/>
      <w:marLeft w:val="0"/>
      <w:marRight w:val="0"/>
      <w:marTop w:val="0"/>
      <w:marBottom w:val="0"/>
      <w:divBdr>
        <w:top w:val="none" w:sz="0" w:space="0" w:color="auto"/>
        <w:left w:val="none" w:sz="0" w:space="0" w:color="auto"/>
        <w:bottom w:val="none" w:sz="0" w:space="0" w:color="auto"/>
        <w:right w:val="none" w:sz="0" w:space="0" w:color="auto"/>
      </w:divBdr>
    </w:div>
    <w:div w:id="1059481581">
      <w:bodyDiv w:val="1"/>
      <w:marLeft w:val="0"/>
      <w:marRight w:val="0"/>
      <w:marTop w:val="0"/>
      <w:marBottom w:val="0"/>
      <w:divBdr>
        <w:top w:val="none" w:sz="0" w:space="0" w:color="auto"/>
        <w:left w:val="none" w:sz="0" w:space="0" w:color="auto"/>
        <w:bottom w:val="none" w:sz="0" w:space="0" w:color="auto"/>
        <w:right w:val="none" w:sz="0" w:space="0" w:color="auto"/>
      </w:divBdr>
    </w:div>
    <w:div w:id="1059521600">
      <w:bodyDiv w:val="1"/>
      <w:marLeft w:val="0"/>
      <w:marRight w:val="0"/>
      <w:marTop w:val="0"/>
      <w:marBottom w:val="0"/>
      <w:divBdr>
        <w:top w:val="none" w:sz="0" w:space="0" w:color="auto"/>
        <w:left w:val="none" w:sz="0" w:space="0" w:color="auto"/>
        <w:bottom w:val="none" w:sz="0" w:space="0" w:color="auto"/>
        <w:right w:val="none" w:sz="0" w:space="0" w:color="auto"/>
      </w:divBdr>
    </w:div>
    <w:div w:id="1059674595">
      <w:bodyDiv w:val="1"/>
      <w:marLeft w:val="0"/>
      <w:marRight w:val="0"/>
      <w:marTop w:val="0"/>
      <w:marBottom w:val="0"/>
      <w:divBdr>
        <w:top w:val="none" w:sz="0" w:space="0" w:color="auto"/>
        <w:left w:val="none" w:sz="0" w:space="0" w:color="auto"/>
        <w:bottom w:val="none" w:sz="0" w:space="0" w:color="auto"/>
        <w:right w:val="none" w:sz="0" w:space="0" w:color="auto"/>
      </w:divBdr>
    </w:div>
    <w:div w:id="1059744670">
      <w:bodyDiv w:val="1"/>
      <w:marLeft w:val="0"/>
      <w:marRight w:val="0"/>
      <w:marTop w:val="0"/>
      <w:marBottom w:val="0"/>
      <w:divBdr>
        <w:top w:val="none" w:sz="0" w:space="0" w:color="auto"/>
        <w:left w:val="none" w:sz="0" w:space="0" w:color="auto"/>
        <w:bottom w:val="none" w:sz="0" w:space="0" w:color="auto"/>
        <w:right w:val="none" w:sz="0" w:space="0" w:color="auto"/>
      </w:divBdr>
    </w:div>
    <w:div w:id="1059746073">
      <w:bodyDiv w:val="1"/>
      <w:marLeft w:val="0"/>
      <w:marRight w:val="0"/>
      <w:marTop w:val="0"/>
      <w:marBottom w:val="0"/>
      <w:divBdr>
        <w:top w:val="none" w:sz="0" w:space="0" w:color="auto"/>
        <w:left w:val="none" w:sz="0" w:space="0" w:color="auto"/>
        <w:bottom w:val="none" w:sz="0" w:space="0" w:color="auto"/>
        <w:right w:val="none" w:sz="0" w:space="0" w:color="auto"/>
      </w:divBdr>
    </w:div>
    <w:div w:id="1059785873">
      <w:bodyDiv w:val="1"/>
      <w:marLeft w:val="0"/>
      <w:marRight w:val="0"/>
      <w:marTop w:val="0"/>
      <w:marBottom w:val="0"/>
      <w:divBdr>
        <w:top w:val="none" w:sz="0" w:space="0" w:color="auto"/>
        <w:left w:val="none" w:sz="0" w:space="0" w:color="auto"/>
        <w:bottom w:val="none" w:sz="0" w:space="0" w:color="auto"/>
        <w:right w:val="none" w:sz="0" w:space="0" w:color="auto"/>
      </w:divBdr>
    </w:div>
    <w:div w:id="1059862794">
      <w:bodyDiv w:val="1"/>
      <w:marLeft w:val="0"/>
      <w:marRight w:val="0"/>
      <w:marTop w:val="0"/>
      <w:marBottom w:val="0"/>
      <w:divBdr>
        <w:top w:val="none" w:sz="0" w:space="0" w:color="auto"/>
        <w:left w:val="none" w:sz="0" w:space="0" w:color="auto"/>
        <w:bottom w:val="none" w:sz="0" w:space="0" w:color="auto"/>
        <w:right w:val="none" w:sz="0" w:space="0" w:color="auto"/>
      </w:divBdr>
    </w:div>
    <w:div w:id="1059981262">
      <w:bodyDiv w:val="1"/>
      <w:marLeft w:val="0"/>
      <w:marRight w:val="0"/>
      <w:marTop w:val="0"/>
      <w:marBottom w:val="0"/>
      <w:divBdr>
        <w:top w:val="none" w:sz="0" w:space="0" w:color="auto"/>
        <w:left w:val="none" w:sz="0" w:space="0" w:color="auto"/>
        <w:bottom w:val="none" w:sz="0" w:space="0" w:color="auto"/>
        <w:right w:val="none" w:sz="0" w:space="0" w:color="auto"/>
      </w:divBdr>
    </w:div>
    <w:div w:id="1060011898">
      <w:bodyDiv w:val="1"/>
      <w:marLeft w:val="0"/>
      <w:marRight w:val="0"/>
      <w:marTop w:val="0"/>
      <w:marBottom w:val="0"/>
      <w:divBdr>
        <w:top w:val="none" w:sz="0" w:space="0" w:color="auto"/>
        <w:left w:val="none" w:sz="0" w:space="0" w:color="auto"/>
        <w:bottom w:val="none" w:sz="0" w:space="0" w:color="auto"/>
        <w:right w:val="none" w:sz="0" w:space="0" w:color="auto"/>
      </w:divBdr>
    </w:div>
    <w:div w:id="1060054516">
      <w:bodyDiv w:val="1"/>
      <w:marLeft w:val="0"/>
      <w:marRight w:val="0"/>
      <w:marTop w:val="0"/>
      <w:marBottom w:val="0"/>
      <w:divBdr>
        <w:top w:val="none" w:sz="0" w:space="0" w:color="auto"/>
        <w:left w:val="none" w:sz="0" w:space="0" w:color="auto"/>
        <w:bottom w:val="none" w:sz="0" w:space="0" w:color="auto"/>
        <w:right w:val="none" w:sz="0" w:space="0" w:color="auto"/>
      </w:divBdr>
    </w:div>
    <w:div w:id="1060059111">
      <w:bodyDiv w:val="1"/>
      <w:marLeft w:val="0"/>
      <w:marRight w:val="0"/>
      <w:marTop w:val="0"/>
      <w:marBottom w:val="0"/>
      <w:divBdr>
        <w:top w:val="none" w:sz="0" w:space="0" w:color="auto"/>
        <w:left w:val="none" w:sz="0" w:space="0" w:color="auto"/>
        <w:bottom w:val="none" w:sz="0" w:space="0" w:color="auto"/>
        <w:right w:val="none" w:sz="0" w:space="0" w:color="auto"/>
      </w:divBdr>
    </w:div>
    <w:div w:id="1060128340">
      <w:bodyDiv w:val="1"/>
      <w:marLeft w:val="0"/>
      <w:marRight w:val="0"/>
      <w:marTop w:val="0"/>
      <w:marBottom w:val="0"/>
      <w:divBdr>
        <w:top w:val="none" w:sz="0" w:space="0" w:color="auto"/>
        <w:left w:val="none" w:sz="0" w:space="0" w:color="auto"/>
        <w:bottom w:val="none" w:sz="0" w:space="0" w:color="auto"/>
        <w:right w:val="none" w:sz="0" w:space="0" w:color="auto"/>
      </w:divBdr>
    </w:div>
    <w:div w:id="1060204314">
      <w:bodyDiv w:val="1"/>
      <w:marLeft w:val="0"/>
      <w:marRight w:val="0"/>
      <w:marTop w:val="0"/>
      <w:marBottom w:val="0"/>
      <w:divBdr>
        <w:top w:val="none" w:sz="0" w:space="0" w:color="auto"/>
        <w:left w:val="none" w:sz="0" w:space="0" w:color="auto"/>
        <w:bottom w:val="none" w:sz="0" w:space="0" w:color="auto"/>
        <w:right w:val="none" w:sz="0" w:space="0" w:color="auto"/>
      </w:divBdr>
    </w:div>
    <w:div w:id="1060522039">
      <w:bodyDiv w:val="1"/>
      <w:marLeft w:val="0"/>
      <w:marRight w:val="0"/>
      <w:marTop w:val="0"/>
      <w:marBottom w:val="0"/>
      <w:divBdr>
        <w:top w:val="none" w:sz="0" w:space="0" w:color="auto"/>
        <w:left w:val="none" w:sz="0" w:space="0" w:color="auto"/>
        <w:bottom w:val="none" w:sz="0" w:space="0" w:color="auto"/>
        <w:right w:val="none" w:sz="0" w:space="0" w:color="auto"/>
      </w:divBdr>
    </w:div>
    <w:div w:id="1060592562">
      <w:bodyDiv w:val="1"/>
      <w:marLeft w:val="0"/>
      <w:marRight w:val="0"/>
      <w:marTop w:val="0"/>
      <w:marBottom w:val="0"/>
      <w:divBdr>
        <w:top w:val="none" w:sz="0" w:space="0" w:color="auto"/>
        <w:left w:val="none" w:sz="0" w:space="0" w:color="auto"/>
        <w:bottom w:val="none" w:sz="0" w:space="0" w:color="auto"/>
        <w:right w:val="none" w:sz="0" w:space="0" w:color="auto"/>
      </w:divBdr>
    </w:div>
    <w:div w:id="1060594407">
      <w:bodyDiv w:val="1"/>
      <w:marLeft w:val="0"/>
      <w:marRight w:val="0"/>
      <w:marTop w:val="0"/>
      <w:marBottom w:val="0"/>
      <w:divBdr>
        <w:top w:val="none" w:sz="0" w:space="0" w:color="auto"/>
        <w:left w:val="none" w:sz="0" w:space="0" w:color="auto"/>
        <w:bottom w:val="none" w:sz="0" w:space="0" w:color="auto"/>
        <w:right w:val="none" w:sz="0" w:space="0" w:color="auto"/>
      </w:divBdr>
    </w:div>
    <w:div w:id="1060708809">
      <w:bodyDiv w:val="1"/>
      <w:marLeft w:val="0"/>
      <w:marRight w:val="0"/>
      <w:marTop w:val="0"/>
      <w:marBottom w:val="0"/>
      <w:divBdr>
        <w:top w:val="none" w:sz="0" w:space="0" w:color="auto"/>
        <w:left w:val="none" w:sz="0" w:space="0" w:color="auto"/>
        <w:bottom w:val="none" w:sz="0" w:space="0" w:color="auto"/>
        <w:right w:val="none" w:sz="0" w:space="0" w:color="auto"/>
      </w:divBdr>
    </w:div>
    <w:div w:id="1060905024">
      <w:bodyDiv w:val="1"/>
      <w:marLeft w:val="0"/>
      <w:marRight w:val="0"/>
      <w:marTop w:val="0"/>
      <w:marBottom w:val="0"/>
      <w:divBdr>
        <w:top w:val="none" w:sz="0" w:space="0" w:color="auto"/>
        <w:left w:val="none" w:sz="0" w:space="0" w:color="auto"/>
        <w:bottom w:val="none" w:sz="0" w:space="0" w:color="auto"/>
        <w:right w:val="none" w:sz="0" w:space="0" w:color="auto"/>
      </w:divBdr>
    </w:div>
    <w:div w:id="1060976721">
      <w:bodyDiv w:val="1"/>
      <w:marLeft w:val="0"/>
      <w:marRight w:val="0"/>
      <w:marTop w:val="0"/>
      <w:marBottom w:val="0"/>
      <w:divBdr>
        <w:top w:val="none" w:sz="0" w:space="0" w:color="auto"/>
        <w:left w:val="none" w:sz="0" w:space="0" w:color="auto"/>
        <w:bottom w:val="none" w:sz="0" w:space="0" w:color="auto"/>
        <w:right w:val="none" w:sz="0" w:space="0" w:color="auto"/>
      </w:divBdr>
    </w:div>
    <w:div w:id="1060984230">
      <w:bodyDiv w:val="1"/>
      <w:marLeft w:val="0"/>
      <w:marRight w:val="0"/>
      <w:marTop w:val="0"/>
      <w:marBottom w:val="0"/>
      <w:divBdr>
        <w:top w:val="none" w:sz="0" w:space="0" w:color="auto"/>
        <w:left w:val="none" w:sz="0" w:space="0" w:color="auto"/>
        <w:bottom w:val="none" w:sz="0" w:space="0" w:color="auto"/>
        <w:right w:val="none" w:sz="0" w:space="0" w:color="auto"/>
      </w:divBdr>
    </w:div>
    <w:div w:id="1061094061">
      <w:bodyDiv w:val="1"/>
      <w:marLeft w:val="0"/>
      <w:marRight w:val="0"/>
      <w:marTop w:val="0"/>
      <w:marBottom w:val="0"/>
      <w:divBdr>
        <w:top w:val="none" w:sz="0" w:space="0" w:color="auto"/>
        <w:left w:val="none" w:sz="0" w:space="0" w:color="auto"/>
        <w:bottom w:val="none" w:sz="0" w:space="0" w:color="auto"/>
        <w:right w:val="none" w:sz="0" w:space="0" w:color="auto"/>
      </w:divBdr>
    </w:div>
    <w:div w:id="1061169717">
      <w:bodyDiv w:val="1"/>
      <w:marLeft w:val="0"/>
      <w:marRight w:val="0"/>
      <w:marTop w:val="0"/>
      <w:marBottom w:val="0"/>
      <w:divBdr>
        <w:top w:val="none" w:sz="0" w:space="0" w:color="auto"/>
        <w:left w:val="none" w:sz="0" w:space="0" w:color="auto"/>
        <w:bottom w:val="none" w:sz="0" w:space="0" w:color="auto"/>
        <w:right w:val="none" w:sz="0" w:space="0" w:color="auto"/>
      </w:divBdr>
    </w:div>
    <w:div w:id="1061175746">
      <w:bodyDiv w:val="1"/>
      <w:marLeft w:val="0"/>
      <w:marRight w:val="0"/>
      <w:marTop w:val="0"/>
      <w:marBottom w:val="0"/>
      <w:divBdr>
        <w:top w:val="none" w:sz="0" w:space="0" w:color="auto"/>
        <w:left w:val="none" w:sz="0" w:space="0" w:color="auto"/>
        <w:bottom w:val="none" w:sz="0" w:space="0" w:color="auto"/>
        <w:right w:val="none" w:sz="0" w:space="0" w:color="auto"/>
      </w:divBdr>
    </w:div>
    <w:div w:id="1061248934">
      <w:bodyDiv w:val="1"/>
      <w:marLeft w:val="0"/>
      <w:marRight w:val="0"/>
      <w:marTop w:val="0"/>
      <w:marBottom w:val="0"/>
      <w:divBdr>
        <w:top w:val="none" w:sz="0" w:space="0" w:color="auto"/>
        <w:left w:val="none" w:sz="0" w:space="0" w:color="auto"/>
        <w:bottom w:val="none" w:sz="0" w:space="0" w:color="auto"/>
        <w:right w:val="none" w:sz="0" w:space="0" w:color="auto"/>
      </w:divBdr>
    </w:div>
    <w:div w:id="1061296380">
      <w:bodyDiv w:val="1"/>
      <w:marLeft w:val="0"/>
      <w:marRight w:val="0"/>
      <w:marTop w:val="0"/>
      <w:marBottom w:val="0"/>
      <w:divBdr>
        <w:top w:val="none" w:sz="0" w:space="0" w:color="auto"/>
        <w:left w:val="none" w:sz="0" w:space="0" w:color="auto"/>
        <w:bottom w:val="none" w:sz="0" w:space="0" w:color="auto"/>
        <w:right w:val="none" w:sz="0" w:space="0" w:color="auto"/>
      </w:divBdr>
    </w:div>
    <w:div w:id="1061362920">
      <w:bodyDiv w:val="1"/>
      <w:marLeft w:val="0"/>
      <w:marRight w:val="0"/>
      <w:marTop w:val="0"/>
      <w:marBottom w:val="0"/>
      <w:divBdr>
        <w:top w:val="none" w:sz="0" w:space="0" w:color="auto"/>
        <w:left w:val="none" w:sz="0" w:space="0" w:color="auto"/>
        <w:bottom w:val="none" w:sz="0" w:space="0" w:color="auto"/>
        <w:right w:val="none" w:sz="0" w:space="0" w:color="auto"/>
      </w:divBdr>
    </w:div>
    <w:div w:id="1061441368">
      <w:bodyDiv w:val="1"/>
      <w:marLeft w:val="0"/>
      <w:marRight w:val="0"/>
      <w:marTop w:val="0"/>
      <w:marBottom w:val="0"/>
      <w:divBdr>
        <w:top w:val="none" w:sz="0" w:space="0" w:color="auto"/>
        <w:left w:val="none" w:sz="0" w:space="0" w:color="auto"/>
        <w:bottom w:val="none" w:sz="0" w:space="0" w:color="auto"/>
        <w:right w:val="none" w:sz="0" w:space="0" w:color="auto"/>
      </w:divBdr>
    </w:div>
    <w:div w:id="1061441505">
      <w:bodyDiv w:val="1"/>
      <w:marLeft w:val="0"/>
      <w:marRight w:val="0"/>
      <w:marTop w:val="0"/>
      <w:marBottom w:val="0"/>
      <w:divBdr>
        <w:top w:val="none" w:sz="0" w:space="0" w:color="auto"/>
        <w:left w:val="none" w:sz="0" w:space="0" w:color="auto"/>
        <w:bottom w:val="none" w:sz="0" w:space="0" w:color="auto"/>
        <w:right w:val="none" w:sz="0" w:space="0" w:color="auto"/>
      </w:divBdr>
    </w:div>
    <w:div w:id="1061707161">
      <w:bodyDiv w:val="1"/>
      <w:marLeft w:val="0"/>
      <w:marRight w:val="0"/>
      <w:marTop w:val="0"/>
      <w:marBottom w:val="0"/>
      <w:divBdr>
        <w:top w:val="none" w:sz="0" w:space="0" w:color="auto"/>
        <w:left w:val="none" w:sz="0" w:space="0" w:color="auto"/>
        <w:bottom w:val="none" w:sz="0" w:space="0" w:color="auto"/>
        <w:right w:val="none" w:sz="0" w:space="0" w:color="auto"/>
      </w:divBdr>
    </w:div>
    <w:div w:id="1061752881">
      <w:bodyDiv w:val="1"/>
      <w:marLeft w:val="0"/>
      <w:marRight w:val="0"/>
      <w:marTop w:val="0"/>
      <w:marBottom w:val="0"/>
      <w:divBdr>
        <w:top w:val="none" w:sz="0" w:space="0" w:color="auto"/>
        <w:left w:val="none" w:sz="0" w:space="0" w:color="auto"/>
        <w:bottom w:val="none" w:sz="0" w:space="0" w:color="auto"/>
        <w:right w:val="none" w:sz="0" w:space="0" w:color="auto"/>
      </w:divBdr>
    </w:div>
    <w:div w:id="1061756317">
      <w:bodyDiv w:val="1"/>
      <w:marLeft w:val="0"/>
      <w:marRight w:val="0"/>
      <w:marTop w:val="0"/>
      <w:marBottom w:val="0"/>
      <w:divBdr>
        <w:top w:val="none" w:sz="0" w:space="0" w:color="auto"/>
        <w:left w:val="none" w:sz="0" w:space="0" w:color="auto"/>
        <w:bottom w:val="none" w:sz="0" w:space="0" w:color="auto"/>
        <w:right w:val="none" w:sz="0" w:space="0" w:color="auto"/>
      </w:divBdr>
    </w:div>
    <w:div w:id="1061829541">
      <w:bodyDiv w:val="1"/>
      <w:marLeft w:val="0"/>
      <w:marRight w:val="0"/>
      <w:marTop w:val="0"/>
      <w:marBottom w:val="0"/>
      <w:divBdr>
        <w:top w:val="none" w:sz="0" w:space="0" w:color="auto"/>
        <w:left w:val="none" w:sz="0" w:space="0" w:color="auto"/>
        <w:bottom w:val="none" w:sz="0" w:space="0" w:color="auto"/>
        <w:right w:val="none" w:sz="0" w:space="0" w:color="auto"/>
      </w:divBdr>
    </w:div>
    <w:div w:id="1061977091">
      <w:bodyDiv w:val="1"/>
      <w:marLeft w:val="0"/>
      <w:marRight w:val="0"/>
      <w:marTop w:val="0"/>
      <w:marBottom w:val="0"/>
      <w:divBdr>
        <w:top w:val="none" w:sz="0" w:space="0" w:color="auto"/>
        <w:left w:val="none" w:sz="0" w:space="0" w:color="auto"/>
        <w:bottom w:val="none" w:sz="0" w:space="0" w:color="auto"/>
        <w:right w:val="none" w:sz="0" w:space="0" w:color="auto"/>
      </w:divBdr>
    </w:div>
    <w:div w:id="1062022599">
      <w:bodyDiv w:val="1"/>
      <w:marLeft w:val="0"/>
      <w:marRight w:val="0"/>
      <w:marTop w:val="0"/>
      <w:marBottom w:val="0"/>
      <w:divBdr>
        <w:top w:val="none" w:sz="0" w:space="0" w:color="auto"/>
        <w:left w:val="none" w:sz="0" w:space="0" w:color="auto"/>
        <w:bottom w:val="none" w:sz="0" w:space="0" w:color="auto"/>
        <w:right w:val="none" w:sz="0" w:space="0" w:color="auto"/>
      </w:divBdr>
    </w:div>
    <w:div w:id="1062144145">
      <w:bodyDiv w:val="1"/>
      <w:marLeft w:val="0"/>
      <w:marRight w:val="0"/>
      <w:marTop w:val="0"/>
      <w:marBottom w:val="0"/>
      <w:divBdr>
        <w:top w:val="none" w:sz="0" w:space="0" w:color="auto"/>
        <w:left w:val="none" w:sz="0" w:space="0" w:color="auto"/>
        <w:bottom w:val="none" w:sz="0" w:space="0" w:color="auto"/>
        <w:right w:val="none" w:sz="0" w:space="0" w:color="auto"/>
      </w:divBdr>
    </w:div>
    <w:div w:id="1062218008">
      <w:bodyDiv w:val="1"/>
      <w:marLeft w:val="0"/>
      <w:marRight w:val="0"/>
      <w:marTop w:val="0"/>
      <w:marBottom w:val="0"/>
      <w:divBdr>
        <w:top w:val="none" w:sz="0" w:space="0" w:color="auto"/>
        <w:left w:val="none" w:sz="0" w:space="0" w:color="auto"/>
        <w:bottom w:val="none" w:sz="0" w:space="0" w:color="auto"/>
        <w:right w:val="none" w:sz="0" w:space="0" w:color="auto"/>
      </w:divBdr>
    </w:div>
    <w:div w:id="1062290117">
      <w:bodyDiv w:val="1"/>
      <w:marLeft w:val="0"/>
      <w:marRight w:val="0"/>
      <w:marTop w:val="0"/>
      <w:marBottom w:val="0"/>
      <w:divBdr>
        <w:top w:val="none" w:sz="0" w:space="0" w:color="auto"/>
        <w:left w:val="none" w:sz="0" w:space="0" w:color="auto"/>
        <w:bottom w:val="none" w:sz="0" w:space="0" w:color="auto"/>
        <w:right w:val="none" w:sz="0" w:space="0" w:color="auto"/>
      </w:divBdr>
    </w:div>
    <w:div w:id="1062293497">
      <w:bodyDiv w:val="1"/>
      <w:marLeft w:val="0"/>
      <w:marRight w:val="0"/>
      <w:marTop w:val="0"/>
      <w:marBottom w:val="0"/>
      <w:divBdr>
        <w:top w:val="none" w:sz="0" w:space="0" w:color="auto"/>
        <w:left w:val="none" w:sz="0" w:space="0" w:color="auto"/>
        <w:bottom w:val="none" w:sz="0" w:space="0" w:color="auto"/>
        <w:right w:val="none" w:sz="0" w:space="0" w:color="auto"/>
      </w:divBdr>
    </w:div>
    <w:div w:id="1062365643">
      <w:bodyDiv w:val="1"/>
      <w:marLeft w:val="0"/>
      <w:marRight w:val="0"/>
      <w:marTop w:val="0"/>
      <w:marBottom w:val="0"/>
      <w:divBdr>
        <w:top w:val="none" w:sz="0" w:space="0" w:color="auto"/>
        <w:left w:val="none" w:sz="0" w:space="0" w:color="auto"/>
        <w:bottom w:val="none" w:sz="0" w:space="0" w:color="auto"/>
        <w:right w:val="none" w:sz="0" w:space="0" w:color="auto"/>
      </w:divBdr>
    </w:div>
    <w:div w:id="1062408829">
      <w:bodyDiv w:val="1"/>
      <w:marLeft w:val="0"/>
      <w:marRight w:val="0"/>
      <w:marTop w:val="0"/>
      <w:marBottom w:val="0"/>
      <w:divBdr>
        <w:top w:val="none" w:sz="0" w:space="0" w:color="auto"/>
        <w:left w:val="none" w:sz="0" w:space="0" w:color="auto"/>
        <w:bottom w:val="none" w:sz="0" w:space="0" w:color="auto"/>
        <w:right w:val="none" w:sz="0" w:space="0" w:color="auto"/>
      </w:divBdr>
    </w:div>
    <w:div w:id="1062482997">
      <w:bodyDiv w:val="1"/>
      <w:marLeft w:val="0"/>
      <w:marRight w:val="0"/>
      <w:marTop w:val="0"/>
      <w:marBottom w:val="0"/>
      <w:divBdr>
        <w:top w:val="none" w:sz="0" w:space="0" w:color="auto"/>
        <w:left w:val="none" w:sz="0" w:space="0" w:color="auto"/>
        <w:bottom w:val="none" w:sz="0" w:space="0" w:color="auto"/>
        <w:right w:val="none" w:sz="0" w:space="0" w:color="auto"/>
      </w:divBdr>
    </w:div>
    <w:div w:id="1062485813">
      <w:bodyDiv w:val="1"/>
      <w:marLeft w:val="0"/>
      <w:marRight w:val="0"/>
      <w:marTop w:val="0"/>
      <w:marBottom w:val="0"/>
      <w:divBdr>
        <w:top w:val="none" w:sz="0" w:space="0" w:color="auto"/>
        <w:left w:val="none" w:sz="0" w:space="0" w:color="auto"/>
        <w:bottom w:val="none" w:sz="0" w:space="0" w:color="auto"/>
        <w:right w:val="none" w:sz="0" w:space="0" w:color="auto"/>
      </w:divBdr>
    </w:div>
    <w:div w:id="1062488018">
      <w:bodyDiv w:val="1"/>
      <w:marLeft w:val="0"/>
      <w:marRight w:val="0"/>
      <w:marTop w:val="0"/>
      <w:marBottom w:val="0"/>
      <w:divBdr>
        <w:top w:val="none" w:sz="0" w:space="0" w:color="auto"/>
        <w:left w:val="none" w:sz="0" w:space="0" w:color="auto"/>
        <w:bottom w:val="none" w:sz="0" w:space="0" w:color="auto"/>
        <w:right w:val="none" w:sz="0" w:space="0" w:color="auto"/>
      </w:divBdr>
    </w:div>
    <w:div w:id="1062604105">
      <w:bodyDiv w:val="1"/>
      <w:marLeft w:val="0"/>
      <w:marRight w:val="0"/>
      <w:marTop w:val="0"/>
      <w:marBottom w:val="0"/>
      <w:divBdr>
        <w:top w:val="none" w:sz="0" w:space="0" w:color="auto"/>
        <w:left w:val="none" w:sz="0" w:space="0" w:color="auto"/>
        <w:bottom w:val="none" w:sz="0" w:space="0" w:color="auto"/>
        <w:right w:val="none" w:sz="0" w:space="0" w:color="auto"/>
      </w:divBdr>
    </w:div>
    <w:div w:id="1062749277">
      <w:bodyDiv w:val="1"/>
      <w:marLeft w:val="0"/>
      <w:marRight w:val="0"/>
      <w:marTop w:val="0"/>
      <w:marBottom w:val="0"/>
      <w:divBdr>
        <w:top w:val="none" w:sz="0" w:space="0" w:color="auto"/>
        <w:left w:val="none" w:sz="0" w:space="0" w:color="auto"/>
        <w:bottom w:val="none" w:sz="0" w:space="0" w:color="auto"/>
        <w:right w:val="none" w:sz="0" w:space="0" w:color="auto"/>
      </w:divBdr>
    </w:div>
    <w:div w:id="1062753059">
      <w:bodyDiv w:val="1"/>
      <w:marLeft w:val="0"/>
      <w:marRight w:val="0"/>
      <w:marTop w:val="0"/>
      <w:marBottom w:val="0"/>
      <w:divBdr>
        <w:top w:val="none" w:sz="0" w:space="0" w:color="auto"/>
        <w:left w:val="none" w:sz="0" w:space="0" w:color="auto"/>
        <w:bottom w:val="none" w:sz="0" w:space="0" w:color="auto"/>
        <w:right w:val="none" w:sz="0" w:space="0" w:color="auto"/>
      </w:divBdr>
    </w:div>
    <w:div w:id="1062826280">
      <w:bodyDiv w:val="1"/>
      <w:marLeft w:val="0"/>
      <w:marRight w:val="0"/>
      <w:marTop w:val="0"/>
      <w:marBottom w:val="0"/>
      <w:divBdr>
        <w:top w:val="none" w:sz="0" w:space="0" w:color="auto"/>
        <w:left w:val="none" w:sz="0" w:space="0" w:color="auto"/>
        <w:bottom w:val="none" w:sz="0" w:space="0" w:color="auto"/>
        <w:right w:val="none" w:sz="0" w:space="0" w:color="auto"/>
      </w:divBdr>
    </w:div>
    <w:div w:id="1062945123">
      <w:bodyDiv w:val="1"/>
      <w:marLeft w:val="0"/>
      <w:marRight w:val="0"/>
      <w:marTop w:val="0"/>
      <w:marBottom w:val="0"/>
      <w:divBdr>
        <w:top w:val="none" w:sz="0" w:space="0" w:color="auto"/>
        <w:left w:val="none" w:sz="0" w:space="0" w:color="auto"/>
        <w:bottom w:val="none" w:sz="0" w:space="0" w:color="auto"/>
        <w:right w:val="none" w:sz="0" w:space="0" w:color="auto"/>
      </w:divBdr>
    </w:div>
    <w:div w:id="1063025859">
      <w:bodyDiv w:val="1"/>
      <w:marLeft w:val="0"/>
      <w:marRight w:val="0"/>
      <w:marTop w:val="0"/>
      <w:marBottom w:val="0"/>
      <w:divBdr>
        <w:top w:val="none" w:sz="0" w:space="0" w:color="auto"/>
        <w:left w:val="none" w:sz="0" w:space="0" w:color="auto"/>
        <w:bottom w:val="none" w:sz="0" w:space="0" w:color="auto"/>
        <w:right w:val="none" w:sz="0" w:space="0" w:color="auto"/>
      </w:divBdr>
    </w:div>
    <w:div w:id="1063140770">
      <w:bodyDiv w:val="1"/>
      <w:marLeft w:val="0"/>
      <w:marRight w:val="0"/>
      <w:marTop w:val="0"/>
      <w:marBottom w:val="0"/>
      <w:divBdr>
        <w:top w:val="none" w:sz="0" w:space="0" w:color="auto"/>
        <w:left w:val="none" w:sz="0" w:space="0" w:color="auto"/>
        <w:bottom w:val="none" w:sz="0" w:space="0" w:color="auto"/>
        <w:right w:val="none" w:sz="0" w:space="0" w:color="auto"/>
      </w:divBdr>
    </w:div>
    <w:div w:id="1063412541">
      <w:bodyDiv w:val="1"/>
      <w:marLeft w:val="0"/>
      <w:marRight w:val="0"/>
      <w:marTop w:val="0"/>
      <w:marBottom w:val="0"/>
      <w:divBdr>
        <w:top w:val="none" w:sz="0" w:space="0" w:color="auto"/>
        <w:left w:val="none" w:sz="0" w:space="0" w:color="auto"/>
        <w:bottom w:val="none" w:sz="0" w:space="0" w:color="auto"/>
        <w:right w:val="none" w:sz="0" w:space="0" w:color="auto"/>
      </w:divBdr>
    </w:div>
    <w:div w:id="1063524479">
      <w:bodyDiv w:val="1"/>
      <w:marLeft w:val="0"/>
      <w:marRight w:val="0"/>
      <w:marTop w:val="0"/>
      <w:marBottom w:val="0"/>
      <w:divBdr>
        <w:top w:val="none" w:sz="0" w:space="0" w:color="auto"/>
        <w:left w:val="none" w:sz="0" w:space="0" w:color="auto"/>
        <w:bottom w:val="none" w:sz="0" w:space="0" w:color="auto"/>
        <w:right w:val="none" w:sz="0" w:space="0" w:color="auto"/>
      </w:divBdr>
    </w:div>
    <w:div w:id="1063530377">
      <w:bodyDiv w:val="1"/>
      <w:marLeft w:val="0"/>
      <w:marRight w:val="0"/>
      <w:marTop w:val="0"/>
      <w:marBottom w:val="0"/>
      <w:divBdr>
        <w:top w:val="none" w:sz="0" w:space="0" w:color="auto"/>
        <w:left w:val="none" w:sz="0" w:space="0" w:color="auto"/>
        <w:bottom w:val="none" w:sz="0" w:space="0" w:color="auto"/>
        <w:right w:val="none" w:sz="0" w:space="0" w:color="auto"/>
      </w:divBdr>
    </w:div>
    <w:div w:id="1063799278">
      <w:bodyDiv w:val="1"/>
      <w:marLeft w:val="0"/>
      <w:marRight w:val="0"/>
      <w:marTop w:val="0"/>
      <w:marBottom w:val="0"/>
      <w:divBdr>
        <w:top w:val="none" w:sz="0" w:space="0" w:color="auto"/>
        <w:left w:val="none" w:sz="0" w:space="0" w:color="auto"/>
        <w:bottom w:val="none" w:sz="0" w:space="0" w:color="auto"/>
        <w:right w:val="none" w:sz="0" w:space="0" w:color="auto"/>
      </w:divBdr>
    </w:div>
    <w:div w:id="1063872388">
      <w:bodyDiv w:val="1"/>
      <w:marLeft w:val="0"/>
      <w:marRight w:val="0"/>
      <w:marTop w:val="0"/>
      <w:marBottom w:val="0"/>
      <w:divBdr>
        <w:top w:val="none" w:sz="0" w:space="0" w:color="auto"/>
        <w:left w:val="none" w:sz="0" w:space="0" w:color="auto"/>
        <w:bottom w:val="none" w:sz="0" w:space="0" w:color="auto"/>
        <w:right w:val="none" w:sz="0" w:space="0" w:color="auto"/>
      </w:divBdr>
    </w:div>
    <w:div w:id="1063872503">
      <w:bodyDiv w:val="1"/>
      <w:marLeft w:val="0"/>
      <w:marRight w:val="0"/>
      <w:marTop w:val="0"/>
      <w:marBottom w:val="0"/>
      <w:divBdr>
        <w:top w:val="none" w:sz="0" w:space="0" w:color="auto"/>
        <w:left w:val="none" w:sz="0" w:space="0" w:color="auto"/>
        <w:bottom w:val="none" w:sz="0" w:space="0" w:color="auto"/>
        <w:right w:val="none" w:sz="0" w:space="0" w:color="auto"/>
      </w:divBdr>
    </w:div>
    <w:div w:id="1063875334">
      <w:bodyDiv w:val="1"/>
      <w:marLeft w:val="0"/>
      <w:marRight w:val="0"/>
      <w:marTop w:val="0"/>
      <w:marBottom w:val="0"/>
      <w:divBdr>
        <w:top w:val="none" w:sz="0" w:space="0" w:color="auto"/>
        <w:left w:val="none" w:sz="0" w:space="0" w:color="auto"/>
        <w:bottom w:val="none" w:sz="0" w:space="0" w:color="auto"/>
        <w:right w:val="none" w:sz="0" w:space="0" w:color="auto"/>
      </w:divBdr>
    </w:div>
    <w:div w:id="1063918016">
      <w:bodyDiv w:val="1"/>
      <w:marLeft w:val="0"/>
      <w:marRight w:val="0"/>
      <w:marTop w:val="0"/>
      <w:marBottom w:val="0"/>
      <w:divBdr>
        <w:top w:val="none" w:sz="0" w:space="0" w:color="auto"/>
        <w:left w:val="none" w:sz="0" w:space="0" w:color="auto"/>
        <w:bottom w:val="none" w:sz="0" w:space="0" w:color="auto"/>
        <w:right w:val="none" w:sz="0" w:space="0" w:color="auto"/>
      </w:divBdr>
    </w:div>
    <w:div w:id="1063941289">
      <w:bodyDiv w:val="1"/>
      <w:marLeft w:val="0"/>
      <w:marRight w:val="0"/>
      <w:marTop w:val="0"/>
      <w:marBottom w:val="0"/>
      <w:divBdr>
        <w:top w:val="none" w:sz="0" w:space="0" w:color="auto"/>
        <w:left w:val="none" w:sz="0" w:space="0" w:color="auto"/>
        <w:bottom w:val="none" w:sz="0" w:space="0" w:color="auto"/>
        <w:right w:val="none" w:sz="0" w:space="0" w:color="auto"/>
      </w:divBdr>
    </w:div>
    <w:div w:id="1063985375">
      <w:bodyDiv w:val="1"/>
      <w:marLeft w:val="0"/>
      <w:marRight w:val="0"/>
      <w:marTop w:val="0"/>
      <w:marBottom w:val="0"/>
      <w:divBdr>
        <w:top w:val="none" w:sz="0" w:space="0" w:color="auto"/>
        <w:left w:val="none" w:sz="0" w:space="0" w:color="auto"/>
        <w:bottom w:val="none" w:sz="0" w:space="0" w:color="auto"/>
        <w:right w:val="none" w:sz="0" w:space="0" w:color="auto"/>
      </w:divBdr>
    </w:div>
    <w:div w:id="1064063530">
      <w:bodyDiv w:val="1"/>
      <w:marLeft w:val="0"/>
      <w:marRight w:val="0"/>
      <w:marTop w:val="0"/>
      <w:marBottom w:val="0"/>
      <w:divBdr>
        <w:top w:val="none" w:sz="0" w:space="0" w:color="auto"/>
        <w:left w:val="none" w:sz="0" w:space="0" w:color="auto"/>
        <w:bottom w:val="none" w:sz="0" w:space="0" w:color="auto"/>
        <w:right w:val="none" w:sz="0" w:space="0" w:color="auto"/>
      </w:divBdr>
    </w:div>
    <w:div w:id="1064110163">
      <w:bodyDiv w:val="1"/>
      <w:marLeft w:val="0"/>
      <w:marRight w:val="0"/>
      <w:marTop w:val="0"/>
      <w:marBottom w:val="0"/>
      <w:divBdr>
        <w:top w:val="none" w:sz="0" w:space="0" w:color="auto"/>
        <w:left w:val="none" w:sz="0" w:space="0" w:color="auto"/>
        <w:bottom w:val="none" w:sz="0" w:space="0" w:color="auto"/>
        <w:right w:val="none" w:sz="0" w:space="0" w:color="auto"/>
      </w:divBdr>
    </w:div>
    <w:div w:id="1064136810">
      <w:bodyDiv w:val="1"/>
      <w:marLeft w:val="0"/>
      <w:marRight w:val="0"/>
      <w:marTop w:val="0"/>
      <w:marBottom w:val="0"/>
      <w:divBdr>
        <w:top w:val="none" w:sz="0" w:space="0" w:color="auto"/>
        <w:left w:val="none" w:sz="0" w:space="0" w:color="auto"/>
        <w:bottom w:val="none" w:sz="0" w:space="0" w:color="auto"/>
        <w:right w:val="none" w:sz="0" w:space="0" w:color="auto"/>
      </w:divBdr>
    </w:div>
    <w:div w:id="1064179229">
      <w:bodyDiv w:val="1"/>
      <w:marLeft w:val="0"/>
      <w:marRight w:val="0"/>
      <w:marTop w:val="0"/>
      <w:marBottom w:val="0"/>
      <w:divBdr>
        <w:top w:val="none" w:sz="0" w:space="0" w:color="auto"/>
        <w:left w:val="none" w:sz="0" w:space="0" w:color="auto"/>
        <w:bottom w:val="none" w:sz="0" w:space="0" w:color="auto"/>
        <w:right w:val="none" w:sz="0" w:space="0" w:color="auto"/>
      </w:divBdr>
    </w:div>
    <w:div w:id="1064255884">
      <w:bodyDiv w:val="1"/>
      <w:marLeft w:val="0"/>
      <w:marRight w:val="0"/>
      <w:marTop w:val="0"/>
      <w:marBottom w:val="0"/>
      <w:divBdr>
        <w:top w:val="none" w:sz="0" w:space="0" w:color="auto"/>
        <w:left w:val="none" w:sz="0" w:space="0" w:color="auto"/>
        <w:bottom w:val="none" w:sz="0" w:space="0" w:color="auto"/>
        <w:right w:val="none" w:sz="0" w:space="0" w:color="auto"/>
      </w:divBdr>
    </w:div>
    <w:div w:id="1064257533">
      <w:bodyDiv w:val="1"/>
      <w:marLeft w:val="0"/>
      <w:marRight w:val="0"/>
      <w:marTop w:val="0"/>
      <w:marBottom w:val="0"/>
      <w:divBdr>
        <w:top w:val="none" w:sz="0" w:space="0" w:color="auto"/>
        <w:left w:val="none" w:sz="0" w:space="0" w:color="auto"/>
        <w:bottom w:val="none" w:sz="0" w:space="0" w:color="auto"/>
        <w:right w:val="none" w:sz="0" w:space="0" w:color="auto"/>
      </w:divBdr>
    </w:div>
    <w:div w:id="1064571296">
      <w:bodyDiv w:val="1"/>
      <w:marLeft w:val="0"/>
      <w:marRight w:val="0"/>
      <w:marTop w:val="0"/>
      <w:marBottom w:val="0"/>
      <w:divBdr>
        <w:top w:val="none" w:sz="0" w:space="0" w:color="auto"/>
        <w:left w:val="none" w:sz="0" w:space="0" w:color="auto"/>
        <w:bottom w:val="none" w:sz="0" w:space="0" w:color="auto"/>
        <w:right w:val="none" w:sz="0" w:space="0" w:color="auto"/>
      </w:divBdr>
    </w:div>
    <w:div w:id="1064646949">
      <w:bodyDiv w:val="1"/>
      <w:marLeft w:val="0"/>
      <w:marRight w:val="0"/>
      <w:marTop w:val="0"/>
      <w:marBottom w:val="0"/>
      <w:divBdr>
        <w:top w:val="none" w:sz="0" w:space="0" w:color="auto"/>
        <w:left w:val="none" w:sz="0" w:space="0" w:color="auto"/>
        <w:bottom w:val="none" w:sz="0" w:space="0" w:color="auto"/>
        <w:right w:val="none" w:sz="0" w:space="0" w:color="auto"/>
      </w:divBdr>
    </w:div>
    <w:div w:id="1064718792">
      <w:bodyDiv w:val="1"/>
      <w:marLeft w:val="0"/>
      <w:marRight w:val="0"/>
      <w:marTop w:val="0"/>
      <w:marBottom w:val="0"/>
      <w:divBdr>
        <w:top w:val="none" w:sz="0" w:space="0" w:color="auto"/>
        <w:left w:val="none" w:sz="0" w:space="0" w:color="auto"/>
        <w:bottom w:val="none" w:sz="0" w:space="0" w:color="auto"/>
        <w:right w:val="none" w:sz="0" w:space="0" w:color="auto"/>
      </w:divBdr>
    </w:div>
    <w:div w:id="1064720153">
      <w:bodyDiv w:val="1"/>
      <w:marLeft w:val="0"/>
      <w:marRight w:val="0"/>
      <w:marTop w:val="0"/>
      <w:marBottom w:val="0"/>
      <w:divBdr>
        <w:top w:val="none" w:sz="0" w:space="0" w:color="auto"/>
        <w:left w:val="none" w:sz="0" w:space="0" w:color="auto"/>
        <w:bottom w:val="none" w:sz="0" w:space="0" w:color="auto"/>
        <w:right w:val="none" w:sz="0" w:space="0" w:color="auto"/>
      </w:divBdr>
    </w:div>
    <w:div w:id="1064915390">
      <w:bodyDiv w:val="1"/>
      <w:marLeft w:val="0"/>
      <w:marRight w:val="0"/>
      <w:marTop w:val="0"/>
      <w:marBottom w:val="0"/>
      <w:divBdr>
        <w:top w:val="none" w:sz="0" w:space="0" w:color="auto"/>
        <w:left w:val="none" w:sz="0" w:space="0" w:color="auto"/>
        <w:bottom w:val="none" w:sz="0" w:space="0" w:color="auto"/>
        <w:right w:val="none" w:sz="0" w:space="0" w:color="auto"/>
      </w:divBdr>
    </w:div>
    <w:div w:id="1064986035">
      <w:bodyDiv w:val="1"/>
      <w:marLeft w:val="0"/>
      <w:marRight w:val="0"/>
      <w:marTop w:val="0"/>
      <w:marBottom w:val="0"/>
      <w:divBdr>
        <w:top w:val="none" w:sz="0" w:space="0" w:color="auto"/>
        <w:left w:val="none" w:sz="0" w:space="0" w:color="auto"/>
        <w:bottom w:val="none" w:sz="0" w:space="0" w:color="auto"/>
        <w:right w:val="none" w:sz="0" w:space="0" w:color="auto"/>
      </w:divBdr>
    </w:div>
    <w:div w:id="1064988903">
      <w:bodyDiv w:val="1"/>
      <w:marLeft w:val="0"/>
      <w:marRight w:val="0"/>
      <w:marTop w:val="0"/>
      <w:marBottom w:val="0"/>
      <w:divBdr>
        <w:top w:val="none" w:sz="0" w:space="0" w:color="auto"/>
        <w:left w:val="none" w:sz="0" w:space="0" w:color="auto"/>
        <w:bottom w:val="none" w:sz="0" w:space="0" w:color="auto"/>
        <w:right w:val="none" w:sz="0" w:space="0" w:color="auto"/>
      </w:divBdr>
    </w:div>
    <w:div w:id="1065104397">
      <w:bodyDiv w:val="1"/>
      <w:marLeft w:val="0"/>
      <w:marRight w:val="0"/>
      <w:marTop w:val="0"/>
      <w:marBottom w:val="0"/>
      <w:divBdr>
        <w:top w:val="none" w:sz="0" w:space="0" w:color="auto"/>
        <w:left w:val="none" w:sz="0" w:space="0" w:color="auto"/>
        <w:bottom w:val="none" w:sz="0" w:space="0" w:color="auto"/>
        <w:right w:val="none" w:sz="0" w:space="0" w:color="auto"/>
      </w:divBdr>
    </w:div>
    <w:div w:id="1065303260">
      <w:bodyDiv w:val="1"/>
      <w:marLeft w:val="0"/>
      <w:marRight w:val="0"/>
      <w:marTop w:val="0"/>
      <w:marBottom w:val="0"/>
      <w:divBdr>
        <w:top w:val="none" w:sz="0" w:space="0" w:color="auto"/>
        <w:left w:val="none" w:sz="0" w:space="0" w:color="auto"/>
        <w:bottom w:val="none" w:sz="0" w:space="0" w:color="auto"/>
        <w:right w:val="none" w:sz="0" w:space="0" w:color="auto"/>
      </w:divBdr>
    </w:div>
    <w:div w:id="1065377340">
      <w:bodyDiv w:val="1"/>
      <w:marLeft w:val="0"/>
      <w:marRight w:val="0"/>
      <w:marTop w:val="0"/>
      <w:marBottom w:val="0"/>
      <w:divBdr>
        <w:top w:val="none" w:sz="0" w:space="0" w:color="auto"/>
        <w:left w:val="none" w:sz="0" w:space="0" w:color="auto"/>
        <w:bottom w:val="none" w:sz="0" w:space="0" w:color="auto"/>
        <w:right w:val="none" w:sz="0" w:space="0" w:color="auto"/>
      </w:divBdr>
    </w:div>
    <w:div w:id="1065564589">
      <w:bodyDiv w:val="1"/>
      <w:marLeft w:val="0"/>
      <w:marRight w:val="0"/>
      <w:marTop w:val="0"/>
      <w:marBottom w:val="0"/>
      <w:divBdr>
        <w:top w:val="none" w:sz="0" w:space="0" w:color="auto"/>
        <w:left w:val="none" w:sz="0" w:space="0" w:color="auto"/>
        <w:bottom w:val="none" w:sz="0" w:space="0" w:color="auto"/>
        <w:right w:val="none" w:sz="0" w:space="0" w:color="auto"/>
      </w:divBdr>
    </w:div>
    <w:div w:id="1065566065">
      <w:bodyDiv w:val="1"/>
      <w:marLeft w:val="0"/>
      <w:marRight w:val="0"/>
      <w:marTop w:val="0"/>
      <w:marBottom w:val="0"/>
      <w:divBdr>
        <w:top w:val="none" w:sz="0" w:space="0" w:color="auto"/>
        <w:left w:val="none" w:sz="0" w:space="0" w:color="auto"/>
        <w:bottom w:val="none" w:sz="0" w:space="0" w:color="auto"/>
        <w:right w:val="none" w:sz="0" w:space="0" w:color="auto"/>
      </w:divBdr>
    </w:div>
    <w:div w:id="1065877926">
      <w:bodyDiv w:val="1"/>
      <w:marLeft w:val="0"/>
      <w:marRight w:val="0"/>
      <w:marTop w:val="0"/>
      <w:marBottom w:val="0"/>
      <w:divBdr>
        <w:top w:val="none" w:sz="0" w:space="0" w:color="auto"/>
        <w:left w:val="none" w:sz="0" w:space="0" w:color="auto"/>
        <w:bottom w:val="none" w:sz="0" w:space="0" w:color="auto"/>
        <w:right w:val="none" w:sz="0" w:space="0" w:color="auto"/>
      </w:divBdr>
    </w:div>
    <w:div w:id="1065878791">
      <w:bodyDiv w:val="1"/>
      <w:marLeft w:val="0"/>
      <w:marRight w:val="0"/>
      <w:marTop w:val="0"/>
      <w:marBottom w:val="0"/>
      <w:divBdr>
        <w:top w:val="none" w:sz="0" w:space="0" w:color="auto"/>
        <w:left w:val="none" w:sz="0" w:space="0" w:color="auto"/>
        <w:bottom w:val="none" w:sz="0" w:space="0" w:color="auto"/>
        <w:right w:val="none" w:sz="0" w:space="0" w:color="auto"/>
      </w:divBdr>
    </w:div>
    <w:div w:id="1065953452">
      <w:bodyDiv w:val="1"/>
      <w:marLeft w:val="0"/>
      <w:marRight w:val="0"/>
      <w:marTop w:val="0"/>
      <w:marBottom w:val="0"/>
      <w:divBdr>
        <w:top w:val="none" w:sz="0" w:space="0" w:color="auto"/>
        <w:left w:val="none" w:sz="0" w:space="0" w:color="auto"/>
        <w:bottom w:val="none" w:sz="0" w:space="0" w:color="auto"/>
        <w:right w:val="none" w:sz="0" w:space="0" w:color="auto"/>
      </w:divBdr>
    </w:div>
    <w:div w:id="1065958804">
      <w:bodyDiv w:val="1"/>
      <w:marLeft w:val="0"/>
      <w:marRight w:val="0"/>
      <w:marTop w:val="0"/>
      <w:marBottom w:val="0"/>
      <w:divBdr>
        <w:top w:val="none" w:sz="0" w:space="0" w:color="auto"/>
        <w:left w:val="none" w:sz="0" w:space="0" w:color="auto"/>
        <w:bottom w:val="none" w:sz="0" w:space="0" w:color="auto"/>
        <w:right w:val="none" w:sz="0" w:space="0" w:color="auto"/>
      </w:divBdr>
    </w:div>
    <w:div w:id="1066030945">
      <w:bodyDiv w:val="1"/>
      <w:marLeft w:val="0"/>
      <w:marRight w:val="0"/>
      <w:marTop w:val="0"/>
      <w:marBottom w:val="0"/>
      <w:divBdr>
        <w:top w:val="none" w:sz="0" w:space="0" w:color="auto"/>
        <w:left w:val="none" w:sz="0" w:space="0" w:color="auto"/>
        <w:bottom w:val="none" w:sz="0" w:space="0" w:color="auto"/>
        <w:right w:val="none" w:sz="0" w:space="0" w:color="auto"/>
      </w:divBdr>
    </w:div>
    <w:div w:id="1066106237">
      <w:bodyDiv w:val="1"/>
      <w:marLeft w:val="0"/>
      <w:marRight w:val="0"/>
      <w:marTop w:val="0"/>
      <w:marBottom w:val="0"/>
      <w:divBdr>
        <w:top w:val="none" w:sz="0" w:space="0" w:color="auto"/>
        <w:left w:val="none" w:sz="0" w:space="0" w:color="auto"/>
        <w:bottom w:val="none" w:sz="0" w:space="0" w:color="auto"/>
        <w:right w:val="none" w:sz="0" w:space="0" w:color="auto"/>
      </w:divBdr>
    </w:div>
    <w:div w:id="1066218870">
      <w:bodyDiv w:val="1"/>
      <w:marLeft w:val="0"/>
      <w:marRight w:val="0"/>
      <w:marTop w:val="0"/>
      <w:marBottom w:val="0"/>
      <w:divBdr>
        <w:top w:val="none" w:sz="0" w:space="0" w:color="auto"/>
        <w:left w:val="none" w:sz="0" w:space="0" w:color="auto"/>
        <w:bottom w:val="none" w:sz="0" w:space="0" w:color="auto"/>
        <w:right w:val="none" w:sz="0" w:space="0" w:color="auto"/>
      </w:divBdr>
    </w:div>
    <w:div w:id="1066300052">
      <w:bodyDiv w:val="1"/>
      <w:marLeft w:val="0"/>
      <w:marRight w:val="0"/>
      <w:marTop w:val="0"/>
      <w:marBottom w:val="0"/>
      <w:divBdr>
        <w:top w:val="none" w:sz="0" w:space="0" w:color="auto"/>
        <w:left w:val="none" w:sz="0" w:space="0" w:color="auto"/>
        <w:bottom w:val="none" w:sz="0" w:space="0" w:color="auto"/>
        <w:right w:val="none" w:sz="0" w:space="0" w:color="auto"/>
      </w:divBdr>
    </w:div>
    <w:div w:id="1066341601">
      <w:bodyDiv w:val="1"/>
      <w:marLeft w:val="0"/>
      <w:marRight w:val="0"/>
      <w:marTop w:val="0"/>
      <w:marBottom w:val="0"/>
      <w:divBdr>
        <w:top w:val="none" w:sz="0" w:space="0" w:color="auto"/>
        <w:left w:val="none" w:sz="0" w:space="0" w:color="auto"/>
        <w:bottom w:val="none" w:sz="0" w:space="0" w:color="auto"/>
        <w:right w:val="none" w:sz="0" w:space="0" w:color="auto"/>
      </w:divBdr>
    </w:div>
    <w:div w:id="1066492025">
      <w:bodyDiv w:val="1"/>
      <w:marLeft w:val="0"/>
      <w:marRight w:val="0"/>
      <w:marTop w:val="0"/>
      <w:marBottom w:val="0"/>
      <w:divBdr>
        <w:top w:val="none" w:sz="0" w:space="0" w:color="auto"/>
        <w:left w:val="none" w:sz="0" w:space="0" w:color="auto"/>
        <w:bottom w:val="none" w:sz="0" w:space="0" w:color="auto"/>
        <w:right w:val="none" w:sz="0" w:space="0" w:color="auto"/>
      </w:divBdr>
    </w:div>
    <w:div w:id="1066494531">
      <w:bodyDiv w:val="1"/>
      <w:marLeft w:val="0"/>
      <w:marRight w:val="0"/>
      <w:marTop w:val="0"/>
      <w:marBottom w:val="0"/>
      <w:divBdr>
        <w:top w:val="none" w:sz="0" w:space="0" w:color="auto"/>
        <w:left w:val="none" w:sz="0" w:space="0" w:color="auto"/>
        <w:bottom w:val="none" w:sz="0" w:space="0" w:color="auto"/>
        <w:right w:val="none" w:sz="0" w:space="0" w:color="auto"/>
      </w:divBdr>
    </w:div>
    <w:div w:id="1066495780">
      <w:bodyDiv w:val="1"/>
      <w:marLeft w:val="0"/>
      <w:marRight w:val="0"/>
      <w:marTop w:val="0"/>
      <w:marBottom w:val="0"/>
      <w:divBdr>
        <w:top w:val="none" w:sz="0" w:space="0" w:color="auto"/>
        <w:left w:val="none" w:sz="0" w:space="0" w:color="auto"/>
        <w:bottom w:val="none" w:sz="0" w:space="0" w:color="auto"/>
        <w:right w:val="none" w:sz="0" w:space="0" w:color="auto"/>
      </w:divBdr>
    </w:div>
    <w:div w:id="1066534460">
      <w:bodyDiv w:val="1"/>
      <w:marLeft w:val="0"/>
      <w:marRight w:val="0"/>
      <w:marTop w:val="0"/>
      <w:marBottom w:val="0"/>
      <w:divBdr>
        <w:top w:val="none" w:sz="0" w:space="0" w:color="auto"/>
        <w:left w:val="none" w:sz="0" w:space="0" w:color="auto"/>
        <w:bottom w:val="none" w:sz="0" w:space="0" w:color="auto"/>
        <w:right w:val="none" w:sz="0" w:space="0" w:color="auto"/>
      </w:divBdr>
    </w:div>
    <w:div w:id="1066538052">
      <w:bodyDiv w:val="1"/>
      <w:marLeft w:val="0"/>
      <w:marRight w:val="0"/>
      <w:marTop w:val="0"/>
      <w:marBottom w:val="0"/>
      <w:divBdr>
        <w:top w:val="none" w:sz="0" w:space="0" w:color="auto"/>
        <w:left w:val="none" w:sz="0" w:space="0" w:color="auto"/>
        <w:bottom w:val="none" w:sz="0" w:space="0" w:color="auto"/>
        <w:right w:val="none" w:sz="0" w:space="0" w:color="auto"/>
      </w:divBdr>
    </w:div>
    <w:div w:id="1066732391">
      <w:bodyDiv w:val="1"/>
      <w:marLeft w:val="0"/>
      <w:marRight w:val="0"/>
      <w:marTop w:val="0"/>
      <w:marBottom w:val="0"/>
      <w:divBdr>
        <w:top w:val="none" w:sz="0" w:space="0" w:color="auto"/>
        <w:left w:val="none" w:sz="0" w:space="0" w:color="auto"/>
        <w:bottom w:val="none" w:sz="0" w:space="0" w:color="auto"/>
        <w:right w:val="none" w:sz="0" w:space="0" w:color="auto"/>
      </w:divBdr>
    </w:div>
    <w:div w:id="1066802348">
      <w:bodyDiv w:val="1"/>
      <w:marLeft w:val="0"/>
      <w:marRight w:val="0"/>
      <w:marTop w:val="0"/>
      <w:marBottom w:val="0"/>
      <w:divBdr>
        <w:top w:val="none" w:sz="0" w:space="0" w:color="auto"/>
        <w:left w:val="none" w:sz="0" w:space="0" w:color="auto"/>
        <w:bottom w:val="none" w:sz="0" w:space="0" w:color="auto"/>
        <w:right w:val="none" w:sz="0" w:space="0" w:color="auto"/>
      </w:divBdr>
    </w:div>
    <w:div w:id="1066877421">
      <w:bodyDiv w:val="1"/>
      <w:marLeft w:val="0"/>
      <w:marRight w:val="0"/>
      <w:marTop w:val="0"/>
      <w:marBottom w:val="0"/>
      <w:divBdr>
        <w:top w:val="none" w:sz="0" w:space="0" w:color="auto"/>
        <w:left w:val="none" w:sz="0" w:space="0" w:color="auto"/>
        <w:bottom w:val="none" w:sz="0" w:space="0" w:color="auto"/>
        <w:right w:val="none" w:sz="0" w:space="0" w:color="auto"/>
      </w:divBdr>
    </w:div>
    <w:div w:id="1066880682">
      <w:bodyDiv w:val="1"/>
      <w:marLeft w:val="0"/>
      <w:marRight w:val="0"/>
      <w:marTop w:val="0"/>
      <w:marBottom w:val="0"/>
      <w:divBdr>
        <w:top w:val="none" w:sz="0" w:space="0" w:color="auto"/>
        <w:left w:val="none" w:sz="0" w:space="0" w:color="auto"/>
        <w:bottom w:val="none" w:sz="0" w:space="0" w:color="auto"/>
        <w:right w:val="none" w:sz="0" w:space="0" w:color="auto"/>
      </w:divBdr>
    </w:div>
    <w:div w:id="1066955367">
      <w:bodyDiv w:val="1"/>
      <w:marLeft w:val="0"/>
      <w:marRight w:val="0"/>
      <w:marTop w:val="0"/>
      <w:marBottom w:val="0"/>
      <w:divBdr>
        <w:top w:val="none" w:sz="0" w:space="0" w:color="auto"/>
        <w:left w:val="none" w:sz="0" w:space="0" w:color="auto"/>
        <w:bottom w:val="none" w:sz="0" w:space="0" w:color="auto"/>
        <w:right w:val="none" w:sz="0" w:space="0" w:color="auto"/>
      </w:divBdr>
    </w:div>
    <w:div w:id="1066993051">
      <w:bodyDiv w:val="1"/>
      <w:marLeft w:val="0"/>
      <w:marRight w:val="0"/>
      <w:marTop w:val="0"/>
      <w:marBottom w:val="0"/>
      <w:divBdr>
        <w:top w:val="none" w:sz="0" w:space="0" w:color="auto"/>
        <w:left w:val="none" w:sz="0" w:space="0" w:color="auto"/>
        <w:bottom w:val="none" w:sz="0" w:space="0" w:color="auto"/>
        <w:right w:val="none" w:sz="0" w:space="0" w:color="auto"/>
      </w:divBdr>
    </w:div>
    <w:div w:id="1066995323">
      <w:bodyDiv w:val="1"/>
      <w:marLeft w:val="0"/>
      <w:marRight w:val="0"/>
      <w:marTop w:val="0"/>
      <w:marBottom w:val="0"/>
      <w:divBdr>
        <w:top w:val="none" w:sz="0" w:space="0" w:color="auto"/>
        <w:left w:val="none" w:sz="0" w:space="0" w:color="auto"/>
        <w:bottom w:val="none" w:sz="0" w:space="0" w:color="auto"/>
        <w:right w:val="none" w:sz="0" w:space="0" w:color="auto"/>
      </w:divBdr>
    </w:div>
    <w:div w:id="1066999606">
      <w:bodyDiv w:val="1"/>
      <w:marLeft w:val="0"/>
      <w:marRight w:val="0"/>
      <w:marTop w:val="0"/>
      <w:marBottom w:val="0"/>
      <w:divBdr>
        <w:top w:val="none" w:sz="0" w:space="0" w:color="auto"/>
        <w:left w:val="none" w:sz="0" w:space="0" w:color="auto"/>
        <w:bottom w:val="none" w:sz="0" w:space="0" w:color="auto"/>
        <w:right w:val="none" w:sz="0" w:space="0" w:color="auto"/>
      </w:divBdr>
    </w:div>
    <w:div w:id="1067070669">
      <w:bodyDiv w:val="1"/>
      <w:marLeft w:val="0"/>
      <w:marRight w:val="0"/>
      <w:marTop w:val="0"/>
      <w:marBottom w:val="0"/>
      <w:divBdr>
        <w:top w:val="none" w:sz="0" w:space="0" w:color="auto"/>
        <w:left w:val="none" w:sz="0" w:space="0" w:color="auto"/>
        <w:bottom w:val="none" w:sz="0" w:space="0" w:color="auto"/>
        <w:right w:val="none" w:sz="0" w:space="0" w:color="auto"/>
      </w:divBdr>
    </w:div>
    <w:div w:id="1067143080">
      <w:bodyDiv w:val="1"/>
      <w:marLeft w:val="0"/>
      <w:marRight w:val="0"/>
      <w:marTop w:val="0"/>
      <w:marBottom w:val="0"/>
      <w:divBdr>
        <w:top w:val="none" w:sz="0" w:space="0" w:color="auto"/>
        <w:left w:val="none" w:sz="0" w:space="0" w:color="auto"/>
        <w:bottom w:val="none" w:sz="0" w:space="0" w:color="auto"/>
        <w:right w:val="none" w:sz="0" w:space="0" w:color="auto"/>
      </w:divBdr>
    </w:div>
    <w:div w:id="1067192891">
      <w:bodyDiv w:val="1"/>
      <w:marLeft w:val="0"/>
      <w:marRight w:val="0"/>
      <w:marTop w:val="0"/>
      <w:marBottom w:val="0"/>
      <w:divBdr>
        <w:top w:val="none" w:sz="0" w:space="0" w:color="auto"/>
        <w:left w:val="none" w:sz="0" w:space="0" w:color="auto"/>
        <w:bottom w:val="none" w:sz="0" w:space="0" w:color="auto"/>
        <w:right w:val="none" w:sz="0" w:space="0" w:color="auto"/>
      </w:divBdr>
    </w:div>
    <w:div w:id="1067462287">
      <w:bodyDiv w:val="1"/>
      <w:marLeft w:val="0"/>
      <w:marRight w:val="0"/>
      <w:marTop w:val="0"/>
      <w:marBottom w:val="0"/>
      <w:divBdr>
        <w:top w:val="none" w:sz="0" w:space="0" w:color="auto"/>
        <w:left w:val="none" w:sz="0" w:space="0" w:color="auto"/>
        <w:bottom w:val="none" w:sz="0" w:space="0" w:color="auto"/>
        <w:right w:val="none" w:sz="0" w:space="0" w:color="auto"/>
      </w:divBdr>
    </w:div>
    <w:div w:id="1067532364">
      <w:bodyDiv w:val="1"/>
      <w:marLeft w:val="0"/>
      <w:marRight w:val="0"/>
      <w:marTop w:val="0"/>
      <w:marBottom w:val="0"/>
      <w:divBdr>
        <w:top w:val="none" w:sz="0" w:space="0" w:color="auto"/>
        <w:left w:val="none" w:sz="0" w:space="0" w:color="auto"/>
        <w:bottom w:val="none" w:sz="0" w:space="0" w:color="auto"/>
        <w:right w:val="none" w:sz="0" w:space="0" w:color="auto"/>
      </w:divBdr>
    </w:div>
    <w:div w:id="1067604080">
      <w:bodyDiv w:val="1"/>
      <w:marLeft w:val="0"/>
      <w:marRight w:val="0"/>
      <w:marTop w:val="0"/>
      <w:marBottom w:val="0"/>
      <w:divBdr>
        <w:top w:val="none" w:sz="0" w:space="0" w:color="auto"/>
        <w:left w:val="none" w:sz="0" w:space="0" w:color="auto"/>
        <w:bottom w:val="none" w:sz="0" w:space="0" w:color="auto"/>
        <w:right w:val="none" w:sz="0" w:space="0" w:color="auto"/>
      </w:divBdr>
    </w:div>
    <w:div w:id="1067611200">
      <w:bodyDiv w:val="1"/>
      <w:marLeft w:val="0"/>
      <w:marRight w:val="0"/>
      <w:marTop w:val="0"/>
      <w:marBottom w:val="0"/>
      <w:divBdr>
        <w:top w:val="none" w:sz="0" w:space="0" w:color="auto"/>
        <w:left w:val="none" w:sz="0" w:space="0" w:color="auto"/>
        <w:bottom w:val="none" w:sz="0" w:space="0" w:color="auto"/>
        <w:right w:val="none" w:sz="0" w:space="0" w:color="auto"/>
      </w:divBdr>
    </w:div>
    <w:div w:id="1067649460">
      <w:bodyDiv w:val="1"/>
      <w:marLeft w:val="0"/>
      <w:marRight w:val="0"/>
      <w:marTop w:val="0"/>
      <w:marBottom w:val="0"/>
      <w:divBdr>
        <w:top w:val="none" w:sz="0" w:space="0" w:color="auto"/>
        <w:left w:val="none" w:sz="0" w:space="0" w:color="auto"/>
        <w:bottom w:val="none" w:sz="0" w:space="0" w:color="auto"/>
        <w:right w:val="none" w:sz="0" w:space="0" w:color="auto"/>
      </w:divBdr>
    </w:div>
    <w:div w:id="1067999648">
      <w:bodyDiv w:val="1"/>
      <w:marLeft w:val="0"/>
      <w:marRight w:val="0"/>
      <w:marTop w:val="0"/>
      <w:marBottom w:val="0"/>
      <w:divBdr>
        <w:top w:val="none" w:sz="0" w:space="0" w:color="auto"/>
        <w:left w:val="none" w:sz="0" w:space="0" w:color="auto"/>
        <w:bottom w:val="none" w:sz="0" w:space="0" w:color="auto"/>
        <w:right w:val="none" w:sz="0" w:space="0" w:color="auto"/>
      </w:divBdr>
    </w:div>
    <w:div w:id="1068000047">
      <w:bodyDiv w:val="1"/>
      <w:marLeft w:val="0"/>
      <w:marRight w:val="0"/>
      <w:marTop w:val="0"/>
      <w:marBottom w:val="0"/>
      <w:divBdr>
        <w:top w:val="none" w:sz="0" w:space="0" w:color="auto"/>
        <w:left w:val="none" w:sz="0" w:space="0" w:color="auto"/>
        <w:bottom w:val="none" w:sz="0" w:space="0" w:color="auto"/>
        <w:right w:val="none" w:sz="0" w:space="0" w:color="auto"/>
      </w:divBdr>
    </w:div>
    <w:div w:id="1068000168">
      <w:bodyDiv w:val="1"/>
      <w:marLeft w:val="0"/>
      <w:marRight w:val="0"/>
      <w:marTop w:val="0"/>
      <w:marBottom w:val="0"/>
      <w:divBdr>
        <w:top w:val="none" w:sz="0" w:space="0" w:color="auto"/>
        <w:left w:val="none" w:sz="0" w:space="0" w:color="auto"/>
        <w:bottom w:val="none" w:sz="0" w:space="0" w:color="auto"/>
        <w:right w:val="none" w:sz="0" w:space="0" w:color="auto"/>
      </w:divBdr>
    </w:div>
    <w:div w:id="1068187515">
      <w:bodyDiv w:val="1"/>
      <w:marLeft w:val="0"/>
      <w:marRight w:val="0"/>
      <w:marTop w:val="0"/>
      <w:marBottom w:val="0"/>
      <w:divBdr>
        <w:top w:val="none" w:sz="0" w:space="0" w:color="auto"/>
        <w:left w:val="none" w:sz="0" w:space="0" w:color="auto"/>
        <w:bottom w:val="none" w:sz="0" w:space="0" w:color="auto"/>
        <w:right w:val="none" w:sz="0" w:space="0" w:color="auto"/>
      </w:divBdr>
    </w:div>
    <w:div w:id="1068193309">
      <w:bodyDiv w:val="1"/>
      <w:marLeft w:val="0"/>
      <w:marRight w:val="0"/>
      <w:marTop w:val="0"/>
      <w:marBottom w:val="0"/>
      <w:divBdr>
        <w:top w:val="none" w:sz="0" w:space="0" w:color="auto"/>
        <w:left w:val="none" w:sz="0" w:space="0" w:color="auto"/>
        <w:bottom w:val="none" w:sz="0" w:space="0" w:color="auto"/>
        <w:right w:val="none" w:sz="0" w:space="0" w:color="auto"/>
      </w:divBdr>
    </w:div>
    <w:div w:id="1068193363">
      <w:bodyDiv w:val="1"/>
      <w:marLeft w:val="0"/>
      <w:marRight w:val="0"/>
      <w:marTop w:val="0"/>
      <w:marBottom w:val="0"/>
      <w:divBdr>
        <w:top w:val="none" w:sz="0" w:space="0" w:color="auto"/>
        <w:left w:val="none" w:sz="0" w:space="0" w:color="auto"/>
        <w:bottom w:val="none" w:sz="0" w:space="0" w:color="auto"/>
        <w:right w:val="none" w:sz="0" w:space="0" w:color="auto"/>
      </w:divBdr>
    </w:div>
    <w:div w:id="1068308812">
      <w:bodyDiv w:val="1"/>
      <w:marLeft w:val="0"/>
      <w:marRight w:val="0"/>
      <w:marTop w:val="0"/>
      <w:marBottom w:val="0"/>
      <w:divBdr>
        <w:top w:val="none" w:sz="0" w:space="0" w:color="auto"/>
        <w:left w:val="none" w:sz="0" w:space="0" w:color="auto"/>
        <w:bottom w:val="none" w:sz="0" w:space="0" w:color="auto"/>
        <w:right w:val="none" w:sz="0" w:space="0" w:color="auto"/>
      </w:divBdr>
    </w:div>
    <w:div w:id="1068378468">
      <w:bodyDiv w:val="1"/>
      <w:marLeft w:val="0"/>
      <w:marRight w:val="0"/>
      <w:marTop w:val="0"/>
      <w:marBottom w:val="0"/>
      <w:divBdr>
        <w:top w:val="none" w:sz="0" w:space="0" w:color="auto"/>
        <w:left w:val="none" w:sz="0" w:space="0" w:color="auto"/>
        <w:bottom w:val="none" w:sz="0" w:space="0" w:color="auto"/>
        <w:right w:val="none" w:sz="0" w:space="0" w:color="auto"/>
      </w:divBdr>
    </w:div>
    <w:div w:id="1068385356">
      <w:bodyDiv w:val="1"/>
      <w:marLeft w:val="0"/>
      <w:marRight w:val="0"/>
      <w:marTop w:val="0"/>
      <w:marBottom w:val="0"/>
      <w:divBdr>
        <w:top w:val="none" w:sz="0" w:space="0" w:color="auto"/>
        <w:left w:val="none" w:sz="0" w:space="0" w:color="auto"/>
        <w:bottom w:val="none" w:sz="0" w:space="0" w:color="auto"/>
        <w:right w:val="none" w:sz="0" w:space="0" w:color="auto"/>
      </w:divBdr>
    </w:div>
    <w:div w:id="1068386074">
      <w:bodyDiv w:val="1"/>
      <w:marLeft w:val="0"/>
      <w:marRight w:val="0"/>
      <w:marTop w:val="0"/>
      <w:marBottom w:val="0"/>
      <w:divBdr>
        <w:top w:val="none" w:sz="0" w:space="0" w:color="auto"/>
        <w:left w:val="none" w:sz="0" w:space="0" w:color="auto"/>
        <w:bottom w:val="none" w:sz="0" w:space="0" w:color="auto"/>
        <w:right w:val="none" w:sz="0" w:space="0" w:color="auto"/>
      </w:divBdr>
    </w:div>
    <w:div w:id="1068573633">
      <w:bodyDiv w:val="1"/>
      <w:marLeft w:val="0"/>
      <w:marRight w:val="0"/>
      <w:marTop w:val="0"/>
      <w:marBottom w:val="0"/>
      <w:divBdr>
        <w:top w:val="none" w:sz="0" w:space="0" w:color="auto"/>
        <w:left w:val="none" w:sz="0" w:space="0" w:color="auto"/>
        <w:bottom w:val="none" w:sz="0" w:space="0" w:color="auto"/>
        <w:right w:val="none" w:sz="0" w:space="0" w:color="auto"/>
      </w:divBdr>
    </w:div>
    <w:div w:id="1068577027">
      <w:bodyDiv w:val="1"/>
      <w:marLeft w:val="0"/>
      <w:marRight w:val="0"/>
      <w:marTop w:val="0"/>
      <w:marBottom w:val="0"/>
      <w:divBdr>
        <w:top w:val="none" w:sz="0" w:space="0" w:color="auto"/>
        <w:left w:val="none" w:sz="0" w:space="0" w:color="auto"/>
        <w:bottom w:val="none" w:sz="0" w:space="0" w:color="auto"/>
        <w:right w:val="none" w:sz="0" w:space="0" w:color="auto"/>
      </w:divBdr>
    </w:div>
    <w:div w:id="1068723623">
      <w:bodyDiv w:val="1"/>
      <w:marLeft w:val="0"/>
      <w:marRight w:val="0"/>
      <w:marTop w:val="0"/>
      <w:marBottom w:val="0"/>
      <w:divBdr>
        <w:top w:val="none" w:sz="0" w:space="0" w:color="auto"/>
        <w:left w:val="none" w:sz="0" w:space="0" w:color="auto"/>
        <w:bottom w:val="none" w:sz="0" w:space="0" w:color="auto"/>
        <w:right w:val="none" w:sz="0" w:space="0" w:color="auto"/>
      </w:divBdr>
    </w:div>
    <w:div w:id="1068725333">
      <w:bodyDiv w:val="1"/>
      <w:marLeft w:val="0"/>
      <w:marRight w:val="0"/>
      <w:marTop w:val="0"/>
      <w:marBottom w:val="0"/>
      <w:divBdr>
        <w:top w:val="none" w:sz="0" w:space="0" w:color="auto"/>
        <w:left w:val="none" w:sz="0" w:space="0" w:color="auto"/>
        <w:bottom w:val="none" w:sz="0" w:space="0" w:color="auto"/>
        <w:right w:val="none" w:sz="0" w:space="0" w:color="auto"/>
      </w:divBdr>
    </w:div>
    <w:div w:id="1068841782">
      <w:bodyDiv w:val="1"/>
      <w:marLeft w:val="0"/>
      <w:marRight w:val="0"/>
      <w:marTop w:val="0"/>
      <w:marBottom w:val="0"/>
      <w:divBdr>
        <w:top w:val="none" w:sz="0" w:space="0" w:color="auto"/>
        <w:left w:val="none" w:sz="0" w:space="0" w:color="auto"/>
        <w:bottom w:val="none" w:sz="0" w:space="0" w:color="auto"/>
        <w:right w:val="none" w:sz="0" w:space="0" w:color="auto"/>
      </w:divBdr>
    </w:div>
    <w:div w:id="1068844918">
      <w:bodyDiv w:val="1"/>
      <w:marLeft w:val="0"/>
      <w:marRight w:val="0"/>
      <w:marTop w:val="0"/>
      <w:marBottom w:val="0"/>
      <w:divBdr>
        <w:top w:val="none" w:sz="0" w:space="0" w:color="auto"/>
        <w:left w:val="none" w:sz="0" w:space="0" w:color="auto"/>
        <w:bottom w:val="none" w:sz="0" w:space="0" w:color="auto"/>
        <w:right w:val="none" w:sz="0" w:space="0" w:color="auto"/>
      </w:divBdr>
    </w:div>
    <w:div w:id="1068920540">
      <w:bodyDiv w:val="1"/>
      <w:marLeft w:val="0"/>
      <w:marRight w:val="0"/>
      <w:marTop w:val="0"/>
      <w:marBottom w:val="0"/>
      <w:divBdr>
        <w:top w:val="none" w:sz="0" w:space="0" w:color="auto"/>
        <w:left w:val="none" w:sz="0" w:space="0" w:color="auto"/>
        <w:bottom w:val="none" w:sz="0" w:space="0" w:color="auto"/>
        <w:right w:val="none" w:sz="0" w:space="0" w:color="auto"/>
      </w:divBdr>
    </w:div>
    <w:div w:id="1068959726">
      <w:bodyDiv w:val="1"/>
      <w:marLeft w:val="0"/>
      <w:marRight w:val="0"/>
      <w:marTop w:val="0"/>
      <w:marBottom w:val="0"/>
      <w:divBdr>
        <w:top w:val="none" w:sz="0" w:space="0" w:color="auto"/>
        <w:left w:val="none" w:sz="0" w:space="0" w:color="auto"/>
        <w:bottom w:val="none" w:sz="0" w:space="0" w:color="auto"/>
        <w:right w:val="none" w:sz="0" w:space="0" w:color="auto"/>
      </w:divBdr>
    </w:div>
    <w:div w:id="1068964518">
      <w:bodyDiv w:val="1"/>
      <w:marLeft w:val="0"/>
      <w:marRight w:val="0"/>
      <w:marTop w:val="0"/>
      <w:marBottom w:val="0"/>
      <w:divBdr>
        <w:top w:val="none" w:sz="0" w:space="0" w:color="auto"/>
        <w:left w:val="none" w:sz="0" w:space="0" w:color="auto"/>
        <w:bottom w:val="none" w:sz="0" w:space="0" w:color="auto"/>
        <w:right w:val="none" w:sz="0" w:space="0" w:color="auto"/>
      </w:divBdr>
    </w:div>
    <w:div w:id="1069112524">
      <w:bodyDiv w:val="1"/>
      <w:marLeft w:val="0"/>
      <w:marRight w:val="0"/>
      <w:marTop w:val="0"/>
      <w:marBottom w:val="0"/>
      <w:divBdr>
        <w:top w:val="none" w:sz="0" w:space="0" w:color="auto"/>
        <w:left w:val="none" w:sz="0" w:space="0" w:color="auto"/>
        <w:bottom w:val="none" w:sz="0" w:space="0" w:color="auto"/>
        <w:right w:val="none" w:sz="0" w:space="0" w:color="auto"/>
      </w:divBdr>
    </w:div>
    <w:div w:id="1069155235">
      <w:bodyDiv w:val="1"/>
      <w:marLeft w:val="0"/>
      <w:marRight w:val="0"/>
      <w:marTop w:val="0"/>
      <w:marBottom w:val="0"/>
      <w:divBdr>
        <w:top w:val="none" w:sz="0" w:space="0" w:color="auto"/>
        <w:left w:val="none" w:sz="0" w:space="0" w:color="auto"/>
        <w:bottom w:val="none" w:sz="0" w:space="0" w:color="auto"/>
        <w:right w:val="none" w:sz="0" w:space="0" w:color="auto"/>
      </w:divBdr>
    </w:div>
    <w:div w:id="1069231337">
      <w:bodyDiv w:val="1"/>
      <w:marLeft w:val="0"/>
      <w:marRight w:val="0"/>
      <w:marTop w:val="0"/>
      <w:marBottom w:val="0"/>
      <w:divBdr>
        <w:top w:val="none" w:sz="0" w:space="0" w:color="auto"/>
        <w:left w:val="none" w:sz="0" w:space="0" w:color="auto"/>
        <w:bottom w:val="none" w:sz="0" w:space="0" w:color="auto"/>
        <w:right w:val="none" w:sz="0" w:space="0" w:color="auto"/>
      </w:divBdr>
    </w:div>
    <w:div w:id="1069382800">
      <w:bodyDiv w:val="1"/>
      <w:marLeft w:val="0"/>
      <w:marRight w:val="0"/>
      <w:marTop w:val="0"/>
      <w:marBottom w:val="0"/>
      <w:divBdr>
        <w:top w:val="none" w:sz="0" w:space="0" w:color="auto"/>
        <w:left w:val="none" w:sz="0" w:space="0" w:color="auto"/>
        <w:bottom w:val="none" w:sz="0" w:space="0" w:color="auto"/>
        <w:right w:val="none" w:sz="0" w:space="0" w:color="auto"/>
      </w:divBdr>
    </w:div>
    <w:div w:id="1069573904">
      <w:bodyDiv w:val="1"/>
      <w:marLeft w:val="0"/>
      <w:marRight w:val="0"/>
      <w:marTop w:val="0"/>
      <w:marBottom w:val="0"/>
      <w:divBdr>
        <w:top w:val="none" w:sz="0" w:space="0" w:color="auto"/>
        <w:left w:val="none" w:sz="0" w:space="0" w:color="auto"/>
        <w:bottom w:val="none" w:sz="0" w:space="0" w:color="auto"/>
        <w:right w:val="none" w:sz="0" w:space="0" w:color="auto"/>
      </w:divBdr>
    </w:div>
    <w:div w:id="1069688103">
      <w:bodyDiv w:val="1"/>
      <w:marLeft w:val="0"/>
      <w:marRight w:val="0"/>
      <w:marTop w:val="0"/>
      <w:marBottom w:val="0"/>
      <w:divBdr>
        <w:top w:val="none" w:sz="0" w:space="0" w:color="auto"/>
        <w:left w:val="none" w:sz="0" w:space="0" w:color="auto"/>
        <w:bottom w:val="none" w:sz="0" w:space="0" w:color="auto"/>
        <w:right w:val="none" w:sz="0" w:space="0" w:color="auto"/>
      </w:divBdr>
    </w:div>
    <w:div w:id="1069696526">
      <w:bodyDiv w:val="1"/>
      <w:marLeft w:val="0"/>
      <w:marRight w:val="0"/>
      <w:marTop w:val="0"/>
      <w:marBottom w:val="0"/>
      <w:divBdr>
        <w:top w:val="none" w:sz="0" w:space="0" w:color="auto"/>
        <w:left w:val="none" w:sz="0" w:space="0" w:color="auto"/>
        <w:bottom w:val="none" w:sz="0" w:space="0" w:color="auto"/>
        <w:right w:val="none" w:sz="0" w:space="0" w:color="auto"/>
      </w:divBdr>
    </w:div>
    <w:div w:id="1069814629">
      <w:bodyDiv w:val="1"/>
      <w:marLeft w:val="0"/>
      <w:marRight w:val="0"/>
      <w:marTop w:val="0"/>
      <w:marBottom w:val="0"/>
      <w:divBdr>
        <w:top w:val="none" w:sz="0" w:space="0" w:color="auto"/>
        <w:left w:val="none" w:sz="0" w:space="0" w:color="auto"/>
        <w:bottom w:val="none" w:sz="0" w:space="0" w:color="auto"/>
        <w:right w:val="none" w:sz="0" w:space="0" w:color="auto"/>
      </w:divBdr>
    </w:div>
    <w:div w:id="1069881045">
      <w:bodyDiv w:val="1"/>
      <w:marLeft w:val="0"/>
      <w:marRight w:val="0"/>
      <w:marTop w:val="0"/>
      <w:marBottom w:val="0"/>
      <w:divBdr>
        <w:top w:val="none" w:sz="0" w:space="0" w:color="auto"/>
        <w:left w:val="none" w:sz="0" w:space="0" w:color="auto"/>
        <w:bottom w:val="none" w:sz="0" w:space="0" w:color="auto"/>
        <w:right w:val="none" w:sz="0" w:space="0" w:color="auto"/>
      </w:divBdr>
    </w:div>
    <w:div w:id="1069884387">
      <w:bodyDiv w:val="1"/>
      <w:marLeft w:val="0"/>
      <w:marRight w:val="0"/>
      <w:marTop w:val="0"/>
      <w:marBottom w:val="0"/>
      <w:divBdr>
        <w:top w:val="none" w:sz="0" w:space="0" w:color="auto"/>
        <w:left w:val="none" w:sz="0" w:space="0" w:color="auto"/>
        <w:bottom w:val="none" w:sz="0" w:space="0" w:color="auto"/>
        <w:right w:val="none" w:sz="0" w:space="0" w:color="auto"/>
      </w:divBdr>
    </w:div>
    <w:div w:id="1069963556">
      <w:bodyDiv w:val="1"/>
      <w:marLeft w:val="0"/>
      <w:marRight w:val="0"/>
      <w:marTop w:val="0"/>
      <w:marBottom w:val="0"/>
      <w:divBdr>
        <w:top w:val="none" w:sz="0" w:space="0" w:color="auto"/>
        <w:left w:val="none" w:sz="0" w:space="0" w:color="auto"/>
        <w:bottom w:val="none" w:sz="0" w:space="0" w:color="auto"/>
        <w:right w:val="none" w:sz="0" w:space="0" w:color="auto"/>
      </w:divBdr>
    </w:div>
    <w:div w:id="1070225863">
      <w:bodyDiv w:val="1"/>
      <w:marLeft w:val="0"/>
      <w:marRight w:val="0"/>
      <w:marTop w:val="0"/>
      <w:marBottom w:val="0"/>
      <w:divBdr>
        <w:top w:val="none" w:sz="0" w:space="0" w:color="auto"/>
        <w:left w:val="none" w:sz="0" w:space="0" w:color="auto"/>
        <w:bottom w:val="none" w:sz="0" w:space="0" w:color="auto"/>
        <w:right w:val="none" w:sz="0" w:space="0" w:color="auto"/>
      </w:divBdr>
    </w:div>
    <w:div w:id="1070227525">
      <w:bodyDiv w:val="1"/>
      <w:marLeft w:val="0"/>
      <w:marRight w:val="0"/>
      <w:marTop w:val="0"/>
      <w:marBottom w:val="0"/>
      <w:divBdr>
        <w:top w:val="none" w:sz="0" w:space="0" w:color="auto"/>
        <w:left w:val="none" w:sz="0" w:space="0" w:color="auto"/>
        <w:bottom w:val="none" w:sz="0" w:space="0" w:color="auto"/>
        <w:right w:val="none" w:sz="0" w:space="0" w:color="auto"/>
      </w:divBdr>
    </w:div>
    <w:div w:id="1070231844">
      <w:bodyDiv w:val="1"/>
      <w:marLeft w:val="0"/>
      <w:marRight w:val="0"/>
      <w:marTop w:val="0"/>
      <w:marBottom w:val="0"/>
      <w:divBdr>
        <w:top w:val="none" w:sz="0" w:space="0" w:color="auto"/>
        <w:left w:val="none" w:sz="0" w:space="0" w:color="auto"/>
        <w:bottom w:val="none" w:sz="0" w:space="0" w:color="auto"/>
        <w:right w:val="none" w:sz="0" w:space="0" w:color="auto"/>
      </w:divBdr>
    </w:div>
    <w:div w:id="1070269038">
      <w:bodyDiv w:val="1"/>
      <w:marLeft w:val="0"/>
      <w:marRight w:val="0"/>
      <w:marTop w:val="0"/>
      <w:marBottom w:val="0"/>
      <w:divBdr>
        <w:top w:val="none" w:sz="0" w:space="0" w:color="auto"/>
        <w:left w:val="none" w:sz="0" w:space="0" w:color="auto"/>
        <w:bottom w:val="none" w:sz="0" w:space="0" w:color="auto"/>
        <w:right w:val="none" w:sz="0" w:space="0" w:color="auto"/>
      </w:divBdr>
    </w:div>
    <w:div w:id="1070269381">
      <w:bodyDiv w:val="1"/>
      <w:marLeft w:val="0"/>
      <w:marRight w:val="0"/>
      <w:marTop w:val="0"/>
      <w:marBottom w:val="0"/>
      <w:divBdr>
        <w:top w:val="none" w:sz="0" w:space="0" w:color="auto"/>
        <w:left w:val="none" w:sz="0" w:space="0" w:color="auto"/>
        <w:bottom w:val="none" w:sz="0" w:space="0" w:color="auto"/>
        <w:right w:val="none" w:sz="0" w:space="0" w:color="auto"/>
      </w:divBdr>
    </w:div>
    <w:div w:id="1070346606">
      <w:bodyDiv w:val="1"/>
      <w:marLeft w:val="0"/>
      <w:marRight w:val="0"/>
      <w:marTop w:val="0"/>
      <w:marBottom w:val="0"/>
      <w:divBdr>
        <w:top w:val="none" w:sz="0" w:space="0" w:color="auto"/>
        <w:left w:val="none" w:sz="0" w:space="0" w:color="auto"/>
        <w:bottom w:val="none" w:sz="0" w:space="0" w:color="auto"/>
        <w:right w:val="none" w:sz="0" w:space="0" w:color="auto"/>
      </w:divBdr>
    </w:div>
    <w:div w:id="1070420340">
      <w:bodyDiv w:val="1"/>
      <w:marLeft w:val="0"/>
      <w:marRight w:val="0"/>
      <w:marTop w:val="0"/>
      <w:marBottom w:val="0"/>
      <w:divBdr>
        <w:top w:val="none" w:sz="0" w:space="0" w:color="auto"/>
        <w:left w:val="none" w:sz="0" w:space="0" w:color="auto"/>
        <w:bottom w:val="none" w:sz="0" w:space="0" w:color="auto"/>
        <w:right w:val="none" w:sz="0" w:space="0" w:color="auto"/>
      </w:divBdr>
    </w:div>
    <w:div w:id="1070421979">
      <w:bodyDiv w:val="1"/>
      <w:marLeft w:val="0"/>
      <w:marRight w:val="0"/>
      <w:marTop w:val="0"/>
      <w:marBottom w:val="0"/>
      <w:divBdr>
        <w:top w:val="none" w:sz="0" w:space="0" w:color="auto"/>
        <w:left w:val="none" w:sz="0" w:space="0" w:color="auto"/>
        <w:bottom w:val="none" w:sz="0" w:space="0" w:color="auto"/>
        <w:right w:val="none" w:sz="0" w:space="0" w:color="auto"/>
      </w:divBdr>
    </w:div>
    <w:div w:id="1070470459">
      <w:bodyDiv w:val="1"/>
      <w:marLeft w:val="0"/>
      <w:marRight w:val="0"/>
      <w:marTop w:val="0"/>
      <w:marBottom w:val="0"/>
      <w:divBdr>
        <w:top w:val="none" w:sz="0" w:space="0" w:color="auto"/>
        <w:left w:val="none" w:sz="0" w:space="0" w:color="auto"/>
        <w:bottom w:val="none" w:sz="0" w:space="0" w:color="auto"/>
        <w:right w:val="none" w:sz="0" w:space="0" w:color="auto"/>
      </w:divBdr>
    </w:div>
    <w:div w:id="1070539508">
      <w:bodyDiv w:val="1"/>
      <w:marLeft w:val="0"/>
      <w:marRight w:val="0"/>
      <w:marTop w:val="0"/>
      <w:marBottom w:val="0"/>
      <w:divBdr>
        <w:top w:val="none" w:sz="0" w:space="0" w:color="auto"/>
        <w:left w:val="none" w:sz="0" w:space="0" w:color="auto"/>
        <w:bottom w:val="none" w:sz="0" w:space="0" w:color="auto"/>
        <w:right w:val="none" w:sz="0" w:space="0" w:color="auto"/>
      </w:divBdr>
    </w:div>
    <w:div w:id="1070619182">
      <w:bodyDiv w:val="1"/>
      <w:marLeft w:val="0"/>
      <w:marRight w:val="0"/>
      <w:marTop w:val="0"/>
      <w:marBottom w:val="0"/>
      <w:divBdr>
        <w:top w:val="none" w:sz="0" w:space="0" w:color="auto"/>
        <w:left w:val="none" w:sz="0" w:space="0" w:color="auto"/>
        <w:bottom w:val="none" w:sz="0" w:space="0" w:color="auto"/>
        <w:right w:val="none" w:sz="0" w:space="0" w:color="auto"/>
      </w:divBdr>
    </w:div>
    <w:div w:id="1070693551">
      <w:bodyDiv w:val="1"/>
      <w:marLeft w:val="0"/>
      <w:marRight w:val="0"/>
      <w:marTop w:val="0"/>
      <w:marBottom w:val="0"/>
      <w:divBdr>
        <w:top w:val="none" w:sz="0" w:space="0" w:color="auto"/>
        <w:left w:val="none" w:sz="0" w:space="0" w:color="auto"/>
        <w:bottom w:val="none" w:sz="0" w:space="0" w:color="auto"/>
        <w:right w:val="none" w:sz="0" w:space="0" w:color="auto"/>
      </w:divBdr>
    </w:div>
    <w:div w:id="1070730357">
      <w:bodyDiv w:val="1"/>
      <w:marLeft w:val="0"/>
      <w:marRight w:val="0"/>
      <w:marTop w:val="0"/>
      <w:marBottom w:val="0"/>
      <w:divBdr>
        <w:top w:val="none" w:sz="0" w:space="0" w:color="auto"/>
        <w:left w:val="none" w:sz="0" w:space="0" w:color="auto"/>
        <w:bottom w:val="none" w:sz="0" w:space="0" w:color="auto"/>
        <w:right w:val="none" w:sz="0" w:space="0" w:color="auto"/>
      </w:divBdr>
    </w:div>
    <w:div w:id="1070737647">
      <w:bodyDiv w:val="1"/>
      <w:marLeft w:val="0"/>
      <w:marRight w:val="0"/>
      <w:marTop w:val="0"/>
      <w:marBottom w:val="0"/>
      <w:divBdr>
        <w:top w:val="none" w:sz="0" w:space="0" w:color="auto"/>
        <w:left w:val="none" w:sz="0" w:space="0" w:color="auto"/>
        <w:bottom w:val="none" w:sz="0" w:space="0" w:color="auto"/>
        <w:right w:val="none" w:sz="0" w:space="0" w:color="auto"/>
      </w:divBdr>
    </w:div>
    <w:div w:id="1070884081">
      <w:bodyDiv w:val="1"/>
      <w:marLeft w:val="0"/>
      <w:marRight w:val="0"/>
      <w:marTop w:val="0"/>
      <w:marBottom w:val="0"/>
      <w:divBdr>
        <w:top w:val="none" w:sz="0" w:space="0" w:color="auto"/>
        <w:left w:val="none" w:sz="0" w:space="0" w:color="auto"/>
        <w:bottom w:val="none" w:sz="0" w:space="0" w:color="auto"/>
        <w:right w:val="none" w:sz="0" w:space="0" w:color="auto"/>
      </w:divBdr>
    </w:div>
    <w:div w:id="1070885828">
      <w:bodyDiv w:val="1"/>
      <w:marLeft w:val="0"/>
      <w:marRight w:val="0"/>
      <w:marTop w:val="0"/>
      <w:marBottom w:val="0"/>
      <w:divBdr>
        <w:top w:val="none" w:sz="0" w:space="0" w:color="auto"/>
        <w:left w:val="none" w:sz="0" w:space="0" w:color="auto"/>
        <w:bottom w:val="none" w:sz="0" w:space="0" w:color="auto"/>
        <w:right w:val="none" w:sz="0" w:space="0" w:color="auto"/>
      </w:divBdr>
    </w:div>
    <w:div w:id="1070927343">
      <w:bodyDiv w:val="1"/>
      <w:marLeft w:val="0"/>
      <w:marRight w:val="0"/>
      <w:marTop w:val="0"/>
      <w:marBottom w:val="0"/>
      <w:divBdr>
        <w:top w:val="none" w:sz="0" w:space="0" w:color="auto"/>
        <w:left w:val="none" w:sz="0" w:space="0" w:color="auto"/>
        <w:bottom w:val="none" w:sz="0" w:space="0" w:color="auto"/>
        <w:right w:val="none" w:sz="0" w:space="0" w:color="auto"/>
      </w:divBdr>
    </w:div>
    <w:div w:id="1070932577">
      <w:bodyDiv w:val="1"/>
      <w:marLeft w:val="0"/>
      <w:marRight w:val="0"/>
      <w:marTop w:val="0"/>
      <w:marBottom w:val="0"/>
      <w:divBdr>
        <w:top w:val="none" w:sz="0" w:space="0" w:color="auto"/>
        <w:left w:val="none" w:sz="0" w:space="0" w:color="auto"/>
        <w:bottom w:val="none" w:sz="0" w:space="0" w:color="auto"/>
        <w:right w:val="none" w:sz="0" w:space="0" w:color="auto"/>
      </w:divBdr>
    </w:div>
    <w:div w:id="1071460496">
      <w:bodyDiv w:val="1"/>
      <w:marLeft w:val="0"/>
      <w:marRight w:val="0"/>
      <w:marTop w:val="0"/>
      <w:marBottom w:val="0"/>
      <w:divBdr>
        <w:top w:val="none" w:sz="0" w:space="0" w:color="auto"/>
        <w:left w:val="none" w:sz="0" w:space="0" w:color="auto"/>
        <w:bottom w:val="none" w:sz="0" w:space="0" w:color="auto"/>
        <w:right w:val="none" w:sz="0" w:space="0" w:color="auto"/>
      </w:divBdr>
    </w:div>
    <w:div w:id="1071462618">
      <w:bodyDiv w:val="1"/>
      <w:marLeft w:val="0"/>
      <w:marRight w:val="0"/>
      <w:marTop w:val="0"/>
      <w:marBottom w:val="0"/>
      <w:divBdr>
        <w:top w:val="none" w:sz="0" w:space="0" w:color="auto"/>
        <w:left w:val="none" w:sz="0" w:space="0" w:color="auto"/>
        <w:bottom w:val="none" w:sz="0" w:space="0" w:color="auto"/>
        <w:right w:val="none" w:sz="0" w:space="0" w:color="auto"/>
      </w:divBdr>
    </w:div>
    <w:div w:id="1071465188">
      <w:bodyDiv w:val="1"/>
      <w:marLeft w:val="0"/>
      <w:marRight w:val="0"/>
      <w:marTop w:val="0"/>
      <w:marBottom w:val="0"/>
      <w:divBdr>
        <w:top w:val="none" w:sz="0" w:space="0" w:color="auto"/>
        <w:left w:val="none" w:sz="0" w:space="0" w:color="auto"/>
        <w:bottom w:val="none" w:sz="0" w:space="0" w:color="auto"/>
        <w:right w:val="none" w:sz="0" w:space="0" w:color="auto"/>
      </w:divBdr>
    </w:div>
    <w:div w:id="1071468062">
      <w:bodyDiv w:val="1"/>
      <w:marLeft w:val="0"/>
      <w:marRight w:val="0"/>
      <w:marTop w:val="0"/>
      <w:marBottom w:val="0"/>
      <w:divBdr>
        <w:top w:val="none" w:sz="0" w:space="0" w:color="auto"/>
        <w:left w:val="none" w:sz="0" w:space="0" w:color="auto"/>
        <w:bottom w:val="none" w:sz="0" w:space="0" w:color="auto"/>
        <w:right w:val="none" w:sz="0" w:space="0" w:color="auto"/>
      </w:divBdr>
    </w:div>
    <w:div w:id="1071536284">
      <w:bodyDiv w:val="1"/>
      <w:marLeft w:val="0"/>
      <w:marRight w:val="0"/>
      <w:marTop w:val="0"/>
      <w:marBottom w:val="0"/>
      <w:divBdr>
        <w:top w:val="none" w:sz="0" w:space="0" w:color="auto"/>
        <w:left w:val="none" w:sz="0" w:space="0" w:color="auto"/>
        <w:bottom w:val="none" w:sz="0" w:space="0" w:color="auto"/>
        <w:right w:val="none" w:sz="0" w:space="0" w:color="auto"/>
      </w:divBdr>
    </w:div>
    <w:div w:id="1071538503">
      <w:bodyDiv w:val="1"/>
      <w:marLeft w:val="0"/>
      <w:marRight w:val="0"/>
      <w:marTop w:val="0"/>
      <w:marBottom w:val="0"/>
      <w:divBdr>
        <w:top w:val="none" w:sz="0" w:space="0" w:color="auto"/>
        <w:left w:val="none" w:sz="0" w:space="0" w:color="auto"/>
        <w:bottom w:val="none" w:sz="0" w:space="0" w:color="auto"/>
        <w:right w:val="none" w:sz="0" w:space="0" w:color="auto"/>
      </w:divBdr>
    </w:div>
    <w:div w:id="1071543148">
      <w:bodyDiv w:val="1"/>
      <w:marLeft w:val="0"/>
      <w:marRight w:val="0"/>
      <w:marTop w:val="0"/>
      <w:marBottom w:val="0"/>
      <w:divBdr>
        <w:top w:val="none" w:sz="0" w:space="0" w:color="auto"/>
        <w:left w:val="none" w:sz="0" w:space="0" w:color="auto"/>
        <w:bottom w:val="none" w:sz="0" w:space="0" w:color="auto"/>
        <w:right w:val="none" w:sz="0" w:space="0" w:color="auto"/>
      </w:divBdr>
    </w:div>
    <w:div w:id="1071654785">
      <w:bodyDiv w:val="1"/>
      <w:marLeft w:val="0"/>
      <w:marRight w:val="0"/>
      <w:marTop w:val="0"/>
      <w:marBottom w:val="0"/>
      <w:divBdr>
        <w:top w:val="none" w:sz="0" w:space="0" w:color="auto"/>
        <w:left w:val="none" w:sz="0" w:space="0" w:color="auto"/>
        <w:bottom w:val="none" w:sz="0" w:space="0" w:color="auto"/>
        <w:right w:val="none" w:sz="0" w:space="0" w:color="auto"/>
      </w:divBdr>
    </w:div>
    <w:div w:id="1071657551">
      <w:bodyDiv w:val="1"/>
      <w:marLeft w:val="0"/>
      <w:marRight w:val="0"/>
      <w:marTop w:val="0"/>
      <w:marBottom w:val="0"/>
      <w:divBdr>
        <w:top w:val="none" w:sz="0" w:space="0" w:color="auto"/>
        <w:left w:val="none" w:sz="0" w:space="0" w:color="auto"/>
        <w:bottom w:val="none" w:sz="0" w:space="0" w:color="auto"/>
        <w:right w:val="none" w:sz="0" w:space="0" w:color="auto"/>
      </w:divBdr>
    </w:div>
    <w:div w:id="1071657700">
      <w:bodyDiv w:val="1"/>
      <w:marLeft w:val="0"/>
      <w:marRight w:val="0"/>
      <w:marTop w:val="0"/>
      <w:marBottom w:val="0"/>
      <w:divBdr>
        <w:top w:val="none" w:sz="0" w:space="0" w:color="auto"/>
        <w:left w:val="none" w:sz="0" w:space="0" w:color="auto"/>
        <w:bottom w:val="none" w:sz="0" w:space="0" w:color="auto"/>
        <w:right w:val="none" w:sz="0" w:space="0" w:color="auto"/>
      </w:divBdr>
    </w:div>
    <w:div w:id="1071658614">
      <w:bodyDiv w:val="1"/>
      <w:marLeft w:val="0"/>
      <w:marRight w:val="0"/>
      <w:marTop w:val="0"/>
      <w:marBottom w:val="0"/>
      <w:divBdr>
        <w:top w:val="none" w:sz="0" w:space="0" w:color="auto"/>
        <w:left w:val="none" w:sz="0" w:space="0" w:color="auto"/>
        <w:bottom w:val="none" w:sz="0" w:space="0" w:color="auto"/>
        <w:right w:val="none" w:sz="0" w:space="0" w:color="auto"/>
      </w:divBdr>
    </w:div>
    <w:div w:id="1071733333">
      <w:bodyDiv w:val="1"/>
      <w:marLeft w:val="0"/>
      <w:marRight w:val="0"/>
      <w:marTop w:val="0"/>
      <w:marBottom w:val="0"/>
      <w:divBdr>
        <w:top w:val="none" w:sz="0" w:space="0" w:color="auto"/>
        <w:left w:val="none" w:sz="0" w:space="0" w:color="auto"/>
        <w:bottom w:val="none" w:sz="0" w:space="0" w:color="auto"/>
        <w:right w:val="none" w:sz="0" w:space="0" w:color="auto"/>
      </w:divBdr>
    </w:div>
    <w:div w:id="1071850721">
      <w:bodyDiv w:val="1"/>
      <w:marLeft w:val="0"/>
      <w:marRight w:val="0"/>
      <w:marTop w:val="0"/>
      <w:marBottom w:val="0"/>
      <w:divBdr>
        <w:top w:val="none" w:sz="0" w:space="0" w:color="auto"/>
        <w:left w:val="none" w:sz="0" w:space="0" w:color="auto"/>
        <w:bottom w:val="none" w:sz="0" w:space="0" w:color="auto"/>
        <w:right w:val="none" w:sz="0" w:space="0" w:color="auto"/>
      </w:divBdr>
    </w:div>
    <w:div w:id="1071928371">
      <w:bodyDiv w:val="1"/>
      <w:marLeft w:val="0"/>
      <w:marRight w:val="0"/>
      <w:marTop w:val="0"/>
      <w:marBottom w:val="0"/>
      <w:divBdr>
        <w:top w:val="none" w:sz="0" w:space="0" w:color="auto"/>
        <w:left w:val="none" w:sz="0" w:space="0" w:color="auto"/>
        <w:bottom w:val="none" w:sz="0" w:space="0" w:color="auto"/>
        <w:right w:val="none" w:sz="0" w:space="0" w:color="auto"/>
      </w:divBdr>
    </w:div>
    <w:div w:id="1071998902">
      <w:bodyDiv w:val="1"/>
      <w:marLeft w:val="0"/>
      <w:marRight w:val="0"/>
      <w:marTop w:val="0"/>
      <w:marBottom w:val="0"/>
      <w:divBdr>
        <w:top w:val="none" w:sz="0" w:space="0" w:color="auto"/>
        <w:left w:val="none" w:sz="0" w:space="0" w:color="auto"/>
        <w:bottom w:val="none" w:sz="0" w:space="0" w:color="auto"/>
        <w:right w:val="none" w:sz="0" w:space="0" w:color="auto"/>
      </w:divBdr>
    </w:div>
    <w:div w:id="1072003135">
      <w:bodyDiv w:val="1"/>
      <w:marLeft w:val="0"/>
      <w:marRight w:val="0"/>
      <w:marTop w:val="0"/>
      <w:marBottom w:val="0"/>
      <w:divBdr>
        <w:top w:val="none" w:sz="0" w:space="0" w:color="auto"/>
        <w:left w:val="none" w:sz="0" w:space="0" w:color="auto"/>
        <w:bottom w:val="none" w:sz="0" w:space="0" w:color="auto"/>
        <w:right w:val="none" w:sz="0" w:space="0" w:color="auto"/>
      </w:divBdr>
    </w:div>
    <w:div w:id="1072122971">
      <w:bodyDiv w:val="1"/>
      <w:marLeft w:val="0"/>
      <w:marRight w:val="0"/>
      <w:marTop w:val="0"/>
      <w:marBottom w:val="0"/>
      <w:divBdr>
        <w:top w:val="none" w:sz="0" w:space="0" w:color="auto"/>
        <w:left w:val="none" w:sz="0" w:space="0" w:color="auto"/>
        <w:bottom w:val="none" w:sz="0" w:space="0" w:color="auto"/>
        <w:right w:val="none" w:sz="0" w:space="0" w:color="auto"/>
      </w:divBdr>
    </w:div>
    <w:div w:id="1072311949">
      <w:bodyDiv w:val="1"/>
      <w:marLeft w:val="0"/>
      <w:marRight w:val="0"/>
      <w:marTop w:val="0"/>
      <w:marBottom w:val="0"/>
      <w:divBdr>
        <w:top w:val="none" w:sz="0" w:space="0" w:color="auto"/>
        <w:left w:val="none" w:sz="0" w:space="0" w:color="auto"/>
        <w:bottom w:val="none" w:sz="0" w:space="0" w:color="auto"/>
        <w:right w:val="none" w:sz="0" w:space="0" w:color="auto"/>
      </w:divBdr>
    </w:div>
    <w:div w:id="1072315509">
      <w:bodyDiv w:val="1"/>
      <w:marLeft w:val="0"/>
      <w:marRight w:val="0"/>
      <w:marTop w:val="0"/>
      <w:marBottom w:val="0"/>
      <w:divBdr>
        <w:top w:val="none" w:sz="0" w:space="0" w:color="auto"/>
        <w:left w:val="none" w:sz="0" w:space="0" w:color="auto"/>
        <w:bottom w:val="none" w:sz="0" w:space="0" w:color="auto"/>
        <w:right w:val="none" w:sz="0" w:space="0" w:color="auto"/>
      </w:divBdr>
    </w:div>
    <w:div w:id="1072386031">
      <w:bodyDiv w:val="1"/>
      <w:marLeft w:val="0"/>
      <w:marRight w:val="0"/>
      <w:marTop w:val="0"/>
      <w:marBottom w:val="0"/>
      <w:divBdr>
        <w:top w:val="none" w:sz="0" w:space="0" w:color="auto"/>
        <w:left w:val="none" w:sz="0" w:space="0" w:color="auto"/>
        <w:bottom w:val="none" w:sz="0" w:space="0" w:color="auto"/>
        <w:right w:val="none" w:sz="0" w:space="0" w:color="auto"/>
      </w:divBdr>
    </w:div>
    <w:div w:id="1072393590">
      <w:bodyDiv w:val="1"/>
      <w:marLeft w:val="0"/>
      <w:marRight w:val="0"/>
      <w:marTop w:val="0"/>
      <w:marBottom w:val="0"/>
      <w:divBdr>
        <w:top w:val="none" w:sz="0" w:space="0" w:color="auto"/>
        <w:left w:val="none" w:sz="0" w:space="0" w:color="auto"/>
        <w:bottom w:val="none" w:sz="0" w:space="0" w:color="auto"/>
        <w:right w:val="none" w:sz="0" w:space="0" w:color="auto"/>
      </w:divBdr>
    </w:div>
    <w:div w:id="1072459512">
      <w:bodyDiv w:val="1"/>
      <w:marLeft w:val="0"/>
      <w:marRight w:val="0"/>
      <w:marTop w:val="0"/>
      <w:marBottom w:val="0"/>
      <w:divBdr>
        <w:top w:val="none" w:sz="0" w:space="0" w:color="auto"/>
        <w:left w:val="none" w:sz="0" w:space="0" w:color="auto"/>
        <w:bottom w:val="none" w:sz="0" w:space="0" w:color="auto"/>
        <w:right w:val="none" w:sz="0" w:space="0" w:color="auto"/>
      </w:divBdr>
    </w:div>
    <w:div w:id="1072460273">
      <w:bodyDiv w:val="1"/>
      <w:marLeft w:val="0"/>
      <w:marRight w:val="0"/>
      <w:marTop w:val="0"/>
      <w:marBottom w:val="0"/>
      <w:divBdr>
        <w:top w:val="none" w:sz="0" w:space="0" w:color="auto"/>
        <w:left w:val="none" w:sz="0" w:space="0" w:color="auto"/>
        <w:bottom w:val="none" w:sz="0" w:space="0" w:color="auto"/>
        <w:right w:val="none" w:sz="0" w:space="0" w:color="auto"/>
      </w:divBdr>
    </w:div>
    <w:div w:id="1072509683">
      <w:bodyDiv w:val="1"/>
      <w:marLeft w:val="0"/>
      <w:marRight w:val="0"/>
      <w:marTop w:val="0"/>
      <w:marBottom w:val="0"/>
      <w:divBdr>
        <w:top w:val="none" w:sz="0" w:space="0" w:color="auto"/>
        <w:left w:val="none" w:sz="0" w:space="0" w:color="auto"/>
        <w:bottom w:val="none" w:sz="0" w:space="0" w:color="auto"/>
        <w:right w:val="none" w:sz="0" w:space="0" w:color="auto"/>
      </w:divBdr>
    </w:div>
    <w:div w:id="1072775476">
      <w:bodyDiv w:val="1"/>
      <w:marLeft w:val="0"/>
      <w:marRight w:val="0"/>
      <w:marTop w:val="0"/>
      <w:marBottom w:val="0"/>
      <w:divBdr>
        <w:top w:val="none" w:sz="0" w:space="0" w:color="auto"/>
        <w:left w:val="none" w:sz="0" w:space="0" w:color="auto"/>
        <w:bottom w:val="none" w:sz="0" w:space="0" w:color="auto"/>
        <w:right w:val="none" w:sz="0" w:space="0" w:color="auto"/>
      </w:divBdr>
    </w:div>
    <w:div w:id="1072775688">
      <w:bodyDiv w:val="1"/>
      <w:marLeft w:val="0"/>
      <w:marRight w:val="0"/>
      <w:marTop w:val="0"/>
      <w:marBottom w:val="0"/>
      <w:divBdr>
        <w:top w:val="none" w:sz="0" w:space="0" w:color="auto"/>
        <w:left w:val="none" w:sz="0" w:space="0" w:color="auto"/>
        <w:bottom w:val="none" w:sz="0" w:space="0" w:color="auto"/>
        <w:right w:val="none" w:sz="0" w:space="0" w:color="auto"/>
      </w:divBdr>
    </w:div>
    <w:div w:id="1072778909">
      <w:bodyDiv w:val="1"/>
      <w:marLeft w:val="0"/>
      <w:marRight w:val="0"/>
      <w:marTop w:val="0"/>
      <w:marBottom w:val="0"/>
      <w:divBdr>
        <w:top w:val="none" w:sz="0" w:space="0" w:color="auto"/>
        <w:left w:val="none" w:sz="0" w:space="0" w:color="auto"/>
        <w:bottom w:val="none" w:sz="0" w:space="0" w:color="auto"/>
        <w:right w:val="none" w:sz="0" w:space="0" w:color="auto"/>
      </w:divBdr>
    </w:div>
    <w:div w:id="1072891152">
      <w:bodyDiv w:val="1"/>
      <w:marLeft w:val="0"/>
      <w:marRight w:val="0"/>
      <w:marTop w:val="0"/>
      <w:marBottom w:val="0"/>
      <w:divBdr>
        <w:top w:val="none" w:sz="0" w:space="0" w:color="auto"/>
        <w:left w:val="none" w:sz="0" w:space="0" w:color="auto"/>
        <w:bottom w:val="none" w:sz="0" w:space="0" w:color="auto"/>
        <w:right w:val="none" w:sz="0" w:space="0" w:color="auto"/>
      </w:divBdr>
    </w:div>
    <w:div w:id="1072893461">
      <w:bodyDiv w:val="1"/>
      <w:marLeft w:val="0"/>
      <w:marRight w:val="0"/>
      <w:marTop w:val="0"/>
      <w:marBottom w:val="0"/>
      <w:divBdr>
        <w:top w:val="none" w:sz="0" w:space="0" w:color="auto"/>
        <w:left w:val="none" w:sz="0" w:space="0" w:color="auto"/>
        <w:bottom w:val="none" w:sz="0" w:space="0" w:color="auto"/>
        <w:right w:val="none" w:sz="0" w:space="0" w:color="auto"/>
      </w:divBdr>
    </w:div>
    <w:div w:id="1073048475">
      <w:bodyDiv w:val="1"/>
      <w:marLeft w:val="0"/>
      <w:marRight w:val="0"/>
      <w:marTop w:val="0"/>
      <w:marBottom w:val="0"/>
      <w:divBdr>
        <w:top w:val="none" w:sz="0" w:space="0" w:color="auto"/>
        <w:left w:val="none" w:sz="0" w:space="0" w:color="auto"/>
        <w:bottom w:val="none" w:sz="0" w:space="0" w:color="auto"/>
        <w:right w:val="none" w:sz="0" w:space="0" w:color="auto"/>
      </w:divBdr>
    </w:div>
    <w:div w:id="1073159953">
      <w:bodyDiv w:val="1"/>
      <w:marLeft w:val="0"/>
      <w:marRight w:val="0"/>
      <w:marTop w:val="0"/>
      <w:marBottom w:val="0"/>
      <w:divBdr>
        <w:top w:val="none" w:sz="0" w:space="0" w:color="auto"/>
        <w:left w:val="none" w:sz="0" w:space="0" w:color="auto"/>
        <w:bottom w:val="none" w:sz="0" w:space="0" w:color="auto"/>
        <w:right w:val="none" w:sz="0" w:space="0" w:color="auto"/>
      </w:divBdr>
    </w:div>
    <w:div w:id="1073162142">
      <w:bodyDiv w:val="1"/>
      <w:marLeft w:val="0"/>
      <w:marRight w:val="0"/>
      <w:marTop w:val="0"/>
      <w:marBottom w:val="0"/>
      <w:divBdr>
        <w:top w:val="none" w:sz="0" w:space="0" w:color="auto"/>
        <w:left w:val="none" w:sz="0" w:space="0" w:color="auto"/>
        <w:bottom w:val="none" w:sz="0" w:space="0" w:color="auto"/>
        <w:right w:val="none" w:sz="0" w:space="0" w:color="auto"/>
      </w:divBdr>
    </w:div>
    <w:div w:id="1073235089">
      <w:bodyDiv w:val="1"/>
      <w:marLeft w:val="0"/>
      <w:marRight w:val="0"/>
      <w:marTop w:val="0"/>
      <w:marBottom w:val="0"/>
      <w:divBdr>
        <w:top w:val="none" w:sz="0" w:space="0" w:color="auto"/>
        <w:left w:val="none" w:sz="0" w:space="0" w:color="auto"/>
        <w:bottom w:val="none" w:sz="0" w:space="0" w:color="auto"/>
        <w:right w:val="none" w:sz="0" w:space="0" w:color="auto"/>
      </w:divBdr>
    </w:div>
    <w:div w:id="1073311419">
      <w:bodyDiv w:val="1"/>
      <w:marLeft w:val="0"/>
      <w:marRight w:val="0"/>
      <w:marTop w:val="0"/>
      <w:marBottom w:val="0"/>
      <w:divBdr>
        <w:top w:val="none" w:sz="0" w:space="0" w:color="auto"/>
        <w:left w:val="none" w:sz="0" w:space="0" w:color="auto"/>
        <w:bottom w:val="none" w:sz="0" w:space="0" w:color="auto"/>
        <w:right w:val="none" w:sz="0" w:space="0" w:color="auto"/>
      </w:divBdr>
    </w:div>
    <w:div w:id="1073359263">
      <w:bodyDiv w:val="1"/>
      <w:marLeft w:val="0"/>
      <w:marRight w:val="0"/>
      <w:marTop w:val="0"/>
      <w:marBottom w:val="0"/>
      <w:divBdr>
        <w:top w:val="none" w:sz="0" w:space="0" w:color="auto"/>
        <w:left w:val="none" w:sz="0" w:space="0" w:color="auto"/>
        <w:bottom w:val="none" w:sz="0" w:space="0" w:color="auto"/>
        <w:right w:val="none" w:sz="0" w:space="0" w:color="auto"/>
      </w:divBdr>
    </w:div>
    <w:div w:id="1073551652">
      <w:bodyDiv w:val="1"/>
      <w:marLeft w:val="0"/>
      <w:marRight w:val="0"/>
      <w:marTop w:val="0"/>
      <w:marBottom w:val="0"/>
      <w:divBdr>
        <w:top w:val="none" w:sz="0" w:space="0" w:color="auto"/>
        <w:left w:val="none" w:sz="0" w:space="0" w:color="auto"/>
        <w:bottom w:val="none" w:sz="0" w:space="0" w:color="auto"/>
        <w:right w:val="none" w:sz="0" w:space="0" w:color="auto"/>
      </w:divBdr>
    </w:div>
    <w:div w:id="1073742871">
      <w:bodyDiv w:val="1"/>
      <w:marLeft w:val="0"/>
      <w:marRight w:val="0"/>
      <w:marTop w:val="0"/>
      <w:marBottom w:val="0"/>
      <w:divBdr>
        <w:top w:val="none" w:sz="0" w:space="0" w:color="auto"/>
        <w:left w:val="none" w:sz="0" w:space="0" w:color="auto"/>
        <w:bottom w:val="none" w:sz="0" w:space="0" w:color="auto"/>
        <w:right w:val="none" w:sz="0" w:space="0" w:color="auto"/>
      </w:divBdr>
    </w:div>
    <w:div w:id="1073819323">
      <w:bodyDiv w:val="1"/>
      <w:marLeft w:val="0"/>
      <w:marRight w:val="0"/>
      <w:marTop w:val="0"/>
      <w:marBottom w:val="0"/>
      <w:divBdr>
        <w:top w:val="none" w:sz="0" w:space="0" w:color="auto"/>
        <w:left w:val="none" w:sz="0" w:space="0" w:color="auto"/>
        <w:bottom w:val="none" w:sz="0" w:space="0" w:color="auto"/>
        <w:right w:val="none" w:sz="0" w:space="0" w:color="auto"/>
      </w:divBdr>
    </w:div>
    <w:div w:id="1073969517">
      <w:bodyDiv w:val="1"/>
      <w:marLeft w:val="0"/>
      <w:marRight w:val="0"/>
      <w:marTop w:val="0"/>
      <w:marBottom w:val="0"/>
      <w:divBdr>
        <w:top w:val="none" w:sz="0" w:space="0" w:color="auto"/>
        <w:left w:val="none" w:sz="0" w:space="0" w:color="auto"/>
        <w:bottom w:val="none" w:sz="0" w:space="0" w:color="auto"/>
        <w:right w:val="none" w:sz="0" w:space="0" w:color="auto"/>
      </w:divBdr>
    </w:div>
    <w:div w:id="1074091010">
      <w:bodyDiv w:val="1"/>
      <w:marLeft w:val="0"/>
      <w:marRight w:val="0"/>
      <w:marTop w:val="0"/>
      <w:marBottom w:val="0"/>
      <w:divBdr>
        <w:top w:val="none" w:sz="0" w:space="0" w:color="auto"/>
        <w:left w:val="none" w:sz="0" w:space="0" w:color="auto"/>
        <w:bottom w:val="none" w:sz="0" w:space="0" w:color="auto"/>
        <w:right w:val="none" w:sz="0" w:space="0" w:color="auto"/>
      </w:divBdr>
    </w:div>
    <w:div w:id="1074351907">
      <w:bodyDiv w:val="1"/>
      <w:marLeft w:val="0"/>
      <w:marRight w:val="0"/>
      <w:marTop w:val="0"/>
      <w:marBottom w:val="0"/>
      <w:divBdr>
        <w:top w:val="none" w:sz="0" w:space="0" w:color="auto"/>
        <w:left w:val="none" w:sz="0" w:space="0" w:color="auto"/>
        <w:bottom w:val="none" w:sz="0" w:space="0" w:color="auto"/>
        <w:right w:val="none" w:sz="0" w:space="0" w:color="auto"/>
      </w:divBdr>
    </w:div>
    <w:div w:id="1074398366">
      <w:bodyDiv w:val="1"/>
      <w:marLeft w:val="0"/>
      <w:marRight w:val="0"/>
      <w:marTop w:val="0"/>
      <w:marBottom w:val="0"/>
      <w:divBdr>
        <w:top w:val="none" w:sz="0" w:space="0" w:color="auto"/>
        <w:left w:val="none" w:sz="0" w:space="0" w:color="auto"/>
        <w:bottom w:val="none" w:sz="0" w:space="0" w:color="auto"/>
        <w:right w:val="none" w:sz="0" w:space="0" w:color="auto"/>
      </w:divBdr>
    </w:div>
    <w:div w:id="1074625809">
      <w:bodyDiv w:val="1"/>
      <w:marLeft w:val="0"/>
      <w:marRight w:val="0"/>
      <w:marTop w:val="0"/>
      <w:marBottom w:val="0"/>
      <w:divBdr>
        <w:top w:val="none" w:sz="0" w:space="0" w:color="auto"/>
        <w:left w:val="none" w:sz="0" w:space="0" w:color="auto"/>
        <w:bottom w:val="none" w:sz="0" w:space="0" w:color="auto"/>
        <w:right w:val="none" w:sz="0" w:space="0" w:color="auto"/>
      </w:divBdr>
    </w:div>
    <w:div w:id="1074665024">
      <w:bodyDiv w:val="1"/>
      <w:marLeft w:val="0"/>
      <w:marRight w:val="0"/>
      <w:marTop w:val="0"/>
      <w:marBottom w:val="0"/>
      <w:divBdr>
        <w:top w:val="none" w:sz="0" w:space="0" w:color="auto"/>
        <w:left w:val="none" w:sz="0" w:space="0" w:color="auto"/>
        <w:bottom w:val="none" w:sz="0" w:space="0" w:color="auto"/>
        <w:right w:val="none" w:sz="0" w:space="0" w:color="auto"/>
      </w:divBdr>
    </w:div>
    <w:div w:id="1074665161">
      <w:bodyDiv w:val="1"/>
      <w:marLeft w:val="0"/>
      <w:marRight w:val="0"/>
      <w:marTop w:val="0"/>
      <w:marBottom w:val="0"/>
      <w:divBdr>
        <w:top w:val="none" w:sz="0" w:space="0" w:color="auto"/>
        <w:left w:val="none" w:sz="0" w:space="0" w:color="auto"/>
        <w:bottom w:val="none" w:sz="0" w:space="0" w:color="auto"/>
        <w:right w:val="none" w:sz="0" w:space="0" w:color="auto"/>
      </w:divBdr>
    </w:div>
    <w:div w:id="1074738287">
      <w:bodyDiv w:val="1"/>
      <w:marLeft w:val="0"/>
      <w:marRight w:val="0"/>
      <w:marTop w:val="0"/>
      <w:marBottom w:val="0"/>
      <w:divBdr>
        <w:top w:val="none" w:sz="0" w:space="0" w:color="auto"/>
        <w:left w:val="none" w:sz="0" w:space="0" w:color="auto"/>
        <w:bottom w:val="none" w:sz="0" w:space="0" w:color="auto"/>
        <w:right w:val="none" w:sz="0" w:space="0" w:color="auto"/>
      </w:divBdr>
    </w:div>
    <w:div w:id="1074859110">
      <w:bodyDiv w:val="1"/>
      <w:marLeft w:val="0"/>
      <w:marRight w:val="0"/>
      <w:marTop w:val="0"/>
      <w:marBottom w:val="0"/>
      <w:divBdr>
        <w:top w:val="none" w:sz="0" w:space="0" w:color="auto"/>
        <w:left w:val="none" w:sz="0" w:space="0" w:color="auto"/>
        <w:bottom w:val="none" w:sz="0" w:space="0" w:color="auto"/>
        <w:right w:val="none" w:sz="0" w:space="0" w:color="auto"/>
      </w:divBdr>
    </w:div>
    <w:div w:id="1074936811">
      <w:bodyDiv w:val="1"/>
      <w:marLeft w:val="0"/>
      <w:marRight w:val="0"/>
      <w:marTop w:val="0"/>
      <w:marBottom w:val="0"/>
      <w:divBdr>
        <w:top w:val="none" w:sz="0" w:space="0" w:color="auto"/>
        <w:left w:val="none" w:sz="0" w:space="0" w:color="auto"/>
        <w:bottom w:val="none" w:sz="0" w:space="0" w:color="auto"/>
        <w:right w:val="none" w:sz="0" w:space="0" w:color="auto"/>
      </w:divBdr>
    </w:div>
    <w:div w:id="1074937155">
      <w:bodyDiv w:val="1"/>
      <w:marLeft w:val="0"/>
      <w:marRight w:val="0"/>
      <w:marTop w:val="0"/>
      <w:marBottom w:val="0"/>
      <w:divBdr>
        <w:top w:val="none" w:sz="0" w:space="0" w:color="auto"/>
        <w:left w:val="none" w:sz="0" w:space="0" w:color="auto"/>
        <w:bottom w:val="none" w:sz="0" w:space="0" w:color="auto"/>
        <w:right w:val="none" w:sz="0" w:space="0" w:color="auto"/>
      </w:divBdr>
    </w:div>
    <w:div w:id="1075010806">
      <w:bodyDiv w:val="1"/>
      <w:marLeft w:val="0"/>
      <w:marRight w:val="0"/>
      <w:marTop w:val="0"/>
      <w:marBottom w:val="0"/>
      <w:divBdr>
        <w:top w:val="none" w:sz="0" w:space="0" w:color="auto"/>
        <w:left w:val="none" w:sz="0" w:space="0" w:color="auto"/>
        <w:bottom w:val="none" w:sz="0" w:space="0" w:color="auto"/>
        <w:right w:val="none" w:sz="0" w:space="0" w:color="auto"/>
      </w:divBdr>
    </w:div>
    <w:div w:id="1075085281">
      <w:bodyDiv w:val="1"/>
      <w:marLeft w:val="0"/>
      <w:marRight w:val="0"/>
      <w:marTop w:val="0"/>
      <w:marBottom w:val="0"/>
      <w:divBdr>
        <w:top w:val="none" w:sz="0" w:space="0" w:color="auto"/>
        <w:left w:val="none" w:sz="0" w:space="0" w:color="auto"/>
        <w:bottom w:val="none" w:sz="0" w:space="0" w:color="auto"/>
        <w:right w:val="none" w:sz="0" w:space="0" w:color="auto"/>
      </w:divBdr>
    </w:div>
    <w:div w:id="1075127638">
      <w:bodyDiv w:val="1"/>
      <w:marLeft w:val="0"/>
      <w:marRight w:val="0"/>
      <w:marTop w:val="0"/>
      <w:marBottom w:val="0"/>
      <w:divBdr>
        <w:top w:val="none" w:sz="0" w:space="0" w:color="auto"/>
        <w:left w:val="none" w:sz="0" w:space="0" w:color="auto"/>
        <w:bottom w:val="none" w:sz="0" w:space="0" w:color="auto"/>
        <w:right w:val="none" w:sz="0" w:space="0" w:color="auto"/>
      </w:divBdr>
    </w:div>
    <w:div w:id="1075395457">
      <w:bodyDiv w:val="1"/>
      <w:marLeft w:val="0"/>
      <w:marRight w:val="0"/>
      <w:marTop w:val="0"/>
      <w:marBottom w:val="0"/>
      <w:divBdr>
        <w:top w:val="none" w:sz="0" w:space="0" w:color="auto"/>
        <w:left w:val="none" w:sz="0" w:space="0" w:color="auto"/>
        <w:bottom w:val="none" w:sz="0" w:space="0" w:color="auto"/>
        <w:right w:val="none" w:sz="0" w:space="0" w:color="auto"/>
      </w:divBdr>
    </w:div>
    <w:div w:id="1075469325">
      <w:bodyDiv w:val="1"/>
      <w:marLeft w:val="0"/>
      <w:marRight w:val="0"/>
      <w:marTop w:val="0"/>
      <w:marBottom w:val="0"/>
      <w:divBdr>
        <w:top w:val="none" w:sz="0" w:space="0" w:color="auto"/>
        <w:left w:val="none" w:sz="0" w:space="0" w:color="auto"/>
        <w:bottom w:val="none" w:sz="0" w:space="0" w:color="auto"/>
        <w:right w:val="none" w:sz="0" w:space="0" w:color="auto"/>
      </w:divBdr>
    </w:div>
    <w:div w:id="1075518968">
      <w:bodyDiv w:val="1"/>
      <w:marLeft w:val="0"/>
      <w:marRight w:val="0"/>
      <w:marTop w:val="0"/>
      <w:marBottom w:val="0"/>
      <w:divBdr>
        <w:top w:val="none" w:sz="0" w:space="0" w:color="auto"/>
        <w:left w:val="none" w:sz="0" w:space="0" w:color="auto"/>
        <w:bottom w:val="none" w:sz="0" w:space="0" w:color="auto"/>
        <w:right w:val="none" w:sz="0" w:space="0" w:color="auto"/>
      </w:divBdr>
    </w:div>
    <w:div w:id="1075542599">
      <w:bodyDiv w:val="1"/>
      <w:marLeft w:val="0"/>
      <w:marRight w:val="0"/>
      <w:marTop w:val="0"/>
      <w:marBottom w:val="0"/>
      <w:divBdr>
        <w:top w:val="none" w:sz="0" w:space="0" w:color="auto"/>
        <w:left w:val="none" w:sz="0" w:space="0" w:color="auto"/>
        <w:bottom w:val="none" w:sz="0" w:space="0" w:color="auto"/>
        <w:right w:val="none" w:sz="0" w:space="0" w:color="auto"/>
      </w:divBdr>
    </w:div>
    <w:div w:id="1075591849">
      <w:bodyDiv w:val="1"/>
      <w:marLeft w:val="0"/>
      <w:marRight w:val="0"/>
      <w:marTop w:val="0"/>
      <w:marBottom w:val="0"/>
      <w:divBdr>
        <w:top w:val="none" w:sz="0" w:space="0" w:color="auto"/>
        <w:left w:val="none" w:sz="0" w:space="0" w:color="auto"/>
        <w:bottom w:val="none" w:sz="0" w:space="0" w:color="auto"/>
        <w:right w:val="none" w:sz="0" w:space="0" w:color="auto"/>
      </w:divBdr>
    </w:div>
    <w:div w:id="1075593428">
      <w:bodyDiv w:val="1"/>
      <w:marLeft w:val="0"/>
      <w:marRight w:val="0"/>
      <w:marTop w:val="0"/>
      <w:marBottom w:val="0"/>
      <w:divBdr>
        <w:top w:val="none" w:sz="0" w:space="0" w:color="auto"/>
        <w:left w:val="none" w:sz="0" w:space="0" w:color="auto"/>
        <w:bottom w:val="none" w:sz="0" w:space="0" w:color="auto"/>
        <w:right w:val="none" w:sz="0" w:space="0" w:color="auto"/>
      </w:divBdr>
    </w:div>
    <w:div w:id="1075784467">
      <w:bodyDiv w:val="1"/>
      <w:marLeft w:val="0"/>
      <w:marRight w:val="0"/>
      <w:marTop w:val="0"/>
      <w:marBottom w:val="0"/>
      <w:divBdr>
        <w:top w:val="none" w:sz="0" w:space="0" w:color="auto"/>
        <w:left w:val="none" w:sz="0" w:space="0" w:color="auto"/>
        <w:bottom w:val="none" w:sz="0" w:space="0" w:color="auto"/>
        <w:right w:val="none" w:sz="0" w:space="0" w:color="auto"/>
      </w:divBdr>
    </w:div>
    <w:div w:id="1075856238">
      <w:bodyDiv w:val="1"/>
      <w:marLeft w:val="0"/>
      <w:marRight w:val="0"/>
      <w:marTop w:val="0"/>
      <w:marBottom w:val="0"/>
      <w:divBdr>
        <w:top w:val="none" w:sz="0" w:space="0" w:color="auto"/>
        <w:left w:val="none" w:sz="0" w:space="0" w:color="auto"/>
        <w:bottom w:val="none" w:sz="0" w:space="0" w:color="auto"/>
        <w:right w:val="none" w:sz="0" w:space="0" w:color="auto"/>
      </w:divBdr>
    </w:div>
    <w:div w:id="1075931831">
      <w:bodyDiv w:val="1"/>
      <w:marLeft w:val="0"/>
      <w:marRight w:val="0"/>
      <w:marTop w:val="0"/>
      <w:marBottom w:val="0"/>
      <w:divBdr>
        <w:top w:val="none" w:sz="0" w:space="0" w:color="auto"/>
        <w:left w:val="none" w:sz="0" w:space="0" w:color="auto"/>
        <w:bottom w:val="none" w:sz="0" w:space="0" w:color="auto"/>
        <w:right w:val="none" w:sz="0" w:space="0" w:color="auto"/>
      </w:divBdr>
    </w:div>
    <w:div w:id="1075978634">
      <w:bodyDiv w:val="1"/>
      <w:marLeft w:val="0"/>
      <w:marRight w:val="0"/>
      <w:marTop w:val="0"/>
      <w:marBottom w:val="0"/>
      <w:divBdr>
        <w:top w:val="none" w:sz="0" w:space="0" w:color="auto"/>
        <w:left w:val="none" w:sz="0" w:space="0" w:color="auto"/>
        <w:bottom w:val="none" w:sz="0" w:space="0" w:color="auto"/>
        <w:right w:val="none" w:sz="0" w:space="0" w:color="auto"/>
      </w:divBdr>
    </w:div>
    <w:div w:id="1076129173">
      <w:bodyDiv w:val="1"/>
      <w:marLeft w:val="0"/>
      <w:marRight w:val="0"/>
      <w:marTop w:val="0"/>
      <w:marBottom w:val="0"/>
      <w:divBdr>
        <w:top w:val="none" w:sz="0" w:space="0" w:color="auto"/>
        <w:left w:val="none" w:sz="0" w:space="0" w:color="auto"/>
        <w:bottom w:val="none" w:sz="0" w:space="0" w:color="auto"/>
        <w:right w:val="none" w:sz="0" w:space="0" w:color="auto"/>
      </w:divBdr>
    </w:div>
    <w:div w:id="1076169370">
      <w:bodyDiv w:val="1"/>
      <w:marLeft w:val="0"/>
      <w:marRight w:val="0"/>
      <w:marTop w:val="0"/>
      <w:marBottom w:val="0"/>
      <w:divBdr>
        <w:top w:val="none" w:sz="0" w:space="0" w:color="auto"/>
        <w:left w:val="none" w:sz="0" w:space="0" w:color="auto"/>
        <w:bottom w:val="none" w:sz="0" w:space="0" w:color="auto"/>
        <w:right w:val="none" w:sz="0" w:space="0" w:color="auto"/>
      </w:divBdr>
    </w:div>
    <w:div w:id="1076199289">
      <w:bodyDiv w:val="1"/>
      <w:marLeft w:val="0"/>
      <w:marRight w:val="0"/>
      <w:marTop w:val="0"/>
      <w:marBottom w:val="0"/>
      <w:divBdr>
        <w:top w:val="none" w:sz="0" w:space="0" w:color="auto"/>
        <w:left w:val="none" w:sz="0" w:space="0" w:color="auto"/>
        <w:bottom w:val="none" w:sz="0" w:space="0" w:color="auto"/>
        <w:right w:val="none" w:sz="0" w:space="0" w:color="auto"/>
      </w:divBdr>
    </w:div>
    <w:div w:id="1076247596">
      <w:bodyDiv w:val="1"/>
      <w:marLeft w:val="0"/>
      <w:marRight w:val="0"/>
      <w:marTop w:val="0"/>
      <w:marBottom w:val="0"/>
      <w:divBdr>
        <w:top w:val="none" w:sz="0" w:space="0" w:color="auto"/>
        <w:left w:val="none" w:sz="0" w:space="0" w:color="auto"/>
        <w:bottom w:val="none" w:sz="0" w:space="0" w:color="auto"/>
        <w:right w:val="none" w:sz="0" w:space="0" w:color="auto"/>
      </w:divBdr>
    </w:div>
    <w:div w:id="1076364228">
      <w:bodyDiv w:val="1"/>
      <w:marLeft w:val="0"/>
      <w:marRight w:val="0"/>
      <w:marTop w:val="0"/>
      <w:marBottom w:val="0"/>
      <w:divBdr>
        <w:top w:val="none" w:sz="0" w:space="0" w:color="auto"/>
        <w:left w:val="none" w:sz="0" w:space="0" w:color="auto"/>
        <w:bottom w:val="none" w:sz="0" w:space="0" w:color="auto"/>
        <w:right w:val="none" w:sz="0" w:space="0" w:color="auto"/>
      </w:divBdr>
    </w:div>
    <w:div w:id="1076518468">
      <w:bodyDiv w:val="1"/>
      <w:marLeft w:val="0"/>
      <w:marRight w:val="0"/>
      <w:marTop w:val="0"/>
      <w:marBottom w:val="0"/>
      <w:divBdr>
        <w:top w:val="none" w:sz="0" w:space="0" w:color="auto"/>
        <w:left w:val="none" w:sz="0" w:space="0" w:color="auto"/>
        <w:bottom w:val="none" w:sz="0" w:space="0" w:color="auto"/>
        <w:right w:val="none" w:sz="0" w:space="0" w:color="auto"/>
      </w:divBdr>
    </w:div>
    <w:div w:id="1076518536">
      <w:bodyDiv w:val="1"/>
      <w:marLeft w:val="0"/>
      <w:marRight w:val="0"/>
      <w:marTop w:val="0"/>
      <w:marBottom w:val="0"/>
      <w:divBdr>
        <w:top w:val="none" w:sz="0" w:space="0" w:color="auto"/>
        <w:left w:val="none" w:sz="0" w:space="0" w:color="auto"/>
        <w:bottom w:val="none" w:sz="0" w:space="0" w:color="auto"/>
        <w:right w:val="none" w:sz="0" w:space="0" w:color="auto"/>
      </w:divBdr>
    </w:div>
    <w:div w:id="1076588994">
      <w:bodyDiv w:val="1"/>
      <w:marLeft w:val="0"/>
      <w:marRight w:val="0"/>
      <w:marTop w:val="0"/>
      <w:marBottom w:val="0"/>
      <w:divBdr>
        <w:top w:val="none" w:sz="0" w:space="0" w:color="auto"/>
        <w:left w:val="none" w:sz="0" w:space="0" w:color="auto"/>
        <w:bottom w:val="none" w:sz="0" w:space="0" w:color="auto"/>
        <w:right w:val="none" w:sz="0" w:space="0" w:color="auto"/>
      </w:divBdr>
    </w:div>
    <w:div w:id="1076591146">
      <w:bodyDiv w:val="1"/>
      <w:marLeft w:val="0"/>
      <w:marRight w:val="0"/>
      <w:marTop w:val="0"/>
      <w:marBottom w:val="0"/>
      <w:divBdr>
        <w:top w:val="none" w:sz="0" w:space="0" w:color="auto"/>
        <w:left w:val="none" w:sz="0" w:space="0" w:color="auto"/>
        <w:bottom w:val="none" w:sz="0" w:space="0" w:color="auto"/>
        <w:right w:val="none" w:sz="0" w:space="0" w:color="auto"/>
      </w:divBdr>
    </w:div>
    <w:div w:id="1076705240">
      <w:bodyDiv w:val="1"/>
      <w:marLeft w:val="0"/>
      <w:marRight w:val="0"/>
      <w:marTop w:val="0"/>
      <w:marBottom w:val="0"/>
      <w:divBdr>
        <w:top w:val="none" w:sz="0" w:space="0" w:color="auto"/>
        <w:left w:val="none" w:sz="0" w:space="0" w:color="auto"/>
        <w:bottom w:val="none" w:sz="0" w:space="0" w:color="auto"/>
        <w:right w:val="none" w:sz="0" w:space="0" w:color="auto"/>
      </w:divBdr>
    </w:div>
    <w:div w:id="1076707626">
      <w:bodyDiv w:val="1"/>
      <w:marLeft w:val="0"/>
      <w:marRight w:val="0"/>
      <w:marTop w:val="0"/>
      <w:marBottom w:val="0"/>
      <w:divBdr>
        <w:top w:val="none" w:sz="0" w:space="0" w:color="auto"/>
        <w:left w:val="none" w:sz="0" w:space="0" w:color="auto"/>
        <w:bottom w:val="none" w:sz="0" w:space="0" w:color="auto"/>
        <w:right w:val="none" w:sz="0" w:space="0" w:color="auto"/>
      </w:divBdr>
    </w:div>
    <w:div w:id="1076708846">
      <w:bodyDiv w:val="1"/>
      <w:marLeft w:val="0"/>
      <w:marRight w:val="0"/>
      <w:marTop w:val="0"/>
      <w:marBottom w:val="0"/>
      <w:divBdr>
        <w:top w:val="none" w:sz="0" w:space="0" w:color="auto"/>
        <w:left w:val="none" w:sz="0" w:space="0" w:color="auto"/>
        <w:bottom w:val="none" w:sz="0" w:space="0" w:color="auto"/>
        <w:right w:val="none" w:sz="0" w:space="0" w:color="auto"/>
      </w:divBdr>
    </w:div>
    <w:div w:id="1076710699">
      <w:bodyDiv w:val="1"/>
      <w:marLeft w:val="0"/>
      <w:marRight w:val="0"/>
      <w:marTop w:val="0"/>
      <w:marBottom w:val="0"/>
      <w:divBdr>
        <w:top w:val="none" w:sz="0" w:space="0" w:color="auto"/>
        <w:left w:val="none" w:sz="0" w:space="0" w:color="auto"/>
        <w:bottom w:val="none" w:sz="0" w:space="0" w:color="auto"/>
        <w:right w:val="none" w:sz="0" w:space="0" w:color="auto"/>
      </w:divBdr>
    </w:div>
    <w:div w:id="1076828009">
      <w:bodyDiv w:val="1"/>
      <w:marLeft w:val="0"/>
      <w:marRight w:val="0"/>
      <w:marTop w:val="0"/>
      <w:marBottom w:val="0"/>
      <w:divBdr>
        <w:top w:val="none" w:sz="0" w:space="0" w:color="auto"/>
        <w:left w:val="none" w:sz="0" w:space="0" w:color="auto"/>
        <w:bottom w:val="none" w:sz="0" w:space="0" w:color="auto"/>
        <w:right w:val="none" w:sz="0" w:space="0" w:color="auto"/>
      </w:divBdr>
    </w:div>
    <w:div w:id="1076897150">
      <w:bodyDiv w:val="1"/>
      <w:marLeft w:val="0"/>
      <w:marRight w:val="0"/>
      <w:marTop w:val="0"/>
      <w:marBottom w:val="0"/>
      <w:divBdr>
        <w:top w:val="none" w:sz="0" w:space="0" w:color="auto"/>
        <w:left w:val="none" w:sz="0" w:space="0" w:color="auto"/>
        <w:bottom w:val="none" w:sz="0" w:space="0" w:color="auto"/>
        <w:right w:val="none" w:sz="0" w:space="0" w:color="auto"/>
      </w:divBdr>
    </w:div>
    <w:div w:id="1077046983">
      <w:bodyDiv w:val="1"/>
      <w:marLeft w:val="0"/>
      <w:marRight w:val="0"/>
      <w:marTop w:val="0"/>
      <w:marBottom w:val="0"/>
      <w:divBdr>
        <w:top w:val="none" w:sz="0" w:space="0" w:color="auto"/>
        <w:left w:val="none" w:sz="0" w:space="0" w:color="auto"/>
        <w:bottom w:val="none" w:sz="0" w:space="0" w:color="auto"/>
        <w:right w:val="none" w:sz="0" w:space="0" w:color="auto"/>
      </w:divBdr>
    </w:div>
    <w:div w:id="1077095085">
      <w:bodyDiv w:val="1"/>
      <w:marLeft w:val="0"/>
      <w:marRight w:val="0"/>
      <w:marTop w:val="0"/>
      <w:marBottom w:val="0"/>
      <w:divBdr>
        <w:top w:val="none" w:sz="0" w:space="0" w:color="auto"/>
        <w:left w:val="none" w:sz="0" w:space="0" w:color="auto"/>
        <w:bottom w:val="none" w:sz="0" w:space="0" w:color="auto"/>
        <w:right w:val="none" w:sz="0" w:space="0" w:color="auto"/>
      </w:divBdr>
    </w:div>
    <w:div w:id="1077245239">
      <w:bodyDiv w:val="1"/>
      <w:marLeft w:val="0"/>
      <w:marRight w:val="0"/>
      <w:marTop w:val="0"/>
      <w:marBottom w:val="0"/>
      <w:divBdr>
        <w:top w:val="none" w:sz="0" w:space="0" w:color="auto"/>
        <w:left w:val="none" w:sz="0" w:space="0" w:color="auto"/>
        <w:bottom w:val="none" w:sz="0" w:space="0" w:color="auto"/>
        <w:right w:val="none" w:sz="0" w:space="0" w:color="auto"/>
      </w:divBdr>
    </w:div>
    <w:div w:id="1077284918">
      <w:bodyDiv w:val="1"/>
      <w:marLeft w:val="0"/>
      <w:marRight w:val="0"/>
      <w:marTop w:val="0"/>
      <w:marBottom w:val="0"/>
      <w:divBdr>
        <w:top w:val="none" w:sz="0" w:space="0" w:color="auto"/>
        <w:left w:val="none" w:sz="0" w:space="0" w:color="auto"/>
        <w:bottom w:val="none" w:sz="0" w:space="0" w:color="auto"/>
        <w:right w:val="none" w:sz="0" w:space="0" w:color="auto"/>
      </w:divBdr>
    </w:div>
    <w:div w:id="1077286993">
      <w:bodyDiv w:val="1"/>
      <w:marLeft w:val="0"/>
      <w:marRight w:val="0"/>
      <w:marTop w:val="0"/>
      <w:marBottom w:val="0"/>
      <w:divBdr>
        <w:top w:val="none" w:sz="0" w:space="0" w:color="auto"/>
        <w:left w:val="none" w:sz="0" w:space="0" w:color="auto"/>
        <w:bottom w:val="none" w:sz="0" w:space="0" w:color="auto"/>
        <w:right w:val="none" w:sz="0" w:space="0" w:color="auto"/>
      </w:divBdr>
    </w:div>
    <w:div w:id="1077288964">
      <w:bodyDiv w:val="1"/>
      <w:marLeft w:val="0"/>
      <w:marRight w:val="0"/>
      <w:marTop w:val="0"/>
      <w:marBottom w:val="0"/>
      <w:divBdr>
        <w:top w:val="none" w:sz="0" w:space="0" w:color="auto"/>
        <w:left w:val="none" w:sz="0" w:space="0" w:color="auto"/>
        <w:bottom w:val="none" w:sz="0" w:space="0" w:color="auto"/>
        <w:right w:val="none" w:sz="0" w:space="0" w:color="auto"/>
      </w:divBdr>
    </w:div>
    <w:div w:id="1077358757">
      <w:bodyDiv w:val="1"/>
      <w:marLeft w:val="0"/>
      <w:marRight w:val="0"/>
      <w:marTop w:val="0"/>
      <w:marBottom w:val="0"/>
      <w:divBdr>
        <w:top w:val="none" w:sz="0" w:space="0" w:color="auto"/>
        <w:left w:val="none" w:sz="0" w:space="0" w:color="auto"/>
        <w:bottom w:val="none" w:sz="0" w:space="0" w:color="auto"/>
        <w:right w:val="none" w:sz="0" w:space="0" w:color="auto"/>
      </w:divBdr>
    </w:div>
    <w:div w:id="1077440388">
      <w:bodyDiv w:val="1"/>
      <w:marLeft w:val="0"/>
      <w:marRight w:val="0"/>
      <w:marTop w:val="0"/>
      <w:marBottom w:val="0"/>
      <w:divBdr>
        <w:top w:val="none" w:sz="0" w:space="0" w:color="auto"/>
        <w:left w:val="none" w:sz="0" w:space="0" w:color="auto"/>
        <w:bottom w:val="none" w:sz="0" w:space="0" w:color="auto"/>
        <w:right w:val="none" w:sz="0" w:space="0" w:color="auto"/>
      </w:divBdr>
    </w:div>
    <w:div w:id="1077441718">
      <w:bodyDiv w:val="1"/>
      <w:marLeft w:val="0"/>
      <w:marRight w:val="0"/>
      <w:marTop w:val="0"/>
      <w:marBottom w:val="0"/>
      <w:divBdr>
        <w:top w:val="none" w:sz="0" w:space="0" w:color="auto"/>
        <w:left w:val="none" w:sz="0" w:space="0" w:color="auto"/>
        <w:bottom w:val="none" w:sz="0" w:space="0" w:color="auto"/>
        <w:right w:val="none" w:sz="0" w:space="0" w:color="auto"/>
      </w:divBdr>
    </w:div>
    <w:div w:id="1077635394">
      <w:bodyDiv w:val="1"/>
      <w:marLeft w:val="0"/>
      <w:marRight w:val="0"/>
      <w:marTop w:val="0"/>
      <w:marBottom w:val="0"/>
      <w:divBdr>
        <w:top w:val="none" w:sz="0" w:space="0" w:color="auto"/>
        <w:left w:val="none" w:sz="0" w:space="0" w:color="auto"/>
        <w:bottom w:val="none" w:sz="0" w:space="0" w:color="auto"/>
        <w:right w:val="none" w:sz="0" w:space="0" w:color="auto"/>
      </w:divBdr>
    </w:div>
    <w:div w:id="1077706673">
      <w:bodyDiv w:val="1"/>
      <w:marLeft w:val="0"/>
      <w:marRight w:val="0"/>
      <w:marTop w:val="0"/>
      <w:marBottom w:val="0"/>
      <w:divBdr>
        <w:top w:val="none" w:sz="0" w:space="0" w:color="auto"/>
        <w:left w:val="none" w:sz="0" w:space="0" w:color="auto"/>
        <w:bottom w:val="none" w:sz="0" w:space="0" w:color="auto"/>
        <w:right w:val="none" w:sz="0" w:space="0" w:color="auto"/>
      </w:divBdr>
    </w:div>
    <w:div w:id="1077901205">
      <w:bodyDiv w:val="1"/>
      <w:marLeft w:val="0"/>
      <w:marRight w:val="0"/>
      <w:marTop w:val="0"/>
      <w:marBottom w:val="0"/>
      <w:divBdr>
        <w:top w:val="none" w:sz="0" w:space="0" w:color="auto"/>
        <w:left w:val="none" w:sz="0" w:space="0" w:color="auto"/>
        <w:bottom w:val="none" w:sz="0" w:space="0" w:color="auto"/>
        <w:right w:val="none" w:sz="0" w:space="0" w:color="auto"/>
      </w:divBdr>
    </w:div>
    <w:div w:id="1078017336">
      <w:bodyDiv w:val="1"/>
      <w:marLeft w:val="0"/>
      <w:marRight w:val="0"/>
      <w:marTop w:val="0"/>
      <w:marBottom w:val="0"/>
      <w:divBdr>
        <w:top w:val="none" w:sz="0" w:space="0" w:color="auto"/>
        <w:left w:val="none" w:sz="0" w:space="0" w:color="auto"/>
        <w:bottom w:val="none" w:sz="0" w:space="0" w:color="auto"/>
        <w:right w:val="none" w:sz="0" w:space="0" w:color="auto"/>
      </w:divBdr>
    </w:div>
    <w:div w:id="1078020706">
      <w:bodyDiv w:val="1"/>
      <w:marLeft w:val="0"/>
      <w:marRight w:val="0"/>
      <w:marTop w:val="0"/>
      <w:marBottom w:val="0"/>
      <w:divBdr>
        <w:top w:val="none" w:sz="0" w:space="0" w:color="auto"/>
        <w:left w:val="none" w:sz="0" w:space="0" w:color="auto"/>
        <w:bottom w:val="none" w:sz="0" w:space="0" w:color="auto"/>
        <w:right w:val="none" w:sz="0" w:space="0" w:color="auto"/>
      </w:divBdr>
    </w:div>
    <w:div w:id="1078022183">
      <w:bodyDiv w:val="1"/>
      <w:marLeft w:val="0"/>
      <w:marRight w:val="0"/>
      <w:marTop w:val="0"/>
      <w:marBottom w:val="0"/>
      <w:divBdr>
        <w:top w:val="none" w:sz="0" w:space="0" w:color="auto"/>
        <w:left w:val="none" w:sz="0" w:space="0" w:color="auto"/>
        <w:bottom w:val="none" w:sz="0" w:space="0" w:color="auto"/>
        <w:right w:val="none" w:sz="0" w:space="0" w:color="auto"/>
      </w:divBdr>
    </w:div>
    <w:div w:id="1078093674">
      <w:bodyDiv w:val="1"/>
      <w:marLeft w:val="0"/>
      <w:marRight w:val="0"/>
      <w:marTop w:val="0"/>
      <w:marBottom w:val="0"/>
      <w:divBdr>
        <w:top w:val="none" w:sz="0" w:space="0" w:color="auto"/>
        <w:left w:val="none" w:sz="0" w:space="0" w:color="auto"/>
        <w:bottom w:val="none" w:sz="0" w:space="0" w:color="auto"/>
        <w:right w:val="none" w:sz="0" w:space="0" w:color="auto"/>
      </w:divBdr>
    </w:div>
    <w:div w:id="1078135095">
      <w:bodyDiv w:val="1"/>
      <w:marLeft w:val="0"/>
      <w:marRight w:val="0"/>
      <w:marTop w:val="0"/>
      <w:marBottom w:val="0"/>
      <w:divBdr>
        <w:top w:val="none" w:sz="0" w:space="0" w:color="auto"/>
        <w:left w:val="none" w:sz="0" w:space="0" w:color="auto"/>
        <w:bottom w:val="none" w:sz="0" w:space="0" w:color="auto"/>
        <w:right w:val="none" w:sz="0" w:space="0" w:color="auto"/>
      </w:divBdr>
    </w:div>
    <w:div w:id="1078208848">
      <w:bodyDiv w:val="1"/>
      <w:marLeft w:val="0"/>
      <w:marRight w:val="0"/>
      <w:marTop w:val="0"/>
      <w:marBottom w:val="0"/>
      <w:divBdr>
        <w:top w:val="none" w:sz="0" w:space="0" w:color="auto"/>
        <w:left w:val="none" w:sz="0" w:space="0" w:color="auto"/>
        <w:bottom w:val="none" w:sz="0" w:space="0" w:color="auto"/>
        <w:right w:val="none" w:sz="0" w:space="0" w:color="auto"/>
      </w:divBdr>
    </w:div>
    <w:div w:id="1078212534">
      <w:bodyDiv w:val="1"/>
      <w:marLeft w:val="0"/>
      <w:marRight w:val="0"/>
      <w:marTop w:val="0"/>
      <w:marBottom w:val="0"/>
      <w:divBdr>
        <w:top w:val="none" w:sz="0" w:space="0" w:color="auto"/>
        <w:left w:val="none" w:sz="0" w:space="0" w:color="auto"/>
        <w:bottom w:val="none" w:sz="0" w:space="0" w:color="auto"/>
        <w:right w:val="none" w:sz="0" w:space="0" w:color="auto"/>
      </w:divBdr>
    </w:div>
    <w:div w:id="1078212769">
      <w:bodyDiv w:val="1"/>
      <w:marLeft w:val="0"/>
      <w:marRight w:val="0"/>
      <w:marTop w:val="0"/>
      <w:marBottom w:val="0"/>
      <w:divBdr>
        <w:top w:val="none" w:sz="0" w:space="0" w:color="auto"/>
        <w:left w:val="none" w:sz="0" w:space="0" w:color="auto"/>
        <w:bottom w:val="none" w:sz="0" w:space="0" w:color="auto"/>
        <w:right w:val="none" w:sz="0" w:space="0" w:color="auto"/>
      </w:divBdr>
    </w:div>
    <w:div w:id="1078284497">
      <w:bodyDiv w:val="1"/>
      <w:marLeft w:val="0"/>
      <w:marRight w:val="0"/>
      <w:marTop w:val="0"/>
      <w:marBottom w:val="0"/>
      <w:divBdr>
        <w:top w:val="none" w:sz="0" w:space="0" w:color="auto"/>
        <w:left w:val="none" w:sz="0" w:space="0" w:color="auto"/>
        <w:bottom w:val="none" w:sz="0" w:space="0" w:color="auto"/>
        <w:right w:val="none" w:sz="0" w:space="0" w:color="auto"/>
      </w:divBdr>
    </w:div>
    <w:div w:id="1078291308">
      <w:bodyDiv w:val="1"/>
      <w:marLeft w:val="0"/>
      <w:marRight w:val="0"/>
      <w:marTop w:val="0"/>
      <w:marBottom w:val="0"/>
      <w:divBdr>
        <w:top w:val="none" w:sz="0" w:space="0" w:color="auto"/>
        <w:left w:val="none" w:sz="0" w:space="0" w:color="auto"/>
        <w:bottom w:val="none" w:sz="0" w:space="0" w:color="auto"/>
        <w:right w:val="none" w:sz="0" w:space="0" w:color="auto"/>
      </w:divBdr>
    </w:div>
    <w:div w:id="1078361094">
      <w:bodyDiv w:val="1"/>
      <w:marLeft w:val="0"/>
      <w:marRight w:val="0"/>
      <w:marTop w:val="0"/>
      <w:marBottom w:val="0"/>
      <w:divBdr>
        <w:top w:val="none" w:sz="0" w:space="0" w:color="auto"/>
        <w:left w:val="none" w:sz="0" w:space="0" w:color="auto"/>
        <w:bottom w:val="none" w:sz="0" w:space="0" w:color="auto"/>
        <w:right w:val="none" w:sz="0" w:space="0" w:color="auto"/>
      </w:divBdr>
    </w:div>
    <w:div w:id="1078400310">
      <w:bodyDiv w:val="1"/>
      <w:marLeft w:val="0"/>
      <w:marRight w:val="0"/>
      <w:marTop w:val="0"/>
      <w:marBottom w:val="0"/>
      <w:divBdr>
        <w:top w:val="none" w:sz="0" w:space="0" w:color="auto"/>
        <w:left w:val="none" w:sz="0" w:space="0" w:color="auto"/>
        <w:bottom w:val="none" w:sz="0" w:space="0" w:color="auto"/>
        <w:right w:val="none" w:sz="0" w:space="0" w:color="auto"/>
      </w:divBdr>
    </w:div>
    <w:div w:id="1078554751">
      <w:bodyDiv w:val="1"/>
      <w:marLeft w:val="0"/>
      <w:marRight w:val="0"/>
      <w:marTop w:val="0"/>
      <w:marBottom w:val="0"/>
      <w:divBdr>
        <w:top w:val="none" w:sz="0" w:space="0" w:color="auto"/>
        <w:left w:val="none" w:sz="0" w:space="0" w:color="auto"/>
        <w:bottom w:val="none" w:sz="0" w:space="0" w:color="auto"/>
        <w:right w:val="none" w:sz="0" w:space="0" w:color="auto"/>
      </w:divBdr>
    </w:div>
    <w:div w:id="1078556908">
      <w:bodyDiv w:val="1"/>
      <w:marLeft w:val="0"/>
      <w:marRight w:val="0"/>
      <w:marTop w:val="0"/>
      <w:marBottom w:val="0"/>
      <w:divBdr>
        <w:top w:val="none" w:sz="0" w:space="0" w:color="auto"/>
        <w:left w:val="none" w:sz="0" w:space="0" w:color="auto"/>
        <w:bottom w:val="none" w:sz="0" w:space="0" w:color="auto"/>
        <w:right w:val="none" w:sz="0" w:space="0" w:color="auto"/>
      </w:divBdr>
    </w:div>
    <w:div w:id="1078862872">
      <w:bodyDiv w:val="1"/>
      <w:marLeft w:val="0"/>
      <w:marRight w:val="0"/>
      <w:marTop w:val="0"/>
      <w:marBottom w:val="0"/>
      <w:divBdr>
        <w:top w:val="none" w:sz="0" w:space="0" w:color="auto"/>
        <w:left w:val="none" w:sz="0" w:space="0" w:color="auto"/>
        <w:bottom w:val="none" w:sz="0" w:space="0" w:color="auto"/>
        <w:right w:val="none" w:sz="0" w:space="0" w:color="auto"/>
      </w:divBdr>
    </w:div>
    <w:div w:id="1078870232">
      <w:bodyDiv w:val="1"/>
      <w:marLeft w:val="0"/>
      <w:marRight w:val="0"/>
      <w:marTop w:val="0"/>
      <w:marBottom w:val="0"/>
      <w:divBdr>
        <w:top w:val="none" w:sz="0" w:space="0" w:color="auto"/>
        <w:left w:val="none" w:sz="0" w:space="0" w:color="auto"/>
        <w:bottom w:val="none" w:sz="0" w:space="0" w:color="auto"/>
        <w:right w:val="none" w:sz="0" w:space="0" w:color="auto"/>
      </w:divBdr>
    </w:div>
    <w:div w:id="1078938482">
      <w:bodyDiv w:val="1"/>
      <w:marLeft w:val="0"/>
      <w:marRight w:val="0"/>
      <w:marTop w:val="0"/>
      <w:marBottom w:val="0"/>
      <w:divBdr>
        <w:top w:val="none" w:sz="0" w:space="0" w:color="auto"/>
        <w:left w:val="none" w:sz="0" w:space="0" w:color="auto"/>
        <w:bottom w:val="none" w:sz="0" w:space="0" w:color="auto"/>
        <w:right w:val="none" w:sz="0" w:space="0" w:color="auto"/>
      </w:divBdr>
    </w:div>
    <w:div w:id="1078945178">
      <w:bodyDiv w:val="1"/>
      <w:marLeft w:val="0"/>
      <w:marRight w:val="0"/>
      <w:marTop w:val="0"/>
      <w:marBottom w:val="0"/>
      <w:divBdr>
        <w:top w:val="none" w:sz="0" w:space="0" w:color="auto"/>
        <w:left w:val="none" w:sz="0" w:space="0" w:color="auto"/>
        <w:bottom w:val="none" w:sz="0" w:space="0" w:color="auto"/>
        <w:right w:val="none" w:sz="0" w:space="0" w:color="auto"/>
      </w:divBdr>
    </w:div>
    <w:div w:id="1079131303">
      <w:bodyDiv w:val="1"/>
      <w:marLeft w:val="0"/>
      <w:marRight w:val="0"/>
      <w:marTop w:val="0"/>
      <w:marBottom w:val="0"/>
      <w:divBdr>
        <w:top w:val="none" w:sz="0" w:space="0" w:color="auto"/>
        <w:left w:val="none" w:sz="0" w:space="0" w:color="auto"/>
        <w:bottom w:val="none" w:sz="0" w:space="0" w:color="auto"/>
        <w:right w:val="none" w:sz="0" w:space="0" w:color="auto"/>
      </w:divBdr>
    </w:div>
    <w:div w:id="1079181933">
      <w:bodyDiv w:val="1"/>
      <w:marLeft w:val="0"/>
      <w:marRight w:val="0"/>
      <w:marTop w:val="0"/>
      <w:marBottom w:val="0"/>
      <w:divBdr>
        <w:top w:val="none" w:sz="0" w:space="0" w:color="auto"/>
        <w:left w:val="none" w:sz="0" w:space="0" w:color="auto"/>
        <w:bottom w:val="none" w:sz="0" w:space="0" w:color="auto"/>
        <w:right w:val="none" w:sz="0" w:space="0" w:color="auto"/>
      </w:divBdr>
    </w:div>
    <w:div w:id="1079255395">
      <w:bodyDiv w:val="1"/>
      <w:marLeft w:val="0"/>
      <w:marRight w:val="0"/>
      <w:marTop w:val="0"/>
      <w:marBottom w:val="0"/>
      <w:divBdr>
        <w:top w:val="none" w:sz="0" w:space="0" w:color="auto"/>
        <w:left w:val="none" w:sz="0" w:space="0" w:color="auto"/>
        <w:bottom w:val="none" w:sz="0" w:space="0" w:color="auto"/>
        <w:right w:val="none" w:sz="0" w:space="0" w:color="auto"/>
      </w:divBdr>
    </w:div>
    <w:div w:id="1079323807">
      <w:bodyDiv w:val="1"/>
      <w:marLeft w:val="0"/>
      <w:marRight w:val="0"/>
      <w:marTop w:val="0"/>
      <w:marBottom w:val="0"/>
      <w:divBdr>
        <w:top w:val="none" w:sz="0" w:space="0" w:color="auto"/>
        <w:left w:val="none" w:sz="0" w:space="0" w:color="auto"/>
        <w:bottom w:val="none" w:sz="0" w:space="0" w:color="auto"/>
        <w:right w:val="none" w:sz="0" w:space="0" w:color="auto"/>
      </w:divBdr>
    </w:div>
    <w:div w:id="1079326286">
      <w:bodyDiv w:val="1"/>
      <w:marLeft w:val="0"/>
      <w:marRight w:val="0"/>
      <w:marTop w:val="0"/>
      <w:marBottom w:val="0"/>
      <w:divBdr>
        <w:top w:val="none" w:sz="0" w:space="0" w:color="auto"/>
        <w:left w:val="none" w:sz="0" w:space="0" w:color="auto"/>
        <w:bottom w:val="none" w:sz="0" w:space="0" w:color="auto"/>
        <w:right w:val="none" w:sz="0" w:space="0" w:color="auto"/>
      </w:divBdr>
    </w:div>
    <w:div w:id="1079329234">
      <w:bodyDiv w:val="1"/>
      <w:marLeft w:val="0"/>
      <w:marRight w:val="0"/>
      <w:marTop w:val="0"/>
      <w:marBottom w:val="0"/>
      <w:divBdr>
        <w:top w:val="none" w:sz="0" w:space="0" w:color="auto"/>
        <w:left w:val="none" w:sz="0" w:space="0" w:color="auto"/>
        <w:bottom w:val="none" w:sz="0" w:space="0" w:color="auto"/>
        <w:right w:val="none" w:sz="0" w:space="0" w:color="auto"/>
      </w:divBdr>
    </w:div>
    <w:div w:id="1079329706">
      <w:bodyDiv w:val="1"/>
      <w:marLeft w:val="0"/>
      <w:marRight w:val="0"/>
      <w:marTop w:val="0"/>
      <w:marBottom w:val="0"/>
      <w:divBdr>
        <w:top w:val="none" w:sz="0" w:space="0" w:color="auto"/>
        <w:left w:val="none" w:sz="0" w:space="0" w:color="auto"/>
        <w:bottom w:val="none" w:sz="0" w:space="0" w:color="auto"/>
        <w:right w:val="none" w:sz="0" w:space="0" w:color="auto"/>
      </w:divBdr>
    </w:div>
    <w:div w:id="1079402508">
      <w:bodyDiv w:val="1"/>
      <w:marLeft w:val="0"/>
      <w:marRight w:val="0"/>
      <w:marTop w:val="0"/>
      <w:marBottom w:val="0"/>
      <w:divBdr>
        <w:top w:val="none" w:sz="0" w:space="0" w:color="auto"/>
        <w:left w:val="none" w:sz="0" w:space="0" w:color="auto"/>
        <w:bottom w:val="none" w:sz="0" w:space="0" w:color="auto"/>
        <w:right w:val="none" w:sz="0" w:space="0" w:color="auto"/>
      </w:divBdr>
    </w:div>
    <w:div w:id="1079519383">
      <w:bodyDiv w:val="1"/>
      <w:marLeft w:val="0"/>
      <w:marRight w:val="0"/>
      <w:marTop w:val="0"/>
      <w:marBottom w:val="0"/>
      <w:divBdr>
        <w:top w:val="none" w:sz="0" w:space="0" w:color="auto"/>
        <w:left w:val="none" w:sz="0" w:space="0" w:color="auto"/>
        <w:bottom w:val="none" w:sz="0" w:space="0" w:color="auto"/>
        <w:right w:val="none" w:sz="0" w:space="0" w:color="auto"/>
      </w:divBdr>
    </w:div>
    <w:div w:id="1079519870">
      <w:bodyDiv w:val="1"/>
      <w:marLeft w:val="0"/>
      <w:marRight w:val="0"/>
      <w:marTop w:val="0"/>
      <w:marBottom w:val="0"/>
      <w:divBdr>
        <w:top w:val="none" w:sz="0" w:space="0" w:color="auto"/>
        <w:left w:val="none" w:sz="0" w:space="0" w:color="auto"/>
        <w:bottom w:val="none" w:sz="0" w:space="0" w:color="auto"/>
        <w:right w:val="none" w:sz="0" w:space="0" w:color="auto"/>
      </w:divBdr>
    </w:div>
    <w:div w:id="1079600849">
      <w:bodyDiv w:val="1"/>
      <w:marLeft w:val="0"/>
      <w:marRight w:val="0"/>
      <w:marTop w:val="0"/>
      <w:marBottom w:val="0"/>
      <w:divBdr>
        <w:top w:val="none" w:sz="0" w:space="0" w:color="auto"/>
        <w:left w:val="none" w:sz="0" w:space="0" w:color="auto"/>
        <w:bottom w:val="none" w:sz="0" w:space="0" w:color="auto"/>
        <w:right w:val="none" w:sz="0" w:space="0" w:color="auto"/>
      </w:divBdr>
    </w:div>
    <w:div w:id="1079717618">
      <w:bodyDiv w:val="1"/>
      <w:marLeft w:val="0"/>
      <w:marRight w:val="0"/>
      <w:marTop w:val="0"/>
      <w:marBottom w:val="0"/>
      <w:divBdr>
        <w:top w:val="none" w:sz="0" w:space="0" w:color="auto"/>
        <w:left w:val="none" w:sz="0" w:space="0" w:color="auto"/>
        <w:bottom w:val="none" w:sz="0" w:space="0" w:color="auto"/>
        <w:right w:val="none" w:sz="0" w:space="0" w:color="auto"/>
      </w:divBdr>
    </w:div>
    <w:div w:id="1080058895">
      <w:bodyDiv w:val="1"/>
      <w:marLeft w:val="0"/>
      <w:marRight w:val="0"/>
      <w:marTop w:val="0"/>
      <w:marBottom w:val="0"/>
      <w:divBdr>
        <w:top w:val="none" w:sz="0" w:space="0" w:color="auto"/>
        <w:left w:val="none" w:sz="0" w:space="0" w:color="auto"/>
        <w:bottom w:val="none" w:sz="0" w:space="0" w:color="auto"/>
        <w:right w:val="none" w:sz="0" w:space="0" w:color="auto"/>
      </w:divBdr>
    </w:div>
    <w:div w:id="1080131402">
      <w:bodyDiv w:val="1"/>
      <w:marLeft w:val="0"/>
      <w:marRight w:val="0"/>
      <w:marTop w:val="0"/>
      <w:marBottom w:val="0"/>
      <w:divBdr>
        <w:top w:val="none" w:sz="0" w:space="0" w:color="auto"/>
        <w:left w:val="none" w:sz="0" w:space="0" w:color="auto"/>
        <w:bottom w:val="none" w:sz="0" w:space="0" w:color="auto"/>
        <w:right w:val="none" w:sz="0" w:space="0" w:color="auto"/>
      </w:divBdr>
    </w:div>
    <w:div w:id="1080175050">
      <w:bodyDiv w:val="1"/>
      <w:marLeft w:val="0"/>
      <w:marRight w:val="0"/>
      <w:marTop w:val="0"/>
      <w:marBottom w:val="0"/>
      <w:divBdr>
        <w:top w:val="none" w:sz="0" w:space="0" w:color="auto"/>
        <w:left w:val="none" w:sz="0" w:space="0" w:color="auto"/>
        <w:bottom w:val="none" w:sz="0" w:space="0" w:color="auto"/>
        <w:right w:val="none" w:sz="0" w:space="0" w:color="auto"/>
      </w:divBdr>
    </w:div>
    <w:div w:id="1080178646">
      <w:bodyDiv w:val="1"/>
      <w:marLeft w:val="0"/>
      <w:marRight w:val="0"/>
      <w:marTop w:val="0"/>
      <w:marBottom w:val="0"/>
      <w:divBdr>
        <w:top w:val="none" w:sz="0" w:space="0" w:color="auto"/>
        <w:left w:val="none" w:sz="0" w:space="0" w:color="auto"/>
        <w:bottom w:val="none" w:sz="0" w:space="0" w:color="auto"/>
        <w:right w:val="none" w:sz="0" w:space="0" w:color="auto"/>
      </w:divBdr>
    </w:div>
    <w:div w:id="1080179978">
      <w:bodyDiv w:val="1"/>
      <w:marLeft w:val="0"/>
      <w:marRight w:val="0"/>
      <w:marTop w:val="0"/>
      <w:marBottom w:val="0"/>
      <w:divBdr>
        <w:top w:val="none" w:sz="0" w:space="0" w:color="auto"/>
        <w:left w:val="none" w:sz="0" w:space="0" w:color="auto"/>
        <w:bottom w:val="none" w:sz="0" w:space="0" w:color="auto"/>
        <w:right w:val="none" w:sz="0" w:space="0" w:color="auto"/>
      </w:divBdr>
    </w:div>
    <w:div w:id="1080296220">
      <w:bodyDiv w:val="1"/>
      <w:marLeft w:val="0"/>
      <w:marRight w:val="0"/>
      <w:marTop w:val="0"/>
      <w:marBottom w:val="0"/>
      <w:divBdr>
        <w:top w:val="none" w:sz="0" w:space="0" w:color="auto"/>
        <w:left w:val="none" w:sz="0" w:space="0" w:color="auto"/>
        <w:bottom w:val="none" w:sz="0" w:space="0" w:color="auto"/>
        <w:right w:val="none" w:sz="0" w:space="0" w:color="auto"/>
      </w:divBdr>
    </w:div>
    <w:div w:id="1080299041">
      <w:bodyDiv w:val="1"/>
      <w:marLeft w:val="0"/>
      <w:marRight w:val="0"/>
      <w:marTop w:val="0"/>
      <w:marBottom w:val="0"/>
      <w:divBdr>
        <w:top w:val="none" w:sz="0" w:space="0" w:color="auto"/>
        <w:left w:val="none" w:sz="0" w:space="0" w:color="auto"/>
        <w:bottom w:val="none" w:sz="0" w:space="0" w:color="auto"/>
        <w:right w:val="none" w:sz="0" w:space="0" w:color="auto"/>
      </w:divBdr>
    </w:div>
    <w:div w:id="1080443368">
      <w:bodyDiv w:val="1"/>
      <w:marLeft w:val="0"/>
      <w:marRight w:val="0"/>
      <w:marTop w:val="0"/>
      <w:marBottom w:val="0"/>
      <w:divBdr>
        <w:top w:val="none" w:sz="0" w:space="0" w:color="auto"/>
        <w:left w:val="none" w:sz="0" w:space="0" w:color="auto"/>
        <w:bottom w:val="none" w:sz="0" w:space="0" w:color="auto"/>
        <w:right w:val="none" w:sz="0" w:space="0" w:color="auto"/>
      </w:divBdr>
    </w:div>
    <w:div w:id="1080449277">
      <w:bodyDiv w:val="1"/>
      <w:marLeft w:val="0"/>
      <w:marRight w:val="0"/>
      <w:marTop w:val="0"/>
      <w:marBottom w:val="0"/>
      <w:divBdr>
        <w:top w:val="none" w:sz="0" w:space="0" w:color="auto"/>
        <w:left w:val="none" w:sz="0" w:space="0" w:color="auto"/>
        <w:bottom w:val="none" w:sz="0" w:space="0" w:color="auto"/>
        <w:right w:val="none" w:sz="0" w:space="0" w:color="auto"/>
      </w:divBdr>
    </w:div>
    <w:div w:id="1080516600">
      <w:bodyDiv w:val="1"/>
      <w:marLeft w:val="0"/>
      <w:marRight w:val="0"/>
      <w:marTop w:val="0"/>
      <w:marBottom w:val="0"/>
      <w:divBdr>
        <w:top w:val="none" w:sz="0" w:space="0" w:color="auto"/>
        <w:left w:val="none" w:sz="0" w:space="0" w:color="auto"/>
        <w:bottom w:val="none" w:sz="0" w:space="0" w:color="auto"/>
        <w:right w:val="none" w:sz="0" w:space="0" w:color="auto"/>
      </w:divBdr>
    </w:div>
    <w:div w:id="1080517660">
      <w:bodyDiv w:val="1"/>
      <w:marLeft w:val="0"/>
      <w:marRight w:val="0"/>
      <w:marTop w:val="0"/>
      <w:marBottom w:val="0"/>
      <w:divBdr>
        <w:top w:val="none" w:sz="0" w:space="0" w:color="auto"/>
        <w:left w:val="none" w:sz="0" w:space="0" w:color="auto"/>
        <w:bottom w:val="none" w:sz="0" w:space="0" w:color="auto"/>
        <w:right w:val="none" w:sz="0" w:space="0" w:color="auto"/>
      </w:divBdr>
    </w:div>
    <w:div w:id="1080715131">
      <w:bodyDiv w:val="1"/>
      <w:marLeft w:val="0"/>
      <w:marRight w:val="0"/>
      <w:marTop w:val="0"/>
      <w:marBottom w:val="0"/>
      <w:divBdr>
        <w:top w:val="none" w:sz="0" w:space="0" w:color="auto"/>
        <w:left w:val="none" w:sz="0" w:space="0" w:color="auto"/>
        <w:bottom w:val="none" w:sz="0" w:space="0" w:color="auto"/>
        <w:right w:val="none" w:sz="0" w:space="0" w:color="auto"/>
      </w:divBdr>
    </w:div>
    <w:div w:id="1080716400">
      <w:bodyDiv w:val="1"/>
      <w:marLeft w:val="0"/>
      <w:marRight w:val="0"/>
      <w:marTop w:val="0"/>
      <w:marBottom w:val="0"/>
      <w:divBdr>
        <w:top w:val="none" w:sz="0" w:space="0" w:color="auto"/>
        <w:left w:val="none" w:sz="0" w:space="0" w:color="auto"/>
        <w:bottom w:val="none" w:sz="0" w:space="0" w:color="auto"/>
        <w:right w:val="none" w:sz="0" w:space="0" w:color="auto"/>
      </w:divBdr>
    </w:div>
    <w:div w:id="1080829994">
      <w:bodyDiv w:val="1"/>
      <w:marLeft w:val="0"/>
      <w:marRight w:val="0"/>
      <w:marTop w:val="0"/>
      <w:marBottom w:val="0"/>
      <w:divBdr>
        <w:top w:val="none" w:sz="0" w:space="0" w:color="auto"/>
        <w:left w:val="none" w:sz="0" w:space="0" w:color="auto"/>
        <w:bottom w:val="none" w:sz="0" w:space="0" w:color="auto"/>
        <w:right w:val="none" w:sz="0" w:space="0" w:color="auto"/>
      </w:divBdr>
    </w:div>
    <w:div w:id="1080980372">
      <w:bodyDiv w:val="1"/>
      <w:marLeft w:val="0"/>
      <w:marRight w:val="0"/>
      <w:marTop w:val="0"/>
      <w:marBottom w:val="0"/>
      <w:divBdr>
        <w:top w:val="none" w:sz="0" w:space="0" w:color="auto"/>
        <w:left w:val="none" w:sz="0" w:space="0" w:color="auto"/>
        <w:bottom w:val="none" w:sz="0" w:space="0" w:color="auto"/>
        <w:right w:val="none" w:sz="0" w:space="0" w:color="auto"/>
      </w:divBdr>
    </w:div>
    <w:div w:id="1081020997">
      <w:bodyDiv w:val="1"/>
      <w:marLeft w:val="0"/>
      <w:marRight w:val="0"/>
      <w:marTop w:val="0"/>
      <w:marBottom w:val="0"/>
      <w:divBdr>
        <w:top w:val="none" w:sz="0" w:space="0" w:color="auto"/>
        <w:left w:val="none" w:sz="0" w:space="0" w:color="auto"/>
        <w:bottom w:val="none" w:sz="0" w:space="0" w:color="auto"/>
        <w:right w:val="none" w:sz="0" w:space="0" w:color="auto"/>
      </w:divBdr>
    </w:div>
    <w:div w:id="1081099273">
      <w:bodyDiv w:val="1"/>
      <w:marLeft w:val="0"/>
      <w:marRight w:val="0"/>
      <w:marTop w:val="0"/>
      <w:marBottom w:val="0"/>
      <w:divBdr>
        <w:top w:val="none" w:sz="0" w:space="0" w:color="auto"/>
        <w:left w:val="none" w:sz="0" w:space="0" w:color="auto"/>
        <w:bottom w:val="none" w:sz="0" w:space="0" w:color="auto"/>
        <w:right w:val="none" w:sz="0" w:space="0" w:color="auto"/>
      </w:divBdr>
    </w:div>
    <w:div w:id="1081175561">
      <w:bodyDiv w:val="1"/>
      <w:marLeft w:val="0"/>
      <w:marRight w:val="0"/>
      <w:marTop w:val="0"/>
      <w:marBottom w:val="0"/>
      <w:divBdr>
        <w:top w:val="none" w:sz="0" w:space="0" w:color="auto"/>
        <w:left w:val="none" w:sz="0" w:space="0" w:color="auto"/>
        <w:bottom w:val="none" w:sz="0" w:space="0" w:color="auto"/>
        <w:right w:val="none" w:sz="0" w:space="0" w:color="auto"/>
      </w:divBdr>
    </w:div>
    <w:div w:id="1081295127">
      <w:bodyDiv w:val="1"/>
      <w:marLeft w:val="0"/>
      <w:marRight w:val="0"/>
      <w:marTop w:val="0"/>
      <w:marBottom w:val="0"/>
      <w:divBdr>
        <w:top w:val="none" w:sz="0" w:space="0" w:color="auto"/>
        <w:left w:val="none" w:sz="0" w:space="0" w:color="auto"/>
        <w:bottom w:val="none" w:sz="0" w:space="0" w:color="auto"/>
        <w:right w:val="none" w:sz="0" w:space="0" w:color="auto"/>
      </w:divBdr>
    </w:div>
    <w:div w:id="1081364792">
      <w:bodyDiv w:val="1"/>
      <w:marLeft w:val="0"/>
      <w:marRight w:val="0"/>
      <w:marTop w:val="0"/>
      <w:marBottom w:val="0"/>
      <w:divBdr>
        <w:top w:val="none" w:sz="0" w:space="0" w:color="auto"/>
        <w:left w:val="none" w:sz="0" w:space="0" w:color="auto"/>
        <w:bottom w:val="none" w:sz="0" w:space="0" w:color="auto"/>
        <w:right w:val="none" w:sz="0" w:space="0" w:color="auto"/>
      </w:divBdr>
    </w:div>
    <w:div w:id="1081369091">
      <w:bodyDiv w:val="1"/>
      <w:marLeft w:val="0"/>
      <w:marRight w:val="0"/>
      <w:marTop w:val="0"/>
      <w:marBottom w:val="0"/>
      <w:divBdr>
        <w:top w:val="none" w:sz="0" w:space="0" w:color="auto"/>
        <w:left w:val="none" w:sz="0" w:space="0" w:color="auto"/>
        <w:bottom w:val="none" w:sz="0" w:space="0" w:color="auto"/>
        <w:right w:val="none" w:sz="0" w:space="0" w:color="auto"/>
      </w:divBdr>
    </w:div>
    <w:div w:id="1081369829">
      <w:bodyDiv w:val="1"/>
      <w:marLeft w:val="0"/>
      <w:marRight w:val="0"/>
      <w:marTop w:val="0"/>
      <w:marBottom w:val="0"/>
      <w:divBdr>
        <w:top w:val="none" w:sz="0" w:space="0" w:color="auto"/>
        <w:left w:val="none" w:sz="0" w:space="0" w:color="auto"/>
        <w:bottom w:val="none" w:sz="0" w:space="0" w:color="auto"/>
        <w:right w:val="none" w:sz="0" w:space="0" w:color="auto"/>
      </w:divBdr>
    </w:div>
    <w:div w:id="1081370448">
      <w:bodyDiv w:val="1"/>
      <w:marLeft w:val="0"/>
      <w:marRight w:val="0"/>
      <w:marTop w:val="0"/>
      <w:marBottom w:val="0"/>
      <w:divBdr>
        <w:top w:val="none" w:sz="0" w:space="0" w:color="auto"/>
        <w:left w:val="none" w:sz="0" w:space="0" w:color="auto"/>
        <w:bottom w:val="none" w:sz="0" w:space="0" w:color="auto"/>
        <w:right w:val="none" w:sz="0" w:space="0" w:color="auto"/>
      </w:divBdr>
    </w:div>
    <w:div w:id="1081410398">
      <w:bodyDiv w:val="1"/>
      <w:marLeft w:val="0"/>
      <w:marRight w:val="0"/>
      <w:marTop w:val="0"/>
      <w:marBottom w:val="0"/>
      <w:divBdr>
        <w:top w:val="none" w:sz="0" w:space="0" w:color="auto"/>
        <w:left w:val="none" w:sz="0" w:space="0" w:color="auto"/>
        <w:bottom w:val="none" w:sz="0" w:space="0" w:color="auto"/>
        <w:right w:val="none" w:sz="0" w:space="0" w:color="auto"/>
      </w:divBdr>
    </w:div>
    <w:div w:id="1081414500">
      <w:bodyDiv w:val="1"/>
      <w:marLeft w:val="0"/>
      <w:marRight w:val="0"/>
      <w:marTop w:val="0"/>
      <w:marBottom w:val="0"/>
      <w:divBdr>
        <w:top w:val="none" w:sz="0" w:space="0" w:color="auto"/>
        <w:left w:val="none" w:sz="0" w:space="0" w:color="auto"/>
        <w:bottom w:val="none" w:sz="0" w:space="0" w:color="auto"/>
        <w:right w:val="none" w:sz="0" w:space="0" w:color="auto"/>
      </w:divBdr>
    </w:div>
    <w:div w:id="1081442120">
      <w:bodyDiv w:val="1"/>
      <w:marLeft w:val="0"/>
      <w:marRight w:val="0"/>
      <w:marTop w:val="0"/>
      <w:marBottom w:val="0"/>
      <w:divBdr>
        <w:top w:val="none" w:sz="0" w:space="0" w:color="auto"/>
        <w:left w:val="none" w:sz="0" w:space="0" w:color="auto"/>
        <w:bottom w:val="none" w:sz="0" w:space="0" w:color="auto"/>
        <w:right w:val="none" w:sz="0" w:space="0" w:color="auto"/>
      </w:divBdr>
    </w:div>
    <w:div w:id="1081483864">
      <w:bodyDiv w:val="1"/>
      <w:marLeft w:val="0"/>
      <w:marRight w:val="0"/>
      <w:marTop w:val="0"/>
      <w:marBottom w:val="0"/>
      <w:divBdr>
        <w:top w:val="none" w:sz="0" w:space="0" w:color="auto"/>
        <w:left w:val="none" w:sz="0" w:space="0" w:color="auto"/>
        <w:bottom w:val="none" w:sz="0" w:space="0" w:color="auto"/>
        <w:right w:val="none" w:sz="0" w:space="0" w:color="auto"/>
      </w:divBdr>
    </w:div>
    <w:div w:id="1081490730">
      <w:bodyDiv w:val="1"/>
      <w:marLeft w:val="0"/>
      <w:marRight w:val="0"/>
      <w:marTop w:val="0"/>
      <w:marBottom w:val="0"/>
      <w:divBdr>
        <w:top w:val="none" w:sz="0" w:space="0" w:color="auto"/>
        <w:left w:val="none" w:sz="0" w:space="0" w:color="auto"/>
        <w:bottom w:val="none" w:sz="0" w:space="0" w:color="auto"/>
        <w:right w:val="none" w:sz="0" w:space="0" w:color="auto"/>
      </w:divBdr>
    </w:div>
    <w:div w:id="1081563336">
      <w:bodyDiv w:val="1"/>
      <w:marLeft w:val="0"/>
      <w:marRight w:val="0"/>
      <w:marTop w:val="0"/>
      <w:marBottom w:val="0"/>
      <w:divBdr>
        <w:top w:val="none" w:sz="0" w:space="0" w:color="auto"/>
        <w:left w:val="none" w:sz="0" w:space="0" w:color="auto"/>
        <w:bottom w:val="none" w:sz="0" w:space="0" w:color="auto"/>
        <w:right w:val="none" w:sz="0" w:space="0" w:color="auto"/>
      </w:divBdr>
    </w:div>
    <w:div w:id="1081684491">
      <w:bodyDiv w:val="1"/>
      <w:marLeft w:val="0"/>
      <w:marRight w:val="0"/>
      <w:marTop w:val="0"/>
      <w:marBottom w:val="0"/>
      <w:divBdr>
        <w:top w:val="none" w:sz="0" w:space="0" w:color="auto"/>
        <w:left w:val="none" w:sz="0" w:space="0" w:color="auto"/>
        <w:bottom w:val="none" w:sz="0" w:space="0" w:color="auto"/>
        <w:right w:val="none" w:sz="0" w:space="0" w:color="auto"/>
      </w:divBdr>
    </w:div>
    <w:div w:id="1081756183">
      <w:bodyDiv w:val="1"/>
      <w:marLeft w:val="0"/>
      <w:marRight w:val="0"/>
      <w:marTop w:val="0"/>
      <w:marBottom w:val="0"/>
      <w:divBdr>
        <w:top w:val="none" w:sz="0" w:space="0" w:color="auto"/>
        <w:left w:val="none" w:sz="0" w:space="0" w:color="auto"/>
        <w:bottom w:val="none" w:sz="0" w:space="0" w:color="auto"/>
        <w:right w:val="none" w:sz="0" w:space="0" w:color="auto"/>
      </w:divBdr>
    </w:div>
    <w:div w:id="1081758597">
      <w:bodyDiv w:val="1"/>
      <w:marLeft w:val="0"/>
      <w:marRight w:val="0"/>
      <w:marTop w:val="0"/>
      <w:marBottom w:val="0"/>
      <w:divBdr>
        <w:top w:val="none" w:sz="0" w:space="0" w:color="auto"/>
        <w:left w:val="none" w:sz="0" w:space="0" w:color="auto"/>
        <w:bottom w:val="none" w:sz="0" w:space="0" w:color="auto"/>
        <w:right w:val="none" w:sz="0" w:space="0" w:color="auto"/>
      </w:divBdr>
    </w:div>
    <w:div w:id="1081877506">
      <w:bodyDiv w:val="1"/>
      <w:marLeft w:val="0"/>
      <w:marRight w:val="0"/>
      <w:marTop w:val="0"/>
      <w:marBottom w:val="0"/>
      <w:divBdr>
        <w:top w:val="none" w:sz="0" w:space="0" w:color="auto"/>
        <w:left w:val="none" w:sz="0" w:space="0" w:color="auto"/>
        <w:bottom w:val="none" w:sz="0" w:space="0" w:color="auto"/>
        <w:right w:val="none" w:sz="0" w:space="0" w:color="auto"/>
      </w:divBdr>
    </w:div>
    <w:div w:id="1081948120">
      <w:bodyDiv w:val="1"/>
      <w:marLeft w:val="0"/>
      <w:marRight w:val="0"/>
      <w:marTop w:val="0"/>
      <w:marBottom w:val="0"/>
      <w:divBdr>
        <w:top w:val="none" w:sz="0" w:space="0" w:color="auto"/>
        <w:left w:val="none" w:sz="0" w:space="0" w:color="auto"/>
        <w:bottom w:val="none" w:sz="0" w:space="0" w:color="auto"/>
        <w:right w:val="none" w:sz="0" w:space="0" w:color="auto"/>
      </w:divBdr>
    </w:div>
    <w:div w:id="1082138355">
      <w:bodyDiv w:val="1"/>
      <w:marLeft w:val="0"/>
      <w:marRight w:val="0"/>
      <w:marTop w:val="0"/>
      <w:marBottom w:val="0"/>
      <w:divBdr>
        <w:top w:val="none" w:sz="0" w:space="0" w:color="auto"/>
        <w:left w:val="none" w:sz="0" w:space="0" w:color="auto"/>
        <w:bottom w:val="none" w:sz="0" w:space="0" w:color="auto"/>
        <w:right w:val="none" w:sz="0" w:space="0" w:color="auto"/>
      </w:divBdr>
    </w:div>
    <w:div w:id="1082139849">
      <w:bodyDiv w:val="1"/>
      <w:marLeft w:val="0"/>
      <w:marRight w:val="0"/>
      <w:marTop w:val="0"/>
      <w:marBottom w:val="0"/>
      <w:divBdr>
        <w:top w:val="none" w:sz="0" w:space="0" w:color="auto"/>
        <w:left w:val="none" w:sz="0" w:space="0" w:color="auto"/>
        <w:bottom w:val="none" w:sz="0" w:space="0" w:color="auto"/>
        <w:right w:val="none" w:sz="0" w:space="0" w:color="auto"/>
      </w:divBdr>
    </w:div>
    <w:div w:id="1082143707">
      <w:bodyDiv w:val="1"/>
      <w:marLeft w:val="0"/>
      <w:marRight w:val="0"/>
      <w:marTop w:val="0"/>
      <w:marBottom w:val="0"/>
      <w:divBdr>
        <w:top w:val="none" w:sz="0" w:space="0" w:color="auto"/>
        <w:left w:val="none" w:sz="0" w:space="0" w:color="auto"/>
        <w:bottom w:val="none" w:sz="0" w:space="0" w:color="auto"/>
        <w:right w:val="none" w:sz="0" w:space="0" w:color="auto"/>
      </w:divBdr>
    </w:div>
    <w:div w:id="1082145912">
      <w:bodyDiv w:val="1"/>
      <w:marLeft w:val="0"/>
      <w:marRight w:val="0"/>
      <w:marTop w:val="0"/>
      <w:marBottom w:val="0"/>
      <w:divBdr>
        <w:top w:val="none" w:sz="0" w:space="0" w:color="auto"/>
        <w:left w:val="none" w:sz="0" w:space="0" w:color="auto"/>
        <w:bottom w:val="none" w:sz="0" w:space="0" w:color="auto"/>
        <w:right w:val="none" w:sz="0" w:space="0" w:color="auto"/>
      </w:divBdr>
    </w:div>
    <w:div w:id="1082220053">
      <w:bodyDiv w:val="1"/>
      <w:marLeft w:val="0"/>
      <w:marRight w:val="0"/>
      <w:marTop w:val="0"/>
      <w:marBottom w:val="0"/>
      <w:divBdr>
        <w:top w:val="none" w:sz="0" w:space="0" w:color="auto"/>
        <w:left w:val="none" w:sz="0" w:space="0" w:color="auto"/>
        <w:bottom w:val="none" w:sz="0" w:space="0" w:color="auto"/>
        <w:right w:val="none" w:sz="0" w:space="0" w:color="auto"/>
      </w:divBdr>
    </w:div>
    <w:div w:id="1082263303">
      <w:bodyDiv w:val="1"/>
      <w:marLeft w:val="0"/>
      <w:marRight w:val="0"/>
      <w:marTop w:val="0"/>
      <w:marBottom w:val="0"/>
      <w:divBdr>
        <w:top w:val="none" w:sz="0" w:space="0" w:color="auto"/>
        <w:left w:val="none" w:sz="0" w:space="0" w:color="auto"/>
        <w:bottom w:val="none" w:sz="0" w:space="0" w:color="auto"/>
        <w:right w:val="none" w:sz="0" w:space="0" w:color="auto"/>
      </w:divBdr>
    </w:div>
    <w:div w:id="1082290634">
      <w:bodyDiv w:val="1"/>
      <w:marLeft w:val="0"/>
      <w:marRight w:val="0"/>
      <w:marTop w:val="0"/>
      <w:marBottom w:val="0"/>
      <w:divBdr>
        <w:top w:val="none" w:sz="0" w:space="0" w:color="auto"/>
        <w:left w:val="none" w:sz="0" w:space="0" w:color="auto"/>
        <w:bottom w:val="none" w:sz="0" w:space="0" w:color="auto"/>
        <w:right w:val="none" w:sz="0" w:space="0" w:color="auto"/>
      </w:divBdr>
    </w:div>
    <w:div w:id="1082292934">
      <w:bodyDiv w:val="1"/>
      <w:marLeft w:val="0"/>
      <w:marRight w:val="0"/>
      <w:marTop w:val="0"/>
      <w:marBottom w:val="0"/>
      <w:divBdr>
        <w:top w:val="none" w:sz="0" w:space="0" w:color="auto"/>
        <w:left w:val="none" w:sz="0" w:space="0" w:color="auto"/>
        <w:bottom w:val="none" w:sz="0" w:space="0" w:color="auto"/>
        <w:right w:val="none" w:sz="0" w:space="0" w:color="auto"/>
      </w:divBdr>
    </w:div>
    <w:div w:id="1082412659">
      <w:bodyDiv w:val="1"/>
      <w:marLeft w:val="0"/>
      <w:marRight w:val="0"/>
      <w:marTop w:val="0"/>
      <w:marBottom w:val="0"/>
      <w:divBdr>
        <w:top w:val="none" w:sz="0" w:space="0" w:color="auto"/>
        <w:left w:val="none" w:sz="0" w:space="0" w:color="auto"/>
        <w:bottom w:val="none" w:sz="0" w:space="0" w:color="auto"/>
        <w:right w:val="none" w:sz="0" w:space="0" w:color="auto"/>
      </w:divBdr>
    </w:div>
    <w:div w:id="1082485550">
      <w:bodyDiv w:val="1"/>
      <w:marLeft w:val="0"/>
      <w:marRight w:val="0"/>
      <w:marTop w:val="0"/>
      <w:marBottom w:val="0"/>
      <w:divBdr>
        <w:top w:val="none" w:sz="0" w:space="0" w:color="auto"/>
        <w:left w:val="none" w:sz="0" w:space="0" w:color="auto"/>
        <w:bottom w:val="none" w:sz="0" w:space="0" w:color="auto"/>
        <w:right w:val="none" w:sz="0" w:space="0" w:color="auto"/>
      </w:divBdr>
    </w:div>
    <w:div w:id="1082490485">
      <w:bodyDiv w:val="1"/>
      <w:marLeft w:val="0"/>
      <w:marRight w:val="0"/>
      <w:marTop w:val="0"/>
      <w:marBottom w:val="0"/>
      <w:divBdr>
        <w:top w:val="none" w:sz="0" w:space="0" w:color="auto"/>
        <w:left w:val="none" w:sz="0" w:space="0" w:color="auto"/>
        <w:bottom w:val="none" w:sz="0" w:space="0" w:color="auto"/>
        <w:right w:val="none" w:sz="0" w:space="0" w:color="auto"/>
      </w:divBdr>
    </w:div>
    <w:div w:id="1082724659">
      <w:bodyDiv w:val="1"/>
      <w:marLeft w:val="0"/>
      <w:marRight w:val="0"/>
      <w:marTop w:val="0"/>
      <w:marBottom w:val="0"/>
      <w:divBdr>
        <w:top w:val="none" w:sz="0" w:space="0" w:color="auto"/>
        <w:left w:val="none" w:sz="0" w:space="0" w:color="auto"/>
        <w:bottom w:val="none" w:sz="0" w:space="0" w:color="auto"/>
        <w:right w:val="none" w:sz="0" w:space="0" w:color="auto"/>
      </w:divBdr>
    </w:div>
    <w:div w:id="1082870700">
      <w:bodyDiv w:val="1"/>
      <w:marLeft w:val="0"/>
      <w:marRight w:val="0"/>
      <w:marTop w:val="0"/>
      <w:marBottom w:val="0"/>
      <w:divBdr>
        <w:top w:val="none" w:sz="0" w:space="0" w:color="auto"/>
        <w:left w:val="none" w:sz="0" w:space="0" w:color="auto"/>
        <w:bottom w:val="none" w:sz="0" w:space="0" w:color="auto"/>
        <w:right w:val="none" w:sz="0" w:space="0" w:color="auto"/>
      </w:divBdr>
    </w:div>
    <w:div w:id="1082871913">
      <w:bodyDiv w:val="1"/>
      <w:marLeft w:val="0"/>
      <w:marRight w:val="0"/>
      <w:marTop w:val="0"/>
      <w:marBottom w:val="0"/>
      <w:divBdr>
        <w:top w:val="none" w:sz="0" w:space="0" w:color="auto"/>
        <w:left w:val="none" w:sz="0" w:space="0" w:color="auto"/>
        <w:bottom w:val="none" w:sz="0" w:space="0" w:color="auto"/>
        <w:right w:val="none" w:sz="0" w:space="0" w:color="auto"/>
      </w:divBdr>
    </w:div>
    <w:div w:id="1082876928">
      <w:bodyDiv w:val="1"/>
      <w:marLeft w:val="0"/>
      <w:marRight w:val="0"/>
      <w:marTop w:val="0"/>
      <w:marBottom w:val="0"/>
      <w:divBdr>
        <w:top w:val="none" w:sz="0" w:space="0" w:color="auto"/>
        <w:left w:val="none" w:sz="0" w:space="0" w:color="auto"/>
        <w:bottom w:val="none" w:sz="0" w:space="0" w:color="auto"/>
        <w:right w:val="none" w:sz="0" w:space="0" w:color="auto"/>
      </w:divBdr>
    </w:div>
    <w:div w:id="1082944297">
      <w:bodyDiv w:val="1"/>
      <w:marLeft w:val="0"/>
      <w:marRight w:val="0"/>
      <w:marTop w:val="0"/>
      <w:marBottom w:val="0"/>
      <w:divBdr>
        <w:top w:val="none" w:sz="0" w:space="0" w:color="auto"/>
        <w:left w:val="none" w:sz="0" w:space="0" w:color="auto"/>
        <w:bottom w:val="none" w:sz="0" w:space="0" w:color="auto"/>
        <w:right w:val="none" w:sz="0" w:space="0" w:color="auto"/>
      </w:divBdr>
    </w:div>
    <w:div w:id="1083069355">
      <w:bodyDiv w:val="1"/>
      <w:marLeft w:val="0"/>
      <w:marRight w:val="0"/>
      <w:marTop w:val="0"/>
      <w:marBottom w:val="0"/>
      <w:divBdr>
        <w:top w:val="none" w:sz="0" w:space="0" w:color="auto"/>
        <w:left w:val="none" w:sz="0" w:space="0" w:color="auto"/>
        <w:bottom w:val="none" w:sz="0" w:space="0" w:color="auto"/>
        <w:right w:val="none" w:sz="0" w:space="0" w:color="auto"/>
      </w:divBdr>
    </w:div>
    <w:div w:id="1083181105">
      <w:bodyDiv w:val="1"/>
      <w:marLeft w:val="0"/>
      <w:marRight w:val="0"/>
      <w:marTop w:val="0"/>
      <w:marBottom w:val="0"/>
      <w:divBdr>
        <w:top w:val="none" w:sz="0" w:space="0" w:color="auto"/>
        <w:left w:val="none" w:sz="0" w:space="0" w:color="auto"/>
        <w:bottom w:val="none" w:sz="0" w:space="0" w:color="auto"/>
        <w:right w:val="none" w:sz="0" w:space="0" w:color="auto"/>
      </w:divBdr>
    </w:div>
    <w:div w:id="1083258530">
      <w:bodyDiv w:val="1"/>
      <w:marLeft w:val="0"/>
      <w:marRight w:val="0"/>
      <w:marTop w:val="0"/>
      <w:marBottom w:val="0"/>
      <w:divBdr>
        <w:top w:val="none" w:sz="0" w:space="0" w:color="auto"/>
        <w:left w:val="none" w:sz="0" w:space="0" w:color="auto"/>
        <w:bottom w:val="none" w:sz="0" w:space="0" w:color="auto"/>
        <w:right w:val="none" w:sz="0" w:space="0" w:color="auto"/>
      </w:divBdr>
    </w:div>
    <w:div w:id="1083375696">
      <w:bodyDiv w:val="1"/>
      <w:marLeft w:val="0"/>
      <w:marRight w:val="0"/>
      <w:marTop w:val="0"/>
      <w:marBottom w:val="0"/>
      <w:divBdr>
        <w:top w:val="none" w:sz="0" w:space="0" w:color="auto"/>
        <w:left w:val="none" w:sz="0" w:space="0" w:color="auto"/>
        <w:bottom w:val="none" w:sz="0" w:space="0" w:color="auto"/>
        <w:right w:val="none" w:sz="0" w:space="0" w:color="auto"/>
      </w:divBdr>
    </w:div>
    <w:div w:id="1083376138">
      <w:bodyDiv w:val="1"/>
      <w:marLeft w:val="0"/>
      <w:marRight w:val="0"/>
      <w:marTop w:val="0"/>
      <w:marBottom w:val="0"/>
      <w:divBdr>
        <w:top w:val="none" w:sz="0" w:space="0" w:color="auto"/>
        <w:left w:val="none" w:sz="0" w:space="0" w:color="auto"/>
        <w:bottom w:val="none" w:sz="0" w:space="0" w:color="auto"/>
        <w:right w:val="none" w:sz="0" w:space="0" w:color="auto"/>
      </w:divBdr>
    </w:div>
    <w:div w:id="1083454366">
      <w:bodyDiv w:val="1"/>
      <w:marLeft w:val="0"/>
      <w:marRight w:val="0"/>
      <w:marTop w:val="0"/>
      <w:marBottom w:val="0"/>
      <w:divBdr>
        <w:top w:val="none" w:sz="0" w:space="0" w:color="auto"/>
        <w:left w:val="none" w:sz="0" w:space="0" w:color="auto"/>
        <w:bottom w:val="none" w:sz="0" w:space="0" w:color="auto"/>
        <w:right w:val="none" w:sz="0" w:space="0" w:color="auto"/>
      </w:divBdr>
    </w:div>
    <w:div w:id="1083573406">
      <w:bodyDiv w:val="1"/>
      <w:marLeft w:val="0"/>
      <w:marRight w:val="0"/>
      <w:marTop w:val="0"/>
      <w:marBottom w:val="0"/>
      <w:divBdr>
        <w:top w:val="none" w:sz="0" w:space="0" w:color="auto"/>
        <w:left w:val="none" w:sz="0" w:space="0" w:color="auto"/>
        <w:bottom w:val="none" w:sz="0" w:space="0" w:color="auto"/>
        <w:right w:val="none" w:sz="0" w:space="0" w:color="auto"/>
      </w:divBdr>
    </w:div>
    <w:div w:id="1083645691">
      <w:bodyDiv w:val="1"/>
      <w:marLeft w:val="0"/>
      <w:marRight w:val="0"/>
      <w:marTop w:val="0"/>
      <w:marBottom w:val="0"/>
      <w:divBdr>
        <w:top w:val="none" w:sz="0" w:space="0" w:color="auto"/>
        <w:left w:val="none" w:sz="0" w:space="0" w:color="auto"/>
        <w:bottom w:val="none" w:sz="0" w:space="0" w:color="auto"/>
        <w:right w:val="none" w:sz="0" w:space="0" w:color="auto"/>
      </w:divBdr>
    </w:div>
    <w:div w:id="1083916650">
      <w:bodyDiv w:val="1"/>
      <w:marLeft w:val="0"/>
      <w:marRight w:val="0"/>
      <w:marTop w:val="0"/>
      <w:marBottom w:val="0"/>
      <w:divBdr>
        <w:top w:val="none" w:sz="0" w:space="0" w:color="auto"/>
        <w:left w:val="none" w:sz="0" w:space="0" w:color="auto"/>
        <w:bottom w:val="none" w:sz="0" w:space="0" w:color="auto"/>
        <w:right w:val="none" w:sz="0" w:space="0" w:color="auto"/>
      </w:divBdr>
    </w:div>
    <w:div w:id="1083994274">
      <w:bodyDiv w:val="1"/>
      <w:marLeft w:val="0"/>
      <w:marRight w:val="0"/>
      <w:marTop w:val="0"/>
      <w:marBottom w:val="0"/>
      <w:divBdr>
        <w:top w:val="none" w:sz="0" w:space="0" w:color="auto"/>
        <w:left w:val="none" w:sz="0" w:space="0" w:color="auto"/>
        <w:bottom w:val="none" w:sz="0" w:space="0" w:color="auto"/>
        <w:right w:val="none" w:sz="0" w:space="0" w:color="auto"/>
      </w:divBdr>
    </w:div>
    <w:div w:id="1084063692">
      <w:bodyDiv w:val="1"/>
      <w:marLeft w:val="0"/>
      <w:marRight w:val="0"/>
      <w:marTop w:val="0"/>
      <w:marBottom w:val="0"/>
      <w:divBdr>
        <w:top w:val="none" w:sz="0" w:space="0" w:color="auto"/>
        <w:left w:val="none" w:sz="0" w:space="0" w:color="auto"/>
        <w:bottom w:val="none" w:sz="0" w:space="0" w:color="auto"/>
        <w:right w:val="none" w:sz="0" w:space="0" w:color="auto"/>
      </w:divBdr>
    </w:div>
    <w:div w:id="1084107225">
      <w:bodyDiv w:val="1"/>
      <w:marLeft w:val="0"/>
      <w:marRight w:val="0"/>
      <w:marTop w:val="0"/>
      <w:marBottom w:val="0"/>
      <w:divBdr>
        <w:top w:val="none" w:sz="0" w:space="0" w:color="auto"/>
        <w:left w:val="none" w:sz="0" w:space="0" w:color="auto"/>
        <w:bottom w:val="none" w:sz="0" w:space="0" w:color="auto"/>
        <w:right w:val="none" w:sz="0" w:space="0" w:color="auto"/>
      </w:divBdr>
    </w:div>
    <w:div w:id="1084306743">
      <w:bodyDiv w:val="1"/>
      <w:marLeft w:val="0"/>
      <w:marRight w:val="0"/>
      <w:marTop w:val="0"/>
      <w:marBottom w:val="0"/>
      <w:divBdr>
        <w:top w:val="none" w:sz="0" w:space="0" w:color="auto"/>
        <w:left w:val="none" w:sz="0" w:space="0" w:color="auto"/>
        <w:bottom w:val="none" w:sz="0" w:space="0" w:color="auto"/>
        <w:right w:val="none" w:sz="0" w:space="0" w:color="auto"/>
      </w:divBdr>
    </w:div>
    <w:div w:id="1084452706">
      <w:bodyDiv w:val="1"/>
      <w:marLeft w:val="0"/>
      <w:marRight w:val="0"/>
      <w:marTop w:val="0"/>
      <w:marBottom w:val="0"/>
      <w:divBdr>
        <w:top w:val="none" w:sz="0" w:space="0" w:color="auto"/>
        <w:left w:val="none" w:sz="0" w:space="0" w:color="auto"/>
        <w:bottom w:val="none" w:sz="0" w:space="0" w:color="auto"/>
        <w:right w:val="none" w:sz="0" w:space="0" w:color="auto"/>
      </w:divBdr>
    </w:div>
    <w:div w:id="1084492060">
      <w:bodyDiv w:val="1"/>
      <w:marLeft w:val="0"/>
      <w:marRight w:val="0"/>
      <w:marTop w:val="0"/>
      <w:marBottom w:val="0"/>
      <w:divBdr>
        <w:top w:val="none" w:sz="0" w:space="0" w:color="auto"/>
        <w:left w:val="none" w:sz="0" w:space="0" w:color="auto"/>
        <w:bottom w:val="none" w:sz="0" w:space="0" w:color="auto"/>
        <w:right w:val="none" w:sz="0" w:space="0" w:color="auto"/>
      </w:divBdr>
    </w:div>
    <w:div w:id="1084492929">
      <w:bodyDiv w:val="1"/>
      <w:marLeft w:val="0"/>
      <w:marRight w:val="0"/>
      <w:marTop w:val="0"/>
      <w:marBottom w:val="0"/>
      <w:divBdr>
        <w:top w:val="none" w:sz="0" w:space="0" w:color="auto"/>
        <w:left w:val="none" w:sz="0" w:space="0" w:color="auto"/>
        <w:bottom w:val="none" w:sz="0" w:space="0" w:color="auto"/>
        <w:right w:val="none" w:sz="0" w:space="0" w:color="auto"/>
      </w:divBdr>
    </w:div>
    <w:div w:id="1084571570">
      <w:bodyDiv w:val="1"/>
      <w:marLeft w:val="0"/>
      <w:marRight w:val="0"/>
      <w:marTop w:val="0"/>
      <w:marBottom w:val="0"/>
      <w:divBdr>
        <w:top w:val="none" w:sz="0" w:space="0" w:color="auto"/>
        <w:left w:val="none" w:sz="0" w:space="0" w:color="auto"/>
        <w:bottom w:val="none" w:sz="0" w:space="0" w:color="auto"/>
        <w:right w:val="none" w:sz="0" w:space="0" w:color="auto"/>
      </w:divBdr>
    </w:div>
    <w:div w:id="1084573613">
      <w:bodyDiv w:val="1"/>
      <w:marLeft w:val="0"/>
      <w:marRight w:val="0"/>
      <w:marTop w:val="0"/>
      <w:marBottom w:val="0"/>
      <w:divBdr>
        <w:top w:val="none" w:sz="0" w:space="0" w:color="auto"/>
        <w:left w:val="none" w:sz="0" w:space="0" w:color="auto"/>
        <w:bottom w:val="none" w:sz="0" w:space="0" w:color="auto"/>
        <w:right w:val="none" w:sz="0" w:space="0" w:color="auto"/>
      </w:divBdr>
    </w:div>
    <w:div w:id="1084642458">
      <w:bodyDiv w:val="1"/>
      <w:marLeft w:val="0"/>
      <w:marRight w:val="0"/>
      <w:marTop w:val="0"/>
      <w:marBottom w:val="0"/>
      <w:divBdr>
        <w:top w:val="none" w:sz="0" w:space="0" w:color="auto"/>
        <w:left w:val="none" w:sz="0" w:space="0" w:color="auto"/>
        <w:bottom w:val="none" w:sz="0" w:space="0" w:color="auto"/>
        <w:right w:val="none" w:sz="0" w:space="0" w:color="auto"/>
      </w:divBdr>
    </w:div>
    <w:div w:id="1084645065">
      <w:bodyDiv w:val="1"/>
      <w:marLeft w:val="0"/>
      <w:marRight w:val="0"/>
      <w:marTop w:val="0"/>
      <w:marBottom w:val="0"/>
      <w:divBdr>
        <w:top w:val="none" w:sz="0" w:space="0" w:color="auto"/>
        <w:left w:val="none" w:sz="0" w:space="0" w:color="auto"/>
        <w:bottom w:val="none" w:sz="0" w:space="0" w:color="auto"/>
        <w:right w:val="none" w:sz="0" w:space="0" w:color="auto"/>
      </w:divBdr>
    </w:div>
    <w:div w:id="1084836543">
      <w:bodyDiv w:val="1"/>
      <w:marLeft w:val="0"/>
      <w:marRight w:val="0"/>
      <w:marTop w:val="0"/>
      <w:marBottom w:val="0"/>
      <w:divBdr>
        <w:top w:val="none" w:sz="0" w:space="0" w:color="auto"/>
        <w:left w:val="none" w:sz="0" w:space="0" w:color="auto"/>
        <w:bottom w:val="none" w:sz="0" w:space="0" w:color="auto"/>
        <w:right w:val="none" w:sz="0" w:space="0" w:color="auto"/>
      </w:divBdr>
    </w:div>
    <w:div w:id="1084837981">
      <w:bodyDiv w:val="1"/>
      <w:marLeft w:val="0"/>
      <w:marRight w:val="0"/>
      <w:marTop w:val="0"/>
      <w:marBottom w:val="0"/>
      <w:divBdr>
        <w:top w:val="none" w:sz="0" w:space="0" w:color="auto"/>
        <w:left w:val="none" w:sz="0" w:space="0" w:color="auto"/>
        <w:bottom w:val="none" w:sz="0" w:space="0" w:color="auto"/>
        <w:right w:val="none" w:sz="0" w:space="0" w:color="auto"/>
      </w:divBdr>
    </w:div>
    <w:div w:id="1084840732">
      <w:bodyDiv w:val="1"/>
      <w:marLeft w:val="0"/>
      <w:marRight w:val="0"/>
      <w:marTop w:val="0"/>
      <w:marBottom w:val="0"/>
      <w:divBdr>
        <w:top w:val="none" w:sz="0" w:space="0" w:color="auto"/>
        <w:left w:val="none" w:sz="0" w:space="0" w:color="auto"/>
        <w:bottom w:val="none" w:sz="0" w:space="0" w:color="auto"/>
        <w:right w:val="none" w:sz="0" w:space="0" w:color="auto"/>
      </w:divBdr>
    </w:div>
    <w:div w:id="1084841360">
      <w:bodyDiv w:val="1"/>
      <w:marLeft w:val="0"/>
      <w:marRight w:val="0"/>
      <w:marTop w:val="0"/>
      <w:marBottom w:val="0"/>
      <w:divBdr>
        <w:top w:val="none" w:sz="0" w:space="0" w:color="auto"/>
        <w:left w:val="none" w:sz="0" w:space="0" w:color="auto"/>
        <w:bottom w:val="none" w:sz="0" w:space="0" w:color="auto"/>
        <w:right w:val="none" w:sz="0" w:space="0" w:color="auto"/>
      </w:divBdr>
    </w:div>
    <w:div w:id="1084956108">
      <w:bodyDiv w:val="1"/>
      <w:marLeft w:val="0"/>
      <w:marRight w:val="0"/>
      <w:marTop w:val="0"/>
      <w:marBottom w:val="0"/>
      <w:divBdr>
        <w:top w:val="none" w:sz="0" w:space="0" w:color="auto"/>
        <w:left w:val="none" w:sz="0" w:space="0" w:color="auto"/>
        <w:bottom w:val="none" w:sz="0" w:space="0" w:color="auto"/>
        <w:right w:val="none" w:sz="0" w:space="0" w:color="auto"/>
      </w:divBdr>
    </w:div>
    <w:div w:id="1084958880">
      <w:bodyDiv w:val="1"/>
      <w:marLeft w:val="0"/>
      <w:marRight w:val="0"/>
      <w:marTop w:val="0"/>
      <w:marBottom w:val="0"/>
      <w:divBdr>
        <w:top w:val="none" w:sz="0" w:space="0" w:color="auto"/>
        <w:left w:val="none" w:sz="0" w:space="0" w:color="auto"/>
        <w:bottom w:val="none" w:sz="0" w:space="0" w:color="auto"/>
        <w:right w:val="none" w:sz="0" w:space="0" w:color="auto"/>
      </w:divBdr>
    </w:div>
    <w:div w:id="1084959108">
      <w:bodyDiv w:val="1"/>
      <w:marLeft w:val="0"/>
      <w:marRight w:val="0"/>
      <w:marTop w:val="0"/>
      <w:marBottom w:val="0"/>
      <w:divBdr>
        <w:top w:val="none" w:sz="0" w:space="0" w:color="auto"/>
        <w:left w:val="none" w:sz="0" w:space="0" w:color="auto"/>
        <w:bottom w:val="none" w:sz="0" w:space="0" w:color="auto"/>
        <w:right w:val="none" w:sz="0" w:space="0" w:color="auto"/>
      </w:divBdr>
    </w:div>
    <w:div w:id="1084959284">
      <w:bodyDiv w:val="1"/>
      <w:marLeft w:val="0"/>
      <w:marRight w:val="0"/>
      <w:marTop w:val="0"/>
      <w:marBottom w:val="0"/>
      <w:divBdr>
        <w:top w:val="none" w:sz="0" w:space="0" w:color="auto"/>
        <w:left w:val="none" w:sz="0" w:space="0" w:color="auto"/>
        <w:bottom w:val="none" w:sz="0" w:space="0" w:color="auto"/>
        <w:right w:val="none" w:sz="0" w:space="0" w:color="auto"/>
      </w:divBdr>
    </w:div>
    <w:div w:id="1085033149">
      <w:bodyDiv w:val="1"/>
      <w:marLeft w:val="0"/>
      <w:marRight w:val="0"/>
      <w:marTop w:val="0"/>
      <w:marBottom w:val="0"/>
      <w:divBdr>
        <w:top w:val="none" w:sz="0" w:space="0" w:color="auto"/>
        <w:left w:val="none" w:sz="0" w:space="0" w:color="auto"/>
        <w:bottom w:val="none" w:sz="0" w:space="0" w:color="auto"/>
        <w:right w:val="none" w:sz="0" w:space="0" w:color="auto"/>
      </w:divBdr>
    </w:div>
    <w:div w:id="1085036772">
      <w:bodyDiv w:val="1"/>
      <w:marLeft w:val="0"/>
      <w:marRight w:val="0"/>
      <w:marTop w:val="0"/>
      <w:marBottom w:val="0"/>
      <w:divBdr>
        <w:top w:val="none" w:sz="0" w:space="0" w:color="auto"/>
        <w:left w:val="none" w:sz="0" w:space="0" w:color="auto"/>
        <w:bottom w:val="none" w:sz="0" w:space="0" w:color="auto"/>
        <w:right w:val="none" w:sz="0" w:space="0" w:color="auto"/>
      </w:divBdr>
    </w:div>
    <w:div w:id="1085036815">
      <w:bodyDiv w:val="1"/>
      <w:marLeft w:val="0"/>
      <w:marRight w:val="0"/>
      <w:marTop w:val="0"/>
      <w:marBottom w:val="0"/>
      <w:divBdr>
        <w:top w:val="none" w:sz="0" w:space="0" w:color="auto"/>
        <w:left w:val="none" w:sz="0" w:space="0" w:color="auto"/>
        <w:bottom w:val="none" w:sz="0" w:space="0" w:color="auto"/>
        <w:right w:val="none" w:sz="0" w:space="0" w:color="auto"/>
      </w:divBdr>
    </w:div>
    <w:div w:id="1085105895">
      <w:bodyDiv w:val="1"/>
      <w:marLeft w:val="0"/>
      <w:marRight w:val="0"/>
      <w:marTop w:val="0"/>
      <w:marBottom w:val="0"/>
      <w:divBdr>
        <w:top w:val="none" w:sz="0" w:space="0" w:color="auto"/>
        <w:left w:val="none" w:sz="0" w:space="0" w:color="auto"/>
        <w:bottom w:val="none" w:sz="0" w:space="0" w:color="auto"/>
        <w:right w:val="none" w:sz="0" w:space="0" w:color="auto"/>
      </w:divBdr>
    </w:div>
    <w:div w:id="1085303817">
      <w:bodyDiv w:val="1"/>
      <w:marLeft w:val="0"/>
      <w:marRight w:val="0"/>
      <w:marTop w:val="0"/>
      <w:marBottom w:val="0"/>
      <w:divBdr>
        <w:top w:val="none" w:sz="0" w:space="0" w:color="auto"/>
        <w:left w:val="none" w:sz="0" w:space="0" w:color="auto"/>
        <w:bottom w:val="none" w:sz="0" w:space="0" w:color="auto"/>
        <w:right w:val="none" w:sz="0" w:space="0" w:color="auto"/>
      </w:divBdr>
    </w:div>
    <w:div w:id="1085342007">
      <w:bodyDiv w:val="1"/>
      <w:marLeft w:val="0"/>
      <w:marRight w:val="0"/>
      <w:marTop w:val="0"/>
      <w:marBottom w:val="0"/>
      <w:divBdr>
        <w:top w:val="none" w:sz="0" w:space="0" w:color="auto"/>
        <w:left w:val="none" w:sz="0" w:space="0" w:color="auto"/>
        <w:bottom w:val="none" w:sz="0" w:space="0" w:color="auto"/>
        <w:right w:val="none" w:sz="0" w:space="0" w:color="auto"/>
      </w:divBdr>
    </w:div>
    <w:div w:id="1085373820">
      <w:bodyDiv w:val="1"/>
      <w:marLeft w:val="0"/>
      <w:marRight w:val="0"/>
      <w:marTop w:val="0"/>
      <w:marBottom w:val="0"/>
      <w:divBdr>
        <w:top w:val="none" w:sz="0" w:space="0" w:color="auto"/>
        <w:left w:val="none" w:sz="0" w:space="0" w:color="auto"/>
        <w:bottom w:val="none" w:sz="0" w:space="0" w:color="auto"/>
        <w:right w:val="none" w:sz="0" w:space="0" w:color="auto"/>
      </w:divBdr>
    </w:div>
    <w:div w:id="1085421910">
      <w:bodyDiv w:val="1"/>
      <w:marLeft w:val="0"/>
      <w:marRight w:val="0"/>
      <w:marTop w:val="0"/>
      <w:marBottom w:val="0"/>
      <w:divBdr>
        <w:top w:val="none" w:sz="0" w:space="0" w:color="auto"/>
        <w:left w:val="none" w:sz="0" w:space="0" w:color="auto"/>
        <w:bottom w:val="none" w:sz="0" w:space="0" w:color="auto"/>
        <w:right w:val="none" w:sz="0" w:space="0" w:color="auto"/>
      </w:divBdr>
    </w:div>
    <w:div w:id="1085565240">
      <w:bodyDiv w:val="1"/>
      <w:marLeft w:val="0"/>
      <w:marRight w:val="0"/>
      <w:marTop w:val="0"/>
      <w:marBottom w:val="0"/>
      <w:divBdr>
        <w:top w:val="none" w:sz="0" w:space="0" w:color="auto"/>
        <w:left w:val="none" w:sz="0" w:space="0" w:color="auto"/>
        <w:bottom w:val="none" w:sz="0" w:space="0" w:color="auto"/>
        <w:right w:val="none" w:sz="0" w:space="0" w:color="auto"/>
      </w:divBdr>
    </w:div>
    <w:div w:id="1085565388">
      <w:bodyDiv w:val="1"/>
      <w:marLeft w:val="0"/>
      <w:marRight w:val="0"/>
      <w:marTop w:val="0"/>
      <w:marBottom w:val="0"/>
      <w:divBdr>
        <w:top w:val="none" w:sz="0" w:space="0" w:color="auto"/>
        <w:left w:val="none" w:sz="0" w:space="0" w:color="auto"/>
        <w:bottom w:val="none" w:sz="0" w:space="0" w:color="auto"/>
        <w:right w:val="none" w:sz="0" w:space="0" w:color="auto"/>
      </w:divBdr>
    </w:div>
    <w:div w:id="1085688522">
      <w:bodyDiv w:val="1"/>
      <w:marLeft w:val="0"/>
      <w:marRight w:val="0"/>
      <w:marTop w:val="0"/>
      <w:marBottom w:val="0"/>
      <w:divBdr>
        <w:top w:val="none" w:sz="0" w:space="0" w:color="auto"/>
        <w:left w:val="none" w:sz="0" w:space="0" w:color="auto"/>
        <w:bottom w:val="none" w:sz="0" w:space="0" w:color="auto"/>
        <w:right w:val="none" w:sz="0" w:space="0" w:color="auto"/>
      </w:divBdr>
    </w:div>
    <w:div w:id="1085801797">
      <w:bodyDiv w:val="1"/>
      <w:marLeft w:val="0"/>
      <w:marRight w:val="0"/>
      <w:marTop w:val="0"/>
      <w:marBottom w:val="0"/>
      <w:divBdr>
        <w:top w:val="none" w:sz="0" w:space="0" w:color="auto"/>
        <w:left w:val="none" w:sz="0" w:space="0" w:color="auto"/>
        <w:bottom w:val="none" w:sz="0" w:space="0" w:color="auto"/>
        <w:right w:val="none" w:sz="0" w:space="0" w:color="auto"/>
      </w:divBdr>
    </w:div>
    <w:div w:id="1085877224">
      <w:bodyDiv w:val="1"/>
      <w:marLeft w:val="0"/>
      <w:marRight w:val="0"/>
      <w:marTop w:val="0"/>
      <w:marBottom w:val="0"/>
      <w:divBdr>
        <w:top w:val="none" w:sz="0" w:space="0" w:color="auto"/>
        <w:left w:val="none" w:sz="0" w:space="0" w:color="auto"/>
        <w:bottom w:val="none" w:sz="0" w:space="0" w:color="auto"/>
        <w:right w:val="none" w:sz="0" w:space="0" w:color="auto"/>
      </w:divBdr>
    </w:div>
    <w:div w:id="1086145517">
      <w:bodyDiv w:val="1"/>
      <w:marLeft w:val="0"/>
      <w:marRight w:val="0"/>
      <w:marTop w:val="0"/>
      <w:marBottom w:val="0"/>
      <w:divBdr>
        <w:top w:val="none" w:sz="0" w:space="0" w:color="auto"/>
        <w:left w:val="none" w:sz="0" w:space="0" w:color="auto"/>
        <w:bottom w:val="none" w:sz="0" w:space="0" w:color="auto"/>
        <w:right w:val="none" w:sz="0" w:space="0" w:color="auto"/>
      </w:divBdr>
    </w:div>
    <w:div w:id="1086150394">
      <w:bodyDiv w:val="1"/>
      <w:marLeft w:val="0"/>
      <w:marRight w:val="0"/>
      <w:marTop w:val="0"/>
      <w:marBottom w:val="0"/>
      <w:divBdr>
        <w:top w:val="none" w:sz="0" w:space="0" w:color="auto"/>
        <w:left w:val="none" w:sz="0" w:space="0" w:color="auto"/>
        <w:bottom w:val="none" w:sz="0" w:space="0" w:color="auto"/>
        <w:right w:val="none" w:sz="0" w:space="0" w:color="auto"/>
      </w:divBdr>
    </w:div>
    <w:div w:id="1086608395">
      <w:bodyDiv w:val="1"/>
      <w:marLeft w:val="0"/>
      <w:marRight w:val="0"/>
      <w:marTop w:val="0"/>
      <w:marBottom w:val="0"/>
      <w:divBdr>
        <w:top w:val="none" w:sz="0" w:space="0" w:color="auto"/>
        <w:left w:val="none" w:sz="0" w:space="0" w:color="auto"/>
        <w:bottom w:val="none" w:sz="0" w:space="0" w:color="auto"/>
        <w:right w:val="none" w:sz="0" w:space="0" w:color="auto"/>
      </w:divBdr>
    </w:div>
    <w:div w:id="1086614093">
      <w:bodyDiv w:val="1"/>
      <w:marLeft w:val="0"/>
      <w:marRight w:val="0"/>
      <w:marTop w:val="0"/>
      <w:marBottom w:val="0"/>
      <w:divBdr>
        <w:top w:val="none" w:sz="0" w:space="0" w:color="auto"/>
        <w:left w:val="none" w:sz="0" w:space="0" w:color="auto"/>
        <w:bottom w:val="none" w:sz="0" w:space="0" w:color="auto"/>
        <w:right w:val="none" w:sz="0" w:space="0" w:color="auto"/>
      </w:divBdr>
    </w:div>
    <w:div w:id="1086655165">
      <w:bodyDiv w:val="1"/>
      <w:marLeft w:val="0"/>
      <w:marRight w:val="0"/>
      <w:marTop w:val="0"/>
      <w:marBottom w:val="0"/>
      <w:divBdr>
        <w:top w:val="none" w:sz="0" w:space="0" w:color="auto"/>
        <w:left w:val="none" w:sz="0" w:space="0" w:color="auto"/>
        <w:bottom w:val="none" w:sz="0" w:space="0" w:color="auto"/>
        <w:right w:val="none" w:sz="0" w:space="0" w:color="auto"/>
      </w:divBdr>
    </w:div>
    <w:div w:id="1086728266">
      <w:bodyDiv w:val="1"/>
      <w:marLeft w:val="0"/>
      <w:marRight w:val="0"/>
      <w:marTop w:val="0"/>
      <w:marBottom w:val="0"/>
      <w:divBdr>
        <w:top w:val="none" w:sz="0" w:space="0" w:color="auto"/>
        <w:left w:val="none" w:sz="0" w:space="0" w:color="auto"/>
        <w:bottom w:val="none" w:sz="0" w:space="0" w:color="auto"/>
        <w:right w:val="none" w:sz="0" w:space="0" w:color="auto"/>
      </w:divBdr>
    </w:div>
    <w:div w:id="1086728797">
      <w:bodyDiv w:val="1"/>
      <w:marLeft w:val="0"/>
      <w:marRight w:val="0"/>
      <w:marTop w:val="0"/>
      <w:marBottom w:val="0"/>
      <w:divBdr>
        <w:top w:val="none" w:sz="0" w:space="0" w:color="auto"/>
        <w:left w:val="none" w:sz="0" w:space="0" w:color="auto"/>
        <w:bottom w:val="none" w:sz="0" w:space="0" w:color="auto"/>
        <w:right w:val="none" w:sz="0" w:space="0" w:color="auto"/>
      </w:divBdr>
    </w:div>
    <w:div w:id="1086729000">
      <w:bodyDiv w:val="1"/>
      <w:marLeft w:val="0"/>
      <w:marRight w:val="0"/>
      <w:marTop w:val="0"/>
      <w:marBottom w:val="0"/>
      <w:divBdr>
        <w:top w:val="none" w:sz="0" w:space="0" w:color="auto"/>
        <w:left w:val="none" w:sz="0" w:space="0" w:color="auto"/>
        <w:bottom w:val="none" w:sz="0" w:space="0" w:color="auto"/>
        <w:right w:val="none" w:sz="0" w:space="0" w:color="auto"/>
      </w:divBdr>
    </w:div>
    <w:div w:id="1086729933">
      <w:bodyDiv w:val="1"/>
      <w:marLeft w:val="0"/>
      <w:marRight w:val="0"/>
      <w:marTop w:val="0"/>
      <w:marBottom w:val="0"/>
      <w:divBdr>
        <w:top w:val="none" w:sz="0" w:space="0" w:color="auto"/>
        <w:left w:val="none" w:sz="0" w:space="0" w:color="auto"/>
        <w:bottom w:val="none" w:sz="0" w:space="0" w:color="auto"/>
        <w:right w:val="none" w:sz="0" w:space="0" w:color="auto"/>
      </w:divBdr>
    </w:div>
    <w:div w:id="1086730778">
      <w:bodyDiv w:val="1"/>
      <w:marLeft w:val="0"/>
      <w:marRight w:val="0"/>
      <w:marTop w:val="0"/>
      <w:marBottom w:val="0"/>
      <w:divBdr>
        <w:top w:val="none" w:sz="0" w:space="0" w:color="auto"/>
        <w:left w:val="none" w:sz="0" w:space="0" w:color="auto"/>
        <w:bottom w:val="none" w:sz="0" w:space="0" w:color="auto"/>
        <w:right w:val="none" w:sz="0" w:space="0" w:color="auto"/>
      </w:divBdr>
    </w:div>
    <w:div w:id="1086808341">
      <w:bodyDiv w:val="1"/>
      <w:marLeft w:val="0"/>
      <w:marRight w:val="0"/>
      <w:marTop w:val="0"/>
      <w:marBottom w:val="0"/>
      <w:divBdr>
        <w:top w:val="none" w:sz="0" w:space="0" w:color="auto"/>
        <w:left w:val="none" w:sz="0" w:space="0" w:color="auto"/>
        <w:bottom w:val="none" w:sz="0" w:space="0" w:color="auto"/>
        <w:right w:val="none" w:sz="0" w:space="0" w:color="auto"/>
      </w:divBdr>
    </w:div>
    <w:div w:id="1086995693">
      <w:bodyDiv w:val="1"/>
      <w:marLeft w:val="0"/>
      <w:marRight w:val="0"/>
      <w:marTop w:val="0"/>
      <w:marBottom w:val="0"/>
      <w:divBdr>
        <w:top w:val="none" w:sz="0" w:space="0" w:color="auto"/>
        <w:left w:val="none" w:sz="0" w:space="0" w:color="auto"/>
        <w:bottom w:val="none" w:sz="0" w:space="0" w:color="auto"/>
        <w:right w:val="none" w:sz="0" w:space="0" w:color="auto"/>
      </w:divBdr>
    </w:div>
    <w:div w:id="1087193740">
      <w:bodyDiv w:val="1"/>
      <w:marLeft w:val="0"/>
      <w:marRight w:val="0"/>
      <w:marTop w:val="0"/>
      <w:marBottom w:val="0"/>
      <w:divBdr>
        <w:top w:val="none" w:sz="0" w:space="0" w:color="auto"/>
        <w:left w:val="none" w:sz="0" w:space="0" w:color="auto"/>
        <w:bottom w:val="none" w:sz="0" w:space="0" w:color="auto"/>
        <w:right w:val="none" w:sz="0" w:space="0" w:color="auto"/>
      </w:divBdr>
    </w:div>
    <w:div w:id="1087196476">
      <w:bodyDiv w:val="1"/>
      <w:marLeft w:val="0"/>
      <w:marRight w:val="0"/>
      <w:marTop w:val="0"/>
      <w:marBottom w:val="0"/>
      <w:divBdr>
        <w:top w:val="none" w:sz="0" w:space="0" w:color="auto"/>
        <w:left w:val="none" w:sz="0" w:space="0" w:color="auto"/>
        <w:bottom w:val="none" w:sz="0" w:space="0" w:color="auto"/>
        <w:right w:val="none" w:sz="0" w:space="0" w:color="auto"/>
      </w:divBdr>
    </w:div>
    <w:div w:id="1087266616">
      <w:bodyDiv w:val="1"/>
      <w:marLeft w:val="0"/>
      <w:marRight w:val="0"/>
      <w:marTop w:val="0"/>
      <w:marBottom w:val="0"/>
      <w:divBdr>
        <w:top w:val="none" w:sz="0" w:space="0" w:color="auto"/>
        <w:left w:val="none" w:sz="0" w:space="0" w:color="auto"/>
        <w:bottom w:val="none" w:sz="0" w:space="0" w:color="auto"/>
        <w:right w:val="none" w:sz="0" w:space="0" w:color="auto"/>
      </w:divBdr>
    </w:div>
    <w:div w:id="1087463807">
      <w:bodyDiv w:val="1"/>
      <w:marLeft w:val="0"/>
      <w:marRight w:val="0"/>
      <w:marTop w:val="0"/>
      <w:marBottom w:val="0"/>
      <w:divBdr>
        <w:top w:val="none" w:sz="0" w:space="0" w:color="auto"/>
        <w:left w:val="none" w:sz="0" w:space="0" w:color="auto"/>
        <w:bottom w:val="none" w:sz="0" w:space="0" w:color="auto"/>
        <w:right w:val="none" w:sz="0" w:space="0" w:color="auto"/>
      </w:divBdr>
    </w:div>
    <w:div w:id="1087581197">
      <w:bodyDiv w:val="1"/>
      <w:marLeft w:val="0"/>
      <w:marRight w:val="0"/>
      <w:marTop w:val="0"/>
      <w:marBottom w:val="0"/>
      <w:divBdr>
        <w:top w:val="none" w:sz="0" w:space="0" w:color="auto"/>
        <w:left w:val="none" w:sz="0" w:space="0" w:color="auto"/>
        <w:bottom w:val="none" w:sz="0" w:space="0" w:color="auto"/>
        <w:right w:val="none" w:sz="0" w:space="0" w:color="auto"/>
      </w:divBdr>
    </w:div>
    <w:div w:id="1087581673">
      <w:bodyDiv w:val="1"/>
      <w:marLeft w:val="0"/>
      <w:marRight w:val="0"/>
      <w:marTop w:val="0"/>
      <w:marBottom w:val="0"/>
      <w:divBdr>
        <w:top w:val="none" w:sz="0" w:space="0" w:color="auto"/>
        <w:left w:val="none" w:sz="0" w:space="0" w:color="auto"/>
        <w:bottom w:val="none" w:sz="0" w:space="0" w:color="auto"/>
        <w:right w:val="none" w:sz="0" w:space="0" w:color="auto"/>
      </w:divBdr>
    </w:div>
    <w:div w:id="1087650917">
      <w:bodyDiv w:val="1"/>
      <w:marLeft w:val="0"/>
      <w:marRight w:val="0"/>
      <w:marTop w:val="0"/>
      <w:marBottom w:val="0"/>
      <w:divBdr>
        <w:top w:val="none" w:sz="0" w:space="0" w:color="auto"/>
        <w:left w:val="none" w:sz="0" w:space="0" w:color="auto"/>
        <w:bottom w:val="none" w:sz="0" w:space="0" w:color="auto"/>
        <w:right w:val="none" w:sz="0" w:space="0" w:color="auto"/>
      </w:divBdr>
    </w:div>
    <w:div w:id="1087728486">
      <w:bodyDiv w:val="1"/>
      <w:marLeft w:val="0"/>
      <w:marRight w:val="0"/>
      <w:marTop w:val="0"/>
      <w:marBottom w:val="0"/>
      <w:divBdr>
        <w:top w:val="none" w:sz="0" w:space="0" w:color="auto"/>
        <w:left w:val="none" w:sz="0" w:space="0" w:color="auto"/>
        <w:bottom w:val="none" w:sz="0" w:space="0" w:color="auto"/>
        <w:right w:val="none" w:sz="0" w:space="0" w:color="auto"/>
      </w:divBdr>
    </w:div>
    <w:div w:id="1088160506">
      <w:bodyDiv w:val="1"/>
      <w:marLeft w:val="0"/>
      <w:marRight w:val="0"/>
      <w:marTop w:val="0"/>
      <w:marBottom w:val="0"/>
      <w:divBdr>
        <w:top w:val="none" w:sz="0" w:space="0" w:color="auto"/>
        <w:left w:val="none" w:sz="0" w:space="0" w:color="auto"/>
        <w:bottom w:val="none" w:sz="0" w:space="0" w:color="auto"/>
        <w:right w:val="none" w:sz="0" w:space="0" w:color="auto"/>
      </w:divBdr>
    </w:div>
    <w:div w:id="1088188239">
      <w:bodyDiv w:val="1"/>
      <w:marLeft w:val="0"/>
      <w:marRight w:val="0"/>
      <w:marTop w:val="0"/>
      <w:marBottom w:val="0"/>
      <w:divBdr>
        <w:top w:val="none" w:sz="0" w:space="0" w:color="auto"/>
        <w:left w:val="none" w:sz="0" w:space="0" w:color="auto"/>
        <w:bottom w:val="none" w:sz="0" w:space="0" w:color="auto"/>
        <w:right w:val="none" w:sz="0" w:space="0" w:color="auto"/>
      </w:divBdr>
    </w:div>
    <w:div w:id="1088233858">
      <w:bodyDiv w:val="1"/>
      <w:marLeft w:val="0"/>
      <w:marRight w:val="0"/>
      <w:marTop w:val="0"/>
      <w:marBottom w:val="0"/>
      <w:divBdr>
        <w:top w:val="none" w:sz="0" w:space="0" w:color="auto"/>
        <w:left w:val="none" w:sz="0" w:space="0" w:color="auto"/>
        <w:bottom w:val="none" w:sz="0" w:space="0" w:color="auto"/>
        <w:right w:val="none" w:sz="0" w:space="0" w:color="auto"/>
      </w:divBdr>
    </w:div>
    <w:div w:id="1088309413">
      <w:bodyDiv w:val="1"/>
      <w:marLeft w:val="0"/>
      <w:marRight w:val="0"/>
      <w:marTop w:val="0"/>
      <w:marBottom w:val="0"/>
      <w:divBdr>
        <w:top w:val="none" w:sz="0" w:space="0" w:color="auto"/>
        <w:left w:val="none" w:sz="0" w:space="0" w:color="auto"/>
        <w:bottom w:val="none" w:sz="0" w:space="0" w:color="auto"/>
        <w:right w:val="none" w:sz="0" w:space="0" w:color="auto"/>
      </w:divBdr>
    </w:div>
    <w:div w:id="1088384709">
      <w:bodyDiv w:val="1"/>
      <w:marLeft w:val="0"/>
      <w:marRight w:val="0"/>
      <w:marTop w:val="0"/>
      <w:marBottom w:val="0"/>
      <w:divBdr>
        <w:top w:val="none" w:sz="0" w:space="0" w:color="auto"/>
        <w:left w:val="none" w:sz="0" w:space="0" w:color="auto"/>
        <w:bottom w:val="none" w:sz="0" w:space="0" w:color="auto"/>
        <w:right w:val="none" w:sz="0" w:space="0" w:color="auto"/>
      </w:divBdr>
    </w:div>
    <w:div w:id="1088426462">
      <w:bodyDiv w:val="1"/>
      <w:marLeft w:val="0"/>
      <w:marRight w:val="0"/>
      <w:marTop w:val="0"/>
      <w:marBottom w:val="0"/>
      <w:divBdr>
        <w:top w:val="none" w:sz="0" w:space="0" w:color="auto"/>
        <w:left w:val="none" w:sz="0" w:space="0" w:color="auto"/>
        <w:bottom w:val="none" w:sz="0" w:space="0" w:color="auto"/>
        <w:right w:val="none" w:sz="0" w:space="0" w:color="auto"/>
      </w:divBdr>
    </w:div>
    <w:div w:id="1088427240">
      <w:bodyDiv w:val="1"/>
      <w:marLeft w:val="0"/>
      <w:marRight w:val="0"/>
      <w:marTop w:val="0"/>
      <w:marBottom w:val="0"/>
      <w:divBdr>
        <w:top w:val="none" w:sz="0" w:space="0" w:color="auto"/>
        <w:left w:val="none" w:sz="0" w:space="0" w:color="auto"/>
        <w:bottom w:val="none" w:sz="0" w:space="0" w:color="auto"/>
        <w:right w:val="none" w:sz="0" w:space="0" w:color="auto"/>
      </w:divBdr>
    </w:div>
    <w:div w:id="1088622038">
      <w:bodyDiv w:val="1"/>
      <w:marLeft w:val="0"/>
      <w:marRight w:val="0"/>
      <w:marTop w:val="0"/>
      <w:marBottom w:val="0"/>
      <w:divBdr>
        <w:top w:val="none" w:sz="0" w:space="0" w:color="auto"/>
        <w:left w:val="none" w:sz="0" w:space="0" w:color="auto"/>
        <w:bottom w:val="none" w:sz="0" w:space="0" w:color="auto"/>
        <w:right w:val="none" w:sz="0" w:space="0" w:color="auto"/>
      </w:divBdr>
    </w:div>
    <w:div w:id="1088622814">
      <w:bodyDiv w:val="1"/>
      <w:marLeft w:val="0"/>
      <w:marRight w:val="0"/>
      <w:marTop w:val="0"/>
      <w:marBottom w:val="0"/>
      <w:divBdr>
        <w:top w:val="none" w:sz="0" w:space="0" w:color="auto"/>
        <w:left w:val="none" w:sz="0" w:space="0" w:color="auto"/>
        <w:bottom w:val="none" w:sz="0" w:space="0" w:color="auto"/>
        <w:right w:val="none" w:sz="0" w:space="0" w:color="auto"/>
      </w:divBdr>
    </w:div>
    <w:div w:id="1088700101">
      <w:bodyDiv w:val="1"/>
      <w:marLeft w:val="0"/>
      <w:marRight w:val="0"/>
      <w:marTop w:val="0"/>
      <w:marBottom w:val="0"/>
      <w:divBdr>
        <w:top w:val="none" w:sz="0" w:space="0" w:color="auto"/>
        <w:left w:val="none" w:sz="0" w:space="0" w:color="auto"/>
        <w:bottom w:val="none" w:sz="0" w:space="0" w:color="auto"/>
        <w:right w:val="none" w:sz="0" w:space="0" w:color="auto"/>
      </w:divBdr>
    </w:div>
    <w:div w:id="1088884768">
      <w:bodyDiv w:val="1"/>
      <w:marLeft w:val="0"/>
      <w:marRight w:val="0"/>
      <w:marTop w:val="0"/>
      <w:marBottom w:val="0"/>
      <w:divBdr>
        <w:top w:val="none" w:sz="0" w:space="0" w:color="auto"/>
        <w:left w:val="none" w:sz="0" w:space="0" w:color="auto"/>
        <w:bottom w:val="none" w:sz="0" w:space="0" w:color="auto"/>
        <w:right w:val="none" w:sz="0" w:space="0" w:color="auto"/>
      </w:divBdr>
    </w:div>
    <w:div w:id="1088893037">
      <w:bodyDiv w:val="1"/>
      <w:marLeft w:val="0"/>
      <w:marRight w:val="0"/>
      <w:marTop w:val="0"/>
      <w:marBottom w:val="0"/>
      <w:divBdr>
        <w:top w:val="none" w:sz="0" w:space="0" w:color="auto"/>
        <w:left w:val="none" w:sz="0" w:space="0" w:color="auto"/>
        <w:bottom w:val="none" w:sz="0" w:space="0" w:color="auto"/>
        <w:right w:val="none" w:sz="0" w:space="0" w:color="auto"/>
      </w:divBdr>
    </w:div>
    <w:div w:id="1089037097">
      <w:bodyDiv w:val="1"/>
      <w:marLeft w:val="0"/>
      <w:marRight w:val="0"/>
      <w:marTop w:val="0"/>
      <w:marBottom w:val="0"/>
      <w:divBdr>
        <w:top w:val="none" w:sz="0" w:space="0" w:color="auto"/>
        <w:left w:val="none" w:sz="0" w:space="0" w:color="auto"/>
        <w:bottom w:val="none" w:sz="0" w:space="0" w:color="auto"/>
        <w:right w:val="none" w:sz="0" w:space="0" w:color="auto"/>
      </w:divBdr>
    </w:div>
    <w:div w:id="1089042496">
      <w:bodyDiv w:val="1"/>
      <w:marLeft w:val="0"/>
      <w:marRight w:val="0"/>
      <w:marTop w:val="0"/>
      <w:marBottom w:val="0"/>
      <w:divBdr>
        <w:top w:val="none" w:sz="0" w:space="0" w:color="auto"/>
        <w:left w:val="none" w:sz="0" w:space="0" w:color="auto"/>
        <w:bottom w:val="none" w:sz="0" w:space="0" w:color="auto"/>
        <w:right w:val="none" w:sz="0" w:space="0" w:color="auto"/>
      </w:divBdr>
    </w:div>
    <w:div w:id="1089042523">
      <w:bodyDiv w:val="1"/>
      <w:marLeft w:val="0"/>
      <w:marRight w:val="0"/>
      <w:marTop w:val="0"/>
      <w:marBottom w:val="0"/>
      <w:divBdr>
        <w:top w:val="none" w:sz="0" w:space="0" w:color="auto"/>
        <w:left w:val="none" w:sz="0" w:space="0" w:color="auto"/>
        <w:bottom w:val="none" w:sz="0" w:space="0" w:color="auto"/>
        <w:right w:val="none" w:sz="0" w:space="0" w:color="auto"/>
      </w:divBdr>
    </w:div>
    <w:div w:id="1089079226">
      <w:bodyDiv w:val="1"/>
      <w:marLeft w:val="0"/>
      <w:marRight w:val="0"/>
      <w:marTop w:val="0"/>
      <w:marBottom w:val="0"/>
      <w:divBdr>
        <w:top w:val="none" w:sz="0" w:space="0" w:color="auto"/>
        <w:left w:val="none" w:sz="0" w:space="0" w:color="auto"/>
        <w:bottom w:val="none" w:sz="0" w:space="0" w:color="auto"/>
        <w:right w:val="none" w:sz="0" w:space="0" w:color="auto"/>
      </w:divBdr>
    </w:div>
    <w:div w:id="1089276148">
      <w:bodyDiv w:val="1"/>
      <w:marLeft w:val="0"/>
      <w:marRight w:val="0"/>
      <w:marTop w:val="0"/>
      <w:marBottom w:val="0"/>
      <w:divBdr>
        <w:top w:val="none" w:sz="0" w:space="0" w:color="auto"/>
        <w:left w:val="none" w:sz="0" w:space="0" w:color="auto"/>
        <w:bottom w:val="none" w:sz="0" w:space="0" w:color="auto"/>
        <w:right w:val="none" w:sz="0" w:space="0" w:color="auto"/>
      </w:divBdr>
    </w:div>
    <w:div w:id="1089425215">
      <w:bodyDiv w:val="1"/>
      <w:marLeft w:val="0"/>
      <w:marRight w:val="0"/>
      <w:marTop w:val="0"/>
      <w:marBottom w:val="0"/>
      <w:divBdr>
        <w:top w:val="none" w:sz="0" w:space="0" w:color="auto"/>
        <w:left w:val="none" w:sz="0" w:space="0" w:color="auto"/>
        <w:bottom w:val="none" w:sz="0" w:space="0" w:color="auto"/>
        <w:right w:val="none" w:sz="0" w:space="0" w:color="auto"/>
      </w:divBdr>
    </w:div>
    <w:div w:id="1089617306">
      <w:bodyDiv w:val="1"/>
      <w:marLeft w:val="0"/>
      <w:marRight w:val="0"/>
      <w:marTop w:val="0"/>
      <w:marBottom w:val="0"/>
      <w:divBdr>
        <w:top w:val="none" w:sz="0" w:space="0" w:color="auto"/>
        <w:left w:val="none" w:sz="0" w:space="0" w:color="auto"/>
        <w:bottom w:val="none" w:sz="0" w:space="0" w:color="auto"/>
        <w:right w:val="none" w:sz="0" w:space="0" w:color="auto"/>
      </w:divBdr>
    </w:div>
    <w:div w:id="1089620467">
      <w:bodyDiv w:val="1"/>
      <w:marLeft w:val="0"/>
      <w:marRight w:val="0"/>
      <w:marTop w:val="0"/>
      <w:marBottom w:val="0"/>
      <w:divBdr>
        <w:top w:val="none" w:sz="0" w:space="0" w:color="auto"/>
        <w:left w:val="none" w:sz="0" w:space="0" w:color="auto"/>
        <w:bottom w:val="none" w:sz="0" w:space="0" w:color="auto"/>
        <w:right w:val="none" w:sz="0" w:space="0" w:color="auto"/>
      </w:divBdr>
    </w:div>
    <w:div w:id="1089690519">
      <w:bodyDiv w:val="1"/>
      <w:marLeft w:val="0"/>
      <w:marRight w:val="0"/>
      <w:marTop w:val="0"/>
      <w:marBottom w:val="0"/>
      <w:divBdr>
        <w:top w:val="none" w:sz="0" w:space="0" w:color="auto"/>
        <w:left w:val="none" w:sz="0" w:space="0" w:color="auto"/>
        <w:bottom w:val="none" w:sz="0" w:space="0" w:color="auto"/>
        <w:right w:val="none" w:sz="0" w:space="0" w:color="auto"/>
      </w:divBdr>
    </w:div>
    <w:div w:id="1089887500">
      <w:bodyDiv w:val="1"/>
      <w:marLeft w:val="0"/>
      <w:marRight w:val="0"/>
      <w:marTop w:val="0"/>
      <w:marBottom w:val="0"/>
      <w:divBdr>
        <w:top w:val="none" w:sz="0" w:space="0" w:color="auto"/>
        <w:left w:val="none" w:sz="0" w:space="0" w:color="auto"/>
        <w:bottom w:val="none" w:sz="0" w:space="0" w:color="auto"/>
        <w:right w:val="none" w:sz="0" w:space="0" w:color="auto"/>
      </w:divBdr>
    </w:div>
    <w:div w:id="1089888208">
      <w:bodyDiv w:val="1"/>
      <w:marLeft w:val="0"/>
      <w:marRight w:val="0"/>
      <w:marTop w:val="0"/>
      <w:marBottom w:val="0"/>
      <w:divBdr>
        <w:top w:val="none" w:sz="0" w:space="0" w:color="auto"/>
        <w:left w:val="none" w:sz="0" w:space="0" w:color="auto"/>
        <w:bottom w:val="none" w:sz="0" w:space="0" w:color="auto"/>
        <w:right w:val="none" w:sz="0" w:space="0" w:color="auto"/>
      </w:divBdr>
    </w:div>
    <w:div w:id="1089931341">
      <w:bodyDiv w:val="1"/>
      <w:marLeft w:val="0"/>
      <w:marRight w:val="0"/>
      <w:marTop w:val="0"/>
      <w:marBottom w:val="0"/>
      <w:divBdr>
        <w:top w:val="none" w:sz="0" w:space="0" w:color="auto"/>
        <w:left w:val="none" w:sz="0" w:space="0" w:color="auto"/>
        <w:bottom w:val="none" w:sz="0" w:space="0" w:color="auto"/>
        <w:right w:val="none" w:sz="0" w:space="0" w:color="auto"/>
      </w:divBdr>
    </w:div>
    <w:div w:id="1090156208">
      <w:bodyDiv w:val="1"/>
      <w:marLeft w:val="0"/>
      <w:marRight w:val="0"/>
      <w:marTop w:val="0"/>
      <w:marBottom w:val="0"/>
      <w:divBdr>
        <w:top w:val="none" w:sz="0" w:space="0" w:color="auto"/>
        <w:left w:val="none" w:sz="0" w:space="0" w:color="auto"/>
        <w:bottom w:val="none" w:sz="0" w:space="0" w:color="auto"/>
        <w:right w:val="none" w:sz="0" w:space="0" w:color="auto"/>
      </w:divBdr>
    </w:div>
    <w:div w:id="1090346291">
      <w:bodyDiv w:val="1"/>
      <w:marLeft w:val="0"/>
      <w:marRight w:val="0"/>
      <w:marTop w:val="0"/>
      <w:marBottom w:val="0"/>
      <w:divBdr>
        <w:top w:val="none" w:sz="0" w:space="0" w:color="auto"/>
        <w:left w:val="none" w:sz="0" w:space="0" w:color="auto"/>
        <w:bottom w:val="none" w:sz="0" w:space="0" w:color="auto"/>
        <w:right w:val="none" w:sz="0" w:space="0" w:color="auto"/>
      </w:divBdr>
    </w:div>
    <w:div w:id="1090350355">
      <w:bodyDiv w:val="1"/>
      <w:marLeft w:val="0"/>
      <w:marRight w:val="0"/>
      <w:marTop w:val="0"/>
      <w:marBottom w:val="0"/>
      <w:divBdr>
        <w:top w:val="none" w:sz="0" w:space="0" w:color="auto"/>
        <w:left w:val="none" w:sz="0" w:space="0" w:color="auto"/>
        <w:bottom w:val="none" w:sz="0" w:space="0" w:color="auto"/>
        <w:right w:val="none" w:sz="0" w:space="0" w:color="auto"/>
      </w:divBdr>
    </w:div>
    <w:div w:id="1090350992">
      <w:bodyDiv w:val="1"/>
      <w:marLeft w:val="0"/>
      <w:marRight w:val="0"/>
      <w:marTop w:val="0"/>
      <w:marBottom w:val="0"/>
      <w:divBdr>
        <w:top w:val="none" w:sz="0" w:space="0" w:color="auto"/>
        <w:left w:val="none" w:sz="0" w:space="0" w:color="auto"/>
        <w:bottom w:val="none" w:sz="0" w:space="0" w:color="auto"/>
        <w:right w:val="none" w:sz="0" w:space="0" w:color="auto"/>
      </w:divBdr>
    </w:div>
    <w:div w:id="1090463177">
      <w:bodyDiv w:val="1"/>
      <w:marLeft w:val="0"/>
      <w:marRight w:val="0"/>
      <w:marTop w:val="0"/>
      <w:marBottom w:val="0"/>
      <w:divBdr>
        <w:top w:val="none" w:sz="0" w:space="0" w:color="auto"/>
        <w:left w:val="none" w:sz="0" w:space="0" w:color="auto"/>
        <w:bottom w:val="none" w:sz="0" w:space="0" w:color="auto"/>
        <w:right w:val="none" w:sz="0" w:space="0" w:color="auto"/>
      </w:divBdr>
    </w:div>
    <w:div w:id="1090464289">
      <w:bodyDiv w:val="1"/>
      <w:marLeft w:val="0"/>
      <w:marRight w:val="0"/>
      <w:marTop w:val="0"/>
      <w:marBottom w:val="0"/>
      <w:divBdr>
        <w:top w:val="none" w:sz="0" w:space="0" w:color="auto"/>
        <w:left w:val="none" w:sz="0" w:space="0" w:color="auto"/>
        <w:bottom w:val="none" w:sz="0" w:space="0" w:color="auto"/>
        <w:right w:val="none" w:sz="0" w:space="0" w:color="auto"/>
      </w:divBdr>
    </w:div>
    <w:div w:id="1090546351">
      <w:bodyDiv w:val="1"/>
      <w:marLeft w:val="0"/>
      <w:marRight w:val="0"/>
      <w:marTop w:val="0"/>
      <w:marBottom w:val="0"/>
      <w:divBdr>
        <w:top w:val="none" w:sz="0" w:space="0" w:color="auto"/>
        <w:left w:val="none" w:sz="0" w:space="0" w:color="auto"/>
        <w:bottom w:val="none" w:sz="0" w:space="0" w:color="auto"/>
        <w:right w:val="none" w:sz="0" w:space="0" w:color="auto"/>
      </w:divBdr>
    </w:div>
    <w:div w:id="1090586159">
      <w:bodyDiv w:val="1"/>
      <w:marLeft w:val="0"/>
      <w:marRight w:val="0"/>
      <w:marTop w:val="0"/>
      <w:marBottom w:val="0"/>
      <w:divBdr>
        <w:top w:val="none" w:sz="0" w:space="0" w:color="auto"/>
        <w:left w:val="none" w:sz="0" w:space="0" w:color="auto"/>
        <w:bottom w:val="none" w:sz="0" w:space="0" w:color="auto"/>
        <w:right w:val="none" w:sz="0" w:space="0" w:color="auto"/>
      </w:divBdr>
    </w:div>
    <w:div w:id="1090663317">
      <w:bodyDiv w:val="1"/>
      <w:marLeft w:val="0"/>
      <w:marRight w:val="0"/>
      <w:marTop w:val="0"/>
      <w:marBottom w:val="0"/>
      <w:divBdr>
        <w:top w:val="none" w:sz="0" w:space="0" w:color="auto"/>
        <w:left w:val="none" w:sz="0" w:space="0" w:color="auto"/>
        <w:bottom w:val="none" w:sz="0" w:space="0" w:color="auto"/>
        <w:right w:val="none" w:sz="0" w:space="0" w:color="auto"/>
      </w:divBdr>
    </w:div>
    <w:div w:id="1090663347">
      <w:bodyDiv w:val="1"/>
      <w:marLeft w:val="0"/>
      <w:marRight w:val="0"/>
      <w:marTop w:val="0"/>
      <w:marBottom w:val="0"/>
      <w:divBdr>
        <w:top w:val="none" w:sz="0" w:space="0" w:color="auto"/>
        <w:left w:val="none" w:sz="0" w:space="0" w:color="auto"/>
        <w:bottom w:val="none" w:sz="0" w:space="0" w:color="auto"/>
        <w:right w:val="none" w:sz="0" w:space="0" w:color="auto"/>
      </w:divBdr>
    </w:div>
    <w:div w:id="1090734653">
      <w:bodyDiv w:val="1"/>
      <w:marLeft w:val="0"/>
      <w:marRight w:val="0"/>
      <w:marTop w:val="0"/>
      <w:marBottom w:val="0"/>
      <w:divBdr>
        <w:top w:val="none" w:sz="0" w:space="0" w:color="auto"/>
        <w:left w:val="none" w:sz="0" w:space="0" w:color="auto"/>
        <w:bottom w:val="none" w:sz="0" w:space="0" w:color="auto"/>
        <w:right w:val="none" w:sz="0" w:space="0" w:color="auto"/>
      </w:divBdr>
    </w:div>
    <w:div w:id="1090782942">
      <w:bodyDiv w:val="1"/>
      <w:marLeft w:val="0"/>
      <w:marRight w:val="0"/>
      <w:marTop w:val="0"/>
      <w:marBottom w:val="0"/>
      <w:divBdr>
        <w:top w:val="none" w:sz="0" w:space="0" w:color="auto"/>
        <w:left w:val="none" w:sz="0" w:space="0" w:color="auto"/>
        <w:bottom w:val="none" w:sz="0" w:space="0" w:color="auto"/>
        <w:right w:val="none" w:sz="0" w:space="0" w:color="auto"/>
      </w:divBdr>
    </w:div>
    <w:div w:id="1090809048">
      <w:bodyDiv w:val="1"/>
      <w:marLeft w:val="0"/>
      <w:marRight w:val="0"/>
      <w:marTop w:val="0"/>
      <w:marBottom w:val="0"/>
      <w:divBdr>
        <w:top w:val="none" w:sz="0" w:space="0" w:color="auto"/>
        <w:left w:val="none" w:sz="0" w:space="0" w:color="auto"/>
        <w:bottom w:val="none" w:sz="0" w:space="0" w:color="auto"/>
        <w:right w:val="none" w:sz="0" w:space="0" w:color="auto"/>
      </w:divBdr>
    </w:div>
    <w:div w:id="1090927060">
      <w:bodyDiv w:val="1"/>
      <w:marLeft w:val="0"/>
      <w:marRight w:val="0"/>
      <w:marTop w:val="0"/>
      <w:marBottom w:val="0"/>
      <w:divBdr>
        <w:top w:val="none" w:sz="0" w:space="0" w:color="auto"/>
        <w:left w:val="none" w:sz="0" w:space="0" w:color="auto"/>
        <w:bottom w:val="none" w:sz="0" w:space="0" w:color="auto"/>
        <w:right w:val="none" w:sz="0" w:space="0" w:color="auto"/>
      </w:divBdr>
    </w:div>
    <w:div w:id="1091051374">
      <w:bodyDiv w:val="1"/>
      <w:marLeft w:val="0"/>
      <w:marRight w:val="0"/>
      <w:marTop w:val="0"/>
      <w:marBottom w:val="0"/>
      <w:divBdr>
        <w:top w:val="none" w:sz="0" w:space="0" w:color="auto"/>
        <w:left w:val="none" w:sz="0" w:space="0" w:color="auto"/>
        <w:bottom w:val="none" w:sz="0" w:space="0" w:color="auto"/>
        <w:right w:val="none" w:sz="0" w:space="0" w:color="auto"/>
      </w:divBdr>
    </w:div>
    <w:div w:id="1091195494">
      <w:bodyDiv w:val="1"/>
      <w:marLeft w:val="0"/>
      <w:marRight w:val="0"/>
      <w:marTop w:val="0"/>
      <w:marBottom w:val="0"/>
      <w:divBdr>
        <w:top w:val="none" w:sz="0" w:space="0" w:color="auto"/>
        <w:left w:val="none" w:sz="0" w:space="0" w:color="auto"/>
        <w:bottom w:val="none" w:sz="0" w:space="0" w:color="auto"/>
        <w:right w:val="none" w:sz="0" w:space="0" w:color="auto"/>
      </w:divBdr>
    </w:div>
    <w:div w:id="1091196114">
      <w:bodyDiv w:val="1"/>
      <w:marLeft w:val="0"/>
      <w:marRight w:val="0"/>
      <w:marTop w:val="0"/>
      <w:marBottom w:val="0"/>
      <w:divBdr>
        <w:top w:val="none" w:sz="0" w:space="0" w:color="auto"/>
        <w:left w:val="none" w:sz="0" w:space="0" w:color="auto"/>
        <w:bottom w:val="none" w:sz="0" w:space="0" w:color="auto"/>
        <w:right w:val="none" w:sz="0" w:space="0" w:color="auto"/>
      </w:divBdr>
    </w:div>
    <w:div w:id="1091200684">
      <w:bodyDiv w:val="1"/>
      <w:marLeft w:val="0"/>
      <w:marRight w:val="0"/>
      <w:marTop w:val="0"/>
      <w:marBottom w:val="0"/>
      <w:divBdr>
        <w:top w:val="none" w:sz="0" w:space="0" w:color="auto"/>
        <w:left w:val="none" w:sz="0" w:space="0" w:color="auto"/>
        <w:bottom w:val="none" w:sz="0" w:space="0" w:color="auto"/>
        <w:right w:val="none" w:sz="0" w:space="0" w:color="auto"/>
      </w:divBdr>
    </w:div>
    <w:div w:id="1091391287">
      <w:bodyDiv w:val="1"/>
      <w:marLeft w:val="0"/>
      <w:marRight w:val="0"/>
      <w:marTop w:val="0"/>
      <w:marBottom w:val="0"/>
      <w:divBdr>
        <w:top w:val="none" w:sz="0" w:space="0" w:color="auto"/>
        <w:left w:val="none" w:sz="0" w:space="0" w:color="auto"/>
        <w:bottom w:val="none" w:sz="0" w:space="0" w:color="auto"/>
        <w:right w:val="none" w:sz="0" w:space="0" w:color="auto"/>
      </w:divBdr>
    </w:div>
    <w:div w:id="1091507846">
      <w:bodyDiv w:val="1"/>
      <w:marLeft w:val="0"/>
      <w:marRight w:val="0"/>
      <w:marTop w:val="0"/>
      <w:marBottom w:val="0"/>
      <w:divBdr>
        <w:top w:val="none" w:sz="0" w:space="0" w:color="auto"/>
        <w:left w:val="none" w:sz="0" w:space="0" w:color="auto"/>
        <w:bottom w:val="none" w:sz="0" w:space="0" w:color="auto"/>
        <w:right w:val="none" w:sz="0" w:space="0" w:color="auto"/>
      </w:divBdr>
    </w:div>
    <w:div w:id="1091508482">
      <w:bodyDiv w:val="1"/>
      <w:marLeft w:val="0"/>
      <w:marRight w:val="0"/>
      <w:marTop w:val="0"/>
      <w:marBottom w:val="0"/>
      <w:divBdr>
        <w:top w:val="none" w:sz="0" w:space="0" w:color="auto"/>
        <w:left w:val="none" w:sz="0" w:space="0" w:color="auto"/>
        <w:bottom w:val="none" w:sz="0" w:space="0" w:color="auto"/>
        <w:right w:val="none" w:sz="0" w:space="0" w:color="auto"/>
      </w:divBdr>
    </w:div>
    <w:div w:id="1091705594">
      <w:bodyDiv w:val="1"/>
      <w:marLeft w:val="0"/>
      <w:marRight w:val="0"/>
      <w:marTop w:val="0"/>
      <w:marBottom w:val="0"/>
      <w:divBdr>
        <w:top w:val="none" w:sz="0" w:space="0" w:color="auto"/>
        <w:left w:val="none" w:sz="0" w:space="0" w:color="auto"/>
        <w:bottom w:val="none" w:sz="0" w:space="0" w:color="auto"/>
        <w:right w:val="none" w:sz="0" w:space="0" w:color="auto"/>
      </w:divBdr>
    </w:div>
    <w:div w:id="1091706693">
      <w:bodyDiv w:val="1"/>
      <w:marLeft w:val="0"/>
      <w:marRight w:val="0"/>
      <w:marTop w:val="0"/>
      <w:marBottom w:val="0"/>
      <w:divBdr>
        <w:top w:val="none" w:sz="0" w:space="0" w:color="auto"/>
        <w:left w:val="none" w:sz="0" w:space="0" w:color="auto"/>
        <w:bottom w:val="none" w:sz="0" w:space="0" w:color="auto"/>
        <w:right w:val="none" w:sz="0" w:space="0" w:color="auto"/>
      </w:divBdr>
    </w:div>
    <w:div w:id="1091780598">
      <w:bodyDiv w:val="1"/>
      <w:marLeft w:val="0"/>
      <w:marRight w:val="0"/>
      <w:marTop w:val="0"/>
      <w:marBottom w:val="0"/>
      <w:divBdr>
        <w:top w:val="none" w:sz="0" w:space="0" w:color="auto"/>
        <w:left w:val="none" w:sz="0" w:space="0" w:color="auto"/>
        <w:bottom w:val="none" w:sz="0" w:space="0" w:color="auto"/>
        <w:right w:val="none" w:sz="0" w:space="0" w:color="auto"/>
      </w:divBdr>
    </w:div>
    <w:div w:id="1091783158">
      <w:bodyDiv w:val="1"/>
      <w:marLeft w:val="0"/>
      <w:marRight w:val="0"/>
      <w:marTop w:val="0"/>
      <w:marBottom w:val="0"/>
      <w:divBdr>
        <w:top w:val="none" w:sz="0" w:space="0" w:color="auto"/>
        <w:left w:val="none" w:sz="0" w:space="0" w:color="auto"/>
        <w:bottom w:val="none" w:sz="0" w:space="0" w:color="auto"/>
        <w:right w:val="none" w:sz="0" w:space="0" w:color="auto"/>
      </w:divBdr>
    </w:div>
    <w:div w:id="1091849032">
      <w:bodyDiv w:val="1"/>
      <w:marLeft w:val="0"/>
      <w:marRight w:val="0"/>
      <w:marTop w:val="0"/>
      <w:marBottom w:val="0"/>
      <w:divBdr>
        <w:top w:val="none" w:sz="0" w:space="0" w:color="auto"/>
        <w:left w:val="none" w:sz="0" w:space="0" w:color="auto"/>
        <w:bottom w:val="none" w:sz="0" w:space="0" w:color="auto"/>
        <w:right w:val="none" w:sz="0" w:space="0" w:color="auto"/>
      </w:divBdr>
    </w:div>
    <w:div w:id="1091851838">
      <w:bodyDiv w:val="1"/>
      <w:marLeft w:val="0"/>
      <w:marRight w:val="0"/>
      <w:marTop w:val="0"/>
      <w:marBottom w:val="0"/>
      <w:divBdr>
        <w:top w:val="none" w:sz="0" w:space="0" w:color="auto"/>
        <w:left w:val="none" w:sz="0" w:space="0" w:color="auto"/>
        <w:bottom w:val="none" w:sz="0" w:space="0" w:color="auto"/>
        <w:right w:val="none" w:sz="0" w:space="0" w:color="auto"/>
      </w:divBdr>
    </w:div>
    <w:div w:id="1091852552">
      <w:bodyDiv w:val="1"/>
      <w:marLeft w:val="0"/>
      <w:marRight w:val="0"/>
      <w:marTop w:val="0"/>
      <w:marBottom w:val="0"/>
      <w:divBdr>
        <w:top w:val="none" w:sz="0" w:space="0" w:color="auto"/>
        <w:left w:val="none" w:sz="0" w:space="0" w:color="auto"/>
        <w:bottom w:val="none" w:sz="0" w:space="0" w:color="auto"/>
        <w:right w:val="none" w:sz="0" w:space="0" w:color="auto"/>
      </w:divBdr>
    </w:div>
    <w:div w:id="1091970914">
      <w:bodyDiv w:val="1"/>
      <w:marLeft w:val="0"/>
      <w:marRight w:val="0"/>
      <w:marTop w:val="0"/>
      <w:marBottom w:val="0"/>
      <w:divBdr>
        <w:top w:val="none" w:sz="0" w:space="0" w:color="auto"/>
        <w:left w:val="none" w:sz="0" w:space="0" w:color="auto"/>
        <w:bottom w:val="none" w:sz="0" w:space="0" w:color="auto"/>
        <w:right w:val="none" w:sz="0" w:space="0" w:color="auto"/>
      </w:divBdr>
    </w:div>
    <w:div w:id="1092047703">
      <w:bodyDiv w:val="1"/>
      <w:marLeft w:val="0"/>
      <w:marRight w:val="0"/>
      <w:marTop w:val="0"/>
      <w:marBottom w:val="0"/>
      <w:divBdr>
        <w:top w:val="none" w:sz="0" w:space="0" w:color="auto"/>
        <w:left w:val="none" w:sz="0" w:space="0" w:color="auto"/>
        <w:bottom w:val="none" w:sz="0" w:space="0" w:color="auto"/>
        <w:right w:val="none" w:sz="0" w:space="0" w:color="auto"/>
      </w:divBdr>
    </w:div>
    <w:div w:id="1092118275">
      <w:bodyDiv w:val="1"/>
      <w:marLeft w:val="0"/>
      <w:marRight w:val="0"/>
      <w:marTop w:val="0"/>
      <w:marBottom w:val="0"/>
      <w:divBdr>
        <w:top w:val="none" w:sz="0" w:space="0" w:color="auto"/>
        <w:left w:val="none" w:sz="0" w:space="0" w:color="auto"/>
        <w:bottom w:val="none" w:sz="0" w:space="0" w:color="auto"/>
        <w:right w:val="none" w:sz="0" w:space="0" w:color="auto"/>
      </w:divBdr>
    </w:div>
    <w:div w:id="1092162574">
      <w:bodyDiv w:val="1"/>
      <w:marLeft w:val="0"/>
      <w:marRight w:val="0"/>
      <w:marTop w:val="0"/>
      <w:marBottom w:val="0"/>
      <w:divBdr>
        <w:top w:val="none" w:sz="0" w:space="0" w:color="auto"/>
        <w:left w:val="none" w:sz="0" w:space="0" w:color="auto"/>
        <w:bottom w:val="none" w:sz="0" w:space="0" w:color="auto"/>
        <w:right w:val="none" w:sz="0" w:space="0" w:color="auto"/>
      </w:divBdr>
    </w:div>
    <w:div w:id="1092163560">
      <w:bodyDiv w:val="1"/>
      <w:marLeft w:val="0"/>
      <w:marRight w:val="0"/>
      <w:marTop w:val="0"/>
      <w:marBottom w:val="0"/>
      <w:divBdr>
        <w:top w:val="none" w:sz="0" w:space="0" w:color="auto"/>
        <w:left w:val="none" w:sz="0" w:space="0" w:color="auto"/>
        <w:bottom w:val="none" w:sz="0" w:space="0" w:color="auto"/>
        <w:right w:val="none" w:sz="0" w:space="0" w:color="auto"/>
      </w:divBdr>
    </w:div>
    <w:div w:id="1092168167">
      <w:bodyDiv w:val="1"/>
      <w:marLeft w:val="0"/>
      <w:marRight w:val="0"/>
      <w:marTop w:val="0"/>
      <w:marBottom w:val="0"/>
      <w:divBdr>
        <w:top w:val="none" w:sz="0" w:space="0" w:color="auto"/>
        <w:left w:val="none" w:sz="0" w:space="0" w:color="auto"/>
        <w:bottom w:val="none" w:sz="0" w:space="0" w:color="auto"/>
        <w:right w:val="none" w:sz="0" w:space="0" w:color="auto"/>
      </w:divBdr>
    </w:div>
    <w:div w:id="1092317602">
      <w:bodyDiv w:val="1"/>
      <w:marLeft w:val="0"/>
      <w:marRight w:val="0"/>
      <w:marTop w:val="0"/>
      <w:marBottom w:val="0"/>
      <w:divBdr>
        <w:top w:val="none" w:sz="0" w:space="0" w:color="auto"/>
        <w:left w:val="none" w:sz="0" w:space="0" w:color="auto"/>
        <w:bottom w:val="none" w:sz="0" w:space="0" w:color="auto"/>
        <w:right w:val="none" w:sz="0" w:space="0" w:color="auto"/>
      </w:divBdr>
    </w:div>
    <w:div w:id="1092362205">
      <w:bodyDiv w:val="1"/>
      <w:marLeft w:val="0"/>
      <w:marRight w:val="0"/>
      <w:marTop w:val="0"/>
      <w:marBottom w:val="0"/>
      <w:divBdr>
        <w:top w:val="none" w:sz="0" w:space="0" w:color="auto"/>
        <w:left w:val="none" w:sz="0" w:space="0" w:color="auto"/>
        <w:bottom w:val="none" w:sz="0" w:space="0" w:color="auto"/>
        <w:right w:val="none" w:sz="0" w:space="0" w:color="auto"/>
      </w:divBdr>
    </w:div>
    <w:div w:id="1092433868">
      <w:bodyDiv w:val="1"/>
      <w:marLeft w:val="0"/>
      <w:marRight w:val="0"/>
      <w:marTop w:val="0"/>
      <w:marBottom w:val="0"/>
      <w:divBdr>
        <w:top w:val="none" w:sz="0" w:space="0" w:color="auto"/>
        <w:left w:val="none" w:sz="0" w:space="0" w:color="auto"/>
        <w:bottom w:val="none" w:sz="0" w:space="0" w:color="auto"/>
        <w:right w:val="none" w:sz="0" w:space="0" w:color="auto"/>
      </w:divBdr>
    </w:div>
    <w:div w:id="1092434469">
      <w:bodyDiv w:val="1"/>
      <w:marLeft w:val="0"/>
      <w:marRight w:val="0"/>
      <w:marTop w:val="0"/>
      <w:marBottom w:val="0"/>
      <w:divBdr>
        <w:top w:val="none" w:sz="0" w:space="0" w:color="auto"/>
        <w:left w:val="none" w:sz="0" w:space="0" w:color="auto"/>
        <w:bottom w:val="none" w:sz="0" w:space="0" w:color="auto"/>
        <w:right w:val="none" w:sz="0" w:space="0" w:color="auto"/>
      </w:divBdr>
    </w:div>
    <w:div w:id="1092438053">
      <w:bodyDiv w:val="1"/>
      <w:marLeft w:val="0"/>
      <w:marRight w:val="0"/>
      <w:marTop w:val="0"/>
      <w:marBottom w:val="0"/>
      <w:divBdr>
        <w:top w:val="none" w:sz="0" w:space="0" w:color="auto"/>
        <w:left w:val="none" w:sz="0" w:space="0" w:color="auto"/>
        <w:bottom w:val="none" w:sz="0" w:space="0" w:color="auto"/>
        <w:right w:val="none" w:sz="0" w:space="0" w:color="auto"/>
      </w:divBdr>
    </w:div>
    <w:div w:id="1092505008">
      <w:bodyDiv w:val="1"/>
      <w:marLeft w:val="0"/>
      <w:marRight w:val="0"/>
      <w:marTop w:val="0"/>
      <w:marBottom w:val="0"/>
      <w:divBdr>
        <w:top w:val="none" w:sz="0" w:space="0" w:color="auto"/>
        <w:left w:val="none" w:sz="0" w:space="0" w:color="auto"/>
        <w:bottom w:val="none" w:sz="0" w:space="0" w:color="auto"/>
        <w:right w:val="none" w:sz="0" w:space="0" w:color="auto"/>
      </w:divBdr>
    </w:div>
    <w:div w:id="1092506430">
      <w:bodyDiv w:val="1"/>
      <w:marLeft w:val="0"/>
      <w:marRight w:val="0"/>
      <w:marTop w:val="0"/>
      <w:marBottom w:val="0"/>
      <w:divBdr>
        <w:top w:val="none" w:sz="0" w:space="0" w:color="auto"/>
        <w:left w:val="none" w:sz="0" w:space="0" w:color="auto"/>
        <w:bottom w:val="none" w:sz="0" w:space="0" w:color="auto"/>
        <w:right w:val="none" w:sz="0" w:space="0" w:color="auto"/>
      </w:divBdr>
    </w:div>
    <w:div w:id="1092508092">
      <w:bodyDiv w:val="1"/>
      <w:marLeft w:val="0"/>
      <w:marRight w:val="0"/>
      <w:marTop w:val="0"/>
      <w:marBottom w:val="0"/>
      <w:divBdr>
        <w:top w:val="none" w:sz="0" w:space="0" w:color="auto"/>
        <w:left w:val="none" w:sz="0" w:space="0" w:color="auto"/>
        <w:bottom w:val="none" w:sz="0" w:space="0" w:color="auto"/>
        <w:right w:val="none" w:sz="0" w:space="0" w:color="auto"/>
      </w:divBdr>
    </w:div>
    <w:div w:id="1092512003">
      <w:bodyDiv w:val="1"/>
      <w:marLeft w:val="0"/>
      <w:marRight w:val="0"/>
      <w:marTop w:val="0"/>
      <w:marBottom w:val="0"/>
      <w:divBdr>
        <w:top w:val="none" w:sz="0" w:space="0" w:color="auto"/>
        <w:left w:val="none" w:sz="0" w:space="0" w:color="auto"/>
        <w:bottom w:val="none" w:sz="0" w:space="0" w:color="auto"/>
        <w:right w:val="none" w:sz="0" w:space="0" w:color="auto"/>
      </w:divBdr>
    </w:div>
    <w:div w:id="1092556090">
      <w:bodyDiv w:val="1"/>
      <w:marLeft w:val="0"/>
      <w:marRight w:val="0"/>
      <w:marTop w:val="0"/>
      <w:marBottom w:val="0"/>
      <w:divBdr>
        <w:top w:val="none" w:sz="0" w:space="0" w:color="auto"/>
        <w:left w:val="none" w:sz="0" w:space="0" w:color="auto"/>
        <w:bottom w:val="none" w:sz="0" w:space="0" w:color="auto"/>
        <w:right w:val="none" w:sz="0" w:space="0" w:color="auto"/>
      </w:divBdr>
    </w:div>
    <w:div w:id="1092773710">
      <w:bodyDiv w:val="1"/>
      <w:marLeft w:val="0"/>
      <w:marRight w:val="0"/>
      <w:marTop w:val="0"/>
      <w:marBottom w:val="0"/>
      <w:divBdr>
        <w:top w:val="none" w:sz="0" w:space="0" w:color="auto"/>
        <w:left w:val="none" w:sz="0" w:space="0" w:color="auto"/>
        <w:bottom w:val="none" w:sz="0" w:space="0" w:color="auto"/>
        <w:right w:val="none" w:sz="0" w:space="0" w:color="auto"/>
      </w:divBdr>
    </w:div>
    <w:div w:id="1092892573">
      <w:bodyDiv w:val="1"/>
      <w:marLeft w:val="0"/>
      <w:marRight w:val="0"/>
      <w:marTop w:val="0"/>
      <w:marBottom w:val="0"/>
      <w:divBdr>
        <w:top w:val="none" w:sz="0" w:space="0" w:color="auto"/>
        <w:left w:val="none" w:sz="0" w:space="0" w:color="auto"/>
        <w:bottom w:val="none" w:sz="0" w:space="0" w:color="auto"/>
        <w:right w:val="none" w:sz="0" w:space="0" w:color="auto"/>
      </w:divBdr>
    </w:div>
    <w:div w:id="1092893281">
      <w:bodyDiv w:val="1"/>
      <w:marLeft w:val="0"/>
      <w:marRight w:val="0"/>
      <w:marTop w:val="0"/>
      <w:marBottom w:val="0"/>
      <w:divBdr>
        <w:top w:val="none" w:sz="0" w:space="0" w:color="auto"/>
        <w:left w:val="none" w:sz="0" w:space="0" w:color="auto"/>
        <w:bottom w:val="none" w:sz="0" w:space="0" w:color="auto"/>
        <w:right w:val="none" w:sz="0" w:space="0" w:color="auto"/>
      </w:divBdr>
    </w:div>
    <w:div w:id="1092975511">
      <w:bodyDiv w:val="1"/>
      <w:marLeft w:val="0"/>
      <w:marRight w:val="0"/>
      <w:marTop w:val="0"/>
      <w:marBottom w:val="0"/>
      <w:divBdr>
        <w:top w:val="none" w:sz="0" w:space="0" w:color="auto"/>
        <w:left w:val="none" w:sz="0" w:space="0" w:color="auto"/>
        <w:bottom w:val="none" w:sz="0" w:space="0" w:color="auto"/>
        <w:right w:val="none" w:sz="0" w:space="0" w:color="auto"/>
      </w:divBdr>
    </w:div>
    <w:div w:id="1093013373">
      <w:bodyDiv w:val="1"/>
      <w:marLeft w:val="0"/>
      <w:marRight w:val="0"/>
      <w:marTop w:val="0"/>
      <w:marBottom w:val="0"/>
      <w:divBdr>
        <w:top w:val="none" w:sz="0" w:space="0" w:color="auto"/>
        <w:left w:val="none" w:sz="0" w:space="0" w:color="auto"/>
        <w:bottom w:val="none" w:sz="0" w:space="0" w:color="auto"/>
        <w:right w:val="none" w:sz="0" w:space="0" w:color="auto"/>
      </w:divBdr>
    </w:div>
    <w:div w:id="1093159843">
      <w:bodyDiv w:val="1"/>
      <w:marLeft w:val="0"/>
      <w:marRight w:val="0"/>
      <w:marTop w:val="0"/>
      <w:marBottom w:val="0"/>
      <w:divBdr>
        <w:top w:val="none" w:sz="0" w:space="0" w:color="auto"/>
        <w:left w:val="none" w:sz="0" w:space="0" w:color="auto"/>
        <w:bottom w:val="none" w:sz="0" w:space="0" w:color="auto"/>
        <w:right w:val="none" w:sz="0" w:space="0" w:color="auto"/>
      </w:divBdr>
    </w:div>
    <w:div w:id="1093208433">
      <w:bodyDiv w:val="1"/>
      <w:marLeft w:val="0"/>
      <w:marRight w:val="0"/>
      <w:marTop w:val="0"/>
      <w:marBottom w:val="0"/>
      <w:divBdr>
        <w:top w:val="none" w:sz="0" w:space="0" w:color="auto"/>
        <w:left w:val="none" w:sz="0" w:space="0" w:color="auto"/>
        <w:bottom w:val="none" w:sz="0" w:space="0" w:color="auto"/>
        <w:right w:val="none" w:sz="0" w:space="0" w:color="auto"/>
      </w:divBdr>
    </w:div>
    <w:div w:id="1093279553">
      <w:bodyDiv w:val="1"/>
      <w:marLeft w:val="0"/>
      <w:marRight w:val="0"/>
      <w:marTop w:val="0"/>
      <w:marBottom w:val="0"/>
      <w:divBdr>
        <w:top w:val="none" w:sz="0" w:space="0" w:color="auto"/>
        <w:left w:val="none" w:sz="0" w:space="0" w:color="auto"/>
        <w:bottom w:val="none" w:sz="0" w:space="0" w:color="auto"/>
        <w:right w:val="none" w:sz="0" w:space="0" w:color="auto"/>
      </w:divBdr>
    </w:div>
    <w:div w:id="1093286134">
      <w:bodyDiv w:val="1"/>
      <w:marLeft w:val="0"/>
      <w:marRight w:val="0"/>
      <w:marTop w:val="0"/>
      <w:marBottom w:val="0"/>
      <w:divBdr>
        <w:top w:val="none" w:sz="0" w:space="0" w:color="auto"/>
        <w:left w:val="none" w:sz="0" w:space="0" w:color="auto"/>
        <w:bottom w:val="none" w:sz="0" w:space="0" w:color="auto"/>
        <w:right w:val="none" w:sz="0" w:space="0" w:color="auto"/>
      </w:divBdr>
    </w:div>
    <w:div w:id="1093403869">
      <w:bodyDiv w:val="1"/>
      <w:marLeft w:val="0"/>
      <w:marRight w:val="0"/>
      <w:marTop w:val="0"/>
      <w:marBottom w:val="0"/>
      <w:divBdr>
        <w:top w:val="none" w:sz="0" w:space="0" w:color="auto"/>
        <w:left w:val="none" w:sz="0" w:space="0" w:color="auto"/>
        <w:bottom w:val="none" w:sz="0" w:space="0" w:color="auto"/>
        <w:right w:val="none" w:sz="0" w:space="0" w:color="auto"/>
      </w:divBdr>
    </w:div>
    <w:div w:id="1093428395">
      <w:bodyDiv w:val="1"/>
      <w:marLeft w:val="0"/>
      <w:marRight w:val="0"/>
      <w:marTop w:val="0"/>
      <w:marBottom w:val="0"/>
      <w:divBdr>
        <w:top w:val="none" w:sz="0" w:space="0" w:color="auto"/>
        <w:left w:val="none" w:sz="0" w:space="0" w:color="auto"/>
        <w:bottom w:val="none" w:sz="0" w:space="0" w:color="auto"/>
        <w:right w:val="none" w:sz="0" w:space="0" w:color="auto"/>
      </w:divBdr>
    </w:div>
    <w:div w:id="1093474427">
      <w:bodyDiv w:val="1"/>
      <w:marLeft w:val="0"/>
      <w:marRight w:val="0"/>
      <w:marTop w:val="0"/>
      <w:marBottom w:val="0"/>
      <w:divBdr>
        <w:top w:val="none" w:sz="0" w:space="0" w:color="auto"/>
        <w:left w:val="none" w:sz="0" w:space="0" w:color="auto"/>
        <w:bottom w:val="none" w:sz="0" w:space="0" w:color="auto"/>
        <w:right w:val="none" w:sz="0" w:space="0" w:color="auto"/>
      </w:divBdr>
    </w:div>
    <w:div w:id="1093627632">
      <w:bodyDiv w:val="1"/>
      <w:marLeft w:val="0"/>
      <w:marRight w:val="0"/>
      <w:marTop w:val="0"/>
      <w:marBottom w:val="0"/>
      <w:divBdr>
        <w:top w:val="none" w:sz="0" w:space="0" w:color="auto"/>
        <w:left w:val="none" w:sz="0" w:space="0" w:color="auto"/>
        <w:bottom w:val="none" w:sz="0" w:space="0" w:color="auto"/>
        <w:right w:val="none" w:sz="0" w:space="0" w:color="auto"/>
      </w:divBdr>
    </w:div>
    <w:div w:id="1093631234">
      <w:bodyDiv w:val="1"/>
      <w:marLeft w:val="0"/>
      <w:marRight w:val="0"/>
      <w:marTop w:val="0"/>
      <w:marBottom w:val="0"/>
      <w:divBdr>
        <w:top w:val="none" w:sz="0" w:space="0" w:color="auto"/>
        <w:left w:val="none" w:sz="0" w:space="0" w:color="auto"/>
        <w:bottom w:val="none" w:sz="0" w:space="0" w:color="auto"/>
        <w:right w:val="none" w:sz="0" w:space="0" w:color="auto"/>
      </w:divBdr>
    </w:div>
    <w:div w:id="1093668337">
      <w:bodyDiv w:val="1"/>
      <w:marLeft w:val="0"/>
      <w:marRight w:val="0"/>
      <w:marTop w:val="0"/>
      <w:marBottom w:val="0"/>
      <w:divBdr>
        <w:top w:val="none" w:sz="0" w:space="0" w:color="auto"/>
        <w:left w:val="none" w:sz="0" w:space="0" w:color="auto"/>
        <w:bottom w:val="none" w:sz="0" w:space="0" w:color="auto"/>
        <w:right w:val="none" w:sz="0" w:space="0" w:color="auto"/>
      </w:divBdr>
    </w:div>
    <w:div w:id="1093815759">
      <w:bodyDiv w:val="1"/>
      <w:marLeft w:val="0"/>
      <w:marRight w:val="0"/>
      <w:marTop w:val="0"/>
      <w:marBottom w:val="0"/>
      <w:divBdr>
        <w:top w:val="none" w:sz="0" w:space="0" w:color="auto"/>
        <w:left w:val="none" w:sz="0" w:space="0" w:color="auto"/>
        <w:bottom w:val="none" w:sz="0" w:space="0" w:color="auto"/>
        <w:right w:val="none" w:sz="0" w:space="0" w:color="auto"/>
      </w:divBdr>
    </w:div>
    <w:div w:id="1094016942">
      <w:bodyDiv w:val="1"/>
      <w:marLeft w:val="0"/>
      <w:marRight w:val="0"/>
      <w:marTop w:val="0"/>
      <w:marBottom w:val="0"/>
      <w:divBdr>
        <w:top w:val="none" w:sz="0" w:space="0" w:color="auto"/>
        <w:left w:val="none" w:sz="0" w:space="0" w:color="auto"/>
        <w:bottom w:val="none" w:sz="0" w:space="0" w:color="auto"/>
        <w:right w:val="none" w:sz="0" w:space="0" w:color="auto"/>
      </w:divBdr>
    </w:div>
    <w:div w:id="1094206423">
      <w:bodyDiv w:val="1"/>
      <w:marLeft w:val="0"/>
      <w:marRight w:val="0"/>
      <w:marTop w:val="0"/>
      <w:marBottom w:val="0"/>
      <w:divBdr>
        <w:top w:val="none" w:sz="0" w:space="0" w:color="auto"/>
        <w:left w:val="none" w:sz="0" w:space="0" w:color="auto"/>
        <w:bottom w:val="none" w:sz="0" w:space="0" w:color="auto"/>
        <w:right w:val="none" w:sz="0" w:space="0" w:color="auto"/>
      </w:divBdr>
    </w:div>
    <w:div w:id="1094285289">
      <w:bodyDiv w:val="1"/>
      <w:marLeft w:val="0"/>
      <w:marRight w:val="0"/>
      <w:marTop w:val="0"/>
      <w:marBottom w:val="0"/>
      <w:divBdr>
        <w:top w:val="none" w:sz="0" w:space="0" w:color="auto"/>
        <w:left w:val="none" w:sz="0" w:space="0" w:color="auto"/>
        <w:bottom w:val="none" w:sz="0" w:space="0" w:color="auto"/>
        <w:right w:val="none" w:sz="0" w:space="0" w:color="auto"/>
      </w:divBdr>
    </w:div>
    <w:div w:id="1094321796">
      <w:bodyDiv w:val="1"/>
      <w:marLeft w:val="0"/>
      <w:marRight w:val="0"/>
      <w:marTop w:val="0"/>
      <w:marBottom w:val="0"/>
      <w:divBdr>
        <w:top w:val="none" w:sz="0" w:space="0" w:color="auto"/>
        <w:left w:val="none" w:sz="0" w:space="0" w:color="auto"/>
        <w:bottom w:val="none" w:sz="0" w:space="0" w:color="auto"/>
        <w:right w:val="none" w:sz="0" w:space="0" w:color="auto"/>
      </w:divBdr>
    </w:div>
    <w:div w:id="1094520539">
      <w:bodyDiv w:val="1"/>
      <w:marLeft w:val="0"/>
      <w:marRight w:val="0"/>
      <w:marTop w:val="0"/>
      <w:marBottom w:val="0"/>
      <w:divBdr>
        <w:top w:val="none" w:sz="0" w:space="0" w:color="auto"/>
        <w:left w:val="none" w:sz="0" w:space="0" w:color="auto"/>
        <w:bottom w:val="none" w:sz="0" w:space="0" w:color="auto"/>
        <w:right w:val="none" w:sz="0" w:space="0" w:color="auto"/>
      </w:divBdr>
    </w:div>
    <w:div w:id="1094588793">
      <w:bodyDiv w:val="1"/>
      <w:marLeft w:val="0"/>
      <w:marRight w:val="0"/>
      <w:marTop w:val="0"/>
      <w:marBottom w:val="0"/>
      <w:divBdr>
        <w:top w:val="none" w:sz="0" w:space="0" w:color="auto"/>
        <w:left w:val="none" w:sz="0" w:space="0" w:color="auto"/>
        <w:bottom w:val="none" w:sz="0" w:space="0" w:color="auto"/>
        <w:right w:val="none" w:sz="0" w:space="0" w:color="auto"/>
      </w:divBdr>
    </w:div>
    <w:div w:id="1094593973">
      <w:bodyDiv w:val="1"/>
      <w:marLeft w:val="0"/>
      <w:marRight w:val="0"/>
      <w:marTop w:val="0"/>
      <w:marBottom w:val="0"/>
      <w:divBdr>
        <w:top w:val="none" w:sz="0" w:space="0" w:color="auto"/>
        <w:left w:val="none" w:sz="0" w:space="0" w:color="auto"/>
        <w:bottom w:val="none" w:sz="0" w:space="0" w:color="auto"/>
        <w:right w:val="none" w:sz="0" w:space="0" w:color="auto"/>
      </w:divBdr>
    </w:div>
    <w:div w:id="1094666513">
      <w:bodyDiv w:val="1"/>
      <w:marLeft w:val="0"/>
      <w:marRight w:val="0"/>
      <w:marTop w:val="0"/>
      <w:marBottom w:val="0"/>
      <w:divBdr>
        <w:top w:val="none" w:sz="0" w:space="0" w:color="auto"/>
        <w:left w:val="none" w:sz="0" w:space="0" w:color="auto"/>
        <w:bottom w:val="none" w:sz="0" w:space="0" w:color="auto"/>
        <w:right w:val="none" w:sz="0" w:space="0" w:color="auto"/>
      </w:divBdr>
    </w:div>
    <w:div w:id="1094672879">
      <w:bodyDiv w:val="1"/>
      <w:marLeft w:val="0"/>
      <w:marRight w:val="0"/>
      <w:marTop w:val="0"/>
      <w:marBottom w:val="0"/>
      <w:divBdr>
        <w:top w:val="none" w:sz="0" w:space="0" w:color="auto"/>
        <w:left w:val="none" w:sz="0" w:space="0" w:color="auto"/>
        <w:bottom w:val="none" w:sz="0" w:space="0" w:color="auto"/>
        <w:right w:val="none" w:sz="0" w:space="0" w:color="auto"/>
      </w:divBdr>
    </w:div>
    <w:div w:id="1094937458">
      <w:bodyDiv w:val="1"/>
      <w:marLeft w:val="0"/>
      <w:marRight w:val="0"/>
      <w:marTop w:val="0"/>
      <w:marBottom w:val="0"/>
      <w:divBdr>
        <w:top w:val="none" w:sz="0" w:space="0" w:color="auto"/>
        <w:left w:val="none" w:sz="0" w:space="0" w:color="auto"/>
        <w:bottom w:val="none" w:sz="0" w:space="0" w:color="auto"/>
        <w:right w:val="none" w:sz="0" w:space="0" w:color="auto"/>
      </w:divBdr>
    </w:div>
    <w:div w:id="1094938293">
      <w:bodyDiv w:val="1"/>
      <w:marLeft w:val="0"/>
      <w:marRight w:val="0"/>
      <w:marTop w:val="0"/>
      <w:marBottom w:val="0"/>
      <w:divBdr>
        <w:top w:val="none" w:sz="0" w:space="0" w:color="auto"/>
        <w:left w:val="none" w:sz="0" w:space="0" w:color="auto"/>
        <w:bottom w:val="none" w:sz="0" w:space="0" w:color="auto"/>
        <w:right w:val="none" w:sz="0" w:space="0" w:color="auto"/>
      </w:divBdr>
    </w:div>
    <w:div w:id="1094940475">
      <w:bodyDiv w:val="1"/>
      <w:marLeft w:val="0"/>
      <w:marRight w:val="0"/>
      <w:marTop w:val="0"/>
      <w:marBottom w:val="0"/>
      <w:divBdr>
        <w:top w:val="none" w:sz="0" w:space="0" w:color="auto"/>
        <w:left w:val="none" w:sz="0" w:space="0" w:color="auto"/>
        <w:bottom w:val="none" w:sz="0" w:space="0" w:color="auto"/>
        <w:right w:val="none" w:sz="0" w:space="0" w:color="auto"/>
      </w:divBdr>
    </w:div>
    <w:div w:id="1094941281">
      <w:bodyDiv w:val="1"/>
      <w:marLeft w:val="0"/>
      <w:marRight w:val="0"/>
      <w:marTop w:val="0"/>
      <w:marBottom w:val="0"/>
      <w:divBdr>
        <w:top w:val="none" w:sz="0" w:space="0" w:color="auto"/>
        <w:left w:val="none" w:sz="0" w:space="0" w:color="auto"/>
        <w:bottom w:val="none" w:sz="0" w:space="0" w:color="auto"/>
        <w:right w:val="none" w:sz="0" w:space="0" w:color="auto"/>
      </w:divBdr>
    </w:div>
    <w:div w:id="1094980315">
      <w:bodyDiv w:val="1"/>
      <w:marLeft w:val="0"/>
      <w:marRight w:val="0"/>
      <w:marTop w:val="0"/>
      <w:marBottom w:val="0"/>
      <w:divBdr>
        <w:top w:val="none" w:sz="0" w:space="0" w:color="auto"/>
        <w:left w:val="none" w:sz="0" w:space="0" w:color="auto"/>
        <w:bottom w:val="none" w:sz="0" w:space="0" w:color="auto"/>
        <w:right w:val="none" w:sz="0" w:space="0" w:color="auto"/>
      </w:divBdr>
    </w:div>
    <w:div w:id="1095052669">
      <w:bodyDiv w:val="1"/>
      <w:marLeft w:val="0"/>
      <w:marRight w:val="0"/>
      <w:marTop w:val="0"/>
      <w:marBottom w:val="0"/>
      <w:divBdr>
        <w:top w:val="none" w:sz="0" w:space="0" w:color="auto"/>
        <w:left w:val="none" w:sz="0" w:space="0" w:color="auto"/>
        <w:bottom w:val="none" w:sz="0" w:space="0" w:color="auto"/>
        <w:right w:val="none" w:sz="0" w:space="0" w:color="auto"/>
      </w:divBdr>
    </w:div>
    <w:div w:id="1095129660">
      <w:bodyDiv w:val="1"/>
      <w:marLeft w:val="0"/>
      <w:marRight w:val="0"/>
      <w:marTop w:val="0"/>
      <w:marBottom w:val="0"/>
      <w:divBdr>
        <w:top w:val="none" w:sz="0" w:space="0" w:color="auto"/>
        <w:left w:val="none" w:sz="0" w:space="0" w:color="auto"/>
        <w:bottom w:val="none" w:sz="0" w:space="0" w:color="auto"/>
        <w:right w:val="none" w:sz="0" w:space="0" w:color="auto"/>
      </w:divBdr>
    </w:div>
    <w:div w:id="1095201355">
      <w:bodyDiv w:val="1"/>
      <w:marLeft w:val="0"/>
      <w:marRight w:val="0"/>
      <w:marTop w:val="0"/>
      <w:marBottom w:val="0"/>
      <w:divBdr>
        <w:top w:val="none" w:sz="0" w:space="0" w:color="auto"/>
        <w:left w:val="none" w:sz="0" w:space="0" w:color="auto"/>
        <w:bottom w:val="none" w:sz="0" w:space="0" w:color="auto"/>
        <w:right w:val="none" w:sz="0" w:space="0" w:color="auto"/>
      </w:divBdr>
    </w:div>
    <w:div w:id="1095369550">
      <w:bodyDiv w:val="1"/>
      <w:marLeft w:val="0"/>
      <w:marRight w:val="0"/>
      <w:marTop w:val="0"/>
      <w:marBottom w:val="0"/>
      <w:divBdr>
        <w:top w:val="none" w:sz="0" w:space="0" w:color="auto"/>
        <w:left w:val="none" w:sz="0" w:space="0" w:color="auto"/>
        <w:bottom w:val="none" w:sz="0" w:space="0" w:color="auto"/>
        <w:right w:val="none" w:sz="0" w:space="0" w:color="auto"/>
      </w:divBdr>
    </w:div>
    <w:div w:id="1095397540">
      <w:bodyDiv w:val="1"/>
      <w:marLeft w:val="0"/>
      <w:marRight w:val="0"/>
      <w:marTop w:val="0"/>
      <w:marBottom w:val="0"/>
      <w:divBdr>
        <w:top w:val="none" w:sz="0" w:space="0" w:color="auto"/>
        <w:left w:val="none" w:sz="0" w:space="0" w:color="auto"/>
        <w:bottom w:val="none" w:sz="0" w:space="0" w:color="auto"/>
        <w:right w:val="none" w:sz="0" w:space="0" w:color="auto"/>
      </w:divBdr>
    </w:div>
    <w:div w:id="1095438120">
      <w:bodyDiv w:val="1"/>
      <w:marLeft w:val="0"/>
      <w:marRight w:val="0"/>
      <w:marTop w:val="0"/>
      <w:marBottom w:val="0"/>
      <w:divBdr>
        <w:top w:val="none" w:sz="0" w:space="0" w:color="auto"/>
        <w:left w:val="none" w:sz="0" w:space="0" w:color="auto"/>
        <w:bottom w:val="none" w:sz="0" w:space="0" w:color="auto"/>
        <w:right w:val="none" w:sz="0" w:space="0" w:color="auto"/>
      </w:divBdr>
    </w:div>
    <w:div w:id="1095441176">
      <w:bodyDiv w:val="1"/>
      <w:marLeft w:val="0"/>
      <w:marRight w:val="0"/>
      <w:marTop w:val="0"/>
      <w:marBottom w:val="0"/>
      <w:divBdr>
        <w:top w:val="none" w:sz="0" w:space="0" w:color="auto"/>
        <w:left w:val="none" w:sz="0" w:space="0" w:color="auto"/>
        <w:bottom w:val="none" w:sz="0" w:space="0" w:color="auto"/>
        <w:right w:val="none" w:sz="0" w:space="0" w:color="auto"/>
      </w:divBdr>
    </w:div>
    <w:div w:id="1095710205">
      <w:bodyDiv w:val="1"/>
      <w:marLeft w:val="0"/>
      <w:marRight w:val="0"/>
      <w:marTop w:val="0"/>
      <w:marBottom w:val="0"/>
      <w:divBdr>
        <w:top w:val="none" w:sz="0" w:space="0" w:color="auto"/>
        <w:left w:val="none" w:sz="0" w:space="0" w:color="auto"/>
        <w:bottom w:val="none" w:sz="0" w:space="0" w:color="auto"/>
        <w:right w:val="none" w:sz="0" w:space="0" w:color="auto"/>
      </w:divBdr>
    </w:div>
    <w:div w:id="1095903028">
      <w:bodyDiv w:val="1"/>
      <w:marLeft w:val="0"/>
      <w:marRight w:val="0"/>
      <w:marTop w:val="0"/>
      <w:marBottom w:val="0"/>
      <w:divBdr>
        <w:top w:val="none" w:sz="0" w:space="0" w:color="auto"/>
        <w:left w:val="none" w:sz="0" w:space="0" w:color="auto"/>
        <w:bottom w:val="none" w:sz="0" w:space="0" w:color="auto"/>
        <w:right w:val="none" w:sz="0" w:space="0" w:color="auto"/>
      </w:divBdr>
    </w:div>
    <w:div w:id="1095973981">
      <w:bodyDiv w:val="1"/>
      <w:marLeft w:val="0"/>
      <w:marRight w:val="0"/>
      <w:marTop w:val="0"/>
      <w:marBottom w:val="0"/>
      <w:divBdr>
        <w:top w:val="none" w:sz="0" w:space="0" w:color="auto"/>
        <w:left w:val="none" w:sz="0" w:space="0" w:color="auto"/>
        <w:bottom w:val="none" w:sz="0" w:space="0" w:color="auto"/>
        <w:right w:val="none" w:sz="0" w:space="0" w:color="auto"/>
      </w:divBdr>
    </w:div>
    <w:div w:id="1096097741">
      <w:bodyDiv w:val="1"/>
      <w:marLeft w:val="0"/>
      <w:marRight w:val="0"/>
      <w:marTop w:val="0"/>
      <w:marBottom w:val="0"/>
      <w:divBdr>
        <w:top w:val="none" w:sz="0" w:space="0" w:color="auto"/>
        <w:left w:val="none" w:sz="0" w:space="0" w:color="auto"/>
        <w:bottom w:val="none" w:sz="0" w:space="0" w:color="auto"/>
        <w:right w:val="none" w:sz="0" w:space="0" w:color="auto"/>
      </w:divBdr>
    </w:div>
    <w:div w:id="1096246735">
      <w:bodyDiv w:val="1"/>
      <w:marLeft w:val="0"/>
      <w:marRight w:val="0"/>
      <w:marTop w:val="0"/>
      <w:marBottom w:val="0"/>
      <w:divBdr>
        <w:top w:val="none" w:sz="0" w:space="0" w:color="auto"/>
        <w:left w:val="none" w:sz="0" w:space="0" w:color="auto"/>
        <w:bottom w:val="none" w:sz="0" w:space="0" w:color="auto"/>
        <w:right w:val="none" w:sz="0" w:space="0" w:color="auto"/>
      </w:divBdr>
    </w:div>
    <w:div w:id="1096248765">
      <w:bodyDiv w:val="1"/>
      <w:marLeft w:val="0"/>
      <w:marRight w:val="0"/>
      <w:marTop w:val="0"/>
      <w:marBottom w:val="0"/>
      <w:divBdr>
        <w:top w:val="none" w:sz="0" w:space="0" w:color="auto"/>
        <w:left w:val="none" w:sz="0" w:space="0" w:color="auto"/>
        <w:bottom w:val="none" w:sz="0" w:space="0" w:color="auto"/>
        <w:right w:val="none" w:sz="0" w:space="0" w:color="auto"/>
      </w:divBdr>
    </w:div>
    <w:div w:id="1096318806">
      <w:bodyDiv w:val="1"/>
      <w:marLeft w:val="0"/>
      <w:marRight w:val="0"/>
      <w:marTop w:val="0"/>
      <w:marBottom w:val="0"/>
      <w:divBdr>
        <w:top w:val="none" w:sz="0" w:space="0" w:color="auto"/>
        <w:left w:val="none" w:sz="0" w:space="0" w:color="auto"/>
        <w:bottom w:val="none" w:sz="0" w:space="0" w:color="auto"/>
        <w:right w:val="none" w:sz="0" w:space="0" w:color="auto"/>
      </w:divBdr>
    </w:div>
    <w:div w:id="1096437332">
      <w:bodyDiv w:val="1"/>
      <w:marLeft w:val="0"/>
      <w:marRight w:val="0"/>
      <w:marTop w:val="0"/>
      <w:marBottom w:val="0"/>
      <w:divBdr>
        <w:top w:val="none" w:sz="0" w:space="0" w:color="auto"/>
        <w:left w:val="none" w:sz="0" w:space="0" w:color="auto"/>
        <w:bottom w:val="none" w:sz="0" w:space="0" w:color="auto"/>
        <w:right w:val="none" w:sz="0" w:space="0" w:color="auto"/>
      </w:divBdr>
    </w:div>
    <w:div w:id="1096441024">
      <w:bodyDiv w:val="1"/>
      <w:marLeft w:val="0"/>
      <w:marRight w:val="0"/>
      <w:marTop w:val="0"/>
      <w:marBottom w:val="0"/>
      <w:divBdr>
        <w:top w:val="none" w:sz="0" w:space="0" w:color="auto"/>
        <w:left w:val="none" w:sz="0" w:space="0" w:color="auto"/>
        <w:bottom w:val="none" w:sz="0" w:space="0" w:color="auto"/>
        <w:right w:val="none" w:sz="0" w:space="0" w:color="auto"/>
      </w:divBdr>
    </w:div>
    <w:div w:id="1096443297">
      <w:bodyDiv w:val="1"/>
      <w:marLeft w:val="0"/>
      <w:marRight w:val="0"/>
      <w:marTop w:val="0"/>
      <w:marBottom w:val="0"/>
      <w:divBdr>
        <w:top w:val="none" w:sz="0" w:space="0" w:color="auto"/>
        <w:left w:val="none" w:sz="0" w:space="0" w:color="auto"/>
        <w:bottom w:val="none" w:sz="0" w:space="0" w:color="auto"/>
        <w:right w:val="none" w:sz="0" w:space="0" w:color="auto"/>
      </w:divBdr>
    </w:div>
    <w:div w:id="1096555922">
      <w:bodyDiv w:val="1"/>
      <w:marLeft w:val="0"/>
      <w:marRight w:val="0"/>
      <w:marTop w:val="0"/>
      <w:marBottom w:val="0"/>
      <w:divBdr>
        <w:top w:val="none" w:sz="0" w:space="0" w:color="auto"/>
        <w:left w:val="none" w:sz="0" w:space="0" w:color="auto"/>
        <w:bottom w:val="none" w:sz="0" w:space="0" w:color="auto"/>
        <w:right w:val="none" w:sz="0" w:space="0" w:color="auto"/>
      </w:divBdr>
    </w:div>
    <w:div w:id="1096638574">
      <w:bodyDiv w:val="1"/>
      <w:marLeft w:val="0"/>
      <w:marRight w:val="0"/>
      <w:marTop w:val="0"/>
      <w:marBottom w:val="0"/>
      <w:divBdr>
        <w:top w:val="none" w:sz="0" w:space="0" w:color="auto"/>
        <w:left w:val="none" w:sz="0" w:space="0" w:color="auto"/>
        <w:bottom w:val="none" w:sz="0" w:space="0" w:color="auto"/>
        <w:right w:val="none" w:sz="0" w:space="0" w:color="auto"/>
      </w:divBdr>
    </w:div>
    <w:div w:id="1096705347">
      <w:bodyDiv w:val="1"/>
      <w:marLeft w:val="0"/>
      <w:marRight w:val="0"/>
      <w:marTop w:val="0"/>
      <w:marBottom w:val="0"/>
      <w:divBdr>
        <w:top w:val="none" w:sz="0" w:space="0" w:color="auto"/>
        <w:left w:val="none" w:sz="0" w:space="0" w:color="auto"/>
        <w:bottom w:val="none" w:sz="0" w:space="0" w:color="auto"/>
        <w:right w:val="none" w:sz="0" w:space="0" w:color="auto"/>
      </w:divBdr>
    </w:div>
    <w:div w:id="1096711971">
      <w:bodyDiv w:val="1"/>
      <w:marLeft w:val="0"/>
      <w:marRight w:val="0"/>
      <w:marTop w:val="0"/>
      <w:marBottom w:val="0"/>
      <w:divBdr>
        <w:top w:val="none" w:sz="0" w:space="0" w:color="auto"/>
        <w:left w:val="none" w:sz="0" w:space="0" w:color="auto"/>
        <w:bottom w:val="none" w:sz="0" w:space="0" w:color="auto"/>
        <w:right w:val="none" w:sz="0" w:space="0" w:color="auto"/>
      </w:divBdr>
    </w:div>
    <w:div w:id="1097017492">
      <w:bodyDiv w:val="1"/>
      <w:marLeft w:val="0"/>
      <w:marRight w:val="0"/>
      <w:marTop w:val="0"/>
      <w:marBottom w:val="0"/>
      <w:divBdr>
        <w:top w:val="none" w:sz="0" w:space="0" w:color="auto"/>
        <w:left w:val="none" w:sz="0" w:space="0" w:color="auto"/>
        <w:bottom w:val="none" w:sz="0" w:space="0" w:color="auto"/>
        <w:right w:val="none" w:sz="0" w:space="0" w:color="auto"/>
      </w:divBdr>
    </w:div>
    <w:div w:id="1097022175">
      <w:bodyDiv w:val="1"/>
      <w:marLeft w:val="0"/>
      <w:marRight w:val="0"/>
      <w:marTop w:val="0"/>
      <w:marBottom w:val="0"/>
      <w:divBdr>
        <w:top w:val="none" w:sz="0" w:space="0" w:color="auto"/>
        <w:left w:val="none" w:sz="0" w:space="0" w:color="auto"/>
        <w:bottom w:val="none" w:sz="0" w:space="0" w:color="auto"/>
        <w:right w:val="none" w:sz="0" w:space="0" w:color="auto"/>
      </w:divBdr>
    </w:div>
    <w:div w:id="1097168310">
      <w:bodyDiv w:val="1"/>
      <w:marLeft w:val="0"/>
      <w:marRight w:val="0"/>
      <w:marTop w:val="0"/>
      <w:marBottom w:val="0"/>
      <w:divBdr>
        <w:top w:val="none" w:sz="0" w:space="0" w:color="auto"/>
        <w:left w:val="none" w:sz="0" w:space="0" w:color="auto"/>
        <w:bottom w:val="none" w:sz="0" w:space="0" w:color="auto"/>
        <w:right w:val="none" w:sz="0" w:space="0" w:color="auto"/>
      </w:divBdr>
    </w:div>
    <w:div w:id="1097403431">
      <w:bodyDiv w:val="1"/>
      <w:marLeft w:val="0"/>
      <w:marRight w:val="0"/>
      <w:marTop w:val="0"/>
      <w:marBottom w:val="0"/>
      <w:divBdr>
        <w:top w:val="none" w:sz="0" w:space="0" w:color="auto"/>
        <w:left w:val="none" w:sz="0" w:space="0" w:color="auto"/>
        <w:bottom w:val="none" w:sz="0" w:space="0" w:color="auto"/>
        <w:right w:val="none" w:sz="0" w:space="0" w:color="auto"/>
      </w:divBdr>
    </w:div>
    <w:div w:id="1097406517">
      <w:bodyDiv w:val="1"/>
      <w:marLeft w:val="0"/>
      <w:marRight w:val="0"/>
      <w:marTop w:val="0"/>
      <w:marBottom w:val="0"/>
      <w:divBdr>
        <w:top w:val="none" w:sz="0" w:space="0" w:color="auto"/>
        <w:left w:val="none" w:sz="0" w:space="0" w:color="auto"/>
        <w:bottom w:val="none" w:sz="0" w:space="0" w:color="auto"/>
        <w:right w:val="none" w:sz="0" w:space="0" w:color="auto"/>
      </w:divBdr>
    </w:div>
    <w:div w:id="1097407638">
      <w:bodyDiv w:val="1"/>
      <w:marLeft w:val="0"/>
      <w:marRight w:val="0"/>
      <w:marTop w:val="0"/>
      <w:marBottom w:val="0"/>
      <w:divBdr>
        <w:top w:val="none" w:sz="0" w:space="0" w:color="auto"/>
        <w:left w:val="none" w:sz="0" w:space="0" w:color="auto"/>
        <w:bottom w:val="none" w:sz="0" w:space="0" w:color="auto"/>
        <w:right w:val="none" w:sz="0" w:space="0" w:color="auto"/>
      </w:divBdr>
    </w:div>
    <w:div w:id="1097480632">
      <w:bodyDiv w:val="1"/>
      <w:marLeft w:val="0"/>
      <w:marRight w:val="0"/>
      <w:marTop w:val="0"/>
      <w:marBottom w:val="0"/>
      <w:divBdr>
        <w:top w:val="none" w:sz="0" w:space="0" w:color="auto"/>
        <w:left w:val="none" w:sz="0" w:space="0" w:color="auto"/>
        <w:bottom w:val="none" w:sz="0" w:space="0" w:color="auto"/>
        <w:right w:val="none" w:sz="0" w:space="0" w:color="auto"/>
      </w:divBdr>
    </w:div>
    <w:div w:id="1097598249">
      <w:bodyDiv w:val="1"/>
      <w:marLeft w:val="0"/>
      <w:marRight w:val="0"/>
      <w:marTop w:val="0"/>
      <w:marBottom w:val="0"/>
      <w:divBdr>
        <w:top w:val="none" w:sz="0" w:space="0" w:color="auto"/>
        <w:left w:val="none" w:sz="0" w:space="0" w:color="auto"/>
        <w:bottom w:val="none" w:sz="0" w:space="0" w:color="auto"/>
        <w:right w:val="none" w:sz="0" w:space="0" w:color="auto"/>
      </w:divBdr>
    </w:div>
    <w:div w:id="1097678340">
      <w:bodyDiv w:val="1"/>
      <w:marLeft w:val="0"/>
      <w:marRight w:val="0"/>
      <w:marTop w:val="0"/>
      <w:marBottom w:val="0"/>
      <w:divBdr>
        <w:top w:val="none" w:sz="0" w:space="0" w:color="auto"/>
        <w:left w:val="none" w:sz="0" w:space="0" w:color="auto"/>
        <w:bottom w:val="none" w:sz="0" w:space="0" w:color="auto"/>
        <w:right w:val="none" w:sz="0" w:space="0" w:color="auto"/>
      </w:divBdr>
    </w:div>
    <w:div w:id="1097748417">
      <w:bodyDiv w:val="1"/>
      <w:marLeft w:val="0"/>
      <w:marRight w:val="0"/>
      <w:marTop w:val="0"/>
      <w:marBottom w:val="0"/>
      <w:divBdr>
        <w:top w:val="none" w:sz="0" w:space="0" w:color="auto"/>
        <w:left w:val="none" w:sz="0" w:space="0" w:color="auto"/>
        <w:bottom w:val="none" w:sz="0" w:space="0" w:color="auto"/>
        <w:right w:val="none" w:sz="0" w:space="0" w:color="auto"/>
      </w:divBdr>
    </w:div>
    <w:div w:id="1097866271">
      <w:bodyDiv w:val="1"/>
      <w:marLeft w:val="0"/>
      <w:marRight w:val="0"/>
      <w:marTop w:val="0"/>
      <w:marBottom w:val="0"/>
      <w:divBdr>
        <w:top w:val="none" w:sz="0" w:space="0" w:color="auto"/>
        <w:left w:val="none" w:sz="0" w:space="0" w:color="auto"/>
        <w:bottom w:val="none" w:sz="0" w:space="0" w:color="auto"/>
        <w:right w:val="none" w:sz="0" w:space="0" w:color="auto"/>
      </w:divBdr>
    </w:div>
    <w:div w:id="1097870333">
      <w:bodyDiv w:val="1"/>
      <w:marLeft w:val="0"/>
      <w:marRight w:val="0"/>
      <w:marTop w:val="0"/>
      <w:marBottom w:val="0"/>
      <w:divBdr>
        <w:top w:val="none" w:sz="0" w:space="0" w:color="auto"/>
        <w:left w:val="none" w:sz="0" w:space="0" w:color="auto"/>
        <w:bottom w:val="none" w:sz="0" w:space="0" w:color="auto"/>
        <w:right w:val="none" w:sz="0" w:space="0" w:color="auto"/>
      </w:divBdr>
    </w:div>
    <w:div w:id="1097870688">
      <w:bodyDiv w:val="1"/>
      <w:marLeft w:val="0"/>
      <w:marRight w:val="0"/>
      <w:marTop w:val="0"/>
      <w:marBottom w:val="0"/>
      <w:divBdr>
        <w:top w:val="none" w:sz="0" w:space="0" w:color="auto"/>
        <w:left w:val="none" w:sz="0" w:space="0" w:color="auto"/>
        <w:bottom w:val="none" w:sz="0" w:space="0" w:color="auto"/>
        <w:right w:val="none" w:sz="0" w:space="0" w:color="auto"/>
      </w:divBdr>
    </w:div>
    <w:div w:id="1098060937">
      <w:bodyDiv w:val="1"/>
      <w:marLeft w:val="0"/>
      <w:marRight w:val="0"/>
      <w:marTop w:val="0"/>
      <w:marBottom w:val="0"/>
      <w:divBdr>
        <w:top w:val="none" w:sz="0" w:space="0" w:color="auto"/>
        <w:left w:val="none" w:sz="0" w:space="0" w:color="auto"/>
        <w:bottom w:val="none" w:sz="0" w:space="0" w:color="auto"/>
        <w:right w:val="none" w:sz="0" w:space="0" w:color="auto"/>
      </w:divBdr>
    </w:div>
    <w:div w:id="1098136915">
      <w:bodyDiv w:val="1"/>
      <w:marLeft w:val="0"/>
      <w:marRight w:val="0"/>
      <w:marTop w:val="0"/>
      <w:marBottom w:val="0"/>
      <w:divBdr>
        <w:top w:val="none" w:sz="0" w:space="0" w:color="auto"/>
        <w:left w:val="none" w:sz="0" w:space="0" w:color="auto"/>
        <w:bottom w:val="none" w:sz="0" w:space="0" w:color="auto"/>
        <w:right w:val="none" w:sz="0" w:space="0" w:color="auto"/>
      </w:divBdr>
    </w:div>
    <w:div w:id="1098138094">
      <w:bodyDiv w:val="1"/>
      <w:marLeft w:val="0"/>
      <w:marRight w:val="0"/>
      <w:marTop w:val="0"/>
      <w:marBottom w:val="0"/>
      <w:divBdr>
        <w:top w:val="none" w:sz="0" w:space="0" w:color="auto"/>
        <w:left w:val="none" w:sz="0" w:space="0" w:color="auto"/>
        <w:bottom w:val="none" w:sz="0" w:space="0" w:color="auto"/>
        <w:right w:val="none" w:sz="0" w:space="0" w:color="auto"/>
      </w:divBdr>
    </w:div>
    <w:div w:id="1098215105">
      <w:bodyDiv w:val="1"/>
      <w:marLeft w:val="0"/>
      <w:marRight w:val="0"/>
      <w:marTop w:val="0"/>
      <w:marBottom w:val="0"/>
      <w:divBdr>
        <w:top w:val="none" w:sz="0" w:space="0" w:color="auto"/>
        <w:left w:val="none" w:sz="0" w:space="0" w:color="auto"/>
        <w:bottom w:val="none" w:sz="0" w:space="0" w:color="auto"/>
        <w:right w:val="none" w:sz="0" w:space="0" w:color="auto"/>
      </w:divBdr>
    </w:div>
    <w:div w:id="1098216114">
      <w:bodyDiv w:val="1"/>
      <w:marLeft w:val="0"/>
      <w:marRight w:val="0"/>
      <w:marTop w:val="0"/>
      <w:marBottom w:val="0"/>
      <w:divBdr>
        <w:top w:val="none" w:sz="0" w:space="0" w:color="auto"/>
        <w:left w:val="none" w:sz="0" w:space="0" w:color="auto"/>
        <w:bottom w:val="none" w:sz="0" w:space="0" w:color="auto"/>
        <w:right w:val="none" w:sz="0" w:space="0" w:color="auto"/>
      </w:divBdr>
    </w:div>
    <w:div w:id="1098284877">
      <w:bodyDiv w:val="1"/>
      <w:marLeft w:val="0"/>
      <w:marRight w:val="0"/>
      <w:marTop w:val="0"/>
      <w:marBottom w:val="0"/>
      <w:divBdr>
        <w:top w:val="none" w:sz="0" w:space="0" w:color="auto"/>
        <w:left w:val="none" w:sz="0" w:space="0" w:color="auto"/>
        <w:bottom w:val="none" w:sz="0" w:space="0" w:color="auto"/>
        <w:right w:val="none" w:sz="0" w:space="0" w:color="auto"/>
      </w:divBdr>
    </w:div>
    <w:div w:id="1098408671">
      <w:bodyDiv w:val="1"/>
      <w:marLeft w:val="0"/>
      <w:marRight w:val="0"/>
      <w:marTop w:val="0"/>
      <w:marBottom w:val="0"/>
      <w:divBdr>
        <w:top w:val="none" w:sz="0" w:space="0" w:color="auto"/>
        <w:left w:val="none" w:sz="0" w:space="0" w:color="auto"/>
        <w:bottom w:val="none" w:sz="0" w:space="0" w:color="auto"/>
        <w:right w:val="none" w:sz="0" w:space="0" w:color="auto"/>
      </w:divBdr>
    </w:div>
    <w:div w:id="1098713818">
      <w:bodyDiv w:val="1"/>
      <w:marLeft w:val="0"/>
      <w:marRight w:val="0"/>
      <w:marTop w:val="0"/>
      <w:marBottom w:val="0"/>
      <w:divBdr>
        <w:top w:val="none" w:sz="0" w:space="0" w:color="auto"/>
        <w:left w:val="none" w:sz="0" w:space="0" w:color="auto"/>
        <w:bottom w:val="none" w:sz="0" w:space="0" w:color="auto"/>
        <w:right w:val="none" w:sz="0" w:space="0" w:color="auto"/>
      </w:divBdr>
    </w:div>
    <w:div w:id="1098721413">
      <w:bodyDiv w:val="1"/>
      <w:marLeft w:val="0"/>
      <w:marRight w:val="0"/>
      <w:marTop w:val="0"/>
      <w:marBottom w:val="0"/>
      <w:divBdr>
        <w:top w:val="none" w:sz="0" w:space="0" w:color="auto"/>
        <w:left w:val="none" w:sz="0" w:space="0" w:color="auto"/>
        <w:bottom w:val="none" w:sz="0" w:space="0" w:color="auto"/>
        <w:right w:val="none" w:sz="0" w:space="0" w:color="auto"/>
      </w:divBdr>
    </w:div>
    <w:div w:id="1098788559">
      <w:bodyDiv w:val="1"/>
      <w:marLeft w:val="0"/>
      <w:marRight w:val="0"/>
      <w:marTop w:val="0"/>
      <w:marBottom w:val="0"/>
      <w:divBdr>
        <w:top w:val="none" w:sz="0" w:space="0" w:color="auto"/>
        <w:left w:val="none" w:sz="0" w:space="0" w:color="auto"/>
        <w:bottom w:val="none" w:sz="0" w:space="0" w:color="auto"/>
        <w:right w:val="none" w:sz="0" w:space="0" w:color="auto"/>
      </w:divBdr>
    </w:div>
    <w:div w:id="1098790791">
      <w:bodyDiv w:val="1"/>
      <w:marLeft w:val="0"/>
      <w:marRight w:val="0"/>
      <w:marTop w:val="0"/>
      <w:marBottom w:val="0"/>
      <w:divBdr>
        <w:top w:val="none" w:sz="0" w:space="0" w:color="auto"/>
        <w:left w:val="none" w:sz="0" w:space="0" w:color="auto"/>
        <w:bottom w:val="none" w:sz="0" w:space="0" w:color="auto"/>
        <w:right w:val="none" w:sz="0" w:space="0" w:color="auto"/>
      </w:divBdr>
    </w:div>
    <w:div w:id="1098871394">
      <w:bodyDiv w:val="1"/>
      <w:marLeft w:val="0"/>
      <w:marRight w:val="0"/>
      <w:marTop w:val="0"/>
      <w:marBottom w:val="0"/>
      <w:divBdr>
        <w:top w:val="none" w:sz="0" w:space="0" w:color="auto"/>
        <w:left w:val="none" w:sz="0" w:space="0" w:color="auto"/>
        <w:bottom w:val="none" w:sz="0" w:space="0" w:color="auto"/>
        <w:right w:val="none" w:sz="0" w:space="0" w:color="auto"/>
      </w:divBdr>
    </w:div>
    <w:div w:id="1098872389">
      <w:bodyDiv w:val="1"/>
      <w:marLeft w:val="0"/>
      <w:marRight w:val="0"/>
      <w:marTop w:val="0"/>
      <w:marBottom w:val="0"/>
      <w:divBdr>
        <w:top w:val="none" w:sz="0" w:space="0" w:color="auto"/>
        <w:left w:val="none" w:sz="0" w:space="0" w:color="auto"/>
        <w:bottom w:val="none" w:sz="0" w:space="0" w:color="auto"/>
        <w:right w:val="none" w:sz="0" w:space="0" w:color="auto"/>
      </w:divBdr>
    </w:div>
    <w:div w:id="1098908612">
      <w:bodyDiv w:val="1"/>
      <w:marLeft w:val="0"/>
      <w:marRight w:val="0"/>
      <w:marTop w:val="0"/>
      <w:marBottom w:val="0"/>
      <w:divBdr>
        <w:top w:val="none" w:sz="0" w:space="0" w:color="auto"/>
        <w:left w:val="none" w:sz="0" w:space="0" w:color="auto"/>
        <w:bottom w:val="none" w:sz="0" w:space="0" w:color="auto"/>
        <w:right w:val="none" w:sz="0" w:space="0" w:color="auto"/>
      </w:divBdr>
    </w:div>
    <w:div w:id="1099256068">
      <w:bodyDiv w:val="1"/>
      <w:marLeft w:val="0"/>
      <w:marRight w:val="0"/>
      <w:marTop w:val="0"/>
      <w:marBottom w:val="0"/>
      <w:divBdr>
        <w:top w:val="none" w:sz="0" w:space="0" w:color="auto"/>
        <w:left w:val="none" w:sz="0" w:space="0" w:color="auto"/>
        <w:bottom w:val="none" w:sz="0" w:space="0" w:color="auto"/>
        <w:right w:val="none" w:sz="0" w:space="0" w:color="auto"/>
      </w:divBdr>
    </w:div>
    <w:div w:id="1099368216">
      <w:bodyDiv w:val="1"/>
      <w:marLeft w:val="0"/>
      <w:marRight w:val="0"/>
      <w:marTop w:val="0"/>
      <w:marBottom w:val="0"/>
      <w:divBdr>
        <w:top w:val="none" w:sz="0" w:space="0" w:color="auto"/>
        <w:left w:val="none" w:sz="0" w:space="0" w:color="auto"/>
        <w:bottom w:val="none" w:sz="0" w:space="0" w:color="auto"/>
        <w:right w:val="none" w:sz="0" w:space="0" w:color="auto"/>
      </w:divBdr>
    </w:div>
    <w:div w:id="1099446942">
      <w:bodyDiv w:val="1"/>
      <w:marLeft w:val="0"/>
      <w:marRight w:val="0"/>
      <w:marTop w:val="0"/>
      <w:marBottom w:val="0"/>
      <w:divBdr>
        <w:top w:val="none" w:sz="0" w:space="0" w:color="auto"/>
        <w:left w:val="none" w:sz="0" w:space="0" w:color="auto"/>
        <w:bottom w:val="none" w:sz="0" w:space="0" w:color="auto"/>
        <w:right w:val="none" w:sz="0" w:space="0" w:color="auto"/>
      </w:divBdr>
    </w:div>
    <w:div w:id="1099447329">
      <w:bodyDiv w:val="1"/>
      <w:marLeft w:val="0"/>
      <w:marRight w:val="0"/>
      <w:marTop w:val="0"/>
      <w:marBottom w:val="0"/>
      <w:divBdr>
        <w:top w:val="none" w:sz="0" w:space="0" w:color="auto"/>
        <w:left w:val="none" w:sz="0" w:space="0" w:color="auto"/>
        <w:bottom w:val="none" w:sz="0" w:space="0" w:color="auto"/>
        <w:right w:val="none" w:sz="0" w:space="0" w:color="auto"/>
      </w:divBdr>
    </w:div>
    <w:div w:id="1099524075">
      <w:bodyDiv w:val="1"/>
      <w:marLeft w:val="0"/>
      <w:marRight w:val="0"/>
      <w:marTop w:val="0"/>
      <w:marBottom w:val="0"/>
      <w:divBdr>
        <w:top w:val="none" w:sz="0" w:space="0" w:color="auto"/>
        <w:left w:val="none" w:sz="0" w:space="0" w:color="auto"/>
        <w:bottom w:val="none" w:sz="0" w:space="0" w:color="auto"/>
        <w:right w:val="none" w:sz="0" w:space="0" w:color="auto"/>
      </w:divBdr>
    </w:div>
    <w:div w:id="1099528142">
      <w:bodyDiv w:val="1"/>
      <w:marLeft w:val="0"/>
      <w:marRight w:val="0"/>
      <w:marTop w:val="0"/>
      <w:marBottom w:val="0"/>
      <w:divBdr>
        <w:top w:val="none" w:sz="0" w:space="0" w:color="auto"/>
        <w:left w:val="none" w:sz="0" w:space="0" w:color="auto"/>
        <w:bottom w:val="none" w:sz="0" w:space="0" w:color="auto"/>
        <w:right w:val="none" w:sz="0" w:space="0" w:color="auto"/>
      </w:divBdr>
    </w:div>
    <w:div w:id="1099638969">
      <w:bodyDiv w:val="1"/>
      <w:marLeft w:val="0"/>
      <w:marRight w:val="0"/>
      <w:marTop w:val="0"/>
      <w:marBottom w:val="0"/>
      <w:divBdr>
        <w:top w:val="none" w:sz="0" w:space="0" w:color="auto"/>
        <w:left w:val="none" w:sz="0" w:space="0" w:color="auto"/>
        <w:bottom w:val="none" w:sz="0" w:space="0" w:color="auto"/>
        <w:right w:val="none" w:sz="0" w:space="0" w:color="auto"/>
      </w:divBdr>
    </w:div>
    <w:div w:id="1099642894">
      <w:bodyDiv w:val="1"/>
      <w:marLeft w:val="0"/>
      <w:marRight w:val="0"/>
      <w:marTop w:val="0"/>
      <w:marBottom w:val="0"/>
      <w:divBdr>
        <w:top w:val="none" w:sz="0" w:space="0" w:color="auto"/>
        <w:left w:val="none" w:sz="0" w:space="0" w:color="auto"/>
        <w:bottom w:val="none" w:sz="0" w:space="0" w:color="auto"/>
        <w:right w:val="none" w:sz="0" w:space="0" w:color="auto"/>
      </w:divBdr>
    </w:div>
    <w:div w:id="1099832048">
      <w:bodyDiv w:val="1"/>
      <w:marLeft w:val="0"/>
      <w:marRight w:val="0"/>
      <w:marTop w:val="0"/>
      <w:marBottom w:val="0"/>
      <w:divBdr>
        <w:top w:val="none" w:sz="0" w:space="0" w:color="auto"/>
        <w:left w:val="none" w:sz="0" w:space="0" w:color="auto"/>
        <w:bottom w:val="none" w:sz="0" w:space="0" w:color="auto"/>
        <w:right w:val="none" w:sz="0" w:space="0" w:color="auto"/>
      </w:divBdr>
    </w:div>
    <w:div w:id="1099911779">
      <w:bodyDiv w:val="1"/>
      <w:marLeft w:val="0"/>
      <w:marRight w:val="0"/>
      <w:marTop w:val="0"/>
      <w:marBottom w:val="0"/>
      <w:divBdr>
        <w:top w:val="none" w:sz="0" w:space="0" w:color="auto"/>
        <w:left w:val="none" w:sz="0" w:space="0" w:color="auto"/>
        <w:bottom w:val="none" w:sz="0" w:space="0" w:color="auto"/>
        <w:right w:val="none" w:sz="0" w:space="0" w:color="auto"/>
      </w:divBdr>
    </w:div>
    <w:div w:id="1100103111">
      <w:bodyDiv w:val="1"/>
      <w:marLeft w:val="0"/>
      <w:marRight w:val="0"/>
      <w:marTop w:val="0"/>
      <w:marBottom w:val="0"/>
      <w:divBdr>
        <w:top w:val="none" w:sz="0" w:space="0" w:color="auto"/>
        <w:left w:val="none" w:sz="0" w:space="0" w:color="auto"/>
        <w:bottom w:val="none" w:sz="0" w:space="0" w:color="auto"/>
        <w:right w:val="none" w:sz="0" w:space="0" w:color="auto"/>
      </w:divBdr>
    </w:div>
    <w:div w:id="1100177732">
      <w:bodyDiv w:val="1"/>
      <w:marLeft w:val="0"/>
      <w:marRight w:val="0"/>
      <w:marTop w:val="0"/>
      <w:marBottom w:val="0"/>
      <w:divBdr>
        <w:top w:val="none" w:sz="0" w:space="0" w:color="auto"/>
        <w:left w:val="none" w:sz="0" w:space="0" w:color="auto"/>
        <w:bottom w:val="none" w:sz="0" w:space="0" w:color="auto"/>
        <w:right w:val="none" w:sz="0" w:space="0" w:color="auto"/>
      </w:divBdr>
    </w:div>
    <w:div w:id="1100292248">
      <w:bodyDiv w:val="1"/>
      <w:marLeft w:val="0"/>
      <w:marRight w:val="0"/>
      <w:marTop w:val="0"/>
      <w:marBottom w:val="0"/>
      <w:divBdr>
        <w:top w:val="none" w:sz="0" w:space="0" w:color="auto"/>
        <w:left w:val="none" w:sz="0" w:space="0" w:color="auto"/>
        <w:bottom w:val="none" w:sz="0" w:space="0" w:color="auto"/>
        <w:right w:val="none" w:sz="0" w:space="0" w:color="auto"/>
      </w:divBdr>
    </w:div>
    <w:div w:id="1100292462">
      <w:bodyDiv w:val="1"/>
      <w:marLeft w:val="0"/>
      <w:marRight w:val="0"/>
      <w:marTop w:val="0"/>
      <w:marBottom w:val="0"/>
      <w:divBdr>
        <w:top w:val="none" w:sz="0" w:space="0" w:color="auto"/>
        <w:left w:val="none" w:sz="0" w:space="0" w:color="auto"/>
        <w:bottom w:val="none" w:sz="0" w:space="0" w:color="auto"/>
        <w:right w:val="none" w:sz="0" w:space="0" w:color="auto"/>
      </w:divBdr>
    </w:div>
    <w:div w:id="1100296021">
      <w:bodyDiv w:val="1"/>
      <w:marLeft w:val="0"/>
      <w:marRight w:val="0"/>
      <w:marTop w:val="0"/>
      <w:marBottom w:val="0"/>
      <w:divBdr>
        <w:top w:val="none" w:sz="0" w:space="0" w:color="auto"/>
        <w:left w:val="none" w:sz="0" w:space="0" w:color="auto"/>
        <w:bottom w:val="none" w:sz="0" w:space="0" w:color="auto"/>
        <w:right w:val="none" w:sz="0" w:space="0" w:color="auto"/>
      </w:divBdr>
    </w:div>
    <w:div w:id="1100300955">
      <w:bodyDiv w:val="1"/>
      <w:marLeft w:val="0"/>
      <w:marRight w:val="0"/>
      <w:marTop w:val="0"/>
      <w:marBottom w:val="0"/>
      <w:divBdr>
        <w:top w:val="none" w:sz="0" w:space="0" w:color="auto"/>
        <w:left w:val="none" w:sz="0" w:space="0" w:color="auto"/>
        <w:bottom w:val="none" w:sz="0" w:space="0" w:color="auto"/>
        <w:right w:val="none" w:sz="0" w:space="0" w:color="auto"/>
      </w:divBdr>
    </w:div>
    <w:div w:id="1100301115">
      <w:bodyDiv w:val="1"/>
      <w:marLeft w:val="0"/>
      <w:marRight w:val="0"/>
      <w:marTop w:val="0"/>
      <w:marBottom w:val="0"/>
      <w:divBdr>
        <w:top w:val="none" w:sz="0" w:space="0" w:color="auto"/>
        <w:left w:val="none" w:sz="0" w:space="0" w:color="auto"/>
        <w:bottom w:val="none" w:sz="0" w:space="0" w:color="auto"/>
        <w:right w:val="none" w:sz="0" w:space="0" w:color="auto"/>
      </w:divBdr>
    </w:div>
    <w:div w:id="1100367462">
      <w:bodyDiv w:val="1"/>
      <w:marLeft w:val="0"/>
      <w:marRight w:val="0"/>
      <w:marTop w:val="0"/>
      <w:marBottom w:val="0"/>
      <w:divBdr>
        <w:top w:val="none" w:sz="0" w:space="0" w:color="auto"/>
        <w:left w:val="none" w:sz="0" w:space="0" w:color="auto"/>
        <w:bottom w:val="none" w:sz="0" w:space="0" w:color="auto"/>
        <w:right w:val="none" w:sz="0" w:space="0" w:color="auto"/>
      </w:divBdr>
    </w:div>
    <w:div w:id="1100417086">
      <w:bodyDiv w:val="1"/>
      <w:marLeft w:val="0"/>
      <w:marRight w:val="0"/>
      <w:marTop w:val="0"/>
      <w:marBottom w:val="0"/>
      <w:divBdr>
        <w:top w:val="none" w:sz="0" w:space="0" w:color="auto"/>
        <w:left w:val="none" w:sz="0" w:space="0" w:color="auto"/>
        <w:bottom w:val="none" w:sz="0" w:space="0" w:color="auto"/>
        <w:right w:val="none" w:sz="0" w:space="0" w:color="auto"/>
      </w:divBdr>
    </w:div>
    <w:div w:id="1100419660">
      <w:bodyDiv w:val="1"/>
      <w:marLeft w:val="0"/>
      <w:marRight w:val="0"/>
      <w:marTop w:val="0"/>
      <w:marBottom w:val="0"/>
      <w:divBdr>
        <w:top w:val="none" w:sz="0" w:space="0" w:color="auto"/>
        <w:left w:val="none" w:sz="0" w:space="0" w:color="auto"/>
        <w:bottom w:val="none" w:sz="0" w:space="0" w:color="auto"/>
        <w:right w:val="none" w:sz="0" w:space="0" w:color="auto"/>
      </w:divBdr>
    </w:div>
    <w:div w:id="1100493408">
      <w:bodyDiv w:val="1"/>
      <w:marLeft w:val="0"/>
      <w:marRight w:val="0"/>
      <w:marTop w:val="0"/>
      <w:marBottom w:val="0"/>
      <w:divBdr>
        <w:top w:val="none" w:sz="0" w:space="0" w:color="auto"/>
        <w:left w:val="none" w:sz="0" w:space="0" w:color="auto"/>
        <w:bottom w:val="none" w:sz="0" w:space="0" w:color="auto"/>
        <w:right w:val="none" w:sz="0" w:space="0" w:color="auto"/>
      </w:divBdr>
    </w:div>
    <w:div w:id="1100566785">
      <w:bodyDiv w:val="1"/>
      <w:marLeft w:val="0"/>
      <w:marRight w:val="0"/>
      <w:marTop w:val="0"/>
      <w:marBottom w:val="0"/>
      <w:divBdr>
        <w:top w:val="none" w:sz="0" w:space="0" w:color="auto"/>
        <w:left w:val="none" w:sz="0" w:space="0" w:color="auto"/>
        <w:bottom w:val="none" w:sz="0" w:space="0" w:color="auto"/>
        <w:right w:val="none" w:sz="0" w:space="0" w:color="auto"/>
      </w:divBdr>
    </w:div>
    <w:div w:id="1100570084">
      <w:bodyDiv w:val="1"/>
      <w:marLeft w:val="0"/>
      <w:marRight w:val="0"/>
      <w:marTop w:val="0"/>
      <w:marBottom w:val="0"/>
      <w:divBdr>
        <w:top w:val="none" w:sz="0" w:space="0" w:color="auto"/>
        <w:left w:val="none" w:sz="0" w:space="0" w:color="auto"/>
        <w:bottom w:val="none" w:sz="0" w:space="0" w:color="auto"/>
        <w:right w:val="none" w:sz="0" w:space="0" w:color="auto"/>
      </w:divBdr>
    </w:div>
    <w:div w:id="1100761217">
      <w:bodyDiv w:val="1"/>
      <w:marLeft w:val="0"/>
      <w:marRight w:val="0"/>
      <w:marTop w:val="0"/>
      <w:marBottom w:val="0"/>
      <w:divBdr>
        <w:top w:val="none" w:sz="0" w:space="0" w:color="auto"/>
        <w:left w:val="none" w:sz="0" w:space="0" w:color="auto"/>
        <w:bottom w:val="none" w:sz="0" w:space="0" w:color="auto"/>
        <w:right w:val="none" w:sz="0" w:space="0" w:color="auto"/>
      </w:divBdr>
    </w:div>
    <w:div w:id="1100881257">
      <w:bodyDiv w:val="1"/>
      <w:marLeft w:val="0"/>
      <w:marRight w:val="0"/>
      <w:marTop w:val="0"/>
      <w:marBottom w:val="0"/>
      <w:divBdr>
        <w:top w:val="none" w:sz="0" w:space="0" w:color="auto"/>
        <w:left w:val="none" w:sz="0" w:space="0" w:color="auto"/>
        <w:bottom w:val="none" w:sz="0" w:space="0" w:color="auto"/>
        <w:right w:val="none" w:sz="0" w:space="0" w:color="auto"/>
      </w:divBdr>
    </w:div>
    <w:div w:id="1100956610">
      <w:bodyDiv w:val="1"/>
      <w:marLeft w:val="0"/>
      <w:marRight w:val="0"/>
      <w:marTop w:val="0"/>
      <w:marBottom w:val="0"/>
      <w:divBdr>
        <w:top w:val="none" w:sz="0" w:space="0" w:color="auto"/>
        <w:left w:val="none" w:sz="0" w:space="0" w:color="auto"/>
        <w:bottom w:val="none" w:sz="0" w:space="0" w:color="auto"/>
        <w:right w:val="none" w:sz="0" w:space="0" w:color="auto"/>
      </w:divBdr>
    </w:div>
    <w:div w:id="1101027532">
      <w:bodyDiv w:val="1"/>
      <w:marLeft w:val="0"/>
      <w:marRight w:val="0"/>
      <w:marTop w:val="0"/>
      <w:marBottom w:val="0"/>
      <w:divBdr>
        <w:top w:val="none" w:sz="0" w:space="0" w:color="auto"/>
        <w:left w:val="none" w:sz="0" w:space="0" w:color="auto"/>
        <w:bottom w:val="none" w:sz="0" w:space="0" w:color="auto"/>
        <w:right w:val="none" w:sz="0" w:space="0" w:color="auto"/>
      </w:divBdr>
    </w:div>
    <w:div w:id="1101028743">
      <w:bodyDiv w:val="1"/>
      <w:marLeft w:val="0"/>
      <w:marRight w:val="0"/>
      <w:marTop w:val="0"/>
      <w:marBottom w:val="0"/>
      <w:divBdr>
        <w:top w:val="none" w:sz="0" w:space="0" w:color="auto"/>
        <w:left w:val="none" w:sz="0" w:space="0" w:color="auto"/>
        <w:bottom w:val="none" w:sz="0" w:space="0" w:color="auto"/>
        <w:right w:val="none" w:sz="0" w:space="0" w:color="auto"/>
      </w:divBdr>
    </w:div>
    <w:div w:id="1101074296">
      <w:bodyDiv w:val="1"/>
      <w:marLeft w:val="0"/>
      <w:marRight w:val="0"/>
      <w:marTop w:val="0"/>
      <w:marBottom w:val="0"/>
      <w:divBdr>
        <w:top w:val="none" w:sz="0" w:space="0" w:color="auto"/>
        <w:left w:val="none" w:sz="0" w:space="0" w:color="auto"/>
        <w:bottom w:val="none" w:sz="0" w:space="0" w:color="auto"/>
        <w:right w:val="none" w:sz="0" w:space="0" w:color="auto"/>
      </w:divBdr>
    </w:div>
    <w:div w:id="1101144568">
      <w:bodyDiv w:val="1"/>
      <w:marLeft w:val="0"/>
      <w:marRight w:val="0"/>
      <w:marTop w:val="0"/>
      <w:marBottom w:val="0"/>
      <w:divBdr>
        <w:top w:val="none" w:sz="0" w:space="0" w:color="auto"/>
        <w:left w:val="none" w:sz="0" w:space="0" w:color="auto"/>
        <w:bottom w:val="none" w:sz="0" w:space="0" w:color="auto"/>
        <w:right w:val="none" w:sz="0" w:space="0" w:color="auto"/>
      </w:divBdr>
    </w:div>
    <w:div w:id="1101220258">
      <w:bodyDiv w:val="1"/>
      <w:marLeft w:val="0"/>
      <w:marRight w:val="0"/>
      <w:marTop w:val="0"/>
      <w:marBottom w:val="0"/>
      <w:divBdr>
        <w:top w:val="none" w:sz="0" w:space="0" w:color="auto"/>
        <w:left w:val="none" w:sz="0" w:space="0" w:color="auto"/>
        <w:bottom w:val="none" w:sz="0" w:space="0" w:color="auto"/>
        <w:right w:val="none" w:sz="0" w:space="0" w:color="auto"/>
      </w:divBdr>
    </w:div>
    <w:div w:id="1101223819">
      <w:bodyDiv w:val="1"/>
      <w:marLeft w:val="0"/>
      <w:marRight w:val="0"/>
      <w:marTop w:val="0"/>
      <w:marBottom w:val="0"/>
      <w:divBdr>
        <w:top w:val="none" w:sz="0" w:space="0" w:color="auto"/>
        <w:left w:val="none" w:sz="0" w:space="0" w:color="auto"/>
        <w:bottom w:val="none" w:sz="0" w:space="0" w:color="auto"/>
        <w:right w:val="none" w:sz="0" w:space="0" w:color="auto"/>
      </w:divBdr>
    </w:div>
    <w:div w:id="1101292125">
      <w:bodyDiv w:val="1"/>
      <w:marLeft w:val="0"/>
      <w:marRight w:val="0"/>
      <w:marTop w:val="0"/>
      <w:marBottom w:val="0"/>
      <w:divBdr>
        <w:top w:val="none" w:sz="0" w:space="0" w:color="auto"/>
        <w:left w:val="none" w:sz="0" w:space="0" w:color="auto"/>
        <w:bottom w:val="none" w:sz="0" w:space="0" w:color="auto"/>
        <w:right w:val="none" w:sz="0" w:space="0" w:color="auto"/>
      </w:divBdr>
    </w:div>
    <w:div w:id="1101337722">
      <w:bodyDiv w:val="1"/>
      <w:marLeft w:val="0"/>
      <w:marRight w:val="0"/>
      <w:marTop w:val="0"/>
      <w:marBottom w:val="0"/>
      <w:divBdr>
        <w:top w:val="none" w:sz="0" w:space="0" w:color="auto"/>
        <w:left w:val="none" w:sz="0" w:space="0" w:color="auto"/>
        <w:bottom w:val="none" w:sz="0" w:space="0" w:color="auto"/>
        <w:right w:val="none" w:sz="0" w:space="0" w:color="auto"/>
      </w:divBdr>
    </w:div>
    <w:div w:id="1101338787">
      <w:bodyDiv w:val="1"/>
      <w:marLeft w:val="0"/>
      <w:marRight w:val="0"/>
      <w:marTop w:val="0"/>
      <w:marBottom w:val="0"/>
      <w:divBdr>
        <w:top w:val="none" w:sz="0" w:space="0" w:color="auto"/>
        <w:left w:val="none" w:sz="0" w:space="0" w:color="auto"/>
        <w:bottom w:val="none" w:sz="0" w:space="0" w:color="auto"/>
        <w:right w:val="none" w:sz="0" w:space="0" w:color="auto"/>
      </w:divBdr>
    </w:div>
    <w:div w:id="1101342769">
      <w:bodyDiv w:val="1"/>
      <w:marLeft w:val="0"/>
      <w:marRight w:val="0"/>
      <w:marTop w:val="0"/>
      <w:marBottom w:val="0"/>
      <w:divBdr>
        <w:top w:val="none" w:sz="0" w:space="0" w:color="auto"/>
        <w:left w:val="none" w:sz="0" w:space="0" w:color="auto"/>
        <w:bottom w:val="none" w:sz="0" w:space="0" w:color="auto"/>
        <w:right w:val="none" w:sz="0" w:space="0" w:color="auto"/>
      </w:divBdr>
    </w:div>
    <w:div w:id="1101493494">
      <w:bodyDiv w:val="1"/>
      <w:marLeft w:val="0"/>
      <w:marRight w:val="0"/>
      <w:marTop w:val="0"/>
      <w:marBottom w:val="0"/>
      <w:divBdr>
        <w:top w:val="none" w:sz="0" w:space="0" w:color="auto"/>
        <w:left w:val="none" w:sz="0" w:space="0" w:color="auto"/>
        <w:bottom w:val="none" w:sz="0" w:space="0" w:color="auto"/>
        <w:right w:val="none" w:sz="0" w:space="0" w:color="auto"/>
      </w:divBdr>
    </w:div>
    <w:div w:id="1101534683">
      <w:bodyDiv w:val="1"/>
      <w:marLeft w:val="0"/>
      <w:marRight w:val="0"/>
      <w:marTop w:val="0"/>
      <w:marBottom w:val="0"/>
      <w:divBdr>
        <w:top w:val="none" w:sz="0" w:space="0" w:color="auto"/>
        <w:left w:val="none" w:sz="0" w:space="0" w:color="auto"/>
        <w:bottom w:val="none" w:sz="0" w:space="0" w:color="auto"/>
        <w:right w:val="none" w:sz="0" w:space="0" w:color="auto"/>
      </w:divBdr>
    </w:div>
    <w:div w:id="1101536383">
      <w:bodyDiv w:val="1"/>
      <w:marLeft w:val="0"/>
      <w:marRight w:val="0"/>
      <w:marTop w:val="0"/>
      <w:marBottom w:val="0"/>
      <w:divBdr>
        <w:top w:val="none" w:sz="0" w:space="0" w:color="auto"/>
        <w:left w:val="none" w:sz="0" w:space="0" w:color="auto"/>
        <w:bottom w:val="none" w:sz="0" w:space="0" w:color="auto"/>
        <w:right w:val="none" w:sz="0" w:space="0" w:color="auto"/>
      </w:divBdr>
    </w:div>
    <w:div w:id="1101605251">
      <w:bodyDiv w:val="1"/>
      <w:marLeft w:val="0"/>
      <w:marRight w:val="0"/>
      <w:marTop w:val="0"/>
      <w:marBottom w:val="0"/>
      <w:divBdr>
        <w:top w:val="none" w:sz="0" w:space="0" w:color="auto"/>
        <w:left w:val="none" w:sz="0" w:space="0" w:color="auto"/>
        <w:bottom w:val="none" w:sz="0" w:space="0" w:color="auto"/>
        <w:right w:val="none" w:sz="0" w:space="0" w:color="auto"/>
      </w:divBdr>
    </w:div>
    <w:div w:id="1101681471">
      <w:bodyDiv w:val="1"/>
      <w:marLeft w:val="0"/>
      <w:marRight w:val="0"/>
      <w:marTop w:val="0"/>
      <w:marBottom w:val="0"/>
      <w:divBdr>
        <w:top w:val="none" w:sz="0" w:space="0" w:color="auto"/>
        <w:left w:val="none" w:sz="0" w:space="0" w:color="auto"/>
        <w:bottom w:val="none" w:sz="0" w:space="0" w:color="auto"/>
        <w:right w:val="none" w:sz="0" w:space="0" w:color="auto"/>
      </w:divBdr>
    </w:div>
    <w:div w:id="1101681915">
      <w:bodyDiv w:val="1"/>
      <w:marLeft w:val="0"/>
      <w:marRight w:val="0"/>
      <w:marTop w:val="0"/>
      <w:marBottom w:val="0"/>
      <w:divBdr>
        <w:top w:val="none" w:sz="0" w:space="0" w:color="auto"/>
        <w:left w:val="none" w:sz="0" w:space="0" w:color="auto"/>
        <w:bottom w:val="none" w:sz="0" w:space="0" w:color="auto"/>
        <w:right w:val="none" w:sz="0" w:space="0" w:color="auto"/>
      </w:divBdr>
    </w:div>
    <w:div w:id="1101684955">
      <w:bodyDiv w:val="1"/>
      <w:marLeft w:val="0"/>
      <w:marRight w:val="0"/>
      <w:marTop w:val="0"/>
      <w:marBottom w:val="0"/>
      <w:divBdr>
        <w:top w:val="none" w:sz="0" w:space="0" w:color="auto"/>
        <w:left w:val="none" w:sz="0" w:space="0" w:color="auto"/>
        <w:bottom w:val="none" w:sz="0" w:space="0" w:color="auto"/>
        <w:right w:val="none" w:sz="0" w:space="0" w:color="auto"/>
      </w:divBdr>
    </w:div>
    <w:div w:id="1101803766">
      <w:bodyDiv w:val="1"/>
      <w:marLeft w:val="0"/>
      <w:marRight w:val="0"/>
      <w:marTop w:val="0"/>
      <w:marBottom w:val="0"/>
      <w:divBdr>
        <w:top w:val="none" w:sz="0" w:space="0" w:color="auto"/>
        <w:left w:val="none" w:sz="0" w:space="0" w:color="auto"/>
        <w:bottom w:val="none" w:sz="0" w:space="0" w:color="auto"/>
        <w:right w:val="none" w:sz="0" w:space="0" w:color="auto"/>
      </w:divBdr>
    </w:div>
    <w:div w:id="1101948105">
      <w:bodyDiv w:val="1"/>
      <w:marLeft w:val="0"/>
      <w:marRight w:val="0"/>
      <w:marTop w:val="0"/>
      <w:marBottom w:val="0"/>
      <w:divBdr>
        <w:top w:val="none" w:sz="0" w:space="0" w:color="auto"/>
        <w:left w:val="none" w:sz="0" w:space="0" w:color="auto"/>
        <w:bottom w:val="none" w:sz="0" w:space="0" w:color="auto"/>
        <w:right w:val="none" w:sz="0" w:space="0" w:color="auto"/>
      </w:divBdr>
    </w:div>
    <w:div w:id="1102072489">
      <w:bodyDiv w:val="1"/>
      <w:marLeft w:val="0"/>
      <w:marRight w:val="0"/>
      <w:marTop w:val="0"/>
      <w:marBottom w:val="0"/>
      <w:divBdr>
        <w:top w:val="none" w:sz="0" w:space="0" w:color="auto"/>
        <w:left w:val="none" w:sz="0" w:space="0" w:color="auto"/>
        <w:bottom w:val="none" w:sz="0" w:space="0" w:color="auto"/>
        <w:right w:val="none" w:sz="0" w:space="0" w:color="auto"/>
      </w:divBdr>
    </w:div>
    <w:div w:id="1102146111">
      <w:bodyDiv w:val="1"/>
      <w:marLeft w:val="0"/>
      <w:marRight w:val="0"/>
      <w:marTop w:val="0"/>
      <w:marBottom w:val="0"/>
      <w:divBdr>
        <w:top w:val="none" w:sz="0" w:space="0" w:color="auto"/>
        <w:left w:val="none" w:sz="0" w:space="0" w:color="auto"/>
        <w:bottom w:val="none" w:sz="0" w:space="0" w:color="auto"/>
        <w:right w:val="none" w:sz="0" w:space="0" w:color="auto"/>
      </w:divBdr>
    </w:div>
    <w:div w:id="1102189090">
      <w:bodyDiv w:val="1"/>
      <w:marLeft w:val="0"/>
      <w:marRight w:val="0"/>
      <w:marTop w:val="0"/>
      <w:marBottom w:val="0"/>
      <w:divBdr>
        <w:top w:val="none" w:sz="0" w:space="0" w:color="auto"/>
        <w:left w:val="none" w:sz="0" w:space="0" w:color="auto"/>
        <w:bottom w:val="none" w:sz="0" w:space="0" w:color="auto"/>
        <w:right w:val="none" w:sz="0" w:space="0" w:color="auto"/>
      </w:divBdr>
    </w:div>
    <w:div w:id="1102339937">
      <w:bodyDiv w:val="1"/>
      <w:marLeft w:val="0"/>
      <w:marRight w:val="0"/>
      <w:marTop w:val="0"/>
      <w:marBottom w:val="0"/>
      <w:divBdr>
        <w:top w:val="none" w:sz="0" w:space="0" w:color="auto"/>
        <w:left w:val="none" w:sz="0" w:space="0" w:color="auto"/>
        <w:bottom w:val="none" w:sz="0" w:space="0" w:color="auto"/>
        <w:right w:val="none" w:sz="0" w:space="0" w:color="auto"/>
      </w:divBdr>
    </w:div>
    <w:div w:id="1102342537">
      <w:bodyDiv w:val="1"/>
      <w:marLeft w:val="0"/>
      <w:marRight w:val="0"/>
      <w:marTop w:val="0"/>
      <w:marBottom w:val="0"/>
      <w:divBdr>
        <w:top w:val="none" w:sz="0" w:space="0" w:color="auto"/>
        <w:left w:val="none" w:sz="0" w:space="0" w:color="auto"/>
        <w:bottom w:val="none" w:sz="0" w:space="0" w:color="auto"/>
        <w:right w:val="none" w:sz="0" w:space="0" w:color="auto"/>
      </w:divBdr>
    </w:div>
    <w:div w:id="1102382833">
      <w:bodyDiv w:val="1"/>
      <w:marLeft w:val="0"/>
      <w:marRight w:val="0"/>
      <w:marTop w:val="0"/>
      <w:marBottom w:val="0"/>
      <w:divBdr>
        <w:top w:val="none" w:sz="0" w:space="0" w:color="auto"/>
        <w:left w:val="none" w:sz="0" w:space="0" w:color="auto"/>
        <w:bottom w:val="none" w:sz="0" w:space="0" w:color="auto"/>
        <w:right w:val="none" w:sz="0" w:space="0" w:color="auto"/>
      </w:divBdr>
    </w:div>
    <w:div w:id="1102412916">
      <w:bodyDiv w:val="1"/>
      <w:marLeft w:val="0"/>
      <w:marRight w:val="0"/>
      <w:marTop w:val="0"/>
      <w:marBottom w:val="0"/>
      <w:divBdr>
        <w:top w:val="none" w:sz="0" w:space="0" w:color="auto"/>
        <w:left w:val="none" w:sz="0" w:space="0" w:color="auto"/>
        <w:bottom w:val="none" w:sz="0" w:space="0" w:color="auto"/>
        <w:right w:val="none" w:sz="0" w:space="0" w:color="auto"/>
      </w:divBdr>
    </w:div>
    <w:div w:id="1102413342">
      <w:bodyDiv w:val="1"/>
      <w:marLeft w:val="0"/>
      <w:marRight w:val="0"/>
      <w:marTop w:val="0"/>
      <w:marBottom w:val="0"/>
      <w:divBdr>
        <w:top w:val="none" w:sz="0" w:space="0" w:color="auto"/>
        <w:left w:val="none" w:sz="0" w:space="0" w:color="auto"/>
        <w:bottom w:val="none" w:sz="0" w:space="0" w:color="auto"/>
        <w:right w:val="none" w:sz="0" w:space="0" w:color="auto"/>
      </w:divBdr>
    </w:div>
    <w:div w:id="1102527565">
      <w:bodyDiv w:val="1"/>
      <w:marLeft w:val="0"/>
      <w:marRight w:val="0"/>
      <w:marTop w:val="0"/>
      <w:marBottom w:val="0"/>
      <w:divBdr>
        <w:top w:val="none" w:sz="0" w:space="0" w:color="auto"/>
        <w:left w:val="none" w:sz="0" w:space="0" w:color="auto"/>
        <w:bottom w:val="none" w:sz="0" w:space="0" w:color="auto"/>
        <w:right w:val="none" w:sz="0" w:space="0" w:color="auto"/>
      </w:divBdr>
    </w:div>
    <w:div w:id="1102606763">
      <w:bodyDiv w:val="1"/>
      <w:marLeft w:val="0"/>
      <w:marRight w:val="0"/>
      <w:marTop w:val="0"/>
      <w:marBottom w:val="0"/>
      <w:divBdr>
        <w:top w:val="none" w:sz="0" w:space="0" w:color="auto"/>
        <w:left w:val="none" w:sz="0" w:space="0" w:color="auto"/>
        <w:bottom w:val="none" w:sz="0" w:space="0" w:color="auto"/>
        <w:right w:val="none" w:sz="0" w:space="0" w:color="auto"/>
      </w:divBdr>
    </w:div>
    <w:div w:id="1102649824">
      <w:bodyDiv w:val="1"/>
      <w:marLeft w:val="0"/>
      <w:marRight w:val="0"/>
      <w:marTop w:val="0"/>
      <w:marBottom w:val="0"/>
      <w:divBdr>
        <w:top w:val="none" w:sz="0" w:space="0" w:color="auto"/>
        <w:left w:val="none" w:sz="0" w:space="0" w:color="auto"/>
        <w:bottom w:val="none" w:sz="0" w:space="0" w:color="auto"/>
        <w:right w:val="none" w:sz="0" w:space="0" w:color="auto"/>
      </w:divBdr>
    </w:div>
    <w:div w:id="1102728207">
      <w:bodyDiv w:val="1"/>
      <w:marLeft w:val="0"/>
      <w:marRight w:val="0"/>
      <w:marTop w:val="0"/>
      <w:marBottom w:val="0"/>
      <w:divBdr>
        <w:top w:val="none" w:sz="0" w:space="0" w:color="auto"/>
        <w:left w:val="none" w:sz="0" w:space="0" w:color="auto"/>
        <w:bottom w:val="none" w:sz="0" w:space="0" w:color="auto"/>
        <w:right w:val="none" w:sz="0" w:space="0" w:color="auto"/>
      </w:divBdr>
    </w:div>
    <w:div w:id="1102994567">
      <w:bodyDiv w:val="1"/>
      <w:marLeft w:val="0"/>
      <w:marRight w:val="0"/>
      <w:marTop w:val="0"/>
      <w:marBottom w:val="0"/>
      <w:divBdr>
        <w:top w:val="none" w:sz="0" w:space="0" w:color="auto"/>
        <w:left w:val="none" w:sz="0" w:space="0" w:color="auto"/>
        <w:bottom w:val="none" w:sz="0" w:space="0" w:color="auto"/>
        <w:right w:val="none" w:sz="0" w:space="0" w:color="auto"/>
      </w:divBdr>
    </w:div>
    <w:div w:id="1103303962">
      <w:bodyDiv w:val="1"/>
      <w:marLeft w:val="0"/>
      <w:marRight w:val="0"/>
      <w:marTop w:val="0"/>
      <w:marBottom w:val="0"/>
      <w:divBdr>
        <w:top w:val="none" w:sz="0" w:space="0" w:color="auto"/>
        <w:left w:val="none" w:sz="0" w:space="0" w:color="auto"/>
        <w:bottom w:val="none" w:sz="0" w:space="0" w:color="auto"/>
        <w:right w:val="none" w:sz="0" w:space="0" w:color="auto"/>
      </w:divBdr>
    </w:div>
    <w:div w:id="1103304904">
      <w:bodyDiv w:val="1"/>
      <w:marLeft w:val="0"/>
      <w:marRight w:val="0"/>
      <w:marTop w:val="0"/>
      <w:marBottom w:val="0"/>
      <w:divBdr>
        <w:top w:val="none" w:sz="0" w:space="0" w:color="auto"/>
        <w:left w:val="none" w:sz="0" w:space="0" w:color="auto"/>
        <w:bottom w:val="none" w:sz="0" w:space="0" w:color="auto"/>
        <w:right w:val="none" w:sz="0" w:space="0" w:color="auto"/>
      </w:divBdr>
    </w:div>
    <w:div w:id="1103305447">
      <w:bodyDiv w:val="1"/>
      <w:marLeft w:val="0"/>
      <w:marRight w:val="0"/>
      <w:marTop w:val="0"/>
      <w:marBottom w:val="0"/>
      <w:divBdr>
        <w:top w:val="none" w:sz="0" w:space="0" w:color="auto"/>
        <w:left w:val="none" w:sz="0" w:space="0" w:color="auto"/>
        <w:bottom w:val="none" w:sz="0" w:space="0" w:color="auto"/>
        <w:right w:val="none" w:sz="0" w:space="0" w:color="auto"/>
      </w:divBdr>
    </w:div>
    <w:div w:id="1103454963">
      <w:bodyDiv w:val="1"/>
      <w:marLeft w:val="0"/>
      <w:marRight w:val="0"/>
      <w:marTop w:val="0"/>
      <w:marBottom w:val="0"/>
      <w:divBdr>
        <w:top w:val="none" w:sz="0" w:space="0" w:color="auto"/>
        <w:left w:val="none" w:sz="0" w:space="0" w:color="auto"/>
        <w:bottom w:val="none" w:sz="0" w:space="0" w:color="auto"/>
        <w:right w:val="none" w:sz="0" w:space="0" w:color="auto"/>
      </w:divBdr>
    </w:div>
    <w:div w:id="1103695602">
      <w:bodyDiv w:val="1"/>
      <w:marLeft w:val="0"/>
      <w:marRight w:val="0"/>
      <w:marTop w:val="0"/>
      <w:marBottom w:val="0"/>
      <w:divBdr>
        <w:top w:val="none" w:sz="0" w:space="0" w:color="auto"/>
        <w:left w:val="none" w:sz="0" w:space="0" w:color="auto"/>
        <w:bottom w:val="none" w:sz="0" w:space="0" w:color="auto"/>
        <w:right w:val="none" w:sz="0" w:space="0" w:color="auto"/>
      </w:divBdr>
    </w:div>
    <w:div w:id="1103962232">
      <w:bodyDiv w:val="1"/>
      <w:marLeft w:val="0"/>
      <w:marRight w:val="0"/>
      <w:marTop w:val="0"/>
      <w:marBottom w:val="0"/>
      <w:divBdr>
        <w:top w:val="none" w:sz="0" w:space="0" w:color="auto"/>
        <w:left w:val="none" w:sz="0" w:space="0" w:color="auto"/>
        <w:bottom w:val="none" w:sz="0" w:space="0" w:color="auto"/>
        <w:right w:val="none" w:sz="0" w:space="0" w:color="auto"/>
      </w:divBdr>
    </w:div>
    <w:div w:id="1103963929">
      <w:bodyDiv w:val="1"/>
      <w:marLeft w:val="0"/>
      <w:marRight w:val="0"/>
      <w:marTop w:val="0"/>
      <w:marBottom w:val="0"/>
      <w:divBdr>
        <w:top w:val="none" w:sz="0" w:space="0" w:color="auto"/>
        <w:left w:val="none" w:sz="0" w:space="0" w:color="auto"/>
        <w:bottom w:val="none" w:sz="0" w:space="0" w:color="auto"/>
        <w:right w:val="none" w:sz="0" w:space="0" w:color="auto"/>
      </w:divBdr>
    </w:div>
    <w:div w:id="1104038441">
      <w:bodyDiv w:val="1"/>
      <w:marLeft w:val="0"/>
      <w:marRight w:val="0"/>
      <w:marTop w:val="0"/>
      <w:marBottom w:val="0"/>
      <w:divBdr>
        <w:top w:val="none" w:sz="0" w:space="0" w:color="auto"/>
        <w:left w:val="none" w:sz="0" w:space="0" w:color="auto"/>
        <w:bottom w:val="none" w:sz="0" w:space="0" w:color="auto"/>
        <w:right w:val="none" w:sz="0" w:space="0" w:color="auto"/>
      </w:divBdr>
    </w:div>
    <w:div w:id="1104111638">
      <w:bodyDiv w:val="1"/>
      <w:marLeft w:val="0"/>
      <w:marRight w:val="0"/>
      <w:marTop w:val="0"/>
      <w:marBottom w:val="0"/>
      <w:divBdr>
        <w:top w:val="none" w:sz="0" w:space="0" w:color="auto"/>
        <w:left w:val="none" w:sz="0" w:space="0" w:color="auto"/>
        <w:bottom w:val="none" w:sz="0" w:space="0" w:color="auto"/>
        <w:right w:val="none" w:sz="0" w:space="0" w:color="auto"/>
      </w:divBdr>
    </w:div>
    <w:div w:id="1104114575">
      <w:bodyDiv w:val="1"/>
      <w:marLeft w:val="0"/>
      <w:marRight w:val="0"/>
      <w:marTop w:val="0"/>
      <w:marBottom w:val="0"/>
      <w:divBdr>
        <w:top w:val="none" w:sz="0" w:space="0" w:color="auto"/>
        <w:left w:val="none" w:sz="0" w:space="0" w:color="auto"/>
        <w:bottom w:val="none" w:sz="0" w:space="0" w:color="auto"/>
        <w:right w:val="none" w:sz="0" w:space="0" w:color="auto"/>
      </w:divBdr>
    </w:div>
    <w:div w:id="1104183119">
      <w:bodyDiv w:val="1"/>
      <w:marLeft w:val="0"/>
      <w:marRight w:val="0"/>
      <w:marTop w:val="0"/>
      <w:marBottom w:val="0"/>
      <w:divBdr>
        <w:top w:val="none" w:sz="0" w:space="0" w:color="auto"/>
        <w:left w:val="none" w:sz="0" w:space="0" w:color="auto"/>
        <w:bottom w:val="none" w:sz="0" w:space="0" w:color="auto"/>
        <w:right w:val="none" w:sz="0" w:space="0" w:color="auto"/>
      </w:divBdr>
    </w:div>
    <w:div w:id="1104227694">
      <w:bodyDiv w:val="1"/>
      <w:marLeft w:val="0"/>
      <w:marRight w:val="0"/>
      <w:marTop w:val="0"/>
      <w:marBottom w:val="0"/>
      <w:divBdr>
        <w:top w:val="none" w:sz="0" w:space="0" w:color="auto"/>
        <w:left w:val="none" w:sz="0" w:space="0" w:color="auto"/>
        <w:bottom w:val="none" w:sz="0" w:space="0" w:color="auto"/>
        <w:right w:val="none" w:sz="0" w:space="0" w:color="auto"/>
      </w:divBdr>
    </w:div>
    <w:div w:id="1104229692">
      <w:bodyDiv w:val="1"/>
      <w:marLeft w:val="0"/>
      <w:marRight w:val="0"/>
      <w:marTop w:val="0"/>
      <w:marBottom w:val="0"/>
      <w:divBdr>
        <w:top w:val="none" w:sz="0" w:space="0" w:color="auto"/>
        <w:left w:val="none" w:sz="0" w:space="0" w:color="auto"/>
        <w:bottom w:val="none" w:sz="0" w:space="0" w:color="auto"/>
        <w:right w:val="none" w:sz="0" w:space="0" w:color="auto"/>
      </w:divBdr>
    </w:div>
    <w:div w:id="1104232583">
      <w:bodyDiv w:val="1"/>
      <w:marLeft w:val="0"/>
      <w:marRight w:val="0"/>
      <w:marTop w:val="0"/>
      <w:marBottom w:val="0"/>
      <w:divBdr>
        <w:top w:val="none" w:sz="0" w:space="0" w:color="auto"/>
        <w:left w:val="none" w:sz="0" w:space="0" w:color="auto"/>
        <w:bottom w:val="none" w:sz="0" w:space="0" w:color="auto"/>
        <w:right w:val="none" w:sz="0" w:space="0" w:color="auto"/>
      </w:divBdr>
    </w:div>
    <w:div w:id="1104232811">
      <w:bodyDiv w:val="1"/>
      <w:marLeft w:val="0"/>
      <w:marRight w:val="0"/>
      <w:marTop w:val="0"/>
      <w:marBottom w:val="0"/>
      <w:divBdr>
        <w:top w:val="none" w:sz="0" w:space="0" w:color="auto"/>
        <w:left w:val="none" w:sz="0" w:space="0" w:color="auto"/>
        <w:bottom w:val="none" w:sz="0" w:space="0" w:color="auto"/>
        <w:right w:val="none" w:sz="0" w:space="0" w:color="auto"/>
      </w:divBdr>
    </w:div>
    <w:div w:id="1104306802">
      <w:bodyDiv w:val="1"/>
      <w:marLeft w:val="0"/>
      <w:marRight w:val="0"/>
      <w:marTop w:val="0"/>
      <w:marBottom w:val="0"/>
      <w:divBdr>
        <w:top w:val="none" w:sz="0" w:space="0" w:color="auto"/>
        <w:left w:val="none" w:sz="0" w:space="0" w:color="auto"/>
        <w:bottom w:val="none" w:sz="0" w:space="0" w:color="auto"/>
        <w:right w:val="none" w:sz="0" w:space="0" w:color="auto"/>
      </w:divBdr>
    </w:div>
    <w:div w:id="1104379409">
      <w:bodyDiv w:val="1"/>
      <w:marLeft w:val="0"/>
      <w:marRight w:val="0"/>
      <w:marTop w:val="0"/>
      <w:marBottom w:val="0"/>
      <w:divBdr>
        <w:top w:val="none" w:sz="0" w:space="0" w:color="auto"/>
        <w:left w:val="none" w:sz="0" w:space="0" w:color="auto"/>
        <w:bottom w:val="none" w:sz="0" w:space="0" w:color="auto"/>
        <w:right w:val="none" w:sz="0" w:space="0" w:color="auto"/>
      </w:divBdr>
    </w:div>
    <w:div w:id="1104423792">
      <w:bodyDiv w:val="1"/>
      <w:marLeft w:val="0"/>
      <w:marRight w:val="0"/>
      <w:marTop w:val="0"/>
      <w:marBottom w:val="0"/>
      <w:divBdr>
        <w:top w:val="none" w:sz="0" w:space="0" w:color="auto"/>
        <w:left w:val="none" w:sz="0" w:space="0" w:color="auto"/>
        <w:bottom w:val="none" w:sz="0" w:space="0" w:color="auto"/>
        <w:right w:val="none" w:sz="0" w:space="0" w:color="auto"/>
      </w:divBdr>
    </w:div>
    <w:div w:id="1104492847">
      <w:bodyDiv w:val="1"/>
      <w:marLeft w:val="0"/>
      <w:marRight w:val="0"/>
      <w:marTop w:val="0"/>
      <w:marBottom w:val="0"/>
      <w:divBdr>
        <w:top w:val="none" w:sz="0" w:space="0" w:color="auto"/>
        <w:left w:val="none" w:sz="0" w:space="0" w:color="auto"/>
        <w:bottom w:val="none" w:sz="0" w:space="0" w:color="auto"/>
        <w:right w:val="none" w:sz="0" w:space="0" w:color="auto"/>
      </w:divBdr>
    </w:div>
    <w:div w:id="1104618015">
      <w:bodyDiv w:val="1"/>
      <w:marLeft w:val="0"/>
      <w:marRight w:val="0"/>
      <w:marTop w:val="0"/>
      <w:marBottom w:val="0"/>
      <w:divBdr>
        <w:top w:val="none" w:sz="0" w:space="0" w:color="auto"/>
        <w:left w:val="none" w:sz="0" w:space="0" w:color="auto"/>
        <w:bottom w:val="none" w:sz="0" w:space="0" w:color="auto"/>
        <w:right w:val="none" w:sz="0" w:space="0" w:color="auto"/>
      </w:divBdr>
    </w:div>
    <w:div w:id="1104761021">
      <w:bodyDiv w:val="1"/>
      <w:marLeft w:val="0"/>
      <w:marRight w:val="0"/>
      <w:marTop w:val="0"/>
      <w:marBottom w:val="0"/>
      <w:divBdr>
        <w:top w:val="none" w:sz="0" w:space="0" w:color="auto"/>
        <w:left w:val="none" w:sz="0" w:space="0" w:color="auto"/>
        <w:bottom w:val="none" w:sz="0" w:space="0" w:color="auto"/>
        <w:right w:val="none" w:sz="0" w:space="0" w:color="auto"/>
      </w:divBdr>
    </w:div>
    <w:div w:id="1104810435">
      <w:bodyDiv w:val="1"/>
      <w:marLeft w:val="0"/>
      <w:marRight w:val="0"/>
      <w:marTop w:val="0"/>
      <w:marBottom w:val="0"/>
      <w:divBdr>
        <w:top w:val="none" w:sz="0" w:space="0" w:color="auto"/>
        <w:left w:val="none" w:sz="0" w:space="0" w:color="auto"/>
        <w:bottom w:val="none" w:sz="0" w:space="0" w:color="auto"/>
        <w:right w:val="none" w:sz="0" w:space="0" w:color="auto"/>
      </w:divBdr>
    </w:div>
    <w:div w:id="1104812333">
      <w:bodyDiv w:val="1"/>
      <w:marLeft w:val="0"/>
      <w:marRight w:val="0"/>
      <w:marTop w:val="0"/>
      <w:marBottom w:val="0"/>
      <w:divBdr>
        <w:top w:val="none" w:sz="0" w:space="0" w:color="auto"/>
        <w:left w:val="none" w:sz="0" w:space="0" w:color="auto"/>
        <w:bottom w:val="none" w:sz="0" w:space="0" w:color="auto"/>
        <w:right w:val="none" w:sz="0" w:space="0" w:color="auto"/>
      </w:divBdr>
    </w:div>
    <w:div w:id="1104885286">
      <w:bodyDiv w:val="1"/>
      <w:marLeft w:val="0"/>
      <w:marRight w:val="0"/>
      <w:marTop w:val="0"/>
      <w:marBottom w:val="0"/>
      <w:divBdr>
        <w:top w:val="none" w:sz="0" w:space="0" w:color="auto"/>
        <w:left w:val="none" w:sz="0" w:space="0" w:color="auto"/>
        <w:bottom w:val="none" w:sz="0" w:space="0" w:color="auto"/>
        <w:right w:val="none" w:sz="0" w:space="0" w:color="auto"/>
      </w:divBdr>
    </w:div>
    <w:div w:id="1104956698">
      <w:bodyDiv w:val="1"/>
      <w:marLeft w:val="0"/>
      <w:marRight w:val="0"/>
      <w:marTop w:val="0"/>
      <w:marBottom w:val="0"/>
      <w:divBdr>
        <w:top w:val="none" w:sz="0" w:space="0" w:color="auto"/>
        <w:left w:val="none" w:sz="0" w:space="0" w:color="auto"/>
        <w:bottom w:val="none" w:sz="0" w:space="0" w:color="auto"/>
        <w:right w:val="none" w:sz="0" w:space="0" w:color="auto"/>
      </w:divBdr>
    </w:div>
    <w:div w:id="1105003242">
      <w:bodyDiv w:val="1"/>
      <w:marLeft w:val="0"/>
      <w:marRight w:val="0"/>
      <w:marTop w:val="0"/>
      <w:marBottom w:val="0"/>
      <w:divBdr>
        <w:top w:val="none" w:sz="0" w:space="0" w:color="auto"/>
        <w:left w:val="none" w:sz="0" w:space="0" w:color="auto"/>
        <w:bottom w:val="none" w:sz="0" w:space="0" w:color="auto"/>
        <w:right w:val="none" w:sz="0" w:space="0" w:color="auto"/>
      </w:divBdr>
    </w:div>
    <w:div w:id="1105005620">
      <w:bodyDiv w:val="1"/>
      <w:marLeft w:val="0"/>
      <w:marRight w:val="0"/>
      <w:marTop w:val="0"/>
      <w:marBottom w:val="0"/>
      <w:divBdr>
        <w:top w:val="none" w:sz="0" w:space="0" w:color="auto"/>
        <w:left w:val="none" w:sz="0" w:space="0" w:color="auto"/>
        <w:bottom w:val="none" w:sz="0" w:space="0" w:color="auto"/>
        <w:right w:val="none" w:sz="0" w:space="0" w:color="auto"/>
      </w:divBdr>
    </w:div>
    <w:div w:id="1105029752">
      <w:bodyDiv w:val="1"/>
      <w:marLeft w:val="0"/>
      <w:marRight w:val="0"/>
      <w:marTop w:val="0"/>
      <w:marBottom w:val="0"/>
      <w:divBdr>
        <w:top w:val="none" w:sz="0" w:space="0" w:color="auto"/>
        <w:left w:val="none" w:sz="0" w:space="0" w:color="auto"/>
        <w:bottom w:val="none" w:sz="0" w:space="0" w:color="auto"/>
        <w:right w:val="none" w:sz="0" w:space="0" w:color="auto"/>
      </w:divBdr>
    </w:div>
    <w:div w:id="1105075599">
      <w:bodyDiv w:val="1"/>
      <w:marLeft w:val="0"/>
      <w:marRight w:val="0"/>
      <w:marTop w:val="0"/>
      <w:marBottom w:val="0"/>
      <w:divBdr>
        <w:top w:val="none" w:sz="0" w:space="0" w:color="auto"/>
        <w:left w:val="none" w:sz="0" w:space="0" w:color="auto"/>
        <w:bottom w:val="none" w:sz="0" w:space="0" w:color="auto"/>
        <w:right w:val="none" w:sz="0" w:space="0" w:color="auto"/>
      </w:divBdr>
    </w:div>
    <w:div w:id="1105151946">
      <w:bodyDiv w:val="1"/>
      <w:marLeft w:val="0"/>
      <w:marRight w:val="0"/>
      <w:marTop w:val="0"/>
      <w:marBottom w:val="0"/>
      <w:divBdr>
        <w:top w:val="none" w:sz="0" w:space="0" w:color="auto"/>
        <w:left w:val="none" w:sz="0" w:space="0" w:color="auto"/>
        <w:bottom w:val="none" w:sz="0" w:space="0" w:color="auto"/>
        <w:right w:val="none" w:sz="0" w:space="0" w:color="auto"/>
      </w:divBdr>
    </w:div>
    <w:div w:id="1105230707">
      <w:bodyDiv w:val="1"/>
      <w:marLeft w:val="0"/>
      <w:marRight w:val="0"/>
      <w:marTop w:val="0"/>
      <w:marBottom w:val="0"/>
      <w:divBdr>
        <w:top w:val="none" w:sz="0" w:space="0" w:color="auto"/>
        <w:left w:val="none" w:sz="0" w:space="0" w:color="auto"/>
        <w:bottom w:val="none" w:sz="0" w:space="0" w:color="auto"/>
        <w:right w:val="none" w:sz="0" w:space="0" w:color="auto"/>
      </w:divBdr>
    </w:div>
    <w:div w:id="1105266266">
      <w:bodyDiv w:val="1"/>
      <w:marLeft w:val="0"/>
      <w:marRight w:val="0"/>
      <w:marTop w:val="0"/>
      <w:marBottom w:val="0"/>
      <w:divBdr>
        <w:top w:val="none" w:sz="0" w:space="0" w:color="auto"/>
        <w:left w:val="none" w:sz="0" w:space="0" w:color="auto"/>
        <w:bottom w:val="none" w:sz="0" w:space="0" w:color="auto"/>
        <w:right w:val="none" w:sz="0" w:space="0" w:color="auto"/>
      </w:divBdr>
    </w:div>
    <w:div w:id="1105274495">
      <w:bodyDiv w:val="1"/>
      <w:marLeft w:val="0"/>
      <w:marRight w:val="0"/>
      <w:marTop w:val="0"/>
      <w:marBottom w:val="0"/>
      <w:divBdr>
        <w:top w:val="none" w:sz="0" w:space="0" w:color="auto"/>
        <w:left w:val="none" w:sz="0" w:space="0" w:color="auto"/>
        <w:bottom w:val="none" w:sz="0" w:space="0" w:color="auto"/>
        <w:right w:val="none" w:sz="0" w:space="0" w:color="auto"/>
      </w:divBdr>
    </w:div>
    <w:div w:id="1105465750">
      <w:bodyDiv w:val="1"/>
      <w:marLeft w:val="0"/>
      <w:marRight w:val="0"/>
      <w:marTop w:val="0"/>
      <w:marBottom w:val="0"/>
      <w:divBdr>
        <w:top w:val="none" w:sz="0" w:space="0" w:color="auto"/>
        <w:left w:val="none" w:sz="0" w:space="0" w:color="auto"/>
        <w:bottom w:val="none" w:sz="0" w:space="0" w:color="auto"/>
        <w:right w:val="none" w:sz="0" w:space="0" w:color="auto"/>
      </w:divBdr>
    </w:div>
    <w:div w:id="1105926986">
      <w:bodyDiv w:val="1"/>
      <w:marLeft w:val="0"/>
      <w:marRight w:val="0"/>
      <w:marTop w:val="0"/>
      <w:marBottom w:val="0"/>
      <w:divBdr>
        <w:top w:val="none" w:sz="0" w:space="0" w:color="auto"/>
        <w:left w:val="none" w:sz="0" w:space="0" w:color="auto"/>
        <w:bottom w:val="none" w:sz="0" w:space="0" w:color="auto"/>
        <w:right w:val="none" w:sz="0" w:space="0" w:color="auto"/>
      </w:divBdr>
    </w:div>
    <w:div w:id="1105928233">
      <w:bodyDiv w:val="1"/>
      <w:marLeft w:val="0"/>
      <w:marRight w:val="0"/>
      <w:marTop w:val="0"/>
      <w:marBottom w:val="0"/>
      <w:divBdr>
        <w:top w:val="none" w:sz="0" w:space="0" w:color="auto"/>
        <w:left w:val="none" w:sz="0" w:space="0" w:color="auto"/>
        <w:bottom w:val="none" w:sz="0" w:space="0" w:color="auto"/>
        <w:right w:val="none" w:sz="0" w:space="0" w:color="auto"/>
      </w:divBdr>
    </w:div>
    <w:div w:id="1106078032">
      <w:bodyDiv w:val="1"/>
      <w:marLeft w:val="0"/>
      <w:marRight w:val="0"/>
      <w:marTop w:val="0"/>
      <w:marBottom w:val="0"/>
      <w:divBdr>
        <w:top w:val="none" w:sz="0" w:space="0" w:color="auto"/>
        <w:left w:val="none" w:sz="0" w:space="0" w:color="auto"/>
        <w:bottom w:val="none" w:sz="0" w:space="0" w:color="auto"/>
        <w:right w:val="none" w:sz="0" w:space="0" w:color="auto"/>
      </w:divBdr>
    </w:div>
    <w:div w:id="1106147701">
      <w:bodyDiv w:val="1"/>
      <w:marLeft w:val="0"/>
      <w:marRight w:val="0"/>
      <w:marTop w:val="0"/>
      <w:marBottom w:val="0"/>
      <w:divBdr>
        <w:top w:val="none" w:sz="0" w:space="0" w:color="auto"/>
        <w:left w:val="none" w:sz="0" w:space="0" w:color="auto"/>
        <w:bottom w:val="none" w:sz="0" w:space="0" w:color="auto"/>
        <w:right w:val="none" w:sz="0" w:space="0" w:color="auto"/>
      </w:divBdr>
    </w:div>
    <w:div w:id="1106191371">
      <w:bodyDiv w:val="1"/>
      <w:marLeft w:val="0"/>
      <w:marRight w:val="0"/>
      <w:marTop w:val="0"/>
      <w:marBottom w:val="0"/>
      <w:divBdr>
        <w:top w:val="none" w:sz="0" w:space="0" w:color="auto"/>
        <w:left w:val="none" w:sz="0" w:space="0" w:color="auto"/>
        <w:bottom w:val="none" w:sz="0" w:space="0" w:color="auto"/>
        <w:right w:val="none" w:sz="0" w:space="0" w:color="auto"/>
      </w:divBdr>
    </w:div>
    <w:div w:id="1106195408">
      <w:bodyDiv w:val="1"/>
      <w:marLeft w:val="0"/>
      <w:marRight w:val="0"/>
      <w:marTop w:val="0"/>
      <w:marBottom w:val="0"/>
      <w:divBdr>
        <w:top w:val="none" w:sz="0" w:space="0" w:color="auto"/>
        <w:left w:val="none" w:sz="0" w:space="0" w:color="auto"/>
        <w:bottom w:val="none" w:sz="0" w:space="0" w:color="auto"/>
        <w:right w:val="none" w:sz="0" w:space="0" w:color="auto"/>
      </w:divBdr>
    </w:div>
    <w:div w:id="1106198631">
      <w:bodyDiv w:val="1"/>
      <w:marLeft w:val="0"/>
      <w:marRight w:val="0"/>
      <w:marTop w:val="0"/>
      <w:marBottom w:val="0"/>
      <w:divBdr>
        <w:top w:val="none" w:sz="0" w:space="0" w:color="auto"/>
        <w:left w:val="none" w:sz="0" w:space="0" w:color="auto"/>
        <w:bottom w:val="none" w:sz="0" w:space="0" w:color="auto"/>
        <w:right w:val="none" w:sz="0" w:space="0" w:color="auto"/>
      </w:divBdr>
    </w:div>
    <w:div w:id="1106266187">
      <w:bodyDiv w:val="1"/>
      <w:marLeft w:val="0"/>
      <w:marRight w:val="0"/>
      <w:marTop w:val="0"/>
      <w:marBottom w:val="0"/>
      <w:divBdr>
        <w:top w:val="none" w:sz="0" w:space="0" w:color="auto"/>
        <w:left w:val="none" w:sz="0" w:space="0" w:color="auto"/>
        <w:bottom w:val="none" w:sz="0" w:space="0" w:color="auto"/>
        <w:right w:val="none" w:sz="0" w:space="0" w:color="auto"/>
      </w:divBdr>
    </w:div>
    <w:div w:id="1106314339">
      <w:bodyDiv w:val="1"/>
      <w:marLeft w:val="0"/>
      <w:marRight w:val="0"/>
      <w:marTop w:val="0"/>
      <w:marBottom w:val="0"/>
      <w:divBdr>
        <w:top w:val="none" w:sz="0" w:space="0" w:color="auto"/>
        <w:left w:val="none" w:sz="0" w:space="0" w:color="auto"/>
        <w:bottom w:val="none" w:sz="0" w:space="0" w:color="auto"/>
        <w:right w:val="none" w:sz="0" w:space="0" w:color="auto"/>
      </w:divBdr>
    </w:div>
    <w:div w:id="1106385518">
      <w:bodyDiv w:val="1"/>
      <w:marLeft w:val="0"/>
      <w:marRight w:val="0"/>
      <w:marTop w:val="0"/>
      <w:marBottom w:val="0"/>
      <w:divBdr>
        <w:top w:val="none" w:sz="0" w:space="0" w:color="auto"/>
        <w:left w:val="none" w:sz="0" w:space="0" w:color="auto"/>
        <w:bottom w:val="none" w:sz="0" w:space="0" w:color="auto"/>
        <w:right w:val="none" w:sz="0" w:space="0" w:color="auto"/>
      </w:divBdr>
    </w:div>
    <w:div w:id="1106660442">
      <w:bodyDiv w:val="1"/>
      <w:marLeft w:val="0"/>
      <w:marRight w:val="0"/>
      <w:marTop w:val="0"/>
      <w:marBottom w:val="0"/>
      <w:divBdr>
        <w:top w:val="none" w:sz="0" w:space="0" w:color="auto"/>
        <w:left w:val="none" w:sz="0" w:space="0" w:color="auto"/>
        <w:bottom w:val="none" w:sz="0" w:space="0" w:color="auto"/>
        <w:right w:val="none" w:sz="0" w:space="0" w:color="auto"/>
      </w:divBdr>
    </w:div>
    <w:div w:id="1106733353">
      <w:bodyDiv w:val="1"/>
      <w:marLeft w:val="0"/>
      <w:marRight w:val="0"/>
      <w:marTop w:val="0"/>
      <w:marBottom w:val="0"/>
      <w:divBdr>
        <w:top w:val="none" w:sz="0" w:space="0" w:color="auto"/>
        <w:left w:val="none" w:sz="0" w:space="0" w:color="auto"/>
        <w:bottom w:val="none" w:sz="0" w:space="0" w:color="auto"/>
        <w:right w:val="none" w:sz="0" w:space="0" w:color="auto"/>
      </w:divBdr>
    </w:div>
    <w:div w:id="1106803919">
      <w:bodyDiv w:val="1"/>
      <w:marLeft w:val="0"/>
      <w:marRight w:val="0"/>
      <w:marTop w:val="0"/>
      <w:marBottom w:val="0"/>
      <w:divBdr>
        <w:top w:val="none" w:sz="0" w:space="0" w:color="auto"/>
        <w:left w:val="none" w:sz="0" w:space="0" w:color="auto"/>
        <w:bottom w:val="none" w:sz="0" w:space="0" w:color="auto"/>
        <w:right w:val="none" w:sz="0" w:space="0" w:color="auto"/>
      </w:divBdr>
    </w:div>
    <w:div w:id="1106850523">
      <w:bodyDiv w:val="1"/>
      <w:marLeft w:val="0"/>
      <w:marRight w:val="0"/>
      <w:marTop w:val="0"/>
      <w:marBottom w:val="0"/>
      <w:divBdr>
        <w:top w:val="none" w:sz="0" w:space="0" w:color="auto"/>
        <w:left w:val="none" w:sz="0" w:space="0" w:color="auto"/>
        <w:bottom w:val="none" w:sz="0" w:space="0" w:color="auto"/>
        <w:right w:val="none" w:sz="0" w:space="0" w:color="auto"/>
      </w:divBdr>
    </w:div>
    <w:div w:id="1106850683">
      <w:bodyDiv w:val="1"/>
      <w:marLeft w:val="0"/>
      <w:marRight w:val="0"/>
      <w:marTop w:val="0"/>
      <w:marBottom w:val="0"/>
      <w:divBdr>
        <w:top w:val="none" w:sz="0" w:space="0" w:color="auto"/>
        <w:left w:val="none" w:sz="0" w:space="0" w:color="auto"/>
        <w:bottom w:val="none" w:sz="0" w:space="0" w:color="auto"/>
        <w:right w:val="none" w:sz="0" w:space="0" w:color="auto"/>
      </w:divBdr>
    </w:div>
    <w:div w:id="1107113886">
      <w:bodyDiv w:val="1"/>
      <w:marLeft w:val="0"/>
      <w:marRight w:val="0"/>
      <w:marTop w:val="0"/>
      <w:marBottom w:val="0"/>
      <w:divBdr>
        <w:top w:val="none" w:sz="0" w:space="0" w:color="auto"/>
        <w:left w:val="none" w:sz="0" w:space="0" w:color="auto"/>
        <w:bottom w:val="none" w:sz="0" w:space="0" w:color="auto"/>
        <w:right w:val="none" w:sz="0" w:space="0" w:color="auto"/>
      </w:divBdr>
    </w:div>
    <w:div w:id="1107119151">
      <w:bodyDiv w:val="1"/>
      <w:marLeft w:val="0"/>
      <w:marRight w:val="0"/>
      <w:marTop w:val="0"/>
      <w:marBottom w:val="0"/>
      <w:divBdr>
        <w:top w:val="none" w:sz="0" w:space="0" w:color="auto"/>
        <w:left w:val="none" w:sz="0" w:space="0" w:color="auto"/>
        <w:bottom w:val="none" w:sz="0" w:space="0" w:color="auto"/>
        <w:right w:val="none" w:sz="0" w:space="0" w:color="auto"/>
      </w:divBdr>
    </w:div>
    <w:div w:id="1107190509">
      <w:bodyDiv w:val="1"/>
      <w:marLeft w:val="0"/>
      <w:marRight w:val="0"/>
      <w:marTop w:val="0"/>
      <w:marBottom w:val="0"/>
      <w:divBdr>
        <w:top w:val="none" w:sz="0" w:space="0" w:color="auto"/>
        <w:left w:val="none" w:sz="0" w:space="0" w:color="auto"/>
        <w:bottom w:val="none" w:sz="0" w:space="0" w:color="auto"/>
        <w:right w:val="none" w:sz="0" w:space="0" w:color="auto"/>
      </w:divBdr>
    </w:div>
    <w:div w:id="1107197612">
      <w:bodyDiv w:val="1"/>
      <w:marLeft w:val="0"/>
      <w:marRight w:val="0"/>
      <w:marTop w:val="0"/>
      <w:marBottom w:val="0"/>
      <w:divBdr>
        <w:top w:val="none" w:sz="0" w:space="0" w:color="auto"/>
        <w:left w:val="none" w:sz="0" w:space="0" w:color="auto"/>
        <w:bottom w:val="none" w:sz="0" w:space="0" w:color="auto"/>
        <w:right w:val="none" w:sz="0" w:space="0" w:color="auto"/>
      </w:divBdr>
    </w:div>
    <w:div w:id="1107231623">
      <w:bodyDiv w:val="1"/>
      <w:marLeft w:val="0"/>
      <w:marRight w:val="0"/>
      <w:marTop w:val="0"/>
      <w:marBottom w:val="0"/>
      <w:divBdr>
        <w:top w:val="none" w:sz="0" w:space="0" w:color="auto"/>
        <w:left w:val="none" w:sz="0" w:space="0" w:color="auto"/>
        <w:bottom w:val="none" w:sz="0" w:space="0" w:color="auto"/>
        <w:right w:val="none" w:sz="0" w:space="0" w:color="auto"/>
      </w:divBdr>
    </w:div>
    <w:div w:id="1107238490">
      <w:bodyDiv w:val="1"/>
      <w:marLeft w:val="0"/>
      <w:marRight w:val="0"/>
      <w:marTop w:val="0"/>
      <w:marBottom w:val="0"/>
      <w:divBdr>
        <w:top w:val="none" w:sz="0" w:space="0" w:color="auto"/>
        <w:left w:val="none" w:sz="0" w:space="0" w:color="auto"/>
        <w:bottom w:val="none" w:sz="0" w:space="0" w:color="auto"/>
        <w:right w:val="none" w:sz="0" w:space="0" w:color="auto"/>
      </w:divBdr>
    </w:div>
    <w:div w:id="1107313800">
      <w:bodyDiv w:val="1"/>
      <w:marLeft w:val="0"/>
      <w:marRight w:val="0"/>
      <w:marTop w:val="0"/>
      <w:marBottom w:val="0"/>
      <w:divBdr>
        <w:top w:val="none" w:sz="0" w:space="0" w:color="auto"/>
        <w:left w:val="none" w:sz="0" w:space="0" w:color="auto"/>
        <w:bottom w:val="none" w:sz="0" w:space="0" w:color="auto"/>
        <w:right w:val="none" w:sz="0" w:space="0" w:color="auto"/>
      </w:divBdr>
    </w:div>
    <w:div w:id="1107505924">
      <w:bodyDiv w:val="1"/>
      <w:marLeft w:val="0"/>
      <w:marRight w:val="0"/>
      <w:marTop w:val="0"/>
      <w:marBottom w:val="0"/>
      <w:divBdr>
        <w:top w:val="none" w:sz="0" w:space="0" w:color="auto"/>
        <w:left w:val="none" w:sz="0" w:space="0" w:color="auto"/>
        <w:bottom w:val="none" w:sz="0" w:space="0" w:color="auto"/>
        <w:right w:val="none" w:sz="0" w:space="0" w:color="auto"/>
      </w:divBdr>
    </w:div>
    <w:div w:id="1107506695">
      <w:bodyDiv w:val="1"/>
      <w:marLeft w:val="0"/>
      <w:marRight w:val="0"/>
      <w:marTop w:val="0"/>
      <w:marBottom w:val="0"/>
      <w:divBdr>
        <w:top w:val="none" w:sz="0" w:space="0" w:color="auto"/>
        <w:left w:val="none" w:sz="0" w:space="0" w:color="auto"/>
        <w:bottom w:val="none" w:sz="0" w:space="0" w:color="auto"/>
        <w:right w:val="none" w:sz="0" w:space="0" w:color="auto"/>
      </w:divBdr>
    </w:div>
    <w:div w:id="1107508695">
      <w:bodyDiv w:val="1"/>
      <w:marLeft w:val="0"/>
      <w:marRight w:val="0"/>
      <w:marTop w:val="0"/>
      <w:marBottom w:val="0"/>
      <w:divBdr>
        <w:top w:val="none" w:sz="0" w:space="0" w:color="auto"/>
        <w:left w:val="none" w:sz="0" w:space="0" w:color="auto"/>
        <w:bottom w:val="none" w:sz="0" w:space="0" w:color="auto"/>
        <w:right w:val="none" w:sz="0" w:space="0" w:color="auto"/>
      </w:divBdr>
    </w:div>
    <w:div w:id="1107772552">
      <w:bodyDiv w:val="1"/>
      <w:marLeft w:val="0"/>
      <w:marRight w:val="0"/>
      <w:marTop w:val="0"/>
      <w:marBottom w:val="0"/>
      <w:divBdr>
        <w:top w:val="none" w:sz="0" w:space="0" w:color="auto"/>
        <w:left w:val="none" w:sz="0" w:space="0" w:color="auto"/>
        <w:bottom w:val="none" w:sz="0" w:space="0" w:color="auto"/>
        <w:right w:val="none" w:sz="0" w:space="0" w:color="auto"/>
      </w:divBdr>
    </w:div>
    <w:div w:id="1107846685">
      <w:bodyDiv w:val="1"/>
      <w:marLeft w:val="0"/>
      <w:marRight w:val="0"/>
      <w:marTop w:val="0"/>
      <w:marBottom w:val="0"/>
      <w:divBdr>
        <w:top w:val="none" w:sz="0" w:space="0" w:color="auto"/>
        <w:left w:val="none" w:sz="0" w:space="0" w:color="auto"/>
        <w:bottom w:val="none" w:sz="0" w:space="0" w:color="auto"/>
        <w:right w:val="none" w:sz="0" w:space="0" w:color="auto"/>
      </w:divBdr>
    </w:div>
    <w:div w:id="1107893133">
      <w:bodyDiv w:val="1"/>
      <w:marLeft w:val="0"/>
      <w:marRight w:val="0"/>
      <w:marTop w:val="0"/>
      <w:marBottom w:val="0"/>
      <w:divBdr>
        <w:top w:val="none" w:sz="0" w:space="0" w:color="auto"/>
        <w:left w:val="none" w:sz="0" w:space="0" w:color="auto"/>
        <w:bottom w:val="none" w:sz="0" w:space="0" w:color="auto"/>
        <w:right w:val="none" w:sz="0" w:space="0" w:color="auto"/>
      </w:divBdr>
    </w:div>
    <w:div w:id="1107894554">
      <w:bodyDiv w:val="1"/>
      <w:marLeft w:val="0"/>
      <w:marRight w:val="0"/>
      <w:marTop w:val="0"/>
      <w:marBottom w:val="0"/>
      <w:divBdr>
        <w:top w:val="none" w:sz="0" w:space="0" w:color="auto"/>
        <w:left w:val="none" w:sz="0" w:space="0" w:color="auto"/>
        <w:bottom w:val="none" w:sz="0" w:space="0" w:color="auto"/>
        <w:right w:val="none" w:sz="0" w:space="0" w:color="auto"/>
      </w:divBdr>
    </w:div>
    <w:div w:id="1108231638">
      <w:bodyDiv w:val="1"/>
      <w:marLeft w:val="0"/>
      <w:marRight w:val="0"/>
      <w:marTop w:val="0"/>
      <w:marBottom w:val="0"/>
      <w:divBdr>
        <w:top w:val="none" w:sz="0" w:space="0" w:color="auto"/>
        <w:left w:val="none" w:sz="0" w:space="0" w:color="auto"/>
        <w:bottom w:val="none" w:sz="0" w:space="0" w:color="auto"/>
        <w:right w:val="none" w:sz="0" w:space="0" w:color="auto"/>
      </w:divBdr>
    </w:div>
    <w:div w:id="1108237266">
      <w:bodyDiv w:val="1"/>
      <w:marLeft w:val="0"/>
      <w:marRight w:val="0"/>
      <w:marTop w:val="0"/>
      <w:marBottom w:val="0"/>
      <w:divBdr>
        <w:top w:val="none" w:sz="0" w:space="0" w:color="auto"/>
        <w:left w:val="none" w:sz="0" w:space="0" w:color="auto"/>
        <w:bottom w:val="none" w:sz="0" w:space="0" w:color="auto"/>
        <w:right w:val="none" w:sz="0" w:space="0" w:color="auto"/>
      </w:divBdr>
    </w:div>
    <w:div w:id="1108237751">
      <w:bodyDiv w:val="1"/>
      <w:marLeft w:val="0"/>
      <w:marRight w:val="0"/>
      <w:marTop w:val="0"/>
      <w:marBottom w:val="0"/>
      <w:divBdr>
        <w:top w:val="none" w:sz="0" w:space="0" w:color="auto"/>
        <w:left w:val="none" w:sz="0" w:space="0" w:color="auto"/>
        <w:bottom w:val="none" w:sz="0" w:space="0" w:color="auto"/>
        <w:right w:val="none" w:sz="0" w:space="0" w:color="auto"/>
      </w:divBdr>
    </w:div>
    <w:div w:id="1108357878">
      <w:bodyDiv w:val="1"/>
      <w:marLeft w:val="0"/>
      <w:marRight w:val="0"/>
      <w:marTop w:val="0"/>
      <w:marBottom w:val="0"/>
      <w:divBdr>
        <w:top w:val="none" w:sz="0" w:space="0" w:color="auto"/>
        <w:left w:val="none" w:sz="0" w:space="0" w:color="auto"/>
        <w:bottom w:val="none" w:sz="0" w:space="0" w:color="auto"/>
        <w:right w:val="none" w:sz="0" w:space="0" w:color="auto"/>
      </w:divBdr>
    </w:div>
    <w:div w:id="1108433437">
      <w:bodyDiv w:val="1"/>
      <w:marLeft w:val="0"/>
      <w:marRight w:val="0"/>
      <w:marTop w:val="0"/>
      <w:marBottom w:val="0"/>
      <w:divBdr>
        <w:top w:val="none" w:sz="0" w:space="0" w:color="auto"/>
        <w:left w:val="none" w:sz="0" w:space="0" w:color="auto"/>
        <w:bottom w:val="none" w:sz="0" w:space="0" w:color="auto"/>
        <w:right w:val="none" w:sz="0" w:space="0" w:color="auto"/>
      </w:divBdr>
    </w:div>
    <w:div w:id="1108507391">
      <w:bodyDiv w:val="1"/>
      <w:marLeft w:val="0"/>
      <w:marRight w:val="0"/>
      <w:marTop w:val="0"/>
      <w:marBottom w:val="0"/>
      <w:divBdr>
        <w:top w:val="none" w:sz="0" w:space="0" w:color="auto"/>
        <w:left w:val="none" w:sz="0" w:space="0" w:color="auto"/>
        <w:bottom w:val="none" w:sz="0" w:space="0" w:color="auto"/>
        <w:right w:val="none" w:sz="0" w:space="0" w:color="auto"/>
      </w:divBdr>
    </w:div>
    <w:div w:id="1108617258">
      <w:bodyDiv w:val="1"/>
      <w:marLeft w:val="0"/>
      <w:marRight w:val="0"/>
      <w:marTop w:val="0"/>
      <w:marBottom w:val="0"/>
      <w:divBdr>
        <w:top w:val="none" w:sz="0" w:space="0" w:color="auto"/>
        <w:left w:val="none" w:sz="0" w:space="0" w:color="auto"/>
        <w:bottom w:val="none" w:sz="0" w:space="0" w:color="auto"/>
        <w:right w:val="none" w:sz="0" w:space="0" w:color="auto"/>
      </w:divBdr>
    </w:div>
    <w:div w:id="1108700428">
      <w:bodyDiv w:val="1"/>
      <w:marLeft w:val="0"/>
      <w:marRight w:val="0"/>
      <w:marTop w:val="0"/>
      <w:marBottom w:val="0"/>
      <w:divBdr>
        <w:top w:val="none" w:sz="0" w:space="0" w:color="auto"/>
        <w:left w:val="none" w:sz="0" w:space="0" w:color="auto"/>
        <w:bottom w:val="none" w:sz="0" w:space="0" w:color="auto"/>
        <w:right w:val="none" w:sz="0" w:space="0" w:color="auto"/>
      </w:divBdr>
    </w:div>
    <w:div w:id="1108700670">
      <w:bodyDiv w:val="1"/>
      <w:marLeft w:val="0"/>
      <w:marRight w:val="0"/>
      <w:marTop w:val="0"/>
      <w:marBottom w:val="0"/>
      <w:divBdr>
        <w:top w:val="none" w:sz="0" w:space="0" w:color="auto"/>
        <w:left w:val="none" w:sz="0" w:space="0" w:color="auto"/>
        <w:bottom w:val="none" w:sz="0" w:space="0" w:color="auto"/>
        <w:right w:val="none" w:sz="0" w:space="0" w:color="auto"/>
      </w:divBdr>
    </w:div>
    <w:div w:id="1108811093">
      <w:bodyDiv w:val="1"/>
      <w:marLeft w:val="0"/>
      <w:marRight w:val="0"/>
      <w:marTop w:val="0"/>
      <w:marBottom w:val="0"/>
      <w:divBdr>
        <w:top w:val="none" w:sz="0" w:space="0" w:color="auto"/>
        <w:left w:val="none" w:sz="0" w:space="0" w:color="auto"/>
        <w:bottom w:val="none" w:sz="0" w:space="0" w:color="auto"/>
        <w:right w:val="none" w:sz="0" w:space="0" w:color="auto"/>
      </w:divBdr>
    </w:div>
    <w:div w:id="1108813790">
      <w:bodyDiv w:val="1"/>
      <w:marLeft w:val="0"/>
      <w:marRight w:val="0"/>
      <w:marTop w:val="0"/>
      <w:marBottom w:val="0"/>
      <w:divBdr>
        <w:top w:val="none" w:sz="0" w:space="0" w:color="auto"/>
        <w:left w:val="none" w:sz="0" w:space="0" w:color="auto"/>
        <w:bottom w:val="none" w:sz="0" w:space="0" w:color="auto"/>
        <w:right w:val="none" w:sz="0" w:space="0" w:color="auto"/>
      </w:divBdr>
    </w:div>
    <w:div w:id="1108814604">
      <w:bodyDiv w:val="1"/>
      <w:marLeft w:val="0"/>
      <w:marRight w:val="0"/>
      <w:marTop w:val="0"/>
      <w:marBottom w:val="0"/>
      <w:divBdr>
        <w:top w:val="none" w:sz="0" w:space="0" w:color="auto"/>
        <w:left w:val="none" w:sz="0" w:space="0" w:color="auto"/>
        <w:bottom w:val="none" w:sz="0" w:space="0" w:color="auto"/>
        <w:right w:val="none" w:sz="0" w:space="0" w:color="auto"/>
      </w:divBdr>
    </w:div>
    <w:div w:id="1108890192">
      <w:bodyDiv w:val="1"/>
      <w:marLeft w:val="0"/>
      <w:marRight w:val="0"/>
      <w:marTop w:val="0"/>
      <w:marBottom w:val="0"/>
      <w:divBdr>
        <w:top w:val="none" w:sz="0" w:space="0" w:color="auto"/>
        <w:left w:val="none" w:sz="0" w:space="0" w:color="auto"/>
        <w:bottom w:val="none" w:sz="0" w:space="0" w:color="auto"/>
        <w:right w:val="none" w:sz="0" w:space="0" w:color="auto"/>
      </w:divBdr>
    </w:div>
    <w:div w:id="1109013031">
      <w:bodyDiv w:val="1"/>
      <w:marLeft w:val="0"/>
      <w:marRight w:val="0"/>
      <w:marTop w:val="0"/>
      <w:marBottom w:val="0"/>
      <w:divBdr>
        <w:top w:val="none" w:sz="0" w:space="0" w:color="auto"/>
        <w:left w:val="none" w:sz="0" w:space="0" w:color="auto"/>
        <w:bottom w:val="none" w:sz="0" w:space="0" w:color="auto"/>
        <w:right w:val="none" w:sz="0" w:space="0" w:color="auto"/>
      </w:divBdr>
    </w:div>
    <w:div w:id="1109468473">
      <w:bodyDiv w:val="1"/>
      <w:marLeft w:val="0"/>
      <w:marRight w:val="0"/>
      <w:marTop w:val="0"/>
      <w:marBottom w:val="0"/>
      <w:divBdr>
        <w:top w:val="none" w:sz="0" w:space="0" w:color="auto"/>
        <w:left w:val="none" w:sz="0" w:space="0" w:color="auto"/>
        <w:bottom w:val="none" w:sz="0" w:space="0" w:color="auto"/>
        <w:right w:val="none" w:sz="0" w:space="0" w:color="auto"/>
      </w:divBdr>
    </w:div>
    <w:div w:id="1109546299">
      <w:bodyDiv w:val="1"/>
      <w:marLeft w:val="0"/>
      <w:marRight w:val="0"/>
      <w:marTop w:val="0"/>
      <w:marBottom w:val="0"/>
      <w:divBdr>
        <w:top w:val="none" w:sz="0" w:space="0" w:color="auto"/>
        <w:left w:val="none" w:sz="0" w:space="0" w:color="auto"/>
        <w:bottom w:val="none" w:sz="0" w:space="0" w:color="auto"/>
        <w:right w:val="none" w:sz="0" w:space="0" w:color="auto"/>
      </w:divBdr>
    </w:div>
    <w:div w:id="1109548813">
      <w:bodyDiv w:val="1"/>
      <w:marLeft w:val="0"/>
      <w:marRight w:val="0"/>
      <w:marTop w:val="0"/>
      <w:marBottom w:val="0"/>
      <w:divBdr>
        <w:top w:val="none" w:sz="0" w:space="0" w:color="auto"/>
        <w:left w:val="none" w:sz="0" w:space="0" w:color="auto"/>
        <w:bottom w:val="none" w:sz="0" w:space="0" w:color="auto"/>
        <w:right w:val="none" w:sz="0" w:space="0" w:color="auto"/>
      </w:divBdr>
    </w:div>
    <w:div w:id="1109591853">
      <w:bodyDiv w:val="1"/>
      <w:marLeft w:val="0"/>
      <w:marRight w:val="0"/>
      <w:marTop w:val="0"/>
      <w:marBottom w:val="0"/>
      <w:divBdr>
        <w:top w:val="none" w:sz="0" w:space="0" w:color="auto"/>
        <w:left w:val="none" w:sz="0" w:space="0" w:color="auto"/>
        <w:bottom w:val="none" w:sz="0" w:space="0" w:color="auto"/>
        <w:right w:val="none" w:sz="0" w:space="0" w:color="auto"/>
      </w:divBdr>
    </w:div>
    <w:div w:id="1109664523">
      <w:bodyDiv w:val="1"/>
      <w:marLeft w:val="0"/>
      <w:marRight w:val="0"/>
      <w:marTop w:val="0"/>
      <w:marBottom w:val="0"/>
      <w:divBdr>
        <w:top w:val="none" w:sz="0" w:space="0" w:color="auto"/>
        <w:left w:val="none" w:sz="0" w:space="0" w:color="auto"/>
        <w:bottom w:val="none" w:sz="0" w:space="0" w:color="auto"/>
        <w:right w:val="none" w:sz="0" w:space="0" w:color="auto"/>
      </w:divBdr>
    </w:div>
    <w:div w:id="1109743097">
      <w:bodyDiv w:val="1"/>
      <w:marLeft w:val="0"/>
      <w:marRight w:val="0"/>
      <w:marTop w:val="0"/>
      <w:marBottom w:val="0"/>
      <w:divBdr>
        <w:top w:val="none" w:sz="0" w:space="0" w:color="auto"/>
        <w:left w:val="none" w:sz="0" w:space="0" w:color="auto"/>
        <w:bottom w:val="none" w:sz="0" w:space="0" w:color="auto"/>
        <w:right w:val="none" w:sz="0" w:space="0" w:color="auto"/>
      </w:divBdr>
    </w:div>
    <w:div w:id="1109744049">
      <w:bodyDiv w:val="1"/>
      <w:marLeft w:val="0"/>
      <w:marRight w:val="0"/>
      <w:marTop w:val="0"/>
      <w:marBottom w:val="0"/>
      <w:divBdr>
        <w:top w:val="none" w:sz="0" w:space="0" w:color="auto"/>
        <w:left w:val="none" w:sz="0" w:space="0" w:color="auto"/>
        <w:bottom w:val="none" w:sz="0" w:space="0" w:color="auto"/>
        <w:right w:val="none" w:sz="0" w:space="0" w:color="auto"/>
      </w:divBdr>
    </w:div>
    <w:div w:id="1109855545">
      <w:bodyDiv w:val="1"/>
      <w:marLeft w:val="0"/>
      <w:marRight w:val="0"/>
      <w:marTop w:val="0"/>
      <w:marBottom w:val="0"/>
      <w:divBdr>
        <w:top w:val="none" w:sz="0" w:space="0" w:color="auto"/>
        <w:left w:val="none" w:sz="0" w:space="0" w:color="auto"/>
        <w:bottom w:val="none" w:sz="0" w:space="0" w:color="auto"/>
        <w:right w:val="none" w:sz="0" w:space="0" w:color="auto"/>
      </w:divBdr>
    </w:div>
    <w:div w:id="1109856189">
      <w:bodyDiv w:val="1"/>
      <w:marLeft w:val="0"/>
      <w:marRight w:val="0"/>
      <w:marTop w:val="0"/>
      <w:marBottom w:val="0"/>
      <w:divBdr>
        <w:top w:val="none" w:sz="0" w:space="0" w:color="auto"/>
        <w:left w:val="none" w:sz="0" w:space="0" w:color="auto"/>
        <w:bottom w:val="none" w:sz="0" w:space="0" w:color="auto"/>
        <w:right w:val="none" w:sz="0" w:space="0" w:color="auto"/>
      </w:divBdr>
    </w:div>
    <w:div w:id="1109931889">
      <w:bodyDiv w:val="1"/>
      <w:marLeft w:val="0"/>
      <w:marRight w:val="0"/>
      <w:marTop w:val="0"/>
      <w:marBottom w:val="0"/>
      <w:divBdr>
        <w:top w:val="none" w:sz="0" w:space="0" w:color="auto"/>
        <w:left w:val="none" w:sz="0" w:space="0" w:color="auto"/>
        <w:bottom w:val="none" w:sz="0" w:space="0" w:color="auto"/>
        <w:right w:val="none" w:sz="0" w:space="0" w:color="auto"/>
      </w:divBdr>
    </w:div>
    <w:div w:id="1110055218">
      <w:bodyDiv w:val="1"/>
      <w:marLeft w:val="0"/>
      <w:marRight w:val="0"/>
      <w:marTop w:val="0"/>
      <w:marBottom w:val="0"/>
      <w:divBdr>
        <w:top w:val="none" w:sz="0" w:space="0" w:color="auto"/>
        <w:left w:val="none" w:sz="0" w:space="0" w:color="auto"/>
        <w:bottom w:val="none" w:sz="0" w:space="0" w:color="auto"/>
        <w:right w:val="none" w:sz="0" w:space="0" w:color="auto"/>
      </w:divBdr>
    </w:div>
    <w:div w:id="1110275575">
      <w:bodyDiv w:val="1"/>
      <w:marLeft w:val="0"/>
      <w:marRight w:val="0"/>
      <w:marTop w:val="0"/>
      <w:marBottom w:val="0"/>
      <w:divBdr>
        <w:top w:val="none" w:sz="0" w:space="0" w:color="auto"/>
        <w:left w:val="none" w:sz="0" w:space="0" w:color="auto"/>
        <w:bottom w:val="none" w:sz="0" w:space="0" w:color="auto"/>
        <w:right w:val="none" w:sz="0" w:space="0" w:color="auto"/>
      </w:divBdr>
    </w:div>
    <w:div w:id="1110316086">
      <w:bodyDiv w:val="1"/>
      <w:marLeft w:val="0"/>
      <w:marRight w:val="0"/>
      <w:marTop w:val="0"/>
      <w:marBottom w:val="0"/>
      <w:divBdr>
        <w:top w:val="none" w:sz="0" w:space="0" w:color="auto"/>
        <w:left w:val="none" w:sz="0" w:space="0" w:color="auto"/>
        <w:bottom w:val="none" w:sz="0" w:space="0" w:color="auto"/>
        <w:right w:val="none" w:sz="0" w:space="0" w:color="auto"/>
      </w:divBdr>
    </w:div>
    <w:div w:id="1110316700">
      <w:bodyDiv w:val="1"/>
      <w:marLeft w:val="0"/>
      <w:marRight w:val="0"/>
      <w:marTop w:val="0"/>
      <w:marBottom w:val="0"/>
      <w:divBdr>
        <w:top w:val="none" w:sz="0" w:space="0" w:color="auto"/>
        <w:left w:val="none" w:sz="0" w:space="0" w:color="auto"/>
        <w:bottom w:val="none" w:sz="0" w:space="0" w:color="auto"/>
        <w:right w:val="none" w:sz="0" w:space="0" w:color="auto"/>
      </w:divBdr>
    </w:div>
    <w:div w:id="1110323159">
      <w:bodyDiv w:val="1"/>
      <w:marLeft w:val="0"/>
      <w:marRight w:val="0"/>
      <w:marTop w:val="0"/>
      <w:marBottom w:val="0"/>
      <w:divBdr>
        <w:top w:val="none" w:sz="0" w:space="0" w:color="auto"/>
        <w:left w:val="none" w:sz="0" w:space="0" w:color="auto"/>
        <w:bottom w:val="none" w:sz="0" w:space="0" w:color="auto"/>
        <w:right w:val="none" w:sz="0" w:space="0" w:color="auto"/>
      </w:divBdr>
    </w:div>
    <w:div w:id="1110469762">
      <w:bodyDiv w:val="1"/>
      <w:marLeft w:val="0"/>
      <w:marRight w:val="0"/>
      <w:marTop w:val="0"/>
      <w:marBottom w:val="0"/>
      <w:divBdr>
        <w:top w:val="none" w:sz="0" w:space="0" w:color="auto"/>
        <w:left w:val="none" w:sz="0" w:space="0" w:color="auto"/>
        <w:bottom w:val="none" w:sz="0" w:space="0" w:color="auto"/>
        <w:right w:val="none" w:sz="0" w:space="0" w:color="auto"/>
      </w:divBdr>
    </w:div>
    <w:div w:id="1110583889">
      <w:bodyDiv w:val="1"/>
      <w:marLeft w:val="0"/>
      <w:marRight w:val="0"/>
      <w:marTop w:val="0"/>
      <w:marBottom w:val="0"/>
      <w:divBdr>
        <w:top w:val="none" w:sz="0" w:space="0" w:color="auto"/>
        <w:left w:val="none" w:sz="0" w:space="0" w:color="auto"/>
        <w:bottom w:val="none" w:sz="0" w:space="0" w:color="auto"/>
        <w:right w:val="none" w:sz="0" w:space="0" w:color="auto"/>
      </w:divBdr>
    </w:div>
    <w:div w:id="1110660882">
      <w:bodyDiv w:val="1"/>
      <w:marLeft w:val="0"/>
      <w:marRight w:val="0"/>
      <w:marTop w:val="0"/>
      <w:marBottom w:val="0"/>
      <w:divBdr>
        <w:top w:val="none" w:sz="0" w:space="0" w:color="auto"/>
        <w:left w:val="none" w:sz="0" w:space="0" w:color="auto"/>
        <w:bottom w:val="none" w:sz="0" w:space="0" w:color="auto"/>
        <w:right w:val="none" w:sz="0" w:space="0" w:color="auto"/>
      </w:divBdr>
    </w:div>
    <w:div w:id="1110663740">
      <w:bodyDiv w:val="1"/>
      <w:marLeft w:val="0"/>
      <w:marRight w:val="0"/>
      <w:marTop w:val="0"/>
      <w:marBottom w:val="0"/>
      <w:divBdr>
        <w:top w:val="none" w:sz="0" w:space="0" w:color="auto"/>
        <w:left w:val="none" w:sz="0" w:space="0" w:color="auto"/>
        <w:bottom w:val="none" w:sz="0" w:space="0" w:color="auto"/>
        <w:right w:val="none" w:sz="0" w:space="0" w:color="auto"/>
      </w:divBdr>
    </w:div>
    <w:div w:id="1110704614">
      <w:bodyDiv w:val="1"/>
      <w:marLeft w:val="0"/>
      <w:marRight w:val="0"/>
      <w:marTop w:val="0"/>
      <w:marBottom w:val="0"/>
      <w:divBdr>
        <w:top w:val="none" w:sz="0" w:space="0" w:color="auto"/>
        <w:left w:val="none" w:sz="0" w:space="0" w:color="auto"/>
        <w:bottom w:val="none" w:sz="0" w:space="0" w:color="auto"/>
        <w:right w:val="none" w:sz="0" w:space="0" w:color="auto"/>
      </w:divBdr>
    </w:div>
    <w:div w:id="1110705487">
      <w:bodyDiv w:val="1"/>
      <w:marLeft w:val="0"/>
      <w:marRight w:val="0"/>
      <w:marTop w:val="0"/>
      <w:marBottom w:val="0"/>
      <w:divBdr>
        <w:top w:val="none" w:sz="0" w:space="0" w:color="auto"/>
        <w:left w:val="none" w:sz="0" w:space="0" w:color="auto"/>
        <w:bottom w:val="none" w:sz="0" w:space="0" w:color="auto"/>
        <w:right w:val="none" w:sz="0" w:space="0" w:color="auto"/>
      </w:divBdr>
    </w:div>
    <w:div w:id="1110710277">
      <w:bodyDiv w:val="1"/>
      <w:marLeft w:val="0"/>
      <w:marRight w:val="0"/>
      <w:marTop w:val="0"/>
      <w:marBottom w:val="0"/>
      <w:divBdr>
        <w:top w:val="none" w:sz="0" w:space="0" w:color="auto"/>
        <w:left w:val="none" w:sz="0" w:space="0" w:color="auto"/>
        <w:bottom w:val="none" w:sz="0" w:space="0" w:color="auto"/>
        <w:right w:val="none" w:sz="0" w:space="0" w:color="auto"/>
      </w:divBdr>
    </w:div>
    <w:div w:id="1110900917">
      <w:bodyDiv w:val="1"/>
      <w:marLeft w:val="0"/>
      <w:marRight w:val="0"/>
      <w:marTop w:val="0"/>
      <w:marBottom w:val="0"/>
      <w:divBdr>
        <w:top w:val="none" w:sz="0" w:space="0" w:color="auto"/>
        <w:left w:val="none" w:sz="0" w:space="0" w:color="auto"/>
        <w:bottom w:val="none" w:sz="0" w:space="0" w:color="auto"/>
        <w:right w:val="none" w:sz="0" w:space="0" w:color="auto"/>
      </w:divBdr>
    </w:div>
    <w:div w:id="1110929094">
      <w:bodyDiv w:val="1"/>
      <w:marLeft w:val="0"/>
      <w:marRight w:val="0"/>
      <w:marTop w:val="0"/>
      <w:marBottom w:val="0"/>
      <w:divBdr>
        <w:top w:val="none" w:sz="0" w:space="0" w:color="auto"/>
        <w:left w:val="none" w:sz="0" w:space="0" w:color="auto"/>
        <w:bottom w:val="none" w:sz="0" w:space="0" w:color="auto"/>
        <w:right w:val="none" w:sz="0" w:space="0" w:color="auto"/>
      </w:divBdr>
    </w:div>
    <w:div w:id="1110930113">
      <w:bodyDiv w:val="1"/>
      <w:marLeft w:val="0"/>
      <w:marRight w:val="0"/>
      <w:marTop w:val="0"/>
      <w:marBottom w:val="0"/>
      <w:divBdr>
        <w:top w:val="none" w:sz="0" w:space="0" w:color="auto"/>
        <w:left w:val="none" w:sz="0" w:space="0" w:color="auto"/>
        <w:bottom w:val="none" w:sz="0" w:space="0" w:color="auto"/>
        <w:right w:val="none" w:sz="0" w:space="0" w:color="auto"/>
      </w:divBdr>
    </w:div>
    <w:div w:id="1110930615">
      <w:bodyDiv w:val="1"/>
      <w:marLeft w:val="0"/>
      <w:marRight w:val="0"/>
      <w:marTop w:val="0"/>
      <w:marBottom w:val="0"/>
      <w:divBdr>
        <w:top w:val="none" w:sz="0" w:space="0" w:color="auto"/>
        <w:left w:val="none" w:sz="0" w:space="0" w:color="auto"/>
        <w:bottom w:val="none" w:sz="0" w:space="0" w:color="auto"/>
        <w:right w:val="none" w:sz="0" w:space="0" w:color="auto"/>
      </w:divBdr>
    </w:div>
    <w:div w:id="1111129024">
      <w:bodyDiv w:val="1"/>
      <w:marLeft w:val="0"/>
      <w:marRight w:val="0"/>
      <w:marTop w:val="0"/>
      <w:marBottom w:val="0"/>
      <w:divBdr>
        <w:top w:val="none" w:sz="0" w:space="0" w:color="auto"/>
        <w:left w:val="none" w:sz="0" w:space="0" w:color="auto"/>
        <w:bottom w:val="none" w:sz="0" w:space="0" w:color="auto"/>
        <w:right w:val="none" w:sz="0" w:space="0" w:color="auto"/>
      </w:divBdr>
    </w:div>
    <w:div w:id="1111130027">
      <w:bodyDiv w:val="1"/>
      <w:marLeft w:val="0"/>
      <w:marRight w:val="0"/>
      <w:marTop w:val="0"/>
      <w:marBottom w:val="0"/>
      <w:divBdr>
        <w:top w:val="none" w:sz="0" w:space="0" w:color="auto"/>
        <w:left w:val="none" w:sz="0" w:space="0" w:color="auto"/>
        <w:bottom w:val="none" w:sz="0" w:space="0" w:color="auto"/>
        <w:right w:val="none" w:sz="0" w:space="0" w:color="auto"/>
      </w:divBdr>
    </w:div>
    <w:div w:id="1111166055">
      <w:bodyDiv w:val="1"/>
      <w:marLeft w:val="0"/>
      <w:marRight w:val="0"/>
      <w:marTop w:val="0"/>
      <w:marBottom w:val="0"/>
      <w:divBdr>
        <w:top w:val="none" w:sz="0" w:space="0" w:color="auto"/>
        <w:left w:val="none" w:sz="0" w:space="0" w:color="auto"/>
        <w:bottom w:val="none" w:sz="0" w:space="0" w:color="auto"/>
        <w:right w:val="none" w:sz="0" w:space="0" w:color="auto"/>
      </w:divBdr>
    </w:div>
    <w:div w:id="1111242381">
      <w:bodyDiv w:val="1"/>
      <w:marLeft w:val="0"/>
      <w:marRight w:val="0"/>
      <w:marTop w:val="0"/>
      <w:marBottom w:val="0"/>
      <w:divBdr>
        <w:top w:val="none" w:sz="0" w:space="0" w:color="auto"/>
        <w:left w:val="none" w:sz="0" w:space="0" w:color="auto"/>
        <w:bottom w:val="none" w:sz="0" w:space="0" w:color="auto"/>
        <w:right w:val="none" w:sz="0" w:space="0" w:color="auto"/>
      </w:divBdr>
    </w:div>
    <w:div w:id="1111361762">
      <w:bodyDiv w:val="1"/>
      <w:marLeft w:val="0"/>
      <w:marRight w:val="0"/>
      <w:marTop w:val="0"/>
      <w:marBottom w:val="0"/>
      <w:divBdr>
        <w:top w:val="none" w:sz="0" w:space="0" w:color="auto"/>
        <w:left w:val="none" w:sz="0" w:space="0" w:color="auto"/>
        <w:bottom w:val="none" w:sz="0" w:space="0" w:color="auto"/>
        <w:right w:val="none" w:sz="0" w:space="0" w:color="auto"/>
      </w:divBdr>
    </w:div>
    <w:div w:id="1111433488">
      <w:bodyDiv w:val="1"/>
      <w:marLeft w:val="0"/>
      <w:marRight w:val="0"/>
      <w:marTop w:val="0"/>
      <w:marBottom w:val="0"/>
      <w:divBdr>
        <w:top w:val="none" w:sz="0" w:space="0" w:color="auto"/>
        <w:left w:val="none" w:sz="0" w:space="0" w:color="auto"/>
        <w:bottom w:val="none" w:sz="0" w:space="0" w:color="auto"/>
        <w:right w:val="none" w:sz="0" w:space="0" w:color="auto"/>
      </w:divBdr>
    </w:div>
    <w:div w:id="1111436390">
      <w:bodyDiv w:val="1"/>
      <w:marLeft w:val="0"/>
      <w:marRight w:val="0"/>
      <w:marTop w:val="0"/>
      <w:marBottom w:val="0"/>
      <w:divBdr>
        <w:top w:val="none" w:sz="0" w:space="0" w:color="auto"/>
        <w:left w:val="none" w:sz="0" w:space="0" w:color="auto"/>
        <w:bottom w:val="none" w:sz="0" w:space="0" w:color="auto"/>
        <w:right w:val="none" w:sz="0" w:space="0" w:color="auto"/>
      </w:divBdr>
    </w:div>
    <w:div w:id="1111631141">
      <w:bodyDiv w:val="1"/>
      <w:marLeft w:val="0"/>
      <w:marRight w:val="0"/>
      <w:marTop w:val="0"/>
      <w:marBottom w:val="0"/>
      <w:divBdr>
        <w:top w:val="none" w:sz="0" w:space="0" w:color="auto"/>
        <w:left w:val="none" w:sz="0" w:space="0" w:color="auto"/>
        <w:bottom w:val="none" w:sz="0" w:space="0" w:color="auto"/>
        <w:right w:val="none" w:sz="0" w:space="0" w:color="auto"/>
      </w:divBdr>
    </w:div>
    <w:div w:id="1111632280">
      <w:bodyDiv w:val="1"/>
      <w:marLeft w:val="0"/>
      <w:marRight w:val="0"/>
      <w:marTop w:val="0"/>
      <w:marBottom w:val="0"/>
      <w:divBdr>
        <w:top w:val="none" w:sz="0" w:space="0" w:color="auto"/>
        <w:left w:val="none" w:sz="0" w:space="0" w:color="auto"/>
        <w:bottom w:val="none" w:sz="0" w:space="0" w:color="auto"/>
        <w:right w:val="none" w:sz="0" w:space="0" w:color="auto"/>
      </w:divBdr>
    </w:div>
    <w:div w:id="1111703658">
      <w:bodyDiv w:val="1"/>
      <w:marLeft w:val="0"/>
      <w:marRight w:val="0"/>
      <w:marTop w:val="0"/>
      <w:marBottom w:val="0"/>
      <w:divBdr>
        <w:top w:val="none" w:sz="0" w:space="0" w:color="auto"/>
        <w:left w:val="none" w:sz="0" w:space="0" w:color="auto"/>
        <w:bottom w:val="none" w:sz="0" w:space="0" w:color="auto"/>
        <w:right w:val="none" w:sz="0" w:space="0" w:color="auto"/>
      </w:divBdr>
    </w:div>
    <w:div w:id="1111819887">
      <w:bodyDiv w:val="1"/>
      <w:marLeft w:val="0"/>
      <w:marRight w:val="0"/>
      <w:marTop w:val="0"/>
      <w:marBottom w:val="0"/>
      <w:divBdr>
        <w:top w:val="none" w:sz="0" w:space="0" w:color="auto"/>
        <w:left w:val="none" w:sz="0" w:space="0" w:color="auto"/>
        <w:bottom w:val="none" w:sz="0" w:space="0" w:color="auto"/>
        <w:right w:val="none" w:sz="0" w:space="0" w:color="auto"/>
      </w:divBdr>
    </w:div>
    <w:div w:id="1111822554">
      <w:bodyDiv w:val="1"/>
      <w:marLeft w:val="0"/>
      <w:marRight w:val="0"/>
      <w:marTop w:val="0"/>
      <w:marBottom w:val="0"/>
      <w:divBdr>
        <w:top w:val="none" w:sz="0" w:space="0" w:color="auto"/>
        <w:left w:val="none" w:sz="0" w:space="0" w:color="auto"/>
        <w:bottom w:val="none" w:sz="0" w:space="0" w:color="auto"/>
        <w:right w:val="none" w:sz="0" w:space="0" w:color="auto"/>
      </w:divBdr>
    </w:div>
    <w:div w:id="1111898041">
      <w:bodyDiv w:val="1"/>
      <w:marLeft w:val="0"/>
      <w:marRight w:val="0"/>
      <w:marTop w:val="0"/>
      <w:marBottom w:val="0"/>
      <w:divBdr>
        <w:top w:val="none" w:sz="0" w:space="0" w:color="auto"/>
        <w:left w:val="none" w:sz="0" w:space="0" w:color="auto"/>
        <w:bottom w:val="none" w:sz="0" w:space="0" w:color="auto"/>
        <w:right w:val="none" w:sz="0" w:space="0" w:color="auto"/>
      </w:divBdr>
    </w:div>
    <w:div w:id="1112047116">
      <w:bodyDiv w:val="1"/>
      <w:marLeft w:val="0"/>
      <w:marRight w:val="0"/>
      <w:marTop w:val="0"/>
      <w:marBottom w:val="0"/>
      <w:divBdr>
        <w:top w:val="none" w:sz="0" w:space="0" w:color="auto"/>
        <w:left w:val="none" w:sz="0" w:space="0" w:color="auto"/>
        <w:bottom w:val="none" w:sz="0" w:space="0" w:color="auto"/>
        <w:right w:val="none" w:sz="0" w:space="0" w:color="auto"/>
      </w:divBdr>
    </w:div>
    <w:div w:id="1112087278">
      <w:bodyDiv w:val="1"/>
      <w:marLeft w:val="0"/>
      <w:marRight w:val="0"/>
      <w:marTop w:val="0"/>
      <w:marBottom w:val="0"/>
      <w:divBdr>
        <w:top w:val="none" w:sz="0" w:space="0" w:color="auto"/>
        <w:left w:val="none" w:sz="0" w:space="0" w:color="auto"/>
        <w:bottom w:val="none" w:sz="0" w:space="0" w:color="auto"/>
        <w:right w:val="none" w:sz="0" w:space="0" w:color="auto"/>
      </w:divBdr>
    </w:div>
    <w:div w:id="1112092231">
      <w:bodyDiv w:val="1"/>
      <w:marLeft w:val="0"/>
      <w:marRight w:val="0"/>
      <w:marTop w:val="0"/>
      <w:marBottom w:val="0"/>
      <w:divBdr>
        <w:top w:val="none" w:sz="0" w:space="0" w:color="auto"/>
        <w:left w:val="none" w:sz="0" w:space="0" w:color="auto"/>
        <w:bottom w:val="none" w:sz="0" w:space="0" w:color="auto"/>
        <w:right w:val="none" w:sz="0" w:space="0" w:color="auto"/>
      </w:divBdr>
    </w:div>
    <w:div w:id="1112095529">
      <w:bodyDiv w:val="1"/>
      <w:marLeft w:val="0"/>
      <w:marRight w:val="0"/>
      <w:marTop w:val="0"/>
      <w:marBottom w:val="0"/>
      <w:divBdr>
        <w:top w:val="none" w:sz="0" w:space="0" w:color="auto"/>
        <w:left w:val="none" w:sz="0" w:space="0" w:color="auto"/>
        <w:bottom w:val="none" w:sz="0" w:space="0" w:color="auto"/>
        <w:right w:val="none" w:sz="0" w:space="0" w:color="auto"/>
      </w:divBdr>
    </w:div>
    <w:div w:id="1112165501">
      <w:bodyDiv w:val="1"/>
      <w:marLeft w:val="0"/>
      <w:marRight w:val="0"/>
      <w:marTop w:val="0"/>
      <w:marBottom w:val="0"/>
      <w:divBdr>
        <w:top w:val="none" w:sz="0" w:space="0" w:color="auto"/>
        <w:left w:val="none" w:sz="0" w:space="0" w:color="auto"/>
        <w:bottom w:val="none" w:sz="0" w:space="0" w:color="auto"/>
        <w:right w:val="none" w:sz="0" w:space="0" w:color="auto"/>
      </w:divBdr>
    </w:div>
    <w:div w:id="1112238354">
      <w:bodyDiv w:val="1"/>
      <w:marLeft w:val="0"/>
      <w:marRight w:val="0"/>
      <w:marTop w:val="0"/>
      <w:marBottom w:val="0"/>
      <w:divBdr>
        <w:top w:val="none" w:sz="0" w:space="0" w:color="auto"/>
        <w:left w:val="none" w:sz="0" w:space="0" w:color="auto"/>
        <w:bottom w:val="none" w:sz="0" w:space="0" w:color="auto"/>
        <w:right w:val="none" w:sz="0" w:space="0" w:color="auto"/>
      </w:divBdr>
    </w:div>
    <w:div w:id="1112243149">
      <w:bodyDiv w:val="1"/>
      <w:marLeft w:val="0"/>
      <w:marRight w:val="0"/>
      <w:marTop w:val="0"/>
      <w:marBottom w:val="0"/>
      <w:divBdr>
        <w:top w:val="none" w:sz="0" w:space="0" w:color="auto"/>
        <w:left w:val="none" w:sz="0" w:space="0" w:color="auto"/>
        <w:bottom w:val="none" w:sz="0" w:space="0" w:color="auto"/>
        <w:right w:val="none" w:sz="0" w:space="0" w:color="auto"/>
      </w:divBdr>
    </w:div>
    <w:div w:id="1112243741">
      <w:bodyDiv w:val="1"/>
      <w:marLeft w:val="0"/>
      <w:marRight w:val="0"/>
      <w:marTop w:val="0"/>
      <w:marBottom w:val="0"/>
      <w:divBdr>
        <w:top w:val="none" w:sz="0" w:space="0" w:color="auto"/>
        <w:left w:val="none" w:sz="0" w:space="0" w:color="auto"/>
        <w:bottom w:val="none" w:sz="0" w:space="0" w:color="auto"/>
        <w:right w:val="none" w:sz="0" w:space="0" w:color="auto"/>
      </w:divBdr>
    </w:div>
    <w:div w:id="1112283302">
      <w:bodyDiv w:val="1"/>
      <w:marLeft w:val="0"/>
      <w:marRight w:val="0"/>
      <w:marTop w:val="0"/>
      <w:marBottom w:val="0"/>
      <w:divBdr>
        <w:top w:val="none" w:sz="0" w:space="0" w:color="auto"/>
        <w:left w:val="none" w:sz="0" w:space="0" w:color="auto"/>
        <w:bottom w:val="none" w:sz="0" w:space="0" w:color="auto"/>
        <w:right w:val="none" w:sz="0" w:space="0" w:color="auto"/>
      </w:divBdr>
    </w:div>
    <w:div w:id="1112432387">
      <w:bodyDiv w:val="1"/>
      <w:marLeft w:val="0"/>
      <w:marRight w:val="0"/>
      <w:marTop w:val="0"/>
      <w:marBottom w:val="0"/>
      <w:divBdr>
        <w:top w:val="none" w:sz="0" w:space="0" w:color="auto"/>
        <w:left w:val="none" w:sz="0" w:space="0" w:color="auto"/>
        <w:bottom w:val="none" w:sz="0" w:space="0" w:color="auto"/>
        <w:right w:val="none" w:sz="0" w:space="0" w:color="auto"/>
      </w:divBdr>
    </w:div>
    <w:div w:id="1112438000">
      <w:bodyDiv w:val="1"/>
      <w:marLeft w:val="0"/>
      <w:marRight w:val="0"/>
      <w:marTop w:val="0"/>
      <w:marBottom w:val="0"/>
      <w:divBdr>
        <w:top w:val="none" w:sz="0" w:space="0" w:color="auto"/>
        <w:left w:val="none" w:sz="0" w:space="0" w:color="auto"/>
        <w:bottom w:val="none" w:sz="0" w:space="0" w:color="auto"/>
        <w:right w:val="none" w:sz="0" w:space="0" w:color="auto"/>
      </w:divBdr>
    </w:div>
    <w:div w:id="1112483147">
      <w:bodyDiv w:val="1"/>
      <w:marLeft w:val="0"/>
      <w:marRight w:val="0"/>
      <w:marTop w:val="0"/>
      <w:marBottom w:val="0"/>
      <w:divBdr>
        <w:top w:val="none" w:sz="0" w:space="0" w:color="auto"/>
        <w:left w:val="none" w:sz="0" w:space="0" w:color="auto"/>
        <w:bottom w:val="none" w:sz="0" w:space="0" w:color="auto"/>
        <w:right w:val="none" w:sz="0" w:space="0" w:color="auto"/>
      </w:divBdr>
    </w:div>
    <w:div w:id="1112549598">
      <w:bodyDiv w:val="1"/>
      <w:marLeft w:val="0"/>
      <w:marRight w:val="0"/>
      <w:marTop w:val="0"/>
      <w:marBottom w:val="0"/>
      <w:divBdr>
        <w:top w:val="none" w:sz="0" w:space="0" w:color="auto"/>
        <w:left w:val="none" w:sz="0" w:space="0" w:color="auto"/>
        <w:bottom w:val="none" w:sz="0" w:space="0" w:color="auto"/>
        <w:right w:val="none" w:sz="0" w:space="0" w:color="auto"/>
      </w:divBdr>
    </w:div>
    <w:div w:id="1112632446">
      <w:bodyDiv w:val="1"/>
      <w:marLeft w:val="0"/>
      <w:marRight w:val="0"/>
      <w:marTop w:val="0"/>
      <w:marBottom w:val="0"/>
      <w:divBdr>
        <w:top w:val="none" w:sz="0" w:space="0" w:color="auto"/>
        <w:left w:val="none" w:sz="0" w:space="0" w:color="auto"/>
        <w:bottom w:val="none" w:sz="0" w:space="0" w:color="auto"/>
        <w:right w:val="none" w:sz="0" w:space="0" w:color="auto"/>
      </w:divBdr>
    </w:div>
    <w:div w:id="1112633115">
      <w:bodyDiv w:val="1"/>
      <w:marLeft w:val="0"/>
      <w:marRight w:val="0"/>
      <w:marTop w:val="0"/>
      <w:marBottom w:val="0"/>
      <w:divBdr>
        <w:top w:val="none" w:sz="0" w:space="0" w:color="auto"/>
        <w:left w:val="none" w:sz="0" w:space="0" w:color="auto"/>
        <w:bottom w:val="none" w:sz="0" w:space="0" w:color="auto"/>
        <w:right w:val="none" w:sz="0" w:space="0" w:color="auto"/>
      </w:divBdr>
    </w:div>
    <w:div w:id="1112700033">
      <w:bodyDiv w:val="1"/>
      <w:marLeft w:val="0"/>
      <w:marRight w:val="0"/>
      <w:marTop w:val="0"/>
      <w:marBottom w:val="0"/>
      <w:divBdr>
        <w:top w:val="none" w:sz="0" w:space="0" w:color="auto"/>
        <w:left w:val="none" w:sz="0" w:space="0" w:color="auto"/>
        <w:bottom w:val="none" w:sz="0" w:space="0" w:color="auto"/>
        <w:right w:val="none" w:sz="0" w:space="0" w:color="auto"/>
      </w:divBdr>
    </w:div>
    <w:div w:id="1112750496">
      <w:bodyDiv w:val="1"/>
      <w:marLeft w:val="0"/>
      <w:marRight w:val="0"/>
      <w:marTop w:val="0"/>
      <w:marBottom w:val="0"/>
      <w:divBdr>
        <w:top w:val="none" w:sz="0" w:space="0" w:color="auto"/>
        <w:left w:val="none" w:sz="0" w:space="0" w:color="auto"/>
        <w:bottom w:val="none" w:sz="0" w:space="0" w:color="auto"/>
        <w:right w:val="none" w:sz="0" w:space="0" w:color="auto"/>
      </w:divBdr>
    </w:div>
    <w:div w:id="1112943985">
      <w:bodyDiv w:val="1"/>
      <w:marLeft w:val="0"/>
      <w:marRight w:val="0"/>
      <w:marTop w:val="0"/>
      <w:marBottom w:val="0"/>
      <w:divBdr>
        <w:top w:val="none" w:sz="0" w:space="0" w:color="auto"/>
        <w:left w:val="none" w:sz="0" w:space="0" w:color="auto"/>
        <w:bottom w:val="none" w:sz="0" w:space="0" w:color="auto"/>
        <w:right w:val="none" w:sz="0" w:space="0" w:color="auto"/>
      </w:divBdr>
    </w:div>
    <w:div w:id="1113017343">
      <w:bodyDiv w:val="1"/>
      <w:marLeft w:val="0"/>
      <w:marRight w:val="0"/>
      <w:marTop w:val="0"/>
      <w:marBottom w:val="0"/>
      <w:divBdr>
        <w:top w:val="none" w:sz="0" w:space="0" w:color="auto"/>
        <w:left w:val="none" w:sz="0" w:space="0" w:color="auto"/>
        <w:bottom w:val="none" w:sz="0" w:space="0" w:color="auto"/>
        <w:right w:val="none" w:sz="0" w:space="0" w:color="auto"/>
      </w:divBdr>
    </w:div>
    <w:div w:id="1113092695">
      <w:bodyDiv w:val="1"/>
      <w:marLeft w:val="0"/>
      <w:marRight w:val="0"/>
      <w:marTop w:val="0"/>
      <w:marBottom w:val="0"/>
      <w:divBdr>
        <w:top w:val="none" w:sz="0" w:space="0" w:color="auto"/>
        <w:left w:val="none" w:sz="0" w:space="0" w:color="auto"/>
        <w:bottom w:val="none" w:sz="0" w:space="0" w:color="auto"/>
        <w:right w:val="none" w:sz="0" w:space="0" w:color="auto"/>
      </w:divBdr>
    </w:div>
    <w:div w:id="1113129075">
      <w:bodyDiv w:val="1"/>
      <w:marLeft w:val="0"/>
      <w:marRight w:val="0"/>
      <w:marTop w:val="0"/>
      <w:marBottom w:val="0"/>
      <w:divBdr>
        <w:top w:val="none" w:sz="0" w:space="0" w:color="auto"/>
        <w:left w:val="none" w:sz="0" w:space="0" w:color="auto"/>
        <w:bottom w:val="none" w:sz="0" w:space="0" w:color="auto"/>
        <w:right w:val="none" w:sz="0" w:space="0" w:color="auto"/>
      </w:divBdr>
    </w:div>
    <w:div w:id="1113283446">
      <w:bodyDiv w:val="1"/>
      <w:marLeft w:val="0"/>
      <w:marRight w:val="0"/>
      <w:marTop w:val="0"/>
      <w:marBottom w:val="0"/>
      <w:divBdr>
        <w:top w:val="none" w:sz="0" w:space="0" w:color="auto"/>
        <w:left w:val="none" w:sz="0" w:space="0" w:color="auto"/>
        <w:bottom w:val="none" w:sz="0" w:space="0" w:color="auto"/>
        <w:right w:val="none" w:sz="0" w:space="0" w:color="auto"/>
      </w:divBdr>
    </w:div>
    <w:div w:id="1113287927">
      <w:bodyDiv w:val="1"/>
      <w:marLeft w:val="0"/>
      <w:marRight w:val="0"/>
      <w:marTop w:val="0"/>
      <w:marBottom w:val="0"/>
      <w:divBdr>
        <w:top w:val="none" w:sz="0" w:space="0" w:color="auto"/>
        <w:left w:val="none" w:sz="0" w:space="0" w:color="auto"/>
        <w:bottom w:val="none" w:sz="0" w:space="0" w:color="auto"/>
        <w:right w:val="none" w:sz="0" w:space="0" w:color="auto"/>
      </w:divBdr>
    </w:div>
    <w:div w:id="1113550760">
      <w:bodyDiv w:val="1"/>
      <w:marLeft w:val="0"/>
      <w:marRight w:val="0"/>
      <w:marTop w:val="0"/>
      <w:marBottom w:val="0"/>
      <w:divBdr>
        <w:top w:val="none" w:sz="0" w:space="0" w:color="auto"/>
        <w:left w:val="none" w:sz="0" w:space="0" w:color="auto"/>
        <w:bottom w:val="none" w:sz="0" w:space="0" w:color="auto"/>
        <w:right w:val="none" w:sz="0" w:space="0" w:color="auto"/>
      </w:divBdr>
    </w:div>
    <w:div w:id="1113600293">
      <w:bodyDiv w:val="1"/>
      <w:marLeft w:val="0"/>
      <w:marRight w:val="0"/>
      <w:marTop w:val="0"/>
      <w:marBottom w:val="0"/>
      <w:divBdr>
        <w:top w:val="none" w:sz="0" w:space="0" w:color="auto"/>
        <w:left w:val="none" w:sz="0" w:space="0" w:color="auto"/>
        <w:bottom w:val="none" w:sz="0" w:space="0" w:color="auto"/>
        <w:right w:val="none" w:sz="0" w:space="0" w:color="auto"/>
      </w:divBdr>
    </w:div>
    <w:div w:id="1113863571">
      <w:bodyDiv w:val="1"/>
      <w:marLeft w:val="0"/>
      <w:marRight w:val="0"/>
      <w:marTop w:val="0"/>
      <w:marBottom w:val="0"/>
      <w:divBdr>
        <w:top w:val="none" w:sz="0" w:space="0" w:color="auto"/>
        <w:left w:val="none" w:sz="0" w:space="0" w:color="auto"/>
        <w:bottom w:val="none" w:sz="0" w:space="0" w:color="auto"/>
        <w:right w:val="none" w:sz="0" w:space="0" w:color="auto"/>
      </w:divBdr>
    </w:div>
    <w:div w:id="1113868224">
      <w:bodyDiv w:val="1"/>
      <w:marLeft w:val="0"/>
      <w:marRight w:val="0"/>
      <w:marTop w:val="0"/>
      <w:marBottom w:val="0"/>
      <w:divBdr>
        <w:top w:val="none" w:sz="0" w:space="0" w:color="auto"/>
        <w:left w:val="none" w:sz="0" w:space="0" w:color="auto"/>
        <w:bottom w:val="none" w:sz="0" w:space="0" w:color="auto"/>
        <w:right w:val="none" w:sz="0" w:space="0" w:color="auto"/>
      </w:divBdr>
    </w:div>
    <w:div w:id="1113939212">
      <w:bodyDiv w:val="1"/>
      <w:marLeft w:val="0"/>
      <w:marRight w:val="0"/>
      <w:marTop w:val="0"/>
      <w:marBottom w:val="0"/>
      <w:divBdr>
        <w:top w:val="none" w:sz="0" w:space="0" w:color="auto"/>
        <w:left w:val="none" w:sz="0" w:space="0" w:color="auto"/>
        <w:bottom w:val="none" w:sz="0" w:space="0" w:color="auto"/>
        <w:right w:val="none" w:sz="0" w:space="0" w:color="auto"/>
      </w:divBdr>
    </w:div>
    <w:div w:id="1113940234">
      <w:bodyDiv w:val="1"/>
      <w:marLeft w:val="0"/>
      <w:marRight w:val="0"/>
      <w:marTop w:val="0"/>
      <w:marBottom w:val="0"/>
      <w:divBdr>
        <w:top w:val="none" w:sz="0" w:space="0" w:color="auto"/>
        <w:left w:val="none" w:sz="0" w:space="0" w:color="auto"/>
        <w:bottom w:val="none" w:sz="0" w:space="0" w:color="auto"/>
        <w:right w:val="none" w:sz="0" w:space="0" w:color="auto"/>
      </w:divBdr>
    </w:div>
    <w:div w:id="1114054847">
      <w:bodyDiv w:val="1"/>
      <w:marLeft w:val="0"/>
      <w:marRight w:val="0"/>
      <w:marTop w:val="0"/>
      <w:marBottom w:val="0"/>
      <w:divBdr>
        <w:top w:val="none" w:sz="0" w:space="0" w:color="auto"/>
        <w:left w:val="none" w:sz="0" w:space="0" w:color="auto"/>
        <w:bottom w:val="none" w:sz="0" w:space="0" w:color="auto"/>
        <w:right w:val="none" w:sz="0" w:space="0" w:color="auto"/>
      </w:divBdr>
    </w:div>
    <w:div w:id="1114060490">
      <w:bodyDiv w:val="1"/>
      <w:marLeft w:val="0"/>
      <w:marRight w:val="0"/>
      <w:marTop w:val="0"/>
      <w:marBottom w:val="0"/>
      <w:divBdr>
        <w:top w:val="none" w:sz="0" w:space="0" w:color="auto"/>
        <w:left w:val="none" w:sz="0" w:space="0" w:color="auto"/>
        <w:bottom w:val="none" w:sz="0" w:space="0" w:color="auto"/>
        <w:right w:val="none" w:sz="0" w:space="0" w:color="auto"/>
      </w:divBdr>
    </w:div>
    <w:div w:id="1114131193">
      <w:bodyDiv w:val="1"/>
      <w:marLeft w:val="0"/>
      <w:marRight w:val="0"/>
      <w:marTop w:val="0"/>
      <w:marBottom w:val="0"/>
      <w:divBdr>
        <w:top w:val="none" w:sz="0" w:space="0" w:color="auto"/>
        <w:left w:val="none" w:sz="0" w:space="0" w:color="auto"/>
        <w:bottom w:val="none" w:sz="0" w:space="0" w:color="auto"/>
        <w:right w:val="none" w:sz="0" w:space="0" w:color="auto"/>
      </w:divBdr>
    </w:div>
    <w:div w:id="1114131662">
      <w:bodyDiv w:val="1"/>
      <w:marLeft w:val="0"/>
      <w:marRight w:val="0"/>
      <w:marTop w:val="0"/>
      <w:marBottom w:val="0"/>
      <w:divBdr>
        <w:top w:val="none" w:sz="0" w:space="0" w:color="auto"/>
        <w:left w:val="none" w:sz="0" w:space="0" w:color="auto"/>
        <w:bottom w:val="none" w:sz="0" w:space="0" w:color="auto"/>
        <w:right w:val="none" w:sz="0" w:space="0" w:color="auto"/>
      </w:divBdr>
    </w:div>
    <w:div w:id="1114178451">
      <w:bodyDiv w:val="1"/>
      <w:marLeft w:val="0"/>
      <w:marRight w:val="0"/>
      <w:marTop w:val="0"/>
      <w:marBottom w:val="0"/>
      <w:divBdr>
        <w:top w:val="none" w:sz="0" w:space="0" w:color="auto"/>
        <w:left w:val="none" w:sz="0" w:space="0" w:color="auto"/>
        <w:bottom w:val="none" w:sz="0" w:space="0" w:color="auto"/>
        <w:right w:val="none" w:sz="0" w:space="0" w:color="auto"/>
      </w:divBdr>
    </w:div>
    <w:div w:id="1114250481">
      <w:bodyDiv w:val="1"/>
      <w:marLeft w:val="0"/>
      <w:marRight w:val="0"/>
      <w:marTop w:val="0"/>
      <w:marBottom w:val="0"/>
      <w:divBdr>
        <w:top w:val="none" w:sz="0" w:space="0" w:color="auto"/>
        <w:left w:val="none" w:sz="0" w:space="0" w:color="auto"/>
        <w:bottom w:val="none" w:sz="0" w:space="0" w:color="auto"/>
        <w:right w:val="none" w:sz="0" w:space="0" w:color="auto"/>
      </w:divBdr>
    </w:div>
    <w:div w:id="1114251532">
      <w:bodyDiv w:val="1"/>
      <w:marLeft w:val="0"/>
      <w:marRight w:val="0"/>
      <w:marTop w:val="0"/>
      <w:marBottom w:val="0"/>
      <w:divBdr>
        <w:top w:val="none" w:sz="0" w:space="0" w:color="auto"/>
        <w:left w:val="none" w:sz="0" w:space="0" w:color="auto"/>
        <w:bottom w:val="none" w:sz="0" w:space="0" w:color="auto"/>
        <w:right w:val="none" w:sz="0" w:space="0" w:color="auto"/>
      </w:divBdr>
    </w:div>
    <w:div w:id="1114324568">
      <w:bodyDiv w:val="1"/>
      <w:marLeft w:val="0"/>
      <w:marRight w:val="0"/>
      <w:marTop w:val="0"/>
      <w:marBottom w:val="0"/>
      <w:divBdr>
        <w:top w:val="none" w:sz="0" w:space="0" w:color="auto"/>
        <w:left w:val="none" w:sz="0" w:space="0" w:color="auto"/>
        <w:bottom w:val="none" w:sz="0" w:space="0" w:color="auto"/>
        <w:right w:val="none" w:sz="0" w:space="0" w:color="auto"/>
      </w:divBdr>
    </w:div>
    <w:div w:id="1114326333">
      <w:bodyDiv w:val="1"/>
      <w:marLeft w:val="0"/>
      <w:marRight w:val="0"/>
      <w:marTop w:val="0"/>
      <w:marBottom w:val="0"/>
      <w:divBdr>
        <w:top w:val="none" w:sz="0" w:space="0" w:color="auto"/>
        <w:left w:val="none" w:sz="0" w:space="0" w:color="auto"/>
        <w:bottom w:val="none" w:sz="0" w:space="0" w:color="auto"/>
        <w:right w:val="none" w:sz="0" w:space="0" w:color="auto"/>
      </w:divBdr>
    </w:div>
    <w:div w:id="1114327471">
      <w:bodyDiv w:val="1"/>
      <w:marLeft w:val="0"/>
      <w:marRight w:val="0"/>
      <w:marTop w:val="0"/>
      <w:marBottom w:val="0"/>
      <w:divBdr>
        <w:top w:val="none" w:sz="0" w:space="0" w:color="auto"/>
        <w:left w:val="none" w:sz="0" w:space="0" w:color="auto"/>
        <w:bottom w:val="none" w:sz="0" w:space="0" w:color="auto"/>
        <w:right w:val="none" w:sz="0" w:space="0" w:color="auto"/>
      </w:divBdr>
    </w:div>
    <w:div w:id="1114398065">
      <w:bodyDiv w:val="1"/>
      <w:marLeft w:val="0"/>
      <w:marRight w:val="0"/>
      <w:marTop w:val="0"/>
      <w:marBottom w:val="0"/>
      <w:divBdr>
        <w:top w:val="none" w:sz="0" w:space="0" w:color="auto"/>
        <w:left w:val="none" w:sz="0" w:space="0" w:color="auto"/>
        <w:bottom w:val="none" w:sz="0" w:space="0" w:color="auto"/>
        <w:right w:val="none" w:sz="0" w:space="0" w:color="auto"/>
      </w:divBdr>
    </w:div>
    <w:div w:id="1114439751">
      <w:bodyDiv w:val="1"/>
      <w:marLeft w:val="0"/>
      <w:marRight w:val="0"/>
      <w:marTop w:val="0"/>
      <w:marBottom w:val="0"/>
      <w:divBdr>
        <w:top w:val="none" w:sz="0" w:space="0" w:color="auto"/>
        <w:left w:val="none" w:sz="0" w:space="0" w:color="auto"/>
        <w:bottom w:val="none" w:sz="0" w:space="0" w:color="auto"/>
        <w:right w:val="none" w:sz="0" w:space="0" w:color="auto"/>
      </w:divBdr>
    </w:div>
    <w:div w:id="1114442903">
      <w:bodyDiv w:val="1"/>
      <w:marLeft w:val="0"/>
      <w:marRight w:val="0"/>
      <w:marTop w:val="0"/>
      <w:marBottom w:val="0"/>
      <w:divBdr>
        <w:top w:val="none" w:sz="0" w:space="0" w:color="auto"/>
        <w:left w:val="none" w:sz="0" w:space="0" w:color="auto"/>
        <w:bottom w:val="none" w:sz="0" w:space="0" w:color="auto"/>
        <w:right w:val="none" w:sz="0" w:space="0" w:color="auto"/>
      </w:divBdr>
    </w:div>
    <w:div w:id="1114522517">
      <w:bodyDiv w:val="1"/>
      <w:marLeft w:val="0"/>
      <w:marRight w:val="0"/>
      <w:marTop w:val="0"/>
      <w:marBottom w:val="0"/>
      <w:divBdr>
        <w:top w:val="none" w:sz="0" w:space="0" w:color="auto"/>
        <w:left w:val="none" w:sz="0" w:space="0" w:color="auto"/>
        <w:bottom w:val="none" w:sz="0" w:space="0" w:color="auto"/>
        <w:right w:val="none" w:sz="0" w:space="0" w:color="auto"/>
      </w:divBdr>
    </w:div>
    <w:div w:id="1114522638">
      <w:bodyDiv w:val="1"/>
      <w:marLeft w:val="0"/>
      <w:marRight w:val="0"/>
      <w:marTop w:val="0"/>
      <w:marBottom w:val="0"/>
      <w:divBdr>
        <w:top w:val="none" w:sz="0" w:space="0" w:color="auto"/>
        <w:left w:val="none" w:sz="0" w:space="0" w:color="auto"/>
        <w:bottom w:val="none" w:sz="0" w:space="0" w:color="auto"/>
        <w:right w:val="none" w:sz="0" w:space="0" w:color="auto"/>
      </w:divBdr>
    </w:div>
    <w:div w:id="1114862441">
      <w:bodyDiv w:val="1"/>
      <w:marLeft w:val="0"/>
      <w:marRight w:val="0"/>
      <w:marTop w:val="0"/>
      <w:marBottom w:val="0"/>
      <w:divBdr>
        <w:top w:val="none" w:sz="0" w:space="0" w:color="auto"/>
        <w:left w:val="none" w:sz="0" w:space="0" w:color="auto"/>
        <w:bottom w:val="none" w:sz="0" w:space="0" w:color="auto"/>
        <w:right w:val="none" w:sz="0" w:space="0" w:color="auto"/>
      </w:divBdr>
    </w:div>
    <w:div w:id="1114864934">
      <w:bodyDiv w:val="1"/>
      <w:marLeft w:val="0"/>
      <w:marRight w:val="0"/>
      <w:marTop w:val="0"/>
      <w:marBottom w:val="0"/>
      <w:divBdr>
        <w:top w:val="none" w:sz="0" w:space="0" w:color="auto"/>
        <w:left w:val="none" w:sz="0" w:space="0" w:color="auto"/>
        <w:bottom w:val="none" w:sz="0" w:space="0" w:color="auto"/>
        <w:right w:val="none" w:sz="0" w:space="0" w:color="auto"/>
      </w:divBdr>
    </w:div>
    <w:div w:id="1114984968">
      <w:bodyDiv w:val="1"/>
      <w:marLeft w:val="0"/>
      <w:marRight w:val="0"/>
      <w:marTop w:val="0"/>
      <w:marBottom w:val="0"/>
      <w:divBdr>
        <w:top w:val="none" w:sz="0" w:space="0" w:color="auto"/>
        <w:left w:val="none" w:sz="0" w:space="0" w:color="auto"/>
        <w:bottom w:val="none" w:sz="0" w:space="0" w:color="auto"/>
        <w:right w:val="none" w:sz="0" w:space="0" w:color="auto"/>
      </w:divBdr>
    </w:div>
    <w:div w:id="1115060220">
      <w:bodyDiv w:val="1"/>
      <w:marLeft w:val="0"/>
      <w:marRight w:val="0"/>
      <w:marTop w:val="0"/>
      <w:marBottom w:val="0"/>
      <w:divBdr>
        <w:top w:val="none" w:sz="0" w:space="0" w:color="auto"/>
        <w:left w:val="none" w:sz="0" w:space="0" w:color="auto"/>
        <w:bottom w:val="none" w:sz="0" w:space="0" w:color="auto"/>
        <w:right w:val="none" w:sz="0" w:space="0" w:color="auto"/>
      </w:divBdr>
    </w:div>
    <w:div w:id="1115247186">
      <w:bodyDiv w:val="1"/>
      <w:marLeft w:val="0"/>
      <w:marRight w:val="0"/>
      <w:marTop w:val="0"/>
      <w:marBottom w:val="0"/>
      <w:divBdr>
        <w:top w:val="none" w:sz="0" w:space="0" w:color="auto"/>
        <w:left w:val="none" w:sz="0" w:space="0" w:color="auto"/>
        <w:bottom w:val="none" w:sz="0" w:space="0" w:color="auto"/>
        <w:right w:val="none" w:sz="0" w:space="0" w:color="auto"/>
      </w:divBdr>
    </w:div>
    <w:div w:id="1115247452">
      <w:bodyDiv w:val="1"/>
      <w:marLeft w:val="0"/>
      <w:marRight w:val="0"/>
      <w:marTop w:val="0"/>
      <w:marBottom w:val="0"/>
      <w:divBdr>
        <w:top w:val="none" w:sz="0" w:space="0" w:color="auto"/>
        <w:left w:val="none" w:sz="0" w:space="0" w:color="auto"/>
        <w:bottom w:val="none" w:sz="0" w:space="0" w:color="auto"/>
        <w:right w:val="none" w:sz="0" w:space="0" w:color="auto"/>
      </w:divBdr>
    </w:div>
    <w:div w:id="1115363430">
      <w:bodyDiv w:val="1"/>
      <w:marLeft w:val="0"/>
      <w:marRight w:val="0"/>
      <w:marTop w:val="0"/>
      <w:marBottom w:val="0"/>
      <w:divBdr>
        <w:top w:val="none" w:sz="0" w:space="0" w:color="auto"/>
        <w:left w:val="none" w:sz="0" w:space="0" w:color="auto"/>
        <w:bottom w:val="none" w:sz="0" w:space="0" w:color="auto"/>
        <w:right w:val="none" w:sz="0" w:space="0" w:color="auto"/>
      </w:divBdr>
    </w:div>
    <w:div w:id="1115365848">
      <w:bodyDiv w:val="1"/>
      <w:marLeft w:val="0"/>
      <w:marRight w:val="0"/>
      <w:marTop w:val="0"/>
      <w:marBottom w:val="0"/>
      <w:divBdr>
        <w:top w:val="none" w:sz="0" w:space="0" w:color="auto"/>
        <w:left w:val="none" w:sz="0" w:space="0" w:color="auto"/>
        <w:bottom w:val="none" w:sz="0" w:space="0" w:color="auto"/>
        <w:right w:val="none" w:sz="0" w:space="0" w:color="auto"/>
      </w:divBdr>
    </w:div>
    <w:div w:id="1115366683">
      <w:bodyDiv w:val="1"/>
      <w:marLeft w:val="0"/>
      <w:marRight w:val="0"/>
      <w:marTop w:val="0"/>
      <w:marBottom w:val="0"/>
      <w:divBdr>
        <w:top w:val="none" w:sz="0" w:space="0" w:color="auto"/>
        <w:left w:val="none" w:sz="0" w:space="0" w:color="auto"/>
        <w:bottom w:val="none" w:sz="0" w:space="0" w:color="auto"/>
        <w:right w:val="none" w:sz="0" w:space="0" w:color="auto"/>
      </w:divBdr>
    </w:div>
    <w:div w:id="1115447921">
      <w:bodyDiv w:val="1"/>
      <w:marLeft w:val="0"/>
      <w:marRight w:val="0"/>
      <w:marTop w:val="0"/>
      <w:marBottom w:val="0"/>
      <w:divBdr>
        <w:top w:val="none" w:sz="0" w:space="0" w:color="auto"/>
        <w:left w:val="none" w:sz="0" w:space="0" w:color="auto"/>
        <w:bottom w:val="none" w:sz="0" w:space="0" w:color="auto"/>
        <w:right w:val="none" w:sz="0" w:space="0" w:color="auto"/>
      </w:divBdr>
    </w:div>
    <w:div w:id="1115566048">
      <w:bodyDiv w:val="1"/>
      <w:marLeft w:val="0"/>
      <w:marRight w:val="0"/>
      <w:marTop w:val="0"/>
      <w:marBottom w:val="0"/>
      <w:divBdr>
        <w:top w:val="none" w:sz="0" w:space="0" w:color="auto"/>
        <w:left w:val="none" w:sz="0" w:space="0" w:color="auto"/>
        <w:bottom w:val="none" w:sz="0" w:space="0" w:color="auto"/>
        <w:right w:val="none" w:sz="0" w:space="0" w:color="auto"/>
      </w:divBdr>
    </w:div>
    <w:div w:id="1115632998">
      <w:bodyDiv w:val="1"/>
      <w:marLeft w:val="0"/>
      <w:marRight w:val="0"/>
      <w:marTop w:val="0"/>
      <w:marBottom w:val="0"/>
      <w:divBdr>
        <w:top w:val="none" w:sz="0" w:space="0" w:color="auto"/>
        <w:left w:val="none" w:sz="0" w:space="0" w:color="auto"/>
        <w:bottom w:val="none" w:sz="0" w:space="0" w:color="auto"/>
        <w:right w:val="none" w:sz="0" w:space="0" w:color="auto"/>
      </w:divBdr>
    </w:div>
    <w:div w:id="1115635430">
      <w:bodyDiv w:val="1"/>
      <w:marLeft w:val="0"/>
      <w:marRight w:val="0"/>
      <w:marTop w:val="0"/>
      <w:marBottom w:val="0"/>
      <w:divBdr>
        <w:top w:val="none" w:sz="0" w:space="0" w:color="auto"/>
        <w:left w:val="none" w:sz="0" w:space="0" w:color="auto"/>
        <w:bottom w:val="none" w:sz="0" w:space="0" w:color="auto"/>
        <w:right w:val="none" w:sz="0" w:space="0" w:color="auto"/>
      </w:divBdr>
    </w:div>
    <w:div w:id="1115636037">
      <w:bodyDiv w:val="1"/>
      <w:marLeft w:val="0"/>
      <w:marRight w:val="0"/>
      <w:marTop w:val="0"/>
      <w:marBottom w:val="0"/>
      <w:divBdr>
        <w:top w:val="none" w:sz="0" w:space="0" w:color="auto"/>
        <w:left w:val="none" w:sz="0" w:space="0" w:color="auto"/>
        <w:bottom w:val="none" w:sz="0" w:space="0" w:color="auto"/>
        <w:right w:val="none" w:sz="0" w:space="0" w:color="auto"/>
      </w:divBdr>
    </w:div>
    <w:div w:id="1115751139">
      <w:bodyDiv w:val="1"/>
      <w:marLeft w:val="0"/>
      <w:marRight w:val="0"/>
      <w:marTop w:val="0"/>
      <w:marBottom w:val="0"/>
      <w:divBdr>
        <w:top w:val="none" w:sz="0" w:space="0" w:color="auto"/>
        <w:left w:val="none" w:sz="0" w:space="0" w:color="auto"/>
        <w:bottom w:val="none" w:sz="0" w:space="0" w:color="auto"/>
        <w:right w:val="none" w:sz="0" w:space="0" w:color="auto"/>
      </w:divBdr>
    </w:div>
    <w:div w:id="1115755302">
      <w:bodyDiv w:val="1"/>
      <w:marLeft w:val="0"/>
      <w:marRight w:val="0"/>
      <w:marTop w:val="0"/>
      <w:marBottom w:val="0"/>
      <w:divBdr>
        <w:top w:val="none" w:sz="0" w:space="0" w:color="auto"/>
        <w:left w:val="none" w:sz="0" w:space="0" w:color="auto"/>
        <w:bottom w:val="none" w:sz="0" w:space="0" w:color="auto"/>
        <w:right w:val="none" w:sz="0" w:space="0" w:color="auto"/>
      </w:divBdr>
    </w:div>
    <w:div w:id="1115829001">
      <w:bodyDiv w:val="1"/>
      <w:marLeft w:val="0"/>
      <w:marRight w:val="0"/>
      <w:marTop w:val="0"/>
      <w:marBottom w:val="0"/>
      <w:divBdr>
        <w:top w:val="none" w:sz="0" w:space="0" w:color="auto"/>
        <w:left w:val="none" w:sz="0" w:space="0" w:color="auto"/>
        <w:bottom w:val="none" w:sz="0" w:space="0" w:color="auto"/>
        <w:right w:val="none" w:sz="0" w:space="0" w:color="auto"/>
      </w:divBdr>
    </w:div>
    <w:div w:id="1115830290">
      <w:bodyDiv w:val="1"/>
      <w:marLeft w:val="0"/>
      <w:marRight w:val="0"/>
      <w:marTop w:val="0"/>
      <w:marBottom w:val="0"/>
      <w:divBdr>
        <w:top w:val="none" w:sz="0" w:space="0" w:color="auto"/>
        <w:left w:val="none" w:sz="0" w:space="0" w:color="auto"/>
        <w:bottom w:val="none" w:sz="0" w:space="0" w:color="auto"/>
        <w:right w:val="none" w:sz="0" w:space="0" w:color="auto"/>
      </w:divBdr>
    </w:div>
    <w:div w:id="1115831247">
      <w:bodyDiv w:val="1"/>
      <w:marLeft w:val="0"/>
      <w:marRight w:val="0"/>
      <w:marTop w:val="0"/>
      <w:marBottom w:val="0"/>
      <w:divBdr>
        <w:top w:val="none" w:sz="0" w:space="0" w:color="auto"/>
        <w:left w:val="none" w:sz="0" w:space="0" w:color="auto"/>
        <w:bottom w:val="none" w:sz="0" w:space="0" w:color="auto"/>
        <w:right w:val="none" w:sz="0" w:space="0" w:color="auto"/>
      </w:divBdr>
    </w:div>
    <w:div w:id="1115832716">
      <w:bodyDiv w:val="1"/>
      <w:marLeft w:val="0"/>
      <w:marRight w:val="0"/>
      <w:marTop w:val="0"/>
      <w:marBottom w:val="0"/>
      <w:divBdr>
        <w:top w:val="none" w:sz="0" w:space="0" w:color="auto"/>
        <w:left w:val="none" w:sz="0" w:space="0" w:color="auto"/>
        <w:bottom w:val="none" w:sz="0" w:space="0" w:color="auto"/>
        <w:right w:val="none" w:sz="0" w:space="0" w:color="auto"/>
      </w:divBdr>
    </w:div>
    <w:div w:id="1115950965">
      <w:bodyDiv w:val="1"/>
      <w:marLeft w:val="0"/>
      <w:marRight w:val="0"/>
      <w:marTop w:val="0"/>
      <w:marBottom w:val="0"/>
      <w:divBdr>
        <w:top w:val="none" w:sz="0" w:space="0" w:color="auto"/>
        <w:left w:val="none" w:sz="0" w:space="0" w:color="auto"/>
        <w:bottom w:val="none" w:sz="0" w:space="0" w:color="auto"/>
        <w:right w:val="none" w:sz="0" w:space="0" w:color="auto"/>
      </w:divBdr>
    </w:div>
    <w:div w:id="1115951202">
      <w:bodyDiv w:val="1"/>
      <w:marLeft w:val="0"/>
      <w:marRight w:val="0"/>
      <w:marTop w:val="0"/>
      <w:marBottom w:val="0"/>
      <w:divBdr>
        <w:top w:val="none" w:sz="0" w:space="0" w:color="auto"/>
        <w:left w:val="none" w:sz="0" w:space="0" w:color="auto"/>
        <w:bottom w:val="none" w:sz="0" w:space="0" w:color="auto"/>
        <w:right w:val="none" w:sz="0" w:space="0" w:color="auto"/>
      </w:divBdr>
    </w:div>
    <w:div w:id="1115978469">
      <w:bodyDiv w:val="1"/>
      <w:marLeft w:val="0"/>
      <w:marRight w:val="0"/>
      <w:marTop w:val="0"/>
      <w:marBottom w:val="0"/>
      <w:divBdr>
        <w:top w:val="none" w:sz="0" w:space="0" w:color="auto"/>
        <w:left w:val="none" w:sz="0" w:space="0" w:color="auto"/>
        <w:bottom w:val="none" w:sz="0" w:space="0" w:color="auto"/>
        <w:right w:val="none" w:sz="0" w:space="0" w:color="auto"/>
      </w:divBdr>
    </w:div>
    <w:div w:id="1116145304">
      <w:bodyDiv w:val="1"/>
      <w:marLeft w:val="0"/>
      <w:marRight w:val="0"/>
      <w:marTop w:val="0"/>
      <w:marBottom w:val="0"/>
      <w:divBdr>
        <w:top w:val="none" w:sz="0" w:space="0" w:color="auto"/>
        <w:left w:val="none" w:sz="0" w:space="0" w:color="auto"/>
        <w:bottom w:val="none" w:sz="0" w:space="0" w:color="auto"/>
        <w:right w:val="none" w:sz="0" w:space="0" w:color="auto"/>
      </w:divBdr>
    </w:div>
    <w:div w:id="1116217696">
      <w:bodyDiv w:val="1"/>
      <w:marLeft w:val="0"/>
      <w:marRight w:val="0"/>
      <w:marTop w:val="0"/>
      <w:marBottom w:val="0"/>
      <w:divBdr>
        <w:top w:val="none" w:sz="0" w:space="0" w:color="auto"/>
        <w:left w:val="none" w:sz="0" w:space="0" w:color="auto"/>
        <w:bottom w:val="none" w:sz="0" w:space="0" w:color="auto"/>
        <w:right w:val="none" w:sz="0" w:space="0" w:color="auto"/>
      </w:divBdr>
    </w:div>
    <w:div w:id="1116291600">
      <w:bodyDiv w:val="1"/>
      <w:marLeft w:val="0"/>
      <w:marRight w:val="0"/>
      <w:marTop w:val="0"/>
      <w:marBottom w:val="0"/>
      <w:divBdr>
        <w:top w:val="none" w:sz="0" w:space="0" w:color="auto"/>
        <w:left w:val="none" w:sz="0" w:space="0" w:color="auto"/>
        <w:bottom w:val="none" w:sz="0" w:space="0" w:color="auto"/>
        <w:right w:val="none" w:sz="0" w:space="0" w:color="auto"/>
      </w:divBdr>
    </w:div>
    <w:div w:id="1116558549">
      <w:bodyDiv w:val="1"/>
      <w:marLeft w:val="0"/>
      <w:marRight w:val="0"/>
      <w:marTop w:val="0"/>
      <w:marBottom w:val="0"/>
      <w:divBdr>
        <w:top w:val="none" w:sz="0" w:space="0" w:color="auto"/>
        <w:left w:val="none" w:sz="0" w:space="0" w:color="auto"/>
        <w:bottom w:val="none" w:sz="0" w:space="0" w:color="auto"/>
        <w:right w:val="none" w:sz="0" w:space="0" w:color="auto"/>
      </w:divBdr>
    </w:div>
    <w:div w:id="1116603524">
      <w:bodyDiv w:val="1"/>
      <w:marLeft w:val="0"/>
      <w:marRight w:val="0"/>
      <w:marTop w:val="0"/>
      <w:marBottom w:val="0"/>
      <w:divBdr>
        <w:top w:val="none" w:sz="0" w:space="0" w:color="auto"/>
        <w:left w:val="none" w:sz="0" w:space="0" w:color="auto"/>
        <w:bottom w:val="none" w:sz="0" w:space="0" w:color="auto"/>
        <w:right w:val="none" w:sz="0" w:space="0" w:color="auto"/>
      </w:divBdr>
    </w:div>
    <w:div w:id="1116606029">
      <w:bodyDiv w:val="1"/>
      <w:marLeft w:val="0"/>
      <w:marRight w:val="0"/>
      <w:marTop w:val="0"/>
      <w:marBottom w:val="0"/>
      <w:divBdr>
        <w:top w:val="none" w:sz="0" w:space="0" w:color="auto"/>
        <w:left w:val="none" w:sz="0" w:space="0" w:color="auto"/>
        <w:bottom w:val="none" w:sz="0" w:space="0" w:color="auto"/>
        <w:right w:val="none" w:sz="0" w:space="0" w:color="auto"/>
      </w:divBdr>
    </w:div>
    <w:div w:id="1116753841">
      <w:bodyDiv w:val="1"/>
      <w:marLeft w:val="0"/>
      <w:marRight w:val="0"/>
      <w:marTop w:val="0"/>
      <w:marBottom w:val="0"/>
      <w:divBdr>
        <w:top w:val="none" w:sz="0" w:space="0" w:color="auto"/>
        <w:left w:val="none" w:sz="0" w:space="0" w:color="auto"/>
        <w:bottom w:val="none" w:sz="0" w:space="0" w:color="auto"/>
        <w:right w:val="none" w:sz="0" w:space="0" w:color="auto"/>
      </w:divBdr>
    </w:div>
    <w:div w:id="1116755376">
      <w:bodyDiv w:val="1"/>
      <w:marLeft w:val="0"/>
      <w:marRight w:val="0"/>
      <w:marTop w:val="0"/>
      <w:marBottom w:val="0"/>
      <w:divBdr>
        <w:top w:val="none" w:sz="0" w:space="0" w:color="auto"/>
        <w:left w:val="none" w:sz="0" w:space="0" w:color="auto"/>
        <w:bottom w:val="none" w:sz="0" w:space="0" w:color="auto"/>
        <w:right w:val="none" w:sz="0" w:space="0" w:color="auto"/>
      </w:divBdr>
    </w:div>
    <w:div w:id="1116825740">
      <w:bodyDiv w:val="1"/>
      <w:marLeft w:val="0"/>
      <w:marRight w:val="0"/>
      <w:marTop w:val="0"/>
      <w:marBottom w:val="0"/>
      <w:divBdr>
        <w:top w:val="none" w:sz="0" w:space="0" w:color="auto"/>
        <w:left w:val="none" w:sz="0" w:space="0" w:color="auto"/>
        <w:bottom w:val="none" w:sz="0" w:space="0" w:color="auto"/>
        <w:right w:val="none" w:sz="0" w:space="0" w:color="auto"/>
      </w:divBdr>
    </w:div>
    <w:div w:id="1117024878">
      <w:bodyDiv w:val="1"/>
      <w:marLeft w:val="0"/>
      <w:marRight w:val="0"/>
      <w:marTop w:val="0"/>
      <w:marBottom w:val="0"/>
      <w:divBdr>
        <w:top w:val="none" w:sz="0" w:space="0" w:color="auto"/>
        <w:left w:val="none" w:sz="0" w:space="0" w:color="auto"/>
        <w:bottom w:val="none" w:sz="0" w:space="0" w:color="auto"/>
        <w:right w:val="none" w:sz="0" w:space="0" w:color="auto"/>
      </w:divBdr>
    </w:div>
    <w:div w:id="1117212863">
      <w:bodyDiv w:val="1"/>
      <w:marLeft w:val="0"/>
      <w:marRight w:val="0"/>
      <w:marTop w:val="0"/>
      <w:marBottom w:val="0"/>
      <w:divBdr>
        <w:top w:val="none" w:sz="0" w:space="0" w:color="auto"/>
        <w:left w:val="none" w:sz="0" w:space="0" w:color="auto"/>
        <w:bottom w:val="none" w:sz="0" w:space="0" w:color="auto"/>
        <w:right w:val="none" w:sz="0" w:space="0" w:color="auto"/>
      </w:divBdr>
    </w:div>
    <w:div w:id="1117405122">
      <w:bodyDiv w:val="1"/>
      <w:marLeft w:val="0"/>
      <w:marRight w:val="0"/>
      <w:marTop w:val="0"/>
      <w:marBottom w:val="0"/>
      <w:divBdr>
        <w:top w:val="none" w:sz="0" w:space="0" w:color="auto"/>
        <w:left w:val="none" w:sz="0" w:space="0" w:color="auto"/>
        <w:bottom w:val="none" w:sz="0" w:space="0" w:color="auto"/>
        <w:right w:val="none" w:sz="0" w:space="0" w:color="auto"/>
      </w:divBdr>
    </w:div>
    <w:div w:id="1117406233">
      <w:bodyDiv w:val="1"/>
      <w:marLeft w:val="0"/>
      <w:marRight w:val="0"/>
      <w:marTop w:val="0"/>
      <w:marBottom w:val="0"/>
      <w:divBdr>
        <w:top w:val="none" w:sz="0" w:space="0" w:color="auto"/>
        <w:left w:val="none" w:sz="0" w:space="0" w:color="auto"/>
        <w:bottom w:val="none" w:sz="0" w:space="0" w:color="auto"/>
        <w:right w:val="none" w:sz="0" w:space="0" w:color="auto"/>
      </w:divBdr>
    </w:div>
    <w:div w:id="1117456493">
      <w:bodyDiv w:val="1"/>
      <w:marLeft w:val="0"/>
      <w:marRight w:val="0"/>
      <w:marTop w:val="0"/>
      <w:marBottom w:val="0"/>
      <w:divBdr>
        <w:top w:val="none" w:sz="0" w:space="0" w:color="auto"/>
        <w:left w:val="none" w:sz="0" w:space="0" w:color="auto"/>
        <w:bottom w:val="none" w:sz="0" w:space="0" w:color="auto"/>
        <w:right w:val="none" w:sz="0" w:space="0" w:color="auto"/>
      </w:divBdr>
    </w:div>
    <w:div w:id="1117483150">
      <w:bodyDiv w:val="1"/>
      <w:marLeft w:val="0"/>
      <w:marRight w:val="0"/>
      <w:marTop w:val="0"/>
      <w:marBottom w:val="0"/>
      <w:divBdr>
        <w:top w:val="none" w:sz="0" w:space="0" w:color="auto"/>
        <w:left w:val="none" w:sz="0" w:space="0" w:color="auto"/>
        <w:bottom w:val="none" w:sz="0" w:space="0" w:color="auto"/>
        <w:right w:val="none" w:sz="0" w:space="0" w:color="auto"/>
      </w:divBdr>
    </w:div>
    <w:div w:id="1117483599">
      <w:bodyDiv w:val="1"/>
      <w:marLeft w:val="0"/>
      <w:marRight w:val="0"/>
      <w:marTop w:val="0"/>
      <w:marBottom w:val="0"/>
      <w:divBdr>
        <w:top w:val="none" w:sz="0" w:space="0" w:color="auto"/>
        <w:left w:val="none" w:sz="0" w:space="0" w:color="auto"/>
        <w:bottom w:val="none" w:sz="0" w:space="0" w:color="auto"/>
        <w:right w:val="none" w:sz="0" w:space="0" w:color="auto"/>
      </w:divBdr>
    </w:div>
    <w:div w:id="1117524826">
      <w:bodyDiv w:val="1"/>
      <w:marLeft w:val="0"/>
      <w:marRight w:val="0"/>
      <w:marTop w:val="0"/>
      <w:marBottom w:val="0"/>
      <w:divBdr>
        <w:top w:val="none" w:sz="0" w:space="0" w:color="auto"/>
        <w:left w:val="none" w:sz="0" w:space="0" w:color="auto"/>
        <w:bottom w:val="none" w:sz="0" w:space="0" w:color="auto"/>
        <w:right w:val="none" w:sz="0" w:space="0" w:color="auto"/>
      </w:divBdr>
    </w:div>
    <w:div w:id="1117795632">
      <w:bodyDiv w:val="1"/>
      <w:marLeft w:val="0"/>
      <w:marRight w:val="0"/>
      <w:marTop w:val="0"/>
      <w:marBottom w:val="0"/>
      <w:divBdr>
        <w:top w:val="none" w:sz="0" w:space="0" w:color="auto"/>
        <w:left w:val="none" w:sz="0" w:space="0" w:color="auto"/>
        <w:bottom w:val="none" w:sz="0" w:space="0" w:color="auto"/>
        <w:right w:val="none" w:sz="0" w:space="0" w:color="auto"/>
      </w:divBdr>
    </w:div>
    <w:div w:id="1117914902">
      <w:bodyDiv w:val="1"/>
      <w:marLeft w:val="0"/>
      <w:marRight w:val="0"/>
      <w:marTop w:val="0"/>
      <w:marBottom w:val="0"/>
      <w:divBdr>
        <w:top w:val="none" w:sz="0" w:space="0" w:color="auto"/>
        <w:left w:val="none" w:sz="0" w:space="0" w:color="auto"/>
        <w:bottom w:val="none" w:sz="0" w:space="0" w:color="auto"/>
        <w:right w:val="none" w:sz="0" w:space="0" w:color="auto"/>
      </w:divBdr>
    </w:div>
    <w:div w:id="1117943572">
      <w:bodyDiv w:val="1"/>
      <w:marLeft w:val="0"/>
      <w:marRight w:val="0"/>
      <w:marTop w:val="0"/>
      <w:marBottom w:val="0"/>
      <w:divBdr>
        <w:top w:val="none" w:sz="0" w:space="0" w:color="auto"/>
        <w:left w:val="none" w:sz="0" w:space="0" w:color="auto"/>
        <w:bottom w:val="none" w:sz="0" w:space="0" w:color="auto"/>
        <w:right w:val="none" w:sz="0" w:space="0" w:color="auto"/>
      </w:divBdr>
    </w:div>
    <w:div w:id="1118061818">
      <w:bodyDiv w:val="1"/>
      <w:marLeft w:val="0"/>
      <w:marRight w:val="0"/>
      <w:marTop w:val="0"/>
      <w:marBottom w:val="0"/>
      <w:divBdr>
        <w:top w:val="none" w:sz="0" w:space="0" w:color="auto"/>
        <w:left w:val="none" w:sz="0" w:space="0" w:color="auto"/>
        <w:bottom w:val="none" w:sz="0" w:space="0" w:color="auto"/>
        <w:right w:val="none" w:sz="0" w:space="0" w:color="auto"/>
      </w:divBdr>
    </w:div>
    <w:div w:id="1118183992">
      <w:bodyDiv w:val="1"/>
      <w:marLeft w:val="0"/>
      <w:marRight w:val="0"/>
      <w:marTop w:val="0"/>
      <w:marBottom w:val="0"/>
      <w:divBdr>
        <w:top w:val="none" w:sz="0" w:space="0" w:color="auto"/>
        <w:left w:val="none" w:sz="0" w:space="0" w:color="auto"/>
        <w:bottom w:val="none" w:sz="0" w:space="0" w:color="auto"/>
        <w:right w:val="none" w:sz="0" w:space="0" w:color="auto"/>
      </w:divBdr>
    </w:div>
    <w:div w:id="1118328427">
      <w:bodyDiv w:val="1"/>
      <w:marLeft w:val="0"/>
      <w:marRight w:val="0"/>
      <w:marTop w:val="0"/>
      <w:marBottom w:val="0"/>
      <w:divBdr>
        <w:top w:val="none" w:sz="0" w:space="0" w:color="auto"/>
        <w:left w:val="none" w:sz="0" w:space="0" w:color="auto"/>
        <w:bottom w:val="none" w:sz="0" w:space="0" w:color="auto"/>
        <w:right w:val="none" w:sz="0" w:space="0" w:color="auto"/>
      </w:divBdr>
    </w:div>
    <w:div w:id="1118449386">
      <w:bodyDiv w:val="1"/>
      <w:marLeft w:val="0"/>
      <w:marRight w:val="0"/>
      <w:marTop w:val="0"/>
      <w:marBottom w:val="0"/>
      <w:divBdr>
        <w:top w:val="none" w:sz="0" w:space="0" w:color="auto"/>
        <w:left w:val="none" w:sz="0" w:space="0" w:color="auto"/>
        <w:bottom w:val="none" w:sz="0" w:space="0" w:color="auto"/>
        <w:right w:val="none" w:sz="0" w:space="0" w:color="auto"/>
      </w:divBdr>
    </w:div>
    <w:div w:id="1118450628">
      <w:bodyDiv w:val="1"/>
      <w:marLeft w:val="0"/>
      <w:marRight w:val="0"/>
      <w:marTop w:val="0"/>
      <w:marBottom w:val="0"/>
      <w:divBdr>
        <w:top w:val="none" w:sz="0" w:space="0" w:color="auto"/>
        <w:left w:val="none" w:sz="0" w:space="0" w:color="auto"/>
        <w:bottom w:val="none" w:sz="0" w:space="0" w:color="auto"/>
        <w:right w:val="none" w:sz="0" w:space="0" w:color="auto"/>
      </w:divBdr>
    </w:div>
    <w:div w:id="1118568706">
      <w:bodyDiv w:val="1"/>
      <w:marLeft w:val="0"/>
      <w:marRight w:val="0"/>
      <w:marTop w:val="0"/>
      <w:marBottom w:val="0"/>
      <w:divBdr>
        <w:top w:val="none" w:sz="0" w:space="0" w:color="auto"/>
        <w:left w:val="none" w:sz="0" w:space="0" w:color="auto"/>
        <w:bottom w:val="none" w:sz="0" w:space="0" w:color="auto"/>
        <w:right w:val="none" w:sz="0" w:space="0" w:color="auto"/>
      </w:divBdr>
    </w:div>
    <w:div w:id="1118599555">
      <w:bodyDiv w:val="1"/>
      <w:marLeft w:val="0"/>
      <w:marRight w:val="0"/>
      <w:marTop w:val="0"/>
      <w:marBottom w:val="0"/>
      <w:divBdr>
        <w:top w:val="none" w:sz="0" w:space="0" w:color="auto"/>
        <w:left w:val="none" w:sz="0" w:space="0" w:color="auto"/>
        <w:bottom w:val="none" w:sz="0" w:space="0" w:color="auto"/>
        <w:right w:val="none" w:sz="0" w:space="0" w:color="auto"/>
      </w:divBdr>
    </w:div>
    <w:div w:id="1118719462">
      <w:bodyDiv w:val="1"/>
      <w:marLeft w:val="0"/>
      <w:marRight w:val="0"/>
      <w:marTop w:val="0"/>
      <w:marBottom w:val="0"/>
      <w:divBdr>
        <w:top w:val="none" w:sz="0" w:space="0" w:color="auto"/>
        <w:left w:val="none" w:sz="0" w:space="0" w:color="auto"/>
        <w:bottom w:val="none" w:sz="0" w:space="0" w:color="auto"/>
        <w:right w:val="none" w:sz="0" w:space="0" w:color="auto"/>
      </w:divBdr>
    </w:div>
    <w:div w:id="1118721858">
      <w:bodyDiv w:val="1"/>
      <w:marLeft w:val="0"/>
      <w:marRight w:val="0"/>
      <w:marTop w:val="0"/>
      <w:marBottom w:val="0"/>
      <w:divBdr>
        <w:top w:val="none" w:sz="0" w:space="0" w:color="auto"/>
        <w:left w:val="none" w:sz="0" w:space="0" w:color="auto"/>
        <w:bottom w:val="none" w:sz="0" w:space="0" w:color="auto"/>
        <w:right w:val="none" w:sz="0" w:space="0" w:color="auto"/>
      </w:divBdr>
    </w:div>
    <w:div w:id="1118765921">
      <w:bodyDiv w:val="1"/>
      <w:marLeft w:val="0"/>
      <w:marRight w:val="0"/>
      <w:marTop w:val="0"/>
      <w:marBottom w:val="0"/>
      <w:divBdr>
        <w:top w:val="none" w:sz="0" w:space="0" w:color="auto"/>
        <w:left w:val="none" w:sz="0" w:space="0" w:color="auto"/>
        <w:bottom w:val="none" w:sz="0" w:space="0" w:color="auto"/>
        <w:right w:val="none" w:sz="0" w:space="0" w:color="auto"/>
      </w:divBdr>
    </w:div>
    <w:div w:id="1118766292">
      <w:bodyDiv w:val="1"/>
      <w:marLeft w:val="0"/>
      <w:marRight w:val="0"/>
      <w:marTop w:val="0"/>
      <w:marBottom w:val="0"/>
      <w:divBdr>
        <w:top w:val="none" w:sz="0" w:space="0" w:color="auto"/>
        <w:left w:val="none" w:sz="0" w:space="0" w:color="auto"/>
        <w:bottom w:val="none" w:sz="0" w:space="0" w:color="auto"/>
        <w:right w:val="none" w:sz="0" w:space="0" w:color="auto"/>
      </w:divBdr>
    </w:div>
    <w:div w:id="1118990123">
      <w:bodyDiv w:val="1"/>
      <w:marLeft w:val="0"/>
      <w:marRight w:val="0"/>
      <w:marTop w:val="0"/>
      <w:marBottom w:val="0"/>
      <w:divBdr>
        <w:top w:val="none" w:sz="0" w:space="0" w:color="auto"/>
        <w:left w:val="none" w:sz="0" w:space="0" w:color="auto"/>
        <w:bottom w:val="none" w:sz="0" w:space="0" w:color="auto"/>
        <w:right w:val="none" w:sz="0" w:space="0" w:color="auto"/>
      </w:divBdr>
    </w:div>
    <w:div w:id="1119177388">
      <w:bodyDiv w:val="1"/>
      <w:marLeft w:val="0"/>
      <w:marRight w:val="0"/>
      <w:marTop w:val="0"/>
      <w:marBottom w:val="0"/>
      <w:divBdr>
        <w:top w:val="none" w:sz="0" w:space="0" w:color="auto"/>
        <w:left w:val="none" w:sz="0" w:space="0" w:color="auto"/>
        <w:bottom w:val="none" w:sz="0" w:space="0" w:color="auto"/>
        <w:right w:val="none" w:sz="0" w:space="0" w:color="auto"/>
      </w:divBdr>
    </w:div>
    <w:div w:id="1119225086">
      <w:bodyDiv w:val="1"/>
      <w:marLeft w:val="0"/>
      <w:marRight w:val="0"/>
      <w:marTop w:val="0"/>
      <w:marBottom w:val="0"/>
      <w:divBdr>
        <w:top w:val="none" w:sz="0" w:space="0" w:color="auto"/>
        <w:left w:val="none" w:sz="0" w:space="0" w:color="auto"/>
        <w:bottom w:val="none" w:sz="0" w:space="0" w:color="auto"/>
        <w:right w:val="none" w:sz="0" w:space="0" w:color="auto"/>
      </w:divBdr>
    </w:div>
    <w:div w:id="1119297490">
      <w:bodyDiv w:val="1"/>
      <w:marLeft w:val="0"/>
      <w:marRight w:val="0"/>
      <w:marTop w:val="0"/>
      <w:marBottom w:val="0"/>
      <w:divBdr>
        <w:top w:val="none" w:sz="0" w:space="0" w:color="auto"/>
        <w:left w:val="none" w:sz="0" w:space="0" w:color="auto"/>
        <w:bottom w:val="none" w:sz="0" w:space="0" w:color="auto"/>
        <w:right w:val="none" w:sz="0" w:space="0" w:color="auto"/>
      </w:divBdr>
    </w:div>
    <w:div w:id="1119445937">
      <w:bodyDiv w:val="1"/>
      <w:marLeft w:val="0"/>
      <w:marRight w:val="0"/>
      <w:marTop w:val="0"/>
      <w:marBottom w:val="0"/>
      <w:divBdr>
        <w:top w:val="none" w:sz="0" w:space="0" w:color="auto"/>
        <w:left w:val="none" w:sz="0" w:space="0" w:color="auto"/>
        <w:bottom w:val="none" w:sz="0" w:space="0" w:color="auto"/>
        <w:right w:val="none" w:sz="0" w:space="0" w:color="auto"/>
      </w:divBdr>
    </w:div>
    <w:div w:id="1119687414">
      <w:bodyDiv w:val="1"/>
      <w:marLeft w:val="0"/>
      <w:marRight w:val="0"/>
      <w:marTop w:val="0"/>
      <w:marBottom w:val="0"/>
      <w:divBdr>
        <w:top w:val="none" w:sz="0" w:space="0" w:color="auto"/>
        <w:left w:val="none" w:sz="0" w:space="0" w:color="auto"/>
        <w:bottom w:val="none" w:sz="0" w:space="0" w:color="auto"/>
        <w:right w:val="none" w:sz="0" w:space="0" w:color="auto"/>
      </w:divBdr>
    </w:div>
    <w:div w:id="1119841118">
      <w:bodyDiv w:val="1"/>
      <w:marLeft w:val="0"/>
      <w:marRight w:val="0"/>
      <w:marTop w:val="0"/>
      <w:marBottom w:val="0"/>
      <w:divBdr>
        <w:top w:val="none" w:sz="0" w:space="0" w:color="auto"/>
        <w:left w:val="none" w:sz="0" w:space="0" w:color="auto"/>
        <w:bottom w:val="none" w:sz="0" w:space="0" w:color="auto"/>
        <w:right w:val="none" w:sz="0" w:space="0" w:color="auto"/>
      </w:divBdr>
    </w:div>
    <w:div w:id="1119883475">
      <w:bodyDiv w:val="1"/>
      <w:marLeft w:val="0"/>
      <w:marRight w:val="0"/>
      <w:marTop w:val="0"/>
      <w:marBottom w:val="0"/>
      <w:divBdr>
        <w:top w:val="none" w:sz="0" w:space="0" w:color="auto"/>
        <w:left w:val="none" w:sz="0" w:space="0" w:color="auto"/>
        <w:bottom w:val="none" w:sz="0" w:space="0" w:color="auto"/>
        <w:right w:val="none" w:sz="0" w:space="0" w:color="auto"/>
      </w:divBdr>
    </w:div>
    <w:div w:id="1119954701">
      <w:bodyDiv w:val="1"/>
      <w:marLeft w:val="0"/>
      <w:marRight w:val="0"/>
      <w:marTop w:val="0"/>
      <w:marBottom w:val="0"/>
      <w:divBdr>
        <w:top w:val="none" w:sz="0" w:space="0" w:color="auto"/>
        <w:left w:val="none" w:sz="0" w:space="0" w:color="auto"/>
        <w:bottom w:val="none" w:sz="0" w:space="0" w:color="auto"/>
        <w:right w:val="none" w:sz="0" w:space="0" w:color="auto"/>
      </w:divBdr>
    </w:div>
    <w:div w:id="1120027639">
      <w:bodyDiv w:val="1"/>
      <w:marLeft w:val="0"/>
      <w:marRight w:val="0"/>
      <w:marTop w:val="0"/>
      <w:marBottom w:val="0"/>
      <w:divBdr>
        <w:top w:val="none" w:sz="0" w:space="0" w:color="auto"/>
        <w:left w:val="none" w:sz="0" w:space="0" w:color="auto"/>
        <w:bottom w:val="none" w:sz="0" w:space="0" w:color="auto"/>
        <w:right w:val="none" w:sz="0" w:space="0" w:color="auto"/>
      </w:divBdr>
    </w:div>
    <w:div w:id="1120076989">
      <w:bodyDiv w:val="1"/>
      <w:marLeft w:val="0"/>
      <w:marRight w:val="0"/>
      <w:marTop w:val="0"/>
      <w:marBottom w:val="0"/>
      <w:divBdr>
        <w:top w:val="none" w:sz="0" w:space="0" w:color="auto"/>
        <w:left w:val="none" w:sz="0" w:space="0" w:color="auto"/>
        <w:bottom w:val="none" w:sz="0" w:space="0" w:color="auto"/>
        <w:right w:val="none" w:sz="0" w:space="0" w:color="auto"/>
      </w:divBdr>
    </w:div>
    <w:div w:id="1120224315">
      <w:bodyDiv w:val="1"/>
      <w:marLeft w:val="0"/>
      <w:marRight w:val="0"/>
      <w:marTop w:val="0"/>
      <w:marBottom w:val="0"/>
      <w:divBdr>
        <w:top w:val="none" w:sz="0" w:space="0" w:color="auto"/>
        <w:left w:val="none" w:sz="0" w:space="0" w:color="auto"/>
        <w:bottom w:val="none" w:sz="0" w:space="0" w:color="auto"/>
        <w:right w:val="none" w:sz="0" w:space="0" w:color="auto"/>
      </w:divBdr>
    </w:div>
    <w:div w:id="1120228259">
      <w:bodyDiv w:val="1"/>
      <w:marLeft w:val="0"/>
      <w:marRight w:val="0"/>
      <w:marTop w:val="0"/>
      <w:marBottom w:val="0"/>
      <w:divBdr>
        <w:top w:val="none" w:sz="0" w:space="0" w:color="auto"/>
        <w:left w:val="none" w:sz="0" w:space="0" w:color="auto"/>
        <w:bottom w:val="none" w:sz="0" w:space="0" w:color="auto"/>
        <w:right w:val="none" w:sz="0" w:space="0" w:color="auto"/>
      </w:divBdr>
    </w:div>
    <w:div w:id="1120296831">
      <w:bodyDiv w:val="1"/>
      <w:marLeft w:val="0"/>
      <w:marRight w:val="0"/>
      <w:marTop w:val="0"/>
      <w:marBottom w:val="0"/>
      <w:divBdr>
        <w:top w:val="none" w:sz="0" w:space="0" w:color="auto"/>
        <w:left w:val="none" w:sz="0" w:space="0" w:color="auto"/>
        <w:bottom w:val="none" w:sz="0" w:space="0" w:color="auto"/>
        <w:right w:val="none" w:sz="0" w:space="0" w:color="auto"/>
      </w:divBdr>
    </w:div>
    <w:div w:id="1120302981">
      <w:bodyDiv w:val="1"/>
      <w:marLeft w:val="0"/>
      <w:marRight w:val="0"/>
      <w:marTop w:val="0"/>
      <w:marBottom w:val="0"/>
      <w:divBdr>
        <w:top w:val="none" w:sz="0" w:space="0" w:color="auto"/>
        <w:left w:val="none" w:sz="0" w:space="0" w:color="auto"/>
        <w:bottom w:val="none" w:sz="0" w:space="0" w:color="auto"/>
        <w:right w:val="none" w:sz="0" w:space="0" w:color="auto"/>
      </w:divBdr>
    </w:div>
    <w:div w:id="1120539088">
      <w:bodyDiv w:val="1"/>
      <w:marLeft w:val="0"/>
      <w:marRight w:val="0"/>
      <w:marTop w:val="0"/>
      <w:marBottom w:val="0"/>
      <w:divBdr>
        <w:top w:val="none" w:sz="0" w:space="0" w:color="auto"/>
        <w:left w:val="none" w:sz="0" w:space="0" w:color="auto"/>
        <w:bottom w:val="none" w:sz="0" w:space="0" w:color="auto"/>
        <w:right w:val="none" w:sz="0" w:space="0" w:color="auto"/>
      </w:divBdr>
    </w:div>
    <w:div w:id="1120689974">
      <w:bodyDiv w:val="1"/>
      <w:marLeft w:val="0"/>
      <w:marRight w:val="0"/>
      <w:marTop w:val="0"/>
      <w:marBottom w:val="0"/>
      <w:divBdr>
        <w:top w:val="none" w:sz="0" w:space="0" w:color="auto"/>
        <w:left w:val="none" w:sz="0" w:space="0" w:color="auto"/>
        <w:bottom w:val="none" w:sz="0" w:space="0" w:color="auto"/>
        <w:right w:val="none" w:sz="0" w:space="0" w:color="auto"/>
      </w:divBdr>
    </w:div>
    <w:div w:id="1120759543">
      <w:bodyDiv w:val="1"/>
      <w:marLeft w:val="0"/>
      <w:marRight w:val="0"/>
      <w:marTop w:val="0"/>
      <w:marBottom w:val="0"/>
      <w:divBdr>
        <w:top w:val="none" w:sz="0" w:space="0" w:color="auto"/>
        <w:left w:val="none" w:sz="0" w:space="0" w:color="auto"/>
        <w:bottom w:val="none" w:sz="0" w:space="0" w:color="auto"/>
        <w:right w:val="none" w:sz="0" w:space="0" w:color="auto"/>
      </w:divBdr>
    </w:div>
    <w:div w:id="1120806580">
      <w:bodyDiv w:val="1"/>
      <w:marLeft w:val="0"/>
      <w:marRight w:val="0"/>
      <w:marTop w:val="0"/>
      <w:marBottom w:val="0"/>
      <w:divBdr>
        <w:top w:val="none" w:sz="0" w:space="0" w:color="auto"/>
        <w:left w:val="none" w:sz="0" w:space="0" w:color="auto"/>
        <w:bottom w:val="none" w:sz="0" w:space="0" w:color="auto"/>
        <w:right w:val="none" w:sz="0" w:space="0" w:color="auto"/>
      </w:divBdr>
    </w:div>
    <w:div w:id="1120879795">
      <w:bodyDiv w:val="1"/>
      <w:marLeft w:val="0"/>
      <w:marRight w:val="0"/>
      <w:marTop w:val="0"/>
      <w:marBottom w:val="0"/>
      <w:divBdr>
        <w:top w:val="none" w:sz="0" w:space="0" w:color="auto"/>
        <w:left w:val="none" w:sz="0" w:space="0" w:color="auto"/>
        <w:bottom w:val="none" w:sz="0" w:space="0" w:color="auto"/>
        <w:right w:val="none" w:sz="0" w:space="0" w:color="auto"/>
      </w:divBdr>
    </w:div>
    <w:div w:id="1120951494">
      <w:bodyDiv w:val="1"/>
      <w:marLeft w:val="0"/>
      <w:marRight w:val="0"/>
      <w:marTop w:val="0"/>
      <w:marBottom w:val="0"/>
      <w:divBdr>
        <w:top w:val="none" w:sz="0" w:space="0" w:color="auto"/>
        <w:left w:val="none" w:sz="0" w:space="0" w:color="auto"/>
        <w:bottom w:val="none" w:sz="0" w:space="0" w:color="auto"/>
        <w:right w:val="none" w:sz="0" w:space="0" w:color="auto"/>
      </w:divBdr>
    </w:div>
    <w:div w:id="1120951754">
      <w:bodyDiv w:val="1"/>
      <w:marLeft w:val="0"/>
      <w:marRight w:val="0"/>
      <w:marTop w:val="0"/>
      <w:marBottom w:val="0"/>
      <w:divBdr>
        <w:top w:val="none" w:sz="0" w:space="0" w:color="auto"/>
        <w:left w:val="none" w:sz="0" w:space="0" w:color="auto"/>
        <w:bottom w:val="none" w:sz="0" w:space="0" w:color="auto"/>
        <w:right w:val="none" w:sz="0" w:space="0" w:color="auto"/>
      </w:divBdr>
    </w:div>
    <w:div w:id="1120957899">
      <w:bodyDiv w:val="1"/>
      <w:marLeft w:val="0"/>
      <w:marRight w:val="0"/>
      <w:marTop w:val="0"/>
      <w:marBottom w:val="0"/>
      <w:divBdr>
        <w:top w:val="none" w:sz="0" w:space="0" w:color="auto"/>
        <w:left w:val="none" w:sz="0" w:space="0" w:color="auto"/>
        <w:bottom w:val="none" w:sz="0" w:space="0" w:color="auto"/>
        <w:right w:val="none" w:sz="0" w:space="0" w:color="auto"/>
      </w:divBdr>
    </w:div>
    <w:div w:id="1120998011">
      <w:bodyDiv w:val="1"/>
      <w:marLeft w:val="0"/>
      <w:marRight w:val="0"/>
      <w:marTop w:val="0"/>
      <w:marBottom w:val="0"/>
      <w:divBdr>
        <w:top w:val="none" w:sz="0" w:space="0" w:color="auto"/>
        <w:left w:val="none" w:sz="0" w:space="0" w:color="auto"/>
        <w:bottom w:val="none" w:sz="0" w:space="0" w:color="auto"/>
        <w:right w:val="none" w:sz="0" w:space="0" w:color="auto"/>
      </w:divBdr>
    </w:div>
    <w:div w:id="1121000770">
      <w:bodyDiv w:val="1"/>
      <w:marLeft w:val="0"/>
      <w:marRight w:val="0"/>
      <w:marTop w:val="0"/>
      <w:marBottom w:val="0"/>
      <w:divBdr>
        <w:top w:val="none" w:sz="0" w:space="0" w:color="auto"/>
        <w:left w:val="none" w:sz="0" w:space="0" w:color="auto"/>
        <w:bottom w:val="none" w:sz="0" w:space="0" w:color="auto"/>
        <w:right w:val="none" w:sz="0" w:space="0" w:color="auto"/>
      </w:divBdr>
    </w:div>
    <w:div w:id="1121025369">
      <w:bodyDiv w:val="1"/>
      <w:marLeft w:val="0"/>
      <w:marRight w:val="0"/>
      <w:marTop w:val="0"/>
      <w:marBottom w:val="0"/>
      <w:divBdr>
        <w:top w:val="none" w:sz="0" w:space="0" w:color="auto"/>
        <w:left w:val="none" w:sz="0" w:space="0" w:color="auto"/>
        <w:bottom w:val="none" w:sz="0" w:space="0" w:color="auto"/>
        <w:right w:val="none" w:sz="0" w:space="0" w:color="auto"/>
      </w:divBdr>
    </w:div>
    <w:div w:id="1121072588">
      <w:bodyDiv w:val="1"/>
      <w:marLeft w:val="0"/>
      <w:marRight w:val="0"/>
      <w:marTop w:val="0"/>
      <w:marBottom w:val="0"/>
      <w:divBdr>
        <w:top w:val="none" w:sz="0" w:space="0" w:color="auto"/>
        <w:left w:val="none" w:sz="0" w:space="0" w:color="auto"/>
        <w:bottom w:val="none" w:sz="0" w:space="0" w:color="auto"/>
        <w:right w:val="none" w:sz="0" w:space="0" w:color="auto"/>
      </w:divBdr>
    </w:div>
    <w:div w:id="1121147220">
      <w:bodyDiv w:val="1"/>
      <w:marLeft w:val="0"/>
      <w:marRight w:val="0"/>
      <w:marTop w:val="0"/>
      <w:marBottom w:val="0"/>
      <w:divBdr>
        <w:top w:val="none" w:sz="0" w:space="0" w:color="auto"/>
        <w:left w:val="none" w:sz="0" w:space="0" w:color="auto"/>
        <w:bottom w:val="none" w:sz="0" w:space="0" w:color="auto"/>
        <w:right w:val="none" w:sz="0" w:space="0" w:color="auto"/>
      </w:divBdr>
    </w:div>
    <w:div w:id="1121148949">
      <w:bodyDiv w:val="1"/>
      <w:marLeft w:val="0"/>
      <w:marRight w:val="0"/>
      <w:marTop w:val="0"/>
      <w:marBottom w:val="0"/>
      <w:divBdr>
        <w:top w:val="none" w:sz="0" w:space="0" w:color="auto"/>
        <w:left w:val="none" w:sz="0" w:space="0" w:color="auto"/>
        <w:bottom w:val="none" w:sz="0" w:space="0" w:color="auto"/>
        <w:right w:val="none" w:sz="0" w:space="0" w:color="auto"/>
      </w:divBdr>
    </w:div>
    <w:div w:id="1121267322">
      <w:bodyDiv w:val="1"/>
      <w:marLeft w:val="0"/>
      <w:marRight w:val="0"/>
      <w:marTop w:val="0"/>
      <w:marBottom w:val="0"/>
      <w:divBdr>
        <w:top w:val="none" w:sz="0" w:space="0" w:color="auto"/>
        <w:left w:val="none" w:sz="0" w:space="0" w:color="auto"/>
        <w:bottom w:val="none" w:sz="0" w:space="0" w:color="auto"/>
        <w:right w:val="none" w:sz="0" w:space="0" w:color="auto"/>
      </w:divBdr>
    </w:div>
    <w:div w:id="1121340399">
      <w:bodyDiv w:val="1"/>
      <w:marLeft w:val="0"/>
      <w:marRight w:val="0"/>
      <w:marTop w:val="0"/>
      <w:marBottom w:val="0"/>
      <w:divBdr>
        <w:top w:val="none" w:sz="0" w:space="0" w:color="auto"/>
        <w:left w:val="none" w:sz="0" w:space="0" w:color="auto"/>
        <w:bottom w:val="none" w:sz="0" w:space="0" w:color="auto"/>
        <w:right w:val="none" w:sz="0" w:space="0" w:color="auto"/>
      </w:divBdr>
    </w:div>
    <w:div w:id="1121606104">
      <w:bodyDiv w:val="1"/>
      <w:marLeft w:val="0"/>
      <w:marRight w:val="0"/>
      <w:marTop w:val="0"/>
      <w:marBottom w:val="0"/>
      <w:divBdr>
        <w:top w:val="none" w:sz="0" w:space="0" w:color="auto"/>
        <w:left w:val="none" w:sz="0" w:space="0" w:color="auto"/>
        <w:bottom w:val="none" w:sz="0" w:space="0" w:color="auto"/>
        <w:right w:val="none" w:sz="0" w:space="0" w:color="auto"/>
      </w:divBdr>
    </w:div>
    <w:div w:id="1121648664">
      <w:bodyDiv w:val="1"/>
      <w:marLeft w:val="0"/>
      <w:marRight w:val="0"/>
      <w:marTop w:val="0"/>
      <w:marBottom w:val="0"/>
      <w:divBdr>
        <w:top w:val="none" w:sz="0" w:space="0" w:color="auto"/>
        <w:left w:val="none" w:sz="0" w:space="0" w:color="auto"/>
        <w:bottom w:val="none" w:sz="0" w:space="0" w:color="auto"/>
        <w:right w:val="none" w:sz="0" w:space="0" w:color="auto"/>
      </w:divBdr>
    </w:div>
    <w:div w:id="1121655853">
      <w:bodyDiv w:val="1"/>
      <w:marLeft w:val="0"/>
      <w:marRight w:val="0"/>
      <w:marTop w:val="0"/>
      <w:marBottom w:val="0"/>
      <w:divBdr>
        <w:top w:val="none" w:sz="0" w:space="0" w:color="auto"/>
        <w:left w:val="none" w:sz="0" w:space="0" w:color="auto"/>
        <w:bottom w:val="none" w:sz="0" w:space="0" w:color="auto"/>
        <w:right w:val="none" w:sz="0" w:space="0" w:color="auto"/>
      </w:divBdr>
    </w:div>
    <w:div w:id="1121725988">
      <w:bodyDiv w:val="1"/>
      <w:marLeft w:val="0"/>
      <w:marRight w:val="0"/>
      <w:marTop w:val="0"/>
      <w:marBottom w:val="0"/>
      <w:divBdr>
        <w:top w:val="none" w:sz="0" w:space="0" w:color="auto"/>
        <w:left w:val="none" w:sz="0" w:space="0" w:color="auto"/>
        <w:bottom w:val="none" w:sz="0" w:space="0" w:color="auto"/>
        <w:right w:val="none" w:sz="0" w:space="0" w:color="auto"/>
      </w:divBdr>
    </w:div>
    <w:div w:id="1121802902">
      <w:bodyDiv w:val="1"/>
      <w:marLeft w:val="0"/>
      <w:marRight w:val="0"/>
      <w:marTop w:val="0"/>
      <w:marBottom w:val="0"/>
      <w:divBdr>
        <w:top w:val="none" w:sz="0" w:space="0" w:color="auto"/>
        <w:left w:val="none" w:sz="0" w:space="0" w:color="auto"/>
        <w:bottom w:val="none" w:sz="0" w:space="0" w:color="auto"/>
        <w:right w:val="none" w:sz="0" w:space="0" w:color="auto"/>
      </w:divBdr>
    </w:div>
    <w:div w:id="1121848336">
      <w:bodyDiv w:val="1"/>
      <w:marLeft w:val="0"/>
      <w:marRight w:val="0"/>
      <w:marTop w:val="0"/>
      <w:marBottom w:val="0"/>
      <w:divBdr>
        <w:top w:val="none" w:sz="0" w:space="0" w:color="auto"/>
        <w:left w:val="none" w:sz="0" w:space="0" w:color="auto"/>
        <w:bottom w:val="none" w:sz="0" w:space="0" w:color="auto"/>
        <w:right w:val="none" w:sz="0" w:space="0" w:color="auto"/>
      </w:divBdr>
    </w:div>
    <w:div w:id="1121924035">
      <w:bodyDiv w:val="1"/>
      <w:marLeft w:val="0"/>
      <w:marRight w:val="0"/>
      <w:marTop w:val="0"/>
      <w:marBottom w:val="0"/>
      <w:divBdr>
        <w:top w:val="none" w:sz="0" w:space="0" w:color="auto"/>
        <w:left w:val="none" w:sz="0" w:space="0" w:color="auto"/>
        <w:bottom w:val="none" w:sz="0" w:space="0" w:color="auto"/>
        <w:right w:val="none" w:sz="0" w:space="0" w:color="auto"/>
      </w:divBdr>
    </w:div>
    <w:div w:id="1121925745">
      <w:bodyDiv w:val="1"/>
      <w:marLeft w:val="0"/>
      <w:marRight w:val="0"/>
      <w:marTop w:val="0"/>
      <w:marBottom w:val="0"/>
      <w:divBdr>
        <w:top w:val="none" w:sz="0" w:space="0" w:color="auto"/>
        <w:left w:val="none" w:sz="0" w:space="0" w:color="auto"/>
        <w:bottom w:val="none" w:sz="0" w:space="0" w:color="auto"/>
        <w:right w:val="none" w:sz="0" w:space="0" w:color="auto"/>
      </w:divBdr>
    </w:div>
    <w:div w:id="1122109337">
      <w:bodyDiv w:val="1"/>
      <w:marLeft w:val="0"/>
      <w:marRight w:val="0"/>
      <w:marTop w:val="0"/>
      <w:marBottom w:val="0"/>
      <w:divBdr>
        <w:top w:val="none" w:sz="0" w:space="0" w:color="auto"/>
        <w:left w:val="none" w:sz="0" w:space="0" w:color="auto"/>
        <w:bottom w:val="none" w:sz="0" w:space="0" w:color="auto"/>
        <w:right w:val="none" w:sz="0" w:space="0" w:color="auto"/>
      </w:divBdr>
    </w:div>
    <w:div w:id="1122111337">
      <w:bodyDiv w:val="1"/>
      <w:marLeft w:val="0"/>
      <w:marRight w:val="0"/>
      <w:marTop w:val="0"/>
      <w:marBottom w:val="0"/>
      <w:divBdr>
        <w:top w:val="none" w:sz="0" w:space="0" w:color="auto"/>
        <w:left w:val="none" w:sz="0" w:space="0" w:color="auto"/>
        <w:bottom w:val="none" w:sz="0" w:space="0" w:color="auto"/>
        <w:right w:val="none" w:sz="0" w:space="0" w:color="auto"/>
      </w:divBdr>
    </w:div>
    <w:div w:id="1122185782">
      <w:bodyDiv w:val="1"/>
      <w:marLeft w:val="0"/>
      <w:marRight w:val="0"/>
      <w:marTop w:val="0"/>
      <w:marBottom w:val="0"/>
      <w:divBdr>
        <w:top w:val="none" w:sz="0" w:space="0" w:color="auto"/>
        <w:left w:val="none" w:sz="0" w:space="0" w:color="auto"/>
        <w:bottom w:val="none" w:sz="0" w:space="0" w:color="auto"/>
        <w:right w:val="none" w:sz="0" w:space="0" w:color="auto"/>
      </w:divBdr>
    </w:div>
    <w:div w:id="1122306216">
      <w:bodyDiv w:val="1"/>
      <w:marLeft w:val="0"/>
      <w:marRight w:val="0"/>
      <w:marTop w:val="0"/>
      <w:marBottom w:val="0"/>
      <w:divBdr>
        <w:top w:val="none" w:sz="0" w:space="0" w:color="auto"/>
        <w:left w:val="none" w:sz="0" w:space="0" w:color="auto"/>
        <w:bottom w:val="none" w:sz="0" w:space="0" w:color="auto"/>
        <w:right w:val="none" w:sz="0" w:space="0" w:color="auto"/>
      </w:divBdr>
    </w:div>
    <w:div w:id="1122306375">
      <w:bodyDiv w:val="1"/>
      <w:marLeft w:val="0"/>
      <w:marRight w:val="0"/>
      <w:marTop w:val="0"/>
      <w:marBottom w:val="0"/>
      <w:divBdr>
        <w:top w:val="none" w:sz="0" w:space="0" w:color="auto"/>
        <w:left w:val="none" w:sz="0" w:space="0" w:color="auto"/>
        <w:bottom w:val="none" w:sz="0" w:space="0" w:color="auto"/>
        <w:right w:val="none" w:sz="0" w:space="0" w:color="auto"/>
      </w:divBdr>
    </w:div>
    <w:div w:id="1122312012">
      <w:bodyDiv w:val="1"/>
      <w:marLeft w:val="0"/>
      <w:marRight w:val="0"/>
      <w:marTop w:val="0"/>
      <w:marBottom w:val="0"/>
      <w:divBdr>
        <w:top w:val="none" w:sz="0" w:space="0" w:color="auto"/>
        <w:left w:val="none" w:sz="0" w:space="0" w:color="auto"/>
        <w:bottom w:val="none" w:sz="0" w:space="0" w:color="auto"/>
        <w:right w:val="none" w:sz="0" w:space="0" w:color="auto"/>
      </w:divBdr>
    </w:div>
    <w:div w:id="1122382565">
      <w:bodyDiv w:val="1"/>
      <w:marLeft w:val="0"/>
      <w:marRight w:val="0"/>
      <w:marTop w:val="0"/>
      <w:marBottom w:val="0"/>
      <w:divBdr>
        <w:top w:val="none" w:sz="0" w:space="0" w:color="auto"/>
        <w:left w:val="none" w:sz="0" w:space="0" w:color="auto"/>
        <w:bottom w:val="none" w:sz="0" w:space="0" w:color="auto"/>
        <w:right w:val="none" w:sz="0" w:space="0" w:color="auto"/>
      </w:divBdr>
    </w:div>
    <w:div w:id="1122455989">
      <w:bodyDiv w:val="1"/>
      <w:marLeft w:val="0"/>
      <w:marRight w:val="0"/>
      <w:marTop w:val="0"/>
      <w:marBottom w:val="0"/>
      <w:divBdr>
        <w:top w:val="none" w:sz="0" w:space="0" w:color="auto"/>
        <w:left w:val="none" w:sz="0" w:space="0" w:color="auto"/>
        <w:bottom w:val="none" w:sz="0" w:space="0" w:color="auto"/>
        <w:right w:val="none" w:sz="0" w:space="0" w:color="auto"/>
      </w:divBdr>
    </w:div>
    <w:div w:id="1122727440">
      <w:bodyDiv w:val="1"/>
      <w:marLeft w:val="0"/>
      <w:marRight w:val="0"/>
      <w:marTop w:val="0"/>
      <w:marBottom w:val="0"/>
      <w:divBdr>
        <w:top w:val="none" w:sz="0" w:space="0" w:color="auto"/>
        <w:left w:val="none" w:sz="0" w:space="0" w:color="auto"/>
        <w:bottom w:val="none" w:sz="0" w:space="0" w:color="auto"/>
        <w:right w:val="none" w:sz="0" w:space="0" w:color="auto"/>
      </w:divBdr>
    </w:div>
    <w:div w:id="1122841011">
      <w:bodyDiv w:val="1"/>
      <w:marLeft w:val="0"/>
      <w:marRight w:val="0"/>
      <w:marTop w:val="0"/>
      <w:marBottom w:val="0"/>
      <w:divBdr>
        <w:top w:val="none" w:sz="0" w:space="0" w:color="auto"/>
        <w:left w:val="none" w:sz="0" w:space="0" w:color="auto"/>
        <w:bottom w:val="none" w:sz="0" w:space="0" w:color="auto"/>
        <w:right w:val="none" w:sz="0" w:space="0" w:color="auto"/>
      </w:divBdr>
    </w:div>
    <w:div w:id="1122920959">
      <w:bodyDiv w:val="1"/>
      <w:marLeft w:val="0"/>
      <w:marRight w:val="0"/>
      <w:marTop w:val="0"/>
      <w:marBottom w:val="0"/>
      <w:divBdr>
        <w:top w:val="none" w:sz="0" w:space="0" w:color="auto"/>
        <w:left w:val="none" w:sz="0" w:space="0" w:color="auto"/>
        <w:bottom w:val="none" w:sz="0" w:space="0" w:color="auto"/>
        <w:right w:val="none" w:sz="0" w:space="0" w:color="auto"/>
      </w:divBdr>
    </w:div>
    <w:div w:id="1122964457">
      <w:bodyDiv w:val="1"/>
      <w:marLeft w:val="0"/>
      <w:marRight w:val="0"/>
      <w:marTop w:val="0"/>
      <w:marBottom w:val="0"/>
      <w:divBdr>
        <w:top w:val="none" w:sz="0" w:space="0" w:color="auto"/>
        <w:left w:val="none" w:sz="0" w:space="0" w:color="auto"/>
        <w:bottom w:val="none" w:sz="0" w:space="0" w:color="auto"/>
        <w:right w:val="none" w:sz="0" w:space="0" w:color="auto"/>
      </w:divBdr>
    </w:div>
    <w:div w:id="1122966775">
      <w:bodyDiv w:val="1"/>
      <w:marLeft w:val="0"/>
      <w:marRight w:val="0"/>
      <w:marTop w:val="0"/>
      <w:marBottom w:val="0"/>
      <w:divBdr>
        <w:top w:val="none" w:sz="0" w:space="0" w:color="auto"/>
        <w:left w:val="none" w:sz="0" w:space="0" w:color="auto"/>
        <w:bottom w:val="none" w:sz="0" w:space="0" w:color="auto"/>
        <w:right w:val="none" w:sz="0" w:space="0" w:color="auto"/>
      </w:divBdr>
    </w:div>
    <w:div w:id="1122990789">
      <w:bodyDiv w:val="1"/>
      <w:marLeft w:val="0"/>
      <w:marRight w:val="0"/>
      <w:marTop w:val="0"/>
      <w:marBottom w:val="0"/>
      <w:divBdr>
        <w:top w:val="none" w:sz="0" w:space="0" w:color="auto"/>
        <w:left w:val="none" w:sz="0" w:space="0" w:color="auto"/>
        <w:bottom w:val="none" w:sz="0" w:space="0" w:color="auto"/>
        <w:right w:val="none" w:sz="0" w:space="0" w:color="auto"/>
      </w:divBdr>
    </w:div>
    <w:div w:id="1123038825">
      <w:bodyDiv w:val="1"/>
      <w:marLeft w:val="0"/>
      <w:marRight w:val="0"/>
      <w:marTop w:val="0"/>
      <w:marBottom w:val="0"/>
      <w:divBdr>
        <w:top w:val="none" w:sz="0" w:space="0" w:color="auto"/>
        <w:left w:val="none" w:sz="0" w:space="0" w:color="auto"/>
        <w:bottom w:val="none" w:sz="0" w:space="0" w:color="auto"/>
        <w:right w:val="none" w:sz="0" w:space="0" w:color="auto"/>
      </w:divBdr>
    </w:div>
    <w:div w:id="1123186675">
      <w:bodyDiv w:val="1"/>
      <w:marLeft w:val="0"/>
      <w:marRight w:val="0"/>
      <w:marTop w:val="0"/>
      <w:marBottom w:val="0"/>
      <w:divBdr>
        <w:top w:val="none" w:sz="0" w:space="0" w:color="auto"/>
        <w:left w:val="none" w:sz="0" w:space="0" w:color="auto"/>
        <w:bottom w:val="none" w:sz="0" w:space="0" w:color="auto"/>
        <w:right w:val="none" w:sz="0" w:space="0" w:color="auto"/>
      </w:divBdr>
    </w:div>
    <w:div w:id="1123188414">
      <w:bodyDiv w:val="1"/>
      <w:marLeft w:val="0"/>
      <w:marRight w:val="0"/>
      <w:marTop w:val="0"/>
      <w:marBottom w:val="0"/>
      <w:divBdr>
        <w:top w:val="none" w:sz="0" w:space="0" w:color="auto"/>
        <w:left w:val="none" w:sz="0" w:space="0" w:color="auto"/>
        <w:bottom w:val="none" w:sz="0" w:space="0" w:color="auto"/>
        <w:right w:val="none" w:sz="0" w:space="0" w:color="auto"/>
      </w:divBdr>
    </w:div>
    <w:div w:id="1123226887">
      <w:bodyDiv w:val="1"/>
      <w:marLeft w:val="0"/>
      <w:marRight w:val="0"/>
      <w:marTop w:val="0"/>
      <w:marBottom w:val="0"/>
      <w:divBdr>
        <w:top w:val="none" w:sz="0" w:space="0" w:color="auto"/>
        <w:left w:val="none" w:sz="0" w:space="0" w:color="auto"/>
        <w:bottom w:val="none" w:sz="0" w:space="0" w:color="auto"/>
        <w:right w:val="none" w:sz="0" w:space="0" w:color="auto"/>
      </w:divBdr>
    </w:div>
    <w:div w:id="1123382121">
      <w:bodyDiv w:val="1"/>
      <w:marLeft w:val="0"/>
      <w:marRight w:val="0"/>
      <w:marTop w:val="0"/>
      <w:marBottom w:val="0"/>
      <w:divBdr>
        <w:top w:val="none" w:sz="0" w:space="0" w:color="auto"/>
        <w:left w:val="none" w:sz="0" w:space="0" w:color="auto"/>
        <w:bottom w:val="none" w:sz="0" w:space="0" w:color="auto"/>
        <w:right w:val="none" w:sz="0" w:space="0" w:color="auto"/>
      </w:divBdr>
    </w:div>
    <w:div w:id="1123383856">
      <w:bodyDiv w:val="1"/>
      <w:marLeft w:val="0"/>
      <w:marRight w:val="0"/>
      <w:marTop w:val="0"/>
      <w:marBottom w:val="0"/>
      <w:divBdr>
        <w:top w:val="none" w:sz="0" w:space="0" w:color="auto"/>
        <w:left w:val="none" w:sz="0" w:space="0" w:color="auto"/>
        <w:bottom w:val="none" w:sz="0" w:space="0" w:color="auto"/>
        <w:right w:val="none" w:sz="0" w:space="0" w:color="auto"/>
      </w:divBdr>
    </w:div>
    <w:div w:id="1123428297">
      <w:bodyDiv w:val="1"/>
      <w:marLeft w:val="0"/>
      <w:marRight w:val="0"/>
      <w:marTop w:val="0"/>
      <w:marBottom w:val="0"/>
      <w:divBdr>
        <w:top w:val="none" w:sz="0" w:space="0" w:color="auto"/>
        <w:left w:val="none" w:sz="0" w:space="0" w:color="auto"/>
        <w:bottom w:val="none" w:sz="0" w:space="0" w:color="auto"/>
        <w:right w:val="none" w:sz="0" w:space="0" w:color="auto"/>
      </w:divBdr>
    </w:div>
    <w:div w:id="1123500717">
      <w:bodyDiv w:val="1"/>
      <w:marLeft w:val="0"/>
      <w:marRight w:val="0"/>
      <w:marTop w:val="0"/>
      <w:marBottom w:val="0"/>
      <w:divBdr>
        <w:top w:val="none" w:sz="0" w:space="0" w:color="auto"/>
        <w:left w:val="none" w:sz="0" w:space="0" w:color="auto"/>
        <w:bottom w:val="none" w:sz="0" w:space="0" w:color="auto"/>
        <w:right w:val="none" w:sz="0" w:space="0" w:color="auto"/>
      </w:divBdr>
    </w:div>
    <w:div w:id="1123571095">
      <w:bodyDiv w:val="1"/>
      <w:marLeft w:val="0"/>
      <w:marRight w:val="0"/>
      <w:marTop w:val="0"/>
      <w:marBottom w:val="0"/>
      <w:divBdr>
        <w:top w:val="none" w:sz="0" w:space="0" w:color="auto"/>
        <w:left w:val="none" w:sz="0" w:space="0" w:color="auto"/>
        <w:bottom w:val="none" w:sz="0" w:space="0" w:color="auto"/>
        <w:right w:val="none" w:sz="0" w:space="0" w:color="auto"/>
      </w:divBdr>
    </w:div>
    <w:div w:id="1123692134">
      <w:bodyDiv w:val="1"/>
      <w:marLeft w:val="0"/>
      <w:marRight w:val="0"/>
      <w:marTop w:val="0"/>
      <w:marBottom w:val="0"/>
      <w:divBdr>
        <w:top w:val="none" w:sz="0" w:space="0" w:color="auto"/>
        <w:left w:val="none" w:sz="0" w:space="0" w:color="auto"/>
        <w:bottom w:val="none" w:sz="0" w:space="0" w:color="auto"/>
        <w:right w:val="none" w:sz="0" w:space="0" w:color="auto"/>
      </w:divBdr>
    </w:div>
    <w:div w:id="1123768050">
      <w:bodyDiv w:val="1"/>
      <w:marLeft w:val="0"/>
      <w:marRight w:val="0"/>
      <w:marTop w:val="0"/>
      <w:marBottom w:val="0"/>
      <w:divBdr>
        <w:top w:val="none" w:sz="0" w:space="0" w:color="auto"/>
        <w:left w:val="none" w:sz="0" w:space="0" w:color="auto"/>
        <w:bottom w:val="none" w:sz="0" w:space="0" w:color="auto"/>
        <w:right w:val="none" w:sz="0" w:space="0" w:color="auto"/>
      </w:divBdr>
    </w:div>
    <w:div w:id="1123773478">
      <w:bodyDiv w:val="1"/>
      <w:marLeft w:val="0"/>
      <w:marRight w:val="0"/>
      <w:marTop w:val="0"/>
      <w:marBottom w:val="0"/>
      <w:divBdr>
        <w:top w:val="none" w:sz="0" w:space="0" w:color="auto"/>
        <w:left w:val="none" w:sz="0" w:space="0" w:color="auto"/>
        <w:bottom w:val="none" w:sz="0" w:space="0" w:color="auto"/>
        <w:right w:val="none" w:sz="0" w:space="0" w:color="auto"/>
      </w:divBdr>
    </w:div>
    <w:div w:id="1123881950">
      <w:bodyDiv w:val="1"/>
      <w:marLeft w:val="0"/>
      <w:marRight w:val="0"/>
      <w:marTop w:val="0"/>
      <w:marBottom w:val="0"/>
      <w:divBdr>
        <w:top w:val="none" w:sz="0" w:space="0" w:color="auto"/>
        <w:left w:val="none" w:sz="0" w:space="0" w:color="auto"/>
        <w:bottom w:val="none" w:sz="0" w:space="0" w:color="auto"/>
        <w:right w:val="none" w:sz="0" w:space="0" w:color="auto"/>
      </w:divBdr>
    </w:div>
    <w:div w:id="1123888009">
      <w:bodyDiv w:val="1"/>
      <w:marLeft w:val="0"/>
      <w:marRight w:val="0"/>
      <w:marTop w:val="0"/>
      <w:marBottom w:val="0"/>
      <w:divBdr>
        <w:top w:val="none" w:sz="0" w:space="0" w:color="auto"/>
        <w:left w:val="none" w:sz="0" w:space="0" w:color="auto"/>
        <w:bottom w:val="none" w:sz="0" w:space="0" w:color="auto"/>
        <w:right w:val="none" w:sz="0" w:space="0" w:color="auto"/>
      </w:divBdr>
    </w:div>
    <w:div w:id="1123960629">
      <w:bodyDiv w:val="1"/>
      <w:marLeft w:val="0"/>
      <w:marRight w:val="0"/>
      <w:marTop w:val="0"/>
      <w:marBottom w:val="0"/>
      <w:divBdr>
        <w:top w:val="none" w:sz="0" w:space="0" w:color="auto"/>
        <w:left w:val="none" w:sz="0" w:space="0" w:color="auto"/>
        <w:bottom w:val="none" w:sz="0" w:space="0" w:color="auto"/>
        <w:right w:val="none" w:sz="0" w:space="0" w:color="auto"/>
      </w:divBdr>
    </w:div>
    <w:div w:id="1123965925">
      <w:bodyDiv w:val="1"/>
      <w:marLeft w:val="0"/>
      <w:marRight w:val="0"/>
      <w:marTop w:val="0"/>
      <w:marBottom w:val="0"/>
      <w:divBdr>
        <w:top w:val="none" w:sz="0" w:space="0" w:color="auto"/>
        <w:left w:val="none" w:sz="0" w:space="0" w:color="auto"/>
        <w:bottom w:val="none" w:sz="0" w:space="0" w:color="auto"/>
        <w:right w:val="none" w:sz="0" w:space="0" w:color="auto"/>
      </w:divBdr>
    </w:div>
    <w:div w:id="1124152244">
      <w:bodyDiv w:val="1"/>
      <w:marLeft w:val="0"/>
      <w:marRight w:val="0"/>
      <w:marTop w:val="0"/>
      <w:marBottom w:val="0"/>
      <w:divBdr>
        <w:top w:val="none" w:sz="0" w:space="0" w:color="auto"/>
        <w:left w:val="none" w:sz="0" w:space="0" w:color="auto"/>
        <w:bottom w:val="none" w:sz="0" w:space="0" w:color="auto"/>
        <w:right w:val="none" w:sz="0" w:space="0" w:color="auto"/>
      </w:divBdr>
    </w:div>
    <w:div w:id="1124302434">
      <w:bodyDiv w:val="1"/>
      <w:marLeft w:val="0"/>
      <w:marRight w:val="0"/>
      <w:marTop w:val="0"/>
      <w:marBottom w:val="0"/>
      <w:divBdr>
        <w:top w:val="none" w:sz="0" w:space="0" w:color="auto"/>
        <w:left w:val="none" w:sz="0" w:space="0" w:color="auto"/>
        <w:bottom w:val="none" w:sz="0" w:space="0" w:color="auto"/>
        <w:right w:val="none" w:sz="0" w:space="0" w:color="auto"/>
      </w:divBdr>
    </w:div>
    <w:div w:id="1124352235">
      <w:bodyDiv w:val="1"/>
      <w:marLeft w:val="0"/>
      <w:marRight w:val="0"/>
      <w:marTop w:val="0"/>
      <w:marBottom w:val="0"/>
      <w:divBdr>
        <w:top w:val="none" w:sz="0" w:space="0" w:color="auto"/>
        <w:left w:val="none" w:sz="0" w:space="0" w:color="auto"/>
        <w:bottom w:val="none" w:sz="0" w:space="0" w:color="auto"/>
        <w:right w:val="none" w:sz="0" w:space="0" w:color="auto"/>
      </w:divBdr>
    </w:div>
    <w:div w:id="1124421105">
      <w:bodyDiv w:val="1"/>
      <w:marLeft w:val="0"/>
      <w:marRight w:val="0"/>
      <w:marTop w:val="0"/>
      <w:marBottom w:val="0"/>
      <w:divBdr>
        <w:top w:val="none" w:sz="0" w:space="0" w:color="auto"/>
        <w:left w:val="none" w:sz="0" w:space="0" w:color="auto"/>
        <w:bottom w:val="none" w:sz="0" w:space="0" w:color="auto"/>
        <w:right w:val="none" w:sz="0" w:space="0" w:color="auto"/>
      </w:divBdr>
    </w:div>
    <w:div w:id="1124425231">
      <w:bodyDiv w:val="1"/>
      <w:marLeft w:val="0"/>
      <w:marRight w:val="0"/>
      <w:marTop w:val="0"/>
      <w:marBottom w:val="0"/>
      <w:divBdr>
        <w:top w:val="none" w:sz="0" w:space="0" w:color="auto"/>
        <w:left w:val="none" w:sz="0" w:space="0" w:color="auto"/>
        <w:bottom w:val="none" w:sz="0" w:space="0" w:color="auto"/>
        <w:right w:val="none" w:sz="0" w:space="0" w:color="auto"/>
      </w:divBdr>
    </w:div>
    <w:div w:id="1124496899">
      <w:bodyDiv w:val="1"/>
      <w:marLeft w:val="0"/>
      <w:marRight w:val="0"/>
      <w:marTop w:val="0"/>
      <w:marBottom w:val="0"/>
      <w:divBdr>
        <w:top w:val="none" w:sz="0" w:space="0" w:color="auto"/>
        <w:left w:val="none" w:sz="0" w:space="0" w:color="auto"/>
        <w:bottom w:val="none" w:sz="0" w:space="0" w:color="auto"/>
        <w:right w:val="none" w:sz="0" w:space="0" w:color="auto"/>
      </w:divBdr>
    </w:div>
    <w:div w:id="1124695685">
      <w:bodyDiv w:val="1"/>
      <w:marLeft w:val="0"/>
      <w:marRight w:val="0"/>
      <w:marTop w:val="0"/>
      <w:marBottom w:val="0"/>
      <w:divBdr>
        <w:top w:val="none" w:sz="0" w:space="0" w:color="auto"/>
        <w:left w:val="none" w:sz="0" w:space="0" w:color="auto"/>
        <w:bottom w:val="none" w:sz="0" w:space="0" w:color="auto"/>
        <w:right w:val="none" w:sz="0" w:space="0" w:color="auto"/>
      </w:divBdr>
    </w:div>
    <w:div w:id="1124808829">
      <w:bodyDiv w:val="1"/>
      <w:marLeft w:val="0"/>
      <w:marRight w:val="0"/>
      <w:marTop w:val="0"/>
      <w:marBottom w:val="0"/>
      <w:divBdr>
        <w:top w:val="none" w:sz="0" w:space="0" w:color="auto"/>
        <w:left w:val="none" w:sz="0" w:space="0" w:color="auto"/>
        <w:bottom w:val="none" w:sz="0" w:space="0" w:color="auto"/>
        <w:right w:val="none" w:sz="0" w:space="0" w:color="auto"/>
      </w:divBdr>
    </w:div>
    <w:div w:id="1124814839">
      <w:bodyDiv w:val="1"/>
      <w:marLeft w:val="0"/>
      <w:marRight w:val="0"/>
      <w:marTop w:val="0"/>
      <w:marBottom w:val="0"/>
      <w:divBdr>
        <w:top w:val="none" w:sz="0" w:space="0" w:color="auto"/>
        <w:left w:val="none" w:sz="0" w:space="0" w:color="auto"/>
        <w:bottom w:val="none" w:sz="0" w:space="0" w:color="auto"/>
        <w:right w:val="none" w:sz="0" w:space="0" w:color="auto"/>
      </w:divBdr>
    </w:div>
    <w:div w:id="1124882504">
      <w:bodyDiv w:val="1"/>
      <w:marLeft w:val="0"/>
      <w:marRight w:val="0"/>
      <w:marTop w:val="0"/>
      <w:marBottom w:val="0"/>
      <w:divBdr>
        <w:top w:val="none" w:sz="0" w:space="0" w:color="auto"/>
        <w:left w:val="none" w:sz="0" w:space="0" w:color="auto"/>
        <w:bottom w:val="none" w:sz="0" w:space="0" w:color="auto"/>
        <w:right w:val="none" w:sz="0" w:space="0" w:color="auto"/>
      </w:divBdr>
    </w:div>
    <w:div w:id="1124925547">
      <w:bodyDiv w:val="1"/>
      <w:marLeft w:val="0"/>
      <w:marRight w:val="0"/>
      <w:marTop w:val="0"/>
      <w:marBottom w:val="0"/>
      <w:divBdr>
        <w:top w:val="none" w:sz="0" w:space="0" w:color="auto"/>
        <w:left w:val="none" w:sz="0" w:space="0" w:color="auto"/>
        <w:bottom w:val="none" w:sz="0" w:space="0" w:color="auto"/>
        <w:right w:val="none" w:sz="0" w:space="0" w:color="auto"/>
      </w:divBdr>
    </w:div>
    <w:div w:id="1124926015">
      <w:bodyDiv w:val="1"/>
      <w:marLeft w:val="0"/>
      <w:marRight w:val="0"/>
      <w:marTop w:val="0"/>
      <w:marBottom w:val="0"/>
      <w:divBdr>
        <w:top w:val="none" w:sz="0" w:space="0" w:color="auto"/>
        <w:left w:val="none" w:sz="0" w:space="0" w:color="auto"/>
        <w:bottom w:val="none" w:sz="0" w:space="0" w:color="auto"/>
        <w:right w:val="none" w:sz="0" w:space="0" w:color="auto"/>
      </w:divBdr>
    </w:div>
    <w:div w:id="1125003881">
      <w:bodyDiv w:val="1"/>
      <w:marLeft w:val="0"/>
      <w:marRight w:val="0"/>
      <w:marTop w:val="0"/>
      <w:marBottom w:val="0"/>
      <w:divBdr>
        <w:top w:val="none" w:sz="0" w:space="0" w:color="auto"/>
        <w:left w:val="none" w:sz="0" w:space="0" w:color="auto"/>
        <w:bottom w:val="none" w:sz="0" w:space="0" w:color="auto"/>
        <w:right w:val="none" w:sz="0" w:space="0" w:color="auto"/>
      </w:divBdr>
    </w:div>
    <w:div w:id="1125193712">
      <w:bodyDiv w:val="1"/>
      <w:marLeft w:val="0"/>
      <w:marRight w:val="0"/>
      <w:marTop w:val="0"/>
      <w:marBottom w:val="0"/>
      <w:divBdr>
        <w:top w:val="none" w:sz="0" w:space="0" w:color="auto"/>
        <w:left w:val="none" w:sz="0" w:space="0" w:color="auto"/>
        <w:bottom w:val="none" w:sz="0" w:space="0" w:color="auto"/>
        <w:right w:val="none" w:sz="0" w:space="0" w:color="auto"/>
      </w:divBdr>
    </w:div>
    <w:div w:id="1125320017">
      <w:bodyDiv w:val="1"/>
      <w:marLeft w:val="0"/>
      <w:marRight w:val="0"/>
      <w:marTop w:val="0"/>
      <w:marBottom w:val="0"/>
      <w:divBdr>
        <w:top w:val="none" w:sz="0" w:space="0" w:color="auto"/>
        <w:left w:val="none" w:sz="0" w:space="0" w:color="auto"/>
        <w:bottom w:val="none" w:sz="0" w:space="0" w:color="auto"/>
        <w:right w:val="none" w:sz="0" w:space="0" w:color="auto"/>
      </w:divBdr>
    </w:div>
    <w:div w:id="1125344017">
      <w:bodyDiv w:val="1"/>
      <w:marLeft w:val="0"/>
      <w:marRight w:val="0"/>
      <w:marTop w:val="0"/>
      <w:marBottom w:val="0"/>
      <w:divBdr>
        <w:top w:val="none" w:sz="0" w:space="0" w:color="auto"/>
        <w:left w:val="none" w:sz="0" w:space="0" w:color="auto"/>
        <w:bottom w:val="none" w:sz="0" w:space="0" w:color="auto"/>
        <w:right w:val="none" w:sz="0" w:space="0" w:color="auto"/>
      </w:divBdr>
    </w:div>
    <w:div w:id="1125386730">
      <w:bodyDiv w:val="1"/>
      <w:marLeft w:val="0"/>
      <w:marRight w:val="0"/>
      <w:marTop w:val="0"/>
      <w:marBottom w:val="0"/>
      <w:divBdr>
        <w:top w:val="none" w:sz="0" w:space="0" w:color="auto"/>
        <w:left w:val="none" w:sz="0" w:space="0" w:color="auto"/>
        <w:bottom w:val="none" w:sz="0" w:space="0" w:color="auto"/>
        <w:right w:val="none" w:sz="0" w:space="0" w:color="auto"/>
      </w:divBdr>
    </w:div>
    <w:div w:id="1125388694">
      <w:bodyDiv w:val="1"/>
      <w:marLeft w:val="0"/>
      <w:marRight w:val="0"/>
      <w:marTop w:val="0"/>
      <w:marBottom w:val="0"/>
      <w:divBdr>
        <w:top w:val="none" w:sz="0" w:space="0" w:color="auto"/>
        <w:left w:val="none" w:sz="0" w:space="0" w:color="auto"/>
        <w:bottom w:val="none" w:sz="0" w:space="0" w:color="auto"/>
        <w:right w:val="none" w:sz="0" w:space="0" w:color="auto"/>
      </w:divBdr>
    </w:div>
    <w:div w:id="1125392680">
      <w:bodyDiv w:val="1"/>
      <w:marLeft w:val="0"/>
      <w:marRight w:val="0"/>
      <w:marTop w:val="0"/>
      <w:marBottom w:val="0"/>
      <w:divBdr>
        <w:top w:val="none" w:sz="0" w:space="0" w:color="auto"/>
        <w:left w:val="none" w:sz="0" w:space="0" w:color="auto"/>
        <w:bottom w:val="none" w:sz="0" w:space="0" w:color="auto"/>
        <w:right w:val="none" w:sz="0" w:space="0" w:color="auto"/>
      </w:divBdr>
    </w:div>
    <w:div w:id="1125546086">
      <w:bodyDiv w:val="1"/>
      <w:marLeft w:val="0"/>
      <w:marRight w:val="0"/>
      <w:marTop w:val="0"/>
      <w:marBottom w:val="0"/>
      <w:divBdr>
        <w:top w:val="none" w:sz="0" w:space="0" w:color="auto"/>
        <w:left w:val="none" w:sz="0" w:space="0" w:color="auto"/>
        <w:bottom w:val="none" w:sz="0" w:space="0" w:color="auto"/>
        <w:right w:val="none" w:sz="0" w:space="0" w:color="auto"/>
      </w:divBdr>
    </w:div>
    <w:div w:id="1125585891">
      <w:bodyDiv w:val="1"/>
      <w:marLeft w:val="0"/>
      <w:marRight w:val="0"/>
      <w:marTop w:val="0"/>
      <w:marBottom w:val="0"/>
      <w:divBdr>
        <w:top w:val="none" w:sz="0" w:space="0" w:color="auto"/>
        <w:left w:val="none" w:sz="0" w:space="0" w:color="auto"/>
        <w:bottom w:val="none" w:sz="0" w:space="0" w:color="auto"/>
        <w:right w:val="none" w:sz="0" w:space="0" w:color="auto"/>
      </w:divBdr>
    </w:div>
    <w:div w:id="1125611767">
      <w:bodyDiv w:val="1"/>
      <w:marLeft w:val="0"/>
      <w:marRight w:val="0"/>
      <w:marTop w:val="0"/>
      <w:marBottom w:val="0"/>
      <w:divBdr>
        <w:top w:val="none" w:sz="0" w:space="0" w:color="auto"/>
        <w:left w:val="none" w:sz="0" w:space="0" w:color="auto"/>
        <w:bottom w:val="none" w:sz="0" w:space="0" w:color="auto"/>
        <w:right w:val="none" w:sz="0" w:space="0" w:color="auto"/>
      </w:divBdr>
    </w:div>
    <w:div w:id="1125925000">
      <w:bodyDiv w:val="1"/>
      <w:marLeft w:val="0"/>
      <w:marRight w:val="0"/>
      <w:marTop w:val="0"/>
      <w:marBottom w:val="0"/>
      <w:divBdr>
        <w:top w:val="none" w:sz="0" w:space="0" w:color="auto"/>
        <w:left w:val="none" w:sz="0" w:space="0" w:color="auto"/>
        <w:bottom w:val="none" w:sz="0" w:space="0" w:color="auto"/>
        <w:right w:val="none" w:sz="0" w:space="0" w:color="auto"/>
      </w:divBdr>
    </w:div>
    <w:div w:id="1126003620">
      <w:bodyDiv w:val="1"/>
      <w:marLeft w:val="0"/>
      <w:marRight w:val="0"/>
      <w:marTop w:val="0"/>
      <w:marBottom w:val="0"/>
      <w:divBdr>
        <w:top w:val="none" w:sz="0" w:space="0" w:color="auto"/>
        <w:left w:val="none" w:sz="0" w:space="0" w:color="auto"/>
        <w:bottom w:val="none" w:sz="0" w:space="0" w:color="auto"/>
        <w:right w:val="none" w:sz="0" w:space="0" w:color="auto"/>
      </w:divBdr>
    </w:div>
    <w:div w:id="1126005426">
      <w:bodyDiv w:val="1"/>
      <w:marLeft w:val="0"/>
      <w:marRight w:val="0"/>
      <w:marTop w:val="0"/>
      <w:marBottom w:val="0"/>
      <w:divBdr>
        <w:top w:val="none" w:sz="0" w:space="0" w:color="auto"/>
        <w:left w:val="none" w:sz="0" w:space="0" w:color="auto"/>
        <w:bottom w:val="none" w:sz="0" w:space="0" w:color="auto"/>
        <w:right w:val="none" w:sz="0" w:space="0" w:color="auto"/>
      </w:divBdr>
    </w:div>
    <w:div w:id="1126116675">
      <w:bodyDiv w:val="1"/>
      <w:marLeft w:val="0"/>
      <w:marRight w:val="0"/>
      <w:marTop w:val="0"/>
      <w:marBottom w:val="0"/>
      <w:divBdr>
        <w:top w:val="none" w:sz="0" w:space="0" w:color="auto"/>
        <w:left w:val="none" w:sz="0" w:space="0" w:color="auto"/>
        <w:bottom w:val="none" w:sz="0" w:space="0" w:color="auto"/>
        <w:right w:val="none" w:sz="0" w:space="0" w:color="auto"/>
      </w:divBdr>
    </w:div>
    <w:div w:id="1126200624">
      <w:bodyDiv w:val="1"/>
      <w:marLeft w:val="0"/>
      <w:marRight w:val="0"/>
      <w:marTop w:val="0"/>
      <w:marBottom w:val="0"/>
      <w:divBdr>
        <w:top w:val="none" w:sz="0" w:space="0" w:color="auto"/>
        <w:left w:val="none" w:sz="0" w:space="0" w:color="auto"/>
        <w:bottom w:val="none" w:sz="0" w:space="0" w:color="auto"/>
        <w:right w:val="none" w:sz="0" w:space="0" w:color="auto"/>
      </w:divBdr>
    </w:div>
    <w:div w:id="1126433767">
      <w:bodyDiv w:val="1"/>
      <w:marLeft w:val="0"/>
      <w:marRight w:val="0"/>
      <w:marTop w:val="0"/>
      <w:marBottom w:val="0"/>
      <w:divBdr>
        <w:top w:val="none" w:sz="0" w:space="0" w:color="auto"/>
        <w:left w:val="none" w:sz="0" w:space="0" w:color="auto"/>
        <w:bottom w:val="none" w:sz="0" w:space="0" w:color="auto"/>
        <w:right w:val="none" w:sz="0" w:space="0" w:color="auto"/>
      </w:divBdr>
    </w:div>
    <w:div w:id="1126434776">
      <w:bodyDiv w:val="1"/>
      <w:marLeft w:val="0"/>
      <w:marRight w:val="0"/>
      <w:marTop w:val="0"/>
      <w:marBottom w:val="0"/>
      <w:divBdr>
        <w:top w:val="none" w:sz="0" w:space="0" w:color="auto"/>
        <w:left w:val="none" w:sz="0" w:space="0" w:color="auto"/>
        <w:bottom w:val="none" w:sz="0" w:space="0" w:color="auto"/>
        <w:right w:val="none" w:sz="0" w:space="0" w:color="auto"/>
      </w:divBdr>
    </w:div>
    <w:div w:id="1126465048">
      <w:bodyDiv w:val="1"/>
      <w:marLeft w:val="0"/>
      <w:marRight w:val="0"/>
      <w:marTop w:val="0"/>
      <w:marBottom w:val="0"/>
      <w:divBdr>
        <w:top w:val="none" w:sz="0" w:space="0" w:color="auto"/>
        <w:left w:val="none" w:sz="0" w:space="0" w:color="auto"/>
        <w:bottom w:val="none" w:sz="0" w:space="0" w:color="auto"/>
        <w:right w:val="none" w:sz="0" w:space="0" w:color="auto"/>
      </w:divBdr>
    </w:div>
    <w:div w:id="1126586675">
      <w:bodyDiv w:val="1"/>
      <w:marLeft w:val="0"/>
      <w:marRight w:val="0"/>
      <w:marTop w:val="0"/>
      <w:marBottom w:val="0"/>
      <w:divBdr>
        <w:top w:val="none" w:sz="0" w:space="0" w:color="auto"/>
        <w:left w:val="none" w:sz="0" w:space="0" w:color="auto"/>
        <w:bottom w:val="none" w:sz="0" w:space="0" w:color="auto"/>
        <w:right w:val="none" w:sz="0" w:space="0" w:color="auto"/>
      </w:divBdr>
    </w:div>
    <w:div w:id="1126772951">
      <w:bodyDiv w:val="1"/>
      <w:marLeft w:val="0"/>
      <w:marRight w:val="0"/>
      <w:marTop w:val="0"/>
      <w:marBottom w:val="0"/>
      <w:divBdr>
        <w:top w:val="none" w:sz="0" w:space="0" w:color="auto"/>
        <w:left w:val="none" w:sz="0" w:space="0" w:color="auto"/>
        <w:bottom w:val="none" w:sz="0" w:space="0" w:color="auto"/>
        <w:right w:val="none" w:sz="0" w:space="0" w:color="auto"/>
      </w:divBdr>
    </w:div>
    <w:div w:id="1126775008">
      <w:bodyDiv w:val="1"/>
      <w:marLeft w:val="0"/>
      <w:marRight w:val="0"/>
      <w:marTop w:val="0"/>
      <w:marBottom w:val="0"/>
      <w:divBdr>
        <w:top w:val="none" w:sz="0" w:space="0" w:color="auto"/>
        <w:left w:val="none" w:sz="0" w:space="0" w:color="auto"/>
        <w:bottom w:val="none" w:sz="0" w:space="0" w:color="auto"/>
        <w:right w:val="none" w:sz="0" w:space="0" w:color="auto"/>
      </w:divBdr>
    </w:div>
    <w:div w:id="1126850317">
      <w:bodyDiv w:val="1"/>
      <w:marLeft w:val="0"/>
      <w:marRight w:val="0"/>
      <w:marTop w:val="0"/>
      <w:marBottom w:val="0"/>
      <w:divBdr>
        <w:top w:val="none" w:sz="0" w:space="0" w:color="auto"/>
        <w:left w:val="none" w:sz="0" w:space="0" w:color="auto"/>
        <w:bottom w:val="none" w:sz="0" w:space="0" w:color="auto"/>
        <w:right w:val="none" w:sz="0" w:space="0" w:color="auto"/>
      </w:divBdr>
    </w:div>
    <w:div w:id="1126965446">
      <w:bodyDiv w:val="1"/>
      <w:marLeft w:val="0"/>
      <w:marRight w:val="0"/>
      <w:marTop w:val="0"/>
      <w:marBottom w:val="0"/>
      <w:divBdr>
        <w:top w:val="none" w:sz="0" w:space="0" w:color="auto"/>
        <w:left w:val="none" w:sz="0" w:space="0" w:color="auto"/>
        <w:bottom w:val="none" w:sz="0" w:space="0" w:color="auto"/>
        <w:right w:val="none" w:sz="0" w:space="0" w:color="auto"/>
      </w:divBdr>
    </w:div>
    <w:div w:id="1126967965">
      <w:bodyDiv w:val="1"/>
      <w:marLeft w:val="0"/>
      <w:marRight w:val="0"/>
      <w:marTop w:val="0"/>
      <w:marBottom w:val="0"/>
      <w:divBdr>
        <w:top w:val="none" w:sz="0" w:space="0" w:color="auto"/>
        <w:left w:val="none" w:sz="0" w:space="0" w:color="auto"/>
        <w:bottom w:val="none" w:sz="0" w:space="0" w:color="auto"/>
        <w:right w:val="none" w:sz="0" w:space="0" w:color="auto"/>
      </w:divBdr>
    </w:div>
    <w:div w:id="1127159295">
      <w:bodyDiv w:val="1"/>
      <w:marLeft w:val="0"/>
      <w:marRight w:val="0"/>
      <w:marTop w:val="0"/>
      <w:marBottom w:val="0"/>
      <w:divBdr>
        <w:top w:val="none" w:sz="0" w:space="0" w:color="auto"/>
        <w:left w:val="none" w:sz="0" w:space="0" w:color="auto"/>
        <w:bottom w:val="none" w:sz="0" w:space="0" w:color="auto"/>
        <w:right w:val="none" w:sz="0" w:space="0" w:color="auto"/>
      </w:divBdr>
    </w:div>
    <w:div w:id="1127313045">
      <w:bodyDiv w:val="1"/>
      <w:marLeft w:val="0"/>
      <w:marRight w:val="0"/>
      <w:marTop w:val="0"/>
      <w:marBottom w:val="0"/>
      <w:divBdr>
        <w:top w:val="none" w:sz="0" w:space="0" w:color="auto"/>
        <w:left w:val="none" w:sz="0" w:space="0" w:color="auto"/>
        <w:bottom w:val="none" w:sz="0" w:space="0" w:color="auto"/>
        <w:right w:val="none" w:sz="0" w:space="0" w:color="auto"/>
      </w:divBdr>
    </w:div>
    <w:div w:id="1127352555">
      <w:bodyDiv w:val="1"/>
      <w:marLeft w:val="0"/>
      <w:marRight w:val="0"/>
      <w:marTop w:val="0"/>
      <w:marBottom w:val="0"/>
      <w:divBdr>
        <w:top w:val="none" w:sz="0" w:space="0" w:color="auto"/>
        <w:left w:val="none" w:sz="0" w:space="0" w:color="auto"/>
        <w:bottom w:val="none" w:sz="0" w:space="0" w:color="auto"/>
        <w:right w:val="none" w:sz="0" w:space="0" w:color="auto"/>
      </w:divBdr>
    </w:div>
    <w:div w:id="1127697156">
      <w:bodyDiv w:val="1"/>
      <w:marLeft w:val="0"/>
      <w:marRight w:val="0"/>
      <w:marTop w:val="0"/>
      <w:marBottom w:val="0"/>
      <w:divBdr>
        <w:top w:val="none" w:sz="0" w:space="0" w:color="auto"/>
        <w:left w:val="none" w:sz="0" w:space="0" w:color="auto"/>
        <w:bottom w:val="none" w:sz="0" w:space="0" w:color="auto"/>
        <w:right w:val="none" w:sz="0" w:space="0" w:color="auto"/>
      </w:divBdr>
    </w:div>
    <w:div w:id="1127813994">
      <w:bodyDiv w:val="1"/>
      <w:marLeft w:val="0"/>
      <w:marRight w:val="0"/>
      <w:marTop w:val="0"/>
      <w:marBottom w:val="0"/>
      <w:divBdr>
        <w:top w:val="none" w:sz="0" w:space="0" w:color="auto"/>
        <w:left w:val="none" w:sz="0" w:space="0" w:color="auto"/>
        <w:bottom w:val="none" w:sz="0" w:space="0" w:color="auto"/>
        <w:right w:val="none" w:sz="0" w:space="0" w:color="auto"/>
      </w:divBdr>
    </w:div>
    <w:div w:id="1127894799">
      <w:bodyDiv w:val="1"/>
      <w:marLeft w:val="0"/>
      <w:marRight w:val="0"/>
      <w:marTop w:val="0"/>
      <w:marBottom w:val="0"/>
      <w:divBdr>
        <w:top w:val="none" w:sz="0" w:space="0" w:color="auto"/>
        <w:left w:val="none" w:sz="0" w:space="0" w:color="auto"/>
        <w:bottom w:val="none" w:sz="0" w:space="0" w:color="auto"/>
        <w:right w:val="none" w:sz="0" w:space="0" w:color="auto"/>
      </w:divBdr>
    </w:div>
    <w:div w:id="1127967813">
      <w:bodyDiv w:val="1"/>
      <w:marLeft w:val="0"/>
      <w:marRight w:val="0"/>
      <w:marTop w:val="0"/>
      <w:marBottom w:val="0"/>
      <w:divBdr>
        <w:top w:val="none" w:sz="0" w:space="0" w:color="auto"/>
        <w:left w:val="none" w:sz="0" w:space="0" w:color="auto"/>
        <w:bottom w:val="none" w:sz="0" w:space="0" w:color="auto"/>
        <w:right w:val="none" w:sz="0" w:space="0" w:color="auto"/>
      </w:divBdr>
    </w:div>
    <w:div w:id="1128016055">
      <w:bodyDiv w:val="1"/>
      <w:marLeft w:val="0"/>
      <w:marRight w:val="0"/>
      <w:marTop w:val="0"/>
      <w:marBottom w:val="0"/>
      <w:divBdr>
        <w:top w:val="none" w:sz="0" w:space="0" w:color="auto"/>
        <w:left w:val="none" w:sz="0" w:space="0" w:color="auto"/>
        <w:bottom w:val="none" w:sz="0" w:space="0" w:color="auto"/>
        <w:right w:val="none" w:sz="0" w:space="0" w:color="auto"/>
      </w:divBdr>
    </w:div>
    <w:div w:id="1128277044">
      <w:bodyDiv w:val="1"/>
      <w:marLeft w:val="0"/>
      <w:marRight w:val="0"/>
      <w:marTop w:val="0"/>
      <w:marBottom w:val="0"/>
      <w:divBdr>
        <w:top w:val="none" w:sz="0" w:space="0" w:color="auto"/>
        <w:left w:val="none" w:sz="0" w:space="0" w:color="auto"/>
        <w:bottom w:val="none" w:sz="0" w:space="0" w:color="auto"/>
        <w:right w:val="none" w:sz="0" w:space="0" w:color="auto"/>
      </w:divBdr>
    </w:div>
    <w:div w:id="1128352479">
      <w:bodyDiv w:val="1"/>
      <w:marLeft w:val="0"/>
      <w:marRight w:val="0"/>
      <w:marTop w:val="0"/>
      <w:marBottom w:val="0"/>
      <w:divBdr>
        <w:top w:val="none" w:sz="0" w:space="0" w:color="auto"/>
        <w:left w:val="none" w:sz="0" w:space="0" w:color="auto"/>
        <w:bottom w:val="none" w:sz="0" w:space="0" w:color="auto"/>
        <w:right w:val="none" w:sz="0" w:space="0" w:color="auto"/>
      </w:divBdr>
    </w:div>
    <w:div w:id="1128352987">
      <w:bodyDiv w:val="1"/>
      <w:marLeft w:val="0"/>
      <w:marRight w:val="0"/>
      <w:marTop w:val="0"/>
      <w:marBottom w:val="0"/>
      <w:divBdr>
        <w:top w:val="none" w:sz="0" w:space="0" w:color="auto"/>
        <w:left w:val="none" w:sz="0" w:space="0" w:color="auto"/>
        <w:bottom w:val="none" w:sz="0" w:space="0" w:color="auto"/>
        <w:right w:val="none" w:sz="0" w:space="0" w:color="auto"/>
      </w:divBdr>
    </w:div>
    <w:div w:id="1128355630">
      <w:bodyDiv w:val="1"/>
      <w:marLeft w:val="0"/>
      <w:marRight w:val="0"/>
      <w:marTop w:val="0"/>
      <w:marBottom w:val="0"/>
      <w:divBdr>
        <w:top w:val="none" w:sz="0" w:space="0" w:color="auto"/>
        <w:left w:val="none" w:sz="0" w:space="0" w:color="auto"/>
        <w:bottom w:val="none" w:sz="0" w:space="0" w:color="auto"/>
        <w:right w:val="none" w:sz="0" w:space="0" w:color="auto"/>
      </w:divBdr>
    </w:div>
    <w:div w:id="1128399376">
      <w:bodyDiv w:val="1"/>
      <w:marLeft w:val="0"/>
      <w:marRight w:val="0"/>
      <w:marTop w:val="0"/>
      <w:marBottom w:val="0"/>
      <w:divBdr>
        <w:top w:val="none" w:sz="0" w:space="0" w:color="auto"/>
        <w:left w:val="none" w:sz="0" w:space="0" w:color="auto"/>
        <w:bottom w:val="none" w:sz="0" w:space="0" w:color="auto"/>
        <w:right w:val="none" w:sz="0" w:space="0" w:color="auto"/>
      </w:divBdr>
    </w:div>
    <w:div w:id="1128401166">
      <w:bodyDiv w:val="1"/>
      <w:marLeft w:val="0"/>
      <w:marRight w:val="0"/>
      <w:marTop w:val="0"/>
      <w:marBottom w:val="0"/>
      <w:divBdr>
        <w:top w:val="none" w:sz="0" w:space="0" w:color="auto"/>
        <w:left w:val="none" w:sz="0" w:space="0" w:color="auto"/>
        <w:bottom w:val="none" w:sz="0" w:space="0" w:color="auto"/>
        <w:right w:val="none" w:sz="0" w:space="0" w:color="auto"/>
      </w:divBdr>
    </w:div>
    <w:div w:id="1128402423">
      <w:bodyDiv w:val="1"/>
      <w:marLeft w:val="0"/>
      <w:marRight w:val="0"/>
      <w:marTop w:val="0"/>
      <w:marBottom w:val="0"/>
      <w:divBdr>
        <w:top w:val="none" w:sz="0" w:space="0" w:color="auto"/>
        <w:left w:val="none" w:sz="0" w:space="0" w:color="auto"/>
        <w:bottom w:val="none" w:sz="0" w:space="0" w:color="auto"/>
        <w:right w:val="none" w:sz="0" w:space="0" w:color="auto"/>
      </w:divBdr>
    </w:div>
    <w:div w:id="1128596038">
      <w:bodyDiv w:val="1"/>
      <w:marLeft w:val="0"/>
      <w:marRight w:val="0"/>
      <w:marTop w:val="0"/>
      <w:marBottom w:val="0"/>
      <w:divBdr>
        <w:top w:val="none" w:sz="0" w:space="0" w:color="auto"/>
        <w:left w:val="none" w:sz="0" w:space="0" w:color="auto"/>
        <w:bottom w:val="none" w:sz="0" w:space="0" w:color="auto"/>
        <w:right w:val="none" w:sz="0" w:space="0" w:color="auto"/>
      </w:divBdr>
    </w:div>
    <w:div w:id="1128619409">
      <w:bodyDiv w:val="1"/>
      <w:marLeft w:val="0"/>
      <w:marRight w:val="0"/>
      <w:marTop w:val="0"/>
      <w:marBottom w:val="0"/>
      <w:divBdr>
        <w:top w:val="none" w:sz="0" w:space="0" w:color="auto"/>
        <w:left w:val="none" w:sz="0" w:space="0" w:color="auto"/>
        <w:bottom w:val="none" w:sz="0" w:space="0" w:color="auto"/>
        <w:right w:val="none" w:sz="0" w:space="0" w:color="auto"/>
      </w:divBdr>
    </w:div>
    <w:div w:id="1128662328">
      <w:bodyDiv w:val="1"/>
      <w:marLeft w:val="0"/>
      <w:marRight w:val="0"/>
      <w:marTop w:val="0"/>
      <w:marBottom w:val="0"/>
      <w:divBdr>
        <w:top w:val="none" w:sz="0" w:space="0" w:color="auto"/>
        <w:left w:val="none" w:sz="0" w:space="0" w:color="auto"/>
        <w:bottom w:val="none" w:sz="0" w:space="0" w:color="auto"/>
        <w:right w:val="none" w:sz="0" w:space="0" w:color="auto"/>
      </w:divBdr>
    </w:div>
    <w:div w:id="1128860135">
      <w:bodyDiv w:val="1"/>
      <w:marLeft w:val="0"/>
      <w:marRight w:val="0"/>
      <w:marTop w:val="0"/>
      <w:marBottom w:val="0"/>
      <w:divBdr>
        <w:top w:val="none" w:sz="0" w:space="0" w:color="auto"/>
        <w:left w:val="none" w:sz="0" w:space="0" w:color="auto"/>
        <w:bottom w:val="none" w:sz="0" w:space="0" w:color="auto"/>
        <w:right w:val="none" w:sz="0" w:space="0" w:color="auto"/>
      </w:divBdr>
    </w:div>
    <w:div w:id="1128932878">
      <w:bodyDiv w:val="1"/>
      <w:marLeft w:val="0"/>
      <w:marRight w:val="0"/>
      <w:marTop w:val="0"/>
      <w:marBottom w:val="0"/>
      <w:divBdr>
        <w:top w:val="none" w:sz="0" w:space="0" w:color="auto"/>
        <w:left w:val="none" w:sz="0" w:space="0" w:color="auto"/>
        <w:bottom w:val="none" w:sz="0" w:space="0" w:color="auto"/>
        <w:right w:val="none" w:sz="0" w:space="0" w:color="auto"/>
      </w:divBdr>
    </w:div>
    <w:div w:id="1129055379">
      <w:bodyDiv w:val="1"/>
      <w:marLeft w:val="0"/>
      <w:marRight w:val="0"/>
      <w:marTop w:val="0"/>
      <w:marBottom w:val="0"/>
      <w:divBdr>
        <w:top w:val="none" w:sz="0" w:space="0" w:color="auto"/>
        <w:left w:val="none" w:sz="0" w:space="0" w:color="auto"/>
        <w:bottom w:val="none" w:sz="0" w:space="0" w:color="auto"/>
        <w:right w:val="none" w:sz="0" w:space="0" w:color="auto"/>
      </w:divBdr>
    </w:div>
    <w:div w:id="1129057762">
      <w:bodyDiv w:val="1"/>
      <w:marLeft w:val="0"/>
      <w:marRight w:val="0"/>
      <w:marTop w:val="0"/>
      <w:marBottom w:val="0"/>
      <w:divBdr>
        <w:top w:val="none" w:sz="0" w:space="0" w:color="auto"/>
        <w:left w:val="none" w:sz="0" w:space="0" w:color="auto"/>
        <w:bottom w:val="none" w:sz="0" w:space="0" w:color="auto"/>
        <w:right w:val="none" w:sz="0" w:space="0" w:color="auto"/>
      </w:divBdr>
    </w:div>
    <w:div w:id="1129126858">
      <w:bodyDiv w:val="1"/>
      <w:marLeft w:val="0"/>
      <w:marRight w:val="0"/>
      <w:marTop w:val="0"/>
      <w:marBottom w:val="0"/>
      <w:divBdr>
        <w:top w:val="none" w:sz="0" w:space="0" w:color="auto"/>
        <w:left w:val="none" w:sz="0" w:space="0" w:color="auto"/>
        <w:bottom w:val="none" w:sz="0" w:space="0" w:color="auto"/>
        <w:right w:val="none" w:sz="0" w:space="0" w:color="auto"/>
      </w:divBdr>
    </w:div>
    <w:div w:id="1129277260">
      <w:bodyDiv w:val="1"/>
      <w:marLeft w:val="0"/>
      <w:marRight w:val="0"/>
      <w:marTop w:val="0"/>
      <w:marBottom w:val="0"/>
      <w:divBdr>
        <w:top w:val="none" w:sz="0" w:space="0" w:color="auto"/>
        <w:left w:val="none" w:sz="0" w:space="0" w:color="auto"/>
        <w:bottom w:val="none" w:sz="0" w:space="0" w:color="auto"/>
        <w:right w:val="none" w:sz="0" w:space="0" w:color="auto"/>
      </w:divBdr>
    </w:div>
    <w:div w:id="1129281996">
      <w:bodyDiv w:val="1"/>
      <w:marLeft w:val="0"/>
      <w:marRight w:val="0"/>
      <w:marTop w:val="0"/>
      <w:marBottom w:val="0"/>
      <w:divBdr>
        <w:top w:val="none" w:sz="0" w:space="0" w:color="auto"/>
        <w:left w:val="none" w:sz="0" w:space="0" w:color="auto"/>
        <w:bottom w:val="none" w:sz="0" w:space="0" w:color="auto"/>
        <w:right w:val="none" w:sz="0" w:space="0" w:color="auto"/>
      </w:divBdr>
    </w:div>
    <w:div w:id="1129283048">
      <w:bodyDiv w:val="1"/>
      <w:marLeft w:val="0"/>
      <w:marRight w:val="0"/>
      <w:marTop w:val="0"/>
      <w:marBottom w:val="0"/>
      <w:divBdr>
        <w:top w:val="none" w:sz="0" w:space="0" w:color="auto"/>
        <w:left w:val="none" w:sz="0" w:space="0" w:color="auto"/>
        <w:bottom w:val="none" w:sz="0" w:space="0" w:color="auto"/>
        <w:right w:val="none" w:sz="0" w:space="0" w:color="auto"/>
      </w:divBdr>
    </w:div>
    <w:div w:id="1129283131">
      <w:bodyDiv w:val="1"/>
      <w:marLeft w:val="0"/>
      <w:marRight w:val="0"/>
      <w:marTop w:val="0"/>
      <w:marBottom w:val="0"/>
      <w:divBdr>
        <w:top w:val="none" w:sz="0" w:space="0" w:color="auto"/>
        <w:left w:val="none" w:sz="0" w:space="0" w:color="auto"/>
        <w:bottom w:val="none" w:sz="0" w:space="0" w:color="auto"/>
        <w:right w:val="none" w:sz="0" w:space="0" w:color="auto"/>
      </w:divBdr>
    </w:div>
    <w:div w:id="1129320147">
      <w:bodyDiv w:val="1"/>
      <w:marLeft w:val="0"/>
      <w:marRight w:val="0"/>
      <w:marTop w:val="0"/>
      <w:marBottom w:val="0"/>
      <w:divBdr>
        <w:top w:val="none" w:sz="0" w:space="0" w:color="auto"/>
        <w:left w:val="none" w:sz="0" w:space="0" w:color="auto"/>
        <w:bottom w:val="none" w:sz="0" w:space="0" w:color="auto"/>
        <w:right w:val="none" w:sz="0" w:space="0" w:color="auto"/>
      </w:divBdr>
    </w:div>
    <w:div w:id="1129325098">
      <w:bodyDiv w:val="1"/>
      <w:marLeft w:val="0"/>
      <w:marRight w:val="0"/>
      <w:marTop w:val="0"/>
      <w:marBottom w:val="0"/>
      <w:divBdr>
        <w:top w:val="none" w:sz="0" w:space="0" w:color="auto"/>
        <w:left w:val="none" w:sz="0" w:space="0" w:color="auto"/>
        <w:bottom w:val="none" w:sz="0" w:space="0" w:color="auto"/>
        <w:right w:val="none" w:sz="0" w:space="0" w:color="auto"/>
      </w:divBdr>
    </w:div>
    <w:div w:id="1129515883">
      <w:bodyDiv w:val="1"/>
      <w:marLeft w:val="0"/>
      <w:marRight w:val="0"/>
      <w:marTop w:val="0"/>
      <w:marBottom w:val="0"/>
      <w:divBdr>
        <w:top w:val="none" w:sz="0" w:space="0" w:color="auto"/>
        <w:left w:val="none" w:sz="0" w:space="0" w:color="auto"/>
        <w:bottom w:val="none" w:sz="0" w:space="0" w:color="auto"/>
        <w:right w:val="none" w:sz="0" w:space="0" w:color="auto"/>
      </w:divBdr>
    </w:div>
    <w:div w:id="1129520105">
      <w:bodyDiv w:val="1"/>
      <w:marLeft w:val="0"/>
      <w:marRight w:val="0"/>
      <w:marTop w:val="0"/>
      <w:marBottom w:val="0"/>
      <w:divBdr>
        <w:top w:val="none" w:sz="0" w:space="0" w:color="auto"/>
        <w:left w:val="none" w:sz="0" w:space="0" w:color="auto"/>
        <w:bottom w:val="none" w:sz="0" w:space="0" w:color="auto"/>
        <w:right w:val="none" w:sz="0" w:space="0" w:color="auto"/>
      </w:divBdr>
    </w:div>
    <w:div w:id="1129668715">
      <w:bodyDiv w:val="1"/>
      <w:marLeft w:val="0"/>
      <w:marRight w:val="0"/>
      <w:marTop w:val="0"/>
      <w:marBottom w:val="0"/>
      <w:divBdr>
        <w:top w:val="none" w:sz="0" w:space="0" w:color="auto"/>
        <w:left w:val="none" w:sz="0" w:space="0" w:color="auto"/>
        <w:bottom w:val="none" w:sz="0" w:space="0" w:color="auto"/>
        <w:right w:val="none" w:sz="0" w:space="0" w:color="auto"/>
      </w:divBdr>
    </w:div>
    <w:div w:id="1129669091">
      <w:bodyDiv w:val="1"/>
      <w:marLeft w:val="0"/>
      <w:marRight w:val="0"/>
      <w:marTop w:val="0"/>
      <w:marBottom w:val="0"/>
      <w:divBdr>
        <w:top w:val="none" w:sz="0" w:space="0" w:color="auto"/>
        <w:left w:val="none" w:sz="0" w:space="0" w:color="auto"/>
        <w:bottom w:val="none" w:sz="0" w:space="0" w:color="auto"/>
        <w:right w:val="none" w:sz="0" w:space="0" w:color="auto"/>
      </w:divBdr>
    </w:div>
    <w:div w:id="1129779722">
      <w:bodyDiv w:val="1"/>
      <w:marLeft w:val="0"/>
      <w:marRight w:val="0"/>
      <w:marTop w:val="0"/>
      <w:marBottom w:val="0"/>
      <w:divBdr>
        <w:top w:val="none" w:sz="0" w:space="0" w:color="auto"/>
        <w:left w:val="none" w:sz="0" w:space="0" w:color="auto"/>
        <w:bottom w:val="none" w:sz="0" w:space="0" w:color="auto"/>
        <w:right w:val="none" w:sz="0" w:space="0" w:color="auto"/>
      </w:divBdr>
    </w:div>
    <w:div w:id="1129788621">
      <w:bodyDiv w:val="1"/>
      <w:marLeft w:val="0"/>
      <w:marRight w:val="0"/>
      <w:marTop w:val="0"/>
      <w:marBottom w:val="0"/>
      <w:divBdr>
        <w:top w:val="none" w:sz="0" w:space="0" w:color="auto"/>
        <w:left w:val="none" w:sz="0" w:space="0" w:color="auto"/>
        <w:bottom w:val="none" w:sz="0" w:space="0" w:color="auto"/>
        <w:right w:val="none" w:sz="0" w:space="0" w:color="auto"/>
      </w:divBdr>
    </w:div>
    <w:div w:id="1129857379">
      <w:bodyDiv w:val="1"/>
      <w:marLeft w:val="0"/>
      <w:marRight w:val="0"/>
      <w:marTop w:val="0"/>
      <w:marBottom w:val="0"/>
      <w:divBdr>
        <w:top w:val="none" w:sz="0" w:space="0" w:color="auto"/>
        <w:left w:val="none" w:sz="0" w:space="0" w:color="auto"/>
        <w:bottom w:val="none" w:sz="0" w:space="0" w:color="auto"/>
        <w:right w:val="none" w:sz="0" w:space="0" w:color="auto"/>
      </w:divBdr>
    </w:div>
    <w:div w:id="1129857628">
      <w:bodyDiv w:val="1"/>
      <w:marLeft w:val="0"/>
      <w:marRight w:val="0"/>
      <w:marTop w:val="0"/>
      <w:marBottom w:val="0"/>
      <w:divBdr>
        <w:top w:val="none" w:sz="0" w:space="0" w:color="auto"/>
        <w:left w:val="none" w:sz="0" w:space="0" w:color="auto"/>
        <w:bottom w:val="none" w:sz="0" w:space="0" w:color="auto"/>
        <w:right w:val="none" w:sz="0" w:space="0" w:color="auto"/>
      </w:divBdr>
    </w:div>
    <w:div w:id="1129930404">
      <w:bodyDiv w:val="1"/>
      <w:marLeft w:val="0"/>
      <w:marRight w:val="0"/>
      <w:marTop w:val="0"/>
      <w:marBottom w:val="0"/>
      <w:divBdr>
        <w:top w:val="none" w:sz="0" w:space="0" w:color="auto"/>
        <w:left w:val="none" w:sz="0" w:space="0" w:color="auto"/>
        <w:bottom w:val="none" w:sz="0" w:space="0" w:color="auto"/>
        <w:right w:val="none" w:sz="0" w:space="0" w:color="auto"/>
      </w:divBdr>
    </w:div>
    <w:div w:id="1130049864">
      <w:bodyDiv w:val="1"/>
      <w:marLeft w:val="0"/>
      <w:marRight w:val="0"/>
      <w:marTop w:val="0"/>
      <w:marBottom w:val="0"/>
      <w:divBdr>
        <w:top w:val="none" w:sz="0" w:space="0" w:color="auto"/>
        <w:left w:val="none" w:sz="0" w:space="0" w:color="auto"/>
        <w:bottom w:val="none" w:sz="0" w:space="0" w:color="auto"/>
        <w:right w:val="none" w:sz="0" w:space="0" w:color="auto"/>
      </w:divBdr>
    </w:div>
    <w:div w:id="1130198787">
      <w:bodyDiv w:val="1"/>
      <w:marLeft w:val="0"/>
      <w:marRight w:val="0"/>
      <w:marTop w:val="0"/>
      <w:marBottom w:val="0"/>
      <w:divBdr>
        <w:top w:val="none" w:sz="0" w:space="0" w:color="auto"/>
        <w:left w:val="none" w:sz="0" w:space="0" w:color="auto"/>
        <w:bottom w:val="none" w:sz="0" w:space="0" w:color="auto"/>
        <w:right w:val="none" w:sz="0" w:space="0" w:color="auto"/>
      </w:divBdr>
    </w:div>
    <w:div w:id="1130248330">
      <w:bodyDiv w:val="1"/>
      <w:marLeft w:val="0"/>
      <w:marRight w:val="0"/>
      <w:marTop w:val="0"/>
      <w:marBottom w:val="0"/>
      <w:divBdr>
        <w:top w:val="none" w:sz="0" w:space="0" w:color="auto"/>
        <w:left w:val="none" w:sz="0" w:space="0" w:color="auto"/>
        <w:bottom w:val="none" w:sz="0" w:space="0" w:color="auto"/>
        <w:right w:val="none" w:sz="0" w:space="0" w:color="auto"/>
      </w:divBdr>
    </w:div>
    <w:div w:id="1130250690">
      <w:bodyDiv w:val="1"/>
      <w:marLeft w:val="0"/>
      <w:marRight w:val="0"/>
      <w:marTop w:val="0"/>
      <w:marBottom w:val="0"/>
      <w:divBdr>
        <w:top w:val="none" w:sz="0" w:space="0" w:color="auto"/>
        <w:left w:val="none" w:sz="0" w:space="0" w:color="auto"/>
        <w:bottom w:val="none" w:sz="0" w:space="0" w:color="auto"/>
        <w:right w:val="none" w:sz="0" w:space="0" w:color="auto"/>
      </w:divBdr>
    </w:div>
    <w:div w:id="1130318639">
      <w:bodyDiv w:val="1"/>
      <w:marLeft w:val="0"/>
      <w:marRight w:val="0"/>
      <w:marTop w:val="0"/>
      <w:marBottom w:val="0"/>
      <w:divBdr>
        <w:top w:val="none" w:sz="0" w:space="0" w:color="auto"/>
        <w:left w:val="none" w:sz="0" w:space="0" w:color="auto"/>
        <w:bottom w:val="none" w:sz="0" w:space="0" w:color="auto"/>
        <w:right w:val="none" w:sz="0" w:space="0" w:color="auto"/>
      </w:divBdr>
    </w:div>
    <w:div w:id="1130392464">
      <w:bodyDiv w:val="1"/>
      <w:marLeft w:val="0"/>
      <w:marRight w:val="0"/>
      <w:marTop w:val="0"/>
      <w:marBottom w:val="0"/>
      <w:divBdr>
        <w:top w:val="none" w:sz="0" w:space="0" w:color="auto"/>
        <w:left w:val="none" w:sz="0" w:space="0" w:color="auto"/>
        <w:bottom w:val="none" w:sz="0" w:space="0" w:color="auto"/>
        <w:right w:val="none" w:sz="0" w:space="0" w:color="auto"/>
      </w:divBdr>
    </w:div>
    <w:div w:id="1130440999">
      <w:bodyDiv w:val="1"/>
      <w:marLeft w:val="0"/>
      <w:marRight w:val="0"/>
      <w:marTop w:val="0"/>
      <w:marBottom w:val="0"/>
      <w:divBdr>
        <w:top w:val="none" w:sz="0" w:space="0" w:color="auto"/>
        <w:left w:val="none" w:sz="0" w:space="0" w:color="auto"/>
        <w:bottom w:val="none" w:sz="0" w:space="0" w:color="auto"/>
        <w:right w:val="none" w:sz="0" w:space="0" w:color="auto"/>
      </w:divBdr>
    </w:div>
    <w:div w:id="1130781923">
      <w:bodyDiv w:val="1"/>
      <w:marLeft w:val="0"/>
      <w:marRight w:val="0"/>
      <w:marTop w:val="0"/>
      <w:marBottom w:val="0"/>
      <w:divBdr>
        <w:top w:val="none" w:sz="0" w:space="0" w:color="auto"/>
        <w:left w:val="none" w:sz="0" w:space="0" w:color="auto"/>
        <w:bottom w:val="none" w:sz="0" w:space="0" w:color="auto"/>
        <w:right w:val="none" w:sz="0" w:space="0" w:color="auto"/>
      </w:divBdr>
    </w:div>
    <w:div w:id="1130903075">
      <w:bodyDiv w:val="1"/>
      <w:marLeft w:val="0"/>
      <w:marRight w:val="0"/>
      <w:marTop w:val="0"/>
      <w:marBottom w:val="0"/>
      <w:divBdr>
        <w:top w:val="none" w:sz="0" w:space="0" w:color="auto"/>
        <w:left w:val="none" w:sz="0" w:space="0" w:color="auto"/>
        <w:bottom w:val="none" w:sz="0" w:space="0" w:color="auto"/>
        <w:right w:val="none" w:sz="0" w:space="0" w:color="auto"/>
      </w:divBdr>
    </w:div>
    <w:div w:id="1130976698">
      <w:bodyDiv w:val="1"/>
      <w:marLeft w:val="0"/>
      <w:marRight w:val="0"/>
      <w:marTop w:val="0"/>
      <w:marBottom w:val="0"/>
      <w:divBdr>
        <w:top w:val="none" w:sz="0" w:space="0" w:color="auto"/>
        <w:left w:val="none" w:sz="0" w:space="0" w:color="auto"/>
        <w:bottom w:val="none" w:sz="0" w:space="0" w:color="auto"/>
        <w:right w:val="none" w:sz="0" w:space="0" w:color="auto"/>
      </w:divBdr>
    </w:div>
    <w:div w:id="1131094173">
      <w:bodyDiv w:val="1"/>
      <w:marLeft w:val="0"/>
      <w:marRight w:val="0"/>
      <w:marTop w:val="0"/>
      <w:marBottom w:val="0"/>
      <w:divBdr>
        <w:top w:val="none" w:sz="0" w:space="0" w:color="auto"/>
        <w:left w:val="none" w:sz="0" w:space="0" w:color="auto"/>
        <w:bottom w:val="none" w:sz="0" w:space="0" w:color="auto"/>
        <w:right w:val="none" w:sz="0" w:space="0" w:color="auto"/>
      </w:divBdr>
    </w:div>
    <w:div w:id="1131240477">
      <w:bodyDiv w:val="1"/>
      <w:marLeft w:val="0"/>
      <w:marRight w:val="0"/>
      <w:marTop w:val="0"/>
      <w:marBottom w:val="0"/>
      <w:divBdr>
        <w:top w:val="none" w:sz="0" w:space="0" w:color="auto"/>
        <w:left w:val="none" w:sz="0" w:space="0" w:color="auto"/>
        <w:bottom w:val="none" w:sz="0" w:space="0" w:color="auto"/>
        <w:right w:val="none" w:sz="0" w:space="0" w:color="auto"/>
      </w:divBdr>
    </w:div>
    <w:div w:id="1131249276">
      <w:bodyDiv w:val="1"/>
      <w:marLeft w:val="0"/>
      <w:marRight w:val="0"/>
      <w:marTop w:val="0"/>
      <w:marBottom w:val="0"/>
      <w:divBdr>
        <w:top w:val="none" w:sz="0" w:space="0" w:color="auto"/>
        <w:left w:val="none" w:sz="0" w:space="0" w:color="auto"/>
        <w:bottom w:val="none" w:sz="0" w:space="0" w:color="auto"/>
        <w:right w:val="none" w:sz="0" w:space="0" w:color="auto"/>
      </w:divBdr>
    </w:div>
    <w:div w:id="1131290393">
      <w:bodyDiv w:val="1"/>
      <w:marLeft w:val="0"/>
      <w:marRight w:val="0"/>
      <w:marTop w:val="0"/>
      <w:marBottom w:val="0"/>
      <w:divBdr>
        <w:top w:val="none" w:sz="0" w:space="0" w:color="auto"/>
        <w:left w:val="none" w:sz="0" w:space="0" w:color="auto"/>
        <w:bottom w:val="none" w:sz="0" w:space="0" w:color="auto"/>
        <w:right w:val="none" w:sz="0" w:space="0" w:color="auto"/>
      </w:divBdr>
    </w:div>
    <w:div w:id="1131435499">
      <w:bodyDiv w:val="1"/>
      <w:marLeft w:val="0"/>
      <w:marRight w:val="0"/>
      <w:marTop w:val="0"/>
      <w:marBottom w:val="0"/>
      <w:divBdr>
        <w:top w:val="none" w:sz="0" w:space="0" w:color="auto"/>
        <w:left w:val="none" w:sz="0" w:space="0" w:color="auto"/>
        <w:bottom w:val="none" w:sz="0" w:space="0" w:color="auto"/>
        <w:right w:val="none" w:sz="0" w:space="0" w:color="auto"/>
      </w:divBdr>
    </w:div>
    <w:div w:id="1131437171">
      <w:bodyDiv w:val="1"/>
      <w:marLeft w:val="0"/>
      <w:marRight w:val="0"/>
      <w:marTop w:val="0"/>
      <w:marBottom w:val="0"/>
      <w:divBdr>
        <w:top w:val="none" w:sz="0" w:space="0" w:color="auto"/>
        <w:left w:val="none" w:sz="0" w:space="0" w:color="auto"/>
        <w:bottom w:val="none" w:sz="0" w:space="0" w:color="auto"/>
        <w:right w:val="none" w:sz="0" w:space="0" w:color="auto"/>
      </w:divBdr>
    </w:div>
    <w:div w:id="1131481491">
      <w:bodyDiv w:val="1"/>
      <w:marLeft w:val="0"/>
      <w:marRight w:val="0"/>
      <w:marTop w:val="0"/>
      <w:marBottom w:val="0"/>
      <w:divBdr>
        <w:top w:val="none" w:sz="0" w:space="0" w:color="auto"/>
        <w:left w:val="none" w:sz="0" w:space="0" w:color="auto"/>
        <w:bottom w:val="none" w:sz="0" w:space="0" w:color="auto"/>
        <w:right w:val="none" w:sz="0" w:space="0" w:color="auto"/>
      </w:divBdr>
    </w:div>
    <w:div w:id="1131486054">
      <w:bodyDiv w:val="1"/>
      <w:marLeft w:val="0"/>
      <w:marRight w:val="0"/>
      <w:marTop w:val="0"/>
      <w:marBottom w:val="0"/>
      <w:divBdr>
        <w:top w:val="none" w:sz="0" w:space="0" w:color="auto"/>
        <w:left w:val="none" w:sz="0" w:space="0" w:color="auto"/>
        <w:bottom w:val="none" w:sz="0" w:space="0" w:color="auto"/>
        <w:right w:val="none" w:sz="0" w:space="0" w:color="auto"/>
      </w:divBdr>
    </w:div>
    <w:div w:id="1131509383">
      <w:bodyDiv w:val="1"/>
      <w:marLeft w:val="0"/>
      <w:marRight w:val="0"/>
      <w:marTop w:val="0"/>
      <w:marBottom w:val="0"/>
      <w:divBdr>
        <w:top w:val="none" w:sz="0" w:space="0" w:color="auto"/>
        <w:left w:val="none" w:sz="0" w:space="0" w:color="auto"/>
        <w:bottom w:val="none" w:sz="0" w:space="0" w:color="auto"/>
        <w:right w:val="none" w:sz="0" w:space="0" w:color="auto"/>
      </w:divBdr>
    </w:div>
    <w:div w:id="1131552032">
      <w:bodyDiv w:val="1"/>
      <w:marLeft w:val="0"/>
      <w:marRight w:val="0"/>
      <w:marTop w:val="0"/>
      <w:marBottom w:val="0"/>
      <w:divBdr>
        <w:top w:val="none" w:sz="0" w:space="0" w:color="auto"/>
        <w:left w:val="none" w:sz="0" w:space="0" w:color="auto"/>
        <w:bottom w:val="none" w:sz="0" w:space="0" w:color="auto"/>
        <w:right w:val="none" w:sz="0" w:space="0" w:color="auto"/>
      </w:divBdr>
    </w:div>
    <w:div w:id="1131553093">
      <w:bodyDiv w:val="1"/>
      <w:marLeft w:val="0"/>
      <w:marRight w:val="0"/>
      <w:marTop w:val="0"/>
      <w:marBottom w:val="0"/>
      <w:divBdr>
        <w:top w:val="none" w:sz="0" w:space="0" w:color="auto"/>
        <w:left w:val="none" w:sz="0" w:space="0" w:color="auto"/>
        <w:bottom w:val="none" w:sz="0" w:space="0" w:color="auto"/>
        <w:right w:val="none" w:sz="0" w:space="0" w:color="auto"/>
      </w:divBdr>
    </w:div>
    <w:div w:id="1131630027">
      <w:bodyDiv w:val="1"/>
      <w:marLeft w:val="0"/>
      <w:marRight w:val="0"/>
      <w:marTop w:val="0"/>
      <w:marBottom w:val="0"/>
      <w:divBdr>
        <w:top w:val="none" w:sz="0" w:space="0" w:color="auto"/>
        <w:left w:val="none" w:sz="0" w:space="0" w:color="auto"/>
        <w:bottom w:val="none" w:sz="0" w:space="0" w:color="auto"/>
        <w:right w:val="none" w:sz="0" w:space="0" w:color="auto"/>
      </w:divBdr>
    </w:div>
    <w:div w:id="1131747344">
      <w:bodyDiv w:val="1"/>
      <w:marLeft w:val="0"/>
      <w:marRight w:val="0"/>
      <w:marTop w:val="0"/>
      <w:marBottom w:val="0"/>
      <w:divBdr>
        <w:top w:val="none" w:sz="0" w:space="0" w:color="auto"/>
        <w:left w:val="none" w:sz="0" w:space="0" w:color="auto"/>
        <w:bottom w:val="none" w:sz="0" w:space="0" w:color="auto"/>
        <w:right w:val="none" w:sz="0" w:space="0" w:color="auto"/>
      </w:divBdr>
    </w:div>
    <w:div w:id="1131898666">
      <w:bodyDiv w:val="1"/>
      <w:marLeft w:val="0"/>
      <w:marRight w:val="0"/>
      <w:marTop w:val="0"/>
      <w:marBottom w:val="0"/>
      <w:divBdr>
        <w:top w:val="none" w:sz="0" w:space="0" w:color="auto"/>
        <w:left w:val="none" w:sz="0" w:space="0" w:color="auto"/>
        <w:bottom w:val="none" w:sz="0" w:space="0" w:color="auto"/>
        <w:right w:val="none" w:sz="0" w:space="0" w:color="auto"/>
      </w:divBdr>
    </w:div>
    <w:div w:id="1132098026">
      <w:bodyDiv w:val="1"/>
      <w:marLeft w:val="0"/>
      <w:marRight w:val="0"/>
      <w:marTop w:val="0"/>
      <w:marBottom w:val="0"/>
      <w:divBdr>
        <w:top w:val="none" w:sz="0" w:space="0" w:color="auto"/>
        <w:left w:val="none" w:sz="0" w:space="0" w:color="auto"/>
        <w:bottom w:val="none" w:sz="0" w:space="0" w:color="auto"/>
        <w:right w:val="none" w:sz="0" w:space="0" w:color="auto"/>
      </w:divBdr>
    </w:div>
    <w:div w:id="1132282373">
      <w:bodyDiv w:val="1"/>
      <w:marLeft w:val="0"/>
      <w:marRight w:val="0"/>
      <w:marTop w:val="0"/>
      <w:marBottom w:val="0"/>
      <w:divBdr>
        <w:top w:val="none" w:sz="0" w:space="0" w:color="auto"/>
        <w:left w:val="none" w:sz="0" w:space="0" w:color="auto"/>
        <w:bottom w:val="none" w:sz="0" w:space="0" w:color="auto"/>
        <w:right w:val="none" w:sz="0" w:space="0" w:color="auto"/>
      </w:divBdr>
    </w:div>
    <w:div w:id="1132287613">
      <w:bodyDiv w:val="1"/>
      <w:marLeft w:val="0"/>
      <w:marRight w:val="0"/>
      <w:marTop w:val="0"/>
      <w:marBottom w:val="0"/>
      <w:divBdr>
        <w:top w:val="none" w:sz="0" w:space="0" w:color="auto"/>
        <w:left w:val="none" w:sz="0" w:space="0" w:color="auto"/>
        <w:bottom w:val="none" w:sz="0" w:space="0" w:color="auto"/>
        <w:right w:val="none" w:sz="0" w:space="0" w:color="auto"/>
      </w:divBdr>
    </w:div>
    <w:div w:id="1132291820">
      <w:bodyDiv w:val="1"/>
      <w:marLeft w:val="0"/>
      <w:marRight w:val="0"/>
      <w:marTop w:val="0"/>
      <w:marBottom w:val="0"/>
      <w:divBdr>
        <w:top w:val="none" w:sz="0" w:space="0" w:color="auto"/>
        <w:left w:val="none" w:sz="0" w:space="0" w:color="auto"/>
        <w:bottom w:val="none" w:sz="0" w:space="0" w:color="auto"/>
        <w:right w:val="none" w:sz="0" w:space="0" w:color="auto"/>
      </w:divBdr>
    </w:div>
    <w:div w:id="1132360955">
      <w:bodyDiv w:val="1"/>
      <w:marLeft w:val="0"/>
      <w:marRight w:val="0"/>
      <w:marTop w:val="0"/>
      <w:marBottom w:val="0"/>
      <w:divBdr>
        <w:top w:val="none" w:sz="0" w:space="0" w:color="auto"/>
        <w:left w:val="none" w:sz="0" w:space="0" w:color="auto"/>
        <w:bottom w:val="none" w:sz="0" w:space="0" w:color="auto"/>
        <w:right w:val="none" w:sz="0" w:space="0" w:color="auto"/>
      </w:divBdr>
    </w:div>
    <w:div w:id="1132361769">
      <w:bodyDiv w:val="1"/>
      <w:marLeft w:val="0"/>
      <w:marRight w:val="0"/>
      <w:marTop w:val="0"/>
      <w:marBottom w:val="0"/>
      <w:divBdr>
        <w:top w:val="none" w:sz="0" w:space="0" w:color="auto"/>
        <w:left w:val="none" w:sz="0" w:space="0" w:color="auto"/>
        <w:bottom w:val="none" w:sz="0" w:space="0" w:color="auto"/>
        <w:right w:val="none" w:sz="0" w:space="0" w:color="auto"/>
      </w:divBdr>
    </w:div>
    <w:div w:id="1132404021">
      <w:bodyDiv w:val="1"/>
      <w:marLeft w:val="0"/>
      <w:marRight w:val="0"/>
      <w:marTop w:val="0"/>
      <w:marBottom w:val="0"/>
      <w:divBdr>
        <w:top w:val="none" w:sz="0" w:space="0" w:color="auto"/>
        <w:left w:val="none" w:sz="0" w:space="0" w:color="auto"/>
        <w:bottom w:val="none" w:sz="0" w:space="0" w:color="auto"/>
        <w:right w:val="none" w:sz="0" w:space="0" w:color="auto"/>
      </w:divBdr>
    </w:div>
    <w:div w:id="1132406963">
      <w:bodyDiv w:val="1"/>
      <w:marLeft w:val="0"/>
      <w:marRight w:val="0"/>
      <w:marTop w:val="0"/>
      <w:marBottom w:val="0"/>
      <w:divBdr>
        <w:top w:val="none" w:sz="0" w:space="0" w:color="auto"/>
        <w:left w:val="none" w:sz="0" w:space="0" w:color="auto"/>
        <w:bottom w:val="none" w:sz="0" w:space="0" w:color="auto"/>
        <w:right w:val="none" w:sz="0" w:space="0" w:color="auto"/>
      </w:divBdr>
    </w:div>
    <w:div w:id="1132409080">
      <w:bodyDiv w:val="1"/>
      <w:marLeft w:val="0"/>
      <w:marRight w:val="0"/>
      <w:marTop w:val="0"/>
      <w:marBottom w:val="0"/>
      <w:divBdr>
        <w:top w:val="none" w:sz="0" w:space="0" w:color="auto"/>
        <w:left w:val="none" w:sz="0" w:space="0" w:color="auto"/>
        <w:bottom w:val="none" w:sz="0" w:space="0" w:color="auto"/>
        <w:right w:val="none" w:sz="0" w:space="0" w:color="auto"/>
      </w:divBdr>
    </w:div>
    <w:div w:id="1132678583">
      <w:bodyDiv w:val="1"/>
      <w:marLeft w:val="0"/>
      <w:marRight w:val="0"/>
      <w:marTop w:val="0"/>
      <w:marBottom w:val="0"/>
      <w:divBdr>
        <w:top w:val="none" w:sz="0" w:space="0" w:color="auto"/>
        <w:left w:val="none" w:sz="0" w:space="0" w:color="auto"/>
        <w:bottom w:val="none" w:sz="0" w:space="0" w:color="auto"/>
        <w:right w:val="none" w:sz="0" w:space="0" w:color="auto"/>
      </w:divBdr>
    </w:div>
    <w:div w:id="1132792941">
      <w:bodyDiv w:val="1"/>
      <w:marLeft w:val="0"/>
      <w:marRight w:val="0"/>
      <w:marTop w:val="0"/>
      <w:marBottom w:val="0"/>
      <w:divBdr>
        <w:top w:val="none" w:sz="0" w:space="0" w:color="auto"/>
        <w:left w:val="none" w:sz="0" w:space="0" w:color="auto"/>
        <w:bottom w:val="none" w:sz="0" w:space="0" w:color="auto"/>
        <w:right w:val="none" w:sz="0" w:space="0" w:color="auto"/>
      </w:divBdr>
    </w:div>
    <w:div w:id="1132862267">
      <w:bodyDiv w:val="1"/>
      <w:marLeft w:val="0"/>
      <w:marRight w:val="0"/>
      <w:marTop w:val="0"/>
      <w:marBottom w:val="0"/>
      <w:divBdr>
        <w:top w:val="none" w:sz="0" w:space="0" w:color="auto"/>
        <w:left w:val="none" w:sz="0" w:space="0" w:color="auto"/>
        <w:bottom w:val="none" w:sz="0" w:space="0" w:color="auto"/>
        <w:right w:val="none" w:sz="0" w:space="0" w:color="auto"/>
      </w:divBdr>
    </w:div>
    <w:div w:id="1133057295">
      <w:bodyDiv w:val="1"/>
      <w:marLeft w:val="0"/>
      <w:marRight w:val="0"/>
      <w:marTop w:val="0"/>
      <w:marBottom w:val="0"/>
      <w:divBdr>
        <w:top w:val="none" w:sz="0" w:space="0" w:color="auto"/>
        <w:left w:val="none" w:sz="0" w:space="0" w:color="auto"/>
        <w:bottom w:val="none" w:sz="0" w:space="0" w:color="auto"/>
        <w:right w:val="none" w:sz="0" w:space="0" w:color="auto"/>
      </w:divBdr>
    </w:div>
    <w:div w:id="1133063289">
      <w:bodyDiv w:val="1"/>
      <w:marLeft w:val="0"/>
      <w:marRight w:val="0"/>
      <w:marTop w:val="0"/>
      <w:marBottom w:val="0"/>
      <w:divBdr>
        <w:top w:val="none" w:sz="0" w:space="0" w:color="auto"/>
        <w:left w:val="none" w:sz="0" w:space="0" w:color="auto"/>
        <w:bottom w:val="none" w:sz="0" w:space="0" w:color="auto"/>
        <w:right w:val="none" w:sz="0" w:space="0" w:color="auto"/>
      </w:divBdr>
    </w:div>
    <w:div w:id="1133064689">
      <w:bodyDiv w:val="1"/>
      <w:marLeft w:val="0"/>
      <w:marRight w:val="0"/>
      <w:marTop w:val="0"/>
      <w:marBottom w:val="0"/>
      <w:divBdr>
        <w:top w:val="none" w:sz="0" w:space="0" w:color="auto"/>
        <w:left w:val="none" w:sz="0" w:space="0" w:color="auto"/>
        <w:bottom w:val="none" w:sz="0" w:space="0" w:color="auto"/>
        <w:right w:val="none" w:sz="0" w:space="0" w:color="auto"/>
      </w:divBdr>
    </w:div>
    <w:div w:id="1133134282">
      <w:bodyDiv w:val="1"/>
      <w:marLeft w:val="0"/>
      <w:marRight w:val="0"/>
      <w:marTop w:val="0"/>
      <w:marBottom w:val="0"/>
      <w:divBdr>
        <w:top w:val="none" w:sz="0" w:space="0" w:color="auto"/>
        <w:left w:val="none" w:sz="0" w:space="0" w:color="auto"/>
        <w:bottom w:val="none" w:sz="0" w:space="0" w:color="auto"/>
        <w:right w:val="none" w:sz="0" w:space="0" w:color="auto"/>
      </w:divBdr>
    </w:div>
    <w:div w:id="1133138189">
      <w:bodyDiv w:val="1"/>
      <w:marLeft w:val="0"/>
      <w:marRight w:val="0"/>
      <w:marTop w:val="0"/>
      <w:marBottom w:val="0"/>
      <w:divBdr>
        <w:top w:val="none" w:sz="0" w:space="0" w:color="auto"/>
        <w:left w:val="none" w:sz="0" w:space="0" w:color="auto"/>
        <w:bottom w:val="none" w:sz="0" w:space="0" w:color="auto"/>
        <w:right w:val="none" w:sz="0" w:space="0" w:color="auto"/>
      </w:divBdr>
    </w:div>
    <w:div w:id="1133208726">
      <w:bodyDiv w:val="1"/>
      <w:marLeft w:val="0"/>
      <w:marRight w:val="0"/>
      <w:marTop w:val="0"/>
      <w:marBottom w:val="0"/>
      <w:divBdr>
        <w:top w:val="none" w:sz="0" w:space="0" w:color="auto"/>
        <w:left w:val="none" w:sz="0" w:space="0" w:color="auto"/>
        <w:bottom w:val="none" w:sz="0" w:space="0" w:color="auto"/>
        <w:right w:val="none" w:sz="0" w:space="0" w:color="auto"/>
      </w:divBdr>
    </w:div>
    <w:div w:id="1133210749">
      <w:bodyDiv w:val="1"/>
      <w:marLeft w:val="0"/>
      <w:marRight w:val="0"/>
      <w:marTop w:val="0"/>
      <w:marBottom w:val="0"/>
      <w:divBdr>
        <w:top w:val="none" w:sz="0" w:space="0" w:color="auto"/>
        <w:left w:val="none" w:sz="0" w:space="0" w:color="auto"/>
        <w:bottom w:val="none" w:sz="0" w:space="0" w:color="auto"/>
        <w:right w:val="none" w:sz="0" w:space="0" w:color="auto"/>
      </w:divBdr>
    </w:div>
    <w:div w:id="1133249319">
      <w:bodyDiv w:val="1"/>
      <w:marLeft w:val="0"/>
      <w:marRight w:val="0"/>
      <w:marTop w:val="0"/>
      <w:marBottom w:val="0"/>
      <w:divBdr>
        <w:top w:val="none" w:sz="0" w:space="0" w:color="auto"/>
        <w:left w:val="none" w:sz="0" w:space="0" w:color="auto"/>
        <w:bottom w:val="none" w:sz="0" w:space="0" w:color="auto"/>
        <w:right w:val="none" w:sz="0" w:space="0" w:color="auto"/>
      </w:divBdr>
    </w:div>
    <w:div w:id="1133404840">
      <w:bodyDiv w:val="1"/>
      <w:marLeft w:val="0"/>
      <w:marRight w:val="0"/>
      <w:marTop w:val="0"/>
      <w:marBottom w:val="0"/>
      <w:divBdr>
        <w:top w:val="none" w:sz="0" w:space="0" w:color="auto"/>
        <w:left w:val="none" w:sz="0" w:space="0" w:color="auto"/>
        <w:bottom w:val="none" w:sz="0" w:space="0" w:color="auto"/>
        <w:right w:val="none" w:sz="0" w:space="0" w:color="auto"/>
      </w:divBdr>
    </w:div>
    <w:div w:id="1133526996">
      <w:bodyDiv w:val="1"/>
      <w:marLeft w:val="0"/>
      <w:marRight w:val="0"/>
      <w:marTop w:val="0"/>
      <w:marBottom w:val="0"/>
      <w:divBdr>
        <w:top w:val="none" w:sz="0" w:space="0" w:color="auto"/>
        <w:left w:val="none" w:sz="0" w:space="0" w:color="auto"/>
        <w:bottom w:val="none" w:sz="0" w:space="0" w:color="auto"/>
        <w:right w:val="none" w:sz="0" w:space="0" w:color="auto"/>
      </w:divBdr>
    </w:div>
    <w:div w:id="1133866900">
      <w:bodyDiv w:val="1"/>
      <w:marLeft w:val="0"/>
      <w:marRight w:val="0"/>
      <w:marTop w:val="0"/>
      <w:marBottom w:val="0"/>
      <w:divBdr>
        <w:top w:val="none" w:sz="0" w:space="0" w:color="auto"/>
        <w:left w:val="none" w:sz="0" w:space="0" w:color="auto"/>
        <w:bottom w:val="none" w:sz="0" w:space="0" w:color="auto"/>
        <w:right w:val="none" w:sz="0" w:space="0" w:color="auto"/>
      </w:divBdr>
    </w:div>
    <w:div w:id="1134130710">
      <w:bodyDiv w:val="1"/>
      <w:marLeft w:val="0"/>
      <w:marRight w:val="0"/>
      <w:marTop w:val="0"/>
      <w:marBottom w:val="0"/>
      <w:divBdr>
        <w:top w:val="none" w:sz="0" w:space="0" w:color="auto"/>
        <w:left w:val="none" w:sz="0" w:space="0" w:color="auto"/>
        <w:bottom w:val="none" w:sz="0" w:space="0" w:color="auto"/>
        <w:right w:val="none" w:sz="0" w:space="0" w:color="auto"/>
      </w:divBdr>
    </w:div>
    <w:div w:id="1134326866">
      <w:bodyDiv w:val="1"/>
      <w:marLeft w:val="0"/>
      <w:marRight w:val="0"/>
      <w:marTop w:val="0"/>
      <w:marBottom w:val="0"/>
      <w:divBdr>
        <w:top w:val="none" w:sz="0" w:space="0" w:color="auto"/>
        <w:left w:val="none" w:sz="0" w:space="0" w:color="auto"/>
        <w:bottom w:val="none" w:sz="0" w:space="0" w:color="auto"/>
        <w:right w:val="none" w:sz="0" w:space="0" w:color="auto"/>
      </w:divBdr>
    </w:div>
    <w:div w:id="1134371829">
      <w:bodyDiv w:val="1"/>
      <w:marLeft w:val="0"/>
      <w:marRight w:val="0"/>
      <w:marTop w:val="0"/>
      <w:marBottom w:val="0"/>
      <w:divBdr>
        <w:top w:val="none" w:sz="0" w:space="0" w:color="auto"/>
        <w:left w:val="none" w:sz="0" w:space="0" w:color="auto"/>
        <w:bottom w:val="none" w:sz="0" w:space="0" w:color="auto"/>
        <w:right w:val="none" w:sz="0" w:space="0" w:color="auto"/>
      </w:divBdr>
    </w:div>
    <w:div w:id="1134371924">
      <w:bodyDiv w:val="1"/>
      <w:marLeft w:val="0"/>
      <w:marRight w:val="0"/>
      <w:marTop w:val="0"/>
      <w:marBottom w:val="0"/>
      <w:divBdr>
        <w:top w:val="none" w:sz="0" w:space="0" w:color="auto"/>
        <w:left w:val="none" w:sz="0" w:space="0" w:color="auto"/>
        <w:bottom w:val="none" w:sz="0" w:space="0" w:color="auto"/>
        <w:right w:val="none" w:sz="0" w:space="0" w:color="auto"/>
      </w:divBdr>
    </w:div>
    <w:div w:id="1134719241">
      <w:bodyDiv w:val="1"/>
      <w:marLeft w:val="0"/>
      <w:marRight w:val="0"/>
      <w:marTop w:val="0"/>
      <w:marBottom w:val="0"/>
      <w:divBdr>
        <w:top w:val="none" w:sz="0" w:space="0" w:color="auto"/>
        <w:left w:val="none" w:sz="0" w:space="0" w:color="auto"/>
        <w:bottom w:val="none" w:sz="0" w:space="0" w:color="auto"/>
        <w:right w:val="none" w:sz="0" w:space="0" w:color="auto"/>
      </w:divBdr>
    </w:div>
    <w:div w:id="1134983295">
      <w:bodyDiv w:val="1"/>
      <w:marLeft w:val="0"/>
      <w:marRight w:val="0"/>
      <w:marTop w:val="0"/>
      <w:marBottom w:val="0"/>
      <w:divBdr>
        <w:top w:val="none" w:sz="0" w:space="0" w:color="auto"/>
        <w:left w:val="none" w:sz="0" w:space="0" w:color="auto"/>
        <w:bottom w:val="none" w:sz="0" w:space="0" w:color="auto"/>
        <w:right w:val="none" w:sz="0" w:space="0" w:color="auto"/>
      </w:divBdr>
    </w:div>
    <w:div w:id="1135174029">
      <w:bodyDiv w:val="1"/>
      <w:marLeft w:val="0"/>
      <w:marRight w:val="0"/>
      <w:marTop w:val="0"/>
      <w:marBottom w:val="0"/>
      <w:divBdr>
        <w:top w:val="none" w:sz="0" w:space="0" w:color="auto"/>
        <w:left w:val="none" w:sz="0" w:space="0" w:color="auto"/>
        <w:bottom w:val="none" w:sz="0" w:space="0" w:color="auto"/>
        <w:right w:val="none" w:sz="0" w:space="0" w:color="auto"/>
      </w:divBdr>
    </w:div>
    <w:div w:id="1135365482">
      <w:bodyDiv w:val="1"/>
      <w:marLeft w:val="0"/>
      <w:marRight w:val="0"/>
      <w:marTop w:val="0"/>
      <w:marBottom w:val="0"/>
      <w:divBdr>
        <w:top w:val="none" w:sz="0" w:space="0" w:color="auto"/>
        <w:left w:val="none" w:sz="0" w:space="0" w:color="auto"/>
        <w:bottom w:val="none" w:sz="0" w:space="0" w:color="auto"/>
        <w:right w:val="none" w:sz="0" w:space="0" w:color="auto"/>
      </w:divBdr>
    </w:div>
    <w:div w:id="1135442030">
      <w:bodyDiv w:val="1"/>
      <w:marLeft w:val="0"/>
      <w:marRight w:val="0"/>
      <w:marTop w:val="0"/>
      <w:marBottom w:val="0"/>
      <w:divBdr>
        <w:top w:val="none" w:sz="0" w:space="0" w:color="auto"/>
        <w:left w:val="none" w:sz="0" w:space="0" w:color="auto"/>
        <w:bottom w:val="none" w:sz="0" w:space="0" w:color="auto"/>
        <w:right w:val="none" w:sz="0" w:space="0" w:color="auto"/>
      </w:divBdr>
    </w:div>
    <w:div w:id="1135484099">
      <w:bodyDiv w:val="1"/>
      <w:marLeft w:val="0"/>
      <w:marRight w:val="0"/>
      <w:marTop w:val="0"/>
      <w:marBottom w:val="0"/>
      <w:divBdr>
        <w:top w:val="none" w:sz="0" w:space="0" w:color="auto"/>
        <w:left w:val="none" w:sz="0" w:space="0" w:color="auto"/>
        <w:bottom w:val="none" w:sz="0" w:space="0" w:color="auto"/>
        <w:right w:val="none" w:sz="0" w:space="0" w:color="auto"/>
      </w:divBdr>
    </w:div>
    <w:div w:id="1135492946">
      <w:bodyDiv w:val="1"/>
      <w:marLeft w:val="0"/>
      <w:marRight w:val="0"/>
      <w:marTop w:val="0"/>
      <w:marBottom w:val="0"/>
      <w:divBdr>
        <w:top w:val="none" w:sz="0" w:space="0" w:color="auto"/>
        <w:left w:val="none" w:sz="0" w:space="0" w:color="auto"/>
        <w:bottom w:val="none" w:sz="0" w:space="0" w:color="auto"/>
        <w:right w:val="none" w:sz="0" w:space="0" w:color="auto"/>
      </w:divBdr>
    </w:div>
    <w:div w:id="1135636039">
      <w:bodyDiv w:val="1"/>
      <w:marLeft w:val="0"/>
      <w:marRight w:val="0"/>
      <w:marTop w:val="0"/>
      <w:marBottom w:val="0"/>
      <w:divBdr>
        <w:top w:val="none" w:sz="0" w:space="0" w:color="auto"/>
        <w:left w:val="none" w:sz="0" w:space="0" w:color="auto"/>
        <w:bottom w:val="none" w:sz="0" w:space="0" w:color="auto"/>
        <w:right w:val="none" w:sz="0" w:space="0" w:color="auto"/>
      </w:divBdr>
    </w:div>
    <w:div w:id="1135677211">
      <w:bodyDiv w:val="1"/>
      <w:marLeft w:val="0"/>
      <w:marRight w:val="0"/>
      <w:marTop w:val="0"/>
      <w:marBottom w:val="0"/>
      <w:divBdr>
        <w:top w:val="none" w:sz="0" w:space="0" w:color="auto"/>
        <w:left w:val="none" w:sz="0" w:space="0" w:color="auto"/>
        <w:bottom w:val="none" w:sz="0" w:space="0" w:color="auto"/>
        <w:right w:val="none" w:sz="0" w:space="0" w:color="auto"/>
      </w:divBdr>
    </w:div>
    <w:div w:id="1135680593">
      <w:bodyDiv w:val="1"/>
      <w:marLeft w:val="0"/>
      <w:marRight w:val="0"/>
      <w:marTop w:val="0"/>
      <w:marBottom w:val="0"/>
      <w:divBdr>
        <w:top w:val="none" w:sz="0" w:space="0" w:color="auto"/>
        <w:left w:val="none" w:sz="0" w:space="0" w:color="auto"/>
        <w:bottom w:val="none" w:sz="0" w:space="0" w:color="auto"/>
        <w:right w:val="none" w:sz="0" w:space="0" w:color="auto"/>
      </w:divBdr>
    </w:div>
    <w:div w:id="1135683708">
      <w:bodyDiv w:val="1"/>
      <w:marLeft w:val="0"/>
      <w:marRight w:val="0"/>
      <w:marTop w:val="0"/>
      <w:marBottom w:val="0"/>
      <w:divBdr>
        <w:top w:val="none" w:sz="0" w:space="0" w:color="auto"/>
        <w:left w:val="none" w:sz="0" w:space="0" w:color="auto"/>
        <w:bottom w:val="none" w:sz="0" w:space="0" w:color="auto"/>
        <w:right w:val="none" w:sz="0" w:space="0" w:color="auto"/>
      </w:divBdr>
    </w:div>
    <w:div w:id="1135755371">
      <w:bodyDiv w:val="1"/>
      <w:marLeft w:val="0"/>
      <w:marRight w:val="0"/>
      <w:marTop w:val="0"/>
      <w:marBottom w:val="0"/>
      <w:divBdr>
        <w:top w:val="none" w:sz="0" w:space="0" w:color="auto"/>
        <w:left w:val="none" w:sz="0" w:space="0" w:color="auto"/>
        <w:bottom w:val="none" w:sz="0" w:space="0" w:color="auto"/>
        <w:right w:val="none" w:sz="0" w:space="0" w:color="auto"/>
      </w:divBdr>
    </w:div>
    <w:div w:id="1135757616">
      <w:bodyDiv w:val="1"/>
      <w:marLeft w:val="0"/>
      <w:marRight w:val="0"/>
      <w:marTop w:val="0"/>
      <w:marBottom w:val="0"/>
      <w:divBdr>
        <w:top w:val="none" w:sz="0" w:space="0" w:color="auto"/>
        <w:left w:val="none" w:sz="0" w:space="0" w:color="auto"/>
        <w:bottom w:val="none" w:sz="0" w:space="0" w:color="auto"/>
        <w:right w:val="none" w:sz="0" w:space="0" w:color="auto"/>
      </w:divBdr>
    </w:div>
    <w:div w:id="1135833331">
      <w:bodyDiv w:val="1"/>
      <w:marLeft w:val="0"/>
      <w:marRight w:val="0"/>
      <w:marTop w:val="0"/>
      <w:marBottom w:val="0"/>
      <w:divBdr>
        <w:top w:val="none" w:sz="0" w:space="0" w:color="auto"/>
        <w:left w:val="none" w:sz="0" w:space="0" w:color="auto"/>
        <w:bottom w:val="none" w:sz="0" w:space="0" w:color="auto"/>
        <w:right w:val="none" w:sz="0" w:space="0" w:color="auto"/>
      </w:divBdr>
    </w:div>
    <w:div w:id="1135947304">
      <w:bodyDiv w:val="1"/>
      <w:marLeft w:val="0"/>
      <w:marRight w:val="0"/>
      <w:marTop w:val="0"/>
      <w:marBottom w:val="0"/>
      <w:divBdr>
        <w:top w:val="none" w:sz="0" w:space="0" w:color="auto"/>
        <w:left w:val="none" w:sz="0" w:space="0" w:color="auto"/>
        <w:bottom w:val="none" w:sz="0" w:space="0" w:color="auto"/>
        <w:right w:val="none" w:sz="0" w:space="0" w:color="auto"/>
      </w:divBdr>
    </w:div>
    <w:div w:id="1136265566">
      <w:bodyDiv w:val="1"/>
      <w:marLeft w:val="0"/>
      <w:marRight w:val="0"/>
      <w:marTop w:val="0"/>
      <w:marBottom w:val="0"/>
      <w:divBdr>
        <w:top w:val="none" w:sz="0" w:space="0" w:color="auto"/>
        <w:left w:val="none" w:sz="0" w:space="0" w:color="auto"/>
        <w:bottom w:val="none" w:sz="0" w:space="0" w:color="auto"/>
        <w:right w:val="none" w:sz="0" w:space="0" w:color="auto"/>
      </w:divBdr>
    </w:div>
    <w:div w:id="1136292321">
      <w:bodyDiv w:val="1"/>
      <w:marLeft w:val="0"/>
      <w:marRight w:val="0"/>
      <w:marTop w:val="0"/>
      <w:marBottom w:val="0"/>
      <w:divBdr>
        <w:top w:val="none" w:sz="0" w:space="0" w:color="auto"/>
        <w:left w:val="none" w:sz="0" w:space="0" w:color="auto"/>
        <w:bottom w:val="none" w:sz="0" w:space="0" w:color="auto"/>
        <w:right w:val="none" w:sz="0" w:space="0" w:color="auto"/>
      </w:divBdr>
    </w:div>
    <w:div w:id="1136487707">
      <w:bodyDiv w:val="1"/>
      <w:marLeft w:val="0"/>
      <w:marRight w:val="0"/>
      <w:marTop w:val="0"/>
      <w:marBottom w:val="0"/>
      <w:divBdr>
        <w:top w:val="none" w:sz="0" w:space="0" w:color="auto"/>
        <w:left w:val="none" w:sz="0" w:space="0" w:color="auto"/>
        <w:bottom w:val="none" w:sz="0" w:space="0" w:color="auto"/>
        <w:right w:val="none" w:sz="0" w:space="0" w:color="auto"/>
      </w:divBdr>
    </w:div>
    <w:div w:id="1136533496">
      <w:bodyDiv w:val="1"/>
      <w:marLeft w:val="0"/>
      <w:marRight w:val="0"/>
      <w:marTop w:val="0"/>
      <w:marBottom w:val="0"/>
      <w:divBdr>
        <w:top w:val="none" w:sz="0" w:space="0" w:color="auto"/>
        <w:left w:val="none" w:sz="0" w:space="0" w:color="auto"/>
        <w:bottom w:val="none" w:sz="0" w:space="0" w:color="auto"/>
        <w:right w:val="none" w:sz="0" w:space="0" w:color="auto"/>
      </w:divBdr>
    </w:div>
    <w:div w:id="1136602854">
      <w:bodyDiv w:val="1"/>
      <w:marLeft w:val="0"/>
      <w:marRight w:val="0"/>
      <w:marTop w:val="0"/>
      <w:marBottom w:val="0"/>
      <w:divBdr>
        <w:top w:val="none" w:sz="0" w:space="0" w:color="auto"/>
        <w:left w:val="none" w:sz="0" w:space="0" w:color="auto"/>
        <w:bottom w:val="none" w:sz="0" w:space="0" w:color="auto"/>
        <w:right w:val="none" w:sz="0" w:space="0" w:color="auto"/>
      </w:divBdr>
    </w:div>
    <w:div w:id="1136607552">
      <w:bodyDiv w:val="1"/>
      <w:marLeft w:val="0"/>
      <w:marRight w:val="0"/>
      <w:marTop w:val="0"/>
      <w:marBottom w:val="0"/>
      <w:divBdr>
        <w:top w:val="none" w:sz="0" w:space="0" w:color="auto"/>
        <w:left w:val="none" w:sz="0" w:space="0" w:color="auto"/>
        <w:bottom w:val="none" w:sz="0" w:space="0" w:color="auto"/>
        <w:right w:val="none" w:sz="0" w:space="0" w:color="auto"/>
      </w:divBdr>
    </w:div>
    <w:div w:id="1136725998">
      <w:bodyDiv w:val="1"/>
      <w:marLeft w:val="0"/>
      <w:marRight w:val="0"/>
      <w:marTop w:val="0"/>
      <w:marBottom w:val="0"/>
      <w:divBdr>
        <w:top w:val="none" w:sz="0" w:space="0" w:color="auto"/>
        <w:left w:val="none" w:sz="0" w:space="0" w:color="auto"/>
        <w:bottom w:val="none" w:sz="0" w:space="0" w:color="auto"/>
        <w:right w:val="none" w:sz="0" w:space="0" w:color="auto"/>
      </w:divBdr>
    </w:div>
    <w:div w:id="1136726672">
      <w:bodyDiv w:val="1"/>
      <w:marLeft w:val="0"/>
      <w:marRight w:val="0"/>
      <w:marTop w:val="0"/>
      <w:marBottom w:val="0"/>
      <w:divBdr>
        <w:top w:val="none" w:sz="0" w:space="0" w:color="auto"/>
        <w:left w:val="none" w:sz="0" w:space="0" w:color="auto"/>
        <w:bottom w:val="none" w:sz="0" w:space="0" w:color="auto"/>
        <w:right w:val="none" w:sz="0" w:space="0" w:color="auto"/>
      </w:divBdr>
    </w:div>
    <w:div w:id="1136728163">
      <w:bodyDiv w:val="1"/>
      <w:marLeft w:val="0"/>
      <w:marRight w:val="0"/>
      <w:marTop w:val="0"/>
      <w:marBottom w:val="0"/>
      <w:divBdr>
        <w:top w:val="none" w:sz="0" w:space="0" w:color="auto"/>
        <w:left w:val="none" w:sz="0" w:space="0" w:color="auto"/>
        <w:bottom w:val="none" w:sz="0" w:space="0" w:color="auto"/>
        <w:right w:val="none" w:sz="0" w:space="0" w:color="auto"/>
      </w:divBdr>
    </w:div>
    <w:div w:id="1136874485">
      <w:bodyDiv w:val="1"/>
      <w:marLeft w:val="0"/>
      <w:marRight w:val="0"/>
      <w:marTop w:val="0"/>
      <w:marBottom w:val="0"/>
      <w:divBdr>
        <w:top w:val="none" w:sz="0" w:space="0" w:color="auto"/>
        <w:left w:val="none" w:sz="0" w:space="0" w:color="auto"/>
        <w:bottom w:val="none" w:sz="0" w:space="0" w:color="auto"/>
        <w:right w:val="none" w:sz="0" w:space="0" w:color="auto"/>
      </w:divBdr>
    </w:div>
    <w:div w:id="1136948284">
      <w:bodyDiv w:val="1"/>
      <w:marLeft w:val="0"/>
      <w:marRight w:val="0"/>
      <w:marTop w:val="0"/>
      <w:marBottom w:val="0"/>
      <w:divBdr>
        <w:top w:val="none" w:sz="0" w:space="0" w:color="auto"/>
        <w:left w:val="none" w:sz="0" w:space="0" w:color="auto"/>
        <w:bottom w:val="none" w:sz="0" w:space="0" w:color="auto"/>
        <w:right w:val="none" w:sz="0" w:space="0" w:color="auto"/>
      </w:divBdr>
    </w:div>
    <w:div w:id="1136949624">
      <w:bodyDiv w:val="1"/>
      <w:marLeft w:val="0"/>
      <w:marRight w:val="0"/>
      <w:marTop w:val="0"/>
      <w:marBottom w:val="0"/>
      <w:divBdr>
        <w:top w:val="none" w:sz="0" w:space="0" w:color="auto"/>
        <w:left w:val="none" w:sz="0" w:space="0" w:color="auto"/>
        <w:bottom w:val="none" w:sz="0" w:space="0" w:color="auto"/>
        <w:right w:val="none" w:sz="0" w:space="0" w:color="auto"/>
      </w:divBdr>
    </w:div>
    <w:div w:id="1137069995">
      <w:bodyDiv w:val="1"/>
      <w:marLeft w:val="0"/>
      <w:marRight w:val="0"/>
      <w:marTop w:val="0"/>
      <w:marBottom w:val="0"/>
      <w:divBdr>
        <w:top w:val="none" w:sz="0" w:space="0" w:color="auto"/>
        <w:left w:val="none" w:sz="0" w:space="0" w:color="auto"/>
        <w:bottom w:val="none" w:sz="0" w:space="0" w:color="auto"/>
        <w:right w:val="none" w:sz="0" w:space="0" w:color="auto"/>
      </w:divBdr>
    </w:div>
    <w:div w:id="1137256631">
      <w:bodyDiv w:val="1"/>
      <w:marLeft w:val="0"/>
      <w:marRight w:val="0"/>
      <w:marTop w:val="0"/>
      <w:marBottom w:val="0"/>
      <w:divBdr>
        <w:top w:val="none" w:sz="0" w:space="0" w:color="auto"/>
        <w:left w:val="none" w:sz="0" w:space="0" w:color="auto"/>
        <w:bottom w:val="none" w:sz="0" w:space="0" w:color="auto"/>
        <w:right w:val="none" w:sz="0" w:space="0" w:color="auto"/>
      </w:divBdr>
    </w:div>
    <w:div w:id="1137263235">
      <w:bodyDiv w:val="1"/>
      <w:marLeft w:val="0"/>
      <w:marRight w:val="0"/>
      <w:marTop w:val="0"/>
      <w:marBottom w:val="0"/>
      <w:divBdr>
        <w:top w:val="none" w:sz="0" w:space="0" w:color="auto"/>
        <w:left w:val="none" w:sz="0" w:space="0" w:color="auto"/>
        <w:bottom w:val="none" w:sz="0" w:space="0" w:color="auto"/>
        <w:right w:val="none" w:sz="0" w:space="0" w:color="auto"/>
      </w:divBdr>
    </w:div>
    <w:div w:id="1137331496">
      <w:bodyDiv w:val="1"/>
      <w:marLeft w:val="0"/>
      <w:marRight w:val="0"/>
      <w:marTop w:val="0"/>
      <w:marBottom w:val="0"/>
      <w:divBdr>
        <w:top w:val="none" w:sz="0" w:space="0" w:color="auto"/>
        <w:left w:val="none" w:sz="0" w:space="0" w:color="auto"/>
        <w:bottom w:val="none" w:sz="0" w:space="0" w:color="auto"/>
        <w:right w:val="none" w:sz="0" w:space="0" w:color="auto"/>
      </w:divBdr>
    </w:div>
    <w:div w:id="1137377527">
      <w:bodyDiv w:val="1"/>
      <w:marLeft w:val="0"/>
      <w:marRight w:val="0"/>
      <w:marTop w:val="0"/>
      <w:marBottom w:val="0"/>
      <w:divBdr>
        <w:top w:val="none" w:sz="0" w:space="0" w:color="auto"/>
        <w:left w:val="none" w:sz="0" w:space="0" w:color="auto"/>
        <w:bottom w:val="none" w:sz="0" w:space="0" w:color="auto"/>
        <w:right w:val="none" w:sz="0" w:space="0" w:color="auto"/>
      </w:divBdr>
    </w:div>
    <w:div w:id="1137454954">
      <w:bodyDiv w:val="1"/>
      <w:marLeft w:val="0"/>
      <w:marRight w:val="0"/>
      <w:marTop w:val="0"/>
      <w:marBottom w:val="0"/>
      <w:divBdr>
        <w:top w:val="none" w:sz="0" w:space="0" w:color="auto"/>
        <w:left w:val="none" w:sz="0" w:space="0" w:color="auto"/>
        <w:bottom w:val="none" w:sz="0" w:space="0" w:color="auto"/>
        <w:right w:val="none" w:sz="0" w:space="0" w:color="auto"/>
      </w:divBdr>
    </w:div>
    <w:div w:id="1137527505">
      <w:bodyDiv w:val="1"/>
      <w:marLeft w:val="0"/>
      <w:marRight w:val="0"/>
      <w:marTop w:val="0"/>
      <w:marBottom w:val="0"/>
      <w:divBdr>
        <w:top w:val="none" w:sz="0" w:space="0" w:color="auto"/>
        <w:left w:val="none" w:sz="0" w:space="0" w:color="auto"/>
        <w:bottom w:val="none" w:sz="0" w:space="0" w:color="auto"/>
        <w:right w:val="none" w:sz="0" w:space="0" w:color="auto"/>
      </w:divBdr>
    </w:div>
    <w:div w:id="1137574037">
      <w:bodyDiv w:val="1"/>
      <w:marLeft w:val="0"/>
      <w:marRight w:val="0"/>
      <w:marTop w:val="0"/>
      <w:marBottom w:val="0"/>
      <w:divBdr>
        <w:top w:val="none" w:sz="0" w:space="0" w:color="auto"/>
        <w:left w:val="none" w:sz="0" w:space="0" w:color="auto"/>
        <w:bottom w:val="none" w:sz="0" w:space="0" w:color="auto"/>
        <w:right w:val="none" w:sz="0" w:space="0" w:color="auto"/>
      </w:divBdr>
    </w:div>
    <w:div w:id="1137721018">
      <w:bodyDiv w:val="1"/>
      <w:marLeft w:val="0"/>
      <w:marRight w:val="0"/>
      <w:marTop w:val="0"/>
      <w:marBottom w:val="0"/>
      <w:divBdr>
        <w:top w:val="none" w:sz="0" w:space="0" w:color="auto"/>
        <w:left w:val="none" w:sz="0" w:space="0" w:color="auto"/>
        <w:bottom w:val="none" w:sz="0" w:space="0" w:color="auto"/>
        <w:right w:val="none" w:sz="0" w:space="0" w:color="auto"/>
      </w:divBdr>
    </w:div>
    <w:div w:id="1137802025">
      <w:bodyDiv w:val="1"/>
      <w:marLeft w:val="0"/>
      <w:marRight w:val="0"/>
      <w:marTop w:val="0"/>
      <w:marBottom w:val="0"/>
      <w:divBdr>
        <w:top w:val="none" w:sz="0" w:space="0" w:color="auto"/>
        <w:left w:val="none" w:sz="0" w:space="0" w:color="auto"/>
        <w:bottom w:val="none" w:sz="0" w:space="0" w:color="auto"/>
        <w:right w:val="none" w:sz="0" w:space="0" w:color="auto"/>
      </w:divBdr>
    </w:div>
    <w:div w:id="1138033706">
      <w:bodyDiv w:val="1"/>
      <w:marLeft w:val="0"/>
      <w:marRight w:val="0"/>
      <w:marTop w:val="0"/>
      <w:marBottom w:val="0"/>
      <w:divBdr>
        <w:top w:val="none" w:sz="0" w:space="0" w:color="auto"/>
        <w:left w:val="none" w:sz="0" w:space="0" w:color="auto"/>
        <w:bottom w:val="none" w:sz="0" w:space="0" w:color="auto"/>
        <w:right w:val="none" w:sz="0" w:space="0" w:color="auto"/>
      </w:divBdr>
    </w:div>
    <w:div w:id="1138109231">
      <w:bodyDiv w:val="1"/>
      <w:marLeft w:val="0"/>
      <w:marRight w:val="0"/>
      <w:marTop w:val="0"/>
      <w:marBottom w:val="0"/>
      <w:divBdr>
        <w:top w:val="none" w:sz="0" w:space="0" w:color="auto"/>
        <w:left w:val="none" w:sz="0" w:space="0" w:color="auto"/>
        <w:bottom w:val="none" w:sz="0" w:space="0" w:color="auto"/>
        <w:right w:val="none" w:sz="0" w:space="0" w:color="auto"/>
      </w:divBdr>
    </w:div>
    <w:div w:id="1138255106">
      <w:bodyDiv w:val="1"/>
      <w:marLeft w:val="0"/>
      <w:marRight w:val="0"/>
      <w:marTop w:val="0"/>
      <w:marBottom w:val="0"/>
      <w:divBdr>
        <w:top w:val="none" w:sz="0" w:space="0" w:color="auto"/>
        <w:left w:val="none" w:sz="0" w:space="0" w:color="auto"/>
        <w:bottom w:val="none" w:sz="0" w:space="0" w:color="auto"/>
        <w:right w:val="none" w:sz="0" w:space="0" w:color="auto"/>
      </w:divBdr>
    </w:div>
    <w:div w:id="1138255508">
      <w:bodyDiv w:val="1"/>
      <w:marLeft w:val="0"/>
      <w:marRight w:val="0"/>
      <w:marTop w:val="0"/>
      <w:marBottom w:val="0"/>
      <w:divBdr>
        <w:top w:val="none" w:sz="0" w:space="0" w:color="auto"/>
        <w:left w:val="none" w:sz="0" w:space="0" w:color="auto"/>
        <w:bottom w:val="none" w:sz="0" w:space="0" w:color="auto"/>
        <w:right w:val="none" w:sz="0" w:space="0" w:color="auto"/>
      </w:divBdr>
    </w:div>
    <w:div w:id="1138257212">
      <w:bodyDiv w:val="1"/>
      <w:marLeft w:val="0"/>
      <w:marRight w:val="0"/>
      <w:marTop w:val="0"/>
      <w:marBottom w:val="0"/>
      <w:divBdr>
        <w:top w:val="none" w:sz="0" w:space="0" w:color="auto"/>
        <w:left w:val="none" w:sz="0" w:space="0" w:color="auto"/>
        <w:bottom w:val="none" w:sz="0" w:space="0" w:color="auto"/>
        <w:right w:val="none" w:sz="0" w:space="0" w:color="auto"/>
      </w:divBdr>
    </w:div>
    <w:div w:id="1138301880">
      <w:bodyDiv w:val="1"/>
      <w:marLeft w:val="0"/>
      <w:marRight w:val="0"/>
      <w:marTop w:val="0"/>
      <w:marBottom w:val="0"/>
      <w:divBdr>
        <w:top w:val="none" w:sz="0" w:space="0" w:color="auto"/>
        <w:left w:val="none" w:sz="0" w:space="0" w:color="auto"/>
        <w:bottom w:val="none" w:sz="0" w:space="0" w:color="auto"/>
        <w:right w:val="none" w:sz="0" w:space="0" w:color="auto"/>
      </w:divBdr>
    </w:div>
    <w:div w:id="1138302445">
      <w:bodyDiv w:val="1"/>
      <w:marLeft w:val="0"/>
      <w:marRight w:val="0"/>
      <w:marTop w:val="0"/>
      <w:marBottom w:val="0"/>
      <w:divBdr>
        <w:top w:val="none" w:sz="0" w:space="0" w:color="auto"/>
        <w:left w:val="none" w:sz="0" w:space="0" w:color="auto"/>
        <w:bottom w:val="none" w:sz="0" w:space="0" w:color="auto"/>
        <w:right w:val="none" w:sz="0" w:space="0" w:color="auto"/>
      </w:divBdr>
    </w:div>
    <w:div w:id="1138455611">
      <w:bodyDiv w:val="1"/>
      <w:marLeft w:val="0"/>
      <w:marRight w:val="0"/>
      <w:marTop w:val="0"/>
      <w:marBottom w:val="0"/>
      <w:divBdr>
        <w:top w:val="none" w:sz="0" w:space="0" w:color="auto"/>
        <w:left w:val="none" w:sz="0" w:space="0" w:color="auto"/>
        <w:bottom w:val="none" w:sz="0" w:space="0" w:color="auto"/>
        <w:right w:val="none" w:sz="0" w:space="0" w:color="auto"/>
      </w:divBdr>
    </w:div>
    <w:div w:id="1138494061">
      <w:bodyDiv w:val="1"/>
      <w:marLeft w:val="0"/>
      <w:marRight w:val="0"/>
      <w:marTop w:val="0"/>
      <w:marBottom w:val="0"/>
      <w:divBdr>
        <w:top w:val="none" w:sz="0" w:space="0" w:color="auto"/>
        <w:left w:val="none" w:sz="0" w:space="0" w:color="auto"/>
        <w:bottom w:val="none" w:sz="0" w:space="0" w:color="auto"/>
        <w:right w:val="none" w:sz="0" w:space="0" w:color="auto"/>
      </w:divBdr>
    </w:div>
    <w:div w:id="1138497090">
      <w:bodyDiv w:val="1"/>
      <w:marLeft w:val="0"/>
      <w:marRight w:val="0"/>
      <w:marTop w:val="0"/>
      <w:marBottom w:val="0"/>
      <w:divBdr>
        <w:top w:val="none" w:sz="0" w:space="0" w:color="auto"/>
        <w:left w:val="none" w:sz="0" w:space="0" w:color="auto"/>
        <w:bottom w:val="none" w:sz="0" w:space="0" w:color="auto"/>
        <w:right w:val="none" w:sz="0" w:space="0" w:color="auto"/>
      </w:divBdr>
    </w:div>
    <w:div w:id="1138497144">
      <w:bodyDiv w:val="1"/>
      <w:marLeft w:val="0"/>
      <w:marRight w:val="0"/>
      <w:marTop w:val="0"/>
      <w:marBottom w:val="0"/>
      <w:divBdr>
        <w:top w:val="none" w:sz="0" w:space="0" w:color="auto"/>
        <w:left w:val="none" w:sz="0" w:space="0" w:color="auto"/>
        <w:bottom w:val="none" w:sz="0" w:space="0" w:color="auto"/>
        <w:right w:val="none" w:sz="0" w:space="0" w:color="auto"/>
      </w:divBdr>
    </w:div>
    <w:div w:id="1138643491">
      <w:bodyDiv w:val="1"/>
      <w:marLeft w:val="0"/>
      <w:marRight w:val="0"/>
      <w:marTop w:val="0"/>
      <w:marBottom w:val="0"/>
      <w:divBdr>
        <w:top w:val="none" w:sz="0" w:space="0" w:color="auto"/>
        <w:left w:val="none" w:sz="0" w:space="0" w:color="auto"/>
        <w:bottom w:val="none" w:sz="0" w:space="0" w:color="auto"/>
        <w:right w:val="none" w:sz="0" w:space="0" w:color="auto"/>
      </w:divBdr>
    </w:div>
    <w:div w:id="1138691656">
      <w:bodyDiv w:val="1"/>
      <w:marLeft w:val="0"/>
      <w:marRight w:val="0"/>
      <w:marTop w:val="0"/>
      <w:marBottom w:val="0"/>
      <w:divBdr>
        <w:top w:val="none" w:sz="0" w:space="0" w:color="auto"/>
        <w:left w:val="none" w:sz="0" w:space="0" w:color="auto"/>
        <w:bottom w:val="none" w:sz="0" w:space="0" w:color="auto"/>
        <w:right w:val="none" w:sz="0" w:space="0" w:color="auto"/>
      </w:divBdr>
    </w:div>
    <w:div w:id="1138836647">
      <w:bodyDiv w:val="1"/>
      <w:marLeft w:val="0"/>
      <w:marRight w:val="0"/>
      <w:marTop w:val="0"/>
      <w:marBottom w:val="0"/>
      <w:divBdr>
        <w:top w:val="none" w:sz="0" w:space="0" w:color="auto"/>
        <w:left w:val="none" w:sz="0" w:space="0" w:color="auto"/>
        <w:bottom w:val="none" w:sz="0" w:space="0" w:color="auto"/>
        <w:right w:val="none" w:sz="0" w:space="0" w:color="auto"/>
      </w:divBdr>
    </w:div>
    <w:div w:id="1138843559">
      <w:bodyDiv w:val="1"/>
      <w:marLeft w:val="0"/>
      <w:marRight w:val="0"/>
      <w:marTop w:val="0"/>
      <w:marBottom w:val="0"/>
      <w:divBdr>
        <w:top w:val="none" w:sz="0" w:space="0" w:color="auto"/>
        <w:left w:val="none" w:sz="0" w:space="0" w:color="auto"/>
        <w:bottom w:val="none" w:sz="0" w:space="0" w:color="auto"/>
        <w:right w:val="none" w:sz="0" w:space="0" w:color="auto"/>
      </w:divBdr>
    </w:div>
    <w:div w:id="1138885856">
      <w:bodyDiv w:val="1"/>
      <w:marLeft w:val="0"/>
      <w:marRight w:val="0"/>
      <w:marTop w:val="0"/>
      <w:marBottom w:val="0"/>
      <w:divBdr>
        <w:top w:val="none" w:sz="0" w:space="0" w:color="auto"/>
        <w:left w:val="none" w:sz="0" w:space="0" w:color="auto"/>
        <w:bottom w:val="none" w:sz="0" w:space="0" w:color="auto"/>
        <w:right w:val="none" w:sz="0" w:space="0" w:color="auto"/>
      </w:divBdr>
    </w:div>
    <w:div w:id="1138913754">
      <w:bodyDiv w:val="1"/>
      <w:marLeft w:val="0"/>
      <w:marRight w:val="0"/>
      <w:marTop w:val="0"/>
      <w:marBottom w:val="0"/>
      <w:divBdr>
        <w:top w:val="none" w:sz="0" w:space="0" w:color="auto"/>
        <w:left w:val="none" w:sz="0" w:space="0" w:color="auto"/>
        <w:bottom w:val="none" w:sz="0" w:space="0" w:color="auto"/>
        <w:right w:val="none" w:sz="0" w:space="0" w:color="auto"/>
      </w:divBdr>
    </w:div>
    <w:div w:id="1138916348">
      <w:bodyDiv w:val="1"/>
      <w:marLeft w:val="0"/>
      <w:marRight w:val="0"/>
      <w:marTop w:val="0"/>
      <w:marBottom w:val="0"/>
      <w:divBdr>
        <w:top w:val="none" w:sz="0" w:space="0" w:color="auto"/>
        <w:left w:val="none" w:sz="0" w:space="0" w:color="auto"/>
        <w:bottom w:val="none" w:sz="0" w:space="0" w:color="auto"/>
        <w:right w:val="none" w:sz="0" w:space="0" w:color="auto"/>
      </w:divBdr>
    </w:div>
    <w:div w:id="1138953543">
      <w:bodyDiv w:val="1"/>
      <w:marLeft w:val="0"/>
      <w:marRight w:val="0"/>
      <w:marTop w:val="0"/>
      <w:marBottom w:val="0"/>
      <w:divBdr>
        <w:top w:val="none" w:sz="0" w:space="0" w:color="auto"/>
        <w:left w:val="none" w:sz="0" w:space="0" w:color="auto"/>
        <w:bottom w:val="none" w:sz="0" w:space="0" w:color="auto"/>
        <w:right w:val="none" w:sz="0" w:space="0" w:color="auto"/>
      </w:divBdr>
    </w:div>
    <w:div w:id="1139112781">
      <w:bodyDiv w:val="1"/>
      <w:marLeft w:val="0"/>
      <w:marRight w:val="0"/>
      <w:marTop w:val="0"/>
      <w:marBottom w:val="0"/>
      <w:divBdr>
        <w:top w:val="none" w:sz="0" w:space="0" w:color="auto"/>
        <w:left w:val="none" w:sz="0" w:space="0" w:color="auto"/>
        <w:bottom w:val="none" w:sz="0" w:space="0" w:color="auto"/>
        <w:right w:val="none" w:sz="0" w:space="0" w:color="auto"/>
      </w:divBdr>
    </w:div>
    <w:div w:id="1139223370">
      <w:bodyDiv w:val="1"/>
      <w:marLeft w:val="0"/>
      <w:marRight w:val="0"/>
      <w:marTop w:val="0"/>
      <w:marBottom w:val="0"/>
      <w:divBdr>
        <w:top w:val="none" w:sz="0" w:space="0" w:color="auto"/>
        <w:left w:val="none" w:sz="0" w:space="0" w:color="auto"/>
        <w:bottom w:val="none" w:sz="0" w:space="0" w:color="auto"/>
        <w:right w:val="none" w:sz="0" w:space="0" w:color="auto"/>
      </w:divBdr>
    </w:div>
    <w:div w:id="1139344402">
      <w:bodyDiv w:val="1"/>
      <w:marLeft w:val="0"/>
      <w:marRight w:val="0"/>
      <w:marTop w:val="0"/>
      <w:marBottom w:val="0"/>
      <w:divBdr>
        <w:top w:val="none" w:sz="0" w:space="0" w:color="auto"/>
        <w:left w:val="none" w:sz="0" w:space="0" w:color="auto"/>
        <w:bottom w:val="none" w:sz="0" w:space="0" w:color="auto"/>
        <w:right w:val="none" w:sz="0" w:space="0" w:color="auto"/>
      </w:divBdr>
    </w:div>
    <w:div w:id="1139418409">
      <w:bodyDiv w:val="1"/>
      <w:marLeft w:val="0"/>
      <w:marRight w:val="0"/>
      <w:marTop w:val="0"/>
      <w:marBottom w:val="0"/>
      <w:divBdr>
        <w:top w:val="none" w:sz="0" w:space="0" w:color="auto"/>
        <w:left w:val="none" w:sz="0" w:space="0" w:color="auto"/>
        <w:bottom w:val="none" w:sz="0" w:space="0" w:color="auto"/>
        <w:right w:val="none" w:sz="0" w:space="0" w:color="auto"/>
      </w:divBdr>
    </w:div>
    <w:div w:id="1139570695">
      <w:bodyDiv w:val="1"/>
      <w:marLeft w:val="0"/>
      <w:marRight w:val="0"/>
      <w:marTop w:val="0"/>
      <w:marBottom w:val="0"/>
      <w:divBdr>
        <w:top w:val="none" w:sz="0" w:space="0" w:color="auto"/>
        <w:left w:val="none" w:sz="0" w:space="0" w:color="auto"/>
        <w:bottom w:val="none" w:sz="0" w:space="0" w:color="auto"/>
        <w:right w:val="none" w:sz="0" w:space="0" w:color="auto"/>
      </w:divBdr>
    </w:div>
    <w:div w:id="1139610466">
      <w:bodyDiv w:val="1"/>
      <w:marLeft w:val="0"/>
      <w:marRight w:val="0"/>
      <w:marTop w:val="0"/>
      <w:marBottom w:val="0"/>
      <w:divBdr>
        <w:top w:val="none" w:sz="0" w:space="0" w:color="auto"/>
        <w:left w:val="none" w:sz="0" w:space="0" w:color="auto"/>
        <w:bottom w:val="none" w:sz="0" w:space="0" w:color="auto"/>
        <w:right w:val="none" w:sz="0" w:space="0" w:color="auto"/>
      </w:divBdr>
    </w:div>
    <w:div w:id="1139834266">
      <w:bodyDiv w:val="1"/>
      <w:marLeft w:val="0"/>
      <w:marRight w:val="0"/>
      <w:marTop w:val="0"/>
      <w:marBottom w:val="0"/>
      <w:divBdr>
        <w:top w:val="none" w:sz="0" w:space="0" w:color="auto"/>
        <w:left w:val="none" w:sz="0" w:space="0" w:color="auto"/>
        <w:bottom w:val="none" w:sz="0" w:space="0" w:color="auto"/>
        <w:right w:val="none" w:sz="0" w:space="0" w:color="auto"/>
      </w:divBdr>
    </w:div>
    <w:div w:id="1139881935">
      <w:bodyDiv w:val="1"/>
      <w:marLeft w:val="0"/>
      <w:marRight w:val="0"/>
      <w:marTop w:val="0"/>
      <w:marBottom w:val="0"/>
      <w:divBdr>
        <w:top w:val="none" w:sz="0" w:space="0" w:color="auto"/>
        <w:left w:val="none" w:sz="0" w:space="0" w:color="auto"/>
        <w:bottom w:val="none" w:sz="0" w:space="0" w:color="auto"/>
        <w:right w:val="none" w:sz="0" w:space="0" w:color="auto"/>
      </w:divBdr>
    </w:div>
    <w:div w:id="1139885525">
      <w:bodyDiv w:val="1"/>
      <w:marLeft w:val="0"/>
      <w:marRight w:val="0"/>
      <w:marTop w:val="0"/>
      <w:marBottom w:val="0"/>
      <w:divBdr>
        <w:top w:val="none" w:sz="0" w:space="0" w:color="auto"/>
        <w:left w:val="none" w:sz="0" w:space="0" w:color="auto"/>
        <w:bottom w:val="none" w:sz="0" w:space="0" w:color="auto"/>
        <w:right w:val="none" w:sz="0" w:space="0" w:color="auto"/>
      </w:divBdr>
    </w:div>
    <w:div w:id="1139999612">
      <w:bodyDiv w:val="1"/>
      <w:marLeft w:val="0"/>
      <w:marRight w:val="0"/>
      <w:marTop w:val="0"/>
      <w:marBottom w:val="0"/>
      <w:divBdr>
        <w:top w:val="none" w:sz="0" w:space="0" w:color="auto"/>
        <w:left w:val="none" w:sz="0" w:space="0" w:color="auto"/>
        <w:bottom w:val="none" w:sz="0" w:space="0" w:color="auto"/>
        <w:right w:val="none" w:sz="0" w:space="0" w:color="auto"/>
      </w:divBdr>
    </w:div>
    <w:div w:id="1140003115">
      <w:bodyDiv w:val="1"/>
      <w:marLeft w:val="0"/>
      <w:marRight w:val="0"/>
      <w:marTop w:val="0"/>
      <w:marBottom w:val="0"/>
      <w:divBdr>
        <w:top w:val="none" w:sz="0" w:space="0" w:color="auto"/>
        <w:left w:val="none" w:sz="0" w:space="0" w:color="auto"/>
        <w:bottom w:val="none" w:sz="0" w:space="0" w:color="auto"/>
        <w:right w:val="none" w:sz="0" w:space="0" w:color="auto"/>
      </w:divBdr>
    </w:div>
    <w:div w:id="1140149436">
      <w:bodyDiv w:val="1"/>
      <w:marLeft w:val="0"/>
      <w:marRight w:val="0"/>
      <w:marTop w:val="0"/>
      <w:marBottom w:val="0"/>
      <w:divBdr>
        <w:top w:val="none" w:sz="0" w:space="0" w:color="auto"/>
        <w:left w:val="none" w:sz="0" w:space="0" w:color="auto"/>
        <w:bottom w:val="none" w:sz="0" w:space="0" w:color="auto"/>
        <w:right w:val="none" w:sz="0" w:space="0" w:color="auto"/>
      </w:divBdr>
    </w:div>
    <w:div w:id="1140197410">
      <w:bodyDiv w:val="1"/>
      <w:marLeft w:val="0"/>
      <w:marRight w:val="0"/>
      <w:marTop w:val="0"/>
      <w:marBottom w:val="0"/>
      <w:divBdr>
        <w:top w:val="none" w:sz="0" w:space="0" w:color="auto"/>
        <w:left w:val="none" w:sz="0" w:space="0" w:color="auto"/>
        <w:bottom w:val="none" w:sz="0" w:space="0" w:color="auto"/>
        <w:right w:val="none" w:sz="0" w:space="0" w:color="auto"/>
      </w:divBdr>
    </w:div>
    <w:div w:id="1140268301">
      <w:bodyDiv w:val="1"/>
      <w:marLeft w:val="0"/>
      <w:marRight w:val="0"/>
      <w:marTop w:val="0"/>
      <w:marBottom w:val="0"/>
      <w:divBdr>
        <w:top w:val="none" w:sz="0" w:space="0" w:color="auto"/>
        <w:left w:val="none" w:sz="0" w:space="0" w:color="auto"/>
        <w:bottom w:val="none" w:sz="0" w:space="0" w:color="auto"/>
        <w:right w:val="none" w:sz="0" w:space="0" w:color="auto"/>
      </w:divBdr>
    </w:div>
    <w:div w:id="1140269240">
      <w:bodyDiv w:val="1"/>
      <w:marLeft w:val="0"/>
      <w:marRight w:val="0"/>
      <w:marTop w:val="0"/>
      <w:marBottom w:val="0"/>
      <w:divBdr>
        <w:top w:val="none" w:sz="0" w:space="0" w:color="auto"/>
        <w:left w:val="none" w:sz="0" w:space="0" w:color="auto"/>
        <w:bottom w:val="none" w:sz="0" w:space="0" w:color="auto"/>
        <w:right w:val="none" w:sz="0" w:space="0" w:color="auto"/>
      </w:divBdr>
    </w:div>
    <w:div w:id="1140418124">
      <w:bodyDiv w:val="1"/>
      <w:marLeft w:val="0"/>
      <w:marRight w:val="0"/>
      <w:marTop w:val="0"/>
      <w:marBottom w:val="0"/>
      <w:divBdr>
        <w:top w:val="none" w:sz="0" w:space="0" w:color="auto"/>
        <w:left w:val="none" w:sz="0" w:space="0" w:color="auto"/>
        <w:bottom w:val="none" w:sz="0" w:space="0" w:color="auto"/>
        <w:right w:val="none" w:sz="0" w:space="0" w:color="auto"/>
      </w:divBdr>
    </w:div>
    <w:div w:id="1140464722">
      <w:bodyDiv w:val="1"/>
      <w:marLeft w:val="0"/>
      <w:marRight w:val="0"/>
      <w:marTop w:val="0"/>
      <w:marBottom w:val="0"/>
      <w:divBdr>
        <w:top w:val="none" w:sz="0" w:space="0" w:color="auto"/>
        <w:left w:val="none" w:sz="0" w:space="0" w:color="auto"/>
        <w:bottom w:val="none" w:sz="0" w:space="0" w:color="auto"/>
        <w:right w:val="none" w:sz="0" w:space="0" w:color="auto"/>
      </w:divBdr>
    </w:div>
    <w:div w:id="1140465276">
      <w:bodyDiv w:val="1"/>
      <w:marLeft w:val="0"/>
      <w:marRight w:val="0"/>
      <w:marTop w:val="0"/>
      <w:marBottom w:val="0"/>
      <w:divBdr>
        <w:top w:val="none" w:sz="0" w:space="0" w:color="auto"/>
        <w:left w:val="none" w:sz="0" w:space="0" w:color="auto"/>
        <w:bottom w:val="none" w:sz="0" w:space="0" w:color="auto"/>
        <w:right w:val="none" w:sz="0" w:space="0" w:color="auto"/>
      </w:divBdr>
    </w:div>
    <w:div w:id="1140614324">
      <w:bodyDiv w:val="1"/>
      <w:marLeft w:val="0"/>
      <w:marRight w:val="0"/>
      <w:marTop w:val="0"/>
      <w:marBottom w:val="0"/>
      <w:divBdr>
        <w:top w:val="none" w:sz="0" w:space="0" w:color="auto"/>
        <w:left w:val="none" w:sz="0" w:space="0" w:color="auto"/>
        <w:bottom w:val="none" w:sz="0" w:space="0" w:color="auto"/>
        <w:right w:val="none" w:sz="0" w:space="0" w:color="auto"/>
      </w:divBdr>
    </w:div>
    <w:div w:id="1140728466">
      <w:bodyDiv w:val="1"/>
      <w:marLeft w:val="0"/>
      <w:marRight w:val="0"/>
      <w:marTop w:val="0"/>
      <w:marBottom w:val="0"/>
      <w:divBdr>
        <w:top w:val="none" w:sz="0" w:space="0" w:color="auto"/>
        <w:left w:val="none" w:sz="0" w:space="0" w:color="auto"/>
        <w:bottom w:val="none" w:sz="0" w:space="0" w:color="auto"/>
        <w:right w:val="none" w:sz="0" w:space="0" w:color="auto"/>
      </w:divBdr>
    </w:div>
    <w:div w:id="1140731990">
      <w:bodyDiv w:val="1"/>
      <w:marLeft w:val="0"/>
      <w:marRight w:val="0"/>
      <w:marTop w:val="0"/>
      <w:marBottom w:val="0"/>
      <w:divBdr>
        <w:top w:val="none" w:sz="0" w:space="0" w:color="auto"/>
        <w:left w:val="none" w:sz="0" w:space="0" w:color="auto"/>
        <w:bottom w:val="none" w:sz="0" w:space="0" w:color="auto"/>
        <w:right w:val="none" w:sz="0" w:space="0" w:color="auto"/>
      </w:divBdr>
    </w:div>
    <w:div w:id="1140802149">
      <w:bodyDiv w:val="1"/>
      <w:marLeft w:val="0"/>
      <w:marRight w:val="0"/>
      <w:marTop w:val="0"/>
      <w:marBottom w:val="0"/>
      <w:divBdr>
        <w:top w:val="none" w:sz="0" w:space="0" w:color="auto"/>
        <w:left w:val="none" w:sz="0" w:space="0" w:color="auto"/>
        <w:bottom w:val="none" w:sz="0" w:space="0" w:color="auto"/>
        <w:right w:val="none" w:sz="0" w:space="0" w:color="auto"/>
      </w:divBdr>
    </w:div>
    <w:div w:id="1140851236">
      <w:bodyDiv w:val="1"/>
      <w:marLeft w:val="0"/>
      <w:marRight w:val="0"/>
      <w:marTop w:val="0"/>
      <w:marBottom w:val="0"/>
      <w:divBdr>
        <w:top w:val="none" w:sz="0" w:space="0" w:color="auto"/>
        <w:left w:val="none" w:sz="0" w:space="0" w:color="auto"/>
        <w:bottom w:val="none" w:sz="0" w:space="0" w:color="auto"/>
        <w:right w:val="none" w:sz="0" w:space="0" w:color="auto"/>
      </w:divBdr>
    </w:div>
    <w:div w:id="1140851270">
      <w:bodyDiv w:val="1"/>
      <w:marLeft w:val="0"/>
      <w:marRight w:val="0"/>
      <w:marTop w:val="0"/>
      <w:marBottom w:val="0"/>
      <w:divBdr>
        <w:top w:val="none" w:sz="0" w:space="0" w:color="auto"/>
        <w:left w:val="none" w:sz="0" w:space="0" w:color="auto"/>
        <w:bottom w:val="none" w:sz="0" w:space="0" w:color="auto"/>
        <w:right w:val="none" w:sz="0" w:space="0" w:color="auto"/>
      </w:divBdr>
    </w:div>
    <w:div w:id="1140921762">
      <w:bodyDiv w:val="1"/>
      <w:marLeft w:val="0"/>
      <w:marRight w:val="0"/>
      <w:marTop w:val="0"/>
      <w:marBottom w:val="0"/>
      <w:divBdr>
        <w:top w:val="none" w:sz="0" w:space="0" w:color="auto"/>
        <w:left w:val="none" w:sz="0" w:space="0" w:color="auto"/>
        <w:bottom w:val="none" w:sz="0" w:space="0" w:color="auto"/>
        <w:right w:val="none" w:sz="0" w:space="0" w:color="auto"/>
      </w:divBdr>
    </w:div>
    <w:div w:id="1140994827">
      <w:bodyDiv w:val="1"/>
      <w:marLeft w:val="0"/>
      <w:marRight w:val="0"/>
      <w:marTop w:val="0"/>
      <w:marBottom w:val="0"/>
      <w:divBdr>
        <w:top w:val="none" w:sz="0" w:space="0" w:color="auto"/>
        <w:left w:val="none" w:sz="0" w:space="0" w:color="auto"/>
        <w:bottom w:val="none" w:sz="0" w:space="0" w:color="auto"/>
        <w:right w:val="none" w:sz="0" w:space="0" w:color="auto"/>
      </w:divBdr>
    </w:div>
    <w:div w:id="1141116965">
      <w:bodyDiv w:val="1"/>
      <w:marLeft w:val="0"/>
      <w:marRight w:val="0"/>
      <w:marTop w:val="0"/>
      <w:marBottom w:val="0"/>
      <w:divBdr>
        <w:top w:val="none" w:sz="0" w:space="0" w:color="auto"/>
        <w:left w:val="none" w:sz="0" w:space="0" w:color="auto"/>
        <w:bottom w:val="none" w:sz="0" w:space="0" w:color="auto"/>
        <w:right w:val="none" w:sz="0" w:space="0" w:color="auto"/>
      </w:divBdr>
    </w:div>
    <w:div w:id="1141118544">
      <w:bodyDiv w:val="1"/>
      <w:marLeft w:val="0"/>
      <w:marRight w:val="0"/>
      <w:marTop w:val="0"/>
      <w:marBottom w:val="0"/>
      <w:divBdr>
        <w:top w:val="none" w:sz="0" w:space="0" w:color="auto"/>
        <w:left w:val="none" w:sz="0" w:space="0" w:color="auto"/>
        <w:bottom w:val="none" w:sz="0" w:space="0" w:color="auto"/>
        <w:right w:val="none" w:sz="0" w:space="0" w:color="auto"/>
      </w:divBdr>
    </w:div>
    <w:div w:id="1141196123">
      <w:bodyDiv w:val="1"/>
      <w:marLeft w:val="0"/>
      <w:marRight w:val="0"/>
      <w:marTop w:val="0"/>
      <w:marBottom w:val="0"/>
      <w:divBdr>
        <w:top w:val="none" w:sz="0" w:space="0" w:color="auto"/>
        <w:left w:val="none" w:sz="0" w:space="0" w:color="auto"/>
        <w:bottom w:val="none" w:sz="0" w:space="0" w:color="auto"/>
        <w:right w:val="none" w:sz="0" w:space="0" w:color="auto"/>
      </w:divBdr>
    </w:div>
    <w:div w:id="1141264759">
      <w:bodyDiv w:val="1"/>
      <w:marLeft w:val="0"/>
      <w:marRight w:val="0"/>
      <w:marTop w:val="0"/>
      <w:marBottom w:val="0"/>
      <w:divBdr>
        <w:top w:val="none" w:sz="0" w:space="0" w:color="auto"/>
        <w:left w:val="none" w:sz="0" w:space="0" w:color="auto"/>
        <w:bottom w:val="none" w:sz="0" w:space="0" w:color="auto"/>
        <w:right w:val="none" w:sz="0" w:space="0" w:color="auto"/>
      </w:divBdr>
    </w:div>
    <w:div w:id="1141313755">
      <w:bodyDiv w:val="1"/>
      <w:marLeft w:val="0"/>
      <w:marRight w:val="0"/>
      <w:marTop w:val="0"/>
      <w:marBottom w:val="0"/>
      <w:divBdr>
        <w:top w:val="none" w:sz="0" w:space="0" w:color="auto"/>
        <w:left w:val="none" w:sz="0" w:space="0" w:color="auto"/>
        <w:bottom w:val="none" w:sz="0" w:space="0" w:color="auto"/>
        <w:right w:val="none" w:sz="0" w:space="0" w:color="auto"/>
      </w:divBdr>
    </w:div>
    <w:div w:id="1141388422">
      <w:bodyDiv w:val="1"/>
      <w:marLeft w:val="0"/>
      <w:marRight w:val="0"/>
      <w:marTop w:val="0"/>
      <w:marBottom w:val="0"/>
      <w:divBdr>
        <w:top w:val="none" w:sz="0" w:space="0" w:color="auto"/>
        <w:left w:val="none" w:sz="0" w:space="0" w:color="auto"/>
        <w:bottom w:val="none" w:sz="0" w:space="0" w:color="auto"/>
        <w:right w:val="none" w:sz="0" w:space="0" w:color="auto"/>
      </w:divBdr>
    </w:div>
    <w:div w:id="1141578527">
      <w:bodyDiv w:val="1"/>
      <w:marLeft w:val="0"/>
      <w:marRight w:val="0"/>
      <w:marTop w:val="0"/>
      <w:marBottom w:val="0"/>
      <w:divBdr>
        <w:top w:val="none" w:sz="0" w:space="0" w:color="auto"/>
        <w:left w:val="none" w:sz="0" w:space="0" w:color="auto"/>
        <w:bottom w:val="none" w:sz="0" w:space="0" w:color="auto"/>
        <w:right w:val="none" w:sz="0" w:space="0" w:color="auto"/>
      </w:divBdr>
    </w:div>
    <w:div w:id="1141583691">
      <w:bodyDiv w:val="1"/>
      <w:marLeft w:val="0"/>
      <w:marRight w:val="0"/>
      <w:marTop w:val="0"/>
      <w:marBottom w:val="0"/>
      <w:divBdr>
        <w:top w:val="none" w:sz="0" w:space="0" w:color="auto"/>
        <w:left w:val="none" w:sz="0" w:space="0" w:color="auto"/>
        <w:bottom w:val="none" w:sz="0" w:space="0" w:color="auto"/>
        <w:right w:val="none" w:sz="0" w:space="0" w:color="auto"/>
      </w:divBdr>
    </w:div>
    <w:div w:id="1141652509">
      <w:bodyDiv w:val="1"/>
      <w:marLeft w:val="0"/>
      <w:marRight w:val="0"/>
      <w:marTop w:val="0"/>
      <w:marBottom w:val="0"/>
      <w:divBdr>
        <w:top w:val="none" w:sz="0" w:space="0" w:color="auto"/>
        <w:left w:val="none" w:sz="0" w:space="0" w:color="auto"/>
        <w:bottom w:val="none" w:sz="0" w:space="0" w:color="auto"/>
        <w:right w:val="none" w:sz="0" w:space="0" w:color="auto"/>
      </w:divBdr>
    </w:div>
    <w:div w:id="1141768534">
      <w:bodyDiv w:val="1"/>
      <w:marLeft w:val="0"/>
      <w:marRight w:val="0"/>
      <w:marTop w:val="0"/>
      <w:marBottom w:val="0"/>
      <w:divBdr>
        <w:top w:val="none" w:sz="0" w:space="0" w:color="auto"/>
        <w:left w:val="none" w:sz="0" w:space="0" w:color="auto"/>
        <w:bottom w:val="none" w:sz="0" w:space="0" w:color="auto"/>
        <w:right w:val="none" w:sz="0" w:space="0" w:color="auto"/>
      </w:divBdr>
    </w:div>
    <w:div w:id="1141773407">
      <w:bodyDiv w:val="1"/>
      <w:marLeft w:val="0"/>
      <w:marRight w:val="0"/>
      <w:marTop w:val="0"/>
      <w:marBottom w:val="0"/>
      <w:divBdr>
        <w:top w:val="none" w:sz="0" w:space="0" w:color="auto"/>
        <w:left w:val="none" w:sz="0" w:space="0" w:color="auto"/>
        <w:bottom w:val="none" w:sz="0" w:space="0" w:color="auto"/>
        <w:right w:val="none" w:sz="0" w:space="0" w:color="auto"/>
      </w:divBdr>
    </w:div>
    <w:div w:id="1141848468">
      <w:bodyDiv w:val="1"/>
      <w:marLeft w:val="0"/>
      <w:marRight w:val="0"/>
      <w:marTop w:val="0"/>
      <w:marBottom w:val="0"/>
      <w:divBdr>
        <w:top w:val="none" w:sz="0" w:space="0" w:color="auto"/>
        <w:left w:val="none" w:sz="0" w:space="0" w:color="auto"/>
        <w:bottom w:val="none" w:sz="0" w:space="0" w:color="auto"/>
        <w:right w:val="none" w:sz="0" w:space="0" w:color="auto"/>
      </w:divBdr>
    </w:div>
    <w:div w:id="1142186973">
      <w:bodyDiv w:val="1"/>
      <w:marLeft w:val="0"/>
      <w:marRight w:val="0"/>
      <w:marTop w:val="0"/>
      <w:marBottom w:val="0"/>
      <w:divBdr>
        <w:top w:val="none" w:sz="0" w:space="0" w:color="auto"/>
        <w:left w:val="none" w:sz="0" w:space="0" w:color="auto"/>
        <w:bottom w:val="none" w:sz="0" w:space="0" w:color="auto"/>
        <w:right w:val="none" w:sz="0" w:space="0" w:color="auto"/>
      </w:divBdr>
    </w:div>
    <w:div w:id="1142187213">
      <w:bodyDiv w:val="1"/>
      <w:marLeft w:val="0"/>
      <w:marRight w:val="0"/>
      <w:marTop w:val="0"/>
      <w:marBottom w:val="0"/>
      <w:divBdr>
        <w:top w:val="none" w:sz="0" w:space="0" w:color="auto"/>
        <w:left w:val="none" w:sz="0" w:space="0" w:color="auto"/>
        <w:bottom w:val="none" w:sz="0" w:space="0" w:color="auto"/>
        <w:right w:val="none" w:sz="0" w:space="0" w:color="auto"/>
      </w:divBdr>
    </w:div>
    <w:div w:id="1142234191">
      <w:bodyDiv w:val="1"/>
      <w:marLeft w:val="0"/>
      <w:marRight w:val="0"/>
      <w:marTop w:val="0"/>
      <w:marBottom w:val="0"/>
      <w:divBdr>
        <w:top w:val="none" w:sz="0" w:space="0" w:color="auto"/>
        <w:left w:val="none" w:sz="0" w:space="0" w:color="auto"/>
        <w:bottom w:val="none" w:sz="0" w:space="0" w:color="auto"/>
        <w:right w:val="none" w:sz="0" w:space="0" w:color="auto"/>
      </w:divBdr>
    </w:div>
    <w:div w:id="1142308377">
      <w:bodyDiv w:val="1"/>
      <w:marLeft w:val="0"/>
      <w:marRight w:val="0"/>
      <w:marTop w:val="0"/>
      <w:marBottom w:val="0"/>
      <w:divBdr>
        <w:top w:val="none" w:sz="0" w:space="0" w:color="auto"/>
        <w:left w:val="none" w:sz="0" w:space="0" w:color="auto"/>
        <w:bottom w:val="none" w:sz="0" w:space="0" w:color="auto"/>
        <w:right w:val="none" w:sz="0" w:space="0" w:color="auto"/>
      </w:divBdr>
    </w:div>
    <w:div w:id="1142382929">
      <w:bodyDiv w:val="1"/>
      <w:marLeft w:val="0"/>
      <w:marRight w:val="0"/>
      <w:marTop w:val="0"/>
      <w:marBottom w:val="0"/>
      <w:divBdr>
        <w:top w:val="none" w:sz="0" w:space="0" w:color="auto"/>
        <w:left w:val="none" w:sz="0" w:space="0" w:color="auto"/>
        <w:bottom w:val="none" w:sz="0" w:space="0" w:color="auto"/>
        <w:right w:val="none" w:sz="0" w:space="0" w:color="auto"/>
      </w:divBdr>
    </w:div>
    <w:div w:id="1142384244">
      <w:bodyDiv w:val="1"/>
      <w:marLeft w:val="0"/>
      <w:marRight w:val="0"/>
      <w:marTop w:val="0"/>
      <w:marBottom w:val="0"/>
      <w:divBdr>
        <w:top w:val="none" w:sz="0" w:space="0" w:color="auto"/>
        <w:left w:val="none" w:sz="0" w:space="0" w:color="auto"/>
        <w:bottom w:val="none" w:sz="0" w:space="0" w:color="auto"/>
        <w:right w:val="none" w:sz="0" w:space="0" w:color="auto"/>
      </w:divBdr>
    </w:div>
    <w:div w:id="1142576370">
      <w:bodyDiv w:val="1"/>
      <w:marLeft w:val="0"/>
      <w:marRight w:val="0"/>
      <w:marTop w:val="0"/>
      <w:marBottom w:val="0"/>
      <w:divBdr>
        <w:top w:val="none" w:sz="0" w:space="0" w:color="auto"/>
        <w:left w:val="none" w:sz="0" w:space="0" w:color="auto"/>
        <w:bottom w:val="none" w:sz="0" w:space="0" w:color="auto"/>
        <w:right w:val="none" w:sz="0" w:space="0" w:color="auto"/>
      </w:divBdr>
    </w:div>
    <w:div w:id="1142696339">
      <w:bodyDiv w:val="1"/>
      <w:marLeft w:val="0"/>
      <w:marRight w:val="0"/>
      <w:marTop w:val="0"/>
      <w:marBottom w:val="0"/>
      <w:divBdr>
        <w:top w:val="none" w:sz="0" w:space="0" w:color="auto"/>
        <w:left w:val="none" w:sz="0" w:space="0" w:color="auto"/>
        <w:bottom w:val="none" w:sz="0" w:space="0" w:color="auto"/>
        <w:right w:val="none" w:sz="0" w:space="0" w:color="auto"/>
      </w:divBdr>
    </w:div>
    <w:div w:id="1142772694">
      <w:bodyDiv w:val="1"/>
      <w:marLeft w:val="0"/>
      <w:marRight w:val="0"/>
      <w:marTop w:val="0"/>
      <w:marBottom w:val="0"/>
      <w:divBdr>
        <w:top w:val="none" w:sz="0" w:space="0" w:color="auto"/>
        <w:left w:val="none" w:sz="0" w:space="0" w:color="auto"/>
        <w:bottom w:val="none" w:sz="0" w:space="0" w:color="auto"/>
        <w:right w:val="none" w:sz="0" w:space="0" w:color="auto"/>
      </w:divBdr>
    </w:div>
    <w:div w:id="1142776140">
      <w:bodyDiv w:val="1"/>
      <w:marLeft w:val="0"/>
      <w:marRight w:val="0"/>
      <w:marTop w:val="0"/>
      <w:marBottom w:val="0"/>
      <w:divBdr>
        <w:top w:val="none" w:sz="0" w:space="0" w:color="auto"/>
        <w:left w:val="none" w:sz="0" w:space="0" w:color="auto"/>
        <w:bottom w:val="none" w:sz="0" w:space="0" w:color="auto"/>
        <w:right w:val="none" w:sz="0" w:space="0" w:color="auto"/>
      </w:divBdr>
    </w:div>
    <w:div w:id="1142844449">
      <w:bodyDiv w:val="1"/>
      <w:marLeft w:val="0"/>
      <w:marRight w:val="0"/>
      <w:marTop w:val="0"/>
      <w:marBottom w:val="0"/>
      <w:divBdr>
        <w:top w:val="none" w:sz="0" w:space="0" w:color="auto"/>
        <w:left w:val="none" w:sz="0" w:space="0" w:color="auto"/>
        <w:bottom w:val="none" w:sz="0" w:space="0" w:color="auto"/>
        <w:right w:val="none" w:sz="0" w:space="0" w:color="auto"/>
      </w:divBdr>
    </w:div>
    <w:div w:id="1142893754">
      <w:bodyDiv w:val="1"/>
      <w:marLeft w:val="0"/>
      <w:marRight w:val="0"/>
      <w:marTop w:val="0"/>
      <w:marBottom w:val="0"/>
      <w:divBdr>
        <w:top w:val="none" w:sz="0" w:space="0" w:color="auto"/>
        <w:left w:val="none" w:sz="0" w:space="0" w:color="auto"/>
        <w:bottom w:val="none" w:sz="0" w:space="0" w:color="auto"/>
        <w:right w:val="none" w:sz="0" w:space="0" w:color="auto"/>
      </w:divBdr>
    </w:div>
    <w:div w:id="1143044295">
      <w:bodyDiv w:val="1"/>
      <w:marLeft w:val="0"/>
      <w:marRight w:val="0"/>
      <w:marTop w:val="0"/>
      <w:marBottom w:val="0"/>
      <w:divBdr>
        <w:top w:val="none" w:sz="0" w:space="0" w:color="auto"/>
        <w:left w:val="none" w:sz="0" w:space="0" w:color="auto"/>
        <w:bottom w:val="none" w:sz="0" w:space="0" w:color="auto"/>
        <w:right w:val="none" w:sz="0" w:space="0" w:color="auto"/>
      </w:divBdr>
    </w:div>
    <w:div w:id="1143158074">
      <w:bodyDiv w:val="1"/>
      <w:marLeft w:val="0"/>
      <w:marRight w:val="0"/>
      <w:marTop w:val="0"/>
      <w:marBottom w:val="0"/>
      <w:divBdr>
        <w:top w:val="none" w:sz="0" w:space="0" w:color="auto"/>
        <w:left w:val="none" w:sz="0" w:space="0" w:color="auto"/>
        <w:bottom w:val="none" w:sz="0" w:space="0" w:color="auto"/>
        <w:right w:val="none" w:sz="0" w:space="0" w:color="auto"/>
      </w:divBdr>
    </w:div>
    <w:div w:id="1143275863">
      <w:bodyDiv w:val="1"/>
      <w:marLeft w:val="0"/>
      <w:marRight w:val="0"/>
      <w:marTop w:val="0"/>
      <w:marBottom w:val="0"/>
      <w:divBdr>
        <w:top w:val="none" w:sz="0" w:space="0" w:color="auto"/>
        <w:left w:val="none" w:sz="0" w:space="0" w:color="auto"/>
        <w:bottom w:val="none" w:sz="0" w:space="0" w:color="auto"/>
        <w:right w:val="none" w:sz="0" w:space="0" w:color="auto"/>
      </w:divBdr>
    </w:div>
    <w:div w:id="1143305346">
      <w:bodyDiv w:val="1"/>
      <w:marLeft w:val="0"/>
      <w:marRight w:val="0"/>
      <w:marTop w:val="0"/>
      <w:marBottom w:val="0"/>
      <w:divBdr>
        <w:top w:val="none" w:sz="0" w:space="0" w:color="auto"/>
        <w:left w:val="none" w:sz="0" w:space="0" w:color="auto"/>
        <w:bottom w:val="none" w:sz="0" w:space="0" w:color="auto"/>
        <w:right w:val="none" w:sz="0" w:space="0" w:color="auto"/>
      </w:divBdr>
    </w:div>
    <w:div w:id="1143351755">
      <w:bodyDiv w:val="1"/>
      <w:marLeft w:val="0"/>
      <w:marRight w:val="0"/>
      <w:marTop w:val="0"/>
      <w:marBottom w:val="0"/>
      <w:divBdr>
        <w:top w:val="none" w:sz="0" w:space="0" w:color="auto"/>
        <w:left w:val="none" w:sz="0" w:space="0" w:color="auto"/>
        <w:bottom w:val="none" w:sz="0" w:space="0" w:color="auto"/>
        <w:right w:val="none" w:sz="0" w:space="0" w:color="auto"/>
      </w:divBdr>
    </w:div>
    <w:div w:id="1143355977">
      <w:bodyDiv w:val="1"/>
      <w:marLeft w:val="0"/>
      <w:marRight w:val="0"/>
      <w:marTop w:val="0"/>
      <w:marBottom w:val="0"/>
      <w:divBdr>
        <w:top w:val="none" w:sz="0" w:space="0" w:color="auto"/>
        <w:left w:val="none" w:sz="0" w:space="0" w:color="auto"/>
        <w:bottom w:val="none" w:sz="0" w:space="0" w:color="auto"/>
        <w:right w:val="none" w:sz="0" w:space="0" w:color="auto"/>
      </w:divBdr>
    </w:div>
    <w:div w:id="1143431544">
      <w:bodyDiv w:val="1"/>
      <w:marLeft w:val="0"/>
      <w:marRight w:val="0"/>
      <w:marTop w:val="0"/>
      <w:marBottom w:val="0"/>
      <w:divBdr>
        <w:top w:val="none" w:sz="0" w:space="0" w:color="auto"/>
        <w:left w:val="none" w:sz="0" w:space="0" w:color="auto"/>
        <w:bottom w:val="none" w:sz="0" w:space="0" w:color="auto"/>
        <w:right w:val="none" w:sz="0" w:space="0" w:color="auto"/>
      </w:divBdr>
    </w:div>
    <w:div w:id="1143615486">
      <w:bodyDiv w:val="1"/>
      <w:marLeft w:val="0"/>
      <w:marRight w:val="0"/>
      <w:marTop w:val="0"/>
      <w:marBottom w:val="0"/>
      <w:divBdr>
        <w:top w:val="none" w:sz="0" w:space="0" w:color="auto"/>
        <w:left w:val="none" w:sz="0" w:space="0" w:color="auto"/>
        <w:bottom w:val="none" w:sz="0" w:space="0" w:color="auto"/>
        <w:right w:val="none" w:sz="0" w:space="0" w:color="auto"/>
      </w:divBdr>
    </w:div>
    <w:div w:id="1143734531">
      <w:bodyDiv w:val="1"/>
      <w:marLeft w:val="0"/>
      <w:marRight w:val="0"/>
      <w:marTop w:val="0"/>
      <w:marBottom w:val="0"/>
      <w:divBdr>
        <w:top w:val="none" w:sz="0" w:space="0" w:color="auto"/>
        <w:left w:val="none" w:sz="0" w:space="0" w:color="auto"/>
        <w:bottom w:val="none" w:sz="0" w:space="0" w:color="auto"/>
        <w:right w:val="none" w:sz="0" w:space="0" w:color="auto"/>
      </w:divBdr>
    </w:div>
    <w:div w:id="1143766313">
      <w:bodyDiv w:val="1"/>
      <w:marLeft w:val="0"/>
      <w:marRight w:val="0"/>
      <w:marTop w:val="0"/>
      <w:marBottom w:val="0"/>
      <w:divBdr>
        <w:top w:val="none" w:sz="0" w:space="0" w:color="auto"/>
        <w:left w:val="none" w:sz="0" w:space="0" w:color="auto"/>
        <w:bottom w:val="none" w:sz="0" w:space="0" w:color="auto"/>
        <w:right w:val="none" w:sz="0" w:space="0" w:color="auto"/>
      </w:divBdr>
    </w:div>
    <w:div w:id="1143810483">
      <w:bodyDiv w:val="1"/>
      <w:marLeft w:val="0"/>
      <w:marRight w:val="0"/>
      <w:marTop w:val="0"/>
      <w:marBottom w:val="0"/>
      <w:divBdr>
        <w:top w:val="none" w:sz="0" w:space="0" w:color="auto"/>
        <w:left w:val="none" w:sz="0" w:space="0" w:color="auto"/>
        <w:bottom w:val="none" w:sz="0" w:space="0" w:color="auto"/>
        <w:right w:val="none" w:sz="0" w:space="0" w:color="auto"/>
      </w:divBdr>
    </w:div>
    <w:div w:id="1143812746">
      <w:bodyDiv w:val="1"/>
      <w:marLeft w:val="0"/>
      <w:marRight w:val="0"/>
      <w:marTop w:val="0"/>
      <w:marBottom w:val="0"/>
      <w:divBdr>
        <w:top w:val="none" w:sz="0" w:space="0" w:color="auto"/>
        <w:left w:val="none" w:sz="0" w:space="0" w:color="auto"/>
        <w:bottom w:val="none" w:sz="0" w:space="0" w:color="auto"/>
        <w:right w:val="none" w:sz="0" w:space="0" w:color="auto"/>
      </w:divBdr>
    </w:div>
    <w:div w:id="1143961939">
      <w:bodyDiv w:val="1"/>
      <w:marLeft w:val="0"/>
      <w:marRight w:val="0"/>
      <w:marTop w:val="0"/>
      <w:marBottom w:val="0"/>
      <w:divBdr>
        <w:top w:val="none" w:sz="0" w:space="0" w:color="auto"/>
        <w:left w:val="none" w:sz="0" w:space="0" w:color="auto"/>
        <w:bottom w:val="none" w:sz="0" w:space="0" w:color="auto"/>
        <w:right w:val="none" w:sz="0" w:space="0" w:color="auto"/>
      </w:divBdr>
    </w:div>
    <w:div w:id="1144006966">
      <w:bodyDiv w:val="1"/>
      <w:marLeft w:val="0"/>
      <w:marRight w:val="0"/>
      <w:marTop w:val="0"/>
      <w:marBottom w:val="0"/>
      <w:divBdr>
        <w:top w:val="none" w:sz="0" w:space="0" w:color="auto"/>
        <w:left w:val="none" w:sz="0" w:space="0" w:color="auto"/>
        <w:bottom w:val="none" w:sz="0" w:space="0" w:color="auto"/>
        <w:right w:val="none" w:sz="0" w:space="0" w:color="auto"/>
      </w:divBdr>
    </w:div>
    <w:div w:id="1144079850">
      <w:bodyDiv w:val="1"/>
      <w:marLeft w:val="0"/>
      <w:marRight w:val="0"/>
      <w:marTop w:val="0"/>
      <w:marBottom w:val="0"/>
      <w:divBdr>
        <w:top w:val="none" w:sz="0" w:space="0" w:color="auto"/>
        <w:left w:val="none" w:sz="0" w:space="0" w:color="auto"/>
        <w:bottom w:val="none" w:sz="0" w:space="0" w:color="auto"/>
        <w:right w:val="none" w:sz="0" w:space="0" w:color="auto"/>
      </w:divBdr>
    </w:div>
    <w:div w:id="1144085309">
      <w:bodyDiv w:val="1"/>
      <w:marLeft w:val="0"/>
      <w:marRight w:val="0"/>
      <w:marTop w:val="0"/>
      <w:marBottom w:val="0"/>
      <w:divBdr>
        <w:top w:val="none" w:sz="0" w:space="0" w:color="auto"/>
        <w:left w:val="none" w:sz="0" w:space="0" w:color="auto"/>
        <w:bottom w:val="none" w:sz="0" w:space="0" w:color="auto"/>
        <w:right w:val="none" w:sz="0" w:space="0" w:color="auto"/>
      </w:divBdr>
    </w:div>
    <w:div w:id="1144128722">
      <w:bodyDiv w:val="1"/>
      <w:marLeft w:val="0"/>
      <w:marRight w:val="0"/>
      <w:marTop w:val="0"/>
      <w:marBottom w:val="0"/>
      <w:divBdr>
        <w:top w:val="none" w:sz="0" w:space="0" w:color="auto"/>
        <w:left w:val="none" w:sz="0" w:space="0" w:color="auto"/>
        <w:bottom w:val="none" w:sz="0" w:space="0" w:color="auto"/>
        <w:right w:val="none" w:sz="0" w:space="0" w:color="auto"/>
      </w:divBdr>
    </w:div>
    <w:div w:id="1144157434">
      <w:bodyDiv w:val="1"/>
      <w:marLeft w:val="0"/>
      <w:marRight w:val="0"/>
      <w:marTop w:val="0"/>
      <w:marBottom w:val="0"/>
      <w:divBdr>
        <w:top w:val="none" w:sz="0" w:space="0" w:color="auto"/>
        <w:left w:val="none" w:sz="0" w:space="0" w:color="auto"/>
        <w:bottom w:val="none" w:sz="0" w:space="0" w:color="auto"/>
        <w:right w:val="none" w:sz="0" w:space="0" w:color="auto"/>
      </w:divBdr>
    </w:div>
    <w:div w:id="1144197716">
      <w:bodyDiv w:val="1"/>
      <w:marLeft w:val="0"/>
      <w:marRight w:val="0"/>
      <w:marTop w:val="0"/>
      <w:marBottom w:val="0"/>
      <w:divBdr>
        <w:top w:val="none" w:sz="0" w:space="0" w:color="auto"/>
        <w:left w:val="none" w:sz="0" w:space="0" w:color="auto"/>
        <w:bottom w:val="none" w:sz="0" w:space="0" w:color="auto"/>
        <w:right w:val="none" w:sz="0" w:space="0" w:color="auto"/>
      </w:divBdr>
    </w:div>
    <w:div w:id="1144202971">
      <w:bodyDiv w:val="1"/>
      <w:marLeft w:val="0"/>
      <w:marRight w:val="0"/>
      <w:marTop w:val="0"/>
      <w:marBottom w:val="0"/>
      <w:divBdr>
        <w:top w:val="none" w:sz="0" w:space="0" w:color="auto"/>
        <w:left w:val="none" w:sz="0" w:space="0" w:color="auto"/>
        <w:bottom w:val="none" w:sz="0" w:space="0" w:color="auto"/>
        <w:right w:val="none" w:sz="0" w:space="0" w:color="auto"/>
      </w:divBdr>
    </w:div>
    <w:div w:id="1144272127">
      <w:bodyDiv w:val="1"/>
      <w:marLeft w:val="0"/>
      <w:marRight w:val="0"/>
      <w:marTop w:val="0"/>
      <w:marBottom w:val="0"/>
      <w:divBdr>
        <w:top w:val="none" w:sz="0" w:space="0" w:color="auto"/>
        <w:left w:val="none" w:sz="0" w:space="0" w:color="auto"/>
        <w:bottom w:val="none" w:sz="0" w:space="0" w:color="auto"/>
        <w:right w:val="none" w:sz="0" w:space="0" w:color="auto"/>
      </w:divBdr>
    </w:div>
    <w:div w:id="1144541461">
      <w:bodyDiv w:val="1"/>
      <w:marLeft w:val="0"/>
      <w:marRight w:val="0"/>
      <w:marTop w:val="0"/>
      <w:marBottom w:val="0"/>
      <w:divBdr>
        <w:top w:val="none" w:sz="0" w:space="0" w:color="auto"/>
        <w:left w:val="none" w:sz="0" w:space="0" w:color="auto"/>
        <w:bottom w:val="none" w:sz="0" w:space="0" w:color="auto"/>
        <w:right w:val="none" w:sz="0" w:space="0" w:color="auto"/>
      </w:divBdr>
    </w:div>
    <w:div w:id="1144546511">
      <w:bodyDiv w:val="1"/>
      <w:marLeft w:val="0"/>
      <w:marRight w:val="0"/>
      <w:marTop w:val="0"/>
      <w:marBottom w:val="0"/>
      <w:divBdr>
        <w:top w:val="none" w:sz="0" w:space="0" w:color="auto"/>
        <w:left w:val="none" w:sz="0" w:space="0" w:color="auto"/>
        <w:bottom w:val="none" w:sz="0" w:space="0" w:color="auto"/>
        <w:right w:val="none" w:sz="0" w:space="0" w:color="auto"/>
      </w:divBdr>
    </w:div>
    <w:div w:id="1144588670">
      <w:bodyDiv w:val="1"/>
      <w:marLeft w:val="0"/>
      <w:marRight w:val="0"/>
      <w:marTop w:val="0"/>
      <w:marBottom w:val="0"/>
      <w:divBdr>
        <w:top w:val="none" w:sz="0" w:space="0" w:color="auto"/>
        <w:left w:val="none" w:sz="0" w:space="0" w:color="auto"/>
        <w:bottom w:val="none" w:sz="0" w:space="0" w:color="auto"/>
        <w:right w:val="none" w:sz="0" w:space="0" w:color="auto"/>
      </w:divBdr>
    </w:div>
    <w:div w:id="1144617236">
      <w:bodyDiv w:val="1"/>
      <w:marLeft w:val="0"/>
      <w:marRight w:val="0"/>
      <w:marTop w:val="0"/>
      <w:marBottom w:val="0"/>
      <w:divBdr>
        <w:top w:val="none" w:sz="0" w:space="0" w:color="auto"/>
        <w:left w:val="none" w:sz="0" w:space="0" w:color="auto"/>
        <w:bottom w:val="none" w:sz="0" w:space="0" w:color="auto"/>
        <w:right w:val="none" w:sz="0" w:space="0" w:color="auto"/>
      </w:divBdr>
    </w:div>
    <w:div w:id="1144665372">
      <w:bodyDiv w:val="1"/>
      <w:marLeft w:val="0"/>
      <w:marRight w:val="0"/>
      <w:marTop w:val="0"/>
      <w:marBottom w:val="0"/>
      <w:divBdr>
        <w:top w:val="none" w:sz="0" w:space="0" w:color="auto"/>
        <w:left w:val="none" w:sz="0" w:space="0" w:color="auto"/>
        <w:bottom w:val="none" w:sz="0" w:space="0" w:color="auto"/>
        <w:right w:val="none" w:sz="0" w:space="0" w:color="auto"/>
      </w:divBdr>
    </w:div>
    <w:div w:id="1144812053">
      <w:bodyDiv w:val="1"/>
      <w:marLeft w:val="0"/>
      <w:marRight w:val="0"/>
      <w:marTop w:val="0"/>
      <w:marBottom w:val="0"/>
      <w:divBdr>
        <w:top w:val="none" w:sz="0" w:space="0" w:color="auto"/>
        <w:left w:val="none" w:sz="0" w:space="0" w:color="auto"/>
        <w:bottom w:val="none" w:sz="0" w:space="0" w:color="auto"/>
        <w:right w:val="none" w:sz="0" w:space="0" w:color="auto"/>
      </w:divBdr>
    </w:div>
    <w:div w:id="1144934421">
      <w:bodyDiv w:val="1"/>
      <w:marLeft w:val="0"/>
      <w:marRight w:val="0"/>
      <w:marTop w:val="0"/>
      <w:marBottom w:val="0"/>
      <w:divBdr>
        <w:top w:val="none" w:sz="0" w:space="0" w:color="auto"/>
        <w:left w:val="none" w:sz="0" w:space="0" w:color="auto"/>
        <w:bottom w:val="none" w:sz="0" w:space="0" w:color="auto"/>
        <w:right w:val="none" w:sz="0" w:space="0" w:color="auto"/>
      </w:divBdr>
    </w:div>
    <w:div w:id="1145006978">
      <w:bodyDiv w:val="1"/>
      <w:marLeft w:val="0"/>
      <w:marRight w:val="0"/>
      <w:marTop w:val="0"/>
      <w:marBottom w:val="0"/>
      <w:divBdr>
        <w:top w:val="none" w:sz="0" w:space="0" w:color="auto"/>
        <w:left w:val="none" w:sz="0" w:space="0" w:color="auto"/>
        <w:bottom w:val="none" w:sz="0" w:space="0" w:color="auto"/>
        <w:right w:val="none" w:sz="0" w:space="0" w:color="auto"/>
      </w:divBdr>
    </w:div>
    <w:div w:id="1145048334">
      <w:bodyDiv w:val="1"/>
      <w:marLeft w:val="0"/>
      <w:marRight w:val="0"/>
      <w:marTop w:val="0"/>
      <w:marBottom w:val="0"/>
      <w:divBdr>
        <w:top w:val="none" w:sz="0" w:space="0" w:color="auto"/>
        <w:left w:val="none" w:sz="0" w:space="0" w:color="auto"/>
        <w:bottom w:val="none" w:sz="0" w:space="0" w:color="auto"/>
        <w:right w:val="none" w:sz="0" w:space="0" w:color="auto"/>
      </w:divBdr>
    </w:div>
    <w:div w:id="1145121772">
      <w:bodyDiv w:val="1"/>
      <w:marLeft w:val="0"/>
      <w:marRight w:val="0"/>
      <w:marTop w:val="0"/>
      <w:marBottom w:val="0"/>
      <w:divBdr>
        <w:top w:val="none" w:sz="0" w:space="0" w:color="auto"/>
        <w:left w:val="none" w:sz="0" w:space="0" w:color="auto"/>
        <w:bottom w:val="none" w:sz="0" w:space="0" w:color="auto"/>
        <w:right w:val="none" w:sz="0" w:space="0" w:color="auto"/>
      </w:divBdr>
    </w:div>
    <w:div w:id="1145388267">
      <w:bodyDiv w:val="1"/>
      <w:marLeft w:val="0"/>
      <w:marRight w:val="0"/>
      <w:marTop w:val="0"/>
      <w:marBottom w:val="0"/>
      <w:divBdr>
        <w:top w:val="none" w:sz="0" w:space="0" w:color="auto"/>
        <w:left w:val="none" w:sz="0" w:space="0" w:color="auto"/>
        <w:bottom w:val="none" w:sz="0" w:space="0" w:color="auto"/>
        <w:right w:val="none" w:sz="0" w:space="0" w:color="auto"/>
      </w:divBdr>
    </w:div>
    <w:div w:id="1145463207">
      <w:bodyDiv w:val="1"/>
      <w:marLeft w:val="0"/>
      <w:marRight w:val="0"/>
      <w:marTop w:val="0"/>
      <w:marBottom w:val="0"/>
      <w:divBdr>
        <w:top w:val="none" w:sz="0" w:space="0" w:color="auto"/>
        <w:left w:val="none" w:sz="0" w:space="0" w:color="auto"/>
        <w:bottom w:val="none" w:sz="0" w:space="0" w:color="auto"/>
        <w:right w:val="none" w:sz="0" w:space="0" w:color="auto"/>
      </w:divBdr>
    </w:div>
    <w:div w:id="1145514579">
      <w:bodyDiv w:val="1"/>
      <w:marLeft w:val="0"/>
      <w:marRight w:val="0"/>
      <w:marTop w:val="0"/>
      <w:marBottom w:val="0"/>
      <w:divBdr>
        <w:top w:val="none" w:sz="0" w:space="0" w:color="auto"/>
        <w:left w:val="none" w:sz="0" w:space="0" w:color="auto"/>
        <w:bottom w:val="none" w:sz="0" w:space="0" w:color="auto"/>
        <w:right w:val="none" w:sz="0" w:space="0" w:color="auto"/>
      </w:divBdr>
    </w:div>
    <w:div w:id="1145586203">
      <w:bodyDiv w:val="1"/>
      <w:marLeft w:val="0"/>
      <w:marRight w:val="0"/>
      <w:marTop w:val="0"/>
      <w:marBottom w:val="0"/>
      <w:divBdr>
        <w:top w:val="none" w:sz="0" w:space="0" w:color="auto"/>
        <w:left w:val="none" w:sz="0" w:space="0" w:color="auto"/>
        <w:bottom w:val="none" w:sz="0" w:space="0" w:color="auto"/>
        <w:right w:val="none" w:sz="0" w:space="0" w:color="auto"/>
      </w:divBdr>
    </w:div>
    <w:div w:id="1145732607">
      <w:bodyDiv w:val="1"/>
      <w:marLeft w:val="0"/>
      <w:marRight w:val="0"/>
      <w:marTop w:val="0"/>
      <w:marBottom w:val="0"/>
      <w:divBdr>
        <w:top w:val="none" w:sz="0" w:space="0" w:color="auto"/>
        <w:left w:val="none" w:sz="0" w:space="0" w:color="auto"/>
        <w:bottom w:val="none" w:sz="0" w:space="0" w:color="auto"/>
        <w:right w:val="none" w:sz="0" w:space="0" w:color="auto"/>
      </w:divBdr>
    </w:div>
    <w:div w:id="1145853357">
      <w:bodyDiv w:val="1"/>
      <w:marLeft w:val="0"/>
      <w:marRight w:val="0"/>
      <w:marTop w:val="0"/>
      <w:marBottom w:val="0"/>
      <w:divBdr>
        <w:top w:val="none" w:sz="0" w:space="0" w:color="auto"/>
        <w:left w:val="none" w:sz="0" w:space="0" w:color="auto"/>
        <w:bottom w:val="none" w:sz="0" w:space="0" w:color="auto"/>
        <w:right w:val="none" w:sz="0" w:space="0" w:color="auto"/>
      </w:divBdr>
    </w:div>
    <w:div w:id="1145853515">
      <w:bodyDiv w:val="1"/>
      <w:marLeft w:val="0"/>
      <w:marRight w:val="0"/>
      <w:marTop w:val="0"/>
      <w:marBottom w:val="0"/>
      <w:divBdr>
        <w:top w:val="none" w:sz="0" w:space="0" w:color="auto"/>
        <w:left w:val="none" w:sz="0" w:space="0" w:color="auto"/>
        <w:bottom w:val="none" w:sz="0" w:space="0" w:color="auto"/>
        <w:right w:val="none" w:sz="0" w:space="0" w:color="auto"/>
      </w:divBdr>
    </w:div>
    <w:div w:id="1146043888">
      <w:bodyDiv w:val="1"/>
      <w:marLeft w:val="0"/>
      <w:marRight w:val="0"/>
      <w:marTop w:val="0"/>
      <w:marBottom w:val="0"/>
      <w:divBdr>
        <w:top w:val="none" w:sz="0" w:space="0" w:color="auto"/>
        <w:left w:val="none" w:sz="0" w:space="0" w:color="auto"/>
        <w:bottom w:val="none" w:sz="0" w:space="0" w:color="auto"/>
        <w:right w:val="none" w:sz="0" w:space="0" w:color="auto"/>
      </w:divBdr>
    </w:div>
    <w:div w:id="1146052411">
      <w:bodyDiv w:val="1"/>
      <w:marLeft w:val="0"/>
      <w:marRight w:val="0"/>
      <w:marTop w:val="0"/>
      <w:marBottom w:val="0"/>
      <w:divBdr>
        <w:top w:val="none" w:sz="0" w:space="0" w:color="auto"/>
        <w:left w:val="none" w:sz="0" w:space="0" w:color="auto"/>
        <w:bottom w:val="none" w:sz="0" w:space="0" w:color="auto"/>
        <w:right w:val="none" w:sz="0" w:space="0" w:color="auto"/>
      </w:divBdr>
    </w:div>
    <w:div w:id="1146121433">
      <w:bodyDiv w:val="1"/>
      <w:marLeft w:val="0"/>
      <w:marRight w:val="0"/>
      <w:marTop w:val="0"/>
      <w:marBottom w:val="0"/>
      <w:divBdr>
        <w:top w:val="none" w:sz="0" w:space="0" w:color="auto"/>
        <w:left w:val="none" w:sz="0" w:space="0" w:color="auto"/>
        <w:bottom w:val="none" w:sz="0" w:space="0" w:color="auto"/>
        <w:right w:val="none" w:sz="0" w:space="0" w:color="auto"/>
      </w:divBdr>
    </w:div>
    <w:div w:id="1146121883">
      <w:bodyDiv w:val="1"/>
      <w:marLeft w:val="0"/>
      <w:marRight w:val="0"/>
      <w:marTop w:val="0"/>
      <w:marBottom w:val="0"/>
      <w:divBdr>
        <w:top w:val="none" w:sz="0" w:space="0" w:color="auto"/>
        <w:left w:val="none" w:sz="0" w:space="0" w:color="auto"/>
        <w:bottom w:val="none" w:sz="0" w:space="0" w:color="auto"/>
        <w:right w:val="none" w:sz="0" w:space="0" w:color="auto"/>
      </w:divBdr>
    </w:div>
    <w:div w:id="1146238810">
      <w:bodyDiv w:val="1"/>
      <w:marLeft w:val="0"/>
      <w:marRight w:val="0"/>
      <w:marTop w:val="0"/>
      <w:marBottom w:val="0"/>
      <w:divBdr>
        <w:top w:val="none" w:sz="0" w:space="0" w:color="auto"/>
        <w:left w:val="none" w:sz="0" w:space="0" w:color="auto"/>
        <w:bottom w:val="none" w:sz="0" w:space="0" w:color="auto"/>
        <w:right w:val="none" w:sz="0" w:space="0" w:color="auto"/>
      </w:divBdr>
    </w:div>
    <w:div w:id="1146239733">
      <w:bodyDiv w:val="1"/>
      <w:marLeft w:val="0"/>
      <w:marRight w:val="0"/>
      <w:marTop w:val="0"/>
      <w:marBottom w:val="0"/>
      <w:divBdr>
        <w:top w:val="none" w:sz="0" w:space="0" w:color="auto"/>
        <w:left w:val="none" w:sz="0" w:space="0" w:color="auto"/>
        <w:bottom w:val="none" w:sz="0" w:space="0" w:color="auto"/>
        <w:right w:val="none" w:sz="0" w:space="0" w:color="auto"/>
      </w:divBdr>
    </w:div>
    <w:div w:id="1146507265">
      <w:bodyDiv w:val="1"/>
      <w:marLeft w:val="0"/>
      <w:marRight w:val="0"/>
      <w:marTop w:val="0"/>
      <w:marBottom w:val="0"/>
      <w:divBdr>
        <w:top w:val="none" w:sz="0" w:space="0" w:color="auto"/>
        <w:left w:val="none" w:sz="0" w:space="0" w:color="auto"/>
        <w:bottom w:val="none" w:sz="0" w:space="0" w:color="auto"/>
        <w:right w:val="none" w:sz="0" w:space="0" w:color="auto"/>
      </w:divBdr>
    </w:div>
    <w:div w:id="1146509630">
      <w:bodyDiv w:val="1"/>
      <w:marLeft w:val="0"/>
      <w:marRight w:val="0"/>
      <w:marTop w:val="0"/>
      <w:marBottom w:val="0"/>
      <w:divBdr>
        <w:top w:val="none" w:sz="0" w:space="0" w:color="auto"/>
        <w:left w:val="none" w:sz="0" w:space="0" w:color="auto"/>
        <w:bottom w:val="none" w:sz="0" w:space="0" w:color="auto"/>
        <w:right w:val="none" w:sz="0" w:space="0" w:color="auto"/>
      </w:divBdr>
    </w:div>
    <w:div w:id="1146583467">
      <w:bodyDiv w:val="1"/>
      <w:marLeft w:val="0"/>
      <w:marRight w:val="0"/>
      <w:marTop w:val="0"/>
      <w:marBottom w:val="0"/>
      <w:divBdr>
        <w:top w:val="none" w:sz="0" w:space="0" w:color="auto"/>
        <w:left w:val="none" w:sz="0" w:space="0" w:color="auto"/>
        <w:bottom w:val="none" w:sz="0" w:space="0" w:color="auto"/>
        <w:right w:val="none" w:sz="0" w:space="0" w:color="auto"/>
      </w:divBdr>
    </w:div>
    <w:div w:id="1146778603">
      <w:bodyDiv w:val="1"/>
      <w:marLeft w:val="0"/>
      <w:marRight w:val="0"/>
      <w:marTop w:val="0"/>
      <w:marBottom w:val="0"/>
      <w:divBdr>
        <w:top w:val="none" w:sz="0" w:space="0" w:color="auto"/>
        <w:left w:val="none" w:sz="0" w:space="0" w:color="auto"/>
        <w:bottom w:val="none" w:sz="0" w:space="0" w:color="auto"/>
        <w:right w:val="none" w:sz="0" w:space="0" w:color="auto"/>
      </w:divBdr>
    </w:div>
    <w:div w:id="1146821629">
      <w:bodyDiv w:val="1"/>
      <w:marLeft w:val="0"/>
      <w:marRight w:val="0"/>
      <w:marTop w:val="0"/>
      <w:marBottom w:val="0"/>
      <w:divBdr>
        <w:top w:val="none" w:sz="0" w:space="0" w:color="auto"/>
        <w:left w:val="none" w:sz="0" w:space="0" w:color="auto"/>
        <w:bottom w:val="none" w:sz="0" w:space="0" w:color="auto"/>
        <w:right w:val="none" w:sz="0" w:space="0" w:color="auto"/>
      </w:divBdr>
    </w:div>
    <w:div w:id="1146825343">
      <w:bodyDiv w:val="1"/>
      <w:marLeft w:val="0"/>
      <w:marRight w:val="0"/>
      <w:marTop w:val="0"/>
      <w:marBottom w:val="0"/>
      <w:divBdr>
        <w:top w:val="none" w:sz="0" w:space="0" w:color="auto"/>
        <w:left w:val="none" w:sz="0" w:space="0" w:color="auto"/>
        <w:bottom w:val="none" w:sz="0" w:space="0" w:color="auto"/>
        <w:right w:val="none" w:sz="0" w:space="0" w:color="auto"/>
      </w:divBdr>
    </w:div>
    <w:div w:id="1147085332">
      <w:bodyDiv w:val="1"/>
      <w:marLeft w:val="0"/>
      <w:marRight w:val="0"/>
      <w:marTop w:val="0"/>
      <w:marBottom w:val="0"/>
      <w:divBdr>
        <w:top w:val="none" w:sz="0" w:space="0" w:color="auto"/>
        <w:left w:val="none" w:sz="0" w:space="0" w:color="auto"/>
        <w:bottom w:val="none" w:sz="0" w:space="0" w:color="auto"/>
        <w:right w:val="none" w:sz="0" w:space="0" w:color="auto"/>
      </w:divBdr>
    </w:div>
    <w:div w:id="1147090957">
      <w:bodyDiv w:val="1"/>
      <w:marLeft w:val="0"/>
      <w:marRight w:val="0"/>
      <w:marTop w:val="0"/>
      <w:marBottom w:val="0"/>
      <w:divBdr>
        <w:top w:val="none" w:sz="0" w:space="0" w:color="auto"/>
        <w:left w:val="none" w:sz="0" w:space="0" w:color="auto"/>
        <w:bottom w:val="none" w:sz="0" w:space="0" w:color="auto"/>
        <w:right w:val="none" w:sz="0" w:space="0" w:color="auto"/>
      </w:divBdr>
    </w:div>
    <w:div w:id="1147278161">
      <w:bodyDiv w:val="1"/>
      <w:marLeft w:val="0"/>
      <w:marRight w:val="0"/>
      <w:marTop w:val="0"/>
      <w:marBottom w:val="0"/>
      <w:divBdr>
        <w:top w:val="none" w:sz="0" w:space="0" w:color="auto"/>
        <w:left w:val="none" w:sz="0" w:space="0" w:color="auto"/>
        <w:bottom w:val="none" w:sz="0" w:space="0" w:color="auto"/>
        <w:right w:val="none" w:sz="0" w:space="0" w:color="auto"/>
      </w:divBdr>
    </w:div>
    <w:div w:id="1147281398">
      <w:bodyDiv w:val="1"/>
      <w:marLeft w:val="0"/>
      <w:marRight w:val="0"/>
      <w:marTop w:val="0"/>
      <w:marBottom w:val="0"/>
      <w:divBdr>
        <w:top w:val="none" w:sz="0" w:space="0" w:color="auto"/>
        <w:left w:val="none" w:sz="0" w:space="0" w:color="auto"/>
        <w:bottom w:val="none" w:sz="0" w:space="0" w:color="auto"/>
        <w:right w:val="none" w:sz="0" w:space="0" w:color="auto"/>
      </w:divBdr>
    </w:div>
    <w:div w:id="1147356710">
      <w:bodyDiv w:val="1"/>
      <w:marLeft w:val="0"/>
      <w:marRight w:val="0"/>
      <w:marTop w:val="0"/>
      <w:marBottom w:val="0"/>
      <w:divBdr>
        <w:top w:val="none" w:sz="0" w:space="0" w:color="auto"/>
        <w:left w:val="none" w:sz="0" w:space="0" w:color="auto"/>
        <w:bottom w:val="none" w:sz="0" w:space="0" w:color="auto"/>
        <w:right w:val="none" w:sz="0" w:space="0" w:color="auto"/>
      </w:divBdr>
    </w:div>
    <w:div w:id="1147556122">
      <w:bodyDiv w:val="1"/>
      <w:marLeft w:val="0"/>
      <w:marRight w:val="0"/>
      <w:marTop w:val="0"/>
      <w:marBottom w:val="0"/>
      <w:divBdr>
        <w:top w:val="none" w:sz="0" w:space="0" w:color="auto"/>
        <w:left w:val="none" w:sz="0" w:space="0" w:color="auto"/>
        <w:bottom w:val="none" w:sz="0" w:space="0" w:color="auto"/>
        <w:right w:val="none" w:sz="0" w:space="0" w:color="auto"/>
      </w:divBdr>
    </w:div>
    <w:div w:id="1147865613">
      <w:bodyDiv w:val="1"/>
      <w:marLeft w:val="0"/>
      <w:marRight w:val="0"/>
      <w:marTop w:val="0"/>
      <w:marBottom w:val="0"/>
      <w:divBdr>
        <w:top w:val="none" w:sz="0" w:space="0" w:color="auto"/>
        <w:left w:val="none" w:sz="0" w:space="0" w:color="auto"/>
        <w:bottom w:val="none" w:sz="0" w:space="0" w:color="auto"/>
        <w:right w:val="none" w:sz="0" w:space="0" w:color="auto"/>
      </w:divBdr>
    </w:div>
    <w:div w:id="1147934763">
      <w:bodyDiv w:val="1"/>
      <w:marLeft w:val="0"/>
      <w:marRight w:val="0"/>
      <w:marTop w:val="0"/>
      <w:marBottom w:val="0"/>
      <w:divBdr>
        <w:top w:val="none" w:sz="0" w:space="0" w:color="auto"/>
        <w:left w:val="none" w:sz="0" w:space="0" w:color="auto"/>
        <w:bottom w:val="none" w:sz="0" w:space="0" w:color="auto"/>
        <w:right w:val="none" w:sz="0" w:space="0" w:color="auto"/>
      </w:divBdr>
    </w:div>
    <w:div w:id="1147935903">
      <w:bodyDiv w:val="1"/>
      <w:marLeft w:val="0"/>
      <w:marRight w:val="0"/>
      <w:marTop w:val="0"/>
      <w:marBottom w:val="0"/>
      <w:divBdr>
        <w:top w:val="none" w:sz="0" w:space="0" w:color="auto"/>
        <w:left w:val="none" w:sz="0" w:space="0" w:color="auto"/>
        <w:bottom w:val="none" w:sz="0" w:space="0" w:color="auto"/>
        <w:right w:val="none" w:sz="0" w:space="0" w:color="auto"/>
      </w:divBdr>
    </w:div>
    <w:div w:id="1148278682">
      <w:bodyDiv w:val="1"/>
      <w:marLeft w:val="0"/>
      <w:marRight w:val="0"/>
      <w:marTop w:val="0"/>
      <w:marBottom w:val="0"/>
      <w:divBdr>
        <w:top w:val="none" w:sz="0" w:space="0" w:color="auto"/>
        <w:left w:val="none" w:sz="0" w:space="0" w:color="auto"/>
        <w:bottom w:val="none" w:sz="0" w:space="0" w:color="auto"/>
        <w:right w:val="none" w:sz="0" w:space="0" w:color="auto"/>
      </w:divBdr>
    </w:div>
    <w:div w:id="1148472429">
      <w:bodyDiv w:val="1"/>
      <w:marLeft w:val="0"/>
      <w:marRight w:val="0"/>
      <w:marTop w:val="0"/>
      <w:marBottom w:val="0"/>
      <w:divBdr>
        <w:top w:val="none" w:sz="0" w:space="0" w:color="auto"/>
        <w:left w:val="none" w:sz="0" w:space="0" w:color="auto"/>
        <w:bottom w:val="none" w:sz="0" w:space="0" w:color="auto"/>
        <w:right w:val="none" w:sz="0" w:space="0" w:color="auto"/>
      </w:divBdr>
    </w:div>
    <w:div w:id="1148473825">
      <w:bodyDiv w:val="1"/>
      <w:marLeft w:val="0"/>
      <w:marRight w:val="0"/>
      <w:marTop w:val="0"/>
      <w:marBottom w:val="0"/>
      <w:divBdr>
        <w:top w:val="none" w:sz="0" w:space="0" w:color="auto"/>
        <w:left w:val="none" w:sz="0" w:space="0" w:color="auto"/>
        <w:bottom w:val="none" w:sz="0" w:space="0" w:color="auto"/>
        <w:right w:val="none" w:sz="0" w:space="0" w:color="auto"/>
      </w:divBdr>
    </w:div>
    <w:div w:id="1148518914">
      <w:bodyDiv w:val="1"/>
      <w:marLeft w:val="0"/>
      <w:marRight w:val="0"/>
      <w:marTop w:val="0"/>
      <w:marBottom w:val="0"/>
      <w:divBdr>
        <w:top w:val="none" w:sz="0" w:space="0" w:color="auto"/>
        <w:left w:val="none" w:sz="0" w:space="0" w:color="auto"/>
        <w:bottom w:val="none" w:sz="0" w:space="0" w:color="auto"/>
        <w:right w:val="none" w:sz="0" w:space="0" w:color="auto"/>
      </w:divBdr>
    </w:div>
    <w:div w:id="1148670778">
      <w:bodyDiv w:val="1"/>
      <w:marLeft w:val="0"/>
      <w:marRight w:val="0"/>
      <w:marTop w:val="0"/>
      <w:marBottom w:val="0"/>
      <w:divBdr>
        <w:top w:val="none" w:sz="0" w:space="0" w:color="auto"/>
        <w:left w:val="none" w:sz="0" w:space="0" w:color="auto"/>
        <w:bottom w:val="none" w:sz="0" w:space="0" w:color="auto"/>
        <w:right w:val="none" w:sz="0" w:space="0" w:color="auto"/>
      </w:divBdr>
    </w:div>
    <w:div w:id="1148671737">
      <w:bodyDiv w:val="1"/>
      <w:marLeft w:val="0"/>
      <w:marRight w:val="0"/>
      <w:marTop w:val="0"/>
      <w:marBottom w:val="0"/>
      <w:divBdr>
        <w:top w:val="none" w:sz="0" w:space="0" w:color="auto"/>
        <w:left w:val="none" w:sz="0" w:space="0" w:color="auto"/>
        <w:bottom w:val="none" w:sz="0" w:space="0" w:color="auto"/>
        <w:right w:val="none" w:sz="0" w:space="0" w:color="auto"/>
      </w:divBdr>
    </w:div>
    <w:div w:id="1148791752">
      <w:bodyDiv w:val="1"/>
      <w:marLeft w:val="0"/>
      <w:marRight w:val="0"/>
      <w:marTop w:val="0"/>
      <w:marBottom w:val="0"/>
      <w:divBdr>
        <w:top w:val="none" w:sz="0" w:space="0" w:color="auto"/>
        <w:left w:val="none" w:sz="0" w:space="0" w:color="auto"/>
        <w:bottom w:val="none" w:sz="0" w:space="0" w:color="auto"/>
        <w:right w:val="none" w:sz="0" w:space="0" w:color="auto"/>
      </w:divBdr>
    </w:div>
    <w:div w:id="1148935714">
      <w:bodyDiv w:val="1"/>
      <w:marLeft w:val="0"/>
      <w:marRight w:val="0"/>
      <w:marTop w:val="0"/>
      <w:marBottom w:val="0"/>
      <w:divBdr>
        <w:top w:val="none" w:sz="0" w:space="0" w:color="auto"/>
        <w:left w:val="none" w:sz="0" w:space="0" w:color="auto"/>
        <w:bottom w:val="none" w:sz="0" w:space="0" w:color="auto"/>
        <w:right w:val="none" w:sz="0" w:space="0" w:color="auto"/>
      </w:divBdr>
    </w:div>
    <w:div w:id="1148942146">
      <w:bodyDiv w:val="1"/>
      <w:marLeft w:val="0"/>
      <w:marRight w:val="0"/>
      <w:marTop w:val="0"/>
      <w:marBottom w:val="0"/>
      <w:divBdr>
        <w:top w:val="none" w:sz="0" w:space="0" w:color="auto"/>
        <w:left w:val="none" w:sz="0" w:space="0" w:color="auto"/>
        <w:bottom w:val="none" w:sz="0" w:space="0" w:color="auto"/>
        <w:right w:val="none" w:sz="0" w:space="0" w:color="auto"/>
      </w:divBdr>
    </w:div>
    <w:div w:id="1149053275">
      <w:bodyDiv w:val="1"/>
      <w:marLeft w:val="0"/>
      <w:marRight w:val="0"/>
      <w:marTop w:val="0"/>
      <w:marBottom w:val="0"/>
      <w:divBdr>
        <w:top w:val="none" w:sz="0" w:space="0" w:color="auto"/>
        <w:left w:val="none" w:sz="0" w:space="0" w:color="auto"/>
        <w:bottom w:val="none" w:sz="0" w:space="0" w:color="auto"/>
        <w:right w:val="none" w:sz="0" w:space="0" w:color="auto"/>
      </w:divBdr>
    </w:div>
    <w:div w:id="1149128886">
      <w:bodyDiv w:val="1"/>
      <w:marLeft w:val="0"/>
      <w:marRight w:val="0"/>
      <w:marTop w:val="0"/>
      <w:marBottom w:val="0"/>
      <w:divBdr>
        <w:top w:val="none" w:sz="0" w:space="0" w:color="auto"/>
        <w:left w:val="none" w:sz="0" w:space="0" w:color="auto"/>
        <w:bottom w:val="none" w:sz="0" w:space="0" w:color="auto"/>
        <w:right w:val="none" w:sz="0" w:space="0" w:color="auto"/>
      </w:divBdr>
    </w:div>
    <w:div w:id="1149132245">
      <w:bodyDiv w:val="1"/>
      <w:marLeft w:val="0"/>
      <w:marRight w:val="0"/>
      <w:marTop w:val="0"/>
      <w:marBottom w:val="0"/>
      <w:divBdr>
        <w:top w:val="none" w:sz="0" w:space="0" w:color="auto"/>
        <w:left w:val="none" w:sz="0" w:space="0" w:color="auto"/>
        <w:bottom w:val="none" w:sz="0" w:space="0" w:color="auto"/>
        <w:right w:val="none" w:sz="0" w:space="0" w:color="auto"/>
      </w:divBdr>
    </w:div>
    <w:div w:id="1149176119">
      <w:bodyDiv w:val="1"/>
      <w:marLeft w:val="0"/>
      <w:marRight w:val="0"/>
      <w:marTop w:val="0"/>
      <w:marBottom w:val="0"/>
      <w:divBdr>
        <w:top w:val="none" w:sz="0" w:space="0" w:color="auto"/>
        <w:left w:val="none" w:sz="0" w:space="0" w:color="auto"/>
        <w:bottom w:val="none" w:sz="0" w:space="0" w:color="auto"/>
        <w:right w:val="none" w:sz="0" w:space="0" w:color="auto"/>
      </w:divBdr>
    </w:div>
    <w:div w:id="1149443628">
      <w:bodyDiv w:val="1"/>
      <w:marLeft w:val="0"/>
      <w:marRight w:val="0"/>
      <w:marTop w:val="0"/>
      <w:marBottom w:val="0"/>
      <w:divBdr>
        <w:top w:val="none" w:sz="0" w:space="0" w:color="auto"/>
        <w:left w:val="none" w:sz="0" w:space="0" w:color="auto"/>
        <w:bottom w:val="none" w:sz="0" w:space="0" w:color="auto"/>
        <w:right w:val="none" w:sz="0" w:space="0" w:color="auto"/>
      </w:divBdr>
    </w:div>
    <w:div w:id="1149590186">
      <w:bodyDiv w:val="1"/>
      <w:marLeft w:val="0"/>
      <w:marRight w:val="0"/>
      <w:marTop w:val="0"/>
      <w:marBottom w:val="0"/>
      <w:divBdr>
        <w:top w:val="none" w:sz="0" w:space="0" w:color="auto"/>
        <w:left w:val="none" w:sz="0" w:space="0" w:color="auto"/>
        <w:bottom w:val="none" w:sz="0" w:space="0" w:color="auto"/>
        <w:right w:val="none" w:sz="0" w:space="0" w:color="auto"/>
      </w:divBdr>
    </w:div>
    <w:div w:id="1149592338">
      <w:bodyDiv w:val="1"/>
      <w:marLeft w:val="0"/>
      <w:marRight w:val="0"/>
      <w:marTop w:val="0"/>
      <w:marBottom w:val="0"/>
      <w:divBdr>
        <w:top w:val="none" w:sz="0" w:space="0" w:color="auto"/>
        <w:left w:val="none" w:sz="0" w:space="0" w:color="auto"/>
        <w:bottom w:val="none" w:sz="0" w:space="0" w:color="auto"/>
        <w:right w:val="none" w:sz="0" w:space="0" w:color="auto"/>
      </w:divBdr>
    </w:div>
    <w:div w:id="1149633259">
      <w:bodyDiv w:val="1"/>
      <w:marLeft w:val="0"/>
      <w:marRight w:val="0"/>
      <w:marTop w:val="0"/>
      <w:marBottom w:val="0"/>
      <w:divBdr>
        <w:top w:val="none" w:sz="0" w:space="0" w:color="auto"/>
        <w:left w:val="none" w:sz="0" w:space="0" w:color="auto"/>
        <w:bottom w:val="none" w:sz="0" w:space="0" w:color="auto"/>
        <w:right w:val="none" w:sz="0" w:space="0" w:color="auto"/>
      </w:divBdr>
    </w:div>
    <w:div w:id="1149637738">
      <w:bodyDiv w:val="1"/>
      <w:marLeft w:val="0"/>
      <w:marRight w:val="0"/>
      <w:marTop w:val="0"/>
      <w:marBottom w:val="0"/>
      <w:divBdr>
        <w:top w:val="none" w:sz="0" w:space="0" w:color="auto"/>
        <w:left w:val="none" w:sz="0" w:space="0" w:color="auto"/>
        <w:bottom w:val="none" w:sz="0" w:space="0" w:color="auto"/>
        <w:right w:val="none" w:sz="0" w:space="0" w:color="auto"/>
      </w:divBdr>
    </w:div>
    <w:div w:id="1149781573">
      <w:bodyDiv w:val="1"/>
      <w:marLeft w:val="0"/>
      <w:marRight w:val="0"/>
      <w:marTop w:val="0"/>
      <w:marBottom w:val="0"/>
      <w:divBdr>
        <w:top w:val="none" w:sz="0" w:space="0" w:color="auto"/>
        <w:left w:val="none" w:sz="0" w:space="0" w:color="auto"/>
        <w:bottom w:val="none" w:sz="0" w:space="0" w:color="auto"/>
        <w:right w:val="none" w:sz="0" w:space="0" w:color="auto"/>
      </w:divBdr>
    </w:div>
    <w:div w:id="1149786431">
      <w:bodyDiv w:val="1"/>
      <w:marLeft w:val="0"/>
      <w:marRight w:val="0"/>
      <w:marTop w:val="0"/>
      <w:marBottom w:val="0"/>
      <w:divBdr>
        <w:top w:val="none" w:sz="0" w:space="0" w:color="auto"/>
        <w:left w:val="none" w:sz="0" w:space="0" w:color="auto"/>
        <w:bottom w:val="none" w:sz="0" w:space="0" w:color="auto"/>
        <w:right w:val="none" w:sz="0" w:space="0" w:color="auto"/>
      </w:divBdr>
    </w:div>
    <w:div w:id="1149859286">
      <w:bodyDiv w:val="1"/>
      <w:marLeft w:val="0"/>
      <w:marRight w:val="0"/>
      <w:marTop w:val="0"/>
      <w:marBottom w:val="0"/>
      <w:divBdr>
        <w:top w:val="none" w:sz="0" w:space="0" w:color="auto"/>
        <w:left w:val="none" w:sz="0" w:space="0" w:color="auto"/>
        <w:bottom w:val="none" w:sz="0" w:space="0" w:color="auto"/>
        <w:right w:val="none" w:sz="0" w:space="0" w:color="auto"/>
      </w:divBdr>
    </w:div>
    <w:div w:id="1149900963">
      <w:bodyDiv w:val="1"/>
      <w:marLeft w:val="0"/>
      <w:marRight w:val="0"/>
      <w:marTop w:val="0"/>
      <w:marBottom w:val="0"/>
      <w:divBdr>
        <w:top w:val="none" w:sz="0" w:space="0" w:color="auto"/>
        <w:left w:val="none" w:sz="0" w:space="0" w:color="auto"/>
        <w:bottom w:val="none" w:sz="0" w:space="0" w:color="auto"/>
        <w:right w:val="none" w:sz="0" w:space="0" w:color="auto"/>
      </w:divBdr>
    </w:div>
    <w:div w:id="1149902375">
      <w:bodyDiv w:val="1"/>
      <w:marLeft w:val="0"/>
      <w:marRight w:val="0"/>
      <w:marTop w:val="0"/>
      <w:marBottom w:val="0"/>
      <w:divBdr>
        <w:top w:val="none" w:sz="0" w:space="0" w:color="auto"/>
        <w:left w:val="none" w:sz="0" w:space="0" w:color="auto"/>
        <w:bottom w:val="none" w:sz="0" w:space="0" w:color="auto"/>
        <w:right w:val="none" w:sz="0" w:space="0" w:color="auto"/>
      </w:divBdr>
    </w:div>
    <w:div w:id="1149978713">
      <w:bodyDiv w:val="1"/>
      <w:marLeft w:val="0"/>
      <w:marRight w:val="0"/>
      <w:marTop w:val="0"/>
      <w:marBottom w:val="0"/>
      <w:divBdr>
        <w:top w:val="none" w:sz="0" w:space="0" w:color="auto"/>
        <w:left w:val="none" w:sz="0" w:space="0" w:color="auto"/>
        <w:bottom w:val="none" w:sz="0" w:space="0" w:color="auto"/>
        <w:right w:val="none" w:sz="0" w:space="0" w:color="auto"/>
      </w:divBdr>
    </w:div>
    <w:div w:id="1149983550">
      <w:bodyDiv w:val="1"/>
      <w:marLeft w:val="0"/>
      <w:marRight w:val="0"/>
      <w:marTop w:val="0"/>
      <w:marBottom w:val="0"/>
      <w:divBdr>
        <w:top w:val="none" w:sz="0" w:space="0" w:color="auto"/>
        <w:left w:val="none" w:sz="0" w:space="0" w:color="auto"/>
        <w:bottom w:val="none" w:sz="0" w:space="0" w:color="auto"/>
        <w:right w:val="none" w:sz="0" w:space="0" w:color="auto"/>
      </w:divBdr>
    </w:div>
    <w:div w:id="1150098698">
      <w:bodyDiv w:val="1"/>
      <w:marLeft w:val="0"/>
      <w:marRight w:val="0"/>
      <w:marTop w:val="0"/>
      <w:marBottom w:val="0"/>
      <w:divBdr>
        <w:top w:val="none" w:sz="0" w:space="0" w:color="auto"/>
        <w:left w:val="none" w:sz="0" w:space="0" w:color="auto"/>
        <w:bottom w:val="none" w:sz="0" w:space="0" w:color="auto"/>
        <w:right w:val="none" w:sz="0" w:space="0" w:color="auto"/>
      </w:divBdr>
    </w:div>
    <w:div w:id="1150172890">
      <w:bodyDiv w:val="1"/>
      <w:marLeft w:val="0"/>
      <w:marRight w:val="0"/>
      <w:marTop w:val="0"/>
      <w:marBottom w:val="0"/>
      <w:divBdr>
        <w:top w:val="none" w:sz="0" w:space="0" w:color="auto"/>
        <w:left w:val="none" w:sz="0" w:space="0" w:color="auto"/>
        <w:bottom w:val="none" w:sz="0" w:space="0" w:color="auto"/>
        <w:right w:val="none" w:sz="0" w:space="0" w:color="auto"/>
      </w:divBdr>
    </w:div>
    <w:div w:id="1150247477">
      <w:bodyDiv w:val="1"/>
      <w:marLeft w:val="0"/>
      <w:marRight w:val="0"/>
      <w:marTop w:val="0"/>
      <w:marBottom w:val="0"/>
      <w:divBdr>
        <w:top w:val="none" w:sz="0" w:space="0" w:color="auto"/>
        <w:left w:val="none" w:sz="0" w:space="0" w:color="auto"/>
        <w:bottom w:val="none" w:sz="0" w:space="0" w:color="auto"/>
        <w:right w:val="none" w:sz="0" w:space="0" w:color="auto"/>
      </w:divBdr>
    </w:div>
    <w:div w:id="1150289373">
      <w:bodyDiv w:val="1"/>
      <w:marLeft w:val="0"/>
      <w:marRight w:val="0"/>
      <w:marTop w:val="0"/>
      <w:marBottom w:val="0"/>
      <w:divBdr>
        <w:top w:val="none" w:sz="0" w:space="0" w:color="auto"/>
        <w:left w:val="none" w:sz="0" w:space="0" w:color="auto"/>
        <w:bottom w:val="none" w:sz="0" w:space="0" w:color="auto"/>
        <w:right w:val="none" w:sz="0" w:space="0" w:color="auto"/>
      </w:divBdr>
    </w:div>
    <w:div w:id="1150365074">
      <w:bodyDiv w:val="1"/>
      <w:marLeft w:val="0"/>
      <w:marRight w:val="0"/>
      <w:marTop w:val="0"/>
      <w:marBottom w:val="0"/>
      <w:divBdr>
        <w:top w:val="none" w:sz="0" w:space="0" w:color="auto"/>
        <w:left w:val="none" w:sz="0" w:space="0" w:color="auto"/>
        <w:bottom w:val="none" w:sz="0" w:space="0" w:color="auto"/>
        <w:right w:val="none" w:sz="0" w:space="0" w:color="auto"/>
      </w:divBdr>
    </w:div>
    <w:div w:id="1150366321">
      <w:bodyDiv w:val="1"/>
      <w:marLeft w:val="0"/>
      <w:marRight w:val="0"/>
      <w:marTop w:val="0"/>
      <w:marBottom w:val="0"/>
      <w:divBdr>
        <w:top w:val="none" w:sz="0" w:space="0" w:color="auto"/>
        <w:left w:val="none" w:sz="0" w:space="0" w:color="auto"/>
        <w:bottom w:val="none" w:sz="0" w:space="0" w:color="auto"/>
        <w:right w:val="none" w:sz="0" w:space="0" w:color="auto"/>
      </w:divBdr>
    </w:div>
    <w:div w:id="1150366340">
      <w:bodyDiv w:val="1"/>
      <w:marLeft w:val="0"/>
      <w:marRight w:val="0"/>
      <w:marTop w:val="0"/>
      <w:marBottom w:val="0"/>
      <w:divBdr>
        <w:top w:val="none" w:sz="0" w:space="0" w:color="auto"/>
        <w:left w:val="none" w:sz="0" w:space="0" w:color="auto"/>
        <w:bottom w:val="none" w:sz="0" w:space="0" w:color="auto"/>
        <w:right w:val="none" w:sz="0" w:space="0" w:color="auto"/>
      </w:divBdr>
    </w:div>
    <w:div w:id="1150486219">
      <w:bodyDiv w:val="1"/>
      <w:marLeft w:val="0"/>
      <w:marRight w:val="0"/>
      <w:marTop w:val="0"/>
      <w:marBottom w:val="0"/>
      <w:divBdr>
        <w:top w:val="none" w:sz="0" w:space="0" w:color="auto"/>
        <w:left w:val="none" w:sz="0" w:space="0" w:color="auto"/>
        <w:bottom w:val="none" w:sz="0" w:space="0" w:color="auto"/>
        <w:right w:val="none" w:sz="0" w:space="0" w:color="auto"/>
      </w:divBdr>
    </w:div>
    <w:div w:id="1150639188">
      <w:bodyDiv w:val="1"/>
      <w:marLeft w:val="0"/>
      <w:marRight w:val="0"/>
      <w:marTop w:val="0"/>
      <w:marBottom w:val="0"/>
      <w:divBdr>
        <w:top w:val="none" w:sz="0" w:space="0" w:color="auto"/>
        <w:left w:val="none" w:sz="0" w:space="0" w:color="auto"/>
        <w:bottom w:val="none" w:sz="0" w:space="0" w:color="auto"/>
        <w:right w:val="none" w:sz="0" w:space="0" w:color="auto"/>
      </w:divBdr>
    </w:div>
    <w:div w:id="1150681125">
      <w:bodyDiv w:val="1"/>
      <w:marLeft w:val="0"/>
      <w:marRight w:val="0"/>
      <w:marTop w:val="0"/>
      <w:marBottom w:val="0"/>
      <w:divBdr>
        <w:top w:val="none" w:sz="0" w:space="0" w:color="auto"/>
        <w:left w:val="none" w:sz="0" w:space="0" w:color="auto"/>
        <w:bottom w:val="none" w:sz="0" w:space="0" w:color="auto"/>
        <w:right w:val="none" w:sz="0" w:space="0" w:color="auto"/>
      </w:divBdr>
    </w:div>
    <w:div w:id="1150711187">
      <w:bodyDiv w:val="1"/>
      <w:marLeft w:val="0"/>
      <w:marRight w:val="0"/>
      <w:marTop w:val="0"/>
      <w:marBottom w:val="0"/>
      <w:divBdr>
        <w:top w:val="none" w:sz="0" w:space="0" w:color="auto"/>
        <w:left w:val="none" w:sz="0" w:space="0" w:color="auto"/>
        <w:bottom w:val="none" w:sz="0" w:space="0" w:color="auto"/>
        <w:right w:val="none" w:sz="0" w:space="0" w:color="auto"/>
      </w:divBdr>
    </w:div>
    <w:div w:id="1150750555">
      <w:bodyDiv w:val="1"/>
      <w:marLeft w:val="0"/>
      <w:marRight w:val="0"/>
      <w:marTop w:val="0"/>
      <w:marBottom w:val="0"/>
      <w:divBdr>
        <w:top w:val="none" w:sz="0" w:space="0" w:color="auto"/>
        <w:left w:val="none" w:sz="0" w:space="0" w:color="auto"/>
        <w:bottom w:val="none" w:sz="0" w:space="0" w:color="auto"/>
        <w:right w:val="none" w:sz="0" w:space="0" w:color="auto"/>
      </w:divBdr>
    </w:div>
    <w:div w:id="1150828534">
      <w:bodyDiv w:val="1"/>
      <w:marLeft w:val="0"/>
      <w:marRight w:val="0"/>
      <w:marTop w:val="0"/>
      <w:marBottom w:val="0"/>
      <w:divBdr>
        <w:top w:val="none" w:sz="0" w:space="0" w:color="auto"/>
        <w:left w:val="none" w:sz="0" w:space="0" w:color="auto"/>
        <w:bottom w:val="none" w:sz="0" w:space="0" w:color="auto"/>
        <w:right w:val="none" w:sz="0" w:space="0" w:color="auto"/>
      </w:divBdr>
    </w:div>
    <w:div w:id="1150830753">
      <w:bodyDiv w:val="1"/>
      <w:marLeft w:val="0"/>
      <w:marRight w:val="0"/>
      <w:marTop w:val="0"/>
      <w:marBottom w:val="0"/>
      <w:divBdr>
        <w:top w:val="none" w:sz="0" w:space="0" w:color="auto"/>
        <w:left w:val="none" w:sz="0" w:space="0" w:color="auto"/>
        <w:bottom w:val="none" w:sz="0" w:space="0" w:color="auto"/>
        <w:right w:val="none" w:sz="0" w:space="0" w:color="auto"/>
      </w:divBdr>
    </w:div>
    <w:div w:id="1151019498">
      <w:bodyDiv w:val="1"/>
      <w:marLeft w:val="0"/>
      <w:marRight w:val="0"/>
      <w:marTop w:val="0"/>
      <w:marBottom w:val="0"/>
      <w:divBdr>
        <w:top w:val="none" w:sz="0" w:space="0" w:color="auto"/>
        <w:left w:val="none" w:sz="0" w:space="0" w:color="auto"/>
        <w:bottom w:val="none" w:sz="0" w:space="0" w:color="auto"/>
        <w:right w:val="none" w:sz="0" w:space="0" w:color="auto"/>
      </w:divBdr>
    </w:div>
    <w:div w:id="1151020612">
      <w:bodyDiv w:val="1"/>
      <w:marLeft w:val="0"/>
      <w:marRight w:val="0"/>
      <w:marTop w:val="0"/>
      <w:marBottom w:val="0"/>
      <w:divBdr>
        <w:top w:val="none" w:sz="0" w:space="0" w:color="auto"/>
        <w:left w:val="none" w:sz="0" w:space="0" w:color="auto"/>
        <w:bottom w:val="none" w:sz="0" w:space="0" w:color="auto"/>
        <w:right w:val="none" w:sz="0" w:space="0" w:color="auto"/>
      </w:divBdr>
    </w:div>
    <w:div w:id="1151023969">
      <w:bodyDiv w:val="1"/>
      <w:marLeft w:val="0"/>
      <w:marRight w:val="0"/>
      <w:marTop w:val="0"/>
      <w:marBottom w:val="0"/>
      <w:divBdr>
        <w:top w:val="none" w:sz="0" w:space="0" w:color="auto"/>
        <w:left w:val="none" w:sz="0" w:space="0" w:color="auto"/>
        <w:bottom w:val="none" w:sz="0" w:space="0" w:color="auto"/>
        <w:right w:val="none" w:sz="0" w:space="0" w:color="auto"/>
      </w:divBdr>
    </w:div>
    <w:div w:id="1151094500">
      <w:bodyDiv w:val="1"/>
      <w:marLeft w:val="0"/>
      <w:marRight w:val="0"/>
      <w:marTop w:val="0"/>
      <w:marBottom w:val="0"/>
      <w:divBdr>
        <w:top w:val="none" w:sz="0" w:space="0" w:color="auto"/>
        <w:left w:val="none" w:sz="0" w:space="0" w:color="auto"/>
        <w:bottom w:val="none" w:sz="0" w:space="0" w:color="auto"/>
        <w:right w:val="none" w:sz="0" w:space="0" w:color="auto"/>
      </w:divBdr>
    </w:div>
    <w:div w:id="1151210627">
      <w:bodyDiv w:val="1"/>
      <w:marLeft w:val="0"/>
      <w:marRight w:val="0"/>
      <w:marTop w:val="0"/>
      <w:marBottom w:val="0"/>
      <w:divBdr>
        <w:top w:val="none" w:sz="0" w:space="0" w:color="auto"/>
        <w:left w:val="none" w:sz="0" w:space="0" w:color="auto"/>
        <w:bottom w:val="none" w:sz="0" w:space="0" w:color="auto"/>
        <w:right w:val="none" w:sz="0" w:space="0" w:color="auto"/>
      </w:divBdr>
    </w:div>
    <w:div w:id="1151362931">
      <w:bodyDiv w:val="1"/>
      <w:marLeft w:val="0"/>
      <w:marRight w:val="0"/>
      <w:marTop w:val="0"/>
      <w:marBottom w:val="0"/>
      <w:divBdr>
        <w:top w:val="none" w:sz="0" w:space="0" w:color="auto"/>
        <w:left w:val="none" w:sz="0" w:space="0" w:color="auto"/>
        <w:bottom w:val="none" w:sz="0" w:space="0" w:color="auto"/>
        <w:right w:val="none" w:sz="0" w:space="0" w:color="auto"/>
      </w:divBdr>
    </w:div>
    <w:div w:id="1151600854">
      <w:bodyDiv w:val="1"/>
      <w:marLeft w:val="0"/>
      <w:marRight w:val="0"/>
      <w:marTop w:val="0"/>
      <w:marBottom w:val="0"/>
      <w:divBdr>
        <w:top w:val="none" w:sz="0" w:space="0" w:color="auto"/>
        <w:left w:val="none" w:sz="0" w:space="0" w:color="auto"/>
        <w:bottom w:val="none" w:sz="0" w:space="0" w:color="auto"/>
        <w:right w:val="none" w:sz="0" w:space="0" w:color="auto"/>
      </w:divBdr>
    </w:div>
    <w:div w:id="1151629733">
      <w:bodyDiv w:val="1"/>
      <w:marLeft w:val="0"/>
      <w:marRight w:val="0"/>
      <w:marTop w:val="0"/>
      <w:marBottom w:val="0"/>
      <w:divBdr>
        <w:top w:val="none" w:sz="0" w:space="0" w:color="auto"/>
        <w:left w:val="none" w:sz="0" w:space="0" w:color="auto"/>
        <w:bottom w:val="none" w:sz="0" w:space="0" w:color="auto"/>
        <w:right w:val="none" w:sz="0" w:space="0" w:color="auto"/>
      </w:divBdr>
    </w:div>
    <w:div w:id="1151673383">
      <w:bodyDiv w:val="1"/>
      <w:marLeft w:val="0"/>
      <w:marRight w:val="0"/>
      <w:marTop w:val="0"/>
      <w:marBottom w:val="0"/>
      <w:divBdr>
        <w:top w:val="none" w:sz="0" w:space="0" w:color="auto"/>
        <w:left w:val="none" w:sz="0" w:space="0" w:color="auto"/>
        <w:bottom w:val="none" w:sz="0" w:space="0" w:color="auto"/>
        <w:right w:val="none" w:sz="0" w:space="0" w:color="auto"/>
      </w:divBdr>
    </w:div>
    <w:div w:id="1151867555">
      <w:bodyDiv w:val="1"/>
      <w:marLeft w:val="0"/>
      <w:marRight w:val="0"/>
      <w:marTop w:val="0"/>
      <w:marBottom w:val="0"/>
      <w:divBdr>
        <w:top w:val="none" w:sz="0" w:space="0" w:color="auto"/>
        <w:left w:val="none" w:sz="0" w:space="0" w:color="auto"/>
        <w:bottom w:val="none" w:sz="0" w:space="0" w:color="auto"/>
        <w:right w:val="none" w:sz="0" w:space="0" w:color="auto"/>
      </w:divBdr>
    </w:div>
    <w:div w:id="1151871601">
      <w:bodyDiv w:val="1"/>
      <w:marLeft w:val="0"/>
      <w:marRight w:val="0"/>
      <w:marTop w:val="0"/>
      <w:marBottom w:val="0"/>
      <w:divBdr>
        <w:top w:val="none" w:sz="0" w:space="0" w:color="auto"/>
        <w:left w:val="none" w:sz="0" w:space="0" w:color="auto"/>
        <w:bottom w:val="none" w:sz="0" w:space="0" w:color="auto"/>
        <w:right w:val="none" w:sz="0" w:space="0" w:color="auto"/>
      </w:divBdr>
    </w:div>
    <w:div w:id="1152209943">
      <w:bodyDiv w:val="1"/>
      <w:marLeft w:val="0"/>
      <w:marRight w:val="0"/>
      <w:marTop w:val="0"/>
      <w:marBottom w:val="0"/>
      <w:divBdr>
        <w:top w:val="none" w:sz="0" w:space="0" w:color="auto"/>
        <w:left w:val="none" w:sz="0" w:space="0" w:color="auto"/>
        <w:bottom w:val="none" w:sz="0" w:space="0" w:color="auto"/>
        <w:right w:val="none" w:sz="0" w:space="0" w:color="auto"/>
      </w:divBdr>
    </w:div>
    <w:div w:id="1152212360">
      <w:bodyDiv w:val="1"/>
      <w:marLeft w:val="0"/>
      <w:marRight w:val="0"/>
      <w:marTop w:val="0"/>
      <w:marBottom w:val="0"/>
      <w:divBdr>
        <w:top w:val="none" w:sz="0" w:space="0" w:color="auto"/>
        <w:left w:val="none" w:sz="0" w:space="0" w:color="auto"/>
        <w:bottom w:val="none" w:sz="0" w:space="0" w:color="auto"/>
        <w:right w:val="none" w:sz="0" w:space="0" w:color="auto"/>
      </w:divBdr>
    </w:div>
    <w:div w:id="1152215899">
      <w:bodyDiv w:val="1"/>
      <w:marLeft w:val="0"/>
      <w:marRight w:val="0"/>
      <w:marTop w:val="0"/>
      <w:marBottom w:val="0"/>
      <w:divBdr>
        <w:top w:val="none" w:sz="0" w:space="0" w:color="auto"/>
        <w:left w:val="none" w:sz="0" w:space="0" w:color="auto"/>
        <w:bottom w:val="none" w:sz="0" w:space="0" w:color="auto"/>
        <w:right w:val="none" w:sz="0" w:space="0" w:color="auto"/>
      </w:divBdr>
    </w:div>
    <w:div w:id="1152255644">
      <w:bodyDiv w:val="1"/>
      <w:marLeft w:val="0"/>
      <w:marRight w:val="0"/>
      <w:marTop w:val="0"/>
      <w:marBottom w:val="0"/>
      <w:divBdr>
        <w:top w:val="none" w:sz="0" w:space="0" w:color="auto"/>
        <w:left w:val="none" w:sz="0" w:space="0" w:color="auto"/>
        <w:bottom w:val="none" w:sz="0" w:space="0" w:color="auto"/>
        <w:right w:val="none" w:sz="0" w:space="0" w:color="auto"/>
      </w:divBdr>
    </w:div>
    <w:div w:id="1152261370">
      <w:bodyDiv w:val="1"/>
      <w:marLeft w:val="0"/>
      <w:marRight w:val="0"/>
      <w:marTop w:val="0"/>
      <w:marBottom w:val="0"/>
      <w:divBdr>
        <w:top w:val="none" w:sz="0" w:space="0" w:color="auto"/>
        <w:left w:val="none" w:sz="0" w:space="0" w:color="auto"/>
        <w:bottom w:val="none" w:sz="0" w:space="0" w:color="auto"/>
        <w:right w:val="none" w:sz="0" w:space="0" w:color="auto"/>
      </w:divBdr>
    </w:div>
    <w:div w:id="1152328534">
      <w:bodyDiv w:val="1"/>
      <w:marLeft w:val="0"/>
      <w:marRight w:val="0"/>
      <w:marTop w:val="0"/>
      <w:marBottom w:val="0"/>
      <w:divBdr>
        <w:top w:val="none" w:sz="0" w:space="0" w:color="auto"/>
        <w:left w:val="none" w:sz="0" w:space="0" w:color="auto"/>
        <w:bottom w:val="none" w:sz="0" w:space="0" w:color="auto"/>
        <w:right w:val="none" w:sz="0" w:space="0" w:color="auto"/>
      </w:divBdr>
    </w:div>
    <w:div w:id="1152329146">
      <w:bodyDiv w:val="1"/>
      <w:marLeft w:val="0"/>
      <w:marRight w:val="0"/>
      <w:marTop w:val="0"/>
      <w:marBottom w:val="0"/>
      <w:divBdr>
        <w:top w:val="none" w:sz="0" w:space="0" w:color="auto"/>
        <w:left w:val="none" w:sz="0" w:space="0" w:color="auto"/>
        <w:bottom w:val="none" w:sz="0" w:space="0" w:color="auto"/>
        <w:right w:val="none" w:sz="0" w:space="0" w:color="auto"/>
      </w:divBdr>
    </w:div>
    <w:div w:id="1152336091">
      <w:bodyDiv w:val="1"/>
      <w:marLeft w:val="0"/>
      <w:marRight w:val="0"/>
      <w:marTop w:val="0"/>
      <w:marBottom w:val="0"/>
      <w:divBdr>
        <w:top w:val="none" w:sz="0" w:space="0" w:color="auto"/>
        <w:left w:val="none" w:sz="0" w:space="0" w:color="auto"/>
        <w:bottom w:val="none" w:sz="0" w:space="0" w:color="auto"/>
        <w:right w:val="none" w:sz="0" w:space="0" w:color="auto"/>
      </w:divBdr>
    </w:div>
    <w:div w:id="1152596171">
      <w:bodyDiv w:val="1"/>
      <w:marLeft w:val="0"/>
      <w:marRight w:val="0"/>
      <w:marTop w:val="0"/>
      <w:marBottom w:val="0"/>
      <w:divBdr>
        <w:top w:val="none" w:sz="0" w:space="0" w:color="auto"/>
        <w:left w:val="none" w:sz="0" w:space="0" w:color="auto"/>
        <w:bottom w:val="none" w:sz="0" w:space="0" w:color="auto"/>
        <w:right w:val="none" w:sz="0" w:space="0" w:color="auto"/>
      </w:divBdr>
    </w:div>
    <w:div w:id="1152604935">
      <w:bodyDiv w:val="1"/>
      <w:marLeft w:val="0"/>
      <w:marRight w:val="0"/>
      <w:marTop w:val="0"/>
      <w:marBottom w:val="0"/>
      <w:divBdr>
        <w:top w:val="none" w:sz="0" w:space="0" w:color="auto"/>
        <w:left w:val="none" w:sz="0" w:space="0" w:color="auto"/>
        <w:bottom w:val="none" w:sz="0" w:space="0" w:color="auto"/>
        <w:right w:val="none" w:sz="0" w:space="0" w:color="auto"/>
      </w:divBdr>
    </w:div>
    <w:div w:id="1152676259">
      <w:bodyDiv w:val="1"/>
      <w:marLeft w:val="0"/>
      <w:marRight w:val="0"/>
      <w:marTop w:val="0"/>
      <w:marBottom w:val="0"/>
      <w:divBdr>
        <w:top w:val="none" w:sz="0" w:space="0" w:color="auto"/>
        <w:left w:val="none" w:sz="0" w:space="0" w:color="auto"/>
        <w:bottom w:val="none" w:sz="0" w:space="0" w:color="auto"/>
        <w:right w:val="none" w:sz="0" w:space="0" w:color="auto"/>
      </w:divBdr>
    </w:div>
    <w:div w:id="1152679042">
      <w:bodyDiv w:val="1"/>
      <w:marLeft w:val="0"/>
      <w:marRight w:val="0"/>
      <w:marTop w:val="0"/>
      <w:marBottom w:val="0"/>
      <w:divBdr>
        <w:top w:val="none" w:sz="0" w:space="0" w:color="auto"/>
        <w:left w:val="none" w:sz="0" w:space="0" w:color="auto"/>
        <w:bottom w:val="none" w:sz="0" w:space="0" w:color="auto"/>
        <w:right w:val="none" w:sz="0" w:space="0" w:color="auto"/>
      </w:divBdr>
    </w:div>
    <w:div w:id="1152793368">
      <w:bodyDiv w:val="1"/>
      <w:marLeft w:val="0"/>
      <w:marRight w:val="0"/>
      <w:marTop w:val="0"/>
      <w:marBottom w:val="0"/>
      <w:divBdr>
        <w:top w:val="none" w:sz="0" w:space="0" w:color="auto"/>
        <w:left w:val="none" w:sz="0" w:space="0" w:color="auto"/>
        <w:bottom w:val="none" w:sz="0" w:space="0" w:color="auto"/>
        <w:right w:val="none" w:sz="0" w:space="0" w:color="auto"/>
      </w:divBdr>
    </w:div>
    <w:div w:id="1152864843">
      <w:bodyDiv w:val="1"/>
      <w:marLeft w:val="0"/>
      <w:marRight w:val="0"/>
      <w:marTop w:val="0"/>
      <w:marBottom w:val="0"/>
      <w:divBdr>
        <w:top w:val="none" w:sz="0" w:space="0" w:color="auto"/>
        <w:left w:val="none" w:sz="0" w:space="0" w:color="auto"/>
        <w:bottom w:val="none" w:sz="0" w:space="0" w:color="auto"/>
        <w:right w:val="none" w:sz="0" w:space="0" w:color="auto"/>
      </w:divBdr>
    </w:div>
    <w:div w:id="1152867885">
      <w:bodyDiv w:val="1"/>
      <w:marLeft w:val="0"/>
      <w:marRight w:val="0"/>
      <w:marTop w:val="0"/>
      <w:marBottom w:val="0"/>
      <w:divBdr>
        <w:top w:val="none" w:sz="0" w:space="0" w:color="auto"/>
        <w:left w:val="none" w:sz="0" w:space="0" w:color="auto"/>
        <w:bottom w:val="none" w:sz="0" w:space="0" w:color="auto"/>
        <w:right w:val="none" w:sz="0" w:space="0" w:color="auto"/>
      </w:divBdr>
    </w:div>
    <w:div w:id="1152913356">
      <w:bodyDiv w:val="1"/>
      <w:marLeft w:val="0"/>
      <w:marRight w:val="0"/>
      <w:marTop w:val="0"/>
      <w:marBottom w:val="0"/>
      <w:divBdr>
        <w:top w:val="none" w:sz="0" w:space="0" w:color="auto"/>
        <w:left w:val="none" w:sz="0" w:space="0" w:color="auto"/>
        <w:bottom w:val="none" w:sz="0" w:space="0" w:color="auto"/>
        <w:right w:val="none" w:sz="0" w:space="0" w:color="auto"/>
      </w:divBdr>
    </w:div>
    <w:div w:id="1153179649">
      <w:bodyDiv w:val="1"/>
      <w:marLeft w:val="0"/>
      <w:marRight w:val="0"/>
      <w:marTop w:val="0"/>
      <w:marBottom w:val="0"/>
      <w:divBdr>
        <w:top w:val="none" w:sz="0" w:space="0" w:color="auto"/>
        <w:left w:val="none" w:sz="0" w:space="0" w:color="auto"/>
        <w:bottom w:val="none" w:sz="0" w:space="0" w:color="auto"/>
        <w:right w:val="none" w:sz="0" w:space="0" w:color="auto"/>
      </w:divBdr>
    </w:div>
    <w:div w:id="1153253161">
      <w:bodyDiv w:val="1"/>
      <w:marLeft w:val="0"/>
      <w:marRight w:val="0"/>
      <w:marTop w:val="0"/>
      <w:marBottom w:val="0"/>
      <w:divBdr>
        <w:top w:val="none" w:sz="0" w:space="0" w:color="auto"/>
        <w:left w:val="none" w:sz="0" w:space="0" w:color="auto"/>
        <w:bottom w:val="none" w:sz="0" w:space="0" w:color="auto"/>
        <w:right w:val="none" w:sz="0" w:space="0" w:color="auto"/>
      </w:divBdr>
    </w:div>
    <w:div w:id="1153334031">
      <w:bodyDiv w:val="1"/>
      <w:marLeft w:val="0"/>
      <w:marRight w:val="0"/>
      <w:marTop w:val="0"/>
      <w:marBottom w:val="0"/>
      <w:divBdr>
        <w:top w:val="none" w:sz="0" w:space="0" w:color="auto"/>
        <w:left w:val="none" w:sz="0" w:space="0" w:color="auto"/>
        <w:bottom w:val="none" w:sz="0" w:space="0" w:color="auto"/>
        <w:right w:val="none" w:sz="0" w:space="0" w:color="auto"/>
      </w:divBdr>
    </w:div>
    <w:div w:id="1153445311">
      <w:bodyDiv w:val="1"/>
      <w:marLeft w:val="0"/>
      <w:marRight w:val="0"/>
      <w:marTop w:val="0"/>
      <w:marBottom w:val="0"/>
      <w:divBdr>
        <w:top w:val="none" w:sz="0" w:space="0" w:color="auto"/>
        <w:left w:val="none" w:sz="0" w:space="0" w:color="auto"/>
        <w:bottom w:val="none" w:sz="0" w:space="0" w:color="auto"/>
        <w:right w:val="none" w:sz="0" w:space="0" w:color="auto"/>
      </w:divBdr>
    </w:div>
    <w:div w:id="1153449251">
      <w:bodyDiv w:val="1"/>
      <w:marLeft w:val="0"/>
      <w:marRight w:val="0"/>
      <w:marTop w:val="0"/>
      <w:marBottom w:val="0"/>
      <w:divBdr>
        <w:top w:val="none" w:sz="0" w:space="0" w:color="auto"/>
        <w:left w:val="none" w:sz="0" w:space="0" w:color="auto"/>
        <w:bottom w:val="none" w:sz="0" w:space="0" w:color="auto"/>
        <w:right w:val="none" w:sz="0" w:space="0" w:color="auto"/>
      </w:divBdr>
    </w:div>
    <w:div w:id="1153564855">
      <w:bodyDiv w:val="1"/>
      <w:marLeft w:val="0"/>
      <w:marRight w:val="0"/>
      <w:marTop w:val="0"/>
      <w:marBottom w:val="0"/>
      <w:divBdr>
        <w:top w:val="none" w:sz="0" w:space="0" w:color="auto"/>
        <w:left w:val="none" w:sz="0" w:space="0" w:color="auto"/>
        <w:bottom w:val="none" w:sz="0" w:space="0" w:color="auto"/>
        <w:right w:val="none" w:sz="0" w:space="0" w:color="auto"/>
      </w:divBdr>
    </w:div>
    <w:div w:id="1153644067">
      <w:bodyDiv w:val="1"/>
      <w:marLeft w:val="0"/>
      <w:marRight w:val="0"/>
      <w:marTop w:val="0"/>
      <w:marBottom w:val="0"/>
      <w:divBdr>
        <w:top w:val="none" w:sz="0" w:space="0" w:color="auto"/>
        <w:left w:val="none" w:sz="0" w:space="0" w:color="auto"/>
        <w:bottom w:val="none" w:sz="0" w:space="0" w:color="auto"/>
        <w:right w:val="none" w:sz="0" w:space="0" w:color="auto"/>
      </w:divBdr>
    </w:div>
    <w:div w:id="1153762523">
      <w:bodyDiv w:val="1"/>
      <w:marLeft w:val="0"/>
      <w:marRight w:val="0"/>
      <w:marTop w:val="0"/>
      <w:marBottom w:val="0"/>
      <w:divBdr>
        <w:top w:val="none" w:sz="0" w:space="0" w:color="auto"/>
        <w:left w:val="none" w:sz="0" w:space="0" w:color="auto"/>
        <w:bottom w:val="none" w:sz="0" w:space="0" w:color="auto"/>
        <w:right w:val="none" w:sz="0" w:space="0" w:color="auto"/>
      </w:divBdr>
    </w:div>
    <w:div w:id="1153836918">
      <w:bodyDiv w:val="1"/>
      <w:marLeft w:val="0"/>
      <w:marRight w:val="0"/>
      <w:marTop w:val="0"/>
      <w:marBottom w:val="0"/>
      <w:divBdr>
        <w:top w:val="none" w:sz="0" w:space="0" w:color="auto"/>
        <w:left w:val="none" w:sz="0" w:space="0" w:color="auto"/>
        <w:bottom w:val="none" w:sz="0" w:space="0" w:color="auto"/>
        <w:right w:val="none" w:sz="0" w:space="0" w:color="auto"/>
      </w:divBdr>
    </w:div>
    <w:div w:id="1153906692">
      <w:bodyDiv w:val="1"/>
      <w:marLeft w:val="0"/>
      <w:marRight w:val="0"/>
      <w:marTop w:val="0"/>
      <w:marBottom w:val="0"/>
      <w:divBdr>
        <w:top w:val="none" w:sz="0" w:space="0" w:color="auto"/>
        <w:left w:val="none" w:sz="0" w:space="0" w:color="auto"/>
        <w:bottom w:val="none" w:sz="0" w:space="0" w:color="auto"/>
        <w:right w:val="none" w:sz="0" w:space="0" w:color="auto"/>
      </w:divBdr>
    </w:div>
    <w:div w:id="1153908824">
      <w:bodyDiv w:val="1"/>
      <w:marLeft w:val="0"/>
      <w:marRight w:val="0"/>
      <w:marTop w:val="0"/>
      <w:marBottom w:val="0"/>
      <w:divBdr>
        <w:top w:val="none" w:sz="0" w:space="0" w:color="auto"/>
        <w:left w:val="none" w:sz="0" w:space="0" w:color="auto"/>
        <w:bottom w:val="none" w:sz="0" w:space="0" w:color="auto"/>
        <w:right w:val="none" w:sz="0" w:space="0" w:color="auto"/>
      </w:divBdr>
    </w:div>
    <w:div w:id="1153983301">
      <w:bodyDiv w:val="1"/>
      <w:marLeft w:val="0"/>
      <w:marRight w:val="0"/>
      <w:marTop w:val="0"/>
      <w:marBottom w:val="0"/>
      <w:divBdr>
        <w:top w:val="none" w:sz="0" w:space="0" w:color="auto"/>
        <w:left w:val="none" w:sz="0" w:space="0" w:color="auto"/>
        <w:bottom w:val="none" w:sz="0" w:space="0" w:color="auto"/>
        <w:right w:val="none" w:sz="0" w:space="0" w:color="auto"/>
      </w:divBdr>
    </w:div>
    <w:div w:id="1154178145">
      <w:bodyDiv w:val="1"/>
      <w:marLeft w:val="0"/>
      <w:marRight w:val="0"/>
      <w:marTop w:val="0"/>
      <w:marBottom w:val="0"/>
      <w:divBdr>
        <w:top w:val="none" w:sz="0" w:space="0" w:color="auto"/>
        <w:left w:val="none" w:sz="0" w:space="0" w:color="auto"/>
        <w:bottom w:val="none" w:sz="0" w:space="0" w:color="auto"/>
        <w:right w:val="none" w:sz="0" w:space="0" w:color="auto"/>
      </w:divBdr>
    </w:div>
    <w:div w:id="1154181318">
      <w:bodyDiv w:val="1"/>
      <w:marLeft w:val="0"/>
      <w:marRight w:val="0"/>
      <w:marTop w:val="0"/>
      <w:marBottom w:val="0"/>
      <w:divBdr>
        <w:top w:val="none" w:sz="0" w:space="0" w:color="auto"/>
        <w:left w:val="none" w:sz="0" w:space="0" w:color="auto"/>
        <w:bottom w:val="none" w:sz="0" w:space="0" w:color="auto"/>
        <w:right w:val="none" w:sz="0" w:space="0" w:color="auto"/>
      </w:divBdr>
    </w:div>
    <w:div w:id="1154297502">
      <w:bodyDiv w:val="1"/>
      <w:marLeft w:val="0"/>
      <w:marRight w:val="0"/>
      <w:marTop w:val="0"/>
      <w:marBottom w:val="0"/>
      <w:divBdr>
        <w:top w:val="none" w:sz="0" w:space="0" w:color="auto"/>
        <w:left w:val="none" w:sz="0" w:space="0" w:color="auto"/>
        <w:bottom w:val="none" w:sz="0" w:space="0" w:color="auto"/>
        <w:right w:val="none" w:sz="0" w:space="0" w:color="auto"/>
      </w:divBdr>
    </w:div>
    <w:div w:id="1154300052">
      <w:bodyDiv w:val="1"/>
      <w:marLeft w:val="0"/>
      <w:marRight w:val="0"/>
      <w:marTop w:val="0"/>
      <w:marBottom w:val="0"/>
      <w:divBdr>
        <w:top w:val="none" w:sz="0" w:space="0" w:color="auto"/>
        <w:left w:val="none" w:sz="0" w:space="0" w:color="auto"/>
        <w:bottom w:val="none" w:sz="0" w:space="0" w:color="auto"/>
        <w:right w:val="none" w:sz="0" w:space="0" w:color="auto"/>
      </w:divBdr>
    </w:div>
    <w:div w:id="1154375723">
      <w:bodyDiv w:val="1"/>
      <w:marLeft w:val="0"/>
      <w:marRight w:val="0"/>
      <w:marTop w:val="0"/>
      <w:marBottom w:val="0"/>
      <w:divBdr>
        <w:top w:val="none" w:sz="0" w:space="0" w:color="auto"/>
        <w:left w:val="none" w:sz="0" w:space="0" w:color="auto"/>
        <w:bottom w:val="none" w:sz="0" w:space="0" w:color="auto"/>
        <w:right w:val="none" w:sz="0" w:space="0" w:color="auto"/>
      </w:divBdr>
    </w:div>
    <w:div w:id="1154419435">
      <w:bodyDiv w:val="1"/>
      <w:marLeft w:val="0"/>
      <w:marRight w:val="0"/>
      <w:marTop w:val="0"/>
      <w:marBottom w:val="0"/>
      <w:divBdr>
        <w:top w:val="none" w:sz="0" w:space="0" w:color="auto"/>
        <w:left w:val="none" w:sz="0" w:space="0" w:color="auto"/>
        <w:bottom w:val="none" w:sz="0" w:space="0" w:color="auto"/>
        <w:right w:val="none" w:sz="0" w:space="0" w:color="auto"/>
      </w:divBdr>
    </w:div>
    <w:div w:id="1154492260">
      <w:bodyDiv w:val="1"/>
      <w:marLeft w:val="0"/>
      <w:marRight w:val="0"/>
      <w:marTop w:val="0"/>
      <w:marBottom w:val="0"/>
      <w:divBdr>
        <w:top w:val="none" w:sz="0" w:space="0" w:color="auto"/>
        <w:left w:val="none" w:sz="0" w:space="0" w:color="auto"/>
        <w:bottom w:val="none" w:sz="0" w:space="0" w:color="auto"/>
        <w:right w:val="none" w:sz="0" w:space="0" w:color="auto"/>
      </w:divBdr>
    </w:div>
    <w:div w:id="1154567873">
      <w:bodyDiv w:val="1"/>
      <w:marLeft w:val="0"/>
      <w:marRight w:val="0"/>
      <w:marTop w:val="0"/>
      <w:marBottom w:val="0"/>
      <w:divBdr>
        <w:top w:val="none" w:sz="0" w:space="0" w:color="auto"/>
        <w:left w:val="none" w:sz="0" w:space="0" w:color="auto"/>
        <w:bottom w:val="none" w:sz="0" w:space="0" w:color="auto"/>
        <w:right w:val="none" w:sz="0" w:space="0" w:color="auto"/>
      </w:divBdr>
    </w:div>
    <w:div w:id="1154613657">
      <w:bodyDiv w:val="1"/>
      <w:marLeft w:val="0"/>
      <w:marRight w:val="0"/>
      <w:marTop w:val="0"/>
      <w:marBottom w:val="0"/>
      <w:divBdr>
        <w:top w:val="none" w:sz="0" w:space="0" w:color="auto"/>
        <w:left w:val="none" w:sz="0" w:space="0" w:color="auto"/>
        <w:bottom w:val="none" w:sz="0" w:space="0" w:color="auto"/>
        <w:right w:val="none" w:sz="0" w:space="0" w:color="auto"/>
      </w:divBdr>
    </w:div>
    <w:div w:id="1154756451">
      <w:bodyDiv w:val="1"/>
      <w:marLeft w:val="0"/>
      <w:marRight w:val="0"/>
      <w:marTop w:val="0"/>
      <w:marBottom w:val="0"/>
      <w:divBdr>
        <w:top w:val="none" w:sz="0" w:space="0" w:color="auto"/>
        <w:left w:val="none" w:sz="0" w:space="0" w:color="auto"/>
        <w:bottom w:val="none" w:sz="0" w:space="0" w:color="auto"/>
        <w:right w:val="none" w:sz="0" w:space="0" w:color="auto"/>
      </w:divBdr>
    </w:div>
    <w:div w:id="1154831701">
      <w:bodyDiv w:val="1"/>
      <w:marLeft w:val="0"/>
      <w:marRight w:val="0"/>
      <w:marTop w:val="0"/>
      <w:marBottom w:val="0"/>
      <w:divBdr>
        <w:top w:val="none" w:sz="0" w:space="0" w:color="auto"/>
        <w:left w:val="none" w:sz="0" w:space="0" w:color="auto"/>
        <w:bottom w:val="none" w:sz="0" w:space="0" w:color="auto"/>
        <w:right w:val="none" w:sz="0" w:space="0" w:color="auto"/>
      </w:divBdr>
    </w:div>
    <w:div w:id="1154881517">
      <w:bodyDiv w:val="1"/>
      <w:marLeft w:val="0"/>
      <w:marRight w:val="0"/>
      <w:marTop w:val="0"/>
      <w:marBottom w:val="0"/>
      <w:divBdr>
        <w:top w:val="none" w:sz="0" w:space="0" w:color="auto"/>
        <w:left w:val="none" w:sz="0" w:space="0" w:color="auto"/>
        <w:bottom w:val="none" w:sz="0" w:space="0" w:color="auto"/>
        <w:right w:val="none" w:sz="0" w:space="0" w:color="auto"/>
      </w:divBdr>
    </w:div>
    <w:div w:id="1154951679">
      <w:bodyDiv w:val="1"/>
      <w:marLeft w:val="0"/>
      <w:marRight w:val="0"/>
      <w:marTop w:val="0"/>
      <w:marBottom w:val="0"/>
      <w:divBdr>
        <w:top w:val="none" w:sz="0" w:space="0" w:color="auto"/>
        <w:left w:val="none" w:sz="0" w:space="0" w:color="auto"/>
        <w:bottom w:val="none" w:sz="0" w:space="0" w:color="auto"/>
        <w:right w:val="none" w:sz="0" w:space="0" w:color="auto"/>
      </w:divBdr>
    </w:div>
    <w:div w:id="1155098853">
      <w:bodyDiv w:val="1"/>
      <w:marLeft w:val="0"/>
      <w:marRight w:val="0"/>
      <w:marTop w:val="0"/>
      <w:marBottom w:val="0"/>
      <w:divBdr>
        <w:top w:val="none" w:sz="0" w:space="0" w:color="auto"/>
        <w:left w:val="none" w:sz="0" w:space="0" w:color="auto"/>
        <w:bottom w:val="none" w:sz="0" w:space="0" w:color="auto"/>
        <w:right w:val="none" w:sz="0" w:space="0" w:color="auto"/>
      </w:divBdr>
    </w:div>
    <w:div w:id="1155100556">
      <w:bodyDiv w:val="1"/>
      <w:marLeft w:val="0"/>
      <w:marRight w:val="0"/>
      <w:marTop w:val="0"/>
      <w:marBottom w:val="0"/>
      <w:divBdr>
        <w:top w:val="none" w:sz="0" w:space="0" w:color="auto"/>
        <w:left w:val="none" w:sz="0" w:space="0" w:color="auto"/>
        <w:bottom w:val="none" w:sz="0" w:space="0" w:color="auto"/>
        <w:right w:val="none" w:sz="0" w:space="0" w:color="auto"/>
      </w:divBdr>
    </w:div>
    <w:div w:id="1155147455">
      <w:bodyDiv w:val="1"/>
      <w:marLeft w:val="0"/>
      <w:marRight w:val="0"/>
      <w:marTop w:val="0"/>
      <w:marBottom w:val="0"/>
      <w:divBdr>
        <w:top w:val="none" w:sz="0" w:space="0" w:color="auto"/>
        <w:left w:val="none" w:sz="0" w:space="0" w:color="auto"/>
        <w:bottom w:val="none" w:sz="0" w:space="0" w:color="auto"/>
        <w:right w:val="none" w:sz="0" w:space="0" w:color="auto"/>
      </w:divBdr>
    </w:div>
    <w:div w:id="1155221295">
      <w:bodyDiv w:val="1"/>
      <w:marLeft w:val="0"/>
      <w:marRight w:val="0"/>
      <w:marTop w:val="0"/>
      <w:marBottom w:val="0"/>
      <w:divBdr>
        <w:top w:val="none" w:sz="0" w:space="0" w:color="auto"/>
        <w:left w:val="none" w:sz="0" w:space="0" w:color="auto"/>
        <w:bottom w:val="none" w:sz="0" w:space="0" w:color="auto"/>
        <w:right w:val="none" w:sz="0" w:space="0" w:color="auto"/>
      </w:divBdr>
    </w:div>
    <w:div w:id="1155301161">
      <w:bodyDiv w:val="1"/>
      <w:marLeft w:val="0"/>
      <w:marRight w:val="0"/>
      <w:marTop w:val="0"/>
      <w:marBottom w:val="0"/>
      <w:divBdr>
        <w:top w:val="none" w:sz="0" w:space="0" w:color="auto"/>
        <w:left w:val="none" w:sz="0" w:space="0" w:color="auto"/>
        <w:bottom w:val="none" w:sz="0" w:space="0" w:color="auto"/>
        <w:right w:val="none" w:sz="0" w:space="0" w:color="auto"/>
      </w:divBdr>
    </w:div>
    <w:div w:id="1155336071">
      <w:bodyDiv w:val="1"/>
      <w:marLeft w:val="0"/>
      <w:marRight w:val="0"/>
      <w:marTop w:val="0"/>
      <w:marBottom w:val="0"/>
      <w:divBdr>
        <w:top w:val="none" w:sz="0" w:space="0" w:color="auto"/>
        <w:left w:val="none" w:sz="0" w:space="0" w:color="auto"/>
        <w:bottom w:val="none" w:sz="0" w:space="0" w:color="auto"/>
        <w:right w:val="none" w:sz="0" w:space="0" w:color="auto"/>
      </w:divBdr>
    </w:div>
    <w:div w:id="1155339934">
      <w:bodyDiv w:val="1"/>
      <w:marLeft w:val="0"/>
      <w:marRight w:val="0"/>
      <w:marTop w:val="0"/>
      <w:marBottom w:val="0"/>
      <w:divBdr>
        <w:top w:val="none" w:sz="0" w:space="0" w:color="auto"/>
        <w:left w:val="none" w:sz="0" w:space="0" w:color="auto"/>
        <w:bottom w:val="none" w:sz="0" w:space="0" w:color="auto"/>
        <w:right w:val="none" w:sz="0" w:space="0" w:color="auto"/>
      </w:divBdr>
    </w:div>
    <w:div w:id="1155340512">
      <w:bodyDiv w:val="1"/>
      <w:marLeft w:val="0"/>
      <w:marRight w:val="0"/>
      <w:marTop w:val="0"/>
      <w:marBottom w:val="0"/>
      <w:divBdr>
        <w:top w:val="none" w:sz="0" w:space="0" w:color="auto"/>
        <w:left w:val="none" w:sz="0" w:space="0" w:color="auto"/>
        <w:bottom w:val="none" w:sz="0" w:space="0" w:color="auto"/>
        <w:right w:val="none" w:sz="0" w:space="0" w:color="auto"/>
      </w:divBdr>
    </w:div>
    <w:div w:id="1155414047">
      <w:bodyDiv w:val="1"/>
      <w:marLeft w:val="0"/>
      <w:marRight w:val="0"/>
      <w:marTop w:val="0"/>
      <w:marBottom w:val="0"/>
      <w:divBdr>
        <w:top w:val="none" w:sz="0" w:space="0" w:color="auto"/>
        <w:left w:val="none" w:sz="0" w:space="0" w:color="auto"/>
        <w:bottom w:val="none" w:sz="0" w:space="0" w:color="auto"/>
        <w:right w:val="none" w:sz="0" w:space="0" w:color="auto"/>
      </w:divBdr>
    </w:div>
    <w:div w:id="1155419522">
      <w:bodyDiv w:val="1"/>
      <w:marLeft w:val="0"/>
      <w:marRight w:val="0"/>
      <w:marTop w:val="0"/>
      <w:marBottom w:val="0"/>
      <w:divBdr>
        <w:top w:val="none" w:sz="0" w:space="0" w:color="auto"/>
        <w:left w:val="none" w:sz="0" w:space="0" w:color="auto"/>
        <w:bottom w:val="none" w:sz="0" w:space="0" w:color="auto"/>
        <w:right w:val="none" w:sz="0" w:space="0" w:color="auto"/>
      </w:divBdr>
    </w:div>
    <w:div w:id="1155948542">
      <w:bodyDiv w:val="1"/>
      <w:marLeft w:val="0"/>
      <w:marRight w:val="0"/>
      <w:marTop w:val="0"/>
      <w:marBottom w:val="0"/>
      <w:divBdr>
        <w:top w:val="none" w:sz="0" w:space="0" w:color="auto"/>
        <w:left w:val="none" w:sz="0" w:space="0" w:color="auto"/>
        <w:bottom w:val="none" w:sz="0" w:space="0" w:color="auto"/>
        <w:right w:val="none" w:sz="0" w:space="0" w:color="auto"/>
      </w:divBdr>
    </w:div>
    <w:div w:id="1155954027">
      <w:bodyDiv w:val="1"/>
      <w:marLeft w:val="0"/>
      <w:marRight w:val="0"/>
      <w:marTop w:val="0"/>
      <w:marBottom w:val="0"/>
      <w:divBdr>
        <w:top w:val="none" w:sz="0" w:space="0" w:color="auto"/>
        <w:left w:val="none" w:sz="0" w:space="0" w:color="auto"/>
        <w:bottom w:val="none" w:sz="0" w:space="0" w:color="auto"/>
        <w:right w:val="none" w:sz="0" w:space="0" w:color="auto"/>
      </w:divBdr>
    </w:div>
    <w:div w:id="1155990117">
      <w:bodyDiv w:val="1"/>
      <w:marLeft w:val="0"/>
      <w:marRight w:val="0"/>
      <w:marTop w:val="0"/>
      <w:marBottom w:val="0"/>
      <w:divBdr>
        <w:top w:val="none" w:sz="0" w:space="0" w:color="auto"/>
        <w:left w:val="none" w:sz="0" w:space="0" w:color="auto"/>
        <w:bottom w:val="none" w:sz="0" w:space="0" w:color="auto"/>
        <w:right w:val="none" w:sz="0" w:space="0" w:color="auto"/>
      </w:divBdr>
    </w:div>
    <w:div w:id="1155998764">
      <w:bodyDiv w:val="1"/>
      <w:marLeft w:val="0"/>
      <w:marRight w:val="0"/>
      <w:marTop w:val="0"/>
      <w:marBottom w:val="0"/>
      <w:divBdr>
        <w:top w:val="none" w:sz="0" w:space="0" w:color="auto"/>
        <w:left w:val="none" w:sz="0" w:space="0" w:color="auto"/>
        <w:bottom w:val="none" w:sz="0" w:space="0" w:color="auto"/>
        <w:right w:val="none" w:sz="0" w:space="0" w:color="auto"/>
      </w:divBdr>
    </w:div>
    <w:div w:id="1156070223">
      <w:bodyDiv w:val="1"/>
      <w:marLeft w:val="0"/>
      <w:marRight w:val="0"/>
      <w:marTop w:val="0"/>
      <w:marBottom w:val="0"/>
      <w:divBdr>
        <w:top w:val="none" w:sz="0" w:space="0" w:color="auto"/>
        <w:left w:val="none" w:sz="0" w:space="0" w:color="auto"/>
        <w:bottom w:val="none" w:sz="0" w:space="0" w:color="auto"/>
        <w:right w:val="none" w:sz="0" w:space="0" w:color="auto"/>
      </w:divBdr>
    </w:div>
    <w:div w:id="1156074846">
      <w:bodyDiv w:val="1"/>
      <w:marLeft w:val="0"/>
      <w:marRight w:val="0"/>
      <w:marTop w:val="0"/>
      <w:marBottom w:val="0"/>
      <w:divBdr>
        <w:top w:val="none" w:sz="0" w:space="0" w:color="auto"/>
        <w:left w:val="none" w:sz="0" w:space="0" w:color="auto"/>
        <w:bottom w:val="none" w:sz="0" w:space="0" w:color="auto"/>
        <w:right w:val="none" w:sz="0" w:space="0" w:color="auto"/>
      </w:divBdr>
    </w:div>
    <w:div w:id="1156192575">
      <w:bodyDiv w:val="1"/>
      <w:marLeft w:val="0"/>
      <w:marRight w:val="0"/>
      <w:marTop w:val="0"/>
      <w:marBottom w:val="0"/>
      <w:divBdr>
        <w:top w:val="none" w:sz="0" w:space="0" w:color="auto"/>
        <w:left w:val="none" w:sz="0" w:space="0" w:color="auto"/>
        <w:bottom w:val="none" w:sz="0" w:space="0" w:color="auto"/>
        <w:right w:val="none" w:sz="0" w:space="0" w:color="auto"/>
      </w:divBdr>
    </w:div>
    <w:div w:id="1156217868">
      <w:bodyDiv w:val="1"/>
      <w:marLeft w:val="0"/>
      <w:marRight w:val="0"/>
      <w:marTop w:val="0"/>
      <w:marBottom w:val="0"/>
      <w:divBdr>
        <w:top w:val="none" w:sz="0" w:space="0" w:color="auto"/>
        <w:left w:val="none" w:sz="0" w:space="0" w:color="auto"/>
        <w:bottom w:val="none" w:sz="0" w:space="0" w:color="auto"/>
        <w:right w:val="none" w:sz="0" w:space="0" w:color="auto"/>
      </w:divBdr>
    </w:div>
    <w:div w:id="1156266660">
      <w:bodyDiv w:val="1"/>
      <w:marLeft w:val="0"/>
      <w:marRight w:val="0"/>
      <w:marTop w:val="0"/>
      <w:marBottom w:val="0"/>
      <w:divBdr>
        <w:top w:val="none" w:sz="0" w:space="0" w:color="auto"/>
        <w:left w:val="none" w:sz="0" w:space="0" w:color="auto"/>
        <w:bottom w:val="none" w:sz="0" w:space="0" w:color="auto"/>
        <w:right w:val="none" w:sz="0" w:space="0" w:color="auto"/>
      </w:divBdr>
    </w:div>
    <w:div w:id="1156267236">
      <w:bodyDiv w:val="1"/>
      <w:marLeft w:val="0"/>
      <w:marRight w:val="0"/>
      <w:marTop w:val="0"/>
      <w:marBottom w:val="0"/>
      <w:divBdr>
        <w:top w:val="none" w:sz="0" w:space="0" w:color="auto"/>
        <w:left w:val="none" w:sz="0" w:space="0" w:color="auto"/>
        <w:bottom w:val="none" w:sz="0" w:space="0" w:color="auto"/>
        <w:right w:val="none" w:sz="0" w:space="0" w:color="auto"/>
      </w:divBdr>
    </w:div>
    <w:div w:id="1156342014">
      <w:bodyDiv w:val="1"/>
      <w:marLeft w:val="0"/>
      <w:marRight w:val="0"/>
      <w:marTop w:val="0"/>
      <w:marBottom w:val="0"/>
      <w:divBdr>
        <w:top w:val="none" w:sz="0" w:space="0" w:color="auto"/>
        <w:left w:val="none" w:sz="0" w:space="0" w:color="auto"/>
        <w:bottom w:val="none" w:sz="0" w:space="0" w:color="auto"/>
        <w:right w:val="none" w:sz="0" w:space="0" w:color="auto"/>
      </w:divBdr>
    </w:div>
    <w:div w:id="1156647137">
      <w:bodyDiv w:val="1"/>
      <w:marLeft w:val="0"/>
      <w:marRight w:val="0"/>
      <w:marTop w:val="0"/>
      <w:marBottom w:val="0"/>
      <w:divBdr>
        <w:top w:val="none" w:sz="0" w:space="0" w:color="auto"/>
        <w:left w:val="none" w:sz="0" w:space="0" w:color="auto"/>
        <w:bottom w:val="none" w:sz="0" w:space="0" w:color="auto"/>
        <w:right w:val="none" w:sz="0" w:space="0" w:color="auto"/>
      </w:divBdr>
    </w:div>
    <w:div w:id="1156653191">
      <w:bodyDiv w:val="1"/>
      <w:marLeft w:val="0"/>
      <w:marRight w:val="0"/>
      <w:marTop w:val="0"/>
      <w:marBottom w:val="0"/>
      <w:divBdr>
        <w:top w:val="none" w:sz="0" w:space="0" w:color="auto"/>
        <w:left w:val="none" w:sz="0" w:space="0" w:color="auto"/>
        <w:bottom w:val="none" w:sz="0" w:space="0" w:color="auto"/>
        <w:right w:val="none" w:sz="0" w:space="0" w:color="auto"/>
      </w:divBdr>
    </w:div>
    <w:div w:id="1156798937">
      <w:bodyDiv w:val="1"/>
      <w:marLeft w:val="0"/>
      <w:marRight w:val="0"/>
      <w:marTop w:val="0"/>
      <w:marBottom w:val="0"/>
      <w:divBdr>
        <w:top w:val="none" w:sz="0" w:space="0" w:color="auto"/>
        <w:left w:val="none" w:sz="0" w:space="0" w:color="auto"/>
        <w:bottom w:val="none" w:sz="0" w:space="0" w:color="auto"/>
        <w:right w:val="none" w:sz="0" w:space="0" w:color="auto"/>
      </w:divBdr>
    </w:div>
    <w:div w:id="1156916103">
      <w:bodyDiv w:val="1"/>
      <w:marLeft w:val="0"/>
      <w:marRight w:val="0"/>
      <w:marTop w:val="0"/>
      <w:marBottom w:val="0"/>
      <w:divBdr>
        <w:top w:val="none" w:sz="0" w:space="0" w:color="auto"/>
        <w:left w:val="none" w:sz="0" w:space="0" w:color="auto"/>
        <w:bottom w:val="none" w:sz="0" w:space="0" w:color="auto"/>
        <w:right w:val="none" w:sz="0" w:space="0" w:color="auto"/>
      </w:divBdr>
    </w:div>
    <w:div w:id="1156994101">
      <w:bodyDiv w:val="1"/>
      <w:marLeft w:val="0"/>
      <w:marRight w:val="0"/>
      <w:marTop w:val="0"/>
      <w:marBottom w:val="0"/>
      <w:divBdr>
        <w:top w:val="none" w:sz="0" w:space="0" w:color="auto"/>
        <w:left w:val="none" w:sz="0" w:space="0" w:color="auto"/>
        <w:bottom w:val="none" w:sz="0" w:space="0" w:color="auto"/>
        <w:right w:val="none" w:sz="0" w:space="0" w:color="auto"/>
      </w:divBdr>
    </w:div>
    <w:div w:id="1157259488">
      <w:bodyDiv w:val="1"/>
      <w:marLeft w:val="0"/>
      <w:marRight w:val="0"/>
      <w:marTop w:val="0"/>
      <w:marBottom w:val="0"/>
      <w:divBdr>
        <w:top w:val="none" w:sz="0" w:space="0" w:color="auto"/>
        <w:left w:val="none" w:sz="0" w:space="0" w:color="auto"/>
        <w:bottom w:val="none" w:sz="0" w:space="0" w:color="auto"/>
        <w:right w:val="none" w:sz="0" w:space="0" w:color="auto"/>
      </w:divBdr>
    </w:div>
    <w:div w:id="1157265067">
      <w:bodyDiv w:val="1"/>
      <w:marLeft w:val="0"/>
      <w:marRight w:val="0"/>
      <w:marTop w:val="0"/>
      <w:marBottom w:val="0"/>
      <w:divBdr>
        <w:top w:val="none" w:sz="0" w:space="0" w:color="auto"/>
        <w:left w:val="none" w:sz="0" w:space="0" w:color="auto"/>
        <w:bottom w:val="none" w:sz="0" w:space="0" w:color="auto"/>
        <w:right w:val="none" w:sz="0" w:space="0" w:color="auto"/>
      </w:divBdr>
    </w:div>
    <w:div w:id="1157305820">
      <w:bodyDiv w:val="1"/>
      <w:marLeft w:val="0"/>
      <w:marRight w:val="0"/>
      <w:marTop w:val="0"/>
      <w:marBottom w:val="0"/>
      <w:divBdr>
        <w:top w:val="none" w:sz="0" w:space="0" w:color="auto"/>
        <w:left w:val="none" w:sz="0" w:space="0" w:color="auto"/>
        <w:bottom w:val="none" w:sz="0" w:space="0" w:color="auto"/>
        <w:right w:val="none" w:sz="0" w:space="0" w:color="auto"/>
      </w:divBdr>
    </w:div>
    <w:div w:id="1157497631">
      <w:bodyDiv w:val="1"/>
      <w:marLeft w:val="0"/>
      <w:marRight w:val="0"/>
      <w:marTop w:val="0"/>
      <w:marBottom w:val="0"/>
      <w:divBdr>
        <w:top w:val="none" w:sz="0" w:space="0" w:color="auto"/>
        <w:left w:val="none" w:sz="0" w:space="0" w:color="auto"/>
        <w:bottom w:val="none" w:sz="0" w:space="0" w:color="auto"/>
        <w:right w:val="none" w:sz="0" w:space="0" w:color="auto"/>
      </w:divBdr>
    </w:div>
    <w:div w:id="1157578865">
      <w:bodyDiv w:val="1"/>
      <w:marLeft w:val="0"/>
      <w:marRight w:val="0"/>
      <w:marTop w:val="0"/>
      <w:marBottom w:val="0"/>
      <w:divBdr>
        <w:top w:val="none" w:sz="0" w:space="0" w:color="auto"/>
        <w:left w:val="none" w:sz="0" w:space="0" w:color="auto"/>
        <w:bottom w:val="none" w:sz="0" w:space="0" w:color="auto"/>
        <w:right w:val="none" w:sz="0" w:space="0" w:color="auto"/>
      </w:divBdr>
    </w:div>
    <w:div w:id="1157696647">
      <w:bodyDiv w:val="1"/>
      <w:marLeft w:val="0"/>
      <w:marRight w:val="0"/>
      <w:marTop w:val="0"/>
      <w:marBottom w:val="0"/>
      <w:divBdr>
        <w:top w:val="none" w:sz="0" w:space="0" w:color="auto"/>
        <w:left w:val="none" w:sz="0" w:space="0" w:color="auto"/>
        <w:bottom w:val="none" w:sz="0" w:space="0" w:color="auto"/>
        <w:right w:val="none" w:sz="0" w:space="0" w:color="auto"/>
      </w:divBdr>
    </w:div>
    <w:div w:id="1157841499">
      <w:bodyDiv w:val="1"/>
      <w:marLeft w:val="0"/>
      <w:marRight w:val="0"/>
      <w:marTop w:val="0"/>
      <w:marBottom w:val="0"/>
      <w:divBdr>
        <w:top w:val="none" w:sz="0" w:space="0" w:color="auto"/>
        <w:left w:val="none" w:sz="0" w:space="0" w:color="auto"/>
        <w:bottom w:val="none" w:sz="0" w:space="0" w:color="auto"/>
        <w:right w:val="none" w:sz="0" w:space="0" w:color="auto"/>
      </w:divBdr>
    </w:div>
    <w:div w:id="1157916416">
      <w:bodyDiv w:val="1"/>
      <w:marLeft w:val="0"/>
      <w:marRight w:val="0"/>
      <w:marTop w:val="0"/>
      <w:marBottom w:val="0"/>
      <w:divBdr>
        <w:top w:val="none" w:sz="0" w:space="0" w:color="auto"/>
        <w:left w:val="none" w:sz="0" w:space="0" w:color="auto"/>
        <w:bottom w:val="none" w:sz="0" w:space="0" w:color="auto"/>
        <w:right w:val="none" w:sz="0" w:space="0" w:color="auto"/>
      </w:divBdr>
    </w:div>
    <w:div w:id="1157956418">
      <w:bodyDiv w:val="1"/>
      <w:marLeft w:val="0"/>
      <w:marRight w:val="0"/>
      <w:marTop w:val="0"/>
      <w:marBottom w:val="0"/>
      <w:divBdr>
        <w:top w:val="none" w:sz="0" w:space="0" w:color="auto"/>
        <w:left w:val="none" w:sz="0" w:space="0" w:color="auto"/>
        <w:bottom w:val="none" w:sz="0" w:space="0" w:color="auto"/>
        <w:right w:val="none" w:sz="0" w:space="0" w:color="auto"/>
      </w:divBdr>
    </w:div>
    <w:div w:id="1158035128">
      <w:bodyDiv w:val="1"/>
      <w:marLeft w:val="0"/>
      <w:marRight w:val="0"/>
      <w:marTop w:val="0"/>
      <w:marBottom w:val="0"/>
      <w:divBdr>
        <w:top w:val="none" w:sz="0" w:space="0" w:color="auto"/>
        <w:left w:val="none" w:sz="0" w:space="0" w:color="auto"/>
        <w:bottom w:val="none" w:sz="0" w:space="0" w:color="auto"/>
        <w:right w:val="none" w:sz="0" w:space="0" w:color="auto"/>
      </w:divBdr>
    </w:div>
    <w:div w:id="1158035133">
      <w:bodyDiv w:val="1"/>
      <w:marLeft w:val="0"/>
      <w:marRight w:val="0"/>
      <w:marTop w:val="0"/>
      <w:marBottom w:val="0"/>
      <w:divBdr>
        <w:top w:val="none" w:sz="0" w:space="0" w:color="auto"/>
        <w:left w:val="none" w:sz="0" w:space="0" w:color="auto"/>
        <w:bottom w:val="none" w:sz="0" w:space="0" w:color="auto"/>
        <w:right w:val="none" w:sz="0" w:space="0" w:color="auto"/>
      </w:divBdr>
    </w:div>
    <w:div w:id="1158039744">
      <w:bodyDiv w:val="1"/>
      <w:marLeft w:val="0"/>
      <w:marRight w:val="0"/>
      <w:marTop w:val="0"/>
      <w:marBottom w:val="0"/>
      <w:divBdr>
        <w:top w:val="none" w:sz="0" w:space="0" w:color="auto"/>
        <w:left w:val="none" w:sz="0" w:space="0" w:color="auto"/>
        <w:bottom w:val="none" w:sz="0" w:space="0" w:color="auto"/>
        <w:right w:val="none" w:sz="0" w:space="0" w:color="auto"/>
      </w:divBdr>
    </w:div>
    <w:div w:id="1158115554">
      <w:bodyDiv w:val="1"/>
      <w:marLeft w:val="0"/>
      <w:marRight w:val="0"/>
      <w:marTop w:val="0"/>
      <w:marBottom w:val="0"/>
      <w:divBdr>
        <w:top w:val="none" w:sz="0" w:space="0" w:color="auto"/>
        <w:left w:val="none" w:sz="0" w:space="0" w:color="auto"/>
        <w:bottom w:val="none" w:sz="0" w:space="0" w:color="auto"/>
        <w:right w:val="none" w:sz="0" w:space="0" w:color="auto"/>
      </w:divBdr>
    </w:div>
    <w:div w:id="1158381096">
      <w:bodyDiv w:val="1"/>
      <w:marLeft w:val="0"/>
      <w:marRight w:val="0"/>
      <w:marTop w:val="0"/>
      <w:marBottom w:val="0"/>
      <w:divBdr>
        <w:top w:val="none" w:sz="0" w:space="0" w:color="auto"/>
        <w:left w:val="none" w:sz="0" w:space="0" w:color="auto"/>
        <w:bottom w:val="none" w:sz="0" w:space="0" w:color="auto"/>
        <w:right w:val="none" w:sz="0" w:space="0" w:color="auto"/>
      </w:divBdr>
    </w:div>
    <w:div w:id="1158499167">
      <w:bodyDiv w:val="1"/>
      <w:marLeft w:val="0"/>
      <w:marRight w:val="0"/>
      <w:marTop w:val="0"/>
      <w:marBottom w:val="0"/>
      <w:divBdr>
        <w:top w:val="none" w:sz="0" w:space="0" w:color="auto"/>
        <w:left w:val="none" w:sz="0" w:space="0" w:color="auto"/>
        <w:bottom w:val="none" w:sz="0" w:space="0" w:color="auto"/>
        <w:right w:val="none" w:sz="0" w:space="0" w:color="auto"/>
      </w:divBdr>
    </w:div>
    <w:div w:id="1158502855">
      <w:bodyDiv w:val="1"/>
      <w:marLeft w:val="0"/>
      <w:marRight w:val="0"/>
      <w:marTop w:val="0"/>
      <w:marBottom w:val="0"/>
      <w:divBdr>
        <w:top w:val="none" w:sz="0" w:space="0" w:color="auto"/>
        <w:left w:val="none" w:sz="0" w:space="0" w:color="auto"/>
        <w:bottom w:val="none" w:sz="0" w:space="0" w:color="auto"/>
        <w:right w:val="none" w:sz="0" w:space="0" w:color="auto"/>
      </w:divBdr>
    </w:div>
    <w:div w:id="1158616125">
      <w:bodyDiv w:val="1"/>
      <w:marLeft w:val="0"/>
      <w:marRight w:val="0"/>
      <w:marTop w:val="0"/>
      <w:marBottom w:val="0"/>
      <w:divBdr>
        <w:top w:val="none" w:sz="0" w:space="0" w:color="auto"/>
        <w:left w:val="none" w:sz="0" w:space="0" w:color="auto"/>
        <w:bottom w:val="none" w:sz="0" w:space="0" w:color="auto"/>
        <w:right w:val="none" w:sz="0" w:space="0" w:color="auto"/>
      </w:divBdr>
    </w:div>
    <w:div w:id="1158618532">
      <w:bodyDiv w:val="1"/>
      <w:marLeft w:val="0"/>
      <w:marRight w:val="0"/>
      <w:marTop w:val="0"/>
      <w:marBottom w:val="0"/>
      <w:divBdr>
        <w:top w:val="none" w:sz="0" w:space="0" w:color="auto"/>
        <w:left w:val="none" w:sz="0" w:space="0" w:color="auto"/>
        <w:bottom w:val="none" w:sz="0" w:space="0" w:color="auto"/>
        <w:right w:val="none" w:sz="0" w:space="0" w:color="auto"/>
      </w:divBdr>
    </w:div>
    <w:div w:id="1158767535">
      <w:bodyDiv w:val="1"/>
      <w:marLeft w:val="0"/>
      <w:marRight w:val="0"/>
      <w:marTop w:val="0"/>
      <w:marBottom w:val="0"/>
      <w:divBdr>
        <w:top w:val="none" w:sz="0" w:space="0" w:color="auto"/>
        <w:left w:val="none" w:sz="0" w:space="0" w:color="auto"/>
        <w:bottom w:val="none" w:sz="0" w:space="0" w:color="auto"/>
        <w:right w:val="none" w:sz="0" w:space="0" w:color="auto"/>
      </w:divBdr>
    </w:div>
    <w:div w:id="1158888063">
      <w:bodyDiv w:val="1"/>
      <w:marLeft w:val="0"/>
      <w:marRight w:val="0"/>
      <w:marTop w:val="0"/>
      <w:marBottom w:val="0"/>
      <w:divBdr>
        <w:top w:val="none" w:sz="0" w:space="0" w:color="auto"/>
        <w:left w:val="none" w:sz="0" w:space="0" w:color="auto"/>
        <w:bottom w:val="none" w:sz="0" w:space="0" w:color="auto"/>
        <w:right w:val="none" w:sz="0" w:space="0" w:color="auto"/>
      </w:divBdr>
    </w:div>
    <w:div w:id="1158889118">
      <w:bodyDiv w:val="1"/>
      <w:marLeft w:val="0"/>
      <w:marRight w:val="0"/>
      <w:marTop w:val="0"/>
      <w:marBottom w:val="0"/>
      <w:divBdr>
        <w:top w:val="none" w:sz="0" w:space="0" w:color="auto"/>
        <w:left w:val="none" w:sz="0" w:space="0" w:color="auto"/>
        <w:bottom w:val="none" w:sz="0" w:space="0" w:color="auto"/>
        <w:right w:val="none" w:sz="0" w:space="0" w:color="auto"/>
      </w:divBdr>
    </w:div>
    <w:div w:id="1158955286">
      <w:bodyDiv w:val="1"/>
      <w:marLeft w:val="0"/>
      <w:marRight w:val="0"/>
      <w:marTop w:val="0"/>
      <w:marBottom w:val="0"/>
      <w:divBdr>
        <w:top w:val="none" w:sz="0" w:space="0" w:color="auto"/>
        <w:left w:val="none" w:sz="0" w:space="0" w:color="auto"/>
        <w:bottom w:val="none" w:sz="0" w:space="0" w:color="auto"/>
        <w:right w:val="none" w:sz="0" w:space="0" w:color="auto"/>
      </w:divBdr>
    </w:div>
    <w:div w:id="1159075471">
      <w:bodyDiv w:val="1"/>
      <w:marLeft w:val="0"/>
      <w:marRight w:val="0"/>
      <w:marTop w:val="0"/>
      <w:marBottom w:val="0"/>
      <w:divBdr>
        <w:top w:val="none" w:sz="0" w:space="0" w:color="auto"/>
        <w:left w:val="none" w:sz="0" w:space="0" w:color="auto"/>
        <w:bottom w:val="none" w:sz="0" w:space="0" w:color="auto"/>
        <w:right w:val="none" w:sz="0" w:space="0" w:color="auto"/>
      </w:divBdr>
    </w:div>
    <w:div w:id="1159076890">
      <w:bodyDiv w:val="1"/>
      <w:marLeft w:val="0"/>
      <w:marRight w:val="0"/>
      <w:marTop w:val="0"/>
      <w:marBottom w:val="0"/>
      <w:divBdr>
        <w:top w:val="none" w:sz="0" w:space="0" w:color="auto"/>
        <w:left w:val="none" w:sz="0" w:space="0" w:color="auto"/>
        <w:bottom w:val="none" w:sz="0" w:space="0" w:color="auto"/>
        <w:right w:val="none" w:sz="0" w:space="0" w:color="auto"/>
      </w:divBdr>
    </w:div>
    <w:div w:id="1159082554">
      <w:bodyDiv w:val="1"/>
      <w:marLeft w:val="0"/>
      <w:marRight w:val="0"/>
      <w:marTop w:val="0"/>
      <w:marBottom w:val="0"/>
      <w:divBdr>
        <w:top w:val="none" w:sz="0" w:space="0" w:color="auto"/>
        <w:left w:val="none" w:sz="0" w:space="0" w:color="auto"/>
        <w:bottom w:val="none" w:sz="0" w:space="0" w:color="auto"/>
        <w:right w:val="none" w:sz="0" w:space="0" w:color="auto"/>
      </w:divBdr>
    </w:div>
    <w:div w:id="1159227383">
      <w:bodyDiv w:val="1"/>
      <w:marLeft w:val="0"/>
      <w:marRight w:val="0"/>
      <w:marTop w:val="0"/>
      <w:marBottom w:val="0"/>
      <w:divBdr>
        <w:top w:val="none" w:sz="0" w:space="0" w:color="auto"/>
        <w:left w:val="none" w:sz="0" w:space="0" w:color="auto"/>
        <w:bottom w:val="none" w:sz="0" w:space="0" w:color="auto"/>
        <w:right w:val="none" w:sz="0" w:space="0" w:color="auto"/>
      </w:divBdr>
    </w:div>
    <w:div w:id="1159422007">
      <w:bodyDiv w:val="1"/>
      <w:marLeft w:val="0"/>
      <w:marRight w:val="0"/>
      <w:marTop w:val="0"/>
      <w:marBottom w:val="0"/>
      <w:divBdr>
        <w:top w:val="none" w:sz="0" w:space="0" w:color="auto"/>
        <w:left w:val="none" w:sz="0" w:space="0" w:color="auto"/>
        <w:bottom w:val="none" w:sz="0" w:space="0" w:color="auto"/>
        <w:right w:val="none" w:sz="0" w:space="0" w:color="auto"/>
      </w:divBdr>
    </w:div>
    <w:div w:id="1159422429">
      <w:bodyDiv w:val="1"/>
      <w:marLeft w:val="0"/>
      <w:marRight w:val="0"/>
      <w:marTop w:val="0"/>
      <w:marBottom w:val="0"/>
      <w:divBdr>
        <w:top w:val="none" w:sz="0" w:space="0" w:color="auto"/>
        <w:left w:val="none" w:sz="0" w:space="0" w:color="auto"/>
        <w:bottom w:val="none" w:sz="0" w:space="0" w:color="auto"/>
        <w:right w:val="none" w:sz="0" w:space="0" w:color="auto"/>
      </w:divBdr>
    </w:div>
    <w:div w:id="1159422889">
      <w:bodyDiv w:val="1"/>
      <w:marLeft w:val="0"/>
      <w:marRight w:val="0"/>
      <w:marTop w:val="0"/>
      <w:marBottom w:val="0"/>
      <w:divBdr>
        <w:top w:val="none" w:sz="0" w:space="0" w:color="auto"/>
        <w:left w:val="none" w:sz="0" w:space="0" w:color="auto"/>
        <w:bottom w:val="none" w:sz="0" w:space="0" w:color="auto"/>
        <w:right w:val="none" w:sz="0" w:space="0" w:color="auto"/>
      </w:divBdr>
    </w:div>
    <w:div w:id="1159619195">
      <w:bodyDiv w:val="1"/>
      <w:marLeft w:val="0"/>
      <w:marRight w:val="0"/>
      <w:marTop w:val="0"/>
      <w:marBottom w:val="0"/>
      <w:divBdr>
        <w:top w:val="none" w:sz="0" w:space="0" w:color="auto"/>
        <w:left w:val="none" w:sz="0" w:space="0" w:color="auto"/>
        <w:bottom w:val="none" w:sz="0" w:space="0" w:color="auto"/>
        <w:right w:val="none" w:sz="0" w:space="0" w:color="auto"/>
      </w:divBdr>
    </w:div>
    <w:div w:id="1159731662">
      <w:bodyDiv w:val="1"/>
      <w:marLeft w:val="0"/>
      <w:marRight w:val="0"/>
      <w:marTop w:val="0"/>
      <w:marBottom w:val="0"/>
      <w:divBdr>
        <w:top w:val="none" w:sz="0" w:space="0" w:color="auto"/>
        <w:left w:val="none" w:sz="0" w:space="0" w:color="auto"/>
        <w:bottom w:val="none" w:sz="0" w:space="0" w:color="auto"/>
        <w:right w:val="none" w:sz="0" w:space="0" w:color="auto"/>
      </w:divBdr>
    </w:div>
    <w:div w:id="1159886520">
      <w:bodyDiv w:val="1"/>
      <w:marLeft w:val="0"/>
      <w:marRight w:val="0"/>
      <w:marTop w:val="0"/>
      <w:marBottom w:val="0"/>
      <w:divBdr>
        <w:top w:val="none" w:sz="0" w:space="0" w:color="auto"/>
        <w:left w:val="none" w:sz="0" w:space="0" w:color="auto"/>
        <w:bottom w:val="none" w:sz="0" w:space="0" w:color="auto"/>
        <w:right w:val="none" w:sz="0" w:space="0" w:color="auto"/>
      </w:divBdr>
    </w:div>
    <w:div w:id="1160122227">
      <w:bodyDiv w:val="1"/>
      <w:marLeft w:val="0"/>
      <w:marRight w:val="0"/>
      <w:marTop w:val="0"/>
      <w:marBottom w:val="0"/>
      <w:divBdr>
        <w:top w:val="none" w:sz="0" w:space="0" w:color="auto"/>
        <w:left w:val="none" w:sz="0" w:space="0" w:color="auto"/>
        <w:bottom w:val="none" w:sz="0" w:space="0" w:color="auto"/>
        <w:right w:val="none" w:sz="0" w:space="0" w:color="auto"/>
      </w:divBdr>
    </w:div>
    <w:div w:id="1160122450">
      <w:bodyDiv w:val="1"/>
      <w:marLeft w:val="0"/>
      <w:marRight w:val="0"/>
      <w:marTop w:val="0"/>
      <w:marBottom w:val="0"/>
      <w:divBdr>
        <w:top w:val="none" w:sz="0" w:space="0" w:color="auto"/>
        <w:left w:val="none" w:sz="0" w:space="0" w:color="auto"/>
        <w:bottom w:val="none" w:sz="0" w:space="0" w:color="auto"/>
        <w:right w:val="none" w:sz="0" w:space="0" w:color="auto"/>
      </w:divBdr>
    </w:div>
    <w:div w:id="1160123281">
      <w:bodyDiv w:val="1"/>
      <w:marLeft w:val="0"/>
      <w:marRight w:val="0"/>
      <w:marTop w:val="0"/>
      <w:marBottom w:val="0"/>
      <w:divBdr>
        <w:top w:val="none" w:sz="0" w:space="0" w:color="auto"/>
        <w:left w:val="none" w:sz="0" w:space="0" w:color="auto"/>
        <w:bottom w:val="none" w:sz="0" w:space="0" w:color="auto"/>
        <w:right w:val="none" w:sz="0" w:space="0" w:color="auto"/>
      </w:divBdr>
    </w:div>
    <w:div w:id="1160317411">
      <w:bodyDiv w:val="1"/>
      <w:marLeft w:val="0"/>
      <w:marRight w:val="0"/>
      <w:marTop w:val="0"/>
      <w:marBottom w:val="0"/>
      <w:divBdr>
        <w:top w:val="none" w:sz="0" w:space="0" w:color="auto"/>
        <w:left w:val="none" w:sz="0" w:space="0" w:color="auto"/>
        <w:bottom w:val="none" w:sz="0" w:space="0" w:color="auto"/>
        <w:right w:val="none" w:sz="0" w:space="0" w:color="auto"/>
      </w:divBdr>
    </w:div>
    <w:div w:id="1160384505">
      <w:bodyDiv w:val="1"/>
      <w:marLeft w:val="0"/>
      <w:marRight w:val="0"/>
      <w:marTop w:val="0"/>
      <w:marBottom w:val="0"/>
      <w:divBdr>
        <w:top w:val="none" w:sz="0" w:space="0" w:color="auto"/>
        <w:left w:val="none" w:sz="0" w:space="0" w:color="auto"/>
        <w:bottom w:val="none" w:sz="0" w:space="0" w:color="auto"/>
        <w:right w:val="none" w:sz="0" w:space="0" w:color="auto"/>
      </w:divBdr>
    </w:div>
    <w:div w:id="1160467984">
      <w:bodyDiv w:val="1"/>
      <w:marLeft w:val="0"/>
      <w:marRight w:val="0"/>
      <w:marTop w:val="0"/>
      <w:marBottom w:val="0"/>
      <w:divBdr>
        <w:top w:val="none" w:sz="0" w:space="0" w:color="auto"/>
        <w:left w:val="none" w:sz="0" w:space="0" w:color="auto"/>
        <w:bottom w:val="none" w:sz="0" w:space="0" w:color="auto"/>
        <w:right w:val="none" w:sz="0" w:space="0" w:color="auto"/>
      </w:divBdr>
    </w:div>
    <w:div w:id="1160543526">
      <w:bodyDiv w:val="1"/>
      <w:marLeft w:val="0"/>
      <w:marRight w:val="0"/>
      <w:marTop w:val="0"/>
      <w:marBottom w:val="0"/>
      <w:divBdr>
        <w:top w:val="none" w:sz="0" w:space="0" w:color="auto"/>
        <w:left w:val="none" w:sz="0" w:space="0" w:color="auto"/>
        <w:bottom w:val="none" w:sz="0" w:space="0" w:color="auto"/>
        <w:right w:val="none" w:sz="0" w:space="0" w:color="auto"/>
      </w:divBdr>
    </w:div>
    <w:div w:id="1160577688">
      <w:bodyDiv w:val="1"/>
      <w:marLeft w:val="0"/>
      <w:marRight w:val="0"/>
      <w:marTop w:val="0"/>
      <w:marBottom w:val="0"/>
      <w:divBdr>
        <w:top w:val="none" w:sz="0" w:space="0" w:color="auto"/>
        <w:left w:val="none" w:sz="0" w:space="0" w:color="auto"/>
        <w:bottom w:val="none" w:sz="0" w:space="0" w:color="auto"/>
        <w:right w:val="none" w:sz="0" w:space="0" w:color="auto"/>
      </w:divBdr>
    </w:div>
    <w:div w:id="1160652370">
      <w:bodyDiv w:val="1"/>
      <w:marLeft w:val="0"/>
      <w:marRight w:val="0"/>
      <w:marTop w:val="0"/>
      <w:marBottom w:val="0"/>
      <w:divBdr>
        <w:top w:val="none" w:sz="0" w:space="0" w:color="auto"/>
        <w:left w:val="none" w:sz="0" w:space="0" w:color="auto"/>
        <w:bottom w:val="none" w:sz="0" w:space="0" w:color="auto"/>
        <w:right w:val="none" w:sz="0" w:space="0" w:color="auto"/>
      </w:divBdr>
    </w:div>
    <w:div w:id="1160660729">
      <w:bodyDiv w:val="1"/>
      <w:marLeft w:val="0"/>
      <w:marRight w:val="0"/>
      <w:marTop w:val="0"/>
      <w:marBottom w:val="0"/>
      <w:divBdr>
        <w:top w:val="none" w:sz="0" w:space="0" w:color="auto"/>
        <w:left w:val="none" w:sz="0" w:space="0" w:color="auto"/>
        <w:bottom w:val="none" w:sz="0" w:space="0" w:color="auto"/>
        <w:right w:val="none" w:sz="0" w:space="0" w:color="auto"/>
      </w:divBdr>
    </w:div>
    <w:div w:id="1160776979">
      <w:bodyDiv w:val="1"/>
      <w:marLeft w:val="0"/>
      <w:marRight w:val="0"/>
      <w:marTop w:val="0"/>
      <w:marBottom w:val="0"/>
      <w:divBdr>
        <w:top w:val="none" w:sz="0" w:space="0" w:color="auto"/>
        <w:left w:val="none" w:sz="0" w:space="0" w:color="auto"/>
        <w:bottom w:val="none" w:sz="0" w:space="0" w:color="auto"/>
        <w:right w:val="none" w:sz="0" w:space="0" w:color="auto"/>
      </w:divBdr>
    </w:div>
    <w:div w:id="1160922695">
      <w:bodyDiv w:val="1"/>
      <w:marLeft w:val="0"/>
      <w:marRight w:val="0"/>
      <w:marTop w:val="0"/>
      <w:marBottom w:val="0"/>
      <w:divBdr>
        <w:top w:val="none" w:sz="0" w:space="0" w:color="auto"/>
        <w:left w:val="none" w:sz="0" w:space="0" w:color="auto"/>
        <w:bottom w:val="none" w:sz="0" w:space="0" w:color="auto"/>
        <w:right w:val="none" w:sz="0" w:space="0" w:color="auto"/>
      </w:divBdr>
    </w:div>
    <w:div w:id="1160923001">
      <w:bodyDiv w:val="1"/>
      <w:marLeft w:val="0"/>
      <w:marRight w:val="0"/>
      <w:marTop w:val="0"/>
      <w:marBottom w:val="0"/>
      <w:divBdr>
        <w:top w:val="none" w:sz="0" w:space="0" w:color="auto"/>
        <w:left w:val="none" w:sz="0" w:space="0" w:color="auto"/>
        <w:bottom w:val="none" w:sz="0" w:space="0" w:color="auto"/>
        <w:right w:val="none" w:sz="0" w:space="0" w:color="auto"/>
      </w:divBdr>
    </w:div>
    <w:div w:id="1161192479">
      <w:bodyDiv w:val="1"/>
      <w:marLeft w:val="0"/>
      <w:marRight w:val="0"/>
      <w:marTop w:val="0"/>
      <w:marBottom w:val="0"/>
      <w:divBdr>
        <w:top w:val="none" w:sz="0" w:space="0" w:color="auto"/>
        <w:left w:val="none" w:sz="0" w:space="0" w:color="auto"/>
        <w:bottom w:val="none" w:sz="0" w:space="0" w:color="auto"/>
        <w:right w:val="none" w:sz="0" w:space="0" w:color="auto"/>
      </w:divBdr>
    </w:div>
    <w:div w:id="1161196410">
      <w:bodyDiv w:val="1"/>
      <w:marLeft w:val="0"/>
      <w:marRight w:val="0"/>
      <w:marTop w:val="0"/>
      <w:marBottom w:val="0"/>
      <w:divBdr>
        <w:top w:val="none" w:sz="0" w:space="0" w:color="auto"/>
        <w:left w:val="none" w:sz="0" w:space="0" w:color="auto"/>
        <w:bottom w:val="none" w:sz="0" w:space="0" w:color="auto"/>
        <w:right w:val="none" w:sz="0" w:space="0" w:color="auto"/>
      </w:divBdr>
    </w:div>
    <w:div w:id="1161197368">
      <w:bodyDiv w:val="1"/>
      <w:marLeft w:val="0"/>
      <w:marRight w:val="0"/>
      <w:marTop w:val="0"/>
      <w:marBottom w:val="0"/>
      <w:divBdr>
        <w:top w:val="none" w:sz="0" w:space="0" w:color="auto"/>
        <w:left w:val="none" w:sz="0" w:space="0" w:color="auto"/>
        <w:bottom w:val="none" w:sz="0" w:space="0" w:color="auto"/>
        <w:right w:val="none" w:sz="0" w:space="0" w:color="auto"/>
      </w:divBdr>
    </w:div>
    <w:div w:id="1161241526">
      <w:bodyDiv w:val="1"/>
      <w:marLeft w:val="0"/>
      <w:marRight w:val="0"/>
      <w:marTop w:val="0"/>
      <w:marBottom w:val="0"/>
      <w:divBdr>
        <w:top w:val="none" w:sz="0" w:space="0" w:color="auto"/>
        <w:left w:val="none" w:sz="0" w:space="0" w:color="auto"/>
        <w:bottom w:val="none" w:sz="0" w:space="0" w:color="auto"/>
        <w:right w:val="none" w:sz="0" w:space="0" w:color="auto"/>
      </w:divBdr>
    </w:div>
    <w:div w:id="1161313515">
      <w:bodyDiv w:val="1"/>
      <w:marLeft w:val="0"/>
      <w:marRight w:val="0"/>
      <w:marTop w:val="0"/>
      <w:marBottom w:val="0"/>
      <w:divBdr>
        <w:top w:val="none" w:sz="0" w:space="0" w:color="auto"/>
        <w:left w:val="none" w:sz="0" w:space="0" w:color="auto"/>
        <w:bottom w:val="none" w:sz="0" w:space="0" w:color="auto"/>
        <w:right w:val="none" w:sz="0" w:space="0" w:color="auto"/>
      </w:divBdr>
    </w:div>
    <w:div w:id="1161315835">
      <w:bodyDiv w:val="1"/>
      <w:marLeft w:val="0"/>
      <w:marRight w:val="0"/>
      <w:marTop w:val="0"/>
      <w:marBottom w:val="0"/>
      <w:divBdr>
        <w:top w:val="none" w:sz="0" w:space="0" w:color="auto"/>
        <w:left w:val="none" w:sz="0" w:space="0" w:color="auto"/>
        <w:bottom w:val="none" w:sz="0" w:space="0" w:color="auto"/>
        <w:right w:val="none" w:sz="0" w:space="0" w:color="auto"/>
      </w:divBdr>
    </w:div>
    <w:div w:id="1161432495">
      <w:bodyDiv w:val="1"/>
      <w:marLeft w:val="0"/>
      <w:marRight w:val="0"/>
      <w:marTop w:val="0"/>
      <w:marBottom w:val="0"/>
      <w:divBdr>
        <w:top w:val="none" w:sz="0" w:space="0" w:color="auto"/>
        <w:left w:val="none" w:sz="0" w:space="0" w:color="auto"/>
        <w:bottom w:val="none" w:sz="0" w:space="0" w:color="auto"/>
        <w:right w:val="none" w:sz="0" w:space="0" w:color="auto"/>
      </w:divBdr>
    </w:div>
    <w:div w:id="1161433905">
      <w:bodyDiv w:val="1"/>
      <w:marLeft w:val="0"/>
      <w:marRight w:val="0"/>
      <w:marTop w:val="0"/>
      <w:marBottom w:val="0"/>
      <w:divBdr>
        <w:top w:val="none" w:sz="0" w:space="0" w:color="auto"/>
        <w:left w:val="none" w:sz="0" w:space="0" w:color="auto"/>
        <w:bottom w:val="none" w:sz="0" w:space="0" w:color="auto"/>
        <w:right w:val="none" w:sz="0" w:space="0" w:color="auto"/>
      </w:divBdr>
    </w:div>
    <w:div w:id="1161582225">
      <w:bodyDiv w:val="1"/>
      <w:marLeft w:val="0"/>
      <w:marRight w:val="0"/>
      <w:marTop w:val="0"/>
      <w:marBottom w:val="0"/>
      <w:divBdr>
        <w:top w:val="none" w:sz="0" w:space="0" w:color="auto"/>
        <w:left w:val="none" w:sz="0" w:space="0" w:color="auto"/>
        <w:bottom w:val="none" w:sz="0" w:space="0" w:color="auto"/>
        <w:right w:val="none" w:sz="0" w:space="0" w:color="auto"/>
      </w:divBdr>
    </w:div>
    <w:div w:id="1161849978">
      <w:bodyDiv w:val="1"/>
      <w:marLeft w:val="0"/>
      <w:marRight w:val="0"/>
      <w:marTop w:val="0"/>
      <w:marBottom w:val="0"/>
      <w:divBdr>
        <w:top w:val="none" w:sz="0" w:space="0" w:color="auto"/>
        <w:left w:val="none" w:sz="0" w:space="0" w:color="auto"/>
        <w:bottom w:val="none" w:sz="0" w:space="0" w:color="auto"/>
        <w:right w:val="none" w:sz="0" w:space="0" w:color="auto"/>
      </w:divBdr>
    </w:div>
    <w:div w:id="1161854155">
      <w:bodyDiv w:val="1"/>
      <w:marLeft w:val="0"/>
      <w:marRight w:val="0"/>
      <w:marTop w:val="0"/>
      <w:marBottom w:val="0"/>
      <w:divBdr>
        <w:top w:val="none" w:sz="0" w:space="0" w:color="auto"/>
        <w:left w:val="none" w:sz="0" w:space="0" w:color="auto"/>
        <w:bottom w:val="none" w:sz="0" w:space="0" w:color="auto"/>
        <w:right w:val="none" w:sz="0" w:space="0" w:color="auto"/>
      </w:divBdr>
    </w:div>
    <w:div w:id="1161969531">
      <w:bodyDiv w:val="1"/>
      <w:marLeft w:val="0"/>
      <w:marRight w:val="0"/>
      <w:marTop w:val="0"/>
      <w:marBottom w:val="0"/>
      <w:divBdr>
        <w:top w:val="none" w:sz="0" w:space="0" w:color="auto"/>
        <w:left w:val="none" w:sz="0" w:space="0" w:color="auto"/>
        <w:bottom w:val="none" w:sz="0" w:space="0" w:color="auto"/>
        <w:right w:val="none" w:sz="0" w:space="0" w:color="auto"/>
      </w:divBdr>
    </w:div>
    <w:div w:id="1161972482">
      <w:bodyDiv w:val="1"/>
      <w:marLeft w:val="0"/>
      <w:marRight w:val="0"/>
      <w:marTop w:val="0"/>
      <w:marBottom w:val="0"/>
      <w:divBdr>
        <w:top w:val="none" w:sz="0" w:space="0" w:color="auto"/>
        <w:left w:val="none" w:sz="0" w:space="0" w:color="auto"/>
        <w:bottom w:val="none" w:sz="0" w:space="0" w:color="auto"/>
        <w:right w:val="none" w:sz="0" w:space="0" w:color="auto"/>
      </w:divBdr>
    </w:div>
    <w:div w:id="1162086648">
      <w:bodyDiv w:val="1"/>
      <w:marLeft w:val="0"/>
      <w:marRight w:val="0"/>
      <w:marTop w:val="0"/>
      <w:marBottom w:val="0"/>
      <w:divBdr>
        <w:top w:val="none" w:sz="0" w:space="0" w:color="auto"/>
        <w:left w:val="none" w:sz="0" w:space="0" w:color="auto"/>
        <w:bottom w:val="none" w:sz="0" w:space="0" w:color="auto"/>
        <w:right w:val="none" w:sz="0" w:space="0" w:color="auto"/>
      </w:divBdr>
    </w:div>
    <w:div w:id="1162087173">
      <w:bodyDiv w:val="1"/>
      <w:marLeft w:val="0"/>
      <w:marRight w:val="0"/>
      <w:marTop w:val="0"/>
      <w:marBottom w:val="0"/>
      <w:divBdr>
        <w:top w:val="none" w:sz="0" w:space="0" w:color="auto"/>
        <w:left w:val="none" w:sz="0" w:space="0" w:color="auto"/>
        <w:bottom w:val="none" w:sz="0" w:space="0" w:color="auto"/>
        <w:right w:val="none" w:sz="0" w:space="0" w:color="auto"/>
      </w:divBdr>
    </w:div>
    <w:div w:id="1162231803">
      <w:bodyDiv w:val="1"/>
      <w:marLeft w:val="0"/>
      <w:marRight w:val="0"/>
      <w:marTop w:val="0"/>
      <w:marBottom w:val="0"/>
      <w:divBdr>
        <w:top w:val="none" w:sz="0" w:space="0" w:color="auto"/>
        <w:left w:val="none" w:sz="0" w:space="0" w:color="auto"/>
        <w:bottom w:val="none" w:sz="0" w:space="0" w:color="auto"/>
        <w:right w:val="none" w:sz="0" w:space="0" w:color="auto"/>
      </w:divBdr>
    </w:div>
    <w:div w:id="1162241057">
      <w:bodyDiv w:val="1"/>
      <w:marLeft w:val="0"/>
      <w:marRight w:val="0"/>
      <w:marTop w:val="0"/>
      <w:marBottom w:val="0"/>
      <w:divBdr>
        <w:top w:val="none" w:sz="0" w:space="0" w:color="auto"/>
        <w:left w:val="none" w:sz="0" w:space="0" w:color="auto"/>
        <w:bottom w:val="none" w:sz="0" w:space="0" w:color="auto"/>
        <w:right w:val="none" w:sz="0" w:space="0" w:color="auto"/>
      </w:divBdr>
    </w:div>
    <w:div w:id="1162349877">
      <w:bodyDiv w:val="1"/>
      <w:marLeft w:val="0"/>
      <w:marRight w:val="0"/>
      <w:marTop w:val="0"/>
      <w:marBottom w:val="0"/>
      <w:divBdr>
        <w:top w:val="none" w:sz="0" w:space="0" w:color="auto"/>
        <w:left w:val="none" w:sz="0" w:space="0" w:color="auto"/>
        <w:bottom w:val="none" w:sz="0" w:space="0" w:color="auto"/>
        <w:right w:val="none" w:sz="0" w:space="0" w:color="auto"/>
      </w:divBdr>
    </w:div>
    <w:div w:id="1162352295">
      <w:bodyDiv w:val="1"/>
      <w:marLeft w:val="0"/>
      <w:marRight w:val="0"/>
      <w:marTop w:val="0"/>
      <w:marBottom w:val="0"/>
      <w:divBdr>
        <w:top w:val="none" w:sz="0" w:space="0" w:color="auto"/>
        <w:left w:val="none" w:sz="0" w:space="0" w:color="auto"/>
        <w:bottom w:val="none" w:sz="0" w:space="0" w:color="auto"/>
        <w:right w:val="none" w:sz="0" w:space="0" w:color="auto"/>
      </w:divBdr>
    </w:div>
    <w:div w:id="1162357007">
      <w:bodyDiv w:val="1"/>
      <w:marLeft w:val="0"/>
      <w:marRight w:val="0"/>
      <w:marTop w:val="0"/>
      <w:marBottom w:val="0"/>
      <w:divBdr>
        <w:top w:val="none" w:sz="0" w:space="0" w:color="auto"/>
        <w:left w:val="none" w:sz="0" w:space="0" w:color="auto"/>
        <w:bottom w:val="none" w:sz="0" w:space="0" w:color="auto"/>
        <w:right w:val="none" w:sz="0" w:space="0" w:color="auto"/>
      </w:divBdr>
    </w:div>
    <w:div w:id="1162426591">
      <w:bodyDiv w:val="1"/>
      <w:marLeft w:val="0"/>
      <w:marRight w:val="0"/>
      <w:marTop w:val="0"/>
      <w:marBottom w:val="0"/>
      <w:divBdr>
        <w:top w:val="none" w:sz="0" w:space="0" w:color="auto"/>
        <w:left w:val="none" w:sz="0" w:space="0" w:color="auto"/>
        <w:bottom w:val="none" w:sz="0" w:space="0" w:color="auto"/>
        <w:right w:val="none" w:sz="0" w:space="0" w:color="auto"/>
      </w:divBdr>
    </w:div>
    <w:div w:id="1162544484">
      <w:bodyDiv w:val="1"/>
      <w:marLeft w:val="0"/>
      <w:marRight w:val="0"/>
      <w:marTop w:val="0"/>
      <w:marBottom w:val="0"/>
      <w:divBdr>
        <w:top w:val="none" w:sz="0" w:space="0" w:color="auto"/>
        <w:left w:val="none" w:sz="0" w:space="0" w:color="auto"/>
        <w:bottom w:val="none" w:sz="0" w:space="0" w:color="auto"/>
        <w:right w:val="none" w:sz="0" w:space="0" w:color="auto"/>
      </w:divBdr>
    </w:div>
    <w:div w:id="1162695961">
      <w:bodyDiv w:val="1"/>
      <w:marLeft w:val="0"/>
      <w:marRight w:val="0"/>
      <w:marTop w:val="0"/>
      <w:marBottom w:val="0"/>
      <w:divBdr>
        <w:top w:val="none" w:sz="0" w:space="0" w:color="auto"/>
        <w:left w:val="none" w:sz="0" w:space="0" w:color="auto"/>
        <w:bottom w:val="none" w:sz="0" w:space="0" w:color="auto"/>
        <w:right w:val="none" w:sz="0" w:space="0" w:color="auto"/>
      </w:divBdr>
    </w:div>
    <w:div w:id="1162745259">
      <w:bodyDiv w:val="1"/>
      <w:marLeft w:val="0"/>
      <w:marRight w:val="0"/>
      <w:marTop w:val="0"/>
      <w:marBottom w:val="0"/>
      <w:divBdr>
        <w:top w:val="none" w:sz="0" w:space="0" w:color="auto"/>
        <w:left w:val="none" w:sz="0" w:space="0" w:color="auto"/>
        <w:bottom w:val="none" w:sz="0" w:space="0" w:color="auto"/>
        <w:right w:val="none" w:sz="0" w:space="0" w:color="auto"/>
      </w:divBdr>
    </w:div>
    <w:div w:id="1162819387">
      <w:bodyDiv w:val="1"/>
      <w:marLeft w:val="0"/>
      <w:marRight w:val="0"/>
      <w:marTop w:val="0"/>
      <w:marBottom w:val="0"/>
      <w:divBdr>
        <w:top w:val="none" w:sz="0" w:space="0" w:color="auto"/>
        <w:left w:val="none" w:sz="0" w:space="0" w:color="auto"/>
        <w:bottom w:val="none" w:sz="0" w:space="0" w:color="auto"/>
        <w:right w:val="none" w:sz="0" w:space="0" w:color="auto"/>
      </w:divBdr>
    </w:div>
    <w:div w:id="1163008721">
      <w:bodyDiv w:val="1"/>
      <w:marLeft w:val="0"/>
      <w:marRight w:val="0"/>
      <w:marTop w:val="0"/>
      <w:marBottom w:val="0"/>
      <w:divBdr>
        <w:top w:val="none" w:sz="0" w:space="0" w:color="auto"/>
        <w:left w:val="none" w:sz="0" w:space="0" w:color="auto"/>
        <w:bottom w:val="none" w:sz="0" w:space="0" w:color="auto"/>
        <w:right w:val="none" w:sz="0" w:space="0" w:color="auto"/>
      </w:divBdr>
    </w:div>
    <w:div w:id="1163008899">
      <w:bodyDiv w:val="1"/>
      <w:marLeft w:val="0"/>
      <w:marRight w:val="0"/>
      <w:marTop w:val="0"/>
      <w:marBottom w:val="0"/>
      <w:divBdr>
        <w:top w:val="none" w:sz="0" w:space="0" w:color="auto"/>
        <w:left w:val="none" w:sz="0" w:space="0" w:color="auto"/>
        <w:bottom w:val="none" w:sz="0" w:space="0" w:color="auto"/>
        <w:right w:val="none" w:sz="0" w:space="0" w:color="auto"/>
      </w:divBdr>
    </w:div>
    <w:div w:id="1163083988">
      <w:bodyDiv w:val="1"/>
      <w:marLeft w:val="0"/>
      <w:marRight w:val="0"/>
      <w:marTop w:val="0"/>
      <w:marBottom w:val="0"/>
      <w:divBdr>
        <w:top w:val="none" w:sz="0" w:space="0" w:color="auto"/>
        <w:left w:val="none" w:sz="0" w:space="0" w:color="auto"/>
        <w:bottom w:val="none" w:sz="0" w:space="0" w:color="auto"/>
        <w:right w:val="none" w:sz="0" w:space="0" w:color="auto"/>
      </w:divBdr>
    </w:div>
    <w:div w:id="1163204793">
      <w:bodyDiv w:val="1"/>
      <w:marLeft w:val="0"/>
      <w:marRight w:val="0"/>
      <w:marTop w:val="0"/>
      <w:marBottom w:val="0"/>
      <w:divBdr>
        <w:top w:val="none" w:sz="0" w:space="0" w:color="auto"/>
        <w:left w:val="none" w:sz="0" w:space="0" w:color="auto"/>
        <w:bottom w:val="none" w:sz="0" w:space="0" w:color="auto"/>
        <w:right w:val="none" w:sz="0" w:space="0" w:color="auto"/>
      </w:divBdr>
    </w:div>
    <w:div w:id="1163274194">
      <w:bodyDiv w:val="1"/>
      <w:marLeft w:val="0"/>
      <w:marRight w:val="0"/>
      <w:marTop w:val="0"/>
      <w:marBottom w:val="0"/>
      <w:divBdr>
        <w:top w:val="none" w:sz="0" w:space="0" w:color="auto"/>
        <w:left w:val="none" w:sz="0" w:space="0" w:color="auto"/>
        <w:bottom w:val="none" w:sz="0" w:space="0" w:color="auto"/>
        <w:right w:val="none" w:sz="0" w:space="0" w:color="auto"/>
      </w:divBdr>
    </w:div>
    <w:div w:id="1163274376">
      <w:bodyDiv w:val="1"/>
      <w:marLeft w:val="0"/>
      <w:marRight w:val="0"/>
      <w:marTop w:val="0"/>
      <w:marBottom w:val="0"/>
      <w:divBdr>
        <w:top w:val="none" w:sz="0" w:space="0" w:color="auto"/>
        <w:left w:val="none" w:sz="0" w:space="0" w:color="auto"/>
        <w:bottom w:val="none" w:sz="0" w:space="0" w:color="auto"/>
        <w:right w:val="none" w:sz="0" w:space="0" w:color="auto"/>
      </w:divBdr>
    </w:div>
    <w:div w:id="1163349538">
      <w:bodyDiv w:val="1"/>
      <w:marLeft w:val="0"/>
      <w:marRight w:val="0"/>
      <w:marTop w:val="0"/>
      <w:marBottom w:val="0"/>
      <w:divBdr>
        <w:top w:val="none" w:sz="0" w:space="0" w:color="auto"/>
        <w:left w:val="none" w:sz="0" w:space="0" w:color="auto"/>
        <w:bottom w:val="none" w:sz="0" w:space="0" w:color="auto"/>
        <w:right w:val="none" w:sz="0" w:space="0" w:color="auto"/>
      </w:divBdr>
    </w:div>
    <w:div w:id="1163357140">
      <w:bodyDiv w:val="1"/>
      <w:marLeft w:val="0"/>
      <w:marRight w:val="0"/>
      <w:marTop w:val="0"/>
      <w:marBottom w:val="0"/>
      <w:divBdr>
        <w:top w:val="none" w:sz="0" w:space="0" w:color="auto"/>
        <w:left w:val="none" w:sz="0" w:space="0" w:color="auto"/>
        <w:bottom w:val="none" w:sz="0" w:space="0" w:color="auto"/>
        <w:right w:val="none" w:sz="0" w:space="0" w:color="auto"/>
      </w:divBdr>
    </w:div>
    <w:div w:id="1163400899">
      <w:bodyDiv w:val="1"/>
      <w:marLeft w:val="0"/>
      <w:marRight w:val="0"/>
      <w:marTop w:val="0"/>
      <w:marBottom w:val="0"/>
      <w:divBdr>
        <w:top w:val="none" w:sz="0" w:space="0" w:color="auto"/>
        <w:left w:val="none" w:sz="0" w:space="0" w:color="auto"/>
        <w:bottom w:val="none" w:sz="0" w:space="0" w:color="auto"/>
        <w:right w:val="none" w:sz="0" w:space="0" w:color="auto"/>
      </w:divBdr>
    </w:div>
    <w:div w:id="1163619576">
      <w:bodyDiv w:val="1"/>
      <w:marLeft w:val="0"/>
      <w:marRight w:val="0"/>
      <w:marTop w:val="0"/>
      <w:marBottom w:val="0"/>
      <w:divBdr>
        <w:top w:val="none" w:sz="0" w:space="0" w:color="auto"/>
        <w:left w:val="none" w:sz="0" w:space="0" w:color="auto"/>
        <w:bottom w:val="none" w:sz="0" w:space="0" w:color="auto"/>
        <w:right w:val="none" w:sz="0" w:space="0" w:color="auto"/>
      </w:divBdr>
    </w:div>
    <w:div w:id="1163661664">
      <w:bodyDiv w:val="1"/>
      <w:marLeft w:val="0"/>
      <w:marRight w:val="0"/>
      <w:marTop w:val="0"/>
      <w:marBottom w:val="0"/>
      <w:divBdr>
        <w:top w:val="none" w:sz="0" w:space="0" w:color="auto"/>
        <w:left w:val="none" w:sz="0" w:space="0" w:color="auto"/>
        <w:bottom w:val="none" w:sz="0" w:space="0" w:color="auto"/>
        <w:right w:val="none" w:sz="0" w:space="0" w:color="auto"/>
      </w:divBdr>
    </w:div>
    <w:div w:id="1163934486">
      <w:bodyDiv w:val="1"/>
      <w:marLeft w:val="0"/>
      <w:marRight w:val="0"/>
      <w:marTop w:val="0"/>
      <w:marBottom w:val="0"/>
      <w:divBdr>
        <w:top w:val="none" w:sz="0" w:space="0" w:color="auto"/>
        <w:left w:val="none" w:sz="0" w:space="0" w:color="auto"/>
        <w:bottom w:val="none" w:sz="0" w:space="0" w:color="auto"/>
        <w:right w:val="none" w:sz="0" w:space="0" w:color="auto"/>
      </w:divBdr>
    </w:div>
    <w:div w:id="1164122070">
      <w:bodyDiv w:val="1"/>
      <w:marLeft w:val="0"/>
      <w:marRight w:val="0"/>
      <w:marTop w:val="0"/>
      <w:marBottom w:val="0"/>
      <w:divBdr>
        <w:top w:val="none" w:sz="0" w:space="0" w:color="auto"/>
        <w:left w:val="none" w:sz="0" w:space="0" w:color="auto"/>
        <w:bottom w:val="none" w:sz="0" w:space="0" w:color="auto"/>
        <w:right w:val="none" w:sz="0" w:space="0" w:color="auto"/>
      </w:divBdr>
    </w:div>
    <w:div w:id="1164276141">
      <w:bodyDiv w:val="1"/>
      <w:marLeft w:val="0"/>
      <w:marRight w:val="0"/>
      <w:marTop w:val="0"/>
      <w:marBottom w:val="0"/>
      <w:divBdr>
        <w:top w:val="none" w:sz="0" w:space="0" w:color="auto"/>
        <w:left w:val="none" w:sz="0" w:space="0" w:color="auto"/>
        <w:bottom w:val="none" w:sz="0" w:space="0" w:color="auto"/>
        <w:right w:val="none" w:sz="0" w:space="0" w:color="auto"/>
      </w:divBdr>
    </w:div>
    <w:div w:id="1164392432">
      <w:bodyDiv w:val="1"/>
      <w:marLeft w:val="0"/>
      <w:marRight w:val="0"/>
      <w:marTop w:val="0"/>
      <w:marBottom w:val="0"/>
      <w:divBdr>
        <w:top w:val="none" w:sz="0" w:space="0" w:color="auto"/>
        <w:left w:val="none" w:sz="0" w:space="0" w:color="auto"/>
        <w:bottom w:val="none" w:sz="0" w:space="0" w:color="auto"/>
        <w:right w:val="none" w:sz="0" w:space="0" w:color="auto"/>
      </w:divBdr>
    </w:div>
    <w:div w:id="1164470950">
      <w:bodyDiv w:val="1"/>
      <w:marLeft w:val="0"/>
      <w:marRight w:val="0"/>
      <w:marTop w:val="0"/>
      <w:marBottom w:val="0"/>
      <w:divBdr>
        <w:top w:val="none" w:sz="0" w:space="0" w:color="auto"/>
        <w:left w:val="none" w:sz="0" w:space="0" w:color="auto"/>
        <w:bottom w:val="none" w:sz="0" w:space="0" w:color="auto"/>
        <w:right w:val="none" w:sz="0" w:space="0" w:color="auto"/>
      </w:divBdr>
    </w:div>
    <w:div w:id="1164516016">
      <w:bodyDiv w:val="1"/>
      <w:marLeft w:val="0"/>
      <w:marRight w:val="0"/>
      <w:marTop w:val="0"/>
      <w:marBottom w:val="0"/>
      <w:divBdr>
        <w:top w:val="none" w:sz="0" w:space="0" w:color="auto"/>
        <w:left w:val="none" w:sz="0" w:space="0" w:color="auto"/>
        <w:bottom w:val="none" w:sz="0" w:space="0" w:color="auto"/>
        <w:right w:val="none" w:sz="0" w:space="0" w:color="auto"/>
      </w:divBdr>
    </w:div>
    <w:div w:id="1164859743">
      <w:bodyDiv w:val="1"/>
      <w:marLeft w:val="0"/>
      <w:marRight w:val="0"/>
      <w:marTop w:val="0"/>
      <w:marBottom w:val="0"/>
      <w:divBdr>
        <w:top w:val="none" w:sz="0" w:space="0" w:color="auto"/>
        <w:left w:val="none" w:sz="0" w:space="0" w:color="auto"/>
        <w:bottom w:val="none" w:sz="0" w:space="0" w:color="auto"/>
        <w:right w:val="none" w:sz="0" w:space="0" w:color="auto"/>
      </w:divBdr>
    </w:div>
    <w:div w:id="1164977162">
      <w:bodyDiv w:val="1"/>
      <w:marLeft w:val="0"/>
      <w:marRight w:val="0"/>
      <w:marTop w:val="0"/>
      <w:marBottom w:val="0"/>
      <w:divBdr>
        <w:top w:val="none" w:sz="0" w:space="0" w:color="auto"/>
        <w:left w:val="none" w:sz="0" w:space="0" w:color="auto"/>
        <w:bottom w:val="none" w:sz="0" w:space="0" w:color="auto"/>
        <w:right w:val="none" w:sz="0" w:space="0" w:color="auto"/>
      </w:divBdr>
    </w:div>
    <w:div w:id="1165123555">
      <w:bodyDiv w:val="1"/>
      <w:marLeft w:val="0"/>
      <w:marRight w:val="0"/>
      <w:marTop w:val="0"/>
      <w:marBottom w:val="0"/>
      <w:divBdr>
        <w:top w:val="none" w:sz="0" w:space="0" w:color="auto"/>
        <w:left w:val="none" w:sz="0" w:space="0" w:color="auto"/>
        <w:bottom w:val="none" w:sz="0" w:space="0" w:color="auto"/>
        <w:right w:val="none" w:sz="0" w:space="0" w:color="auto"/>
      </w:divBdr>
    </w:div>
    <w:div w:id="1165169021">
      <w:bodyDiv w:val="1"/>
      <w:marLeft w:val="0"/>
      <w:marRight w:val="0"/>
      <w:marTop w:val="0"/>
      <w:marBottom w:val="0"/>
      <w:divBdr>
        <w:top w:val="none" w:sz="0" w:space="0" w:color="auto"/>
        <w:left w:val="none" w:sz="0" w:space="0" w:color="auto"/>
        <w:bottom w:val="none" w:sz="0" w:space="0" w:color="auto"/>
        <w:right w:val="none" w:sz="0" w:space="0" w:color="auto"/>
      </w:divBdr>
    </w:div>
    <w:div w:id="1165169545">
      <w:bodyDiv w:val="1"/>
      <w:marLeft w:val="0"/>
      <w:marRight w:val="0"/>
      <w:marTop w:val="0"/>
      <w:marBottom w:val="0"/>
      <w:divBdr>
        <w:top w:val="none" w:sz="0" w:space="0" w:color="auto"/>
        <w:left w:val="none" w:sz="0" w:space="0" w:color="auto"/>
        <w:bottom w:val="none" w:sz="0" w:space="0" w:color="auto"/>
        <w:right w:val="none" w:sz="0" w:space="0" w:color="auto"/>
      </w:divBdr>
    </w:div>
    <w:div w:id="1165248306">
      <w:bodyDiv w:val="1"/>
      <w:marLeft w:val="0"/>
      <w:marRight w:val="0"/>
      <w:marTop w:val="0"/>
      <w:marBottom w:val="0"/>
      <w:divBdr>
        <w:top w:val="none" w:sz="0" w:space="0" w:color="auto"/>
        <w:left w:val="none" w:sz="0" w:space="0" w:color="auto"/>
        <w:bottom w:val="none" w:sz="0" w:space="0" w:color="auto"/>
        <w:right w:val="none" w:sz="0" w:space="0" w:color="auto"/>
      </w:divBdr>
    </w:div>
    <w:div w:id="1165315889">
      <w:bodyDiv w:val="1"/>
      <w:marLeft w:val="0"/>
      <w:marRight w:val="0"/>
      <w:marTop w:val="0"/>
      <w:marBottom w:val="0"/>
      <w:divBdr>
        <w:top w:val="none" w:sz="0" w:space="0" w:color="auto"/>
        <w:left w:val="none" w:sz="0" w:space="0" w:color="auto"/>
        <w:bottom w:val="none" w:sz="0" w:space="0" w:color="auto"/>
        <w:right w:val="none" w:sz="0" w:space="0" w:color="auto"/>
      </w:divBdr>
    </w:div>
    <w:div w:id="1165322862">
      <w:bodyDiv w:val="1"/>
      <w:marLeft w:val="0"/>
      <w:marRight w:val="0"/>
      <w:marTop w:val="0"/>
      <w:marBottom w:val="0"/>
      <w:divBdr>
        <w:top w:val="none" w:sz="0" w:space="0" w:color="auto"/>
        <w:left w:val="none" w:sz="0" w:space="0" w:color="auto"/>
        <w:bottom w:val="none" w:sz="0" w:space="0" w:color="auto"/>
        <w:right w:val="none" w:sz="0" w:space="0" w:color="auto"/>
      </w:divBdr>
    </w:div>
    <w:div w:id="1165391546">
      <w:bodyDiv w:val="1"/>
      <w:marLeft w:val="0"/>
      <w:marRight w:val="0"/>
      <w:marTop w:val="0"/>
      <w:marBottom w:val="0"/>
      <w:divBdr>
        <w:top w:val="none" w:sz="0" w:space="0" w:color="auto"/>
        <w:left w:val="none" w:sz="0" w:space="0" w:color="auto"/>
        <w:bottom w:val="none" w:sz="0" w:space="0" w:color="auto"/>
        <w:right w:val="none" w:sz="0" w:space="0" w:color="auto"/>
      </w:divBdr>
    </w:div>
    <w:div w:id="1165434876">
      <w:bodyDiv w:val="1"/>
      <w:marLeft w:val="0"/>
      <w:marRight w:val="0"/>
      <w:marTop w:val="0"/>
      <w:marBottom w:val="0"/>
      <w:divBdr>
        <w:top w:val="none" w:sz="0" w:space="0" w:color="auto"/>
        <w:left w:val="none" w:sz="0" w:space="0" w:color="auto"/>
        <w:bottom w:val="none" w:sz="0" w:space="0" w:color="auto"/>
        <w:right w:val="none" w:sz="0" w:space="0" w:color="auto"/>
      </w:divBdr>
    </w:div>
    <w:div w:id="1165509179">
      <w:bodyDiv w:val="1"/>
      <w:marLeft w:val="0"/>
      <w:marRight w:val="0"/>
      <w:marTop w:val="0"/>
      <w:marBottom w:val="0"/>
      <w:divBdr>
        <w:top w:val="none" w:sz="0" w:space="0" w:color="auto"/>
        <w:left w:val="none" w:sz="0" w:space="0" w:color="auto"/>
        <w:bottom w:val="none" w:sz="0" w:space="0" w:color="auto"/>
        <w:right w:val="none" w:sz="0" w:space="0" w:color="auto"/>
      </w:divBdr>
    </w:div>
    <w:div w:id="1165780077">
      <w:bodyDiv w:val="1"/>
      <w:marLeft w:val="0"/>
      <w:marRight w:val="0"/>
      <w:marTop w:val="0"/>
      <w:marBottom w:val="0"/>
      <w:divBdr>
        <w:top w:val="none" w:sz="0" w:space="0" w:color="auto"/>
        <w:left w:val="none" w:sz="0" w:space="0" w:color="auto"/>
        <w:bottom w:val="none" w:sz="0" w:space="0" w:color="auto"/>
        <w:right w:val="none" w:sz="0" w:space="0" w:color="auto"/>
      </w:divBdr>
    </w:div>
    <w:div w:id="1165898363">
      <w:bodyDiv w:val="1"/>
      <w:marLeft w:val="0"/>
      <w:marRight w:val="0"/>
      <w:marTop w:val="0"/>
      <w:marBottom w:val="0"/>
      <w:divBdr>
        <w:top w:val="none" w:sz="0" w:space="0" w:color="auto"/>
        <w:left w:val="none" w:sz="0" w:space="0" w:color="auto"/>
        <w:bottom w:val="none" w:sz="0" w:space="0" w:color="auto"/>
        <w:right w:val="none" w:sz="0" w:space="0" w:color="auto"/>
      </w:divBdr>
    </w:div>
    <w:div w:id="1165969937">
      <w:bodyDiv w:val="1"/>
      <w:marLeft w:val="0"/>
      <w:marRight w:val="0"/>
      <w:marTop w:val="0"/>
      <w:marBottom w:val="0"/>
      <w:divBdr>
        <w:top w:val="none" w:sz="0" w:space="0" w:color="auto"/>
        <w:left w:val="none" w:sz="0" w:space="0" w:color="auto"/>
        <w:bottom w:val="none" w:sz="0" w:space="0" w:color="auto"/>
        <w:right w:val="none" w:sz="0" w:space="0" w:color="auto"/>
      </w:divBdr>
    </w:div>
    <w:div w:id="1166093472">
      <w:bodyDiv w:val="1"/>
      <w:marLeft w:val="0"/>
      <w:marRight w:val="0"/>
      <w:marTop w:val="0"/>
      <w:marBottom w:val="0"/>
      <w:divBdr>
        <w:top w:val="none" w:sz="0" w:space="0" w:color="auto"/>
        <w:left w:val="none" w:sz="0" w:space="0" w:color="auto"/>
        <w:bottom w:val="none" w:sz="0" w:space="0" w:color="auto"/>
        <w:right w:val="none" w:sz="0" w:space="0" w:color="auto"/>
      </w:divBdr>
    </w:div>
    <w:div w:id="1166240045">
      <w:bodyDiv w:val="1"/>
      <w:marLeft w:val="0"/>
      <w:marRight w:val="0"/>
      <w:marTop w:val="0"/>
      <w:marBottom w:val="0"/>
      <w:divBdr>
        <w:top w:val="none" w:sz="0" w:space="0" w:color="auto"/>
        <w:left w:val="none" w:sz="0" w:space="0" w:color="auto"/>
        <w:bottom w:val="none" w:sz="0" w:space="0" w:color="auto"/>
        <w:right w:val="none" w:sz="0" w:space="0" w:color="auto"/>
      </w:divBdr>
    </w:div>
    <w:div w:id="1166431823">
      <w:bodyDiv w:val="1"/>
      <w:marLeft w:val="0"/>
      <w:marRight w:val="0"/>
      <w:marTop w:val="0"/>
      <w:marBottom w:val="0"/>
      <w:divBdr>
        <w:top w:val="none" w:sz="0" w:space="0" w:color="auto"/>
        <w:left w:val="none" w:sz="0" w:space="0" w:color="auto"/>
        <w:bottom w:val="none" w:sz="0" w:space="0" w:color="auto"/>
        <w:right w:val="none" w:sz="0" w:space="0" w:color="auto"/>
      </w:divBdr>
    </w:div>
    <w:div w:id="1166438593">
      <w:bodyDiv w:val="1"/>
      <w:marLeft w:val="0"/>
      <w:marRight w:val="0"/>
      <w:marTop w:val="0"/>
      <w:marBottom w:val="0"/>
      <w:divBdr>
        <w:top w:val="none" w:sz="0" w:space="0" w:color="auto"/>
        <w:left w:val="none" w:sz="0" w:space="0" w:color="auto"/>
        <w:bottom w:val="none" w:sz="0" w:space="0" w:color="auto"/>
        <w:right w:val="none" w:sz="0" w:space="0" w:color="auto"/>
      </w:divBdr>
    </w:div>
    <w:div w:id="1166630675">
      <w:bodyDiv w:val="1"/>
      <w:marLeft w:val="0"/>
      <w:marRight w:val="0"/>
      <w:marTop w:val="0"/>
      <w:marBottom w:val="0"/>
      <w:divBdr>
        <w:top w:val="none" w:sz="0" w:space="0" w:color="auto"/>
        <w:left w:val="none" w:sz="0" w:space="0" w:color="auto"/>
        <w:bottom w:val="none" w:sz="0" w:space="0" w:color="auto"/>
        <w:right w:val="none" w:sz="0" w:space="0" w:color="auto"/>
      </w:divBdr>
    </w:div>
    <w:div w:id="1166632151">
      <w:bodyDiv w:val="1"/>
      <w:marLeft w:val="0"/>
      <w:marRight w:val="0"/>
      <w:marTop w:val="0"/>
      <w:marBottom w:val="0"/>
      <w:divBdr>
        <w:top w:val="none" w:sz="0" w:space="0" w:color="auto"/>
        <w:left w:val="none" w:sz="0" w:space="0" w:color="auto"/>
        <w:bottom w:val="none" w:sz="0" w:space="0" w:color="auto"/>
        <w:right w:val="none" w:sz="0" w:space="0" w:color="auto"/>
      </w:divBdr>
    </w:div>
    <w:div w:id="1166672314">
      <w:bodyDiv w:val="1"/>
      <w:marLeft w:val="0"/>
      <w:marRight w:val="0"/>
      <w:marTop w:val="0"/>
      <w:marBottom w:val="0"/>
      <w:divBdr>
        <w:top w:val="none" w:sz="0" w:space="0" w:color="auto"/>
        <w:left w:val="none" w:sz="0" w:space="0" w:color="auto"/>
        <w:bottom w:val="none" w:sz="0" w:space="0" w:color="auto"/>
        <w:right w:val="none" w:sz="0" w:space="0" w:color="auto"/>
      </w:divBdr>
    </w:div>
    <w:div w:id="1166677322">
      <w:bodyDiv w:val="1"/>
      <w:marLeft w:val="0"/>
      <w:marRight w:val="0"/>
      <w:marTop w:val="0"/>
      <w:marBottom w:val="0"/>
      <w:divBdr>
        <w:top w:val="none" w:sz="0" w:space="0" w:color="auto"/>
        <w:left w:val="none" w:sz="0" w:space="0" w:color="auto"/>
        <w:bottom w:val="none" w:sz="0" w:space="0" w:color="auto"/>
        <w:right w:val="none" w:sz="0" w:space="0" w:color="auto"/>
      </w:divBdr>
    </w:div>
    <w:div w:id="1166748377">
      <w:bodyDiv w:val="1"/>
      <w:marLeft w:val="0"/>
      <w:marRight w:val="0"/>
      <w:marTop w:val="0"/>
      <w:marBottom w:val="0"/>
      <w:divBdr>
        <w:top w:val="none" w:sz="0" w:space="0" w:color="auto"/>
        <w:left w:val="none" w:sz="0" w:space="0" w:color="auto"/>
        <w:bottom w:val="none" w:sz="0" w:space="0" w:color="auto"/>
        <w:right w:val="none" w:sz="0" w:space="0" w:color="auto"/>
      </w:divBdr>
    </w:div>
    <w:div w:id="1166751229">
      <w:bodyDiv w:val="1"/>
      <w:marLeft w:val="0"/>
      <w:marRight w:val="0"/>
      <w:marTop w:val="0"/>
      <w:marBottom w:val="0"/>
      <w:divBdr>
        <w:top w:val="none" w:sz="0" w:space="0" w:color="auto"/>
        <w:left w:val="none" w:sz="0" w:space="0" w:color="auto"/>
        <w:bottom w:val="none" w:sz="0" w:space="0" w:color="auto"/>
        <w:right w:val="none" w:sz="0" w:space="0" w:color="auto"/>
      </w:divBdr>
    </w:div>
    <w:div w:id="1166820214">
      <w:bodyDiv w:val="1"/>
      <w:marLeft w:val="0"/>
      <w:marRight w:val="0"/>
      <w:marTop w:val="0"/>
      <w:marBottom w:val="0"/>
      <w:divBdr>
        <w:top w:val="none" w:sz="0" w:space="0" w:color="auto"/>
        <w:left w:val="none" w:sz="0" w:space="0" w:color="auto"/>
        <w:bottom w:val="none" w:sz="0" w:space="0" w:color="auto"/>
        <w:right w:val="none" w:sz="0" w:space="0" w:color="auto"/>
      </w:divBdr>
    </w:div>
    <w:div w:id="1166869035">
      <w:bodyDiv w:val="1"/>
      <w:marLeft w:val="0"/>
      <w:marRight w:val="0"/>
      <w:marTop w:val="0"/>
      <w:marBottom w:val="0"/>
      <w:divBdr>
        <w:top w:val="none" w:sz="0" w:space="0" w:color="auto"/>
        <w:left w:val="none" w:sz="0" w:space="0" w:color="auto"/>
        <w:bottom w:val="none" w:sz="0" w:space="0" w:color="auto"/>
        <w:right w:val="none" w:sz="0" w:space="0" w:color="auto"/>
      </w:divBdr>
    </w:div>
    <w:div w:id="1166899965">
      <w:bodyDiv w:val="1"/>
      <w:marLeft w:val="0"/>
      <w:marRight w:val="0"/>
      <w:marTop w:val="0"/>
      <w:marBottom w:val="0"/>
      <w:divBdr>
        <w:top w:val="none" w:sz="0" w:space="0" w:color="auto"/>
        <w:left w:val="none" w:sz="0" w:space="0" w:color="auto"/>
        <w:bottom w:val="none" w:sz="0" w:space="0" w:color="auto"/>
        <w:right w:val="none" w:sz="0" w:space="0" w:color="auto"/>
      </w:divBdr>
    </w:div>
    <w:div w:id="1166900890">
      <w:bodyDiv w:val="1"/>
      <w:marLeft w:val="0"/>
      <w:marRight w:val="0"/>
      <w:marTop w:val="0"/>
      <w:marBottom w:val="0"/>
      <w:divBdr>
        <w:top w:val="none" w:sz="0" w:space="0" w:color="auto"/>
        <w:left w:val="none" w:sz="0" w:space="0" w:color="auto"/>
        <w:bottom w:val="none" w:sz="0" w:space="0" w:color="auto"/>
        <w:right w:val="none" w:sz="0" w:space="0" w:color="auto"/>
      </w:divBdr>
    </w:div>
    <w:div w:id="1166945128">
      <w:bodyDiv w:val="1"/>
      <w:marLeft w:val="0"/>
      <w:marRight w:val="0"/>
      <w:marTop w:val="0"/>
      <w:marBottom w:val="0"/>
      <w:divBdr>
        <w:top w:val="none" w:sz="0" w:space="0" w:color="auto"/>
        <w:left w:val="none" w:sz="0" w:space="0" w:color="auto"/>
        <w:bottom w:val="none" w:sz="0" w:space="0" w:color="auto"/>
        <w:right w:val="none" w:sz="0" w:space="0" w:color="auto"/>
      </w:divBdr>
    </w:div>
    <w:div w:id="1167011685">
      <w:bodyDiv w:val="1"/>
      <w:marLeft w:val="0"/>
      <w:marRight w:val="0"/>
      <w:marTop w:val="0"/>
      <w:marBottom w:val="0"/>
      <w:divBdr>
        <w:top w:val="none" w:sz="0" w:space="0" w:color="auto"/>
        <w:left w:val="none" w:sz="0" w:space="0" w:color="auto"/>
        <w:bottom w:val="none" w:sz="0" w:space="0" w:color="auto"/>
        <w:right w:val="none" w:sz="0" w:space="0" w:color="auto"/>
      </w:divBdr>
    </w:div>
    <w:div w:id="1167015674">
      <w:bodyDiv w:val="1"/>
      <w:marLeft w:val="0"/>
      <w:marRight w:val="0"/>
      <w:marTop w:val="0"/>
      <w:marBottom w:val="0"/>
      <w:divBdr>
        <w:top w:val="none" w:sz="0" w:space="0" w:color="auto"/>
        <w:left w:val="none" w:sz="0" w:space="0" w:color="auto"/>
        <w:bottom w:val="none" w:sz="0" w:space="0" w:color="auto"/>
        <w:right w:val="none" w:sz="0" w:space="0" w:color="auto"/>
      </w:divBdr>
    </w:div>
    <w:div w:id="1167096060">
      <w:bodyDiv w:val="1"/>
      <w:marLeft w:val="0"/>
      <w:marRight w:val="0"/>
      <w:marTop w:val="0"/>
      <w:marBottom w:val="0"/>
      <w:divBdr>
        <w:top w:val="none" w:sz="0" w:space="0" w:color="auto"/>
        <w:left w:val="none" w:sz="0" w:space="0" w:color="auto"/>
        <w:bottom w:val="none" w:sz="0" w:space="0" w:color="auto"/>
        <w:right w:val="none" w:sz="0" w:space="0" w:color="auto"/>
      </w:divBdr>
    </w:div>
    <w:div w:id="1167131117">
      <w:bodyDiv w:val="1"/>
      <w:marLeft w:val="0"/>
      <w:marRight w:val="0"/>
      <w:marTop w:val="0"/>
      <w:marBottom w:val="0"/>
      <w:divBdr>
        <w:top w:val="none" w:sz="0" w:space="0" w:color="auto"/>
        <w:left w:val="none" w:sz="0" w:space="0" w:color="auto"/>
        <w:bottom w:val="none" w:sz="0" w:space="0" w:color="auto"/>
        <w:right w:val="none" w:sz="0" w:space="0" w:color="auto"/>
      </w:divBdr>
    </w:div>
    <w:div w:id="1167285628">
      <w:bodyDiv w:val="1"/>
      <w:marLeft w:val="0"/>
      <w:marRight w:val="0"/>
      <w:marTop w:val="0"/>
      <w:marBottom w:val="0"/>
      <w:divBdr>
        <w:top w:val="none" w:sz="0" w:space="0" w:color="auto"/>
        <w:left w:val="none" w:sz="0" w:space="0" w:color="auto"/>
        <w:bottom w:val="none" w:sz="0" w:space="0" w:color="auto"/>
        <w:right w:val="none" w:sz="0" w:space="0" w:color="auto"/>
      </w:divBdr>
    </w:div>
    <w:div w:id="1167287841">
      <w:bodyDiv w:val="1"/>
      <w:marLeft w:val="0"/>
      <w:marRight w:val="0"/>
      <w:marTop w:val="0"/>
      <w:marBottom w:val="0"/>
      <w:divBdr>
        <w:top w:val="none" w:sz="0" w:space="0" w:color="auto"/>
        <w:left w:val="none" w:sz="0" w:space="0" w:color="auto"/>
        <w:bottom w:val="none" w:sz="0" w:space="0" w:color="auto"/>
        <w:right w:val="none" w:sz="0" w:space="0" w:color="auto"/>
      </w:divBdr>
    </w:div>
    <w:div w:id="1167288307">
      <w:bodyDiv w:val="1"/>
      <w:marLeft w:val="0"/>
      <w:marRight w:val="0"/>
      <w:marTop w:val="0"/>
      <w:marBottom w:val="0"/>
      <w:divBdr>
        <w:top w:val="none" w:sz="0" w:space="0" w:color="auto"/>
        <w:left w:val="none" w:sz="0" w:space="0" w:color="auto"/>
        <w:bottom w:val="none" w:sz="0" w:space="0" w:color="auto"/>
        <w:right w:val="none" w:sz="0" w:space="0" w:color="auto"/>
      </w:divBdr>
    </w:div>
    <w:div w:id="1167473615">
      <w:bodyDiv w:val="1"/>
      <w:marLeft w:val="0"/>
      <w:marRight w:val="0"/>
      <w:marTop w:val="0"/>
      <w:marBottom w:val="0"/>
      <w:divBdr>
        <w:top w:val="none" w:sz="0" w:space="0" w:color="auto"/>
        <w:left w:val="none" w:sz="0" w:space="0" w:color="auto"/>
        <w:bottom w:val="none" w:sz="0" w:space="0" w:color="auto"/>
        <w:right w:val="none" w:sz="0" w:space="0" w:color="auto"/>
      </w:divBdr>
    </w:div>
    <w:div w:id="1167555584">
      <w:bodyDiv w:val="1"/>
      <w:marLeft w:val="0"/>
      <w:marRight w:val="0"/>
      <w:marTop w:val="0"/>
      <w:marBottom w:val="0"/>
      <w:divBdr>
        <w:top w:val="none" w:sz="0" w:space="0" w:color="auto"/>
        <w:left w:val="none" w:sz="0" w:space="0" w:color="auto"/>
        <w:bottom w:val="none" w:sz="0" w:space="0" w:color="auto"/>
        <w:right w:val="none" w:sz="0" w:space="0" w:color="auto"/>
      </w:divBdr>
    </w:div>
    <w:div w:id="1167599383">
      <w:bodyDiv w:val="1"/>
      <w:marLeft w:val="0"/>
      <w:marRight w:val="0"/>
      <w:marTop w:val="0"/>
      <w:marBottom w:val="0"/>
      <w:divBdr>
        <w:top w:val="none" w:sz="0" w:space="0" w:color="auto"/>
        <w:left w:val="none" w:sz="0" w:space="0" w:color="auto"/>
        <w:bottom w:val="none" w:sz="0" w:space="0" w:color="auto"/>
        <w:right w:val="none" w:sz="0" w:space="0" w:color="auto"/>
      </w:divBdr>
    </w:div>
    <w:div w:id="1167676022">
      <w:bodyDiv w:val="1"/>
      <w:marLeft w:val="0"/>
      <w:marRight w:val="0"/>
      <w:marTop w:val="0"/>
      <w:marBottom w:val="0"/>
      <w:divBdr>
        <w:top w:val="none" w:sz="0" w:space="0" w:color="auto"/>
        <w:left w:val="none" w:sz="0" w:space="0" w:color="auto"/>
        <w:bottom w:val="none" w:sz="0" w:space="0" w:color="auto"/>
        <w:right w:val="none" w:sz="0" w:space="0" w:color="auto"/>
      </w:divBdr>
    </w:div>
    <w:div w:id="1167792781">
      <w:bodyDiv w:val="1"/>
      <w:marLeft w:val="0"/>
      <w:marRight w:val="0"/>
      <w:marTop w:val="0"/>
      <w:marBottom w:val="0"/>
      <w:divBdr>
        <w:top w:val="none" w:sz="0" w:space="0" w:color="auto"/>
        <w:left w:val="none" w:sz="0" w:space="0" w:color="auto"/>
        <w:bottom w:val="none" w:sz="0" w:space="0" w:color="auto"/>
        <w:right w:val="none" w:sz="0" w:space="0" w:color="auto"/>
      </w:divBdr>
    </w:div>
    <w:div w:id="1167865800">
      <w:bodyDiv w:val="1"/>
      <w:marLeft w:val="0"/>
      <w:marRight w:val="0"/>
      <w:marTop w:val="0"/>
      <w:marBottom w:val="0"/>
      <w:divBdr>
        <w:top w:val="none" w:sz="0" w:space="0" w:color="auto"/>
        <w:left w:val="none" w:sz="0" w:space="0" w:color="auto"/>
        <w:bottom w:val="none" w:sz="0" w:space="0" w:color="auto"/>
        <w:right w:val="none" w:sz="0" w:space="0" w:color="auto"/>
      </w:divBdr>
    </w:div>
    <w:div w:id="1167868132">
      <w:bodyDiv w:val="1"/>
      <w:marLeft w:val="0"/>
      <w:marRight w:val="0"/>
      <w:marTop w:val="0"/>
      <w:marBottom w:val="0"/>
      <w:divBdr>
        <w:top w:val="none" w:sz="0" w:space="0" w:color="auto"/>
        <w:left w:val="none" w:sz="0" w:space="0" w:color="auto"/>
        <w:bottom w:val="none" w:sz="0" w:space="0" w:color="auto"/>
        <w:right w:val="none" w:sz="0" w:space="0" w:color="auto"/>
      </w:divBdr>
    </w:div>
    <w:div w:id="1167937149">
      <w:bodyDiv w:val="1"/>
      <w:marLeft w:val="0"/>
      <w:marRight w:val="0"/>
      <w:marTop w:val="0"/>
      <w:marBottom w:val="0"/>
      <w:divBdr>
        <w:top w:val="none" w:sz="0" w:space="0" w:color="auto"/>
        <w:left w:val="none" w:sz="0" w:space="0" w:color="auto"/>
        <w:bottom w:val="none" w:sz="0" w:space="0" w:color="auto"/>
        <w:right w:val="none" w:sz="0" w:space="0" w:color="auto"/>
      </w:divBdr>
    </w:div>
    <w:div w:id="1167937718">
      <w:bodyDiv w:val="1"/>
      <w:marLeft w:val="0"/>
      <w:marRight w:val="0"/>
      <w:marTop w:val="0"/>
      <w:marBottom w:val="0"/>
      <w:divBdr>
        <w:top w:val="none" w:sz="0" w:space="0" w:color="auto"/>
        <w:left w:val="none" w:sz="0" w:space="0" w:color="auto"/>
        <w:bottom w:val="none" w:sz="0" w:space="0" w:color="auto"/>
        <w:right w:val="none" w:sz="0" w:space="0" w:color="auto"/>
      </w:divBdr>
    </w:div>
    <w:div w:id="1168059788">
      <w:bodyDiv w:val="1"/>
      <w:marLeft w:val="0"/>
      <w:marRight w:val="0"/>
      <w:marTop w:val="0"/>
      <w:marBottom w:val="0"/>
      <w:divBdr>
        <w:top w:val="none" w:sz="0" w:space="0" w:color="auto"/>
        <w:left w:val="none" w:sz="0" w:space="0" w:color="auto"/>
        <w:bottom w:val="none" w:sz="0" w:space="0" w:color="auto"/>
        <w:right w:val="none" w:sz="0" w:space="0" w:color="auto"/>
      </w:divBdr>
    </w:div>
    <w:div w:id="1168130791">
      <w:bodyDiv w:val="1"/>
      <w:marLeft w:val="0"/>
      <w:marRight w:val="0"/>
      <w:marTop w:val="0"/>
      <w:marBottom w:val="0"/>
      <w:divBdr>
        <w:top w:val="none" w:sz="0" w:space="0" w:color="auto"/>
        <w:left w:val="none" w:sz="0" w:space="0" w:color="auto"/>
        <w:bottom w:val="none" w:sz="0" w:space="0" w:color="auto"/>
        <w:right w:val="none" w:sz="0" w:space="0" w:color="auto"/>
      </w:divBdr>
    </w:div>
    <w:div w:id="1168322362">
      <w:bodyDiv w:val="1"/>
      <w:marLeft w:val="0"/>
      <w:marRight w:val="0"/>
      <w:marTop w:val="0"/>
      <w:marBottom w:val="0"/>
      <w:divBdr>
        <w:top w:val="none" w:sz="0" w:space="0" w:color="auto"/>
        <w:left w:val="none" w:sz="0" w:space="0" w:color="auto"/>
        <w:bottom w:val="none" w:sz="0" w:space="0" w:color="auto"/>
        <w:right w:val="none" w:sz="0" w:space="0" w:color="auto"/>
      </w:divBdr>
    </w:div>
    <w:div w:id="1168446252">
      <w:bodyDiv w:val="1"/>
      <w:marLeft w:val="0"/>
      <w:marRight w:val="0"/>
      <w:marTop w:val="0"/>
      <w:marBottom w:val="0"/>
      <w:divBdr>
        <w:top w:val="none" w:sz="0" w:space="0" w:color="auto"/>
        <w:left w:val="none" w:sz="0" w:space="0" w:color="auto"/>
        <w:bottom w:val="none" w:sz="0" w:space="0" w:color="auto"/>
        <w:right w:val="none" w:sz="0" w:space="0" w:color="auto"/>
      </w:divBdr>
    </w:div>
    <w:div w:id="1168524887">
      <w:bodyDiv w:val="1"/>
      <w:marLeft w:val="0"/>
      <w:marRight w:val="0"/>
      <w:marTop w:val="0"/>
      <w:marBottom w:val="0"/>
      <w:divBdr>
        <w:top w:val="none" w:sz="0" w:space="0" w:color="auto"/>
        <w:left w:val="none" w:sz="0" w:space="0" w:color="auto"/>
        <w:bottom w:val="none" w:sz="0" w:space="0" w:color="auto"/>
        <w:right w:val="none" w:sz="0" w:space="0" w:color="auto"/>
      </w:divBdr>
    </w:div>
    <w:div w:id="1168591840">
      <w:bodyDiv w:val="1"/>
      <w:marLeft w:val="0"/>
      <w:marRight w:val="0"/>
      <w:marTop w:val="0"/>
      <w:marBottom w:val="0"/>
      <w:divBdr>
        <w:top w:val="none" w:sz="0" w:space="0" w:color="auto"/>
        <w:left w:val="none" w:sz="0" w:space="0" w:color="auto"/>
        <w:bottom w:val="none" w:sz="0" w:space="0" w:color="auto"/>
        <w:right w:val="none" w:sz="0" w:space="0" w:color="auto"/>
      </w:divBdr>
    </w:div>
    <w:div w:id="1168592625">
      <w:bodyDiv w:val="1"/>
      <w:marLeft w:val="0"/>
      <w:marRight w:val="0"/>
      <w:marTop w:val="0"/>
      <w:marBottom w:val="0"/>
      <w:divBdr>
        <w:top w:val="none" w:sz="0" w:space="0" w:color="auto"/>
        <w:left w:val="none" w:sz="0" w:space="0" w:color="auto"/>
        <w:bottom w:val="none" w:sz="0" w:space="0" w:color="auto"/>
        <w:right w:val="none" w:sz="0" w:space="0" w:color="auto"/>
      </w:divBdr>
    </w:div>
    <w:div w:id="1168860257">
      <w:bodyDiv w:val="1"/>
      <w:marLeft w:val="0"/>
      <w:marRight w:val="0"/>
      <w:marTop w:val="0"/>
      <w:marBottom w:val="0"/>
      <w:divBdr>
        <w:top w:val="none" w:sz="0" w:space="0" w:color="auto"/>
        <w:left w:val="none" w:sz="0" w:space="0" w:color="auto"/>
        <w:bottom w:val="none" w:sz="0" w:space="0" w:color="auto"/>
        <w:right w:val="none" w:sz="0" w:space="0" w:color="auto"/>
      </w:divBdr>
    </w:div>
    <w:div w:id="1168980485">
      <w:bodyDiv w:val="1"/>
      <w:marLeft w:val="0"/>
      <w:marRight w:val="0"/>
      <w:marTop w:val="0"/>
      <w:marBottom w:val="0"/>
      <w:divBdr>
        <w:top w:val="none" w:sz="0" w:space="0" w:color="auto"/>
        <w:left w:val="none" w:sz="0" w:space="0" w:color="auto"/>
        <w:bottom w:val="none" w:sz="0" w:space="0" w:color="auto"/>
        <w:right w:val="none" w:sz="0" w:space="0" w:color="auto"/>
      </w:divBdr>
    </w:div>
    <w:div w:id="1169128338">
      <w:bodyDiv w:val="1"/>
      <w:marLeft w:val="0"/>
      <w:marRight w:val="0"/>
      <w:marTop w:val="0"/>
      <w:marBottom w:val="0"/>
      <w:divBdr>
        <w:top w:val="none" w:sz="0" w:space="0" w:color="auto"/>
        <w:left w:val="none" w:sz="0" w:space="0" w:color="auto"/>
        <w:bottom w:val="none" w:sz="0" w:space="0" w:color="auto"/>
        <w:right w:val="none" w:sz="0" w:space="0" w:color="auto"/>
      </w:divBdr>
    </w:div>
    <w:div w:id="1169369728">
      <w:bodyDiv w:val="1"/>
      <w:marLeft w:val="0"/>
      <w:marRight w:val="0"/>
      <w:marTop w:val="0"/>
      <w:marBottom w:val="0"/>
      <w:divBdr>
        <w:top w:val="none" w:sz="0" w:space="0" w:color="auto"/>
        <w:left w:val="none" w:sz="0" w:space="0" w:color="auto"/>
        <w:bottom w:val="none" w:sz="0" w:space="0" w:color="auto"/>
        <w:right w:val="none" w:sz="0" w:space="0" w:color="auto"/>
      </w:divBdr>
    </w:div>
    <w:div w:id="1169712979">
      <w:bodyDiv w:val="1"/>
      <w:marLeft w:val="0"/>
      <w:marRight w:val="0"/>
      <w:marTop w:val="0"/>
      <w:marBottom w:val="0"/>
      <w:divBdr>
        <w:top w:val="none" w:sz="0" w:space="0" w:color="auto"/>
        <w:left w:val="none" w:sz="0" w:space="0" w:color="auto"/>
        <w:bottom w:val="none" w:sz="0" w:space="0" w:color="auto"/>
        <w:right w:val="none" w:sz="0" w:space="0" w:color="auto"/>
      </w:divBdr>
    </w:div>
    <w:div w:id="1170028513">
      <w:bodyDiv w:val="1"/>
      <w:marLeft w:val="0"/>
      <w:marRight w:val="0"/>
      <w:marTop w:val="0"/>
      <w:marBottom w:val="0"/>
      <w:divBdr>
        <w:top w:val="none" w:sz="0" w:space="0" w:color="auto"/>
        <w:left w:val="none" w:sz="0" w:space="0" w:color="auto"/>
        <w:bottom w:val="none" w:sz="0" w:space="0" w:color="auto"/>
        <w:right w:val="none" w:sz="0" w:space="0" w:color="auto"/>
      </w:divBdr>
    </w:div>
    <w:div w:id="1170216868">
      <w:bodyDiv w:val="1"/>
      <w:marLeft w:val="0"/>
      <w:marRight w:val="0"/>
      <w:marTop w:val="0"/>
      <w:marBottom w:val="0"/>
      <w:divBdr>
        <w:top w:val="none" w:sz="0" w:space="0" w:color="auto"/>
        <w:left w:val="none" w:sz="0" w:space="0" w:color="auto"/>
        <w:bottom w:val="none" w:sz="0" w:space="0" w:color="auto"/>
        <w:right w:val="none" w:sz="0" w:space="0" w:color="auto"/>
      </w:divBdr>
    </w:div>
    <w:div w:id="1170219415">
      <w:bodyDiv w:val="1"/>
      <w:marLeft w:val="0"/>
      <w:marRight w:val="0"/>
      <w:marTop w:val="0"/>
      <w:marBottom w:val="0"/>
      <w:divBdr>
        <w:top w:val="none" w:sz="0" w:space="0" w:color="auto"/>
        <w:left w:val="none" w:sz="0" w:space="0" w:color="auto"/>
        <w:bottom w:val="none" w:sz="0" w:space="0" w:color="auto"/>
        <w:right w:val="none" w:sz="0" w:space="0" w:color="auto"/>
      </w:divBdr>
    </w:div>
    <w:div w:id="1170369112">
      <w:bodyDiv w:val="1"/>
      <w:marLeft w:val="0"/>
      <w:marRight w:val="0"/>
      <w:marTop w:val="0"/>
      <w:marBottom w:val="0"/>
      <w:divBdr>
        <w:top w:val="none" w:sz="0" w:space="0" w:color="auto"/>
        <w:left w:val="none" w:sz="0" w:space="0" w:color="auto"/>
        <w:bottom w:val="none" w:sz="0" w:space="0" w:color="auto"/>
        <w:right w:val="none" w:sz="0" w:space="0" w:color="auto"/>
      </w:divBdr>
    </w:div>
    <w:div w:id="1170369290">
      <w:bodyDiv w:val="1"/>
      <w:marLeft w:val="0"/>
      <w:marRight w:val="0"/>
      <w:marTop w:val="0"/>
      <w:marBottom w:val="0"/>
      <w:divBdr>
        <w:top w:val="none" w:sz="0" w:space="0" w:color="auto"/>
        <w:left w:val="none" w:sz="0" w:space="0" w:color="auto"/>
        <w:bottom w:val="none" w:sz="0" w:space="0" w:color="auto"/>
        <w:right w:val="none" w:sz="0" w:space="0" w:color="auto"/>
      </w:divBdr>
    </w:div>
    <w:div w:id="1170410776">
      <w:bodyDiv w:val="1"/>
      <w:marLeft w:val="0"/>
      <w:marRight w:val="0"/>
      <w:marTop w:val="0"/>
      <w:marBottom w:val="0"/>
      <w:divBdr>
        <w:top w:val="none" w:sz="0" w:space="0" w:color="auto"/>
        <w:left w:val="none" w:sz="0" w:space="0" w:color="auto"/>
        <w:bottom w:val="none" w:sz="0" w:space="0" w:color="auto"/>
        <w:right w:val="none" w:sz="0" w:space="0" w:color="auto"/>
      </w:divBdr>
    </w:div>
    <w:div w:id="1170411040">
      <w:bodyDiv w:val="1"/>
      <w:marLeft w:val="0"/>
      <w:marRight w:val="0"/>
      <w:marTop w:val="0"/>
      <w:marBottom w:val="0"/>
      <w:divBdr>
        <w:top w:val="none" w:sz="0" w:space="0" w:color="auto"/>
        <w:left w:val="none" w:sz="0" w:space="0" w:color="auto"/>
        <w:bottom w:val="none" w:sz="0" w:space="0" w:color="auto"/>
        <w:right w:val="none" w:sz="0" w:space="0" w:color="auto"/>
      </w:divBdr>
    </w:div>
    <w:div w:id="1170563113">
      <w:bodyDiv w:val="1"/>
      <w:marLeft w:val="0"/>
      <w:marRight w:val="0"/>
      <w:marTop w:val="0"/>
      <w:marBottom w:val="0"/>
      <w:divBdr>
        <w:top w:val="none" w:sz="0" w:space="0" w:color="auto"/>
        <w:left w:val="none" w:sz="0" w:space="0" w:color="auto"/>
        <w:bottom w:val="none" w:sz="0" w:space="0" w:color="auto"/>
        <w:right w:val="none" w:sz="0" w:space="0" w:color="auto"/>
      </w:divBdr>
    </w:div>
    <w:div w:id="1170676616">
      <w:bodyDiv w:val="1"/>
      <w:marLeft w:val="0"/>
      <w:marRight w:val="0"/>
      <w:marTop w:val="0"/>
      <w:marBottom w:val="0"/>
      <w:divBdr>
        <w:top w:val="none" w:sz="0" w:space="0" w:color="auto"/>
        <w:left w:val="none" w:sz="0" w:space="0" w:color="auto"/>
        <w:bottom w:val="none" w:sz="0" w:space="0" w:color="auto"/>
        <w:right w:val="none" w:sz="0" w:space="0" w:color="auto"/>
      </w:divBdr>
    </w:div>
    <w:div w:id="1170827290">
      <w:bodyDiv w:val="1"/>
      <w:marLeft w:val="0"/>
      <w:marRight w:val="0"/>
      <w:marTop w:val="0"/>
      <w:marBottom w:val="0"/>
      <w:divBdr>
        <w:top w:val="none" w:sz="0" w:space="0" w:color="auto"/>
        <w:left w:val="none" w:sz="0" w:space="0" w:color="auto"/>
        <w:bottom w:val="none" w:sz="0" w:space="0" w:color="auto"/>
        <w:right w:val="none" w:sz="0" w:space="0" w:color="auto"/>
      </w:divBdr>
    </w:div>
    <w:div w:id="1170827306">
      <w:bodyDiv w:val="1"/>
      <w:marLeft w:val="0"/>
      <w:marRight w:val="0"/>
      <w:marTop w:val="0"/>
      <w:marBottom w:val="0"/>
      <w:divBdr>
        <w:top w:val="none" w:sz="0" w:space="0" w:color="auto"/>
        <w:left w:val="none" w:sz="0" w:space="0" w:color="auto"/>
        <w:bottom w:val="none" w:sz="0" w:space="0" w:color="auto"/>
        <w:right w:val="none" w:sz="0" w:space="0" w:color="auto"/>
      </w:divBdr>
    </w:div>
    <w:div w:id="1170946791">
      <w:bodyDiv w:val="1"/>
      <w:marLeft w:val="0"/>
      <w:marRight w:val="0"/>
      <w:marTop w:val="0"/>
      <w:marBottom w:val="0"/>
      <w:divBdr>
        <w:top w:val="none" w:sz="0" w:space="0" w:color="auto"/>
        <w:left w:val="none" w:sz="0" w:space="0" w:color="auto"/>
        <w:bottom w:val="none" w:sz="0" w:space="0" w:color="auto"/>
        <w:right w:val="none" w:sz="0" w:space="0" w:color="auto"/>
      </w:divBdr>
    </w:div>
    <w:div w:id="1171065274">
      <w:bodyDiv w:val="1"/>
      <w:marLeft w:val="0"/>
      <w:marRight w:val="0"/>
      <w:marTop w:val="0"/>
      <w:marBottom w:val="0"/>
      <w:divBdr>
        <w:top w:val="none" w:sz="0" w:space="0" w:color="auto"/>
        <w:left w:val="none" w:sz="0" w:space="0" w:color="auto"/>
        <w:bottom w:val="none" w:sz="0" w:space="0" w:color="auto"/>
        <w:right w:val="none" w:sz="0" w:space="0" w:color="auto"/>
      </w:divBdr>
    </w:div>
    <w:div w:id="1171068165">
      <w:bodyDiv w:val="1"/>
      <w:marLeft w:val="0"/>
      <w:marRight w:val="0"/>
      <w:marTop w:val="0"/>
      <w:marBottom w:val="0"/>
      <w:divBdr>
        <w:top w:val="none" w:sz="0" w:space="0" w:color="auto"/>
        <w:left w:val="none" w:sz="0" w:space="0" w:color="auto"/>
        <w:bottom w:val="none" w:sz="0" w:space="0" w:color="auto"/>
        <w:right w:val="none" w:sz="0" w:space="0" w:color="auto"/>
      </w:divBdr>
    </w:div>
    <w:div w:id="1171408067">
      <w:bodyDiv w:val="1"/>
      <w:marLeft w:val="0"/>
      <w:marRight w:val="0"/>
      <w:marTop w:val="0"/>
      <w:marBottom w:val="0"/>
      <w:divBdr>
        <w:top w:val="none" w:sz="0" w:space="0" w:color="auto"/>
        <w:left w:val="none" w:sz="0" w:space="0" w:color="auto"/>
        <w:bottom w:val="none" w:sz="0" w:space="0" w:color="auto"/>
        <w:right w:val="none" w:sz="0" w:space="0" w:color="auto"/>
      </w:divBdr>
    </w:div>
    <w:div w:id="1171413643">
      <w:bodyDiv w:val="1"/>
      <w:marLeft w:val="0"/>
      <w:marRight w:val="0"/>
      <w:marTop w:val="0"/>
      <w:marBottom w:val="0"/>
      <w:divBdr>
        <w:top w:val="none" w:sz="0" w:space="0" w:color="auto"/>
        <w:left w:val="none" w:sz="0" w:space="0" w:color="auto"/>
        <w:bottom w:val="none" w:sz="0" w:space="0" w:color="auto"/>
        <w:right w:val="none" w:sz="0" w:space="0" w:color="auto"/>
      </w:divBdr>
    </w:div>
    <w:div w:id="1171530194">
      <w:bodyDiv w:val="1"/>
      <w:marLeft w:val="0"/>
      <w:marRight w:val="0"/>
      <w:marTop w:val="0"/>
      <w:marBottom w:val="0"/>
      <w:divBdr>
        <w:top w:val="none" w:sz="0" w:space="0" w:color="auto"/>
        <w:left w:val="none" w:sz="0" w:space="0" w:color="auto"/>
        <w:bottom w:val="none" w:sz="0" w:space="0" w:color="auto"/>
        <w:right w:val="none" w:sz="0" w:space="0" w:color="auto"/>
      </w:divBdr>
    </w:div>
    <w:div w:id="1171599604">
      <w:bodyDiv w:val="1"/>
      <w:marLeft w:val="0"/>
      <w:marRight w:val="0"/>
      <w:marTop w:val="0"/>
      <w:marBottom w:val="0"/>
      <w:divBdr>
        <w:top w:val="none" w:sz="0" w:space="0" w:color="auto"/>
        <w:left w:val="none" w:sz="0" w:space="0" w:color="auto"/>
        <w:bottom w:val="none" w:sz="0" w:space="0" w:color="auto"/>
        <w:right w:val="none" w:sz="0" w:space="0" w:color="auto"/>
      </w:divBdr>
    </w:div>
    <w:div w:id="1171600904">
      <w:bodyDiv w:val="1"/>
      <w:marLeft w:val="0"/>
      <w:marRight w:val="0"/>
      <w:marTop w:val="0"/>
      <w:marBottom w:val="0"/>
      <w:divBdr>
        <w:top w:val="none" w:sz="0" w:space="0" w:color="auto"/>
        <w:left w:val="none" w:sz="0" w:space="0" w:color="auto"/>
        <w:bottom w:val="none" w:sz="0" w:space="0" w:color="auto"/>
        <w:right w:val="none" w:sz="0" w:space="0" w:color="auto"/>
      </w:divBdr>
    </w:div>
    <w:div w:id="1171601946">
      <w:bodyDiv w:val="1"/>
      <w:marLeft w:val="0"/>
      <w:marRight w:val="0"/>
      <w:marTop w:val="0"/>
      <w:marBottom w:val="0"/>
      <w:divBdr>
        <w:top w:val="none" w:sz="0" w:space="0" w:color="auto"/>
        <w:left w:val="none" w:sz="0" w:space="0" w:color="auto"/>
        <w:bottom w:val="none" w:sz="0" w:space="0" w:color="auto"/>
        <w:right w:val="none" w:sz="0" w:space="0" w:color="auto"/>
      </w:divBdr>
    </w:div>
    <w:div w:id="1171719000">
      <w:bodyDiv w:val="1"/>
      <w:marLeft w:val="0"/>
      <w:marRight w:val="0"/>
      <w:marTop w:val="0"/>
      <w:marBottom w:val="0"/>
      <w:divBdr>
        <w:top w:val="none" w:sz="0" w:space="0" w:color="auto"/>
        <w:left w:val="none" w:sz="0" w:space="0" w:color="auto"/>
        <w:bottom w:val="none" w:sz="0" w:space="0" w:color="auto"/>
        <w:right w:val="none" w:sz="0" w:space="0" w:color="auto"/>
      </w:divBdr>
    </w:div>
    <w:div w:id="1171798945">
      <w:bodyDiv w:val="1"/>
      <w:marLeft w:val="0"/>
      <w:marRight w:val="0"/>
      <w:marTop w:val="0"/>
      <w:marBottom w:val="0"/>
      <w:divBdr>
        <w:top w:val="none" w:sz="0" w:space="0" w:color="auto"/>
        <w:left w:val="none" w:sz="0" w:space="0" w:color="auto"/>
        <w:bottom w:val="none" w:sz="0" w:space="0" w:color="auto"/>
        <w:right w:val="none" w:sz="0" w:space="0" w:color="auto"/>
      </w:divBdr>
    </w:div>
    <w:div w:id="1171869459">
      <w:bodyDiv w:val="1"/>
      <w:marLeft w:val="0"/>
      <w:marRight w:val="0"/>
      <w:marTop w:val="0"/>
      <w:marBottom w:val="0"/>
      <w:divBdr>
        <w:top w:val="none" w:sz="0" w:space="0" w:color="auto"/>
        <w:left w:val="none" w:sz="0" w:space="0" w:color="auto"/>
        <w:bottom w:val="none" w:sz="0" w:space="0" w:color="auto"/>
        <w:right w:val="none" w:sz="0" w:space="0" w:color="auto"/>
      </w:divBdr>
    </w:div>
    <w:div w:id="1171943232">
      <w:bodyDiv w:val="1"/>
      <w:marLeft w:val="0"/>
      <w:marRight w:val="0"/>
      <w:marTop w:val="0"/>
      <w:marBottom w:val="0"/>
      <w:divBdr>
        <w:top w:val="none" w:sz="0" w:space="0" w:color="auto"/>
        <w:left w:val="none" w:sz="0" w:space="0" w:color="auto"/>
        <w:bottom w:val="none" w:sz="0" w:space="0" w:color="auto"/>
        <w:right w:val="none" w:sz="0" w:space="0" w:color="auto"/>
      </w:divBdr>
    </w:div>
    <w:div w:id="1171992012">
      <w:bodyDiv w:val="1"/>
      <w:marLeft w:val="0"/>
      <w:marRight w:val="0"/>
      <w:marTop w:val="0"/>
      <w:marBottom w:val="0"/>
      <w:divBdr>
        <w:top w:val="none" w:sz="0" w:space="0" w:color="auto"/>
        <w:left w:val="none" w:sz="0" w:space="0" w:color="auto"/>
        <w:bottom w:val="none" w:sz="0" w:space="0" w:color="auto"/>
        <w:right w:val="none" w:sz="0" w:space="0" w:color="auto"/>
      </w:divBdr>
    </w:div>
    <w:div w:id="1172065160">
      <w:bodyDiv w:val="1"/>
      <w:marLeft w:val="0"/>
      <w:marRight w:val="0"/>
      <w:marTop w:val="0"/>
      <w:marBottom w:val="0"/>
      <w:divBdr>
        <w:top w:val="none" w:sz="0" w:space="0" w:color="auto"/>
        <w:left w:val="none" w:sz="0" w:space="0" w:color="auto"/>
        <w:bottom w:val="none" w:sz="0" w:space="0" w:color="auto"/>
        <w:right w:val="none" w:sz="0" w:space="0" w:color="auto"/>
      </w:divBdr>
    </w:div>
    <w:div w:id="1172138787">
      <w:bodyDiv w:val="1"/>
      <w:marLeft w:val="0"/>
      <w:marRight w:val="0"/>
      <w:marTop w:val="0"/>
      <w:marBottom w:val="0"/>
      <w:divBdr>
        <w:top w:val="none" w:sz="0" w:space="0" w:color="auto"/>
        <w:left w:val="none" w:sz="0" w:space="0" w:color="auto"/>
        <w:bottom w:val="none" w:sz="0" w:space="0" w:color="auto"/>
        <w:right w:val="none" w:sz="0" w:space="0" w:color="auto"/>
      </w:divBdr>
    </w:div>
    <w:div w:id="1172139169">
      <w:bodyDiv w:val="1"/>
      <w:marLeft w:val="0"/>
      <w:marRight w:val="0"/>
      <w:marTop w:val="0"/>
      <w:marBottom w:val="0"/>
      <w:divBdr>
        <w:top w:val="none" w:sz="0" w:space="0" w:color="auto"/>
        <w:left w:val="none" w:sz="0" w:space="0" w:color="auto"/>
        <w:bottom w:val="none" w:sz="0" w:space="0" w:color="auto"/>
        <w:right w:val="none" w:sz="0" w:space="0" w:color="auto"/>
      </w:divBdr>
    </w:div>
    <w:div w:id="1172256073">
      <w:bodyDiv w:val="1"/>
      <w:marLeft w:val="0"/>
      <w:marRight w:val="0"/>
      <w:marTop w:val="0"/>
      <w:marBottom w:val="0"/>
      <w:divBdr>
        <w:top w:val="none" w:sz="0" w:space="0" w:color="auto"/>
        <w:left w:val="none" w:sz="0" w:space="0" w:color="auto"/>
        <w:bottom w:val="none" w:sz="0" w:space="0" w:color="auto"/>
        <w:right w:val="none" w:sz="0" w:space="0" w:color="auto"/>
      </w:divBdr>
    </w:div>
    <w:div w:id="1172333216">
      <w:bodyDiv w:val="1"/>
      <w:marLeft w:val="0"/>
      <w:marRight w:val="0"/>
      <w:marTop w:val="0"/>
      <w:marBottom w:val="0"/>
      <w:divBdr>
        <w:top w:val="none" w:sz="0" w:space="0" w:color="auto"/>
        <w:left w:val="none" w:sz="0" w:space="0" w:color="auto"/>
        <w:bottom w:val="none" w:sz="0" w:space="0" w:color="auto"/>
        <w:right w:val="none" w:sz="0" w:space="0" w:color="auto"/>
      </w:divBdr>
    </w:div>
    <w:div w:id="1172373638">
      <w:bodyDiv w:val="1"/>
      <w:marLeft w:val="0"/>
      <w:marRight w:val="0"/>
      <w:marTop w:val="0"/>
      <w:marBottom w:val="0"/>
      <w:divBdr>
        <w:top w:val="none" w:sz="0" w:space="0" w:color="auto"/>
        <w:left w:val="none" w:sz="0" w:space="0" w:color="auto"/>
        <w:bottom w:val="none" w:sz="0" w:space="0" w:color="auto"/>
        <w:right w:val="none" w:sz="0" w:space="0" w:color="auto"/>
      </w:divBdr>
    </w:div>
    <w:div w:id="1172450952">
      <w:bodyDiv w:val="1"/>
      <w:marLeft w:val="0"/>
      <w:marRight w:val="0"/>
      <w:marTop w:val="0"/>
      <w:marBottom w:val="0"/>
      <w:divBdr>
        <w:top w:val="none" w:sz="0" w:space="0" w:color="auto"/>
        <w:left w:val="none" w:sz="0" w:space="0" w:color="auto"/>
        <w:bottom w:val="none" w:sz="0" w:space="0" w:color="auto"/>
        <w:right w:val="none" w:sz="0" w:space="0" w:color="auto"/>
      </w:divBdr>
    </w:div>
    <w:div w:id="1172525245">
      <w:bodyDiv w:val="1"/>
      <w:marLeft w:val="0"/>
      <w:marRight w:val="0"/>
      <w:marTop w:val="0"/>
      <w:marBottom w:val="0"/>
      <w:divBdr>
        <w:top w:val="none" w:sz="0" w:space="0" w:color="auto"/>
        <w:left w:val="none" w:sz="0" w:space="0" w:color="auto"/>
        <w:bottom w:val="none" w:sz="0" w:space="0" w:color="auto"/>
        <w:right w:val="none" w:sz="0" w:space="0" w:color="auto"/>
      </w:divBdr>
    </w:div>
    <w:div w:id="1172599490">
      <w:bodyDiv w:val="1"/>
      <w:marLeft w:val="0"/>
      <w:marRight w:val="0"/>
      <w:marTop w:val="0"/>
      <w:marBottom w:val="0"/>
      <w:divBdr>
        <w:top w:val="none" w:sz="0" w:space="0" w:color="auto"/>
        <w:left w:val="none" w:sz="0" w:space="0" w:color="auto"/>
        <w:bottom w:val="none" w:sz="0" w:space="0" w:color="auto"/>
        <w:right w:val="none" w:sz="0" w:space="0" w:color="auto"/>
      </w:divBdr>
    </w:div>
    <w:div w:id="1172795160">
      <w:bodyDiv w:val="1"/>
      <w:marLeft w:val="0"/>
      <w:marRight w:val="0"/>
      <w:marTop w:val="0"/>
      <w:marBottom w:val="0"/>
      <w:divBdr>
        <w:top w:val="none" w:sz="0" w:space="0" w:color="auto"/>
        <w:left w:val="none" w:sz="0" w:space="0" w:color="auto"/>
        <w:bottom w:val="none" w:sz="0" w:space="0" w:color="auto"/>
        <w:right w:val="none" w:sz="0" w:space="0" w:color="auto"/>
      </w:divBdr>
    </w:div>
    <w:div w:id="1172795342">
      <w:bodyDiv w:val="1"/>
      <w:marLeft w:val="0"/>
      <w:marRight w:val="0"/>
      <w:marTop w:val="0"/>
      <w:marBottom w:val="0"/>
      <w:divBdr>
        <w:top w:val="none" w:sz="0" w:space="0" w:color="auto"/>
        <w:left w:val="none" w:sz="0" w:space="0" w:color="auto"/>
        <w:bottom w:val="none" w:sz="0" w:space="0" w:color="auto"/>
        <w:right w:val="none" w:sz="0" w:space="0" w:color="auto"/>
      </w:divBdr>
    </w:div>
    <w:div w:id="1172989851">
      <w:bodyDiv w:val="1"/>
      <w:marLeft w:val="0"/>
      <w:marRight w:val="0"/>
      <w:marTop w:val="0"/>
      <w:marBottom w:val="0"/>
      <w:divBdr>
        <w:top w:val="none" w:sz="0" w:space="0" w:color="auto"/>
        <w:left w:val="none" w:sz="0" w:space="0" w:color="auto"/>
        <w:bottom w:val="none" w:sz="0" w:space="0" w:color="auto"/>
        <w:right w:val="none" w:sz="0" w:space="0" w:color="auto"/>
      </w:divBdr>
    </w:div>
    <w:div w:id="1173031849">
      <w:bodyDiv w:val="1"/>
      <w:marLeft w:val="0"/>
      <w:marRight w:val="0"/>
      <w:marTop w:val="0"/>
      <w:marBottom w:val="0"/>
      <w:divBdr>
        <w:top w:val="none" w:sz="0" w:space="0" w:color="auto"/>
        <w:left w:val="none" w:sz="0" w:space="0" w:color="auto"/>
        <w:bottom w:val="none" w:sz="0" w:space="0" w:color="auto"/>
        <w:right w:val="none" w:sz="0" w:space="0" w:color="auto"/>
      </w:divBdr>
    </w:div>
    <w:div w:id="1173106438">
      <w:bodyDiv w:val="1"/>
      <w:marLeft w:val="0"/>
      <w:marRight w:val="0"/>
      <w:marTop w:val="0"/>
      <w:marBottom w:val="0"/>
      <w:divBdr>
        <w:top w:val="none" w:sz="0" w:space="0" w:color="auto"/>
        <w:left w:val="none" w:sz="0" w:space="0" w:color="auto"/>
        <w:bottom w:val="none" w:sz="0" w:space="0" w:color="auto"/>
        <w:right w:val="none" w:sz="0" w:space="0" w:color="auto"/>
      </w:divBdr>
    </w:div>
    <w:div w:id="1173179937">
      <w:bodyDiv w:val="1"/>
      <w:marLeft w:val="0"/>
      <w:marRight w:val="0"/>
      <w:marTop w:val="0"/>
      <w:marBottom w:val="0"/>
      <w:divBdr>
        <w:top w:val="none" w:sz="0" w:space="0" w:color="auto"/>
        <w:left w:val="none" w:sz="0" w:space="0" w:color="auto"/>
        <w:bottom w:val="none" w:sz="0" w:space="0" w:color="auto"/>
        <w:right w:val="none" w:sz="0" w:space="0" w:color="auto"/>
      </w:divBdr>
    </w:div>
    <w:div w:id="1173181998">
      <w:bodyDiv w:val="1"/>
      <w:marLeft w:val="0"/>
      <w:marRight w:val="0"/>
      <w:marTop w:val="0"/>
      <w:marBottom w:val="0"/>
      <w:divBdr>
        <w:top w:val="none" w:sz="0" w:space="0" w:color="auto"/>
        <w:left w:val="none" w:sz="0" w:space="0" w:color="auto"/>
        <w:bottom w:val="none" w:sz="0" w:space="0" w:color="auto"/>
        <w:right w:val="none" w:sz="0" w:space="0" w:color="auto"/>
      </w:divBdr>
    </w:div>
    <w:div w:id="1173451429">
      <w:bodyDiv w:val="1"/>
      <w:marLeft w:val="0"/>
      <w:marRight w:val="0"/>
      <w:marTop w:val="0"/>
      <w:marBottom w:val="0"/>
      <w:divBdr>
        <w:top w:val="none" w:sz="0" w:space="0" w:color="auto"/>
        <w:left w:val="none" w:sz="0" w:space="0" w:color="auto"/>
        <w:bottom w:val="none" w:sz="0" w:space="0" w:color="auto"/>
        <w:right w:val="none" w:sz="0" w:space="0" w:color="auto"/>
      </w:divBdr>
    </w:div>
    <w:div w:id="1173495536">
      <w:bodyDiv w:val="1"/>
      <w:marLeft w:val="0"/>
      <w:marRight w:val="0"/>
      <w:marTop w:val="0"/>
      <w:marBottom w:val="0"/>
      <w:divBdr>
        <w:top w:val="none" w:sz="0" w:space="0" w:color="auto"/>
        <w:left w:val="none" w:sz="0" w:space="0" w:color="auto"/>
        <w:bottom w:val="none" w:sz="0" w:space="0" w:color="auto"/>
        <w:right w:val="none" w:sz="0" w:space="0" w:color="auto"/>
      </w:divBdr>
    </w:div>
    <w:div w:id="1173495672">
      <w:bodyDiv w:val="1"/>
      <w:marLeft w:val="0"/>
      <w:marRight w:val="0"/>
      <w:marTop w:val="0"/>
      <w:marBottom w:val="0"/>
      <w:divBdr>
        <w:top w:val="none" w:sz="0" w:space="0" w:color="auto"/>
        <w:left w:val="none" w:sz="0" w:space="0" w:color="auto"/>
        <w:bottom w:val="none" w:sz="0" w:space="0" w:color="auto"/>
        <w:right w:val="none" w:sz="0" w:space="0" w:color="auto"/>
      </w:divBdr>
    </w:div>
    <w:div w:id="1173648831">
      <w:bodyDiv w:val="1"/>
      <w:marLeft w:val="0"/>
      <w:marRight w:val="0"/>
      <w:marTop w:val="0"/>
      <w:marBottom w:val="0"/>
      <w:divBdr>
        <w:top w:val="none" w:sz="0" w:space="0" w:color="auto"/>
        <w:left w:val="none" w:sz="0" w:space="0" w:color="auto"/>
        <w:bottom w:val="none" w:sz="0" w:space="0" w:color="auto"/>
        <w:right w:val="none" w:sz="0" w:space="0" w:color="auto"/>
      </w:divBdr>
    </w:div>
    <w:div w:id="1173911093">
      <w:bodyDiv w:val="1"/>
      <w:marLeft w:val="0"/>
      <w:marRight w:val="0"/>
      <w:marTop w:val="0"/>
      <w:marBottom w:val="0"/>
      <w:divBdr>
        <w:top w:val="none" w:sz="0" w:space="0" w:color="auto"/>
        <w:left w:val="none" w:sz="0" w:space="0" w:color="auto"/>
        <w:bottom w:val="none" w:sz="0" w:space="0" w:color="auto"/>
        <w:right w:val="none" w:sz="0" w:space="0" w:color="auto"/>
      </w:divBdr>
    </w:div>
    <w:div w:id="1174033215">
      <w:bodyDiv w:val="1"/>
      <w:marLeft w:val="0"/>
      <w:marRight w:val="0"/>
      <w:marTop w:val="0"/>
      <w:marBottom w:val="0"/>
      <w:divBdr>
        <w:top w:val="none" w:sz="0" w:space="0" w:color="auto"/>
        <w:left w:val="none" w:sz="0" w:space="0" w:color="auto"/>
        <w:bottom w:val="none" w:sz="0" w:space="0" w:color="auto"/>
        <w:right w:val="none" w:sz="0" w:space="0" w:color="auto"/>
      </w:divBdr>
    </w:div>
    <w:div w:id="1174108363">
      <w:bodyDiv w:val="1"/>
      <w:marLeft w:val="0"/>
      <w:marRight w:val="0"/>
      <w:marTop w:val="0"/>
      <w:marBottom w:val="0"/>
      <w:divBdr>
        <w:top w:val="none" w:sz="0" w:space="0" w:color="auto"/>
        <w:left w:val="none" w:sz="0" w:space="0" w:color="auto"/>
        <w:bottom w:val="none" w:sz="0" w:space="0" w:color="auto"/>
        <w:right w:val="none" w:sz="0" w:space="0" w:color="auto"/>
      </w:divBdr>
    </w:div>
    <w:div w:id="1174109434">
      <w:bodyDiv w:val="1"/>
      <w:marLeft w:val="0"/>
      <w:marRight w:val="0"/>
      <w:marTop w:val="0"/>
      <w:marBottom w:val="0"/>
      <w:divBdr>
        <w:top w:val="none" w:sz="0" w:space="0" w:color="auto"/>
        <w:left w:val="none" w:sz="0" w:space="0" w:color="auto"/>
        <w:bottom w:val="none" w:sz="0" w:space="0" w:color="auto"/>
        <w:right w:val="none" w:sz="0" w:space="0" w:color="auto"/>
      </w:divBdr>
    </w:div>
    <w:div w:id="1174224960">
      <w:bodyDiv w:val="1"/>
      <w:marLeft w:val="0"/>
      <w:marRight w:val="0"/>
      <w:marTop w:val="0"/>
      <w:marBottom w:val="0"/>
      <w:divBdr>
        <w:top w:val="none" w:sz="0" w:space="0" w:color="auto"/>
        <w:left w:val="none" w:sz="0" w:space="0" w:color="auto"/>
        <w:bottom w:val="none" w:sz="0" w:space="0" w:color="auto"/>
        <w:right w:val="none" w:sz="0" w:space="0" w:color="auto"/>
      </w:divBdr>
    </w:div>
    <w:div w:id="1174347144">
      <w:bodyDiv w:val="1"/>
      <w:marLeft w:val="0"/>
      <w:marRight w:val="0"/>
      <w:marTop w:val="0"/>
      <w:marBottom w:val="0"/>
      <w:divBdr>
        <w:top w:val="none" w:sz="0" w:space="0" w:color="auto"/>
        <w:left w:val="none" w:sz="0" w:space="0" w:color="auto"/>
        <w:bottom w:val="none" w:sz="0" w:space="0" w:color="auto"/>
        <w:right w:val="none" w:sz="0" w:space="0" w:color="auto"/>
      </w:divBdr>
    </w:div>
    <w:div w:id="1174422181">
      <w:bodyDiv w:val="1"/>
      <w:marLeft w:val="0"/>
      <w:marRight w:val="0"/>
      <w:marTop w:val="0"/>
      <w:marBottom w:val="0"/>
      <w:divBdr>
        <w:top w:val="none" w:sz="0" w:space="0" w:color="auto"/>
        <w:left w:val="none" w:sz="0" w:space="0" w:color="auto"/>
        <w:bottom w:val="none" w:sz="0" w:space="0" w:color="auto"/>
        <w:right w:val="none" w:sz="0" w:space="0" w:color="auto"/>
      </w:divBdr>
    </w:div>
    <w:div w:id="1174801322">
      <w:bodyDiv w:val="1"/>
      <w:marLeft w:val="0"/>
      <w:marRight w:val="0"/>
      <w:marTop w:val="0"/>
      <w:marBottom w:val="0"/>
      <w:divBdr>
        <w:top w:val="none" w:sz="0" w:space="0" w:color="auto"/>
        <w:left w:val="none" w:sz="0" w:space="0" w:color="auto"/>
        <w:bottom w:val="none" w:sz="0" w:space="0" w:color="auto"/>
        <w:right w:val="none" w:sz="0" w:space="0" w:color="auto"/>
      </w:divBdr>
    </w:div>
    <w:div w:id="1174808146">
      <w:bodyDiv w:val="1"/>
      <w:marLeft w:val="0"/>
      <w:marRight w:val="0"/>
      <w:marTop w:val="0"/>
      <w:marBottom w:val="0"/>
      <w:divBdr>
        <w:top w:val="none" w:sz="0" w:space="0" w:color="auto"/>
        <w:left w:val="none" w:sz="0" w:space="0" w:color="auto"/>
        <w:bottom w:val="none" w:sz="0" w:space="0" w:color="auto"/>
        <w:right w:val="none" w:sz="0" w:space="0" w:color="auto"/>
      </w:divBdr>
    </w:div>
    <w:div w:id="1174883085">
      <w:bodyDiv w:val="1"/>
      <w:marLeft w:val="0"/>
      <w:marRight w:val="0"/>
      <w:marTop w:val="0"/>
      <w:marBottom w:val="0"/>
      <w:divBdr>
        <w:top w:val="none" w:sz="0" w:space="0" w:color="auto"/>
        <w:left w:val="none" w:sz="0" w:space="0" w:color="auto"/>
        <w:bottom w:val="none" w:sz="0" w:space="0" w:color="auto"/>
        <w:right w:val="none" w:sz="0" w:space="0" w:color="auto"/>
      </w:divBdr>
    </w:div>
    <w:div w:id="1174959068">
      <w:bodyDiv w:val="1"/>
      <w:marLeft w:val="0"/>
      <w:marRight w:val="0"/>
      <w:marTop w:val="0"/>
      <w:marBottom w:val="0"/>
      <w:divBdr>
        <w:top w:val="none" w:sz="0" w:space="0" w:color="auto"/>
        <w:left w:val="none" w:sz="0" w:space="0" w:color="auto"/>
        <w:bottom w:val="none" w:sz="0" w:space="0" w:color="auto"/>
        <w:right w:val="none" w:sz="0" w:space="0" w:color="auto"/>
      </w:divBdr>
    </w:div>
    <w:div w:id="1175027044">
      <w:bodyDiv w:val="1"/>
      <w:marLeft w:val="0"/>
      <w:marRight w:val="0"/>
      <w:marTop w:val="0"/>
      <w:marBottom w:val="0"/>
      <w:divBdr>
        <w:top w:val="none" w:sz="0" w:space="0" w:color="auto"/>
        <w:left w:val="none" w:sz="0" w:space="0" w:color="auto"/>
        <w:bottom w:val="none" w:sz="0" w:space="0" w:color="auto"/>
        <w:right w:val="none" w:sz="0" w:space="0" w:color="auto"/>
      </w:divBdr>
    </w:div>
    <w:div w:id="1175151937">
      <w:bodyDiv w:val="1"/>
      <w:marLeft w:val="0"/>
      <w:marRight w:val="0"/>
      <w:marTop w:val="0"/>
      <w:marBottom w:val="0"/>
      <w:divBdr>
        <w:top w:val="none" w:sz="0" w:space="0" w:color="auto"/>
        <w:left w:val="none" w:sz="0" w:space="0" w:color="auto"/>
        <w:bottom w:val="none" w:sz="0" w:space="0" w:color="auto"/>
        <w:right w:val="none" w:sz="0" w:space="0" w:color="auto"/>
      </w:divBdr>
    </w:div>
    <w:div w:id="1175270544">
      <w:bodyDiv w:val="1"/>
      <w:marLeft w:val="0"/>
      <w:marRight w:val="0"/>
      <w:marTop w:val="0"/>
      <w:marBottom w:val="0"/>
      <w:divBdr>
        <w:top w:val="none" w:sz="0" w:space="0" w:color="auto"/>
        <w:left w:val="none" w:sz="0" w:space="0" w:color="auto"/>
        <w:bottom w:val="none" w:sz="0" w:space="0" w:color="auto"/>
        <w:right w:val="none" w:sz="0" w:space="0" w:color="auto"/>
      </w:divBdr>
    </w:div>
    <w:div w:id="1175339606">
      <w:bodyDiv w:val="1"/>
      <w:marLeft w:val="0"/>
      <w:marRight w:val="0"/>
      <w:marTop w:val="0"/>
      <w:marBottom w:val="0"/>
      <w:divBdr>
        <w:top w:val="none" w:sz="0" w:space="0" w:color="auto"/>
        <w:left w:val="none" w:sz="0" w:space="0" w:color="auto"/>
        <w:bottom w:val="none" w:sz="0" w:space="0" w:color="auto"/>
        <w:right w:val="none" w:sz="0" w:space="0" w:color="auto"/>
      </w:divBdr>
    </w:div>
    <w:div w:id="1175412398">
      <w:bodyDiv w:val="1"/>
      <w:marLeft w:val="0"/>
      <w:marRight w:val="0"/>
      <w:marTop w:val="0"/>
      <w:marBottom w:val="0"/>
      <w:divBdr>
        <w:top w:val="none" w:sz="0" w:space="0" w:color="auto"/>
        <w:left w:val="none" w:sz="0" w:space="0" w:color="auto"/>
        <w:bottom w:val="none" w:sz="0" w:space="0" w:color="auto"/>
        <w:right w:val="none" w:sz="0" w:space="0" w:color="auto"/>
      </w:divBdr>
    </w:div>
    <w:div w:id="1175414544">
      <w:bodyDiv w:val="1"/>
      <w:marLeft w:val="0"/>
      <w:marRight w:val="0"/>
      <w:marTop w:val="0"/>
      <w:marBottom w:val="0"/>
      <w:divBdr>
        <w:top w:val="none" w:sz="0" w:space="0" w:color="auto"/>
        <w:left w:val="none" w:sz="0" w:space="0" w:color="auto"/>
        <w:bottom w:val="none" w:sz="0" w:space="0" w:color="auto"/>
        <w:right w:val="none" w:sz="0" w:space="0" w:color="auto"/>
      </w:divBdr>
    </w:div>
    <w:div w:id="1175417548">
      <w:bodyDiv w:val="1"/>
      <w:marLeft w:val="0"/>
      <w:marRight w:val="0"/>
      <w:marTop w:val="0"/>
      <w:marBottom w:val="0"/>
      <w:divBdr>
        <w:top w:val="none" w:sz="0" w:space="0" w:color="auto"/>
        <w:left w:val="none" w:sz="0" w:space="0" w:color="auto"/>
        <w:bottom w:val="none" w:sz="0" w:space="0" w:color="auto"/>
        <w:right w:val="none" w:sz="0" w:space="0" w:color="auto"/>
      </w:divBdr>
    </w:div>
    <w:div w:id="1175418429">
      <w:bodyDiv w:val="1"/>
      <w:marLeft w:val="0"/>
      <w:marRight w:val="0"/>
      <w:marTop w:val="0"/>
      <w:marBottom w:val="0"/>
      <w:divBdr>
        <w:top w:val="none" w:sz="0" w:space="0" w:color="auto"/>
        <w:left w:val="none" w:sz="0" w:space="0" w:color="auto"/>
        <w:bottom w:val="none" w:sz="0" w:space="0" w:color="auto"/>
        <w:right w:val="none" w:sz="0" w:space="0" w:color="auto"/>
      </w:divBdr>
    </w:div>
    <w:div w:id="1175463500">
      <w:bodyDiv w:val="1"/>
      <w:marLeft w:val="0"/>
      <w:marRight w:val="0"/>
      <w:marTop w:val="0"/>
      <w:marBottom w:val="0"/>
      <w:divBdr>
        <w:top w:val="none" w:sz="0" w:space="0" w:color="auto"/>
        <w:left w:val="none" w:sz="0" w:space="0" w:color="auto"/>
        <w:bottom w:val="none" w:sz="0" w:space="0" w:color="auto"/>
        <w:right w:val="none" w:sz="0" w:space="0" w:color="auto"/>
      </w:divBdr>
    </w:div>
    <w:div w:id="1175533521">
      <w:bodyDiv w:val="1"/>
      <w:marLeft w:val="0"/>
      <w:marRight w:val="0"/>
      <w:marTop w:val="0"/>
      <w:marBottom w:val="0"/>
      <w:divBdr>
        <w:top w:val="none" w:sz="0" w:space="0" w:color="auto"/>
        <w:left w:val="none" w:sz="0" w:space="0" w:color="auto"/>
        <w:bottom w:val="none" w:sz="0" w:space="0" w:color="auto"/>
        <w:right w:val="none" w:sz="0" w:space="0" w:color="auto"/>
      </w:divBdr>
    </w:div>
    <w:div w:id="1175535739">
      <w:bodyDiv w:val="1"/>
      <w:marLeft w:val="0"/>
      <w:marRight w:val="0"/>
      <w:marTop w:val="0"/>
      <w:marBottom w:val="0"/>
      <w:divBdr>
        <w:top w:val="none" w:sz="0" w:space="0" w:color="auto"/>
        <w:left w:val="none" w:sz="0" w:space="0" w:color="auto"/>
        <w:bottom w:val="none" w:sz="0" w:space="0" w:color="auto"/>
        <w:right w:val="none" w:sz="0" w:space="0" w:color="auto"/>
      </w:divBdr>
    </w:div>
    <w:div w:id="1175802906">
      <w:bodyDiv w:val="1"/>
      <w:marLeft w:val="0"/>
      <w:marRight w:val="0"/>
      <w:marTop w:val="0"/>
      <w:marBottom w:val="0"/>
      <w:divBdr>
        <w:top w:val="none" w:sz="0" w:space="0" w:color="auto"/>
        <w:left w:val="none" w:sz="0" w:space="0" w:color="auto"/>
        <w:bottom w:val="none" w:sz="0" w:space="0" w:color="auto"/>
        <w:right w:val="none" w:sz="0" w:space="0" w:color="auto"/>
      </w:divBdr>
    </w:div>
    <w:div w:id="1175850887">
      <w:bodyDiv w:val="1"/>
      <w:marLeft w:val="0"/>
      <w:marRight w:val="0"/>
      <w:marTop w:val="0"/>
      <w:marBottom w:val="0"/>
      <w:divBdr>
        <w:top w:val="none" w:sz="0" w:space="0" w:color="auto"/>
        <w:left w:val="none" w:sz="0" w:space="0" w:color="auto"/>
        <w:bottom w:val="none" w:sz="0" w:space="0" w:color="auto"/>
        <w:right w:val="none" w:sz="0" w:space="0" w:color="auto"/>
      </w:divBdr>
    </w:div>
    <w:div w:id="1175877924">
      <w:bodyDiv w:val="1"/>
      <w:marLeft w:val="0"/>
      <w:marRight w:val="0"/>
      <w:marTop w:val="0"/>
      <w:marBottom w:val="0"/>
      <w:divBdr>
        <w:top w:val="none" w:sz="0" w:space="0" w:color="auto"/>
        <w:left w:val="none" w:sz="0" w:space="0" w:color="auto"/>
        <w:bottom w:val="none" w:sz="0" w:space="0" w:color="auto"/>
        <w:right w:val="none" w:sz="0" w:space="0" w:color="auto"/>
      </w:divBdr>
    </w:div>
    <w:div w:id="1175925841">
      <w:bodyDiv w:val="1"/>
      <w:marLeft w:val="0"/>
      <w:marRight w:val="0"/>
      <w:marTop w:val="0"/>
      <w:marBottom w:val="0"/>
      <w:divBdr>
        <w:top w:val="none" w:sz="0" w:space="0" w:color="auto"/>
        <w:left w:val="none" w:sz="0" w:space="0" w:color="auto"/>
        <w:bottom w:val="none" w:sz="0" w:space="0" w:color="auto"/>
        <w:right w:val="none" w:sz="0" w:space="0" w:color="auto"/>
      </w:divBdr>
    </w:div>
    <w:div w:id="1176000552">
      <w:bodyDiv w:val="1"/>
      <w:marLeft w:val="0"/>
      <w:marRight w:val="0"/>
      <w:marTop w:val="0"/>
      <w:marBottom w:val="0"/>
      <w:divBdr>
        <w:top w:val="none" w:sz="0" w:space="0" w:color="auto"/>
        <w:left w:val="none" w:sz="0" w:space="0" w:color="auto"/>
        <w:bottom w:val="none" w:sz="0" w:space="0" w:color="auto"/>
        <w:right w:val="none" w:sz="0" w:space="0" w:color="auto"/>
      </w:divBdr>
    </w:div>
    <w:div w:id="1176071249">
      <w:bodyDiv w:val="1"/>
      <w:marLeft w:val="0"/>
      <w:marRight w:val="0"/>
      <w:marTop w:val="0"/>
      <w:marBottom w:val="0"/>
      <w:divBdr>
        <w:top w:val="none" w:sz="0" w:space="0" w:color="auto"/>
        <w:left w:val="none" w:sz="0" w:space="0" w:color="auto"/>
        <w:bottom w:val="none" w:sz="0" w:space="0" w:color="auto"/>
        <w:right w:val="none" w:sz="0" w:space="0" w:color="auto"/>
      </w:divBdr>
    </w:div>
    <w:div w:id="1176073247">
      <w:bodyDiv w:val="1"/>
      <w:marLeft w:val="0"/>
      <w:marRight w:val="0"/>
      <w:marTop w:val="0"/>
      <w:marBottom w:val="0"/>
      <w:divBdr>
        <w:top w:val="none" w:sz="0" w:space="0" w:color="auto"/>
        <w:left w:val="none" w:sz="0" w:space="0" w:color="auto"/>
        <w:bottom w:val="none" w:sz="0" w:space="0" w:color="auto"/>
        <w:right w:val="none" w:sz="0" w:space="0" w:color="auto"/>
      </w:divBdr>
    </w:div>
    <w:div w:id="1176074574">
      <w:bodyDiv w:val="1"/>
      <w:marLeft w:val="0"/>
      <w:marRight w:val="0"/>
      <w:marTop w:val="0"/>
      <w:marBottom w:val="0"/>
      <w:divBdr>
        <w:top w:val="none" w:sz="0" w:space="0" w:color="auto"/>
        <w:left w:val="none" w:sz="0" w:space="0" w:color="auto"/>
        <w:bottom w:val="none" w:sz="0" w:space="0" w:color="auto"/>
        <w:right w:val="none" w:sz="0" w:space="0" w:color="auto"/>
      </w:divBdr>
    </w:div>
    <w:div w:id="1176114017">
      <w:bodyDiv w:val="1"/>
      <w:marLeft w:val="0"/>
      <w:marRight w:val="0"/>
      <w:marTop w:val="0"/>
      <w:marBottom w:val="0"/>
      <w:divBdr>
        <w:top w:val="none" w:sz="0" w:space="0" w:color="auto"/>
        <w:left w:val="none" w:sz="0" w:space="0" w:color="auto"/>
        <w:bottom w:val="none" w:sz="0" w:space="0" w:color="auto"/>
        <w:right w:val="none" w:sz="0" w:space="0" w:color="auto"/>
      </w:divBdr>
    </w:div>
    <w:div w:id="1176191214">
      <w:bodyDiv w:val="1"/>
      <w:marLeft w:val="0"/>
      <w:marRight w:val="0"/>
      <w:marTop w:val="0"/>
      <w:marBottom w:val="0"/>
      <w:divBdr>
        <w:top w:val="none" w:sz="0" w:space="0" w:color="auto"/>
        <w:left w:val="none" w:sz="0" w:space="0" w:color="auto"/>
        <w:bottom w:val="none" w:sz="0" w:space="0" w:color="auto"/>
        <w:right w:val="none" w:sz="0" w:space="0" w:color="auto"/>
      </w:divBdr>
    </w:div>
    <w:div w:id="1176336085">
      <w:bodyDiv w:val="1"/>
      <w:marLeft w:val="0"/>
      <w:marRight w:val="0"/>
      <w:marTop w:val="0"/>
      <w:marBottom w:val="0"/>
      <w:divBdr>
        <w:top w:val="none" w:sz="0" w:space="0" w:color="auto"/>
        <w:left w:val="none" w:sz="0" w:space="0" w:color="auto"/>
        <w:bottom w:val="none" w:sz="0" w:space="0" w:color="auto"/>
        <w:right w:val="none" w:sz="0" w:space="0" w:color="auto"/>
      </w:divBdr>
    </w:div>
    <w:div w:id="1176534424">
      <w:bodyDiv w:val="1"/>
      <w:marLeft w:val="0"/>
      <w:marRight w:val="0"/>
      <w:marTop w:val="0"/>
      <w:marBottom w:val="0"/>
      <w:divBdr>
        <w:top w:val="none" w:sz="0" w:space="0" w:color="auto"/>
        <w:left w:val="none" w:sz="0" w:space="0" w:color="auto"/>
        <w:bottom w:val="none" w:sz="0" w:space="0" w:color="auto"/>
        <w:right w:val="none" w:sz="0" w:space="0" w:color="auto"/>
      </w:divBdr>
    </w:div>
    <w:div w:id="1176650303">
      <w:bodyDiv w:val="1"/>
      <w:marLeft w:val="0"/>
      <w:marRight w:val="0"/>
      <w:marTop w:val="0"/>
      <w:marBottom w:val="0"/>
      <w:divBdr>
        <w:top w:val="none" w:sz="0" w:space="0" w:color="auto"/>
        <w:left w:val="none" w:sz="0" w:space="0" w:color="auto"/>
        <w:bottom w:val="none" w:sz="0" w:space="0" w:color="auto"/>
        <w:right w:val="none" w:sz="0" w:space="0" w:color="auto"/>
      </w:divBdr>
    </w:div>
    <w:div w:id="1176769944">
      <w:bodyDiv w:val="1"/>
      <w:marLeft w:val="0"/>
      <w:marRight w:val="0"/>
      <w:marTop w:val="0"/>
      <w:marBottom w:val="0"/>
      <w:divBdr>
        <w:top w:val="none" w:sz="0" w:space="0" w:color="auto"/>
        <w:left w:val="none" w:sz="0" w:space="0" w:color="auto"/>
        <w:bottom w:val="none" w:sz="0" w:space="0" w:color="auto"/>
        <w:right w:val="none" w:sz="0" w:space="0" w:color="auto"/>
      </w:divBdr>
    </w:div>
    <w:div w:id="1176847931">
      <w:bodyDiv w:val="1"/>
      <w:marLeft w:val="0"/>
      <w:marRight w:val="0"/>
      <w:marTop w:val="0"/>
      <w:marBottom w:val="0"/>
      <w:divBdr>
        <w:top w:val="none" w:sz="0" w:space="0" w:color="auto"/>
        <w:left w:val="none" w:sz="0" w:space="0" w:color="auto"/>
        <w:bottom w:val="none" w:sz="0" w:space="0" w:color="auto"/>
        <w:right w:val="none" w:sz="0" w:space="0" w:color="auto"/>
      </w:divBdr>
    </w:div>
    <w:div w:id="1176849771">
      <w:bodyDiv w:val="1"/>
      <w:marLeft w:val="0"/>
      <w:marRight w:val="0"/>
      <w:marTop w:val="0"/>
      <w:marBottom w:val="0"/>
      <w:divBdr>
        <w:top w:val="none" w:sz="0" w:space="0" w:color="auto"/>
        <w:left w:val="none" w:sz="0" w:space="0" w:color="auto"/>
        <w:bottom w:val="none" w:sz="0" w:space="0" w:color="auto"/>
        <w:right w:val="none" w:sz="0" w:space="0" w:color="auto"/>
      </w:divBdr>
    </w:div>
    <w:div w:id="1176963163">
      <w:bodyDiv w:val="1"/>
      <w:marLeft w:val="0"/>
      <w:marRight w:val="0"/>
      <w:marTop w:val="0"/>
      <w:marBottom w:val="0"/>
      <w:divBdr>
        <w:top w:val="none" w:sz="0" w:space="0" w:color="auto"/>
        <w:left w:val="none" w:sz="0" w:space="0" w:color="auto"/>
        <w:bottom w:val="none" w:sz="0" w:space="0" w:color="auto"/>
        <w:right w:val="none" w:sz="0" w:space="0" w:color="auto"/>
      </w:divBdr>
    </w:div>
    <w:div w:id="1176992832">
      <w:bodyDiv w:val="1"/>
      <w:marLeft w:val="0"/>
      <w:marRight w:val="0"/>
      <w:marTop w:val="0"/>
      <w:marBottom w:val="0"/>
      <w:divBdr>
        <w:top w:val="none" w:sz="0" w:space="0" w:color="auto"/>
        <w:left w:val="none" w:sz="0" w:space="0" w:color="auto"/>
        <w:bottom w:val="none" w:sz="0" w:space="0" w:color="auto"/>
        <w:right w:val="none" w:sz="0" w:space="0" w:color="auto"/>
      </w:divBdr>
    </w:div>
    <w:div w:id="1177036288">
      <w:bodyDiv w:val="1"/>
      <w:marLeft w:val="0"/>
      <w:marRight w:val="0"/>
      <w:marTop w:val="0"/>
      <w:marBottom w:val="0"/>
      <w:divBdr>
        <w:top w:val="none" w:sz="0" w:space="0" w:color="auto"/>
        <w:left w:val="none" w:sz="0" w:space="0" w:color="auto"/>
        <w:bottom w:val="none" w:sz="0" w:space="0" w:color="auto"/>
        <w:right w:val="none" w:sz="0" w:space="0" w:color="auto"/>
      </w:divBdr>
    </w:div>
    <w:div w:id="1177114863">
      <w:bodyDiv w:val="1"/>
      <w:marLeft w:val="0"/>
      <w:marRight w:val="0"/>
      <w:marTop w:val="0"/>
      <w:marBottom w:val="0"/>
      <w:divBdr>
        <w:top w:val="none" w:sz="0" w:space="0" w:color="auto"/>
        <w:left w:val="none" w:sz="0" w:space="0" w:color="auto"/>
        <w:bottom w:val="none" w:sz="0" w:space="0" w:color="auto"/>
        <w:right w:val="none" w:sz="0" w:space="0" w:color="auto"/>
      </w:divBdr>
    </w:div>
    <w:div w:id="1177229367">
      <w:bodyDiv w:val="1"/>
      <w:marLeft w:val="0"/>
      <w:marRight w:val="0"/>
      <w:marTop w:val="0"/>
      <w:marBottom w:val="0"/>
      <w:divBdr>
        <w:top w:val="none" w:sz="0" w:space="0" w:color="auto"/>
        <w:left w:val="none" w:sz="0" w:space="0" w:color="auto"/>
        <w:bottom w:val="none" w:sz="0" w:space="0" w:color="auto"/>
        <w:right w:val="none" w:sz="0" w:space="0" w:color="auto"/>
      </w:divBdr>
    </w:div>
    <w:div w:id="1177233933">
      <w:bodyDiv w:val="1"/>
      <w:marLeft w:val="0"/>
      <w:marRight w:val="0"/>
      <w:marTop w:val="0"/>
      <w:marBottom w:val="0"/>
      <w:divBdr>
        <w:top w:val="none" w:sz="0" w:space="0" w:color="auto"/>
        <w:left w:val="none" w:sz="0" w:space="0" w:color="auto"/>
        <w:bottom w:val="none" w:sz="0" w:space="0" w:color="auto"/>
        <w:right w:val="none" w:sz="0" w:space="0" w:color="auto"/>
      </w:divBdr>
    </w:div>
    <w:div w:id="1177303544">
      <w:bodyDiv w:val="1"/>
      <w:marLeft w:val="0"/>
      <w:marRight w:val="0"/>
      <w:marTop w:val="0"/>
      <w:marBottom w:val="0"/>
      <w:divBdr>
        <w:top w:val="none" w:sz="0" w:space="0" w:color="auto"/>
        <w:left w:val="none" w:sz="0" w:space="0" w:color="auto"/>
        <w:bottom w:val="none" w:sz="0" w:space="0" w:color="auto"/>
        <w:right w:val="none" w:sz="0" w:space="0" w:color="auto"/>
      </w:divBdr>
    </w:div>
    <w:div w:id="1177305403">
      <w:bodyDiv w:val="1"/>
      <w:marLeft w:val="0"/>
      <w:marRight w:val="0"/>
      <w:marTop w:val="0"/>
      <w:marBottom w:val="0"/>
      <w:divBdr>
        <w:top w:val="none" w:sz="0" w:space="0" w:color="auto"/>
        <w:left w:val="none" w:sz="0" w:space="0" w:color="auto"/>
        <w:bottom w:val="none" w:sz="0" w:space="0" w:color="auto"/>
        <w:right w:val="none" w:sz="0" w:space="0" w:color="auto"/>
      </w:divBdr>
    </w:div>
    <w:div w:id="1177311127">
      <w:bodyDiv w:val="1"/>
      <w:marLeft w:val="0"/>
      <w:marRight w:val="0"/>
      <w:marTop w:val="0"/>
      <w:marBottom w:val="0"/>
      <w:divBdr>
        <w:top w:val="none" w:sz="0" w:space="0" w:color="auto"/>
        <w:left w:val="none" w:sz="0" w:space="0" w:color="auto"/>
        <w:bottom w:val="none" w:sz="0" w:space="0" w:color="auto"/>
        <w:right w:val="none" w:sz="0" w:space="0" w:color="auto"/>
      </w:divBdr>
    </w:div>
    <w:div w:id="1177378186">
      <w:bodyDiv w:val="1"/>
      <w:marLeft w:val="0"/>
      <w:marRight w:val="0"/>
      <w:marTop w:val="0"/>
      <w:marBottom w:val="0"/>
      <w:divBdr>
        <w:top w:val="none" w:sz="0" w:space="0" w:color="auto"/>
        <w:left w:val="none" w:sz="0" w:space="0" w:color="auto"/>
        <w:bottom w:val="none" w:sz="0" w:space="0" w:color="auto"/>
        <w:right w:val="none" w:sz="0" w:space="0" w:color="auto"/>
      </w:divBdr>
    </w:div>
    <w:div w:id="1177430019">
      <w:bodyDiv w:val="1"/>
      <w:marLeft w:val="0"/>
      <w:marRight w:val="0"/>
      <w:marTop w:val="0"/>
      <w:marBottom w:val="0"/>
      <w:divBdr>
        <w:top w:val="none" w:sz="0" w:space="0" w:color="auto"/>
        <w:left w:val="none" w:sz="0" w:space="0" w:color="auto"/>
        <w:bottom w:val="none" w:sz="0" w:space="0" w:color="auto"/>
        <w:right w:val="none" w:sz="0" w:space="0" w:color="auto"/>
      </w:divBdr>
    </w:div>
    <w:div w:id="1177497278">
      <w:bodyDiv w:val="1"/>
      <w:marLeft w:val="0"/>
      <w:marRight w:val="0"/>
      <w:marTop w:val="0"/>
      <w:marBottom w:val="0"/>
      <w:divBdr>
        <w:top w:val="none" w:sz="0" w:space="0" w:color="auto"/>
        <w:left w:val="none" w:sz="0" w:space="0" w:color="auto"/>
        <w:bottom w:val="none" w:sz="0" w:space="0" w:color="auto"/>
        <w:right w:val="none" w:sz="0" w:space="0" w:color="auto"/>
      </w:divBdr>
    </w:div>
    <w:div w:id="1177573369">
      <w:bodyDiv w:val="1"/>
      <w:marLeft w:val="0"/>
      <w:marRight w:val="0"/>
      <w:marTop w:val="0"/>
      <w:marBottom w:val="0"/>
      <w:divBdr>
        <w:top w:val="none" w:sz="0" w:space="0" w:color="auto"/>
        <w:left w:val="none" w:sz="0" w:space="0" w:color="auto"/>
        <w:bottom w:val="none" w:sz="0" w:space="0" w:color="auto"/>
        <w:right w:val="none" w:sz="0" w:space="0" w:color="auto"/>
      </w:divBdr>
    </w:div>
    <w:div w:id="1177887338">
      <w:bodyDiv w:val="1"/>
      <w:marLeft w:val="0"/>
      <w:marRight w:val="0"/>
      <w:marTop w:val="0"/>
      <w:marBottom w:val="0"/>
      <w:divBdr>
        <w:top w:val="none" w:sz="0" w:space="0" w:color="auto"/>
        <w:left w:val="none" w:sz="0" w:space="0" w:color="auto"/>
        <w:bottom w:val="none" w:sz="0" w:space="0" w:color="auto"/>
        <w:right w:val="none" w:sz="0" w:space="0" w:color="auto"/>
      </w:divBdr>
    </w:div>
    <w:div w:id="1177965493">
      <w:bodyDiv w:val="1"/>
      <w:marLeft w:val="0"/>
      <w:marRight w:val="0"/>
      <w:marTop w:val="0"/>
      <w:marBottom w:val="0"/>
      <w:divBdr>
        <w:top w:val="none" w:sz="0" w:space="0" w:color="auto"/>
        <w:left w:val="none" w:sz="0" w:space="0" w:color="auto"/>
        <w:bottom w:val="none" w:sz="0" w:space="0" w:color="auto"/>
        <w:right w:val="none" w:sz="0" w:space="0" w:color="auto"/>
      </w:divBdr>
    </w:div>
    <w:div w:id="1177966530">
      <w:bodyDiv w:val="1"/>
      <w:marLeft w:val="0"/>
      <w:marRight w:val="0"/>
      <w:marTop w:val="0"/>
      <w:marBottom w:val="0"/>
      <w:divBdr>
        <w:top w:val="none" w:sz="0" w:space="0" w:color="auto"/>
        <w:left w:val="none" w:sz="0" w:space="0" w:color="auto"/>
        <w:bottom w:val="none" w:sz="0" w:space="0" w:color="auto"/>
        <w:right w:val="none" w:sz="0" w:space="0" w:color="auto"/>
      </w:divBdr>
    </w:div>
    <w:div w:id="1178036908">
      <w:bodyDiv w:val="1"/>
      <w:marLeft w:val="0"/>
      <w:marRight w:val="0"/>
      <w:marTop w:val="0"/>
      <w:marBottom w:val="0"/>
      <w:divBdr>
        <w:top w:val="none" w:sz="0" w:space="0" w:color="auto"/>
        <w:left w:val="none" w:sz="0" w:space="0" w:color="auto"/>
        <w:bottom w:val="none" w:sz="0" w:space="0" w:color="auto"/>
        <w:right w:val="none" w:sz="0" w:space="0" w:color="auto"/>
      </w:divBdr>
    </w:div>
    <w:div w:id="1178038790">
      <w:bodyDiv w:val="1"/>
      <w:marLeft w:val="0"/>
      <w:marRight w:val="0"/>
      <w:marTop w:val="0"/>
      <w:marBottom w:val="0"/>
      <w:divBdr>
        <w:top w:val="none" w:sz="0" w:space="0" w:color="auto"/>
        <w:left w:val="none" w:sz="0" w:space="0" w:color="auto"/>
        <w:bottom w:val="none" w:sz="0" w:space="0" w:color="auto"/>
        <w:right w:val="none" w:sz="0" w:space="0" w:color="auto"/>
      </w:divBdr>
    </w:div>
    <w:div w:id="1178078459">
      <w:bodyDiv w:val="1"/>
      <w:marLeft w:val="0"/>
      <w:marRight w:val="0"/>
      <w:marTop w:val="0"/>
      <w:marBottom w:val="0"/>
      <w:divBdr>
        <w:top w:val="none" w:sz="0" w:space="0" w:color="auto"/>
        <w:left w:val="none" w:sz="0" w:space="0" w:color="auto"/>
        <w:bottom w:val="none" w:sz="0" w:space="0" w:color="auto"/>
        <w:right w:val="none" w:sz="0" w:space="0" w:color="auto"/>
      </w:divBdr>
    </w:div>
    <w:div w:id="1178079912">
      <w:bodyDiv w:val="1"/>
      <w:marLeft w:val="0"/>
      <w:marRight w:val="0"/>
      <w:marTop w:val="0"/>
      <w:marBottom w:val="0"/>
      <w:divBdr>
        <w:top w:val="none" w:sz="0" w:space="0" w:color="auto"/>
        <w:left w:val="none" w:sz="0" w:space="0" w:color="auto"/>
        <w:bottom w:val="none" w:sz="0" w:space="0" w:color="auto"/>
        <w:right w:val="none" w:sz="0" w:space="0" w:color="auto"/>
      </w:divBdr>
    </w:div>
    <w:div w:id="1178231529">
      <w:bodyDiv w:val="1"/>
      <w:marLeft w:val="0"/>
      <w:marRight w:val="0"/>
      <w:marTop w:val="0"/>
      <w:marBottom w:val="0"/>
      <w:divBdr>
        <w:top w:val="none" w:sz="0" w:space="0" w:color="auto"/>
        <w:left w:val="none" w:sz="0" w:space="0" w:color="auto"/>
        <w:bottom w:val="none" w:sz="0" w:space="0" w:color="auto"/>
        <w:right w:val="none" w:sz="0" w:space="0" w:color="auto"/>
      </w:divBdr>
    </w:div>
    <w:div w:id="1178273388">
      <w:bodyDiv w:val="1"/>
      <w:marLeft w:val="0"/>
      <w:marRight w:val="0"/>
      <w:marTop w:val="0"/>
      <w:marBottom w:val="0"/>
      <w:divBdr>
        <w:top w:val="none" w:sz="0" w:space="0" w:color="auto"/>
        <w:left w:val="none" w:sz="0" w:space="0" w:color="auto"/>
        <w:bottom w:val="none" w:sz="0" w:space="0" w:color="auto"/>
        <w:right w:val="none" w:sz="0" w:space="0" w:color="auto"/>
      </w:divBdr>
    </w:div>
    <w:div w:id="1178421927">
      <w:bodyDiv w:val="1"/>
      <w:marLeft w:val="0"/>
      <w:marRight w:val="0"/>
      <w:marTop w:val="0"/>
      <w:marBottom w:val="0"/>
      <w:divBdr>
        <w:top w:val="none" w:sz="0" w:space="0" w:color="auto"/>
        <w:left w:val="none" w:sz="0" w:space="0" w:color="auto"/>
        <w:bottom w:val="none" w:sz="0" w:space="0" w:color="auto"/>
        <w:right w:val="none" w:sz="0" w:space="0" w:color="auto"/>
      </w:divBdr>
    </w:div>
    <w:div w:id="1178470517">
      <w:bodyDiv w:val="1"/>
      <w:marLeft w:val="0"/>
      <w:marRight w:val="0"/>
      <w:marTop w:val="0"/>
      <w:marBottom w:val="0"/>
      <w:divBdr>
        <w:top w:val="none" w:sz="0" w:space="0" w:color="auto"/>
        <w:left w:val="none" w:sz="0" w:space="0" w:color="auto"/>
        <w:bottom w:val="none" w:sz="0" w:space="0" w:color="auto"/>
        <w:right w:val="none" w:sz="0" w:space="0" w:color="auto"/>
      </w:divBdr>
    </w:div>
    <w:div w:id="1178497645">
      <w:bodyDiv w:val="1"/>
      <w:marLeft w:val="0"/>
      <w:marRight w:val="0"/>
      <w:marTop w:val="0"/>
      <w:marBottom w:val="0"/>
      <w:divBdr>
        <w:top w:val="none" w:sz="0" w:space="0" w:color="auto"/>
        <w:left w:val="none" w:sz="0" w:space="0" w:color="auto"/>
        <w:bottom w:val="none" w:sz="0" w:space="0" w:color="auto"/>
        <w:right w:val="none" w:sz="0" w:space="0" w:color="auto"/>
      </w:divBdr>
    </w:div>
    <w:div w:id="1178498754">
      <w:bodyDiv w:val="1"/>
      <w:marLeft w:val="0"/>
      <w:marRight w:val="0"/>
      <w:marTop w:val="0"/>
      <w:marBottom w:val="0"/>
      <w:divBdr>
        <w:top w:val="none" w:sz="0" w:space="0" w:color="auto"/>
        <w:left w:val="none" w:sz="0" w:space="0" w:color="auto"/>
        <w:bottom w:val="none" w:sz="0" w:space="0" w:color="auto"/>
        <w:right w:val="none" w:sz="0" w:space="0" w:color="auto"/>
      </w:divBdr>
    </w:div>
    <w:div w:id="1178500314">
      <w:bodyDiv w:val="1"/>
      <w:marLeft w:val="0"/>
      <w:marRight w:val="0"/>
      <w:marTop w:val="0"/>
      <w:marBottom w:val="0"/>
      <w:divBdr>
        <w:top w:val="none" w:sz="0" w:space="0" w:color="auto"/>
        <w:left w:val="none" w:sz="0" w:space="0" w:color="auto"/>
        <w:bottom w:val="none" w:sz="0" w:space="0" w:color="auto"/>
        <w:right w:val="none" w:sz="0" w:space="0" w:color="auto"/>
      </w:divBdr>
    </w:div>
    <w:div w:id="1178500822">
      <w:bodyDiv w:val="1"/>
      <w:marLeft w:val="0"/>
      <w:marRight w:val="0"/>
      <w:marTop w:val="0"/>
      <w:marBottom w:val="0"/>
      <w:divBdr>
        <w:top w:val="none" w:sz="0" w:space="0" w:color="auto"/>
        <w:left w:val="none" w:sz="0" w:space="0" w:color="auto"/>
        <w:bottom w:val="none" w:sz="0" w:space="0" w:color="auto"/>
        <w:right w:val="none" w:sz="0" w:space="0" w:color="auto"/>
      </w:divBdr>
    </w:div>
    <w:div w:id="1178617140">
      <w:bodyDiv w:val="1"/>
      <w:marLeft w:val="0"/>
      <w:marRight w:val="0"/>
      <w:marTop w:val="0"/>
      <w:marBottom w:val="0"/>
      <w:divBdr>
        <w:top w:val="none" w:sz="0" w:space="0" w:color="auto"/>
        <w:left w:val="none" w:sz="0" w:space="0" w:color="auto"/>
        <w:bottom w:val="none" w:sz="0" w:space="0" w:color="auto"/>
        <w:right w:val="none" w:sz="0" w:space="0" w:color="auto"/>
      </w:divBdr>
    </w:div>
    <w:div w:id="1178736833">
      <w:bodyDiv w:val="1"/>
      <w:marLeft w:val="0"/>
      <w:marRight w:val="0"/>
      <w:marTop w:val="0"/>
      <w:marBottom w:val="0"/>
      <w:divBdr>
        <w:top w:val="none" w:sz="0" w:space="0" w:color="auto"/>
        <w:left w:val="none" w:sz="0" w:space="0" w:color="auto"/>
        <w:bottom w:val="none" w:sz="0" w:space="0" w:color="auto"/>
        <w:right w:val="none" w:sz="0" w:space="0" w:color="auto"/>
      </w:divBdr>
    </w:div>
    <w:div w:id="1178809050">
      <w:bodyDiv w:val="1"/>
      <w:marLeft w:val="0"/>
      <w:marRight w:val="0"/>
      <w:marTop w:val="0"/>
      <w:marBottom w:val="0"/>
      <w:divBdr>
        <w:top w:val="none" w:sz="0" w:space="0" w:color="auto"/>
        <w:left w:val="none" w:sz="0" w:space="0" w:color="auto"/>
        <w:bottom w:val="none" w:sz="0" w:space="0" w:color="auto"/>
        <w:right w:val="none" w:sz="0" w:space="0" w:color="auto"/>
      </w:divBdr>
    </w:div>
    <w:div w:id="1178888541">
      <w:bodyDiv w:val="1"/>
      <w:marLeft w:val="0"/>
      <w:marRight w:val="0"/>
      <w:marTop w:val="0"/>
      <w:marBottom w:val="0"/>
      <w:divBdr>
        <w:top w:val="none" w:sz="0" w:space="0" w:color="auto"/>
        <w:left w:val="none" w:sz="0" w:space="0" w:color="auto"/>
        <w:bottom w:val="none" w:sz="0" w:space="0" w:color="auto"/>
        <w:right w:val="none" w:sz="0" w:space="0" w:color="auto"/>
      </w:divBdr>
    </w:div>
    <w:div w:id="1179001090">
      <w:bodyDiv w:val="1"/>
      <w:marLeft w:val="0"/>
      <w:marRight w:val="0"/>
      <w:marTop w:val="0"/>
      <w:marBottom w:val="0"/>
      <w:divBdr>
        <w:top w:val="none" w:sz="0" w:space="0" w:color="auto"/>
        <w:left w:val="none" w:sz="0" w:space="0" w:color="auto"/>
        <w:bottom w:val="none" w:sz="0" w:space="0" w:color="auto"/>
        <w:right w:val="none" w:sz="0" w:space="0" w:color="auto"/>
      </w:divBdr>
    </w:div>
    <w:div w:id="1179080496">
      <w:bodyDiv w:val="1"/>
      <w:marLeft w:val="0"/>
      <w:marRight w:val="0"/>
      <w:marTop w:val="0"/>
      <w:marBottom w:val="0"/>
      <w:divBdr>
        <w:top w:val="none" w:sz="0" w:space="0" w:color="auto"/>
        <w:left w:val="none" w:sz="0" w:space="0" w:color="auto"/>
        <w:bottom w:val="none" w:sz="0" w:space="0" w:color="auto"/>
        <w:right w:val="none" w:sz="0" w:space="0" w:color="auto"/>
      </w:divBdr>
    </w:div>
    <w:div w:id="1179151549">
      <w:bodyDiv w:val="1"/>
      <w:marLeft w:val="0"/>
      <w:marRight w:val="0"/>
      <w:marTop w:val="0"/>
      <w:marBottom w:val="0"/>
      <w:divBdr>
        <w:top w:val="none" w:sz="0" w:space="0" w:color="auto"/>
        <w:left w:val="none" w:sz="0" w:space="0" w:color="auto"/>
        <w:bottom w:val="none" w:sz="0" w:space="0" w:color="auto"/>
        <w:right w:val="none" w:sz="0" w:space="0" w:color="auto"/>
      </w:divBdr>
    </w:div>
    <w:div w:id="1179153688">
      <w:bodyDiv w:val="1"/>
      <w:marLeft w:val="0"/>
      <w:marRight w:val="0"/>
      <w:marTop w:val="0"/>
      <w:marBottom w:val="0"/>
      <w:divBdr>
        <w:top w:val="none" w:sz="0" w:space="0" w:color="auto"/>
        <w:left w:val="none" w:sz="0" w:space="0" w:color="auto"/>
        <w:bottom w:val="none" w:sz="0" w:space="0" w:color="auto"/>
        <w:right w:val="none" w:sz="0" w:space="0" w:color="auto"/>
      </w:divBdr>
    </w:div>
    <w:div w:id="1179193389">
      <w:bodyDiv w:val="1"/>
      <w:marLeft w:val="0"/>
      <w:marRight w:val="0"/>
      <w:marTop w:val="0"/>
      <w:marBottom w:val="0"/>
      <w:divBdr>
        <w:top w:val="none" w:sz="0" w:space="0" w:color="auto"/>
        <w:left w:val="none" w:sz="0" w:space="0" w:color="auto"/>
        <w:bottom w:val="none" w:sz="0" w:space="0" w:color="auto"/>
        <w:right w:val="none" w:sz="0" w:space="0" w:color="auto"/>
      </w:divBdr>
    </w:div>
    <w:div w:id="1179272498">
      <w:bodyDiv w:val="1"/>
      <w:marLeft w:val="0"/>
      <w:marRight w:val="0"/>
      <w:marTop w:val="0"/>
      <w:marBottom w:val="0"/>
      <w:divBdr>
        <w:top w:val="none" w:sz="0" w:space="0" w:color="auto"/>
        <w:left w:val="none" w:sz="0" w:space="0" w:color="auto"/>
        <w:bottom w:val="none" w:sz="0" w:space="0" w:color="auto"/>
        <w:right w:val="none" w:sz="0" w:space="0" w:color="auto"/>
      </w:divBdr>
    </w:div>
    <w:div w:id="1179273187">
      <w:bodyDiv w:val="1"/>
      <w:marLeft w:val="0"/>
      <w:marRight w:val="0"/>
      <w:marTop w:val="0"/>
      <w:marBottom w:val="0"/>
      <w:divBdr>
        <w:top w:val="none" w:sz="0" w:space="0" w:color="auto"/>
        <w:left w:val="none" w:sz="0" w:space="0" w:color="auto"/>
        <w:bottom w:val="none" w:sz="0" w:space="0" w:color="auto"/>
        <w:right w:val="none" w:sz="0" w:space="0" w:color="auto"/>
      </w:divBdr>
    </w:div>
    <w:div w:id="1179391320">
      <w:bodyDiv w:val="1"/>
      <w:marLeft w:val="0"/>
      <w:marRight w:val="0"/>
      <w:marTop w:val="0"/>
      <w:marBottom w:val="0"/>
      <w:divBdr>
        <w:top w:val="none" w:sz="0" w:space="0" w:color="auto"/>
        <w:left w:val="none" w:sz="0" w:space="0" w:color="auto"/>
        <w:bottom w:val="none" w:sz="0" w:space="0" w:color="auto"/>
        <w:right w:val="none" w:sz="0" w:space="0" w:color="auto"/>
      </w:divBdr>
    </w:div>
    <w:div w:id="1179393410">
      <w:bodyDiv w:val="1"/>
      <w:marLeft w:val="0"/>
      <w:marRight w:val="0"/>
      <w:marTop w:val="0"/>
      <w:marBottom w:val="0"/>
      <w:divBdr>
        <w:top w:val="none" w:sz="0" w:space="0" w:color="auto"/>
        <w:left w:val="none" w:sz="0" w:space="0" w:color="auto"/>
        <w:bottom w:val="none" w:sz="0" w:space="0" w:color="auto"/>
        <w:right w:val="none" w:sz="0" w:space="0" w:color="auto"/>
      </w:divBdr>
    </w:div>
    <w:div w:id="1179463430">
      <w:bodyDiv w:val="1"/>
      <w:marLeft w:val="0"/>
      <w:marRight w:val="0"/>
      <w:marTop w:val="0"/>
      <w:marBottom w:val="0"/>
      <w:divBdr>
        <w:top w:val="none" w:sz="0" w:space="0" w:color="auto"/>
        <w:left w:val="none" w:sz="0" w:space="0" w:color="auto"/>
        <w:bottom w:val="none" w:sz="0" w:space="0" w:color="auto"/>
        <w:right w:val="none" w:sz="0" w:space="0" w:color="auto"/>
      </w:divBdr>
    </w:div>
    <w:div w:id="1179582901">
      <w:bodyDiv w:val="1"/>
      <w:marLeft w:val="0"/>
      <w:marRight w:val="0"/>
      <w:marTop w:val="0"/>
      <w:marBottom w:val="0"/>
      <w:divBdr>
        <w:top w:val="none" w:sz="0" w:space="0" w:color="auto"/>
        <w:left w:val="none" w:sz="0" w:space="0" w:color="auto"/>
        <w:bottom w:val="none" w:sz="0" w:space="0" w:color="auto"/>
        <w:right w:val="none" w:sz="0" w:space="0" w:color="auto"/>
      </w:divBdr>
    </w:div>
    <w:div w:id="1179780887">
      <w:bodyDiv w:val="1"/>
      <w:marLeft w:val="0"/>
      <w:marRight w:val="0"/>
      <w:marTop w:val="0"/>
      <w:marBottom w:val="0"/>
      <w:divBdr>
        <w:top w:val="none" w:sz="0" w:space="0" w:color="auto"/>
        <w:left w:val="none" w:sz="0" w:space="0" w:color="auto"/>
        <w:bottom w:val="none" w:sz="0" w:space="0" w:color="auto"/>
        <w:right w:val="none" w:sz="0" w:space="0" w:color="auto"/>
      </w:divBdr>
    </w:div>
    <w:div w:id="1179850442">
      <w:bodyDiv w:val="1"/>
      <w:marLeft w:val="0"/>
      <w:marRight w:val="0"/>
      <w:marTop w:val="0"/>
      <w:marBottom w:val="0"/>
      <w:divBdr>
        <w:top w:val="none" w:sz="0" w:space="0" w:color="auto"/>
        <w:left w:val="none" w:sz="0" w:space="0" w:color="auto"/>
        <w:bottom w:val="none" w:sz="0" w:space="0" w:color="auto"/>
        <w:right w:val="none" w:sz="0" w:space="0" w:color="auto"/>
      </w:divBdr>
    </w:div>
    <w:div w:id="1180004598">
      <w:bodyDiv w:val="1"/>
      <w:marLeft w:val="0"/>
      <w:marRight w:val="0"/>
      <w:marTop w:val="0"/>
      <w:marBottom w:val="0"/>
      <w:divBdr>
        <w:top w:val="none" w:sz="0" w:space="0" w:color="auto"/>
        <w:left w:val="none" w:sz="0" w:space="0" w:color="auto"/>
        <w:bottom w:val="none" w:sz="0" w:space="0" w:color="auto"/>
        <w:right w:val="none" w:sz="0" w:space="0" w:color="auto"/>
      </w:divBdr>
    </w:div>
    <w:div w:id="1180267954">
      <w:bodyDiv w:val="1"/>
      <w:marLeft w:val="0"/>
      <w:marRight w:val="0"/>
      <w:marTop w:val="0"/>
      <w:marBottom w:val="0"/>
      <w:divBdr>
        <w:top w:val="none" w:sz="0" w:space="0" w:color="auto"/>
        <w:left w:val="none" w:sz="0" w:space="0" w:color="auto"/>
        <w:bottom w:val="none" w:sz="0" w:space="0" w:color="auto"/>
        <w:right w:val="none" w:sz="0" w:space="0" w:color="auto"/>
      </w:divBdr>
    </w:div>
    <w:div w:id="1180318924">
      <w:bodyDiv w:val="1"/>
      <w:marLeft w:val="0"/>
      <w:marRight w:val="0"/>
      <w:marTop w:val="0"/>
      <w:marBottom w:val="0"/>
      <w:divBdr>
        <w:top w:val="none" w:sz="0" w:space="0" w:color="auto"/>
        <w:left w:val="none" w:sz="0" w:space="0" w:color="auto"/>
        <w:bottom w:val="none" w:sz="0" w:space="0" w:color="auto"/>
        <w:right w:val="none" w:sz="0" w:space="0" w:color="auto"/>
      </w:divBdr>
    </w:div>
    <w:div w:id="1180435431">
      <w:bodyDiv w:val="1"/>
      <w:marLeft w:val="0"/>
      <w:marRight w:val="0"/>
      <w:marTop w:val="0"/>
      <w:marBottom w:val="0"/>
      <w:divBdr>
        <w:top w:val="none" w:sz="0" w:space="0" w:color="auto"/>
        <w:left w:val="none" w:sz="0" w:space="0" w:color="auto"/>
        <w:bottom w:val="none" w:sz="0" w:space="0" w:color="auto"/>
        <w:right w:val="none" w:sz="0" w:space="0" w:color="auto"/>
      </w:divBdr>
    </w:div>
    <w:div w:id="1180509345">
      <w:bodyDiv w:val="1"/>
      <w:marLeft w:val="0"/>
      <w:marRight w:val="0"/>
      <w:marTop w:val="0"/>
      <w:marBottom w:val="0"/>
      <w:divBdr>
        <w:top w:val="none" w:sz="0" w:space="0" w:color="auto"/>
        <w:left w:val="none" w:sz="0" w:space="0" w:color="auto"/>
        <w:bottom w:val="none" w:sz="0" w:space="0" w:color="auto"/>
        <w:right w:val="none" w:sz="0" w:space="0" w:color="auto"/>
      </w:divBdr>
    </w:div>
    <w:div w:id="1180513232">
      <w:bodyDiv w:val="1"/>
      <w:marLeft w:val="0"/>
      <w:marRight w:val="0"/>
      <w:marTop w:val="0"/>
      <w:marBottom w:val="0"/>
      <w:divBdr>
        <w:top w:val="none" w:sz="0" w:space="0" w:color="auto"/>
        <w:left w:val="none" w:sz="0" w:space="0" w:color="auto"/>
        <w:bottom w:val="none" w:sz="0" w:space="0" w:color="auto"/>
        <w:right w:val="none" w:sz="0" w:space="0" w:color="auto"/>
      </w:divBdr>
    </w:div>
    <w:div w:id="1180581202">
      <w:bodyDiv w:val="1"/>
      <w:marLeft w:val="0"/>
      <w:marRight w:val="0"/>
      <w:marTop w:val="0"/>
      <w:marBottom w:val="0"/>
      <w:divBdr>
        <w:top w:val="none" w:sz="0" w:space="0" w:color="auto"/>
        <w:left w:val="none" w:sz="0" w:space="0" w:color="auto"/>
        <w:bottom w:val="none" w:sz="0" w:space="0" w:color="auto"/>
        <w:right w:val="none" w:sz="0" w:space="0" w:color="auto"/>
      </w:divBdr>
    </w:div>
    <w:div w:id="1180588211">
      <w:bodyDiv w:val="1"/>
      <w:marLeft w:val="0"/>
      <w:marRight w:val="0"/>
      <w:marTop w:val="0"/>
      <w:marBottom w:val="0"/>
      <w:divBdr>
        <w:top w:val="none" w:sz="0" w:space="0" w:color="auto"/>
        <w:left w:val="none" w:sz="0" w:space="0" w:color="auto"/>
        <w:bottom w:val="none" w:sz="0" w:space="0" w:color="auto"/>
        <w:right w:val="none" w:sz="0" w:space="0" w:color="auto"/>
      </w:divBdr>
    </w:div>
    <w:div w:id="1180701343">
      <w:bodyDiv w:val="1"/>
      <w:marLeft w:val="0"/>
      <w:marRight w:val="0"/>
      <w:marTop w:val="0"/>
      <w:marBottom w:val="0"/>
      <w:divBdr>
        <w:top w:val="none" w:sz="0" w:space="0" w:color="auto"/>
        <w:left w:val="none" w:sz="0" w:space="0" w:color="auto"/>
        <w:bottom w:val="none" w:sz="0" w:space="0" w:color="auto"/>
        <w:right w:val="none" w:sz="0" w:space="0" w:color="auto"/>
      </w:divBdr>
    </w:div>
    <w:div w:id="1180778767">
      <w:bodyDiv w:val="1"/>
      <w:marLeft w:val="0"/>
      <w:marRight w:val="0"/>
      <w:marTop w:val="0"/>
      <w:marBottom w:val="0"/>
      <w:divBdr>
        <w:top w:val="none" w:sz="0" w:space="0" w:color="auto"/>
        <w:left w:val="none" w:sz="0" w:space="0" w:color="auto"/>
        <w:bottom w:val="none" w:sz="0" w:space="0" w:color="auto"/>
        <w:right w:val="none" w:sz="0" w:space="0" w:color="auto"/>
      </w:divBdr>
    </w:div>
    <w:div w:id="1180848425">
      <w:bodyDiv w:val="1"/>
      <w:marLeft w:val="0"/>
      <w:marRight w:val="0"/>
      <w:marTop w:val="0"/>
      <w:marBottom w:val="0"/>
      <w:divBdr>
        <w:top w:val="none" w:sz="0" w:space="0" w:color="auto"/>
        <w:left w:val="none" w:sz="0" w:space="0" w:color="auto"/>
        <w:bottom w:val="none" w:sz="0" w:space="0" w:color="auto"/>
        <w:right w:val="none" w:sz="0" w:space="0" w:color="auto"/>
      </w:divBdr>
    </w:div>
    <w:div w:id="1180897877">
      <w:bodyDiv w:val="1"/>
      <w:marLeft w:val="0"/>
      <w:marRight w:val="0"/>
      <w:marTop w:val="0"/>
      <w:marBottom w:val="0"/>
      <w:divBdr>
        <w:top w:val="none" w:sz="0" w:space="0" w:color="auto"/>
        <w:left w:val="none" w:sz="0" w:space="0" w:color="auto"/>
        <w:bottom w:val="none" w:sz="0" w:space="0" w:color="auto"/>
        <w:right w:val="none" w:sz="0" w:space="0" w:color="auto"/>
      </w:divBdr>
    </w:div>
    <w:div w:id="1181041937">
      <w:bodyDiv w:val="1"/>
      <w:marLeft w:val="0"/>
      <w:marRight w:val="0"/>
      <w:marTop w:val="0"/>
      <w:marBottom w:val="0"/>
      <w:divBdr>
        <w:top w:val="none" w:sz="0" w:space="0" w:color="auto"/>
        <w:left w:val="none" w:sz="0" w:space="0" w:color="auto"/>
        <w:bottom w:val="none" w:sz="0" w:space="0" w:color="auto"/>
        <w:right w:val="none" w:sz="0" w:space="0" w:color="auto"/>
      </w:divBdr>
    </w:div>
    <w:div w:id="1181168557">
      <w:bodyDiv w:val="1"/>
      <w:marLeft w:val="0"/>
      <w:marRight w:val="0"/>
      <w:marTop w:val="0"/>
      <w:marBottom w:val="0"/>
      <w:divBdr>
        <w:top w:val="none" w:sz="0" w:space="0" w:color="auto"/>
        <w:left w:val="none" w:sz="0" w:space="0" w:color="auto"/>
        <w:bottom w:val="none" w:sz="0" w:space="0" w:color="auto"/>
        <w:right w:val="none" w:sz="0" w:space="0" w:color="auto"/>
      </w:divBdr>
    </w:div>
    <w:div w:id="1181235269">
      <w:bodyDiv w:val="1"/>
      <w:marLeft w:val="0"/>
      <w:marRight w:val="0"/>
      <w:marTop w:val="0"/>
      <w:marBottom w:val="0"/>
      <w:divBdr>
        <w:top w:val="none" w:sz="0" w:space="0" w:color="auto"/>
        <w:left w:val="none" w:sz="0" w:space="0" w:color="auto"/>
        <w:bottom w:val="none" w:sz="0" w:space="0" w:color="auto"/>
        <w:right w:val="none" w:sz="0" w:space="0" w:color="auto"/>
      </w:divBdr>
    </w:div>
    <w:div w:id="1181309581">
      <w:bodyDiv w:val="1"/>
      <w:marLeft w:val="0"/>
      <w:marRight w:val="0"/>
      <w:marTop w:val="0"/>
      <w:marBottom w:val="0"/>
      <w:divBdr>
        <w:top w:val="none" w:sz="0" w:space="0" w:color="auto"/>
        <w:left w:val="none" w:sz="0" w:space="0" w:color="auto"/>
        <w:bottom w:val="none" w:sz="0" w:space="0" w:color="auto"/>
        <w:right w:val="none" w:sz="0" w:space="0" w:color="auto"/>
      </w:divBdr>
    </w:div>
    <w:div w:id="1181360675">
      <w:bodyDiv w:val="1"/>
      <w:marLeft w:val="0"/>
      <w:marRight w:val="0"/>
      <w:marTop w:val="0"/>
      <w:marBottom w:val="0"/>
      <w:divBdr>
        <w:top w:val="none" w:sz="0" w:space="0" w:color="auto"/>
        <w:left w:val="none" w:sz="0" w:space="0" w:color="auto"/>
        <w:bottom w:val="none" w:sz="0" w:space="0" w:color="auto"/>
        <w:right w:val="none" w:sz="0" w:space="0" w:color="auto"/>
      </w:divBdr>
    </w:div>
    <w:div w:id="1181431312">
      <w:bodyDiv w:val="1"/>
      <w:marLeft w:val="0"/>
      <w:marRight w:val="0"/>
      <w:marTop w:val="0"/>
      <w:marBottom w:val="0"/>
      <w:divBdr>
        <w:top w:val="none" w:sz="0" w:space="0" w:color="auto"/>
        <w:left w:val="none" w:sz="0" w:space="0" w:color="auto"/>
        <w:bottom w:val="none" w:sz="0" w:space="0" w:color="auto"/>
        <w:right w:val="none" w:sz="0" w:space="0" w:color="auto"/>
      </w:divBdr>
    </w:div>
    <w:div w:id="1181630516">
      <w:bodyDiv w:val="1"/>
      <w:marLeft w:val="0"/>
      <w:marRight w:val="0"/>
      <w:marTop w:val="0"/>
      <w:marBottom w:val="0"/>
      <w:divBdr>
        <w:top w:val="none" w:sz="0" w:space="0" w:color="auto"/>
        <w:left w:val="none" w:sz="0" w:space="0" w:color="auto"/>
        <w:bottom w:val="none" w:sz="0" w:space="0" w:color="auto"/>
        <w:right w:val="none" w:sz="0" w:space="0" w:color="auto"/>
      </w:divBdr>
    </w:div>
    <w:div w:id="1181820333">
      <w:bodyDiv w:val="1"/>
      <w:marLeft w:val="0"/>
      <w:marRight w:val="0"/>
      <w:marTop w:val="0"/>
      <w:marBottom w:val="0"/>
      <w:divBdr>
        <w:top w:val="none" w:sz="0" w:space="0" w:color="auto"/>
        <w:left w:val="none" w:sz="0" w:space="0" w:color="auto"/>
        <w:bottom w:val="none" w:sz="0" w:space="0" w:color="auto"/>
        <w:right w:val="none" w:sz="0" w:space="0" w:color="auto"/>
      </w:divBdr>
    </w:div>
    <w:div w:id="1181890388">
      <w:bodyDiv w:val="1"/>
      <w:marLeft w:val="0"/>
      <w:marRight w:val="0"/>
      <w:marTop w:val="0"/>
      <w:marBottom w:val="0"/>
      <w:divBdr>
        <w:top w:val="none" w:sz="0" w:space="0" w:color="auto"/>
        <w:left w:val="none" w:sz="0" w:space="0" w:color="auto"/>
        <w:bottom w:val="none" w:sz="0" w:space="0" w:color="auto"/>
        <w:right w:val="none" w:sz="0" w:space="0" w:color="auto"/>
      </w:divBdr>
    </w:div>
    <w:div w:id="1181893557">
      <w:bodyDiv w:val="1"/>
      <w:marLeft w:val="0"/>
      <w:marRight w:val="0"/>
      <w:marTop w:val="0"/>
      <w:marBottom w:val="0"/>
      <w:divBdr>
        <w:top w:val="none" w:sz="0" w:space="0" w:color="auto"/>
        <w:left w:val="none" w:sz="0" w:space="0" w:color="auto"/>
        <w:bottom w:val="none" w:sz="0" w:space="0" w:color="auto"/>
        <w:right w:val="none" w:sz="0" w:space="0" w:color="auto"/>
      </w:divBdr>
    </w:div>
    <w:div w:id="1182088892">
      <w:bodyDiv w:val="1"/>
      <w:marLeft w:val="0"/>
      <w:marRight w:val="0"/>
      <w:marTop w:val="0"/>
      <w:marBottom w:val="0"/>
      <w:divBdr>
        <w:top w:val="none" w:sz="0" w:space="0" w:color="auto"/>
        <w:left w:val="none" w:sz="0" w:space="0" w:color="auto"/>
        <w:bottom w:val="none" w:sz="0" w:space="0" w:color="auto"/>
        <w:right w:val="none" w:sz="0" w:space="0" w:color="auto"/>
      </w:divBdr>
    </w:div>
    <w:div w:id="1182159983">
      <w:bodyDiv w:val="1"/>
      <w:marLeft w:val="0"/>
      <w:marRight w:val="0"/>
      <w:marTop w:val="0"/>
      <w:marBottom w:val="0"/>
      <w:divBdr>
        <w:top w:val="none" w:sz="0" w:space="0" w:color="auto"/>
        <w:left w:val="none" w:sz="0" w:space="0" w:color="auto"/>
        <w:bottom w:val="none" w:sz="0" w:space="0" w:color="auto"/>
        <w:right w:val="none" w:sz="0" w:space="0" w:color="auto"/>
      </w:divBdr>
    </w:div>
    <w:div w:id="1182161802">
      <w:bodyDiv w:val="1"/>
      <w:marLeft w:val="0"/>
      <w:marRight w:val="0"/>
      <w:marTop w:val="0"/>
      <w:marBottom w:val="0"/>
      <w:divBdr>
        <w:top w:val="none" w:sz="0" w:space="0" w:color="auto"/>
        <w:left w:val="none" w:sz="0" w:space="0" w:color="auto"/>
        <w:bottom w:val="none" w:sz="0" w:space="0" w:color="auto"/>
        <w:right w:val="none" w:sz="0" w:space="0" w:color="auto"/>
      </w:divBdr>
    </w:div>
    <w:div w:id="1182207749">
      <w:bodyDiv w:val="1"/>
      <w:marLeft w:val="0"/>
      <w:marRight w:val="0"/>
      <w:marTop w:val="0"/>
      <w:marBottom w:val="0"/>
      <w:divBdr>
        <w:top w:val="none" w:sz="0" w:space="0" w:color="auto"/>
        <w:left w:val="none" w:sz="0" w:space="0" w:color="auto"/>
        <w:bottom w:val="none" w:sz="0" w:space="0" w:color="auto"/>
        <w:right w:val="none" w:sz="0" w:space="0" w:color="auto"/>
      </w:divBdr>
    </w:div>
    <w:div w:id="1182208119">
      <w:bodyDiv w:val="1"/>
      <w:marLeft w:val="0"/>
      <w:marRight w:val="0"/>
      <w:marTop w:val="0"/>
      <w:marBottom w:val="0"/>
      <w:divBdr>
        <w:top w:val="none" w:sz="0" w:space="0" w:color="auto"/>
        <w:left w:val="none" w:sz="0" w:space="0" w:color="auto"/>
        <w:bottom w:val="none" w:sz="0" w:space="0" w:color="auto"/>
        <w:right w:val="none" w:sz="0" w:space="0" w:color="auto"/>
      </w:divBdr>
    </w:div>
    <w:div w:id="1182233585">
      <w:bodyDiv w:val="1"/>
      <w:marLeft w:val="0"/>
      <w:marRight w:val="0"/>
      <w:marTop w:val="0"/>
      <w:marBottom w:val="0"/>
      <w:divBdr>
        <w:top w:val="none" w:sz="0" w:space="0" w:color="auto"/>
        <w:left w:val="none" w:sz="0" w:space="0" w:color="auto"/>
        <w:bottom w:val="none" w:sz="0" w:space="0" w:color="auto"/>
        <w:right w:val="none" w:sz="0" w:space="0" w:color="auto"/>
      </w:divBdr>
    </w:div>
    <w:div w:id="1182233989">
      <w:bodyDiv w:val="1"/>
      <w:marLeft w:val="0"/>
      <w:marRight w:val="0"/>
      <w:marTop w:val="0"/>
      <w:marBottom w:val="0"/>
      <w:divBdr>
        <w:top w:val="none" w:sz="0" w:space="0" w:color="auto"/>
        <w:left w:val="none" w:sz="0" w:space="0" w:color="auto"/>
        <w:bottom w:val="none" w:sz="0" w:space="0" w:color="auto"/>
        <w:right w:val="none" w:sz="0" w:space="0" w:color="auto"/>
      </w:divBdr>
    </w:div>
    <w:div w:id="1182276825">
      <w:bodyDiv w:val="1"/>
      <w:marLeft w:val="0"/>
      <w:marRight w:val="0"/>
      <w:marTop w:val="0"/>
      <w:marBottom w:val="0"/>
      <w:divBdr>
        <w:top w:val="none" w:sz="0" w:space="0" w:color="auto"/>
        <w:left w:val="none" w:sz="0" w:space="0" w:color="auto"/>
        <w:bottom w:val="none" w:sz="0" w:space="0" w:color="auto"/>
        <w:right w:val="none" w:sz="0" w:space="0" w:color="auto"/>
      </w:divBdr>
    </w:div>
    <w:div w:id="1182354441">
      <w:bodyDiv w:val="1"/>
      <w:marLeft w:val="0"/>
      <w:marRight w:val="0"/>
      <w:marTop w:val="0"/>
      <w:marBottom w:val="0"/>
      <w:divBdr>
        <w:top w:val="none" w:sz="0" w:space="0" w:color="auto"/>
        <w:left w:val="none" w:sz="0" w:space="0" w:color="auto"/>
        <w:bottom w:val="none" w:sz="0" w:space="0" w:color="auto"/>
        <w:right w:val="none" w:sz="0" w:space="0" w:color="auto"/>
      </w:divBdr>
    </w:div>
    <w:div w:id="1182400996">
      <w:bodyDiv w:val="1"/>
      <w:marLeft w:val="0"/>
      <w:marRight w:val="0"/>
      <w:marTop w:val="0"/>
      <w:marBottom w:val="0"/>
      <w:divBdr>
        <w:top w:val="none" w:sz="0" w:space="0" w:color="auto"/>
        <w:left w:val="none" w:sz="0" w:space="0" w:color="auto"/>
        <w:bottom w:val="none" w:sz="0" w:space="0" w:color="auto"/>
        <w:right w:val="none" w:sz="0" w:space="0" w:color="auto"/>
      </w:divBdr>
    </w:div>
    <w:div w:id="1182428262">
      <w:bodyDiv w:val="1"/>
      <w:marLeft w:val="0"/>
      <w:marRight w:val="0"/>
      <w:marTop w:val="0"/>
      <w:marBottom w:val="0"/>
      <w:divBdr>
        <w:top w:val="none" w:sz="0" w:space="0" w:color="auto"/>
        <w:left w:val="none" w:sz="0" w:space="0" w:color="auto"/>
        <w:bottom w:val="none" w:sz="0" w:space="0" w:color="auto"/>
        <w:right w:val="none" w:sz="0" w:space="0" w:color="auto"/>
      </w:divBdr>
    </w:div>
    <w:div w:id="1182472124">
      <w:bodyDiv w:val="1"/>
      <w:marLeft w:val="0"/>
      <w:marRight w:val="0"/>
      <w:marTop w:val="0"/>
      <w:marBottom w:val="0"/>
      <w:divBdr>
        <w:top w:val="none" w:sz="0" w:space="0" w:color="auto"/>
        <w:left w:val="none" w:sz="0" w:space="0" w:color="auto"/>
        <w:bottom w:val="none" w:sz="0" w:space="0" w:color="auto"/>
        <w:right w:val="none" w:sz="0" w:space="0" w:color="auto"/>
      </w:divBdr>
    </w:div>
    <w:div w:id="1182622360">
      <w:bodyDiv w:val="1"/>
      <w:marLeft w:val="0"/>
      <w:marRight w:val="0"/>
      <w:marTop w:val="0"/>
      <w:marBottom w:val="0"/>
      <w:divBdr>
        <w:top w:val="none" w:sz="0" w:space="0" w:color="auto"/>
        <w:left w:val="none" w:sz="0" w:space="0" w:color="auto"/>
        <w:bottom w:val="none" w:sz="0" w:space="0" w:color="auto"/>
        <w:right w:val="none" w:sz="0" w:space="0" w:color="auto"/>
      </w:divBdr>
    </w:div>
    <w:div w:id="1182746503">
      <w:bodyDiv w:val="1"/>
      <w:marLeft w:val="0"/>
      <w:marRight w:val="0"/>
      <w:marTop w:val="0"/>
      <w:marBottom w:val="0"/>
      <w:divBdr>
        <w:top w:val="none" w:sz="0" w:space="0" w:color="auto"/>
        <w:left w:val="none" w:sz="0" w:space="0" w:color="auto"/>
        <w:bottom w:val="none" w:sz="0" w:space="0" w:color="auto"/>
        <w:right w:val="none" w:sz="0" w:space="0" w:color="auto"/>
      </w:divBdr>
    </w:div>
    <w:div w:id="1182814950">
      <w:bodyDiv w:val="1"/>
      <w:marLeft w:val="0"/>
      <w:marRight w:val="0"/>
      <w:marTop w:val="0"/>
      <w:marBottom w:val="0"/>
      <w:divBdr>
        <w:top w:val="none" w:sz="0" w:space="0" w:color="auto"/>
        <w:left w:val="none" w:sz="0" w:space="0" w:color="auto"/>
        <w:bottom w:val="none" w:sz="0" w:space="0" w:color="auto"/>
        <w:right w:val="none" w:sz="0" w:space="0" w:color="auto"/>
      </w:divBdr>
    </w:div>
    <w:div w:id="1182934894">
      <w:bodyDiv w:val="1"/>
      <w:marLeft w:val="0"/>
      <w:marRight w:val="0"/>
      <w:marTop w:val="0"/>
      <w:marBottom w:val="0"/>
      <w:divBdr>
        <w:top w:val="none" w:sz="0" w:space="0" w:color="auto"/>
        <w:left w:val="none" w:sz="0" w:space="0" w:color="auto"/>
        <w:bottom w:val="none" w:sz="0" w:space="0" w:color="auto"/>
        <w:right w:val="none" w:sz="0" w:space="0" w:color="auto"/>
      </w:divBdr>
    </w:div>
    <w:div w:id="1182935467">
      <w:bodyDiv w:val="1"/>
      <w:marLeft w:val="0"/>
      <w:marRight w:val="0"/>
      <w:marTop w:val="0"/>
      <w:marBottom w:val="0"/>
      <w:divBdr>
        <w:top w:val="none" w:sz="0" w:space="0" w:color="auto"/>
        <w:left w:val="none" w:sz="0" w:space="0" w:color="auto"/>
        <w:bottom w:val="none" w:sz="0" w:space="0" w:color="auto"/>
        <w:right w:val="none" w:sz="0" w:space="0" w:color="auto"/>
      </w:divBdr>
    </w:div>
    <w:div w:id="1183011647">
      <w:bodyDiv w:val="1"/>
      <w:marLeft w:val="0"/>
      <w:marRight w:val="0"/>
      <w:marTop w:val="0"/>
      <w:marBottom w:val="0"/>
      <w:divBdr>
        <w:top w:val="none" w:sz="0" w:space="0" w:color="auto"/>
        <w:left w:val="none" w:sz="0" w:space="0" w:color="auto"/>
        <w:bottom w:val="none" w:sz="0" w:space="0" w:color="auto"/>
        <w:right w:val="none" w:sz="0" w:space="0" w:color="auto"/>
      </w:divBdr>
    </w:div>
    <w:div w:id="1183013856">
      <w:bodyDiv w:val="1"/>
      <w:marLeft w:val="0"/>
      <w:marRight w:val="0"/>
      <w:marTop w:val="0"/>
      <w:marBottom w:val="0"/>
      <w:divBdr>
        <w:top w:val="none" w:sz="0" w:space="0" w:color="auto"/>
        <w:left w:val="none" w:sz="0" w:space="0" w:color="auto"/>
        <w:bottom w:val="none" w:sz="0" w:space="0" w:color="auto"/>
        <w:right w:val="none" w:sz="0" w:space="0" w:color="auto"/>
      </w:divBdr>
    </w:div>
    <w:div w:id="1183084111">
      <w:bodyDiv w:val="1"/>
      <w:marLeft w:val="0"/>
      <w:marRight w:val="0"/>
      <w:marTop w:val="0"/>
      <w:marBottom w:val="0"/>
      <w:divBdr>
        <w:top w:val="none" w:sz="0" w:space="0" w:color="auto"/>
        <w:left w:val="none" w:sz="0" w:space="0" w:color="auto"/>
        <w:bottom w:val="none" w:sz="0" w:space="0" w:color="auto"/>
        <w:right w:val="none" w:sz="0" w:space="0" w:color="auto"/>
      </w:divBdr>
    </w:div>
    <w:div w:id="1183086528">
      <w:bodyDiv w:val="1"/>
      <w:marLeft w:val="0"/>
      <w:marRight w:val="0"/>
      <w:marTop w:val="0"/>
      <w:marBottom w:val="0"/>
      <w:divBdr>
        <w:top w:val="none" w:sz="0" w:space="0" w:color="auto"/>
        <w:left w:val="none" w:sz="0" w:space="0" w:color="auto"/>
        <w:bottom w:val="none" w:sz="0" w:space="0" w:color="auto"/>
        <w:right w:val="none" w:sz="0" w:space="0" w:color="auto"/>
      </w:divBdr>
    </w:div>
    <w:div w:id="1183200992">
      <w:bodyDiv w:val="1"/>
      <w:marLeft w:val="0"/>
      <w:marRight w:val="0"/>
      <w:marTop w:val="0"/>
      <w:marBottom w:val="0"/>
      <w:divBdr>
        <w:top w:val="none" w:sz="0" w:space="0" w:color="auto"/>
        <w:left w:val="none" w:sz="0" w:space="0" w:color="auto"/>
        <w:bottom w:val="none" w:sz="0" w:space="0" w:color="auto"/>
        <w:right w:val="none" w:sz="0" w:space="0" w:color="auto"/>
      </w:divBdr>
    </w:div>
    <w:div w:id="1183320753">
      <w:bodyDiv w:val="1"/>
      <w:marLeft w:val="0"/>
      <w:marRight w:val="0"/>
      <w:marTop w:val="0"/>
      <w:marBottom w:val="0"/>
      <w:divBdr>
        <w:top w:val="none" w:sz="0" w:space="0" w:color="auto"/>
        <w:left w:val="none" w:sz="0" w:space="0" w:color="auto"/>
        <w:bottom w:val="none" w:sz="0" w:space="0" w:color="auto"/>
        <w:right w:val="none" w:sz="0" w:space="0" w:color="auto"/>
      </w:divBdr>
    </w:div>
    <w:div w:id="1183322239">
      <w:bodyDiv w:val="1"/>
      <w:marLeft w:val="0"/>
      <w:marRight w:val="0"/>
      <w:marTop w:val="0"/>
      <w:marBottom w:val="0"/>
      <w:divBdr>
        <w:top w:val="none" w:sz="0" w:space="0" w:color="auto"/>
        <w:left w:val="none" w:sz="0" w:space="0" w:color="auto"/>
        <w:bottom w:val="none" w:sz="0" w:space="0" w:color="auto"/>
        <w:right w:val="none" w:sz="0" w:space="0" w:color="auto"/>
      </w:divBdr>
    </w:div>
    <w:div w:id="1183473944">
      <w:bodyDiv w:val="1"/>
      <w:marLeft w:val="0"/>
      <w:marRight w:val="0"/>
      <w:marTop w:val="0"/>
      <w:marBottom w:val="0"/>
      <w:divBdr>
        <w:top w:val="none" w:sz="0" w:space="0" w:color="auto"/>
        <w:left w:val="none" w:sz="0" w:space="0" w:color="auto"/>
        <w:bottom w:val="none" w:sz="0" w:space="0" w:color="auto"/>
        <w:right w:val="none" w:sz="0" w:space="0" w:color="auto"/>
      </w:divBdr>
    </w:div>
    <w:div w:id="1183515743">
      <w:bodyDiv w:val="1"/>
      <w:marLeft w:val="0"/>
      <w:marRight w:val="0"/>
      <w:marTop w:val="0"/>
      <w:marBottom w:val="0"/>
      <w:divBdr>
        <w:top w:val="none" w:sz="0" w:space="0" w:color="auto"/>
        <w:left w:val="none" w:sz="0" w:space="0" w:color="auto"/>
        <w:bottom w:val="none" w:sz="0" w:space="0" w:color="auto"/>
        <w:right w:val="none" w:sz="0" w:space="0" w:color="auto"/>
      </w:divBdr>
    </w:div>
    <w:div w:id="1183515796">
      <w:bodyDiv w:val="1"/>
      <w:marLeft w:val="0"/>
      <w:marRight w:val="0"/>
      <w:marTop w:val="0"/>
      <w:marBottom w:val="0"/>
      <w:divBdr>
        <w:top w:val="none" w:sz="0" w:space="0" w:color="auto"/>
        <w:left w:val="none" w:sz="0" w:space="0" w:color="auto"/>
        <w:bottom w:val="none" w:sz="0" w:space="0" w:color="auto"/>
        <w:right w:val="none" w:sz="0" w:space="0" w:color="auto"/>
      </w:divBdr>
    </w:div>
    <w:div w:id="1183515866">
      <w:bodyDiv w:val="1"/>
      <w:marLeft w:val="0"/>
      <w:marRight w:val="0"/>
      <w:marTop w:val="0"/>
      <w:marBottom w:val="0"/>
      <w:divBdr>
        <w:top w:val="none" w:sz="0" w:space="0" w:color="auto"/>
        <w:left w:val="none" w:sz="0" w:space="0" w:color="auto"/>
        <w:bottom w:val="none" w:sz="0" w:space="0" w:color="auto"/>
        <w:right w:val="none" w:sz="0" w:space="0" w:color="auto"/>
      </w:divBdr>
    </w:div>
    <w:div w:id="1183517373">
      <w:bodyDiv w:val="1"/>
      <w:marLeft w:val="0"/>
      <w:marRight w:val="0"/>
      <w:marTop w:val="0"/>
      <w:marBottom w:val="0"/>
      <w:divBdr>
        <w:top w:val="none" w:sz="0" w:space="0" w:color="auto"/>
        <w:left w:val="none" w:sz="0" w:space="0" w:color="auto"/>
        <w:bottom w:val="none" w:sz="0" w:space="0" w:color="auto"/>
        <w:right w:val="none" w:sz="0" w:space="0" w:color="auto"/>
      </w:divBdr>
    </w:div>
    <w:div w:id="1183519504">
      <w:bodyDiv w:val="1"/>
      <w:marLeft w:val="0"/>
      <w:marRight w:val="0"/>
      <w:marTop w:val="0"/>
      <w:marBottom w:val="0"/>
      <w:divBdr>
        <w:top w:val="none" w:sz="0" w:space="0" w:color="auto"/>
        <w:left w:val="none" w:sz="0" w:space="0" w:color="auto"/>
        <w:bottom w:val="none" w:sz="0" w:space="0" w:color="auto"/>
        <w:right w:val="none" w:sz="0" w:space="0" w:color="auto"/>
      </w:divBdr>
    </w:div>
    <w:div w:id="1183590796">
      <w:bodyDiv w:val="1"/>
      <w:marLeft w:val="0"/>
      <w:marRight w:val="0"/>
      <w:marTop w:val="0"/>
      <w:marBottom w:val="0"/>
      <w:divBdr>
        <w:top w:val="none" w:sz="0" w:space="0" w:color="auto"/>
        <w:left w:val="none" w:sz="0" w:space="0" w:color="auto"/>
        <w:bottom w:val="none" w:sz="0" w:space="0" w:color="auto"/>
        <w:right w:val="none" w:sz="0" w:space="0" w:color="auto"/>
      </w:divBdr>
    </w:div>
    <w:div w:id="1183593811">
      <w:bodyDiv w:val="1"/>
      <w:marLeft w:val="0"/>
      <w:marRight w:val="0"/>
      <w:marTop w:val="0"/>
      <w:marBottom w:val="0"/>
      <w:divBdr>
        <w:top w:val="none" w:sz="0" w:space="0" w:color="auto"/>
        <w:left w:val="none" w:sz="0" w:space="0" w:color="auto"/>
        <w:bottom w:val="none" w:sz="0" w:space="0" w:color="auto"/>
        <w:right w:val="none" w:sz="0" w:space="0" w:color="auto"/>
      </w:divBdr>
    </w:div>
    <w:div w:id="1183671412">
      <w:bodyDiv w:val="1"/>
      <w:marLeft w:val="0"/>
      <w:marRight w:val="0"/>
      <w:marTop w:val="0"/>
      <w:marBottom w:val="0"/>
      <w:divBdr>
        <w:top w:val="none" w:sz="0" w:space="0" w:color="auto"/>
        <w:left w:val="none" w:sz="0" w:space="0" w:color="auto"/>
        <w:bottom w:val="none" w:sz="0" w:space="0" w:color="auto"/>
        <w:right w:val="none" w:sz="0" w:space="0" w:color="auto"/>
      </w:divBdr>
    </w:div>
    <w:div w:id="1183712837">
      <w:bodyDiv w:val="1"/>
      <w:marLeft w:val="0"/>
      <w:marRight w:val="0"/>
      <w:marTop w:val="0"/>
      <w:marBottom w:val="0"/>
      <w:divBdr>
        <w:top w:val="none" w:sz="0" w:space="0" w:color="auto"/>
        <w:left w:val="none" w:sz="0" w:space="0" w:color="auto"/>
        <w:bottom w:val="none" w:sz="0" w:space="0" w:color="auto"/>
        <w:right w:val="none" w:sz="0" w:space="0" w:color="auto"/>
      </w:divBdr>
    </w:div>
    <w:div w:id="1183741171">
      <w:bodyDiv w:val="1"/>
      <w:marLeft w:val="0"/>
      <w:marRight w:val="0"/>
      <w:marTop w:val="0"/>
      <w:marBottom w:val="0"/>
      <w:divBdr>
        <w:top w:val="none" w:sz="0" w:space="0" w:color="auto"/>
        <w:left w:val="none" w:sz="0" w:space="0" w:color="auto"/>
        <w:bottom w:val="none" w:sz="0" w:space="0" w:color="auto"/>
        <w:right w:val="none" w:sz="0" w:space="0" w:color="auto"/>
      </w:divBdr>
    </w:div>
    <w:div w:id="1183784604">
      <w:bodyDiv w:val="1"/>
      <w:marLeft w:val="0"/>
      <w:marRight w:val="0"/>
      <w:marTop w:val="0"/>
      <w:marBottom w:val="0"/>
      <w:divBdr>
        <w:top w:val="none" w:sz="0" w:space="0" w:color="auto"/>
        <w:left w:val="none" w:sz="0" w:space="0" w:color="auto"/>
        <w:bottom w:val="none" w:sz="0" w:space="0" w:color="auto"/>
        <w:right w:val="none" w:sz="0" w:space="0" w:color="auto"/>
      </w:divBdr>
    </w:div>
    <w:div w:id="1183940326">
      <w:bodyDiv w:val="1"/>
      <w:marLeft w:val="0"/>
      <w:marRight w:val="0"/>
      <w:marTop w:val="0"/>
      <w:marBottom w:val="0"/>
      <w:divBdr>
        <w:top w:val="none" w:sz="0" w:space="0" w:color="auto"/>
        <w:left w:val="none" w:sz="0" w:space="0" w:color="auto"/>
        <w:bottom w:val="none" w:sz="0" w:space="0" w:color="auto"/>
        <w:right w:val="none" w:sz="0" w:space="0" w:color="auto"/>
      </w:divBdr>
    </w:div>
    <w:div w:id="1184051215">
      <w:bodyDiv w:val="1"/>
      <w:marLeft w:val="0"/>
      <w:marRight w:val="0"/>
      <w:marTop w:val="0"/>
      <w:marBottom w:val="0"/>
      <w:divBdr>
        <w:top w:val="none" w:sz="0" w:space="0" w:color="auto"/>
        <w:left w:val="none" w:sz="0" w:space="0" w:color="auto"/>
        <w:bottom w:val="none" w:sz="0" w:space="0" w:color="auto"/>
        <w:right w:val="none" w:sz="0" w:space="0" w:color="auto"/>
      </w:divBdr>
    </w:div>
    <w:div w:id="1184170283">
      <w:bodyDiv w:val="1"/>
      <w:marLeft w:val="0"/>
      <w:marRight w:val="0"/>
      <w:marTop w:val="0"/>
      <w:marBottom w:val="0"/>
      <w:divBdr>
        <w:top w:val="none" w:sz="0" w:space="0" w:color="auto"/>
        <w:left w:val="none" w:sz="0" w:space="0" w:color="auto"/>
        <w:bottom w:val="none" w:sz="0" w:space="0" w:color="auto"/>
        <w:right w:val="none" w:sz="0" w:space="0" w:color="auto"/>
      </w:divBdr>
    </w:div>
    <w:div w:id="1184199750">
      <w:bodyDiv w:val="1"/>
      <w:marLeft w:val="0"/>
      <w:marRight w:val="0"/>
      <w:marTop w:val="0"/>
      <w:marBottom w:val="0"/>
      <w:divBdr>
        <w:top w:val="none" w:sz="0" w:space="0" w:color="auto"/>
        <w:left w:val="none" w:sz="0" w:space="0" w:color="auto"/>
        <w:bottom w:val="none" w:sz="0" w:space="0" w:color="auto"/>
        <w:right w:val="none" w:sz="0" w:space="0" w:color="auto"/>
      </w:divBdr>
    </w:div>
    <w:div w:id="1184246751">
      <w:bodyDiv w:val="1"/>
      <w:marLeft w:val="0"/>
      <w:marRight w:val="0"/>
      <w:marTop w:val="0"/>
      <w:marBottom w:val="0"/>
      <w:divBdr>
        <w:top w:val="none" w:sz="0" w:space="0" w:color="auto"/>
        <w:left w:val="none" w:sz="0" w:space="0" w:color="auto"/>
        <w:bottom w:val="none" w:sz="0" w:space="0" w:color="auto"/>
        <w:right w:val="none" w:sz="0" w:space="0" w:color="auto"/>
      </w:divBdr>
    </w:div>
    <w:div w:id="1184246878">
      <w:bodyDiv w:val="1"/>
      <w:marLeft w:val="0"/>
      <w:marRight w:val="0"/>
      <w:marTop w:val="0"/>
      <w:marBottom w:val="0"/>
      <w:divBdr>
        <w:top w:val="none" w:sz="0" w:space="0" w:color="auto"/>
        <w:left w:val="none" w:sz="0" w:space="0" w:color="auto"/>
        <w:bottom w:val="none" w:sz="0" w:space="0" w:color="auto"/>
        <w:right w:val="none" w:sz="0" w:space="0" w:color="auto"/>
      </w:divBdr>
    </w:div>
    <w:div w:id="1184249786">
      <w:bodyDiv w:val="1"/>
      <w:marLeft w:val="0"/>
      <w:marRight w:val="0"/>
      <w:marTop w:val="0"/>
      <w:marBottom w:val="0"/>
      <w:divBdr>
        <w:top w:val="none" w:sz="0" w:space="0" w:color="auto"/>
        <w:left w:val="none" w:sz="0" w:space="0" w:color="auto"/>
        <w:bottom w:val="none" w:sz="0" w:space="0" w:color="auto"/>
        <w:right w:val="none" w:sz="0" w:space="0" w:color="auto"/>
      </w:divBdr>
    </w:div>
    <w:div w:id="1184319667">
      <w:bodyDiv w:val="1"/>
      <w:marLeft w:val="0"/>
      <w:marRight w:val="0"/>
      <w:marTop w:val="0"/>
      <w:marBottom w:val="0"/>
      <w:divBdr>
        <w:top w:val="none" w:sz="0" w:space="0" w:color="auto"/>
        <w:left w:val="none" w:sz="0" w:space="0" w:color="auto"/>
        <w:bottom w:val="none" w:sz="0" w:space="0" w:color="auto"/>
        <w:right w:val="none" w:sz="0" w:space="0" w:color="auto"/>
      </w:divBdr>
    </w:div>
    <w:div w:id="1184392686">
      <w:bodyDiv w:val="1"/>
      <w:marLeft w:val="0"/>
      <w:marRight w:val="0"/>
      <w:marTop w:val="0"/>
      <w:marBottom w:val="0"/>
      <w:divBdr>
        <w:top w:val="none" w:sz="0" w:space="0" w:color="auto"/>
        <w:left w:val="none" w:sz="0" w:space="0" w:color="auto"/>
        <w:bottom w:val="none" w:sz="0" w:space="0" w:color="auto"/>
        <w:right w:val="none" w:sz="0" w:space="0" w:color="auto"/>
      </w:divBdr>
    </w:div>
    <w:div w:id="1184435603">
      <w:bodyDiv w:val="1"/>
      <w:marLeft w:val="0"/>
      <w:marRight w:val="0"/>
      <w:marTop w:val="0"/>
      <w:marBottom w:val="0"/>
      <w:divBdr>
        <w:top w:val="none" w:sz="0" w:space="0" w:color="auto"/>
        <w:left w:val="none" w:sz="0" w:space="0" w:color="auto"/>
        <w:bottom w:val="none" w:sz="0" w:space="0" w:color="auto"/>
        <w:right w:val="none" w:sz="0" w:space="0" w:color="auto"/>
      </w:divBdr>
    </w:div>
    <w:div w:id="1184590399">
      <w:bodyDiv w:val="1"/>
      <w:marLeft w:val="0"/>
      <w:marRight w:val="0"/>
      <w:marTop w:val="0"/>
      <w:marBottom w:val="0"/>
      <w:divBdr>
        <w:top w:val="none" w:sz="0" w:space="0" w:color="auto"/>
        <w:left w:val="none" w:sz="0" w:space="0" w:color="auto"/>
        <w:bottom w:val="none" w:sz="0" w:space="0" w:color="auto"/>
        <w:right w:val="none" w:sz="0" w:space="0" w:color="auto"/>
      </w:divBdr>
    </w:div>
    <w:div w:id="1184856013">
      <w:bodyDiv w:val="1"/>
      <w:marLeft w:val="0"/>
      <w:marRight w:val="0"/>
      <w:marTop w:val="0"/>
      <w:marBottom w:val="0"/>
      <w:divBdr>
        <w:top w:val="none" w:sz="0" w:space="0" w:color="auto"/>
        <w:left w:val="none" w:sz="0" w:space="0" w:color="auto"/>
        <w:bottom w:val="none" w:sz="0" w:space="0" w:color="auto"/>
        <w:right w:val="none" w:sz="0" w:space="0" w:color="auto"/>
      </w:divBdr>
    </w:div>
    <w:div w:id="1184898717">
      <w:bodyDiv w:val="1"/>
      <w:marLeft w:val="0"/>
      <w:marRight w:val="0"/>
      <w:marTop w:val="0"/>
      <w:marBottom w:val="0"/>
      <w:divBdr>
        <w:top w:val="none" w:sz="0" w:space="0" w:color="auto"/>
        <w:left w:val="none" w:sz="0" w:space="0" w:color="auto"/>
        <w:bottom w:val="none" w:sz="0" w:space="0" w:color="auto"/>
        <w:right w:val="none" w:sz="0" w:space="0" w:color="auto"/>
      </w:divBdr>
    </w:div>
    <w:div w:id="1184904134">
      <w:bodyDiv w:val="1"/>
      <w:marLeft w:val="0"/>
      <w:marRight w:val="0"/>
      <w:marTop w:val="0"/>
      <w:marBottom w:val="0"/>
      <w:divBdr>
        <w:top w:val="none" w:sz="0" w:space="0" w:color="auto"/>
        <w:left w:val="none" w:sz="0" w:space="0" w:color="auto"/>
        <w:bottom w:val="none" w:sz="0" w:space="0" w:color="auto"/>
        <w:right w:val="none" w:sz="0" w:space="0" w:color="auto"/>
      </w:divBdr>
    </w:div>
    <w:div w:id="1184978779">
      <w:bodyDiv w:val="1"/>
      <w:marLeft w:val="0"/>
      <w:marRight w:val="0"/>
      <w:marTop w:val="0"/>
      <w:marBottom w:val="0"/>
      <w:divBdr>
        <w:top w:val="none" w:sz="0" w:space="0" w:color="auto"/>
        <w:left w:val="none" w:sz="0" w:space="0" w:color="auto"/>
        <w:bottom w:val="none" w:sz="0" w:space="0" w:color="auto"/>
        <w:right w:val="none" w:sz="0" w:space="0" w:color="auto"/>
      </w:divBdr>
    </w:div>
    <w:div w:id="1185023416">
      <w:bodyDiv w:val="1"/>
      <w:marLeft w:val="0"/>
      <w:marRight w:val="0"/>
      <w:marTop w:val="0"/>
      <w:marBottom w:val="0"/>
      <w:divBdr>
        <w:top w:val="none" w:sz="0" w:space="0" w:color="auto"/>
        <w:left w:val="none" w:sz="0" w:space="0" w:color="auto"/>
        <w:bottom w:val="none" w:sz="0" w:space="0" w:color="auto"/>
        <w:right w:val="none" w:sz="0" w:space="0" w:color="auto"/>
      </w:divBdr>
    </w:div>
    <w:div w:id="1185051188">
      <w:bodyDiv w:val="1"/>
      <w:marLeft w:val="0"/>
      <w:marRight w:val="0"/>
      <w:marTop w:val="0"/>
      <w:marBottom w:val="0"/>
      <w:divBdr>
        <w:top w:val="none" w:sz="0" w:space="0" w:color="auto"/>
        <w:left w:val="none" w:sz="0" w:space="0" w:color="auto"/>
        <w:bottom w:val="none" w:sz="0" w:space="0" w:color="auto"/>
        <w:right w:val="none" w:sz="0" w:space="0" w:color="auto"/>
      </w:divBdr>
    </w:div>
    <w:div w:id="1185166313">
      <w:bodyDiv w:val="1"/>
      <w:marLeft w:val="0"/>
      <w:marRight w:val="0"/>
      <w:marTop w:val="0"/>
      <w:marBottom w:val="0"/>
      <w:divBdr>
        <w:top w:val="none" w:sz="0" w:space="0" w:color="auto"/>
        <w:left w:val="none" w:sz="0" w:space="0" w:color="auto"/>
        <w:bottom w:val="none" w:sz="0" w:space="0" w:color="auto"/>
        <w:right w:val="none" w:sz="0" w:space="0" w:color="auto"/>
      </w:divBdr>
    </w:div>
    <w:div w:id="1185242069">
      <w:bodyDiv w:val="1"/>
      <w:marLeft w:val="0"/>
      <w:marRight w:val="0"/>
      <w:marTop w:val="0"/>
      <w:marBottom w:val="0"/>
      <w:divBdr>
        <w:top w:val="none" w:sz="0" w:space="0" w:color="auto"/>
        <w:left w:val="none" w:sz="0" w:space="0" w:color="auto"/>
        <w:bottom w:val="none" w:sz="0" w:space="0" w:color="auto"/>
        <w:right w:val="none" w:sz="0" w:space="0" w:color="auto"/>
      </w:divBdr>
    </w:div>
    <w:div w:id="1185243232">
      <w:bodyDiv w:val="1"/>
      <w:marLeft w:val="0"/>
      <w:marRight w:val="0"/>
      <w:marTop w:val="0"/>
      <w:marBottom w:val="0"/>
      <w:divBdr>
        <w:top w:val="none" w:sz="0" w:space="0" w:color="auto"/>
        <w:left w:val="none" w:sz="0" w:space="0" w:color="auto"/>
        <w:bottom w:val="none" w:sz="0" w:space="0" w:color="auto"/>
        <w:right w:val="none" w:sz="0" w:space="0" w:color="auto"/>
      </w:divBdr>
    </w:div>
    <w:div w:id="1185245035">
      <w:bodyDiv w:val="1"/>
      <w:marLeft w:val="0"/>
      <w:marRight w:val="0"/>
      <w:marTop w:val="0"/>
      <w:marBottom w:val="0"/>
      <w:divBdr>
        <w:top w:val="none" w:sz="0" w:space="0" w:color="auto"/>
        <w:left w:val="none" w:sz="0" w:space="0" w:color="auto"/>
        <w:bottom w:val="none" w:sz="0" w:space="0" w:color="auto"/>
        <w:right w:val="none" w:sz="0" w:space="0" w:color="auto"/>
      </w:divBdr>
    </w:div>
    <w:div w:id="1185246246">
      <w:bodyDiv w:val="1"/>
      <w:marLeft w:val="0"/>
      <w:marRight w:val="0"/>
      <w:marTop w:val="0"/>
      <w:marBottom w:val="0"/>
      <w:divBdr>
        <w:top w:val="none" w:sz="0" w:space="0" w:color="auto"/>
        <w:left w:val="none" w:sz="0" w:space="0" w:color="auto"/>
        <w:bottom w:val="none" w:sz="0" w:space="0" w:color="auto"/>
        <w:right w:val="none" w:sz="0" w:space="0" w:color="auto"/>
      </w:divBdr>
    </w:div>
    <w:div w:id="1185442705">
      <w:bodyDiv w:val="1"/>
      <w:marLeft w:val="0"/>
      <w:marRight w:val="0"/>
      <w:marTop w:val="0"/>
      <w:marBottom w:val="0"/>
      <w:divBdr>
        <w:top w:val="none" w:sz="0" w:space="0" w:color="auto"/>
        <w:left w:val="none" w:sz="0" w:space="0" w:color="auto"/>
        <w:bottom w:val="none" w:sz="0" w:space="0" w:color="auto"/>
        <w:right w:val="none" w:sz="0" w:space="0" w:color="auto"/>
      </w:divBdr>
    </w:div>
    <w:div w:id="1185558020">
      <w:bodyDiv w:val="1"/>
      <w:marLeft w:val="0"/>
      <w:marRight w:val="0"/>
      <w:marTop w:val="0"/>
      <w:marBottom w:val="0"/>
      <w:divBdr>
        <w:top w:val="none" w:sz="0" w:space="0" w:color="auto"/>
        <w:left w:val="none" w:sz="0" w:space="0" w:color="auto"/>
        <w:bottom w:val="none" w:sz="0" w:space="0" w:color="auto"/>
        <w:right w:val="none" w:sz="0" w:space="0" w:color="auto"/>
      </w:divBdr>
    </w:div>
    <w:div w:id="1185630390">
      <w:bodyDiv w:val="1"/>
      <w:marLeft w:val="0"/>
      <w:marRight w:val="0"/>
      <w:marTop w:val="0"/>
      <w:marBottom w:val="0"/>
      <w:divBdr>
        <w:top w:val="none" w:sz="0" w:space="0" w:color="auto"/>
        <w:left w:val="none" w:sz="0" w:space="0" w:color="auto"/>
        <w:bottom w:val="none" w:sz="0" w:space="0" w:color="auto"/>
        <w:right w:val="none" w:sz="0" w:space="0" w:color="auto"/>
      </w:divBdr>
    </w:div>
    <w:div w:id="1185633855">
      <w:bodyDiv w:val="1"/>
      <w:marLeft w:val="0"/>
      <w:marRight w:val="0"/>
      <w:marTop w:val="0"/>
      <w:marBottom w:val="0"/>
      <w:divBdr>
        <w:top w:val="none" w:sz="0" w:space="0" w:color="auto"/>
        <w:left w:val="none" w:sz="0" w:space="0" w:color="auto"/>
        <w:bottom w:val="none" w:sz="0" w:space="0" w:color="auto"/>
        <w:right w:val="none" w:sz="0" w:space="0" w:color="auto"/>
      </w:divBdr>
    </w:div>
    <w:div w:id="1185637024">
      <w:bodyDiv w:val="1"/>
      <w:marLeft w:val="0"/>
      <w:marRight w:val="0"/>
      <w:marTop w:val="0"/>
      <w:marBottom w:val="0"/>
      <w:divBdr>
        <w:top w:val="none" w:sz="0" w:space="0" w:color="auto"/>
        <w:left w:val="none" w:sz="0" w:space="0" w:color="auto"/>
        <w:bottom w:val="none" w:sz="0" w:space="0" w:color="auto"/>
        <w:right w:val="none" w:sz="0" w:space="0" w:color="auto"/>
      </w:divBdr>
    </w:div>
    <w:div w:id="1185826686">
      <w:bodyDiv w:val="1"/>
      <w:marLeft w:val="0"/>
      <w:marRight w:val="0"/>
      <w:marTop w:val="0"/>
      <w:marBottom w:val="0"/>
      <w:divBdr>
        <w:top w:val="none" w:sz="0" w:space="0" w:color="auto"/>
        <w:left w:val="none" w:sz="0" w:space="0" w:color="auto"/>
        <w:bottom w:val="none" w:sz="0" w:space="0" w:color="auto"/>
        <w:right w:val="none" w:sz="0" w:space="0" w:color="auto"/>
      </w:divBdr>
    </w:div>
    <w:div w:id="1186018050">
      <w:bodyDiv w:val="1"/>
      <w:marLeft w:val="0"/>
      <w:marRight w:val="0"/>
      <w:marTop w:val="0"/>
      <w:marBottom w:val="0"/>
      <w:divBdr>
        <w:top w:val="none" w:sz="0" w:space="0" w:color="auto"/>
        <w:left w:val="none" w:sz="0" w:space="0" w:color="auto"/>
        <w:bottom w:val="none" w:sz="0" w:space="0" w:color="auto"/>
        <w:right w:val="none" w:sz="0" w:space="0" w:color="auto"/>
      </w:divBdr>
    </w:div>
    <w:div w:id="1186022593">
      <w:bodyDiv w:val="1"/>
      <w:marLeft w:val="0"/>
      <w:marRight w:val="0"/>
      <w:marTop w:val="0"/>
      <w:marBottom w:val="0"/>
      <w:divBdr>
        <w:top w:val="none" w:sz="0" w:space="0" w:color="auto"/>
        <w:left w:val="none" w:sz="0" w:space="0" w:color="auto"/>
        <w:bottom w:val="none" w:sz="0" w:space="0" w:color="auto"/>
        <w:right w:val="none" w:sz="0" w:space="0" w:color="auto"/>
      </w:divBdr>
    </w:div>
    <w:div w:id="1186138587">
      <w:bodyDiv w:val="1"/>
      <w:marLeft w:val="0"/>
      <w:marRight w:val="0"/>
      <w:marTop w:val="0"/>
      <w:marBottom w:val="0"/>
      <w:divBdr>
        <w:top w:val="none" w:sz="0" w:space="0" w:color="auto"/>
        <w:left w:val="none" w:sz="0" w:space="0" w:color="auto"/>
        <w:bottom w:val="none" w:sz="0" w:space="0" w:color="auto"/>
        <w:right w:val="none" w:sz="0" w:space="0" w:color="auto"/>
      </w:divBdr>
    </w:div>
    <w:div w:id="1186215490">
      <w:bodyDiv w:val="1"/>
      <w:marLeft w:val="0"/>
      <w:marRight w:val="0"/>
      <w:marTop w:val="0"/>
      <w:marBottom w:val="0"/>
      <w:divBdr>
        <w:top w:val="none" w:sz="0" w:space="0" w:color="auto"/>
        <w:left w:val="none" w:sz="0" w:space="0" w:color="auto"/>
        <w:bottom w:val="none" w:sz="0" w:space="0" w:color="auto"/>
        <w:right w:val="none" w:sz="0" w:space="0" w:color="auto"/>
      </w:divBdr>
    </w:div>
    <w:div w:id="1186478208">
      <w:bodyDiv w:val="1"/>
      <w:marLeft w:val="0"/>
      <w:marRight w:val="0"/>
      <w:marTop w:val="0"/>
      <w:marBottom w:val="0"/>
      <w:divBdr>
        <w:top w:val="none" w:sz="0" w:space="0" w:color="auto"/>
        <w:left w:val="none" w:sz="0" w:space="0" w:color="auto"/>
        <w:bottom w:val="none" w:sz="0" w:space="0" w:color="auto"/>
        <w:right w:val="none" w:sz="0" w:space="0" w:color="auto"/>
      </w:divBdr>
    </w:div>
    <w:div w:id="1186558319">
      <w:bodyDiv w:val="1"/>
      <w:marLeft w:val="0"/>
      <w:marRight w:val="0"/>
      <w:marTop w:val="0"/>
      <w:marBottom w:val="0"/>
      <w:divBdr>
        <w:top w:val="none" w:sz="0" w:space="0" w:color="auto"/>
        <w:left w:val="none" w:sz="0" w:space="0" w:color="auto"/>
        <w:bottom w:val="none" w:sz="0" w:space="0" w:color="auto"/>
        <w:right w:val="none" w:sz="0" w:space="0" w:color="auto"/>
      </w:divBdr>
    </w:div>
    <w:div w:id="1186559207">
      <w:bodyDiv w:val="1"/>
      <w:marLeft w:val="0"/>
      <w:marRight w:val="0"/>
      <w:marTop w:val="0"/>
      <w:marBottom w:val="0"/>
      <w:divBdr>
        <w:top w:val="none" w:sz="0" w:space="0" w:color="auto"/>
        <w:left w:val="none" w:sz="0" w:space="0" w:color="auto"/>
        <w:bottom w:val="none" w:sz="0" w:space="0" w:color="auto"/>
        <w:right w:val="none" w:sz="0" w:space="0" w:color="auto"/>
      </w:divBdr>
    </w:div>
    <w:div w:id="1186600338">
      <w:bodyDiv w:val="1"/>
      <w:marLeft w:val="0"/>
      <w:marRight w:val="0"/>
      <w:marTop w:val="0"/>
      <w:marBottom w:val="0"/>
      <w:divBdr>
        <w:top w:val="none" w:sz="0" w:space="0" w:color="auto"/>
        <w:left w:val="none" w:sz="0" w:space="0" w:color="auto"/>
        <w:bottom w:val="none" w:sz="0" w:space="0" w:color="auto"/>
        <w:right w:val="none" w:sz="0" w:space="0" w:color="auto"/>
      </w:divBdr>
    </w:div>
    <w:div w:id="1186749660">
      <w:bodyDiv w:val="1"/>
      <w:marLeft w:val="0"/>
      <w:marRight w:val="0"/>
      <w:marTop w:val="0"/>
      <w:marBottom w:val="0"/>
      <w:divBdr>
        <w:top w:val="none" w:sz="0" w:space="0" w:color="auto"/>
        <w:left w:val="none" w:sz="0" w:space="0" w:color="auto"/>
        <w:bottom w:val="none" w:sz="0" w:space="0" w:color="auto"/>
        <w:right w:val="none" w:sz="0" w:space="0" w:color="auto"/>
      </w:divBdr>
    </w:div>
    <w:div w:id="1186796106">
      <w:bodyDiv w:val="1"/>
      <w:marLeft w:val="0"/>
      <w:marRight w:val="0"/>
      <w:marTop w:val="0"/>
      <w:marBottom w:val="0"/>
      <w:divBdr>
        <w:top w:val="none" w:sz="0" w:space="0" w:color="auto"/>
        <w:left w:val="none" w:sz="0" w:space="0" w:color="auto"/>
        <w:bottom w:val="none" w:sz="0" w:space="0" w:color="auto"/>
        <w:right w:val="none" w:sz="0" w:space="0" w:color="auto"/>
      </w:divBdr>
    </w:div>
    <w:div w:id="1186870401">
      <w:bodyDiv w:val="1"/>
      <w:marLeft w:val="0"/>
      <w:marRight w:val="0"/>
      <w:marTop w:val="0"/>
      <w:marBottom w:val="0"/>
      <w:divBdr>
        <w:top w:val="none" w:sz="0" w:space="0" w:color="auto"/>
        <w:left w:val="none" w:sz="0" w:space="0" w:color="auto"/>
        <w:bottom w:val="none" w:sz="0" w:space="0" w:color="auto"/>
        <w:right w:val="none" w:sz="0" w:space="0" w:color="auto"/>
      </w:divBdr>
    </w:div>
    <w:div w:id="1186939961">
      <w:bodyDiv w:val="1"/>
      <w:marLeft w:val="0"/>
      <w:marRight w:val="0"/>
      <w:marTop w:val="0"/>
      <w:marBottom w:val="0"/>
      <w:divBdr>
        <w:top w:val="none" w:sz="0" w:space="0" w:color="auto"/>
        <w:left w:val="none" w:sz="0" w:space="0" w:color="auto"/>
        <w:bottom w:val="none" w:sz="0" w:space="0" w:color="auto"/>
        <w:right w:val="none" w:sz="0" w:space="0" w:color="auto"/>
      </w:divBdr>
    </w:div>
    <w:div w:id="1186947679">
      <w:bodyDiv w:val="1"/>
      <w:marLeft w:val="0"/>
      <w:marRight w:val="0"/>
      <w:marTop w:val="0"/>
      <w:marBottom w:val="0"/>
      <w:divBdr>
        <w:top w:val="none" w:sz="0" w:space="0" w:color="auto"/>
        <w:left w:val="none" w:sz="0" w:space="0" w:color="auto"/>
        <w:bottom w:val="none" w:sz="0" w:space="0" w:color="auto"/>
        <w:right w:val="none" w:sz="0" w:space="0" w:color="auto"/>
      </w:divBdr>
    </w:div>
    <w:div w:id="1187330962">
      <w:bodyDiv w:val="1"/>
      <w:marLeft w:val="0"/>
      <w:marRight w:val="0"/>
      <w:marTop w:val="0"/>
      <w:marBottom w:val="0"/>
      <w:divBdr>
        <w:top w:val="none" w:sz="0" w:space="0" w:color="auto"/>
        <w:left w:val="none" w:sz="0" w:space="0" w:color="auto"/>
        <w:bottom w:val="none" w:sz="0" w:space="0" w:color="auto"/>
        <w:right w:val="none" w:sz="0" w:space="0" w:color="auto"/>
      </w:divBdr>
    </w:div>
    <w:div w:id="1187403486">
      <w:bodyDiv w:val="1"/>
      <w:marLeft w:val="0"/>
      <w:marRight w:val="0"/>
      <w:marTop w:val="0"/>
      <w:marBottom w:val="0"/>
      <w:divBdr>
        <w:top w:val="none" w:sz="0" w:space="0" w:color="auto"/>
        <w:left w:val="none" w:sz="0" w:space="0" w:color="auto"/>
        <w:bottom w:val="none" w:sz="0" w:space="0" w:color="auto"/>
        <w:right w:val="none" w:sz="0" w:space="0" w:color="auto"/>
      </w:divBdr>
    </w:div>
    <w:div w:id="1187598555">
      <w:bodyDiv w:val="1"/>
      <w:marLeft w:val="0"/>
      <w:marRight w:val="0"/>
      <w:marTop w:val="0"/>
      <w:marBottom w:val="0"/>
      <w:divBdr>
        <w:top w:val="none" w:sz="0" w:space="0" w:color="auto"/>
        <w:left w:val="none" w:sz="0" w:space="0" w:color="auto"/>
        <w:bottom w:val="none" w:sz="0" w:space="0" w:color="auto"/>
        <w:right w:val="none" w:sz="0" w:space="0" w:color="auto"/>
      </w:divBdr>
    </w:div>
    <w:div w:id="1187672826">
      <w:bodyDiv w:val="1"/>
      <w:marLeft w:val="0"/>
      <w:marRight w:val="0"/>
      <w:marTop w:val="0"/>
      <w:marBottom w:val="0"/>
      <w:divBdr>
        <w:top w:val="none" w:sz="0" w:space="0" w:color="auto"/>
        <w:left w:val="none" w:sz="0" w:space="0" w:color="auto"/>
        <w:bottom w:val="none" w:sz="0" w:space="0" w:color="auto"/>
        <w:right w:val="none" w:sz="0" w:space="0" w:color="auto"/>
      </w:divBdr>
    </w:div>
    <w:div w:id="1187716449">
      <w:bodyDiv w:val="1"/>
      <w:marLeft w:val="0"/>
      <w:marRight w:val="0"/>
      <w:marTop w:val="0"/>
      <w:marBottom w:val="0"/>
      <w:divBdr>
        <w:top w:val="none" w:sz="0" w:space="0" w:color="auto"/>
        <w:left w:val="none" w:sz="0" w:space="0" w:color="auto"/>
        <w:bottom w:val="none" w:sz="0" w:space="0" w:color="auto"/>
        <w:right w:val="none" w:sz="0" w:space="0" w:color="auto"/>
      </w:divBdr>
    </w:div>
    <w:div w:id="1187789916">
      <w:bodyDiv w:val="1"/>
      <w:marLeft w:val="0"/>
      <w:marRight w:val="0"/>
      <w:marTop w:val="0"/>
      <w:marBottom w:val="0"/>
      <w:divBdr>
        <w:top w:val="none" w:sz="0" w:space="0" w:color="auto"/>
        <w:left w:val="none" w:sz="0" w:space="0" w:color="auto"/>
        <w:bottom w:val="none" w:sz="0" w:space="0" w:color="auto"/>
        <w:right w:val="none" w:sz="0" w:space="0" w:color="auto"/>
      </w:divBdr>
    </w:div>
    <w:div w:id="1187867500">
      <w:bodyDiv w:val="1"/>
      <w:marLeft w:val="0"/>
      <w:marRight w:val="0"/>
      <w:marTop w:val="0"/>
      <w:marBottom w:val="0"/>
      <w:divBdr>
        <w:top w:val="none" w:sz="0" w:space="0" w:color="auto"/>
        <w:left w:val="none" w:sz="0" w:space="0" w:color="auto"/>
        <w:bottom w:val="none" w:sz="0" w:space="0" w:color="auto"/>
        <w:right w:val="none" w:sz="0" w:space="0" w:color="auto"/>
      </w:divBdr>
    </w:div>
    <w:div w:id="1187868847">
      <w:bodyDiv w:val="1"/>
      <w:marLeft w:val="0"/>
      <w:marRight w:val="0"/>
      <w:marTop w:val="0"/>
      <w:marBottom w:val="0"/>
      <w:divBdr>
        <w:top w:val="none" w:sz="0" w:space="0" w:color="auto"/>
        <w:left w:val="none" w:sz="0" w:space="0" w:color="auto"/>
        <w:bottom w:val="none" w:sz="0" w:space="0" w:color="auto"/>
        <w:right w:val="none" w:sz="0" w:space="0" w:color="auto"/>
      </w:divBdr>
    </w:div>
    <w:div w:id="1187988712">
      <w:bodyDiv w:val="1"/>
      <w:marLeft w:val="0"/>
      <w:marRight w:val="0"/>
      <w:marTop w:val="0"/>
      <w:marBottom w:val="0"/>
      <w:divBdr>
        <w:top w:val="none" w:sz="0" w:space="0" w:color="auto"/>
        <w:left w:val="none" w:sz="0" w:space="0" w:color="auto"/>
        <w:bottom w:val="none" w:sz="0" w:space="0" w:color="auto"/>
        <w:right w:val="none" w:sz="0" w:space="0" w:color="auto"/>
      </w:divBdr>
    </w:div>
    <w:div w:id="1188058773">
      <w:bodyDiv w:val="1"/>
      <w:marLeft w:val="0"/>
      <w:marRight w:val="0"/>
      <w:marTop w:val="0"/>
      <w:marBottom w:val="0"/>
      <w:divBdr>
        <w:top w:val="none" w:sz="0" w:space="0" w:color="auto"/>
        <w:left w:val="none" w:sz="0" w:space="0" w:color="auto"/>
        <w:bottom w:val="none" w:sz="0" w:space="0" w:color="auto"/>
        <w:right w:val="none" w:sz="0" w:space="0" w:color="auto"/>
      </w:divBdr>
    </w:div>
    <w:div w:id="1188062827">
      <w:bodyDiv w:val="1"/>
      <w:marLeft w:val="0"/>
      <w:marRight w:val="0"/>
      <w:marTop w:val="0"/>
      <w:marBottom w:val="0"/>
      <w:divBdr>
        <w:top w:val="none" w:sz="0" w:space="0" w:color="auto"/>
        <w:left w:val="none" w:sz="0" w:space="0" w:color="auto"/>
        <w:bottom w:val="none" w:sz="0" w:space="0" w:color="auto"/>
        <w:right w:val="none" w:sz="0" w:space="0" w:color="auto"/>
      </w:divBdr>
    </w:div>
    <w:div w:id="1188251928">
      <w:bodyDiv w:val="1"/>
      <w:marLeft w:val="0"/>
      <w:marRight w:val="0"/>
      <w:marTop w:val="0"/>
      <w:marBottom w:val="0"/>
      <w:divBdr>
        <w:top w:val="none" w:sz="0" w:space="0" w:color="auto"/>
        <w:left w:val="none" w:sz="0" w:space="0" w:color="auto"/>
        <w:bottom w:val="none" w:sz="0" w:space="0" w:color="auto"/>
        <w:right w:val="none" w:sz="0" w:space="0" w:color="auto"/>
      </w:divBdr>
    </w:div>
    <w:div w:id="1188443544">
      <w:bodyDiv w:val="1"/>
      <w:marLeft w:val="0"/>
      <w:marRight w:val="0"/>
      <w:marTop w:val="0"/>
      <w:marBottom w:val="0"/>
      <w:divBdr>
        <w:top w:val="none" w:sz="0" w:space="0" w:color="auto"/>
        <w:left w:val="none" w:sz="0" w:space="0" w:color="auto"/>
        <w:bottom w:val="none" w:sz="0" w:space="0" w:color="auto"/>
        <w:right w:val="none" w:sz="0" w:space="0" w:color="auto"/>
      </w:divBdr>
    </w:div>
    <w:div w:id="1188450720">
      <w:bodyDiv w:val="1"/>
      <w:marLeft w:val="0"/>
      <w:marRight w:val="0"/>
      <w:marTop w:val="0"/>
      <w:marBottom w:val="0"/>
      <w:divBdr>
        <w:top w:val="none" w:sz="0" w:space="0" w:color="auto"/>
        <w:left w:val="none" w:sz="0" w:space="0" w:color="auto"/>
        <w:bottom w:val="none" w:sz="0" w:space="0" w:color="auto"/>
        <w:right w:val="none" w:sz="0" w:space="0" w:color="auto"/>
      </w:divBdr>
    </w:div>
    <w:div w:id="1188520480">
      <w:bodyDiv w:val="1"/>
      <w:marLeft w:val="0"/>
      <w:marRight w:val="0"/>
      <w:marTop w:val="0"/>
      <w:marBottom w:val="0"/>
      <w:divBdr>
        <w:top w:val="none" w:sz="0" w:space="0" w:color="auto"/>
        <w:left w:val="none" w:sz="0" w:space="0" w:color="auto"/>
        <w:bottom w:val="none" w:sz="0" w:space="0" w:color="auto"/>
        <w:right w:val="none" w:sz="0" w:space="0" w:color="auto"/>
      </w:divBdr>
    </w:div>
    <w:div w:id="1188593228">
      <w:bodyDiv w:val="1"/>
      <w:marLeft w:val="0"/>
      <w:marRight w:val="0"/>
      <w:marTop w:val="0"/>
      <w:marBottom w:val="0"/>
      <w:divBdr>
        <w:top w:val="none" w:sz="0" w:space="0" w:color="auto"/>
        <w:left w:val="none" w:sz="0" w:space="0" w:color="auto"/>
        <w:bottom w:val="none" w:sz="0" w:space="0" w:color="auto"/>
        <w:right w:val="none" w:sz="0" w:space="0" w:color="auto"/>
      </w:divBdr>
    </w:div>
    <w:div w:id="1188643276">
      <w:bodyDiv w:val="1"/>
      <w:marLeft w:val="0"/>
      <w:marRight w:val="0"/>
      <w:marTop w:val="0"/>
      <w:marBottom w:val="0"/>
      <w:divBdr>
        <w:top w:val="none" w:sz="0" w:space="0" w:color="auto"/>
        <w:left w:val="none" w:sz="0" w:space="0" w:color="auto"/>
        <w:bottom w:val="none" w:sz="0" w:space="0" w:color="auto"/>
        <w:right w:val="none" w:sz="0" w:space="0" w:color="auto"/>
      </w:divBdr>
    </w:div>
    <w:div w:id="1188759269">
      <w:bodyDiv w:val="1"/>
      <w:marLeft w:val="0"/>
      <w:marRight w:val="0"/>
      <w:marTop w:val="0"/>
      <w:marBottom w:val="0"/>
      <w:divBdr>
        <w:top w:val="none" w:sz="0" w:space="0" w:color="auto"/>
        <w:left w:val="none" w:sz="0" w:space="0" w:color="auto"/>
        <w:bottom w:val="none" w:sz="0" w:space="0" w:color="auto"/>
        <w:right w:val="none" w:sz="0" w:space="0" w:color="auto"/>
      </w:divBdr>
    </w:div>
    <w:div w:id="1188832296">
      <w:bodyDiv w:val="1"/>
      <w:marLeft w:val="0"/>
      <w:marRight w:val="0"/>
      <w:marTop w:val="0"/>
      <w:marBottom w:val="0"/>
      <w:divBdr>
        <w:top w:val="none" w:sz="0" w:space="0" w:color="auto"/>
        <w:left w:val="none" w:sz="0" w:space="0" w:color="auto"/>
        <w:bottom w:val="none" w:sz="0" w:space="0" w:color="auto"/>
        <w:right w:val="none" w:sz="0" w:space="0" w:color="auto"/>
      </w:divBdr>
    </w:div>
    <w:div w:id="1188836911">
      <w:bodyDiv w:val="1"/>
      <w:marLeft w:val="0"/>
      <w:marRight w:val="0"/>
      <w:marTop w:val="0"/>
      <w:marBottom w:val="0"/>
      <w:divBdr>
        <w:top w:val="none" w:sz="0" w:space="0" w:color="auto"/>
        <w:left w:val="none" w:sz="0" w:space="0" w:color="auto"/>
        <w:bottom w:val="none" w:sz="0" w:space="0" w:color="auto"/>
        <w:right w:val="none" w:sz="0" w:space="0" w:color="auto"/>
      </w:divBdr>
    </w:div>
    <w:div w:id="1189022268">
      <w:bodyDiv w:val="1"/>
      <w:marLeft w:val="0"/>
      <w:marRight w:val="0"/>
      <w:marTop w:val="0"/>
      <w:marBottom w:val="0"/>
      <w:divBdr>
        <w:top w:val="none" w:sz="0" w:space="0" w:color="auto"/>
        <w:left w:val="none" w:sz="0" w:space="0" w:color="auto"/>
        <w:bottom w:val="none" w:sz="0" w:space="0" w:color="auto"/>
        <w:right w:val="none" w:sz="0" w:space="0" w:color="auto"/>
      </w:divBdr>
    </w:div>
    <w:div w:id="1189099233">
      <w:bodyDiv w:val="1"/>
      <w:marLeft w:val="0"/>
      <w:marRight w:val="0"/>
      <w:marTop w:val="0"/>
      <w:marBottom w:val="0"/>
      <w:divBdr>
        <w:top w:val="none" w:sz="0" w:space="0" w:color="auto"/>
        <w:left w:val="none" w:sz="0" w:space="0" w:color="auto"/>
        <w:bottom w:val="none" w:sz="0" w:space="0" w:color="auto"/>
        <w:right w:val="none" w:sz="0" w:space="0" w:color="auto"/>
      </w:divBdr>
    </w:div>
    <w:div w:id="1189102304">
      <w:bodyDiv w:val="1"/>
      <w:marLeft w:val="0"/>
      <w:marRight w:val="0"/>
      <w:marTop w:val="0"/>
      <w:marBottom w:val="0"/>
      <w:divBdr>
        <w:top w:val="none" w:sz="0" w:space="0" w:color="auto"/>
        <w:left w:val="none" w:sz="0" w:space="0" w:color="auto"/>
        <w:bottom w:val="none" w:sz="0" w:space="0" w:color="auto"/>
        <w:right w:val="none" w:sz="0" w:space="0" w:color="auto"/>
      </w:divBdr>
    </w:div>
    <w:div w:id="1189295132">
      <w:bodyDiv w:val="1"/>
      <w:marLeft w:val="0"/>
      <w:marRight w:val="0"/>
      <w:marTop w:val="0"/>
      <w:marBottom w:val="0"/>
      <w:divBdr>
        <w:top w:val="none" w:sz="0" w:space="0" w:color="auto"/>
        <w:left w:val="none" w:sz="0" w:space="0" w:color="auto"/>
        <w:bottom w:val="none" w:sz="0" w:space="0" w:color="auto"/>
        <w:right w:val="none" w:sz="0" w:space="0" w:color="auto"/>
      </w:divBdr>
    </w:div>
    <w:div w:id="1189296865">
      <w:bodyDiv w:val="1"/>
      <w:marLeft w:val="0"/>
      <w:marRight w:val="0"/>
      <w:marTop w:val="0"/>
      <w:marBottom w:val="0"/>
      <w:divBdr>
        <w:top w:val="none" w:sz="0" w:space="0" w:color="auto"/>
        <w:left w:val="none" w:sz="0" w:space="0" w:color="auto"/>
        <w:bottom w:val="none" w:sz="0" w:space="0" w:color="auto"/>
        <w:right w:val="none" w:sz="0" w:space="0" w:color="auto"/>
      </w:divBdr>
    </w:div>
    <w:div w:id="1189373674">
      <w:bodyDiv w:val="1"/>
      <w:marLeft w:val="0"/>
      <w:marRight w:val="0"/>
      <w:marTop w:val="0"/>
      <w:marBottom w:val="0"/>
      <w:divBdr>
        <w:top w:val="none" w:sz="0" w:space="0" w:color="auto"/>
        <w:left w:val="none" w:sz="0" w:space="0" w:color="auto"/>
        <w:bottom w:val="none" w:sz="0" w:space="0" w:color="auto"/>
        <w:right w:val="none" w:sz="0" w:space="0" w:color="auto"/>
      </w:divBdr>
    </w:div>
    <w:div w:id="1189375518">
      <w:bodyDiv w:val="1"/>
      <w:marLeft w:val="0"/>
      <w:marRight w:val="0"/>
      <w:marTop w:val="0"/>
      <w:marBottom w:val="0"/>
      <w:divBdr>
        <w:top w:val="none" w:sz="0" w:space="0" w:color="auto"/>
        <w:left w:val="none" w:sz="0" w:space="0" w:color="auto"/>
        <w:bottom w:val="none" w:sz="0" w:space="0" w:color="auto"/>
        <w:right w:val="none" w:sz="0" w:space="0" w:color="auto"/>
      </w:divBdr>
    </w:div>
    <w:div w:id="1189416502">
      <w:bodyDiv w:val="1"/>
      <w:marLeft w:val="0"/>
      <w:marRight w:val="0"/>
      <w:marTop w:val="0"/>
      <w:marBottom w:val="0"/>
      <w:divBdr>
        <w:top w:val="none" w:sz="0" w:space="0" w:color="auto"/>
        <w:left w:val="none" w:sz="0" w:space="0" w:color="auto"/>
        <w:bottom w:val="none" w:sz="0" w:space="0" w:color="auto"/>
        <w:right w:val="none" w:sz="0" w:space="0" w:color="auto"/>
      </w:divBdr>
    </w:div>
    <w:div w:id="1189488013">
      <w:bodyDiv w:val="1"/>
      <w:marLeft w:val="0"/>
      <w:marRight w:val="0"/>
      <w:marTop w:val="0"/>
      <w:marBottom w:val="0"/>
      <w:divBdr>
        <w:top w:val="none" w:sz="0" w:space="0" w:color="auto"/>
        <w:left w:val="none" w:sz="0" w:space="0" w:color="auto"/>
        <w:bottom w:val="none" w:sz="0" w:space="0" w:color="auto"/>
        <w:right w:val="none" w:sz="0" w:space="0" w:color="auto"/>
      </w:divBdr>
    </w:div>
    <w:div w:id="1189566544">
      <w:bodyDiv w:val="1"/>
      <w:marLeft w:val="0"/>
      <w:marRight w:val="0"/>
      <w:marTop w:val="0"/>
      <w:marBottom w:val="0"/>
      <w:divBdr>
        <w:top w:val="none" w:sz="0" w:space="0" w:color="auto"/>
        <w:left w:val="none" w:sz="0" w:space="0" w:color="auto"/>
        <w:bottom w:val="none" w:sz="0" w:space="0" w:color="auto"/>
        <w:right w:val="none" w:sz="0" w:space="0" w:color="auto"/>
      </w:divBdr>
    </w:div>
    <w:div w:id="1189567945">
      <w:bodyDiv w:val="1"/>
      <w:marLeft w:val="0"/>
      <w:marRight w:val="0"/>
      <w:marTop w:val="0"/>
      <w:marBottom w:val="0"/>
      <w:divBdr>
        <w:top w:val="none" w:sz="0" w:space="0" w:color="auto"/>
        <w:left w:val="none" w:sz="0" w:space="0" w:color="auto"/>
        <w:bottom w:val="none" w:sz="0" w:space="0" w:color="auto"/>
        <w:right w:val="none" w:sz="0" w:space="0" w:color="auto"/>
      </w:divBdr>
    </w:div>
    <w:div w:id="1189682939">
      <w:bodyDiv w:val="1"/>
      <w:marLeft w:val="0"/>
      <w:marRight w:val="0"/>
      <w:marTop w:val="0"/>
      <w:marBottom w:val="0"/>
      <w:divBdr>
        <w:top w:val="none" w:sz="0" w:space="0" w:color="auto"/>
        <w:left w:val="none" w:sz="0" w:space="0" w:color="auto"/>
        <w:bottom w:val="none" w:sz="0" w:space="0" w:color="auto"/>
        <w:right w:val="none" w:sz="0" w:space="0" w:color="auto"/>
      </w:divBdr>
    </w:div>
    <w:div w:id="1189874783">
      <w:bodyDiv w:val="1"/>
      <w:marLeft w:val="0"/>
      <w:marRight w:val="0"/>
      <w:marTop w:val="0"/>
      <w:marBottom w:val="0"/>
      <w:divBdr>
        <w:top w:val="none" w:sz="0" w:space="0" w:color="auto"/>
        <w:left w:val="none" w:sz="0" w:space="0" w:color="auto"/>
        <w:bottom w:val="none" w:sz="0" w:space="0" w:color="auto"/>
        <w:right w:val="none" w:sz="0" w:space="0" w:color="auto"/>
      </w:divBdr>
    </w:div>
    <w:div w:id="1189877683">
      <w:bodyDiv w:val="1"/>
      <w:marLeft w:val="0"/>
      <w:marRight w:val="0"/>
      <w:marTop w:val="0"/>
      <w:marBottom w:val="0"/>
      <w:divBdr>
        <w:top w:val="none" w:sz="0" w:space="0" w:color="auto"/>
        <w:left w:val="none" w:sz="0" w:space="0" w:color="auto"/>
        <w:bottom w:val="none" w:sz="0" w:space="0" w:color="auto"/>
        <w:right w:val="none" w:sz="0" w:space="0" w:color="auto"/>
      </w:divBdr>
    </w:div>
    <w:div w:id="1190023591">
      <w:bodyDiv w:val="1"/>
      <w:marLeft w:val="0"/>
      <w:marRight w:val="0"/>
      <w:marTop w:val="0"/>
      <w:marBottom w:val="0"/>
      <w:divBdr>
        <w:top w:val="none" w:sz="0" w:space="0" w:color="auto"/>
        <w:left w:val="none" w:sz="0" w:space="0" w:color="auto"/>
        <w:bottom w:val="none" w:sz="0" w:space="0" w:color="auto"/>
        <w:right w:val="none" w:sz="0" w:space="0" w:color="auto"/>
      </w:divBdr>
    </w:div>
    <w:div w:id="1190024486">
      <w:bodyDiv w:val="1"/>
      <w:marLeft w:val="0"/>
      <w:marRight w:val="0"/>
      <w:marTop w:val="0"/>
      <w:marBottom w:val="0"/>
      <w:divBdr>
        <w:top w:val="none" w:sz="0" w:space="0" w:color="auto"/>
        <w:left w:val="none" w:sz="0" w:space="0" w:color="auto"/>
        <w:bottom w:val="none" w:sz="0" w:space="0" w:color="auto"/>
        <w:right w:val="none" w:sz="0" w:space="0" w:color="auto"/>
      </w:divBdr>
    </w:div>
    <w:div w:id="1190070193">
      <w:bodyDiv w:val="1"/>
      <w:marLeft w:val="0"/>
      <w:marRight w:val="0"/>
      <w:marTop w:val="0"/>
      <w:marBottom w:val="0"/>
      <w:divBdr>
        <w:top w:val="none" w:sz="0" w:space="0" w:color="auto"/>
        <w:left w:val="none" w:sz="0" w:space="0" w:color="auto"/>
        <w:bottom w:val="none" w:sz="0" w:space="0" w:color="auto"/>
        <w:right w:val="none" w:sz="0" w:space="0" w:color="auto"/>
      </w:divBdr>
    </w:div>
    <w:div w:id="1190145603">
      <w:bodyDiv w:val="1"/>
      <w:marLeft w:val="0"/>
      <w:marRight w:val="0"/>
      <w:marTop w:val="0"/>
      <w:marBottom w:val="0"/>
      <w:divBdr>
        <w:top w:val="none" w:sz="0" w:space="0" w:color="auto"/>
        <w:left w:val="none" w:sz="0" w:space="0" w:color="auto"/>
        <w:bottom w:val="none" w:sz="0" w:space="0" w:color="auto"/>
        <w:right w:val="none" w:sz="0" w:space="0" w:color="auto"/>
      </w:divBdr>
    </w:div>
    <w:div w:id="1190217439">
      <w:bodyDiv w:val="1"/>
      <w:marLeft w:val="0"/>
      <w:marRight w:val="0"/>
      <w:marTop w:val="0"/>
      <w:marBottom w:val="0"/>
      <w:divBdr>
        <w:top w:val="none" w:sz="0" w:space="0" w:color="auto"/>
        <w:left w:val="none" w:sz="0" w:space="0" w:color="auto"/>
        <w:bottom w:val="none" w:sz="0" w:space="0" w:color="auto"/>
        <w:right w:val="none" w:sz="0" w:space="0" w:color="auto"/>
      </w:divBdr>
    </w:div>
    <w:div w:id="1190291928">
      <w:bodyDiv w:val="1"/>
      <w:marLeft w:val="0"/>
      <w:marRight w:val="0"/>
      <w:marTop w:val="0"/>
      <w:marBottom w:val="0"/>
      <w:divBdr>
        <w:top w:val="none" w:sz="0" w:space="0" w:color="auto"/>
        <w:left w:val="none" w:sz="0" w:space="0" w:color="auto"/>
        <w:bottom w:val="none" w:sz="0" w:space="0" w:color="auto"/>
        <w:right w:val="none" w:sz="0" w:space="0" w:color="auto"/>
      </w:divBdr>
    </w:div>
    <w:div w:id="1190293064">
      <w:bodyDiv w:val="1"/>
      <w:marLeft w:val="0"/>
      <w:marRight w:val="0"/>
      <w:marTop w:val="0"/>
      <w:marBottom w:val="0"/>
      <w:divBdr>
        <w:top w:val="none" w:sz="0" w:space="0" w:color="auto"/>
        <w:left w:val="none" w:sz="0" w:space="0" w:color="auto"/>
        <w:bottom w:val="none" w:sz="0" w:space="0" w:color="auto"/>
        <w:right w:val="none" w:sz="0" w:space="0" w:color="auto"/>
      </w:divBdr>
    </w:div>
    <w:div w:id="1190335169">
      <w:bodyDiv w:val="1"/>
      <w:marLeft w:val="0"/>
      <w:marRight w:val="0"/>
      <w:marTop w:val="0"/>
      <w:marBottom w:val="0"/>
      <w:divBdr>
        <w:top w:val="none" w:sz="0" w:space="0" w:color="auto"/>
        <w:left w:val="none" w:sz="0" w:space="0" w:color="auto"/>
        <w:bottom w:val="none" w:sz="0" w:space="0" w:color="auto"/>
        <w:right w:val="none" w:sz="0" w:space="0" w:color="auto"/>
      </w:divBdr>
    </w:div>
    <w:div w:id="1190338253">
      <w:bodyDiv w:val="1"/>
      <w:marLeft w:val="0"/>
      <w:marRight w:val="0"/>
      <w:marTop w:val="0"/>
      <w:marBottom w:val="0"/>
      <w:divBdr>
        <w:top w:val="none" w:sz="0" w:space="0" w:color="auto"/>
        <w:left w:val="none" w:sz="0" w:space="0" w:color="auto"/>
        <w:bottom w:val="none" w:sz="0" w:space="0" w:color="auto"/>
        <w:right w:val="none" w:sz="0" w:space="0" w:color="auto"/>
      </w:divBdr>
    </w:div>
    <w:div w:id="1190483501">
      <w:bodyDiv w:val="1"/>
      <w:marLeft w:val="0"/>
      <w:marRight w:val="0"/>
      <w:marTop w:val="0"/>
      <w:marBottom w:val="0"/>
      <w:divBdr>
        <w:top w:val="none" w:sz="0" w:space="0" w:color="auto"/>
        <w:left w:val="none" w:sz="0" w:space="0" w:color="auto"/>
        <w:bottom w:val="none" w:sz="0" w:space="0" w:color="auto"/>
        <w:right w:val="none" w:sz="0" w:space="0" w:color="auto"/>
      </w:divBdr>
    </w:div>
    <w:div w:id="1190527272">
      <w:bodyDiv w:val="1"/>
      <w:marLeft w:val="0"/>
      <w:marRight w:val="0"/>
      <w:marTop w:val="0"/>
      <w:marBottom w:val="0"/>
      <w:divBdr>
        <w:top w:val="none" w:sz="0" w:space="0" w:color="auto"/>
        <w:left w:val="none" w:sz="0" w:space="0" w:color="auto"/>
        <w:bottom w:val="none" w:sz="0" w:space="0" w:color="auto"/>
        <w:right w:val="none" w:sz="0" w:space="0" w:color="auto"/>
      </w:divBdr>
    </w:div>
    <w:div w:id="1190677887">
      <w:bodyDiv w:val="1"/>
      <w:marLeft w:val="0"/>
      <w:marRight w:val="0"/>
      <w:marTop w:val="0"/>
      <w:marBottom w:val="0"/>
      <w:divBdr>
        <w:top w:val="none" w:sz="0" w:space="0" w:color="auto"/>
        <w:left w:val="none" w:sz="0" w:space="0" w:color="auto"/>
        <w:bottom w:val="none" w:sz="0" w:space="0" w:color="auto"/>
        <w:right w:val="none" w:sz="0" w:space="0" w:color="auto"/>
      </w:divBdr>
    </w:div>
    <w:div w:id="1190878853">
      <w:bodyDiv w:val="1"/>
      <w:marLeft w:val="0"/>
      <w:marRight w:val="0"/>
      <w:marTop w:val="0"/>
      <w:marBottom w:val="0"/>
      <w:divBdr>
        <w:top w:val="none" w:sz="0" w:space="0" w:color="auto"/>
        <w:left w:val="none" w:sz="0" w:space="0" w:color="auto"/>
        <w:bottom w:val="none" w:sz="0" w:space="0" w:color="auto"/>
        <w:right w:val="none" w:sz="0" w:space="0" w:color="auto"/>
      </w:divBdr>
    </w:div>
    <w:div w:id="1191067670">
      <w:bodyDiv w:val="1"/>
      <w:marLeft w:val="0"/>
      <w:marRight w:val="0"/>
      <w:marTop w:val="0"/>
      <w:marBottom w:val="0"/>
      <w:divBdr>
        <w:top w:val="none" w:sz="0" w:space="0" w:color="auto"/>
        <w:left w:val="none" w:sz="0" w:space="0" w:color="auto"/>
        <w:bottom w:val="none" w:sz="0" w:space="0" w:color="auto"/>
        <w:right w:val="none" w:sz="0" w:space="0" w:color="auto"/>
      </w:divBdr>
    </w:div>
    <w:div w:id="1191072522">
      <w:bodyDiv w:val="1"/>
      <w:marLeft w:val="0"/>
      <w:marRight w:val="0"/>
      <w:marTop w:val="0"/>
      <w:marBottom w:val="0"/>
      <w:divBdr>
        <w:top w:val="none" w:sz="0" w:space="0" w:color="auto"/>
        <w:left w:val="none" w:sz="0" w:space="0" w:color="auto"/>
        <w:bottom w:val="none" w:sz="0" w:space="0" w:color="auto"/>
        <w:right w:val="none" w:sz="0" w:space="0" w:color="auto"/>
      </w:divBdr>
    </w:div>
    <w:div w:id="1191141821">
      <w:bodyDiv w:val="1"/>
      <w:marLeft w:val="0"/>
      <w:marRight w:val="0"/>
      <w:marTop w:val="0"/>
      <w:marBottom w:val="0"/>
      <w:divBdr>
        <w:top w:val="none" w:sz="0" w:space="0" w:color="auto"/>
        <w:left w:val="none" w:sz="0" w:space="0" w:color="auto"/>
        <w:bottom w:val="none" w:sz="0" w:space="0" w:color="auto"/>
        <w:right w:val="none" w:sz="0" w:space="0" w:color="auto"/>
      </w:divBdr>
    </w:div>
    <w:div w:id="1191186399">
      <w:bodyDiv w:val="1"/>
      <w:marLeft w:val="0"/>
      <w:marRight w:val="0"/>
      <w:marTop w:val="0"/>
      <w:marBottom w:val="0"/>
      <w:divBdr>
        <w:top w:val="none" w:sz="0" w:space="0" w:color="auto"/>
        <w:left w:val="none" w:sz="0" w:space="0" w:color="auto"/>
        <w:bottom w:val="none" w:sz="0" w:space="0" w:color="auto"/>
        <w:right w:val="none" w:sz="0" w:space="0" w:color="auto"/>
      </w:divBdr>
    </w:div>
    <w:div w:id="1191263300">
      <w:bodyDiv w:val="1"/>
      <w:marLeft w:val="0"/>
      <w:marRight w:val="0"/>
      <w:marTop w:val="0"/>
      <w:marBottom w:val="0"/>
      <w:divBdr>
        <w:top w:val="none" w:sz="0" w:space="0" w:color="auto"/>
        <w:left w:val="none" w:sz="0" w:space="0" w:color="auto"/>
        <w:bottom w:val="none" w:sz="0" w:space="0" w:color="auto"/>
        <w:right w:val="none" w:sz="0" w:space="0" w:color="auto"/>
      </w:divBdr>
    </w:div>
    <w:div w:id="1191339661">
      <w:bodyDiv w:val="1"/>
      <w:marLeft w:val="0"/>
      <w:marRight w:val="0"/>
      <w:marTop w:val="0"/>
      <w:marBottom w:val="0"/>
      <w:divBdr>
        <w:top w:val="none" w:sz="0" w:space="0" w:color="auto"/>
        <w:left w:val="none" w:sz="0" w:space="0" w:color="auto"/>
        <w:bottom w:val="none" w:sz="0" w:space="0" w:color="auto"/>
        <w:right w:val="none" w:sz="0" w:space="0" w:color="auto"/>
      </w:divBdr>
    </w:div>
    <w:div w:id="1191451022">
      <w:bodyDiv w:val="1"/>
      <w:marLeft w:val="0"/>
      <w:marRight w:val="0"/>
      <w:marTop w:val="0"/>
      <w:marBottom w:val="0"/>
      <w:divBdr>
        <w:top w:val="none" w:sz="0" w:space="0" w:color="auto"/>
        <w:left w:val="none" w:sz="0" w:space="0" w:color="auto"/>
        <w:bottom w:val="none" w:sz="0" w:space="0" w:color="auto"/>
        <w:right w:val="none" w:sz="0" w:space="0" w:color="auto"/>
      </w:divBdr>
    </w:div>
    <w:div w:id="1191455967">
      <w:bodyDiv w:val="1"/>
      <w:marLeft w:val="0"/>
      <w:marRight w:val="0"/>
      <w:marTop w:val="0"/>
      <w:marBottom w:val="0"/>
      <w:divBdr>
        <w:top w:val="none" w:sz="0" w:space="0" w:color="auto"/>
        <w:left w:val="none" w:sz="0" w:space="0" w:color="auto"/>
        <w:bottom w:val="none" w:sz="0" w:space="0" w:color="auto"/>
        <w:right w:val="none" w:sz="0" w:space="0" w:color="auto"/>
      </w:divBdr>
    </w:div>
    <w:div w:id="1191459120">
      <w:bodyDiv w:val="1"/>
      <w:marLeft w:val="0"/>
      <w:marRight w:val="0"/>
      <w:marTop w:val="0"/>
      <w:marBottom w:val="0"/>
      <w:divBdr>
        <w:top w:val="none" w:sz="0" w:space="0" w:color="auto"/>
        <w:left w:val="none" w:sz="0" w:space="0" w:color="auto"/>
        <w:bottom w:val="none" w:sz="0" w:space="0" w:color="auto"/>
        <w:right w:val="none" w:sz="0" w:space="0" w:color="auto"/>
      </w:divBdr>
    </w:div>
    <w:div w:id="1191532333">
      <w:bodyDiv w:val="1"/>
      <w:marLeft w:val="0"/>
      <w:marRight w:val="0"/>
      <w:marTop w:val="0"/>
      <w:marBottom w:val="0"/>
      <w:divBdr>
        <w:top w:val="none" w:sz="0" w:space="0" w:color="auto"/>
        <w:left w:val="none" w:sz="0" w:space="0" w:color="auto"/>
        <w:bottom w:val="none" w:sz="0" w:space="0" w:color="auto"/>
        <w:right w:val="none" w:sz="0" w:space="0" w:color="auto"/>
      </w:divBdr>
    </w:div>
    <w:div w:id="1191722686">
      <w:bodyDiv w:val="1"/>
      <w:marLeft w:val="0"/>
      <w:marRight w:val="0"/>
      <w:marTop w:val="0"/>
      <w:marBottom w:val="0"/>
      <w:divBdr>
        <w:top w:val="none" w:sz="0" w:space="0" w:color="auto"/>
        <w:left w:val="none" w:sz="0" w:space="0" w:color="auto"/>
        <w:bottom w:val="none" w:sz="0" w:space="0" w:color="auto"/>
        <w:right w:val="none" w:sz="0" w:space="0" w:color="auto"/>
      </w:divBdr>
    </w:div>
    <w:div w:id="1191798952">
      <w:bodyDiv w:val="1"/>
      <w:marLeft w:val="0"/>
      <w:marRight w:val="0"/>
      <w:marTop w:val="0"/>
      <w:marBottom w:val="0"/>
      <w:divBdr>
        <w:top w:val="none" w:sz="0" w:space="0" w:color="auto"/>
        <w:left w:val="none" w:sz="0" w:space="0" w:color="auto"/>
        <w:bottom w:val="none" w:sz="0" w:space="0" w:color="auto"/>
        <w:right w:val="none" w:sz="0" w:space="0" w:color="auto"/>
      </w:divBdr>
    </w:div>
    <w:div w:id="1191801751">
      <w:bodyDiv w:val="1"/>
      <w:marLeft w:val="0"/>
      <w:marRight w:val="0"/>
      <w:marTop w:val="0"/>
      <w:marBottom w:val="0"/>
      <w:divBdr>
        <w:top w:val="none" w:sz="0" w:space="0" w:color="auto"/>
        <w:left w:val="none" w:sz="0" w:space="0" w:color="auto"/>
        <w:bottom w:val="none" w:sz="0" w:space="0" w:color="auto"/>
        <w:right w:val="none" w:sz="0" w:space="0" w:color="auto"/>
      </w:divBdr>
    </w:div>
    <w:div w:id="1191846064">
      <w:bodyDiv w:val="1"/>
      <w:marLeft w:val="0"/>
      <w:marRight w:val="0"/>
      <w:marTop w:val="0"/>
      <w:marBottom w:val="0"/>
      <w:divBdr>
        <w:top w:val="none" w:sz="0" w:space="0" w:color="auto"/>
        <w:left w:val="none" w:sz="0" w:space="0" w:color="auto"/>
        <w:bottom w:val="none" w:sz="0" w:space="0" w:color="auto"/>
        <w:right w:val="none" w:sz="0" w:space="0" w:color="auto"/>
      </w:divBdr>
    </w:div>
    <w:div w:id="1191921143">
      <w:bodyDiv w:val="1"/>
      <w:marLeft w:val="0"/>
      <w:marRight w:val="0"/>
      <w:marTop w:val="0"/>
      <w:marBottom w:val="0"/>
      <w:divBdr>
        <w:top w:val="none" w:sz="0" w:space="0" w:color="auto"/>
        <w:left w:val="none" w:sz="0" w:space="0" w:color="auto"/>
        <w:bottom w:val="none" w:sz="0" w:space="0" w:color="auto"/>
        <w:right w:val="none" w:sz="0" w:space="0" w:color="auto"/>
      </w:divBdr>
    </w:div>
    <w:div w:id="1192307949">
      <w:bodyDiv w:val="1"/>
      <w:marLeft w:val="0"/>
      <w:marRight w:val="0"/>
      <w:marTop w:val="0"/>
      <w:marBottom w:val="0"/>
      <w:divBdr>
        <w:top w:val="none" w:sz="0" w:space="0" w:color="auto"/>
        <w:left w:val="none" w:sz="0" w:space="0" w:color="auto"/>
        <w:bottom w:val="none" w:sz="0" w:space="0" w:color="auto"/>
        <w:right w:val="none" w:sz="0" w:space="0" w:color="auto"/>
      </w:divBdr>
    </w:div>
    <w:div w:id="1192378105">
      <w:bodyDiv w:val="1"/>
      <w:marLeft w:val="0"/>
      <w:marRight w:val="0"/>
      <w:marTop w:val="0"/>
      <w:marBottom w:val="0"/>
      <w:divBdr>
        <w:top w:val="none" w:sz="0" w:space="0" w:color="auto"/>
        <w:left w:val="none" w:sz="0" w:space="0" w:color="auto"/>
        <w:bottom w:val="none" w:sz="0" w:space="0" w:color="auto"/>
        <w:right w:val="none" w:sz="0" w:space="0" w:color="auto"/>
      </w:divBdr>
    </w:div>
    <w:div w:id="1192380363">
      <w:bodyDiv w:val="1"/>
      <w:marLeft w:val="0"/>
      <w:marRight w:val="0"/>
      <w:marTop w:val="0"/>
      <w:marBottom w:val="0"/>
      <w:divBdr>
        <w:top w:val="none" w:sz="0" w:space="0" w:color="auto"/>
        <w:left w:val="none" w:sz="0" w:space="0" w:color="auto"/>
        <w:bottom w:val="none" w:sz="0" w:space="0" w:color="auto"/>
        <w:right w:val="none" w:sz="0" w:space="0" w:color="auto"/>
      </w:divBdr>
    </w:div>
    <w:div w:id="1192457524">
      <w:bodyDiv w:val="1"/>
      <w:marLeft w:val="0"/>
      <w:marRight w:val="0"/>
      <w:marTop w:val="0"/>
      <w:marBottom w:val="0"/>
      <w:divBdr>
        <w:top w:val="none" w:sz="0" w:space="0" w:color="auto"/>
        <w:left w:val="none" w:sz="0" w:space="0" w:color="auto"/>
        <w:bottom w:val="none" w:sz="0" w:space="0" w:color="auto"/>
        <w:right w:val="none" w:sz="0" w:space="0" w:color="auto"/>
      </w:divBdr>
    </w:div>
    <w:div w:id="1192524536">
      <w:bodyDiv w:val="1"/>
      <w:marLeft w:val="0"/>
      <w:marRight w:val="0"/>
      <w:marTop w:val="0"/>
      <w:marBottom w:val="0"/>
      <w:divBdr>
        <w:top w:val="none" w:sz="0" w:space="0" w:color="auto"/>
        <w:left w:val="none" w:sz="0" w:space="0" w:color="auto"/>
        <w:bottom w:val="none" w:sz="0" w:space="0" w:color="auto"/>
        <w:right w:val="none" w:sz="0" w:space="0" w:color="auto"/>
      </w:divBdr>
    </w:div>
    <w:div w:id="1192576085">
      <w:bodyDiv w:val="1"/>
      <w:marLeft w:val="0"/>
      <w:marRight w:val="0"/>
      <w:marTop w:val="0"/>
      <w:marBottom w:val="0"/>
      <w:divBdr>
        <w:top w:val="none" w:sz="0" w:space="0" w:color="auto"/>
        <w:left w:val="none" w:sz="0" w:space="0" w:color="auto"/>
        <w:bottom w:val="none" w:sz="0" w:space="0" w:color="auto"/>
        <w:right w:val="none" w:sz="0" w:space="0" w:color="auto"/>
      </w:divBdr>
    </w:div>
    <w:div w:id="1192644311">
      <w:bodyDiv w:val="1"/>
      <w:marLeft w:val="0"/>
      <w:marRight w:val="0"/>
      <w:marTop w:val="0"/>
      <w:marBottom w:val="0"/>
      <w:divBdr>
        <w:top w:val="none" w:sz="0" w:space="0" w:color="auto"/>
        <w:left w:val="none" w:sz="0" w:space="0" w:color="auto"/>
        <w:bottom w:val="none" w:sz="0" w:space="0" w:color="auto"/>
        <w:right w:val="none" w:sz="0" w:space="0" w:color="auto"/>
      </w:divBdr>
    </w:div>
    <w:div w:id="1192721679">
      <w:bodyDiv w:val="1"/>
      <w:marLeft w:val="0"/>
      <w:marRight w:val="0"/>
      <w:marTop w:val="0"/>
      <w:marBottom w:val="0"/>
      <w:divBdr>
        <w:top w:val="none" w:sz="0" w:space="0" w:color="auto"/>
        <w:left w:val="none" w:sz="0" w:space="0" w:color="auto"/>
        <w:bottom w:val="none" w:sz="0" w:space="0" w:color="auto"/>
        <w:right w:val="none" w:sz="0" w:space="0" w:color="auto"/>
      </w:divBdr>
    </w:div>
    <w:div w:id="1192763666">
      <w:bodyDiv w:val="1"/>
      <w:marLeft w:val="0"/>
      <w:marRight w:val="0"/>
      <w:marTop w:val="0"/>
      <w:marBottom w:val="0"/>
      <w:divBdr>
        <w:top w:val="none" w:sz="0" w:space="0" w:color="auto"/>
        <w:left w:val="none" w:sz="0" w:space="0" w:color="auto"/>
        <w:bottom w:val="none" w:sz="0" w:space="0" w:color="auto"/>
        <w:right w:val="none" w:sz="0" w:space="0" w:color="auto"/>
      </w:divBdr>
    </w:div>
    <w:div w:id="1192763790">
      <w:bodyDiv w:val="1"/>
      <w:marLeft w:val="0"/>
      <w:marRight w:val="0"/>
      <w:marTop w:val="0"/>
      <w:marBottom w:val="0"/>
      <w:divBdr>
        <w:top w:val="none" w:sz="0" w:space="0" w:color="auto"/>
        <w:left w:val="none" w:sz="0" w:space="0" w:color="auto"/>
        <w:bottom w:val="none" w:sz="0" w:space="0" w:color="auto"/>
        <w:right w:val="none" w:sz="0" w:space="0" w:color="auto"/>
      </w:divBdr>
    </w:div>
    <w:div w:id="1192915528">
      <w:bodyDiv w:val="1"/>
      <w:marLeft w:val="0"/>
      <w:marRight w:val="0"/>
      <w:marTop w:val="0"/>
      <w:marBottom w:val="0"/>
      <w:divBdr>
        <w:top w:val="none" w:sz="0" w:space="0" w:color="auto"/>
        <w:left w:val="none" w:sz="0" w:space="0" w:color="auto"/>
        <w:bottom w:val="none" w:sz="0" w:space="0" w:color="auto"/>
        <w:right w:val="none" w:sz="0" w:space="0" w:color="auto"/>
      </w:divBdr>
    </w:div>
    <w:div w:id="1192915789">
      <w:bodyDiv w:val="1"/>
      <w:marLeft w:val="0"/>
      <w:marRight w:val="0"/>
      <w:marTop w:val="0"/>
      <w:marBottom w:val="0"/>
      <w:divBdr>
        <w:top w:val="none" w:sz="0" w:space="0" w:color="auto"/>
        <w:left w:val="none" w:sz="0" w:space="0" w:color="auto"/>
        <w:bottom w:val="none" w:sz="0" w:space="0" w:color="auto"/>
        <w:right w:val="none" w:sz="0" w:space="0" w:color="auto"/>
      </w:divBdr>
    </w:div>
    <w:div w:id="1192960371">
      <w:bodyDiv w:val="1"/>
      <w:marLeft w:val="0"/>
      <w:marRight w:val="0"/>
      <w:marTop w:val="0"/>
      <w:marBottom w:val="0"/>
      <w:divBdr>
        <w:top w:val="none" w:sz="0" w:space="0" w:color="auto"/>
        <w:left w:val="none" w:sz="0" w:space="0" w:color="auto"/>
        <w:bottom w:val="none" w:sz="0" w:space="0" w:color="auto"/>
        <w:right w:val="none" w:sz="0" w:space="0" w:color="auto"/>
      </w:divBdr>
    </w:div>
    <w:div w:id="1193107476">
      <w:bodyDiv w:val="1"/>
      <w:marLeft w:val="0"/>
      <w:marRight w:val="0"/>
      <w:marTop w:val="0"/>
      <w:marBottom w:val="0"/>
      <w:divBdr>
        <w:top w:val="none" w:sz="0" w:space="0" w:color="auto"/>
        <w:left w:val="none" w:sz="0" w:space="0" w:color="auto"/>
        <w:bottom w:val="none" w:sz="0" w:space="0" w:color="auto"/>
        <w:right w:val="none" w:sz="0" w:space="0" w:color="auto"/>
      </w:divBdr>
    </w:div>
    <w:div w:id="1193375015">
      <w:bodyDiv w:val="1"/>
      <w:marLeft w:val="0"/>
      <w:marRight w:val="0"/>
      <w:marTop w:val="0"/>
      <w:marBottom w:val="0"/>
      <w:divBdr>
        <w:top w:val="none" w:sz="0" w:space="0" w:color="auto"/>
        <w:left w:val="none" w:sz="0" w:space="0" w:color="auto"/>
        <w:bottom w:val="none" w:sz="0" w:space="0" w:color="auto"/>
        <w:right w:val="none" w:sz="0" w:space="0" w:color="auto"/>
      </w:divBdr>
    </w:div>
    <w:div w:id="1193492110">
      <w:bodyDiv w:val="1"/>
      <w:marLeft w:val="0"/>
      <w:marRight w:val="0"/>
      <w:marTop w:val="0"/>
      <w:marBottom w:val="0"/>
      <w:divBdr>
        <w:top w:val="none" w:sz="0" w:space="0" w:color="auto"/>
        <w:left w:val="none" w:sz="0" w:space="0" w:color="auto"/>
        <w:bottom w:val="none" w:sz="0" w:space="0" w:color="auto"/>
        <w:right w:val="none" w:sz="0" w:space="0" w:color="auto"/>
      </w:divBdr>
    </w:div>
    <w:div w:id="1193497850">
      <w:bodyDiv w:val="1"/>
      <w:marLeft w:val="0"/>
      <w:marRight w:val="0"/>
      <w:marTop w:val="0"/>
      <w:marBottom w:val="0"/>
      <w:divBdr>
        <w:top w:val="none" w:sz="0" w:space="0" w:color="auto"/>
        <w:left w:val="none" w:sz="0" w:space="0" w:color="auto"/>
        <w:bottom w:val="none" w:sz="0" w:space="0" w:color="auto"/>
        <w:right w:val="none" w:sz="0" w:space="0" w:color="auto"/>
      </w:divBdr>
    </w:div>
    <w:div w:id="1193610313">
      <w:bodyDiv w:val="1"/>
      <w:marLeft w:val="0"/>
      <w:marRight w:val="0"/>
      <w:marTop w:val="0"/>
      <w:marBottom w:val="0"/>
      <w:divBdr>
        <w:top w:val="none" w:sz="0" w:space="0" w:color="auto"/>
        <w:left w:val="none" w:sz="0" w:space="0" w:color="auto"/>
        <w:bottom w:val="none" w:sz="0" w:space="0" w:color="auto"/>
        <w:right w:val="none" w:sz="0" w:space="0" w:color="auto"/>
      </w:divBdr>
    </w:div>
    <w:div w:id="1193803799">
      <w:bodyDiv w:val="1"/>
      <w:marLeft w:val="0"/>
      <w:marRight w:val="0"/>
      <w:marTop w:val="0"/>
      <w:marBottom w:val="0"/>
      <w:divBdr>
        <w:top w:val="none" w:sz="0" w:space="0" w:color="auto"/>
        <w:left w:val="none" w:sz="0" w:space="0" w:color="auto"/>
        <w:bottom w:val="none" w:sz="0" w:space="0" w:color="auto"/>
        <w:right w:val="none" w:sz="0" w:space="0" w:color="auto"/>
      </w:divBdr>
    </w:div>
    <w:div w:id="1193807601">
      <w:bodyDiv w:val="1"/>
      <w:marLeft w:val="0"/>
      <w:marRight w:val="0"/>
      <w:marTop w:val="0"/>
      <w:marBottom w:val="0"/>
      <w:divBdr>
        <w:top w:val="none" w:sz="0" w:space="0" w:color="auto"/>
        <w:left w:val="none" w:sz="0" w:space="0" w:color="auto"/>
        <w:bottom w:val="none" w:sz="0" w:space="0" w:color="auto"/>
        <w:right w:val="none" w:sz="0" w:space="0" w:color="auto"/>
      </w:divBdr>
    </w:div>
    <w:div w:id="1193882538">
      <w:bodyDiv w:val="1"/>
      <w:marLeft w:val="0"/>
      <w:marRight w:val="0"/>
      <w:marTop w:val="0"/>
      <w:marBottom w:val="0"/>
      <w:divBdr>
        <w:top w:val="none" w:sz="0" w:space="0" w:color="auto"/>
        <w:left w:val="none" w:sz="0" w:space="0" w:color="auto"/>
        <w:bottom w:val="none" w:sz="0" w:space="0" w:color="auto"/>
        <w:right w:val="none" w:sz="0" w:space="0" w:color="auto"/>
      </w:divBdr>
    </w:div>
    <w:div w:id="1194003968">
      <w:bodyDiv w:val="1"/>
      <w:marLeft w:val="0"/>
      <w:marRight w:val="0"/>
      <w:marTop w:val="0"/>
      <w:marBottom w:val="0"/>
      <w:divBdr>
        <w:top w:val="none" w:sz="0" w:space="0" w:color="auto"/>
        <w:left w:val="none" w:sz="0" w:space="0" w:color="auto"/>
        <w:bottom w:val="none" w:sz="0" w:space="0" w:color="auto"/>
        <w:right w:val="none" w:sz="0" w:space="0" w:color="auto"/>
      </w:divBdr>
    </w:div>
    <w:div w:id="1194073675">
      <w:bodyDiv w:val="1"/>
      <w:marLeft w:val="0"/>
      <w:marRight w:val="0"/>
      <w:marTop w:val="0"/>
      <w:marBottom w:val="0"/>
      <w:divBdr>
        <w:top w:val="none" w:sz="0" w:space="0" w:color="auto"/>
        <w:left w:val="none" w:sz="0" w:space="0" w:color="auto"/>
        <w:bottom w:val="none" w:sz="0" w:space="0" w:color="auto"/>
        <w:right w:val="none" w:sz="0" w:space="0" w:color="auto"/>
      </w:divBdr>
    </w:div>
    <w:div w:id="1194078363">
      <w:bodyDiv w:val="1"/>
      <w:marLeft w:val="0"/>
      <w:marRight w:val="0"/>
      <w:marTop w:val="0"/>
      <w:marBottom w:val="0"/>
      <w:divBdr>
        <w:top w:val="none" w:sz="0" w:space="0" w:color="auto"/>
        <w:left w:val="none" w:sz="0" w:space="0" w:color="auto"/>
        <w:bottom w:val="none" w:sz="0" w:space="0" w:color="auto"/>
        <w:right w:val="none" w:sz="0" w:space="0" w:color="auto"/>
      </w:divBdr>
    </w:div>
    <w:div w:id="1194535906">
      <w:bodyDiv w:val="1"/>
      <w:marLeft w:val="0"/>
      <w:marRight w:val="0"/>
      <w:marTop w:val="0"/>
      <w:marBottom w:val="0"/>
      <w:divBdr>
        <w:top w:val="none" w:sz="0" w:space="0" w:color="auto"/>
        <w:left w:val="none" w:sz="0" w:space="0" w:color="auto"/>
        <w:bottom w:val="none" w:sz="0" w:space="0" w:color="auto"/>
        <w:right w:val="none" w:sz="0" w:space="0" w:color="auto"/>
      </w:divBdr>
    </w:div>
    <w:div w:id="1194612363">
      <w:bodyDiv w:val="1"/>
      <w:marLeft w:val="0"/>
      <w:marRight w:val="0"/>
      <w:marTop w:val="0"/>
      <w:marBottom w:val="0"/>
      <w:divBdr>
        <w:top w:val="none" w:sz="0" w:space="0" w:color="auto"/>
        <w:left w:val="none" w:sz="0" w:space="0" w:color="auto"/>
        <w:bottom w:val="none" w:sz="0" w:space="0" w:color="auto"/>
        <w:right w:val="none" w:sz="0" w:space="0" w:color="auto"/>
      </w:divBdr>
    </w:div>
    <w:div w:id="1194613651">
      <w:bodyDiv w:val="1"/>
      <w:marLeft w:val="0"/>
      <w:marRight w:val="0"/>
      <w:marTop w:val="0"/>
      <w:marBottom w:val="0"/>
      <w:divBdr>
        <w:top w:val="none" w:sz="0" w:space="0" w:color="auto"/>
        <w:left w:val="none" w:sz="0" w:space="0" w:color="auto"/>
        <w:bottom w:val="none" w:sz="0" w:space="0" w:color="auto"/>
        <w:right w:val="none" w:sz="0" w:space="0" w:color="auto"/>
      </w:divBdr>
    </w:div>
    <w:div w:id="1194808507">
      <w:bodyDiv w:val="1"/>
      <w:marLeft w:val="0"/>
      <w:marRight w:val="0"/>
      <w:marTop w:val="0"/>
      <w:marBottom w:val="0"/>
      <w:divBdr>
        <w:top w:val="none" w:sz="0" w:space="0" w:color="auto"/>
        <w:left w:val="none" w:sz="0" w:space="0" w:color="auto"/>
        <w:bottom w:val="none" w:sz="0" w:space="0" w:color="auto"/>
        <w:right w:val="none" w:sz="0" w:space="0" w:color="auto"/>
      </w:divBdr>
    </w:div>
    <w:div w:id="1194924817">
      <w:bodyDiv w:val="1"/>
      <w:marLeft w:val="0"/>
      <w:marRight w:val="0"/>
      <w:marTop w:val="0"/>
      <w:marBottom w:val="0"/>
      <w:divBdr>
        <w:top w:val="none" w:sz="0" w:space="0" w:color="auto"/>
        <w:left w:val="none" w:sz="0" w:space="0" w:color="auto"/>
        <w:bottom w:val="none" w:sz="0" w:space="0" w:color="auto"/>
        <w:right w:val="none" w:sz="0" w:space="0" w:color="auto"/>
      </w:divBdr>
    </w:div>
    <w:div w:id="1195000678">
      <w:bodyDiv w:val="1"/>
      <w:marLeft w:val="0"/>
      <w:marRight w:val="0"/>
      <w:marTop w:val="0"/>
      <w:marBottom w:val="0"/>
      <w:divBdr>
        <w:top w:val="none" w:sz="0" w:space="0" w:color="auto"/>
        <w:left w:val="none" w:sz="0" w:space="0" w:color="auto"/>
        <w:bottom w:val="none" w:sz="0" w:space="0" w:color="auto"/>
        <w:right w:val="none" w:sz="0" w:space="0" w:color="auto"/>
      </w:divBdr>
    </w:div>
    <w:div w:id="1195073636">
      <w:bodyDiv w:val="1"/>
      <w:marLeft w:val="0"/>
      <w:marRight w:val="0"/>
      <w:marTop w:val="0"/>
      <w:marBottom w:val="0"/>
      <w:divBdr>
        <w:top w:val="none" w:sz="0" w:space="0" w:color="auto"/>
        <w:left w:val="none" w:sz="0" w:space="0" w:color="auto"/>
        <w:bottom w:val="none" w:sz="0" w:space="0" w:color="auto"/>
        <w:right w:val="none" w:sz="0" w:space="0" w:color="auto"/>
      </w:divBdr>
    </w:div>
    <w:div w:id="1195077494">
      <w:bodyDiv w:val="1"/>
      <w:marLeft w:val="0"/>
      <w:marRight w:val="0"/>
      <w:marTop w:val="0"/>
      <w:marBottom w:val="0"/>
      <w:divBdr>
        <w:top w:val="none" w:sz="0" w:space="0" w:color="auto"/>
        <w:left w:val="none" w:sz="0" w:space="0" w:color="auto"/>
        <w:bottom w:val="none" w:sz="0" w:space="0" w:color="auto"/>
        <w:right w:val="none" w:sz="0" w:space="0" w:color="auto"/>
      </w:divBdr>
    </w:div>
    <w:div w:id="1195117324">
      <w:bodyDiv w:val="1"/>
      <w:marLeft w:val="0"/>
      <w:marRight w:val="0"/>
      <w:marTop w:val="0"/>
      <w:marBottom w:val="0"/>
      <w:divBdr>
        <w:top w:val="none" w:sz="0" w:space="0" w:color="auto"/>
        <w:left w:val="none" w:sz="0" w:space="0" w:color="auto"/>
        <w:bottom w:val="none" w:sz="0" w:space="0" w:color="auto"/>
        <w:right w:val="none" w:sz="0" w:space="0" w:color="auto"/>
      </w:divBdr>
    </w:div>
    <w:div w:id="1195146703">
      <w:bodyDiv w:val="1"/>
      <w:marLeft w:val="0"/>
      <w:marRight w:val="0"/>
      <w:marTop w:val="0"/>
      <w:marBottom w:val="0"/>
      <w:divBdr>
        <w:top w:val="none" w:sz="0" w:space="0" w:color="auto"/>
        <w:left w:val="none" w:sz="0" w:space="0" w:color="auto"/>
        <w:bottom w:val="none" w:sz="0" w:space="0" w:color="auto"/>
        <w:right w:val="none" w:sz="0" w:space="0" w:color="auto"/>
      </w:divBdr>
    </w:div>
    <w:div w:id="1195188536">
      <w:bodyDiv w:val="1"/>
      <w:marLeft w:val="0"/>
      <w:marRight w:val="0"/>
      <w:marTop w:val="0"/>
      <w:marBottom w:val="0"/>
      <w:divBdr>
        <w:top w:val="none" w:sz="0" w:space="0" w:color="auto"/>
        <w:left w:val="none" w:sz="0" w:space="0" w:color="auto"/>
        <w:bottom w:val="none" w:sz="0" w:space="0" w:color="auto"/>
        <w:right w:val="none" w:sz="0" w:space="0" w:color="auto"/>
      </w:divBdr>
    </w:div>
    <w:div w:id="1195193106">
      <w:bodyDiv w:val="1"/>
      <w:marLeft w:val="0"/>
      <w:marRight w:val="0"/>
      <w:marTop w:val="0"/>
      <w:marBottom w:val="0"/>
      <w:divBdr>
        <w:top w:val="none" w:sz="0" w:space="0" w:color="auto"/>
        <w:left w:val="none" w:sz="0" w:space="0" w:color="auto"/>
        <w:bottom w:val="none" w:sz="0" w:space="0" w:color="auto"/>
        <w:right w:val="none" w:sz="0" w:space="0" w:color="auto"/>
      </w:divBdr>
    </w:div>
    <w:div w:id="1195269373">
      <w:bodyDiv w:val="1"/>
      <w:marLeft w:val="0"/>
      <w:marRight w:val="0"/>
      <w:marTop w:val="0"/>
      <w:marBottom w:val="0"/>
      <w:divBdr>
        <w:top w:val="none" w:sz="0" w:space="0" w:color="auto"/>
        <w:left w:val="none" w:sz="0" w:space="0" w:color="auto"/>
        <w:bottom w:val="none" w:sz="0" w:space="0" w:color="auto"/>
        <w:right w:val="none" w:sz="0" w:space="0" w:color="auto"/>
      </w:divBdr>
    </w:div>
    <w:div w:id="1195338902">
      <w:bodyDiv w:val="1"/>
      <w:marLeft w:val="0"/>
      <w:marRight w:val="0"/>
      <w:marTop w:val="0"/>
      <w:marBottom w:val="0"/>
      <w:divBdr>
        <w:top w:val="none" w:sz="0" w:space="0" w:color="auto"/>
        <w:left w:val="none" w:sz="0" w:space="0" w:color="auto"/>
        <w:bottom w:val="none" w:sz="0" w:space="0" w:color="auto"/>
        <w:right w:val="none" w:sz="0" w:space="0" w:color="auto"/>
      </w:divBdr>
    </w:div>
    <w:div w:id="1195387862">
      <w:bodyDiv w:val="1"/>
      <w:marLeft w:val="0"/>
      <w:marRight w:val="0"/>
      <w:marTop w:val="0"/>
      <w:marBottom w:val="0"/>
      <w:divBdr>
        <w:top w:val="none" w:sz="0" w:space="0" w:color="auto"/>
        <w:left w:val="none" w:sz="0" w:space="0" w:color="auto"/>
        <w:bottom w:val="none" w:sz="0" w:space="0" w:color="auto"/>
        <w:right w:val="none" w:sz="0" w:space="0" w:color="auto"/>
      </w:divBdr>
    </w:div>
    <w:div w:id="1195462955">
      <w:bodyDiv w:val="1"/>
      <w:marLeft w:val="0"/>
      <w:marRight w:val="0"/>
      <w:marTop w:val="0"/>
      <w:marBottom w:val="0"/>
      <w:divBdr>
        <w:top w:val="none" w:sz="0" w:space="0" w:color="auto"/>
        <w:left w:val="none" w:sz="0" w:space="0" w:color="auto"/>
        <w:bottom w:val="none" w:sz="0" w:space="0" w:color="auto"/>
        <w:right w:val="none" w:sz="0" w:space="0" w:color="auto"/>
      </w:divBdr>
    </w:div>
    <w:div w:id="1195650553">
      <w:bodyDiv w:val="1"/>
      <w:marLeft w:val="0"/>
      <w:marRight w:val="0"/>
      <w:marTop w:val="0"/>
      <w:marBottom w:val="0"/>
      <w:divBdr>
        <w:top w:val="none" w:sz="0" w:space="0" w:color="auto"/>
        <w:left w:val="none" w:sz="0" w:space="0" w:color="auto"/>
        <w:bottom w:val="none" w:sz="0" w:space="0" w:color="auto"/>
        <w:right w:val="none" w:sz="0" w:space="0" w:color="auto"/>
      </w:divBdr>
    </w:div>
    <w:div w:id="1195656246">
      <w:bodyDiv w:val="1"/>
      <w:marLeft w:val="0"/>
      <w:marRight w:val="0"/>
      <w:marTop w:val="0"/>
      <w:marBottom w:val="0"/>
      <w:divBdr>
        <w:top w:val="none" w:sz="0" w:space="0" w:color="auto"/>
        <w:left w:val="none" w:sz="0" w:space="0" w:color="auto"/>
        <w:bottom w:val="none" w:sz="0" w:space="0" w:color="auto"/>
        <w:right w:val="none" w:sz="0" w:space="0" w:color="auto"/>
      </w:divBdr>
    </w:div>
    <w:div w:id="1195656726">
      <w:bodyDiv w:val="1"/>
      <w:marLeft w:val="0"/>
      <w:marRight w:val="0"/>
      <w:marTop w:val="0"/>
      <w:marBottom w:val="0"/>
      <w:divBdr>
        <w:top w:val="none" w:sz="0" w:space="0" w:color="auto"/>
        <w:left w:val="none" w:sz="0" w:space="0" w:color="auto"/>
        <w:bottom w:val="none" w:sz="0" w:space="0" w:color="auto"/>
        <w:right w:val="none" w:sz="0" w:space="0" w:color="auto"/>
      </w:divBdr>
    </w:div>
    <w:div w:id="1195773425">
      <w:bodyDiv w:val="1"/>
      <w:marLeft w:val="0"/>
      <w:marRight w:val="0"/>
      <w:marTop w:val="0"/>
      <w:marBottom w:val="0"/>
      <w:divBdr>
        <w:top w:val="none" w:sz="0" w:space="0" w:color="auto"/>
        <w:left w:val="none" w:sz="0" w:space="0" w:color="auto"/>
        <w:bottom w:val="none" w:sz="0" w:space="0" w:color="auto"/>
        <w:right w:val="none" w:sz="0" w:space="0" w:color="auto"/>
      </w:divBdr>
    </w:div>
    <w:div w:id="1195775451">
      <w:bodyDiv w:val="1"/>
      <w:marLeft w:val="0"/>
      <w:marRight w:val="0"/>
      <w:marTop w:val="0"/>
      <w:marBottom w:val="0"/>
      <w:divBdr>
        <w:top w:val="none" w:sz="0" w:space="0" w:color="auto"/>
        <w:left w:val="none" w:sz="0" w:space="0" w:color="auto"/>
        <w:bottom w:val="none" w:sz="0" w:space="0" w:color="auto"/>
        <w:right w:val="none" w:sz="0" w:space="0" w:color="auto"/>
      </w:divBdr>
    </w:div>
    <w:div w:id="1195777686">
      <w:bodyDiv w:val="1"/>
      <w:marLeft w:val="0"/>
      <w:marRight w:val="0"/>
      <w:marTop w:val="0"/>
      <w:marBottom w:val="0"/>
      <w:divBdr>
        <w:top w:val="none" w:sz="0" w:space="0" w:color="auto"/>
        <w:left w:val="none" w:sz="0" w:space="0" w:color="auto"/>
        <w:bottom w:val="none" w:sz="0" w:space="0" w:color="auto"/>
        <w:right w:val="none" w:sz="0" w:space="0" w:color="auto"/>
      </w:divBdr>
    </w:div>
    <w:div w:id="1195848787">
      <w:bodyDiv w:val="1"/>
      <w:marLeft w:val="0"/>
      <w:marRight w:val="0"/>
      <w:marTop w:val="0"/>
      <w:marBottom w:val="0"/>
      <w:divBdr>
        <w:top w:val="none" w:sz="0" w:space="0" w:color="auto"/>
        <w:left w:val="none" w:sz="0" w:space="0" w:color="auto"/>
        <w:bottom w:val="none" w:sz="0" w:space="0" w:color="auto"/>
        <w:right w:val="none" w:sz="0" w:space="0" w:color="auto"/>
      </w:divBdr>
    </w:div>
    <w:div w:id="1195927935">
      <w:bodyDiv w:val="1"/>
      <w:marLeft w:val="0"/>
      <w:marRight w:val="0"/>
      <w:marTop w:val="0"/>
      <w:marBottom w:val="0"/>
      <w:divBdr>
        <w:top w:val="none" w:sz="0" w:space="0" w:color="auto"/>
        <w:left w:val="none" w:sz="0" w:space="0" w:color="auto"/>
        <w:bottom w:val="none" w:sz="0" w:space="0" w:color="auto"/>
        <w:right w:val="none" w:sz="0" w:space="0" w:color="auto"/>
      </w:divBdr>
    </w:div>
    <w:div w:id="1195999195">
      <w:bodyDiv w:val="1"/>
      <w:marLeft w:val="0"/>
      <w:marRight w:val="0"/>
      <w:marTop w:val="0"/>
      <w:marBottom w:val="0"/>
      <w:divBdr>
        <w:top w:val="none" w:sz="0" w:space="0" w:color="auto"/>
        <w:left w:val="none" w:sz="0" w:space="0" w:color="auto"/>
        <w:bottom w:val="none" w:sz="0" w:space="0" w:color="auto"/>
        <w:right w:val="none" w:sz="0" w:space="0" w:color="auto"/>
      </w:divBdr>
    </w:div>
    <w:div w:id="1196042042">
      <w:bodyDiv w:val="1"/>
      <w:marLeft w:val="0"/>
      <w:marRight w:val="0"/>
      <w:marTop w:val="0"/>
      <w:marBottom w:val="0"/>
      <w:divBdr>
        <w:top w:val="none" w:sz="0" w:space="0" w:color="auto"/>
        <w:left w:val="none" w:sz="0" w:space="0" w:color="auto"/>
        <w:bottom w:val="none" w:sz="0" w:space="0" w:color="auto"/>
        <w:right w:val="none" w:sz="0" w:space="0" w:color="auto"/>
      </w:divBdr>
    </w:div>
    <w:div w:id="1196118688">
      <w:bodyDiv w:val="1"/>
      <w:marLeft w:val="0"/>
      <w:marRight w:val="0"/>
      <w:marTop w:val="0"/>
      <w:marBottom w:val="0"/>
      <w:divBdr>
        <w:top w:val="none" w:sz="0" w:space="0" w:color="auto"/>
        <w:left w:val="none" w:sz="0" w:space="0" w:color="auto"/>
        <w:bottom w:val="none" w:sz="0" w:space="0" w:color="auto"/>
        <w:right w:val="none" w:sz="0" w:space="0" w:color="auto"/>
      </w:divBdr>
    </w:div>
    <w:div w:id="1196120258">
      <w:bodyDiv w:val="1"/>
      <w:marLeft w:val="0"/>
      <w:marRight w:val="0"/>
      <w:marTop w:val="0"/>
      <w:marBottom w:val="0"/>
      <w:divBdr>
        <w:top w:val="none" w:sz="0" w:space="0" w:color="auto"/>
        <w:left w:val="none" w:sz="0" w:space="0" w:color="auto"/>
        <w:bottom w:val="none" w:sz="0" w:space="0" w:color="auto"/>
        <w:right w:val="none" w:sz="0" w:space="0" w:color="auto"/>
      </w:divBdr>
    </w:div>
    <w:div w:id="1196234569">
      <w:bodyDiv w:val="1"/>
      <w:marLeft w:val="0"/>
      <w:marRight w:val="0"/>
      <w:marTop w:val="0"/>
      <w:marBottom w:val="0"/>
      <w:divBdr>
        <w:top w:val="none" w:sz="0" w:space="0" w:color="auto"/>
        <w:left w:val="none" w:sz="0" w:space="0" w:color="auto"/>
        <w:bottom w:val="none" w:sz="0" w:space="0" w:color="auto"/>
        <w:right w:val="none" w:sz="0" w:space="0" w:color="auto"/>
      </w:divBdr>
    </w:div>
    <w:div w:id="1196238323">
      <w:bodyDiv w:val="1"/>
      <w:marLeft w:val="0"/>
      <w:marRight w:val="0"/>
      <w:marTop w:val="0"/>
      <w:marBottom w:val="0"/>
      <w:divBdr>
        <w:top w:val="none" w:sz="0" w:space="0" w:color="auto"/>
        <w:left w:val="none" w:sz="0" w:space="0" w:color="auto"/>
        <w:bottom w:val="none" w:sz="0" w:space="0" w:color="auto"/>
        <w:right w:val="none" w:sz="0" w:space="0" w:color="auto"/>
      </w:divBdr>
    </w:div>
    <w:div w:id="1196305557">
      <w:bodyDiv w:val="1"/>
      <w:marLeft w:val="0"/>
      <w:marRight w:val="0"/>
      <w:marTop w:val="0"/>
      <w:marBottom w:val="0"/>
      <w:divBdr>
        <w:top w:val="none" w:sz="0" w:space="0" w:color="auto"/>
        <w:left w:val="none" w:sz="0" w:space="0" w:color="auto"/>
        <w:bottom w:val="none" w:sz="0" w:space="0" w:color="auto"/>
        <w:right w:val="none" w:sz="0" w:space="0" w:color="auto"/>
      </w:divBdr>
    </w:div>
    <w:div w:id="1196310880">
      <w:bodyDiv w:val="1"/>
      <w:marLeft w:val="0"/>
      <w:marRight w:val="0"/>
      <w:marTop w:val="0"/>
      <w:marBottom w:val="0"/>
      <w:divBdr>
        <w:top w:val="none" w:sz="0" w:space="0" w:color="auto"/>
        <w:left w:val="none" w:sz="0" w:space="0" w:color="auto"/>
        <w:bottom w:val="none" w:sz="0" w:space="0" w:color="auto"/>
        <w:right w:val="none" w:sz="0" w:space="0" w:color="auto"/>
      </w:divBdr>
    </w:div>
    <w:div w:id="1196313675">
      <w:bodyDiv w:val="1"/>
      <w:marLeft w:val="0"/>
      <w:marRight w:val="0"/>
      <w:marTop w:val="0"/>
      <w:marBottom w:val="0"/>
      <w:divBdr>
        <w:top w:val="none" w:sz="0" w:space="0" w:color="auto"/>
        <w:left w:val="none" w:sz="0" w:space="0" w:color="auto"/>
        <w:bottom w:val="none" w:sz="0" w:space="0" w:color="auto"/>
        <w:right w:val="none" w:sz="0" w:space="0" w:color="auto"/>
      </w:divBdr>
    </w:div>
    <w:div w:id="1196314430">
      <w:bodyDiv w:val="1"/>
      <w:marLeft w:val="0"/>
      <w:marRight w:val="0"/>
      <w:marTop w:val="0"/>
      <w:marBottom w:val="0"/>
      <w:divBdr>
        <w:top w:val="none" w:sz="0" w:space="0" w:color="auto"/>
        <w:left w:val="none" w:sz="0" w:space="0" w:color="auto"/>
        <w:bottom w:val="none" w:sz="0" w:space="0" w:color="auto"/>
        <w:right w:val="none" w:sz="0" w:space="0" w:color="auto"/>
      </w:divBdr>
    </w:div>
    <w:div w:id="1196382775">
      <w:bodyDiv w:val="1"/>
      <w:marLeft w:val="0"/>
      <w:marRight w:val="0"/>
      <w:marTop w:val="0"/>
      <w:marBottom w:val="0"/>
      <w:divBdr>
        <w:top w:val="none" w:sz="0" w:space="0" w:color="auto"/>
        <w:left w:val="none" w:sz="0" w:space="0" w:color="auto"/>
        <w:bottom w:val="none" w:sz="0" w:space="0" w:color="auto"/>
        <w:right w:val="none" w:sz="0" w:space="0" w:color="auto"/>
      </w:divBdr>
    </w:div>
    <w:div w:id="1196384948">
      <w:bodyDiv w:val="1"/>
      <w:marLeft w:val="0"/>
      <w:marRight w:val="0"/>
      <w:marTop w:val="0"/>
      <w:marBottom w:val="0"/>
      <w:divBdr>
        <w:top w:val="none" w:sz="0" w:space="0" w:color="auto"/>
        <w:left w:val="none" w:sz="0" w:space="0" w:color="auto"/>
        <w:bottom w:val="none" w:sz="0" w:space="0" w:color="auto"/>
        <w:right w:val="none" w:sz="0" w:space="0" w:color="auto"/>
      </w:divBdr>
    </w:div>
    <w:div w:id="1196507961">
      <w:bodyDiv w:val="1"/>
      <w:marLeft w:val="0"/>
      <w:marRight w:val="0"/>
      <w:marTop w:val="0"/>
      <w:marBottom w:val="0"/>
      <w:divBdr>
        <w:top w:val="none" w:sz="0" w:space="0" w:color="auto"/>
        <w:left w:val="none" w:sz="0" w:space="0" w:color="auto"/>
        <w:bottom w:val="none" w:sz="0" w:space="0" w:color="auto"/>
        <w:right w:val="none" w:sz="0" w:space="0" w:color="auto"/>
      </w:divBdr>
    </w:div>
    <w:div w:id="1196649798">
      <w:bodyDiv w:val="1"/>
      <w:marLeft w:val="0"/>
      <w:marRight w:val="0"/>
      <w:marTop w:val="0"/>
      <w:marBottom w:val="0"/>
      <w:divBdr>
        <w:top w:val="none" w:sz="0" w:space="0" w:color="auto"/>
        <w:left w:val="none" w:sz="0" w:space="0" w:color="auto"/>
        <w:bottom w:val="none" w:sz="0" w:space="0" w:color="auto"/>
        <w:right w:val="none" w:sz="0" w:space="0" w:color="auto"/>
      </w:divBdr>
    </w:div>
    <w:div w:id="1196692802">
      <w:bodyDiv w:val="1"/>
      <w:marLeft w:val="0"/>
      <w:marRight w:val="0"/>
      <w:marTop w:val="0"/>
      <w:marBottom w:val="0"/>
      <w:divBdr>
        <w:top w:val="none" w:sz="0" w:space="0" w:color="auto"/>
        <w:left w:val="none" w:sz="0" w:space="0" w:color="auto"/>
        <w:bottom w:val="none" w:sz="0" w:space="0" w:color="auto"/>
        <w:right w:val="none" w:sz="0" w:space="0" w:color="auto"/>
      </w:divBdr>
    </w:div>
    <w:div w:id="1196843551">
      <w:bodyDiv w:val="1"/>
      <w:marLeft w:val="0"/>
      <w:marRight w:val="0"/>
      <w:marTop w:val="0"/>
      <w:marBottom w:val="0"/>
      <w:divBdr>
        <w:top w:val="none" w:sz="0" w:space="0" w:color="auto"/>
        <w:left w:val="none" w:sz="0" w:space="0" w:color="auto"/>
        <w:bottom w:val="none" w:sz="0" w:space="0" w:color="auto"/>
        <w:right w:val="none" w:sz="0" w:space="0" w:color="auto"/>
      </w:divBdr>
    </w:div>
    <w:div w:id="1197238915">
      <w:bodyDiv w:val="1"/>
      <w:marLeft w:val="0"/>
      <w:marRight w:val="0"/>
      <w:marTop w:val="0"/>
      <w:marBottom w:val="0"/>
      <w:divBdr>
        <w:top w:val="none" w:sz="0" w:space="0" w:color="auto"/>
        <w:left w:val="none" w:sz="0" w:space="0" w:color="auto"/>
        <w:bottom w:val="none" w:sz="0" w:space="0" w:color="auto"/>
        <w:right w:val="none" w:sz="0" w:space="0" w:color="auto"/>
      </w:divBdr>
    </w:div>
    <w:div w:id="1197305548">
      <w:bodyDiv w:val="1"/>
      <w:marLeft w:val="0"/>
      <w:marRight w:val="0"/>
      <w:marTop w:val="0"/>
      <w:marBottom w:val="0"/>
      <w:divBdr>
        <w:top w:val="none" w:sz="0" w:space="0" w:color="auto"/>
        <w:left w:val="none" w:sz="0" w:space="0" w:color="auto"/>
        <w:bottom w:val="none" w:sz="0" w:space="0" w:color="auto"/>
        <w:right w:val="none" w:sz="0" w:space="0" w:color="auto"/>
      </w:divBdr>
    </w:div>
    <w:div w:id="1197306632">
      <w:bodyDiv w:val="1"/>
      <w:marLeft w:val="0"/>
      <w:marRight w:val="0"/>
      <w:marTop w:val="0"/>
      <w:marBottom w:val="0"/>
      <w:divBdr>
        <w:top w:val="none" w:sz="0" w:space="0" w:color="auto"/>
        <w:left w:val="none" w:sz="0" w:space="0" w:color="auto"/>
        <w:bottom w:val="none" w:sz="0" w:space="0" w:color="auto"/>
        <w:right w:val="none" w:sz="0" w:space="0" w:color="auto"/>
      </w:divBdr>
    </w:div>
    <w:div w:id="1197356911">
      <w:bodyDiv w:val="1"/>
      <w:marLeft w:val="0"/>
      <w:marRight w:val="0"/>
      <w:marTop w:val="0"/>
      <w:marBottom w:val="0"/>
      <w:divBdr>
        <w:top w:val="none" w:sz="0" w:space="0" w:color="auto"/>
        <w:left w:val="none" w:sz="0" w:space="0" w:color="auto"/>
        <w:bottom w:val="none" w:sz="0" w:space="0" w:color="auto"/>
        <w:right w:val="none" w:sz="0" w:space="0" w:color="auto"/>
      </w:divBdr>
    </w:div>
    <w:div w:id="1197428369">
      <w:bodyDiv w:val="1"/>
      <w:marLeft w:val="0"/>
      <w:marRight w:val="0"/>
      <w:marTop w:val="0"/>
      <w:marBottom w:val="0"/>
      <w:divBdr>
        <w:top w:val="none" w:sz="0" w:space="0" w:color="auto"/>
        <w:left w:val="none" w:sz="0" w:space="0" w:color="auto"/>
        <w:bottom w:val="none" w:sz="0" w:space="0" w:color="auto"/>
        <w:right w:val="none" w:sz="0" w:space="0" w:color="auto"/>
      </w:divBdr>
    </w:div>
    <w:div w:id="1197431491">
      <w:bodyDiv w:val="1"/>
      <w:marLeft w:val="0"/>
      <w:marRight w:val="0"/>
      <w:marTop w:val="0"/>
      <w:marBottom w:val="0"/>
      <w:divBdr>
        <w:top w:val="none" w:sz="0" w:space="0" w:color="auto"/>
        <w:left w:val="none" w:sz="0" w:space="0" w:color="auto"/>
        <w:bottom w:val="none" w:sz="0" w:space="0" w:color="auto"/>
        <w:right w:val="none" w:sz="0" w:space="0" w:color="auto"/>
      </w:divBdr>
    </w:div>
    <w:div w:id="1197503730">
      <w:bodyDiv w:val="1"/>
      <w:marLeft w:val="0"/>
      <w:marRight w:val="0"/>
      <w:marTop w:val="0"/>
      <w:marBottom w:val="0"/>
      <w:divBdr>
        <w:top w:val="none" w:sz="0" w:space="0" w:color="auto"/>
        <w:left w:val="none" w:sz="0" w:space="0" w:color="auto"/>
        <w:bottom w:val="none" w:sz="0" w:space="0" w:color="auto"/>
        <w:right w:val="none" w:sz="0" w:space="0" w:color="auto"/>
      </w:divBdr>
    </w:div>
    <w:div w:id="1197692079">
      <w:bodyDiv w:val="1"/>
      <w:marLeft w:val="0"/>
      <w:marRight w:val="0"/>
      <w:marTop w:val="0"/>
      <w:marBottom w:val="0"/>
      <w:divBdr>
        <w:top w:val="none" w:sz="0" w:space="0" w:color="auto"/>
        <w:left w:val="none" w:sz="0" w:space="0" w:color="auto"/>
        <w:bottom w:val="none" w:sz="0" w:space="0" w:color="auto"/>
        <w:right w:val="none" w:sz="0" w:space="0" w:color="auto"/>
      </w:divBdr>
    </w:div>
    <w:div w:id="1197692422">
      <w:bodyDiv w:val="1"/>
      <w:marLeft w:val="0"/>
      <w:marRight w:val="0"/>
      <w:marTop w:val="0"/>
      <w:marBottom w:val="0"/>
      <w:divBdr>
        <w:top w:val="none" w:sz="0" w:space="0" w:color="auto"/>
        <w:left w:val="none" w:sz="0" w:space="0" w:color="auto"/>
        <w:bottom w:val="none" w:sz="0" w:space="0" w:color="auto"/>
        <w:right w:val="none" w:sz="0" w:space="0" w:color="auto"/>
      </w:divBdr>
    </w:div>
    <w:div w:id="1197696090">
      <w:bodyDiv w:val="1"/>
      <w:marLeft w:val="0"/>
      <w:marRight w:val="0"/>
      <w:marTop w:val="0"/>
      <w:marBottom w:val="0"/>
      <w:divBdr>
        <w:top w:val="none" w:sz="0" w:space="0" w:color="auto"/>
        <w:left w:val="none" w:sz="0" w:space="0" w:color="auto"/>
        <w:bottom w:val="none" w:sz="0" w:space="0" w:color="auto"/>
        <w:right w:val="none" w:sz="0" w:space="0" w:color="auto"/>
      </w:divBdr>
    </w:div>
    <w:div w:id="1197742363">
      <w:bodyDiv w:val="1"/>
      <w:marLeft w:val="0"/>
      <w:marRight w:val="0"/>
      <w:marTop w:val="0"/>
      <w:marBottom w:val="0"/>
      <w:divBdr>
        <w:top w:val="none" w:sz="0" w:space="0" w:color="auto"/>
        <w:left w:val="none" w:sz="0" w:space="0" w:color="auto"/>
        <w:bottom w:val="none" w:sz="0" w:space="0" w:color="auto"/>
        <w:right w:val="none" w:sz="0" w:space="0" w:color="auto"/>
      </w:divBdr>
    </w:div>
    <w:div w:id="1197893726">
      <w:bodyDiv w:val="1"/>
      <w:marLeft w:val="0"/>
      <w:marRight w:val="0"/>
      <w:marTop w:val="0"/>
      <w:marBottom w:val="0"/>
      <w:divBdr>
        <w:top w:val="none" w:sz="0" w:space="0" w:color="auto"/>
        <w:left w:val="none" w:sz="0" w:space="0" w:color="auto"/>
        <w:bottom w:val="none" w:sz="0" w:space="0" w:color="auto"/>
        <w:right w:val="none" w:sz="0" w:space="0" w:color="auto"/>
      </w:divBdr>
    </w:div>
    <w:div w:id="1198003224">
      <w:bodyDiv w:val="1"/>
      <w:marLeft w:val="0"/>
      <w:marRight w:val="0"/>
      <w:marTop w:val="0"/>
      <w:marBottom w:val="0"/>
      <w:divBdr>
        <w:top w:val="none" w:sz="0" w:space="0" w:color="auto"/>
        <w:left w:val="none" w:sz="0" w:space="0" w:color="auto"/>
        <w:bottom w:val="none" w:sz="0" w:space="0" w:color="auto"/>
        <w:right w:val="none" w:sz="0" w:space="0" w:color="auto"/>
      </w:divBdr>
    </w:div>
    <w:div w:id="1198078987">
      <w:bodyDiv w:val="1"/>
      <w:marLeft w:val="0"/>
      <w:marRight w:val="0"/>
      <w:marTop w:val="0"/>
      <w:marBottom w:val="0"/>
      <w:divBdr>
        <w:top w:val="none" w:sz="0" w:space="0" w:color="auto"/>
        <w:left w:val="none" w:sz="0" w:space="0" w:color="auto"/>
        <w:bottom w:val="none" w:sz="0" w:space="0" w:color="auto"/>
        <w:right w:val="none" w:sz="0" w:space="0" w:color="auto"/>
      </w:divBdr>
    </w:div>
    <w:div w:id="1198196612">
      <w:bodyDiv w:val="1"/>
      <w:marLeft w:val="0"/>
      <w:marRight w:val="0"/>
      <w:marTop w:val="0"/>
      <w:marBottom w:val="0"/>
      <w:divBdr>
        <w:top w:val="none" w:sz="0" w:space="0" w:color="auto"/>
        <w:left w:val="none" w:sz="0" w:space="0" w:color="auto"/>
        <w:bottom w:val="none" w:sz="0" w:space="0" w:color="auto"/>
        <w:right w:val="none" w:sz="0" w:space="0" w:color="auto"/>
      </w:divBdr>
    </w:div>
    <w:div w:id="1198201574">
      <w:bodyDiv w:val="1"/>
      <w:marLeft w:val="0"/>
      <w:marRight w:val="0"/>
      <w:marTop w:val="0"/>
      <w:marBottom w:val="0"/>
      <w:divBdr>
        <w:top w:val="none" w:sz="0" w:space="0" w:color="auto"/>
        <w:left w:val="none" w:sz="0" w:space="0" w:color="auto"/>
        <w:bottom w:val="none" w:sz="0" w:space="0" w:color="auto"/>
        <w:right w:val="none" w:sz="0" w:space="0" w:color="auto"/>
      </w:divBdr>
    </w:div>
    <w:div w:id="1198542145">
      <w:bodyDiv w:val="1"/>
      <w:marLeft w:val="0"/>
      <w:marRight w:val="0"/>
      <w:marTop w:val="0"/>
      <w:marBottom w:val="0"/>
      <w:divBdr>
        <w:top w:val="none" w:sz="0" w:space="0" w:color="auto"/>
        <w:left w:val="none" w:sz="0" w:space="0" w:color="auto"/>
        <w:bottom w:val="none" w:sz="0" w:space="0" w:color="auto"/>
        <w:right w:val="none" w:sz="0" w:space="0" w:color="auto"/>
      </w:divBdr>
    </w:div>
    <w:div w:id="1198544686">
      <w:bodyDiv w:val="1"/>
      <w:marLeft w:val="0"/>
      <w:marRight w:val="0"/>
      <w:marTop w:val="0"/>
      <w:marBottom w:val="0"/>
      <w:divBdr>
        <w:top w:val="none" w:sz="0" w:space="0" w:color="auto"/>
        <w:left w:val="none" w:sz="0" w:space="0" w:color="auto"/>
        <w:bottom w:val="none" w:sz="0" w:space="0" w:color="auto"/>
        <w:right w:val="none" w:sz="0" w:space="0" w:color="auto"/>
      </w:divBdr>
    </w:div>
    <w:div w:id="1198932151">
      <w:bodyDiv w:val="1"/>
      <w:marLeft w:val="0"/>
      <w:marRight w:val="0"/>
      <w:marTop w:val="0"/>
      <w:marBottom w:val="0"/>
      <w:divBdr>
        <w:top w:val="none" w:sz="0" w:space="0" w:color="auto"/>
        <w:left w:val="none" w:sz="0" w:space="0" w:color="auto"/>
        <w:bottom w:val="none" w:sz="0" w:space="0" w:color="auto"/>
        <w:right w:val="none" w:sz="0" w:space="0" w:color="auto"/>
      </w:divBdr>
    </w:div>
    <w:div w:id="1199272689">
      <w:bodyDiv w:val="1"/>
      <w:marLeft w:val="0"/>
      <w:marRight w:val="0"/>
      <w:marTop w:val="0"/>
      <w:marBottom w:val="0"/>
      <w:divBdr>
        <w:top w:val="none" w:sz="0" w:space="0" w:color="auto"/>
        <w:left w:val="none" w:sz="0" w:space="0" w:color="auto"/>
        <w:bottom w:val="none" w:sz="0" w:space="0" w:color="auto"/>
        <w:right w:val="none" w:sz="0" w:space="0" w:color="auto"/>
      </w:divBdr>
    </w:div>
    <w:div w:id="1199512144">
      <w:bodyDiv w:val="1"/>
      <w:marLeft w:val="0"/>
      <w:marRight w:val="0"/>
      <w:marTop w:val="0"/>
      <w:marBottom w:val="0"/>
      <w:divBdr>
        <w:top w:val="none" w:sz="0" w:space="0" w:color="auto"/>
        <w:left w:val="none" w:sz="0" w:space="0" w:color="auto"/>
        <w:bottom w:val="none" w:sz="0" w:space="0" w:color="auto"/>
        <w:right w:val="none" w:sz="0" w:space="0" w:color="auto"/>
      </w:divBdr>
    </w:div>
    <w:div w:id="1199664706">
      <w:bodyDiv w:val="1"/>
      <w:marLeft w:val="0"/>
      <w:marRight w:val="0"/>
      <w:marTop w:val="0"/>
      <w:marBottom w:val="0"/>
      <w:divBdr>
        <w:top w:val="none" w:sz="0" w:space="0" w:color="auto"/>
        <w:left w:val="none" w:sz="0" w:space="0" w:color="auto"/>
        <w:bottom w:val="none" w:sz="0" w:space="0" w:color="auto"/>
        <w:right w:val="none" w:sz="0" w:space="0" w:color="auto"/>
      </w:divBdr>
    </w:div>
    <w:div w:id="1199703076">
      <w:bodyDiv w:val="1"/>
      <w:marLeft w:val="0"/>
      <w:marRight w:val="0"/>
      <w:marTop w:val="0"/>
      <w:marBottom w:val="0"/>
      <w:divBdr>
        <w:top w:val="none" w:sz="0" w:space="0" w:color="auto"/>
        <w:left w:val="none" w:sz="0" w:space="0" w:color="auto"/>
        <w:bottom w:val="none" w:sz="0" w:space="0" w:color="auto"/>
        <w:right w:val="none" w:sz="0" w:space="0" w:color="auto"/>
      </w:divBdr>
    </w:div>
    <w:div w:id="1199703258">
      <w:bodyDiv w:val="1"/>
      <w:marLeft w:val="0"/>
      <w:marRight w:val="0"/>
      <w:marTop w:val="0"/>
      <w:marBottom w:val="0"/>
      <w:divBdr>
        <w:top w:val="none" w:sz="0" w:space="0" w:color="auto"/>
        <w:left w:val="none" w:sz="0" w:space="0" w:color="auto"/>
        <w:bottom w:val="none" w:sz="0" w:space="0" w:color="auto"/>
        <w:right w:val="none" w:sz="0" w:space="0" w:color="auto"/>
      </w:divBdr>
    </w:div>
    <w:div w:id="1199782579">
      <w:bodyDiv w:val="1"/>
      <w:marLeft w:val="0"/>
      <w:marRight w:val="0"/>
      <w:marTop w:val="0"/>
      <w:marBottom w:val="0"/>
      <w:divBdr>
        <w:top w:val="none" w:sz="0" w:space="0" w:color="auto"/>
        <w:left w:val="none" w:sz="0" w:space="0" w:color="auto"/>
        <w:bottom w:val="none" w:sz="0" w:space="0" w:color="auto"/>
        <w:right w:val="none" w:sz="0" w:space="0" w:color="auto"/>
      </w:divBdr>
    </w:div>
    <w:div w:id="1199929496">
      <w:bodyDiv w:val="1"/>
      <w:marLeft w:val="0"/>
      <w:marRight w:val="0"/>
      <w:marTop w:val="0"/>
      <w:marBottom w:val="0"/>
      <w:divBdr>
        <w:top w:val="none" w:sz="0" w:space="0" w:color="auto"/>
        <w:left w:val="none" w:sz="0" w:space="0" w:color="auto"/>
        <w:bottom w:val="none" w:sz="0" w:space="0" w:color="auto"/>
        <w:right w:val="none" w:sz="0" w:space="0" w:color="auto"/>
      </w:divBdr>
    </w:div>
    <w:div w:id="1199973507">
      <w:bodyDiv w:val="1"/>
      <w:marLeft w:val="0"/>
      <w:marRight w:val="0"/>
      <w:marTop w:val="0"/>
      <w:marBottom w:val="0"/>
      <w:divBdr>
        <w:top w:val="none" w:sz="0" w:space="0" w:color="auto"/>
        <w:left w:val="none" w:sz="0" w:space="0" w:color="auto"/>
        <w:bottom w:val="none" w:sz="0" w:space="0" w:color="auto"/>
        <w:right w:val="none" w:sz="0" w:space="0" w:color="auto"/>
      </w:divBdr>
    </w:div>
    <w:div w:id="1200044248">
      <w:bodyDiv w:val="1"/>
      <w:marLeft w:val="0"/>
      <w:marRight w:val="0"/>
      <w:marTop w:val="0"/>
      <w:marBottom w:val="0"/>
      <w:divBdr>
        <w:top w:val="none" w:sz="0" w:space="0" w:color="auto"/>
        <w:left w:val="none" w:sz="0" w:space="0" w:color="auto"/>
        <w:bottom w:val="none" w:sz="0" w:space="0" w:color="auto"/>
        <w:right w:val="none" w:sz="0" w:space="0" w:color="auto"/>
      </w:divBdr>
    </w:div>
    <w:div w:id="1200238241">
      <w:bodyDiv w:val="1"/>
      <w:marLeft w:val="0"/>
      <w:marRight w:val="0"/>
      <w:marTop w:val="0"/>
      <w:marBottom w:val="0"/>
      <w:divBdr>
        <w:top w:val="none" w:sz="0" w:space="0" w:color="auto"/>
        <w:left w:val="none" w:sz="0" w:space="0" w:color="auto"/>
        <w:bottom w:val="none" w:sz="0" w:space="0" w:color="auto"/>
        <w:right w:val="none" w:sz="0" w:space="0" w:color="auto"/>
      </w:divBdr>
    </w:div>
    <w:div w:id="1200322004">
      <w:bodyDiv w:val="1"/>
      <w:marLeft w:val="0"/>
      <w:marRight w:val="0"/>
      <w:marTop w:val="0"/>
      <w:marBottom w:val="0"/>
      <w:divBdr>
        <w:top w:val="none" w:sz="0" w:space="0" w:color="auto"/>
        <w:left w:val="none" w:sz="0" w:space="0" w:color="auto"/>
        <w:bottom w:val="none" w:sz="0" w:space="0" w:color="auto"/>
        <w:right w:val="none" w:sz="0" w:space="0" w:color="auto"/>
      </w:divBdr>
    </w:div>
    <w:div w:id="1200436664">
      <w:bodyDiv w:val="1"/>
      <w:marLeft w:val="0"/>
      <w:marRight w:val="0"/>
      <w:marTop w:val="0"/>
      <w:marBottom w:val="0"/>
      <w:divBdr>
        <w:top w:val="none" w:sz="0" w:space="0" w:color="auto"/>
        <w:left w:val="none" w:sz="0" w:space="0" w:color="auto"/>
        <w:bottom w:val="none" w:sz="0" w:space="0" w:color="auto"/>
        <w:right w:val="none" w:sz="0" w:space="0" w:color="auto"/>
      </w:divBdr>
    </w:div>
    <w:div w:id="1200514926">
      <w:bodyDiv w:val="1"/>
      <w:marLeft w:val="0"/>
      <w:marRight w:val="0"/>
      <w:marTop w:val="0"/>
      <w:marBottom w:val="0"/>
      <w:divBdr>
        <w:top w:val="none" w:sz="0" w:space="0" w:color="auto"/>
        <w:left w:val="none" w:sz="0" w:space="0" w:color="auto"/>
        <w:bottom w:val="none" w:sz="0" w:space="0" w:color="auto"/>
        <w:right w:val="none" w:sz="0" w:space="0" w:color="auto"/>
      </w:divBdr>
    </w:div>
    <w:div w:id="1200555003">
      <w:bodyDiv w:val="1"/>
      <w:marLeft w:val="0"/>
      <w:marRight w:val="0"/>
      <w:marTop w:val="0"/>
      <w:marBottom w:val="0"/>
      <w:divBdr>
        <w:top w:val="none" w:sz="0" w:space="0" w:color="auto"/>
        <w:left w:val="none" w:sz="0" w:space="0" w:color="auto"/>
        <w:bottom w:val="none" w:sz="0" w:space="0" w:color="auto"/>
        <w:right w:val="none" w:sz="0" w:space="0" w:color="auto"/>
      </w:divBdr>
    </w:div>
    <w:div w:id="1200630988">
      <w:bodyDiv w:val="1"/>
      <w:marLeft w:val="0"/>
      <w:marRight w:val="0"/>
      <w:marTop w:val="0"/>
      <w:marBottom w:val="0"/>
      <w:divBdr>
        <w:top w:val="none" w:sz="0" w:space="0" w:color="auto"/>
        <w:left w:val="none" w:sz="0" w:space="0" w:color="auto"/>
        <w:bottom w:val="none" w:sz="0" w:space="0" w:color="auto"/>
        <w:right w:val="none" w:sz="0" w:space="0" w:color="auto"/>
      </w:divBdr>
    </w:div>
    <w:div w:id="1200704331">
      <w:bodyDiv w:val="1"/>
      <w:marLeft w:val="0"/>
      <w:marRight w:val="0"/>
      <w:marTop w:val="0"/>
      <w:marBottom w:val="0"/>
      <w:divBdr>
        <w:top w:val="none" w:sz="0" w:space="0" w:color="auto"/>
        <w:left w:val="none" w:sz="0" w:space="0" w:color="auto"/>
        <w:bottom w:val="none" w:sz="0" w:space="0" w:color="auto"/>
        <w:right w:val="none" w:sz="0" w:space="0" w:color="auto"/>
      </w:divBdr>
    </w:div>
    <w:div w:id="1200707928">
      <w:bodyDiv w:val="1"/>
      <w:marLeft w:val="0"/>
      <w:marRight w:val="0"/>
      <w:marTop w:val="0"/>
      <w:marBottom w:val="0"/>
      <w:divBdr>
        <w:top w:val="none" w:sz="0" w:space="0" w:color="auto"/>
        <w:left w:val="none" w:sz="0" w:space="0" w:color="auto"/>
        <w:bottom w:val="none" w:sz="0" w:space="0" w:color="auto"/>
        <w:right w:val="none" w:sz="0" w:space="0" w:color="auto"/>
      </w:divBdr>
    </w:div>
    <w:div w:id="1200782115">
      <w:bodyDiv w:val="1"/>
      <w:marLeft w:val="0"/>
      <w:marRight w:val="0"/>
      <w:marTop w:val="0"/>
      <w:marBottom w:val="0"/>
      <w:divBdr>
        <w:top w:val="none" w:sz="0" w:space="0" w:color="auto"/>
        <w:left w:val="none" w:sz="0" w:space="0" w:color="auto"/>
        <w:bottom w:val="none" w:sz="0" w:space="0" w:color="auto"/>
        <w:right w:val="none" w:sz="0" w:space="0" w:color="auto"/>
      </w:divBdr>
    </w:div>
    <w:div w:id="1200818672">
      <w:bodyDiv w:val="1"/>
      <w:marLeft w:val="0"/>
      <w:marRight w:val="0"/>
      <w:marTop w:val="0"/>
      <w:marBottom w:val="0"/>
      <w:divBdr>
        <w:top w:val="none" w:sz="0" w:space="0" w:color="auto"/>
        <w:left w:val="none" w:sz="0" w:space="0" w:color="auto"/>
        <w:bottom w:val="none" w:sz="0" w:space="0" w:color="auto"/>
        <w:right w:val="none" w:sz="0" w:space="0" w:color="auto"/>
      </w:divBdr>
    </w:div>
    <w:div w:id="1200896925">
      <w:bodyDiv w:val="1"/>
      <w:marLeft w:val="0"/>
      <w:marRight w:val="0"/>
      <w:marTop w:val="0"/>
      <w:marBottom w:val="0"/>
      <w:divBdr>
        <w:top w:val="none" w:sz="0" w:space="0" w:color="auto"/>
        <w:left w:val="none" w:sz="0" w:space="0" w:color="auto"/>
        <w:bottom w:val="none" w:sz="0" w:space="0" w:color="auto"/>
        <w:right w:val="none" w:sz="0" w:space="0" w:color="auto"/>
      </w:divBdr>
    </w:div>
    <w:div w:id="1200975070">
      <w:bodyDiv w:val="1"/>
      <w:marLeft w:val="0"/>
      <w:marRight w:val="0"/>
      <w:marTop w:val="0"/>
      <w:marBottom w:val="0"/>
      <w:divBdr>
        <w:top w:val="none" w:sz="0" w:space="0" w:color="auto"/>
        <w:left w:val="none" w:sz="0" w:space="0" w:color="auto"/>
        <w:bottom w:val="none" w:sz="0" w:space="0" w:color="auto"/>
        <w:right w:val="none" w:sz="0" w:space="0" w:color="auto"/>
      </w:divBdr>
    </w:div>
    <w:div w:id="1201093894">
      <w:bodyDiv w:val="1"/>
      <w:marLeft w:val="0"/>
      <w:marRight w:val="0"/>
      <w:marTop w:val="0"/>
      <w:marBottom w:val="0"/>
      <w:divBdr>
        <w:top w:val="none" w:sz="0" w:space="0" w:color="auto"/>
        <w:left w:val="none" w:sz="0" w:space="0" w:color="auto"/>
        <w:bottom w:val="none" w:sz="0" w:space="0" w:color="auto"/>
        <w:right w:val="none" w:sz="0" w:space="0" w:color="auto"/>
      </w:divBdr>
    </w:div>
    <w:div w:id="1201161997">
      <w:bodyDiv w:val="1"/>
      <w:marLeft w:val="0"/>
      <w:marRight w:val="0"/>
      <w:marTop w:val="0"/>
      <w:marBottom w:val="0"/>
      <w:divBdr>
        <w:top w:val="none" w:sz="0" w:space="0" w:color="auto"/>
        <w:left w:val="none" w:sz="0" w:space="0" w:color="auto"/>
        <w:bottom w:val="none" w:sz="0" w:space="0" w:color="auto"/>
        <w:right w:val="none" w:sz="0" w:space="0" w:color="auto"/>
      </w:divBdr>
    </w:div>
    <w:div w:id="1201163694">
      <w:bodyDiv w:val="1"/>
      <w:marLeft w:val="0"/>
      <w:marRight w:val="0"/>
      <w:marTop w:val="0"/>
      <w:marBottom w:val="0"/>
      <w:divBdr>
        <w:top w:val="none" w:sz="0" w:space="0" w:color="auto"/>
        <w:left w:val="none" w:sz="0" w:space="0" w:color="auto"/>
        <w:bottom w:val="none" w:sz="0" w:space="0" w:color="auto"/>
        <w:right w:val="none" w:sz="0" w:space="0" w:color="auto"/>
      </w:divBdr>
    </w:div>
    <w:div w:id="1201209471">
      <w:bodyDiv w:val="1"/>
      <w:marLeft w:val="0"/>
      <w:marRight w:val="0"/>
      <w:marTop w:val="0"/>
      <w:marBottom w:val="0"/>
      <w:divBdr>
        <w:top w:val="none" w:sz="0" w:space="0" w:color="auto"/>
        <w:left w:val="none" w:sz="0" w:space="0" w:color="auto"/>
        <w:bottom w:val="none" w:sz="0" w:space="0" w:color="auto"/>
        <w:right w:val="none" w:sz="0" w:space="0" w:color="auto"/>
      </w:divBdr>
    </w:div>
    <w:div w:id="1201283852">
      <w:bodyDiv w:val="1"/>
      <w:marLeft w:val="0"/>
      <w:marRight w:val="0"/>
      <w:marTop w:val="0"/>
      <w:marBottom w:val="0"/>
      <w:divBdr>
        <w:top w:val="none" w:sz="0" w:space="0" w:color="auto"/>
        <w:left w:val="none" w:sz="0" w:space="0" w:color="auto"/>
        <w:bottom w:val="none" w:sz="0" w:space="0" w:color="auto"/>
        <w:right w:val="none" w:sz="0" w:space="0" w:color="auto"/>
      </w:divBdr>
    </w:div>
    <w:div w:id="1201285203">
      <w:bodyDiv w:val="1"/>
      <w:marLeft w:val="0"/>
      <w:marRight w:val="0"/>
      <w:marTop w:val="0"/>
      <w:marBottom w:val="0"/>
      <w:divBdr>
        <w:top w:val="none" w:sz="0" w:space="0" w:color="auto"/>
        <w:left w:val="none" w:sz="0" w:space="0" w:color="auto"/>
        <w:bottom w:val="none" w:sz="0" w:space="0" w:color="auto"/>
        <w:right w:val="none" w:sz="0" w:space="0" w:color="auto"/>
      </w:divBdr>
    </w:div>
    <w:div w:id="1201285815">
      <w:bodyDiv w:val="1"/>
      <w:marLeft w:val="0"/>
      <w:marRight w:val="0"/>
      <w:marTop w:val="0"/>
      <w:marBottom w:val="0"/>
      <w:divBdr>
        <w:top w:val="none" w:sz="0" w:space="0" w:color="auto"/>
        <w:left w:val="none" w:sz="0" w:space="0" w:color="auto"/>
        <w:bottom w:val="none" w:sz="0" w:space="0" w:color="auto"/>
        <w:right w:val="none" w:sz="0" w:space="0" w:color="auto"/>
      </w:divBdr>
    </w:div>
    <w:div w:id="1201548380">
      <w:bodyDiv w:val="1"/>
      <w:marLeft w:val="0"/>
      <w:marRight w:val="0"/>
      <w:marTop w:val="0"/>
      <w:marBottom w:val="0"/>
      <w:divBdr>
        <w:top w:val="none" w:sz="0" w:space="0" w:color="auto"/>
        <w:left w:val="none" w:sz="0" w:space="0" w:color="auto"/>
        <w:bottom w:val="none" w:sz="0" w:space="0" w:color="auto"/>
        <w:right w:val="none" w:sz="0" w:space="0" w:color="auto"/>
      </w:divBdr>
    </w:div>
    <w:div w:id="1201553372">
      <w:bodyDiv w:val="1"/>
      <w:marLeft w:val="0"/>
      <w:marRight w:val="0"/>
      <w:marTop w:val="0"/>
      <w:marBottom w:val="0"/>
      <w:divBdr>
        <w:top w:val="none" w:sz="0" w:space="0" w:color="auto"/>
        <w:left w:val="none" w:sz="0" w:space="0" w:color="auto"/>
        <w:bottom w:val="none" w:sz="0" w:space="0" w:color="auto"/>
        <w:right w:val="none" w:sz="0" w:space="0" w:color="auto"/>
      </w:divBdr>
    </w:div>
    <w:div w:id="1201623694">
      <w:bodyDiv w:val="1"/>
      <w:marLeft w:val="0"/>
      <w:marRight w:val="0"/>
      <w:marTop w:val="0"/>
      <w:marBottom w:val="0"/>
      <w:divBdr>
        <w:top w:val="none" w:sz="0" w:space="0" w:color="auto"/>
        <w:left w:val="none" w:sz="0" w:space="0" w:color="auto"/>
        <w:bottom w:val="none" w:sz="0" w:space="0" w:color="auto"/>
        <w:right w:val="none" w:sz="0" w:space="0" w:color="auto"/>
      </w:divBdr>
    </w:div>
    <w:div w:id="1201628486">
      <w:bodyDiv w:val="1"/>
      <w:marLeft w:val="0"/>
      <w:marRight w:val="0"/>
      <w:marTop w:val="0"/>
      <w:marBottom w:val="0"/>
      <w:divBdr>
        <w:top w:val="none" w:sz="0" w:space="0" w:color="auto"/>
        <w:left w:val="none" w:sz="0" w:space="0" w:color="auto"/>
        <w:bottom w:val="none" w:sz="0" w:space="0" w:color="auto"/>
        <w:right w:val="none" w:sz="0" w:space="0" w:color="auto"/>
      </w:divBdr>
    </w:div>
    <w:div w:id="1201673100">
      <w:bodyDiv w:val="1"/>
      <w:marLeft w:val="0"/>
      <w:marRight w:val="0"/>
      <w:marTop w:val="0"/>
      <w:marBottom w:val="0"/>
      <w:divBdr>
        <w:top w:val="none" w:sz="0" w:space="0" w:color="auto"/>
        <w:left w:val="none" w:sz="0" w:space="0" w:color="auto"/>
        <w:bottom w:val="none" w:sz="0" w:space="0" w:color="auto"/>
        <w:right w:val="none" w:sz="0" w:space="0" w:color="auto"/>
      </w:divBdr>
    </w:div>
    <w:div w:id="1201817155">
      <w:bodyDiv w:val="1"/>
      <w:marLeft w:val="0"/>
      <w:marRight w:val="0"/>
      <w:marTop w:val="0"/>
      <w:marBottom w:val="0"/>
      <w:divBdr>
        <w:top w:val="none" w:sz="0" w:space="0" w:color="auto"/>
        <w:left w:val="none" w:sz="0" w:space="0" w:color="auto"/>
        <w:bottom w:val="none" w:sz="0" w:space="0" w:color="auto"/>
        <w:right w:val="none" w:sz="0" w:space="0" w:color="auto"/>
      </w:divBdr>
    </w:div>
    <w:div w:id="1201897106">
      <w:bodyDiv w:val="1"/>
      <w:marLeft w:val="0"/>
      <w:marRight w:val="0"/>
      <w:marTop w:val="0"/>
      <w:marBottom w:val="0"/>
      <w:divBdr>
        <w:top w:val="none" w:sz="0" w:space="0" w:color="auto"/>
        <w:left w:val="none" w:sz="0" w:space="0" w:color="auto"/>
        <w:bottom w:val="none" w:sz="0" w:space="0" w:color="auto"/>
        <w:right w:val="none" w:sz="0" w:space="0" w:color="auto"/>
      </w:divBdr>
    </w:div>
    <w:div w:id="1202010612">
      <w:bodyDiv w:val="1"/>
      <w:marLeft w:val="0"/>
      <w:marRight w:val="0"/>
      <w:marTop w:val="0"/>
      <w:marBottom w:val="0"/>
      <w:divBdr>
        <w:top w:val="none" w:sz="0" w:space="0" w:color="auto"/>
        <w:left w:val="none" w:sz="0" w:space="0" w:color="auto"/>
        <w:bottom w:val="none" w:sz="0" w:space="0" w:color="auto"/>
        <w:right w:val="none" w:sz="0" w:space="0" w:color="auto"/>
      </w:divBdr>
    </w:div>
    <w:div w:id="1202013937">
      <w:bodyDiv w:val="1"/>
      <w:marLeft w:val="0"/>
      <w:marRight w:val="0"/>
      <w:marTop w:val="0"/>
      <w:marBottom w:val="0"/>
      <w:divBdr>
        <w:top w:val="none" w:sz="0" w:space="0" w:color="auto"/>
        <w:left w:val="none" w:sz="0" w:space="0" w:color="auto"/>
        <w:bottom w:val="none" w:sz="0" w:space="0" w:color="auto"/>
        <w:right w:val="none" w:sz="0" w:space="0" w:color="auto"/>
      </w:divBdr>
    </w:div>
    <w:div w:id="1202061438">
      <w:bodyDiv w:val="1"/>
      <w:marLeft w:val="0"/>
      <w:marRight w:val="0"/>
      <w:marTop w:val="0"/>
      <w:marBottom w:val="0"/>
      <w:divBdr>
        <w:top w:val="none" w:sz="0" w:space="0" w:color="auto"/>
        <w:left w:val="none" w:sz="0" w:space="0" w:color="auto"/>
        <w:bottom w:val="none" w:sz="0" w:space="0" w:color="auto"/>
        <w:right w:val="none" w:sz="0" w:space="0" w:color="auto"/>
      </w:divBdr>
    </w:div>
    <w:div w:id="1202093418">
      <w:bodyDiv w:val="1"/>
      <w:marLeft w:val="0"/>
      <w:marRight w:val="0"/>
      <w:marTop w:val="0"/>
      <w:marBottom w:val="0"/>
      <w:divBdr>
        <w:top w:val="none" w:sz="0" w:space="0" w:color="auto"/>
        <w:left w:val="none" w:sz="0" w:space="0" w:color="auto"/>
        <w:bottom w:val="none" w:sz="0" w:space="0" w:color="auto"/>
        <w:right w:val="none" w:sz="0" w:space="0" w:color="auto"/>
      </w:divBdr>
    </w:div>
    <w:div w:id="1202206646">
      <w:bodyDiv w:val="1"/>
      <w:marLeft w:val="0"/>
      <w:marRight w:val="0"/>
      <w:marTop w:val="0"/>
      <w:marBottom w:val="0"/>
      <w:divBdr>
        <w:top w:val="none" w:sz="0" w:space="0" w:color="auto"/>
        <w:left w:val="none" w:sz="0" w:space="0" w:color="auto"/>
        <w:bottom w:val="none" w:sz="0" w:space="0" w:color="auto"/>
        <w:right w:val="none" w:sz="0" w:space="0" w:color="auto"/>
      </w:divBdr>
    </w:div>
    <w:div w:id="1202281976">
      <w:bodyDiv w:val="1"/>
      <w:marLeft w:val="0"/>
      <w:marRight w:val="0"/>
      <w:marTop w:val="0"/>
      <w:marBottom w:val="0"/>
      <w:divBdr>
        <w:top w:val="none" w:sz="0" w:space="0" w:color="auto"/>
        <w:left w:val="none" w:sz="0" w:space="0" w:color="auto"/>
        <w:bottom w:val="none" w:sz="0" w:space="0" w:color="auto"/>
        <w:right w:val="none" w:sz="0" w:space="0" w:color="auto"/>
      </w:divBdr>
    </w:div>
    <w:div w:id="1202283564">
      <w:bodyDiv w:val="1"/>
      <w:marLeft w:val="0"/>
      <w:marRight w:val="0"/>
      <w:marTop w:val="0"/>
      <w:marBottom w:val="0"/>
      <w:divBdr>
        <w:top w:val="none" w:sz="0" w:space="0" w:color="auto"/>
        <w:left w:val="none" w:sz="0" w:space="0" w:color="auto"/>
        <w:bottom w:val="none" w:sz="0" w:space="0" w:color="auto"/>
        <w:right w:val="none" w:sz="0" w:space="0" w:color="auto"/>
      </w:divBdr>
    </w:div>
    <w:div w:id="1202354539">
      <w:bodyDiv w:val="1"/>
      <w:marLeft w:val="0"/>
      <w:marRight w:val="0"/>
      <w:marTop w:val="0"/>
      <w:marBottom w:val="0"/>
      <w:divBdr>
        <w:top w:val="none" w:sz="0" w:space="0" w:color="auto"/>
        <w:left w:val="none" w:sz="0" w:space="0" w:color="auto"/>
        <w:bottom w:val="none" w:sz="0" w:space="0" w:color="auto"/>
        <w:right w:val="none" w:sz="0" w:space="0" w:color="auto"/>
      </w:divBdr>
    </w:div>
    <w:div w:id="1202356215">
      <w:bodyDiv w:val="1"/>
      <w:marLeft w:val="0"/>
      <w:marRight w:val="0"/>
      <w:marTop w:val="0"/>
      <w:marBottom w:val="0"/>
      <w:divBdr>
        <w:top w:val="none" w:sz="0" w:space="0" w:color="auto"/>
        <w:left w:val="none" w:sz="0" w:space="0" w:color="auto"/>
        <w:bottom w:val="none" w:sz="0" w:space="0" w:color="auto"/>
        <w:right w:val="none" w:sz="0" w:space="0" w:color="auto"/>
      </w:divBdr>
    </w:div>
    <w:div w:id="1202401592">
      <w:bodyDiv w:val="1"/>
      <w:marLeft w:val="0"/>
      <w:marRight w:val="0"/>
      <w:marTop w:val="0"/>
      <w:marBottom w:val="0"/>
      <w:divBdr>
        <w:top w:val="none" w:sz="0" w:space="0" w:color="auto"/>
        <w:left w:val="none" w:sz="0" w:space="0" w:color="auto"/>
        <w:bottom w:val="none" w:sz="0" w:space="0" w:color="auto"/>
        <w:right w:val="none" w:sz="0" w:space="0" w:color="auto"/>
      </w:divBdr>
    </w:div>
    <w:div w:id="1202472900">
      <w:bodyDiv w:val="1"/>
      <w:marLeft w:val="0"/>
      <w:marRight w:val="0"/>
      <w:marTop w:val="0"/>
      <w:marBottom w:val="0"/>
      <w:divBdr>
        <w:top w:val="none" w:sz="0" w:space="0" w:color="auto"/>
        <w:left w:val="none" w:sz="0" w:space="0" w:color="auto"/>
        <w:bottom w:val="none" w:sz="0" w:space="0" w:color="auto"/>
        <w:right w:val="none" w:sz="0" w:space="0" w:color="auto"/>
      </w:divBdr>
    </w:div>
    <w:div w:id="1202590659">
      <w:bodyDiv w:val="1"/>
      <w:marLeft w:val="0"/>
      <w:marRight w:val="0"/>
      <w:marTop w:val="0"/>
      <w:marBottom w:val="0"/>
      <w:divBdr>
        <w:top w:val="none" w:sz="0" w:space="0" w:color="auto"/>
        <w:left w:val="none" w:sz="0" w:space="0" w:color="auto"/>
        <w:bottom w:val="none" w:sz="0" w:space="0" w:color="auto"/>
        <w:right w:val="none" w:sz="0" w:space="0" w:color="auto"/>
      </w:divBdr>
    </w:div>
    <w:div w:id="1202790972">
      <w:bodyDiv w:val="1"/>
      <w:marLeft w:val="0"/>
      <w:marRight w:val="0"/>
      <w:marTop w:val="0"/>
      <w:marBottom w:val="0"/>
      <w:divBdr>
        <w:top w:val="none" w:sz="0" w:space="0" w:color="auto"/>
        <w:left w:val="none" w:sz="0" w:space="0" w:color="auto"/>
        <w:bottom w:val="none" w:sz="0" w:space="0" w:color="auto"/>
        <w:right w:val="none" w:sz="0" w:space="0" w:color="auto"/>
      </w:divBdr>
    </w:div>
    <w:div w:id="1203132786">
      <w:bodyDiv w:val="1"/>
      <w:marLeft w:val="0"/>
      <w:marRight w:val="0"/>
      <w:marTop w:val="0"/>
      <w:marBottom w:val="0"/>
      <w:divBdr>
        <w:top w:val="none" w:sz="0" w:space="0" w:color="auto"/>
        <w:left w:val="none" w:sz="0" w:space="0" w:color="auto"/>
        <w:bottom w:val="none" w:sz="0" w:space="0" w:color="auto"/>
        <w:right w:val="none" w:sz="0" w:space="0" w:color="auto"/>
      </w:divBdr>
    </w:div>
    <w:div w:id="1203177726">
      <w:bodyDiv w:val="1"/>
      <w:marLeft w:val="0"/>
      <w:marRight w:val="0"/>
      <w:marTop w:val="0"/>
      <w:marBottom w:val="0"/>
      <w:divBdr>
        <w:top w:val="none" w:sz="0" w:space="0" w:color="auto"/>
        <w:left w:val="none" w:sz="0" w:space="0" w:color="auto"/>
        <w:bottom w:val="none" w:sz="0" w:space="0" w:color="auto"/>
        <w:right w:val="none" w:sz="0" w:space="0" w:color="auto"/>
      </w:divBdr>
    </w:div>
    <w:div w:id="1203202799">
      <w:bodyDiv w:val="1"/>
      <w:marLeft w:val="0"/>
      <w:marRight w:val="0"/>
      <w:marTop w:val="0"/>
      <w:marBottom w:val="0"/>
      <w:divBdr>
        <w:top w:val="none" w:sz="0" w:space="0" w:color="auto"/>
        <w:left w:val="none" w:sz="0" w:space="0" w:color="auto"/>
        <w:bottom w:val="none" w:sz="0" w:space="0" w:color="auto"/>
        <w:right w:val="none" w:sz="0" w:space="0" w:color="auto"/>
      </w:divBdr>
    </w:div>
    <w:div w:id="1203207564">
      <w:bodyDiv w:val="1"/>
      <w:marLeft w:val="0"/>
      <w:marRight w:val="0"/>
      <w:marTop w:val="0"/>
      <w:marBottom w:val="0"/>
      <w:divBdr>
        <w:top w:val="none" w:sz="0" w:space="0" w:color="auto"/>
        <w:left w:val="none" w:sz="0" w:space="0" w:color="auto"/>
        <w:bottom w:val="none" w:sz="0" w:space="0" w:color="auto"/>
        <w:right w:val="none" w:sz="0" w:space="0" w:color="auto"/>
      </w:divBdr>
    </w:div>
    <w:div w:id="1203323452">
      <w:bodyDiv w:val="1"/>
      <w:marLeft w:val="0"/>
      <w:marRight w:val="0"/>
      <w:marTop w:val="0"/>
      <w:marBottom w:val="0"/>
      <w:divBdr>
        <w:top w:val="none" w:sz="0" w:space="0" w:color="auto"/>
        <w:left w:val="none" w:sz="0" w:space="0" w:color="auto"/>
        <w:bottom w:val="none" w:sz="0" w:space="0" w:color="auto"/>
        <w:right w:val="none" w:sz="0" w:space="0" w:color="auto"/>
      </w:divBdr>
    </w:div>
    <w:div w:id="1203396172">
      <w:bodyDiv w:val="1"/>
      <w:marLeft w:val="0"/>
      <w:marRight w:val="0"/>
      <w:marTop w:val="0"/>
      <w:marBottom w:val="0"/>
      <w:divBdr>
        <w:top w:val="none" w:sz="0" w:space="0" w:color="auto"/>
        <w:left w:val="none" w:sz="0" w:space="0" w:color="auto"/>
        <w:bottom w:val="none" w:sz="0" w:space="0" w:color="auto"/>
        <w:right w:val="none" w:sz="0" w:space="0" w:color="auto"/>
      </w:divBdr>
    </w:div>
    <w:div w:id="1203398295">
      <w:bodyDiv w:val="1"/>
      <w:marLeft w:val="0"/>
      <w:marRight w:val="0"/>
      <w:marTop w:val="0"/>
      <w:marBottom w:val="0"/>
      <w:divBdr>
        <w:top w:val="none" w:sz="0" w:space="0" w:color="auto"/>
        <w:left w:val="none" w:sz="0" w:space="0" w:color="auto"/>
        <w:bottom w:val="none" w:sz="0" w:space="0" w:color="auto"/>
        <w:right w:val="none" w:sz="0" w:space="0" w:color="auto"/>
      </w:divBdr>
    </w:div>
    <w:div w:id="1203403780">
      <w:bodyDiv w:val="1"/>
      <w:marLeft w:val="0"/>
      <w:marRight w:val="0"/>
      <w:marTop w:val="0"/>
      <w:marBottom w:val="0"/>
      <w:divBdr>
        <w:top w:val="none" w:sz="0" w:space="0" w:color="auto"/>
        <w:left w:val="none" w:sz="0" w:space="0" w:color="auto"/>
        <w:bottom w:val="none" w:sz="0" w:space="0" w:color="auto"/>
        <w:right w:val="none" w:sz="0" w:space="0" w:color="auto"/>
      </w:divBdr>
    </w:div>
    <w:div w:id="1203446303">
      <w:bodyDiv w:val="1"/>
      <w:marLeft w:val="0"/>
      <w:marRight w:val="0"/>
      <w:marTop w:val="0"/>
      <w:marBottom w:val="0"/>
      <w:divBdr>
        <w:top w:val="none" w:sz="0" w:space="0" w:color="auto"/>
        <w:left w:val="none" w:sz="0" w:space="0" w:color="auto"/>
        <w:bottom w:val="none" w:sz="0" w:space="0" w:color="auto"/>
        <w:right w:val="none" w:sz="0" w:space="0" w:color="auto"/>
      </w:divBdr>
    </w:div>
    <w:div w:id="1203592177">
      <w:bodyDiv w:val="1"/>
      <w:marLeft w:val="0"/>
      <w:marRight w:val="0"/>
      <w:marTop w:val="0"/>
      <w:marBottom w:val="0"/>
      <w:divBdr>
        <w:top w:val="none" w:sz="0" w:space="0" w:color="auto"/>
        <w:left w:val="none" w:sz="0" w:space="0" w:color="auto"/>
        <w:bottom w:val="none" w:sz="0" w:space="0" w:color="auto"/>
        <w:right w:val="none" w:sz="0" w:space="0" w:color="auto"/>
      </w:divBdr>
    </w:div>
    <w:div w:id="1203593836">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3637159">
      <w:bodyDiv w:val="1"/>
      <w:marLeft w:val="0"/>
      <w:marRight w:val="0"/>
      <w:marTop w:val="0"/>
      <w:marBottom w:val="0"/>
      <w:divBdr>
        <w:top w:val="none" w:sz="0" w:space="0" w:color="auto"/>
        <w:left w:val="none" w:sz="0" w:space="0" w:color="auto"/>
        <w:bottom w:val="none" w:sz="0" w:space="0" w:color="auto"/>
        <w:right w:val="none" w:sz="0" w:space="0" w:color="auto"/>
      </w:divBdr>
    </w:div>
    <w:div w:id="1203714180">
      <w:bodyDiv w:val="1"/>
      <w:marLeft w:val="0"/>
      <w:marRight w:val="0"/>
      <w:marTop w:val="0"/>
      <w:marBottom w:val="0"/>
      <w:divBdr>
        <w:top w:val="none" w:sz="0" w:space="0" w:color="auto"/>
        <w:left w:val="none" w:sz="0" w:space="0" w:color="auto"/>
        <w:bottom w:val="none" w:sz="0" w:space="0" w:color="auto"/>
        <w:right w:val="none" w:sz="0" w:space="0" w:color="auto"/>
      </w:divBdr>
    </w:div>
    <w:div w:id="1203858405">
      <w:bodyDiv w:val="1"/>
      <w:marLeft w:val="0"/>
      <w:marRight w:val="0"/>
      <w:marTop w:val="0"/>
      <w:marBottom w:val="0"/>
      <w:divBdr>
        <w:top w:val="none" w:sz="0" w:space="0" w:color="auto"/>
        <w:left w:val="none" w:sz="0" w:space="0" w:color="auto"/>
        <w:bottom w:val="none" w:sz="0" w:space="0" w:color="auto"/>
        <w:right w:val="none" w:sz="0" w:space="0" w:color="auto"/>
      </w:divBdr>
    </w:div>
    <w:div w:id="1203904028">
      <w:bodyDiv w:val="1"/>
      <w:marLeft w:val="0"/>
      <w:marRight w:val="0"/>
      <w:marTop w:val="0"/>
      <w:marBottom w:val="0"/>
      <w:divBdr>
        <w:top w:val="none" w:sz="0" w:space="0" w:color="auto"/>
        <w:left w:val="none" w:sz="0" w:space="0" w:color="auto"/>
        <w:bottom w:val="none" w:sz="0" w:space="0" w:color="auto"/>
        <w:right w:val="none" w:sz="0" w:space="0" w:color="auto"/>
      </w:divBdr>
    </w:div>
    <w:div w:id="1204052620">
      <w:bodyDiv w:val="1"/>
      <w:marLeft w:val="0"/>
      <w:marRight w:val="0"/>
      <w:marTop w:val="0"/>
      <w:marBottom w:val="0"/>
      <w:divBdr>
        <w:top w:val="none" w:sz="0" w:space="0" w:color="auto"/>
        <w:left w:val="none" w:sz="0" w:space="0" w:color="auto"/>
        <w:bottom w:val="none" w:sz="0" w:space="0" w:color="auto"/>
        <w:right w:val="none" w:sz="0" w:space="0" w:color="auto"/>
      </w:divBdr>
    </w:div>
    <w:div w:id="1204094083">
      <w:bodyDiv w:val="1"/>
      <w:marLeft w:val="0"/>
      <w:marRight w:val="0"/>
      <w:marTop w:val="0"/>
      <w:marBottom w:val="0"/>
      <w:divBdr>
        <w:top w:val="none" w:sz="0" w:space="0" w:color="auto"/>
        <w:left w:val="none" w:sz="0" w:space="0" w:color="auto"/>
        <w:bottom w:val="none" w:sz="0" w:space="0" w:color="auto"/>
        <w:right w:val="none" w:sz="0" w:space="0" w:color="auto"/>
      </w:divBdr>
    </w:div>
    <w:div w:id="1204098587">
      <w:bodyDiv w:val="1"/>
      <w:marLeft w:val="0"/>
      <w:marRight w:val="0"/>
      <w:marTop w:val="0"/>
      <w:marBottom w:val="0"/>
      <w:divBdr>
        <w:top w:val="none" w:sz="0" w:space="0" w:color="auto"/>
        <w:left w:val="none" w:sz="0" w:space="0" w:color="auto"/>
        <w:bottom w:val="none" w:sz="0" w:space="0" w:color="auto"/>
        <w:right w:val="none" w:sz="0" w:space="0" w:color="auto"/>
      </w:divBdr>
    </w:div>
    <w:div w:id="1204169764">
      <w:bodyDiv w:val="1"/>
      <w:marLeft w:val="0"/>
      <w:marRight w:val="0"/>
      <w:marTop w:val="0"/>
      <w:marBottom w:val="0"/>
      <w:divBdr>
        <w:top w:val="none" w:sz="0" w:space="0" w:color="auto"/>
        <w:left w:val="none" w:sz="0" w:space="0" w:color="auto"/>
        <w:bottom w:val="none" w:sz="0" w:space="0" w:color="auto"/>
        <w:right w:val="none" w:sz="0" w:space="0" w:color="auto"/>
      </w:divBdr>
    </w:div>
    <w:div w:id="1204321660">
      <w:bodyDiv w:val="1"/>
      <w:marLeft w:val="0"/>
      <w:marRight w:val="0"/>
      <w:marTop w:val="0"/>
      <w:marBottom w:val="0"/>
      <w:divBdr>
        <w:top w:val="none" w:sz="0" w:space="0" w:color="auto"/>
        <w:left w:val="none" w:sz="0" w:space="0" w:color="auto"/>
        <w:bottom w:val="none" w:sz="0" w:space="0" w:color="auto"/>
        <w:right w:val="none" w:sz="0" w:space="0" w:color="auto"/>
      </w:divBdr>
    </w:div>
    <w:div w:id="1204443563">
      <w:bodyDiv w:val="1"/>
      <w:marLeft w:val="0"/>
      <w:marRight w:val="0"/>
      <w:marTop w:val="0"/>
      <w:marBottom w:val="0"/>
      <w:divBdr>
        <w:top w:val="none" w:sz="0" w:space="0" w:color="auto"/>
        <w:left w:val="none" w:sz="0" w:space="0" w:color="auto"/>
        <w:bottom w:val="none" w:sz="0" w:space="0" w:color="auto"/>
        <w:right w:val="none" w:sz="0" w:space="0" w:color="auto"/>
      </w:divBdr>
    </w:div>
    <w:div w:id="1204443688">
      <w:bodyDiv w:val="1"/>
      <w:marLeft w:val="0"/>
      <w:marRight w:val="0"/>
      <w:marTop w:val="0"/>
      <w:marBottom w:val="0"/>
      <w:divBdr>
        <w:top w:val="none" w:sz="0" w:space="0" w:color="auto"/>
        <w:left w:val="none" w:sz="0" w:space="0" w:color="auto"/>
        <w:bottom w:val="none" w:sz="0" w:space="0" w:color="auto"/>
        <w:right w:val="none" w:sz="0" w:space="0" w:color="auto"/>
      </w:divBdr>
    </w:div>
    <w:div w:id="1204518522">
      <w:bodyDiv w:val="1"/>
      <w:marLeft w:val="0"/>
      <w:marRight w:val="0"/>
      <w:marTop w:val="0"/>
      <w:marBottom w:val="0"/>
      <w:divBdr>
        <w:top w:val="none" w:sz="0" w:space="0" w:color="auto"/>
        <w:left w:val="none" w:sz="0" w:space="0" w:color="auto"/>
        <w:bottom w:val="none" w:sz="0" w:space="0" w:color="auto"/>
        <w:right w:val="none" w:sz="0" w:space="0" w:color="auto"/>
      </w:divBdr>
    </w:div>
    <w:div w:id="1204631562">
      <w:bodyDiv w:val="1"/>
      <w:marLeft w:val="0"/>
      <w:marRight w:val="0"/>
      <w:marTop w:val="0"/>
      <w:marBottom w:val="0"/>
      <w:divBdr>
        <w:top w:val="none" w:sz="0" w:space="0" w:color="auto"/>
        <w:left w:val="none" w:sz="0" w:space="0" w:color="auto"/>
        <w:bottom w:val="none" w:sz="0" w:space="0" w:color="auto"/>
        <w:right w:val="none" w:sz="0" w:space="0" w:color="auto"/>
      </w:divBdr>
    </w:div>
    <w:div w:id="1204636573">
      <w:bodyDiv w:val="1"/>
      <w:marLeft w:val="0"/>
      <w:marRight w:val="0"/>
      <w:marTop w:val="0"/>
      <w:marBottom w:val="0"/>
      <w:divBdr>
        <w:top w:val="none" w:sz="0" w:space="0" w:color="auto"/>
        <w:left w:val="none" w:sz="0" w:space="0" w:color="auto"/>
        <w:bottom w:val="none" w:sz="0" w:space="0" w:color="auto"/>
        <w:right w:val="none" w:sz="0" w:space="0" w:color="auto"/>
      </w:divBdr>
    </w:div>
    <w:div w:id="1204710009">
      <w:bodyDiv w:val="1"/>
      <w:marLeft w:val="0"/>
      <w:marRight w:val="0"/>
      <w:marTop w:val="0"/>
      <w:marBottom w:val="0"/>
      <w:divBdr>
        <w:top w:val="none" w:sz="0" w:space="0" w:color="auto"/>
        <w:left w:val="none" w:sz="0" w:space="0" w:color="auto"/>
        <w:bottom w:val="none" w:sz="0" w:space="0" w:color="auto"/>
        <w:right w:val="none" w:sz="0" w:space="0" w:color="auto"/>
      </w:divBdr>
    </w:div>
    <w:div w:id="1204712790">
      <w:bodyDiv w:val="1"/>
      <w:marLeft w:val="0"/>
      <w:marRight w:val="0"/>
      <w:marTop w:val="0"/>
      <w:marBottom w:val="0"/>
      <w:divBdr>
        <w:top w:val="none" w:sz="0" w:space="0" w:color="auto"/>
        <w:left w:val="none" w:sz="0" w:space="0" w:color="auto"/>
        <w:bottom w:val="none" w:sz="0" w:space="0" w:color="auto"/>
        <w:right w:val="none" w:sz="0" w:space="0" w:color="auto"/>
      </w:divBdr>
    </w:div>
    <w:div w:id="1204833493">
      <w:bodyDiv w:val="1"/>
      <w:marLeft w:val="0"/>
      <w:marRight w:val="0"/>
      <w:marTop w:val="0"/>
      <w:marBottom w:val="0"/>
      <w:divBdr>
        <w:top w:val="none" w:sz="0" w:space="0" w:color="auto"/>
        <w:left w:val="none" w:sz="0" w:space="0" w:color="auto"/>
        <w:bottom w:val="none" w:sz="0" w:space="0" w:color="auto"/>
        <w:right w:val="none" w:sz="0" w:space="0" w:color="auto"/>
      </w:divBdr>
    </w:div>
    <w:div w:id="1204907997">
      <w:bodyDiv w:val="1"/>
      <w:marLeft w:val="0"/>
      <w:marRight w:val="0"/>
      <w:marTop w:val="0"/>
      <w:marBottom w:val="0"/>
      <w:divBdr>
        <w:top w:val="none" w:sz="0" w:space="0" w:color="auto"/>
        <w:left w:val="none" w:sz="0" w:space="0" w:color="auto"/>
        <w:bottom w:val="none" w:sz="0" w:space="0" w:color="auto"/>
        <w:right w:val="none" w:sz="0" w:space="0" w:color="auto"/>
      </w:divBdr>
    </w:div>
    <w:div w:id="1204947544">
      <w:bodyDiv w:val="1"/>
      <w:marLeft w:val="0"/>
      <w:marRight w:val="0"/>
      <w:marTop w:val="0"/>
      <w:marBottom w:val="0"/>
      <w:divBdr>
        <w:top w:val="none" w:sz="0" w:space="0" w:color="auto"/>
        <w:left w:val="none" w:sz="0" w:space="0" w:color="auto"/>
        <w:bottom w:val="none" w:sz="0" w:space="0" w:color="auto"/>
        <w:right w:val="none" w:sz="0" w:space="0" w:color="auto"/>
      </w:divBdr>
    </w:div>
    <w:div w:id="1205094928">
      <w:bodyDiv w:val="1"/>
      <w:marLeft w:val="0"/>
      <w:marRight w:val="0"/>
      <w:marTop w:val="0"/>
      <w:marBottom w:val="0"/>
      <w:divBdr>
        <w:top w:val="none" w:sz="0" w:space="0" w:color="auto"/>
        <w:left w:val="none" w:sz="0" w:space="0" w:color="auto"/>
        <w:bottom w:val="none" w:sz="0" w:space="0" w:color="auto"/>
        <w:right w:val="none" w:sz="0" w:space="0" w:color="auto"/>
      </w:divBdr>
    </w:div>
    <w:div w:id="1205168230">
      <w:bodyDiv w:val="1"/>
      <w:marLeft w:val="0"/>
      <w:marRight w:val="0"/>
      <w:marTop w:val="0"/>
      <w:marBottom w:val="0"/>
      <w:divBdr>
        <w:top w:val="none" w:sz="0" w:space="0" w:color="auto"/>
        <w:left w:val="none" w:sz="0" w:space="0" w:color="auto"/>
        <w:bottom w:val="none" w:sz="0" w:space="0" w:color="auto"/>
        <w:right w:val="none" w:sz="0" w:space="0" w:color="auto"/>
      </w:divBdr>
    </w:div>
    <w:div w:id="1205214232">
      <w:bodyDiv w:val="1"/>
      <w:marLeft w:val="0"/>
      <w:marRight w:val="0"/>
      <w:marTop w:val="0"/>
      <w:marBottom w:val="0"/>
      <w:divBdr>
        <w:top w:val="none" w:sz="0" w:space="0" w:color="auto"/>
        <w:left w:val="none" w:sz="0" w:space="0" w:color="auto"/>
        <w:bottom w:val="none" w:sz="0" w:space="0" w:color="auto"/>
        <w:right w:val="none" w:sz="0" w:space="0" w:color="auto"/>
      </w:divBdr>
    </w:div>
    <w:div w:id="1205288384">
      <w:bodyDiv w:val="1"/>
      <w:marLeft w:val="0"/>
      <w:marRight w:val="0"/>
      <w:marTop w:val="0"/>
      <w:marBottom w:val="0"/>
      <w:divBdr>
        <w:top w:val="none" w:sz="0" w:space="0" w:color="auto"/>
        <w:left w:val="none" w:sz="0" w:space="0" w:color="auto"/>
        <w:bottom w:val="none" w:sz="0" w:space="0" w:color="auto"/>
        <w:right w:val="none" w:sz="0" w:space="0" w:color="auto"/>
      </w:divBdr>
    </w:div>
    <w:div w:id="1205367564">
      <w:bodyDiv w:val="1"/>
      <w:marLeft w:val="0"/>
      <w:marRight w:val="0"/>
      <w:marTop w:val="0"/>
      <w:marBottom w:val="0"/>
      <w:divBdr>
        <w:top w:val="none" w:sz="0" w:space="0" w:color="auto"/>
        <w:left w:val="none" w:sz="0" w:space="0" w:color="auto"/>
        <w:bottom w:val="none" w:sz="0" w:space="0" w:color="auto"/>
        <w:right w:val="none" w:sz="0" w:space="0" w:color="auto"/>
      </w:divBdr>
    </w:div>
    <w:div w:id="1205404567">
      <w:bodyDiv w:val="1"/>
      <w:marLeft w:val="0"/>
      <w:marRight w:val="0"/>
      <w:marTop w:val="0"/>
      <w:marBottom w:val="0"/>
      <w:divBdr>
        <w:top w:val="none" w:sz="0" w:space="0" w:color="auto"/>
        <w:left w:val="none" w:sz="0" w:space="0" w:color="auto"/>
        <w:bottom w:val="none" w:sz="0" w:space="0" w:color="auto"/>
        <w:right w:val="none" w:sz="0" w:space="0" w:color="auto"/>
      </w:divBdr>
    </w:div>
    <w:div w:id="1205406182">
      <w:bodyDiv w:val="1"/>
      <w:marLeft w:val="0"/>
      <w:marRight w:val="0"/>
      <w:marTop w:val="0"/>
      <w:marBottom w:val="0"/>
      <w:divBdr>
        <w:top w:val="none" w:sz="0" w:space="0" w:color="auto"/>
        <w:left w:val="none" w:sz="0" w:space="0" w:color="auto"/>
        <w:bottom w:val="none" w:sz="0" w:space="0" w:color="auto"/>
        <w:right w:val="none" w:sz="0" w:space="0" w:color="auto"/>
      </w:divBdr>
    </w:div>
    <w:div w:id="1205482387">
      <w:bodyDiv w:val="1"/>
      <w:marLeft w:val="0"/>
      <w:marRight w:val="0"/>
      <w:marTop w:val="0"/>
      <w:marBottom w:val="0"/>
      <w:divBdr>
        <w:top w:val="none" w:sz="0" w:space="0" w:color="auto"/>
        <w:left w:val="none" w:sz="0" w:space="0" w:color="auto"/>
        <w:bottom w:val="none" w:sz="0" w:space="0" w:color="auto"/>
        <w:right w:val="none" w:sz="0" w:space="0" w:color="auto"/>
      </w:divBdr>
    </w:div>
    <w:div w:id="1205487915">
      <w:bodyDiv w:val="1"/>
      <w:marLeft w:val="0"/>
      <w:marRight w:val="0"/>
      <w:marTop w:val="0"/>
      <w:marBottom w:val="0"/>
      <w:divBdr>
        <w:top w:val="none" w:sz="0" w:space="0" w:color="auto"/>
        <w:left w:val="none" w:sz="0" w:space="0" w:color="auto"/>
        <w:bottom w:val="none" w:sz="0" w:space="0" w:color="auto"/>
        <w:right w:val="none" w:sz="0" w:space="0" w:color="auto"/>
      </w:divBdr>
    </w:div>
    <w:div w:id="1205563874">
      <w:bodyDiv w:val="1"/>
      <w:marLeft w:val="0"/>
      <w:marRight w:val="0"/>
      <w:marTop w:val="0"/>
      <w:marBottom w:val="0"/>
      <w:divBdr>
        <w:top w:val="none" w:sz="0" w:space="0" w:color="auto"/>
        <w:left w:val="none" w:sz="0" w:space="0" w:color="auto"/>
        <w:bottom w:val="none" w:sz="0" w:space="0" w:color="auto"/>
        <w:right w:val="none" w:sz="0" w:space="0" w:color="auto"/>
      </w:divBdr>
    </w:div>
    <w:div w:id="1205603577">
      <w:bodyDiv w:val="1"/>
      <w:marLeft w:val="0"/>
      <w:marRight w:val="0"/>
      <w:marTop w:val="0"/>
      <w:marBottom w:val="0"/>
      <w:divBdr>
        <w:top w:val="none" w:sz="0" w:space="0" w:color="auto"/>
        <w:left w:val="none" w:sz="0" w:space="0" w:color="auto"/>
        <w:bottom w:val="none" w:sz="0" w:space="0" w:color="auto"/>
        <w:right w:val="none" w:sz="0" w:space="0" w:color="auto"/>
      </w:divBdr>
    </w:div>
    <w:div w:id="1205824157">
      <w:bodyDiv w:val="1"/>
      <w:marLeft w:val="0"/>
      <w:marRight w:val="0"/>
      <w:marTop w:val="0"/>
      <w:marBottom w:val="0"/>
      <w:divBdr>
        <w:top w:val="none" w:sz="0" w:space="0" w:color="auto"/>
        <w:left w:val="none" w:sz="0" w:space="0" w:color="auto"/>
        <w:bottom w:val="none" w:sz="0" w:space="0" w:color="auto"/>
        <w:right w:val="none" w:sz="0" w:space="0" w:color="auto"/>
      </w:divBdr>
    </w:div>
    <w:div w:id="1205827110">
      <w:bodyDiv w:val="1"/>
      <w:marLeft w:val="0"/>
      <w:marRight w:val="0"/>
      <w:marTop w:val="0"/>
      <w:marBottom w:val="0"/>
      <w:divBdr>
        <w:top w:val="none" w:sz="0" w:space="0" w:color="auto"/>
        <w:left w:val="none" w:sz="0" w:space="0" w:color="auto"/>
        <w:bottom w:val="none" w:sz="0" w:space="0" w:color="auto"/>
        <w:right w:val="none" w:sz="0" w:space="0" w:color="auto"/>
      </w:divBdr>
    </w:div>
    <w:div w:id="1205828397">
      <w:bodyDiv w:val="1"/>
      <w:marLeft w:val="0"/>
      <w:marRight w:val="0"/>
      <w:marTop w:val="0"/>
      <w:marBottom w:val="0"/>
      <w:divBdr>
        <w:top w:val="none" w:sz="0" w:space="0" w:color="auto"/>
        <w:left w:val="none" w:sz="0" w:space="0" w:color="auto"/>
        <w:bottom w:val="none" w:sz="0" w:space="0" w:color="auto"/>
        <w:right w:val="none" w:sz="0" w:space="0" w:color="auto"/>
      </w:divBdr>
    </w:div>
    <w:div w:id="1205947767">
      <w:bodyDiv w:val="1"/>
      <w:marLeft w:val="0"/>
      <w:marRight w:val="0"/>
      <w:marTop w:val="0"/>
      <w:marBottom w:val="0"/>
      <w:divBdr>
        <w:top w:val="none" w:sz="0" w:space="0" w:color="auto"/>
        <w:left w:val="none" w:sz="0" w:space="0" w:color="auto"/>
        <w:bottom w:val="none" w:sz="0" w:space="0" w:color="auto"/>
        <w:right w:val="none" w:sz="0" w:space="0" w:color="auto"/>
      </w:divBdr>
    </w:div>
    <w:div w:id="1206016549">
      <w:bodyDiv w:val="1"/>
      <w:marLeft w:val="0"/>
      <w:marRight w:val="0"/>
      <w:marTop w:val="0"/>
      <w:marBottom w:val="0"/>
      <w:divBdr>
        <w:top w:val="none" w:sz="0" w:space="0" w:color="auto"/>
        <w:left w:val="none" w:sz="0" w:space="0" w:color="auto"/>
        <w:bottom w:val="none" w:sz="0" w:space="0" w:color="auto"/>
        <w:right w:val="none" w:sz="0" w:space="0" w:color="auto"/>
      </w:divBdr>
    </w:div>
    <w:div w:id="1206061283">
      <w:bodyDiv w:val="1"/>
      <w:marLeft w:val="0"/>
      <w:marRight w:val="0"/>
      <w:marTop w:val="0"/>
      <w:marBottom w:val="0"/>
      <w:divBdr>
        <w:top w:val="none" w:sz="0" w:space="0" w:color="auto"/>
        <w:left w:val="none" w:sz="0" w:space="0" w:color="auto"/>
        <w:bottom w:val="none" w:sz="0" w:space="0" w:color="auto"/>
        <w:right w:val="none" w:sz="0" w:space="0" w:color="auto"/>
      </w:divBdr>
    </w:div>
    <w:div w:id="1206135422">
      <w:bodyDiv w:val="1"/>
      <w:marLeft w:val="0"/>
      <w:marRight w:val="0"/>
      <w:marTop w:val="0"/>
      <w:marBottom w:val="0"/>
      <w:divBdr>
        <w:top w:val="none" w:sz="0" w:space="0" w:color="auto"/>
        <w:left w:val="none" w:sz="0" w:space="0" w:color="auto"/>
        <w:bottom w:val="none" w:sz="0" w:space="0" w:color="auto"/>
        <w:right w:val="none" w:sz="0" w:space="0" w:color="auto"/>
      </w:divBdr>
    </w:div>
    <w:div w:id="1206136690">
      <w:bodyDiv w:val="1"/>
      <w:marLeft w:val="0"/>
      <w:marRight w:val="0"/>
      <w:marTop w:val="0"/>
      <w:marBottom w:val="0"/>
      <w:divBdr>
        <w:top w:val="none" w:sz="0" w:space="0" w:color="auto"/>
        <w:left w:val="none" w:sz="0" w:space="0" w:color="auto"/>
        <w:bottom w:val="none" w:sz="0" w:space="0" w:color="auto"/>
        <w:right w:val="none" w:sz="0" w:space="0" w:color="auto"/>
      </w:divBdr>
    </w:div>
    <w:div w:id="1206256621">
      <w:bodyDiv w:val="1"/>
      <w:marLeft w:val="0"/>
      <w:marRight w:val="0"/>
      <w:marTop w:val="0"/>
      <w:marBottom w:val="0"/>
      <w:divBdr>
        <w:top w:val="none" w:sz="0" w:space="0" w:color="auto"/>
        <w:left w:val="none" w:sz="0" w:space="0" w:color="auto"/>
        <w:bottom w:val="none" w:sz="0" w:space="0" w:color="auto"/>
        <w:right w:val="none" w:sz="0" w:space="0" w:color="auto"/>
      </w:divBdr>
    </w:div>
    <w:div w:id="1206329191">
      <w:bodyDiv w:val="1"/>
      <w:marLeft w:val="0"/>
      <w:marRight w:val="0"/>
      <w:marTop w:val="0"/>
      <w:marBottom w:val="0"/>
      <w:divBdr>
        <w:top w:val="none" w:sz="0" w:space="0" w:color="auto"/>
        <w:left w:val="none" w:sz="0" w:space="0" w:color="auto"/>
        <w:bottom w:val="none" w:sz="0" w:space="0" w:color="auto"/>
        <w:right w:val="none" w:sz="0" w:space="0" w:color="auto"/>
      </w:divBdr>
    </w:div>
    <w:div w:id="1206335180">
      <w:bodyDiv w:val="1"/>
      <w:marLeft w:val="0"/>
      <w:marRight w:val="0"/>
      <w:marTop w:val="0"/>
      <w:marBottom w:val="0"/>
      <w:divBdr>
        <w:top w:val="none" w:sz="0" w:space="0" w:color="auto"/>
        <w:left w:val="none" w:sz="0" w:space="0" w:color="auto"/>
        <w:bottom w:val="none" w:sz="0" w:space="0" w:color="auto"/>
        <w:right w:val="none" w:sz="0" w:space="0" w:color="auto"/>
      </w:divBdr>
    </w:div>
    <w:div w:id="1206599108">
      <w:bodyDiv w:val="1"/>
      <w:marLeft w:val="0"/>
      <w:marRight w:val="0"/>
      <w:marTop w:val="0"/>
      <w:marBottom w:val="0"/>
      <w:divBdr>
        <w:top w:val="none" w:sz="0" w:space="0" w:color="auto"/>
        <w:left w:val="none" w:sz="0" w:space="0" w:color="auto"/>
        <w:bottom w:val="none" w:sz="0" w:space="0" w:color="auto"/>
        <w:right w:val="none" w:sz="0" w:space="0" w:color="auto"/>
      </w:divBdr>
    </w:div>
    <w:div w:id="1206673177">
      <w:bodyDiv w:val="1"/>
      <w:marLeft w:val="0"/>
      <w:marRight w:val="0"/>
      <w:marTop w:val="0"/>
      <w:marBottom w:val="0"/>
      <w:divBdr>
        <w:top w:val="none" w:sz="0" w:space="0" w:color="auto"/>
        <w:left w:val="none" w:sz="0" w:space="0" w:color="auto"/>
        <w:bottom w:val="none" w:sz="0" w:space="0" w:color="auto"/>
        <w:right w:val="none" w:sz="0" w:space="0" w:color="auto"/>
      </w:divBdr>
    </w:div>
    <w:div w:id="1206723457">
      <w:bodyDiv w:val="1"/>
      <w:marLeft w:val="0"/>
      <w:marRight w:val="0"/>
      <w:marTop w:val="0"/>
      <w:marBottom w:val="0"/>
      <w:divBdr>
        <w:top w:val="none" w:sz="0" w:space="0" w:color="auto"/>
        <w:left w:val="none" w:sz="0" w:space="0" w:color="auto"/>
        <w:bottom w:val="none" w:sz="0" w:space="0" w:color="auto"/>
        <w:right w:val="none" w:sz="0" w:space="0" w:color="auto"/>
      </w:divBdr>
    </w:div>
    <w:div w:id="1206799358">
      <w:bodyDiv w:val="1"/>
      <w:marLeft w:val="0"/>
      <w:marRight w:val="0"/>
      <w:marTop w:val="0"/>
      <w:marBottom w:val="0"/>
      <w:divBdr>
        <w:top w:val="none" w:sz="0" w:space="0" w:color="auto"/>
        <w:left w:val="none" w:sz="0" w:space="0" w:color="auto"/>
        <w:bottom w:val="none" w:sz="0" w:space="0" w:color="auto"/>
        <w:right w:val="none" w:sz="0" w:space="0" w:color="auto"/>
      </w:divBdr>
    </w:div>
    <w:div w:id="1206866402">
      <w:bodyDiv w:val="1"/>
      <w:marLeft w:val="0"/>
      <w:marRight w:val="0"/>
      <w:marTop w:val="0"/>
      <w:marBottom w:val="0"/>
      <w:divBdr>
        <w:top w:val="none" w:sz="0" w:space="0" w:color="auto"/>
        <w:left w:val="none" w:sz="0" w:space="0" w:color="auto"/>
        <w:bottom w:val="none" w:sz="0" w:space="0" w:color="auto"/>
        <w:right w:val="none" w:sz="0" w:space="0" w:color="auto"/>
      </w:divBdr>
    </w:div>
    <w:div w:id="1207181634">
      <w:bodyDiv w:val="1"/>
      <w:marLeft w:val="0"/>
      <w:marRight w:val="0"/>
      <w:marTop w:val="0"/>
      <w:marBottom w:val="0"/>
      <w:divBdr>
        <w:top w:val="none" w:sz="0" w:space="0" w:color="auto"/>
        <w:left w:val="none" w:sz="0" w:space="0" w:color="auto"/>
        <w:bottom w:val="none" w:sz="0" w:space="0" w:color="auto"/>
        <w:right w:val="none" w:sz="0" w:space="0" w:color="auto"/>
      </w:divBdr>
    </w:div>
    <w:div w:id="1207327176">
      <w:bodyDiv w:val="1"/>
      <w:marLeft w:val="0"/>
      <w:marRight w:val="0"/>
      <w:marTop w:val="0"/>
      <w:marBottom w:val="0"/>
      <w:divBdr>
        <w:top w:val="none" w:sz="0" w:space="0" w:color="auto"/>
        <w:left w:val="none" w:sz="0" w:space="0" w:color="auto"/>
        <w:bottom w:val="none" w:sz="0" w:space="0" w:color="auto"/>
        <w:right w:val="none" w:sz="0" w:space="0" w:color="auto"/>
      </w:divBdr>
    </w:div>
    <w:div w:id="1207447279">
      <w:bodyDiv w:val="1"/>
      <w:marLeft w:val="0"/>
      <w:marRight w:val="0"/>
      <w:marTop w:val="0"/>
      <w:marBottom w:val="0"/>
      <w:divBdr>
        <w:top w:val="none" w:sz="0" w:space="0" w:color="auto"/>
        <w:left w:val="none" w:sz="0" w:space="0" w:color="auto"/>
        <w:bottom w:val="none" w:sz="0" w:space="0" w:color="auto"/>
        <w:right w:val="none" w:sz="0" w:space="0" w:color="auto"/>
      </w:divBdr>
    </w:div>
    <w:div w:id="1207522835">
      <w:bodyDiv w:val="1"/>
      <w:marLeft w:val="0"/>
      <w:marRight w:val="0"/>
      <w:marTop w:val="0"/>
      <w:marBottom w:val="0"/>
      <w:divBdr>
        <w:top w:val="none" w:sz="0" w:space="0" w:color="auto"/>
        <w:left w:val="none" w:sz="0" w:space="0" w:color="auto"/>
        <w:bottom w:val="none" w:sz="0" w:space="0" w:color="auto"/>
        <w:right w:val="none" w:sz="0" w:space="0" w:color="auto"/>
      </w:divBdr>
    </w:div>
    <w:div w:id="1207647146">
      <w:bodyDiv w:val="1"/>
      <w:marLeft w:val="0"/>
      <w:marRight w:val="0"/>
      <w:marTop w:val="0"/>
      <w:marBottom w:val="0"/>
      <w:divBdr>
        <w:top w:val="none" w:sz="0" w:space="0" w:color="auto"/>
        <w:left w:val="none" w:sz="0" w:space="0" w:color="auto"/>
        <w:bottom w:val="none" w:sz="0" w:space="0" w:color="auto"/>
        <w:right w:val="none" w:sz="0" w:space="0" w:color="auto"/>
      </w:divBdr>
    </w:div>
    <w:div w:id="1207718497">
      <w:bodyDiv w:val="1"/>
      <w:marLeft w:val="0"/>
      <w:marRight w:val="0"/>
      <w:marTop w:val="0"/>
      <w:marBottom w:val="0"/>
      <w:divBdr>
        <w:top w:val="none" w:sz="0" w:space="0" w:color="auto"/>
        <w:left w:val="none" w:sz="0" w:space="0" w:color="auto"/>
        <w:bottom w:val="none" w:sz="0" w:space="0" w:color="auto"/>
        <w:right w:val="none" w:sz="0" w:space="0" w:color="auto"/>
      </w:divBdr>
    </w:div>
    <w:div w:id="1207721090">
      <w:bodyDiv w:val="1"/>
      <w:marLeft w:val="0"/>
      <w:marRight w:val="0"/>
      <w:marTop w:val="0"/>
      <w:marBottom w:val="0"/>
      <w:divBdr>
        <w:top w:val="none" w:sz="0" w:space="0" w:color="auto"/>
        <w:left w:val="none" w:sz="0" w:space="0" w:color="auto"/>
        <w:bottom w:val="none" w:sz="0" w:space="0" w:color="auto"/>
        <w:right w:val="none" w:sz="0" w:space="0" w:color="auto"/>
      </w:divBdr>
    </w:div>
    <w:div w:id="1207789547">
      <w:bodyDiv w:val="1"/>
      <w:marLeft w:val="0"/>
      <w:marRight w:val="0"/>
      <w:marTop w:val="0"/>
      <w:marBottom w:val="0"/>
      <w:divBdr>
        <w:top w:val="none" w:sz="0" w:space="0" w:color="auto"/>
        <w:left w:val="none" w:sz="0" w:space="0" w:color="auto"/>
        <w:bottom w:val="none" w:sz="0" w:space="0" w:color="auto"/>
        <w:right w:val="none" w:sz="0" w:space="0" w:color="auto"/>
      </w:divBdr>
    </w:div>
    <w:div w:id="1207916133">
      <w:bodyDiv w:val="1"/>
      <w:marLeft w:val="0"/>
      <w:marRight w:val="0"/>
      <w:marTop w:val="0"/>
      <w:marBottom w:val="0"/>
      <w:divBdr>
        <w:top w:val="none" w:sz="0" w:space="0" w:color="auto"/>
        <w:left w:val="none" w:sz="0" w:space="0" w:color="auto"/>
        <w:bottom w:val="none" w:sz="0" w:space="0" w:color="auto"/>
        <w:right w:val="none" w:sz="0" w:space="0" w:color="auto"/>
      </w:divBdr>
    </w:div>
    <w:div w:id="1208102229">
      <w:bodyDiv w:val="1"/>
      <w:marLeft w:val="0"/>
      <w:marRight w:val="0"/>
      <w:marTop w:val="0"/>
      <w:marBottom w:val="0"/>
      <w:divBdr>
        <w:top w:val="none" w:sz="0" w:space="0" w:color="auto"/>
        <w:left w:val="none" w:sz="0" w:space="0" w:color="auto"/>
        <w:bottom w:val="none" w:sz="0" w:space="0" w:color="auto"/>
        <w:right w:val="none" w:sz="0" w:space="0" w:color="auto"/>
      </w:divBdr>
    </w:div>
    <w:div w:id="1208108050">
      <w:bodyDiv w:val="1"/>
      <w:marLeft w:val="0"/>
      <w:marRight w:val="0"/>
      <w:marTop w:val="0"/>
      <w:marBottom w:val="0"/>
      <w:divBdr>
        <w:top w:val="none" w:sz="0" w:space="0" w:color="auto"/>
        <w:left w:val="none" w:sz="0" w:space="0" w:color="auto"/>
        <w:bottom w:val="none" w:sz="0" w:space="0" w:color="auto"/>
        <w:right w:val="none" w:sz="0" w:space="0" w:color="auto"/>
      </w:divBdr>
    </w:div>
    <w:div w:id="1208253740">
      <w:bodyDiv w:val="1"/>
      <w:marLeft w:val="0"/>
      <w:marRight w:val="0"/>
      <w:marTop w:val="0"/>
      <w:marBottom w:val="0"/>
      <w:divBdr>
        <w:top w:val="none" w:sz="0" w:space="0" w:color="auto"/>
        <w:left w:val="none" w:sz="0" w:space="0" w:color="auto"/>
        <w:bottom w:val="none" w:sz="0" w:space="0" w:color="auto"/>
        <w:right w:val="none" w:sz="0" w:space="0" w:color="auto"/>
      </w:divBdr>
    </w:div>
    <w:div w:id="1208293709">
      <w:bodyDiv w:val="1"/>
      <w:marLeft w:val="0"/>
      <w:marRight w:val="0"/>
      <w:marTop w:val="0"/>
      <w:marBottom w:val="0"/>
      <w:divBdr>
        <w:top w:val="none" w:sz="0" w:space="0" w:color="auto"/>
        <w:left w:val="none" w:sz="0" w:space="0" w:color="auto"/>
        <w:bottom w:val="none" w:sz="0" w:space="0" w:color="auto"/>
        <w:right w:val="none" w:sz="0" w:space="0" w:color="auto"/>
      </w:divBdr>
    </w:div>
    <w:div w:id="1208682108">
      <w:bodyDiv w:val="1"/>
      <w:marLeft w:val="0"/>
      <w:marRight w:val="0"/>
      <w:marTop w:val="0"/>
      <w:marBottom w:val="0"/>
      <w:divBdr>
        <w:top w:val="none" w:sz="0" w:space="0" w:color="auto"/>
        <w:left w:val="none" w:sz="0" w:space="0" w:color="auto"/>
        <w:bottom w:val="none" w:sz="0" w:space="0" w:color="auto"/>
        <w:right w:val="none" w:sz="0" w:space="0" w:color="auto"/>
      </w:divBdr>
    </w:div>
    <w:div w:id="1208952142">
      <w:bodyDiv w:val="1"/>
      <w:marLeft w:val="0"/>
      <w:marRight w:val="0"/>
      <w:marTop w:val="0"/>
      <w:marBottom w:val="0"/>
      <w:divBdr>
        <w:top w:val="none" w:sz="0" w:space="0" w:color="auto"/>
        <w:left w:val="none" w:sz="0" w:space="0" w:color="auto"/>
        <w:bottom w:val="none" w:sz="0" w:space="0" w:color="auto"/>
        <w:right w:val="none" w:sz="0" w:space="0" w:color="auto"/>
      </w:divBdr>
    </w:div>
    <w:div w:id="1208954370">
      <w:bodyDiv w:val="1"/>
      <w:marLeft w:val="0"/>
      <w:marRight w:val="0"/>
      <w:marTop w:val="0"/>
      <w:marBottom w:val="0"/>
      <w:divBdr>
        <w:top w:val="none" w:sz="0" w:space="0" w:color="auto"/>
        <w:left w:val="none" w:sz="0" w:space="0" w:color="auto"/>
        <w:bottom w:val="none" w:sz="0" w:space="0" w:color="auto"/>
        <w:right w:val="none" w:sz="0" w:space="0" w:color="auto"/>
      </w:divBdr>
    </w:div>
    <w:div w:id="1209026306">
      <w:bodyDiv w:val="1"/>
      <w:marLeft w:val="0"/>
      <w:marRight w:val="0"/>
      <w:marTop w:val="0"/>
      <w:marBottom w:val="0"/>
      <w:divBdr>
        <w:top w:val="none" w:sz="0" w:space="0" w:color="auto"/>
        <w:left w:val="none" w:sz="0" w:space="0" w:color="auto"/>
        <w:bottom w:val="none" w:sz="0" w:space="0" w:color="auto"/>
        <w:right w:val="none" w:sz="0" w:space="0" w:color="auto"/>
      </w:divBdr>
    </w:div>
    <w:div w:id="1209031807">
      <w:bodyDiv w:val="1"/>
      <w:marLeft w:val="0"/>
      <w:marRight w:val="0"/>
      <w:marTop w:val="0"/>
      <w:marBottom w:val="0"/>
      <w:divBdr>
        <w:top w:val="none" w:sz="0" w:space="0" w:color="auto"/>
        <w:left w:val="none" w:sz="0" w:space="0" w:color="auto"/>
        <w:bottom w:val="none" w:sz="0" w:space="0" w:color="auto"/>
        <w:right w:val="none" w:sz="0" w:space="0" w:color="auto"/>
      </w:divBdr>
    </w:div>
    <w:div w:id="1209074882">
      <w:bodyDiv w:val="1"/>
      <w:marLeft w:val="0"/>
      <w:marRight w:val="0"/>
      <w:marTop w:val="0"/>
      <w:marBottom w:val="0"/>
      <w:divBdr>
        <w:top w:val="none" w:sz="0" w:space="0" w:color="auto"/>
        <w:left w:val="none" w:sz="0" w:space="0" w:color="auto"/>
        <w:bottom w:val="none" w:sz="0" w:space="0" w:color="auto"/>
        <w:right w:val="none" w:sz="0" w:space="0" w:color="auto"/>
      </w:divBdr>
    </w:div>
    <w:div w:id="1209100986">
      <w:bodyDiv w:val="1"/>
      <w:marLeft w:val="0"/>
      <w:marRight w:val="0"/>
      <w:marTop w:val="0"/>
      <w:marBottom w:val="0"/>
      <w:divBdr>
        <w:top w:val="none" w:sz="0" w:space="0" w:color="auto"/>
        <w:left w:val="none" w:sz="0" w:space="0" w:color="auto"/>
        <w:bottom w:val="none" w:sz="0" w:space="0" w:color="auto"/>
        <w:right w:val="none" w:sz="0" w:space="0" w:color="auto"/>
      </w:divBdr>
    </w:div>
    <w:div w:id="1209105231">
      <w:bodyDiv w:val="1"/>
      <w:marLeft w:val="0"/>
      <w:marRight w:val="0"/>
      <w:marTop w:val="0"/>
      <w:marBottom w:val="0"/>
      <w:divBdr>
        <w:top w:val="none" w:sz="0" w:space="0" w:color="auto"/>
        <w:left w:val="none" w:sz="0" w:space="0" w:color="auto"/>
        <w:bottom w:val="none" w:sz="0" w:space="0" w:color="auto"/>
        <w:right w:val="none" w:sz="0" w:space="0" w:color="auto"/>
      </w:divBdr>
    </w:div>
    <w:div w:id="1209105490">
      <w:bodyDiv w:val="1"/>
      <w:marLeft w:val="0"/>
      <w:marRight w:val="0"/>
      <w:marTop w:val="0"/>
      <w:marBottom w:val="0"/>
      <w:divBdr>
        <w:top w:val="none" w:sz="0" w:space="0" w:color="auto"/>
        <w:left w:val="none" w:sz="0" w:space="0" w:color="auto"/>
        <w:bottom w:val="none" w:sz="0" w:space="0" w:color="auto"/>
        <w:right w:val="none" w:sz="0" w:space="0" w:color="auto"/>
      </w:divBdr>
    </w:div>
    <w:div w:id="1209151005">
      <w:bodyDiv w:val="1"/>
      <w:marLeft w:val="0"/>
      <w:marRight w:val="0"/>
      <w:marTop w:val="0"/>
      <w:marBottom w:val="0"/>
      <w:divBdr>
        <w:top w:val="none" w:sz="0" w:space="0" w:color="auto"/>
        <w:left w:val="none" w:sz="0" w:space="0" w:color="auto"/>
        <w:bottom w:val="none" w:sz="0" w:space="0" w:color="auto"/>
        <w:right w:val="none" w:sz="0" w:space="0" w:color="auto"/>
      </w:divBdr>
    </w:div>
    <w:div w:id="1209293422">
      <w:bodyDiv w:val="1"/>
      <w:marLeft w:val="0"/>
      <w:marRight w:val="0"/>
      <w:marTop w:val="0"/>
      <w:marBottom w:val="0"/>
      <w:divBdr>
        <w:top w:val="none" w:sz="0" w:space="0" w:color="auto"/>
        <w:left w:val="none" w:sz="0" w:space="0" w:color="auto"/>
        <w:bottom w:val="none" w:sz="0" w:space="0" w:color="auto"/>
        <w:right w:val="none" w:sz="0" w:space="0" w:color="auto"/>
      </w:divBdr>
    </w:div>
    <w:div w:id="1209340078">
      <w:bodyDiv w:val="1"/>
      <w:marLeft w:val="0"/>
      <w:marRight w:val="0"/>
      <w:marTop w:val="0"/>
      <w:marBottom w:val="0"/>
      <w:divBdr>
        <w:top w:val="none" w:sz="0" w:space="0" w:color="auto"/>
        <w:left w:val="none" w:sz="0" w:space="0" w:color="auto"/>
        <w:bottom w:val="none" w:sz="0" w:space="0" w:color="auto"/>
        <w:right w:val="none" w:sz="0" w:space="0" w:color="auto"/>
      </w:divBdr>
    </w:div>
    <w:div w:id="1209417910">
      <w:bodyDiv w:val="1"/>
      <w:marLeft w:val="0"/>
      <w:marRight w:val="0"/>
      <w:marTop w:val="0"/>
      <w:marBottom w:val="0"/>
      <w:divBdr>
        <w:top w:val="none" w:sz="0" w:space="0" w:color="auto"/>
        <w:left w:val="none" w:sz="0" w:space="0" w:color="auto"/>
        <w:bottom w:val="none" w:sz="0" w:space="0" w:color="auto"/>
        <w:right w:val="none" w:sz="0" w:space="0" w:color="auto"/>
      </w:divBdr>
    </w:div>
    <w:div w:id="1209681826">
      <w:bodyDiv w:val="1"/>
      <w:marLeft w:val="0"/>
      <w:marRight w:val="0"/>
      <w:marTop w:val="0"/>
      <w:marBottom w:val="0"/>
      <w:divBdr>
        <w:top w:val="none" w:sz="0" w:space="0" w:color="auto"/>
        <w:left w:val="none" w:sz="0" w:space="0" w:color="auto"/>
        <w:bottom w:val="none" w:sz="0" w:space="0" w:color="auto"/>
        <w:right w:val="none" w:sz="0" w:space="0" w:color="auto"/>
      </w:divBdr>
    </w:div>
    <w:div w:id="1209877962">
      <w:bodyDiv w:val="1"/>
      <w:marLeft w:val="0"/>
      <w:marRight w:val="0"/>
      <w:marTop w:val="0"/>
      <w:marBottom w:val="0"/>
      <w:divBdr>
        <w:top w:val="none" w:sz="0" w:space="0" w:color="auto"/>
        <w:left w:val="none" w:sz="0" w:space="0" w:color="auto"/>
        <w:bottom w:val="none" w:sz="0" w:space="0" w:color="auto"/>
        <w:right w:val="none" w:sz="0" w:space="0" w:color="auto"/>
      </w:divBdr>
    </w:div>
    <w:div w:id="1209949596">
      <w:bodyDiv w:val="1"/>
      <w:marLeft w:val="0"/>
      <w:marRight w:val="0"/>
      <w:marTop w:val="0"/>
      <w:marBottom w:val="0"/>
      <w:divBdr>
        <w:top w:val="none" w:sz="0" w:space="0" w:color="auto"/>
        <w:left w:val="none" w:sz="0" w:space="0" w:color="auto"/>
        <w:bottom w:val="none" w:sz="0" w:space="0" w:color="auto"/>
        <w:right w:val="none" w:sz="0" w:space="0" w:color="auto"/>
      </w:divBdr>
    </w:div>
    <w:div w:id="1210147594">
      <w:bodyDiv w:val="1"/>
      <w:marLeft w:val="0"/>
      <w:marRight w:val="0"/>
      <w:marTop w:val="0"/>
      <w:marBottom w:val="0"/>
      <w:divBdr>
        <w:top w:val="none" w:sz="0" w:space="0" w:color="auto"/>
        <w:left w:val="none" w:sz="0" w:space="0" w:color="auto"/>
        <w:bottom w:val="none" w:sz="0" w:space="0" w:color="auto"/>
        <w:right w:val="none" w:sz="0" w:space="0" w:color="auto"/>
      </w:divBdr>
    </w:div>
    <w:div w:id="1210188982">
      <w:bodyDiv w:val="1"/>
      <w:marLeft w:val="0"/>
      <w:marRight w:val="0"/>
      <w:marTop w:val="0"/>
      <w:marBottom w:val="0"/>
      <w:divBdr>
        <w:top w:val="none" w:sz="0" w:space="0" w:color="auto"/>
        <w:left w:val="none" w:sz="0" w:space="0" w:color="auto"/>
        <w:bottom w:val="none" w:sz="0" w:space="0" w:color="auto"/>
        <w:right w:val="none" w:sz="0" w:space="0" w:color="auto"/>
      </w:divBdr>
    </w:div>
    <w:div w:id="1210260258">
      <w:bodyDiv w:val="1"/>
      <w:marLeft w:val="0"/>
      <w:marRight w:val="0"/>
      <w:marTop w:val="0"/>
      <w:marBottom w:val="0"/>
      <w:divBdr>
        <w:top w:val="none" w:sz="0" w:space="0" w:color="auto"/>
        <w:left w:val="none" w:sz="0" w:space="0" w:color="auto"/>
        <w:bottom w:val="none" w:sz="0" w:space="0" w:color="auto"/>
        <w:right w:val="none" w:sz="0" w:space="0" w:color="auto"/>
      </w:divBdr>
    </w:div>
    <w:div w:id="1210338326">
      <w:bodyDiv w:val="1"/>
      <w:marLeft w:val="0"/>
      <w:marRight w:val="0"/>
      <w:marTop w:val="0"/>
      <w:marBottom w:val="0"/>
      <w:divBdr>
        <w:top w:val="none" w:sz="0" w:space="0" w:color="auto"/>
        <w:left w:val="none" w:sz="0" w:space="0" w:color="auto"/>
        <w:bottom w:val="none" w:sz="0" w:space="0" w:color="auto"/>
        <w:right w:val="none" w:sz="0" w:space="0" w:color="auto"/>
      </w:divBdr>
    </w:div>
    <w:div w:id="1210342180">
      <w:bodyDiv w:val="1"/>
      <w:marLeft w:val="0"/>
      <w:marRight w:val="0"/>
      <w:marTop w:val="0"/>
      <w:marBottom w:val="0"/>
      <w:divBdr>
        <w:top w:val="none" w:sz="0" w:space="0" w:color="auto"/>
        <w:left w:val="none" w:sz="0" w:space="0" w:color="auto"/>
        <w:bottom w:val="none" w:sz="0" w:space="0" w:color="auto"/>
        <w:right w:val="none" w:sz="0" w:space="0" w:color="auto"/>
      </w:divBdr>
    </w:div>
    <w:div w:id="1210386936">
      <w:bodyDiv w:val="1"/>
      <w:marLeft w:val="0"/>
      <w:marRight w:val="0"/>
      <w:marTop w:val="0"/>
      <w:marBottom w:val="0"/>
      <w:divBdr>
        <w:top w:val="none" w:sz="0" w:space="0" w:color="auto"/>
        <w:left w:val="none" w:sz="0" w:space="0" w:color="auto"/>
        <w:bottom w:val="none" w:sz="0" w:space="0" w:color="auto"/>
        <w:right w:val="none" w:sz="0" w:space="0" w:color="auto"/>
      </w:divBdr>
    </w:div>
    <w:div w:id="1210413277">
      <w:bodyDiv w:val="1"/>
      <w:marLeft w:val="0"/>
      <w:marRight w:val="0"/>
      <w:marTop w:val="0"/>
      <w:marBottom w:val="0"/>
      <w:divBdr>
        <w:top w:val="none" w:sz="0" w:space="0" w:color="auto"/>
        <w:left w:val="none" w:sz="0" w:space="0" w:color="auto"/>
        <w:bottom w:val="none" w:sz="0" w:space="0" w:color="auto"/>
        <w:right w:val="none" w:sz="0" w:space="0" w:color="auto"/>
      </w:divBdr>
    </w:div>
    <w:div w:id="1210648001">
      <w:bodyDiv w:val="1"/>
      <w:marLeft w:val="0"/>
      <w:marRight w:val="0"/>
      <w:marTop w:val="0"/>
      <w:marBottom w:val="0"/>
      <w:divBdr>
        <w:top w:val="none" w:sz="0" w:space="0" w:color="auto"/>
        <w:left w:val="none" w:sz="0" w:space="0" w:color="auto"/>
        <w:bottom w:val="none" w:sz="0" w:space="0" w:color="auto"/>
        <w:right w:val="none" w:sz="0" w:space="0" w:color="auto"/>
      </w:divBdr>
    </w:div>
    <w:div w:id="1210728824">
      <w:bodyDiv w:val="1"/>
      <w:marLeft w:val="0"/>
      <w:marRight w:val="0"/>
      <w:marTop w:val="0"/>
      <w:marBottom w:val="0"/>
      <w:divBdr>
        <w:top w:val="none" w:sz="0" w:space="0" w:color="auto"/>
        <w:left w:val="none" w:sz="0" w:space="0" w:color="auto"/>
        <w:bottom w:val="none" w:sz="0" w:space="0" w:color="auto"/>
        <w:right w:val="none" w:sz="0" w:space="0" w:color="auto"/>
      </w:divBdr>
    </w:div>
    <w:div w:id="1210847469">
      <w:bodyDiv w:val="1"/>
      <w:marLeft w:val="0"/>
      <w:marRight w:val="0"/>
      <w:marTop w:val="0"/>
      <w:marBottom w:val="0"/>
      <w:divBdr>
        <w:top w:val="none" w:sz="0" w:space="0" w:color="auto"/>
        <w:left w:val="none" w:sz="0" w:space="0" w:color="auto"/>
        <w:bottom w:val="none" w:sz="0" w:space="0" w:color="auto"/>
        <w:right w:val="none" w:sz="0" w:space="0" w:color="auto"/>
      </w:divBdr>
    </w:div>
    <w:div w:id="1211072384">
      <w:bodyDiv w:val="1"/>
      <w:marLeft w:val="0"/>
      <w:marRight w:val="0"/>
      <w:marTop w:val="0"/>
      <w:marBottom w:val="0"/>
      <w:divBdr>
        <w:top w:val="none" w:sz="0" w:space="0" w:color="auto"/>
        <w:left w:val="none" w:sz="0" w:space="0" w:color="auto"/>
        <w:bottom w:val="none" w:sz="0" w:space="0" w:color="auto"/>
        <w:right w:val="none" w:sz="0" w:space="0" w:color="auto"/>
      </w:divBdr>
    </w:div>
    <w:div w:id="1211113254">
      <w:bodyDiv w:val="1"/>
      <w:marLeft w:val="0"/>
      <w:marRight w:val="0"/>
      <w:marTop w:val="0"/>
      <w:marBottom w:val="0"/>
      <w:divBdr>
        <w:top w:val="none" w:sz="0" w:space="0" w:color="auto"/>
        <w:left w:val="none" w:sz="0" w:space="0" w:color="auto"/>
        <w:bottom w:val="none" w:sz="0" w:space="0" w:color="auto"/>
        <w:right w:val="none" w:sz="0" w:space="0" w:color="auto"/>
      </w:divBdr>
    </w:div>
    <w:div w:id="1211189257">
      <w:bodyDiv w:val="1"/>
      <w:marLeft w:val="0"/>
      <w:marRight w:val="0"/>
      <w:marTop w:val="0"/>
      <w:marBottom w:val="0"/>
      <w:divBdr>
        <w:top w:val="none" w:sz="0" w:space="0" w:color="auto"/>
        <w:left w:val="none" w:sz="0" w:space="0" w:color="auto"/>
        <w:bottom w:val="none" w:sz="0" w:space="0" w:color="auto"/>
        <w:right w:val="none" w:sz="0" w:space="0" w:color="auto"/>
      </w:divBdr>
    </w:div>
    <w:div w:id="1211502369">
      <w:bodyDiv w:val="1"/>
      <w:marLeft w:val="0"/>
      <w:marRight w:val="0"/>
      <w:marTop w:val="0"/>
      <w:marBottom w:val="0"/>
      <w:divBdr>
        <w:top w:val="none" w:sz="0" w:space="0" w:color="auto"/>
        <w:left w:val="none" w:sz="0" w:space="0" w:color="auto"/>
        <w:bottom w:val="none" w:sz="0" w:space="0" w:color="auto"/>
        <w:right w:val="none" w:sz="0" w:space="0" w:color="auto"/>
      </w:divBdr>
    </w:div>
    <w:div w:id="1211527876">
      <w:bodyDiv w:val="1"/>
      <w:marLeft w:val="0"/>
      <w:marRight w:val="0"/>
      <w:marTop w:val="0"/>
      <w:marBottom w:val="0"/>
      <w:divBdr>
        <w:top w:val="none" w:sz="0" w:space="0" w:color="auto"/>
        <w:left w:val="none" w:sz="0" w:space="0" w:color="auto"/>
        <w:bottom w:val="none" w:sz="0" w:space="0" w:color="auto"/>
        <w:right w:val="none" w:sz="0" w:space="0" w:color="auto"/>
      </w:divBdr>
    </w:div>
    <w:div w:id="1211574181">
      <w:bodyDiv w:val="1"/>
      <w:marLeft w:val="0"/>
      <w:marRight w:val="0"/>
      <w:marTop w:val="0"/>
      <w:marBottom w:val="0"/>
      <w:divBdr>
        <w:top w:val="none" w:sz="0" w:space="0" w:color="auto"/>
        <w:left w:val="none" w:sz="0" w:space="0" w:color="auto"/>
        <w:bottom w:val="none" w:sz="0" w:space="0" w:color="auto"/>
        <w:right w:val="none" w:sz="0" w:space="0" w:color="auto"/>
      </w:divBdr>
    </w:div>
    <w:div w:id="1211574345">
      <w:bodyDiv w:val="1"/>
      <w:marLeft w:val="0"/>
      <w:marRight w:val="0"/>
      <w:marTop w:val="0"/>
      <w:marBottom w:val="0"/>
      <w:divBdr>
        <w:top w:val="none" w:sz="0" w:space="0" w:color="auto"/>
        <w:left w:val="none" w:sz="0" w:space="0" w:color="auto"/>
        <w:bottom w:val="none" w:sz="0" w:space="0" w:color="auto"/>
        <w:right w:val="none" w:sz="0" w:space="0" w:color="auto"/>
      </w:divBdr>
    </w:div>
    <w:div w:id="1211648306">
      <w:bodyDiv w:val="1"/>
      <w:marLeft w:val="0"/>
      <w:marRight w:val="0"/>
      <w:marTop w:val="0"/>
      <w:marBottom w:val="0"/>
      <w:divBdr>
        <w:top w:val="none" w:sz="0" w:space="0" w:color="auto"/>
        <w:left w:val="none" w:sz="0" w:space="0" w:color="auto"/>
        <w:bottom w:val="none" w:sz="0" w:space="0" w:color="auto"/>
        <w:right w:val="none" w:sz="0" w:space="0" w:color="auto"/>
      </w:divBdr>
    </w:div>
    <w:div w:id="1211768670">
      <w:bodyDiv w:val="1"/>
      <w:marLeft w:val="0"/>
      <w:marRight w:val="0"/>
      <w:marTop w:val="0"/>
      <w:marBottom w:val="0"/>
      <w:divBdr>
        <w:top w:val="none" w:sz="0" w:space="0" w:color="auto"/>
        <w:left w:val="none" w:sz="0" w:space="0" w:color="auto"/>
        <w:bottom w:val="none" w:sz="0" w:space="0" w:color="auto"/>
        <w:right w:val="none" w:sz="0" w:space="0" w:color="auto"/>
      </w:divBdr>
    </w:div>
    <w:div w:id="1211917945">
      <w:bodyDiv w:val="1"/>
      <w:marLeft w:val="0"/>
      <w:marRight w:val="0"/>
      <w:marTop w:val="0"/>
      <w:marBottom w:val="0"/>
      <w:divBdr>
        <w:top w:val="none" w:sz="0" w:space="0" w:color="auto"/>
        <w:left w:val="none" w:sz="0" w:space="0" w:color="auto"/>
        <w:bottom w:val="none" w:sz="0" w:space="0" w:color="auto"/>
        <w:right w:val="none" w:sz="0" w:space="0" w:color="auto"/>
      </w:divBdr>
    </w:div>
    <w:div w:id="1211961957">
      <w:bodyDiv w:val="1"/>
      <w:marLeft w:val="0"/>
      <w:marRight w:val="0"/>
      <w:marTop w:val="0"/>
      <w:marBottom w:val="0"/>
      <w:divBdr>
        <w:top w:val="none" w:sz="0" w:space="0" w:color="auto"/>
        <w:left w:val="none" w:sz="0" w:space="0" w:color="auto"/>
        <w:bottom w:val="none" w:sz="0" w:space="0" w:color="auto"/>
        <w:right w:val="none" w:sz="0" w:space="0" w:color="auto"/>
      </w:divBdr>
    </w:div>
    <w:div w:id="1212109149">
      <w:bodyDiv w:val="1"/>
      <w:marLeft w:val="0"/>
      <w:marRight w:val="0"/>
      <w:marTop w:val="0"/>
      <w:marBottom w:val="0"/>
      <w:divBdr>
        <w:top w:val="none" w:sz="0" w:space="0" w:color="auto"/>
        <w:left w:val="none" w:sz="0" w:space="0" w:color="auto"/>
        <w:bottom w:val="none" w:sz="0" w:space="0" w:color="auto"/>
        <w:right w:val="none" w:sz="0" w:space="0" w:color="auto"/>
      </w:divBdr>
    </w:div>
    <w:div w:id="1212109415">
      <w:bodyDiv w:val="1"/>
      <w:marLeft w:val="0"/>
      <w:marRight w:val="0"/>
      <w:marTop w:val="0"/>
      <w:marBottom w:val="0"/>
      <w:divBdr>
        <w:top w:val="none" w:sz="0" w:space="0" w:color="auto"/>
        <w:left w:val="none" w:sz="0" w:space="0" w:color="auto"/>
        <w:bottom w:val="none" w:sz="0" w:space="0" w:color="auto"/>
        <w:right w:val="none" w:sz="0" w:space="0" w:color="auto"/>
      </w:divBdr>
    </w:div>
    <w:div w:id="1212351232">
      <w:bodyDiv w:val="1"/>
      <w:marLeft w:val="0"/>
      <w:marRight w:val="0"/>
      <w:marTop w:val="0"/>
      <w:marBottom w:val="0"/>
      <w:divBdr>
        <w:top w:val="none" w:sz="0" w:space="0" w:color="auto"/>
        <w:left w:val="none" w:sz="0" w:space="0" w:color="auto"/>
        <w:bottom w:val="none" w:sz="0" w:space="0" w:color="auto"/>
        <w:right w:val="none" w:sz="0" w:space="0" w:color="auto"/>
      </w:divBdr>
    </w:div>
    <w:div w:id="1212352497">
      <w:bodyDiv w:val="1"/>
      <w:marLeft w:val="0"/>
      <w:marRight w:val="0"/>
      <w:marTop w:val="0"/>
      <w:marBottom w:val="0"/>
      <w:divBdr>
        <w:top w:val="none" w:sz="0" w:space="0" w:color="auto"/>
        <w:left w:val="none" w:sz="0" w:space="0" w:color="auto"/>
        <w:bottom w:val="none" w:sz="0" w:space="0" w:color="auto"/>
        <w:right w:val="none" w:sz="0" w:space="0" w:color="auto"/>
      </w:divBdr>
    </w:div>
    <w:div w:id="1212420307">
      <w:bodyDiv w:val="1"/>
      <w:marLeft w:val="0"/>
      <w:marRight w:val="0"/>
      <w:marTop w:val="0"/>
      <w:marBottom w:val="0"/>
      <w:divBdr>
        <w:top w:val="none" w:sz="0" w:space="0" w:color="auto"/>
        <w:left w:val="none" w:sz="0" w:space="0" w:color="auto"/>
        <w:bottom w:val="none" w:sz="0" w:space="0" w:color="auto"/>
        <w:right w:val="none" w:sz="0" w:space="0" w:color="auto"/>
      </w:divBdr>
    </w:div>
    <w:div w:id="1212420614">
      <w:bodyDiv w:val="1"/>
      <w:marLeft w:val="0"/>
      <w:marRight w:val="0"/>
      <w:marTop w:val="0"/>
      <w:marBottom w:val="0"/>
      <w:divBdr>
        <w:top w:val="none" w:sz="0" w:space="0" w:color="auto"/>
        <w:left w:val="none" w:sz="0" w:space="0" w:color="auto"/>
        <w:bottom w:val="none" w:sz="0" w:space="0" w:color="auto"/>
        <w:right w:val="none" w:sz="0" w:space="0" w:color="auto"/>
      </w:divBdr>
    </w:div>
    <w:div w:id="1212494255">
      <w:bodyDiv w:val="1"/>
      <w:marLeft w:val="0"/>
      <w:marRight w:val="0"/>
      <w:marTop w:val="0"/>
      <w:marBottom w:val="0"/>
      <w:divBdr>
        <w:top w:val="none" w:sz="0" w:space="0" w:color="auto"/>
        <w:left w:val="none" w:sz="0" w:space="0" w:color="auto"/>
        <w:bottom w:val="none" w:sz="0" w:space="0" w:color="auto"/>
        <w:right w:val="none" w:sz="0" w:space="0" w:color="auto"/>
      </w:divBdr>
    </w:div>
    <w:div w:id="1212573639">
      <w:bodyDiv w:val="1"/>
      <w:marLeft w:val="0"/>
      <w:marRight w:val="0"/>
      <w:marTop w:val="0"/>
      <w:marBottom w:val="0"/>
      <w:divBdr>
        <w:top w:val="none" w:sz="0" w:space="0" w:color="auto"/>
        <w:left w:val="none" w:sz="0" w:space="0" w:color="auto"/>
        <w:bottom w:val="none" w:sz="0" w:space="0" w:color="auto"/>
        <w:right w:val="none" w:sz="0" w:space="0" w:color="auto"/>
      </w:divBdr>
    </w:div>
    <w:div w:id="1212766572">
      <w:bodyDiv w:val="1"/>
      <w:marLeft w:val="0"/>
      <w:marRight w:val="0"/>
      <w:marTop w:val="0"/>
      <w:marBottom w:val="0"/>
      <w:divBdr>
        <w:top w:val="none" w:sz="0" w:space="0" w:color="auto"/>
        <w:left w:val="none" w:sz="0" w:space="0" w:color="auto"/>
        <w:bottom w:val="none" w:sz="0" w:space="0" w:color="auto"/>
        <w:right w:val="none" w:sz="0" w:space="0" w:color="auto"/>
      </w:divBdr>
    </w:div>
    <w:div w:id="1212960585">
      <w:bodyDiv w:val="1"/>
      <w:marLeft w:val="0"/>
      <w:marRight w:val="0"/>
      <w:marTop w:val="0"/>
      <w:marBottom w:val="0"/>
      <w:divBdr>
        <w:top w:val="none" w:sz="0" w:space="0" w:color="auto"/>
        <w:left w:val="none" w:sz="0" w:space="0" w:color="auto"/>
        <w:bottom w:val="none" w:sz="0" w:space="0" w:color="auto"/>
        <w:right w:val="none" w:sz="0" w:space="0" w:color="auto"/>
      </w:divBdr>
    </w:div>
    <w:div w:id="1213074548">
      <w:bodyDiv w:val="1"/>
      <w:marLeft w:val="0"/>
      <w:marRight w:val="0"/>
      <w:marTop w:val="0"/>
      <w:marBottom w:val="0"/>
      <w:divBdr>
        <w:top w:val="none" w:sz="0" w:space="0" w:color="auto"/>
        <w:left w:val="none" w:sz="0" w:space="0" w:color="auto"/>
        <w:bottom w:val="none" w:sz="0" w:space="0" w:color="auto"/>
        <w:right w:val="none" w:sz="0" w:space="0" w:color="auto"/>
      </w:divBdr>
    </w:div>
    <w:div w:id="1213270944">
      <w:bodyDiv w:val="1"/>
      <w:marLeft w:val="0"/>
      <w:marRight w:val="0"/>
      <w:marTop w:val="0"/>
      <w:marBottom w:val="0"/>
      <w:divBdr>
        <w:top w:val="none" w:sz="0" w:space="0" w:color="auto"/>
        <w:left w:val="none" w:sz="0" w:space="0" w:color="auto"/>
        <w:bottom w:val="none" w:sz="0" w:space="0" w:color="auto"/>
        <w:right w:val="none" w:sz="0" w:space="0" w:color="auto"/>
      </w:divBdr>
    </w:div>
    <w:div w:id="1213273715">
      <w:bodyDiv w:val="1"/>
      <w:marLeft w:val="0"/>
      <w:marRight w:val="0"/>
      <w:marTop w:val="0"/>
      <w:marBottom w:val="0"/>
      <w:divBdr>
        <w:top w:val="none" w:sz="0" w:space="0" w:color="auto"/>
        <w:left w:val="none" w:sz="0" w:space="0" w:color="auto"/>
        <w:bottom w:val="none" w:sz="0" w:space="0" w:color="auto"/>
        <w:right w:val="none" w:sz="0" w:space="0" w:color="auto"/>
      </w:divBdr>
    </w:div>
    <w:div w:id="1213424919">
      <w:bodyDiv w:val="1"/>
      <w:marLeft w:val="0"/>
      <w:marRight w:val="0"/>
      <w:marTop w:val="0"/>
      <w:marBottom w:val="0"/>
      <w:divBdr>
        <w:top w:val="none" w:sz="0" w:space="0" w:color="auto"/>
        <w:left w:val="none" w:sz="0" w:space="0" w:color="auto"/>
        <w:bottom w:val="none" w:sz="0" w:space="0" w:color="auto"/>
        <w:right w:val="none" w:sz="0" w:space="0" w:color="auto"/>
      </w:divBdr>
    </w:div>
    <w:div w:id="1213497086">
      <w:bodyDiv w:val="1"/>
      <w:marLeft w:val="0"/>
      <w:marRight w:val="0"/>
      <w:marTop w:val="0"/>
      <w:marBottom w:val="0"/>
      <w:divBdr>
        <w:top w:val="none" w:sz="0" w:space="0" w:color="auto"/>
        <w:left w:val="none" w:sz="0" w:space="0" w:color="auto"/>
        <w:bottom w:val="none" w:sz="0" w:space="0" w:color="auto"/>
        <w:right w:val="none" w:sz="0" w:space="0" w:color="auto"/>
      </w:divBdr>
    </w:div>
    <w:div w:id="1213662132">
      <w:bodyDiv w:val="1"/>
      <w:marLeft w:val="0"/>
      <w:marRight w:val="0"/>
      <w:marTop w:val="0"/>
      <w:marBottom w:val="0"/>
      <w:divBdr>
        <w:top w:val="none" w:sz="0" w:space="0" w:color="auto"/>
        <w:left w:val="none" w:sz="0" w:space="0" w:color="auto"/>
        <w:bottom w:val="none" w:sz="0" w:space="0" w:color="auto"/>
        <w:right w:val="none" w:sz="0" w:space="0" w:color="auto"/>
      </w:divBdr>
    </w:div>
    <w:div w:id="1213686959">
      <w:bodyDiv w:val="1"/>
      <w:marLeft w:val="0"/>
      <w:marRight w:val="0"/>
      <w:marTop w:val="0"/>
      <w:marBottom w:val="0"/>
      <w:divBdr>
        <w:top w:val="none" w:sz="0" w:space="0" w:color="auto"/>
        <w:left w:val="none" w:sz="0" w:space="0" w:color="auto"/>
        <w:bottom w:val="none" w:sz="0" w:space="0" w:color="auto"/>
        <w:right w:val="none" w:sz="0" w:space="0" w:color="auto"/>
      </w:divBdr>
    </w:div>
    <w:div w:id="1213730695">
      <w:bodyDiv w:val="1"/>
      <w:marLeft w:val="0"/>
      <w:marRight w:val="0"/>
      <w:marTop w:val="0"/>
      <w:marBottom w:val="0"/>
      <w:divBdr>
        <w:top w:val="none" w:sz="0" w:space="0" w:color="auto"/>
        <w:left w:val="none" w:sz="0" w:space="0" w:color="auto"/>
        <w:bottom w:val="none" w:sz="0" w:space="0" w:color="auto"/>
        <w:right w:val="none" w:sz="0" w:space="0" w:color="auto"/>
      </w:divBdr>
    </w:div>
    <w:div w:id="1213887894">
      <w:bodyDiv w:val="1"/>
      <w:marLeft w:val="0"/>
      <w:marRight w:val="0"/>
      <w:marTop w:val="0"/>
      <w:marBottom w:val="0"/>
      <w:divBdr>
        <w:top w:val="none" w:sz="0" w:space="0" w:color="auto"/>
        <w:left w:val="none" w:sz="0" w:space="0" w:color="auto"/>
        <w:bottom w:val="none" w:sz="0" w:space="0" w:color="auto"/>
        <w:right w:val="none" w:sz="0" w:space="0" w:color="auto"/>
      </w:divBdr>
    </w:div>
    <w:div w:id="1213997624">
      <w:bodyDiv w:val="1"/>
      <w:marLeft w:val="0"/>
      <w:marRight w:val="0"/>
      <w:marTop w:val="0"/>
      <w:marBottom w:val="0"/>
      <w:divBdr>
        <w:top w:val="none" w:sz="0" w:space="0" w:color="auto"/>
        <w:left w:val="none" w:sz="0" w:space="0" w:color="auto"/>
        <w:bottom w:val="none" w:sz="0" w:space="0" w:color="auto"/>
        <w:right w:val="none" w:sz="0" w:space="0" w:color="auto"/>
      </w:divBdr>
    </w:div>
    <w:div w:id="1214003806">
      <w:bodyDiv w:val="1"/>
      <w:marLeft w:val="0"/>
      <w:marRight w:val="0"/>
      <w:marTop w:val="0"/>
      <w:marBottom w:val="0"/>
      <w:divBdr>
        <w:top w:val="none" w:sz="0" w:space="0" w:color="auto"/>
        <w:left w:val="none" w:sz="0" w:space="0" w:color="auto"/>
        <w:bottom w:val="none" w:sz="0" w:space="0" w:color="auto"/>
        <w:right w:val="none" w:sz="0" w:space="0" w:color="auto"/>
      </w:divBdr>
    </w:div>
    <w:div w:id="1214080627">
      <w:bodyDiv w:val="1"/>
      <w:marLeft w:val="0"/>
      <w:marRight w:val="0"/>
      <w:marTop w:val="0"/>
      <w:marBottom w:val="0"/>
      <w:divBdr>
        <w:top w:val="none" w:sz="0" w:space="0" w:color="auto"/>
        <w:left w:val="none" w:sz="0" w:space="0" w:color="auto"/>
        <w:bottom w:val="none" w:sz="0" w:space="0" w:color="auto"/>
        <w:right w:val="none" w:sz="0" w:space="0" w:color="auto"/>
      </w:divBdr>
    </w:div>
    <w:div w:id="1214196342">
      <w:bodyDiv w:val="1"/>
      <w:marLeft w:val="0"/>
      <w:marRight w:val="0"/>
      <w:marTop w:val="0"/>
      <w:marBottom w:val="0"/>
      <w:divBdr>
        <w:top w:val="none" w:sz="0" w:space="0" w:color="auto"/>
        <w:left w:val="none" w:sz="0" w:space="0" w:color="auto"/>
        <w:bottom w:val="none" w:sz="0" w:space="0" w:color="auto"/>
        <w:right w:val="none" w:sz="0" w:space="0" w:color="auto"/>
      </w:divBdr>
    </w:div>
    <w:div w:id="1214268738">
      <w:bodyDiv w:val="1"/>
      <w:marLeft w:val="0"/>
      <w:marRight w:val="0"/>
      <w:marTop w:val="0"/>
      <w:marBottom w:val="0"/>
      <w:divBdr>
        <w:top w:val="none" w:sz="0" w:space="0" w:color="auto"/>
        <w:left w:val="none" w:sz="0" w:space="0" w:color="auto"/>
        <w:bottom w:val="none" w:sz="0" w:space="0" w:color="auto"/>
        <w:right w:val="none" w:sz="0" w:space="0" w:color="auto"/>
      </w:divBdr>
    </w:div>
    <w:div w:id="1214585108">
      <w:bodyDiv w:val="1"/>
      <w:marLeft w:val="0"/>
      <w:marRight w:val="0"/>
      <w:marTop w:val="0"/>
      <w:marBottom w:val="0"/>
      <w:divBdr>
        <w:top w:val="none" w:sz="0" w:space="0" w:color="auto"/>
        <w:left w:val="none" w:sz="0" w:space="0" w:color="auto"/>
        <w:bottom w:val="none" w:sz="0" w:space="0" w:color="auto"/>
        <w:right w:val="none" w:sz="0" w:space="0" w:color="auto"/>
      </w:divBdr>
    </w:div>
    <w:div w:id="1214852404">
      <w:bodyDiv w:val="1"/>
      <w:marLeft w:val="0"/>
      <w:marRight w:val="0"/>
      <w:marTop w:val="0"/>
      <w:marBottom w:val="0"/>
      <w:divBdr>
        <w:top w:val="none" w:sz="0" w:space="0" w:color="auto"/>
        <w:left w:val="none" w:sz="0" w:space="0" w:color="auto"/>
        <w:bottom w:val="none" w:sz="0" w:space="0" w:color="auto"/>
        <w:right w:val="none" w:sz="0" w:space="0" w:color="auto"/>
      </w:divBdr>
    </w:div>
    <w:div w:id="1214926367">
      <w:bodyDiv w:val="1"/>
      <w:marLeft w:val="0"/>
      <w:marRight w:val="0"/>
      <w:marTop w:val="0"/>
      <w:marBottom w:val="0"/>
      <w:divBdr>
        <w:top w:val="none" w:sz="0" w:space="0" w:color="auto"/>
        <w:left w:val="none" w:sz="0" w:space="0" w:color="auto"/>
        <w:bottom w:val="none" w:sz="0" w:space="0" w:color="auto"/>
        <w:right w:val="none" w:sz="0" w:space="0" w:color="auto"/>
      </w:divBdr>
    </w:div>
    <w:div w:id="1214928877">
      <w:bodyDiv w:val="1"/>
      <w:marLeft w:val="0"/>
      <w:marRight w:val="0"/>
      <w:marTop w:val="0"/>
      <w:marBottom w:val="0"/>
      <w:divBdr>
        <w:top w:val="none" w:sz="0" w:space="0" w:color="auto"/>
        <w:left w:val="none" w:sz="0" w:space="0" w:color="auto"/>
        <w:bottom w:val="none" w:sz="0" w:space="0" w:color="auto"/>
        <w:right w:val="none" w:sz="0" w:space="0" w:color="auto"/>
      </w:divBdr>
    </w:div>
    <w:div w:id="1215001560">
      <w:bodyDiv w:val="1"/>
      <w:marLeft w:val="0"/>
      <w:marRight w:val="0"/>
      <w:marTop w:val="0"/>
      <w:marBottom w:val="0"/>
      <w:divBdr>
        <w:top w:val="none" w:sz="0" w:space="0" w:color="auto"/>
        <w:left w:val="none" w:sz="0" w:space="0" w:color="auto"/>
        <w:bottom w:val="none" w:sz="0" w:space="0" w:color="auto"/>
        <w:right w:val="none" w:sz="0" w:space="0" w:color="auto"/>
      </w:divBdr>
    </w:div>
    <w:div w:id="1215045993">
      <w:bodyDiv w:val="1"/>
      <w:marLeft w:val="0"/>
      <w:marRight w:val="0"/>
      <w:marTop w:val="0"/>
      <w:marBottom w:val="0"/>
      <w:divBdr>
        <w:top w:val="none" w:sz="0" w:space="0" w:color="auto"/>
        <w:left w:val="none" w:sz="0" w:space="0" w:color="auto"/>
        <w:bottom w:val="none" w:sz="0" w:space="0" w:color="auto"/>
        <w:right w:val="none" w:sz="0" w:space="0" w:color="auto"/>
      </w:divBdr>
    </w:div>
    <w:div w:id="1215118499">
      <w:bodyDiv w:val="1"/>
      <w:marLeft w:val="0"/>
      <w:marRight w:val="0"/>
      <w:marTop w:val="0"/>
      <w:marBottom w:val="0"/>
      <w:divBdr>
        <w:top w:val="none" w:sz="0" w:space="0" w:color="auto"/>
        <w:left w:val="none" w:sz="0" w:space="0" w:color="auto"/>
        <w:bottom w:val="none" w:sz="0" w:space="0" w:color="auto"/>
        <w:right w:val="none" w:sz="0" w:space="0" w:color="auto"/>
      </w:divBdr>
    </w:div>
    <w:div w:id="1215122836">
      <w:bodyDiv w:val="1"/>
      <w:marLeft w:val="0"/>
      <w:marRight w:val="0"/>
      <w:marTop w:val="0"/>
      <w:marBottom w:val="0"/>
      <w:divBdr>
        <w:top w:val="none" w:sz="0" w:space="0" w:color="auto"/>
        <w:left w:val="none" w:sz="0" w:space="0" w:color="auto"/>
        <w:bottom w:val="none" w:sz="0" w:space="0" w:color="auto"/>
        <w:right w:val="none" w:sz="0" w:space="0" w:color="auto"/>
      </w:divBdr>
    </w:div>
    <w:div w:id="1215192452">
      <w:bodyDiv w:val="1"/>
      <w:marLeft w:val="0"/>
      <w:marRight w:val="0"/>
      <w:marTop w:val="0"/>
      <w:marBottom w:val="0"/>
      <w:divBdr>
        <w:top w:val="none" w:sz="0" w:space="0" w:color="auto"/>
        <w:left w:val="none" w:sz="0" w:space="0" w:color="auto"/>
        <w:bottom w:val="none" w:sz="0" w:space="0" w:color="auto"/>
        <w:right w:val="none" w:sz="0" w:space="0" w:color="auto"/>
      </w:divBdr>
    </w:div>
    <w:div w:id="1215238344">
      <w:bodyDiv w:val="1"/>
      <w:marLeft w:val="0"/>
      <w:marRight w:val="0"/>
      <w:marTop w:val="0"/>
      <w:marBottom w:val="0"/>
      <w:divBdr>
        <w:top w:val="none" w:sz="0" w:space="0" w:color="auto"/>
        <w:left w:val="none" w:sz="0" w:space="0" w:color="auto"/>
        <w:bottom w:val="none" w:sz="0" w:space="0" w:color="auto"/>
        <w:right w:val="none" w:sz="0" w:space="0" w:color="auto"/>
      </w:divBdr>
    </w:div>
    <w:div w:id="1215313209">
      <w:bodyDiv w:val="1"/>
      <w:marLeft w:val="0"/>
      <w:marRight w:val="0"/>
      <w:marTop w:val="0"/>
      <w:marBottom w:val="0"/>
      <w:divBdr>
        <w:top w:val="none" w:sz="0" w:space="0" w:color="auto"/>
        <w:left w:val="none" w:sz="0" w:space="0" w:color="auto"/>
        <w:bottom w:val="none" w:sz="0" w:space="0" w:color="auto"/>
        <w:right w:val="none" w:sz="0" w:space="0" w:color="auto"/>
      </w:divBdr>
    </w:div>
    <w:div w:id="1215583947">
      <w:bodyDiv w:val="1"/>
      <w:marLeft w:val="0"/>
      <w:marRight w:val="0"/>
      <w:marTop w:val="0"/>
      <w:marBottom w:val="0"/>
      <w:divBdr>
        <w:top w:val="none" w:sz="0" w:space="0" w:color="auto"/>
        <w:left w:val="none" w:sz="0" w:space="0" w:color="auto"/>
        <w:bottom w:val="none" w:sz="0" w:space="0" w:color="auto"/>
        <w:right w:val="none" w:sz="0" w:space="0" w:color="auto"/>
      </w:divBdr>
    </w:div>
    <w:div w:id="1215584371">
      <w:bodyDiv w:val="1"/>
      <w:marLeft w:val="0"/>
      <w:marRight w:val="0"/>
      <w:marTop w:val="0"/>
      <w:marBottom w:val="0"/>
      <w:divBdr>
        <w:top w:val="none" w:sz="0" w:space="0" w:color="auto"/>
        <w:left w:val="none" w:sz="0" w:space="0" w:color="auto"/>
        <w:bottom w:val="none" w:sz="0" w:space="0" w:color="auto"/>
        <w:right w:val="none" w:sz="0" w:space="0" w:color="auto"/>
      </w:divBdr>
    </w:div>
    <w:div w:id="1215771545">
      <w:bodyDiv w:val="1"/>
      <w:marLeft w:val="0"/>
      <w:marRight w:val="0"/>
      <w:marTop w:val="0"/>
      <w:marBottom w:val="0"/>
      <w:divBdr>
        <w:top w:val="none" w:sz="0" w:space="0" w:color="auto"/>
        <w:left w:val="none" w:sz="0" w:space="0" w:color="auto"/>
        <w:bottom w:val="none" w:sz="0" w:space="0" w:color="auto"/>
        <w:right w:val="none" w:sz="0" w:space="0" w:color="auto"/>
      </w:divBdr>
    </w:div>
    <w:div w:id="1216040949">
      <w:bodyDiv w:val="1"/>
      <w:marLeft w:val="0"/>
      <w:marRight w:val="0"/>
      <w:marTop w:val="0"/>
      <w:marBottom w:val="0"/>
      <w:divBdr>
        <w:top w:val="none" w:sz="0" w:space="0" w:color="auto"/>
        <w:left w:val="none" w:sz="0" w:space="0" w:color="auto"/>
        <w:bottom w:val="none" w:sz="0" w:space="0" w:color="auto"/>
        <w:right w:val="none" w:sz="0" w:space="0" w:color="auto"/>
      </w:divBdr>
    </w:div>
    <w:div w:id="1216047174">
      <w:bodyDiv w:val="1"/>
      <w:marLeft w:val="0"/>
      <w:marRight w:val="0"/>
      <w:marTop w:val="0"/>
      <w:marBottom w:val="0"/>
      <w:divBdr>
        <w:top w:val="none" w:sz="0" w:space="0" w:color="auto"/>
        <w:left w:val="none" w:sz="0" w:space="0" w:color="auto"/>
        <w:bottom w:val="none" w:sz="0" w:space="0" w:color="auto"/>
        <w:right w:val="none" w:sz="0" w:space="0" w:color="auto"/>
      </w:divBdr>
    </w:div>
    <w:div w:id="1216117533">
      <w:bodyDiv w:val="1"/>
      <w:marLeft w:val="0"/>
      <w:marRight w:val="0"/>
      <w:marTop w:val="0"/>
      <w:marBottom w:val="0"/>
      <w:divBdr>
        <w:top w:val="none" w:sz="0" w:space="0" w:color="auto"/>
        <w:left w:val="none" w:sz="0" w:space="0" w:color="auto"/>
        <w:bottom w:val="none" w:sz="0" w:space="0" w:color="auto"/>
        <w:right w:val="none" w:sz="0" w:space="0" w:color="auto"/>
      </w:divBdr>
    </w:div>
    <w:div w:id="1216308321">
      <w:bodyDiv w:val="1"/>
      <w:marLeft w:val="0"/>
      <w:marRight w:val="0"/>
      <w:marTop w:val="0"/>
      <w:marBottom w:val="0"/>
      <w:divBdr>
        <w:top w:val="none" w:sz="0" w:space="0" w:color="auto"/>
        <w:left w:val="none" w:sz="0" w:space="0" w:color="auto"/>
        <w:bottom w:val="none" w:sz="0" w:space="0" w:color="auto"/>
        <w:right w:val="none" w:sz="0" w:space="0" w:color="auto"/>
      </w:divBdr>
    </w:div>
    <w:div w:id="1216504184">
      <w:bodyDiv w:val="1"/>
      <w:marLeft w:val="0"/>
      <w:marRight w:val="0"/>
      <w:marTop w:val="0"/>
      <w:marBottom w:val="0"/>
      <w:divBdr>
        <w:top w:val="none" w:sz="0" w:space="0" w:color="auto"/>
        <w:left w:val="none" w:sz="0" w:space="0" w:color="auto"/>
        <w:bottom w:val="none" w:sz="0" w:space="0" w:color="auto"/>
        <w:right w:val="none" w:sz="0" w:space="0" w:color="auto"/>
      </w:divBdr>
    </w:div>
    <w:div w:id="1216623228">
      <w:bodyDiv w:val="1"/>
      <w:marLeft w:val="0"/>
      <w:marRight w:val="0"/>
      <w:marTop w:val="0"/>
      <w:marBottom w:val="0"/>
      <w:divBdr>
        <w:top w:val="none" w:sz="0" w:space="0" w:color="auto"/>
        <w:left w:val="none" w:sz="0" w:space="0" w:color="auto"/>
        <w:bottom w:val="none" w:sz="0" w:space="0" w:color="auto"/>
        <w:right w:val="none" w:sz="0" w:space="0" w:color="auto"/>
      </w:divBdr>
    </w:div>
    <w:div w:id="1216624401">
      <w:bodyDiv w:val="1"/>
      <w:marLeft w:val="0"/>
      <w:marRight w:val="0"/>
      <w:marTop w:val="0"/>
      <w:marBottom w:val="0"/>
      <w:divBdr>
        <w:top w:val="none" w:sz="0" w:space="0" w:color="auto"/>
        <w:left w:val="none" w:sz="0" w:space="0" w:color="auto"/>
        <w:bottom w:val="none" w:sz="0" w:space="0" w:color="auto"/>
        <w:right w:val="none" w:sz="0" w:space="0" w:color="auto"/>
      </w:divBdr>
    </w:div>
    <w:div w:id="1216742876">
      <w:bodyDiv w:val="1"/>
      <w:marLeft w:val="0"/>
      <w:marRight w:val="0"/>
      <w:marTop w:val="0"/>
      <w:marBottom w:val="0"/>
      <w:divBdr>
        <w:top w:val="none" w:sz="0" w:space="0" w:color="auto"/>
        <w:left w:val="none" w:sz="0" w:space="0" w:color="auto"/>
        <w:bottom w:val="none" w:sz="0" w:space="0" w:color="auto"/>
        <w:right w:val="none" w:sz="0" w:space="0" w:color="auto"/>
      </w:divBdr>
    </w:div>
    <w:div w:id="1216888441">
      <w:bodyDiv w:val="1"/>
      <w:marLeft w:val="0"/>
      <w:marRight w:val="0"/>
      <w:marTop w:val="0"/>
      <w:marBottom w:val="0"/>
      <w:divBdr>
        <w:top w:val="none" w:sz="0" w:space="0" w:color="auto"/>
        <w:left w:val="none" w:sz="0" w:space="0" w:color="auto"/>
        <w:bottom w:val="none" w:sz="0" w:space="0" w:color="auto"/>
        <w:right w:val="none" w:sz="0" w:space="0" w:color="auto"/>
      </w:divBdr>
    </w:div>
    <w:div w:id="1216895816">
      <w:bodyDiv w:val="1"/>
      <w:marLeft w:val="0"/>
      <w:marRight w:val="0"/>
      <w:marTop w:val="0"/>
      <w:marBottom w:val="0"/>
      <w:divBdr>
        <w:top w:val="none" w:sz="0" w:space="0" w:color="auto"/>
        <w:left w:val="none" w:sz="0" w:space="0" w:color="auto"/>
        <w:bottom w:val="none" w:sz="0" w:space="0" w:color="auto"/>
        <w:right w:val="none" w:sz="0" w:space="0" w:color="auto"/>
      </w:divBdr>
    </w:div>
    <w:div w:id="1217085279">
      <w:bodyDiv w:val="1"/>
      <w:marLeft w:val="0"/>
      <w:marRight w:val="0"/>
      <w:marTop w:val="0"/>
      <w:marBottom w:val="0"/>
      <w:divBdr>
        <w:top w:val="none" w:sz="0" w:space="0" w:color="auto"/>
        <w:left w:val="none" w:sz="0" w:space="0" w:color="auto"/>
        <w:bottom w:val="none" w:sz="0" w:space="0" w:color="auto"/>
        <w:right w:val="none" w:sz="0" w:space="0" w:color="auto"/>
      </w:divBdr>
    </w:div>
    <w:div w:id="1217086234">
      <w:bodyDiv w:val="1"/>
      <w:marLeft w:val="0"/>
      <w:marRight w:val="0"/>
      <w:marTop w:val="0"/>
      <w:marBottom w:val="0"/>
      <w:divBdr>
        <w:top w:val="none" w:sz="0" w:space="0" w:color="auto"/>
        <w:left w:val="none" w:sz="0" w:space="0" w:color="auto"/>
        <w:bottom w:val="none" w:sz="0" w:space="0" w:color="auto"/>
        <w:right w:val="none" w:sz="0" w:space="0" w:color="auto"/>
      </w:divBdr>
    </w:div>
    <w:div w:id="1217401697">
      <w:bodyDiv w:val="1"/>
      <w:marLeft w:val="0"/>
      <w:marRight w:val="0"/>
      <w:marTop w:val="0"/>
      <w:marBottom w:val="0"/>
      <w:divBdr>
        <w:top w:val="none" w:sz="0" w:space="0" w:color="auto"/>
        <w:left w:val="none" w:sz="0" w:space="0" w:color="auto"/>
        <w:bottom w:val="none" w:sz="0" w:space="0" w:color="auto"/>
        <w:right w:val="none" w:sz="0" w:space="0" w:color="auto"/>
      </w:divBdr>
    </w:div>
    <w:div w:id="1217550860">
      <w:bodyDiv w:val="1"/>
      <w:marLeft w:val="0"/>
      <w:marRight w:val="0"/>
      <w:marTop w:val="0"/>
      <w:marBottom w:val="0"/>
      <w:divBdr>
        <w:top w:val="none" w:sz="0" w:space="0" w:color="auto"/>
        <w:left w:val="none" w:sz="0" w:space="0" w:color="auto"/>
        <w:bottom w:val="none" w:sz="0" w:space="0" w:color="auto"/>
        <w:right w:val="none" w:sz="0" w:space="0" w:color="auto"/>
      </w:divBdr>
    </w:div>
    <w:div w:id="1217661244">
      <w:bodyDiv w:val="1"/>
      <w:marLeft w:val="0"/>
      <w:marRight w:val="0"/>
      <w:marTop w:val="0"/>
      <w:marBottom w:val="0"/>
      <w:divBdr>
        <w:top w:val="none" w:sz="0" w:space="0" w:color="auto"/>
        <w:left w:val="none" w:sz="0" w:space="0" w:color="auto"/>
        <w:bottom w:val="none" w:sz="0" w:space="0" w:color="auto"/>
        <w:right w:val="none" w:sz="0" w:space="0" w:color="auto"/>
      </w:divBdr>
    </w:div>
    <w:div w:id="1217668281">
      <w:bodyDiv w:val="1"/>
      <w:marLeft w:val="0"/>
      <w:marRight w:val="0"/>
      <w:marTop w:val="0"/>
      <w:marBottom w:val="0"/>
      <w:divBdr>
        <w:top w:val="none" w:sz="0" w:space="0" w:color="auto"/>
        <w:left w:val="none" w:sz="0" w:space="0" w:color="auto"/>
        <w:bottom w:val="none" w:sz="0" w:space="0" w:color="auto"/>
        <w:right w:val="none" w:sz="0" w:space="0" w:color="auto"/>
      </w:divBdr>
    </w:div>
    <w:div w:id="1217812756">
      <w:bodyDiv w:val="1"/>
      <w:marLeft w:val="0"/>
      <w:marRight w:val="0"/>
      <w:marTop w:val="0"/>
      <w:marBottom w:val="0"/>
      <w:divBdr>
        <w:top w:val="none" w:sz="0" w:space="0" w:color="auto"/>
        <w:left w:val="none" w:sz="0" w:space="0" w:color="auto"/>
        <w:bottom w:val="none" w:sz="0" w:space="0" w:color="auto"/>
        <w:right w:val="none" w:sz="0" w:space="0" w:color="auto"/>
      </w:divBdr>
    </w:div>
    <w:div w:id="1217813638">
      <w:bodyDiv w:val="1"/>
      <w:marLeft w:val="0"/>
      <w:marRight w:val="0"/>
      <w:marTop w:val="0"/>
      <w:marBottom w:val="0"/>
      <w:divBdr>
        <w:top w:val="none" w:sz="0" w:space="0" w:color="auto"/>
        <w:left w:val="none" w:sz="0" w:space="0" w:color="auto"/>
        <w:bottom w:val="none" w:sz="0" w:space="0" w:color="auto"/>
        <w:right w:val="none" w:sz="0" w:space="0" w:color="auto"/>
      </w:divBdr>
    </w:div>
    <w:div w:id="1217932836">
      <w:bodyDiv w:val="1"/>
      <w:marLeft w:val="0"/>
      <w:marRight w:val="0"/>
      <w:marTop w:val="0"/>
      <w:marBottom w:val="0"/>
      <w:divBdr>
        <w:top w:val="none" w:sz="0" w:space="0" w:color="auto"/>
        <w:left w:val="none" w:sz="0" w:space="0" w:color="auto"/>
        <w:bottom w:val="none" w:sz="0" w:space="0" w:color="auto"/>
        <w:right w:val="none" w:sz="0" w:space="0" w:color="auto"/>
      </w:divBdr>
    </w:div>
    <w:div w:id="1218053750">
      <w:bodyDiv w:val="1"/>
      <w:marLeft w:val="0"/>
      <w:marRight w:val="0"/>
      <w:marTop w:val="0"/>
      <w:marBottom w:val="0"/>
      <w:divBdr>
        <w:top w:val="none" w:sz="0" w:space="0" w:color="auto"/>
        <w:left w:val="none" w:sz="0" w:space="0" w:color="auto"/>
        <w:bottom w:val="none" w:sz="0" w:space="0" w:color="auto"/>
        <w:right w:val="none" w:sz="0" w:space="0" w:color="auto"/>
      </w:divBdr>
    </w:div>
    <w:div w:id="1218204323">
      <w:bodyDiv w:val="1"/>
      <w:marLeft w:val="0"/>
      <w:marRight w:val="0"/>
      <w:marTop w:val="0"/>
      <w:marBottom w:val="0"/>
      <w:divBdr>
        <w:top w:val="none" w:sz="0" w:space="0" w:color="auto"/>
        <w:left w:val="none" w:sz="0" w:space="0" w:color="auto"/>
        <w:bottom w:val="none" w:sz="0" w:space="0" w:color="auto"/>
        <w:right w:val="none" w:sz="0" w:space="0" w:color="auto"/>
      </w:divBdr>
    </w:div>
    <w:div w:id="1218274860">
      <w:bodyDiv w:val="1"/>
      <w:marLeft w:val="0"/>
      <w:marRight w:val="0"/>
      <w:marTop w:val="0"/>
      <w:marBottom w:val="0"/>
      <w:divBdr>
        <w:top w:val="none" w:sz="0" w:space="0" w:color="auto"/>
        <w:left w:val="none" w:sz="0" w:space="0" w:color="auto"/>
        <w:bottom w:val="none" w:sz="0" w:space="0" w:color="auto"/>
        <w:right w:val="none" w:sz="0" w:space="0" w:color="auto"/>
      </w:divBdr>
    </w:div>
    <w:div w:id="1218276728">
      <w:bodyDiv w:val="1"/>
      <w:marLeft w:val="0"/>
      <w:marRight w:val="0"/>
      <w:marTop w:val="0"/>
      <w:marBottom w:val="0"/>
      <w:divBdr>
        <w:top w:val="none" w:sz="0" w:space="0" w:color="auto"/>
        <w:left w:val="none" w:sz="0" w:space="0" w:color="auto"/>
        <w:bottom w:val="none" w:sz="0" w:space="0" w:color="auto"/>
        <w:right w:val="none" w:sz="0" w:space="0" w:color="auto"/>
      </w:divBdr>
    </w:div>
    <w:div w:id="1218317420">
      <w:bodyDiv w:val="1"/>
      <w:marLeft w:val="0"/>
      <w:marRight w:val="0"/>
      <w:marTop w:val="0"/>
      <w:marBottom w:val="0"/>
      <w:divBdr>
        <w:top w:val="none" w:sz="0" w:space="0" w:color="auto"/>
        <w:left w:val="none" w:sz="0" w:space="0" w:color="auto"/>
        <w:bottom w:val="none" w:sz="0" w:space="0" w:color="auto"/>
        <w:right w:val="none" w:sz="0" w:space="0" w:color="auto"/>
      </w:divBdr>
    </w:div>
    <w:div w:id="1218320161">
      <w:bodyDiv w:val="1"/>
      <w:marLeft w:val="0"/>
      <w:marRight w:val="0"/>
      <w:marTop w:val="0"/>
      <w:marBottom w:val="0"/>
      <w:divBdr>
        <w:top w:val="none" w:sz="0" w:space="0" w:color="auto"/>
        <w:left w:val="none" w:sz="0" w:space="0" w:color="auto"/>
        <w:bottom w:val="none" w:sz="0" w:space="0" w:color="auto"/>
        <w:right w:val="none" w:sz="0" w:space="0" w:color="auto"/>
      </w:divBdr>
    </w:div>
    <w:div w:id="1218320214">
      <w:bodyDiv w:val="1"/>
      <w:marLeft w:val="0"/>
      <w:marRight w:val="0"/>
      <w:marTop w:val="0"/>
      <w:marBottom w:val="0"/>
      <w:divBdr>
        <w:top w:val="none" w:sz="0" w:space="0" w:color="auto"/>
        <w:left w:val="none" w:sz="0" w:space="0" w:color="auto"/>
        <w:bottom w:val="none" w:sz="0" w:space="0" w:color="auto"/>
        <w:right w:val="none" w:sz="0" w:space="0" w:color="auto"/>
      </w:divBdr>
    </w:div>
    <w:div w:id="1218661646">
      <w:bodyDiv w:val="1"/>
      <w:marLeft w:val="0"/>
      <w:marRight w:val="0"/>
      <w:marTop w:val="0"/>
      <w:marBottom w:val="0"/>
      <w:divBdr>
        <w:top w:val="none" w:sz="0" w:space="0" w:color="auto"/>
        <w:left w:val="none" w:sz="0" w:space="0" w:color="auto"/>
        <w:bottom w:val="none" w:sz="0" w:space="0" w:color="auto"/>
        <w:right w:val="none" w:sz="0" w:space="0" w:color="auto"/>
      </w:divBdr>
    </w:div>
    <w:div w:id="1218710149">
      <w:bodyDiv w:val="1"/>
      <w:marLeft w:val="0"/>
      <w:marRight w:val="0"/>
      <w:marTop w:val="0"/>
      <w:marBottom w:val="0"/>
      <w:divBdr>
        <w:top w:val="none" w:sz="0" w:space="0" w:color="auto"/>
        <w:left w:val="none" w:sz="0" w:space="0" w:color="auto"/>
        <w:bottom w:val="none" w:sz="0" w:space="0" w:color="auto"/>
        <w:right w:val="none" w:sz="0" w:space="0" w:color="auto"/>
      </w:divBdr>
    </w:div>
    <w:div w:id="1218857525">
      <w:bodyDiv w:val="1"/>
      <w:marLeft w:val="0"/>
      <w:marRight w:val="0"/>
      <w:marTop w:val="0"/>
      <w:marBottom w:val="0"/>
      <w:divBdr>
        <w:top w:val="none" w:sz="0" w:space="0" w:color="auto"/>
        <w:left w:val="none" w:sz="0" w:space="0" w:color="auto"/>
        <w:bottom w:val="none" w:sz="0" w:space="0" w:color="auto"/>
        <w:right w:val="none" w:sz="0" w:space="0" w:color="auto"/>
      </w:divBdr>
    </w:div>
    <w:div w:id="1219131564">
      <w:bodyDiv w:val="1"/>
      <w:marLeft w:val="0"/>
      <w:marRight w:val="0"/>
      <w:marTop w:val="0"/>
      <w:marBottom w:val="0"/>
      <w:divBdr>
        <w:top w:val="none" w:sz="0" w:space="0" w:color="auto"/>
        <w:left w:val="none" w:sz="0" w:space="0" w:color="auto"/>
        <w:bottom w:val="none" w:sz="0" w:space="0" w:color="auto"/>
        <w:right w:val="none" w:sz="0" w:space="0" w:color="auto"/>
      </w:divBdr>
    </w:div>
    <w:div w:id="1219173219">
      <w:bodyDiv w:val="1"/>
      <w:marLeft w:val="0"/>
      <w:marRight w:val="0"/>
      <w:marTop w:val="0"/>
      <w:marBottom w:val="0"/>
      <w:divBdr>
        <w:top w:val="none" w:sz="0" w:space="0" w:color="auto"/>
        <w:left w:val="none" w:sz="0" w:space="0" w:color="auto"/>
        <w:bottom w:val="none" w:sz="0" w:space="0" w:color="auto"/>
        <w:right w:val="none" w:sz="0" w:space="0" w:color="auto"/>
      </w:divBdr>
    </w:div>
    <w:div w:id="1219244885">
      <w:bodyDiv w:val="1"/>
      <w:marLeft w:val="0"/>
      <w:marRight w:val="0"/>
      <w:marTop w:val="0"/>
      <w:marBottom w:val="0"/>
      <w:divBdr>
        <w:top w:val="none" w:sz="0" w:space="0" w:color="auto"/>
        <w:left w:val="none" w:sz="0" w:space="0" w:color="auto"/>
        <w:bottom w:val="none" w:sz="0" w:space="0" w:color="auto"/>
        <w:right w:val="none" w:sz="0" w:space="0" w:color="auto"/>
      </w:divBdr>
    </w:div>
    <w:div w:id="1219247564">
      <w:bodyDiv w:val="1"/>
      <w:marLeft w:val="0"/>
      <w:marRight w:val="0"/>
      <w:marTop w:val="0"/>
      <w:marBottom w:val="0"/>
      <w:divBdr>
        <w:top w:val="none" w:sz="0" w:space="0" w:color="auto"/>
        <w:left w:val="none" w:sz="0" w:space="0" w:color="auto"/>
        <w:bottom w:val="none" w:sz="0" w:space="0" w:color="auto"/>
        <w:right w:val="none" w:sz="0" w:space="0" w:color="auto"/>
      </w:divBdr>
    </w:div>
    <w:div w:id="1219318447">
      <w:bodyDiv w:val="1"/>
      <w:marLeft w:val="0"/>
      <w:marRight w:val="0"/>
      <w:marTop w:val="0"/>
      <w:marBottom w:val="0"/>
      <w:divBdr>
        <w:top w:val="none" w:sz="0" w:space="0" w:color="auto"/>
        <w:left w:val="none" w:sz="0" w:space="0" w:color="auto"/>
        <w:bottom w:val="none" w:sz="0" w:space="0" w:color="auto"/>
        <w:right w:val="none" w:sz="0" w:space="0" w:color="auto"/>
      </w:divBdr>
    </w:div>
    <w:div w:id="1219394288">
      <w:bodyDiv w:val="1"/>
      <w:marLeft w:val="0"/>
      <w:marRight w:val="0"/>
      <w:marTop w:val="0"/>
      <w:marBottom w:val="0"/>
      <w:divBdr>
        <w:top w:val="none" w:sz="0" w:space="0" w:color="auto"/>
        <w:left w:val="none" w:sz="0" w:space="0" w:color="auto"/>
        <w:bottom w:val="none" w:sz="0" w:space="0" w:color="auto"/>
        <w:right w:val="none" w:sz="0" w:space="0" w:color="auto"/>
      </w:divBdr>
    </w:div>
    <w:div w:id="1219437549">
      <w:bodyDiv w:val="1"/>
      <w:marLeft w:val="0"/>
      <w:marRight w:val="0"/>
      <w:marTop w:val="0"/>
      <w:marBottom w:val="0"/>
      <w:divBdr>
        <w:top w:val="none" w:sz="0" w:space="0" w:color="auto"/>
        <w:left w:val="none" w:sz="0" w:space="0" w:color="auto"/>
        <w:bottom w:val="none" w:sz="0" w:space="0" w:color="auto"/>
        <w:right w:val="none" w:sz="0" w:space="0" w:color="auto"/>
      </w:divBdr>
    </w:div>
    <w:div w:id="1219440027">
      <w:bodyDiv w:val="1"/>
      <w:marLeft w:val="0"/>
      <w:marRight w:val="0"/>
      <w:marTop w:val="0"/>
      <w:marBottom w:val="0"/>
      <w:divBdr>
        <w:top w:val="none" w:sz="0" w:space="0" w:color="auto"/>
        <w:left w:val="none" w:sz="0" w:space="0" w:color="auto"/>
        <w:bottom w:val="none" w:sz="0" w:space="0" w:color="auto"/>
        <w:right w:val="none" w:sz="0" w:space="0" w:color="auto"/>
      </w:divBdr>
    </w:div>
    <w:div w:id="1219515299">
      <w:bodyDiv w:val="1"/>
      <w:marLeft w:val="0"/>
      <w:marRight w:val="0"/>
      <w:marTop w:val="0"/>
      <w:marBottom w:val="0"/>
      <w:divBdr>
        <w:top w:val="none" w:sz="0" w:space="0" w:color="auto"/>
        <w:left w:val="none" w:sz="0" w:space="0" w:color="auto"/>
        <w:bottom w:val="none" w:sz="0" w:space="0" w:color="auto"/>
        <w:right w:val="none" w:sz="0" w:space="0" w:color="auto"/>
      </w:divBdr>
    </w:div>
    <w:div w:id="1219585923">
      <w:bodyDiv w:val="1"/>
      <w:marLeft w:val="0"/>
      <w:marRight w:val="0"/>
      <w:marTop w:val="0"/>
      <w:marBottom w:val="0"/>
      <w:divBdr>
        <w:top w:val="none" w:sz="0" w:space="0" w:color="auto"/>
        <w:left w:val="none" w:sz="0" w:space="0" w:color="auto"/>
        <w:bottom w:val="none" w:sz="0" w:space="0" w:color="auto"/>
        <w:right w:val="none" w:sz="0" w:space="0" w:color="auto"/>
      </w:divBdr>
    </w:div>
    <w:div w:id="1219590484">
      <w:bodyDiv w:val="1"/>
      <w:marLeft w:val="0"/>
      <w:marRight w:val="0"/>
      <w:marTop w:val="0"/>
      <w:marBottom w:val="0"/>
      <w:divBdr>
        <w:top w:val="none" w:sz="0" w:space="0" w:color="auto"/>
        <w:left w:val="none" w:sz="0" w:space="0" w:color="auto"/>
        <w:bottom w:val="none" w:sz="0" w:space="0" w:color="auto"/>
        <w:right w:val="none" w:sz="0" w:space="0" w:color="auto"/>
      </w:divBdr>
    </w:div>
    <w:div w:id="1219780576">
      <w:bodyDiv w:val="1"/>
      <w:marLeft w:val="0"/>
      <w:marRight w:val="0"/>
      <w:marTop w:val="0"/>
      <w:marBottom w:val="0"/>
      <w:divBdr>
        <w:top w:val="none" w:sz="0" w:space="0" w:color="auto"/>
        <w:left w:val="none" w:sz="0" w:space="0" w:color="auto"/>
        <w:bottom w:val="none" w:sz="0" w:space="0" w:color="auto"/>
        <w:right w:val="none" w:sz="0" w:space="0" w:color="auto"/>
      </w:divBdr>
    </w:div>
    <w:div w:id="1219783264">
      <w:bodyDiv w:val="1"/>
      <w:marLeft w:val="0"/>
      <w:marRight w:val="0"/>
      <w:marTop w:val="0"/>
      <w:marBottom w:val="0"/>
      <w:divBdr>
        <w:top w:val="none" w:sz="0" w:space="0" w:color="auto"/>
        <w:left w:val="none" w:sz="0" w:space="0" w:color="auto"/>
        <w:bottom w:val="none" w:sz="0" w:space="0" w:color="auto"/>
        <w:right w:val="none" w:sz="0" w:space="0" w:color="auto"/>
      </w:divBdr>
    </w:div>
    <w:div w:id="1219904820">
      <w:bodyDiv w:val="1"/>
      <w:marLeft w:val="0"/>
      <w:marRight w:val="0"/>
      <w:marTop w:val="0"/>
      <w:marBottom w:val="0"/>
      <w:divBdr>
        <w:top w:val="none" w:sz="0" w:space="0" w:color="auto"/>
        <w:left w:val="none" w:sz="0" w:space="0" w:color="auto"/>
        <w:bottom w:val="none" w:sz="0" w:space="0" w:color="auto"/>
        <w:right w:val="none" w:sz="0" w:space="0" w:color="auto"/>
      </w:divBdr>
    </w:div>
    <w:div w:id="1219977200">
      <w:bodyDiv w:val="1"/>
      <w:marLeft w:val="0"/>
      <w:marRight w:val="0"/>
      <w:marTop w:val="0"/>
      <w:marBottom w:val="0"/>
      <w:divBdr>
        <w:top w:val="none" w:sz="0" w:space="0" w:color="auto"/>
        <w:left w:val="none" w:sz="0" w:space="0" w:color="auto"/>
        <w:bottom w:val="none" w:sz="0" w:space="0" w:color="auto"/>
        <w:right w:val="none" w:sz="0" w:space="0" w:color="auto"/>
      </w:divBdr>
    </w:div>
    <w:div w:id="1220090096">
      <w:bodyDiv w:val="1"/>
      <w:marLeft w:val="0"/>
      <w:marRight w:val="0"/>
      <w:marTop w:val="0"/>
      <w:marBottom w:val="0"/>
      <w:divBdr>
        <w:top w:val="none" w:sz="0" w:space="0" w:color="auto"/>
        <w:left w:val="none" w:sz="0" w:space="0" w:color="auto"/>
        <w:bottom w:val="none" w:sz="0" w:space="0" w:color="auto"/>
        <w:right w:val="none" w:sz="0" w:space="0" w:color="auto"/>
      </w:divBdr>
    </w:div>
    <w:div w:id="1220093448">
      <w:bodyDiv w:val="1"/>
      <w:marLeft w:val="0"/>
      <w:marRight w:val="0"/>
      <w:marTop w:val="0"/>
      <w:marBottom w:val="0"/>
      <w:divBdr>
        <w:top w:val="none" w:sz="0" w:space="0" w:color="auto"/>
        <w:left w:val="none" w:sz="0" w:space="0" w:color="auto"/>
        <w:bottom w:val="none" w:sz="0" w:space="0" w:color="auto"/>
        <w:right w:val="none" w:sz="0" w:space="0" w:color="auto"/>
      </w:divBdr>
    </w:div>
    <w:div w:id="1220215020">
      <w:bodyDiv w:val="1"/>
      <w:marLeft w:val="0"/>
      <w:marRight w:val="0"/>
      <w:marTop w:val="0"/>
      <w:marBottom w:val="0"/>
      <w:divBdr>
        <w:top w:val="none" w:sz="0" w:space="0" w:color="auto"/>
        <w:left w:val="none" w:sz="0" w:space="0" w:color="auto"/>
        <w:bottom w:val="none" w:sz="0" w:space="0" w:color="auto"/>
        <w:right w:val="none" w:sz="0" w:space="0" w:color="auto"/>
      </w:divBdr>
    </w:div>
    <w:div w:id="1220701300">
      <w:bodyDiv w:val="1"/>
      <w:marLeft w:val="0"/>
      <w:marRight w:val="0"/>
      <w:marTop w:val="0"/>
      <w:marBottom w:val="0"/>
      <w:divBdr>
        <w:top w:val="none" w:sz="0" w:space="0" w:color="auto"/>
        <w:left w:val="none" w:sz="0" w:space="0" w:color="auto"/>
        <w:bottom w:val="none" w:sz="0" w:space="0" w:color="auto"/>
        <w:right w:val="none" w:sz="0" w:space="0" w:color="auto"/>
      </w:divBdr>
    </w:div>
    <w:div w:id="1220744590">
      <w:bodyDiv w:val="1"/>
      <w:marLeft w:val="0"/>
      <w:marRight w:val="0"/>
      <w:marTop w:val="0"/>
      <w:marBottom w:val="0"/>
      <w:divBdr>
        <w:top w:val="none" w:sz="0" w:space="0" w:color="auto"/>
        <w:left w:val="none" w:sz="0" w:space="0" w:color="auto"/>
        <w:bottom w:val="none" w:sz="0" w:space="0" w:color="auto"/>
        <w:right w:val="none" w:sz="0" w:space="0" w:color="auto"/>
      </w:divBdr>
    </w:div>
    <w:div w:id="1221206910">
      <w:bodyDiv w:val="1"/>
      <w:marLeft w:val="0"/>
      <w:marRight w:val="0"/>
      <w:marTop w:val="0"/>
      <w:marBottom w:val="0"/>
      <w:divBdr>
        <w:top w:val="none" w:sz="0" w:space="0" w:color="auto"/>
        <w:left w:val="none" w:sz="0" w:space="0" w:color="auto"/>
        <w:bottom w:val="none" w:sz="0" w:space="0" w:color="auto"/>
        <w:right w:val="none" w:sz="0" w:space="0" w:color="auto"/>
      </w:divBdr>
    </w:div>
    <w:div w:id="1221209409">
      <w:bodyDiv w:val="1"/>
      <w:marLeft w:val="0"/>
      <w:marRight w:val="0"/>
      <w:marTop w:val="0"/>
      <w:marBottom w:val="0"/>
      <w:divBdr>
        <w:top w:val="none" w:sz="0" w:space="0" w:color="auto"/>
        <w:left w:val="none" w:sz="0" w:space="0" w:color="auto"/>
        <w:bottom w:val="none" w:sz="0" w:space="0" w:color="auto"/>
        <w:right w:val="none" w:sz="0" w:space="0" w:color="auto"/>
      </w:divBdr>
    </w:div>
    <w:div w:id="1221288551">
      <w:bodyDiv w:val="1"/>
      <w:marLeft w:val="0"/>
      <w:marRight w:val="0"/>
      <w:marTop w:val="0"/>
      <w:marBottom w:val="0"/>
      <w:divBdr>
        <w:top w:val="none" w:sz="0" w:space="0" w:color="auto"/>
        <w:left w:val="none" w:sz="0" w:space="0" w:color="auto"/>
        <w:bottom w:val="none" w:sz="0" w:space="0" w:color="auto"/>
        <w:right w:val="none" w:sz="0" w:space="0" w:color="auto"/>
      </w:divBdr>
    </w:div>
    <w:div w:id="1221601937">
      <w:bodyDiv w:val="1"/>
      <w:marLeft w:val="0"/>
      <w:marRight w:val="0"/>
      <w:marTop w:val="0"/>
      <w:marBottom w:val="0"/>
      <w:divBdr>
        <w:top w:val="none" w:sz="0" w:space="0" w:color="auto"/>
        <w:left w:val="none" w:sz="0" w:space="0" w:color="auto"/>
        <w:bottom w:val="none" w:sz="0" w:space="0" w:color="auto"/>
        <w:right w:val="none" w:sz="0" w:space="0" w:color="auto"/>
      </w:divBdr>
    </w:div>
    <w:div w:id="1221674382">
      <w:bodyDiv w:val="1"/>
      <w:marLeft w:val="0"/>
      <w:marRight w:val="0"/>
      <w:marTop w:val="0"/>
      <w:marBottom w:val="0"/>
      <w:divBdr>
        <w:top w:val="none" w:sz="0" w:space="0" w:color="auto"/>
        <w:left w:val="none" w:sz="0" w:space="0" w:color="auto"/>
        <w:bottom w:val="none" w:sz="0" w:space="0" w:color="auto"/>
        <w:right w:val="none" w:sz="0" w:space="0" w:color="auto"/>
      </w:divBdr>
    </w:div>
    <w:div w:id="1221676717">
      <w:bodyDiv w:val="1"/>
      <w:marLeft w:val="0"/>
      <w:marRight w:val="0"/>
      <w:marTop w:val="0"/>
      <w:marBottom w:val="0"/>
      <w:divBdr>
        <w:top w:val="none" w:sz="0" w:space="0" w:color="auto"/>
        <w:left w:val="none" w:sz="0" w:space="0" w:color="auto"/>
        <w:bottom w:val="none" w:sz="0" w:space="0" w:color="auto"/>
        <w:right w:val="none" w:sz="0" w:space="0" w:color="auto"/>
      </w:divBdr>
    </w:div>
    <w:div w:id="1221746250">
      <w:bodyDiv w:val="1"/>
      <w:marLeft w:val="0"/>
      <w:marRight w:val="0"/>
      <w:marTop w:val="0"/>
      <w:marBottom w:val="0"/>
      <w:divBdr>
        <w:top w:val="none" w:sz="0" w:space="0" w:color="auto"/>
        <w:left w:val="none" w:sz="0" w:space="0" w:color="auto"/>
        <w:bottom w:val="none" w:sz="0" w:space="0" w:color="auto"/>
        <w:right w:val="none" w:sz="0" w:space="0" w:color="auto"/>
      </w:divBdr>
    </w:div>
    <w:div w:id="1221790391">
      <w:bodyDiv w:val="1"/>
      <w:marLeft w:val="0"/>
      <w:marRight w:val="0"/>
      <w:marTop w:val="0"/>
      <w:marBottom w:val="0"/>
      <w:divBdr>
        <w:top w:val="none" w:sz="0" w:space="0" w:color="auto"/>
        <w:left w:val="none" w:sz="0" w:space="0" w:color="auto"/>
        <w:bottom w:val="none" w:sz="0" w:space="0" w:color="auto"/>
        <w:right w:val="none" w:sz="0" w:space="0" w:color="auto"/>
      </w:divBdr>
    </w:div>
    <w:div w:id="1221869511">
      <w:bodyDiv w:val="1"/>
      <w:marLeft w:val="0"/>
      <w:marRight w:val="0"/>
      <w:marTop w:val="0"/>
      <w:marBottom w:val="0"/>
      <w:divBdr>
        <w:top w:val="none" w:sz="0" w:space="0" w:color="auto"/>
        <w:left w:val="none" w:sz="0" w:space="0" w:color="auto"/>
        <w:bottom w:val="none" w:sz="0" w:space="0" w:color="auto"/>
        <w:right w:val="none" w:sz="0" w:space="0" w:color="auto"/>
      </w:divBdr>
    </w:div>
    <w:div w:id="1221944376">
      <w:bodyDiv w:val="1"/>
      <w:marLeft w:val="0"/>
      <w:marRight w:val="0"/>
      <w:marTop w:val="0"/>
      <w:marBottom w:val="0"/>
      <w:divBdr>
        <w:top w:val="none" w:sz="0" w:space="0" w:color="auto"/>
        <w:left w:val="none" w:sz="0" w:space="0" w:color="auto"/>
        <w:bottom w:val="none" w:sz="0" w:space="0" w:color="auto"/>
        <w:right w:val="none" w:sz="0" w:space="0" w:color="auto"/>
      </w:divBdr>
    </w:div>
    <w:div w:id="1222139190">
      <w:bodyDiv w:val="1"/>
      <w:marLeft w:val="0"/>
      <w:marRight w:val="0"/>
      <w:marTop w:val="0"/>
      <w:marBottom w:val="0"/>
      <w:divBdr>
        <w:top w:val="none" w:sz="0" w:space="0" w:color="auto"/>
        <w:left w:val="none" w:sz="0" w:space="0" w:color="auto"/>
        <w:bottom w:val="none" w:sz="0" w:space="0" w:color="auto"/>
        <w:right w:val="none" w:sz="0" w:space="0" w:color="auto"/>
      </w:divBdr>
    </w:div>
    <w:div w:id="1222254692">
      <w:bodyDiv w:val="1"/>
      <w:marLeft w:val="0"/>
      <w:marRight w:val="0"/>
      <w:marTop w:val="0"/>
      <w:marBottom w:val="0"/>
      <w:divBdr>
        <w:top w:val="none" w:sz="0" w:space="0" w:color="auto"/>
        <w:left w:val="none" w:sz="0" w:space="0" w:color="auto"/>
        <w:bottom w:val="none" w:sz="0" w:space="0" w:color="auto"/>
        <w:right w:val="none" w:sz="0" w:space="0" w:color="auto"/>
      </w:divBdr>
    </w:div>
    <w:div w:id="1222402160">
      <w:bodyDiv w:val="1"/>
      <w:marLeft w:val="0"/>
      <w:marRight w:val="0"/>
      <w:marTop w:val="0"/>
      <w:marBottom w:val="0"/>
      <w:divBdr>
        <w:top w:val="none" w:sz="0" w:space="0" w:color="auto"/>
        <w:left w:val="none" w:sz="0" w:space="0" w:color="auto"/>
        <w:bottom w:val="none" w:sz="0" w:space="0" w:color="auto"/>
        <w:right w:val="none" w:sz="0" w:space="0" w:color="auto"/>
      </w:divBdr>
    </w:div>
    <w:div w:id="1222525613">
      <w:bodyDiv w:val="1"/>
      <w:marLeft w:val="0"/>
      <w:marRight w:val="0"/>
      <w:marTop w:val="0"/>
      <w:marBottom w:val="0"/>
      <w:divBdr>
        <w:top w:val="none" w:sz="0" w:space="0" w:color="auto"/>
        <w:left w:val="none" w:sz="0" w:space="0" w:color="auto"/>
        <w:bottom w:val="none" w:sz="0" w:space="0" w:color="auto"/>
        <w:right w:val="none" w:sz="0" w:space="0" w:color="auto"/>
      </w:divBdr>
    </w:div>
    <w:div w:id="1222594933">
      <w:bodyDiv w:val="1"/>
      <w:marLeft w:val="0"/>
      <w:marRight w:val="0"/>
      <w:marTop w:val="0"/>
      <w:marBottom w:val="0"/>
      <w:divBdr>
        <w:top w:val="none" w:sz="0" w:space="0" w:color="auto"/>
        <w:left w:val="none" w:sz="0" w:space="0" w:color="auto"/>
        <w:bottom w:val="none" w:sz="0" w:space="0" w:color="auto"/>
        <w:right w:val="none" w:sz="0" w:space="0" w:color="auto"/>
      </w:divBdr>
    </w:div>
    <w:div w:id="1222597078">
      <w:bodyDiv w:val="1"/>
      <w:marLeft w:val="0"/>
      <w:marRight w:val="0"/>
      <w:marTop w:val="0"/>
      <w:marBottom w:val="0"/>
      <w:divBdr>
        <w:top w:val="none" w:sz="0" w:space="0" w:color="auto"/>
        <w:left w:val="none" w:sz="0" w:space="0" w:color="auto"/>
        <w:bottom w:val="none" w:sz="0" w:space="0" w:color="auto"/>
        <w:right w:val="none" w:sz="0" w:space="0" w:color="auto"/>
      </w:divBdr>
    </w:div>
    <w:div w:id="1222789119">
      <w:bodyDiv w:val="1"/>
      <w:marLeft w:val="0"/>
      <w:marRight w:val="0"/>
      <w:marTop w:val="0"/>
      <w:marBottom w:val="0"/>
      <w:divBdr>
        <w:top w:val="none" w:sz="0" w:space="0" w:color="auto"/>
        <w:left w:val="none" w:sz="0" w:space="0" w:color="auto"/>
        <w:bottom w:val="none" w:sz="0" w:space="0" w:color="auto"/>
        <w:right w:val="none" w:sz="0" w:space="0" w:color="auto"/>
      </w:divBdr>
    </w:div>
    <w:div w:id="1223102393">
      <w:bodyDiv w:val="1"/>
      <w:marLeft w:val="0"/>
      <w:marRight w:val="0"/>
      <w:marTop w:val="0"/>
      <w:marBottom w:val="0"/>
      <w:divBdr>
        <w:top w:val="none" w:sz="0" w:space="0" w:color="auto"/>
        <w:left w:val="none" w:sz="0" w:space="0" w:color="auto"/>
        <w:bottom w:val="none" w:sz="0" w:space="0" w:color="auto"/>
        <w:right w:val="none" w:sz="0" w:space="0" w:color="auto"/>
      </w:divBdr>
    </w:div>
    <w:div w:id="1223174630">
      <w:bodyDiv w:val="1"/>
      <w:marLeft w:val="0"/>
      <w:marRight w:val="0"/>
      <w:marTop w:val="0"/>
      <w:marBottom w:val="0"/>
      <w:divBdr>
        <w:top w:val="none" w:sz="0" w:space="0" w:color="auto"/>
        <w:left w:val="none" w:sz="0" w:space="0" w:color="auto"/>
        <w:bottom w:val="none" w:sz="0" w:space="0" w:color="auto"/>
        <w:right w:val="none" w:sz="0" w:space="0" w:color="auto"/>
      </w:divBdr>
    </w:div>
    <w:div w:id="1223180530">
      <w:bodyDiv w:val="1"/>
      <w:marLeft w:val="0"/>
      <w:marRight w:val="0"/>
      <w:marTop w:val="0"/>
      <w:marBottom w:val="0"/>
      <w:divBdr>
        <w:top w:val="none" w:sz="0" w:space="0" w:color="auto"/>
        <w:left w:val="none" w:sz="0" w:space="0" w:color="auto"/>
        <w:bottom w:val="none" w:sz="0" w:space="0" w:color="auto"/>
        <w:right w:val="none" w:sz="0" w:space="0" w:color="auto"/>
      </w:divBdr>
    </w:div>
    <w:div w:id="1223249566">
      <w:bodyDiv w:val="1"/>
      <w:marLeft w:val="0"/>
      <w:marRight w:val="0"/>
      <w:marTop w:val="0"/>
      <w:marBottom w:val="0"/>
      <w:divBdr>
        <w:top w:val="none" w:sz="0" w:space="0" w:color="auto"/>
        <w:left w:val="none" w:sz="0" w:space="0" w:color="auto"/>
        <w:bottom w:val="none" w:sz="0" w:space="0" w:color="auto"/>
        <w:right w:val="none" w:sz="0" w:space="0" w:color="auto"/>
      </w:divBdr>
    </w:div>
    <w:div w:id="1223250534">
      <w:bodyDiv w:val="1"/>
      <w:marLeft w:val="0"/>
      <w:marRight w:val="0"/>
      <w:marTop w:val="0"/>
      <w:marBottom w:val="0"/>
      <w:divBdr>
        <w:top w:val="none" w:sz="0" w:space="0" w:color="auto"/>
        <w:left w:val="none" w:sz="0" w:space="0" w:color="auto"/>
        <w:bottom w:val="none" w:sz="0" w:space="0" w:color="auto"/>
        <w:right w:val="none" w:sz="0" w:space="0" w:color="auto"/>
      </w:divBdr>
    </w:div>
    <w:div w:id="1223251285">
      <w:bodyDiv w:val="1"/>
      <w:marLeft w:val="0"/>
      <w:marRight w:val="0"/>
      <w:marTop w:val="0"/>
      <w:marBottom w:val="0"/>
      <w:divBdr>
        <w:top w:val="none" w:sz="0" w:space="0" w:color="auto"/>
        <w:left w:val="none" w:sz="0" w:space="0" w:color="auto"/>
        <w:bottom w:val="none" w:sz="0" w:space="0" w:color="auto"/>
        <w:right w:val="none" w:sz="0" w:space="0" w:color="auto"/>
      </w:divBdr>
    </w:div>
    <w:div w:id="1223253301">
      <w:bodyDiv w:val="1"/>
      <w:marLeft w:val="0"/>
      <w:marRight w:val="0"/>
      <w:marTop w:val="0"/>
      <w:marBottom w:val="0"/>
      <w:divBdr>
        <w:top w:val="none" w:sz="0" w:space="0" w:color="auto"/>
        <w:left w:val="none" w:sz="0" w:space="0" w:color="auto"/>
        <w:bottom w:val="none" w:sz="0" w:space="0" w:color="auto"/>
        <w:right w:val="none" w:sz="0" w:space="0" w:color="auto"/>
      </w:divBdr>
    </w:div>
    <w:div w:id="1223324038">
      <w:bodyDiv w:val="1"/>
      <w:marLeft w:val="0"/>
      <w:marRight w:val="0"/>
      <w:marTop w:val="0"/>
      <w:marBottom w:val="0"/>
      <w:divBdr>
        <w:top w:val="none" w:sz="0" w:space="0" w:color="auto"/>
        <w:left w:val="none" w:sz="0" w:space="0" w:color="auto"/>
        <w:bottom w:val="none" w:sz="0" w:space="0" w:color="auto"/>
        <w:right w:val="none" w:sz="0" w:space="0" w:color="auto"/>
      </w:divBdr>
    </w:div>
    <w:div w:id="1223325826">
      <w:bodyDiv w:val="1"/>
      <w:marLeft w:val="0"/>
      <w:marRight w:val="0"/>
      <w:marTop w:val="0"/>
      <w:marBottom w:val="0"/>
      <w:divBdr>
        <w:top w:val="none" w:sz="0" w:space="0" w:color="auto"/>
        <w:left w:val="none" w:sz="0" w:space="0" w:color="auto"/>
        <w:bottom w:val="none" w:sz="0" w:space="0" w:color="auto"/>
        <w:right w:val="none" w:sz="0" w:space="0" w:color="auto"/>
      </w:divBdr>
    </w:div>
    <w:div w:id="1223364880">
      <w:bodyDiv w:val="1"/>
      <w:marLeft w:val="0"/>
      <w:marRight w:val="0"/>
      <w:marTop w:val="0"/>
      <w:marBottom w:val="0"/>
      <w:divBdr>
        <w:top w:val="none" w:sz="0" w:space="0" w:color="auto"/>
        <w:left w:val="none" w:sz="0" w:space="0" w:color="auto"/>
        <w:bottom w:val="none" w:sz="0" w:space="0" w:color="auto"/>
        <w:right w:val="none" w:sz="0" w:space="0" w:color="auto"/>
      </w:divBdr>
    </w:div>
    <w:div w:id="1223372594">
      <w:bodyDiv w:val="1"/>
      <w:marLeft w:val="0"/>
      <w:marRight w:val="0"/>
      <w:marTop w:val="0"/>
      <w:marBottom w:val="0"/>
      <w:divBdr>
        <w:top w:val="none" w:sz="0" w:space="0" w:color="auto"/>
        <w:left w:val="none" w:sz="0" w:space="0" w:color="auto"/>
        <w:bottom w:val="none" w:sz="0" w:space="0" w:color="auto"/>
        <w:right w:val="none" w:sz="0" w:space="0" w:color="auto"/>
      </w:divBdr>
    </w:div>
    <w:div w:id="1223520460">
      <w:bodyDiv w:val="1"/>
      <w:marLeft w:val="0"/>
      <w:marRight w:val="0"/>
      <w:marTop w:val="0"/>
      <w:marBottom w:val="0"/>
      <w:divBdr>
        <w:top w:val="none" w:sz="0" w:space="0" w:color="auto"/>
        <w:left w:val="none" w:sz="0" w:space="0" w:color="auto"/>
        <w:bottom w:val="none" w:sz="0" w:space="0" w:color="auto"/>
        <w:right w:val="none" w:sz="0" w:space="0" w:color="auto"/>
      </w:divBdr>
    </w:div>
    <w:div w:id="1223522423">
      <w:bodyDiv w:val="1"/>
      <w:marLeft w:val="0"/>
      <w:marRight w:val="0"/>
      <w:marTop w:val="0"/>
      <w:marBottom w:val="0"/>
      <w:divBdr>
        <w:top w:val="none" w:sz="0" w:space="0" w:color="auto"/>
        <w:left w:val="none" w:sz="0" w:space="0" w:color="auto"/>
        <w:bottom w:val="none" w:sz="0" w:space="0" w:color="auto"/>
        <w:right w:val="none" w:sz="0" w:space="0" w:color="auto"/>
      </w:divBdr>
    </w:div>
    <w:div w:id="1223636490">
      <w:bodyDiv w:val="1"/>
      <w:marLeft w:val="0"/>
      <w:marRight w:val="0"/>
      <w:marTop w:val="0"/>
      <w:marBottom w:val="0"/>
      <w:divBdr>
        <w:top w:val="none" w:sz="0" w:space="0" w:color="auto"/>
        <w:left w:val="none" w:sz="0" w:space="0" w:color="auto"/>
        <w:bottom w:val="none" w:sz="0" w:space="0" w:color="auto"/>
        <w:right w:val="none" w:sz="0" w:space="0" w:color="auto"/>
      </w:divBdr>
    </w:div>
    <w:div w:id="1223637573">
      <w:bodyDiv w:val="1"/>
      <w:marLeft w:val="0"/>
      <w:marRight w:val="0"/>
      <w:marTop w:val="0"/>
      <w:marBottom w:val="0"/>
      <w:divBdr>
        <w:top w:val="none" w:sz="0" w:space="0" w:color="auto"/>
        <w:left w:val="none" w:sz="0" w:space="0" w:color="auto"/>
        <w:bottom w:val="none" w:sz="0" w:space="0" w:color="auto"/>
        <w:right w:val="none" w:sz="0" w:space="0" w:color="auto"/>
      </w:divBdr>
    </w:div>
    <w:div w:id="1223715090">
      <w:bodyDiv w:val="1"/>
      <w:marLeft w:val="0"/>
      <w:marRight w:val="0"/>
      <w:marTop w:val="0"/>
      <w:marBottom w:val="0"/>
      <w:divBdr>
        <w:top w:val="none" w:sz="0" w:space="0" w:color="auto"/>
        <w:left w:val="none" w:sz="0" w:space="0" w:color="auto"/>
        <w:bottom w:val="none" w:sz="0" w:space="0" w:color="auto"/>
        <w:right w:val="none" w:sz="0" w:space="0" w:color="auto"/>
      </w:divBdr>
    </w:div>
    <w:div w:id="1223754082">
      <w:bodyDiv w:val="1"/>
      <w:marLeft w:val="0"/>
      <w:marRight w:val="0"/>
      <w:marTop w:val="0"/>
      <w:marBottom w:val="0"/>
      <w:divBdr>
        <w:top w:val="none" w:sz="0" w:space="0" w:color="auto"/>
        <w:left w:val="none" w:sz="0" w:space="0" w:color="auto"/>
        <w:bottom w:val="none" w:sz="0" w:space="0" w:color="auto"/>
        <w:right w:val="none" w:sz="0" w:space="0" w:color="auto"/>
      </w:divBdr>
    </w:div>
    <w:div w:id="1223756392">
      <w:bodyDiv w:val="1"/>
      <w:marLeft w:val="0"/>
      <w:marRight w:val="0"/>
      <w:marTop w:val="0"/>
      <w:marBottom w:val="0"/>
      <w:divBdr>
        <w:top w:val="none" w:sz="0" w:space="0" w:color="auto"/>
        <w:left w:val="none" w:sz="0" w:space="0" w:color="auto"/>
        <w:bottom w:val="none" w:sz="0" w:space="0" w:color="auto"/>
        <w:right w:val="none" w:sz="0" w:space="0" w:color="auto"/>
      </w:divBdr>
    </w:div>
    <w:div w:id="1224022883">
      <w:bodyDiv w:val="1"/>
      <w:marLeft w:val="0"/>
      <w:marRight w:val="0"/>
      <w:marTop w:val="0"/>
      <w:marBottom w:val="0"/>
      <w:divBdr>
        <w:top w:val="none" w:sz="0" w:space="0" w:color="auto"/>
        <w:left w:val="none" w:sz="0" w:space="0" w:color="auto"/>
        <w:bottom w:val="none" w:sz="0" w:space="0" w:color="auto"/>
        <w:right w:val="none" w:sz="0" w:space="0" w:color="auto"/>
      </w:divBdr>
    </w:div>
    <w:div w:id="1224026768">
      <w:bodyDiv w:val="1"/>
      <w:marLeft w:val="0"/>
      <w:marRight w:val="0"/>
      <w:marTop w:val="0"/>
      <w:marBottom w:val="0"/>
      <w:divBdr>
        <w:top w:val="none" w:sz="0" w:space="0" w:color="auto"/>
        <w:left w:val="none" w:sz="0" w:space="0" w:color="auto"/>
        <w:bottom w:val="none" w:sz="0" w:space="0" w:color="auto"/>
        <w:right w:val="none" w:sz="0" w:space="0" w:color="auto"/>
      </w:divBdr>
    </w:div>
    <w:div w:id="1224097638">
      <w:bodyDiv w:val="1"/>
      <w:marLeft w:val="0"/>
      <w:marRight w:val="0"/>
      <w:marTop w:val="0"/>
      <w:marBottom w:val="0"/>
      <w:divBdr>
        <w:top w:val="none" w:sz="0" w:space="0" w:color="auto"/>
        <w:left w:val="none" w:sz="0" w:space="0" w:color="auto"/>
        <w:bottom w:val="none" w:sz="0" w:space="0" w:color="auto"/>
        <w:right w:val="none" w:sz="0" w:space="0" w:color="auto"/>
      </w:divBdr>
    </w:div>
    <w:div w:id="1224097682">
      <w:bodyDiv w:val="1"/>
      <w:marLeft w:val="0"/>
      <w:marRight w:val="0"/>
      <w:marTop w:val="0"/>
      <w:marBottom w:val="0"/>
      <w:divBdr>
        <w:top w:val="none" w:sz="0" w:space="0" w:color="auto"/>
        <w:left w:val="none" w:sz="0" w:space="0" w:color="auto"/>
        <w:bottom w:val="none" w:sz="0" w:space="0" w:color="auto"/>
        <w:right w:val="none" w:sz="0" w:space="0" w:color="auto"/>
      </w:divBdr>
    </w:div>
    <w:div w:id="1224102150">
      <w:bodyDiv w:val="1"/>
      <w:marLeft w:val="0"/>
      <w:marRight w:val="0"/>
      <w:marTop w:val="0"/>
      <w:marBottom w:val="0"/>
      <w:divBdr>
        <w:top w:val="none" w:sz="0" w:space="0" w:color="auto"/>
        <w:left w:val="none" w:sz="0" w:space="0" w:color="auto"/>
        <w:bottom w:val="none" w:sz="0" w:space="0" w:color="auto"/>
        <w:right w:val="none" w:sz="0" w:space="0" w:color="auto"/>
      </w:divBdr>
    </w:div>
    <w:div w:id="1224104070">
      <w:bodyDiv w:val="1"/>
      <w:marLeft w:val="0"/>
      <w:marRight w:val="0"/>
      <w:marTop w:val="0"/>
      <w:marBottom w:val="0"/>
      <w:divBdr>
        <w:top w:val="none" w:sz="0" w:space="0" w:color="auto"/>
        <w:left w:val="none" w:sz="0" w:space="0" w:color="auto"/>
        <w:bottom w:val="none" w:sz="0" w:space="0" w:color="auto"/>
        <w:right w:val="none" w:sz="0" w:space="0" w:color="auto"/>
      </w:divBdr>
    </w:div>
    <w:div w:id="1224173102">
      <w:bodyDiv w:val="1"/>
      <w:marLeft w:val="0"/>
      <w:marRight w:val="0"/>
      <w:marTop w:val="0"/>
      <w:marBottom w:val="0"/>
      <w:divBdr>
        <w:top w:val="none" w:sz="0" w:space="0" w:color="auto"/>
        <w:left w:val="none" w:sz="0" w:space="0" w:color="auto"/>
        <w:bottom w:val="none" w:sz="0" w:space="0" w:color="auto"/>
        <w:right w:val="none" w:sz="0" w:space="0" w:color="auto"/>
      </w:divBdr>
    </w:div>
    <w:div w:id="1224222495">
      <w:bodyDiv w:val="1"/>
      <w:marLeft w:val="0"/>
      <w:marRight w:val="0"/>
      <w:marTop w:val="0"/>
      <w:marBottom w:val="0"/>
      <w:divBdr>
        <w:top w:val="none" w:sz="0" w:space="0" w:color="auto"/>
        <w:left w:val="none" w:sz="0" w:space="0" w:color="auto"/>
        <w:bottom w:val="none" w:sz="0" w:space="0" w:color="auto"/>
        <w:right w:val="none" w:sz="0" w:space="0" w:color="auto"/>
      </w:divBdr>
    </w:div>
    <w:div w:id="1224410771">
      <w:bodyDiv w:val="1"/>
      <w:marLeft w:val="0"/>
      <w:marRight w:val="0"/>
      <w:marTop w:val="0"/>
      <w:marBottom w:val="0"/>
      <w:divBdr>
        <w:top w:val="none" w:sz="0" w:space="0" w:color="auto"/>
        <w:left w:val="none" w:sz="0" w:space="0" w:color="auto"/>
        <w:bottom w:val="none" w:sz="0" w:space="0" w:color="auto"/>
        <w:right w:val="none" w:sz="0" w:space="0" w:color="auto"/>
      </w:divBdr>
    </w:div>
    <w:div w:id="1224483464">
      <w:bodyDiv w:val="1"/>
      <w:marLeft w:val="0"/>
      <w:marRight w:val="0"/>
      <w:marTop w:val="0"/>
      <w:marBottom w:val="0"/>
      <w:divBdr>
        <w:top w:val="none" w:sz="0" w:space="0" w:color="auto"/>
        <w:left w:val="none" w:sz="0" w:space="0" w:color="auto"/>
        <w:bottom w:val="none" w:sz="0" w:space="0" w:color="auto"/>
        <w:right w:val="none" w:sz="0" w:space="0" w:color="auto"/>
      </w:divBdr>
    </w:div>
    <w:div w:id="1224486123">
      <w:bodyDiv w:val="1"/>
      <w:marLeft w:val="0"/>
      <w:marRight w:val="0"/>
      <w:marTop w:val="0"/>
      <w:marBottom w:val="0"/>
      <w:divBdr>
        <w:top w:val="none" w:sz="0" w:space="0" w:color="auto"/>
        <w:left w:val="none" w:sz="0" w:space="0" w:color="auto"/>
        <w:bottom w:val="none" w:sz="0" w:space="0" w:color="auto"/>
        <w:right w:val="none" w:sz="0" w:space="0" w:color="auto"/>
      </w:divBdr>
    </w:div>
    <w:div w:id="1224489980">
      <w:bodyDiv w:val="1"/>
      <w:marLeft w:val="0"/>
      <w:marRight w:val="0"/>
      <w:marTop w:val="0"/>
      <w:marBottom w:val="0"/>
      <w:divBdr>
        <w:top w:val="none" w:sz="0" w:space="0" w:color="auto"/>
        <w:left w:val="none" w:sz="0" w:space="0" w:color="auto"/>
        <w:bottom w:val="none" w:sz="0" w:space="0" w:color="auto"/>
        <w:right w:val="none" w:sz="0" w:space="0" w:color="auto"/>
      </w:divBdr>
    </w:div>
    <w:div w:id="1224490508">
      <w:bodyDiv w:val="1"/>
      <w:marLeft w:val="0"/>
      <w:marRight w:val="0"/>
      <w:marTop w:val="0"/>
      <w:marBottom w:val="0"/>
      <w:divBdr>
        <w:top w:val="none" w:sz="0" w:space="0" w:color="auto"/>
        <w:left w:val="none" w:sz="0" w:space="0" w:color="auto"/>
        <w:bottom w:val="none" w:sz="0" w:space="0" w:color="auto"/>
        <w:right w:val="none" w:sz="0" w:space="0" w:color="auto"/>
      </w:divBdr>
    </w:div>
    <w:div w:id="1224829648">
      <w:bodyDiv w:val="1"/>
      <w:marLeft w:val="0"/>
      <w:marRight w:val="0"/>
      <w:marTop w:val="0"/>
      <w:marBottom w:val="0"/>
      <w:divBdr>
        <w:top w:val="none" w:sz="0" w:space="0" w:color="auto"/>
        <w:left w:val="none" w:sz="0" w:space="0" w:color="auto"/>
        <w:bottom w:val="none" w:sz="0" w:space="0" w:color="auto"/>
        <w:right w:val="none" w:sz="0" w:space="0" w:color="auto"/>
      </w:divBdr>
    </w:div>
    <w:div w:id="1224951884">
      <w:bodyDiv w:val="1"/>
      <w:marLeft w:val="0"/>
      <w:marRight w:val="0"/>
      <w:marTop w:val="0"/>
      <w:marBottom w:val="0"/>
      <w:divBdr>
        <w:top w:val="none" w:sz="0" w:space="0" w:color="auto"/>
        <w:left w:val="none" w:sz="0" w:space="0" w:color="auto"/>
        <w:bottom w:val="none" w:sz="0" w:space="0" w:color="auto"/>
        <w:right w:val="none" w:sz="0" w:space="0" w:color="auto"/>
      </w:divBdr>
    </w:div>
    <w:div w:id="1225023007">
      <w:bodyDiv w:val="1"/>
      <w:marLeft w:val="0"/>
      <w:marRight w:val="0"/>
      <w:marTop w:val="0"/>
      <w:marBottom w:val="0"/>
      <w:divBdr>
        <w:top w:val="none" w:sz="0" w:space="0" w:color="auto"/>
        <w:left w:val="none" w:sz="0" w:space="0" w:color="auto"/>
        <w:bottom w:val="none" w:sz="0" w:space="0" w:color="auto"/>
        <w:right w:val="none" w:sz="0" w:space="0" w:color="auto"/>
      </w:divBdr>
    </w:div>
    <w:div w:id="1225025553">
      <w:bodyDiv w:val="1"/>
      <w:marLeft w:val="0"/>
      <w:marRight w:val="0"/>
      <w:marTop w:val="0"/>
      <w:marBottom w:val="0"/>
      <w:divBdr>
        <w:top w:val="none" w:sz="0" w:space="0" w:color="auto"/>
        <w:left w:val="none" w:sz="0" w:space="0" w:color="auto"/>
        <w:bottom w:val="none" w:sz="0" w:space="0" w:color="auto"/>
        <w:right w:val="none" w:sz="0" w:space="0" w:color="auto"/>
      </w:divBdr>
    </w:div>
    <w:div w:id="1225065469">
      <w:bodyDiv w:val="1"/>
      <w:marLeft w:val="0"/>
      <w:marRight w:val="0"/>
      <w:marTop w:val="0"/>
      <w:marBottom w:val="0"/>
      <w:divBdr>
        <w:top w:val="none" w:sz="0" w:space="0" w:color="auto"/>
        <w:left w:val="none" w:sz="0" w:space="0" w:color="auto"/>
        <w:bottom w:val="none" w:sz="0" w:space="0" w:color="auto"/>
        <w:right w:val="none" w:sz="0" w:space="0" w:color="auto"/>
      </w:divBdr>
    </w:div>
    <w:div w:id="1225139254">
      <w:bodyDiv w:val="1"/>
      <w:marLeft w:val="0"/>
      <w:marRight w:val="0"/>
      <w:marTop w:val="0"/>
      <w:marBottom w:val="0"/>
      <w:divBdr>
        <w:top w:val="none" w:sz="0" w:space="0" w:color="auto"/>
        <w:left w:val="none" w:sz="0" w:space="0" w:color="auto"/>
        <w:bottom w:val="none" w:sz="0" w:space="0" w:color="auto"/>
        <w:right w:val="none" w:sz="0" w:space="0" w:color="auto"/>
      </w:divBdr>
    </w:div>
    <w:div w:id="1225143852">
      <w:bodyDiv w:val="1"/>
      <w:marLeft w:val="0"/>
      <w:marRight w:val="0"/>
      <w:marTop w:val="0"/>
      <w:marBottom w:val="0"/>
      <w:divBdr>
        <w:top w:val="none" w:sz="0" w:space="0" w:color="auto"/>
        <w:left w:val="none" w:sz="0" w:space="0" w:color="auto"/>
        <w:bottom w:val="none" w:sz="0" w:space="0" w:color="auto"/>
        <w:right w:val="none" w:sz="0" w:space="0" w:color="auto"/>
      </w:divBdr>
    </w:div>
    <w:div w:id="1225214852">
      <w:bodyDiv w:val="1"/>
      <w:marLeft w:val="0"/>
      <w:marRight w:val="0"/>
      <w:marTop w:val="0"/>
      <w:marBottom w:val="0"/>
      <w:divBdr>
        <w:top w:val="none" w:sz="0" w:space="0" w:color="auto"/>
        <w:left w:val="none" w:sz="0" w:space="0" w:color="auto"/>
        <w:bottom w:val="none" w:sz="0" w:space="0" w:color="auto"/>
        <w:right w:val="none" w:sz="0" w:space="0" w:color="auto"/>
      </w:divBdr>
    </w:div>
    <w:div w:id="1225291842">
      <w:bodyDiv w:val="1"/>
      <w:marLeft w:val="0"/>
      <w:marRight w:val="0"/>
      <w:marTop w:val="0"/>
      <w:marBottom w:val="0"/>
      <w:divBdr>
        <w:top w:val="none" w:sz="0" w:space="0" w:color="auto"/>
        <w:left w:val="none" w:sz="0" w:space="0" w:color="auto"/>
        <w:bottom w:val="none" w:sz="0" w:space="0" w:color="auto"/>
        <w:right w:val="none" w:sz="0" w:space="0" w:color="auto"/>
      </w:divBdr>
    </w:div>
    <w:div w:id="1225292241">
      <w:bodyDiv w:val="1"/>
      <w:marLeft w:val="0"/>
      <w:marRight w:val="0"/>
      <w:marTop w:val="0"/>
      <w:marBottom w:val="0"/>
      <w:divBdr>
        <w:top w:val="none" w:sz="0" w:space="0" w:color="auto"/>
        <w:left w:val="none" w:sz="0" w:space="0" w:color="auto"/>
        <w:bottom w:val="none" w:sz="0" w:space="0" w:color="auto"/>
        <w:right w:val="none" w:sz="0" w:space="0" w:color="auto"/>
      </w:divBdr>
    </w:div>
    <w:div w:id="1225293453">
      <w:bodyDiv w:val="1"/>
      <w:marLeft w:val="0"/>
      <w:marRight w:val="0"/>
      <w:marTop w:val="0"/>
      <w:marBottom w:val="0"/>
      <w:divBdr>
        <w:top w:val="none" w:sz="0" w:space="0" w:color="auto"/>
        <w:left w:val="none" w:sz="0" w:space="0" w:color="auto"/>
        <w:bottom w:val="none" w:sz="0" w:space="0" w:color="auto"/>
        <w:right w:val="none" w:sz="0" w:space="0" w:color="auto"/>
      </w:divBdr>
    </w:div>
    <w:div w:id="1225332123">
      <w:bodyDiv w:val="1"/>
      <w:marLeft w:val="0"/>
      <w:marRight w:val="0"/>
      <w:marTop w:val="0"/>
      <w:marBottom w:val="0"/>
      <w:divBdr>
        <w:top w:val="none" w:sz="0" w:space="0" w:color="auto"/>
        <w:left w:val="none" w:sz="0" w:space="0" w:color="auto"/>
        <w:bottom w:val="none" w:sz="0" w:space="0" w:color="auto"/>
        <w:right w:val="none" w:sz="0" w:space="0" w:color="auto"/>
      </w:divBdr>
    </w:div>
    <w:div w:id="1225339838">
      <w:bodyDiv w:val="1"/>
      <w:marLeft w:val="0"/>
      <w:marRight w:val="0"/>
      <w:marTop w:val="0"/>
      <w:marBottom w:val="0"/>
      <w:divBdr>
        <w:top w:val="none" w:sz="0" w:space="0" w:color="auto"/>
        <w:left w:val="none" w:sz="0" w:space="0" w:color="auto"/>
        <w:bottom w:val="none" w:sz="0" w:space="0" w:color="auto"/>
        <w:right w:val="none" w:sz="0" w:space="0" w:color="auto"/>
      </w:divBdr>
    </w:div>
    <w:div w:id="1225414814">
      <w:bodyDiv w:val="1"/>
      <w:marLeft w:val="0"/>
      <w:marRight w:val="0"/>
      <w:marTop w:val="0"/>
      <w:marBottom w:val="0"/>
      <w:divBdr>
        <w:top w:val="none" w:sz="0" w:space="0" w:color="auto"/>
        <w:left w:val="none" w:sz="0" w:space="0" w:color="auto"/>
        <w:bottom w:val="none" w:sz="0" w:space="0" w:color="auto"/>
        <w:right w:val="none" w:sz="0" w:space="0" w:color="auto"/>
      </w:divBdr>
    </w:div>
    <w:div w:id="1225486569">
      <w:bodyDiv w:val="1"/>
      <w:marLeft w:val="0"/>
      <w:marRight w:val="0"/>
      <w:marTop w:val="0"/>
      <w:marBottom w:val="0"/>
      <w:divBdr>
        <w:top w:val="none" w:sz="0" w:space="0" w:color="auto"/>
        <w:left w:val="none" w:sz="0" w:space="0" w:color="auto"/>
        <w:bottom w:val="none" w:sz="0" w:space="0" w:color="auto"/>
        <w:right w:val="none" w:sz="0" w:space="0" w:color="auto"/>
      </w:divBdr>
    </w:div>
    <w:div w:id="1225527850">
      <w:bodyDiv w:val="1"/>
      <w:marLeft w:val="0"/>
      <w:marRight w:val="0"/>
      <w:marTop w:val="0"/>
      <w:marBottom w:val="0"/>
      <w:divBdr>
        <w:top w:val="none" w:sz="0" w:space="0" w:color="auto"/>
        <w:left w:val="none" w:sz="0" w:space="0" w:color="auto"/>
        <w:bottom w:val="none" w:sz="0" w:space="0" w:color="auto"/>
        <w:right w:val="none" w:sz="0" w:space="0" w:color="auto"/>
      </w:divBdr>
    </w:div>
    <w:div w:id="1225531717">
      <w:bodyDiv w:val="1"/>
      <w:marLeft w:val="0"/>
      <w:marRight w:val="0"/>
      <w:marTop w:val="0"/>
      <w:marBottom w:val="0"/>
      <w:divBdr>
        <w:top w:val="none" w:sz="0" w:space="0" w:color="auto"/>
        <w:left w:val="none" w:sz="0" w:space="0" w:color="auto"/>
        <w:bottom w:val="none" w:sz="0" w:space="0" w:color="auto"/>
        <w:right w:val="none" w:sz="0" w:space="0" w:color="auto"/>
      </w:divBdr>
    </w:div>
    <w:div w:id="1225678321">
      <w:bodyDiv w:val="1"/>
      <w:marLeft w:val="0"/>
      <w:marRight w:val="0"/>
      <w:marTop w:val="0"/>
      <w:marBottom w:val="0"/>
      <w:divBdr>
        <w:top w:val="none" w:sz="0" w:space="0" w:color="auto"/>
        <w:left w:val="none" w:sz="0" w:space="0" w:color="auto"/>
        <w:bottom w:val="none" w:sz="0" w:space="0" w:color="auto"/>
        <w:right w:val="none" w:sz="0" w:space="0" w:color="auto"/>
      </w:divBdr>
    </w:div>
    <w:div w:id="1225874974">
      <w:bodyDiv w:val="1"/>
      <w:marLeft w:val="0"/>
      <w:marRight w:val="0"/>
      <w:marTop w:val="0"/>
      <w:marBottom w:val="0"/>
      <w:divBdr>
        <w:top w:val="none" w:sz="0" w:space="0" w:color="auto"/>
        <w:left w:val="none" w:sz="0" w:space="0" w:color="auto"/>
        <w:bottom w:val="none" w:sz="0" w:space="0" w:color="auto"/>
        <w:right w:val="none" w:sz="0" w:space="0" w:color="auto"/>
      </w:divBdr>
    </w:div>
    <w:div w:id="1225947941">
      <w:bodyDiv w:val="1"/>
      <w:marLeft w:val="0"/>
      <w:marRight w:val="0"/>
      <w:marTop w:val="0"/>
      <w:marBottom w:val="0"/>
      <w:divBdr>
        <w:top w:val="none" w:sz="0" w:space="0" w:color="auto"/>
        <w:left w:val="none" w:sz="0" w:space="0" w:color="auto"/>
        <w:bottom w:val="none" w:sz="0" w:space="0" w:color="auto"/>
        <w:right w:val="none" w:sz="0" w:space="0" w:color="auto"/>
      </w:divBdr>
    </w:div>
    <w:div w:id="1225948308">
      <w:bodyDiv w:val="1"/>
      <w:marLeft w:val="0"/>
      <w:marRight w:val="0"/>
      <w:marTop w:val="0"/>
      <w:marBottom w:val="0"/>
      <w:divBdr>
        <w:top w:val="none" w:sz="0" w:space="0" w:color="auto"/>
        <w:left w:val="none" w:sz="0" w:space="0" w:color="auto"/>
        <w:bottom w:val="none" w:sz="0" w:space="0" w:color="auto"/>
        <w:right w:val="none" w:sz="0" w:space="0" w:color="auto"/>
      </w:divBdr>
    </w:div>
    <w:div w:id="1225988355">
      <w:bodyDiv w:val="1"/>
      <w:marLeft w:val="0"/>
      <w:marRight w:val="0"/>
      <w:marTop w:val="0"/>
      <w:marBottom w:val="0"/>
      <w:divBdr>
        <w:top w:val="none" w:sz="0" w:space="0" w:color="auto"/>
        <w:left w:val="none" w:sz="0" w:space="0" w:color="auto"/>
        <w:bottom w:val="none" w:sz="0" w:space="0" w:color="auto"/>
        <w:right w:val="none" w:sz="0" w:space="0" w:color="auto"/>
      </w:divBdr>
    </w:div>
    <w:div w:id="1225993245">
      <w:bodyDiv w:val="1"/>
      <w:marLeft w:val="0"/>
      <w:marRight w:val="0"/>
      <w:marTop w:val="0"/>
      <w:marBottom w:val="0"/>
      <w:divBdr>
        <w:top w:val="none" w:sz="0" w:space="0" w:color="auto"/>
        <w:left w:val="none" w:sz="0" w:space="0" w:color="auto"/>
        <w:bottom w:val="none" w:sz="0" w:space="0" w:color="auto"/>
        <w:right w:val="none" w:sz="0" w:space="0" w:color="auto"/>
      </w:divBdr>
    </w:div>
    <w:div w:id="1226061238">
      <w:bodyDiv w:val="1"/>
      <w:marLeft w:val="0"/>
      <w:marRight w:val="0"/>
      <w:marTop w:val="0"/>
      <w:marBottom w:val="0"/>
      <w:divBdr>
        <w:top w:val="none" w:sz="0" w:space="0" w:color="auto"/>
        <w:left w:val="none" w:sz="0" w:space="0" w:color="auto"/>
        <w:bottom w:val="none" w:sz="0" w:space="0" w:color="auto"/>
        <w:right w:val="none" w:sz="0" w:space="0" w:color="auto"/>
      </w:divBdr>
    </w:div>
    <w:div w:id="1226065270">
      <w:bodyDiv w:val="1"/>
      <w:marLeft w:val="0"/>
      <w:marRight w:val="0"/>
      <w:marTop w:val="0"/>
      <w:marBottom w:val="0"/>
      <w:divBdr>
        <w:top w:val="none" w:sz="0" w:space="0" w:color="auto"/>
        <w:left w:val="none" w:sz="0" w:space="0" w:color="auto"/>
        <w:bottom w:val="none" w:sz="0" w:space="0" w:color="auto"/>
        <w:right w:val="none" w:sz="0" w:space="0" w:color="auto"/>
      </w:divBdr>
    </w:div>
    <w:div w:id="1226113034">
      <w:bodyDiv w:val="1"/>
      <w:marLeft w:val="0"/>
      <w:marRight w:val="0"/>
      <w:marTop w:val="0"/>
      <w:marBottom w:val="0"/>
      <w:divBdr>
        <w:top w:val="none" w:sz="0" w:space="0" w:color="auto"/>
        <w:left w:val="none" w:sz="0" w:space="0" w:color="auto"/>
        <w:bottom w:val="none" w:sz="0" w:space="0" w:color="auto"/>
        <w:right w:val="none" w:sz="0" w:space="0" w:color="auto"/>
      </w:divBdr>
    </w:div>
    <w:div w:id="1226137989">
      <w:bodyDiv w:val="1"/>
      <w:marLeft w:val="0"/>
      <w:marRight w:val="0"/>
      <w:marTop w:val="0"/>
      <w:marBottom w:val="0"/>
      <w:divBdr>
        <w:top w:val="none" w:sz="0" w:space="0" w:color="auto"/>
        <w:left w:val="none" w:sz="0" w:space="0" w:color="auto"/>
        <w:bottom w:val="none" w:sz="0" w:space="0" w:color="auto"/>
        <w:right w:val="none" w:sz="0" w:space="0" w:color="auto"/>
      </w:divBdr>
    </w:div>
    <w:div w:id="1226139289">
      <w:bodyDiv w:val="1"/>
      <w:marLeft w:val="0"/>
      <w:marRight w:val="0"/>
      <w:marTop w:val="0"/>
      <w:marBottom w:val="0"/>
      <w:divBdr>
        <w:top w:val="none" w:sz="0" w:space="0" w:color="auto"/>
        <w:left w:val="none" w:sz="0" w:space="0" w:color="auto"/>
        <w:bottom w:val="none" w:sz="0" w:space="0" w:color="auto"/>
        <w:right w:val="none" w:sz="0" w:space="0" w:color="auto"/>
      </w:divBdr>
    </w:div>
    <w:div w:id="1226142182">
      <w:bodyDiv w:val="1"/>
      <w:marLeft w:val="0"/>
      <w:marRight w:val="0"/>
      <w:marTop w:val="0"/>
      <w:marBottom w:val="0"/>
      <w:divBdr>
        <w:top w:val="none" w:sz="0" w:space="0" w:color="auto"/>
        <w:left w:val="none" w:sz="0" w:space="0" w:color="auto"/>
        <w:bottom w:val="none" w:sz="0" w:space="0" w:color="auto"/>
        <w:right w:val="none" w:sz="0" w:space="0" w:color="auto"/>
      </w:divBdr>
    </w:div>
    <w:div w:id="1226184141">
      <w:bodyDiv w:val="1"/>
      <w:marLeft w:val="0"/>
      <w:marRight w:val="0"/>
      <w:marTop w:val="0"/>
      <w:marBottom w:val="0"/>
      <w:divBdr>
        <w:top w:val="none" w:sz="0" w:space="0" w:color="auto"/>
        <w:left w:val="none" w:sz="0" w:space="0" w:color="auto"/>
        <w:bottom w:val="none" w:sz="0" w:space="0" w:color="auto"/>
        <w:right w:val="none" w:sz="0" w:space="0" w:color="auto"/>
      </w:divBdr>
    </w:div>
    <w:div w:id="1226188627">
      <w:bodyDiv w:val="1"/>
      <w:marLeft w:val="0"/>
      <w:marRight w:val="0"/>
      <w:marTop w:val="0"/>
      <w:marBottom w:val="0"/>
      <w:divBdr>
        <w:top w:val="none" w:sz="0" w:space="0" w:color="auto"/>
        <w:left w:val="none" w:sz="0" w:space="0" w:color="auto"/>
        <w:bottom w:val="none" w:sz="0" w:space="0" w:color="auto"/>
        <w:right w:val="none" w:sz="0" w:space="0" w:color="auto"/>
      </w:divBdr>
    </w:div>
    <w:div w:id="1226261016">
      <w:bodyDiv w:val="1"/>
      <w:marLeft w:val="0"/>
      <w:marRight w:val="0"/>
      <w:marTop w:val="0"/>
      <w:marBottom w:val="0"/>
      <w:divBdr>
        <w:top w:val="none" w:sz="0" w:space="0" w:color="auto"/>
        <w:left w:val="none" w:sz="0" w:space="0" w:color="auto"/>
        <w:bottom w:val="none" w:sz="0" w:space="0" w:color="auto"/>
        <w:right w:val="none" w:sz="0" w:space="0" w:color="auto"/>
      </w:divBdr>
    </w:div>
    <w:div w:id="1226376780">
      <w:bodyDiv w:val="1"/>
      <w:marLeft w:val="0"/>
      <w:marRight w:val="0"/>
      <w:marTop w:val="0"/>
      <w:marBottom w:val="0"/>
      <w:divBdr>
        <w:top w:val="none" w:sz="0" w:space="0" w:color="auto"/>
        <w:left w:val="none" w:sz="0" w:space="0" w:color="auto"/>
        <w:bottom w:val="none" w:sz="0" w:space="0" w:color="auto"/>
        <w:right w:val="none" w:sz="0" w:space="0" w:color="auto"/>
      </w:divBdr>
    </w:div>
    <w:div w:id="1226407601">
      <w:bodyDiv w:val="1"/>
      <w:marLeft w:val="0"/>
      <w:marRight w:val="0"/>
      <w:marTop w:val="0"/>
      <w:marBottom w:val="0"/>
      <w:divBdr>
        <w:top w:val="none" w:sz="0" w:space="0" w:color="auto"/>
        <w:left w:val="none" w:sz="0" w:space="0" w:color="auto"/>
        <w:bottom w:val="none" w:sz="0" w:space="0" w:color="auto"/>
        <w:right w:val="none" w:sz="0" w:space="0" w:color="auto"/>
      </w:divBdr>
    </w:div>
    <w:div w:id="1226454366">
      <w:bodyDiv w:val="1"/>
      <w:marLeft w:val="0"/>
      <w:marRight w:val="0"/>
      <w:marTop w:val="0"/>
      <w:marBottom w:val="0"/>
      <w:divBdr>
        <w:top w:val="none" w:sz="0" w:space="0" w:color="auto"/>
        <w:left w:val="none" w:sz="0" w:space="0" w:color="auto"/>
        <w:bottom w:val="none" w:sz="0" w:space="0" w:color="auto"/>
        <w:right w:val="none" w:sz="0" w:space="0" w:color="auto"/>
      </w:divBdr>
    </w:div>
    <w:div w:id="1226572971">
      <w:bodyDiv w:val="1"/>
      <w:marLeft w:val="0"/>
      <w:marRight w:val="0"/>
      <w:marTop w:val="0"/>
      <w:marBottom w:val="0"/>
      <w:divBdr>
        <w:top w:val="none" w:sz="0" w:space="0" w:color="auto"/>
        <w:left w:val="none" w:sz="0" w:space="0" w:color="auto"/>
        <w:bottom w:val="none" w:sz="0" w:space="0" w:color="auto"/>
        <w:right w:val="none" w:sz="0" w:space="0" w:color="auto"/>
      </w:divBdr>
    </w:div>
    <w:div w:id="1226722182">
      <w:bodyDiv w:val="1"/>
      <w:marLeft w:val="0"/>
      <w:marRight w:val="0"/>
      <w:marTop w:val="0"/>
      <w:marBottom w:val="0"/>
      <w:divBdr>
        <w:top w:val="none" w:sz="0" w:space="0" w:color="auto"/>
        <w:left w:val="none" w:sz="0" w:space="0" w:color="auto"/>
        <w:bottom w:val="none" w:sz="0" w:space="0" w:color="auto"/>
        <w:right w:val="none" w:sz="0" w:space="0" w:color="auto"/>
      </w:divBdr>
    </w:div>
    <w:div w:id="1226768663">
      <w:bodyDiv w:val="1"/>
      <w:marLeft w:val="0"/>
      <w:marRight w:val="0"/>
      <w:marTop w:val="0"/>
      <w:marBottom w:val="0"/>
      <w:divBdr>
        <w:top w:val="none" w:sz="0" w:space="0" w:color="auto"/>
        <w:left w:val="none" w:sz="0" w:space="0" w:color="auto"/>
        <w:bottom w:val="none" w:sz="0" w:space="0" w:color="auto"/>
        <w:right w:val="none" w:sz="0" w:space="0" w:color="auto"/>
      </w:divBdr>
    </w:div>
    <w:div w:id="1226794207">
      <w:bodyDiv w:val="1"/>
      <w:marLeft w:val="0"/>
      <w:marRight w:val="0"/>
      <w:marTop w:val="0"/>
      <w:marBottom w:val="0"/>
      <w:divBdr>
        <w:top w:val="none" w:sz="0" w:space="0" w:color="auto"/>
        <w:left w:val="none" w:sz="0" w:space="0" w:color="auto"/>
        <w:bottom w:val="none" w:sz="0" w:space="0" w:color="auto"/>
        <w:right w:val="none" w:sz="0" w:space="0" w:color="auto"/>
      </w:divBdr>
    </w:div>
    <w:div w:id="1226835854">
      <w:bodyDiv w:val="1"/>
      <w:marLeft w:val="0"/>
      <w:marRight w:val="0"/>
      <w:marTop w:val="0"/>
      <w:marBottom w:val="0"/>
      <w:divBdr>
        <w:top w:val="none" w:sz="0" w:space="0" w:color="auto"/>
        <w:left w:val="none" w:sz="0" w:space="0" w:color="auto"/>
        <w:bottom w:val="none" w:sz="0" w:space="0" w:color="auto"/>
        <w:right w:val="none" w:sz="0" w:space="0" w:color="auto"/>
      </w:divBdr>
    </w:div>
    <w:div w:id="1226841482">
      <w:bodyDiv w:val="1"/>
      <w:marLeft w:val="0"/>
      <w:marRight w:val="0"/>
      <w:marTop w:val="0"/>
      <w:marBottom w:val="0"/>
      <w:divBdr>
        <w:top w:val="none" w:sz="0" w:space="0" w:color="auto"/>
        <w:left w:val="none" w:sz="0" w:space="0" w:color="auto"/>
        <w:bottom w:val="none" w:sz="0" w:space="0" w:color="auto"/>
        <w:right w:val="none" w:sz="0" w:space="0" w:color="auto"/>
      </w:divBdr>
    </w:div>
    <w:div w:id="1226910131">
      <w:bodyDiv w:val="1"/>
      <w:marLeft w:val="0"/>
      <w:marRight w:val="0"/>
      <w:marTop w:val="0"/>
      <w:marBottom w:val="0"/>
      <w:divBdr>
        <w:top w:val="none" w:sz="0" w:space="0" w:color="auto"/>
        <w:left w:val="none" w:sz="0" w:space="0" w:color="auto"/>
        <w:bottom w:val="none" w:sz="0" w:space="0" w:color="auto"/>
        <w:right w:val="none" w:sz="0" w:space="0" w:color="auto"/>
      </w:divBdr>
    </w:div>
    <w:div w:id="1227104295">
      <w:bodyDiv w:val="1"/>
      <w:marLeft w:val="0"/>
      <w:marRight w:val="0"/>
      <w:marTop w:val="0"/>
      <w:marBottom w:val="0"/>
      <w:divBdr>
        <w:top w:val="none" w:sz="0" w:space="0" w:color="auto"/>
        <w:left w:val="none" w:sz="0" w:space="0" w:color="auto"/>
        <w:bottom w:val="none" w:sz="0" w:space="0" w:color="auto"/>
        <w:right w:val="none" w:sz="0" w:space="0" w:color="auto"/>
      </w:divBdr>
    </w:div>
    <w:div w:id="1227106061">
      <w:bodyDiv w:val="1"/>
      <w:marLeft w:val="0"/>
      <w:marRight w:val="0"/>
      <w:marTop w:val="0"/>
      <w:marBottom w:val="0"/>
      <w:divBdr>
        <w:top w:val="none" w:sz="0" w:space="0" w:color="auto"/>
        <w:left w:val="none" w:sz="0" w:space="0" w:color="auto"/>
        <w:bottom w:val="none" w:sz="0" w:space="0" w:color="auto"/>
        <w:right w:val="none" w:sz="0" w:space="0" w:color="auto"/>
      </w:divBdr>
    </w:div>
    <w:div w:id="1227490714">
      <w:bodyDiv w:val="1"/>
      <w:marLeft w:val="0"/>
      <w:marRight w:val="0"/>
      <w:marTop w:val="0"/>
      <w:marBottom w:val="0"/>
      <w:divBdr>
        <w:top w:val="none" w:sz="0" w:space="0" w:color="auto"/>
        <w:left w:val="none" w:sz="0" w:space="0" w:color="auto"/>
        <w:bottom w:val="none" w:sz="0" w:space="0" w:color="auto"/>
        <w:right w:val="none" w:sz="0" w:space="0" w:color="auto"/>
      </w:divBdr>
    </w:div>
    <w:div w:id="1227640339">
      <w:bodyDiv w:val="1"/>
      <w:marLeft w:val="0"/>
      <w:marRight w:val="0"/>
      <w:marTop w:val="0"/>
      <w:marBottom w:val="0"/>
      <w:divBdr>
        <w:top w:val="none" w:sz="0" w:space="0" w:color="auto"/>
        <w:left w:val="none" w:sz="0" w:space="0" w:color="auto"/>
        <w:bottom w:val="none" w:sz="0" w:space="0" w:color="auto"/>
        <w:right w:val="none" w:sz="0" w:space="0" w:color="auto"/>
      </w:divBdr>
    </w:div>
    <w:div w:id="1227642215">
      <w:bodyDiv w:val="1"/>
      <w:marLeft w:val="0"/>
      <w:marRight w:val="0"/>
      <w:marTop w:val="0"/>
      <w:marBottom w:val="0"/>
      <w:divBdr>
        <w:top w:val="none" w:sz="0" w:space="0" w:color="auto"/>
        <w:left w:val="none" w:sz="0" w:space="0" w:color="auto"/>
        <w:bottom w:val="none" w:sz="0" w:space="0" w:color="auto"/>
        <w:right w:val="none" w:sz="0" w:space="0" w:color="auto"/>
      </w:divBdr>
    </w:div>
    <w:div w:id="1227690129">
      <w:bodyDiv w:val="1"/>
      <w:marLeft w:val="0"/>
      <w:marRight w:val="0"/>
      <w:marTop w:val="0"/>
      <w:marBottom w:val="0"/>
      <w:divBdr>
        <w:top w:val="none" w:sz="0" w:space="0" w:color="auto"/>
        <w:left w:val="none" w:sz="0" w:space="0" w:color="auto"/>
        <w:bottom w:val="none" w:sz="0" w:space="0" w:color="auto"/>
        <w:right w:val="none" w:sz="0" w:space="0" w:color="auto"/>
      </w:divBdr>
    </w:div>
    <w:div w:id="1227715737">
      <w:bodyDiv w:val="1"/>
      <w:marLeft w:val="0"/>
      <w:marRight w:val="0"/>
      <w:marTop w:val="0"/>
      <w:marBottom w:val="0"/>
      <w:divBdr>
        <w:top w:val="none" w:sz="0" w:space="0" w:color="auto"/>
        <w:left w:val="none" w:sz="0" w:space="0" w:color="auto"/>
        <w:bottom w:val="none" w:sz="0" w:space="0" w:color="auto"/>
        <w:right w:val="none" w:sz="0" w:space="0" w:color="auto"/>
      </w:divBdr>
    </w:div>
    <w:div w:id="1227763139">
      <w:bodyDiv w:val="1"/>
      <w:marLeft w:val="0"/>
      <w:marRight w:val="0"/>
      <w:marTop w:val="0"/>
      <w:marBottom w:val="0"/>
      <w:divBdr>
        <w:top w:val="none" w:sz="0" w:space="0" w:color="auto"/>
        <w:left w:val="none" w:sz="0" w:space="0" w:color="auto"/>
        <w:bottom w:val="none" w:sz="0" w:space="0" w:color="auto"/>
        <w:right w:val="none" w:sz="0" w:space="0" w:color="auto"/>
      </w:divBdr>
    </w:div>
    <w:div w:id="1227843263">
      <w:bodyDiv w:val="1"/>
      <w:marLeft w:val="0"/>
      <w:marRight w:val="0"/>
      <w:marTop w:val="0"/>
      <w:marBottom w:val="0"/>
      <w:divBdr>
        <w:top w:val="none" w:sz="0" w:space="0" w:color="auto"/>
        <w:left w:val="none" w:sz="0" w:space="0" w:color="auto"/>
        <w:bottom w:val="none" w:sz="0" w:space="0" w:color="auto"/>
        <w:right w:val="none" w:sz="0" w:space="0" w:color="auto"/>
      </w:divBdr>
    </w:div>
    <w:div w:id="1227911628">
      <w:bodyDiv w:val="1"/>
      <w:marLeft w:val="0"/>
      <w:marRight w:val="0"/>
      <w:marTop w:val="0"/>
      <w:marBottom w:val="0"/>
      <w:divBdr>
        <w:top w:val="none" w:sz="0" w:space="0" w:color="auto"/>
        <w:left w:val="none" w:sz="0" w:space="0" w:color="auto"/>
        <w:bottom w:val="none" w:sz="0" w:space="0" w:color="auto"/>
        <w:right w:val="none" w:sz="0" w:space="0" w:color="auto"/>
      </w:divBdr>
    </w:div>
    <w:div w:id="1227952245">
      <w:bodyDiv w:val="1"/>
      <w:marLeft w:val="0"/>
      <w:marRight w:val="0"/>
      <w:marTop w:val="0"/>
      <w:marBottom w:val="0"/>
      <w:divBdr>
        <w:top w:val="none" w:sz="0" w:space="0" w:color="auto"/>
        <w:left w:val="none" w:sz="0" w:space="0" w:color="auto"/>
        <w:bottom w:val="none" w:sz="0" w:space="0" w:color="auto"/>
        <w:right w:val="none" w:sz="0" w:space="0" w:color="auto"/>
      </w:divBdr>
    </w:div>
    <w:div w:id="1227953728">
      <w:bodyDiv w:val="1"/>
      <w:marLeft w:val="0"/>
      <w:marRight w:val="0"/>
      <w:marTop w:val="0"/>
      <w:marBottom w:val="0"/>
      <w:divBdr>
        <w:top w:val="none" w:sz="0" w:space="0" w:color="auto"/>
        <w:left w:val="none" w:sz="0" w:space="0" w:color="auto"/>
        <w:bottom w:val="none" w:sz="0" w:space="0" w:color="auto"/>
        <w:right w:val="none" w:sz="0" w:space="0" w:color="auto"/>
      </w:divBdr>
    </w:div>
    <w:div w:id="1227956160">
      <w:bodyDiv w:val="1"/>
      <w:marLeft w:val="0"/>
      <w:marRight w:val="0"/>
      <w:marTop w:val="0"/>
      <w:marBottom w:val="0"/>
      <w:divBdr>
        <w:top w:val="none" w:sz="0" w:space="0" w:color="auto"/>
        <w:left w:val="none" w:sz="0" w:space="0" w:color="auto"/>
        <w:bottom w:val="none" w:sz="0" w:space="0" w:color="auto"/>
        <w:right w:val="none" w:sz="0" w:space="0" w:color="auto"/>
      </w:divBdr>
    </w:div>
    <w:div w:id="1228033180">
      <w:bodyDiv w:val="1"/>
      <w:marLeft w:val="0"/>
      <w:marRight w:val="0"/>
      <w:marTop w:val="0"/>
      <w:marBottom w:val="0"/>
      <w:divBdr>
        <w:top w:val="none" w:sz="0" w:space="0" w:color="auto"/>
        <w:left w:val="none" w:sz="0" w:space="0" w:color="auto"/>
        <w:bottom w:val="none" w:sz="0" w:space="0" w:color="auto"/>
        <w:right w:val="none" w:sz="0" w:space="0" w:color="auto"/>
      </w:divBdr>
    </w:div>
    <w:div w:id="1228036433">
      <w:bodyDiv w:val="1"/>
      <w:marLeft w:val="0"/>
      <w:marRight w:val="0"/>
      <w:marTop w:val="0"/>
      <w:marBottom w:val="0"/>
      <w:divBdr>
        <w:top w:val="none" w:sz="0" w:space="0" w:color="auto"/>
        <w:left w:val="none" w:sz="0" w:space="0" w:color="auto"/>
        <w:bottom w:val="none" w:sz="0" w:space="0" w:color="auto"/>
        <w:right w:val="none" w:sz="0" w:space="0" w:color="auto"/>
      </w:divBdr>
    </w:div>
    <w:div w:id="1228036631">
      <w:bodyDiv w:val="1"/>
      <w:marLeft w:val="0"/>
      <w:marRight w:val="0"/>
      <w:marTop w:val="0"/>
      <w:marBottom w:val="0"/>
      <w:divBdr>
        <w:top w:val="none" w:sz="0" w:space="0" w:color="auto"/>
        <w:left w:val="none" w:sz="0" w:space="0" w:color="auto"/>
        <w:bottom w:val="none" w:sz="0" w:space="0" w:color="auto"/>
        <w:right w:val="none" w:sz="0" w:space="0" w:color="auto"/>
      </w:divBdr>
    </w:div>
    <w:div w:id="1228226049">
      <w:bodyDiv w:val="1"/>
      <w:marLeft w:val="0"/>
      <w:marRight w:val="0"/>
      <w:marTop w:val="0"/>
      <w:marBottom w:val="0"/>
      <w:divBdr>
        <w:top w:val="none" w:sz="0" w:space="0" w:color="auto"/>
        <w:left w:val="none" w:sz="0" w:space="0" w:color="auto"/>
        <w:bottom w:val="none" w:sz="0" w:space="0" w:color="auto"/>
        <w:right w:val="none" w:sz="0" w:space="0" w:color="auto"/>
      </w:divBdr>
    </w:div>
    <w:div w:id="1228299919">
      <w:bodyDiv w:val="1"/>
      <w:marLeft w:val="0"/>
      <w:marRight w:val="0"/>
      <w:marTop w:val="0"/>
      <w:marBottom w:val="0"/>
      <w:divBdr>
        <w:top w:val="none" w:sz="0" w:space="0" w:color="auto"/>
        <w:left w:val="none" w:sz="0" w:space="0" w:color="auto"/>
        <w:bottom w:val="none" w:sz="0" w:space="0" w:color="auto"/>
        <w:right w:val="none" w:sz="0" w:space="0" w:color="auto"/>
      </w:divBdr>
    </w:div>
    <w:div w:id="1228343999">
      <w:bodyDiv w:val="1"/>
      <w:marLeft w:val="0"/>
      <w:marRight w:val="0"/>
      <w:marTop w:val="0"/>
      <w:marBottom w:val="0"/>
      <w:divBdr>
        <w:top w:val="none" w:sz="0" w:space="0" w:color="auto"/>
        <w:left w:val="none" w:sz="0" w:space="0" w:color="auto"/>
        <w:bottom w:val="none" w:sz="0" w:space="0" w:color="auto"/>
        <w:right w:val="none" w:sz="0" w:space="0" w:color="auto"/>
      </w:divBdr>
    </w:div>
    <w:div w:id="1228422049">
      <w:bodyDiv w:val="1"/>
      <w:marLeft w:val="0"/>
      <w:marRight w:val="0"/>
      <w:marTop w:val="0"/>
      <w:marBottom w:val="0"/>
      <w:divBdr>
        <w:top w:val="none" w:sz="0" w:space="0" w:color="auto"/>
        <w:left w:val="none" w:sz="0" w:space="0" w:color="auto"/>
        <w:bottom w:val="none" w:sz="0" w:space="0" w:color="auto"/>
        <w:right w:val="none" w:sz="0" w:space="0" w:color="auto"/>
      </w:divBdr>
    </w:div>
    <w:div w:id="1228422268">
      <w:bodyDiv w:val="1"/>
      <w:marLeft w:val="0"/>
      <w:marRight w:val="0"/>
      <w:marTop w:val="0"/>
      <w:marBottom w:val="0"/>
      <w:divBdr>
        <w:top w:val="none" w:sz="0" w:space="0" w:color="auto"/>
        <w:left w:val="none" w:sz="0" w:space="0" w:color="auto"/>
        <w:bottom w:val="none" w:sz="0" w:space="0" w:color="auto"/>
        <w:right w:val="none" w:sz="0" w:space="0" w:color="auto"/>
      </w:divBdr>
    </w:div>
    <w:div w:id="1228495145">
      <w:bodyDiv w:val="1"/>
      <w:marLeft w:val="0"/>
      <w:marRight w:val="0"/>
      <w:marTop w:val="0"/>
      <w:marBottom w:val="0"/>
      <w:divBdr>
        <w:top w:val="none" w:sz="0" w:space="0" w:color="auto"/>
        <w:left w:val="none" w:sz="0" w:space="0" w:color="auto"/>
        <w:bottom w:val="none" w:sz="0" w:space="0" w:color="auto"/>
        <w:right w:val="none" w:sz="0" w:space="0" w:color="auto"/>
      </w:divBdr>
    </w:div>
    <w:div w:id="1228760986">
      <w:bodyDiv w:val="1"/>
      <w:marLeft w:val="0"/>
      <w:marRight w:val="0"/>
      <w:marTop w:val="0"/>
      <w:marBottom w:val="0"/>
      <w:divBdr>
        <w:top w:val="none" w:sz="0" w:space="0" w:color="auto"/>
        <w:left w:val="none" w:sz="0" w:space="0" w:color="auto"/>
        <w:bottom w:val="none" w:sz="0" w:space="0" w:color="auto"/>
        <w:right w:val="none" w:sz="0" w:space="0" w:color="auto"/>
      </w:divBdr>
    </w:div>
    <w:div w:id="1228880530">
      <w:bodyDiv w:val="1"/>
      <w:marLeft w:val="0"/>
      <w:marRight w:val="0"/>
      <w:marTop w:val="0"/>
      <w:marBottom w:val="0"/>
      <w:divBdr>
        <w:top w:val="none" w:sz="0" w:space="0" w:color="auto"/>
        <w:left w:val="none" w:sz="0" w:space="0" w:color="auto"/>
        <w:bottom w:val="none" w:sz="0" w:space="0" w:color="auto"/>
        <w:right w:val="none" w:sz="0" w:space="0" w:color="auto"/>
      </w:divBdr>
    </w:div>
    <w:div w:id="1228996907">
      <w:bodyDiv w:val="1"/>
      <w:marLeft w:val="0"/>
      <w:marRight w:val="0"/>
      <w:marTop w:val="0"/>
      <w:marBottom w:val="0"/>
      <w:divBdr>
        <w:top w:val="none" w:sz="0" w:space="0" w:color="auto"/>
        <w:left w:val="none" w:sz="0" w:space="0" w:color="auto"/>
        <w:bottom w:val="none" w:sz="0" w:space="0" w:color="auto"/>
        <w:right w:val="none" w:sz="0" w:space="0" w:color="auto"/>
      </w:divBdr>
    </w:div>
    <w:div w:id="1229151816">
      <w:bodyDiv w:val="1"/>
      <w:marLeft w:val="0"/>
      <w:marRight w:val="0"/>
      <w:marTop w:val="0"/>
      <w:marBottom w:val="0"/>
      <w:divBdr>
        <w:top w:val="none" w:sz="0" w:space="0" w:color="auto"/>
        <w:left w:val="none" w:sz="0" w:space="0" w:color="auto"/>
        <w:bottom w:val="none" w:sz="0" w:space="0" w:color="auto"/>
        <w:right w:val="none" w:sz="0" w:space="0" w:color="auto"/>
      </w:divBdr>
    </w:div>
    <w:div w:id="1229343433">
      <w:bodyDiv w:val="1"/>
      <w:marLeft w:val="0"/>
      <w:marRight w:val="0"/>
      <w:marTop w:val="0"/>
      <w:marBottom w:val="0"/>
      <w:divBdr>
        <w:top w:val="none" w:sz="0" w:space="0" w:color="auto"/>
        <w:left w:val="none" w:sz="0" w:space="0" w:color="auto"/>
        <w:bottom w:val="none" w:sz="0" w:space="0" w:color="auto"/>
        <w:right w:val="none" w:sz="0" w:space="0" w:color="auto"/>
      </w:divBdr>
    </w:div>
    <w:div w:id="1229465123">
      <w:bodyDiv w:val="1"/>
      <w:marLeft w:val="0"/>
      <w:marRight w:val="0"/>
      <w:marTop w:val="0"/>
      <w:marBottom w:val="0"/>
      <w:divBdr>
        <w:top w:val="none" w:sz="0" w:space="0" w:color="auto"/>
        <w:left w:val="none" w:sz="0" w:space="0" w:color="auto"/>
        <w:bottom w:val="none" w:sz="0" w:space="0" w:color="auto"/>
        <w:right w:val="none" w:sz="0" w:space="0" w:color="auto"/>
      </w:divBdr>
    </w:div>
    <w:div w:id="1229530858">
      <w:bodyDiv w:val="1"/>
      <w:marLeft w:val="0"/>
      <w:marRight w:val="0"/>
      <w:marTop w:val="0"/>
      <w:marBottom w:val="0"/>
      <w:divBdr>
        <w:top w:val="none" w:sz="0" w:space="0" w:color="auto"/>
        <w:left w:val="none" w:sz="0" w:space="0" w:color="auto"/>
        <w:bottom w:val="none" w:sz="0" w:space="0" w:color="auto"/>
        <w:right w:val="none" w:sz="0" w:space="0" w:color="auto"/>
      </w:divBdr>
    </w:div>
    <w:div w:id="1229539110">
      <w:bodyDiv w:val="1"/>
      <w:marLeft w:val="0"/>
      <w:marRight w:val="0"/>
      <w:marTop w:val="0"/>
      <w:marBottom w:val="0"/>
      <w:divBdr>
        <w:top w:val="none" w:sz="0" w:space="0" w:color="auto"/>
        <w:left w:val="none" w:sz="0" w:space="0" w:color="auto"/>
        <w:bottom w:val="none" w:sz="0" w:space="0" w:color="auto"/>
        <w:right w:val="none" w:sz="0" w:space="0" w:color="auto"/>
      </w:divBdr>
    </w:div>
    <w:div w:id="1229609866">
      <w:bodyDiv w:val="1"/>
      <w:marLeft w:val="0"/>
      <w:marRight w:val="0"/>
      <w:marTop w:val="0"/>
      <w:marBottom w:val="0"/>
      <w:divBdr>
        <w:top w:val="none" w:sz="0" w:space="0" w:color="auto"/>
        <w:left w:val="none" w:sz="0" w:space="0" w:color="auto"/>
        <w:bottom w:val="none" w:sz="0" w:space="0" w:color="auto"/>
        <w:right w:val="none" w:sz="0" w:space="0" w:color="auto"/>
      </w:divBdr>
    </w:div>
    <w:div w:id="1229878563">
      <w:bodyDiv w:val="1"/>
      <w:marLeft w:val="0"/>
      <w:marRight w:val="0"/>
      <w:marTop w:val="0"/>
      <w:marBottom w:val="0"/>
      <w:divBdr>
        <w:top w:val="none" w:sz="0" w:space="0" w:color="auto"/>
        <w:left w:val="none" w:sz="0" w:space="0" w:color="auto"/>
        <w:bottom w:val="none" w:sz="0" w:space="0" w:color="auto"/>
        <w:right w:val="none" w:sz="0" w:space="0" w:color="auto"/>
      </w:divBdr>
    </w:div>
    <w:div w:id="1229923636">
      <w:bodyDiv w:val="1"/>
      <w:marLeft w:val="0"/>
      <w:marRight w:val="0"/>
      <w:marTop w:val="0"/>
      <w:marBottom w:val="0"/>
      <w:divBdr>
        <w:top w:val="none" w:sz="0" w:space="0" w:color="auto"/>
        <w:left w:val="none" w:sz="0" w:space="0" w:color="auto"/>
        <w:bottom w:val="none" w:sz="0" w:space="0" w:color="auto"/>
        <w:right w:val="none" w:sz="0" w:space="0" w:color="auto"/>
      </w:divBdr>
    </w:div>
    <w:div w:id="1230118982">
      <w:bodyDiv w:val="1"/>
      <w:marLeft w:val="0"/>
      <w:marRight w:val="0"/>
      <w:marTop w:val="0"/>
      <w:marBottom w:val="0"/>
      <w:divBdr>
        <w:top w:val="none" w:sz="0" w:space="0" w:color="auto"/>
        <w:left w:val="none" w:sz="0" w:space="0" w:color="auto"/>
        <w:bottom w:val="none" w:sz="0" w:space="0" w:color="auto"/>
        <w:right w:val="none" w:sz="0" w:space="0" w:color="auto"/>
      </w:divBdr>
    </w:div>
    <w:div w:id="1230265245">
      <w:bodyDiv w:val="1"/>
      <w:marLeft w:val="0"/>
      <w:marRight w:val="0"/>
      <w:marTop w:val="0"/>
      <w:marBottom w:val="0"/>
      <w:divBdr>
        <w:top w:val="none" w:sz="0" w:space="0" w:color="auto"/>
        <w:left w:val="none" w:sz="0" w:space="0" w:color="auto"/>
        <w:bottom w:val="none" w:sz="0" w:space="0" w:color="auto"/>
        <w:right w:val="none" w:sz="0" w:space="0" w:color="auto"/>
      </w:divBdr>
    </w:div>
    <w:div w:id="1230308313">
      <w:bodyDiv w:val="1"/>
      <w:marLeft w:val="0"/>
      <w:marRight w:val="0"/>
      <w:marTop w:val="0"/>
      <w:marBottom w:val="0"/>
      <w:divBdr>
        <w:top w:val="none" w:sz="0" w:space="0" w:color="auto"/>
        <w:left w:val="none" w:sz="0" w:space="0" w:color="auto"/>
        <w:bottom w:val="none" w:sz="0" w:space="0" w:color="auto"/>
        <w:right w:val="none" w:sz="0" w:space="0" w:color="auto"/>
      </w:divBdr>
    </w:div>
    <w:div w:id="1230385155">
      <w:bodyDiv w:val="1"/>
      <w:marLeft w:val="0"/>
      <w:marRight w:val="0"/>
      <w:marTop w:val="0"/>
      <w:marBottom w:val="0"/>
      <w:divBdr>
        <w:top w:val="none" w:sz="0" w:space="0" w:color="auto"/>
        <w:left w:val="none" w:sz="0" w:space="0" w:color="auto"/>
        <w:bottom w:val="none" w:sz="0" w:space="0" w:color="auto"/>
        <w:right w:val="none" w:sz="0" w:space="0" w:color="auto"/>
      </w:divBdr>
    </w:div>
    <w:div w:id="1230459031">
      <w:bodyDiv w:val="1"/>
      <w:marLeft w:val="0"/>
      <w:marRight w:val="0"/>
      <w:marTop w:val="0"/>
      <w:marBottom w:val="0"/>
      <w:divBdr>
        <w:top w:val="none" w:sz="0" w:space="0" w:color="auto"/>
        <w:left w:val="none" w:sz="0" w:space="0" w:color="auto"/>
        <w:bottom w:val="none" w:sz="0" w:space="0" w:color="auto"/>
        <w:right w:val="none" w:sz="0" w:space="0" w:color="auto"/>
      </w:divBdr>
    </w:div>
    <w:div w:id="1230460975">
      <w:bodyDiv w:val="1"/>
      <w:marLeft w:val="0"/>
      <w:marRight w:val="0"/>
      <w:marTop w:val="0"/>
      <w:marBottom w:val="0"/>
      <w:divBdr>
        <w:top w:val="none" w:sz="0" w:space="0" w:color="auto"/>
        <w:left w:val="none" w:sz="0" w:space="0" w:color="auto"/>
        <w:bottom w:val="none" w:sz="0" w:space="0" w:color="auto"/>
        <w:right w:val="none" w:sz="0" w:space="0" w:color="auto"/>
      </w:divBdr>
    </w:div>
    <w:div w:id="1230654690">
      <w:bodyDiv w:val="1"/>
      <w:marLeft w:val="0"/>
      <w:marRight w:val="0"/>
      <w:marTop w:val="0"/>
      <w:marBottom w:val="0"/>
      <w:divBdr>
        <w:top w:val="none" w:sz="0" w:space="0" w:color="auto"/>
        <w:left w:val="none" w:sz="0" w:space="0" w:color="auto"/>
        <w:bottom w:val="none" w:sz="0" w:space="0" w:color="auto"/>
        <w:right w:val="none" w:sz="0" w:space="0" w:color="auto"/>
      </w:divBdr>
    </w:div>
    <w:div w:id="1230727146">
      <w:bodyDiv w:val="1"/>
      <w:marLeft w:val="0"/>
      <w:marRight w:val="0"/>
      <w:marTop w:val="0"/>
      <w:marBottom w:val="0"/>
      <w:divBdr>
        <w:top w:val="none" w:sz="0" w:space="0" w:color="auto"/>
        <w:left w:val="none" w:sz="0" w:space="0" w:color="auto"/>
        <w:bottom w:val="none" w:sz="0" w:space="0" w:color="auto"/>
        <w:right w:val="none" w:sz="0" w:space="0" w:color="auto"/>
      </w:divBdr>
    </w:div>
    <w:div w:id="1230843752">
      <w:bodyDiv w:val="1"/>
      <w:marLeft w:val="0"/>
      <w:marRight w:val="0"/>
      <w:marTop w:val="0"/>
      <w:marBottom w:val="0"/>
      <w:divBdr>
        <w:top w:val="none" w:sz="0" w:space="0" w:color="auto"/>
        <w:left w:val="none" w:sz="0" w:space="0" w:color="auto"/>
        <w:bottom w:val="none" w:sz="0" w:space="0" w:color="auto"/>
        <w:right w:val="none" w:sz="0" w:space="0" w:color="auto"/>
      </w:divBdr>
    </w:div>
    <w:div w:id="1230845399">
      <w:bodyDiv w:val="1"/>
      <w:marLeft w:val="0"/>
      <w:marRight w:val="0"/>
      <w:marTop w:val="0"/>
      <w:marBottom w:val="0"/>
      <w:divBdr>
        <w:top w:val="none" w:sz="0" w:space="0" w:color="auto"/>
        <w:left w:val="none" w:sz="0" w:space="0" w:color="auto"/>
        <w:bottom w:val="none" w:sz="0" w:space="0" w:color="auto"/>
        <w:right w:val="none" w:sz="0" w:space="0" w:color="auto"/>
      </w:divBdr>
    </w:div>
    <w:div w:id="1230925540">
      <w:bodyDiv w:val="1"/>
      <w:marLeft w:val="0"/>
      <w:marRight w:val="0"/>
      <w:marTop w:val="0"/>
      <w:marBottom w:val="0"/>
      <w:divBdr>
        <w:top w:val="none" w:sz="0" w:space="0" w:color="auto"/>
        <w:left w:val="none" w:sz="0" w:space="0" w:color="auto"/>
        <w:bottom w:val="none" w:sz="0" w:space="0" w:color="auto"/>
        <w:right w:val="none" w:sz="0" w:space="0" w:color="auto"/>
      </w:divBdr>
    </w:div>
    <w:div w:id="1231161128">
      <w:bodyDiv w:val="1"/>
      <w:marLeft w:val="0"/>
      <w:marRight w:val="0"/>
      <w:marTop w:val="0"/>
      <w:marBottom w:val="0"/>
      <w:divBdr>
        <w:top w:val="none" w:sz="0" w:space="0" w:color="auto"/>
        <w:left w:val="none" w:sz="0" w:space="0" w:color="auto"/>
        <w:bottom w:val="none" w:sz="0" w:space="0" w:color="auto"/>
        <w:right w:val="none" w:sz="0" w:space="0" w:color="auto"/>
      </w:divBdr>
    </w:div>
    <w:div w:id="1231189626">
      <w:bodyDiv w:val="1"/>
      <w:marLeft w:val="0"/>
      <w:marRight w:val="0"/>
      <w:marTop w:val="0"/>
      <w:marBottom w:val="0"/>
      <w:divBdr>
        <w:top w:val="none" w:sz="0" w:space="0" w:color="auto"/>
        <w:left w:val="none" w:sz="0" w:space="0" w:color="auto"/>
        <w:bottom w:val="none" w:sz="0" w:space="0" w:color="auto"/>
        <w:right w:val="none" w:sz="0" w:space="0" w:color="auto"/>
      </w:divBdr>
    </w:div>
    <w:div w:id="1231429763">
      <w:bodyDiv w:val="1"/>
      <w:marLeft w:val="0"/>
      <w:marRight w:val="0"/>
      <w:marTop w:val="0"/>
      <w:marBottom w:val="0"/>
      <w:divBdr>
        <w:top w:val="none" w:sz="0" w:space="0" w:color="auto"/>
        <w:left w:val="none" w:sz="0" w:space="0" w:color="auto"/>
        <w:bottom w:val="none" w:sz="0" w:space="0" w:color="auto"/>
        <w:right w:val="none" w:sz="0" w:space="0" w:color="auto"/>
      </w:divBdr>
    </w:div>
    <w:div w:id="1231502647">
      <w:bodyDiv w:val="1"/>
      <w:marLeft w:val="0"/>
      <w:marRight w:val="0"/>
      <w:marTop w:val="0"/>
      <w:marBottom w:val="0"/>
      <w:divBdr>
        <w:top w:val="none" w:sz="0" w:space="0" w:color="auto"/>
        <w:left w:val="none" w:sz="0" w:space="0" w:color="auto"/>
        <w:bottom w:val="none" w:sz="0" w:space="0" w:color="auto"/>
        <w:right w:val="none" w:sz="0" w:space="0" w:color="auto"/>
      </w:divBdr>
    </w:div>
    <w:div w:id="1231580796">
      <w:bodyDiv w:val="1"/>
      <w:marLeft w:val="0"/>
      <w:marRight w:val="0"/>
      <w:marTop w:val="0"/>
      <w:marBottom w:val="0"/>
      <w:divBdr>
        <w:top w:val="none" w:sz="0" w:space="0" w:color="auto"/>
        <w:left w:val="none" w:sz="0" w:space="0" w:color="auto"/>
        <w:bottom w:val="none" w:sz="0" w:space="0" w:color="auto"/>
        <w:right w:val="none" w:sz="0" w:space="0" w:color="auto"/>
      </w:divBdr>
    </w:div>
    <w:div w:id="1231618122">
      <w:bodyDiv w:val="1"/>
      <w:marLeft w:val="0"/>
      <w:marRight w:val="0"/>
      <w:marTop w:val="0"/>
      <w:marBottom w:val="0"/>
      <w:divBdr>
        <w:top w:val="none" w:sz="0" w:space="0" w:color="auto"/>
        <w:left w:val="none" w:sz="0" w:space="0" w:color="auto"/>
        <w:bottom w:val="none" w:sz="0" w:space="0" w:color="auto"/>
        <w:right w:val="none" w:sz="0" w:space="0" w:color="auto"/>
      </w:divBdr>
    </w:div>
    <w:div w:id="1231624073">
      <w:bodyDiv w:val="1"/>
      <w:marLeft w:val="0"/>
      <w:marRight w:val="0"/>
      <w:marTop w:val="0"/>
      <w:marBottom w:val="0"/>
      <w:divBdr>
        <w:top w:val="none" w:sz="0" w:space="0" w:color="auto"/>
        <w:left w:val="none" w:sz="0" w:space="0" w:color="auto"/>
        <w:bottom w:val="none" w:sz="0" w:space="0" w:color="auto"/>
        <w:right w:val="none" w:sz="0" w:space="0" w:color="auto"/>
      </w:divBdr>
    </w:div>
    <w:div w:id="1231693284">
      <w:bodyDiv w:val="1"/>
      <w:marLeft w:val="0"/>
      <w:marRight w:val="0"/>
      <w:marTop w:val="0"/>
      <w:marBottom w:val="0"/>
      <w:divBdr>
        <w:top w:val="none" w:sz="0" w:space="0" w:color="auto"/>
        <w:left w:val="none" w:sz="0" w:space="0" w:color="auto"/>
        <w:bottom w:val="none" w:sz="0" w:space="0" w:color="auto"/>
        <w:right w:val="none" w:sz="0" w:space="0" w:color="auto"/>
      </w:divBdr>
    </w:div>
    <w:div w:id="1231695088">
      <w:bodyDiv w:val="1"/>
      <w:marLeft w:val="0"/>
      <w:marRight w:val="0"/>
      <w:marTop w:val="0"/>
      <w:marBottom w:val="0"/>
      <w:divBdr>
        <w:top w:val="none" w:sz="0" w:space="0" w:color="auto"/>
        <w:left w:val="none" w:sz="0" w:space="0" w:color="auto"/>
        <w:bottom w:val="none" w:sz="0" w:space="0" w:color="auto"/>
        <w:right w:val="none" w:sz="0" w:space="0" w:color="auto"/>
      </w:divBdr>
    </w:div>
    <w:div w:id="1231697708">
      <w:bodyDiv w:val="1"/>
      <w:marLeft w:val="0"/>
      <w:marRight w:val="0"/>
      <w:marTop w:val="0"/>
      <w:marBottom w:val="0"/>
      <w:divBdr>
        <w:top w:val="none" w:sz="0" w:space="0" w:color="auto"/>
        <w:left w:val="none" w:sz="0" w:space="0" w:color="auto"/>
        <w:bottom w:val="none" w:sz="0" w:space="0" w:color="auto"/>
        <w:right w:val="none" w:sz="0" w:space="0" w:color="auto"/>
      </w:divBdr>
    </w:div>
    <w:div w:id="1231770735">
      <w:bodyDiv w:val="1"/>
      <w:marLeft w:val="0"/>
      <w:marRight w:val="0"/>
      <w:marTop w:val="0"/>
      <w:marBottom w:val="0"/>
      <w:divBdr>
        <w:top w:val="none" w:sz="0" w:space="0" w:color="auto"/>
        <w:left w:val="none" w:sz="0" w:space="0" w:color="auto"/>
        <w:bottom w:val="none" w:sz="0" w:space="0" w:color="auto"/>
        <w:right w:val="none" w:sz="0" w:space="0" w:color="auto"/>
      </w:divBdr>
    </w:div>
    <w:div w:id="1231845263">
      <w:bodyDiv w:val="1"/>
      <w:marLeft w:val="0"/>
      <w:marRight w:val="0"/>
      <w:marTop w:val="0"/>
      <w:marBottom w:val="0"/>
      <w:divBdr>
        <w:top w:val="none" w:sz="0" w:space="0" w:color="auto"/>
        <w:left w:val="none" w:sz="0" w:space="0" w:color="auto"/>
        <w:bottom w:val="none" w:sz="0" w:space="0" w:color="auto"/>
        <w:right w:val="none" w:sz="0" w:space="0" w:color="auto"/>
      </w:divBdr>
    </w:div>
    <w:div w:id="1231892303">
      <w:bodyDiv w:val="1"/>
      <w:marLeft w:val="0"/>
      <w:marRight w:val="0"/>
      <w:marTop w:val="0"/>
      <w:marBottom w:val="0"/>
      <w:divBdr>
        <w:top w:val="none" w:sz="0" w:space="0" w:color="auto"/>
        <w:left w:val="none" w:sz="0" w:space="0" w:color="auto"/>
        <w:bottom w:val="none" w:sz="0" w:space="0" w:color="auto"/>
        <w:right w:val="none" w:sz="0" w:space="0" w:color="auto"/>
      </w:divBdr>
    </w:div>
    <w:div w:id="1232036895">
      <w:bodyDiv w:val="1"/>
      <w:marLeft w:val="0"/>
      <w:marRight w:val="0"/>
      <w:marTop w:val="0"/>
      <w:marBottom w:val="0"/>
      <w:divBdr>
        <w:top w:val="none" w:sz="0" w:space="0" w:color="auto"/>
        <w:left w:val="none" w:sz="0" w:space="0" w:color="auto"/>
        <w:bottom w:val="none" w:sz="0" w:space="0" w:color="auto"/>
        <w:right w:val="none" w:sz="0" w:space="0" w:color="auto"/>
      </w:divBdr>
    </w:div>
    <w:div w:id="1232038176">
      <w:bodyDiv w:val="1"/>
      <w:marLeft w:val="0"/>
      <w:marRight w:val="0"/>
      <w:marTop w:val="0"/>
      <w:marBottom w:val="0"/>
      <w:divBdr>
        <w:top w:val="none" w:sz="0" w:space="0" w:color="auto"/>
        <w:left w:val="none" w:sz="0" w:space="0" w:color="auto"/>
        <w:bottom w:val="none" w:sz="0" w:space="0" w:color="auto"/>
        <w:right w:val="none" w:sz="0" w:space="0" w:color="auto"/>
      </w:divBdr>
    </w:div>
    <w:div w:id="1232039689">
      <w:bodyDiv w:val="1"/>
      <w:marLeft w:val="0"/>
      <w:marRight w:val="0"/>
      <w:marTop w:val="0"/>
      <w:marBottom w:val="0"/>
      <w:divBdr>
        <w:top w:val="none" w:sz="0" w:space="0" w:color="auto"/>
        <w:left w:val="none" w:sz="0" w:space="0" w:color="auto"/>
        <w:bottom w:val="none" w:sz="0" w:space="0" w:color="auto"/>
        <w:right w:val="none" w:sz="0" w:space="0" w:color="auto"/>
      </w:divBdr>
    </w:div>
    <w:div w:id="1232042075">
      <w:bodyDiv w:val="1"/>
      <w:marLeft w:val="0"/>
      <w:marRight w:val="0"/>
      <w:marTop w:val="0"/>
      <w:marBottom w:val="0"/>
      <w:divBdr>
        <w:top w:val="none" w:sz="0" w:space="0" w:color="auto"/>
        <w:left w:val="none" w:sz="0" w:space="0" w:color="auto"/>
        <w:bottom w:val="none" w:sz="0" w:space="0" w:color="auto"/>
        <w:right w:val="none" w:sz="0" w:space="0" w:color="auto"/>
      </w:divBdr>
    </w:div>
    <w:div w:id="1232083846">
      <w:bodyDiv w:val="1"/>
      <w:marLeft w:val="0"/>
      <w:marRight w:val="0"/>
      <w:marTop w:val="0"/>
      <w:marBottom w:val="0"/>
      <w:divBdr>
        <w:top w:val="none" w:sz="0" w:space="0" w:color="auto"/>
        <w:left w:val="none" w:sz="0" w:space="0" w:color="auto"/>
        <w:bottom w:val="none" w:sz="0" w:space="0" w:color="auto"/>
        <w:right w:val="none" w:sz="0" w:space="0" w:color="auto"/>
      </w:divBdr>
    </w:div>
    <w:div w:id="1232230179">
      <w:bodyDiv w:val="1"/>
      <w:marLeft w:val="0"/>
      <w:marRight w:val="0"/>
      <w:marTop w:val="0"/>
      <w:marBottom w:val="0"/>
      <w:divBdr>
        <w:top w:val="none" w:sz="0" w:space="0" w:color="auto"/>
        <w:left w:val="none" w:sz="0" w:space="0" w:color="auto"/>
        <w:bottom w:val="none" w:sz="0" w:space="0" w:color="auto"/>
        <w:right w:val="none" w:sz="0" w:space="0" w:color="auto"/>
      </w:divBdr>
    </w:div>
    <w:div w:id="1232275271">
      <w:bodyDiv w:val="1"/>
      <w:marLeft w:val="0"/>
      <w:marRight w:val="0"/>
      <w:marTop w:val="0"/>
      <w:marBottom w:val="0"/>
      <w:divBdr>
        <w:top w:val="none" w:sz="0" w:space="0" w:color="auto"/>
        <w:left w:val="none" w:sz="0" w:space="0" w:color="auto"/>
        <w:bottom w:val="none" w:sz="0" w:space="0" w:color="auto"/>
        <w:right w:val="none" w:sz="0" w:space="0" w:color="auto"/>
      </w:divBdr>
    </w:div>
    <w:div w:id="1232736910">
      <w:bodyDiv w:val="1"/>
      <w:marLeft w:val="0"/>
      <w:marRight w:val="0"/>
      <w:marTop w:val="0"/>
      <w:marBottom w:val="0"/>
      <w:divBdr>
        <w:top w:val="none" w:sz="0" w:space="0" w:color="auto"/>
        <w:left w:val="none" w:sz="0" w:space="0" w:color="auto"/>
        <w:bottom w:val="none" w:sz="0" w:space="0" w:color="auto"/>
        <w:right w:val="none" w:sz="0" w:space="0" w:color="auto"/>
      </w:divBdr>
    </w:div>
    <w:div w:id="1232886819">
      <w:bodyDiv w:val="1"/>
      <w:marLeft w:val="0"/>
      <w:marRight w:val="0"/>
      <w:marTop w:val="0"/>
      <w:marBottom w:val="0"/>
      <w:divBdr>
        <w:top w:val="none" w:sz="0" w:space="0" w:color="auto"/>
        <w:left w:val="none" w:sz="0" w:space="0" w:color="auto"/>
        <w:bottom w:val="none" w:sz="0" w:space="0" w:color="auto"/>
        <w:right w:val="none" w:sz="0" w:space="0" w:color="auto"/>
      </w:divBdr>
    </w:div>
    <w:div w:id="1232890720">
      <w:bodyDiv w:val="1"/>
      <w:marLeft w:val="0"/>
      <w:marRight w:val="0"/>
      <w:marTop w:val="0"/>
      <w:marBottom w:val="0"/>
      <w:divBdr>
        <w:top w:val="none" w:sz="0" w:space="0" w:color="auto"/>
        <w:left w:val="none" w:sz="0" w:space="0" w:color="auto"/>
        <w:bottom w:val="none" w:sz="0" w:space="0" w:color="auto"/>
        <w:right w:val="none" w:sz="0" w:space="0" w:color="auto"/>
      </w:divBdr>
    </w:div>
    <w:div w:id="1232932669">
      <w:bodyDiv w:val="1"/>
      <w:marLeft w:val="0"/>
      <w:marRight w:val="0"/>
      <w:marTop w:val="0"/>
      <w:marBottom w:val="0"/>
      <w:divBdr>
        <w:top w:val="none" w:sz="0" w:space="0" w:color="auto"/>
        <w:left w:val="none" w:sz="0" w:space="0" w:color="auto"/>
        <w:bottom w:val="none" w:sz="0" w:space="0" w:color="auto"/>
        <w:right w:val="none" w:sz="0" w:space="0" w:color="auto"/>
      </w:divBdr>
    </w:div>
    <w:div w:id="1232959719">
      <w:bodyDiv w:val="1"/>
      <w:marLeft w:val="0"/>
      <w:marRight w:val="0"/>
      <w:marTop w:val="0"/>
      <w:marBottom w:val="0"/>
      <w:divBdr>
        <w:top w:val="none" w:sz="0" w:space="0" w:color="auto"/>
        <w:left w:val="none" w:sz="0" w:space="0" w:color="auto"/>
        <w:bottom w:val="none" w:sz="0" w:space="0" w:color="auto"/>
        <w:right w:val="none" w:sz="0" w:space="0" w:color="auto"/>
      </w:divBdr>
    </w:div>
    <w:div w:id="1232959791">
      <w:bodyDiv w:val="1"/>
      <w:marLeft w:val="0"/>
      <w:marRight w:val="0"/>
      <w:marTop w:val="0"/>
      <w:marBottom w:val="0"/>
      <w:divBdr>
        <w:top w:val="none" w:sz="0" w:space="0" w:color="auto"/>
        <w:left w:val="none" w:sz="0" w:space="0" w:color="auto"/>
        <w:bottom w:val="none" w:sz="0" w:space="0" w:color="auto"/>
        <w:right w:val="none" w:sz="0" w:space="0" w:color="auto"/>
      </w:divBdr>
    </w:div>
    <w:div w:id="1232961425">
      <w:bodyDiv w:val="1"/>
      <w:marLeft w:val="0"/>
      <w:marRight w:val="0"/>
      <w:marTop w:val="0"/>
      <w:marBottom w:val="0"/>
      <w:divBdr>
        <w:top w:val="none" w:sz="0" w:space="0" w:color="auto"/>
        <w:left w:val="none" w:sz="0" w:space="0" w:color="auto"/>
        <w:bottom w:val="none" w:sz="0" w:space="0" w:color="auto"/>
        <w:right w:val="none" w:sz="0" w:space="0" w:color="auto"/>
      </w:divBdr>
    </w:div>
    <w:div w:id="1233009333">
      <w:bodyDiv w:val="1"/>
      <w:marLeft w:val="0"/>
      <w:marRight w:val="0"/>
      <w:marTop w:val="0"/>
      <w:marBottom w:val="0"/>
      <w:divBdr>
        <w:top w:val="none" w:sz="0" w:space="0" w:color="auto"/>
        <w:left w:val="none" w:sz="0" w:space="0" w:color="auto"/>
        <w:bottom w:val="none" w:sz="0" w:space="0" w:color="auto"/>
        <w:right w:val="none" w:sz="0" w:space="0" w:color="auto"/>
      </w:divBdr>
    </w:div>
    <w:div w:id="1233272778">
      <w:bodyDiv w:val="1"/>
      <w:marLeft w:val="0"/>
      <w:marRight w:val="0"/>
      <w:marTop w:val="0"/>
      <w:marBottom w:val="0"/>
      <w:divBdr>
        <w:top w:val="none" w:sz="0" w:space="0" w:color="auto"/>
        <w:left w:val="none" w:sz="0" w:space="0" w:color="auto"/>
        <w:bottom w:val="none" w:sz="0" w:space="0" w:color="auto"/>
        <w:right w:val="none" w:sz="0" w:space="0" w:color="auto"/>
      </w:divBdr>
    </w:div>
    <w:div w:id="1233273230">
      <w:bodyDiv w:val="1"/>
      <w:marLeft w:val="0"/>
      <w:marRight w:val="0"/>
      <w:marTop w:val="0"/>
      <w:marBottom w:val="0"/>
      <w:divBdr>
        <w:top w:val="none" w:sz="0" w:space="0" w:color="auto"/>
        <w:left w:val="none" w:sz="0" w:space="0" w:color="auto"/>
        <w:bottom w:val="none" w:sz="0" w:space="0" w:color="auto"/>
        <w:right w:val="none" w:sz="0" w:space="0" w:color="auto"/>
      </w:divBdr>
    </w:div>
    <w:div w:id="1233276481">
      <w:bodyDiv w:val="1"/>
      <w:marLeft w:val="0"/>
      <w:marRight w:val="0"/>
      <w:marTop w:val="0"/>
      <w:marBottom w:val="0"/>
      <w:divBdr>
        <w:top w:val="none" w:sz="0" w:space="0" w:color="auto"/>
        <w:left w:val="none" w:sz="0" w:space="0" w:color="auto"/>
        <w:bottom w:val="none" w:sz="0" w:space="0" w:color="auto"/>
        <w:right w:val="none" w:sz="0" w:space="0" w:color="auto"/>
      </w:divBdr>
    </w:div>
    <w:div w:id="1233345007">
      <w:bodyDiv w:val="1"/>
      <w:marLeft w:val="0"/>
      <w:marRight w:val="0"/>
      <w:marTop w:val="0"/>
      <w:marBottom w:val="0"/>
      <w:divBdr>
        <w:top w:val="none" w:sz="0" w:space="0" w:color="auto"/>
        <w:left w:val="none" w:sz="0" w:space="0" w:color="auto"/>
        <w:bottom w:val="none" w:sz="0" w:space="0" w:color="auto"/>
        <w:right w:val="none" w:sz="0" w:space="0" w:color="auto"/>
      </w:divBdr>
    </w:div>
    <w:div w:id="1233395725">
      <w:bodyDiv w:val="1"/>
      <w:marLeft w:val="0"/>
      <w:marRight w:val="0"/>
      <w:marTop w:val="0"/>
      <w:marBottom w:val="0"/>
      <w:divBdr>
        <w:top w:val="none" w:sz="0" w:space="0" w:color="auto"/>
        <w:left w:val="none" w:sz="0" w:space="0" w:color="auto"/>
        <w:bottom w:val="none" w:sz="0" w:space="0" w:color="auto"/>
        <w:right w:val="none" w:sz="0" w:space="0" w:color="auto"/>
      </w:divBdr>
    </w:div>
    <w:div w:id="1233470136">
      <w:bodyDiv w:val="1"/>
      <w:marLeft w:val="0"/>
      <w:marRight w:val="0"/>
      <w:marTop w:val="0"/>
      <w:marBottom w:val="0"/>
      <w:divBdr>
        <w:top w:val="none" w:sz="0" w:space="0" w:color="auto"/>
        <w:left w:val="none" w:sz="0" w:space="0" w:color="auto"/>
        <w:bottom w:val="none" w:sz="0" w:space="0" w:color="auto"/>
        <w:right w:val="none" w:sz="0" w:space="0" w:color="auto"/>
      </w:divBdr>
    </w:div>
    <w:div w:id="1233471664">
      <w:bodyDiv w:val="1"/>
      <w:marLeft w:val="0"/>
      <w:marRight w:val="0"/>
      <w:marTop w:val="0"/>
      <w:marBottom w:val="0"/>
      <w:divBdr>
        <w:top w:val="none" w:sz="0" w:space="0" w:color="auto"/>
        <w:left w:val="none" w:sz="0" w:space="0" w:color="auto"/>
        <w:bottom w:val="none" w:sz="0" w:space="0" w:color="auto"/>
        <w:right w:val="none" w:sz="0" w:space="0" w:color="auto"/>
      </w:divBdr>
    </w:div>
    <w:div w:id="1233614079">
      <w:bodyDiv w:val="1"/>
      <w:marLeft w:val="0"/>
      <w:marRight w:val="0"/>
      <w:marTop w:val="0"/>
      <w:marBottom w:val="0"/>
      <w:divBdr>
        <w:top w:val="none" w:sz="0" w:space="0" w:color="auto"/>
        <w:left w:val="none" w:sz="0" w:space="0" w:color="auto"/>
        <w:bottom w:val="none" w:sz="0" w:space="0" w:color="auto"/>
        <w:right w:val="none" w:sz="0" w:space="0" w:color="auto"/>
      </w:divBdr>
    </w:div>
    <w:div w:id="1233616886">
      <w:bodyDiv w:val="1"/>
      <w:marLeft w:val="0"/>
      <w:marRight w:val="0"/>
      <w:marTop w:val="0"/>
      <w:marBottom w:val="0"/>
      <w:divBdr>
        <w:top w:val="none" w:sz="0" w:space="0" w:color="auto"/>
        <w:left w:val="none" w:sz="0" w:space="0" w:color="auto"/>
        <w:bottom w:val="none" w:sz="0" w:space="0" w:color="auto"/>
        <w:right w:val="none" w:sz="0" w:space="0" w:color="auto"/>
      </w:divBdr>
    </w:div>
    <w:div w:id="1233660712">
      <w:bodyDiv w:val="1"/>
      <w:marLeft w:val="0"/>
      <w:marRight w:val="0"/>
      <w:marTop w:val="0"/>
      <w:marBottom w:val="0"/>
      <w:divBdr>
        <w:top w:val="none" w:sz="0" w:space="0" w:color="auto"/>
        <w:left w:val="none" w:sz="0" w:space="0" w:color="auto"/>
        <w:bottom w:val="none" w:sz="0" w:space="0" w:color="auto"/>
        <w:right w:val="none" w:sz="0" w:space="0" w:color="auto"/>
      </w:divBdr>
    </w:div>
    <w:div w:id="1233813040">
      <w:bodyDiv w:val="1"/>
      <w:marLeft w:val="0"/>
      <w:marRight w:val="0"/>
      <w:marTop w:val="0"/>
      <w:marBottom w:val="0"/>
      <w:divBdr>
        <w:top w:val="none" w:sz="0" w:space="0" w:color="auto"/>
        <w:left w:val="none" w:sz="0" w:space="0" w:color="auto"/>
        <w:bottom w:val="none" w:sz="0" w:space="0" w:color="auto"/>
        <w:right w:val="none" w:sz="0" w:space="0" w:color="auto"/>
      </w:divBdr>
    </w:div>
    <w:div w:id="1233813226">
      <w:bodyDiv w:val="1"/>
      <w:marLeft w:val="0"/>
      <w:marRight w:val="0"/>
      <w:marTop w:val="0"/>
      <w:marBottom w:val="0"/>
      <w:divBdr>
        <w:top w:val="none" w:sz="0" w:space="0" w:color="auto"/>
        <w:left w:val="none" w:sz="0" w:space="0" w:color="auto"/>
        <w:bottom w:val="none" w:sz="0" w:space="0" w:color="auto"/>
        <w:right w:val="none" w:sz="0" w:space="0" w:color="auto"/>
      </w:divBdr>
    </w:div>
    <w:div w:id="1233929460">
      <w:bodyDiv w:val="1"/>
      <w:marLeft w:val="0"/>
      <w:marRight w:val="0"/>
      <w:marTop w:val="0"/>
      <w:marBottom w:val="0"/>
      <w:divBdr>
        <w:top w:val="none" w:sz="0" w:space="0" w:color="auto"/>
        <w:left w:val="none" w:sz="0" w:space="0" w:color="auto"/>
        <w:bottom w:val="none" w:sz="0" w:space="0" w:color="auto"/>
        <w:right w:val="none" w:sz="0" w:space="0" w:color="auto"/>
      </w:divBdr>
    </w:div>
    <w:div w:id="1234118075">
      <w:bodyDiv w:val="1"/>
      <w:marLeft w:val="0"/>
      <w:marRight w:val="0"/>
      <w:marTop w:val="0"/>
      <w:marBottom w:val="0"/>
      <w:divBdr>
        <w:top w:val="none" w:sz="0" w:space="0" w:color="auto"/>
        <w:left w:val="none" w:sz="0" w:space="0" w:color="auto"/>
        <w:bottom w:val="none" w:sz="0" w:space="0" w:color="auto"/>
        <w:right w:val="none" w:sz="0" w:space="0" w:color="auto"/>
      </w:divBdr>
    </w:div>
    <w:div w:id="1234202433">
      <w:bodyDiv w:val="1"/>
      <w:marLeft w:val="0"/>
      <w:marRight w:val="0"/>
      <w:marTop w:val="0"/>
      <w:marBottom w:val="0"/>
      <w:divBdr>
        <w:top w:val="none" w:sz="0" w:space="0" w:color="auto"/>
        <w:left w:val="none" w:sz="0" w:space="0" w:color="auto"/>
        <w:bottom w:val="none" w:sz="0" w:space="0" w:color="auto"/>
        <w:right w:val="none" w:sz="0" w:space="0" w:color="auto"/>
      </w:divBdr>
    </w:div>
    <w:div w:id="1234241824">
      <w:bodyDiv w:val="1"/>
      <w:marLeft w:val="0"/>
      <w:marRight w:val="0"/>
      <w:marTop w:val="0"/>
      <w:marBottom w:val="0"/>
      <w:divBdr>
        <w:top w:val="none" w:sz="0" w:space="0" w:color="auto"/>
        <w:left w:val="none" w:sz="0" w:space="0" w:color="auto"/>
        <w:bottom w:val="none" w:sz="0" w:space="0" w:color="auto"/>
        <w:right w:val="none" w:sz="0" w:space="0" w:color="auto"/>
      </w:divBdr>
    </w:div>
    <w:div w:id="1234244402">
      <w:bodyDiv w:val="1"/>
      <w:marLeft w:val="0"/>
      <w:marRight w:val="0"/>
      <w:marTop w:val="0"/>
      <w:marBottom w:val="0"/>
      <w:divBdr>
        <w:top w:val="none" w:sz="0" w:space="0" w:color="auto"/>
        <w:left w:val="none" w:sz="0" w:space="0" w:color="auto"/>
        <w:bottom w:val="none" w:sz="0" w:space="0" w:color="auto"/>
        <w:right w:val="none" w:sz="0" w:space="0" w:color="auto"/>
      </w:divBdr>
    </w:div>
    <w:div w:id="1234311188">
      <w:bodyDiv w:val="1"/>
      <w:marLeft w:val="0"/>
      <w:marRight w:val="0"/>
      <w:marTop w:val="0"/>
      <w:marBottom w:val="0"/>
      <w:divBdr>
        <w:top w:val="none" w:sz="0" w:space="0" w:color="auto"/>
        <w:left w:val="none" w:sz="0" w:space="0" w:color="auto"/>
        <w:bottom w:val="none" w:sz="0" w:space="0" w:color="auto"/>
        <w:right w:val="none" w:sz="0" w:space="0" w:color="auto"/>
      </w:divBdr>
    </w:div>
    <w:div w:id="1234312024">
      <w:bodyDiv w:val="1"/>
      <w:marLeft w:val="0"/>
      <w:marRight w:val="0"/>
      <w:marTop w:val="0"/>
      <w:marBottom w:val="0"/>
      <w:divBdr>
        <w:top w:val="none" w:sz="0" w:space="0" w:color="auto"/>
        <w:left w:val="none" w:sz="0" w:space="0" w:color="auto"/>
        <w:bottom w:val="none" w:sz="0" w:space="0" w:color="auto"/>
        <w:right w:val="none" w:sz="0" w:space="0" w:color="auto"/>
      </w:divBdr>
    </w:div>
    <w:div w:id="1234391655">
      <w:bodyDiv w:val="1"/>
      <w:marLeft w:val="0"/>
      <w:marRight w:val="0"/>
      <w:marTop w:val="0"/>
      <w:marBottom w:val="0"/>
      <w:divBdr>
        <w:top w:val="none" w:sz="0" w:space="0" w:color="auto"/>
        <w:left w:val="none" w:sz="0" w:space="0" w:color="auto"/>
        <w:bottom w:val="none" w:sz="0" w:space="0" w:color="auto"/>
        <w:right w:val="none" w:sz="0" w:space="0" w:color="auto"/>
      </w:divBdr>
    </w:div>
    <w:div w:id="1234506406">
      <w:bodyDiv w:val="1"/>
      <w:marLeft w:val="0"/>
      <w:marRight w:val="0"/>
      <w:marTop w:val="0"/>
      <w:marBottom w:val="0"/>
      <w:divBdr>
        <w:top w:val="none" w:sz="0" w:space="0" w:color="auto"/>
        <w:left w:val="none" w:sz="0" w:space="0" w:color="auto"/>
        <w:bottom w:val="none" w:sz="0" w:space="0" w:color="auto"/>
        <w:right w:val="none" w:sz="0" w:space="0" w:color="auto"/>
      </w:divBdr>
    </w:div>
    <w:div w:id="1234506724">
      <w:bodyDiv w:val="1"/>
      <w:marLeft w:val="0"/>
      <w:marRight w:val="0"/>
      <w:marTop w:val="0"/>
      <w:marBottom w:val="0"/>
      <w:divBdr>
        <w:top w:val="none" w:sz="0" w:space="0" w:color="auto"/>
        <w:left w:val="none" w:sz="0" w:space="0" w:color="auto"/>
        <w:bottom w:val="none" w:sz="0" w:space="0" w:color="auto"/>
        <w:right w:val="none" w:sz="0" w:space="0" w:color="auto"/>
      </w:divBdr>
    </w:div>
    <w:div w:id="1234588440">
      <w:bodyDiv w:val="1"/>
      <w:marLeft w:val="0"/>
      <w:marRight w:val="0"/>
      <w:marTop w:val="0"/>
      <w:marBottom w:val="0"/>
      <w:divBdr>
        <w:top w:val="none" w:sz="0" w:space="0" w:color="auto"/>
        <w:left w:val="none" w:sz="0" w:space="0" w:color="auto"/>
        <w:bottom w:val="none" w:sz="0" w:space="0" w:color="auto"/>
        <w:right w:val="none" w:sz="0" w:space="0" w:color="auto"/>
      </w:divBdr>
    </w:div>
    <w:div w:id="1234703534">
      <w:bodyDiv w:val="1"/>
      <w:marLeft w:val="0"/>
      <w:marRight w:val="0"/>
      <w:marTop w:val="0"/>
      <w:marBottom w:val="0"/>
      <w:divBdr>
        <w:top w:val="none" w:sz="0" w:space="0" w:color="auto"/>
        <w:left w:val="none" w:sz="0" w:space="0" w:color="auto"/>
        <w:bottom w:val="none" w:sz="0" w:space="0" w:color="auto"/>
        <w:right w:val="none" w:sz="0" w:space="0" w:color="auto"/>
      </w:divBdr>
    </w:div>
    <w:div w:id="1234848738">
      <w:bodyDiv w:val="1"/>
      <w:marLeft w:val="0"/>
      <w:marRight w:val="0"/>
      <w:marTop w:val="0"/>
      <w:marBottom w:val="0"/>
      <w:divBdr>
        <w:top w:val="none" w:sz="0" w:space="0" w:color="auto"/>
        <w:left w:val="none" w:sz="0" w:space="0" w:color="auto"/>
        <w:bottom w:val="none" w:sz="0" w:space="0" w:color="auto"/>
        <w:right w:val="none" w:sz="0" w:space="0" w:color="auto"/>
      </w:divBdr>
    </w:div>
    <w:div w:id="1234848912">
      <w:bodyDiv w:val="1"/>
      <w:marLeft w:val="0"/>
      <w:marRight w:val="0"/>
      <w:marTop w:val="0"/>
      <w:marBottom w:val="0"/>
      <w:divBdr>
        <w:top w:val="none" w:sz="0" w:space="0" w:color="auto"/>
        <w:left w:val="none" w:sz="0" w:space="0" w:color="auto"/>
        <w:bottom w:val="none" w:sz="0" w:space="0" w:color="auto"/>
        <w:right w:val="none" w:sz="0" w:space="0" w:color="auto"/>
      </w:divBdr>
    </w:div>
    <w:div w:id="1234853256">
      <w:bodyDiv w:val="1"/>
      <w:marLeft w:val="0"/>
      <w:marRight w:val="0"/>
      <w:marTop w:val="0"/>
      <w:marBottom w:val="0"/>
      <w:divBdr>
        <w:top w:val="none" w:sz="0" w:space="0" w:color="auto"/>
        <w:left w:val="none" w:sz="0" w:space="0" w:color="auto"/>
        <w:bottom w:val="none" w:sz="0" w:space="0" w:color="auto"/>
        <w:right w:val="none" w:sz="0" w:space="0" w:color="auto"/>
      </w:divBdr>
    </w:div>
    <w:div w:id="1235241600">
      <w:bodyDiv w:val="1"/>
      <w:marLeft w:val="0"/>
      <w:marRight w:val="0"/>
      <w:marTop w:val="0"/>
      <w:marBottom w:val="0"/>
      <w:divBdr>
        <w:top w:val="none" w:sz="0" w:space="0" w:color="auto"/>
        <w:left w:val="none" w:sz="0" w:space="0" w:color="auto"/>
        <w:bottom w:val="none" w:sz="0" w:space="0" w:color="auto"/>
        <w:right w:val="none" w:sz="0" w:space="0" w:color="auto"/>
      </w:divBdr>
    </w:div>
    <w:div w:id="1235314912">
      <w:bodyDiv w:val="1"/>
      <w:marLeft w:val="0"/>
      <w:marRight w:val="0"/>
      <w:marTop w:val="0"/>
      <w:marBottom w:val="0"/>
      <w:divBdr>
        <w:top w:val="none" w:sz="0" w:space="0" w:color="auto"/>
        <w:left w:val="none" w:sz="0" w:space="0" w:color="auto"/>
        <w:bottom w:val="none" w:sz="0" w:space="0" w:color="auto"/>
        <w:right w:val="none" w:sz="0" w:space="0" w:color="auto"/>
      </w:divBdr>
    </w:div>
    <w:div w:id="1235358286">
      <w:bodyDiv w:val="1"/>
      <w:marLeft w:val="0"/>
      <w:marRight w:val="0"/>
      <w:marTop w:val="0"/>
      <w:marBottom w:val="0"/>
      <w:divBdr>
        <w:top w:val="none" w:sz="0" w:space="0" w:color="auto"/>
        <w:left w:val="none" w:sz="0" w:space="0" w:color="auto"/>
        <w:bottom w:val="none" w:sz="0" w:space="0" w:color="auto"/>
        <w:right w:val="none" w:sz="0" w:space="0" w:color="auto"/>
      </w:divBdr>
    </w:div>
    <w:div w:id="1235697504">
      <w:bodyDiv w:val="1"/>
      <w:marLeft w:val="0"/>
      <w:marRight w:val="0"/>
      <w:marTop w:val="0"/>
      <w:marBottom w:val="0"/>
      <w:divBdr>
        <w:top w:val="none" w:sz="0" w:space="0" w:color="auto"/>
        <w:left w:val="none" w:sz="0" w:space="0" w:color="auto"/>
        <w:bottom w:val="none" w:sz="0" w:space="0" w:color="auto"/>
        <w:right w:val="none" w:sz="0" w:space="0" w:color="auto"/>
      </w:divBdr>
    </w:div>
    <w:div w:id="1235698249">
      <w:bodyDiv w:val="1"/>
      <w:marLeft w:val="0"/>
      <w:marRight w:val="0"/>
      <w:marTop w:val="0"/>
      <w:marBottom w:val="0"/>
      <w:divBdr>
        <w:top w:val="none" w:sz="0" w:space="0" w:color="auto"/>
        <w:left w:val="none" w:sz="0" w:space="0" w:color="auto"/>
        <w:bottom w:val="none" w:sz="0" w:space="0" w:color="auto"/>
        <w:right w:val="none" w:sz="0" w:space="0" w:color="auto"/>
      </w:divBdr>
    </w:div>
    <w:div w:id="1235705503">
      <w:bodyDiv w:val="1"/>
      <w:marLeft w:val="0"/>
      <w:marRight w:val="0"/>
      <w:marTop w:val="0"/>
      <w:marBottom w:val="0"/>
      <w:divBdr>
        <w:top w:val="none" w:sz="0" w:space="0" w:color="auto"/>
        <w:left w:val="none" w:sz="0" w:space="0" w:color="auto"/>
        <w:bottom w:val="none" w:sz="0" w:space="0" w:color="auto"/>
        <w:right w:val="none" w:sz="0" w:space="0" w:color="auto"/>
      </w:divBdr>
    </w:div>
    <w:div w:id="1235705630">
      <w:bodyDiv w:val="1"/>
      <w:marLeft w:val="0"/>
      <w:marRight w:val="0"/>
      <w:marTop w:val="0"/>
      <w:marBottom w:val="0"/>
      <w:divBdr>
        <w:top w:val="none" w:sz="0" w:space="0" w:color="auto"/>
        <w:left w:val="none" w:sz="0" w:space="0" w:color="auto"/>
        <w:bottom w:val="none" w:sz="0" w:space="0" w:color="auto"/>
        <w:right w:val="none" w:sz="0" w:space="0" w:color="auto"/>
      </w:divBdr>
    </w:div>
    <w:div w:id="1235749186">
      <w:bodyDiv w:val="1"/>
      <w:marLeft w:val="0"/>
      <w:marRight w:val="0"/>
      <w:marTop w:val="0"/>
      <w:marBottom w:val="0"/>
      <w:divBdr>
        <w:top w:val="none" w:sz="0" w:space="0" w:color="auto"/>
        <w:left w:val="none" w:sz="0" w:space="0" w:color="auto"/>
        <w:bottom w:val="none" w:sz="0" w:space="0" w:color="auto"/>
        <w:right w:val="none" w:sz="0" w:space="0" w:color="auto"/>
      </w:divBdr>
    </w:div>
    <w:div w:id="1235774200">
      <w:bodyDiv w:val="1"/>
      <w:marLeft w:val="0"/>
      <w:marRight w:val="0"/>
      <w:marTop w:val="0"/>
      <w:marBottom w:val="0"/>
      <w:divBdr>
        <w:top w:val="none" w:sz="0" w:space="0" w:color="auto"/>
        <w:left w:val="none" w:sz="0" w:space="0" w:color="auto"/>
        <w:bottom w:val="none" w:sz="0" w:space="0" w:color="auto"/>
        <w:right w:val="none" w:sz="0" w:space="0" w:color="auto"/>
      </w:divBdr>
    </w:div>
    <w:div w:id="1235776800">
      <w:bodyDiv w:val="1"/>
      <w:marLeft w:val="0"/>
      <w:marRight w:val="0"/>
      <w:marTop w:val="0"/>
      <w:marBottom w:val="0"/>
      <w:divBdr>
        <w:top w:val="none" w:sz="0" w:space="0" w:color="auto"/>
        <w:left w:val="none" w:sz="0" w:space="0" w:color="auto"/>
        <w:bottom w:val="none" w:sz="0" w:space="0" w:color="auto"/>
        <w:right w:val="none" w:sz="0" w:space="0" w:color="auto"/>
      </w:divBdr>
    </w:div>
    <w:div w:id="1235779482">
      <w:bodyDiv w:val="1"/>
      <w:marLeft w:val="0"/>
      <w:marRight w:val="0"/>
      <w:marTop w:val="0"/>
      <w:marBottom w:val="0"/>
      <w:divBdr>
        <w:top w:val="none" w:sz="0" w:space="0" w:color="auto"/>
        <w:left w:val="none" w:sz="0" w:space="0" w:color="auto"/>
        <w:bottom w:val="none" w:sz="0" w:space="0" w:color="auto"/>
        <w:right w:val="none" w:sz="0" w:space="0" w:color="auto"/>
      </w:divBdr>
    </w:div>
    <w:div w:id="1236013736">
      <w:bodyDiv w:val="1"/>
      <w:marLeft w:val="0"/>
      <w:marRight w:val="0"/>
      <w:marTop w:val="0"/>
      <w:marBottom w:val="0"/>
      <w:divBdr>
        <w:top w:val="none" w:sz="0" w:space="0" w:color="auto"/>
        <w:left w:val="none" w:sz="0" w:space="0" w:color="auto"/>
        <w:bottom w:val="none" w:sz="0" w:space="0" w:color="auto"/>
        <w:right w:val="none" w:sz="0" w:space="0" w:color="auto"/>
      </w:divBdr>
    </w:div>
    <w:div w:id="1236161917">
      <w:bodyDiv w:val="1"/>
      <w:marLeft w:val="0"/>
      <w:marRight w:val="0"/>
      <w:marTop w:val="0"/>
      <w:marBottom w:val="0"/>
      <w:divBdr>
        <w:top w:val="none" w:sz="0" w:space="0" w:color="auto"/>
        <w:left w:val="none" w:sz="0" w:space="0" w:color="auto"/>
        <w:bottom w:val="none" w:sz="0" w:space="0" w:color="auto"/>
        <w:right w:val="none" w:sz="0" w:space="0" w:color="auto"/>
      </w:divBdr>
    </w:div>
    <w:div w:id="1236206975">
      <w:bodyDiv w:val="1"/>
      <w:marLeft w:val="0"/>
      <w:marRight w:val="0"/>
      <w:marTop w:val="0"/>
      <w:marBottom w:val="0"/>
      <w:divBdr>
        <w:top w:val="none" w:sz="0" w:space="0" w:color="auto"/>
        <w:left w:val="none" w:sz="0" w:space="0" w:color="auto"/>
        <w:bottom w:val="none" w:sz="0" w:space="0" w:color="auto"/>
        <w:right w:val="none" w:sz="0" w:space="0" w:color="auto"/>
      </w:divBdr>
    </w:div>
    <w:div w:id="1236353003">
      <w:bodyDiv w:val="1"/>
      <w:marLeft w:val="0"/>
      <w:marRight w:val="0"/>
      <w:marTop w:val="0"/>
      <w:marBottom w:val="0"/>
      <w:divBdr>
        <w:top w:val="none" w:sz="0" w:space="0" w:color="auto"/>
        <w:left w:val="none" w:sz="0" w:space="0" w:color="auto"/>
        <w:bottom w:val="none" w:sz="0" w:space="0" w:color="auto"/>
        <w:right w:val="none" w:sz="0" w:space="0" w:color="auto"/>
      </w:divBdr>
    </w:div>
    <w:div w:id="1236547348">
      <w:bodyDiv w:val="1"/>
      <w:marLeft w:val="0"/>
      <w:marRight w:val="0"/>
      <w:marTop w:val="0"/>
      <w:marBottom w:val="0"/>
      <w:divBdr>
        <w:top w:val="none" w:sz="0" w:space="0" w:color="auto"/>
        <w:left w:val="none" w:sz="0" w:space="0" w:color="auto"/>
        <w:bottom w:val="none" w:sz="0" w:space="0" w:color="auto"/>
        <w:right w:val="none" w:sz="0" w:space="0" w:color="auto"/>
      </w:divBdr>
    </w:div>
    <w:div w:id="1236552262">
      <w:bodyDiv w:val="1"/>
      <w:marLeft w:val="0"/>
      <w:marRight w:val="0"/>
      <w:marTop w:val="0"/>
      <w:marBottom w:val="0"/>
      <w:divBdr>
        <w:top w:val="none" w:sz="0" w:space="0" w:color="auto"/>
        <w:left w:val="none" w:sz="0" w:space="0" w:color="auto"/>
        <w:bottom w:val="none" w:sz="0" w:space="0" w:color="auto"/>
        <w:right w:val="none" w:sz="0" w:space="0" w:color="auto"/>
      </w:divBdr>
    </w:div>
    <w:div w:id="1236621543">
      <w:bodyDiv w:val="1"/>
      <w:marLeft w:val="0"/>
      <w:marRight w:val="0"/>
      <w:marTop w:val="0"/>
      <w:marBottom w:val="0"/>
      <w:divBdr>
        <w:top w:val="none" w:sz="0" w:space="0" w:color="auto"/>
        <w:left w:val="none" w:sz="0" w:space="0" w:color="auto"/>
        <w:bottom w:val="none" w:sz="0" w:space="0" w:color="auto"/>
        <w:right w:val="none" w:sz="0" w:space="0" w:color="auto"/>
      </w:divBdr>
    </w:div>
    <w:div w:id="1236625283">
      <w:bodyDiv w:val="1"/>
      <w:marLeft w:val="0"/>
      <w:marRight w:val="0"/>
      <w:marTop w:val="0"/>
      <w:marBottom w:val="0"/>
      <w:divBdr>
        <w:top w:val="none" w:sz="0" w:space="0" w:color="auto"/>
        <w:left w:val="none" w:sz="0" w:space="0" w:color="auto"/>
        <w:bottom w:val="none" w:sz="0" w:space="0" w:color="auto"/>
        <w:right w:val="none" w:sz="0" w:space="0" w:color="auto"/>
      </w:divBdr>
    </w:div>
    <w:div w:id="1236669994">
      <w:bodyDiv w:val="1"/>
      <w:marLeft w:val="0"/>
      <w:marRight w:val="0"/>
      <w:marTop w:val="0"/>
      <w:marBottom w:val="0"/>
      <w:divBdr>
        <w:top w:val="none" w:sz="0" w:space="0" w:color="auto"/>
        <w:left w:val="none" w:sz="0" w:space="0" w:color="auto"/>
        <w:bottom w:val="none" w:sz="0" w:space="0" w:color="auto"/>
        <w:right w:val="none" w:sz="0" w:space="0" w:color="auto"/>
      </w:divBdr>
    </w:div>
    <w:div w:id="1236739075">
      <w:bodyDiv w:val="1"/>
      <w:marLeft w:val="0"/>
      <w:marRight w:val="0"/>
      <w:marTop w:val="0"/>
      <w:marBottom w:val="0"/>
      <w:divBdr>
        <w:top w:val="none" w:sz="0" w:space="0" w:color="auto"/>
        <w:left w:val="none" w:sz="0" w:space="0" w:color="auto"/>
        <w:bottom w:val="none" w:sz="0" w:space="0" w:color="auto"/>
        <w:right w:val="none" w:sz="0" w:space="0" w:color="auto"/>
      </w:divBdr>
    </w:div>
    <w:div w:id="1236814888">
      <w:bodyDiv w:val="1"/>
      <w:marLeft w:val="0"/>
      <w:marRight w:val="0"/>
      <w:marTop w:val="0"/>
      <w:marBottom w:val="0"/>
      <w:divBdr>
        <w:top w:val="none" w:sz="0" w:space="0" w:color="auto"/>
        <w:left w:val="none" w:sz="0" w:space="0" w:color="auto"/>
        <w:bottom w:val="none" w:sz="0" w:space="0" w:color="auto"/>
        <w:right w:val="none" w:sz="0" w:space="0" w:color="auto"/>
      </w:divBdr>
    </w:div>
    <w:div w:id="1236815449">
      <w:bodyDiv w:val="1"/>
      <w:marLeft w:val="0"/>
      <w:marRight w:val="0"/>
      <w:marTop w:val="0"/>
      <w:marBottom w:val="0"/>
      <w:divBdr>
        <w:top w:val="none" w:sz="0" w:space="0" w:color="auto"/>
        <w:left w:val="none" w:sz="0" w:space="0" w:color="auto"/>
        <w:bottom w:val="none" w:sz="0" w:space="0" w:color="auto"/>
        <w:right w:val="none" w:sz="0" w:space="0" w:color="auto"/>
      </w:divBdr>
    </w:div>
    <w:div w:id="1236819888">
      <w:bodyDiv w:val="1"/>
      <w:marLeft w:val="0"/>
      <w:marRight w:val="0"/>
      <w:marTop w:val="0"/>
      <w:marBottom w:val="0"/>
      <w:divBdr>
        <w:top w:val="none" w:sz="0" w:space="0" w:color="auto"/>
        <w:left w:val="none" w:sz="0" w:space="0" w:color="auto"/>
        <w:bottom w:val="none" w:sz="0" w:space="0" w:color="auto"/>
        <w:right w:val="none" w:sz="0" w:space="0" w:color="auto"/>
      </w:divBdr>
    </w:div>
    <w:div w:id="1236822193">
      <w:bodyDiv w:val="1"/>
      <w:marLeft w:val="0"/>
      <w:marRight w:val="0"/>
      <w:marTop w:val="0"/>
      <w:marBottom w:val="0"/>
      <w:divBdr>
        <w:top w:val="none" w:sz="0" w:space="0" w:color="auto"/>
        <w:left w:val="none" w:sz="0" w:space="0" w:color="auto"/>
        <w:bottom w:val="none" w:sz="0" w:space="0" w:color="auto"/>
        <w:right w:val="none" w:sz="0" w:space="0" w:color="auto"/>
      </w:divBdr>
    </w:div>
    <w:div w:id="1236822672">
      <w:bodyDiv w:val="1"/>
      <w:marLeft w:val="0"/>
      <w:marRight w:val="0"/>
      <w:marTop w:val="0"/>
      <w:marBottom w:val="0"/>
      <w:divBdr>
        <w:top w:val="none" w:sz="0" w:space="0" w:color="auto"/>
        <w:left w:val="none" w:sz="0" w:space="0" w:color="auto"/>
        <w:bottom w:val="none" w:sz="0" w:space="0" w:color="auto"/>
        <w:right w:val="none" w:sz="0" w:space="0" w:color="auto"/>
      </w:divBdr>
    </w:div>
    <w:div w:id="1236866255">
      <w:bodyDiv w:val="1"/>
      <w:marLeft w:val="0"/>
      <w:marRight w:val="0"/>
      <w:marTop w:val="0"/>
      <w:marBottom w:val="0"/>
      <w:divBdr>
        <w:top w:val="none" w:sz="0" w:space="0" w:color="auto"/>
        <w:left w:val="none" w:sz="0" w:space="0" w:color="auto"/>
        <w:bottom w:val="none" w:sz="0" w:space="0" w:color="auto"/>
        <w:right w:val="none" w:sz="0" w:space="0" w:color="auto"/>
      </w:divBdr>
    </w:div>
    <w:div w:id="1236889649">
      <w:bodyDiv w:val="1"/>
      <w:marLeft w:val="0"/>
      <w:marRight w:val="0"/>
      <w:marTop w:val="0"/>
      <w:marBottom w:val="0"/>
      <w:divBdr>
        <w:top w:val="none" w:sz="0" w:space="0" w:color="auto"/>
        <w:left w:val="none" w:sz="0" w:space="0" w:color="auto"/>
        <w:bottom w:val="none" w:sz="0" w:space="0" w:color="auto"/>
        <w:right w:val="none" w:sz="0" w:space="0" w:color="auto"/>
      </w:divBdr>
    </w:div>
    <w:div w:id="1236935547">
      <w:bodyDiv w:val="1"/>
      <w:marLeft w:val="0"/>
      <w:marRight w:val="0"/>
      <w:marTop w:val="0"/>
      <w:marBottom w:val="0"/>
      <w:divBdr>
        <w:top w:val="none" w:sz="0" w:space="0" w:color="auto"/>
        <w:left w:val="none" w:sz="0" w:space="0" w:color="auto"/>
        <w:bottom w:val="none" w:sz="0" w:space="0" w:color="auto"/>
        <w:right w:val="none" w:sz="0" w:space="0" w:color="auto"/>
      </w:divBdr>
    </w:div>
    <w:div w:id="1237127599">
      <w:bodyDiv w:val="1"/>
      <w:marLeft w:val="0"/>
      <w:marRight w:val="0"/>
      <w:marTop w:val="0"/>
      <w:marBottom w:val="0"/>
      <w:divBdr>
        <w:top w:val="none" w:sz="0" w:space="0" w:color="auto"/>
        <w:left w:val="none" w:sz="0" w:space="0" w:color="auto"/>
        <w:bottom w:val="none" w:sz="0" w:space="0" w:color="auto"/>
        <w:right w:val="none" w:sz="0" w:space="0" w:color="auto"/>
      </w:divBdr>
    </w:div>
    <w:div w:id="1237326847">
      <w:bodyDiv w:val="1"/>
      <w:marLeft w:val="0"/>
      <w:marRight w:val="0"/>
      <w:marTop w:val="0"/>
      <w:marBottom w:val="0"/>
      <w:divBdr>
        <w:top w:val="none" w:sz="0" w:space="0" w:color="auto"/>
        <w:left w:val="none" w:sz="0" w:space="0" w:color="auto"/>
        <w:bottom w:val="none" w:sz="0" w:space="0" w:color="auto"/>
        <w:right w:val="none" w:sz="0" w:space="0" w:color="auto"/>
      </w:divBdr>
    </w:div>
    <w:div w:id="1237395585">
      <w:bodyDiv w:val="1"/>
      <w:marLeft w:val="0"/>
      <w:marRight w:val="0"/>
      <w:marTop w:val="0"/>
      <w:marBottom w:val="0"/>
      <w:divBdr>
        <w:top w:val="none" w:sz="0" w:space="0" w:color="auto"/>
        <w:left w:val="none" w:sz="0" w:space="0" w:color="auto"/>
        <w:bottom w:val="none" w:sz="0" w:space="0" w:color="auto"/>
        <w:right w:val="none" w:sz="0" w:space="0" w:color="auto"/>
      </w:divBdr>
    </w:div>
    <w:div w:id="1237399213">
      <w:bodyDiv w:val="1"/>
      <w:marLeft w:val="0"/>
      <w:marRight w:val="0"/>
      <w:marTop w:val="0"/>
      <w:marBottom w:val="0"/>
      <w:divBdr>
        <w:top w:val="none" w:sz="0" w:space="0" w:color="auto"/>
        <w:left w:val="none" w:sz="0" w:space="0" w:color="auto"/>
        <w:bottom w:val="none" w:sz="0" w:space="0" w:color="auto"/>
        <w:right w:val="none" w:sz="0" w:space="0" w:color="auto"/>
      </w:divBdr>
    </w:div>
    <w:div w:id="1237475028">
      <w:bodyDiv w:val="1"/>
      <w:marLeft w:val="0"/>
      <w:marRight w:val="0"/>
      <w:marTop w:val="0"/>
      <w:marBottom w:val="0"/>
      <w:divBdr>
        <w:top w:val="none" w:sz="0" w:space="0" w:color="auto"/>
        <w:left w:val="none" w:sz="0" w:space="0" w:color="auto"/>
        <w:bottom w:val="none" w:sz="0" w:space="0" w:color="auto"/>
        <w:right w:val="none" w:sz="0" w:space="0" w:color="auto"/>
      </w:divBdr>
    </w:div>
    <w:div w:id="1237519563">
      <w:bodyDiv w:val="1"/>
      <w:marLeft w:val="0"/>
      <w:marRight w:val="0"/>
      <w:marTop w:val="0"/>
      <w:marBottom w:val="0"/>
      <w:divBdr>
        <w:top w:val="none" w:sz="0" w:space="0" w:color="auto"/>
        <w:left w:val="none" w:sz="0" w:space="0" w:color="auto"/>
        <w:bottom w:val="none" w:sz="0" w:space="0" w:color="auto"/>
        <w:right w:val="none" w:sz="0" w:space="0" w:color="auto"/>
      </w:divBdr>
    </w:div>
    <w:div w:id="1237592780">
      <w:bodyDiv w:val="1"/>
      <w:marLeft w:val="0"/>
      <w:marRight w:val="0"/>
      <w:marTop w:val="0"/>
      <w:marBottom w:val="0"/>
      <w:divBdr>
        <w:top w:val="none" w:sz="0" w:space="0" w:color="auto"/>
        <w:left w:val="none" w:sz="0" w:space="0" w:color="auto"/>
        <w:bottom w:val="none" w:sz="0" w:space="0" w:color="auto"/>
        <w:right w:val="none" w:sz="0" w:space="0" w:color="auto"/>
      </w:divBdr>
    </w:div>
    <w:div w:id="1237745336">
      <w:bodyDiv w:val="1"/>
      <w:marLeft w:val="0"/>
      <w:marRight w:val="0"/>
      <w:marTop w:val="0"/>
      <w:marBottom w:val="0"/>
      <w:divBdr>
        <w:top w:val="none" w:sz="0" w:space="0" w:color="auto"/>
        <w:left w:val="none" w:sz="0" w:space="0" w:color="auto"/>
        <w:bottom w:val="none" w:sz="0" w:space="0" w:color="auto"/>
        <w:right w:val="none" w:sz="0" w:space="0" w:color="auto"/>
      </w:divBdr>
    </w:div>
    <w:div w:id="1237932207">
      <w:bodyDiv w:val="1"/>
      <w:marLeft w:val="0"/>
      <w:marRight w:val="0"/>
      <w:marTop w:val="0"/>
      <w:marBottom w:val="0"/>
      <w:divBdr>
        <w:top w:val="none" w:sz="0" w:space="0" w:color="auto"/>
        <w:left w:val="none" w:sz="0" w:space="0" w:color="auto"/>
        <w:bottom w:val="none" w:sz="0" w:space="0" w:color="auto"/>
        <w:right w:val="none" w:sz="0" w:space="0" w:color="auto"/>
      </w:divBdr>
    </w:div>
    <w:div w:id="1238200594">
      <w:bodyDiv w:val="1"/>
      <w:marLeft w:val="0"/>
      <w:marRight w:val="0"/>
      <w:marTop w:val="0"/>
      <w:marBottom w:val="0"/>
      <w:divBdr>
        <w:top w:val="none" w:sz="0" w:space="0" w:color="auto"/>
        <w:left w:val="none" w:sz="0" w:space="0" w:color="auto"/>
        <w:bottom w:val="none" w:sz="0" w:space="0" w:color="auto"/>
        <w:right w:val="none" w:sz="0" w:space="0" w:color="auto"/>
      </w:divBdr>
    </w:div>
    <w:div w:id="1238321291">
      <w:bodyDiv w:val="1"/>
      <w:marLeft w:val="0"/>
      <w:marRight w:val="0"/>
      <w:marTop w:val="0"/>
      <w:marBottom w:val="0"/>
      <w:divBdr>
        <w:top w:val="none" w:sz="0" w:space="0" w:color="auto"/>
        <w:left w:val="none" w:sz="0" w:space="0" w:color="auto"/>
        <w:bottom w:val="none" w:sz="0" w:space="0" w:color="auto"/>
        <w:right w:val="none" w:sz="0" w:space="0" w:color="auto"/>
      </w:divBdr>
    </w:div>
    <w:div w:id="1238322600">
      <w:bodyDiv w:val="1"/>
      <w:marLeft w:val="0"/>
      <w:marRight w:val="0"/>
      <w:marTop w:val="0"/>
      <w:marBottom w:val="0"/>
      <w:divBdr>
        <w:top w:val="none" w:sz="0" w:space="0" w:color="auto"/>
        <w:left w:val="none" w:sz="0" w:space="0" w:color="auto"/>
        <w:bottom w:val="none" w:sz="0" w:space="0" w:color="auto"/>
        <w:right w:val="none" w:sz="0" w:space="0" w:color="auto"/>
      </w:divBdr>
    </w:div>
    <w:div w:id="1238327692">
      <w:bodyDiv w:val="1"/>
      <w:marLeft w:val="0"/>
      <w:marRight w:val="0"/>
      <w:marTop w:val="0"/>
      <w:marBottom w:val="0"/>
      <w:divBdr>
        <w:top w:val="none" w:sz="0" w:space="0" w:color="auto"/>
        <w:left w:val="none" w:sz="0" w:space="0" w:color="auto"/>
        <w:bottom w:val="none" w:sz="0" w:space="0" w:color="auto"/>
        <w:right w:val="none" w:sz="0" w:space="0" w:color="auto"/>
      </w:divBdr>
    </w:div>
    <w:div w:id="1238514558">
      <w:bodyDiv w:val="1"/>
      <w:marLeft w:val="0"/>
      <w:marRight w:val="0"/>
      <w:marTop w:val="0"/>
      <w:marBottom w:val="0"/>
      <w:divBdr>
        <w:top w:val="none" w:sz="0" w:space="0" w:color="auto"/>
        <w:left w:val="none" w:sz="0" w:space="0" w:color="auto"/>
        <w:bottom w:val="none" w:sz="0" w:space="0" w:color="auto"/>
        <w:right w:val="none" w:sz="0" w:space="0" w:color="auto"/>
      </w:divBdr>
    </w:div>
    <w:div w:id="1238592489">
      <w:bodyDiv w:val="1"/>
      <w:marLeft w:val="0"/>
      <w:marRight w:val="0"/>
      <w:marTop w:val="0"/>
      <w:marBottom w:val="0"/>
      <w:divBdr>
        <w:top w:val="none" w:sz="0" w:space="0" w:color="auto"/>
        <w:left w:val="none" w:sz="0" w:space="0" w:color="auto"/>
        <w:bottom w:val="none" w:sz="0" w:space="0" w:color="auto"/>
        <w:right w:val="none" w:sz="0" w:space="0" w:color="auto"/>
      </w:divBdr>
    </w:div>
    <w:div w:id="1238828427">
      <w:bodyDiv w:val="1"/>
      <w:marLeft w:val="0"/>
      <w:marRight w:val="0"/>
      <w:marTop w:val="0"/>
      <w:marBottom w:val="0"/>
      <w:divBdr>
        <w:top w:val="none" w:sz="0" w:space="0" w:color="auto"/>
        <w:left w:val="none" w:sz="0" w:space="0" w:color="auto"/>
        <w:bottom w:val="none" w:sz="0" w:space="0" w:color="auto"/>
        <w:right w:val="none" w:sz="0" w:space="0" w:color="auto"/>
      </w:divBdr>
    </w:div>
    <w:div w:id="1238857685">
      <w:bodyDiv w:val="1"/>
      <w:marLeft w:val="0"/>
      <w:marRight w:val="0"/>
      <w:marTop w:val="0"/>
      <w:marBottom w:val="0"/>
      <w:divBdr>
        <w:top w:val="none" w:sz="0" w:space="0" w:color="auto"/>
        <w:left w:val="none" w:sz="0" w:space="0" w:color="auto"/>
        <w:bottom w:val="none" w:sz="0" w:space="0" w:color="auto"/>
        <w:right w:val="none" w:sz="0" w:space="0" w:color="auto"/>
      </w:divBdr>
    </w:div>
    <w:div w:id="1238899174">
      <w:bodyDiv w:val="1"/>
      <w:marLeft w:val="0"/>
      <w:marRight w:val="0"/>
      <w:marTop w:val="0"/>
      <w:marBottom w:val="0"/>
      <w:divBdr>
        <w:top w:val="none" w:sz="0" w:space="0" w:color="auto"/>
        <w:left w:val="none" w:sz="0" w:space="0" w:color="auto"/>
        <w:bottom w:val="none" w:sz="0" w:space="0" w:color="auto"/>
        <w:right w:val="none" w:sz="0" w:space="0" w:color="auto"/>
      </w:divBdr>
    </w:div>
    <w:div w:id="1238906252">
      <w:bodyDiv w:val="1"/>
      <w:marLeft w:val="0"/>
      <w:marRight w:val="0"/>
      <w:marTop w:val="0"/>
      <w:marBottom w:val="0"/>
      <w:divBdr>
        <w:top w:val="none" w:sz="0" w:space="0" w:color="auto"/>
        <w:left w:val="none" w:sz="0" w:space="0" w:color="auto"/>
        <w:bottom w:val="none" w:sz="0" w:space="0" w:color="auto"/>
        <w:right w:val="none" w:sz="0" w:space="0" w:color="auto"/>
      </w:divBdr>
    </w:div>
    <w:div w:id="1238973646">
      <w:bodyDiv w:val="1"/>
      <w:marLeft w:val="0"/>
      <w:marRight w:val="0"/>
      <w:marTop w:val="0"/>
      <w:marBottom w:val="0"/>
      <w:divBdr>
        <w:top w:val="none" w:sz="0" w:space="0" w:color="auto"/>
        <w:left w:val="none" w:sz="0" w:space="0" w:color="auto"/>
        <w:bottom w:val="none" w:sz="0" w:space="0" w:color="auto"/>
        <w:right w:val="none" w:sz="0" w:space="0" w:color="auto"/>
      </w:divBdr>
    </w:div>
    <w:div w:id="1239365914">
      <w:bodyDiv w:val="1"/>
      <w:marLeft w:val="0"/>
      <w:marRight w:val="0"/>
      <w:marTop w:val="0"/>
      <w:marBottom w:val="0"/>
      <w:divBdr>
        <w:top w:val="none" w:sz="0" w:space="0" w:color="auto"/>
        <w:left w:val="none" w:sz="0" w:space="0" w:color="auto"/>
        <w:bottom w:val="none" w:sz="0" w:space="0" w:color="auto"/>
        <w:right w:val="none" w:sz="0" w:space="0" w:color="auto"/>
      </w:divBdr>
    </w:div>
    <w:div w:id="1239367917">
      <w:bodyDiv w:val="1"/>
      <w:marLeft w:val="0"/>
      <w:marRight w:val="0"/>
      <w:marTop w:val="0"/>
      <w:marBottom w:val="0"/>
      <w:divBdr>
        <w:top w:val="none" w:sz="0" w:space="0" w:color="auto"/>
        <w:left w:val="none" w:sz="0" w:space="0" w:color="auto"/>
        <w:bottom w:val="none" w:sz="0" w:space="0" w:color="auto"/>
        <w:right w:val="none" w:sz="0" w:space="0" w:color="auto"/>
      </w:divBdr>
    </w:div>
    <w:div w:id="1239368178">
      <w:bodyDiv w:val="1"/>
      <w:marLeft w:val="0"/>
      <w:marRight w:val="0"/>
      <w:marTop w:val="0"/>
      <w:marBottom w:val="0"/>
      <w:divBdr>
        <w:top w:val="none" w:sz="0" w:space="0" w:color="auto"/>
        <w:left w:val="none" w:sz="0" w:space="0" w:color="auto"/>
        <w:bottom w:val="none" w:sz="0" w:space="0" w:color="auto"/>
        <w:right w:val="none" w:sz="0" w:space="0" w:color="auto"/>
      </w:divBdr>
    </w:div>
    <w:div w:id="1239559290">
      <w:bodyDiv w:val="1"/>
      <w:marLeft w:val="0"/>
      <w:marRight w:val="0"/>
      <w:marTop w:val="0"/>
      <w:marBottom w:val="0"/>
      <w:divBdr>
        <w:top w:val="none" w:sz="0" w:space="0" w:color="auto"/>
        <w:left w:val="none" w:sz="0" w:space="0" w:color="auto"/>
        <w:bottom w:val="none" w:sz="0" w:space="0" w:color="auto"/>
        <w:right w:val="none" w:sz="0" w:space="0" w:color="auto"/>
      </w:divBdr>
    </w:div>
    <w:div w:id="1239561167">
      <w:bodyDiv w:val="1"/>
      <w:marLeft w:val="0"/>
      <w:marRight w:val="0"/>
      <w:marTop w:val="0"/>
      <w:marBottom w:val="0"/>
      <w:divBdr>
        <w:top w:val="none" w:sz="0" w:space="0" w:color="auto"/>
        <w:left w:val="none" w:sz="0" w:space="0" w:color="auto"/>
        <w:bottom w:val="none" w:sz="0" w:space="0" w:color="auto"/>
        <w:right w:val="none" w:sz="0" w:space="0" w:color="auto"/>
      </w:divBdr>
    </w:div>
    <w:div w:id="1239562855">
      <w:bodyDiv w:val="1"/>
      <w:marLeft w:val="0"/>
      <w:marRight w:val="0"/>
      <w:marTop w:val="0"/>
      <w:marBottom w:val="0"/>
      <w:divBdr>
        <w:top w:val="none" w:sz="0" w:space="0" w:color="auto"/>
        <w:left w:val="none" w:sz="0" w:space="0" w:color="auto"/>
        <w:bottom w:val="none" w:sz="0" w:space="0" w:color="auto"/>
        <w:right w:val="none" w:sz="0" w:space="0" w:color="auto"/>
      </w:divBdr>
    </w:div>
    <w:div w:id="1239637166">
      <w:bodyDiv w:val="1"/>
      <w:marLeft w:val="0"/>
      <w:marRight w:val="0"/>
      <w:marTop w:val="0"/>
      <w:marBottom w:val="0"/>
      <w:divBdr>
        <w:top w:val="none" w:sz="0" w:space="0" w:color="auto"/>
        <w:left w:val="none" w:sz="0" w:space="0" w:color="auto"/>
        <w:bottom w:val="none" w:sz="0" w:space="0" w:color="auto"/>
        <w:right w:val="none" w:sz="0" w:space="0" w:color="auto"/>
      </w:divBdr>
    </w:div>
    <w:div w:id="1239705602">
      <w:bodyDiv w:val="1"/>
      <w:marLeft w:val="0"/>
      <w:marRight w:val="0"/>
      <w:marTop w:val="0"/>
      <w:marBottom w:val="0"/>
      <w:divBdr>
        <w:top w:val="none" w:sz="0" w:space="0" w:color="auto"/>
        <w:left w:val="none" w:sz="0" w:space="0" w:color="auto"/>
        <w:bottom w:val="none" w:sz="0" w:space="0" w:color="auto"/>
        <w:right w:val="none" w:sz="0" w:space="0" w:color="auto"/>
      </w:divBdr>
    </w:div>
    <w:div w:id="1239707756">
      <w:bodyDiv w:val="1"/>
      <w:marLeft w:val="0"/>
      <w:marRight w:val="0"/>
      <w:marTop w:val="0"/>
      <w:marBottom w:val="0"/>
      <w:divBdr>
        <w:top w:val="none" w:sz="0" w:space="0" w:color="auto"/>
        <w:left w:val="none" w:sz="0" w:space="0" w:color="auto"/>
        <w:bottom w:val="none" w:sz="0" w:space="0" w:color="auto"/>
        <w:right w:val="none" w:sz="0" w:space="0" w:color="auto"/>
      </w:divBdr>
    </w:div>
    <w:div w:id="1240024551">
      <w:bodyDiv w:val="1"/>
      <w:marLeft w:val="0"/>
      <w:marRight w:val="0"/>
      <w:marTop w:val="0"/>
      <w:marBottom w:val="0"/>
      <w:divBdr>
        <w:top w:val="none" w:sz="0" w:space="0" w:color="auto"/>
        <w:left w:val="none" w:sz="0" w:space="0" w:color="auto"/>
        <w:bottom w:val="none" w:sz="0" w:space="0" w:color="auto"/>
        <w:right w:val="none" w:sz="0" w:space="0" w:color="auto"/>
      </w:divBdr>
    </w:div>
    <w:div w:id="1240093945">
      <w:bodyDiv w:val="1"/>
      <w:marLeft w:val="0"/>
      <w:marRight w:val="0"/>
      <w:marTop w:val="0"/>
      <w:marBottom w:val="0"/>
      <w:divBdr>
        <w:top w:val="none" w:sz="0" w:space="0" w:color="auto"/>
        <w:left w:val="none" w:sz="0" w:space="0" w:color="auto"/>
        <w:bottom w:val="none" w:sz="0" w:space="0" w:color="auto"/>
        <w:right w:val="none" w:sz="0" w:space="0" w:color="auto"/>
      </w:divBdr>
    </w:div>
    <w:div w:id="1240169490">
      <w:bodyDiv w:val="1"/>
      <w:marLeft w:val="0"/>
      <w:marRight w:val="0"/>
      <w:marTop w:val="0"/>
      <w:marBottom w:val="0"/>
      <w:divBdr>
        <w:top w:val="none" w:sz="0" w:space="0" w:color="auto"/>
        <w:left w:val="none" w:sz="0" w:space="0" w:color="auto"/>
        <w:bottom w:val="none" w:sz="0" w:space="0" w:color="auto"/>
        <w:right w:val="none" w:sz="0" w:space="0" w:color="auto"/>
      </w:divBdr>
    </w:div>
    <w:div w:id="1240212859">
      <w:bodyDiv w:val="1"/>
      <w:marLeft w:val="0"/>
      <w:marRight w:val="0"/>
      <w:marTop w:val="0"/>
      <w:marBottom w:val="0"/>
      <w:divBdr>
        <w:top w:val="none" w:sz="0" w:space="0" w:color="auto"/>
        <w:left w:val="none" w:sz="0" w:space="0" w:color="auto"/>
        <w:bottom w:val="none" w:sz="0" w:space="0" w:color="auto"/>
        <w:right w:val="none" w:sz="0" w:space="0" w:color="auto"/>
      </w:divBdr>
    </w:div>
    <w:div w:id="1240405455">
      <w:bodyDiv w:val="1"/>
      <w:marLeft w:val="0"/>
      <w:marRight w:val="0"/>
      <w:marTop w:val="0"/>
      <w:marBottom w:val="0"/>
      <w:divBdr>
        <w:top w:val="none" w:sz="0" w:space="0" w:color="auto"/>
        <w:left w:val="none" w:sz="0" w:space="0" w:color="auto"/>
        <w:bottom w:val="none" w:sz="0" w:space="0" w:color="auto"/>
        <w:right w:val="none" w:sz="0" w:space="0" w:color="auto"/>
      </w:divBdr>
    </w:div>
    <w:div w:id="1240406606">
      <w:bodyDiv w:val="1"/>
      <w:marLeft w:val="0"/>
      <w:marRight w:val="0"/>
      <w:marTop w:val="0"/>
      <w:marBottom w:val="0"/>
      <w:divBdr>
        <w:top w:val="none" w:sz="0" w:space="0" w:color="auto"/>
        <w:left w:val="none" w:sz="0" w:space="0" w:color="auto"/>
        <w:bottom w:val="none" w:sz="0" w:space="0" w:color="auto"/>
        <w:right w:val="none" w:sz="0" w:space="0" w:color="auto"/>
      </w:divBdr>
    </w:div>
    <w:div w:id="1240747774">
      <w:bodyDiv w:val="1"/>
      <w:marLeft w:val="0"/>
      <w:marRight w:val="0"/>
      <w:marTop w:val="0"/>
      <w:marBottom w:val="0"/>
      <w:divBdr>
        <w:top w:val="none" w:sz="0" w:space="0" w:color="auto"/>
        <w:left w:val="none" w:sz="0" w:space="0" w:color="auto"/>
        <w:bottom w:val="none" w:sz="0" w:space="0" w:color="auto"/>
        <w:right w:val="none" w:sz="0" w:space="0" w:color="auto"/>
      </w:divBdr>
    </w:div>
    <w:div w:id="1240823933">
      <w:bodyDiv w:val="1"/>
      <w:marLeft w:val="0"/>
      <w:marRight w:val="0"/>
      <w:marTop w:val="0"/>
      <w:marBottom w:val="0"/>
      <w:divBdr>
        <w:top w:val="none" w:sz="0" w:space="0" w:color="auto"/>
        <w:left w:val="none" w:sz="0" w:space="0" w:color="auto"/>
        <w:bottom w:val="none" w:sz="0" w:space="0" w:color="auto"/>
        <w:right w:val="none" w:sz="0" w:space="0" w:color="auto"/>
      </w:divBdr>
    </w:div>
    <w:div w:id="1241015804">
      <w:bodyDiv w:val="1"/>
      <w:marLeft w:val="0"/>
      <w:marRight w:val="0"/>
      <w:marTop w:val="0"/>
      <w:marBottom w:val="0"/>
      <w:divBdr>
        <w:top w:val="none" w:sz="0" w:space="0" w:color="auto"/>
        <w:left w:val="none" w:sz="0" w:space="0" w:color="auto"/>
        <w:bottom w:val="none" w:sz="0" w:space="0" w:color="auto"/>
        <w:right w:val="none" w:sz="0" w:space="0" w:color="auto"/>
      </w:divBdr>
    </w:div>
    <w:div w:id="1241017793">
      <w:bodyDiv w:val="1"/>
      <w:marLeft w:val="0"/>
      <w:marRight w:val="0"/>
      <w:marTop w:val="0"/>
      <w:marBottom w:val="0"/>
      <w:divBdr>
        <w:top w:val="none" w:sz="0" w:space="0" w:color="auto"/>
        <w:left w:val="none" w:sz="0" w:space="0" w:color="auto"/>
        <w:bottom w:val="none" w:sz="0" w:space="0" w:color="auto"/>
        <w:right w:val="none" w:sz="0" w:space="0" w:color="auto"/>
      </w:divBdr>
    </w:div>
    <w:div w:id="1241061268">
      <w:bodyDiv w:val="1"/>
      <w:marLeft w:val="0"/>
      <w:marRight w:val="0"/>
      <w:marTop w:val="0"/>
      <w:marBottom w:val="0"/>
      <w:divBdr>
        <w:top w:val="none" w:sz="0" w:space="0" w:color="auto"/>
        <w:left w:val="none" w:sz="0" w:space="0" w:color="auto"/>
        <w:bottom w:val="none" w:sz="0" w:space="0" w:color="auto"/>
        <w:right w:val="none" w:sz="0" w:space="0" w:color="auto"/>
      </w:divBdr>
    </w:div>
    <w:div w:id="1241325658">
      <w:bodyDiv w:val="1"/>
      <w:marLeft w:val="0"/>
      <w:marRight w:val="0"/>
      <w:marTop w:val="0"/>
      <w:marBottom w:val="0"/>
      <w:divBdr>
        <w:top w:val="none" w:sz="0" w:space="0" w:color="auto"/>
        <w:left w:val="none" w:sz="0" w:space="0" w:color="auto"/>
        <w:bottom w:val="none" w:sz="0" w:space="0" w:color="auto"/>
        <w:right w:val="none" w:sz="0" w:space="0" w:color="auto"/>
      </w:divBdr>
    </w:div>
    <w:div w:id="1241477805">
      <w:bodyDiv w:val="1"/>
      <w:marLeft w:val="0"/>
      <w:marRight w:val="0"/>
      <w:marTop w:val="0"/>
      <w:marBottom w:val="0"/>
      <w:divBdr>
        <w:top w:val="none" w:sz="0" w:space="0" w:color="auto"/>
        <w:left w:val="none" w:sz="0" w:space="0" w:color="auto"/>
        <w:bottom w:val="none" w:sz="0" w:space="0" w:color="auto"/>
        <w:right w:val="none" w:sz="0" w:space="0" w:color="auto"/>
      </w:divBdr>
    </w:div>
    <w:div w:id="1241790372">
      <w:bodyDiv w:val="1"/>
      <w:marLeft w:val="0"/>
      <w:marRight w:val="0"/>
      <w:marTop w:val="0"/>
      <w:marBottom w:val="0"/>
      <w:divBdr>
        <w:top w:val="none" w:sz="0" w:space="0" w:color="auto"/>
        <w:left w:val="none" w:sz="0" w:space="0" w:color="auto"/>
        <w:bottom w:val="none" w:sz="0" w:space="0" w:color="auto"/>
        <w:right w:val="none" w:sz="0" w:space="0" w:color="auto"/>
      </w:divBdr>
    </w:div>
    <w:div w:id="1241866891">
      <w:bodyDiv w:val="1"/>
      <w:marLeft w:val="0"/>
      <w:marRight w:val="0"/>
      <w:marTop w:val="0"/>
      <w:marBottom w:val="0"/>
      <w:divBdr>
        <w:top w:val="none" w:sz="0" w:space="0" w:color="auto"/>
        <w:left w:val="none" w:sz="0" w:space="0" w:color="auto"/>
        <w:bottom w:val="none" w:sz="0" w:space="0" w:color="auto"/>
        <w:right w:val="none" w:sz="0" w:space="0" w:color="auto"/>
      </w:divBdr>
    </w:div>
    <w:div w:id="1241870586">
      <w:bodyDiv w:val="1"/>
      <w:marLeft w:val="0"/>
      <w:marRight w:val="0"/>
      <w:marTop w:val="0"/>
      <w:marBottom w:val="0"/>
      <w:divBdr>
        <w:top w:val="none" w:sz="0" w:space="0" w:color="auto"/>
        <w:left w:val="none" w:sz="0" w:space="0" w:color="auto"/>
        <w:bottom w:val="none" w:sz="0" w:space="0" w:color="auto"/>
        <w:right w:val="none" w:sz="0" w:space="0" w:color="auto"/>
      </w:divBdr>
    </w:div>
    <w:div w:id="1241984274">
      <w:bodyDiv w:val="1"/>
      <w:marLeft w:val="0"/>
      <w:marRight w:val="0"/>
      <w:marTop w:val="0"/>
      <w:marBottom w:val="0"/>
      <w:divBdr>
        <w:top w:val="none" w:sz="0" w:space="0" w:color="auto"/>
        <w:left w:val="none" w:sz="0" w:space="0" w:color="auto"/>
        <w:bottom w:val="none" w:sz="0" w:space="0" w:color="auto"/>
        <w:right w:val="none" w:sz="0" w:space="0" w:color="auto"/>
      </w:divBdr>
    </w:div>
    <w:div w:id="1242063925">
      <w:bodyDiv w:val="1"/>
      <w:marLeft w:val="0"/>
      <w:marRight w:val="0"/>
      <w:marTop w:val="0"/>
      <w:marBottom w:val="0"/>
      <w:divBdr>
        <w:top w:val="none" w:sz="0" w:space="0" w:color="auto"/>
        <w:left w:val="none" w:sz="0" w:space="0" w:color="auto"/>
        <w:bottom w:val="none" w:sz="0" w:space="0" w:color="auto"/>
        <w:right w:val="none" w:sz="0" w:space="0" w:color="auto"/>
      </w:divBdr>
    </w:div>
    <w:div w:id="1242108264">
      <w:bodyDiv w:val="1"/>
      <w:marLeft w:val="0"/>
      <w:marRight w:val="0"/>
      <w:marTop w:val="0"/>
      <w:marBottom w:val="0"/>
      <w:divBdr>
        <w:top w:val="none" w:sz="0" w:space="0" w:color="auto"/>
        <w:left w:val="none" w:sz="0" w:space="0" w:color="auto"/>
        <w:bottom w:val="none" w:sz="0" w:space="0" w:color="auto"/>
        <w:right w:val="none" w:sz="0" w:space="0" w:color="auto"/>
      </w:divBdr>
    </w:div>
    <w:div w:id="1242175401">
      <w:bodyDiv w:val="1"/>
      <w:marLeft w:val="0"/>
      <w:marRight w:val="0"/>
      <w:marTop w:val="0"/>
      <w:marBottom w:val="0"/>
      <w:divBdr>
        <w:top w:val="none" w:sz="0" w:space="0" w:color="auto"/>
        <w:left w:val="none" w:sz="0" w:space="0" w:color="auto"/>
        <w:bottom w:val="none" w:sz="0" w:space="0" w:color="auto"/>
        <w:right w:val="none" w:sz="0" w:space="0" w:color="auto"/>
      </w:divBdr>
    </w:div>
    <w:div w:id="1242250541">
      <w:bodyDiv w:val="1"/>
      <w:marLeft w:val="0"/>
      <w:marRight w:val="0"/>
      <w:marTop w:val="0"/>
      <w:marBottom w:val="0"/>
      <w:divBdr>
        <w:top w:val="none" w:sz="0" w:space="0" w:color="auto"/>
        <w:left w:val="none" w:sz="0" w:space="0" w:color="auto"/>
        <w:bottom w:val="none" w:sz="0" w:space="0" w:color="auto"/>
        <w:right w:val="none" w:sz="0" w:space="0" w:color="auto"/>
      </w:divBdr>
    </w:div>
    <w:div w:id="1242325493">
      <w:bodyDiv w:val="1"/>
      <w:marLeft w:val="0"/>
      <w:marRight w:val="0"/>
      <w:marTop w:val="0"/>
      <w:marBottom w:val="0"/>
      <w:divBdr>
        <w:top w:val="none" w:sz="0" w:space="0" w:color="auto"/>
        <w:left w:val="none" w:sz="0" w:space="0" w:color="auto"/>
        <w:bottom w:val="none" w:sz="0" w:space="0" w:color="auto"/>
        <w:right w:val="none" w:sz="0" w:space="0" w:color="auto"/>
      </w:divBdr>
    </w:div>
    <w:div w:id="1242331504">
      <w:bodyDiv w:val="1"/>
      <w:marLeft w:val="0"/>
      <w:marRight w:val="0"/>
      <w:marTop w:val="0"/>
      <w:marBottom w:val="0"/>
      <w:divBdr>
        <w:top w:val="none" w:sz="0" w:space="0" w:color="auto"/>
        <w:left w:val="none" w:sz="0" w:space="0" w:color="auto"/>
        <w:bottom w:val="none" w:sz="0" w:space="0" w:color="auto"/>
        <w:right w:val="none" w:sz="0" w:space="0" w:color="auto"/>
      </w:divBdr>
    </w:div>
    <w:div w:id="1242333169">
      <w:bodyDiv w:val="1"/>
      <w:marLeft w:val="0"/>
      <w:marRight w:val="0"/>
      <w:marTop w:val="0"/>
      <w:marBottom w:val="0"/>
      <w:divBdr>
        <w:top w:val="none" w:sz="0" w:space="0" w:color="auto"/>
        <w:left w:val="none" w:sz="0" w:space="0" w:color="auto"/>
        <w:bottom w:val="none" w:sz="0" w:space="0" w:color="auto"/>
        <w:right w:val="none" w:sz="0" w:space="0" w:color="auto"/>
      </w:divBdr>
    </w:div>
    <w:div w:id="1242371688">
      <w:bodyDiv w:val="1"/>
      <w:marLeft w:val="0"/>
      <w:marRight w:val="0"/>
      <w:marTop w:val="0"/>
      <w:marBottom w:val="0"/>
      <w:divBdr>
        <w:top w:val="none" w:sz="0" w:space="0" w:color="auto"/>
        <w:left w:val="none" w:sz="0" w:space="0" w:color="auto"/>
        <w:bottom w:val="none" w:sz="0" w:space="0" w:color="auto"/>
        <w:right w:val="none" w:sz="0" w:space="0" w:color="auto"/>
      </w:divBdr>
    </w:div>
    <w:div w:id="1242371965">
      <w:bodyDiv w:val="1"/>
      <w:marLeft w:val="0"/>
      <w:marRight w:val="0"/>
      <w:marTop w:val="0"/>
      <w:marBottom w:val="0"/>
      <w:divBdr>
        <w:top w:val="none" w:sz="0" w:space="0" w:color="auto"/>
        <w:left w:val="none" w:sz="0" w:space="0" w:color="auto"/>
        <w:bottom w:val="none" w:sz="0" w:space="0" w:color="auto"/>
        <w:right w:val="none" w:sz="0" w:space="0" w:color="auto"/>
      </w:divBdr>
    </w:div>
    <w:div w:id="1242375973">
      <w:bodyDiv w:val="1"/>
      <w:marLeft w:val="0"/>
      <w:marRight w:val="0"/>
      <w:marTop w:val="0"/>
      <w:marBottom w:val="0"/>
      <w:divBdr>
        <w:top w:val="none" w:sz="0" w:space="0" w:color="auto"/>
        <w:left w:val="none" w:sz="0" w:space="0" w:color="auto"/>
        <w:bottom w:val="none" w:sz="0" w:space="0" w:color="auto"/>
        <w:right w:val="none" w:sz="0" w:space="0" w:color="auto"/>
      </w:divBdr>
    </w:div>
    <w:div w:id="1242376328">
      <w:bodyDiv w:val="1"/>
      <w:marLeft w:val="0"/>
      <w:marRight w:val="0"/>
      <w:marTop w:val="0"/>
      <w:marBottom w:val="0"/>
      <w:divBdr>
        <w:top w:val="none" w:sz="0" w:space="0" w:color="auto"/>
        <w:left w:val="none" w:sz="0" w:space="0" w:color="auto"/>
        <w:bottom w:val="none" w:sz="0" w:space="0" w:color="auto"/>
        <w:right w:val="none" w:sz="0" w:space="0" w:color="auto"/>
      </w:divBdr>
    </w:div>
    <w:div w:id="1242443008">
      <w:bodyDiv w:val="1"/>
      <w:marLeft w:val="0"/>
      <w:marRight w:val="0"/>
      <w:marTop w:val="0"/>
      <w:marBottom w:val="0"/>
      <w:divBdr>
        <w:top w:val="none" w:sz="0" w:space="0" w:color="auto"/>
        <w:left w:val="none" w:sz="0" w:space="0" w:color="auto"/>
        <w:bottom w:val="none" w:sz="0" w:space="0" w:color="auto"/>
        <w:right w:val="none" w:sz="0" w:space="0" w:color="auto"/>
      </w:divBdr>
    </w:div>
    <w:div w:id="1242450194">
      <w:bodyDiv w:val="1"/>
      <w:marLeft w:val="0"/>
      <w:marRight w:val="0"/>
      <w:marTop w:val="0"/>
      <w:marBottom w:val="0"/>
      <w:divBdr>
        <w:top w:val="none" w:sz="0" w:space="0" w:color="auto"/>
        <w:left w:val="none" w:sz="0" w:space="0" w:color="auto"/>
        <w:bottom w:val="none" w:sz="0" w:space="0" w:color="auto"/>
        <w:right w:val="none" w:sz="0" w:space="0" w:color="auto"/>
      </w:divBdr>
    </w:div>
    <w:div w:id="1242450202">
      <w:bodyDiv w:val="1"/>
      <w:marLeft w:val="0"/>
      <w:marRight w:val="0"/>
      <w:marTop w:val="0"/>
      <w:marBottom w:val="0"/>
      <w:divBdr>
        <w:top w:val="none" w:sz="0" w:space="0" w:color="auto"/>
        <w:left w:val="none" w:sz="0" w:space="0" w:color="auto"/>
        <w:bottom w:val="none" w:sz="0" w:space="0" w:color="auto"/>
        <w:right w:val="none" w:sz="0" w:space="0" w:color="auto"/>
      </w:divBdr>
    </w:div>
    <w:div w:id="1242526203">
      <w:bodyDiv w:val="1"/>
      <w:marLeft w:val="0"/>
      <w:marRight w:val="0"/>
      <w:marTop w:val="0"/>
      <w:marBottom w:val="0"/>
      <w:divBdr>
        <w:top w:val="none" w:sz="0" w:space="0" w:color="auto"/>
        <w:left w:val="none" w:sz="0" w:space="0" w:color="auto"/>
        <w:bottom w:val="none" w:sz="0" w:space="0" w:color="auto"/>
        <w:right w:val="none" w:sz="0" w:space="0" w:color="auto"/>
      </w:divBdr>
    </w:div>
    <w:div w:id="1242637649">
      <w:bodyDiv w:val="1"/>
      <w:marLeft w:val="0"/>
      <w:marRight w:val="0"/>
      <w:marTop w:val="0"/>
      <w:marBottom w:val="0"/>
      <w:divBdr>
        <w:top w:val="none" w:sz="0" w:space="0" w:color="auto"/>
        <w:left w:val="none" w:sz="0" w:space="0" w:color="auto"/>
        <w:bottom w:val="none" w:sz="0" w:space="0" w:color="auto"/>
        <w:right w:val="none" w:sz="0" w:space="0" w:color="auto"/>
      </w:divBdr>
    </w:div>
    <w:div w:id="1242637973">
      <w:bodyDiv w:val="1"/>
      <w:marLeft w:val="0"/>
      <w:marRight w:val="0"/>
      <w:marTop w:val="0"/>
      <w:marBottom w:val="0"/>
      <w:divBdr>
        <w:top w:val="none" w:sz="0" w:space="0" w:color="auto"/>
        <w:left w:val="none" w:sz="0" w:space="0" w:color="auto"/>
        <w:bottom w:val="none" w:sz="0" w:space="0" w:color="auto"/>
        <w:right w:val="none" w:sz="0" w:space="0" w:color="auto"/>
      </w:divBdr>
    </w:div>
    <w:div w:id="1242641819">
      <w:bodyDiv w:val="1"/>
      <w:marLeft w:val="0"/>
      <w:marRight w:val="0"/>
      <w:marTop w:val="0"/>
      <w:marBottom w:val="0"/>
      <w:divBdr>
        <w:top w:val="none" w:sz="0" w:space="0" w:color="auto"/>
        <w:left w:val="none" w:sz="0" w:space="0" w:color="auto"/>
        <w:bottom w:val="none" w:sz="0" w:space="0" w:color="auto"/>
        <w:right w:val="none" w:sz="0" w:space="0" w:color="auto"/>
      </w:divBdr>
    </w:div>
    <w:div w:id="1242830435">
      <w:bodyDiv w:val="1"/>
      <w:marLeft w:val="0"/>
      <w:marRight w:val="0"/>
      <w:marTop w:val="0"/>
      <w:marBottom w:val="0"/>
      <w:divBdr>
        <w:top w:val="none" w:sz="0" w:space="0" w:color="auto"/>
        <w:left w:val="none" w:sz="0" w:space="0" w:color="auto"/>
        <w:bottom w:val="none" w:sz="0" w:space="0" w:color="auto"/>
        <w:right w:val="none" w:sz="0" w:space="0" w:color="auto"/>
      </w:divBdr>
    </w:div>
    <w:div w:id="1242837817">
      <w:bodyDiv w:val="1"/>
      <w:marLeft w:val="0"/>
      <w:marRight w:val="0"/>
      <w:marTop w:val="0"/>
      <w:marBottom w:val="0"/>
      <w:divBdr>
        <w:top w:val="none" w:sz="0" w:space="0" w:color="auto"/>
        <w:left w:val="none" w:sz="0" w:space="0" w:color="auto"/>
        <w:bottom w:val="none" w:sz="0" w:space="0" w:color="auto"/>
        <w:right w:val="none" w:sz="0" w:space="0" w:color="auto"/>
      </w:divBdr>
    </w:div>
    <w:div w:id="1242906370">
      <w:bodyDiv w:val="1"/>
      <w:marLeft w:val="0"/>
      <w:marRight w:val="0"/>
      <w:marTop w:val="0"/>
      <w:marBottom w:val="0"/>
      <w:divBdr>
        <w:top w:val="none" w:sz="0" w:space="0" w:color="auto"/>
        <w:left w:val="none" w:sz="0" w:space="0" w:color="auto"/>
        <w:bottom w:val="none" w:sz="0" w:space="0" w:color="auto"/>
        <w:right w:val="none" w:sz="0" w:space="0" w:color="auto"/>
      </w:divBdr>
    </w:div>
    <w:div w:id="1242908173">
      <w:bodyDiv w:val="1"/>
      <w:marLeft w:val="0"/>
      <w:marRight w:val="0"/>
      <w:marTop w:val="0"/>
      <w:marBottom w:val="0"/>
      <w:divBdr>
        <w:top w:val="none" w:sz="0" w:space="0" w:color="auto"/>
        <w:left w:val="none" w:sz="0" w:space="0" w:color="auto"/>
        <w:bottom w:val="none" w:sz="0" w:space="0" w:color="auto"/>
        <w:right w:val="none" w:sz="0" w:space="0" w:color="auto"/>
      </w:divBdr>
    </w:div>
    <w:div w:id="1243107373">
      <w:bodyDiv w:val="1"/>
      <w:marLeft w:val="0"/>
      <w:marRight w:val="0"/>
      <w:marTop w:val="0"/>
      <w:marBottom w:val="0"/>
      <w:divBdr>
        <w:top w:val="none" w:sz="0" w:space="0" w:color="auto"/>
        <w:left w:val="none" w:sz="0" w:space="0" w:color="auto"/>
        <w:bottom w:val="none" w:sz="0" w:space="0" w:color="auto"/>
        <w:right w:val="none" w:sz="0" w:space="0" w:color="auto"/>
      </w:divBdr>
    </w:div>
    <w:div w:id="1243174966">
      <w:bodyDiv w:val="1"/>
      <w:marLeft w:val="0"/>
      <w:marRight w:val="0"/>
      <w:marTop w:val="0"/>
      <w:marBottom w:val="0"/>
      <w:divBdr>
        <w:top w:val="none" w:sz="0" w:space="0" w:color="auto"/>
        <w:left w:val="none" w:sz="0" w:space="0" w:color="auto"/>
        <w:bottom w:val="none" w:sz="0" w:space="0" w:color="auto"/>
        <w:right w:val="none" w:sz="0" w:space="0" w:color="auto"/>
      </w:divBdr>
    </w:div>
    <w:div w:id="1243292486">
      <w:bodyDiv w:val="1"/>
      <w:marLeft w:val="0"/>
      <w:marRight w:val="0"/>
      <w:marTop w:val="0"/>
      <w:marBottom w:val="0"/>
      <w:divBdr>
        <w:top w:val="none" w:sz="0" w:space="0" w:color="auto"/>
        <w:left w:val="none" w:sz="0" w:space="0" w:color="auto"/>
        <w:bottom w:val="none" w:sz="0" w:space="0" w:color="auto"/>
        <w:right w:val="none" w:sz="0" w:space="0" w:color="auto"/>
      </w:divBdr>
    </w:div>
    <w:div w:id="1243292938">
      <w:bodyDiv w:val="1"/>
      <w:marLeft w:val="0"/>
      <w:marRight w:val="0"/>
      <w:marTop w:val="0"/>
      <w:marBottom w:val="0"/>
      <w:divBdr>
        <w:top w:val="none" w:sz="0" w:space="0" w:color="auto"/>
        <w:left w:val="none" w:sz="0" w:space="0" w:color="auto"/>
        <w:bottom w:val="none" w:sz="0" w:space="0" w:color="auto"/>
        <w:right w:val="none" w:sz="0" w:space="0" w:color="auto"/>
      </w:divBdr>
    </w:div>
    <w:div w:id="1243300743">
      <w:bodyDiv w:val="1"/>
      <w:marLeft w:val="0"/>
      <w:marRight w:val="0"/>
      <w:marTop w:val="0"/>
      <w:marBottom w:val="0"/>
      <w:divBdr>
        <w:top w:val="none" w:sz="0" w:space="0" w:color="auto"/>
        <w:left w:val="none" w:sz="0" w:space="0" w:color="auto"/>
        <w:bottom w:val="none" w:sz="0" w:space="0" w:color="auto"/>
        <w:right w:val="none" w:sz="0" w:space="0" w:color="auto"/>
      </w:divBdr>
    </w:div>
    <w:div w:id="1243488786">
      <w:bodyDiv w:val="1"/>
      <w:marLeft w:val="0"/>
      <w:marRight w:val="0"/>
      <w:marTop w:val="0"/>
      <w:marBottom w:val="0"/>
      <w:divBdr>
        <w:top w:val="none" w:sz="0" w:space="0" w:color="auto"/>
        <w:left w:val="none" w:sz="0" w:space="0" w:color="auto"/>
        <w:bottom w:val="none" w:sz="0" w:space="0" w:color="auto"/>
        <w:right w:val="none" w:sz="0" w:space="0" w:color="auto"/>
      </w:divBdr>
    </w:div>
    <w:div w:id="1243566575">
      <w:bodyDiv w:val="1"/>
      <w:marLeft w:val="0"/>
      <w:marRight w:val="0"/>
      <w:marTop w:val="0"/>
      <w:marBottom w:val="0"/>
      <w:divBdr>
        <w:top w:val="none" w:sz="0" w:space="0" w:color="auto"/>
        <w:left w:val="none" w:sz="0" w:space="0" w:color="auto"/>
        <w:bottom w:val="none" w:sz="0" w:space="0" w:color="auto"/>
        <w:right w:val="none" w:sz="0" w:space="0" w:color="auto"/>
      </w:divBdr>
    </w:div>
    <w:div w:id="1243681249">
      <w:bodyDiv w:val="1"/>
      <w:marLeft w:val="0"/>
      <w:marRight w:val="0"/>
      <w:marTop w:val="0"/>
      <w:marBottom w:val="0"/>
      <w:divBdr>
        <w:top w:val="none" w:sz="0" w:space="0" w:color="auto"/>
        <w:left w:val="none" w:sz="0" w:space="0" w:color="auto"/>
        <w:bottom w:val="none" w:sz="0" w:space="0" w:color="auto"/>
        <w:right w:val="none" w:sz="0" w:space="0" w:color="auto"/>
      </w:divBdr>
    </w:div>
    <w:div w:id="1243831866">
      <w:bodyDiv w:val="1"/>
      <w:marLeft w:val="0"/>
      <w:marRight w:val="0"/>
      <w:marTop w:val="0"/>
      <w:marBottom w:val="0"/>
      <w:divBdr>
        <w:top w:val="none" w:sz="0" w:space="0" w:color="auto"/>
        <w:left w:val="none" w:sz="0" w:space="0" w:color="auto"/>
        <w:bottom w:val="none" w:sz="0" w:space="0" w:color="auto"/>
        <w:right w:val="none" w:sz="0" w:space="0" w:color="auto"/>
      </w:divBdr>
    </w:div>
    <w:div w:id="1243877608">
      <w:bodyDiv w:val="1"/>
      <w:marLeft w:val="0"/>
      <w:marRight w:val="0"/>
      <w:marTop w:val="0"/>
      <w:marBottom w:val="0"/>
      <w:divBdr>
        <w:top w:val="none" w:sz="0" w:space="0" w:color="auto"/>
        <w:left w:val="none" w:sz="0" w:space="0" w:color="auto"/>
        <w:bottom w:val="none" w:sz="0" w:space="0" w:color="auto"/>
        <w:right w:val="none" w:sz="0" w:space="0" w:color="auto"/>
      </w:divBdr>
    </w:div>
    <w:div w:id="1243879475">
      <w:bodyDiv w:val="1"/>
      <w:marLeft w:val="0"/>
      <w:marRight w:val="0"/>
      <w:marTop w:val="0"/>
      <w:marBottom w:val="0"/>
      <w:divBdr>
        <w:top w:val="none" w:sz="0" w:space="0" w:color="auto"/>
        <w:left w:val="none" w:sz="0" w:space="0" w:color="auto"/>
        <w:bottom w:val="none" w:sz="0" w:space="0" w:color="auto"/>
        <w:right w:val="none" w:sz="0" w:space="0" w:color="auto"/>
      </w:divBdr>
    </w:div>
    <w:div w:id="1244141421">
      <w:bodyDiv w:val="1"/>
      <w:marLeft w:val="0"/>
      <w:marRight w:val="0"/>
      <w:marTop w:val="0"/>
      <w:marBottom w:val="0"/>
      <w:divBdr>
        <w:top w:val="none" w:sz="0" w:space="0" w:color="auto"/>
        <w:left w:val="none" w:sz="0" w:space="0" w:color="auto"/>
        <w:bottom w:val="none" w:sz="0" w:space="0" w:color="auto"/>
        <w:right w:val="none" w:sz="0" w:space="0" w:color="auto"/>
      </w:divBdr>
    </w:div>
    <w:div w:id="1244222337">
      <w:bodyDiv w:val="1"/>
      <w:marLeft w:val="0"/>
      <w:marRight w:val="0"/>
      <w:marTop w:val="0"/>
      <w:marBottom w:val="0"/>
      <w:divBdr>
        <w:top w:val="none" w:sz="0" w:space="0" w:color="auto"/>
        <w:left w:val="none" w:sz="0" w:space="0" w:color="auto"/>
        <w:bottom w:val="none" w:sz="0" w:space="0" w:color="auto"/>
        <w:right w:val="none" w:sz="0" w:space="0" w:color="auto"/>
      </w:divBdr>
    </w:div>
    <w:div w:id="1244334977">
      <w:bodyDiv w:val="1"/>
      <w:marLeft w:val="0"/>
      <w:marRight w:val="0"/>
      <w:marTop w:val="0"/>
      <w:marBottom w:val="0"/>
      <w:divBdr>
        <w:top w:val="none" w:sz="0" w:space="0" w:color="auto"/>
        <w:left w:val="none" w:sz="0" w:space="0" w:color="auto"/>
        <w:bottom w:val="none" w:sz="0" w:space="0" w:color="auto"/>
        <w:right w:val="none" w:sz="0" w:space="0" w:color="auto"/>
      </w:divBdr>
    </w:div>
    <w:div w:id="1244409734">
      <w:bodyDiv w:val="1"/>
      <w:marLeft w:val="0"/>
      <w:marRight w:val="0"/>
      <w:marTop w:val="0"/>
      <w:marBottom w:val="0"/>
      <w:divBdr>
        <w:top w:val="none" w:sz="0" w:space="0" w:color="auto"/>
        <w:left w:val="none" w:sz="0" w:space="0" w:color="auto"/>
        <w:bottom w:val="none" w:sz="0" w:space="0" w:color="auto"/>
        <w:right w:val="none" w:sz="0" w:space="0" w:color="auto"/>
      </w:divBdr>
    </w:div>
    <w:div w:id="1244560957">
      <w:bodyDiv w:val="1"/>
      <w:marLeft w:val="0"/>
      <w:marRight w:val="0"/>
      <w:marTop w:val="0"/>
      <w:marBottom w:val="0"/>
      <w:divBdr>
        <w:top w:val="none" w:sz="0" w:space="0" w:color="auto"/>
        <w:left w:val="none" w:sz="0" w:space="0" w:color="auto"/>
        <w:bottom w:val="none" w:sz="0" w:space="0" w:color="auto"/>
        <w:right w:val="none" w:sz="0" w:space="0" w:color="auto"/>
      </w:divBdr>
    </w:div>
    <w:div w:id="1244610166">
      <w:bodyDiv w:val="1"/>
      <w:marLeft w:val="0"/>
      <w:marRight w:val="0"/>
      <w:marTop w:val="0"/>
      <w:marBottom w:val="0"/>
      <w:divBdr>
        <w:top w:val="none" w:sz="0" w:space="0" w:color="auto"/>
        <w:left w:val="none" w:sz="0" w:space="0" w:color="auto"/>
        <w:bottom w:val="none" w:sz="0" w:space="0" w:color="auto"/>
        <w:right w:val="none" w:sz="0" w:space="0" w:color="auto"/>
      </w:divBdr>
    </w:div>
    <w:div w:id="1244686500">
      <w:bodyDiv w:val="1"/>
      <w:marLeft w:val="0"/>
      <w:marRight w:val="0"/>
      <w:marTop w:val="0"/>
      <w:marBottom w:val="0"/>
      <w:divBdr>
        <w:top w:val="none" w:sz="0" w:space="0" w:color="auto"/>
        <w:left w:val="none" w:sz="0" w:space="0" w:color="auto"/>
        <w:bottom w:val="none" w:sz="0" w:space="0" w:color="auto"/>
        <w:right w:val="none" w:sz="0" w:space="0" w:color="auto"/>
      </w:divBdr>
    </w:div>
    <w:div w:id="1244798180">
      <w:bodyDiv w:val="1"/>
      <w:marLeft w:val="0"/>
      <w:marRight w:val="0"/>
      <w:marTop w:val="0"/>
      <w:marBottom w:val="0"/>
      <w:divBdr>
        <w:top w:val="none" w:sz="0" w:space="0" w:color="auto"/>
        <w:left w:val="none" w:sz="0" w:space="0" w:color="auto"/>
        <w:bottom w:val="none" w:sz="0" w:space="0" w:color="auto"/>
        <w:right w:val="none" w:sz="0" w:space="0" w:color="auto"/>
      </w:divBdr>
    </w:div>
    <w:div w:id="1244874722">
      <w:bodyDiv w:val="1"/>
      <w:marLeft w:val="0"/>
      <w:marRight w:val="0"/>
      <w:marTop w:val="0"/>
      <w:marBottom w:val="0"/>
      <w:divBdr>
        <w:top w:val="none" w:sz="0" w:space="0" w:color="auto"/>
        <w:left w:val="none" w:sz="0" w:space="0" w:color="auto"/>
        <w:bottom w:val="none" w:sz="0" w:space="0" w:color="auto"/>
        <w:right w:val="none" w:sz="0" w:space="0" w:color="auto"/>
      </w:divBdr>
    </w:div>
    <w:div w:id="1244953625">
      <w:bodyDiv w:val="1"/>
      <w:marLeft w:val="0"/>
      <w:marRight w:val="0"/>
      <w:marTop w:val="0"/>
      <w:marBottom w:val="0"/>
      <w:divBdr>
        <w:top w:val="none" w:sz="0" w:space="0" w:color="auto"/>
        <w:left w:val="none" w:sz="0" w:space="0" w:color="auto"/>
        <w:bottom w:val="none" w:sz="0" w:space="0" w:color="auto"/>
        <w:right w:val="none" w:sz="0" w:space="0" w:color="auto"/>
      </w:divBdr>
    </w:div>
    <w:div w:id="1244989218">
      <w:bodyDiv w:val="1"/>
      <w:marLeft w:val="0"/>
      <w:marRight w:val="0"/>
      <w:marTop w:val="0"/>
      <w:marBottom w:val="0"/>
      <w:divBdr>
        <w:top w:val="none" w:sz="0" w:space="0" w:color="auto"/>
        <w:left w:val="none" w:sz="0" w:space="0" w:color="auto"/>
        <w:bottom w:val="none" w:sz="0" w:space="0" w:color="auto"/>
        <w:right w:val="none" w:sz="0" w:space="0" w:color="auto"/>
      </w:divBdr>
    </w:div>
    <w:div w:id="1245142876">
      <w:bodyDiv w:val="1"/>
      <w:marLeft w:val="0"/>
      <w:marRight w:val="0"/>
      <w:marTop w:val="0"/>
      <w:marBottom w:val="0"/>
      <w:divBdr>
        <w:top w:val="none" w:sz="0" w:space="0" w:color="auto"/>
        <w:left w:val="none" w:sz="0" w:space="0" w:color="auto"/>
        <w:bottom w:val="none" w:sz="0" w:space="0" w:color="auto"/>
        <w:right w:val="none" w:sz="0" w:space="0" w:color="auto"/>
      </w:divBdr>
    </w:div>
    <w:div w:id="1245263022">
      <w:bodyDiv w:val="1"/>
      <w:marLeft w:val="0"/>
      <w:marRight w:val="0"/>
      <w:marTop w:val="0"/>
      <w:marBottom w:val="0"/>
      <w:divBdr>
        <w:top w:val="none" w:sz="0" w:space="0" w:color="auto"/>
        <w:left w:val="none" w:sz="0" w:space="0" w:color="auto"/>
        <w:bottom w:val="none" w:sz="0" w:space="0" w:color="auto"/>
        <w:right w:val="none" w:sz="0" w:space="0" w:color="auto"/>
      </w:divBdr>
    </w:div>
    <w:div w:id="1245266845">
      <w:bodyDiv w:val="1"/>
      <w:marLeft w:val="0"/>
      <w:marRight w:val="0"/>
      <w:marTop w:val="0"/>
      <w:marBottom w:val="0"/>
      <w:divBdr>
        <w:top w:val="none" w:sz="0" w:space="0" w:color="auto"/>
        <w:left w:val="none" w:sz="0" w:space="0" w:color="auto"/>
        <w:bottom w:val="none" w:sz="0" w:space="0" w:color="auto"/>
        <w:right w:val="none" w:sz="0" w:space="0" w:color="auto"/>
      </w:divBdr>
    </w:div>
    <w:div w:id="1245334116">
      <w:bodyDiv w:val="1"/>
      <w:marLeft w:val="0"/>
      <w:marRight w:val="0"/>
      <w:marTop w:val="0"/>
      <w:marBottom w:val="0"/>
      <w:divBdr>
        <w:top w:val="none" w:sz="0" w:space="0" w:color="auto"/>
        <w:left w:val="none" w:sz="0" w:space="0" w:color="auto"/>
        <w:bottom w:val="none" w:sz="0" w:space="0" w:color="auto"/>
        <w:right w:val="none" w:sz="0" w:space="0" w:color="auto"/>
      </w:divBdr>
    </w:div>
    <w:div w:id="1245340154">
      <w:bodyDiv w:val="1"/>
      <w:marLeft w:val="0"/>
      <w:marRight w:val="0"/>
      <w:marTop w:val="0"/>
      <w:marBottom w:val="0"/>
      <w:divBdr>
        <w:top w:val="none" w:sz="0" w:space="0" w:color="auto"/>
        <w:left w:val="none" w:sz="0" w:space="0" w:color="auto"/>
        <w:bottom w:val="none" w:sz="0" w:space="0" w:color="auto"/>
        <w:right w:val="none" w:sz="0" w:space="0" w:color="auto"/>
      </w:divBdr>
    </w:div>
    <w:div w:id="1245383992">
      <w:bodyDiv w:val="1"/>
      <w:marLeft w:val="0"/>
      <w:marRight w:val="0"/>
      <w:marTop w:val="0"/>
      <w:marBottom w:val="0"/>
      <w:divBdr>
        <w:top w:val="none" w:sz="0" w:space="0" w:color="auto"/>
        <w:left w:val="none" w:sz="0" w:space="0" w:color="auto"/>
        <w:bottom w:val="none" w:sz="0" w:space="0" w:color="auto"/>
        <w:right w:val="none" w:sz="0" w:space="0" w:color="auto"/>
      </w:divBdr>
    </w:div>
    <w:div w:id="1245411446">
      <w:bodyDiv w:val="1"/>
      <w:marLeft w:val="0"/>
      <w:marRight w:val="0"/>
      <w:marTop w:val="0"/>
      <w:marBottom w:val="0"/>
      <w:divBdr>
        <w:top w:val="none" w:sz="0" w:space="0" w:color="auto"/>
        <w:left w:val="none" w:sz="0" w:space="0" w:color="auto"/>
        <w:bottom w:val="none" w:sz="0" w:space="0" w:color="auto"/>
        <w:right w:val="none" w:sz="0" w:space="0" w:color="auto"/>
      </w:divBdr>
    </w:div>
    <w:div w:id="1245454327">
      <w:bodyDiv w:val="1"/>
      <w:marLeft w:val="0"/>
      <w:marRight w:val="0"/>
      <w:marTop w:val="0"/>
      <w:marBottom w:val="0"/>
      <w:divBdr>
        <w:top w:val="none" w:sz="0" w:space="0" w:color="auto"/>
        <w:left w:val="none" w:sz="0" w:space="0" w:color="auto"/>
        <w:bottom w:val="none" w:sz="0" w:space="0" w:color="auto"/>
        <w:right w:val="none" w:sz="0" w:space="0" w:color="auto"/>
      </w:divBdr>
    </w:div>
    <w:div w:id="1245458210">
      <w:bodyDiv w:val="1"/>
      <w:marLeft w:val="0"/>
      <w:marRight w:val="0"/>
      <w:marTop w:val="0"/>
      <w:marBottom w:val="0"/>
      <w:divBdr>
        <w:top w:val="none" w:sz="0" w:space="0" w:color="auto"/>
        <w:left w:val="none" w:sz="0" w:space="0" w:color="auto"/>
        <w:bottom w:val="none" w:sz="0" w:space="0" w:color="auto"/>
        <w:right w:val="none" w:sz="0" w:space="0" w:color="auto"/>
      </w:divBdr>
    </w:div>
    <w:div w:id="1245526134">
      <w:bodyDiv w:val="1"/>
      <w:marLeft w:val="0"/>
      <w:marRight w:val="0"/>
      <w:marTop w:val="0"/>
      <w:marBottom w:val="0"/>
      <w:divBdr>
        <w:top w:val="none" w:sz="0" w:space="0" w:color="auto"/>
        <w:left w:val="none" w:sz="0" w:space="0" w:color="auto"/>
        <w:bottom w:val="none" w:sz="0" w:space="0" w:color="auto"/>
        <w:right w:val="none" w:sz="0" w:space="0" w:color="auto"/>
      </w:divBdr>
    </w:div>
    <w:div w:id="1245603284">
      <w:bodyDiv w:val="1"/>
      <w:marLeft w:val="0"/>
      <w:marRight w:val="0"/>
      <w:marTop w:val="0"/>
      <w:marBottom w:val="0"/>
      <w:divBdr>
        <w:top w:val="none" w:sz="0" w:space="0" w:color="auto"/>
        <w:left w:val="none" w:sz="0" w:space="0" w:color="auto"/>
        <w:bottom w:val="none" w:sz="0" w:space="0" w:color="auto"/>
        <w:right w:val="none" w:sz="0" w:space="0" w:color="auto"/>
      </w:divBdr>
    </w:div>
    <w:div w:id="1245722492">
      <w:bodyDiv w:val="1"/>
      <w:marLeft w:val="0"/>
      <w:marRight w:val="0"/>
      <w:marTop w:val="0"/>
      <w:marBottom w:val="0"/>
      <w:divBdr>
        <w:top w:val="none" w:sz="0" w:space="0" w:color="auto"/>
        <w:left w:val="none" w:sz="0" w:space="0" w:color="auto"/>
        <w:bottom w:val="none" w:sz="0" w:space="0" w:color="auto"/>
        <w:right w:val="none" w:sz="0" w:space="0" w:color="auto"/>
      </w:divBdr>
    </w:div>
    <w:div w:id="1245727202">
      <w:bodyDiv w:val="1"/>
      <w:marLeft w:val="0"/>
      <w:marRight w:val="0"/>
      <w:marTop w:val="0"/>
      <w:marBottom w:val="0"/>
      <w:divBdr>
        <w:top w:val="none" w:sz="0" w:space="0" w:color="auto"/>
        <w:left w:val="none" w:sz="0" w:space="0" w:color="auto"/>
        <w:bottom w:val="none" w:sz="0" w:space="0" w:color="auto"/>
        <w:right w:val="none" w:sz="0" w:space="0" w:color="auto"/>
      </w:divBdr>
    </w:div>
    <w:div w:id="1245794937">
      <w:bodyDiv w:val="1"/>
      <w:marLeft w:val="0"/>
      <w:marRight w:val="0"/>
      <w:marTop w:val="0"/>
      <w:marBottom w:val="0"/>
      <w:divBdr>
        <w:top w:val="none" w:sz="0" w:space="0" w:color="auto"/>
        <w:left w:val="none" w:sz="0" w:space="0" w:color="auto"/>
        <w:bottom w:val="none" w:sz="0" w:space="0" w:color="auto"/>
        <w:right w:val="none" w:sz="0" w:space="0" w:color="auto"/>
      </w:divBdr>
    </w:div>
    <w:div w:id="1246113346">
      <w:bodyDiv w:val="1"/>
      <w:marLeft w:val="0"/>
      <w:marRight w:val="0"/>
      <w:marTop w:val="0"/>
      <w:marBottom w:val="0"/>
      <w:divBdr>
        <w:top w:val="none" w:sz="0" w:space="0" w:color="auto"/>
        <w:left w:val="none" w:sz="0" w:space="0" w:color="auto"/>
        <w:bottom w:val="none" w:sz="0" w:space="0" w:color="auto"/>
        <w:right w:val="none" w:sz="0" w:space="0" w:color="auto"/>
      </w:divBdr>
    </w:div>
    <w:div w:id="1246183164">
      <w:bodyDiv w:val="1"/>
      <w:marLeft w:val="0"/>
      <w:marRight w:val="0"/>
      <w:marTop w:val="0"/>
      <w:marBottom w:val="0"/>
      <w:divBdr>
        <w:top w:val="none" w:sz="0" w:space="0" w:color="auto"/>
        <w:left w:val="none" w:sz="0" w:space="0" w:color="auto"/>
        <w:bottom w:val="none" w:sz="0" w:space="0" w:color="auto"/>
        <w:right w:val="none" w:sz="0" w:space="0" w:color="auto"/>
      </w:divBdr>
    </w:div>
    <w:div w:id="1246184003">
      <w:bodyDiv w:val="1"/>
      <w:marLeft w:val="0"/>
      <w:marRight w:val="0"/>
      <w:marTop w:val="0"/>
      <w:marBottom w:val="0"/>
      <w:divBdr>
        <w:top w:val="none" w:sz="0" w:space="0" w:color="auto"/>
        <w:left w:val="none" w:sz="0" w:space="0" w:color="auto"/>
        <w:bottom w:val="none" w:sz="0" w:space="0" w:color="auto"/>
        <w:right w:val="none" w:sz="0" w:space="0" w:color="auto"/>
      </w:divBdr>
    </w:div>
    <w:div w:id="1246188160">
      <w:bodyDiv w:val="1"/>
      <w:marLeft w:val="0"/>
      <w:marRight w:val="0"/>
      <w:marTop w:val="0"/>
      <w:marBottom w:val="0"/>
      <w:divBdr>
        <w:top w:val="none" w:sz="0" w:space="0" w:color="auto"/>
        <w:left w:val="none" w:sz="0" w:space="0" w:color="auto"/>
        <w:bottom w:val="none" w:sz="0" w:space="0" w:color="auto"/>
        <w:right w:val="none" w:sz="0" w:space="0" w:color="auto"/>
      </w:divBdr>
    </w:div>
    <w:div w:id="1246260180">
      <w:bodyDiv w:val="1"/>
      <w:marLeft w:val="0"/>
      <w:marRight w:val="0"/>
      <w:marTop w:val="0"/>
      <w:marBottom w:val="0"/>
      <w:divBdr>
        <w:top w:val="none" w:sz="0" w:space="0" w:color="auto"/>
        <w:left w:val="none" w:sz="0" w:space="0" w:color="auto"/>
        <w:bottom w:val="none" w:sz="0" w:space="0" w:color="auto"/>
        <w:right w:val="none" w:sz="0" w:space="0" w:color="auto"/>
      </w:divBdr>
    </w:div>
    <w:div w:id="1246264933">
      <w:bodyDiv w:val="1"/>
      <w:marLeft w:val="0"/>
      <w:marRight w:val="0"/>
      <w:marTop w:val="0"/>
      <w:marBottom w:val="0"/>
      <w:divBdr>
        <w:top w:val="none" w:sz="0" w:space="0" w:color="auto"/>
        <w:left w:val="none" w:sz="0" w:space="0" w:color="auto"/>
        <w:bottom w:val="none" w:sz="0" w:space="0" w:color="auto"/>
        <w:right w:val="none" w:sz="0" w:space="0" w:color="auto"/>
      </w:divBdr>
    </w:div>
    <w:div w:id="1246301515">
      <w:bodyDiv w:val="1"/>
      <w:marLeft w:val="0"/>
      <w:marRight w:val="0"/>
      <w:marTop w:val="0"/>
      <w:marBottom w:val="0"/>
      <w:divBdr>
        <w:top w:val="none" w:sz="0" w:space="0" w:color="auto"/>
        <w:left w:val="none" w:sz="0" w:space="0" w:color="auto"/>
        <w:bottom w:val="none" w:sz="0" w:space="0" w:color="auto"/>
        <w:right w:val="none" w:sz="0" w:space="0" w:color="auto"/>
      </w:divBdr>
    </w:div>
    <w:div w:id="1246454420">
      <w:bodyDiv w:val="1"/>
      <w:marLeft w:val="0"/>
      <w:marRight w:val="0"/>
      <w:marTop w:val="0"/>
      <w:marBottom w:val="0"/>
      <w:divBdr>
        <w:top w:val="none" w:sz="0" w:space="0" w:color="auto"/>
        <w:left w:val="none" w:sz="0" w:space="0" w:color="auto"/>
        <w:bottom w:val="none" w:sz="0" w:space="0" w:color="auto"/>
        <w:right w:val="none" w:sz="0" w:space="0" w:color="auto"/>
      </w:divBdr>
    </w:div>
    <w:div w:id="1246571237">
      <w:bodyDiv w:val="1"/>
      <w:marLeft w:val="0"/>
      <w:marRight w:val="0"/>
      <w:marTop w:val="0"/>
      <w:marBottom w:val="0"/>
      <w:divBdr>
        <w:top w:val="none" w:sz="0" w:space="0" w:color="auto"/>
        <w:left w:val="none" w:sz="0" w:space="0" w:color="auto"/>
        <w:bottom w:val="none" w:sz="0" w:space="0" w:color="auto"/>
        <w:right w:val="none" w:sz="0" w:space="0" w:color="auto"/>
      </w:divBdr>
    </w:div>
    <w:div w:id="1246721791">
      <w:bodyDiv w:val="1"/>
      <w:marLeft w:val="0"/>
      <w:marRight w:val="0"/>
      <w:marTop w:val="0"/>
      <w:marBottom w:val="0"/>
      <w:divBdr>
        <w:top w:val="none" w:sz="0" w:space="0" w:color="auto"/>
        <w:left w:val="none" w:sz="0" w:space="0" w:color="auto"/>
        <w:bottom w:val="none" w:sz="0" w:space="0" w:color="auto"/>
        <w:right w:val="none" w:sz="0" w:space="0" w:color="auto"/>
      </w:divBdr>
    </w:div>
    <w:div w:id="1246766746">
      <w:bodyDiv w:val="1"/>
      <w:marLeft w:val="0"/>
      <w:marRight w:val="0"/>
      <w:marTop w:val="0"/>
      <w:marBottom w:val="0"/>
      <w:divBdr>
        <w:top w:val="none" w:sz="0" w:space="0" w:color="auto"/>
        <w:left w:val="none" w:sz="0" w:space="0" w:color="auto"/>
        <w:bottom w:val="none" w:sz="0" w:space="0" w:color="auto"/>
        <w:right w:val="none" w:sz="0" w:space="0" w:color="auto"/>
      </w:divBdr>
    </w:div>
    <w:div w:id="1246916528">
      <w:bodyDiv w:val="1"/>
      <w:marLeft w:val="0"/>
      <w:marRight w:val="0"/>
      <w:marTop w:val="0"/>
      <w:marBottom w:val="0"/>
      <w:divBdr>
        <w:top w:val="none" w:sz="0" w:space="0" w:color="auto"/>
        <w:left w:val="none" w:sz="0" w:space="0" w:color="auto"/>
        <w:bottom w:val="none" w:sz="0" w:space="0" w:color="auto"/>
        <w:right w:val="none" w:sz="0" w:space="0" w:color="auto"/>
      </w:divBdr>
    </w:div>
    <w:div w:id="1246954906">
      <w:bodyDiv w:val="1"/>
      <w:marLeft w:val="0"/>
      <w:marRight w:val="0"/>
      <w:marTop w:val="0"/>
      <w:marBottom w:val="0"/>
      <w:divBdr>
        <w:top w:val="none" w:sz="0" w:space="0" w:color="auto"/>
        <w:left w:val="none" w:sz="0" w:space="0" w:color="auto"/>
        <w:bottom w:val="none" w:sz="0" w:space="0" w:color="auto"/>
        <w:right w:val="none" w:sz="0" w:space="0" w:color="auto"/>
      </w:divBdr>
    </w:div>
    <w:div w:id="1247150135">
      <w:bodyDiv w:val="1"/>
      <w:marLeft w:val="0"/>
      <w:marRight w:val="0"/>
      <w:marTop w:val="0"/>
      <w:marBottom w:val="0"/>
      <w:divBdr>
        <w:top w:val="none" w:sz="0" w:space="0" w:color="auto"/>
        <w:left w:val="none" w:sz="0" w:space="0" w:color="auto"/>
        <w:bottom w:val="none" w:sz="0" w:space="0" w:color="auto"/>
        <w:right w:val="none" w:sz="0" w:space="0" w:color="auto"/>
      </w:divBdr>
    </w:div>
    <w:div w:id="1247180904">
      <w:bodyDiv w:val="1"/>
      <w:marLeft w:val="0"/>
      <w:marRight w:val="0"/>
      <w:marTop w:val="0"/>
      <w:marBottom w:val="0"/>
      <w:divBdr>
        <w:top w:val="none" w:sz="0" w:space="0" w:color="auto"/>
        <w:left w:val="none" w:sz="0" w:space="0" w:color="auto"/>
        <w:bottom w:val="none" w:sz="0" w:space="0" w:color="auto"/>
        <w:right w:val="none" w:sz="0" w:space="0" w:color="auto"/>
      </w:divBdr>
    </w:div>
    <w:div w:id="1247305699">
      <w:bodyDiv w:val="1"/>
      <w:marLeft w:val="0"/>
      <w:marRight w:val="0"/>
      <w:marTop w:val="0"/>
      <w:marBottom w:val="0"/>
      <w:divBdr>
        <w:top w:val="none" w:sz="0" w:space="0" w:color="auto"/>
        <w:left w:val="none" w:sz="0" w:space="0" w:color="auto"/>
        <w:bottom w:val="none" w:sz="0" w:space="0" w:color="auto"/>
        <w:right w:val="none" w:sz="0" w:space="0" w:color="auto"/>
      </w:divBdr>
    </w:div>
    <w:div w:id="1247306293">
      <w:bodyDiv w:val="1"/>
      <w:marLeft w:val="0"/>
      <w:marRight w:val="0"/>
      <w:marTop w:val="0"/>
      <w:marBottom w:val="0"/>
      <w:divBdr>
        <w:top w:val="none" w:sz="0" w:space="0" w:color="auto"/>
        <w:left w:val="none" w:sz="0" w:space="0" w:color="auto"/>
        <w:bottom w:val="none" w:sz="0" w:space="0" w:color="auto"/>
        <w:right w:val="none" w:sz="0" w:space="0" w:color="auto"/>
      </w:divBdr>
    </w:div>
    <w:div w:id="1247422958">
      <w:bodyDiv w:val="1"/>
      <w:marLeft w:val="0"/>
      <w:marRight w:val="0"/>
      <w:marTop w:val="0"/>
      <w:marBottom w:val="0"/>
      <w:divBdr>
        <w:top w:val="none" w:sz="0" w:space="0" w:color="auto"/>
        <w:left w:val="none" w:sz="0" w:space="0" w:color="auto"/>
        <w:bottom w:val="none" w:sz="0" w:space="0" w:color="auto"/>
        <w:right w:val="none" w:sz="0" w:space="0" w:color="auto"/>
      </w:divBdr>
    </w:div>
    <w:div w:id="1247501484">
      <w:bodyDiv w:val="1"/>
      <w:marLeft w:val="0"/>
      <w:marRight w:val="0"/>
      <w:marTop w:val="0"/>
      <w:marBottom w:val="0"/>
      <w:divBdr>
        <w:top w:val="none" w:sz="0" w:space="0" w:color="auto"/>
        <w:left w:val="none" w:sz="0" w:space="0" w:color="auto"/>
        <w:bottom w:val="none" w:sz="0" w:space="0" w:color="auto"/>
        <w:right w:val="none" w:sz="0" w:space="0" w:color="auto"/>
      </w:divBdr>
    </w:div>
    <w:div w:id="1247574460">
      <w:bodyDiv w:val="1"/>
      <w:marLeft w:val="0"/>
      <w:marRight w:val="0"/>
      <w:marTop w:val="0"/>
      <w:marBottom w:val="0"/>
      <w:divBdr>
        <w:top w:val="none" w:sz="0" w:space="0" w:color="auto"/>
        <w:left w:val="none" w:sz="0" w:space="0" w:color="auto"/>
        <w:bottom w:val="none" w:sz="0" w:space="0" w:color="auto"/>
        <w:right w:val="none" w:sz="0" w:space="0" w:color="auto"/>
      </w:divBdr>
    </w:div>
    <w:div w:id="1247617735">
      <w:bodyDiv w:val="1"/>
      <w:marLeft w:val="0"/>
      <w:marRight w:val="0"/>
      <w:marTop w:val="0"/>
      <w:marBottom w:val="0"/>
      <w:divBdr>
        <w:top w:val="none" w:sz="0" w:space="0" w:color="auto"/>
        <w:left w:val="none" w:sz="0" w:space="0" w:color="auto"/>
        <w:bottom w:val="none" w:sz="0" w:space="0" w:color="auto"/>
        <w:right w:val="none" w:sz="0" w:space="0" w:color="auto"/>
      </w:divBdr>
    </w:div>
    <w:div w:id="1247885433">
      <w:bodyDiv w:val="1"/>
      <w:marLeft w:val="0"/>
      <w:marRight w:val="0"/>
      <w:marTop w:val="0"/>
      <w:marBottom w:val="0"/>
      <w:divBdr>
        <w:top w:val="none" w:sz="0" w:space="0" w:color="auto"/>
        <w:left w:val="none" w:sz="0" w:space="0" w:color="auto"/>
        <w:bottom w:val="none" w:sz="0" w:space="0" w:color="auto"/>
        <w:right w:val="none" w:sz="0" w:space="0" w:color="auto"/>
      </w:divBdr>
    </w:div>
    <w:div w:id="1247885760">
      <w:bodyDiv w:val="1"/>
      <w:marLeft w:val="0"/>
      <w:marRight w:val="0"/>
      <w:marTop w:val="0"/>
      <w:marBottom w:val="0"/>
      <w:divBdr>
        <w:top w:val="none" w:sz="0" w:space="0" w:color="auto"/>
        <w:left w:val="none" w:sz="0" w:space="0" w:color="auto"/>
        <w:bottom w:val="none" w:sz="0" w:space="0" w:color="auto"/>
        <w:right w:val="none" w:sz="0" w:space="0" w:color="auto"/>
      </w:divBdr>
    </w:div>
    <w:div w:id="1247953713">
      <w:bodyDiv w:val="1"/>
      <w:marLeft w:val="0"/>
      <w:marRight w:val="0"/>
      <w:marTop w:val="0"/>
      <w:marBottom w:val="0"/>
      <w:divBdr>
        <w:top w:val="none" w:sz="0" w:space="0" w:color="auto"/>
        <w:left w:val="none" w:sz="0" w:space="0" w:color="auto"/>
        <w:bottom w:val="none" w:sz="0" w:space="0" w:color="auto"/>
        <w:right w:val="none" w:sz="0" w:space="0" w:color="auto"/>
      </w:divBdr>
    </w:div>
    <w:div w:id="1247956708">
      <w:bodyDiv w:val="1"/>
      <w:marLeft w:val="0"/>
      <w:marRight w:val="0"/>
      <w:marTop w:val="0"/>
      <w:marBottom w:val="0"/>
      <w:divBdr>
        <w:top w:val="none" w:sz="0" w:space="0" w:color="auto"/>
        <w:left w:val="none" w:sz="0" w:space="0" w:color="auto"/>
        <w:bottom w:val="none" w:sz="0" w:space="0" w:color="auto"/>
        <w:right w:val="none" w:sz="0" w:space="0" w:color="auto"/>
      </w:divBdr>
    </w:div>
    <w:div w:id="1248077642">
      <w:bodyDiv w:val="1"/>
      <w:marLeft w:val="0"/>
      <w:marRight w:val="0"/>
      <w:marTop w:val="0"/>
      <w:marBottom w:val="0"/>
      <w:divBdr>
        <w:top w:val="none" w:sz="0" w:space="0" w:color="auto"/>
        <w:left w:val="none" w:sz="0" w:space="0" w:color="auto"/>
        <w:bottom w:val="none" w:sz="0" w:space="0" w:color="auto"/>
        <w:right w:val="none" w:sz="0" w:space="0" w:color="auto"/>
      </w:divBdr>
    </w:div>
    <w:div w:id="1248078617">
      <w:bodyDiv w:val="1"/>
      <w:marLeft w:val="0"/>
      <w:marRight w:val="0"/>
      <w:marTop w:val="0"/>
      <w:marBottom w:val="0"/>
      <w:divBdr>
        <w:top w:val="none" w:sz="0" w:space="0" w:color="auto"/>
        <w:left w:val="none" w:sz="0" w:space="0" w:color="auto"/>
        <w:bottom w:val="none" w:sz="0" w:space="0" w:color="auto"/>
        <w:right w:val="none" w:sz="0" w:space="0" w:color="auto"/>
      </w:divBdr>
    </w:div>
    <w:div w:id="1248080902">
      <w:bodyDiv w:val="1"/>
      <w:marLeft w:val="0"/>
      <w:marRight w:val="0"/>
      <w:marTop w:val="0"/>
      <w:marBottom w:val="0"/>
      <w:divBdr>
        <w:top w:val="none" w:sz="0" w:space="0" w:color="auto"/>
        <w:left w:val="none" w:sz="0" w:space="0" w:color="auto"/>
        <w:bottom w:val="none" w:sz="0" w:space="0" w:color="auto"/>
        <w:right w:val="none" w:sz="0" w:space="0" w:color="auto"/>
      </w:divBdr>
    </w:div>
    <w:div w:id="1248151208">
      <w:bodyDiv w:val="1"/>
      <w:marLeft w:val="0"/>
      <w:marRight w:val="0"/>
      <w:marTop w:val="0"/>
      <w:marBottom w:val="0"/>
      <w:divBdr>
        <w:top w:val="none" w:sz="0" w:space="0" w:color="auto"/>
        <w:left w:val="none" w:sz="0" w:space="0" w:color="auto"/>
        <w:bottom w:val="none" w:sz="0" w:space="0" w:color="auto"/>
        <w:right w:val="none" w:sz="0" w:space="0" w:color="auto"/>
      </w:divBdr>
    </w:div>
    <w:div w:id="1248343610">
      <w:bodyDiv w:val="1"/>
      <w:marLeft w:val="0"/>
      <w:marRight w:val="0"/>
      <w:marTop w:val="0"/>
      <w:marBottom w:val="0"/>
      <w:divBdr>
        <w:top w:val="none" w:sz="0" w:space="0" w:color="auto"/>
        <w:left w:val="none" w:sz="0" w:space="0" w:color="auto"/>
        <w:bottom w:val="none" w:sz="0" w:space="0" w:color="auto"/>
        <w:right w:val="none" w:sz="0" w:space="0" w:color="auto"/>
      </w:divBdr>
    </w:div>
    <w:div w:id="1248461159">
      <w:bodyDiv w:val="1"/>
      <w:marLeft w:val="0"/>
      <w:marRight w:val="0"/>
      <w:marTop w:val="0"/>
      <w:marBottom w:val="0"/>
      <w:divBdr>
        <w:top w:val="none" w:sz="0" w:space="0" w:color="auto"/>
        <w:left w:val="none" w:sz="0" w:space="0" w:color="auto"/>
        <w:bottom w:val="none" w:sz="0" w:space="0" w:color="auto"/>
        <w:right w:val="none" w:sz="0" w:space="0" w:color="auto"/>
      </w:divBdr>
    </w:div>
    <w:div w:id="1248542940">
      <w:bodyDiv w:val="1"/>
      <w:marLeft w:val="0"/>
      <w:marRight w:val="0"/>
      <w:marTop w:val="0"/>
      <w:marBottom w:val="0"/>
      <w:divBdr>
        <w:top w:val="none" w:sz="0" w:space="0" w:color="auto"/>
        <w:left w:val="none" w:sz="0" w:space="0" w:color="auto"/>
        <w:bottom w:val="none" w:sz="0" w:space="0" w:color="auto"/>
        <w:right w:val="none" w:sz="0" w:space="0" w:color="auto"/>
      </w:divBdr>
    </w:div>
    <w:div w:id="1248661010">
      <w:bodyDiv w:val="1"/>
      <w:marLeft w:val="0"/>
      <w:marRight w:val="0"/>
      <w:marTop w:val="0"/>
      <w:marBottom w:val="0"/>
      <w:divBdr>
        <w:top w:val="none" w:sz="0" w:space="0" w:color="auto"/>
        <w:left w:val="none" w:sz="0" w:space="0" w:color="auto"/>
        <w:bottom w:val="none" w:sz="0" w:space="0" w:color="auto"/>
        <w:right w:val="none" w:sz="0" w:space="0" w:color="auto"/>
      </w:divBdr>
    </w:div>
    <w:div w:id="1248728191">
      <w:bodyDiv w:val="1"/>
      <w:marLeft w:val="0"/>
      <w:marRight w:val="0"/>
      <w:marTop w:val="0"/>
      <w:marBottom w:val="0"/>
      <w:divBdr>
        <w:top w:val="none" w:sz="0" w:space="0" w:color="auto"/>
        <w:left w:val="none" w:sz="0" w:space="0" w:color="auto"/>
        <w:bottom w:val="none" w:sz="0" w:space="0" w:color="auto"/>
        <w:right w:val="none" w:sz="0" w:space="0" w:color="auto"/>
      </w:divBdr>
    </w:div>
    <w:div w:id="1248803739">
      <w:bodyDiv w:val="1"/>
      <w:marLeft w:val="0"/>
      <w:marRight w:val="0"/>
      <w:marTop w:val="0"/>
      <w:marBottom w:val="0"/>
      <w:divBdr>
        <w:top w:val="none" w:sz="0" w:space="0" w:color="auto"/>
        <w:left w:val="none" w:sz="0" w:space="0" w:color="auto"/>
        <w:bottom w:val="none" w:sz="0" w:space="0" w:color="auto"/>
        <w:right w:val="none" w:sz="0" w:space="0" w:color="auto"/>
      </w:divBdr>
    </w:div>
    <w:div w:id="1248805007">
      <w:bodyDiv w:val="1"/>
      <w:marLeft w:val="0"/>
      <w:marRight w:val="0"/>
      <w:marTop w:val="0"/>
      <w:marBottom w:val="0"/>
      <w:divBdr>
        <w:top w:val="none" w:sz="0" w:space="0" w:color="auto"/>
        <w:left w:val="none" w:sz="0" w:space="0" w:color="auto"/>
        <w:bottom w:val="none" w:sz="0" w:space="0" w:color="auto"/>
        <w:right w:val="none" w:sz="0" w:space="0" w:color="auto"/>
      </w:divBdr>
    </w:div>
    <w:div w:id="1248926415">
      <w:bodyDiv w:val="1"/>
      <w:marLeft w:val="0"/>
      <w:marRight w:val="0"/>
      <w:marTop w:val="0"/>
      <w:marBottom w:val="0"/>
      <w:divBdr>
        <w:top w:val="none" w:sz="0" w:space="0" w:color="auto"/>
        <w:left w:val="none" w:sz="0" w:space="0" w:color="auto"/>
        <w:bottom w:val="none" w:sz="0" w:space="0" w:color="auto"/>
        <w:right w:val="none" w:sz="0" w:space="0" w:color="auto"/>
      </w:divBdr>
    </w:div>
    <w:div w:id="1248927476">
      <w:bodyDiv w:val="1"/>
      <w:marLeft w:val="0"/>
      <w:marRight w:val="0"/>
      <w:marTop w:val="0"/>
      <w:marBottom w:val="0"/>
      <w:divBdr>
        <w:top w:val="none" w:sz="0" w:space="0" w:color="auto"/>
        <w:left w:val="none" w:sz="0" w:space="0" w:color="auto"/>
        <w:bottom w:val="none" w:sz="0" w:space="0" w:color="auto"/>
        <w:right w:val="none" w:sz="0" w:space="0" w:color="auto"/>
      </w:divBdr>
    </w:div>
    <w:div w:id="1249001754">
      <w:bodyDiv w:val="1"/>
      <w:marLeft w:val="0"/>
      <w:marRight w:val="0"/>
      <w:marTop w:val="0"/>
      <w:marBottom w:val="0"/>
      <w:divBdr>
        <w:top w:val="none" w:sz="0" w:space="0" w:color="auto"/>
        <w:left w:val="none" w:sz="0" w:space="0" w:color="auto"/>
        <w:bottom w:val="none" w:sz="0" w:space="0" w:color="auto"/>
        <w:right w:val="none" w:sz="0" w:space="0" w:color="auto"/>
      </w:divBdr>
    </w:div>
    <w:div w:id="1249071542">
      <w:bodyDiv w:val="1"/>
      <w:marLeft w:val="0"/>
      <w:marRight w:val="0"/>
      <w:marTop w:val="0"/>
      <w:marBottom w:val="0"/>
      <w:divBdr>
        <w:top w:val="none" w:sz="0" w:space="0" w:color="auto"/>
        <w:left w:val="none" w:sz="0" w:space="0" w:color="auto"/>
        <w:bottom w:val="none" w:sz="0" w:space="0" w:color="auto"/>
        <w:right w:val="none" w:sz="0" w:space="0" w:color="auto"/>
      </w:divBdr>
    </w:div>
    <w:div w:id="1249073762">
      <w:bodyDiv w:val="1"/>
      <w:marLeft w:val="0"/>
      <w:marRight w:val="0"/>
      <w:marTop w:val="0"/>
      <w:marBottom w:val="0"/>
      <w:divBdr>
        <w:top w:val="none" w:sz="0" w:space="0" w:color="auto"/>
        <w:left w:val="none" w:sz="0" w:space="0" w:color="auto"/>
        <w:bottom w:val="none" w:sz="0" w:space="0" w:color="auto"/>
        <w:right w:val="none" w:sz="0" w:space="0" w:color="auto"/>
      </w:divBdr>
    </w:div>
    <w:div w:id="1249074804">
      <w:bodyDiv w:val="1"/>
      <w:marLeft w:val="0"/>
      <w:marRight w:val="0"/>
      <w:marTop w:val="0"/>
      <w:marBottom w:val="0"/>
      <w:divBdr>
        <w:top w:val="none" w:sz="0" w:space="0" w:color="auto"/>
        <w:left w:val="none" w:sz="0" w:space="0" w:color="auto"/>
        <w:bottom w:val="none" w:sz="0" w:space="0" w:color="auto"/>
        <w:right w:val="none" w:sz="0" w:space="0" w:color="auto"/>
      </w:divBdr>
    </w:div>
    <w:div w:id="1249191158">
      <w:bodyDiv w:val="1"/>
      <w:marLeft w:val="0"/>
      <w:marRight w:val="0"/>
      <w:marTop w:val="0"/>
      <w:marBottom w:val="0"/>
      <w:divBdr>
        <w:top w:val="none" w:sz="0" w:space="0" w:color="auto"/>
        <w:left w:val="none" w:sz="0" w:space="0" w:color="auto"/>
        <w:bottom w:val="none" w:sz="0" w:space="0" w:color="auto"/>
        <w:right w:val="none" w:sz="0" w:space="0" w:color="auto"/>
      </w:divBdr>
    </w:div>
    <w:div w:id="1249272395">
      <w:bodyDiv w:val="1"/>
      <w:marLeft w:val="0"/>
      <w:marRight w:val="0"/>
      <w:marTop w:val="0"/>
      <w:marBottom w:val="0"/>
      <w:divBdr>
        <w:top w:val="none" w:sz="0" w:space="0" w:color="auto"/>
        <w:left w:val="none" w:sz="0" w:space="0" w:color="auto"/>
        <w:bottom w:val="none" w:sz="0" w:space="0" w:color="auto"/>
        <w:right w:val="none" w:sz="0" w:space="0" w:color="auto"/>
      </w:divBdr>
    </w:div>
    <w:div w:id="1249467303">
      <w:bodyDiv w:val="1"/>
      <w:marLeft w:val="0"/>
      <w:marRight w:val="0"/>
      <w:marTop w:val="0"/>
      <w:marBottom w:val="0"/>
      <w:divBdr>
        <w:top w:val="none" w:sz="0" w:space="0" w:color="auto"/>
        <w:left w:val="none" w:sz="0" w:space="0" w:color="auto"/>
        <w:bottom w:val="none" w:sz="0" w:space="0" w:color="auto"/>
        <w:right w:val="none" w:sz="0" w:space="0" w:color="auto"/>
      </w:divBdr>
    </w:div>
    <w:div w:id="1249541107">
      <w:bodyDiv w:val="1"/>
      <w:marLeft w:val="0"/>
      <w:marRight w:val="0"/>
      <w:marTop w:val="0"/>
      <w:marBottom w:val="0"/>
      <w:divBdr>
        <w:top w:val="none" w:sz="0" w:space="0" w:color="auto"/>
        <w:left w:val="none" w:sz="0" w:space="0" w:color="auto"/>
        <w:bottom w:val="none" w:sz="0" w:space="0" w:color="auto"/>
        <w:right w:val="none" w:sz="0" w:space="0" w:color="auto"/>
      </w:divBdr>
    </w:div>
    <w:div w:id="1249583532">
      <w:bodyDiv w:val="1"/>
      <w:marLeft w:val="0"/>
      <w:marRight w:val="0"/>
      <w:marTop w:val="0"/>
      <w:marBottom w:val="0"/>
      <w:divBdr>
        <w:top w:val="none" w:sz="0" w:space="0" w:color="auto"/>
        <w:left w:val="none" w:sz="0" w:space="0" w:color="auto"/>
        <w:bottom w:val="none" w:sz="0" w:space="0" w:color="auto"/>
        <w:right w:val="none" w:sz="0" w:space="0" w:color="auto"/>
      </w:divBdr>
    </w:div>
    <w:div w:id="1249652768">
      <w:bodyDiv w:val="1"/>
      <w:marLeft w:val="0"/>
      <w:marRight w:val="0"/>
      <w:marTop w:val="0"/>
      <w:marBottom w:val="0"/>
      <w:divBdr>
        <w:top w:val="none" w:sz="0" w:space="0" w:color="auto"/>
        <w:left w:val="none" w:sz="0" w:space="0" w:color="auto"/>
        <w:bottom w:val="none" w:sz="0" w:space="0" w:color="auto"/>
        <w:right w:val="none" w:sz="0" w:space="0" w:color="auto"/>
      </w:divBdr>
    </w:div>
    <w:div w:id="1249657558">
      <w:bodyDiv w:val="1"/>
      <w:marLeft w:val="0"/>
      <w:marRight w:val="0"/>
      <w:marTop w:val="0"/>
      <w:marBottom w:val="0"/>
      <w:divBdr>
        <w:top w:val="none" w:sz="0" w:space="0" w:color="auto"/>
        <w:left w:val="none" w:sz="0" w:space="0" w:color="auto"/>
        <w:bottom w:val="none" w:sz="0" w:space="0" w:color="auto"/>
        <w:right w:val="none" w:sz="0" w:space="0" w:color="auto"/>
      </w:divBdr>
    </w:div>
    <w:div w:id="1249776727">
      <w:bodyDiv w:val="1"/>
      <w:marLeft w:val="0"/>
      <w:marRight w:val="0"/>
      <w:marTop w:val="0"/>
      <w:marBottom w:val="0"/>
      <w:divBdr>
        <w:top w:val="none" w:sz="0" w:space="0" w:color="auto"/>
        <w:left w:val="none" w:sz="0" w:space="0" w:color="auto"/>
        <w:bottom w:val="none" w:sz="0" w:space="0" w:color="auto"/>
        <w:right w:val="none" w:sz="0" w:space="0" w:color="auto"/>
      </w:divBdr>
    </w:div>
    <w:div w:id="1249777123">
      <w:bodyDiv w:val="1"/>
      <w:marLeft w:val="0"/>
      <w:marRight w:val="0"/>
      <w:marTop w:val="0"/>
      <w:marBottom w:val="0"/>
      <w:divBdr>
        <w:top w:val="none" w:sz="0" w:space="0" w:color="auto"/>
        <w:left w:val="none" w:sz="0" w:space="0" w:color="auto"/>
        <w:bottom w:val="none" w:sz="0" w:space="0" w:color="auto"/>
        <w:right w:val="none" w:sz="0" w:space="0" w:color="auto"/>
      </w:divBdr>
    </w:div>
    <w:div w:id="1249778189">
      <w:bodyDiv w:val="1"/>
      <w:marLeft w:val="0"/>
      <w:marRight w:val="0"/>
      <w:marTop w:val="0"/>
      <w:marBottom w:val="0"/>
      <w:divBdr>
        <w:top w:val="none" w:sz="0" w:space="0" w:color="auto"/>
        <w:left w:val="none" w:sz="0" w:space="0" w:color="auto"/>
        <w:bottom w:val="none" w:sz="0" w:space="0" w:color="auto"/>
        <w:right w:val="none" w:sz="0" w:space="0" w:color="auto"/>
      </w:divBdr>
    </w:div>
    <w:div w:id="1249802679">
      <w:bodyDiv w:val="1"/>
      <w:marLeft w:val="0"/>
      <w:marRight w:val="0"/>
      <w:marTop w:val="0"/>
      <w:marBottom w:val="0"/>
      <w:divBdr>
        <w:top w:val="none" w:sz="0" w:space="0" w:color="auto"/>
        <w:left w:val="none" w:sz="0" w:space="0" w:color="auto"/>
        <w:bottom w:val="none" w:sz="0" w:space="0" w:color="auto"/>
        <w:right w:val="none" w:sz="0" w:space="0" w:color="auto"/>
      </w:divBdr>
    </w:div>
    <w:div w:id="1249850998">
      <w:bodyDiv w:val="1"/>
      <w:marLeft w:val="0"/>
      <w:marRight w:val="0"/>
      <w:marTop w:val="0"/>
      <w:marBottom w:val="0"/>
      <w:divBdr>
        <w:top w:val="none" w:sz="0" w:space="0" w:color="auto"/>
        <w:left w:val="none" w:sz="0" w:space="0" w:color="auto"/>
        <w:bottom w:val="none" w:sz="0" w:space="0" w:color="auto"/>
        <w:right w:val="none" w:sz="0" w:space="0" w:color="auto"/>
      </w:divBdr>
    </w:div>
    <w:div w:id="1249851697">
      <w:bodyDiv w:val="1"/>
      <w:marLeft w:val="0"/>
      <w:marRight w:val="0"/>
      <w:marTop w:val="0"/>
      <w:marBottom w:val="0"/>
      <w:divBdr>
        <w:top w:val="none" w:sz="0" w:space="0" w:color="auto"/>
        <w:left w:val="none" w:sz="0" w:space="0" w:color="auto"/>
        <w:bottom w:val="none" w:sz="0" w:space="0" w:color="auto"/>
        <w:right w:val="none" w:sz="0" w:space="0" w:color="auto"/>
      </w:divBdr>
    </w:div>
    <w:div w:id="1249919776">
      <w:bodyDiv w:val="1"/>
      <w:marLeft w:val="0"/>
      <w:marRight w:val="0"/>
      <w:marTop w:val="0"/>
      <w:marBottom w:val="0"/>
      <w:divBdr>
        <w:top w:val="none" w:sz="0" w:space="0" w:color="auto"/>
        <w:left w:val="none" w:sz="0" w:space="0" w:color="auto"/>
        <w:bottom w:val="none" w:sz="0" w:space="0" w:color="auto"/>
        <w:right w:val="none" w:sz="0" w:space="0" w:color="auto"/>
      </w:divBdr>
    </w:div>
    <w:div w:id="1249925082">
      <w:bodyDiv w:val="1"/>
      <w:marLeft w:val="0"/>
      <w:marRight w:val="0"/>
      <w:marTop w:val="0"/>
      <w:marBottom w:val="0"/>
      <w:divBdr>
        <w:top w:val="none" w:sz="0" w:space="0" w:color="auto"/>
        <w:left w:val="none" w:sz="0" w:space="0" w:color="auto"/>
        <w:bottom w:val="none" w:sz="0" w:space="0" w:color="auto"/>
        <w:right w:val="none" w:sz="0" w:space="0" w:color="auto"/>
      </w:divBdr>
    </w:div>
    <w:div w:id="1249968142">
      <w:bodyDiv w:val="1"/>
      <w:marLeft w:val="0"/>
      <w:marRight w:val="0"/>
      <w:marTop w:val="0"/>
      <w:marBottom w:val="0"/>
      <w:divBdr>
        <w:top w:val="none" w:sz="0" w:space="0" w:color="auto"/>
        <w:left w:val="none" w:sz="0" w:space="0" w:color="auto"/>
        <w:bottom w:val="none" w:sz="0" w:space="0" w:color="auto"/>
        <w:right w:val="none" w:sz="0" w:space="0" w:color="auto"/>
      </w:divBdr>
    </w:div>
    <w:div w:id="1249971432">
      <w:bodyDiv w:val="1"/>
      <w:marLeft w:val="0"/>
      <w:marRight w:val="0"/>
      <w:marTop w:val="0"/>
      <w:marBottom w:val="0"/>
      <w:divBdr>
        <w:top w:val="none" w:sz="0" w:space="0" w:color="auto"/>
        <w:left w:val="none" w:sz="0" w:space="0" w:color="auto"/>
        <w:bottom w:val="none" w:sz="0" w:space="0" w:color="auto"/>
        <w:right w:val="none" w:sz="0" w:space="0" w:color="auto"/>
      </w:divBdr>
    </w:div>
    <w:div w:id="1250233187">
      <w:bodyDiv w:val="1"/>
      <w:marLeft w:val="0"/>
      <w:marRight w:val="0"/>
      <w:marTop w:val="0"/>
      <w:marBottom w:val="0"/>
      <w:divBdr>
        <w:top w:val="none" w:sz="0" w:space="0" w:color="auto"/>
        <w:left w:val="none" w:sz="0" w:space="0" w:color="auto"/>
        <w:bottom w:val="none" w:sz="0" w:space="0" w:color="auto"/>
        <w:right w:val="none" w:sz="0" w:space="0" w:color="auto"/>
      </w:divBdr>
    </w:div>
    <w:div w:id="1250309215">
      <w:bodyDiv w:val="1"/>
      <w:marLeft w:val="0"/>
      <w:marRight w:val="0"/>
      <w:marTop w:val="0"/>
      <w:marBottom w:val="0"/>
      <w:divBdr>
        <w:top w:val="none" w:sz="0" w:space="0" w:color="auto"/>
        <w:left w:val="none" w:sz="0" w:space="0" w:color="auto"/>
        <w:bottom w:val="none" w:sz="0" w:space="0" w:color="auto"/>
        <w:right w:val="none" w:sz="0" w:space="0" w:color="auto"/>
      </w:divBdr>
    </w:div>
    <w:div w:id="1250391239">
      <w:bodyDiv w:val="1"/>
      <w:marLeft w:val="0"/>
      <w:marRight w:val="0"/>
      <w:marTop w:val="0"/>
      <w:marBottom w:val="0"/>
      <w:divBdr>
        <w:top w:val="none" w:sz="0" w:space="0" w:color="auto"/>
        <w:left w:val="none" w:sz="0" w:space="0" w:color="auto"/>
        <w:bottom w:val="none" w:sz="0" w:space="0" w:color="auto"/>
        <w:right w:val="none" w:sz="0" w:space="0" w:color="auto"/>
      </w:divBdr>
    </w:div>
    <w:div w:id="1250433775">
      <w:bodyDiv w:val="1"/>
      <w:marLeft w:val="0"/>
      <w:marRight w:val="0"/>
      <w:marTop w:val="0"/>
      <w:marBottom w:val="0"/>
      <w:divBdr>
        <w:top w:val="none" w:sz="0" w:space="0" w:color="auto"/>
        <w:left w:val="none" w:sz="0" w:space="0" w:color="auto"/>
        <w:bottom w:val="none" w:sz="0" w:space="0" w:color="auto"/>
        <w:right w:val="none" w:sz="0" w:space="0" w:color="auto"/>
      </w:divBdr>
    </w:div>
    <w:div w:id="1250578445">
      <w:bodyDiv w:val="1"/>
      <w:marLeft w:val="0"/>
      <w:marRight w:val="0"/>
      <w:marTop w:val="0"/>
      <w:marBottom w:val="0"/>
      <w:divBdr>
        <w:top w:val="none" w:sz="0" w:space="0" w:color="auto"/>
        <w:left w:val="none" w:sz="0" w:space="0" w:color="auto"/>
        <w:bottom w:val="none" w:sz="0" w:space="0" w:color="auto"/>
        <w:right w:val="none" w:sz="0" w:space="0" w:color="auto"/>
      </w:divBdr>
    </w:div>
    <w:div w:id="1250626659">
      <w:bodyDiv w:val="1"/>
      <w:marLeft w:val="0"/>
      <w:marRight w:val="0"/>
      <w:marTop w:val="0"/>
      <w:marBottom w:val="0"/>
      <w:divBdr>
        <w:top w:val="none" w:sz="0" w:space="0" w:color="auto"/>
        <w:left w:val="none" w:sz="0" w:space="0" w:color="auto"/>
        <w:bottom w:val="none" w:sz="0" w:space="0" w:color="auto"/>
        <w:right w:val="none" w:sz="0" w:space="0" w:color="auto"/>
      </w:divBdr>
    </w:div>
    <w:div w:id="1250693537">
      <w:bodyDiv w:val="1"/>
      <w:marLeft w:val="0"/>
      <w:marRight w:val="0"/>
      <w:marTop w:val="0"/>
      <w:marBottom w:val="0"/>
      <w:divBdr>
        <w:top w:val="none" w:sz="0" w:space="0" w:color="auto"/>
        <w:left w:val="none" w:sz="0" w:space="0" w:color="auto"/>
        <w:bottom w:val="none" w:sz="0" w:space="0" w:color="auto"/>
        <w:right w:val="none" w:sz="0" w:space="0" w:color="auto"/>
      </w:divBdr>
    </w:div>
    <w:div w:id="1250775323">
      <w:bodyDiv w:val="1"/>
      <w:marLeft w:val="0"/>
      <w:marRight w:val="0"/>
      <w:marTop w:val="0"/>
      <w:marBottom w:val="0"/>
      <w:divBdr>
        <w:top w:val="none" w:sz="0" w:space="0" w:color="auto"/>
        <w:left w:val="none" w:sz="0" w:space="0" w:color="auto"/>
        <w:bottom w:val="none" w:sz="0" w:space="0" w:color="auto"/>
        <w:right w:val="none" w:sz="0" w:space="0" w:color="auto"/>
      </w:divBdr>
    </w:div>
    <w:div w:id="1250891548">
      <w:bodyDiv w:val="1"/>
      <w:marLeft w:val="0"/>
      <w:marRight w:val="0"/>
      <w:marTop w:val="0"/>
      <w:marBottom w:val="0"/>
      <w:divBdr>
        <w:top w:val="none" w:sz="0" w:space="0" w:color="auto"/>
        <w:left w:val="none" w:sz="0" w:space="0" w:color="auto"/>
        <w:bottom w:val="none" w:sz="0" w:space="0" w:color="auto"/>
        <w:right w:val="none" w:sz="0" w:space="0" w:color="auto"/>
      </w:divBdr>
    </w:div>
    <w:div w:id="1251042095">
      <w:bodyDiv w:val="1"/>
      <w:marLeft w:val="0"/>
      <w:marRight w:val="0"/>
      <w:marTop w:val="0"/>
      <w:marBottom w:val="0"/>
      <w:divBdr>
        <w:top w:val="none" w:sz="0" w:space="0" w:color="auto"/>
        <w:left w:val="none" w:sz="0" w:space="0" w:color="auto"/>
        <w:bottom w:val="none" w:sz="0" w:space="0" w:color="auto"/>
        <w:right w:val="none" w:sz="0" w:space="0" w:color="auto"/>
      </w:divBdr>
    </w:div>
    <w:div w:id="1251044329">
      <w:bodyDiv w:val="1"/>
      <w:marLeft w:val="0"/>
      <w:marRight w:val="0"/>
      <w:marTop w:val="0"/>
      <w:marBottom w:val="0"/>
      <w:divBdr>
        <w:top w:val="none" w:sz="0" w:space="0" w:color="auto"/>
        <w:left w:val="none" w:sz="0" w:space="0" w:color="auto"/>
        <w:bottom w:val="none" w:sz="0" w:space="0" w:color="auto"/>
        <w:right w:val="none" w:sz="0" w:space="0" w:color="auto"/>
      </w:divBdr>
    </w:div>
    <w:div w:id="1251082408">
      <w:bodyDiv w:val="1"/>
      <w:marLeft w:val="0"/>
      <w:marRight w:val="0"/>
      <w:marTop w:val="0"/>
      <w:marBottom w:val="0"/>
      <w:divBdr>
        <w:top w:val="none" w:sz="0" w:space="0" w:color="auto"/>
        <w:left w:val="none" w:sz="0" w:space="0" w:color="auto"/>
        <w:bottom w:val="none" w:sz="0" w:space="0" w:color="auto"/>
        <w:right w:val="none" w:sz="0" w:space="0" w:color="auto"/>
      </w:divBdr>
    </w:div>
    <w:div w:id="1251084686">
      <w:bodyDiv w:val="1"/>
      <w:marLeft w:val="0"/>
      <w:marRight w:val="0"/>
      <w:marTop w:val="0"/>
      <w:marBottom w:val="0"/>
      <w:divBdr>
        <w:top w:val="none" w:sz="0" w:space="0" w:color="auto"/>
        <w:left w:val="none" w:sz="0" w:space="0" w:color="auto"/>
        <w:bottom w:val="none" w:sz="0" w:space="0" w:color="auto"/>
        <w:right w:val="none" w:sz="0" w:space="0" w:color="auto"/>
      </w:divBdr>
    </w:div>
    <w:div w:id="1251086876">
      <w:bodyDiv w:val="1"/>
      <w:marLeft w:val="0"/>
      <w:marRight w:val="0"/>
      <w:marTop w:val="0"/>
      <w:marBottom w:val="0"/>
      <w:divBdr>
        <w:top w:val="none" w:sz="0" w:space="0" w:color="auto"/>
        <w:left w:val="none" w:sz="0" w:space="0" w:color="auto"/>
        <w:bottom w:val="none" w:sz="0" w:space="0" w:color="auto"/>
        <w:right w:val="none" w:sz="0" w:space="0" w:color="auto"/>
      </w:divBdr>
    </w:div>
    <w:div w:id="1251154715">
      <w:bodyDiv w:val="1"/>
      <w:marLeft w:val="0"/>
      <w:marRight w:val="0"/>
      <w:marTop w:val="0"/>
      <w:marBottom w:val="0"/>
      <w:divBdr>
        <w:top w:val="none" w:sz="0" w:space="0" w:color="auto"/>
        <w:left w:val="none" w:sz="0" w:space="0" w:color="auto"/>
        <w:bottom w:val="none" w:sz="0" w:space="0" w:color="auto"/>
        <w:right w:val="none" w:sz="0" w:space="0" w:color="auto"/>
      </w:divBdr>
    </w:div>
    <w:div w:id="1251159456">
      <w:bodyDiv w:val="1"/>
      <w:marLeft w:val="0"/>
      <w:marRight w:val="0"/>
      <w:marTop w:val="0"/>
      <w:marBottom w:val="0"/>
      <w:divBdr>
        <w:top w:val="none" w:sz="0" w:space="0" w:color="auto"/>
        <w:left w:val="none" w:sz="0" w:space="0" w:color="auto"/>
        <w:bottom w:val="none" w:sz="0" w:space="0" w:color="auto"/>
        <w:right w:val="none" w:sz="0" w:space="0" w:color="auto"/>
      </w:divBdr>
    </w:div>
    <w:div w:id="1251160624">
      <w:bodyDiv w:val="1"/>
      <w:marLeft w:val="0"/>
      <w:marRight w:val="0"/>
      <w:marTop w:val="0"/>
      <w:marBottom w:val="0"/>
      <w:divBdr>
        <w:top w:val="none" w:sz="0" w:space="0" w:color="auto"/>
        <w:left w:val="none" w:sz="0" w:space="0" w:color="auto"/>
        <w:bottom w:val="none" w:sz="0" w:space="0" w:color="auto"/>
        <w:right w:val="none" w:sz="0" w:space="0" w:color="auto"/>
      </w:divBdr>
    </w:div>
    <w:div w:id="1251306437">
      <w:bodyDiv w:val="1"/>
      <w:marLeft w:val="0"/>
      <w:marRight w:val="0"/>
      <w:marTop w:val="0"/>
      <w:marBottom w:val="0"/>
      <w:divBdr>
        <w:top w:val="none" w:sz="0" w:space="0" w:color="auto"/>
        <w:left w:val="none" w:sz="0" w:space="0" w:color="auto"/>
        <w:bottom w:val="none" w:sz="0" w:space="0" w:color="auto"/>
        <w:right w:val="none" w:sz="0" w:space="0" w:color="auto"/>
      </w:divBdr>
    </w:div>
    <w:div w:id="1251311188">
      <w:bodyDiv w:val="1"/>
      <w:marLeft w:val="0"/>
      <w:marRight w:val="0"/>
      <w:marTop w:val="0"/>
      <w:marBottom w:val="0"/>
      <w:divBdr>
        <w:top w:val="none" w:sz="0" w:space="0" w:color="auto"/>
        <w:left w:val="none" w:sz="0" w:space="0" w:color="auto"/>
        <w:bottom w:val="none" w:sz="0" w:space="0" w:color="auto"/>
        <w:right w:val="none" w:sz="0" w:space="0" w:color="auto"/>
      </w:divBdr>
    </w:div>
    <w:div w:id="1251350821">
      <w:bodyDiv w:val="1"/>
      <w:marLeft w:val="0"/>
      <w:marRight w:val="0"/>
      <w:marTop w:val="0"/>
      <w:marBottom w:val="0"/>
      <w:divBdr>
        <w:top w:val="none" w:sz="0" w:space="0" w:color="auto"/>
        <w:left w:val="none" w:sz="0" w:space="0" w:color="auto"/>
        <w:bottom w:val="none" w:sz="0" w:space="0" w:color="auto"/>
        <w:right w:val="none" w:sz="0" w:space="0" w:color="auto"/>
      </w:divBdr>
    </w:div>
    <w:div w:id="1251429136">
      <w:bodyDiv w:val="1"/>
      <w:marLeft w:val="0"/>
      <w:marRight w:val="0"/>
      <w:marTop w:val="0"/>
      <w:marBottom w:val="0"/>
      <w:divBdr>
        <w:top w:val="none" w:sz="0" w:space="0" w:color="auto"/>
        <w:left w:val="none" w:sz="0" w:space="0" w:color="auto"/>
        <w:bottom w:val="none" w:sz="0" w:space="0" w:color="auto"/>
        <w:right w:val="none" w:sz="0" w:space="0" w:color="auto"/>
      </w:divBdr>
    </w:div>
    <w:div w:id="1251543257">
      <w:bodyDiv w:val="1"/>
      <w:marLeft w:val="0"/>
      <w:marRight w:val="0"/>
      <w:marTop w:val="0"/>
      <w:marBottom w:val="0"/>
      <w:divBdr>
        <w:top w:val="none" w:sz="0" w:space="0" w:color="auto"/>
        <w:left w:val="none" w:sz="0" w:space="0" w:color="auto"/>
        <w:bottom w:val="none" w:sz="0" w:space="0" w:color="auto"/>
        <w:right w:val="none" w:sz="0" w:space="0" w:color="auto"/>
      </w:divBdr>
    </w:div>
    <w:div w:id="1251544600">
      <w:bodyDiv w:val="1"/>
      <w:marLeft w:val="0"/>
      <w:marRight w:val="0"/>
      <w:marTop w:val="0"/>
      <w:marBottom w:val="0"/>
      <w:divBdr>
        <w:top w:val="none" w:sz="0" w:space="0" w:color="auto"/>
        <w:left w:val="none" w:sz="0" w:space="0" w:color="auto"/>
        <w:bottom w:val="none" w:sz="0" w:space="0" w:color="auto"/>
        <w:right w:val="none" w:sz="0" w:space="0" w:color="auto"/>
      </w:divBdr>
    </w:div>
    <w:div w:id="1251769472">
      <w:bodyDiv w:val="1"/>
      <w:marLeft w:val="0"/>
      <w:marRight w:val="0"/>
      <w:marTop w:val="0"/>
      <w:marBottom w:val="0"/>
      <w:divBdr>
        <w:top w:val="none" w:sz="0" w:space="0" w:color="auto"/>
        <w:left w:val="none" w:sz="0" w:space="0" w:color="auto"/>
        <w:bottom w:val="none" w:sz="0" w:space="0" w:color="auto"/>
        <w:right w:val="none" w:sz="0" w:space="0" w:color="auto"/>
      </w:divBdr>
    </w:div>
    <w:div w:id="1251892094">
      <w:bodyDiv w:val="1"/>
      <w:marLeft w:val="0"/>
      <w:marRight w:val="0"/>
      <w:marTop w:val="0"/>
      <w:marBottom w:val="0"/>
      <w:divBdr>
        <w:top w:val="none" w:sz="0" w:space="0" w:color="auto"/>
        <w:left w:val="none" w:sz="0" w:space="0" w:color="auto"/>
        <w:bottom w:val="none" w:sz="0" w:space="0" w:color="auto"/>
        <w:right w:val="none" w:sz="0" w:space="0" w:color="auto"/>
      </w:divBdr>
    </w:div>
    <w:div w:id="1252006298">
      <w:bodyDiv w:val="1"/>
      <w:marLeft w:val="0"/>
      <w:marRight w:val="0"/>
      <w:marTop w:val="0"/>
      <w:marBottom w:val="0"/>
      <w:divBdr>
        <w:top w:val="none" w:sz="0" w:space="0" w:color="auto"/>
        <w:left w:val="none" w:sz="0" w:space="0" w:color="auto"/>
        <w:bottom w:val="none" w:sz="0" w:space="0" w:color="auto"/>
        <w:right w:val="none" w:sz="0" w:space="0" w:color="auto"/>
      </w:divBdr>
    </w:div>
    <w:div w:id="1252008086">
      <w:bodyDiv w:val="1"/>
      <w:marLeft w:val="0"/>
      <w:marRight w:val="0"/>
      <w:marTop w:val="0"/>
      <w:marBottom w:val="0"/>
      <w:divBdr>
        <w:top w:val="none" w:sz="0" w:space="0" w:color="auto"/>
        <w:left w:val="none" w:sz="0" w:space="0" w:color="auto"/>
        <w:bottom w:val="none" w:sz="0" w:space="0" w:color="auto"/>
        <w:right w:val="none" w:sz="0" w:space="0" w:color="auto"/>
      </w:divBdr>
    </w:div>
    <w:div w:id="1252161996">
      <w:bodyDiv w:val="1"/>
      <w:marLeft w:val="0"/>
      <w:marRight w:val="0"/>
      <w:marTop w:val="0"/>
      <w:marBottom w:val="0"/>
      <w:divBdr>
        <w:top w:val="none" w:sz="0" w:space="0" w:color="auto"/>
        <w:left w:val="none" w:sz="0" w:space="0" w:color="auto"/>
        <w:bottom w:val="none" w:sz="0" w:space="0" w:color="auto"/>
        <w:right w:val="none" w:sz="0" w:space="0" w:color="auto"/>
      </w:divBdr>
    </w:div>
    <w:div w:id="1252351423">
      <w:bodyDiv w:val="1"/>
      <w:marLeft w:val="0"/>
      <w:marRight w:val="0"/>
      <w:marTop w:val="0"/>
      <w:marBottom w:val="0"/>
      <w:divBdr>
        <w:top w:val="none" w:sz="0" w:space="0" w:color="auto"/>
        <w:left w:val="none" w:sz="0" w:space="0" w:color="auto"/>
        <w:bottom w:val="none" w:sz="0" w:space="0" w:color="auto"/>
        <w:right w:val="none" w:sz="0" w:space="0" w:color="auto"/>
      </w:divBdr>
    </w:div>
    <w:div w:id="1252353911">
      <w:bodyDiv w:val="1"/>
      <w:marLeft w:val="0"/>
      <w:marRight w:val="0"/>
      <w:marTop w:val="0"/>
      <w:marBottom w:val="0"/>
      <w:divBdr>
        <w:top w:val="none" w:sz="0" w:space="0" w:color="auto"/>
        <w:left w:val="none" w:sz="0" w:space="0" w:color="auto"/>
        <w:bottom w:val="none" w:sz="0" w:space="0" w:color="auto"/>
        <w:right w:val="none" w:sz="0" w:space="0" w:color="auto"/>
      </w:divBdr>
    </w:div>
    <w:div w:id="1252423643">
      <w:bodyDiv w:val="1"/>
      <w:marLeft w:val="0"/>
      <w:marRight w:val="0"/>
      <w:marTop w:val="0"/>
      <w:marBottom w:val="0"/>
      <w:divBdr>
        <w:top w:val="none" w:sz="0" w:space="0" w:color="auto"/>
        <w:left w:val="none" w:sz="0" w:space="0" w:color="auto"/>
        <w:bottom w:val="none" w:sz="0" w:space="0" w:color="auto"/>
        <w:right w:val="none" w:sz="0" w:space="0" w:color="auto"/>
      </w:divBdr>
    </w:div>
    <w:div w:id="1252423980">
      <w:bodyDiv w:val="1"/>
      <w:marLeft w:val="0"/>
      <w:marRight w:val="0"/>
      <w:marTop w:val="0"/>
      <w:marBottom w:val="0"/>
      <w:divBdr>
        <w:top w:val="none" w:sz="0" w:space="0" w:color="auto"/>
        <w:left w:val="none" w:sz="0" w:space="0" w:color="auto"/>
        <w:bottom w:val="none" w:sz="0" w:space="0" w:color="auto"/>
        <w:right w:val="none" w:sz="0" w:space="0" w:color="auto"/>
      </w:divBdr>
    </w:div>
    <w:div w:id="1252424304">
      <w:bodyDiv w:val="1"/>
      <w:marLeft w:val="0"/>
      <w:marRight w:val="0"/>
      <w:marTop w:val="0"/>
      <w:marBottom w:val="0"/>
      <w:divBdr>
        <w:top w:val="none" w:sz="0" w:space="0" w:color="auto"/>
        <w:left w:val="none" w:sz="0" w:space="0" w:color="auto"/>
        <w:bottom w:val="none" w:sz="0" w:space="0" w:color="auto"/>
        <w:right w:val="none" w:sz="0" w:space="0" w:color="auto"/>
      </w:divBdr>
    </w:div>
    <w:div w:id="1252541039">
      <w:bodyDiv w:val="1"/>
      <w:marLeft w:val="0"/>
      <w:marRight w:val="0"/>
      <w:marTop w:val="0"/>
      <w:marBottom w:val="0"/>
      <w:divBdr>
        <w:top w:val="none" w:sz="0" w:space="0" w:color="auto"/>
        <w:left w:val="none" w:sz="0" w:space="0" w:color="auto"/>
        <w:bottom w:val="none" w:sz="0" w:space="0" w:color="auto"/>
        <w:right w:val="none" w:sz="0" w:space="0" w:color="auto"/>
      </w:divBdr>
    </w:div>
    <w:div w:id="1252542009">
      <w:bodyDiv w:val="1"/>
      <w:marLeft w:val="0"/>
      <w:marRight w:val="0"/>
      <w:marTop w:val="0"/>
      <w:marBottom w:val="0"/>
      <w:divBdr>
        <w:top w:val="none" w:sz="0" w:space="0" w:color="auto"/>
        <w:left w:val="none" w:sz="0" w:space="0" w:color="auto"/>
        <w:bottom w:val="none" w:sz="0" w:space="0" w:color="auto"/>
        <w:right w:val="none" w:sz="0" w:space="0" w:color="auto"/>
      </w:divBdr>
    </w:div>
    <w:div w:id="1252617738">
      <w:bodyDiv w:val="1"/>
      <w:marLeft w:val="0"/>
      <w:marRight w:val="0"/>
      <w:marTop w:val="0"/>
      <w:marBottom w:val="0"/>
      <w:divBdr>
        <w:top w:val="none" w:sz="0" w:space="0" w:color="auto"/>
        <w:left w:val="none" w:sz="0" w:space="0" w:color="auto"/>
        <w:bottom w:val="none" w:sz="0" w:space="0" w:color="auto"/>
        <w:right w:val="none" w:sz="0" w:space="0" w:color="auto"/>
      </w:divBdr>
    </w:div>
    <w:div w:id="1252816987">
      <w:bodyDiv w:val="1"/>
      <w:marLeft w:val="0"/>
      <w:marRight w:val="0"/>
      <w:marTop w:val="0"/>
      <w:marBottom w:val="0"/>
      <w:divBdr>
        <w:top w:val="none" w:sz="0" w:space="0" w:color="auto"/>
        <w:left w:val="none" w:sz="0" w:space="0" w:color="auto"/>
        <w:bottom w:val="none" w:sz="0" w:space="0" w:color="auto"/>
        <w:right w:val="none" w:sz="0" w:space="0" w:color="auto"/>
      </w:divBdr>
    </w:div>
    <w:div w:id="1252853238">
      <w:bodyDiv w:val="1"/>
      <w:marLeft w:val="0"/>
      <w:marRight w:val="0"/>
      <w:marTop w:val="0"/>
      <w:marBottom w:val="0"/>
      <w:divBdr>
        <w:top w:val="none" w:sz="0" w:space="0" w:color="auto"/>
        <w:left w:val="none" w:sz="0" w:space="0" w:color="auto"/>
        <w:bottom w:val="none" w:sz="0" w:space="0" w:color="auto"/>
        <w:right w:val="none" w:sz="0" w:space="0" w:color="auto"/>
      </w:divBdr>
    </w:div>
    <w:div w:id="1252934242">
      <w:bodyDiv w:val="1"/>
      <w:marLeft w:val="0"/>
      <w:marRight w:val="0"/>
      <w:marTop w:val="0"/>
      <w:marBottom w:val="0"/>
      <w:divBdr>
        <w:top w:val="none" w:sz="0" w:space="0" w:color="auto"/>
        <w:left w:val="none" w:sz="0" w:space="0" w:color="auto"/>
        <w:bottom w:val="none" w:sz="0" w:space="0" w:color="auto"/>
        <w:right w:val="none" w:sz="0" w:space="0" w:color="auto"/>
      </w:divBdr>
    </w:div>
    <w:div w:id="1253011248">
      <w:bodyDiv w:val="1"/>
      <w:marLeft w:val="0"/>
      <w:marRight w:val="0"/>
      <w:marTop w:val="0"/>
      <w:marBottom w:val="0"/>
      <w:divBdr>
        <w:top w:val="none" w:sz="0" w:space="0" w:color="auto"/>
        <w:left w:val="none" w:sz="0" w:space="0" w:color="auto"/>
        <w:bottom w:val="none" w:sz="0" w:space="0" w:color="auto"/>
        <w:right w:val="none" w:sz="0" w:space="0" w:color="auto"/>
      </w:divBdr>
    </w:div>
    <w:div w:id="1253049590">
      <w:bodyDiv w:val="1"/>
      <w:marLeft w:val="0"/>
      <w:marRight w:val="0"/>
      <w:marTop w:val="0"/>
      <w:marBottom w:val="0"/>
      <w:divBdr>
        <w:top w:val="none" w:sz="0" w:space="0" w:color="auto"/>
        <w:left w:val="none" w:sz="0" w:space="0" w:color="auto"/>
        <w:bottom w:val="none" w:sz="0" w:space="0" w:color="auto"/>
        <w:right w:val="none" w:sz="0" w:space="0" w:color="auto"/>
      </w:divBdr>
    </w:div>
    <w:div w:id="1253080446">
      <w:bodyDiv w:val="1"/>
      <w:marLeft w:val="0"/>
      <w:marRight w:val="0"/>
      <w:marTop w:val="0"/>
      <w:marBottom w:val="0"/>
      <w:divBdr>
        <w:top w:val="none" w:sz="0" w:space="0" w:color="auto"/>
        <w:left w:val="none" w:sz="0" w:space="0" w:color="auto"/>
        <w:bottom w:val="none" w:sz="0" w:space="0" w:color="auto"/>
        <w:right w:val="none" w:sz="0" w:space="0" w:color="auto"/>
      </w:divBdr>
    </w:div>
    <w:div w:id="1253127855">
      <w:bodyDiv w:val="1"/>
      <w:marLeft w:val="0"/>
      <w:marRight w:val="0"/>
      <w:marTop w:val="0"/>
      <w:marBottom w:val="0"/>
      <w:divBdr>
        <w:top w:val="none" w:sz="0" w:space="0" w:color="auto"/>
        <w:left w:val="none" w:sz="0" w:space="0" w:color="auto"/>
        <w:bottom w:val="none" w:sz="0" w:space="0" w:color="auto"/>
        <w:right w:val="none" w:sz="0" w:space="0" w:color="auto"/>
      </w:divBdr>
    </w:div>
    <w:div w:id="1253277286">
      <w:bodyDiv w:val="1"/>
      <w:marLeft w:val="0"/>
      <w:marRight w:val="0"/>
      <w:marTop w:val="0"/>
      <w:marBottom w:val="0"/>
      <w:divBdr>
        <w:top w:val="none" w:sz="0" w:space="0" w:color="auto"/>
        <w:left w:val="none" w:sz="0" w:space="0" w:color="auto"/>
        <w:bottom w:val="none" w:sz="0" w:space="0" w:color="auto"/>
        <w:right w:val="none" w:sz="0" w:space="0" w:color="auto"/>
      </w:divBdr>
    </w:div>
    <w:div w:id="1253314724">
      <w:bodyDiv w:val="1"/>
      <w:marLeft w:val="0"/>
      <w:marRight w:val="0"/>
      <w:marTop w:val="0"/>
      <w:marBottom w:val="0"/>
      <w:divBdr>
        <w:top w:val="none" w:sz="0" w:space="0" w:color="auto"/>
        <w:left w:val="none" w:sz="0" w:space="0" w:color="auto"/>
        <w:bottom w:val="none" w:sz="0" w:space="0" w:color="auto"/>
        <w:right w:val="none" w:sz="0" w:space="0" w:color="auto"/>
      </w:divBdr>
    </w:div>
    <w:div w:id="1253392732">
      <w:bodyDiv w:val="1"/>
      <w:marLeft w:val="0"/>
      <w:marRight w:val="0"/>
      <w:marTop w:val="0"/>
      <w:marBottom w:val="0"/>
      <w:divBdr>
        <w:top w:val="none" w:sz="0" w:space="0" w:color="auto"/>
        <w:left w:val="none" w:sz="0" w:space="0" w:color="auto"/>
        <w:bottom w:val="none" w:sz="0" w:space="0" w:color="auto"/>
        <w:right w:val="none" w:sz="0" w:space="0" w:color="auto"/>
      </w:divBdr>
    </w:div>
    <w:div w:id="1253508945">
      <w:bodyDiv w:val="1"/>
      <w:marLeft w:val="0"/>
      <w:marRight w:val="0"/>
      <w:marTop w:val="0"/>
      <w:marBottom w:val="0"/>
      <w:divBdr>
        <w:top w:val="none" w:sz="0" w:space="0" w:color="auto"/>
        <w:left w:val="none" w:sz="0" w:space="0" w:color="auto"/>
        <w:bottom w:val="none" w:sz="0" w:space="0" w:color="auto"/>
        <w:right w:val="none" w:sz="0" w:space="0" w:color="auto"/>
      </w:divBdr>
    </w:div>
    <w:div w:id="1253665491">
      <w:bodyDiv w:val="1"/>
      <w:marLeft w:val="0"/>
      <w:marRight w:val="0"/>
      <w:marTop w:val="0"/>
      <w:marBottom w:val="0"/>
      <w:divBdr>
        <w:top w:val="none" w:sz="0" w:space="0" w:color="auto"/>
        <w:left w:val="none" w:sz="0" w:space="0" w:color="auto"/>
        <w:bottom w:val="none" w:sz="0" w:space="0" w:color="auto"/>
        <w:right w:val="none" w:sz="0" w:space="0" w:color="auto"/>
      </w:divBdr>
    </w:div>
    <w:div w:id="1253776529">
      <w:bodyDiv w:val="1"/>
      <w:marLeft w:val="0"/>
      <w:marRight w:val="0"/>
      <w:marTop w:val="0"/>
      <w:marBottom w:val="0"/>
      <w:divBdr>
        <w:top w:val="none" w:sz="0" w:space="0" w:color="auto"/>
        <w:left w:val="none" w:sz="0" w:space="0" w:color="auto"/>
        <w:bottom w:val="none" w:sz="0" w:space="0" w:color="auto"/>
        <w:right w:val="none" w:sz="0" w:space="0" w:color="auto"/>
      </w:divBdr>
    </w:div>
    <w:div w:id="1254124615">
      <w:bodyDiv w:val="1"/>
      <w:marLeft w:val="0"/>
      <w:marRight w:val="0"/>
      <w:marTop w:val="0"/>
      <w:marBottom w:val="0"/>
      <w:divBdr>
        <w:top w:val="none" w:sz="0" w:space="0" w:color="auto"/>
        <w:left w:val="none" w:sz="0" w:space="0" w:color="auto"/>
        <w:bottom w:val="none" w:sz="0" w:space="0" w:color="auto"/>
        <w:right w:val="none" w:sz="0" w:space="0" w:color="auto"/>
      </w:divBdr>
    </w:div>
    <w:div w:id="1254127096">
      <w:bodyDiv w:val="1"/>
      <w:marLeft w:val="0"/>
      <w:marRight w:val="0"/>
      <w:marTop w:val="0"/>
      <w:marBottom w:val="0"/>
      <w:divBdr>
        <w:top w:val="none" w:sz="0" w:space="0" w:color="auto"/>
        <w:left w:val="none" w:sz="0" w:space="0" w:color="auto"/>
        <w:bottom w:val="none" w:sz="0" w:space="0" w:color="auto"/>
        <w:right w:val="none" w:sz="0" w:space="0" w:color="auto"/>
      </w:divBdr>
    </w:div>
    <w:div w:id="1254388875">
      <w:bodyDiv w:val="1"/>
      <w:marLeft w:val="0"/>
      <w:marRight w:val="0"/>
      <w:marTop w:val="0"/>
      <w:marBottom w:val="0"/>
      <w:divBdr>
        <w:top w:val="none" w:sz="0" w:space="0" w:color="auto"/>
        <w:left w:val="none" w:sz="0" w:space="0" w:color="auto"/>
        <w:bottom w:val="none" w:sz="0" w:space="0" w:color="auto"/>
        <w:right w:val="none" w:sz="0" w:space="0" w:color="auto"/>
      </w:divBdr>
    </w:div>
    <w:div w:id="1254434907">
      <w:bodyDiv w:val="1"/>
      <w:marLeft w:val="0"/>
      <w:marRight w:val="0"/>
      <w:marTop w:val="0"/>
      <w:marBottom w:val="0"/>
      <w:divBdr>
        <w:top w:val="none" w:sz="0" w:space="0" w:color="auto"/>
        <w:left w:val="none" w:sz="0" w:space="0" w:color="auto"/>
        <w:bottom w:val="none" w:sz="0" w:space="0" w:color="auto"/>
        <w:right w:val="none" w:sz="0" w:space="0" w:color="auto"/>
      </w:divBdr>
    </w:div>
    <w:div w:id="1254509059">
      <w:bodyDiv w:val="1"/>
      <w:marLeft w:val="0"/>
      <w:marRight w:val="0"/>
      <w:marTop w:val="0"/>
      <w:marBottom w:val="0"/>
      <w:divBdr>
        <w:top w:val="none" w:sz="0" w:space="0" w:color="auto"/>
        <w:left w:val="none" w:sz="0" w:space="0" w:color="auto"/>
        <w:bottom w:val="none" w:sz="0" w:space="0" w:color="auto"/>
        <w:right w:val="none" w:sz="0" w:space="0" w:color="auto"/>
      </w:divBdr>
    </w:div>
    <w:div w:id="1254512864">
      <w:bodyDiv w:val="1"/>
      <w:marLeft w:val="0"/>
      <w:marRight w:val="0"/>
      <w:marTop w:val="0"/>
      <w:marBottom w:val="0"/>
      <w:divBdr>
        <w:top w:val="none" w:sz="0" w:space="0" w:color="auto"/>
        <w:left w:val="none" w:sz="0" w:space="0" w:color="auto"/>
        <w:bottom w:val="none" w:sz="0" w:space="0" w:color="auto"/>
        <w:right w:val="none" w:sz="0" w:space="0" w:color="auto"/>
      </w:divBdr>
    </w:div>
    <w:div w:id="1254513929">
      <w:bodyDiv w:val="1"/>
      <w:marLeft w:val="0"/>
      <w:marRight w:val="0"/>
      <w:marTop w:val="0"/>
      <w:marBottom w:val="0"/>
      <w:divBdr>
        <w:top w:val="none" w:sz="0" w:space="0" w:color="auto"/>
        <w:left w:val="none" w:sz="0" w:space="0" w:color="auto"/>
        <w:bottom w:val="none" w:sz="0" w:space="0" w:color="auto"/>
        <w:right w:val="none" w:sz="0" w:space="0" w:color="auto"/>
      </w:divBdr>
    </w:div>
    <w:div w:id="1254558447">
      <w:bodyDiv w:val="1"/>
      <w:marLeft w:val="0"/>
      <w:marRight w:val="0"/>
      <w:marTop w:val="0"/>
      <w:marBottom w:val="0"/>
      <w:divBdr>
        <w:top w:val="none" w:sz="0" w:space="0" w:color="auto"/>
        <w:left w:val="none" w:sz="0" w:space="0" w:color="auto"/>
        <w:bottom w:val="none" w:sz="0" w:space="0" w:color="auto"/>
        <w:right w:val="none" w:sz="0" w:space="0" w:color="auto"/>
      </w:divBdr>
    </w:div>
    <w:div w:id="1254625628">
      <w:bodyDiv w:val="1"/>
      <w:marLeft w:val="0"/>
      <w:marRight w:val="0"/>
      <w:marTop w:val="0"/>
      <w:marBottom w:val="0"/>
      <w:divBdr>
        <w:top w:val="none" w:sz="0" w:space="0" w:color="auto"/>
        <w:left w:val="none" w:sz="0" w:space="0" w:color="auto"/>
        <w:bottom w:val="none" w:sz="0" w:space="0" w:color="auto"/>
        <w:right w:val="none" w:sz="0" w:space="0" w:color="auto"/>
      </w:divBdr>
    </w:div>
    <w:div w:id="1254627084">
      <w:bodyDiv w:val="1"/>
      <w:marLeft w:val="0"/>
      <w:marRight w:val="0"/>
      <w:marTop w:val="0"/>
      <w:marBottom w:val="0"/>
      <w:divBdr>
        <w:top w:val="none" w:sz="0" w:space="0" w:color="auto"/>
        <w:left w:val="none" w:sz="0" w:space="0" w:color="auto"/>
        <w:bottom w:val="none" w:sz="0" w:space="0" w:color="auto"/>
        <w:right w:val="none" w:sz="0" w:space="0" w:color="auto"/>
      </w:divBdr>
    </w:div>
    <w:div w:id="1254633447">
      <w:bodyDiv w:val="1"/>
      <w:marLeft w:val="0"/>
      <w:marRight w:val="0"/>
      <w:marTop w:val="0"/>
      <w:marBottom w:val="0"/>
      <w:divBdr>
        <w:top w:val="none" w:sz="0" w:space="0" w:color="auto"/>
        <w:left w:val="none" w:sz="0" w:space="0" w:color="auto"/>
        <w:bottom w:val="none" w:sz="0" w:space="0" w:color="auto"/>
        <w:right w:val="none" w:sz="0" w:space="0" w:color="auto"/>
      </w:divBdr>
    </w:div>
    <w:div w:id="1254700369">
      <w:bodyDiv w:val="1"/>
      <w:marLeft w:val="0"/>
      <w:marRight w:val="0"/>
      <w:marTop w:val="0"/>
      <w:marBottom w:val="0"/>
      <w:divBdr>
        <w:top w:val="none" w:sz="0" w:space="0" w:color="auto"/>
        <w:left w:val="none" w:sz="0" w:space="0" w:color="auto"/>
        <w:bottom w:val="none" w:sz="0" w:space="0" w:color="auto"/>
        <w:right w:val="none" w:sz="0" w:space="0" w:color="auto"/>
      </w:divBdr>
    </w:div>
    <w:div w:id="1254701806">
      <w:bodyDiv w:val="1"/>
      <w:marLeft w:val="0"/>
      <w:marRight w:val="0"/>
      <w:marTop w:val="0"/>
      <w:marBottom w:val="0"/>
      <w:divBdr>
        <w:top w:val="none" w:sz="0" w:space="0" w:color="auto"/>
        <w:left w:val="none" w:sz="0" w:space="0" w:color="auto"/>
        <w:bottom w:val="none" w:sz="0" w:space="0" w:color="auto"/>
        <w:right w:val="none" w:sz="0" w:space="0" w:color="auto"/>
      </w:divBdr>
    </w:div>
    <w:div w:id="1254702029">
      <w:bodyDiv w:val="1"/>
      <w:marLeft w:val="0"/>
      <w:marRight w:val="0"/>
      <w:marTop w:val="0"/>
      <w:marBottom w:val="0"/>
      <w:divBdr>
        <w:top w:val="none" w:sz="0" w:space="0" w:color="auto"/>
        <w:left w:val="none" w:sz="0" w:space="0" w:color="auto"/>
        <w:bottom w:val="none" w:sz="0" w:space="0" w:color="auto"/>
        <w:right w:val="none" w:sz="0" w:space="0" w:color="auto"/>
      </w:divBdr>
    </w:div>
    <w:div w:id="1254703642">
      <w:bodyDiv w:val="1"/>
      <w:marLeft w:val="0"/>
      <w:marRight w:val="0"/>
      <w:marTop w:val="0"/>
      <w:marBottom w:val="0"/>
      <w:divBdr>
        <w:top w:val="none" w:sz="0" w:space="0" w:color="auto"/>
        <w:left w:val="none" w:sz="0" w:space="0" w:color="auto"/>
        <w:bottom w:val="none" w:sz="0" w:space="0" w:color="auto"/>
        <w:right w:val="none" w:sz="0" w:space="0" w:color="auto"/>
      </w:divBdr>
    </w:div>
    <w:div w:id="1254704091">
      <w:bodyDiv w:val="1"/>
      <w:marLeft w:val="0"/>
      <w:marRight w:val="0"/>
      <w:marTop w:val="0"/>
      <w:marBottom w:val="0"/>
      <w:divBdr>
        <w:top w:val="none" w:sz="0" w:space="0" w:color="auto"/>
        <w:left w:val="none" w:sz="0" w:space="0" w:color="auto"/>
        <w:bottom w:val="none" w:sz="0" w:space="0" w:color="auto"/>
        <w:right w:val="none" w:sz="0" w:space="0" w:color="auto"/>
      </w:divBdr>
    </w:div>
    <w:div w:id="1254707441">
      <w:bodyDiv w:val="1"/>
      <w:marLeft w:val="0"/>
      <w:marRight w:val="0"/>
      <w:marTop w:val="0"/>
      <w:marBottom w:val="0"/>
      <w:divBdr>
        <w:top w:val="none" w:sz="0" w:space="0" w:color="auto"/>
        <w:left w:val="none" w:sz="0" w:space="0" w:color="auto"/>
        <w:bottom w:val="none" w:sz="0" w:space="0" w:color="auto"/>
        <w:right w:val="none" w:sz="0" w:space="0" w:color="auto"/>
      </w:divBdr>
    </w:div>
    <w:div w:id="1254776864">
      <w:bodyDiv w:val="1"/>
      <w:marLeft w:val="0"/>
      <w:marRight w:val="0"/>
      <w:marTop w:val="0"/>
      <w:marBottom w:val="0"/>
      <w:divBdr>
        <w:top w:val="none" w:sz="0" w:space="0" w:color="auto"/>
        <w:left w:val="none" w:sz="0" w:space="0" w:color="auto"/>
        <w:bottom w:val="none" w:sz="0" w:space="0" w:color="auto"/>
        <w:right w:val="none" w:sz="0" w:space="0" w:color="auto"/>
      </w:divBdr>
    </w:div>
    <w:div w:id="1254896512">
      <w:bodyDiv w:val="1"/>
      <w:marLeft w:val="0"/>
      <w:marRight w:val="0"/>
      <w:marTop w:val="0"/>
      <w:marBottom w:val="0"/>
      <w:divBdr>
        <w:top w:val="none" w:sz="0" w:space="0" w:color="auto"/>
        <w:left w:val="none" w:sz="0" w:space="0" w:color="auto"/>
        <w:bottom w:val="none" w:sz="0" w:space="0" w:color="auto"/>
        <w:right w:val="none" w:sz="0" w:space="0" w:color="auto"/>
      </w:divBdr>
    </w:div>
    <w:div w:id="1254901514">
      <w:bodyDiv w:val="1"/>
      <w:marLeft w:val="0"/>
      <w:marRight w:val="0"/>
      <w:marTop w:val="0"/>
      <w:marBottom w:val="0"/>
      <w:divBdr>
        <w:top w:val="none" w:sz="0" w:space="0" w:color="auto"/>
        <w:left w:val="none" w:sz="0" w:space="0" w:color="auto"/>
        <w:bottom w:val="none" w:sz="0" w:space="0" w:color="auto"/>
        <w:right w:val="none" w:sz="0" w:space="0" w:color="auto"/>
      </w:divBdr>
    </w:div>
    <w:div w:id="1254969499">
      <w:bodyDiv w:val="1"/>
      <w:marLeft w:val="0"/>
      <w:marRight w:val="0"/>
      <w:marTop w:val="0"/>
      <w:marBottom w:val="0"/>
      <w:divBdr>
        <w:top w:val="none" w:sz="0" w:space="0" w:color="auto"/>
        <w:left w:val="none" w:sz="0" w:space="0" w:color="auto"/>
        <w:bottom w:val="none" w:sz="0" w:space="0" w:color="auto"/>
        <w:right w:val="none" w:sz="0" w:space="0" w:color="auto"/>
      </w:divBdr>
    </w:div>
    <w:div w:id="1254975846">
      <w:bodyDiv w:val="1"/>
      <w:marLeft w:val="0"/>
      <w:marRight w:val="0"/>
      <w:marTop w:val="0"/>
      <w:marBottom w:val="0"/>
      <w:divBdr>
        <w:top w:val="none" w:sz="0" w:space="0" w:color="auto"/>
        <w:left w:val="none" w:sz="0" w:space="0" w:color="auto"/>
        <w:bottom w:val="none" w:sz="0" w:space="0" w:color="auto"/>
        <w:right w:val="none" w:sz="0" w:space="0" w:color="auto"/>
      </w:divBdr>
    </w:div>
    <w:div w:id="1255095396">
      <w:bodyDiv w:val="1"/>
      <w:marLeft w:val="0"/>
      <w:marRight w:val="0"/>
      <w:marTop w:val="0"/>
      <w:marBottom w:val="0"/>
      <w:divBdr>
        <w:top w:val="none" w:sz="0" w:space="0" w:color="auto"/>
        <w:left w:val="none" w:sz="0" w:space="0" w:color="auto"/>
        <w:bottom w:val="none" w:sz="0" w:space="0" w:color="auto"/>
        <w:right w:val="none" w:sz="0" w:space="0" w:color="auto"/>
      </w:divBdr>
    </w:div>
    <w:div w:id="1255237235">
      <w:bodyDiv w:val="1"/>
      <w:marLeft w:val="0"/>
      <w:marRight w:val="0"/>
      <w:marTop w:val="0"/>
      <w:marBottom w:val="0"/>
      <w:divBdr>
        <w:top w:val="none" w:sz="0" w:space="0" w:color="auto"/>
        <w:left w:val="none" w:sz="0" w:space="0" w:color="auto"/>
        <w:bottom w:val="none" w:sz="0" w:space="0" w:color="auto"/>
        <w:right w:val="none" w:sz="0" w:space="0" w:color="auto"/>
      </w:divBdr>
    </w:div>
    <w:div w:id="1255280122">
      <w:bodyDiv w:val="1"/>
      <w:marLeft w:val="0"/>
      <w:marRight w:val="0"/>
      <w:marTop w:val="0"/>
      <w:marBottom w:val="0"/>
      <w:divBdr>
        <w:top w:val="none" w:sz="0" w:space="0" w:color="auto"/>
        <w:left w:val="none" w:sz="0" w:space="0" w:color="auto"/>
        <w:bottom w:val="none" w:sz="0" w:space="0" w:color="auto"/>
        <w:right w:val="none" w:sz="0" w:space="0" w:color="auto"/>
      </w:divBdr>
    </w:div>
    <w:div w:id="1255430286">
      <w:bodyDiv w:val="1"/>
      <w:marLeft w:val="0"/>
      <w:marRight w:val="0"/>
      <w:marTop w:val="0"/>
      <w:marBottom w:val="0"/>
      <w:divBdr>
        <w:top w:val="none" w:sz="0" w:space="0" w:color="auto"/>
        <w:left w:val="none" w:sz="0" w:space="0" w:color="auto"/>
        <w:bottom w:val="none" w:sz="0" w:space="0" w:color="auto"/>
        <w:right w:val="none" w:sz="0" w:space="0" w:color="auto"/>
      </w:divBdr>
    </w:div>
    <w:div w:id="1255436904">
      <w:bodyDiv w:val="1"/>
      <w:marLeft w:val="0"/>
      <w:marRight w:val="0"/>
      <w:marTop w:val="0"/>
      <w:marBottom w:val="0"/>
      <w:divBdr>
        <w:top w:val="none" w:sz="0" w:space="0" w:color="auto"/>
        <w:left w:val="none" w:sz="0" w:space="0" w:color="auto"/>
        <w:bottom w:val="none" w:sz="0" w:space="0" w:color="auto"/>
        <w:right w:val="none" w:sz="0" w:space="0" w:color="auto"/>
      </w:divBdr>
    </w:div>
    <w:div w:id="1255628937">
      <w:bodyDiv w:val="1"/>
      <w:marLeft w:val="0"/>
      <w:marRight w:val="0"/>
      <w:marTop w:val="0"/>
      <w:marBottom w:val="0"/>
      <w:divBdr>
        <w:top w:val="none" w:sz="0" w:space="0" w:color="auto"/>
        <w:left w:val="none" w:sz="0" w:space="0" w:color="auto"/>
        <w:bottom w:val="none" w:sz="0" w:space="0" w:color="auto"/>
        <w:right w:val="none" w:sz="0" w:space="0" w:color="auto"/>
      </w:divBdr>
    </w:div>
    <w:div w:id="1255750743">
      <w:bodyDiv w:val="1"/>
      <w:marLeft w:val="0"/>
      <w:marRight w:val="0"/>
      <w:marTop w:val="0"/>
      <w:marBottom w:val="0"/>
      <w:divBdr>
        <w:top w:val="none" w:sz="0" w:space="0" w:color="auto"/>
        <w:left w:val="none" w:sz="0" w:space="0" w:color="auto"/>
        <w:bottom w:val="none" w:sz="0" w:space="0" w:color="auto"/>
        <w:right w:val="none" w:sz="0" w:space="0" w:color="auto"/>
      </w:divBdr>
    </w:div>
    <w:div w:id="1255823577">
      <w:bodyDiv w:val="1"/>
      <w:marLeft w:val="0"/>
      <w:marRight w:val="0"/>
      <w:marTop w:val="0"/>
      <w:marBottom w:val="0"/>
      <w:divBdr>
        <w:top w:val="none" w:sz="0" w:space="0" w:color="auto"/>
        <w:left w:val="none" w:sz="0" w:space="0" w:color="auto"/>
        <w:bottom w:val="none" w:sz="0" w:space="0" w:color="auto"/>
        <w:right w:val="none" w:sz="0" w:space="0" w:color="auto"/>
      </w:divBdr>
    </w:div>
    <w:div w:id="1255893826">
      <w:bodyDiv w:val="1"/>
      <w:marLeft w:val="0"/>
      <w:marRight w:val="0"/>
      <w:marTop w:val="0"/>
      <w:marBottom w:val="0"/>
      <w:divBdr>
        <w:top w:val="none" w:sz="0" w:space="0" w:color="auto"/>
        <w:left w:val="none" w:sz="0" w:space="0" w:color="auto"/>
        <w:bottom w:val="none" w:sz="0" w:space="0" w:color="auto"/>
        <w:right w:val="none" w:sz="0" w:space="0" w:color="auto"/>
      </w:divBdr>
    </w:div>
    <w:div w:id="1255898764">
      <w:bodyDiv w:val="1"/>
      <w:marLeft w:val="0"/>
      <w:marRight w:val="0"/>
      <w:marTop w:val="0"/>
      <w:marBottom w:val="0"/>
      <w:divBdr>
        <w:top w:val="none" w:sz="0" w:space="0" w:color="auto"/>
        <w:left w:val="none" w:sz="0" w:space="0" w:color="auto"/>
        <w:bottom w:val="none" w:sz="0" w:space="0" w:color="auto"/>
        <w:right w:val="none" w:sz="0" w:space="0" w:color="auto"/>
      </w:divBdr>
    </w:div>
    <w:div w:id="1255936794">
      <w:bodyDiv w:val="1"/>
      <w:marLeft w:val="0"/>
      <w:marRight w:val="0"/>
      <w:marTop w:val="0"/>
      <w:marBottom w:val="0"/>
      <w:divBdr>
        <w:top w:val="none" w:sz="0" w:space="0" w:color="auto"/>
        <w:left w:val="none" w:sz="0" w:space="0" w:color="auto"/>
        <w:bottom w:val="none" w:sz="0" w:space="0" w:color="auto"/>
        <w:right w:val="none" w:sz="0" w:space="0" w:color="auto"/>
      </w:divBdr>
    </w:div>
    <w:div w:id="1255938871">
      <w:bodyDiv w:val="1"/>
      <w:marLeft w:val="0"/>
      <w:marRight w:val="0"/>
      <w:marTop w:val="0"/>
      <w:marBottom w:val="0"/>
      <w:divBdr>
        <w:top w:val="none" w:sz="0" w:space="0" w:color="auto"/>
        <w:left w:val="none" w:sz="0" w:space="0" w:color="auto"/>
        <w:bottom w:val="none" w:sz="0" w:space="0" w:color="auto"/>
        <w:right w:val="none" w:sz="0" w:space="0" w:color="auto"/>
      </w:divBdr>
    </w:div>
    <w:div w:id="1255942923">
      <w:bodyDiv w:val="1"/>
      <w:marLeft w:val="0"/>
      <w:marRight w:val="0"/>
      <w:marTop w:val="0"/>
      <w:marBottom w:val="0"/>
      <w:divBdr>
        <w:top w:val="none" w:sz="0" w:space="0" w:color="auto"/>
        <w:left w:val="none" w:sz="0" w:space="0" w:color="auto"/>
        <w:bottom w:val="none" w:sz="0" w:space="0" w:color="auto"/>
        <w:right w:val="none" w:sz="0" w:space="0" w:color="auto"/>
      </w:divBdr>
    </w:div>
    <w:div w:id="1256012555">
      <w:bodyDiv w:val="1"/>
      <w:marLeft w:val="0"/>
      <w:marRight w:val="0"/>
      <w:marTop w:val="0"/>
      <w:marBottom w:val="0"/>
      <w:divBdr>
        <w:top w:val="none" w:sz="0" w:space="0" w:color="auto"/>
        <w:left w:val="none" w:sz="0" w:space="0" w:color="auto"/>
        <w:bottom w:val="none" w:sz="0" w:space="0" w:color="auto"/>
        <w:right w:val="none" w:sz="0" w:space="0" w:color="auto"/>
      </w:divBdr>
    </w:div>
    <w:div w:id="1256018728">
      <w:bodyDiv w:val="1"/>
      <w:marLeft w:val="0"/>
      <w:marRight w:val="0"/>
      <w:marTop w:val="0"/>
      <w:marBottom w:val="0"/>
      <w:divBdr>
        <w:top w:val="none" w:sz="0" w:space="0" w:color="auto"/>
        <w:left w:val="none" w:sz="0" w:space="0" w:color="auto"/>
        <w:bottom w:val="none" w:sz="0" w:space="0" w:color="auto"/>
        <w:right w:val="none" w:sz="0" w:space="0" w:color="auto"/>
      </w:divBdr>
    </w:div>
    <w:div w:id="1256328140">
      <w:bodyDiv w:val="1"/>
      <w:marLeft w:val="0"/>
      <w:marRight w:val="0"/>
      <w:marTop w:val="0"/>
      <w:marBottom w:val="0"/>
      <w:divBdr>
        <w:top w:val="none" w:sz="0" w:space="0" w:color="auto"/>
        <w:left w:val="none" w:sz="0" w:space="0" w:color="auto"/>
        <w:bottom w:val="none" w:sz="0" w:space="0" w:color="auto"/>
        <w:right w:val="none" w:sz="0" w:space="0" w:color="auto"/>
      </w:divBdr>
    </w:div>
    <w:div w:id="1256355094">
      <w:bodyDiv w:val="1"/>
      <w:marLeft w:val="0"/>
      <w:marRight w:val="0"/>
      <w:marTop w:val="0"/>
      <w:marBottom w:val="0"/>
      <w:divBdr>
        <w:top w:val="none" w:sz="0" w:space="0" w:color="auto"/>
        <w:left w:val="none" w:sz="0" w:space="0" w:color="auto"/>
        <w:bottom w:val="none" w:sz="0" w:space="0" w:color="auto"/>
        <w:right w:val="none" w:sz="0" w:space="0" w:color="auto"/>
      </w:divBdr>
    </w:div>
    <w:div w:id="1256397542">
      <w:bodyDiv w:val="1"/>
      <w:marLeft w:val="0"/>
      <w:marRight w:val="0"/>
      <w:marTop w:val="0"/>
      <w:marBottom w:val="0"/>
      <w:divBdr>
        <w:top w:val="none" w:sz="0" w:space="0" w:color="auto"/>
        <w:left w:val="none" w:sz="0" w:space="0" w:color="auto"/>
        <w:bottom w:val="none" w:sz="0" w:space="0" w:color="auto"/>
        <w:right w:val="none" w:sz="0" w:space="0" w:color="auto"/>
      </w:divBdr>
    </w:div>
    <w:div w:id="1256478932">
      <w:bodyDiv w:val="1"/>
      <w:marLeft w:val="0"/>
      <w:marRight w:val="0"/>
      <w:marTop w:val="0"/>
      <w:marBottom w:val="0"/>
      <w:divBdr>
        <w:top w:val="none" w:sz="0" w:space="0" w:color="auto"/>
        <w:left w:val="none" w:sz="0" w:space="0" w:color="auto"/>
        <w:bottom w:val="none" w:sz="0" w:space="0" w:color="auto"/>
        <w:right w:val="none" w:sz="0" w:space="0" w:color="auto"/>
      </w:divBdr>
    </w:div>
    <w:div w:id="1256548654">
      <w:bodyDiv w:val="1"/>
      <w:marLeft w:val="0"/>
      <w:marRight w:val="0"/>
      <w:marTop w:val="0"/>
      <w:marBottom w:val="0"/>
      <w:divBdr>
        <w:top w:val="none" w:sz="0" w:space="0" w:color="auto"/>
        <w:left w:val="none" w:sz="0" w:space="0" w:color="auto"/>
        <w:bottom w:val="none" w:sz="0" w:space="0" w:color="auto"/>
        <w:right w:val="none" w:sz="0" w:space="0" w:color="auto"/>
      </w:divBdr>
    </w:div>
    <w:div w:id="1256548783">
      <w:bodyDiv w:val="1"/>
      <w:marLeft w:val="0"/>
      <w:marRight w:val="0"/>
      <w:marTop w:val="0"/>
      <w:marBottom w:val="0"/>
      <w:divBdr>
        <w:top w:val="none" w:sz="0" w:space="0" w:color="auto"/>
        <w:left w:val="none" w:sz="0" w:space="0" w:color="auto"/>
        <w:bottom w:val="none" w:sz="0" w:space="0" w:color="auto"/>
        <w:right w:val="none" w:sz="0" w:space="0" w:color="auto"/>
      </w:divBdr>
    </w:div>
    <w:div w:id="1256553263">
      <w:bodyDiv w:val="1"/>
      <w:marLeft w:val="0"/>
      <w:marRight w:val="0"/>
      <w:marTop w:val="0"/>
      <w:marBottom w:val="0"/>
      <w:divBdr>
        <w:top w:val="none" w:sz="0" w:space="0" w:color="auto"/>
        <w:left w:val="none" w:sz="0" w:space="0" w:color="auto"/>
        <w:bottom w:val="none" w:sz="0" w:space="0" w:color="auto"/>
        <w:right w:val="none" w:sz="0" w:space="0" w:color="auto"/>
      </w:divBdr>
    </w:div>
    <w:div w:id="1256670810">
      <w:bodyDiv w:val="1"/>
      <w:marLeft w:val="0"/>
      <w:marRight w:val="0"/>
      <w:marTop w:val="0"/>
      <w:marBottom w:val="0"/>
      <w:divBdr>
        <w:top w:val="none" w:sz="0" w:space="0" w:color="auto"/>
        <w:left w:val="none" w:sz="0" w:space="0" w:color="auto"/>
        <w:bottom w:val="none" w:sz="0" w:space="0" w:color="auto"/>
        <w:right w:val="none" w:sz="0" w:space="0" w:color="auto"/>
      </w:divBdr>
    </w:div>
    <w:div w:id="1256983598">
      <w:bodyDiv w:val="1"/>
      <w:marLeft w:val="0"/>
      <w:marRight w:val="0"/>
      <w:marTop w:val="0"/>
      <w:marBottom w:val="0"/>
      <w:divBdr>
        <w:top w:val="none" w:sz="0" w:space="0" w:color="auto"/>
        <w:left w:val="none" w:sz="0" w:space="0" w:color="auto"/>
        <w:bottom w:val="none" w:sz="0" w:space="0" w:color="auto"/>
        <w:right w:val="none" w:sz="0" w:space="0" w:color="auto"/>
      </w:divBdr>
    </w:div>
    <w:div w:id="1257128397">
      <w:bodyDiv w:val="1"/>
      <w:marLeft w:val="0"/>
      <w:marRight w:val="0"/>
      <w:marTop w:val="0"/>
      <w:marBottom w:val="0"/>
      <w:divBdr>
        <w:top w:val="none" w:sz="0" w:space="0" w:color="auto"/>
        <w:left w:val="none" w:sz="0" w:space="0" w:color="auto"/>
        <w:bottom w:val="none" w:sz="0" w:space="0" w:color="auto"/>
        <w:right w:val="none" w:sz="0" w:space="0" w:color="auto"/>
      </w:divBdr>
    </w:div>
    <w:div w:id="1257179300">
      <w:bodyDiv w:val="1"/>
      <w:marLeft w:val="0"/>
      <w:marRight w:val="0"/>
      <w:marTop w:val="0"/>
      <w:marBottom w:val="0"/>
      <w:divBdr>
        <w:top w:val="none" w:sz="0" w:space="0" w:color="auto"/>
        <w:left w:val="none" w:sz="0" w:space="0" w:color="auto"/>
        <w:bottom w:val="none" w:sz="0" w:space="0" w:color="auto"/>
        <w:right w:val="none" w:sz="0" w:space="0" w:color="auto"/>
      </w:divBdr>
    </w:div>
    <w:div w:id="1257179545">
      <w:bodyDiv w:val="1"/>
      <w:marLeft w:val="0"/>
      <w:marRight w:val="0"/>
      <w:marTop w:val="0"/>
      <w:marBottom w:val="0"/>
      <w:divBdr>
        <w:top w:val="none" w:sz="0" w:space="0" w:color="auto"/>
        <w:left w:val="none" w:sz="0" w:space="0" w:color="auto"/>
        <w:bottom w:val="none" w:sz="0" w:space="0" w:color="auto"/>
        <w:right w:val="none" w:sz="0" w:space="0" w:color="auto"/>
      </w:divBdr>
    </w:div>
    <w:div w:id="1257254490">
      <w:bodyDiv w:val="1"/>
      <w:marLeft w:val="0"/>
      <w:marRight w:val="0"/>
      <w:marTop w:val="0"/>
      <w:marBottom w:val="0"/>
      <w:divBdr>
        <w:top w:val="none" w:sz="0" w:space="0" w:color="auto"/>
        <w:left w:val="none" w:sz="0" w:space="0" w:color="auto"/>
        <w:bottom w:val="none" w:sz="0" w:space="0" w:color="auto"/>
        <w:right w:val="none" w:sz="0" w:space="0" w:color="auto"/>
      </w:divBdr>
    </w:div>
    <w:div w:id="1257321396">
      <w:bodyDiv w:val="1"/>
      <w:marLeft w:val="0"/>
      <w:marRight w:val="0"/>
      <w:marTop w:val="0"/>
      <w:marBottom w:val="0"/>
      <w:divBdr>
        <w:top w:val="none" w:sz="0" w:space="0" w:color="auto"/>
        <w:left w:val="none" w:sz="0" w:space="0" w:color="auto"/>
        <w:bottom w:val="none" w:sz="0" w:space="0" w:color="auto"/>
        <w:right w:val="none" w:sz="0" w:space="0" w:color="auto"/>
      </w:divBdr>
    </w:div>
    <w:div w:id="1257328665">
      <w:bodyDiv w:val="1"/>
      <w:marLeft w:val="0"/>
      <w:marRight w:val="0"/>
      <w:marTop w:val="0"/>
      <w:marBottom w:val="0"/>
      <w:divBdr>
        <w:top w:val="none" w:sz="0" w:space="0" w:color="auto"/>
        <w:left w:val="none" w:sz="0" w:space="0" w:color="auto"/>
        <w:bottom w:val="none" w:sz="0" w:space="0" w:color="auto"/>
        <w:right w:val="none" w:sz="0" w:space="0" w:color="auto"/>
      </w:divBdr>
    </w:div>
    <w:div w:id="1257522318">
      <w:bodyDiv w:val="1"/>
      <w:marLeft w:val="0"/>
      <w:marRight w:val="0"/>
      <w:marTop w:val="0"/>
      <w:marBottom w:val="0"/>
      <w:divBdr>
        <w:top w:val="none" w:sz="0" w:space="0" w:color="auto"/>
        <w:left w:val="none" w:sz="0" w:space="0" w:color="auto"/>
        <w:bottom w:val="none" w:sz="0" w:space="0" w:color="auto"/>
        <w:right w:val="none" w:sz="0" w:space="0" w:color="auto"/>
      </w:divBdr>
    </w:div>
    <w:div w:id="1257635897">
      <w:bodyDiv w:val="1"/>
      <w:marLeft w:val="0"/>
      <w:marRight w:val="0"/>
      <w:marTop w:val="0"/>
      <w:marBottom w:val="0"/>
      <w:divBdr>
        <w:top w:val="none" w:sz="0" w:space="0" w:color="auto"/>
        <w:left w:val="none" w:sz="0" w:space="0" w:color="auto"/>
        <w:bottom w:val="none" w:sz="0" w:space="0" w:color="auto"/>
        <w:right w:val="none" w:sz="0" w:space="0" w:color="auto"/>
      </w:divBdr>
    </w:div>
    <w:div w:id="1257666005">
      <w:bodyDiv w:val="1"/>
      <w:marLeft w:val="0"/>
      <w:marRight w:val="0"/>
      <w:marTop w:val="0"/>
      <w:marBottom w:val="0"/>
      <w:divBdr>
        <w:top w:val="none" w:sz="0" w:space="0" w:color="auto"/>
        <w:left w:val="none" w:sz="0" w:space="0" w:color="auto"/>
        <w:bottom w:val="none" w:sz="0" w:space="0" w:color="auto"/>
        <w:right w:val="none" w:sz="0" w:space="0" w:color="auto"/>
      </w:divBdr>
    </w:div>
    <w:div w:id="1257666368">
      <w:bodyDiv w:val="1"/>
      <w:marLeft w:val="0"/>
      <w:marRight w:val="0"/>
      <w:marTop w:val="0"/>
      <w:marBottom w:val="0"/>
      <w:divBdr>
        <w:top w:val="none" w:sz="0" w:space="0" w:color="auto"/>
        <w:left w:val="none" w:sz="0" w:space="0" w:color="auto"/>
        <w:bottom w:val="none" w:sz="0" w:space="0" w:color="auto"/>
        <w:right w:val="none" w:sz="0" w:space="0" w:color="auto"/>
      </w:divBdr>
    </w:div>
    <w:div w:id="1257783791">
      <w:bodyDiv w:val="1"/>
      <w:marLeft w:val="0"/>
      <w:marRight w:val="0"/>
      <w:marTop w:val="0"/>
      <w:marBottom w:val="0"/>
      <w:divBdr>
        <w:top w:val="none" w:sz="0" w:space="0" w:color="auto"/>
        <w:left w:val="none" w:sz="0" w:space="0" w:color="auto"/>
        <w:bottom w:val="none" w:sz="0" w:space="0" w:color="auto"/>
        <w:right w:val="none" w:sz="0" w:space="0" w:color="auto"/>
      </w:divBdr>
    </w:div>
    <w:div w:id="1257790552">
      <w:bodyDiv w:val="1"/>
      <w:marLeft w:val="0"/>
      <w:marRight w:val="0"/>
      <w:marTop w:val="0"/>
      <w:marBottom w:val="0"/>
      <w:divBdr>
        <w:top w:val="none" w:sz="0" w:space="0" w:color="auto"/>
        <w:left w:val="none" w:sz="0" w:space="0" w:color="auto"/>
        <w:bottom w:val="none" w:sz="0" w:space="0" w:color="auto"/>
        <w:right w:val="none" w:sz="0" w:space="0" w:color="auto"/>
      </w:divBdr>
    </w:div>
    <w:div w:id="1257790563">
      <w:bodyDiv w:val="1"/>
      <w:marLeft w:val="0"/>
      <w:marRight w:val="0"/>
      <w:marTop w:val="0"/>
      <w:marBottom w:val="0"/>
      <w:divBdr>
        <w:top w:val="none" w:sz="0" w:space="0" w:color="auto"/>
        <w:left w:val="none" w:sz="0" w:space="0" w:color="auto"/>
        <w:bottom w:val="none" w:sz="0" w:space="0" w:color="auto"/>
        <w:right w:val="none" w:sz="0" w:space="0" w:color="auto"/>
      </w:divBdr>
    </w:div>
    <w:div w:id="1257860198">
      <w:bodyDiv w:val="1"/>
      <w:marLeft w:val="0"/>
      <w:marRight w:val="0"/>
      <w:marTop w:val="0"/>
      <w:marBottom w:val="0"/>
      <w:divBdr>
        <w:top w:val="none" w:sz="0" w:space="0" w:color="auto"/>
        <w:left w:val="none" w:sz="0" w:space="0" w:color="auto"/>
        <w:bottom w:val="none" w:sz="0" w:space="0" w:color="auto"/>
        <w:right w:val="none" w:sz="0" w:space="0" w:color="auto"/>
      </w:divBdr>
    </w:div>
    <w:div w:id="1258055014">
      <w:bodyDiv w:val="1"/>
      <w:marLeft w:val="0"/>
      <w:marRight w:val="0"/>
      <w:marTop w:val="0"/>
      <w:marBottom w:val="0"/>
      <w:divBdr>
        <w:top w:val="none" w:sz="0" w:space="0" w:color="auto"/>
        <w:left w:val="none" w:sz="0" w:space="0" w:color="auto"/>
        <w:bottom w:val="none" w:sz="0" w:space="0" w:color="auto"/>
        <w:right w:val="none" w:sz="0" w:space="0" w:color="auto"/>
      </w:divBdr>
    </w:div>
    <w:div w:id="1258060563">
      <w:bodyDiv w:val="1"/>
      <w:marLeft w:val="0"/>
      <w:marRight w:val="0"/>
      <w:marTop w:val="0"/>
      <w:marBottom w:val="0"/>
      <w:divBdr>
        <w:top w:val="none" w:sz="0" w:space="0" w:color="auto"/>
        <w:left w:val="none" w:sz="0" w:space="0" w:color="auto"/>
        <w:bottom w:val="none" w:sz="0" w:space="0" w:color="auto"/>
        <w:right w:val="none" w:sz="0" w:space="0" w:color="auto"/>
      </w:divBdr>
    </w:div>
    <w:div w:id="1258292066">
      <w:bodyDiv w:val="1"/>
      <w:marLeft w:val="0"/>
      <w:marRight w:val="0"/>
      <w:marTop w:val="0"/>
      <w:marBottom w:val="0"/>
      <w:divBdr>
        <w:top w:val="none" w:sz="0" w:space="0" w:color="auto"/>
        <w:left w:val="none" w:sz="0" w:space="0" w:color="auto"/>
        <w:bottom w:val="none" w:sz="0" w:space="0" w:color="auto"/>
        <w:right w:val="none" w:sz="0" w:space="0" w:color="auto"/>
      </w:divBdr>
    </w:div>
    <w:div w:id="1258292746">
      <w:bodyDiv w:val="1"/>
      <w:marLeft w:val="0"/>
      <w:marRight w:val="0"/>
      <w:marTop w:val="0"/>
      <w:marBottom w:val="0"/>
      <w:divBdr>
        <w:top w:val="none" w:sz="0" w:space="0" w:color="auto"/>
        <w:left w:val="none" w:sz="0" w:space="0" w:color="auto"/>
        <w:bottom w:val="none" w:sz="0" w:space="0" w:color="auto"/>
        <w:right w:val="none" w:sz="0" w:space="0" w:color="auto"/>
      </w:divBdr>
    </w:div>
    <w:div w:id="1258440704">
      <w:bodyDiv w:val="1"/>
      <w:marLeft w:val="0"/>
      <w:marRight w:val="0"/>
      <w:marTop w:val="0"/>
      <w:marBottom w:val="0"/>
      <w:divBdr>
        <w:top w:val="none" w:sz="0" w:space="0" w:color="auto"/>
        <w:left w:val="none" w:sz="0" w:space="0" w:color="auto"/>
        <w:bottom w:val="none" w:sz="0" w:space="0" w:color="auto"/>
        <w:right w:val="none" w:sz="0" w:space="0" w:color="auto"/>
      </w:divBdr>
    </w:div>
    <w:div w:id="1258635084">
      <w:bodyDiv w:val="1"/>
      <w:marLeft w:val="0"/>
      <w:marRight w:val="0"/>
      <w:marTop w:val="0"/>
      <w:marBottom w:val="0"/>
      <w:divBdr>
        <w:top w:val="none" w:sz="0" w:space="0" w:color="auto"/>
        <w:left w:val="none" w:sz="0" w:space="0" w:color="auto"/>
        <w:bottom w:val="none" w:sz="0" w:space="0" w:color="auto"/>
        <w:right w:val="none" w:sz="0" w:space="0" w:color="auto"/>
      </w:divBdr>
    </w:div>
    <w:div w:id="1258715461">
      <w:bodyDiv w:val="1"/>
      <w:marLeft w:val="0"/>
      <w:marRight w:val="0"/>
      <w:marTop w:val="0"/>
      <w:marBottom w:val="0"/>
      <w:divBdr>
        <w:top w:val="none" w:sz="0" w:space="0" w:color="auto"/>
        <w:left w:val="none" w:sz="0" w:space="0" w:color="auto"/>
        <w:bottom w:val="none" w:sz="0" w:space="0" w:color="auto"/>
        <w:right w:val="none" w:sz="0" w:space="0" w:color="auto"/>
      </w:divBdr>
    </w:div>
    <w:div w:id="1258826802">
      <w:bodyDiv w:val="1"/>
      <w:marLeft w:val="0"/>
      <w:marRight w:val="0"/>
      <w:marTop w:val="0"/>
      <w:marBottom w:val="0"/>
      <w:divBdr>
        <w:top w:val="none" w:sz="0" w:space="0" w:color="auto"/>
        <w:left w:val="none" w:sz="0" w:space="0" w:color="auto"/>
        <w:bottom w:val="none" w:sz="0" w:space="0" w:color="auto"/>
        <w:right w:val="none" w:sz="0" w:space="0" w:color="auto"/>
      </w:divBdr>
    </w:div>
    <w:div w:id="1258907300">
      <w:bodyDiv w:val="1"/>
      <w:marLeft w:val="0"/>
      <w:marRight w:val="0"/>
      <w:marTop w:val="0"/>
      <w:marBottom w:val="0"/>
      <w:divBdr>
        <w:top w:val="none" w:sz="0" w:space="0" w:color="auto"/>
        <w:left w:val="none" w:sz="0" w:space="0" w:color="auto"/>
        <w:bottom w:val="none" w:sz="0" w:space="0" w:color="auto"/>
        <w:right w:val="none" w:sz="0" w:space="0" w:color="auto"/>
      </w:divBdr>
    </w:div>
    <w:div w:id="1258908556">
      <w:bodyDiv w:val="1"/>
      <w:marLeft w:val="0"/>
      <w:marRight w:val="0"/>
      <w:marTop w:val="0"/>
      <w:marBottom w:val="0"/>
      <w:divBdr>
        <w:top w:val="none" w:sz="0" w:space="0" w:color="auto"/>
        <w:left w:val="none" w:sz="0" w:space="0" w:color="auto"/>
        <w:bottom w:val="none" w:sz="0" w:space="0" w:color="auto"/>
        <w:right w:val="none" w:sz="0" w:space="0" w:color="auto"/>
      </w:divBdr>
    </w:div>
    <w:div w:id="1258948149">
      <w:bodyDiv w:val="1"/>
      <w:marLeft w:val="0"/>
      <w:marRight w:val="0"/>
      <w:marTop w:val="0"/>
      <w:marBottom w:val="0"/>
      <w:divBdr>
        <w:top w:val="none" w:sz="0" w:space="0" w:color="auto"/>
        <w:left w:val="none" w:sz="0" w:space="0" w:color="auto"/>
        <w:bottom w:val="none" w:sz="0" w:space="0" w:color="auto"/>
        <w:right w:val="none" w:sz="0" w:space="0" w:color="auto"/>
      </w:divBdr>
    </w:div>
    <w:div w:id="1258951726">
      <w:bodyDiv w:val="1"/>
      <w:marLeft w:val="0"/>
      <w:marRight w:val="0"/>
      <w:marTop w:val="0"/>
      <w:marBottom w:val="0"/>
      <w:divBdr>
        <w:top w:val="none" w:sz="0" w:space="0" w:color="auto"/>
        <w:left w:val="none" w:sz="0" w:space="0" w:color="auto"/>
        <w:bottom w:val="none" w:sz="0" w:space="0" w:color="auto"/>
        <w:right w:val="none" w:sz="0" w:space="0" w:color="auto"/>
      </w:divBdr>
    </w:div>
    <w:div w:id="1258978745">
      <w:bodyDiv w:val="1"/>
      <w:marLeft w:val="0"/>
      <w:marRight w:val="0"/>
      <w:marTop w:val="0"/>
      <w:marBottom w:val="0"/>
      <w:divBdr>
        <w:top w:val="none" w:sz="0" w:space="0" w:color="auto"/>
        <w:left w:val="none" w:sz="0" w:space="0" w:color="auto"/>
        <w:bottom w:val="none" w:sz="0" w:space="0" w:color="auto"/>
        <w:right w:val="none" w:sz="0" w:space="0" w:color="auto"/>
      </w:divBdr>
    </w:div>
    <w:div w:id="1259026998">
      <w:bodyDiv w:val="1"/>
      <w:marLeft w:val="0"/>
      <w:marRight w:val="0"/>
      <w:marTop w:val="0"/>
      <w:marBottom w:val="0"/>
      <w:divBdr>
        <w:top w:val="none" w:sz="0" w:space="0" w:color="auto"/>
        <w:left w:val="none" w:sz="0" w:space="0" w:color="auto"/>
        <w:bottom w:val="none" w:sz="0" w:space="0" w:color="auto"/>
        <w:right w:val="none" w:sz="0" w:space="0" w:color="auto"/>
      </w:divBdr>
    </w:div>
    <w:div w:id="1259096045">
      <w:bodyDiv w:val="1"/>
      <w:marLeft w:val="0"/>
      <w:marRight w:val="0"/>
      <w:marTop w:val="0"/>
      <w:marBottom w:val="0"/>
      <w:divBdr>
        <w:top w:val="none" w:sz="0" w:space="0" w:color="auto"/>
        <w:left w:val="none" w:sz="0" w:space="0" w:color="auto"/>
        <w:bottom w:val="none" w:sz="0" w:space="0" w:color="auto"/>
        <w:right w:val="none" w:sz="0" w:space="0" w:color="auto"/>
      </w:divBdr>
    </w:div>
    <w:div w:id="1259218322">
      <w:bodyDiv w:val="1"/>
      <w:marLeft w:val="0"/>
      <w:marRight w:val="0"/>
      <w:marTop w:val="0"/>
      <w:marBottom w:val="0"/>
      <w:divBdr>
        <w:top w:val="none" w:sz="0" w:space="0" w:color="auto"/>
        <w:left w:val="none" w:sz="0" w:space="0" w:color="auto"/>
        <w:bottom w:val="none" w:sz="0" w:space="0" w:color="auto"/>
        <w:right w:val="none" w:sz="0" w:space="0" w:color="auto"/>
      </w:divBdr>
    </w:div>
    <w:div w:id="1259219166">
      <w:bodyDiv w:val="1"/>
      <w:marLeft w:val="0"/>
      <w:marRight w:val="0"/>
      <w:marTop w:val="0"/>
      <w:marBottom w:val="0"/>
      <w:divBdr>
        <w:top w:val="none" w:sz="0" w:space="0" w:color="auto"/>
        <w:left w:val="none" w:sz="0" w:space="0" w:color="auto"/>
        <w:bottom w:val="none" w:sz="0" w:space="0" w:color="auto"/>
        <w:right w:val="none" w:sz="0" w:space="0" w:color="auto"/>
      </w:divBdr>
    </w:div>
    <w:div w:id="1259290035">
      <w:bodyDiv w:val="1"/>
      <w:marLeft w:val="0"/>
      <w:marRight w:val="0"/>
      <w:marTop w:val="0"/>
      <w:marBottom w:val="0"/>
      <w:divBdr>
        <w:top w:val="none" w:sz="0" w:space="0" w:color="auto"/>
        <w:left w:val="none" w:sz="0" w:space="0" w:color="auto"/>
        <w:bottom w:val="none" w:sz="0" w:space="0" w:color="auto"/>
        <w:right w:val="none" w:sz="0" w:space="0" w:color="auto"/>
      </w:divBdr>
    </w:div>
    <w:div w:id="1259292997">
      <w:bodyDiv w:val="1"/>
      <w:marLeft w:val="0"/>
      <w:marRight w:val="0"/>
      <w:marTop w:val="0"/>
      <w:marBottom w:val="0"/>
      <w:divBdr>
        <w:top w:val="none" w:sz="0" w:space="0" w:color="auto"/>
        <w:left w:val="none" w:sz="0" w:space="0" w:color="auto"/>
        <w:bottom w:val="none" w:sz="0" w:space="0" w:color="auto"/>
        <w:right w:val="none" w:sz="0" w:space="0" w:color="auto"/>
      </w:divBdr>
    </w:div>
    <w:div w:id="1259364152">
      <w:bodyDiv w:val="1"/>
      <w:marLeft w:val="0"/>
      <w:marRight w:val="0"/>
      <w:marTop w:val="0"/>
      <w:marBottom w:val="0"/>
      <w:divBdr>
        <w:top w:val="none" w:sz="0" w:space="0" w:color="auto"/>
        <w:left w:val="none" w:sz="0" w:space="0" w:color="auto"/>
        <w:bottom w:val="none" w:sz="0" w:space="0" w:color="auto"/>
        <w:right w:val="none" w:sz="0" w:space="0" w:color="auto"/>
      </w:divBdr>
    </w:div>
    <w:div w:id="1259366032">
      <w:bodyDiv w:val="1"/>
      <w:marLeft w:val="0"/>
      <w:marRight w:val="0"/>
      <w:marTop w:val="0"/>
      <w:marBottom w:val="0"/>
      <w:divBdr>
        <w:top w:val="none" w:sz="0" w:space="0" w:color="auto"/>
        <w:left w:val="none" w:sz="0" w:space="0" w:color="auto"/>
        <w:bottom w:val="none" w:sz="0" w:space="0" w:color="auto"/>
        <w:right w:val="none" w:sz="0" w:space="0" w:color="auto"/>
      </w:divBdr>
    </w:div>
    <w:div w:id="1259367606">
      <w:bodyDiv w:val="1"/>
      <w:marLeft w:val="0"/>
      <w:marRight w:val="0"/>
      <w:marTop w:val="0"/>
      <w:marBottom w:val="0"/>
      <w:divBdr>
        <w:top w:val="none" w:sz="0" w:space="0" w:color="auto"/>
        <w:left w:val="none" w:sz="0" w:space="0" w:color="auto"/>
        <w:bottom w:val="none" w:sz="0" w:space="0" w:color="auto"/>
        <w:right w:val="none" w:sz="0" w:space="0" w:color="auto"/>
      </w:divBdr>
    </w:div>
    <w:div w:id="1259370051">
      <w:bodyDiv w:val="1"/>
      <w:marLeft w:val="0"/>
      <w:marRight w:val="0"/>
      <w:marTop w:val="0"/>
      <w:marBottom w:val="0"/>
      <w:divBdr>
        <w:top w:val="none" w:sz="0" w:space="0" w:color="auto"/>
        <w:left w:val="none" w:sz="0" w:space="0" w:color="auto"/>
        <w:bottom w:val="none" w:sz="0" w:space="0" w:color="auto"/>
        <w:right w:val="none" w:sz="0" w:space="0" w:color="auto"/>
      </w:divBdr>
    </w:div>
    <w:div w:id="1259563147">
      <w:bodyDiv w:val="1"/>
      <w:marLeft w:val="0"/>
      <w:marRight w:val="0"/>
      <w:marTop w:val="0"/>
      <w:marBottom w:val="0"/>
      <w:divBdr>
        <w:top w:val="none" w:sz="0" w:space="0" w:color="auto"/>
        <w:left w:val="none" w:sz="0" w:space="0" w:color="auto"/>
        <w:bottom w:val="none" w:sz="0" w:space="0" w:color="auto"/>
        <w:right w:val="none" w:sz="0" w:space="0" w:color="auto"/>
      </w:divBdr>
    </w:div>
    <w:div w:id="1259604581">
      <w:bodyDiv w:val="1"/>
      <w:marLeft w:val="0"/>
      <w:marRight w:val="0"/>
      <w:marTop w:val="0"/>
      <w:marBottom w:val="0"/>
      <w:divBdr>
        <w:top w:val="none" w:sz="0" w:space="0" w:color="auto"/>
        <w:left w:val="none" w:sz="0" w:space="0" w:color="auto"/>
        <w:bottom w:val="none" w:sz="0" w:space="0" w:color="auto"/>
        <w:right w:val="none" w:sz="0" w:space="0" w:color="auto"/>
      </w:divBdr>
    </w:div>
    <w:div w:id="1259675118">
      <w:bodyDiv w:val="1"/>
      <w:marLeft w:val="0"/>
      <w:marRight w:val="0"/>
      <w:marTop w:val="0"/>
      <w:marBottom w:val="0"/>
      <w:divBdr>
        <w:top w:val="none" w:sz="0" w:space="0" w:color="auto"/>
        <w:left w:val="none" w:sz="0" w:space="0" w:color="auto"/>
        <w:bottom w:val="none" w:sz="0" w:space="0" w:color="auto"/>
        <w:right w:val="none" w:sz="0" w:space="0" w:color="auto"/>
      </w:divBdr>
    </w:div>
    <w:div w:id="1259675478">
      <w:bodyDiv w:val="1"/>
      <w:marLeft w:val="0"/>
      <w:marRight w:val="0"/>
      <w:marTop w:val="0"/>
      <w:marBottom w:val="0"/>
      <w:divBdr>
        <w:top w:val="none" w:sz="0" w:space="0" w:color="auto"/>
        <w:left w:val="none" w:sz="0" w:space="0" w:color="auto"/>
        <w:bottom w:val="none" w:sz="0" w:space="0" w:color="auto"/>
        <w:right w:val="none" w:sz="0" w:space="0" w:color="auto"/>
      </w:divBdr>
    </w:div>
    <w:div w:id="1259680000">
      <w:bodyDiv w:val="1"/>
      <w:marLeft w:val="0"/>
      <w:marRight w:val="0"/>
      <w:marTop w:val="0"/>
      <w:marBottom w:val="0"/>
      <w:divBdr>
        <w:top w:val="none" w:sz="0" w:space="0" w:color="auto"/>
        <w:left w:val="none" w:sz="0" w:space="0" w:color="auto"/>
        <w:bottom w:val="none" w:sz="0" w:space="0" w:color="auto"/>
        <w:right w:val="none" w:sz="0" w:space="0" w:color="auto"/>
      </w:divBdr>
    </w:div>
    <w:div w:id="1259946576">
      <w:bodyDiv w:val="1"/>
      <w:marLeft w:val="0"/>
      <w:marRight w:val="0"/>
      <w:marTop w:val="0"/>
      <w:marBottom w:val="0"/>
      <w:divBdr>
        <w:top w:val="none" w:sz="0" w:space="0" w:color="auto"/>
        <w:left w:val="none" w:sz="0" w:space="0" w:color="auto"/>
        <w:bottom w:val="none" w:sz="0" w:space="0" w:color="auto"/>
        <w:right w:val="none" w:sz="0" w:space="0" w:color="auto"/>
      </w:divBdr>
    </w:div>
    <w:div w:id="1260064792">
      <w:bodyDiv w:val="1"/>
      <w:marLeft w:val="0"/>
      <w:marRight w:val="0"/>
      <w:marTop w:val="0"/>
      <w:marBottom w:val="0"/>
      <w:divBdr>
        <w:top w:val="none" w:sz="0" w:space="0" w:color="auto"/>
        <w:left w:val="none" w:sz="0" w:space="0" w:color="auto"/>
        <w:bottom w:val="none" w:sz="0" w:space="0" w:color="auto"/>
        <w:right w:val="none" w:sz="0" w:space="0" w:color="auto"/>
      </w:divBdr>
    </w:div>
    <w:div w:id="1260066569">
      <w:bodyDiv w:val="1"/>
      <w:marLeft w:val="0"/>
      <w:marRight w:val="0"/>
      <w:marTop w:val="0"/>
      <w:marBottom w:val="0"/>
      <w:divBdr>
        <w:top w:val="none" w:sz="0" w:space="0" w:color="auto"/>
        <w:left w:val="none" w:sz="0" w:space="0" w:color="auto"/>
        <w:bottom w:val="none" w:sz="0" w:space="0" w:color="auto"/>
        <w:right w:val="none" w:sz="0" w:space="0" w:color="auto"/>
      </w:divBdr>
    </w:div>
    <w:div w:id="1260138933">
      <w:bodyDiv w:val="1"/>
      <w:marLeft w:val="0"/>
      <w:marRight w:val="0"/>
      <w:marTop w:val="0"/>
      <w:marBottom w:val="0"/>
      <w:divBdr>
        <w:top w:val="none" w:sz="0" w:space="0" w:color="auto"/>
        <w:left w:val="none" w:sz="0" w:space="0" w:color="auto"/>
        <w:bottom w:val="none" w:sz="0" w:space="0" w:color="auto"/>
        <w:right w:val="none" w:sz="0" w:space="0" w:color="auto"/>
      </w:divBdr>
    </w:div>
    <w:div w:id="1260257584">
      <w:bodyDiv w:val="1"/>
      <w:marLeft w:val="0"/>
      <w:marRight w:val="0"/>
      <w:marTop w:val="0"/>
      <w:marBottom w:val="0"/>
      <w:divBdr>
        <w:top w:val="none" w:sz="0" w:space="0" w:color="auto"/>
        <w:left w:val="none" w:sz="0" w:space="0" w:color="auto"/>
        <w:bottom w:val="none" w:sz="0" w:space="0" w:color="auto"/>
        <w:right w:val="none" w:sz="0" w:space="0" w:color="auto"/>
      </w:divBdr>
    </w:div>
    <w:div w:id="1260258180">
      <w:bodyDiv w:val="1"/>
      <w:marLeft w:val="0"/>
      <w:marRight w:val="0"/>
      <w:marTop w:val="0"/>
      <w:marBottom w:val="0"/>
      <w:divBdr>
        <w:top w:val="none" w:sz="0" w:space="0" w:color="auto"/>
        <w:left w:val="none" w:sz="0" w:space="0" w:color="auto"/>
        <w:bottom w:val="none" w:sz="0" w:space="0" w:color="auto"/>
        <w:right w:val="none" w:sz="0" w:space="0" w:color="auto"/>
      </w:divBdr>
    </w:div>
    <w:div w:id="1260481329">
      <w:bodyDiv w:val="1"/>
      <w:marLeft w:val="0"/>
      <w:marRight w:val="0"/>
      <w:marTop w:val="0"/>
      <w:marBottom w:val="0"/>
      <w:divBdr>
        <w:top w:val="none" w:sz="0" w:space="0" w:color="auto"/>
        <w:left w:val="none" w:sz="0" w:space="0" w:color="auto"/>
        <w:bottom w:val="none" w:sz="0" w:space="0" w:color="auto"/>
        <w:right w:val="none" w:sz="0" w:space="0" w:color="auto"/>
      </w:divBdr>
    </w:div>
    <w:div w:id="1260528852">
      <w:bodyDiv w:val="1"/>
      <w:marLeft w:val="0"/>
      <w:marRight w:val="0"/>
      <w:marTop w:val="0"/>
      <w:marBottom w:val="0"/>
      <w:divBdr>
        <w:top w:val="none" w:sz="0" w:space="0" w:color="auto"/>
        <w:left w:val="none" w:sz="0" w:space="0" w:color="auto"/>
        <w:bottom w:val="none" w:sz="0" w:space="0" w:color="auto"/>
        <w:right w:val="none" w:sz="0" w:space="0" w:color="auto"/>
      </w:divBdr>
    </w:div>
    <w:div w:id="1260602597">
      <w:bodyDiv w:val="1"/>
      <w:marLeft w:val="0"/>
      <w:marRight w:val="0"/>
      <w:marTop w:val="0"/>
      <w:marBottom w:val="0"/>
      <w:divBdr>
        <w:top w:val="none" w:sz="0" w:space="0" w:color="auto"/>
        <w:left w:val="none" w:sz="0" w:space="0" w:color="auto"/>
        <w:bottom w:val="none" w:sz="0" w:space="0" w:color="auto"/>
        <w:right w:val="none" w:sz="0" w:space="0" w:color="auto"/>
      </w:divBdr>
    </w:div>
    <w:div w:id="1260675816">
      <w:bodyDiv w:val="1"/>
      <w:marLeft w:val="0"/>
      <w:marRight w:val="0"/>
      <w:marTop w:val="0"/>
      <w:marBottom w:val="0"/>
      <w:divBdr>
        <w:top w:val="none" w:sz="0" w:space="0" w:color="auto"/>
        <w:left w:val="none" w:sz="0" w:space="0" w:color="auto"/>
        <w:bottom w:val="none" w:sz="0" w:space="0" w:color="auto"/>
        <w:right w:val="none" w:sz="0" w:space="0" w:color="auto"/>
      </w:divBdr>
    </w:div>
    <w:div w:id="1260675991">
      <w:bodyDiv w:val="1"/>
      <w:marLeft w:val="0"/>
      <w:marRight w:val="0"/>
      <w:marTop w:val="0"/>
      <w:marBottom w:val="0"/>
      <w:divBdr>
        <w:top w:val="none" w:sz="0" w:space="0" w:color="auto"/>
        <w:left w:val="none" w:sz="0" w:space="0" w:color="auto"/>
        <w:bottom w:val="none" w:sz="0" w:space="0" w:color="auto"/>
        <w:right w:val="none" w:sz="0" w:space="0" w:color="auto"/>
      </w:divBdr>
    </w:div>
    <w:div w:id="1260718995">
      <w:bodyDiv w:val="1"/>
      <w:marLeft w:val="0"/>
      <w:marRight w:val="0"/>
      <w:marTop w:val="0"/>
      <w:marBottom w:val="0"/>
      <w:divBdr>
        <w:top w:val="none" w:sz="0" w:space="0" w:color="auto"/>
        <w:left w:val="none" w:sz="0" w:space="0" w:color="auto"/>
        <w:bottom w:val="none" w:sz="0" w:space="0" w:color="auto"/>
        <w:right w:val="none" w:sz="0" w:space="0" w:color="auto"/>
      </w:divBdr>
    </w:div>
    <w:div w:id="1260870489">
      <w:bodyDiv w:val="1"/>
      <w:marLeft w:val="0"/>
      <w:marRight w:val="0"/>
      <w:marTop w:val="0"/>
      <w:marBottom w:val="0"/>
      <w:divBdr>
        <w:top w:val="none" w:sz="0" w:space="0" w:color="auto"/>
        <w:left w:val="none" w:sz="0" w:space="0" w:color="auto"/>
        <w:bottom w:val="none" w:sz="0" w:space="0" w:color="auto"/>
        <w:right w:val="none" w:sz="0" w:space="0" w:color="auto"/>
      </w:divBdr>
    </w:div>
    <w:div w:id="1260943421">
      <w:bodyDiv w:val="1"/>
      <w:marLeft w:val="0"/>
      <w:marRight w:val="0"/>
      <w:marTop w:val="0"/>
      <w:marBottom w:val="0"/>
      <w:divBdr>
        <w:top w:val="none" w:sz="0" w:space="0" w:color="auto"/>
        <w:left w:val="none" w:sz="0" w:space="0" w:color="auto"/>
        <w:bottom w:val="none" w:sz="0" w:space="0" w:color="auto"/>
        <w:right w:val="none" w:sz="0" w:space="0" w:color="auto"/>
      </w:divBdr>
    </w:div>
    <w:div w:id="1260986924">
      <w:bodyDiv w:val="1"/>
      <w:marLeft w:val="0"/>
      <w:marRight w:val="0"/>
      <w:marTop w:val="0"/>
      <w:marBottom w:val="0"/>
      <w:divBdr>
        <w:top w:val="none" w:sz="0" w:space="0" w:color="auto"/>
        <w:left w:val="none" w:sz="0" w:space="0" w:color="auto"/>
        <w:bottom w:val="none" w:sz="0" w:space="0" w:color="auto"/>
        <w:right w:val="none" w:sz="0" w:space="0" w:color="auto"/>
      </w:divBdr>
    </w:div>
    <w:div w:id="1261060538">
      <w:bodyDiv w:val="1"/>
      <w:marLeft w:val="0"/>
      <w:marRight w:val="0"/>
      <w:marTop w:val="0"/>
      <w:marBottom w:val="0"/>
      <w:divBdr>
        <w:top w:val="none" w:sz="0" w:space="0" w:color="auto"/>
        <w:left w:val="none" w:sz="0" w:space="0" w:color="auto"/>
        <w:bottom w:val="none" w:sz="0" w:space="0" w:color="auto"/>
        <w:right w:val="none" w:sz="0" w:space="0" w:color="auto"/>
      </w:divBdr>
    </w:div>
    <w:div w:id="1261061509">
      <w:bodyDiv w:val="1"/>
      <w:marLeft w:val="0"/>
      <w:marRight w:val="0"/>
      <w:marTop w:val="0"/>
      <w:marBottom w:val="0"/>
      <w:divBdr>
        <w:top w:val="none" w:sz="0" w:space="0" w:color="auto"/>
        <w:left w:val="none" w:sz="0" w:space="0" w:color="auto"/>
        <w:bottom w:val="none" w:sz="0" w:space="0" w:color="auto"/>
        <w:right w:val="none" w:sz="0" w:space="0" w:color="auto"/>
      </w:divBdr>
    </w:div>
    <w:div w:id="1261068365">
      <w:bodyDiv w:val="1"/>
      <w:marLeft w:val="0"/>
      <w:marRight w:val="0"/>
      <w:marTop w:val="0"/>
      <w:marBottom w:val="0"/>
      <w:divBdr>
        <w:top w:val="none" w:sz="0" w:space="0" w:color="auto"/>
        <w:left w:val="none" w:sz="0" w:space="0" w:color="auto"/>
        <w:bottom w:val="none" w:sz="0" w:space="0" w:color="auto"/>
        <w:right w:val="none" w:sz="0" w:space="0" w:color="auto"/>
      </w:divBdr>
    </w:div>
    <w:div w:id="1261137983">
      <w:bodyDiv w:val="1"/>
      <w:marLeft w:val="0"/>
      <w:marRight w:val="0"/>
      <w:marTop w:val="0"/>
      <w:marBottom w:val="0"/>
      <w:divBdr>
        <w:top w:val="none" w:sz="0" w:space="0" w:color="auto"/>
        <w:left w:val="none" w:sz="0" w:space="0" w:color="auto"/>
        <w:bottom w:val="none" w:sz="0" w:space="0" w:color="auto"/>
        <w:right w:val="none" w:sz="0" w:space="0" w:color="auto"/>
      </w:divBdr>
    </w:div>
    <w:div w:id="1261181370">
      <w:bodyDiv w:val="1"/>
      <w:marLeft w:val="0"/>
      <w:marRight w:val="0"/>
      <w:marTop w:val="0"/>
      <w:marBottom w:val="0"/>
      <w:divBdr>
        <w:top w:val="none" w:sz="0" w:space="0" w:color="auto"/>
        <w:left w:val="none" w:sz="0" w:space="0" w:color="auto"/>
        <w:bottom w:val="none" w:sz="0" w:space="0" w:color="auto"/>
        <w:right w:val="none" w:sz="0" w:space="0" w:color="auto"/>
      </w:divBdr>
    </w:div>
    <w:div w:id="1261256128">
      <w:bodyDiv w:val="1"/>
      <w:marLeft w:val="0"/>
      <w:marRight w:val="0"/>
      <w:marTop w:val="0"/>
      <w:marBottom w:val="0"/>
      <w:divBdr>
        <w:top w:val="none" w:sz="0" w:space="0" w:color="auto"/>
        <w:left w:val="none" w:sz="0" w:space="0" w:color="auto"/>
        <w:bottom w:val="none" w:sz="0" w:space="0" w:color="auto"/>
        <w:right w:val="none" w:sz="0" w:space="0" w:color="auto"/>
      </w:divBdr>
    </w:div>
    <w:div w:id="1261258782">
      <w:bodyDiv w:val="1"/>
      <w:marLeft w:val="0"/>
      <w:marRight w:val="0"/>
      <w:marTop w:val="0"/>
      <w:marBottom w:val="0"/>
      <w:divBdr>
        <w:top w:val="none" w:sz="0" w:space="0" w:color="auto"/>
        <w:left w:val="none" w:sz="0" w:space="0" w:color="auto"/>
        <w:bottom w:val="none" w:sz="0" w:space="0" w:color="auto"/>
        <w:right w:val="none" w:sz="0" w:space="0" w:color="auto"/>
      </w:divBdr>
    </w:div>
    <w:div w:id="1261446970">
      <w:bodyDiv w:val="1"/>
      <w:marLeft w:val="0"/>
      <w:marRight w:val="0"/>
      <w:marTop w:val="0"/>
      <w:marBottom w:val="0"/>
      <w:divBdr>
        <w:top w:val="none" w:sz="0" w:space="0" w:color="auto"/>
        <w:left w:val="none" w:sz="0" w:space="0" w:color="auto"/>
        <w:bottom w:val="none" w:sz="0" w:space="0" w:color="auto"/>
        <w:right w:val="none" w:sz="0" w:space="0" w:color="auto"/>
      </w:divBdr>
    </w:div>
    <w:div w:id="1261454778">
      <w:bodyDiv w:val="1"/>
      <w:marLeft w:val="0"/>
      <w:marRight w:val="0"/>
      <w:marTop w:val="0"/>
      <w:marBottom w:val="0"/>
      <w:divBdr>
        <w:top w:val="none" w:sz="0" w:space="0" w:color="auto"/>
        <w:left w:val="none" w:sz="0" w:space="0" w:color="auto"/>
        <w:bottom w:val="none" w:sz="0" w:space="0" w:color="auto"/>
        <w:right w:val="none" w:sz="0" w:space="0" w:color="auto"/>
      </w:divBdr>
    </w:div>
    <w:div w:id="1261525569">
      <w:bodyDiv w:val="1"/>
      <w:marLeft w:val="0"/>
      <w:marRight w:val="0"/>
      <w:marTop w:val="0"/>
      <w:marBottom w:val="0"/>
      <w:divBdr>
        <w:top w:val="none" w:sz="0" w:space="0" w:color="auto"/>
        <w:left w:val="none" w:sz="0" w:space="0" w:color="auto"/>
        <w:bottom w:val="none" w:sz="0" w:space="0" w:color="auto"/>
        <w:right w:val="none" w:sz="0" w:space="0" w:color="auto"/>
      </w:divBdr>
    </w:div>
    <w:div w:id="1261526637">
      <w:bodyDiv w:val="1"/>
      <w:marLeft w:val="0"/>
      <w:marRight w:val="0"/>
      <w:marTop w:val="0"/>
      <w:marBottom w:val="0"/>
      <w:divBdr>
        <w:top w:val="none" w:sz="0" w:space="0" w:color="auto"/>
        <w:left w:val="none" w:sz="0" w:space="0" w:color="auto"/>
        <w:bottom w:val="none" w:sz="0" w:space="0" w:color="auto"/>
        <w:right w:val="none" w:sz="0" w:space="0" w:color="auto"/>
      </w:divBdr>
    </w:div>
    <w:div w:id="1262223384">
      <w:bodyDiv w:val="1"/>
      <w:marLeft w:val="0"/>
      <w:marRight w:val="0"/>
      <w:marTop w:val="0"/>
      <w:marBottom w:val="0"/>
      <w:divBdr>
        <w:top w:val="none" w:sz="0" w:space="0" w:color="auto"/>
        <w:left w:val="none" w:sz="0" w:space="0" w:color="auto"/>
        <w:bottom w:val="none" w:sz="0" w:space="0" w:color="auto"/>
        <w:right w:val="none" w:sz="0" w:space="0" w:color="auto"/>
      </w:divBdr>
    </w:div>
    <w:div w:id="1262252324">
      <w:bodyDiv w:val="1"/>
      <w:marLeft w:val="0"/>
      <w:marRight w:val="0"/>
      <w:marTop w:val="0"/>
      <w:marBottom w:val="0"/>
      <w:divBdr>
        <w:top w:val="none" w:sz="0" w:space="0" w:color="auto"/>
        <w:left w:val="none" w:sz="0" w:space="0" w:color="auto"/>
        <w:bottom w:val="none" w:sz="0" w:space="0" w:color="auto"/>
        <w:right w:val="none" w:sz="0" w:space="0" w:color="auto"/>
      </w:divBdr>
    </w:div>
    <w:div w:id="1262295207">
      <w:bodyDiv w:val="1"/>
      <w:marLeft w:val="0"/>
      <w:marRight w:val="0"/>
      <w:marTop w:val="0"/>
      <w:marBottom w:val="0"/>
      <w:divBdr>
        <w:top w:val="none" w:sz="0" w:space="0" w:color="auto"/>
        <w:left w:val="none" w:sz="0" w:space="0" w:color="auto"/>
        <w:bottom w:val="none" w:sz="0" w:space="0" w:color="auto"/>
        <w:right w:val="none" w:sz="0" w:space="0" w:color="auto"/>
      </w:divBdr>
    </w:div>
    <w:div w:id="1262370291">
      <w:bodyDiv w:val="1"/>
      <w:marLeft w:val="0"/>
      <w:marRight w:val="0"/>
      <w:marTop w:val="0"/>
      <w:marBottom w:val="0"/>
      <w:divBdr>
        <w:top w:val="none" w:sz="0" w:space="0" w:color="auto"/>
        <w:left w:val="none" w:sz="0" w:space="0" w:color="auto"/>
        <w:bottom w:val="none" w:sz="0" w:space="0" w:color="auto"/>
        <w:right w:val="none" w:sz="0" w:space="0" w:color="auto"/>
      </w:divBdr>
    </w:div>
    <w:div w:id="1262379351">
      <w:bodyDiv w:val="1"/>
      <w:marLeft w:val="0"/>
      <w:marRight w:val="0"/>
      <w:marTop w:val="0"/>
      <w:marBottom w:val="0"/>
      <w:divBdr>
        <w:top w:val="none" w:sz="0" w:space="0" w:color="auto"/>
        <w:left w:val="none" w:sz="0" w:space="0" w:color="auto"/>
        <w:bottom w:val="none" w:sz="0" w:space="0" w:color="auto"/>
        <w:right w:val="none" w:sz="0" w:space="0" w:color="auto"/>
      </w:divBdr>
    </w:div>
    <w:div w:id="1262451804">
      <w:bodyDiv w:val="1"/>
      <w:marLeft w:val="0"/>
      <w:marRight w:val="0"/>
      <w:marTop w:val="0"/>
      <w:marBottom w:val="0"/>
      <w:divBdr>
        <w:top w:val="none" w:sz="0" w:space="0" w:color="auto"/>
        <w:left w:val="none" w:sz="0" w:space="0" w:color="auto"/>
        <w:bottom w:val="none" w:sz="0" w:space="0" w:color="auto"/>
        <w:right w:val="none" w:sz="0" w:space="0" w:color="auto"/>
      </w:divBdr>
    </w:div>
    <w:div w:id="1262490112">
      <w:bodyDiv w:val="1"/>
      <w:marLeft w:val="0"/>
      <w:marRight w:val="0"/>
      <w:marTop w:val="0"/>
      <w:marBottom w:val="0"/>
      <w:divBdr>
        <w:top w:val="none" w:sz="0" w:space="0" w:color="auto"/>
        <w:left w:val="none" w:sz="0" w:space="0" w:color="auto"/>
        <w:bottom w:val="none" w:sz="0" w:space="0" w:color="auto"/>
        <w:right w:val="none" w:sz="0" w:space="0" w:color="auto"/>
      </w:divBdr>
    </w:div>
    <w:div w:id="1262492433">
      <w:bodyDiv w:val="1"/>
      <w:marLeft w:val="0"/>
      <w:marRight w:val="0"/>
      <w:marTop w:val="0"/>
      <w:marBottom w:val="0"/>
      <w:divBdr>
        <w:top w:val="none" w:sz="0" w:space="0" w:color="auto"/>
        <w:left w:val="none" w:sz="0" w:space="0" w:color="auto"/>
        <w:bottom w:val="none" w:sz="0" w:space="0" w:color="auto"/>
        <w:right w:val="none" w:sz="0" w:space="0" w:color="auto"/>
      </w:divBdr>
    </w:div>
    <w:div w:id="1262569284">
      <w:bodyDiv w:val="1"/>
      <w:marLeft w:val="0"/>
      <w:marRight w:val="0"/>
      <w:marTop w:val="0"/>
      <w:marBottom w:val="0"/>
      <w:divBdr>
        <w:top w:val="none" w:sz="0" w:space="0" w:color="auto"/>
        <w:left w:val="none" w:sz="0" w:space="0" w:color="auto"/>
        <w:bottom w:val="none" w:sz="0" w:space="0" w:color="auto"/>
        <w:right w:val="none" w:sz="0" w:space="0" w:color="auto"/>
      </w:divBdr>
    </w:div>
    <w:div w:id="1262570122">
      <w:bodyDiv w:val="1"/>
      <w:marLeft w:val="0"/>
      <w:marRight w:val="0"/>
      <w:marTop w:val="0"/>
      <w:marBottom w:val="0"/>
      <w:divBdr>
        <w:top w:val="none" w:sz="0" w:space="0" w:color="auto"/>
        <w:left w:val="none" w:sz="0" w:space="0" w:color="auto"/>
        <w:bottom w:val="none" w:sz="0" w:space="0" w:color="auto"/>
        <w:right w:val="none" w:sz="0" w:space="0" w:color="auto"/>
      </w:divBdr>
    </w:div>
    <w:div w:id="1262682725">
      <w:bodyDiv w:val="1"/>
      <w:marLeft w:val="0"/>
      <w:marRight w:val="0"/>
      <w:marTop w:val="0"/>
      <w:marBottom w:val="0"/>
      <w:divBdr>
        <w:top w:val="none" w:sz="0" w:space="0" w:color="auto"/>
        <w:left w:val="none" w:sz="0" w:space="0" w:color="auto"/>
        <w:bottom w:val="none" w:sz="0" w:space="0" w:color="auto"/>
        <w:right w:val="none" w:sz="0" w:space="0" w:color="auto"/>
      </w:divBdr>
    </w:div>
    <w:div w:id="1262840056">
      <w:bodyDiv w:val="1"/>
      <w:marLeft w:val="0"/>
      <w:marRight w:val="0"/>
      <w:marTop w:val="0"/>
      <w:marBottom w:val="0"/>
      <w:divBdr>
        <w:top w:val="none" w:sz="0" w:space="0" w:color="auto"/>
        <w:left w:val="none" w:sz="0" w:space="0" w:color="auto"/>
        <w:bottom w:val="none" w:sz="0" w:space="0" w:color="auto"/>
        <w:right w:val="none" w:sz="0" w:space="0" w:color="auto"/>
      </w:divBdr>
    </w:div>
    <w:div w:id="1262909282">
      <w:bodyDiv w:val="1"/>
      <w:marLeft w:val="0"/>
      <w:marRight w:val="0"/>
      <w:marTop w:val="0"/>
      <w:marBottom w:val="0"/>
      <w:divBdr>
        <w:top w:val="none" w:sz="0" w:space="0" w:color="auto"/>
        <w:left w:val="none" w:sz="0" w:space="0" w:color="auto"/>
        <w:bottom w:val="none" w:sz="0" w:space="0" w:color="auto"/>
        <w:right w:val="none" w:sz="0" w:space="0" w:color="auto"/>
      </w:divBdr>
    </w:div>
    <w:div w:id="1262955279">
      <w:bodyDiv w:val="1"/>
      <w:marLeft w:val="0"/>
      <w:marRight w:val="0"/>
      <w:marTop w:val="0"/>
      <w:marBottom w:val="0"/>
      <w:divBdr>
        <w:top w:val="none" w:sz="0" w:space="0" w:color="auto"/>
        <w:left w:val="none" w:sz="0" w:space="0" w:color="auto"/>
        <w:bottom w:val="none" w:sz="0" w:space="0" w:color="auto"/>
        <w:right w:val="none" w:sz="0" w:space="0" w:color="auto"/>
      </w:divBdr>
    </w:div>
    <w:div w:id="1262957832">
      <w:bodyDiv w:val="1"/>
      <w:marLeft w:val="0"/>
      <w:marRight w:val="0"/>
      <w:marTop w:val="0"/>
      <w:marBottom w:val="0"/>
      <w:divBdr>
        <w:top w:val="none" w:sz="0" w:space="0" w:color="auto"/>
        <w:left w:val="none" w:sz="0" w:space="0" w:color="auto"/>
        <w:bottom w:val="none" w:sz="0" w:space="0" w:color="auto"/>
        <w:right w:val="none" w:sz="0" w:space="0" w:color="auto"/>
      </w:divBdr>
    </w:div>
    <w:div w:id="1263025822">
      <w:bodyDiv w:val="1"/>
      <w:marLeft w:val="0"/>
      <w:marRight w:val="0"/>
      <w:marTop w:val="0"/>
      <w:marBottom w:val="0"/>
      <w:divBdr>
        <w:top w:val="none" w:sz="0" w:space="0" w:color="auto"/>
        <w:left w:val="none" w:sz="0" w:space="0" w:color="auto"/>
        <w:bottom w:val="none" w:sz="0" w:space="0" w:color="auto"/>
        <w:right w:val="none" w:sz="0" w:space="0" w:color="auto"/>
      </w:divBdr>
    </w:div>
    <w:div w:id="1263076620">
      <w:bodyDiv w:val="1"/>
      <w:marLeft w:val="0"/>
      <w:marRight w:val="0"/>
      <w:marTop w:val="0"/>
      <w:marBottom w:val="0"/>
      <w:divBdr>
        <w:top w:val="none" w:sz="0" w:space="0" w:color="auto"/>
        <w:left w:val="none" w:sz="0" w:space="0" w:color="auto"/>
        <w:bottom w:val="none" w:sz="0" w:space="0" w:color="auto"/>
        <w:right w:val="none" w:sz="0" w:space="0" w:color="auto"/>
      </w:divBdr>
    </w:div>
    <w:div w:id="1263103553">
      <w:bodyDiv w:val="1"/>
      <w:marLeft w:val="0"/>
      <w:marRight w:val="0"/>
      <w:marTop w:val="0"/>
      <w:marBottom w:val="0"/>
      <w:divBdr>
        <w:top w:val="none" w:sz="0" w:space="0" w:color="auto"/>
        <w:left w:val="none" w:sz="0" w:space="0" w:color="auto"/>
        <w:bottom w:val="none" w:sz="0" w:space="0" w:color="auto"/>
        <w:right w:val="none" w:sz="0" w:space="0" w:color="auto"/>
      </w:divBdr>
    </w:div>
    <w:div w:id="1263294034">
      <w:bodyDiv w:val="1"/>
      <w:marLeft w:val="0"/>
      <w:marRight w:val="0"/>
      <w:marTop w:val="0"/>
      <w:marBottom w:val="0"/>
      <w:divBdr>
        <w:top w:val="none" w:sz="0" w:space="0" w:color="auto"/>
        <w:left w:val="none" w:sz="0" w:space="0" w:color="auto"/>
        <w:bottom w:val="none" w:sz="0" w:space="0" w:color="auto"/>
        <w:right w:val="none" w:sz="0" w:space="0" w:color="auto"/>
      </w:divBdr>
    </w:div>
    <w:div w:id="1263344756">
      <w:bodyDiv w:val="1"/>
      <w:marLeft w:val="0"/>
      <w:marRight w:val="0"/>
      <w:marTop w:val="0"/>
      <w:marBottom w:val="0"/>
      <w:divBdr>
        <w:top w:val="none" w:sz="0" w:space="0" w:color="auto"/>
        <w:left w:val="none" w:sz="0" w:space="0" w:color="auto"/>
        <w:bottom w:val="none" w:sz="0" w:space="0" w:color="auto"/>
        <w:right w:val="none" w:sz="0" w:space="0" w:color="auto"/>
      </w:divBdr>
    </w:div>
    <w:div w:id="1263538156">
      <w:bodyDiv w:val="1"/>
      <w:marLeft w:val="0"/>
      <w:marRight w:val="0"/>
      <w:marTop w:val="0"/>
      <w:marBottom w:val="0"/>
      <w:divBdr>
        <w:top w:val="none" w:sz="0" w:space="0" w:color="auto"/>
        <w:left w:val="none" w:sz="0" w:space="0" w:color="auto"/>
        <w:bottom w:val="none" w:sz="0" w:space="0" w:color="auto"/>
        <w:right w:val="none" w:sz="0" w:space="0" w:color="auto"/>
      </w:divBdr>
    </w:div>
    <w:div w:id="1263689919">
      <w:bodyDiv w:val="1"/>
      <w:marLeft w:val="0"/>
      <w:marRight w:val="0"/>
      <w:marTop w:val="0"/>
      <w:marBottom w:val="0"/>
      <w:divBdr>
        <w:top w:val="none" w:sz="0" w:space="0" w:color="auto"/>
        <w:left w:val="none" w:sz="0" w:space="0" w:color="auto"/>
        <w:bottom w:val="none" w:sz="0" w:space="0" w:color="auto"/>
        <w:right w:val="none" w:sz="0" w:space="0" w:color="auto"/>
      </w:divBdr>
    </w:div>
    <w:div w:id="1263730782">
      <w:bodyDiv w:val="1"/>
      <w:marLeft w:val="0"/>
      <w:marRight w:val="0"/>
      <w:marTop w:val="0"/>
      <w:marBottom w:val="0"/>
      <w:divBdr>
        <w:top w:val="none" w:sz="0" w:space="0" w:color="auto"/>
        <w:left w:val="none" w:sz="0" w:space="0" w:color="auto"/>
        <w:bottom w:val="none" w:sz="0" w:space="0" w:color="auto"/>
        <w:right w:val="none" w:sz="0" w:space="0" w:color="auto"/>
      </w:divBdr>
    </w:div>
    <w:div w:id="1263877000">
      <w:bodyDiv w:val="1"/>
      <w:marLeft w:val="0"/>
      <w:marRight w:val="0"/>
      <w:marTop w:val="0"/>
      <w:marBottom w:val="0"/>
      <w:divBdr>
        <w:top w:val="none" w:sz="0" w:space="0" w:color="auto"/>
        <w:left w:val="none" w:sz="0" w:space="0" w:color="auto"/>
        <w:bottom w:val="none" w:sz="0" w:space="0" w:color="auto"/>
        <w:right w:val="none" w:sz="0" w:space="0" w:color="auto"/>
      </w:divBdr>
    </w:div>
    <w:div w:id="1263883017">
      <w:bodyDiv w:val="1"/>
      <w:marLeft w:val="0"/>
      <w:marRight w:val="0"/>
      <w:marTop w:val="0"/>
      <w:marBottom w:val="0"/>
      <w:divBdr>
        <w:top w:val="none" w:sz="0" w:space="0" w:color="auto"/>
        <w:left w:val="none" w:sz="0" w:space="0" w:color="auto"/>
        <w:bottom w:val="none" w:sz="0" w:space="0" w:color="auto"/>
        <w:right w:val="none" w:sz="0" w:space="0" w:color="auto"/>
      </w:divBdr>
    </w:div>
    <w:div w:id="1263997984">
      <w:bodyDiv w:val="1"/>
      <w:marLeft w:val="0"/>
      <w:marRight w:val="0"/>
      <w:marTop w:val="0"/>
      <w:marBottom w:val="0"/>
      <w:divBdr>
        <w:top w:val="none" w:sz="0" w:space="0" w:color="auto"/>
        <w:left w:val="none" w:sz="0" w:space="0" w:color="auto"/>
        <w:bottom w:val="none" w:sz="0" w:space="0" w:color="auto"/>
        <w:right w:val="none" w:sz="0" w:space="0" w:color="auto"/>
      </w:divBdr>
    </w:div>
    <w:div w:id="1264076532">
      <w:bodyDiv w:val="1"/>
      <w:marLeft w:val="0"/>
      <w:marRight w:val="0"/>
      <w:marTop w:val="0"/>
      <w:marBottom w:val="0"/>
      <w:divBdr>
        <w:top w:val="none" w:sz="0" w:space="0" w:color="auto"/>
        <w:left w:val="none" w:sz="0" w:space="0" w:color="auto"/>
        <w:bottom w:val="none" w:sz="0" w:space="0" w:color="auto"/>
        <w:right w:val="none" w:sz="0" w:space="0" w:color="auto"/>
      </w:divBdr>
    </w:div>
    <w:div w:id="1264142618">
      <w:bodyDiv w:val="1"/>
      <w:marLeft w:val="0"/>
      <w:marRight w:val="0"/>
      <w:marTop w:val="0"/>
      <w:marBottom w:val="0"/>
      <w:divBdr>
        <w:top w:val="none" w:sz="0" w:space="0" w:color="auto"/>
        <w:left w:val="none" w:sz="0" w:space="0" w:color="auto"/>
        <w:bottom w:val="none" w:sz="0" w:space="0" w:color="auto"/>
        <w:right w:val="none" w:sz="0" w:space="0" w:color="auto"/>
      </w:divBdr>
    </w:div>
    <w:div w:id="1264145286">
      <w:bodyDiv w:val="1"/>
      <w:marLeft w:val="0"/>
      <w:marRight w:val="0"/>
      <w:marTop w:val="0"/>
      <w:marBottom w:val="0"/>
      <w:divBdr>
        <w:top w:val="none" w:sz="0" w:space="0" w:color="auto"/>
        <w:left w:val="none" w:sz="0" w:space="0" w:color="auto"/>
        <w:bottom w:val="none" w:sz="0" w:space="0" w:color="auto"/>
        <w:right w:val="none" w:sz="0" w:space="0" w:color="auto"/>
      </w:divBdr>
    </w:div>
    <w:div w:id="1264194226">
      <w:bodyDiv w:val="1"/>
      <w:marLeft w:val="0"/>
      <w:marRight w:val="0"/>
      <w:marTop w:val="0"/>
      <w:marBottom w:val="0"/>
      <w:divBdr>
        <w:top w:val="none" w:sz="0" w:space="0" w:color="auto"/>
        <w:left w:val="none" w:sz="0" w:space="0" w:color="auto"/>
        <w:bottom w:val="none" w:sz="0" w:space="0" w:color="auto"/>
        <w:right w:val="none" w:sz="0" w:space="0" w:color="auto"/>
      </w:divBdr>
    </w:div>
    <w:div w:id="1264269831">
      <w:bodyDiv w:val="1"/>
      <w:marLeft w:val="0"/>
      <w:marRight w:val="0"/>
      <w:marTop w:val="0"/>
      <w:marBottom w:val="0"/>
      <w:divBdr>
        <w:top w:val="none" w:sz="0" w:space="0" w:color="auto"/>
        <w:left w:val="none" w:sz="0" w:space="0" w:color="auto"/>
        <w:bottom w:val="none" w:sz="0" w:space="0" w:color="auto"/>
        <w:right w:val="none" w:sz="0" w:space="0" w:color="auto"/>
      </w:divBdr>
    </w:div>
    <w:div w:id="1264387118">
      <w:bodyDiv w:val="1"/>
      <w:marLeft w:val="0"/>
      <w:marRight w:val="0"/>
      <w:marTop w:val="0"/>
      <w:marBottom w:val="0"/>
      <w:divBdr>
        <w:top w:val="none" w:sz="0" w:space="0" w:color="auto"/>
        <w:left w:val="none" w:sz="0" w:space="0" w:color="auto"/>
        <w:bottom w:val="none" w:sz="0" w:space="0" w:color="auto"/>
        <w:right w:val="none" w:sz="0" w:space="0" w:color="auto"/>
      </w:divBdr>
    </w:div>
    <w:div w:id="1264461894">
      <w:bodyDiv w:val="1"/>
      <w:marLeft w:val="0"/>
      <w:marRight w:val="0"/>
      <w:marTop w:val="0"/>
      <w:marBottom w:val="0"/>
      <w:divBdr>
        <w:top w:val="none" w:sz="0" w:space="0" w:color="auto"/>
        <w:left w:val="none" w:sz="0" w:space="0" w:color="auto"/>
        <w:bottom w:val="none" w:sz="0" w:space="0" w:color="auto"/>
        <w:right w:val="none" w:sz="0" w:space="0" w:color="auto"/>
      </w:divBdr>
    </w:div>
    <w:div w:id="1264535315">
      <w:bodyDiv w:val="1"/>
      <w:marLeft w:val="0"/>
      <w:marRight w:val="0"/>
      <w:marTop w:val="0"/>
      <w:marBottom w:val="0"/>
      <w:divBdr>
        <w:top w:val="none" w:sz="0" w:space="0" w:color="auto"/>
        <w:left w:val="none" w:sz="0" w:space="0" w:color="auto"/>
        <w:bottom w:val="none" w:sz="0" w:space="0" w:color="auto"/>
        <w:right w:val="none" w:sz="0" w:space="0" w:color="auto"/>
      </w:divBdr>
    </w:div>
    <w:div w:id="1264537551">
      <w:bodyDiv w:val="1"/>
      <w:marLeft w:val="0"/>
      <w:marRight w:val="0"/>
      <w:marTop w:val="0"/>
      <w:marBottom w:val="0"/>
      <w:divBdr>
        <w:top w:val="none" w:sz="0" w:space="0" w:color="auto"/>
        <w:left w:val="none" w:sz="0" w:space="0" w:color="auto"/>
        <w:bottom w:val="none" w:sz="0" w:space="0" w:color="auto"/>
        <w:right w:val="none" w:sz="0" w:space="0" w:color="auto"/>
      </w:divBdr>
    </w:div>
    <w:div w:id="1264611075">
      <w:bodyDiv w:val="1"/>
      <w:marLeft w:val="0"/>
      <w:marRight w:val="0"/>
      <w:marTop w:val="0"/>
      <w:marBottom w:val="0"/>
      <w:divBdr>
        <w:top w:val="none" w:sz="0" w:space="0" w:color="auto"/>
        <w:left w:val="none" w:sz="0" w:space="0" w:color="auto"/>
        <w:bottom w:val="none" w:sz="0" w:space="0" w:color="auto"/>
        <w:right w:val="none" w:sz="0" w:space="0" w:color="auto"/>
      </w:divBdr>
    </w:div>
    <w:div w:id="1264722016">
      <w:bodyDiv w:val="1"/>
      <w:marLeft w:val="0"/>
      <w:marRight w:val="0"/>
      <w:marTop w:val="0"/>
      <w:marBottom w:val="0"/>
      <w:divBdr>
        <w:top w:val="none" w:sz="0" w:space="0" w:color="auto"/>
        <w:left w:val="none" w:sz="0" w:space="0" w:color="auto"/>
        <w:bottom w:val="none" w:sz="0" w:space="0" w:color="auto"/>
        <w:right w:val="none" w:sz="0" w:space="0" w:color="auto"/>
      </w:divBdr>
    </w:div>
    <w:div w:id="1264798240">
      <w:bodyDiv w:val="1"/>
      <w:marLeft w:val="0"/>
      <w:marRight w:val="0"/>
      <w:marTop w:val="0"/>
      <w:marBottom w:val="0"/>
      <w:divBdr>
        <w:top w:val="none" w:sz="0" w:space="0" w:color="auto"/>
        <w:left w:val="none" w:sz="0" w:space="0" w:color="auto"/>
        <w:bottom w:val="none" w:sz="0" w:space="0" w:color="auto"/>
        <w:right w:val="none" w:sz="0" w:space="0" w:color="auto"/>
      </w:divBdr>
    </w:div>
    <w:div w:id="1264804913">
      <w:bodyDiv w:val="1"/>
      <w:marLeft w:val="0"/>
      <w:marRight w:val="0"/>
      <w:marTop w:val="0"/>
      <w:marBottom w:val="0"/>
      <w:divBdr>
        <w:top w:val="none" w:sz="0" w:space="0" w:color="auto"/>
        <w:left w:val="none" w:sz="0" w:space="0" w:color="auto"/>
        <w:bottom w:val="none" w:sz="0" w:space="0" w:color="auto"/>
        <w:right w:val="none" w:sz="0" w:space="0" w:color="auto"/>
      </w:divBdr>
    </w:div>
    <w:div w:id="1264845964">
      <w:bodyDiv w:val="1"/>
      <w:marLeft w:val="0"/>
      <w:marRight w:val="0"/>
      <w:marTop w:val="0"/>
      <w:marBottom w:val="0"/>
      <w:divBdr>
        <w:top w:val="none" w:sz="0" w:space="0" w:color="auto"/>
        <w:left w:val="none" w:sz="0" w:space="0" w:color="auto"/>
        <w:bottom w:val="none" w:sz="0" w:space="0" w:color="auto"/>
        <w:right w:val="none" w:sz="0" w:space="0" w:color="auto"/>
      </w:divBdr>
    </w:div>
    <w:div w:id="1264872967">
      <w:bodyDiv w:val="1"/>
      <w:marLeft w:val="0"/>
      <w:marRight w:val="0"/>
      <w:marTop w:val="0"/>
      <w:marBottom w:val="0"/>
      <w:divBdr>
        <w:top w:val="none" w:sz="0" w:space="0" w:color="auto"/>
        <w:left w:val="none" w:sz="0" w:space="0" w:color="auto"/>
        <w:bottom w:val="none" w:sz="0" w:space="0" w:color="auto"/>
        <w:right w:val="none" w:sz="0" w:space="0" w:color="auto"/>
      </w:divBdr>
    </w:div>
    <w:div w:id="1264923793">
      <w:bodyDiv w:val="1"/>
      <w:marLeft w:val="0"/>
      <w:marRight w:val="0"/>
      <w:marTop w:val="0"/>
      <w:marBottom w:val="0"/>
      <w:divBdr>
        <w:top w:val="none" w:sz="0" w:space="0" w:color="auto"/>
        <w:left w:val="none" w:sz="0" w:space="0" w:color="auto"/>
        <w:bottom w:val="none" w:sz="0" w:space="0" w:color="auto"/>
        <w:right w:val="none" w:sz="0" w:space="0" w:color="auto"/>
      </w:divBdr>
    </w:div>
    <w:div w:id="1265114520">
      <w:bodyDiv w:val="1"/>
      <w:marLeft w:val="0"/>
      <w:marRight w:val="0"/>
      <w:marTop w:val="0"/>
      <w:marBottom w:val="0"/>
      <w:divBdr>
        <w:top w:val="none" w:sz="0" w:space="0" w:color="auto"/>
        <w:left w:val="none" w:sz="0" w:space="0" w:color="auto"/>
        <w:bottom w:val="none" w:sz="0" w:space="0" w:color="auto"/>
        <w:right w:val="none" w:sz="0" w:space="0" w:color="auto"/>
      </w:divBdr>
    </w:div>
    <w:div w:id="1265114605">
      <w:bodyDiv w:val="1"/>
      <w:marLeft w:val="0"/>
      <w:marRight w:val="0"/>
      <w:marTop w:val="0"/>
      <w:marBottom w:val="0"/>
      <w:divBdr>
        <w:top w:val="none" w:sz="0" w:space="0" w:color="auto"/>
        <w:left w:val="none" w:sz="0" w:space="0" w:color="auto"/>
        <w:bottom w:val="none" w:sz="0" w:space="0" w:color="auto"/>
        <w:right w:val="none" w:sz="0" w:space="0" w:color="auto"/>
      </w:divBdr>
    </w:div>
    <w:div w:id="1265188614">
      <w:bodyDiv w:val="1"/>
      <w:marLeft w:val="0"/>
      <w:marRight w:val="0"/>
      <w:marTop w:val="0"/>
      <w:marBottom w:val="0"/>
      <w:divBdr>
        <w:top w:val="none" w:sz="0" w:space="0" w:color="auto"/>
        <w:left w:val="none" w:sz="0" w:space="0" w:color="auto"/>
        <w:bottom w:val="none" w:sz="0" w:space="0" w:color="auto"/>
        <w:right w:val="none" w:sz="0" w:space="0" w:color="auto"/>
      </w:divBdr>
    </w:div>
    <w:div w:id="1265191223">
      <w:bodyDiv w:val="1"/>
      <w:marLeft w:val="0"/>
      <w:marRight w:val="0"/>
      <w:marTop w:val="0"/>
      <w:marBottom w:val="0"/>
      <w:divBdr>
        <w:top w:val="none" w:sz="0" w:space="0" w:color="auto"/>
        <w:left w:val="none" w:sz="0" w:space="0" w:color="auto"/>
        <w:bottom w:val="none" w:sz="0" w:space="0" w:color="auto"/>
        <w:right w:val="none" w:sz="0" w:space="0" w:color="auto"/>
      </w:divBdr>
    </w:div>
    <w:div w:id="1265572631">
      <w:bodyDiv w:val="1"/>
      <w:marLeft w:val="0"/>
      <w:marRight w:val="0"/>
      <w:marTop w:val="0"/>
      <w:marBottom w:val="0"/>
      <w:divBdr>
        <w:top w:val="none" w:sz="0" w:space="0" w:color="auto"/>
        <w:left w:val="none" w:sz="0" w:space="0" w:color="auto"/>
        <w:bottom w:val="none" w:sz="0" w:space="0" w:color="auto"/>
        <w:right w:val="none" w:sz="0" w:space="0" w:color="auto"/>
      </w:divBdr>
    </w:div>
    <w:div w:id="1265579106">
      <w:bodyDiv w:val="1"/>
      <w:marLeft w:val="0"/>
      <w:marRight w:val="0"/>
      <w:marTop w:val="0"/>
      <w:marBottom w:val="0"/>
      <w:divBdr>
        <w:top w:val="none" w:sz="0" w:space="0" w:color="auto"/>
        <w:left w:val="none" w:sz="0" w:space="0" w:color="auto"/>
        <w:bottom w:val="none" w:sz="0" w:space="0" w:color="auto"/>
        <w:right w:val="none" w:sz="0" w:space="0" w:color="auto"/>
      </w:divBdr>
    </w:div>
    <w:div w:id="1265721507">
      <w:bodyDiv w:val="1"/>
      <w:marLeft w:val="0"/>
      <w:marRight w:val="0"/>
      <w:marTop w:val="0"/>
      <w:marBottom w:val="0"/>
      <w:divBdr>
        <w:top w:val="none" w:sz="0" w:space="0" w:color="auto"/>
        <w:left w:val="none" w:sz="0" w:space="0" w:color="auto"/>
        <w:bottom w:val="none" w:sz="0" w:space="0" w:color="auto"/>
        <w:right w:val="none" w:sz="0" w:space="0" w:color="auto"/>
      </w:divBdr>
    </w:div>
    <w:div w:id="1265727830">
      <w:bodyDiv w:val="1"/>
      <w:marLeft w:val="0"/>
      <w:marRight w:val="0"/>
      <w:marTop w:val="0"/>
      <w:marBottom w:val="0"/>
      <w:divBdr>
        <w:top w:val="none" w:sz="0" w:space="0" w:color="auto"/>
        <w:left w:val="none" w:sz="0" w:space="0" w:color="auto"/>
        <w:bottom w:val="none" w:sz="0" w:space="0" w:color="auto"/>
        <w:right w:val="none" w:sz="0" w:space="0" w:color="auto"/>
      </w:divBdr>
    </w:div>
    <w:div w:id="1265842614">
      <w:bodyDiv w:val="1"/>
      <w:marLeft w:val="0"/>
      <w:marRight w:val="0"/>
      <w:marTop w:val="0"/>
      <w:marBottom w:val="0"/>
      <w:divBdr>
        <w:top w:val="none" w:sz="0" w:space="0" w:color="auto"/>
        <w:left w:val="none" w:sz="0" w:space="0" w:color="auto"/>
        <w:bottom w:val="none" w:sz="0" w:space="0" w:color="auto"/>
        <w:right w:val="none" w:sz="0" w:space="0" w:color="auto"/>
      </w:divBdr>
    </w:div>
    <w:div w:id="1265914800">
      <w:bodyDiv w:val="1"/>
      <w:marLeft w:val="0"/>
      <w:marRight w:val="0"/>
      <w:marTop w:val="0"/>
      <w:marBottom w:val="0"/>
      <w:divBdr>
        <w:top w:val="none" w:sz="0" w:space="0" w:color="auto"/>
        <w:left w:val="none" w:sz="0" w:space="0" w:color="auto"/>
        <w:bottom w:val="none" w:sz="0" w:space="0" w:color="auto"/>
        <w:right w:val="none" w:sz="0" w:space="0" w:color="auto"/>
      </w:divBdr>
    </w:div>
    <w:div w:id="1266036145">
      <w:bodyDiv w:val="1"/>
      <w:marLeft w:val="0"/>
      <w:marRight w:val="0"/>
      <w:marTop w:val="0"/>
      <w:marBottom w:val="0"/>
      <w:divBdr>
        <w:top w:val="none" w:sz="0" w:space="0" w:color="auto"/>
        <w:left w:val="none" w:sz="0" w:space="0" w:color="auto"/>
        <w:bottom w:val="none" w:sz="0" w:space="0" w:color="auto"/>
        <w:right w:val="none" w:sz="0" w:space="0" w:color="auto"/>
      </w:divBdr>
    </w:div>
    <w:div w:id="1266112969">
      <w:bodyDiv w:val="1"/>
      <w:marLeft w:val="0"/>
      <w:marRight w:val="0"/>
      <w:marTop w:val="0"/>
      <w:marBottom w:val="0"/>
      <w:divBdr>
        <w:top w:val="none" w:sz="0" w:space="0" w:color="auto"/>
        <w:left w:val="none" w:sz="0" w:space="0" w:color="auto"/>
        <w:bottom w:val="none" w:sz="0" w:space="0" w:color="auto"/>
        <w:right w:val="none" w:sz="0" w:space="0" w:color="auto"/>
      </w:divBdr>
    </w:div>
    <w:div w:id="1266115651">
      <w:bodyDiv w:val="1"/>
      <w:marLeft w:val="0"/>
      <w:marRight w:val="0"/>
      <w:marTop w:val="0"/>
      <w:marBottom w:val="0"/>
      <w:divBdr>
        <w:top w:val="none" w:sz="0" w:space="0" w:color="auto"/>
        <w:left w:val="none" w:sz="0" w:space="0" w:color="auto"/>
        <w:bottom w:val="none" w:sz="0" w:space="0" w:color="auto"/>
        <w:right w:val="none" w:sz="0" w:space="0" w:color="auto"/>
      </w:divBdr>
    </w:div>
    <w:div w:id="1266156570">
      <w:bodyDiv w:val="1"/>
      <w:marLeft w:val="0"/>
      <w:marRight w:val="0"/>
      <w:marTop w:val="0"/>
      <w:marBottom w:val="0"/>
      <w:divBdr>
        <w:top w:val="none" w:sz="0" w:space="0" w:color="auto"/>
        <w:left w:val="none" w:sz="0" w:space="0" w:color="auto"/>
        <w:bottom w:val="none" w:sz="0" w:space="0" w:color="auto"/>
        <w:right w:val="none" w:sz="0" w:space="0" w:color="auto"/>
      </w:divBdr>
    </w:div>
    <w:div w:id="1266229684">
      <w:bodyDiv w:val="1"/>
      <w:marLeft w:val="0"/>
      <w:marRight w:val="0"/>
      <w:marTop w:val="0"/>
      <w:marBottom w:val="0"/>
      <w:divBdr>
        <w:top w:val="none" w:sz="0" w:space="0" w:color="auto"/>
        <w:left w:val="none" w:sz="0" w:space="0" w:color="auto"/>
        <w:bottom w:val="none" w:sz="0" w:space="0" w:color="auto"/>
        <w:right w:val="none" w:sz="0" w:space="0" w:color="auto"/>
      </w:divBdr>
    </w:div>
    <w:div w:id="1266353495">
      <w:bodyDiv w:val="1"/>
      <w:marLeft w:val="0"/>
      <w:marRight w:val="0"/>
      <w:marTop w:val="0"/>
      <w:marBottom w:val="0"/>
      <w:divBdr>
        <w:top w:val="none" w:sz="0" w:space="0" w:color="auto"/>
        <w:left w:val="none" w:sz="0" w:space="0" w:color="auto"/>
        <w:bottom w:val="none" w:sz="0" w:space="0" w:color="auto"/>
        <w:right w:val="none" w:sz="0" w:space="0" w:color="auto"/>
      </w:divBdr>
    </w:div>
    <w:div w:id="1266379170">
      <w:bodyDiv w:val="1"/>
      <w:marLeft w:val="0"/>
      <w:marRight w:val="0"/>
      <w:marTop w:val="0"/>
      <w:marBottom w:val="0"/>
      <w:divBdr>
        <w:top w:val="none" w:sz="0" w:space="0" w:color="auto"/>
        <w:left w:val="none" w:sz="0" w:space="0" w:color="auto"/>
        <w:bottom w:val="none" w:sz="0" w:space="0" w:color="auto"/>
        <w:right w:val="none" w:sz="0" w:space="0" w:color="auto"/>
      </w:divBdr>
    </w:div>
    <w:div w:id="1266419960">
      <w:bodyDiv w:val="1"/>
      <w:marLeft w:val="0"/>
      <w:marRight w:val="0"/>
      <w:marTop w:val="0"/>
      <w:marBottom w:val="0"/>
      <w:divBdr>
        <w:top w:val="none" w:sz="0" w:space="0" w:color="auto"/>
        <w:left w:val="none" w:sz="0" w:space="0" w:color="auto"/>
        <w:bottom w:val="none" w:sz="0" w:space="0" w:color="auto"/>
        <w:right w:val="none" w:sz="0" w:space="0" w:color="auto"/>
      </w:divBdr>
    </w:div>
    <w:div w:id="1266421350">
      <w:bodyDiv w:val="1"/>
      <w:marLeft w:val="0"/>
      <w:marRight w:val="0"/>
      <w:marTop w:val="0"/>
      <w:marBottom w:val="0"/>
      <w:divBdr>
        <w:top w:val="none" w:sz="0" w:space="0" w:color="auto"/>
        <w:left w:val="none" w:sz="0" w:space="0" w:color="auto"/>
        <w:bottom w:val="none" w:sz="0" w:space="0" w:color="auto"/>
        <w:right w:val="none" w:sz="0" w:space="0" w:color="auto"/>
      </w:divBdr>
    </w:div>
    <w:div w:id="1266421554">
      <w:bodyDiv w:val="1"/>
      <w:marLeft w:val="0"/>
      <w:marRight w:val="0"/>
      <w:marTop w:val="0"/>
      <w:marBottom w:val="0"/>
      <w:divBdr>
        <w:top w:val="none" w:sz="0" w:space="0" w:color="auto"/>
        <w:left w:val="none" w:sz="0" w:space="0" w:color="auto"/>
        <w:bottom w:val="none" w:sz="0" w:space="0" w:color="auto"/>
        <w:right w:val="none" w:sz="0" w:space="0" w:color="auto"/>
      </w:divBdr>
    </w:div>
    <w:div w:id="1266423556">
      <w:bodyDiv w:val="1"/>
      <w:marLeft w:val="0"/>
      <w:marRight w:val="0"/>
      <w:marTop w:val="0"/>
      <w:marBottom w:val="0"/>
      <w:divBdr>
        <w:top w:val="none" w:sz="0" w:space="0" w:color="auto"/>
        <w:left w:val="none" w:sz="0" w:space="0" w:color="auto"/>
        <w:bottom w:val="none" w:sz="0" w:space="0" w:color="auto"/>
        <w:right w:val="none" w:sz="0" w:space="0" w:color="auto"/>
      </w:divBdr>
    </w:div>
    <w:div w:id="1266428104">
      <w:bodyDiv w:val="1"/>
      <w:marLeft w:val="0"/>
      <w:marRight w:val="0"/>
      <w:marTop w:val="0"/>
      <w:marBottom w:val="0"/>
      <w:divBdr>
        <w:top w:val="none" w:sz="0" w:space="0" w:color="auto"/>
        <w:left w:val="none" w:sz="0" w:space="0" w:color="auto"/>
        <w:bottom w:val="none" w:sz="0" w:space="0" w:color="auto"/>
        <w:right w:val="none" w:sz="0" w:space="0" w:color="auto"/>
      </w:divBdr>
    </w:div>
    <w:div w:id="1266578503">
      <w:bodyDiv w:val="1"/>
      <w:marLeft w:val="0"/>
      <w:marRight w:val="0"/>
      <w:marTop w:val="0"/>
      <w:marBottom w:val="0"/>
      <w:divBdr>
        <w:top w:val="none" w:sz="0" w:space="0" w:color="auto"/>
        <w:left w:val="none" w:sz="0" w:space="0" w:color="auto"/>
        <w:bottom w:val="none" w:sz="0" w:space="0" w:color="auto"/>
        <w:right w:val="none" w:sz="0" w:space="0" w:color="auto"/>
      </w:divBdr>
    </w:div>
    <w:div w:id="1266689644">
      <w:bodyDiv w:val="1"/>
      <w:marLeft w:val="0"/>
      <w:marRight w:val="0"/>
      <w:marTop w:val="0"/>
      <w:marBottom w:val="0"/>
      <w:divBdr>
        <w:top w:val="none" w:sz="0" w:space="0" w:color="auto"/>
        <w:left w:val="none" w:sz="0" w:space="0" w:color="auto"/>
        <w:bottom w:val="none" w:sz="0" w:space="0" w:color="auto"/>
        <w:right w:val="none" w:sz="0" w:space="0" w:color="auto"/>
      </w:divBdr>
    </w:div>
    <w:div w:id="1266689647">
      <w:bodyDiv w:val="1"/>
      <w:marLeft w:val="0"/>
      <w:marRight w:val="0"/>
      <w:marTop w:val="0"/>
      <w:marBottom w:val="0"/>
      <w:divBdr>
        <w:top w:val="none" w:sz="0" w:space="0" w:color="auto"/>
        <w:left w:val="none" w:sz="0" w:space="0" w:color="auto"/>
        <w:bottom w:val="none" w:sz="0" w:space="0" w:color="auto"/>
        <w:right w:val="none" w:sz="0" w:space="0" w:color="auto"/>
      </w:divBdr>
    </w:div>
    <w:div w:id="1266693223">
      <w:bodyDiv w:val="1"/>
      <w:marLeft w:val="0"/>
      <w:marRight w:val="0"/>
      <w:marTop w:val="0"/>
      <w:marBottom w:val="0"/>
      <w:divBdr>
        <w:top w:val="none" w:sz="0" w:space="0" w:color="auto"/>
        <w:left w:val="none" w:sz="0" w:space="0" w:color="auto"/>
        <w:bottom w:val="none" w:sz="0" w:space="0" w:color="auto"/>
        <w:right w:val="none" w:sz="0" w:space="0" w:color="auto"/>
      </w:divBdr>
    </w:div>
    <w:div w:id="1266814441">
      <w:bodyDiv w:val="1"/>
      <w:marLeft w:val="0"/>
      <w:marRight w:val="0"/>
      <w:marTop w:val="0"/>
      <w:marBottom w:val="0"/>
      <w:divBdr>
        <w:top w:val="none" w:sz="0" w:space="0" w:color="auto"/>
        <w:left w:val="none" w:sz="0" w:space="0" w:color="auto"/>
        <w:bottom w:val="none" w:sz="0" w:space="0" w:color="auto"/>
        <w:right w:val="none" w:sz="0" w:space="0" w:color="auto"/>
      </w:divBdr>
    </w:div>
    <w:div w:id="1266961598">
      <w:bodyDiv w:val="1"/>
      <w:marLeft w:val="0"/>
      <w:marRight w:val="0"/>
      <w:marTop w:val="0"/>
      <w:marBottom w:val="0"/>
      <w:divBdr>
        <w:top w:val="none" w:sz="0" w:space="0" w:color="auto"/>
        <w:left w:val="none" w:sz="0" w:space="0" w:color="auto"/>
        <w:bottom w:val="none" w:sz="0" w:space="0" w:color="auto"/>
        <w:right w:val="none" w:sz="0" w:space="0" w:color="auto"/>
      </w:divBdr>
    </w:div>
    <w:div w:id="1266963068">
      <w:bodyDiv w:val="1"/>
      <w:marLeft w:val="0"/>
      <w:marRight w:val="0"/>
      <w:marTop w:val="0"/>
      <w:marBottom w:val="0"/>
      <w:divBdr>
        <w:top w:val="none" w:sz="0" w:space="0" w:color="auto"/>
        <w:left w:val="none" w:sz="0" w:space="0" w:color="auto"/>
        <w:bottom w:val="none" w:sz="0" w:space="0" w:color="auto"/>
        <w:right w:val="none" w:sz="0" w:space="0" w:color="auto"/>
      </w:divBdr>
    </w:div>
    <w:div w:id="1267035678">
      <w:bodyDiv w:val="1"/>
      <w:marLeft w:val="0"/>
      <w:marRight w:val="0"/>
      <w:marTop w:val="0"/>
      <w:marBottom w:val="0"/>
      <w:divBdr>
        <w:top w:val="none" w:sz="0" w:space="0" w:color="auto"/>
        <w:left w:val="none" w:sz="0" w:space="0" w:color="auto"/>
        <w:bottom w:val="none" w:sz="0" w:space="0" w:color="auto"/>
        <w:right w:val="none" w:sz="0" w:space="0" w:color="auto"/>
      </w:divBdr>
    </w:div>
    <w:div w:id="1267037047">
      <w:bodyDiv w:val="1"/>
      <w:marLeft w:val="0"/>
      <w:marRight w:val="0"/>
      <w:marTop w:val="0"/>
      <w:marBottom w:val="0"/>
      <w:divBdr>
        <w:top w:val="none" w:sz="0" w:space="0" w:color="auto"/>
        <w:left w:val="none" w:sz="0" w:space="0" w:color="auto"/>
        <w:bottom w:val="none" w:sz="0" w:space="0" w:color="auto"/>
        <w:right w:val="none" w:sz="0" w:space="0" w:color="auto"/>
      </w:divBdr>
    </w:div>
    <w:div w:id="1267075655">
      <w:bodyDiv w:val="1"/>
      <w:marLeft w:val="0"/>
      <w:marRight w:val="0"/>
      <w:marTop w:val="0"/>
      <w:marBottom w:val="0"/>
      <w:divBdr>
        <w:top w:val="none" w:sz="0" w:space="0" w:color="auto"/>
        <w:left w:val="none" w:sz="0" w:space="0" w:color="auto"/>
        <w:bottom w:val="none" w:sz="0" w:space="0" w:color="auto"/>
        <w:right w:val="none" w:sz="0" w:space="0" w:color="auto"/>
      </w:divBdr>
    </w:div>
    <w:div w:id="1267080317">
      <w:bodyDiv w:val="1"/>
      <w:marLeft w:val="0"/>
      <w:marRight w:val="0"/>
      <w:marTop w:val="0"/>
      <w:marBottom w:val="0"/>
      <w:divBdr>
        <w:top w:val="none" w:sz="0" w:space="0" w:color="auto"/>
        <w:left w:val="none" w:sz="0" w:space="0" w:color="auto"/>
        <w:bottom w:val="none" w:sz="0" w:space="0" w:color="auto"/>
        <w:right w:val="none" w:sz="0" w:space="0" w:color="auto"/>
      </w:divBdr>
    </w:div>
    <w:div w:id="1267153019">
      <w:bodyDiv w:val="1"/>
      <w:marLeft w:val="0"/>
      <w:marRight w:val="0"/>
      <w:marTop w:val="0"/>
      <w:marBottom w:val="0"/>
      <w:divBdr>
        <w:top w:val="none" w:sz="0" w:space="0" w:color="auto"/>
        <w:left w:val="none" w:sz="0" w:space="0" w:color="auto"/>
        <w:bottom w:val="none" w:sz="0" w:space="0" w:color="auto"/>
        <w:right w:val="none" w:sz="0" w:space="0" w:color="auto"/>
      </w:divBdr>
    </w:div>
    <w:div w:id="1267227019">
      <w:bodyDiv w:val="1"/>
      <w:marLeft w:val="0"/>
      <w:marRight w:val="0"/>
      <w:marTop w:val="0"/>
      <w:marBottom w:val="0"/>
      <w:divBdr>
        <w:top w:val="none" w:sz="0" w:space="0" w:color="auto"/>
        <w:left w:val="none" w:sz="0" w:space="0" w:color="auto"/>
        <w:bottom w:val="none" w:sz="0" w:space="0" w:color="auto"/>
        <w:right w:val="none" w:sz="0" w:space="0" w:color="auto"/>
      </w:divBdr>
    </w:div>
    <w:div w:id="1267229130">
      <w:bodyDiv w:val="1"/>
      <w:marLeft w:val="0"/>
      <w:marRight w:val="0"/>
      <w:marTop w:val="0"/>
      <w:marBottom w:val="0"/>
      <w:divBdr>
        <w:top w:val="none" w:sz="0" w:space="0" w:color="auto"/>
        <w:left w:val="none" w:sz="0" w:space="0" w:color="auto"/>
        <w:bottom w:val="none" w:sz="0" w:space="0" w:color="auto"/>
        <w:right w:val="none" w:sz="0" w:space="0" w:color="auto"/>
      </w:divBdr>
    </w:div>
    <w:div w:id="1267232523">
      <w:bodyDiv w:val="1"/>
      <w:marLeft w:val="0"/>
      <w:marRight w:val="0"/>
      <w:marTop w:val="0"/>
      <w:marBottom w:val="0"/>
      <w:divBdr>
        <w:top w:val="none" w:sz="0" w:space="0" w:color="auto"/>
        <w:left w:val="none" w:sz="0" w:space="0" w:color="auto"/>
        <w:bottom w:val="none" w:sz="0" w:space="0" w:color="auto"/>
        <w:right w:val="none" w:sz="0" w:space="0" w:color="auto"/>
      </w:divBdr>
    </w:div>
    <w:div w:id="1267275628">
      <w:bodyDiv w:val="1"/>
      <w:marLeft w:val="0"/>
      <w:marRight w:val="0"/>
      <w:marTop w:val="0"/>
      <w:marBottom w:val="0"/>
      <w:divBdr>
        <w:top w:val="none" w:sz="0" w:space="0" w:color="auto"/>
        <w:left w:val="none" w:sz="0" w:space="0" w:color="auto"/>
        <w:bottom w:val="none" w:sz="0" w:space="0" w:color="auto"/>
        <w:right w:val="none" w:sz="0" w:space="0" w:color="auto"/>
      </w:divBdr>
    </w:div>
    <w:div w:id="1267424798">
      <w:bodyDiv w:val="1"/>
      <w:marLeft w:val="0"/>
      <w:marRight w:val="0"/>
      <w:marTop w:val="0"/>
      <w:marBottom w:val="0"/>
      <w:divBdr>
        <w:top w:val="none" w:sz="0" w:space="0" w:color="auto"/>
        <w:left w:val="none" w:sz="0" w:space="0" w:color="auto"/>
        <w:bottom w:val="none" w:sz="0" w:space="0" w:color="auto"/>
        <w:right w:val="none" w:sz="0" w:space="0" w:color="auto"/>
      </w:divBdr>
    </w:div>
    <w:div w:id="1267470211">
      <w:bodyDiv w:val="1"/>
      <w:marLeft w:val="0"/>
      <w:marRight w:val="0"/>
      <w:marTop w:val="0"/>
      <w:marBottom w:val="0"/>
      <w:divBdr>
        <w:top w:val="none" w:sz="0" w:space="0" w:color="auto"/>
        <w:left w:val="none" w:sz="0" w:space="0" w:color="auto"/>
        <w:bottom w:val="none" w:sz="0" w:space="0" w:color="auto"/>
        <w:right w:val="none" w:sz="0" w:space="0" w:color="auto"/>
      </w:divBdr>
    </w:div>
    <w:div w:id="1267494714">
      <w:bodyDiv w:val="1"/>
      <w:marLeft w:val="0"/>
      <w:marRight w:val="0"/>
      <w:marTop w:val="0"/>
      <w:marBottom w:val="0"/>
      <w:divBdr>
        <w:top w:val="none" w:sz="0" w:space="0" w:color="auto"/>
        <w:left w:val="none" w:sz="0" w:space="0" w:color="auto"/>
        <w:bottom w:val="none" w:sz="0" w:space="0" w:color="auto"/>
        <w:right w:val="none" w:sz="0" w:space="0" w:color="auto"/>
      </w:divBdr>
    </w:div>
    <w:div w:id="1267497301">
      <w:bodyDiv w:val="1"/>
      <w:marLeft w:val="0"/>
      <w:marRight w:val="0"/>
      <w:marTop w:val="0"/>
      <w:marBottom w:val="0"/>
      <w:divBdr>
        <w:top w:val="none" w:sz="0" w:space="0" w:color="auto"/>
        <w:left w:val="none" w:sz="0" w:space="0" w:color="auto"/>
        <w:bottom w:val="none" w:sz="0" w:space="0" w:color="auto"/>
        <w:right w:val="none" w:sz="0" w:space="0" w:color="auto"/>
      </w:divBdr>
    </w:div>
    <w:div w:id="1267615778">
      <w:bodyDiv w:val="1"/>
      <w:marLeft w:val="0"/>
      <w:marRight w:val="0"/>
      <w:marTop w:val="0"/>
      <w:marBottom w:val="0"/>
      <w:divBdr>
        <w:top w:val="none" w:sz="0" w:space="0" w:color="auto"/>
        <w:left w:val="none" w:sz="0" w:space="0" w:color="auto"/>
        <w:bottom w:val="none" w:sz="0" w:space="0" w:color="auto"/>
        <w:right w:val="none" w:sz="0" w:space="0" w:color="auto"/>
      </w:divBdr>
    </w:div>
    <w:div w:id="1267731812">
      <w:bodyDiv w:val="1"/>
      <w:marLeft w:val="0"/>
      <w:marRight w:val="0"/>
      <w:marTop w:val="0"/>
      <w:marBottom w:val="0"/>
      <w:divBdr>
        <w:top w:val="none" w:sz="0" w:space="0" w:color="auto"/>
        <w:left w:val="none" w:sz="0" w:space="0" w:color="auto"/>
        <w:bottom w:val="none" w:sz="0" w:space="0" w:color="auto"/>
        <w:right w:val="none" w:sz="0" w:space="0" w:color="auto"/>
      </w:divBdr>
    </w:div>
    <w:div w:id="1267887720">
      <w:bodyDiv w:val="1"/>
      <w:marLeft w:val="0"/>
      <w:marRight w:val="0"/>
      <w:marTop w:val="0"/>
      <w:marBottom w:val="0"/>
      <w:divBdr>
        <w:top w:val="none" w:sz="0" w:space="0" w:color="auto"/>
        <w:left w:val="none" w:sz="0" w:space="0" w:color="auto"/>
        <w:bottom w:val="none" w:sz="0" w:space="0" w:color="auto"/>
        <w:right w:val="none" w:sz="0" w:space="0" w:color="auto"/>
      </w:divBdr>
    </w:div>
    <w:div w:id="1267925058">
      <w:bodyDiv w:val="1"/>
      <w:marLeft w:val="0"/>
      <w:marRight w:val="0"/>
      <w:marTop w:val="0"/>
      <w:marBottom w:val="0"/>
      <w:divBdr>
        <w:top w:val="none" w:sz="0" w:space="0" w:color="auto"/>
        <w:left w:val="none" w:sz="0" w:space="0" w:color="auto"/>
        <w:bottom w:val="none" w:sz="0" w:space="0" w:color="auto"/>
        <w:right w:val="none" w:sz="0" w:space="0" w:color="auto"/>
      </w:divBdr>
    </w:div>
    <w:div w:id="1268000578">
      <w:bodyDiv w:val="1"/>
      <w:marLeft w:val="0"/>
      <w:marRight w:val="0"/>
      <w:marTop w:val="0"/>
      <w:marBottom w:val="0"/>
      <w:divBdr>
        <w:top w:val="none" w:sz="0" w:space="0" w:color="auto"/>
        <w:left w:val="none" w:sz="0" w:space="0" w:color="auto"/>
        <w:bottom w:val="none" w:sz="0" w:space="0" w:color="auto"/>
        <w:right w:val="none" w:sz="0" w:space="0" w:color="auto"/>
      </w:divBdr>
    </w:div>
    <w:div w:id="1268081209">
      <w:bodyDiv w:val="1"/>
      <w:marLeft w:val="0"/>
      <w:marRight w:val="0"/>
      <w:marTop w:val="0"/>
      <w:marBottom w:val="0"/>
      <w:divBdr>
        <w:top w:val="none" w:sz="0" w:space="0" w:color="auto"/>
        <w:left w:val="none" w:sz="0" w:space="0" w:color="auto"/>
        <w:bottom w:val="none" w:sz="0" w:space="0" w:color="auto"/>
        <w:right w:val="none" w:sz="0" w:space="0" w:color="auto"/>
      </w:divBdr>
    </w:div>
    <w:div w:id="1268195493">
      <w:bodyDiv w:val="1"/>
      <w:marLeft w:val="0"/>
      <w:marRight w:val="0"/>
      <w:marTop w:val="0"/>
      <w:marBottom w:val="0"/>
      <w:divBdr>
        <w:top w:val="none" w:sz="0" w:space="0" w:color="auto"/>
        <w:left w:val="none" w:sz="0" w:space="0" w:color="auto"/>
        <w:bottom w:val="none" w:sz="0" w:space="0" w:color="auto"/>
        <w:right w:val="none" w:sz="0" w:space="0" w:color="auto"/>
      </w:divBdr>
    </w:div>
    <w:div w:id="1268272787">
      <w:bodyDiv w:val="1"/>
      <w:marLeft w:val="0"/>
      <w:marRight w:val="0"/>
      <w:marTop w:val="0"/>
      <w:marBottom w:val="0"/>
      <w:divBdr>
        <w:top w:val="none" w:sz="0" w:space="0" w:color="auto"/>
        <w:left w:val="none" w:sz="0" w:space="0" w:color="auto"/>
        <w:bottom w:val="none" w:sz="0" w:space="0" w:color="auto"/>
        <w:right w:val="none" w:sz="0" w:space="0" w:color="auto"/>
      </w:divBdr>
    </w:div>
    <w:div w:id="1268580880">
      <w:bodyDiv w:val="1"/>
      <w:marLeft w:val="0"/>
      <w:marRight w:val="0"/>
      <w:marTop w:val="0"/>
      <w:marBottom w:val="0"/>
      <w:divBdr>
        <w:top w:val="none" w:sz="0" w:space="0" w:color="auto"/>
        <w:left w:val="none" w:sz="0" w:space="0" w:color="auto"/>
        <w:bottom w:val="none" w:sz="0" w:space="0" w:color="auto"/>
        <w:right w:val="none" w:sz="0" w:space="0" w:color="auto"/>
      </w:divBdr>
    </w:div>
    <w:div w:id="1268584165">
      <w:bodyDiv w:val="1"/>
      <w:marLeft w:val="0"/>
      <w:marRight w:val="0"/>
      <w:marTop w:val="0"/>
      <w:marBottom w:val="0"/>
      <w:divBdr>
        <w:top w:val="none" w:sz="0" w:space="0" w:color="auto"/>
        <w:left w:val="none" w:sz="0" w:space="0" w:color="auto"/>
        <w:bottom w:val="none" w:sz="0" w:space="0" w:color="auto"/>
        <w:right w:val="none" w:sz="0" w:space="0" w:color="auto"/>
      </w:divBdr>
    </w:div>
    <w:div w:id="1268732896">
      <w:bodyDiv w:val="1"/>
      <w:marLeft w:val="0"/>
      <w:marRight w:val="0"/>
      <w:marTop w:val="0"/>
      <w:marBottom w:val="0"/>
      <w:divBdr>
        <w:top w:val="none" w:sz="0" w:space="0" w:color="auto"/>
        <w:left w:val="none" w:sz="0" w:space="0" w:color="auto"/>
        <w:bottom w:val="none" w:sz="0" w:space="0" w:color="auto"/>
        <w:right w:val="none" w:sz="0" w:space="0" w:color="auto"/>
      </w:divBdr>
    </w:div>
    <w:div w:id="1268809667">
      <w:bodyDiv w:val="1"/>
      <w:marLeft w:val="0"/>
      <w:marRight w:val="0"/>
      <w:marTop w:val="0"/>
      <w:marBottom w:val="0"/>
      <w:divBdr>
        <w:top w:val="none" w:sz="0" w:space="0" w:color="auto"/>
        <w:left w:val="none" w:sz="0" w:space="0" w:color="auto"/>
        <w:bottom w:val="none" w:sz="0" w:space="0" w:color="auto"/>
        <w:right w:val="none" w:sz="0" w:space="0" w:color="auto"/>
      </w:divBdr>
    </w:div>
    <w:div w:id="1268848015">
      <w:bodyDiv w:val="1"/>
      <w:marLeft w:val="0"/>
      <w:marRight w:val="0"/>
      <w:marTop w:val="0"/>
      <w:marBottom w:val="0"/>
      <w:divBdr>
        <w:top w:val="none" w:sz="0" w:space="0" w:color="auto"/>
        <w:left w:val="none" w:sz="0" w:space="0" w:color="auto"/>
        <w:bottom w:val="none" w:sz="0" w:space="0" w:color="auto"/>
        <w:right w:val="none" w:sz="0" w:space="0" w:color="auto"/>
      </w:divBdr>
    </w:div>
    <w:div w:id="1268922550">
      <w:bodyDiv w:val="1"/>
      <w:marLeft w:val="0"/>
      <w:marRight w:val="0"/>
      <w:marTop w:val="0"/>
      <w:marBottom w:val="0"/>
      <w:divBdr>
        <w:top w:val="none" w:sz="0" w:space="0" w:color="auto"/>
        <w:left w:val="none" w:sz="0" w:space="0" w:color="auto"/>
        <w:bottom w:val="none" w:sz="0" w:space="0" w:color="auto"/>
        <w:right w:val="none" w:sz="0" w:space="0" w:color="auto"/>
      </w:divBdr>
    </w:div>
    <w:div w:id="1269005851">
      <w:bodyDiv w:val="1"/>
      <w:marLeft w:val="0"/>
      <w:marRight w:val="0"/>
      <w:marTop w:val="0"/>
      <w:marBottom w:val="0"/>
      <w:divBdr>
        <w:top w:val="none" w:sz="0" w:space="0" w:color="auto"/>
        <w:left w:val="none" w:sz="0" w:space="0" w:color="auto"/>
        <w:bottom w:val="none" w:sz="0" w:space="0" w:color="auto"/>
        <w:right w:val="none" w:sz="0" w:space="0" w:color="auto"/>
      </w:divBdr>
    </w:div>
    <w:div w:id="1269043772">
      <w:bodyDiv w:val="1"/>
      <w:marLeft w:val="0"/>
      <w:marRight w:val="0"/>
      <w:marTop w:val="0"/>
      <w:marBottom w:val="0"/>
      <w:divBdr>
        <w:top w:val="none" w:sz="0" w:space="0" w:color="auto"/>
        <w:left w:val="none" w:sz="0" w:space="0" w:color="auto"/>
        <w:bottom w:val="none" w:sz="0" w:space="0" w:color="auto"/>
        <w:right w:val="none" w:sz="0" w:space="0" w:color="auto"/>
      </w:divBdr>
    </w:div>
    <w:div w:id="1269049675">
      <w:bodyDiv w:val="1"/>
      <w:marLeft w:val="0"/>
      <w:marRight w:val="0"/>
      <w:marTop w:val="0"/>
      <w:marBottom w:val="0"/>
      <w:divBdr>
        <w:top w:val="none" w:sz="0" w:space="0" w:color="auto"/>
        <w:left w:val="none" w:sz="0" w:space="0" w:color="auto"/>
        <w:bottom w:val="none" w:sz="0" w:space="0" w:color="auto"/>
        <w:right w:val="none" w:sz="0" w:space="0" w:color="auto"/>
      </w:divBdr>
    </w:div>
    <w:div w:id="1269238944">
      <w:bodyDiv w:val="1"/>
      <w:marLeft w:val="0"/>
      <w:marRight w:val="0"/>
      <w:marTop w:val="0"/>
      <w:marBottom w:val="0"/>
      <w:divBdr>
        <w:top w:val="none" w:sz="0" w:space="0" w:color="auto"/>
        <w:left w:val="none" w:sz="0" w:space="0" w:color="auto"/>
        <w:bottom w:val="none" w:sz="0" w:space="0" w:color="auto"/>
        <w:right w:val="none" w:sz="0" w:space="0" w:color="auto"/>
      </w:divBdr>
    </w:div>
    <w:div w:id="1269240240">
      <w:bodyDiv w:val="1"/>
      <w:marLeft w:val="0"/>
      <w:marRight w:val="0"/>
      <w:marTop w:val="0"/>
      <w:marBottom w:val="0"/>
      <w:divBdr>
        <w:top w:val="none" w:sz="0" w:space="0" w:color="auto"/>
        <w:left w:val="none" w:sz="0" w:space="0" w:color="auto"/>
        <w:bottom w:val="none" w:sz="0" w:space="0" w:color="auto"/>
        <w:right w:val="none" w:sz="0" w:space="0" w:color="auto"/>
      </w:divBdr>
    </w:div>
    <w:div w:id="1269385612">
      <w:bodyDiv w:val="1"/>
      <w:marLeft w:val="0"/>
      <w:marRight w:val="0"/>
      <w:marTop w:val="0"/>
      <w:marBottom w:val="0"/>
      <w:divBdr>
        <w:top w:val="none" w:sz="0" w:space="0" w:color="auto"/>
        <w:left w:val="none" w:sz="0" w:space="0" w:color="auto"/>
        <w:bottom w:val="none" w:sz="0" w:space="0" w:color="auto"/>
        <w:right w:val="none" w:sz="0" w:space="0" w:color="auto"/>
      </w:divBdr>
    </w:div>
    <w:div w:id="1269388639">
      <w:bodyDiv w:val="1"/>
      <w:marLeft w:val="0"/>
      <w:marRight w:val="0"/>
      <w:marTop w:val="0"/>
      <w:marBottom w:val="0"/>
      <w:divBdr>
        <w:top w:val="none" w:sz="0" w:space="0" w:color="auto"/>
        <w:left w:val="none" w:sz="0" w:space="0" w:color="auto"/>
        <w:bottom w:val="none" w:sz="0" w:space="0" w:color="auto"/>
        <w:right w:val="none" w:sz="0" w:space="0" w:color="auto"/>
      </w:divBdr>
    </w:div>
    <w:div w:id="1269459851">
      <w:bodyDiv w:val="1"/>
      <w:marLeft w:val="0"/>
      <w:marRight w:val="0"/>
      <w:marTop w:val="0"/>
      <w:marBottom w:val="0"/>
      <w:divBdr>
        <w:top w:val="none" w:sz="0" w:space="0" w:color="auto"/>
        <w:left w:val="none" w:sz="0" w:space="0" w:color="auto"/>
        <w:bottom w:val="none" w:sz="0" w:space="0" w:color="auto"/>
        <w:right w:val="none" w:sz="0" w:space="0" w:color="auto"/>
      </w:divBdr>
    </w:div>
    <w:div w:id="1269461021">
      <w:bodyDiv w:val="1"/>
      <w:marLeft w:val="0"/>
      <w:marRight w:val="0"/>
      <w:marTop w:val="0"/>
      <w:marBottom w:val="0"/>
      <w:divBdr>
        <w:top w:val="none" w:sz="0" w:space="0" w:color="auto"/>
        <w:left w:val="none" w:sz="0" w:space="0" w:color="auto"/>
        <w:bottom w:val="none" w:sz="0" w:space="0" w:color="auto"/>
        <w:right w:val="none" w:sz="0" w:space="0" w:color="auto"/>
      </w:divBdr>
    </w:div>
    <w:div w:id="1269698316">
      <w:bodyDiv w:val="1"/>
      <w:marLeft w:val="0"/>
      <w:marRight w:val="0"/>
      <w:marTop w:val="0"/>
      <w:marBottom w:val="0"/>
      <w:divBdr>
        <w:top w:val="none" w:sz="0" w:space="0" w:color="auto"/>
        <w:left w:val="none" w:sz="0" w:space="0" w:color="auto"/>
        <w:bottom w:val="none" w:sz="0" w:space="0" w:color="auto"/>
        <w:right w:val="none" w:sz="0" w:space="0" w:color="auto"/>
      </w:divBdr>
    </w:div>
    <w:div w:id="1269772487">
      <w:bodyDiv w:val="1"/>
      <w:marLeft w:val="0"/>
      <w:marRight w:val="0"/>
      <w:marTop w:val="0"/>
      <w:marBottom w:val="0"/>
      <w:divBdr>
        <w:top w:val="none" w:sz="0" w:space="0" w:color="auto"/>
        <w:left w:val="none" w:sz="0" w:space="0" w:color="auto"/>
        <w:bottom w:val="none" w:sz="0" w:space="0" w:color="auto"/>
        <w:right w:val="none" w:sz="0" w:space="0" w:color="auto"/>
      </w:divBdr>
    </w:div>
    <w:div w:id="1269777413">
      <w:bodyDiv w:val="1"/>
      <w:marLeft w:val="0"/>
      <w:marRight w:val="0"/>
      <w:marTop w:val="0"/>
      <w:marBottom w:val="0"/>
      <w:divBdr>
        <w:top w:val="none" w:sz="0" w:space="0" w:color="auto"/>
        <w:left w:val="none" w:sz="0" w:space="0" w:color="auto"/>
        <w:bottom w:val="none" w:sz="0" w:space="0" w:color="auto"/>
        <w:right w:val="none" w:sz="0" w:space="0" w:color="auto"/>
      </w:divBdr>
    </w:div>
    <w:div w:id="1269846197">
      <w:bodyDiv w:val="1"/>
      <w:marLeft w:val="0"/>
      <w:marRight w:val="0"/>
      <w:marTop w:val="0"/>
      <w:marBottom w:val="0"/>
      <w:divBdr>
        <w:top w:val="none" w:sz="0" w:space="0" w:color="auto"/>
        <w:left w:val="none" w:sz="0" w:space="0" w:color="auto"/>
        <w:bottom w:val="none" w:sz="0" w:space="0" w:color="auto"/>
        <w:right w:val="none" w:sz="0" w:space="0" w:color="auto"/>
      </w:divBdr>
    </w:div>
    <w:div w:id="1269896352">
      <w:bodyDiv w:val="1"/>
      <w:marLeft w:val="0"/>
      <w:marRight w:val="0"/>
      <w:marTop w:val="0"/>
      <w:marBottom w:val="0"/>
      <w:divBdr>
        <w:top w:val="none" w:sz="0" w:space="0" w:color="auto"/>
        <w:left w:val="none" w:sz="0" w:space="0" w:color="auto"/>
        <w:bottom w:val="none" w:sz="0" w:space="0" w:color="auto"/>
        <w:right w:val="none" w:sz="0" w:space="0" w:color="auto"/>
      </w:divBdr>
    </w:div>
    <w:div w:id="1269965017">
      <w:bodyDiv w:val="1"/>
      <w:marLeft w:val="0"/>
      <w:marRight w:val="0"/>
      <w:marTop w:val="0"/>
      <w:marBottom w:val="0"/>
      <w:divBdr>
        <w:top w:val="none" w:sz="0" w:space="0" w:color="auto"/>
        <w:left w:val="none" w:sz="0" w:space="0" w:color="auto"/>
        <w:bottom w:val="none" w:sz="0" w:space="0" w:color="auto"/>
        <w:right w:val="none" w:sz="0" w:space="0" w:color="auto"/>
      </w:divBdr>
    </w:div>
    <w:div w:id="1269969831">
      <w:bodyDiv w:val="1"/>
      <w:marLeft w:val="0"/>
      <w:marRight w:val="0"/>
      <w:marTop w:val="0"/>
      <w:marBottom w:val="0"/>
      <w:divBdr>
        <w:top w:val="none" w:sz="0" w:space="0" w:color="auto"/>
        <w:left w:val="none" w:sz="0" w:space="0" w:color="auto"/>
        <w:bottom w:val="none" w:sz="0" w:space="0" w:color="auto"/>
        <w:right w:val="none" w:sz="0" w:space="0" w:color="auto"/>
      </w:divBdr>
    </w:div>
    <w:div w:id="1270234980">
      <w:bodyDiv w:val="1"/>
      <w:marLeft w:val="0"/>
      <w:marRight w:val="0"/>
      <w:marTop w:val="0"/>
      <w:marBottom w:val="0"/>
      <w:divBdr>
        <w:top w:val="none" w:sz="0" w:space="0" w:color="auto"/>
        <w:left w:val="none" w:sz="0" w:space="0" w:color="auto"/>
        <w:bottom w:val="none" w:sz="0" w:space="0" w:color="auto"/>
        <w:right w:val="none" w:sz="0" w:space="0" w:color="auto"/>
      </w:divBdr>
    </w:div>
    <w:div w:id="1270236744">
      <w:bodyDiv w:val="1"/>
      <w:marLeft w:val="0"/>
      <w:marRight w:val="0"/>
      <w:marTop w:val="0"/>
      <w:marBottom w:val="0"/>
      <w:divBdr>
        <w:top w:val="none" w:sz="0" w:space="0" w:color="auto"/>
        <w:left w:val="none" w:sz="0" w:space="0" w:color="auto"/>
        <w:bottom w:val="none" w:sz="0" w:space="0" w:color="auto"/>
        <w:right w:val="none" w:sz="0" w:space="0" w:color="auto"/>
      </w:divBdr>
    </w:div>
    <w:div w:id="1270352179">
      <w:bodyDiv w:val="1"/>
      <w:marLeft w:val="0"/>
      <w:marRight w:val="0"/>
      <w:marTop w:val="0"/>
      <w:marBottom w:val="0"/>
      <w:divBdr>
        <w:top w:val="none" w:sz="0" w:space="0" w:color="auto"/>
        <w:left w:val="none" w:sz="0" w:space="0" w:color="auto"/>
        <w:bottom w:val="none" w:sz="0" w:space="0" w:color="auto"/>
        <w:right w:val="none" w:sz="0" w:space="0" w:color="auto"/>
      </w:divBdr>
    </w:div>
    <w:div w:id="1270352262">
      <w:bodyDiv w:val="1"/>
      <w:marLeft w:val="0"/>
      <w:marRight w:val="0"/>
      <w:marTop w:val="0"/>
      <w:marBottom w:val="0"/>
      <w:divBdr>
        <w:top w:val="none" w:sz="0" w:space="0" w:color="auto"/>
        <w:left w:val="none" w:sz="0" w:space="0" w:color="auto"/>
        <w:bottom w:val="none" w:sz="0" w:space="0" w:color="auto"/>
        <w:right w:val="none" w:sz="0" w:space="0" w:color="auto"/>
      </w:divBdr>
    </w:div>
    <w:div w:id="1270359627">
      <w:bodyDiv w:val="1"/>
      <w:marLeft w:val="0"/>
      <w:marRight w:val="0"/>
      <w:marTop w:val="0"/>
      <w:marBottom w:val="0"/>
      <w:divBdr>
        <w:top w:val="none" w:sz="0" w:space="0" w:color="auto"/>
        <w:left w:val="none" w:sz="0" w:space="0" w:color="auto"/>
        <w:bottom w:val="none" w:sz="0" w:space="0" w:color="auto"/>
        <w:right w:val="none" w:sz="0" w:space="0" w:color="auto"/>
      </w:divBdr>
    </w:div>
    <w:div w:id="1270427752">
      <w:bodyDiv w:val="1"/>
      <w:marLeft w:val="0"/>
      <w:marRight w:val="0"/>
      <w:marTop w:val="0"/>
      <w:marBottom w:val="0"/>
      <w:divBdr>
        <w:top w:val="none" w:sz="0" w:space="0" w:color="auto"/>
        <w:left w:val="none" w:sz="0" w:space="0" w:color="auto"/>
        <w:bottom w:val="none" w:sz="0" w:space="0" w:color="auto"/>
        <w:right w:val="none" w:sz="0" w:space="0" w:color="auto"/>
      </w:divBdr>
    </w:div>
    <w:div w:id="1270429167">
      <w:bodyDiv w:val="1"/>
      <w:marLeft w:val="0"/>
      <w:marRight w:val="0"/>
      <w:marTop w:val="0"/>
      <w:marBottom w:val="0"/>
      <w:divBdr>
        <w:top w:val="none" w:sz="0" w:space="0" w:color="auto"/>
        <w:left w:val="none" w:sz="0" w:space="0" w:color="auto"/>
        <w:bottom w:val="none" w:sz="0" w:space="0" w:color="auto"/>
        <w:right w:val="none" w:sz="0" w:space="0" w:color="auto"/>
      </w:divBdr>
    </w:div>
    <w:div w:id="1270550402">
      <w:bodyDiv w:val="1"/>
      <w:marLeft w:val="0"/>
      <w:marRight w:val="0"/>
      <w:marTop w:val="0"/>
      <w:marBottom w:val="0"/>
      <w:divBdr>
        <w:top w:val="none" w:sz="0" w:space="0" w:color="auto"/>
        <w:left w:val="none" w:sz="0" w:space="0" w:color="auto"/>
        <w:bottom w:val="none" w:sz="0" w:space="0" w:color="auto"/>
        <w:right w:val="none" w:sz="0" w:space="0" w:color="auto"/>
      </w:divBdr>
    </w:div>
    <w:div w:id="1270625799">
      <w:bodyDiv w:val="1"/>
      <w:marLeft w:val="0"/>
      <w:marRight w:val="0"/>
      <w:marTop w:val="0"/>
      <w:marBottom w:val="0"/>
      <w:divBdr>
        <w:top w:val="none" w:sz="0" w:space="0" w:color="auto"/>
        <w:left w:val="none" w:sz="0" w:space="0" w:color="auto"/>
        <w:bottom w:val="none" w:sz="0" w:space="0" w:color="auto"/>
        <w:right w:val="none" w:sz="0" w:space="0" w:color="auto"/>
      </w:divBdr>
    </w:div>
    <w:div w:id="1270629220">
      <w:bodyDiv w:val="1"/>
      <w:marLeft w:val="0"/>
      <w:marRight w:val="0"/>
      <w:marTop w:val="0"/>
      <w:marBottom w:val="0"/>
      <w:divBdr>
        <w:top w:val="none" w:sz="0" w:space="0" w:color="auto"/>
        <w:left w:val="none" w:sz="0" w:space="0" w:color="auto"/>
        <w:bottom w:val="none" w:sz="0" w:space="0" w:color="auto"/>
        <w:right w:val="none" w:sz="0" w:space="0" w:color="auto"/>
      </w:divBdr>
    </w:div>
    <w:div w:id="1270771081">
      <w:bodyDiv w:val="1"/>
      <w:marLeft w:val="0"/>
      <w:marRight w:val="0"/>
      <w:marTop w:val="0"/>
      <w:marBottom w:val="0"/>
      <w:divBdr>
        <w:top w:val="none" w:sz="0" w:space="0" w:color="auto"/>
        <w:left w:val="none" w:sz="0" w:space="0" w:color="auto"/>
        <w:bottom w:val="none" w:sz="0" w:space="0" w:color="auto"/>
        <w:right w:val="none" w:sz="0" w:space="0" w:color="auto"/>
      </w:divBdr>
    </w:div>
    <w:div w:id="1270815599">
      <w:bodyDiv w:val="1"/>
      <w:marLeft w:val="0"/>
      <w:marRight w:val="0"/>
      <w:marTop w:val="0"/>
      <w:marBottom w:val="0"/>
      <w:divBdr>
        <w:top w:val="none" w:sz="0" w:space="0" w:color="auto"/>
        <w:left w:val="none" w:sz="0" w:space="0" w:color="auto"/>
        <w:bottom w:val="none" w:sz="0" w:space="0" w:color="auto"/>
        <w:right w:val="none" w:sz="0" w:space="0" w:color="auto"/>
      </w:divBdr>
    </w:div>
    <w:div w:id="1270816964">
      <w:bodyDiv w:val="1"/>
      <w:marLeft w:val="0"/>
      <w:marRight w:val="0"/>
      <w:marTop w:val="0"/>
      <w:marBottom w:val="0"/>
      <w:divBdr>
        <w:top w:val="none" w:sz="0" w:space="0" w:color="auto"/>
        <w:left w:val="none" w:sz="0" w:space="0" w:color="auto"/>
        <w:bottom w:val="none" w:sz="0" w:space="0" w:color="auto"/>
        <w:right w:val="none" w:sz="0" w:space="0" w:color="auto"/>
      </w:divBdr>
    </w:div>
    <w:div w:id="1270896802">
      <w:bodyDiv w:val="1"/>
      <w:marLeft w:val="0"/>
      <w:marRight w:val="0"/>
      <w:marTop w:val="0"/>
      <w:marBottom w:val="0"/>
      <w:divBdr>
        <w:top w:val="none" w:sz="0" w:space="0" w:color="auto"/>
        <w:left w:val="none" w:sz="0" w:space="0" w:color="auto"/>
        <w:bottom w:val="none" w:sz="0" w:space="0" w:color="auto"/>
        <w:right w:val="none" w:sz="0" w:space="0" w:color="auto"/>
      </w:divBdr>
    </w:div>
    <w:div w:id="1270965953">
      <w:bodyDiv w:val="1"/>
      <w:marLeft w:val="0"/>
      <w:marRight w:val="0"/>
      <w:marTop w:val="0"/>
      <w:marBottom w:val="0"/>
      <w:divBdr>
        <w:top w:val="none" w:sz="0" w:space="0" w:color="auto"/>
        <w:left w:val="none" w:sz="0" w:space="0" w:color="auto"/>
        <w:bottom w:val="none" w:sz="0" w:space="0" w:color="auto"/>
        <w:right w:val="none" w:sz="0" w:space="0" w:color="auto"/>
      </w:divBdr>
    </w:div>
    <w:div w:id="1270968181">
      <w:bodyDiv w:val="1"/>
      <w:marLeft w:val="0"/>
      <w:marRight w:val="0"/>
      <w:marTop w:val="0"/>
      <w:marBottom w:val="0"/>
      <w:divBdr>
        <w:top w:val="none" w:sz="0" w:space="0" w:color="auto"/>
        <w:left w:val="none" w:sz="0" w:space="0" w:color="auto"/>
        <w:bottom w:val="none" w:sz="0" w:space="0" w:color="auto"/>
        <w:right w:val="none" w:sz="0" w:space="0" w:color="auto"/>
      </w:divBdr>
    </w:div>
    <w:div w:id="1271013742">
      <w:bodyDiv w:val="1"/>
      <w:marLeft w:val="0"/>
      <w:marRight w:val="0"/>
      <w:marTop w:val="0"/>
      <w:marBottom w:val="0"/>
      <w:divBdr>
        <w:top w:val="none" w:sz="0" w:space="0" w:color="auto"/>
        <w:left w:val="none" w:sz="0" w:space="0" w:color="auto"/>
        <w:bottom w:val="none" w:sz="0" w:space="0" w:color="auto"/>
        <w:right w:val="none" w:sz="0" w:space="0" w:color="auto"/>
      </w:divBdr>
    </w:div>
    <w:div w:id="1271162280">
      <w:bodyDiv w:val="1"/>
      <w:marLeft w:val="0"/>
      <w:marRight w:val="0"/>
      <w:marTop w:val="0"/>
      <w:marBottom w:val="0"/>
      <w:divBdr>
        <w:top w:val="none" w:sz="0" w:space="0" w:color="auto"/>
        <w:left w:val="none" w:sz="0" w:space="0" w:color="auto"/>
        <w:bottom w:val="none" w:sz="0" w:space="0" w:color="auto"/>
        <w:right w:val="none" w:sz="0" w:space="0" w:color="auto"/>
      </w:divBdr>
    </w:div>
    <w:div w:id="1271203859">
      <w:bodyDiv w:val="1"/>
      <w:marLeft w:val="0"/>
      <w:marRight w:val="0"/>
      <w:marTop w:val="0"/>
      <w:marBottom w:val="0"/>
      <w:divBdr>
        <w:top w:val="none" w:sz="0" w:space="0" w:color="auto"/>
        <w:left w:val="none" w:sz="0" w:space="0" w:color="auto"/>
        <w:bottom w:val="none" w:sz="0" w:space="0" w:color="auto"/>
        <w:right w:val="none" w:sz="0" w:space="0" w:color="auto"/>
      </w:divBdr>
    </w:div>
    <w:div w:id="1271204903">
      <w:bodyDiv w:val="1"/>
      <w:marLeft w:val="0"/>
      <w:marRight w:val="0"/>
      <w:marTop w:val="0"/>
      <w:marBottom w:val="0"/>
      <w:divBdr>
        <w:top w:val="none" w:sz="0" w:space="0" w:color="auto"/>
        <w:left w:val="none" w:sz="0" w:space="0" w:color="auto"/>
        <w:bottom w:val="none" w:sz="0" w:space="0" w:color="auto"/>
        <w:right w:val="none" w:sz="0" w:space="0" w:color="auto"/>
      </w:divBdr>
    </w:div>
    <w:div w:id="1271471384">
      <w:bodyDiv w:val="1"/>
      <w:marLeft w:val="0"/>
      <w:marRight w:val="0"/>
      <w:marTop w:val="0"/>
      <w:marBottom w:val="0"/>
      <w:divBdr>
        <w:top w:val="none" w:sz="0" w:space="0" w:color="auto"/>
        <w:left w:val="none" w:sz="0" w:space="0" w:color="auto"/>
        <w:bottom w:val="none" w:sz="0" w:space="0" w:color="auto"/>
        <w:right w:val="none" w:sz="0" w:space="0" w:color="auto"/>
      </w:divBdr>
    </w:div>
    <w:div w:id="1271472891">
      <w:bodyDiv w:val="1"/>
      <w:marLeft w:val="0"/>
      <w:marRight w:val="0"/>
      <w:marTop w:val="0"/>
      <w:marBottom w:val="0"/>
      <w:divBdr>
        <w:top w:val="none" w:sz="0" w:space="0" w:color="auto"/>
        <w:left w:val="none" w:sz="0" w:space="0" w:color="auto"/>
        <w:bottom w:val="none" w:sz="0" w:space="0" w:color="auto"/>
        <w:right w:val="none" w:sz="0" w:space="0" w:color="auto"/>
      </w:divBdr>
    </w:div>
    <w:div w:id="1271475475">
      <w:bodyDiv w:val="1"/>
      <w:marLeft w:val="0"/>
      <w:marRight w:val="0"/>
      <w:marTop w:val="0"/>
      <w:marBottom w:val="0"/>
      <w:divBdr>
        <w:top w:val="none" w:sz="0" w:space="0" w:color="auto"/>
        <w:left w:val="none" w:sz="0" w:space="0" w:color="auto"/>
        <w:bottom w:val="none" w:sz="0" w:space="0" w:color="auto"/>
        <w:right w:val="none" w:sz="0" w:space="0" w:color="auto"/>
      </w:divBdr>
    </w:div>
    <w:div w:id="1271548159">
      <w:bodyDiv w:val="1"/>
      <w:marLeft w:val="0"/>
      <w:marRight w:val="0"/>
      <w:marTop w:val="0"/>
      <w:marBottom w:val="0"/>
      <w:divBdr>
        <w:top w:val="none" w:sz="0" w:space="0" w:color="auto"/>
        <w:left w:val="none" w:sz="0" w:space="0" w:color="auto"/>
        <w:bottom w:val="none" w:sz="0" w:space="0" w:color="auto"/>
        <w:right w:val="none" w:sz="0" w:space="0" w:color="auto"/>
      </w:divBdr>
    </w:div>
    <w:div w:id="1271553113">
      <w:bodyDiv w:val="1"/>
      <w:marLeft w:val="0"/>
      <w:marRight w:val="0"/>
      <w:marTop w:val="0"/>
      <w:marBottom w:val="0"/>
      <w:divBdr>
        <w:top w:val="none" w:sz="0" w:space="0" w:color="auto"/>
        <w:left w:val="none" w:sz="0" w:space="0" w:color="auto"/>
        <w:bottom w:val="none" w:sz="0" w:space="0" w:color="auto"/>
        <w:right w:val="none" w:sz="0" w:space="0" w:color="auto"/>
      </w:divBdr>
    </w:div>
    <w:div w:id="1271622733">
      <w:bodyDiv w:val="1"/>
      <w:marLeft w:val="0"/>
      <w:marRight w:val="0"/>
      <w:marTop w:val="0"/>
      <w:marBottom w:val="0"/>
      <w:divBdr>
        <w:top w:val="none" w:sz="0" w:space="0" w:color="auto"/>
        <w:left w:val="none" w:sz="0" w:space="0" w:color="auto"/>
        <w:bottom w:val="none" w:sz="0" w:space="0" w:color="auto"/>
        <w:right w:val="none" w:sz="0" w:space="0" w:color="auto"/>
      </w:divBdr>
    </w:div>
    <w:div w:id="1271662247">
      <w:bodyDiv w:val="1"/>
      <w:marLeft w:val="0"/>
      <w:marRight w:val="0"/>
      <w:marTop w:val="0"/>
      <w:marBottom w:val="0"/>
      <w:divBdr>
        <w:top w:val="none" w:sz="0" w:space="0" w:color="auto"/>
        <w:left w:val="none" w:sz="0" w:space="0" w:color="auto"/>
        <w:bottom w:val="none" w:sz="0" w:space="0" w:color="auto"/>
        <w:right w:val="none" w:sz="0" w:space="0" w:color="auto"/>
      </w:divBdr>
    </w:div>
    <w:div w:id="1271740575">
      <w:bodyDiv w:val="1"/>
      <w:marLeft w:val="0"/>
      <w:marRight w:val="0"/>
      <w:marTop w:val="0"/>
      <w:marBottom w:val="0"/>
      <w:divBdr>
        <w:top w:val="none" w:sz="0" w:space="0" w:color="auto"/>
        <w:left w:val="none" w:sz="0" w:space="0" w:color="auto"/>
        <w:bottom w:val="none" w:sz="0" w:space="0" w:color="auto"/>
        <w:right w:val="none" w:sz="0" w:space="0" w:color="auto"/>
      </w:divBdr>
    </w:div>
    <w:div w:id="1271743156">
      <w:bodyDiv w:val="1"/>
      <w:marLeft w:val="0"/>
      <w:marRight w:val="0"/>
      <w:marTop w:val="0"/>
      <w:marBottom w:val="0"/>
      <w:divBdr>
        <w:top w:val="none" w:sz="0" w:space="0" w:color="auto"/>
        <w:left w:val="none" w:sz="0" w:space="0" w:color="auto"/>
        <w:bottom w:val="none" w:sz="0" w:space="0" w:color="auto"/>
        <w:right w:val="none" w:sz="0" w:space="0" w:color="auto"/>
      </w:divBdr>
    </w:div>
    <w:div w:id="1271743332">
      <w:bodyDiv w:val="1"/>
      <w:marLeft w:val="0"/>
      <w:marRight w:val="0"/>
      <w:marTop w:val="0"/>
      <w:marBottom w:val="0"/>
      <w:divBdr>
        <w:top w:val="none" w:sz="0" w:space="0" w:color="auto"/>
        <w:left w:val="none" w:sz="0" w:space="0" w:color="auto"/>
        <w:bottom w:val="none" w:sz="0" w:space="0" w:color="auto"/>
        <w:right w:val="none" w:sz="0" w:space="0" w:color="auto"/>
      </w:divBdr>
    </w:div>
    <w:div w:id="1271813066">
      <w:bodyDiv w:val="1"/>
      <w:marLeft w:val="0"/>
      <w:marRight w:val="0"/>
      <w:marTop w:val="0"/>
      <w:marBottom w:val="0"/>
      <w:divBdr>
        <w:top w:val="none" w:sz="0" w:space="0" w:color="auto"/>
        <w:left w:val="none" w:sz="0" w:space="0" w:color="auto"/>
        <w:bottom w:val="none" w:sz="0" w:space="0" w:color="auto"/>
        <w:right w:val="none" w:sz="0" w:space="0" w:color="auto"/>
      </w:divBdr>
    </w:div>
    <w:div w:id="1271863945">
      <w:bodyDiv w:val="1"/>
      <w:marLeft w:val="0"/>
      <w:marRight w:val="0"/>
      <w:marTop w:val="0"/>
      <w:marBottom w:val="0"/>
      <w:divBdr>
        <w:top w:val="none" w:sz="0" w:space="0" w:color="auto"/>
        <w:left w:val="none" w:sz="0" w:space="0" w:color="auto"/>
        <w:bottom w:val="none" w:sz="0" w:space="0" w:color="auto"/>
        <w:right w:val="none" w:sz="0" w:space="0" w:color="auto"/>
      </w:divBdr>
    </w:div>
    <w:div w:id="1271864189">
      <w:bodyDiv w:val="1"/>
      <w:marLeft w:val="0"/>
      <w:marRight w:val="0"/>
      <w:marTop w:val="0"/>
      <w:marBottom w:val="0"/>
      <w:divBdr>
        <w:top w:val="none" w:sz="0" w:space="0" w:color="auto"/>
        <w:left w:val="none" w:sz="0" w:space="0" w:color="auto"/>
        <w:bottom w:val="none" w:sz="0" w:space="0" w:color="auto"/>
        <w:right w:val="none" w:sz="0" w:space="0" w:color="auto"/>
      </w:divBdr>
    </w:div>
    <w:div w:id="1271888275">
      <w:bodyDiv w:val="1"/>
      <w:marLeft w:val="0"/>
      <w:marRight w:val="0"/>
      <w:marTop w:val="0"/>
      <w:marBottom w:val="0"/>
      <w:divBdr>
        <w:top w:val="none" w:sz="0" w:space="0" w:color="auto"/>
        <w:left w:val="none" w:sz="0" w:space="0" w:color="auto"/>
        <w:bottom w:val="none" w:sz="0" w:space="0" w:color="auto"/>
        <w:right w:val="none" w:sz="0" w:space="0" w:color="auto"/>
      </w:divBdr>
    </w:div>
    <w:div w:id="1272080948">
      <w:bodyDiv w:val="1"/>
      <w:marLeft w:val="0"/>
      <w:marRight w:val="0"/>
      <w:marTop w:val="0"/>
      <w:marBottom w:val="0"/>
      <w:divBdr>
        <w:top w:val="none" w:sz="0" w:space="0" w:color="auto"/>
        <w:left w:val="none" w:sz="0" w:space="0" w:color="auto"/>
        <w:bottom w:val="none" w:sz="0" w:space="0" w:color="auto"/>
        <w:right w:val="none" w:sz="0" w:space="0" w:color="auto"/>
      </w:divBdr>
    </w:div>
    <w:div w:id="1272127019">
      <w:bodyDiv w:val="1"/>
      <w:marLeft w:val="0"/>
      <w:marRight w:val="0"/>
      <w:marTop w:val="0"/>
      <w:marBottom w:val="0"/>
      <w:divBdr>
        <w:top w:val="none" w:sz="0" w:space="0" w:color="auto"/>
        <w:left w:val="none" w:sz="0" w:space="0" w:color="auto"/>
        <w:bottom w:val="none" w:sz="0" w:space="0" w:color="auto"/>
        <w:right w:val="none" w:sz="0" w:space="0" w:color="auto"/>
      </w:divBdr>
    </w:div>
    <w:div w:id="1272322631">
      <w:bodyDiv w:val="1"/>
      <w:marLeft w:val="0"/>
      <w:marRight w:val="0"/>
      <w:marTop w:val="0"/>
      <w:marBottom w:val="0"/>
      <w:divBdr>
        <w:top w:val="none" w:sz="0" w:space="0" w:color="auto"/>
        <w:left w:val="none" w:sz="0" w:space="0" w:color="auto"/>
        <w:bottom w:val="none" w:sz="0" w:space="0" w:color="auto"/>
        <w:right w:val="none" w:sz="0" w:space="0" w:color="auto"/>
      </w:divBdr>
    </w:div>
    <w:div w:id="1272324548">
      <w:bodyDiv w:val="1"/>
      <w:marLeft w:val="0"/>
      <w:marRight w:val="0"/>
      <w:marTop w:val="0"/>
      <w:marBottom w:val="0"/>
      <w:divBdr>
        <w:top w:val="none" w:sz="0" w:space="0" w:color="auto"/>
        <w:left w:val="none" w:sz="0" w:space="0" w:color="auto"/>
        <w:bottom w:val="none" w:sz="0" w:space="0" w:color="auto"/>
        <w:right w:val="none" w:sz="0" w:space="0" w:color="auto"/>
      </w:divBdr>
    </w:div>
    <w:div w:id="1272396019">
      <w:bodyDiv w:val="1"/>
      <w:marLeft w:val="0"/>
      <w:marRight w:val="0"/>
      <w:marTop w:val="0"/>
      <w:marBottom w:val="0"/>
      <w:divBdr>
        <w:top w:val="none" w:sz="0" w:space="0" w:color="auto"/>
        <w:left w:val="none" w:sz="0" w:space="0" w:color="auto"/>
        <w:bottom w:val="none" w:sz="0" w:space="0" w:color="auto"/>
        <w:right w:val="none" w:sz="0" w:space="0" w:color="auto"/>
      </w:divBdr>
    </w:div>
    <w:div w:id="1272397002">
      <w:bodyDiv w:val="1"/>
      <w:marLeft w:val="0"/>
      <w:marRight w:val="0"/>
      <w:marTop w:val="0"/>
      <w:marBottom w:val="0"/>
      <w:divBdr>
        <w:top w:val="none" w:sz="0" w:space="0" w:color="auto"/>
        <w:left w:val="none" w:sz="0" w:space="0" w:color="auto"/>
        <w:bottom w:val="none" w:sz="0" w:space="0" w:color="auto"/>
        <w:right w:val="none" w:sz="0" w:space="0" w:color="auto"/>
      </w:divBdr>
    </w:div>
    <w:div w:id="1272669330">
      <w:bodyDiv w:val="1"/>
      <w:marLeft w:val="0"/>
      <w:marRight w:val="0"/>
      <w:marTop w:val="0"/>
      <w:marBottom w:val="0"/>
      <w:divBdr>
        <w:top w:val="none" w:sz="0" w:space="0" w:color="auto"/>
        <w:left w:val="none" w:sz="0" w:space="0" w:color="auto"/>
        <w:bottom w:val="none" w:sz="0" w:space="0" w:color="auto"/>
        <w:right w:val="none" w:sz="0" w:space="0" w:color="auto"/>
      </w:divBdr>
    </w:div>
    <w:div w:id="1272780331">
      <w:bodyDiv w:val="1"/>
      <w:marLeft w:val="0"/>
      <w:marRight w:val="0"/>
      <w:marTop w:val="0"/>
      <w:marBottom w:val="0"/>
      <w:divBdr>
        <w:top w:val="none" w:sz="0" w:space="0" w:color="auto"/>
        <w:left w:val="none" w:sz="0" w:space="0" w:color="auto"/>
        <w:bottom w:val="none" w:sz="0" w:space="0" w:color="auto"/>
        <w:right w:val="none" w:sz="0" w:space="0" w:color="auto"/>
      </w:divBdr>
    </w:div>
    <w:div w:id="1272857182">
      <w:bodyDiv w:val="1"/>
      <w:marLeft w:val="0"/>
      <w:marRight w:val="0"/>
      <w:marTop w:val="0"/>
      <w:marBottom w:val="0"/>
      <w:divBdr>
        <w:top w:val="none" w:sz="0" w:space="0" w:color="auto"/>
        <w:left w:val="none" w:sz="0" w:space="0" w:color="auto"/>
        <w:bottom w:val="none" w:sz="0" w:space="0" w:color="auto"/>
        <w:right w:val="none" w:sz="0" w:space="0" w:color="auto"/>
      </w:divBdr>
    </w:div>
    <w:div w:id="1272859293">
      <w:bodyDiv w:val="1"/>
      <w:marLeft w:val="0"/>
      <w:marRight w:val="0"/>
      <w:marTop w:val="0"/>
      <w:marBottom w:val="0"/>
      <w:divBdr>
        <w:top w:val="none" w:sz="0" w:space="0" w:color="auto"/>
        <w:left w:val="none" w:sz="0" w:space="0" w:color="auto"/>
        <w:bottom w:val="none" w:sz="0" w:space="0" w:color="auto"/>
        <w:right w:val="none" w:sz="0" w:space="0" w:color="auto"/>
      </w:divBdr>
    </w:div>
    <w:div w:id="1273049021">
      <w:bodyDiv w:val="1"/>
      <w:marLeft w:val="0"/>
      <w:marRight w:val="0"/>
      <w:marTop w:val="0"/>
      <w:marBottom w:val="0"/>
      <w:divBdr>
        <w:top w:val="none" w:sz="0" w:space="0" w:color="auto"/>
        <w:left w:val="none" w:sz="0" w:space="0" w:color="auto"/>
        <w:bottom w:val="none" w:sz="0" w:space="0" w:color="auto"/>
        <w:right w:val="none" w:sz="0" w:space="0" w:color="auto"/>
      </w:divBdr>
    </w:div>
    <w:div w:id="1273052567">
      <w:bodyDiv w:val="1"/>
      <w:marLeft w:val="0"/>
      <w:marRight w:val="0"/>
      <w:marTop w:val="0"/>
      <w:marBottom w:val="0"/>
      <w:divBdr>
        <w:top w:val="none" w:sz="0" w:space="0" w:color="auto"/>
        <w:left w:val="none" w:sz="0" w:space="0" w:color="auto"/>
        <w:bottom w:val="none" w:sz="0" w:space="0" w:color="auto"/>
        <w:right w:val="none" w:sz="0" w:space="0" w:color="auto"/>
      </w:divBdr>
    </w:div>
    <w:div w:id="1273053772">
      <w:bodyDiv w:val="1"/>
      <w:marLeft w:val="0"/>
      <w:marRight w:val="0"/>
      <w:marTop w:val="0"/>
      <w:marBottom w:val="0"/>
      <w:divBdr>
        <w:top w:val="none" w:sz="0" w:space="0" w:color="auto"/>
        <w:left w:val="none" w:sz="0" w:space="0" w:color="auto"/>
        <w:bottom w:val="none" w:sz="0" w:space="0" w:color="auto"/>
        <w:right w:val="none" w:sz="0" w:space="0" w:color="auto"/>
      </w:divBdr>
    </w:div>
    <w:div w:id="1273172232">
      <w:bodyDiv w:val="1"/>
      <w:marLeft w:val="0"/>
      <w:marRight w:val="0"/>
      <w:marTop w:val="0"/>
      <w:marBottom w:val="0"/>
      <w:divBdr>
        <w:top w:val="none" w:sz="0" w:space="0" w:color="auto"/>
        <w:left w:val="none" w:sz="0" w:space="0" w:color="auto"/>
        <w:bottom w:val="none" w:sz="0" w:space="0" w:color="auto"/>
        <w:right w:val="none" w:sz="0" w:space="0" w:color="auto"/>
      </w:divBdr>
    </w:div>
    <w:div w:id="1273321874">
      <w:bodyDiv w:val="1"/>
      <w:marLeft w:val="0"/>
      <w:marRight w:val="0"/>
      <w:marTop w:val="0"/>
      <w:marBottom w:val="0"/>
      <w:divBdr>
        <w:top w:val="none" w:sz="0" w:space="0" w:color="auto"/>
        <w:left w:val="none" w:sz="0" w:space="0" w:color="auto"/>
        <w:bottom w:val="none" w:sz="0" w:space="0" w:color="auto"/>
        <w:right w:val="none" w:sz="0" w:space="0" w:color="auto"/>
      </w:divBdr>
    </w:div>
    <w:div w:id="1273391711">
      <w:bodyDiv w:val="1"/>
      <w:marLeft w:val="0"/>
      <w:marRight w:val="0"/>
      <w:marTop w:val="0"/>
      <w:marBottom w:val="0"/>
      <w:divBdr>
        <w:top w:val="none" w:sz="0" w:space="0" w:color="auto"/>
        <w:left w:val="none" w:sz="0" w:space="0" w:color="auto"/>
        <w:bottom w:val="none" w:sz="0" w:space="0" w:color="auto"/>
        <w:right w:val="none" w:sz="0" w:space="0" w:color="auto"/>
      </w:divBdr>
    </w:div>
    <w:div w:id="1273394928">
      <w:bodyDiv w:val="1"/>
      <w:marLeft w:val="0"/>
      <w:marRight w:val="0"/>
      <w:marTop w:val="0"/>
      <w:marBottom w:val="0"/>
      <w:divBdr>
        <w:top w:val="none" w:sz="0" w:space="0" w:color="auto"/>
        <w:left w:val="none" w:sz="0" w:space="0" w:color="auto"/>
        <w:bottom w:val="none" w:sz="0" w:space="0" w:color="auto"/>
        <w:right w:val="none" w:sz="0" w:space="0" w:color="auto"/>
      </w:divBdr>
    </w:div>
    <w:div w:id="1273629414">
      <w:bodyDiv w:val="1"/>
      <w:marLeft w:val="0"/>
      <w:marRight w:val="0"/>
      <w:marTop w:val="0"/>
      <w:marBottom w:val="0"/>
      <w:divBdr>
        <w:top w:val="none" w:sz="0" w:space="0" w:color="auto"/>
        <w:left w:val="none" w:sz="0" w:space="0" w:color="auto"/>
        <w:bottom w:val="none" w:sz="0" w:space="0" w:color="auto"/>
        <w:right w:val="none" w:sz="0" w:space="0" w:color="auto"/>
      </w:divBdr>
    </w:div>
    <w:div w:id="1273635829">
      <w:bodyDiv w:val="1"/>
      <w:marLeft w:val="0"/>
      <w:marRight w:val="0"/>
      <w:marTop w:val="0"/>
      <w:marBottom w:val="0"/>
      <w:divBdr>
        <w:top w:val="none" w:sz="0" w:space="0" w:color="auto"/>
        <w:left w:val="none" w:sz="0" w:space="0" w:color="auto"/>
        <w:bottom w:val="none" w:sz="0" w:space="0" w:color="auto"/>
        <w:right w:val="none" w:sz="0" w:space="0" w:color="auto"/>
      </w:divBdr>
    </w:div>
    <w:div w:id="1273636438">
      <w:bodyDiv w:val="1"/>
      <w:marLeft w:val="0"/>
      <w:marRight w:val="0"/>
      <w:marTop w:val="0"/>
      <w:marBottom w:val="0"/>
      <w:divBdr>
        <w:top w:val="none" w:sz="0" w:space="0" w:color="auto"/>
        <w:left w:val="none" w:sz="0" w:space="0" w:color="auto"/>
        <w:bottom w:val="none" w:sz="0" w:space="0" w:color="auto"/>
        <w:right w:val="none" w:sz="0" w:space="0" w:color="auto"/>
      </w:divBdr>
    </w:div>
    <w:div w:id="1273707192">
      <w:bodyDiv w:val="1"/>
      <w:marLeft w:val="0"/>
      <w:marRight w:val="0"/>
      <w:marTop w:val="0"/>
      <w:marBottom w:val="0"/>
      <w:divBdr>
        <w:top w:val="none" w:sz="0" w:space="0" w:color="auto"/>
        <w:left w:val="none" w:sz="0" w:space="0" w:color="auto"/>
        <w:bottom w:val="none" w:sz="0" w:space="0" w:color="auto"/>
        <w:right w:val="none" w:sz="0" w:space="0" w:color="auto"/>
      </w:divBdr>
    </w:div>
    <w:div w:id="1273785013">
      <w:bodyDiv w:val="1"/>
      <w:marLeft w:val="0"/>
      <w:marRight w:val="0"/>
      <w:marTop w:val="0"/>
      <w:marBottom w:val="0"/>
      <w:divBdr>
        <w:top w:val="none" w:sz="0" w:space="0" w:color="auto"/>
        <w:left w:val="none" w:sz="0" w:space="0" w:color="auto"/>
        <w:bottom w:val="none" w:sz="0" w:space="0" w:color="auto"/>
        <w:right w:val="none" w:sz="0" w:space="0" w:color="auto"/>
      </w:divBdr>
    </w:div>
    <w:div w:id="1273900677">
      <w:bodyDiv w:val="1"/>
      <w:marLeft w:val="0"/>
      <w:marRight w:val="0"/>
      <w:marTop w:val="0"/>
      <w:marBottom w:val="0"/>
      <w:divBdr>
        <w:top w:val="none" w:sz="0" w:space="0" w:color="auto"/>
        <w:left w:val="none" w:sz="0" w:space="0" w:color="auto"/>
        <w:bottom w:val="none" w:sz="0" w:space="0" w:color="auto"/>
        <w:right w:val="none" w:sz="0" w:space="0" w:color="auto"/>
      </w:divBdr>
    </w:div>
    <w:div w:id="1274051411">
      <w:bodyDiv w:val="1"/>
      <w:marLeft w:val="0"/>
      <w:marRight w:val="0"/>
      <w:marTop w:val="0"/>
      <w:marBottom w:val="0"/>
      <w:divBdr>
        <w:top w:val="none" w:sz="0" w:space="0" w:color="auto"/>
        <w:left w:val="none" w:sz="0" w:space="0" w:color="auto"/>
        <w:bottom w:val="none" w:sz="0" w:space="0" w:color="auto"/>
        <w:right w:val="none" w:sz="0" w:space="0" w:color="auto"/>
      </w:divBdr>
    </w:div>
    <w:div w:id="1274090328">
      <w:bodyDiv w:val="1"/>
      <w:marLeft w:val="0"/>
      <w:marRight w:val="0"/>
      <w:marTop w:val="0"/>
      <w:marBottom w:val="0"/>
      <w:divBdr>
        <w:top w:val="none" w:sz="0" w:space="0" w:color="auto"/>
        <w:left w:val="none" w:sz="0" w:space="0" w:color="auto"/>
        <w:bottom w:val="none" w:sz="0" w:space="0" w:color="auto"/>
        <w:right w:val="none" w:sz="0" w:space="0" w:color="auto"/>
      </w:divBdr>
    </w:div>
    <w:div w:id="1274285701">
      <w:bodyDiv w:val="1"/>
      <w:marLeft w:val="0"/>
      <w:marRight w:val="0"/>
      <w:marTop w:val="0"/>
      <w:marBottom w:val="0"/>
      <w:divBdr>
        <w:top w:val="none" w:sz="0" w:space="0" w:color="auto"/>
        <w:left w:val="none" w:sz="0" w:space="0" w:color="auto"/>
        <w:bottom w:val="none" w:sz="0" w:space="0" w:color="auto"/>
        <w:right w:val="none" w:sz="0" w:space="0" w:color="auto"/>
      </w:divBdr>
    </w:div>
    <w:div w:id="1274675257">
      <w:bodyDiv w:val="1"/>
      <w:marLeft w:val="0"/>
      <w:marRight w:val="0"/>
      <w:marTop w:val="0"/>
      <w:marBottom w:val="0"/>
      <w:divBdr>
        <w:top w:val="none" w:sz="0" w:space="0" w:color="auto"/>
        <w:left w:val="none" w:sz="0" w:space="0" w:color="auto"/>
        <w:bottom w:val="none" w:sz="0" w:space="0" w:color="auto"/>
        <w:right w:val="none" w:sz="0" w:space="0" w:color="auto"/>
      </w:divBdr>
    </w:div>
    <w:div w:id="1274751058">
      <w:bodyDiv w:val="1"/>
      <w:marLeft w:val="0"/>
      <w:marRight w:val="0"/>
      <w:marTop w:val="0"/>
      <w:marBottom w:val="0"/>
      <w:divBdr>
        <w:top w:val="none" w:sz="0" w:space="0" w:color="auto"/>
        <w:left w:val="none" w:sz="0" w:space="0" w:color="auto"/>
        <w:bottom w:val="none" w:sz="0" w:space="0" w:color="auto"/>
        <w:right w:val="none" w:sz="0" w:space="0" w:color="auto"/>
      </w:divBdr>
    </w:div>
    <w:div w:id="1274751759">
      <w:bodyDiv w:val="1"/>
      <w:marLeft w:val="0"/>
      <w:marRight w:val="0"/>
      <w:marTop w:val="0"/>
      <w:marBottom w:val="0"/>
      <w:divBdr>
        <w:top w:val="none" w:sz="0" w:space="0" w:color="auto"/>
        <w:left w:val="none" w:sz="0" w:space="0" w:color="auto"/>
        <w:bottom w:val="none" w:sz="0" w:space="0" w:color="auto"/>
        <w:right w:val="none" w:sz="0" w:space="0" w:color="auto"/>
      </w:divBdr>
    </w:div>
    <w:div w:id="1274826119">
      <w:bodyDiv w:val="1"/>
      <w:marLeft w:val="0"/>
      <w:marRight w:val="0"/>
      <w:marTop w:val="0"/>
      <w:marBottom w:val="0"/>
      <w:divBdr>
        <w:top w:val="none" w:sz="0" w:space="0" w:color="auto"/>
        <w:left w:val="none" w:sz="0" w:space="0" w:color="auto"/>
        <w:bottom w:val="none" w:sz="0" w:space="0" w:color="auto"/>
        <w:right w:val="none" w:sz="0" w:space="0" w:color="auto"/>
      </w:divBdr>
    </w:div>
    <w:div w:id="1274827375">
      <w:bodyDiv w:val="1"/>
      <w:marLeft w:val="0"/>
      <w:marRight w:val="0"/>
      <w:marTop w:val="0"/>
      <w:marBottom w:val="0"/>
      <w:divBdr>
        <w:top w:val="none" w:sz="0" w:space="0" w:color="auto"/>
        <w:left w:val="none" w:sz="0" w:space="0" w:color="auto"/>
        <w:bottom w:val="none" w:sz="0" w:space="0" w:color="auto"/>
        <w:right w:val="none" w:sz="0" w:space="0" w:color="auto"/>
      </w:divBdr>
    </w:div>
    <w:div w:id="1274901016">
      <w:bodyDiv w:val="1"/>
      <w:marLeft w:val="0"/>
      <w:marRight w:val="0"/>
      <w:marTop w:val="0"/>
      <w:marBottom w:val="0"/>
      <w:divBdr>
        <w:top w:val="none" w:sz="0" w:space="0" w:color="auto"/>
        <w:left w:val="none" w:sz="0" w:space="0" w:color="auto"/>
        <w:bottom w:val="none" w:sz="0" w:space="0" w:color="auto"/>
        <w:right w:val="none" w:sz="0" w:space="0" w:color="auto"/>
      </w:divBdr>
    </w:div>
    <w:div w:id="1274946330">
      <w:bodyDiv w:val="1"/>
      <w:marLeft w:val="0"/>
      <w:marRight w:val="0"/>
      <w:marTop w:val="0"/>
      <w:marBottom w:val="0"/>
      <w:divBdr>
        <w:top w:val="none" w:sz="0" w:space="0" w:color="auto"/>
        <w:left w:val="none" w:sz="0" w:space="0" w:color="auto"/>
        <w:bottom w:val="none" w:sz="0" w:space="0" w:color="auto"/>
        <w:right w:val="none" w:sz="0" w:space="0" w:color="auto"/>
      </w:divBdr>
    </w:div>
    <w:div w:id="1275020033">
      <w:bodyDiv w:val="1"/>
      <w:marLeft w:val="0"/>
      <w:marRight w:val="0"/>
      <w:marTop w:val="0"/>
      <w:marBottom w:val="0"/>
      <w:divBdr>
        <w:top w:val="none" w:sz="0" w:space="0" w:color="auto"/>
        <w:left w:val="none" w:sz="0" w:space="0" w:color="auto"/>
        <w:bottom w:val="none" w:sz="0" w:space="0" w:color="auto"/>
        <w:right w:val="none" w:sz="0" w:space="0" w:color="auto"/>
      </w:divBdr>
    </w:div>
    <w:div w:id="1275095287">
      <w:bodyDiv w:val="1"/>
      <w:marLeft w:val="0"/>
      <w:marRight w:val="0"/>
      <w:marTop w:val="0"/>
      <w:marBottom w:val="0"/>
      <w:divBdr>
        <w:top w:val="none" w:sz="0" w:space="0" w:color="auto"/>
        <w:left w:val="none" w:sz="0" w:space="0" w:color="auto"/>
        <w:bottom w:val="none" w:sz="0" w:space="0" w:color="auto"/>
        <w:right w:val="none" w:sz="0" w:space="0" w:color="auto"/>
      </w:divBdr>
    </w:div>
    <w:div w:id="1275164206">
      <w:bodyDiv w:val="1"/>
      <w:marLeft w:val="0"/>
      <w:marRight w:val="0"/>
      <w:marTop w:val="0"/>
      <w:marBottom w:val="0"/>
      <w:divBdr>
        <w:top w:val="none" w:sz="0" w:space="0" w:color="auto"/>
        <w:left w:val="none" w:sz="0" w:space="0" w:color="auto"/>
        <w:bottom w:val="none" w:sz="0" w:space="0" w:color="auto"/>
        <w:right w:val="none" w:sz="0" w:space="0" w:color="auto"/>
      </w:divBdr>
    </w:div>
    <w:div w:id="1275359513">
      <w:bodyDiv w:val="1"/>
      <w:marLeft w:val="0"/>
      <w:marRight w:val="0"/>
      <w:marTop w:val="0"/>
      <w:marBottom w:val="0"/>
      <w:divBdr>
        <w:top w:val="none" w:sz="0" w:space="0" w:color="auto"/>
        <w:left w:val="none" w:sz="0" w:space="0" w:color="auto"/>
        <w:bottom w:val="none" w:sz="0" w:space="0" w:color="auto"/>
        <w:right w:val="none" w:sz="0" w:space="0" w:color="auto"/>
      </w:divBdr>
    </w:div>
    <w:div w:id="1275400422">
      <w:bodyDiv w:val="1"/>
      <w:marLeft w:val="0"/>
      <w:marRight w:val="0"/>
      <w:marTop w:val="0"/>
      <w:marBottom w:val="0"/>
      <w:divBdr>
        <w:top w:val="none" w:sz="0" w:space="0" w:color="auto"/>
        <w:left w:val="none" w:sz="0" w:space="0" w:color="auto"/>
        <w:bottom w:val="none" w:sz="0" w:space="0" w:color="auto"/>
        <w:right w:val="none" w:sz="0" w:space="0" w:color="auto"/>
      </w:divBdr>
    </w:div>
    <w:div w:id="1275401221">
      <w:bodyDiv w:val="1"/>
      <w:marLeft w:val="0"/>
      <w:marRight w:val="0"/>
      <w:marTop w:val="0"/>
      <w:marBottom w:val="0"/>
      <w:divBdr>
        <w:top w:val="none" w:sz="0" w:space="0" w:color="auto"/>
        <w:left w:val="none" w:sz="0" w:space="0" w:color="auto"/>
        <w:bottom w:val="none" w:sz="0" w:space="0" w:color="auto"/>
        <w:right w:val="none" w:sz="0" w:space="0" w:color="auto"/>
      </w:divBdr>
    </w:div>
    <w:div w:id="1275480878">
      <w:bodyDiv w:val="1"/>
      <w:marLeft w:val="0"/>
      <w:marRight w:val="0"/>
      <w:marTop w:val="0"/>
      <w:marBottom w:val="0"/>
      <w:divBdr>
        <w:top w:val="none" w:sz="0" w:space="0" w:color="auto"/>
        <w:left w:val="none" w:sz="0" w:space="0" w:color="auto"/>
        <w:bottom w:val="none" w:sz="0" w:space="0" w:color="auto"/>
        <w:right w:val="none" w:sz="0" w:space="0" w:color="auto"/>
      </w:divBdr>
    </w:div>
    <w:div w:id="1275551655">
      <w:bodyDiv w:val="1"/>
      <w:marLeft w:val="0"/>
      <w:marRight w:val="0"/>
      <w:marTop w:val="0"/>
      <w:marBottom w:val="0"/>
      <w:divBdr>
        <w:top w:val="none" w:sz="0" w:space="0" w:color="auto"/>
        <w:left w:val="none" w:sz="0" w:space="0" w:color="auto"/>
        <w:bottom w:val="none" w:sz="0" w:space="0" w:color="auto"/>
        <w:right w:val="none" w:sz="0" w:space="0" w:color="auto"/>
      </w:divBdr>
    </w:div>
    <w:div w:id="1275593329">
      <w:bodyDiv w:val="1"/>
      <w:marLeft w:val="0"/>
      <w:marRight w:val="0"/>
      <w:marTop w:val="0"/>
      <w:marBottom w:val="0"/>
      <w:divBdr>
        <w:top w:val="none" w:sz="0" w:space="0" w:color="auto"/>
        <w:left w:val="none" w:sz="0" w:space="0" w:color="auto"/>
        <w:bottom w:val="none" w:sz="0" w:space="0" w:color="auto"/>
        <w:right w:val="none" w:sz="0" w:space="0" w:color="auto"/>
      </w:divBdr>
    </w:div>
    <w:div w:id="1275745511">
      <w:bodyDiv w:val="1"/>
      <w:marLeft w:val="0"/>
      <w:marRight w:val="0"/>
      <w:marTop w:val="0"/>
      <w:marBottom w:val="0"/>
      <w:divBdr>
        <w:top w:val="none" w:sz="0" w:space="0" w:color="auto"/>
        <w:left w:val="none" w:sz="0" w:space="0" w:color="auto"/>
        <w:bottom w:val="none" w:sz="0" w:space="0" w:color="auto"/>
        <w:right w:val="none" w:sz="0" w:space="0" w:color="auto"/>
      </w:divBdr>
    </w:div>
    <w:div w:id="1275793810">
      <w:bodyDiv w:val="1"/>
      <w:marLeft w:val="0"/>
      <w:marRight w:val="0"/>
      <w:marTop w:val="0"/>
      <w:marBottom w:val="0"/>
      <w:divBdr>
        <w:top w:val="none" w:sz="0" w:space="0" w:color="auto"/>
        <w:left w:val="none" w:sz="0" w:space="0" w:color="auto"/>
        <w:bottom w:val="none" w:sz="0" w:space="0" w:color="auto"/>
        <w:right w:val="none" w:sz="0" w:space="0" w:color="auto"/>
      </w:divBdr>
    </w:div>
    <w:div w:id="1275868861">
      <w:bodyDiv w:val="1"/>
      <w:marLeft w:val="0"/>
      <w:marRight w:val="0"/>
      <w:marTop w:val="0"/>
      <w:marBottom w:val="0"/>
      <w:divBdr>
        <w:top w:val="none" w:sz="0" w:space="0" w:color="auto"/>
        <w:left w:val="none" w:sz="0" w:space="0" w:color="auto"/>
        <w:bottom w:val="none" w:sz="0" w:space="0" w:color="auto"/>
        <w:right w:val="none" w:sz="0" w:space="0" w:color="auto"/>
      </w:divBdr>
    </w:div>
    <w:div w:id="1275943243">
      <w:bodyDiv w:val="1"/>
      <w:marLeft w:val="0"/>
      <w:marRight w:val="0"/>
      <w:marTop w:val="0"/>
      <w:marBottom w:val="0"/>
      <w:divBdr>
        <w:top w:val="none" w:sz="0" w:space="0" w:color="auto"/>
        <w:left w:val="none" w:sz="0" w:space="0" w:color="auto"/>
        <w:bottom w:val="none" w:sz="0" w:space="0" w:color="auto"/>
        <w:right w:val="none" w:sz="0" w:space="0" w:color="auto"/>
      </w:divBdr>
    </w:div>
    <w:div w:id="1276017063">
      <w:bodyDiv w:val="1"/>
      <w:marLeft w:val="0"/>
      <w:marRight w:val="0"/>
      <w:marTop w:val="0"/>
      <w:marBottom w:val="0"/>
      <w:divBdr>
        <w:top w:val="none" w:sz="0" w:space="0" w:color="auto"/>
        <w:left w:val="none" w:sz="0" w:space="0" w:color="auto"/>
        <w:bottom w:val="none" w:sz="0" w:space="0" w:color="auto"/>
        <w:right w:val="none" w:sz="0" w:space="0" w:color="auto"/>
      </w:divBdr>
    </w:div>
    <w:div w:id="1276055163">
      <w:bodyDiv w:val="1"/>
      <w:marLeft w:val="0"/>
      <w:marRight w:val="0"/>
      <w:marTop w:val="0"/>
      <w:marBottom w:val="0"/>
      <w:divBdr>
        <w:top w:val="none" w:sz="0" w:space="0" w:color="auto"/>
        <w:left w:val="none" w:sz="0" w:space="0" w:color="auto"/>
        <w:bottom w:val="none" w:sz="0" w:space="0" w:color="auto"/>
        <w:right w:val="none" w:sz="0" w:space="0" w:color="auto"/>
      </w:divBdr>
    </w:div>
    <w:div w:id="1276057016">
      <w:bodyDiv w:val="1"/>
      <w:marLeft w:val="0"/>
      <w:marRight w:val="0"/>
      <w:marTop w:val="0"/>
      <w:marBottom w:val="0"/>
      <w:divBdr>
        <w:top w:val="none" w:sz="0" w:space="0" w:color="auto"/>
        <w:left w:val="none" w:sz="0" w:space="0" w:color="auto"/>
        <w:bottom w:val="none" w:sz="0" w:space="0" w:color="auto"/>
        <w:right w:val="none" w:sz="0" w:space="0" w:color="auto"/>
      </w:divBdr>
    </w:div>
    <w:div w:id="1276059033">
      <w:bodyDiv w:val="1"/>
      <w:marLeft w:val="0"/>
      <w:marRight w:val="0"/>
      <w:marTop w:val="0"/>
      <w:marBottom w:val="0"/>
      <w:divBdr>
        <w:top w:val="none" w:sz="0" w:space="0" w:color="auto"/>
        <w:left w:val="none" w:sz="0" w:space="0" w:color="auto"/>
        <w:bottom w:val="none" w:sz="0" w:space="0" w:color="auto"/>
        <w:right w:val="none" w:sz="0" w:space="0" w:color="auto"/>
      </w:divBdr>
    </w:div>
    <w:div w:id="1276211282">
      <w:bodyDiv w:val="1"/>
      <w:marLeft w:val="0"/>
      <w:marRight w:val="0"/>
      <w:marTop w:val="0"/>
      <w:marBottom w:val="0"/>
      <w:divBdr>
        <w:top w:val="none" w:sz="0" w:space="0" w:color="auto"/>
        <w:left w:val="none" w:sz="0" w:space="0" w:color="auto"/>
        <w:bottom w:val="none" w:sz="0" w:space="0" w:color="auto"/>
        <w:right w:val="none" w:sz="0" w:space="0" w:color="auto"/>
      </w:divBdr>
    </w:div>
    <w:div w:id="1276212407">
      <w:bodyDiv w:val="1"/>
      <w:marLeft w:val="0"/>
      <w:marRight w:val="0"/>
      <w:marTop w:val="0"/>
      <w:marBottom w:val="0"/>
      <w:divBdr>
        <w:top w:val="none" w:sz="0" w:space="0" w:color="auto"/>
        <w:left w:val="none" w:sz="0" w:space="0" w:color="auto"/>
        <w:bottom w:val="none" w:sz="0" w:space="0" w:color="auto"/>
        <w:right w:val="none" w:sz="0" w:space="0" w:color="auto"/>
      </w:divBdr>
    </w:div>
    <w:div w:id="1276400164">
      <w:bodyDiv w:val="1"/>
      <w:marLeft w:val="0"/>
      <w:marRight w:val="0"/>
      <w:marTop w:val="0"/>
      <w:marBottom w:val="0"/>
      <w:divBdr>
        <w:top w:val="none" w:sz="0" w:space="0" w:color="auto"/>
        <w:left w:val="none" w:sz="0" w:space="0" w:color="auto"/>
        <w:bottom w:val="none" w:sz="0" w:space="0" w:color="auto"/>
        <w:right w:val="none" w:sz="0" w:space="0" w:color="auto"/>
      </w:divBdr>
    </w:div>
    <w:div w:id="1276402391">
      <w:bodyDiv w:val="1"/>
      <w:marLeft w:val="0"/>
      <w:marRight w:val="0"/>
      <w:marTop w:val="0"/>
      <w:marBottom w:val="0"/>
      <w:divBdr>
        <w:top w:val="none" w:sz="0" w:space="0" w:color="auto"/>
        <w:left w:val="none" w:sz="0" w:space="0" w:color="auto"/>
        <w:bottom w:val="none" w:sz="0" w:space="0" w:color="auto"/>
        <w:right w:val="none" w:sz="0" w:space="0" w:color="auto"/>
      </w:divBdr>
    </w:div>
    <w:div w:id="1276642846">
      <w:bodyDiv w:val="1"/>
      <w:marLeft w:val="0"/>
      <w:marRight w:val="0"/>
      <w:marTop w:val="0"/>
      <w:marBottom w:val="0"/>
      <w:divBdr>
        <w:top w:val="none" w:sz="0" w:space="0" w:color="auto"/>
        <w:left w:val="none" w:sz="0" w:space="0" w:color="auto"/>
        <w:bottom w:val="none" w:sz="0" w:space="0" w:color="auto"/>
        <w:right w:val="none" w:sz="0" w:space="0" w:color="auto"/>
      </w:divBdr>
    </w:div>
    <w:div w:id="1276668551">
      <w:bodyDiv w:val="1"/>
      <w:marLeft w:val="0"/>
      <w:marRight w:val="0"/>
      <w:marTop w:val="0"/>
      <w:marBottom w:val="0"/>
      <w:divBdr>
        <w:top w:val="none" w:sz="0" w:space="0" w:color="auto"/>
        <w:left w:val="none" w:sz="0" w:space="0" w:color="auto"/>
        <w:bottom w:val="none" w:sz="0" w:space="0" w:color="auto"/>
        <w:right w:val="none" w:sz="0" w:space="0" w:color="auto"/>
      </w:divBdr>
    </w:div>
    <w:div w:id="1276714419">
      <w:bodyDiv w:val="1"/>
      <w:marLeft w:val="0"/>
      <w:marRight w:val="0"/>
      <w:marTop w:val="0"/>
      <w:marBottom w:val="0"/>
      <w:divBdr>
        <w:top w:val="none" w:sz="0" w:space="0" w:color="auto"/>
        <w:left w:val="none" w:sz="0" w:space="0" w:color="auto"/>
        <w:bottom w:val="none" w:sz="0" w:space="0" w:color="auto"/>
        <w:right w:val="none" w:sz="0" w:space="0" w:color="auto"/>
      </w:divBdr>
    </w:div>
    <w:div w:id="1276981010">
      <w:bodyDiv w:val="1"/>
      <w:marLeft w:val="0"/>
      <w:marRight w:val="0"/>
      <w:marTop w:val="0"/>
      <w:marBottom w:val="0"/>
      <w:divBdr>
        <w:top w:val="none" w:sz="0" w:space="0" w:color="auto"/>
        <w:left w:val="none" w:sz="0" w:space="0" w:color="auto"/>
        <w:bottom w:val="none" w:sz="0" w:space="0" w:color="auto"/>
        <w:right w:val="none" w:sz="0" w:space="0" w:color="auto"/>
      </w:divBdr>
    </w:div>
    <w:div w:id="1277173231">
      <w:bodyDiv w:val="1"/>
      <w:marLeft w:val="0"/>
      <w:marRight w:val="0"/>
      <w:marTop w:val="0"/>
      <w:marBottom w:val="0"/>
      <w:divBdr>
        <w:top w:val="none" w:sz="0" w:space="0" w:color="auto"/>
        <w:left w:val="none" w:sz="0" w:space="0" w:color="auto"/>
        <w:bottom w:val="none" w:sz="0" w:space="0" w:color="auto"/>
        <w:right w:val="none" w:sz="0" w:space="0" w:color="auto"/>
      </w:divBdr>
    </w:div>
    <w:div w:id="1277177712">
      <w:bodyDiv w:val="1"/>
      <w:marLeft w:val="0"/>
      <w:marRight w:val="0"/>
      <w:marTop w:val="0"/>
      <w:marBottom w:val="0"/>
      <w:divBdr>
        <w:top w:val="none" w:sz="0" w:space="0" w:color="auto"/>
        <w:left w:val="none" w:sz="0" w:space="0" w:color="auto"/>
        <w:bottom w:val="none" w:sz="0" w:space="0" w:color="auto"/>
        <w:right w:val="none" w:sz="0" w:space="0" w:color="auto"/>
      </w:divBdr>
    </w:div>
    <w:div w:id="1277180842">
      <w:bodyDiv w:val="1"/>
      <w:marLeft w:val="0"/>
      <w:marRight w:val="0"/>
      <w:marTop w:val="0"/>
      <w:marBottom w:val="0"/>
      <w:divBdr>
        <w:top w:val="none" w:sz="0" w:space="0" w:color="auto"/>
        <w:left w:val="none" w:sz="0" w:space="0" w:color="auto"/>
        <w:bottom w:val="none" w:sz="0" w:space="0" w:color="auto"/>
        <w:right w:val="none" w:sz="0" w:space="0" w:color="auto"/>
      </w:divBdr>
    </w:div>
    <w:div w:id="1277181408">
      <w:bodyDiv w:val="1"/>
      <w:marLeft w:val="0"/>
      <w:marRight w:val="0"/>
      <w:marTop w:val="0"/>
      <w:marBottom w:val="0"/>
      <w:divBdr>
        <w:top w:val="none" w:sz="0" w:space="0" w:color="auto"/>
        <w:left w:val="none" w:sz="0" w:space="0" w:color="auto"/>
        <w:bottom w:val="none" w:sz="0" w:space="0" w:color="auto"/>
        <w:right w:val="none" w:sz="0" w:space="0" w:color="auto"/>
      </w:divBdr>
    </w:div>
    <w:div w:id="1277253711">
      <w:bodyDiv w:val="1"/>
      <w:marLeft w:val="0"/>
      <w:marRight w:val="0"/>
      <w:marTop w:val="0"/>
      <w:marBottom w:val="0"/>
      <w:divBdr>
        <w:top w:val="none" w:sz="0" w:space="0" w:color="auto"/>
        <w:left w:val="none" w:sz="0" w:space="0" w:color="auto"/>
        <w:bottom w:val="none" w:sz="0" w:space="0" w:color="auto"/>
        <w:right w:val="none" w:sz="0" w:space="0" w:color="auto"/>
      </w:divBdr>
    </w:div>
    <w:div w:id="1277324021">
      <w:bodyDiv w:val="1"/>
      <w:marLeft w:val="0"/>
      <w:marRight w:val="0"/>
      <w:marTop w:val="0"/>
      <w:marBottom w:val="0"/>
      <w:divBdr>
        <w:top w:val="none" w:sz="0" w:space="0" w:color="auto"/>
        <w:left w:val="none" w:sz="0" w:space="0" w:color="auto"/>
        <w:bottom w:val="none" w:sz="0" w:space="0" w:color="auto"/>
        <w:right w:val="none" w:sz="0" w:space="0" w:color="auto"/>
      </w:divBdr>
    </w:div>
    <w:div w:id="1277327736">
      <w:bodyDiv w:val="1"/>
      <w:marLeft w:val="0"/>
      <w:marRight w:val="0"/>
      <w:marTop w:val="0"/>
      <w:marBottom w:val="0"/>
      <w:divBdr>
        <w:top w:val="none" w:sz="0" w:space="0" w:color="auto"/>
        <w:left w:val="none" w:sz="0" w:space="0" w:color="auto"/>
        <w:bottom w:val="none" w:sz="0" w:space="0" w:color="auto"/>
        <w:right w:val="none" w:sz="0" w:space="0" w:color="auto"/>
      </w:divBdr>
    </w:div>
    <w:div w:id="1277367625">
      <w:bodyDiv w:val="1"/>
      <w:marLeft w:val="0"/>
      <w:marRight w:val="0"/>
      <w:marTop w:val="0"/>
      <w:marBottom w:val="0"/>
      <w:divBdr>
        <w:top w:val="none" w:sz="0" w:space="0" w:color="auto"/>
        <w:left w:val="none" w:sz="0" w:space="0" w:color="auto"/>
        <w:bottom w:val="none" w:sz="0" w:space="0" w:color="auto"/>
        <w:right w:val="none" w:sz="0" w:space="0" w:color="auto"/>
      </w:divBdr>
    </w:div>
    <w:div w:id="1277518153">
      <w:bodyDiv w:val="1"/>
      <w:marLeft w:val="0"/>
      <w:marRight w:val="0"/>
      <w:marTop w:val="0"/>
      <w:marBottom w:val="0"/>
      <w:divBdr>
        <w:top w:val="none" w:sz="0" w:space="0" w:color="auto"/>
        <w:left w:val="none" w:sz="0" w:space="0" w:color="auto"/>
        <w:bottom w:val="none" w:sz="0" w:space="0" w:color="auto"/>
        <w:right w:val="none" w:sz="0" w:space="0" w:color="auto"/>
      </w:divBdr>
    </w:div>
    <w:div w:id="1277566674">
      <w:bodyDiv w:val="1"/>
      <w:marLeft w:val="0"/>
      <w:marRight w:val="0"/>
      <w:marTop w:val="0"/>
      <w:marBottom w:val="0"/>
      <w:divBdr>
        <w:top w:val="none" w:sz="0" w:space="0" w:color="auto"/>
        <w:left w:val="none" w:sz="0" w:space="0" w:color="auto"/>
        <w:bottom w:val="none" w:sz="0" w:space="0" w:color="auto"/>
        <w:right w:val="none" w:sz="0" w:space="0" w:color="auto"/>
      </w:divBdr>
    </w:div>
    <w:div w:id="1277714453">
      <w:bodyDiv w:val="1"/>
      <w:marLeft w:val="0"/>
      <w:marRight w:val="0"/>
      <w:marTop w:val="0"/>
      <w:marBottom w:val="0"/>
      <w:divBdr>
        <w:top w:val="none" w:sz="0" w:space="0" w:color="auto"/>
        <w:left w:val="none" w:sz="0" w:space="0" w:color="auto"/>
        <w:bottom w:val="none" w:sz="0" w:space="0" w:color="auto"/>
        <w:right w:val="none" w:sz="0" w:space="0" w:color="auto"/>
      </w:divBdr>
    </w:div>
    <w:div w:id="1277833699">
      <w:bodyDiv w:val="1"/>
      <w:marLeft w:val="0"/>
      <w:marRight w:val="0"/>
      <w:marTop w:val="0"/>
      <w:marBottom w:val="0"/>
      <w:divBdr>
        <w:top w:val="none" w:sz="0" w:space="0" w:color="auto"/>
        <w:left w:val="none" w:sz="0" w:space="0" w:color="auto"/>
        <w:bottom w:val="none" w:sz="0" w:space="0" w:color="auto"/>
        <w:right w:val="none" w:sz="0" w:space="0" w:color="auto"/>
      </w:divBdr>
    </w:div>
    <w:div w:id="1277902842">
      <w:bodyDiv w:val="1"/>
      <w:marLeft w:val="0"/>
      <w:marRight w:val="0"/>
      <w:marTop w:val="0"/>
      <w:marBottom w:val="0"/>
      <w:divBdr>
        <w:top w:val="none" w:sz="0" w:space="0" w:color="auto"/>
        <w:left w:val="none" w:sz="0" w:space="0" w:color="auto"/>
        <w:bottom w:val="none" w:sz="0" w:space="0" w:color="auto"/>
        <w:right w:val="none" w:sz="0" w:space="0" w:color="auto"/>
      </w:divBdr>
    </w:div>
    <w:div w:id="1277902891">
      <w:bodyDiv w:val="1"/>
      <w:marLeft w:val="0"/>
      <w:marRight w:val="0"/>
      <w:marTop w:val="0"/>
      <w:marBottom w:val="0"/>
      <w:divBdr>
        <w:top w:val="none" w:sz="0" w:space="0" w:color="auto"/>
        <w:left w:val="none" w:sz="0" w:space="0" w:color="auto"/>
        <w:bottom w:val="none" w:sz="0" w:space="0" w:color="auto"/>
        <w:right w:val="none" w:sz="0" w:space="0" w:color="auto"/>
      </w:divBdr>
    </w:div>
    <w:div w:id="1277910743">
      <w:bodyDiv w:val="1"/>
      <w:marLeft w:val="0"/>
      <w:marRight w:val="0"/>
      <w:marTop w:val="0"/>
      <w:marBottom w:val="0"/>
      <w:divBdr>
        <w:top w:val="none" w:sz="0" w:space="0" w:color="auto"/>
        <w:left w:val="none" w:sz="0" w:space="0" w:color="auto"/>
        <w:bottom w:val="none" w:sz="0" w:space="0" w:color="auto"/>
        <w:right w:val="none" w:sz="0" w:space="0" w:color="auto"/>
      </w:divBdr>
    </w:div>
    <w:div w:id="1277952919">
      <w:bodyDiv w:val="1"/>
      <w:marLeft w:val="0"/>
      <w:marRight w:val="0"/>
      <w:marTop w:val="0"/>
      <w:marBottom w:val="0"/>
      <w:divBdr>
        <w:top w:val="none" w:sz="0" w:space="0" w:color="auto"/>
        <w:left w:val="none" w:sz="0" w:space="0" w:color="auto"/>
        <w:bottom w:val="none" w:sz="0" w:space="0" w:color="auto"/>
        <w:right w:val="none" w:sz="0" w:space="0" w:color="auto"/>
      </w:divBdr>
    </w:div>
    <w:div w:id="1278096347">
      <w:bodyDiv w:val="1"/>
      <w:marLeft w:val="0"/>
      <w:marRight w:val="0"/>
      <w:marTop w:val="0"/>
      <w:marBottom w:val="0"/>
      <w:divBdr>
        <w:top w:val="none" w:sz="0" w:space="0" w:color="auto"/>
        <w:left w:val="none" w:sz="0" w:space="0" w:color="auto"/>
        <w:bottom w:val="none" w:sz="0" w:space="0" w:color="auto"/>
        <w:right w:val="none" w:sz="0" w:space="0" w:color="auto"/>
      </w:divBdr>
    </w:div>
    <w:div w:id="1278101256">
      <w:bodyDiv w:val="1"/>
      <w:marLeft w:val="0"/>
      <w:marRight w:val="0"/>
      <w:marTop w:val="0"/>
      <w:marBottom w:val="0"/>
      <w:divBdr>
        <w:top w:val="none" w:sz="0" w:space="0" w:color="auto"/>
        <w:left w:val="none" w:sz="0" w:space="0" w:color="auto"/>
        <w:bottom w:val="none" w:sz="0" w:space="0" w:color="auto"/>
        <w:right w:val="none" w:sz="0" w:space="0" w:color="auto"/>
      </w:divBdr>
    </w:div>
    <w:div w:id="1278179185">
      <w:bodyDiv w:val="1"/>
      <w:marLeft w:val="0"/>
      <w:marRight w:val="0"/>
      <w:marTop w:val="0"/>
      <w:marBottom w:val="0"/>
      <w:divBdr>
        <w:top w:val="none" w:sz="0" w:space="0" w:color="auto"/>
        <w:left w:val="none" w:sz="0" w:space="0" w:color="auto"/>
        <w:bottom w:val="none" w:sz="0" w:space="0" w:color="auto"/>
        <w:right w:val="none" w:sz="0" w:space="0" w:color="auto"/>
      </w:divBdr>
    </w:div>
    <w:div w:id="1278291320">
      <w:bodyDiv w:val="1"/>
      <w:marLeft w:val="0"/>
      <w:marRight w:val="0"/>
      <w:marTop w:val="0"/>
      <w:marBottom w:val="0"/>
      <w:divBdr>
        <w:top w:val="none" w:sz="0" w:space="0" w:color="auto"/>
        <w:left w:val="none" w:sz="0" w:space="0" w:color="auto"/>
        <w:bottom w:val="none" w:sz="0" w:space="0" w:color="auto"/>
        <w:right w:val="none" w:sz="0" w:space="0" w:color="auto"/>
      </w:divBdr>
    </w:div>
    <w:div w:id="1278414921">
      <w:bodyDiv w:val="1"/>
      <w:marLeft w:val="0"/>
      <w:marRight w:val="0"/>
      <w:marTop w:val="0"/>
      <w:marBottom w:val="0"/>
      <w:divBdr>
        <w:top w:val="none" w:sz="0" w:space="0" w:color="auto"/>
        <w:left w:val="none" w:sz="0" w:space="0" w:color="auto"/>
        <w:bottom w:val="none" w:sz="0" w:space="0" w:color="auto"/>
        <w:right w:val="none" w:sz="0" w:space="0" w:color="auto"/>
      </w:divBdr>
    </w:div>
    <w:div w:id="1278609759">
      <w:bodyDiv w:val="1"/>
      <w:marLeft w:val="0"/>
      <w:marRight w:val="0"/>
      <w:marTop w:val="0"/>
      <w:marBottom w:val="0"/>
      <w:divBdr>
        <w:top w:val="none" w:sz="0" w:space="0" w:color="auto"/>
        <w:left w:val="none" w:sz="0" w:space="0" w:color="auto"/>
        <w:bottom w:val="none" w:sz="0" w:space="0" w:color="auto"/>
        <w:right w:val="none" w:sz="0" w:space="0" w:color="auto"/>
      </w:divBdr>
    </w:div>
    <w:div w:id="1278834979">
      <w:bodyDiv w:val="1"/>
      <w:marLeft w:val="0"/>
      <w:marRight w:val="0"/>
      <w:marTop w:val="0"/>
      <w:marBottom w:val="0"/>
      <w:divBdr>
        <w:top w:val="none" w:sz="0" w:space="0" w:color="auto"/>
        <w:left w:val="none" w:sz="0" w:space="0" w:color="auto"/>
        <w:bottom w:val="none" w:sz="0" w:space="0" w:color="auto"/>
        <w:right w:val="none" w:sz="0" w:space="0" w:color="auto"/>
      </w:divBdr>
    </w:div>
    <w:div w:id="1278949174">
      <w:bodyDiv w:val="1"/>
      <w:marLeft w:val="0"/>
      <w:marRight w:val="0"/>
      <w:marTop w:val="0"/>
      <w:marBottom w:val="0"/>
      <w:divBdr>
        <w:top w:val="none" w:sz="0" w:space="0" w:color="auto"/>
        <w:left w:val="none" w:sz="0" w:space="0" w:color="auto"/>
        <w:bottom w:val="none" w:sz="0" w:space="0" w:color="auto"/>
        <w:right w:val="none" w:sz="0" w:space="0" w:color="auto"/>
      </w:divBdr>
    </w:div>
    <w:div w:id="1279026487">
      <w:bodyDiv w:val="1"/>
      <w:marLeft w:val="0"/>
      <w:marRight w:val="0"/>
      <w:marTop w:val="0"/>
      <w:marBottom w:val="0"/>
      <w:divBdr>
        <w:top w:val="none" w:sz="0" w:space="0" w:color="auto"/>
        <w:left w:val="none" w:sz="0" w:space="0" w:color="auto"/>
        <w:bottom w:val="none" w:sz="0" w:space="0" w:color="auto"/>
        <w:right w:val="none" w:sz="0" w:space="0" w:color="auto"/>
      </w:divBdr>
    </w:div>
    <w:div w:id="1279097464">
      <w:bodyDiv w:val="1"/>
      <w:marLeft w:val="0"/>
      <w:marRight w:val="0"/>
      <w:marTop w:val="0"/>
      <w:marBottom w:val="0"/>
      <w:divBdr>
        <w:top w:val="none" w:sz="0" w:space="0" w:color="auto"/>
        <w:left w:val="none" w:sz="0" w:space="0" w:color="auto"/>
        <w:bottom w:val="none" w:sz="0" w:space="0" w:color="auto"/>
        <w:right w:val="none" w:sz="0" w:space="0" w:color="auto"/>
      </w:divBdr>
    </w:div>
    <w:div w:id="1279139127">
      <w:bodyDiv w:val="1"/>
      <w:marLeft w:val="0"/>
      <w:marRight w:val="0"/>
      <w:marTop w:val="0"/>
      <w:marBottom w:val="0"/>
      <w:divBdr>
        <w:top w:val="none" w:sz="0" w:space="0" w:color="auto"/>
        <w:left w:val="none" w:sz="0" w:space="0" w:color="auto"/>
        <w:bottom w:val="none" w:sz="0" w:space="0" w:color="auto"/>
        <w:right w:val="none" w:sz="0" w:space="0" w:color="auto"/>
      </w:divBdr>
    </w:div>
    <w:div w:id="1279146641">
      <w:bodyDiv w:val="1"/>
      <w:marLeft w:val="0"/>
      <w:marRight w:val="0"/>
      <w:marTop w:val="0"/>
      <w:marBottom w:val="0"/>
      <w:divBdr>
        <w:top w:val="none" w:sz="0" w:space="0" w:color="auto"/>
        <w:left w:val="none" w:sz="0" w:space="0" w:color="auto"/>
        <w:bottom w:val="none" w:sz="0" w:space="0" w:color="auto"/>
        <w:right w:val="none" w:sz="0" w:space="0" w:color="auto"/>
      </w:divBdr>
    </w:div>
    <w:div w:id="1279146875">
      <w:bodyDiv w:val="1"/>
      <w:marLeft w:val="0"/>
      <w:marRight w:val="0"/>
      <w:marTop w:val="0"/>
      <w:marBottom w:val="0"/>
      <w:divBdr>
        <w:top w:val="none" w:sz="0" w:space="0" w:color="auto"/>
        <w:left w:val="none" w:sz="0" w:space="0" w:color="auto"/>
        <w:bottom w:val="none" w:sz="0" w:space="0" w:color="auto"/>
        <w:right w:val="none" w:sz="0" w:space="0" w:color="auto"/>
      </w:divBdr>
    </w:div>
    <w:div w:id="1279213506">
      <w:bodyDiv w:val="1"/>
      <w:marLeft w:val="0"/>
      <w:marRight w:val="0"/>
      <w:marTop w:val="0"/>
      <w:marBottom w:val="0"/>
      <w:divBdr>
        <w:top w:val="none" w:sz="0" w:space="0" w:color="auto"/>
        <w:left w:val="none" w:sz="0" w:space="0" w:color="auto"/>
        <w:bottom w:val="none" w:sz="0" w:space="0" w:color="auto"/>
        <w:right w:val="none" w:sz="0" w:space="0" w:color="auto"/>
      </w:divBdr>
    </w:div>
    <w:div w:id="1279220617">
      <w:bodyDiv w:val="1"/>
      <w:marLeft w:val="0"/>
      <w:marRight w:val="0"/>
      <w:marTop w:val="0"/>
      <w:marBottom w:val="0"/>
      <w:divBdr>
        <w:top w:val="none" w:sz="0" w:space="0" w:color="auto"/>
        <w:left w:val="none" w:sz="0" w:space="0" w:color="auto"/>
        <w:bottom w:val="none" w:sz="0" w:space="0" w:color="auto"/>
        <w:right w:val="none" w:sz="0" w:space="0" w:color="auto"/>
      </w:divBdr>
    </w:div>
    <w:div w:id="1279526002">
      <w:bodyDiv w:val="1"/>
      <w:marLeft w:val="0"/>
      <w:marRight w:val="0"/>
      <w:marTop w:val="0"/>
      <w:marBottom w:val="0"/>
      <w:divBdr>
        <w:top w:val="none" w:sz="0" w:space="0" w:color="auto"/>
        <w:left w:val="none" w:sz="0" w:space="0" w:color="auto"/>
        <w:bottom w:val="none" w:sz="0" w:space="0" w:color="auto"/>
        <w:right w:val="none" w:sz="0" w:space="0" w:color="auto"/>
      </w:divBdr>
    </w:div>
    <w:div w:id="1279608620">
      <w:bodyDiv w:val="1"/>
      <w:marLeft w:val="0"/>
      <w:marRight w:val="0"/>
      <w:marTop w:val="0"/>
      <w:marBottom w:val="0"/>
      <w:divBdr>
        <w:top w:val="none" w:sz="0" w:space="0" w:color="auto"/>
        <w:left w:val="none" w:sz="0" w:space="0" w:color="auto"/>
        <w:bottom w:val="none" w:sz="0" w:space="0" w:color="auto"/>
        <w:right w:val="none" w:sz="0" w:space="0" w:color="auto"/>
      </w:divBdr>
    </w:div>
    <w:div w:id="1279801651">
      <w:bodyDiv w:val="1"/>
      <w:marLeft w:val="0"/>
      <w:marRight w:val="0"/>
      <w:marTop w:val="0"/>
      <w:marBottom w:val="0"/>
      <w:divBdr>
        <w:top w:val="none" w:sz="0" w:space="0" w:color="auto"/>
        <w:left w:val="none" w:sz="0" w:space="0" w:color="auto"/>
        <w:bottom w:val="none" w:sz="0" w:space="0" w:color="auto"/>
        <w:right w:val="none" w:sz="0" w:space="0" w:color="auto"/>
      </w:divBdr>
    </w:div>
    <w:div w:id="1279876084">
      <w:bodyDiv w:val="1"/>
      <w:marLeft w:val="0"/>
      <w:marRight w:val="0"/>
      <w:marTop w:val="0"/>
      <w:marBottom w:val="0"/>
      <w:divBdr>
        <w:top w:val="none" w:sz="0" w:space="0" w:color="auto"/>
        <w:left w:val="none" w:sz="0" w:space="0" w:color="auto"/>
        <w:bottom w:val="none" w:sz="0" w:space="0" w:color="auto"/>
        <w:right w:val="none" w:sz="0" w:space="0" w:color="auto"/>
      </w:divBdr>
    </w:div>
    <w:div w:id="1279877659">
      <w:bodyDiv w:val="1"/>
      <w:marLeft w:val="0"/>
      <w:marRight w:val="0"/>
      <w:marTop w:val="0"/>
      <w:marBottom w:val="0"/>
      <w:divBdr>
        <w:top w:val="none" w:sz="0" w:space="0" w:color="auto"/>
        <w:left w:val="none" w:sz="0" w:space="0" w:color="auto"/>
        <w:bottom w:val="none" w:sz="0" w:space="0" w:color="auto"/>
        <w:right w:val="none" w:sz="0" w:space="0" w:color="auto"/>
      </w:divBdr>
    </w:div>
    <w:div w:id="1280139170">
      <w:bodyDiv w:val="1"/>
      <w:marLeft w:val="0"/>
      <w:marRight w:val="0"/>
      <w:marTop w:val="0"/>
      <w:marBottom w:val="0"/>
      <w:divBdr>
        <w:top w:val="none" w:sz="0" w:space="0" w:color="auto"/>
        <w:left w:val="none" w:sz="0" w:space="0" w:color="auto"/>
        <w:bottom w:val="none" w:sz="0" w:space="0" w:color="auto"/>
        <w:right w:val="none" w:sz="0" w:space="0" w:color="auto"/>
      </w:divBdr>
    </w:div>
    <w:div w:id="1280145717">
      <w:bodyDiv w:val="1"/>
      <w:marLeft w:val="0"/>
      <w:marRight w:val="0"/>
      <w:marTop w:val="0"/>
      <w:marBottom w:val="0"/>
      <w:divBdr>
        <w:top w:val="none" w:sz="0" w:space="0" w:color="auto"/>
        <w:left w:val="none" w:sz="0" w:space="0" w:color="auto"/>
        <w:bottom w:val="none" w:sz="0" w:space="0" w:color="auto"/>
        <w:right w:val="none" w:sz="0" w:space="0" w:color="auto"/>
      </w:divBdr>
    </w:div>
    <w:div w:id="1280181878">
      <w:bodyDiv w:val="1"/>
      <w:marLeft w:val="0"/>
      <w:marRight w:val="0"/>
      <w:marTop w:val="0"/>
      <w:marBottom w:val="0"/>
      <w:divBdr>
        <w:top w:val="none" w:sz="0" w:space="0" w:color="auto"/>
        <w:left w:val="none" w:sz="0" w:space="0" w:color="auto"/>
        <w:bottom w:val="none" w:sz="0" w:space="0" w:color="auto"/>
        <w:right w:val="none" w:sz="0" w:space="0" w:color="auto"/>
      </w:divBdr>
    </w:div>
    <w:div w:id="1280182064">
      <w:bodyDiv w:val="1"/>
      <w:marLeft w:val="0"/>
      <w:marRight w:val="0"/>
      <w:marTop w:val="0"/>
      <w:marBottom w:val="0"/>
      <w:divBdr>
        <w:top w:val="none" w:sz="0" w:space="0" w:color="auto"/>
        <w:left w:val="none" w:sz="0" w:space="0" w:color="auto"/>
        <w:bottom w:val="none" w:sz="0" w:space="0" w:color="auto"/>
        <w:right w:val="none" w:sz="0" w:space="0" w:color="auto"/>
      </w:divBdr>
    </w:div>
    <w:div w:id="1280182180">
      <w:bodyDiv w:val="1"/>
      <w:marLeft w:val="0"/>
      <w:marRight w:val="0"/>
      <w:marTop w:val="0"/>
      <w:marBottom w:val="0"/>
      <w:divBdr>
        <w:top w:val="none" w:sz="0" w:space="0" w:color="auto"/>
        <w:left w:val="none" w:sz="0" w:space="0" w:color="auto"/>
        <w:bottom w:val="none" w:sz="0" w:space="0" w:color="auto"/>
        <w:right w:val="none" w:sz="0" w:space="0" w:color="auto"/>
      </w:divBdr>
    </w:div>
    <w:div w:id="1280331832">
      <w:bodyDiv w:val="1"/>
      <w:marLeft w:val="0"/>
      <w:marRight w:val="0"/>
      <w:marTop w:val="0"/>
      <w:marBottom w:val="0"/>
      <w:divBdr>
        <w:top w:val="none" w:sz="0" w:space="0" w:color="auto"/>
        <w:left w:val="none" w:sz="0" w:space="0" w:color="auto"/>
        <w:bottom w:val="none" w:sz="0" w:space="0" w:color="auto"/>
        <w:right w:val="none" w:sz="0" w:space="0" w:color="auto"/>
      </w:divBdr>
    </w:div>
    <w:div w:id="1280336401">
      <w:bodyDiv w:val="1"/>
      <w:marLeft w:val="0"/>
      <w:marRight w:val="0"/>
      <w:marTop w:val="0"/>
      <w:marBottom w:val="0"/>
      <w:divBdr>
        <w:top w:val="none" w:sz="0" w:space="0" w:color="auto"/>
        <w:left w:val="none" w:sz="0" w:space="0" w:color="auto"/>
        <w:bottom w:val="none" w:sz="0" w:space="0" w:color="auto"/>
        <w:right w:val="none" w:sz="0" w:space="0" w:color="auto"/>
      </w:divBdr>
    </w:div>
    <w:div w:id="1280406119">
      <w:bodyDiv w:val="1"/>
      <w:marLeft w:val="0"/>
      <w:marRight w:val="0"/>
      <w:marTop w:val="0"/>
      <w:marBottom w:val="0"/>
      <w:divBdr>
        <w:top w:val="none" w:sz="0" w:space="0" w:color="auto"/>
        <w:left w:val="none" w:sz="0" w:space="0" w:color="auto"/>
        <w:bottom w:val="none" w:sz="0" w:space="0" w:color="auto"/>
        <w:right w:val="none" w:sz="0" w:space="0" w:color="auto"/>
      </w:divBdr>
    </w:div>
    <w:div w:id="1280407227">
      <w:bodyDiv w:val="1"/>
      <w:marLeft w:val="0"/>
      <w:marRight w:val="0"/>
      <w:marTop w:val="0"/>
      <w:marBottom w:val="0"/>
      <w:divBdr>
        <w:top w:val="none" w:sz="0" w:space="0" w:color="auto"/>
        <w:left w:val="none" w:sz="0" w:space="0" w:color="auto"/>
        <w:bottom w:val="none" w:sz="0" w:space="0" w:color="auto"/>
        <w:right w:val="none" w:sz="0" w:space="0" w:color="auto"/>
      </w:divBdr>
    </w:div>
    <w:div w:id="1280457152">
      <w:bodyDiv w:val="1"/>
      <w:marLeft w:val="0"/>
      <w:marRight w:val="0"/>
      <w:marTop w:val="0"/>
      <w:marBottom w:val="0"/>
      <w:divBdr>
        <w:top w:val="none" w:sz="0" w:space="0" w:color="auto"/>
        <w:left w:val="none" w:sz="0" w:space="0" w:color="auto"/>
        <w:bottom w:val="none" w:sz="0" w:space="0" w:color="auto"/>
        <w:right w:val="none" w:sz="0" w:space="0" w:color="auto"/>
      </w:divBdr>
    </w:div>
    <w:div w:id="1280525304">
      <w:bodyDiv w:val="1"/>
      <w:marLeft w:val="0"/>
      <w:marRight w:val="0"/>
      <w:marTop w:val="0"/>
      <w:marBottom w:val="0"/>
      <w:divBdr>
        <w:top w:val="none" w:sz="0" w:space="0" w:color="auto"/>
        <w:left w:val="none" w:sz="0" w:space="0" w:color="auto"/>
        <w:bottom w:val="none" w:sz="0" w:space="0" w:color="auto"/>
        <w:right w:val="none" w:sz="0" w:space="0" w:color="auto"/>
      </w:divBdr>
    </w:div>
    <w:div w:id="1280574285">
      <w:bodyDiv w:val="1"/>
      <w:marLeft w:val="0"/>
      <w:marRight w:val="0"/>
      <w:marTop w:val="0"/>
      <w:marBottom w:val="0"/>
      <w:divBdr>
        <w:top w:val="none" w:sz="0" w:space="0" w:color="auto"/>
        <w:left w:val="none" w:sz="0" w:space="0" w:color="auto"/>
        <w:bottom w:val="none" w:sz="0" w:space="0" w:color="auto"/>
        <w:right w:val="none" w:sz="0" w:space="0" w:color="auto"/>
      </w:divBdr>
    </w:div>
    <w:div w:id="1280642725">
      <w:bodyDiv w:val="1"/>
      <w:marLeft w:val="0"/>
      <w:marRight w:val="0"/>
      <w:marTop w:val="0"/>
      <w:marBottom w:val="0"/>
      <w:divBdr>
        <w:top w:val="none" w:sz="0" w:space="0" w:color="auto"/>
        <w:left w:val="none" w:sz="0" w:space="0" w:color="auto"/>
        <w:bottom w:val="none" w:sz="0" w:space="0" w:color="auto"/>
        <w:right w:val="none" w:sz="0" w:space="0" w:color="auto"/>
      </w:divBdr>
    </w:div>
    <w:div w:id="1280648049">
      <w:bodyDiv w:val="1"/>
      <w:marLeft w:val="0"/>
      <w:marRight w:val="0"/>
      <w:marTop w:val="0"/>
      <w:marBottom w:val="0"/>
      <w:divBdr>
        <w:top w:val="none" w:sz="0" w:space="0" w:color="auto"/>
        <w:left w:val="none" w:sz="0" w:space="0" w:color="auto"/>
        <w:bottom w:val="none" w:sz="0" w:space="0" w:color="auto"/>
        <w:right w:val="none" w:sz="0" w:space="0" w:color="auto"/>
      </w:divBdr>
    </w:div>
    <w:div w:id="1280718842">
      <w:bodyDiv w:val="1"/>
      <w:marLeft w:val="0"/>
      <w:marRight w:val="0"/>
      <w:marTop w:val="0"/>
      <w:marBottom w:val="0"/>
      <w:divBdr>
        <w:top w:val="none" w:sz="0" w:space="0" w:color="auto"/>
        <w:left w:val="none" w:sz="0" w:space="0" w:color="auto"/>
        <w:bottom w:val="none" w:sz="0" w:space="0" w:color="auto"/>
        <w:right w:val="none" w:sz="0" w:space="0" w:color="auto"/>
      </w:divBdr>
    </w:div>
    <w:div w:id="1281033714">
      <w:bodyDiv w:val="1"/>
      <w:marLeft w:val="0"/>
      <w:marRight w:val="0"/>
      <w:marTop w:val="0"/>
      <w:marBottom w:val="0"/>
      <w:divBdr>
        <w:top w:val="none" w:sz="0" w:space="0" w:color="auto"/>
        <w:left w:val="none" w:sz="0" w:space="0" w:color="auto"/>
        <w:bottom w:val="none" w:sz="0" w:space="0" w:color="auto"/>
        <w:right w:val="none" w:sz="0" w:space="0" w:color="auto"/>
      </w:divBdr>
    </w:div>
    <w:div w:id="1281037072">
      <w:bodyDiv w:val="1"/>
      <w:marLeft w:val="0"/>
      <w:marRight w:val="0"/>
      <w:marTop w:val="0"/>
      <w:marBottom w:val="0"/>
      <w:divBdr>
        <w:top w:val="none" w:sz="0" w:space="0" w:color="auto"/>
        <w:left w:val="none" w:sz="0" w:space="0" w:color="auto"/>
        <w:bottom w:val="none" w:sz="0" w:space="0" w:color="auto"/>
        <w:right w:val="none" w:sz="0" w:space="0" w:color="auto"/>
      </w:divBdr>
    </w:div>
    <w:div w:id="1281229079">
      <w:bodyDiv w:val="1"/>
      <w:marLeft w:val="0"/>
      <w:marRight w:val="0"/>
      <w:marTop w:val="0"/>
      <w:marBottom w:val="0"/>
      <w:divBdr>
        <w:top w:val="none" w:sz="0" w:space="0" w:color="auto"/>
        <w:left w:val="none" w:sz="0" w:space="0" w:color="auto"/>
        <w:bottom w:val="none" w:sz="0" w:space="0" w:color="auto"/>
        <w:right w:val="none" w:sz="0" w:space="0" w:color="auto"/>
      </w:divBdr>
    </w:div>
    <w:div w:id="1281298454">
      <w:bodyDiv w:val="1"/>
      <w:marLeft w:val="0"/>
      <w:marRight w:val="0"/>
      <w:marTop w:val="0"/>
      <w:marBottom w:val="0"/>
      <w:divBdr>
        <w:top w:val="none" w:sz="0" w:space="0" w:color="auto"/>
        <w:left w:val="none" w:sz="0" w:space="0" w:color="auto"/>
        <w:bottom w:val="none" w:sz="0" w:space="0" w:color="auto"/>
        <w:right w:val="none" w:sz="0" w:space="0" w:color="auto"/>
      </w:divBdr>
    </w:div>
    <w:div w:id="1281300859">
      <w:bodyDiv w:val="1"/>
      <w:marLeft w:val="0"/>
      <w:marRight w:val="0"/>
      <w:marTop w:val="0"/>
      <w:marBottom w:val="0"/>
      <w:divBdr>
        <w:top w:val="none" w:sz="0" w:space="0" w:color="auto"/>
        <w:left w:val="none" w:sz="0" w:space="0" w:color="auto"/>
        <w:bottom w:val="none" w:sz="0" w:space="0" w:color="auto"/>
        <w:right w:val="none" w:sz="0" w:space="0" w:color="auto"/>
      </w:divBdr>
    </w:div>
    <w:div w:id="1281374425">
      <w:bodyDiv w:val="1"/>
      <w:marLeft w:val="0"/>
      <w:marRight w:val="0"/>
      <w:marTop w:val="0"/>
      <w:marBottom w:val="0"/>
      <w:divBdr>
        <w:top w:val="none" w:sz="0" w:space="0" w:color="auto"/>
        <w:left w:val="none" w:sz="0" w:space="0" w:color="auto"/>
        <w:bottom w:val="none" w:sz="0" w:space="0" w:color="auto"/>
        <w:right w:val="none" w:sz="0" w:space="0" w:color="auto"/>
      </w:divBdr>
    </w:div>
    <w:div w:id="1281452908">
      <w:bodyDiv w:val="1"/>
      <w:marLeft w:val="0"/>
      <w:marRight w:val="0"/>
      <w:marTop w:val="0"/>
      <w:marBottom w:val="0"/>
      <w:divBdr>
        <w:top w:val="none" w:sz="0" w:space="0" w:color="auto"/>
        <w:left w:val="none" w:sz="0" w:space="0" w:color="auto"/>
        <w:bottom w:val="none" w:sz="0" w:space="0" w:color="auto"/>
        <w:right w:val="none" w:sz="0" w:space="0" w:color="auto"/>
      </w:divBdr>
    </w:div>
    <w:div w:id="1281454404">
      <w:bodyDiv w:val="1"/>
      <w:marLeft w:val="0"/>
      <w:marRight w:val="0"/>
      <w:marTop w:val="0"/>
      <w:marBottom w:val="0"/>
      <w:divBdr>
        <w:top w:val="none" w:sz="0" w:space="0" w:color="auto"/>
        <w:left w:val="none" w:sz="0" w:space="0" w:color="auto"/>
        <w:bottom w:val="none" w:sz="0" w:space="0" w:color="auto"/>
        <w:right w:val="none" w:sz="0" w:space="0" w:color="auto"/>
      </w:divBdr>
    </w:div>
    <w:div w:id="1281492327">
      <w:bodyDiv w:val="1"/>
      <w:marLeft w:val="0"/>
      <w:marRight w:val="0"/>
      <w:marTop w:val="0"/>
      <w:marBottom w:val="0"/>
      <w:divBdr>
        <w:top w:val="none" w:sz="0" w:space="0" w:color="auto"/>
        <w:left w:val="none" w:sz="0" w:space="0" w:color="auto"/>
        <w:bottom w:val="none" w:sz="0" w:space="0" w:color="auto"/>
        <w:right w:val="none" w:sz="0" w:space="0" w:color="auto"/>
      </w:divBdr>
    </w:div>
    <w:div w:id="1281650275">
      <w:bodyDiv w:val="1"/>
      <w:marLeft w:val="0"/>
      <w:marRight w:val="0"/>
      <w:marTop w:val="0"/>
      <w:marBottom w:val="0"/>
      <w:divBdr>
        <w:top w:val="none" w:sz="0" w:space="0" w:color="auto"/>
        <w:left w:val="none" w:sz="0" w:space="0" w:color="auto"/>
        <w:bottom w:val="none" w:sz="0" w:space="0" w:color="auto"/>
        <w:right w:val="none" w:sz="0" w:space="0" w:color="auto"/>
      </w:divBdr>
    </w:div>
    <w:div w:id="1281650292">
      <w:bodyDiv w:val="1"/>
      <w:marLeft w:val="0"/>
      <w:marRight w:val="0"/>
      <w:marTop w:val="0"/>
      <w:marBottom w:val="0"/>
      <w:divBdr>
        <w:top w:val="none" w:sz="0" w:space="0" w:color="auto"/>
        <w:left w:val="none" w:sz="0" w:space="0" w:color="auto"/>
        <w:bottom w:val="none" w:sz="0" w:space="0" w:color="auto"/>
        <w:right w:val="none" w:sz="0" w:space="0" w:color="auto"/>
      </w:divBdr>
    </w:div>
    <w:div w:id="1281840631">
      <w:bodyDiv w:val="1"/>
      <w:marLeft w:val="0"/>
      <w:marRight w:val="0"/>
      <w:marTop w:val="0"/>
      <w:marBottom w:val="0"/>
      <w:divBdr>
        <w:top w:val="none" w:sz="0" w:space="0" w:color="auto"/>
        <w:left w:val="none" w:sz="0" w:space="0" w:color="auto"/>
        <w:bottom w:val="none" w:sz="0" w:space="0" w:color="auto"/>
        <w:right w:val="none" w:sz="0" w:space="0" w:color="auto"/>
      </w:divBdr>
    </w:div>
    <w:div w:id="1282107512">
      <w:bodyDiv w:val="1"/>
      <w:marLeft w:val="0"/>
      <w:marRight w:val="0"/>
      <w:marTop w:val="0"/>
      <w:marBottom w:val="0"/>
      <w:divBdr>
        <w:top w:val="none" w:sz="0" w:space="0" w:color="auto"/>
        <w:left w:val="none" w:sz="0" w:space="0" w:color="auto"/>
        <w:bottom w:val="none" w:sz="0" w:space="0" w:color="auto"/>
        <w:right w:val="none" w:sz="0" w:space="0" w:color="auto"/>
      </w:divBdr>
    </w:div>
    <w:div w:id="1282416508">
      <w:bodyDiv w:val="1"/>
      <w:marLeft w:val="0"/>
      <w:marRight w:val="0"/>
      <w:marTop w:val="0"/>
      <w:marBottom w:val="0"/>
      <w:divBdr>
        <w:top w:val="none" w:sz="0" w:space="0" w:color="auto"/>
        <w:left w:val="none" w:sz="0" w:space="0" w:color="auto"/>
        <w:bottom w:val="none" w:sz="0" w:space="0" w:color="auto"/>
        <w:right w:val="none" w:sz="0" w:space="0" w:color="auto"/>
      </w:divBdr>
    </w:div>
    <w:div w:id="1282419963">
      <w:bodyDiv w:val="1"/>
      <w:marLeft w:val="0"/>
      <w:marRight w:val="0"/>
      <w:marTop w:val="0"/>
      <w:marBottom w:val="0"/>
      <w:divBdr>
        <w:top w:val="none" w:sz="0" w:space="0" w:color="auto"/>
        <w:left w:val="none" w:sz="0" w:space="0" w:color="auto"/>
        <w:bottom w:val="none" w:sz="0" w:space="0" w:color="auto"/>
        <w:right w:val="none" w:sz="0" w:space="0" w:color="auto"/>
      </w:divBdr>
    </w:div>
    <w:div w:id="1282423943">
      <w:bodyDiv w:val="1"/>
      <w:marLeft w:val="0"/>
      <w:marRight w:val="0"/>
      <w:marTop w:val="0"/>
      <w:marBottom w:val="0"/>
      <w:divBdr>
        <w:top w:val="none" w:sz="0" w:space="0" w:color="auto"/>
        <w:left w:val="none" w:sz="0" w:space="0" w:color="auto"/>
        <w:bottom w:val="none" w:sz="0" w:space="0" w:color="auto"/>
        <w:right w:val="none" w:sz="0" w:space="0" w:color="auto"/>
      </w:divBdr>
    </w:div>
    <w:div w:id="1282610706">
      <w:bodyDiv w:val="1"/>
      <w:marLeft w:val="0"/>
      <w:marRight w:val="0"/>
      <w:marTop w:val="0"/>
      <w:marBottom w:val="0"/>
      <w:divBdr>
        <w:top w:val="none" w:sz="0" w:space="0" w:color="auto"/>
        <w:left w:val="none" w:sz="0" w:space="0" w:color="auto"/>
        <w:bottom w:val="none" w:sz="0" w:space="0" w:color="auto"/>
        <w:right w:val="none" w:sz="0" w:space="0" w:color="auto"/>
      </w:divBdr>
    </w:div>
    <w:div w:id="1282616124">
      <w:bodyDiv w:val="1"/>
      <w:marLeft w:val="0"/>
      <w:marRight w:val="0"/>
      <w:marTop w:val="0"/>
      <w:marBottom w:val="0"/>
      <w:divBdr>
        <w:top w:val="none" w:sz="0" w:space="0" w:color="auto"/>
        <w:left w:val="none" w:sz="0" w:space="0" w:color="auto"/>
        <w:bottom w:val="none" w:sz="0" w:space="0" w:color="auto"/>
        <w:right w:val="none" w:sz="0" w:space="0" w:color="auto"/>
      </w:divBdr>
    </w:div>
    <w:div w:id="1282616530">
      <w:bodyDiv w:val="1"/>
      <w:marLeft w:val="0"/>
      <w:marRight w:val="0"/>
      <w:marTop w:val="0"/>
      <w:marBottom w:val="0"/>
      <w:divBdr>
        <w:top w:val="none" w:sz="0" w:space="0" w:color="auto"/>
        <w:left w:val="none" w:sz="0" w:space="0" w:color="auto"/>
        <w:bottom w:val="none" w:sz="0" w:space="0" w:color="auto"/>
        <w:right w:val="none" w:sz="0" w:space="0" w:color="auto"/>
      </w:divBdr>
    </w:div>
    <w:div w:id="1282691824">
      <w:bodyDiv w:val="1"/>
      <w:marLeft w:val="0"/>
      <w:marRight w:val="0"/>
      <w:marTop w:val="0"/>
      <w:marBottom w:val="0"/>
      <w:divBdr>
        <w:top w:val="none" w:sz="0" w:space="0" w:color="auto"/>
        <w:left w:val="none" w:sz="0" w:space="0" w:color="auto"/>
        <w:bottom w:val="none" w:sz="0" w:space="0" w:color="auto"/>
        <w:right w:val="none" w:sz="0" w:space="0" w:color="auto"/>
      </w:divBdr>
    </w:div>
    <w:div w:id="1282761535">
      <w:bodyDiv w:val="1"/>
      <w:marLeft w:val="0"/>
      <w:marRight w:val="0"/>
      <w:marTop w:val="0"/>
      <w:marBottom w:val="0"/>
      <w:divBdr>
        <w:top w:val="none" w:sz="0" w:space="0" w:color="auto"/>
        <w:left w:val="none" w:sz="0" w:space="0" w:color="auto"/>
        <w:bottom w:val="none" w:sz="0" w:space="0" w:color="auto"/>
        <w:right w:val="none" w:sz="0" w:space="0" w:color="auto"/>
      </w:divBdr>
    </w:div>
    <w:div w:id="1282878246">
      <w:bodyDiv w:val="1"/>
      <w:marLeft w:val="0"/>
      <w:marRight w:val="0"/>
      <w:marTop w:val="0"/>
      <w:marBottom w:val="0"/>
      <w:divBdr>
        <w:top w:val="none" w:sz="0" w:space="0" w:color="auto"/>
        <w:left w:val="none" w:sz="0" w:space="0" w:color="auto"/>
        <w:bottom w:val="none" w:sz="0" w:space="0" w:color="auto"/>
        <w:right w:val="none" w:sz="0" w:space="0" w:color="auto"/>
      </w:divBdr>
    </w:div>
    <w:div w:id="1282952434">
      <w:bodyDiv w:val="1"/>
      <w:marLeft w:val="0"/>
      <w:marRight w:val="0"/>
      <w:marTop w:val="0"/>
      <w:marBottom w:val="0"/>
      <w:divBdr>
        <w:top w:val="none" w:sz="0" w:space="0" w:color="auto"/>
        <w:left w:val="none" w:sz="0" w:space="0" w:color="auto"/>
        <w:bottom w:val="none" w:sz="0" w:space="0" w:color="auto"/>
        <w:right w:val="none" w:sz="0" w:space="0" w:color="auto"/>
      </w:divBdr>
    </w:div>
    <w:div w:id="1283003833">
      <w:bodyDiv w:val="1"/>
      <w:marLeft w:val="0"/>
      <w:marRight w:val="0"/>
      <w:marTop w:val="0"/>
      <w:marBottom w:val="0"/>
      <w:divBdr>
        <w:top w:val="none" w:sz="0" w:space="0" w:color="auto"/>
        <w:left w:val="none" w:sz="0" w:space="0" w:color="auto"/>
        <w:bottom w:val="none" w:sz="0" w:space="0" w:color="auto"/>
        <w:right w:val="none" w:sz="0" w:space="0" w:color="auto"/>
      </w:divBdr>
    </w:div>
    <w:div w:id="1283148847">
      <w:bodyDiv w:val="1"/>
      <w:marLeft w:val="0"/>
      <w:marRight w:val="0"/>
      <w:marTop w:val="0"/>
      <w:marBottom w:val="0"/>
      <w:divBdr>
        <w:top w:val="none" w:sz="0" w:space="0" w:color="auto"/>
        <w:left w:val="none" w:sz="0" w:space="0" w:color="auto"/>
        <w:bottom w:val="none" w:sz="0" w:space="0" w:color="auto"/>
        <w:right w:val="none" w:sz="0" w:space="0" w:color="auto"/>
      </w:divBdr>
    </w:div>
    <w:div w:id="1283221163">
      <w:bodyDiv w:val="1"/>
      <w:marLeft w:val="0"/>
      <w:marRight w:val="0"/>
      <w:marTop w:val="0"/>
      <w:marBottom w:val="0"/>
      <w:divBdr>
        <w:top w:val="none" w:sz="0" w:space="0" w:color="auto"/>
        <w:left w:val="none" w:sz="0" w:space="0" w:color="auto"/>
        <w:bottom w:val="none" w:sz="0" w:space="0" w:color="auto"/>
        <w:right w:val="none" w:sz="0" w:space="0" w:color="auto"/>
      </w:divBdr>
    </w:div>
    <w:div w:id="1283345534">
      <w:bodyDiv w:val="1"/>
      <w:marLeft w:val="0"/>
      <w:marRight w:val="0"/>
      <w:marTop w:val="0"/>
      <w:marBottom w:val="0"/>
      <w:divBdr>
        <w:top w:val="none" w:sz="0" w:space="0" w:color="auto"/>
        <w:left w:val="none" w:sz="0" w:space="0" w:color="auto"/>
        <w:bottom w:val="none" w:sz="0" w:space="0" w:color="auto"/>
        <w:right w:val="none" w:sz="0" w:space="0" w:color="auto"/>
      </w:divBdr>
    </w:div>
    <w:div w:id="1283414908">
      <w:bodyDiv w:val="1"/>
      <w:marLeft w:val="0"/>
      <w:marRight w:val="0"/>
      <w:marTop w:val="0"/>
      <w:marBottom w:val="0"/>
      <w:divBdr>
        <w:top w:val="none" w:sz="0" w:space="0" w:color="auto"/>
        <w:left w:val="none" w:sz="0" w:space="0" w:color="auto"/>
        <w:bottom w:val="none" w:sz="0" w:space="0" w:color="auto"/>
        <w:right w:val="none" w:sz="0" w:space="0" w:color="auto"/>
      </w:divBdr>
    </w:div>
    <w:div w:id="1283459764">
      <w:bodyDiv w:val="1"/>
      <w:marLeft w:val="0"/>
      <w:marRight w:val="0"/>
      <w:marTop w:val="0"/>
      <w:marBottom w:val="0"/>
      <w:divBdr>
        <w:top w:val="none" w:sz="0" w:space="0" w:color="auto"/>
        <w:left w:val="none" w:sz="0" w:space="0" w:color="auto"/>
        <w:bottom w:val="none" w:sz="0" w:space="0" w:color="auto"/>
        <w:right w:val="none" w:sz="0" w:space="0" w:color="auto"/>
      </w:divBdr>
    </w:div>
    <w:div w:id="1283684253">
      <w:bodyDiv w:val="1"/>
      <w:marLeft w:val="0"/>
      <w:marRight w:val="0"/>
      <w:marTop w:val="0"/>
      <w:marBottom w:val="0"/>
      <w:divBdr>
        <w:top w:val="none" w:sz="0" w:space="0" w:color="auto"/>
        <w:left w:val="none" w:sz="0" w:space="0" w:color="auto"/>
        <w:bottom w:val="none" w:sz="0" w:space="0" w:color="auto"/>
        <w:right w:val="none" w:sz="0" w:space="0" w:color="auto"/>
      </w:divBdr>
    </w:div>
    <w:div w:id="1283725521">
      <w:bodyDiv w:val="1"/>
      <w:marLeft w:val="0"/>
      <w:marRight w:val="0"/>
      <w:marTop w:val="0"/>
      <w:marBottom w:val="0"/>
      <w:divBdr>
        <w:top w:val="none" w:sz="0" w:space="0" w:color="auto"/>
        <w:left w:val="none" w:sz="0" w:space="0" w:color="auto"/>
        <w:bottom w:val="none" w:sz="0" w:space="0" w:color="auto"/>
        <w:right w:val="none" w:sz="0" w:space="0" w:color="auto"/>
      </w:divBdr>
    </w:div>
    <w:div w:id="1283809501">
      <w:bodyDiv w:val="1"/>
      <w:marLeft w:val="0"/>
      <w:marRight w:val="0"/>
      <w:marTop w:val="0"/>
      <w:marBottom w:val="0"/>
      <w:divBdr>
        <w:top w:val="none" w:sz="0" w:space="0" w:color="auto"/>
        <w:left w:val="none" w:sz="0" w:space="0" w:color="auto"/>
        <w:bottom w:val="none" w:sz="0" w:space="0" w:color="auto"/>
        <w:right w:val="none" w:sz="0" w:space="0" w:color="auto"/>
      </w:divBdr>
    </w:div>
    <w:div w:id="1283875889">
      <w:bodyDiv w:val="1"/>
      <w:marLeft w:val="0"/>
      <w:marRight w:val="0"/>
      <w:marTop w:val="0"/>
      <w:marBottom w:val="0"/>
      <w:divBdr>
        <w:top w:val="none" w:sz="0" w:space="0" w:color="auto"/>
        <w:left w:val="none" w:sz="0" w:space="0" w:color="auto"/>
        <w:bottom w:val="none" w:sz="0" w:space="0" w:color="auto"/>
        <w:right w:val="none" w:sz="0" w:space="0" w:color="auto"/>
      </w:divBdr>
    </w:div>
    <w:div w:id="1284071465">
      <w:bodyDiv w:val="1"/>
      <w:marLeft w:val="0"/>
      <w:marRight w:val="0"/>
      <w:marTop w:val="0"/>
      <w:marBottom w:val="0"/>
      <w:divBdr>
        <w:top w:val="none" w:sz="0" w:space="0" w:color="auto"/>
        <w:left w:val="none" w:sz="0" w:space="0" w:color="auto"/>
        <w:bottom w:val="none" w:sz="0" w:space="0" w:color="auto"/>
        <w:right w:val="none" w:sz="0" w:space="0" w:color="auto"/>
      </w:divBdr>
    </w:div>
    <w:div w:id="1284076465">
      <w:bodyDiv w:val="1"/>
      <w:marLeft w:val="0"/>
      <w:marRight w:val="0"/>
      <w:marTop w:val="0"/>
      <w:marBottom w:val="0"/>
      <w:divBdr>
        <w:top w:val="none" w:sz="0" w:space="0" w:color="auto"/>
        <w:left w:val="none" w:sz="0" w:space="0" w:color="auto"/>
        <w:bottom w:val="none" w:sz="0" w:space="0" w:color="auto"/>
        <w:right w:val="none" w:sz="0" w:space="0" w:color="auto"/>
      </w:divBdr>
    </w:div>
    <w:div w:id="1284194941">
      <w:bodyDiv w:val="1"/>
      <w:marLeft w:val="0"/>
      <w:marRight w:val="0"/>
      <w:marTop w:val="0"/>
      <w:marBottom w:val="0"/>
      <w:divBdr>
        <w:top w:val="none" w:sz="0" w:space="0" w:color="auto"/>
        <w:left w:val="none" w:sz="0" w:space="0" w:color="auto"/>
        <w:bottom w:val="none" w:sz="0" w:space="0" w:color="auto"/>
        <w:right w:val="none" w:sz="0" w:space="0" w:color="auto"/>
      </w:divBdr>
    </w:div>
    <w:div w:id="1284271691">
      <w:bodyDiv w:val="1"/>
      <w:marLeft w:val="0"/>
      <w:marRight w:val="0"/>
      <w:marTop w:val="0"/>
      <w:marBottom w:val="0"/>
      <w:divBdr>
        <w:top w:val="none" w:sz="0" w:space="0" w:color="auto"/>
        <w:left w:val="none" w:sz="0" w:space="0" w:color="auto"/>
        <w:bottom w:val="none" w:sz="0" w:space="0" w:color="auto"/>
        <w:right w:val="none" w:sz="0" w:space="0" w:color="auto"/>
      </w:divBdr>
    </w:div>
    <w:div w:id="1284386351">
      <w:bodyDiv w:val="1"/>
      <w:marLeft w:val="0"/>
      <w:marRight w:val="0"/>
      <w:marTop w:val="0"/>
      <w:marBottom w:val="0"/>
      <w:divBdr>
        <w:top w:val="none" w:sz="0" w:space="0" w:color="auto"/>
        <w:left w:val="none" w:sz="0" w:space="0" w:color="auto"/>
        <w:bottom w:val="none" w:sz="0" w:space="0" w:color="auto"/>
        <w:right w:val="none" w:sz="0" w:space="0" w:color="auto"/>
      </w:divBdr>
    </w:div>
    <w:div w:id="1284387521">
      <w:bodyDiv w:val="1"/>
      <w:marLeft w:val="0"/>
      <w:marRight w:val="0"/>
      <w:marTop w:val="0"/>
      <w:marBottom w:val="0"/>
      <w:divBdr>
        <w:top w:val="none" w:sz="0" w:space="0" w:color="auto"/>
        <w:left w:val="none" w:sz="0" w:space="0" w:color="auto"/>
        <w:bottom w:val="none" w:sz="0" w:space="0" w:color="auto"/>
        <w:right w:val="none" w:sz="0" w:space="0" w:color="auto"/>
      </w:divBdr>
    </w:div>
    <w:div w:id="1284462555">
      <w:bodyDiv w:val="1"/>
      <w:marLeft w:val="0"/>
      <w:marRight w:val="0"/>
      <w:marTop w:val="0"/>
      <w:marBottom w:val="0"/>
      <w:divBdr>
        <w:top w:val="none" w:sz="0" w:space="0" w:color="auto"/>
        <w:left w:val="none" w:sz="0" w:space="0" w:color="auto"/>
        <w:bottom w:val="none" w:sz="0" w:space="0" w:color="auto"/>
        <w:right w:val="none" w:sz="0" w:space="0" w:color="auto"/>
      </w:divBdr>
    </w:div>
    <w:div w:id="1284531426">
      <w:bodyDiv w:val="1"/>
      <w:marLeft w:val="0"/>
      <w:marRight w:val="0"/>
      <w:marTop w:val="0"/>
      <w:marBottom w:val="0"/>
      <w:divBdr>
        <w:top w:val="none" w:sz="0" w:space="0" w:color="auto"/>
        <w:left w:val="none" w:sz="0" w:space="0" w:color="auto"/>
        <w:bottom w:val="none" w:sz="0" w:space="0" w:color="auto"/>
        <w:right w:val="none" w:sz="0" w:space="0" w:color="auto"/>
      </w:divBdr>
    </w:div>
    <w:div w:id="1284537408">
      <w:bodyDiv w:val="1"/>
      <w:marLeft w:val="0"/>
      <w:marRight w:val="0"/>
      <w:marTop w:val="0"/>
      <w:marBottom w:val="0"/>
      <w:divBdr>
        <w:top w:val="none" w:sz="0" w:space="0" w:color="auto"/>
        <w:left w:val="none" w:sz="0" w:space="0" w:color="auto"/>
        <w:bottom w:val="none" w:sz="0" w:space="0" w:color="auto"/>
        <w:right w:val="none" w:sz="0" w:space="0" w:color="auto"/>
      </w:divBdr>
    </w:div>
    <w:div w:id="1284653798">
      <w:bodyDiv w:val="1"/>
      <w:marLeft w:val="0"/>
      <w:marRight w:val="0"/>
      <w:marTop w:val="0"/>
      <w:marBottom w:val="0"/>
      <w:divBdr>
        <w:top w:val="none" w:sz="0" w:space="0" w:color="auto"/>
        <w:left w:val="none" w:sz="0" w:space="0" w:color="auto"/>
        <w:bottom w:val="none" w:sz="0" w:space="0" w:color="auto"/>
        <w:right w:val="none" w:sz="0" w:space="0" w:color="auto"/>
      </w:divBdr>
    </w:div>
    <w:div w:id="1284655736">
      <w:bodyDiv w:val="1"/>
      <w:marLeft w:val="0"/>
      <w:marRight w:val="0"/>
      <w:marTop w:val="0"/>
      <w:marBottom w:val="0"/>
      <w:divBdr>
        <w:top w:val="none" w:sz="0" w:space="0" w:color="auto"/>
        <w:left w:val="none" w:sz="0" w:space="0" w:color="auto"/>
        <w:bottom w:val="none" w:sz="0" w:space="0" w:color="auto"/>
        <w:right w:val="none" w:sz="0" w:space="0" w:color="auto"/>
      </w:divBdr>
    </w:div>
    <w:div w:id="1284849112">
      <w:bodyDiv w:val="1"/>
      <w:marLeft w:val="0"/>
      <w:marRight w:val="0"/>
      <w:marTop w:val="0"/>
      <w:marBottom w:val="0"/>
      <w:divBdr>
        <w:top w:val="none" w:sz="0" w:space="0" w:color="auto"/>
        <w:left w:val="none" w:sz="0" w:space="0" w:color="auto"/>
        <w:bottom w:val="none" w:sz="0" w:space="0" w:color="auto"/>
        <w:right w:val="none" w:sz="0" w:space="0" w:color="auto"/>
      </w:divBdr>
    </w:div>
    <w:div w:id="1284921352">
      <w:bodyDiv w:val="1"/>
      <w:marLeft w:val="0"/>
      <w:marRight w:val="0"/>
      <w:marTop w:val="0"/>
      <w:marBottom w:val="0"/>
      <w:divBdr>
        <w:top w:val="none" w:sz="0" w:space="0" w:color="auto"/>
        <w:left w:val="none" w:sz="0" w:space="0" w:color="auto"/>
        <w:bottom w:val="none" w:sz="0" w:space="0" w:color="auto"/>
        <w:right w:val="none" w:sz="0" w:space="0" w:color="auto"/>
      </w:divBdr>
    </w:div>
    <w:div w:id="1284922474">
      <w:bodyDiv w:val="1"/>
      <w:marLeft w:val="0"/>
      <w:marRight w:val="0"/>
      <w:marTop w:val="0"/>
      <w:marBottom w:val="0"/>
      <w:divBdr>
        <w:top w:val="none" w:sz="0" w:space="0" w:color="auto"/>
        <w:left w:val="none" w:sz="0" w:space="0" w:color="auto"/>
        <w:bottom w:val="none" w:sz="0" w:space="0" w:color="auto"/>
        <w:right w:val="none" w:sz="0" w:space="0" w:color="auto"/>
      </w:divBdr>
    </w:div>
    <w:div w:id="1285035358">
      <w:bodyDiv w:val="1"/>
      <w:marLeft w:val="0"/>
      <w:marRight w:val="0"/>
      <w:marTop w:val="0"/>
      <w:marBottom w:val="0"/>
      <w:divBdr>
        <w:top w:val="none" w:sz="0" w:space="0" w:color="auto"/>
        <w:left w:val="none" w:sz="0" w:space="0" w:color="auto"/>
        <w:bottom w:val="none" w:sz="0" w:space="0" w:color="auto"/>
        <w:right w:val="none" w:sz="0" w:space="0" w:color="auto"/>
      </w:divBdr>
    </w:div>
    <w:div w:id="1285035948">
      <w:bodyDiv w:val="1"/>
      <w:marLeft w:val="0"/>
      <w:marRight w:val="0"/>
      <w:marTop w:val="0"/>
      <w:marBottom w:val="0"/>
      <w:divBdr>
        <w:top w:val="none" w:sz="0" w:space="0" w:color="auto"/>
        <w:left w:val="none" w:sz="0" w:space="0" w:color="auto"/>
        <w:bottom w:val="none" w:sz="0" w:space="0" w:color="auto"/>
        <w:right w:val="none" w:sz="0" w:space="0" w:color="auto"/>
      </w:divBdr>
    </w:div>
    <w:div w:id="1285041331">
      <w:bodyDiv w:val="1"/>
      <w:marLeft w:val="0"/>
      <w:marRight w:val="0"/>
      <w:marTop w:val="0"/>
      <w:marBottom w:val="0"/>
      <w:divBdr>
        <w:top w:val="none" w:sz="0" w:space="0" w:color="auto"/>
        <w:left w:val="none" w:sz="0" w:space="0" w:color="auto"/>
        <w:bottom w:val="none" w:sz="0" w:space="0" w:color="auto"/>
        <w:right w:val="none" w:sz="0" w:space="0" w:color="auto"/>
      </w:divBdr>
    </w:div>
    <w:div w:id="1285043668">
      <w:bodyDiv w:val="1"/>
      <w:marLeft w:val="0"/>
      <w:marRight w:val="0"/>
      <w:marTop w:val="0"/>
      <w:marBottom w:val="0"/>
      <w:divBdr>
        <w:top w:val="none" w:sz="0" w:space="0" w:color="auto"/>
        <w:left w:val="none" w:sz="0" w:space="0" w:color="auto"/>
        <w:bottom w:val="none" w:sz="0" w:space="0" w:color="auto"/>
        <w:right w:val="none" w:sz="0" w:space="0" w:color="auto"/>
      </w:divBdr>
    </w:div>
    <w:div w:id="1285427918">
      <w:bodyDiv w:val="1"/>
      <w:marLeft w:val="0"/>
      <w:marRight w:val="0"/>
      <w:marTop w:val="0"/>
      <w:marBottom w:val="0"/>
      <w:divBdr>
        <w:top w:val="none" w:sz="0" w:space="0" w:color="auto"/>
        <w:left w:val="none" w:sz="0" w:space="0" w:color="auto"/>
        <w:bottom w:val="none" w:sz="0" w:space="0" w:color="auto"/>
        <w:right w:val="none" w:sz="0" w:space="0" w:color="auto"/>
      </w:divBdr>
    </w:div>
    <w:div w:id="1285498725">
      <w:bodyDiv w:val="1"/>
      <w:marLeft w:val="0"/>
      <w:marRight w:val="0"/>
      <w:marTop w:val="0"/>
      <w:marBottom w:val="0"/>
      <w:divBdr>
        <w:top w:val="none" w:sz="0" w:space="0" w:color="auto"/>
        <w:left w:val="none" w:sz="0" w:space="0" w:color="auto"/>
        <w:bottom w:val="none" w:sz="0" w:space="0" w:color="auto"/>
        <w:right w:val="none" w:sz="0" w:space="0" w:color="auto"/>
      </w:divBdr>
    </w:div>
    <w:div w:id="1285620933">
      <w:bodyDiv w:val="1"/>
      <w:marLeft w:val="0"/>
      <w:marRight w:val="0"/>
      <w:marTop w:val="0"/>
      <w:marBottom w:val="0"/>
      <w:divBdr>
        <w:top w:val="none" w:sz="0" w:space="0" w:color="auto"/>
        <w:left w:val="none" w:sz="0" w:space="0" w:color="auto"/>
        <w:bottom w:val="none" w:sz="0" w:space="0" w:color="auto"/>
        <w:right w:val="none" w:sz="0" w:space="0" w:color="auto"/>
      </w:divBdr>
    </w:div>
    <w:div w:id="1285624116">
      <w:bodyDiv w:val="1"/>
      <w:marLeft w:val="0"/>
      <w:marRight w:val="0"/>
      <w:marTop w:val="0"/>
      <w:marBottom w:val="0"/>
      <w:divBdr>
        <w:top w:val="none" w:sz="0" w:space="0" w:color="auto"/>
        <w:left w:val="none" w:sz="0" w:space="0" w:color="auto"/>
        <w:bottom w:val="none" w:sz="0" w:space="0" w:color="auto"/>
        <w:right w:val="none" w:sz="0" w:space="0" w:color="auto"/>
      </w:divBdr>
    </w:div>
    <w:div w:id="1285650861">
      <w:bodyDiv w:val="1"/>
      <w:marLeft w:val="0"/>
      <w:marRight w:val="0"/>
      <w:marTop w:val="0"/>
      <w:marBottom w:val="0"/>
      <w:divBdr>
        <w:top w:val="none" w:sz="0" w:space="0" w:color="auto"/>
        <w:left w:val="none" w:sz="0" w:space="0" w:color="auto"/>
        <w:bottom w:val="none" w:sz="0" w:space="0" w:color="auto"/>
        <w:right w:val="none" w:sz="0" w:space="0" w:color="auto"/>
      </w:divBdr>
    </w:div>
    <w:div w:id="1285690886">
      <w:bodyDiv w:val="1"/>
      <w:marLeft w:val="0"/>
      <w:marRight w:val="0"/>
      <w:marTop w:val="0"/>
      <w:marBottom w:val="0"/>
      <w:divBdr>
        <w:top w:val="none" w:sz="0" w:space="0" w:color="auto"/>
        <w:left w:val="none" w:sz="0" w:space="0" w:color="auto"/>
        <w:bottom w:val="none" w:sz="0" w:space="0" w:color="auto"/>
        <w:right w:val="none" w:sz="0" w:space="0" w:color="auto"/>
      </w:divBdr>
    </w:div>
    <w:div w:id="1285773732">
      <w:bodyDiv w:val="1"/>
      <w:marLeft w:val="0"/>
      <w:marRight w:val="0"/>
      <w:marTop w:val="0"/>
      <w:marBottom w:val="0"/>
      <w:divBdr>
        <w:top w:val="none" w:sz="0" w:space="0" w:color="auto"/>
        <w:left w:val="none" w:sz="0" w:space="0" w:color="auto"/>
        <w:bottom w:val="none" w:sz="0" w:space="0" w:color="auto"/>
        <w:right w:val="none" w:sz="0" w:space="0" w:color="auto"/>
      </w:divBdr>
    </w:div>
    <w:div w:id="1285775735">
      <w:bodyDiv w:val="1"/>
      <w:marLeft w:val="0"/>
      <w:marRight w:val="0"/>
      <w:marTop w:val="0"/>
      <w:marBottom w:val="0"/>
      <w:divBdr>
        <w:top w:val="none" w:sz="0" w:space="0" w:color="auto"/>
        <w:left w:val="none" w:sz="0" w:space="0" w:color="auto"/>
        <w:bottom w:val="none" w:sz="0" w:space="0" w:color="auto"/>
        <w:right w:val="none" w:sz="0" w:space="0" w:color="auto"/>
      </w:divBdr>
    </w:div>
    <w:div w:id="1285884226">
      <w:bodyDiv w:val="1"/>
      <w:marLeft w:val="0"/>
      <w:marRight w:val="0"/>
      <w:marTop w:val="0"/>
      <w:marBottom w:val="0"/>
      <w:divBdr>
        <w:top w:val="none" w:sz="0" w:space="0" w:color="auto"/>
        <w:left w:val="none" w:sz="0" w:space="0" w:color="auto"/>
        <w:bottom w:val="none" w:sz="0" w:space="0" w:color="auto"/>
        <w:right w:val="none" w:sz="0" w:space="0" w:color="auto"/>
      </w:divBdr>
    </w:div>
    <w:div w:id="1285892724">
      <w:bodyDiv w:val="1"/>
      <w:marLeft w:val="0"/>
      <w:marRight w:val="0"/>
      <w:marTop w:val="0"/>
      <w:marBottom w:val="0"/>
      <w:divBdr>
        <w:top w:val="none" w:sz="0" w:space="0" w:color="auto"/>
        <w:left w:val="none" w:sz="0" w:space="0" w:color="auto"/>
        <w:bottom w:val="none" w:sz="0" w:space="0" w:color="auto"/>
        <w:right w:val="none" w:sz="0" w:space="0" w:color="auto"/>
      </w:divBdr>
    </w:div>
    <w:div w:id="1286038137">
      <w:bodyDiv w:val="1"/>
      <w:marLeft w:val="0"/>
      <w:marRight w:val="0"/>
      <w:marTop w:val="0"/>
      <w:marBottom w:val="0"/>
      <w:divBdr>
        <w:top w:val="none" w:sz="0" w:space="0" w:color="auto"/>
        <w:left w:val="none" w:sz="0" w:space="0" w:color="auto"/>
        <w:bottom w:val="none" w:sz="0" w:space="0" w:color="auto"/>
        <w:right w:val="none" w:sz="0" w:space="0" w:color="auto"/>
      </w:divBdr>
    </w:div>
    <w:div w:id="1286086208">
      <w:bodyDiv w:val="1"/>
      <w:marLeft w:val="0"/>
      <w:marRight w:val="0"/>
      <w:marTop w:val="0"/>
      <w:marBottom w:val="0"/>
      <w:divBdr>
        <w:top w:val="none" w:sz="0" w:space="0" w:color="auto"/>
        <w:left w:val="none" w:sz="0" w:space="0" w:color="auto"/>
        <w:bottom w:val="none" w:sz="0" w:space="0" w:color="auto"/>
        <w:right w:val="none" w:sz="0" w:space="0" w:color="auto"/>
      </w:divBdr>
    </w:div>
    <w:div w:id="1286305475">
      <w:bodyDiv w:val="1"/>
      <w:marLeft w:val="0"/>
      <w:marRight w:val="0"/>
      <w:marTop w:val="0"/>
      <w:marBottom w:val="0"/>
      <w:divBdr>
        <w:top w:val="none" w:sz="0" w:space="0" w:color="auto"/>
        <w:left w:val="none" w:sz="0" w:space="0" w:color="auto"/>
        <w:bottom w:val="none" w:sz="0" w:space="0" w:color="auto"/>
        <w:right w:val="none" w:sz="0" w:space="0" w:color="auto"/>
      </w:divBdr>
    </w:div>
    <w:div w:id="1286351924">
      <w:bodyDiv w:val="1"/>
      <w:marLeft w:val="0"/>
      <w:marRight w:val="0"/>
      <w:marTop w:val="0"/>
      <w:marBottom w:val="0"/>
      <w:divBdr>
        <w:top w:val="none" w:sz="0" w:space="0" w:color="auto"/>
        <w:left w:val="none" w:sz="0" w:space="0" w:color="auto"/>
        <w:bottom w:val="none" w:sz="0" w:space="0" w:color="auto"/>
        <w:right w:val="none" w:sz="0" w:space="0" w:color="auto"/>
      </w:divBdr>
    </w:div>
    <w:div w:id="1286691947">
      <w:bodyDiv w:val="1"/>
      <w:marLeft w:val="0"/>
      <w:marRight w:val="0"/>
      <w:marTop w:val="0"/>
      <w:marBottom w:val="0"/>
      <w:divBdr>
        <w:top w:val="none" w:sz="0" w:space="0" w:color="auto"/>
        <w:left w:val="none" w:sz="0" w:space="0" w:color="auto"/>
        <w:bottom w:val="none" w:sz="0" w:space="0" w:color="auto"/>
        <w:right w:val="none" w:sz="0" w:space="0" w:color="auto"/>
      </w:divBdr>
    </w:div>
    <w:div w:id="1286766247">
      <w:bodyDiv w:val="1"/>
      <w:marLeft w:val="0"/>
      <w:marRight w:val="0"/>
      <w:marTop w:val="0"/>
      <w:marBottom w:val="0"/>
      <w:divBdr>
        <w:top w:val="none" w:sz="0" w:space="0" w:color="auto"/>
        <w:left w:val="none" w:sz="0" w:space="0" w:color="auto"/>
        <w:bottom w:val="none" w:sz="0" w:space="0" w:color="auto"/>
        <w:right w:val="none" w:sz="0" w:space="0" w:color="auto"/>
      </w:divBdr>
    </w:div>
    <w:div w:id="1286816302">
      <w:bodyDiv w:val="1"/>
      <w:marLeft w:val="0"/>
      <w:marRight w:val="0"/>
      <w:marTop w:val="0"/>
      <w:marBottom w:val="0"/>
      <w:divBdr>
        <w:top w:val="none" w:sz="0" w:space="0" w:color="auto"/>
        <w:left w:val="none" w:sz="0" w:space="0" w:color="auto"/>
        <w:bottom w:val="none" w:sz="0" w:space="0" w:color="auto"/>
        <w:right w:val="none" w:sz="0" w:space="0" w:color="auto"/>
      </w:divBdr>
    </w:div>
    <w:div w:id="1286883335">
      <w:bodyDiv w:val="1"/>
      <w:marLeft w:val="0"/>
      <w:marRight w:val="0"/>
      <w:marTop w:val="0"/>
      <w:marBottom w:val="0"/>
      <w:divBdr>
        <w:top w:val="none" w:sz="0" w:space="0" w:color="auto"/>
        <w:left w:val="none" w:sz="0" w:space="0" w:color="auto"/>
        <w:bottom w:val="none" w:sz="0" w:space="0" w:color="auto"/>
        <w:right w:val="none" w:sz="0" w:space="0" w:color="auto"/>
      </w:divBdr>
    </w:div>
    <w:div w:id="1286886798">
      <w:bodyDiv w:val="1"/>
      <w:marLeft w:val="0"/>
      <w:marRight w:val="0"/>
      <w:marTop w:val="0"/>
      <w:marBottom w:val="0"/>
      <w:divBdr>
        <w:top w:val="none" w:sz="0" w:space="0" w:color="auto"/>
        <w:left w:val="none" w:sz="0" w:space="0" w:color="auto"/>
        <w:bottom w:val="none" w:sz="0" w:space="0" w:color="auto"/>
        <w:right w:val="none" w:sz="0" w:space="0" w:color="auto"/>
      </w:divBdr>
    </w:div>
    <w:div w:id="1286933624">
      <w:bodyDiv w:val="1"/>
      <w:marLeft w:val="0"/>
      <w:marRight w:val="0"/>
      <w:marTop w:val="0"/>
      <w:marBottom w:val="0"/>
      <w:divBdr>
        <w:top w:val="none" w:sz="0" w:space="0" w:color="auto"/>
        <w:left w:val="none" w:sz="0" w:space="0" w:color="auto"/>
        <w:bottom w:val="none" w:sz="0" w:space="0" w:color="auto"/>
        <w:right w:val="none" w:sz="0" w:space="0" w:color="auto"/>
      </w:divBdr>
    </w:div>
    <w:div w:id="1287004531">
      <w:bodyDiv w:val="1"/>
      <w:marLeft w:val="0"/>
      <w:marRight w:val="0"/>
      <w:marTop w:val="0"/>
      <w:marBottom w:val="0"/>
      <w:divBdr>
        <w:top w:val="none" w:sz="0" w:space="0" w:color="auto"/>
        <w:left w:val="none" w:sz="0" w:space="0" w:color="auto"/>
        <w:bottom w:val="none" w:sz="0" w:space="0" w:color="auto"/>
        <w:right w:val="none" w:sz="0" w:space="0" w:color="auto"/>
      </w:divBdr>
    </w:div>
    <w:div w:id="1287159166">
      <w:bodyDiv w:val="1"/>
      <w:marLeft w:val="0"/>
      <w:marRight w:val="0"/>
      <w:marTop w:val="0"/>
      <w:marBottom w:val="0"/>
      <w:divBdr>
        <w:top w:val="none" w:sz="0" w:space="0" w:color="auto"/>
        <w:left w:val="none" w:sz="0" w:space="0" w:color="auto"/>
        <w:bottom w:val="none" w:sz="0" w:space="0" w:color="auto"/>
        <w:right w:val="none" w:sz="0" w:space="0" w:color="auto"/>
      </w:divBdr>
    </w:div>
    <w:div w:id="1287201812">
      <w:bodyDiv w:val="1"/>
      <w:marLeft w:val="0"/>
      <w:marRight w:val="0"/>
      <w:marTop w:val="0"/>
      <w:marBottom w:val="0"/>
      <w:divBdr>
        <w:top w:val="none" w:sz="0" w:space="0" w:color="auto"/>
        <w:left w:val="none" w:sz="0" w:space="0" w:color="auto"/>
        <w:bottom w:val="none" w:sz="0" w:space="0" w:color="auto"/>
        <w:right w:val="none" w:sz="0" w:space="0" w:color="auto"/>
      </w:divBdr>
    </w:div>
    <w:div w:id="1287270388">
      <w:bodyDiv w:val="1"/>
      <w:marLeft w:val="0"/>
      <w:marRight w:val="0"/>
      <w:marTop w:val="0"/>
      <w:marBottom w:val="0"/>
      <w:divBdr>
        <w:top w:val="none" w:sz="0" w:space="0" w:color="auto"/>
        <w:left w:val="none" w:sz="0" w:space="0" w:color="auto"/>
        <w:bottom w:val="none" w:sz="0" w:space="0" w:color="auto"/>
        <w:right w:val="none" w:sz="0" w:space="0" w:color="auto"/>
      </w:divBdr>
    </w:div>
    <w:div w:id="1287354470">
      <w:bodyDiv w:val="1"/>
      <w:marLeft w:val="0"/>
      <w:marRight w:val="0"/>
      <w:marTop w:val="0"/>
      <w:marBottom w:val="0"/>
      <w:divBdr>
        <w:top w:val="none" w:sz="0" w:space="0" w:color="auto"/>
        <w:left w:val="none" w:sz="0" w:space="0" w:color="auto"/>
        <w:bottom w:val="none" w:sz="0" w:space="0" w:color="auto"/>
        <w:right w:val="none" w:sz="0" w:space="0" w:color="auto"/>
      </w:divBdr>
    </w:div>
    <w:div w:id="1287392439">
      <w:bodyDiv w:val="1"/>
      <w:marLeft w:val="0"/>
      <w:marRight w:val="0"/>
      <w:marTop w:val="0"/>
      <w:marBottom w:val="0"/>
      <w:divBdr>
        <w:top w:val="none" w:sz="0" w:space="0" w:color="auto"/>
        <w:left w:val="none" w:sz="0" w:space="0" w:color="auto"/>
        <w:bottom w:val="none" w:sz="0" w:space="0" w:color="auto"/>
        <w:right w:val="none" w:sz="0" w:space="0" w:color="auto"/>
      </w:divBdr>
    </w:div>
    <w:div w:id="1287463471">
      <w:bodyDiv w:val="1"/>
      <w:marLeft w:val="0"/>
      <w:marRight w:val="0"/>
      <w:marTop w:val="0"/>
      <w:marBottom w:val="0"/>
      <w:divBdr>
        <w:top w:val="none" w:sz="0" w:space="0" w:color="auto"/>
        <w:left w:val="none" w:sz="0" w:space="0" w:color="auto"/>
        <w:bottom w:val="none" w:sz="0" w:space="0" w:color="auto"/>
        <w:right w:val="none" w:sz="0" w:space="0" w:color="auto"/>
      </w:divBdr>
    </w:div>
    <w:div w:id="1287586285">
      <w:bodyDiv w:val="1"/>
      <w:marLeft w:val="0"/>
      <w:marRight w:val="0"/>
      <w:marTop w:val="0"/>
      <w:marBottom w:val="0"/>
      <w:divBdr>
        <w:top w:val="none" w:sz="0" w:space="0" w:color="auto"/>
        <w:left w:val="none" w:sz="0" w:space="0" w:color="auto"/>
        <w:bottom w:val="none" w:sz="0" w:space="0" w:color="auto"/>
        <w:right w:val="none" w:sz="0" w:space="0" w:color="auto"/>
      </w:divBdr>
    </w:div>
    <w:div w:id="1287783070">
      <w:bodyDiv w:val="1"/>
      <w:marLeft w:val="0"/>
      <w:marRight w:val="0"/>
      <w:marTop w:val="0"/>
      <w:marBottom w:val="0"/>
      <w:divBdr>
        <w:top w:val="none" w:sz="0" w:space="0" w:color="auto"/>
        <w:left w:val="none" w:sz="0" w:space="0" w:color="auto"/>
        <w:bottom w:val="none" w:sz="0" w:space="0" w:color="auto"/>
        <w:right w:val="none" w:sz="0" w:space="0" w:color="auto"/>
      </w:divBdr>
    </w:div>
    <w:div w:id="1287808506">
      <w:bodyDiv w:val="1"/>
      <w:marLeft w:val="0"/>
      <w:marRight w:val="0"/>
      <w:marTop w:val="0"/>
      <w:marBottom w:val="0"/>
      <w:divBdr>
        <w:top w:val="none" w:sz="0" w:space="0" w:color="auto"/>
        <w:left w:val="none" w:sz="0" w:space="0" w:color="auto"/>
        <w:bottom w:val="none" w:sz="0" w:space="0" w:color="auto"/>
        <w:right w:val="none" w:sz="0" w:space="0" w:color="auto"/>
      </w:divBdr>
    </w:div>
    <w:div w:id="1287809493">
      <w:bodyDiv w:val="1"/>
      <w:marLeft w:val="0"/>
      <w:marRight w:val="0"/>
      <w:marTop w:val="0"/>
      <w:marBottom w:val="0"/>
      <w:divBdr>
        <w:top w:val="none" w:sz="0" w:space="0" w:color="auto"/>
        <w:left w:val="none" w:sz="0" w:space="0" w:color="auto"/>
        <w:bottom w:val="none" w:sz="0" w:space="0" w:color="auto"/>
        <w:right w:val="none" w:sz="0" w:space="0" w:color="auto"/>
      </w:divBdr>
    </w:div>
    <w:div w:id="1287857538">
      <w:bodyDiv w:val="1"/>
      <w:marLeft w:val="0"/>
      <w:marRight w:val="0"/>
      <w:marTop w:val="0"/>
      <w:marBottom w:val="0"/>
      <w:divBdr>
        <w:top w:val="none" w:sz="0" w:space="0" w:color="auto"/>
        <w:left w:val="none" w:sz="0" w:space="0" w:color="auto"/>
        <w:bottom w:val="none" w:sz="0" w:space="0" w:color="auto"/>
        <w:right w:val="none" w:sz="0" w:space="0" w:color="auto"/>
      </w:divBdr>
    </w:div>
    <w:div w:id="1288003817">
      <w:bodyDiv w:val="1"/>
      <w:marLeft w:val="0"/>
      <w:marRight w:val="0"/>
      <w:marTop w:val="0"/>
      <w:marBottom w:val="0"/>
      <w:divBdr>
        <w:top w:val="none" w:sz="0" w:space="0" w:color="auto"/>
        <w:left w:val="none" w:sz="0" w:space="0" w:color="auto"/>
        <w:bottom w:val="none" w:sz="0" w:space="0" w:color="auto"/>
        <w:right w:val="none" w:sz="0" w:space="0" w:color="auto"/>
      </w:divBdr>
    </w:div>
    <w:div w:id="1288047653">
      <w:bodyDiv w:val="1"/>
      <w:marLeft w:val="0"/>
      <w:marRight w:val="0"/>
      <w:marTop w:val="0"/>
      <w:marBottom w:val="0"/>
      <w:divBdr>
        <w:top w:val="none" w:sz="0" w:space="0" w:color="auto"/>
        <w:left w:val="none" w:sz="0" w:space="0" w:color="auto"/>
        <w:bottom w:val="none" w:sz="0" w:space="0" w:color="auto"/>
        <w:right w:val="none" w:sz="0" w:space="0" w:color="auto"/>
      </w:divBdr>
    </w:div>
    <w:div w:id="1288314247">
      <w:bodyDiv w:val="1"/>
      <w:marLeft w:val="0"/>
      <w:marRight w:val="0"/>
      <w:marTop w:val="0"/>
      <w:marBottom w:val="0"/>
      <w:divBdr>
        <w:top w:val="none" w:sz="0" w:space="0" w:color="auto"/>
        <w:left w:val="none" w:sz="0" w:space="0" w:color="auto"/>
        <w:bottom w:val="none" w:sz="0" w:space="0" w:color="auto"/>
        <w:right w:val="none" w:sz="0" w:space="0" w:color="auto"/>
      </w:divBdr>
    </w:div>
    <w:div w:id="1288466058">
      <w:bodyDiv w:val="1"/>
      <w:marLeft w:val="0"/>
      <w:marRight w:val="0"/>
      <w:marTop w:val="0"/>
      <w:marBottom w:val="0"/>
      <w:divBdr>
        <w:top w:val="none" w:sz="0" w:space="0" w:color="auto"/>
        <w:left w:val="none" w:sz="0" w:space="0" w:color="auto"/>
        <w:bottom w:val="none" w:sz="0" w:space="0" w:color="auto"/>
        <w:right w:val="none" w:sz="0" w:space="0" w:color="auto"/>
      </w:divBdr>
    </w:div>
    <w:div w:id="1288700778">
      <w:bodyDiv w:val="1"/>
      <w:marLeft w:val="0"/>
      <w:marRight w:val="0"/>
      <w:marTop w:val="0"/>
      <w:marBottom w:val="0"/>
      <w:divBdr>
        <w:top w:val="none" w:sz="0" w:space="0" w:color="auto"/>
        <w:left w:val="none" w:sz="0" w:space="0" w:color="auto"/>
        <w:bottom w:val="none" w:sz="0" w:space="0" w:color="auto"/>
        <w:right w:val="none" w:sz="0" w:space="0" w:color="auto"/>
      </w:divBdr>
    </w:div>
    <w:div w:id="1288850131">
      <w:bodyDiv w:val="1"/>
      <w:marLeft w:val="0"/>
      <w:marRight w:val="0"/>
      <w:marTop w:val="0"/>
      <w:marBottom w:val="0"/>
      <w:divBdr>
        <w:top w:val="none" w:sz="0" w:space="0" w:color="auto"/>
        <w:left w:val="none" w:sz="0" w:space="0" w:color="auto"/>
        <w:bottom w:val="none" w:sz="0" w:space="0" w:color="auto"/>
        <w:right w:val="none" w:sz="0" w:space="0" w:color="auto"/>
      </w:divBdr>
    </w:div>
    <w:div w:id="1288850615">
      <w:bodyDiv w:val="1"/>
      <w:marLeft w:val="0"/>
      <w:marRight w:val="0"/>
      <w:marTop w:val="0"/>
      <w:marBottom w:val="0"/>
      <w:divBdr>
        <w:top w:val="none" w:sz="0" w:space="0" w:color="auto"/>
        <w:left w:val="none" w:sz="0" w:space="0" w:color="auto"/>
        <w:bottom w:val="none" w:sz="0" w:space="0" w:color="auto"/>
        <w:right w:val="none" w:sz="0" w:space="0" w:color="auto"/>
      </w:divBdr>
    </w:div>
    <w:div w:id="1288855392">
      <w:bodyDiv w:val="1"/>
      <w:marLeft w:val="0"/>
      <w:marRight w:val="0"/>
      <w:marTop w:val="0"/>
      <w:marBottom w:val="0"/>
      <w:divBdr>
        <w:top w:val="none" w:sz="0" w:space="0" w:color="auto"/>
        <w:left w:val="none" w:sz="0" w:space="0" w:color="auto"/>
        <w:bottom w:val="none" w:sz="0" w:space="0" w:color="auto"/>
        <w:right w:val="none" w:sz="0" w:space="0" w:color="auto"/>
      </w:divBdr>
    </w:div>
    <w:div w:id="1288973713">
      <w:bodyDiv w:val="1"/>
      <w:marLeft w:val="0"/>
      <w:marRight w:val="0"/>
      <w:marTop w:val="0"/>
      <w:marBottom w:val="0"/>
      <w:divBdr>
        <w:top w:val="none" w:sz="0" w:space="0" w:color="auto"/>
        <w:left w:val="none" w:sz="0" w:space="0" w:color="auto"/>
        <w:bottom w:val="none" w:sz="0" w:space="0" w:color="auto"/>
        <w:right w:val="none" w:sz="0" w:space="0" w:color="auto"/>
      </w:divBdr>
    </w:div>
    <w:div w:id="1289049754">
      <w:bodyDiv w:val="1"/>
      <w:marLeft w:val="0"/>
      <w:marRight w:val="0"/>
      <w:marTop w:val="0"/>
      <w:marBottom w:val="0"/>
      <w:divBdr>
        <w:top w:val="none" w:sz="0" w:space="0" w:color="auto"/>
        <w:left w:val="none" w:sz="0" w:space="0" w:color="auto"/>
        <w:bottom w:val="none" w:sz="0" w:space="0" w:color="auto"/>
        <w:right w:val="none" w:sz="0" w:space="0" w:color="auto"/>
      </w:divBdr>
    </w:div>
    <w:div w:id="1289315031">
      <w:bodyDiv w:val="1"/>
      <w:marLeft w:val="0"/>
      <w:marRight w:val="0"/>
      <w:marTop w:val="0"/>
      <w:marBottom w:val="0"/>
      <w:divBdr>
        <w:top w:val="none" w:sz="0" w:space="0" w:color="auto"/>
        <w:left w:val="none" w:sz="0" w:space="0" w:color="auto"/>
        <w:bottom w:val="none" w:sz="0" w:space="0" w:color="auto"/>
        <w:right w:val="none" w:sz="0" w:space="0" w:color="auto"/>
      </w:divBdr>
    </w:div>
    <w:div w:id="1289315067">
      <w:bodyDiv w:val="1"/>
      <w:marLeft w:val="0"/>
      <w:marRight w:val="0"/>
      <w:marTop w:val="0"/>
      <w:marBottom w:val="0"/>
      <w:divBdr>
        <w:top w:val="none" w:sz="0" w:space="0" w:color="auto"/>
        <w:left w:val="none" w:sz="0" w:space="0" w:color="auto"/>
        <w:bottom w:val="none" w:sz="0" w:space="0" w:color="auto"/>
        <w:right w:val="none" w:sz="0" w:space="0" w:color="auto"/>
      </w:divBdr>
    </w:div>
    <w:div w:id="1289316158">
      <w:bodyDiv w:val="1"/>
      <w:marLeft w:val="0"/>
      <w:marRight w:val="0"/>
      <w:marTop w:val="0"/>
      <w:marBottom w:val="0"/>
      <w:divBdr>
        <w:top w:val="none" w:sz="0" w:space="0" w:color="auto"/>
        <w:left w:val="none" w:sz="0" w:space="0" w:color="auto"/>
        <w:bottom w:val="none" w:sz="0" w:space="0" w:color="auto"/>
        <w:right w:val="none" w:sz="0" w:space="0" w:color="auto"/>
      </w:divBdr>
    </w:div>
    <w:div w:id="1289703582">
      <w:bodyDiv w:val="1"/>
      <w:marLeft w:val="0"/>
      <w:marRight w:val="0"/>
      <w:marTop w:val="0"/>
      <w:marBottom w:val="0"/>
      <w:divBdr>
        <w:top w:val="none" w:sz="0" w:space="0" w:color="auto"/>
        <w:left w:val="none" w:sz="0" w:space="0" w:color="auto"/>
        <w:bottom w:val="none" w:sz="0" w:space="0" w:color="auto"/>
        <w:right w:val="none" w:sz="0" w:space="0" w:color="auto"/>
      </w:divBdr>
    </w:div>
    <w:div w:id="1289748666">
      <w:bodyDiv w:val="1"/>
      <w:marLeft w:val="0"/>
      <w:marRight w:val="0"/>
      <w:marTop w:val="0"/>
      <w:marBottom w:val="0"/>
      <w:divBdr>
        <w:top w:val="none" w:sz="0" w:space="0" w:color="auto"/>
        <w:left w:val="none" w:sz="0" w:space="0" w:color="auto"/>
        <w:bottom w:val="none" w:sz="0" w:space="0" w:color="auto"/>
        <w:right w:val="none" w:sz="0" w:space="0" w:color="auto"/>
      </w:divBdr>
    </w:div>
    <w:div w:id="1289772955">
      <w:bodyDiv w:val="1"/>
      <w:marLeft w:val="0"/>
      <w:marRight w:val="0"/>
      <w:marTop w:val="0"/>
      <w:marBottom w:val="0"/>
      <w:divBdr>
        <w:top w:val="none" w:sz="0" w:space="0" w:color="auto"/>
        <w:left w:val="none" w:sz="0" w:space="0" w:color="auto"/>
        <w:bottom w:val="none" w:sz="0" w:space="0" w:color="auto"/>
        <w:right w:val="none" w:sz="0" w:space="0" w:color="auto"/>
      </w:divBdr>
    </w:div>
    <w:div w:id="1289777192">
      <w:bodyDiv w:val="1"/>
      <w:marLeft w:val="0"/>
      <w:marRight w:val="0"/>
      <w:marTop w:val="0"/>
      <w:marBottom w:val="0"/>
      <w:divBdr>
        <w:top w:val="none" w:sz="0" w:space="0" w:color="auto"/>
        <w:left w:val="none" w:sz="0" w:space="0" w:color="auto"/>
        <w:bottom w:val="none" w:sz="0" w:space="0" w:color="auto"/>
        <w:right w:val="none" w:sz="0" w:space="0" w:color="auto"/>
      </w:divBdr>
    </w:div>
    <w:div w:id="1289778233">
      <w:bodyDiv w:val="1"/>
      <w:marLeft w:val="0"/>
      <w:marRight w:val="0"/>
      <w:marTop w:val="0"/>
      <w:marBottom w:val="0"/>
      <w:divBdr>
        <w:top w:val="none" w:sz="0" w:space="0" w:color="auto"/>
        <w:left w:val="none" w:sz="0" w:space="0" w:color="auto"/>
        <w:bottom w:val="none" w:sz="0" w:space="0" w:color="auto"/>
        <w:right w:val="none" w:sz="0" w:space="0" w:color="auto"/>
      </w:divBdr>
    </w:div>
    <w:div w:id="1289822756">
      <w:bodyDiv w:val="1"/>
      <w:marLeft w:val="0"/>
      <w:marRight w:val="0"/>
      <w:marTop w:val="0"/>
      <w:marBottom w:val="0"/>
      <w:divBdr>
        <w:top w:val="none" w:sz="0" w:space="0" w:color="auto"/>
        <w:left w:val="none" w:sz="0" w:space="0" w:color="auto"/>
        <w:bottom w:val="none" w:sz="0" w:space="0" w:color="auto"/>
        <w:right w:val="none" w:sz="0" w:space="0" w:color="auto"/>
      </w:divBdr>
    </w:div>
    <w:div w:id="1289898408">
      <w:bodyDiv w:val="1"/>
      <w:marLeft w:val="0"/>
      <w:marRight w:val="0"/>
      <w:marTop w:val="0"/>
      <w:marBottom w:val="0"/>
      <w:divBdr>
        <w:top w:val="none" w:sz="0" w:space="0" w:color="auto"/>
        <w:left w:val="none" w:sz="0" w:space="0" w:color="auto"/>
        <w:bottom w:val="none" w:sz="0" w:space="0" w:color="auto"/>
        <w:right w:val="none" w:sz="0" w:space="0" w:color="auto"/>
      </w:divBdr>
    </w:div>
    <w:div w:id="1290012783">
      <w:bodyDiv w:val="1"/>
      <w:marLeft w:val="0"/>
      <w:marRight w:val="0"/>
      <w:marTop w:val="0"/>
      <w:marBottom w:val="0"/>
      <w:divBdr>
        <w:top w:val="none" w:sz="0" w:space="0" w:color="auto"/>
        <w:left w:val="none" w:sz="0" w:space="0" w:color="auto"/>
        <w:bottom w:val="none" w:sz="0" w:space="0" w:color="auto"/>
        <w:right w:val="none" w:sz="0" w:space="0" w:color="auto"/>
      </w:divBdr>
    </w:div>
    <w:div w:id="1290160330">
      <w:bodyDiv w:val="1"/>
      <w:marLeft w:val="0"/>
      <w:marRight w:val="0"/>
      <w:marTop w:val="0"/>
      <w:marBottom w:val="0"/>
      <w:divBdr>
        <w:top w:val="none" w:sz="0" w:space="0" w:color="auto"/>
        <w:left w:val="none" w:sz="0" w:space="0" w:color="auto"/>
        <w:bottom w:val="none" w:sz="0" w:space="0" w:color="auto"/>
        <w:right w:val="none" w:sz="0" w:space="0" w:color="auto"/>
      </w:divBdr>
    </w:div>
    <w:div w:id="1290208956">
      <w:bodyDiv w:val="1"/>
      <w:marLeft w:val="0"/>
      <w:marRight w:val="0"/>
      <w:marTop w:val="0"/>
      <w:marBottom w:val="0"/>
      <w:divBdr>
        <w:top w:val="none" w:sz="0" w:space="0" w:color="auto"/>
        <w:left w:val="none" w:sz="0" w:space="0" w:color="auto"/>
        <w:bottom w:val="none" w:sz="0" w:space="0" w:color="auto"/>
        <w:right w:val="none" w:sz="0" w:space="0" w:color="auto"/>
      </w:divBdr>
    </w:div>
    <w:div w:id="1290235636">
      <w:bodyDiv w:val="1"/>
      <w:marLeft w:val="0"/>
      <w:marRight w:val="0"/>
      <w:marTop w:val="0"/>
      <w:marBottom w:val="0"/>
      <w:divBdr>
        <w:top w:val="none" w:sz="0" w:space="0" w:color="auto"/>
        <w:left w:val="none" w:sz="0" w:space="0" w:color="auto"/>
        <w:bottom w:val="none" w:sz="0" w:space="0" w:color="auto"/>
        <w:right w:val="none" w:sz="0" w:space="0" w:color="auto"/>
      </w:divBdr>
    </w:div>
    <w:div w:id="1290429206">
      <w:bodyDiv w:val="1"/>
      <w:marLeft w:val="0"/>
      <w:marRight w:val="0"/>
      <w:marTop w:val="0"/>
      <w:marBottom w:val="0"/>
      <w:divBdr>
        <w:top w:val="none" w:sz="0" w:space="0" w:color="auto"/>
        <w:left w:val="none" w:sz="0" w:space="0" w:color="auto"/>
        <w:bottom w:val="none" w:sz="0" w:space="0" w:color="auto"/>
        <w:right w:val="none" w:sz="0" w:space="0" w:color="auto"/>
      </w:divBdr>
    </w:div>
    <w:div w:id="1290478494">
      <w:bodyDiv w:val="1"/>
      <w:marLeft w:val="0"/>
      <w:marRight w:val="0"/>
      <w:marTop w:val="0"/>
      <w:marBottom w:val="0"/>
      <w:divBdr>
        <w:top w:val="none" w:sz="0" w:space="0" w:color="auto"/>
        <w:left w:val="none" w:sz="0" w:space="0" w:color="auto"/>
        <w:bottom w:val="none" w:sz="0" w:space="0" w:color="auto"/>
        <w:right w:val="none" w:sz="0" w:space="0" w:color="auto"/>
      </w:divBdr>
    </w:div>
    <w:div w:id="1290480585">
      <w:bodyDiv w:val="1"/>
      <w:marLeft w:val="0"/>
      <w:marRight w:val="0"/>
      <w:marTop w:val="0"/>
      <w:marBottom w:val="0"/>
      <w:divBdr>
        <w:top w:val="none" w:sz="0" w:space="0" w:color="auto"/>
        <w:left w:val="none" w:sz="0" w:space="0" w:color="auto"/>
        <w:bottom w:val="none" w:sz="0" w:space="0" w:color="auto"/>
        <w:right w:val="none" w:sz="0" w:space="0" w:color="auto"/>
      </w:divBdr>
    </w:div>
    <w:div w:id="1290551623">
      <w:bodyDiv w:val="1"/>
      <w:marLeft w:val="0"/>
      <w:marRight w:val="0"/>
      <w:marTop w:val="0"/>
      <w:marBottom w:val="0"/>
      <w:divBdr>
        <w:top w:val="none" w:sz="0" w:space="0" w:color="auto"/>
        <w:left w:val="none" w:sz="0" w:space="0" w:color="auto"/>
        <w:bottom w:val="none" w:sz="0" w:space="0" w:color="auto"/>
        <w:right w:val="none" w:sz="0" w:space="0" w:color="auto"/>
      </w:divBdr>
    </w:div>
    <w:div w:id="1290627683">
      <w:bodyDiv w:val="1"/>
      <w:marLeft w:val="0"/>
      <w:marRight w:val="0"/>
      <w:marTop w:val="0"/>
      <w:marBottom w:val="0"/>
      <w:divBdr>
        <w:top w:val="none" w:sz="0" w:space="0" w:color="auto"/>
        <w:left w:val="none" w:sz="0" w:space="0" w:color="auto"/>
        <w:bottom w:val="none" w:sz="0" w:space="0" w:color="auto"/>
        <w:right w:val="none" w:sz="0" w:space="0" w:color="auto"/>
      </w:divBdr>
    </w:div>
    <w:div w:id="1290668903">
      <w:bodyDiv w:val="1"/>
      <w:marLeft w:val="0"/>
      <w:marRight w:val="0"/>
      <w:marTop w:val="0"/>
      <w:marBottom w:val="0"/>
      <w:divBdr>
        <w:top w:val="none" w:sz="0" w:space="0" w:color="auto"/>
        <w:left w:val="none" w:sz="0" w:space="0" w:color="auto"/>
        <w:bottom w:val="none" w:sz="0" w:space="0" w:color="auto"/>
        <w:right w:val="none" w:sz="0" w:space="0" w:color="auto"/>
      </w:divBdr>
    </w:div>
    <w:div w:id="1290748568">
      <w:bodyDiv w:val="1"/>
      <w:marLeft w:val="0"/>
      <w:marRight w:val="0"/>
      <w:marTop w:val="0"/>
      <w:marBottom w:val="0"/>
      <w:divBdr>
        <w:top w:val="none" w:sz="0" w:space="0" w:color="auto"/>
        <w:left w:val="none" w:sz="0" w:space="0" w:color="auto"/>
        <w:bottom w:val="none" w:sz="0" w:space="0" w:color="auto"/>
        <w:right w:val="none" w:sz="0" w:space="0" w:color="auto"/>
      </w:divBdr>
    </w:div>
    <w:div w:id="1290892854">
      <w:bodyDiv w:val="1"/>
      <w:marLeft w:val="0"/>
      <w:marRight w:val="0"/>
      <w:marTop w:val="0"/>
      <w:marBottom w:val="0"/>
      <w:divBdr>
        <w:top w:val="none" w:sz="0" w:space="0" w:color="auto"/>
        <w:left w:val="none" w:sz="0" w:space="0" w:color="auto"/>
        <w:bottom w:val="none" w:sz="0" w:space="0" w:color="auto"/>
        <w:right w:val="none" w:sz="0" w:space="0" w:color="auto"/>
      </w:divBdr>
    </w:div>
    <w:div w:id="1291130050">
      <w:bodyDiv w:val="1"/>
      <w:marLeft w:val="0"/>
      <w:marRight w:val="0"/>
      <w:marTop w:val="0"/>
      <w:marBottom w:val="0"/>
      <w:divBdr>
        <w:top w:val="none" w:sz="0" w:space="0" w:color="auto"/>
        <w:left w:val="none" w:sz="0" w:space="0" w:color="auto"/>
        <w:bottom w:val="none" w:sz="0" w:space="0" w:color="auto"/>
        <w:right w:val="none" w:sz="0" w:space="0" w:color="auto"/>
      </w:divBdr>
    </w:div>
    <w:div w:id="1291132153">
      <w:bodyDiv w:val="1"/>
      <w:marLeft w:val="0"/>
      <w:marRight w:val="0"/>
      <w:marTop w:val="0"/>
      <w:marBottom w:val="0"/>
      <w:divBdr>
        <w:top w:val="none" w:sz="0" w:space="0" w:color="auto"/>
        <w:left w:val="none" w:sz="0" w:space="0" w:color="auto"/>
        <w:bottom w:val="none" w:sz="0" w:space="0" w:color="auto"/>
        <w:right w:val="none" w:sz="0" w:space="0" w:color="auto"/>
      </w:divBdr>
    </w:div>
    <w:div w:id="1291474101">
      <w:bodyDiv w:val="1"/>
      <w:marLeft w:val="0"/>
      <w:marRight w:val="0"/>
      <w:marTop w:val="0"/>
      <w:marBottom w:val="0"/>
      <w:divBdr>
        <w:top w:val="none" w:sz="0" w:space="0" w:color="auto"/>
        <w:left w:val="none" w:sz="0" w:space="0" w:color="auto"/>
        <w:bottom w:val="none" w:sz="0" w:space="0" w:color="auto"/>
        <w:right w:val="none" w:sz="0" w:space="0" w:color="auto"/>
      </w:divBdr>
    </w:div>
    <w:div w:id="1291475369">
      <w:bodyDiv w:val="1"/>
      <w:marLeft w:val="0"/>
      <w:marRight w:val="0"/>
      <w:marTop w:val="0"/>
      <w:marBottom w:val="0"/>
      <w:divBdr>
        <w:top w:val="none" w:sz="0" w:space="0" w:color="auto"/>
        <w:left w:val="none" w:sz="0" w:space="0" w:color="auto"/>
        <w:bottom w:val="none" w:sz="0" w:space="0" w:color="auto"/>
        <w:right w:val="none" w:sz="0" w:space="0" w:color="auto"/>
      </w:divBdr>
    </w:div>
    <w:div w:id="1291590657">
      <w:bodyDiv w:val="1"/>
      <w:marLeft w:val="0"/>
      <w:marRight w:val="0"/>
      <w:marTop w:val="0"/>
      <w:marBottom w:val="0"/>
      <w:divBdr>
        <w:top w:val="none" w:sz="0" w:space="0" w:color="auto"/>
        <w:left w:val="none" w:sz="0" w:space="0" w:color="auto"/>
        <w:bottom w:val="none" w:sz="0" w:space="0" w:color="auto"/>
        <w:right w:val="none" w:sz="0" w:space="0" w:color="auto"/>
      </w:divBdr>
    </w:div>
    <w:div w:id="1291594816">
      <w:bodyDiv w:val="1"/>
      <w:marLeft w:val="0"/>
      <w:marRight w:val="0"/>
      <w:marTop w:val="0"/>
      <w:marBottom w:val="0"/>
      <w:divBdr>
        <w:top w:val="none" w:sz="0" w:space="0" w:color="auto"/>
        <w:left w:val="none" w:sz="0" w:space="0" w:color="auto"/>
        <w:bottom w:val="none" w:sz="0" w:space="0" w:color="auto"/>
        <w:right w:val="none" w:sz="0" w:space="0" w:color="auto"/>
      </w:divBdr>
    </w:div>
    <w:div w:id="1291663388">
      <w:bodyDiv w:val="1"/>
      <w:marLeft w:val="0"/>
      <w:marRight w:val="0"/>
      <w:marTop w:val="0"/>
      <w:marBottom w:val="0"/>
      <w:divBdr>
        <w:top w:val="none" w:sz="0" w:space="0" w:color="auto"/>
        <w:left w:val="none" w:sz="0" w:space="0" w:color="auto"/>
        <w:bottom w:val="none" w:sz="0" w:space="0" w:color="auto"/>
        <w:right w:val="none" w:sz="0" w:space="0" w:color="auto"/>
      </w:divBdr>
    </w:div>
    <w:div w:id="1291664762">
      <w:bodyDiv w:val="1"/>
      <w:marLeft w:val="0"/>
      <w:marRight w:val="0"/>
      <w:marTop w:val="0"/>
      <w:marBottom w:val="0"/>
      <w:divBdr>
        <w:top w:val="none" w:sz="0" w:space="0" w:color="auto"/>
        <w:left w:val="none" w:sz="0" w:space="0" w:color="auto"/>
        <w:bottom w:val="none" w:sz="0" w:space="0" w:color="auto"/>
        <w:right w:val="none" w:sz="0" w:space="0" w:color="auto"/>
      </w:divBdr>
    </w:div>
    <w:div w:id="1291671983">
      <w:bodyDiv w:val="1"/>
      <w:marLeft w:val="0"/>
      <w:marRight w:val="0"/>
      <w:marTop w:val="0"/>
      <w:marBottom w:val="0"/>
      <w:divBdr>
        <w:top w:val="none" w:sz="0" w:space="0" w:color="auto"/>
        <w:left w:val="none" w:sz="0" w:space="0" w:color="auto"/>
        <w:bottom w:val="none" w:sz="0" w:space="0" w:color="auto"/>
        <w:right w:val="none" w:sz="0" w:space="0" w:color="auto"/>
      </w:divBdr>
    </w:div>
    <w:div w:id="1291742590">
      <w:bodyDiv w:val="1"/>
      <w:marLeft w:val="0"/>
      <w:marRight w:val="0"/>
      <w:marTop w:val="0"/>
      <w:marBottom w:val="0"/>
      <w:divBdr>
        <w:top w:val="none" w:sz="0" w:space="0" w:color="auto"/>
        <w:left w:val="none" w:sz="0" w:space="0" w:color="auto"/>
        <w:bottom w:val="none" w:sz="0" w:space="0" w:color="auto"/>
        <w:right w:val="none" w:sz="0" w:space="0" w:color="auto"/>
      </w:divBdr>
    </w:div>
    <w:div w:id="1291745214">
      <w:bodyDiv w:val="1"/>
      <w:marLeft w:val="0"/>
      <w:marRight w:val="0"/>
      <w:marTop w:val="0"/>
      <w:marBottom w:val="0"/>
      <w:divBdr>
        <w:top w:val="none" w:sz="0" w:space="0" w:color="auto"/>
        <w:left w:val="none" w:sz="0" w:space="0" w:color="auto"/>
        <w:bottom w:val="none" w:sz="0" w:space="0" w:color="auto"/>
        <w:right w:val="none" w:sz="0" w:space="0" w:color="auto"/>
      </w:divBdr>
    </w:div>
    <w:div w:id="1291745425">
      <w:bodyDiv w:val="1"/>
      <w:marLeft w:val="0"/>
      <w:marRight w:val="0"/>
      <w:marTop w:val="0"/>
      <w:marBottom w:val="0"/>
      <w:divBdr>
        <w:top w:val="none" w:sz="0" w:space="0" w:color="auto"/>
        <w:left w:val="none" w:sz="0" w:space="0" w:color="auto"/>
        <w:bottom w:val="none" w:sz="0" w:space="0" w:color="auto"/>
        <w:right w:val="none" w:sz="0" w:space="0" w:color="auto"/>
      </w:divBdr>
    </w:div>
    <w:div w:id="1291786874">
      <w:bodyDiv w:val="1"/>
      <w:marLeft w:val="0"/>
      <w:marRight w:val="0"/>
      <w:marTop w:val="0"/>
      <w:marBottom w:val="0"/>
      <w:divBdr>
        <w:top w:val="none" w:sz="0" w:space="0" w:color="auto"/>
        <w:left w:val="none" w:sz="0" w:space="0" w:color="auto"/>
        <w:bottom w:val="none" w:sz="0" w:space="0" w:color="auto"/>
        <w:right w:val="none" w:sz="0" w:space="0" w:color="auto"/>
      </w:divBdr>
    </w:div>
    <w:div w:id="1291788728">
      <w:bodyDiv w:val="1"/>
      <w:marLeft w:val="0"/>
      <w:marRight w:val="0"/>
      <w:marTop w:val="0"/>
      <w:marBottom w:val="0"/>
      <w:divBdr>
        <w:top w:val="none" w:sz="0" w:space="0" w:color="auto"/>
        <w:left w:val="none" w:sz="0" w:space="0" w:color="auto"/>
        <w:bottom w:val="none" w:sz="0" w:space="0" w:color="auto"/>
        <w:right w:val="none" w:sz="0" w:space="0" w:color="auto"/>
      </w:divBdr>
    </w:div>
    <w:div w:id="1291860118">
      <w:bodyDiv w:val="1"/>
      <w:marLeft w:val="0"/>
      <w:marRight w:val="0"/>
      <w:marTop w:val="0"/>
      <w:marBottom w:val="0"/>
      <w:divBdr>
        <w:top w:val="none" w:sz="0" w:space="0" w:color="auto"/>
        <w:left w:val="none" w:sz="0" w:space="0" w:color="auto"/>
        <w:bottom w:val="none" w:sz="0" w:space="0" w:color="auto"/>
        <w:right w:val="none" w:sz="0" w:space="0" w:color="auto"/>
      </w:divBdr>
    </w:div>
    <w:div w:id="1291979259">
      <w:bodyDiv w:val="1"/>
      <w:marLeft w:val="0"/>
      <w:marRight w:val="0"/>
      <w:marTop w:val="0"/>
      <w:marBottom w:val="0"/>
      <w:divBdr>
        <w:top w:val="none" w:sz="0" w:space="0" w:color="auto"/>
        <w:left w:val="none" w:sz="0" w:space="0" w:color="auto"/>
        <w:bottom w:val="none" w:sz="0" w:space="0" w:color="auto"/>
        <w:right w:val="none" w:sz="0" w:space="0" w:color="auto"/>
      </w:divBdr>
    </w:div>
    <w:div w:id="1291983634">
      <w:bodyDiv w:val="1"/>
      <w:marLeft w:val="0"/>
      <w:marRight w:val="0"/>
      <w:marTop w:val="0"/>
      <w:marBottom w:val="0"/>
      <w:divBdr>
        <w:top w:val="none" w:sz="0" w:space="0" w:color="auto"/>
        <w:left w:val="none" w:sz="0" w:space="0" w:color="auto"/>
        <w:bottom w:val="none" w:sz="0" w:space="0" w:color="auto"/>
        <w:right w:val="none" w:sz="0" w:space="0" w:color="auto"/>
      </w:divBdr>
    </w:div>
    <w:div w:id="1292125759">
      <w:bodyDiv w:val="1"/>
      <w:marLeft w:val="0"/>
      <w:marRight w:val="0"/>
      <w:marTop w:val="0"/>
      <w:marBottom w:val="0"/>
      <w:divBdr>
        <w:top w:val="none" w:sz="0" w:space="0" w:color="auto"/>
        <w:left w:val="none" w:sz="0" w:space="0" w:color="auto"/>
        <w:bottom w:val="none" w:sz="0" w:space="0" w:color="auto"/>
        <w:right w:val="none" w:sz="0" w:space="0" w:color="auto"/>
      </w:divBdr>
    </w:div>
    <w:div w:id="1292131352">
      <w:bodyDiv w:val="1"/>
      <w:marLeft w:val="0"/>
      <w:marRight w:val="0"/>
      <w:marTop w:val="0"/>
      <w:marBottom w:val="0"/>
      <w:divBdr>
        <w:top w:val="none" w:sz="0" w:space="0" w:color="auto"/>
        <w:left w:val="none" w:sz="0" w:space="0" w:color="auto"/>
        <w:bottom w:val="none" w:sz="0" w:space="0" w:color="auto"/>
        <w:right w:val="none" w:sz="0" w:space="0" w:color="auto"/>
      </w:divBdr>
    </w:div>
    <w:div w:id="1292203074">
      <w:bodyDiv w:val="1"/>
      <w:marLeft w:val="0"/>
      <w:marRight w:val="0"/>
      <w:marTop w:val="0"/>
      <w:marBottom w:val="0"/>
      <w:divBdr>
        <w:top w:val="none" w:sz="0" w:space="0" w:color="auto"/>
        <w:left w:val="none" w:sz="0" w:space="0" w:color="auto"/>
        <w:bottom w:val="none" w:sz="0" w:space="0" w:color="auto"/>
        <w:right w:val="none" w:sz="0" w:space="0" w:color="auto"/>
      </w:divBdr>
    </w:div>
    <w:div w:id="1292246547">
      <w:bodyDiv w:val="1"/>
      <w:marLeft w:val="0"/>
      <w:marRight w:val="0"/>
      <w:marTop w:val="0"/>
      <w:marBottom w:val="0"/>
      <w:divBdr>
        <w:top w:val="none" w:sz="0" w:space="0" w:color="auto"/>
        <w:left w:val="none" w:sz="0" w:space="0" w:color="auto"/>
        <w:bottom w:val="none" w:sz="0" w:space="0" w:color="auto"/>
        <w:right w:val="none" w:sz="0" w:space="0" w:color="auto"/>
      </w:divBdr>
    </w:div>
    <w:div w:id="1292248838">
      <w:bodyDiv w:val="1"/>
      <w:marLeft w:val="0"/>
      <w:marRight w:val="0"/>
      <w:marTop w:val="0"/>
      <w:marBottom w:val="0"/>
      <w:divBdr>
        <w:top w:val="none" w:sz="0" w:space="0" w:color="auto"/>
        <w:left w:val="none" w:sz="0" w:space="0" w:color="auto"/>
        <w:bottom w:val="none" w:sz="0" w:space="0" w:color="auto"/>
        <w:right w:val="none" w:sz="0" w:space="0" w:color="auto"/>
      </w:divBdr>
    </w:div>
    <w:div w:id="1292324022">
      <w:bodyDiv w:val="1"/>
      <w:marLeft w:val="0"/>
      <w:marRight w:val="0"/>
      <w:marTop w:val="0"/>
      <w:marBottom w:val="0"/>
      <w:divBdr>
        <w:top w:val="none" w:sz="0" w:space="0" w:color="auto"/>
        <w:left w:val="none" w:sz="0" w:space="0" w:color="auto"/>
        <w:bottom w:val="none" w:sz="0" w:space="0" w:color="auto"/>
        <w:right w:val="none" w:sz="0" w:space="0" w:color="auto"/>
      </w:divBdr>
    </w:div>
    <w:div w:id="1292394519">
      <w:bodyDiv w:val="1"/>
      <w:marLeft w:val="0"/>
      <w:marRight w:val="0"/>
      <w:marTop w:val="0"/>
      <w:marBottom w:val="0"/>
      <w:divBdr>
        <w:top w:val="none" w:sz="0" w:space="0" w:color="auto"/>
        <w:left w:val="none" w:sz="0" w:space="0" w:color="auto"/>
        <w:bottom w:val="none" w:sz="0" w:space="0" w:color="auto"/>
        <w:right w:val="none" w:sz="0" w:space="0" w:color="auto"/>
      </w:divBdr>
    </w:div>
    <w:div w:id="1292395442">
      <w:bodyDiv w:val="1"/>
      <w:marLeft w:val="0"/>
      <w:marRight w:val="0"/>
      <w:marTop w:val="0"/>
      <w:marBottom w:val="0"/>
      <w:divBdr>
        <w:top w:val="none" w:sz="0" w:space="0" w:color="auto"/>
        <w:left w:val="none" w:sz="0" w:space="0" w:color="auto"/>
        <w:bottom w:val="none" w:sz="0" w:space="0" w:color="auto"/>
        <w:right w:val="none" w:sz="0" w:space="0" w:color="auto"/>
      </w:divBdr>
    </w:div>
    <w:div w:id="1292638890">
      <w:bodyDiv w:val="1"/>
      <w:marLeft w:val="0"/>
      <w:marRight w:val="0"/>
      <w:marTop w:val="0"/>
      <w:marBottom w:val="0"/>
      <w:divBdr>
        <w:top w:val="none" w:sz="0" w:space="0" w:color="auto"/>
        <w:left w:val="none" w:sz="0" w:space="0" w:color="auto"/>
        <w:bottom w:val="none" w:sz="0" w:space="0" w:color="auto"/>
        <w:right w:val="none" w:sz="0" w:space="0" w:color="auto"/>
      </w:divBdr>
    </w:div>
    <w:div w:id="1292664231">
      <w:bodyDiv w:val="1"/>
      <w:marLeft w:val="0"/>
      <w:marRight w:val="0"/>
      <w:marTop w:val="0"/>
      <w:marBottom w:val="0"/>
      <w:divBdr>
        <w:top w:val="none" w:sz="0" w:space="0" w:color="auto"/>
        <w:left w:val="none" w:sz="0" w:space="0" w:color="auto"/>
        <w:bottom w:val="none" w:sz="0" w:space="0" w:color="auto"/>
        <w:right w:val="none" w:sz="0" w:space="0" w:color="auto"/>
      </w:divBdr>
    </w:div>
    <w:div w:id="1292664672">
      <w:bodyDiv w:val="1"/>
      <w:marLeft w:val="0"/>
      <w:marRight w:val="0"/>
      <w:marTop w:val="0"/>
      <w:marBottom w:val="0"/>
      <w:divBdr>
        <w:top w:val="none" w:sz="0" w:space="0" w:color="auto"/>
        <w:left w:val="none" w:sz="0" w:space="0" w:color="auto"/>
        <w:bottom w:val="none" w:sz="0" w:space="0" w:color="auto"/>
        <w:right w:val="none" w:sz="0" w:space="0" w:color="auto"/>
      </w:divBdr>
    </w:div>
    <w:div w:id="1292781471">
      <w:bodyDiv w:val="1"/>
      <w:marLeft w:val="0"/>
      <w:marRight w:val="0"/>
      <w:marTop w:val="0"/>
      <w:marBottom w:val="0"/>
      <w:divBdr>
        <w:top w:val="none" w:sz="0" w:space="0" w:color="auto"/>
        <w:left w:val="none" w:sz="0" w:space="0" w:color="auto"/>
        <w:bottom w:val="none" w:sz="0" w:space="0" w:color="auto"/>
        <w:right w:val="none" w:sz="0" w:space="0" w:color="auto"/>
      </w:divBdr>
    </w:div>
    <w:div w:id="1292902020">
      <w:bodyDiv w:val="1"/>
      <w:marLeft w:val="0"/>
      <w:marRight w:val="0"/>
      <w:marTop w:val="0"/>
      <w:marBottom w:val="0"/>
      <w:divBdr>
        <w:top w:val="none" w:sz="0" w:space="0" w:color="auto"/>
        <w:left w:val="none" w:sz="0" w:space="0" w:color="auto"/>
        <w:bottom w:val="none" w:sz="0" w:space="0" w:color="auto"/>
        <w:right w:val="none" w:sz="0" w:space="0" w:color="auto"/>
      </w:divBdr>
    </w:div>
    <w:div w:id="1292982072">
      <w:bodyDiv w:val="1"/>
      <w:marLeft w:val="0"/>
      <w:marRight w:val="0"/>
      <w:marTop w:val="0"/>
      <w:marBottom w:val="0"/>
      <w:divBdr>
        <w:top w:val="none" w:sz="0" w:space="0" w:color="auto"/>
        <w:left w:val="none" w:sz="0" w:space="0" w:color="auto"/>
        <w:bottom w:val="none" w:sz="0" w:space="0" w:color="auto"/>
        <w:right w:val="none" w:sz="0" w:space="0" w:color="auto"/>
      </w:divBdr>
    </w:div>
    <w:div w:id="1293050348">
      <w:bodyDiv w:val="1"/>
      <w:marLeft w:val="0"/>
      <w:marRight w:val="0"/>
      <w:marTop w:val="0"/>
      <w:marBottom w:val="0"/>
      <w:divBdr>
        <w:top w:val="none" w:sz="0" w:space="0" w:color="auto"/>
        <w:left w:val="none" w:sz="0" w:space="0" w:color="auto"/>
        <w:bottom w:val="none" w:sz="0" w:space="0" w:color="auto"/>
        <w:right w:val="none" w:sz="0" w:space="0" w:color="auto"/>
      </w:divBdr>
    </w:div>
    <w:div w:id="1293056855">
      <w:bodyDiv w:val="1"/>
      <w:marLeft w:val="0"/>
      <w:marRight w:val="0"/>
      <w:marTop w:val="0"/>
      <w:marBottom w:val="0"/>
      <w:divBdr>
        <w:top w:val="none" w:sz="0" w:space="0" w:color="auto"/>
        <w:left w:val="none" w:sz="0" w:space="0" w:color="auto"/>
        <w:bottom w:val="none" w:sz="0" w:space="0" w:color="auto"/>
        <w:right w:val="none" w:sz="0" w:space="0" w:color="auto"/>
      </w:divBdr>
    </w:div>
    <w:div w:id="1293095324">
      <w:bodyDiv w:val="1"/>
      <w:marLeft w:val="0"/>
      <w:marRight w:val="0"/>
      <w:marTop w:val="0"/>
      <w:marBottom w:val="0"/>
      <w:divBdr>
        <w:top w:val="none" w:sz="0" w:space="0" w:color="auto"/>
        <w:left w:val="none" w:sz="0" w:space="0" w:color="auto"/>
        <w:bottom w:val="none" w:sz="0" w:space="0" w:color="auto"/>
        <w:right w:val="none" w:sz="0" w:space="0" w:color="auto"/>
      </w:divBdr>
    </w:div>
    <w:div w:id="1293172804">
      <w:bodyDiv w:val="1"/>
      <w:marLeft w:val="0"/>
      <w:marRight w:val="0"/>
      <w:marTop w:val="0"/>
      <w:marBottom w:val="0"/>
      <w:divBdr>
        <w:top w:val="none" w:sz="0" w:space="0" w:color="auto"/>
        <w:left w:val="none" w:sz="0" w:space="0" w:color="auto"/>
        <w:bottom w:val="none" w:sz="0" w:space="0" w:color="auto"/>
        <w:right w:val="none" w:sz="0" w:space="0" w:color="auto"/>
      </w:divBdr>
    </w:div>
    <w:div w:id="1293288624">
      <w:bodyDiv w:val="1"/>
      <w:marLeft w:val="0"/>
      <w:marRight w:val="0"/>
      <w:marTop w:val="0"/>
      <w:marBottom w:val="0"/>
      <w:divBdr>
        <w:top w:val="none" w:sz="0" w:space="0" w:color="auto"/>
        <w:left w:val="none" w:sz="0" w:space="0" w:color="auto"/>
        <w:bottom w:val="none" w:sz="0" w:space="0" w:color="auto"/>
        <w:right w:val="none" w:sz="0" w:space="0" w:color="auto"/>
      </w:divBdr>
    </w:div>
    <w:div w:id="1293369332">
      <w:bodyDiv w:val="1"/>
      <w:marLeft w:val="0"/>
      <w:marRight w:val="0"/>
      <w:marTop w:val="0"/>
      <w:marBottom w:val="0"/>
      <w:divBdr>
        <w:top w:val="none" w:sz="0" w:space="0" w:color="auto"/>
        <w:left w:val="none" w:sz="0" w:space="0" w:color="auto"/>
        <w:bottom w:val="none" w:sz="0" w:space="0" w:color="auto"/>
        <w:right w:val="none" w:sz="0" w:space="0" w:color="auto"/>
      </w:divBdr>
    </w:div>
    <w:div w:id="1293436385">
      <w:bodyDiv w:val="1"/>
      <w:marLeft w:val="0"/>
      <w:marRight w:val="0"/>
      <w:marTop w:val="0"/>
      <w:marBottom w:val="0"/>
      <w:divBdr>
        <w:top w:val="none" w:sz="0" w:space="0" w:color="auto"/>
        <w:left w:val="none" w:sz="0" w:space="0" w:color="auto"/>
        <w:bottom w:val="none" w:sz="0" w:space="0" w:color="auto"/>
        <w:right w:val="none" w:sz="0" w:space="0" w:color="auto"/>
      </w:divBdr>
    </w:div>
    <w:div w:id="1293487141">
      <w:bodyDiv w:val="1"/>
      <w:marLeft w:val="0"/>
      <w:marRight w:val="0"/>
      <w:marTop w:val="0"/>
      <w:marBottom w:val="0"/>
      <w:divBdr>
        <w:top w:val="none" w:sz="0" w:space="0" w:color="auto"/>
        <w:left w:val="none" w:sz="0" w:space="0" w:color="auto"/>
        <w:bottom w:val="none" w:sz="0" w:space="0" w:color="auto"/>
        <w:right w:val="none" w:sz="0" w:space="0" w:color="auto"/>
      </w:divBdr>
    </w:div>
    <w:div w:id="1293487618">
      <w:bodyDiv w:val="1"/>
      <w:marLeft w:val="0"/>
      <w:marRight w:val="0"/>
      <w:marTop w:val="0"/>
      <w:marBottom w:val="0"/>
      <w:divBdr>
        <w:top w:val="none" w:sz="0" w:space="0" w:color="auto"/>
        <w:left w:val="none" w:sz="0" w:space="0" w:color="auto"/>
        <w:bottom w:val="none" w:sz="0" w:space="0" w:color="auto"/>
        <w:right w:val="none" w:sz="0" w:space="0" w:color="auto"/>
      </w:divBdr>
    </w:div>
    <w:div w:id="1293514790">
      <w:bodyDiv w:val="1"/>
      <w:marLeft w:val="0"/>
      <w:marRight w:val="0"/>
      <w:marTop w:val="0"/>
      <w:marBottom w:val="0"/>
      <w:divBdr>
        <w:top w:val="none" w:sz="0" w:space="0" w:color="auto"/>
        <w:left w:val="none" w:sz="0" w:space="0" w:color="auto"/>
        <w:bottom w:val="none" w:sz="0" w:space="0" w:color="auto"/>
        <w:right w:val="none" w:sz="0" w:space="0" w:color="auto"/>
      </w:divBdr>
    </w:div>
    <w:div w:id="1293709269">
      <w:bodyDiv w:val="1"/>
      <w:marLeft w:val="0"/>
      <w:marRight w:val="0"/>
      <w:marTop w:val="0"/>
      <w:marBottom w:val="0"/>
      <w:divBdr>
        <w:top w:val="none" w:sz="0" w:space="0" w:color="auto"/>
        <w:left w:val="none" w:sz="0" w:space="0" w:color="auto"/>
        <w:bottom w:val="none" w:sz="0" w:space="0" w:color="auto"/>
        <w:right w:val="none" w:sz="0" w:space="0" w:color="auto"/>
      </w:divBdr>
    </w:div>
    <w:div w:id="1293748608">
      <w:bodyDiv w:val="1"/>
      <w:marLeft w:val="0"/>
      <w:marRight w:val="0"/>
      <w:marTop w:val="0"/>
      <w:marBottom w:val="0"/>
      <w:divBdr>
        <w:top w:val="none" w:sz="0" w:space="0" w:color="auto"/>
        <w:left w:val="none" w:sz="0" w:space="0" w:color="auto"/>
        <w:bottom w:val="none" w:sz="0" w:space="0" w:color="auto"/>
        <w:right w:val="none" w:sz="0" w:space="0" w:color="auto"/>
      </w:divBdr>
    </w:div>
    <w:div w:id="1293749157">
      <w:bodyDiv w:val="1"/>
      <w:marLeft w:val="0"/>
      <w:marRight w:val="0"/>
      <w:marTop w:val="0"/>
      <w:marBottom w:val="0"/>
      <w:divBdr>
        <w:top w:val="none" w:sz="0" w:space="0" w:color="auto"/>
        <w:left w:val="none" w:sz="0" w:space="0" w:color="auto"/>
        <w:bottom w:val="none" w:sz="0" w:space="0" w:color="auto"/>
        <w:right w:val="none" w:sz="0" w:space="0" w:color="auto"/>
      </w:divBdr>
    </w:div>
    <w:div w:id="1293755719">
      <w:bodyDiv w:val="1"/>
      <w:marLeft w:val="0"/>
      <w:marRight w:val="0"/>
      <w:marTop w:val="0"/>
      <w:marBottom w:val="0"/>
      <w:divBdr>
        <w:top w:val="none" w:sz="0" w:space="0" w:color="auto"/>
        <w:left w:val="none" w:sz="0" w:space="0" w:color="auto"/>
        <w:bottom w:val="none" w:sz="0" w:space="0" w:color="auto"/>
        <w:right w:val="none" w:sz="0" w:space="0" w:color="auto"/>
      </w:divBdr>
    </w:div>
    <w:div w:id="1293829702">
      <w:bodyDiv w:val="1"/>
      <w:marLeft w:val="0"/>
      <w:marRight w:val="0"/>
      <w:marTop w:val="0"/>
      <w:marBottom w:val="0"/>
      <w:divBdr>
        <w:top w:val="none" w:sz="0" w:space="0" w:color="auto"/>
        <w:left w:val="none" w:sz="0" w:space="0" w:color="auto"/>
        <w:bottom w:val="none" w:sz="0" w:space="0" w:color="auto"/>
        <w:right w:val="none" w:sz="0" w:space="0" w:color="auto"/>
      </w:divBdr>
    </w:div>
    <w:div w:id="1294215904">
      <w:bodyDiv w:val="1"/>
      <w:marLeft w:val="0"/>
      <w:marRight w:val="0"/>
      <w:marTop w:val="0"/>
      <w:marBottom w:val="0"/>
      <w:divBdr>
        <w:top w:val="none" w:sz="0" w:space="0" w:color="auto"/>
        <w:left w:val="none" w:sz="0" w:space="0" w:color="auto"/>
        <w:bottom w:val="none" w:sz="0" w:space="0" w:color="auto"/>
        <w:right w:val="none" w:sz="0" w:space="0" w:color="auto"/>
      </w:divBdr>
    </w:div>
    <w:div w:id="1294216900">
      <w:bodyDiv w:val="1"/>
      <w:marLeft w:val="0"/>
      <w:marRight w:val="0"/>
      <w:marTop w:val="0"/>
      <w:marBottom w:val="0"/>
      <w:divBdr>
        <w:top w:val="none" w:sz="0" w:space="0" w:color="auto"/>
        <w:left w:val="none" w:sz="0" w:space="0" w:color="auto"/>
        <w:bottom w:val="none" w:sz="0" w:space="0" w:color="auto"/>
        <w:right w:val="none" w:sz="0" w:space="0" w:color="auto"/>
      </w:divBdr>
    </w:div>
    <w:div w:id="1294406127">
      <w:bodyDiv w:val="1"/>
      <w:marLeft w:val="0"/>
      <w:marRight w:val="0"/>
      <w:marTop w:val="0"/>
      <w:marBottom w:val="0"/>
      <w:divBdr>
        <w:top w:val="none" w:sz="0" w:space="0" w:color="auto"/>
        <w:left w:val="none" w:sz="0" w:space="0" w:color="auto"/>
        <w:bottom w:val="none" w:sz="0" w:space="0" w:color="auto"/>
        <w:right w:val="none" w:sz="0" w:space="0" w:color="auto"/>
      </w:divBdr>
    </w:div>
    <w:div w:id="1294480876">
      <w:bodyDiv w:val="1"/>
      <w:marLeft w:val="0"/>
      <w:marRight w:val="0"/>
      <w:marTop w:val="0"/>
      <w:marBottom w:val="0"/>
      <w:divBdr>
        <w:top w:val="none" w:sz="0" w:space="0" w:color="auto"/>
        <w:left w:val="none" w:sz="0" w:space="0" w:color="auto"/>
        <w:bottom w:val="none" w:sz="0" w:space="0" w:color="auto"/>
        <w:right w:val="none" w:sz="0" w:space="0" w:color="auto"/>
      </w:divBdr>
    </w:div>
    <w:div w:id="1294482713">
      <w:bodyDiv w:val="1"/>
      <w:marLeft w:val="0"/>
      <w:marRight w:val="0"/>
      <w:marTop w:val="0"/>
      <w:marBottom w:val="0"/>
      <w:divBdr>
        <w:top w:val="none" w:sz="0" w:space="0" w:color="auto"/>
        <w:left w:val="none" w:sz="0" w:space="0" w:color="auto"/>
        <w:bottom w:val="none" w:sz="0" w:space="0" w:color="auto"/>
        <w:right w:val="none" w:sz="0" w:space="0" w:color="auto"/>
      </w:divBdr>
    </w:div>
    <w:div w:id="1294483553">
      <w:bodyDiv w:val="1"/>
      <w:marLeft w:val="0"/>
      <w:marRight w:val="0"/>
      <w:marTop w:val="0"/>
      <w:marBottom w:val="0"/>
      <w:divBdr>
        <w:top w:val="none" w:sz="0" w:space="0" w:color="auto"/>
        <w:left w:val="none" w:sz="0" w:space="0" w:color="auto"/>
        <w:bottom w:val="none" w:sz="0" w:space="0" w:color="auto"/>
        <w:right w:val="none" w:sz="0" w:space="0" w:color="auto"/>
      </w:divBdr>
    </w:div>
    <w:div w:id="1294484227">
      <w:bodyDiv w:val="1"/>
      <w:marLeft w:val="0"/>
      <w:marRight w:val="0"/>
      <w:marTop w:val="0"/>
      <w:marBottom w:val="0"/>
      <w:divBdr>
        <w:top w:val="none" w:sz="0" w:space="0" w:color="auto"/>
        <w:left w:val="none" w:sz="0" w:space="0" w:color="auto"/>
        <w:bottom w:val="none" w:sz="0" w:space="0" w:color="auto"/>
        <w:right w:val="none" w:sz="0" w:space="0" w:color="auto"/>
      </w:divBdr>
    </w:div>
    <w:div w:id="1294485645">
      <w:bodyDiv w:val="1"/>
      <w:marLeft w:val="0"/>
      <w:marRight w:val="0"/>
      <w:marTop w:val="0"/>
      <w:marBottom w:val="0"/>
      <w:divBdr>
        <w:top w:val="none" w:sz="0" w:space="0" w:color="auto"/>
        <w:left w:val="none" w:sz="0" w:space="0" w:color="auto"/>
        <w:bottom w:val="none" w:sz="0" w:space="0" w:color="auto"/>
        <w:right w:val="none" w:sz="0" w:space="0" w:color="auto"/>
      </w:divBdr>
    </w:div>
    <w:div w:id="1294679356">
      <w:bodyDiv w:val="1"/>
      <w:marLeft w:val="0"/>
      <w:marRight w:val="0"/>
      <w:marTop w:val="0"/>
      <w:marBottom w:val="0"/>
      <w:divBdr>
        <w:top w:val="none" w:sz="0" w:space="0" w:color="auto"/>
        <w:left w:val="none" w:sz="0" w:space="0" w:color="auto"/>
        <w:bottom w:val="none" w:sz="0" w:space="0" w:color="auto"/>
        <w:right w:val="none" w:sz="0" w:space="0" w:color="auto"/>
      </w:divBdr>
    </w:div>
    <w:div w:id="1294948297">
      <w:bodyDiv w:val="1"/>
      <w:marLeft w:val="0"/>
      <w:marRight w:val="0"/>
      <w:marTop w:val="0"/>
      <w:marBottom w:val="0"/>
      <w:divBdr>
        <w:top w:val="none" w:sz="0" w:space="0" w:color="auto"/>
        <w:left w:val="none" w:sz="0" w:space="0" w:color="auto"/>
        <w:bottom w:val="none" w:sz="0" w:space="0" w:color="auto"/>
        <w:right w:val="none" w:sz="0" w:space="0" w:color="auto"/>
      </w:divBdr>
    </w:div>
    <w:div w:id="1295059837">
      <w:bodyDiv w:val="1"/>
      <w:marLeft w:val="0"/>
      <w:marRight w:val="0"/>
      <w:marTop w:val="0"/>
      <w:marBottom w:val="0"/>
      <w:divBdr>
        <w:top w:val="none" w:sz="0" w:space="0" w:color="auto"/>
        <w:left w:val="none" w:sz="0" w:space="0" w:color="auto"/>
        <w:bottom w:val="none" w:sz="0" w:space="0" w:color="auto"/>
        <w:right w:val="none" w:sz="0" w:space="0" w:color="auto"/>
      </w:divBdr>
    </w:div>
    <w:div w:id="1295140967">
      <w:bodyDiv w:val="1"/>
      <w:marLeft w:val="0"/>
      <w:marRight w:val="0"/>
      <w:marTop w:val="0"/>
      <w:marBottom w:val="0"/>
      <w:divBdr>
        <w:top w:val="none" w:sz="0" w:space="0" w:color="auto"/>
        <w:left w:val="none" w:sz="0" w:space="0" w:color="auto"/>
        <w:bottom w:val="none" w:sz="0" w:space="0" w:color="auto"/>
        <w:right w:val="none" w:sz="0" w:space="0" w:color="auto"/>
      </w:divBdr>
    </w:div>
    <w:div w:id="1295215086">
      <w:bodyDiv w:val="1"/>
      <w:marLeft w:val="0"/>
      <w:marRight w:val="0"/>
      <w:marTop w:val="0"/>
      <w:marBottom w:val="0"/>
      <w:divBdr>
        <w:top w:val="none" w:sz="0" w:space="0" w:color="auto"/>
        <w:left w:val="none" w:sz="0" w:space="0" w:color="auto"/>
        <w:bottom w:val="none" w:sz="0" w:space="0" w:color="auto"/>
        <w:right w:val="none" w:sz="0" w:space="0" w:color="auto"/>
      </w:divBdr>
    </w:div>
    <w:div w:id="1295595246">
      <w:bodyDiv w:val="1"/>
      <w:marLeft w:val="0"/>
      <w:marRight w:val="0"/>
      <w:marTop w:val="0"/>
      <w:marBottom w:val="0"/>
      <w:divBdr>
        <w:top w:val="none" w:sz="0" w:space="0" w:color="auto"/>
        <w:left w:val="none" w:sz="0" w:space="0" w:color="auto"/>
        <w:bottom w:val="none" w:sz="0" w:space="0" w:color="auto"/>
        <w:right w:val="none" w:sz="0" w:space="0" w:color="auto"/>
      </w:divBdr>
    </w:div>
    <w:div w:id="1295604462">
      <w:bodyDiv w:val="1"/>
      <w:marLeft w:val="0"/>
      <w:marRight w:val="0"/>
      <w:marTop w:val="0"/>
      <w:marBottom w:val="0"/>
      <w:divBdr>
        <w:top w:val="none" w:sz="0" w:space="0" w:color="auto"/>
        <w:left w:val="none" w:sz="0" w:space="0" w:color="auto"/>
        <w:bottom w:val="none" w:sz="0" w:space="0" w:color="auto"/>
        <w:right w:val="none" w:sz="0" w:space="0" w:color="auto"/>
      </w:divBdr>
    </w:div>
    <w:div w:id="1295646995">
      <w:bodyDiv w:val="1"/>
      <w:marLeft w:val="0"/>
      <w:marRight w:val="0"/>
      <w:marTop w:val="0"/>
      <w:marBottom w:val="0"/>
      <w:divBdr>
        <w:top w:val="none" w:sz="0" w:space="0" w:color="auto"/>
        <w:left w:val="none" w:sz="0" w:space="0" w:color="auto"/>
        <w:bottom w:val="none" w:sz="0" w:space="0" w:color="auto"/>
        <w:right w:val="none" w:sz="0" w:space="0" w:color="auto"/>
      </w:divBdr>
    </w:div>
    <w:div w:id="1295672511">
      <w:bodyDiv w:val="1"/>
      <w:marLeft w:val="0"/>
      <w:marRight w:val="0"/>
      <w:marTop w:val="0"/>
      <w:marBottom w:val="0"/>
      <w:divBdr>
        <w:top w:val="none" w:sz="0" w:space="0" w:color="auto"/>
        <w:left w:val="none" w:sz="0" w:space="0" w:color="auto"/>
        <w:bottom w:val="none" w:sz="0" w:space="0" w:color="auto"/>
        <w:right w:val="none" w:sz="0" w:space="0" w:color="auto"/>
      </w:divBdr>
    </w:div>
    <w:div w:id="1295673086">
      <w:bodyDiv w:val="1"/>
      <w:marLeft w:val="0"/>
      <w:marRight w:val="0"/>
      <w:marTop w:val="0"/>
      <w:marBottom w:val="0"/>
      <w:divBdr>
        <w:top w:val="none" w:sz="0" w:space="0" w:color="auto"/>
        <w:left w:val="none" w:sz="0" w:space="0" w:color="auto"/>
        <w:bottom w:val="none" w:sz="0" w:space="0" w:color="auto"/>
        <w:right w:val="none" w:sz="0" w:space="0" w:color="auto"/>
      </w:divBdr>
    </w:div>
    <w:div w:id="1295677027">
      <w:bodyDiv w:val="1"/>
      <w:marLeft w:val="0"/>
      <w:marRight w:val="0"/>
      <w:marTop w:val="0"/>
      <w:marBottom w:val="0"/>
      <w:divBdr>
        <w:top w:val="none" w:sz="0" w:space="0" w:color="auto"/>
        <w:left w:val="none" w:sz="0" w:space="0" w:color="auto"/>
        <w:bottom w:val="none" w:sz="0" w:space="0" w:color="auto"/>
        <w:right w:val="none" w:sz="0" w:space="0" w:color="auto"/>
      </w:divBdr>
    </w:div>
    <w:div w:id="1295794365">
      <w:bodyDiv w:val="1"/>
      <w:marLeft w:val="0"/>
      <w:marRight w:val="0"/>
      <w:marTop w:val="0"/>
      <w:marBottom w:val="0"/>
      <w:divBdr>
        <w:top w:val="none" w:sz="0" w:space="0" w:color="auto"/>
        <w:left w:val="none" w:sz="0" w:space="0" w:color="auto"/>
        <w:bottom w:val="none" w:sz="0" w:space="0" w:color="auto"/>
        <w:right w:val="none" w:sz="0" w:space="0" w:color="auto"/>
      </w:divBdr>
    </w:div>
    <w:div w:id="1295865274">
      <w:bodyDiv w:val="1"/>
      <w:marLeft w:val="0"/>
      <w:marRight w:val="0"/>
      <w:marTop w:val="0"/>
      <w:marBottom w:val="0"/>
      <w:divBdr>
        <w:top w:val="none" w:sz="0" w:space="0" w:color="auto"/>
        <w:left w:val="none" w:sz="0" w:space="0" w:color="auto"/>
        <w:bottom w:val="none" w:sz="0" w:space="0" w:color="auto"/>
        <w:right w:val="none" w:sz="0" w:space="0" w:color="auto"/>
      </w:divBdr>
    </w:div>
    <w:div w:id="1295866004">
      <w:bodyDiv w:val="1"/>
      <w:marLeft w:val="0"/>
      <w:marRight w:val="0"/>
      <w:marTop w:val="0"/>
      <w:marBottom w:val="0"/>
      <w:divBdr>
        <w:top w:val="none" w:sz="0" w:space="0" w:color="auto"/>
        <w:left w:val="none" w:sz="0" w:space="0" w:color="auto"/>
        <w:bottom w:val="none" w:sz="0" w:space="0" w:color="auto"/>
        <w:right w:val="none" w:sz="0" w:space="0" w:color="auto"/>
      </w:divBdr>
    </w:div>
    <w:div w:id="1295910875">
      <w:bodyDiv w:val="1"/>
      <w:marLeft w:val="0"/>
      <w:marRight w:val="0"/>
      <w:marTop w:val="0"/>
      <w:marBottom w:val="0"/>
      <w:divBdr>
        <w:top w:val="none" w:sz="0" w:space="0" w:color="auto"/>
        <w:left w:val="none" w:sz="0" w:space="0" w:color="auto"/>
        <w:bottom w:val="none" w:sz="0" w:space="0" w:color="auto"/>
        <w:right w:val="none" w:sz="0" w:space="0" w:color="auto"/>
      </w:divBdr>
    </w:div>
    <w:div w:id="1295914984">
      <w:bodyDiv w:val="1"/>
      <w:marLeft w:val="0"/>
      <w:marRight w:val="0"/>
      <w:marTop w:val="0"/>
      <w:marBottom w:val="0"/>
      <w:divBdr>
        <w:top w:val="none" w:sz="0" w:space="0" w:color="auto"/>
        <w:left w:val="none" w:sz="0" w:space="0" w:color="auto"/>
        <w:bottom w:val="none" w:sz="0" w:space="0" w:color="auto"/>
        <w:right w:val="none" w:sz="0" w:space="0" w:color="auto"/>
      </w:divBdr>
    </w:div>
    <w:div w:id="1295985244">
      <w:bodyDiv w:val="1"/>
      <w:marLeft w:val="0"/>
      <w:marRight w:val="0"/>
      <w:marTop w:val="0"/>
      <w:marBottom w:val="0"/>
      <w:divBdr>
        <w:top w:val="none" w:sz="0" w:space="0" w:color="auto"/>
        <w:left w:val="none" w:sz="0" w:space="0" w:color="auto"/>
        <w:bottom w:val="none" w:sz="0" w:space="0" w:color="auto"/>
        <w:right w:val="none" w:sz="0" w:space="0" w:color="auto"/>
      </w:divBdr>
    </w:div>
    <w:div w:id="1295987296">
      <w:bodyDiv w:val="1"/>
      <w:marLeft w:val="0"/>
      <w:marRight w:val="0"/>
      <w:marTop w:val="0"/>
      <w:marBottom w:val="0"/>
      <w:divBdr>
        <w:top w:val="none" w:sz="0" w:space="0" w:color="auto"/>
        <w:left w:val="none" w:sz="0" w:space="0" w:color="auto"/>
        <w:bottom w:val="none" w:sz="0" w:space="0" w:color="auto"/>
        <w:right w:val="none" w:sz="0" w:space="0" w:color="auto"/>
      </w:divBdr>
    </w:div>
    <w:div w:id="1296065529">
      <w:bodyDiv w:val="1"/>
      <w:marLeft w:val="0"/>
      <w:marRight w:val="0"/>
      <w:marTop w:val="0"/>
      <w:marBottom w:val="0"/>
      <w:divBdr>
        <w:top w:val="none" w:sz="0" w:space="0" w:color="auto"/>
        <w:left w:val="none" w:sz="0" w:space="0" w:color="auto"/>
        <w:bottom w:val="none" w:sz="0" w:space="0" w:color="auto"/>
        <w:right w:val="none" w:sz="0" w:space="0" w:color="auto"/>
      </w:divBdr>
    </w:div>
    <w:div w:id="1296259894">
      <w:bodyDiv w:val="1"/>
      <w:marLeft w:val="0"/>
      <w:marRight w:val="0"/>
      <w:marTop w:val="0"/>
      <w:marBottom w:val="0"/>
      <w:divBdr>
        <w:top w:val="none" w:sz="0" w:space="0" w:color="auto"/>
        <w:left w:val="none" w:sz="0" w:space="0" w:color="auto"/>
        <w:bottom w:val="none" w:sz="0" w:space="0" w:color="auto"/>
        <w:right w:val="none" w:sz="0" w:space="0" w:color="auto"/>
      </w:divBdr>
    </w:div>
    <w:div w:id="1296327356">
      <w:bodyDiv w:val="1"/>
      <w:marLeft w:val="0"/>
      <w:marRight w:val="0"/>
      <w:marTop w:val="0"/>
      <w:marBottom w:val="0"/>
      <w:divBdr>
        <w:top w:val="none" w:sz="0" w:space="0" w:color="auto"/>
        <w:left w:val="none" w:sz="0" w:space="0" w:color="auto"/>
        <w:bottom w:val="none" w:sz="0" w:space="0" w:color="auto"/>
        <w:right w:val="none" w:sz="0" w:space="0" w:color="auto"/>
      </w:divBdr>
    </w:div>
    <w:div w:id="1296330698">
      <w:bodyDiv w:val="1"/>
      <w:marLeft w:val="0"/>
      <w:marRight w:val="0"/>
      <w:marTop w:val="0"/>
      <w:marBottom w:val="0"/>
      <w:divBdr>
        <w:top w:val="none" w:sz="0" w:space="0" w:color="auto"/>
        <w:left w:val="none" w:sz="0" w:space="0" w:color="auto"/>
        <w:bottom w:val="none" w:sz="0" w:space="0" w:color="auto"/>
        <w:right w:val="none" w:sz="0" w:space="0" w:color="auto"/>
      </w:divBdr>
    </w:div>
    <w:div w:id="1296373134">
      <w:bodyDiv w:val="1"/>
      <w:marLeft w:val="0"/>
      <w:marRight w:val="0"/>
      <w:marTop w:val="0"/>
      <w:marBottom w:val="0"/>
      <w:divBdr>
        <w:top w:val="none" w:sz="0" w:space="0" w:color="auto"/>
        <w:left w:val="none" w:sz="0" w:space="0" w:color="auto"/>
        <w:bottom w:val="none" w:sz="0" w:space="0" w:color="auto"/>
        <w:right w:val="none" w:sz="0" w:space="0" w:color="auto"/>
      </w:divBdr>
    </w:div>
    <w:div w:id="1296449837">
      <w:bodyDiv w:val="1"/>
      <w:marLeft w:val="0"/>
      <w:marRight w:val="0"/>
      <w:marTop w:val="0"/>
      <w:marBottom w:val="0"/>
      <w:divBdr>
        <w:top w:val="none" w:sz="0" w:space="0" w:color="auto"/>
        <w:left w:val="none" w:sz="0" w:space="0" w:color="auto"/>
        <w:bottom w:val="none" w:sz="0" w:space="0" w:color="auto"/>
        <w:right w:val="none" w:sz="0" w:space="0" w:color="auto"/>
      </w:divBdr>
    </w:div>
    <w:div w:id="1296453108">
      <w:bodyDiv w:val="1"/>
      <w:marLeft w:val="0"/>
      <w:marRight w:val="0"/>
      <w:marTop w:val="0"/>
      <w:marBottom w:val="0"/>
      <w:divBdr>
        <w:top w:val="none" w:sz="0" w:space="0" w:color="auto"/>
        <w:left w:val="none" w:sz="0" w:space="0" w:color="auto"/>
        <w:bottom w:val="none" w:sz="0" w:space="0" w:color="auto"/>
        <w:right w:val="none" w:sz="0" w:space="0" w:color="auto"/>
      </w:divBdr>
    </w:div>
    <w:div w:id="1296521869">
      <w:bodyDiv w:val="1"/>
      <w:marLeft w:val="0"/>
      <w:marRight w:val="0"/>
      <w:marTop w:val="0"/>
      <w:marBottom w:val="0"/>
      <w:divBdr>
        <w:top w:val="none" w:sz="0" w:space="0" w:color="auto"/>
        <w:left w:val="none" w:sz="0" w:space="0" w:color="auto"/>
        <w:bottom w:val="none" w:sz="0" w:space="0" w:color="auto"/>
        <w:right w:val="none" w:sz="0" w:space="0" w:color="auto"/>
      </w:divBdr>
    </w:div>
    <w:div w:id="1296524377">
      <w:bodyDiv w:val="1"/>
      <w:marLeft w:val="0"/>
      <w:marRight w:val="0"/>
      <w:marTop w:val="0"/>
      <w:marBottom w:val="0"/>
      <w:divBdr>
        <w:top w:val="none" w:sz="0" w:space="0" w:color="auto"/>
        <w:left w:val="none" w:sz="0" w:space="0" w:color="auto"/>
        <w:bottom w:val="none" w:sz="0" w:space="0" w:color="auto"/>
        <w:right w:val="none" w:sz="0" w:space="0" w:color="auto"/>
      </w:divBdr>
    </w:div>
    <w:div w:id="1296642363">
      <w:bodyDiv w:val="1"/>
      <w:marLeft w:val="0"/>
      <w:marRight w:val="0"/>
      <w:marTop w:val="0"/>
      <w:marBottom w:val="0"/>
      <w:divBdr>
        <w:top w:val="none" w:sz="0" w:space="0" w:color="auto"/>
        <w:left w:val="none" w:sz="0" w:space="0" w:color="auto"/>
        <w:bottom w:val="none" w:sz="0" w:space="0" w:color="auto"/>
        <w:right w:val="none" w:sz="0" w:space="0" w:color="auto"/>
      </w:divBdr>
    </w:div>
    <w:div w:id="1296714359">
      <w:bodyDiv w:val="1"/>
      <w:marLeft w:val="0"/>
      <w:marRight w:val="0"/>
      <w:marTop w:val="0"/>
      <w:marBottom w:val="0"/>
      <w:divBdr>
        <w:top w:val="none" w:sz="0" w:space="0" w:color="auto"/>
        <w:left w:val="none" w:sz="0" w:space="0" w:color="auto"/>
        <w:bottom w:val="none" w:sz="0" w:space="0" w:color="auto"/>
        <w:right w:val="none" w:sz="0" w:space="0" w:color="auto"/>
      </w:divBdr>
    </w:div>
    <w:div w:id="1296763895">
      <w:bodyDiv w:val="1"/>
      <w:marLeft w:val="0"/>
      <w:marRight w:val="0"/>
      <w:marTop w:val="0"/>
      <w:marBottom w:val="0"/>
      <w:divBdr>
        <w:top w:val="none" w:sz="0" w:space="0" w:color="auto"/>
        <w:left w:val="none" w:sz="0" w:space="0" w:color="auto"/>
        <w:bottom w:val="none" w:sz="0" w:space="0" w:color="auto"/>
        <w:right w:val="none" w:sz="0" w:space="0" w:color="auto"/>
      </w:divBdr>
    </w:div>
    <w:div w:id="1296831703">
      <w:bodyDiv w:val="1"/>
      <w:marLeft w:val="0"/>
      <w:marRight w:val="0"/>
      <w:marTop w:val="0"/>
      <w:marBottom w:val="0"/>
      <w:divBdr>
        <w:top w:val="none" w:sz="0" w:space="0" w:color="auto"/>
        <w:left w:val="none" w:sz="0" w:space="0" w:color="auto"/>
        <w:bottom w:val="none" w:sz="0" w:space="0" w:color="auto"/>
        <w:right w:val="none" w:sz="0" w:space="0" w:color="auto"/>
      </w:divBdr>
    </w:div>
    <w:div w:id="1296911997">
      <w:bodyDiv w:val="1"/>
      <w:marLeft w:val="0"/>
      <w:marRight w:val="0"/>
      <w:marTop w:val="0"/>
      <w:marBottom w:val="0"/>
      <w:divBdr>
        <w:top w:val="none" w:sz="0" w:space="0" w:color="auto"/>
        <w:left w:val="none" w:sz="0" w:space="0" w:color="auto"/>
        <w:bottom w:val="none" w:sz="0" w:space="0" w:color="auto"/>
        <w:right w:val="none" w:sz="0" w:space="0" w:color="auto"/>
      </w:divBdr>
    </w:div>
    <w:div w:id="1296984161">
      <w:bodyDiv w:val="1"/>
      <w:marLeft w:val="0"/>
      <w:marRight w:val="0"/>
      <w:marTop w:val="0"/>
      <w:marBottom w:val="0"/>
      <w:divBdr>
        <w:top w:val="none" w:sz="0" w:space="0" w:color="auto"/>
        <w:left w:val="none" w:sz="0" w:space="0" w:color="auto"/>
        <w:bottom w:val="none" w:sz="0" w:space="0" w:color="auto"/>
        <w:right w:val="none" w:sz="0" w:space="0" w:color="auto"/>
      </w:divBdr>
    </w:div>
    <w:div w:id="1297107413">
      <w:bodyDiv w:val="1"/>
      <w:marLeft w:val="0"/>
      <w:marRight w:val="0"/>
      <w:marTop w:val="0"/>
      <w:marBottom w:val="0"/>
      <w:divBdr>
        <w:top w:val="none" w:sz="0" w:space="0" w:color="auto"/>
        <w:left w:val="none" w:sz="0" w:space="0" w:color="auto"/>
        <w:bottom w:val="none" w:sz="0" w:space="0" w:color="auto"/>
        <w:right w:val="none" w:sz="0" w:space="0" w:color="auto"/>
      </w:divBdr>
    </w:div>
    <w:div w:id="1297183587">
      <w:bodyDiv w:val="1"/>
      <w:marLeft w:val="0"/>
      <w:marRight w:val="0"/>
      <w:marTop w:val="0"/>
      <w:marBottom w:val="0"/>
      <w:divBdr>
        <w:top w:val="none" w:sz="0" w:space="0" w:color="auto"/>
        <w:left w:val="none" w:sz="0" w:space="0" w:color="auto"/>
        <w:bottom w:val="none" w:sz="0" w:space="0" w:color="auto"/>
        <w:right w:val="none" w:sz="0" w:space="0" w:color="auto"/>
      </w:divBdr>
    </w:div>
    <w:div w:id="1297418808">
      <w:bodyDiv w:val="1"/>
      <w:marLeft w:val="0"/>
      <w:marRight w:val="0"/>
      <w:marTop w:val="0"/>
      <w:marBottom w:val="0"/>
      <w:divBdr>
        <w:top w:val="none" w:sz="0" w:space="0" w:color="auto"/>
        <w:left w:val="none" w:sz="0" w:space="0" w:color="auto"/>
        <w:bottom w:val="none" w:sz="0" w:space="0" w:color="auto"/>
        <w:right w:val="none" w:sz="0" w:space="0" w:color="auto"/>
      </w:divBdr>
    </w:div>
    <w:div w:id="1297491417">
      <w:bodyDiv w:val="1"/>
      <w:marLeft w:val="0"/>
      <w:marRight w:val="0"/>
      <w:marTop w:val="0"/>
      <w:marBottom w:val="0"/>
      <w:divBdr>
        <w:top w:val="none" w:sz="0" w:space="0" w:color="auto"/>
        <w:left w:val="none" w:sz="0" w:space="0" w:color="auto"/>
        <w:bottom w:val="none" w:sz="0" w:space="0" w:color="auto"/>
        <w:right w:val="none" w:sz="0" w:space="0" w:color="auto"/>
      </w:divBdr>
    </w:div>
    <w:div w:id="1297561023">
      <w:bodyDiv w:val="1"/>
      <w:marLeft w:val="0"/>
      <w:marRight w:val="0"/>
      <w:marTop w:val="0"/>
      <w:marBottom w:val="0"/>
      <w:divBdr>
        <w:top w:val="none" w:sz="0" w:space="0" w:color="auto"/>
        <w:left w:val="none" w:sz="0" w:space="0" w:color="auto"/>
        <w:bottom w:val="none" w:sz="0" w:space="0" w:color="auto"/>
        <w:right w:val="none" w:sz="0" w:space="0" w:color="auto"/>
      </w:divBdr>
    </w:div>
    <w:div w:id="1297564454">
      <w:bodyDiv w:val="1"/>
      <w:marLeft w:val="0"/>
      <w:marRight w:val="0"/>
      <w:marTop w:val="0"/>
      <w:marBottom w:val="0"/>
      <w:divBdr>
        <w:top w:val="none" w:sz="0" w:space="0" w:color="auto"/>
        <w:left w:val="none" w:sz="0" w:space="0" w:color="auto"/>
        <w:bottom w:val="none" w:sz="0" w:space="0" w:color="auto"/>
        <w:right w:val="none" w:sz="0" w:space="0" w:color="auto"/>
      </w:divBdr>
    </w:div>
    <w:div w:id="1297570336">
      <w:bodyDiv w:val="1"/>
      <w:marLeft w:val="0"/>
      <w:marRight w:val="0"/>
      <w:marTop w:val="0"/>
      <w:marBottom w:val="0"/>
      <w:divBdr>
        <w:top w:val="none" w:sz="0" w:space="0" w:color="auto"/>
        <w:left w:val="none" w:sz="0" w:space="0" w:color="auto"/>
        <w:bottom w:val="none" w:sz="0" w:space="0" w:color="auto"/>
        <w:right w:val="none" w:sz="0" w:space="0" w:color="auto"/>
      </w:divBdr>
    </w:div>
    <w:div w:id="1297637552">
      <w:bodyDiv w:val="1"/>
      <w:marLeft w:val="0"/>
      <w:marRight w:val="0"/>
      <w:marTop w:val="0"/>
      <w:marBottom w:val="0"/>
      <w:divBdr>
        <w:top w:val="none" w:sz="0" w:space="0" w:color="auto"/>
        <w:left w:val="none" w:sz="0" w:space="0" w:color="auto"/>
        <w:bottom w:val="none" w:sz="0" w:space="0" w:color="auto"/>
        <w:right w:val="none" w:sz="0" w:space="0" w:color="auto"/>
      </w:divBdr>
    </w:div>
    <w:div w:id="1297640448">
      <w:bodyDiv w:val="1"/>
      <w:marLeft w:val="0"/>
      <w:marRight w:val="0"/>
      <w:marTop w:val="0"/>
      <w:marBottom w:val="0"/>
      <w:divBdr>
        <w:top w:val="none" w:sz="0" w:space="0" w:color="auto"/>
        <w:left w:val="none" w:sz="0" w:space="0" w:color="auto"/>
        <w:bottom w:val="none" w:sz="0" w:space="0" w:color="auto"/>
        <w:right w:val="none" w:sz="0" w:space="0" w:color="auto"/>
      </w:divBdr>
    </w:div>
    <w:div w:id="1297643796">
      <w:bodyDiv w:val="1"/>
      <w:marLeft w:val="0"/>
      <w:marRight w:val="0"/>
      <w:marTop w:val="0"/>
      <w:marBottom w:val="0"/>
      <w:divBdr>
        <w:top w:val="none" w:sz="0" w:space="0" w:color="auto"/>
        <w:left w:val="none" w:sz="0" w:space="0" w:color="auto"/>
        <w:bottom w:val="none" w:sz="0" w:space="0" w:color="auto"/>
        <w:right w:val="none" w:sz="0" w:space="0" w:color="auto"/>
      </w:divBdr>
    </w:div>
    <w:div w:id="1297685346">
      <w:bodyDiv w:val="1"/>
      <w:marLeft w:val="0"/>
      <w:marRight w:val="0"/>
      <w:marTop w:val="0"/>
      <w:marBottom w:val="0"/>
      <w:divBdr>
        <w:top w:val="none" w:sz="0" w:space="0" w:color="auto"/>
        <w:left w:val="none" w:sz="0" w:space="0" w:color="auto"/>
        <w:bottom w:val="none" w:sz="0" w:space="0" w:color="auto"/>
        <w:right w:val="none" w:sz="0" w:space="0" w:color="auto"/>
      </w:divBdr>
    </w:div>
    <w:div w:id="1297687898">
      <w:bodyDiv w:val="1"/>
      <w:marLeft w:val="0"/>
      <w:marRight w:val="0"/>
      <w:marTop w:val="0"/>
      <w:marBottom w:val="0"/>
      <w:divBdr>
        <w:top w:val="none" w:sz="0" w:space="0" w:color="auto"/>
        <w:left w:val="none" w:sz="0" w:space="0" w:color="auto"/>
        <w:bottom w:val="none" w:sz="0" w:space="0" w:color="auto"/>
        <w:right w:val="none" w:sz="0" w:space="0" w:color="auto"/>
      </w:divBdr>
    </w:div>
    <w:div w:id="1297838256">
      <w:bodyDiv w:val="1"/>
      <w:marLeft w:val="0"/>
      <w:marRight w:val="0"/>
      <w:marTop w:val="0"/>
      <w:marBottom w:val="0"/>
      <w:divBdr>
        <w:top w:val="none" w:sz="0" w:space="0" w:color="auto"/>
        <w:left w:val="none" w:sz="0" w:space="0" w:color="auto"/>
        <w:bottom w:val="none" w:sz="0" w:space="0" w:color="auto"/>
        <w:right w:val="none" w:sz="0" w:space="0" w:color="auto"/>
      </w:divBdr>
    </w:div>
    <w:div w:id="1298142554">
      <w:bodyDiv w:val="1"/>
      <w:marLeft w:val="0"/>
      <w:marRight w:val="0"/>
      <w:marTop w:val="0"/>
      <w:marBottom w:val="0"/>
      <w:divBdr>
        <w:top w:val="none" w:sz="0" w:space="0" w:color="auto"/>
        <w:left w:val="none" w:sz="0" w:space="0" w:color="auto"/>
        <w:bottom w:val="none" w:sz="0" w:space="0" w:color="auto"/>
        <w:right w:val="none" w:sz="0" w:space="0" w:color="auto"/>
      </w:divBdr>
    </w:div>
    <w:div w:id="1298143819">
      <w:bodyDiv w:val="1"/>
      <w:marLeft w:val="0"/>
      <w:marRight w:val="0"/>
      <w:marTop w:val="0"/>
      <w:marBottom w:val="0"/>
      <w:divBdr>
        <w:top w:val="none" w:sz="0" w:space="0" w:color="auto"/>
        <w:left w:val="none" w:sz="0" w:space="0" w:color="auto"/>
        <w:bottom w:val="none" w:sz="0" w:space="0" w:color="auto"/>
        <w:right w:val="none" w:sz="0" w:space="0" w:color="auto"/>
      </w:divBdr>
    </w:div>
    <w:div w:id="1298220667">
      <w:bodyDiv w:val="1"/>
      <w:marLeft w:val="0"/>
      <w:marRight w:val="0"/>
      <w:marTop w:val="0"/>
      <w:marBottom w:val="0"/>
      <w:divBdr>
        <w:top w:val="none" w:sz="0" w:space="0" w:color="auto"/>
        <w:left w:val="none" w:sz="0" w:space="0" w:color="auto"/>
        <w:bottom w:val="none" w:sz="0" w:space="0" w:color="auto"/>
        <w:right w:val="none" w:sz="0" w:space="0" w:color="auto"/>
      </w:divBdr>
    </w:div>
    <w:div w:id="1298224724">
      <w:bodyDiv w:val="1"/>
      <w:marLeft w:val="0"/>
      <w:marRight w:val="0"/>
      <w:marTop w:val="0"/>
      <w:marBottom w:val="0"/>
      <w:divBdr>
        <w:top w:val="none" w:sz="0" w:space="0" w:color="auto"/>
        <w:left w:val="none" w:sz="0" w:space="0" w:color="auto"/>
        <w:bottom w:val="none" w:sz="0" w:space="0" w:color="auto"/>
        <w:right w:val="none" w:sz="0" w:space="0" w:color="auto"/>
      </w:divBdr>
    </w:div>
    <w:div w:id="1298292643">
      <w:bodyDiv w:val="1"/>
      <w:marLeft w:val="0"/>
      <w:marRight w:val="0"/>
      <w:marTop w:val="0"/>
      <w:marBottom w:val="0"/>
      <w:divBdr>
        <w:top w:val="none" w:sz="0" w:space="0" w:color="auto"/>
        <w:left w:val="none" w:sz="0" w:space="0" w:color="auto"/>
        <w:bottom w:val="none" w:sz="0" w:space="0" w:color="auto"/>
        <w:right w:val="none" w:sz="0" w:space="0" w:color="auto"/>
      </w:divBdr>
    </w:div>
    <w:div w:id="1298684533">
      <w:bodyDiv w:val="1"/>
      <w:marLeft w:val="0"/>
      <w:marRight w:val="0"/>
      <w:marTop w:val="0"/>
      <w:marBottom w:val="0"/>
      <w:divBdr>
        <w:top w:val="none" w:sz="0" w:space="0" w:color="auto"/>
        <w:left w:val="none" w:sz="0" w:space="0" w:color="auto"/>
        <w:bottom w:val="none" w:sz="0" w:space="0" w:color="auto"/>
        <w:right w:val="none" w:sz="0" w:space="0" w:color="auto"/>
      </w:divBdr>
    </w:div>
    <w:div w:id="1298873947">
      <w:bodyDiv w:val="1"/>
      <w:marLeft w:val="0"/>
      <w:marRight w:val="0"/>
      <w:marTop w:val="0"/>
      <w:marBottom w:val="0"/>
      <w:divBdr>
        <w:top w:val="none" w:sz="0" w:space="0" w:color="auto"/>
        <w:left w:val="none" w:sz="0" w:space="0" w:color="auto"/>
        <w:bottom w:val="none" w:sz="0" w:space="0" w:color="auto"/>
        <w:right w:val="none" w:sz="0" w:space="0" w:color="auto"/>
      </w:divBdr>
    </w:div>
    <w:div w:id="1299148751">
      <w:bodyDiv w:val="1"/>
      <w:marLeft w:val="0"/>
      <w:marRight w:val="0"/>
      <w:marTop w:val="0"/>
      <w:marBottom w:val="0"/>
      <w:divBdr>
        <w:top w:val="none" w:sz="0" w:space="0" w:color="auto"/>
        <w:left w:val="none" w:sz="0" w:space="0" w:color="auto"/>
        <w:bottom w:val="none" w:sz="0" w:space="0" w:color="auto"/>
        <w:right w:val="none" w:sz="0" w:space="0" w:color="auto"/>
      </w:divBdr>
    </w:div>
    <w:div w:id="1299414960">
      <w:bodyDiv w:val="1"/>
      <w:marLeft w:val="0"/>
      <w:marRight w:val="0"/>
      <w:marTop w:val="0"/>
      <w:marBottom w:val="0"/>
      <w:divBdr>
        <w:top w:val="none" w:sz="0" w:space="0" w:color="auto"/>
        <w:left w:val="none" w:sz="0" w:space="0" w:color="auto"/>
        <w:bottom w:val="none" w:sz="0" w:space="0" w:color="auto"/>
        <w:right w:val="none" w:sz="0" w:space="0" w:color="auto"/>
      </w:divBdr>
    </w:div>
    <w:div w:id="1299725986">
      <w:bodyDiv w:val="1"/>
      <w:marLeft w:val="0"/>
      <w:marRight w:val="0"/>
      <w:marTop w:val="0"/>
      <w:marBottom w:val="0"/>
      <w:divBdr>
        <w:top w:val="none" w:sz="0" w:space="0" w:color="auto"/>
        <w:left w:val="none" w:sz="0" w:space="0" w:color="auto"/>
        <w:bottom w:val="none" w:sz="0" w:space="0" w:color="auto"/>
        <w:right w:val="none" w:sz="0" w:space="0" w:color="auto"/>
      </w:divBdr>
    </w:div>
    <w:div w:id="1299798183">
      <w:bodyDiv w:val="1"/>
      <w:marLeft w:val="0"/>
      <w:marRight w:val="0"/>
      <w:marTop w:val="0"/>
      <w:marBottom w:val="0"/>
      <w:divBdr>
        <w:top w:val="none" w:sz="0" w:space="0" w:color="auto"/>
        <w:left w:val="none" w:sz="0" w:space="0" w:color="auto"/>
        <w:bottom w:val="none" w:sz="0" w:space="0" w:color="auto"/>
        <w:right w:val="none" w:sz="0" w:space="0" w:color="auto"/>
      </w:divBdr>
    </w:div>
    <w:div w:id="1299917482">
      <w:bodyDiv w:val="1"/>
      <w:marLeft w:val="0"/>
      <w:marRight w:val="0"/>
      <w:marTop w:val="0"/>
      <w:marBottom w:val="0"/>
      <w:divBdr>
        <w:top w:val="none" w:sz="0" w:space="0" w:color="auto"/>
        <w:left w:val="none" w:sz="0" w:space="0" w:color="auto"/>
        <w:bottom w:val="none" w:sz="0" w:space="0" w:color="auto"/>
        <w:right w:val="none" w:sz="0" w:space="0" w:color="auto"/>
      </w:divBdr>
    </w:div>
    <w:div w:id="1299993245">
      <w:bodyDiv w:val="1"/>
      <w:marLeft w:val="0"/>
      <w:marRight w:val="0"/>
      <w:marTop w:val="0"/>
      <w:marBottom w:val="0"/>
      <w:divBdr>
        <w:top w:val="none" w:sz="0" w:space="0" w:color="auto"/>
        <w:left w:val="none" w:sz="0" w:space="0" w:color="auto"/>
        <w:bottom w:val="none" w:sz="0" w:space="0" w:color="auto"/>
        <w:right w:val="none" w:sz="0" w:space="0" w:color="auto"/>
      </w:divBdr>
    </w:div>
    <w:div w:id="1300038052">
      <w:bodyDiv w:val="1"/>
      <w:marLeft w:val="0"/>
      <w:marRight w:val="0"/>
      <w:marTop w:val="0"/>
      <w:marBottom w:val="0"/>
      <w:divBdr>
        <w:top w:val="none" w:sz="0" w:space="0" w:color="auto"/>
        <w:left w:val="none" w:sz="0" w:space="0" w:color="auto"/>
        <w:bottom w:val="none" w:sz="0" w:space="0" w:color="auto"/>
        <w:right w:val="none" w:sz="0" w:space="0" w:color="auto"/>
      </w:divBdr>
    </w:div>
    <w:div w:id="1300040096">
      <w:bodyDiv w:val="1"/>
      <w:marLeft w:val="0"/>
      <w:marRight w:val="0"/>
      <w:marTop w:val="0"/>
      <w:marBottom w:val="0"/>
      <w:divBdr>
        <w:top w:val="none" w:sz="0" w:space="0" w:color="auto"/>
        <w:left w:val="none" w:sz="0" w:space="0" w:color="auto"/>
        <w:bottom w:val="none" w:sz="0" w:space="0" w:color="auto"/>
        <w:right w:val="none" w:sz="0" w:space="0" w:color="auto"/>
      </w:divBdr>
    </w:div>
    <w:div w:id="1300069511">
      <w:bodyDiv w:val="1"/>
      <w:marLeft w:val="0"/>
      <w:marRight w:val="0"/>
      <w:marTop w:val="0"/>
      <w:marBottom w:val="0"/>
      <w:divBdr>
        <w:top w:val="none" w:sz="0" w:space="0" w:color="auto"/>
        <w:left w:val="none" w:sz="0" w:space="0" w:color="auto"/>
        <w:bottom w:val="none" w:sz="0" w:space="0" w:color="auto"/>
        <w:right w:val="none" w:sz="0" w:space="0" w:color="auto"/>
      </w:divBdr>
    </w:div>
    <w:div w:id="1300263761">
      <w:bodyDiv w:val="1"/>
      <w:marLeft w:val="0"/>
      <w:marRight w:val="0"/>
      <w:marTop w:val="0"/>
      <w:marBottom w:val="0"/>
      <w:divBdr>
        <w:top w:val="none" w:sz="0" w:space="0" w:color="auto"/>
        <w:left w:val="none" w:sz="0" w:space="0" w:color="auto"/>
        <w:bottom w:val="none" w:sz="0" w:space="0" w:color="auto"/>
        <w:right w:val="none" w:sz="0" w:space="0" w:color="auto"/>
      </w:divBdr>
    </w:div>
    <w:div w:id="1300264305">
      <w:bodyDiv w:val="1"/>
      <w:marLeft w:val="0"/>
      <w:marRight w:val="0"/>
      <w:marTop w:val="0"/>
      <w:marBottom w:val="0"/>
      <w:divBdr>
        <w:top w:val="none" w:sz="0" w:space="0" w:color="auto"/>
        <w:left w:val="none" w:sz="0" w:space="0" w:color="auto"/>
        <w:bottom w:val="none" w:sz="0" w:space="0" w:color="auto"/>
        <w:right w:val="none" w:sz="0" w:space="0" w:color="auto"/>
      </w:divBdr>
    </w:div>
    <w:div w:id="1300497345">
      <w:bodyDiv w:val="1"/>
      <w:marLeft w:val="0"/>
      <w:marRight w:val="0"/>
      <w:marTop w:val="0"/>
      <w:marBottom w:val="0"/>
      <w:divBdr>
        <w:top w:val="none" w:sz="0" w:space="0" w:color="auto"/>
        <w:left w:val="none" w:sz="0" w:space="0" w:color="auto"/>
        <w:bottom w:val="none" w:sz="0" w:space="0" w:color="auto"/>
        <w:right w:val="none" w:sz="0" w:space="0" w:color="auto"/>
      </w:divBdr>
    </w:div>
    <w:div w:id="1300500059">
      <w:bodyDiv w:val="1"/>
      <w:marLeft w:val="0"/>
      <w:marRight w:val="0"/>
      <w:marTop w:val="0"/>
      <w:marBottom w:val="0"/>
      <w:divBdr>
        <w:top w:val="none" w:sz="0" w:space="0" w:color="auto"/>
        <w:left w:val="none" w:sz="0" w:space="0" w:color="auto"/>
        <w:bottom w:val="none" w:sz="0" w:space="0" w:color="auto"/>
        <w:right w:val="none" w:sz="0" w:space="0" w:color="auto"/>
      </w:divBdr>
    </w:div>
    <w:div w:id="1300693319">
      <w:bodyDiv w:val="1"/>
      <w:marLeft w:val="0"/>
      <w:marRight w:val="0"/>
      <w:marTop w:val="0"/>
      <w:marBottom w:val="0"/>
      <w:divBdr>
        <w:top w:val="none" w:sz="0" w:space="0" w:color="auto"/>
        <w:left w:val="none" w:sz="0" w:space="0" w:color="auto"/>
        <w:bottom w:val="none" w:sz="0" w:space="0" w:color="auto"/>
        <w:right w:val="none" w:sz="0" w:space="0" w:color="auto"/>
      </w:divBdr>
    </w:div>
    <w:div w:id="1300722066">
      <w:bodyDiv w:val="1"/>
      <w:marLeft w:val="0"/>
      <w:marRight w:val="0"/>
      <w:marTop w:val="0"/>
      <w:marBottom w:val="0"/>
      <w:divBdr>
        <w:top w:val="none" w:sz="0" w:space="0" w:color="auto"/>
        <w:left w:val="none" w:sz="0" w:space="0" w:color="auto"/>
        <w:bottom w:val="none" w:sz="0" w:space="0" w:color="auto"/>
        <w:right w:val="none" w:sz="0" w:space="0" w:color="auto"/>
      </w:divBdr>
    </w:div>
    <w:div w:id="1300725504">
      <w:bodyDiv w:val="1"/>
      <w:marLeft w:val="0"/>
      <w:marRight w:val="0"/>
      <w:marTop w:val="0"/>
      <w:marBottom w:val="0"/>
      <w:divBdr>
        <w:top w:val="none" w:sz="0" w:space="0" w:color="auto"/>
        <w:left w:val="none" w:sz="0" w:space="0" w:color="auto"/>
        <w:bottom w:val="none" w:sz="0" w:space="0" w:color="auto"/>
        <w:right w:val="none" w:sz="0" w:space="0" w:color="auto"/>
      </w:divBdr>
    </w:div>
    <w:div w:id="1300915265">
      <w:bodyDiv w:val="1"/>
      <w:marLeft w:val="0"/>
      <w:marRight w:val="0"/>
      <w:marTop w:val="0"/>
      <w:marBottom w:val="0"/>
      <w:divBdr>
        <w:top w:val="none" w:sz="0" w:space="0" w:color="auto"/>
        <w:left w:val="none" w:sz="0" w:space="0" w:color="auto"/>
        <w:bottom w:val="none" w:sz="0" w:space="0" w:color="auto"/>
        <w:right w:val="none" w:sz="0" w:space="0" w:color="auto"/>
      </w:divBdr>
    </w:div>
    <w:div w:id="1300916485">
      <w:bodyDiv w:val="1"/>
      <w:marLeft w:val="0"/>
      <w:marRight w:val="0"/>
      <w:marTop w:val="0"/>
      <w:marBottom w:val="0"/>
      <w:divBdr>
        <w:top w:val="none" w:sz="0" w:space="0" w:color="auto"/>
        <w:left w:val="none" w:sz="0" w:space="0" w:color="auto"/>
        <w:bottom w:val="none" w:sz="0" w:space="0" w:color="auto"/>
        <w:right w:val="none" w:sz="0" w:space="0" w:color="auto"/>
      </w:divBdr>
    </w:div>
    <w:div w:id="1301114639">
      <w:bodyDiv w:val="1"/>
      <w:marLeft w:val="0"/>
      <w:marRight w:val="0"/>
      <w:marTop w:val="0"/>
      <w:marBottom w:val="0"/>
      <w:divBdr>
        <w:top w:val="none" w:sz="0" w:space="0" w:color="auto"/>
        <w:left w:val="none" w:sz="0" w:space="0" w:color="auto"/>
        <w:bottom w:val="none" w:sz="0" w:space="0" w:color="auto"/>
        <w:right w:val="none" w:sz="0" w:space="0" w:color="auto"/>
      </w:divBdr>
    </w:div>
    <w:div w:id="1301184318">
      <w:bodyDiv w:val="1"/>
      <w:marLeft w:val="0"/>
      <w:marRight w:val="0"/>
      <w:marTop w:val="0"/>
      <w:marBottom w:val="0"/>
      <w:divBdr>
        <w:top w:val="none" w:sz="0" w:space="0" w:color="auto"/>
        <w:left w:val="none" w:sz="0" w:space="0" w:color="auto"/>
        <w:bottom w:val="none" w:sz="0" w:space="0" w:color="auto"/>
        <w:right w:val="none" w:sz="0" w:space="0" w:color="auto"/>
      </w:divBdr>
    </w:div>
    <w:div w:id="1301349502">
      <w:bodyDiv w:val="1"/>
      <w:marLeft w:val="0"/>
      <w:marRight w:val="0"/>
      <w:marTop w:val="0"/>
      <w:marBottom w:val="0"/>
      <w:divBdr>
        <w:top w:val="none" w:sz="0" w:space="0" w:color="auto"/>
        <w:left w:val="none" w:sz="0" w:space="0" w:color="auto"/>
        <w:bottom w:val="none" w:sz="0" w:space="0" w:color="auto"/>
        <w:right w:val="none" w:sz="0" w:space="0" w:color="auto"/>
      </w:divBdr>
    </w:div>
    <w:div w:id="1301378166">
      <w:bodyDiv w:val="1"/>
      <w:marLeft w:val="0"/>
      <w:marRight w:val="0"/>
      <w:marTop w:val="0"/>
      <w:marBottom w:val="0"/>
      <w:divBdr>
        <w:top w:val="none" w:sz="0" w:space="0" w:color="auto"/>
        <w:left w:val="none" w:sz="0" w:space="0" w:color="auto"/>
        <w:bottom w:val="none" w:sz="0" w:space="0" w:color="auto"/>
        <w:right w:val="none" w:sz="0" w:space="0" w:color="auto"/>
      </w:divBdr>
    </w:div>
    <w:div w:id="1301422385">
      <w:bodyDiv w:val="1"/>
      <w:marLeft w:val="0"/>
      <w:marRight w:val="0"/>
      <w:marTop w:val="0"/>
      <w:marBottom w:val="0"/>
      <w:divBdr>
        <w:top w:val="none" w:sz="0" w:space="0" w:color="auto"/>
        <w:left w:val="none" w:sz="0" w:space="0" w:color="auto"/>
        <w:bottom w:val="none" w:sz="0" w:space="0" w:color="auto"/>
        <w:right w:val="none" w:sz="0" w:space="0" w:color="auto"/>
      </w:divBdr>
    </w:div>
    <w:div w:id="1301570513">
      <w:bodyDiv w:val="1"/>
      <w:marLeft w:val="0"/>
      <w:marRight w:val="0"/>
      <w:marTop w:val="0"/>
      <w:marBottom w:val="0"/>
      <w:divBdr>
        <w:top w:val="none" w:sz="0" w:space="0" w:color="auto"/>
        <w:left w:val="none" w:sz="0" w:space="0" w:color="auto"/>
        <w:bottom w:val="none" w:sz="0" w:space="0" w:color="auto"/>
        <w:right w:val="none" w:sz="0" w:space="0" w:color="auto"/>
      </w:divBdr>
    </w:div>
    <w:div w:id="1301954373">
      <w:bodyDiv w:val="1"/>
      <w:marLeft w:val="0"/>
      <w:marRight w:val="0"/>
      <w:marTop w:val="0"/>
      <w:marBottom w:val="0"/>
      <w:divBdr>
        <w:top w:val="none" w:sz="0" w:space="0" w:color="auto"/>
        <w:left w:val="none" w:sz="0" w:space="0" w:color="auto"/>
        <w:bottom w:val="none" w:sz="0" w:space="0" w:color="auto"/>
        <w:right w:val="none" w:sz="0" w:space="0" w:color="auto"/>
      </w:divBdr>
    </w:div>
    <w:div w:id="1302030013">
      <w:bodyDiv w:val="1"/>
      <w:marLeft w:val="0"/>
      <w:marRight w:val="0"/>
      <w:marTop w:val="0"/>
      <w:marBottom w:val="0"/>
      <w:divBdr>
        <w:top w:val="none" w:sz="0" w:space="0" w:color="auto"/>
        <w:left w:val="none" w:sz="0" w:space="0" w:color="auto"/>
        <w:bottom w:val="none" w:sz="0" w:space="0" w:color="auto"/>
        <w:right w:val="none" w:sz="0" w:space="0" w:color="auto"/>
      </w:divBdr>
    </w:div>
    <w:div w:id="1302152881">
      <w:bodyDiv w:val="1"/>
      <w:marLeft w:val="0"/>
      <w:marRight w:val="0"/>
      <w:marTop w:val="0"/>
      <w:marBottom w:val="0"/>
      <w:divBdr>
        <w:top w:val="none" w:sz="0" w:space="0" w:color="auto"/>
        <w:left w:val="none" w:sz="0" w:space="0" w:color="auto"/>
        <w:bottom w:val="none" w:sz="0" w:space="0" w:color="auto"/>
        <w:right w:val="none" w:sz="0" w:space="0" w:color="auto"/>
      </w:divBdr>
    </w:div>
    <w:div w:id="1302153281">
      <w:bodyDiv w:val="1"/>
      <w:marLeft w:val="0"/>
      <w:marRight w:val="0"/>
      <w:marTop w:val="0"/>
      <w:marBottom w:val="0"/>
      <w:divBdr>
        <w:top w:val="none" w:sz="0" w:space="0" w:color="auto"/>
        <w:left w:val="none" w:sz="0" w:space="0" w:color="auto"/>
        <w:bottom w:val="none" w:sz="0" w:space="0" w:color="auto"/>
        <w:right w:val="none" w:sz="0" w:space="0" w:color="auto"/>
      </w:divBdr>
    </w:div>
    <w:div w:id="1302227567">
      <w:bodyDiv w:val="1"/>
      <w:marLeft w:val="0"/>
      <w:marRight w:val="0"/>
      <w:marTop w:val="0"/>
      <w:marBottom w:val="0"/>
      <w:divBdr>
        <w:top w:val="none" w:sz="0" w:space="0" w:color="auto"/>
        <w:left w:val="none" w:sz="0" w:space="0" w:color="auto"/>
        <w:bottom w:val="none" w:sz="0" w:space="0" w:color="auto"/>
        <w:right w:val="none" w:sz="0" w:space="0" w:color="auto"/>
      </w:divBdr>
    </w:div>
    <w:div w:id="1302272637">
      <w:bodyDiv w:val="1"/>
      <w:marLeft w:val="0"/>
      <w:marRight w:val="0"/>
      <w:marTop w:val="0"/>
      <w:marBottom w:val="0"/>
      <w:divBdr>
        <w:top w:val="none" w:sz="0" w:space="0" w:color="auto"/>
        <w:left w:val="none" w:sz="0" w:space="0" w:color="auto"/>
        <w:bottom w:val="none" w:sz="0" w:space="0" w:color="auto"/>
        <w:right w:val="none" w:sz="0" w:space="0" w:color="auto"/>
      </w:divBdr>
    </w:div>
    <w:div w:id="1302416664">
      <w:bodyDiv w:val="1"/>
      <w:marLeft w:val="0"/>
      <w:marRight w:val="0"/>
      <w:marTop w:val="0"/>
      <w:marBottom w:val="0"/>
      <w:divBdr>
        <w:top w:val="none" w:sz="0" w:space="0" w:color="auto"/>
        <w:left w:val="none" w:sz="0" w:space="0" w:color="auto"/>
        <w:bottom w:val="none" w:sz="0" w:space="0" w:color="auto"/>
        <w:right w:val="none" w:sz="0" w:space="0" w:color="auto"/>
      </w:divBdr>
    </w:div>
    <w:div w:id="1302465831">
      <w:bodyDiv w:val="1"/>
      <w:marLeft w:val="0"/>
      <w:marRight w:val="0"/>
      <w:marTop w:val="0"/>
      <w:marBottom w:val="0"/>
      <w:divBdr>
        <w:top w:val="none" w:sz="0" w:space="0" w:color="auto"/>
        <w:left w:val="none" w:sz="0" w:space="0" w:color="auto"/>
        <w:bottom w:val="none" w:sz="0" w:space="0" w:color="auto"/>
        <w:right w:val="none" w:sz="0" w:space="0" w:color="auto"/>
      </w:divBdr>
    </w:div>
    <w:div w:id="1302492142">
      <w:bodyDiv w:val="1"/>
      <w:marLeft w:val="0"/>
      <w:marRight w:val="0"/>
      <w:marTop w:val="0"/>
      <w:marBottom w:val="0"/>
      <w:divBdr>
        <w:top w:val="none" w:sz="0" w:space="0" w:color="auto"/>
        <w:left w:val="none" w:sz="0" w:space="0" w:color="auto"/>
        <w:bottom w:val="none" w:sz="0" w:space="0" w:color="auto"/>
        <w:right w:val="none" w:sz="0" w:space="0" w:color="auto"/>
      </w:divBdr>
    </w:div>
    <w:div w:id="1302537232">
      <w:bodyDiv w:val="1"/>
      <w:marLeft w:val="0"/>
      <w:marRight w:val="0"/>
      <w:marTop w:val="0"/>
      <w:marBottom w:val="0"/>
      <w:divBdr>
        <w:top w:val="none" w:sz="0" w:space="0" w:color="auto"/>
        <w:left w:val="none" w:sz="0" w:space="0" w:color="auto"/>
        <w:bottom w:val="none" w:sz="0" w:space="0" w:color="auto"/>
        <w:right w:val="none" w:sz="0" w:space="0" w:color="auto"/>
      </w:divBdr>
    </w:div>
    <w:div w:id="1302615949">
      <w:bodyDiv w:val="1"/>
      <w:marLeft w:val="0"/>
      <w:marRight w:val="0"/>
      <w:marTop w:val="0"/>
      <w:marBottom w:val="0"/>
      <w:divBdr>
        <w:top w:val="none" w:sz="0" w:space="0" w:color="auto"/>
        <w:left w:val="none" w:sz="0" w:space="0" w:color="auto"/>
        <w:bottom w:val="none" w:sz="0" w:space="0" w:color="auto"/>
        <w:right w:val="none" w:sz="0" w:space="0" w:color="auto"/>
      </w:divBdr>
    </w:div>
    <w:div w:id="1302808008">
      <w:bodyDiv w:val="1"/>
      <w:marLeft w:val="0"/>
      <w:marRight w:val="0"/>
      <w:marTop w:val="0"/>
      <w:marBottom w:val="0"/>
      <w:divBdr>
        <w:top w:val="none" w:sz="0" w:space="0" w:color="auto"/>
        <w:left w:val="none" w:sz="0" w:space="0" w:color="auto"/>
        <w:bottom w:val="none" w:sz="0" w:space="0" w:color="auto"/>
        <w:right w:val="none" w:sz="0" w:space="0" w:color="auto"/>
      </w:divBdr>
    </w:div>
    <w:div w:id="1303002292">
      <w:bodyDiv w:val="1"/>
      <w:marLeft w:val="0"/>
      <w:marRight w:val="0"/>
      <w:marTop w:val="0"/>
      <w:marBottom w:val="0"/>
      <w:divBdr>
        <w:top w:val="none" w:sz="0" w:space="0" w:color="auto"/>
        <w:left w:val="none" w:sz="0" w:space="0" w:color="auto"/>
        <w:bottom w:val="none" w:sz="0" w:space="0" w:color="auto"/>
        <w:right w:val="none" w:sz="0" w:space="0" w:color="auto"/>
      </w:divBdr>
    </w:div>
    <w:div w:id="1303147812">
      <w:bodyDiv w:val="1"/>
      <w:marLeft w:val="0"/>
      <w:marRight w:val="0"/>
      <w:marTop w:val="0"/>
      <w:marBottom w:val="0"/>
      <w:divBdr>
        <w:top w:val="none" w:sz="0" w:space="0" w:color="auto"/>
        <w:left w:val="none" w:sz="0" w:space="0" w:color="auto"/>
        <w:bottom w:val="none" w:sz="0" w:space="0" w:color="auto"/>
        <w:right w:val="none" w:sz="0" w:space="0" w:color="auto"/>
      </w:divBdr>
    </w:div>
    <w:div w:id="1303190914">
      <w:bodyDiv w:val="1"/>
      <w:marLeft w:val="0"/>
      <w:marRight w:val="0"/>
      <w:marTop w:val="0"/>
      <w:marBottom w:val="0"/>
      <w:divBdr>
        <w:top w:val="none" w:sz="0" w:space="0" w:color="auto"/>
        <w:left w:val="none" w:sz="0" w:space="0" w:color="auto"/>
        <w:bottom w:val="none" w:sz="0" w:space="0" w:color="auto"/>
        <w:right w:val="none" w:sz="0" w:space="0" w:color="auto"/>
      </w:divBdr>
    </w:div>
    <w:div w:id="1303190980">
      <w:bodyDiv w:val="1"/>
      <w:marLeft w:val="0"/>
      <w:marRight w:val="0"/>
      <w:marTop w:val="0"/>
      <w:marBottom w:val="0"/>
      <w:divBdr>
        <w:top w:val="none" w:sz="0" w:space="0" w:color="auto"/>
        <w:left w:val="none" w:sz="0" w:space="0" w:color="auto"/>
        <w:bottom w:val="none" w:sz="0" w:space="0" w:color="auto"/>
        <w:right w:val="none" w:sz="0" w:space="0" w:color="auto"/>
      </w:divBdr>
    </w:div>
    <w:div w:id="1303192732">
      <w:bodyDiv w:val="1"/>
      <w:marLeft w:val="0"/>
      <w:marRight w:val="0"/>
      <w:marTop w:val="0"/>
      <w:marBottom w:val="0"/>
      <w:divBdr>
        <w:top w:val="none" w:sz="0" w:space="0" w:color="auto"/>
        <w:left w:val="none" w:sz="0" w:space="0" w:color="auto"/>
        <w:bottom w:val="none" w:sz="0" w:space="0" w:color="auto"/>
        <w:right w:val="none" w:sz="0" w:space="0" w:color="auto"/>
      </w:divBdr>
    </w:div>
    <w:div w:id="1303198679">
      <w:bodyDiv w:val="1"/>
      <w:marLeft w:val="0"/>
      <w:marRight w:val="0"/>
      <w:marTop w:val="0"/>
      <w:marBottom w:val="0"/>
      <w:divBdr>
        <w:top w:val="none" w:sz="0" w:space="0" w:color="auto"/>
        <w:left w:val="none" w:sz="0" w:space="0" w:color="auto"/>
        <w:bottom w:val="none" w:sz="0" w:space="0" w:color="auto"/>
        <w:right w:val="none" w:sz="0" w:space="0" w:color="auto"/>
      </w:divBdr>
    </w:div>
    <w:div w:id="1303268814">
      <w:bodyDiv w:val="1"/>
      <w:marLeft w:val="0"/>
      <w:marRight w:val="0"/>
      <w:marTop w:val="0"/>
      <w:marBottom w:val="0"/>
      <w:divBdr>
        <w:top w:val="none" w:sz="0" w:space="0" w:color="auto"/>
        <w:left w:val="none" w:sz="0" w:space="0" w:color="auto"/>
        <w:bottom w:val="none" w:sz="0" w:space="0" w:color="auto"/>
        <w:right w:val="none" w:sz="0" w:space="0" w:color="auto"/>
      </w:divBdr>
    </w:div>
    <w:div w:id="1303271118">
      <w:bodyDiv w:val="1"/>
      <w:marLeft w:val="0"/>
      <w:marRight w:val="0"/>
      <w:marTop w:val="0"/>
      <w:marBottom w:val="0"/>
      <w:divBdr>
        <w:top w:val="none" w:sz="0" w:space="0" w:color="auto"/>
        <w:left w:val="none" w:sz="0" w:space="0" w:color="auto"/>
        <w:bottom w:val="none" w:sz="0" w:space="0" w:color="auto"/>
        <w:right w:val="none" w:sz="0" w:space="0" w:color="auto"/>
      </w:divBdr>
    </w:div>
    <w:div w:id="1303274073">
      <w:bodyDiv w:val="1"/>
      <w:marLeft w:val="0"/>
      <w:marRight w:val="0"/>
      <w:marTop w:val="0"/>
      <w:marBottom w:val="0"/>
      <w:divBdr>
        <w:top w:val="none" w:sz="0" w:space="0" w:color="auto"/>
        <w:left w:val="none" w:sz="0" w:space="0" w:color="auto"/>
        <w:bottom w:val="none" w:sz="0" w:space="0" w:color="auto"/>
        <w:right w:val="none" w:sz="0" w:space="0" w:color="auto"/>
      </w:divBdr>
    </w:div>
    <w:div w:id="1303341698">
      <w:bodyDiv w:val="1"/>
      <w:marLeft w:val="0"/>
      <w:marRight w:val="0"/>
      <w:marTop w:val="0"/>
      <w:marBottom w:val="0"/>
      <w:divBdr>
        <w:top w:val="none" w:sz="0" w:space="0" w:color="auto"/>
        <w:left w:val="none" w:sz="0" w:space="0" w:color="auto"/>
        <w:bottom w:val="none" w:sz="0" w:space="0" w:color="auto"/>
        <w:right w:val="none" w:sz="0" w:space="0" w:color="auto"/>
      </w:divBdr>
    </w:div>
    <w:div w:id="1303388507">
      <w:bodyDiv w:val="1"/>
      <w:marLeft w:val="0"/>
      <w:marRight w:val="0"/>
      <w:marTop w:val="0"/>
      <w:marBottom w:val="0"/>
      <w:divBdr>
        <w:top w:val="none" w:sz="0" w:space="0" w:color="auto"/>
        <w:left w:val="none" w:sz="0" w:space="0" w:color="auto"/>
        <w:bottom w:val="none" w:sz="0" w:space="0" w:color="auto"/>
        <w:right w:val="none" w:sz="0" w:space="0" w:color="auto"/>
      </w:divBdr>
    </w:div>
    <w:div w:id="1303465617">
      <w:bodyDiv w:val="1"/>
      <w:marLeft w:val="0"/>
      <w:marRight w:val="0"/>
      <w:marTop w:val="0"/>
      <w:marBottom w:val="0"/>
      <w:divBdr>
        <w:top w:val="none" w:sz="0" w:space="0" w:color="auto"/>
        <w:left w:val="none" w:sz="0" w:space="0" w:color="auto"/>
        <w:bottom w:val="none" w:sz="0" w:space="0" w:color="auto"/>
        <w:right w:val="none" w:sz="0" w:space="0" w:color="auto"/>
      </w:divBdr>
    </w:div>
    <w:div w:id="1303734888">
      <w:bodyDiv w:val="1"/>
      <w:marLeft w:val="0"/>
      <w:marRight w:val="0"/>
      <w:marTop w:val="0"/>
      <w:marBottom w:val="0"/>
      <w:divBdr>
        <w:top w:val="none" w:sz="0" w:space="0" w:color="auto"/>
        <w:left w:val="none" w:sz="0" w:space="0" w:color="auto"/>
        <w:bottom w:val="none" w:sz="0" w:space="0" w:color="auto"/>
        <w:right w:val="none" w:sz="0" w:space="0" w:color="auto"/>
      </w:divBdr>
    </w:div>
    <w:div w:id="1303853610">
      <w:bodyDiv w:val="1"/>
      <w:marLeft w:val="0"/>
      <w:marRight w:val="0"/>
      <w:marTop w:val="0"/>
      <w:marBottom w:val="0"/>
      <w:divBdr>
        <w:top w:val="none" w:sz="0" w:space="0" w:color="auto"/>
        <w:left w:val="none" w:sz="0" w:space="0" w:color="auto"/>
        <w:bottom w:val="none" w:sz="0" w:space="0" w:color="auto"/>
        <w:right w:val="none" w:sz="0" w:space="0" w:color="auto"/>
      </w:divBdr>
    </w:div>
    <w:div w:id="1304044919">
      <w:bodyDiv w:val="1"/>
      <w:marLeft w:val="0"/>
      <w:marRight w:val="0"/>
      <w:marTop w:val="0"/>
      <w:marBottom w:val="0"/>
      <w:divBdr>
        <w:top w:val="none" w:sz="0" w:space="0" w:color="auto"/>
        <w:left w:val="none" w:sz="0" w:space="0" w:color="auto"/>
        <w:bottom w:val="none" w:sz="0" w:space="0" w:color="auto"/>
        <w:right w:val="none" w:sz="0" w:space="0" w:color="auto"/>
      </w:divBdr>
    </w:div>
    <w:div w:id="1304114333">
      <w:bodyDiv w:val="1"/>
      <w:marLeft w:val="0"/>
      <w:marRight w:val="0"/>
      <w:marTop w:val="0"/>
      <w:marBottom w:val="0"/>
      <w:divBdr>
        <w:top w:val="none" w:sz="0" w:space="0" w:color="auto"/>
        <w:left w:val="none" w:sz="0" w:space="0" w:color="auto"/>
        <w:bottom w:val="none" w:sz="0" w:space="0" w:color="auto"/>
        <w:right w:val="none" w:sz="0" w:space="0" w:color="auto"/>
      </w:divBdr>
    </w:div>
    <w:div w:id="1304235202">
      <w:bodyDiv w:val="1"/>
      <w:marLeft w:val="0"/>
      <w:marRight w:val="0"/>
      <w:marTop w:val="0"/>
      <w:marBottom w:val="0"/>
      <w:divBdr>
        <w:top w:val="none" w:sz="0" w:space="0" w:color="auto"/>
        <w:left w:val="none" w:sz="0" w:space="0" w:color="auto"/>
        <w:bottom w:val="none" w:sz="0" w:space="0" w:color="auto"/>
        <w:right w:val="none" w:sz="0" w:space="0" w:color="auto"/>
      </w:divBdr>
    </w:div>
    <w:div w:id="1304235756">
      <w:bodyDiv w:val="1"/>
      <w:marLeft w:val="0"/>
      <w:marRight w:val="0"/>
      <w:marTop w:val="0"/>
      <w:marBottom w:val="0"/>
      <w:divBdr>
        <w:top w:val="none" w:sz="0" w:space="0" w:color="auto"/>
        <w:left w:val="none" w:sz="0" w:space="0" w:color="auto"/>
        <w:bottom w:val="none" w:sz="0" w:space="0" w:color="auto"/>
        <w:right w:val="none" w:sz="0" w:space="0" w:color="auto"/>
      </w:divBdr>
    </w:div>
    <w:div w:id="1304385684">
      <w:bodyDiv w:val="1"/>
      <w:marLeft w:val="0"/>
      <w:marRight w:val="0"/>
      <w:marTop w:val="0"/>
      <w:marBottom w:val="0"/>
      <w:divBdr>
        <w:top w:val="none" w:sz="0" w:space="0" w:color="auto"/>
        <w:left w:val="none" w:sz="0" w:space="0" w:color="auto"/>
        <w:bottom w:val="none" w:sz="0" w:space="0" w:color="auto"/>
        <w:right w:val="none" w:sz="0" w:space="0" w:color="auto"/>
      </w:divBdr>
    </w:div>
    <w:div w:id="1304386040">
      <w:bodyDiv w:val="1"/>
      <w:marLeft w:val="0"/>
      <w:marRight w:val="0"/>
      <w:marTop w:val="0"/>
      <w:marBottom w:val="0"/>
      <w:divBdr>
        <w:top w:val="none" w:sz="0" w:space="0" w:color="auto"/>
        <w:left w:val="none" w:sz="0" w:space="0" w:color="auto"/>
        <w:bottom w:val="none" w:sz="0" w:space="0" w:color="auto"/>
        <w:right w:val="none" w:sz="0" w:space="0" w:color="auto"/>
      </w:divBdr>
    </w:div>
    <w:div w:id="1304657809">
      <w:bodyDiv w:val="1"/>
      <w:marLeft w:val="0"/>
      <w:marRight w:val="0"/>
      <w:marTop w:val="0"/>
      <w:marBottom w:val="0"/>
      <w:divBdr>
        <w:top w:val="none" w:sz="0" w:space="0" w:color="auto"/>
        <w:left w:val="none" w:sz="0" w:space="0" w:color="auto"/>
        <w:bottom w:val="none" w:sz="0" w:space="0" w:color="auto"/>
        <w:right w:val="none" w:sz="0" w:space="0" w:color="auto"/>
      </w:divBdr>
    </w:div>
    <w:div w:id="1304701808">
      <w:bodyDiv w:val="1"/>
      <w:marLeft w:val="0"/>
      <w:marRight w:val="0"/>
      <w:marTop w:val="0"/>
      <w:marBottom w:val="0"/>
      <w:divBdr>
        <w:top w:val="none" w:sz="0" w:space="0" w:color="auto"/>
        <w:left w:val="none" w:sz="0" w:space="0" w:color="auto"/>
        <w:bottom w:val="none" w:sz="0" w:space="0" w:color="auto"/>
        <w:right w:val="none" w:sz="0" w:space="0" w:color="auto"/>
      </w:divBdr>
    </w:div>
    <w:div w:id="1304771541">
      <w:bodyDiv w:val="1"/>
      <w:marLeft w:val="0"/>
      <w:marRight w:val="0"/>
      <w:marTop w:val="0"/>
      <w:marBottom w:val="0"/>
      <w:divBdr>
        <w:top w:val="none" w:sz="0" w:space="0" w:color="auto"/>
        <w:left w:val="none" w:sz="0" w:space="0" w:color="auto"/>
        <w:bottom w:val="none" w:sz="0" w:space="0" w:color="auto"/>
        <w:right w:val="none" w:sz="0" w:space="0" w:color="auto"/>
      </w:divBdr>
    </w:div>
    <w:div w:id="1304771594">
      <w:bodyDiv w:val="1"/>
      <w:marLeft w:val="0"/>
      <w:marRight w:val="0"/>
      <w:marTop w:val="0"/>
      <w:marBottom w:val="0"/>
      <w:divBdr>
        <w:top w:val="none" w:sz="0" w:space="0" w:color="auto"/>
        <w:left w:val="none" w:sz="0" w:space="0" w:color="auto"/>
        <w:bottom w:val="none" w:sz="0" w:space="0" w:color="auto"/>
        <w:right w:val="none" w:sz="0" w:space="0" w:color="auto"/>
      </w:divBdr>
    </w:div>
    <w:div w:id="1304851482">
      <w:bodyDiv w:val="1"/>
      <w:marLeft w:val="0"/>
      <w:marRight w:val="0"/>
      <w:marTop w:val="0"/>
      <w:marBottom w:val="0"/>
      <w:divBdr>
        <w:top w:val="none" w:sz="0" w:space="0" w:color="auto"/>
        <w:left w:val="none" w:sz="0" w:space="0" w:color="auto"/>
        <w:bottom w:val="none" w:sz="0" w:space="0" w:color="auto"/>
        <w:right w:val="none" w:sz="0" w:space="0" w:color="auto"/>
      </w:divBdr>
    </w:div>
    <w:div w:id="1305037569">
      <w:bodyDiv w:val="1"/>
      <w:marLeft w:val="0"/>
      <w:marRight w:val="0"/>
      <w:marTop w:val="0"/>
      <w:marBottom w:val="0"/>
      <w:divBdr>
        <w:top w:val="none" w:sz="0" w:space="0" w:color="auto"/>
        <w:left w:val="none" w:sz="0" w:space="0" w:color="auto"/>
        <w:bottom w:val="none" w:sz="0" w:space="0" w:color="auto"/>
        <w:right w:val="none" w:sz="0" w:space="0" w:color="auto"/>
      </w:divBdr>
    </w:div>
    <w:div w:id="1305039702">
      <w:bodyDiv w:val="1"/>
      <w:marLeft w:val="0"/>
      <w:marRight w:val="0"/>
      <w:marTop w:val="0"/>
      <w:marBottom w:val="0"/>
      <w:divBdr>
        <w:top w:val="none" w:sz="0" w:space="0" w:color="auto"/>
        <w:left w:val="none" w:sz="0" w:space="0" w:color="auto"/>
        <w:bottom w:val="none" w:sz="0" w:space="0" w:color="auto"/>
        <w:right w:val="none" w:sz="0" w:space="0" w:color="auto"/>
      </w:divBdr>
    </w:div>
    <w:div w:id="1305087618">
      <w:bodyDiv w:val="1"/>
      <w:marLeft w:val="0"/>
      <w:marRight w:val="0"/>
      <w:marTop w:val="0"/>
      <w:marBottom w:val="0"/>
      <w:divBdr>
        <w:top w:val="none" w:sz="0" w:space="0" w:color="auto"/>
        <w:left w:val="none" w:sz="0" w:space="0" w:color="auto"/>
        <w:bottom w:val="none" w:sz="0" w:space="0" w:color="auto"/>
        <w:right w:val="none" w:sz="0" w:space="0" w:color="auto"/>
      </w:divBdr>
    </w:div>
    <w:div w:id="1305089748">
      <w:bodyDiv w:val="1"/>
      <w:marLeft w:val="0"/>
      <w:marRight w:val="0"/>
      <w:marTop w:val="0"/>
      <w:marBottom w:val="0"/>
      <w:divBdr>
        <w:top w:val="none" w:sz="0" w:space="0" w:color="auto"/>
        <w:left w:val="none" w:sz="0" w:space="0" w:color="auto"/>
        <w:bottom w:val="none" w:sz="0" w:space="0" w:color="auto"/>
        <w:right w:val="none" w:sz="0" w:space="0" w:color="auto"/>
      </w:divBdr>
    </w:div>
    <w:div w:id="1305280701">
      <w:bodyDiv w:val="1"/>
      <w:marLeft w:val="0"/>
      <w:marRight w:val="0"/>
      <w:marTop w:val="0"/>
      <w:marBottom w:val="0"/>
      <w:divBdr>
        <w:top w:val="none" w:sz="0" w:space="0" w:color="auto"/>
        <w:left w:val="none" w:sz="0" w:space="0" w:color="auto"/>
        <w:bottom w:val="none" w:sz="0" w:space="0" w:color="auto"/>
        <w:right w:val="none" w:sz="0" w:space="0" w:color="auto"/>
      </w:divBdr>
    </w:div>
    <w:div w:id="1305306117">
      <w:bodyDiv w:val="1"/>
      <w:marLeft w:val="0"/>
      <w:marRight w:val="0"/>
      <w:marTop w:val="0"/>
      <w:marBottom w:val="0"/>
      <w:divBdr>
        <w:top w:val="none" w:sz="0" w:space="0" w:color="auto"/>
        <w:left w:val="none" w:sz="0" w:space="0" w:color="auto"/>
        <w:bottom w:val="none" w:sz="0" w:space="0" w:color="auto"/>
        <w:right w:val="none" w:sz="0" w:space="0" w:color="auto"/>
      </w:divBdr>
    </w:div>
    <w:div w:id="1305353283">
      <w:bodyDiv w:val="1"/>
      <w:marLeft w:val="0"/>
      <w:marRight w:val="0"/>
      <w:marTop w:val="0"/>
      <w:marBottom w:val="0"/>
      <w:divBdr>
        <w:top w:val="none" w:sz="0" w:space="0" w:color="auto"/>
        <w:left w:val="none" w:sz="0" w:space="0" w:color="auto"/>
        <w:bottom w:val="none" w:sz="0" w:space="0" w:color="auto"/>
        <w:right w:val="none" w:sz="0" w:space="0" w:color="auto"/>
      </w:divBdr>
    </w:div>
    <w:div w:id="1305431013">
      <w:bodyDiv w:val="1"/>
      <w:marLeft w:val="0"/>
      <w:marRight w:val="0"/>
      <w:marTop w:val="0"/>
      <w:marBottom w:val="0"/>
      <w:divBdr>
        <w:top w:val="none" w:sz="0" w:space="0" w:color="auto"/>
        <w:left w:val="none" w:sz="0" w:space="0" w:color="auto"/>
        <w:bottom w:val="none" w:sz="0" w:space="0" w:color="auto"/>
        <w:right w:val="none" w:sz="0" w:space="0" w:color="auto"/>
      </w:divBdr>
    </w:div>
    <w:div w:id="1305545429">
      <w:bodyDiv w:val="1"/>
      <w:marLeft w:val="0"/>
      <w:marRight w:val="0"/>
      <w:marTop w:val="0"/>
      <w:marBottom w:val="0"/>
      <w:divBdr>
        <w:top w:val="none" w:sz="0" w:space="0" w:color="auto"/>
        <w:left w:val="none" w:sz="0" w:space="0" w:color="auto"/>
        <w:bottom w:val="none" w:sz="0" w:space="0" w:color="auto"/>
        <w:right w:val="none" w:sz="0" w:space="0" w:color="auto"/>
      </w:divBdr>
    </w:div>
    <w:div w:id="1305550714">
      <w:bodyDiv w:val="1"/>
      <w:marLeft w:val="0"/>
      <w:marRight w:val="0"/>
      <w:marTop w:val="0"/>
      <w:marBottom w:val="0"/>
      <w:divBdr>
        <w:top w:val="none" w:sz="0" w:space="0" w:color="auto"/>
        <w:left w:val="none" w:sz="0" w:space="0" w:color="auto"/>
        <w:bottom w:val="none" w:sz="0" w:space="0" w:color="auto"/>
        <w:right w:val="none" w:sz="0" w:space="0" w:color="auto"/>
      </w:divBdr>
    </w:div>
    <w:div w:id="1305623743">
      <w:bodyDiv w:val="1"/>
      <w:marLeft w:val="0"/>
      <w:marRight w:val="0"/>
      <w:marTop w:val="0"/>
      <w:marBottom w:val="0"/>
      <w:divBdr>
        <w:top w:val="none" w:sz="0" w:space="0" w:color="auto"/>
        <w:left w:val="none" w:sz="0" w:space="0" w:color="auto"/>
        <w:bottom w:val="none" w:sz="0" w:space="0" w:color="auto"/>
        <w:right w:val="none" w:sz="0" w:space="0" w:color="auto"/>
      </w:divBdr>
    </w:div>
    <w:div w:id="1305695987">
      <w:bodyDiv w:val="1"/>
      <w:marLeft w:val="0"/>
      <w:marRight w:val="0"/>
      <w:marTop w:val="0"/>
      <w:marBottom w:val="0"/>
      <w:divBdr>
        <w:top w:val="none" w:sz="0" w:space="0" w:color="auto"/>
        <w:left w:val="none" w:sz="0" w:space="0" w:color="auto"/>
        <w:bottom w:val="none" w:sz="0" w:space="0" w:color="auto"/>
        <w:right w:val="none" w:sz="0" w:space="0" w:color="auto"/>
      </w:divBdr>
    </w:div>
    <w:div w:id="1305768564">
      <w:bodyDiv w:val="1"/>
      <w:marLeft w:val="0"/>
      <w:marRight w:val="0"/>
      <w:marTop w:val="0"/>
      <w:marBottom w:val="0"/>
      <w:divBdr>
        <w:top w:val="none" w:sz="0" w:space="0" w:color="auto"/>
        <w:left w:val="none" w:sz="0" w:space="0" w:color="auto"/>
        <w:bottom w:val="none" w:sz="0" w:space="0" w:color="auto"/>
        <w:right w:val="none" w:sz="0" w:space="0" w:color="auto"/>
      </w:divBdr>
    </w:div>
    <w:div w:id="1305812810">
      <w:bodyDiv w:val="1"/>
      <w:marLeft w:val="0"/>
      <w:marRight w:val="0"/>
      <w:marTop w:val="0"/>
      <w:marBottom w:val="0"/>
      <w:divBdr>
        <w:top w:val="none" w:sz="0" w:space="0" w:color="auto"/>
        <w:left w:val="none" w:sz="0" w:space="0" w:color="auto"/>
        <w:bottom w:val="none" w:sz="0" w:space="0" w:color="auto"/>
        <w:right w:val="none" w:sz="0" w:space="0" w:color="auto"/>
      </w:divBdr>
    </w:div>
    <w:div w:id="1305962013">
      <w:bodyDiv w:val="1"/>
      <w:marLeft w:val="0"/>
      <w:marRight w:val="0"/>
      <w:marTop w:val="0"/>
      <w:marBottom w:val="0"/>
      <w:divBdr>
        <w:top w:val="none" w:sz="0" w:space="0" w:color="auto"/>
        <w:left w:val="none" w:sz="0" w:space="0" w:color="auto"/>
        <w:bottom w:val="none" w:sz="0" w:space="0" w:color="auto"/>
        <w:right w:val="none" w:sz="0" w:space="0" w:color="auto"/>
      </w:divBdr>
    </w:div>
    <w:div w:id="1305963880">
      <w:bodyDiv w:val="1"/>
      <w:marLeft w:val="0"/>
      <w:marRight w:val="0"/>
      <w:marTop w:val="0"/>
      <w:marBottom w:val="0"/>
      <w:divBdr>
        <w:top w:val="none" w:sz="0" w:space="0" w:color="auto"/>
        <w:left w:val="none" w:sz="0" w:space="0" w:color="auto"/>
        <w:bottom w:val="none" w:sz="0" w:space="0" w:color="auto"/>
        <w:right w:val="none" w:sz="0" w:space="0" w:color="auto"/>
      </w:divBdr>
    </w:div>
    <w:div w:id="1305964434">
      <w:bodyDiv w:val="1"/>
      <w:marLeft w:val="0"/>
      <w:marRight w:val="0"/>
      <w:marTop w:val="0"/>
      <w:marBottom w:val="0"/>
      <w:divBdr>
        <w:top w:val="none" w:sz="0" w:space="0" w:color="auto"/>
        <w:left w:val="none" w:sz="0" w:space="0" w:color="auto"/>
        <w:bottom w:val="none" w:sz="0" w:space="0" w:color="auto"/>
        <w:right w:val="none" w:sz="0" w:space="0" w:color="auto"/>
      </w:divBdr>
    </w:div>
    <w:div w:id="1305968010">
      <w:bodyDiv w:val="1"/>
      <w:marLeft w:val="0"/>
      <w:marRight w:val="0"/>
      <w:marTop w:val="0"/>
      <w:marBottom w:val="0"/>
      <w:divBdr>
        <w:top w:val="none" w:sz="0" w:space="0" w:color="auto"/>
        <w:left w:val="none" w:sz="0" w:space="0" w:color="auto"/>
        <w:bottom w:val="none" w:sz="0" w:space="0" w:color="auto"/>
        <w:right w:val="none" w:sz="0" w:space="0" w:color="auto"/>
      </w:divBdr>
    </w:div>
    <w:div w:id="1306080806">
      <w:bodyDiv w:val="1"/>
      <w:marLeft w:val="0"/>
      <w:marRight w:val="0"/>
      <w:marTop w:val="0"/>
      <w:marBottom w:val="0"/>
      <w:divBdr>
        <w:top w:val="none" w:sz="0" w:space="0" w:color="auto"/>
        <w:left w:val="none" w:sz="0" w:space="0" w:color="auto"/>
        <w:bottom w:val="none" w:sz="0" w:space="0" w:color="auto"/>
        <w:right w:val="none" w:sz="0" w:space="0" w:color="auto"/>
      </w:divBdr>
    </w:div>
    <w:div w:id="1306160888">
      <w:bodyDiv w:val="1"/>
      <w:marLeft w:val="0"/>
      <w:marRight w:val="0"/>
      <w:marTop w:val="0"/>
      <w:marBottom w:val="0"/>
      <w:divBdr>
        <w:top w:val="none" w:sz="0" w:space="0" w:color="auto"/>
        <w:left w:val="none" w:sz="0" w:space="0" w:color="auto"/>
        <w:bottom w:val="none" w:sz="0" w:space="0" w:color="auto"/>
        <w:right w:val="none" w:sz="0" w:space="0" w:color="auto"/>
      </w:divBdr>
    </w:div>
    <w:div w:id="1306202666">
      <w:bodyDiv w:val="1"/>
      <w:marLeft w:val="0"/>
      <w:marRight w:val="0"/>
      <w:marTop w:val="0"/>
      <w:marBottom w:val="0"/>
      <w:divBdr>
        <w:top w:val="none" w:sz="0" w:space="0" w:color="auto"/>
        <w:left w:val="none" w:sz="0" w:space="0" w:color="auto"/>
        <w:bottom w:val="none" w:sz="0" w:space="0" w:color="auto"/>
        <w:right w:val="none" w:sz="0" w:space="0" w:color="auto"/>
      </w:divBdr>
    </w:div>
    <w:div w:id="1306205505">
      <w:bodyDiv w:val="1"/>
      <w:marLeft w:val="0"/>
      <w:marRight w:val="0"/>
      <w:marTop w:val="0"/>
      <w:marBottom w:val="0"/>
      <w:divBdr>
        <w:top w:val="none" w:sz="0" w:space="0" w:color="auto"/>
        <w:left w:val="none" w:sz="0" w:space="0" w:color="auto"/>
        <w:bottom w:val="none" w:sz="0" w:space="0" w:color="auto"/>
        <w:right w:val="none" w:sz="0" w:space="0" w:color="auto"/>
      </w:divBdr>
    </w:div>
    <w:div w:id="1306275157">
      <w:bodyDiv w:val="1"/>
      <w:marLeft w:val="0"/>
      <w:marRight w:val="0"/>
      <w:marTop w:val="0"/>
      <w:marBottom w:val="0"/>
      <w:divBdr>
        <w:top w:val="none" w:sz="0" w:space="0" w:color="auto"/>
        <w:left w:val="none" w:sz="0" w:space="0" w:color="auto"/>
        <w:bottom w:val="none" w:sz="0" w:space="0" w:color="auto"/>
        <w:right w:val="none" w:sz="0" w:space="0" w:color="auto"/>
      </w:divBdr>
    </w:div>
    <w:div w:id="1306282196">
      <w:bodyDiv w:val="1"/>
      <w:marLeft w:val="0"/>
      <w:marRight w:val="0"/>
      <w:marTop w:val="0"/>
      <w:marBottom w:val="0"/>
      <w:divBdr>
        <w:top w:val="none" w:sz="0" w:space="0" w:color="auto"/>
        <w:left w:val="none" w:sz="0" w:space="0" w:color="auto"/>
        <w:bottom w:val="none" w:sz="0" w:space="0" w:color="auto"/>
        <w:right w:val="none" w:sz="0" w:space="0" w:color="auto"/>
      </w:divBdr>
    </w:div>
    <w:div w:id="1306471465">
      <w:bodyDiv w:val="1"/>
      <w:marLeft w:val="0"/>
      <w:marRight w:val="0"/>
      <w:marTop w:val="0"/>
      <w:marBottom w:val="0"/>
      <w:divBdr>
        <w:top w:val="none" w:sz="0" w:space="0" w:color="auto"/>
        <w:left w:val="none" w:sz="0" w:space="0" w:color="auto"/>
        <w:bottom w:val="none" w:sz="0" w:space="0" w:color="auto"/>
        <w:right w:val="none" w:sz="0" w:space="0" w:color="auto"/>
      </w:divBdr>
    </w:div>
    <w:div w:id="1306659524">
      <w:bodyDiv w:val="1"/>
      <w:marLeft w:val="0"/>
      <w:marRight w:val="0"/>
      <w:marTop w:val="0"/>
      <w:marBottom w:val="0"/>
      <w:divBdr>
        <w:top w:val="none" w:sz="0" w:space="0" w:color="auto"/>
        <w:left w:val="none" w:sz="0" w:space="0" w:color="auto"/>
        <w:bottom w:val="none" w:sz="0" w:space="0" w:color="auto"/>
        <w:right w:val="none" w:sz="0" w:space="0" w:color="auto"/>
      </w:divBdr>
    </w:div>
    <w:div w:id="1306665363">
      <w:bodyDiv w:val="1"/>
      <w:marLeft w:val="0"/>
      <w:marRight w:val="0"/>
      <w:marTop w:val="0"/>
      <w:marBottom w:val="0"/>
      <w:divBdr>
        <w:top w:val="none" w:sz="0" w:space="0" w:color="auto"/>
        <w:left w:val="none" w:sz="0" w:space="0" w:color="auto"/>
        <w:bottom w:val="none" w:sz="0" w:space="0" w:color="auto"/>
        <w:right w:val="none" w:sz="0" w:space="0" w:color="auto"/>
      </w:divBdr>
    </w:div>
    <w:div w:id="1306666705">
      <w:bodyDiv w:val="1"/>
      <w:marLeft w:val="0"/>
      <w:marRight w:val="0"/>
      <w:marTop w:val="0"/>
      <w:marBottom w:val="0"/>
      <w:divBdr>
        <w:top w:val="none" w:sz="0" w:space="0" w:color="auto"/>
        <w:left w:val="none" w:sz="0" w:space="0" w:color="auto"/>
        <w:bottom w:val="none" w:sz="0" w:space="0" w:color="auto"/>
        <w:right w:val="none" w:sz="0" w:space="0" w:color="auto"/>
      </w:divBdr>
    </w:div>
    <w:div w:id="1306666744">
      <w:bodyDiv w:val="1"/>
      <w:marLeft w:val="0"/>
      <w:marRight w:val="0"/>
      <w:marTop w:val="0"/>
      <w:marBottom w:val="0"/>
      <w:divBdr>
        <w:top w:val="none" w:sz="0" w:space="0" w:color="auto"/>
        <w:left w:val="none" w:sz="0" w:space="0" w:color="auto"/>
        <w:bottom w:val="none" w:sz="0" w:space="0" w:color="auto"/>
        <w:right w:val="none" w:sz="0" w:space="0" w:color="auto"/>
      </w:divBdr>
    </w:div>
    <w:div w:id="1306742261">
      <w:bodyDiv w:val="1"/>
      <w:marLeft w:val="0"/>
      <w:marRight w:val="0"/>
      <w:marTop w:val="0"/>
      <w:marBottom w:val="0"/>
      <w:divBdr>
        <w:top w:val="none" w:sz="0" w:space="0" w:color="auto"/>
        <w:left w:val="none" w:sz="0" w:space="0" w:color="auto"/>
        <w:bottom w:val="none" w:sz="0" w:space="0" w:color="auto"/>
        <w:right w:val="none" w:sz="0" w:space="0" w:color="auto"/>
      </w:divBdr>
    </w:div>
    <w:div w:id="1306817064">
      <w:bodyDiv w:val="1"/>
      <w:marLeft w:val="0"/>
      <w:marRight w:val="0"/>
      <w:marTop w:val="0"/>
      <w:marBottom w:val="0"/>
      <w:divBdr>
        <w:top w:val="none" w:sz="0" w:space="0" w:color="auto"/>
        <w:left w:val="none" w:sz="0" w:space="0" w:color="auto"/>
        <w:bottom w:val="none" w:sz="0" w:space="0" w:color="auto"/>
        <w:right w:val="none" w:sz="0" w:space="0" w:color="auto"/>
      </w:divBdr>
    </w:div>
    <w:div w:id="1307318786">
      <w:bodyDiv w:val="1"/>
      <w:marLeft w:val="0"/>
      <w:marRight w:val="0"/>
      <w:marTop w:val="0"/>
      <w:marBottom w:val="0"/>
      <w:divBdr>
        <w:top w:val="none" w:sz="0" w:space="0" w:color="auto"/>
        <w:left w:val="none" w:sz="0" w:space="0" w:color="auto"/>
        <w:bottom w:val="none" w:sz="0" w:space="0" w:color="auto"/>
        <w:right w:val="none" w:sz="0" w:space="0" w:color="auto"/>
      </w:divBdr>
    </w:div>
    <w:div w:id="1307391633">
      <w:bodyDiv w:val="1"/>
      <w:marLeft w:val="0"/>
      <w:marRight w:val="0"/>
      <w:marTop w:val="0"/>
      <w:marBottom w:val="0"/>
      <w:divBdr>
        <w:top w:val="none" w:sz="0" w:space="0" w:color="auto"/>
        <w:left w:val="none" w:sz="0" w:space="0" w:color="auto"/>
        <w:bottom w:val="none" w:sz="0" w:space="0" w:color="auto"/>
        <w:right w:val="none" w:sz="0" w:space="0" w:color="auto"/>
      </w:divBdr>
    </w:div>
    <w:div w:id="1307467835">
      <w:bodyDiv w:val="1"/>
      <w:marLeft w:val="0"/>
      <w:marRight w:val="0"/>
      <w:marTop w:val="0"/>
      <w:marBottom w:val="0"/>
      <w:divBdr>
        <w:top w:val="none" w:sz="0" w:space="0" w:color="auto"/>
        <w:left w:val="none" w:sz="0" w:space="0" w:color="auto"/>
        <w:bottom w:val="none" w:sz="0" w:space="0" w:color="auto"/>
        <w:right w:val="none" w:sz="0" w:space="0" w:color="auto"/>
      </w:divBdr>
    </w:div>
    <w:div w:id="1307513030">
      <w:bodyDiv w:val="1"/>
      <w:marLeft w:val="0"/>
      <w:marRight w:val="0"/>
      <w:marTop w:val="0"/>
      <w:marBottom w:val="0"/>
      <w:divBdr>
        <w:top w:val="none" w:sz="0" w:space="0" w:color="auto"/>
        <w:left w:val="none" w:sz="0" w:space="0" w:color="auto"/>
        <w:bottom w:val="none" w:sz="0" w:space="0" w:color="auto"/>
        <w:right w:val="none" w:sz="0" w:space="0" w:color="auto"/>
      </w:divBdr>
    </w:div>
    <w:div w:id="1307928679">
      <w:bodyDiv w:val="1"/>
      <w:marLeft w:val="0"/>
      <w:marRight w:val="0"/>
      <w:marTop w:val="0"/>
      <w:marBottom w:val="0"/>
      <w:divBdr>
        <w:top w:val="none" w:sz="0" w:space="0" w:color="auto"/>
        <w:left w:val="none" w:sz="0" w:space="0" w:color="auto"/>
        <w:bottom w:val="none" w:sz="0" w:space="0" w:color="auto"/>
        <w:right w:val="none" w:sz="0" w:space="0" w:color="auto"/>
      </w:divBdr>
    </w:div>
    <w:div w:id="1308239144">
      <w:bodyDiv w:val="1"/>
      <w:marLeft w:val="0"/>
      <w:marRight w:val="0"/>
      <w:marTop w:val="0"/>
      <w:marBottom w:val="0"/>
      <w:divBdr>
        <w:top w:val="none" w:sz="0" w:space="0" w:color="auto"/>
        <w:left w:val="none" w:sz="0" w:space="0" w:color="auto"/>
        <w:bottom w:val="none" w:sz="0" w:space="0" w:color="auto"/>
        <w:right w:val="none" w:sz="0" w:space="0" w:color="auto"/>
      </w:divBdr>
    </w:div>
    <w:div w:id="1308316751">
      <w:bodyDiv w:val="1"/>
      <w:marLeft w:val="0"/>
      <w:marRight w:val="0"/>
      <w:marTop w:val="0"/>
      <w:marBottom w:val="0"/>
      <w:divBdr>
        <w:top w:val="none" w:sz="0" w:space="0" w:color="auto"/>
        <w:left w:val="none" w:sz="0" w:space="0" w:color="auto"/>
        <w:bottom w:val="none" w:sz="0" w:space="0" w:color="auto"/>
        <w:right w:val="none" w:sz="0" w:space="0" w:color="auto"/>
      </w:divBdr>
    </w:div>
    <w:div w:id="1308362816">
      <w:bodyDiv w:val="1"/>
      <w:marLeft w:val="0"/>
      <w:marRight w:val="0"/>
      <w:marTop w:val="0"/>
      <w:marBottom w:val="0"/>
      <w:divBdr>
        <w:top w:val="none" w:sz="0" w:space="0" w:color="auto"/>
        <w:left w:val="none" w:sz="0" w:space="0" w:color="auto"/>
        <w:bottom w:val="none" w:sz="0" w:space="0" w:color="auto"/>
        <w:right w:val="none" w:sz="0" w:space="0" w:color="auto"/>
      </w:divBdr>
    </w:div>
    <w:div w:id="1308434596">
      <w:bodyDiv w:val="1"/>
      <w:marLeft w:val="0"/>
      <w:marRight w:val="0"/>
      <w:marTop w:val="0"/>
      <w:marBottom w:val="0"/>
      <w:divBdr>
        <w:top w:val="none" w:sz="0" w:space="0" w:color="auto"/>
        <w:left w:val="none" w:sz="0" w:space="0" w:color="auto"/>
        <w:bottom w:val="none" w:sz="0" w:space="0" w:color="auto"/>
        <w:right w:val="none" w:sz="0" w:space="0" w:color="auto"/>
      </w:divBdr>
    </w:div>
    <w:div w:id="1308586602">
      <w:bodyDiv w:val="1"/>
      <w:marLeft w:val="0"/>
      <w:marRight w:val="0"/>
      <w:marTop w:val="0"/>
      <w:marBottom w:val="0"/>
      <w:divBdr>
        <w:top w:val="none" w:sz="0" w:space="0" w:color="auto"/>
        <w:left w:val="none" w:sz="0" w:space="0" w:color="auto"/>
        <w:bottom w:val="none" w:sz="0" w:space="0" w:color="auto"/>
        <w:right w:val="none" w:sz="0" w:space="0" w:color="auto"/>
      </w:divBdr>
    </w:div>
    <w:div w:id="1308782142">
      <w:bodyDiv w:val="1"/>
      <w:marLeft w:val="0"/>
      <w:marRight w:val="0"/>
      <w:marTop w:val="0"/>
      <w:marBottom w:val="0"/>
      <w:divBdr>
        <w:top w:val="none" w:sz="0" w:space="0" w:color="auto"/>
        <w:left w:val="none" w:sz="0" w:space="0" w:color="auto"/>
        <w:bottom w:val="none" w:sz="0" w:space="0" w:color="auto"/>
        <w:right w:val="none" w:sz="0" w:space="0" w:color="auto"/>
      </w:divBdr>
    </w:div>
    <w:div w:id="1308784040">
      <w:bodyDiv w:val="1"/>
      <w:marLeft w:val="0"/>
      <w:marRight w:val="0"/>
      <w:marTop w:val="0"/>
      <w:marBottom w:val="0"/>
      <w:divBdr>
        <w:top w:val="none" w:sz="0" w:space="0" w:color="auto"/>
        <w:left w:val="none" w:sz="0" w:space="0" w:color="auto"/>
        <w:bottom w:val="none" w:sz="0" w:space="0" w:color="auto"/>
        <w:right w:val="none" w:sz="0" w:space="0" w:color="auto"/>
      </w:divBdr>
    </w:div>
    <w:div w:id="1308785362">
      <w:bodyDiv w:val="1"/>
      <w:marLeft w:val="0"/>
      <w:marRight w:val="0"/>
      <w:marTop w:val="0"/>
      <w:marBottom w:val="0"/>
      <w:divBdr>
        <w:top w:val="none" w:sz="0" w:space="0" w:color="auto"/>
        <w:left w:val="none" w:sz="0" w:space="0" w:color="auto"/>
        <w:bottom w:val="none" w:sz="0" w:space="0" w:color="auto"/>
        <w:right w:val="none" w:sz="0" w:space="0" w:color="auto"/>
      </w:divBdr>
    </w:div>
    <w:div w:id="1308896607">
      <w:bodyDiv w:val="1"/>
      <w:marLeft w:val="0"/>
      <w:marRight w:val="0"/>
      <w:marTop w:val="0"/>
      <w:marBottom w:val="0"/>
      <w:divBdr>
        <w:top w:val="none" w:sz="0" w:space="0" w:color="auto"/>
        <w:left w:val="none" w:sz="0" w:space="0" w:color="auto"/>
        <w:bottom w:val="none" w:sz="0" w:space="0" w:color="auto"/>
        <w:right w:val="none" w:sz="0" w:space="0" w:color="auto"/>
      </w:divBdr>
    </w:div>
    <w:div w:id="1308898088">
      <w:bodyDiv w:val="1"/>
      <w:marLeft w:val="0"/>
      <w:marRight w:val="0"/>
      <w:marTop w:val="0"/>
      <w:marBottom w:val="0"/>
      <w:divBdr>
        <w:top w:val="none" w:sz="0" w:space="0" w:color="auto"/>
        <w:left w:val="none" w:sz="0" w:space="0" w:color="auto"/>
        <w:bottom w:val="none" w:sz="0" w:space="0" w:color="auto"/>
        <w:right w:val="none" w:sz="0" w:space="0" w:color="auto"/>
      </w:divBdr>
    </w:div>
    <w:div w:id="1308898459">
      <w:bodyDiv w:val="1"/>
      <w:marLeft w:val="0"/>
      <w:marRight w:val="0"/>
      <w:marTop w:val="0"/>
      <w:marBottom w:val="0"/>
      <w:divBdr>
        <w:top w:val="none" w:sz="0" w:space="0" w:color="auto"/>
        <w:left w:val="none" w:sz="0" w:space="0" w:color="auto"/>
        <w:bottom w:val="none" w:sz="0" w:space="0" w:color="auto"/>
        <w:right w:val="none" w:sz="0" w:space="0" w:color="auto"/>
      </w:divBdr>
    </w:div>
    <w:div w:id="1308900824">
      <w:bodyDiv w:val="1"/>
      <w:marLeft w:val="0"/>
      <w:marRight w:val="0"/>
      <w:marTop w:val="0"/>
      <w:marBottom w:val="0"/>
      <w:divBdr>
        <w:top w:val="none" w:sz="0" w:space="0" w:color="auto"/>
        <w:left w:val="none" w:sz="0" w:space="0" w:color="auto"/>
        <w:bottom w:val="none" w:sz="0" w:space="0" w:color="auto"/>
        <w:right w:val="none" w:sz="0" w:space="0" w:color="auto"/>
      </w:divBdr>
    </w:div>
    <w:div w:id="1308969261">
      <w:bodyDiv w:val="1"/>
      <w:marLeft w:val="0"/>
      <w:marRight w:val="0"/>
      <w:marTop w:val="0"/>
      <w:marBottom w:val="0"/>
      <w:divBdr>
        <w:top w:val="none" w:sz="0" w:space="0" w:color="auto"/>
        <w:left w:val="none" w:sz="0" w:space="0" w:color="auto"/>
        <w:bottom w:val="none" w:sz="0" w:space="0" w:color="auto"/>
        <w:right w:val="none" w:sz="0" w:space="0" w:color="auto"/>
      </w:divBdr>
    </w:div>
    <w:div w:id="1309020017">
      <w:bodyDiv w:val="1"/>
      <w:marLeft w:val="0"/>
      <w:marRight w:val="0"/>
      <w:marTop w:val="0"/>
      <w:marBottom w:val="0"/>
      <w:divBdr>
        <w:top w:val="none" w:sz="0" w:space="0" w:color="auto"/>
        <w:left w:val="none" w:sz="0" w:space="0" w:color="auto"/>
        <w:bottom w:val="none" w:sz="0" w:space="0" w:color="auto"/>
        <w:right w:val="none" w:sz="0" w:space="0" w:color="auto"/>
      </w:divBdr>
    </w:div>
    <w:div w:id="1309096746">
      <w:bodyDiv w:val="1"/>
      <w:marLeft w:val="0"/>
      <w:marRight w:val="0"/>
      <w:marTop w:val="0"/>
      <w:marBottom w:val="0"/>
      <w:divBdr>
        <w:top w:val="none" w:sz="0" w:space="0" w:color="auto"/>
        <w:left w:val="none" w:sz="0" w:space="0" w:color="auto"/>
        <w:bottom w:val="none" w:sz="0" w:space="0" w:color="auto"/>
        <w:right w:val="none" w:sz="0" w:space="0" w:color="auto"/>
      </w:divBdr>
    </w:div>
    <w:div w:id="1309165610">
      <w:bodyDiv w:val="1"/>
      <w:marLeft w:val="0"/>
      <w:marRight w:val="0"/>
      <w:marTop w:val="0"/>
      <w:marBottom w:val="0"/>
      <w:divBdr>
        <w:top w:val="none" w:sz="0" w:space="0" w:color="auto"/>
        <w:left w:val="none" w:sz="0" w:space="0" w:color="auto"/>
        <w:bottom w:val="none" w:sz="0" w:space="0" w:color="auto"/>
        <w:right w:val="none" w:sz="0" w:space="0" w:color="auto"/>
      </w:divBdr>
    </w:div>
    <w:div w:id="1309167722">
      <w:bodyDiv w:val="1"/>
      <w:marLeft w:val="0"/>
      <w:marRight w:val="0"/>
      <w:marTop w:val="0"/>
      <w:marBottom w:val="0"/>
      <w:divBdr>
        <w:top w:val="none" w:sz="0" w:space="0" w:color="auto"/>
        <w:left w:val="none" w:sz="0" w:space="0" w:color="auto"/>
        <w:bottom w:val="none" w:sz="0" w:space="0" w:color="auto"/>
        <w:right w:val="none" w:sz="0" w:space="0" w:color="auto"/>
      </w:divBdr>
    </w:div>
    <w:div w:id="1309169332">
      <w:bodyDiv w:val="1"/>
      <w:marLeft w:val="0"/>
      <w:marRight w:val="0"/>
      <w:marTop w:val="0"/>
      <w:marBottom w:val="0"/>
      <w:divBdr>
        <w:top w:val="none" w:sz="0" w:space="0" w:color="auto"/>
        <w:left w:val="none" w:sz="0" w:space="0" w:color="auto"/>
        <w:bottom w:val="none" w:sz="0" w:space="0" w:color="auto"/>
        <w:right w:val="none" w:sz="0" w:space="0" w:color="auto"/>
      </w:divBdr>
    </w:div>
    <w:div w:id="1309240113">
      <w:bodyDiv w:val="1"/>
      <w:marLeft w:val="0"/>
      <w:marRight w:val="0"/>
      <w:marTop w:val="0"/>
      <w:marBottom w:val="0"/>
      <w:divBdr>
        <w:top w:val="none" w:sz="0" w:space="0" w:color="auto"/>
        <w:left w:val="none" w:sz="0" w:space="0" w:color="auto"/>
        <w:bottom w:val="none" w:sz="0" w:space="0" w:color="auto"/>
        <w:right w:val="none" w:sz="0" w:space="0" w:color="auto"/>
      </w:divBdr>
    </w:div>
    <w:div w:id="1309244812">
      <w:bodyDiv w:val="1"/>
      <w:marLeft w:val="0"/>
      <w:marRight w:val="0"/>
      <w:marTop w:val="0"/>
      <w:marBottom w:val="0"/>
      <w:divBdr>
        <w:top w:val="none" w:sz="0" w:space="0" w:color="auto"/>
        <w:left w:val="none" w:sz="0" w:space="0" w:color="auto"/>
        <w:bottom w:val="none" w:sz="0" w:space="0" w:color="auto"/>
        <w:right w:val="none" w:sz="0" w:space="0" w:color="auto"/>
      </w:divBdr>
    </w:div>
    <w:div w:id="1309283726">
      <w:bodyDiv w:val="1"/>
      <w:marLeft w:val="0"/>
      <w:marRight w:val="0"/>
      <w:marTop w:val="0"/>
      <w:marBottom w:val="0"/>
      <w:divBdr>
        <w:top w:val="none" w:sz="0" w:space="0" w:color="auto"/>
        <w:left w:val="none" w:sz="0" w:space="0" w:color="auto"/>
        <w:bottom w:val="none" w:sz="0" w:space="0" w:color="auto"/>
        <w:right w:val="none" w:sz="0" w:space="0" w:color="auto"/>
      </w:divBdr>
    </w:div>
    <w:div w:id="1309364259">
      <w:bodyDiv w:val="1"/>
      <w:marLeft w:val="0"/>
      <w:marRight w:val="0"/>
      <w:marTop w:val="0"/>
      <w:marBottom w:val="0"/>
      <w:divBdr>
        <w:top w:val="none" w:sz="0" w:space="0" w:color="auto"/>
        <w:left w:val="none" w:sz="0" w:space="0" w:color="auto"/>
        <w:bottom w:val="none" w:sz="0" w:space="0" w:color="auto"/>
        <w:right w:val="none" w:sz="0" w:space="0" w:color="auto"/>
      </w:divBdr>
    </w:div>
    <w:div w:id="1309481506">
      <w:bodyDiv w:val="1"/>
      <w:marLeft w:val="0"/>
      <w:marRight w:val="0"/>
      <w:marTop w:val="0"/>
      <w:marBottom w:val="0"/>
      <w:divBdr>
        <w:top w:val="none" w:sz="0" w:space="0" w:color="auto"/>
        <w:left w:val="none" w:sz="0" w:space="0" w:color="auto"/>
        <w:bottom w:val="none" w:sz="0" w:space="0" w:color="auto"/>
        <w:right w:val="none" w:sz="0" w:space="0" w:color="auto"/>
      </w:divBdr>
    </w:div>
    <w:div w:id="1309629112">
      <w:bodyDiv w:val="1"/>
      <w:marLeft w:val="0"/>
      <w:marRight w:val="0"/>
      <w:marTop w:val="0"/>
      <w:marBottom w:val="0"/>
      <w:divBdr>
        <w:top w:val="none" w:sz="0" w:space="0" w:color="auto"/>
        <w:left w:val="none" w:sz="0" w:space="0" w:color="auto"/>
        <w:bottom w:val="none" w:sz="0" w:space="0" w:color="auto"/>
        <w:right w:val="none" w:sz="0" w:space="0" w:color="auto"/>
      </w:divBdr>
    </w:div>
    <w:div w:id="1309747108">
      <w:bodyDiv w:val="1"/>
      <w:marLeft w:val="0"/>
      <w:marRight w:val="0"/>
      <w:marTop w:val="0"/>
      <w:marBottom w:val="0"/>
      <w:divBdr>
        <w:top w:val="none" w:sz="0" w:space="0" w:color="auto"/>
        <w:left w:val="none" w:sz="0" w:space="0" w:color="auto"/>
        <w:bottom w:val="none" w:sz="0" w:space="0" w:color="auto"/>
        <w:right w:val="none" w:sz="0" w:space="0" w:color="auto"/>
      </w:divBdr>
    </w:div>
    <w:div w:id="1309898608">
      <w:bodyDiv w:val="1"/>
      <w:marLeft w:val="0"/>
      <w:marRight w:val="0"/>
      <w:marTop w:val="0"/>
      <w:marBottom w:val="0"/>
      <w:divBdr>
        <w:top w:val="none" w:sz="0" w:space="0" w:color="auto"/>
        <w:left w:val="none" w:sz="0" w:space="0" w:color="auto"/>
        <w:bottom w:val="none" w:sz="0" w:space="0" w:color="auto"/>
        <w:right w:val="none" w:sz="0" w:space="0" w:color="auto"/>
      </w:divBdr>
    </w:div>
    <w:div w:id="1309900166">
      <w:bodyDiv w:val="1"/>
      <w:marLeft w:val="0"/>
      <w:marRight w:val="0"/>
      <w:marTop w:val="0"/>
      <w:marBottom w:val="0"/>
      <w:divBdr>
        <w:top w:val="none" w:sz="0" w:space="0" w:color="auto"/>
        <w:left w:val="none" w:sz="0" w:space="0" w:color="auto"/>
        <w:bottom w:val="none" w:sz="0" w:space="0" w:color="auto"/>
        <w:right w:val="none" w:sz="0" w:space="0" w:color="auto"/>
      </w:divBdr>
    </w:div>
    <w:div w:id="1310015870">
      <w:bodyDiv w:val="1"/>
      <w:marLeft w:val="0"/>
      <w:marRight w:val="0"/>
      <w:marTop w:val="0"/>
      <w:marBottom w:val="0"/>
      <w:divBdr>
        <w:top w:val="none" w:sz="0" w:space="0" w:color="auto"/>
        <w:left w:val="none" w:sz="0" w:space="0" w:color="auto"/>
        <w:bottom w:val="none" w:sz="0" w:space="0" w:color="auto"/>
        <w:right w:val="none" w:sz="0" w:space="0" w:color="auto"/>
      </w:divBdr>
    </w:div>
    <w:div w:id="1310019467">
      <w:bodyDiv w:val="1"/>
      <w:marLeft w:val="0"/>
      <w:marRight w:val="0"/>
      <w:marTop w:val="0"/>
      <w:marBottom w:val="0"/>
      <w:divBdr>
        <w:top w:val="none" w:sz="0" w:space="0" w:color="auto"/>
        <w:left w:val="none" w:sz="0" w:space="0" w:color="auto"/>
        <w:bottom w:val="none" w:sz="0" w:space="0" w:color="auto"/>
        <w:right w:val="none" w:sz="0" w:space="0" w:color="auto"/>
      </w:divBdr>
    </w:div>
    <w:div w:id="1310094102">
      <w:bodyDiv w:val="1"/>
      <w:marLeft w:val="0"/>
      <w:marRight w:val="0"/>
      <w:marTop w:val="0"/>
      <w:marBottom w:val="0"/>
      <w:divBdr>
        <w:top w:val="none" w:sz="0" w:space="0" w:color="auto"/>
        <w:left w:val="none" w:sz="0" w:space="0" w:color="auto"/>
        <w:bottom w:val="none" w:sz="0" w:space="0" w:color="auto"/>
        <w:right w:val="none" w:sz="0" w:space="0" w:color="auto"/>
      </w:divBdr>
    </w:div>
    <w:div w:id="1310279783">
      <w:bodyDiv w:val="1"/>
      <w:marLeft w:val="0"/>
      <w:marRight w:val="0"/>
      <w:marTop w:val="0"/>
      <w:marBottom w:val="0"/>
      <w:divBdr>
        <w:top w:val="none" w:sz="0" w:space="0" w:color="auto"/>
        <w:left w:val="none" w:sz="0" w:space="0" w:color="auto"/>
        <w:bottom w:val="none" w:sz="0" w:space="0" w:color="auto"/>
        <w:right w:val="none" w:sz="0" w:space="0" w:color="auto"/>
      </w:divBdr>
    </w:div>
    <w:div w:id="1310397611">
      <w:bodyDiv w:val="1"/>
      <w:marLeft w:val="0"/>
      <w:marRight w:val="0"/>
      <w:marTop w:val="0"/>
      <w:marBottom w:val="0"/>
      <w:divBdr>
        <w:top w:val="none" w:sz="0" w:space="0" w:color="auto"/>
        <w:left w:val="none" w:sz="0" w:space="0" w:color="auto"/>
        <w:bottom w:val="none" w:sz="0" w:space="0" w:color="auto"/>
        <w:right w:val="none" w:sz="0" w:space="0" w:color="auto"/>
      </w:divBdr>
    </w:div>
    <w:div w:id="1310671123">
      <w:bodyDiv w:val="1"/>
      <w:marLeft w:val="0"/>
      <w:marRight w:val="0"/>
      <w:marTop w:val="0"/>
      <w:marBottom w:val="0"/>
      <w:divBdr>
        <w:top w:val="none" w:sz="0" w:space="0" w:color="auto"/>
        <w:left w:val="none" w:sz="0" w:space="0" w:color="auto"/>
        <w:bottom w:val="none" w:sz="0" w:space="0" w:color="auto"/>
        <w:right w:val="none" w:sz="0" w:space="0" w:color="auto"/>
      </w:divBdr>
    </w:div>
    <w:div w:id="1310742695">
      <w:bodyDiv w:val="1"/>
      <w:marLeft w:val="0"/>
      <w:marRight w:val="0"/>
      <w:marTop w:val="0"/>
      <w:marBottom w:val="0"/>
      <w:divBdr>
        <w:top w:val="none" w:sz="0" w:space="0" w:color="auto"/>
        <w:left w:val="none" w:sz="0" w:space="0" w:color="auto"/>
        <w:bottom w:val="none" w:sz="0" w:space="0" w:color="auto"/>
        <w:right w:val="none" w:sz="0" w:space="0" w:color="auto"/>
      </w:divBdr>
    </w:div>
    <w:div w:id="1310746415">
      <w:bodyDiv w:val="1"/>
      <w:marLeft w:val="0"/>
      <w:marRight w:val="0"/>
      <w:marTop w:val="0"/>
      <w:marBottom w:val="0"/>
      <w:divBdr>
        <w:top w:val="none" w:sz="0" w:space="0" w:color="auto"/>
        <w:left w:val="none" w:sz="0" w:space="0" w:color="auto"/>
        <w:bottom w:val="none" w:sz="0" w:space="0" w:color="auto"/>
        <w:right w:val="none" w:sz="0" w:space="0" w:color="auto"/>
      </w:divBdr>
    </w:div>
    <w:div w:id="1311011264">
      <w:bodyDiv w:val="1"/>
      <w:marLeft w:val="0"/>
      <w:marRight w:val="0"/>
      <w:marTop w:val="0"/>
      <w:marBottom w:val="0"/>
      <w:divBdr>
        <w:top w:val="none" w:sz="0" w:space="0" w:color="auto"/>
        <w:left w:val="none" w:sz="0" w:space="0" w:color="auto"/>
        <w:bottom w:val="none" w:sz="0" w:space="0" w:color="auto"/>
        <w:right w:val="none" w:sz="0" w:space="0" w:color="auto"/>
      </w:divBdr>
    </w:div>
    <w:div w:id="1311131631">
      <w:bodyDiv w:val="1"/>
      <w:marLeft w:val="0"/>
      <w:marRight w:val="0"/>
      <w:marTop w:val="0"/>
      <w:marBottom w:val="0"/>
      <w:divBdr>
        <w:top w:val="none" w:sz="0" w:space="0" w:color="auto"/>
        <w:left w:val="none" w:sz="0" w:space="0" w:color="auto"/>
        <w:bottom w:val="none" w:sz="0" w:space="0" w:color="auto"/>
        <w:right w:val="none" w:sz="0" w:space="0" w:color="auto"/>
      </w:divBdr>
    </w:div>
    <w:div w:id="1311328676">
      <w:bodyDiv w:val="1"/>
      <w:marLeft w:val="0"/>
      <w:marRight w:val="0"/>
      <w:marTop w:val="0"/>
      <w:marBottom w:val="0"/>
      <w:divBdr>
        <w:top w:val="none" w:sz="0" w:space="0" w:color="auto"/>
        <w:left w:val="none" w:sz="0" w:space="0" w:color="auto"/>
        <w:bottom w:val="none" w:sz="0" w:space="0" w:color="auto"/>
        <w:right w:val="none" w:sz="0" w:space="0" w:color="auto"/>
      </w:divBdr>
    </w:div>
    <w:div w:id="1311329339">
      <w:bodyDiv w:val="1"/>
      <w:marLeft w:val="0"/>
      <w:marRight w:val="0"/>
      <w:marTop w:val="0"/>
      <w:marBottom w:val="0"/>
      <w:divBdr>
        <w:top w:val="none" w:sz="0" w:space="0" w:color="auto"/>
        <w:left w:val="none" w:sz="0" w:space="0" w:color="auto"/>
        <w:bottom w:val="none" w:sz="0" w:space="0" w:color="auto"/>
        <w:right w:val="none" w:sz="0" w:space="0" w:color="auto"/>
      </w:divBdr>
    </w:div>
    <w:div w:id="1311446279">
      <w:bodyDiv w:val="1"/>
      <w:marLeft w:val="0"/>
      <w:marRight w:val="0"/>
      <w:marTop w:val="0"/>
      <w:marBottom w:val="0"/>
      <w:divBdr>
        <w:top w:val="none" w:sz="0" w:space="0" w:color="auto"/>
        <w:left w:val="none" w:sz="0" w:space="0" w:color="auto"/>
        <w:bottom w:val="none" w:sz="0" w:space="0" w:color="auto"/>
        <w:right w:val="none" w:sz="0" w:space="0" w:color="auto"/>
      </w:divBdr>
    </w:div>
    <w:div w:id="1311522801">
      <w:bodyDiv w:val="1"/>
      <w:marLeft w:val="0"/>
      <w:marRight w:val="0"/>
      <w:marTop w:val="0"/>
      <w:marBottom w:val="0"/>
      <w:divBdr>
        <w:top w:val="none" w:sz="0" w:space="0" w:color="auto"/>
        <w:left w:val="none" w:sz="0" w:space="0" w:color="auto"/>
        <w:bottom w:val="none" w:sz="0" w:space="0" w:color="auto"/>
        <w:right w:val="none" w:sz="0" w:space="0" w:color="auto"/>
      </w:divBdr>
    </w:div>
    <w:div w:id="1311598635">
      <w:bodyDiv w:val="1"/>
      <w:marLeft w:val="0"/>
      <w:marRight w:val="0"/>
      <w:marTop w:val="0"/>
      <w:marBottom w:val="0"/>
      <w:divBdr>
        <w:top w:val="none" w:sz="0" w:space="0" w:color="auto"/>
        <w:left w:val="none" w:sz="0" w:space="0" w:color="auto"/>
        <w:bottom w:val="none" w:sz="0" w:space="0" w:color="auto"/>
        <w:right w:val="none" w:sz="0" w:space="0" w:color="auto"/>
      </w:divBdr>
    </w:div>
    <w:div w:id="1311639860">
      <w:bodyDiv w:val="1"/>
      <w:marLeft w:val="0"/>
      <w:marRight w:val="0"/>
      <w:marTop w:val="0"/>
      <w:marBottom w:val="0"/>
      <w:divBdr>
        <w:top w:val="none" w:sz="0" w:space="0" w:color="auto"/>
        <w:left w:val="none" w:sz="0" w:space="0" w:color="auto"/>
        <w:bottom w:val="none" w:sz="0" w:space="0" w:color="auto"/>
        <w:right w:val="none" w:sz="0" w:space="0" w:color="auto"/>
      </w:divBdr>
    </w:div>
    <w:div w:id="1311859415">
      <w:bodyDiv w:val="1"/>
      <w:marLeft w:val="0"/>
      <w:marRight w:val="0"/>
      <w:marTop w:val="0"/>
      <w:marBottom w:val="0"/>
      <w:divBdr>
        <w:top w:val="none" w:sz="0" w:space="0" w:color="auto"/>
        <w:left w:val="none" w:sz="0" w:space="0" w:color="auto"/>
        <w:bottom w:val="none" w:sz="0" w:space="0" w:color="auto"/>
        <w:right w:val="none" w:sz="0" w:space="0" w:color="auto"/>
      </w:divBdr>
    </w:div>
    <w:div w:id="1311859698">
      <w:bodyDiv w:val="1"/>
      <w:marLeft w:val="0"/>
      <w:marRight w:val="0"/>
      <w:marTop w:val="0"/>
      <w:marBottom w:val="0"/>
      <w:divBdr>
        <w:top w:val="none" w:sz="0" w:space="0" w:color="auto"/>
        <w:left w:val="none" w:sz="0" w:space="0" w:color="auto"/>
        <w:bottom w:val="none" w:sz="0" w:space="0" w:color="auto"/>
        <w:right w:val="none" w:sz="0" w:space="0" w:color="auto"/>
      </w:divBdr>
    </w:div>
    <w:div w:id="1311864649">
      <w:bodyDiv w:val="1"/>
      <w:marLeft w:val="0"/>
      <w:marRight w:val="0"/>
      <w:marTop w:val="0"/>
      <w:marBottom w:val="0"/>
      <w:divBdr>
        <w:top w:val="none" w:sz="0" w:space="0" w:color="auto"/>
        <w:left w:val="none" w:sz="0" w:space="0" w:color="auto"/>
        <w:bottom w:val="none" w:sz="0" w:space="0" w:color="auto"/>
        <w:right w:val="none" w:sz="0" w:space="0" w:color="auto"/>
      </w:divBdr>
    </w:div>
    <w:div w:id="1312058250">
      <w:bodyDiv w:val="1"/>
      <w:marLeft w:val="0"/>
      <w:marRight w:val="0"/>
      <w:marTop w:val="0"/>
      <w:marBottom w:val="0"/>
      <w:divBdr>
        <w:top w:val="none" w:sz="0" w:space="0" w:color="auto"/>
        <w:left w:val="none" w:sz="0" w:space="0" w:color="auto"/>
        <w:bottom w:val="none" w:sz="0" w:space="0" w:color="auto"/>
        <w:right w:val="none" w:sz="0" w:space="0" w:color="auto"/>
      </w:divBdr>
    </w:div>
    <w:div w:id="1312173838">
      <w:bodyDiv w:val="1"/>
      <w:marLeft w:val="0"/>
      <w:marRight w:val="0"/>
      <w:marTop w:val="0"/>
      <w:marBottom w:val="0"/>
      <w:divBdr>
        <w:top w:val="none" w:sz="0" w:space="0" w:color="auto"/>
        <w:left w:val="none" w:sz="0" w:space="0" w:color="auto"/>
        <w:bottom w:val="none" w:sz="0" w:space="0" w:color="auto"/>
        <w:right w:val="none" w:sz="0" w:space="0" w:color="auto"/>
      </w:divBdr>
    </w:div>
    <w:div w:id="1312254582">
      <w:bodyDiv w:val="1"/>
      <w:marLeft w:val="0"/>
      <w:marRight w:val="0"/>
      <w:marTop w:val="0"/>
      <w:marBottom w:val="0"/>
      <w:divBdr>
        <w:top w:val="none" w:sz="0" w:space="0" w:color="auto"/>
        <w:left w:val="none" w:sz="0" w:space="0" w:color="auto"/>
        <w:bottom w:val="none" w:sz="0" w:space="0" w:color="auto"/>
        <w:right w:val="none" w:sz="0" w:space="0" w:color="auto"/>
      </w:divBdr>
    </w:div>
    <w:div w:id="1312323905">
      <w:bodyDiv w:val="1"/>
      <w:marLeft w:val="0"/>
      <w:marRight w:val="0"/>
      <w:marTop w:val="0"/>
      <w:marBottom w:val="0"/>
      <w:divBdr>
        <w:top w:val="none" w:sz="0" w:space="0" w:color="auto"/>
        <w:left w:val="none" w:sz="0" w:space="0" w:color="auto"/>
        <w:bottom w:val="none" w:sz="0" w:space="0" w:color="auto"/>
        <w:right w:val="none" w:sz="0" w:space="0" w:color="auto"/>
      </w:divBdr>
    </w:div>
    <w:div w:id="1312520028">
      <w:bodyDiv w:val="1"/>
      <w:marLeft w:val="0"/>
      <w:marRight w:val="0"/>
      <w:marTop w:val="0"/>
      <w:marBottom w:val="0"/>
      <w:divBdr>
        <w:top w:val="none" w:sz="0" w:space="0" w:color="auto"/>
        <w:left w:val="none" w:sz="0" w:space="0" w:color="auto"/>
        <w:bottom w:val="none" w:sz="0" w:space="0" w:color="auto"/>
        <w:right w:val="none" w:sz="0" w:space="0" w:color="auto"/>
      </w:divBdr>
    </w:div>
    <w:div w:id="1312636065">
      <w:bodyDiv w:val="1"/>
      <w:marLeft w:val="0"/>
      <w:marRight w:val="0"/>
      <w:marTop w:val="0"/>
      <w:marBottom w:val="0"/>
      <w:divBdr>
        <w:top w:val="none" w:sz="0" w:space="0" w:color="auto"/>
        <w:left w:val="none" w:sz="0" w:space="0" w:color="auto"/>
        <w:bottom w:val="none" w:sz="0" w:space="0" w:color="auto"/>
        <w:right w:val="none" w:sz="0" w:space="0" w:color="auto"/>
      </w:divBdr>
    </w:div>
    <w:div w:id="1312832442">
      <w:bodyDiv w:val="1"/>
      <w:marLeft w:val="0"/>
      <w:marRight w:val="0"/>
      <w:marTop w:val="0"/>
      <w:marBottom w:val="0"/>
      <w:divBdr>
        <w:top w:val="none" w:sz="0" w:space="0" w:color="auto"/>
        <w:left w:val="none" w:sz="0" w:space="0" w:color="auto"/>
        <w:bottom w:val="none" w:sz="0" w:space="0" w:color="auto"/>
        <w:right w:val="none" w:sz="0" w:space="0" w:color="auto"/>
      </w:divBdr>
    </w:div>
    <w:div w:id="1312834779">
      <w:bodyDiv w:val="1"/>
      <w:marLeft w:val="0"/>
      <w:marRight w:val="0"/>
      <w:marTop w:val="0"/>
      <w:marBottom w:val="0"/>
      <w:divBdr>
        <w:top w:val="none" w:sz="0" w:space="0" w:color="auto"/>
        <w:left w:val="none" w:sz="0" w:space="0" w:color="auto"/>
        <w:bottom w:val="none" w:sz="0" w:space="0" w:color="auto"/>
        <w:right w:val="none" w:sz="0" w:space="0" w:color="auto"/>
      </w:divBdr>
    </w:div>
    <w:div w:id="1312905325">
      <w:bodyDiv w:val="1"/>
      <w:marLeft w:val="0"/>
      <w:marRight w:val="0"/>
      <w:marTop w:val="0"/>
      <w:marBottom w:val="0"/>
      <w:divBdr>
        <w:top w:val="none" w:sz="0" w:space="0" w:color="auto"/>
        <w:left w:val="none" w:sz="0" w:space="0" w:color="auto"/>
        <w:bottom w:val="none" w:sz="0" w:space="0" w:color="auto"/>
        <w:right w:val="none" w:sz="0" w:space="0" w:color="auto"/>
      </w:divBdr>
    </w:div>
    <w:div w:id="1313171512">
      <w:bodyDiv w:val="1"/>
      <w:marLeft w:val="0"/>
      <w:marRight w:val="0"/>
      <w:marTop w:val="0"/>
      <w:marBottom w:val="0"/>
      <w:divBdr>
        <w:top w:val="none" w:sz="0" w:space="0" w:color="auto"/>
        <w:left w:val="none" w:sz="0" w:space="0" w:color="auto"/>
        <w:bottom w:val="none" w:sz="0" w:space="0" w:color="auto"/>
        <w:right w:val="none" w:sz="0" w:space="0" w:color="auto"/>
      </w:divBdr>
    </w:div>
    <w:div w:id="1313291294">
      <w:bodyDiv w:val="1"/>
      <w:marLeft w:val="0"/>
      <w:marRight w:val="0"/>
      <w:marTop w:val="0"/>
      <w:marBottom w:val="0"/>
      <w:divBdr>
        <w:top w:val="none" w:sz="0" w:space="0" w:color="auto"/>
        <w:left w:val="none" w:sz="0" w:space="0" w:color="auto"/>
        <w:bottom w:val="none" w:sz="0" w:space="0" w:color="auto"/>
        <w:right w:val="none" w:sz="0" w:space="0" w:color="auto"/>
      </w:divBdr>
    </w:div>
    <w:div w:id="1313292980">
      <w:bodyDiv w:val="1"/>
      <w:marLeft w:val="0"/>
      <w:marRight w:val="0"/>
      <w:marTop w:val="0"/>
      <w:marBottom w:val="0"/>
      <w:divBdr>
        <w:top w:val="none" w:sz="0" w:space="0" w:color="auto"/>
        <w:left w:val="none" w:sz="0" w:space="0" w:color="auto"/>
        <w:bottom w:val="none" w:sz="0" w:space="0" w:color="auto"/>
        <w:right w:val="none" w:sz="0" w:space="0" w:color="auto"/>
      </w:divBdr>
    </w:div>
    <w:div w:id="1313294154">
      <w:bodyDiv w:val="1"/>
      <w:marLeft w:val="0"/>
      <w:marRight w:val="0"/>
      <w:marTop w:val="0"/>
      <w:marBottom w:val="0"/>
      <w:divBdr>
        <w:top w:val="none" w:sz="0" w:space="0" w:color="auto"/>
        <w:left w:val="none" w:sz="0" w:space="0" w:color="auto"/>
        <w:bottom w:val="none" w:sz="0" w:space="0" w:color="auto"/>
        <w:right w:val="none" w:sz="0" w:space="0" w:color="auto"/>
      </w:divBdr>
    </w:div>
    <w:div w:id="1313369919">
      <w:bodyDiv w:val="1"/>
      <w:marLeft w:val="0"/>
      <w:marRight w:val="0"/>
      <w:marTop w:val="0"/>
      <w:marBottom w:val="0"/>
      <w:divBdr>
        <w:top w:val="none" w:sz="0" w:space="0" w:color="auto"/>
        <w:left w:val="none" w:sz="0" w:space="0" w:color="auto"/>
        <w:bottom w:val="none" w:sz="0" w:space="0" w:color="auto"/>
        <w:right w:val="none" w:sz="0" w:space="0" w:color="auto"/>
      </w:divBdr>
    </w:div>
    <w:div w:id="1313556161">
      <w:bodyDiv w:val="1"/>
      <w:marLeft w:val="0"/>
      <w:marRight w:val="0"/>
      <w:marTop w:val="0"/>
      <w:marBottom w:val="0"/>
      <w:divBdr>
        <w:top w:val="none" w:sz="0" w:space="0" w:color="auto"/>
        <w:left w:val="none" w:sz="0" w:space="0" w:color="auto"/>
        <w:bottom w:val="none" w:sz="0" w:space="0" w:color="auto"/>
        <w:right w:val="none" w:sz="0" w:space="0" w:color="auto"/>
      </w:divBdr>
    </w:div>
    <w:div w:id="1313636007">
      <w:bodyDiv w:val="1"/>
      <w:marLeft w:val="0"/>
      <w:marRight w:val="0"/>
      <w:marTop w:val="0"/>
      <w:marBottom w:val="0"/>
      <w:divBdr>
        <w:top w:val="none" w:sz="0" w:space="0" w:color="auto"/>
        <w:left w:val="none" w:sz="0" w:space="0" w:color="auto"/>
        <w:bottom w:val="none" w:sz="0" w:space="0" w:color="auto"/>
        <w:right w:val="none" w:sz="0" w:space="0" w:color="auto"/>
      </w:divBdr>
    </w:div>
    <w:div w:id="1313681684">
      <w:bodyDiv w:val="1"/>
      <w:marLeft w:val="0"/>
      <w:marRight w:val="0"/>
      <w:marTop w:val="0"/>
      <w:marBottom w:val="0"/>
      <w:divBdr>
        <w:top w:val="none" w:sz="0" w:space="0" w:color="auto"/>
        <w:left w:val="none" w:sz="0" w:space="0" w:color="auto"/>
        <w:bottom w:val="none" w:sz="0" w:space="0" w:color="auto"/>
        <w:right w:val="none" w:sz="0" w:space="0" w:color="auto"/>
      </w:divBdr>
    </w:div>
    <w:div w:id="1313683595">
      <w:bodyDiv w:val="1"/>
      <w:marLeft w:val="0"/>
      <w:marRight w:val="0"/>
      <w:marTop w:val="0"/>
      <w:marBottom w:val="0"/>
      <w:divBdr>
        <w:top w:val="none" w:sz="0" w:space="0" w:color="auto"/>
        <w:left w:val="none" w:sz="0" w:space="0" w:color="auto"/>
        <w:bottom w:val="none" w:sz="0" w:space="0" w:color="auto"/>
        <w:right w:val="none" w:sz="0" w:space="0" w:color="auto"/>
      </w:divBdr>
    </w:div>
    <w:div w:id="1313755265">
      <w:bodyDiv w:val="1"/>
      <w:marLeft w:val="0"/>
      <w:marRight w:val="0"/>
      <w:marTop w:val="0"/>
      <w:marBottom w:val="0"/>
      <w:divBdr>
        <w:top w:val="none" w:sz="0" w:space="0" w:color="auto"/>
        <w:left w:val="none" w:sz="0" w:space="0" w:color="auto"/>
        <w:bottom w:val="none" w:sz="0" w:space="0" w:color="auto"/>
        <w:right w:val="none" w:sz="0" w:space="0" w:color="auto"/>
      </w:divBdr>
    </w:div>
    <w:div w:id="1313757645">
      <w:bodyDiv w:val="1"/>
      <w:marLeft w:val="0"/>
      <w:marRight w:val="0"/>
      <w:marTop w:val="0"/>
      <w:marBottom w:val="0"/>
      <w:divBdr>
        <w:top w:val="none" w:sz="0" w:space="0" w:color="auto"/>
        <w:left w:val="none" w:sz="0" w:space="0" w:color="auto"/>
        <w:bottom w:val="none" w:sz="0" w:space="0" w:color="auto"/>
        <w:right w:val="none" w:sz="0" w:space="0" w:color="auto"/>
      </w:divBdr>
    </w:div>
    <w:div w:id="1313800852">
      <w:bodyDiv w:val="1"/>
      <w:marLeft w:val="0"/>
      <w:marRight w:val="0"/>
      <w:marTop w:val="0"/>
      <w:marBottom w:val="0"/>
      <w:divBdr>
        <w:top w:val="none" w:sz="0" w:space="0" w:color="auto"/>
        <w:left w:val="none" w:sz="0" w:space="0" w:color="auto"/>
        <w:bottom w:val="none" w:sz="0" w:space="0" w:color="auto"/>
        <w:right w:val="none" w:sz="0" w:space="0" w:color="auto"/>
      </w:divBdr>
    </w:div>
    <w:div w:id="1313829326">
      <w:bodyDiv w:val="1"/>
      <w:marLeft w:val="0"/>
      <w:marRight w:val="0"/>
      <w:marTop w:val="0"/>
      <w:marBottom w:val="0"/>
      <w:divBdr>
        <w:top w:val="none" w:sz="0" w:space="0" w:color="auto"/>
        <w:left w:val="none" w:sz="0" w:space="0" w:color="auto"/>
        <w:bottom w:val="none" w:sz="0" w:space="0" w:color="auto"/>
        <w:right w:val="none" w:sz="0" w:space="0" w:color="auto"/>
      </w:divBdr>
    </w:div>
    <w:div w:id="1313873375">
      <w:bodyDiv w:val="1"/>
      <w:marLeft w:val="0"/>
      <w:marRight w:val="0"/>
      <w:marTop w:val="0"/>
      <w:marBottom w:val="0"/>
      <w:divBdr>
        <w:top w:val="none" w:sz="0" w:space="0" w:color="auto"/>
        <w:left w:val="none" w:sz="0" w:space="0" w:color="auto"/>
        <w:bottom w:val="none" w:sz="0" w:space="0" w:color="auto"/>
        <w:right w:val="none" w:sz="0" w:space="0" w:color="auto"/>
      </w:divBdr>
    </w:div>
    <w:div w:id="1314024516">
      <w:bodyDiv w:val="1"/>
      <w:marLeft w:val="0"/>
      <w:marRight w:val="0"/>
      <w:marTop w:val="0"/>
      <w:marBottom w:val="0"/>
      <w:divBdr>
        <w:top w:val="none" w:sz="0" w:space="0" w:color="auto"/>
        <w:left w:val="none" w:sz="0" w:space="0" w:color="auto"/>
        <w:bottom w:val="none" w:sz="0" w:space="0" w:color="auto"/>
        <w:right w:val="none" w:sz="0" w:space="0" w:color="auto"/>
      </w:divBdr>
    </w:div>
    <w:div w:id="1314143909">
      <w:bodyDiv w:val="1"/>
      <w:marLeft w:val="0"/>
      <w:marRight w:val="0"/>
      <w:marTop w:val="0"/>
      <w:marBottom w:val="0"/>
      <w:divBdr>
        <w:top w:val="none" w:sz="0" w:space="0" w:color="auto"/>
        <w:left w:val="none" w:sz="0" w:space="0" w:color="auto"/>
        <w:bottom w:val="none" w:sz="0" w:space="0" w:color="auto"/>
        <w:right w:val="none" w:sz="0" w:space="0" w:color="auto"/>
      </w:divBdr>
    </w:div>
    <w:div w:id="1314211428">
      <w:bodyDiv w:val="1"/>
      <w:marLeft w:val="0"/>
      <w:marRight w:val="0"/>
      <w:marTop w:val="0"/>
      <w:marBottom w:val="0"/>
      <w:divBdr>
        <w:top w:val="none" w:sz="0" w:space="0" w:color="auto"/>
        <w:left w:val="none" w:sz="0" w:space="0" w:color="auto"/>
        <w:bottom w:val="none" w:sz="0" w:space="0" w:color="auto"/>
        <w:right w:val="none" w:sz="0" w:space="0" w:color="auto"/>
      </w:divBdr>
    </w:div>
    <w:div w:id="1314261988">
      <w:bodyDiv w:val="1"/>
      <w:marLeft w:val="0"/>
      <w:marRight w:val="0"/>
      <w:marTop w:val="0"/>
      <w:marBottom w:val="0"/>
      <w:divBdr>
        <w:top w:val="none" w:sz="0" w:space="0" w:color="auto"/>
        <w:left w:val="none" w:sz="0" w:space="0" w:color="auto"/>
        <w:bottom w:val="none" w:sz="0" w:space="0" w:color="auto"/>
        <w:right w:val="none" w:sz="0" w:space="0" w:color="auto"/>
      </w:divBdr>
    </w:div>
    <w:div w:id="1314262599">
      <w:bodyDiv w:val="1"/>
      <w:marLeft w:val="0"/>
      <w:marRight w:val="0"/>
      <w:marTop w:val="0"/>
      <w:marBottom w:val="0"/>
      <w:divBdr>
        <w:top w:val="none" w:sz="0" w:space="0" w:color="auto"/>
        <w:left w:val="none" w:sz="0" w:space="0" w:color="auto"/>
        <w:bottom w:val="none" w:sz="0" w:space="0" w:color="auto"/>
        <w:right w:val="none" w:sz="0" w:space="0" w:color="auto"/>
      </w:divBdr>
    </w:div>
    <w:div w:id="1314290025">
      <w:bodyDiv w:val="1"/>
      <w:marLeft w:val="0"/>
      <w:marRight w:val="0"/>
      <w:marTop w:val="0"/>
      <w:marBottom w:val="0"/>
      <w:divBdr>
        <w:top w:val="none" w:sz="0" w:space="0" w:color="auto"/>
        <w:left w:val="none" w:sz="0" w:space="0" w:color="auto"/>
        <w:bottom w:val="none" w:sz="0" w:space="0" w:color="auto"/>
        <w:right w:val="none" w:sz="0" w:space="0" w:color="auto"/>
      </w:divBdr>
    </w:div>
    <w:div w:id="1314333244">
      <w:bodyDiv w:val="1"/>
      <w:marLeft w:val="0"/>
      <w:marRight w:val="0"/>
      <w:marTop w:val="0"/>
      <w:marBottom w:val="0"/>
      <w:divBdr>
        <w:top w:val="none" w:sz="0" w:space="0" w:color="auto"/>
        <w:left w:val="none" w:sz="0" w:space="0" w:color="auto"/>
        <w:bottom w:val="none" w:sz="0" w:space="0" w:color="auto"/>
        <w:right w:val="none" w:sz="0" w:space="0" w:color="auto"/>
      </w:divBdr>
    </w:div>
    <w:div w:id="1314407520">
      <w:bodyDiv w:val="1"/>
      <w:marLeft w:val="0"/>
      <w:marRight w:val="0"/>
      <w:marTop w:val="0"/>
      <w:marBottom w:val="0"/>
      <w:divBdr>
        <w:top w:val="none" w:sz="0" w:space="0" w:color="auto"/>
        <w:left w:val="none" w:sz="0" w:space="0" w:color="auto"/>
        <w:bottom w:val="none" w:sz="0" w:space="0" w:color="auto"/>
        <w:right w:val="none" w:sz="0" w:space="0" w:color="auto"/>
      </w:divBdr>
    </w:div>
    <w:div w:id="1314485278">
      <w:bodyDiv w:val="1"/>
      <w:marLeft w:val="0"/>
      <w:marRight w:val="0"/>
      <w:marTop w:val="0"/>
      <w:marBottom w:val="0"/>
      <w:divBdr>
        <w:top w:val="none" w:sz="0" w:space="0" w:color="auto"/>
        <w:left w:val="none" w:sz="0" w:space="0" w:color="auto"/>
        <w:bottom w:val="none" w:sz="0" w:space="0" w:color="auto"/>
        <w:right w:val="none" w:sz="0" w:space="0" w:color="auto"/>
      </w:divBdr>
    </w:div>
    <w:div w:id="1314523820">
      <w:bodyDiv w:val="1"/>
      <w:marLeft w:val="0"/>
      <w:marRight w:val="0"/>
      <w:marTop w:val="0"/>
      <w:marBottom w:val="0"/>
      <w:divBdr>
        <w:top w:val="none" w:sz="0" w:space="0" w:color="auto"/>
        <w:left w:val="none" w:sz="0" w:space="0" w:color="auto"/>
        <w:bottom w:val="none" w:sz="0" w:space="0" w:color="auto"/>
        <w:right w:val="none" w:sz="0" w:space="0" w:color="auto"/>
      </w:divBdr>
    </w:div>
    <w:div w:id="1314719310">
      <w:bodyDiv w:val="1"/>
      <w:marLeft w:val="0"/>
      <w:marRight w:val="0"/>
      <w:marTop w:val="0"/>
      <w:marBottom w:val="0"/>
      <w:divBdr>
        <w:top w:val="none" w:sz="0" w:space="0" w:color="auto"/>
        <w:left w:val="none" w:sz="0" w:space="0" w:color="auto"/>
        <w:bottom w:val="none" w:sz="0" w:space="0" w:color="auto"/>
        <w:right w:val="none" w:sz="0" w:space="0" w:color="auto"/>
      </w:divBdr>
    </w:div>
    <w:div w:id="1314796439">
      <w:bodyDiv w:val="1"/>
      <w:marLeft w:val="0"/>
      <w:marRight w:val="0"/>
      <w:marTop w:val="0"/>
      <w:marBottom w:val="0"/>
      <w:divBdr>
        <w:top w:val="none" w:sz="0" w:space="0" w:color="auto"/>
        <w:left w:val="none" w:sz="0" w:space="0" w:color="auto"/>
        <w:bottom w:val="none" w:sz="0" w:space="0" w:color="auto"/>
        <w:right w:val="none" w:sz="0" w:space="0" w:color="auto"/>
      </w:divBdr>
    </w:div>
    <w:div w:id="1314868113">
      <w:bodyDiv w:val="1"/>
      <w:marLeft w:val="0"/>
      <w:marRight w:val="0"/>
      <w:marTop w:val="0"/>
      <w:marBottom w:val="0"/>
      <w:divBdr>
        <w:top w:val="none" w:sz="0" w:space="0" w:color="auto"/>
        <w:left w:val="none" w:sz="0" w:space="0" w:color="auto"/>
        <w:bottom w:val="none" w:sz="0" w:space="0" w:color="auto"/>
        <w:right w:val="none" w:sz="0" w:space="0" w:color="auto"/>
      </w:divBdr>
    </w:div>
    <w:div w:id="1314943461">
      <w:bodyDiv w:val="1"/>
      <w:marLeft w:val="0"/>
      <w:marRight w:val="0"/>
      <w:marTop w:val="0"/>
      <w:marBottom w:val="0"/>
      <w:divBdr>
        <w:top w:val="none" w:sz="0" w:space="0" w:color="auto"/>
        <w:left w:val="none" w:sz="0" w:space="0" w:color="auto"/>
        <w:bottom w:val="none" w:sz="0" w:space="0" w:color="auto"/>
        <w:right w:val="none" w:sz="0" w:space="0" w:color="auto"/>
      </w:divBdr>
    </w:div>
    <w:div w:id="1314988337">
      <w:bodyDiv w:val="1"/>
      <w:marLeft w:val="0"/>
      <w:marRight w:val="0"/>
      <w:marTop w:val="0"/>
      <w:marBottom w:val="0"/>
      <w:divBdr>
        <w:top w:val="none" w:sz="0" w:space="0" w:color="auto"/>
        <w:left w:val="none" w:sz="0" w:space="0" w:color="auto"/>
        <w:bottom w:val="none" w:sz="0" w:space="0" w:color="auto"/>
        <w:right w:val="none" w:sz="0" w:space="0" w:color="auto"/>
      </w:divBdr>
    </w:div>
    <w:div w:id="1314992995">
      <w:bodyDiv w:val="1"/>
      <w:marLeft w:val="0"/>
      <w:marRight w:val="0"/>
      <w:marTop w:val="0"/>
      <w:marBottom w:val="0"/>
      <w:divBdr>
        <w:top w:val="none" w:sz="0" w:space="0" w:color="auto"/>
        <w:left w:val="none" w:sz="0" w:space="0" w:color="auto"/>
        <w:bottom w:val="none" w:sz="0" w:space="0" w:color="auto"/>
        <w:right w:val="none" w:sz="0" w:space="0" w:color="auto"/>
      </w:divBdr>
    </w:div>
    <w:div w:id="1315061630">
      <w:bodyDiv w:val="1"/>
      <w:marLeft w:val="0"/>
      <w:marRight w:val="0"/>
      <w:marTop w:val="0"/>
      <w:marBottom w:val="0"/>
      <w:divBdr>
        <w:top w:val="none" w:sz="0" w:space="0" w:color="auto"/>
        <w:left w:val="none" w:sz="0" w:space="0" w:color="auto"/>
        <w:bottom w:val="none" w:sz="0" w:space="0" w:color="auto"/>
        <w:right w:val="none" w:sz="0" w:space="0" w:color="auto"/>
      </w:divBdr>
    </w:div>
    <w:div w:id="1315068036">
      <w:bodyDiv w:val="1"/>
      <w:marLeft w:val="0"/>
      <w:marRight w:val="0"/>
      <w:marTop w:val="0"/>
      <w:marBottom w:val="0"/>
      <w:divBdr>
        <w:top w:val="none" w:sz="0" w:space="0" w:color="auto"/>
        <w:left w:val="none" w:sz="0" w:space="0" w:color="auto"/>
        <w:bottom w:val="none" w:sz="0" w:space="0" w:color="auto"/>
        <w:right w:val="none" w:sz="0" w:space="0" w:color="auto"/>
      </w:divBdr>
    </w:div>
    <w:div w:id="1315183053">
      <w:bodyDiv w:val="1"/>
      <w:marLeft w:val="0"/>
      <w:marRight w:val="0"/>
      <w:marTop w:val="0"/>
      <w:marBottom w:val="0"/>
      <w:divBdr>
        <w:top w:val="none" w:sz="0" w:space="0" w:color="auto"/>
        <w:left w:val="none" w:sz="0" w:space="0" w:color="auto"/>
        <w:bottom w:val="none" w:sz="0" w:space="0" w:color="auto"/>
        <w:right w:val="none" w:sz="0" w:space="0" w:color="auto"/>
      </w:divBdr>
    </w:div>
    <w:div w:id="1315183852">
      <w:bodyDiv w:val="1"/>
      <w:marLeft w:val="0"/>
      <w:marRight w:val="0"/>
      <w:marTop w:val="0"/>
      <w:marBottom w:val="0"/>
      <w:divBdr>
        <w:top w:val="none" w:sz="0" w:space="0" w:color="auto"/>
        <w:left w:val="none" w:sz="0" w:space="0" w:color="auto"/>
        <w:bottom w:val="none" w:sz="0" w:space="0" w:color="auto"/>
        <w:right w:val="none" w:sz="0" w:space="0" w:color="auto"/>
      </w:divBdr>
    </w:div>
    <w:div w:id="1315185395">
      <w:bodyDiv w:val="1"/>
      <w:marLeft w:val="0"/>
      <w:marRight w:val="0"/>
      <w:marTop w:val="0"/>
      <w:marBottom w:val="0"/>
      <w:divBdr>
        <w:top w:val="none" w:sz="0" w:space="0" w:color="auto"/>
        <w:left w:val="none" w:sz="0" w:space="0" w:color="auto"/>
        <w:bottom w:val="none" w:sz="0" w:space="0" w:color="auto"/>
        <w:right w:val="none" w:sz="0" w:space="0" w:color="auto"/>
      </w:divBdr>
    </w:div>
    <w:div w:id="1315262453">
      <w:bodyDiv w:val="1"/>
      <w:marLeft w:val="0"/>
      <w:marRight w:val="0"/>
      <w:marTop w:val="0"/>
      <w:marBottom w:val="0"/>
      <w:divBdr>
        <w:top w:val="none" w:sz="0" w:space="0" w:color="auto"/>
        <w:left w:val="none" w:sz="0" w:space="0" w:color="auto"/>
        <w:bottom w:val="none" w:sz="0" w:space="0" w:color="auto"/>
        <w:right w:val="none" w:sz="0" w:space="0" w:color="auto"/>
      </w:divBdr>
    </w:div>
    <w:div w:id="1315449878">
      <w:bodyDiv w:val="1"/>
      <w:marLeft w:val="0"/>
      <w:marRight w:val="0"/>
      <w:marTop w:val="0"/>
      <w:marBottom w:val="0"/>
      <w:divBdr>
        <w:top w:val="none" w:sz="0" w:space="0" w:color="auto"/>
        <w:left w:val="none" w:sz="0" w:space="0" w:color="auto"/>
        <w:bottom w:val="none" w:sz="0" w:space="0" w:color="auto"/>
        <w:right w:val="none" w:sz="0" w:space="0" w:color="auto"/>
      </w:divBdr>
    </w:div>
    <w:div w:id="1315528447">
      <w:bodyDiv w:val="1"/>
      <w:marLeft w:val="0"/>
      <w:marRight w:val="0"/>
      <w:marTop w:val="0"/>
      <w:marBottom w:val="0"/>
      <w:divBdr>
        <w:top w:val="none" w:sz="0" w:space="0" w:color="auto"/>
        <w:left w:val="none" w:sz="0" w:space="0" w:color="auto"/>
        <w:bottom w:val="none" w:sz="0" w:space="0" w:color="auto"/>
        <w:right w:val="none" w:sz="0" w:space="0" w:color="auto"/>
      </w:divBdr>
    </w:div>
    <w:div w:id="1315529472">
      <w:bodyDiv w:val="1"/>
      <w:marLeft w:val="0"/>
      <w:marRight w:val="0"/>
      <w:marTop w:val="0"/>
      <w:marBottom w:val="0"/>
      <w:divBdr>
        <w:top w:val="none" w:sz="0" w:space="0" w:color="auto"/>
        <w:left w:val="none" w:sz="0" w:space="0" w:color="auto"/>
        <w:bottom w:val="none" w:sz="0" w:space="0" w:color="auto"/>
        <w:right w:val="none" w:sz="0" w:space="0" w:color="auto"/>
      </w:divBdr>
    </w:div>
    <w:div w:id="1315573649">
      <w:bodyDiv w:val="1"/>
      <w:marLeft w:val="0"/>
      <w:marRight w:val="0"/>
      <w:marTop w:val="0"/>
      <w:marBottom w:val="0"/>
      <w:divBdr>
        <w:top w:val="none" w:sz="0" w:space="0" w:color="auto"/>
        <w:left w:val="none" w:sz="0" w:space="0" w:color="auto"/>
        <w:bottom w:val="none" w:sz="0" w:space="0" w:color="auto"/>
        <w:right w:val="none" w:sz="0" w:space="0" w:color="auto"/>
      </w:divBdr>
    </w:div>
    <w:div w:id="1315647950">
      <w:bodyDiv w:val="1"/>
      <w:marLeft w:val="0"/>
      <w:marRight w:val="0"/>
      <w:marTop w:val="0"/>
      <w:marBottom w:val="0"/>
      <w:divBdr>
        <w:top w:val="none" w:sz="0" w:space="0" w:color="auto"/>
        <w:left w:val="none" w:sz="0" w:space="0" w:color="auto"/>
        <w:bottom w:val="none" w:sz="0" w:space="0" w:color="auto"/>
        <w:right w:val="none" w:sz="0" w:space="0" w:color="auto"/>
      </w:divBdr>
    </w:div>
    <w:div w:id="1315834230">
      <w:bodyDiv w:val="1"/>
      <w:marLeft w:val="0"/>
      <w:marRight w:val="0"/>
      <w:marTop w:val="0"/>
      <w:marBottom w:val="0"/>
      <w:divBdr>
        <w:top w:val="none" w:sz="0" w:space="0" w:color="auto"/>
        <w:left w:val="none" w:sz="0" w:space="0" w:color="auto"/>
        <w:bottom w:val="none" w:sz="0" w:space="0" w:color="auto"/>
        <w:right w:val="none" w:sz="0" w:space="0" w:color="auto"/>
      </w:divBdr>
    </w:div>
    <w:div w:id="1315915479">
      <w:bodyDiv w:val="1"/>
      <w:marLeft w:val="0"/>
      <w:marRight w:val="0"/>
      <w:marTop w:val="0"/>
      <w:marBottom w:val="0"/>
      <w:divBdr>
        <w:top w:val="none" w:sz="0" w:space="0" w:color="auto"/>
        <w:left w:val="none" w:sz="0" w:space="0" w:color="auto"/>
        <w:bottom w:val="none" w:sz="0" w:space="0" w:color="auto"/>
        <w:right w:val="none" w:sz="0" w:space="0" w:color="auto"/>
      </w:divBdr>
    </w:div>
    <w:div w:id="1315992674">
      <w:bodyDiv w:val="1"/>
      <w:marLeft w:val="0"/>
      <w:marRight w:val="0"/>
      <w:marTop w:val="0"/>
      <w:marBottom w:val="0"/>
      <w:divBdr>
        <w:top w:val="none" w:sz="0" w:space="0" w:color="auto"/>
        <w:left w:val="none" w:sz="0" w:space="0" w:color="auto"/>
        <w:bottom w:val="none" w:sz="0" w:space="0" w:color="auto"/>
        <w:right w:val="none" w:sz="0" w:space="0" w:color="auto"/>
      </w:divBdr>
    </w:div>
    <w:div w:id="1316035911">
      <w:bodyDiv w:val="1"/>
      <w:marLeft w:val="0"/>
      <w:marRight w:val="0"/>
      <w:marTop w:val="0"/>
      <w:marBottom w:val="0"/>
      <w:divBdr>
        <w:top w:val="none" w:sz="0" w:space="0" w:color="auto"/>
        <w:left w:val="none" w:sz="0" w:space="0" w:color="auto"/>
        <w:bottom w:val="none" w:sz="0" w:space="0" w:color="auto"/>
        <w:right w:val="none" w:sz="0" w:space="0" w:color="auto"/>
      </w:divBdr>
    </w:div>
    <w:div w:id="1316060093">
      <w:bodyDiv w:val="1"/>
      <w:marLeft w:val="0"/>
      <w:marRight w:val="0"/>
      <w:marTop w:val="0"/>
      <w:marBottom w:val="0"/>
      <w:divBdr>
        <w:top w:val="none" w:sz="0" w:space="0" w:color="auto"/>
        <w:left w:val="none" w:sz="0" w:space="0" w:color="auto"/>
        <w:bottom w:val="none" w:sz="0" w:space="0" w:color="auto"/>
        <w:right w:val="none" w:sz="0" w:space="0" w:color="auto"/>
      </w:divBdr>
    </w:div>
    <w:div w:id="1316106067">
      <w:bodyDiv w:val="1"/>
      <w:marLeft w:val="0"/>
      <w:marRight w:val="0"/>
      <w:marTop w:val="0"/>
      <w:marBottom w:val="0"/>
      <w:divBdr>
        <w:top w:val="none" w:sz="0" w:space="0" w:color="auto"/>
        <w:left w:val="none" w:sz="0" w:space="0" w:color="auto"/>
        <w:bottom w:val="none" w:sz="0" w:space="0" w:color="auto"/>
        <w:right w:val="none" w:sz="0" w:space="0" w:color="auto"/>
      </w:divBdr>
    </w:div>
    <w:div w:id="1316255227">
      <w:bodyDiv w:val="1"/>
      <w:marLeft w:val="0"/>
      <w:marRight w:val="0"/>
      <w:marTop w:val="0"/>
      <w:marBottom w:val="0"/>
      <w:divBdr>
        <w:top w:val="none" w:sz="0" w:space="0" w:color="auto"/>
        <w:left w:val="none" w:sz="0" w:space="0" w:color="auto"/>
        <w:bottom w:val="none" w:sz="0" w:space="0" w:color="auto"/>
        <w:right w:val="none" w:sz="0" w:space="0" w:color="auto"/>
      </w:divBdr>
    </w:div>
    <w:div w:id="1316445988">
      <w:bodyDiv w:val="1"/>
      <w:marLeft w:val="0"/>
      <w:marRight w:val="0"/>
      <w:marTop w:val="0"/>
      <w:marBottom w:val="0"/>
      <w:divBdr>
        <w:top w:val="none" w:sz="0" w:space="0" w:color="auto"/>
        <w:left w:val="none" w:sz="0" w:space="0" w:color="auto"/>
        <w:bottom w:val="none" w:sz="0" w:space="0" w:color="auto"/>
        <w:right w:val="none" w:sz="0" w:space="0" w:color="auto"/>
      </w:divBdr>
    </w:div>
    <w:div w:id="1316567979">
      <w:bodyDiv w:val="1"/>
      <w:marLeft w:val="0"/>
      <w:marRight w:val="0"/>
      <w:marTop w:val="0"/>
      <w:marBottom w:val="0"/>
      <w:divBdr>
        <w:top w:val="none" w:sz="0" w:space="0" w:color="auto"/>
        <w:left w:val="none" w:sz="0" w:space="0" w:color="auto"/>
        <w:bottom w:val="none" w:sz="0" w:space="0" w:color="auto"/>
        <w:right w:val="none" w:sz="0" w:space="0" w:color="auto"/>
      </w:divBdr>
    </w:div>
    <w:div w:id="1316645474">
      <w:bodyDiv w:val="1"/>
      <w:marLeft w:val="0"/>
      <w:marRight w:val="0"/>
      <w:marTop w:val="0"/>
      <w:marBottom w:val="0"/>
      <w:divBdr>
        <w:top w:val="none" w:sz="0" w:space="0" w:color="auto"/>
        <w:left w:val="none" w:sz="0" w:space="0" w:color="auto"/>
        <w:bottom w:val="none" w:sz="0" w:space="0" w:color="auto"/>
        <w:right w:val="none" w:sz="0" w:space="0" w:color="auto"/>
      </w:divBdr>
    </w:div>
    <w:div w:id="1316685251">
      <w:bodyDiv w:val="1"/>
      <w:marLeft w:val="0"/>
      <w:marRight w:val="0"/>
      <w:marTop w:val="0"/>
      <w:marBottom w:val="0"/>
      <w:divBdr>
        <w:top w:val="none" w:sz="0" w:space="0" w:color="auto"/>
        <w:left w:val="none" w:sz="0" w:space="0" w:color="auto"/>
        <w:bottom w:val="none" w:sz="0" w:space="0" w:color="auto"/>
        <w:right w:val="none" w:sz="0" w:space="0" w:color="auto"/>
      </w:divBdr>
    </w:div>
    <w:div w:id="1316686088">
      <w:bodyDiv w:val="1"/>
      <w:marLeft w:val="0"/>
      <w:marRight w:val="0"/>
      <w:marTop w:val="0"/>
      <w:marBottom w:val="0"/>
      <w:divBdr>
        <w:top w:val="none" w:sz="0" w:space="0" w:color="auto"/>
        <w:left w:val="none" w:sz="0" w:space="0" w:color="auto"/>
        <w:bottom w:val="none" w:sz="0" w:space="0" w:color="auto"/>
        <w:right w:val="none" w:sz="0" w:space="0" w:color="auto"/>
      </w:divBdr>
    </w:div>
    <w:div w:id="1316764592">
      <w:bodyDiv w:val="1"/>
      <w:marLeft w:val="0"/>
      <w:marRight w:val="0"/>
      <w:marTop w:val="0"/>
      <w:marBottom w:val="0"/>
      <w:divBdr>
        <w:top w:val="none" w:sz="0" w:space="0" w:color="auto"/>
        <w:left w:val="none" w:sz="0" w:space="0" w:color="auto"/>
        <w:bottom w:val="none" w:sz="0" w:space="0" w:color="auto"/>
        <w:right w:val="none" w:sz="0" w:space="0" w:color="auto"/>
      </w:divBdr>
    </w:div>
    <w:div w:id="1316766564">
      <w:bodyDiv w:val="1"/>
      <w:marLeft w:val="0"/>
      <w:marRight w:val="0"/>
      <w:marTop w:val="0"/>
      <w:marBottom w:val="0"/>
      <w:divBdr>
        <w:top w:val="none" w:sz="0" w:space="0" w:color="auto"/>
        <w:left w:val="none" w:sz="0" w:space="0" w:color="auto"/>
        <w:bottom w:val="none" w:sz="0" w:space="0" w:color="auto"/>
        <w:right w:val="none" w:sz="0" w:space="0" w:color="auto"/>
      </w:divBdr>
    </w:div>
    <w:div w:id="1316840917">
      <w:bodyDiv w:val="1"/>
      <w:marLeft w:val="0"/>
      <w:marRight w:val="0"/>
      <w:marTop w:val="0"/>
      <w:marBottom w:val="0"/>
      <w:divBdr>
        <w:top w:val="none" w:sz="0" w:space="0" w:color="auto"/>
        <w:left w:val="none" w:sz="0" w:space="0" w:color="auto"/>
        <w:bottom w:val="none" w:sz="0" w:space="0" w:color="auto"/>
        <w:right w:val="none" w:sz="0" w:space="0" w:color="auto"/>
      </w:divBdr>
    </w:div>
    <w:div w:id="1316957540">
      <w:bodyDiv w:val="1"/>
      <w:marLeft w:val="0"/>
      <w:marRight w:val="0"/>
      <w:marTop w:val="0"/>
      <w:marBottom w:val="0"/>
      <w:divBdr>
        <w:top w:val="none" w:sz="0" w:space="0" w:color="auto"/>
        <w:left w:val="none" w:sz="0" w:space="0" w:color="auto"/>
        <w:bottom w:val="none" w:sz="0" w:space="0" w:color="auto"/>
        <w:right w:val="none" w:sz="0" w:space="0" w:color="auto"/>
      </w:divBdr>
    </w:div>
    <w:div w:id="1317034572">
      <w:bodyDiv w:val="1"/>
      <w:marLeft w:val="0"/>
      <w:marRight w:val="0"/>
      <w:marTop w:val="0"/>
      <w:marBottom w:val="0"/>
      <w:divBdr>
        <w:top w:val="none" w:sz="0" w:space="0" w:color="auto"/>
        <w:left w:val="none" w:sz="0" w:space="0" w:color="auto"/>
        <w:bottom w:val="none" w:sz="0" w:space="0" w:color="auto"/>
        <w:right w:val="none" w:sz="0" w:space="0" w:color="auto"/>
      </w:divBdr>
    </w:div>
    <w:div w:id="1317104880">
      <w:bodyDiv w:val="1"/>
      <w:marLeft w:val="0"/>
      <w:marRight w:val="0"/>
      <w:marTop w:val="0"/>
      <w:marBottom w:val="0"/>
      <w:divBdr>
        <w:top w:val="none" w:sz="0" w:space="0" w:color="auto"/>
        <w:left w:val="none" w:sz="0" w:space="0" w:color="auto"/>
        <w:bottom w:val="none" w:sz="0" w:space="0" w:color="auto"/>
        <w:right w:val="none" w:sz="0" w:space="0" w:color="auto"/>
      </w:divBdr>
    </w:div>
    <w:div w:id="1317147857">
      <w:bodyDiv w:val="1"/>
      <w:marLeft w:val="0"/>
      <w:marRight w:val="0"/>
      <w:marTop w:val="0"/>
      <w:marBottom w:val="0"/>
      <w:divBdr>
        <w:top w:val="none" w:sz="0" w:space="0" w:color="auto"/>
        <w:left w:val="none" w:sz="0" w:space="0" w:color="auto"/>
        <w:bottom w:val="none" w:sz="0" w:space="0" w:color="auto"/>
        <w:right w:val="none" w:sz="0" w:space="0" w:color="auto"/>
      </w:divBdr>
    </w:div>
    <w:div w:id="1317492177">
      <w:bodyDiv w:val="1"/>
      <w:marLeft w:val="0"/>
      <w:marRight w:val="0"/>
      <w:marTop w:val="0"/>
      <w:marBottom w:val="0"/>
      <w:divBdr>
        <w:top w:val="none" w:sz="0" w:space="0" w:color="auto"/>
        <w:left w:val="none" w:sz="0" w:space="0" w:color="auto"/>
        <w:bottom w:val="none" w:sz="0" w:space="0" w:color="auto"/>
        <w:right w:val="none" w:sz="0" w:space="0" w:color="auto"/>
      </w:divBdr>
    </w:div>
    <w:div w:id="1317495831">
      <w:bodyDiv w:val="1"/>
      <w:marLeft w:val="0"/>
      <w:marRight w:val="0"/>
      <w:marTop w:val="0"/>
      <w:marBottom w:val="0"/>
      <w:divBdr>
        <w:top w:val="none" w:sz="0" w:space="0" w:color="auto"/>
        <w:left w:val="none" w:sz="0" w:space="0" w:color="auto"/>
        <w:bottom w:val="none" w:sz="0" w:space="0" w:color="auto"/>
        <w:right w:val="none" w:sz="0" w:space="0" w:color="auto"/>
      </w:divBdr>
    </w:div>
    <w:div w:id="1317683389">
      <w:bodyDiv w:val="1"/>
      <w:marLeft w:val="0"/>
      <w:marRight w:val="0"/>
      <w:marTop w:val="0"/>
      <w:marBottom w:val="0"/>
      <w:divBdr>
        <w:top w:val="none" w:sz="0" w:space="0" w:color="auto"/>
        <w:left w:val="none" w:sz="0" w:space="0" w:color="auto"/>
        <w:bottom w:val="none" w:sz="0" w:space="0" w:color="auto"/>
        <w:right w:val="none" w:sz="0" w:space="0" w:color="auto"/>
      </w:divBdr>
    </w:div>
    <w:div w:id="1317683535">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17951270">
      <w:bodyDiv w:val="1"/>
      <w:marLeft w:val="0"/>
      <w:marRight w:val="0"/>
      <w:marTop w:val="0"/>
      <w:marBottom w:val="0"/>
      <w:divBdr>
        <w:top w:val="none" w:sz="0" w:space="0" w:color="auto"/>
        <w:left w:val="none" w:sz="0" w:space="0" w:color="auto"/>
        <w:bottom w:val="none" w:sz="0" w:space="0" w:color="auto"/>
        <w:right w:val="none" w:sz="0" w:space="0" w:color="auto"/>
      </w:divBdr>
    </w:div>
    <w:div w:id="1318076889">
      <w:bodyDiv w:val="1"/>
      <w:marLeft w:val="0"/>
      <w:marRight w:val="0"/>
      <w:marTop w:val="0"/>
      <w:marBottom w:val="0"/>
      <w:divBdr>
        <w:top w:val="none" w:sz="0" w:space="0" w:color="auto"/>
        <w:left w:val="none" w:sz="0" w:space="0" w:color="auto"/>
        <w:bottom w:val="none" w:sz="0" w:space="0" w:color="auto"/>
        <w:right w:val="none" w:sz="0" w:space="0" w:color="auto"/>
      </w:divBdr>
    </w:div>
    <w:div w:id="1318146529">
      <w:bodyDiv w:val="1"/>
      <w:marLeft w:val="0"/>
      <w:marRight w:val="0"/>
      <w:marTop w:val="0"/>
      <w:marBottom w:val="0"/>
      <w:divBdr>
        <w:top w:val="none" w:sz="0" w:space="0" w:color="auto"/>
        <w:left w:val="none" w:sz="0" w:space="0" w:color="auto"/>
        <w:bottom w:val="none" w:sz="0" w:space="0" w:color="auto"/>
        <w:right w:val="none" w:sz="0" w:space="0" w:color="auto"/>
      </w:divBdr>
    </w:div>
    <w:div w:id="1318191525">
      <w:bodyDiv w:val="1"/>
      <w:marLeft w:val="0"/>
      <w:marRight w:val="0"/>
      <w:marTop w:val="0"/>
      <w:marBottom w:val="0"/>
      <w:divBdr>
        <w:top w:val="none" w:sz="0" w:space="0" w:color="auto"/>
        <w:left w:val="none" w:sz="0" w:space="0" w:color="auto"/>
        <w:bottom w:val="none" w:sz="0" w:space="0" w:color="auto"/>
        <w:right w:val="none" w:sz="0" w:space="0" w:color="auto"/>
      </w:divBdr>
    </w:div>
    <w:div w:id="1318193490">
      <w:bodyDiv w:val="1"/>
      <w:marLeft w:val="0"/>
      <w:marRight w:val="0"/>
      <w:marTop w:val="0"/>
      <w:marBottom w:val="0"/>
      <w:divBdr>
        <w:top w:val="none" w:sz="0" w:space="0" w:color="auto"/>
        <w:left w:val="none" w:sz="0" w:space="0" w:color="auto"/>
        <w:bottom w:val="none" w:sz="0" w:space="0" w:color="auto"/>
        <w:right w:val="none" w:sz="0" w:space="0" w:color="auto"/>
      </w:divBdr>
    </w:div>
    <w:div w:id="1318194095">
      <w:bodyDiv w:val="1"/>
      <w:marLeft w:val="0"/>
      <w:marRight w:val="0"/>
      <w:marTop w:val="0"/>
      <w:marBottom w:val="0"/>
      <w:divBdr>
        <w:top w:val="none" w:sz="0" w:space="0" w:color="auto"/>
        <w:left w:val="none" w:sz="0" w:space="0" w:color="auto"/>
        <w:bottom w:val="none" w:sz="0" w:space="0" w:color="auto"/>
        <w:right w:val="none" w:sz="0" w:space="0" w:color="auto"/>
      </w:divBdr>
    </w:div>
    <w:div w:id="1318338731">
      <w:bodyDiv w:val="1"/>
      <w:marLeft w:val="0"/>
      <w:marRight w:val="0"/>
      <w:marTop w:val="0"/>
      <w:marBottom w:val="0"/>
      <w:divBdr>
        <w:top w:val="none" w:sz="0" w:space="0" w:color="auto"/>
        <w:left w:val="none" w:sz="0" w:space="0" w:color="auto"/>
        <w:bottom w:val="none" w:sz="0" w:space="0" w:color="auto"/>
        <w:right w:val="none" w:sz="0" w:space="0" w:color="auto"/>
      </w:divBdr>
    </w:div>
    <w:div w:id="1318411630">
      <w:bodyDiv w:val="1"/>
      <w:marLeft w:val="0"/>
      <w:marRight w:val="0"/>
      <w:marTop w:val="0"/>
      <w:marBottom w:val="0"/>
      <w:divBdr>
        <w:top w:val="none" w:sz="0" w:space="0" w:color="auto"/>
        <w:left w:val="none" w:sz="0" w:space="0" w:color="auto"/>
        <w:bottom w:val="none" w:sz="0" w:space="0" w:color="auto"/>
        <w:right w:val="none" w:sz="0" w:space="0" w:color="auto"/>
      </w:divBdr>
    </w:div>
    <w:div w:id="1318415689">
      <w:bodyDiv w:val="1"/>
      <w:marLeft w:val="0"/>
      <w:marRight w:val="0"/>
      <w:marTop w:val="0"/>
      <w:marBottom w:val="0"/>
      <w:divBdr>
        <w:top w:val="none" w:sz="0" w:space="0" w:color="auto"/>
        <w:left w:val="none" w:sz="0" w:space="0" w:color="auto"/>
        <w:bottom w:val="none" w:sz="0" w:space="0" w:color="auto"/>
        <w:right w:val="none" w:sz="0" w:space="0" w:color="auto"/>
      </w:divBdr>
    </w:div>
    <w:div w:id="1318462484">
      <w:bodyDiv w:val="1"/>
      <w:marLeft w:val="0"/>
      <w:marRight w:val="0"/>
      <w:marTop w:val="0"/>
      <w:marBottom w:val="0"/>
      <w:divBdr>
        <w:top w:val="none" w:sz="0" w:space="0" w:color="auto"/>
        <w:left w:val="none" w:sz="0" w:space="0" w:color="auto"/>
        <w:bottom w:val="none" w:sz="0" w:space="0" w:color="auto"/>
        <w:right w:val="none" w:sz="0" w:space="0" w:color="auto"/>
      </w:divBdr>
    </w:div>
    <w:div w:id="1318533487">
      <w:bodyDiv w:val="1"/>
      <w:marLeft w:val="0"/>
      <w:marRight w:val="0"/>
      <w:marTop w:val="0"/>
      <w:marBottom w:val="0"/>
      <w:divBdr>
        <w:top w:val="none" w:sz="0" w:space="0" w:color="auto"/>
        <w:left w:val="none" w:sz="0" w:space="0" w:color="auto"/>
        <w:bottom w:val="none" w:sz="0" w:space="0" w:color="auto"/>
        <w:right w:val="none" w:sz="0" w:space="0" w:color="auto"/>
      </w:divBdr>
    </w:div>
    <w:div w:id="1318534196">
      <w:bodyDiv w:val="1"/>
      <w:marLeft w:val="0"/>
      <w:marRight w:val="0"/>
      <w:marTop w:val="0"/>
      <w:marBottom w:val="0"/>
      <w:divBdr>
        <w:top w:val="none" w:sz="0" w:space="0" w:color="auto"/>
        <w:left w:val="none" w:sz="0" w:space="0" w:color="auto"/>
        <w:bottom w:val="none" w:sz="0" w:space="0" w:color="auto"/>
        <w:right w:val="none" w:sz="0" w:space="0" w:color="auto"/>
      </w:divBdr>
    </w:div>
    <w:div w:id="1318538006">
      <w:bodyDiv w:val="1"/>
      <w:marLeft w:val="0"/>
      <w:marRight w:val="0"/>
      <w:marTop w:val="0"/>
      <w:marBottom w:val="0"/>
      <w:divBdr>
        <w:top w:val="none" w:sz="0" w:space="0" w:color="auto"/>
        <w:left w:val="none" w:sz="0" w:space="0" w:color="auto"/>
        <w:bottom w:val="none" w:sz="0" w:space="0" w:color="auto"/>
        <w:right w:val="none" w:sz="0" w:space="0" w:color="auto"/>
      </w:divBdr>
    </w:div>
    <w:div w:id="1318650989">
      <w:bodyDiv w:val="1"/>
      <w:marLeft w:val="0"/>
      <w:marRight w:val="0"/>
      <w:marTop w:val="0"/>
      <w:marBottom w:val="0"/>
      <w:divBdr>
        <w:top w:val="none" w:sz="0" w:space="0" w:color="auto"/>
        <w:left w:val="none" w:sz="0" w:space="0" w:color="auto"/>
        <w:bottom w:val="none" w:sz="0" w:space="0" w:color="auto"/>
        <w:right w:val="none" w:sz="0" w:space="0" w:color="auto"/>
      </w:divBdr>
    </w:div>
    <w:div w:id="1318725591">
      <w:bodyDiv w:val="1"/>
      <w:marLeft w:val="0"/>
      <w:marRight w:val="0"/>
      <w:marTop w:val="0"/>
      <w:marBottom w:val="0"/>
      <w:divBdr>
        <w:top w:val="none" w:sz="0" w:space="0" w:color="auto"/>
        <w:left w:val="none" w:sz="0" w:space="0" w:color="auto"/>
        <w:bottom w:val="none" w:sz="0" w:space="0" w:color="auto"/>
        <w:right w:val="none" w:sz="0" w:space="0" w:color="auto"/>
      </w:divBdr>
    </w:div>
    <w:div w:id="1318729672">
      <w:bodyDiv w:val="1"/>
      <w:marLeft w:val="0"/>
      <w:marRight w:val="0"/>
      <w:marTop w:val="0"/>
      <w:marBottom w:val="0"/>
      <w:divBdr>
        <w:top w:val="none" w:sz="0" w:space="0" w:color="auto"/>
        <w:left w:val="none" w:sz="0" w:space="0" w:color="auto"/>
        <w:bottom w:val="none" w:sz="0" w:space="0" w:color="auto"/>
        <w:right w:val="none" w:sz="0" w:space="0" w:color="auto"/>
      </w:divBdr>
    </w:div>
    <w:div w:id="1319261662">
      <w:bodyDiv w:val="1"/>
      <w:marLeft w:val="0"/>
      <w:marRight w:val="0"/>
      <w:marTop w:val="0"/>
      <w:marBottom w:val="0"/>
      <w:divBdr>
        <w:top w:val="none" w:sz="0" w:space="0" w:color="auto"/>
        <w:left w:val="none" w:sz="0" w:space="0" w:color="auto"/>
        <w:bottom w:val="none" w:sz="0" w:space="0" w:color="auto"/>
        <w:right w:val="none" w:sz="0" w:space="0" w:color="auto"/>
      </w:divBdr>
    </w:div>
    <w:div w:id="1319267246">
      <w:bodyDiv w:val="1"/>
      <w:marLeft w:val="0"/>
      <w:marRight w:val="0"/>
      <w:marTop w:val="0"/>
      <w:marBottom w:val="0"/>
      <w:divBdr>
        <w:top w:val="none" w:sz="0" w:space="0" w:color="auto"/>
        <w:left w:val="none" w:sz="0" w:space="0" w:color="auto"/>
        <w:bottom w:val="none" w:sz="0" w:space="0" w:color="auto"/>
        <w:right w:val="none" w:sz="0" w:space="0" w:color="auto"/>
      </w:divBdr>
    </w:div>
    <w:div w:id="1319337284">
      <w:bodyDiv w:val="1"/>
      <w:marLeft w:val="0"/>
      <w:marRight w:val="0"/>
      <w:marTop w:val="0"/>
      <w:marBottom w:val="0"/>
      <w:divBdr>
        <w:top w:val="none" w:sz="0" w:space="0" w:color="auto"/>
        <w:left w:val="none" w:sz="0" w:space="0" w:color="auto"/>
        <w:bottom w:val="none" w:sz="0" w:space="0" w:color="auto"/>
        <w:right w:val="none" w:sz="0" w:space="0" w:color="auto"/>
      </w:divBdr>
    </w:div>
    <w:div w:id="1319379798">
      <w:bodyDiv w:val="1"/>
      <w:marLeft w:val="0"/>
      <w:marRight w:val="0"/>
      <w:marTop w:val="0"/>
      <w:marBottom w:val="0"/>
      <w:divBdr>
        <w:top w:val="none" w:sz="0" w:space="0" w:color="auto"/>
        <w:left w:val="none" w:sz="0" w:space="0" w:color="auto"/>
        <w:bottom w:val="none" w:sz="0" w:space="0" w:color="auto"/>
        <w:right w:val="none" w:sz="0" w:space="0" w:color="auto"/>
      </w:divBdr>
    </w:div>
    <w:div w:id="1319575538">
      <w:bodyDiv w:val="1"/>
      <w:marLeft w:val="0"/>
      <w:marRight w:val="0"/>
      <w:marTop w:val="0"/>
      <w:marBottom w:val="0"/>
      <w:divBdr>
        <w:top w:val="none" w:sz="0" w:space="0" w:color="auto"/>
        <w:left w:val="none" w:sz="0" w:space="0" w:color="auto"/>
        <w:bottom w:val="none" w:sz="0" w:space="0" w:color="auto"/>
        <w:right w:val="none" w:sz="0" w:space="0" w:color="auto"/>
      </w:divBdr>
    </w:div>
    <w:div w:id="1319647976">
      <w:bodyDiv w:val="1"/>
      <w:marLeft w:val="0"/>
      <w:marRight w:val="0"/>
      <w:marTop w:val="0"/>
      <w:marBottom w:val="0"/>
      <w:divBdr>
        <w:top w:val="none" w:sz="0" w:space="0" w:color="auto"/>
        <w:left w:val="none" w:sz="0" w:space="0" w:color="auto"/>
        <w:bottom w:val="none" w:sz="0" w:space="0" w:color="auto"/>
        <w:right w:val="none" w:sz="0" w:space="0" w:color="auto"/>
      </w:divBdr>
    </w:div>
    <w:div w:id="1319844868">
      <w:bodyDiv w:val="1"/>
      <w:marLeft w:val="0"/>
      <w:marRight w:val="0"/>
      <w:marTop w:val="0"/>
      <w:marBottom w:val="0"/>
      <w:divBdr>
        <w:top w:val="none" w:sz="0" w:space="0" w:color="auto"/>
        <w:left w:val="none" w:sz="0" w:space="0" w:color="auto"/>
        <w:bottom w:val="none" w:sz="0" w:space="0" w:color="auto"/>
        <w:right w:val="none" w:sz="0" w:space="0" w:color="auto"/>
      </w:divBdr>
    </w:div>
    <w:div w:id="1319916866">
      <w:bodyDiv w:val="1"/>
      <w:marLeft w:val="0"/>
      <w:marRight w:val="0"/>
      <w:marTop w:val="0"/>
      <w:marBottom w:val="0"/>
      <w:divBdr>
        <w:top w:val="none" w:sz="0" w:space="0" w:color="auto"/>
        <w:left w:val="none" w:sz="0" w:space="0" w:color="auto"/>
        <w:bottom w:val="none" w:sz="0" w:space="0" w:color="auto"/>
        <w:right w:val="none" w:sz="0" w:space="0" w:color="auto"/>
      </w:divBdr>
    </w:div>
    <w:div w:id="1319962643">
      <w:bodyDiv w:val="1"/>
      <w:marLeft w:val="0"/>
      <w:marRight w:val="0"/>
      <w:marTop w:val="0"/>
      <w:marBottom w:val="0"/>
      <w:divBdr>
        <w:top w:val="none" w:sz="0" w:space="0" w:color="auto"/>
        <w:left w:val="none" w:sz="0" w:space="0" w:color="auto"/>
        <w:bottom w:val="none" w:sz="0" w:space="0" w:color="auto"/>
        <w:right w:val="none" w:sz="0" w:space="0" w:color="auto"/>
      </w:divBdr>
    </w:div>
    <w:div w:id="1319991359">
      <w:bodyDiv w:val="1"/>
      <w:marLeft w:val="0"/>
      <w:marRight w:val="0"/>
      <w:marTop w:val="0"/>
      <w:marBottom w:val="0"/>
      <w:divBdr>
        <w:top w:val="none" w:sz="0" w:space="0" w:color="auto"/>
        <w:left w:val="none" w:sz="0" w:space="0" w:color="auto"/>
        <w:bottom w:val="none" w:sz="0" w:space="0" w:color="auto"/>
        <w:right w:val="none" w:sz="0" w:space="0" w:color="auto"/>
      </w:divBdr>
    </w:div>
    <w:div w:id="1320114145">
      <w:bodyDiv w:val="1"/>
      <w:marLeft w:val="0"/>
      <w:marRight w:val="0"/>
      <w:marTop w:val="0"/>
      <w:marBottom w:val="0"/>
      <w:divBdr>
        <w:top w:val="none" w:sz="0" w:space="0" w:color="auto"/>
        <w:left w:val="none" w:sz="0" w:space="0" w:color="auto"/>
        <w:bottom w:val="none" w:sz="0" w:space="0" w:color="auto"/>
        <w:right w:val="none" w:sz="0" w:space="0" w:color="auto"/>
      </w:divBdr>
    </w:div>
    <w:div w:id="1320184758">
      <w:bodyDiv w:val="1"/>
      <w:marLeft w:val="0"/>
      <w:marRight w:val="0"/>
      <w:marTop w:val="0"/>
      <w:marBottom w:val="0"/>
      <w:divBdr>
        <w:top w:val="none" w:sz="0" w:space="0" w:color="auto"/>
        <w:left w:val="none" w:sz="0" w:space="0" w:color="auto"/>
        <w:bottom w:val="none" w:sz="0" w:space="0" w:color="auto"/>
        <w:right w:val="none" w:sz="0" w:space="0" w:color="auto"/>
      </w:divBdr>
    </w:div>
    <w:div w:id="1320228784">
      <w:bodyDiv w:val="1"/>
      <w:marLeft w:val="0"/>
      <w:marRight w:val="0"/>
      <w:marTop w:val="0"/>
      <w:marBottom w:val="0"/>
      <w:divBdr>
        <w:top w:val="none" w:sz="0" w:space="0" w:color="auto"/>
        <w:left w:val="none" w:sz="0" w:space="0" w:color="auto"/>
        <w:bottom w:val="none" w:sz="0" w:space="0" w:color="auto"/>
        <w:right w:val="none" w:sz="0" w:space="0" w:color="auto"/>
      </w:divBdr>
    </w:div>
    <w:div w:id="1320230704">
      <w:bodyDiv w:val="1"/>
      <w:marLeft w:val="0"/>
      <w:marRight w:val="0"/>
      <w:marTop w:val="0"/>
      <w:marBottom w:val="0"/>
      <w:divBdr>
        <w:top w:val="none" w:sz="0" w:space="0" w:color="auto"/>
        <w:left w:val="none" w:sz="0" w:space="0" w:color="auto"/>
        <w:bottom w:val="none" w:sz="0" w:space="0" w:color="auto"/>
        <w:right w:val="none" w:sz="0" w:space="0" w:color="auto"/>
      </w:divBdr>
    </w:div>
    <w:div w:id="1320306836">
      <w:bodyDiv w:val="1"/>
      <w:marLeft w:val="0"/>
      <w:marRight w:val="0"/>
      <w:marTop w:val="0"/>
      <w:marBottom w:val="0"/>
      <w:divBdr>
        <w:top w:val="none" w:sz="0" w:space="0" w:color="auto"/>
        <w:left w:val="none" w:sz="0" w:space="0" w:color="auto"/>
        <w:bottom w:val="none" w:sz="0" w:space="0" w:color="auto"/>
        <w:right w:val="none" w:sz="0" w:space="0" w:color="auto"/>
      </w:divBdr>
    </w:div>
    <w:div w:id="1320377525">
      <w:bodyDiv w:val="1"/>
      <w:marLeft w:val="0"/>
      <w:marRight w:val="0"/>
      <w:marTop w:val="0"/>
      <w:marBottom w:val="0"/>
      <w:divBdr>
        <w:top w:val="none" w:sz="0" w:space="0" w:color="auto"/>
        <w:left w:val="none" w:sz="0" w:space="0" w:color="auto"/>
        <w:bottom w:val="none" w:sz="0" w:space="0" w:color="auto"/>
        <w:right w:val="none" w:sz="0" w:space="0" w:color="auto"/>
      </w:divBdr>
    </w:div>
    <w:div w:id="1320422215">
      <w:bodyDiv w:val="1"/>
      <w:marLeft w:val="0"/>
      <w:marRight w:val="0"/>
      <w:marTop w:val="0"/>
      <w:marBottom w:val="0"/>
      <w:divBdr>
        <w:top w:val="none" w:sz="0" w:space="0" w:color="auto"/>
        <w:left w:val="none" w:sz="0" w:space="0" w:color="auto"/>
        <w:bottom w:val="none" w:sz="0" w:space="0" w:color="auto"/>
        <w:right w:val="none" w:sz="0" w:space="0" w:color="auto"/>
      </w:divBdr>
    </w:div>
    <w:div w:id="1320425495">
      <w:bodyDiv w:val="1"/>
      <w:marLeft w:val="0"/>
      <w:marRight w:val="0"/>
      <w:marTop w:val="0"/>
      <w:marBottom w:val="0"/>
      <w:divBdr>
        <w:top w:val="none" w:sz="0" w:space="0" w:color="auto"/>
        <w:left w:val="none" w:sz="0" w:space="0" w:color="auto"/>
        <w:bottom w:val="none" w:sz="0" w:space="0" w:color="auto"/>
        <w:right w:val="none" w:sz="0" w:space="0" w:color="auto"/>
      </w:divBdr>
    </w:div>
    <w:div w:id="1320427480">
      <w:bodyDiv w:val="1"/>
      <w:marLeft w:val="0"/>
      <w:marRight w:val="0"/>
      <w:marTop w:val="0"/>
      <w:marBottom w:val="0"/>
      <w:divBdr>
        <w:top w:val="none" w:sz="0" w:space="0" w:color="auto"/>
        <w:left w:val="none" w:sz="0" w:space="0" w:color="auto"/>
        <w:bottom w:val="none" w:sz="0" w:space="0" w:color="auto"/>
        <w:right w:val="none" w:sz="0" w:space="0" w:color="auto"/>
      </w:divBdr>
    </w:div>
    <w:div w:id="1320619122">
      <w:bodyDiv w:val="1"/>
      <w:marLeft w:val="0"/>
      <w:marRight w:val="0"/>
      <w:marTop w:val="0"/>
      <w:marBottom w:val="0"/>
      <w:divBdr>
        <w:top w:val="none" w:sz="0" w:space="0" w:color="auto"/>
        <w:left w:val="none" w:sz="0" w:space="0" w:color="auto"/>
        <w:bottom w:val="none" w:sz="0" w:space="0" w:color="auto"/>
        <w:right w:val="none" w:sz="0" w:space="0" w:color="auto"/>
      </w:divBdr>
    </w:div>
    <w:div w:id="1320692618">
      <w:bodyDiv w:val="1"/>
      <w:marLeft w:val="0"/>
      <w:marRight w:val="0"/>
      <w:marTop w:val="0"/>
      <w:marBottom w:val="0"/>
      <w:divBdr>
        <w:top w:val="none" w:sz="0" w:space="0" w:color="auto"/>
        <w:left w:val="none" w:sz="0" w:space="0" w:color="auto"/>
        <w:bottom w:val="none" w:sz="0" w:space="0" w:color="auto"/>
        <w:right w:val="none" w:sz="0" w:space="0" w:color="auto"/>
      </w:divBdr>
    </w:div>
    <w:div w:id="1320812832">
      <w:bodyDiv w:val="1"/>
      <w:marLeft w:val="0"/>
      <w:marRight w:val="0"/>
      <w:marTop w:val="0"/>
      <w:marBottom w:val="0"/>
      <w:divBdr>
        <w:top w:val="none" w:sz="0" w:space="0" w:color="auto"/>
        <w:left w:val="none" w:sz="0" w:space="0" w:color="auto"/>
        <w:bottom w:val="none" w:sz="0" w:space="0" w:color="auto"/>
        <w:right w:val="none" w:sz="0" w:space="0" w:color="auto"/>
      </w:divBdr>
    </w:div>
    <w:div w:id="1320840941">
      <w:bodyDiv w:val="1"/>
      <w:marLeft w:val="0"/>
      <w:marRight w:val="0"/>
      <w:marTop w:val="0"/>
      <w:marBottom w:val="0"/>
      <w:divBdr>
        <w:top w:val="none" w:sz="0" w:space="0" w:color="auto"/>
        <w:left w:val="none" w:sz="0" w:space="0" w:color="auto"/>
        <w:bottom w:val="none" w:sz="0" w:space="0" w:color="auto"/>
        <w:right w:val="none" w:sz="0" w:space="0" w:color="auto"/>
      </w:divBdr>
    </w:div>
    <w:div w:id="1321038080">
      <w:bodyDiv w:val="1"/>
      <w:marLeft w:val="0"/>
      <w:marRight w:val="0"/>
      <w:marTop w:val="0"/>
      <w:marBottom w:val="0"/>
      <w:divBdr>
        <w:top w:val="none" w:sz="0" w:space="0" w:color="auto"/>
        <w:left w:val="none" w:sz="0" w:space="0" w:color="auto"/>
        <w:bottom w:val="none" w:sz="0" w:space="0" w:color="auto"/>
        <w:right w:val="none" w:sz="0" w:space="0" w:color="auto"/>
      </w:divBdr>
    </w:div>
    <w:div w:id="1321083124">
      <w:bodyDiv w:val="1"/>
      <w:marLeft w:val="0"/>
      <w:marRight w:val="0"/>
      <w:marTop w:val="0"/>
      <w:marBottom w:val="0"/>
      <w:divBdr>
        <w:top w:val="none" w:sz="0" w:space="0" w:color="auto"/>
        <w:left w:val="none" w:sz="0" w:space="0" w:color="auto"/>
        <w:bottom w:val="none" w:sz="0" w:space="0" w:color="auto"/>
        <w:right w:val="none" w:sz="0" w:space="0" w:color="auto"/>
      </w:divBdr>
    </w:div>
    <w:div w:id="1321302468">
      <w:bodyDiv w:val="1"/>
      <w:marLeft w:val="0"/>
      <w:marRight w:val="0"/>
      <w:marTop w:val="0"/>
      <w:marBottom w:val="0"/>
      <w:divBdr>
        <w:top w:val="none" w:sz="0" w:space="0" w:color="auto"/>
        <w:left w:val="none" w:sz="0" w:space="0" w:color="auto"/>
        <w:bottom w:val="none" w:sz="0" w:space="0" w:color="auto"/>
        <w:right w:val="none" w:sz="0" w:space="0" w:color="auto"/>
      </w:divBdr>
    </w:div>
    <w:div w:id="1321428844">
      <w:bodyDiv w:val="1"/>
      <w:marLeft w:val="0"/>
      <w:marRight w:val="0"/>
      <w:marTop w:val="0"/>
      <w:marBottom w:val="0"/>
      <w:divBdr>
        <w:top w:val="none" w:sz="0" w:space="0" w:color="auto"/>
        <w:left w:val="none" w:sz="0" w:space="0" w:color="auto"/>
        <w:bottom w:val="none" w:sz="0" w:space="0" w:color="auto"/>
        <w:right w:val="none" w:sz="0" w:space="0" w:color="auto"/>
      </w:divBdr>
    </w:div>
    <w:div w:id="1321543112">
      <w:bodyDiv w:val="1"/>
      <w:marLeft w:val="0"/>
      <w:marRight w:val="0"/>
      <w:marTop w:val="0"/>
      <w:marBottom w:val="0"/>
      <w:divBdr>
        <w:top w:val="none" w:sz="0" w:space="0" w:color="auto"/>
        <w:left w:val="none" w:sz="0" w:space="0" w:color="auto"/>
        <w:bottom w:val="none" w:sz="0" w:space="0" w:color="auto"/>
        <w:right w:val="none" w:sz="0" w:space="0" w:color="auto"/>
      </w:divBdr>
    </w:div>
    <w:div w:id="1321612679">
      <w:bodyDiv w:val="1"/>
      <w:marLeft w:val="0"/>
      <w:marRight w:val="0"/>
      <w:marTop w:val="0"/>
      <w:marBottom w:val="0"/>
      <w:divBdr>
        <w:top w:val="none" w:sz="0" w:space="0" w:color="auto"/>
        <w:left w:val="none" w:sz="0" w:space="0" w:color="auto"/>
        <w:bottom w:val="none" w:sz="0" w:space="0" w:color="auto"/>
        <w:right w:val="none" w:sz="0" w:space="0" w:color="auto"/>
      </w:divBdr>
    </w:div>
    <w:div w:id="1321614155">
      <w:bodyDiv w:val="1"/>
      <w:marLeft w:val="0"/>
      <w:marRight w:val="0"/>
      <w:marTop w:val="0"/>
      <w:marBottom w:val="0"/>
      <w:divBdr>
        <w:top w:val="none" w:sz="0" w:space="0" w:color="auto"/>
        <w:left w:val="none" w:sz="0" w:space="0" w:color="auto"/>
        <w:bottom w:val="none" w:sz="0" w:space="0" w:color="auto"/>
        <w:right w:val="none" w:sz="0" w:space="0" w:color="auto"/>
      </w:divBdr>
    </w:div>
    <w:div w:id="1321692519">
      <w:bodyDiv w:val="1"/>
      <w:marLeft w:val="0"/>
      <w:marRight w:val="0"/>
      <w:marTop w:val="0"/>
      <w:marBottom w:val="0"/>
      <w:divBdr>
        <w:top w:val="none" w:sz="0" w:space="0" w:color="auto"/>
        <w:left w:val="none" w:sz="0" w:space="0" w:color="auto"/>
        <w:bottom w:val="none" w:sz="0" w:space="0" w:color="auto"/>
        <w:right w:val="none" w:sz="0" w:space="0" w:color="auto"/>
      </w:divBdr>
    </w:div>
    <w:div w:id="1321806348">
      <w:bodyDiv w:val="1"/>
      <w:marLeft w:val="0"/>
      <w:marRight w:val="0"/>
      <w:marTop w:val="0"/>
      <w:marBottom w:val="0"/>
      <w:divBdr>
        <w:top w:val="none" w:sz="0" w:space="0" w:color="auto"/>
        <w:left w:val="none" w:sz="0" w:space="0" w:color="auto"/>
        <w:bottom w:val="none" w:sz="0" w:space="0" w:color="auto"/>
        <w:right w:val="none" w:sz="0" w:space="0" w:color="auto"/>
      </w:divBdr>
    </w:div>
    <w:div w:id="1321884807">
      <w:bodyDiv w:val="1"/>
      <w:marLeft w:val="0"/>
      <w:marRight w:val="0"/>
      <w:marTop w:val="0"/>
      <w:marBottom w:val="0"/>
      <w:divBdr>
        <w:top w:val="none" w:sz="0" w:space="0" w:color="auto"/>
        <w:left w:val="none" w:sz="0" w:space="0" w:color="auto"/>
        <w:bottom w:val="none" w:sz="0" w:space="0" w:color="auto"/>
        <w:right w:val="none" w:sz="0" w:space="0" w:color="auto"/>
      </w:divBdr>
    </w:div>
    <w:div w:id="1321958395">
      <w:bodyDiv w:val="1"/>
      <w:marLeft w:val="0"/>
      <w:marRight w:val="0"/>
      <w:marTop w:val="0"/>
      <w:marBottom w:val="0"/>
      <w:divBdr>
        <w:top w:val="none" w:sz="0" w:space="0" w:color="auto"/>
        <w:left w:val="none" w:sz="0" w:space="0" w:color="auto"/>
        <w:bottom w:val="none" w:sz="0" w:space="0" w:color="auto"/>
        <w:right w:val="none" w:sz="0" w:space="0" w:color="auto"/>
      </w:divBdr>
    </w:div>
    <w:div w:id="1322005789">
      <w:bodyDiv w:val="1"/>
      <w:marLeft w:val="0"/>
      <w:marRight w:val="0"/>
      <w:marTop w:val="0"/>
      <w:marBottom w:val="0"/>
      <w:divBdr>
        <w:top w:val="none" w:sz="0" w:space="0" w:color="auto"/>
        <w:left w:val="none" w:sz="0" w:space="0" w:color="auto"/>
        <w:bottom w:val="none" w:sz="0" w:space="0" w:color="auto"/>
        <w:right w:val="none" w:sz="0" w:space="0" w:color="auto"/>
      </w:divBdr>
    </w:div>
    <w:div w:id="1322074410">
      <w:bodyDiv w:val="1"/>
      <w:marLeft w:val="0"/>
      <w:marRight w:val="0"/>
      <w:marTop w:val="0"/>
      <w:marBottom w:val="0"/>
      <w:divBdr>
        <w:top w:val="none" w:sz="0" w:space="0" w:color="auto"/>
        <w:left w:val="none" w:sz="0" w:space="0" w:color="auto"/>
        <w:bottom w:val="none" w:sz="0" w:space="0" w:color="auto"/>
        <w:right w:val="none" w:sz="0" w:space="0" w:color="auto"/>
      </w:divBdr>
    </w:div>
    <w:div w:id="1322150190">
      <w:bodyDiv w:val="1"/>
      <w:marLeft w:val="0"/>
      <w:marRight w:val="0"/>
      <w:marTop w:val="0"/>
      <w:marBottom w:val="0"/>
      <w:divBdr>
        <w:top w:val="none" w:sz="0" w:space="0" w:color="auto"/>
        <w:left w:val="none" w:sz="0" w:space="0" w:color="auto"/>
        <w:bottom w:val="none" w:sz="0" w:space="0" w:color="auto"/>
        <w:right w:val="none" w:sz="0" w:space="0" w:color="auto"/>
      </w:divBdr>
    </w:div>
    <w:div w:id="1322192393">
      <w:bodyDiv w:val="1"/>
      <w:marLeft w:val="0"/>
      <w:marRight w:val="0"/>
      <w:marTop w:val="0"/>
      <w:marBottom w:val="0"/>
      <w:divBdr>
        <w:top w:val="none" w:sz="0" w:space="0" w:color="auto"/>
        <w:left w:val="none" w:sz="0" w:space="0" w:color="auto"/>
        <w:bottom w:val="none" w:sz="0" w:space="0" w:color="auto"/>
        <w:right w:val="none" w:sz="0" w:space="0" w:color="auto"/>
      </w:divBdr>
    </w:div>
    <w:div w:id="1322195504">
      <w:bodyDiv w:val="1"/>
      <w:marLeft w:val="0"/>
      <w:marRight w:val="0"/>
      <w:marTop w:val="0"/>
      <w:marBottom w:val="0"/>
      <w:divBdr>
        <w:top w:val="none" w:sz="0" w:space="0" w:color="auto"/>
        <w:left w:val="none" w:sz="0" w:space="0" w:color="auto"/>
        <w:bottom w:val="none" w:sz="0" w:space="0" w:color="auto"/>
        <w:right w:val="none" w:sz="0" w:space="0" w:color="auto"/>
      </w:divBdr>
    </w:div>
    <w:div w:id="1322275066">
      <w:bodyDiv w:val="1"/>
      <w:marLeft w:val="0"/>
      <w:marRight w:val="0"/>
      <w:marTop w:val="0"/>
      <w:marBottom w:val="0"/>
      <w:divBdr>
        <w:top w:val="none" w:sz="0" w:space="0" w:color="auto"/>
        <w:left w:val="none" w:sz="0" w:space="0" w:color="auto"/>
        <w:bottom w:val="none" w:sz="0" w:space="0" w:color="auto"/>
        <w:right w:val="none" w:sz="0" w:space="0" w:color="auto"/>
      </w:divBdr>
    </w:div>
    <w:div w:id="1322348598">
      <w:bodyDiv w:val="1"/>
      <w:marLeft w:val="0"/>
      <w:marRight w:val="0"/>
      <w:marTop w:val="0"/>
      <w:marBottom w:val="0"/>
      <w:divBdr>
        <w:top w:val="none" w:sz="0" w:space="0" w:color="auto"/>
        <w:left w:val="none" w:sz="0" w:space="0" w:color="auto"/>
        <w:bottom w:val="none" w:sz="0" w:space="0" w:color="auto"/>
        <w:right w:val="none" w:sz="0" w:space="0" w:color="auto"/>
      </w:divBdr>
    </w:div>
    <w:div w:id="1322386358">
      <w:bodyDiv w:val="1"/>
      <w:marLeft w:val="0"/>
      <w:marRight w:val="0"/>
      <w:marTop w:val="0"/>
      <w:marBottom w:val="0"/>
      <w:divBdr>
        <w:top w:val="none" w:sz="0" w:space="0" w:color="auto"/>
        <w:left w:val="none" w:sz="0" w:space="0" w:color="auto"/>
        <w:bottom w:val="none" w:sz="0" w:space="0" w:color="auto"/>
        <w:right w:val="none" w:sz="0" w:space="0" w:color="auto"/>
      </w:divBdr>
    </w:div>
    <w:div w:id="1322392109">
      <w:bodyDiv w:val="1"/>
      <w:marLeft w:val="0"/>
      <w:marRight w:val="0"/>
      <w:marTop w:val="0"/>
      <w:marBottom w:val="0"/>
      <w:divBdr>
        <w:top w:val="none" w:sz="0" w:space="0" w:color="auto"/>
        <w:left w:val="none" w:sz="0" w:space="0" w:color="auto"/>
        <w:bottom w:val="none" w:sz="0" w:space="0" w:color="auto"/>
        <w:right w:val="none" w:sz="0" w:space="0" w:color="auto"/>
      </w:divBdr>
    </w:div>
    <w:div w:id="1323045233">
      <w:bodyDiv w:val="1"/>
      <w:marLeft w:val="0"/>
      <w:marRight w:val="0"/>
      <w:marTop w:val="0"/>
      <w:marBottom w:val="0"/>
      <w:divBdr>
        <w:top w:val="none" w:sz="0" w:space="0" w:color="auto"/>
        <w:left w:val="none" w:sz="0" w:space="0" w:color="auto"/>
        <w:bottom w:val="none" w:sz="0" w:space="0" w:color="auto"/>
        <w:right w:val="none" w:sz="0" w:space="0" w:color="auto"/>
      </w:divBdr>
    </w:div>
    <w:div w:id="1323047885">
      <w:bodyDiv w:val="1"/>
      <w:marLeft w:val="0"/>
      <w:marRight w:val="0"/>
      <w:marTop w:val="0"/>
      <w:marBottom w:val="0"/>
      <w:divBdr>
        <w:top w:val="none" w:sz="0" w:space="0" w:color="auto"/>
        <w:left w:val="none" w:sz="0" w:space="0" w:color="auto"/>
        <w:bottom w:val="none" w:sz="0" w:space="0" w:color="auto"/>
        <w:right w:val="none" w:sz="0" w:space="0" w:color="auto"/>
      </w:divBdr>
    </w:div>
    <w:div w:id="1323124479">
      <w:bodyDiv w:val="1"/>
      <w:marLeft w:val="0"/>
      <w:marRight w:val="0"/>
      <w:marTop w:val="0"/>
      <w:marBottom w:val="0"/>
      <w:divBdr>
        <w:top w:val="none" w:sz="0" w:space="0" w:color="auto"/>
        <w:left w:val="none" w:sz="0" w:space="0" w:color="auto"/>
        <w:bottom w:val="none" w:sz="0" w:space="0" w:color="auto"/>
        <w:right w:val="none" w:sz="0" w:space="0" w:color="auto"/>
      </w:divBdr>
    </w:div>
    <w:div w:id="1323269966">
      <w:bodyDiv w:val="1"/>
      <w:marLeft w:val="0"/>
      <w:marRight w:val="0"/>
      <w:marTop w:val="0"/>
      <w:marBottom w:val="0"/>
      <w:divBdr>
        <w:top w:val="none" w:sz="0" w:space="0" w:color="auto"/>
        <w:left w:val="none" w:sz="0" w:space="0" w:color="auto"/>
        <w:bottom w:val="none" w:sz="0" w:space="0" w:color="auto"/>
        <w:right w:val="none" w:sz="0" w:space="0" w:color="auto"/>
      </w:divBdr>
    </w:div>
    <w:div w:id="1323314051">
      <w:bodyDiv w:val="1"/>
      <w:marLeft w:val="0"/>
      <w:marRight w:val="0"/>
      <w:marTop w:val="0"/>
      <w:marBottom w:val="0"/>
      <w:divBdr>
        <w:top w:val="none" w:sz="0" w:space="0" w:color="auto"/>
        <w:left w:val="none" w:sz="0" w:space="0" w:color="auto"/>
        <w:bottom w:val="none" w:sz="0" w:space="0" w:color="auto"/>
        <w:right w:val="none" w:sz="0" w:space="0" w:color="auto"/>
      </w:divBdr>
    </w:div>
    <w:div w:id="1323315309">
      <w:bodyDiv w:val="1"/>
      <w:marLeft w:val="0"/>
      <w:marRight w:val="0"/>
      <w:marTop w:val="0"/>
      <w:marBottom w:val="0"/>
      <w:divBdr>
        <w:top w:val="none" w:sz="0" w:space="0" w:color="auto"/>
        <w:left w:val="none" w:sz="0" w:space="0" w:color="auto"/>
        <w:bottom w:val="none" w:sz="0" w:space="0" w:color="auto"/>
        <w:right w:val="none" w:sz="0" w:space="0" w:color="auto"/>
      </w:divBdr>
    </w:div>
    <w:div w:id="1323315974">
      <w:bodyDiv w:val="1"/>
      <w:marLeft w:val="0"/>
      <w:marRight w:val="0"/>
      <w:marTop w:val="0"/>
      <w:marBottom w:val="0"/>
      <w:divBdr>
        <w:top w:val="none" w:sz="0" w:space="0" w:color="auto"/>
        <w:left w:val="none" w:sz="0" w:space="0" w:color="auto"/>
        <w:bottom w:val="none" w:sz="0" w:space="0" w:color="auto"/>
        <w:right w:val="none" w:sz="0" w:space="0" w:color="auto"/>
      </w:divBdr>
    </w:div>
    <w:div w:id="1323436510">
      <w:bodyDiv w:val="1"/>
      <w:marLeft w:val="0"/>
      <w:marRight w:val="0"/>
      <w:marTop w:val="0"/>
      <w:marBottom w:val="0"/>
      <w:divBdr>
        <w:top w:val="none" w:sz="0" w:space="0" w:color="auto"/>
        <w:left w:val="none" w:sz="0" w:space="0" w:color="auto"/>
        <w:bottom w:val="none" w:sz="0" w:space="0" w:color="auto"/>
        <w:right w:val="none" w:sz="0" w:space="0" w:color="auto"/>
      </w:divBdr>
    </w:div>
    <w:div w:id="1323656305">
      <w:bodyDiv w:val="1"/>
      <w:marLeft w:val="0"/>
      <w:marRight w:val="0"/>
      <w:marTop w:val="0"/>
      <w:marBottom w:val="0"/>
      <w:divBdr>
        <w:top w:val="none" w:sz="0" w:space="0" w:color="auto"/>
        <w:left w:val="none" w:sz="0" w:space="0" w:color="auto"/>
        <w:bottom w:val="none" w:sz="0" w:space="0" w:color="auto"/>
        <w:right w:val="none" w:sz="0" w:space="0" w:color="auto"/>
      </w:divBdr>
    </w:div>
    <w:div w:id="1323698966">
      <w:bodyDiv w:val="1"/>
      <w:marLeft w:val="0"/>
      <w:marRight w:val="0"/>
      <w:marTop w:val="0"/>
      <w:marBottom w:val="0"/>
      <w:divBdr>
        <w:top w:val="none" w:sz="0" w:space="0" w:color="auto"/>
        <w:left w:val="none" w:sz="0" w:space="0" w:color="auto"/>
        <w:bottom w:val="none" w:sz="0" w:space="0" w:color="auto"/>
        <w:right w:val="none" w:sz="0" w:space="0" w:color="auto"/>
      </w:divBdr>
    </w:div>
    <w:div w:id="1323773026">
      <w:bodyDiv w:val="1"/>
      <w:marLeft w:val="0"/>
      <w:marRight w:val="0"/>
      <w:marTop w:val="0"/>
      <w:marBottom w:val="0"/>
      <w:divBdr>
        <w:top w:val="none" w:sz="0" w:space="0" w:color="auto"/>
        <w:left w:val="none" w:sz="0" w:space="0" w:color="auto"/>
        <w:bottom w:val="none" w:sz="0" w:space="0" w:color="auto"/>
        <w:right w:val="none" w:sz="0" w:space="0" w:color="auto"/>
      </w:divBdr>
    </w:div>
    <w:div w:id="1323774166">
      <w:bodyDiv w:val="1"/>
      <w:marLeft w:val="0"/>
      <w:marRight w:val="0"/>
      <w:marTop w:val="0"/>
      <w:marBottom w:val="0"/>
      <w:divBdr>
        <w:top w:val="none" w:sz="0" w:space="0" w:color="auto"/>
        <w:left w:val="none" w:sz="0" w:space="0" w:color="auto"/>
        <w:bottom w:val="none" w:sz="0" w:space="0" w:color="auto"/>
        <w:right w:val="none" w:sz="0" w:space="0" w:color="auto"/>
      </w:divBdr>
    </w:div>
    <w:div w:id="1323892785">
      <w:bodyDiv w:val="1"/>
      <w:marLeft w:val="0"/>
      <w:marRight w:val="0"/>
      <w:marTop w:val="0"/>
      <w:marBottom w:val="0"/>
      <w:divBdr>
        <w:top w:val="none" w:sz="0" w:space="0" w:color="auto"/>
        <w:left w:val="none" w:sz="0" w:space="0" w:color="auto"/>
        <w:bottom w:val="none" w:sz="0" w:space="0" w:color="auto"/>
        <w:right w:val="none" w:sz="0" w:space="0" w:color="auto"/>
      </w:divBdr>
    </w:div>
    <w:div w:id="1323893677">
      <w:bodyDiv w:val="1"/>
      <w:marLeft w:val="0"/>
      <w:marRight w:val="0"/>
      <w:marTop w:val="0"/>
      <w:marBottom w:val="0"/>
      <w:divBdr>
        <w:top w:val="none" w:sz="0" w:space="0" w:color="auto"/>
        <w:left w:val="none" w:sz="0" w:space="0" w:color="auto"/>
        <w:bottom w:val="none" w:sz="0" w:space="0" w:color="auto"/>
        <w:right w:val="none" w:sz="0" w:space="0" w:color="auto"/>
      </w:divBdr>
    </w:div>
    <w:div w:id="1323895455">
      <w:bodyDiv w:val="1"/>
      <w:marLeft w:val="0"/>
      <w:marRight w:val="0"/>
      <w:marTop w:val="0"/>
      <w:marBottom w:val="0"/>
      <w:divBdr>
        <w:top w:val="none" w:sz="0" w:space="0" w:color="auto"/>
        <w:left w:val="none" w:sz="0" w:space="0" w:color="auto"/>
        <w:bottom w:val="none" w:sz="0" w:space="0" w:color="auto"/>
        <w:right w:val="none" w:sz="0" w:space="0" w:color="auto"/>
      </w:divBdr>
    </w:div>
    <w:div w:id="1323924245">
      <w:bodyDiv w:val="1"/>
      <w:marLeft w:val="0"/>
      <w:marRight w:val="0"/>
      <w:marTop w:val="0"/>
      <w:marBottom w:val="0"/>
      <w:divBdr>
        <w:top w:val="none" w:sz="0" w:space="0" w:color="auto"/>
        <w:left w:val="none" w:sz="0" w:space="0" w:color="auto"/>
        <w:bottom w:val="none" w:sz="0" w:space="0" w:color="auto"/>
        <w:right w:val="none" w:sz="0" w:space="0" w:color="auto"/>
      </w:divBdr>
    </w:div>
    <w:div w:id="1323924260">
      <w:bodyDiv w:val="1"/>
      <w:marLeft w:val="0"/>
      <w:marRight w:val="0"/>
      <w:marTop w:val="0"/>
      <w:marBottom w:val="0"/>
      <w:divBdr>
        <w:top w:val="none" w:sz="0" w:space="0" w:color="auto"/>
        <w:left w:val="none" w:sz="0" w:space="0" w:color="auto"/>
        <w:bottom w:val="none" w:sz="0" w:space="0" w:color="auto"/>
        <w:right w:val="none" w:sz="0" w:space="0" w:color="auto"/>
      </w:divBdr>
    </w:div>
    <w:div w:id="1324237422">
      <w:bodyDiv w:val="1"/>
      <w:marLeft w:val="0"/>
      <w:marRight w:val="0"/>
      <w:marTop w:val="0"/>
      <w:marBottom w:val="0"/>
      <w:divBdr>
        <w:top w:val="none" w:sz="0" w:space="0" w:color="auto"/>
        <w:left w:val="none" w:sz="0" w:space="0" w:color="auto"/>
        <w:bottom w:val="none" w:sz="0" w:space="0" w:color="auto"/>
        <w:right w:val="none" w:sz="0" w:space="0" w:color="auto"/>
      </w:divBdr>
    </w:div>
    <w:div w:id="1324316507">
      <w:bodyDiv w:val="1"/>
      <w:marLeft w:val="0"/>
      <w:marRight w:val="0"/>
      <w:marTop w:val="0"/>
      <w:marBottom w:val="0"/>
      <w:divBdr>
        <w:top w:val="none" w:sz="0" w:space="0" w:color="auto"/>
        <w:left w:val="none" w:sz="0" w:space="0" w:color="auto"/>
        <w:bottom w:val="none" w:sz="0" w:space="0" w:color="auto"/>
        <w:right w:val="none" w:sz="0" w:space="0" w:color="auto"/>
      </w:divBdr>
    </w:div>
    <w:div w:id="1324316623">
      <w:bodyDiv w:val="1"/>
      <w:marLeft w:val="0"/>
      <w:marRight w:val="0"/>
      <w:marTop w:val="0"/>
      <w:marBottom w:val="0"/>
      <w:divBdr>
        <w:top w:val="none" w:sz="0" w:space="0" w:color="auto"/>
        <w:left w:val="none" w:sz="0" w:space="0" w:color="auto"/>
        <w:bottom w:val="none" w:sz="0" w:space="0" w:color="auto"/>
        <w:right w:val="none" w:sz="0" w:space="0" w:color="auto"/>
      </w:divBdr>
    </w:div>
    <w:div w:id="1324355712">
      <w:bodyDiv w:val="1"/>
      <w:marLeft w:val="0"/>
      <w:marRight w:val="0"/>
      <w:marTop w:val="0"/>
      <w:marBottom w:val="0"/>
      <w:divBdr>
        <w:top w:val="none" w:sz="0" w:space="0" w:color="auto"/>
        <w:left w:val="none" w:sz="0" w:space="0" w:color="auto"/>
        <w:bottom w:val="none" w:sz="0" w:space="0" w:color="auto"/>
        <w:right w:val="none" w:sz="0" w:space="0" w:color="auto"/>
      </w:divBdr>
    </w:div>
    <w:div w:id="1324426821">
      <w:bodyDiv w:val="1"/>
      <w:marLeft w:val="0"/>
      <w:marRight w:val="0"/>
      <w:marTop w:val="0"/>
      <w:marBottom w:val="0"/>
      <w:divBdr>
        <w:top w:val="none" w:sz="0" w:space="0" w:color="auto"/>
        <w:left w:val="none" w:sz="0" w:space="0" w:color="auto"/>
        <w:bottom w:val="none" w:sz="0" w:space="0" w:color="auto"/>
        <w:right w:val="none" w:sz="0" w:space="0" w:color="auto"/>
      </w:divBdr>
    </w:div>
    <w:div w:id="1324429110">
      <w:bodyDiv w:val="1"/>
      <w:marLeft w:val="0"/>
      <w:marRight w:val="0"/>
      <w:marTop w:val="0"/>
      <w:marBottom w:val="0"/>
      <w:divBdr>
        <w:top w:val="none" w:sz="0" w:space="0" w:color="auto"/>
        <w:left w:val="none" w:sz="0" w:space="0" w:color="auto"/>
        <w:bottom w:val="none" w:sz="0" w:space="0" w:color="auto"/>
        <w:right w:val="none" w:sz="0" w:space="0" w:color="auto"/>
      </w:divBdr>
    </w:div>
    <w:div w:id="1324430917">
      <w:bodyDiv w:val="1"/>
      <w:marLeft w:val="0"/>
      <w:marRight w:val="0"/>
      <w:marTop w:val="0"/>
      <w:marBottom w:val="0"/>
      <w:divBdr>
        <w:top w:val="none" w:sz="0" w:space="0" w:color="auto"/>
        <w:left w:val="none" w:sz="0" w:space="0" w:color="auto"/>
        <w:bottom w:val="none" w:sz="0" w:space="0" w:color="auto"/>
        <w:right w:val="none" w:sz="0" w:space="0" w:color="auto"/>
      </w:divBdr>
    </w:div>
    <w:div w:id="1324503916">
      <w:bodyDiv w:val="1"/>
      <w:marLeft w:val="0"/>
      <w:marRight w:val="0"/>
      <w:marTop w:val="0"/>
      <w:marBottom w:val="0"/>
      <w:divBdr>
        <w:top w:val="none" w:sz="0" w:space="0" w:color="auto"/>
        <w:left w:val="none" w:sz="0" w:space="0" w:color="auto"/>
        <w:bottom w:val="none" w:sz="0" w:space="0" w:color="auto"/>
        <w:right w:val="none" w:sz="0" w:space="0" w:color="auto"/>
      </w:divBdr>
    </w:div>
    <w:div w:id="1324578213">
      <w:bodyDiv w:val="1"/>
      <w:marLeft w:val="0"/>
      <w:marRight w:val="0"/>
      <w:marTop w:val="0"/>
      <w:marBottom w:val="0"/>
      <w:divBdr>
        <w:top w:val="none" w:sz="0" w:space="0" w:color="auto"/>
        <w:left w:val="none" w:sz="0" w:space="0" w:color="auto"/>
        <w:bottom w:val="none" w:sz="0" w:space="0" w:color="auto"/>
        <w:right w:val="none" w:sz="0" w:space="0" w:color="auto"/>
      </w:divBdr>
    </w:div>
    <w:div w:id="1324773128">
      <w:bodyDiv w:val="1"/>
      <w:marLeft w:val="0"/>
      <w:marRight w:val="0"/>
      <w:marTop w:val="0"/>
      <w:marBottom w:val="0"/>
      <w:divBdr>
        <w:top w:val="none" w:sz="0" w:space="0" w:color="auto"/>
        <w:left w:val="none" w:sz="0" w:space="0" w:color="auto"/>
        <w:bottom w:val="none" w:sz="0" w:space="0" w:color="auto"/>
        <w:right w:val="none" w:sz="0" w:space="0" w:color="auto"/>
      </w:divBdr>
    </w:div>
    <w:div w:id="1324814529">
      <w:bodyDiv w:val="1"/>
      <w:marLeft w:val="0"/>
      <w:marRight w:val="0"/>
      <w:marTop w:val="0"/>
      <w:marBottom w:val="0"/>
      <w:divBdr>
        <w:top w:val="none" w:sz="0" w:space="0" w:color="auto"/>
        <w:left w:val="none" w:sz="0" w:space="0" w:color="auto"/>
        <w:bottom w:val="none" w:sz="0" w:space="0" w:color="auto"/>
        <w:right w:val="none" w:sz="0" w:space="0" w:color="auto"/>
      </w:divBdr>
    </w:div>
    <w:div w:id="1324897529">
      <w:bodyDiv w:val="1"/>
      <w:marLeft w:val="0"/>
      <w:marRight w:val="0"/>
      <w:marTop w:val="0"/>
      <w:marBottom w:val="0"/>
      <w:divBdr>
        <w:top w:val="none" w:sz="0" w:space="0" w:color="auto"/>
        <w:left w:val="none" w:sz="0" w:space="0" w:color="auto"/>
        <w:bottom w:val="none" w:sz="0" w:space="0" w:color="auto"/>
        <w:right w:val="none" w:sz="0" w:space="0" w:color="auto"/>
      </w:divBdr>
    </w:div>
    <w:div w:id="1324964474">
      <w:bodyDiv w:val="1"/>
      <w:marLeft w:val="0"/>
      <w:marRight w:val="0"/>
      <w:marTop w:val="0"/>
      <w:marBottom w:val="0"/>
      <w:divBdr>
        <w:top w:val="none" w:sz="0" w:space="0" w:color="auto"/>
        <w:left w:val="none" w:sz="0" w:space="0" w:color="auto"/>
        <w:bottom w:val="none" w:sz="0" w:space="0" w:color="auto"/>
        <w:right w:val="none" w:sz="0" w:space="0" w:color="auto"/>
      </w:divBdr>
    </w:div>
    <w:div w:id="1325085619">
      <w:bodyDiv w:val="1"/>
      <w:marLeft w:val="0"/>
      <w:marRight w:val="0"/>
      <w:marTop w:val="0"/>
      <w:marBottom w:val="0"/>
      <w:divBdr>
        <w:top w:val="none" w:sz="0" w:space="0" w:color="auto"/>
        <w:left w:val="none" w:sz="0" w:space="0" w:color="auto"/>
        <w:bottom w:val="none" w:sz="0" w:space="0" w:color="auto"/>
        <w:right w:val="none" w:sz="0" w:space="0" w:color="auto"/>
      </w:divBdr>
    </w:div>
    <w:div w:id="1325163347">
      <w:bodyDiv w:val="1"/>
      <w:marLeft w:val="0"/>
      <w:marRight w:val="0"/>
      <w:marTop w:val="0"/>
      <w:marBottom w:val="0"/>
      <w:divBdr>
        <w:top w:val="none" w:sz="0" w:space="0" w:color="auto"/>
        <w:left w:val="none" w:sz="0" w:space="0" w:color="auto"/>
        <w:bottom w:val="none" w:sz="0" w:space="0" w:color="auto"/>
        <w:right w:val="none" w:sz="0" w:space="0" w:color="auto"/>
      </w:divBdr>
    </w:div>
    <w:div w:id="1325165239">
      <w:bodyDiv w:val="1"/>
      <w:marLeft w:val="0"/>
      <w:marRight w:val="0"/>
      <w:marTop w:val="0"/>
      <w:marBottom w:val="0"/>
      <w:divBdr>
        <w:top w:val="none" w:sz="0" w:space="0" w:color="auto"/>
        <w:left w:val="none" w:sz="0" w:space="0" w:color="auto"/>
        <w:bottom w:val="none" w:sz="0" w:space="0" w:color="auto"/>
        <w:right w:val="none" w:sz="0" w:space="0" w:color="auto"/>
      </w:divBdr>
    </w:div>
    <w:div w:id="1325209206">
      <w:bodyDiv w:val="1"/>
      <w:marLeft w:val="0"/>
      <w:marRight w:val="0"/>
      <w:marTop w:val="0"/>
      <w:marBottom w:val="0"/>
      <w:divBdr>
        <w:top w:val="none" w:sz="0" w:space="0" w:color="auto"/>
        <w:left w:val="none" w:sz="0" w:space="0" w:color="auto"/>
        <w:bottom w:val="none" w:sz="0" w:space="0" w:color="auto"/>
        <w:right w:val="none" w:sz="0" w:space="0" w:color="auto"/>
      </w:divBdr>
    </w:div>
    <w:div w:id="1325282894">
      <w:bodyDiv w:val="1"/>
      <w:marLeft w:val="0"/>
      <w:marRight w:val="0"/>
      <w:marTop w:val="0"/>
      <w:marBottom w:val="0"/>
      <w:divBdr>
        <w:top w:val="none" w:sz="0" w:space="0" w:color="auto"/>
        <w:left w:val="none" w:sz="0" w:space="0" w:color="auto"/>
        <w:bottom w:val="none" w:sz="0" w:space="0" w:color="auto"/>
        <w:right w:val="none" w:sz="0" w:space="0" w:color="auto"/>
      </w:divBdr>
    </w:div>
    <w:div w:id="1325353537">
      <w:bodyDiv w:val="1"/>
      <w:marLeft w:val="0"/>
      <w:marRight w:val="0"/>
      <w:marTop w:val="0"/>
      <w:marBottom w:val="0"/>
      <w:divBdr>
        <w:top w:val="none" w:sz="0" w:space="0" w:color="auto"/>
        <w:left w:val="none" w:sz="0" w:space="0" w:color="auto"/>
        <w:bottom w:val="none" w:sz="0" w:space="0" w:color="auto"/>
        <w:right w:val="none" w:sz="0" w:space="0" w:color="auto"/>
      </w:divBdr>
    </w:div>
    <w:div w:id="1325470318">
      <w:bodyDiv w:val="1"/>
      <w:marLeft w:val="0"/>
      <w:marRight w:val="0"/>
      <w:marTop w:val="0"/>
      <w:marBottom w:val="0"/>
      <w:divBdr>
        <w:top w:val="none" w:sz="0" w:space="0" w:color="auto"/>
        <w:left w:val="none" w:sz="0" w:space="0" w:color="auto"/>
        <w:bottom w:val="none" w:sz="0" w:space="0" w:color="auto"/>
        <w:right w:val="none" w:sz="0" w:space="0" w:color="auto"/>
      </w:divBdr>
    </w:div>
    <w:div w:id="1325550723">
      <w:bodyDiv w:val="1"/>
      <w:marLeft w:val="0"/>
      <w:marRight w:val="0"/>
      <w:marTop w:val="0"/>
      <w:marBottom w:val="0"/>
      <w:divBdr>
        <w:top w:val="none" w:sz="0" w:space="0" w:color="auto"/>
        <w:left w:val="none" w:sz="0" w:space="0" w:color="auto"/>
        <w:bottom w:val="none" w:sz="0" w:space="0" w:color="auto"/>
        <w:right w:val="none" w:sz="0" w:space="0" w:color="auto"/>
      </w:divBdr>
    </w:div>
    <w:div w:id="1325665785">
      <w:bodyDiv w:val="1"/>
      <w:marLeft w:val="0"/>
      <w:marRight w:val="0"/>
      <w:marTop w:val="0"/>
      <w:marBottom w:val="0"/>
      <w:divBdr>
        <w:top w:val="none" w:sz="0" w:space="0" w:color="auto"/>
        <w:left w:val="none" w:sz="0" w:space="0" w:color="auto"/>
        <w:bottom w:val="none" w:sz="0" w:space="0" w:color="auto"/>
        <w:right w:val="none" w:sz="0" w:space="0" w:color="auto"/>
      </w:divBdr>
    </w:div>
    <w:div w:id="1326011653">
      <w:bodyDiv w:val="1"/>
      <w:marLeft w:val="0"/>
      <w:marRight w:val="0"/>
      <w:marTop w:val="0"/>
      <w:marBottom w:val="0"/>
      <w:divBdr>
        <w:top w:val="none" w:sz="0" w:space="0" w:color="auto"/>
        <w:left w:val="none" w:sz="0" w:space="0" w:color="auto"/>
        <w:bottom w:val="none" w:sz="0" w:space="0" w:color="auto"/>
        <w:right w:val="none" w:sz="0" w:space="0" w:color="auto"/>
      </w:divBdr>
    </w:div>
    <w:div w:id="1326124399">
      <w:bodyDiv w:val="1"/>
      <w:marLeft w:val="0"/>
      <w:marRight w:val="0"/>
      <w:marTop w:val="0"/>
      <w:marBottom w:val="0"/>
      <w:divBdr>
        <w:top w:val="none" w:sz="0" w:space="0" w:color="auto"/>
        <w:left w:val="none" w:sz="0" w:space="0" w:color="auto"/>
        <w:bottom w:val="none" w:sz="0" w:space="0" w:color="auto"/>
        <w:right w:val="none" w:sz="0" w:space="0" w:color="auto"/>
      </w:divBdr>
    </w:div>
    <w:div w:id="1326125005">
      <w:bodyDiv w:val="1"/>
      <w:marLeft w:val="0"/>
      <w:marRight w:val="0"/>
      <w:marTop w:val="0"/>
      <w:marBottom w:val="0"/>
      <w:divBdr>
        <w:top w:val="none" w:sz="0" w:space="0" w:color="auto"/>
        <w:left w:val="none" w:sz="0" w:space="0" w:color="auto"/>
        <w:bottom w:val="none" w:sz="0" w:space="0" w:color="auto"/>
        <w:right w:val="none" w:sz="0" w:space="0" w:color="auto"/>
      </w:divBdr>
    </w:div>
    <w:div w:id="1326130801">
      <w:bodyDiv w:val="1"/>
      <w:marLeft w:val="0"/>
      <w:marRight w:val="0"/>
      <w:marTop w:val="0"/>
      <w:marBottom w:val="0"/>
      <w:divBdr>
        <w:top w:val="none" w:sz="0" w:space="0" w:color="auto"/>
        <w:left w:val="none" w:sz="0" w:space="0" w:color="auto"/>
        <w:bottom w:val="none" w:sz="0" w:space="0" w:color="auto"/>
        <w:right w:val="none" w:sz="0" w:space="0" w:color="auto"/>
      </w:divBdr>
    </w:div>
    <w:div w:id="1326399223">
      <w:bodyDiv w:val="1"/>
      <w:marLeft w:val="0"/>
      <w:marRight w:val="0"/>
      <w:marTop w:val="0"/>
      <w:marBottom w:val="0"/>
      <w:divBdr>
        <w:top w:val="none" w:sz="0" w:space="0" w:color="auto"/>
        <w:left w:val="none" w:sz="0" w:space="0" w:color="auto"/>
        <w:bottom w:val="none" w:sz="0" w:space="0" w:color="auto"/>
        <w:right w:val="none" w:sz="0" w:space="0" w:color="auto"/>
      </w:divBdr>
    </w:div>
    <w:div w:id="1326400955">
      <w:bodyDiv w:val="1"/>
      <w:marLeft w:val="0"/>
      <w:marRight w:val="0"/>
      <w:marTop w:val="0"/>
      <w:marBottom w:val="0"/>
      <w:divBdr>
        <w:top w:val="none" w:sz="0" w:space="0" w:color="auto"/>
        <w:left w:val="none" w:sz="0" w:space="0" w:color="auto"/>
        <w:bottom w:val="none" w:sz="0" w:space="0" w:color="auto"/>
        <w:right w:val="none" w:sz="0" w:space="0" w:color="auto"/>
      </w:divBdr>
    </w:div>
    <w:div w:id="1326474425">
      <w:bodyDiv w:val="1"/>
      <w:marLeft w:val="0"/>
      <w:marRight w:val="0"/>
      <w:marTop w:val="0"/>
      <w:marBottom w:val="0"/>
      <w:divBdr>
        <w:top w:val="none" w:sz="0" w:space="0" w:color="auto"/>
        <w:left w:val="none" w:sz="0" w:space="0" w:color="auto"/>
        <w:bottom w:val="none" w:sz="0" w:space="0" w:color="auto"/>
        <w:right w:val="none" w:sz="0" w:space="0" w:color="auto"/>
      </w:divBdr>
    </w:div>
    <w:div w:id="1326858949">
      <w:bodyDiv w:val="1"/>
      <w:marLeft w:val="0"/>
      <w:marRight w:val="0"/>
      <w:marTop w:val="0"/>
      <w:marBottom w:val="0"/>
      <w:divBdr>
        <w:top w:val="none" w:sz="0" w:space="0" w:color="auto"/>
        <w:left w:val="none" w:sz="0" w:space="0" w:color="auto"/>
        <w:bottom w:val="none" w:sz="0" w:space="0" w:color="auto"/>
        <w:right w:val="none" w:sz="0" w:space="0" w:color="auto"/>
      </w:divBdr>
    </w:div>
    <w:div w:id="1326935361">
      <w:bodyDiv w:val="1"/>
      <w:marLeft w:val="0"/>
      <w:marRight w:val="0"/>
      <w:marTop w:val="0"/>
      <w:marBottom w:val="0"/>
      <w:divBdr>
        <w:top w:val="none" w:sz="0" w:space="0" w:color="auto"/>
        <w:left w:val="none" w:sz="0" w:space="0" w:color="auto"/>
        <w:bottom w:val="none" w:sz="0" w:space="0" w:color="auto"/>
        <w:right w:val="none" w:sz="0" w:space="0" w:color="auto"/>
      </w:divBdr>
    </w:div>
    <w:div w:id="1326981572">
      <w:bodyDiv w:val="1"/>
      <w:marLeft w:val="0"/>
      <w:marRight w:val="0"/>
      <w:marTop w:val="0"/>
      <w:marBottom w:val="0"/>
      <w:divBdr>
        <w:top w:val="none" w:sz="0" w:space="0" w:color="auto"/>
        <w:left w:val="none" w:sz="0" w:space="0" w:color="auto"/>
        <w:bottom w:val="none" w:sz="0" w:space="0" w:color="auto"/>
        <w:right w:val="none" w:sz="0" w:space="0" w:color="auto"/>
      </w:divBdr>
    </w:div>
    <w:div w:id="1327126413">
      <w:bodyDiv w:val="1"/>
      <w:marLeft w:val="0"/>
      <w:marRight w:val="0"/>
      <w:marTop w:val="0"/>
      <w:marBottom w:val="0"/>
      <w:divBdr>
        <w:top w:val="none" w:sz="0" w:space="0" w:color="auto"/>
        <w:left w:val="none" w:sz="0" w:space="0" w:color="auto"/>
        <w:bottom w:val="none" w:sz="0" w:space="0" w:color="auto"/>
        <w:right w:val="none" w:sz="0" w:space="0" w:color="auto"/>
      </w:divBdr>
    </w:div>
    <w:div w:id="1327127093">
      <w:bodyDiv w:val="1"/>
      <w:marLeft w:val="0"/>
      <w:marRight w:val="0"/>
      <w:marTop w:val="0"/>
      <w:marBottom w:val="0"/>
      <w:divBdr>
        <w:top w:val="none" w:sz="0" w:space="0" w:color="auto"/>
        <w:left w:val="none" w:sz="0" w:space="0" w:color="auto"/>
        <w:bottom w:val="none" w:sz="0" w:space="0" w:color="auto"/>
        <w:right w:val="none" w:sz="0" w:space="0" w:color="auto"/>
      </w:divBdr>
    </w:div>
    <w:div w:id="1327199102">
      <w:bodyDiv w:val="1"/>
      <w:marLeft w:val="0"/>
      <w:marRight w:val="0"/>
      <w:marTop w:val="0"/>
      <w:marBottom w:val="0"/>
      <w:divBdr>
        <w:top w:val="none" w:sz="0" w:space="0" w:color="auto"/>
        <w:left w:val="none" w:sz="0" w:space="0" w:color="auto"/>
        <w:bottom w:val="none" w:sz="0" w:space="0" w:color="auto"/>
        <w:right w:val="none" w:sz="0" w:space="0" w:color="auto"/>
      </w:divBdr>
    </w:div>
    <w:div w:id="1327437408">
      <w:bodyDiv w:val="1"/>
      <w:marLeft w:val="0"/>
      <w:marRight w:val="0"/>
      <w:marTop w:val="0"/>
      <w:marBottom w:val="0"/>
      <w:divBdr>
        <w:top w:val="none" w:sz="0" w:space="0" w:color="auto"/>
        <w:left w:val="none" w:sz="0" w:space="0" w:color="auto"/>
        <w:bottom w:val="none" w:sz="0" w:space="0" w:color="auto"/>
        <w:right w:val="none" w:sz="0" w:space="0" w:color="auto"/>
      </w:divBdr>
    </w:div>
    <w:div w:id="1327513919">
      <w:bodyDiv w:val="1"/>
      <w:marLeft w:val="0"/>
      <w:marRight w:val="0"/>
      <w:marTop w:val="0"/>
      <w:marBottom w:val="0"/>
      <w:divBdr>
        <w:top w:val="none" w:sz="0" w:space="0" w:color="auto"/>
        <w:left w:val="none" w:sz="0" w:space="0" w:color="auto"/>
        <w:bottom w:val="none" w:sz="0" w:space="0" w:color="auto"/>
        <w:right w:val="none" w:sz="0" w:space="0" w:color="auto"/>
      </w:divBdr>
    </w:div>
    <w:div w:id="1327703686">
      <w:bodyDiv w:val="1"/>
      <w:marLeft w:val="0"/>
      <w:marRight w:val="0"/>
      <w:marTop w:val="0"/>
      <w:marBottom w:val="0"/>
      <w:divBdr>
        <w:top w:val="none" w:sz="0" w:space="0" w:color="auto"/>
        <w:left w:val="none" w:sz="0" w:space="0" w:color="auto"/>
        <w:bottom w:val="none" w:sz="0" w:space="0" w:color="auto"/>
        <w:right w:val="none" w:sz="0" w:space="0" w:color="auto"/>
      </w:divBdr>
    </w:div>
    <w:div w:id="1327783919">
      <w:bodyDiv w:val="1"/>
      <w:marLeft w:val="0"/>
      <w:marRight w:val="0"/>
      <w:marTop w:val="0"/>
      <w:marBottom w:val="0"/>
      <w:divBdr>
        <w:top w:val="none" w:sz="0" w:space="0" w:color="auto"/>
        <w:left w:val="none" w:sz="0" w:space="0" w:color="auto"/>
        <w:bottom w:val="none" w:sz="0" w:space="0" w:color="auto"/>
        <w:right w:val="none" w:sz="0" w:space="0" w:color="auto"/>
      </w:divBdr>
    </w:div>
    <w:div w:id="1327824991">
      <w:bodyDiv w:val="1"/>
      <w:marLeft w:val="0"/>
      <w:marRight w:val="0"/>
      <w:marTop w:val="0"/>
      <w:marBottom w:val="0"/>
      <w:divBdr>
        <w:top w:val="none" w:sz="0" w:space="0" w:color="auto"/>
        <w:left w:val="none" w:sz="0" w:space="0" w:color="auto"/>
        <w:bottom w:val="none" w:sz="0" w:space="0" w:color="auto"/>
        <w:right w:val="none" w:sz="0" w:space="0" w:color="auto"/>
      </w:divBdr>
    </w:div>
    <w:div w:id="1327826656">
      <w:bodyDiv w:val="1"/>
      <w:marLeft w:val="0"/>
      <w:marRight w:val="0"/>
      <w:marTop w:val="0"/>
      <w:marBottom w:val="0"/>
      <w:divBdr>
        <w:top w:val="none" w:sz="0" w:space="0" w:color="auto"/>
        <w:left w:val="none" w:sz="0" w:space="0" w:color="auto"/>
        <w:bottom w:val="none" w:sz="0" w:space="0" w:color="auto"/>
        <w:right w:val="none" w:sz="0" w:space="0" w:color="auto"/>
      </w:divBdr>
    </w:div>
    <w:div w:id="1327828494">
      <w:bodyDiv w:val="1"/>
      <w:marLeft w:val="0"/>
      <w:marRight w:val="0"/>
      <w:marTop w:val="0"/>
      <w:marBottom w:val="0"/>
      <w:divBdr>
        <w:top w:val="none" w:sz="0" w:space="0" w:color="auto"/>
        <w:left w:val="none" w:sz="0" w:space="0" w:color="auto"/>
        <w:bottom w:val="none" w:sz="0" w:space="0" w:color="auto"/>
        <w:right w:val="none" w:sz="0" w:space="0" w:color="auto"/>
      </w:divBdr>
    </w:div>
    <w:div w:id="1327979715">
      <w:bodyDiv w:val="1"/>
      <w:marLeft w:val="0"/>
      <w:marRight w:val="0"/>
      <w:marTop w:val="0"/>
      <w:marBottom w:val="0"/>
      <w:divBdr>
        <w:top w:val="none" w:sz="0" w:space="0" w:color="auto"/>
        <w:left w:val="none" w:sz="0" w:space="0" w:color="auto"/>
        <w:bottom w:val="none" w:sz="0" w:space="0" w:color="auto"/>
        <w:right w:val="none" w:sz="0" w:space="0" w:color="auto"/>
      </w:divBdr>
    </w:div>
    <w:div w:id="1328022624">
      <w:bodyDiv w:val="1"/>
      <w:marLeft w:val="0"/>
      <w:marRight w:val="0"/>
      <w:marTop w:val="0"/>
      <w:marBottom w:val="0"/>
      <w:divBdr>
        <w:top w:val="none" w:sz="0" w:space="0" w:color="auto"/>
        <w:left w:val="none" w:sz="0" w:space="0" w:color="auto"/>
        <w:bottom w:val="none" w:sz="0" w:space="0" w:color="auto"/>
        <w:right w:val="none" w:sz="0" w:space="0" w:color="auto"/>
      </w:divBdr>
    </w:div>
    <w:div w:id="1328244239">
      <w:bodyDiv w:val="1"/>
      <w:marLeft w:val="0"/>
      <w:marRight w:val="0"/>
      <w:marTop w:val="0"/>
      <w:marBottom w:val="0"/>
      <w:divBdr>
        <w:top w:val="none" w:sz="0" w:space="0" w:color="auto"/>
        <w:left w:val="none" w:sz="0" w:space="0" w:color="auto"/>
        <w:bottom w:val="none" w:sz="0" w:space="0" w:color="auto"/>
        <w:right w:val="none" w:sz="0" w:space="0" w:color="auto"/>
      </w:divBdr>
    </w:div>
    <w:div w:id="1328249390">
      <w:bodyDiv w:val="1"/>
      <w:marLeft w:val="0"/>
      <w:marRight w:val="0"/>
      <w:marTop w:val="0"/>
      <w:marBottom w:val="0"/>
      <w:divBdr>
        <w:top w:val="none" w:sz="0" w:space="0" w:color="auto"/>
        <w:left w:val="none" w:sz="0" w:space="0" w:color="auto"/>
        <w:bottom w:val="none" w:sz="0" w:space="0" w:color="auto"/>
        <w:right w:val="none" w:sz="0" w:space="0" w:color="auto"/>
      </w:divBdr>
    </w:div>
    <w:div w:id="1328367902">
      <w:bodyDiv w:val="1"/>
      <w:marLeft w:val="0"/>
      <w:marRight w:val="0"/>
      <w:marTop w:val="0"/>
      <w:marBottom w:val="0"/>
      <w:divBdr>
        <w:top w:val="none" w:sz="0" w:space="0" w:color="auto"/>
        <w:left w:val="none" w:sz="0" w:space="0" w:color="auto"/>
        <w:bottom w:val="none" w:sz="0" w:space="0" w:color="auto"/>
        <w:right w:val="none" w:sz="0" w:space="0" w:color="auto"/>
      </w:divBdr>
    </w:div>
    <w:div w:id="1328439493">
      <w:bodyDiv w:val="1"/>
      <w:marLeft w:val="0"/>
      <w:marRight w:val="0"/>
      <w:marTop w:val="0"/>
      <w:marBottom w:val="0"/>
      <w:divBdr>
        <w:top w:val="none" w:sz="0" w:space="0" w:color="auto"/>
        <w:left w:val="none" w:sz="0" w:space="0" w:color="auto"/>
        <w:bottom w:val="none" w:sz="0" w:space="0" w:color="auto"/>
        <w:right w:val="none" w:sz="0" w:space="0" w:color="auto"/>
      </w:divBdr>
    </w:div>
    <w:div w:id="1328486198">
      <w:bodyDiv w:val="1"/>
      <w:marLeft w:val="0"/>
      <w:marRight w:val="0"/>
      <w:marTop w:val="0"/>
      <w:marBottom w:val="0"/>
      <w:divBdr>
        <w:top w:val="none" w:sz="0" w:space="0" w:color="auto"/>
        <w:left w:val="none" w:sz="0" w:space="0" w:color="auto"/>
        <w:bottom w:val="none" w:sz="0" w:space="0" w:color="auto"/>
        <w:right w:val="none" w:sz="0" w:space="0" w:color="auto"/>
      </w:divBdr>
    </w:div>
    <w:div w:id="1328630427">
      <w:bodyDiv w:val="1"/>
      <w:marLeft w:val="0"/>
      <w:marRight w:val="0"/>
      <w:marTop w:val="0"/>
      <w:marBottom w:val="0"/>
      <w:divBdr>
        <w:top w:val="none" w:sz="0" w:space="0" w:color="auto"/>
        <w:left w:val="none" w:sz="0" w:space="0" w:color="auto"/>
        <w:bottom w:val="none" w:sz="0" w:space="0" w:color="auto"/>
        <w:right w:val="none" w:sz="0" w:space="0" w:color="auto"/>
      </w:divBdr>
    </w:div>
    <w:div w:id="1328633329">
      <w:bodyDiv w:val="1"/>
      <w:marLeft w:val="0"/>
      <w:marRight w:val="0"/>
      <w:marTop w:val="0"/>
      <w:marBottom w:val="0"/>
      <w:divBdr>
        <w:top w:val="none" w:sz="0" w:space="0" w:color="auto"/>
        <w:left w:val="none" w:sz="0" w:space="0" w:color="auto"/>
        <w:bottom w:val="none" w:sz="0" w:space="0" w:color="auto"/>
        <w:right w:val="none" w:sz="0" w:space="0" w:color="auto"/>
      </w:divBdr>
    </w:div>
    <w:div w:id="1328829070">
      <w:bodyDiv w:val="1"/>
      <w:marLeft w:val="0"/>
      <w:marRight w:val="0"/>
      <w:marTop w:val="0"/>
      <w:marBottom w:val="0"/>
      <w:divBdr>
        <w:top w:val="none" w:sz="0" w:space="0" w:color="auto"/>
        <w:left w:val="none" w:sz="0" w:space="0" w:color="auto"/>
        <w:bottom w:val="none" w:sz="0" w:space="0" w:color="auto"/>
        <w:right w:val="none" w:sz="0" w:space="0" w:color="auto"/>
      </w:divBdr>
    </w:div>
    <w:div w:id="1328940433">
      <w:bodyDiv w:val="1"/>
      <w:marLeft w:val="0"/>
      <w:marRight w:val="0"/>
      <w:marTop w:val="0"/>
      <w:marBottom w:val="0"/>
      <w:divBdr>
        <w:top w:val="none" w:sz="0" w:space="0" w:color="auto"/>
        <w:left w:val="none" w:sz="0" w:space="0" w:color="auto"/>
        <w:bottom w:val="none" w:sz="0" w:space="0" w:color="auto"/>
        <w:right w:val="none" w:sz="0" w:space="0" w:color="auto"/>
      </w:divBdr>
    </w:div>
    <w:div w:id="1328942786">
      <w:bodyDiv w:val="1"/>
      <w:marLeft w:val="0"/>
      <w:marRight w:val="0"/>
      <w:marTop w:val="0"/>
      <w:marBottom w:val="0"/>
      <w:divBdr>
        <w:top w:val="none" w:sz="0" w:space="0" w:color="auto"/>
        <w:left w:val="none" w:sz="0" w:space="0" w:color="auto"/>
        <w:bottom w:val="none" w:sz="0" w:space="0" w:color="auto"/>
        <w:right w:val="none" w:sz="0" w:space="0" w:color="auto"/>
      </w:divBdr>
    </w:div>
    <w:div w:id="1328943483">
      <w:bodyDiv w:val="1"/>
      <w:marLeft w:val="0"/>
      <w:marRight w:val="0"/>
      <w:marTop w:val="0"/>
      <w:marBottom w:val="0"/>
      <w:divBdr>
        <w:top w:val="none" w:sz="0" w:space="0" w:color="auto"/>
        <w:left w:val="none" w:sz="0" w:space="0" w:color="auto"/>
        <w:bottom w:val="none" w:sz="0" w:space="0" w:color="auto"/>
        <w:right w:val="none" w:sz="0" w:space="0" w:color="auto"/>
      </w:divBdr>
    </w:div>
    <w:div w:id="1329019970">
      <w:bodyDiv w:val="1"/>
      <w:marLeft w:val="0"/>
      <w:marRight w:val="0"/>
      <w:marTop w:val="0"/>
      <w:marBottom w:val="0"/>
      <w:divBdr>
        <w:top w:val="none" w:sz="0" w:space="0" w:color="auto"/>
        <w:left w:val="none" w:sz="0" w:space="0" w:color="auto"/>
        <w:bottom w:val="none" w:sz="0" w:space="0" w:color="auto"/>
        <w:right w:val="none" w:sz="0" w:space="0" w:color="auto"/>
      </w:divBdr>
    </w:div>
    <w:div w:id="1329023238">
      <w:bodyDiv w:val="1"/>
      <w:marLeft w:val="0"/>
      <w:marRight w:val="0"/>
      <w:marTop w:val="0"/>
      <w:marBottom w:val="0"/>
      <w:divBdr>
        <w:top w:val="none" w:sz="0" w:space="0" w:color="auto"/>
        <w:left w:val="none" w:sz="0" w:space="0" w:color="auto"/>
        <w:bottom w:val="none" w:sz="0" w:space="0" w:color="auto"/>
        <w:right w:val="none" w:sz="0" w:space="0" w:color="auto"/>
      </w:divBdr>
    </w:div>
    <w:div w:id="1329141087">
      <w:bodyDiv w:val="1"/>
      <w:marLeft w:val="0"/>
      <w:marRight w:val="0"/>
      <w:marTop w:val="0"/>
      <w:marBottom w:val="0"/>
      <w:divBdr>
        <w:top w:val="none" w:sz="0" w:space="0" w:color="auto"/>
        <w:left w:val="none" w:sz="0" w:space="0" w:color="auto"/>
        <w:bottom w:val="none" w:sz="0" w:space="0" w:color="auto"/>
        <w:right w:val="none" w:sz="0" w:space="0" w:color="auto"/>
      </w:divBdr>
    </w:div>
    <w:div w:id="1329291736">
      <w:bodyDiv w:val="1"/>
      <w:marLeft w:val="0"/>
      <w:marRight w:val="0"/>
      <w:marTop w:val="0"/>
      <w:marBottom w:val="0"/>
      <w:divBdr>
        <w:top w:val="none" w:sz="0" w:space="0" w:color="auto"/>
        <w:left w:val="none" w:sz="0" w:space="0" w:color="auto"/>
        <w:bottom w:val="none" w:sz="0" w:space="0" w:color="auto"/>
        <w:right w:val="none" w:sz="0" w:space="0" w:color="auto"/>
      </w:divBdr>
    </w:div>
    <w:div w:id="1329364444">
      <w:bodyDiv w:val="1"/>
      <w:marLeft w:val="0"/>
      <w:marRight w:val="0"/>
      <w:marTop w:val="0"/>
      <w:marBottom w:val="0"/>
      <w:divBdr>
        <w:top w:val="none" w:sz="0" w:space="0" w:color="auto"/>
        <w:left w:val="none" w:sz="0" w:space="0" w:color="auto"/>
        <w:bottom w:val="none" w:sz="0" w:space="0" w:color="auto"/>
        <w:right w:val="none" w:sz="0" w:space="0" w:color="auto"/>
      </w:divBdr>
    </w:div>
    <w:div w:id="1329556086">
      <w:bodyDiv w:val="1"/>
      <w:marLeft w:val="0"/>
      <w:marRight w:val="0"/>
      <w:marTop w:val="0"/>
      <w:marBottom w:val="0"/>
      <w:divBdr>
        <w:top w:val="none" w:sz="0" w:space="0" w:color="auto"/>
        <w:left w:val="none" w:sz="0" w:space="0" w:color="auto"/>
        <w:bottom w:val="none" w:sz="0" w:space="0" w:color="auto"/>
        <w:right w:val="none" w:sz="0" w:space="0" w:color="auto"/>
      </w:divBdr>
    </w:div>
    <w:div w:id="1329865207">
      <w:bodyDiv w:val="1"/>
      <w:marLeft w:val="0"/>
      <w:marRight w:val="0"/>
      <w:marTop w:val="0"/>
      <w:marBottom w:val="0"/>
      <w:divBdr>
        <w:top w:val="none" w:sz="0" w:space="0" w:color="auto"/>
        <w:left w:val="none" w:sz="0" w:space="0" w:color="auto"/>
        <w:bottom w:val="none" w:sz="0" w:space="0" w:color="auto"/>
        <w:right w:val="none" w:sz="0" w:space="0" w:color="auto"/>
      </w:divBdr>
    </w:div>
    <w:div w:id="1330015294">
      <w:bodyDiv w:val="1"/>
      <w:marLeft w:val="0"/>
      <w:marRight w:val="0"/>
      <w:marTop w:val="0"/>
      <w:marBottom w:val="0"/>
      <w:divBdr>
        <w:top w:val="none" w:sz="0" w:space="0" w:color="auto"/>
        <w:left w:val="none" w:sz="0" w:space="0" w:color="auto"/>
        <w:bottom w:val="none" w:sz="0" w:space="0" w:color="auto"/>
        <w:right w:val="none" w:sz="0" w:space="0" w:color="auto"/>
      </w:divBdr>
    </w:div>
    <w:div w:id="1330016824">
      <w:bodyDiv w:val="1"/>
      <w:marLeft w:val="0"/>
      <w:marRight w:val="0"/>
      <w:marTop w:val="0"/>
      <w:marBottom w:val="0"/>
      <w:divBdr>
        <w:top w:val="none" w:sz="0" w:space="0" w:color="auto"/>
        <w:left w:val="none" w:sz="0" w:space="0" w:color="auto"/>
        <w:bottom w:val="none" w:sz="0" w:space="0" w:color="auto"/>
        <w:right w:val="none" w:sz="0" w:space="0" w:color="auto"/>
      </w:divBdr>
    </w:div>
    <w:div w:id="1330252664">
      <w:bodyDiv w:val="1"/>
      <w:marLeft w:val="0"/>
      <w:marRight w:val="0"/>
      <w:marTop w:val="0"/>
      <w:marBottom w:val="0"/>
      <w:divBdr>
        <w:top w:val="none" w:sz="0" w:space="0" w:color="auto"/>
        <w:left w:val="none" w:sz="0" w:space="0" w:color="auto"/>
        <w:bottom w:val="none" w:sz="0" w:space="0" w:color="auto"/>
        <w:right w:val="none" w:sz="0" w:space="0" w:color="auto"/>
      </w:divBdr>
    </w:div>
    <w:div w:id="1330282008">
      <w:bodyDiv w:val="1"/>
      <w:marLeft w:val="0"/>
      <w:marRight w:val="0"/>
      <w:marTop w:val="0"/>
      <w:marBottom w:val="0"/>
      <w:divBdr>
        <w:top w:val="none" w:sz="0" w:space="0" w:color="auto"/>
        <w:left w:val="none" w:sz="0" w:space="0" w:color="auto"/>
        <w:bottom w:val="none" w:sz="0" w:space="0" w:color="auto"/>
        <w:right w:val="none" w:sz="0" w:space="0" w:color="auto"/>
      </w:divBdr>
    </w:div>
    <w:div w:id="1330325094">
      <w:bodyDiv w:val="1"/>
      <w:marLeft w:val="0"/>
      <w:marRight w:val="0"/>
      <w:marTop w:val="0"/>
      <w:marBottom w:val="0"/>
      <w:divBdr>
        <w:top w:val="none" w:sz="0" w:space="0" w:color="auto"/>
        <w:left w:val="none" w:sz="0" w:space="0" w:color="auto"/>
        <w:bottom w:val="none" w:sz="0" w:space="0" w:color="auto"/>
        <w:right w:val="none" w:sz="0" w:space="0" w:color="auto"/>
      </w:divBdr>
    </w:div>
    <w:div w:id="1330519901">
      <w:bodyDiv w:val="1"/>
      <w:marLeft w:val="0"/>
      <w:marRight w:val="0"/>
      <w:marTop w:val="0"/>
      <w:marBottom w:val="0"/>
      <w:divBdr>
        <w:top w:val="none" w:sz="0" w:space="0" w:color="auto"/>
        <w:left w:val="none" w:sz="0" w:space="0" w:color="auto"/>
        <w:bottom w:val="none" w:sz="0" w:space="0" w:color="auto"/>
        <w:right w:val="none" w:sz="0" w:space="0" w:color="auto"/>
      </w:divBdr>
    </w:div>
    <w:div w:id="1330520261">
      <w:bodyDiv w:val="1"/>
      <w:marLeft w:val="0"/>
      <w:marRight w:val="0"/>
      <w:marTop w:val="0"/>
      <w:marBottom w:val="0"/>
      <w:divBdr>
        <w:top w:val="none" w:sz="0" w:space="0" w:color="auto"/>
        <w:left w:val="none" w:sz="0" w:space="0" w:color="auto"/>
        <w:bottom w:val="none" w:sz="0" w:space="0" w:color="auto"/>
        <w:right w:val="none" w:sz="0" w:space="0" w:color="auto"/>
      </w:divBdr>
    </w:div>
    <w:div w:id="1330526539">
      <w:bodyDiv w:val="1"/>
      <w:marLeft w:val="0"/>
      <w:marRight w:val="0"/>
      <w:marTop w:val="0"/>
      <w:marBottom w:val="0"/>
      <w:divBdr>
        <w:top w:val="none" w:sz="0" w:space="0" w:color="auto"/>
        <w:left w:val="none" w:sz="0" w:space="0" w:color="auto"/>
        <w:bottom w:val="none" w:sz="0" w:space="0" w:color="auto"/>
        <w:right w:val="none" w:sz="0" w:space="0" w:color="auto"/>
      </w:divBdr>
    </w:div>
    <w:div w:id="1330643358">
      <w:bodyDiv w:val="1"/>
      <w:marLeft w:val="0"/>
      <w:marRight w:val="0"/>
      <w:marTop w:val="0"/>
      <w:marBottom w:val="0"/>
      <w:divBdr>
        <w:top w:val="none" w:sz="0" w:space="0" w:color="auto"/>
        <w:left w:val="none" w:sz="0" w:space="0" w:color="auto"/>
        <w:bottom w:val="none" w:sz="0" w:space="0" w:color="auto"/>
        <w:right w:val="none" w:sz="0" w:space="0" w:color="auto"/>
      </w:divBdr>
    </w:div>
    <w:div w:id="1330673299">
      <w:bodyDiv w:val="1"/>
      <w:marLeft w:val="0"/>
      <w:marRight w:val="0"/>
      <w:marTop w:val="0"/>
      <w:marBottom w:val="0"/>
      <w:divBdr>
        <w:top w:val="none" w:sz="0" w:space="0" w:color="auto"/>
        <w:left w:val="none" w:sz="0" w:space="0" w:color="auto"/>
        <w:bottom w:val="none" w:sz="0" w:space="0" w:color="auto"/>
        <w:right w:val="none" w:sz="0" w:space="0" w:color="auto"/>
      </w:divBdr>
    </w:div>
    <w:div w:id="1330714214">
      <w:bodyDiv w:val="1"/>
      <w:marLeft w:val="0"/>
      <w:marRight w:val="0"/>
      <w:marTop w:val="0"/>
      <w:marBottom w:val="0"/>
      <w:divBdr>
        <w:top w:val="none" w:sz="0" w:space="0" w:color="auto"/>
        <w:left w:val="none" w:sz="0" w:space="0" w:color="auto"/>
        <w:bottom w:val="none" w:sz="0" w:space="0" w:color="auto"/>
        <w:right w:val="none" w:sz="0" w:space="0" w:color="auto"/>
      </w:divBdr>
    </w:div>
    <w:div w:id="1330863228">
      <w:bodyDiv w:val="1"/>
      <w:marLeft w:val="0"/>
      <w:marRight w:val="0"/>
      <w:marTop w:val="0"/>
      <w:marBottom w:val="0"/>
      <w:divBdr>
        <w:top w:val="none" w:sz="0" w:space="0" w:color="auto"/>
        <w:left w:val="none" w:sz="0" w:space="0" w:color="auto"/>
        <w:bottom w:val="none" w:sz="0" w:space="0" w:color="auto"/>
        <w:right w:val="none" w:sz="0" w:space="0" w:color="auto"/>
      </w:divBdr>
    </w:div>
    <w:div w:id="1330868324">
      <w:bodyDiv w:val="1"/>
      <w:marLeft w:val="0"/>
      <w:marRight w:val="0"/>
      <w:marTop w:val="0"/>
      <w:marBottom w:val="0"/>
      <w:divBdr>
        <w:top w:val="none" w:sz="0" w:space="0" w:color="auto"/>
        <w:left w:val="none" w:sz="0" w:space="0" w:color="auto"/>
        <w:bottom w:val="none" w:sz="0" w:space="0" w:color="auto"/>
        <w:right w:val="none" w:sz="0" w:space="0" w:color="auto"/>
      </w:divBdr>
    </w:div>
    <w:div w:id="1330870970">
      <w:bodyDiv w:val="1"/>
      <w:marLeft w:val="0"/>
      <w:marRight w:val="0"/>
      <w:marTop w:val="0"/>
      <w:marBottom w:val="0"/>
      <w:divBdr>
        <w:top w:val="none" w:sz="0" w:space="0" w:color="auto"/>
        <w:left w:val="none" w:sz="0" w:space="0" w:color="auto"/>
        <w:bottom w:val="none" w:sz="0" w:space="0" w:color="auto"/>
        <w:right w:val="none" w:sz="0" w:space="0" w:color="auto"/>
      </w:divBdr>
    </w:div>
    <w:div w:id="1330909571">
      <w:bodyDiv w:val="1"/>
      <w:marLeft w:val="0"/>
      <w:marRight w:val="0"/>
      <w:marTop w:val="0"/>
      <w:marBottom w:val="0"/>
      <w:divBdr>
        <w:top w:val="none" w:sz="0" w:space="0" w:color="auto"/>
        <w:left w:val="none" w:sz="0" w:space="0" w:color="auto"/>
        <w:bottom w:val="none" w:sz="0" w:space="0" w:color="auto"/>
        <w:right w:val="none" w:sz="0" w:space="0" w:color="auto"/>
      </w:divBdr>
    </w:div>
    <w:div w:id="1330985044">
      <w:bodyDiv w:val="1"/>
      <w:marLeft w:val="0"/>
      <w:marRight w:val="0"/>
      <w:marTop w:val="0"/>
      <w:marBottom w:val="0"/>
      <w:divBdr>
        <w:top w:val="none" w:sz="0" w:space="0" w:color="auto"/>
        <w:left w:val="none" w:sz="0" w:space="0" w:color="auto"/>
        <w:bottom w:val="none" w:sz="0" w:space="0" w:color="auto"/>
        <w:right w:val="none" w:sz="0" w:space="0" w:color="auto"/>
      </w:divBdr>
    </w:div>
    <w:div w:id="1331055847">
      <w:bodyDiv w:val="1"/>
      <w:marLeft w:val="0"/>
      <w:marRight w:val="0"/>
      <w:marTop w:val="0"/>
      <w:marBottom w:val="0"/>
      <w:divBdr>
        <w:top w:val="none" w:sz="0" w:space="0" w:color="auto"/>
        <w:left w:val="none" w:sz="0" w:space="0" w:color="auto"/>
        <w:bottom w:val="none" w:sz="0" w:space="0" w:color="auto"/>
        <w:right w:val="none" w:sz="0" w:space="0" w:color="auto"/>
      </w:divBdr>
    </w:div>
    <w:div w:id="1331060073">
      <w:bodyDiv w:val="1"/>
      <w:marLeft w:val="0"/>
      <w:marRight w:val="0"/>
      <w:marTop w:val="0"/>
      <w:marBottom w:val="0"/>
      <w:divBdr>
        <w:top w:val="none" w:sz="0" w:space="0" w:color="auto"/>
        <w:left w:val="none" w:sz="0" w:space="0" w:color="auto"/>
        <w:bottom w:val="none" w:sz="0" w:space="0" w:color="auto"/>
        <w:right w:val="none" w:sz="0" w:space="0" w:color="auto"/>
      </w:divBdr>
    </w:div>
    <w:div w:id="1331104687">
      <w:bodyDiv w:val="1"/>
      <w:marLeft w:val="0"/>
      <w:marRight w:val="0"/>
      <w:marTop w:val="0"/>
      <w:marBottom w:val="0"/>
      <w:divBdr>
        <w:top w:val="none" w:sz="0" w:space="0" w:color="auto"/>
        <w:left w:val="none" w:sz="0" w:space="0" w:color="auto"/>
        <w:bottom w:val="none" w:sz="0" w:space="0" w:color="auto"/>
        <w:right w:val="none" w:sz="0" w:space="0" w:color="auto"/>
      </w:divBdr>
    </w:div>
    <w:div w:id="1331176190">
      <w:bodyDiv w:val="1"/>
      <w:marLeft w:val="0"/>
      <w:marRight w:val="0"/>
      <w:marTop w:val="0"/>
      <w:marBottom w:val="0"/>
      <w:divBdr>
        <w:top w:val="none" w:sz="0" w:space="0" w:color="auto"/>
        <w:left w:val="none" w:sz="0" w:space="0" w:color="auto"/>
        <w:bottom w:val="none" w:sz="0" w:space="0" w:color="auto"/>
        <w:right w:val="none" w:sz="0" w:space="0" w:color="auto"/>
      </w:divBdr>
    </w:div>
    <w:div w:id="1331252548">
      <w:bodyDiv w:val="1"/>
      <w:marLeft w:val="0"/>
      <w:marRight w:val="0"/>
      <w:marTop w:val="0"/>
      <w:marBottom w:val="0"/>
      <w:divBdr>
        <w:top w:val="none" w:sz="0" w:space="0" w:color="auto"/>
        <w:left w:val="none" w:sz="0" w:space="0" w:color="auto"/>
        <w:bottom w:val="none" w:sz="0" w:space="0" w:color="auto"/>
        <w:right w:val="none" w:sz="0" w:space="0" w:color="auto"/>
      </w:divBdr>
    </w:div>
    <w:div w:id="1331324465">
      <w:bodyDiv w:val="1"/>
      <w:marLeft w:val="0"/>
      <w:marRight w:val="0"/>
      <w:marTop w:val="0"/>
      <w:marBottom w:val="0"/>
      <w:divBdr>
        <w:top w:val="none" w:sz="0" w:space="0" w:color="auto"/>
        <w:left w:val="none" w:sz="0" w:space="0" w:color="auto"/>
        <w:bottom w:val="none" w:sz="0" w:space="0" w:color="auto"/>
        <w:right w:val="none" w:sz="0" w:space="0" w:color="auto"/>
      </w:divBdr>
    </w:div>
    <w:div w:id="1331637680">
      <w:bodyDiv w:val="1"/>
      <w:marLeft w:val="0"/>
      <w:marRight w:val="0"/>
      <w:marTop w:val="0"/>
      <w:marBottom w:val="0"/>
      <w:divBdr>
        <w:top w:val="none" w:sz="0" w:space="0" w:color="auto"/>
        <w:left w:val="none" w:sz="0" w:space="0" w:color="auto"/>
        <w:bottom w:val="none" w:sz="0" w:space="0" w:color="auto"/>
        <w:right w:val="none" w:sz="0" w:space="0" w:color="auto"/>
      </w:divBdr>
    </w:div>
    <w:div w:id="1331787456">
      <w:bodyDiv w:val="1"/>
      <w:marLeft w:val="0"/>
      <w:marRight w:val="0"/>
      <w:marTop w:val="0"/>
      <w:marBottom w:val="0"/>
      <w:divBdr>
        <w:top w:val="none" w:sz="0" w:space="0" w:color="auto"/>
        <w:left w:val="none" w:sz="0" w:space="0" w:color="auto"/>
        <w:bottom w:val="none" w:sz="0" w:space="0" w:color="auto"/>
        <w:right w:val="none" w:sz="0" w:space="0" w:color="auto"/>
      </w:divBdr>
    </w:div>
    <w:div w:id="1331834920">
      <w:bodyDiv w:val="1"/>
      <w:marLeft w:val="0"/>
      <w:marRight w:val="0"/>
      <w:marTop w:val="0"/>
      <w:marBottom w:val="0"/>
      <w:divBdr>
        <w:top w:val="none" w:sz="0" w:space="0" w:color="auto"/>
        <w:left w:val="none" w:sz="0" w:space="0" w:color="auto"/>
        <w:bottom w:val="none" w:sz="0" w:space="0" w:color="auto"/>
        <w:right w:val="none" w:sz="0" w:space="0" w:color="auto"/>
      </w:divBdr>
    </w:div>
    <w:div w:id="1331905053">
      <w:bodyDiv w:val="1"/>
      <w:marLeft w:val="0"/>
      <w:marRight w:val="0"/>
      <w:marTop w:val="0"/>
      <w:marBottom w:val="0"/>
      <w:divBdr>
        <w:top w:val="none" w:sz="0" w:space="0" w:color="auto"/>
        <w:left w:val="none" w:sz="0" w:space="0" w:color="auto"/>
        <w:bottom w:val="none" w:sz="0" w:space="0" w:color="auto"/>
        <w:right w:val="none" w:sz="0" w:space="0" w:color="auto"/>
      </w:divBdr>
    </w:div>
    <w:div w:id="1331912534">
      <w:bodyDiv w:val="1"/>
      <w:marLeft w:val="0"/>
      <w:marRight w:val="0"/>
      <w:marTop w:val="0"/>
      <w:marBottom w:val="0"/>
      <w:divBdr>
        <w:top w:val="none" w:sz="0" w:space="0" w:color="auto"/>
        <w:left w:val="none" w:sz="0" w:space="0" w:color="auto"/>
        <w:bottom w:val="none" w:sz="0" w:space="0" w:color="auto"/>
        <w:right w:val="none" w:sz="0" w:space="0" w:color="auto"/>
      </w:divBdr>
    </w:div>
    <w:div w:id="1332101846">
      <w:bodyDiv w:val="1"/>
      <w:marLeft w:val="0"/>
      <w:marRight w:val="0"/>
      <w:marTop w:val="0"/>
      <w:marBottom w:val="0"/>
      <w:divBdr>
        <w:top w:val="none" w:sz="0" w:space="0" w:color="auto"/>
        <w:left w:val="none" w:sz="0" w:space="0" w:color="auto"/>
        <w:bottom w:val="none" w:sz="0" w:space="0" w:color="auto"/>
        <w:right w:val="none" w:sz="0" w:space="0" w:color="auto"/>
      </w:divBdr>
    </w:div>
    <w:div w:id="1332220088">
      <w:bodyDiv w:val="1"/>
      <w:marLeft w:val="0"/>
      <w:marRight w:val="0"/>
      <w:marTop w:val="0"/>
      <w:marBottom w:val="0"/>
      <w:divBdr>
        <w:top w:val="none" w:sz="0" w:space="0" w:color="auto"/>
        <w:left w:val="none" w:sz="0" w:space="0" w:color="auto"/>
        <w:bottom w:val="none" w:sz="0" w:space="0" w:color="auto"/>
        <w:right w:val="none" w:sz="0" w:space="0" w:color="auto"/>
      </w:divBdr>
    </w:div>
    <w:div w:id="1332224145">
      <w:bodyDiv w:val="1"/>
      <w:marLeft w:val="0"/>
      <w:marRight w:val="0"/>
      <w:marTop w:val="0"/>
      <w:marBottom w:val="0"/>
      <w:divBdr>
        <w:top w:val="none" w:sz="0" w:space="0" w:color="auto"/>
        <w:left w:val="none" w:sz="0" w:space="0" w:color="auto"/>
        <w:bottom w:val="none" w:sz="0" w:space="0" w:color="auto"/>
        <w:right w:val="none" w:sz="0" w:space="0" w:color="auto"/>
      </w:divBdr>
    </w:div>
    <w:div w:id="1332560794">
      <w:bodyDiv w:val="1"/>
      <w:marLeft w:val="0"/>
      <w:marRight w:val="0"/>
      <w:marTop w:val="0"/>
      <w:marBottom w:val="0"/>
      <w:divBdr>
        <w:top w:val="none" w:sz="0" w:space="0" w:color="auto"/>
        <w:left w:val="none" w:sz="0" w:space="0" w:color="auto"/>
        <w:bottom w:val="none" w:sz="0" w:space="0" w:color="auto"/>
        <w:right w:val="none" w:sz="0" w:space="0" w:color="auto"/>
      </w:divBdr>
    </w:div>
    <w:div w:id="1332566221">
      <w:bodyDiv w:val="1"/>
      <w:marLeft w:val="0"/>
      <w:marRight w:val="0"/>
      <w:marTop w:val="0"/>
      <w:marBottom w:val="0"/>
      <w:divBdr>
        <w:top w:val="none" w:sz="0" w:space="0" w:color="auto"/>
        <w:left w:val="none" w:sz="0" w:space="0" w:color="auto"/>
        <w:bottom w:val="none" w:sz="0" w:space="0" w:color="auto"/>
        <w:right w:val="none" w:sz="0" w:space="0" w:color="auto"/>
      </w:divBdr>
    </w:div>
    <w:div w:id="1332946832">
      <w:bodyDiv w:val="1"/>
      <w:marLeft w:val="0"/>
      <w:marRight w:val="0"/>
      <w:marTop w:val="0"/>
      <w:marBottom w:val="0"/>
      <w:divBdr>
        <w:top w:val="none" w:sz="0" w:space="0" w:color="auto"/>
        <w:left w:val="none" w:sz="0" w:space="0" w:color="auto"/>
        <w:bottom w:val="none" w:sz="0" w:space="0" w:color="auto"/>
        <w:right w:val="none" w:sz="0" w:space="0" w:color="auto"/>
      </w:divBdr>
    </w:div>
    <w:div w:id="1332948663">
      <w:bodyDiv w:val="1"/>
      <w:marLeft w:val="0"/>
      <w:marRight w:val="0"/>
      <w:marTop w:val="0"/>
      <w:marBottom w:val="0"/>
      <w:divBdr>
        <w:top w:val="none" w:sz="0" w:space="0" w:color="auto"/>
        <w:left w:val="none" w:sz="0" w:space="0" w:color="auto"/>
        <w:bottom w:val="none" w:sz="0" w:space="0" w:color="auto"/>
        <w:right w:val="none" w:sz="0" w:space="0" w:color="auto"/>
      </w:divBdr>
    </w:div>
    <w:div w:id="1333027238">
      <w:bodyDiv w:val="1"/>
      <w:marLeft w:val="0"/>
      <w:marRight w:val="0"/>
      <w:marTop w:val="0"/>
      <w:marBottom w:val="0"/>
      <w:divBdr>
        <w:top w:val="none" w:sz="0" w:space="0" w:color="auto"/>
        <w:left w:val="none" w:sz="0" w:space="0" w:color="auto"/>
        <w:bottom w:val="none" w:sz="0" w:space="0" w:color="auto"/>
        <w:right w:val="none" w:sz="0" w:space="0" w:color="auto"/>
      </w:divBdr>
    </w:div>
    <w:div w:id="1333068054">
      <w:bodyDiv w:val="1"/>
      <w:marLeft w:val="0"/>
      <w:marRight w:val="0"/>
      <w:marTop w:val="0"/>
      <w:marBottom w:val="0"/>
      <w:divBdr>
        <w:top w:val="none" w:sz="0" w:space="0" w:color="auto"/>
        <w:left w:val="none" w:sz="0" w:space="0" w:color="auto"/>
        <w:bottom w:val="none" w:sz="0" w:space="0" w:color="auto"/>
        <w:right w:val="none" w:sz="0" w:space="0" w:color="auto"/>
      </w:divBdr>
    </w:div>
    <w:div w:id="1333068071">
      <w:bodyDiv w:val="1"/>
      <w:marLeft w:val="0"/>
      <w:marRight w:val="0"/>
      <w:marTop w:val="0"/>
      <w:marBottom w:val="0"/>
      <w:divBdr>
        <w:top w:val="none" w:sz="0" w:space="0" w:color="auto"/>
        <w:left w:val="none" w:sz="0" w:space="0" w:color="auto"/>
        <w:bottom w:val="none" w:sz="0" w:space="0" w:color="auto"/>
        <w:right w:val="none" w:sz="0" w:space="0" w:color="auto"/>
      </w:divBdr>
    </w:div>
    <w:div w:id="1333139797">
      <w:bodyDiv w:val="1"/>
      <w:marLeft w:val="0"/>
      <w:marRight w:val="0"/>
      <w:marTop w:val="0"/>
      <w:marBottom w:val="0"/>
      <w:divBdr>
        <w:top w:val="none" w:sz="0" w:space="0" w:color="auto"/>
        <w:left w:val="none" w:sz="0" w:space="0" w:color="auto"/>
        <w:bottom w:val="none" w:sz="0" w:space="0" w:color="auto"/>
        <w:right w:val="none" w:sz="0" w:space="0" w:color="auto"/>
      </w:divBdr>
    </w:div>
    <w:div w:id="1333141510">
      <w:bodyDiv w:val="1"/>
      <w:marLeft w:val="0"/>
      <w:marRight w:val="0"/>
      <w:marTop w:val="0"/>
      <w:marBottom w:val="0"/>
      <w:divBdr>
        <w:top w:val="none" w:sz="0" w:space="0" w:color="auto"/>
        <w:left w:val="none" w:sz="0" w:space="0" w:color="auto"/>
        <w:bottom w:val="none" w:sz="0" w:space="0" w:color="auto"/>
        <w:right w:val="none" w:sz="0" w:space="0" w:color="auto"/>
      </w:divBdr>
    </w:div>
    <w:div w:id="1333146588">
      <w:bodyDiv w:val="1"/>
      <w:marLeft w:val="0"/>
      <w:marRight w:val="0"/>
      <w:marTop w:val="0"/>
      <w:marBottom w:val="0"/>
      <w:divBdr>
        <w:top w:val="none" w:sz="0" w:space="0" w:color="auto"/>
        <w:left w:val="none" w:sz="0" w:space="0" w:color="auto"/>
        <w:bottom w:val="none" w:sz="0" w:space="0" w:color="auto"/>
        <w:right w:val="none" w:sz="0" w:space="0" w:color="auto"/>
      </w:divBdr>
    </w:div>
    <w:div w:id="1333294067">
      <w:bodyDiv w:val="1"/>
      <w:marLeft w:val="0"/>
      <w:marRight w:val="0"/>
      <w:marTop w:val="0"/>
      <w:marBottom w:val="0"/>
      <w:divBdr>
        <w:top w:val="none" w:sz="0" w:space="0" w:color="auto"/>
        <w:left w:val="none" w:sz="0" w:space="0" w:color="auto"/>
        <w:bottom w:val="none" w:sz="0" w:space="0" w:color="auto"/>
        <w:right w:val="none" w:sz="0" w:space="0" w:color="auto"/>
      </w:divBdr>
    </w:div>
    <w:div w:id="1333333601">
      <w:bodyDiv w:val="1"/>
      <w:marLeft w:val="0"/>
      <w:marRight w:val="0"/>
      <w:marTop w:val="0"/>
      <w:marBottom w:val="0"/>
      <w:divBdr>
        <w:top w:val="none" w:sz="0" w:space="0" w:color="auto"/>
        <w:left w:val="none" w:sz="0" w:space="0" w:color="auto"/>
        <w:bottom w:val="none" w:sz="0" w:space="0" w:color="auto"/>
        <w:right w:val="none" w:sz="0" w:space="0" w:color="auto"/>
      </w:divBdr>
    </w:div>
    <w:div w:id="1333411234">
      <w:bodyDiv w:val="1"/>
      <w:marLeft w:val="0"/>
      <w:marRight w:val="0"/>
      <w:marTop w:val="0"/>
      <w:marBottom w:val="0"/>
      <w:divBdr>
        <w:top w:val="none" w:sz="0" w:space="0" w:color="auto"/>
        <w:left w:val="none" w:sz="0" w:space="0" w:color="auto"/>
        <w:bottom w:val="none" w:sz="0" w:space="0" w:color="auto"/>
        <w:right w:val="none" w:sz="0" w:space="0" w:color="auto"/>
      </w:divBdr>
    </w:div>
    <w:div w:id="1333414325">
      <w:bodyDiv w:val="1"/>
      <w:marLeft w:val="0"/>
      <w:marRight w:val="0"/>
      <w:marTop w:val="0"/>
      <w:marBottom w:val="0"/>
      <w:divBdr>
        <w:top w:val="none" w:sz="0" w:space="0" w:color="auto"/>
        <w:left w:val="none" w:sz="0" w:space="0" w:color="auto"/>
        <w:bottom w:val="none" w:sz="0" w:space="0" w:color="auto"/>
        <w:right w:val="none" w:sz="0" w:space="0" w:color="auto"/>
      </w:divBdr>
    </w:div>
    <w:div w:id="1333527102">
      <w:bodyDiv w:val="1"/>
      <w:marLeft w:val="0"/>
      <w:marRight w:val="0"/>
      <w:marTop w:val="0"/>
      <w:marBottom w:val="0"/>
      <w:divBdr>
        <w:top w:val="none" w:sz="0" w:space="0" w:color="auto"/>
        <w:left w:val="none" w:sz="0" w:space="0" w:color="auto"/>
        <w:bottom w:val="none" w:sz="0" w:space="0" w:color="auto"/>
        <w:right w:val="none" w:sz="0" w:space="0" w:color="auto"/>
      </w:divBdr>
    </w:div>
    <w:div w:id="1333529292">
      <w:bodyDiv w:val="1"/>
      <w:marLeft w:val="0"/>
      <w:marRight w:val="0"/>
      <w:marTop w:val="0"/>
      <w:marBottom w:val="0"/>
      <w:divBdr>
        <w:top w:val="none" w:sz="0" w:space="0" w:color="auto"/>
        <w:left w:val="none" w:sz="0" w:space="0" w:color="auto"/>
        <w:bottom w:val="none" w:sz="0" w:space="0" w:color="auto"/>
        <w:right w:val="none" w:sz="0" w:space="0" w:color="auto"/>
      </w:divBdr>
    </w:div>
    <w:div w:id="1333558353">
      <w:bodyDiv w:val="1"/>
      <w:marLeft w:val="0"/>
      <w:marRight w:val="0"/>
      <w:marTop w:val="0"/>
      <w:marBottom w:val="0"/>
      <w:divBdr>
        <w:top w:val="none" w:sz="0" w:space="0" w:color="auto"/>
        <w:left w:val="none" w:sz="0" w:space="0" w:color="auto"/>
        <w:bottom w:val="none" w:sz="0" w:space="0" w:color="auto"/>
        <w:right w:val="none" w:sz="0" w:space="0" w:color="auto"/>
      </w:divBdr>
    </w:div>
    <w:div w:id="1333608742">
      <w:bodyDiv w:val="1"/>
      <w:marLeft w:val="0"/>
      <w:marRight w:val="0"/>
      <w:marTop w:val="0"/>
      <w:marBottom w:val="0"/>
      <w:divBdr>
        <w:top w:val="none" w:sz="0" w:space="0" w:color="auto"/>
        <w:left w:val="none" w:sz="0" w:space="0" w:color="auto"/>
        <w:bottom w:val="none" w:sz="0" w:space="0" w:color="auto"/>
        <w:right w:val="none" w:sz="0" w:space="0" w:color="auto"/>
      </w:divBdr>
    </w:div>
    <w:div w:id="1333752383">
      <w:bodyDiv w:val="1"/>
      <w:marLeft w:val="0"/>
      <w:marRight w:val="0"/>
      <w:marTop w:val="0"/>
      <w:marBottom w:val="0"/>
      <w:divBdr>
        <w:top w:val="none" w:sz="0" w:space="0" w:color="auto"/>
        <w:left w:val="none" w:sz="0" w:space="0" w:color="auto"/>
        <w:bottom w:val="none" w:sz="0" w:space="0" w:color="auto"/>
        <w:right w:val="none" w:sz="0" w:space="0" w:color="auto"/>
      </w:divBdr>
    </w:div>
    <w:div w:id="1333755830">
      <w:bodyDiv w:val="1"/>
      <w:marLeft w:val="0"/>
      <w:marRight w:val="0"/>
      <w:marTop w:val="0"/>
      <w:marBottom w:val="0"/>
      <w:divBdr>
        <w:top w:val="none" w:sz="0" w:space="0" w:color="auto"/>
        <w:left w:val="none" w:sz="0" w:space="0" w:color="auto"/>
        <w:bottom w:val="none" w:sz="0" w:space="0" w:color="auto"/>
        <w:right w:val="none" w:sz="0" w:space="0" w:color="auto"/>
      </w:divBdr>
    </w:div>
    <w:div w:id="1333995422">
      <w:bodyDiv w:val="1"/>
      <w:marLeft w:val="0"/>
      <w:marRight w:val="0"/>
      <w:marTop w:val="0"/>
      <w:marBottom w:val="0"/>
      <w:divBdr>
        <w:top w:val="none" w:sz="0" w:space="0" w:color="auto"/>
        <w:left w:val="none" w:sz="0" w:space="0" w:color="auto"/>
        <w:bottom w:val="none" w:sz="0" w:space="0" w:color="auto"/>
        <w:right w:val="none" w:sz="0" w:space="0" w:color="auto"/>
      </w:divBdr>
    </w:div>
    <w:div w:id="1334072106">
      <w:bodyDiv w:val="1"/>
      <w:marLeft w:val="0"/>
      <w:marRight w:val="0"/>
      <w:marTop w:val="0"/>
      <w:marBottom w:val="0"/>
      <w:divBdr>
        <w:top w:val="none" w:sz="0" w:space="0" w:color="auto"/>
        <w:left w:val="none" w:sz="0" w:space="0" w:color="auto"/>
        <w:bottom w:val="none" w:sz="0" w:space="0" w:color="auto"/>
        <w:right w:val="none" w:sz="0" w:space="0" w:color="auto"/>
      </w:divBdr>
    </w:div>
    <w:div w:id="1334138629">
      <w:bodyDiv w:val="1"/>
      <w:marLeft w:val="0"/>
      <w:marRight w:val="0"/>
      <w:marTop w:val="0"/>
      <w:marBottom w:val="0"/>
      <w:divBdr>
        <w:top w:val="none" w:sz="0" w:space="0" w:color="auto"/>
        <w:left w:val="none" w:sz="0" w:space="0" w:color="auto"/>
        <w:bottom w:val="none" w:sz="0" w:space="0" w:color="auto"/>
        <w:right w:val="none" w:sz="0" w:space="0" w:color="auto"/>
      </w:divBdr>
    </w:div>
    <w:div w:id="1334140512">
      <w:bodyDiv w:val="1"/>
      <w:marLeft w:val="0"/>
      <w:marRight w:val="0"/>
      <w:marTop w:val="0"/>
      <w:marBottom w:val="0"/>
      <w:divBdr>
        <w:top w:val="none" w:sz="0" w:space="0" w:color="auto"/>
        <w:left w:val="none" w:sz="0" w:space="0" w:color="auto"/>
        <w:bottom w:val="none" w:sz="0" w:space="0" w:color="auto"/>
        <w:right w:val="none" w:sz="0" w:space="0" w:color="auto"/>
      </w:divBdr>
    </w:div>
    <w:div w:id="1334142837">
      <w:bodyDiv w:val="1"/>
      <w:marLeft w:val="0"/>
      <w:marRight w:val="0"/>
      <w:marTop w:val="0"/>
      <w:marBottom w:val="0"/>
      <w:divBdr>
        <w:top w:val="none" w:sz="0" w:space="0" w:color="auto"/>
        <w:left w:val="none" w:sz="0" w:space="0" w:color="auto"/>
        <w:bottom w:val="none" w:sz="0" w:space="0" w:color="auto"/>
        <w:right w:val="none" w:sz="0" w:space="0" w:color="auto"/>
      </w:divBdr>
    </w:div>
    <w:div w:id="1334188003">
      <w:bodyDiv w:val="1"/>
      <w:marLeft w:val="0"/>
      <w:marRight w:val="0"/>
      <w:marTop w:val="0"/>
      <w:marBottom w:val="0"/>
      <w:divBdr>
        <w:top w:val="none" w:sz="0" w:space="0" w:color="auto"/>
        <w:left w:val="none" w:sz="0" w:space="0" w:color="auto"/>
        <w:bottom w:val="none" w:sz="0" w:space="0" w:color="auto"/>
        <w:right w:val="none" w:sz="0" w:space="0" w:color="auto"/>
      </w:divBdr>
    </w:div>
    <w:div w:id="1334259807">
      <w:bodyDiv w:val="1"/>
      <w:marLeft w:val="0"/>
      <w:marRight w:val="0"/>
      <w:marTop w:val="0"/>
      <w:marBottom w:val="0"/>
      <w:divBdr>
        <w:top w:val="none" w:sz="0" w:space="0" w:color="auto"/>
        <w:left w:val="none" w:sz="0" w:space="0" w:color="auto"/>
        <w:bottom w:val="none" w:sz="0" w:space="0" w:color="auto"/>
        <w:right w:val="none" w:sz="0" w:space="0" w:color="auto"/>
      </w:divBdr>
    </w:div>
    <w:div w:id="1334576644">
      <w:bodyDiv w:val="1"/>
      <w:marLeft w:val="0"/>
      <w:marRight w:val="0"/>
      <w:marTop w:val="0"/>
      <w:marBottom w:val="0"/>
      <w:divBdr>
        <w:top w:val="none" w:sz="0" w:space="0" w:color="auto"/>
        <w:left w:val="none" w:sz="0" w:space="0" w:color="auto"/>
        <w:bottom w:val="none" w:sz="0" w:space="0" w:color="auto"/>
        <w:right w:val="none" w:sz="0" w:space="0" w:color="auto"/>
      </w:divBdr>
    </w:div>
    <w:div w:id="1334643057">
      <w:bodyDiv w:val="1"/>
      <w:marLeft w:val="0"/>
      <w:marRight w:val="0"/>
      <w:marTop w:val="0"/>
      <w:marBottom w:val="0"/>
      <w:divBdr>
        <w:top w:val="none" w:sz="0" w:space="0" w:color="auto"/>
        <w:left w:val="none" w:sz="0" w:space="0" w:color="auto"/>
        <w:bottom w:val="none" w:sz="0" w:space="0" w:color="auto"/>
        <w:right w:val="none" w:sz="0" w:space="0" w:color="auto"/>
      </w:divBdr>
    </w:div>
    <w:div w:id="1334802131">
      <w:bodyDiv w:val="1"/>
      <w:marLeft w:val="0"/>
      <w:marRight w:val="0"/>
      <w:marTop w:val="0"/>
      <w:marBottom w:val="0"/>
      <w:divBdr>
        <w:top w:val="none" w:sz="0" w:space="0" w:color="auto"/>
        <w:left w:val="none" w:sz="0" w:space="0" w:color="auto"/>
        <w:bottom w:val="none" w:sz="0" w:space="0" w:color="auto"/>
        <w:right w:val="none" w:sz="0" w:space="0" w:color="auto"/>
      </w:divBdr>
    </w:div>
    <w:div w:id="1334987631">
      <w:bodyDiv w:val="1"/>
      <w:marLeft w:val="0"/>
      <w:marRight w:val="0"/>
      <w:marTop w:val="0"/>
      <w:marBottom w:val="0"/>
      <w:divBdr>
        <w:top w:val="none" w:sz="0" w:space="0" w:color="auto"/>
        <w:left w:val="none" w:sz="0" w:space="0" w:color="auto"/>
        <w:bottom w:val="none" w:sz="0" w:space="0" w:color="auto"/>
        <w:right w:val="none" w:sz="0" w:space="0" w:color="auto"/>
      </w:divBdr>
    </w:div>
    <w:div w:id="1335065860">
      <w:bodyDiv w:val="1"/>
      <w:marLeft w:val="0"/>
      <w:marRight w:val="0"/>
      <w:marTop w:val="0"/>
      <w:marBottom w:val="0"/>
      <w:divBdr>
        <w:top w:val="none" w:sz="0" w:space="0" w:color="auto"/>
        <w:left w:val="none" w:sz="0" w:space="0" w:color="auto"/>
        <w:bottom w:val="none" w:sz="0" w:space="0" w:color="auto"/>
        <w:right w:val="none" w:sz="0" w:space="0" w:color="auto"/>
      </w:divBdr>
    </w:div>
    <w:div w:id="1335257794">
      <w:bodyDiv w:val="1"/>
      <w:marLeft w:val="0"/>
      <w:marRight w:val="0"/>
      <w:marTop w:val="0"/>
      <w:marBottom w:val="0"/>
      <w:divBdr>
        <w:top w:val="none" w:sz="0" w:space="0" w:color="auto"/>
        <w:left w:val="none" w:sz="0" w:space="0" w:color="auto"/>
        <w:bottom w:val="none" w:sz="0" w:space="0" w:color="auto"/>
        <w:right w:val="none" w:sz="0" w:space="0" w:color="auto"/>
      </w:divBdr>
    </w:div>
    <w:div w:id="1335299630">
      <w:bodyDiv w:val="1"/>
      <w:marLeft w:val="0"/>
      <w:marRight w:val="0"/>
      <w:marTop w:val="0"/>
      <w:marBottom w:val="0"/>
      <w:divBdr>
        <w:top w:val="none" w:sz="0" w:space="0" w:color="auto"/>
        <w:left w:val="none" w:sz="0" w:space="0" w:color="auto"/>
        <w:bottom w:val="none" w:sz="0" w:space="0" w:color="auto"/>
        <w:right w:val="none" w:sz="0" w:space="0" w:color="auto"/>
      </w:divBdr>
    </w:div>
    <w:div w:id="1335373477">
      <w:bodyDiv w:val="1"/>
      <w:marLeft w:val="0"/>
      <w:marRight w:val="0"/>
      <w:marTop w:val="0"/>
      <w:marBottom w:val="0"/>
      <w:divBdr>
        <w:top w:val="none" w:sz="0" w:space="0" w:color="auto"/>
        <w:left w:val="none" w:sz="0" w:space="0" w:color="auto"/>
        <w:bottom w:val="none" w:sz="0" w:space="0" w:color="auto"/>
        <w:right w:val="none" w:sz="0" w:space="0" w:color="auto"/>
      </w:divBdr>
    </w:div>
    <w:div w:id="1335455901">
      <w:bodyDiv w:val="1"/>
      <w:marLeft w:val="0"/>
      <w:marRight w:val="0"/>
      <w:marTop w:val="0"/>
      <w:marBottom w:val="0"/>
      <w:divBdr>
        <w:top w:val="none" w:sz="0" w:space="0" w:color="auto"/>
        <w:left w:val="none" w:sz="0" w:space="0" w:color="auto"/>
        <w:bottom w:val="none" w:sz="0" w:space="0" w:color="auto"/>
        <w:right w:val="none" w:sz="0" w:space="0" w:color="auto"/>
      </w:divBdr>
    </w:div>
    <w:div w:id="1335493461">
      <w:bodyDiv w:val="1"/>
      <w:marLeft w:val="0"/>
      <w:marRight w:val="0"/>
      <w:marTop w:val="0"/>
      <w:marBottom w:val="0"/>
      <w:divBdr>
        <w:top w:val="none" w:sz="0" w:space="0" w:color="auto"/>
        <w:left w:val="none" w:sz="0" w:space="0" w:color="auto"/>
        <w:bottom w:val="none" w:sz="0" w:space="0" w:color="auto"/>
        <w:right w:val="none" w:sz="0" w:space="0" w:color="auto"/>
      </w:divBdr>
    </w:div>
    <w:div w:id="1335498098">
      <w:bodyDiv w:val="1"/>
      <w:marLeft w:val="0"/>
      <w:marRight w:val="0"/>
      <w:marTop w:val="0"/>
      <w:marBottom w:val="0"/>
      <w:divBdr>
        <w:top w:val="none" w:sz="0" w:space="0" w:color="auto"/>
        <w:left w:val="none" w:sz="0" w:space="0" w:color="auto"/>
        <w:bottom w:val="none" w:sz="0" w:space="0" w:color="auto"/>
        <w:right w:val="none" w:sz="0" w:space="0" w:color="auto"/>
      </w:divBdr>
    </w:div>
    <w:div w:id="1335499284">
      <w:bodyDiv w:val="1"/>
      <w:marLeft w:val="0"/>
      <w:marRight w:val="0"/>
      <w:marTop w:val="0"/>
      <w:marBottom w:val="0"/>
      <w:divBdr>
        <w:top w:val="none" w:sz="0" w:space="0" w:color="auto"/>
        <w:left w:val="none" w:sz="0" w:space="0" w:color="auto"/>
        <w:bottom w:val="none" w:sz="0" w:space="0" w:color="auto"/>
        <w:right w:val="none" w:sz="0" w:space="0" w:color="auto"/>
      </w:divBdr>
    </w:div>
    <w:div w:id="1335499457">
      <w:bodyDiv w:val="1"/>
      <w:marLeft w:val="0"/>
      <w:marRight w:val="0"/>
      <w:marTop w:val="0"/>
      <w:marBottom w:val="0"/>
      <w:divBdr>
        <w:top w:val="none" w:sz="0" w:space="0" w:color="auto"/>
        <w:left w:val="none" w:sz="0" w:space="0" w:color="auto"/>
        <w:bottom w:val="none" w:sz="0" w:space="0" w:color="auto"/>
        <w:right w:val="none" w:sz="0" w:space="0" w:color="auto"/>
      </w:divBdr>
    </w:div>
    <w:div w:id="1335717359">
      <w:bodyDiv w:val="1"/>
      <w:marLeft w:val="0"/>
      <w:marRight w:val="0"/>
      <w:marTop w:val="0"/>
      <w:marBottom w:val="0"/>
      <w:divBdr>
        <w:top w:val="none" w:sz="0" w:space="0" w:color="auto"/>
        <w:left w:val="none" w:sz="0" w:space="0" w:color="auto"/>
        <w:bottom w:val="none" w:sz="0" w:space="0" w:color="auto"/>
        <w:right w:val="none" w:sz="0" w:space="0" w:color="auto"/>
      </w:divBdr>
    </w:div>
    <w:div w:id="1335910950">
      <w:bodyDiv w:val="1"/>
      <w:marLeft w:val="0"/>
      <w:marRight w:val="0"/>
      <w:marTop w:val="0"/>
      <w:marBottom w:val="0"/>
      <w:divBdr>
        <w:top w:val="none" w:sz="0" w:space="0" w:color="auto"/>
        <w:left w:val="none" w:sz="0" w:space="0" w:color="auto"/>
        <w:bottom w:val="none" w:sz="0" w:space="0" w:color="auto"/>
        <w:right w:val="none" w:sz="0" w:space="0" w:color="auto"/>
      </w:divBdr>
    </w:div>
    <w:div w:id="1335956297">
      <w:bodyDiv w:val="1"/>
      <w:marLeft w:val="0"/>
      <w:marRight w:val="0"/>
      <w:marTop w:val="0"/>
      <w:marBottom w:val="0"/>
      <w:divBdr>
        <w:top w:val="none" w:sz="0" w:space="0" w:color="auto"/>
        <w:left w:val="none" w:sz="0" w:space="0" w:color="auto"/>
        <w:bottom w:val="none" w:sz="0" w:space="0" w:color="auto"/>
        <w:right w:val="none" w:sz="0" w:space="0" w:color="auto"/>
      </w:divBdr>
    </w:div>
    <w:div w:id="1335961966">
      <w:bodyDiv w:val="1"/>
      <w:marLeft w:val="0"/>
      <w:marRight w:val="0"/>
      <w:marTop w:val="0"/>
      <w:marBottom w:val="0"/>
      <w:divBdr>
        <w:top w:val="none" w:sz="0" w:space="0" w:color="auto"/>
        <w:left w:val="none" w:sz="0" w:space="0" w:color="auto"/>
        <w:bottom w:val="none" w:sz="0" w:space="0" w:color="auto"/>
        <w:right w:val="none" w:sz="0" w:space="0" w:color="auto"/>
      </w:divBdr>
    </w:div>
    <w:div w:id="1336032112">
      <w:bodyDiv w:val="1"/>
      <w:marLeft w:val="0"/>
      <w:marRight w:val="0"/>
      <w:marTop w:val="0"/>
      <w:marBottom w:val="0"/>
      <w:divBdr>
        <w:top w:val="none" w:sz="0" w:space="0" w:color="auto"/>
        <w:left w:val="none" w:sz="0" w:space="0" w:color="auto"/>
        <w:bottom w:val="none" w:sz="0" w:space="0" w:color="auto"/>
        <w:right w:val="none" w:sz="0" w:space="0" w:color="auto"/>
      </w:divBdr>
    </w:div>
    <w:div w:id="1336107280">
      <w:bodyDiv w:val="1"/>
      <w:marLeft w:val="0"/>
      <w:marRight w:val="0"/>
      <w:marTop w:val="0"/>
      <w:marBottom w:val="0"/>
      <w:divBdr>
        <w:top w:val="none" w:sz="0" w:space="0" w:color="auto"/>
        <w:left w:val="none" w:sz="0" w:space="0" w:color="auto"/>
        <w:bottom w:val="none" w:sz="0" w:space="0" w:color="auto"/>
        <w:right w:val="none" w:sz="0" w:space="0" w:color="auto"/>
      </w:divBdr>
    </w:div>
    <w:div w:id="1336149087">
      <w:bodyDiv w:val="1"/>
      <w:marLeft w:val="0"/>
      <w:marRight w:val="0"/>
      <w:marTop w:val="0"/>
      <w:marBottom w:val="0"/>
      <w:divBdr>
        <w:top w:val="none" w:sz="0" w:space="0" w:color="auto"/>
        <w:left w:val="none" w:sz="0" w:space="0" w:color="auto"/>
        <w:bottom w:val="none" w:sz="0" w:space="0" w:color="auto"/>
        <w:right w:val="none" w:sz="0" w:space="0" w:color="auto"/>
      </w:divBdr>
    </w:div>
    <w:div w:id="1336222817">
      <w:bodyDiv w:val="1"/>
      <w:marLeft w:val="0"/>
      <w:marRight w:val="0"/>
      <w:marTop w:val="0"/>
      <w:marBottom w:val="0"/>
      <w:divBdr>
        <w:top w:val="none" w:sz="0" w:space="0" w:color="auto"/>
        <w:left w:val="none" w:sz="0" w:space="0" w:color="auto"/>
        <w:bottom w:val="none" w:sz="0" w:space="0" w:color="auto"/>
        <w:right w:val="none" w:sz="0" w:space="0" w:color="auto"/>
      </w:divBdr>
    </w:div>
    <w:div w:id="1336225710">
      <w:bodyDiv w:val="1"/>
      <w:marLeft w:val="0"/>
      <w:marRight w:val="0"/>
      <w:marTop w:val="0"/>
      <w:marBottom w:val="0"/>
      <w:divBdr>
        <w:top w:val="none" w:sz="0" w:space="0" w:color="auto"/>
        <w:left w:val="none" w:sz="0" w:space="0" w:color="auto"/>
        <w:bottom w:val="none" w:sz="0" w:space="0" w:color="auto"/>
        <w:right w:val="none" w:sz="0" w:space="0" w:color="auto"/>
      </w:divBdr>
    </w:div>
    <w:div w:id="1336372524">
      <w:bodyDiv w:val="1"/>
      <w:marLeft w:val="0"/>
      <w:marRight w:val="0"/>
      <w:marTop w:val="0"/>
      <w:marBottom w:val="0"/>
      <w:divBdr>
        <w:top w:val="none" w:sz="0" w:space="0" w:color="auto"/>
        <w:left w:val="none" w:sz="0" w:space="0" w:color="auto"/>
        <w:bottom w:val="none" w:sz="0" w:space="0" w:color="auto"/>
        <w:right w:val="none" w:sz="0" w:space="0" w:color="auto"/>
      </w:divBdr>
    </w:div>
    <w:div w:id="1336377144">
      <w:bodyDiv w:val="1"/>
      <w:marLeft w:val="0"/>
      <w:marRight w:val="0"/>
      <w:marTop w:val="0"/>
      <w:marBottom w:val="0"/>
      <w:divBdr>
        <w:top w:val="none" w:sz="0" w:space="0" w:color="auto"/>
        <w:left w:val="none" w:sz="0" w:space="0" w:color="auto"/>
        <w:bottom w:val="none" w:sz="0" w:space="0" w:color="auto"/>
        <w:right w:val="none" w:sz="0" w:space="0" w:color="auto"/>
      </w:divBdr>
    </w:div>
    <w:div w:id="1336421346">
      <w:bodyDiv w:val="1"/>
      <w:marLeft w:val="0"/>
      <w:marRight w:val="0"/>
      <w:marTop w:val="0"/>
      <w:marBottom w:val="0"/>
      <w:divBdr>
        <w:top w:val="none" w:sz="0" w:space="0" w:color="auto"/>
        <w:left w:val="none" w:sz="0" w:space="0" w:color="auto"/>
        <w:bottom w:val="none" w:sz="0" w:space="0" w:color="auto"/>
        <w:right w:val="none" w:sz="0" w:space="0" w:color="auto"/>
      </w:divBdr>
    </w:div>
    <w:div w:id="1336491898">
      <w:bodyDiv w:val="1"/>
      <w:marLeft w:val="0"/>
      <w:marRight w:val="0"/>
      <w:marTop w:val="0"/>
      <w:marBottom w:val="0"/>
      <w:divBdr>
        <w:top w:val="none" w:sz="0" w:space="0" w:color="auto"/>
        <w:left w:val="none" w:sz="0" w:space="0" w:color="auto"/>
        <w:bottom w:val="none" w:sz="0" w:space="0" w:color="auto"/>
        <w:right w:val="none" w:sz="0" w:space="0" w:color="auto"/>
      </w:divBdr>
    </w:div>
    <w:div w:id="1336494785">
      <w:bodyDiv w:val="1"/>
      <w:marLeft w:val="0"/>
      <w:marRight w:val="0"/>
      <w:marTop w:val="0"/>
      <w:marBottom w:val="0"/>
      <w:divBdr>
        <w:top w:val="none" w:sz="0" w:space="0" w:color="auto"/>
        <w:left w:val="none" w:sz="0" w:space="0" w:color="auto"/>
        <w:bottom w:val="none" w:sz="0" w:space="0" w:color="auto"/>
        <w:right w:val="none" w:sz="0" w:space="0" w:color="auto"/>
      </w:divBdr>
    </w:div>
    <w:div w:id="1336499220">
      <w:bodyDiv w:val="1"/>
      <w:marLeft w:val="0"/>
      <w:marRight w:val="0"/>
      <w:marTop w:val="0"/>
      <w:marBottom w:val="0"/>
      <w:divBdr>
        <w:top w:val="none" w:sz="0" w:space="0" w:color="auto"/>
        <w:left w:val="none" w:sz="0" w:space="0" w:color="auto"/>
        <w:bottom w:val="none" w:sz="0" w:space="0" w:color="auto"/>
        <w:right w:val="none" w:sz="0" w:space="0" w:color="auto"/>
      </w:divBdr>
    </w:div>
    <w:div w:id="1336609838">
      <w:bodyDiv w:val="1"/>
      <w:marLeft w:val="0"/>
      <w:marRight w:val="0"/>
      <w:marTop w:val="0"/>
      <w:marBottom w:val="0"/>
      <w:divBdr>
        <w:top w:val="none" w:sz="0" w:space="0" w:color="auto"/>
        <w:left w:val="none" w:sz="0" w:space="0" w:color="auto"/>
        <w:bottom w:val="none" w:sz="0" w:space="0" w:color="auto"/>
        <w:right w:val="none" w:sz="0" w:space="0" w:color="auto"/>
      </w:divBdr>
    </w:div>
    <w:div w:id="1336616144">
      <w:bodyDiv w:val="1"/>
      <w:marLeft w:val="0"/>
      <w:marRight w:val="0"/>
      <w:marTop w:val="0"/>
      <w:marBottom w:val="0"/>
      <w:divBdr>
        <w:top w:val="none" w:sz="0" w:space="0" w:color="auto"/>
        <w:left w:val="none" w:sz="0" w:space="0" w:color="auto"/>
        <w:bottom w:val="none" w:sz="0" w:space="0" w:color="auto"/>
        <w:right w:val="none" w:sz="0" w:space="0" w:color="auto"/>
      </w:divBdr>
    </w:div>
    <w:div w:id="1336765615">
      <w:bodyDiv w:val="1"/>
      <w:marLeft w:val="0"/>
      <w:marRight w:val="0"/>
      <w:marTop w:val="0"/>
      <w:marBottom w:val="0"/>
      <w:divBdr>
        <w:top w:val="none" w:sz="0" w:space="0" w:color="auto"/>
        <w:left w:val="none" w:sz="0" w:space="0" w:color="auto"/>
        <w:bottom w:val="none" w:sz="0" w:space="0" w:color="auto"/>
        <w:right w:val="none" w:sz="0" w:space="0" w:color="auto"/>
      </w:divBdr>
    </w:div>
    <w:div w:id="1336952355">
      <w:bodyDiv w:val="1"/>
      <w:marLeft w:val="0"/>
      <w:marRight w:val="0"/>
      <w:marTop w:val="0"/>
      <w:marBottom w:val="0"/>
      <w:divBdr>
        <w:top w:val="none" w:sz="0" w:space="0" w:color="auto"/>
        <w:left w:val="none" w:sz="0" w:space="0" w:color="auto"/>
        <w:bottom w:val="none" w:sz="0" w:space="0" w:color="auto"/>
        <w:right w:val="none" w:sz="0" w:space="0" w:color="auto"/>
      </w:divBdr>
    </w:div>
    <w:div w:id="1336954468">
      <w:bodyDiv w:val="1"/>
      <w:marLeft w:val="0"/>
      <w:marRight w:val="0"/>
      <w:marTop w:val="0"/>
      <w:marBottom w:val="0"/>
      <w:divBdr>
        <w:top w:val="none" w:sz="0" w:space="0" w:color="auto"/>
        <w:left w:val="none" w:sz="0" w:space="0" w:color="auto"/>
        <w:bottom w:val="none" w:sz="0" w:space="0" w:color="auto"/>
        <w:right w:val="none" w:sz="0" w:space="0" w:color="auto"/>
      </w:divBdr>
    </w:div>
    <w:div w:id="1337001125">
      <w:bodyDiv w:val="1"/>
      <w:marLeft w:val="0"/>
      <w:marRight w:val="0"/>
      <w:marTop w:val="0"/>
      <w:marBottom w:val="0"/>
      <w:divBdr>
        <w:top w:val="none" w:sz="0" w:space="0" w:color="auto"/>
        <w:left w:val="none" w:sz="0" w:space="0" w:color="auto"/>
        <w:bottom w:val="none" w:sz="0" w:space="0" w:color="auto"/>
        <w:right w:val="none" w:sz="0" w:space="0" w:color="auto"/>
      </w:divBdr>
    </w:div>
    <w:div w:id="1337004381">
      <w:bodyDiv w:val="1"/>
      <w:marLeft w:val="0"/>
      <w:marRight w:val="0"/>
      <w:marTop w:val="0"/>
      <w:marBottom w:val="0"/>
      <w:divBdr>
        <w:top w:val="none" w:sz="0" w:space="0" w:color="auto"/>
        <w:left w:val="none" w:sz="0" w:space="0" w:color="auto"/>
        <w:bottom w:val="none" w:sz="0" w:space="0" w:color="auto"/>
        <w:right w:val="none" w:sz="0" w:space="0" w:color="auto"/>
      </w:divBdr>
    </w:div>
    <w:div w:id="1337075975">
      <w:bodyDiv w:val="1"/>
      <w:marLeft w:val="0"/>
      <w:marRight w:val="0"/>
      <w:marTop w:val="0"/>
      <w:marBottom w:val="0"/>
      <w:divBdr>
        <w:top w:val="none" w:sz="0" w:space="0" w:color="auto"/>
        <w:left w:val="none" w:sz="0" w:space="0" w:color="auto"/>
        <w:bottom w:val="none" w:sz="0" w:space="0" w:color="auto"/>
        <w:right w:val="none" w:sz="0" w:space="0" w:color="auto"/>
      </w:divBdr>
    </w:div>
    <w:div w:id="1337077844">
      <w:bodyDiv w:val="1"/>
      <w:marLeft w:val="0"/>
      <w:marRight w:val="0"/>
      <w:marTop w:val="0"/>
      <w:marBottom w:val="0"/>
      <w:divBdr>
        <w:top w:val="none" w:sz="0" w:space="0" w:color="auto"/>
        <w:left w:val="none" w:sz="0" w:space="0" w:color="auto"/>
        <w:bottom w:val="none" w:sz="0" w:space="0" w:color="auto"/>
        <w:right w:val="none" w:sz="0" w:space="0" w:color="auto"/>
      </w:divBdr>
    </w:div>
    <w:div w:id="1337148445">
      <w:bodyDiv w:val="1"/>
      <w:marLeft w:val="0"/>
      <w:marRight w:val="0"/>
      <w:marTop w:val="0"/>
      <w:marBottom w:val="0"/>
      <w:divBdr>
        <w:top w:val="none" w:sz="0" w:space="0" w:color="auto"/>
        <w:left w:val="none" w:sz="0" w:space="0" w:color="auto"/>
        <w:bottom w:val="none" w:sz="0" w:space="0" w:color="auto"/>
        <w:right w:val="none" w:sz="0" w:space="0" w:color="auto"/>
      </w:divBdr>
    </w:div>
    <w:div w:id="1337150279">
      <w:bodyDiv w:val="1"/>
      <w:marLeft w:val="0"/>
      <w:marRight w:val="0"/>
      <w:marTop w:val="0"/>
      <w:marBottom w:val="0"/>
      <w:divBdr>
        <w:top w:val="none" w:sz="0" w:space="0" w:color="auto"/>
        <w:left w:val="none" w:sz="0" w:space="0" w:color="auto"/>
        <w:bottom w:val="none" w:sz="0" w:space="0" w:color="auto"/>
        <w:right w:val="none" w:sz="0" w:space="0" w:color="auto"/>
      </w:divBdr>
    </w:div>
    <w:div w:id="1337271870">
      <w:bodyDiv w:val="1"/>
      <w:marLeft w:val="0"/>
      <w:marRight w:val="0"/>
      <w:marTop w:val="0"/>
      <w:marBottom w:val="0"/>
      <w:divBdr>
        <w:top w:val="none" w:sz="0" w:space="0" w:color="auto"/>
        <w:left w:val="none" w:sz="0" w:space="0" w:color="auto"/>
        <w:bottom w:val="none" w:sz="0" w:space="0" w:color="auto"/>
        <w:right w:val="none" w:sz="0" w:space="0" w:color="auto"/>
      </w:divBdr>
    </w:div>
    <w:div w:id="1337339409">
      <w:bodyDiv w:val="1"/>
      <w:marLeft w:val="0"/>
      <w:marRight w:val="0"/>
      <w:marTop w:val="0"/>
      <w:marBottom w:val="0"/>
      <w:divBdr>
        <w:top w:val="none" w:sz="0" w:space="0" w:color="auto"/>
        <w:left w:val="none" w:sz="0" w:space="0" w:color="auto"/>
        <w:bottom w:val="none" w:sz="0" w:space="0" w:color="auto"/>
        <w:right w:val="none" w:sz="0" w:space="0" w:color="auto"/>
      </w:divBdr>
    </w:div>
    <w:div w:id="1337417920">
      <w:bodyDiv w:val="1"/>
      <w:marLeft w:val="0"/>
      <w:marRight w:val="0"/>
      <w:marTop w:val="0"/>
      <w:marBottom w:val="0"/>
      <w:divBdr>
        <w:top w:val="none" w:sz="0" w:space="0" w:color="auto"/>
        <w:left w:val="none" w:sz="0" w:space="0" w:color="auto"/>
        <w:bottom w:val="none" w:sz="0" w:space="0" w:color="auto"/>
        <w:right w:val="none" w:sz="0" w:space="0" w:color="auto"/>
      </w:divBdr>
    </w:div>
    <w:div w:id="1337540356">
      <w:bodyDiv w:val="1"/>
      <w:marLeft w:val="0"/>
      <w:marRight w:val="0"/>
      <w:marTop w:val="0"/>
      <w:marBottom w:val="0"/>
      <w:divBdr>
        <w:top w:val="none" w:sz="0" w:space="0" w:color="auto"/>
        <w:left w:val="none" w:sz="0" w:space="0" w:color="auto"/>
        <w:bottom w:val="none" w:sz="0" w:space="0" w:color="auto"/>
        <w:right w:val="none" w:sz="0" w:space="0" w:color="auto"/>
      </w:divBdr>
    </w:div>
    <w:div w:id="1337802647">
      <w:bodyDiv w:val="1"/>
      <w:marLeft w:val="0"/>
      <w:marRight w:val="0"/>
      <w:marTop w:val="0"/>
      <w:marBottom w:val="0"/>
      <w:divBdr>
        <w:top w:val="none" w:sz="0" w:space="0" w:color="auto"/>
        <w:left w:val="none" w:sz="0" w:space="0" w:color="auto"/>
        <w:bottom w:val="none" w:sz="0" w:space="0" w:color="auto"/>
        <w:right w:val="none" w:sz="0" w:space="0" w:color="auto"/>
      </w:divBdr>
    </w:div>
    <w:div w:id="1337806250">
      <w:bodyDiv w:val="1"/>
      <w:marLeft w:val="0"/>
      <w:marRight w:val="0"/>
      <w:marTop w:val="0"/>
      <w:marBottom w:val="0"/>
      <w:divBdr>
        <w:top w:val="none" w:sz="0" w:space="0" w:color="auto"/>
        <w:left w:val="none" w:sz="0" w:space="0" w:color="auto"/>
        <w:bottom w:val="none" w:sz="0" w:space="0" w:color="auto"/>
        <w:right w:val="none" w:sz="0" w:space="0" w:color="auto"/>
      </w:divBdr>
    </w:div>
    <w:div w:id="1337880610">
      <w:bodyDiv w:val="1"/>
      <w:marLeft w:val="0"/>
      <w:marRight w:val="0"/>
      <w:marTop w:val="0"/>
      <w:marBottom w:val="0"/>
      <w:divBdr>
        <w:top w:val="none" w:sz="0" w:space="0" w:color="auto"/>
        <w:left w:val="none" w:sz="0" w:space="0" w:color="auto"/>
        <w:bottom w:val="none" w:sz="0" w:space="0" w:color="auto"/>
        <w:right w:val="none" w:sz="0" w:space="0" w:color="auto"/>
      </w:divBdr>
    </w:div>
    <w:div w:id="1337923456">
      <w:bodyDiv w:val="1"/>
      <w:marLeft w:val="0"/>
      <w:marRight w:val="0"/>
      <w:marTop w:val="0"/>
      <w:marBottom w:val="0"/>
      <w:divBdr>
        <w:top w:val="none" w:sz="0" w:space="0" w:color="auto"/>
        <w:left w:val="none" w:sz="0" w:space="0" w:color="auto"/>
        <w:bottom w:val="none" w:sz="0" w:space="0" w:color="auto"/>
        <w:right w:val="none" w:sz="0" w:space="0" w:color="auto"/>
      </w:divBdr>
    </w:div>
    <w:div w:id="1337924929">
      <w:bodyDiv w:val="1"/>
      <w:marLeft w:val="0"/>
      <w:marRight w:val="0"/>
      <w:marTop w:val="0"/>
      <w:marBottom w:val="0"/>
      <w:divBdr>
        <w:top w:val="none" w:sz="0" w:space="0" w:color="auto"/>
        <w:left w:val="none" w:sz="0" w:space="0" w:color="auto"/>
        <w:bottom w:val="none" w:sz="0" w:space="0" w:color="auto"/>
        <w:right w:val="none" w:sz="0" w:space="0" w:color="auto"/>
      </w:divBdr>
    </w:div>
    <w:div w:id="1337927362">
      <w:bodyDiv w:val="1"/>
      <w:marLeft w:val="0"/>
      <w:marRight w:val="0"/>
      <w:marTop w:val="0"/>
      <w:marBottom w:val="0"/>
      <w:divBdr>
        <w:top w:val="none" w:sz="0" w:space="0" w:color="auto"/>
        <w:left w:val="none" w:sz="0" w:space="0" w:color="auto"/>
        <w:bottom w:val="none" w:sz="0" w:space="0" w:color="auto"/>
        <w:right w:val="none" w:sz="0" w:space="0" w:color="auto"/>
      </w:divBdr>
    </w:div>
    <w:div w:id="1337997473">
      <w:bodyDiv w:val="1"/>
      <w:marLeft w:val="0"/>
      <w:marRight w:val="0"/>
      <w:marTop w:val="0"/>
      <w:marBottom w:val="0"/>
      <w:divBdr>
        <w:top w:val="none" w:sz="0" w:space="0" w:color="auto"/>
        <w:left w:val="none" w:sz="0" w:space="0" w:color="auto"/>
        <w:bottom w:val="none" w:sz="0" w:space="0" w:color="auto"/>
        <w:right w:val="none" w:sz="0" w:space="0" w:color="auto"/>
      </w:divBdr>
    </w:div>
    <w:div w:id="1338001085">
      <w:bodyDiv w:val="1"/>
      <w:marLeft w:val="0"/>
      <w:marRight w:val="0"/>
      <w:marTop w:val="0"/>
      <w:marBottom w:val="0"/>
      <w:divBdr>
        <w:top w:val="none" w:sz="0" w:space="0" w:color="auto"/>
        <w:left w:val="none" w:sz="0" w:space="0" w:color="auto"/>
        <w:bottom w:val="none" w:sz="0" w:space="0" w:color="auto"/>
        <w:right w:val="none" w:sz="0" w:space="0" w:color="auto"/>
      </w:divBdr>
    </w:div>
    <w:div w:id="1338114407">
      <w:bodyDiv w:val="1"/>
      <w:marLeft w:val="0"/>
      <w:marRight w:val="0"/>
      <w:marTop w:val="0"/>
      <w:marBottom w:val="0"/>
      <w:divBdr>
        <w:top w:val="none" w:sz="0" w:space="0" w:color="auto"/>
        <w:left w:val="none" w:sz="0" w:space="0" w:color="auto"/>
        <w:bottom w:val="none" w:sz="0" w:space="0" w:color="auto"/>
        <w:right w:val="none" w:sz="0" w:space="0" w:color="auto"/>
      </w:divBdr>
    </w:div>
    <w:div w:id="1338118485">
      <w:bodyDiv w:val="1"/>
      <w:marLeft w:val="0"/>
      <w:marRight w:val="0"/>
      <w:marTop w:val="0"/>
      <w:marBottom w:val="0"/>
      <w:divBdr>
        <w:top w:val="none" w:sz="0" w:space="0" w:color="auto"/>
        <w:left w:val="none" w:sz="0" w:space="0" w:color="auto"/>
        <w:bottom w:val="none" w:sz="0" w:space="0" w:color="auto"/>
        <w:right w:val="none" w:sz="0" w:space="0" w:color="auto"/>
      </w:divBdr>
    </w:div>
    <w:div w:id="1338195320">
      <w:bodyDiv w:val="1"/>
      <w:marLeft w:val="0"/>
      <w:marRight w:val="0"/>
      <w:marTop w:val="0"/>
      <w:marBottom w:val="0"/>
      <w:divBdr>
        <w:top w:val="none" w:sz="0" w:space="0" w:color="auto"/>
        <w:left w:val="none" w:sz="0" w:space="0" w:color="auto"/>
        <w:bottom w:val="none" w:sz="0" w:space="0" w:color="auto"/>
        <w:right w:val="none" w:sz="0" w:space="0" w:color="auto"/>
      </w:divBdr>
    </w:div>
    <w:div w:id="1338196338">
      <w:bodyDiv w:val="1"/>
      <w:marLeft w:val="0"/>
      <w:marRight w:val="0"/>
      <w:marTop w:val="0"/>
      <w:marBottom w:val="0"/>
      <w:divBdr>
        <w:top w:val="none" w:sz="0" w:space="0" w:color="auto"/>
        <w:left w:val="none" w:sz="0" w:space="0" w:color="auto"/>
        <w:bottom w:val="none" w:sz="0" w:space="0" w:color="auto"/>
        <w:right w:val="none" w:sz="0" w:space="0" w:color="auto"/>
      </w:divBdr>
    </w:div>
    <w:div w:id="1338270959">
      <w:bodyDiv w:val="1"/>
      <w:marLeft w:val="0"/>
      <w:marRight w:val="0"/>
      <w:marTop w:val="0"/>
      <w:marBottom w:val="0"/>
      <w:divBdr>
        <w:top w:val="none" w:sz="0" w:space="0" w:color="auto"/>
        <w:left w:val="none" w:sz="0" w:space="0" w:color="auto"/>
        <w:bottom w:val="none" w:sz="0" w:space="0" w:color="auto"/>
        <w:right w:val="none" w:sz="0" w:space="0" w:color="auto"/>
      </w:divBdr>
    </w:div>
    <w:div w:id="1338314062">
      <w:bodyDiv w:val="1"/>
      <w:marLeft w:val="0"/>
      <w:marRight w:val="0"/>
      <w:marTop w:val="0"/>
      <w:marBottom w:val="0"/>
      <w:divBdr>
        <w:top w:val="none" w:sz="0" w:space="0" w:color="auto"/>
        <w:left w:val="none" w:sz="0" w:space="0" w:color="auto"/>
        <w:bottom w:val="none" w:sz="0" w:space="0" w:color="auto"/>
        <w:right w:val="none" w:sz="0" w:space="0" w:color="auto"/>
      </w:divBdr>
    </w:div>
    <w:div w:id="1338315100">
      <w:bodyDiv w:val="1"/>
      <w:marLeft w:val="0"/>
      <w:marRight w:val="0"/>
      <w:marTop w:val="0"/>
      <w:marBottom w:val="0"/>
      <w:divBdr>
        <w:top w:val="none" w:sz="0" w:space="0" w:color="auto"/>
        <w:left w:val="none" w:sz="0" w:space="0" w:color="auto"/>
        <w:bottom w:val="none" w:sz="0" w:space="0" w:color="auto"/>
        <w:right w:val="none" w:sz="0" w:space="0" w:color="auto"/>
      </w:divBdr>
    </w:div>
    <w:div w:id="1338341722">
      <w:bodyDiv w:val="1"/>
      <w:marLeft w:val="0"/>
      <w:marRight w:val="0"/>
      <w:marTop w:val="0"/>
      <w:marBottom w:val="0"/>
      <w:divBdr>
        <w:top w:val="none" w:sz="0" w:space="0" w:color="auto"/>
        <w:left w:val="none" w:sz="0" w:space="0" w:color="auto"/>
        <w:bottom w:val="none" w:sz="0" w:space="0" w:color="auto"/>
        <w:right w:val="none" w:sz="0" w:space="0" w:color="auto"/>
      </w:divBdr>
    </w:div>
    <w:div w:id="1338458144">
      <w:bodyDiv w:val="1"/>
      <w:marLeft w:val="0"/>
      <w:marRight w:val="0"/>
      <w:marTop w:val="0"/>
      <w:marBottom w:val="0"/>
      <w:divBdr>
        <w:top w:val="none" w:sz="0" w:space="0" w:color="auto"/>
        <w:left w:val="none" w:sz="0" w:space="0" w:color="auto"/>
        <w:bottom w:val="none" w:sz="0" w:space="0" w:color="auto"/>
        <w:right w:val="none" w:sz="0" w:space="0" w:color="auto"/>
      </w:divBdr>
    </w:div>
    <w:div w:id="1338535559">
      <w:bodyDiv w:val="1"/>
      <w:marLeft w:val="0"/>
      <w:marRight w:val="0"/>
      <w:marTop w:val="0"/>
      <w:marBottom w:val="0"/>
      <w:divBdr>
        <w:top w:val="none" w:sz="0" w:space="0" w:color="auto"/>
        <w:left w:val="none" w:sz="0" w:space="0" w:color="auto"/>
        <w:bottom w:val="none" w:sz="0" w:space="0" w:color="auto"/>
        <w:right w:val="none" w:sz="0" w:space="0" w:color="auto"/>
      </w:divBdr>
    </w:div>
    <w:div w:id="1338729270">
      <w:bodyDiv w:val="1"/>
      <w:marLeft w:val="0"/>
      <w:marRight w:val="0"/>
      <w:marTop w:val="0"/>
      <w:marBottom w:val="0"/>
      <w:divBdr>
        <w:top w:val="none" w:sz="0" w:space="0" w:color="auto"/>
        <w:left w:val="none" w:sz="0" w:space="0" w:color="auto"/>
        <w:bottom w:val="none" w:sz="0" w:space="0" w:color="auto"/>
        <w:right w:val="none" w:sz="0" w:space="0" w:color="auto"/>
      </w:divBdr>
    </w:div>
    <w:div w:id="1338845985">
      <w:bodyDiv w:val="1"/>
      <w:marLeft w:val="0"/>
      <w:marRight w:val="0"/>
      <w:marTop w:val="0"/>
      <w:marBottom w:val="0"/>
      <w:divBdr>
        <w:top w:val="none" w:sz="0" w:space="0" w:color="auto"/>
        <w:left w:val="none" w:sz="0" w:space="0" w:color="auto"/>
        <w:bottom w:val="none" w:sz="0" w:space="0" w:color="auto"/>
        <w:right w:val="none" w:sz="0" w:space="0" w:color="auto"/>
      </w:divBdr>
    </w:div>
    <w:div w:id="1338846355">
      <w:bodyDiv w:val="1"/>
      <w:marLeft w:val="0"/>
      <w:marRight w:val="0"/>
      <w:marTop w:val="0"/>
      <w:marBottom w:val="0"/>
      <w:divBdr>
        <w:top w:val="none" w:sz="0" w:space="0" w:color="auto"/>
        <w:left w:val="none" w:sz="0" w:space="0" w:color="auto"/>
        <w:bottom w:val="none" w:sz="0" w:space="0" w:color="auto"/>
        <w:right w:val="none" w:sz="0" w:space="0" w:color="auto"/>
      </w:divBdr>
    </w:div>
    <w:div w:id="1338849691">
      <w:bodyDiv w:val="1"/>
      <w:marLeft w:val="0"/>
      <w:marRight w:val="0"/>
      <w:marTop w:val="0"/>
      <w:marBottom w:val="0"/>
      <w:divBdr>
        <w:top w:val="none" w:sz="0" w:space="0" w:color="auto"/>
        <w:left w:val="none" w:sz="0" w:space="0" w:color="auto"/>
        <w:bottom w:val="none" w:sz="0" w:space="0" w:color="auto"/>
        <w:right w:val="none" w:sz="0" w:space="0" w:color="auto"/>
      </w:divBdr>
    </w:div>
    <w:div w:id="1338923947">
      <w:bodyDiv w:val="1"/>
      <w:marLeft w:val="0"/>
      <w:marRight w:val="0"/>
      <w:marTop w:val="0"/>
      <w:marBottom w:val="0"/>
      <w:divBdr>
        <w:top w:val="none" w:sz="0" w:space="0" w:color="auto"/>
        <w:left w:val="none" w:sz="0" w:space="0" w:color="auto"/>
        <w:bottom w:val="none" w:sz="0" w:space="0" w:color="auto"/>
        <w:right w:val="none" w:sz="0" w:space="0" w:color="auto"/>
      </w:divBdr>
    </w:div>
    <w:div w:id="1338924987">
      <w:bodyDiv w:val="1"/>
      <w:marLeft w:val="0"/>
      <w:marRight w:val="0"/>
      <w:marTop w:val="0"/>
      <w:marBottom w:val="0"/>
      <w:divBdr>
        <w:top w:val="none" w:sz="0" w:space="0" w:color="auto"/>
        <w:left w:val="none" w:sz="0" w:space="0" w:color="auto"/>
        <w:bottom w:val="none" w:sz="0" w:space="0" w:color="auto"/>
        <w:right w:val="none" w:sz="0" w:space="0" w:color="auto"/>
      </w:divBdr>
    </w:div>
    <w:div w:id="1338925293">
      <w:bodyDiv w:val="1"/>
      <w:marLeft w:val="0"/>
      <w:marRight w:val="0"/>
      <w:marTop w:val="0"/>
      <w:marBottom w:val="0"/>
      <w:divBdr>
        <w:top w:val="none" w:sz="0" w:space="0" w:color="auto"/>
        <w:left w:val="none" w:sz="0" w:space="0" w:color="auto"/>
        <w:bottom w:val="none" w:sz="0" w:space="0" w:color="auto"/>
        <w:right w:val="none" w:sz="0" w:space="0" w:color="auto"/>
      </w:divBdr>
    </w:div>
    <w:div w:id="1338926771">
      <w:bodyDiv w:val="1"/>
      <w:marLeft w:val="0"/>
      <w:marRight w:val="0"/>
      <w:marTop w:val="0"/>
      <w:marBottom w:val="0"/>
      <w:divBdr>
        <w:top w:val="none" w:sz="0" w:space="0" w:color="auto"/>
        <w:left w:val="none" w:sz="0" w:space="0" w:color="auto"/>
        <w:bottom w:val="none" w:sz="0" w:space="0" w:color="auto"/>
        <w:right w:val="none" w:sz="0" w:space="0" w:color="auto"/>
      </w:divBdr>
    </w:div>
    <w:div w:id="1339042243">
      <w:bodyDiv w:val="1"/>
      <w:marLeft w:val="0"/>
      <w:marRight w:val="0"/>
      <w:marTop w:val="0"/>
      <w:marBottom w:val="0"/>
      <w:divBdr>
        <w:top w:val="none" w:sz="0" w:space="0" w:color="auto"/>
        <w:left w:val="none" w:sz="0" w:space="0" w:color="auto"/>
        <w:bottom w:val="none" w:sz="0" w:space="0" w:color="auto"/>
        <w:right w:val="none" w:sz="0" w:space="0" w:color="auto"/>
      </w:divBdr>
    </w:div>
    <w:div w:id="1339237273">
      <w:bodyDiv w:val="1"/>
      <w:marLeft w:val="0"/>
      <w:marRight w:val="0"/>
      <w:marTop w:val="0"/>
      <w:marBottom w:val="0"/>
      <w:divBdr>
        <w:top w:val="none" w:sz="0" w:space="0" w:color="auto"/>
        <w:left w:val="none" w:sz="0" w:space="0" w:color="auto"/>
        <w:bottom w:val="none" w:sz="0" w:space="0" w:color="auto"/>
        <w:right w:val="none" w:sz="0" w:space="0" w:color="auto"/>
      </w:divBdr>
    </w:div>
    <w:div w:id="1339380585">
      <w:bodyDiv w:val="1"/>
      <w:marLeft w:val="0"/>
      <w:marRight w:val="0"/>
      <w:marTop w:val="0"/>
      <w:marBottom w:val="0"/>
      <w:divBdr>
        <w:top w:val="none" w:sz="0" w:space="0" w:color="auto"/>
        <w:left w:val="none" w:sz="0" w:space="0" w:color="auto"/>
        <w:bottom w:val="none" w:sz="0" w:space="0" w:color="auto"/>
        <w:right w:val="none" w:sz="0" w:space="0" w:color="auto"/>
      </w:divBdr>
    </w:div>
    <w:div w:id="1339388551">
      <w:bodyDiv w:val="1"/>
      <w:marLeft w:val="0"/>
      <w:marRight w:val="0"/>
      <w:marTop w:val="0"/>
      <w:marBottom w:val="0"/>
      <w:divBdr>
        <w:top w:val="none" w:sz="0" w:space="0" w:color="auto"/>
        <w:left w:val="none" w:sz="0" w:space="0" w:color="auto"/>
        <w:bottom w:val="none" w:sz="0" w:space="0" w:color="auto"/>
        <w:right w:val="none" w:sz="0" w:space="0" w:color="auto"/>
      </w:divBdr>
    </w:div>
    <w:div w:id="1339580095">
      <w:bodyDiv w:val="1"/>
      <w:marLeft w:val="0"/>
      <w:marRight w:val="0"/>
      <w:marTop w:val="0"/>
      <w:marBottom w:val="0"/>
      <w:divBdr>
        <w:top w:val="none" w:sz="0" w:space="0" w:color="auto"/>
        <w:left w:val="none" w:sz="0" w:space="0" w:color="auto"/>
        <w:bottom w:val="none" w:sz="0" w:space="0" w:color="auto"/>
        <w:right w:val="none" w:sz="0" w:space="0" w:color="auto"/>
      </w:divBdr>
    </w:div>
    <w:div w:id="1339625680">
      <w:bodyDiv w:val="1"/>
      <w:marLeft w:val="0"/>
      <w:marRight w:val="0"/>
      <w:marTop w:val="0"/>
      <w:marBottom w:val="0"/>
      <w:divBdr>
        <w:top w:val="none" w:sz="0" w:space="0" w:color="auto"/>
        <w:left w:val="none" w:sz="0" w:space="0" w:color="auto"/>
        <w:bottom w:val="none" w:sz="0" w:space="0" w:color="auto"/>
        <w:right w:val="none" w:sz="0" w:space="0" w:color="auto"/>
      </w:divBdr>
    </w:div>
    <w:div w:id="1339692214">
      <w:bodyDiv w:val="1"/>
      <w:marLeft w:val="0"/>
      <w:marRight w:val="0"/>
      <w:marTop w:val="0"/>
      <w:marBottom w:val="0"/>
      <w:divBdr>
        <w:top w:val="none" w:sz="0" w:space="0" w:color="auto"/>
        <w:left w:val="none" w:sz="0" w:space="0" w:color="auto"/>
        <w:bottom w:val="none" w:sz="0" w:space="0" w:color="auto"/>
        <w:right w:val="none" w:sz="0" w:space="0" w:color="auto"/>
      </w:divBdr>
    </w:div>
    <w:div w:id="1340044210">
      <w:bodyDiv w:val="1"/>
      <w:marLeft w:val="0"/>
      <w:marRight w:val="0"/>
      <w:marTop w:val="0"/>
      <w:marBottom w:val="0"/>
      <w:divBdr>
        <w:top w:val="none" w:sz="0" w:space="0" w:color="auto"/>
        <w:left w:val="none" w:sz="0" w:space="0" w:color="auto"/>
        <w:bottom w:val="none" w:sz="0" w:space="0" w:color="auto"/>
        <w:right w:val="none" w:sz="0" w:space="0" w:color="auto"/>
      </w:divBdr>
    </w:div>
    <w:div w:id="1340083363">
      <w:bodyDiv w:val="1"/>
      <w:marLeft w:val="0"/>
      <w:marRight w:val="0"/>
      <w:marTop w:val="0"/>
      <w:marBottom w:val="0"/>
      <w:divBdr>
        <w:top w:val="none" w:sz="0" w:space="0" w:color="auto"/>
        <w:left w:val="none" w:sz="0" w:space="0" w:color="auto"/>
        <w:bottom w:val="none" w:sz="0" w:space="0" w:color="auto"/>
        <w:right w:val="none" w:sz="0" w:space="0" w:color="auto"/>
      </w:divBdr>
    </w:div>
    <w:div w:id="1340278400">
      <w:bodyDiv w:val="1"/>
      <w:marLeft w:val="0"/>
      <w:marRight w:val="0"/>
      <w:marTop w:val="0"/>
      <w:marBottom w:val="0"/>
      <w:divBdr>
        <w:top w:val="none" w:sz="0" w:space="0" w:color="auto"/>
        <w:left w:val="none" w:sz="0" w:space="0" w:color="auto"/>
        <w:bottom w:val="none" w:sz="0" w:space="0" w:color="auto"/>
        <w:right w:val="none" w:sz="0" w:space="0" w:color="auto"/>
      </w:divBdr>
    </w:div>
    <w:div w:id="1340278425">
      <w:bodyDiv w:val="1"/>
      <w:marLeft w:val="0"/>
      <w:marRight w:val="0"/>
      <w:marTop w:val="0"/>
      <w:marBottom w:val="0"/>
      <w:divBdr>
        <w:top w:val="none" w:sz="0" w:space="0" w:color="auto"/>
        <w:left w:val="none" w:sz="0" w:space="0" w:color="auto"/>
        <w:bottom w:val="none" w:sz="0" w:space="0" w:color="auto"/>
        <w:right w:val="none" w:sz="0" w:space="0" w:color="auto"/>
      </w:divBdr>
    </w:div>
    <w:div w:id="1340280661">
      <w:bodyDiv w:val="1"/>
      <w:marLeft w:val="0"/>
      <w:marRight w:val="0"/>
      <w:marTop w:val="0"/>
      <w:marBottom w:val="0"/>
      <w:divBdr>
        <w:top w:val="none" w:sz="0" w:space="0" w:color="auto"/>
        <w:left w:val="none" w:sz="0" w:space="0" w:color="auto"/>
        <w:bottom w:val="none" w:sz="0" w:space="0" w:color="auto"/>
        <w:right w:val="none" w:sz="0" w:space="0" w:color="auto"/>
      </w:divBdr>
    </w:div>
    <w:div w:id="1340504307">
      <w:bodyDiv w:val="1"/>
      <w:marLeft w:val="0"/>
      <w:marRight w:val="0"/>
      <w:marTop w:val="0"/>
      <w:marBottom w:val="0"/>
      <w:divBdr>
        <w:top w:val="none" w:sz="0" w:space="0" w:color="auto"/>
        <w:left w:val="none" w:sz="0" w:space="0" w:color="auto"/>
        <w:bottom w:val="none" w:sz="0" w:space="0" w:color="auto"/>
        <w:right w:val="none" w:sz="0" w:space="0" w:color="auto"/>
      </w:divBdr>
    </w:div>
    <w:div w:id="1340548905">
      <w:bodyDiv w:val="1"/>
      <w:marLeft w:val="0"/>
      <w:marRight w:val="0"/>
      <w:marTop w:val="0"/>
      <w:marBottom w:val="0"/>
      <w:divBdr>
        <w:top w:val="none" w:sz="0" w:space="0" w:color="auto"/>
        <w:left w:val="none" w:sz="0" w:space="0" w:color="auto"/>
        <w:bottom w:val="none" w:sz="0" w:space="0" w:color="auto"/>
        <w:right w:val="none" w:sz="0" w:space="0" w:color="auto"/>
      </w:divBdr>
    </w:div>
    <w:div w:id="1340616109">
      <w:bodyDiv w:val="1"/>
      <w:marLeft w:val="0"/>
      <w:marRight w:val="0"/>
      <w:marTop w:val="0"/>
      <w:marBottom w:val="0"/>
      <w:divBdr>
        <w:top w:val="none" w:sz="0" w:space="0" w:color="auto"/>
        <w:left w:val="none" w:sz="0" w:space="0" w:color="auto"/>
        <w:bottom w:val="none" w:sz="0" w:space="0" w:color="auto"/>
        <w:right w:val="none" w:sz="0" w:space="0" w:color="auto"/>
      </w:divBdr>
    </w:div>
    <w:div w:id="1340621346">
      <w:bodyDiv w:val="1"/>
      <w:marLeft w:val="0"/>
      <w:marRight w:val="0"/>
      <w:marTop w:val="0"/>
      <w:marBottom w:val="0"/>
      <w:divBdr>
        <w:top w:val="none" w:sz="0" w:space="0" w:color="auto"/>
        <w:left w:val="none" w:sz="0" w:space="0" w:color="auto"/>
        <w:bottom w:val="none" w:sz="0" w:space="0" w:color="auto"/>
        <w:right w:val="none" w:sz="0" w:space="0" w:color="auto"/>
      </w:divBdr>
    </w:div>
    <w:div w:id="1340624475">
      <w:bodyDiv w:val="1"/>
      <w:marLeft w:val="0"/>
      <w:marRight w:val="0"/>
      <w:marTop w:val="0"/>
      <w:marBottom w:val="0"/>
      <w:divBdr>
        <w:top w:val="none" w:sz="0" w:space="0" w:color="auto"/>
        <w:left w:val="none" w:sz="0" w:space="0" w:color="auto"/>
        <w:bottom w:val="none" w:sz="0" w:space="0" w:color="auto"/>
        <w:right w:val="none" w:sz="0" w:space="0" w:color="auto"/>
      </w:divBdr>
    </w:div>
    <w:div w:id="1340810667">
      <w:bodyDiv w:val="1"/>
      <w:marLeft w:val="0"/>
      <w:marRight w:val="0"/>
      <w:marTop w:val="0"/>
      <w:marBottom w:val="0"/>
      <w:divBdr>
        <w:top w:val="none" w:sz="0" w:space="0" w:color="auto"/>
        <w:left w:val="none" w:sz="0" w:space="0" w:color="auto"/>
        <w:bottom w:val="none" w:sz="0" w:space="0" w:color="auto"/>
        <w:right w:val="none" w:sz="0" w:space="0" w:color="auto"/>
      </w:divBdr>
    </w:div>
    <w:div w:id="1340890876">
      <w:bodyDiv w:val="1"/>
      <w:marLeft w:val="0"/>
      <w:marRight w:val="0"/>
      <w:marTop w:val="0"/>
      <w:marBottom w:val="0"/>
      <w:divBdr>
        <w:top w:val="none" w:sz="0" w:space="0" w:color="auto"/>
        <w:left w:val="none" w:sz="0" w:space="0" w:color="auto"/>
        <w:bottom w:val="none" w:sz="0" w:space="0" w:color="auto"/>
        <w:right w:val="none" w:sz="0" w:space="0" w:color="auto"/>
      </w:divBdr>
    </w:div>
    <w:div w:id="1340892360">
      <w:bodyDiv w:val="1"/>
      <w:marLeft w:val="0"/>
      <w:marRight w:val="0"/>
      <w:marTop w:val="0"/>
      <w:marBottom w:val="0"/>
      <w:divBdr>
        <w:top w:val="none" w:sz="0" w:space="0" w:color="auto"/>
        <w:left w:val="none" w:sz="0" w:space="0" w:color="auto"/>
        <w:bottom w:val="none" w:sz="0" w:space="0" w:color="auto"/>
        <w:right w:val="none" w:sz="0" w:space="0" w:color="auto"/>
      </w:divBdr>
    </w:div>
    <w:div w:id="1340934724">
      <w:bodyDiv w:val="1"/>
      <w:marLeft w:val="0"/>
      <w:marRight w:val="0"/>
      <w:marTop w:val="0"/>
      <w:marBottom w:val="0"/>
      <w:divBdr>
        <w:top w:val="none" w:sz="0" w:space="0" w:color="auto"/>
        <w:left w:val="none" w:sz="0" w:space="0" w:color="auto"/>
        <w:bottom w:val="none" w:sz="0" w:space="0" w:color="auto"/>
        <w:right w:val="none" w:sz="0" w:space="0" w:color="auto"/>
      </w:divBdr>
    </w:div>
    <w:div w:id="1340963908">
      <w:bodyDiv w:val="1"/>
      <w:marLeft w:val="0"/>
      <w:marRight w:val="0"/>
      <w:marTop w:val="0"/>
      <w:marBottom w:val="0"/>
      <w:divBdr>
        <w:top w:val="none" w:sz="0" w:space="0" w:color="auto"/>
        <w:left w:val="none" w:sz="0" w:space="0" w:color="auto"/>
        <w:bottom w:val="none" w:sz="0" w:space="0" w:color="auto"/>
        <w:right w:val="none" w:sz="0" w:space="0" w:color="auto"/>
      </w:divBdr>
    </w:div>
    <w:div w:id="1341082571">
      <w:bodyDiv w:val="1"/>
      <w:marLeft w:val="0"/>
      <w:marRight w:val="0"/>
      <w:marTop w:val="0"/>
      <w:marBottom w:val="0"/>
      <w:divBdr>
        <w:top w:val="none" w:sz="0" w:space="0" w:color="auto"/>
        <w:left w:val="none" w:sz="0" w:space="0" w:color="auto"/>
        <w:bottom w:val="none" w:sz="0" w:space="0" w:color="auto"/>
        <w:right w:val="none" w:sz="0" w:space="0" w:color="auto"/>
      </w:divBdr>
    </w:div>
    <w:div w:id="1341390900">
      <w:bodyDiv w:val="1"/>
      <w:marLeft w:val="0"/>
      <w:marRight w:val="0"/>
      <w:marTop w:val="0"/>
      <w:marBottom w:val="0"/>
      <w:divBdr>
        <w:top w:val="none" w:sz="0" w:space="0" w:color="auto"/>
        <w:left w:val="none" w:sz="0" w:space="0" w:color="auto"/>
        <w:bottom w:val="none" w:sz="0" w:space="0" w:color="auto"/>
        <w:right w:val="none" w:sz="0" w:space="0" w:color="auto"/>
      </w:divBdr>
    </w:div>
    <w:div w:id="1341393761">
      <w:bodyDiv w:val="1"/>
      <w:marLeft w:val="0"/>
      <w:marRight w:val="0"/>
      <w:marTop w:val="0"/>
      <w:marBottom w:val="0"/>
      <w:divBdr>
        <w:top w:val="none" w:sz="0" w:space="0" w:color="auto"/>
        <w:left w:val="none" w:sz="0" w:space="0" w:color="auto"/>
        <w:bottom w:val="none" w:sz="0" w:space="0" w:color="auto"/>
        <w:right w:val="none" w:sz="0" w:space="0" w:color="auto"/>
      </w:divBdr>
    </w:div>
    <w:div w:id="1341466155">
      <w:bodyDiv w:val="1"/>
      <w:marLeft w:val="0"/>
      <w:marRight w:val="0"/>
      <w:marTop w:val="0"/>
      <w:marBottom w:val="0"/>
      <w:divBdr>
        <w:top w:val="none" w:sz="0" w:space="0" w:color="auto"/>
        <w:left w:val="none" w:sz="0" w:space="0" w:color="auto"/>
        <w:bottom w:val="none" w:sz="0" w:space="0" w:color="auto"/>
        <w:right w:val="none" w:sz="0" w:space="0" w:color="auto"/>
      </w:divBdr>
    </w:div>
    <w:div w:id="1341541203">
      <w:bodyDiv w:val="1"/>
      <w:marLeft w:val="0"/>
      <w:marRight w:val="0"/>
      <w:marTop w:val="0"/>
      <w:marBottom w:val="0"/>
      <w:divBdr>
        <w:top w:val="none" w:sz="0" w:space="0" w:color="auto"/>
        <w:left w:val="none" w:sz="0" w:space="0" w:color="auto"/>
        <w:bottom w:val="none" w:sz="0" w:space="0" w:color="auto"/>
        <w:right w:val="none" w:sz="0" w:space="0" w:color="auto"/>
      </w:divBdr>
    </w:div>
    <w:div w:id="1341547701">
      <w:bodyDiv w:val="1"/>
      <w:marLeft w:val="0"/>
      <w:marRight w:val="0"/>
      <w:marTop w:val="0"/>
      <w:marBottom w:val="0"/>
      <w:divBdr>
        <w:top w:val="none" w:sz="0" w:space="0" w:color="auto"/>
        <w:left w:val="none" w:sz="0" w:space="0" w:color="auto"/>
        <w:bottom w:val="none" w:sz="0" w:space="0" w:color="auto"/>
        <w:right w:val="none" w:sz="0" w:space="0" w:color="auto"/>
      </w:divBdr>
    </w:div>
    <w:div w:id="1341619442">
      <w:bodyDiv w:val="1"/>
      <w:marLeft w:val="0"/>
      <w:marRight w:val="0"/>
      <w:marTop w:val="0"/>
      <w:marBottom w:val="0"/>
      <w:divBdr>
        <w:top w:val="none" w:sz="0" w:space="0" w:color="auto"/>
        <w:left w:val="none" w:sz="0" w:space="0" w:color="auto"/>
        <w:bottom w:val="none" w:sz="0" w:space="0" w:color="auto"/>
        <w:right w:val="none" w:sz="0" w:space="0" w:color="auto"/>
      </w:divBdr>
    </w:div>
    <w:div w:id="1341738523">
      <w:bodyDiv w:val="1"/>
      <w:marLeft w:val="0"/>
      <w:marRight w:val="0"/>
      <w:marTop w:val="0"/>
      <w:marBottom w:val="0"/>
      <w:divBdr>
        <w:top w:val="none" w:sz="0" w:space="0" w:color="auto"/>
        <w:left w:val="none" w:sz="0" w:space="0" w:color="auto"/>
        <w:bottom w:val="none" w:sz="0" w:space="0" w:color="auto"/>
        <w:right w:val="none" w:sz="0" w:space="0" w:color="auto"/>
      </w:divBdr>
    </w:div>
    <w:div w:id="1341852071">
      <w:bodyDiv w:val="1"/>
      <w:marLeft w:val="0"/>
      <w:marRight w:val="0"/>
      <w:marTop w:val="0"/>
      <w:marBottom w:val="0"/>
      <w:divBdr>
        <w:top w:val="none" w:sz="0" w:space="0" w:color="auto"/>
        <w:left w:val="none" w:sz="0" w:space="0" w:color="auto"/>
        <w:bottom w:val="none" w:sz="0" w:space="0" w:color="auto"/>
        <w:right w:val="none" w:sz="0" w:space="0" w:color="auto"/>
      </w:divBdr>
    </w:div>
    <w:div w:id="1341852917">
      <w:bodyDiv w:val="1"/>
      <w:marLeft w:val="0"/>
      <w:marRight w:val="0"/>
      <w:marTop w:val="0"/>
      <w:marBottom w:val="0"/>
      <w:divBdr>
        <w:top w:val="none" w:sz="0" w:space="0" w:color="auto"/>
        <w:left w:val="none" w:sz="0" w:space="0" w:color="auto"/>
        <w:bottom w:val="none" w:sz="0" w:space="0" w:color="auto"/>
        <w:right w:val="none" w:sz="0" w:space="0" w:color="auto"/>
      </w:divBdr>
    </w:div>
    <w:div w:id="1342009047">
      <w:bodyDiv w:val="1"/>
      <w:marLeft w:val="0"/>
      <w:marRight w:val="0"/>
      <w:marTop w:val="0"/>
      <w:marBottom w:val="0"/>
      <w:divBdr>
        <w:top w:val="none" w:sz="0" w:space="0" w:color="auto"/>
        <w:left w:val="none" w:sz="0" w:space="0" w:color="auto"/>
        <w:bottom w:val="none" w:sz="0" w:space="0" w:color="auto"/>
        <w:right w:val="none" w:sz="0" w:space="0" w:color="auto"/>
      </w:divBdr>
    </w:div>
    <w:div w:id="1342010530">
      <w:bodyDiv w:val="1"/>
      <w:marLeft w:val="0"/>
      <w:marRight w:val="0"/>
      <w:marTop w:val="0"/>
      <w:marBottom w:val="0"/>
      <w:divBdr>
        <w:top w:val="none" w:sz="0" w:space="0" w:color="auto"/>
        <w:left w:val="none" w:sz="0" w:space="0" w:color="auto"/>
        <w:bottom w:val="none" w:sz="0" w:space="0" w:color="auto"/>
        <w:right w:val="none" w:sz="0" w:space="0" w:color="auto"/>
      </w:divBdr>
    </w:div>
    <w:div w:id="1342126640">
      <w:bodyDiv w:val="1"/>
      <w:marLeft w:val="0"/>
      <w:marRight w:val="0"/>
      <w:marTop w:val="0"/>
      <w:marBottom w:val="0"/>
      <w:divBdr>
        <w:top w:val="none" w:sz="0" w:space="0" w:color="auto"/>
        <w:left w:val="none" w:sz="0" w:space="0" w:color="auto"/>
        <w:bottom w:val="none" w:sz="0" w:space="0" w:color="auto"/>
        <w:right w:val="none" w:sz="0" w:space="0" w:color="auto"/>
      </w:divBdr>
    </w:div>
    <w:div w:id="1342194479">
      <w:bodyDiv w:val="1"/>
      <w:marLeft w:val="0"/>
      <w:marRight w:val="0"/>
      <w:marTop w:val="0"/>
      <w:marBottom w:val="0"/>
      <w:divBdr>
        <w:top w:val="none" w:sz="0" w:space="0" w:color="auto"/>
        <w:left w:val="none" w:sz="0" w:space="0" w:color="auto"/>
        <w:bottom w:val="none" w:sz="0" w:space="0" w:color="auto"/>
        <w:right w:val="none" w:sz="0" w:space="0" w:color="auto"/>
      </w:divBdr>
    </w:div>
    <w:div w:id="1342195232">
      <w:bodyDiv w:val="1"/>
      <w:marLeft w:val="0"/>
      <w:marRight w:val="0"/>
      <w:marTop w:val="0"/>
      <w:marBottom w:val="0"/>
      <w:divBdr>
        <w:top w:val="none" w:sz="0" w:space="0" w:color="auto"/>
        <w:left w:val="none" w:sz="0" w:space="0" w:color="auto"/>
        <w:bottom w:val="none" w:sz="0" w:space="0" w:color="auto"/>
        <w:right w:val="none" w:sz="0" w:space="0" w:color="auto"/>
      </w:divBdr>
    </w:div>
    <w:div w:id="1342388092">
      <w:bodyDiv w:val="1"/>
      <w:marLeft w:val="0"/>
      <w:marRight w:val="0"/>
      <w:marTop w:val="0"/>
      <w:marBottom w:val="0"/>
      <w:divBdr>
        <w:top w:val="none" w:sz="0" w:space="0" w:color="auto"/>
        <w:left w:val="none" w:sz="0" w:space="0" w:color="auto"/>
        <w:bottom w:val="none" w:sz="0" w:space="0" w:color="auto"/>
        <w:right w:val="none" w:sz="0" w:space="0" w:color="auto"/>
      </w:divBdr>
    </w:div>
    <w:div w:id="1342394640">
      <w:bodyDiv w:val="1"/>
      <w:marLeft w:val="0"/>
      <w:marRight w:val="0"/>
      <w:marTop w:val="0"/>
      <w:marBottom w:val="0"/>
      <w:divBdr>
        <w:top w:val="none" w:sz="0" w:space="0" w:color="auto"/>
        <w:left w:val="none" w:sz="0" w:space="0" w:color="auto"/>
        <w:bottom w:val="none" w:sz="0" w:space="0" w:color="auto"/>
        <w:right w:val="none" w:sz="0" w:space="0" w:color="auto"/>
      </w:divBdr>
    </w:div>
    <w:div w:id="1342583584">
      <w:bodyDiv w:val="1"/>
      <w:marLeft w:val="0"/>
      <w:marRight w:val="0"/>
      <w:marTop w:val="0"/>
      <w:marBottom w:val="0"/>
      <w:divBdr>
        <w:top w:val="none" w:sz="0" w:space="0" w:color="auto"/>
        <w:left w:val="none" w:sz="0" w:space="0" w:color="auto"/>
        <w:bottom w:val="none" w:sz="0" w:space="0" w:color="auto"/>
        <w:right w:val="none" w:sz="0" w:space="0" w:color="auto"/>
      </w:divBdr>
    </w:div>
    <w:div w:id="1342586338">
      <w:bodyDiv w:val="1"/>
      <w:marLeft w:val="0"/>
      <w:marRight w:val="0"/>
      <w:marTop w:val="0"/>
      <w:marBottom w:val="0"/>
      <w:divBdr>
        <w:top w:val="none" w:sz="0" w:space="0" w:color="auto"/>
        <w:left w:val="none" w:sz="0" w:space="0" w:color="auto"/>
        <w:bottom w:val="none" w:sz="0" w:space="0" w:color="auto"/>
        <w:right w:val="none" w:sz="0" w:space="0" w:color="auto"/>
      </w:divBdr>
    </w:div>
    <w:div w:id="1342781113">
      <w:bodyDiv w:val="1"/>
      <w:marLeft w:val="0"/>
      <w:marRight w:val="0"/>
      <w:marTop w:val="0"/>
      <w:marBottom w:val="0"/>
      <w:divBdr>
        <w:top w:val="none" w:sz="0" w:space="0" w:color="auto"/>
        <w:left w:val="none" w:sz="0" w:space="0" w:color="auto"/>
        <w:bottom w:val="none" w:sz="0" w:space="0" w:color="auto"/>
        <w:right w:val="none" w:sz="0" w:space="0" w:color="auto"/>
      </w:divBdr>
    </w:div>
    <w:div w:id="1342926951">
      <w:bodyDiv w:val="1"/>
      <w:marLeft w:val="0"/>
      <w:marRight w:val="0"/>
      <w:marTop w:val="0"/>
      <w:marBottom w:val="0"/>
      <w:divBdr>
        <w:top w:val="none" w:sz="0" w:space="0" w:color="auto"/>
        <w:left w:val="none" w:sz="0" w:space="0" w:color="auto"/>
        <w:bottom w:val="none" w:sz="0" w:space="0" w:color="auto"/>
        <w:right w:val="none" w:sz="0" w:space="0" w:color="auto"/>
      </w:divBdr>
    </w:div>
    <w:div w:id="1342970932">
      <w:bodyDiv w:val="1"/>
      <w:marLeft w:val="0"/>
      <w:marRight w:val="0"/>
      <w:marTop w:val="0"/>
      <w:marBottom w:val="0"/>
      <w:divBdr>
        <w:top w:val="none" w:sz="0" w:space="0" w:color="auto"/>
        <w:left w:val="none" w:sz="0" w:space="0" w:color="auto"/>
        <w:bottom w:val="none" w:sz="0" w:space="0" w:color="auto"/>
        <w:right w:val="none" w:sz="0" w:space="0" w:color="auto"/>
      </w:divBdr>
    </w:div>
    <w:div w:id="1342977070">
      <w:bodyDiv w:val="1"/>
      <w:marLeft w:val="0"/>
      <w:marRight w:val="0"/>
      <w:marTop w:val="0"/>
      <w:marBottom w:val="0"/>
      <w:divBdr>
        <w:top w:val="none" w:sz="0" w:space="0" w:color="auto"/>
        <w:left w:val="none" w:sz="0" w:space="0" w:color="auto"/>
        <w:bottom w:val="none" w:sz="0" w:space="0" w:color="auto"/>
        <w:right w:val="none" w:sz="0" w:space="0" w:color="auto"/>
      </w:divBdr>
    </w:div>
    <w:div w:id="1343127108">
      <w:bodyDiv w:val="1"/>
      <w:marLeft w:val="0"/>
      <w:marRight w:val="0"/>
      <w:marTop w:val="0"/>
      <w:marBottom w:val="0"/>
      <w:divBdr>
        <w:top w:val="none" w:sz="0" w:space="0" w:color="auto"/>
        <w:left w:val="none" w:sz="0" w:space="0" w:color="auto"/>
        <w:bottom w:val="none" w:sz="0" w:space="0" w:color="auto"/>
        <w:right w:val="none" w:sz="0" w:space="0" w:color="auto"/>
      </w:divBdr>
    </w:div>
    <w:div w:id="1343166942">
      <w:bodyDiv w:val="1"/>
      <w:marLeft w:val="0"/>
      <w:marRight w:val="0"/>
      <w:marTop w:val="0"/>
      <w:marBottom w:val="0"/>
      <w:divBdr>
        <w:top w:val="none" w:sz="0" w:space="0" w:color="auto"/>
        <w:left w:val="none" w:sz="0" w:space="0" w:color="auto"/>
        <w:bottom w:val="none" w:sz="0" w:space="0" w:color="auto"/>
        <w:right w:val="none" w:sz="0" w:space="0" w:color="auto"/>
      </w:divBdr>
    </w:div>
    <w:div w:id="1343238800">
      <w:bodyDiv w:val="1"/>
      <w:marLeft w:val="0"/>
      <w:marRight w:val="0"/>
      <w:marTop w:val="0"/>
      <w:marBottom w:val="0"/>
      <w:divBdr>
        <w:top w:val="none" w:sz="0" w:space="0" w:color="auto"/>
        <w:left w:val="none" w:sz="0" w:space="0" w:color="auto"/>
        <w:bottom w:val="none" w:sz="0" w:space="0" w:color="auto"/>
        <w:right w:val="none" w:sz="0" w:space="0" w:color="auto"/>
      </w:divBdr>
    </w:div>
    <w:div w:id="1343362155">
      <w:bodyDiv w:val="1"/>
      <w:marLeft w:val="0"/>
      <w:marRight w:val="0"/>
      <w:marTop w:val="0"/>
      <w:marBottom w:val="0"/>
      <w:divBdr>
        <w:top w:val="none" w:sz="0" w:space="0" w:color="auto"/>
        <w:left w:val="none" w:sz="0" w:space="0" w:color="auto"/>
        <w:bottom w:val="none" w:sz="0" w:space="0" w:color="auto"/>
        <w:right w:val="none" w:sz="0" w:space="0" w:color="auto"/>
      </w:divBdr>
    </w:div>
    <w:div w:id="1343512933">
      <w:bodyDiv w:val="1"/>
      <w:marLeft w:val="0"/>
      <w:marRight w:val="0"/>
      <w:marTop w:val="0"/>
      <w:marBottom w:val="0"/>
      <w:divBdr>
        <w:top w:val="none" w:sz="0" w:space="0" w:color="auto"/>
        <w:left w:val="none" w:sz="0" w:space="0" w:color="auto"/>
        <w:bottom w:val="none" w:sz="0" w:space="0" w:color="auto"/>
        <w:right w:val="none" w:sz="0" w:space="0" w:color="auto"/>
      </w:divBdr>
    </w:div>
    <w:div w:id="1343583665">
      <w:bodyDiv w:val="1"/>
      <w:marLeft w:val="0"/>
      <w:marRight w:val="0"/>
      <w:marTop w:val="0"/>
      <w:marBottom w:val="0"/>
      <w:divBdr>
        <w:top w:val="none" w:sz="0" w:space="0" w:color="auto"/>
        <w:left w:val="none" w:sz="0" w:space="0" w:color="auto"/>
        <w:bottom w:val="none" w:sz="0" w:space="0" w:color="auto"/>
        <w:right w:val="none" w:sz="0" w:space="0" w:color="auto"/>
      </w:divBdr>
    </w:div>
    <w:div w:id="1343583926">
      <w:bodyDiv w:val="1"/>
      <w:marLeft w:val="0"/>
      <w:marRight w:val="0"/>
      <w:marTop w:val="0"/>
      <w:marBottom w:val="0"/>
      <w:divBdr>
        <w:top w:val="none" w:sz="0" w:space="0" w:color="auto"/>
        <w:left w:val="none" w:sz="0" w:space="0" w:color="auto"/>
        <w:bottom w:val="none" w:sz="0" w:space="0" w:color="auto"/>
        <w:right w:val="none" w:sz="0" w:space="0" w:color="auto"/>
      </w:divBdr>
    </w:div>
    <w:div w:id="1343700204">
      <w:bodyDiv w:val="1"/>
      <w:marLeft w:val="0"/>
      <w:marRight w:val="0"/>
      <w:marTop w:val="0"/>
      <w:marBottom w:val="0"/>
      <w:divBdr>
        <w:top w:val="none" w:sz="0" w:space="0" w:color="auto"/>
        <w:left w:val="none" w:sz="0" w:space="0" w:color="auto"/>
        <w:bottom w:val="none" w:sz="0" w:space="0" w:color="auto"/>
        <w:right w:val="none" w:sz="0" w:space="0" w:color="auto"/>
      </w:divBdr>
    </w:div>
    <w:div w:id="1343778162">
      <w:bodyDiv w:val="1"/>
      <w:marLeft w:val="0"/>
      <w:marRight w:val="0"/>
      <w:marTop w:val="0"/>
      <w:marBottom w:val="0"/>
      <w:divBdr>
        <w:top w:val="none" w:sz="0" w:space="0" w:color="auto"/>
        <w:left w:val="none" w:sz="0" w:space="0" w:color="auto"/>
        <w:bottom w:val="none" w:sz="0" w:space="0" w:color="auto"/>
        <w:right w:val="none" w:sz="0" w:space="0" w:color="auto"/>
      </w:divBdr>
    </w:div>
    <w:div w:id="1343780495">
      <w:bodyDiv w:val="1"/>
      <w:marLeft w:val="0"/>
      <w:marRight w:val="0"/>
      <w:marTop w:val="0"/>
      <w:marBottom w:val="0"/>
      <w:divBdr>
        <w:top w:val="none" w:sz="0" w:space="0" w:color="auto"/>
        <w:left w:val="none" w:sz="0" w:space="0" w:color="auto"/>
        <w:bottom w:val="none" w:sz="0" w:space="0" w:color="auto"/>
        <w:right w:val="none" w:sz="0" w:space="0" w:color="auto"/>
      </w:divBdr>
    </w:div>
    <w:div w:id="1343821558">
      <w:bodyDiv w:val="1"/>
      <w:marLeft w:val="0"/>
      <w:marRight w:val="0"/>
      <w:marTop w:val="0"/>
      <w:marBottom w:val="0"/>
      <w:divBdr>
        <w:top w:val="none" w:sz="0" w:space="0" w:color="auto"/>
        <w:left w:val="none" w:sz="0" w:space="0" w:color="auto"/>
        <w:bottom w:val="none" w:sz="0" w:space="0" w:color="auto"/>
        <w:right w:val="none" w:sz="0" w:space="0" w:color="auto"/>
      </w:divBdr>
    </w:div>
    <w:div w:id="1343896976">
      <w:bodyDiv w:val="1"/>
      <w:marLeft w:val="0"/>
      <w:marRight w:val="0"/>
      <w:marTop w:val="0"/>
      <w:marBottom w:val="0"/>
      <w:divBdr>
        <w:top w:val="none" w:sz="0" w:space="0" w:color="auto"/>
        <w:left w:val="none" w:sz="0" w:space="0" w:color="auto"/>
        <w:bottom w:val="none" w:sz="0" w:space="0" w:color="auto"/>
        <w:right w:val="none" w:sz="0" w:space="0" w:color="auto"/>
      </w:divBdr>
    </w:div>
    <w:div w:id="1343968434">
      <w:bodyDiv w:val="1"/>
      <w:marLeft w:val="0"/>
      <w:marRight w:val="0"/>
      <w:marTop w:val="0"/>
      <w:marBottom w:val="0"/>
      <w:divBdr>
        <w:top w:val="none" w:sz="0" w:space="0" w:color="auto"/>
        <w:left w:val="none" w:sz="0" w:space="0" w:color="auto"/>
        <w:bottom w:val="none" w:sz="0" w:space="0" w:color="auto"/>
        <w:right w:val="none" w:sz="0" w:space="0" w:color="auto"/>
      </w:divBdr>
    </w:div>
    <w:div w:id="1344287562">
      <w:bodyDiv w:val="1"/>
      <w:marLeft w:val="0"/>
      <w:marRight w:val="0"/>
      <w:marTop w:val="0"/>
      <w:marBottom w:val="0"/>
      <w:divBdr>
        <w:top w:val="none" w:sz="0" w:space="0" w:color="auto"/>
        <w:left w:val="none" w:sz="0" w:space="0" w:color="auto"/>
        <w:bottom w:val="none" w:sz="0" w:space="0" w:color="auto"/>
        <w:right w:val="none" w:sz="0" w:space="0" w:color="auto"/>
      </w:divBdr>
    </w:div>
    <w:div w:id="1344359790">
      <w:bodyDiv w:val="1"/>
      <w:marLeft w:val="0"/>
      <w:marRight w:val="0"/>
      <w:marTop w:val="0"/>
      <w:marBottom w:val="0"/>
      <w:divBdr>
        <w:top w:val="none" w:sz="0" w:space="0" w:color="auto"/>
        <w:left w:val="none" w:sz="0" w:space="0" w:color="auto"/>
        <w:bottom w:val="none" w:sz="0" w:space="0" w:color="auto"/>
        <w:right w:val="none" w:sz="0" w:space="0" w:color="auto"/>
      </w:divBdr>
    </w:div>
    <w:div w:id="1344434198">
      <w:bodyDiv w:val="1"/>
      <w:marLeft w:val="0"/>
      <w:marRight w:val="0"/>
      <w:marTop w:val="0"/>
      <w:marBottom w:val="0"/>
      <w:divBdr>
        <w:top w:val="none" w:sz="0" w:space="0" w:color="auto"/>
        <w:left w:val="none" w:sz="0" w:space="0" w:color="auto"/>
        <w:bottom w:val="none" w:sz="0" w:space="0" w:color="auto"/>
        <w:right w:val="none" w:sz="0" w:space="0" w:color="auto"/>
      </w:divBdr>
    </w:div>
    <w:div w:id="1344555410">
      <w:bodyDiv w:val="1"/>
      <w:marLeft w:val="0"/>
      <w:marRight w:val="0"/>
      <w:marTop w:val="0"/>
      <w:marBottom w:val="0"/>
      <w:divBdr>
        <w:top w:val="none" w:sz="0" w:space="0" w:color="auto"/>
        <w:left w:val="none" w:sz="0" w:space="0" w:color="auto"/>
        <w:bottom w:val="none" w:sz="0" w:space="0" w:color="auto"/>
        <w:right w:val="none" w:sz="0" w:space="0" w:color="auto"/>
      </w:divBdr>
    </w:div>
    <w:div w:id="1344625744">
      <w:bodyDiv w:val="1"/>
      <w:marLeft w:val="0"/>
      <w:marRight w:val="0"/>
      <w:marTop w:val="0"/>
      <w:marBottom w:val="0"/>
      <w:divBdr>
        <w:top w:val="none" w:sz="0" w:space="0" w:color="auto"/>
        <w:left w:val="none" w:sz="0" w:space="0" w:color="auto"/>
        <w:bottom w:val="none" w:sz="0" w:space="0" w:color="auto"/>
        <w:right w:val="none" w:sz="0" w:space="0" w:color="auto"/>
      </w:divBdr>
    </w:div>
    <w:div w:id="1344699126">
      <w:bodyDiv w:val="1"/>
      <w:marLeft w:val="0"/>
      <w:marRight w:val="0"/>
      <w:marTop w:val="0"/>
      <w:marBottom w:val="0"/>
      <w:divBdr>
        <w:top w:val="none" w:sz="0" w:space="0" w:color="auto"/>
        <w:left w:val="none" w:sz="0" w:space="0" w:color="auto"/>
        <w:bottom w:val="none" w:sz="0" w:space="0" w:color="auto"/>
        <w:right w:val="none" w:sz="0" w:space="0" w:color="auto"/>
      </w:divBdr>
    </w:div>
    <w:div w:id="1344746548">
      <w:bodyDiv w:val="1"/>
      <w:marLeft w:val="0"/>
      <w:marRight w:val="0"/>
      <w:marTop w:val="0"/>
      <w:marBottom w:val="0"/>
      <w:divBdr>
        <w:top w:val="none" w:sz="0" w:space="0" w:color="auto"/>
        <w:left w:val="none" w:sz="0" w:space="0" w:color="auto"/>
        <w:bottom w:val="none" w:sz="0" w:space="0" w:color="auto"/>
        <w:right w:val="none" w:sz="0" w:space="0" w:color="auto"/>
      </w:divBdr>
    </w:div>
    <w:div w:id="1344891831">
      <w:bodyDiv w:val="1"/>
      <w:marLeft w:val="0"/>
      <w:marRight w:val="0"/>
      <w:marTop w:val="0"/>
      <w:marBottom w:val="0"/>
      <w:divBdr>
        <w:top w:val="none" w:sz="0" w:space="0" w:color="auto"/>
        <w:left w:val="none" w:sz="0" w:space="0" w:color="auto"/>
        <w:bottom w:val="none" w:sz="0" w:space="0" w:color="auto"/>
        <w:right w:val="none" w:sz="0" w:space="0" w:color="auto"/>
      </w:divBdr>
    </w:div>
    <w:div w:id="1345130108">
      <w:bodyDiv w:val="1"/>
      <w:marLeft w:val="0"/>
      <w:marRight w:val="0"/>
      <w:marTop w:val="0"/>
      <w:marBottom w:val="0"/>
      <w:divBdr>
        <w:top w:val="none" w:sz="0" w:space="0" w:color="auto"/>
        <w:left w:val="none" w:sz="0" w:space="0" w:color="auto"/>
        <w:bottom w:val="none" w:sz="0" w:space="0" w:color="auto"/>
        <w:right w:val="none" w:sz="0" w:space="0" w:color="auto"/>
      </w:divBdr>
    </w:div>
    <w:div w:id="1345132323">
      <w:bodyDiv w:val="1"/>
      <w:marLeft w:val="0"/>
      <w:marRight w:val="0"/>
      <w:marTop w:val="0"/>
      <w:marBottom w:val="0"/>
      <w:divBdr>
        <w:top w:val="none" w:sz="0" w:space="0" w:color="auto"/>
        <w:left w:val="none" w:sz="0" w:space="0" w:color="auto"/>
        <w:bottom w:val="none" w:sz="0" w:space="0" w:color="auto"/>
        <w:right w:val="none" w:sz="0" w:space="0" w:color="auto"/>
      </w:divBdr>
    </w:div>
    <w:div w:id="1345211644">
      <w:bodyDiv w:val="1"/>
      <w:marLeft w:val="0"/>
      <w:marRight w:val="0"/>
      <w:marTop w:val="0"/>
      <w:marBottom w:val="0"/>
      <w:divBdr>
        <w:top w:val="none" w:sz="0" w:space="0" w:color="auto"/>
        <w:left w:val="none" w:sz="0" w:space="0" w:color="auto"/>
        <w:bottom w:val="none" w:sz="0" w:space="0" w:color="auto"/>
        <w:right w:val="none" w:sz="0" w:space="0" w:color="auto"/>
      </w:divBdr>
    </w:div>
    <w:div w:id="1345283599">
      <w:bodyDiv w:val="1"/>
      <w:marLeft w:val="0"/>
      <w:marRight w:val="0"/>
      <w:marTop w:val="0"/>
      <w:marBottom w:val="0"/>
      <w:divBdr>
        <w:top w:val="none" w:sz="0" w:space="0" w:color="auto"/>
        <w:left w:val="none" w:sz="0" w:space="0" w:color="auto"/>
        <w:bottom w:val="none" w:sz="0" w:space="0" w:color="auto"/>
        <w:right w:val="none" w:sz="0" w:space="0" w:color="auto"/>
      </w:divBdr>
    </w:div>
    <w:div w:id="1345326592">
      <w:bodyDiv w:val="1"/>
      <w:marLeft w:val="0"/>
      <w:marRight w:val="0"/>
      <w:marTop w:val="0"/>
      <w:marBottom w:val="0"/>
      <w:divBdr>
        <w:top w:val="none" w:sz="0" w:space="0" w:color="auto"/>
        <w:left w:val="none" w:sz="0" w:space="0" w:color="auto"/>
        <w:bottom w:val="none" w:sz="0" w:space="0" w:color="auto"/>
        <w:right w:val="none" w:sz="0" w:space="0" w:color="auto"/>
      </w:divBdr>
    </w:div>
    <w:div w:id="1345474991">
      <w:bodyDiv w:val="1"/>
      <w:marLeft w:val="0"/>
      <w:marRight w:val="0"/>
      <w:marTop w:val="0"/>
      <w:marBottom w:val="0"/>
      <w:divBdr>
        <w:top w:val="none" w:sz="0" w:space="0" w:color="auto"/>
        <w:left w:val="none" w:sz="0" w:space="0" w:color="auto"/>
        <w:bottom w:val="none" w:sz="0" w:space="0" w:color="auto"/>
        <w:right w:val="none" w:sz="0" w:space="0" w:color="auto"/>
      </w:divBdr>
    </w:div>
    <w:div w:id="1345594913">
      <w:bodyDiv w:val="1"/>
      <w:marLeft w:val="0"/>
      <w:marRight w:val="0"/>
      <w:marTop w:val="0"/>
      <w:marBottom w:val="0"/>
      <w:divBdr>
        <w:top w:val="none" w:sz="0" w:space="0" w:color="auto"/>
        <w:left w:val="none" w:sz="0" w:space="0" w:color="auto"/>
        <w:bottom w:val="none" w:sz="0" w:space="0" w:color="auto"/>
        <w:right w:val="none" w:sz="0" w:space="0" w:color="auto"/>
      </w:divBdr>
    </w:div>
    <w:div w:id="1345595256">
      <w:bodyDiv w:val="1"/>
      <w:marLeft w:val="0"/>
      <w:marRight w:val="0"/>
      <w:marTop w:val="0"/>
      <w:marBottom w:val="0"/>
      <w:divBdr>
        <w:top w:val="none" w:sz="0" w:space="0" w:color="auto"/>
        <w:left w:val="none" w:sz="0" w:space="0" w:color="auto"/>
        <w:bottom w:val="none" w:sz="0" w:space="0" w:color="auto"/>
        <w:right w:val="none" w:sz="0" w:space="0" w:color="auto"/>
      </w:divBdr>
    </w:div>
    <w:div w:id="1345667353">
      <w:bodyDiv w:val="1"/>
      <w:marLeft w:val="0"/>
      <w:marRight w:val="0"/>
      <w:marTop w:val="0"/>
      <w:marBottom w:val="0"/>
      <w:divBdr>
        <w:top w:val="none" w:sz="0" w:space="0" w:color="auto"/>
        <w:left w:val="none" w:sz="0" w:space="0" w:color="auto"/>
        <w:bottom w:val="none" w:sz="0" w:space="0" w:color="auto"/>
        <w:right w:val="none" w:sz="0" w:space="0" w:color="auto"/>
      </w:divBdr>
    </w:div>
    <w:div w:id="1345671414">
      <w:bodyDiv w:val="1"/>
      <w:marLeft w:val="0"/>
      <w:marRight w:val="0"/>
      <w:marTop w:val="0"/>
      <w:marBottom w:val="0"/>
      <w:divBdr>
        <w:top w:val="none" w:sz="0" w:space="0" w:color="auto"/>
        <w:left w:val="none" w:sz="0" w:space="0" w:color="auto"/>
        <w:bottom w:val="none" w:sz="0" w:space="0" w:color="auto"/>
        <w:right w:val="none" w:sz="0" w:space="0" w:color="auto"/>
      </w:divBdr>
    </w:div>
    <w:div w:id="1345673235">
      <w:bodyDiv w:val="1"/>
      <w:marLeft w:val="0"/>
      <w:marRight w:val="0"/>
      <w:marTop w:val="0"/>
      <w:marBottom w:val="0"/>
      <w:divBdr>
        <w:top w:val="none" w:sz="0" w:space="0" w:color="auto"/>
        <w:left w:val="none" w:sz="0" w:space="0" w:color="auto"/>
        <w:bottom w:val="none" w:sz="0" w:space="0" w:color="auto"/>
        <w:right w:val="none" w:sz="0" w:space="0" w:color="auto"/>
      </w:divBdr>
    </w:div>
    <w:div w:id="1346203023">
      <w:bodyDiv w:val="1"/>
      <w:marLeft w:val="0"/>
      <w:marRight w:val="0"/>
      <w:marTop w:val="0"/>
      <w:marBottom w:val="0"/>
      <w:divBdr>
        <w:top w:val="none" w:sz="0" w:space="0" w:color="auto"/>
        <w:left w:val="none" w:sz="0" w:space="0" w:color="auto"/>
        <w:bottom w:val="none" w:sz="0" w:space="0" w:color="auto"/>
        <w:right w:val="none" w:sz="0" w:space="0" w:color="auto"/>
      </w:divBdr>
    </w:div>
    <w:div w:id="1346440579">
      <w:bodyDiv w:val="1"/>
      <w:marLeft w:val="0"/>
      <w:marRight w:val="0"/>
      <w:marTop w:val="0"/>
      <w:marBottom w:val="0"/>
      <w:divBdr>
        <w:top w:val="none" w:sz="0" w:space="0" w:color="auto"/>
        <w:left w:val="none" w:sz="0" w:space="0" w:color="auto"/>
        <w:bottom w:val="none" w:sz="0" w:space="0" w:color="auto"/>
        <w:right w:val="none" w:sz="0" w:space="0" w:color="auto"/>
      </w:divBdr>
    </w:div>
    <w:div w:id="1346445889">
      <w:bodyDiv w:val="1"/>
      <w:marLeft w:val="0"/>
      <w:marRight w:val="0"/>
      <w:marTop w:val="0"/>
      <w:marBottom w:val="0"/>
      <w:divBdr>
        <w:top w:val="none" w:sz="0" w:space="0" w:color="auto"/>
        <w:left w:val="none" w:sz="0" w:space="0" w:color="auto"/>
        <w:bottom w:val="none" w:sz="0" w:space="0" w:color="auto"/>
        <w:right w:val="none" w:sz="0" w:space="0" w:color="auto"/>
      </w:divBdr>
    </w:div>
    <w:div w:id="1346516059">
      <w:bodyDiv w:val="1"/>
      <w:marLeft w:val="0"/>
      <w:marRight w:val="0"/>
      <w:marTop w:val="0"/>
      <w:marBottom w:val="0"/>
      <w:divBdr>
        <w:top w:val="none" w:sz="0" w:space="0" w:color="auto"/>
        <w:left w:val="none" w:sz="0" w:space="0" w:color="auto"/>
        <w:bottom w:val="none" w:sz="0" w:space="0" w:color="auto"/>
        <w:right w:val="none" w:sz="0" w:space="0" w:color="auto"/>
      </w:divBdr>
    </w:div>
    <w:div w:id="1346521826">
      <w:bodyDiv w:val="1"/>
      <w:marLeft w:val="0"/>
      <w:marRight w:val="0"/>
      <w:marTop w:val="0"/>
      <w:marBottom w:val="0"/>
      <w:divBdr>
        <w:top w:val="none" w:sz="0" w:space="0" w:color="auto"/>
        <w:left w:val="none" w:sz="0" w:space="0" w:color="auto"/>
        <w:bottom w:val="none" w:sz="0" w:space="0" w:color="auto"/>
        <w:right w:val="none" w:sz="0" w:space="0" w:color="auto"/>
      </w:divBdr>
    </w:div>
    <w:div w:id="1346588801">
      <w:bodyDiv w:val="1"/>
      <w:marLeft w:val="0"/>
      <w:marRight w:val="0"/>
      <w:marTop w:val="0"/>
      <w:marBottom w:val="0"/>
      <w:divBdr>
        <w:top w:val="none" w:sz="0" w:space="0" w:color="auto"/>
        <w:left w:val="none" w:sz="0" w:space="0" w:color="auto"/>
        <w:bottom w:val="none" w:sz="0" w:space="0" w:color="auto"/>
        <w:right w:val="none" w:sz="0" w:space="0" w:color="auto"/>
      </w:divBdr>
    </w:div>
    <w:div w:id="1346591704">
      <w:bodyDiv w:val="1"/>
      <w:marLeft w:val="0"/>
      <w:marRight w:val="0"/>
      <w:marTop w:val="0"/>
      <w:marBottom w:val="0"/>
      <w:divBdr>
        <w:top w:val="none" w:sz="0" w:space="0" w:color="auto"/>
        <w:left w:val="none" w:sz="0" w:space="0" w:color="auto"/>
        <w:bottom w:val="none" w:sz="0" w:space="0" w:color="auto"/>
        <w:right w:val="none" w:sz="0" w:space="0" w:color="auto"/>
      </w:divBdr>
    </w:div>
    <w:div w:id="1346707762">
      <w:bodyDiv w:val="1"/>
      <w:marLeft w:val="0"/>
      <w:marRight w:val="0"/>
      <w:marTop w:val="0"/>
      <w:marBottom w:val="0"/>
      <w:divBdr>
        <w:top w:val="none" w:sz="0" w:space="0" w:color="auto"/>
        <w:left w:val="none" w:sz="0" w:space="0" w:color="auto"/>
        <w:bottom w:val="none" w:sz="0" w:space="0" w:color="auto"/>
        <w:right w:val="none" w:sz="0" w:space="0" w:color="auto"/>
      </w:divBdr>
    </w:div>
    <w:div w:id="1346831387">
      <w:bodyDiv w:val="1"/>
      <w:marLeft w:val="0"/>
      <w:marRight w:val="0"/>
      <w:marTop w:val="0"/>
      <w:marBottom w:val="0"/>
      <w:divBdr>
        <w:top w:val="none" w:sz="0" w:space="0" w:color="auto"/>
        <w:left w:val="none" w:sz="0" w:space="0" w:color="auto"/>
        <w:bottom w:val="none" w:sz="0" w:space="0" w:color="auto"/>
        <w:right w:val="none" w:sz="0" w:space="0" w:color="auto"/>
      </w:divBdr>
    </w:div>
    <w:div w:id="1346857158">
      <w:bodyDiv w:val="1"/>
      <w:marLeft w:val="0"/>
      <w:marRight w:val="0"/>
      <w:marTop w:val="0"/>
      <w:marBottom w:val="0"/>
      <w:divBdr>
        <w:top w:val="none" w:sz="0" w:space="0" w:color="auto"/>
        <w:left w:val="none" w:sz="0" w:space="0" w:color="auto"/>
        <w:bottom w:val="none" w:sz="0" w:space="0" w:color="auto"/>
        <w:right w:val="none" w:sz="0" w:space="0" w:color="auto"/>
      </w:divBdr>
    </w:div>
    <w:div w:id="1346978785">
      <w:bodyDiv w:val="1"/>
      <w:marLeft w:val="0"/>
      <w:marRight w:val="0"/>
      <w:marTop w:val="0"/>
      <w:marBottom w:val="0"/>
      <w:divBdr>
        <w:top w:val="none" w:sz="0" w:space="0" w:color="auto"/>
        <w:left w:val="none" w:sz="0" w:space="0" w:color="auto"/>
        <w:bottom w:val="none" w:sz="0" w:space="0" w:color="auto"/>
        <w:right w:val="none" w:sz="0" w:space="0" w:color="auto"/>
      </w:divBdr>
    </w:div>
    <w:div w:id="1347051759">
      <w:bodyDiv w:val="1"/>
      <w:marLeft w:val="0"/>
      <w:marRight w:val="0"/>
      <w:marTop w:val="0"/>
      <w:marBottom w:val="0"/>
      <w:divBdr>
        <w:top w:val="none" w:sz="0" w:space="0" w:color="auto"/>
        <w:left w:val="none" w:sz="0" w:space="0" w:color="auto"/>
        <w:bottom w:val="none" w:sz="0" w:space="0" w:color="auto"/>
        <w:right w:val="none" w:sz="0" w:space="0" w:color="auto"/>
      </w:divBdr>
    </w:div>
    <w:div w:id="1347059614">
      <w:bodyDiv w:val="1"/>
      <w:marLeft w:val="0"/>
      <w:marRight w:val="0"/>
      <w:marTop w:val="0"/>
      <w:marBottom w:val="0"/>
      <w:divBdr>
        <w:top w:val="none" w:sz="0" w:space="0" w:color="auto"/>
        <w:left w:val="none" w:sz="0" w:space="0" w:color="auto"/>
        <w:bottom w:val="none" w:sz="0" w:space="0" w:color="auto"/>
        <w:right w:val="none" w:sz="0" w:space="0" w:color="auto"/>
      </w:divBdr>
    </w:div>
    <w:div w:id="1347094635">
      <w:bodyDiv w:val="1"/>
      <w:marLeft w:val="0"/>
      <w:marRight w:val="0"/>
      <w:marTop w:val="0"/>
      <w:marBottom w:val="0"/>
      <w:divBdr>
        <w:top w:val="none" w:sz="0" w:space="0" w:color="auto"/>
        <w:left w:val="none" w:sz="0" w:space="0" w:color="auto"/>
        <w:bottom w:val="none" w:sz="0" w:space="0" w:color="auto"/>
        <w:right w:val="none" w:sz="0" w:space="0" w:color="auto"/>
      </w:divBdr>
    </w:div>
    <w:div w:id="1347246053">
      <w:bodyDiv w:val="1"/>
      <w:marLeft w:val="0"/>
      <w:marRight w:val="0"/>
      <w:marTop w:val="0"/>
      <w:marBottom w:val="0"/>
      <w:divBdr>
        <w:top w:val="none" w:sz="0" w:space="0" w:color="auto"/>
        <w:left w:val="none" w:sz="0" w:space="0" w:color="auto"/>
        <w:bottom w:val="none" w:sz="0" w:space="0" w:color="auto"/>
        <w:right w:val="none" w:sz="0" w:space="0" w:color="auto"/>
      </w:divBdr>
    </w:div>
    <w:div w:id="1347293865">
      <w:bodyDiv w:val="1"/>
      <w:marLeft w:val="0"/>
      <w:marRight w:val="0"/>
      <w:marTop w:val="0"/>
      <w:marBottom w:val="0"/>
      <w:divBdr>
        <w:top w:val="none" w:sz="0" w:space="0" w:color="auto"/>
        <w:left w:val="none" w:sz="0" w:space="0" w:color="auto"/>
        <w:bottom w:val="none" w:sz="0" w:space="0" w:color="auto"/>
        <w:right w:val="none" w:sz="0" w:space="0" w:color="auto"/>
      </w:divBdr>
    </w:div>
    <w:div w:id="1347361237">
      <w:bodyDiv w:val="1"/>
      <w:marLeft w:val="0"/>
      <w:marRight w:val="0"/>
      <w:marTop w:val="0"/>
      <w:marBottom w:val="0"/>
      <w:divBdr>
        <w:top w:val="none" w:sz="0" w:space="0" w:color="auto"/>
        <w:left w:val="none" w:sz="0" w:space="0" w:color="auto"/>
        <w:bottom w:val="none" w:sz="0" w:space="0" w:color="auto"/>
        <w:right w:val="none" w:sz="0" w:space="0" w:color="auto"/>
      </w:divBdr>
    </w:div>
    <w:div w:id="1347512798">
      <w:bodyDiv w:val="1"/>
      <w:marLeft w:val="0"/>
      <w:marRight w:val="0"/>
      <w:marTop w:val="0"/>
      <w:marBottom w:val="0"/>
      <w:divBdr>
        <w:top w:val="none" w:sz="0" w:space="0" w:color="auto"/>
        <w:left w:val="none" w:sz="0" w:space="0" w:color="auto"/>
        <w:bottom w:val="none" w:sz="0" w:space="0" w:color="auto"/>
        <w:right w:val="none" w:sz="0" w:space="0" w:color="auto"/>
      </w:divBdr>
    </w:div>
    <w:div w:id="1347558534">
      <w:bodyDiv w:val="1"/>
      <w:marLeft w:val="0"/>
      <w:marRight w:val="0"/>
      <w:marTop w:val="0"/>
      <w:marBottom w:val="0"/>
      <w:divBdr>
        <w:top w:val="none" w:sz="0" w:space="0" w:color="auto"/>
        <w:left w:val="none" w:sz="0" w:space="0" w:color="auto"/>
        <w:bottom w:val="none" w:sz="0" w:space="0" w:color="auto"/>
        <w:right w:val="none" w:sz="0" w:space="0" w:color="auto"/>
      </w:divBdr>
    </w:div>
    <w:div w:id="1347631653">
      <w:bodyDiv w:val="1"/>
      <w:marLeft w:val="0"/>
      <w:marRight w:val="0"/>
      <w:marTop w:val="0"/>
      <w:marBottom w:val="0"/>
      <w:divBdr>
        <w:top w:val="none" w:sz="0" w:space="0" w:color="auto"/>
        <w:left w:val="none" w:sz="0" w:space="0" w:color="auto"/>
        <w:bottom w:val="none" w:sz="0" w:space="0" w:color="auto"/>
        <w:right w:val="none" w:sz="0" w:space="0" w:color="auto"/>
      </w:divBdr>
    </w:div>
    <w:div w:id="1347634169">
      <w:bodyDiv w:val="1"/>
      <w:marLeft w:val="0"/>
      <w:marRight w:val="0"/>
      <w:marTop w:val="0"/>
      <w:marBottom w:val="0"/>
      <w:divBdr>
        <w:top w:val="none" w:sz="0" w:space="0" w:color="auto"/>
        <w:left w:val="none" w:sz="0" w:space="0" w:color="auto"/>
        <w:bottom w:val="none" w:sz="0" w:space="0" w:color="auto"/>
        <w:right w:val="none" w:sz="0" w:space="0" w:color="auto"/>
      </w:divBdr>
    </w:div>
    <w:div w:id="1347713609">
      <w:bodyDiv w:val="1"/>
      <w:marLeft w:val="0"/>
      <w:marRight w:val="0"/>
      <w:marTop w:val="0"/>
      <w:marBottom w:val="0"/>
      <w:divBdr>
        <w:top w:val="none" w:sz="0" w:space="0" w:color="auto"/>
        <w:left w:val="none" w:sz="0" w:space="0" w:color="auto"/>
        <w:bottom w:val="none" w:sz="0" w:space="0" w:color="auto"/>
        <w:right w:val="none" w:sz="0" w:space="0" w:color="auto"/>
      </w:divBdr>
    </w:div>
    <w:div w:id="1347749017">
      <w:bodyDiv w:val="1"/>
      <w:marLeft w:val="0"/>
      <w:marRight w:val="0"/>
      <w:marTop w:val="0"/>
      <w:marBottom w:val="0"/>
      <w:divBdr>
        <w:top w:val="none" w:sz="0" w:space="0" w:color="auto"/>
        <w:left w:val="none" w:sz="0" w:space="0" w:color="auto"/>
        <w:bottom w:val="none" w:sz="0" w:space="0" w:color="auto"/>
        <w:right w:val="none" w:sz="0" w:space="0" w:color="auto"/>
      </w:divBdr>
    </w:div>
    <w:div w:id="1347947836">
      <w:bodyDiv w:val="1"/>
      <w:marLeft w:val="0"/>
      <w:marRight w:val="0"/>
      <w:marTop w:val="0"/>
      <w:marBottom w:val="0"/>
      <w:divBdr>
        <w:top w:val="none" w:sz="0" w:space="0" w:color="auto"/>
        <w:left w:val="none" w:sz="0" w:space="0" w:color="auto"/>
        <w:bottom w:val="none" w:sz="0" w:space="0" w:color="auto"/>
        <w:right w:val="none" w:sz="0" w:space="0" w:color="auto"/>
      </w:divBdr>
    </w:div>
    <w:div w:id="1348218742">
      <w:bodyDiv w:val="1"/>
      <w:marLeft w:val="0"/>
      <w:marRight w:val="0"/>
      <w:marTop w:val="0"/>
      <w:marBottom w:val="0"/>
      <w:divBdr>
        <w:top w:val="none" w:sz="0" w:space="0" w:color="auto"/>
        <w:left w:val="none" w:sz="0" w:space="0" w:color="auto"/>
        <w:bottom w:val="none" w:sz="0" w:space="0" w:color="auto"/>
        <w:right w:val="none" w:sz="0" w:space="0" w:color="auto"/>
      </w:divBdr>
    </w:div>
    <w:div w:id="1348219178">
      <w:bodyDiv w:val="1"/>
      <w:marLeft w:val="0"/>
      <w:marRight w:val="0"/>
      <w:marTop w:val="0"/>
      <w:marBottom w:val="0"/>
      <w:divBdr>
        <w:top w:val="none" w:sz="0" w:space="0" w:color="auto"/>
        <w:left w:val="none" w:sz="0" w:space="0" w:color="auto"/>
        <w:bottom w:val="none" w:sz="0" w:space="0" w:color="auto"/>
        <w:right w:val="none" w:sz="0" w:space="0" w:color="auto"/>
      </w:divBdr>
    </w:div>
    <w:div w:id="1348290270">
      <w:bodyDiv w:val="1"/>
      <w:marLeft w:val="0"/>
      <w:marRight w:val="0"/>
      <w:marTop w:val="0"/>
      <w:marBottom w:val="0"/>
      <w:divBdr>
        <w:top w:val="none" w:sz="0" w:space="0" w:color="auto"/>
        <w:left w:val="none" w:sz="0" w:space="0" w:color="auto"/>
        <w:bottom w:val="none" w:sz="0" w:space="0" w:color="auto"/>
        <w:right w:val="none" w:sz="0" w:space="0" w:color="auto"/>
      </w:divBdr>
    </w:div>
    <w:div w:id="1348292093">
      <w:bodyDiv w:val="1"/>
      <w:marLeft w:val="0"/>
      <w:marRight w:val="0"/>
      <w:marTop w:val="0"/>
      <w:marBottom w:val="0"/>
      <w:divBdr>
        <w:top w:val="none" w:sz="0" w:space="0" w:color="auto"/>
        <w:left w:val="none" w:sz="0" w:space="0" w:color="auto"/>
        <w:bottom w:val="none" w:sz="0" w:space="0" w:color="auto"/>
        <w:right w:val="none" w:sz="0" w:space="0" w:color="auto"/>
      </w:divBdr>
    </w:div>
    <w:div w:id="1348366246">
      <w:bodyDiv w:val="1"/>
      <w:marLeft w:val="0"/>
      <w:marRight w:val="0"/>
      <w:marTop w:val="0"/>
      <w:marBottom w:val="0"/>
      <w:divBdr>
        <w:top w:val="none" w:sz="0" w:space="0" w:color="auto"/>
        <w:left w:val="none" w:sz="0" w:space="0" w:color="auto"/>
        <w:bottom w:val="none" w:sz="0" w:space="0" w:color="auto"/>
        <w:right w:val="none" w:sz="0" w:space="0" w:color="auto"/>
      </w:divBdr>
    </w:div>
    <w:div w:id="1348369802">
      <w:bodyDiv w:val="1"/>
      <w:marLeft w:val="0"/>
      <w:marRight w:val="0"/>
      <w:marTop w:val="0"/>
      <w:marBottom w:val="0"/>
      <w:divBdr>
        <w:top w:val="none" w:sz="0" w:space="0" w:color="auto"/>
        <w:left w:val="none" w:sz="0" w:space="0" w:color="auto"/>
        <w:bottom w:val="none" w:sz="0" w:space="0" w:color="auto"/>
        <w:right w:val="none" w:sz="0" w:space="0" w:color="auto"/>
      </w:divBdr>
    </w:div>
    <w:div w:id="1348556433">
      <w:bodyDiv w:val="1"/>
      <w:marLeft w:val="0"/>
      <w:marRight w:val="0"/>
      <w:marTop w:val="0"/>
      <w:marBottom w:val="0"/>
      <w:divBdr>
        <w:top w:val="none" w:sz="0" w:space="0" w:color="auto"/>
        <w:left w:val="none" w:sz="0" w:space="0" w:color="auto"/>
        <w:bottom w:val="none" w:sz="0" w:space="0" w:color="auto"/>
        <w:right w:val="none" w:sz="0" w:space="0" w:color="auto"/>
      </w:divBdr>
    </w:div>
    <w:div w:id="1348559500">
      <w:bodyDiv w:val="1"/>
      <w:marLeft w:val="0"/>
      <w:marRight w:val="0"/>
      <w:marTop w:val="0"/>
      <w:marBottom w:val="0"/>
      <w:divBdr>
        <w:top w:val="none" w:sz="0" w:space="0" w:color="auto"/>
        <w:left w:val="none" w:sz="0" w:space="0" w:color="auto"/>
        <w:bottom w:val="none" w:sz="0" w:space="0" w:color="auto"/>
        <w:right w:val="none" w:sz="0" w:space="0" w:color="auto"/>
      </w:divBdr>
    </w:div>
    <w:div w:id="1348630589">
      <w:bodyDiv w:val="1"/>
      <w:marLeft w:val="0"/>
      <w:marRight w:val="0"/>
      <w:marTop w:val="0"/>
      <w:marBottom w:val="0"/>
      <w:divBdr>
        <w:top w:val="none" w:sz="0" w:space="0" w:color="auto"/>
        <w:left w:val="none" w:sz="0" w:space="0" w:color="auto"/>
        <w:bottom w:val="none" w:sz="0" w:space="0" w:color="auto"/>
        <w:right w:val="none" w:sz="0" w:space="0" w:color="auto"/>
      </w:divBdr>
    </w:div>
    <w:div w:id="1348942419">
      <w:bodyDiv w:val="1"/>
      <w:marLeft w:val="0"/>
      <w:marRight w:val="0"/>
      <w:marTop w:val="0"/>
      <w:marBottom w:val="0"/>
      <w:divBdr>
        <w:top w:val="none" w:sz="0" w:space="0" w:color="auto"/>
        <w:left w:val="none" w:sz="0" w:space="0" w:color="auto"/>
        <w:bottom w:val="none" w:sz="0" w:space="0" w:color="auto"/>
        <w:right w:val="none" w:sz="0" w:space="0" w:color="auto"/>
      </w:divBdr>
    </w:div>
    <w:div w:id="1349064350">
      <w:bodyDiv w:val="1"/>
      <w:marLeft w:val="0"/>
      <w:marRight w:val="0"/>
      <w:marTop w:val="0"/>
      <w:marBottom w:val="0"/>
      <w:divBdr>
        <w:top w:val="none" w:sz="0" w:space="0" w:color="auto"/>
        <w:left w:val="none" w:sz="0" w:space="0" w:color="auto"/>
        <w:bottom w:val="none" w:sz="0" w:space="0" w:color="auto"/>
        <w:right w:val="none" w:sz="0" w:space="0" w:color="auto"/>
      </w:divBdr>
    </w:div>
    <w:div w:id="1349256391">
      <w:bodyDiv w:val="1"/>
      <w:marLeft w:val="0"/>
      <w:marRight w:val="0"/>
      <w:marTop w:val="0"/>
      <w:marBottom w:val="0"/>
      <w:divBdr>
        <w:top w:val="none" w:sz="0" w:space="0" w:color="auto"/>
        <w:left w:val="none" w:sz="0" w:space="0" w:color="auto"/>
        <w:bottom w:val="none" w:sz="0" w:space="0" w:color="auto"/>
        <w:right w:val="none" w:sz="0" w:space="0" w:color="auto"/>
      </w:divBdr>
    </w:div>
    <w:div w:id="1349330379">
      <w:bodyDiv w:val="1"/>
      <w:marLeft w:val="0"/>
      <w:marRight w:val="0"/>
      <w:marTop w:val="0"/>
      <w:marBottom w:val="0"/>
      <w:divBdr>
        <w:top w:val="none" w:sz="0" w:space="0" w:color="auto"/>
        <w:left w:val="none" w:sz="0" w:space="0" w:color="auto"/>
        <w:bottom w:val="none" w:sz="0" w:space="0" w:color="auto"/>
        <w:right w:val="none" w:sz="0" w:space="0" w:color="auto"/>
      </w:divBdr>
    </w:div>
    <w:div w:id="1349481828">
      <w:bodyDiv w:val="1"/>
      <w:marLeft w:val="0"/>
      <w:marRight w:val="0"/>
      <w:marTop w:val="0"/>
      <w:marBottom w:val="0"/>
      <w:divBdr>
        <w:top w:val="none" w:sz="0" w:space="0" w:color="auto"/>
        <w:left w:val="none" w:sz="0" w:space="0" w:color="auto"/>
        <w:bottom w:val="none" w:sz="0" w:space="0" w:color="auto"/>
        <w:right w:val="none" w:sz="0" w:space="0" w:color="auto"/>
      </w:divBdr>
    </w:div>
    <w:div w:id="1349520623">
      <w:bodyDiv w:val="1"/>
      <w:marLeft w:val="0"/>
      <w:marRight w:val="0"/>
      <w:marTop w:val="0"/>
      <w:marBottom w:val="0"/>
      <w:divBdr>
        <w:top w:val="none" w:sz="0" w:space="0" w:color="auto"/>
        <w:left w:val="none" w:sz="0" w:space="0" w:color="auto"/>
        <w:bottom w:val="none" w:sz="0" w:space="0" w:color="auto"/>
        <w:right w:val="none" w:sz="0" w:space="0" w:color="auto"/>
      </w:divBdr>
    </w:div>
    <w:div w:id="1349526668">
      <w:bodyDiv w:val="1"/>
      <w:marLeft w:val="0"/>
      <w:marRight w:val="0"/>
      <w:marTop w:val="0"/>
      <w:marBottom w:val="0"/>
      <w:divBdr>
        <w:top w:val="none" w:sz="0" w:space="0" w:color="auto"/>
        <w:left w:val="none" w:sz="0" w:space="0" w:color="auto"/>
        <w:bottom w:val="none" w:sz="0" w:space="0" w:color="auto"/>
        <w:right w:val="none" w:sz="0" w:space="0" w:color="auto"/>
      </w:divBdr>
    </w:div>
    <w:div w:id="1349598474">
      <w:bodyDiv w:val="1"/>
      <w:marLeft w:val="0"/>
      <w:marRight w:val="0"/>
      <w:marTop w:val="0"/>
      <w:marBottom w:val="0"/>
      <w:divBdr>
        <w:top w:val="none" w:sz="0" w:space="0" w:color="auto"/>
        <w:left w:val="none" w:sz="0" w:space="0" w:color="auto"/>
        <w:bottom w:val="none" w:sz="0" w:space="0" w:color="auto"/>
        <w:right w:val="none" w:sz="0" w:space="0" w:color="auto"/>
      </w:divBdr>
    </w:div>
    <w:div w:id="1349600566">
      <w:bodyDiv w:val="1"/>
      <w:marLeft w:val="0"/>
      <w:marRight w:val="0"/>
      <w:marTop w:val="0"/>
      <w:marBottom w:val="0"/>
      <w:divBdr>
        <w:top w:val="none" w:sz="0" w:space="0" w:color="auto"/>
        <w:left w:val="none" w:sz="0" w:space="0" w:color="auto"/>
        <w:bottom w:val="none" w:sz="0" w:space="0" w:color="auto"/>
        <w:right w:val="none" w:sz="0" w:space="0" w:color="auto"/>
      </w:divBdr>
    </w:div>
    <w:div w:id="1349672711">
      <w:bodyDiv w:val="1"/>
      <w:marLeft w:val="0"/>
      <w:marRight w:val="0"/>
      <w:marTop w:val="0"/>
      <w:marBottom w:val="0"/>
      <w:divBdr>
        <w:top w:val="none" w:sz="0" w:space="0" w:color="auto"/>
        <w:left w:val="none" w:sz="0" w:space="0" w:color="auto"/>
        <w:bottom w:val="none" w:sz="0" w:space="0" w:color="auto"/>
        <w:right w:val="none" w:sz="0" w:space="0" w:color="auto"/>
      </w:divBdr>
    </w:div>
    <w:div w:id="1349678417">
      <w:bodyDiv w:val="1"/>
      <w:marLeft w:val="0"/>
      <w:marRight w:val="0"/>
      <w:marTop w:val="0"/>
      <w:marBottom w:val="0"/>
      <w:divBdr>
        <w:top w:val="none" w:sz="0" w:space="0" w:color="auto"/>
        <w:left w:val="none" w:sz="0" w:space="0" w:color="auto"/>
        <w:bottom w:val="none" w:sz="0" w:space="0" w:color="auto"/>
        <w:right w:val="none" w:sz="0" w:space="0" w:color="auto"/>
      </w:divBdr>
    </w:div>
    <w:div w:id="1349718063">
      <w:bodyDiv w:val="1"/>
      <w:marLeft w:val="0"/>
      <w:marRight w:val="0"/>
      <w:marTop w:val="0"/>
      <w:marBottom w:val="0"/>
      <w:divBdr>
        <w:top w:val="none" w:sz="0" w:space="0" w:color="auto"/>
        <w:left w:val="none" w:sz="0" w:space="0" w:color="auto"/>
        <w:bottom w:val="none" w:sz="0" w:space="0" w:color="auto"/>
        <w:right w:val="none" w:sz="0" w:space="0" w:color="auto"/>
      </w:divBdr>
    </w:div>
    <w:div w:id="1349941453">
      <w:bodyDiv w:val="1"/>
      <w:marLeft w:val="0"/>
      <w:marRight w:val="0"/>
      <w:marTop w:val="0"/>
      <w:marBottom w:val="0"/>
      <w:divBdr>
        <w:top w:val="none" w:sz="0" w:space="0" w:color="auto"/>
        <w:left w:val="none" w:sz="0" w:space="0" w:color="auto"/>
        <w:bottom w:val="none" w:sz="0" w:space="0" w:color="auto"/>
        <w:right w:val="none" w:sz="0" w:space="0" w:color="auto"/>
      </w:divBdr>
    </w:div>
    <w:div w:id="1349941798">
      <w:bodyDiv w:val="1"/>
      <w:marLeft w:val="0"/>
      <w:marRight w:val="0"/>
      <w:marTop w:val="0"/>
      <w:marBottom w:val="0"/>
      <w:divBdr>
        <w:top w:val="none" w:sz="0" w:space="0" w:color="auto"/>
        <w:left w:val="none" w:sz="0" w:space="0" w:color="auto"/>
        <w:bottom w:val="none" w:sz="0" w:space="0" w:color="auto"/>
        <w:right w:val="none" w:sz="0" w:space="0" w:color="auto"/>
      </w:divBdr>
    </w:div>
    <w:div w:id="1349985470">
      <w:bodyDiv w:val="1"/>
      <w:marLeft w:val="0"/>
      <w:marRight w:val="0"/>
      <w:marTop w:val="0"/>
      <w:marBottom w:val="0"/>
      <w:divBdr>
        <w:top w:val="none" w:sz="0" w:space="0" w:color="auto"/>
        <w:left w:val="none" w:sz="0" w:space="0" w:color="auto"/>
        <w:bottom w:val="none" w:sz="0" w:space="0" w:color="auto"/>
        <w:right w:val="none" w:sz="0" w:space="0" w:color="auto"/>
      </w:divBdr>
    </w:div>
    <w:div w:id="1350059136">
      <w:bodyDiv w:val="1"/>
      <w:marLeft w:val="0"/>
      <w:marRight w:val="0"/>
      <w:marTop w:val="0"/>
      <w:marBottom w:val="0"/>
      <w:divBdr>
        <w:top w:val="none" w:sz="0" w:space="0" w:color="auto"/>
        <w:left w:val="none" w:sz="0" w:space="0" w:color="auto"/>
        <w:bottom w:val="none" w:sz="0" w:space="0" w:color="auto"/>
        <w:right w:val="none" w:sz="0" w:space="0" w:color="auto"/>
      </w:divBdr>
    </w:div>
    <w:div w:id="1350252491">
      <w:bodyDiv w:val="1"/>
      <w:marLeft w:val="0"/>
      <w:marRight w:val="0"/>
      <w:marTop w:val="0"/>
      <w:marBottom w:val="0"/>
      <w:divBdr>
        <w:top w:val="none" w:sz="0" w:space="0" w:color="auto"/>
        <w:left w:val="none" w:sz="0" w:space="0" w:color="auto"/>
        <w:bottom w:val="none" w:sz="0" w:space="0" w:color="auto"/>
        <w:right w:val="none" w:sz="0" w:space="0" w:color="auto"/>
      </w:divBdr>
    </w:div>
    <w:div w:id="1350255357">
      <w:bodyDiv w:val="1"/>
      <w:marLeft w:val="0"/>
      <w:marRight w:val="0"/>
      <w:marTop w:val="0"/>
      <w:marBottom w:val="0"/>
      <w:divBdr>
        <w:top w:val="none" w:sz="0" w:space="0" w:color="auto"/>
        <w:left w:val="none" w:sz="0" w:space="0" w:color="auto"/>
        <w:bottom w:val="none" w:sz="0" w:space="0" w:color="auto"/>
        <w:right w:val="none" w:sz="0" w:space="0" w:color="auto"/>
      </w:divBdr>
    </w:div>
    <w:div w:id="1350370488">
      <w:bodyDiv w:val="1"/>
      <w:marLeft w:val="0"/>
      <w:marRight w:val="0"/>
      <w:marTop w:val="0"/>
      <w:marBottom w:val="0"/>
      <w:divBdr>
        <w:top w:val="none" w:sz="0" w:space="0" w:color="auto"/>
        <w:left w:val="none" w:sz="0" w:space="0" w:color="auto"/>
        <w:bottom w:val="none" w:sz="0" w:space="0" w:color="auto"/>
        <w:right w:val="none" w:sz="0" w:space="0" w:color="auto"/>
      </w:divBdr>
    </w:div>
    <w:div w:id="1350372903">
      <w:bodyDiv w:val="1"/>
      <w:marLeft w:val="0"/>
      <w:marRight w:val="0"/>
      <w:marTop w:val="0"/>
      <w:marBottom w:val="0"/>
      <w:divBdr>
        <w:top w:val="none" w:sz="0" w:space="0" w:color="auto"/>
        <w:left w:val="none" w:sz="0" w:space="0" w:color="auto"/>
        <w:bottom w:val="none" w:sz="0" w:space="0" w:color="auto"/>
        <w:right w:val="none" w:sz="0" w:space="0" w:color="auto"/>
      </w:divBdr>
    </w:div>
    <w:div w:id="1350453039">
      <w:bodyDiv w:val="1"/>
      <w:marLeft w:val="0"/>
      <w:marRight w:val="0"/>
      <w:marTop w:val="0"/>
      <w:marBottom w:val="0"/>
      <w:divBdr>
        <w:top w:val="none" w:sz="0" w:space="0" w:color="auto"/>
        <w:left w:val="none" w:sz="0" w:space="0" w:color="auto"/>
        <w:bottom w:val="none" w:sz="0" w:space="0" w:color="auto"/>
        <w:right w:val="none" w:sz="0" w:space="0" w:color="auto"/>
      </w:divBdr>
    </w:div>
    <w:div w:id="1350520625">
      <w:bodyDiv w:val="1"/>
      <w:marLeft w:val="0"/>
      <w:marRight w:val="0"/>
      <w:marTop w:val="0"/>
      <w:marBottom w:val="0"/>
      <w:divBdr>
        <w:top w:val="none" w:sz="0" w:space="0" w:color="auto"/>
        <w:left w:val="none" w:sz="0" w:space="0" w:color="auto"/>
        <w:bottom w:val="none" w:sz="0" w:space="0" w:color="auto"/>
        <w:right w:val="none" w:sz="0" w:space="0" w:color="auto"/>
      </w:divBdr>
    </w:div>
    <w:div w:id="1350529045">
      <w:bodyDiv w:val="1"/>
      <w:marLeft w:val="0"/>
      <w:marRight w:val="0"/>
      <w:marTop w:val="0"/>
      <w:marBottom w:val="0"/>
      <w:divBdr>
        <w:top w:val="none" w:sz="0" w:space="0" w:color="auto"/>
        <w:left w:val="none" w:sz="0" w:space="0" w:color="auto"/>
        <w:bottom w:val="none" w:sz="0" w:space="0" w:color="auto"/>
        <w:right w:val="none" w:sz="0" w:space="0" w:color="auto"/>
      </w:divBdr>
    </w:div>
    <w:div w:id="1350638542">
      <w:bodyDiv w:val="1"/>
      <w:marLeft w:val="0"/>
      <w:marRight w:val="0"/>
      <w:marTop w:val="0"/>
      <w:marBottom w:val="0"/>
      <w:divBdr>
        <w:top w:val="none" w:sz="0" w:space="0" w:color="auto"/>
        <w:left w:val="none" w:sz="0" w:space="0" w:color="auto"/>
        <w:bottom w:val="none" w:sz="0" w:space="0" w:color="auto"/>
        <w:right w:val="none" w:sz="0" w:space="0" w:color="auto"/>
      </w:divBdr>
    </w:div>
    <w:div w:id="1350791830">
      <w:bodyDiv w:val="1"/>
      <w:marLeft w:val="0"/>
      <w:marRight w:val="0"/>
      <w:marTop w:val="0"/>
      <w:marBottom w:val="0"/>
      <w:divBdr>
        <w:top w:val="none" w:sz="0" w:space="0" w:color="auto"/>
        <w:left w:val="none" w:sz="0" w:space="0" w:color="auto"/>
        <w:bottom w:val="none" w:sz="0" w:space="0" w:color="auto"/>
        <w:right w:val="none" w:sz="0" w:space="0" w:color="auto"/>
      </w:divBdr>
    </w:div>
    <w:div w:id="1350906375">
      <w:bodyDiv w:val="1"/>
      <w:marLeft w:val="0"/>
      <w:marRight w:val="0"/>
      <w:marTop w:val="0"/>
      <w:marBottom w:val="0"/>
      <w:divBdr>
        <w:top w:val="none" w:sz="0" w:space="0" w:color="auto"/>
        <w:left w:val="none" w:sz="0" w:space="0" w:color="auto"/>
        <w:bottom w:val="none" w:sz="0" w:space="0" w:color="auto"/>
        <w:right w:val="none" w:sz="0" w:space="0" w:color="auto"/>
      </w:divBdr>
    </w:div>
    <w:div w:id="1350983555">
      <w:bodyDiv w:val="1"/>
      <w:marLeft w:val="0"/>
      <w:marRight w:val="0"/>
      <w:marTop w:val="0"/>
      <w:marBottom w:val="0"/>
      <w:divBdr>
        <w:top w:val="none" w:sz="0" w:space="0" w:color="auto"/>
        <w:left w:val="none" w:sz="0" w:space="0" w:color="auto"/>
        <w:bottom w:val="none" w:sz="0" w:space="0" w:color="auto"/>
        <w:right w:val="none" w:sz="0" w:space="0" w:color="auto"/>
      </w:divBdr>
    </w:div>
    <w:div w:id="1350985397">
      <w:bodyDiv w:val="1"/>
      <w:marLeft w:val="0"/>
      <w:marRight w:val="0"/>
      <w:marTop w:val="0"/>
      <w:marBottom w:val="0"/>
      <w:divBdr>
        <w:top w:val="none" w:sz="0" w:space="0" w:color="auto"/>
        <w:left w:val="none" w:sz="0" w:space="0" w:color="auto"/>
        <w:bottom w:val="none" w:sz="0" w:space="0" w:color="auto"/>
        <w:right w:val="none" w:sz="0" w:space="0" w:color="auto"/>
      </w:divBdr>
    </w:div>
    <w:div w:id="1350988223">
      <w:bodyDiv w:val="1"/>
      <w:marLeft w:val="0"/>
      <w:marRight w:val="0"/>
      <w:marTop w:val="0"/>
      <w:marBottom w:val="0"/>
      <w:divBdr>
        <w:top w:val="none" w:sz="0" w:space="0" w:color="auto"/>
        <w:left w:val="none" w:sz="0" w:space="0" w:color="auto"/>
        <w:bottom w:val="none" w:sz="0" w:space="0" w:color="auto"/>
        <w:right w:val="none" w:sz="0" w:space="0" w:color="auto"/>
      </w:divBdr>
    </w:div>
    <w:div w:id="1351177965">
      <w:bodyDiv w:val="1"/>
      <w:marLeft w:val="0"/>
      <w:marRight w:val="0"/>
      <w:marTop w:val="0"/>
      <w:marBottom w:val="0"/>
      <w:divBdr>
        <w:top w:val="none" w:sz="0" w:space="0" w:color="auto"/>
        <w:left w:val="none" w:sz="0" w:space="0" w:color="auto"/>
        <w:bottom w:val="none" w:sz="0" w:space="0" w:color="auto"/>
        <w:right w:val="none" w:sz="0" w:space="0" w:color="auto"/>
      </w:divBdr>
    </w:div>
    <w:div w:id="1351183426">
      <w:bodyDiv w:val="1"/>
      <w:marLeft w:val="0"/>
      <w:marRight w:val="0"/>
      <w:marTop w:val="0"/>
      <w:marBottom w:val="0"/>
      <w:divBdr>
        <w:top w:val="none" w:sz="0" w:space="0" w:color="auto"/>
        <w:left w:val="none" w:sz="0" w:space="0" w:color="auto"/>
        <w:bottom w:val="none" w:sz="0" w:space="0" w:color="auto"/>
        <w:right w:val="none" w:sz="0" w:space="0" w:color="auto"/>
      </w:divBdr>
    </w:div>
    <w:div w:id="1351252362">
      <w:bodyDiv w:val="1"/>
      <w:marLeft w:val="0"/>
      <w:marRight w:val="0"/>
      <w:marTop w:val="0"/>
      <w:marBottom w:val="0"/>
      <w:divBdr>
        <w:top w:val="none" w:sz="0" w:space="0" w:color="auto"/>
        <w:left w:val="none" w:sz="0" w:space="0" w:color="auto"/>
        <w:bottom w:val="none" w:sz="0" w:space="0" w:color="auto"/>
        <w:right w:val="none" w:sz="0" w:space="0" w:color="auto"/>
      </w:divBdr>
    </w:div>
    <w:div w:id="1351370282">
      <w:bodyDiv w:val="1"/>
      <w:marLeft w:val="0"/>
      <w:marRight w:val="0"/>
      <w:marTop w:val="0"/>
      <w:marBottom w:val="0"/>
      <w:divBdr>
        <w:top w:val="none" w:sz="0" w:space="0" w:color="auto"/>
        <w:left w:val="none" w:sz="0" w:space="0" w:color="auto"/>
        <w:bottom w:val="none" w:sz="0" w:space="0" w:color="auto"/>
        <w:right w:val="none" w:sz="0" w:space="0" w:color="auto"/>
      </w:divBdr>
    </w:div>
    <w:div w:id="1351444564">
      <w:bodyDiv w:val="1"/>
      <w:marLeft w:val="0"/>
      <w:marRight w:val="0"/>
      <w:marTop w:val="0"/>
      <w:marBottom w:val="0"/>
      <w:divBdr>
        <w:top w:val="none" w:sz="0" w:space="0" w:color="auto"/>
        <w:left w:val="none" w:sz="0" w:space="0" w:color="auto"/>
        <w:bottom w:val="none" w:sz="0" w:space="0" w:color="auto"/>
        <w:right w:val="none" w:sz="0" w:space="0" w:color="auto"/>
      </w:divBdr>
    </w:div>
    <w:div w:id="1351565109">
      <w:bodyDiv w:val="1"/>
      <w:marLeft w:val="0"/>
      <w:marRight w:val="0"/>
      <w:marTop w:val="0"/>
      <w:marBottom w:val="0"/>
      <w:divBdr>
        <w:top w:val="none" w:sz="0" w:space="0" w:color="auto"/>
        <w:left w:val="none" w:sz="0" w:space="0" w:color="auto"/>
        <w:bottom w:val="none" w:sz="0" w:space="0" w:color="auto"/>
        <w:right w:val="none" w:sz="0" w:space="0" w:color="auto"/>
      </w:divBdr>
    </w:div>
    <w:div w:id="1351565262">
      <w:bodyDiv w:val="1"/>
      <w:marLeft w:val="0"/>
      <w:marRight w:val="0"/>
      <w:marTop w:val="0"/>
      <w:marBottom w:val="0"/>
      <w:divBdr>
        <w:top w:val="none" w:sz="0" w:space="0" w:color="auto"/>
        <w:left w:val="none" w:sz="0" w:space="0" w:color="auto"/>
        <w:bottom w:val="none" w:sz="0" w:space="0" w:color="auto"/>
        <w:right w:val="none" w:sz="0" w:space="0" w:color="auto"/>
      </w:divBdr>
    </w:div>
    <w:div w:id="1351641487">
      <w:bodyDiv w:val="1"/>
      <w:marLeft w:val="0"/>
      <w:marRight w:val="0"/>
      <w:marTop w:val="0"/>
      <w:marBottom w:val="0"/>
      <w:divBdr>
        <w:top w:val="none" w:sz="0" w:space="0" w:color="auto"/>
        <w:left w:val="none" w:sz="0" w:space="0" w:color="auto"/>
        <w:bottom w:val="none" w:sz="0" w:space="0" w:color="auto"/>
        <w:right w:val="none" w:sz="0" w:space="0" w:color="auto"/>
      </w:divBdr>
    </w:div>
    <w:div w:id="1351833733">
      <w:bodyDiv w:val="1"/>
      <w:marLeft w:val="0"/>
      <w:marRight w:val="0"/>
      <w:marTop w:val="0"/>
      <w:marBottom w:val="0"/>
      <w:divBdr>
        <w:top w:val="none" w:sz="0" w:space="0" w:color="auto"/>
        <w:left w:val="none" w:sz="0" w:space="0" w:color="auto"/>
        <w:bottom w:val="none" w:sz="0" w:space="0" w:color="auto"/>
        <w:right w:val="none" w:sz="0" w:space="0" w:color="auto"/>
      </w:divBdr>
    </w:div>
    <w:div w:id="1351950347">
      <w:bodyDiv w:val="1"/>
      <w:marLeft w:val="0"/>
      <w:marRight w:val="0"/>
      <w:marTop w:val="0"/>
      <w:marBottom w:val="0"/>
      <w:divBdr>
        <w:top w:val="none" w:sz="0" w:space="0" w:color="auto"/>
        <w:left w:val="none" w:sz="0" w:space="0" w:color="auto"/>
        <w:bottom w:val="none" w:sz="0" w:space="0" w:color="auto"/>
        <w:right w:val="none" w:sz="0" w:space="0" w:color="auto"/>
      </w:divBdr>
    </w:div>
    <w:div w:id="1351953361">
      <w:bodyDiv w:val="1"/>
      <w:marLeft w:val="0"/>
      <w:marRight w:val="0"/>
      <w:marTop w:val="0"/>
      <w:marBottom w:val="0"/>
      <w:divBdr>
        <w:top w:val="none" w:sz="0" w:space="0" w:color="auto"/>
        <w:left w:val="none" w:sz="0" w:space="0" w:color="auto"/>
        <w:bottom w:val="none" w:sz="0" w:space="0" w:color="auto"/>
        <w:right w:val="none" w:sz="0" w:space="0" w:color="auto"/>
      </w:divBdr>
    </w:div>
    <w:div w:id="1352075007">
      <w:bodyDiv w:val="1"/>
      <w:marLeft w:val="0"/>
      <w:marRight w:val="0"/>
      <w:marTop w:val="0"/>
      <w:marBottom w:val="0"/>
      <w:divBdr>
        <w:top w:val="none" w:sz="0" w:space="0" w:color="auto"/>
        <w:left w:val="none" w:sz="0" w:space="0" w:color="auto"/>
        <w:bottom w:val="none" w:sz="0" w:space="0" w:color="auto"/>
        <w:right w:val="none" w:sz="0" w:space="0" w:color="auto"/>
      </w:divBdr>
    </w:div>
    <w:div w:id="1352296796">
      <w:bodyDiv w:val="1"/>
      <w:marLeft w:val="0"/>
      <w:marRight w:val="0"/>
      <w:marTop w:val="0"/>
      <w:marBottom w:val="0"/>
      <w:divBdr>
        <w:top w:val="none" w:sz="0" w:space="0" w:color="auto"/>
        <w:left w:val="none" w:sz="0" w:space="0" w:color="auto"/>
        <w:bottom w:val="none" w:sz="0" w:space="0" w:color="auto"/>
        <w:right w:val="none" w:sz="0" w:space="0" w:color="auto"/>
      </w:divBdr>
    </w:div>
    <w:div w:id="1352336857">
      <w:bodyDiv w:val="1"/>
      <w:marLeft w:val="0"/>
      <w:marRight w:val="0"/>
      <w:marTop w:val="0"/>
      <w:marBottom w:val="0"/>
      <w:divBdr>
        <w:top w:val="none" w:sz="0" w:space="0" w:color="auto"/>
        <w:left w:val="none" w:sz="0" w:space="0" w:color="auto"/>
        <w:bottom w:val="none" w:sz="0" w:space="0" w:color="auto"/>
        <w:right w:val="none" w:sz="0" w:space="0" w:color="auto"/>
      </w:divBdr>
    </w:div>
    <w:div w:id="1352415402">
      <w:bodyDiv w:val="1"/>
      <w:marLeft w:val="0"/>
      <w:marRight w:val="0"/>
      <w:marTop w:val="0"/>
      <w:marBottom w:val="0"/>
      <w:divBdr>
        <w:top w:val="none" w:sz="0" w:space="0" w:color="auto"/>
        <w:left w:val="none" w:sz="0" w:space="0" w:color="auto"/>
        <w:bottom w:val="none" w:sz="0" w:space="0" w:color="auto"/>
        <w:right w:val="none" w:sz="0" w:space="0" w:color="auto"/>
      </w:divBdr>
    </w:div>
    <w:div w:id="1352488138">
      <w:bodyDiv w:val="1"/>
      <w:marLeft w:val="0"/>
      <w:marRight w:val="0"/>
      <w:marTop w:val="0"/>
      <w:marBottom w:val="0"/>
      <w:divBdr>
        <w:top w:val="none" w:sz="0" w:space="0" w:color="auto"/>
        <w:left w:val="none" w:sz="0" w:space="0" w:color="auto"/>
        <w:bottom w:val="none" w:sz="0" w:space="0" w:color="auto"/>
        <w:right w:val="none" w:sz="0" w:space="0" w:color="auto"/>
      </w:divBdr>
    </w:div>
    <w:div w:id="1352561687">
      <w:bodyDiv w:val="1"/>
      <w:marLeft w:val="0"/>
      <w:marRight w:val="0"/>
      <w:marTop w:val="0"/>
      <w:marBottom w:val="0"/>
      <w:divBdr>
        <w:top w:val="none" w:sz="0" w:space="0" w:color="auto"/>
        <w:left w:val="none" w:sz="0" w:space="0" w:color="auto"/>
        <w:bottom w:val="none" w:sz="0" w:space="0" w:color="auto"/>
        <w:right w:val="none" w:sz="0" w:space="0" w:color="auto"/>
      </w:divBdr>
    </w:div>
    <w:div w:id="1352563006">
      <w:bodyDiv w:val="1"/>
      <w:marLeft w:val="0"/>
      <w:marRight w:val="0"/>
      <w:marTop w:val="0"/>
      <w:marBottom w:val="0"/>
      <w:divBdr>
        <w:top w:val="none" w:sz="0" w:space="0" w:color="auto"/>
        <w:left w:val="none" w:sz="0" w:space="0" w:color="auto"/>
        <w:bottom w:val="none" w:sz="0" w:space="0" w:color="auto"/>
        <w:right w:val="none" w:sz="0" w:space="0" w:color="auto"/>
      </w:divBdr>
    </w:div>
    <w:div w:id="1352684793">
      <w:bodyDiv w:val="1"/>
      <w:marLeft w:val="0"/>
      <w:marRight w:val="0"/>
      <w:marTop w:val="0"/>
      <w:marBottom w:val="0"/>
      <w:divBdr>
        <w:top w:val="none" w:sz="0" w:space="0" w:color="auto"/>
        <w:left w:val="none" w:sz="0" w:space="0" w:color="auto"/>
        <w:bottom w:val="none" w:sz="0" w:space="0" w:color="auto"/>
        <w:right w:val="none" w:sz="0" w:space="0" w:color="auto"/>
      </w:divBdr>
    </w:div>
    <w:div w:id="1352877771">
      <w:bodyDiv w:val="1"/>
      <w:marLeft w:val="0"/>
      <w:marRight w:val="0"/>
      <w:marTop w:val="0"/>
      <w:marBottom w:val="0"/>
      <w:divBdr>
        <w:top w:val="none" w:sz="0" w:space="0" w:color="auto"/>
        <w:left w:val="none" w:sz="0" w:space="0" w:color="auto"/>
        <w:bottom w:val="none" w:sz="0" w:space="0" w:color="auto"/>
        <w:right w:val="none" w:sz="0" w:space="0" w:color="auto"/>
      </w:divBdr>
    </w:div>
    <w:div w:id="1352955675">
      <w:bodyDiv w:val="1"/>
      <w:marLeft w:val="0"/>
      <w:marRight w:val="0"/>
      <w:marTop w:val="0"/>
      <w:marBottom w:val="0"/>
      <w:divBdr>
        <w:top w:val="none" w:sz="0" w:space="0" w:color="auto"/>
        <w:left w:val="none" w:sz="0" w:space="0" w:color="auto"/>
        <w:bottom w:val="none" w:sz="0" w:space="0" w:color="auto"/>
        <w:right w:val="none" w:sz="0" w:space="0" w:color="auto"/>
      </w:divBdr>
    </w:div>
    <w:div w:id="1352991902">
      <w:bodyDiv w:val="1"/>
      <w:marLeft w:val="0"/>
      <w:marRight w:val="0"/>
      <w:marTop w:val="0"/>
      <w:marBottom w:val="0"/>
      <w:divBdr>
        <w:top w:val="none" w:sz="0" w:space="0" w:color="auto"/>
        <w:left w:val="none" w:sz="0" w:space="0" w:color="auto"/>
        <w:bottom w:val="none" w:sz="0" w:space="0" w:color="auto"/>
        <w:right w:val="none" w:sz="0" w:space="0" w:color="auto"/>
      </w:divBdr>
    </w:div>
    <w:div w:id="1352999220">
      <w:bodyDiv w:val="1"/>
      <w:marLeft w:val="0"/>
      <w:marRight w:val="0"/>
      <w:marTop w:val="0"/>
      <w:marBottom w:val="0"/>
      <w:divBdr>
        <w:top w:val="none" w:sz="0" w:space="0" w:color="auto"/>
        <w:left w:val="none" w:sz="0" w:space="0" w:color="auto"/>
        <w:bottom w:val="none" w:sz="0" w:space="0" w:color="auto"/>
        <w:right w:val="none" w:sz="0" w:space="0" w:color="auto"/>
      </w:divBdr>
    </w:div>
    <w:div w:id="1352999771">
      <w:bodyDiv w:val="1"/>
      <w:marLeft w:val="0"/>
      <w:marRight w:val="0"/>
      <w:marTop w:val="0"/>
      <w:marBottom w:val="0"/>
      <w:divBdr>
        <w:top w:val="none" w:sz="0" w:space="0" w:color="auto"/>
        <w:left w:val="none" w:sz="0" w:space="0" w:color="auto"/>
        <w:bottom w:val="none" w:sz="0" w:space="0" w:color="auto"/>
        <w:right w:val="none" w:sz="0" w:space="0" w:color="auto"/>
      </w:divBdr>
    </w:div>
    <w:div w:id="1353068484">
      <w:bodyDiv w:val="1"/>
      <w:marLeft w:val="0"/>
      <w:marRight w:val="0"/>
      <w:marTop w:val="0"/>
      <w:marBottom w:val="0"/>
      <w:divBdr>
        <w:top w:val="none" w:sz="0" w:space="0" w:color="auto"/>
        <w:left w:val="none" w:sz="0" w:space="0" w:color="auto"/>
        <w:bottom w:val="none" w:sz="0" w:space="0" w:color="auto"/>
        <w:right w:val="none" w:sz="0" w:space="0" w:color="auto"/>
      </w:divBdr>
    </w:div>
    <w:div w:id="1353142327">
      <w:bodyDiv w:val="1"/>
      <w:marLeft w:val="0"/>
      <w:marRight w:val="0"/>
      <w:marTop w:val="0"/>
      <w:marBottom w:val="0"/>
      <w:divBdr>
        <w:top w:val="none" w:sz="0" w:space="0" w:color="auto"/>
        <w:left w:val="none" w:sz="0" w:space="0" w:color="auto"/>
        <w:bottom w:val="none" w:sz="0" w:space="0" w:color="auto"/>
        <w:right w:val="none" w:sz="0" w:space="0" w:color="auto"/>
      </w:divBdr>
    </w:div>
    <w:div w:id="1353147320">
      <w:bodyDiv w:val="1"/>
      <w:marLeft w:val="0"/>
      <w:marRight w:val="0"/>
      <w:marTop w:val="0"/>
      <w:marBottom w:val="0"/>
      <w:divBdr>
        <w:top w:val="none" w:sz="0" w:space="0" w:color="auto"/>
        <w:left w:val="none" w:sz="0" w:space="0" w:color="auto"/>
        <w:bottom w:val="none" w:sz="0" w:space="0" w:color="auto"/>
        <w:right w:val="none" w:sz="0" w:space="0" w:color="auto"/>
      </w:divBdr>
    </w:div>
    <w:div w:id="1353191155">
      <w:bodyDiv w:val="1"/>
      <w:marLeft w:val="0"/>
      <w:marRight w:val="0"/>
      <w:marTop w:val="0"/>
      <w:marBottom w:val="0"/>
      <w:divBdr>
        <w:top w:val="none" w:sz="0" w:space="0" w:color="auto"/>
        <w:left w:val="none" w:sz="0" w:space="0" w:color="auto"/>
        <w:bottom w:val="none" w:sz="0" w:space="0" w:color="auto"/>
        <w:right w:val="none" w:sz="0" w:space="0" w:color="auto"/>
      </w:divBdr>
    </w:div>
    <w:div w:id="1353219280">
      <w:bodyDiv w:val="1"/>
      <w:marLeft w:val="0"/>
      <w:marRight w:val="0"/>
      <w:marTop w:val="0"/>
      <w:marBottom w:val="0"/>
      <w:divBdr>
        <w:top w:val="none" w:sz="0" w:space="0" w:color="auto"/>
        <w:left w:val="none" w:sz="0" w:space="0" w:color="auto"/>
        <w:bottom w:val="none" w:sz="0" w:space="0" w:color="auto"/>
        <w:right w:val="none" w:sz="0" w:space="0" w:color="auto"/>
      </w:divBdr>
    </w:div>
    <w:div w:id="1353340824">
      <w:bodyDiv w:val="1"/>
      <w:marLeft w:val="0"/>
      <w:marRight w:val="0"/>
      <w:marTop w:val="0"/>
      <w:marBottom w:val="0"/>
      <w:divBdr>
        <w:top w:val="none" w:sz="0" w:space="0" w:color="auto"/>
        <w:left w:val="none" w:sz="0" w:space="0" w:color="auto"/>
        <w:bottom w:val="none" w:sz="0" w:space="0" w:color="auto"/>
        <w:right w:val="none" w:sz="0" w:space="0" w:color="auto"/>
      </w:divBdr>
    </w:div>
    <w:div w:id="1353416145">
      <w:bodyDiv w:val="1"/>
      <w:marLeft w:val="0"/>
      <w:marRight w:val="0"/>
      <w:marTop w:val="0"/>
      <w:marBottom w:val="0"/>
      <w:divBdr>
        <w:top w:val="none" w:sz="0" w:space="0" w:color="auto"/>
        <w:left w:val="none" w:sz="0" w:space="0" w:color="auto"/>
        <w:bottom w:val="none" w:sz="0" w:space="0" w:color="auto"/>
        <w:right w:val="none" w:sz="0" w:space="0" w:color="auto"/>
      </w:divBdr>
    </w:div>
    <w:div w:id="1353529051">
      <w:bodyDiv w:val="1"/>
      <w:marLeft w:val="0"/>
      <w:marRight w:val="0"/>
      <w:marTop w:val="0"/>
      <w:marBottom w:val="0"/>
      <w:divBdr>
        <w:top w:val="none" w:sz="0" w:space="0" w:color="auto"/>
        <w:left w:val="none" w:sz="0" w:space="0" w:color="auto"/>
        <w:bottom w:val="none" w:sz="0" w:space="0" w:color="auto"/>
        <w:right w:val="none" w:sz="0" w:space="0" w:color="auto"/>
      </w:divBdr>
    </w:div>
    <w:div w:id="1353797417">
      <w:bodyDiv w:val="1"/>
      <w:marLeft w:val="0"/>
      <w:marRight w:val="0"/>
      <w:marTop w:val="0"/>
      <w:marBottom w:val="0"/>
      <w:divBdr>
        <w:top w:val="none" w:sz="0" w:space="0" w:color="auto"/>
        <w:left w:val="none" w:sz="0" w:space="0" w:color="auto"/>
        <w:bottom w:val="none" w:sz="0" w:space="0" w:color="auto"/>
        <w:right w:val="none" w:sz="0" w:space="0" w:color="auto"/>
      </w:divBdr>
    </w:div>
    <w:div w:id="1353843500">
      <w:bodyDiv w:val="1"/>
      <w:marLeft w:val="0"/>
      <w:marRight w:val="0"/>
      <w:marTop w:val="0"/>
      <w:marBottom w:val="0"/>
      <w:divBdr>
        <w:top w:val="none" w:sz="0" w:space="0" w:color="auto"/>
        <w:left w:val="none" w:sz="0" w:space="0" w:color="auto"/>
        <w:bottom w:val="none" w:sz="0" w:space="0" w:color="auto"/>
        <w:right w:val="none" w:sz="0" w:space="0" w:color="auto"/>
      </w:divBdr>
    </w:div>
    <w:div w:id="1353871506">
      <w:bodyDiv w:val="1"/>
      <w:marLeft w:val="0"/>
      <w:marRight w:val="0"/>
      <w:marTop w:val="0"/>
      <w:marBottom w:val="0"/>
      <w:divBdr>
        <w:top w:val="none" w:sz="0" w:space="0" w:color="auto"/>
        <w:left w:val="none" w:sz="0" w:space="0" w:color="auto"/>
        <w:bottom w:val="none" w:sz="0" w:space="0" w:color="auto"/>
        <w:right w:val="none" w:sz="0" w:space="0" w:color="auto"/>
      </w:divBdr>
    </w:div>
    <w:div w:id="1354109110">
      <w:bodyDiv w:val="1"/>
      <w:marLeft w:val="0"/>
      <w:marRight w:val="0"/>
      <w:marTop w:val="0"/>
      <w:marBottom w:val="0"/>
      <w:divBdr>
        <w:top w:val="none" w:sz="0" w:space="0" w:color="auto"/>
        <w:left w:val="none" w:sz="0" w:space="0" w:color="auto"/>
        <w:bottom w:val="none" w:sz="0" w:space="0" w:color="auto"/>
        <w:right w:val="none" w:sz="0" w:space="0" w:color="auto"/>
      </w:divBdr>
    </w:div>
    <w:div w:id="1354114088">
      <w:bodyDiv w:val="1"/>
      <w:marLeft w:val="0"/>
      <w:marRight w:val="0"/>
      <w:marTop w:val="0"/>
      <w:marBottom w:val="0"/>
      <w:divBdr>
        <w:top w:val="none" w:sz="0" w:space="0" w:color="auto"/>
        <w:left w:val="none" w:sz="0" w:space="0" w:color="auto"/>
        <w:bottom w:val="none" w:sz="0" w:space="0" w:color="auto"/>
        <w:right w:val="none" w:sz="0" w:space="0" w:color="auto"/>
      </w:divBdr>
    </w:div>
    <w:div w:id="1354306536">
      <w:bodyDiv w:val="1"/>
      <w:marLeft w:val="0"/>
      <w:marRight w:val="0"/>
      <w:marTop w:val="0"/>
      <w:marBottom w:val="0"/>
      <w:divBdr>
        <w:top w:val="none" w:sz="0" w:space="0" w:color="auto"/>
        <w:left w:val="none" w:sz="0" w:space="0" w:color="auto"/>
        <w:bottom w:val="none" w:sz="0" w:space="0" w:color="auto"/>
        <w:right w:val="none" w:sz="0" w:space="0" w:color="auto"/>
      </w:divBdr>
    </w:div>
    <w:div w:id="1354309864">
      <w:bodyDiv w:val="1"/>
      <w:marLeft w:val="0"/>
      <w:marRight w:val="0"/>
      <w:marTop w:val="0"/>
      <w:marBottom w:val="0"/>
      <w:divBdr>
        <w:top w:val="none" w:sz="0" w:space="0" w:color="auto"/>
        <w:left w:val="none" w:sz="0" w:space="0" w:color="auto"/>
        <w:bottom w:val="none" w:sz="0" w:space="0" w:color="auto"/>
        <w:right w:val="none" w:sz="0" w:space="0" w:color="auto"/>
      </w:divBdr>
    </w:div>
    <w:div w:id="1354380484">
      <w:bodyDiv w:val="1"/>
      <w:marLeft w:val="0"/>
      <w:marRight w:val="0"/>
      <w:marTop w:val="0"/>
      <w:marBottom w:val="0"/>
      <w:divBdr>
        <w:top w:val="none" w:sz="0" w:space="0" w:color="auto"/>
        <w:left w:val="none" w:sz="0" w:space="0" w:color="auto"/>
        <w:bottom w:val="none" w:sz="0" w:space="0" w:color="auto"/>
        <w:right w:val="none" w:sz="0" w:space="0" w:color="auto"/>
      </w:divBdr>
    </w:div>
    <w:div w:id="1354455377">
      <w:bodyDiv w:val="1"/>
      <w:marLeft w:val="0"/>
      <w:marRight w:val="0"/>
      <w:marTop w:val="0"/>
      <w:marBottom w:val="0"/>
      <w:divBdr>
        <w:top w:val="none" w:sz="0" w:space="0" w:color="auto"/>
        <w:left w:val="none" w:sz="0" w:space="0" w:color="auto"/>
        <w:bottom w:val="none" w:sz="0" w:space="0" w:color="auto"/>
        <w:right w:val="none" w:sz="0" w:space="0" w:color="auto"/>
      </w:divBdr>
    </w:div>
    <w:div w:id="1354526627">
      <w:bodyDiv w:val="1"/>
      <w:marLeft w:val="0"/>
      <w:marRight w:val="0"/>
      <w:marTop w:val="0"/>
      <w:marBottom w:val="0"/>
      <w:divBdr>
        <w:top w:val="none" w:sz="0" w:space="0" w:color="auto"/>
        <w:left w:val="none" w:sz="0" w:space="0" w:color="auto"/>
        <w:bottom w:val="none" w:sz="0" w:space="0" w:color="auto"/>
        <w:right w:val="none" w:sz="0" w:space="0" w:color="auto"/>
      </w:divBdr>
    </w:div>
    <w:div w:id="1354570964">
      <w:bodyDiv w:val="1"/>
      <w:marLeft w:val="0"/>
      <w:marRight w:val="0"/>
      <w:marTop w:val="0"/>
      <w:marBottom w:val="0"/>
      <w:divBdr>
        <w:top w:val="none" w:sz="0" w:space="0" w:color="auto"/>
        <w:left w:val="none" w:sz="0" w:space="0" w:color="auto"/>
        <w:bottom w:val="none" w:sz="0" w:space="0" w:color="auto"/>
        <w:right w:val="none" w:sz="0" w:space="0" w:color="auto"/>
      </w:divBdr>
    </w:div>
    <w:div w:id="1354573399">
      <w:bodyDiv w:val="1"/>
      <w:marLeft w:val="0"/>
      <w:marRight w:val="0"/>
      <w:marTop w:val="0"/>
      <w:marBottom w:val="0"/>
      <w:divBdr>
        <w:top w:val="none" w:sz="0" w:space="0" w:color="auto"/>
        <w:left w:val="none" w:sz="0" w:space="0" w:color="auto"/>
        <w:bottom w:val="none" w:sz="0" w:space="0" w:color="auto"/>
        <w:right w:val="none" w:sz="0" w:space="0" w:color="auto"/>
      </w:divBdr>
    </w:div>
    <w:div w:id="1354647373">
      <w:bodyDiv w:val="1"/>
      <w:marLeft w:val="0"/>
      <w:marRight w:val="0"/>
      <w:marTop w:val="0"/>
      <w:marBottom w:val="0"/>
      <w:divBdr>
        <w:top w:val="none" w:sz="0" w:space="0" w:color="auto"/>
        <w:left w:val="none" w:sz="0" w:space="0" w:color="auto"/>
        <w:bottom w:val="none" w:sz="0" w:space="0" w:color="auto"/>
        <w:right w:val="none" w:sz="0" w:space="0" w:color="auto"/>
      </w:divBdr>
    </w:div>
    <w:div w:id="1354696018">
      <w:bodyDiv w:val="1"/>
      <w:marLeft w:val="0"/>
      <w:marRight w:val="0"/>
      <w:marTop w:val="0"/>
      <w:marBottom w:val="0"/>
      <w:divBdr>
        <w:top w:val="none" w:sz="0" w:space="0" w:color="auto"/>
        <w:left w:val="none" w:sz="0" w:space="0" w:color="auto"/>
        <w:bottom w:val="none" w:sz="0" w:space="0" w:color="auto"/>
        <w:right w:val="none" w:sz="0" w:space="0" w:color="auto"/>
      </w:divBdr>
    </w:div>
    <w:div w:id="1354767301">
      <w:bodyDiv w:val="1"/>
      <w:marLeft w:val="0"/>
      <w:marRight w:val="0"/>
      <w:marTop w:val="0"/>
      <w:marBottom w:val="0"/>
      <w:divBdr>
        <w:top w:val="none" w:sz="0" w:space="0" w:color="auto"/>
        <w:left w:val="none" w:sz="0" w:space="0" w:color="auto"/>
        <w:bottom w:val="none" w:sz="0" w:space="0" w:color="auto"/>
        <w:right w:val="none" w:sz="0" w:space="0" w:color="auto"/>
      </w:divBdr>
    </w:div>
    <w:div w:id="1354914448">
      <w:bodyDiv w:val="1"/>
      <w:marLeft w:val="0"/>
      <w:marRight w:val="0"/>
      <w:marTop w:val="0"/>
      <w:marBottom w:val="0"/>
      <w:divBdr>
        <w:top w:val="none" w:sz="0" w:space="0" w:color="auto"/>
        <w:left w:val="none" w:sz="0" w:space="0" w:color="auto"/>
        <w:bottom w:val="none" w:sz="0" w:space="0" w:color="auto"/>
        <w:right w:val="none" w:sz="0" w:space="0" w:color="auto"/>
      </w:divBdr>
    </w:div>
    <w:div w:id="1354957608">
      <w:bodyDiv w:val="1"/>
      <w:marLeft w:val="0"/>
      <w:marRight w:val="0"/>
      <w:marTop w:val="0"/>
      <w:marBottom w:val="0"/>
      <w:divBdr>
        <w:top w:val="none" w:sz="0" w:space="0" w:color="auto"/>
        <w:left w:val="none" w:sz="0" w:space="0" w:color="auto"/>
        <w:bottom w:val="none" w:sz="0" w:space="0" w:color="auto"/>
        <w:right w:val="none" w:sz="0" w:space="0" w:color="auto"/>
      </w:divBdr>
    </w:div>
    <w:div w:id="1354959849">
      <w:bodyDiv w:val="1"/>
      <w:marLeft w:val="0"/>
      <w:marRight w:val="0"/>
      <w:marTop w:val="0"/>
      <w:marBottom w:val="0"/>
      <w:divBdr>
        <w:top w:val="none" w:sz="0" w:space="0" w:color="auto"/>
        <w:left w:val="none" w:sz="0" w:space="0" w:color="auto"/>
        <w:bottom w:val="none" w:sz="0" w:space="0" w:color="auto"/>
        <w:right w:val="none" w:sz="0" w:space="0" w:color="auto"/>
      </w:divBdr>
    </w:div>
    <w:div w:id="1355040318">
      <w:bodyDiv w:val="1"/>
      <w:marLeft w:val="0"/>
      <w:marRight w:val="0"/>
      <w:marTop w:val="0"/>
      <w:marBottom w:val="0"/>
      <w:divBdr>
        <w:top w:val="none" w:sz="0" w:space="0" w:color="auto"/>
        <w:left w:val="none" w:sz="0" w:space="0" w:color="auto"/>
        <w:bottom w:val="none" w:sz="0" w:space="0" w:color="auto"/>
        <w:right w:val="none" w:sz="0" w:space="0" w:color="auto"/>
      </w:divBdr>
    </w:div>
    <w:div w:id="1355114831">
      <w:bodyDiv w:val="1"/>
      <w:marLeft w:val="0"/>
      <w:marRight w:val="0"/>
      <w:marTop w:val="0"/>
      <w:marBottom w:val="0"/>
      <w:divBdr>
        <w:top w:val="none" w:sz="0" w:space="0" w:color="auto"/>
        <w:left w:val="none" w:sz="0" w:space="0" w:color="auto"/>
        <w:bottom w:val="none" w:sz="0" w:space="0" w:color="auto"/>
        <w:right w:val="none" w:sz="0" w:space="0" w:color="auto"/>
      </w:divBdr>
    </w:div>
    <w:div w:id="1355154582">
      <w:bodyDiv w:val="1"/>
      <w:marLeft w:val="0"/>
      <w:marRight w:val="0"/>
      <w:marTop w:val="0"/>
      <w:marBottom w:val="0"/>
      <w:divBdr>
        <w:top w:val="none" w:sz="0" w:space="0" w:color="auto"/>
        <w:left w:val="none" w:sz="0" w:space="0" w:color="auto"/>
        <w:bottom w:val="none" w:sz="0" w:space="0" w:color="auto"/>
        <w:right w:val="none" w:sz="0" w:space="0" w:color="auto"/>
      </w:divBdr>
    </w:div>
    <w:div w:id="1355154729">
      <w:bodyDiv w:val="1"/>
      <w:marLeft w:val="0"/>
      <w:marRight w:val="0"/>
      <w:marTop w:val="0"/>
      <w:marBottom w:val="0"/>
      <w:divBdr>
        <w:top w:val="none" w:sz="0" w:space="0" w:color="auto"/>
        <w:left w:val="none" w:sz="0" w:space="0" w:color="auto"/>
        <w:bottom w:val="none" w:sz="0" w:space="0" w:color="auto"/>
        <w:right w:val="none" w:sz="0" w:space="0" w:color="auto"/>
      </w:divBdr>
    </w:div>
    <w:div w:id="1355379086">
      <w:bodyDiv w:val="1"/>
      <w:marLeft w:val="0"/>
      <w:marRight w:val="0"/>
      <w:marTop w:val="0"/>
      <w:marBottom w:val="0"/>
      <w:divBdr>
        <w:top w:val="none" w:sz="0" w:space="0" w:color="auto"/>
        <w:left w:val="none" w:sz="0" w:space="0" w:color="auto"/>
        <w:bottom w:val="none" w:sz="0" w:space="0" w:color="auto"/>
        <w:right w:val="none" w:sz="0" w:space="0" w:color="auto"/>
      </w:divBdr>
    </w:div>
    <w:div w:id="1355381785">
      <w:bodyDiv w:val="1"/>
      <w:marLeft w:val="0"/>
      <w:marRight w:val="0"/>
      <w:marTop w:val="0"/>
      <w:marBottom w:val="0"/>
      <w:divBdr>
        <w:top w:val="none" w:sz="0" w:space="0" w:color="auto"/>
        <w:left w:val="none" w:sz="0" w:space="0" w:color="auto"/>
        <w:bottom w:val="none" w:sz="0" w:space="0" w:color="auto"/>
        <w:right w:val="none" w:sz="0" w:space="0" w:color="auto"/>
      </w:divBdr>
    </w:div>
    <w:div w:id="1355686919">
      <w:bodyDiv w:val="1"/>
      <w:marLeft w:val="0"/>
      <w:marRight w:val="0"/>
      <w:marTop w:val="0"/>
      <w:marBottom w:val="0"/>
      <w:divBdr>
        <w:top w:val="none" w:sz="0" w:space="0" w:color="auto"/>
        <w:left w:val="none" w:sz="0" w:space="0" w:color="auto"/>
        <w:bottom w:val="none" w:sz="0" w:space="0" w:color="auto"/>
        <w:right w:val="none" w:sz="0" w:space="0" w:color="auto"/>
      </w:divBdr>
    </w:div>
    <w:div w:id="1355693316">
      <w:bodyDiv w:val="1"/>
      <w:marLeft w:val="0"/>
      <w:marRight w:val="0"/>
      <w:marTop w:val="0"/>
      <w:marBottom w:val="0"/>
      <w:divBdr>
        <w:top w:val="none" w:sz="0" w:space="0" w:color="auto"/>
        <w:left w:val="none" w:sz="0" w:space="0" w:color="auto"/>
        <w:bottom w:val="none" w:sz="0" w:space="0" w:color="auto"/>
        <w:right w:val="none" w:sz="0" w:space="0" w:color="auto"/>
      </w:divBdr>
    </w:div>
    <w:div w:id="1355880379">
      <w:bodyDiv w:val="1"/>
      <w:marLeft w:val="0"/>
      <w:marRight w:val="0"/>
      <w:marTop w:val="0"/>
      <w:marBottom w:val="0"/>
      <w:divBdr>
        <w:top w:val="none" w:sz="0" w:space="0" w:color="auto"/>
        <w:left w:val="none" w:sz="0" w:space="0" w:color="auto"/>
        <w:bottom w:val="none" w:sz="0" w:space="0" w:color="auto"/>
        <w:right w:val="none" w:sz="0" w:space="0" w:color="auto"/>
      </w:divBdr>
    </w:div>
    <w:div w:id="1355886715">
      <w:bodyDiv w:val="1"/>
      <w:marLeft w:val="0"/>
      <w:marRight w:val="0"/>
      <w:marTop w:val="0"/>
      <w:marBottom w:val="0"/>
      <w:divBdr>
        <w:top w:val="none" w:sz="0" w:space="0" w:color="auto"/>
        <w:left w:val="none" w:sz="0" w:space="0" w:color="auto"/>
        <w:bottom w:val="none" w:sz="0" w:space="0" w:color="auto"/>
        <w:right w:val="none" w:sz="0" w:space="0" w:color="auto"/>
      </w:divBdr>
    </w:div>
    <w:div w:id="1355889202">
      <w:bodyDiv w:val="1"/>
      <w:marLeft w:val="0"/>
      <w:marRight w:val="0"/>
      <w:marTop w:val="0"/>
      <w:marBottom w:val="0"/>
      <w:divBdr>
        <w:top w:val="none" w:sz="0" w:space="0" w:color="auto"/>
        <w:left w:val="none" w:sz="0" w:space="0" w:color="auto"/>
        <w:bottom w:val="none" w:sz="0" w:space="0" w:color="auto"/>
        <w:right w:val="none" w:sz="0" w:space="0" w:color="auto"/>
      </w:divBdr>
    </w:div>
    <w:div w:id="1356073897">
      <w:bodyDiv w:val="1"/>
      <w:marLeft w:val="0"/>
      <w:marRight w:val="0"/>
      <w:marTop w:val="0"/>
      <w:marBottom w:val="0"/>
      <w:divBdr>
        <w:top w:val="none" w:sz="0" w:space="0" w:color="auto"/>
        <w:left w:val="none" w:sz="0" w:space="0" w:color="auto"/>
        <w:bottom w:val="none" w:sz="0" w:space="0" w:color="auto"/>
        <w:right w:val="none" w:sz="0" w:space="0" w:color="auto"/>
      </w:divBdr>
    </w:div>
    <w:div w:id="1356077227">
      <w:bodyDiv w:val="1"/>
      <w:marLeft w:val="0"/>
      <w:marRight w:val="0"/>
      <w:marTop w:val="0"/>
      <w:marBottom w:val="0"/>
      <w:divBdr>
        <w:top w:val="none" w:sz="0" w:space="0" w:color="auto"/>
        <w:left w:val="none" w:sz="0" w:space="0" w:color="auto"/>
        <w:bottom w:val="none" w:sz="0" w:space="0" w:color="auto"/>
        <w:right w:val="none" w:sz="0" w:space="0" w:color="auto"/>
      </w:divBdr>
    </w:div>
    <w:div w:id="1356151065">
      <w:bodyDiv w:val="1"/>
      <w:marLeft w:val="0"/>
      <w:marRight w:val="0"/>
      <w:marTop w:val="0"/>
      <w:marBottom w:val="0"/>
      <w:divBdr>
        <w:top w:val="none" w:sz="0" w:space="0" w:color="auto"/>
        <w:left w:val="none" w:sz="0" w:space="0" w:color="auto"/>
        <w:bottom w:val="none" w:sz="0" w:space="0" w:color="auto"/>
        <w:right w:val="none" w:sz="0" w:space="0" w:color="auto"/>
      </w:divBdr>
    </w:div>
    <w:div w:id="1356226900">
      <w:bodyDiv w:val="1"/>
      <w:marLeft w:val="0"/>
      <w:marRight w:val="0"/>
      <w:marTop w:val="0"/>
      <w:marBottom w:val="0"/>
      <w:divBdr>
        <w:top w:val="none" w:sz="0" w:space="0" w:color="auto"/>
        <w:left w:val="none" w:sz="0" w:space="0" w:color="auto"/>
        <w:bottom w:val="none" w:sz="0" w:space="0" w:color="auto"/>
        <w:right w:val="none" w:sz="0" w:space="0" w:color="auto"/>
      </w:divBdr>
    </w:div>
    <w:div w:id="1356228669">
      <w:bodyDiv w:val="1"/>
      <w:marLeft w:val="0"/>
      <w:marRight w:val="0"/>
      <w:marTop w:val="0"/>
      <w:marBottom w:val="0"/>
      <w:divBdr>
        <w:top w:val="none" w:sz="0" w:space="0" w:color="auto"/>
        <w:left w:val="none" w:sz="0" w:space="0" w:color="auto"/>
        <w:bottom w:val="none" w:sz="0" w:space="0" w:color="auto"/>
        <w:right w:val="none" w:sz="0" w:space="0" w:color="auto"/>
      </w:divBdr>
    </w:div>
    <w:div w:id="1356268679">
      <w:bodyDiv w:val="1"/>
      <w:marLeft w:val="0"/>
      <w:marRight w:val="0"/>
      <w:marTop w:val="0"/>
      <w:marBottom w:val="0"/>
      <w:divBdr>
        <w:top w:val="none" w:sz="0" w:space="0" w:color="auto"/>
        <w:left w:val="none" w:sz="0" w:space="0" w:color="auto"/>
        <w:bottom w:val="none" w:sz="0" w:space="0" w:color="auto"/>
        <w:right w:val="none" w:sz="0" w:space="0" w:color="auto"/>
      </w:divBdr>
    </w:div>
    <w:div w:id="1356343109">
      <w:bodyDiv w:val="1"/>
      <w:marLeft w:val="0"/>
      <w:marRight w:val="0"/>
      <w:marTop w:val="0"/>
      <w:marBottom w:val="0"/>
      <w:divBdr>
        <w:top w:val="none" w:sz="0" w:space="0" w:color="auto"/>
        <w:left w:val="none" w:sz="0" w:space="0" w:color="auto"/>
        <w:bottom w:val="none" w:sz="0" w:space="0" w:color="auto"/>
        <w:right w:val="none" w:sz="0" w:space="0" w:color="auto"/>
      </w:divBdr>
    </w:div>
    <w:div w:id="1356469239">
      <w:bodyDiv w:val="1"/>
      <w:marLeft w:val="0"/>
      <w:marRight w:val="0"/>
      <w:marTop w:val="0"/>
      <w:marBottom w:val="0"/>
      <w:divBdr>
        <w:top w:val="none" w:sz="0" w:space="0" w:color="auto"/>
        <w:left w:val="none" w:sz="0" w:space="0" w:color="auto"/>
        <w:bottom w:val="none" w:sz="0" w:space="0" w:color="auto"/>
        <w:right w:val="none" w:sz="0" w:space="0" w:color="auto"/>
      </w:divBdr>
    </w:div>
    <w:div w:id="1356496305">
      <w:bodyDiv w:val="1"/>
      <w:marLeft w:val="0"/>
      <w:marRight w:val="0"/>
      <w:marTop w:val="0"/>
      <w:marBottom w:val="0"/>
      <w:divBdr>
        <w:top w:val="none" w:sz="0" w:space="0" w:color="auto"/>
        <w:left w:val="none" w:sz="0" w:space="0" w:color="auto"/>
        <w:bottom w:val="none" w:sz="0" w:space="0" w:color="auto"/>
        <w:right w:val="none" w:sz="0" w:space="0" w:color="auto"/>
      </w:divBdr>
    </w:div>
    <w:div w:id="1356539803">
      <w:bodyDiv w:val="1"/>
      <w:marLeft w:val="0"/>
      <w:marRight w:val="0"/>
      <w:marTop w:val="0"/>
      <w:marBottom w:val="0"/>
      <w:divBdr>
        <w:top w:val="none" w:sz="0" w:space="0" w:color="auto"/>
        <w:left w:val="none" w:sz="0" w:space="0" w:color="auto"/>
        <w:bottom w:val="none" w:sz="0" w:space="0" w:color="auto"/>
        <w:right w:val="none" w:sz="0" w:space="0" w:color="auto"/>
      </w:divBdr>
    </w:div>
    <w:div w:id="1356661423">
      <w:bodyDiv w:val="1"/>
      <w:marLeft w:val="0"/>
      <w:marRight w:val="0"/>
      <w:marTop w:val="0"/>
      <w:marBottom w:val="0"/>
      <w:divBdr>
        <w:top w:val="none" w:sz="0" w:space="0" w:color="auto"/>
        <w:left w:val="none" w:sz="0" w:space="0" w:color="auto"/>
        <w:bottom w:val="none" w:sz="0" w:space="0" w:color="auto"/>
        <w:right w:val="none" w:sz="0" w:space="0" w:color="auto"/>
      </w:divBdr>
    </w:div>
    <w:div w:id="1356686724">
      <w:bodyDiv w:val="1"/>
      <w:marLeft w:val="0"/>
      <w:marRight w:val="0"/>
      <w:marTop w:val="0"/>
      <w:marBottom w:val="0"/>
      <w:divBdr>
        <w:top w:val="none" w:sz="0" w:space="0" w:color="auto"/>
        <w:left w:val="none" w:sz="0" w:space="0" w:color="auto"/>
        <w:bottom w:val="none" w:sz="0" w:space="0" w:color="auto"/>
        <w:right w:val="none" w:sz="0" w:space="0" w:color="auto"/>
      </w:divBdr>
    </w:div>
    <w:div w:id="1356689033">
      <w:bodyDiv w:val="1"/>
      <w:marLeft w:val="0"/>
      <w:marRight w:val="0"/>
      <w:marTop w:val="0"/>
      <w:marBottom w:val="0"/>
      <w:divBdr>
        <w:top w:val="none" w:sz="0" w:space="0" w:color="auto"/>
        <w:left w:val="none" w:sz="0" w:space="0" w:color="auto"/>
        <w:bottom w:val="none" w:sz="0" w:space="0" w:color="auto"/>
        <w:right w:val="none" w:sz="0" w:space="0" w:color="auto"/>
      </w:divBdr>
    </w:div>
    <w:div w:id="1356804145">
      <w:bodyDiv w:val="1"/>
      <w:marLeft w:val="0"/>
      <w:marRight w:val="0"/>
      <w:marTop w:val="0"/>
      <w:marBottom w:val="0"/>
      <w:divBdr>
        <w:top w:val="none" w:sz="0" w:space="0" w:color="auto"/>
        <w:left w:val="none" w:sz="0" w:space="0" w:color="auto"/>
        <w:bottom w:val="none" w:sz="0" w:space="0" w:color="auto"/>
        <w:right w:val="none" w:sz="0" w:space="0" w:color="auto"/>
      </w:divBdr>
    </w:div>
    <w:div w:id="1356812235">
      <w:bodyDiv w:val="1"/>
      <w:marLeft w:val="0"/>
      <w:marRight w:val="0"/>
      <w:marTop w:val="0"/>
      <w:marBottom w:val="0"/>
      <w:divBdr>
        <w:top w:val="none" w:sz="0" w:space="0" w:color="auto"/>
        <w:left w:val="none" w:sz="0" w:space="0" w:color="auto"/>
        <w:bottom w:val="none" w:sz="0" w:space="0" w:color="auto"/>
        <w:right w:val="none" w:sz="0" w:space="0" w:color="auto"/>
      </w:divBdr>
    </w:div>
    <w:div w:id="1356999049">
      <w:bodyDiv w:val="1"/>
      <w:marLeft w:val="0"/>
      <w:marRight w:val="0"/>
      <w:marTop w:val="0"/>
      <w:marBottom w:val="0"/>
      <w:divBdr>
        <w:top w:val="none" w:sz="0" w:space="0" w:color="auto"/>
        <w:left w:val="none" w:sz="0" w:space="0" w:color="auto"/>
        <w:bottom w:val="none" w:sz="0" w:space="0" w:color="auto"/>
        <w:right w:val="none" w:sz="0" w:space="0" w:color="auto"/>
      </w:divBdr>
    </w:div>
    <w:div w:id="1357190597">
      <w:bodyDiv w:val="1"/>
      <w:marLeft w:val="0"/>
      <w:marRight w:val="0"/>
      <w:marTop w:val="0"/>
      <w:marBottom w:val="0"/>
      <w:divBdr>
        <w:top w:val="none" w:sz="0" w:space="0" w:color="auto"/>
        <w:left w:val="none" w:sz="0" w:space="0" w:color="auto"/>
        <w:bottom w:val="none" w:sz="0" w:space="0" w:color="auto"/>
        <w:right w:val="none" w:sz="0" w:space="0" w:color="auto"/>
      </w:divBdr>
    </w:div>
    <w:div w:id="1357198791">
      <w:bodyDiv w:val="1"/>
      <w:marLeft w:val="0"/>
      <w:marRight w:val="0"/>
      <w:marTop w:val="0"/>
      <w:marBottom w:val="0"/>
      <w:divBdr>
        <w:top w:val="none" w:sz="0" w:space="0" w:color="auto"/>
        <w:left w:val="none" w:sz="0" w:space="0" w:color="auto"/>
        <w:bottom w:val="none" w:sz="0" w:space="0" w:color="auto"/>
        <w:right w:val="none" w:sz="0" w:space="0" w:color="auto"/>
      </w:divBdr>
    </w:div>
    <w:div w:id="1357268777">
      <w:bodyDiv w:val="1"/>
      <w:marLeft w:val="0"/>
      <w:marRight w:val="0"/>
      <w:marTop w:val="0"/>
      <w:marBottom w:val="0"/>
      <w:divBdr>
        <w:top w:val="none" w:sz="0" w:space="0" w:color="auto"/>
        <w:left w:val="none" w:sz="0" w:space="0" w:color="auto"/>
        <w:bottom w:val="none" w:sz="0" w:space="0" w:color="auto"/>
        <w:right w:val="none" w:sz="0" w:space="0" w:color="auto"/>
      </w:divBdr>
    </w:div>
    <w:div w:id="1357273628">
      <w:bodyDiv w:val="1"/>
      <w:marLeft w:val="0"/>
      <w:marRight w:val="0"/>
      <w:marTop w:val="0"/>
      <w:marBottom w:val="0"/>
      <w:divBdr>
        <w:top w:val="none" w:sz="0" w:space="0" w:color="auto"/>
        <w:left w:val="none" w:sz="0" w:space="0" w:color="auto"/>
        <w:bottom w:val="none" w:sz="0" w:space="0" w:color="auto"/>
        <w:right w:val="none" w:sz="0" w:space="0" w:color="auto"/>
      </w:divBdr>
    </w:div>
    <w:div w:id="1357317353">
      <w:bodyDiv w:val="1"/>
      <w:marLeft w:val="0"/>
      <w:marRight w:val="0"/>
      <w:marTop w:val="0"/>
      <w:marBottom w:val="0"/>
      <w:divBdr>
        <w:top w:val="none" w:sz="0" w:space="0" w:color="auto"/>
        <w:left w:val="none" w:sz="0" w:space="0" w:color="auto"/>
        <w:bottom w:val="none" w:sz="0" w:space="0" w:color="auto"/>
        <w:right w:val="none" w:sz="0" w:space="0" w:color="auto"/>
      </w:divBdr>
    </w:div>
    <w:div w:id="1357340990">
      <w:bodyDiv w:val="1"/>
      <w:marLeft w:val="0"/>
      <w:marRight w:val="0"/>
      <w:marTop w:val="0"/>
      <w:marBottom w:val="0"/>
      <w:divBdr>
        <w:top w:val="none" w:sz="0" w:space="0" w:color="auto"/>
        <w:left w:val="none" w:sz="0" w:space="0" w:color="auto"/>
        <w:bottom w:val="none" w:sz="0" w:space="0" w:color="auto"/>
        <w:right w:val="none" w:sz="0" w:space="0" w:color="auto"/>
      </w:divBdr>
    </w:div>
    <w:div w:id="1357341447">
      <w:bodyDiv w:val="1"/>
      <w:marLeft w:val="0"/>
      <w:marRight w:val="0"/>
      <w:marTop w:val="0"/>
      <w:marBottom w:val="0"/>
      <w:divBdr>
        <w:top w:val="none" w:sz="0" w:space="0" w:color="auto"/>
        <w:left w:val="none" w:sz="0" w:space="0" w:color="auto"/>
        <w:bottom w:val="none" w:sz="0" w:space="0" w:color="auto"/>
        <w:right w:val="none" w:sz="0" w:space="0" w:color="auto"/>
      </w:divBdr>
    </w:div>
    <w:div w:id="1357342278">
      <w:bodyDiv w:val="1"/>
      <w:marLeft w:val="0"/>
      <w:marRight w:val="0"/>
      <w:marTop w:val="0"/>
      <w:marBottom w:val="0"/>
      <w:divBdr>
        <w:top w:val="none" w:sz="0" w:space="0" w:color="auto"/>
        <w:left w:val="none" w:sz="0" w:space="0" w:color="auto"/>
        <w:bottom w:val="none" w:sz="0" w:space="0" w:color="auto"/>
        <w:right w:val="none" w:sz="0" w:space="0" w:color="auto"/>
      </w:divBdr>
    </w:div>
    <w:div w:id="1357343320">
      <w:bodyDiv w:val="1"/>
      <w:marLeft w:val="0"/>
      <w:marRight w:val="0"/>
      <w:marTop w:val="0"/>
      <w:marBottom w:val="0"/>
      <w:divBdr>
        <w:top w:val="none" w:sz="0" w:space="0" w:color="auto"/>
        <w:left w:val="none" w:sz="0" w:space="0" w:color="auto"/>
        <w:bottom w:val="none" w:sz="0" w:space="0" w:color="auto"/>
        <w:right w:val="none" w:sz="0" w:space="0" w:color="auto"/>
      </w:divBdr>
    </w:div>
    <w:div w:id="1357732938">
      <w:bodyDiv w:val="1"/>
      <w:marLeft w:val="0"/>
      <w:marRight w:val="0"/>
      <w:marTop w:val="0"/>
      <w:marBottom w:val="0"/>
      <w:divBdr>
        <w:top w:val="none" w:sz="0" w:space="0" w:color="auto"/>
        <w:left w:val="none" w:sz="0" w:space="0" w:color="auto"/>
        <w:bottom w:val="none" w:sz="0" w:space="0" w:color="auto"/>
        <w:right w:val="none" w:sz="0" w:space="0" w:color="auto"/>
      </w:divBdr>
    </w:div>
    <w:div w:id="1357849383">
      <w:bodyDiv w:val="1"/>
      <w:marLeft w:val="0"/>
      <w:marRight w:val="0"/>
      <w:marTop w:val="0"/>
      <w:marBottom w:val="0"/>
      <w:divBdr>
        <w:top w:val="none" w:sz="0" w:space="0" w:color="auto"/>
        <w:left w:val="none" w:sz="0" w:space="0" w:color="auto"/>
        <w:bottom w:val="none" w:sz="0" w:space="0" w:color="auto"/>
        <w:right w:val="none" w:sz="0" w:space="0" w:color="auto"/>
      </w:divBdr>
    </w:div>
    <w:div w:id="1357925295">
      <w:bodyDiv w:val="1"/>
      <w:marLeft w:val="0"/>
      <w:marRight w:val="0"/>
      <w:marTop w:val="0"/>
      <w:marBottom w:val="0"/>
      <w:divBdr>
        <w:top w:val="none" w:sz="0" w:space="0" w:color="auto"/>
        <w:left w:val="none" w:sz="0" w:space="0" w:color="auto"/>
        <w:bottom w:val="none" w:sz="0" w:space="0" w:color="auto"/>
        <w:right w:val="none" w:sz="0" w:space="0" w:color="auto"/>
      </w:divBdr>
    </w:div>
    <w:div w:id="1357972110">
      <w:bodyDiv w:val="1"/>
      <w:marLeft w:val="0"/>
      <w:marRight w:val="0"/>
      <w:marTop w:val="0"/>
      <w:marBottom w:val="0"/>
      <w:divBdr>
        <w:top w:val="none" w:sz="0" w:space="0" w:color="auto"/>
        <w:left w:val="none" w:sz="0" w:space="0" w:color="auto"/>
        <w:bottom w:val="none" w:sz="0" w:space="0" w:color="auto"/>
        <w:right w:val="none" w:sz="0" w:space="0" w:color="auto"/>
      </w:divBdr>
    </w:div>
    <w:div w:id="1358044405">
      <w:bodyDiv w:val="1"/>
      <w:marLeft w:val="0"/>
      <w:marRight w:val="0"/>
      <w:marTop w:val="0"/>
      <w:marBottom w:val="0"/>
      <w:divBdr>
        <w:top w:val="none" w:sz="0" w:space="0" w:color="auto"/>
        <w:left w:val="none" w:sz="0" w:space="0" w:color="auto"/>
        <w:bottom w:val="none" w:sz="0" w:space="0" w:color="auto"/>
        <w:right w:val="none" w:sz="0" w:space="0" w:color="auto"/>
      </w:divBdr>
    </w:div>
    <w:div w:id="1358046220">
      <w:bodyDiv w:val="1"/>
      <w:marLeft w:val="0"/>
      <w:marRight w:val="0"/>
      <w:marTop w:val="0"/>
      <w:marBottom w:val="0"/>
      <w:divBdr>
        <w:top w:val="none" w:sz="0" w:space="0" w:color="auto"/>
        <w:left w:val="none" w:sz="0" w:space="0" w:color="auto"/>
        <w:bottom w:val="none" w:sz="0" w:space="0" w:color="auto"/>
        <w:right w:val="none" w:sz="0" w:space="0" w:color="auto"/>
      </w:divBdr>
    </w:div>
    <w:div w:id="1358046739">
      <w:bodyDiv w:val="1"/>
      <w:marLeft w:val="0"/>
      <w:marRight w:val="0"/>
      <w:marTop w:val="0"/>
      <w:marBottom w:val="0"/>
      <w:divBdr>
        <w:top w:val="none" w:sz="0" w:space="0" w:color="auto"/>
        <w:left w:val="none" w:sz="0" w:space="0" w:color="auto"/>
        <w:bottom w:val="none" w:sz="0" w:space="0" w:color="auto"/>
        <w:right w:val="none" w:sz="0" w:space="0" w:color="auto"/>
      </w:divBdr>
    </w:div>
    <w:div w:id="1358046777">
      <w:bodyDiv w:val="1"/>
      <w:marLeft w:val="0"/>
      <w:marRight w:val="0"/>
      <w:marTop w:val="0"/>
      <w:marBottom w:val="0"/>
      <w:divBdr>
        <w:top w:val="none" w:sz="0" w:space="0" w:color="auto"/>
        <w:left w:val="none" w:sz="0" w:space="0" w:color="auto"/>
        <w:bottom w:val="none" w:sz="0" w:space="0" w:color="auto"/>
        <w:right w:val="none" w:sz="0" w:space="0" w:color="auto"/>
      </w:divBdr>
    </w:div>
    <w:div w:id="1358240941">
      <w:bodyDiv w:val="1"/>
      <w:marLeft w:val="0"/>
      <w:marRight w:val="0"/>
      <w:marTop w:val="0"/>
      <w:marBottom w:val="0"/>
      <w:divBdr>
        <w:top w:val="none" w:sz="0" w:space="0" w:color="auto"/>
        <w:left w:val="none" w:sz="0" w:space="0" w:color="auto"/>
        <w:bottom w:val="none" w:sz="0" w:space="0" w:color="auto"/>
        <w:right w:val="none" w:sz="0" w:space="0" w:color="auto"/>
      </w:divBdr>
    </w:div>
    <w:div w:id="1358313657">
      <w:bodyDiv w:val="1"/>
      <w:marLeft w:val="0"/>
      <w:marRight w:val="0"/>
      <w:marTop w:val="0"/>
      <w:marBottom w:val="0"/>
      <w:divBdr>
        <w:top w:val="none" w:sz="0" w:space="0" w:color="auto"/>
        <w:left w:val="none" w:sz="0" w:space="0" w:color="auto"/>
        <w:bottom w:val="none" w:sz="0" w:space="0" w:color="auto"/>
        <w:right w:val="none" w:sz="0" w:space="0" w:color="auto"/>
      </w:divBdr>
    </w:div>
    <w:div w:id="1358385056">
      <w:bodyDiv w:val="1"/>
      <w:marLeft w:val="0"/>
      <w:marRight w:val="0"/>
      <w:marTop w:val="0"/>
      <w:marBottom w:val="0"/>
      <w:divBdr>
        <w:top w:val="none" w:sz="0" w:space="0" w:color="auto"/>
        <w:left w:val="none" w:sz="0" w:space="0" w:color="auto"/>
        <w:bottom w:val="none" w:sz="0" w:space="0" w:color="auto"/>
        <w:right w:val="none" w:sz="0" w:space="0" w:color="auto"/>
      </w:divBdr>
    </w:div>
    <w:div w:id="1358390149">
      <w:bodyDiv w:val="1"/>
      <w:marLeft w:val="0"/>
      <w:marRight w:val="0"/>
      <w:marTop w:val="0"/>
      <w:marBottom w:val="0"/>
      <w:divBdr>
        <w:top w:val="none" w:sz="0" w:space="0" w:color="auto"/>
        <w:left w:val="none" w:sz="0" w:space="0" w:color="auto"/>
        <w:bottom w:val="none" w:sz="0" w:space="0" w:color="auto"/>
        <w:right w:val="none" w:sz="0" w:space="0" w:color="auto"/>
      </w:divBdr>
    </w:div>
    <w:div w:id="1358432485">
      <w:bodyDiv w:val="1"/>
      <w:marLeft w:val="0"/>
      <w:marRight w:val="0"/>
      <w:marTop w:val="0"/>
      <w:marBottom w:val="0"/>
      <w:divBdr>
        <w:top w:val="none" w:sz="0" w:space="0" w:color="auto"/>
        <w:left w:val="none" w:sz="0" w:space="0" w:color="auto"/>
        <w:bottom w:val="none" w:sz="0" w:space="0" w:color="auto"/>
        <w:right w:val="none" w:sz="0" w:space="0" w:color="auto"/>
      </w:divBdr>
    </w:div>
    <w:div w:id="1358699919">
      <w:bodyDiv w:val="1"/>
      <w:marLeft w:val="0"/>
      <w:marRight w:val="0"/>
      <w:marTop w:val="0"/>
      <w:marBottom w:val="0"/>
      <w:divBdr>
        <w:top w:val="none" w:sz="0" w:space="0" w:color="auto"/>
        <w:left w:val="none" w:sz="0" w:space="0" w:color="auto"/>
        <w:bottom w:val="none" w:sz="0" w:space="0" w:color="auto"/>
        <w:right w:val="none" w:sz="0" w:space="0" w:color="auto"/>
      </w:divBdr>
    </w:div>
    <w:div w:id="1358778730">
      <w:bodyDiv w:val="1"/>
      <w:marLeft w:val="0"/>
      <w:marRight w:val="0"/>
      <w:marTop w:val="0"/>
      <w:marBottom w:val="0"/>
      <w:divBdr>
        <w:top w:val="none" w:sz="0" w:space="0" w:color="auto"/>
        <w:left w:val="none" w:sz="0" w:space="0" w:color="auto"/>
        <w:bottom w:val="none" w:sz="0" w:space="0" w:color="auto"/>
        <w:right w:val="none" w:sz="0" w:space="0" w:color="auto"/>
      </w:divBdr>
    </w:div>
    <w:div w:id="1358849484">
      <w:bodyDiv w:val="1"/>
      <w:marLeft w:val="0"/>
      <w:marRight w:val="0"/>
      <w:marTop w:val="0"/>
      <w:marBottom w:val="0"/>
      <w:divBdr>
        <w:top w:val="none" w:sz="0" w:space="0" w:color="auto"/>
        <w:left w:val="none" w:sz="0" w:space="0" w:color="auto"/>
        <w:bottom w:val="none" w:sz="0" w:space="0" w:color="auto"/>
        <w:right w:val="none" w:sz="0" w:space="0" w:color="auto"/>
      </w:divBdr>
    </w:div>
    <w:div w:id="1358896216">
      <w:bodyDiv w:val="1"/>
      <w:marLeft w:val="0"/>
      <w:marRight w:val="0"/>
      <w:marTop w:val="0"/>
      <w:marBottom w:val="0"/>
      <w:divBdr>
        <w:top w:val="none" w:sz="0" w:space="0" w:color="auto"/>
        <w:left w:val="none" w:sz="0" w:space="0" w:color="auto"/>
        <w:bottom w:val="none" w:sz="0" w:space="0" w:color="auto"/>
        <w:right w:val="none" w:sz="0" w:space="0" w:color="auto"/>
      </w:divBdr>
    </w:div>
    <w:div w:id="1359087104">
      <w:bodyDiv w:val="1"/>
      <w:marLeft w:val="0"/>
      <w:marRight w:val="0"/>
      <w:marTop w:val="0"/>
      <w:marBottom w:val="0"/>
      <w:divBdr>
        <w:top w:val="none" w:sz="0" w:space="0" w:color="auto"/>
        <w:left w:val="none" w:sz="0" w:space="0" w:color="auto"/>
        <w:bottom w:val="none" w:sz="0" w:space="0" w:color="auto"/>
        <w:right w:val="none" w:sz="0" w:space="0" w:color="auto"/>
      </w:divBdr>
    </w:div>
    <w:div w:id="1359089055">
      <w:bodyDiv w:val="1"/>
      <w:marLeft w:val="0"/>
      <w:marRight w:val="0"/>
      <w:marTop w:val="0"/>
      <w:marBottom w:val="0"/>
      <w:divBdr>
        <w:top w:val="none" w:sz="0" w:space="0" w:color="auto"/>
        <w:left w:val="none" w:sz="0" w:space="0" w:color="auto"/>
        <w:bottom w:val="none" w:sz="0" w:space="0" w:color="auto"/>
        <w:right w:val="none" w:sz="0" w:space="0" w:color="auto"/>
      </w:divBdr>
    </w:div>
    <w:div w:id="1359116129">
      <w:bodyDiv w:val="1"/>
      <w:marLeft w:val="0"/>
      <w:marRight w:val="0"/>
      <w:marTop w:val="0"/>
      <w:marBottom w:val="0"/>
      <w:divBdr>
        <w:top w:val="none" w:sz="0" w:space="0" w:color="auto"/>
        <w:left w:val="none" w:sz="0" w:space="0" w:color="auto"/>
        <w:bottom w:val="none" w:sz="0" w:space="0" w:color="auto"/>
        <w:right w:val="none" w:sz="0" w:space="0" w:color="auto"/>
      </w:divBdr>
    </w:div>
    <w:div w:id="1359234241">
      <w:bodyDiv w:val="1"/>
      <w:marLeft w:val="0"/>
      <w:marRight w:val="0"/>
      <w:marTop w:val="0"/>
      <w:marBottom w:val="0"/>
      <w:divBdr>
        <w:top w:val="none" w:sz="0" w:space="0" w:color="auto"/>
        <w:left w:val="none" w:sz="0" w:space="0" w:color="auto"/>
        <w:bottom w:val="none" w:sz="0" w:space="0" w:color="auto"/>
        <w:right w:val="none" w:sz="0" w:space="0" w:color="auto"/>
      </w:divBdr>
    </w:div>
    <w:div w:id="1359308290">
      <w:bodyDiv w:val="1"/>
      <w:marLeft w:val="0"/>
      <w:marRight w:val="0"/>
      <w:marTop w:val="0"/>
      <w:marBottom w:val="0"/>
      <w:divBdr>
        <w:top w:val="none" w:sz="0" w:space="0" w:color="auto"/>
        <w:left w:val="none" w:sz="0" w:space="0" w:color="auto"/>
        <w:bottom w:val="none" w:sz="0" w:space="0" w:color="auto"/>
        <w:right w:val="none" w:sz="0" w:space="0" w:color="auto"/>
      </w:divBdr>
    </w:div>
    <w:div w:id="1359350529">
      <w:bodyDiv w:val="1"/>
      <w:marLeft w:val="0"/>
      <w:marRight w:val="0"/>
      <w:marTop w:val="0"/>
      <w:marBottom w:val="0"/>
      <w:divBdr>
        <w:top w:val="none" w:sz="0" w:space="0" w:color="auto"/>
        <w:left w:val="none" w:sz="0" w:space="0" w:color="auto"/>
        <w:bottom w:val="none" w:sz="0" w:space="0" w:color="auto"/>
        <w:right w:val="none" w:sz="0" w:space="0" w:color="auto"/>
      </w:divBdr>
    </w:div>
    <w:div w:id="1359356748">
      <w:bodyDiv w:val="1"/>
      <w:marLeft w:val="0"/>
      <w:marRight w:val="0"/>
      <w:marTop w:val="0"/>
      <w:marBottom w:val="0"/>
      <w:divBdr>
        <w:top w:val="none" w:sz="0" w:space="0" w:color="auto"/>
        <w:left w:val="none" w:sz="0" w:space="0" w:color="auto"/>
        <w:bottom w:val="none" w:sz="0" w:space="0" w:color="auto"/>
        <w:right w:val="none" w:sz="0" w:space="0" w:color="auto"/>
      </w:divBdr>
    </w:div>
    <w:div w:id="1359506155">
      <w:bodyDiv w:val="1"/>
      <w:marLeft w:val="0"/>
      <w:marRight w:val="0"/>
      <w:marTop w:val="0"/>
      <w:marBottom w:val="0"/>
      <w:divBdr>
        <w:top w:val="none" w:sz="0" w:space="0" w:color="auto"/>
        <w:left w:val="none" w:sz="0" w:space="0" w:color="auto"/>
        <w:bottom w:val="none" w:sz="0" w:space="0" w:color="auto"/>
        <w:right w:val="none" w:sz="0" w:space="0" w:color="auto"/>
      </w:divBdr>
    </w:div>
    <w:div w:id="1359622367">
      <w:bodyDiv w:val="1"/>
      <w:marLeft w:val="0"/>
      <w:marRight w:val="0"/>
      <w:marTop w:val="0"/>
      <w:marBottom w:val="0"/>
      <w:divBdr>
        <w:top w:val="none" w:sz="0" w:space="0" w:color="auto"/>
        <w:left w:val="none" w:sz="0" w:space="0" w:color="auto"/>
        <w:bottom w:val="none" w:sz="0" w:space="0" w:color="auto"/>
        <w:right w:val="none" w:sz="0" w:space="0" w:color="auto"/>
      </w:divBdr>
    </w:div>
    <w:div w:id="1359699552">
      <w:bodyDiv w:val="1"/>
      <w:marLeft w:val="0"/>
      <w:marRight w:val="0"/>
      <w:marTop w:val="0"/>
      <w:marBottom w:val="0"/>
      <w:divBdr>
        <w:top w:val="none" w:sz="0" w:space="0" w:color="auto"/>
        <w:left w:val="none" w:sz="0" w:space="0" w:color="auto"/>
        <w:bottom w:val="none" w:sz="0" w:space="0" w:color="auto"/>
        <w:right w:val="none" w:sz="0" w:space="0" w:color="auto"/>
      </w:divBdr>
    </w:div>
    <w:div w:id="1359967696">
      <w:bodyDiv w:val="1"/>
      <w:marLeft w:val="0"/>
      <w:marRight w:val="0"/>
      <w:marTop w:val="0"/>
      <w:marBottom w:val="0"/>
      <w:divBdr>
        <w:top w:val="none" w:sz="0" w:space="0" w:color="auto"/>
        <w:left w:val="none" w:sz="0" w:space="0" w:color="auto"/>
        <w:bottom w:val="none" w:sz="0" w:space="0" w:color="auto"/>
        <w:right w:val="none" w:sz="0" w:space="0" w:color="auto"/>
      </w:divBdr>
    </w:div>
    <w:div w:id="1359968123">
      <w:bodyDiv w:val="1"/>
      <w:marLeft w:val="0"/>
      <w:marRight w:val="0"/>
      <w:marTop w:val="0"/>
      <w:marBottom w:val="0"/>
      <w:divBdr>
        <w:top w:val="none" w:sz="0" w:space="0" w:color="auto"/>
        <w:left w:val="none" w:sz="0" w:space="0" w:color="auto"/>
        <w:bottom w:val="none" w:sz="0" w:space="0" w:color="auto"/>
        <w:right w:val="none" w:sz="0" w:space="0" w:color="auto"/>
      </w:divBdr>
    </w:div>
    <w:div w:id="1360013294">
      <w:bodyDiv w:val="1"/>
      <w:marLeft w:val="0"/>
      <w:marRight w:val="0"/>
      <w:marTop w:val="0"/>
      <w:marBottom w:val="0"/>
      <w:divBdr>
        <w:top w:val="none" w:sz="0" w:space="0" w:color="auto"/>
        <w:left w:val="none" w:sz="0" w:space="0" w:color="auto"/>
        <w:bottom w:val="none" w:sz="0" w:space="0" w:color="auto"/>
        <w:right w:val="none" w:sz="0" w:space="0" w:color="auto"/>
      </w:divBdr>
    </w:div>
    <w:div w:id="1360282057">
      <w:bodyDiv w:val="1"/>
      <w:marLeft w:val="0"/>
      <w:marRight w:val="0"/>
      <w:marTop w:val="0"/>
      <w:marBottom w:val="0"/>
      <w:divBdr>
        <w:top w:val="none" w:sz="0" w:space="0" w:color="auto"/>
        <w:left w:val="none" w:sz="0" w:space="0" w:color="auto"/>
        <w:bottom w:val="none" w:sz="0" w:space="0" w:color="auto"/>
        <w:right w:val="none" w:sz="0" w:space="0" w:color="auto"/>
      </w:divBdr>
    </w:div>
    <w:div w:id="1360349560">
      <w:bodyDiv w:val="1"/>
      <w:marLeft w:val="0"/>
      <w:marRight w:val="0"/>
      <w:marTop w:val="0"/>
      <w:marBottom w:val="0"/>
      <w:divBdr>
        <w:top w:val="none" w:sz="0" w:space="0" w:color="auto"/>
        <w:left w:val="none" w:sz="0" w:space="0" w:color="auto"/>
        <w:bottom w:val="none" w:sz="0" w:space="0" w:color="auto"/>
        <w:right w:val="none" w:sz="0" w:space="0" w:color="auto"/>
      </w:divBdr>
    </w:div>
    <w:div w:id="1360357292">
      <w:bodyDiv w:val="1"/>
      <w:marLeft w:val="0"/>
      <w:marRight w:val="0"/>
      <w:marTop w:val="0"/>
      <w:marBottom w:val="0"/>
      <w:divBdr>
        <w:top w:val="none" w:sz="0" w:space="0" w:color="auto"/>
        <w:left w:val="none" w:sz="0" w:space="0" w:color="auto"/>
        <w:bottom w:val="none" w:sz="0" w:space="0" w:color="auto"/>
        <w:right w:val="none" w:sz="0" w:space="0" w:color="auto"/>
      </w:divBdr>
    </w:div>
    <w:div w:id="1360466849">
      <w:bodyDiv w:val="1"/>
      <w:marLeft w:val="0"/>
      <w:marRight w:val="0"/>
      <w:marTop w:val="0"/>
      <w:marBottom w:val="0"/>
      <w:divBdr>
        <w:top w:val="none" w:sz="0" w:space="0" w:color="auto"/>
        <w:left w:val="none" w:sz="0" w:space="0" w:color="auto"/>
        <w:bottom w:val="none" w:sz="0" w:space="0" w:color="auto"/>
        <w:right w:val="none" w:sz="0" w:space="0" w:color="auto"/>
      </w:divBdr>
    </w:div>
    <w:div w:id="1360547125">
      <w:bodyDiv w:val="1"/>
      <w:marLeft w:val="0"/>
      <w:marRight w:val="0"/>
      <w:marTop w:val="0"/>
      <w:marBottom w:val="0"/>
      <w:divBdr>
        <w:top w:val="none" w:sz="0" w:space="0" w:color="auto"/>
        <w:left w:val="none" w:sz="0" w:space="0" w:color="auto"/>
        <w:bottom w:val="none" w:sz="0" w:space="0" w:color="auto"/>
        <w:right w:val="none" w:sz="0" w:space="0" w:color="auto"/>
      </w:divBdr>
    </w:div>
    <w:div w:id="1360661984">
      <w:bodyDiv w:val="1"/>
      <w:marLeft w:val="0"/>
      <w:marRight w:val="0"/>
      <w:marTop w:val="0"/>
      <w:marBottom w:val="0"/>
      <w:divBdr>
        <w:top w:val="none" w:sz="0" w:space="0" w:color="auto"/>
        <w:left w:val="none" w:sz="0" w:space="0" w:color="auto"/>
        <w:bottom w:val="none" w:sz="0" w:space="0" w:color="auto"/>
        <w:right w:val="none" w:sz="0" w:space="0" w:color="auto"/>
      </w:divBdr>
    </w:div>
    <w:div w:id="1360735386">
      <w:bodyDiv w:val="1"/>
      <w:marLeft w:val="0"/>
      <w:marRight w:val="0"/>
      <w:marTop w:val="0"/>
      <w:marBottom w:val="0"/>
      <w:divBdr>
        <w:top w:val="none" w:sz="0" w:space="0" w:color="auto"/>
        <w:left w:val="none" w:sz="0" w:space="0" w:color="auto"/>
        <w:bottom w:val="none" w:sz="0" w:space="0" w:color="auto"/>
        <w:right w:val="none" w:sz="0" w:space="0" w:color="auto"/>
      </w:divBdr>
    </w:div>
    <w:div w:id="1360737861">
      <w:bodyDiv w:val="1"/>
      <w:marLeft w:val="0"/>
      <w:marRight w:val="0"/>
      <w:marTop w:val="0"/>
      <w:marBottom w:val="0"/>
      <w:divBdr>
        <w:top w:val="none" w:sz="0" w:space="0" w:color="auto"/>
        <w:left w:val="none" w:sz="0" w:space="0" w:color="auto"/>
        <w:bottom w:val="none" w:sz="0" w:space="0" w:color="auto"/>
        <w:right w:val="none" w:sz="0" w:space="0" w:color="auto"/>
      </w:divBdr>
    </w:div>
    <w:div w:id="1361125764">
      <w:bodyDiv w:val="1"/>
      <w:marLeft w:val="0"/>
      <w:marRight w:val="0"/>
      <w:marTop w:val="0"/>
      <w:marBottom w:val="0"/>
      <w:divBdr>
        <w:top w:val="none" w:sz="0" w:space="0" w:color="auto"/>
        <w:left w:val="none" w:sz="0" w:space="0" w:color="auto"/>
        <w:bottom w:val="none" w:sz="0" w:space="0" w:color="auto"/>
        <w:right w:val="none" w:sz="0" w:space="0" w:color="auto"/>
      </w:divBdr>
    </w:div>
    <w:div w:id="1361204040">
      <w:bodyDiv w:val="1"/>
      <w:marLeft w:val="0"/>
      <w:marRight w:val="0"/>
      <w:marTop w:val="0"/>
      <w:marBottom w:val="0"/>
      <w:divBdr>
        <w:top w:val="none" w:sz="0" w:space="0" w:color="auto"/>
        <w:left w:val="none" w:sz="0" w:space="0" w:color="auto"/>
        <w:bottom w:val="none" w:sz="0" w:space="0" w:color="auto"/>
        <w:right w:val="none" w:sz="0" w:space="0" w:color="auto"/>
      </w:divBdr>
    </w:div>
    <w:div w:id="1361248845">
      <w:bodyDiv w:val="1"/>
      <w:marLeft w:val="0"/>
      <w:marRight w:val="0"/>
      <w:marTop w:val="0"/>
      <w:marBottom w:val="0"/>
      <w:divBdr>
        <w:top w:val="none" w:sz="0" w:space="0" w:color="auto"/>
        <w:left w:val="none" w:sz="0" w:space="0" w:color="auto"/>
        <w:bottom w:val="none" w:sz="0" w:space="0" w:color="auto"/>
        <w:right w:val="none" w:sz="0" w:space="0" w:color="auto"/>
      </w:divBdr>
    </w:div>
    <w:div w:id="1361273103">
      <w:bodyDiv w:val="1"/>
      <w:marLeft w:val="0"/>
      <w:marRight w:val="0"/>
      <w:marTop w:val="0"/>
      <w:marBottom w:val="0"/>
      <w:divBdr>
        <w:top w:val="none" w:sz="0" w:space="0" w:color="auto"/>
        <w:left w:val="none" w:sz="0" w:space="0" w:color="auto"/>
        <w:bottom w:val="none" w:sz="0" w:space="0" w:color="auto"/>
        <w:right w:val="none" w:sz="0" w:space="0" w:color="auto"/>
      </w:divBdr>
    </w:div>
    <w:div w:id="1361316130">
      <w:bodyDiv w:val="1"/>
      <w:marLeft w:val="0"/>
      <w:marRight w:val="0"/>
      <w:marTop w:val="0"/>
      <w:marBottom w:val="0"/>
      <w:divBdr>
        <w:top w:val="none" w:sz="0" w:space="0" w:color="auto"/>
        <w:left w:val="none" w:sz="0" w:space="0" w:color="auto"/>
        <w:bottom w:val="none" w:sz="0" w:space="0" w:color="auto"/>
        <w:right w:val="none" w:sz="0" w:space="0" w:color="auto"/>
      </w:divBdr>
    </w:div>
    <w:div w:id="1361391037">
      <w:bodyDiv w:val="1"/>
      <w:marLeft w:val="0"/>
      <w:marRight w:val="0"/>
      <w:marTop w:val="0"/>
      <w:marBottom w:val="0"/>
      <w:divBdr>
        <w:top w:val="none" w:sz="0" w:space="0" w:color="auto"/>
        <w:left w:val="none" w:sz="0" w:space="0" w:color="auto"/>
        <w:bottom w:val="none" w:sz="0" w:space="0" w:color="auto"/>
        <w:right w:val="none" w:sz="0" w:space="0" w:color="auto"/>
      </w:divBdr>
    </w:div>
    <w:div w:id="1361472140">
      <w:bodyDiv w:val="1"/>
      <w:marLeft w:val="0"/>
      <w:marRight w:val="0"/>
      <w:marTop w:val="0"/>
      <w:marBottom w:val="0"/>
      <w:divBdr>
        <w:top w:val="none" w:sz="0" w:space="0" w:color="auto"/>
        <w:left w:val="none" w:sz="0" w:space="0" w:color="auto"/>
        <w:bottom w:val="none" w:sz="0" w:space="0" w:color="auto"/>
        <w:right w:val="none" w:sz="0" w:space="0" w:color="auto"/>
      </w:divBdr>
    </w:div>
    <w:div w:id="1361511829">
      <w:bodyDiv w:val="1"/>
      <w:marLeft w:val="0"/>
      <w:marRight w:val="0"/>
      <w:marTop w:val="0"/>
      <w:marBottom w:val="0"/>
      <w:divBdr>
        <w:top w:val="none" w:sz="0" w:space="0" w:color="auto"/>
        <w:left w:val="none" w:sz="0" w:space="0" w:color="auto"/>
        <w:bottom w:val="none" w:sz="0" w:space="0" w:color="auto"/>
        <w:right w:val="none" w:sz="0" w:space="0" w:color="auto"/>
      </w:divBdr>
    </w:div>
    <w:div w:id="1361710800">
      <w:bodyDiv w:val="1"/>
      <w:marLeft w:val="0"/>
      <w:marRight w:val="0"/>
      <w:marTop w:val="0"/>
      <w:marBottom w:val="0"/>
      <w:divBdr>
        <w:top w:val="none" w:sz="0" w:space="0" w:color="auto"/>
        <w:left w:val="none" w:sz="0" w:space="0" w:color="auto"/>
        <w:bottom w:val="none" w:sz="0" w:space="0" w:color="auto"/>
        <w:right w:val="none" w:sz="0" w:space="0" w:color="auto"/>
      </w:divBdr>
    </w:div>
    <w:div w:id="1361904633">
      <w:bodyDiv w:val="1"/>
      <w:marLeft w:val="0"/>
      <w:marRight w:val="0"/>
      <w:marTop w:val="0"/>
      <w:marBottom w:val="0"/>
      <w:divBdr>
        <w:top w:val="none" w:sz="0" w:space="0" w:color="auto"/>
        <w:left w:val="none" w:sz="0" w:space="0" w:color="auto"/>
        <w:bottom w:val="none" w:sz="0" w:space="0" w:color="auto"/>
        <w:right w:val="none" w:sz="0" w:space="0" w:color="auto"/>
      </w:divBdr>
    </w:div>
    <w:div w:id="1361974365">
      <w:bodyDiv w:val="1"/>
      <w:marLeft w:val="0"/>
      <w:marRight w:val="0"/>
      <w:marTop w:val="0"/>
      <w:marBottom w:val="0"/>
      <w:divBdr>
        <w:top w:val="none" w:sz="0" w:space="0" w:color="auto"/>
        <w:left w:val="none" w:sz="0" w:space="0" w:color="auto"/>
        <w:bottom w:val="none" w:sz="0" w:space="0" w:color="auto"/>
        <w:right w:val="none" w:sz="0" w:space="0" w:color="auto"/>
      </w:divBdr>
    </w:div>
    <w:div w:id="1362051551">
      <w:bodyDiv w:val="1"/>
      <w:marLeft w:val="0"/>
      <w:marRight w:val="0"/>
      <w:marTop w:val="0"/>
      <w:marBottom w:val="0"/>
      <w:divBdr>
        <w:top w:val="none" w:sz="0" w:space="0" w:color="auto"/>
        <w:left w:val="none" w:sz="0" w:space="0" w:color="auto"/>
        <w:bottom w:val="none" w:sz="0" w:space="0" w:color="auto"/>
        <w:right w:val="none" w:sz="0" w:space="0" w:color="auto"/>
      </w:divBdr>
    </w:div>
    <w:div w:id="1362245601">
      <w:bodyDiv w:val="1"/>
      <w:marLeft w:val="0"/>
      <w:marRight w:val="0"/>
      <w:marTop w:val="0"/>
      <w:marBottom w:val="0"/>
      <w:divBdr>
        <w:top w:val="none" w:sz="0" w:space="0" w:color="auto"/>
        <w:left w:val="none" w:sz="0" w:space="0" w:color="auto"/>
        <w:bottom w:val="none" w:sz="0" w:space="0" w:color="auto"/>
        <w:right w:val="none" w:sz="0" w:space="0" w:color="auto"/>
      </w:divBdr>
    </w:div>
    <w:div w:id="1362316207">
      <w:bodyDiv w:val="1"/>
      <w:marLeft w:val="0"/>
      <w:marRight w:val="0"/>
      <w:marTop w:val="0"/>
      <w:marBottom w:val="0"/>
      <w:divBdr>
        <w:top w:val="none" w:sz="0" w:space="0" w:color="auto"/>
        <w:left w:val="none" w:sz="0" w:space="0" w:color="auto"/>
        <w:bottom w:val="none" w:sz="0" w:space="0" w:color="auto"/>
        <w:right w:val="none" w:sz="0" w:space="0" w:color="auto"/>
      </w:divBdr>
    </w:div>
    <w:div w:id="1362319047">
      <w:bodyDiv w:val="1"/>
      <w:marLeft w:val="0"/>
      <w:marRight w:val="0"/>
      <w:marTop w:val="0"/>
      <w:marBottom w:val="0"/>
      <w:divBdr>
        <w:top w:val="none" w:sz="0" w:space="0" w:color="auto"/>
        <w:left w:val="none" w:sz="0" w:space="0" w:color="auto"/>
        <w:bottom w:val="none" w:sz="0" w:space="0" w:color="auto"/>
        <w:right w:val="none" w:sz="0" w:space="0" w:color="auto"/>
      </w:divBdr>
    </w:div>
    <w:div w:id="1362321862">
      <w:bodyDiv w:val="1"/>
      <w:marLeft w:val="0"/>
      <w:marRight w:val="0"/>
      <w:marTop w:val="0"/>
      <w:marBottom w:val="0"/>
      <w:divBdr>
        <w:top w:val="none" w:sz="0" w:space="0" w:color="auto"/>
        <w:left w:val="none" w:sz="0" w:space="0" w:color="auto"/>
        <w:bottom w:val="none" w:sz="0" w:space="0" w:color="auto"/>
        <w:right w:val="none" w:sz="0" w:space="0" w:color="auto"/>
      </w:divBdr>
    </w:div>
    <w:div w:id="1362392836">
      <w:bodyDiv w:val="1"/>
      <w:marLeft w:val="0"/>
      <w:marRight w:val="0"/>
      <w:marTop w:val="0"/>
      <w:marBottom w:val="0"/>
      <w:divBdr>
        <w:top w:val="none" w:sz="0" w:space="0" w:color="auto"/>
        <w:left w:val="none" w:sz="0" w:space="0" w:color="auto"/>
        <w:bottom w:val="none" w:sz="0" w:space="0" w:color="auto"/>
        <w:right w:val="none" w:sz="0" w:space="0" w:color="auto"/>
      </w:divBdr>
    </w:div>
    <w:div w:id="1362441015">
      <w:bodyDiv w:val="1"/>
      <w:marLeft w:val="0"/>
      <w:marRight w:val="0"/>
      <w:marTop w:val="0"/>
      <w:marBottom w:val="0"/>
      <w:divBdr>
        <w:top w:val="none" w:sz="0" w:space="0" w:color="auto"/>
        <w:left w:val="none" w:sz="0" w:space="0" w:color="auto"/>
        <w:bottom w:val="none" w:sz="0" w:space="0" w:color="auto"/>
        <w:right w:val="none" w:sz="0" w:space="0" w:color="auto"/>
      </w:divBdr>
    </w:div>
    <w:div w:id="1362629295">
      <w:bodyDiv w:val="1"/>
      <w:marLeft w:val="0"/>
      <w:marRight w:val="0"/>
      <w:marTop w:val="0"/>
      <w:marBottom w:val="0"/>
      <w:divBdr>
        <w:top w:val="none" w:sz="0" w:space="0" w:color="auto"/>
        <w:left w:val="none" w:sz="0" w:space="0" w:color="auto"/>
        <w:bottom w:val="none" w:sz="0" w:space="0" w:color="auto"/>
        <w:right w:val="none" w:sz="0" w:space="0" w:color="auto"/>
      </w:divBdr>
    </w:div>
    <w:div w:id="1362708164">
      <w:bodyDiv w:val="1"/>
      <w:marLeft w:val="0"/>
      <w:marRight w:val="0"/>
      <w:marTop w:val="0"/>
      <w:marBottom w:val="0"/>
      <w:divBdr>
        <w:top w:val="none" w:sz="0" w:space="0" w:color="auto"/>
        <w:left w:val="none" w:sz="0" w:space="0" w:color="auto"/>
        <w:bottom w:val="none" w:sz="0" w:space="0" w:color="auto"/>
        <w:right w:val="none" w:sz="0" w:space="0" w:color="auto"/>
      </w:divBdr>
    </w:div>
    <w:div w:id="1362897309">
      <w:bodyDiv w:val="1"/>
      <w:marLeft w:val="0"/>
      <w:marRight w:val="0"/>
      <w:marTop w:val="0"/>
      <w:marBottom w:val="0"/>
      <w:divBdr>
        <w:top w:val="none" w:sz="0" w:space="0" w:color="auto"/>
        <w:left w:val="none" w:sz="0" w:space="0" w:color="auto"/>
        <w:bottom w:val="none" w:sz="0" w:space="0" w:color="auto"/>
        <w:right w:val="none" w:sz="0" w:space="0" w:color="auto"/>
      </w:divBdr>
    </w:div>
    <w:div w:id="1362902352">
      <w:bodyDiv w:val="1"/>
      <w:marLeft w:val="0"/>
      <w:marRight w:val="0"/>
      <w:marTop w:val="0"/>
      <w:marBottom w:val="0"/>
      <w:divBdr>
        <w:top w:val="none" w:sz="0" w:space="0" w:color="auto"/>
        <w:left w:val="none" w:sz="0" w:space="0" w:color="auto"/>
        <w:bottom w:val="none" w:sz="0" w:space="0" w:color="auto"/>
        <w:right w:val="none" w:sz="0" w:space="0" w:color="auto"/>
      </w:divBdr>
    </w:div>
    <w:div w:id="1363090213">
      <w:bodyDiv w:val="1"/>
      <w:marLeft w:val="0"/>
      <w:marRight w:val="0"/>
      <w:marTop w:val="0"/>
      <w:marBottom w:val="0"/>
      <w:divBdr>
        <w:top w:val="none" w:sz="0" w:space="0" w:color="auto"/>
        <w:left w:val="none" w:sz="0" w:space="0" w:color="auto"/>
        <w:bottom w:val="none" w:sz="0" w:space="0" w:color="auto"/>
        <w:right w:val="none" w:sz="0" w:space="0" w:color="auto"/>
      </w:divBdr>
    </w:div>
    <w:div w:id="1363282759">
      <w:bodyDiv w:val="1"/>
      <w:marLeft w:val="0"/>
      <w:marRight w:val="0"/>
      <w:marTop w:val="0"/>
      <w:marBottom w:val="0"/>
      <w:divBdr>
        <w:top w:val="none" w:sz="0" w:space="0" w:color="auto"/>
        <w:left w:val="none" w:sz="0" w:space="0" w:color="auto"/>
        <w:bottom w:val="none" w:sz="0" w:space="0" w:color="auto"/>
        <w:right w:val="none" w:sz="0" w:space="0" w:color="auto"/>
      </w:divBdr>
    </w:div>
    <w:div w:id="1363290401">
      <w:bodyDiv w:val="1"/>
      <w:marLeft w:val="0"/>
      <w:marRight w:val="0"/>
      <w:marTop w:val="0"/>
      <w:marBottom w:val="0"/>
      <w:divBdr>
        <w:top w:val="none" w:sz="0" w:space="0" w:color="auto"/>
        <w:left w:val="none" w:sz="0" w:space="0" w:color="auto"/>
        <w:bottom w:val="none" w:sz="0" w:space="0" w:color="auto"/>
        <w:right w:val="none" w:sz="0" w:space="0" w:color="auto"/>
      </w:divBdr>
    </w:div>
    <w:div w:id="1363439481">
      <w:bodyDiv w:val="1"/>
      <w:marLeft w:val="0"/>
      <w:marRight w:val="0"/>
      <w:marTop w:val="0"/>
      <w:marBottom w:val="0"/>
      <w:divBdr>
        <w:top w:val="none" w:sz="0" w:space="0" w:color="auto"/>
        <w:left w:val="none" w:sz="0" w:space="0" w:color="auto"/>
        <w:bottom w:val="none" w:sz="0" w:space="0" w:color="auto"/>
        <w:right w:val="none" w:sz="0" w:space="0" w:color="auto"/>
      </w:divBdr>
    </w:div>
    <w:div w:id="1363630930">
      <w:bodyDiv w:val="1"/>
      <w:marLeft w:val="0"/>
      <w:marRight w:val="0"/>
      <w:marTop w:val="0"/>
      <w:marBottom w:val="0"/>
      <w:divBdr>
        <w:top w:val="none" w:sz="0" w:space="0" w:color="auto"/>
        <w:left w:val="none" w:sz="0" w:space="0" w:color="auto"/>
        <w:bottom w:val="none" w:sz="0" w:space="0" w:color="auto"/>
        <w:right w:val="none" w:sz="0" w:space="0" w:color="auto"/>
      </w:divBdr>
    </w:div>
    <w:div w:id="1363700673">
      <w:bodyDiv w:val="1"/>
      <w:marLeft w:val="0"/>
      <w:marRight w:val="0"/>
      <w:marTop w:val="0"/>
      <w:marBottom w:val="0"/>
      <w:divBdr>
        <w:top w:val="none" w:sz="0" w:space="0" w:color="auto"/>
        <w:left w:val="none" w:sz="0" w:space="0" w:color="auto"/>
        <w:bottom w:val="none" w:sz="0" w:space="0" w:color="auto"/>
        <w:right w:val="none" w:sz="0" w:space="0" w:color="auto"/>
      </w:divBdr>
    </w:div>
    <w:div w:id="1363825353">
      <w:bodyDiv w:val="1"/>
      <w:marLeft w:val="0"/>
      <w:marRight w:val="0"/>
      <w:marTop w:val="0"/>
      <w:marBottom w:val="0"/>
      <w:divBdr>
        <w:top w:val="none" w:sz="0" w:space="0" w:color="auto"/>
        <w:left w:val="none" w:sz="0" w:space="0" w:color="auto"/>
        <w:bottom w:val="none" w:sz="0" w:space="0" w:color="auto"/>
        <w:right w:val="none" w:sz="0" w:space="0" w:color="auto"/>
      </w:divBdr>
    </w:div>
    <w:div w:id="1364014749">
      <w:bodyDiv w:val="1"/>
      <w:marLeft w:val="0"/>
      <w:marRight w:val="0"/>
      <w:marTop w:val="0"/>
      <w:marBottom w:val="0"/>
      <w:divBdr>
        <w:top w:val="none" w:sz="0" w:space="0" w:color="auto"/>
        <w:left w:val="none" w:sz="0" w:space="0" w:color="auto"/>
        <w:bottom w:val="none" w:sz="0" w:space="0" w:color="auto"/>
        <w:right w:val="none" w:sz="0" w:space="0" w:color="auto"/>
      </w:divBdr>
    </w:div>
    <w:div w:id="1364205731">
      <w:bodyDiv w:val="1"/>
      <w:marLeft w:val="0"/>
      <w:marRight w:val="0"/>
      <w:marTop w:val="0"/>
      <w:marBottom w:val="0"/>
      <w:divBdr>
        <w:top w:val="none" w:sz="0" w:space="0" w:color="auto"/>
        <w:left w:val="none" w:sz="0" w:space="0" w:color="auto"/>
        <w:bottom w:val="none" w:sz="0" w:space="0" w:color="auto"/>
        <w:right w:val="none" w:sz="0" w:space="0" w:color="auto"/>
      </w:divBdr>
    </w:div>
    <w:div w:id="1364284408">
      <w:bodyDiv w:val="1"/>
      <w:marLeft w:val="0"/>
      <w:marRight w:val="0"/>
      <w:marTop w:val="0"/>
      <w:marBottom w:val="0"/>
      <w:divBdr>
        <w:top w:val="none" w:sz="0" w:space="0" w:color="auto"/>
        <w:left w:val="none" w:sz="0" w:space="0" w:color="auto"/>
        <w:bottom w:val="none" w:sz="0" w:space="0" w:color="auto"/>
        <w:right w:val="none" w:sz="0" w:space="0" w:color="auto"/>
      </w:divBdr>
    </w:div>
    <w:div w:id="1364477982">
      <w:bodyDiv w:val="1"/>
      <w:marLeft w:val="0"/>
      <w:marRight w:val="0"/>
      <w:marTop w:val="0"/>
      <w:marBottom w:val="0"/>
      <w:divBdr>
        <w:top w:val="none" w:sz="0" w:space="0" w:color="auto"/>
        <w:left w:val="none" w:sz="0" w:space="0" w:color="auto"/>
        <w:bottom w:val="none" w:sz="0" w:space="0" w:color="auto"/>
        <w:right w:val="none" w:sz="0" w:space="0" w:color="auto"/>
      </w:divBdr>
    </w:div>
    <w:div w:id="1364591922">
      <w:bodyDiv w:val="1"/>
      <w:marLeft w:val="0"/>
      <w:marRight w:val="0"/>
      <w:marTop w:val="0"/>
      <w:marBottom w:val="0"/>
      <w:divBdr>
        <w:top w:val="none" w:sz="0" w:space="0" w:color="auto"/>
        <w:left w:val="none" w:sz="0" w:space="0" w:color="auto"/>
        <w:bottom w:val="none" w:sz="0" w:space="0" w:color="auto"/>
        <w:right w:val="none" w:sz="0" w:space="0" w:color="auto"/>
      </w:divBdr>
    </w:div>
    <w:div w:id="1364676606">
      <w:bodyDiv w:val="1"/>
      <w:marLeft w:val="0"/>
      <w:marRight w:val="0"/>
      <w:marTop w:val="0"/>
      <w:marBottom w:val="0"/>
      <w:divBdr>
        <w:top w:val="none" w:sz="0" w:space="0" w:color="auto"/>
        <w:left w:val="none" w:sz="0" w:space="0" w:color="auto"/>
        <w:bottom w:val="none" w:sz="0" w:space="0" w:color="auto"/>
        <w:right w:val="none" w:sz="0" w:space="0" w:color="auto"/>
      </w:divBdr>
    </w:div>
    <w:div w:id="1364749341">
      <w:bodyDiv w:val="1"/>
      <w:marLeft w:val="0"/>
      <w:marRight w:val="0"/>
      <w:marTop w:val="0"/>
      <w:marBottom w:val="0"/>
      <w:divBdr>
        <w:top w:val="none" w:sz="0" w:space="0" w:color="auto"/>
        <w:left w:val="none" w:sz="0" w:space="0" w:color="auto"/>
        <w:bottom w:val="none" w:sz="0" w:space="0" w:color="auto"/>
        <w:right w:val="none" w:sz="0" w:space="0" w:color="auto"/>
      </w:divBdr>
    </w:div>
    <w:div w:id="1364794544">
      <w:bodyDiv w:val="1"/>
      <w:marLeft w:val="0"/>
      <w:marRight w:val="0"/>
      <w:marTop w:val="0"/>
      <w:marBottom w:val="0"/>
      <w:divBdr>
        <w:top w:val="none" w:sz="0" w:space="0" w:color="auto"/>
        <w:left w:val="none" w:sz="0" w:space="0" w:color="auto"/>
        <w:bottom w:val="none" w:sz="0" w:space="0" w:color="auto"/>
        <w:right w:val="none" w:sz="0" w:space="0" w:color="auto"/>
      </w:divBdr>
    </w:div>
    <w:div w:id="1364865966">
      <w:bodyDiv w:val="1"/>
      <w:marLeft w:val="0"/>
      <w:marRight w:val="0"/>
      <w:marTop w:val="0"/>
      <w:marBottom w:val="0"/>
      <w:divBdr>
        <w:top w:val="none" w:sz="0" w:space="0" w:color="auto"/>
        <w:left w:val="none" w:sz="0" w:space="0" w:color="auto"/>
        <w:bottom w:val="none" w:sz="0" w:space="0" w:color="auto"/>
        <w:right w:val="none" w:sz="0" w:space="0" w:color="auto"/>
      </w:divBdr>
    </w:div>
    <w:div w:id="1364937357">
      <w:bodyDiv w:val="1"/>
      <w:marLeft w:val="0"/>
      <w:marRight w:val="0"/>
      <w:marTop w:val="0"/>
      <w:marBottom w:val="0"/>
      <w:divBdr>
        <w:top w:val="none" w:sz="0" w:space="0" w:color="auto"/>
        <w:left w:val="none" w:sz="0" w:space="0" w:color="auto"/>
        <w:bottom w:val="none" w:sz="0" w:space="0" w:color="auto"/>
        <w:right w:val="none" w:sz="0" w:space="0" w:color="auto"/>
      </w:divBdr>
    </w:div>
    <w:div w:id="1364940277">
      <w:bodyDiv w:val="1"/>
      <w:marLeft w:val="0"/>
      <w:marRight w:val="0"/>
      <w:marTop w:val="0"/>
      <w:marBottom w:val="0"/>
      <w:divBdr>
        <w:top w:val="none" w:sz="0" w:space="0" w:color="auto"/>
        <w:left w:val="none" w:sz="0" w:space="0" w:color="auto"/>
        <w:bottom w:val="none" w:sz="0" w:space="0" w:color="auto"/>
        <w:right w:val="none" w:sz="0" w:space="0" w:color="auto"/>
      </w:divBdr>
    </w:div>
    <w:div w:id="1364942408">
      <w:bodyDiv w:val="1"/>
      <w:marLeft w:val="0"/>
      <w:marRight w:val="0"/>
      <w:marTop w:val="0"/>
      <w:marBottom w:val="0"/>
      <w:divBdr>
        <w:top w:val="none" w:sz="0" w:space="0" w:color="auto"/>
        <w:left w:val="none" w:sz="0" w:space="0" w:color="auto"/>
        <w:bottom w:val="none" w:sz="0" w:space="0" w:color="auto"/>
        <w:right w:val="none" w:sz="0" w:space="0" w:color="auto"/>
      </w:divBdr>
    </w:div>
    <w:div w:id="1365058165">
      <w:bodyDiv w:val="1"/>
      <w:marLeft w:val="0"/>
      <w:marRight w:val="0"/>
      <w:marTop w:val="0"/>
      <w:marBottom w:val="0"/>
      <w:divBdr>
        <w:top w:val="none" w:sz="0" w:space="0" w:color="auto"/>
        <w:left w:val="none" w:sz="0" w:space="0" w:color="auto"/>
        <w:bottom w:val="none" w:sz="0" w:space="0" w:color="auto"/>
        <w:right w:val="none" w:sz="0" w:space="0" w:color="auto"/>
      </w:divBdr>
    </w:div>
    <w:div w:id="1365208639">
      <w:bodyDiv w:val="1"/>
      <w:marLeft w:val="0"/>
      <w:marRight w:val="0"/>
      <w:marTop w:val="0"/>
      <w:marBottom w:val="0"/>
      <w:divBdr>
        <w:top w:val="none" w:sz="0" w:space="0" w:color="auto"/>
        <w:left w:val="none" w:sz="0" w:space="0" w:color="auto"/>
        <w:bottom w:val="none" w:sz="0" w:space="0" w:color="auto"/>
        <w:right w:val="none" w:sz="0" w:space="0" w:color="auto"/>
      </w:divBdr>
    </w:div>
    <w:div w:id="1365253295">
      <w:bodyDiv w:val="1"/>
      <w:marLeft w:val="0"/>
      <w:marRight w:val="0"/>
      <w:marTop w:val="0"/>
      <w:marBottom w:val="0"/>
      <w:divBdr>
        <w:top w:val="none" w:sz="0" w:space="0" w:color="auto"/>
        <w:left w:val="none" w:sz="0" w:space="0" w:color="auto"/>
        <w:bottom w:val="none" w:sz="0" w:space="0" w:color="auto"/>
        <w:right w:val="none" w:sz="0" w:space="0" w:color="auto"/>
      </w:divBdr>
    </w:div>
    <w:div w:id="1365402265">
      <w:bodyDiv w:val="1"/>
      <w:marLeft w:val="0"/>
      <w:marRight w:val="0"/>
      <w:marTop w:val="0"/>
      <w:marBottom w:val="0"/>
      <w:divBdr>
        <w:top w:val="none" w:sz="0" w:space="0" w:color="auto"/>
        <w:left w:val="none" w:sz="0" w:space="0" w:color="auto"/>
        <w:bottom w:val="none" w:sz="0" w:space="0" w:color="auto"/>
        <w:right w:val="none" w:sz="0" w:space="0" w:color="auto"/>
      </w:divBdr>
    </w:div>
    <w:div w:id="1365517483">
      <w:bodyDiv w:val="1"/>
      <w:marLeft w:val="0"/>
      <w:marRight w:val="0"/>
      <w:marTop w:val="0"/>
      <w:marBottom w:val="0"/>
      <w:divBdr>
        <w:top w:val="none" w:sz="0" w:space="0" w:color="auto"/>
        <w:left w:val="none" w:sz="0" w:space="0" w:color="auto"/>
        <w:bottom w:val="none" w:sz="0" w:space="0" w:color="auto"/>
        <w:right w:val="none" w:sz="0" w:space="0" w:color="auto"/>
      </w:divBdr>
    </w:div>
    <w:div w:id="1365517578">
      <w:bodyDiv w:val="1"/>
      <w:marLeft w:val="0"/>
      <w:marRight w:val="0"/>
      <w:marTop w:val="0"/>
      <w:marBottom w:val="0"/>
      <w:divBdr>
        <w:top w:val="none" w:sz="0" w:space="0" w:color="auto"/>
        <w:left w:val="none" w:sz="0" w:space="0" w:color="auto"/>
        <w:bottom w:val="none" w:sz="0" w:space="0" w:color="auto"/>
        <w:right w:val="none" w:sz="0" w:space="0" w:color="auto"/>
      </w:divBdr>
    </w:div>
    <w:div w:id="1365519463">
      <w:bodyDiv w:val="1"/>
      <w:marLeft w:val="0"/>
      <w:marRight w:val="0"/>
      <w:marTop w:val="0"/>
      <w:marBottom w:val="0"/>
      <w:divBdr>
        <w:top w:val="none" w:sz="0" w:space="0" w:color="auto"/>
        <w:left w:val="none" w:sz="0" w:space="0" w:color="auto"/>
        <w:bottom w:val="none" w:sz="0" w:space="0" w:color="auto"/>
        <w:right w:val="none" w:sz="0" w:space="0" w:color="auto"/>
      </w:divBdr>
    </w:div>
    <w:div w:id="1365598247">
      <w:bodyDiv w:val="1"/>
      <w:marLeft w:val="0"/>
      <w:marRight w:val="0"/>
      <w:marTop w:val="0"/>
      <w:marBottom w:val="0"/>
      <w:divBdr>
        <w:top w:val="none" w:sz="0" w:space="0" w:color="auto"/>
        <w:left w:val="none" w:sz="0" w:space="0" w:color="auto"/>
        <w:bottom w:val="none" w:sz="0" w:space="0" w:color="auto"/>
        <w:right w:val="none" w:sz="0" w:space="0" w:color="auto"/>
      </w:divBdr>
    </w:div>
    <w:div w:id="1365785461">
      <w:bodyDiv w:val="1"/>
      <w:marLeft w:val="0"/>
      <w:marRight w:val="0"/>
      <w:marTop w:val="0"/>
      <w:marBottom w:val="0"/>
      <w:divBdr>
        <w:top w:val="none" w:sz="0" w:space="0" w:color="auto"/>
        <w:left w:val="none" w:sz="0" w:space="0" w:color="auto"/>
        <w:bottom w:val="none" w:sz="0" w:space="0" w:color="auto"/>
        <w:right w:val="none" w:sz="0" w:space="0" w:color="auto"/>
      </w:divBdr>
    </w:div>
    <w:div w:id="1365789881">
      <w:bodyDiv w:val="1"/>
      <w:marLeft w:val="0"/>
      <w:marRight w:val="0"/>
      <w:marTop w:val="0"/>
      <w:marBottom w:val="0"/>
      <w:divBdr>
        <w:top w:val="none" w:sz="0" w:space="0" w:color="auto"/>
        <w:left w:val="none" w:sz="0" w:space="0" w:color="auto"/>
        <w:bottom w:val="none" w:sz="0" w:space="0" w:color="auto"/>
        <w:right w:val="none" w:sz="0" w:space="0" w:color="auto"/>
      </w:divBdr>
    </w:div>
    <w:div w:id="1365865178">
      <w:bodyDiv w:val="1"/>
      <w:marLeft w:val="0"/>
      <w:marRight w:val="0"/>
      <w:marTop w:val="0"/>
      <w:marBottom w:val="0"/>
      <w:divBdr>
        <w:top w:val="none" w:sz="0" w:space="0" w:color="auto"/>
        <w:left w:val="none" w:sz="0" w:space="0" w:color="auto"/>
        <w:bottom w:val="none" w:sz="0" w:space="0" w:color="auto"/>
        <w:right w:val="none" w:sz="0" w:space="0" w:color="auto"/>
      </w:divBdr>
    </w:div>
    <w:div w:id="1365907080">
      <w:bodyDiv w:val="1"/>
      <w:marLeft w:val="0"/>
      <w:marRight w:val="0"/>
      <w:marTop w:val="0"/>
      <w:marBottom w:val="0"/>
      <w:divBdr>
        <w:top w:val="none" w:sz="0" w:space="0" w:color="auto"/>
        <w:left w:val="none" w:sz="0" w:space="0" w:color="auto"/>
        <w:bottom w:val="none" w:sz="0" w:space="0" w:color="auto"/>
        <w:right w:val="none" w:sz="0" w:space="0" w:color="auto"/>
      </w:divBdr>
    </w:div>
    <w:div w:id="1365984950">
      <w:bodyDiv w:val="1"/>
      <w:marLeft w:val="0"/>
      <w:marRight w:val="0"/>
      <w:marTop w:val="0"/>
      <w:marBottom w:val="0"/>
      <w:divBdr>
        <w:top w:val="none" w:sz="0" w:space="0" w:color="auto"/>
        <w:left w:val="none" w:sz="0" w:space="0" w:color="auto"/>
        <w:bottom w:val="none" w:sz="0" w:space="0" w:color="auto"/>
        <w:right w:val="none" w:sz="0" w:space="0" w:color="auto"/>
      </w:divBdr>
    </w:div>
    <w:div w:id="1366057372">
      <w:bodyDiv w:val="1"/>
      <w:marLeft w:val="0"/>
      <w:marRight w:val="0"/>
      <w:marTop w:val="0"/>
      <w:marBottom w:val="0"/>
      <w:divBdr>
        <w:top w:val="none" w:sz="0" w:space="0" w:color="auto"/>
        <w:left w:val="none" w:sz="0" w:space="0" w:color="auto"/>
        <w:bottom w:val="none" w:sz="0" w:space="0" w:color="auto"/>
        <w:right w:val="none" w:sz="0" w:space="0" w:color="auto"/>
      </w:divBdr>
    </w:div>
    <w:div w:id="1366174166">
      <w:bodyDiv w:val="1"/>
      <w:marLeft w:val="0"/>
      <w:marRight w:val="0"/>
      <w:marTop w:val="0"/>
      <w:marBottom w:val="0"/>
      <w:divBdr>
        <w:top w:val="none" w:sz="0" w:space="0" w:color="auto"/>
        <w:left w:val="none" w:sz="0" w:space="0" w:color="auto"/>
        <w:bottom w:val="none" w:sz="0" w:space="0" w:color="auto"/>
        <w:right w:val="none" w:sz="0" w:space="0" w:color="auto"/>
      </w:divBdr>
    </w:div>
    <w:div w:id="1366373106">
      <w:bodyDiv w:val="1"/>
      <w:marLeft w:val="0"/>
      <w:marRight w:val="0"/>
      <w:marTop w:val="0"/>
      <w:marBottom w:val="0"/>
      <w:divBdr>
        <w:top w:val="none" w:sz="0" w:space="0" w:color="auto"/>
        <w:left w:val="none" w:sz="0" w:space="0" w:color="auto"/>
        <w:bottom w:val="none" w:sz="0" w:space="0" w:color="auto"/>
        <w:right w:val="none" w:sz="0" w:space="0" w:color="auto"/>
      </w:divBdr>
    </w:div>
    <w:div w:id="1366445835">
      <w:bodyDiv w:val="1"/>
      <w:marLeft w:val="0"/>
      <w:marRight w:val="0"/>
      <w:marTop w:val="0"/>
      <w:marBottom w:val="0"/>
      <w:divBdr>
        <w:top w:val="none" w:sz="0" w:space="0" w:color="auto"/>
        <w:left w:val="none" w:sz="0" w:space="0" w:color="auto"/>
        <w:bottom w:val="none" w:sz="0" w:space="0" w:color="auto"/>
        <w:right w:val="none" w:sz="0" w:space="0" w:color="auto"/>
      </w:divBdr>
    </w:div>
    <w:div w:id="1366448389">
      <w:bodyDiv w:val="1"/>
      <w:marLeft w:val="0"/>
      <w:marRight w:val="0"/>
      <w:marTop w:val="0"/>
      <w:marBottom w:val="0"/>
      <w:divBdr>
        <w:top w:val="none" w:sz="0" w:space="0" w:color="auto"/>
        <w:left w:val="none" w:sz="0" w:space="0" w:color="auto"/>
        <w:bottom w:val="none" w:sz="0" w:space="0" w:color="auto"/>
        <w:right w:val="none" w:sz="0" w:space="0" w:color="auto"/>
      </w:divBdr>
    </w:div>
    <w:div w:id="1366448670">
      <w:bodyDiv w:val="1"/>
      <w:marLeft w:val="0"/>
      <w:marRight w:val="0"/>
      <w:marTop w:val="0"/>
      <w:marBottom w:val="0"/>
      <w:divBdr>
        <w:top w:val="none" w:sz="0" w:space="0" w:color="auto"/>
        <w:left w:val="none" w:sz="0" w:space="0" w:color="auto"/>
        <w:bottom w:val="none" w:sz="0" w:space="0" w:color="auto"/>
        <w:right w:val="none" w:sz="0" w:space="0" w:color="auto"/>
      </w:divBdr>
    </w:div>
    <w:div w:id="1366517675">
      <w:bodyDiv w:val="1"/>
      <w:marLeft w:val="0"/>
      <w:marRight w:val="0"/>
      <w:marTop w:val="0"/>
      <w:marBottom w:val="0"/>
      <w:divBdr>
        <w:top w:val="none" w:sz="0" w:space="0" w:color="auto"/>
        <w:left w:val="none" w:sz="0" w:space="0" w:color="auto"/>
        <w:bottom w:val="none" w:sz="0" w:space="0" w:color="auto"/>
        <w:right w:val="none" w:sz="0" w:space="0" w:color="auto"/>
      </w:divBdr>
    </w:div>
    <w:div w:id="1366522153">
      <w:bodyDiv w:val="1"/>
      <w:marLeft w:val="0"/>
      <w:marRight w:val="0"/>
      <w:marTop w:val="0"/>
      <w:marBottom w:val="0"/>
      <w:divBdr>
        <w:top w:val="none" w:sz="0" w:space="0" w:color="auto"/>
        <w:left w:val="none" w:sz="0" w:space="0" w:color="auto"/>
        <w:bottom w:val="none" w:sz="0" w:space="0" w:color="auto"/>
        <w:right w:val="none" w:sz="0" w:space="0" w:color="auto"/>
      </w:divBdr>
    </w:div>
    <w:div w:id="1366563267">
      <w:bodyDiv w:val="1"/>
      <w:marLeft w:val="0"/>
      <w:marRight w:val="0"/>
      <w:marTop w:val="0"/>
      <w:marBottom w:val="0"/>
      <w:divBdr>
        <w:top w:val="none" w:sz="0" w:space="0" w:color="auto"/>
        <w:left w:val="none" w:sz="0" w:space="0" w:color="auto"/>
        <w:bottom w:val="none" w:sz="0" w:space="0" w:color="auto"/>
        <w:right w:val="none" w:sz="0" w:space="0" w:color="auto"/>
      </w:divBdr>
    </w:div>
    <w:div w:id="1366564765">
      <w:bodyDiv w:val="1"/>
      <w:marLeft w:val="0"/>
      <w:marRight w:val="0"/>
      <w:marTop w:val="0"/>
      <w:marBottom w:val="0"/>
      <w:divBdr>
        <w:top w:val="none" w:sz="0" w:space="0" w:color="auto"/>
        <w:left w:val="none" w:sz="0" w:space="0" w:color="auto"/>
        <w:bottom w:val="none" w:sz="0" w:space="0" w:color="auto"/>
        <w:right w:val="none" w:sz="0" w:space="0" w:color="auto"/>
      </w:divBdr>
    </w:div>
    <w:div w:id="1366716576">
      <w:bodyDiv w:val="1"/>
      <w:marLeft w:val="0"/>
      <w:marRight w:val="0"/>
      <w:marTop w:val="0"/>
      <w:marBottom w:val="0"/>
      <w:divBdr>
        <w:top w:val="none" w:sz="0" w:space="0" w:color="auto"/>
        <w:left w:val="none" w:sz="0" w:space="0" w:color="auto"/>
        <w:bottom w:val="none" w:sz="0" w:space="0" w:color="auto"/>
        <w:right w:val="none" w:sz="0" w:space="0" w:color="auto"/>
      </w:divBdr>
    </w:div>
    <w:div w:id="1366826813">
      <w:bodyDiv w:val="1"/>
      <w:marLeft w:val="0"/>
      <w:marRight w:val="0"/>
      <w:marTop w:val="0"/>
      <w:marBottom w:val="0"/>
      <w:divBdr>
        <w:top w:val="none" w:sz="0" w:space="0" w:color="auto"/>
        <w:left w:val="none" w:sz="0" w:space="0" w:color="auto"/>
        <w:bottom w:val="none" w:sz="0" w:space="0" w:color="auto"/>
        <w:right w:val="none" w:sz="0" w:space="0" w:color="auto"/>
      </w:divBdr>
    </w:div>
    <w:div w:id="1366826876">
      <w:bodyDiv w:val="1"/>
      <w:marLeft w:val="0"/>
      <w:marRight w:val="0"/>
      <w:marTop w:val="0"/>
      <w:marBottom w:val="0"/>
      <w:divBdr>
        <w:top w:val="none" w:sz="0" w:space="0" w:color="auto"/>
        <w:left w:val="none" w:sz="0" w:space="0" w:color="auto"/>
        <w:bottom w:val="none" w:sz="0" w:space="0" w:color="auto"/>
        <w:right w:val="none" w:sz="0" w:space="0" w:color="auto"/>
      </w:divBdr>
    </w:div>
    <w:div w:id="1367099654">
      <w:bodyDiv w:val="1"/>
      <w:marLeft w:val="0"/>
      <w:marRight w:val="0"/>
      <w:marTop w:val="0"/>
      <w:marBottom w:val="0"/>
      <w:divBdr>
        <w:top w:val="none" w:sz="0" w:space="0" w:color="auto"/>
        <w:left w:val="none" w:sz="0" w:space="0" w:color="auto"/>
        <w:bottom w:val="none" w:sz="0" w:space="0" w:color="auto"/>
        <w:right w:val="none" w:sz="0" w:space="0" w:color="auto"/>
      </w:divBdr>
    </w:div>
    <w:div w:id="1367366646">
      <w:bodyDiv w:val="1"/>
      <w:marLeft w:val="0"/>
      <w:marRight w:val="0"/>
      <w:marTop w:val="0"/>
      <w:marBottom w:val="0"/>
      <w:divBdr>
        <w:top w:val="none" w:sz="0" w:space="0" w:color="auto"/>
        <w:left w:val="none" w:sz="0" w:space="0" w:color="auto"/>
        <w:bottom w:val="none" w:sz="0" w:space="0" w:color="auto"/>
        <w:right w:val="none" w:sz="0" w:space="0" w:color="auto"/>
      </w:divBdr>
    </w:div>
    <w:div w:id="1367372973">
      <w:bodyDiv w:val="1"/>
      <w:marLeft w:val="0"/>
      <w:marRight w:val="0"/>
      <w:marTop w:val="0"/>
      <w:marBottom w:val="0"/>
      <w:divBdr>
        <w:top w:val="none" w:sz="0" w:space="0" w:color="auto"/>
        <w:left w:val="none" w:sz="0" w:space="0" w:color="auto"/>
        <w:bottom w:val="none" w:sz="0" w:space="0" w:color="auto"/>
        <w:right w:val="none" w:sz="0" w:space="0" w:color="auto"/>
      </w:divBdr>
    </w:div>
    <w:div w:id="1367408801">
      <w:bodyDiv w:val="1"/>
      <w:marLeft w:val="0"/>
      <w:marRight w:val="0"/>
      <w:marTop w:val="0"/>
      <w:marBottom w:val="0"/>
      <w:divBdr>
        <w:top w:val="none" w:sz="0" w:space="0" w:color="auto"/>
        <w:left w:val="none" w:sz="0" w:space="0" w:color="auto"/>
        <w:bottom w:val="none" w:sz="0" w:space="0" w:color="auto"/>
        <w:right w:val="none" w:sz="0" w:space="0" w:color="auto"/>
      </w:divBdr>
    </w:div>
    <w:div w:id="1367413014">
      <w:bodyDiv w:val="1"/>
      <w:marLeft w:val="0"/>
      <w:marRight w:val="0"/>
      <w:marTop w:val="0"/>
      <w:marBottom w:val="0"/>
      <w:divBdr>
        <w:top w:val="none" w:sz="0" w:space="0" w:color="auto"/>
        <w:left w:val="none" w:sz="0" w:space="0" w:color="auto"/>
        <w:bottom w:val="none" w:sz="0" w:space="0" w:color="auto"/>
        <w:right w:val="none" w:sz="0" w:space="0" w:color="auto"/>
      </w:divBdr>
    </w:div>
    <w:div w:id="1367413498">
      <w:bodyDiv w:val="1"/>
      <w:marLeft w:val="0"/>
      <w:marRight w:val="0"/>
      <w:marTop w:val="0"/>
      <w:marBottom w:val="0"/>
      <w:divBdr>
        <w:top w:val="none" w:sz="0" w:space="0" w:color="auto"/>
        <w:left w:val="none" w:sz="0" w:space="0" w:color="auto"/>
        <w:bottom w:val="none" w:sz="0" w:space="0" w:color="auto"/>
        <w:right w:val="none" w:sz="0" w:space="0" w:color="auto"/>
      </w:divBdr>
    </w:div>
    <w:div w:id="1367757001">
      <w:bodyDiv w:val="1"/>
      <w:marLeft w:val="0"/>
      <w:marRight w:val="0"/>
      <w:marTop w:val="0"/>
      <w:marBottom w:val="0"/>
      <w:divBdr>
        <w:top w:val="none" w:sz="0" w:space="0" w:color="auto"/>
        <w:left w:val="none" w:sz="0" w:space="0" w:color="auto"/>
        <w:bottom w:val="none" w:sz="0" w:space="0" w:color="auto"/>
        <w:right w:val="none" w:sz="0" w:space="0" w:color="auto"/>
      </w:divBdr>
    </w:div>
    <w:div w:id="1367873299">
      <w:bodyDiv w:val="1"/>
      <w:marLeft w:val="0"/>
      <w:marRight w:val="0"/>
      <w:marTop w:val="0"/>
      <w:marBottom w:val="0"/>
      <w:divBdr>
        <w:top w:val="none" w:sz="0" w:space="0" w:color="auto"/>
        <w:left w:val="none" w:sz="0" w:space="0" w:color="auto"/>
        <w:bottom w:val="none" w:sz="0" w:space="0" w:color="auto"/>
        <w:right w:val="none" w:sz="0" w:space="0" w:color="auto"/>
      </w:divBdr>
    </w:div>
    <w:div w:id="1367876494">
      <w:bodyDiv w:val="1"/>
      <w:marLeft w:val="0"/>
      <w:marRight w:val="0"/>
      <w:marTop w:val="0"/>
      <w:marBottom w:val="0"/>
      <w:divBdr>
        <w:top w:val="none" w:sz="0" w:space="0" w:color="auto"/>
        <w:left w:val="none" w:sz="0" w:space="0" w:color="auto"/>
        <w:bottom w:val="none" w:sz="0" w:space="0" w:color="auto"/>
        <w:right w:val="none" w:sz="0" w:space="0" w:color="auto"/>
      </w:divBdr>
    </w:div>
    <w:div w:id="1368021615">
      <w:bodyDiv w:val="1"/>
      <w:marLeft w:val="0"/>
      <w:marRight w:val="0"/>
      <w:marTop w:val="0"/>
      <w:marBottom w:val="0"/>
      <w:divBdr>
        <w:top w:val="none" w:sz="0" w:space="0" w:color="auto"/>
        <w:left w:val="none" w:sz="0" w:space="0" w:color="auto"/>
        <w:bottom w:val="none" w:sz="0" w:space="0" w:color="auto"/>
        <w:right w:val="none" w:sz="0" w:space="0" w:color="auto"/>
      </w:divBdr>
    </w:div>
    <w:div w:id="1368064389">
      <w:bodyDiv w:val="1"/>
      <w:marLeft w:val="0"/>
      <w:marRight w:val="0"/>
      <w:marTop w:val="0"/>
      <w:marBottom w:val="0"/>
      <w:divBdr>
        <w:top w:val="none" w:sz="0" w:space="0" w:color="auto"/>
        <w:left w:val="none" w:sz="0" w:space="0" w:color="auto"/>
        <w:bottom w:val="none" w:sz="0" w:space="0" w:color="auto"/>
        <w:right w:val="none" w:sz="0" w:space="0" w:color="auto"/>
      </w:divBdr>
    </w:div>
    <w:div w:id="1368137561">
      <w:bodyDiv w:val="1"/>
      <w:marLeft w:val="0"/>
      <w:marRight w:val="0"/>
      <w:marTop w:val="0"/>
      <w:marBottom w:val="0"/>
      <w:divBdr>
        <w:top w:val="none" w:sz="0" w:space="0" w:color="auto"/>
        <w:left w:val="none" w:sz="0" w:space="0" w:color="auto"/>
        <w:bottom w:val="none" w:sz="0" w:space="0" w:color="auto"/>
        <w:right w:val="none" w:sz="0" w:space="0" w:color="auto"/>
      </w:divBdr>
    </w:div>
    <w:div w:id="1368139728">
      <w:bodyDiv w:val="1"/>
      <w:marLeft w:val="0"/>
      <w:marRight w:val="0"/>
      <w:marTop w:val="0"/>
      <w:marBottom w:val="0"/>
      <w:divBdr>
        <w:top w:val="none" w:sz="0" w:space="0" w:color="auto"/>
        <w:left w:val="none" w:sz="0" w:space="0" w:color="auto"/>
        <w:bottom w:val="none" w:sz="0" w:space="0" w:color="auto"/>
        <w:right w:val="none" w:sz="0" w:space="0" w:color="auto"/>
      </w:divBdr>
    </w:div>
    <w:div w:id="1368215118">
      <w:bodyDiv w:val="1"/>
      <w:marLeft w:val="0"/>
      <w:marRight w:val="0"/>
      <w:marTop w:val="0"/>
      <w:marBottom w:val="0"/>
      <w:divBdr>
        <w:top w:val="none" w:sz="0" w:space="0" w:color="auto"/>
        <w:left w:val="none" w:sz="0" w:space="0" w:color="auto"/>
        <w:bottom w:val="none" w:sz="0" w:space="0" w:color="auto"/>
        <w:right w:val="none" w:sz="0" w:space="0" w:color="auto"/>
      </w:divBdr>
    </w:div>
    <w:div w:id="1368332954">
      <w:bodyDiv w:val="1"/>
      <w:marLeft w:val="0"/>
      <w:marRight w:val="0"/>
      <w:marTop w:val="0"/>
      <w:marBottom w:val="0"/>
      <w:divBdr>
        <w:top w:val="none" w:sz="0" w:space="0" w:color="auto"/>
        <w:left w:val="none" w:sz="0" w:space="0" w:color="auto"/>
        <w:bottom w:val="none" w:sz="0" w:space="0" w:color="auto"/>
        <w:right w:val="none" w:sz="0" w:space="0" w:color="auto"/>
      </w:divBdr>
    </w:div>
    <w:div w:id="1368334583">
      <w:bodyDiv w:val="1"/>
      <w:marLeft w:val="0"/>
      <w:marRight w:val="0"/>
      <w:marTop w:val="0"/>
      <w:marBottom w:val="0"/>
      <w:divBdr>
        <w:top w:val="none" w:sz="0" w:space="0" w:color="auto"/>
        <w:left w:val="none" w:sz="0" w:space="0" w:color="auto"/>
        <w:bottom w:val="none" w:sz="0" w:space="0" w:color="auto"/>
        <w:right w:val="none" w:sz="0" w:space="0" w:color="auto"/>
      </w:divBdr>
    </w:div>
    <w:div w:id="1368413377">
      <w:bodyDiv w:val="1"/>
      <w:marLeft w:val="0"/>
      <w:marRight w:val="0"/>
      <w:marTop w:val="0"/>
      <w:marBottom w:val="0"/>
      <w:divBdr>
        <w:top w:val="none" w:sz="0" w:space="0" w:color="auto"/>
        <w:left w:val="none" w:sz="0" w:space="0" w:color="auto"/>
        <w:bottom w:val="none" w:sz="0" w:space="0" w:color="auto"/>
        <w:right w:val="none" w:sz="0" w:space="0" w:color="auto"/>
      </w:divBdr>
    </w:div>
    <w:div w:id="1368486053">
      <w:bodyDiv w:val="1"/>
      <w:marLeft w:val="0"/>
      <w:marRight w:val="0"/>
      <w:marTop w:val="0"/>
      <w:marBottom w:val="0"/>
      <w:divBdr>
        <w:top w:val="none" w:sz="0" w:space="0" w:color="auto"/>
        <w:left w:val="none" w:sz="0" w:space="0" w:color="auto"/>
        <w:bottom w:val="none" w:sz="0" w:space="0" w:color="auto"/>
        <w:right w:val="none" w:sz="0" w:space="0" w:color="auto"/>
      </w:divBdr>
    </w:div>
    <w:div w:id="1368676447">
      <w:bodyDiv w:val="1"/>
      <w:marLeft w:val="0"/>
      <w:marRight w:val="0"/>
      <w:marTop w:val="0"/>
      <w:marBottom w:val="0"/>
      <w:divBdr>
        <w:top w:val="none" w:sz="0" w:space="0" w:color="auto"/>
        <w:left w:val="none" w:sz="0" w:space="0" w:color="auto"/>
        <w:bottom w:val="none" w:sz="0" w:space="0" w:color="auto"/>
        <w:right w:val="none" w:sz="0" w:space="0" w:color="auto"/>
      </w:divBdr>
    </w:div>
    <w:div w:id="1368682072">
      <w:bodyDiv w:val="1"/>
      <w:marLeft w:val="0"/>
      <w:marRight w:val="0"/>
      <w:marTop w:val="0"/>
      <w:marBottom w:val="0"/>
      <w:divBdr>
        <w:top w:val="none" w:sz="0" w:space="0" w:color="auto"/>
        <w:left w:val="none" w:sz="0" w:space="0" w:color="auto"/>
        <w:bottom w:val="none" w:sz="0" w:space="0" w:color="auto"/>
        <w:right w:val="none" w:sz="0" w:space="0" w:color="auto"/>
      </w:divBdr>
    </w:div>
    <w:div w:id="1368726028">
      <w:bodyDiv w:val="1"/>
      <w:marLeft w:val="0"/>
      <w:marRight w:val="0"/>
      <w:marTop w:val="0"/>
      <w:marBottom w:val="0"/>
      <w:divBdr>
        <w:top w:val="none" w:sz="0" w:space="0" w:color="auto"/>
        <w:left w:val="none" w:sz="0" w:space="0" w:color="auto"/>
        <w:bottom w:val="none" w:sz="0" w:space="0" w:color="auto"/>
        <w:right w:val="none" w:sz="0" w:space="0" w:color="auto"/>
      </w:divBdr>
    </w:div>
    <w:div w:id="1368793178">
      <w:bodyDiv w:val="1"/>
      <w:marLeft w:val="0"/>
      <w:marRight w:val="0"/>
      <w:marTop w:val="0"/>
      <w:marBottom w:val="0"/>
      <w:divBdr>
        <w:top w:val="none" w:sz="0" w:space="0" w:color="auto"/>
        <w:left w:val="none" w:sz="0" w:space="0" w:color="auto"/>
        <w:bottom w:val="none" w:sz="0" w:space="0" w:color="auto"/>
        <w:right w:val="none" w:sz="0" w:space="0" w:color="auto"/>
      </w:divBdr>
    </w:div>
    <w:div w:id="1368989496">
      <w:bodyDiv w:val="1"/>
      <w:marLeft w:val="0"/>
      <w:marRight w:val="0"/>
      <w:marTop w:val="0"/>
      <w:marBottom w:val="0"/>
      <w:divBdr>
        <w:top w:val="none" w:sz="0" w:space="0" w:color="auto"/>
        <w:left w:val="none" w:sz="0" w:space="0" w:color="auto"/>
        <w:bottom w:val="none" w:sz="0" w:space="0" w:color="auto"/>
        <w:right w:val="none" w:sz="0" w:space="0" w:color="auto"/>
      </w:divBdr>
    </w:div>
    <w:div w:id="1369065429">
      <w:bodyDiv w:val="1"/>
      <w:marLeft w:val="0"/>
      <w:marRight w:val="0"/>
      <w:marTop w:val="0"/>
      <w:marBottom w:val="0"/>
      <w:divBdr>
        <w:top w:val="none" w:sz="0" w:space="0" w:color="auto"/>
        <w:left w:val="none" w:sz="0" w:space="0" w:color="auto"/>
        <w:bottom w:val="none" w:sz="0" w:space="0" w:color="auto"/>
        <w:right w:val="none" w:sz="0" w:space="0" w:color="auto"/>
      </w:divBdr>
    </w:div>
    <w:div w:id="1369182285">
      <w:bodyDiv w:val="1"/>
      <w:marLeft w:val="0"/>
      <w:marRight w:val="0"/>
      <w:marTop w:val="0"/>
      <w:marBottom w:val="0"/>
      <w:divBdr>
        <w:top w:val="none" w:sz="0" w:space="0" w:color="auto"/>
        <w:left w:val="none" w:sz="0" w:space="0" w:color="auto"/>
        <w:bottom w:val="none" w:sz="0" w:space="0" w:color="auto"/>
        <w:right w:val="none" w:sz="0" w:space="0" w:color="auto"/>
      </w:divBdr>
    </w:div>
    <w:div w:id="1369334015">
      <w:bodyDiv w:val="1"/>
      <w:marLeft w:val="0"/>
      <w:marRight w:val="0"/>
      <w:marTop w:val="0"/>
      <w:marBottom w:val="0"/>
      <w:divBdr>
        <w:top w:val="none" w:sz="0" w:space="0" w:color="auto"/>
        <w:left w:val="none" w:sz="0" w:space="0" w:color="auto"/>
        <w:bottom w:val="none" w:sz="0" w:space="0" w:color="auto"/>
        <w:right w:val="none" w:sz="0" w:space="0" w:color="auto"/>
      </w:divBdr>
    </w:div>
    <w:div w:id="1369334090">
      <w:bodyDiv w:val="1"/>
      <w:marLeft w:val="0"/>
      <w:marRight w:val="0"/>
      <w:marTop w:val="0"/>
      <w:marBottom w:val="0"/>
      <w:divBdr>
        <w:top w:val="none" w:sz="0" w:space="0" w:color="auto"/>
        <w:left w:val="none" w:sz="0" w:space="0" w:color="auto"/>
        <w:bottom w:val="none" w:sz="0" w:space="0" w:color="auto"/>
        <w:right w:val="none" w:sz="0" w:space="0" w:color="auto"/>
      </w:divBdr>
    </w:div>
    <w:div w:id="1369334115">
      <w:bodyDiv w:val="1"/>
      <w:marLeft w:val="0"/>
      <w:marRight w:val="0"/>
      <w:marTop w:val="0"/>
      <w:marBottom w:val="0"/>
      <w:divBdr>
        <w:top w:val="none" w:sz="0" w:space="0" w:color="auto"/>
        <w:left w:val="none" w:sz="0" w:space="0" w:color="auto"/>
        <w:bottom w:val="none" w:sz="0" w:space="0" w:color="auto"/>
        <w:right w:val="none" w:sz="0" w:space="0" w:color="auto"/>
      </w:divBdr>
    </w:div>
    <w:div w:id="1369407458">
      <w:bodyDiv w:val="1"/>
      <w:marLeft w:val="0"/>
      <w:marRight w:val="0"/>
      <w:marTop w:val="0"/>
      <w:marBottom w:val="0"/>
      <w:divBdr>
        <w:top w:val="none" w:sz="0" w:space="0" w:color="auto"/>
        <w:left w:val="none" w:sz="0" w:space="0" w:color="auto"/>
        <w:bottom w:val="none" w:sz="0" w:space="0" w:color="auto"/>
        <w:right w:val="none" w:sz="0" w:space="0" w:color="auto"/>
      </w:divBdr>
    </w:div>
    <w:div w:id="1369455872">
      <w:bodyDiv w:val="1"/>
      <w:marLeft w:val="0"/>
      <w:marRight w:val="0"/>
      <w:marTop w:val="0"/>
      <w:marBottom w:val="0"/>
      <w:divBdr>
        <w:top w:val="none" w:sz="0" w:space="0" w:color="auto"/>
        <w:left w:val="none" w:sz="0" w:space="0" w:color="auto"/>
        <w:bottom w:val="none" w:sz="0" w:space="0" w:color="auto"/>
        <w:right w:val="none" w:sz="0" w:space="0" w:color="auto"/>
      </w:divBdr>
    </w:div>
    <w:div w:id="1369646449">
      <w:bodyDiv w:val="1"/>
      <w:marLeft w:val="0"/>
      <w:marRight w:val="0"/>
      <w:marTop w:val="0"/>
      <w:marBottom w:val="0"/>
      <w:divBdr>
        <w:top w:val="none" w:sz="0" w:space="0" w:color="auto"/>
        <w:left w:val="none" w:sz="0" w:space="0" w:color="auto"/>
        <w:bottom w:val="none" w:sz="0" w:space="0" w:color="auto"/>
        <w:right w:val="none" w:sz="0" w:space="0" w:color="auto"/>
      </w:divBdr>
    </w:div>
    <w:div w:id="1369647135">
      <w:bodyDiv w:val="1"/>
      <w:marLeft w:val="0"/>
      <w:marRight w:val="0"/>
      <w:marTop w:val="0"/>
      <w:marBottom w:val="0"/>
      <w:divBdr>
        <w:top w:val="none" w:sz="0" w:space="0" w:color="auto"/>
        <w:left w:val="none" w:sz="0" w:space="0" w:color="auto"/>
        <w:bottom w:val="none" w:sz="0" w:space="0" w:color="auto"/>
        <w:right w:val="none" w:sz="0" w:space="0" w:color="auto"/>
      </w:divBdr>
    </w:div>
    <w:div w:id="1369649349">
      <w:bodyDiv w:val="1"/>
      <w:marLeft w:val="0"/>
      <w:marRight w:val="0"/>
      <w:marTop w:val="0"/>
      <w:marBottom w:val="0"/>
      <w:divBdr>
        <w:top w:val="none" w:sz="0" w:space="0" w:color="auto"/>
        <w:left w:val="none" w:sz="0" w:space="0" w:color="auto"/>
        <w:bottom w:val="none" w:sz="0" w:space="0" w:color="auto"/>
        <w:right w:val="none" w:sz="0" w:space="0" w:color="auto"/>
      </w:divBdr>
    </w:div>
    <w:div w:id="1369722677">
      <w:bodyDiv w:val="1"/>
      <w:marLeft w:val="0"/>
      <w:marRight w:val="0"/>
      <w:marTop w:val="0"/>
      <w:marBottom w:val="0"/>
      <w:divBdr>
        <w:top w:val="none" w:sz="0" w:space="0" w:color="auto"/>
        <w:left w:val="none" w:sz="0" w:space="0" w:color="auto"/>
        <w:bottom w:val="none" w:sz="0" w:space="0" w:color="auto"/>
        <w:right w:val="none" w:sz="0" w:space="0" w:color="auto"/>
      </w:divBdr>
    </w:div>
    <w:div w:id="1369792414">
      <w:bodyDiv w:val="1"/>
      <w:marLeft w:val="0"/>
      <w:marRight w:val="0"/>
      <w:marTop w:val="0"/>
      <w:marBottom w:val="0"/>
      <w:divBdr>
        <w:top w:val="none" w:sz="0" w:space="0" w:color="auto"/>
        <w:left w:val="none" w:sz="0" w:space="0" w:color="auto"/>
        <w:bottom w:val="none" w:sz="0" w:space="0" w:color="auto"/>
        <w:right w:val="none" w:sz="0" w:space="0" w:color="auto"/>
      </w:divBdr>
    </w:div>
    <w:div w:id="1369794097">
      <w:bodyDiv w:val="1"/>
      <w:marLeft w:val="0"/>
      <w:marRight w:val="0"/>
      <w:marTop w:val="0"/>
      <w:marBottom w:val="0"/>
      <w:divBdr>
        <w:top w:val="none" w:sz="0" w:space="0" w:color="auto"/>
        <w:left w:val="none" w:sz="0" w:space="0" w:color="auto"/>
        <w:bottom w:val="none" w:sz="0" w:space="0" w:color="auto"/>
        <w:right w:val="none" w:sz="0" w:space="0" w:color="auto"/>
      </w:divBdr>
    </w:div>
    <w:div w:id="1369796745">
      <w:bodyDiv w:val="1"/>
      <w:marLeft w:val="0"/>
      <w:marRight w:val="0"/>
      <w:marTop w:val="0"/>
      <w:marBottom w:val="0"/>
      <w:divBdr>
        <w:top w:val="none" w:sz="0" w:space="0" w:color="auto"/>
        <w:left w:val="none" w:sz="0" w:space="0" w:color="auto"/>
        <w:bottom w:val="none" w:sz="0" w:space="0" w:color="auto"/>
        <w:right w:val="none" w:sz="0" w:space="0" w:color="auto"/>
      </w:divBdr>
    </w:div>
    <w:div w:id="1370030806">
      <w:bodyDiv w:val="1"/>
      <w:marLeft w:val="0"/>
      <w:marRight w:val="0"/>
      <w:marTop w:val="0"/>
      <w:marBottom w:val="0"/>
      <w:divBdr>
        <w:top w:val="none" w:sz="0" w:space="0" w:color="auto"/>
        <w:left w:val="none" w:sz="0" w:space="0" w:color="auto"/>
        <w:bottom w:val="none" w:sz="0" w:space="0" w:color="auto"/>
        <w:right w:val="none" w:sz="0" w:space="0" w:color="auto"/>
      </w:divBdr>
    </w:div>
    <w:div w:id="1370183330">
      <w:bodyDiv w:val="1"/>
      <w:marLeft w:val="0"/>
      <w:marRight w:val="0"/>
      <w:marTop w:val="0"/>
      <w:marBottom w:val="0"/>
      <w:divBdr>
        <w:top w:val="none" w:sz="0" w:space="0" w:color="auto"/>
        <w:left w:val="none" w:sz="0" w:space="0" w:color="auto"/>
        <w:bottom w:val="none" w:sz="0" w:space="0" w:color="auto"/>
        <w:right w:val="none" w:sz="0" w:space="0" w:color="auto"/>
      </w:divBdr>
    </w:div>
    <w:div w:id="1370372460">
      <w:bodyDiv w:val="1"/>
      <w:marLeft w:val="0"/>
      <w:marRight w:val="0"/>
      <w:marTop w:val="0"/>
      <w:marBottom w:val="0"/>
      <w:divBdr>
        <w:top w:val="none" w:sz="0" w:space="0" w:color="auto"/>
        <w:left w:val="none" w:sz="0" w:space="0" w:color="auto"/>
        <w:bottom w:val="none" w:sz="0" w:space="0" w:color="auto"/>
        <w:right w:val="none" w:sz="0" w:space="0" w:color="auto"/>
      </w:divBdr>
    </w:div>
    <w:div w:id="1370449695">
      <w:bodyDiv w:val="1"/>
      <w:marLeft w:val="0"/>
      <w:marRight w:val="0"/>
      <w:marTop w:val="0"/>
      <w:marBottom w:val="0"/>
      <w:divBdr>
        <w:top w:val="none" w:sz="0" w:space="0" w:color="auto"/>
        <w:left w:val="none" w:sz="0" w:space="0" w:color="auto"/>
        <w:bottom w:val="none" w:sz="0" w:space="0" w:color="auto"/>
        <w:right w:val="none" w:sz="0" w:space="0" w:color="auto"/>
      </w:divBdr>
    </w:div>
    <w:div w:id="1370449795">
      <w:bodyDiv w:val="1"/>
      <w:marLeft w:val="0"/>
      <w:marRight w:val="0"/>
      <w:marTop w:val="0"/>
      <w:marBottom w:val="0"/>
      <w:divBdr>
        <w:top w:val="none" w:sz="0" w:space="0" w:color="auto"/>
        <w:left w:val="none" w:sz="0" w:space="0" w:color="auto"/>
        <w:bottom w:val="none" w:sz="0" w:space="0" w:color="auto"/>
        <w:right w:val="none" w:sz="0" w:space="0" w:color="auto"/>
      </w:divBdr>
    </w:div>
    <w:div w:id="1370648984">
      <w:bodyDiv w:val="1"/>
      <w:marLeft w:val="0"/>
      <w:marRight w:val="0"/>
      <w:marTop w:val="0"/>
      <w:marBottom w:val="0"/>
      <w:divBdr>
        <w:top w:val="none" w:sz="0" w:space="0" w:color="auto"/>
        <w:left w:val="none" w:sz="0" w:space="0" w:color="auto"/>
        <w:bottom w:val="none" w:sz="0" w:space="0" w:color="auto"/>
        <w:right w:val="none" w:sz="0" w:space="0" w:color="auto"/>
      </w:divBdr>
    </w:div>
    <w:div w:id="1370687476">
      <w:bodyDiv w:val="1"/>
      <w:marLeft w:val="0"/>
      <w:marRight w:val="0"/>
      <w:marTop w:val="0"/>
      <w:marBottom w:val="0"/>
      <w:divBdr>
        <w:top w:val="none" w:sz="0" w:space="0" w:color="auto"/>
        <w:left w:val="none" w:sz="0" w:space="0" w:color="auto"/>
        <w:bottom w:val="none" w:sz="0" w:space="0" w:color="auto"/>
        <w:right w:val="none" w:sz="0" w:space="0" w:color="auto"/>
      </w:divBdr>
    </w:div>
    <w:div w:id="1370689470">
      <w:bodyDiv w:val="1"/>
      <w:marLeft w:val="0"/>
      <w:marRight w:val="0"/>
      <w:marTop w:val="0"/>
      <w:marBottom w:val="0"/>
      <w:divBdr>
        <w:top w:val="none" w:sz="0" w:space="0" w:color="auto"/>
        <w:left w:val="none" w:sz="0" w:space="0" w:color="auto"/>
        <w:bottom w:val="none" w:sz="0" w:space="0" w:color="auto"/>
        <w:right w:val="none" w:sz="0" w:space="0" w:color="auto"/>
      </w:divBdr>
    </w:div>
    <w:div w:id="1370834146">
      <w:bodyDiv w:val="1"/>
      <w:marLeft w:val="0"/>
      <w:marRight w:val="0"/>
      <w:marTop w:val="0"/>
      <w:marBottom w:val="0"/>
      <w:divBdr>
        <w:top w:val="none" w:sz="0" w:space="0" w:color="auto"/>
        <w:left w:val="none" w:sz="0" w:space="0" w:color="auto"/>
        <w:bottom w:val="none" w:sz="0" w:space="0" w:color="auto"/>
        <w:right w:val="none" w:sz="0" w:space="0" w:color="auto"/>
      </w:divBdr>
    </w:div>
    <w:div w:id="1371030174">
      <w:bodyDiv w:val="1"/>
      <w:marLeft w:val="0"/>
      <w:marRight w:val="0"/>
      <w:marTop w:val="0"/>
      <w:marBottom w:val="0"/>
      <w:divBdr>
        <w:top w:val="none" w:sz="0" w:space="0" w:color="auto"/>
        <w:left w:val="none" w:sz="0" w:space="0" w:color="auto"/>
        <w:bottom w:val="none" w:sz="0" w:space="0" w:color="auto"/>
        <w:right w:val="none" w:sz="0" w:space="0" w:color="auto"/>
      </w:divBdr>
    </w:div>
    <w:div w:id="1371032697">
      <w:bodyDiv w:val="1"/>
      <w:marLeft w:val="0"/>
      <w:marRight w:val="0"/>
      <w:marTop w:val="0"/>
      <w:marBottom w:val="0"/>
      <w:divBdr>
        <w:top w:val="none" w:sz="0" w:space="0" w:color="auto"/>
        <w:left w:val="none" w:sz="0" w:space="0" w:color="auto"/>
        <w:bottom w:val="none" w:sz="0" w:space="0" w:color="auto"/>
        <w:right w:val="none" w:sz="0" w:space="0" w:color="auto"/>
      </w:divBdr>
    </w:div>
    <w:div w:id="1371107013">
      <w:bodyDiv w:val="1"/>
      <w:marLeft w:val="0"/>
      <w:marRight w:val="0"/>
      <w:marTop w:val="0"/>
      <w:marBottom w:val="0"/>
      <w:divBdr>
        <w:top w:val="none" w:sz="0" w:space="0" w:color="auto"/>
        <w:left w:val="none" w:sz="0" w:space="0" w:color="auto"/>
        <w:bottom w:val="none" w:sz="0" w:space="0" w:color="auto"/>
        <w:right w:val="none" w:sz="0" w:space="0" w:color="auto"/>
      </w:divBdr>
    </w:div>
    <w:div w:id="1371224452">
      <w:bodyDiv w:val="1"/>
      <w:marLeft w:val="0"/>
      <w:marRight w:val="0"/>
      <w:marTop w:val="0"/>
      <w:marBottom w:val="0"/>
      <w:divBdr>
        <w:top w:val="none" w:sz="0" w:space="0" w:color="auto"/>
        <w:left w:val="none" w:sz="0" w:space="0" w:color="auto"/>
        <w:bottom w:val="none" w:sz="0" w:space="0" w:color="auto"/>
        <w:right w:val="none" w:sz="0" w:space="0" w:color="auto"/>
      </w:divBdr>
    </w:div>
    <w:div w:id="1371296135">
      <w:bodyDiv w:val="1"/>
      <w:marLeft w:val="0"/>
      <w:marRight w:val="0"/>
      <w:marTop w:val="0"/>
      <w:marBottom w:val="0"/>
      <w:divBdr>
        <w:top w:val="none" w:sz="0" w:space="0" w:color="auto"/>
        <w:left w:val="none" w:sz="0" w:space="0" w:color="auto"/>
        <w:bottom w:val="none" w:sz="0" w:space="0" w:color="auto"/>
        <w:right w:val="none" w:sz="0" w:space="0" w:color="auto"/>
      </w:divBdr>
    </w:div>
    <w:div w:id="1371304510">
      <w:bodyDiv w:val="1"/>
      <w:marLeft w:val="0"/>
      <w:marRight w:val="0"/>
      <w:marTop w:val="0"/>
      <w:marBottom w:val="0"/>
      <w:divBdr>
        <w:top w:val="none" w:sz="0" w:space="0" w:color="auto"/>
        <w:left w:val="none" w:sz="0" w:space="0" w:color="auto"/>
        <w:bottom w:val="none" w:sz="0" w:space="0" w:color="auto"/>
        <w:right w:val="none" w:sz="0" w:space="0" w:color="auto"/>
      </w:divBdr>
    </w:div>
    <w:div w:id="1371416879">
      <w:bodyDiv w:val="1"/>
      <w:marLeft w:val="0"/>
      <w:marRight w:val="0"/>
      <w:marTop w:val="0"/>
      <w:marBottom w:val="0"/>
      <w:divBdr>
        <w:top w:val="none" w:sz="0" w:space="0" w:color="auto"/>
        <w:left w:val="none" w:sz="0" w:space="0" w:color="auto"/>
        <w:bottom w:val="none" w:sz="0" w:space="0" w:color="auto"/>
        <w:right w:val="none" w:sz="0" w:space="0" w:color="auto"/>
      </w:divBdr>
    </w:div>
    <w:div w:id="1371490277">
      <w:bodyDiv w:val="1"/>
      <w:marLeft w:val="0"/>
      <w:marRight w:val="0"/>
      <w:marTop w:val="0"/>
      <w:marBottom w:val="0"/>
      <w:divBdr>
        <w:top w:val="none" w:sz="0" w:space="0" w:color="auto"/>
        <w:left w:val="none" w:sz="0" w:space="0" w:color="auto"/>
        <w:bottom w:val="none" w:sz="0" w:space="0" w:color="auto"/>
        <w:right w:val="none" w:sz="0" w:space="0" w:color="auto"/>
      </w:divBdr>
    </w:div>
    <w:div w:id="1371612267">
      <w:bodyDiv w:val="1"/>
      <w:marLeft w:val="0"/>
      <w:marRight w:val="0"/>
      <w:marTop w:val="0"/>
      <w:marBottom w:val="0"/>
      <w:divBdr>
        <w:top w:val="none" w:sz="0" w:space="0" w:color="auto"/>
        <w:left w:val="none" w:sz="0" w:space="0" w:color="auto"/>
        <w:bottom w:val="none" w:sz="0" w:space="0" w:color="auto"/>
        <w:right w:val="none" w:sz="0" w:space="0" w:color="auto"/>
      </w:divBdr>
    </w:div>
    <w:div w:id="1371764720">
      <w:bodyDiv w:val="1"/>
      <w:marLeft w:val="0"/>
      <w:marRight w:val="0"/>
      <w:marTop w:val="0"/>
      <w:marBottom w:val="0"/>
      <w:divBdr>
        <w:top w:val="none" w:sz="0" w:space="0" w:color="auto"/>
        <w:left w:val="none" w:sz="0" w:space="0" w:color="auto"/>
        <w:bottom w:val="none" w:sz="0" w:space="0" w:color="auto"/>
        <w:right w:val="none" w:sz="0" w:space="0" w:color="auto"/>
      </w:divBdr>
    </w:div>
    <w:div w:id="1371801940">
      <w:bodyDiv w:val="1"/>
      <w:marLeft w:val="0"/>
      <w:marRight w:val="0"/>
      <w:marTop w:val="0"/>
      <w:marBottom w:val="0"/>
      <w:divBdr>
        <w:top w:val="none" w:sz="0" w:space="0" w:color="auto"/>
        <w:left w:val="none" w:sz="0" w:space="0" w:color="auto"/>
        <w:bottom w:val="none" w:sz="0" w:space="0" w:color="auto"/>
        <w:right w:val="none" w:sz="0" w:space="0" w:color="auto"/>
      </w:divBdr>
    </w:div>
    <w:div w:id="1371805130">
      <w:bodyDiv w:val="1"/>
      <w:marLeft w:val="0"/>
      <w:marRight w:val="0"/>
      <w:marTop w:val="0"/>
      <w:marBottom w:val="0"/>
      <w:divBdr>
        <w:top w:val="none" w:sz="0" w:space="0" w:color="auto"/>
        <w:left w:val="none" w:sz="0" w:space="0" w:color="auto"/>
        <w:bottom w:val="none" w:sz="0" w:space="0" w:color="auto"/>
        <w:right w:val="none" w:sz="0" w:space="0" w:color="auto"/>
      </w:divBdr>
    </w:div>
    <w:div w:id="1371878829">
      <w:bodyDiv w:val="1"/>
      <w:marLeft w:val="0"/>
      <w:marRight w:val="0"/>
      <w:marTop w:val="0"/>
      <w:marBottom w:val="0"/>
      <w:divBdr>
        <w:top w:val="none" w:sz="0" w:space="0" w:color="auto"/>
        <w:left w:val="none" w:sz="0" w:space="0" w:color="auto"/>
        <w:bottom w:val="none" w:sz="0" w:space="0" w:color="auto"/>
        <w:right w:val="none" w:sz="0" w:space="0" w:color="auto"/>
      </w:divBdr>
    </w:div>
    <w:div w:id="1371879290">
      <w:bodyDiv w:val="1"/>
      <w:marLeft w:val="0"/>
      <w:marRight w:val="0"/>
      <w:marTop w:val="0"/>
      <w:marBottom w:val="0"/>
      <w:divBdr>
        <w:top w:val="none" w:sz="0" w:space="0" w:color="auto"/>
        <w:left w:val="none" w:sz="0" w:space="0" w:color="auto"/>
        <w:bottom w:val="none" w:sz="0" w:space="0" w:color="auto"/>
        <w:right w:val="none" w:sz="0" w:space="0" w:color="auto"/>
      </w:divBdr>
    </w:div>
    <w:div w:id="1372027310">
      <w:bodyDiv w:val="1"/>
      <w:marLeft w:val="0"/>
      <w:marRight w:val="0"/>
      <w:marTop w:val="0"/>
      <w:marBottom w:val="0"/>
      <w:divBdr>
        <w:top w:val="none" w:sz="0" w:space="0" w:color="auto"/>
        <w:left w:val="none" w:sz="0" w:space="0" w:color="auto"/>
        <w:bottom w:val="none" w:sz="0" w:space="0" w:color="auto"/>
        <w:right w:val="none" w:sz="0" w:space="0" w:color="auto"/>
      </w:divBdr>
    </w:div>
    <w:div w:id="1372068889">
      <w:bodyDiv w:val="1"/>
      <w:marLeft w:val="0"/>
      <w:marRight w:val="0"/>
      <w:marTop w:val="0"/>
      <w:marBottom w:val="0"/>
      <w:divBdr>
        <w:top w:val="none" w:sz="0" w:space="0" w:color="auto"/>
        <w:left w:val="none" w:sz="0" w:space="0" w:color="auto"/>
        <w:bottom w:val="none" w:sz="0" w:space="0" w:color="auto"/>
        <w:right w:val="none" w:sz="0" w:space="0" w:color="auto"/>
      </w:divBdr>
    </w:div>
    <w:div w:id="1372070407">
      <w:bodyDiv w:val="1"/>
      <w:marLeft w:val="0"/>
      <w:marRight w:val="0"/>
      <w:marTop w:val="0"/>
      <w:marBottom w:val="0"/>
      <w:divBdr>
        <w:top w:val="none" w:sz="0" w:space="0" w:color="auto"/>
        <w:left w:val="none" w:sz="0" w:space="0" w:color="auto"/>
        <w:bottom w:val="none" w:sz="0" w:space="0" w:color="auto"/>
        <w:right w:val="none" w:sz="0" w:space="0" w:color="auto"/>
      </w:divBdr>
    </w:div>
    <w:div w:id="1372070416">
      <w:bodyDiv w:val="1"/>
      <w:marLeft w:val="0"/>
      <w:marRight w:val="0"/>
      <w:marTop w:val="0"/>
      <w:marBottom w:val="0"/>
      <w:divBdr>
        <w:top w:val="none" w:sz="0" w:space="0" w:color="auto"/>
        <w:left w:val="none" w:sz="0" w:space="0" w:color="auto"/>
        <w:bottom w:val="none" w:sz="0" w:space="0" w:color="auto"/>
        <w:right w:val="none" w:sz="0" w:space="0" w:color="auto"/>
      </w:divBdr>
    </w:div>
    <w:div w:id="1372143579">
      <w:bodyDiv w:val="1"/>
      <w:marLeft w:val="0"/>
      <w:marRight w:val="0"/>
      <w:marTop w:val="0"/>
      <w:marBottom w:val="0"/>
      <w:divBdr>
        <w:top w:val="none" w:sz="0" w:space="0" w:color="auto"/>
        <w:left w:val="none" w:sz="0" w:space="0" w:color="auto"/>
        <w:bottom w:val="none" w:sz="0" w:space="0" w:color="auto"/>
        <w:right w:val="none" w:sz="0" w:space="0" w:color="auto"/>
      </w:divBdr>
    </w:div>
    <w:div w:id="1372151793">
      <w:bodyDiv w:val="1"/>
      <w:marLeft w:val="0"/>
      <w:marRight w:val="0"/>
      <w:marTop w:val="0"/>
      <w:marBottom w:val="0"/>
      <w:divBdr>
        <w:top w:val="none" w:sz="0" w:space="0" w:color="auto"/>
        <w:left w:val="none" w:sz="0" w:space="0" w:color="auto"/>
        <w:bottom w:val="none" w:sz="0" w:space="0" w:color="auto"/>
        <w:right w:val="none" w:sz="0" w:space="0" w:color="auto"/>
      </w:divBdr>
    </w:div>
    <w:div w:id="1372195315">
      <w:bodyDiv w:val="1"/>
      <w:marLeft w:val="0"/>
      <w:marRight w:val="0"/>
      <w:marTop w:val="0"/>
      <w:marBottom w:val="0"/>
      <w:divBdr>
        <w:top w:val="none" w:sz="0" w:space="0" w:color="auto"/>
        <w:left w:val="none" w:sz="0" w:space="0" w:color="auto"/>
        <w:bottom w:val="none" w:sz="0" w:space="0" w:color="auto"/>
        <w:right w:val="none" w:sz="0" w:space="0" w:color="auto"/>
      </w:divBdr>
    </w:div>
    <w:div w:id="1372412898">
      <w:bodyDiv w:val="1"/>
      <w:marLeft w:val="0"/>
      <w:marRight w:val="0"/>
      <w:marTop w:val="0"/>
      <w:marBottom w:val="0"/>
      <w:divBdr>
        <w:top w:val="none" w:sz="0" w:space="0" w:color="auto"/>
        <w:left w:val="none" w:sz="0" w:space="0" w:color="auto"/>
        <w:bottom w:val="none" w:sz="0" w:space="0" w:color="auto"/>
        <w:right w:val="none" w:sz="0" w:space="0" w:color="auto"/>
      </w:divBdr>
    </w:div>
    <w:div w:id="1372418532">
      <w:bodyDiv w:val="1"/>
      <w:marLeft w:val="0"/>
      <w:marRight w:val="0"/>
      <w:marTop w:val="0"/>
      <w:marBottom w:val="0"/>
      <w:divBdr>
        <w:top w:val="none" w:sz="0" w:space="0" w:color="auto"/>
        <w:left w:val="none" w:sz="0" w:space="0" w:color="auto"/>
        <w:bottom w:val="none" w:sz="0" w:space="0" w:color="auto"/>
        <w:right w:val="none" w:sz="0" w:space="0" w:color="auto"/>
      </w:divBdr>
    </w:div>
    <w:div w:id="1372652642">
      <w:bodyDiv w:val="1"/>
      <w:marLeft w:val="0"/>
      <w:marRight w:val="0"/>
      <w:marTop w:val="0"/>
      <w:marBottom w:val="0"/>
      <w:divBdr>
        <w:top w:val="none" w:sz="0" w:space="0" w:color="auto"/>
        <w:left w:val="none" w:sz="0" w:space="0" w:color="auto"/>
        <w:bottom w:val="none" w:sz="0" w:space="0" w:color="auto"/>
        <w:right w:val="none" w:sz="0" w:space="0" w:color="auto"/>
      </w:divBdr>
    </w:div>
    <w:div w:id="1372654210">
      <w:bodyDiv w:val="1"/>
      <w:marLeft w:val="0"/>
      <w:marRight w:val="0"/>
      <w:marTop w:val="0"/>
      <w:marBottom w:val="0"/>
      <w:divBdr>
        <w:top w:val="none" w:sz="0" w:space="0" w:color="auto"/>
        <w:left w:val="none" w:sz="0" w:space="0" w:color="auto"/>
        <w:bottom w:val="none" w:sz="0" w:space="0" w:color="auto"/>
        <w:right w:val="none" w:sz="0" w:space="0" w:color="auto"/>
      </w:divBdr>
    </w:div>
    <w:div w:id="1372723480">
      <w:bodyDiv w:val="1"/>
      <w:marLeft w:val="0"/>
      <w:marRight w:val="0"/>
      <w:marTop w:val="0"/>
      <w:marBottom w:val="0"/>
      <w:divBdr>
        <w:top w:val="none" w:sz="0" w:space="0" w:color="auto"/>
        <w:left w:val="none" w:sz="0" w:space="0" w:color="auto"/>
        <w:bottom w:val="none" w:sz="0" w:space="0" w:color="auto"/>
        <w:right w:val="none" w:sz="0" w:space="0" w:color="auto"/>
      </w:divBdr>
    </w:div>
    <w:div w:id="1372725337">
      <w:bodyDiv w:val="1"/>
      <w:marLeft w:val="0"/>
      <w:marRight w:val="0"/>
      <w:marTop w:val="0"/>
      <w:marBottom w:val="0"/>
      <w:divBdr>
        <w:top w:val="none" w:sz="0" w:space="0" w:color="auto"/>
        <w:left w:val="none" w:sz="0" w:space="0" w:color="auto"/>
        <w:bottom w:val="none" w:sz="0" w:space="0" w:color="auto"/>
        <w:right w:val="none" w:sz="0" w:space="0" w:color="auto"/>
      </w:divBdr>
    </w:div>
    <w:div w:id="1372730457">
      <w:bodyDiv w:val="1"/>
      <w:marLeft w:val="0"/>
      <w:marRight w:val="0"/>
      <w:marTop w:val="0"/>
      <w:marBottom w:val="0"/>
      <w:divBdr>
        <w:top w:val="none" w:sz="0" w:space="0" w:color="auto"/>
        <w:left w:val="none" w:sz="0" w:space="0" w:color="auto"/>
        <w:bottom w:val="none" w:sz="0" w:space="0" w:color="auto"/>
        <w:right w:val="none" w:sz="0" w:space="0" w:color="auto"/>
      </w:divBdr>
    </w:div>
    <w:div w:id="1372732518">
      <w:bodyDiv w:val="1"/>
      <w:marLeft w:val="0"/>
      <w:marRight w:val="0"/>
      <w:marTop w:val="0"/>
      <w:marBottom w:val="0"/>
      <w:divBdr>
        <w:top w:val="none" w:sz="0" w:space="0" w:color="auto"/>
        <w:left w:val="none" w:sz="0" w:space="0" w:color="auto"/>
        <w:bottom w:val="none" w:sz="0" w:space="0" w:color="auto"/>
        <w:right w:val="none" w:sz="0" w:space="0" w:color="auto"/>
      </w:divBdr>
    </w:div>
    <w:div w:id="1372802827">
      <w:bodyDiv w:val="1"/>
      <w:marLeft w:val="0"/>
      <w:marRight w:val="0"/>
      <w:marTop w:val="0"/>
      <w:marBottom w:val="0"/>
      <w:divBdr>
        <w:top w:val="none" w:sz="0" w:space="0" w:color="auto"/>
        <w:left w:val="none" w:sz="0" w:space="0" w:color="auto"/>
        <w:bottom w:val="none" w:sz="0" w:space="0" w:color="auto"/>
        <w:right w:val="none" w:sz="0" w:space="0" w:color="auto"/>
      </w:divBdr>
    </w:div>
    <w:div w:id="1372849037">
      <w:bodyDiv w:val="1"/>
      <w:marLeft w:val="0"/>
      <w:marRight w:val="0"/>
      <w:marTop w:val="0"/>
      <w:marBottom w:val="0"/>
      <w:divBdr>
        <w:top w:val="none" w:sz="0" w:space="0" w:color="auto"/>
        <w:left w:val="none" w:sz="0" w:space="0" w:color="auto"/>
        <w:bottom w:val="none" w:sz="0" w:space="0" w:color="auto"/>
        <w:right w:val="none" w:sz="0" w:space="0" w:color="auto"/>
      </w:divBdr>
    </w:div>
    <w:div w:id="1372925414">
      <w:bodyDiv w:val="1"/>
      <w:marLeft w:val="0"/>
      <w:marRight w:val="0"/>
      <w:marTop w:val="0"/>
      <w:marBottom w:val="0"/>
      <w:divBdr>
        <w:top w:val="none" w:sz="0" w:space="0" w:color="auto"/>
        <w:left w:val="none" w:sz="0" w:space="0" w:color="auto"/>
        <w:bottom w:val="none" w:sz="0" w:space="0" w:color="auto"/>
        <w:right w:val="none" w:sz="0" w:space="0" w:color="auto"/>
      </w:divBdr>
    </w:div>
    <w:div w:id="1372992657">
      <w:bodyDiv w:val="1"/>
      <w:marLeft w:val="0"/>
      <w:marRight w:val="0"/>
      <w:marTop w:val="0"/>
      <w:marBottom w:val="0"/>
      <w:divBdr>
        <w:top w:val="none" w:sz="0" w:space="0" w:color="auto"/>
        <w:left w:val="none" w:sz="0" w:space="0" w:color="auto"/>
        <w:bottom w:val="none" w:sz="0" w:space="0" w:color="auto"/>
        <w:right w:val="none" w:sz="0" w:space="0" w:color="auto"/>
      </w:divBdr>
    </w:div>
    <w:div w:id="1372999319">
      <w:bodyDiv w:val="1"/>
      <w:marLeft w:val="0"/>
      <w:marRight w:val="0"/>
      <w:marTop w:val="0"/>
      <w:marBottom w:val="0"/>
      <w:divBdr>
        <w:top w:val="none" w:sz="0" w:space="0" w:color="auto"/>
        <w:left w:val="none" w:sz="0" w:space="0" w:color="auto"/>
        <w:bottom w:val="none" w:sz="0" w:space="0" w:color="auto"/>
        <w:right w:val="none" w:sz="0" w:space="0" w:color="auto"/>
      </w:divBdr>
    </w:div>
    <w:div w:id="1373068470">
      <w:bodyDiv w:val="1"/>
      <w:marLeft w:val="0"/>
      <w:marRight w:val="0"/>
      <w:marTop w:val="0"/>
      <w:marBottom w:val="0"/>
      <w:divBdr>
        <w:top w:val="none" w:sz="0" w:space="0" w:color="auto"/>
        <w:left w:val="none" w:sz="0" w:space="0" w:color="auto"/>
        <w:bottom w:val="none" w:sz="0" w:space="0" w:color="auto"/>
        <w:right w:val="none" w:sz="0" w:space="0" w:color="auto"/>
      </w:divBdr>
    </w:div>
    <w:div w:id="1373117412">
      <w:bodyDiv w:val="1"/>
      <w:marLeft w:val="0"/>
      <w:marRight w:val="0"/>
      <w:marTop w:val="0"/>
      <w:marBottom w:val="0"/>
      <w:divBdr>
        <w:top w:val="none" w:sz="0" w:space="0" w:color="auto"/>
        <w:left w:val="none" w:sz="0" w:space="0" w:color="auto"/>
        <w:bottom w:val="none" w:sz="0" w:space="0" w:color="auto"/>
        <w:right w:val="none" w:sz="0" w:space="0" w:color="auto"/>
      </w:divBdr>
    </w:div>
    <w:div w:id="1373185558">
      <w:bodyDiv w:val="1"/>
      <w:marLeft w:val="0"/>
      <w:marRight w:val="0"/>
      <w:marTop w:val="0"/>
      <w:marBottom w:val="0"/>
      <w:divBdr>
        <w:top w:val="none" w:sz="0" w:space="0" w:color="auto"/>
        <w:left w:val="none" w:sz="0" w:space="0" w:color="auto"/>
        <w:bottom w:val="none" w:sz="0" w:space="0" w:color="auto"/>
        <w:right w:val="none" w:sz="0" w:space="0" w:color="auto"/>
      </w:divBdr>
    </w:div>
    <w:div w:id="1373191599">
      <w:bodyDiv w:val="1"/>
      <w:marLeft w:val="0"/>
      <w:marRight w:val="0"/>
      <w:marTop w:val="0"/>
      <w:marBottom w:val="0"/>
      <w:divBdr>
        <w:top w:val="none" w:sz="0" w:space="0" w:color="auto"/>
        <w:left w:val="none" w:sz="0" w:space="0" w:color="auto"/>
        <w:bottom w:val="none" w:sz="0" w:space="0" w:color="auto"/>
        <w:right w:val="none" w:sz="0" w:space="0" w:color="auto"/>
      </w:divBdr>
    </w:div>
    <w:div w:id="1373191827">
      <w:bodyDiv w:val="1"/>
      <w:marLeft w:val="0"/>
      <w:marRight w:val="0"/>
      <w:marTop w:val="0"/>
      <w:marBottom w:val="0"/>
      <w:divBdr>
        <w:top w:val="none" w:sz="0" w:space="0" w:color="auto"/>
        <w:left w:val="none" w:sz="0" w:space="0" w:color="auto"/>
        <w:bottom w:val="none" w:sz="0" w:space="0" w:color="auto"/>
        <w:right w:val="none" w:sz="0" w:space="0" w:color="auto"/>
      </w:divBdr>
    </w:div>
    <w:div w:id="1373193117">
      <w:bodyDiv w:val="1"/>
      <w:marLeft w:val="0"/>
      <w:marRight w:val="0"/>
      <w:marTop w:val="0"/>
      <w:marBottom w:val="0"/>
      <w:divBdr>
        <w:top w:val="none" w:sz="0" w:space="0" w:color="auto"/>
        <w:left w:val="none" w:sz="0" w:space="0" w:color="auto"/>
        <w:bottom w:val="none" w:sz="0" w:space="0" w:color="auto"/>
        <w:right w:val="none" w:sz="0" w:space="0" w:color="auto"/>
      </w:divBdr>
    </w:div>
    <w:div w:id="1373386513">
      <w:bodyDiv w:val="1"/>
      <w:marLeft w:val="0"/>
      <w:marRight w:val="0"/>
      <w:marTop w:val="0"/>
      <w:marBottom w:val="0"/>
      <w:divBdr>
        <w:top w:val="none" w:sz="0" w:space="0" w:color="auto"/>
        <w:left w:val="none" w:sz="0" w:space="0" w:color="auto"/>
        <w:bottom w:val="none" w:sz="0" w:space="0" w:color="auto"/>
        <w:right w:val="none" w:sz="0" w:space="0" w:color="auto"/>
      </w:divBdr>
    </w:div>
    <w:div w:id="1373504765">
      <w:bodyDiv w:val="1"/>
      <w:marLeft w:val="0"/>
      <w:marRight w:val="0"/>
      <w:marTop w:val="0"/>
      <w:marBottom w:val="0"/>
      <w:divBdr>
        <w:top w:val="none" w:sz="0" w:space="0" w:color="auto"/>
        <w:left w:val="none" w:sz="0" w:space="0" w:color="auto"/>
        <w:bottom w:val="none" w:sz="0" w:space="0" w:color="auto"/>
        <w:right w:val="none" w:sz="0" w:space="0" w:color="auto"/>
      </w:divBdr>
    </w:div>
    <w:div w:id="1373573719">
      <w:bodyDiv w:val="1"/>
      <w:marLeft w:val="0"/>
      <w:marRight w:val="0"/>
      <w:marTop w:val="0"/>
      <w:marBottom w:val="0"/>
      <w:divBdr>
        <w:top w:val="none" w:sz="0" w:space="0" w:color="auto"/>
        <w:left w:val="none" w:sz="0" w:space="0" w:color="auto"/>
        <w:bottom w:val="none" w:sz="0" w:space="0" w:color="auto"/>
        <w:right w:val="none" w:sz="0" w:space="0" w:color="auto"/>
      </w:divBdr>
    </w:div>
    <w:div w:id="1373574099">
      <w:bodyDiv w:val="1"/>
      <w:marLeft w:val="0"/>
      <w:marRight w:val="0"/>
      <w:marTop w:val="0"/>
      <w:marBottom w:val="0"/>
      <w:divBdr>
        <w:top w:val="none" w:sz="0" w:space="0" w:color="auto"/>
        <w:left w:val="none" w:sz="0" w:space="0" w:color="auto"/>
        <w:bottom w:val="none" w:sz="0" w:space="0" w:color="auto"/>
        <w:right w:val="none" w:sz="0" w:space="0" w:color="auto"/>
      </w:divBdr>
    </w:div>
    <w:div w:id="1373728808">
      <w:bodyDiv w:val="1"/>
      <w:marLeft w:val="0"/>
      <w:marRight w:val="0"/>
      <w:marTop w:val="0"/>
      <w:marBottom w:val="0"/>
      <w:divBdr>
        <w:top w:val="none" w:sz="0" w:space="0" w:color="auto"/>
        <w:left w:val="none" w:sz="0" w:space="0" w:color="auto"/>
        <w:bottom w:val="none" w:sz="0" w:space="0" w:color="auto"/>
        <w:right w:val="none" w:sz="0" w:space="0" w:color="auto"/>
      </w:divBdr>
    </w:div>
    <w:div w:id="1373844721">
      <w:bodyDiv w:val="1"/>
      <w:marLeft w:val="0"/>
      <w:marRight w:val="0"/>
      <w:marTop w:val="0"/>
      <w:marBottom w:val="0"/>
      <w:divBdr>
        <w:top w:val="none" w:sz="0" w:space="0" w:color="auto"/>
        <w:left w:val="none" w:sz="0" w:space="0" w:color="auto"/>
        <w:bottom w:val="none" w:sz="0" w:space="0" w:color="auto"/>
        <w:right w:val="none" w:sz="0" w:space="0" w:color="auto"/>
      </w:divBdr>
    </w:div>
    <w:div w:id="1373846377">
      <w:bodyDiv w:val="1"/>
      <w:marLeft w:val="0"/>
      <w:marRight w:val="0"/>
      <w:marTop w:val="0"/>
      <w:marBottom w:val="0"/>
      <w:divBdr>
        <w:top w:val="none" w:sz="0" w:space="0" w:color="auto"/>
        <w:left w:val="none" w:sz="0" w:space="0" w:color="auto"/>
        <w:bottom w:val="none" w:sz="0" w:space="0" w:color="auto"/>
        <w:right w:val="none" w:sz="0" w:space="0" w:color="auto"/>
      </w:divBdr>
    </w:div>
    <w:div w:id="1373849288">
      <w:bodyDiv w:val="1"/>
      <w:marLeft w:val="0"/>
      <w:marRight w:val="0"/>
      <w:marTop w:val="0"/>
      <w:marBottom w:val="0"/>
      <w:divBdr>
        <w:top w:val="none" w:sz="0" w:space="0" w:color="auto"/>
        <w:left w:val="none" w:sz="0" w:space="0" w:color="auto"/>
        <w:bottom w:val="none" w:sz="0" w:space="0" w:color="auto"/>
        <w:right w:val="none" w:sz="0" w:space="0" w:color="auto"/>
      </w:divBdr>
    </w:div>
    <w:div w:id="1373994957">
      <w:bodyDiv w:val="1"/>
      <w:marLeft w:val="0"/>
      <w:marRight w:val="0"/>
      <w:marTop w:val="0"/>
      <w:marBottom w:val="0"/>
      <w:divBdr>
        <w:top w:val="none" w:sz="0" w:space="0" w:color="auto"/>
        <w:left w:val="none" w:sz="0" w:space="0" w:color="auto"/>
        <w:bottom w:val="none" w:sz="0" w:space="0" w:color="auto"/>
        <w:right w:val="none" w:sz="0" w:space="0" w:color="auto"/>
      </w:divBdr>
    </w:div>
    <w:div w:id="1374117286">
      <w:bodyDiv w:val="1"/>
      <w:marLeft w:val="0"/>
      <w:marRight w:val="0"/>
      <w:marTop w:val="0"/>
      <w:marBottom w:val="0"/>
      <w:divBdr>
        <w:top w:val="none" w:sz="0" w:space="0" w:color="auto"/>
        <w:left w:val="none" w:sz="0" w:space="0" w:color="auto"/>
        <w:bottom w:val="none" w:sz="0" w:space="0" w:color="auto"/>
        <w:right w:val="none" w:sz="0" w:space="0" w:color="auto"/>
      </w:divBdr>
    </w:div>
    <w:div w:id="1374160898">
      <w:bodyDiv w:val="1"/>
      <w:marLeft w:val="0"/>
      <w:marRight w:val="0"/>
      <w:marTop w:val="0"/>
      <w:marBottom w:val="0"/>
      <w:divBdr>
        <w:top w:val="none" w:sz="0" w:space="0" w:color="auto"/>
        <w:left w:val="none" w:sz="0" w:space="0" w:color="auto"/>
        <w:bottom w:val="none" w:sz="0" w:space="0" w:color="auto"/>
        <w:right w:val="none" w:sz="0" w:space="0" w:color="auto"/>
      </w:divBdr>
    </w:div>
    <w:div w:id="1374303984">
      <w:bodyDiv w:val="1"/>
      <w:marLeft w:val="0"/>
      <w:marRight w:val="0"/>
      <w:marTop w:val="0"/>
      <w:marBottom w:val="0"/>
      <w:divBdr>
        <w:top w:val="none" w:sz="0" w:space="0" w:color="auto"/>
        <w:left w:val="none" w:sz="0" w:space="0" w:color="auto"/>
        <w:bottom w:val="none" w:sz="0" w:space="0" w:color="auto"/>
        <w:right w:val="none" w:sz="0" w:space="0" w:color="auto"/>
      </w:divBdr>
    </w:div>
    <w:div w:id="1374386797">
      <w:bodyDiv w:val="1"/>
      <w:marLeft w:val="0"/>
      <w:marRight w:val="0"/>
      <w:marTop w:val="0"/>
      <w:marBottom w:val="0"/>
      <w:divBdr>
        <w:top w:val="none" w:sz="0" w:space="0" w:color="auto"/>
        <w:left w:val="none" w:sz="0" w:space="0" w:color="auto"/>
        <w:bottom w:val="none" w:sz="0" w:space="0" w:color="auto"/>
        <w:right w:val="none" w:sz="0" w:space="0" w:color="auto"/>
      </w:divBdr>
    </w:div>
    <w:div w:id="1374387547">
      <w:bodyDiv w:val="1"/>
      <w:marLeft w:val="0"/>
      <w:marRight w:val="0"/>
      <w:marTop w:val="0"/>
      <w:marBottom w:val="0"/>
      <w:divBdr>
        <w:top w:val="none" w:sz="0" w:space="0" w:color="auto"/>
        <w:left w:val="none" w:sz="0" w:space="0" w:color="auto"/>
        <w:bottom w:val="none" w:sz="0" w:space="0" w:color="auto"/>
        <w:right w:val="none" w:sz="0" w:space="0" w:color="auto"/>
      </w:divBdr>
    </w:div>
    <w:div w:id="1374425513">
      <w:bodyDiv w:val="1"/>
      <w:marLeft w:val="0"/>
      <w:marRight w:val="0"/>
      <w:marTop w:val="0"/>
      <w:marBottom w:val="0"/>
      <w:divBdr>
        <w:top w:val="none" w:sz="0" w:space="0" w:color="auto"/>
        <w:left w:val="none" w:sz="0" w:space="0" w:color="auto"/>
        <w:bottom w:val="none" w:sz="0" w:space="0" w:color="auto"/>
        <w:right w:val="none" w:sz="0" w:space="0" w:color="auto"/>
      </w:divBdr>
    </w:div>
    <w:div w:id="1374429467">
      <w:bodyDiv w:val="1"/>
      <w:marLeft w:val="0"/>
      <w:marRight w:val="0"/>
      <w:marTop w:val="0"/>
      <w:marBottom w:val="0"/>
      <w:divBdr>
        <w:top w:val="none" w:sz="0" w:space="0" w:color="auto"/>
        <w:left w:val="none" w:sz="0" w:space="0" w:color="auto"/>
        <w:bottom w:val="none" w:sz="0" w:space="0" w:color="auto"/>
        <w:right w:val="none" w:sz="0" w:space="0" w:color="auto"/>
      </w:divBdr>
    </w:div>
    <w:div w:id="1374504596">
      <w:bodyDiv w:val="1"/>
      <w:marLeft w:val="0"/>
      <w:marRight w:val="0"/>
      <w:marTop w:val="0"/>
      <w:marBottom w:val="0"/>
      <w:divBdr>
        <w:top w:val="none" w:sz="0" w:space="0" w:color="auto"/>
        <w:left w:val="none" w:sz="0" w:space="0" w:color="auto"/>
        <w:bottom w:val="none" w:sz="0" w:space="0" w:color="auto"/>
        <w:right w:val="none" w:sz="0" w:space="0" w:color="auto"/>
      </w:divBdr>
    </w:div>
    <w:div w:id="1374577584">
      <w:bodyDiv w:val="1"/>
      <w:marLeft w:val="0"/>
      <w:marRight w:val="0"/>
      <w:marTop w:val="0"/>
      <w:marBottom w:val="0"/>
      <w:divBdr>
        <w:top w:val="none" w:sz="0" w:space="0" w:color="auto"/>
        <w:left w:val="none" w:sz="0" w:space="0" w:color="auto"/>
        <w:bottom w:val="none" w:sz="0" w:space="0" w:color="auto"/>
        <w:right w:val="none" w:sz="0" w:space="0" w:color="auto"/>
      </w:divBdr>
    </w:div>
    <w:div w:id="1374620097">
      <w:bodyDiv w:val="1"/>
      <w:marLeft w:val="0"/>
      <w:marRight w:val="0"/>
      <w:marTop w:val="0"/>
      <w:marBottom w:val="0"/>
      <w:divBdr>
        <w:top w:val="none" w:sz="0" w:space="0" w:color="auto"/>
        <w:left w:val="none" w:sz="0" w:space="0" w:color="auto"/>
        <w:bottom w:val="none" w:sz="0" w:space="0" w:color="auto"/>
        <w:right w:val="none" w:sz="0" w:space="0" w:color="auto"/>
      </w:divBdr>
    </w:div>
    <w:div w:id="1374814604">
      <w:bodyDiv w:val="1"/>
      <w:marLeft w:val="0"/>
      <w:marRight w:val="0"/>
      <w:marTop w:val="0"/>
      <w:marBottom w:val="0"/>
      <w:divBdr>
        <w:top w:val="none" w:sz="0" w:space="0" w:color="auto"/>
        <w:left w:val="none" w:sz="0" w:space="0" w:color="auto"/>
        <w:bottom w:val="none" w:sz="0" w:space="0" w:color="auto"/>
        <w:right w:val="none" w:sz="0" w:space="0" w:color="auto"/>
      </w:divBdr>
    </w:div>
    <w:div w:id="1374890308">
      <w:bodyDiv w:val="1"/>
      <w:marLeft w:val="0"/>
      <w:marRight w:val="0"/>
      <w:marTop w:val="0"/>
      <w:marBottom w:val="0"/>
      <w:divBdr>
        <w:top w:val="none" w:sz="0" w:space="0" w:color="auto"/>
        <w:left w:val="none" w:sz="0" w:space="0" w:color="auto"/>
        <w:bottom w:val="none" w:sz="0" w:space="0" w:color="auto"/>
        <w:right w:val="none" w:sz="0" w:space="0" w:color="auto"/>
      </w:divBdr>
    </w:div>
    <w:div w:id="1374961612">
      <w:bodyDiv w:val="1"/>
      <w:marLeft w:val="0"/>
      <w:marRight w:val="0"/>
      <w:marTop w:val="0"/>
      <w:marBottom w:val="0"/>
      <w:divBdr>
        <w:top w:val="none" w:sz="0" w:space="0" w:color="auto"/>
        <w:left w:val="none" w:sz="0" w:space="0" w:color="auto"/>
        <w:bottom w:val="none" w:sz="0" w:space="0" w:color="auto"/>
        <w:right w:val="none" w:sz="0" w:space="0" w:color="auto"/>
      </w:divBdr>
    </w:div>
    <w:div w:id="1374963006">
      <w:bodyDiv w:val="1"/>
      <w:marLeft w:val="0"/>
      <w:marRight w:val="0"/>
      <w:marTop w:val="0"/>
      <w:marBottom w:val="0"/>
      <w:divBdr>
        <w:top w:val="none" w:sz="0" w:space="0" w:color="auto"/>
        <w:left w:val="none" w:sz="0" w:space="0" w:color="auto"/>
        <w:bottom w:val="none" w:sz="0" w:space="0" w:color="auto"/>
        <w:right w:val="none" w:sz="0" w:space="0" w:color="auto"/>
      </w:divBdr>
    </w:div>
    <w:div w:id="1374964044">
      <w:bodyDiv w:val="1"/>
      <w:marLeft w:val="0"/>
      <w:marRight w:val="0"/>
      <w:marTop w:val="0"/>
      <w:marBottom w:val="0"/>
      <w:divBdr>
        <w:top w:val="none" w:sz="0" w:space="0" w:color="auto"/>
        <w:left w:val="none" w:sz="0" w:space="0" w:color="auto"/>
        <w:bottom w:val="none" w:sz="0" w:space="0" w:color="auto"/>
        <w:right w:val="none" w:sz="0" w:space="0" w:color="auto"/>
      </w:divBdr>
    </w:div>
    <w:div w:id="1374965043">
      <w:bodyDiv w:val="1"/>
      <w:marLeft w:val="0"/>
      <w:marRight w:val="0"/>
      <w:marTop w:val="0"/>
      <w:marBottom w:val="0"/>
      <w:divBdr>
        <w:top w:val="none" w:sz="0" w:space="0" w:color="auto"/>
        <w:left w:val="none" w:sz="0" w:space="0" w:color="auto"/>
        <w:bottom w:val="none" w:sz="0" w:space="0" w:color="auto"/>
        <w:right w:val="none" w:sz="0" w:space="0" w:color="auto"/>
      </w:divBdr>
    </w:div>
    <w:div w:id="1375035173">
      <w:bodyDiv w:val="1"/>
      <w:marLeft w:val="0"/>
      <w:marRight w:val="0"/>
      <w:marTop w:val="0"/>
      <w:marBottom w:val="0"/>
      <w:divBdr>
        <w:top w:val="none" w:sz="0" w:space="0" w:color="auto"/>
        <w:left w:val="none" w:sz="0" w:space="0" w:color="auto"/>
        <w:bottom w:val="none" w:sz="0" w:space="0" w:color="auto"/>
        <w:right w:val="none" w:sz="0" w:space="0" w:color="auto"/>
      </w:divBdr>
    </w:div>
    <w:div w:id="1375151289">
      <w:bodyDiv w:val="1"/>
      <w:marLeft w:val="0"/>
      <w:marRight w:val="0"/>
      <w:marTop w:val="0"/>
      <w:marBottom w:val="0"/>
      <w:divBdr>
        <w:top w:val="none" w:sz="0" w:space="0" w:color="auto"/>
        <w:left w:val="none" w:sz="0" w:space="0" w:color="auto"/>
        <w:bottom w:val="none" w:sz="0" w:space="0" w:color="auto"/>
        <w:right w:val="none" w:sz="0" w:space="0" w:color="auto"/>
      </w:divBdr>
    </w:div>
    <w:div w:id="1375152029">
      <w:bodyDiv w:val="1"/>
      <w:marLeft w:val="0"/>
      <w:marRight w:val="0"/>
      <w:marTop w:val="0"/>
      <w:marBottom w:val="0"/>
      <w:divBdr>
        <w:top w:val="none" w:sz="0" w:space="0" w:color="auto"/>
        <w:left w:val="none" w:sz="0" w:space="0" w:color="auto"/>
        <w:bottom w:val="none" w:sz="0" w:space="0" w:color="auto"/>
        <w:right w:val="none" w:sz="0" w:space="0" w:color="auto"/>
      </w:divBdr>
    </w:div>
    <w:div w:id="1375160009">
      <w:bodyDiv w:val="1"/>
      <w:marLeft w:val="0"/>
      <w:marRight w:val="0"/>
      <w:marTop w:val="0"/>
      <w:marBottom w:val="0"/>
      <w:divBdr>
        <w:top w:val="none" w:sz="0" w:space="0" w:color="auto"/>
        <w:left w:val="none" w:sz="0" w:space="0" w:color="auto"/>
        <w:bottom w:val="none" w:sz="0" w:space="0" w:color="auto"/>
        <w:right w:val="none" w:sz="0" w:space="0" w:color="auto"/>
      </w:divBdr>
    </w:div>
    <w:div w:id="1375546202">
      <w:bodyDiv w:val="1"/>
      <w:marLeft w:val="0"/>
      <w:marRight w:val="0"/>
      <w:marTop w:val="0"/>
      <w:marBottom w:val="0"/>
      <w:divBdr>
        <w:top w:val="none" w:sz="0" w:space="0" w:color="auto"/>
        <w:left w:val="none" w:sz="0" w:space="0" w:color="auto"/>
        <w:bottom w:val="none" w:sz="0" w:space="0" w:color="auto"/>
        <w:right w:val="none" w:sz="0" w:space="0" w:color="auto"/>
      </w:divBdr>
    </w:div>
    <w:div w:id="1375613252">
      <w:bodyDiv w:val="1"/>
      <w:marLeft w:val="0"/>
      <w:marRight w:val="0"/>
      <w:marTop w:val="0"/>
      <w:marBottom w:val="0"/>
      <w:divBdr>
        <w:top w:val="none" w:sz="0" w:space="0" w:color="auto"/>
        <w:left w:val="none" w:sz="0" w:space="0" w:color="auto"/>
        <w:bottom w:val="none" w:sz="0" w:space="0" w:color="auto"/>
        <w:right w:val="none" w:sz="0" w:space="0" w:color="auto"/>
      </w:divBdr>
    </w:div>
    <w:div w:id="1375613909">
      <w:bodyDiv w:val="1"/>
      <w:marLeft w:val="0"/>
      <w:marRight w:val="0"/>
      <w:marTop w:val="0"/>
      <w:marBottom w:val="0"/>
      <w:divBdr>
        <w:top w:val="none" w:sz="0" w:space="0" w:color="auto"/>
        <w:left w:val="none" w:sz="0" w:space="0" w:color="auto"/>
        <w:bottom w:val="none" w:sz="0" w:space="0" w:color="auto"/>
        <w:right w:val="none" w:sz="0" w:space="0" w:color="auto"/>
      </w:divBdr>
    </w:div>
    <w:div w:id="1375695297">
      <w:bodyDiv w:val="1"/>
      <w:marLeft w:val="0"/>
      <w:marRight w:val="0"/>
      <w:marTop w:val="0"/>
      <w:marBottom w:val="0"/>
      <w:divBdr>
        <w:top w:val="none" w:sz="0" w:space="0" w:color="auto"/>
        <w:left w:val="none" w:sz="0" w:space="0" w:color="auto"/>
        <w:bottom w:val="none" w:sz="0" w:space="0" w:color="auto"/>
        <w:right w:val="none" w:sz="0" w:space="0" w:color="auto"/>
      </w:divBdr>
    </w:div>
    <w:div w:id="1375959758">
      <w:bodyDiv w:val="1"/>
      <w:marLeft w:val="0"/>
      <w:marRight w:val="0"/>
      <w:marTop w:val="0"/>
      <w:marBottom w:val="0"/>
      <w:divBdr>
        <w:top w:val="none" w:sz="0" w:space="0" w:color="auto"/>
        <w:left w:val="none" w:sz="0" w:space="0" w:color="auto"/>
        <w:bottom w:val="none" w:sz="0" w:space="0" w:color="auto"/>
        <w:right w:val="none" w:sz="0" w:space="0" w:color="auto"/>
      </w:divBdr>
    </w:div>
    <w:div w:id="1376077116">
      <w:bodyDiv w:val="1"/>
      <w:marLeft w:val="0"/>
      <w:marRight w:val="0"/>
      <w:marTop w:val="0"/>
      <w:marBottom w:val="0"/>
      <w:divBdr>
        <w:top w:val="none" w:sz="0" w:space="0" w:color="auto"/>
        <w:left w:val="none" w:sz="0" w:space="0" w:color="auto"/>
        <w:bottom w:val="none" w:sz="0" w:space="0" w:color="auto"/>
        <w:right w:val="none" w:sz="0" w:space="0" w:color="auto"/>
      </w:divBdr>
    </w:div>
    <w:div w:id="1376275288">
      <w:bodyDiv w:val="1"/>
      <w:marLeft w:val="0"/>
      <w:marRight w:val="0"/>
      <w:marTop w:val="0"/>
      <w:marBottom w:val="0"/>
      <w:divBdr>
        <w:top w:val="none" w:sz="0" w:space="0" w:color="auto"/>
        <w:left w:val="none" w:sz="0" w:space="0" w:color="auto"/>
        <w:bottom w:val="none" w:sz="0" w:space="0" w:color="auto"/>
        <w:right w:val="none" w:sz="0" w:space="0" w:color="auto"/>
      </w:divBdr>
    </w:div>
    <w:div w:id="1376348891">
      <w:bodyDiv w:val="1"/>
      <w:marLeft w:val="0"/>
      <w:marRight w:val="0"/>
      <w:marTop w:val="0"/>
      <w:marBottom w:val="0"/>
      <w:divBdr>
        <w:top w:val="none" w:sz="0" w:space="0" w:color="auto"/>
        <w:left w:val="none" w:sz="0" w:space="0" w:color="auto"/>
        <w:bottom w:val="none" w:sz="0" w:space="0" w:color="auto"/>
        <w:right w:val="none" w:sz="0" w:space="0" w:color="auto"/>
      </w:divBdr>
    </w:div>
    <w:div w:id="1376391415">
      <w:bodyDiv w:val="1"/>
      <w:marLeft w:val="0"/>
      <w:marRight w:val="0"/>
      <w:marTop w:val="0"/>
      <w:marBottom w:val="0"/>
      <w:divBdr>
        <w:top w:val="none" w:sz="0" w:space="0" w:color="auto"/>
        <w:left w:val="none" w:sz="0" w:space="0" w:color="auto"/>
        <w:bottom w:val="none" w:sz="0" w:space="0" w:color="auto"/>
        <w:right w:val="none" w:sz="0" w:space="0" w:color="auto"/>
      </w:divBdr>
    </w:div>
    <w:div w:id="1376419642">
      <w:bodyDiv w:val="1"/>
      <w:marLeft w:val="0"/>
      <w:marRight w:val="0"/>
      <w:marTop w:val="0"/>
      <w:marBottom w:val="0"/>
      <w:divBdr>
        <w:top w:val="none" w:sz="0" w:space="0" w:color="auto"/>
        <w:left w:val="none" w:sz="0" w:space="0" w:color="auto"/>
        <w:bottom w:val="none" w:sz="0" w:space="0" w:color="auto"/>
        <w:right w:val="none" w:sz="0" w:space="0" w:color="auto"/>
      </w:divBdr>
    </w:div>
    <w:div w:id="1376463993">
      <w:bodyDiv w:val="1"/>
      <w:marLeft w:val="0"/>
      <w:marRight w:val="0"/>
      <w:marTop w:val="0"/>
      <w:marBottom w:val="0"/>
      <w:divBdr>
        <w:top w:val="none" w:sz="0" w:space="0" w:color="auto"/>
        <w:left w:val="none" w:sz="0" w:space="0" w:color="auto"/>
        <w:bottom w:val="none" w:sz="0" w:space="0" w:color="auto"/>
        <w:right w:val="none" w:sz="0" w:space="0" w:color="auto"/>
      </w:divBdr>
    </w:div>
    <w:div w:id="1376468268">
      <w:bodyDiv w:val="1"/>
      <w:marLeft w:val="0"/>
      <w:marRight w:val="0"/>
      <w:marTop w:val="0"/>
      <w:marBottom w:val="0"/>
      <w:divBdr>
        <w:top w:val="none" w:sz="0" w:space="0" w:color="auto"/>
        <w:left w:val="none" w:sz="0" w:space="0" w:color="auto"/>
        <w:bottom w:val="none" w:sz="0" w:space="0" w:color="auto"/>
        <w:right w:val="none" w:sz="0" w:space="0" w:color="auto"/>
      </w:divBdr>
    </w:div>
    <w:div w:id="1376469759">
      <w:bodyDiv w:val="1"/>
      <w:marLeft w:val="0"/>
      <w:marRight w:val="0"/>
      <w:marTop w:val="0"/>
      <w:marBottom w:val="0"/>
      <w:divBdr>
        <w:top w:val="none" w:sz="0" w:space="0" w:color="auto"/>
        <w:left w:val="none" w:sz="0" w:space="0" w:color="auto"/>
        <w:bottom w:val="none" w:sz="0" w:space="0" w:color="auto"/>
        <w:right w:val="none" w:sz="0" w:space="0" w:color="auto"/>
      </w:divBdr>
    </w:div>
    <w:div w:id="1376540987">
      <w:bodyDiv w:val="1"/>
      <w:marLeft w:val="0"/>
      <w:marRight w:val="0"/>
      <w:marTop w:val="0"/>
      <w:marBottom w:val="0"/>
      <w:divBdr>
        <w:top w:val="none" w:sz="0" w:space="0" w:color="auto"/>
        <w:left w:val="none" w:sz="0" w:space="0" w:color="auto"/>
        <w:bottom w:val="none" w:sz="0" w:space="0" w:color="auto"/>
        <w:right w:val="none" w:sz="0" w:space="0" w:color="auto"/>
      </w:divBdr>
    </w:div>
    <w:div w:id="1376664090">
      <w:bodyDiv w:val="1"/>
      <w:marLeft w:val="0"/>
      <w:marRight w:val="0"/>
      <w:marTop w:val="0"/>
      <w:marBottom w:val="0"/>
      <w:divBdr>
        <w:top w:val="none" w:sz="0" w:space="0" w:color="auto"/>
        <w:left w:val="none" w:sz="0" w:space="0" w:color="auto"/>
        <w:bottom w:val="none" w:sz="0" w:space="0" w:color="auto"/>
        <w:right w:val="none" w:sz="0" w:space="0" w:color="auto"/>
      </w:divBdr>
    </w:div>
    <w:div w:id="1376734995">
      <w:bodyDiv w:val="1"/>
      <w:marLeft w:val="0"/>
      <w:marRight w:val="0"/>
      <w:marTop w:val="0"/>
      <w:marBottom w:val="0"/>
      <w:divBdr>
        <w:top w:val="none" w:sz="0" w:space="0" w:color="auto"/>
        <w:left w:val="none" w:sz="0" w:space="0" w:color="auto"/>
        <w:bottom w:val="none" w:sz="0" w:space="0" w:color="auto"/>
        <w:right w:val="none" w:sz="0" w:space="0" w:color="auto"/>
      </w:divBdr>
    </w:div>
    <w:div w:id="1376857096">
      <w:bodyDiv w:val="1"/>
      <w:marLeft w:val="0"/>
      <w:marRight w:val="0"/>
      <w:marTop w:val="0"/>
      <w:marBottom w:val="0"/>
      <w:divBdr>
        <w:top w:val="none" w:sz="0" w:space="0" w:color="auto"/>
        <w:left w:val="none" w:sz="0" w:space="0" w:color="auto"/>
        <w:bottom w:val="none" w:sz="0" w:space="0" w:color="auto"/>
        <w:right w:val="none" w:sz="0" w:space="0" w:color="auto"/>
      </w:divBdr>
    </w:div>
    <w:div w:id="1376931862">
      <w:bodyDiv w:val="1"/>
      <w:marLeft w:val="0"/>
      <w:marRight w:val="0"/>
      <w:marTop w:val="0"/>
      <w:marBottom w:val="0"/>
      <w:divBdr>
        <w:top w:val="none" w:sz="0" w:space="0" w:color="auto"/>
        <w:left w:val="none" w:sz="0" w:space="0" w:color="auto"/>
        <w:bottom w:val="none" w:sz="0" w:space="0" w:color="auto"/>
        <w:right w:val="none" w:sz="0" w:space="0" w:color="auto"/>
      </w:divBdr>
    </w:div>
    <w:div w:id="1377242239">
      <w:bodyDiv w:val="1"/>
      <w:marLeft w:val="0"/>
      <w:marRight w:val="0"/>
      <w:marTop w:val="0"/>
      <w:marBottom w:val="0"/>
      <w:divBdr>
        <w:top w:val="none" w:sz="0" w:space="0" w:color="auto"/>
        <w:left w:val="none" w:sz="0" w:space="0" w:color="auto"/>
        <w:bottom w:val="none" w:sz="0" w:space="0" w:color="auto"/>
        <w:right w:val="none" w:sz="0" w:space="0" w:color="auto"/>
      </w:divBdr>
    </w:div>
    <w:div w:id="1377311847">
      <w:bodyDiv w:val="1"/>
      <w:marLeft w:val="0"/>
      <w:marRight w:val="0"/>
      <w:marTop w:val="0"/>
      <w:marBottom w:val="0"/>
      <w:divBdr>
        <w:top w:val="none" w:sz="0" w:space="0" w:color="auto"/>
        <w:left w:val="none" w:sz="0" w:space="0" w:color="auto"/>
        <w:bottom w:val="none" w:sz="0" w:space="0" w:color="auto"/>
        <w:right w:val="none" w:sz="0" w:space="0" w:color="auto"/>
      </w:divBdr>
    </w:div>
    <w:div w:id="1377461891">
      <w:bodyDiv w:val="1"/>
      <w:marLeft w:val="0"/>
      <w:marRight w:val="0"/>
      <w:marTop w:val="0"/>
      <w:marBottom w:val="0"/>
      <w:divBdr>
        <w:top w:val="none" w:sz="0" w:space="0" w:color="auto"/>
        <w:left w:val="none" w:sz="0" w:space="0" w:color="auto"/>
        <w:bottom w:val="none" w:sz="0" w:space="0" w:color="auto"/>
        <w:right w:val="none" w:sz="0" w:space="0" w:color="auto"/>
      </w:divBdr>
    </w:div>
    <w:div w:id="1377466046">
      <w:bodyDiv w:val="1"/>
      <w:marLeft w:val="0"/>
      <w:marRight w:val="0"/>
      <w:marTop w:val="0"/>
      <w:marBottom w:val="0"/>
      <w:divBdr>
        <w:top w:val="none" w:sz="0" w:space="0" w:color="auto"/>
        <w:left w:val="none" w:sz="0" w:space="0" w:color="auto"/>
        <w:bottom w:val="none" w:sz="0" w:space="0" w:color="auto"/>
        <w:right w:val="none" w:sz="0" w:space="0" w:color="auto"/>
      </w:divBdr>
    </w:div>
    <w:div w:id="1377508007">
      <w:bodyDiv w:val="1"/>
      <w:marLeft w:val="0"/>
      <w:marRight w:val="0"/>
      <w:marTop w:val="0"/>
      <w:marBottom w:val="0"/>
      <w:divBdr>
        <w:top w:val="none" w:sz="0" w:space="0" w:color="auto"/>
        <w:left w:val="none" w:sz="0" w:space="0" w:color="auto"/>
        <w:bottom w:val="none" w:sz="0" w:space="0" w:color="auto"/>
        <w:right w:val="none" w:sz="0" w:space="0" w:color="auto"/>
      </w:divBdr>
    </w:div>
    <w:div w:id="1377654599">
      <w:bodyDiv w:val="1"/>
      <w:marLeft w:val="0"/>
      <w:marRight w:val="0"/>
      <w:marTop w:val="0"/>
      <w:marBottom w:val="0"/>
      <w:divBdr>
        <w:top w:val="none" w:sz="0" w:space="0" w:color="auto"/>
        <w:left w:val="none" w:sz="0" w:space="0" w:color="auto"/>
        <w:bottom w:val="none" w:sz="0" w:space="0" w:color="auto"/>
        <w:right w:val="none" w:sz="0" w:space="0" w:color="auto"/>
      </w:divBdr>
    </w:div>
    <w:div w:id="1377658574">
      <w:bodyDiv w:val="1"/>
      <w:marLeft w:val="0"/>
      <w:marRight w:val="0"/>
      <w:marTop w:val="0"/>
      <w:marBottom w:val="0"/>
      <w:divBdr>
        <w:top w:val="none" w:sz="0" w:space="0" w:color="auto"/>
        <w:left w:val="none" w:sz="0" w:space="0" w:color="auto"/>
        <w:bottom w:val="none" w:sz="0" w:space="0" w:color="auto"/>
        <w:right w:val="none" w:sz="0" w:space="0" w:color="auto"/>
      </w:divBdr>
    </w:div>
    <w:div w:id="1377699478">
      <w:bodyDiv w:val="1"/>
      <w:marLeft w:val="0"/>
      <w:marRight w:val="0"/>
      <w:marTop w:val="0"/>
      <w:marBottom w:val="0"/>
      <w:divBdr>
        <w:top w:val="none" w:sz="0" w:space="0" w:color="auto"/>
        <w:left w:val="none" w:sz="0" w:space="0" w:color="auto"/>
        <w:bottom w:val="none" w:sz="0" w:space="0" w:color="auto"/>
        <w:right w:val="none" w:sz="0" w:space="0" w:color="auto"/>
      </w:divBdr>
    </w:div>
    <w:div w:id="1377699824">
      <w:bodyDiv w:val="1"/>
      <w:marLeft w:val="0"/>
      <w:marRight w:val="0"/>
      <w:marTop w:val="0"/>
      <w:marBottom w:val="0"/>
      <w:divBdr>
        <w:top w:val="none" w:sz="0" w:space="0" w:color="auto"/>
        <w:left w:val="none" w:sz="0" w:space="0" w:color="auto"/>
        <w:bottom w:val="none" w:sz="0" w:space="0" w:color="auto"/>
        <w:right w:val="none" w:sz="0" w:space="0" w:color="auto"/>
      </w:divBdr>
    </w:div>
    <w:div w:id="1377700200">
      <w:bodyDiv w:val="1"/>
      <w:marLeft w:val="0"/>
      <w:marRight w:val="0"/>
      <w:marTop w:val="0"/>
      <w:marBottom w:val="0"/>
      <w:divBdr>
        <w:top w:val="none" w:sz="0" w:space="0" w:color="auto"/>
        <w:left w:val="none" w:sz="0" w:space="0" w:color="auto"/>
        <w:bottom w:val="none" w:sz="0" w:space="0" w:color="auto"/>
        <w:right w:val="none" w:sz="0" w:space="0" w:color="auto"/>
      </w:divBdr>
    </w:div>
    <w:div w:id="1377703877">
      <w:bodyDiv w:val="1"/>
      <w:marLeft w:val="0"/>
      <w:marRight w:val="0"/>
      <w:marTop w:val="0"/>
      <w:marBottom w:val="0"/>
      <w:divBdr>
        <w:top w:val="none" w:sz="0" w:space="0" w:color="auto"/>
        <w:left w:val="none" w:sz="0" w:space="0" w:color="auto"/>
        <w:bottom w:val="none" w:sz="0" w:space="0" w:color="auto"/>
        <w:right w:val="none" w:sz="0" w:space="0" w:color="auto"/>
      </w:divBdr>
    </w:div>
    <w:div w:id="1377847907">
      <w:bodyDiv w:val="1"/>
      <w:marLeft w:val="0"/>
      <w:marRight w:val="0"/>
      <w:marTop w:val="0"/>
      <w:marBottom w:val="0"/>
      <w:divBdr>
        <w:top w:val="none" w:sz="0" w:space="0" w:color="auto"/>
        <w:left w:val="none" w:sz="0" w:space="0" w:color="auto"/>
        <w:bottom w:val="none" w:sz="0" w:space="0" w:color="auto"/>
        <w:right w:val="none" w:sz="0" w:space="0" w:color="auto"/>
      </w:divBdr>
    </w:div>
    <w:div w:id="1377855433">
      <w:bodyDiv w:val="1"/>
      <w:marLeft w:val="0"/>
      <w:marRight w:val="0"/>
      <w:marTop w:val="0"/>
      <w:marBottom w:val="0"/>
      <w:divBdr>
        <w:top w:val="none" w:sz="0" w:space="0" w:color="auto"/>
        <w:left w:val="none" w:sz="0" w:space="0" w:color="auto"/>
        <w:bottom w:val="none" w:sz="0" w:space="0" w:color="auto"/>
        <w:right w:val="none" w:sz="0" w:space="0" w:color="auto"/>
      </w:divBdr>
    </w:div>
    <w:div w:id="1377923766">
      <w:bodyDiv w:val="1"/>
      <w:marLeft w:val="0"/>
      <w:marRight w:val="0"/>
      <w:marTop w:val="0"/>
      <w:marBottom w:val="0"/>
      <w:divBdr>
        <w:top w:val="none" w:sz="0" w:space="0" w:color="auto"/>
        <w:left w:val="none" w:sz="0" w:space="0" w:color="auto"/>
        <w:bottom w:val="none" w:sz="0" w:space="0" w:color="auto"/>
        <w:right w:val="none" w:sz="0" w:space="0" w:color="auto"/>
      </w:divBdr>
    </w:div>
    <w:div w:id="1378119409">
      <w:bodyDiv w:val="1"/>
      <w:marLeft w:val="0"/>
      <w:marRight w:val="0"/>
      <w:marTop w:val="0"/>
      <w:marBottom w:val="0"/>
      <w:divBdr>
        <w:top w:val="none" w:sz="0" w:space="0" w:color="auto"/>
        <w:left w:val="none" w:sz="0" w:space="0" w:color="auto"/>
        <w:bottom w:val="none" w:sz="0" w:space="0" w:color="auto"/>
        <w:right w:val="none" w:sz="0" w:space="0" w:color="auto"/>
      </w:divBdr>
    </w:div>
    <w:div w:id="1378243642">
      <w:bodyDiv w:val="1"/>
      <w:marLeft w:val="0"/>
      <w:marRight w:val="0"/>
      <w:marTop w:val="0"/>
      <w:marBottom w:val="0"/>
      <w:divBdr>
        <w:top w:val="none" w:sz="0" w:space="0" w:color="auto"/>
        <w:left w:val="none" w:sz="0" w:space="0" w:color="auto"/>
        <w:bottom w:val="none" w:sz="0" w:space="0" w:color="auto"/>
        <w:right w:val="none" w:sz="0" w:space="0" w:color="auto"/>
      </w:divBdr>
    </w:div>
    <w:div w:id="1378311497">
      <w:bodyDiv w:val="1"/>
      <w:marLeft w:val="0"/>
      <w:marRight w:val="0"/>
      <w:marTop w:val="0"/>
      <w:marBottom w:val="0"/>
      <w:divBdr>
        <w:top w:val="none" w:sz="0" w:space="0" w:color="auto"/>
        <w:left w:val="none" w:sz="0" w:space="0" w:color="auto"/>
        <w:bottom w:val="none" w:sz="0" w:space="0" w:color="auto"/>
        <w:right w:val="none" w:sz="0" w:space="0" w:color="auto"/>
      </w:divBdr>
    </w:div>
    <w:div w:id="1378353993">
      <w:bodyDiv w:val="1"/>
      <w:marLeft w:val="0"/>
      <w:marRight w:val="0"/>
      <w:marTop w:val="0"/>
      <w:marBottom w:val="0"/>
      <w:divBdr>
        <w:top w:val="none" w:sz="0" w:space="0" w:color="auto"/>
        <w:left w:val="none" w:sz="0" w:space="0" w:color="auto"/>
        <w:bottom w:val="none" w:sz="0" w:space="0" w:color="auto"/>
        <w:right w:val="none" w:sz="0" w:space="0" w:color="auto"/>
      </w:divBdr>
    </w:div>
    <w:div w:id="1378357851">
      <w:bodyDiv w:val="1"/>
      <w:marLeft w:val="0"/>
      <w:marRight w:val="0"/>
      <w:marTop w:val="0"/>
      <w:marBottom w:val="0"/>
      <w:divBdr>
        <w:top w:val="none" w:sz="0" w:space="0" w:color="auto"/>
        <w:left w:val="none" w:sz="0" w:space="0" w:color="auto"/>
        <w:bottom w:val="none" w:sz="0" w:space="0" w:color="auto"/>
        <w:right w:val="none" w:sz="0" w:space="0" w:color="auto"/>
      </w:divBdr>
    </w:div>
    <w:div w:id="1378430531">
      <w:bodyDiv w:val="1"/>
      <w:marLeft w:val="0"/>
      <w:marRight w:val="0"/>
      <w:marTop w:val="0"/>
      <w:marBottom w:val="0"/>
      <w:divBdr>
        <w:top w:val="none" w:sz="0" w:space="0" w:color="auto"/>
        <w:left w:val="none" w:sz="0" w:space="0" w:color="auto"/>
        <w:bottom w:val="none" w:sz="0" w:space="0" w:color="auto"/>
        <w:right w:val="none" w:sz="0" w:space="0" w:color="auto"/>
      </w:divBdr>
    </w:div>
    <w:div w:id="1378554351">
      <w:bodyDiv w:val="1"/>
      <w:marLeft w:val="0"/>
      <w:marRight w:val="0"/>
      <w:marTop w:val="0"/>
      <w:marBottom w:val="0"/>
      <w:divBdr>
        <w:top w:val="none" w:sz="0" w:space="0" w:color="auto"/>
        <w:left w:val="none" w:sz="0" w:space="0" w:color="auto"/>
        <w:bottom w:val="none" w:sz="0" w:space="0" w:color="auto"/>
        <w:right w:val="none" w:sz="0" w:space="0" w:color="auto"/>
      </w:divBdr>
    </w:div>
    <w:div w:id="1378821883">
      <w:bodyDiv w:val="1"/>
      <w:marLeft w:val="0"/>
      <w:marRight w:val="0"/>
      <w:marTop w:val="0"/>
      <w:marBottom w:val="0"/>
      <w:divBdr>
        <w:top w:val="none" w:sz="0" w:space="0" w:color="auto"/>
        <w:left w:val="none" w:sz="0" w:space="0" w:color="auto"/>
        <w:bottom w:val="none" w:sz="0" w:space="0" w:color="auto"/>
        <w:right w:val="none" w:sz="0" w:space="0" w:color="auto"/>
      </w:divBdr>
    </w:div>
    <w:div w:id="1378897207">
      <w:bodyDiv w:val="1"/>
      <w:marLeft w:val="0"/>
      <w:marRight w:val="0"/>
      <w:marTop w:val="0"/>
      <w:marBottom w:val="0"/>
      <w:divBdr>
        <w:top w:val="none" w:sz="0" w:space="0" w:color="auto"/>
        <w:left w:val="none" w:sz="0" w:space="0" w:color="auto"/>
        <w:bottom w:val="none" w:sz="0" w:space="0" w:color="auto"/>
        <w:right w:val="none" w:sz="0" w:space="0" w:color="auto"/>
      </w:divBdr>
    </w:div>
    <w:div w:id="1379014209">
      <w:bodyDiv w:val="1"/>
      <w:marLeft w:val="0"/>
      <w:marRight w:val="0"/>
      <w:marTop w:val="0"/>
      <w:marBottom w:val="0"/>
      <w:divBdr>
        <w:top w:val="none" w:sz="0" w:space="0" w:color="auto"/>
        <w:left w:val="none" w:sz="0" w:space="0" w:color="auto"/>
        <w:bottom w:val="none" w:sz="0" w:space="0" w:color="auto"/>
        <w:right w:val="none" w:sz="0" w:space="0" w:color="auto"/>
      </w:divBdr>
    </w:div>
    <w:div w:id="1379084550">
      <w:bodyDiv w:val="1"/>
      <w:marLeft w:val="0"/>
      <w:marRight w:val="0"/>
      <w:marTop w:val="0"/>
      <w:marBottom w:val="0"/>
      <w:divBdr>
        <w:top w:val="none" w:sz="0" w:space="0" w:color="auto"/>
        <w:left w:val="none" w:sz="0" w:space="0" w:color="auto"/>
        <w:bottom w:val="none" w:sz="0" w:space="0" w:color="auto"/>
        <w:right w:val="none" w:sz="0" w:space="0" w:color="auto"/>
      </w:divBdr>
    </w:div>
    <w:div w:id="1379166227">
      <w:bodyDiv w:val="1"/>
      <w:marLeft w:val="0"/>
      <w:marRight w:val="0"/>
      <w:marTop w:val="0"/>
      <w:marBottom w:val="0"/>
      <w:divBdr>
        <w:top w:val="none" w:sz="0" w:space="0" w:color="auto"/>
        <w:left w:val="none" w:sz="0" w:space="0" w:color="auto"/>
        <w:bottom w:val="none" w:sz="0" w:space="0" w:color="auto"/>
        <w:right w:val="none" w:sz="0" w:space="0" w:color="auto"/>
      </w:divBdr>
    </w:div>
    <w:div w:id="1379205955">
      <w:bodyDiv w:val="1"/>
      <w:marLeft w:val="0"/>
      <w:marRight w:val="0"/>
      <w:marTop w:val="0"/>
      <w:marBottom w:val="0"/>
      <w:divBdr>
        <w:top w:val="none" w:sz="0" w:space="0" w:color="auto"/>
        <w:left w:val="none" w:sz="0" w:space="0" w:color="auto"/>
        <w:bottom w:val="none" w:sz="0" w:space="0" w:color="auto"/>
        <w:right w:val="none" w:sz="0" w:space="0" w:color="auto"/>
      </w:divBdr>
    </w:div>
    <w:div w:id="1379280830">
      <w:bodyDiv w:val="1"/>
      <w:marLeft w:val="0"/>
      <w:marRight w:val="0"/>
      <w:marTop w:val="0"/>
      <w:marBottom w:val="0"/>
      <w:divBdr>
        <w:top w:val="none" w:sz="0" w:space="0" w:color="auto"/>
        <w:left w:val="none" w:sz="0" w:space="0" w:color="auto"/>
        <w:bottom w:val="none" w:sz="0" w:space="0" w:color="auto"/>
        <w:right w:val="none" w:sz="0" w:space="0" w:color="auto"/>
      </w:divBdr>
    </w:div>
    <w:div w:id="1379281138">
      <w:bodyDiv w:val="1"/>
      <w:marLeft w:val="0"/>
      <w:marRight w:val="0"/>
      <w:marTop w:val="0"/>
      <w:marBottom w:val="0"/>
      <w:divBdr>
        <w:top w:val="none" w:sz="0" w:space="0" w:color="auto"/>
        <w:left w:val="none" w:sz="0" w:space="0" w:color="auto"/>
        <w:bottom w:val="none" w:sz="0" w:space="0" w:color="auto"/>
        <w:right w:val="none" w:sz="0" w:space="0" w:color="auto"/>
      </w:divBdr>
    </w:div>
    <w:div w:id="1379428356">
      <w:bodyDiv w:val="1"/>
      <w:marLeft w:val="0"/>
      <w:marRight w:val="0"/>
      <w:marTop w:val="0"/>
      <w:marBottom w:val="0"/>
      <w:divBdr>
        <w:top w:val="none" w:sz="0" w:space="0" w:color="auto"/>
        <w:left w:val="none" w:sz="0" w:space="0" w:color="auto"/>
        <w:bottom w:val="none" w:sz="0" w:space="0" w:color="auto"/>
        <w:right w:val="none" w:sz="0" w:space="0" w:color="auto"/>
      </w:divBdr>
    </w:div>
    <w:div w:id="1379814701">
      <w:bodyDiv w:val="1"/>
      <w:marLeft w:val="0"/>
      <w:marRight w:val="0"/>
      <w:marTop w:val="0"/>
      <w:marBottom w:val="0"/>
      <w:divBdr>
        <w:top w:val="none" w:sz="0" w:space="0" w:color="auto"/>
        <w:left w:val="none" w:sz="0" w:space="0" w:color="auto"/>
        <w:bottom w:val="none" w:sz="0" w:space="0" w:color="auto"/>
        <w:right w:val="none" w:sz="0" w:space="0" w:color="auto"/>
      </w:divBdr>
    </w:div>
    <w:div w:id="1379818738">
      <w:bodyDiv w:val="1"/>
      <w:marLeft w:val="0"/>
      <w:marRight w:val="0"/>
      <w:marTop w:val="0"/>
      <w:marBottom w:val="0"/>
      <w:divBdr>
        <w:top w:val="none" w:sz="0" w:space="0" w:color="auto"/>
        <w:left w:val="none" w:sz="0" w:space="0" w:color="auto"/>
        <w:bottom w:val="none" w:sz="0" w:space="0" w:color="auto"/>
        <w:right w:val="none" w:sz="0" w:space="0" w:color="auto"/>
      </w:divBdr>
    </w:div>
    <w:div w:id="1379891608">
      <w:bodyDiv w:val="1"/>
      <w:marLeft w:val="0"/>
      <w:marRight w:val="0"/>
      <w:marTop w:val="0"/>
      <w:marBottom w:val="0"/>
      <w:divBdr>
        <w:top w:val="none" w:sz="0" w:space="0" w:color="auto"/>
        <w:left w:val="none" w:sz="0" w:space="0" w:color="auto"/>
        <w:bottom w:val="none" w:sz="0" w:space="0" w:color="auto"/>
        <w:right w:val="none" w:sz="0" w:space="0" w:color="auto"/>
      </w:divBdr>
    </w:div>
    <w:div w:id="1379939063">
      <w:bodyDiv w:val="1"/>
      <w:marLeft w:val="0"/>
      <w:marRight w:val="0"/>
      <w:marTop w:val="0"/>
      <w:marBottom w:val="0"/>
      <w:divBdr>
        <w:top w:val="none" w:sz="0" w:space="0" w:color="auto"/>
        <w:left w:val="none" w:sz="0" w:space="0" w:color="auto"/>
        <w:bottom w:val="none" w:sz="0" w:space="0" w:color="auto"/>
        <w:right w:val="none" w:sz="0" w:space="0" w:color="auto"/>
      </w:divBdr>
    </w:div>
    <w:div w:id="1380058983">
      <w:bodyDiv w:val="1"/>
      <w:marLeft w:val="0"/>
      <w:marRight w:val="0"/>
      <w:marTop w:val="0"/>
      <w:marBottom w:val="0"/>
      <w:divBdr>
        <w:top w:val="none" w:sz="0" w:space="0" w:color="auto"/>
        <w:left w:val="none" w:sz="0" w:space="0" w:color="auto"/>
        <w:bottom w:val="none" w:sz="0" w:space="0" w:color="auto"/>
        <w:right w:val="none" w:sz="0" w:space="0" w:color="auto"/>
      </w:divBdr>
    </w:div>
    <w:div w:id="1380089560">
      <w:bodyDiv w:val="1"/>
      <w:marLeft w:val="0"/>
      <w:marRight w:val="0"/>
      <w:marTop w:val="0"/>
      <w:marBottom w:val="0"/>
      <w:divBdr>
        <w:top w:val="none" w:sz="0" w:space="0" w:color="auto"/>
        <w:left w:val="none" w:sz="0" w:space="0" w:color="auto"/>
        <w:bottom w:val="none" w:sz="0" w:space="0" w:color="auto"/>
        <w:right w:val="none" w:sz="0" w:space="0" w:color="auto"/>
      </w:divBdr>
    </w:div>
    <w:div w:id="1380208103">
      <w:bodyDiv w:val="1"/>
      <w:marLeft w:val="0"/>
      <w:marRight w:val="0"/>
      <w:marTop w:val="0"/>
      <w:marBottom w:val="0"/>
      <w:divBdr>
        <w:top w:val="none" w:sz="0" w:space="0" w:color="auto"/>
        <w:left w:val="none" w:sz="0" w:space="0" w:color="auto"/>
        <w:bottom w:val="none" w:sz="0" w:space="0" w:color="auto"/>
        <w:right w:val="none" w:sz="0" w:space="0" w:color="auto"/>
      </w:divBdr>
    </w:div>
    <w:div w:id="1380278964">
      <w:bodyDiv w:val="1"/>
      <w:marLeft w:val="0"/>
      <w:marRight w:val="0"/>
      <w:marTop w:val="0"/>
      <w:marBottom w:val="0"/>
      <w:divBdr>
        <w:top w:val="none" w:sz="0" w:space="0" w:color="auto"/>
        <w:left w:val="none" w:sz="0" w:space="0" w:color="auto"/>
        <w:bottom w:val="none" w:sz="0" w:space="0" w:color="auto"/>
        <w:right w:val="none" w:sz="0" w:space="0" w:color="auto"/>
      </w:divBdr>
    </w:div>
    <w:div w:id="1380320024">
      <w:bodyDiv w:val="1"/>
      <w:marLeft w:val="0"/>
      <w:marRight w:val="0"/>
      <w:marTop w:val="0"/>
      <w:marBottom w:val="0"/>
      <w:divBdr>
        <w:top w:val="none" w:sz="0" w:space="0" w:color="auto"/>
        <w:left w:val="none" w:sz="0" w:space="0" w:color="auto"/>
        <w:bottom w:val="none" w:sz="0" w:space="0" w:color="auto"/>
        <w:right w:val="none" w:sz="0" w:space="0" w:color="auto"/>
      </w:divBdr>
    </w:div>
    <w:div w:id="1380468967">
      <w:bodyDiv w:val="1"/>
      <w:marLeft w:val="0"/>
      <w:marRight w:val="0"/>
      <w:marTop w:val="0"/>
      <w:marBottom w:val="0"/>
      <w:divBdr>
        <w:top w:val="none" w:sz="0" w:space="0" w:color="auto"/>
        <w:left w:val="none" w:sz="0" w:space="0" w:color="auto"/>
        <w:bottom w:val="none" w:sz="0" w:space="0" w:color="auto"/>
        <w:right w:val="none" w:sz="0" w:space="0" w:color="auto"/>
      </w:divBdr>
    </w:div>
    <w:div w:id="1380520874">
      <w:bodyDiv w:val="1"/>
      <w:marLeft w:val="0"/>
      <w:marRight w:val="0"/>
      <w:marTop w:val="0"/>
      <w:marBottom w:val="0"/>
      <w:divBdr>
        <w:top w:val="none" w:sz="0" w:space="0" w:color="auto"/>
        <w:left w:val="none" w:sz="0" w:space="0" w:color="auto"/>
        <w:bottom w:val="none" w:sz="0" w:space="0" w:color="auto"/>
        <w:right w:val="none" w:sz="0" w:space="0" w:color="auto"/>
      </w:divBdr>
    </w:div>
    <w:div w:id="1380664312">
      <w:bodyDiv w:val="1"/>
      <w:marLeft w:val="0"/>
      <w:marRight w:val="0"/>
      <w:marTop w:val="0"/>
      <w:marBottom w:val="0"/>
      <w:divBdr>
        <w:top w:val="none" w:sz="0" w:space="0" w:color="auto"/>
        <w:left w:val="none" w:sz="0" w:space="0" w:color="auto"/>
        <w:bottom w:val="none" w:sz="0" w:space="0" w:color="auto"/>
        <w:right w:val="none" w:sz="0" w:space="0" w:color="auto"/>
      </w:divBdr>
    </w:div>
    <w:div w:id="1380787332">
      <w:bodyDiv w:val="1"/>
      <w:marLeft w:val="0"/>
      <w:marRight w:val="0"/>
      <w:marTop w:val="0"/>
      <w:marBottom w:val="0"/>
      <w:divBdr>
        <w:top w:val="none" w:sz="0" w:space="0" w:color="auto"/>
        <w:left w:val="none" w:sz="0" w:space="0" w:color="auto"/>
        <w:bottom w:val="none" w:sz="0" w:space="0" w:color="auto"/>
        <w:right w:val="none" w:sz="0" w:space="0" w:color="auto"/>
      </w:divBdr>
    </w:div>
    <w:div w:id="1381049202">
      <w:bodyDiv w:val="1"/>
      <w:marLeft w:val="0"/>
      <w:marRight w:val="0"/>
      <w:marTop w:val="0"/>
      <w:marBottom w:val="0"/>
      <w:divBdr>
        <w:top w:val="none" w:sz="0" w:space="0" w:color="auto"/>
        <w:left w:val="none" w:sz="0" w:space="0" w:color="auto"/>
        <w:bottom w:val="none" w:sz="0" w:space="0" w:color="auto"/>
        <w:right w:val="none" w:sz="0" w:space="0" w:color="auto"/>
      </w:divBdr>
    </w:div>
    <w:div w:id="1381175311">
      <w:bodyDiv w:val="1"/>
      <w:marLeft w:val="0"/>
      <w:marRight w:val="0"/>
      <w:marTop w:val="0"/>
      <w:marBottom w:val="0"/>
      <w:divBdr>
        <w:top w:val="none" w:sz="0" w:space="0" w:color="auto"/>
        <w:left w:val="none" w:sz="0" w:space="0" w:color="auto"/>
        <w:bottom w:val="none" w:sz="0" w:space="0" w:color="auto"/>
        <w:right w:val="none" w:sz="0" w:space="0" w:color="auto"/>
      </w:divBdr>
    </w:div>
    <w:div w:id="1381200725">
      <w:bodyDiv w:val="1"/>
      <w:marLeft w:val="0"/>
      <w:marRight w:val="0"/>
      <w:marTop w:val="0"/>
      <w:marBottom w:val="0"/>
      <w:divBdr>
        <w:top w:val="none" w:sz="0" w:space="0" w:color="auto"/>
        <w:left w:val="none" w:sz="0" w:space="0" w:color="auto"/>
        <w:bottom w:val="none" w:sz="0" w:space="0" w:color="auto"/>
        <w:right w:val="none" w:sz="0" w:space="0" w:color="auto"/>
      </w:divBdr>
    </w:div>
    <w:div w:id="1381243130">
      <w:bodyDiv w:val="1"/>
      <w:marLeft w:val="0"/>
      <w:marRight w:val="0"/>
      <w:marTop w:val="0"/>
      <w:marBottom w:val="0"/>
      <w:divBdr>
        <w:top w:val="none" w:sz="0" w:space="0" w:color="auto"/>
        <w:left w:val="none" w:sz="0" w:space="0" w:color="auto"/>
        <w:bottom w:val="none" w:sz="0" w:space="0" w:color="auto"/>
        <w:right w:val="none" w:sz="0" w:space="0" w:color="auto"/>
      </w:divBdr>
    </w:div>
    <w:div w:id="1381324243">
      <w:bodyDiv w:val="1"/>
      <w:marLeft w:val="0"/>
      <w:marRight w:val="0"/>
      <w:marTop w:val="0"/>
      <w:marBottom w:val="0"/>
      <w:divBdr>
        <w:top w:val="none" w:sz="0" w:space="0" w:color="auto"/>
        <w:left w:val="none" w:sz="0" w:space="0" w:color="auto"/>
        <w:bottom w:val="none" w:sz="0" w:space="0" w:color="auto"/>
        <w:right w:val="none" w:sz="0" w:space="0" w:color="auto"/>
      </w:divBdr>
    </w:div>
    <w:div w:id="1381368210">
      <w:bodyDiv w:val="1"/>
      <w:marLeft w:val="0"/>
      <w:marRight w:val="0"/>
      <w:marTop w:val="0"/>
      <w:marBottom w:val="0"/>
      <w:divBdr>
        <w:top w:val="none" w:sz="0" w:space="0" w:color="auto"/>
        <w:left w:val="none" w:sz="0" w:space="0" w:color="auto"/>
        <w:bottom w:val="none" w:sz="0" w:space="0" w:color="auto"/>
        <w:right w:val="none" w:sz="0" w:space="0" w:color="auto"/>
      </w:divBdr>
    </w:div>
    <w:div w:id="1381398539">
      <w:bodyDiv w:val="1"/>
      <w:marLeft w:val="0"/>
      <w:marRight w:val="0"/>
      <w:marTop w:val="0"/>
      <w:marBottom w:val="0"/>
      <w:divBdr>
        <w:top w:val="none" w:sz="0" w:space="0" w:color="auto"/>
        <w:left w:val="none" w:sz="0" w:space="0" w:color="auto"/>
        <w:bottom w:val="none" w:sz="0" w:space="0" w:color="auto"/>
        <w:right w:val="none" w:sz="0" w:space="0" w:color="auto"/>
      </w:divBdr>
    </w:div>
    <w:div w:id="1381443515">
      <w:bodyDiv w:val="1"/>
      <w:marLeft w:val="0"/>
      <w:marRight w:val="0"/>
      <w:marTop w:val="0"/>
      <w:marBottom w:val="0"/>
      <w:divBdr>
        <w:top w:val="none" w:sz="0" w:space="0" w:color="auto"/>
        <w:left w:val="none" w:sz="0" w:space="0" w:color="auto"/>
        <w:bottom w:val="none" w:sz="0" w:space="0" w:color="auto"/>
        <w:right w:val="none" w:sz="0" w:space="0" w:color="auto"/>
      </w:divBdr>
    </w:div>
    <w:div w:id="1381712542">
      <w:bodyDiv w:val="1"/>
      <w:marLeft w:val="0"/>
      <w:marRight w:val="0"/>
      <w:marTop w:val="0"/>
      <w:marBottom w:val="0"/>
      <w:divBdr>
        <w:top w:val="none" w:sz="0" w:space="0" w:color="auto"/>
        <w:left w:val="none" w:sz="0" w:space="0" w:color="auto"/>
        <w:bottom w:val="none" w:sz="0" w:space="0" w:color="auto"/>
        <w:right w:val="none" w:sz="0" w:space="0" w:color="auto"/>
      </w:divBdr>
    </w:div>
    <w:div w:id="1381785788">
      <w:bodyDiv w:val="1"/>
      <w:marLeft w:val="0"/>
      <w:marRight w:val="0"/>
      <w:marTop w:val="0"/>
      <w:marBottom w:val="0"/>
      <w:divBdr>
        <w:top w:val="none" w:sz="0" w:space="0" w:color="auto"/>
        <w:left w:val="none" w:sz="0" w:space="0" w:color="auto"/>
        <w:bottom w:val="none" w:sz="0" w:space="0" w:color="auto"/>
        <w:right w:val="none" w:sz="0" w:space="0" w:color="auto"/>
      </w:divBdr>
    </w:div>
    <w:div w:id="1381787157">
      <w:bodyDiv w:val="1"/>
      <w:marLeft w:val="0"/>
      <w:marRight w:val="0"/>
      <w:marTop w:val="0"/>
      <w:marBottom w:val="0"/>
      <w:divBdr>
        <w:top w:val="none" w:sz="0" w:space="0" w:color="auto"/>
        <w:left w:val="none" w:sz="0" w:space="0" w:color="auto"/>
        <w:bottom w:val="none" w:sz="0" w:space="0" w:color="auto"/>
        <w:right w:val="none" w:sz="0" w:space="0" w:color="auto"/>
      </w:divBdr>
    </w:div>
    <w:div w:id="1382024885">
      <w:bodyDiv w:val="1"/>
      <w:marLeft w:val="0"/>
      <w:marRight w:val="0"/>
      <w:marTop w:val="0"/>
      <w:marBottom w:val="0"/>
      <w:divBdr>
        <w:top w:val="none" w:sz="0" w:space="0" w:color="auto"/>
        <w:left w:val="none" w:sz="0" w:space="0" w:color="auto"/>
        <w:bottom w:val="none" w:sz="0" w:space="0" w:color="auto"/>
        <w:right w:val="none" w:sz="0" w:space="0" w:color="auto"/>
      </w:divBdr>
    </w:div>
    <w:div w:id="1382091248">
      <w:bodyDiv w:val="1"/>
      <w:marLeft w:val="0"/>
      <w:marRight w:val="0"/>
      <w:marTop w:val="0"/>
      <w:marBottom w:val="0"/>
      <w:divBdr>
        <w:top w:val="none" w:sz="0" w:space="0" w:color="auto"/>
        <w:left w:val="none" w:sz="0" w:space="0" w:color="auto"/>
        <w:bottom w:val="none" w:sz="0" w:space="0" w:color="auto"/>
        <w:right w:val="none" w:sz="0" w:space="0" w:color="auto"/>
      </w:divBdr>
    </w:div>
    <w:div w:id="1382246199">
      <w:bodyDiv w:val="1"/>
      <w:marLeft w:val="0"/>
      <w:marRight w:val="0"/>
      <w:marTop w:val="0"/>
      <w:marBottom w:val="0"/>
      <w:divBdr>
        <w:top w:val="none" w:sz="0" w:space="0" w:color="auto"/>
        <w:left w:val="none" w:sz="0" w:space="0" w:color="auto"/>
        <w:bottom w:val="none" w:sz="0" w:space="0" w:color="auto"/>
        <w:right w:val="none" w:sz="0" w:space="0" w:color="auto"/>
      </w:divBdr>
    </w:div>
    <w:div w:id="1382364674">
      <w:bodyDiv w:val="1"/>
      <w:marLeft w:val="0"/>
      <w:marRight w:val="0"/>
      <w:marTop w:val="0"/>
      <w:marBottom w:val="0"/>
      <w:divBdr>
        <w:top w:val="none" w:sz="0" w:space="0" w:color="auto"/>
        <w:left w:val="none" w:sz="0" w:space="0" w:color="auto"/>
        <w:bottom w:val="none" w:sz="0" w:space="0" w:color="auto"/>
        <w:right w:val="none" w:sz="0" w:space="0" w:color="auto"/>
      </w:divBdr>
    </w:div>
    <w:div w:id="1382368736">
      <w:bodyDiv w:val="1"/>
      <w:marLeft w:val="0"/>
      <w:marRight w:val="0"/>
      <w:marTop w:val="0"/>
      <w:marBottom w:val="0"/>
      <w:divBdr>
        <w:top w:val="none" w:sz="0" w:space="0" w:color="auto"/>
        <w:left w:val="none" w:sz="0" w:space="0" w:color="auto"/>
        <w:bottom w:val="none" w:sz="0" w:space="0" w:color="auto"/>
        <w:right w:val="none" w:sz="0" w:space="0" w:color="auto"/>
      </w:divBdr>
    </w:div>
    <w:div w:id="1382629408">
      <w:bodyDiv w:val="1"/>
      <w:marLeft w:val="0"/>
      <w:marRight w:val="0"/>
      <w:marTop w:val="0"/>
      <w:marBottom w:val="0"/>
      <w:divBdr>
        <w:top w:val="none" w:sz="0" w:space="0" w:color="auto"/>
        <w:left w:val="none" w:sz="0" w:space="0" w:color="auto"/>
        <w:bottom w:val="none" w:sz="0" w:space="0" w:color="auto"/>
        <w:right w:val="none" w:sz="0" w:space="0" w:color="auto"/>
      </w:divBdr>
    </w:div>
    <w:div w:id="1382705742">
      <w:bodyDiv w:val="1"/>
      <w:marLeft w:val="0"/>
      <w:marRight w:val="0"/>
      <w:marTop w:val="0"/>
      <w:marBottom w:val="0"/>
      <w:divBdr>
        <w:top w:val="none" w:sz="0" w:space="0" w:color="auto"/>
        <w:left w:val="none" w:sz="0" w:space="0" w:color="auto"/>
        <w:bottom w:val="none" w:sz="0" w:space="0" w:color="auto"/>
        <w:right w:val="none" w:sz="0" w:space="0" w:color="auto"/>
      </w:divBdr>
    </w:div>
    <w:div w:id="1382825772">
      <w:bodyDiv w:val="1"/>
      <w:marLeft w:val="0"/>
      <w:marRight w:val="0"/>
      <w:marTop w:val="0"/>
      <w:marBottom w:val="0"/>
      <w:divBdr>
        <w:top w:val="none" w:sz="0" w:space="0" w:color="auto"/>
        <w:left w:val="none" w:sz="0" w:space="0" w:color="auto"/>
        <w:bottom w:val="none" w:sz="0" w:space="0" w:color="auto"/>
        <w:right w:val="none" w:sz="0" w:space="0" w:color="auto"/>
      </w:divBdr>
    </w:div>
    <w:div w:id="1382827772">
      <w:bodyDiv w:val="1"/>
      <w:marLeft w:val="0"/>
      <w:marRight w:val="0"/>
      <w:marTop w:val="0"/>
      <w:marBottom w:val="0"/>
      <w:divBdr>
        <w:top w:val="none" w:sz="0" w:space="0" w:color="auto"/>
        <w:left w:val="none" w:sz="0" w:space="0" w:color="auto"/>
        <w:bottom w:val="none" w:sz="0" w:space="0" w:color="auto"/>
        <w:right w:val="none" w:sz="0" w:space="0" w:color="auto"/>
      </w:divBdr>
    </w:div>
    <w:div w:id="1382972562">
      <w:bodyDiv w:val="1"/>
      <w:marLeft w:val="0"/>
      <w:marRight w:val="0"/>
      <w:marTop w:val="0"/>
      <w:marBottom w:val="0"/>
      <w:divBdr>
        <w:top w:val="none" w:sz="0" w:space="0" w:color="auto"/>
        <w:left w:val="none" w:sz="0" w:space="0" w:color="auto"/>
        <w:bottom w:val="none" w:sz="0" w:space="0" w:color="auto"/>
        <w:right w:val="none" w:sz="0" w:space="0" w:color="auto"/>
      </w:divBdr>
    </w:div>
    <w:div w:id="1383016611">
      <w:bodyDiv w:val="1"/>
      <w:marLeft w:val="0"/>
      <w:marRight w:val="0"/>
      <w:marTop w:val="0"/>
      <w:marBottom w:val="0"/>
      <w:divBdr>
        <w:top w:val="none" w:sz="0" w:space="0" w:color="auto"/>
        <w:left w:val="none" w:sz="0" w:space="0" w:color="auto"/>
        <w:bottom w:val="none" w:sz="0" w:space="0" w:color="auto"/>
        <w:right w:val="none" w:sz="0" w:space="0" w:color="auto"/>
      </w:divBdr>
    </w:div>
    <w:div w:id="1383018980">
      <w:bodyDiv w:val="1"/>
      <w:marLeft w:val="0"/>
      <w:marRight w:val="0"/>
      <w:marTop w:val="0"/>
      <w:marBottom w:val="0"/>
      <w:divBdr>
        <w:top w:val="none" w:sz="0" w:space="0" w:color="auto"/>
        <w:left w:val="none" w:sz="0" w:space="0" w:color="auto"/>
        <w:bottom w:val="none" w:sz="0" w:space="0" w:color="auto"/>
        <w:right w:val="none" w:sz="0" w:space="0" w:color="auto"/>
      </w:divBdr>
    </w:div>
    <w:div w:id="1383022958">
      <w:bodyDiv w:val="1"/>
      <w:marLeft w:val="0"/>
      <w:marRight w:val="0"/>
      <w:marTop w:val="0"/>
      <w:marBottom w:val="0"/>
      <w:divBdr>
        <w:top w:val="none" w:sz="0" w:space="0" w:color="auto"/>
        <w:left w:val="none" w:sz="0" w:space="0" w:color="auto"/>
        <w:bottom w:val="none" w:sz="0" w:space="0" w:color="auto"/>
        <w:right w:val="none" w:sz="0" w:space="0" w:color="auto"/>
      </w:divBdr>
    </w:div>
    <w:div w:id="1383092637">
      <w:bodyDiv w:val="1"/>
      <w:marLeft w:val="0"/>
      <w:marRight w:val="0"/>
      <w:marTop w:val="0"/>
      <w:marBottom w:val="0"/>
      <w:divBdr>
        <w:top w:val="none" w:sz="0" w:space="0" w:color="auto"/>
        <w:left w:val="none" w:sz="0" w:space="0" w:color="auto"/>
        <w:bottom w:val="none" w:sz="0" w:space="0" w:color="auto"/>
        <w:right w:val="none" w:sz="0" w:space="0" w:color="auto"/>
      </w:divBdr>
    </w:div>
    <w:div w:id="1383216519">
      <w:bodyDiv w:val="1"/>
      <w:marLeft w:val="0"/>
      <w:marRight w:val="0"/>
      <w:marTop w:val="0"/>
      <w:marBottom w:val="0"/>
      <w:divBdr>
        <w:top w:val="none" w:sz="0" w:space="0" w:color="auto"/>
        <w:left w:val="none" w:sz="0" w:space="0" w:color="auto"/>
        <w:bottom w:val="none" w:sz="0" w:space="0" w:color="auto"/>
        <w:right w:val="none" w:sz="0" w:space="0" w:color="auto"/>
      </w:divBdr>
    </w:div>
    <w:div w:id="1383287317">
      <w:bodyDiv w:val="1"/>
      <w:marLeft w:val="0"/>
      <w:marRight w:val="0"/>
      <w:marTop w:val="0"/>
      <w:marBottom w:val="0"/>
      <w:divBdr>
        <w:top w:val="none" w:sz="0" w:space="0" w:color="auto"/>
        <w:left w:val="none" w:sz="0" w:space="0" w:color="auto"/>
        <w:bottom w:val="none" w:sz="0" w:space="0" w:color="auto"/>
        <w:right w:val="none" w:sz="0" w:space="0" w:color="auto"/>
      </w:divBdr>
    </w:div>
    <w:div w:id="1383363591">
      <w:bodyDiv w:val="1"/>
      <w:marLeft w:val="0"/>
      <w:marRight w:val="0"/>
      <w:marTop w:val="0"/>
      <w:marBottom w:val="0"/>
      <w:divBdr>
        <w:top w:val="none" w:sz="0" w:space="0" w:color="auto"/>
        <w:left w:val="none" w:sz="0" w:space="0" w:color="auto"/>
        <w:bottom w:val="none" w:sz="0" w:space="0" w:color="auto"/>
        <w:right w:val="none" w:sz="0" w:space="0" w:color="auto"/>
      </w:divBdr>
    </w:div>
    <w:div w:id="1383364616">
      <w:bodyDiv w:val="1"/>
      <w:marLeft w:val="0"/>
      <w:marRight w:val="0"/>
      <w:marTop w:val="0"/>
      <w:marBottom w:val="0"/>
      <w:divBdr>
        <w:top w:val="none" w:sz="0" w:space="0" w:color="auto"/>
        <w:left w:val="none" w:sz="0" w:space="0" w:color="auto"/>
        <w:bottom w:val="none" w:sz="0" w:space="0" w:color="auto"/>
        <w:right w:val="none" w:sz="0" w:space="0" w:color="auto"/>
      </w:divBdr>
    </w:div>
    <w:div w:id="1383482071">
      <w:bodyDiv w:val="1"/>
      <w:marLeft w:val="0"/>
      <w:marRight w:val="0"/>
      <w:marTop w:val="0"/>
      <w:marBottom w:val="0"/>
      <w:divBdr>
        <w:top w:val="none" w:sz="0" w:space="0" w:color="auto"/>
        <w:left w:val="none" w:sz="0" w:space="0" w:color="auto"/>
        <w:bottom w:val="none" w:sz="0" w:space="0" w:color="auto"/>
        <w:right w:val="none" w:sz="0" w:space="0" w:color="auto"/>
      </w:divBdr>
    </w:div>
    <w:div w:id="1383558151">
      <w:bodyDiv w:val="1"/>
      <w:marLeft w:val="0"/>
      <w:marRight w:val="0"/>
      <w:marTop w:val="0"/>
      <w:marBottom w:val="0"/>
      <w:divBdr>
        <w:top w:val="none" w:sz="0" w:space="0" w:color="auto"/>
        <w:left w:val="none" w:sz="0" w:space="0" w:color="auto"/>
        <w:bottom w:val="none" w:sz="0" w:space="0" w:color="auto"/>
        <w:right w:val="none" w:sz="0" w:space="0" w:color="auto"/>
      </w:divBdr>
    </w:div>
    <w:div w:id="1383942118">
      <w:bodyDiv w:val="1"/>
      <w:marLeft w:val="0"/>
      <w:marRight w:val="0"/>
      <w:marTop w:val="0"/>
      <w:marBottom w:val="0"/>
      <w:divBdr>
        <w:top w:val="none" w:sz="0" w:space="0" w:color="auto"/>
        <w:left w:val="none" w:sz="0" w:space="0" w:color="auto"/>
        <w:bottom w:val="none" w:sz="0" w:space="0" w:color="auto"/>
        <w:right w:val="none" w:sz="0" w:space="0" w:color="auto"/>
      </w:divBdr>
    </w:div>
    <w:div w:id="1384020716">
      <w:bodyDiv w:val="1"/>
      <w:marLeft w:val="0"/>
      <w:marRight w:val="0"/>
      <w:marTop w:val="0"/>
      <w:marBottom w:val="0"/>
      <w:divBdr>
        <w:top w:val="none" w:sz="0" w:space="0" w:color="auto"/>
        <w:left w:val="none" w:sz="0" w:space="0" w:color="auto"/>
        <w:bottom w:val="none" w:sz="0" w:space="0" w:color="auto"/>
        <w:right w:val="none" w:sz="0" w:space="0" w:color="auto"/>
      </w:divBdr>
    </w:div>
    <w:div w:id="1384058758">
      <w:bodyDiv w:val="1"/>
      <w:marLeft w:val="0"/>
      <w:marRight w:val="0"/>
      <w:marTop w:val="0"/>
      <w:marBottom w:val="0"/>
      <w:divBdr>
        <w:top w:val="none" w:sz="0" w:space="0" w:color="auto"/>
        <w:left w:val="none" w:sz="0" w:space="0" w:color="auto"/>
        <w:bottom w:val="none" w:sz="0" w:space="0" w:color="auto"/>
        <w:right w:val="none" w:sz="0" w:space="0" w:color="auto"/>
      </w:divBdr>
    </w:div>
    <w:div w:id="1384208201">
      <w:bodyDiv w:val="1"/>
      <w:marLeft w:val="0"/>
      <w:marRight w:val="0"/>
      <w:marTop w:val="0"/>
      <w:marBottom w:val="0"/>
      <w:divBdr>
        <w:top w:val="none" w:sz="0" w:space="0" w:color="auto"/>
        <w:left w:val="none" w:sz="0" w:space="0" w:color="auto"/>
        <w:bottom w:val="none" w:sz="0" w:space="0" w:color="auto"/>
        <w:right w:val="none" w:sz="0" w:space="0" w:color="auto"/>
      </w:divBdr>
    </w:div>
    <w:div w:id="1384211956">
      <w:bodyDiv w:val="1"/>
      <w:marLeft w:val="0"/>
      <w:marRight w:val="0"/>
      <w:marTop w:val="0"/>
      <w:marBottom w:val="0"/>
      <w:divBdr>
        <w:top w:val="none" w:sz="0" w:space="0" w:color="auto"/>
        <w:left w:val="none" w:sz="0" w:space="0" w:color="auto"/>
        <w:bottom w:val="none" w:sz="0" w:space="0" w:color="auto"/>
        <w:right w:val="none" w:sz="0" w:space="0" w:color="auto"/>
      </w:divBdr>
    </w:div>
    <w:div w:id="1384213157">
      <w:bodyDiv w:val="1"/>
      <w:marLeft w:val="0"/>
      <w:marRight w:val="0"/>
      <w:marTop w:val="0"/>
      <w:marBottom w:val="0"/>
      <w:divBdr>
        <w:top w:val="none" w:sz="0" w:space="0" w:color="auto"/>
        <w:left w:val="none" w:sz="0" w:space="0" w:color="auto"/>
        <w:bottom w:val="none" w:sz="0" w:space="0" w:color="auto"/>
        <w:right w:val="none" w:sz="0" w:space="0" w:color="auto"/>
      </w:divBdr>
    </w:div>
    <w:div w:id="1384254149">
      <w:bodyDiv w:val="1"/>
      <w:marLeft w:val="0"/>
      <w:marRight w:val="0"/>
      <w:marTop w:val="0"/>
      <w:marBottom w:val="0"/>
      <w:divBdr>
        <w:top w:val="none" w:sz="0" w:space="0" w:color="auto"/>
        <w:left w:val="none" w:sz="0" w:space="0" w:color="auto"/>
        <w:bottom w:val="none" w:sz="0" w:space="0" w:color="auto"/>
        <w:right w:val="none" w:sz="0" w:space="0" w:color="auto"/>
      </w:divBdr>
    </w:div>
    <w:div w:id="1384327117">
      <w:bodyDiv w:val="1"/>
      <w:marLeft w:val="0"/>
      <w:marRight w:val="0"/>
      <w:marTop w:val="0"/>
      <w:marBottom w:val="0"/>
      <w:divBdr>
        <w:top w:val="none" w:sz="0" w:space="0" w:color="auto"/>
        <w:left w:val="none" w:sz="0" w:space="0" w:color="auto"/>
        <w:bottom w:val="none" w:sz="0" w:space="0" w:color="auto"/>
        <w:right w:val="none" w:sz="0" w:space="0" w:color="auto"/>
      </w:divBdr>
    </w:div>
    <w:div w:id="1384407750">
      <w:bodyDiv w:val="1"/>
      <w:marLeft w:val="0"/>
      <w:marRight w:val="0"/>
      <w:marTop w:val="0"/>
      <w:marBottom w:val="0"/>
      <w:divBdr>
        <w:top w:val="none" w:sz="0" w:space="0" w:color="auto"/>
        <w:left w:val="none" w:sz="0" w:space="0" w:color="auto"/>
        <w:bottom w:val="none" w:sz="0" w:space="0" w:color="auto"/>
        <w:right w:val="none" w:sz="0" w:space="0" w:color="auto"/>
      </w:divBdr>
    </w:div>
    <w:div w:id="1384479331">
      <w:bodyDiv w:val="1"/>
      <w:marLeft w:val="0"/>
      <w:marRight w:val="0"/>
      <w:marTop w:val="0"/>
      <w:marBottom w:val="0"/>
      <w:divBdr>
        <w:top w:val="none" w:sz="0" w:space="0" w:color="auto"/>
        <w:left w:val="none" w:sz="0" w:space="0" w:color="auto"/>
        <w:bottom w:val="none" w:sz="0" w:space="0" w:color="auto"/>
        <w:right w:val="none" w:sz="0" w:space="0" w:color="auto"/>
      </w:divBdr>
    </w:div>
    <w:div w:id="1384672263">
      <w:bodyDiv w:val="1"/>
      <w:marLeft w:val="0"/>
      <w:marRight w:val="0"/>
      <w:marTop w:val="0"/>
      <w:marBottom w:val="0"/>
      <w:divBdr>
        <w:top w:val="none" w:sz="0" w:space="0" w:color="auto"/>
        <w:left w:val="none" w:sz="0" w:space="0" w:color="auto"/>
        <w:bottom w:val="none" w:sz="0" w:space="0" w:color="auto"/>
        <w:right w:val="none" w:sz="0" w:space="0" w:color="auto"/>
      </w:divBdr>
    </w:div>
    <w:div w:id="1384938808">
      <w:bodyDiv w:val="1"/>
      <w:marLeft w:val="0"/>
      <w:marRight w:val="0"/>
      <w:marTop w:val="0"/>
      <w:marBottom w:val="0"/>
      <w:divBdr>
        <w:top w:val="none" w:sz="0" w:space="0" w:color="auto"/>
        <w:left w:val="none" w:sz="0" w:space="0" w:color="auto"/>
        <w:bottom w:val="none" w:sz="0" w:space="0" w:color="auto"/>
        <w:right w:val="none" w:sz="0" w:space="0" w:color="auto"/>
      </w:divBdr>
    </w:div>
    <w:div w:id="1384983111">
      <w:bodyDiv w:val="1"/>
      <w:marLeft w:val="0"/>
      <w:marRight w:val="0"/>
      <w:marTop w:val="0"/>
      <w:marBottom w:val="0"/>
      <w:divBdr>
        <w:top w:val="none" w:sz="0" w:space="0" w:color="auto"/>
        <w:left w:val="none" w:sz="0" w:space="0" w:color="auto"/>
        <w:bottom w:val="none" w:sz="0" w:space="0" w:color="auto"/>
        <w:right w:val="none" w:sz="0" w:space="0" w:color="auto"/>
      </w:divBdr>
    </w:div>
    <w:div w:id="1385057026">
      <w:bodyDiv w:val="1"/>
      <w:marLeft w:val="0"/>
      <w:marRight w:val="0"/>
      <w:marTop w:val="0"/>
      <w:marBottom w:val="0"/>
      <w:divBdr>
        <w:top w:val="none" w:sz="0" w:space="0" w:color="auto"/>
        <w:left w:val="none" w:sz="0" w:space="0" w:color="auto"/>
        <w:bottom w:val="none" w:sz="0" w:space="0" w:color="auto"/>
        <w:right w:val="none" w:sz="0" w:space="0" w:color="auto"/>
      </w:divBdr>
    </w:div>
    <w:div w:id="1385107574">
      <w:bodyDiv w:val="1"/>
      <w:marLeft w:val="0"/>
      <w:marRight w:val="0"/>
      <w:marTop w:val="0"/>
      <w:marBottom w:val="0"/>
      <w:divBdr>
        <w:top w:val="none" w:sz="0" w:space="0" w:color="auto"/>
        <w:left w:val="none" w:sz="0" w:space="0" w:color="auto"/>
        <w:bottom w:val="none" w:sz="0" w:space="0" w:color="auto"/>
        <w:right w:val="none" w:sz="0" w:space="0" w:color="auto"/>
      </w:divBdr>
    </w:div>
    <w:div w:id="1385250010">
      <w:bodyDiv w:val="1"/>
      <w:marLeft w:val="0"/>
      <w:marRight w:val="0"/>
      <w:marTop w:val="0"/>
      <w:marBottom w:val="0"/>
      <w:divBdr>
        <w:top w:val="none" w:sz="0" w:space="0" w:color="auto"/>
        <w:left w:val="none" w:sz="0" w:space="0" w:color="auto"/>
        <w:bottom w:val="none" w:sz="0" w:space="0" w:color="auto"/>
        <w:right w:val="none" w:sz="0" w:space="0" w:color="auto"/>
      </w:divBdr>
    </w:div>
    <w:div w:id="1385325823">
      <w:bodyDiv w:val="1"/>
      <w:marLeft w:val="0"/>
      <w:marRight w:val="0"/>
      <w:marTop w:val="0"/>
      <w:marBottom w:val="0"/>
      <w:divBdr>
        <w:top w:val="none" w:sz="0" w:space="0" w:color="auto"/>
        <w:left w:val="none" w:sz="0" w:space="0" w:color="auto"/>
        <w:bottom w:val="none" w:sz="0" w:space="0" w:color="auto"/>
        <w:right w:val="none" w:sz="0" w:space="0" w:color="auto"/>
      </w:divBdr>
    </w:div>
    <w:div w:id="1385369661">
      <w:bodyDiv w:val="1"/>
      <w:marLeft w:val="0"/>
      <w:marRight w:val="0"/>
      <w:marTop w:val="0"/>
      <w:marBottom w:val="0"/>
      <w:divBdr>
        <w:top w:val="none" w:sz="0" w:space="0" w:color="auto"/>
        <w:left w:val="none" w:sz="0" w:space="0" w:color="auto"/>
        <w:bottom w:val="none" w:sz="0" w:space="0" w:color="auto"/>
        <w:right w:val="none" w:sz="0" w:space="0" w:color="auto"/>
      </w:divBdr>
    </w:div>
    <w:div w:id="1385370741">
      <w:bodyDiv w:val="1"/>
      <w:marLeft w:val="0"/>
      <w:marRight w:val="0"/>
      <w:marTop w:val="0"/>
      <w:marBottom w:val="0"/>
      <w:divBdr>
        <w:top w:val="none" w:sz="0" w:space="0" w:color="auto"/>
        <w:left w:val="none" w:sz="0" w:space="0" w:color="auto"/>
        <w:bottom w:val="none" w:sz="0" w:space="0" w:color="auto"/>
        <w:right w:val="none" w:sz="0" w:space="0" w:color="auto"/>
      </w:divBdr>
    </w:div>
    <w:div w:id="1385444338">
      <w:bodyDiv w:val="1"/>
      <w:marLeft w:val="0"/>
      <w:marRight w:val="0"/>
      <w:marTop w:val="0"/>
      <w:marBottom w:val="0"/>
      <w:divBdr>
        <w:top w:val="none" w:sz="0" w:space="0" w:color="auto"/>
        <w:left w:val="none" w:sz="0" w:space="0" w:color="auto"/>
        <w:bottom w:val="none" w:sz="0" w:space="0" w:color="auto"/>
        <w:right w:val="none" w:sz="0" w:space="0" w:color="auto"/>
      </w:divBdr>
    </w:div>
    <w:div w:id="1385451606">
      <w:bodyDiv w:val="1"/>
      <w:marLeft w:val="0"/>
      <w:marRight w:val="0"/>
      <w:marTop w:val="0"/>
      <w:marBottom w:val="0"/>
      <w:divBdr>
        <w:top w:val="none" w:sz="0" w:space="0" w:color="auto"/>
        <w:left w:val="none" w:sz="0" w:space="0" w:color="auto"/>
        <w:bottom w:val="none" w:sz="0" w:space="0" w:color="auto"/>
        <w:right w:val="none" w:sz="0" w:space="0" w:color="auto"/>
      </w:divBdr>
    </w:div>
    <w:div w:id="1385519127">
      <w:bodyDiv w:val="1"/>
      <w:marLeft w:val="0"/>
      <w:marRight w:val="0"/>
      <w:marTop w:val="0"/>
      <w:marBottom w:val="0"/>
      <w:divBdr>
        <w:top w:val="none" w:sz="0" w:space="0" w:color="auto"/>
        <w:left w:val="none" w:sz="0" w:space="0" w:color="auto"/>
        <w:bottom w:val="none" w:sz="0" w:space="0" w:color="auto"/>
        <w:right w:val="none" w:sz="0" w:space="0" w:color="auto"/>
      </w:divBdr>
    </w:div>
    <w:div w:id="1385565178">
      <w:bodyDiv w:val="1"/>
      <w:marLeft w:val="0"/>
      <w:marRight w:val="0"/>
      <w:marTop w:val="0"/>
      <w:marBottom w:val="0"/>
      <w:divBdr>
        <w:top w:val="none" w:sz="0" w:space="0" w:color="auto"/>
        <w:left w:val="none" w:sz="0" w:space="0" w:color="auto"/>
        <w:bottom w:val="none" w:sz="0" w:space="0" w:color="auto"/>
        <w:right w:val="none" w:sz="0" w:space="0" w:color="auto"/>
      </w:divBdr>
    </w:div>
    <w:div w:id="1385641852">
      <w:bodyDiv w:val="1"/>
      <w:marLeft w:val="0"/>
      <w:marRight w:val="0"/>
      <w:marTop w:val="0"/>
      <w:marBottom w:val="0"/>
      <w:divBdr>
        <w:top w:val="none" w:sz="0" w:space="0" w:color="auto"/>
        <w:left w:val="none" w:sz="0" w:space="0" w:color="auto"/>
        <w:bottom w:val="none" w:sz="0" w:space="0" w:color="auto"/>
        <w:right w:val="none" w:sz="0" w:space="0" w:color="auto"/>
      </w:divBdr>
    </w:div>
    <w:div w:id="1385642356">
      <w:bodyDiv w:val="1"/>
      <w:marLeft w:val="0"/>
      <w:marRight w:val="0"/>
      <w:marTop w:val="0"/>
      <w:marBottom w:val="0"/>
      <w:divBdr>
        <w:top w:val="none" w:sz="0" w:space="0" w:color="auto"/>
        <w:left w:val="none" w:sz="0" w:space="0" w:color="auto"/>
        <w:bottom w:val="none" w:sz="0" w:space="0" w:color="auto"/>
        <w:right w:val="none" w:sz="0" w:space="0" w:color="auto"/>
      </w:divBdr>
    </w:div>
    <w:div w:id="1385643761">
      <w:bodyDiv w:val="1"/>
      <w:marLeft w:val="0"/>
      <w:marRight w:val="0"/>
      <w:marTop w:val="0"/>
      <w:marBottom w:val="0"/>
      <w:divBdr>
        <w:top w:val="none" w:sz="0" w:space="0" w:color="auto"/>
        <w:left w:val="none" w:sz="0" w:space="0" w:color="auto"/>
        <w:bottom w:val="none" w:sz="0" w:space="0" w:color="auto"/>
        <w:right w:val="none" w:sz="0" w:space="0" w:color="auto"/>
      </w:divBdr>
    </w:div>
    <w:div w:id="1385790826">
      <w:bodyDiv w:val="1"/>
      <w:marLeft w:val="0"/>
      <w:marRight w:val="0"/>
      <w:marTop w:val="0"/>
      <w:marBottom w:val="0"/>
      <w:divBdr>
        <w:top w:val="none" w:sz="0" w:space="0" w:color="auto"/>
        <w:left w:val="none" w:sz="0" w:space="0" w:color="auto"/>
        <w:bottom w:val="none" w:sz="0" w:space="0" w:color="auto"/>
        <w:right w:val="none" w:sz="0" w:space="0" w:color="auto"/>
      </w:divBdr>
    </w:div>
    <w:div w:id="1385829457">
      <w:bodyDiv w:val="1"/>
      <w:marLeft w:val="0"/>
      <w:marRight w:val="0"/>
      <w:marTop w:val="0"/>
      <w:marBottom w:val="0"/>
      <w:divBdr>
        <w:top w:val="none" w:sz="0" w:space="0" w:color="auto"/>
        <w:left w:val="none" w:sz="0" w:space="0" w:color="auto"/>
        <w:bottom w:val="none" w:sz="0" w:space="0" w:color="auto"/>
        <w:right w:val="none" w:sz="0" w:space="0" w:color="auto"/>
      </w:divBdr>
    </w:div>
    <w:div w:id="1385909393">
      <w:bodyDiv w:val="1"/>
      <w:marLeft w:val="0"/>
      <w:marRight w:val="0"/>
      <w:marTop w:val="0"/>
      <w:marBottom w:val="0"/>
      <w:divBdr>
        <w:top w:val="none" w:sz="0" w:space="0" w:color="auto"/>
        <w:left w:val="none" w:sz="0" w:space="0" w:color="auto"/>
        <w:bottom w:val="none" w:sz="0" w:space="0" w:color="auto"/>
        <w:right w:val="none" w:sz="0" w:space="0" w:color="auto"/>
      </w:divBdr>
    </w:div>
    <w:div w:id="1385985668">
      <w:bodyDiv w:val="1"/>
      <w:marLeft w:val="0"/>
      <w:marRight w:val="0"/>
      <w:marTop w:val="0"/>
      <w:marBottom w:val="0"/>
      <w:divBdr>
        <w:top w:val="none" w:sz="0" w:space="0" w:color="auto"/>
        <w:left w:val="none" w:sz="0" w:space="0" w:color="auto"/>
        <w:bottom w:val="none" w:sz="0" w:space="0" w:color="auto"/>
        <w:right w:val="none" w:sz="0" w:space="0" w:color="auto"/>
      </w:divBdr>
    </w:div>
    <w:div w:id="1386023492">
      <w:bodyDiv w:val="1"/>
      <w:marLeft w:val="0"/>
      <w:marRight w:val="0"/>
      <w:marTop w:val="0"/>
      <w:marBottom w:val="0"/>
      <w:divBdr>
        <w:top w:val="none" w:sz="0" w:space="0" w:color="auto"/>
        <w:left w:val="none" w:sz="0" w:space="0" w:color="auto"/>
        <w:bottom w:val="none" w:sz="0" w:space="0" w:color="auto"/>
        <w:right w:val="none" w:sz="0" w:space="0" w:color="auto"/>
      </w:divBdr>
    </w:div>
    <w:div w:id="1386029507">
      <w:bodyDiv w:val="1"/>
      <w:marLeft w:val="0"/>
      <w:marRight w:val="0"/>
      <w:marTop w:val="0"/>
      <w:marBottom w:val="0"/>
      <w:divBdr>
        <w:top w:val="none" w:sz="0" w:space="0" w:color="auto"/>
        <w:left w:val="none" w:sz="0" w:space="0" w:color="auto"/>
        <w:bottom w:val="none" w:sz="0" w:space="0" w:color="auto"/>
        <w:right w:val="none" w:sz="0" w:space="0" w:color="auto"/>
      </w:divBdr>
    </w:div>
    <w:div w:id="1386103318">
      <w:bodyDiv w:val="1"/>
      <w:marLeft w:val="0"/>
      <w:marRight w:val="0"/>
      <w:marTop w:val="0"/>
      <w:marBottom w:val="0"/>
      <w:divBdr>
        <w:top w:val="none" w:sz="0" w:space="0" w:color="auto"/>
        <w:left w:val="none" w:sz="0" w:space="0" w:color="auto"/>
        <w:bottom w:val="none" w:sz="0" w:space="0" w:color="auto"/>
        <w:right w:val="none" w:sz="0" w:space="0" w:color="auto"/>
      </w:divBdr>
    </w:div>
    <w:div w:id="1386178813">
      <w:bodyDiv w:val="1"/>
      <w:marLeft w:val="0"/>
      <w:marRight w:val="0"/>
      <w:marTop w:val="0"/>
      <w:marBottom w:val="0"/>
      <w:divBdr>
        <w:top w:val="none" w:sz="0" w:space="0" w:color="auto"/>
        <w:left w:val="none" w:sz="0" w:space="0" w:color="auto"/>
        <w:bottom w:val="none" w:sz="0" w:space="0" w:color="auto"/>
        <w:right w:val="none" w:sz="0" w:space="0" w:color="auto"/>
      </w:divBdr>
    </w:div>
    <w:div w:id="1386220712">
      <w:bodyDiv w:val="1"/>
      <w:marLeft w:val="0"/>
      <w:marRight w:val="0"/>
      <w:marTop w:val="0"/>
      <w:marBottom w:val="0"/>
      <w:divBdr>
        <w:top w:val="none" w:sz="0" w:space="0" w:color="auto"/>
        <w:left w:val="none" w:sz="0" w:space="0" w:color="auto"/>
        <w:bottom w:val="none" w:sz="0" w:space="0" w:color="auto"/>
        <w:right w:val="none" w:sz="0" w:space="0" w:color="auto"/>
      </w:divBdr>
    </w:div>
    <w:div w:id="1386416009">
      <w:bodyDiv w:val="1"/>
      <w:marLeft w:val="0"/>
      <w:marRight w:val="0"/>
      <w:marTop w:val="0"/>
      <w:marBottom w:val="0"/>
      <w:divBdr>
        <w:top w:val="none" w:sz="0" w:space="0" w:color="auto"/>
        <w:left w:val="none" w:sz="0" w:space="0" w:color="auto"/>
        <w:bottom w:val="none" w:sz="0" w:space="0" w:color="auto"/>
        <w:right w:val="none" w:sz="0" w:space="0" w:color="auto"/>
      </w:divBdr>
    </w:div>
    <w:div w:id="1386561203">
      <w:bodyDiv w:val="1"/>
      <w:marLeft w:val="0"/>
      <w:marRight w:val="0"/>
      <w:marTop w:val="0"/>
      <w:marBottom w:val="0"/>
      <w:divBdr>
        <w:top w:val="none" w:sz="0" w:space="0" w:color="auto"/>
        <w:left w:val="none" w:sz="0" w:space="0" w:color="auto"/>
        <w:bottom w:val="none" w:sz="0" w:space="0" w:color="auto"/>
        <w:right w:val="none" w:sz="0" w:space="0" w:color="auto"/>
      </w:divBdr>
    </w:div>
    <w:div w:id="1386567798">
      <w:bodyDiv w:val="1"/>
      <w:marLeft w:val="0"/>
      <w:marRight w:val="0"/>
      <w:marTop w:val="0"/>
      <w:marBottom w:val="0"/>
      <w:divBdr>
        <w:top w:val="none" w:sz="0" w:space="0" w:color="auto"/>
        <w:left w:val="none" w:sz="0" w:space="0" w:color="auto"/>
        <w:bottom w:val="none" w:sz="0" w:space="0" w:color="auto"/>
        <w:right w:val="none" w:sz="0" w:space="0" w:color="auto"/>
      </w:divBdr>
    </w:div>
    <w:div w:id="1386639015">
      <w:bodyDiv w:val="1"/>
      <w:marLeft w:val="0"/>
      <w:marRight w:val="0"/>
      <w:marTop w:val="0"/>
      <w:marBottom w:val="0"/>
      <w:divBdr>
        <w:top w:val="none" w:sz="0" w:space="0" w:color="auto"/>
        <w:left w:val="none" w:sz="0" w:space="0" w:color="auto"/>
        <w:bottom w:val="none" w:sz="0" w:space="0" w:color="auto"/>
        <w:right w:val="none" w:sz="0" w:space="0" w:color="auto"/>
      </w:divBdr>
    </w:div>
    <w:div w:id="1386640059">
      <w:bodyDiv w:val="1"/>
      <w:marLeft w:val="0"/>
      <w:marRight w:val="0"/>
      <w:marTop w:val="0"/>
      <w:marBottom w:val="0"/>
      <w:divBdr>
        <w:top w:val="none" w:sz="0" w:space="0" w:color="auto"/>
        <w:left w:val="none" w:sz="0" w:space="0" w:color="auto"/>
        <w:bottom w:val="none" w:sz="0" w:space="0" w:color="auto"/>
        <w:right w:val="none" w:sz="0" w:space="0" w:color="auto"/>
      </w:divBdr>
    </w:div>
    <w:div w:id="1386643024">
      <w:bodyDiv w:val="1"/>
      <w:marLeft w:val="0"/>
      <w:marRight w:val="0"/>
      <w:marTop w:val="0"/>
      <w:marBottom w:val="0"/>
      <w:divBdr>
        <w:top w:val="none" w:sz="0" w:space="0" w:color="auto"/>
        <w:left w:val="none" w:sz="0" w:space="0" w:color="auto"/>
        <w:bottom w:val="none" w:sz="0" w:space="0" w:color="auto"/>
        <w:right w:val="none" w:sz="0" w:space="0" w:color="auto"/>
      </w:divBdr>
    </w:div>
    <w:div w:id="1386682175">
      <w:bodyDiv w:val="1"/>
      <w:marLeft w:val="0"/>
      <w:marRight w:val="0"/>
      <w:marTop w:val="0"/>
      <w:marBottom w:val="0"/>
      <w:divBdr>
        <w:top w:val="none" w:sz="0" w:space="0" w:color="auto"/>
        <w:left w:val="none" w:sz="0" w:space="0" w:color="auto"/>
        <w:bottom w:val="none" w:sz="0" w:space="0" w:color="auto"/>
        <w:right w:val="none" w:sz="0" w:space="0" w:color="auto"/>
      </w:divBdr>
    </w:div>
    <w:div w:id="1386685924">
      <w:bodyDiv w:val="1"/>
      <w:marLeft w:val="0"/>
      <w:marRight w:val="0"/>
      <w:marTop w:val="0"/>
      <w:marBottom w:val="0"/>
      <w:divBdr>
        <w:top w:val="none" w:sz="0" w:space="0" w:color="auto"/>
        <w:left w:val="none" w:sz="0" w:space="0" w:color="auto"/>
        <w:bottom w:val="none" w:sz="0" w:space="0" w:color="auto"/>
        <w:right w:val="none" w:sz="0" w:space="0" w:color="auto"/>
      </w:divBdr>
    </w:div>
    <w:div w:id="1386835763">
      <w:bodyDiv w:val="1"/>
      <w:marLeft w:val="0"/>
      <w:marRight w:val="0"/>
      <w:marTop w:val="0"/>
      <w:marBottom w:val="0"/>
      <w:divBdr>
        <w:top w:val="none" w:sz="0" w:space="0" w:color="auto"/>
        <w:left w:val="none" w:sz="0" w:space="0" w:color="auto"/>
        <w:bottom w:val="none" w:sz="0" w:space="0" w:color="auto"/>
        <w:right w:val="none" w:sz="0" w:space="0" w:color="auto"/>
      </w:divBdr>
    </w:div>
    <w:div w:id="1386876662">
      <w:bodyDiv w:val="1"/>
      <w:marLeft w:val="0"/>
      <w:marRight w:val="0"/>
      <w:marTop w:val="0"/>
      <w:marBottom w:val="0"/>
      <w:divBdr>
        <w:top w:val="none" w:sz="0" w:space="0" w:color="auto"/>
        <w:left w:val="none" w:sz="0" w:space="0" w:color="auto"/>
        <w:bottom w:val="none" w:sz="0" w:space="0" w:color="auto"/>
        <w:right w:val="none" w:sz="0" w:space="0" w:color="auto"/>
      </w:divBdr>
    </w:div>
    <w:div w:id="1386903891">
      <w:bodyDiv w:val="1"/>
      <w:marLeft w:val="0"/>
      <w:marRight w:val="0"/>
      <w:marTop w:val="0"/>
      <w:marBottom w:val="0"/>
      <w:divBdr>
        <w:top w:val="none" w:sz="0" w:space="0" w:color="auto"/>
        <w:left w:val="none" w:sz="0" w:space="0" w:color="auto"/>
        <w:bottom w:val="none" w:sz="0" w:space="0" w:color="auto"/>
        <w:right w:val="none" w:sz="0" w:space="0" w:color="auto"/>
      </w:divBdr>
    </w:div>
    <w:div w:id="1386904705">
      <w:bodyDiv w:val="1"/>
      <w:marLeft w:val="0"/>
      <w:marRight w:val="0"/>
      <w:marTop w:val="0"/>
      <w:marBottom w:val="0"/>
      <w:divBdr>
        <w:top w:val="none" w:sz="0" w:space="0" w:color="auto"/>
        <w:left w:val="none" w:sz="0" w:space="0" w:color="auto"/>
        <w:bottom w:val="none" w:sz="0" w:space="0" w:color="auto"/>
        <w:right w:val="none" w:sz="0" w:space="0" w:color="auto"/>
      </w:divBdr>
    </w:div>
    <w:div w:id="1387029385">
      <w:bodyDiv w:val="1"/>
      <w:marLeft w:val="0"/>
      <w:marRight w:val="0"/>
      <w:marTop w:val="0"/>
      <w:marBottom w:val="0"/>
      <w:divBdr>
        <w:top w:val="none" w:sz="0" w:space="0" w:color="auto"/>
        <w:left w:val="none" w:sz="0" w:space="0" w:color="auto"/>
        <w:bottom w:val="none" w:sz="0" w:space="0" w:color="auto"/>
        <w:right w:val="none" w:sz="0" w:space="0" w:color="auto"/>
      </w:divBdr>
    </w:div>
    <w:div w:id="1387031036">
      <w:bodyDiv w:val="1"/>
      <w:marLeft w:val="0"/>
      <w:marRight w:val="0"/>
      <w:marTop w:val="0"/>
      <w:marBottom w:val="0"/>
      <w:divBdr>
        <w:top w:val="none" w:sz="0" w:space="0" w:color="auto"/>
        <w:left w:val="none" w:sz="0" w:space="0" w:color="auto"/>
        <w:bottom w:val="none" w:sz="0" w:space="0" w:color="auto"/>
        <w:right w:val="none" w:sz="0" w:space="0" w:color="auto"/>
      </w:divBdr>
    </w:div>
    <w:div w:id="1387291133">
      <w:bodyDiv w:val="1"/>
      <w:marLeft w:val="0"/>
      <w:marRight w:val="0"/>
      <w:marTop w:val="0"/>
      <w:marBottom w:val="0"/>
      <w:divBdr>
        <w:top w:val="none" w:sz="0" w:space="0" w:color="auto"/>
        <w:left w:val="none" w:sz="0" w:space="0" w:color="auto"/>
        <w:bottom w:val="none" w:sz="0" w:space="0" w:color="auto"/>
        <w:right w:val="none" w:sz="0" w:space="0" w:color="auto"/>
      </w:divBdr>
    </w:div>
    <w:div w:id="1387297004">
      <w:bodyDiv w:val="1"/>
      <w:marLeft w:val="0"/>
      <w:marRight w:val="0"/>
      <w:marTop w:val="0"/>
      <w:marBottom w:val="0"/>
      <w:divBdr>
        <w:top w:val="none" w:sz="0" w:space="0" w:color="auto"/>
        <w:left w:val="none" w:sz="0" w:space="0" w:color="auto"/>
        <w:bottom w:val="none" w:sz="0" w:space="0" w:color="auto"/>
        <w:right w:val="none" w:sz="0" w:space="0" w:color="auto"/>
      </w:divBdr>
    </w:div>
    <w:div w:id="1387337142">
      <w:bodyDiv w:val="1"/>
      <w:marLeft w:val="0"/>
      <w:marRight w:val="0"/>
      <w:marTop w:val="0"/>
      <w:marBottom w:val="0"/>
      <w:divBdr>
        <w:top w:val="none" w:sz="0" w:space="0" w:color="auto"/>
        <w:left w:val="none" w:sz="0" w:space="0" w:color="auto"/>
        <w:bottom w:val="none" w:sz="0" w:space="0" w:color="auto"/>
        <w:right w:val="none" w:sz="0" w:space="0" w:color="auto"/>
      </w:divBdr>
    </w:div>
    <w:div w:id="1387339575">
      <w:bodyDiv w:val="1"/>
      <w:marLeft w:val="0"/>
      <w:marRight w:val="0"/>
      <w:marTop w:val="0"/>
      <w:marBottom w:val="0"/>
      <w:divBdr>
        <w:top w:val="none" w:sz="0" w:space="0" w:color="auto"/>
        <w:left w:val="none" w:sz="0" w:space="0" w:color="auto"/>
        <w:bottom w:val="none" w:sz="0" w:space="0" w:color="auto"/>
        <w:right w:val="none" w:sz="0" w:space="0" w:color="auto"/>
      </w:divBdr>
    </w:div>
    <w:div w:id="1387528656">
      <w:bodyDiv w:val="1"/>
      <w:marLeft w:val="0"/>
      <w:marRight w:val="0"/>
      <w:marTop w:val="0"/>
      <w:marBottom w:val="0"/>
      <w:divBdr>
        <w:top w:val="none" w:sz="0" w:space="0" w:color="auto"/>
        <w:left w:val="none" w:sz="0" w:space="0" w:color="auto"/>
        <w:bottom w:val="none" w:sz="0" w:space="0" w:color="auto"/>
        <w:right w:val="none" w:sz="0" w:space="0" w:color="auto"/>
      </w:divBdr>
    </w:div>
    <w:div w:id="1387560310">
      <w:bodyDiv w:val="1"/>
      <w:marLeft w:val="0"/>
      <w:marRight w:val="0"/>
      <w:marTop w:val="0"/>
      <w:marBottom w:val="0"/>
      <w:divBdr>
        <w:top w:val="none" w:sz="0" w:space="0" w:color="auto"/>
        <w:left w:val="none" w:sz="0" w:space="0" w:color="auto"/>
        <w:bottom w:val="none" w:sz="0" w:space="0" w:color="auto"/>
        <w:right w:val="none" w:sz="0" w:space="0" w:color="auto"/>
      </w:divBdr>
    </w:div>
    <w:div w:id="1387602224">
      <w:bodyDiv w:val="1"/>
      <w:marLeft w:val="0"/>
      <w:marRight w:val="0"/>
      <w:marTop w:val="0"/>
      <w:marBottom w:val="0"/>
      <w:divBdr>
        <w:top w:val="none" w:sz="0" w:space="0" w:color="auto"/>
        <w:left w:val="none" w:sz="0" w:space="0" w:color="auto"/>
        <w:bottom w:val="none" w:sz="0" w:space="0" w:color="auto"/>
        <w:right w:val="none" w:sz="0" w:space="0" w:color="auto"/>
      </w:divBdr>
    </w:div>
    <w:div w:id="1387602554">
      <w:bodyDiv w:val="1"/>
      <w:marLeft w:val="0"/>
      <w:marRight w:val="0"/>
      <w:marTop w:val="0"/>
      <w:marBottom w:val="0"/>
      <w:divBdr>
        <w:top w:val="none" w:sz="0" w:space="0" w:color="auto"/>
        <w:left w:val="none" w:sz="0" w:space="0" w:color="auto"/>
        <w:bottom w:val="none" w:sz="0" w:space="0" w:color="auto"/>
        <w:right w:val="none" w:sz="0" w:space="0" w:color="auto"/>
      </w:divBdr>
    </w:div>
    <w:div w:id="1387676664">
      <w:bodyDiv w:val="1"/>
      <w:marLeft w:val="0"/>
      <w:marRight w:val="0"/>
      <w:marTop w:val="0"/>
      <w:marBottom w:val="0"/>
      <w:divBdr>
        <w:top w:val="none" w:sz="0" w:space="0" w:color="auto"/>
        <w:left w:val="none" w:sz="0" w:space="0" w:color="auto"/>
        <w:bottom w:val="none" w:sz="0" w:space="0" w:color="auto"/>
        <w:right w:val="none" w:sz="0" w:space="0" w:color="auto"/>
      </w:divBdr>
    </w:div>
    <w:div w:id="1387752188">
      <w:bodyDiv w:val="1"/>
      <w:marLeft w:val="0"/>
      <w:marRight w:val="0"/>
      <w:marTop w:val="0"/>
      <w:marBottom w:val="0"/>
      <w:divBdr>
        <w:top w:val="none" w:sz="0" w:space="0" w:color="auto"/>
        <w:left w:val="none" w:sz="0" w:space="0" w:color="auto"/>
        <w:bottom w:val="none" w:sz="0" w:space="0" w:color="auto"/>
        <w:right w:val="none" w:sz="0" w:space="0" w:color="auto"/>
      </w:divBdr>
    </w:div>
    <w:div w:id="1387794921">
      <w:bodyDiv w:val="1"/>
      <w:marLeft w:val="0"/>
      <w:marRight w:val="0"/>
      <w:marTop w:val="0"/>
      <w:marBottom w:val="0"/>
      <w:divBdr>
        <w:top w:val="none" w:sz="0" w:space="0" w:color="auto"/>
        <w:left w:val="none" w:sz="0" w:space="0" w:color="auto"/>
        <w:bottom w:val="none" w:sz="0" w:space="0" w:color="auto"/>
        <w:right w:val="none" w:sz="0" w:space="0" w:color="auto"/>
      </w:divBdr>
    </w:div>
    <w:div w:id="1387871263">
      <w:bodyDiv w:val="1"/>
      <w:marLeft w:val="0"/>
      <w:marRight w:val="0"/>
      <w:marTop w:val="0"/>
      <w:marBottom w:val="0"/>
      <w:divBdr>
        <w:top w:val="none" w:sz="0" w:space="0" w:color="auto"/>
        <w:left w:val="none" w:sz="0" w:space="0" w:color="auto"/>
        <w:bottom w:val="none" w:sz="0" w:space="0" w:color="auto"/>
        <w:right w:val="none" w:sz="0" w:space="0" w:color="auto"/>
      </w:divBdr>
    </w:div>
    <w:div w:id="1387875522">
      <w:bodyDiv w:val="1"/>
      <w:marLeft w:val="0"/>
      <w:marRight w:val="0"/>
      <w:marTop w:val="0"/>
      <w:marBottom w:val="0"/>
      <w:divBdr>
        <w:top w:val="none" w:sz="0" w:space="0" w:color="auto"/>
        <w:left w:val="none" w:sz="0" w:space="0" w:color="auto"/>
        <w:bottom w:val="none" w:sz="0" w:space="0" w:color="auto"/>
        <w:right w:val="none" w:sz="0" w:space="0" w:color="auto"/>
      </w:divBdr>
    </w:div>
    <w:div w:id="1387954111">
      <w:bodyDiv w:val="1"/>
      <w:marLeft w:val="0"/>
      <w:marRight w:val="0"/>
      <w:marTop w:val="0"/>
      <w:marBottom w:val="0"/>
      <w:divBdr>
        <w:top w:val="none" w:sz="0" w:space="0" w:color="auto"/>
        <w:left w:val="none" w:sz="0" w:space="0" w:color="auto"/>
        <w:bottom w:val="none" w:sz="0" w:space="0" w:color="auto"/>
        <w:right w:val="none" w:sz="0" w:space="0" w:color="auto"/>
      </w:divBdr>
    </w:div>
    <w:div w:id="1387997011">
      <w:bodyDiv w:val="1"/>
      <w:marLeft w:val="0"/>
      <w:marRight w:val="0"/>
      <w:marTop w:val="0"/>
      <w:marBottom w:val="0"/>
      <w:divBdr>
        <w:top w:val="none" w:sz="0" w:space="0" w:color="auto"/>
        <w:left w:val="none" w:sz="0" w:space="0" w:color="auto"/>
        <w:bottom w:val="none" w:sz="0" w:space="0" w:color="auto"/>
        <w:right w:val="none" w:sz="0" w:space="0" w:color="auto"/>
      </w:divBdr>
    </w:div>
    <w:div w:id="1388067270">
      <w:bodyDiv w:val="1"/>
      <w:marLeft w:val="0"/>
      <w:marRight w:val="0"/>
      <w:marTop w:val="0"/>
      <w:marBottom w:val="0"/>
      <w:divBdr>
        <w:top w:val="none" w:sz="0" w:space="0" w:color="auto"/>
        <w:left w:val="none" w:sz="0" w:space="0" w:color="auto"/>
        <w:bottom w:val="none" w:sz="0" w:space="0" w:color="auto"/>
        <w:right w:val="none" w:sz="0" w:space="0" w:color="auto"/>
      </w:divBdr>
    </w:div>
    <w:div w:id="1388069042">
      <w:bodyDiv w:val="1"/>
      <w:marLeft w:val="0"/>
      <w:marRight w:val="0"/>
      <w:marTop w:val="0"/>
      <w:marBottom w:val="0"/>
      <w:divBdr>
        <w:top w:val="none" w:sz="0" w:space="0" w:color="auto"/>
        <w:left w:val="none" w:sz="0" w:space="0" w:color="auto"/>
        <w:bottom w:val="none" w:sz="0" w:space="0" w:color="auto"/>
        <w:right w:val="none" w:sz="0" w:space="0" w:color="auto"/>
      </w:divBdr>
    </w:div>
    <w:div w:id="1388337771">
      <w:bodyDiv w:val="1"/>
      <w:marLeft w:val="0"/>
      <w:marRight w:val="0"/>
      <w:marTop w:val="0"/>
      <w:marBottom w:val="0"/>
      <w:divBdr>
        <w:top w:val="none" w:sz="0" w:space="0" w:color="auto"/>
        <w:left w:val="none" w:sz="0" w:space="0" w:color="auto"/>
        <w:bottom w:val="none" w:sz="0" w:space="0" w:color="auto"/>
        <w:right w:val="none" w:sz="0" w:space="0" w:color="auto"/>
      </w:divBdr>
    </w:div>
    <w:div w:id="1388341502">
      <w:bodyDiv w:val="1"/>
      <w:marLeft w:val="0"/>
      <w:marRight w:val="0"/>
      <w:marTop w:val="0"/>
      <w:marBottom w:val="0"/>
      <w:divBdr>
        <w:top w:val="none" w:sz="0" w:space="0" w:color="auto"/>
        <w:left w:val="none" w:sz="0" w:space="0" w:color="auto"/>
        <w:bottom w:val="none" w:sz="0" w:space="0" w:color="auto"/>
        <w:right w:val="none" w:sz="0" w:space="0" w:color="auto"/>
      </w:divBdr>
    </w:div>
    <w:div w:id="1388407807">
      <w:bodyDiv w:val="1"/>
      <w:marLeft w:val="0"/>
      <w:marRight w:val="0"/>
      <w:marTop w:val="0"/>
      <w:marBottom w:val="0"/>
      <w:divBdr>
        <w:top w:val="none" w:sz="0" w:space="0" w:color="auto"/>
        <w:left w:val="none" w:sz="0" w:space="0" w:color="auto"/>
        <w:bottom w:val="none" w:sz="0" w:space="0" w:color="auto"/>
        <w:right w:val="none" w:sz="0" w:space="0" w:color="auto"/>
      </w:divBdr>
    </w:div>
    <w:div w:id="1388410694">
      <w:bodyDiv w:val="1"/>
      <w:marLeft w:val="0"/>
      <w:marRight w:val="0"/>
      <w:marTop w:val="0"/>
      <w:marBottom w:val="0"/>
      <w:divBdr>
        <w:top w:val="none" w:sz="0" w:space="0" w:color="auto"/>
        <w:left w:val="none" w:sz="0" w:space="0" w:color="auto"/>
        <w:bottom w:val="none" w:sz="0" w:space="0" w:color="auto"/>
        <w:right w:val="none" w:sz="0" w:space="0" w:color="auto"/>
      </w:divBdr>
    </w:div>
    <w:div w:id="1388459667">
      <w:bodyDiv w:val="1"/>
      <w:marLeft w:val="0"/>
      <w:marRight w:val="0"/>
      <w:marTop w:val="0"/>
      <w:marBottom w:val="0"/>
      <w:divBdr>
        <w:top w:val="none" w:sz="0" w:space="0" w:color="auto"/>
        <w:left w:val="none" w:sz="0" w:space="0" w:color="auto"/>
        <w:bottom w:val="none" w:sz="0" w:space="0" w:color="auto"/>
        <w:right w:val="none" w:sz="0" w:space="0" w:color="auto"/>
      </w:divBdr>
    </w:div>
    <w:div w:id="1388533478">
      <w:bodyDiv w:val="1"/>
      <w:marLeft w:val="0"/>
      <w:marRight w:val="0"/>
      <w:marTop w:val="0"/>
      <w:marBottom w:val="0"/>
      <w:divBdr>
        <w:top w:val="none" w:sz="0" w:space="0" w:color="auto"/>
        <w:left w:val="none" w:sz="0" w:space="0" w:color="auto"/>
        <w:bottom w:val="none" w:sz="0" w:space="0" w:color="auto"/>
        <w:right w:val="none" w:sz="0" w:space="0" w:color="auto"/>
      </w:divBdr>
    </w:div>
    <w:div w:id="1388534932">
      <w:bodyDiv w:val="1"/>
      <w:marLeft w:val="0"/>
      <w:marRight w:val="0"/>
      <w:marTop w:val="0"/>
      <w:marBottom w:val="0"/>
      <w:divBdr>
        <w:top w:val="none" w:sz="0" w:space="0" w:color="auto"/>
        <w:left w:val="none" w:sz="0" w:space="0" w:color="auto"/>
        <w:bottom w:val="none" w:sz="0" w:space="0" w:color="auto"/>
        <w:right w:val="none" w:sz="0" w:space="0" w:color="auto"/>
      </w:divBdr>
    </w:div>
    <w:div w:id="1388601890">
      <w:bodyDiv w:val="1"/>
      <w:marLeft w:val="0"/>
      <w:marRight w:val="0"/>
      <w:marTop w:val="0"/>
      <w:marBottom w:val="0"/>
      <w:divBdr>
        <w:top w:val="none" w:sz="0" w:space="0" w:color="auto"/>
        <w:left w:val="none" w:sz="0" w:space="0" w:color="auto"/>
        <w:bottom w:val="none" w:sz="0" w:space="0" w:color="auto"/>
        <w:right w:val="none" w:sz="0" w:space="0" w:color="auto"/>
      </w:divBdr>
    </w:div>
    <w:div w:id="1388721683">
      <w:bodyDiv w:val="1"/>
      <w:marLeft w:val="0"/>
      <w:marRight w:val="0"/>
      <w:marTop w:val="0"/>
      <w:marBottom w:val="0"/>
      <w:divBdr>
        <w:top w:val="none" w:sz="0" w:space="0" w:color="auto"/>
        <w:left w:val="none" w:sz="0" w:space="0" w:color="auto"/>
        <w:bottom w:val="none" w:sz="0" w:space="0" w:color="auto"/>
        <w:right w:val="none" w:sz="0" w:space="0" w:color="auto"/>
      </w:divBdr>
    </w:div>
    <w:div w:id="1388915345">
      <w:bodyDiv w:val="1"/>
      <w:marLeft w:val="0"/>
      <w:marRight w:val="0"/>
      <w:marTop w:val="0"/>
      <w:marBottom w:val="0"/>
      <w:divBdr>
        <w:top w:val="none" w:sz="0" w:space="0" w:color="auto"/>
        <w:left w:val="none" w:sz="0" w:space="0" w:color="auto"/>
        <w:bottom w:val="none" w:sz="0" w:space="0" w:color="auto"/>
        <w:right w:val="none" w:sz="0" w:space="0" w:color="auto"/>
      </w:divBdr>
    </w:div>
    <w:div w:id="1388918053">
      <w:bodyDiv w:val="1"/>
      <w:marLeft w:val="0"/>
      <w:marRight w:val="0"/>
      <w:marTop w:val="0"/>
      <w:marBottom w:val="0"/>
      <w:divBdr>
        <w:top w:val="none" w:sz="0" w:space="0" w:color="auto"/>
        <w:left w:val="none" w:sz="0" w:space="0" w:color="auto"/>
        <w:bottom w:val="none" w:sz="0" w:space="0" w:color="auto"/>
        <w:right w:val="none" w:sz="0" w:space="0" w:color="auto"/>
      </w:divBdr>
    </w:div>
    <w:div w:id="1388990712">
      <w:bodyDiv w:val="1"/>
      <w:marLeft w:val="0"/>
      <w:marRight w:val="0"/>
      <w:marTop w:val="0"/>
      <w:marBottom w:val="0"/>
      <w:divBdr>
        <w:top w:val="none" w:sz="0" w:space="0" w:color="auto"/>
        <w:left w:val="none" w:sz="0" w:space="0" w:color="auto"/>
        <w:bottom w:val="none" w:sz="0" w:space="0" w:color="auto"/>
        <w:right w:val="none" w:sz="0" w:space="0" w:color="auto"/>
      </w:divBdr>
    </w:div>
    <w:div w:id="1389299072">
      <w:bodyDiv w:val="1"/>
      <w:marLeft w:val="0"/>
      <w:marRight w:val="0"/>
      <w:marTop w:val="0"/>
      <w:marBottom w:val="0"/>
      <w:divBdr>
        <w:top w:val="none" w:sz="0" w:space="0" w:color="auto"/>
        <w:left w:val="none" w:sz="0" w:space="0" w:color="auto"/>
        <w:bottom w:val="none" w:sz="0" w:space="0" w:color="auto"/>
        <w:right w:val="none" w:sz="0" w:space="0" w:color="auto"/>
      </w:divBdr>
    </w:div>
    <w:div w:id="1389450257">
      <w:bodyDiv w:val="1"/>
      <w:marLeft w:val="0"/>
      <w:marRight w:val="0"/>
      <w:marTop w:val="0"/>
      <w:marBottom w:val="0"/>
      <w:divBdr>
        <w:top w:val="none" w:sz="0" w:space="0" w:color="auto"/>
        <w:left w:val="none" w:sz="0" w:space="0" w:color="auto"/>
        <w:bottom w:val="none" w:sz="0" w:space="0" w:color="auto"/>
        <w:right w:val="none" w:sz="0" w:space="0" w:color="auto"/>
      </w:divBdr>
    </w:div>
    <w:div w:id="1389456853">
      <w:bodyDiv w:val="1"/>
      <w:marLeft w:val="0"/>
      <w:marRight w:val="0"/>
      <w:marTop w:val="0"/>
      <w:marBottom w:val="0"/>
      <w:divBdr>
        <w:top w:val="none" w:sz="0" w:space="0" w:color="auto"/>
        <w:left w:val="none" w:sz="0" w:space="0" w:color="auto"/>
        <w:bottom w:val="none" w:sz="0" w:space="0" w:color="auto"/>
        <w:right w:val="none" w:sz="0" w:space="0" w:color="auto"/>
      </w:divBdr>
    </w:div>
    <w:div w:id="1389498270">
      <w:bodyDiv w:val="1"/>
      <w:marLeft w:val="0"/>
      <w:marRight w:val="0"/>
      <w:marTop w:val="0"/>
      <w:marBottom w:val="0"/>
      <w:divBdr>
        <w:top w:val="none" w:sz="0" w:space="0" w:color="auto"/>
        <w:left w:val="none" w:sz="0" w:space="0" w:color="auto"/>
        <w:bottom w:val="none" w:sz="0" w:space="0" w:color="auto"/>
        <w:right w:val="none" w:sz="0" w:space="0" w:color="auto"/>
      </w:divBdr>
    </w:div>
    <w:div w:id="1389500252">
      <w:bodyDiv w:val="1"/>
      <w:marLeft w:val="0"/>
      <w:marRight w:val="0"/>
      <w:marTop w:val="0"/>
      <w:marBottom w:val="0"/>
      <w:divBdr>
        <w:top w:val="none" w:sz="0" w:space="0" w:color="auto"/>
        <w:left w:val="none" w:sz="0" w:space="0" w:color="auto"/>
        <w:bottom w:val="none" w:sz="0" w:space="0" w:color="auto"/>
        <w:right w:val="none" w:sz="0" w:space="0" w:color="auto"/>
      </w:divBdr>
    </w:div>
    <w:div w:id="1389572003">
      <w:bodyDiv w:val="1"/>
      <w:marLeft w:val="0"/>
      <w:marRight w:val="0"/>
      <w:marTop w:val="0"/>
      <w:marBottom w:val="0"/>
      <w:divBdr>
        <w:top w:val="none" w:sz="0" w:space="0" w:color="auto"/>
        <w:left w:val="none" w:sz="0" w:space="0" w:color="auto"/>
        <w:bottom w:val="none" w:sz="0" w:space="0" w:color="auto"/>
        <w:right w:val="none" w:sz="0" w:space="0" w:color="auto"/>
      </w:divBdr>
    </w:div>
    <w:div w:id="1389575866">
      <w:bodyDiv w:val="1"/>
      <w:marLeft w:val="0"/>
      <w:marRight w:val="0"/>
      <w:marTop w:val="0"/>
      <w:marBottom w:val="0"/>
      <w:divBdr>
        <w:top w:val="none" w:sz="0" w:space="0" w:color="auto"/>
        <w:left w:val="none" w:sz="0" w:space="0" w:color="auto"/>
        <w:bottom w:val="none" w:sz="0" w:space="0" w:color="auto"/>
        <w:right w:val="none" w:sz="0" w:space="0" w:color="auto"/>
      </w:divBdr>
    </w:div>
    <w:div w:id="1389719276">
      <w:bodyDiv w:val="1"/>
      <w:marLeft w:val="0"/>
      <w:marRight w:val="0"/>
      <w:marTop w:val="0"/>
      <w:marBottom w:val="0"/>
      <w:divBdr>
        <w:top w:val="none" w:sz="0" w:space="0" w:color="auto"/>
        <w:left w:val="none" w:sz="0" w:space="0" w:color="auto"/>
        <w:bottom w:val="none" w:sz="0" w:space="0" w:color="auto"/>
        <w:right w:val="none" w:sz="0" w:space="0" w:color="auto"/>
      </w:divBdr>
    </w:div>
    <w:div w:id="1389841727">
      <w:bodyDiv w:val="1"/>
      <w:marLeft w:val="0"/>
      <w:marRight w:val="0"/>
      <w:marTop w:val="0"/>
      <w:marBottom w:val="0"/>
      <w:divBdr>
        <w:top w:val="none" w:sz="0" w:space="0" w:color="auto"/>
        <w:left w:val="none" w:sz="0" w:space="0" w:color="auto"/>
        <w:bottom w:val="none" w:sz="0" w:space="0" w:color="auto"/>
        <w:right w:val="none" w:sz="0" w:space="0" w:color="auto"/>
      </w:divBdr>
    </w:div>
    <w:div w:id="1389842325">
      <w:bodyDiv w:val="1"/>
      <w:marLeft w:val="0"/>
      <w:marRight w:val="0"/>
      <w:marTop w:val="0"/>
      <w:marBottom w:val="0"/>
      <w:divBdr>
        <w:top w:val="none" w:sz="0" w:space="0" w:color="auto"/>
        <w:left w:val="none" w:sz="0" w:space="0" w:color="auto"/>
        <w:bottom w:val="none" w:sz="0" w:space="0" w:color="auto"/>
        <w:right w:val="none" w:sz="0" w:space="0" w:color="auto"/>
      </w:divBdr>
    </w:div>
    <w:div w:id="1389918317">
      <w:bodyDiv w:val="1"/>
      <w:marLeft w:val="0"/>
      <w:marRight w:val="0"/>
      <w:marTop w:val="0"/>
      <w:marBottom w:val="0"/>
      <w:divBdr>
        <w:top w:val="none" w:sz="0" w:space="0" w:color="auto"/>
        <w:left w:val="none" w:sz="0" w:space="0" w:color="auto"/>
        <w:bottom w:val="none" w:sz="0" w:space="0" w:color="auto"/>
        <w:right w:val="none" w:sz="0" w:space="0" w:color="auto"/>
      </w:divBdr>
    </w:div>
    <w:div w:id="1389954709">
      <w:bodyDiv w:val="1"/>
      <w:marLeft w:val="0"/>
      <w:marRight w:val="0"/>
      <w:marTop w:val="0"/>
      <w:marBottom w:val="0"/>
      <w:divBdr>
        <w:top w:val="none" w:sz="0" w:space="0" w:color="auto"/>
        <w:left w:val="none" w:sz="0" w:space="0" w:color="auto"/>
        <w:bottom w:val="none" w:sz="0" w:space="0" w:color="auto"/>
        <w:right w:val="none" w:sz="0" w:space="0" w:color="auto"/>
      </w:divBdr>
    </w:div>
    <w:div w:id="1389955162">
      <w:bodyDiv w:val="1"/>
      <w:marLeft w:val="0"/>
      <w:marRight w:val="0"/>
      <w:marTop w:val="0"/>
      <w:marBottom w:val="0"/>
      <w:divBdr>
        <w:top w:val="none" w:sz="0" w:space="0" w:color="auto"/>
        <w:left w:val="none" w:sz="0" w:space="0" w:color="auto"/>
        <w:bottom w:val="none" w:sz="0" w:space="0" w:color="auto"/>
        <w:right w:val="none" w:sz="0" w:space="0" w:color="auto"/>
      </w:divBdr>
    </w:div>
    <w:div w:id="1390108122">
      <w:bodyDiv w:val="1"/>
      <w:marLeft w:val="0"/>
      <w:marRight w:val="0"/>
      <w:marTop w:val="0"/>
      <w:marBottom w:val="0"/>
      <w:divBdr>
        <w:top w:val="none" w:sz="0" w:space="0" w:color="auto"/>
        <w:left w:val="none" w:sz="0" w:space="0" w:color="auto"/>
        <w:bottom w:val="none" w:sz="0" w:space="0" w:color="auto"/>
        <w:right w:val="none" w:sz="0" w:space="0" w:color="auto"/>
      </w:divBdr>
    </w:div>
    <w:div w:id="1390112415">
      <w:bodyDiv w:val="1"/>
      <w:marLeft w:val="0"/>
      <w:marRight w:val="0"/>
      <w:marTop w:val="0"/>
      <w:marBottom w:val="0"/>
      <w:divBdr>
        <w:top w:val="none" w:sz="0" w:space="0" w:color="auto"/>
        <w:left w:val="none" w:sz="0" w:space="0" w:color="auto"/>
        <w:bottom w:val="none" w:sz="0" w:space="0" w:color="auto"/>
        <w:right w:val="none" w:sz="0" w:space="0" w:color="auto"/>
      </w:divBdr>
    </w:div>
    <w:div w:id="1390227075">
      <w:bodyDiv w:val="1"/>
      <w:marLeft w:val="0"/>
      <w:marRight w:val="0"/>
      <w:marTop w:val="0"/>
      <w:marBottom w:val="0"/>
      <w:divBdr>
        <w:top w:val="none" w:sz="0" w:space="0" w:color="auto"/>
        <w:left w:val="none" w:sz="0" w:space="0" w:color="auto"/>
        <w:bottom w:val="none" w:sz="0" w:space="0" w:color="auto"/>
        <w:right w:val="none" w:sz="0" w:space="0" w:color="auto"/>
      </w:divBdr>
    </w:div>
    <w:div w:id="1390568215">
      <w:bodyDiv w:val="1"/>
      <w:marLeft w:val="0"/>
      <w:marRight w:val="0"/>
      <w:marTop w:val="0"/>
      <w:marBottom w:val="0"/>
      <w:divBdr>
        <w:top w:val="none" w:sz="0" w:space="0" w:color="auto"/>
        <w:left w:val="none" w:sz="0" w:space="0" w:color="auto"/>
        <w:bottom w:val="none" w:sz="0" w:space="0" w:color="auto"/>
        <w:right w:val="none" w:sz="0" w:space="0" w:color="auto"/>
      </w:divBdr>
    </w:div>
    <w:div w:id="1390572596">
      <w:bodyDiv w:val="1"/>
      <w:marLeft w:val="0"/>
      <w:marRight w:val="0"/>
      <w:marTop w:val="0"/>
      <w:marBottom w:val="0"/>
      <w:divBdr>
        <w:top w:val="none" w:sz="0" w:space="0" w:color="auto"/>
        <w:left w:val="none" w:sz="0" w:space="0" w:color="auto"/>
        <w:bottom w:val="none" w:sz="0" w:space="0" w:color="auto"/>
        <w:right w:val="none" w:sz="0" w:space="0" w:color="auto"/>
      </w:divBdr>
    </w:div>
    <w:div w:id="1390956718">
      <w:bodyDiv w:val="1"/>
      <w:marLeft w:val="0"/>
      <w:marRight w:val="0"/>
      <w:marTop w:val="0"/>
      <w:marBottom w:val="0"/>
      <w:divBdr>
        <w:top w:val="none" w:sz="0" w:space="0" w:color="auto"/>
        <w:left w:val="none" w:sz="0" w:space="0" w:color="auto"/>
        <w:bottom w:val="none" w:sz="0" w:space="0" w:color="auto"/>
        <w:right w:val="none" w:sz="0" w:space="0" w:color="auto"/>
      </w:divBdr>
    </w:div>
    <w:div w:id="1391154676">
      <w:bodyDiv w:val="1"/>
      <w:marLeft w:val="0"/>
      <w:marRight w:val="0"/>
      <w:marTop w:val="0"/>
      <w:marBottom w:val="0"/>
      <w:divBdr>
        <w:top w:val="none" w:sz="0" w:space="0" w:color="auto"/>
        <w:left w:val="none" w:sz="0" w:space="0" w:color="auto"/>
        <w:bottom w:val="none" w:sz="0" w:space="0" w:color="auto"/>
        <w:right w:val="none" w:sz="0" w:space="0" w:color="auto"/>
      </w:divBdr>
    </w:div>
    <w:div w:id="1391266201">
      <w:bodyDiv w:val="1"/>
      <w:marLeft w:val="0"/>
      <w:marRight w:val="0"/>
      <w:marTop w:val="0"/>
      <w:marBottom w:val="0"/>
      <w:divBdr>
        <w:top w:val="none" w:sz="0" w:space="0" w:color="auto"/>
        <w:left w:val="none" w:sz="0" w:space="0" w:color="auto"/>
        <w:bottom w:val="none" w:sz="0" w:space="0" w:color="auto"/>
        <w:right w:val="none" w:sz="0" w:space="0" w:color="auto"/>
      </w:divBdr>
    </w:div>
    <w:div w:id="1391272286">
      <w:bodyDiv w:val="1"/>
      <w:marLeft w:val="0"/>
      <w:marRight w:val="0"/>
      <w:marTop w:val="0"/>
      <w:marBottom w:val="0"/>
      <w:divBdr>
        <w:top w:val="none" w:sz="0" w:space="0" w:color="auto"/>
        <w:left w:val="none" w:sz="0" w:space="0" w:color="auto"/>
        <w:bottom w:val="none" w:sz="0" w:space="0" w:color="auto"/>
        <w:right w:val="none" w:sz="0" w:space="0" w:color="auto"/>
      </w:divBdr>
    </w:div>
    <w:div w:id="1391417541">
      <w:bodyDiv w:val="1"/>
      <w:marLeft w:val="0"/>
      <w:marRight w:val="0"/>
      <w:marTop w:val="0"/>
      <w:marBottom w:val="0"/>
      <w:divBdr>
        <w:top w:val="none" w:sz="0" w:space="0" w:color="auto"/>
        <w:left w:val="none" w:sz="0" w:space="0" w:color="auto"/>
        <w:bottom w:val="none" w:sz="0" w:space="0" w:color="auto"/>
        <w:right w:val="none" w:sz="0" w:space="0" w:color="auto"/>
      </w:divBdr>
    </w:div>
    <w:div w:id="1391419241">
      <w:bodyDiv w:val="1"/>
      <w:marLeft w:val="0"/>
      <w:marRight w:val="0"/>
      <w:marTop w:val="0"/>
      <w:marBottom w:val="0"/>
      <w:divBdr>
        <w:top w:val="none" w:sz="0" w:space="0" w:color="auto"/>
        <w:left w:val="none" w:sz="0" w:space="0" w:color="auto"/>
        <w:bottom w:val="none" w:sz="0" w:space="0" w:color="auto"/>
        <w:right w:val="none" w:sz="0" w:space="0" w:color="auto"/>
      </w:divBdr>
    </w:div>
    <w:div w:id="1391419899">
      <w:bodyDiv w:val="1"/>
      <w:marLeft w:val="0"/>
      <w:marRight w:val="0"/>
      <w:marTop w:val="0"/>
      <w:marBottom w:val="0"/>
      <w:divBdr>
        <w:top w:val="none" w:sz="0" w:space="0" w:color="auto"/>
        <w:left w:val="none" w:sz="0" w:space="0" w:color="auto"/>
        <w:bottom w:val="none" w:sz="0" w:space="0" w:color="auto"/>
        <w:right w:val="none" w:sz="0" w:space="0" w:color="auto"/>
      </w:divBdr>
    </w:div>
    <w:div w:id="1391420667">
      <w:bodyDiv w:val="1"/>
      <w:marLeft w:val="0"/>
      <w:marRight w:val="0"/>
      <w:marTop w:val="0"/>
      <w:marBottom w:val="0"/>
      <w:divBdr>
        <w:top w:val="none" w:sz="0" w:space="0" w:color="auto"/>
        <w:left w:val="none" w:sz="0" w:space="0" w:color="auto"/>
        <w:bottom w:val="none" w:sz="0" w:space="0" w:color="auto"/>
        <w:right w:val="none" w:sz="0" w:space="0" w:color="auto"/>
      </w:divBdr>
    </w:div>
    <w:div w:id="1391462476">
      <w:bodyDiv w:val="1"/>
      <w:marLeft w:val="0"/>
      <w:marRight w:val="0"/>
      <w:marTop w:val="0"/>
      <w:marBottom w:val="0"/>
      <w:divBdr>
        <w:top w:val="none" w:sz="0" w:space="0" w:color="auto"/>
        <w:left w:val="none" w:sz="0" w:space="0" w:color="auto"/>
        <w:bottom w:val="none" w:sz="0" w:space="0" w:color="auto"/>
        <w:right w:val="none" w:sz="0" w:space="0" w:color="auto"/>
      </w:divBdr>
    </w:div>
    <w:div w:id="1391611890">
      <w:bodyDiv w:val="1"/>
      <w:marLeft w:val="0"/>
      <w:marRight w:val="0"/>
      <w:marTop w:val="0"/>
      <w:marBottom w:val="0"/>
      <w:divBdr>
        <w:top w:val="none" w:sz="0" w:space="0" w:color="auto"/>
        <w:left w:val="none" w:sz="0" w:space="0" w:color="auto"/>
        <w:bottom w:val="none" w:sz="0" w:space="0" w:color="auto"/>
        <w:right w:val="none" w:sz="0" w:space="0" w:color="auto"/>
      </w:divBdr>
    </w:div>
    <w:div w:id="1391881079">
      <w:bodyDiv w:val="1"/>
      <w:marLeft w:val="0"/>
      <w:marRight w:val="0"/>
      <w:marTop w:val="0"/>
      <w:marBottom w:val="0"/>
      <w:divBdr>
        <w:top w:val="none" w:sz="0" w:space="0" w:color="auto"/>
        <w:left w:val="none" w:sz="0" w:space="0" w:color="auto"/>
        <w:bottom w:val="none" w:sz="0" w:space="0" w:color="auto"/>
        <w:right w:val="none" w:sz="0" w:space="0" w:color="auto"/>
      </w:divBdr>
    </w:div>
    <w:div w:id="1391921354">
      <w:bodyDiv w:val="1"/>
      <w:marLeft w:val="0"/>
      <w:marRight w:val="0"/>
      <w:marTop w:val="0"/>
      <w:marBottom w:val="0"/>
      <w:divBdr>
        <w:top w:val="none" w:sz="0" w:space="0" w:color="auto"/>
        <w:left w:val="none" w:sz="0" w:space="0" w:color="auto"/>
        <w:bottom w:val="none" w:sz="0" w:space="0" w:color="auto"/>
        <w:right w:val="none" w:sz="0" w:space="0" w:color="auto"/>
      </w:divBdr>
    </w:div>
    <w:div w:id="1391923440">
      <w:bodyDiv w:val="1"/>
      <w:marLeft w:val="0"/>
      <w:marRight w:val="0"/>
      <w:marTop w:val="0"/>
      <w:marBottom w:val="0"/>
      <w:divBdr>
        <w:top w:val="none" w:sz="0" w:space="0" w:color="auto"/>
        <w:left w:val="none" w:sz="0" w:space="0" w:color="auto"/>
        <w:bottom w:val="none" w:sz="0" w:space="0" w:color="auto"/>
        <w:right w:val="none" w:sz="0" w:space="0" w:color="auto"/>
      </w:divBdr>
    </w:div>
    <w:div w:id="1391925158">
      <w:bodyDiv w:val="1"/>
      <w:marLeft w:val="0"/>
      <w:marRight w:val="0"/>
      <w:marTop w:val="0"/>
      <w:marBottom w:val="0"/>
      <w:divBdr>
        <w:top w:val="none" w:sz="0" w:space="0" w:color="auto"/>
        <w:left w:val="none" w:sz="0" w:space="0" w:color="auto"/>
        <w:bottom w:val="none" w:sz="0" w:space="0" w:color="auto"/>
        <w:right w:val="none" w:sz="0" w:space="0" w:color="auto"/>
      </w:divBdr>
    </w:div>
    <w:div w:id="1391995282">
      <w:bodyDiv w:val="1"/>
      <w:marLeft w:val="0"/>
      <w:marRight w:val="0"/>
      <w:marTop w:val="0"/>
      <w:marBottom w:val="0"/>
      <w:divBdr>
        <w:top w:val="none" w:sz="0" w:space="0" w:color="auto"/>
        <w:left w:val="none" w:sz="0" w:space="0" w:color="auto"/>
        <w:bottom w:val="none" w:sz="0" w:space="0" w:color="auto"/>
        <w:right w:val="none" w:sz="0" w:space="0" w:color="auto"/>
      </w:divBdr>
    </w:div>
    <w:div w:id="1391996909">
      <w:bodyDiv w:val="1"/>
      <w:marLeft w:val="0"/>
      <w:marRight w:val="0"/>
      <w:marTop w:val="0"/>
      <w:marBottom w:val="0"/>
      <w:divBdr>
        <w:top w:val="none" w:sz="0" w:space="0" w:color="auto"/>
        <w:left w:val="none" w:sz="0" w:space="0" w:color="auto"/>
        <w:bottom w:val="none" w:sz="0" w:space="0" w:color="auto"/>
        <w:right w:val="none" w:sz="0" w:space="0" w:color="auto"/>
      </w:divBdr>
    </w:div>
    <w:div w:id="1391997315">
      <w:bodyDiv w:val="1"/>
      <w:marLeft w:val="0"/>
      <w:marRight w:val="0"/>
      <w:marTop w:val="0"/>
      <w:marBottom w:val="0"/>
      <w:divBdr>
        <w:top w:val="none" w:sz="0" w:space="0" w:color="auto"/>
        <w:left w:val="none" w:sz="0" w:space="0" w:color="auto"/>
        <w:bottom w:val="none" w:sz="0" w:space="0" w:color="auto"/>
        <w:right w:val="none" w:sz="0" w:space="0" w:color="auto"/>
      </w:divBdr>
    </w:div>
    <w:div w:id="1392117375">
      <w:bodyDiv w:val="1"/>
      <w:marLeft w:val="0"/>
      <w:marRight w:val="0"/>
      <w:marTop w:val="0"/>
      <w:marBottom w:val="0"/>
      <w:divBdr>
        <w:top w:val="none" w:sz="0" w:space="0" w:color="auto"/>
        <w:left w:val="none" w:sz="0" w:space="0" w:color="auto"/>
        <w:bottom w:val="none" w:sz="0" w:space="0" w:color="auto"/>
        <w:right w:val="none" w:sz="0" w:space="0" w:color="auto"/>
      </w:divBdr>
    </w:div>
    <w:div w:id="1392146425">
      <w:bodyDiv w:val="1"/>
      <w:marLeft w:val="0"/>
      <w:marRight w:val="0"/>
      <w:marTop w:val="0"/>
      <w:marBottom w:val="0"/>
      <w:divBdr>
        <w:top w:val="none" w:sz="0" w:space="0" w:color="auto"/>
        <w:left w:val="none" w:sz="0" w:space="0" w:color="auto"/>
        <w:bottom w:val="none" w:sz="0" w:space="0" w:color="auto"/>
        <w:right w:val="none" w:sz="0" w:space="0" w:color="auto"/>
      </w:divBdr>
    </w:div>
    <w:div w:id="1392190047">
      <w:bodyDiv w:val="1"/>
      <w:marLeft w:val="0"/>
      <w:marRight w:val="0"/>
      <w:marTop w:val="0"/>
      <w:marBottom w:val="0"/>
      <w:divBdr>
        <w:top w:val="none" w:sz="0" w:space="0" w:color="auto"/>
        <w:left w:val="none" w:sz="0" w:space="0" w:color="auto"/>
        <w:bottom w:val="none" w:sz="0" w:space="0" w:color="auto"/>
        <w:right w:val="none" w:sz="0" w:space="0" w:color="auto"/>
      </w:divBdr>
    </w:div>
    <w:div w:id="1392190149">
      <w:bodyDiv w:val="1"/>
      <w:marLeft w:val="0"/>
      <w:marRight w:val="0"/>
      <w:marTop w:val="0"/>
      <w:marBottom w:val="0"/>
      <w:divBdr>
        <w:top w:val="none" w:sz="0" w:space="0" w:color="auto"/>
        <w:left w:val="none" w:sz="0" w:space="0" w:color="auto"/>
        <w:bottom w:val="none" w:sz="0" w:space="0" w:color="auto"/>
        <w:right w:val="none" w:sz="0" w:space="0" w:color="auto"/>
      </w:divBdr>
    </w:div>
    <w:div w:id="1392192320">
      <w:bodyDiv w:val="1"/>
      <w:marLeft w:val="0"/>
      <w:marRight w:val="0"/>
      <w:marTop w:val="0"/>
      <w:marBottom w:val="0"/>
      <w:divBdr>
        <w:top w:val="none" w:sz="0" w:space="0" w:color="auto"/>
        <w:left w:val="none" w:sz="0" w:space="0" w:color="auto"/>
        <w:bottom w:val="none" w:sz="0" w:space="0" w:color="auto"/>
        <w:right w:val="none" w:sz="0" w:space="0" w:color="auto"/>
      </w:divBdr>
    </w:div>
    <w:div w:id="1392194646">
      <w:bodyDiv w:val="1"/>
      <w:marLeft w:val="0"/>
      <w:marRight w:val="0"/>
      <w:marTop w:val="0"/>
      <w:marBottom w:val="0"/>
      <w:divBdr>
        <w:top w:val="none" w:sz="0" w:space="0" w:color="auto"/>
        <w:left w:val="none" w:sz="0" w:space="0" w:color="auto"/>
        <w:bottom w:val="none" w:sz="0" w:space="0" w:color="auto"/>
        <w:right w:val="none" w:sz="0" w:space="0" w:color="auto"/>
      </w:divBdr>
    </w:div>
    <w:div w:id="1392195042">
      <w:bodyDiv w:val="1"/>
      <w:marLeft w:val="0"/>
      <w:marRight w:val="0"/>
      <w:marTop w:val="0"/>
      <w:marBottom w:val="0"/>
      <w:divBdr>
        <w:top w:val="none" w:sz="0" w:space="0" w:color="auto"/>
        <w:left w:val="none" w:sz="0" w:space="0" w:color="auto"/>
        <w:bottom w:val="none" w:sz="0" w:space="0" w:color="auto"/>
        <w:right w:val="none" w:sz="0" w:space="0" w:color="auto"/>
      </w:divBdr>
    </w:div>
    <w:div w:id="1392270586">
      <w:bodyDiv w:val="1"/>
      <w:marLeft w:val="0"/>
      <w:marRight w:val="0"/>
      <w:marTop w:val="0"/>
      <w:marBottom w:val="0"/>
      <w:divBdr>
        <w:top w:val="none" w:sz="0" w:space="0" w:color="auto"/>
        <w:left w:val="none" w:sz="0" w:space="0" w:color="auto"/>
        <w:bottom w:val="none" w:sz="0" w:space="0" w:color="auto"/>
        <w:right w:val="none" w:sz="0" w:space="0" w:color="auto"/>
      </w:divBdr>
    </w:div>
    <w:div w:id="1392272751">
      <w:bodyDiv w:val="1"/>
      <w:marLeft w:val="0"/>
      <w:marRight w:val="0"/>
      <w:marTop w:val="0"/>
      <w:marBottom w:val="0"/>
      <w:divBdr>
        <w:top w:val="none" w:sz="0" w:space="0" w:color="auto"/>
        <w:left w:val="none" w:sz="0" w:space="0" w:color="auto"/>
        <w:bottom w:val="none" w:sz="0" w:space="0" w:color="auto"/>
        <w:right w:val="none" w:sz="0" w:space="0" w:color="auto"/>
      </w:divBdr>
    </w:div>
    <w:div w:id="1392384196">
      <w:bodyDiv w:val="1"/>
      <w:marLeft w:val="0"/>
      <w:marRight w:val="0"/>
      <w:marTop w:val="0"/>
      <w:marBottom w:val="0"/>
      <w:divBdr>
        <w:top w:val="none" w:sz="0" w:space="0" w:color="auto"/>
        <w:left w:val="none" w:sz="0" w:space="0" w:color="auto"/>
        <w:bottom w:val="none" w:sz="0" w:space="0" w:color="auto"/>
        <w:right w:val="none" w:sz="0" w:space="0" w:color="auto"/>
      </w:divBdr>
    </w:div>
    <w:div w:id="1392385407">
      <w:bodyDiv w:val="1"/>
      <w:marLeft w:val="0"/>
      <w:marRight w:val="0"/>
      <w:marTop w:val="0"/>
      <w:marBottom w:val="0"/>
      <w:divBdr>
        <w:top w:val="none" w:sz="0" w:space="0" w:color="auto"/>
        <w:left w:val="none" w:sz="0" w:space="0" w:color="auto"/>
        <w:bottom w:val="none" w:sz="0" w:space="0" w:color="auto"/>
        <w:right w:val="none" w:sz="0" w:space="0" w:color="auto"/>
      </w:divBdr>
    </w:div>
    <w:div w:id="1392457043">
      <w:bodyDiv w:val="1"/>
      <w:marLeft w:val="0"/>
      <w:marRight w:val="0"/>
      <w:marTop w:val="0"/>
      <w:marBottom w:val="0"/>
      <w:divBdr>
        <w:top w:val="none" w:sz="0" w:space="0" w:color="auto"/>
        <w:left w:val="none" w:sz="0" w:space="0" w:color="auto"/>
        <w:bottom w:val="none" w:sz="0" w:space="0" w:color="auto"/>
        <w:right w:val="none" w:sz="0" w:space="0" w:color="auto"/>
      </w:divBdr>
    </w:div>
    <w:div w:id="1392533816">
      <w:bodyDiv w:val="1"/>
      <w:marLeft w:val="0"/>
      <w:marRight w:val="0"/>
      <w:marTop w:val="0"/>
      <w:marBottom w:val="0"/>
      <w:divBdr>
        <w:top w:val="none" w:sz="0" w:space="0" w:color="auto"/>
        <w:left w:val="none" w:sz="0" w:space="0" w:color="auto"/>
        <w:bottom w:val="none" w:sz="0" w:space="0" w:color="auto"/>
        <w:right w:val="none" w:sz="0" w:space="0" w:color="auto"/>
      </w:divBdr>
    </w:div>
    <w:div w:id="1392541320">
      <w:bodyDiv w:val="1"/>
      <w:marLeft w:val="0"/>
      <w:marRight w:val="0"/>
      <w:marTop w:val="0"/>
      <w:marBottom w:val="0"/>
      <w:divBdr>
        <w:top w:val="none" w:sz="0" w:space="0" w:color="auto"/>
        <w:left w:val="none" w:sz="0" w:space="0" w:color="auto"/>
        <w:bottom w:val="none" w:sz="0" w:space="0" w:color="auto"/>
        <w:right w:val="none" w:sz="0" w:space="0" w:color="auto"/>
      </w:divBdr>
    </w:div>
    <w:div w:id="1392659425">
      <w:bodyDiv w:val="1"/>
      <w:marLeft w:val="0"/>
      <w:marRight w:val="0"/>
      <w:marTop w:val="0"/>
      <w:marBottom w:val="0"/>
      <w:divBdr>
        <w:top w:val="none" w:sz="0" w:space="0" w:color="auto"/>
        <w:left w:val="none" w:sz="0" w:space="0" w:color="auto"/>
        <w:bottom w:val="none" w:sz="0" w:space="0" w:color="auto"/>
        <w:right w:val="none" w:sz="0" w:space="0" w:color="auto"/>
      </w:divBdr>
    </w:div>
    <w:div w:id="1392726485">
      <w:bodyDiv w:val="1"/>
      <w:marLeft w:val="0"/>
      <w:marRight w:val="0"/>
      <w:marTop w:val="0"/>
      <w:marBottom w:val="0"/>
      <w:divBdr>
        <w:top w:val="none" w:sz="0" w:space="0" w:color="auto"/>
        <w:left w:val="none" w:sz="0" w:space="0" w:color="auto"/>
        <w:bottom w:val="none" w:sz="0" w:space="0" w:color="auto"/>
        <w:right w:val="none" w:sz="0" w:space="0" w:color="auto"/>
      </w:divBdr>
    </w:div>
    <w:div w:id="1392728484">
      <w:bodyDiv w:val="1"/>
      <w:marLeft w:val="0"/>
      <w:marRight w:val="0"/>
      <w:marTop w:val="0"/>
      <w:marBottom w:val="0"/>
      <w:divBdr>
        <w:top w:val="none" w:sz="0" w:space="0" w:color="auto"/>
        <w:left w:val="none" w:sz="0" w:space="0" w:color="auto"/>
        <w:bottom w:val="none" w:sz="0" w:space="0" w:color="auto"/>
        <w:right w:val="none" w:sz="0" w:space="0" w:color="auto"/>
      </w:divBdr>
    </w:div>
    <w:div w:id="1392775525">
      <w:bodyDiv w:val="1"/>
      <w:marLeft w:val="0"/>
      <w:marRight w:val="0"/>
      <w:marTop w:val="0"/>
      <w:marBottom w:val="0"/>
      <w:divBdr>
        <w:top w:val="none" w:sz="0" w:space="0" w:color="auto"/>
        <w:left w:val="none" w:sz="0" w:space="0" w:color="auto"/>
        <w:bottom w:val="none" w:sz="0" w:space="0" w:color="auto"/>
        <w:right w:val="none" w:sz="0" w:space="0" w:color="auto"/>
      </w:divBdr>
    </w:div>
    <w:div w:id="1392919564">
      <w:bodyDiv w:val="1"/>
      <w:marLeft w:val="0"/>
      <w:marRight w:val="0"/>
      <w:marTop w:val="0"/>
      <w:marBottom w:val="0"/>
      <w:divBdr>
        <w:top w:val="none" w:sz="0" w:space="0" w:color="auto"/>
        <w:left w:val="none" w:sz="0" w:space="0" w:color="auto"/>
        <w:bottom w:val="none" w:sz="0" w:space="0" w:color="auto"/>
        <w:right w:val="none" w:sz="0" w:space="0" w:color="auto"/>
      </w:divBdr>
    </w:div>
    <w:div w:id="1392926513">
      <w:bodyDiv w:val="1"/>
      <w:marLeft w:val="0"/>
      <w:marRight w:val="0"/>
      <w:marTop w:val="0"/>
      <w:marBottom w:val="0"/>
      <w:divBdr>
        <w:top w:val="none" w:sz="0" w:space="0" w:color="auto"/>
        <w:left w:val="none" w:sz="0" w:space="0" w:color="auto"/>
        <w:bottom w:val="none" w:sz="0" w:space="0" w:color="auto"/>
        <w:right w:val="none" w:sz="0" w:space="0" w:color="auto"/>
      </w:divBdr>
    </w:div>
    <w:div w:id="1393116887">
      <w:bodyDiv w:val="1"/>
      <w:marLeft w:val="0"/>
      <w:marRight w:val="0"/>
      <w:marTop w:val="0"/>
      <w:marBottom w:val="0"/>
      <w:divBdr>
        <w:top w:val="none" w:sz="0" w:space="0" w:color="auto"/>
        <w:left w:val="none" w:sz="0" w:space="0" w:color="auto"/>
        <w:bottom w:val="none" w:sz="0" w:space="0" w:color="auto"/>
        <w:right w:val="none" w:sz="0" w:space="0" w:color="auto"/>
      </w:divBdr>
    </w:div>
    <w:div w:id="1393117302">
      <w:bodyDiv w:val="1"/>
      <w:marLeft w:val="0"/>
      <w:marRight w:val="0"/>
      <w:marTop w:val="0"/>
      <w:marBottom w:val="0"/>
      <w:divBdr>
        <w:top w:val="none" w:sz="0" w:space="0" w:color="auto"/>
        <w:left w:val="none" w:sz="0" w:space="0" w:color="auto"/>
        <w:bottom w:val="none" w:sz="0" w:space="0" w:color="auto"/>
        <w:right w:val="none" w:sz="0" w:space="0" w:color="auto"/>
      </w:divBdr>
    </w:div>
    <w:div w:id="1393191859">
      <w:bodyDiv w:val="1"/>
      <w:marLeft w:val="0"/>
      <w:marRight w:val="0"/>
      <w:marTop w:val="0"/>
      <w:marBottom w:val="0"/>
      <w:divBdr>
        <w:top w:val="none" w:sz="0" w:space="0" w:color="auto"/>
        <w:left w:val="none" w:sz="0" w:space="0" w:color="auto"/>
        <w:bottom w:val="none" w:sz="0" w:space="0" w:color="auto"/>
        <w:right w:val="none" w:sz="0" w:space="0" w:color="auto"/>
      </w:divBdr>
    </w:div>
    <w:div w:id="1393193844">
      <w:bodyDiv w:val="1"/>
      <w:marLeft w:val="0"/>
      <w:marRight w:val="0"/>
      <w:marTop w:val="0"/>
      <w:marBottom w:val="0"/>
      <w:divBdr>
        <w:top w:val="none" w:sz="0" w:space="0" w:color="auto"/>
        <w:left w:val="none" w:sz="0" w:space="0" w:color="auto"/>
        <w:bottom w:val="none" w:sz="0" w:space="0" w:color="auto"/>
        <w:right w:val="none" w:sz="0" w:space="0" w:color="auto"/>
      </w:divBdr>
    </w:div>
    <w:div w:id="1393194409">
      <w:bodyDiv w:val="1"/>
      <w:marLeft w:val="0"/>
      <w:marRight w:val="0"/>
      <w:marTop w:val="0"/>
      <w:marBottom w:val="0"/>
      <w:divBdr>
        <w:top w:val="none" w:sz="0" w:space="0" w:color="auto"/>
        <w:left w:val="none" w:sz="0" w:space="0" w:color="auto"/>
        <w:bottom w:val="none" w:sz="0" w:space="0" w:color="auto"/>
        <w:right w:val="none" w:sz="0" w:space="0" w:color="auto"/>
      </w:divBdr>
    </w:div>
    <w:div w:id="1393196021">
      <w:bodyDiv w:val="1"/>
      <w:marLeft w:val="0"/>
      <w:marRight w:val="0"/>
      <w:marTop w:val="0"/>
      <w:marBottom w:val="0"/>
      <w:divBdr>
        <w:top w:val="none" w:sz="0" w:space="0" w:color="auto"/>
        <w:left w:val="none" w:sz="0" w:space="0" w:color="auto"/>
        <w:bottom w:val="none" w:sz="0" w:space="0" w:color="auto"/>
        <w:right w:val="none" w:sz="0" w:space="0" w:color="auto"/>
      </w:divBdr>
    </w:div>
    <w:div w:id="1393237475">
      <w:bodyDiv w:val="1"/>
      <w:marLeft w:val="0"/>
      <w:marRight w:val="0"/>
      <w:marTop w:val="0"/>
      <w:marBottom w:val="0"/>
      <w:divBdr>
        <w:top w:val="none" w:sz="0" w:space="0" w:color="auto"/>
        <w:left w:val="none" w:sz="0" w:space="0" w:color="auto"/>
        <w:bottom w:val="none" w:sz="0" w:space="0" w:color="auto"/>
        <w:right w:val="none" w:sz="0" w:space="0" w:color="auto"/>
      </w:divBdr>
    </w:div>
    <w:div w:id="1393381372">
      <w:bodyDiv w:val="1"/>
      <w:marLeft w:val="0"/>
      <w:marRight w:val="0"/>
      <w:marTop w:val="0"/>
      <w:marBottom w:val="0"/>
      <w:divBdr>
        <w:top w:val="none" w:sz="0" w:space="0" w:color="auto"/>
        <w:left w:val="none" w:sz="0" w:space="0" w:color="auto"/>
        <w:bottom w:val="none" w:sz="0" w:space="0" w:color="auto"/>
        <w:right w:val="none" w:sz="0" w:space="0" w:color="auto"/>
      </w:divBdr>
    </w:div>
    <w:div w:id="1393383320">
      <w:bodyDiv w:val="1"/>
      <w:marLeft w:val="0"/>
      <w:marRight w:val="0"/>
      <w:marTop w:val="0"/>
      <w:marBottom w:val="0"/>
      <w:divBdr>
        <w:top w:val="none" w:sz="0" w:space="0" w:color="auto"/>
        <w:left w:val="none" w:sz="0" w:space="0" w:color="auto"/>
        <w:bottom w:val="none" w:sz="0" w:space="0" w:color="auto"/>
        <w:right w:val="none" w:sz="0" w:space="0" w:color="auto"/>
      </w:divBdr>
    </w:div>
    <w:div w:id="1393387114">
      <w:bodyDiv w:val="1"/>
      <w:marLeft w:val="0"/>
      <w:marRight w:val="0"/>
      <w:marTop w:val="0"/>
      <w:marBottom w:val="0"/>
      <w:divBdr>
        <w:top w:val="none" w:sz="0" w:space="0" w:color="auto"/>
        <w:left w:val="none" w:sz="0" w:space="0" w:color="auto"/>
        <w:bottom w:val="none" w:sz="0" w:space="0" w:color="auto"/>
        <w:right w:val="none" w:sz="0" w:space="0" w:color="auto"/>
      </w:divBdr>
    </w:div>
    <w:div w:id="1393502408">
      <w:bodyDiv w:val="1"/>
      <w:marLeft w:val="0"/>
      <w:marRight w:val="0"/>
      <w:marTop w:val="0"/>
      <w:marBottom w:val="0"/>
      <w:divBdr>
        <w:top w:val="none" w:sz="0" w:space="0" w:color="auto"/>
        <w:left w:val="none" w:sz="0" w:space="0" w:color="auto"/>
        <w:bottom w:val="none" w:sz="0" w:space="0" w:color="auto"/>
        <w:right w:val="none" w:sz="0" w:space="0" w:color="auto"/>
      </w:divBdr>
    </w:div>
    <w:div w:id="1393506572">
      <w:bodyDiv w:val="1"/>
      <w:marLeft w:val="0"/>
      <w:marRight w:val="0"/>
      <w:marTop w:val="0"/>
      <w:marBottom w:val="0"/>
      <w:divBdr>
        <w:top w:val="none" w:sz="0" w:space="0" w:color="auto"/>
        <w:left w:val="none" w:sz="0" w:space="0" w:color="auto"/>
        <w:bottom w:val="none" w:sz="0" w:space="0" w:color="auto"/>
        <w:right w:val="none" w:sz="0" w:space="0" w:color="auto"/>
      </w:divBdr>
    </w:div>
    <w:div w:id="1393576033">
      <w:bodyDiv w:val="1"/>
      <w:marLeft w:val="0"/>
      <w:marRight w:val="0"/>
      <w:marTop w:val="0"/>
      <w:marBottom w:val="0"/>
      <w:divBdr>
        <w:top w:val="none" w:sz="0" w:space="0" w:color="auto"/>
        <w:left w:val="none" w:sz="0" w:space="0" w:color="auto"/>
        <w:bottom w:val="none" w:sz="0" w:space="0" w:color="auto"/>
        <w:right w:val="none" w:sz="0" w:space="0" w:color="auto"/>
      </w:divBdr>
    </w:div>
    <w:div w:id="1393582406">
      <w:bodyDiv w:val="1"/>
      <w:marLeft w:val="0"/>
      <w:marRight w:val="0"/>
      <w:marTop w:val="0"/>
      <w:marBottom w:val="0"/>
      <w:divBdr>
        <w:top w:val="none" w:sz="0" w:space="0" w:color="auto"/>
        <w:left w:val="none" w:sz="0" w:space="0" w:color="auto"/>
        <w:bottom w:val="none" w:sz="0" w:space="0" w:color="auto"/>
        <w:right w:val="none" w:sz="0" w:space="0" w:color="auto"/>
      </w:divBdr>
    </w:div>
    <w:div w:id="1393891973">
      <w:bodyDiv w:val="1"/>
      <w:marLeft w:val="0"/>
      <w:marRight w:val="0"/>
      <w:marTop w:val="0"/>
      <w:marBottom w:val="0"/>
      <w:divBdr>
        <w:top w:val="none" w:sz="0" w:space="0" w:color="auto"/>
        <w:left w:val="none" w:sz="0" w:space="0" w:color="auto"/>
        <w:bottom w:val="none" w:sz="0" w:space="0" w:color="auto"/>
        <w:right w:val="none" w:sz="0" w:space="0" w:color="auto"/>
      </w:divBdr>
    </w:div>
    <w:div w:id="1393967261">
      <w:bodyDiv w:val="1"/>
      <w:marLeft w:val="0"/>
      <w:marRight w:val="0"/>
      <w:marTop w:val="0"/>
      <w:marBottom w:val="0"/>
      <w:divBdr>
        <w:top w:val="none" w:sz="0" w:space="0" w:color="auto"/>
        <w:left w:val="none" w:sz="0" w:space="0" w:color="auto"/>
        <w:bottom w:val="none" w:sz="0" w:space="0" w:color="auto"/>
        <w:right w:val="none" w:sz="0" w:space="0" w:color="auto"/>
      </w:divBdr>
    </w:div>
    <w:div w:id="1394040311">
      <w:bodyDiv w:val="1"/>
      <w:marLeft w:val="0"/>
      <w:marRight w:val="0"/>
      <w:marTop w:val="0"/>
      <w:marBottom w:val="0"/>
      <w:divBdr>
        <w:top w:val="none" w:sz="0" w:space="0" w:color="auto"/>
        <w:left w:val="none" w:sz="0" w:space="0" w:color="auto"/>
        <w:bottom w:val="none" w:sz="0" w:space="0" w:color="auto"/>
        <w:right w:val="none" w:sz="0" w:space="0" w:color="auto"/>
      </w:divBdr>
    </w:div>
    <w:div w:id="1394111860">
      <w:bodyDiv w:val="1"/>
      <w:marLeft w:val="0"/>
      <w:marRight w:val="0"/>
      <w:marTop w:val="0"/>
      <w:marBottom w:val="0"/>
      <w:divBdr>
        <w:top w:val="none" w:sz="0" w:space="0" w:color="auto"/>
        <w:left w:val="none" w:sz="0" w:space="0" w:color="auto"/>
        <w:bottom w:val="none" w:sz="0" w:space="0" w:color="auto"/>
        <w:right w:val="none" w:sz="0" w:space="0" w:color="auto"/>
      </w:divBdr>
    </w:div>
    <w:div w:id="1394112455">
      <w:bodyDiv w:val="1"/>
      <w:marLeft w:val="0"/>
      <w:marRight w:val="0"/>
      <w:marTop w:val="0"/>
      <w:marBottom w:val="0"/>
      <w:divBdr>
        <w:top w:val="none" w:sz="0" w:space="0" w:color="auto"/>
        <w:left w:val="none" w:sz="0" w:space="0" w:color="auto"/>
        <w:bottom w:val="none" w:sz="0" w:space="0" w:color="auto"/>
        <w:right w:val="none" w:sz="0" w:space="0" w:color="auto"/>
      </w:divBdr>
    </w:div>
    <w:div w:id="1394113701">
      <w:bodyDiv w:val="1"/>
      <w:marLeft w:val="0"/>
      <w:marRight w:val="0"/>
      <w:marTop w:val="0"/>
      <w:marBottom w:val="0"/>
      <w:divBdr>
        <w:top w:val="none" w:sz="0" w:space="0" w:color="auto"/>
        <w:left w:val="none" w:sz="0" w:space="0" w:color="auto"/>
        <w:bottom w:val="none" w:sz="0" w:space="0" w:color="auto"/>
        <w:right w:val="none" w:sz="0" w:space="0" w:color="auto"/>
      </w:divBdr>
    </w:div>
    <w:div w:id="1394235531">
      <w:bodyDiv w:val="1"/>
      <w:marLeft w:val="0"/>
      <w:marRight w:val="0"/>
      <w:marTop w:val="0"/>
      <w:marBottom w:val="0"/>
      <w:divBdr>
        <w:top w:val="none" w:sz="0" w:space="0" w:color="auto"/>
        <w:left w:val="none" w:sz="0" w:space="0" w:color="auto"/>
        <w:bottom w:val="none" w:sz="0" w:space="0" w:color="auto"/>
        <w:right w:val="none" w:sz="0" w:space="0" w:color="auto"/>
      </w:divBdr>
    </w:div>
    <w:div w:id="1394354429">
      <w:bodyDiv w:val="1"/>
      <w:marLeft w:val="0"/>
      <w:marRight w:val="0"/>
      <w:marTop w:val="0"/>
      <w:marBottom w:val="0"/>
      <w:divBdr>
        <w:top w:val="none" w:sz="0" w:space="0" w:color="auto"/>
        <w:left w:val="none" w:sz="0" w:space="0" w:color="auto"/>
        <w:bottom w:val="none" w:sz="0" w:space="0" w:color="auto"/>
        <w:right w:val="none" w:sz="0" w:space="0" w:color="auto"/>
      </w:divBdr>
    </w:div>
    <w:div w:id="1394544363">
      <w:bodyDiv w:val="1"/>
      <w:marLeft w:val="0"/>
      <w:marRight w:val="0"/>
      <w:marTop w:val="0"/>
      <w:marBottom w:val="0"/>
      <w:divBdr>
        <w:top w:val="none" w:sz="0" w:space="0" w:color="auto"/>
        <w:left w:val="none" w:sz="0" w:space="0" w:color="auto"/>
        <w:bottom w:val="none" w:sz="0" w:space="0" w:color="auto"/>
        <w:right w:val="none" w:sz="0" w:space="0" w:color="auto"/>
      </w:divBdr>
    </w:div>
    <w:div w:id="1394617020">
      <w:bodyDiv w:val="1"/>
      <w:marLeft w:val="0"/>
      <w:marRight w:val="0"/>
      <w:marTop w:val="0"/>
      <w:marBottom w:val="0"/>
      <w:divBdr>
        <w:top w:val="none" w:sz="0" w:space="0" w:color="auto"/>
        <w:left w:val="none" w:sz="0" w:space="0" w:color="auto"/>
        <w:bottom w:val="none" w:sz="0" w:space="0" w:color="auto"/>
        <w:right w:val="none" w:sz="0" w:space="0" w:color="auto"/>
      </w:divBdr>
    </w:div>
    <w:div w:id="1394620988">
      <w:bodyDiv w:val="1"/>
      <w:marLeft w:val="0"/>
      <w:marRight w:val="0"/>
      <w:marTop w:val="0"/>
      <w:marBottom w:val="0"/>
      <w:divBdr>
        <w:top w:val="none" w:sz="0" w:space="0" w:color="auto"/>
        <w:left w:val="none" w:sz="0" w:space="0" w:color="auto"/>
        <w:bottom w:val="none" w:sz="0" w:space="0" w:color="auto"/>
        <w:right w:val="none" w:sz="0" w:space="0" w:color="auto"/>
      </w:divBdr>
    </w:div>
    <w:div w:id="1394622497">
      <w:bodyDiv w:val="1"/>
      <w:marLeft w:val="0"/>
      <w:marRight w:val="0"/>
      <w:marTop w:val="0"/>
      <w:marBottom w:val="0"/>
      <w:divBdr>
        <w:top w:val="none" w:sz="0" w:space="0" w:color="auto"/>
        <w:left w:val="none" w:sz="0" w:space="0" w:color="auto"/>
        <w:bottom w:val="none" w:sz="0" w:space="0" w:color="auto"/>
        <w:right w:val="none" w:sz="0" w:space="0" w:color="auto"/>
      </w:divBdr>
    </w:div>
    <w:div w:id="1394741230">
      <w:bodyDiv w:val="1"/>
      <w:marLeft w:val="0"/>
      <w:marRight w:val="0"/>
      <w:marTop w:val="0"/>
      <w:marBottom w:val="0"/>
      <w:divBdr>
        <w:top w:val="none" w:sz="0" w:space="0" w:color="auto"/>
        <w:left w:val="none" w:sz="0" w:space="0" w:color="auto"/>
        <w:bottom w:val="none" w:sz="0" w:space="0" w:color="auto"/>
        <w:right w:val="none" w:sz="0" w:space="0" w:color="auto"/>
      </w:divBdr>
    </w:div>
    <w:div w:id="1394769144">
      <w:bodyDiv w:val="1"/>
      <w:marLeft w:val="0"/>
      <w:marRight w:val="0"/>
      <w:marTop w:val="0"/>
      <w:marBottom w:val="0"/>
      <w:divBdr>
        <w:top w:val="none" w:sz="0" w:space="0" w:color="auto"/>
        <w:left w:val="none" w:sz="0" w:space="0" w:color="auto"/>
        <w:bottom w:val="none" w:sz="0" w:space="0" w:color="auto"/>
        <w:right w:val="none" w:sz="0" w:space="0" w:color="auto"/>
      </w:divBdr>
    </w:div>
    <w:div w:id="1394809550">
      <w:bodyDiv w:val="1"/>
      <w:marLeft w:val="0"/>
      <w:marRight w:val="0"/>
      <w:marTop w:val="0"/>
      <w:marBottom w:val="0"/>
      <w:divBdr>
        <w:top w:val="none" w:sz="0" w:space="0" w:color="auto"/>
        <w:left w:val="none" w:sz="0" w:space="0" w:color="auto"/>
        <w:bottom w:val="none" w:sz="0" w:space="0" w:color="auto"/>
        <w:right w:val="none" w:sz="0" w:space="0" w:color="auto"/>
      </w:divBdr>
    </w:div>
    <w:div w:id="1394963130">
      <w:bodyDiv w:val="1"/>
      <w:marLeft w:val="0"/>
      <w:marRight w:val="0"/>
      <w:marTop w:val="0"/>
      <w:marBottom w:val="0"/>
      <w:divBdr>
        <w:top w:val="none" w:sz="0" w:space="0" w:color="auto"/>
        <w:left w:val="none" w:sz="0" w:space="0" w:color="auto"/>
        <w:bottom w:val="none" w:sz="0" w:space="0" w:color="auto"/>
        <w:right w:val="none" w:sz="0" w:space="0" w:color="auto"/>
      </w:divBdr>
    </w:div>
    <w:div w:id="1394963321">
      <w:bodyDiv w:val="1"/>
      <w:marLeft w:val="0"/>
      <w:marRight w:val="0"/>
      <w:marTop w:val="0"/>
      <w:marBottom w:val="0"/>
      <w:divBdr>
        <w:top w:val="none" w:sz="0" w:space="0" w:color="auto"/>
        <w:left w:val="none" w:sz="0" w:space="0" w:color="auto"/>
        <w:bottom w:val="none" w:sz="0" w:space="0" w:color="auto"/>
        <w:right w:val="none" w:sz="0" w:space="0" w:color="auto"/>
      </w:divBdr>
    </w:div>
    <w:div w:id="1395008343">
      <w:bodyDiv w:val="1"/>
      <w:marLeft w:val="0"/>
      <w:marRight w:val="0"/>
      <w:marTop w:val="0"/>
      <w:marBottom w:val="0"/>
      <w:divBdr>
        <w:top w:val="none" w:sz="0" w:space="0" w:color="auto"/>
        <w:left w:val="none" w:sz="0" w:space="0" w:color="auto"/>
        <w:bottom w:val="none" w:sz="0" w:space="0" w:color="auto"/>
        <w:right w:val="none" w:sz="0" w:space="0" w:color="auto"/>
      </w:divBdr>
    </w:div>
    <w:div w:id="1395008710">
      <w:bodyDiv w:val="1"/>
      <w:marLeft w:val="0"/>
      <w:marRight w:val="0"/>
      <w:marTop w:val="0"/>
      <w:marBottom w:val="0"/>
      <w:divBdr>
        <w:top w:val="none" w:sz="0" w:space="0" w:color="auto"/>
        <w:left w:val="none" w:sz="0" w:space="0" w:color="auto"/>
        <w:bottom w:val="none" w:sz="0" w:space="0" w:color="auto"/>
        <w:right w:val="none" w:sz="0" w:space="0" w:color="auto"/>
      </w:divBdr>
    </w:div>
    <w:div w:id="1395079095">
      <w:bodyDiv w:val="1"/>
      <w:marLeft w:val="0"/>
      <w:marRight w:val="0"/>
      <w:marTop w:val="0"/>
      <w:marBottom w:val="0"/>
      <w:divBdr>
        <w:top w:val="none" w:sz="0" w:space="0" w:color="auto"/>
        <w:left w:val="none" w:sz="0" w:space="0" w:color="auto"/>
        <w:bottom w:val="none" w:sz="0" w:space="0" w:color="auto"/>
        <w:right w:val="none" w:sz="0" w:space="0" w:color="auto"/>
      </w:divBdr>
    </w:div>
    <w:div w:id="1395202222">
      <w:bodyDiv w:val="1"/>
      <w:marLeft w:val="0"/>
      <w:marRight w:val="0"/>
      <w:marTop w:val="0"/>
      <w:marBottom w:val="0"/>
      <w:divBdr>
        <w:top w:val="none" w:sz="0" w:space="0" w:color="auto"/>
        <w:left w:val="none" w:sz="0" w:space="0" w:color="auto"/>
        <w:bottom w:val="none" w:sz="0" w:space="0" w:color="auto"/>
        <w:right w:val="none" w:sz="0" w:space="0" w:color="auto"/>
      </w:divBdr>
    </w:div>
    <w:div w:id="1395546696">
      <w:bodyDiv w:val="1"/>
      <w:marLeft w:val="0"/>
      <w:marRight w:val="0"/>
      <w:marTop w:val="0"/>
      <w:marBottom w:val="0"/>
      <w:divBdr>
        <w:top w:val="none" w:sz="0" w:space="0" w:color="auto"/>
        <w:left w:val="none" w:sz="0" w:space="0" w:color="auto"/>
        <w:bottom w:val="none" w:sz="0" w:space="0" w:color="auto"/>
        <w:right w:val="none" w:sz="0" w:space="0" w:color="auto"/>
      </w:divBdr>
    </w:div>
    <w:div w:id="1395743002">
      <w:bodyDiv w:val="1"/>
      <w:marLeft w:val="0"/>
      <w:marRight w:val="0"/>
      <w:marTop w:val="0"/>
      <w:marBottom w:val="0"/>
      <w:divBdr>
        <w:top w:val="none" w:sz="0" w:space="0" w:color="auto"/>
        <w:left w:val="none" w:sz="0" w:space="0" w:color="auto"/>
        <w:bottom w:val="none" w:sz="0" w:space="0" w:color="auto"/>
        <w:right w:val="none" w:sz="0" w:space="0" w:color="auto"/>
      </w:divBdr>
    </w:div>
    <w:div w:id="1395852475">
      <w:bodyDiv w:val="1"/>
      <w:marLeft w:val="0"/>
      <w:marRight w:val="0"/>
      <w:marTop w:val="0"/>
      <w:marBottom w:val="0"/>
      <w:divBdr>
        <w:top w:val="none" w:sz="0" w:space="0" w:color="auto"/>
        <w:left w:val="none" w:sz="0" w:space="0" w:color="auto"/>
        <w:bottom w:val="none" w:sz="0" w:space="0" w:color="auto"/>
        <w:right w:val="none" w:sz="0" w:space="0" w:color="auto"/>
      </w:divBdr>
    </w:div>
    <w:div w:id="1396006576">
      <w:bodyDiv w:val="1"/>
      <w:marLeft w:val="0"/>
      <w:marRight w:val="0"/>
      <w:marTop w:val="0"/>
      <w:marBottom w:val="0"/>
      <w:divBdr>
        <w:top w:val="none" w:sz="0" w:space="0" w:color="auto"/>
        <w:left w:val="none" w:sz="0" w:space="0" w:color="auto"/>
        <w:bottom w:val="none" w:sz="0" w:space="0" w:color="auto"/>
        <w:right w:val="none" w:sz="0" w:space="0" w:color="auto"/>
      </w:divBdr>
    </w:div>
    <w:div w:id="1396124066">
      <w:bodyDiv w:val="1"/>
      <w:marLeft w:val="0"/>
      <w:marRight w:val="0"/>
      <w:marTop w:val="0"/>
      <w:marBottom w:val="0"/>
      <w:divBdr>
        <w:top w:val="none" w:sz="0" w:space="0" w:color="auto"/>
        <w:left w:val="none" w:sz="0" w:space="0" w:color="auto"/>
        <w:bottom w:val="none" w:sz="0" w:space="0" w:color="auto"/>
        <w:right w:val="none" w:sz="0" w:space="0" w:color="auto"/>
      </w:divBdr>
    </w:div>
    <w:div w:id="1396126165">
      <w:bodyDiv w:val="1"/>
      <w:marLeft w:val="0"/>
      <w:marRight w:val="0"/>
      <w:marTop w:val="0"/>
      <w:marBottom w:val="0"/>
      <w:divBdr>
        <w:top w:val="none" w:sz="0" w:space="0" w:color="auto"/>
        <w:left w:val="none" w:sz="0" w:space="0" w:color="auto"/>
        <w:bottom w:val="none" w:sz="0" w:space="0" w:color="auto"/>
        <w:right w:val="none" w:sz="0" w:space="0" w:color="auto"/>
      </w:divBdr>
    </w:div>
    <w:div w:id="1396275437">
      <w:bodyDiv w:val="1"/>
      <w:marLeft w:val="0"/>
      <w:marRight w:val="0"/>
      <w:marTop w:val="0"/>
      <w:marBottom w:val="0"/>
      <w:divBdr>
        <w:top w:val="none" w:sz="0" w:space="0" w:color="auto"/>
        <w:left w:val="none" w:sz="0" w:space="0" w:color="auto"/>
        <w:bottom w:val="none" w:sz="0" w:space="0" w:color="auto"/>
        <w:right w:val="none" w:sz="0" w:space="0" w:color="auto"/>
      </w:divBdr>
    </w:div>
    <w:div w:id="1396321578">
      <w:bodyDiv w:val="1"/>
      <w:marLeft w:val="0"/>
      <w:marRight w:val="0"/>
      <w:marTop w:val="0"/>
      <w:marBottom w:val="0"/>
      <w:divBdr>
        <w:top w:val="none" w:sz="0" w:space="0" w:color="auto"/>
        <w:left w:val="none" w:sz="0" w:space="0" w:color="auto"/>
        <w:bottom w:val="none" w:sz="0" w:space="0" w:color="auto"/>
        <w:right w:val="none" w:sz="0" w:space="0" w:color="auto"/>
      </w:divBdr>
    </w:div>
    <w:div w:id="1396582984">
      <w:bodyDiv w:val="1"/>
      <w:marLeft w:val="0"/>
      <w:marRight w:val="0"/>
      <w:marTop w:val="0"/>
      <w:marBottom w:val="0"/>
      <w:divBdr>
        <w:top w:val="none" w:sz="0" w:space="0" w:color="auto"/>
        <w:left w:val="none" w:sz="0" w:space="0" w:color="auto"/>
        <w:bottom w:val="none" w:sz="0" w:space="0" w:color="auto"/>
        <w:right w:val="none" w:sz="0" w:space="0" w:color="auto"/>
      </w:divBdr>
    </w:div>
    <w:div w:id="1396583048">
      <w:bodyDiv w:val="1"/>
      <w:marLeft w:val="0"/>
      <w:marRight w:val="0"/>
      <w:marTop w:val="0"/>
      <w:marBottom w:val="0"/>
      <w:divBdr>
        <w:top w:val="none" w:sz="0" w:space="0" w:color="auto"/>
        <w:left w:val="none" w:sz="0" w:space="0" w:color="auto"/>
        <w:bottom w:val="none" w:sz="0" w:space="0" w:color="auto"/>
        <w:right w:val="none" w:sz="0" w:space="0" w:color="auto"/>
      </w:divBdr>
    </w:div>
    <w:div w:id="1396664032">
      <w:bodyDiv w:val="1"/>
      <w:marLeft w:val="0"/>
      <w:marRight w:val="0"/>
      <w:marTop w:val="0"/>
      <w:marBottom w:val="0"/>
      <w:divBdr>
        <w:top w:val="none" w:sz="0" w:space="0" w:color="auto"/>
        <w:left w:val="none" w:sz="0" w:space="0" w:color="auto"/>
        <w:bottom w:val="none" w:sz="0" w:space="0" w:color="auto"/>
        <w:right w:val="none" w:sz="0" w:space="0" w:color="auto"/>
      </w:divBdr>
    </w:div>
    <w:div w:id="1396708038">
      <w:bodyDiv w:val="1"/>
      <w:marLeft w:val="0"/>
      <w:marRight w:val="0"/>
      <w:marTop w:val="0"/>
      <w:marBottom w:val="0"/>
      <w:divBdr>
        <w:top w:val="none" w:sz="0" w:space="0" w:color="auto"/>
        <w:left w:val="none" w:sz="0" w:space="0" w:color="auto"/>
        <w:bottom w:val="none" w:sz="0" w:space="0" w:color="auto"/>
        <w:right w:val="none" w:sz="0" w:space="0" w:color="auto"/>
      </w:divBdr>
    </w:div>
    <w:div w:id="1396709230">
      <w:bodyDiv w:val="1"/>
      <w:marLeft w:val="0"/>
      <w:marRight w:val="0"/>
      <w:marTop w:val="0"/>
      <w:marBottom w:val="0"/>
      <w:divBdr>
        <w:top w:val="none" w:sz="0" w:space="0" w:color="auto"/>
        <w:left w:val="none" w:sz="0" w:space="0" w:color="auto"/>
        <w:bottom w:val="none" w:sz="0" w:space="0" w:color="auto"/>
        <w:right w:val="none" w:sz="0" w:space="0" w:color="auto"/>
      </w:divBdr>
    </w:div>
    <w:div w:id="1396783446">
      <w:bodyDiv w:val="1"/>
      <w:marLeft w:val="0"/>
      <w:marRight w:val="0"/>
      <w:marTop w:val="0"/>
      <w:marBottom w:val="0"/>
      <w:divBdr>
        <w:top w:val="none" w:sz="0" w:space="0" w:color="auto"/>
        <w:left w:val="none" w:sz="0" w:space="0" w:color="auto"/>
        <w:bottom w:val="none" w:sz="0" w:space="0" w:color="auto"/>
        <w:right w:val="none" w:sz="0" w:space="0" w:color="auto"/>
      </w:divBdr>
    </w:div>
    <w:div w:id="1396784440">
      <w:bodyDiv w:val="1"/>
      <w:marLeft w:val="0"/>
      <w:marRight w:val="0"/>
      <w:marTop w:val="0"/>
      <w:marBottom w:val="0"/>
      <w:divBdr>
        <w:top w:val="none" w:sz="0" w:space="0" w:color="auto"/>
        <w:left w:val="none" w:sz="0" w:space="0" w:color="auto"/>
        <w:bottom w:val="none" w:sz="0" w:space="0" w:color="auto"/>
        <w:right w:val="none" w:sz="0" w:space="0" w:color="auto"/>
      </w:divBdr>
    </w:div>
    <w:div w:id="1396858672">
      <w:bodyDiv w:val="1"/>
      <w:marLeft w:val="0"/>
      <w:marRight w:val="0"/>
      <w:marTop w:val="0"/>
      <w:marBottom w:val="0"/>
      <w:divBdr>
        <w:top w:val="none" w:sz="0" w:space="0" w:color="auto"/>
        <w:left w:val="none" w:sz="0" w:space="0" w:color="auto"/>
        <w:bottom w:val="none" w:sz="0" w:space="0" w:color="auto"/>
        <w:right w:val="none" w:sz="0" w:space="0" w:color="auto"/>
      </w:divBdr>
    </w:div>
    <w:div w:id="1396978130">
      <w:bodyDiv w:val="1"/>
      <w:marLeft w:val="0"/>
      <w:marRight w:val="0"/>
      <w:marTop w:val="0"/>
      <w:marBottom w:val="0"/>
      <w:divBdr>
        <w:top w:val="none" w:sz="0" w:space="0" w:color="auto"/>
        <w:left w:val="none" w:sz="0" w:space="0" w:color="auto"/>
        <w:bottom w:val="none" w:sz="0" w:space="0" w:color="auto"/>
        <w:right w:val="none" w:sz="0" w:space="0" w:color="auto"/>
      </w:divBdr>
    </w:div>
    <w:div w:id="1397119823">
      <w:bodyDiv w:val="1"/>
      <w:marLeft w:val="0"/>
      <w:marRight w:val="0"/>
      <w:marTop w:val="0"/>
      <w:marBottom w:val="0"/>
      <w:divBdr>
        <w:top w:val="none" w:sz="0" w:space="0" w:color="auto"/>
        <w:left w:val="none" w:sz="0" w:space="0" w:color="auto"/>
        <w:bottom w:val="none" w:sz="0" w:space="0" w:color="auto"/>
        <w:right w:val="none" w:sz="0" w:space="0" w:color="auto"/>
      </w:divBdr>
    </w:div>
    <w:div w:id="1397167166">
      <w:bodyDiv w:val="1"/>
      <w:marLeft w:val="0"/>
      <w:marRight w:val="0"/>
      <w:marTop w:val="0"/>
      <w:marBottom w:val="0"/>
      <w:divBdr>
        <w:top w:val="none" w:sz="0" w:space="0" w:color="auto"/>
        <w:left w:val="none" w:sz="0" w:space="0" w:color="auto"/>
        <w:bottom w:val="none" w:sz="0" w:space="0" w:color="auto"/>
        <w:right w:val="none" w:sz="0" w:space="0" w:color="auto"/>
      </w:divBdr>
    </w:div>
    <w:div w:id="1397170021">
      <w:bodyDiv w:val="1"/>
      <w:marLeft w:val="0"/>
      <w:marRight w:val="0"/>
      <w:marTop w:val="0"/>
      <w:marBottom w:val="0"/>
      <w:divBdr>
        <w:top w:val="none" w:sz="0" w:space="0" w:color="auto"/>
        <w:left w:val="none" w:sz="0" w:space="0" w:color="auto"/>
        <w:bottom w:val="none" w:sz="0" w:space="0" w:color="auto"/>
        <w:right w:val="none" w:sz="0" w:space="0" w:color="auto"/>
      </w:divBdr>
    </w:div>
    <w:div w:id="1397170935">
      <w:bodyDiv w:val="1"/>
      <w:marLeft w:val="0"/>
      <w:marRight w:val="0"/>
      <w:marTop w:val="0"/>
      <w:marBottom w:val="0"/>
      <w:divBdr>
        <w:top w:val="none" w:sz="0" w:space="0" w:color="auto"/>
        <w:left w:val="none" w:sz="0" w:space="0" w:color="auto"/>
        <w:bottom w:val="none" w:sz="0" w:space="0" w:color="auto"/>
        <w:right w:val="none" w:sz="0" w:space="0" w:color="auto"/>
      </w:divBdr>
    </w:div>
    <w:div w:id="1397240622">
      <w:bodyDiv w:val="1"/>
      <w:marLeft w:val="0"/>
      <w:marRight w:val="0"/>
      <w:marTop w:val="0"/>
      <w:marBottom w:val="0"/>
      <w:divBdr>
        <w:top w:val="none" w:sz="0" w:space="0" w:color="auto"/>
        <w:left w:val="none" w:sz="0" w:space="0" w:color="auto"/>
        <w:bottom w:val="none" w:sz="0" w:space="0" w:color="auto"/>
        <w:right w:val="none" w:sz="0" w:space="0" w:color="auto"/>
      </w:divBdr>
    </w:div>
    <w:div w:id="1397434403">
      <w:bodyDiv w:val="1"/>
      <w:marLeft w:val="0"/>
      <w:marRight w:val="0"/>
      <w:marTop w:val="0"/>
      <w:marBottom w:val="0"/>
      <w:divBdr>
        <w:top w:val="none" w:sz="0" w:space="0" w:color="auto"/>
        <w:left w:val="none" w:sz="0" w:space="0" w:color="auto"/>
        <w:bottom w:val="none" w:sz="0" w:space="0" w:color="auto"/>
        <w:right w:val="none" w:sz="0" w:space="0" w:color="auto"/>
      </w:divBdr>
    </w:div>
    <w:div w:id="1397434881">
      <w:bodyDiv w:val="1"/>
      <w:marLeft w:val="0"/>
      <w:marRight w:val="0"/>
      <w:marTop w:val="0"/>
      <w:marBottom w:val="0"/>
      <w:divBdr>
        <w:top w:val="none" w:sz="0" w:space="0" w:color="auto"/>
        <w:left w:val="none" w:sz="0" w:space="0" w:color="auto"/>
        <w:bottom w:val="none" w:sz="0" w:space="0" w:color="auto"/>
        <w:right w:val="none" w:sz="0" w:space="0" w:color="auto"/>
      </w:divBdr>
    </w:div>
    <w:div w:id="1397439702">
      <w:bodyDiv w:val="1"/>
      <w:marLeft w:val="0"/>
      <w:marRight w:val="0"/>
      <w:marTop w:val="0"/>
      <w:marBottom w:val="0"/>
      <w:divBdr>
        <w:top w:val="none" w:sz="0" w:space="0" w:color="auto"/>
        <w:left w:val="none" w:sz="0" w:space="0" w:color="auto"/>
        <w:bottom w:val="none" w:sz="0" w:space="0" w:color="auto"/>
        <w:right w:val="none" w:sz="0" w:space="0" w:color="auto"/>
      </w:divBdr>
    </w:div>
    <w:div w:id="1397556544">
      <w:bodyDiv w:val="1"/>
      <w:marLeft w:val="0"/>
      <w:marRight w:val="0"/>
      <w:marTop w:val="0"/>
      <w:marBottom w:val="0"/>
      <w:divBdr>
        <w:top w:val="none" w:sz="0" w:space="0" w:color="auto"/>
        <w:left w:val="none" w:sz="0" w:space="0" w:color="auto"/>
        <w:bottom w:val="none" w:sz="0" w:space="0" w:color="auto"/>
        <w:right w:val="none" w:sz="0" w:space="0" w:color="auto"/>
      </w:divBdr>
    </w:div>
    <w:div w:id="1397557618">
      <w:bodyDiv w:val="1"/>
      <w:marLeft w:val="0"/>
      <w:marRight w:val="0"/>
      <w:marTop w:val="0"/>
      <w:marBottom w:val="0"/>
      <w:divBdr>
        <w:top w:val="none" w:sz="0" w:space="0" w:color="auto"/>
        <w:left w:val="none" w:sz="0" w:space="0" w:color="auto"/>
        <w:bottom w:val="none" w:sz="0" w:space="0" w:color="auto"/>
        <w:right w:val="none" w:sz="0" w:space="0" w:color="auto"/>
      </w:divBdr>
    </w:div>
    <w:div w:id="1397587476">
      <w:bodyDiv w:val="1"/>
      <w:marLeft w:val="0"/>
      <w:marRight w:val="0"/>
      <w:marTop w:val="0"/>
      <w:marBottom w:val="0"/>
      <w:divBdr>
        <w:top w:val="none" w:sz="0" w:space="0" w:color="auto"/>
        <w:left w:val="none" w:sz="0" w:space="0" w:color="auto"/>
        <w:bottom w:val="none" w:sz="0" w:space="0" w:color="auto"/>
        <w:right w:val="none" w:sz="0" w:space="0" w:color="auto"/>
      </w:divBdr>
    </w:div>
    <w:div w:id="1397629280">
      <w:bodyDiv w:val="1"/>
      <w:marLeft w:val="0"/>
      <w:marRight w:val="0"/>
      <w:marTop w:val="0"/>
      <w:marBottom w:val="0"/>
      <w:divBdr>
        <w:top w:val="none" w:sz="0" w:space="0" w:color="auto"/>
        <w:left w:val="none" w:sz="0" w:space="0" w:color="auto"/>
        <w:bottom w:val="none" w:sz="0" w:space="0" w:color="auto"/>
        <w:right w:val="none" w:sz="0" w:space="0" w:color="auto"/>
      </w:divBdr>
    </w:div>
    <w:div w:id="1397779770">
      <w:bodyDiv w:val="1"/>
      <w:marLeft w:val="0"/>
      <w:marRight w:val="0"/>
      <w:marTop w:val="0"/>
      <w:marBottom w:val="0"/>
      <w:divBdr>
        <w:top w:val="none" w:sz="0" w:space="0" w:color="auto"/>
        <w:left w:val="none" w:sz="0" w:space="0" w:color="auto"/>
        <w:bottom w:val="none" w:sz="0" w:space="0" w:color="auto"/>
        <w:right w:val="none" w:sz="0" w:space="0" w:color="auto"/>
      </w:divBdr>
    </w:div>
    <w:div w:id="1397821122">
      <w:bodyDiv w:val="1"/>
      <w:marLeft w:val="0"/>
      <w:marRight w:val="0"/>
      <w:marTop w:val="0"/>
      <w:marBottom w:val="0"/>
      <w:divBdr>
        <w:top w:val="none" w:sz="0" w:space="0" w:color="auto"/>
        <w:left w:val="none" w:sz="0" w:space="0" w:color="auto"/>
        <w:bottom w:val="none" w:sz="0" w:space="0" w:color="auto"/>
        <w:right w:val="none" w:sz="0" w:space="0" w:color="auto"/>
      </w:divBdr>
    </w:div>
    <w:div w:id="1397826713">
      <w:bodyDiv w:val="1"/>
      <w:marLeft w:val="0"/>
      <w:marRight w:val="0"/>
      <w:marTop w:val="0"/>
      <w:marBottom w:val="0"/>
      <w:divBdr>
        <w:top w:val="none" w:sz="0" w:space="0" w:color="auto"/>
        <w:left w:val="none" w:sz="0" w:space="0" w:color="auto"/>
        <w:bottom w:val="none" w:sz="0" w:space="0" w:color="auto"/>
        <w:right w:val="none" w:sz="0" w:space="0" w:color="auto"/>
      </w:divBdr>
    </w:div>
    <w:div w:id="1397826723">
      <w:bodyDiv w:val="1"/>
      <w:marLeft w:val="0"/>
      <w:marRight w:val="0"/>
      <w:marTop w:val="0"/>
      <w:marBottom w:val="0"/>
      <w:divBdr>
        <w:top w:val="none" w:sz="0" w:space="0" w:color="auto"/>
        <w:left w:val="none" w:sz="0" w:space="0" w:color="auto"/>
        <w:bottom w:val="none" w:sz="0" w:space="0" w:color="auto"/>
        <w:right w:val="none" w:sz="0" w:space="0" w:color="auto"/>
      </w:divBdr>
    </w:div>
    <w:div w:id="1398018411">
      <w:bodyDiv w:val="1"/>
      <w:marLeft w:val="0"/>
      <w:marRight w:val="0"/>
      <w:marTop w:val="0"/>
      <w:marBottom w:val="0"/>
      <w:divBdr>
        <w:top w:val="none" w:sz="0" w:space="0" w:color="auto"/>
        <w:left w:val="none" w:sz="0" w:space="0" w:color="auto"/>
        <w:bottom w:val="none" w:sz="0" w:space="0" w:color="auto"/>
        <w:right w:val="none" w:sz="0" w:space="0" w:color="auto"/>
      </w:divBdr>
    </w:div>
    <w:div w:id="1398088463">
      <w:bodyDiv w:val="1"/>
      <w:marLeft w:val="0"/>
      <w:marRight w:val="0"/>
      <w:marTop w:val="0"/>
      <w:marBottom w:val="0"/>
      <w:divBdr>
        <w:top w:val="none" w:sz="0" w:space="0" w:color="auto"/>
        <w:left w:val="none" w:sz="0" w:space="0" w:color="auto"/>
        <w:bottom w:val="none" w:sz="0" w:space="0" w:color="auto"/>
        <w:right w:val="none" w:sz="0" w:space="0" w:color="auto"/>
      </w:divBdr>
    </w:div>
    <w:div w:id="1398088981">
      <w:bodyDiv w:val="1"/>
      <w:marLeft w:val="0"/>
      <w:marRight w:val="0"/>
      <w:marTop w:val="0"/>
      <w:marBottom w:val="0"/>
      <w:divBdr>
        <w:top w:val="none" w:sz="0" w:space="0" w:color="auto"/>
        <w:left w:val="none" w:sz="0" w:space="0" w:color="auto"/>
        <w:bottom w:val="none" w:sz="0" w:space="0" w:color="auto"/>
        <w:right w:val="none" w:sz="0" w:space="0" w:color="auto"/>
      </w:divBdr>
    </w:div>
    <w:div w:id="1398213349">
      <w:bodyDiv w:val="1"/>
      <w:marLeft w:val="0"/>
      <w:marRight w:val="0"/>
      <w:marTop w:val="0"/>
      <w:marBottom w:val="0"/>
      <w:divBdr>
        <w:top w:val="none" w:sz="0" w:space="0" w:color="auto"/>
        <w:left w:val="none" w:sz="0" w:space="0" w:color="auto"/>
        <w:bottom w:val="none" w:sz="0" w:space="0" w:color="auto"/>
        <w:right w:val="none" w:sz="0" w:space="0" w:color="auto"/>
      </w:divBdr>
    </w:div>
    <w:div w:id="1398286026">
      <w:bodyDiv w:val="1"/>
      <w:marLeft w:val="0"/>
      <w:marRight w:val="0"/>
      <w:marTop w:val="0"/>
      <w:marBottom w:val="0"/>
      <w:divBdr>
        <w:top w:val="none" w:sz="0" w:space="0" w:color="auto"/>
        <w:left w:val="none" w:sz="0" w:space="0" w:color="auto"/>
        <w:bottom w:val="none" w:sz="0" w:space="0" w:color="auto"/>
        <w:right w:val="none" w:sz="0" w:space="0" w:color="auto"/>
      </w:divBdr>
    </w:div>
    <w:div w:id="1398286197">
      <w:bodyDiv w:val="1"/>
      <w:marLeft w:val="0"/>
      <w:marRight w:val="0"/>
      <w:marTop w:val="0"/>
      <w:marBottom w:val="0"/>
      <w:divBdr>
        <w:top w:val="none" w:sz="0" w:space="0" w:color="auto"/>
        <w:left w:val="none" w:sz="0" w:space="0" w:color="auto"/>
        <w:bottom w:val="none" w:sz="0" w:space="0" w:color="auto"/>
        <w:right w:val="none" w:sz="0" w:space="0" w:color="auto"/>
      </w:divBdr>
    </w:div>
    <w:div w:id="1398433543">
      <w:bodyDiv w:val="1"/>
      <w:marLeft w:val="0"/>
      <w:marRight w:val="0"/>
      <w:marTop w:val="0"/>
      <w:marBottom w:val="0"/>
      <w:divBdr>
        <w:top w:val="none" w:sz="0" w:space="0" w:color="auto"/>
        <w:left w:val="none" w:sz="0" w:space="0" w:color="auto"/>
        <w:bottom w:val="none" w:sz="0" w:space="0" w:color="auto"/>
        <w:right w:val="none" w:sz="0" w:space="0" w:color="auto"/>
      </w:divBdr>
    </w:div>
    <w:div w:id="1398435487">
      <w:bodyDiv w:val="1"/>
      <w:marLeft w:val="0"/>
      <w:marRight w:val="0"/>
      <w:marTop w:val="0"/>
      <w:marBottom w:val="0"/>
      <w:divBdr>
        <w:top w:val="none" w:sz="0" w:space="0" w:color="auto"/>
        <w:left w:val="none" w:sz="0" w:space="0" w:color="auto"/>
        <w:bottom w:val="none" w:sz="0" w:space="0" w:color="auto"/>
        <w:right w:val="none" w:sz="0" w:space="0" w:color="auto"/>
      </w:divBdr>
    </w:div>
    <w:div w:id="1398474864">
      <w:bodyDiv w:val="1"/>
      <w:marLeft w:val="0"/>
      <w:marRight w:val="0"/>
      <w:marTop w:val="0"/>
      <w:marBottom w:val="0"/>
      <w:divBdr>
        <w:top w:val="none" w:sz="0" w:space="0" w:color="auto"/>
        <w:left w:val="none" w:sz="0" w:space="0" w:color="auto"/>
        <w:bottom w:val="none" w:sz="0" w:space="0" w:color="auto"/>
        <w:right w:val="none" w:sz="0" w:space="0" w:color="auto"/>
      </w:divBdr>
    </w:div>
    <w:div w:id="1398475790">
      <w:bodyDiv w:val="1"/>
      <w:marLeft w:val="0"/>
      <w:marRight w:val="0"/>
      <w:marTop w:val="0"/>
      <w:marBottom w:val="0"/>
      <w:divBdr>
        <w:top w:val="none" w:sz="0" w:space="0" w:color="auto"/>
        <w:left w:val="none" w:sz="0" w:space="0" w:color="auto"/>
        <w:bottom w:val="none" w:sz="0" w:space="0" w:color="auto"/>
        <w:right w:val="none" w:sz="0" w:space="0" w:color="auto"/>
      </w:divBdr>
    </w:div>
    <w:div w:id="1398476807">
      <w:bodyDiv w:val="1"/>
      <w:marLeft w:val="0"/>
      <w:marRight w:val="0"/>
      <w:marTop w:val="0"/>
      <w:marBottom w:val="0"/>
      <w:divBdr>
        <w:top w:val="none" w:sz="0" w:space="0" w:color="auto"/>
        <w:left w:val="none" w:sz="0" w:space="0" w:color="auto"/>
        <w:bottom w:val="none" w:sz="0" w:space="0" w:color="auto"/>
        <w:right w:val="none" w:sz="0" w:space="0" w:color="auto"/>
      </w:divBdr>
    </w:div>
    <w:div w:id="1398479561">
      <w:bodyDiv w:val="1"/>
      <w:marLeft w:val="0"/>
      <w:marRight w:val="0"/>
      <w:marTop w:val="0"/>
      <w:marBottom w:val="0"/>
      <w:divBdr>
        <w:top w:val="none" w:sz="0" w:space="0" w:color="auto"/>
        <w:left w:val="none" w:sz="0" w:space="0" w:color="auto"/>
        <w:bottom w:val="none" w:sz="0" w:space="0" w:color="auto"/>
        <w:right w:val="none" w:sz="0" w:space="0" w:color="auto"/>
      </w:divBdr>
    </w:div>
    <w:div w:id="1398555615">
      <w:bodyDiv w:val="1"/>
      <w:marLeft w:val="0"/>
      <w:marRight w:val="0"/>
      <w:marTop w:val="0"/>
      <w:marBottom w:val="0"/>
      <w:divBdr>
        <w:top w:val="none" w:sz="0" w:space="0" w:color="auto"/>
        <w:left w:val="none" w:sz="0" w:space="0" w:color="auto"/>
        <w:bottom w:val="none" w:sz="0" w:space="0" w:color="auto"/>
        <w:right w:val="none" w:sz="0" w:space="0" w:color="auto"/>
      </w:divBdr>
    </w:div>
    <w:div w:id="1398671013">
      <w:bodyDiv w:val="1"/>
      <w:marLeft w:val="0"/>
      <w:marRight w:val="0"/>
      <w:marTop w:val="0"/>
      <w:marBottom w:val="0"/>
      <w:divBdr>
        <w:top w:val="none" w:sz="0" w:space="0" w:color="auto"/>
        <w:left w:val="none" w:sz="0" w:space="0" w:color="auto"/>
        <w:bottom w:val="none" w:sz="0" w:space="0" w:color="auto"/>
        <w:right w:val="none" w:sz="0" w:space="0" w:color="auto"/>
      </w:divBdr>
    </w:div>
    <w:div w:id="1398866140">
      <w:bodyDiv w:val="1"/>
      <w:marLeft w:val="0"/>
      <w:marRight w:val="0"/>
      <w:marTop w:val="0"/>
      <w:marBottom w:val="0"/>
      <w:divBdr>
        <w:top w:val="none" w:sz="0" w:space="0" w:color="auto"/>
        <w:left w:val="none" w:sz="0" w:space="0" w:color="auto"/>
        <w:bottom w:val="none" w:sz="0" w:space="0" w:color="auto"/>
        <w:right w:val="none" w:sz="0" w:space="0" w:color="auto"/>
      </w:divBdr>
    </w:div>
    <w:div w:id="1398867200">
      <w:bodyDiv w:val="1"/>
      <w:marLeft w:val="0"/>
      <w:marRight w:val="0"/>
      <w:marTop w:val="0"/>
      <w:marBottom w:val="0"/>
      <w:divBdr>
        <w:top w:val="none" w:sz="0" w:space="0" w:color="auto"/>
        <w:left w:val="none" w:sz="0" w:space="0" w:color="auto"/>
        <w:bottom w:val="none" w:sz="0" w:space="0" w:color="auto"/>
        <w:right w:val="none" w:sz="0" w:space="0" w:color="auto"/>
      </w:divBdr>
    </w:div>
    <w:div w:id="1398893042">
      <w:bodyDiv w:val="1"/>
      <w:marLeft w:val="0"/>
      <w:marRight w:val="0"/>
      <w:marTop w:val="0"/>
      <w:marBottom w:val="0"/>
      <w:divBdr>
        <w:top w:val="none" w:sz="0" w:space="0" w:color="auto"/>
        <w:left w:val="none" w:sz="0" w:space="0" w:color="auto"/>
        <w:bottom w:val="none" w:sz="0" w:space="0" w:color="auto"/>
        <w:right w:val="none" w:sz="0" w:space="0" w:color="auto"/>
      </w:divBdr>
    </w:div>
    <w:div w:id="1398939006">
      <w:bodyDiv w:val="1"/>
      <w:marLeft w:val="0"/>
      <w:marRight w:val="0"/>
      <w:marTop w:val="0"/>
      <w:marBottom w:val="0"/>
      <w:divBdr>
        <w:top w:val="none" w:sz="0" w:space="0" w:color="auto"/>
        <w:left w:val="none" w:sz="0" w:space="0" w:color="auto"/>
        <w:bottom w:val="none" w:sz="0" w:space="0" w:color="auto"/>
        <w:right w:val="none" w:sz="0" w:space="0" w:color="auto"/>
      </w:divBdr>
    </w:div>
    <w:div w:id="1398940143">
      <w:bodyDiv w:val="1"/>
      <w:marLeft w:val="0"/>
      <w:marRight w:val="0"/>
      <w:marTop w:val="0"/>
      <w:marBottom w:val="0"/>
      <w:divBdr>
        <w:top w:val="none" w:sz="0" w:space="0" w:color="auto"/>
        <w:left w:val="none" w:sz="0" w:space="0" w:color="auto"/>
        <w:bottom w:val="none" w:sz="0" w:space="0" w:color="auto"/>
        <w:right w:val="none" w:sz="0" w:space="0" w:color="auto"/>
      </w:divBdr>
    </w:div>
    <w:div w:id="1399135447">
      <w:bodyDiv w:val="1"/>
      <w:marLeft w:val="0"/>
      <w:marRight w:val="0"/>
      <w:marTop w:val="0"/>
      <w:marBottom w:val="0"/>
      <w:divBdr>
        <w:top w:val="none" w:sz="0" w:space="0" w:color="auto"/>
        <w:left w:val="none" w:sz="0" w:space="0" w:color="auto"/>
        <w:bottom w:val="none" w:sz="0" w:space="0" w:color="auto"/>
        <w:right w:val="none" w:sz="0" w:space="0" w:color="auto"/>
      </w:divBdr>
    </w:div>
    <w:div w:id="1399160399">
      <w:bodyDiv w:val="1"/>
      <w:marLeft w:val="0"/>
      <w:marRight w:val="0"/>
      <w:marTop w:val="0"/>
      <w:marBottom w:val="0"/>
      <w:divBdr>
        <w:top w:val="none" w:sz="0" w:space="0" w:color="auto"/>
        <w:left w:val="none" w:sz="0" w:space="0" w:color="auto"/>
        <w:bottom w:val="none" w:sz="0" w:space="0" w:color="auto"/>
        <w:right w:val="none" w:sz="0" w:space="0" w:color="auto"/>
      </w:divBdr>
    </w:div>
    <w:div w:id="1399209649">
      <w:bodyDiv w:val="1"/>
      <w:marLeft w:val="0"/>
      <w:marRight w:val="0"/>
      <w:marTop w:val="0"/>
      <w:marBottom w:val="0"/>
      <w:divBdr>
        <w:top w:val="none" w:sz="0" w:space="0" w:color="auto"/>
        <w:left w:val="none" w:sz="0" w:space="0" w:color="auto"/>
        <w:bottom w:val="none" w:sz="0" w:space="0" w:color="auto"/>
        <w:right w:val="none" w:sz="0" w:space="0" w:color="auto"/>
      </w:divBdr>
    </w:div>
    <w:div w:id="1399279403">
      <w:bodyDiv w:val="1"/>
      <w:marLeft w:val="0"/>
      <w:marRight w:val="0"/>
      <w:marTop w:val="0"/>
      <w:marBottom w:val="0"/>
      <w:divBdr>
        <w:top w:val="none" w:sz="0" w:space="0" w:color="auto"/>
        <w:left w:val="none" w:sz="0" w:space="0" w:color="auto"/>
        <w:bottom w:val="none" w:sz="0" w:space="0" w:color="auto"/>
        <w:right w:val="none" w:sz="0" w:space="0" w:color="auto"/>
      </w:divBdr>
    </w:div>
    <w:div w:id="1399326624">
      <w:bodyDiv w:val="1"/>
      <w:marLeft w:val="0"/>
      <w:marRight w:val="0"/>
      <w:marTop w:val="0"/>
      <w:marBottom w:val="0"/>
      <w:divBdr>
        <w:top w:val="none" w:sz="0" w:space="0" w:color="auto"/>
        <w:left w:val="none" w:sz="0" w:space="0" w:color="auto"/>
        <w:bottom w:val="none" w:sz="0" w:space="0" w:color="auto"/>
        <w:right w:val="none" w:sz="0" w:space="0" w:color="auto"/>
      </w:divBdr>
    </w:div>
    <w:div w:id="1399548570">
      <w:bodyDiv w:val="1"/>
      <w:marLeft w:val="0"/>
      <w:marRight w:val="0"/>
      <w:marTop w:val="0"/>
      <w:marBottom w:val="0"/>
      <w:divBdr>
        <w:top w:val="none" w:sz="0" w:space="0" w:color="auto"/>
        <w:left w:val="none" w:sz="0" w:space="0" w:color="auto"/>
        <w:bottom w:val="none" w:sz="0" w:space="0" w:color="auto"/>
        <w:right w:val="none" w:sz="0" w:space="0" w:color="auto"/>
      </w:divBdr>
    </w:div>
    <w:div w:id="1399595712">
      <w:bodyDiv w:val="1"/>
      <w:marLeft w:val="0"/>
      <w:marRight w:val="0"/>
      <w:marTop w:val="0"/>
      <w:marBottom w:val="0"/>
      <w:divBdr>
        <w:top w:val="none" w:sz="0" w:space="0" w:color="auto"/>
        <w:left w:val="none" w:sz="0" w:space="0" w:color="auto"/>
        <w:bottom w:val="none" w:sz="0" w:space="0" w:color="auto"/>
        <w:right w:val="none" w:sz="0" w:space="0" w:color="auto"/>
      </w:divBdr>
    </w:div>
    <w:div w:id="1399790774">
      <w:bodyDiv w:val="1"/>
      <w:marLeft w:val="0"/>
      <w:marRight w:val="0"/>
      <w:marTop w:val="0"/>
      <w:marBottom w:val="0"/>
      <w:divBdr>
        <w:top w:val="none" w:sz="0" w:space="0" w:color="auto"/>
        <w:left w:val="none" w:sz="0" w:space="0" w:color="auto"/>
        <w:bottom w:val="none" w:sz="0" w:space="0" w:color="auto"/>
        <w:right w:val="none" w:sz="0" w:space="0" w:color="auto"/>
      </w:divBdr>
    </w:div>
    <w:div w:id="1399935569">
      <w:bodyDiv w:val="1"/>
      <w:marLeft w:val="0"/>
      <w:marRight w:val="0"/>
      <w:marTop w:val="0"/>
      <w:marBottom w:val="0"/>
      <w:divBdr>
        <w:top w:val="none" w:sz="0" w:space="0" w:color="auto"/>
        <w:left w:val="none" w:sz="0" w:space="0" w:color="auto"/>
        <w:bottom w:val="none" w:sz="0" w:space="0" w:color="auto"/>
        <w:right w:val="none" w:sz="0" w:space="0" w:color="auto"/>
      </w:divBdr>
    </w:div>
    <w:div w:id="1400012090">
      <w:bodyDiv w:val="1"/>
      <w:marLeft w:val="0"/>
      <w:marRight w:val="0"/>
      <w:marTop w:val="0"/>
      <w:marBottom w:val="0"/>
      <w:divBdr>
        <w:top w:val="none" w:sz="0" w:space="0" w:color="auto"/>
        <w:left w:val="none" w:sz="0" w:space="0" w:color="auto"/>
        <w:bottom w:val="none" w:sz="0" w:space="0" w:color="auto"/>
        <w:right w:val="none" w:sz="0" w:space="0" w:color="auto"/>
      </w:divBdr>
    </w:div>
    <w:div w:id="1400057065">
      <w:bodyDiv w:val="1"/>
      <w:marLeft w:val="0"/>
      <w:marRight w:val="0"/>
      <w:marTop w:val="0"/>
      <w:marBottom w:val="0"/>
      <w:divBdr>
        <w:top w:val="none" w:sz="0" w:space="0" w:color="auto"/>
        <w:left w:val="none" w:sz="0" w:space="0" w:color="auto"/>
        <w:bottom w:val="none" w:sz="0" w:space="0" w:color="auto"/>
        <w:right w:val="none" w:sz="0" w:space="0" w:color="auto"/>
      </w:divBdr>
    </w:div>
    <w:div w:id="1400059850">
      <w:bodyDiv w:val="1"/>
      <w:marLeft w:val="0"/>
      <w:marRight w:val="0"/>
      <w:marTop w:val="0"/>
      <w:marBottom w:val="0"/>
      <w:divBdr>
        <w:top w:val="none" w:sz="0" w:space="0" w:color="auto"/>
        <w:left w:val="none" w:sz="0" w:space="0" w:color="auto"/>
        <w:bottom w:val="none" w:sz="0" w:space="0" w:color="auto"/>
        <w:right w:val="none" w:sz="0" w:space="0" w:color="auto"/>
      </w:divBdr>
    </w:div>
    <w:div w:id="1400130727">
      <w:bodyDiv w:val="1"/>
      <w:marLeft w:val="0"/>
      <w:marRight w:val="0"/>
      <w:marTop w:val="0"/>
      <w:marBottom w:val="0"/>
      <w:divBdr>
        <w:top w:val="none" w:sz="0" w:space="0" w:color="auto"/>
        <w:left w:val="none" w:sz="0" w:space="0" w:color="auto"/>
        <w:bottom w:val="none" w:sz="0" w:space="0" w:color="auto"/>
        <w:right w:val="none" w:sz="0" w:space="0" w:color="auto"/>
      </w:divBdr>
    </w:div>
    <w:div w:id="1400206153">
      <w:bodyDiv w:val="1"/>
      <w:marLeft w:val="0"/>
      <w:marRight w:val="0"/>
      <w:marTop w:val="0"/>
      <w:marBottom w:val="0"/>
      <w:divBdr>
        <w:top w:val="none" w:sz="0" w:space="0" w:color="auto"/>
        <w:left w:val="none" w:sz="0" w:space="0" w:color="auto"/>
        <w:bottom w:val="none" w:sz="0" w:space="0" w:color="auto"/>
        <w:right w:val="none" w:sz="0" w:space="0" w:color="auto"/>
      </w:divBdr>
    </w:div>
    <w:div w:id="1400249581">
      <w:bodyDiv w:val="1"/>
      <w:marLeft w:val="0"/>
      <w:marRight w:val="0"/>
      <w:marTop w:val="0"/>
      <w:marBottom w:val="0"/>
      <w:divBdr>
        <w:top w:val="none" w:sz="0" w:space="0" w:color="auto"/>
        <w:left w:val="none" w:sz="0" w:space="0" w:color="auto"/>
        <w:bottom w:val="none" w:sz="0" w:space="0" w:color="auto"/>
        <w:right w:val="none" w:sz="0" w:space="0" w:color="auto"/>
      </w:divBdr>
    </w:div>
    <w:div w:id="1400396332">
      <w:bodyDiv w:val="1"/>
      <w:marLeft w:val="0"/>
      <w:marRight w:val="0"/>
      <w:marTop w:val="0"/>
      <w:marBottom w:val="0"/>
      <w:divBdr>
        <w:top w:val="none" w:sz="0" w:space="0" w:color="auto"/>
        <w:left w:val="none" w:sz="0" w:space="0" w:color="auto"/>
        <w:bottom w:val="none" w:sz="0" w:space="0" w:color="auto"/>
        <w:right w:val="none" w:sz="0" w:space="0" w:color="auto"/>
      </w:divBdr>
    </w:div>
    <w:div w:id="1400444517">
      <w:bodyDiv w:val="1"/>
      <w:marLeft w:val="0"/>
      <w:marRight w:val="0"/>
      <w:marTop w:val="0"/>
      <w:marBottom w:val="0"/>
      <w:divBdr>
        <w:top w:val="none" w:sz="0" w:space="0" w:color="auto"/>
        <w:left w:val="none" w:sz="0" w:space="0" w:color="auto"/>
        <w:bottom w:val="none" w:sz="0" w:space="0" w:color="auto"/>
        <w:right w:val="none" w:sz="0" w:space="0" w:color="auto"/>
      </w:divBdr>
    </w:div>
    <w:div w:id="1400595066">
      <w:bodyDiv w:val="1"/>
      <w:marLeft w:val="0"/>
      <w:marRight w:val="0"/>
      <w:marTop w:val="0"/>
      <w:marBottom w:val="0"/>
      <w:divBdr>
        <w:top w:val="none" w:sz="0" w:space="0" w:color="auto"/>
        <w:left w:val="none" w:sz="0" w:space="0" w:color="auto"/>
        <w:bottom w:val="none" w:sz="0" w:space="0" w:color="auto"/>
        <w:right w:val="none" w:sz="0" w:space="0" w:color="auto"/>
      </w:divBdr>
    </w:div>
    <w:div w:id="1400596363">
      <w:bodyDiv w:val="1"/>
      <w:marLeft w:val="0"/>
      <w:marRight w:val="0"/>
      <w:marTop w:val="0"/>
      <w:marBottom w:val="0"/>
      <w:divBdr>
        <w:top w:val="none" w:sz="0" w:space="0" w:color="auto"/>
        <w:left w:val="none" w:sz="0" w:space="0" w:color="auto"/>
        <w:bottom w:val="none" w:sz="0" w:space="0" w:color="auto"/>
        <w:right w:val="none" w:sz="0" w:space="0" w:color="auto"/>
      </w:divBdr>
    </w:div>
    <w:div w:id="1400709197">
      <w:bodyDiv w:val="1"/>
      <w:marLeft w:val="0"/>
      <w:marRight w:val="0"/>
      <w:marTop w:val="0"/>
      <w:marBottom w:val="0"/>
      <w:divBdr>
        <w:top w:val="none" w:sz="0" w:space="0" w:color="auto"/>
        <w:left w:val="none" w:sz="0" w:space="0" w:color="auto"/>
        <w:bottom w:val="none" w:sz="0" w:space="0" w:color="auto"/>
        <w:right w:val="none" w:sz="0" w:space="0" w:color="auto"/>
      </w:divBdr>
    </w:div>
    <w:div w:id="1400782109">
      <w:bodyDiv w:val="1"/>
      <w:marLeft w:val="0"/>
      <w:marRight w:val="0"/>
      <w:marTop w:val="0"/>
      <w:marBottom w:val="0"/>
      <w:divBdr>
        <w:top w:val="none" w:sz="0" w:space="0" w:color="auto"/>
        <w:left w:val="none" w:sz="0" w:space="0" w:color="auto"/>
        <w:bottom w:val="none" w:sz="0" w:space="0" w:color="auto"/>
        <w:right w:val="none" w:sz="0" w:space="0" w:color="auto"/>
      </w:divBdr>
    </w:div>
    <w:div w:id="1400783159">
      <w:bodyDiv w:val="1"/>
      <w:marLeft w:val="0"/>
      <w:marRight w:val="0"/>
      <w:marTop w:val="0"/>
      <w:marBottom w:val="0"/>
      <w:divBdr>
        <w:top w:val="none" w:sz="0" w:space="0" w:color="auto"/>
        <w:left w:val="none" w:sz="0" w:space="0" w:color="auto"/>
        <w:bottom w:val="none" w:sz="0" w:space="0" w:color="auto"/>
        <w:right w:val="none" w:sz="0" w:space="0" w:color="auto"/>
      </w:divBdr>
    </w:div>
    <w:div w:id="1400791520">
      <w:bodyDiv w:val="1"/>
      <w:marLeft w:val="0"/>
      <w:marRight w:val="0"/>
      <w:marTop w:val="0"/>
      <w:marBottom w:val="0"/>
      <w:divBdr>
        <w:top w:val="none" w:sz="0" w:space="0" w:color="auto"/>
        <w:left w:val="none" w:sz="0" w:space="0" w:color="auto"/>
        <w:bottom w:val="none" w:sz="0" w:space="0" w:color="auto"/>
        <w:right w:val="none" w:sz="0" w:space="0" w:color="auto"/>
      </w:divBdr>
    </w:div>
    <w:div w:id="1400832835">
      <w:bodyDiv w:val="1"/>
      <w:marLeft w:val="0"/>
      <w:marRight w:val="0"/>
      <w:marTop w:val="0"/>
      <w:marBottom w:val="0"/>
      <w:divBdr>
        <w:top w:val="none" w:sz="0" w:space="0" w:color="auto"/>
        <w:left w:val="none" w:sz="0" w:space="0" w:color="auto"/>
        <w:bottom w:val="none" w:sz="0" w:space="0" w:color="auto"/>
        <w:right w:val="none" w:sz="0" w:space="0" w:color="auto"/>
      </w:divBdr>
    </w:div>
    <w:div w:id="1400857418">
      <w:bodyDiv w:val="1"/>
      <w:marLeft w:val="0"/>
      <w:marRight w:val="0"/>
      <w:marTop w:val="0"/>
      <w:marBottom w:val="0"/>
      <w:divBdr>
        <w:top w:val="none" w:sz="0" w:space="0" w:color="auto"/>
        <w:left w:val="none" w:sz="0" w:space="0" w:color="auto"/>
        <w:bottom w:val="none" w:sz="0" w:space="0" w:color="auto"/>
        <w:right w:val="none" w:sz="0" w:space="0" w:color="auto"/>
      </w:divBdr>
    </w:div>
    <w:div w:id="1400861262">
      <w:bodyDiv w:val="1"/>
      <w:marLeft w:val="0"/>
      <w:marRight w:val="0"/>
      <w:marTop w:val="0"/>
      <w:marBottom w:val="0"/>
      <w:divBdr>
        <w:top w:val="none" w:sz="0" w:space="0" w:color="auto"/>
        <w:left w:val="none" w:sz="0" w:space="0" w:color="auto"/>
        <w:bottom w:val="none" w:sz="0" w:space="0" w:color="auto"/>
        <w:right w:val="none" w:sz="0" w:space="0" w:color="auto"/>
      </w:divBdr>
    </w:div>
    <w:div w:id="1400861605">
      <w:bodyDiv w:val="1"/>
      <w:marLeft w:val="0"/>
      <w:marRight w:val="0"/>
      <w:marTop w:val="0"/>
      <w:marBottom w:val="0"/>
      <w:divBdr>
        <w:top w:val="none" w:sz="0" w:space="0" w:color="auto"/>
        <w:left w:val="none" w:sz="0" w:space="0" w:color="auto"/>
        <w:bottom w:val="none" w:sz="0" w:space="0" w:color="auto"/>
        <w:right w:val="none" w:sz="0" w:space="0" w:color="auto"/>
      </w:divBdr>
    </w:div>
    <w:div w:id="1400901526">
      <w:bodyDiv w:val="1"/>
      <w:marLeft w:val="0"/>
      <w:marRight w:val="0"/>
      <w:marTop w:val="0"/>
      <w:marBottom w:val="0"/>
      <w:divBdr>
        <w:top w:val="none" w:sz="0" w:space="0" w:color="auto"/>
        <w:left w:val="none" w:sz="0" w:space="0" w:color="auto"/>
        <w:bottom w:val="none" w:sz="0" w:space="0" w:color="auto"/>
        <w:right w:val="none" w:sz="0" w:space="0" w:color="auto"/>
      </w:divBdr>
    </w:div>
    <w:div w:id="1400982729">
      <w:bodyDiv w:val="1"/>
      <w:marLeft w:val="0"/>
      <w:marRight w:val="0"/>
      <w:marTop w:val="0"/>
      <w:marBottom w:val="0"/>
      <w:divBdr>
        <w:top w:val="none" w:sz="0" w:space="0" w:color="auto"/>
        <w:left w:val="none" w:sz="0" w:space="0" w:color="auto"/>
        <w:bottom w:val="none" w:sz="0" w:space="0" w:color="auto"/>
        <w:right w:val="none" w:sz="0" w:space="0" w:color="auto"/>
      </w:divBdr>
    </w:div>
    <w:div w:id="1400982922">
      <w:bodyDiv w:val="1"/>
      <w:marLeft w:val="0"/>
      <w:marRight w:val="0"/>
      <w:marTop w:val="0"/>
      <w:marBottom w:val="0"/>
      <w:divBdr>
        <w:top w:val="none" w:sz="0" w:space="0" w:color="auto"/>
        <w:left w:val="none" w:sz="0" w:space="0" w:color="auto"/>
        <w:bottom w:val="none" w:sz="0" w:space="0" w:color="auto"/>
        <w:right w:val="none" w:sz="0" w:space="0" w:color="auto"/>
      </w:divBdr>
    </w:div>
    <w:div w:id="1401095499">
      <w:bodyDiv w:val="1"/>
      <w:marLeft w:val="0"/>
      <w:marRight w:val="0"/>
      <w:marTop w:val="0"/>
      <w:marBottom w:val="0"/>
      <w:divBdr>
        <w:top w:val="none" w:sz="0" w:space="0" w:color="auto"/>
        <w:left w:val="none" w:sz="0" w:space="0" w:color="auto"/>
        <w:bottom w:val="none" w:sz="0" w:space="0" w:color="auto"/>
        <w:right w:val="none" w:sz="0" w:space="0" w:color="auto"/>
      </w:divBdr>
    </w:div>
    <w:div w:id="1401099779">
      <w:bodyDiv w:val="1"/>
      <w:marLeft w:val="0"/>
      <w:marRight w:val="0"/>
      <w:marTop w:val="0"/>
      <w:marBottom w:val="0"/>
      <w:divBdr>
        <w:top w:val="none" w:sz="0" w:space="0" w:color="auto"/>
        <w:left w:val="none" w:sz="0" w:space="0" w:color="auto"/>
        <w:bottom w:val="none" w:sz="0" w:space="0" w:color="auto"/>
        <w:right w:val="none" w:sz="0" w:space="0" w:color="auto"/>
      </w:divBdr>
    </w:div>
    <w:div w:id="1401168719">
      <w:bodyDiv w:val="1"/>
      <w:marLeft w:val="0"/>
      <w:marRight w:val="0"/>
      <w:marTop w:val="0"/>
      <w:marBottom w:val="0"/>
      <w:divBdr>
        <w:top w:val="none" w:sz="0" w:space="0" w:color="auto"/>
        <w:left w:val="none" w:sz="0" w:space="0" w:color="auto"/>
        <w:bottom w:val="none" w:sz="0" w:space="0" w:color="auto"/>
        <w:right w:val="none" w:sz="0" w:space="0" w:color="auto"/>
      </w:divBdr>
    </w:div>
    <w:div w:id="1401246857">
      <w:bodyDiv w:val="1"/>
      <w:marLeft w:val="0"/>
      <w:marRight w:val="0"/>
      <w:marTop w:val="0"/>
      <w:marBottom w:val="0"/>
      <w:divBdr>
        <w:top w:val="none" w:sz="0" w:space="0" w:color="auto"/>
        <w:left w:val="none" w:sz="0" w:space="0" w:color="auto"/>
        <w:bottom w:val="none" w:sz="0" w:space="0" w:color="auto"/>
        <w:right w:val="none" w:sz="0" w:space="0" w:color="auto"/>
      </w:divBdr>
    </w:div>
    <w:div w:id="1401250046">
      <w:bodyDiv w:val="1"/>
      <w:marLeft w:val="0"/>
      <w:marRight w:val="0"/>
      <w:marTop w:val="0"/>
      <w:marBottom w:val="0"/>
      <w:divBdr>
        <w:top w:val="none" w:sz="0" w:space="0" w:color="auto"/>
        <w:left w:val="none" w:sz="0" w:space="0" w:color="auto"/>
        <w:bottom w:val="none" w:sz="0" w:space="0" w:color="auto"/>
        <w:right w:val="none" w:sz="0" w:space="0" w:color="auto"/>
      </w:divBdr>
    </w:div>
    <w:div w:id="1401442387">
      <w:bodyDiv w:val="1"/>
      <w:marLeft w:val="0"/>
      <w:marRight w:val="0"/>
      <w:marTop w:val="0"/>
      <w:marBottom w:val="0"/>
      <w:divBdr>
        <w:top w:val="none" w:sz="0" w:space="0" w:color="auto"/>
        <w:left w:val="none" w:sz="0" w:space="0" w:color="auto"/>
        <w:bottom w:val="none" w:sz="0" w:space="0" w:color="auto"/>
        <w:right w:val="none" w:sz="0" w:space="0" w:color="auto"/>
      </w:divBdr>
    </w:div>
    <w:div w:id="1401514324">
      <w:bodyDiv w:val="1"/>
      <w:marLeft w:val="0"/>
      <w:marRight w:val="0"/>
      <w:marTop w:val="0"/>
      <w:marBottom w:val="0"/>
      <w:divBdr>
        <w:top w:val="none" w:sz="0" w:space="0" w:color="auto"/>
        <w:left w:val="none" w:sz="0" w:space="0" w:color="auto"/>
        <w:bottom w:val="none" w:sz="0" w:space="0" w:color="auto"/>
        <w:right w:val="none" w:sz="0" w:space="0" w:color="auto"/>
      </w:divBdr>
    </w:div>
    <w:div w:id="1401633492">
      <w:bodyDiv w:val="1"/>
      <w:marLeft w:val="0"/>
      <w:marRight w:val="0"/>
      <w:marTop w:val="0"/>
      <w:marBottom w:val="0"/>
      <w:divBdr>
        <w:top w:val="none" w:sz="0" w:space="0" w:color="auto"/>
        <w:left w:val="none" w:sz="0" w:space="0" w:color="auto"/>
        <w:bottom w:val="none" w:sz="0" w:space="0" w:color="auto"/>
        <w:right w:val="none" w:sz="0" w:space="0" w:color="auto"/>
      </w:divBdr>
    </w:div>
    <w:div w:id="1401636235">
      <w:bodyDiv w:val="1"/>
      <w:marLeft w:val="0"/>
      <w:marRight w:val="0"/>
      <w:marTop w:val="0"/>
      <w:marBottom w:val="0"/>
      <w:divBdr>
        <w:top w:val="none" w:sz="0" w:space="0" w:color="auto"/>
        <w:left w:val="none" w:sz="0" w:space="0" w:color="auto"/>
        <w:bottom w:val="none" w:sz="0" w:space="0" w:color="auto"/>
        <w:right w:val="none" w:sz="0" w:space="0" w:color="auto"/>
      </w:divBdr>
    </w:div>
    <w:div w:id="1401639444">
      <w:bodyDiv w:val="1"/>
      <w:marLeft w:val="0"/>
      <w:marRight w:val="0"/>
      <w:marTop w:val="0"/>
      <w:marBottom w:val="0"/>
      <w:divBdr>
        <w:top w:val="none" w:sz="0" w:space="0" w:color="auto"/>
        <w:left w:val="none" w:sz="0" w:space="0" w:color="auto"/>
        <w:bottom w:val="none" w:sz="0" w:space="0" w:color="auto"/>
        <w:right w:val="none" w:sz="0" w:space="0" w:color="auto"/>
      </w:divBdr>
    </w:div>
    <w:div w:id="1401756643">
      <w:bodyDiv w:val="1"/>
      <w:marLeft w:val="0"/>
      <w:marRight w:val="0"/>
      <w:marTop w:val="0"/>
      <w:marBottom w:val="0"/>
      <w:divBdr>
        <w:top w:val="none" w:sz="0" w:space="0" w:color="auto"/>
        <w:left w:val="none" w:sz="0" w:space="0" w:color="auto"/>
        <w:bottom w:val="none" w:sz="0" w:space="0" w:color="auto"/>
        <w:right w:val="none" w:sz="0" w:space="0" w:color="auto"/>
      </w:divBdr>
    </w:div>
    <w:div w:id="1401949343">
      <w:bodyDiv w:val="1"/>
      <w:marLeft w:val="0"/>
      <w:marRight w:val="0"/>
      <w:marTop w:val="0"/>
      <w:marBottom w:val="0"/>
      <w:divBdr>
        <w:top w:val="none" w:sz="0" w:space="0" w:color="auto"/>
        <w:left w:val="none" w:sz="0" w:space="0" w:color="auto"/>
        <w:bottom w:val="none" w:sz="0" w:space="0" w:color="auto"/>
        <w:right w:val="none" w:sz="0" w:space="0" w:color="auto"/>
      </w:divBdr>
    </w:div>
    <w:div w:id="1401949838">
      <w:bodyDiv w:val="1"/>
      <w:marLeft w:val="0"/>
      <w:marRight w:val="0"/>
      <w:marTop w:val="0"/>
      <w:marBottom w:val="0"/>
      <w:divBdr>
        <w:top w:val="none" w:sz="0" w:space="0" w:color="auto"/>
        <w:left w:val="none" w:sz="0" w:space="0" w:color="auto"/>
        <w:bottom w:val="none" w:sz="0" w:space="0" w:color="auto"/>
        <w:right w:val="none" w:sz="0" w:space="0" w:color="auto"/>
      </w:divBdr>
    </w:div>
    <w:div w:id="1401950586">
      <w:bodyDiv w:val="1"/>
      <w:marLeft w:val="0"/>
      <w:marRight w:val="0"/>
      <w:marTop w:val="0"/>
      <w:marBottom w:val="0"/>
      <w:divBdr>
        <w:top w:val="none" w:sz="0" w:space="0" w:color="auto"/>
        <w:left w:val="none" w:sz="0" w:space="0" w:color="auto"/>
        <w:bottom w:val="none" w:sz="0" w:space="0" w:color="auto"/>
        <w:right w:val="none" w:sz="0" w:space="0" w:color="auto"/>
      </w:divBdr>
    </w:div>
    <w:div w:id="1402100081">
      <w:bodyDiv w:val="1"/>
      <w:marLeft w:val="0"/>
      <w:marRight w:val="0"/>
      <w:marTop w:val="0"/>
      <w:marBottom w:val="0"/>
      <w:divBdr>
        <w:top w:val="none" w:sz="0" w:space="0" w:color="auto"/>
        <w:left w:val="none" w:sz="0" w:space="0" w:color="auto"/>
        <w:bottom w:val="none" w:sz="0" w:space="0" w:color="auto"/>
        <w:right w:val="none" w:sz="0" w:space="0" w:color="auto"/>
      </w:divBdr>
    </w:div>
    <w:div w:id="1402211632">
      <w:bodyDiv w:val="1"/>
      <w:marLeft w:val="0"/>
      <w:marRight w:val="0"/>
      <w:marTop w:val="0"/>
      <w:marBottom w:val="0"/>
      <w:divBdr>
        <w:top w:val="none" w:sz="0" w:space="0" w:color="auto"/>
        <w:left w:val="none" w:sz="0" w:space="0" w:color="auto"/>
        <w:bottom w:val="none" w:sz="0" w:space="0" w:color="auto"/>
        <w:right w:val="none" w:sz="0" w:space="0" w:color="auto"/>
      </w:divBdr>
    </w:div>
    <w:div w:id="1402219109">
      <w:bodyDiv w:val="1"/>
      <w:marLeft w:val="0"/>
      <w:marRight w:val="0"/>
      <w:marTop w:val="0"/>
      <w:marBottom w:val="0"/>
      <w:divBdr>
        <w:top w:val="none" w:sz="0" w:space="0" w:color="auto"/>
        <w:left w:val="none" w:sz="0" w:space="0" w:color="auto"/>
        <w:bottom w:val="none" w:sz="0" w:space="0" w:color="auto"/>
        <w:right w:val="none" w:sz="0" w:space="0" w:color="auto"/>
      </w:divBdr>
    </w:div>
    <w:div w:id="1402366868">
      <w:bodyDiv w:val="1"/>
      <w:marLeft w:val="0"/>
      <w:marRight w:val="0"/>
      <w:marTop w:val="0"/>
      <w:marBottom w:val="0"/>
      <w:divBdr>
        <w:top w:val="none" w:sz="0" w:space="0" w:color="auto"/>
        <w:left w:val="none" w:sz="0" w:space="0" w:color="auto"/>
        <w:bottom w:val="none" w:sz="0" w:space="0" w:color="auto"/>
        <w:right w:val="none" w:sz="0" w:space="0" w:color="auto"/>
      </w:divBdr>
    </w:div>
    <w:div w:id="1402485813">
      <w:bodyDiv w:val="1"/>
      <w:marLeft w:val="0"/>
      <w:marRight w:val="0"/>
      <w:marTop w:val="0"/>
      <w:marBottom w:val="0"/>
      <w:divBdr>
        <w:top w:val="none" w:sz="0" w:space="0" w:color="auto"/>
        <w:left w:val="none" w:sz="0" w:space="0" w:color="auto"/>
        <w:bottom w:val="none" w:sz="0" w:space="0" w:color="auto"/>
        <w:right w:val="none" w:sz="0" w:space="0" w:color="auto"/>
      </w:divBdr>
    </w:div>
    <w:div w:id="1402602707">
      <w:bodyDiv w:val="1"/>
      <w:marLeft w:val="0"/>
      <w:marRight w:val="0"/>
      <w:marTop w:val="0"/>
      <w:marBottom w:val="0"/>
      <w:divBdr>
        <w:top w:val="none" w:sz="0" w:space="0" w:color="auto"/>
        <w:left w:val="none" w:sz="0" w:space="0" w:color="auto"/>
        <w:bottom w:val="none" w:sz="0" w:space="0" w:color="auto"/>
        <w:right w:val="none" w:sz="0" w:space="0" w:color="auto"/>
      </w:divBdr>
    </w:div>
    <w:div w:id="1402604348">
      <w:bodyDiv w:val="1"/>
      <w:marLeft w:val="0"/>
      <w:marRight w:val="0"/>
      <w:marTop w:val="0"/>
      <w:marBottom w:val="0"/>
      <w:divBdr>
        <w:top w:val="none" w:sz="0" w:space="0" w:color="auto"/>
        <w:left w:val="none" w:sz="0" w:space="0" w:color="auto"/>
        <w:bottom w:val="none" w:sz="0" w:space="0" w:color="auto"/>
        <w:right w:val="none" w:sz="0" w:space="0" w:color="auto"/>
      </w:divBdr>
    </w:div>
    <w:div w:id="1402750682">
      <w:bodyDiv w:val="1"/>
      <w:marLeft w:val="0"/>
      <w:marRight w:val="0"/>
      <w:marTop w:val="0"/>
      <w:marBottom w:val="0"/>
      <w:divBdr>
        <w:top w:val="none" w:sz="0" w:space="0" w:color="auto"/>
        <w:left w:val="none" w:sz="0" w:space="0" w:color="auto"/>
        <w:bottom w:val="none" w:sz="0" w:space="0" w:color="auto"/>
        <w:right w:val="none" w:sz="0" w:space="0" w:color="auto"/>
      </w:divBdr>
    </w:div>
    <w:div w:id="1402948034">
      <w:bodyDiv w:val="1"/>
      <w:marLeft w:val="0"/>
      <w:marRight w:val="0"/>
      <w:marTop w:val="0"/>
      <w:marBottom w:val="0"/>
      <w:divBdr>
        <w:top w:val="none" w:sz="0" w:space="0" w:color="auto"/>
        <w:left w:val="none" w:sz="0" w:space="0" w:color="auto"/>
        <w:bottom w:val="none" w:sz="0" w:space="0" w:color="auto"/>
        <w:right w:val="none" w:sz="0" w:space="0" w:color="auto"/>
      </w:divBdr>
    </w:div>
    <w:div w:id="1403018610">
      <w:bodyDiv w:val="1"/>
      <w:marLeft w:val="0"/>
      <w:marRight w:val="0"/>
      <w:marTop w:val="0"/>
      <w:marBottom w:val="0"/>
      <w:divBdr>
        <w:top w:val="none" w:sz="0" w:space="0" w:color="auto"/>
        <w:left w:val="none" w:sz="0" w:space="0" w:color="auto"/>
        <w:bottom w:val="none" w:sz="0" w:space="0" w:color="auto"/>
        <w:right w:val="none" w:sz="0" w:space="0" w:color="auto"/>
      </w:divBdr>
    </w:div>
    <w:div w:id="1403020662">
      <w:bodyDiv w:val="1"/>
      <w:marLeft w:val="0"/>
      <w:marRight w:val="0"/>
      <w:marTop w:val="0"/>
      <w:marBottom w:val="0"/>
      <w:divBdr>
        <w:top w:val="none" w:sz="0" w:space="0" w:color="auto"/>
        <w:left w:val="none" w:sz="0" w:space="0" w:color="auto"/>
        <w:bottom w:val="none" w:sz="0" w:space="0" w:color="auto"/>
        <w:right w:val="none" w:sz="0" w:space="0" w:color="auto"/>
      </w:divBdr>
    </w:div>
    <w:div w:id="1403025847">
      <w:bodyDiv w:val="1"/>
      <w:marLeft w:val="0"/>
      <w:marRight w:val="0"/>
      <w:marTop w:val="0"/>
      <w:marBottom w:val="0"/>
      <w:divBdr>
        <w:top w:val="none" w:sz="0" w:space="0" w:color="auto"/>
        <w:left w:val="none" w:sz="0" w:space="0" w:color="auto"/>
        <w:bottom w:val="none" w:sz="0" w:space="0" w:color="auto"/>
        <w:right w:val="none" w:sz="0" w:space="0" w:color="auto"/>
      </w:divBdr>
    </w:div>
    <w:div w:id="1403134943">
      <w:bodyDiv w:val="1"/>
      <w:marLeft w:val="0"/>
      <w:marRight w:val="0"/>
      <w:marTop w:val="0"/>
      <w:marBottom w:val="0"/>
      <w:divBdr>
        <w:top w:val="none" w:sz="0" w:space="0" w:color="auto"/>
        <w:left w:val="none" w:sz="0" w:space="0" w:color="auto"/>
        <w:bottom w:val="none" w:sz="0" w:space="0" w:color="auto"/>
        <w:right w:val="none" w:sz="0" w:space="0" w:color="auto"/>
      </w:divBdr>
    </w:div>
    <w:div w:id="1403260419">
      <w:bodyDiv w:val="1"/>
      <w:marLeft w:val="0"/>
      <w:marRight w:val="0"/>
      <w:marTop w:val="0"/>
      <w:marBottom w:val="0"/>
      <w:divBdr>
        <w:top w:val="none" w:sz="0" w:space="0" w:color="auto"/>
        <w:left w:val="none" w:sz="0" w:space="0" w:color="auto"/>
        <w:bottom w:val="none" w:sz="0" w:space="0" w:color="auto"/>
        <w:right w:val="none" w:sz="0" w:space="0" w:color="auto"/>
      </w:divBdr>
    </w:div>
    <w:div w:id="1403407507">
      <w:bodyDiv w:val="1"/>
      <w:marLeft w:val="0"/>
      <w:marRight w:val="0"/>
      <w:marTop w:val="0"/>
      <w:marBottom w:val="0"/>
      <w:divBdr>
        <w:top w:val="none" w:sz="0" w:space="0" w:color="auto"/>
        <w:left w:val="none" w:sz="0" w:space="0" w:color="auto"/>
        <w:bottom w:val="none" w:sz="0" w:space="0" w:color="auto"/>
        <w:right w:val="none" w:sz="0" w:space="0" w:color="auto"/>
      </w:divBdr>
    </w:div>
    <w:div w:id="1403478943">
      <w:bodyDiv w:val="1"/>
      <w:marLeft w:val="0"/>
      <w:marRight w:val="0"/>
      <w:marTop w:val="0"/>
      <w:marBottom w:val="0"/>
      <w:divBdr>
        <w:top w:val="none" w:sz="0" w:space="0" w:color="auto"/>
        <w:left w:val="none" w:sz="0" w:space="0" w:color="auto"/>
        <w:bottom w:val="none" w:sz="0" w:space="0" w:color="auto"/>
        <w:right w:val="none" w:sz="0" w:space="0" w:color="auto"/>
      </w:divBdr>
    </w:div>
    <w:div w:id="1403675400">
      <w:bodyDiv w:val="1"/>
      <w:marLeft w:val="0"/>
      <w:marRight w:val="0"/>
      <w:marTop w:val="0"/>
      <w:marBottom w:val="0"/>
      <w:divBdr>
        <w:top w:val="none" w:sz="0" w:space="0" w:color="auto"/>
        <w:left w:val="none" w:sz="0" w:space="0" w:color="auto"/>
        <w:bottom w:val="none" w:sz="0" w:space="0" w:color="auto"/>
        <w:right w:val="none" w:sz="0" w:space="0" w:color="auto"/>
      </w:divBdr>
    </w:div>
    <w:div w:id="1403718666">
      <w:bodyDiv w:val="1"/>
      <w:marLeft w:val="0"/>
      <w:marRight w:val="0"/>
      <w:marTop w:val="0"/>
      <w:marBottom w:val="0"/>
      <w:divBdr>
        <w:top w:val="none" w:sz="0" w:space="0" w:color="auto"/>
        <w:left w:val="none" w:sz="0" w:space="0" w:color="auto"/>
        <w:bottom w:val="none" w:sz="0" w:space="0" w:color="auto"/>
        <w:right w:val="none" w:sz="0" w:space="0" w:color="auto"/>
      </w:divBdr>
    </w:div>
    <w:div w:id="1403869664">
      <w:bodyDiv w:val="1"/>
      <w:marLeft w:val="0"/>
      <w:marRight w:val="0"/>
      <w:marTop w:val="0"/>
      <w:marBottom w:val="0"/>
      <w:divBdr>
        <w:top w:val="none" w:sz="0" w:space="0" w:color="auto"/>
        <w:left w:val="none" w:sz="0" w:space="0" w:color="auto"/>
        <w:bottom w:val="none" w:sz="0" w:space="0" w:color="auto"/>
        <w:right w:val="none" w:sz="0" w:space="0" w:color="auto"/>
      </w:divBdr>
    </w:div>
    <w:div w:id="1403873891">
      <w:bodyDiv w:val="1"/>
      <w:marLeft w:val="0"/>
      <w:marRight w:val="0"/>
      <w:marTop w:val="0"/>
      <w:marBottom w:val="0"/>
      <w:divBdr>
        <w:top w:val="none" w:sz="0" w:space="0" w:color="auto"/>
        <w:left w:val="none" w:sz="0" w:space="0" w:color="auto"/>
        <w:bottom w:val="none" w:sz="0" w:space="0" w:color="auto"/>
        <w:right w:val="none" w:sz="0" w:space="0" w:color="auto"/>
      </w:divBdr>
    </w:div>
    <w:div w:id="1403985106">
      <w:bodyDiv w:val="1"/>
      <w:marLeft w:val="0"/>
      <w:marRight w:val="0"/>
      <w:marTop w:val="0"/>
      <w:marBottom w:val="0"/>
      <w:divBdr>
        <w:top w:val="none" w:sz="0" w:space="0" w:color="auto"/>
        <w:left w:val="none" w:sz="0" w:space="0" w:color="auto"/>
        <w:bottom w:val="none" w:sz="0" w:space="0" w:color="auto"/>
        <w:right w:val="none" w:sz="0" w:space="0" w:color="auto"/>
      </w:divBdr>
    </w:div>
    <w:div w:id="1404064698">
      <w:bodyDiv w:val="1"/>
      <w:marLeft w:val="0"/>
      <w:marRight w:val="0"/>
      <w:marTop w:val="0"/>
      <w:marBottom w:val="0"/>
      <w:divBdr>
        <w:top w:val="none" w:sz="0" w:space="0" w:color="auto"/>
        <w:left w:val="none" w:sz="0" w:space="0" w:color="auto"/>
        <w:bottom w:val="none" w:sz="0" w:space="0" w:color="auto"/>
        <w:right w:val="none" w:sz="0" w:space="0" w:color="auto"/>
      </w:divBdr>
    </w:div>
    <w:div w:id="1404331145">
      <w:bodyDiv w:val="1"/>
      <w:marLeft w:val="0"/>
      <w:marRight w:val="0"/>
      <w:marTop w:val="0"/>
      <w:marBottom w:val="0"/>
      <w:divBdr>
        <w:top w:val="none" w:sz="0" w:space="0" w:color="auto"/>
        <w:left w:val="none" w:sz="0" w:space="0" w:color="auto"/>
        <w:bottom w:val="none" w:sz="0" w:space="0" w:color="auto"/>
        <w:right w:val="none" w:sz="0" w:space="0" w:color="auto"/>
      </w:divBdr>
    </w:div>
    <w:div w:id="1404336830">
      <w:bodyDiv w:val="1"/>
      <w:marLeft w:val="0"/>
      <w:marRight w:val="0"/>
      <w:marTop w:val="0"/>
      <w:marBottom w:val="0"/>
      <w:divBdr>
        <w:top w:val="none" w:sz="0" w:space="0" w:color="auto"/>
        <w:left w:val="none" w:sz="0" w:space="0" w:color="auto"/>
        <w:bottom w:val="none" w:sz="0" w:space="0" w:color="auto"/>
        <w:right w:val="none" w:sz="0" w:space="0" w:color="auto"/>
      </w:divBdr>
    </w:div>
    <w:div w:id="1404371475">
      <w:bodyDiv w:val="1"/>
      <w:marLeft w:val="0"/>
      <w:marRight w:val="0"/>
      <w:marTop w:val="0"/>
      <w:marBottom w:val="0"/>
      <w:divBdr>
        <w:top w:val="none" w:sz="0" w:space="0" w:color="auto"/>
        <w:left w:val="none" w:sz="0" w:space="0" w:color="auto"/>
        <w:bottom w:val="none" w:sz="0" w:space="0" w:color="auto"/>
        <w:right w:val="none" w:sz="0" w:space="0" w:color="auto"/>
      </w:divBdr>
    </w:div>
    <w:div w:id="1404374856">
      <w:bodyDiv w:val="1"/>
      <w:marLeft w:val="0"/>
      <w:marRight w:val="0"/>
      <w:marTop w:val="0"/>
      <w:marBottom w:val="0"/>
      <w:divBdr>
        <w:top w:val="none" w:sz="0" w:space="0" w:color="auto"/>
        <w:left w:val="none" w:sz="0" w:space="0" w:color="auto"/>
        <w:bottom w:val="none" w:sz="0" w:space="0" w:color="auto"/>
        <w:right w:val="none" w:sz="0" w:space="0" w:color="auto"/>
      </w:divBdr>
    </w:div>
    <w:div w:id="1404376063">
      <w:bodyDiv w:val="1"/>
      <w:marLeft w:val="0"/>
      <w:marRight w:val="0"/>
      <w:marTop w:val="0"/>
      <w:marBottom w:val="0"/>
      <w:divBdr>
        <w:top w:val="none" w:sz="0" w:space="0" w:color="auto"/>
        <w:left w:val="none" w:sz="0" w:space="0" w:color="auto"/>
        <w:bottom w:val="none" w:sz="0" w:space="0" w:color="auto"/>
        <w:right w:val="none" w:sz="0" w:space="0" w:color="auto"/>
      </w:divBdr>
    </w:div>
    <w:div w:id="1404524161">
      <w:bodyDiv w:val="1"/>
      <w:marLeft w:val="0"/>
      <w:marRight w:val="0"/>
      <w:marTop w:val="0"/>
      <w:marBottom w:val="0"/>
      <w:divBdr>
        <w:top w:val="none" w:sz="0" w:space="0" w:color="auto"/>
        <w:left w:val="none" w:sz="0" w:space="0" w:color="auto"/>
        <w:bottom w:val="none" w:sz="0" w:space="0" w:color="auto"/>
        <w:right w:val="none" w:sz="0" w:space="0" w:color="auto"/>
      </w:divBdr>
    </w:div>
    <w:div w:id="1404571849">
      <w:bodyDiv w:val="1"/>
      <w:marLeft w:val="0"/>
      <w:marRight w:val="0"/>
      <w:marTop w:val="0"/>
      <w:marBottom w:val="0"/>
      <w:divBdr>
        <w:top w:val="none" w:sz="0" w:space="0" w:color="auto"/>
        <w:left w:val="none" w:sz="0" w:space="0" w:color="auto"/>
        <w:bottom w:val="none" w:sz="0" w:space="0" w:color="auto"/>
        <w:right w:val="none" w:sz="0" w:space="0" w:color="auto"/>
      </w:divBdr>
    </w:div>
    <w:div w:id="1404644707">
      <w:bodyDiv w:val="1"/>
      <w:marLeft w:val="0"/>
      <w:marRight w:val="0"/>
      <w:marTop w:val="0"/>
      <w:marBottom w:val="0"/>
      <w:divBdr>
        <w:top w:val="none" w:sz="0" w:space="0" w:color="auto"/>
        <w:left w:val="none" w:sz="0" w:space="0" w:color="auto"/>
        <w:bottom w:val="none" w:sz="0" w:space="0" w:color="auto"/>
        <w:right w:val="none" w:sz="0" w:space="0" w:color="auto"/>
      </w:divBdr>
    </w:div>
    <w:div w:id="1404721020">
      <w:bodyDiv w:val="1"/>
      <w:marLeft w:val="0"/>
      <w:marRight w:val="0"/>
      <w:marTop w:val="0"/>
      <w:marBottom w:val="0"/>
      <w:divBdr>
        <w:top w:val="none" w:sz="0" w:space="0" w:color="auto"/>
        <w:left w:val="none" w:sz="0" w:space="0" w:color="auto"/>
        <w:bottom w:val="none" w:sz="0" w:space="0" w:color="auto"/>
        <w:right w:val="none" w:sz="0" w:space="0" w:color="auto"/>
      </w:divBdr>
    </w:div>
    <w:div w:id="1404791905">
      <w:bodyDiv w:val="1"/>
      <w:marLeft w:val="0"/>
      <w:marRight w:val="0"/>
      <w:marTop w:val="0"/>
      <w:marBottom w:val="0"/>
      <w:divBdr>
        <w:top w:val="none" w:sz="0" w:space="0" w:color="auto"/>
        <w:left w:val="none" w:sz="0" w:space="0" w:color="auto"/>
        <w:bottom w:val="none" w:sz="0" w:space="0" w:color="auto"/>
        <w:right w:val="none" w:sz="0" w:space="0" w:color="auto"/>
      </w:divBdr>
    </w:div>
    <w:div w:id="1404793618">
      <w:bodyDiv w:val="1"/>
      <w:marLeft w:val="0"/>
      <w:marRight w:val="0"/>
      <w:marTop w:val="0"/>
      <w:marBottom w:val="0"/>
      <w:divBdr>
        <w:top w:val="none" w:sz="0" w:space="0" w:color="auto"/>
        <w:left w:val="none" w:sz="0" w:space="0" w:color="auto"/>
        <w:bottom w:val="none" w:sz="0" w:space="0" w:color="auto"/>
        <w:right w:val="none" w:sz="0" w:space="0" w:color="auto"/>
      </w:divBdr>
    </w:div>
    <w:div w:id="1404833151">
      <w:bodyDiv w:val="1"/>
      <w:marLeft w:val="0"/>
      <w:marRight w:val="0"/>
      <w:marTop w:val="0"/>
      <w:marBottom w:val="0"/>
      <w:divBdr>
        <w:top w:val="none" w:sz="0" w:space="0" w:color="auto"/>
        <w:left w:val="none" w:sz="0" w:space="0" w:color="auto"/>
        <w:bottom w:val="none" w:sz="0" w:space="0" w:color="auto"/>
        <w:right w:val="none" w:sz="0" w:space="0" w:color="auto"/>
      </w:divBdr>
    </w:div>
    <w:div w:id="1404913078">
      <w:bodyDiv w:val="1"/>
      <w:marLeft w:val="0"/>
      <w:marRight w:val="0"/>
      <w:marTop w:val="0"/>
      <w:marBottom w:val="0"/>
      <w:divBdr>
        <w:top w:val="none" w:sz="0" w:space="0" w:color="auto"/>
        <w:left w:val="none" w:sz="0" w:space="0" w:color="auto"/>
        <w:bottom w:val="none" w:sz="0" w:space="0" w:color="auto"/>
        <w:right w:val="none" w:sz="0" w:space="0" w:color="auto"/>
      </w:divBdr>
    </w:div>
    <w:div w:id="1404985414">
      <w:bodyDiv w:val="1"/>
      <w:marLeft w:val="0"/>
      <w:marRight w:val="0"/>
      <w:marTop w:val="0"/>
      <w:marBottom w:val="0"/>
      <w:divBdr>
        <w:top w:val="none" w:sz="0" w:space="0" w:color="auto"/>
        <w:left w:val="none" w:sz="0" w:space="0" w:color="auto"/>
        <w:bottom w:val="none" w:sz="0" w:space="0" w:color="auto"/>
        <w:right w:val="none" w:sz="0" w:space="0" w:color="auto"/>
      </w:divBdr>
    </w:div>
    <w:div w:id="1405031791">
      <w:bodyDiv w:val="1"/>
      <w:marLeft w:val="0"/>
      <w:marRight w:val="0"/>
      <w:marTop w:val="0"/>
      <w:marBottom w:val="0"/>
      <w:divBdr>
        <w:top w:val="none" w:sz="0" w:space="0" w:color="auto"/>
        <w:left w:val="none" w:sz="0" w:space="0" w:color="auto"/>
        <w:bottom w:val="none" w:sz="0" w:space="0" w:color="auto"/>
        <w:right w:val="none" w:sz="0" w:space="0" w:color="auto"/>
      </w:divBdr>
    </w:div>
    <w:div w:id="1405184705">
      <w:bodyDiv w:val="1"/>
      <w:marLeft w:val="0"/>
      <w:marRight w:val="0"/>
      <w:marTop w:val="0"/>
      <w:marBottom w:val="0"/>
      <w:divBdr>
        <w:top w:val="none" w:sz="0" w:space="0" w:color="auto"/>
        <w:left w:val="none" w:sz="0" w:space="0" w:color="auto"/>
        <w:bottom w:val="none" w:sz="0" w:space="0" w:color="auto"/>
        <w:right w:val="none" w:sz="0" w:space="0" w:color="auto"/>
      </w:divBdr>
    </w:div>
    <w:div w:id="1405253813">
      <w:bodyDiv w:val="1"/>
      <w:marLeft w:val="0"/>
      <w:marRight w:val="0"/>
      <w:marTop w:val="0"/>
      <w:marBottom w:val="0"/>
      <w:divBdr>
        <w:top w:val="none" w:sz="0" w:space="0" w:color="auto"/>
        <w:left w:val="none" w:sz="0" w:space="0" w:color="auto"/>
        <w:bottom w:val="none" w:sz="0" w:space="0" w:color="auto"/>
        <w:right w:val="none" w:sz="0" w:space="0" w:color="auto"/>
      </w:divBdr>
    </w:div>
    <w:div w:id="1405448805">
      <w:bodyDiv w:val="1"/>
      <w:marLeft w:val="0"/>
      <w:marRight w:val="0"/>
      <w:marTop w:val="0"/>
      <w:marBottom w:val="0"/>
      <w:divBdr>
        <w:top w:val="none" w:sz="0" w:space="0" w:color="auto"/>
        <w:left w:val="none" w:sz="0" w:space="0" w:color="auto"/>
        <w:bottom w:val="none" w:sz="0" w:space="0" w:color="auto"/>
        <w:right w:val="none" w:sz="0" w:space="0" w:color="auto"/>
      </w:divBdr>
    </w:div>
    <w:div w:id="1405565051">
      <w:bodyDiv w:val="1"/>
      <w:marLeft w:val="0"/>
      <w:marRight w:val="0"/>
      <w:marTop w:val="0"/>
      <w:marBottom w:val="0"/>
      <w:divBdr>
        <w:top w:val="none" w:sz="0" w:space="0" w:color="auto"/>
        <w:left w:val="none" w:sz="0" w:space="0" w:color="auto"/>
        <w:bottom w:val="none" w:sz="0" w:space="0" w:color="auto"/>
        <w:right w:val="none" w:sz="0" w:space="0" w:color="auto"/>
      </w:divBdr>
    </w:div>
    <w:div w:id="1405647276">
      <w:bodyDiv w:val="1"/>
      <w:marLeft w:val="0"/>
      <w:marRight w:val="0"/>
      <w:marTop w:val="0"/>
      <w:marBottom w:val="0"/>
      <w:divBdr>
        <w:top w:val="none" w:sz="0" w:space="0" w:color="auto"/>
        <w:left w:val="none" w:sz="0" w:space="0" w:color="auto"/>
        <w:bottom w:val="none" w:sz="0" w:space="0" w:color="auto"/>
        <w:right w:val="none" w:sz="0" w:space="0" w:color="auto"/>
      </w:divBdr>
    </w:div>
    <w:div w:id="1405837969">
      <w:bodyDiv w:val="1"/>
      <w:marLeft w:val="0"/>
      <w:marRight w:val="0"/>
      <w:marTop w:val="0"/>
      <w:marBottom w:val="0"/>
      <w:divBdr>
        <w:top w:val="none" w:sz="0" w:space="0" w:color="auto"/>
        <w:left w:val="none" w:sz="0" w:space="0" w:color="auto"/>
        <w:bottom w:val="none" w:sz="0" w:space="0" w:color="auto"/>
        <w:right w:val="none" w:sz="0" w:space="0" w:color="auto"/>
      </w:divBdr>
    </w:div>
    <w:div w:id="1405879274">
      <w:bodyDiv w:val="1"/>
      <w:marLeft w:val="0"/>
      <w:marRight w:val="0"/>
      <w:marTop w:val="0"/>
      <w:marBottom w:val="0"/>
      <w:divBdr>
        <w:top w:val="none" w:sz="0" w:space="0" w:color="auto"/>
        <w:left w:val="none" w:sz="0" w:space="0" w:color="auto"/>
        <w:bottom w:val="none" w:sz="0" w:space="0" w:color="auto"/>
        <w:right w:val="none" w:sz="0" w:space="0" w:color="auto"/>
      </w:divBdr>
    </w:div>
    <w:div w:id="1405906536">
      <w:bodyDiv w:val="1"/>
      <w:marLeft w:val="0"/>
      <w:marRight w:val="0"/>
      <w:marTop w:val="0"/>
      <w:marBottom w:val="0"/>
      <w:divBdr>
        <w:top w:val="none" w:sz="0" w:space="0" w:color="auto"/>
        <w:left w:val="none" w:sz="0" w:space="0" w:color="auto"/>
        <w:bottom w:val="none" w:sz="0" w:space="0" w:color="auto"/>
        <w:right w:val="none" w:sz="0" w:space="0" w:color="auto"/>
      </w:divBdr>
    </w:div>
    <w:div w:id="1405907026">
      <w:bodyDiv w:val="1"/>
      <w:marLeft w:val="0"/>
      <w:marRight w:val="0"/>
      <w:marTop w:val="0"/>
      <w:marBottom w:val="0"/>
      <w:divBdr>
        <w:top w:val="none" w:sz="0" w:space="0" w:color="auto"/>
        <w:left w:val="none" w:sz="0" w:space="0" w:color="auto"/>
        <w:bottom w:val="none" w:sz="0" w:space="0" w:color="auto"/>
        <w:right w:val="none" w:sz="0" w:space="0" w:color="auto"/>
      </w:divBdr>
    </w:div>
    <w:div w:id="1406100046">
      <w:bodyDiv w:val="1"/>
      <w:marLeft w:val="0"/>
      <w:marRight w:val="0"/>
      <w:marTop w:val="0"/>
      <w:marBottom w:val="0"/>
      <w:divBdr>
        <w:top w:val="none" w:sz="0" w:space="0" w:color="auto"/>
        <w:left w:val="none" w:sz="0" w:space="0" w:color="auto"/>
        <w:bottom w:val="none" w:sz="0" w:space="0" w:color="auto"/>
        <w:right w:val="none" w:sz="0" w:space="0" w:color="auto"/>
      </w:divBdr>
    </w:div>
    <w:div w:id="1406296234">
      <w:bodyDiv w:val="1"/>
      <w:marLeft w:val="0"/>
      <w:marRight w:val="0"/>
      <w:marTop w:val="0"/>
      <w:marBottom w:val="0"/>
      <w:divBdr>
        <w:top w:val="none" w:sz="0" w:space="0" w:color="auto"/>
        <w:left w:val="none" w:sz="0" w:space="0" w:color="auto"/>
        <w:bottom w:val="none" w:sz="0" w:space="0" w:color="auto"/>
        <w:right w:val="none" w:sz="0" w:space="0" w:color="auto"/>
      </w:divBdr>
    </w:div>
    <w:div w:id="1406337713">
      <w:bodyDiv w:val="1"/>
      <w:marLeft w:val="0"/>
      <w:marRight w:val="0"/>
      <w:marTop w:val="0"/>
      <w:marBottom w:val="0"/>
      <w:divBdr>
        <w:top w:val="none" w:sz="0" w:space="0" w:color="auto"/>
        <w:left w:val="none" w:sz="0" w:space="0" w:color="auto"/>
        <w:bottom w:val="none" w:sz="0" w:space="0" w:color="auto"/>
        <w:right w:val="none" w:sz="0" w:space="0" w:color="auto"/>
      </w:divBdr>
    </w:div>
    <w:div w:id="1406339040">
      <w:bodyDiv w:val="1"/>
      <w:marLeft w:val="0"/>
      <w:marRight w:val="0"/>
      <w:marTop w:val="0"/>
      <w:marBottom w:val="0"/>
      <w:divBdr>
        <w:top w:val="none" w:sz="0" w:space="0" w:color="auto"/>
        <w:left w:val="none" w:sz="0" w:space="0" w:color="auto"/>
        <w:bottom w:val="none" w:sz="0" w:space="0" w:color="auto"/>
        <w:right w:val="none" w:sz="0" w:space="0" w:color="auto"/>
      </w:divBdr>
    </w:div>
    <w:div w:id="1406413030">
      <w:bodyDiv w:val="1"/>
      <w:marLeft w:val="0"/>
      <w:marRight w:val="0"/>
      <w:marTop w:val="0"/>
      <w:marBottom w:val="0"/>
      <w:divBdr>
        <w:top w:val="none" w:sz="0" w:space="0" w:color="auto"/>
        <w:left w:val="none" w:sz="0" w:space="0" w:color="auto"/>
        <w:bottom w:val="none" w:sz="0" w:space="0" w:color="auto"/>
        <w:right w:val="none" w:sz="0" w:space="0" w:color="auto"/>
      </w:divBdr>
    </w:div>
    <w:div w:id="1406681910">
      <w:bodyDiv w:val="1"/>
      <w:marLeft w:val="0"/>
      <w:marRight w:val="0"/>
      <w:marTop w:val="0"/>
      <w:marBottom w:val="0"/>
      <w:divBdr>
        <w:top w:val="none" w:sz="0" w:space="0" w:color="auto"/>
        <w:left w:val="none" w:sz="0" w:space="0" w:color="auto"/>
        <w:bottom w:val="none" w:sz="0" w:space="0" w:color="auto"/>
        <w:right w:val="none" w:sz="0" w:space="0" w:color="auto"/>
      </w:divBdr>
    </w:div>
    <w:div w:id="1406757180">
      <w:bodyDiv w:val="1"/>
      <w:marLeft w:val="0"/>
      <w:marRight w:val="0"/>
      <w:marTop w:val="0"/>
      <w:marBottom w:val="0"/>
      <w:divBdr>
        <w:top w:val="none" w:sz="0" w:space="0" w:color="auto"/>
        <w:left w:val="none" w:sz="0" w:space="0" w:color="auto"/>
        <w:bottom w:val="none" w:sz="0" w:space="0" w:color="auto"/>
        <w:right w:val="none" w:sz="0" w:space="0" w:color="auto"/>
      </w:divBdr>
    </w:div>
    <w:div w:id="1406799665">
      <w:bodyDiv w:val="1"/>
      <w:marLeft w:val="0"/>
      <w:marRight w:val="0"/>
      <w:marTop w:val="0"/>
      <w:marBottom w:val="0"/>
      <w:divBdr>
        <w:top w:val="none" w:sz="0" w:space="0" w:color="auto"/>
        <w:left w:val="none" w:sz="0" w:space="0" w:color="auto"/>
        <w:bottom w:val="none" w:sz="0" w:space="0" w:color="auto"/>
        <w:right w:val="none" w:sz="0" w:space="0" w:color="auto"/>
      </w:divBdr>
    </w:div>
    <w:div w:id="1406956021">
      <w:bodyDiv w:val="1"/>
      <w:marLeft w:val="0"/>
      <w:marRight w:val="0"/>
      <w:marTop w:val="0"/>
      <w:marBottom w:val="0"/>
      <w:divBdr>
        <w:top w:val="none" w:sz="0" w:space="0" w:color="auto"/>
        <w:left w:val="none" w:sz="0" w:space="0" w:color="auto"/>
        <w:bottom w:val="none" w:sz="0" w:space="0" w:color="auto"/>
        <w:right w:val="none" w:sz="0" w:space="0" w:color="auto"/>
      </w:divBdr>
    </w:div>
    <w:div w:id="1406997511">
      <w:bodyDiv w:val="1"/>
      <w:marLeft w:val="0"/>
      <w:marRight w:val="0"/>
      <w:marTop w:val="0"/>
      <w:marBottom w:val="0"/>
      <w:divBdr>
        <w:top w:val="none" w:sz="0" w:space="0" w:color="auto"/>
        <w:left w:val="none" w:sz="0" w:space="0" w:color="auto"/>
        <w:bottom w:val="none" w:sz="0" w:space="0" w:color="auto"/>
        <w:right w:val="none" w:sz="0" w:space="0" w:color="auto"/>
      </w:divBdr>
    </w:div>
    <w:div w:id="1407069571">
      <w:bodyDiv w:val="1"/>
      <w:marLeft w:val="0"/>
      <w:marRight w:val="0"/>
      <w:marTop w:val="0"/>
      <w:marBottom w:val="0"/>
      <w:divBdr>
        <w:top w:val="none" w:sz="0" w:space="0" w:color="auto"/>
        <w:left w:val="none" w:sz="0" w:space="0" w:color="auto"/>
        <w:bottom w:val="none" w:sz="0" w:space="0" w:color="auto"/>
        <w:right w:val="none" w:sz="0" w:space="0" w:color="auto"/>
      </w:divBdr>
    </w:div>
    <w:div w:id="1407193429">
      <w:bodyDiv w:val="1"/>
      <w:marLeft w:val="0"/>
      <w:marRight w:val="0"/>
      <w:marTop w:val="0"/>
      <w:marBottom w:val="0"/>
      <w:divBdr>
        <w:top w:val="none" w:sz="0" w:space="0" w:color="auto"/>
        <w:left w:val="none" w:sz="0" w:space="0" w:color="auto"/>
        <w:bottom w:val="none" w:sz="0" w:space="0" w:color="auto"/>
        <w:right w:val="none" w:sz="0" w:space="0" w:color="auto"/>
      </w:divBdr>
    </w:div>
    <w:div w:id="1407220460">
      <w:bodyDiv w:val="1"/>
      <w:marLeft w:val="0"/>
      <w:marRight w:val="0"/>
      <w:marTop w:val="0"/>
      <w:marBottom w:val="0"/>
      <w:divBdr>
        <w:top w:val="none" w:sz="0" w:space="0" w:color="auto"/>
        <w:left w:val="none" w:sz="0" w:space="0" w:color="auto"/>
        <w:bottom w:val="none" w:sz="0" w:space="0" w:color="auto"/>
        <w:right w:val="none" w:sz="0" w:space="0" w:color="auto"/>
      </w:divBdr>
    </w:div>
    <w:div w:id="1407261887">
      <w:bodyDiv w:val="1"/>
      <w:marLeft w:val="0"/>
      <w:marRight w:val="0"/>
      <w:marTop w:val="0"/>
      <w:marBottom w:val="0"/>
      <w:divBdr>
        <w:top w:val="none" w:sz="0" w:space="0" w:color="auto"/>
        <w:left w:val="none" w:sz="0" w:space="0" w:color="auto"/>
        <w:bottom w:val="none" w:sz="0" w:space="0" w:color="auto"/>
        <w:right w:val="none" w:sz="0" w:space="0" w:color="auto"/>
      </w:divBdr>
    </w:div>
    <w:div w:id="1407341133">
      <w:bodyDiv w:val="1"/>
      <w:marLeft w:val="0"/>
      <w:marRight w:val="0"/>
      <w:marTop w:val="0"/>
      <w:marBottom w:val="0"/>
      <w:divBdr>
        <w:top w:val="none" w:sz="0" w:space="0" w:color="auto"/>
        <w:left w:val="none" w:sz="0" w:space="0" w:color="auto"/>
        <w:bottom w:val="none" w:sz="0" w:space="0" w:color="auto"/>
        <w:right w:val="none" w:sz="0" w:space="0" w:color="auto"/>
      </w:divBdr>
    </w:div>
    <w:div w:id="1407418184">
      <w:bodyDiv w:val="1"/>
      <w:marLeft w:val="0"/>
      <w:marRight w:val="0"/>
      <w:marTop w:val="0"/>
      <w:marBottom w:val="0"/>
      <w:divBdr>
        <w:top w:val="none" w:sz="0" w:space="0" w:color="auto"/>
        <w:left w:val="none" w:sz="0" w:space="0" w:color="auto"/>
        <w:bottom w:val="none" w:sz="0" w:space="0" w:color="auto"/>
        <w:right w:val="none" w:sz="0" w:space="0" w:color="auto"/>
      </w:divBdr>
    </w:div>
    <w:div w:id="1407530348">
      <w:bodyDiv w:val="1"/>
      <w:marLeft w:val="0"/>
      <w:marRight w:val="0"/>
      <w:marTop w:val="0"/>
      <w:marBottom w:val="0"/>
      <w:divBdr>
        <w:top w:val="none" w:sz="0" w:space="0" w:color="auto"/>
        <w:left w:val="none" w:sz="0" w:space="0" w:color="auto"/>
        <w:bottom w:val="none" w:sz="0" w:space="0" w:color="auto"/>
        <w:right w:val="none" w:sz="0" w:space="0" w:color="auto"/>
      </w:divBdr>
    </w:div>
    <w:div w:id="1407532587">
      <w:bodyDiv w:val="1"/>
      <w:marLeft w:val="0"/>
      <w:marRight w:val="0"/>
      <w:marTop w:val="0"/>
      <w:marBottom w:val="0"/>
      <w:divBdr>
        <w:top w:val="none" w:sz="0" w:space="0" w:color="auto"/>
        <w:left w:val="none" w:sz="0" w:space="0" w:color="auto"/>
        <w:bottom w:val="none" w:sz="0" w:space="0" w:color="auto"/>
        <w:right w:val="none" w:sz="0" w:space="0" w:color="auto"/>
      </w:divBdr>
    </w:div>
    <w:div w:id="1407607772">
      <w:bodyDiv w:val="1"/>
      <w:marLeft w:val="0"/>
      <w:marRight w:val="0"/>
      <w:marTop w:val="0"/>
      <w:marBottom w:val="0"/>
      <w:divBdr>
        <w:top w:val="none" w:sz="0" w:space="0" w:color="auto"/>
        <w:left w:val="none" w:sz="0" w:space="0" w:color="auto"/>
        <w:bottom w:val="none" w:sz="0" w:space="0" w:color="auto"/>
        <w:right w:val="none" w:sz="0" w:space="0" w:color="auto"/>
      </w:divBdr>
    </w:div>
    <w:div w:id="1407610210">
      <w:bodyDiv w:val="1"/>
      <w:marLeft w:val="0"/>
      <w:marRight w:val="0"/>
      <w:marTop w:val="0"/>
      <w:marBottom w:val="0"/>
      <w:divBdr>
        <w:top w:val="none" w:sz="0" w:space="0" w:color="auto"/>
        <w:left w:val="none" w:sz="0" w:space="0" w:color="auto"/>
        <w:bottom w:val="none" w:sz="0" w:space="0" w:color="auto"/>
        <w:right w:val="none" w:sz="0" w:space="0" w:color="auto"/>
      </w:divBdr>
    </w:div>
    <w:div w:id="1407799681">
      <w:bodyDiv w:val="1"/>
      <w:marLeft w:val="0"/>
      <w:marRight w:val="0"/>
      <w:marTop w:val="0"/>
      <w:marBottom w:val="0"/>
      <w:divBdr>
        <w:top w:val="none" w:sz="0" w:space="0" w:color="auto"/>
        <w:left w:val="none" w:sz="0" w:space="0" w:color="auto"/>
        <w:bottom w:val="none" w:sz="0" w:space="0" w:color="auto"/>
        <w:right w:val="none" w:sz="0" w:space="0" w:color="auto"/>
      </w:divBdr>
    </w:div>
    <w:div w:id="1407803037">
      <w:bodyDiv w:val="1"/>
      <w:marLeft w:val="0"/>
      <w:marRight w:val="0"/>
      <w:marTop w:val="0"/>
      <w:marBottom w:val="0"/>
      <w:divBdr>
        <w:top w:val="none" w:sz="0" w:space="0" w:color="auto"/>
        <w:left w:val="none" w:sz="0" w:space="0" w:color="auto"/>
        <w:bottom w:val="none" w:sz="0" w:space="0" w:color="auto"/>
        <w:right w:val="none" w:sz="0" w:space="0" w:color="auto"/>
      </w:divBdr>
    </w:div>
    <w:div w:id="1407803667">
      <w:bodyDiv w:val="1"/>
      <w:marLeft w:val="0"/>
      <w:marRight w:val="0"/>
      <w:marTop w:val="0"/>
      <w:marBottom w:val="0"/>
      <w:divBdr>
        <w:top w:val="none" w:sz="0" w:space="0" w:color="auto"/>
        <w:left w:val="none" w:sz="0" w:space="0" w:color="auto"/>
        <w:bottom w:val="none" w:sz="0" w:space="0" w:color="auto"/>
        <w:right w:val="none" w:sz="0" w:space="0" w:color="auto"/>
      </w:divBdr>
    </w:div>
    <w:div w:id="1407848684">
      <w:bodyDiv w:val="1"/>
      <w:marLeft w:val="0"/>
      <w:marRight w:val="0"/>
      <w:marTop w:val="0"/>
      <w:marBottom w:val="0"/>
      <w:divBdr>
        <w:top w:val="none" w:sz="0" w:space="0" w:color="auto"/>
        <w:left w:val="none" w:sz="0" w:space="0" w:color="auto"/>
        <w:bottom w:val="none" w:sz="0" w:space="0" w:color="auto"/>
        <w:right w:val="none" w:sz="0" w:space="0" w:color="auto"/>
      </w:divBdr>
    </w:div>
    <w:div w:id="1407876810">
      <w:bodyDiv w:val="1"/>
      <w:marLeft w:val="0"/>
      <w:marRight w:val="0"/>
      <w:marTop w:val="0"/>
      <w:marBottom w:val="0"/>
      <w:divBdr>
        <w:top w:val="none" w:sz="0" w:space="0" w:color="auto"/>
        <w:left w:val="none" w:sz="0" w:space="0" w:color="auto"/>
        <w:bottom w:val="none" w:sz="0" w:space="0" w:color="auto"/>
        <w:right w:val="none" w:sz="0" w:space="0" w:color="auto"/>
      </w:divBdr>
    </w:div>
    <w:div w:id="1407991241">
      <w:bodyDiv w:val="1"/>
      <w:marLeft w:val="0"/>
      <w:marRight w:val="0"/>
      <w:marTop w:val="0"/>
      <w:marBottom w:val="0"/>
      <w:divBdr>
        <w:top w:val="none" w:sz="0" w:space="0" w:color="auto"/>
        <w:left w:val="none" w:sz="0" w:space="0" w:color="auto"/>
        <w:bottom w:val="none" w:sz="0" w:space="0" w:color="auto"/>
        <w:right w:val="none" w:sz="0" w:space="0" w:color="auto"/>
      </w:divBdr>
    </w:div>
    <w:div w:id="1408114773">
      <w:bodyDiv w:val="1"/>
      <w:marLeft w:val="0"/>
      <w:marRight w:val="0"/>
      <w:marTop w:val="0"/>
      <w:marBottom w:val="0"/>
      <w:divBdr>
        <w:top w:val="none" w:sz="0" w:space="0" w:color="auto"/>
        <w:left w:val="none" w:sz="0" w:space="0" w:color="auto"/>
        <w:bottom w:val="none" w:sz="0" w:space="0" w:color="auto"/>
        <w:right w:val="none" w:sz="0" w:space="0" w:color="auto"/>
      </w:divBdr>
    </w:div>
    <w:div w:id="1408117087">
      <w:bodyDiv w:val="1"/>
      <w:marLeft w:val="0"/>
      <w:marRight w:val="0"/>
      <w:marTop w:val="0"/>
      <w:marBottom w:val="0"/>
      <w:divBdr>
        <w:top w:val="none" w:sz="0" w:space="0" w:color="auto"/>
        <w:left w:val="none" w:sz="0" w:space="0" w:color="auto"/>
        <w:bottom w:val="none" w:sz="0" w:space="0" w:color="auto"/>
        <w:right w:val="none" w:sz="0" w:space="0" w:color="auto"/>
      </w:divBdr>
    </w:div>
    <w:div w:id="1408265960">
      <w:bodyDiv w:val="1"/>
      <w:marLeft w:val="0"/>
      <w:marRight w:val="0"/>
      <w:marTop w:val="0"/>
      <w:marBottom w:val="0"/>
      <w:divBdr>
        <w:top w:val="none" w:sz="0" w:space="0" w:color="auto"/>
        <w:left w:val="none" w:sz="0" w:space="0" w:color="auto"/>
        <w:bottom w:val="none" w:sz="0" w:space="0" w:color="auto"/>
        <w:right w:val="none" w:sz="0" w:space="0" w:color="auto"/>
      </w:divBdr>
    </w:div>
    <w:div w:id="1408304075">
      <w:bodyDiv w:val="1"/>
      <w:marLeft w:val="0"/>
      <w:marRight w:val="0"/>
      <w:marTop w:val="0"/>
      <w:marBottom w:val="0"/>
      <w:divBdr>
        <w:top w:val="none" w:sz="0" w:space="0" w:color="auto"/>
        <w:left w:val="none" w:sz="0" w:space="0" w:color="auto"/>
        <w:bottom w:val="none" w:sz="0" w:space="0" w:color="auto"/>
        <w:right w:val="none" w:sz="0" w:space="0" w:color="auto"/>
      </w:divBdr>
    </w:div>
    <w:div w:id="1408460356">
      <w:bodyDiv w:val="1"/>
      <w:marLeft w:val="0"/>
      <w:marRight w:val="0"/>
      <w:marTop w:val="0"/>
      <w:marBottom w:val="0"/>
      <w:divBdr>
        <w:top w:val="none" w:sz="0" w:space="0" w:color="auto"/>
        <w:left w:val="none" w:sz="0" w:space="0" w:color="auto"/>
        <w:bottom w:val="none" w:sz="0" w:space="0" w:color="auto"/>
        <w:right w:val="none" w:sz="0" w:space="0" w:color="auto"/>
      </w:divBdr>
    </w:div>
    <w:div w:id="1408500994">
      <w:bodyDiv w:val="1"/>
      <w:marLeft w:val="0"/>
      <w:marRight w:val="0"/>
      <w:marTop w:val="0"/>
      <w:marBottom w:val="0"/>
      <w:divBdr>
        <w:top w:val="none" w:sz="0" w:space="0" w:color="auto"/>
        <w:left w:val="none" w:sz="0" w:space="0" w:color="auto"/>
        <w:bottom w:val="none" w:sz="0" w:space="0" w:color="auto"/>
        <w:right w:val="none" w:sz="0" w:space="0" w:color="auto"/>
      </w:divBdr>
    </w:div>
    <w:div w:id="1408527963">
      <w:bodyDiv w:val="1"/>
      <w:marLeft w:val="0"/>
      <w:marRight w:val="0"/>
      <w:marTop w:val="0"/>
      <w:marBottom w:val="0"/>
      <w:divBdr>
        <w:top w:val="none" w:sz="0" w:space="0" w:color="auto"/>
        <w:left w:val="none" w:sz="0" w:space="0" w:color="auto"/>
        <w:bottom w:val="none" w:sz="0" w:space="0" w:color="auto"/>
        <w:right w:val="none" w:sz="0" w:space="0" w:color="auto"/>
      </w:divBdr>
    </w:div>
    <w:div w:id="1408570080">
      <w:bodyDiv w:val="1"/>
      <w:marLeft w:val="0"/>
      <w:marRight w:val="0"/>
      <w:marTop w:val="0"/>
      <w:marBottom w:val="0"/>
      <w:divBdr>
        <w:top w:val="none" w:sz="0" w:space="0" w:color="auto"/>
        <w:left w:val="none" w:sz="0" w:space="0" w:color="auto"/>
        <w:bottom w:val="none" w:sz="0" w:space="0" w:color="auto"/>
        <w:right w:val="none" w:sz="0" w:space="0" w:color="auto"/>
      </w:divBdr>
    </w:div>
    <w:div w:id="1408727608">
      <w:bodyDiv w:val="1"/>
      <w:marLeft w:val="0"/>
      <w:marRight w:val="0"/>
      <w:marTop w:val="0"/>
      <w:marBottom w:val="0"/>
      <w:divBdr>
        <w:top w:val="none" w:sz="0" w:space="0" w:color="auto"/>
        <w:left w:val="none" w:sz="0" w:space="0" w:color="auto"/>
        <w:bottom w:val="none" w:sz="0" w:space="0" w:color="auto"/>
        <w:right w:val="none" w:sz="0" w:space="0" w:color="auto"/>
      </w:divBdr>
    </w:div>
    <w:div w:id="1408728357">
      <w:bodyDiv w:val="1"/>
      <w:marLeft w:val="0"/>
      <w:marRight w:val="0"/>
      <w:marTop w:val="0"/>
      <w:marBottom w:val="0"/>
      <w:divBdr>
        <w:top w:val="none" w:sz="0" w:space="0" w:color="auto"/>
        <w:left w:val="none" w:sz="0" w:space="0" w:color="auto"/>
        <w:bottom w:val="none" w:sz="0" w:space="0" w:color="auto"/>
        <w:right w:val="none" w:sz="0" w:space="0" w:color="auto"/>
      </w:divBdr>
    </w:div>
    <w:div w:id="1408768981">
      <w:bodyDiv w:val="1"/>
      <w:marLeft w:val="0"/>
      <w:marRight w:val="0"/>
      <w:marTop w:val="0"/>
      <w:marBottom w:val="0"/>
      <w:divBdr>
        <w:top w:val="none" w:sz="0" w:space="0" w:color="auto"/>
        <w:left w:val="none" w:sz="0" w:space="0" w:color="auto"/>
        <w:bottom w:val="none" w:sz="0" w:space="0" w:color="auto"/>
        <w:right w:val="none" w:sz="0" w:space="0" w:color="auto"/>
      </w:divBdr>
    </w:div>
    <w:div w:id="1409032195">
      <w:bodyDiv w:val="1"/>
      <w:marLeft w:val="0"/>
      <w:marRight w:val="0"/>
      <w:marTop w:val="0"/>
      <w:marBottom w:val="0"/>
      <w:divBdr>
        <w:top w:val="none" w:sz="0" w:space="0" w:color="auto"/>
        <w:left w:val="none" w:sz="0" w:space="0" w:color="auto"/>
        <w:bottom w:val="none" w:sz="0" w:space="0" w:color="auto"/>
        <w:right w:val="none" w:sz="0" w:space="0" w:color="auto"/>
      </w:divBdr>
    </w:div>
    <w:div w:id="1409114454">
      <w:bodyDiv w:val="1"/>
      <w:marLeft w:val="0"/>
      <w:marRight w:val="0"/>
      <w:marTop w:val="0"/>
      <w:marBottom w:val="0"/>
      <w:divBdr>
        <w:top w:val="none" w:sz="0" w:space="0" w:color="auto"/>
        <w:left w:val="none" w:sz="0" w:space="0" w:color="auto"/>
        <w:bottom w:val="none" w:sz="0" w:space="0" w:color="auto"/>
        <w:right w:val="none" w:sz="0" w:space="0" w:color="auto"/>
      </w:divBdr>
    </w:div>
    <w:div w:id="1409185860">
      <w:bodyDiv w:val="1"/>
      <w:marLeft w:val="0"/>
      <w:marRight w:val="0"/>
      <w:marTop w:val="0"/>
      <w:marBottom w:val="0"/>
      <w:divBdr>
        <w:top w:val="none" w:sz="0" w:space="0" w:color="auto"/>
        <w:left w:val="none" w:sz="0" w:space="0" w:color="auto"/>
        <w:bottom w:val="none" w:sz="0" w:space="0" w:color="auto"/>
        <w:right w:val="none" w:sz="0" w:space="0" w:color="auto"/>
      </w:divBdr>
    </w:div>
    <w:div w:id="1409234772">
      <w:bodyDiv w:val="1"/>
      <w:marLeft w:val="0"/>
      <w:marRight w:val="0"/>
      <w:marTop w:val="0"/>
      <w:marBottom w:val="0"/>
      <w:divBdr>
        <w:top w:val="none" w:sz="0" w:space="0" w:color="auto"/>
        <w:left w:val="none" w:sz="0" w:space="0" w:color="auto"/>
        <w:bottom w:val="none" w:sz="0" w:space="0" w:color="auto"/>
        <w:right w:val="none" w:sz="0" w:space="0" w:color="auto"/>
      </w:divBdr>
    </w:div>
    <w:div w:id="1409306552">
      <w:bodyDiv w:val="1"/>
      <w:marLeft w:val="0"/>
      <w:marRight w:val="0"/>
      <w:marTop w:val="0"/>
      <w:marBottom w:val="0"/>
      <w:divBdr>
        <w:top w:val="none" w:sz="0" w:space="0" w:color="auto"/>
        <w:left w:val="none" w:sz="0" w:space="0" w:color="auto"/>
        <w:bottom w:val="none" w:sz="0" w:space="0" w:color="auto"/>
        <w:right w:val="none" w:sz="0" w:space="0" w:color="auto"/>
      </w:divBdr>
    </w:div>
    <w:div w:id="1409307716">
      <w:bodyDiv w:val="1"/>
      <w:marLeft w:val="0"/>
      <w:marRight w:val="0"/>
      <w:marTop w:val="0"/>
      <w:marBottom w:val="0"/>
      <w:divBdr>
        <w:top w:val="none" w:sz="0" w:space="0" w:color="auto"/>
        <w:left w:val="none" w:sz="0" w:space="0" w:color="auto"/>
        <w:bottom w:val="none" w:sz="0" w:space="0" w:color="auto"/>
        <w:right w:val="none" w:sz="0" w:space="0" w:color="auto"/>
      </w:divBdr>
    </w:div>
    <w:div w:id="1409377267">
      <w:bodyDiv w:val="1"/>
      <w:marLeft w:val="0"/>
      <w:marRight w:val="0"/>
      <w:marTop w:val="0"/>
      <w:marBottom w:val="0"/>
      <w:divBdr>
        <w:top w:val="none" w:sz="0" w:space="0" w:color="auto"/>
        <w:left w:val="none" w:sz="0" w:space="0" w:color="auto"/>
        <w:bottom w:val="none" w:sz="0" w:space="0" w:color="auto"/>
        <w:right w:val="none" w:sz="0" w:space="0" w:color="auto"/>
      </w:divBdr>
    </w:div>
    <w:div w:id="1409379771">
      <w:bodyDiv w:val="1"/>
      <w:marLeft w:val="0"/>
      <w:marRight w:val="0"/>
      <w:marTop w:val="0"/>
      <w:marBottom w:val="0"/>
      <w:divBdr>
        <w:top w:val="none" w:sz="0" w:space="0" w:color="auto"/>
        <w:left w:val="none" w:sz="0" w:space="0" w:color="auto"/>
        <w:bottom w:val="none" w:sz="0" w:space="0" w:color="auto"/>
        <w:right w:val="none" w:sz="0" w:space="0" w:color="auto"/>
      </w:divBdr>
    </w:div>
    <w:div w:id="1409496654">
      <w:bodyDiv w:val="1"/>
      <w:marLeft w:val="0"/>
      <w:marRight w:val="0"/>
      <w:marTop w:val="0"/>
      <w:marBottom w:val="0"/>
      <w:divBdr>
        <w:top w:val="none" w:sz="0" w:space="0" w:color="auto"/>
        <w:left w:val="none" w:sz="0" w:space="0" w:color="auto"/>
        <w:bottom w:val="none" w:sz="0" w:space="0" w:color="auto"/>
        <w:right w:val="none" w:sz="0" w:space="0" w:color="auto"/>
      </w:divBdr>
    </w:div>
    <w:div w:id="1409569297">
      <w:bodyDiv w:val="1"/>
      <w:marLeft w:val="0"/>
      <w:marRight w:val="0"/>
      <w:marTop w:val="0"/>
      <w:marBottom w:val="0"/>
      <w:divBdr>
        <w:top w:val="none" w:sz="0" w:space="0" w:color="auto"/>
        <w:left w:val="none" w:sz="0" w:space="0" w:color="auto"/>
        <w:bottom w:val="none" w:sz="0" w:space="0" w:color="auto"/>
        <w:right w:val="none" w:sz="0" w:space="0" w:color="auto"/>
      </w:divBdr>
    </w:div>
    <w:div w:id="1409693652">
      <w:bodyDiv w:val="1"/>
      <w:marLeft w:val="0"/>
      <w:marRight w:val="0"/>
      <w:marTop w:val="0"/>
      <w:marBottom w:val="0"/>
      <w:divBdr>
        <w:top w:val="none" w:sz="0" w:space="0" w:color="auto"/>
        <w:left w:val="none" w:sz="0" w:space="0" w:color="auto"/>
        <w:bottom w:val="none" w:sz="0" w:space="0" w:color="auto"/>
        <w:right w:val="none" w:sz="0" w:space="0" w:color="auto"/>
      </w:divBdr>
    </w:div>
    <w:div w:id="1409772021">
      <w:bodyDiv w:val="1"/>
      <w:marLeft w:val="0"/>
      <w:marRight w:val="0"/>
      <w:marTop w:val="0"/>
      <w:marBottom w:val="0"/>
      <w:divBdr>
        <w:top w:val="none" w:sz="0" w:space="0" w:color="auto"/>
        <w:left w:val="none" w:sz="0" w:space="0" w:color="auto"/>
        <w:bottom w:val="none" w:sz="0" w:space="0" w:color="auto"/>
        <w:right w:val="none" w:sz="0" w:space="0" w:color="auto"/>
      </w:divBdr>
    </w:div>
    <w:div w:id="1409811493">
      <w:bodyDiv w:val="1"/>
      <w:marLeft w:val="0"/>
      <w:marRight w:val="0"/>
      <w:marTop w:val="0"/>
      <w:marBottom w:val="0"/>
      <w:divBdr>
        <w:top w:val="none" w:sz="0" w:space="0" w:color="auto"/>
        <w:left w:val="none" w:sz="0" w:space="0" w:color="auto"/>
        <w:bottom w:val="none" w:sz="0" w:space="0" w:color="auto"/>
        <w:right w:val="none" w:sz="0" w:space="0" w:color="auto"/>
      </w:divBdr>
    </w:div>
    <w:div w:id="1409885081">
      <w:bodyDiv w:val="1"/>
      <w:marLeft w:val="0"/>
      <w:marRight w:val="0"/>
      <w:marTop w:val="0"/>
      <w:marBottom w:val="0"/>
      <w:divBdr>
        <w:top w:val="none" w:sz="0" w:space="0" w:color="auto"/>
        <w:left w:val="none" w:sz="0" w:space="0" w:color="auto"/>
        <w:bottom w:val="none" w:sz="0" w:space="0" w:color="auto"/>
        <w:right w:val="none" w:sz="0" w:space="0" w:color="auto"/>
      </w:divBdr>
    </w:div>
    <w:div w:id="1410033956">
      <w:bodyDiv w:val="1"/>
      <w:marLeft w:val="0"/>
      <w:marRight w:val="0"/>
      <w:marTop w:val="0"/>
      <w:marBottom w:val="0"/>
      <w:divBdr>
        <w:top w:val="none" w:sz="0" w:space="0" w:color="auto"/>
        <w:left w:val="none" w:sz="0" w:space="0" w:color="auto"/>
        <w:bottom w:val="none" w:sz="0" w:space="0" w:color="auto"/>
        <w:right w:val="none" w:sz="0" w:space="0" w:color="auto"/>
      </w:divBdr>
    </w:div>
    <w:div w:id="1410035852">
      <w:bodyDiv w:val="1"/>
      <w:marLeft w:val="0"/>
      <w:marRight w:val="0"/>
      <w:marTop w:val="0"/>
      <w:marBottom w:val="0"/>
      <w:divBdr>
        <w:top w:val="none" w:sz="0" w:space="0" w:color="auto"/>
        <w:left w:val="none" w:sz="0" w:space="0" w:color="auto"/>
        <w:bottom w:val="none" w:sz="0" w:space="0" w:color="auto"/>
        <w:right w:val="none" w:sz="0" w:space="0" w:color="auto"/>
      </w:divBdr>
    </w:div>
    <w:div w:id="1410077623">
      <w:bodyDiv w:val="1"/>
      <w:marLeft w:val="0"/>
      <w:marRight w:val="0"/>
      <w:marTop w:val="0"/>
      <w:marBottom w:val="0"/>
      <w:divBdr>
        <w:top w:val="none" w:sz="0" w:space="0" w:color="auto"/>
        <w:left w:val="none" w:sz="0" w:space="0" w:color="auto"/>
        <w:bottom w:val="none" w:sz="0" w:space="0" w:color="auto"/>
        <w:right w:val="none" w:sz="0" w:space="0" w:color="auto"/>
      </w:divBdr>
    </w:div>
    <w:div w:id="1410269339">
      <w:bodyDiv w:val="1"/>
      <w:marLeft w:val="0"/>
      <w:marRight w:val="0"/>
      <w:marTop w:val="0"/>
      <w:marBottom w:val="0"/>
      <w:divBdr>
        <w:top w:val="none" w:sz="0" w:space="0" w:color="auto"/>
        <w:left w:val="none" w:sz="0" w:space="0" w:color="auto"/>
        <w:bottom w:val="none" w:sz="0" w:space="0" w:color="auto"/>
        <w:right w:val="none" w:sz="0" w:space="0" w:color="auto"/>
      </w:divBdr>
    </w:div>
    <w:div w:id="1410348262">
      <w:bodyDiv w:val="1"/>
      <w:marLeft w:val="0"/>
      <w:marRight w:val="0"/>
      <w:marTop w:val="0"/>
      <w:marBottom w:val="0"/>
      <w:divBdr>
        <w:top w:val="none" w:sz="0" w:space="0" w:color="auto"/>
        <w:left w:val="none" w:sz="0" w:space="0" w:color="auto"/>
        <w:bottom w:val="none" w:sz="0" w:space="0" w:color="auto"/>
        <w:right w:val="none" w:sz="0" w:space="0" w:color="auto"/>
      </w:divBdr>
    </w:div>
    <w:div w:id="1410421082">
      <w:bodyDiv w:val="1"/>
      <w:marLeft w:val="0"/>
      <w:marRight w:val="0"/>
      <w:marTop w:val="0"/>
      <w:marBottom w:val="0"/>
      <w:divBdr>
        <w:top w:val="none" w:sz="0" w:space="0" w:color="auto"/>
        <w:left w:val="none" w:sz="0" w:space="0" w:color="auto"/>
        <w:bottom w:val="none" w:sz="0" w:space="0" w:color="auto"/>
        <w:right w:val="none" w:sz="0" w:space="0" w:color="auto"/>
      </w:divBdr>
    </w:div>
    <w:div w:id="1410466559">
      <w:bodyDiv w:val="1"/>
      <w:marLeft w:val="0"/>
      <w:marRight w:val="0"/>
      <w:marTop w:val="0"/>
      <w:marBottom w:val="0"/>
      <w:divBdr>
        <w:top w:val="none" w:sz="0" w:space="0" w:color="auto"/>
        <w:left w:val="none" w:sz="0" w:space="0" w:color="auto"/>
        <w:bottom w:val="none" w:sz="0" w:space="0" w:color="auto"/>
        <w:right w:val="none" w:sz="0" w:space="0" w:color="auto"/>
      </w:divBdr>
    </w:div>
    <w:div w:id="1410535902">
      <w:bodyDiv w:val="1"/>
      <w:marLeft w:val="0"/>
      <w:marRight w:val="0"/>
      <w:marTop w:val="0"/>
      <w:marBottom w:val="0"/>
      <w:divBdr>
        <w:top w:val="none" w:sz="0" w:space="0" w:color="auto"/>
        <w:left w:val="none" w:sz="0" w:space="0" w:color="auto"/>
        <w:bottom w:val="none" w:sz="0" w:space="0" w:color="auto"/>
        <w:right w:val="none" w:sz="0" w:space="0" w:color="auto"/>
      </w:divBdr>
    </w:div>
    <w:div w:id="1410689860">
      <w:bodyDiv w:val="1"/>
      <w:marLeft w:val="0"/>
      <w:marRight w:val="0"/>
      <w:marTop w:val="0"/>
      <w:marBottom w:val="0"/>
      <w:divBdr>
        <w:top w:val="none" w:sz="0" w:space="0" w:color="auto"/>
        <w:left w:val="none" w:sz="0" w:space="0" w:color="auto"/>
        <w:bottom w:val="none" w:sz="0" w:space="0" w:color="auto"/>
        <w:right w:val="none" w:sz="0" w:space="0" w:color="auto"/>
      </w:divBdr>
    </w:div>
    <w:div w:id="1410733875">
      <w:bodyDiv w:val="1"/>
      <w:marLeft w:val="0"/>
      <w:marRight w:val="0"/>
      <w:marTop w:val="0"/>
      <w:marBottom w:val="0"/>
      <w:divBdr>
        <w:top w:val="none" w:sz="0" w:space="0" w:color="auto"/>
        <w:left w:val="none" w:sz="0" w:space="0" w:color="auto"/>
        <w:bottom w:val="none" w:sz="0" w:space="0" w:color="auto"/>
        <w:right w:val="none" w:sz="0" w:space="0" w:color="auto"/>
      </w:divBdr>
    </w:div>
    <w:div w:id="1410737495">
      <w:bodyDiv w:val="1"/>
      <w:marLeft w:val="0"/>
      <w:marRight w:val="0"/>
      <w:marTop w:val="0"/>
      <w:marBottom w:val="0"/>
      <w:divBdr>
        <w:top w:val="none" w:sz="0" w:space="0" w:color="auto"/>
        <w:left w:val="none" w:sz="0" w:space="0" w:color="auto"/>
        <w:bottom w:val="none" w:sz="0" w:space="0" w:color="auto"/>
        <w:right w:val="none" w:sz="0" w:space="0" w:color="auto"/>
      </w:divBdr>
    </w:div>
    <w:div w:id="1410738061">
      <w:bodyDiv w:val="1"/>
      <w:marLeft w:val="0"/>
      <w:marRight w:val="0"/>
      <w:marTop w:val="0"/>
      <w:marBottom w:val="0"/>
      <w:divBdr>
        <w:top w:val="none" w:sz="0" w:space="0" w:color="auto"/>
        <w:left w:val="none" w:sz="0" w:space="0" w:color="auto"/>
        <w:bottom w:val="none" w:sz="0" w:space="0" w:color="auto"/>
        <w:right w:val="none" w:sz="0" w:space="0" w:color="auto"/>
      </w:divBdr>
    </w:div>
    <w:div w:id="1410806095">
      <w:bodyDiv w:val="1"/>
      <w:marLeft w:val="0"/>
      <w:marRight w:val="0"/>
      <w:marTop w:val="0"/>
      <w:marBottom w:val="0"/>
      <w:divBdr>
        <w:top w:val="none" w:sz="0" w:space="0" w:color="auto"/>
        <w:left w:val="none" w:sz="0" w:space="0" w:color="auto"/>
        <w:bottom w:val="none" w:sz="0" w:space="0" w:color="auto"/>
        <w:right w:val="none" w:sz="0" w:space="0" w:color="auto"/>
      </w:divBdr>
    </w:div>
    <w:div w:id="1410884436">
      <w:bodyDiv w:val="1"/>
      <w:marLeft w:val="0"/>
      <w:marRight w:val="0"/>
      <w:marTop w:val="0"/>
      <w:marBottom w:val="0"/>
      <w:divBdr>
        <w:top w:val="none" w:sz="0" w:space="0" w:color="auto"/>
        <w:left w:val="none" w:sz="0" w:space="0" w:color="auto"/>
        <w:bottom w:val="none" w:sz="0" w:space="0" w:color="auto"/>
        <w:right w:val="none" w:sz="0" w:space="0" w:color="auto"/>
      </w:divBdr>
    </w:div>
    <w:div w:id="1410887377">
      <w:bodyDiv w:val="1"/>
      <w:marLeft w:val="0"/>
      <w:marRight w:val="0"/>
      <w:marTop w:val="0"/>
      <w:marBottom w:val="0"/>
      <w:divBdr>
        <w:top w:val="none" w:sz="0" w:space="0" w:color="auto"/>
        <w:left w:val="none" w:sz="0" w:space="0" w:color="auto"/>
        <w:bottom w:val="none" w:sz="0" w:space="0" w:color="auto"/>
        <w:right w:val="none" w:sz="0" w:space="0" w:color="auto"/>
      </w:divBdr>
    </w:div>
    <w:div w:id="1411001458">
      <w:bodyDiv w:val="1"/>
      <w:marLeft w:val="0"/>
      <w:marRight w:val="0"/>
      <w:marTop w:val="0"/>
      <w:marBottom w:val="0"/>
      <w:divBdr>
        <w:top w:val="none" w:sz="0" w:space="0" w:color="auto"/>
        <w:left w:val="none" w:sz="0" w:space="0" w:color="auto"/>
        <w:bottom w:val="none" w:sz="0" w:space="0" w:color="auto"/>
        <w:right w:val="none" w:sz="0" w:space="0" w:color="auto"/>
      </w:divBdr>
    </w:div>
    <w:div w:id="1411073770">
      <w:bodyDiv w:val="1"/>
      <w:marLeft w:val="0"/>
      <w:marRight w:val="0"/>
      <w:marTop w:val="0"/>
      <w:marBottom w:val="0"/>
      <w:divBdr>
        <w:top w:val="none" w:sz="0" w:space="0" w:color="auto"/>
        <w:left w:val="none" w:sz="0" w:space="0" w:color="auto"/>
        <w:bottom w:val="none" w:sz="0" w:space="0" w:color="auto"/>
        <w:right w:val="none" w:sz="0" w:space="0" w:color="auto"/>
      </w:divBdr>
    </w:div>
    <w:div w:id="1411342100">
      <w:bodyDiv w:val="1"/>
      <w:marLeft w:val="0"/>
      <w:marRight w:val="0"/>
      <w:marTop w:val="0"/>
      <w:marBottom w:val="0"/>
      <w:divBdr>
        <w:top w:val="none" w:sz="0" w:space="0" w:color="auto"/>
        <w:left w:val="none" w:sz="0" w:space="0" w:color="auto"/>
        <w:bottom w:val="none" w:sz="0" w:space="0" w:color="auto"/>
        <w:right w:val="none" w:sz="0" w:space="0" w:color="auto"/>
      </w:divBdr>
    </w:div>
    <w:div w:id="1411342941">
      <w:bodyDiv w:val="1"/>
      <w:marLeft w:val="0"/>
      <w:marRight w:val="0"/>
      <w:marTop w:val="0"/>
      <w:marBottom w:val="0"/>
      <w:divBdr>
        <w:top w:val="none" w:sz="0" w:space="0" w:color="auto"/>
        <w:left w:val="none" w:sz="0" w:space="0" w:color="auto"/>
        <w:bottom w:val="none" w:sz="0" w:space="0" w:color="auto"/>
        <w:right w:val="none" w:sz="0" w:space="0" w:color="auto"/>
      </w:divBdr>
    </w:div>
    <w:div w:id="1411345866">
      <w:bodyDiv w:val="1"/>
      <w:marLeft w:val="0"/>
      <w:marRight w:val="0"/>
      <w:marTop w:val="0"/>
      <w:marBottom w:val="0"/>
      <w:divBdr>
        <w:top w:val="none" w:sz="0" w:space="0" w:color="auto"/>
        <w:left w:val="none" w:sz="0" w:space="0" w:color="auto"/>
        <w:bottom w:val="none" w:sz="0" w:space="0" w:color="auto"/>
        <w:right w:val="none" w:sz="0" w:space="0" w:color="auto"/>
      </w:divBdr>
    </w:div>
    <w:div w:id="1411464229">
      <w:bodyDiv w:val="1"/>
      <w:marLeft w:val="0"/>
      <w:marRight w:val="0"/>
      <w:marTop w:val="0"/>
      <w:marBottom w:val="0"/>
      <w:divBdr>
        <w:top w:val="none" w:sz="0" w:space="0" w:color="auto"/>
        <w:left w:val="none" w:sz="0" w:space="0" w:color="auto"/>
        <w:bottom w:val="none" w:sz="0" w:space="0" w:color="auto"/>
        <w:right w:val="none" w:sz="0" w:space="0" w:color="auto"/>
      </w:divBdr>
    </w:div>
    <w:div w:id="1411543413">
      <w:bodyDiv w:val="1"/>
      <w:marLeft w:val="0"/>
      <w:marRight w:val="0"/>
      <w:marTop w:val="0"/>
      <w:marBottom w:val="0"/>
      <w:divBdr>
        <w:top w:val="none" w:sz="0" w:space="0" w:color="auto"/>
        <w:left w:val="none" w:sz="0" w:space="0" w:color="auto"/>
        <w:bottom w:val="none" w:sz="0" w:space="0" w:color="auto"/>
        <w:right w:val="none" w:sz="0" w:space="0" w:color="auto"/>
      </w:divBdr>
    </w:div>
    <w:div w:id="1411544731">
      <w:bodyDiv w:val="1"/>
      <w:marLeft w:val="0"/>
      <w:marRight w:val="0"/>
      <w:marTop w:val="0"/>
      <w:marBottom w:val="0"/>
      <w:divBdr>
        <w:top w:val="none" w:sz="0" w:space="0" w:color="auto"/>
        <w:left w:val="none" w:sz="0" w:space="0" w:color="auto"/>
        <w:bottom w:val="none" w:sz="0" w:space="0" w:color="auto"/>
        <w:right w:val="none" w:sz="0" w:space="0" w:color="auto"/>
      </w:divBdr>
    </w:div>
    <w:div w:id="1411660443">
      <w:bodyDiv w:val="1"/>
      <w:marLeft w:val="0"/>
      <w:marRight w:val="0"/>
      <w:marTop w:val="0"/>
      <w:marBottom w:val="0"/>
      <w:divBdr>
        <w:top w:val="none" w:sz="0" w:space="0" w:color="auto"/>
        <w:left w:val="none" w:sz="0" w:space="0" w:color="auto"/>
        <w:bottom w:val="none" w:sz="0" w:space="0" w:color="auto"/>
        <w:right w:val="none" w:sz="0" w:space="0" w:color="auto"/>
      </w:divBdr>
    </w:div>
    <w:div w:id="1411661318">
      <w:bodyDiv w:val="1"/>
      <w:marLeft w:val="0"/>
      <w:marRight w:val="0"/>
      <w:marTop w:val="0"/>
      <w:marBottom w:val="0"/>
      <w:divBdr>
        <w:top w:val="none" w:sz="0" w:space="0" w:color="auto"/>
        <w:left w:val="none" w:sz="0" w:space="0" w:color="auto"/>
        <w:bottom w:val="none" w:sz="0" w:space="0" w:color="auto"/>
        <w:right w:val="none" w:sz="0" w:space="0" w:color="auto"/>
      </w:divBdr>
    </w:div>
    <w:div w:id="1411780099">
      <w:bodyDiv w:val="1"/>
      <w:marLeft w:val="0"/>
      <w:marRight w:val="0"/>
      <w:marTop w:val="0"/>
      <w:marBottom w:val="0"/>
      <w:divBdr>
        <w:top w:val="none" w:sz="0" w:space="0" w:color="auto"/>
        <w:left w:val="none" w:sz="0" w:space="0" w:color="auto"/>
        <w:bottom w:val="none" w:sz="0" w:space="0" w:color="auto"/>
        <w:right w:val="none" w:sz="0" w:space="0" w:color="auto"/>
      </w:divBdr>
    </w:div>
    <w:div w:id="1411807471">
      <w:bodyDiv w:val="1"/>
      <w:marLeft w:val="0"/>
      <w:marRight w:val="0"/>
      <w:marTop w:val="0"/>
      <w:marBottom w:val="0"/>
      <w:divBdr>
        <w:top w:val="none" w:sz="0" w:space="0" w:color="auto"/>
        <w:left w:val="none" w:sz="0" w:space="0" w:color="auto"/>
        <w:bottom w:val="none" w:sz="0" w:space="0" w:color="auto"/>
        <w:right w:val="none" w:sz="0" w:space="0" w:color="auto"/>
      </w:divBdr>
    </w:div>
    <w:div w:id="1411847428">
      <w:bodyDiv w:val="1"/>
      <w:marLeft w:val="0"/>
      <w:marRight w:val="0"/>
      <w:marTop w:val="0"/>
      <w:marBottom w:val="0"/>
      <w:divBdr>
        <w:top w:val="none" w:sz="0" w:space="0" w:color="auto"/>
        <w:left w:val="none" w:sz="0" w:space="0" w:color="auto"/>
        <w:bottom w:val="none" w:sz="0" w:space="0" w:color="auto"/>
        <w:right w:val="none" w:sz="0" w:space="0" w:color="auto"/>
      </w:divBdr>
    </w:div>
    <w:div w:id="1412041653">
      <w:bodyDiv w:val="1"/>
      <w:marLeft w:val="0"/>
      <w:marRight w:val="0"/>
      <w:marTop w:val="0"/>
      <w:marBottom w:val="0"/>
      <w:divBdr>
        <w:top w:val="none" w:sz="0" w:space="0" w:color="auto"/>
        <w:left w:val="none" w:sz="0" w:space="0" w:color="auto"/>
        <w:bottom w:val="none" w:sz="0" w:space="0" w:color="auto"/>
        <w:right w:val="none" w:sz="0" w:space="0" w:color="auto"/>
      </w:divBdr>
    </w:div>
    <w:div w:id="1412122620">
      <w:bodyDiv w:val="1"/>
      <w:marLeft w:val="0"/>
      <w:marRight w:val="0"/>
      <w:marTop w:val="0"/>
      <w:marBottom w:val="0"/>
      <w:divBdr>
        <w:top w:val="none" w:sz="0" w:space="0" w:color="auto"/>
        <w:left w:val="none" w:sz="0" w:space="0" w:color="auto"/>
        <w:bottom w:val="none" w:sz="0" w:space="0" w:color="auto"/>
        <w:right w:val="none" w:sz="0" w:space="0" w:color="auto"/>
      </w:divBdr>
    </w:div>
    <w:div w:id="1412122744">
      <w:bodyDiv w:val="1"/>
      <w:marLeft w:val="0"/>
      <w:marRight w:val="0"/>
      <w:marTop w:val="0"/>
      <w:marBottom w:val="0"/>
      <w:divBdr>
        <w:top w:val="none" w:sz="0" w:space="0" w:color="auto"/>
        <w:left w:val="none" w:sz="0" w:space="0" w:color="auto"/>
        <w:bottom w:val="none" w:sz="0" w:space="0" w:color="auto"/>
        <w:right w:val="none" w:sz="0" w:space="0" w:color="auto"/>
      </w:divBdr>
    </w:div>
    <w:div w:id="1412197035">
      <w:bodyDiv w:val="1"/>
      <w:marLeft w:val="0"/>
      <w:marRight w:val="0"/>
      <w:marTop w:val="0"/>
      <w:marBottom w:val="0"/>
      <w:divBdr>
        <w:top w:val="none" w:sz="0" w:space="0" w:color="auto"/>
        <w:left w:val="none" w:sz="0" w:space="0" w:color="auto"/>
        <w:bottom w:val="none" w:sz="0" w:space="0" w:color="auto"/>
        <w:right w:val="none" w:sz="0" w:space="0" w:color="auto"/>
      </w:divBdr>
    </w:div>
    <w:div w:id="1412198262">
      <w:bodyDiv w:val="1"/>
      <w:marLeft w:val="0"/>
      <w:marRight w:val="0"/>
      <w:marTop w:val="0"/>
      <w:marBottom w:val="0"/>
      <w:divBdr>
        <w:top w:val="none" w:sz="0" w:space="0" w:color="auto"/>
        <w:left w:val="none" w:sz="0" w:space="0" w:color="auto"/>
        <w:bottom w:val="none" w:sz="0" w:space="0" w:color="auto"/>
        <w:right w:val="none" w:sz="0" w:space="0" w:color="auto"/>
      </w:divBdr>
    </w:div>
    <w:div w:id="1412310329">
      <w:bodyDiv w:val="1"/>
      <w:marLeft w:val="0"/>
      <w:marRight w:val="0"/>
      <w:marTop w:val="0"/>
      <w:marBottom w:val="0"/>
      <w:divBdr>
        <w:top w:val="none" w:sz="0" w:space="0" w:color="auto"/>
        <w:left w:val="none" w:sz="0" w:space="0" w:color="auto"/>
        <w:bottom w:val="none" w:sz="0" w:space="0" w:color="auto"/>
        <w:right w:val="none" w:sz="0" w:space="0" w:color="auto"/>
      </w:divBdr>
    </w:div>
    <w:div w:id="1412510774">
      <w:bodyDiv w:val="1"/>
      <w:marLeft w:val="0"/>
      <w:marRight w:val="0"/>
      <w:marTop w:val="0"/>
      <w:marBottom w:val="0"/>
      <w:divBdr>
        <w:top w:val="none" w:sz="0" w:space="0" w:color="auto"/>
        <w:left w:val="none" w:sz="0" w:space="0" w:color="auto"/>
        <w:bottom w:val="none" w:sz="0" w:space="0" w:color="auto"/>
        <w:right w:val="none" w:sz="0" w:space="0" w:color="auto"/>
      </w:divBdr>
    </w:div>
    <w:div w:id="1412582485">
      <w:bodyDiv w:val="1"/>
      <w:marLeft w:val="0"/>
      <w:marRight w:val="0"/>
      <w:marTop w:val="0"/>
      <w:marBottom w:val="0"/>
      <w:divBdr>
        <w:top w:val="none" w:sz="0" w:space="0" w:color="auto"/>
        <w:left w:val="none" w:sz="0" w:space="0" w:color="auto"/>
        <w:bottom w:val="none" w:sz="0" w:space="0" w:color="auto"/>
        <w:right w:val="none" w:sz="0" w:space="0" w:color="auto"/>
      </w:divBdr>
    </w:div>
    <w:div w:id="1412584536">
      <w:bodyDiv w:val="1"/>
      <w:marLeft w:val="0"/>
      <w:marRight w:val="0"/>
      <w:marTop w:val="0"/>
      <w:marBottom w:val="0"/>
      <w:divBdr>
        <w:top w:val="none" w:sz="0" w:space="0" w:color="auto"/>
        <w:left w:val="none" w:sz="0" w:space="0" w:color="auto"/>
        <w:bottom w:val="none" w:sz="0" w:space="0" w:color="auto"/>
        <w:right w:val="none" w:sz="0" w:space="0" w:color="auto"/>
      </w:divBdr>
    </w:div>
    <w:div w:id="1412694853">
      <w:bodyDiv w:val="1"/>
      <w:marLeft w:val="0"/>
      <w:marRight w:val="0"/>
      <w:marTop w:val="0"/>
      <w:marBottom w:val="0"/>
      <w:divBdr>
        <w:top w:val="none" w:sz="0" w:space="0" w:color="auto"/>
        <w:left w:val="none" w:sz="0" w:space="0" w:color="auto"/>
        <w:bottom w:val="none" w:sz="0" w:space="0" w:color="auto"/>
        <w:right w:val="none" w:sz="0" w:space="0" w:color="auto"/>
      </w:divBdr>
    </w:div>
    <w:div w:id="1412850260">
      <w:bodyDiv w:val="1"/>
      <w:marLeft w:val="0"/>
      <w:marRight w:val="0"/>
      <w:marTop w:val="0"/>
      <w:marBottom w:val="0"/>
      <w:divBdr>
        <w:top w:val="none" w:sz="0" w:space="0" w:color="auto"/>
        <w:left w:val="none" w:sz="0" w:space="0" w:color="auto"/>
        <w:bottom w:val="none" w:sz="0" w:space="0" w:color="auto"/>
        <w:right w:val="none" w:sz="0" w:space="0" w:color="auto"/>
      </w:divBdr>
    </w:div>
    <w:div w:id="1412892603">
      <w:bodyDiv w:val="1"/>
      <w:marLeft w:val="0"/>
      <w:marRight w:val="0"/>
      <w:marTop w:val="0"/>
      <w:marBottom w:val="0"/>
      <w:divBdr>
        <w:top w:val="none" w:sz="0" w:space="0" w:color="auto"/>
        <w:left w:val="none" w:sz="0" w:space="0" w:color="auto"/>
        <w:bottom w:val="none" w:sz="0" w:space="0" w:color="auto"/>
        <w:right w:val="none" w:sz="0" w:space="0" w:color="auto"/>
      </w:divBdr>
    </w:div>
    <w:div w:id="1412896012">
      <w:bodyDiv w:val="1"/>
      <w:marLeft w:val="0"/>
      <w:marRight w:val="0"/>
      <w:marTop w:val="0"/>
      <w:marBottom w:val="0"/>
      <w:divBdr>
        <w:top w:val="none" w:sz="0" w:space="0" w:color="auto"/>
        <w:left w:val="none" w:sz="0" w:space="0" w:color="auto"/>
        <w:bottom w:val="none" w:sz="0" w:space="0" w:color="auto"/>
        <w:right w:val="none" w:sz="0" w:space="0" w:color="auto"/>
      </w:divBdr>
    </w:div>
    <w:div w:id="1412897193">
      <w:bodyDiv w:val="1"/>
      <w:marLeft w:val="0"/>
      <w:marRight w:val="0"/>
      <w:marTop w:val="0"/>
      <w:marBottom w:val="0"/>
      <w:divBdr>
        <w:top w:val="none" w:sz="0" w:space="0" w:color="auto"/>
        <w:left w:val="none" w:sz="0" w:space="0" w:color="auto"/>
        <w:bottom w:val="none" w:sz="0" w:space="0" w:color="auto"/>
        <w:right w:val="none" w:sz="0" w:space="0" w:color="auto"/>
      </w:divBdr>
    </w:div>
    <w:div w:id="1412897261">
      <w:bodyDiv w:val="1"/>
      <w:marLeft w:val="0"/>
      <w:marRight w:val="0"/>
      <w:marTop w:val="0"/>
      <w:marBottom w:val="0"/>
      <w:divBdr>
        <w:top w:val="none" w:sz="0" w:space="0" w:color="auto"/>
        <w:left w:val="none" w:sz="0" w:space="0" w:color="auto"/>
        <w:bottom w:val="none" w:sz="0" w:space="0" w:color="auto"/>
        <w:right w:val="none" w:sz="0" w:space="0" w:color="auto"/>
      </w:divBdr>
    </w:div>
    <w:div w:id="1413039158">
      <w:bodyDiv w:val="1"/>
      <w:marLeft w:val="0"/>
      <w:marRight w:val="0"/>
      <w:marTop w:val="0"/>
      <w:marBottom w:val="0"/>
      <w:divBdr>
        <w:top w:val="none" w:sz="0" w:space="0" w:color="auto"/>
        <w:left w:val="none" w:sz="0" w:space="0" w:color="auto"/>
        <w:bottom w:val="none" w:sz="0" w:space="0" w:color="auto"/>
        <w:right w:val="none" w:sz="0" w:space="0" w:color="auto"/>
      </w:divBdr>
    </w:div>
    <w:div w:id="1413232227">
      <w:bodyDiv w:val="1"/>
      <w:marLeft w:val="0"/>
      <w:marRight w:val="0"/>
      <w:marTop w:val="0"/>
      <w:marBottom w:val="0"/>
      <w:divBdr>
        <w:top w:val="none" w:sz="0" w:space="0" w:color="auto"/>
        <w:left w:val="none" w:sz="0" w:space="0" w:color="auto"/>
        <w:bottom w:val="none" w:sz="0" w:space="0" w:color="auto"/>
        <w:right w:val="none" w:sz="0" w:space="0" w:color="auto"/>
      </w:divBdr>
    </w:div>
    <w:div w:id="1413240343">
      <w:bodyDiv w:val="1"/>
      <w:marLeft w:val="0"/>
      <w:marRight w:val="0"/>
      <w:marTop w:val="0"/>
      <w:marBottom w:val="0"/>
      <w:divBdr>
        <w:top w:val="none" w:sz="0" w:space="0" w:color="auto"/>
        <w:left w:val="none" w:sz="0" w:space="0" w:color="auto"/>
        <w:bottom w:val="none" w:sz="0" w:space="0" w:color="auto"/>
        <w:right w:val="none" w:sz="0" w:space="0" w:color="auto"/>
      </w:divBdr>
    </w:div>
    <w:div w:id="1413429580">
      <w:bodyDiv w:val="1"/>
      <w:marLeft w:val="0"/>
      <w:marRight w:val="0"/>
      <w:marTop w:val="0"/>
      <w:marBottom w:val="0"/>
      <w:divBdr>
        <w:top w:val="none" w:sz="0" w:space="0" w:color="auto"/>
        <w:left w:val="none" w:sz="0" w:space="0" w:color="auto"/>
        <w:bottom w:val="none" w:sz="0" w:space="0" w:color="auto"/>
        <w:right w:val="none" w:sz="0" w:space="0" w:color="auto"/>
      </w:divBdr>
    </w:div>
    <w:div w:id="1413434444">
      <w:bodyDiv w:val="1"/>
      <w:marLeft w:val="0"/>
      <w:marRight w:val="0"/>
      <w:marTop w:val="0"/>
      <w:marBottom w:val="0"/>
      <w:divBdr>
        <w:top w:val="none" w:sz="0" w:space="0" w:color="auto"/>
        <w:left w:val="none" w:sz="0" w:space="0" w:color="auto"/>
        <w:bottom w:val="none" w:sz="0" w:space="0" w:color="auto"/>
        <w:right w:val="none" w:sz="0" w:space="0" w:color="auto"/>
      </w:divBdr>
    </w:div>
    <w:div w:id="1413504156">
      <w:bodyDiv w:val="1"/>
      <w:marLeft w:val="0"/>
      <w:marRight w:val="0"/>
      <w:marTop w:val="0"/>
      <w:marBottom w:val="0"/>
      <w:divBdr>
        <w:top w:val="none" w:sz="0" w:space="0" w:color="auto"/>
        <w:left w:val="none" w:sz="0" w:space="0" w:color="auto"/>
        <w:bottom w:val="none" w:sz="0" w:space="0" w:color="auto"/>
        <w:right w:val="none" w:sz="0" w:space="0" w:color="auto"/>
      </w:divBdr>
    </w:div>
    <w:div w:id="1413505121">
      <w:bodyDiv w:val="1"/>
      <w:marLeft w:val="0"/>
      <w:marRight w:val="0"/>
      <w:marTop w:val="0"/>
      <w:marBottom w:val="0"/>
      <w:divBdr>
        <w:top w:val="none" w:sz="0" w:space="0" w:color="auto"/>
        <w:left w:val="none" w:sz="0" w:space="0" w:color="auto"/>
        <w:bottom w:val="none" w:sz="0" w:space="0" w:color="auto"/>
        <w:right w:val="none" w:sz="0" w:space="0" w:color="auto"/>
      </w:divBdr>
    </w:div>
    <w:div w:id="1413506634">
      <w:bodyDiv w:val="1"/>
      <w:marLeft w:val="0"/>
      <w:marRight w:val="0"/>
      <w:marTop w:val="0"/>
      <w:marBottom w:val="0"/>
      <w:divBdr>
        <w:top w:val="none" w:sz="0" w:space="0" w:color="auto"/>
        <w:left w:val="none" w:sz="0" w:space="0" w:color="auto"/>
        <w:bottom w:val="none" w:sz="0" w:space="0" w:color="auto"/>
        <w:right w:val="none" w:sz="0" w:space="0" w:color="auto"/>
      </w:divBdr>
    </w:div>
    <w:div w:id="1413549549">
      <w:bodyDiv w:val="1"/>
      <w:marLeft w:val="0"/>
      <w:marRight w:val="0"/>
      <w:marTop w:val="0"/>
      <w:marBottom w:val="0"/>
      <w:divBdr>
        <w:top w:val="none" w:sz="0" w:space="0" w:color="auto"/>
        <w:left w:val="none" w:sz="0" w:space="0" w:color="auto"/>
        <w:bottom w:val="none" w:sz="0" w:space="0" w:color="auto"/>
        <w:right w:val="none" w:sz="0" w:space="0" w:color="auto"/>
      </w:divBdr>
    </w:div>
    <w:div w:id="1413820718">
      <w:bodyDiv w:val="1"/>
      <w:marLeft w:val="0"/>
      <w:marRight w:val="0"/>
      <w:marTop w:val="0"/>
      <w:marBottom w:val="0"/>
      <w:divBdr>
        <w:top w:val="none" w:sz="0" w:space="0" w:color="auto"/>
        <w:left w:val="none" w:sz="0" w:space="0" w:color="auto"/>
        <w:bottom w:val="none" w:sz="0" w:space="0" w:color="auto"/>
        <w:right w:val="none" w:sz="0" w:space="0" w:color="auto"/>
      </w:divBdr>
    </w:div>
    <w:div w:id="1413888349">
      <w:bodyDiv w:val="1"/>
      <w:marLeft w:val="0"/>
      <w:marRight w:val="0"/>
      <w:marTop w:val="0"/>
      <w:marBottom w:val="0"/>
      <w:divBdr>
        <w:top w:val="none" w:sz="0" w:space="0" w:color="auto"/>
        <w:left w:val="none" w:sz="0" w:space="0" w:color="auto"/>
        <w:bottom w:val="none" w:sz="0" w:space="0" w:color="auto"/>
        <w:right w:val="none" w:sz="0" w:space="0" w:color="auto"/>
      </w:divBdr>
    </w:div>
    <w:div w:id="1413891367">
      <w:bodyDiv w:val="1"/>
      <w:marLeft w:val="0"/>
      <w:marRight w:val="0"/>
      <w:marTop w:val="0"/>
      <w:marBottom w:val="0"/>
      <w:divBdr>
        <w:top w:val="none" w:sz="0" w:space="0" w:color="auto"/>
        <w:left w:val="none" w:sz="0" w:space="0" w:color="auto"/>
        <w:bottom w:val="none" w:sz="0" w:space="0" w:color="auto"/>
        <w:right w:val="none" w:sz="0" w:space="0" w:color="auto"/>
      </w:divBdr>
    </w:div>
    <w:div w:id="1413963648">
      <w:bodyDiv w:val="1"/>
      <w:marLeft w:val="0"/>
      <w:marRight w:val="0"/>
      <w:marTop w:val="0"/>
      <w:marBottom w:val="0"/>
      <w:divBdr>
        <w:top w:val="none" w:sz="0" w:space="0" w:color="auto"/>
        <w:left w:val="none" w:sz="0" w:space="0" w:color="auto"/>
        <w:bottom w:val="none" w:sz="0" w:space="0" w:color="auto"/>
        <w:right w:val="none" w:sz="0" w:space="0" w:color="auto"/>
      </w:divBdr>
    </w:div>
    <w:div w:id="1413965707">
      <w:bodyDiv w:val="1"/>
      <w:marLeft w:val="0"/>
      <w:marRight w:val="0"/>
      <w:marTop w:val="0"/>
      <w:marBottom w:val="0"/>
      <w:divBdr>
        <w:top w:val="none" w:sz="0" w:space="0" w:color="auto"/>
        <w:left w:val="none" w:sz="0" w:space="0" w:color="auto"/>
        <w:bottom w:val="none" w:sz="0" w:space="0" w:color="auto"/>
        <w:right w:val="none" w:sz="0" w:space="0" w:color="auto"/>
      </w:divBdr>
    </w:div>
    <w:div w:id="1414157226">
      <w:bodyDiv w:val="1"/>
      <w:marLeft w:val="0"/>
      <w:marRight w:val="0"/>
      <w:marTop w:val="0"/>
      <w:marBottom w:val="0"/>
      <w:divBdr>
        <w:top w:val="none" w:sz="0" w:space="0" w:color="auto"/>
        <w:left w:val="none" w:sz="0" w:space="0" w:color="auto"/>
        <w:bottom w:val="none" w:sz="0" w:space="0" w:color="auto"/>
        <w:right w:val="none" w:sz="0" w:space="0" w:color="auto"/>
      </w:divBdr>
    </w:div>
    <w:div w:id="1414283332">
      <w:bodyDiv w:val="1"/>
      <w:marLeft w:val="0"/>
      <w:marRight w:val="0"/>
      <w:marTop w:val="0"/>
      <w:marBottom w:val="0"/>
      <w:divBdr>
        <w:top w:val="none" w:sz="0" w:space="0" w:color="auto"/>
        <w:left w:val="none" w:sz="0" w:space="0" w:color="auto"/>
        <w:bottom w:val="none" w:sz="0" w:space="0" w:color="auto"/>
        <w:right w:val="none" w:sz="0" w:space="0" w:color="auto"/>
      </w:divBdr>
    </w:div>
    <w:div w:id="1414358036">
      <w:bodyDiv w:val="1"/>
      <w:marLeft w:val="0"/>
      <w:marRight w:val="0"/>
      <w:marTop w:val="0"/>
      <w:marBottom w:val="0"/>
      <w:divBdr>
        <w:top w:val="none" w:sz="0" w:space="0" w:color="auto"/>
        <w:left w:val="none" w:sz="0" w:space="0" w:color="auto"/>
        <w:bottom w:val="none" w:sz="0" w:space="0" w:color="auto"/>
        <w:right w:val="none" w:sz="0" w:space="0" w:color="auto"/>
      </w:divBdr>
    </w:div>
    <w:div w:id="1414398449">
      <w:bodyDiv w:val="1"/>
      <w:marLeft w:val="0"/>
      <w:marRight w:val="0"/>
      <w:marTop w:val="0"/>
      <w:marBottom w:val="0"/>
      <w:divBdr>
        <w:top w:val="none" w:sz="0" w:space="0" w:color="auto"/>
        <w:left w:val="none" w:sz="0" w:space="0" w:color="auto"/>
        <w:bottom w:val="none" w:sz="0" w:space="0" w:color="auto"/>
        <w:right w:val="none" w:sz="0" w:space="0" w:color="auto"/>
      </w:divBdr>
    </w:div>
    <w:div w:id="1414426964">
      <w:bodyDiv w:val="1"/>
      <w:marLeft w:val="0"/>
      <w:marRight w:val="0"/>
      <w:marTop w:val="0"/>
      <w:marBottom w:val="0"/>
      <w:divBdr>
        <w:top w:val="none" w:sz="0" w:space="0" w:color="auto"/>
        <w:left w:val="none" w:sz="0" w:space="0" w:color="auto"/>
        <w:bottom w:val="none" w:sz="0" w:space="0" w:color="auto"/>
        <w:right w:val="none" w:sz="0" w:space="0" w:color="auto"/>
      </w:divBdr>
    </w:div>
    <w:div w:id="1414468510">
      <w:bodyDiv w:val="1"/>
      <w:marLeft w:val="0"/>
      <w:marRight w:val="0"/>
      <w:marTop w:val="0"/>
      <w:marBottom w:val="0"/>
      <w:divBdr>
        <w:top w:val="none" w:sz="0" w:space="0" w:color="auto"/>
        <w:left w:val="none" w:sz="0" w:space="0" w:color="auto"/>
        <w:bottom w:val="none" w:sz="0" w:space="0" w:color="auto"/>
        <w:right w:val="none" w:sz="0" w:space="0" w:color="auto"/>
      </w:divBdr>
    </w:div>
    <w:div w:id="1414661742">
      <w:bodyDiv w:val="1"/>
      <w:marLeft w:val="0"/>
      <w:marRight w:val="0"/>
      <w:marTop w:val="0"/>
      <w:marBottom w:val="0"/>
      <w:divBdr>
        <w:top w:val="none" w:sz="0" w:space="0" w:color="auto"/>
        <w:left w:val="none" w:sz="0" w:space="0" w:color="auto"/>
        <w:bottom w:val="none" w:sz="0" w:space="0" w:color="auto"/>
        <w:right w:val="none" w:sz="0" w:space="0" w:color="auto"/>
      </w:divBdr>
    </w:div>
    <w:div w:id="1414739625">
      <w:bodyDiv w:val="1"/>
      <w:marLeft w:val="0"/>
      <w:marRight w:val="0"/>
      <w:marTop w:val="0"/>
      <w:marBottom w:val="0"/>
      <w:divBdr>
        <w:top w:val="none" w:sz="0" w:space="0" w:color="auto"/>
        <w:left w:val="none" w:sz="0" w:space="0" w:color="auto"/>
        <w:bottom w:val="none" w:sz="0" w:space="0" w:color="auto"/>
        <w:right w:val="none" w:sz="0" w:space="0" w:color="auto"/>
      </w:divBdr>
    </w:div>
    <w:div w:id="1414745251">
      <w:bodyDiv w:val="1"/>
      <w:marLeft w:val="0"/>
      <w:marRight w:val="0"/>
      <w:marTop w:val="0"/>
      <w:marBottom w:val="0"/>
      <w:divBdr>
        <w:top w:val="none" w:sz="0" w:space="0" w:color="auto"/>
        <w:left w:val="none" w:sz="0" w:space="0" w:color="auto"/>
        <w:bottom w:val="none" w:sz="0" w:space="0" w:color="auto"/>
        <w:right w:val="none" w:sz="0" w:space="0" w:color="auto"/>
      </w:divBdr>
    </w:div>
    <w:div w:id="1415010277">
      <w:bodyDiv w:val="1"/>
      <w:marLeft w:val="0"/>
      <w:marRight w:val="0"/>
      <w:marTop w:val="0"/>
      <w:marBottom w:val="0"/>
      <w:divBdr>
        <w:top w:val="none" w:sz="0" w:space="0" w:color="auto"/>
        <w:left w:val="none" w:sz="0" w:space="0" w:color="auto"/>
        <w:bottom w:val="none" w:sz="0" w:space="0" w:color="auto"/>
        <w:right w:val="none" w:sz="0" w:space="0" w:color="auto"/>
      </w:divBdr>
    </w:div>
    <w:div w:id="1415084269">
      <w:bodyDiv w:val="1"/>
      <w:marLeft w:val="0"/>
      <w:marRight w:val="0"/>
      <w:marTop w:val="0"/>
      <w:marBottom w:val="0"/>
      <w:divBdr>
        <w:top w:val="none" w:sz="0" w:space="0" w:color="auto"/>
        <w:left w:val="none" w:sz="0" w:space="0" w:color="auto"/>
        <w:bottom w:val="none" w:sz="0" w:space="0" w:color="auto"/>
        <w:right w:val="none" w:sz="0" w:space="0" w:color="auto"/>
      </w:divBdr>
    </w:div>
    <w:div w:id="1415201091">
      <w:bodyDiv w:val="1"/>
      <w:marLeft w:val="0"/>
      <w:marRight w:val="0"/>
      <w:marTop w:val="0"/>
      <w:marBottom w:val="0"/>
      <w:divBdr>
        <w:top w:val="none" w:sz="0" w:space="0" w:color="auto"/>
        <w:left w:val="none" w:sz="0" w:space="0" w:color="auto"/>
        <w:bottom w:val="none" w:sz="0" w:space="0" w:color="auto"/>
        <w:right w:val="none" w:sz="0" w:space="0" w:color="auto"/>
      </w:divBdr>
    </w:div>
    <w:div w:id="1415201698">
      <w:bodyDiv w:val="1"/>
      <w:marLeft w:val="0"/>
      <w:marRight w:val="0"/>
      <w:marTop w:val="0"/>
      <w:marBottom w:val="0"/>
      <w:divBdr>
        <w:top w:val="none" w:sz="0" w:space="0" w:color="auto"/>
        <w:left w:val="none" w:sz="0" w:space="0" w:color="auto"/>
        <w:bottom w:val="none" w:sz="0" w:space="0" w:color="auto"/>
        <w:right w:val="none" w:sz="0" w:space="0" w:color="auto"/>
      </w:divBdr>
    </w:div>
    <w:div w:id="1415202332">
      <w:bodyDiv w:val="1"/>
      <w:marLeft w:val="0"/>
      <w:marRight w:val="0"/>
      <w:marTop w:val="0"/>
      <w:marBottom w:val="0"/>
      <w:divBdr>
        <w:top w:val="none" w:sz="0" w:space="0" w:color="auto"/>
        <w:left w:val="none" w:sz="0" w:space="0" w:color="auto"/>
        <w:bottom w:val="none" w:sz="0" w:space="0" w:color="auto"/>
        <w:right w:val="none" w:sz="0" w:space="0" w:color="auto"/>
      </w:divBdr>
    </w:div>
    <w:div w:id="1415276807">
      <w:bodyDiv w:val="1"/>
      <w:marLeft w:val="0"/>
      <w:marRight w:val="0"/>
      <w:marTop w:val="0"/>
      <w:marBottom w:val="0"/>
      <w:divBdr>
        <w:top w:val="none" w:sz="0" w:space="0" w:color="auto"/>
        <w:left w:val="none" w:sz="0" w:space="0" w:color="auto"/>
        <w:bottom w:val="none" w:sz="0" w:space="0" w:color="auto"/>
        <w:right w:val="none" w:sz="0" w:space="0" w:color="auto"/>
      </w:divBdr>
    </w:div>
    <w:div w:id="1415277393">
      <w:bodyDiv w:val="1"/>
      <w:marLeft w:val="0"/>
      <w:marRight w:val="0"/>
      <w:marTop w:val="0"/>
      <w:marBottom w:val="0"/>
      <w:divBdr>
        <w:top w:val="none" w:sz="0" w:space="0" w:color="auto"/>
        <w:left w:val="none" w:sz="0" w:space="0" w:color="auto"/>
        <w:bottom w:val="none" w:sz="0" w:space="0" w:color="auto"/>
        <w:right w:val="none" w:sz="0" w:space="0" w:color="auto"/>
      </w:divBdr>
    </w:div>
    <w:div w:id="1415318723">
      <w:bodyDiv w:val="1"/>
      <w:marLeft w:val="0"/>
      <w:marRight w:val="0"/>
      <w:marTop w:val="0"/>
      <w:marBottom w:val="0"/>
      <w:divBdr>
        <w:top w:val="none" w:sz="0" w:space="0" w:color="auto"/>
        <w:left w:val="none" w:sz="0" w:space="0" w:color="auto"/>
        <w:bottom w:val="none" w:sz="0" w:space="0" w:color="auto"/>
        <w:right w:val="none" w:sz="0" w:space="0" w:color="auto"/>
      </w:divBdr>
    </w:div>
    <w:div w:id="1415324910">
      <w:bodyDiv w:val="1"/>
      <w:marLeft w:val="0"/>
      <w:marRight w:val="0"/>
      <w:marTop w:val="0"/>
      <w:marBottom w:val="0"/>
      <w:divBdr>
        <w:top w:val="none" w:sz="0" w:space="0" w:color="auto"/>
        <w:left w:val="none" w:sz="0" w:space="0" w:color="auto"/>
        <w:bottom w:val="none" w:sz="0" w:space="0" w:color="auto"/>
        <w:right w:val="none" w:sz="0" w:space="0" w:color="auto"/>
      </w:divBdr>
    </w:div>
    <w:div w:id="1415399402">
      <w:bodyDiv w:val="1"/>
      <w:marLeft w:val="0"/>
      <w:marRight w:val="0"/>
      <w:marTop w:val="0"/>
      <w:marBottom w:val="0"/>
      <w:divBdr>
        <w:top w:val="none" w:sz="0" w:space="0" w:color="auto"/>
        <w:left w:val="none" w:sz="0" w:space="0" w:color="auto"/>
        <w:bottom w:val="none" w:sz="0" w:space="0" w:color="auto"/>
        <w:right w:val="none" w:sz="0" w:space="0" w:color="auto"/>
      </w:divBdr>
    </w:div>
    <w:div w:id="1415469244">
      <w:bodyDiv w:val="1"/>
      <w:marLeft w:val="0"/>
      <w:marRight w:val="0"/>
      <w:marTop w:val="0"/>
      <w:marBottom w:val="0"/>
      <w:divBdr>
        <w:top w:val="none" w:sz="0" w:space="0" w:color="auto"/>
        <w:left w:val="none" w:sz="0" w:space="0" w:color="auto"/>
        <w:bottom w:val="none" w:sz="0" w:space="0" w:color="auto"/>
        <w:right w:val="none" w:sz="0" w:space="0" w:color="auto"/>
      </w:divBdr>
    </w:div>
    <w:div w:id="1415474107">
      <w:bodyDiv w:val="1"/>
      <w:marLeft w:val="0"/>
      <w:marRight w:val="0"/>
      <w:marTop w:val="0"/>
      <w:marBottom w:val="0"/>
      <w:divBdr>
        <w:top w:val="none" w:sz="0" w:space="0" w:color="auto"/>
        <w:left w:val="none" w:sz="0" w:space="0" w:color="auto"/>
        <w:bottom w:val="none" w:sz="0" w:space="0" w:color="auto"/>
        <w:right w:val="none" w:sz="0" w:space="0" w:color="auto"/>
      </w:divBdr>
    </w:div>
    <w:div w:id="1415514687">
      <w:bodyDiv w:val="1"/>
      <w:marLeft w:val="0"/>
      <w:marRight w:val="0"/>
      <w:marTop w:val="0"/>
      <w:marBottom w:val="0"/>
      <w:divBdr>
        <w:top w:val="none" w:sz="0" w:space="0" w:color="auto"/>
        <w:left w:val="none" w:sz="0" w:space="0" w:color="auto"/>
        <w:bottom w:val="none" w:sz="0" w:space="0" w:color="auto"/>
        <w:right w:val="none" w:sz="0" w:space="0" w:color="auto"/>
      </w:divBdr>
    </w:div>
    <w:div w:id="1415543016">
      <w:bodyDiv w:val="1"/>
      <w:marLeft w:val="0"/>
      <w:marRight w:val="0"/>
      <w:marTop w:val="0"/>
      <w:marBottom w:val="0"/>
      <w:divBdr>
        <w:top w:val="none" w:sz="0" w:space="0" w:color="auto"/>
        <w:left w:val="none" w:sz="0" w:space="0" w:color="auto"/>
        <w:bottom w:val="none" w:sz="0" w:space="0" w:color="auto"/>
        <w:right w:val="none" w:sz="0" w:space="0" w:color="auto"/>
      </w:divBdr>
    </w:div>
    <w:div w:id="1415590065">
      <w:bodyDiv w:val="1"/>
      <w:marLeft w:val="0"/>
      <w:marRight w:val="0"/>
      <w:marTop w:val="0"/>
      <w:marBottom w:val="0"/>
      <w:divBdr>
        <w:top w:val="none" w:sz="0" w:space="0" w:color="auto"/>
        <w:left w:val="none" w:sz="0" w:space="0" w:color="auto"/>
        <w:bottom w:val="none" w:sz="0" w:space="0" w:color="auto"/>
        <w:right w:val="none" w:sz="0" w:space="0" w:color="auto"/>
      </w:divBdr>
    </w:div>
    <w:div w:id="1415662465">
      <w:bodyDiv w:val="1"/>
      <w:marLeft w:val="0"/>
      <w:marRight w:val="0"/>
      <w:marTop w:val="0"/>
      <w:marBottom w:val="0"/>
      <w:divBdr>
        <w:top w:val="none" w:sz="0" w:space="0" w:color="auto"/>
        <w:left w:val="none" w:sz="0" w:space="0" w:color="auto"/>
        <w:bottom w:val="none" w:sz="0" w:space="0" w:color="auto"/>
        <w:right w:val="none" w:sz="0" w:space="0" w:color="auto"/>
      </w:divBdr>
    </w:div>
    <w:div w:id="1415781577">
      <w:bodyDiv w:val="1"/>
      <w:marLeft w:val="0"/>
      <w:marRight w:val="0"/>
      <w:marTop w:val="0"/>
      <w:marBottom w:val="0"/>
      <w:divBdr>
        <w:top w:val="none" w:sz="0" w:space="0" w:color="auto"/>
        <w:left w:val="none" w:sz="0" w:space="0" w:color="auto"/>
        <w:bottom w:val="none" w:sz="0" w:space="0" w:color="auto"/>
        <w:right w:val="none" w:sz="0" w:space="0" w:color="auto"/>
      </w:divBdr>
    </w:div>
    <w:div w:id="1415787470">
      <w:bodyDiv w:val="1"/>
      <w:marLeft w:val="0"/>
      <w:marRight w:val="0"/>
      <w:marTop w:val="0"/>
      <w:marBottom w:val="0"/>
      <w:divBdr>
        <w:top w:val="none" w:sz="0" w:space="0" w:color="auto"/>
        <w:left w:val="none" w:sz="0" w:space="0" w:color="auto"/>
        <w:bottom w:val="none" w:sz="0" w:space="0" w:color="auto"/>
        <w:right w:val="none" w:sz="0" w:space="0" w:color="auto"/>
      </w:divBdr>
    </w:div>
    <w:div w:id="1415928648">
      <w:bodyDiv w:val="1"/>
      <w:marLeft w:val="0"/>
      <w:marRight w:val="0"/>
      <w:marTop w:val="0"/>
      <w:marBottom w:val="0"/>
      <w:divBdr>
        <w:top w:val="none" w:sz="0" w:space="0" w:color="auto"/>
        <w:left w:val="none" w:sz="0" w:space="0" w:color="auto"/>
        <w:bottom w:val="none" w:sz="0" w:space="0" w:color="auto"/>
        <w:right w:val="none" w:sz="0" w:space="0" w:color="auto"/>
      </w:divBdr>
    </w:div>
    <w:div w:id="1415973882">
      <w:bodyDiv w:val="1"/>
      <w:marLeft w:val="0"/>
      <w:marRight w:val="0"/>
      <w:marTop w:val="0"/>
      <w:marBottom w:val="0"/>
      <w:divBdr>
        <w:top w:val="none" w:sz="0" w:space="0" w:color="auto"/>
        <w:left w:val="none" w:sz="0" w:space="0" w:color="auto"/>
        <w:bottom w:val="none" w:sz="0" w:space="0" w:color="auto"/>
        <w:right w:val="none" w:sz="0" w:space="0" w:color="auto"/>
      </w:divBdr>
    </w:div>
    <w:div w:id="1416130430">
      <w:bodyDiv w:val="1"/>
      <w:marLeft w:val="0"/>
      <w:marRight w:val="0"/>
      <w:marTop w:val="0"/>
      <w:marBottom w:val="0"/>
      <w:divBdr>
        <w:top w:val="none" w:sz="0" w:space="0" w:color="auto"/>
        <w:left w:val="none" w:sz="0" w:space="0" w:color="auto"/>
        <w:bottom w:val="none" w:sz="0" w:space="0" w:color="auto"/>
        <w:right w:val="none" w:sz="0" w:space="0" w:color="auto"/>
      </w:divBdr>
    </w:div>
    <w:div w:id="1416167931">
      <w:bodyDiv w:val="1"/>
      <w:marLeft w:val="0"/>
      <w:marRight w:val="0"/>
      <w:marTop w:val="0"/>
      <w:marBottom w:val="0"/>
      <w:divBdr>
        <w:top w:val="none" w:sz="0" w:space="0" w:color="auto"/>
        <w:left w:val="none" w:sz="0" w:space="0" w:color="auto"/>
        <w:bottom w:val="none" w:sz="0" w:space="0" w:color="auto"/>
        <w:right w:val="none" w:sz="0" w:space="0" w:color="auto"/>
      </w:divBdr>
    </w:div>
    <w:div w:id="1416364503">
      <w:bodyDiv w:val="1"/>
      <w:marLeft w:val="0"/>
      <w:marRight w:val="0"/>
      <w:marTop w:val="0"/>
      <w:marBottom w:val="0"/>
      <w:divBdr>
        <w:top w:val="none" w:sz="0" w:space="0" w:color="auto"/>
        <w:left w:val="none" w:sz="0" w:space="0" w:color="auto"/>
        <w:bottom w:val="none" w:sz="0" w:space="0" w:color="auto"/>
        <w:right w:val="none" w:sz="0" w:space="0" w:color="auto"/>
      </w:divBdr>
    </w:div>
    <w:div w:id="1416434704">
      <w:bodyDiv w:val="1"/>
      <w:marLeft w:val="0"/>
      <w:marRight w:val="0"/>
      <w:marTop w:val="0"/>
      <w:marBottom w:val="0"/>
      <w:divBdr>
        <w:top w:val="none" w:sz="0" w:space="0" w:color="auto"/>
        <w:left w:val="none" w:sz="0" w:space="0" w:color="auto"/>
        <w:bottom w:val="none" w:sz="0" w:space="0" w:color="auto"/>
        <w:right w:val="none" w:sz="0" w:space="0" w:color="auto"/>
      </w:divBdr>
    </w:div>
    <w:div w:id="1416509842">
      <w:bodyDiv w:val="1"/>
      <w:marLeft w:val="0"/>
      <w:marRight w:val="0"/>
      <w:marTop w:val="0"/>
      <w:marBottom w:val="0"/>
      <w:divBdr>
        <w:top w:val="none" w:sz="0" w:space="0" w:color="auto"/>
        <w:left w:val="none" w:sz="0" w:space="0" w:color="auto"/>
        <w:bottom w:val="none" w:sz="0" w:space="0" w:color="auto"/>
        <w:right w:val="none" w:sz="0" w:space="0" w:color="auto"/>
      </w:divBdr>
    </w:div>
    <w:div w:id="1416514664">
      <w:bodyDiv w:val="1"/>
      <w:marLeft w:val="0"/>
      <w:marRight w:val="0"/>
      <w:marTop w:val="0"/>
      <w:marBottom w:val="0"/>
      <w:divBdr>
        <w:top w:val="none" w:sz="0" w:space="0" w:color="auto"/>
        <w:left w:val="none" w:sz="0" w:space="0" w:color="auto"/>
        <w:bottom w:val="none" w:sz="0" w:space="0" w:color="auto"/>
        <w:right w:val="none" w:sz="0" w:space="0" w:color="auto"/>
      </w:divBdr>
    </w:div>
    <w:div w:id="1416515707">
      <w:bodyDiv w:val="1"/>
      <w:marLeft w:val="0"/>
      <w:marRight w:val="0"/>
      <w:marTop w:val="0"/>
      <w:marBottom w:val="0"/>
      <w:divBdr>
        <w:top w:val="none" w:sz="0" w:space="0" w:color="auto"/>
        <w:left w:val="none" w:sz="0" w:space="0" w:color="auto"/>
        <w:bottom w:val="none" w:sz="0" w:space="0" w:color="auto"/>
        <w:right w:val="none" w:sz="0" w:space="0" w:color="auto"/>
      </w:divBdr>
    </w:div>
    <w:div w:id="1416590157">
      <w:bodyDiv w:val="1"/>
      <w:marLeft w:val="0"/>
      <w:marRight w:val="0"/>
      <w:marTop w:val="0"/>
      <w:marBottom w:val="0"/>
      <w:divBdr>
        <w:top w:val="none" w:sz="0" w:space="0" w:color="auto"/>
        <w:left w:val="none" w:sz="0" w:space="0" w:color="auto"/>
        <w:bottom w:val="none" w:sz="0" w:space="0" w:color="auto"/>
        <w:right w:val="none" w:sz="0" w:space="0" w:color="auto"/>
      </w:divBdr>
    </w:div>
    <w:div w:id="1416592270">
      <w:bodyDiv w:val="1"/>
      <w:marLeft w:val="0"/>
      <w:marRight w:val="0"/>
      <w:marTop w:val="0"/>
      <w:marBottom w:val="0"/>
      <w:divBdr>
        <w:top w:val="none" w:sz="0" w:space="0" w:color="auto"/>
        <w:left w:val="none" w:sz="0" w:space="0" w:color="auto"/>
        <w:bottom w:val="none" w:sz="0" w:space="0" w:color="auto"/>
        <w:right w:val="none" w:sz="0" w:space="0" w:color="auto"/>
      </w:divBdr>
    </w:div>
    <w:div w:id="1416705486">
      <w:bodyDiv w:val="1"/>
      <w:marLeft w:val="0"/>
      <w:marRight w:val="0"/>
      <w:marTop w:val="0"/>
      <w:marBottom w:val="0"/>
      <w:divBdr>
        <w:top w:val="none" w:sz="0" w:space="0" w:color="auto"/>
        <w:left w:val="none" w:sz="0" w:space="0" w:color="auto"/>
        <w:bottom w:val="none" w:sz="0" w:space="0" w:color="auto"/>
        <w:right w:val="none" w:sz="0" w:space="0" w:color="auto"/>
      </w:divBdr>
    </w:div>
    <w:div w:id="1416707949">
      <w:bodyDiv w:val="1"/>
      <w:marLeft w:val="0"/>
      <w:marRight w:val="0"/>
      <w:marTop w:val="0"/>
      <w:marBottom w:val="0"/>
      <w:divBdr>
        <w:top w:val="none" w:sz="0" w:space="0" w:color="auto"/>
        <w:left w:val="none" w:sz="0" w:space="0" w:color="auto"/>
        <w:bottom w:val="none" w:sz="0" w:space="0" w:color="auto"/>
        <w:right w:val="none" w:sz="0" w:space="0" w:color="auto"/>
      </w:divBdr>
    </w:div>
    <w:div w:id="1416709505">
      <w:bodyDiv w:val="1"/>
      <w:marLeft w:val="0"/>
      <w:marRight w:val="0"/>
      <w:marTop w:val="0"/>
      <w:marBottom w:val="0"/>
      <w:divBdr>
        <w:top w:val="none" w:sz="0" w:space="0" w:color="auto"/>
        <w:left w:val="none" w:sz="0" w:space="0" w:color="auto"/>
        <w:bottom w:val="none" w:sz="0" w:space="0" w:color="auto"/>
        <w:right w:val="none" w:sz="0" w:space="0" w:color="auto"/>
      </w:divBdr>
    </w:div>
    <w:div w:id="1416780501">
      <w:bodyDiv w:val="1"/>
      <w:marLeft w:val="0"/>
      <w:marRight w:val="0"/>
      <w:marTop w:val="0"/>
      <w:marBottom w:val="0"/>
      <w:divBdr>
        <w:top w:val="none" w:sz="0" w:space="0" w:color="auto"/>
        <w:left w:val="none" w:sz="0" w:space="0" w:color="auto"/>
        <w:bottom w:val="none" w:sz="0" w:space="0" w:color="auto"/>
        <w:right w:val="none" w:sz="0" w:space="0" w:color="auto"/>
      </w:divBdr>
    </w:div>
    <w:div w:id="1416827423">
      <w:bodyDiv w:val="1"/>
      <w:marLeft w:val="0"/>
      <w:marRight w:val="0"/>
      <w:marTop w:val="0"/>
      <w:marBottom w:val="0"/>
      <w:divBdr>
        <w:top w:val="none" w:sz="0" w:space="0" w:color="auto"/>
        <w:left w:val="none" w:sz="0" w:space="0" w:color="auto"/>
        <w:bottom w:val="none" w:sz="0" w:space="0" w:color="auto"/>
        <w:right w:val="none" w:sz="0" w:space="0" w:color="auto"/>
      </w:divBdr>
    </w:div>
    <w:div w:id="1416903606">
      <w:bodyDiv w:val="1"/>
      <w:marLeft w:val="0"/>
      <w:marRight w:val="0"/>
      <w:marTop w:val="0"/>
      <w:marBottom w:val="0"/>
      <w:divBdr>
        <w:top w:val="none" w:sz="0" w:space="0" w:color="auto"/>
        <w:left w:val="none" w:sz="0" w:space="0" w:color="auto"/>
        <w:bottom w:val="none" w:sz="0" w:space="0" w:color="auto"/>
        <w:right w:val="none" w:sz="0" w:space="0" w:color="auto"/>
      </w:divBdr>
    </w:div>
    <w:div w:id="1417248716">
      <w:bodyDiv w:val="1"/>
      <w:marLeft w:val="0"/>
      <w:marRight w:val="0"/>
      <w:marTop w:val="0"/>
      <w:marBottom w:val="0"/>
      <w:divBdr>
        <w:top w:val="none" w:sz="0" w:space="0" w:color="auto"/>
        <w:left w:val="none" w:sz="0" w:space="0" w:color="auto"/>
        <w:bottom w:val="none" w:sz="0" w:space="0" w:color="auto"/>
        <w:right w:val="none" w:sz="0" w:space="0" w:color="auto"/>
      </w:divBdr>
    </w:div>
    <w:div w:id="1417285975">
      <w:bodyDiv w:val="1"/>
      <w:marLeft w:val="0"/>
      <w:marRight w:val="0"/>
      <w:marTop w:val="0"/>
      <w:marBottom w:val="0"/>
      <w:divBdr>
        <w:top w:val="none" w:sz="0" w:space="0" w:color="auto"/>
        <w:left w:val="none" w:sz="0" w:space="0" w:color="auto"/>
        <w:bottom w:val="none" w:sz="0" w:space="0" w:color="auto"/>
        <w:right w:val="none" w:sz="0" w:space="0" w:color="auto"/>
      </w:divBdr>
    </w:div>
    <w:div w:id="1417434630">
      <w:bodyDiv w:val="1"/>
      <w:marLeft w:val="0"/>
      <w:marRight w:val="0"/>
      <w:marTop w:val="0"/>
      <w:marBottom w:val="0"/>
      <w:divBdr>
        <w:top w:val="none" w:sz="0" w:space="0" w:color="auto"/>
        <w:left w:val="none" w:sz="0" w:space="0" w:color="auto"/>
        <w:bottom w:val="none" w:sz="0" w:space="0" w:color="auto"/>
        <w:right w:val="none" w:sz="0" w:space="0" w:color="auto"/>
      </w:divBdr>
    </w:div>
    <w:div w:id="1417510627">
      <w:bodyDiv w:val="1"/>
      <w:marLeft w:val="0"/>
      <w:marRight w:val="0"/>
      <w:marTop w:val="0"/>
      <w:marBottom w:val="0"/>
      <w:divBdr>
        <w:top w:val="none" w:sz="0" w:space="0" w:color="auto"/>
        <w:left w:val="none" w:sz="0" w:space="0" w:color="auto"/>
        <w:bottom w:val="none" w:sz="0" w:space="0" w:color="auto"/>
        <w:right w:val="none" w:sz="0" w:space="0" w:color="auto"/>
      </w:divBdr>
    </w:div>
    <w:div w:id="1417634178">
      <w:bodyDiv w:val="1"/>
      <w:marLeft w:val="0"/>
      <w:marRight w:val="0"/>
      <w:marTop w:val="0"/>
      <w:marBottom w:val="0"/>
      <w:divBdr>
        <w:top w:val="none" w:sz="0" w:space="0" w:color="auto"/>
        <w:left w:val="none" w:sz="0" w:space="0" w:color="auto"/>
        <w:bottom w:val="none" w:sz="0" w:space="0" w:color="auto"/>
        <w:right w:val="none" w:sz="0" w:space="0" w:color="auto"/>
      </w:divBdr>
    </w:div>
    <w:div w:id="1417677718">
      <w:bodyDiv w:val="1"/>
      <w:marLeft w:val="0"/>
      <w:marRight w:val="0"/>
      <w:marTop w:val="0"/>
      <w:marBottom w:val="0"/>
      <w:divBdr>
        <w:top w:val="none" w:sz="0" w:space="0" w:color="auto"/>
        <w:left w:val="none" w:sz="0" w:space="0" w:color="auto"/>
        <w:bottom w:val="none" w:sz="0" w:space="0" w:color="auto"/>
        <w:right w:val="none" w:sz="0" w:space="0" w:color="auto"/>
      </w:divBdr>
    </w:div>
    <w:div w:id="1417705900">
      <w:bodyDiv w:val="1"/>
      <w:marLeft w:val="0"/>
      <w:marRight w:val="0"/>
      <w:marTop w:val="0"/>
      <w:marBottom w:val="0"/>
      <w:divBdr>
        <w:top w:val="none" w:sz="0" w:space="0" w:color="auto"/>
        <w:left w:val="none" w:sz="0" w:space="0" w:color="auto"/>
        <w:bottom w:val="none" w:sz="0" w:space="0" w:color="auto"/>
        <w:right w:val="none" w:sz="0" w:space="0" w:color="auto"/>
      </w:divBdr>
    </w:div>
    <w:div w:id="1417823303">
      <w:bodyDiv w:val="1"/>
      <w:marLeft w:val="0"/>
      <w:marRight w:val="0"/>
      <w:marTop w:val="0"/>
      <w:marBottom w:val="0"/>
      <w:divBdr>
        <w:top w:val="none" w:sz="0" w:space="0" w:color="auto"/>
        <w:left w:val="none" w:sz="0" w:space="0" w:color="auto"/>
        <w:bottom w:val="none" w:sz="0" w:space="0" w:color="auto"/>
        <w:right w:val="none" w:sz="0" w:space="0" w:color="auto"/>
      </w:divBdr>
    </w:div>
    <w:div w:id="1417898425">
      <w:bodyDiv w:val="1"/>
      <w:marLeft w:val="0"/>
      <w:marRight w:val="0"/>
      <w:marTop w:val="0"/>
      <w:marBottom w:val="0"/>
      <w:divBdr>
        <w:top w:val="none" w:sz="0" w:space="0" w:color="auto"/>
        <w:left w:val="none" w:sz="0" w:space="0" w:color="auto"/>
        <w:bottom w:val="none" w:sz="0" w:space="0" w:color="auto"/>
        <w:right w:val="none" w:sz="0" w:space="0" w:color="auto"/>
      </w:divBdr>
    </w:div>
    <w:div w:id="1417938444">
      <w:bodyDiv w:val="1"/>
      <w:marLeft w:val="0"/>
      <w:marRight w:val="0"/>
      <w:marTop w:val="0"/>
      <w:marBottom w:val="0"/>
      <w:divBdr>
        <w:top w:val="none" w:sz="0" w:space="0" w:color="auto"/>
        <w:left w:val="none" w:sz="0" w:space="0" w:color="auto"/>
        <w:bottom w:val="none" w:sz="0" w:space="0" w:color="auto"/>
        <w:right w:val="none" w:sz="0" w:space="0" w:color="auto"/>
      </w:divBdr>
    </w:div>
    <w:div w:id="1417941983">
      <w:bodyDiv w:val="1"/>
      <w:marLeft w:val="0"/>
      <w:marRight w:val="0"/>
      <w:marTop w:val="0"/>
      <w:marBottom w:val="0"/>
      <w:divBdr>
        <w:top w:val="none" w:sz="0" w:space="0" w:color="auto"/>
        <w:left w:val="none" w:sz="0" w:space="0" w:color="auto"/>
        <w:bottom w:val="none" w:sz="0" w:space="0" w:color="auto"/>
        <w:right w:val="none" w:sz="0" w:space="0" w:color="auto"/>
      </w:divBdr>
    </w:div>
    <w:div w:id="1418016248">
      <w:bodyDiv w:val="1"/>
      <w:marLeft w:val="0"/>
      <w:marRight w:val="0"/>
      <w:marTop w:val="0"/>
      <w:marBottom w:val="0"/>
      <w:divBdr>
        <w:top w:val="none" w:sz="0" w:space="0" w:color="auto"/>
        <w:left w:val="none" w:sz="0" w:space="0" w:color="auto"/>
        <w:bottom w:val="none" w:sz="0" w:space="0" w:color="auto"/>
        <w:right w:val="none" w:sz="0" w:space="0" w:color="auto"/>
      </w:divBdr>
    </w:div>
    <w:div w:id="1418288223">
      <w:bodyDiv w:val="1"/>
      <w:marLeft w:val="0"/>
      <w:marRight w:val="0"/>
      <w:marTop w:val="0"/>
      <w:marBottom w:val="0"/>
      <w:divBdr>
        <w:top w:val="none" w:sz="0" w:space="0" w:color="auto"/>
        <w:left w:val="none" w:sz="0" w:space="0" w:color="auto"/>
        <w:bottom w:val="none" w:sz="0" w:space="0" w:color="auto"/>
        <w:right w:val="none" w:sz="0" w:space="0" w:color="auto"/>
      </w:divBdr>
    </w:div>
    <w:div w:id="1418360283">
      <w:bodyDiv w:val="1"/>
      <w:marLeft w:val="0"/>
      <w:marRight w:val="0"/>
      <w:marTop w:val="0"/>
      <w:marBottom w:val="0"/>
      <w:divBdr>
        <w:top w:val="none" w:sz="0" w:space="0" w:color="auto"/>
        <w:left w:val="none" w:sz="0" w:space="0" w:color="auto"/>
        <w:bottom w:val="none" w:sz="0" w:space="0" w:color="auto"/>
        <w:right w:val="none" w:sz="0" w:space="0" w:color="auto"/>
      </w:divBdr>
    </w:div>
    <w:div w:id="1418407358">
      <w:bodyDiv w:val="1"/>
      <w:marLeft w:val="0"/>
      <w:marRight w:val="0"/>
      <w:marTop w:val="0"/>
      <w:marBottom w:val="0"/>
      <w:divBdr>
        <w:top w:val="none" w:sz="0" w:space="0" w:color="auto"/>
        <w:left w:val="none" w:sz="0" w:space="0" w:color="auto"/>
        <w:bottom w:val="none" w:sz="0" w:space="0" w:color="auto"/>
        <w:right w:val="none" w:sz="0" w:space="0" w:color="auto"/>
      </w:divBdr>
    </w:div>
    <w:div w:id="1418477418">
      <w:bodyDiv w:val="1"/>
      <w:marLeft w:val="0"/>
      <w:marRight w:val="0"/>
      <w:marTop w:val="0"/>
      <w:marBottom w:val="0"/>
      <w:divBdr>
        <w:top w:val="none" w:sz="0" w:space="0" w:color="auto"/>
        <w:left w:val="none" w:sz="0" w:space="0" w:color="auto"/>
        <w:bottom w:val="none" w:sz="0" w:space="0" w:color="auto"/>
        <w:right w:val="none" w:sz="0" w:space="0" w:color="auto"/>
      </w:divBdr>
    </w:div>
    <w:div w:id="1418550023">
      <w:bodyDiv w:val="1"/>
      <w:marLeft w:val="0"/>
      <w:marRight w:val="0"/>
      <w:marTop w:val="0"/>
      <w:marBottom w:val="0"/>
      <w:divBdr>
        <w:top w:val="none" w:sz="0" w:space="0" w:color="auto"/>
        <w:left w:val="none" w:sz="0" w:space="0" w:color="auto"/>
        <w:bottom w:val="none" w:sz="0" w:space="0" w:color="auto"/>
        <w:right w:val="none" w:sz="0" w:space="0" w:color="auto"/>
      </w:divBdr>
    </w:div>
    <w:div w:id="1418550683">
      <w:bodyDiv w:val="1"/>
      <w:marLeft w:val="0"/>
      <w:marRight w:val="0"/>
      <w:marTop w:val="0"/>
      <w:marBottom w:val="0"/>
      <w:divBdr>
        <w:top w:val="none" w:sz="0" w:space="0" w:color="auto"/>
        <w:left w:val="none" w:sz="0" w:space="0" w:color="auto"/>
        <w:bottom w:val="none" w:sz="0" w:space="0" w:color="auto"/>
        <w:right w:val="none" w:sz="0" w:space="0" w:color="auto"/>
      </w:divBdr>
    </w:div>
    <w:div w:id="1418554231">
      <w:bodyDiv w:val="1"/>
      <w:marLeft w:val="0"/>
      <w:marRight w:val="0"/>
      <w:marTop w:val="0"/>
      <w:marBottom w:val="0"/>
      <w:divBdr>
        <w:top w:val="none" w:sz="0" w:space="0" w:color="auto"/>
        <w:left w:val="none" w:sz="0" w:space="0" w:color="auto"/>
        <w:bottom w:val="none" w:sz="0" w:space="0" w:color="auto"/>
        <w:right w:val="none" w:sz="0" w:space="0" w:color="auto"/>
      </w:divBdr>
    </w:div>
    <w:div w:id="1418600133">
      <w:bodyDiv w:val="1"/>
      <w:marLeft w:val="0"/>
      <w:marRight w:val="0"/>
      <w:marTop w:val="0"/>
      <w:marBottom w:val="0"/>
      <w:divBdr>
        <w:top w:val="none" w:sz="0" w:space="0" w:color="auto"/>
        <w:left w:val="none" w:sz="0" w:space="0" w:color="auto"/>
        <w:bottom w:val="none" w:sz="0" w:space="0" w:color="auto"/>
        <w:right w:val="none" w:sz="0" w:space="0" w:color="auto"/>
      </w:divBdr>
    </w:div>
    <w:div w:id="1418939245">
      <w:bodyDiv w:val="1"/>
      <w:marLeft w:val="0"/>
      <w:marRight w:val="0"/>
      <w:marTop w:val="0"/>
      <w:marBottom w:val="0"/>
      <w:divBdr>
        <w:top w:val="none" w:sz="0" w:space="0" w:color="auto"/>
        <w:left w:val="none" w:sz="0" w:space="0" w:color="auto"/>
        <w:bottom w:val="none" w:sz="0" w:space="0" w:color="auto"/>
        <w:right w:val="none" w:sz="0" w:space="0" w:color="auto"/>
      </w:divBdr>
    </w:div>
    <w:div w:id="1418987730">
      <w:bodyDiv w:val="1"/>
      <w:marLeft w:val="0"/>
      <w:marRight w:val="0"/>
      <w:marTop w:val="0"/>
      <w:marBottom w:val="0"/>
      <w:divBdr>
        <w:top w:val="none" w:sz="0" w:space="0" w:color="auto"/>
        <w:left w:val="none" w:sz="0" w:space="0" w:color="auto"/>
        <w:bottom w:val="none" w:sz="0" w:space="0" w:color="auto"/>
        <w:right w:val="none" w:sz="0" w:space="0" w:color="auto"/>
      </w:divBdr>
    </w:div>
    <w:div w:id="1419133770">
      <w:bodyDiv w:val="1"/>
      <w:marLeft w:val="0"/>
      <w:marRight w:val="0"/>
      <w:marTop w:val="0"/>
      <w:marBottom w:val="0"/>
      <w:divBdr>
        <w:top w:val="none" w:sz="0" w:space="0" w:color="auto"/>
        <w:left w:val="none" w:sz="0" w:space="0" w:color="auto"/>
        <w:bottom w:val="none" w:sz="0" w:space="0" w:color="auto"/>
        <w:right w:val="none" w:sz="0" w:space="0" w:color="auto"/>
      </w:divBdr>
    </w:div>
    <w:div w:id="1419135959">
      <w:bodyDiv w:val="1"/>
      <w:marLeft w:val="0"/>
      <w:marRight w:val="0"/>
      <w:marTop w:val="0"/>
      <w:marBottom w:val="0"/>
      <w:divBdr>
        <w:top w:val="none" w:sz="0" w:space="0" w:color="auto"/>
        <w:left w:val="none" w:sz="0" w:space="0" w:color="auto"/>
        <w:bottom w:val="none" w:sz="0" w:space="0" w:color="auto"/>
        <w:right w:val="none" w:sz="0" w:space="0" w:color="auto"/>
      </w:divBdr>
    </w:div>
    <w:div w:id="1419213221">
      <w:bodyDiv w:val="1"/>
      <w:marLeft w:val="0"/>
      <w:marRight w:val="0"/>
      <w:marTop w:val="0"/>
      <w:marBottom w:val="0"/>
      <w:divBdr>
        <w:top w:val="none" w:sz="0" w:space="0" w:color="auto"/>
        <w:left w:val="none" w:sz="0" w:space="0" w:color="auto"/>
        <w:bottom w:val="none" w:sz="0" w:space="0" w:color="auto"/>
        <w:right w:val="none" w:sz="0" w:space="0" w:color="auto"/>
      </w:divBdr>
    </w:div>
    <w:div w:id="1419445625">
      <w:bodyDiv w:val="1"/>
      <w:marLeft w:val="0"/>
      <w:marRight w:val="0"/>
      <w:marTop w:val="0"/>
      <w:marBottom w:val="0"/>
      <w:divBdr>
        <w:top w:val="none" w:sz="0" w:space="0" w:color="auto"/>
        <w:left w:val="none" w:sz="0" w:space="0" w:color="auto"/>
        <w:bottom w:val="none" w:sz="0" w:space="0" w:color="auto"/>
        <w:right w:val="none" w:sz="0" w:space="0" w:color="auto"/>
      </w:divBdr>
    </w:div>
    <w:div w:id="1419522524">
      <w:bodyDiv w:val="1"/>
      <w:marLeft w:val="0"/>
      <w:marRight w:val="0"/>
      <w:marTop w:val="0"/>
      <w:marBottom w:val="0"/>
      <w:divBdr>
        <w:top w:val="none" w:sz="0" w:space="0" w:color="auto"/>
        <w:left w:val="none" w:sz="0" w:space="0" w:color="auto"/>
        <w:bottom w:val="none" w:sz="0" w:space="0" w:color="auto"/>
        <w:right w:val="none" w:sz="0" w:space="0" w:color="auto"/>
      </w:divBdr>
    </w:div>
    <w:div w:id="1419642005">
      <w:bodyDiv w:val="1"/>
      <w:marLeft w:val="0"/>
      <w:marRight w:val="0"/>
      <w:marTop w:val="0"/>
      <w:marBottom w:val="0"/>
      <w:divBdr>
        <w:top w:val="none" w:sz="0" w:space="0" w:color="auto"/>
        <w:left w:val="none" w:sz="0" w:space="0" w:color="auto"/>
        <w:bottom w:val="none" w:sz="0" w:space="0" w:color="auto"/>
        <w:right w:val="none" w:sz="0" w:space="0" w:color="auto"/>
      </w:divBdr>
    </w:div>
    <w:div w:id="1419669503">
      <w:bodyDiv w:val="1"/>
      <w:marLeft w:val="0"/>
      <w:marRight w:val="0"/>
      <w:marTop w:val="0"/>
      <w:marBottom w:val="0"/>
      <w:divBdr>
        <w:top w:val="none" w:sz="0" w:space="0" w:color="auto"/>
        <w:left w:val="none" w:sz="0" w:space="0" w:color="auto"/>
        <w:bottom w:val="none" w:sz="0" w:space="0" w:color="auto"/>
        <w:right w:val="none" w:sz="0" w:space="0" w:color="auto"/>
      </w:divBdr>
    </w:div>
    <w:div w:id="1419670153">
      <w:bodyDiv w:val="1"/>
      <w:marLeft w:val="0"/>
      <w:marRight w:val="0"/>
      <w:marTop w:val="0"/>
      <w:marBottom w:val="0"/>
      <w:divBdr>
        <w:top w:val="none" w:sz="0" w:space="0" w:color="auto"/>
        <w:left w:val="none" w:sz="0" w:space="0" w:color="auto"/>
        <w:bottom w:val="none" w:sz="0" w:space="0" w:color="auto"/>
        <w:right w:val="none" w:sz="0" w:space="0" w:color="auto"/>
      </w:divBdr>
    </w:div>
    <w:div w:id="1419719109">
      <w:bodyDiv w:val="1"/>
      <w:marLeft w:val="0"/>
      <w:marRight w:val="0"/>
      <w:marTop w:val="0"/>
      <w:marBottom w:val="0"/>
      <w:divBdr>
        <w:top w:val="none" w:sz="0" w:space="0" w:color="auto"/>
        <w:left w:val="none" w:sz="0" w:space="0" w:color="auto"/>
        <w:bottom w:val="none" w:sz="0" w:space="0" w:color="auto"/>
        <w:right w:val="none" w:sz="0" w:space="0" w:color="auto"/>
      </w:divBdr>
    </w:div>
    <w:div w:id="1419790818">
      <w:bodyDiv w:val="1"/>
      <w:marLeft w:val="0"/>
      <w:marRight w:val="0"/>
      <w:marTop w:val="0"/>
      <w:marBottom w:val="0"/>
      <w:divBdr>
        <w:top w:val="none" w:sz="0" w:space="0" w:color="auto"/>
        <w:left w:val="none" w:sz="0" w:space="0" w:color="auto"/>
        <w:bottom w:val="none" w:sz="0" w:space="0" w:color="auto"/>
        <w:right w:val="none" w:sz="0" w:space="0" w:color="auto"/>
      </w:divBdr>
    </w:div>
    <w:div w:id="1419869797">
      <w:bodyDiv w:val="1"/>
      <w:marLeft w:val="0"/>
      <w:marRight w:val="0"/>
      <w:marTop w:val="0"/>
      <w:marBottom w:val="0"/>
      <w:divBdr>
        <w:top w:val="none" w:sz="0" w:space="0" w:color="auto"/>
        <w:left w:val="none" w:sz="0" w:space="0" w:color="auto"/>
        <w:bottom w:val="none" w:sz="0" w:space="0" w:color="auto"/>
        <w:right w:val="none" w:sz="0" w:space="0" w:color="auto"/>
      </w:divBdr>
    </w:div>
    <w:div w:id="1419983300">
      <w:bodyDiv w:val="1"/>
      <w:marLeft w:val="0"/>
      <w:marRight w:val="0"/>
      <w:marTop w:val="0"/>
      <w:marBottom w:val="0"/>
      <w:divBdr>
        <w:top w:val="none" w:sz="0" w:space="0" w:color="auto"/>
        <w:left w:val="none" w:sz="0" w:space="0" w:color="auto"/>
        <w:bottom w:val="none" w:sz="0" w:space="0" w:color="auto"/>
        <w:right w:val="none" w:sz="0" w:space="0" w:color="auto"/>
      </w:divBdr>
    </w:div>
    <w:div w:id="1420172127">
      <w:bodyDiv w:val="1"/>
      <w:marLeft w:val="0"/>
      <w:marRight w:val="0"/>
      <w:marTop w:val="0"/>
      <w:marBottom w:val="0"/>
      <w:divBdr>
        <w:top w:val="none" w:sz="0" w:space="0" w:color="auto"/>
        <w:left w:val="none" w:sz="0" w:space="0" w:color="auto"/>
        <w:bottom w:val="none" w:sz="0" w:space="0" w:color="auto"/>
        <w:right w:val="none" w:sz="0" w:space="0" w:color="auto"/>
      </w:divBdr>
    </w:div>
    <w:div w:id="1420180873">
      <w:bodyDiv w:val="1"/>
      <w:marLeft w:val="0"/>
      <w:marRight w:val="0"/>
      <w:marTop w:val="0"/>
      <w:marBottom w:val="0"/>
      <w:divBdr>
        <w:top w:val="none" w:sz="0" w:space="0" w:color="auto"/>
        <w:left w:val="none" w:sz="0" w:space="0" w:color="auto"/>
        <w:bottom w:val="none" w:sz="0" w:space="0" w:color="auto"/>
        <w:right w:val="none" w:sz="0" w:space="0" w:color="auto"/>
      </w:divBdr>
    </w:div>
    <w:div w:id="1420325077">
      <w:bodyDiv w:val="1"/>
      <w:marLeft w:val="0"/>
      <w:marRight w:val="0"/>
      <w:marTop w:val="0"/>
      <w:marBottom w:val="0"/>
      <w:divBdr>
        <w:top w:val="none" w:sz="0" w:space="0" w:color="auto"/>
        <w:left w:val="none" w:sz="0" w:space="0" w:color="auto"/>
        <w:bottom w:val="none" w:sz="0" w:space="0" w:color="auto"/>
        <w:right w:val="none" w:sz="0" w:space="0" w:color="auto"/>
      </w:divBdr>
    </w:div>
    <w:div w:id="1420565648">
      <w:bodyDiv w:val="1"/>
      <w:marLeft w:val="0"/>
      <w:marRight w:val="0"/>
      <w:marTop w:val="0"/>
      <w:marBottom w:val="0"/>
      <w:divBdr>
        <w:top w:val="none" w:sz="0" w:space="0" w:color="auto"/>
        <w:left w:val="none" w:sz="0" w:space="0" w:color="auto"/>
        <w:bottom w:val="none" w:sz="0" w:space="0" w:color="auto"/>
        <w:right w:val="none" w:sz="0" w:space="0" w:color="auto"/>
      </w:divBdr>
    </w:div>
    <w:div w:id="1420716518">
      <w:bodyDiv w:val="1"/>
      <w:marLeft w:val="0"/>
      <w:marRight w:val="0"/>
      <w:marTop w:val="0"/>
      <w:marBottom w:val="0"/>
      <w:divBdr>
        <w:top w:val="none" w:sz="0" w:space="0" w:color="auto"/>
        <w:left w:val="none" w:sz="0" w:space="0" w:color="auto"/>
        <w:bottom w:val="none" w:sz="0" w:space="0" w:color="auto"/>
        <w:right w:val="none" w:sz="0" w:space="0" w:color="auto"/>
      </w:divBdr>
    </w:div>
    <w:div w:id="1420716541">
      <w:bodyDiv w:val="1"/>
      <w:marLeft w:val="0"/>
      <w:marRight w:val="0"/>
      <w:marTop w:val="0"/>
      <w:marBottom w:val="0"/>
      <w:divBdr>
        <w:top w:val="none" w:sz="0" w:space="0" w:color="auto"/>
        <w:left w:val="none" w:sz="0" w:space="0" w:color="auto"/>
        <w:bottom w:val="none" w:sz="0" w:space="0" w:color="auto"/>
        <w:right w:val="none" w:sz="0" w:space="0" w:color="auto"/>
      </w:divBdr>
    </w:div>
    <w:div w:id="1420716810">
      <w:bodyDiv w:val="1"/>
      <w:marLeft w:val="0"/>
      <w:marRight w:val="0"/>
      <w:marTop w:val="0"/>
      <w:marBottom w:val="0"/>
      <w:divBdr>
        <w:top w:val="none" w:sz="0" w:space="0" w:color="auto"/>
        <w:left w:val="none" w:sz="0" w:space="0" w:color="auto"/>
        <w:bottom w:val="none" w:sz="0" w:space="0" w:color="auto"/>
        <w:right w:val="none" w:sz="0" w:space="0" w:color="auto"/>
      </w:divBdr>
    </w:div>
    <w:div w:id="1420756679">
      <w:bodyDiv w:val="1"/>
      <w:marLeft w:val="0"/>
      <w:marRight w:val="0"/>
      <w:marTop w:val="0"/>
      <w:marBottom w:val="0"/>
      <w:divBdr>
        <w:top w:val="none" w:sz="0" w:space="0" w:color="auto"/>
        <w:left w:val="none" w:sz="0" w:space="0" w:color="auto"/>
        <w:bottom w:val="none" w:sz="0" w:space="0" w:color="auto"/>
        <w:right w:val="none" w:sz="0" w:space="0" w:color="auto"/>
      </w:divBdr>
    </w:div>
    <w:div w:id="1420759529">
      <w:bodyDiv w:val="1"/>
      <w:marLeft w:val="0"/>
      <w:marRight w:val="0"/>
      <w:marTop w:val="0"/>
      <w:marBottom w:val="0"/>
      <w:divBdr>
        <w:top w:val="none" w:sz="0" w:space="0" w:color="auto"/>
        <w:left w:val="none" w:sz="0" w:space="0" w:color="auto"/>
        <w:bottom w:val="none" w:sz="0" w:space="0" w:color="auto"/>
        <w:right w:val="none" w:sz="0" w:space="0" w:color="auto"/>
      </w:divBdr>
    </w:div>
    <w:div w:id="1420784789">
      <w:bodyDiv w:val="1"/>
      <w:marLeft w:val="0"/>
      <w:marRight w:val="0"/>
      <w:marTop w:val="0"/>
      <w:marBottom w:val="0"/>
      <w:divBdr>
        <w:top w:val="none" w:sz="0" w:space="0" w:color="auto"/>
        <w:left w:val="none" w:sz="0" w:space="0" w:color="auto"/>
        <w:bottom w:val="none" w:sz="0" w:space="0" w:color="auto"/>
        <w:right w:val="none" w:sz="0" w:space="0" w:color="auto"/>
      </w:divBdr>
    </w:div>
    <w:div w:id="1420830032">
      <w:bodyDiv w:val="1"/>
      <w:marLeft w:val="0"/>
      <w:marRight w:val="0"/>
      <w:marTop w:val="0"/>
      <w:marBottom w:val="0"/>
      <w:divBdr>
        <w:top w:val="none" w:sz="0" w:space="0" w:color="auto"/>
        <w:left w:val="none" w:sz="0" w:space="0" w:color="auto"/>
        <w:bottom w:val="none" w:sz="0" w:space="0" w:color="auto"/>
        <w:right w:val="none" w:sz="0" w:space="0" w:color="auto"/>
      </w:divBdr>
    </w:div>
    <w:div w:id="1420904660">
      <w:bodyDiv w:val="1"/>
      <w:marLeft w:val="0"/>
      <w:marRight w:val="0"/>
      <w:marTop w:val="0"/>
      <w:marBottom w:val="0"/>
      <w:divBdr>
        <w:top w:val="none" w:sz="0" w:space="0" w:color="auto"/>
        <w:left w:val="none" w:sz="0" w:space="0" w:color="auto"/>
        <w:bottom w:val="none" w:sz="0" w:space="0" w:color="auto"/>
        <w:right w:val="none" w:sz="0" w:space="0" w:color="auto"/>
      </w:divBdr>
    </w:div>
    <w:div w:id="1420910860">
      <w:bodyDiv w:val="1"/>
      <w:marLeft w:val="0"/>
      <w:marRight w:val="0"/>
      <w:marTop w:val="0"/>
      <w:marBottom w:val="0"/>
      <w:divBdr>
        <w:top w:val="none" w:sz="0" w:space="0" w:color="auto"/>
        <w:left w:val="none" w:sz="0" w:space="0" w:color="auto"/>
        <w:bottom w:val="none" w:sz="0" w:space="0" w:color="auto"/>
        <w:right w:val="none" w:sz="0" w:space="0" w:color="auto"/>
      </w:divBdr>
    </w:div>
    <w:div w:id="1420984181">
      <w:bodyDiv w:val="1"/>
      <w:marLeft w:val="0"/>
      <w:marRight w:val="0"/>
      <w:marTop w:val="0"/>
      <w:marBottom w:val="0"/>
      <w:divBdr>
        <w:top w:val="none" w:sz="0" w:space="0" w:color="auto"/>
        <w:left w:val="none" w:sz="0" w:space="0" w:color="auto"/>
        <w:bottom w:val="none" w:sz="0" w:space="0" w:color="auto"/>
        <w:right w:val="none" w:sz="0" w:space="0" w:color="auto"/>
      </w:divBdr>
    </w:div>
    <w:div w:id="1421097178">
      <w:bodyDiv w:val="1"/>
      <w:marLeft w:val="0"/>
      <w:marRight w:val="0"/>
      <w:marTop w:val="0"/>
      <w:marBottom w:val="0"/>
      <w:divBdr>
        <w:top w:val="none" w:sz="0" w:space="0" w:color="auto"/>
        <w:left w:val="none" w:sz="0" w:space="0" w:color="auto"/>
        <w:bottom w:val="none" w:sz="0" w:space="0" w:color="auto"/>
        <w:right w:val="none" w:sz="0" w:space="0" w:color="auto"/>
      </w:divBdr>
    </w:div>
    <w:div w:id="1421216052">
      <w:bodyDiv w:val="1"/>
      <w:marLeft w:val="0"/>
      <w:marRight w:val="0"/>
      <w:marTop w:val="0"/>
      <w:marBottom w:val="0"/>
      <w:divBdr>
        <w:top w:val="none" w:sz="0" w:space="0" w:color="auto"/>
        <w:left w:val="none" w:sz="0" w:space="0" w:color="auto"/>
        <w:bottom w:val="none" w:sz="0" w:space="0" w:color="auto"/>
        <w:right w:val="none" w:sz="0" w:space="0" w:color="auto"/>
      </w:divBdr>
    </w:div>
    <w:div w:id="1421297554">
      <w:bodyDiv w:val="1"/>
      <w:marLeft w:val="0"/>
      <w:marRight w:val="0"/>
      <w:marTop w:val="0"/>
      <w:marBottom w:val="0"/>
      <w:divBdr>
        <w:top w:val="none" w:sz="0" w:space="0" w:color="auto"/>
        <w:left w:val="none" w:sz="0" w:space="0" w:color="auto"/>
        <w:bottom w:val="none" w:sz="0" w:space="0" w:color="auto"/>
        <w:right w:val="none" w:sz="0" w:space="0" w:color="auto"/>
      </w:divBdr>
    </w:div>
    <w:div w:id="1421369051">
      <w:bodyDiv w:val="1"/>
      <w:marLeft w:val="0"/>
      <w:marRight w:val="0"/>
      <w:marTop w:val="0"/>
      <w:marBottom w:val="0"/>
      <w:divBdr>
        <w:top w:val="none" w:sz="0" w:space="0" w:color="auto"/>
        <w:left w:val="none" w:sz="0" w:space="0" w:color="auto"/>
        <w:bottom w:val="none" w:sz="0" w:space="0" w:color="auto"/>
        <w:right w:val="none" w:sz="0" w:space="0" w:color="auto"/>
      </w:divBdr>
    </w:div>
    <w:div w:id="1421634182">
      <w:bodyDiv w:val="1"/>
      <w:marLeft w:val="0"/>
      <w:marRight w:val="0"/>
      <w:marTop w:val="0"/>
      <w:marBottom w:val="0"/>
      <w:divBdr>
        <w:top w:val="none" w:sz="0" w:space="0" w:color="auto"/>
        <w:left w:val="none" w:sz="0" w:space="0" w:color="auto"/>
        <w:bottom w:val="none" w:sz="0" w:space="0" w:color="auto"/>
        <w:right w:val="none" w:sz="0" w:space="0" w:color="auto"/>
      </w:divBdr>
    </w:div>
    <w:div w:id="1421826379">
      <w:bodyDiv w:val="1"/>
      <w:marLeft w:val="0"/>
      <w:marRight w:val="0"/>
      <w:marTop w:val="0"/>
      <w:marBottom w:val="0"/>
      <w:divBdr>
        <w:top w:val="none" w:sz="0" w:space="0" w:color="auto"/>
        <w:left w:val="none" w:sz="0" w:space="0" w:color="auto"/>
        <w:bottom w:val="none" w:sz="0" w:space="0" w:color="auto"/>
        <w:right w:val="none" w:sz="0" w:space="0" w:color="auto"/>
      </w:divBdr>
    </w:div>
    <w:div w:id="1421828077">
      <w:bodyDiv w:val="1"/>
      <w:marLeft w:val="0"/>
      <w:marRight w:val="0"/>
      <w:marTop w:val="0"/>
      <w:marBottom w:val="0"/>
      <w:divBdr>
        <w:top w:val="none" w:sz="0" w:space="0" w:color="auto"/>
        <w:left w:val="none" w:sz="0" w:space="0" w:color="auto"/>
        <w:bottom w:val="none" w:sz="0" w:space="0" w:color="auto"/>
        <w:right w:val="none" w:sz="0" w:space="0" w:color="auto"/>
      </w:divBdr>
    </w:div>
    <w:div w:id="1421828136">
      <w:bodyDiv w:val="1"/>
      <w:marLeft w:val="0"/>
      <w:marRight w:val="0"/>
      <w:marTop w:val="0"/>
      <w:marBottom w:val="0"/>
      <w:divBdr>
        <w:top w:val="none" w:sz="0" w:space="0" w:color="auto"/>
        <w:left w:val="none" w:sz="0" w:space="0" w:color="auto"/>
        <w:bottom w:val="none" w:sz="0" w:space="0" w:color="auto"/>
        <w:right w:val="none" w:sz="0" w:space="0" w:color="auto"/>
      </w:divBdr>
    </w:div>
    <w:div w:id="1421829924">
      <w:bodyDiv w:val="1"/>
      <w:marLeft w:val="0"/>
      <w:marRight w:val="0"/>
      <w:marTop w:val="0"/>
      <w:marBottom w:val="0"/>
      <w:divBdr>
        <w:top w:val="none" w:sz="0" w:space="0" w:color="auto"/>
        <w:left w:val="none" w:sz="0" w:space="0" w:color="auto"/>
        <w:bottom w:val="none" w:sz="0" w:space="0" w:color="auto"/>
        <w:right w:val="none" w:sz="0" w:space="0" w:color="auto"/>
      </w:divBdr>
    </w:div>
    <w:div w:id="1422071584">
      <w:bodyDiv w:val="1"/>
      <w:marLeft w:val="0"/>
      <w:marRight w:val="0"/>
      <w:marTop w:val="0"/>
      <w:marBottom w:val="0"/>
      <w:divBdr>
        <w:top w:val="none" w:sz="0" w:space="0" w:color="auto"/>
        <w:left w:val="none" w:sz="0" w:space="0" w:color="auto"/>
        <w:bottom w:val="none" w:sz="0" w:space="0" w:color="auto"/>
        <w:right w:val="none" w:sz="0" w:space="0" w:color="auto"/>
      </w:divBdr>
    </w:div>
    <w:div w:id="1422142172">
      <w:bodyDiv w:val="1"/>
      <w:marLeft w:val="0"/>
      <w:marRight w:val="0"/>
      <w:marTop w:val="0"/>
      <w:marBottom w:val="0"/>
      <w:divBdr>
        <w:top w:val="none" w:sz="0" w:space="0" w:color="auto"/>
        <w:left w:val="none" w:sz="0" w:space="0" w:color="auto"/>
        <w:bottom w:val="none" w:sz="0" w:space="0" w:color="auto"/>
        <w:right w:val="none" w:sz="0" w:space="0" w:color="auto"/>
      </w:divBdr>
    </w:div>
    <w:div w:id="1422216367">
      <w:bodyDiv w:val="1"/>
      <w:marLeft w:val="0"/>
      <w:marRight w:val="0"/>
      <w:marTop w:val="0"/>
      <w:marBottom w:val="0"/>
      <w:divBdr>
        <w:top w:val="none" w:sz="0" w:space="0" w:color="auto"/>
        <w:left w:val="none" w:sz="0" w:space="0" w:color="auto"/>
        <w:bottom w:val="none" w:sz="0" w:space="0" w:color="auto"/>
        <w:right w:val="none" w:sz="0" w:space="0" w:color="auto"/>
      </w:divBdr>
    </w:div>
    <w:div w:id="1422263814">
      <w:bodyDiv w:val="1"/>
      <w:marLeft w:val="0"/>
      <w:marRight w:val="0"/>
      <w:marTop w:val="0"/>
      <w:marBottom w:val="0"/>
      <w:divBdr>
        <w:top w:val="none" w:sz="0" w:space="0" w:color="auto"/>
        <w:left w:val="none" w:sz="0" w:space="0" w:color="auto"/>
        <w:bottom w:val="none" w:sz="0" w:space="0" w:color="auto"/>
        <w:right w:val="none" w:sz="0" w:space="0" w:color="auto"/>
      </w:divBdr>
    </w:div>
    <w:div w:id="1422413410">
      <w:bodyDiv w:val="1"/>
      <w:marLeft w:val="0"/>
      <w:marRight w:val="0"/>
      <w:marTop w:val="0"/>
      <w:marBottom w:val="0"/>
      <w:divBdr>
        <w:top w:val="none" w:sz="0" w:space="0" w:color="auto"/>
        <w:left w:val="none" w:sz="0" w:space="0" w:color="auto"/>
        <w:bottom w:val="none" w:sz="0" w:space="0" w:color="auto"/>
        <w:right w:val="none" w:sz="0" w:space="0" w:color="auto"/>
      </w:divBdr>
    </w:div>
    <w:div w:id="1422482629">
      <w:bodyDiv w:val="1"/>
      <w:marLeft w:val="0"/>
      <w:marRight w:val="0"/>
      <w:marTop w:val="0"/>
      <w:marBottom w:val="0"/>
      <w:divBdr>
        <w:top w:val="none" w:sz="0" w:space="0" w:color="auto"/>
        <w:left w:val="none" w:sz="0" w:space="0" w:color="auto"/>
        <w:bottom w:val="none" w:sz="0" w:space="0" w:color="auto"/>
        <w:right w:val="none" w:sz="0" w:space="0" w:color="auto"/>
      </w:divBdr>
    </w:div>
    <w:div w:id="1422530964">
      <w:bodyDiv w:val="1"/>
      <w:marLeft w:val="0"/>
      <w:marRight w:val="0"/>
      <w:marTop w:val="0"/>
      <w:marBottom w:val="0"/>
      <w:divBdr>
        <w:top w:val="none" w:sz="0" w:space="0" w:color="auto"/>
        <w:left w:val="none" w:sz="0" w:space="0" w:color="auto"/>
        <w:bottom w:val="none" w:sz="0" w:space="0" w:color="auto"/>
        <w:right w:val="none" w:sz="0" w:space="0" w:color="auto"/>
      </w:divBdr>
    </w:div>
    <w:div w:id="1422677904">
      <w:bodyDiv w:val="1"/>
      <w:marLeft w:val="0"/>
      <w:marRight w:val="0"/>
      <w:marTop w:val="0"/>
      <w:marBottom w:val="0"/>
      <w:divBdr>
        <w:top w:val="none" w:sz="0" w:space="0" w:color="auto"/>
        <w:left w:val="none" w:sz="0" w:space="0" w:color="auto"/>
        <w:bottom w:val="none" w:sz="0" w:space="0" w:color="auto"/>
        <w:right w:val="none" w:sz="0" w:space="0" w:color="auto"/>
      </w:divBdr>
    </w:div>
    <w:div w:id="1422683274">
      <w:bodyDiv w:val="1"/>
      <w:marLeft w:val="0"/>
      <w:marRight w:val="0"/>
      <w:marTop w:val="0"/>
      <w:marBottom w:val="0"/>
      <w:divBdr>
        <w:top w:val="none" w:sz="0" w:space="0" w:color="auto"/>
        <w:left w:val="none" w:sz="0" w:space="0" w:color="auto"/>
        <w:bottom w:val="none" w:sz="0" w:space="0" w:color="auto"/>
        <w:right w:val="none" w:sz="0" w:space="0" w:color="auto"/>
      </w:divBdr>
    </w:div>
    <w:div w:id="1422800488">
      <w:bodyDiv w:val="1"/>
      <w:marLeft w:val="0"/>
      <w:marRight w:val="0"/>
      <w:marTop w:val="0"/>
      <w:marBottom w:val="0"/>
      <w:divBdr>
        <w:top w:val="none" w:sz="0" w:space="0" w:color="auto"/>
        <w:left w:val="none" w:sz="0" w:space="0" w:color="auto"/>
        <w:bottom w:val="none" w:sz="0" w:space="0" w:color="auto"/>
        <w:right w:val="none" w:sz="0" w:space="0" w:color="auto"/>
      </w:divBdr>
    </w:div>
    <w:div w:id="1422870942">
      <w:bodyDiv w:val="1"/>
      <w:marLeft w:val="0"/>
      <w:marRight w:val="0"/>
      <w:marTop w:val="0"/>
      <w:marBottom w:val="0"/>
      <w:divBdr>
        <w:top w:val="none" w:sz="0" w:space="0" w:color="auto"/>
        <w:left w:val="none" w:sz="0" w:space="0" w:color="auto"/>
        <w:bottom w:val="none" w:sz="0" w:space="0" w:color="auto"/>
        <w:right w:val="none" w:sz="0" w:space="0" w:color="auto"/>
      </w:divBdr>
    </w:div>
    <w:div w:id="1422943875">
      <w:bodyDiv w:val="1"/>
      <w:marLeft w:val="0"/>
      <w:marRight w:val="0"/>
      <w:marTop w:val="0"/>
      <w:marBottom w:val="0"/>
      <w:divBdr>
        <w:top w:val="none" w:sz="0" w:space="0" w:color="auto"/>
        <w:left w:val="none" w:sz="0" w:space="0" w:color="auto"/>
        <w:bottom w:val="none" w:sz="0" w:space="0" w:color="auto"/>
        <w:right w:val="none" w:sz="0" w:space="0" w:color="auto"/>
      </w:divBdr>
    </w:div>
    <w:div w:id="1423142951">
      <w:bodyDiv w:val="1"/>
      <w:marLeft w:val="0"/>
      <w:marRight w:val="0"/>
      <w:marTop w:val="0"/>
      <w:marBottom w:val="0"/>
      <w:divBdr>
        <w:top w:val="none" w:sz="0" w:space="0" w:color="auto"/>
        <w:left w:val="none" w:sz="0" w:space="0" w:color="auto"/>
        <w:bottom w:val="none" w:sz="0" w:space="0" w:color="auto"/>
        <w:right w:val="none" w:sz="0" w:space="0" w:color="auto"/>
      </w:divBdr>
    </w:div>
    <w:div w:id="1423185223">
      <w:bodyDiv w:val="1"/>
      <w:marLeft w:val="0"/>
      <w:marRight w:val="0"/>
      <w:marTop w:val="0"/>
      <w:marBottom w:val="0"/>
      <w:divBdr>
        <w:top w:val="none" w:sz="0" w:space="0" w:color="auto"/>
        <w:left w:val="none" w:sz="0" w:space="0" w:color="auto"/>
        <w:bottom w:val="none" w:sz="0" w:space="0" w:color="auto"/>
        <w:right w:val="none" w:sz="0" w:space="0" w:color="auto"/>
      </w:divBdr>
    </w:div>
    <w:div w:id="1423259885">
      <w:bodyDiv w:val="1"/>
      <w:marLeft w:val="0"/>
      <w:marRight w:val="0"/>
      <w:marTop w:val="0"/>
      <w:marBottom w:val="0"/>
      <w:divBdr>
        <w:top w:val="none" w:sz="0" w:space="0" w:color="auto"/>
        <w:left w:val="none" w:sz="0" w:space="0" w:color="auto"/>
        <w:bottom w:val="none" w:sz="0" w:space="0" w:color="auto"/>
        <w:right w:val="none" w:sz="0" w:space="0" w:color="auto"/>
      </w:divBdr>
    </w:div>
    <w:div w:id="1423332793">
      <w:bodyDiv w:val="1"/>
      <w:marLeft w:val="0"/>
      <w:marRight w:val="0"/>
      <w:marTop w:val="0"/>
      <w:marBottom w:val="0"/>
      <w:divBdr>
        <w:top w:val="none" w:sz="0" w:space="0" w:color="auto"/>
        <w:left w:val="none" w:sz="0" w:space="0" w:color="auto"/>
        <w:bottom w:val="none" w:sz="0" w:space="0" w:color="auto"/>
        <w:right w:val="none" w:sz="0" w:space="0" w:color="auto"/>
      </w:divBdr>
    </w:div>
    <w:div w:id="1423381775">
      <w:bodyDiv w:val="1"/>
      <w:marLeft w:val="0"/>
      <w:marRight w:val="0"/>
      <w:marTop w:val="0"/>
      <w:marBottom w:val="0"/>
      <w:divBdr>
        <w:top w:val="none" w:sz="0" w:space="0" w:color="auto"/>
        <w:left w:val="none" w:sz="0" w:space="0" w:color="auto"/>
        <w:bottom w:val="none" w:sz="0" w:space="0" w:color="auto"/>
        <w:right w:val="none" w:sz="0" w:space="0" w:color="auto"/>
      </w:divBdr>
    </w:div>
    <w:div w:id="1423523497">
      <w:bodyDiv w:val="1"/>
      <w:marLeft w:val="0"/>
      <w:marRight w:val="0"/>
      <w:marTop w:val="0"/>
      <w:marBottom w:val="0"/>
      <w:divBdr>
        <w:top w:val="none" w:sz="0" w:space="0" w:color="auto"/>
        <w:left w:val="none" w:sz="0" w:space="0" w:color="auto"/>
        <w:bottom w:val="none" w:sz="0" w:space="0" w:color="auto"/>
        <w:right w:val="none" w:sz="0" w:space="0" w:color="auto"/>
      </w:divBdr>
    </w:div>
    <w:div w:id="1423525800">
      <w:bodyDiv w:val="1"/>
      <w:marLeft w:val="0"/>
      <w:marRight w:val="0"/>
      <w:marTop w:val="0"/>
      <w:marBottom w:val="0"/>
      <w:divBdr>
        <w:top w:val="none" w:sz="0" w:space="0" w:color="auto"/>
        <w:left w:val="none" w:sz="0" w:space="0" w:color="auto"/>
        <w:bottom w:val="none" w:sz="0" w:space="0" w:color="auto"/>
        <w:right w:val="none" w:sz="0" w:space="0" w:color="auto"/>
      </w:divBdr>
    </w:div>
    <w:div w:id="1423645620">
      <w:bodyDiv w:val="1"/>
      <w:marLeft w:val="0"/>
      <w:marRight w:val="0"/>
      <w:marTop w:val="0"/>
      <w:marBottom w:val="0"/>
      <w:divBdr>
        <w:top w:val="none" w:sz="0" w:space="0" w:color="auto"/>
        <w:left w:val="none" w:sz="0" w:space="0" w:color="auto"/>
        <w:bottom w:val="none" w:sz="0" w:space="0" w:color="auto"/>
        <w:right w:val="none" w:sz="0" w:space="0" w:color="auto"/>
      </w:divBdr>
    </w:div>
    <w:div w:id="1423723818">
      <w:bodyDiv w:val="1"/>
      <w:marLeft w:val="0"/>
      <w:marRight w:val="0"/>
      <w:marTop w:val="0"/>
      <w:marBottom w:val="0"/>
      <w:divBdr>
        <w:top w:val="none" w:sz="0" w:space="0" w:color="auto"/>
        <w:left w:val="none" w:sz="0" w:space="0" w:color="auto"/>
        <w:bottom w:val="none" w:sz="0" w:space="0" w:color="auto"/>
        <w:right w:val="none" w:sz="0" w:space="0" w:color="auto"/>
      </w:divBdr>
    </w:div>
    <w:div w:id="1423799700">
      <w:bodyDiv w:val="1"/>
      <w:marLeft w:val="0"/>
      <w:marRight w:val="0"/>
      <w:marTop w:val="0"/>
      <w:marBottom w:val="0"/>
      <w:divBdr>
        <w:top w:val="none" w:sz="0" w:space="0" w:color="auto"/>
        <w:left w:val="none" w:sz="0" w:space="0" w:color="auto"/>
        <w:bottom w:val="none" w:sz="0" w:space="0" w:color="auto"/>
        <w:right w:val="none" w:sz="0" w:space="0" w:color="auto"/>
      </w:divBdr>
    </w:div>
    <w:div w:id="1423837113">
      <w:bodyDiv w:val="1"/>
      <w:marLeft w:val="0"/>
      <w:marRight w:val="0"/>
      <w:marTop w:val="0"/>
      <w:marBottom w:val="0"/>
      <w:divBdr>
        <w:top w:val="none" w:sz="0" w:space="0" w:color="auto"/>
        <w:left w:val="none" w:sz="0" w:space="0" w:color="auto"/>
        <w:bottom w:val="none" w:sz="0" w:space="0" w:color="auto"/>
        <w:right w:val="none" w:sz="0" w:space="0" w:color="auto"/>
      </w:divBdr>
    </w:div>
    <w:div w:id="1423916187">
      <w:bodyDiv w:val="1"/>
      <w:marLeft w:val="0"/>
      <w:marRight w:val="0"/>
      <w:marTop w:val="0"/>
      <w:marBottom w:val="0"/>
      <w:divBdr>
        <w:top w:val="none" w:sz="0" w:space="0" w:color="auto"/>
        <w:left w:val="none" w:sz="0" w:space="0" w:color="auto"/>
        <w:bottom w:val="none" w:sz="0" w:space="0" w:color="auto"/>
        <w:right w:val="none" w:sz="0" w:space="0" w:color="auto"/>
      </w:divBdr>
    </w:div>
    <w:div w:id="1423918412">
      <w:bodyDiv w:val="1"/>
      <w:marLeft w:val="0"/>
      <w:marRight w:val="0"/>
      <w:marTop w:val="0"/>
      <w:marBottom w:val="0"/>
      <w:divBdr>
        <w:top w:val="none" w:sz="0" w:space="0" w:color="auto"/>
        <w:left w:val="none" w:sz="0" w:space="0" w:color="auto"/>
        <w:bottom w:val="none" w:sz="0" w:space="0" w:color="auto"/>
        <w:right w:val="none" w:sz="0" w:space="0" w:color="auto"/>
      </w:divBdr>
    </w:div>
    <w:div w:id="1424063084">
      <w:bodyDiv w:val="1"/>
      <w:marLeft w:val="0"/>
      <w:marRight w:val="0"/>
      <w:marTop w:val="0"/>
      <w:marBottom w:val="0"/>
      <w:divBdr>
        <w:top w:val="none" w:sz="0" w:space="0" w:color="auto"/>
        <w:left w:val="none" w:sz="0" w:space="0" w:color="auto"/>
        <w:bottom w:val="none" w:sz="0" w:space="0" w:color="auto"/>
        <w:right w:val="none" w:sz="0" w:space="0" w:color="auto"/>
      </w:divBdr>
    </w:div>
    <w:div w:id="1424063739">
      <w:bodyDiv w:val="1"/>
      <w:marLeft w:val="0"/>
      <w:marRight w:val="0"/>
      <w:marTop w:val="0"/>
      <w:marBottom w:val="0"/>
      <w:divBdr>
        <w:top w:val="none" w:sz="0" w:space="0" w:color="auto"/>
        <w:left w:val="none" w:sz="0" w:space="0" w:color="auto"/>
        <w:bottom w:val="none" w:sz="0" w:space="0" w:color="auto"/>
        <w:right w:val="none" w:sz="0" w:space="0" w:color="auto"/>
      </w:divBdr>
    </w:div>
    <w:div w:id="1424180719">
      <w:bodyDiv w:val="1"/>
      <w:marLeft w:val="0"/>
      <w:marRight w:val="0"/>
      <w:marTop w:val="0"/>
      <w:marBottom w:val="0"/>
      <w:divBdr>
        <w:top w:val="none" w:sz="0" w:space="0" w:color="auto"/>
        <w:left w:val="none" w:sz="0" w:space="0" w:color="auto"/>
        <w:bottom w:val="none" w:sz="0" w:space="0" w:color="auto"/>
        <w:right w:val="none" w:sz="0" w:space="0" w:color="auto"/>
      </w:divBdr>
    </w:div>
    <w:div w:id="1424230586">
      <w:bodyDiv w:val="1"/>
      <w:marLeft w:val="0"/>
      <w:marRight w:val="0"/>
      <w:marTop w:val="0"/>
      <w:marBottom w:val="0"/>
      <w:divBdr>
        <w:top w:val="none" w:sz="0" w:space="0" w:color="auto"/>
        <w:left w:val="none" w:sz="0" w:space="0" w:color="auto"/>
        <w:bottom w:val="none" w:sz="0" w:space="0" w:color="auto"/>
        <w:right w:val="none" w:sz="0" w:space="0" w:color="auto"/>
      </w:divBdr>
    </w:div>
    <w:div w:id="1424298034">
      <w:bodyDiv w:val="1"/>
      <w:marLeft w:val="0"/>
      <w:marRight w:val="0"/>
      <w:marTop w:val="0"/>
      <w:marBottom w:val="0"/>
      <w:divBdr>
        <w:top w:val="none" w:sz="0" w:space="0" w:color="auto"/>
        <w:left w:val="none" w:sz="0" w:space="0" w:color="auto"/>
        <w:bottom w:val="none" w:sz="0" w:space="0" w:color="auto"/>
        <w:right w:val="none" w:sz="0" w:space="0" w:color="auto"/>
      </w:divBdr>
    </w:div>
    <w:div w:id="1424452724">
      <w:bodyDiv w:val="1"/>
      <w:marLeft w:val="0"/>
      <w:marRight w:val="0"/>
      <w:marTop w:val="0"/>
      <w:marBottom w:val="0"/>
      <w:divBdr>
        <w:top w:val="none" w:sz="0" w:space="0" w:color="auto"/>
        <w:left w:val="none" w:sz="0" w:space="0" w:color="auto"/>
        <w:bottom w:val="none" w:sz="0" w:space="0" w:color="auto"/>
        <w:right w:val="none" w:sz="0" w:space="0" w:color="auto"/>
      </w:divBdr>
    </w:div>
    <w:div w:id="1424568662">
      <w:bodyDiv w:val="1"/>
      <w:marLeft w:val="0"/>
      <w:marRight w:val="0"/>
      <w:marTop w:val="0"/>
      <w:marBottom w:val="0"/>
      <w:divBdr>
        <w:top w:val="none" w:sz="0" w:space="0" w:color="auto"/>
        <w:left w:val="none" w:sz="0" w:space="0" w:color="auto"/>
        <w:bottom w:val="none" w:sz="0" w:space="0" w:color="auto"/>
        <w:right w:val="none" w:sz="0" w:space="0" w:color="auto"/>
      </w:divBdr>
    </w:div>
    <w:div w:id="1424569170">
      <w:bodyDiv w:val="1"/>
      <w:marLeft w:val="0"/>
      <w:marRight w:val="0"/>
      <w:marTop w:val="0"/>
      <w:marBottom w:val="0"/>
      <w:divBdr>
        <w:top w:val="none" w:sz="0" w:space="0" w:color="auto"/>
        <w:left w:val="none" w:sz="0" w:space="0" w:color="auto"/>
        <w:bottom w:val="none" w:sz="0" w:space="0" w:color="auto"/>
        <w:right w:val="none" w:sz="0" w:space="0" w:color="auto"/>
      </w:divBdr>
    </w:div>
    <w:div w:id="1424572597">
      <w:bodyDiv w:val="1"/>
      <w:marLeft w:val="0"/>
      <w:marRight w:val="0"/>
      <w:marTop w:val="0"/>
      <w:marBottom w:val="0"/>
      <w:divBdr>
        <w:top w:val="none" w:sz="0" w:space="0" w:color="auto"/>
        <w:left w:val="none" w:sz="0" w:space="0" w:color="auto"/>
        <w:bottom w:val="none" w:sz="0" w:space="0" w:color="auto"/>
        <w:right w:val="none" w:sz="0" w:space="0" w:color="auto"/>
      </w:divBdr>
    </w:div>
    <w:div w:id="1424719611">
      <w:bodyDiv w:val="1"/>
      <w:marLeft w:val="0"/>
      <w:marRight w:val="0"/>
      <w:marTop w:val="0"/>
      <w:marBottom w:val="0"/>
      <w:divBdr>
        <w:top w:val="none" w:sz="0" w:space="0" w:color="auto"/>
        <w:left w:val="none" w:sz="0" w:space="0" w:color="auto"/>
        <w:bottom w:val="none" w:sz="0" w:space="0" w:color="auto"/>
        <w:right w:val="none" w:sz="0" w:space="0" w:color="auto"/>
      </w:divBdr>
    </w:div>
    <w:div w:id="1424760764">
      <w:bodyDiv w:val="1"/>
      <w:marLeft w:val="0"/>
      <w:marRight w:val="0"/>
      <w:marTop w:val="0"/>
      <w:marBottom w:val="0"/>
      <w:divBdr>
        <w:top w:val="none" w:sz="0" w:space="0" w:color="auto"/>
        <w:left w:val="none" w:sz="0" w:space="0" w:color="auto"/>
        <w:bottom w:val="none" w:sz="0" w:space="0" w:color="auto"/>
        <w:right w:val="none" w:sz="0" w:space="0" w:color="auto"/>
      </w:divBdr>
    </w:div>
    <w:div w:id="1424840835">
      <w:bodyDiv w:val="1"/>
      <w:marLeft w:val="0"/>
      <w:marRight w:val="0"/>
      <w:marTop w:val="0"/>
      <w:marBottom w:val="0"/>
      <w:divBdr>
        <w:top w:val="none" w:sz="0" w:space="0" w:color="auto"/>
        <w:left w:val="none" w:sz="0" w:space="0" w:color="auto"/>
        <w:bottom w:val="none" w:sz="0" w:space="0" w:color="auto"/>
        <w:right w:val="none" w:sz="0" w:space="0" w:color="auto"/>
      </w:divBdr>
    </w:div>
    <w:div w:id="1424955768">
      <w:bodyDiv w:val="1"/>
      <w:marLeft w:val="0"/>
      <w:marRight w:val="0"/>
      <w:marTop w:val="0"/>
      <w:marBottom w:val="0"/>
      <w:divBdr>
        <w:top w:val="none" w:sz="0" w:space="0" w:color="auto"/>
        <w:left w:val="none" w:sz="0" w:space="0" w:color="auto"/>
        <w:bottom w:val="none" w:sz="0" w:space="0" w:color="auto"/>
        <w:right w:val="none" w:sz="0" w:space="0" w:color="auto"/>
      </w:divBdr>
    </w:div>
    <w:div w:id="1425033459">
      <w:bodyDiv w:val="1"/>
      <w:marLeft w:val="0"/>
      <w:marRight w:val="0"/>
      <w:marTop w:val="0"/>
      <w:marBottom w:val="0"/>
      <w:divBdr>
        <w:top w:val="none" w:sz="0" w:space="0" w:color="auto"/>
        <w:left w:val="none" w:sz="0" w:space="0" w:color="auto"/>
        <w:bottom w:val="none" w:sz="0" w:space="0" w:color="auto"/>
        <w:right w:val="none" w:sz="0" w:space="0" w:color="auto"/>
      </w:divBdr>
    </w:div>
    <w:div w:id="1425103343">
      <w:bodyDiv w:val="1"/>
      <w:marLeft w:val="0"/>
      <w:marRight w:val="0"/>
      <w:marTop w:val="0"/>
      <w:marBottom w:val="0"/>
      <w:divBdr>
        <w:top w:val="none" w:sz="0" w:space="0" w:color="auto"/>
        <w:left w:val="none" w:sz="0" w:space="0" w:color="auto"/>
        <w:bottom w:val="none" w:sz="0" w:space="0" w:color="auto"/>
        <w:right w:val="none" w:sz="0" w:space="0" w:color="auto"/>
      </w:divBdr>
    </w:div>
    <w:div w:id="1425146641">
      <w:bodyDiv w:val="1"/>
      <w:marLeft w:val="0"/>
      <w:marRight w:val="0"/>
      <w:marTop w:val="0"/>
      <w:marBottom w:val="0"/>
      <w:divBdr>
        <w:top w:val="none" w:sz="0" w:space="0" w:color="auto"/>
        <w:left w:val="none" w:sz="0" w:space="0" w:color="auto"/>
        <w:bottom w:val="none" w:sz="0" w:space="0" w:color="auto"/>
        <w:right w:val="none" w:sz="0" w:space="0" w:color="auto"/>
      </w:divBdr>
    </w:div>
    <w:div w:id="1425296819">
      <w:bodyDiv w:val="1"/>
      <w:marLeft w:val="0"/>
      <w:marRight w:val="0"/>
      <w:marTop w:val="0"/>
      <w:marBottom w:val="0"/>
      <w:divBdr>
        <w:top w:val="none" w:sz="0" w:space="0" w:color="auto"/>
        <w:left w:val="none" w:sz="0" w:space="0" w:color="auto"/>
        <w:bottom w:val="none" w:sz="0" w:space="0" w:color="auto"/>
        <w:right w:val="none" w:sz="0" w:space="0" w:color="auto"/>
      </w:divBdr>
    </w:div>
    <w:div w:id="1425616568">
      <w:bodyDiv w:val="1"/>
      <w:marLeft w:val="0"/>
      <w:marRight w:val="0"/>
      <w:marTop w:val="0"/>
      <w:marBottom w:val="0"/>
      <w:divBdr>
        <w:top w:val="none" w:sz="0" w:space="0" w:color="auto"/>
        <w:left w:val="none" w:sz="0" w:space="0" w:color="auto"/>
        <w:bottom w:val="none" w:sz="0" w:space="0" w:color="auto"/>
        <w:right w:val="none" w:sz="0" w:space="0" w:color="auto"/>
      </w:divBdr>
    </w:div>
    <w:div w:id="1425952760">
      <w:bodyDiv w:val="1"/>
      <w:marLeft w:val="0"/>
      <w:marRight w:val="0"/>
      <w:marTop w:val="0"/>
      <w:marBottom w:val="0"/>
      <w:divBdr>
        <w:top w:val="none" w:sz="0" w:space="0" w:color="auto"/>
        <w:left w:val="none" w:sz="0" w:space="0" w:color="auto"/>
        <w:bottom w:val="none" w:sz="0" w:space="0" w:color="auto"/>
        <w:right w:val="none" w:sz="0" w:space="0" w:color="auto"/>
      </w:divBdr>
    </w:div>
    <w:div w:id="1425954965">
      <w:bodyDiv w:val="1"/>
      <w:marLeft w:val="0"/>
      <w:marRight w:val="0"/>
      <w:marTop w:val="0"/>
      <w:marBottom w:val="0"/>
      <w:divBdr>
        <w:top w:val="none" w:sz="0" w:space="0" w:color="auto"/>
        <w:left w:val="none" w:sz="0" w:space="0" w:color="auto"/>
        <w:bottom w:val="none" w:sz="0" w:space="0" w:color="auto"/>
        <w:right w:val="none" w:sz="0" w:space="0" w:color="auto"/>
      </w:divBdr>
    </w:div>
    <w:div w:id="1425955504">
      <w:bodyDiv w:val="1"/>
      <w:marLeft w:val="0"/>
      <w:marRight w:val="0"/>
      <w:marTop w:val="0"/>
      <w:marBottom w:val="0"/>
      <w:divBdr>
        <w:top w:val="none" w:sz="0" w:space="0" w:color="auto"/>
        <w:left w:val="none" w:sz="0" w:space="0" w:color="auto"/>
        <w:bottom w:val="none" w:sz="0" w:space="0" w:color="auto"/>
        <w:right w:val="none" w:sz="0" w:space="0" w:color="auto"/>
      </w:divBdr>
    </w:div>
    <w:div w:id="1426076586">
      <w:bodyDiv w:val="1"/>
      <w:marLeft w:val="0"/>
      <w:marRight w:val="0"/>
      <w:marTop w:val="0"/>
      <w:marBottom w:val="0"/>
      <w:divBdr>
        <w:top w:val="none" w:sz="0" w:space="0" w:color="auto"/>
        <w:left w:val="none" w:sz="0" w:space="0" w:color="auto"/>
        <w:bottom w:val="none" w:sz="0" w:space="0" w:color="auto"/>
        <w:right w:val="none" w:sz="0" w:space="0" w:color="auto"/>
      </w:divBdr>
    </w:div>
    <w:div w:id="1426225052">
      <w:bodyDiv w:val="1"/>
      <w:marLeft w:val="0"/>
      <w:marRight w:val="0"/>
      <w:marTop w:val="0"/>
      <w:marBottom w:val="0"/>
      <w:divBdr>
        <w:top w:val="none" w:sz="0" w:space="0" w:color="auto"/>
        <w:left w:val="none" w:sz="0" w:space="0" w:color="auto"/>
        <w:bottom w:val="none" w:sz="0" w:space="0" w:color="auto"/>
        <w:right w:val="none" w:sz="0" w:space="0" w:color="auto"/>
      </w:divBdr>
    </w:div>
    <w:div w:id="1426266795">
      <w:bodyDiv w:val="1"/>
      <w:marLeft w:val="0"/>
      <w:marRight w:val="0"/>
      <w:marTop w:val="0"/>
      <w:marBottom w:val="0"/>
      <w:divBdr>
        <w:top w:val="none" w:sz="0" w:space="0" w:color="auto"/>
        <w:left w:val="none" w:sz="0" w:space="0" w:color="auto"/>
        <w:bottom w:val="none" w:sz="0" w:space="0" w:color="auto"/>
        <w:right w:val="none" w:sz="0" w:space="0" w:color="auto"/>
      </w:divBdr>
    </w:div>
    <w:div w:id="1426341979">
      <w:bodyDiv w:val="1"/>
      <w:marLeft w:val="0"/>
      <w:marRight w:val="0"/>
      <w:marTop w:val="0"/>
      <w:marBottom w:val="0"/>
      <w:divBdr>
        <w:top w:val="none" w:sz="0" w:space="0" w:color="auto"/>
        <w:left w:val="none" w:sz="0" w:space="0" w:color="auto"/>
        <w:bottom w:val="none" w:sz="0" w:space="0" w:color="auto"/>
        <w:right w:val="none" w:sz="0" w:space="0" w:color="auto"/>
      </w:divBdr>
    </w:div>
    <w:div w:id="1426420714">
      <w:bodyDiv w:val="1"/>
      <w:marLeft w:val="0"/>
      <w:marRight w:val="0"/>
      <w:marTop w:val="0"/>
      <w:marBottom w:val="0"/>
      <w:divBdr>
        <w:top w:val="none" w:sz="0" w:space="0" w:color="auto"/>
        <w:left w:val="none" w:sz="0" w:space="0" w:color="auto"/>
        <w:bottom w:val="none" w:sz="0" w:space="0" w:color="auto"/>
        <w:right w:val="none" w:sz="0" w:space="0" w:color="auto"/>
      </w:divBdr>
    </w:div>
    <w:div w:id="1426656281">
      <w:bodyDiv w:val="1"/>
      <w:marLeft w:val="0"/>
      <w:marRight w:val="0"/>
      <w:marTop w:val="0"/>
      <w:marBottom w:val="0"/>
      <w:divBdr>
        <w:top w:val="none" w:sz="0" w:space="0" w:color="auto"/>
        <w:left w:val="none" w:sz="0" w:space="0" w:color="auto"/>
        <w:bottom w:val="none" w:sz="0" w:space="0" w:color="auto"/>
        <w:right w:val="none" w:sz="0" w:space="0" w:color="auto"/>
      </w:divBdr>
    </w:div>
    <w:div w:id="1426850223">
      <w:bodyDiv w:val="1"/>
      <w:marLeft w:val="0"/>
      <w:marRight w:val="0"/>
      <w:marTop w:val="0"/>
      <w:marBottom w:val="0"/>
      <w:divBdr>
        <w:top w:val="none" w:sz="0" w:space="0" w:color="auto"/>
        <w:left w:val="none" w:sz="0" w:space="0" w:color="auto"/>
        <w:bottom w:val="none" w:sz="0" w:space="0" w:color="auto"/>
        <w:right w:val="none" w:sz="0" w:space="0" w:color="auto"/>
      </w:divBdr>
    </w:div>
    <w:div w:id="1426918003">
      <w:bodyDiv w:val="1"/>
      <w:marLeft w:val="0"/>
      <w:marRight w:val="0"/>
      <w:marTop w:val="0"/>
      <w:marBottom w:val="0"/>
      <w:divBdr>
        <w:top w:val="none" w:sz="0" w:space="0" w:color="auto"/>
        <w:left w:val="none" w:sz="0" w:space="0" w:color="auto"/>
        <w:bottom w:val="none" w:sz="0" w:space="0" w:color="auto"/>
        <w:right w:val="none" w:sz="0" w:space="0" w:color="auto"/>
      </w:divBdr>
    </w:div>
    <w:div w:id="1426921750">
      <w:bodyDiv w:val="1"/>
      <w:marLeft w:val="0"/>
      <w:marRight w:val="0"/>
      <w:marTop w:val="0"/>
      <w:marBottom w:val="0"/>
      <w:divBdr>
        <w:top w:val="none" w:sz="0" w:space="0" w:color="auto"/>
        <w:left w:val="none" w:sz="0" w:space="0" w:color="auto"/>
        <w:bottom w:val="none" w:sz="0" w:space="0" w:color="auto"/>
        <w:right w:val="none" w:sz="0" w:space="0" w:color="auto"/>
      </w:divBdr>
    </w:div>
    <w:div w:id="1426924726">
      <w:bodyDiv w:val="1"/>
      <w:marLeft w:val="0"/>
      <w:marRight w:val="0"/>
      <w:marTop w:val="0"/>
      <w:marBottom w:val="0"/>
      <w:divBdr>
        <w:top w:val="none" w:sz="0" w:space="0" w:color="auto"/>
        <w:left w:val="none" w:sz="0" w:space="0" w:color="auto"/>
        <w:bottom w:val="none" w:sz="0" w:space="0" w:color="auto"/>
        <w:right w:val="none" w:sz="0" w:space="0" w:color="auto"/>
      </w:divBdr>
    </w:div>
    <w:div w:id="1427068629">
      <w:bodyDiv w:val="1"/>
      <w:marLeft w:val="0"/>
      <w:marRight w:val="0"/>
      <w:marTop w:val="0"/>
      <w:marBottom w:val="0"/>
      <w:divBdr>
        <w:top w:val="none" w:sz="0" w:space="0" w:color="auto"/>
        <w:left w:val="none" w:sz="0" w:space="0" w:color="auto"/>
        <w:bottom w:val="none" w:sz="0" w:space="0" w:color="auto"/>
        <w:right w:val="none" w:sz="0" w:space="0" w:color="auto"/>
      </w:divBdr>
    </w:div>
    <w:div w:id="1427186997">
      <w:bodyDiv w:val="1"/>
      <w:marLeft w:val="0"/>
      <w:marRight w:val="0"/>
      <w:marTop w:val="0"/>
      <w:marBottom w:val="0"/>
      <w:divBdr>
        <w:top w:val="none" w:sz="0" w:space="0" w:color="auto"/>
        <w:left w:val="none" w:sz="0" w:space="0" w:color="auto"/>
        <w:bottom w:val="none" w:sz="0" w:space="0" w:color="auto"/>
        <w:right w:val="none" w:sz="0" w:space="0" w:color="auto"/>
      </w:divBdr>
    </w:div>
    <w:div w:id="1427262535">
      <w:bodyDiv w:val="1"/>
      <w:marLeft w:val="0"/>
      <w:marRight w:val="0"/>
      <w:marTop w:val="0"/>
      <w:marBottom w:val="0"/>
      <w:divBdr>
        <w:top w:val="none" w:sz="0" w:space="0" w:color="auto"/>
        <w:left w:val="none" w:sz="0" w:space="0" w:color="auto"/>
        <w:bottom w:val="none" w:sz="0" w:space="0" w:color="auto"/>
        <w:right w:val="none" w:sz="0" w:space="0" w:color="auto"/>
      </w:divBdr>
    </w:div>
    <w:div w:id="1427263048">
      <w:bodyDiv w:val="1"/>
      <w:marLeft w:val="0"/>
      <w:marRight w:val="0"/>
      <w:marTop w:val="0"/>
      <w:marBottom w:val="0"/>
      <w:divBdr>
        <w:top w:val="none" w:sz="0" w:space="0" w:color="auto"/>
        <w:left w:val="none" w:sz="0" w:space="0" w:color="auto"/>
        <w:bottom w:val="none" w:sz="0" w:space="0" w:color="auto"/>
        <w:right w:val="none" w:sz="0" w:space="0" w:color="auto"/>
      </w:divBdr>
    </w:div>
    <w:div w:id="1427311283">
      <w:bodyDiv w:val="1"/>
      <w:marLeft w:val="0"/>
      <w:marRight w:val="0"/>
      <w:marTop w:val="0"/>
      <w:marBottom w:val="0"/>
      <w:divBdr>
        <w:top w:val="none" w:sz="0" w:space="0" w:color="auto"/>
        <w:left w:val="none" w:sz="0" w:space="0" w:color="auto"/>
        <w:bottom w:val="none" w:sz="0" w:space="0" w:color="auto"/>
        <w:right w:val="none" w:sz="0" w:space="0" w:color="auto"/>
      </w:divBdr>
    </w:div>
    <w:div w:id="1427463627">
      <w:bodyDiv w:val="1"/>
      <w:marLeft w:val="0"/>
      <w:marRight w:val="0"/>
      <w:marTop w:val="0"/>
      <w:marBottom w:val="0"/>
      <w:divBdr>
        <w:top w:val="none" w:sz="0" w:space="0" w:color="auto"/>
        <w:left w:val="none" w:sz="0" w:space="0" w:color="auto"/>
        <w:bottom w:val="none" w:sz="0" w:space="0" w:color="auto"/>
        <w:right w:val="none" w:sz="0" w:space="0" w:color="auto"/>
      </w:divBdr>
    </w:div>
    <w:div w:id="1427505213">
      <w:bodyDiv w:val="1"/>
      <w:marLeft w:val="0"/>
      <w:marRight w:val="0"/>
      <w:marTop w:val="0"/>
      <w:marBottom w:val="0"/>
      <w:divBdr>
        <w:top w:val="none" w:sz="0" w:space="0" w:color="auto"/>
        <w:left w:val="none" w:sz="0" w:space="0" w:color="auto"/>
        <w:bottom w:val="none" w:sz="0" w:space="0" w:color="auto"/>
        <w:right w:val="none" w:sz="0" w:space="0" w:color="auto"/>
      </w:divBdr>
    </w:div>
    <w:div w:id="1427532749">
      <w:bodyDiv w:val="1"/>
      <w:marLeft w:val="0"/>
      <w:marRight w:val="0"/>
      <w:marTop w:val="0"/>
      <w:marBottom w:val="0"/>
      <w:divBdr>
        <w:top w:val="none" w:sz="0" w:space="0" w:color="auto"/>
        <w:left w:val="none" w:sz="0" w:space="0" w:color="auto"/>
        <w:bottom w:val="none" w:sz="0" w:space="0" w:color="auto"/>
        <w:right w:val="none" w:sz="0" w:space="0" w:color="auto"/>
      </w:divBdr>
    </w:div>
    <w:div w:id="1427535531">
      <w:bodyDiv w:val="1"/>
      <w:marLeft w:val="0"/>
      <w:marRight w:val="0"/>
      <w:marTop w:val="0"/>
      <w:marBottom w:val="0"/>
      <w:divBdr>
        <w:top w:val="none" w:sz="0" w:space="0" w:color="auto"/>
        <w:left w:val="none" w:sz="0" w:space="0" w:color="auto"/>
        <w:bottom w:val="none" w:sz="0" w:space="0" w:color="auto"/>
        <w:right w:val="none" w:sz="0" w:space="0" w:color="auto"/>
      </w:divBdr>
    </w:div>
    <w:div w:id="1427576799">
      <w:bodyDiv w:val="1"/>
      <w:marLeft w:val="0"/>
      <w:marRight w:val="0"/>
      <w:marTop w:val="0"/>
      <w:marBottom w:val="0"/>
      <w:divBdr>
        <w:top w:val="none" w:sz="0" w:space="0" w:color="auto"/>
        <w:left w:val="none" w:sz="0" w:space="0" w:color="auto"/>
        <w:bottom w:val="none" w:sz="0" w:space="0" w:color="auto"/>
        <w:right w:val="none" w:sz="0" w:space="0" w:color="auto"/>
      </w:divBdr>
    </w:div>
    <w:div w:id="1427579859">
      <w:bodyDiv w:val="1"/>
      <w:marLeft w:val="0"/>
      <w:marRight w:val="0"/>
      <w:marTop w:val="0"/>
      <w:marBottom w:val="0"/>
      <w:divBdr>
        <w:top w:val="none" w:sz="0" w:space="0" w:color="auto"/>
        <w:left w:val="none" w:sz="0" w:space="0" w:color="auto"/>
        <w:bottom w:val="none" w:sz="0" w:space="0" w:color="auto"/>
        <w:right w:val="none" w:sz="0" w:space="0" w:color="auto"/>
      </w:divBdr>
    </w:div>
    <w:div w:id="1427727384">
      <w:bodyDiv w:val="1"/>
      <w:marLeft w:val="0"/>
      <w:marRight w:val="0"/>
      <w:marTop w:val="0"/>
      <w:marBottom w:val="0"/>
      <w:divBdr>
        <w:top w:val="none" w:sz="0" w:space="0" w:color="auto"/>
        <w:left w:val="none" w:sz="0" w:space="0" w:color="auto"/>
        <w:bottom w:val="none" w:sz="0" w:space="0" w:color="auto"/>
        <w:right w:val="none" w:sz="0" w:space="0" w:color="auto"/>
      </w:divBdr>
    </w:div>
    <w:div w:id="1427846299">
      <w:bodyDiv w:val="1"/>
      <w:marLeft w:val="0"/>
      <w:marRight w:val="0"/>
      <w:marTop w:val="0"/>
      <w:marBottom w:val="0"/>
      <w:divBdr>
        <w:top w:val="none" w:sz="0" w:space="0" w:color="auto"/>
        <w:left w:val="none" w:sz="0" w:space="0" w:color="auto"/>
        <w:bottom w:val="none" w:sz="0" w:space="0" w:color="auto"/>
        <w:right w:val="none" w:sz="0" w:space="0" w:color="auto"/>
      </w:divBdr>
    </w:div>
    <w:div w:id="1427964567">
      <w:bodyDiv w:val="1"/>
      <w:marLeft w:val="0"/>
      <w:marRight w:val="0"/>
      <w:marTop w:val="0"/>
      <w:marBottom w:val="0"/>
      <w:divBdr>
        <w:top w:val="none" w:sz="0" w:space="0" w:color="auto"/>
        <w:left w:val="none" w:sz="0" w:space="0" w:color="auto"/>
        <w:bottom w:val="none" w:sz="0" w:space="0" w:color="auto"/>
        <w:right w:val="none" w:sz="0" w:space="0" w:color="auto"/>
      </w:divBdr>
    </w:div>
    <w:div w:id="1427996545">
      <w:bodyDiv w:val="1"/>
      <w:marLeft w:val="0"/>
      <w:marRight w:val="0"/>
      <w:marTop w:val="0"/>
      <w:marBottom w:val="0"/>
      <w:divBdr>
        <w:top w:val="none" w:sz="0" w:space="0" w:color="auto"/>
        <w:left w:val="none" w:sz="0" w:space="0" w:color="auto"/>
        <w:bottom w:val="none" w:sz="0" w:space="0" w:color="auto"/>
        <w:right w:val="none" w:sz="0" w:space="0" w:color="auto"/>
      </w:divBdr>
    </w:div>
    <w:div w:id="1428189744">
      <w:bodyDiv w:val="1"/>
      <w:marLeft w:val="0"/>
      <w:marRight w:val="0"/>
      <w:marTop w:val="0"/>
      <w:marBottom w:val="0"/>
      <w:divBdr>
        <w:top w:val="none" w:sz="0" w:space="0" w:color="auto"/>
        <w:left w:val="none" w:sz="0" w:space="0" w:color="auto"/>
        <w:bottom w:val="none" w:sz="0" w:space="0" w:color="auto"/>
        <w:right w:val="none" w:sz="0" w:space="0" w:color="auto"/>
      </w:divBdr>
    </w:div>
    <w:div w:id="1428306552">
      <w:bodyDiv w:val="1"/>
      <w:marLeft w:val="0"/>
      <w:marRight w:val="0"/>
      <w:marTop w:val="0"/>
      <w:marBottom w:val="0"/>
      <w:divBdr>
        <w:top w:val="none" w:sz="0" w:space="0" w:color="auto"/>
        <w:left w:val="none" w:sz="0" w:space="0" w:color="auto"/>
        <w:bottom w:val="none" w:sz="0" w:space="0" w:color="auto"/>
        <w:right w:val="none" w:sz="0" w:space="0" w:color="auto"/>
      </w:divBdr>
    </w:div>
    <w:div w:id="1428380485">
      <w:bodyDiv w:val="1"/>
      <w:marLeft w:val="0"/>
      <w:marRight w:val="0"/>
      <w:marTop w:val="0"/>
      <w:marBottom w:val="0"/>
      <w:divBdr>
        <w:top w:val="none" w:sz="0" w:space="0" w:color="auto"/>
        <w:left w:val="none" w:sz="0" w:space="0" w:color="auto"/>
        <w:bottom w:val="none" w:sz="0" w:space="0" w:color="auto"/>
        <w:right w:val="none" w:sz="0" w:space="0" w:color="auto"/>
      </w:divBdr>
    </w:div>
    <w:div w:id="1428383482">
      <w:bodyDiv w:val="1"/>
      <w:marLeft w:val="0"/>
      <w:marRight w:val="0"/>
      <w:marTop w:val="0"/>
      <w:marBottom w:val="0"/>
      <w:divBdr>
        <w:top w:val="none" w:sz="0" w:space="0" w:color="auto"/>
        <w:left w:val="none" w:sz="0" w:space="0" w:color="auto"/>
        <w:bottom w:val="none" w:sz="0" w:space="0" w:color="auto"/>
        <w:right w:val="none" w:sz="0" w:space="0" w:color="auto"/>
      </w:divBdr>
    </w:div>
    <w:div w:id="1428429475">
      <w:bodyDiv w:val="1"/>
      <w:marLeft w:val="0"/>
      <w:marRight w:val="0"/>
      <w:marTop w:val="0"/>
      <w:marBottom w:val="0"/>
      <w:divBdr>
        <w:top w:val="none" w:sz="0" w:space="0" w:color="auto"/>
        <w:left w:val="none" w:sz="0" w:space="0" w:color="auto"/>
        <w:bottom w:val="none" w:sz="0" w:space="0" w:color="auto"/>
        <w:right w:val="none" w:sz="0" w:space="0" w:color="auto"/>
      </w:divBdr>
    </w:div>
    <w:div w:id="1428454703">
      <w:bodyDiv w:val="1"/>
      <w:marLeft w:val="0"/>
      <w:marRight w:val="0"/>
      <w:marTop w:val="0"/>
      <w:marBottom w:val="0"/>
      <w:divBdr>
        <w:top w:val="none" w:sz="0" w:space="0" w:color="auto"/>
        <w:left w:val="none" w:sz="0" w:space="0" w:color="auto"/>
        <w:bottom w:val="none" w:sz="0" w:space="0" w:color="auto"/>
        <w:right w:val="none" w:sz="0" w:space="0" w:color="auto"/>
      </w:divBdr>
    </w:div>
    <w:div w:id="1428500000">
      <w:bodyDiv w:val="1"/>
      <w:marLeft w:val="0"/>
      <w:marRight w:val="0"/>
      <w:marTop w:val="0"/>
      <w:marBottom w:val="0"/>
      <w:divBdr>
        <w:top w:val="none" w:sz="0" w:space="0" w:color="auto"/>
        <w:left w:val="none" w:sz="0" w:space="0" w:color="auto"/>
        <w:bottom w:val="none" w:sz="0" w:space="0" w:color="auto"/>
        <w:right w:val="none" w:sz="0" w:space="0" w:color="auto"/>
      </w:divBdr>
    </w:div>
    <w:div w:id="1428501527">
      <w:bodyDiv w:val="1"/>
      <w:marLeft w:val="0"/>
      <w:marRight w:val="0"/>
      <w:marTop w:val="0"/>
      <w:marBottom w:val="0"/>
      <w:divBdr>
        <w:top w:val="none" w:sz="0" w:space="0" w:color="auto"/>
        <w:left w:val="none" w:sz="0" w:space="0" w:color="auto"/>
        <w:bottom w:val="none" w:sz="0" w:space="0" w:color="auto"/>
        <w:right w:val="none" w:sz="0" w:space="0" w:color="auto"/>
      </w:divBdr>
    </w:div>
    <w:div w:id="1428575898">
      <w:bodyDiv w:val="1"/>
      <w:marLeft w:val="0"/>
      <w:marRight w:val="0"/>
      <w:marTop w:val="0"/>
      <w:marBottom w:val="0"/>
      <w:divBdr>
        <w:top w:val="none" w:sz="0" w:space="0" w:color="auto"/>
        <w:left w:val="none" w:sz="0" w:space="0" w:color="auto"/>
        <w:bottom w:val="none" w:sz="0" w:space="0" w:color="auto"/>
        <w:right w:val="none" w:sz="0" w:space="0" w:color="auto"/>
      </w:divBdr>
    </w:div>
    <w:div w:id="1428578906">
      <w:bodyDiv w:val="1"/>
      <w:marLeft w:val="0"/>
      <w:marRight w:val="0"/>
      <w:marTop w:val="0"/>
      <w:marBottom w:val="0"/>
      <w:divBdr>
        <w:top w:val="none" w:sz="0" w:space="0" w:color="auto"/>
        <w:left w:val="none" w:sz="0" w:space="0" w:color="auto"/>
        <w:bottom w:val="none" w:sz="0" w:space="0" w:color="auto"/>
        <w:right w:val="none" w:sz="0" w:space="0" w:color="auto"/>
      </w:divBdr>
    </w:div>
    <w:div w:id="1428620949">
      <w:bodyDiv w:val="1"/>
      <w:marLeft w:val="0"/>
      <w:marRight w:val="0"/>
      <w:marTop w:val="0"/>
      <w:marBottom w:val="0"/>
      <w:divBdr>
        <w:top w:val="none" w:sz="0" w:space="0" w:color="auto"/>
        <w:left w:val="none" w:sz="0" w:space="0" w:color="auto"/>
        <w:bottom w:val="none" w:sz="0" w:space="0" w:color="auto"/>
        <w:right w:val="none" w:sz="0" w:space="0" w:color="auto"/>
      </w:divBdr>
    </w:div>
    <w:div w:id="1428622544">
      <w:bodyDiv w:val="1"/>
      <w:marLeft w:val="0"/>
      <w:marRight w:val="0"/>
      <w:marTop w:val="0"/>
      <w:marBottom w:val="0"/>
      <w:divBdr>
        <w:top w:val="none" w:sz="0" w:space="0" w:color="auto"/>
        <w:left w:val="none" w:sz="0" w:space="0" w:color="auto"/>
        <w:bottom w:val="none" w:sz="0" w:space="0" w:color="auto"/>
        <w:right w:val="none" w:sz="0" w:space="0" w:color="auto"/>
      </w:divBdr>
    </w:div>
    <w:div w:id="1428622767">
      <w:bodyDiv w:val="1"/>
      <w:marLeft w:val="0"/>
      <w:marRight w:val="0"/>
      <w:marTop w:val="0"/>
      <w:marBottom w:val="0"/>
      <w:divBdr>
        <w:top w:val="none" w:sz="0" w:space="0" w:color="auto"/>
        <w:left w:val="none" w:sz="0" w:space="0" w:color="auto"/>
        <w:bottom w:val="none" w:sz="0" w:space="0" w:color="auto"/>
        <w:right w:val="none" w:sz="0" w:space="0" w:color="auto"/>
      </w:divBdr>
    </w:div>
    <w:div w:id="1428650375">
      <w:bodyDiv w:val="1"/>
      <w:marLeft w:val="0"/>
      <w:marRight w:val="0"/>
      <w:marTop w:val="0"/>
      <w:marBottom w:val="0"/>
      <w:divBdr>
        <w:top w:val="none" w:sz="0" w:space="0" w:color="auto"/>
        <w:left w:val="none" w:sz="0" w:space="0" w:color="auto"/>
        <w:bottom w:val="none" w:sz="0" w:space="0" w:color="auto"/>
        <w:right w:val="none" w:sz="0" w:space="0" w:color="auto"/>
      </w:divBdr>
    </w:div>
    <w:div w:id="1428845619">
      <w:bodyDiv w:val="1"/>
      <w:marLeft w:val="0"/>
      <w:marRight w:val="0"/>
      <w:marTop w:val="0"/>
      <w:marBottom w:val="0"/>
      <w:divBdr>
        <w:top w:val="none" w:sz="0" w:space="0" w:color="auto"/>
        <w:left w:val="none" w:sz="0" w:space="0" w:color="auto"/>
        <w:bottom w:val="none" w:sz="0" w:space="0" w:color="auto"/>
        <w:right w:val="none" w:sz="0" w:space="0" w:color="auto"/>
      </w:divBdr>
    </w:div>
    <w:div w:id="1428847816">
      <w:bodyDiv w:val="1"/>
      <w:marLeft w:val="0"/>
      <w:marRight w:val="0"/>
      <w:marTop w:val="0"/>
      <w:marBottom w:val="0"/>
      <w:divBdr>
        <w:top w:val="none" w:sz="0" w:space="0" w:color="auto"/>
        <w:left w:val="none" w:sz="0" w:space="0" w:color="auto"/>
        <w:bottom w:val="none" w:sz="0" w:space="0" w:color="auto"/>
        <w:right w:val="none" w:sz="0" w:space="0" w:color="auto"/>
      </w:divBdr>
    </w:div>
    <w:div w:id="1428884054">
      <w:bodyDiv w:val="1"/>
      <w:marLeft w:val="0"/>
      <w:marRight w:val="0"/>
      <w:marTop w:val="0"/>
      <w:marBottom w:val="0"/>
      <w:divBdr>
        <w:top w:val="none" w:sz="0" w:space="0" w:color="auto"/>
        <w:left w:val="none" w:sz="0" w:space="0" w:color="auto"/>
        <w:bottom w:val="none" w:sz="0" w:space="0" w:color="auto"/>
        <w:right w:val="none" w:sz="0" w:space="0" w:color="auto"/>
      </w:divBdr>
    </w:div>
    <w:div w:id="1428889181">
      <w:bodyDiv w:val="1"/>
      <w:marLeft w:val="0"/>
      <w:marRight w:val="0"/>
      <w:marTop w:val="0"/>
      <w:marBottom w:val="0"/>
      <w:divBdr>
        <w:top w:val="none" w:sz="0" w:space="0" w:color="auto"/>
        <w:left w:val="none" w:sz="0" w:space="0" w:color="auto"/>
        <w:bottom w:val="none" w:sz="0" w:space="0" w:color="auto"/>
        <w:right w:val="none" w:sz="0" w:space="0" w:color="auto"/>
      </w:divBdr>
    </w:div>
    <w:div w:id="1429083618">
      <w:bodyDiv w:val="1"/>
      <w:marLeft w:val="0"/>
      <w:marRight w:val="0"/>
      <w:marTop w:val="0"/>
      <w:marBottom w:val="0"/>
      <w:divBdr>
        <w:top w:val="none" w:sz="0" w:space="0" w:color="auto"/>
        <w:left w:val="none" w:sz="0" w:space="0" w:color="auto"/>
        <w:bottom w:val="none" w:sz="0" w:space="0" w:color="auto"/>
        <w:right w:val="none" w:sz="0" w:space="0" w:color="auto"/>
      </w:divBdr>
    </w:div>
    <w:div w:id="1429275860">
      <w:bodyDiv w:val="1"/>
      <w:marLeft w:val="0"/>
      <w:marRight w:val="0"/>
      <w:marTop w:val="0"/>
      <w:marBottom w:val="0"/>
      <w:divBdr>
        <w:top w:val="none" w:sz="0" w:space="0" w:color="auto"/>
        <w:left w:val="none" w:sz="0" w:space="0" w:color="auto"/>
        <w:bottom w:val="none" w:sz="0" w:space="0" w:color="auto"/>
        <w:right w:val="none" w:sz="0" w:space="0" w:color="auto"/>
      </w:divBdr>
    </w:div>
    <w:div w:id="1429276967">
      <w:bodyDiv w:val="1"/>
      <w:marLeft w:val="0"/>
      <w:marRight w:val="0"/>
      <w:marTop w:val="0"/>
      <w:marBottom w:val="0"/>
      <w:divBdr>
        <w:top w:val="none" w:sz="0" w:space="0" w:color="auto"/>
        <w:left w:val="none" w:sz="0" w:space="0" w:color="auto"/>
        <w:bottom w:val="none" w:sz="0" w:space="0" w:color="auto"/>
        <w:right w:val="none" w:sz="0" w:space="0" w:color="auto"/>
      </w:divBdr>
    </w:div>
    <w:div w:id="1429352902">
      <w:bodyDiv w:val="1"/>
      <w:marLeft w:val="0"/>
      <w:marRight w:val="0"/>
      <w:marTop w:val="0"/>
      <w:marBottom w:val="0"/>
      <w:divBdr>
        <w:top w:val="none" w:sz="0" w:space="0" w:color="auto"/>
        <w:left w:val="none" w:sz="0" w:space="0" w:color="auto"/>
        <w:bottom w:val="none" w:sz="0" w:space="0" w:color="auto"/>
        <w:right w:val="none" w:sz="0" w:space="0" w:color="auto"/>
      </w:divBdr>
    </w:div>
    <w:div w:id="1429423373">
      <w:bodyDiv w:val="1"/>
      <w:marLeft w:val="0"/>
      <w:marRight w:val="0"/>
      <w:marTop w:val="0"/>
      <w:marBottom w:val="0"/>
      <w:divBdr>
        <w:top w:val="none" w:sz="0" w:space="0" w:color="auto"/>
        <w:left w:val="none" w:sz="0" w:space="0" w:color="auto"/>
        <w:bottom w:val="none" w:sz="0" w:space="0" w:color="auto"/>
        <w:right w:val="none" w:sz="0" w:space="0" w:color="auto"/>
      </w:divBdr>
    </w:div>
    <w:div w:id="1429617607">
      <w:bodyDiv w:val="1"/>
      <w:marLeft w:val="0"/>
      <w:marRight w:val="0"/>
      <w:marTop w:val="0"/>
      <w:marBottom w:val="0"/>
      <w:divBdr>
        <w:top w:val="none" w:sz="0" w:space="0" w:color="auto"/>
        <w:left w:val="none" w:sz="0" w:space="0" w:color="auto"/>
        <w:bottom w:val="none" w:sz="0" w:space="0" w:color="auto"/>
        <w:right w:val="none" w:sz="0" w:space="0" w:color="auto"/>
      </w:divBdr>
    </w:div>
    <w:div w:id="1429811619">
      <w:bodyDiv w:val="1"/>
      <w:marLeft w:val="0"/>
      <w:marRight w:val="0"/>
      <w:marTop w:val="0"/>
      <w:marBottom w:val="0"/>
      <w:divBdr>
        <w:top w:val="none" w:sz="0" w:space="0" w:color="auto"/>
        <w:left w:val="none" w:sz="0" w:space="0" w:color="auto"/>
        <w:bottom w:val="none" w:sz="0" w:space="0" w:color="auto"/>
        <w:right w:val="none" w:sz="0" w:space="0" w:color="auto"/>
      </w:divBdr>
    </w:div>
    <w:div w:id="1429812198">
      <w:bodyDiv w:val="1"/>
      <w:marLeft w:val="0"/>
      <w:marRight w:val="0"/>
      <w:marTop w:val="0"/>
      <w:marBottom w:val="0"/>
      <w:divBdr>
        <w:top w:val="none" w:sz="0" w:space="0" w:color="auto"/>
        <w:left w:val="none" w:sz="0" w:space="0" w:color="auto"/>
        <w:bottom w:val="none" w:sz="0" w:space="0" w:color="auto"/>
        <w:right w:val="none" w:sz="0" w:space="0" w:color="auto"/>
      </w:divBdr>
    </w:div>
    <w:div w:id="1429888371">
      <w:bodyDiv w:val="1"/>
      <w:marLeft w:val="0"/>
      <w:marRight w:val="0"/>
      <w:marTop w:val="0"/>
      <w:marBottom w:val="0"/>
      <w:divBdr>
        <w:top w:val="none" w:sz="0" w:space="0" w:color="auto"/>
        <w:left w:val="none" w:sz="0" w:space="0" w:color="auto"/>
        <w:bottom w:val="none" w:sz="0" w:space="0" w:color="auto"/>
        <w:right w:val="none" w:sz="0" w:space="0" w:color="auto"/>
      </w:divBdr>
    </w:div>
    <w:div w:id="1430196598">
      <w:bodyDiv w:val="1"/>
      <w:marLeft w:val="0"/>
      <w:marRight w:val="0"/>
      <w:marTop w:val="0"/>
      <w:marBottom w:val="0"/>
      <w:divBdr>
        <w:top w:val="none" w:sz="0" w:space="0" w:color="auto"/>
        <w:left w:val="none" w:sz="0" w:space="0" w:color="auto"/>
        <w:bottom w:val="none" w:sz="0" w:space="0" w:color="auto"/>
        <w:right w:val="none" w:sz="0" w:space="0" w:color="auto"/>
      </w:divBdr>
    </w:div>
    <w:div w:id="1430346730">
      <w:bodyDiv w:val="1"/>
      <w:marLeft w:val="0"/>
      <w:marRight w:val="0"/>
      <w:marTop w:val="0"/>
      <w:marBottom w:val="0"/>
      <w:divBdr>
        <w:top w:val="none" w:sz="0" w:space="0" w:color="auto"/>
        <w:left w:val="none" w:sz="0" w:space="0" w:color="auto"/>
        <w:bottom w:val="none" w:sz="0" w:space="0" w:color="auto"/>
        <w:right w:val="none" w:sz="0" w:space="0" w:color="auto"/>
      </w:divBdr>
    </w:div>
    <w:div w:id="1430469105">
      <w:bodyDiv w:val="1"/>
      <w:marLeft w:val="0"/>
      <w:marRight w:val="0"/>
      <w:marTop w:val="0"/>
      <w:marBottom w:val="0"/>
      <w:divBdr>
        <w:top w:val="none" w:sz="0" w:space="0" w:color="auto"/>
        <w:left w:val="none" w:sz="0" w:space="0" w:color="auto"/>
        <w:bottom w:val="none" w:sz="0" w:space="0" w:color="auto"/>
        <w:right w:val="none" w:sz="0" w:space="0" w:color="auto"/>
      </w:divBdr>
    </w:div>
    <w:div w:id="1430540495">
      <w:bodyDiv w:val="1"/>
      <w:marLeft w:val="0"/>
      <w:marRight w:val="0"/>
      <w:marTop w:val="0"/>
      <w:marBottom w:val="0"/>
      <w:divBdr>
        <w:top w:val="none" w:sz="0" w:space="0" w:color="auto"/>
        <w:left w:val="none" w:sz="0" w:space="0" w:color="auto"/>
        <w:bottom w:val="none" w:sz="0" w:space="0" w:color="auto"/>
        <w:right w:val="none" w:sz="0" w:space="0" w:color="auto"/>
      </w:divBdr>
    </w:div>
    <w:div w:id="1430542132">
      <w:bodyDiv w:val="1"/>
      <w:marLeft w:val="0"/>
      <w:marRight w:val="0"/>
      <w:marTop w:val="0"/>
      <w:marBottom w:val="0"/>
      <w:divBdr>
        <w:top w:val="none" w:sz="0" w:space="0" w:color="auto"/>
        <w:left w:val="none" w:sz="0" w:space="0" w:color="auto"/>
        <w:bottom w:val="none" w:sz="0" w:space="0" w:color="auto"/>
        <w:right w:val="none" w:sz="0" w:space="0" w:color="auto"/>
      </w:divBdr>
    </w:div>
    <w:div w:id="1430660958">
      <w:bodyDiv w:val="1"/>
      <w:marLeft w:val="0"/>
      <w:marRight w:val="0"/>
      <w:marTop w:val="0"/>
      <w:marBottom w:val="0"/>
      <w:divBdr>
        <w:top w:val="none" w:sz="0" w:space="0" w:color="auto"/>
        <w:left w:val="none" w:sz="0" w:space="0" w:color="auto"/>
        <w:bottom w:val="none" w:sz="0" w:space="0" w:color="auto"/>
        <w:right w:val="none" w:sz="0" w:space="0" w:color="auto"/>
      </w:divBdr>
    </w:div>
    <w:div w:id="1430736108">
      <w:bodyDiv w:val="1"/>
      <w:marLeft w:val="0"/>
      <w:marRight w:val="0"/>
      <w:marTop w:val="0"/>
      <w:marBottom w:val="0"/>
      <w:divBdr>
        <w:top w:val="none" w:sz="0" w:space="0" w:color="auto"/>
        <w:left w:val="none" w:sz="0" w:space="0" w:color="auto"/>
        <w:bottom w:val="none" w:sz="0" w:space="0" w:color="auto"/>
        <w:right w:val="none" w:sz="0" w:space="0" w:color="auto"/>
      </w:divBdr>
    </w:div>
    <w:div w:id="1430806565">
      <w:bodyDiv w:val="1"/>
      <w:marLeft w:val="0"/>
      <w:marRight w:val="0"/>
      <w:marTop w:val="0"/>
      <w:marBottom w:val="0"/>
      <w:divBdr>
        <w:top w:val="none" w:sz="0" w:space="0" w:color="auto"/>
        <w:left w:val="none" w:sz="0" w:space="0" w:color="auto"/>
        <w:bottom w:val="none" w:sz="0" w:space="0" w:color="auto"/>
        <w:right w:val="none" w:sz="0" w:space="0" w:color="auto"/>
      </w:divBdr>
    </w:div>
    <w:div w:id="1430927601">
      <w:bodyDiv w:val="1"/>
      <w:marLeft w:val="0"/>
      <w:marRight w:val="0"/>
      <w:marTop w:val="0"/>
      <w:marBottom w:val="0"/>
      <w:divBdr>
        <w:top w:val="none" w:sz="0" w:space="0" w:color="auto"/>
        <w:left w:val="none" w:sz="0" w:space="0" w:color="auto"/>
        <w:bottom w:val="none" w:sz="0" w:space="0" w:color="auto"/>
        <w:right w:val="none" w:sz="0" w:space="0" w:color="auto"/>
      </w:divBdr>
    </w:div>
    <w:div w:id="1430931339">
      <w:bodyDiv w:val="1"/>
      <w:marLeft w:val="0"/>
      <w:marRight w:val="0"/>
      <w:marTop w:val="0"/>
      <w:marBottom w:val="0"/>
      <w:divBdr>
        <w:top w:val="none" w:sz="0" w:space="0" w:color="auto"/>
        <w:left w:val="none" w:sz="0" w:space="0" w:color="auto"/>
        <w:bottom w:val="none" w:sz="0" w:space="0" w:color="auto"/>
        <w:right w:val="none" w:sz="0" w:space="0" w:color="auto"/>
      </w:divBdr>
    </w:div>
    <w:div w:id="1430999794">
      <w:bodyDiv w:val="1"/>
      <w:marLeft w:val="0"/>
      <w:marRight w:val="0"/>
      <w:marTop w:val="0"/>
      <w:marBottom w:val="0"/>
      <w:divBdr>
        <w:top w:val="none" w:sz="0" w:space="0" w:color="auto"/>
        <w:left w:val="none" w:sz="0" w:space="0" w:color="auto"/>
        <w:bottom w:val="none" w:sz="0" w:space="0" w:color="auto"/>
        <w:right w:val="none" w:sz="0" w:space="0" w:color="auto"/>
      </w:divBdr>
    </w:div>
    <w:div w:id="1431003101">
      <w:bodyDiv w:val="1"/>
      <w:marLeft w:val="0"/>
      <w:marRight w:val="0"/>
      <w:marTop w:val="0"/>
      <w:marBottom w:val="0"/>
      <w:divBdr>
        <w:top w:val="none" w:sz="0" w:space="0" w:color="auto"/>
        <w:left w:val="none" w:sz="0" w:space="0" w:color="auto"/>
        <w:bottom w:val="none" w:sz="0" w:space="0" w:color="auto"/>
        <w:right w:val="none" w:sz="0" w:space="0" w:color="auto"/>
      </w:divBdr>
    </w:div>
    <w:div w:id="1431004592">
      <w:bodyDiv w:val="1"/>
      <w:marLeft w:val="0"/>
      <w:marRight w:val="0"/>
      <w:marTop w:val="0"/>
      <w:marBottom w:val="0"/>
      <w:divBdr>
        <w:top w:val="none" w:sz="0" w:space="0" w:color="auto"/>
        <w:left w:val="none" w:sz="0" w:space="0" w:color="auto"/>
        <w:bottom w:val="none" w:sz="0" w:space="0" w:color="auto"/>
        <w:right w:val="none" w:sz="0" w:space="0" w:color="auto"/>
      </w:divBdr>
    </w:div>
    <w:div w:id="1431049482">
      <w:bodyDiv w:val="1"/>
      <w:marLeft w:val="0"/>
      <w:marRight w:val="0"/>
      <w:marTop w:val="0"/>
      <w:marBottom w:val="0"/>
      <w:divBdr>
        <w:top w:val="none" w:sz="0" w:space="0" w:color="auto"/>
        <w:left w:val="none" w:sz="0" w:space="0" w:color="auto"/>
        <w:bottom w:val="none" w:sz="0" w:space="0" w:color="auto"/>
        <w:right w:val="none" w:sz="0" w:space="0" w:color="auto"/>
      </w:divBdr>
    </w:div>
    <w:div w:id="1431049509">
      <w:bodyDiv w:val="1"/>
      <w:marLeft w:val="0"/>
      <w:marRight w:val="0"/>
      <w:marTop w:val="0"/>
      <w:marBottom w:val="0"/>
      <w:divBdr>
        <w:top w:val="none" w:sz="0" w:space="0" w:color="auto"/>
        <w:left w:val="none" w:sz="0" w:space="0" w:color="auto"/>
        <w:bottom w:val="none" w:sz="0" w:space="0" w:color="auto"/>
        <w:right w:val="none" w:sz="0" w:space="0" w:color="auto"/>
      </w:divBdr>
    </w:div>
    <w:div w:id="1431119413">
      <w:bodyDiv w:val="1"/>
      <w:marLeft w:val="0"/>
      <w:marRight w:val="0"/>
      <w:marTop w:val="0"/>
      <w:marBottom w:val="0"/>
      <w:divBdr>
        <w:top w:val="none" w:sz="0" w:space="0" w:color="auto"/>
        <w:left w:val="none" w:sz="0" w:space="0" w:color="auto"/>
        <w:bottom w:val="none" w:sz="0" w:space="0" w:color="auto"/>
        <w:right w:val="none" w:sz="0" w:space="0" w:color="auto"/>
      </w:divBdr>
    </w:div>
    <w:div w:id="1431120785">
      <w:bodyDiv w:val="1"/>
      <w:marLeft w:val="0"/>
      <w:marRight w:val="0"/>
      <w:marTop w:val="0"/>
      <w:marBottom w:val="0"/>
      <w:divBdr>
        <w:top w:val="none" w:sz="0" w:space="0" w:color="auto"/>
        <w:left w:val="none" w:sz="0" w:space="0" w:color="auto"/>
        <w:bottom w:val="none" w:sz="0" w:space="0" w:color="auto"/>
        <w:right w:val="none" w:sz="0" w:space="0" w:color="auto"/>
      </w:divBdr>
    </w:div>
    <w:div w:id="1431268572">
      <w:bodyDiv w:val="1"/>
      <w:marLeft w:val="0"/>
      <w:marRight w:val="0"/>
      <w:marTop w:val="0"/>
      <w:marBottom w:val="0"/>
      <w:divBdr>
        <w:top w:val="none" w:sz="0" w:space="0" w:color="auto"/>
        <w:left w:val="none" w:sz="0" w:space="0" w:color="auto"/>
        <w:bottom w:val="none" w:sz="0" w:space="0" w:color="auto"/>
        <w:right w:val="none" w:sz="0" w:space="0" w:color="auto"/>
      </w:divBdr>
    </w:div>
    <w:div w:id="1431269243">
      <w:bodyDiv w:val="1"/>
      <w:marLeft w:val="0"/>
      <w:marRight w:val="0"/>
      <w:marTop w:val="0"/>
      <w:marBottom w:val="0"/>
      <w:divBdr>
        <w:top w:val="none" w:sz="0" w:space="0" w:color="auto"/>
        <w:left w:val="none" w:sz="0" w:space="0" w:color="auto"/>
        <w:bottom w:val="none" w:sz="0" w:space="0" w:color="auto"/>
        <w:right w:val="none" w:sz="0" w:space="0" w:color="auto"/>
      </w:divBdr>
    </w:div>
    <w:div w:id="1431270423">
      <w:bodyDiv w:val="1"/>
      <w:marLeft w:val="0"/>
      <w:marRight w:val="0"/>
      <w:marTop w:val="0"/>
      <w:marBottom w:val="0"/>
      <w:divBdr>
        <w:top w:val="none" w:sz="0" w:space="0" w:color="auto"/>
        <w:left w:val="none" w:sz="0" w:space="0" w:color="auto"/>
        <w:bottom w:val="none" w:sz="0" w:space="0" w:color="auto"/>
        <w:right w:val="none" w:sz="0" w:space="0" w:color="auto"/>
      </w:divBdr>
    </w:div>
    <w:div w:id="1431315905">
      <w:bodyDiv w:val="1"/>
      <w:marLeft w:val="0"/>
      <w:marRight w:val="0"/>
      <w:marTop w:val="0"/>
      <w:marBottom w:val="0"/>
      <w:divBdr>
        <w:top w:val="none" w:sz="0" w:space="0" w:color="auto"/>
        <w:left w:val="none" w:sz="0" w:space="0" w:color="auto"/>
        <w:bottom w:val="none" w:sz="0" w:space="0" w:color="auto"/>
        <w:right w:val="none" w:sz="0" w:space="0" w:color="auto"/>
      </w:divBdr>
    </w:div>
    <w:div w:id="1431390373">
      <w:bodyDiv w:val="1"/>
      <w:marLeft w:val="0"/>
      <w:marRight w:val="0"/>
      <w:marTop w:val="0"/>
      <w:marBottom w:val="0"/>
      <w:divBdr>
        <w:top w:val="none" w:sz="0" w:space="0" w:color="auto"/>
        <w:left w:val="none" w:sz="0" w:space="0" w:color="auto"/>
        <w:bottom w:val="none" w:sz="0" w:space="0" w:color="auto"/>
        <w:right w:val="none" w:sz="0" w:space="0" w:color="auto"/>
      </w:divBdr>
    </w:div>
    <w:div w:id="1431508697">
      <w:bodyDiv w:val="1"/>
      <w:marLeft w:val="0"/>
      <w:marRight w:val="0"/>
      <w:marTop w:val="0"/>
      <w:marBottom w:val="0"/>
      <w:divBdr>
        <w:top w:val="none" w:sz="0" w:space="0" w:color="auto"/>
        <w:left w:val="none" w:sz="0" w:space="0" w:color="auto"/>
        <w:bottom w:val="none" w:sz="0" w:space="0" w:color="auto"/>
        <w:right w:val="none" w:sz="0" w:space="0" w:color="auto"/>
      </w:divBdr>
    </w:div>
    <w:div w:id="1431700186">
      <w:bodyDiv w:val="1"/>
      <w:marLeft w:val="0"/>
      <w:marRight w:val="0"/>
      <w:marTop w:val="0"/>
      <w:marBottom w:val="0"/>
      <w:divBdr>
        <w:top w:val="none" w:sz="0" w:space="0" w:color="auto"/>
        <w:left w:val="none" w:sz="0" w:space="0" w:color="auto"/>
        <w:bottom w:val="none" w:sz="0" w:space="0" w:color="auto"/>
        <w:right w:val="none" w:sz="0" w:space="0" w:color="auto"/>
      </w:divBdr>
    </w:div>
    <w:div w:id="1431704638">
      <w:bodyDiv w:val="1"/>
      <w:marLeft w:val="0"/>
      <w:marRight w:val="0"/>
      <w:marTop w:val="0"/>
      <w:marBottom w:val="0"/>
      <w:divBdr>
        <w:top w:val="none" w:sz="0" w:space="0" w:color="auto"/>
        <w:left w:val="none" w:sz="0" w:space="0" w:color="auto"/>
        <w:bottom w:val="none" w:sz="0" w:space="0" w:color="auto"/>
        <w:right w:val="none" w:sz="0" w:space="0" w:color="auto"/>
      </w:divBdr>
    </w:div>
    <w:div w:id="1431781639">
      <w:bodyDiv w:val="1"/>
      <w:marLeft w:val="0"/>
      <w:marRight w:val="0"/>
      <w:marTop w:val="0"/>
      <w:marBottom w:val="0"/>
      <w:divBdr>
        <w:top w:val="none" w:sz="0" w:space="0" w:color="auto"/>
        <w:left w:val="none" w:sz="0" w:space="0" w:color="auto"/>
        <w:bottom w:val="none" w:sz="0" w:space="0" w:color="auto"/>
        <w:right w:val="none" w:sz="0" w:space="0" w:color="auto"/>
      </w:divBdr>
    </w:div>
    <w:div w:id="1431898040">
      <w:bodyDiv w:val="1"/>
      <w:marLeft w:val="0"/>
      <w:marRight w:val="0"/>
      <w:marTop w:val="0"/>
      <w:marBottom w:val="0"/>
      <w:divBdr>
        <w:top w:val="none" w:sz="0" w:space="0" w:color="auto"/>
        <w:left w:val="none" w:sz="0" w:space="0" w:color="auto"/>
        <w:bottom w:val="none" w:sz="0" w:space="0" w:color="auto"/>
        <w:right w:val="none" w:sz="0" w:space="0" w:color="auto"/>
      </w:divBdr>
    </w:div>
    <w:div w:id="1431971533">
      <w:bodyDiv w:val="1"/>
      <w:marLeft w:val="0"/>
      <w:marRight w:val="0"/>
      <w:marTop w:val="0"/>
      <w:marBottom w:val="0"/>
      <w:divBdr>
        <w:top w:val="none" w:sz="0" w:space="0" w:color="auto"/>
        <w:left w:val="none" w:sz="0" w:space="0" w:color="auto"/>
        <w:bottom w:val="none" w:sz="0" w:space="0" w:color="auto"/>
        <w:right w:val="none" w:sz="0" w:space="0" w:color="auto"/>
      </w:divBdr>
    </w:div>
    <w:div w:id="1432236915">
      <w:bodyDiv w:val="1"/>
      <w:marLeft w:val="0"/>
      <w:marRight w:val="0"/>
      <w:marTop w:val="0"/>
      <w:marBottom w:val="0"/>
      <w:divBdr>
        <w:top w:val="none" w:sz="0" w:space="0" w:color="auto"/>
        <w:left w:val="none" w:sz="0" w:space="0" w:color="auto"/>
        <w:bottom w:val="none" w:sz="0" w:space="0" w:color="auto"/>
        <w:right w:val="none" w:sz="0" w:space="0" w:color="auto"/>
      </w:divBdr>
    </w:div>
    <w:div w:id="1432242356">
      <w:bodyDiv w:val="1"/>
      <w:marLeft w:val="0"/>
      <w:marRight w:val="0"/>
      <w:marTop w:val="0"/>
      <w:marBottom w:val="0"/>
      <w:divBdr>
        <w:top w:val="none" w:sz="0" w:space="0" w:color="auto"/>
        <w:left w:val="none" w:sz="0" w:space="0" w:color="auto"/>
        <w:bottom w:val="none" w:sz="0" w:space="0" w:color="auto"/>
        <w:right w:val="none" w:sz="0" w:space="0" w:color="auto"/>
      </w:divBdr>
    </w:div>
    <w:div w:id="1432432071">
      <w:bodyDiv w:val="1"/>
      <w:marLeft w:val="0"/>
      <w:marRight w:val="0"/>
      <w:marTop w:val="0"/>
      <w:marBottom w:val="0"/>
      <w:divBdr>
        <w:top w:val="none" w:sz="0" w:space="0" w:color="auto"/>
        <w:left w:val="none" w:sz="0" w:space="0" w:color="auto"/>
        <w:bottom w:val="none" w:sz="0" w:space="0" w:color="auto"/>
        <w:right w:val="none" w:sz="0" w:space="0" w:color="auto"/>
      </w:divBdr>
    </w:div>
    <w:div w:id="1432624985">
      <w:bodyDiv w:val="1"/>
      <w:marLeft w:val="0"/>
      <w:marRight w:val="0"/>
      <w:marTop w:val="0"/>
      <w:marBottom w:val="0"/>
      <w:divBdr>
        <w:top w:val="none" w:sz="0" w:space="0" w:color="auto"/>
        <w:left w:val="none" w:sz="0" w:space="0" w:color="auto"/>
        <w:bottom w:val="none" w:sz="0" w:space="0" w:color="auto"/>
        <w:right w:val="none" w:sz="0" w:space="0" w:color="auto"/>
      </w:divBdr>
    </w:div>
    <w:div w:id="1432701230">
      <w:bodyDiv w:val="1"/>
      <w:marLeft w:val="0"/>
      <w:marRight w:val="0"/>
      <w:marTop w:val="0"/>
      <w:marBottom w:val="0"/>
      <w:divBdr>
        <w:top w:val="none" w:sz="0" w:space="0" w:color="auto"/>
        <w:left w:val="none" w:sz="0" w:space="0" w:color="auto"/>
        <w:bottom w:val="none" w:sz="0" w:space="0" w:color="auto"/>
        <w:right w:val="none" w:sz="0" w:space="0" w:color="auto"/>
      </w:divBdr>
    </w:div>
    <w:div w:id="1432894829">
      <w:bodyDiv w:val="1"/>
      <w:marLeft w:val="0"/>
      <w:marRight w:val="0"/>
      <w:marTop w:val="0"/>
      <w:marBottom w:val="0"/>
      <w:divBdr>
        <w:top w:val="none" w:sz="0" w:space="0" w:color="auto"/>
        <w:left w:val="none" w:sz="0" w:space="0" w:color="auto"/>
        <w:bottom w:val="none" w:sz="0" w:space="0" w:color="auto"/>
        <w:right w:val="none" w:sz="0" w:space="0" w:color="auto"/>
      </w:divBdr>
    </w:div>
    <w:div w:id="1432969654">
      <w:bodyDiv w:val="1"/>
      <w:marLeft w:val="0"/>
      <w:marRight w:val="0"/>
      <w:marTop w:val="0"/>
      <w:marBottom w:val="0"/>
      <w:divBdr>
        <w:top w:val="none" w:sz="0" w:space="0" w:color="auto"/>
        <w:left w:val="none" w:sz="0" w:space="0" w:color="auto"/>
        <w:bottom w:val="none" w:sz="0" w:space="0" w:color="auto"/>
        <w:right w:val="none" w:sz="0" w:space="0" w:color="auto"/>
      </w:divBdr>
    </w:div>
    <w:div w:id="1433084898">
      <w:bodyDiv w:val="1"/>
      <w:marLeft w:val="0"/>
      <w:marRight w:val="0"/>
      <w:marTop w:val="0"/>
      <w:marBottom w:val="0"/>
      <w:divBdr>
        <w:top w:val="none" w:sz="0" w:space="0" w:color="auto"/>
        <w:left w:val="none" w:sz="0" w:space="0" w:color="auto"/>
        <w:bottom w:val="none" w:sz="0" w:space="0" w:color="auto"/>
        <w:right w:val="none" w:sz="0" w:space="0" w:color="auto"/>
      </w:divBdr>
    </w:div>
    <w:div w:id="1433086984">
      <w:bodyDiv w:val="1"/>
      <w:marLeft w:val="0"/>
      <w:marRight w:val="0"/>
      <w:marTop w:val="0"/>
      <w:marBottom w:val="0"/>
      <w:divBdr>
        <w:top w:val="none" w:sz="0" w:space="0" w:color="auto"/>
        <w:left w:val="none" w:sz="0" w:space="0" w:color="auto"/>
        <w:bottom w:val="none" w:sz="0" w:space="0" w:color="auto"/>
        <w:right w:val="none" w:sz="0" w:space="0" w:color="auto"/>
      </w:divBdr>
    </w:div>
    <w:div w:id="1433236408">
      <w:bodyDiv w:val="1"/>
      <w:marLeft w:val="0"/>
      <w:marRight w:val="0"/>
      <w:marTop w:val="0"/>
      <w:marBottom w:val="0"/>
      <w:divBdr>
        <w:top w:val="none" w:sz="0" w:space="0" w:color="auto"/>
        <w:left w:val="none" w:sz="0" w:space="0" w:color="auto"/>
        <w:bottom w:val="none" w:sz="0" w:space="0" w:color="auto"/>
        <w:right w:val="none" w:sz="0" w:space="0" w:color="auto"/>
      </w:divBdr>
    </w:div>
    <w:div w:id="1433354968">
      <w:bodyDiv w:val="1"/>
      <w:marLeft w:val="0"/>
      <w:marRight w:val="0"/>
      <w:marTop w:val="0"/>
      <w:marBottom w:val="0"/>
      <w:divBdr>
        <w:top w:val="none" w:sz="0" w:space="0" w:color="auto"/>
        <w:left w:val="none" w:sz="0" w:space="0" w:color="auto"/>
        <w:bottom w:val="none" w:sz="0" w:space="0" w:color="auto"/>
        <w:right w:val="none" w:sz="0" w:space="0" w:color="auto"/>
      </w:divBdr>
    </w:div>
    <w:div w:id="1433357825">
      <w:bodyDiv w:val="1"/>
      <w:marLeft w:val="0"/>
      <w:marRight w:val="0"/>
      <w:marTop w:val="0"/>
      <w:marBottom w:val="0"/>
      <w:divBdr>
        <w:top w:val="none" w:sz="0" w:space="0" w:color="auto"/>
        <w:left w:val="none" w:sz="0" w:space="0" w:color="auto"/>
        <w:bottom w:val="none" w:sz="0" w:space="0" w:color="auto"/>
        <w:right w:val="none" w:sz="0" w:space="0" w:color="auto"/>
      </w:divBdr>
    </w:div>
    <w:div w:id="1433427889">
      <w:bodyDiv w:val="1"/>
      <w:marLeft w:val="0"/>
      <w:marRight w:val="0"/>
      <w:marTop w:val="0"/>
      <w:marBottom w:val="0"/>
      <w:divBdr>
        <w:top w:val="none" w:sz="0" w:space="0" w:color="auto"/>
        <w:left w:val="none" w:sz="0" w:space="0" w:color="auto"/>
        <w:bottom w:val="none" w:sz="0" w:space="0" w:color="auto"/>
        <w:right w:val="none" w:sz="0" w:space="0" w:color="auto"/>
      </w:divBdr>
    </w:div>
    <w:div w:id="1433428458">
      <w:bodyDiv w:val="1"/>
      <w:marLeft w:val="0"/>
      <w:marRight w:val="0"/>
      <w:marTop w:val="0"/>
      <w:marBottom w:val="0"/>
      <w:divBdr>
        <w:top w:val="none" w:sz="0" w:space="0" w:color="auto"/>
        <w:left w:val="none" w:sz="0" w:space="0" w:color="auto"/>
        <w:bottom w:val="none" w:sz="0" w:space="0" w:color="auto"/>
        <w:right w:val="none" w:sz="0" w:space="0" w:color="auto"/>
      </w:divBdr>
    </w:div>
    <w:div w:id="1433430263">
      <w:bodyDiv w:val="1"/>
      <w:marLeft w:val="0"/>
      <w:marRight w:val="0"/>
      <w:marTop w:val="0"/>
      <w:marBottom w:val="0"/>
      <w:divBdr>
        <w:top w:val="none" w:sz="0" w:space="0" w:color="auto"/>
        <w:left w:val="none" w:sz="0" w:space="0" w:color="auto"/>
        <w:bottom w:val="none" w:sz="0" w:space="0" w:color="auto"/>
        <w:right w:val="none" w:sz="0" w:space="0" w:color="auto"/>
      </w:divBdr>
    </w:div>
    <w:div w:id="1433472377">
      <w:bodyDiv w:val="1"/>
      <w:marLeft w:val="0"/>
      <w:marRight w:val="0"/>
      <w:marTop w:val="0"/>
      <w:marBottom w:val="0"/>
      <w:divBdr>
        <w:top w:val="none" w:sz="0" w:space="0" w:color="auto"/>
        <w:left w:val="none" w:sz="0" w:space="0" w:color="auto"/>
        <w:bottom w:val="none" w:sz="0" w:space="0" w:color="auto"/>
        <w:right w:val="none" w:sz="0" w:space="0" w:color="auto"/>
      </w:divBdr>
    </w:div>
    <w:div w:id="1433473339">
      <w:bodyDiv w:val="1"/>
      <w:marLeft w:val="0"/>
      <w:marRight w:val="0"/>
      <w:marTop w:val="0"/>
      <w:marBottom w:val="0"/>
      <w:divBdr>
        <w:top w:val="none" w:sz="0" w:space="0" w:color="auto"/>
        <w:left w:val="none" w:sz="0" w:space="0" w:color="auto"/>
        <w:bottom w:val="none" w:sz="0" w:space="0" w:color="auto"/>
        <w:right w:val="none" w:sz="0" w:space="0" w:color="auto"/>
      </w:divBdr>
    </w:div>
    <w:div w:id="1433478424">
      <w:bodyDiv w:val="1"/>
      <w:marLeft w:val="0"/>
      <w:marRight w:val="0"/>
      <w:marTop w:val="0"/>
      <w:marBottom w:val="0"/>
      <w:divBdr>
        <w:top w:val="none" w:sz="0" w:space="0" w:color="auto"/>
        <w:left w:val="none" w:sz="0" w:space="0" w:color="auto"/>
        <w:bottom w:val="none" w:sz="0" w:space="0" w:color="auto"/>
        <w:right w:val="none" w:sz="0" w:space="0" w:color="auto"/>
      </w:divBdr>
    </w:div>
    <w:div w:id="1433478577">
      <w:bodyDiv w:val="1"/>
      <w:marLeft w:val="0"/>
      <w:marRight w:val="0"/>
      <w:marTop w:val="0"/>
      <w:marBottom w:val="0"/>
      <w:divBdr>
        <w:top w:val="none" w:sz="0" w:space="0" w:color="auto"/>
        <w:left w:val="none" w:sz="0" w:space="0" w:color="auto"/>
        <w:bottom w:val="none" w:sz="0" w:space="0" w:color="auto"/>
        <w:right w:val="none" w:sz="0" w:space="0" w:color="auto"/>
      </w:divBdr>
    </w:div>
    <w:div w:id="1433823913">
      <w:bodyDiv w:val="1"/>
      <w:marLeft w:val="0"/>
      <w:marRight w:val="0"/>
      <w:marTop w:val="0"/>
      <w:marBottom w:val="0"/>
      <w:divBdr>
        <w:top w:val="none" w:sz="0" w:space="0" w:color="auto"/>
        <w:left w:val="none" w:sz="0" w:space="0" w:color="auto"/>
        <w:bottom w:val="none" w:sz="0" w:space="0" w:color="auto"/>
        <w:right w:val="none" w:sz="0" w:space="0" w:color="auto"/>
      </w:divBdr>
    </w:div>
    <w:div w:id="1433889579">
      <w:bodyDiv w:val="1"/>
      <w:marLeft w:val="0"/>
      <w:marRight w:val="0"/>
      <w:marTop w:val="0"/>
      <w:marBottom w:val="0"/>
      <w:divBdr>
        <w:top w:val="none" w:sz="0" w:space="0" w:color="auto"/>
        <w:left w:val="none" w:sz="0" w:space="0" w:color="auto"/>
        <w:bottom w:val="none" w:sz="0" w:space="0" w:color="auto"/>
        <w:right w:val="none" w:sz="0" w:space="0" w:color="auto"/>
      </w:divBdr>
    </w:div>
    <w:div w:id="1433936079">
      <w:bodyDiv w:val="1"/>
      <w:marLeft w:val="0"/>
      <w:marRight w:val="0"/>
      <w:marTop w:val="0"/>
      <w:marBottom w:val="0"/>
      <w:divBdr>
        <w:top w:val="none" w:sz="0" w:space="0" w:color="auto"/>
        <w:left w:val="none" w:sz="0" w:space="0" w:color="auto"/>
        <w:bottom w:val="none" w:sz="0" w:space="0" w:color="auto"/>
        <w:right w:val="none" w:sz="0" w:space="0" w:color="auto"/>
      </w:divBdr>
    </w:div>
    <w:div w:id="1434016118">
      <w:bodyDiv w:val="1"/>
      <w:marLeft w:val="0"/>
      <w:marRight w:val="0"/>
      <w:marTop w:val="0"/>
      <w:marBottom w:val="0"/>
      <w:divBdr>
        <w:top w:val="none" w:sz="0" w:space="0" w:color="auto"/>
        <w:left w:val="none" w:sz="0" w:space="0" w:color="auto"/>
        <w:bottom w:val="none" w:sz="0" w:space="0" w:color="auto"/>
        <w:right w:val="none" w:sz="0" w:space="0" w:color="auto"/>
      </w:divBdr>
    </w:div>
    <w:div w:id="1434127366">
      <w:bodyDiv w:val="1"/>
      <w:marLeft w:val="0"/>
      <w:marRight w:val="0"/>
      <w:marTop w:val="0"/>
      <w:marBottom w:val="0"/>
      <w:divBdr>
        <w:top w:val="none" w:sz="0" w:space="0" w:color="auto"/>
        <w:left w:val="none" w:sz="0" w:space="0" w:color="auto"/>
        <w:bottom w:val="none" w:sz="0" w:space="0" w:color="auto"/>
        <w:right w:val="none" w:sz="0" w:space="0" w:color="auto"/>
      </w:divBdr>
    </w:div>
    <w:div w:id="1434205205">
      <w:bodyDiv w:val="1"/>
      <w:marLeft w:val="0"/>
      <w:marRight w:val="0"/>
      <w:marTop w:val="0"/>
      <w:marBottom w:val="0"/>
      <w:divBdr>
        <w:top w:val="none" w:sz="0" w:space="0" w:color="auto"/>
        <w:left w:val="none" w:sz="0" w:space="0" w:color="auto"/>
        <w:bottom w:val="none" w:sz="0" w:space="0" w:color="auto"/>
        <w:right w:val="none" w:sz="0" w:space="0" w:color="auto"/>
      </w:divBdr>
    </w:div>
    <w:div w:id="1434207062">
      <w:bodyDiv w:val="1"/>
      <w:marLeft w:val="0"/>
      <w:marRight w:val="0"/>
      <w:marTop w:val="0"/>
      <w:marBottom w:val="0"/>
      <w:divBdr>
        <w:top w:val="none" w:sz="0" w:space="0" w:color="auto"/>
        <w:left w:val="none" w:sz="0" w:space="0" w:color="auto"/>
        <w:bottom w:val="none" w:sz="0" w:space="0" w:color="auto"/>
        <w:right w:val="none" w:sz="0" w:space="0" w:color="auto"/>
      </w:divBdr>
    </w:div>
    <w:div w:id="1434399939">
      <w:bodyDiv w:val="1"/>
      <w:marLeft w:val="0"/>
      <w:marRight w:val="0"/>
      <w:marTop w:val="0"/>
      <w:marBottom w:val="0"/>
      <w:divBdr>
        <w:top w:val="none" w:sz="0" w:space="0" w:color="auto"/>
        <w:left w:val="none" w:sz="0" w:space="0" w:color="auto"/>
        <w:bottom w:val="none" w:sz="0" w:space="0" w:color="auto"/>
        <w:right w:val="none" w:sz="0" w:space="0" w:color="auto"/>
      </w:divBdr>
    </w:div>
    <w:div w:id="1434400618">
      <w:bodyDiv w:val="1"/>
      <w:marLeft w:val="0"/>
      <w:marRight w:val="0"/>
      <w:marTop w:val="0"/>
      <w:marBottom w:val="0"/>
      <w:divBdr>
        <w:top w:val="none" w:sz="0" w:space="0" w:color="auto"/>
        <w:left w:val="none" w:sz="0" w:space="0" w:color="auto"/>
        <w:bottom w:val="none" w:sz="0" w:space="0" w:color="auto"/>
        <w:right w:val="none" w:sz="0" w:space="0" w:color="auto"/>
      </w:divBdr>
    </w:div>
    <w:div w:id="1434403686">
      <w:bodyDiv w:val="1"/>
      <w:marLeft w:val="0"/>
      <w:marRight w:val="0"/>
      <w:marTop w:val="0"/>
      <w:marBottom w:val="0"/>
      <w:divBdr>
        <w:top w:val="none" w:sz="0" w:space="0" w:color="auto"/>
        <w:left w:val="none" w:sz="0" w:space="0" w:color="auto"/>
        <w:bottom w:val="none" w:sz="0" w:space="0" w:color="auto"/>
        <w:right w:val="none" w:sz="0" w:space="0" w:color="auto"/>
      </w:divBdr>
    </w:div>
    <w:div w:id="1434474444">
      <w:bodyDiv w:val="1"/>
      <w:marLeft w:val="0"/>
      <w:marRight w:val="0"/>
      <w:marTop w:val="0"/>
      <w:marBottom w:val="0"/>
      <w:divBdr>
        <w:top w:val="none" w:sz="0" w:space="0" w:color="auto"/>
        <w:left w:val="none" w:sz="0" w:space="0" w:color="auto"/>
        <w:bottom w:val="none" w:sz="0" w:space="0" w:color="auto"/>
        <w:right w:val="none" w:sz="0" w:space="0" w:color="auto"/>
      </w:divBdr>
    </w:div>
    <w:div w:id="1434519687">
      <w:bodyDiv w:val="1"/>
      <w:marLeft w:val="0"/>
      <w:marRight w:val="0"/>
      <w:marTop w:val="0"/>
      <w:marBottom w:val="0"/>
      <w:divBdr>
        <w:top w:val="none" w:sz="0" w:space="0" w:color="auto"/>
        <w:left w:val="none" w:sz="0" w:space="0" w:color="auto"/>
        <w:bottom w:val="none" w:sz="0" w:space="0" w:color="auto"/>
        <w:right w:val="none" w:sz="0" w:space="0" w:color="auto"/>
      </w:divBdr>
    </w:div>
    <w:div w:id="1434520127">
      <w:bodyDiv w:val="1"/>
      <w:marLeft w:val="0"/>
      <w:marRight w:val="0"/>
      <w:marTop w:val="0"/>
      <w:marBottom w:val="0"/>
      <w:divBdr>
        <w:top w:val="none" w:sz="0" w:space="0" w:color="auto"/>
        <w:left w:val="none" w:sz="0" w:space="0" w:color="auto"/>
        <w:bottom w:val="none" w:sz="0" w:space="0" w:color="auto"/>
        <w:right w:val="none" w:sz="0" w:space="0" w:color="auto"/>
      </w:divBdr>
    </w:div>
    <w:div w:id="1434590395">
      <w:bodyDiv w:val="1"/>
      <w:marLeft w:val="0"/>
      <w:marRight w:val="0"/>
      <w:marTop w:val="0"/>
      <w:marBottom w:val="0"/>
      <w:divBdr>
        <w:top w:val="none" w:sz="0" w:space="0" w:color="auto"/>
        <w:left w:val="none" w:sz="0" w:space="0" w:color="auto"/>
        <w:bottom w:val="none" w:sz="0" w:space="0" w:color="auto"/>
        <w:right w:val="none" w:sz="0" w:space="0" w:color="auto"/>
      </w:divBdr>
    </w:div>
    <w:div w:id="1434668993">
      <w:bodyDiv w:val="1"/>
      <w:marLeft w:val="0"/>
      <w:marRight w:val="0"/>
      <w:marTop w:val="0"/>
      <w:marBottom w:val="0"/>
      <w:divBdr>
        <w:top w:val="none" w:sz="0" w:space="0" w:color="auto"/>
        <w:left w:val="none" w:sz="0" w:space="0" w:color="auto"/>
        <w:bottom w:val="none" w:sz="0" w:space="0" w:color="auto"/>
        <w:right w:val="none" w:sz="0" w:space="0" w:color="auto"/>
      </w:divBdr>
    </w:div>
    <w:div w:id="1434669552">
      <w:bodyDiv w:val="1"/>
      <w:marLeft w:val="0"/>
      <w:marRight w:val="0"/>
      <w:marTop w:val="0"/>
      <w:marBottom w:val="0"/>
      <w:divBdr>
        <w:top w:val="none" w:sz="0" w:space="0" w:color="auto"/>
        <w:left w:val="none" w:sz="0" w:space="0" w:color="auto"/>
        <w:bottom w:val="none" w:sz="0" w:space="0" w:color="auto"/>
        <w:right w:val="none" w:sz="0" w:space="0" w:color="auto"/>
      </w:divBdr>
    </w:div>
    <w:div w:id="1434784310">
      <w:bodyDiv w:val="1"/>
      <w:marLeft w:val="0"/>
      <w:marRight w:val="0"/>
      <w:marTop w:val="0"/>
      <w:marBottom w:val="0"/>
      <w:divBdr>
        <w:top w:val="none" w:sz="0" w:space="0" w:color="auto"/>
        <w:left w:val="none" w:sz="0" w:space="0" w:color="auto"/>
        <w:bottom w:val="none" w:sz="0" w:space="0" w:color="auto"/>
        <w:right w:val="none" w:sz="0" w:space="0" w:color="auto"/>
      </w:divBdr>
    </w:div>
    <w:div w:id="1434861197">
      <w:bodyDiv w:val="1"/>
      <w:marLeft w:val="0"/>
      <w:marRight w:val="0"/>
      <w:marTop w:val="0"/>
      <w:marBottom w:val="0"/>
      <w:divBdr>
        <w:top w:val="none" w:sz="0" w:space="0" w:color="auto"/>
        <w:left w:val="none" w:sz="0" w:space="0" w:color="auto"/>
        <w:bottom w:val="none" w:sz="0" w:space="0" w:color="auto"/>
        <w:right w:val="none" w:sz="0" w:space="0" w:color="auto"/>
      </w:divBdr>
    </w:div>
    <w:div w:id="1434931785">
      <w:bodyDiv w:val="1"/>
      <w:marLeft w:val="0"/>
      <w:marRight w:val="0"/>
      <w:marTop w:val="0"/>
      <w:marBottom w:val="0"/>
      <w:divBdr>
        <w:top w:val="none" w:sz="0" w:space="0" w:color="auto"/>
        <w:left w:val="none" w:sz="0" w:space="0" w:color="auto"/>
        <w:bottom w:val="none" w:sz="0" w:space="0" w:color="auto"/>
        <w:right w:val="none" w:sz="0" w:space="0" w:color="auto"/>
      </w:divBdr>
    </w:div>
    <w:div w:id="1434976986">
      <w:bodyDiv w:val="1"/>
      <w:marLeft w:val="0"/>
      <w:marRight w:val="0"/>
      <w:marTop w:val="0"/>
      <w:marBottom w:val="0"/>
      <w:divBdr>
        <w:top w:val="none" w:sz="0" w:space="0" w:color="auto"/>
        <w:left w:val="none" w:sz="0" w:space="0" w:color="auto"/>
        <w:bottom w:val="none" w:sz="0" w:space="0" w:color="auto"/>
        <w:right w:val="none" w:sz="0" w:space="0" w:color="auto"/>
      </w:divBdr>
    </w:div>
    <w:div w:id="1435058963">
      <w:bodyDiv w:val="1"/>
      <w:marLeft w:val="0"/>
      <w:marRight w:val="0"/>
      <w:marTop w:val="0"/>
      <w:marBottom w:val="0"/>
      <w:divBdr>
        <w:top w:val="none" w:sz="0" w:space="0" w:color="auto"/>
        <w:left w:val="none" w:sz="0" w:space="0" w:color="auto"/>
        <w:bottom w:val="none" w:sz="0" w:space="0" w:color="auto"/>
        <w:right w:val="none" w:sz="0" w:space="0" w:color="auto"/>
      </w:divBdr>
    </w:div>
    <w:div w:id="1435128786">
      <w:bodyDiv w:val="1"/>
      <w:marLeft w:val="0"/>
      <w:marRight w:val="0"/>
      <w:marTop w:val="0"/>
      <w:marBottom w:val="0"/>
      <w:divBdr>
        <w:top w:val="none" w:sz="0" w:space="0" w:color="auto"/>
        <w:left w:val="none" w:sz="0" w:space="0" w:color="auto"/>
        <w:bottom w:val="none" w:sz="0" w:space="0" w:color="auto"/>
        <w:right w:val="none" w:sz="0" w:space="0" w:color="auto"/>
      </w:divBdr>
    </w:div>
    <w:div w:id="1435202309">
      <w:bodyDiv w:val="1"/>
      <w:marLeft w:val="0"/>
      <w:marRight w:val="0"/>
      <w:marTop w:val="0"/>
      <w:marBottom w:val="0"/>
      <w:divBdr>
        <w:top w:val="none" w:sz="0" w:space="0" w:color="auto"/>
        <w:left w:val="none" w:sz="0" w:space="0" w:color="auto"/>
        <w:bottom w:val="none" w:sz="0" w:space="0" w:color="auto"/>
        <w:right w:val="none" w:sz="0" w:space="0" w:color="auto"/>
      </w:divBdr>
    </w:div>
    <w:div w:id="1435251099">
      <w:bodyDiv w:val="1"/>
      <w:marLeft w:val="0"/>
      <w:marRight w:val="0"/>
      <w:marTop w:val="0"/>
      <w:marBottom w:val="0"/>
      <w:divBdr>
        <w:top w:val="none" w:sz="0" w:space="0" w:color="auto"/>
        <w:left w:val="none" w:sz="0" w:space="0" w:color="auto"/>
        <w:bottom w:val="none" w:sz="0" w:space="0" w:color="auto"/>
        <w:right w:val="none" w:sz="0" w:space="0" w:color="auto"/>
      </w:divBdr>
    </w:div>
    <w:div w:id="1435370234">
      <w:bodyDiv w:val="1"/>
      <w:marLeft w:val="0"/>
      <w:marRight w:val="0"/>
      <w:marTop w:val="0"/>
      <w:marBottom w:val="0"/>
      <w:divBdr>
        <w:top w:val="none" w:sz="0" w:space="0" w:color="auto"/>
        <w:left w:val="none" w:sz="0" w:space="0" w:color="auto"/>
        <w:bottom w:val="none" w:sz="0" w:space="0" w:color="auto"/>
        <w:right w:val="none" w:sz="0" w:space="0" w:color="auto"/>
      </w:divBdr>
    </w:div>
    <w:div w:id="1435393572">
      <w:bodyDiv w:val="1"/>
      <w:marLeft w:val="0"/>
      <w:marRight w:val="0"/>
      <w:marTop w:val="0"/>
      <w:marBottom w:val="0"/>
      <w:divBdr>
        <w:top w:val="none" w:sz="0" w:space="0" w:color="auto"/>
        <w:left w:val="none" w:sz="0" w:space="0" w:color="auto"/>
        <w:bottom w:val="none" w:sz="0" w:space="0" w:color="auto"/>
        <w:right w:val="none" w:sz="0" w:space="0" w:color="auto"/>
      </w:divBdr>
    </w:div>
    <w:div w:id="1435437327">
      <w:bodyDiv w:val="1"/>
      <w:marLeft w:val="0"/>
      <w:marRight w:val="0"/>
      <w:marTop w:val="0"/>
      <w:marBottom w:val="0"/>
      <w:divBdr>
        <w:top w:val="none" w:sz="0" w:space="0" w:color="auto"/>
        <w:left w:val="none" w:sz="0" w:space="0" w:color="auto"/>
        <w:bottom w:val="none" w:sz="0" w:space="0" w:color="auto"/>
        <w:right w:val="none" w:sz="0" w:space="0" w:color="auto"/>
      </w:divBdr>
    </w:div>
    <w:div w:id="1435445609">
      <w:bodyDiv w:val="1"/>
      <w:marLeft w:val="0"/>
      <w:marRight w:val="0"/>
      <w:marTop w:val="0"/>
      <w:marBottom w:val="0"/>
      <w:divBdr>
        <w:top w:val="none" w:sz="0" w:space="0" w:color="auto"/>
        <w:left w:val="none" w:sz="0" w:space="0" w:color="auto"/>
        <w:bottom w:val="none" w:sz="0" w:space="0" w:color="auto"/>
        <w:right w:val="none" w:sz="0" w:space="0" w:color="auto"/>
      </w:divBdr>
    </w:div>
    <w:div w:id="1435511639">
      <w:bodyDiv w:val="1"/>
      <w:marLeft w:val="0"/>
      <w:marRight w:val="0"/>
      <w:marTop w:val="0"/>
      <w:marBottom w:val="0"/>
      <w:divBdr>
        <w:top w:val="none" w:sz="0" w:space="0" w:color="auto"/>
        <w:left w:val="none" w:sz="0" w:space="0" w:color="auto"/>
        <w:bottom w:val="none" w:sz="0" w:space="0" w:color="auto"/>
        <w:right w:val="none" w:sz="0" w:space="0" w:color="auto"/>
      </w:divBdr>
    </w:div>
    <w:div w:id="1435513083">
      <w:bodyDiv w:val="1"/>
      <w:marLeft w:val="0"/>
      <w:marRight w:val="0"/>
      <w:marTop w:val="0"/>
      <w:marBottom w:val="0"/>
      <w:divBdr>
        <w:top w:val="none" w:sz="0" w:space="0" w:color="auto"/>
        <w:left w:val="none" w:sz="0" w:space="0" w:color="auto"/>
        <w:bottom w:val="none" w:sz="0" w:space="0" w:color="auto"/>
        <w:right w:val="none" w:sz="0" w:space="0" w:color="auto"/>
      </w:divBdr>
    </w:div>
    <w:div w:id="1435518880">
      <w:bodyDiv w:val="1"/>
      <w:marLeft w:val="0"/>
      <w:marRight w:val="0"/>
      <w:marTop w:val="0"/>
      <w:marBottom w:val="0"/>
      <w:divBdr>
        <w:top w:val="none" w:sz="0" w:space="0" w:color="auto"/>
        <w:left w:val="none" w:sz="0" w:space="0" w:color="auto"/>
        <w:bottom w:val="none" w:sz="0" w:space="0" w:color="auto"/>
        <w:right w:val="none" w:sz="0" w:space="0" w:color="auto"/>
      </w:divBdr>
    </w:div>
    <w:div w:id="1435662274">
      <w:bodyDiv w:val="1"/>
      <w:marLeft w:val="0"/>
      <w:marRight w:val="0"/>
      <w:marTop w:val="0"/>
      <w:marBottom w:val="0"/>
      <w:divBdr>
        <w:top w:val="none" w:sz="0" w:space="0" w:color="auto"/>
        <w:left w:val="none" w:sz="0" w:space="0" w:color="auto"/>
        <w:bottom w:val="none" w:sz="0" w:space="0" w:color="auto"/>
        <w:right w:val="none" w:sz="0" w:space="0" w:color="auto"/>
      </w:divBdr>
    </w:div>
    <w:div w:id="1435662549">
      <w:bodyDiv w:val="1"/>
      <w:marLeft w:val="0"/>
      <w:marRight w:val="0"/>
      <w:marTop w:val="0"/>
      <w:marBottom w:val="0"/>
      <w:divBdr>
        <w:top w:val="none" w:sz="0" w:space="0" w:color="auto"/>
        <w:left w:val="none" w:sz="0" w:space="0" w:color="auto"/>
        <w:bottom w:val="none" w:sz="0" w:space="0" w:color="auto"/>
        <w:right w:val="none" w:sz="0" w:space="0" w:color="auto"/>
      </w:divBdr>
    </w:div>
    <w:div w:id="1435706696">
      <w:bodyDiv w:val="1"/>
      <w:marLeft w:val="0"/>
      <w:marRight w:val="0"/>
      <w:marTop w:val="0"/>
      <w:marBottom w:val="0"/>
      <w:divBdr>
        <w:top w:val="none" w:sz="0" w:space="0" w:color="auto"/>
        <w:left w:val="none" w:sz="0" w:space="0" w:color="auto"/>
        <w:bottom w:val="none" w:sz="0" w:space="0" w:color="auto"/>
        <w:right w:val="none" w:sz="0" w:space="0" w:color="auto"/>
      </w:divBdr>
    </w:div>
    <w:div w:id="1435784208">
      <w:bodyDiv w:val="1"/>
      <w:marLeft w:val="0"/>
      <w:marRight w:val="0"/>
      <w:marTop w:val="0"/>
      <w:marBottom w:val="0"/>
      <w:divBdr>
        <w:top w:val="none" w:sz="0" w:space="0" w:color="auto"/>
        <w:left w:val="none" w:sz="0" w:space="0" w:color="auto"/>
        <w:bottom w:val="none" w:sz="0" w:space="0" w:color="auto"/>
        <w:right w:val="none" w:sz="0" w:space="0" w:color="auto"/>
      </w:divBdr>
    </w:div>
    <w:div w:id="1435787953">
      <w:bodyDiv w:val="1"/>
      <w:marLeft w:val="0"/>
      <w:marRight w:val="0"/>
      <w:marTop w:val="0"/>
      <w:marBottom w:val="0"/>
      <w:divBdr>
        <w:top w:val="none" w:sz="0" w:space="0" w:color="auto"/>
        <w:left w:val="none" w:sz="0" w:space="0" w:color="auto"/>
        <w:bottom w:val="none" w:sz="0" w:space="0" w:color="auto"/>
        <w:right w:val="none" w:sz="0" w:space="0" w:color="auto"/>
      </w:divBdr>
    </w:div>
    <w:div w:id="1435902417">
      <w:bodyDiv w:val="1"/>
      <w:marLeft w:val="0"/>
      <w:marRight w:val="0"/>
      <w:marTop w:val="0"/>
      <w:marBottom w:val="0"/>
      <w:divBdr>
        <w:top w:val="none" w:sz="0" w:space="0" w:color="auto"/>
        <w:left w:val="none" w:sz="0" w:space="0" w:color="auto"/>
        <w:bottom w:val="none" w:sz="0" w:space="0" w:color="auto"/>
        <w:right w:val="none" w:sz="0" w:space="0" w:color="auto"/>
      </w:divBdr>
    </w:div>
    <w:div w:id="1435905779">
      <w:bodyDiv w:val="1"/>
      <w:marLeft w:val="0"/>
      <w:marRight w:val="0"/>
      <w:marTop w:val="0"/>
      <w:marBottom w:val="0"/>
      <w:divBdr>
        <w:top w:val="none" w:sz="0" w:space="0" w:color="auto"/>
        <w:left w:val="none" w:sz="0" w:space="0" w:color="auto"/>
        <w:bottom w:val="none" w:sz="0" w:space="0" w:color="auto"/>
        <w:right w:val="none" w:sz="0" w:space="0" w:color="auto"/>
      </w:divBdr>
    </w:div>
    <w:div w:id="1436055662">
      <w:bodyDiv w:val="1"/>
      <w:marLeft w:val="0"/>
      <w:marRight w:val="0"/>
      <w:marTop w:val="0"/>
      <w:marBottom w:val="0"/>
      <w:divBdr>
        <w:top w:val="none" w:sz="0" w:space="0" w:color="auto"/>
        <w:left w:val="none" w:sz="0" w:space="0" w:color="auto"/>
        <w:bottom w:val="none" w:sz="0" w:space="0" w:color="auto"/>
        <w:right w:val="none" w:sz="0" w:space="0" w:color="auto"/>
      </w:divBdr>
    </w:div>
    <w:div w:id="1436097104">
      <w:bodyDiv w:val="1"/>
      <w:marLeft w:val="0"/>
      <w:marRight w:val="0"/>
      <w:marTop w:val="0"/>
      <w:marBottom w:val="0"/>
      <w:divBdr>
        <w:top w:val="none" w:sz="0" w:space="0" w:color="auto"/>
        <w:left w:val="none" w:sz="0" w:space="0" w:color="auto"/>
        <w:bottom w:val="none" w:sz="0" w:space="0" w:color="auto"/>
        <w:right w:val="none" w:sz="0" w:space="0" w:color="auto"/>
      </w:divBdr>
    </w:div>
    <w:div w:id="1436244439">
      <w:bodyDiv w:val="1"/>
      <w:marLeft w:val="0"/>
      <w:marRight w:val="0"/>
      <w:marTop w:val="0"/>
      <w:marBottom w:val="0"/>
      <w:divBdr>
        <w:top w:val="none" w:sz="0" w:space="0" w:color="auto"/>
        <w:left w:val="none" w:sz="0" w:space="0" w:color="auto"/>
        <w:bottom w:val="none" w:sz="0" w:space="0" w:color="auto"/>
        <w:right w:val="none" w:sz="0" w:space="0" w:color="auto"/>
      </w:divBdr>
    </w:div>
    <w:div w:id="1436294333">
      <w:bodyDiv w:val="1"/>
      <w:marLeft w:val="0"/>
      <w:marRight w:val="0"/>
      <w:marTop w:val="0"/>
      <w:marBottom w:val="0"/>
      <w:divBdr>
        <w:top w:val="none" w:sz="0" w:space="0" w:color="auto"/>
        <w:left w:val="none" w:sz="0" w:space="0" w:color="auto"/>
        <w:bottom w:val="none" w:sz="0" w:space="0" w:color="auto"/>
        <w:right w:val="none" w:sz="0" w:space="0" w:color="auto"/>
      </w:divBdr>
    </w:div>
    <w:div w:id="1436439193">
      <w:bodyDiv w:val="1"/>
      <w:marLeft w:val="0"/>
      <w:marRight w:val="0"/>
      <w:marTop w:val="0"/>
      <w:marBottom w:val="0"/>
      <w:divBdr>
        <w:top w:val="none" w:sz="0" w:space="0" w:color="auto"/>
        <w:left w:val="none" w:sz="0" w:space="0" w:color="auto"/>
        <w:bottom w:val="none" w:sz="0" w:space="0" w:color="auto"/>
        <w:right w:val="none" w:sz="0" w:space="0" w:color="auto"/>
      </w:divBdr>
    </w:div>
    <w:div w:id="1436483695">
      <w:bodyDiv w:val="1"/>
      <w:marLeft w:val="0"/>
      <w:marRight w:val="0"/>
      <w:marTop w:val="0"/>
      <w:marBottom w:val="0"/>
      <w:divBdr>
        <w:top w:val="none" w:sz="0" w:space="0" w:color="auto"/>
        <w:left w:val="none" w:sz="0" w:space="0" w:color="auto"/>
        <w:bottom w:val="none" w:sz="0" w:space="0" w:color="auto"/>
        <w:right w:val="none" w:sz="0" w:space="0" w:color="auto"/>
      </w:divBdr>
    </w:div>
    <w:div w:id="1436515130">
      <w:bodyDiv w:val="1"/>
      <w:marLeft w:val="0"/>
      <w:marRight w:val="0"/>
      <w:marTop w:val="0"/>
      <w:marBottom w:val="0"/>
      <w:divBdr>
        <w:top w:val="none" w:sz="0" w:space="0" w:color="auto"/>
        <w:left w:val="none" w:sz="0" w:space="0" w:color="auto"/>
        <w:bottom w:val="none" w:sz="0" w:space="0" w:color="auto"/>
        <w:right w:val="none" w:sz="0" w:space="0" w:color="auto"/>
      </w:divBdr>
    </w:div>
    <w:div w:id="1436747569">
      <w:bodyDiv w:val="1"/>
      <w:marLeft w:val="0"/>
      <w:marRight w:val="0"/>
      <w:marTop w:val="0"/>
      <w:marBottom w:val="0"/>
      <w:divBdr>
        <w:top w:val="none" w:sz="0" w:space="0" w:color="auto"/>
        <w:left w:val="none" w:sz="0" w:space="0" w:color="auto"/>
        <w:bottom w:val="none" w:sz="0" w:space="0" w:color="auto"/>
        <w:right w:val="none" w:sz="0" w:space="0" w:color="auto"/>
      </w:divBdr>
    </w:div>
    <w:div w:id="1436823798">
      <w:bodyDiv w:val="1"/>
      <w:marLeft w:val="0"/>
      <w:marRight w:val="0"/>
      <w:marTop w:val="0"/>
      <w:marBottom w:val="0"/>
      <w:divBdr>
        <w:top w:val="none" w:sz="0" w:space="0" w:color="auto"/>
        <w:left w:val="none" w:sz="0" w:space="0" w:color="auto"/>
        <w:bottom w:val="none" w:sz="0" w:space="0" w:color="auto"/>
        <w:right w:val="none" w:sz="0" w:space="0" w:color="auto"/>
      </w:divBdr>
    </w:div>
    <w:div w:id="1436904675">
      <w:bodyDiv w:val="1"/>
      <w:marLeft w:val="0"/>
      <w:marRight w:val="0"/>
      <w:marTop w:val="0"/>
      <w:marBottom w:val="0"/>
      <w:divBdr>
        <w:top w:val="none" w:sz="0" w:space="0" w:color="auto"/>
        <w:left w:val="none" w:sz="0" w:space="0" w:color="auto"/>
        <w:bottom w:val="none" w:sz="0" w:space="0" w:color="auto"/>
        <w:right w:val="none" w:sz="0" w:space="0" w:color="auto"/>
      </w:divBdr>
    </w:div>
    <w:div w:id="1437214453">
      <w:bodyDiv w:val="1"/>
      <w:marLeft w:val="0"/>
      <w:marRight w:val="0"/>
      <w:marTop w:val="0"/>
      <w:marBottom w:val="0"/>
      <w:divBdr>
        <w:top w:val="none" w:sz="0" w:space="0" w:color="auto"/>
        <w:left w:val="none" w:sz="0" w:space="0" w:color="auto"/>
        <w:bottom w:val="none" w:sz="0" w:space="0" w:color="auto"/>
        <w:right w:val="none" w:sz="0" w:space="0" w:color="auto"/>
      </w:divBdr>
    </w:div>
    <w:div w:id="1437552725">
      <w:bodyDiv w:val="1"/>
      <w:marLeft w:val="0"/>
      <w:marRight w:val="0"/>
      <w:marTop w:val="0"/>
      <w:marBottom w:val="0"/>
      <w:divBdr>
        <w:top w:val="none" w:sz="0" w:space="0" w:color="auto"/>
        <w:left w:val="none" w:sz="0" w:space="0" w:color="auto"/>
        <w:bottom w:val="none" w:sz="0" w:space="0" w:color="auto"/>
        <w:right w:val="none" w:sz="0" w:space="0" w:color="auto"/>
      </w:divBdr>
    </w:div>
    <w:div w:id="1437676869">
      <w:bodyDiv w:val="1"/>
      <w:marLeft w:val="0"/>
      <w:marRight w:val="0"/>
      <w:marTop w:val="0"/>
      <w:marBottom w:val="0"/>
      <w:divBdr>
        <w:top w:val="none" w:sz="0" w:space="0" w:color="auto"/>
        <w:left w:val="none" w:sz="0" w:space="0" w:color="auto"/>
        <w:bottom w:val="none" w:sz="0" w:space="0" w:color="auto"/>
        <w:right w:val="none" w:sz="0" w:space="0" w:color="auto"/>
      </w:divBdr>
    </w:div>
    <w:div w:id="1437798169">
      <w:bodyDiv w:val="1"/>
      <w:marLeft w:val="0"/>
      <w:marRight w:val="0"/>
      <w:marTop w:val="0"/>
      <w:marBottom w:val="0"/>
      <w:divBdr>
        <w:top w:val="none" w:sz="0" w:space="0" w:color="auto"/>
        <w:left w:val="none" w:sz="0" w:space="0" w:color="auto"/>
        <w:bottom w:val="none" w:sz="0" w:space="0" w:color="auto"/>
        <w:right w:val="none" w:sz="0" w:space="0" w:color="auto"/>
      </w:divBdr>
    </w:div>
    <w:div w:id="1437864910">
      <w:bodyDiv w:val="1"/>
      <w:marLeft w:val="0"/>
      <w:marRight w:val="0"/>
      <w:marTop w:val="0"/>
      <w:marBottom w:val="0"/>
      <w:divBdr>
        <w:top w:val="none" w:sz="0" w:space="0" w:color="auto"/>
        <w:left w:val="none" w:sz="0" w:space="0" w:color="auto"/>
        <w:bottom w:val="none" w:sz="0" w:space="0" w:color="auto"/>
        <w:right w:val="none" w:sz="0" w:space="0" w:color="auto"/>
      </w:divBdr>
    </w:div>
    <w:div w:id="1437864922">
      <w:bodyDiv w:val="1"/>
      <w:marLeft w:val="0"/>
      <w:marRight w:val="0"/>
      <w:marTop w:val="0"/>
      <w:marBottom w:val="0"/>
      <w:divBdr>
        <w:top w:val="none" w:sz="0" w:space="0" w:color="auto"/>
        <w:left w:val="none" w:sz="0" w:space="0" w:color="auto"/>
        <w:bottom w:val="none" w:sz="0" w:space="0" w:color="auto"/>
        <w:right w:val="none" w:sz="0" w:space="0" w:color="auto"/>
      </w:divBdr>
    </w:div>
    <w:div w:id="1437869969">
      <w:bodyDiv w:val="1"/>
      <w:marLeft w:val="0"/>
      <w:marRight w:val="0"/>
      <w:marTop w:val="0"/>
      <w:marBottom w:val="0"/>
      <w:divBdr>
        <w:top w:val="none" w:sz="0" w:space="0" w:color="auto"/>
        <w:left w:val="none" w:sz="0" w:space="0" w:color="auto"/>
        <w:bottom w:val="none" w:sz="0" w:space="0" w:color="auto"/>
        <w:right w:val="none" w:sz="0" w:space="0" w:color="auto"/>
      </w:divBdr>
    </w:div>
    <w:div w:id="1438020472">
      <w:bodyDiv w:val="1"/>
      <w:marLeft w:val="0"/>
      <w:marRight w:val="0"/>
      <w:marTop w:val="0"/>
      <w:marBottom w:val="0"/>
      <w:divBdr>
        <w:top w:val="none" w:sz="0" w:space="0" w:color="auto"/>
        <w:left w:val="none" w:sz="0" w:space="0" w:color="auto"/>
        <w:bottom w:val="none" w:sz="0" w:space="0" w:color="auto"/>
        <w:right w:val="none" w:sz="0" w:space="0" w:color="auto"/>
      </w:divBdr>
    </w:div>
    <w:div w:id="1438138045">
      <w:bodyDiv w:val="1"/>
      <w:marLeft w:val="0"/>
      <w:marRight w:val="0"/>
      <w:marTop w:val="0"/>
      <w:marBottom w:val="0"/>
      <w:divBdr>
        <w:top w:val="none" w:sz="0" w:space="0" w:color="auto"/>
        <w:left w:val="none" w:sz="0" w:space="0" w:color="auto"/>
        <w:bottom w:val="none" w:sz="0" w:space="0" w:color="auto"/>
        <w:right w:val="none" w:sz="0" w:space="0" w:color="auto"/>
      </w:divBdr>
    </w:div>
    <w:div w:id="1438140544">
      <w:bodyDiv w:val="1"/>
      <w:marLeft w:val="0"/>
      <w:marRight w:val="0"/>
      <w:marTop w:val="0"/>
      <w:marBottom w:val="0"/>
      <w:divBdr>
        <w:top w:val="none" w:sz="0" w:space="0" w:color="auto"/>
        <w:left w:val="none" w:sz="0" w:space="0" w:color="auto"/>
        <w:bottom w:val="none" w:sz="0" w:space="0" w:color="auto"/>
        <w:right w:val="none" w:sz="0" w:space="0" w:color="auto"/>
      </w:divBdr>
    </w:div>
    <w:div w:id="1438208633">
      <w:bodyDiv w:val="1"/>
      <w:marLeft w:val="0"/>
      <w:marRight w:val="0"/>
      <w:marTop w:val="0"/>
      <w:marBottom w:val="0"/>
      <w:divBdr>
        <w:top w:val="none" w:sz="0" w:space="0" w:color="auto"/>
        <w:left w:val="none" w:sz="0" w:space="0" w:color="auto"/>
        <w:bottom w:val="none" w:sz="0" w:space="0" w:color="auto"/>
        <w:right w:val="none" w:sz="0" w:space="0" w:color="auto"/>
      </w:divBdr>
    </w:div>
    <w:div w:id="1438216361">
      <w:bodyDiv w:val="1"/>
      <w:marLeft w:val="0"/>
      <w:marRight w:val="0"/>
      <w:marTop w:val="0"/>
      <w:marBottom w:val="0"/>
      <w:divBdr>
        <w:top w:val="none" w:sz="0" w:space="0" w:color="auto"/>
        <w:left w:val="none" w:sz="0" w:space="0" w:color="auto"/>
        <w:bottom w:val="none" w:sz="0" w:space="0" w:color="auto"/>
        <w:right w:val="none" w:sz="0" w:space="0" w:color="auto"/>
      </w:divBdr>
    </w:div>
    <w:div w:id="1438332139">
      <w:bodyDiv w:val="1"/>
      <w:marLeft w:val="0"/>
      <w:marRight w:val="0"/>
      <w:marTop w:val="0"/>
      <w:marBottom w:val="0"/>
      <w:divBdr>
        <w:top w:val="none" w:sz="0" w:space="0" w:color="auto"/>
        <w:left w:val="none" w:sz="0" w:space="0" w:color="auto"/>
        <w:bottom w:val="none" w:sz="0" w:space="0" w:color="auto"/>
        <w:right w:val="none" w:sz="0" w:space="0" w:color="auto"/>
      </w:divBdr>
    </w:div>
    <w:div w:id="1438452374">
      <w:bodyDiv w:val="1"/>
      <w:marLeft w:val="0"/>
      <w:marRight w:val="0"/>
      <w:marTop w:val="0"/>
      <w:marBottom w:val="0"/>
      <w:divBdr>
        <w:top w:val="none" w:sz="0" w:space="0" w:color="auto"/>
        <w:left w:val="none" w:sz="0" w:space="0" w:color="auto"/>
        <w:bottom w:val="none" w:sz="0" w:space="0" w:color="auto"/>
        <w:right w:val="none" w:sz="0" w:space="0" w:color="auto"/>
      </w:divBdr>
    </w:div>
    <w:div w:id="1438522789">
      <w:bodyDiv w:val="1"/>
      <w:marLeft w:val="0"/>
      <w:marRight w:val="0"/>
      <w:marTop w:val="0"/>
      <w:marBottom w:val="0"/>
      <w:divBdr>
        <w:top w:val="none" w:sz="0" w:space="0" w:color="auto"/>
        <w:left w:val="none" w:sz="0" w:space="0" w:color="auto"/>
        <w:bottom w:val="none" w:sz="0" w:space="0" w:color="auto"/>
        <w:right w:val="none" w:sz="0" w:space="0" w:color="auto"/>
      </w:divBdr>
    </w:div>
    <w:div w:id="1438527638">
      <w:bodyDiv w:val="1"/>
      <w:marLeft w:val="0"/>
      <w:marRight w:val="0"/>
      <w:marTop w:val="0"/>
      <w:marBottom w:val="0"/>
      <w:divBdr>
        <w:top w:val="none" w:sz="0" w:space="0" w:color="auto"/>
        <w:left w:val="none" w:sz="0" w:space="0" w:color="auto"/>
        <w:bottom w:val="none" w:sz="0" w:space="0" w:color="auto"/>
        <w:right w:val="none" w:sz="0" w:space="0" w:color="auto"/>
      </w:divBdr>
    </w:div>
    <w:div w:id="1438600368">
      <w:bodyDiv w:val="1"/>
      <w:marLeft w:val="0"/>
      <w:marRight w:val="0"/>
      <w:marTop w:val="0"/>
      <w:marBottom w:val="0"/>
      <w:divBdr>
        <w:top w:val="none" w:sz="0" w:space="0" w:color="auto"/>
        <w:left w:val="none" w:sz="0" w:space="0" w:color="auto"/>
        <w:bottom w:val="none" w:sz="0" w:space="0" w:color="auto"/>
        <w:right w:val="none" w:sz="0" w:space="0" w:color="auto"/>
      </w:divBdr>
    </w:div>
    <w:div w:id="1438600534">
      <w:bodyDiv w:val="1"/>
      <w:marLeft w:val="0"/>
      <w:marRight w:val="0"/>
      <w:marTop w:val="0"/>
      <w:marBottom w:val="0"/>
      <w:divBdr>
        <w:top w:val="none" w:sz="0" w:space="0" w:color="auto"/>
        <w:left w:val="none" w:sz="0" w:space="0" w:color="auto"/>
        <w:bottom w:val="none" w:sz="0" w:space="0" w:color="auto"/>
        <w:right w:val="none" w:sz="0" w:space="0" w:color="auto"/>
      </w:divBdr>
    </w:div>
    <w:div w:id="1439059850">
      <w:bodyDiv w:val="1"/>
      <w:marLeft w:val="0"/>
      <w:marRight w:val="0"/>
      <w:marTop w:val="0"/>
      <w:marBottom w:val="0"/>
      <w:divBdr>
        <w:top w:val="none" w:sz="0" w:space="0" w:color="auto"/>
        <w:left w:val="none" w:sz="0" w:space="0" w:color="auto"/>
        <w:bottom w:val="none" w:sz="0" w:space="0" w:color="auto"/>
        <w:right w:val="none" w:sz="0" w:space="0" w:color="auto"/>
      </w:divBdr>
    </w:div>
    <w:div w:id="1439180909">
      <w:bodyDiv w:val="1"/>
      <w:marLeft w:val="0"/>
      <w:marRight w:val="0"/>
      <w:marTop w:val="0"/>
      <w:marBottom w:val="0"/>
      <w:divBdr>
        <w:top w:val="none" w:sz="0" w:space="0" w:color="auto"/>
        <w:left w:val="none" w:sz="0" w:space="0" w:color="auto"/>
        <w:bottom w:val="none" w:sz="0" w:space="0" w:color="auto"/>
        <w:right w:val="none" w:sz="0" w:space="0" w:color="auto"/>
      </w:divBdr>
    </w:div>
    <w:div w:id="1439326599">
      <w:bodyDiv w:val="1"/>
      <w:marLeft w:val="0"/>
      <w:marRight w:val="0"/>
      <w:marTop w:val="0"/>
      <w:marBottom w:val="0"/>
      <w:divBdr>
        <w:top w:val="none" w:sz="0" w:space="0" w:color="auto"/>
        <w:left w:val="none" w:sz="0" w:space="0" w:color="auto"/>
        <w:bottom w:val="none" w:sz="0" w:space="0" w:color="auto"/>
        <w:right w:val="none" w:sz="0" w:space="0" w:color="auto"/>
      </w:divBdr>
    </w:div>
    <w:div w:id="1439449517">
      <w:bodyDiv w:val="1"/>
      <w:marLeft w:val="0"/>
      <w:marRight w:val="0"/>
      <w:marTop w:val="0"/>
      <w:marBottom w:val="0"/>
      <w:divBdr>
        <w:top w:val="none" w:sz="0" w:space="0" w:color="auto"/>
        <w:left w:val="none" w:sz="0" w:space="0" w:color="auto"/>
        <w:bottom w:val="none" w:sz="0" w:space="0" w:color="auto"/>
        <w:right w:val="none" w:sz="0" w:space="0" w:color="auto"/>
      </w:divBdr>
    </w:div>
    <w:div w:id="1439519920">
      <w:bodyDiv w:val="1"/>
      <w:marLeft w:val="0"/>
      <w:marRight w:val="0"/>
      <w:marTop w:val="0"/>
      <w:marBottom w:val="0"/>
      <w:divBdr>
        <w:top w:val="none" w:sz="0" w:space="0" w:color="auto"/>
        <w:left w:val="none" w:sz="0" w:space="0" w:color="auto"/>
        <w:bottom w:val="none" w:sz="0" w:space="0" w:color="auto"/>
        <w:right w:val="none" w:sz="0" w:space="0" w:color="auto"/>
      </w:divBdr>
    </w:div>
    <w:div w:id="1439637596">
      <w:bodyDiv w:val="1"/>
      <w:marLeft w:val="0"/>
      <w:marRight w:val="0"/>
      <w:marTop w:val="0"/>
      <w:marBottom w:val="0"/>
      <w:divBdr>
        <w:top w:val="none" w:sz="0" w:space="0" w:color="auto"/>
        <w:left w:val="none" w:sz="0" w:space="0" w:color="auto"/>
        <w:bottom w:val="none" w:sz="0" w:space="0" w:color="auto"/>
        <w:right w:val="none" w:sz="0" w:space="0" w:color="auto"/>
      </w:divBdr>
    </w:div>
    <w:div w:id="1439644375">
      <w:bodyDiv w:val="1"/>
      <w:marLeft w:val="0"/>
      <w:marRight w:val="0"/>
      <w:marTop w:val="0"/>
      <w:marBottom w:val="0"/>
      <w:divBdr>
        <w:top w:val="none" w:sz="0" w:space="0" w:color="auto"/>
        <w:left w:val="none" w:sz="0" w:space="0" w:color="auto"/>
        <w:bottom w:val="none" w:sz="0" w:space="0" w:color="auto"/>
        <w:right w:val="none" w:sz="0" w:space="0" w:color="auto"/>
      </w:divBdr>
    </w:div>
    <w:div w:id="1439719629">
      <w:bodyDiv w:val="1"/>
      <w:marLeft w:val="0"/>
      <w:marRight w:val="0"/>
      <w:marTop w:val="0"/>
      <w:marBottom w:val="0"/>
      <w:divBdr>
        <w:top w:val="none" w:sz="0" w:space="0" w:color="auto"/>
        <w:left w:val="none" w:sz="0" w:space="0" w:color="auto"/>
        <w:bottom w:val="none" w:sz="0" w:space="0" w:color="auto"/>
        <w:right w:val="none" w:sz="0" w:space="0" w:color="auto"/>
      </w:divBdr>
    </w:div>
    <w:div w:id="1439837157">
      <w:bodyDiv w:val="1"/>
      <w:marLeft w:val="0"/>
      <w:marRight w:val="0"/>
      <w:marTop w:val="0"/>
      <w:marBottom w:val="0"/>
      <w:divBdr>
        <w:top w:val="none" w:sz="0" w:space="0" w:color="auto"/>
        <w:left w:val="none" w:sz="0" w:space="0" w:color="auto"/>
        <w:bottom w:val="none" w:sz="0" w:space="0" w:color="auto"/>
        <w:right w:val="none" w:sz="0" w:space="0" w:color="auto"/>
      </w:divBdr>
    </w:div>
    <w:div w:id="1439989196">
      <w:bodyDiv w:val="1"/>
      <w:marLeft w:val="0"/>
      <w:marRight w:val="0"/>
      <w:marTop w:val="0"/>
      <w:marBottom w:val="0"/>
      <w:divBdr>
        <w:top w:val="none" w:sz="0" w:space="0" w:color="auto"/>
        <w:left w:val="none" w:sz="0" w:space="0" w:color="auto"/>
        <w:bottom w:val="none" w:sz="0" w:space="0" w:color="auto"/>
        <w:right w:val="none" w:sz="0" w:space="0" w:color="auto"/>
      </w:divBdr>
    </w:div>
    <w:div w:id="1440027359">
      <w:bodyDiv w:val="1"/>
      <w:marLeft w:val="0"/>
      <w:marRight w:val="0"/>
      <w:marTop w:val="0"/>
      <w:marBottom w:val="0"/>
      <w:divBdr>
        <w:top w:val="none" w:sz="0" w:space="0" w:color="auto"/>
        <w:left w:val="none" w:sz="0" w:space="0" w:color="auto"/>
        <w:bottom w:val="none" w:sz="0" w:space="0" w:color="auto"/>
        <w:right w:val="none" w:sz="0" w:space="0" w:color="auto"/>
      </w:divBdr>
    </w:div>
    <w:div w:id="1440028845">
      <w:bodyDiv w:val="1"/>
      <w:marLeft w:val="0"/>
      <w:marRight w:val="0"/>
      <w:marTop w:val="0"/>
      <w:marBottom w:val="0"/>
      <w:divBdr>
        <w:top w:val="none" w:sz="0" w:space="0" w:color="auto"/>
        <w:left w:val="none" w:sz="0" w:space="0" w:color="auto"/>
        <w:bottom w:val="none" w:sz="0" w:space="0" w:color="auto"/>
        <w:right w:val="none" w:sz="0" w:space="0" w:color="auto"/>
      </w:divBdr>
    </w:div>
    <w:div w:id="1440221600">
      <w:bodyDiv w:val="1"/>
      <w:marLeft w:val="0"/>
      <w:marRight w:val="0"/>
      <w:marTop w:val="0"/>
      <w:marBottom w:val="0"/>
      <w:divBdr>
        <w:top w:val="none" w:sz="0" w:space="0" w:color="auto"/>
        <w:left w:val="none" w:sz="0" w:space="0" w:color="auto"/>
        <w:bottom w:val="none" w:sz="0" w:space="0" w:color="auto"/>
        <w:right w:val="none" w:sz="0" w:space="0" w:color="auto"/>
      </w:divBdr>
    </w:div>
    <w:div w:id="1440373798">
      <w:bodyDiv w:val="1"/>
      <w:marLeft w:val="0"/>
      <w:marRight w:val="0"/>
      <w:marTop w:val="0"/>
      <w:marBottom w:val="0"/>
      <w:divBdr>
        <w:top w:val="none" w:sz="0" w:space="0" w:color="auto"/>
        <w:left w:val="none" w:sz="0" w:space="0" w:color="auto"/>
        <w:bottom w:val="none" w:sz="0" w:space="0" w:color="auto"/>
        <w:right w:val="none" w:sz="0" w:space="0" w:color="auto"/>
      </w:divBdr>
    </w:div>
    <w:div w:id="1440442817">
      <w:bodyDiv w:val="1"/>
      <w:marLeft w:val="0"/>
      <w:marRight w:val="0"/>
      <w:marTop w:val="0"/>
      <w:marBottom w:val="0"/>
      <w:divBdr>
        <w:top w:val="none" w:sz="0" w:space="0" w:color="auto"/>
        <w:left w:val="none" w:sz="0" w:space="0" w:color="auto"/>
        <w:bottom w:val="none" w:sz="0" w:space="0" w:color="auto"/>
        <w:right w:val="none" w:sz="0" w:space="0" w:color="auto"/>
      </w:divBdr>
    </w:div>
    <w:div w:id="1440643285">
      <w:bodyDiv w:val="1"/>
      <w:marLeft w:val="0"/>
      <w:marRight w:val="0"/>
      <w:marTop w:val="0"/>
      <w:marBottom w:val="0"/>
      <w:divBdr>
        <w:top w:val="none" w:sz="0" w:space="0" w:color="auto"/>
        <w:left w:val="none" w:sz="0" w:space="0" w:color="auto"/>
        <w:bottom w:val="none" w:sz="0" w:space="0" w:color="auto"/>
        <w:right w:val="none" w:sz="0" w:space="0" w:color="auto"/>
      </w:divBdr>
    </w:div>
    <w:div w:id="1440949204">
      <w:bodyDiv w:val="1"/>
      <w:marLeft w:val="0"/>
      <w:marRight w:val="0"/>
      <w:marTop w:val="0"/>
      <w:marBottom w:val="0"/>
      <w:divBdr>
        <w:top w:val="none" w:sz="0" w:space="0" w:color="auto"/>
        <w:left w:val="none" w:sz="0" w:space="0" w:color="auto"/>
        <w:bottom w:val="none" w:sz="0" w:space="0" w:color="auto"/>
        <w:right w:val="none" w:sz="0" w:space="0" w:color="auto"/>
      </w:divBdr>
    </w:div>
    <w:div w:id="1440953612">
      <w:bodyDiv w:val="1"/>
      <w:marLeft w:val="0"/>
      <w:marRight w:val="0"/>
      <w:marTop w:val="0"/>
      <w:marBottom w:val="0"/>
      <w:divBdr>
        <w:top w:val="none" w:sz="0" w:space="0" w:color="auto"/>
        <w:left w:val="none" w:sz="0" w:space="0" w:color="auto"/>
        <w:bottom w:val="none" w:sz="0" w:space="0" w:color="auto"/>
        <w:right w:val="none" w:sz="0" w:space="0" w:color="auto"/>
      </w:divBdr>
    </w:div>
    <w:div w:id="1441024575">
      <w:bodyDiv w:val="1"/>
      <w:marLeft w:val="0"/>
      <w:marRight w:val="0"/>
      <w:marTop w:val="0"/>
      <w:marBottom w:val="0"/>
      <w:divBdr>
        <w:top w:val="none" w:sz="0" w:space="0" w:color="auto"/>
        <w:left w:val="none" w:sz="0" w:space="0" w:color="auto"/>
        <w:bottom w:val="none" w:sz="0" w:space="0" w:color="auto"/>
        <w:right w:val="none" w:sz="0" w:space="0" w:color="auto"/>
      </w:divBdr>
    </w:div>
    <w:div w:id="1441027436">
      <w:bodyDiv w:val="1"/>
      <w:marLeft w:val="0"/>
      <w:marRight w:val="0"/>
      <w:marTop w:val="0"/>
      <w:marBottom w:val="0"/>
      <w:divBdr>
        <w:top w:val="none" w:sz="0" w:space="0" w:color="auto"/>
        <w:left w:val="none" w:sz="0" w:space="0" w:color="auto"/>
        <w:bottom w:val="none" w:sz="0" w:space="0" w:color="auto"/>
        <w:right w:val="none" w:sz="0" w:space="0" w:color="auto"/>
      </w:divBdr>
    </w:div>
    <w:div w:id="1441102264">
      <w:bodyDiv w:val="1"/>
      <w:marLeft w:val="0"/>
      <w:marRight w:val="0"/>
      <w:marTop w:val="0"/>
      <w:marBottom w:val="0"/>
      <w:divBdr>
        <w:top w:val="none" w:sz="0" w:space="0" w:color="auto"/>
        <w:left w:val="none" w:sz="0" w:space="0" w:color="auto"/>
        <w:bottom w:val="none" w:sz="0" w:space="0" w:color="auto"/>
        <w:right w:val="none" w:sz="0" w:space="0" w:color="auto"/>
      </w:divBdr>
    </w:div>
    <w:div w:id="1441141685">
      <w:bodyDiv w:val="1"/>
      <w:marLeft w:val="0"/>
      <w:marRight w:val="0"/>
      <w:marTop w:val="0"/>
      <w:marBottom w:val="0"/>
      <w:divBdr>
        <w:top w:val="none" w:sz="0" w:space="0" w:color="auto"/>
        <w:left w:val="none" w:sz="0" w:space="0" w:color="auto"/>
        <w:bottom w:val="none" w:sz="0" w:space="0" w:color="auto"/>
        <w:right w:val="none" w:sz="0" w:space="0" w:color="auto"/>
      </w:divBdr>
    </w:div>
    <w:div w:id="1441145017">
      <w:bodyDiv w:val="1"/>
      <w:marLeft w:val="0"/>
      <w:marRight w:val="0"/>
      <w:marTop w:val="0"/>
      <w:marBottom w:val="0"/>
      <w:divBdr>
        <w:top w:val="none" w:sz="0" w:space="0" w:color="auto"/>
        <w:left w:val="none" w:sz="0" w:space="0" w:color="auto"/>
        <w:bottom w:val="none" w:sz="0" w:space="0" w:color="auto"/>
        <w:right w:val="none" w:sz="0" w:space="0" w:color="auto"/>
      </w:divBdr>
    </w:div>
    <w:div w:id="1441486702">
      <w:bodyDiv w:val="1"/>
      <w:marLeft w:val="0"/>
      <w:marRight w:val="0"/>
      <w:marTop w:val="0"/>
      <w:marBottom w:val="0"/>
      <w:divBdr>
        <w:top w:val="none" w:sz="0" w:space="0" w:color="auto"/>
        <w:left w:val="none" w:sz="0" w:space="0" w:color="auto"/>
        <w:bottom w:val="none" w:sz="0" w:space="0" w:color="auto"/>
        <w:right w:val="none" w:sz="0" w:space="0" w:color="auto"/>
      </w:divBdr>
    </w:div>
    <w:div w:id="1441529888">
      <w:bodyDiv w:val="1"/>
      <w:marLeft w:val="0"/>
      <w:marRight w:val="0"/>
      <w:marTop w:val="0"/>
      <w:marBottom w:val="0"/>
      <w:divBdr>
        <w:top w:val="none" w:sz="0" w:space="0" w:color="auto"/>
        <w:left w:val="none" w:sz="0" w:space="0" w:color="auto"/>
        <w:bottom w:val="none" w:sz="0" w:space="0" w:color="auto"/>
        <w:right w:val="none" w:sz="0" w:space="0" w:color="auto"/>
      </w:divBdr>
    </w:div>
    <w:div w:id="1441874522">
      <w:bodyDiv w:val="1"/>
      <w:marLeft w:val="0"/>
      <w:marRight w:val="0"/>
      <w:marTop w:val="0"/>
      <w:marBottom w:val="0"/>
      <w:divBdr>
        <w:top w:val="none" w:sz="0" w:space="0" w:color="auto"/>
        <w:left w:val="none" w:sz="0" w:space="0" w:color="auto"/>
        <w:bottom w:val="none" w:sz="0" w:space="0" w:color="auto"/>
        <w:right w:val="none" w:sz="0" w:space="0" w:color="auto"/>
      </w:divBdr>
    </w:div>
    <w:div w:id="1441990861">
      <w:bodyDiv w:val="1"/>
      <w:marLeft w:val="0"/>
      <w:marRight w:val="0"/>
      <w:marTop w:val="0"/>
      <w:marBottom w:val="0"/>
      <w:divBdr>
        <w:top w:val="none" w:sz="0" w:space="0" w:color="auto"/>
        <w:left w:val="none" w:sz="0" w:space="0" w:color="auto"/>
        <w:bottom w:val="none" w:sz="0" w:space="0" w:color="auto"/>
        <w:right w:val="none" w:sz="0" w:space="0" w:color="auto"/>
      </w:divBdr>
    </w:div>
    <w:div w:id="1442067019">
      <w:bodyDiv w:val="1"/>
      <w:marLeft w:val="0"/>
      <w:marRight w:val="0"/>
      <w:marTop w:val="0"/>
      <w:marBottom w:val="0"/>
      <w:divBdr>
        <w:top w:val="none" w:sz="0" w:space="0" w:color="auto"/>
        <w:left w:val="none" w:sz="0" w:space="0" w:color="auto"/>
        <w:bottom w:val="none" w:sz="0" w:space="0" w:color="auto"/>
        <w:right w:val="none" w:sz="0" w:space="0" w:color="auto"/>
      </w:divBdr>
    </w:div>
    <w:div w:id="1442070073">
      <w:bodyDiv w:val="1"/>
      <w:marLeft w:val="0"/>
      <w:marRight w:val="0"/>
      <w:marTop w:val="0"/>
      <w:marBottom w:val="0"/>
      <w:divBdr>
        <w:top w:val="none" w:sz="0" w:space="0" w:color="auto"/>
        <w:left w:val="none" w:sz="0" w:space="0" w:color="auto"/>
        <w:bottom w:val="none" w:sz="0" w:space="0" w:color="auto"/>
        <w:right w:val="none" w:sz="0" w:space="0" w:color="auto"/>
      </w:divBdr>
    </w:div>
    <w:div w:id="1442141705">
      <w:bodyDiv w:val="1"/>
      <w:marLeft w:val="0"/>
      <w:marRight w:val="0"/>
      <w:marTop w:val="0"/>
      <w:marBottom w:val="0"/>
      <w:divBdr>
        <w:top w:val="none" w:sz="0" w:space="0" w:color="auto"/>
        <w:left w:val="none" w:sz="0" w:space="0" w:color="auto"/>
        <w:bottom w:val="none" w:sz="0" w:space="0" w:color="auto"/>
        <w:right w:val="none" w:sz="0" w:space="0" w:color="auto"/>
      </w:divBdr>
    </w:div>
    <w:div w:id="1442186626">
      <w:bodyDiv w:val="1"/>
      <w:marLeft w:val="0"/>
      <w:marRight w:val="0"/>
      <w:marTop w:val="0"/>
      <w:marBottom w:val="0"/>
      <w:divBdr>
        <w:top w:val="none" w:sz="0" w:space="0" w:color="auto"/>
        <w:left w:val="none" w:sz="0" w:space="0" w:color="auto"/>
        <w:bottom w:val="none" w:sz="0" w:space="0" w:color="auto"/>
        <w:right w:val="none" w:sz="0" w:space="0" w:color="auto"/>
      </w:divBdr>
    </w:div>
    <w:div w:id="1442258742">
      <w:bodyDiv w:val="1"/>
      <w:marLeft w:val="0"/>
      <w:marRight w:val="0"/>
      <w:marTop w:val="0"/>
      <w:marBottom w:val="0"/>
      <w:divBdr>
        <w:top w:val="none" w:sz="0" w:space="0" w:color="auto"/>
        <w:left w:val="none" w:sz="0" w:space="0" w:color="auto"/>
        <w:bottom w:val="none" w:sz="0" w:space="0" w:color="auto"/>
        <w:right w:val="none" w:sz="0" w:space="0" w:color="auto"/>
      </w:divBdr>
    </w:div>
    <w:div w:id="1442260078">
      <w:bodyDiv w:val="1"/>
      <w:marLeft w:val="0"/>
      <w:marRight w:val="0"/>
      <w:marTop w:val="0"/>
      <w:marBottom w:val="0"/>
      <w:divBdr>
        <w:top w:val="none" w:sz="0" w:space="0" w:color="auto"/>
        <w:left w:val="none" w:sz="0" w:space="0" w:color="auto"/>
        <w:bottom w:val="none" w:sz="0" w:space="0" w:color="auto"/>
        <w:right w:val="none" w:sz="0" w:space="0" w:color="auto"/>
      </w:divBdr>
    </w:div>
    <w:div w:id="1442383344">
      <w:bodyDiv w:val="1"/>
      <w:marLeft w:val="0"/>
      <w:marRight w:val="0"/>
      <w:marTop w:val="0"/>
      <w:marBottom w:val="0"/>
      <w:divBdr>
        <w:top w:val="none" w:sz="0" w:space="0" w:color="auto"/>
        <w:left w:val="none" w:sz="0" w:space="0" w:color="auto"/>
        <w:bottom w:val="none" w:sz="0" w:space="0" w:color="auto"/>
        <w:right w:val="none" w:sz="0" w:space="0" w:color="auto"/>
      </w:divBdr>
    </w:div>
    <w:div w:id="1442384926">
      <w:bodyDiv w:val="1"/>
      <w:marLeft w:val="0"/>
      <w:marRight w:val="0"/>
      <w:marTop w:val="0"/>
      <w:marBottom w:val="0"/>
      <w:divBdr>
        <w:top w:val="none" w:sz="0" w:space="0" w:color="auto"/>
        <w:left w:val="none" w:sz="0" w:space="0" w:color="auto"/>
        <w:bottom w:val="none" w:sz="0" w:space="0" w:color="auto"/>
        <w:right w:val="none" w:sz="0" w:space="0" w:color="auto"/>
      </w:divBdr>
    </w:div>
    <w:div w:id="1442455691">
      <w:bodyDiv w:val="1"/>
      <w:marLeft w:val="0"/>
      <w:marRight w:val="0"/>
      <w:marTop w:val="0"/>
      <w:marBottom w:val="0"/>
      <w:divBdr>
        <w:top w:val="none" w:sz="0" w:space="0" w:color="auto"/>
        <w:left w:val="none" w:sz="0" w:space="0" w:color="auto"/>
        <w:bottom w:val="none" w:sz="0" w:space="0" w:color="auto"/>
        <w:right w:val="none" w:sz="0" w:space="0" w:color="auto"/>
      </w:divBdr>
    </w:div>
    <w:div w:id="1442603003">
      <w:bodyDiv w:val="1"/>
      <w:marLeft w:val="0"/>
      <w:marRight w:val="0"/>
      <w:marTop w:val="0"/>
      <w:marBottom w:val="0"/>
      <w:divBdr>
        <w:top w:val="none" w:sz="0" w:space="0" w:color="auto"/>
        <w:left w:val="none" w:sz="0" w:space="0" w:color="auto"/>
        <w:bottom w:val="none" w:sz="0" w:space="0" w:color="auto"/>
        <w:right w:val="none" w:sz="0" w:space="0" w:color="auto"/>
      </w:divBdr>
    </w:div>
    <w:div w:id="1442722359">
      <w:bodyDiv w:val="1"/>
      <w:marLeft w:val="0"/>
      <w:marRight w:val="0"/>
      <w:marTop w:val="0"/>
      <w:marBottom w:val="0"/>
      <w:divBdr>
        <w:top w:val="none" w:sz="0" w:space="0" w:color="auto"/>
        <w:left w:val="none" w:sz="0" w:space="0" w:color="auto"/>
        <w:bottom w:val="none" w:sz="0" w:space="0" w:color="auto"/>
        <w:right w:val="none" w:sz="0" w:space="0" w:color="auto"/>
      </w:divBdr>
    </w:div>
    <w:div w:id="1442724770">
      <w:bodyDiv w:val="1"/>
      <w:marLeft w:val="0"/>
      <w:marRight w:val="0"/>
      <w:marTop w:val="0"/>
      <w:marBottom w:val="0"/>
      <w:divBdr>
        <w:top w:val="none" w:sz="0" w:space="0" w:color="auto"/>
        <w:left w:val="none" w:sz="0" w:space="0" w:color="auto"/>
        <w:bottom w:val="none" w:sz="0" w:space="0" w:color="auto"/>
        <w:right w:val="none" w:sz="0" w:space="0" w:color="auto"/>
      </w:divBdr>
    </w:div>
    <w:div w:id="1442726225">
      <w:bodyDiv w:val="1"/>
      <w:marLeft w:val="0"/>
      <w:marRight w:val="0"/>
      <w:marTop w:val="0"/>
      <w:marBottom w:val="0"/>
      <w:divBdr>
        <w:top w:val="none" w:sz="0" w:space="0" w:color="auto"/>
        <w:left w:val="none" w:sz="0" w:space="0" w:color="auto"/>
        <w:bottom w:val="none" w:sz="0" w:space="0" w:color="auto"/>
        <w:right w:val="none" w:sz="0" w:space="0" w:color="auto"/>
      </w:divBdr>
    </w:div>
    <w:div w:id="1442727098">
      <w:bodyDiv w:val="1"/>
      <w:marLeft w:val="0"/>
      <w:marRight w:val="0"/>
      <w:marTop w:val="0"/>
      <w:marBottom w:val="0"/>
      <w:divBdr>
        <w:top w:val="none" w:sz="0" w:space="0" w:color="auto"/>
        <w:left w:val="none" w:sz="0" w:space="0" w:color="auto"/>
        <w:bottom w:val="none" w:sz="0" w:space="0" w:color="auto"/>
        <w:right w:val="none" w:sz="0" w:space="0" w:color="auto"/>
      </w:divBdr>
    </w:div>
    <w:div w:id="1442798033">
      <w:bodyDiv w:val="1"/>
      <w:marLeft w:val="0"/>
      <w:marRight w:val="0"/>
      <w:marTop w:val="0"/>
      <w:marBottom w:val="0"/>
      <w:divBdr>
        <w:top w:val="none" w:sz="0" w:space="0" w:color="auto"/>
        <w:left w:val="none" w:sz="0" w:space="0" w:color="auto"/>
        <w:bottom w:val="none" w:sz="0" w:space="0" w:color="auto"/>
        <w:right w:val="none" w:sz="0" w:space="0" w:color="auto"/>
      </w:divBdr>
    </w:div>
    <w:div w:id="1442916151">
      <w:bodyDiv w:val="1"/>
      <w:marLeft w:val="0"/>
      <w:marRight w:val="0"/>
      <w:marTop w:val="0"/>
      <w:marBottom w:val="0"/>
      <w:divBdr>
        <w:top w:val="none" w:sz="0" w:space="0" w:color="auto"/>
        <w:left w:val="none" w:sz="0" w:space="0" w:color="auto"/>
        <w:bottom w:val="none" w:sz="0" w:space="0" w:color="auto"/>
        <w:right w:val="none" w:sz="0" w:space="0" w:color="auto"/>
      </w:divBdr>
    </w:div>
    <w:div w:id="1442921353">
      <w:bodyDiv w:val="1"/>
      <w:marLeft w:val="0"/>
      <w:marRight w:val="0"/>
      <w:marTop w:val="0"/>
      <w:marBottom w:val="0"/>
      <w:divBdr>
        <w:top w:val="none" w:sz="0" w:space="0" w:color="auto"/>
        <w:left w:val="none" w:sz="0" w:space="0" w:color="auto"/>
        <w:bottom w:val="none" w:sz="0" w:space="0" w:color="auto"/>
        <w:right w:val="none" w:sz="0" w:space="0" w:color="auto"/>
      </w:divBdr>
    </w:div>
    <w:div w:id="1442994507">
      <w:bodyDiv w:val="1"/>
      <w:marLeft w:val="0"/>
      <w:marRight w:val="0"/>
      <w:marTop w:val="0"/>
      <w:marBottom w:val="0"/>
      <w:divBdr>
        <w:top w:val="none" w:sz="0" w:space="0" w:color="auto"/>
        <w:left w:val="none" w:sz="0" w:space="0" w:color="auto"/>
        <w:bottom w:val="none" w:sz="0" w:space="0" w:color="auto"/>
        <w:right w:val="none" w:sz="0" w:space="0" w:color="auto"/>
      </w:divBdr>
    </w:div>
    <w:div w:id="1442997139">
      <w:bodyDiv w:val="1"/>
      <w:marLeft w:val="0"/>
      <w:marRight w:val="0"/>
      <w:marTop w:val="0"/>
      <w:marBottom w:val="0"/>
      <w:divBdr>
        <w:top w:val="none" w:sz="0" w:space="0" w:color="auto"/>
        <w:left w:val="none" w:sz="0" w:space="0" w:color="auto"/>
        <w:bottom w:val="none" w:sz="0" w:space="0" w:color="auto"/>
        <w:right w:val="none" w:sz="0" w:space="0" w:color="auto"/>
      </w:divBdr>
    </w:div>
    <w:div w:id="1443107419">
      <w:bodyDiv w:val="1"/>
      <w:marLeft w:val="0"/>
      <w:marRight w:val="0"/>
      <w:marTop w:val="0"/>
      <w:marBottom w:val="0"/>
      <w:divBdr>
        <w:top w:val="none" w:sz="0" w:space="0" w:color="auto"/>
        <w:left w:val="none" w:sz="0" w:space="0" w:color="auto"/>
        <w:bottom w:val="none" w:sz="0" w:space="0" w:color="auto"/>
        <w:right w:val="none" w:sz="0" w:space="0" w:color="auto"/>
      </w:divBdr>
    </w:div>
    <w:div w:id="1443299985">
      <w:bodyDiv w:val="1"/>
      <w:marLeft w:val="0"/>
      <w:marRight w:val="0"/>
      <w:marTop w:val="0"/>
      <w:marBottom w:val="0"/>
      <w:divBdr>
        <w:top w:val="none" w:sz="0" w:space="0" w:color="auto"/>
        <w:left w:val="none" w:sz="0" w:space="0" w:color="auto"/>
        <w:bottom w:val="none" w:sz="0" w:space="0" w:color="auto"/>
        <w:right w:val="none" w:sz="0" w:space="0" w:color="auto"/>
      </w:divBdr>
    </w:div>
    <w:div w:id="1443302261">
      <w:bodyDiv w:val="1"/>
      <w:marLeft w:val="0"/>
      <w:marRight w:val="0"/>
      <w:marTop w:val="0"/>
      <w:marBottom w:val="0"/>
      <w:divBdr>
        <w:top w:val="none" w:sz="0" w:space="0" w:color="auto"/>
        <w:left w:val="none" w:sz="0" w:space="0" w:color="auto"/>
        <w:bottom w:val="none" w:sz="0" w:space="0" w:color="auto"/>
        <w:right w:val="none" w:sz="0" w:space="0" w:color="auto"/>
      </w:divBdr>
    </w:div>
    <w:div w:id="1443306444">
      <w:bodyDiv w:val="1"/>
      <w:marLeft w:val="0"/>
      <w:marRight w:val="0"/>
      <w:marTop w:val="0"/>
      <w:marBottom w:val="0"/>
      <w:divBdr>
        <w:top w:val="none" w:sz="0" w:space="0" w:color="auto"/>
        <w:left w:val="none" w:sz="0" w:space="0" w:color="auto"/>
        <w:bottom w:val="none" w:sz="0" w:space="0" w:color="auto"/>
        <w:right w:val="none" w:sz="0" w:space="0" w:color="auto"/>
      </w:divBdr>
    </w:div>
    <w:div w:id="1443306883">
      <w:bodyDiv w:val="1"/>
      <w:marLeft w:val="0"/>
      <w:marRight w:val="0"/>
      <w:marTop w:val="0"/>
      <w:marBottom w:val="0"/>
      <w:divBdr>
        <w:top w:val="none" w:sz="0" w:space="0" w:color="auto"/>
        <w:left w:val="none" w:sz="0" w:space="0" w:color="auto"/>
        <w:bottom w:val="none" w:sz="0" w:space="0" w:color="auto"/>
        <w:right w:val="none" w:sz="0" w:space="0" w:color="auto"/>
      </w:divBdr>
    </w:div>
    <w:div w:id="1443574926">
      <w:bodyDiv w:val="1"/>
      <w:marLeft w:val="0"/>
      <w:marRight w:val="0"/>
      <w:marTop w:val="0"/>
      <w:marBottom w:val="0"/>
      <w:divBdr>
        <w:top w:val="none" w:sz="0" w:space="0" w:color="auto"/>
        <w:left w:val="none" w:sz="0" w:space="0" w:color="auto"/>
        <w:bottom w:val="none" w:sz="0" w:space="0" w:color="auto"/>
        <w:right w:val="none" w:sz="0" w:space="0" w:color="auto"/>
      </w:divBdr>
    </w:div>
    <w:div w:id="1443575083">
      <w:bodyDiv w:val="1"/>
      <w:marLeft w:val="0"/>
      <w:marRight w:val="0"/>
      <w:marTop w:val="0"/>
      <w:marBottom w:val="0"/>
      <w:divBdr>
        <w:top w:val="none" w:sz="0" w:space="0" w:color="auto"/>
        <w:left w:val="none" w:sz="0" w:space="0" w:color="auto"/>
        <w:bottom w:val="none" w:sz="0" w:space="0" w:color="auto"/>
        <w:right w:val="none" w:sz="0" w:space="0" w:color="auto"/>
      </w:divBdr>
    </w:div>
    <w:div w:id="1443720700">
      <w:bodyDiv w:val="1"/>
      <w:marLeft w:val="0"/>
      <w:marRight w:val="0"/>
      <w:marTop w:val="0"/>
      <w:marBottom w:val="0"/>
      <w:divBdr>
        <w:top w:val="none" w:sz="0" w:space="0" w:color="auto"/>
        <w:left w:val="none" w:sz="0" w:space="0" w:color="auto"/>
        <w:bottom w:val="none" w:sz="0" w:space="0" w:color="auto"/>
        <w:right w:val="none" w:sz="0" w:space="0" w:color="auto"/>
      </w:divBdr>
    </w:div>
    <w:div w:id="1444038604">
      <w:bodyDiv w:val="1"/>
      <w:marLeft w:val="0"/>
      <w:marRight w:val="0"/>
      <w:marTop w:val="0"/>
      <w:marBottom w:val="0"/>
      <w:divBdr>
        <w:top w:val="none" w:sz="0" w:space="0" w:color="auto"/>
        <w:left w:val="none" w:sz="0" w:space="0" w:color="auto"/>
        <w:bottom w:val="none" w:sz="0" w:space="0" w:color="auto"/>
        <w:right w:val="none" w:sz="0" w:space="0" w:color="auto"/>
      </w:divBdr>
    </w:div>
    <w:div w:id="1444114316">
      <w:bodyDiv w:val="1"/>
      <w:marLeft w:val="0"/>
      <w:marRight w:val="0"/>
      <w:marTop w:val="0"/>
      <w:marBottom w:val="0"/>
      <w:divBdr>
        <w:top w:val="none" w:sz="0" w:space="0" w:color="auto"/>
        <w:left w:val="none" w:sz="0" w:space="0" w:color="auto"/>
        <w:bottom w:val="none" w:sz="0" w:space="0" w:color="auto"/>
        <w:right w:val="none" w:sz="0" w:space="0" w:color="auto"/>
      </w:divBdr>
    </w:div>
    <w:div w:id="1444180930">
      <w:bodyDiv w:val="1"/>
      <w:marLeft w:val="0"/>
      <w:marRight w:val="0"/>
      <w:marTop w:val="0"/>
      <w:marBottom w:val="0"/>
      <w:divBdr>
        <w:top w:val="none" w:sz="0" w:space="0" w:color="auto"/>
        <w:left w:val="none" w:sz="0" w:space="0" w:color="auto"/>
        <w:bottom w:val="none" w:sz="0" w:space="0" w:color="auto"/>
        <w:right w:val="none" w:sz="0" w:space="0" w:color="auto"/>
      </w:divBdr>
    </w:div>
    <w:div w:id="1444305365">
      <w:bodyDiv w:val="1"/>
      <w:marLeft w:val="0"/>
      <w:marRight w:val="0"/>
      <w:marTop w:val="0"/>
      <w:marBottom w:val="0"/>
      <w:divBdr>
        <w:top w:val="none" w:sz="0" w:space="0" w:color="auto"/>
        <w:left w:val="none" w:sz="0" w:space="0" w:color="auto"/>
        <w:bottom w:val="none" w:sz="0" w:space="0" w:color="auto"/>
        <w:right w:val="none" w:sz="0" w:space="0" w:color="auto"/>
      </w:divBdr>
    </w:div>
    <w:div w:id="1444348898">
      <w:bodyDiv w:val="1"/>
      <w:marLeft w:val="0"/>
      <w:marRight w:val="0"/>
      <w:marTop w:val="0"/>
      <w:marBottom w:val="0"/>
      <w:divBdr>
        <w:top w:val="none" w:sz="0" w:space="0" w:color="auto"/>
        <w:left w:val="none" w:sz="0" w:space="0" w:color="auto"/>
        <w:bottom w:val="none" w:sz="0" w:space="0" w:color="auto"/>
        <w:right w:val="none" w:sz="0" w:space="0" w:color="auto"/>
      </w:divBdr>
    </w:div>
    <w:div w:id="1444374838">
      <w:bodyDiv w:val="1"/>
      <w:marLeft w:val="0"/>
      <w:marRight w:val="0"/>
      <w:marTop w:val="0"/>
      <w:marBottom w:val="0"/>
      <w:divBdr>
        <w:top w:val="none" w:sz="0" w:space="0" w:color="auto"/>
        <w:left w:val="none" w:sz="0" w:space="0" w:color="auto"/>
        <w:bottom w:val="none" w:sz="0" w:space="0" w:color="auto"/>
        <w:right w:val="none" w:sz="0" w:space="0" w:color="auto"/>
      </w:divBdr>
    </w:div>
    <w:div w:id="1444379546">
      <w:bodyDiv w:val="1"/>
      <w:marLeft w:val="0"/>
      <w:marRight w:val="0"/>
      <w:marTop w:val="0"/>
      <w:marBottom w:val="0"/>
      <w:divBdr>
        <w:top w:val="none" w:sz="0" w:space="0" w:color="auto"/>
        <w:left w:val="none" w:sz="0" w:space="0" w:color="auto"/>
        <w:bottom w:val="none" w:sz="0" w:space="0" w:color="auto"/>
        <w:right w:val="none" w:sz="0" w:space="0" w:color="auto"/>
      </w:divBdr>
    </w:div>
    <w:div w:id="1444416529">
      <w:bodyDiv w:val="1"/>
      <w:marLeft w:val="0"/>
      <w:marRight w:val="0"/>
      <w:marTop w:val="0"/>
      <w:marBottom w:val="0"/>
      <w:divBdr>
        <w:top w:val="none" w:sz="0" w:space="0" w:color="auto"/>
        <w:left w:val="none" w:sz="0" w:space="0" w:color="auto"/>
        <w:bottom w:val="none" w:sz="0" w:space="0" w:color="auto"/>
        <w:right w:val="none" w:sz="0" w:space="0" w:color="auto"/>
      </w:divBdr>
    </w:div>
    <w:div w:id="1444571214">
      <w:bodyDiv w:val="1"/>
      <w:marLeft w:val="0"/>
      <w:marRight w:val="0"/>
      <w:marTop w:val="0"/>
      <w:marBottom w:val="0"/>
      <w:divBdr>
        <w:top w:val="none" w:sz="0" w:space="0" w:color="auto"/>
        <w:left w:val="none" w:sz="0" w:space="0" w:color="auto"/>
        <w:bottom w:val="none" w:sz="0" w:space="0" w:color="auto"/>
        <w:right w:val="none" w:sz="0" w:space="0" w:color="auto"/>
      </w:divBdr>
    </w:div>
    <w:div w:id="1444576258">
      <w:bodyDiv w:val="1"/>
      <w:marLeft w:val="0"/>
      <w:marRight w:val="0"/>
      <w:marTop w:val="0"/>
      <w:marBottom w:val="0"/>
      <w:divBdr>
        <w:top w:val="none" w:sz="0" w:space="0" w:color="auto"/>
        <w:left w:val="none" w:sz="0" w:space="0" w:color="auto"/>
        <w:bottom w:val="none" w:sz="0" w:space="0" w:color="auto"/>
        <w:right w:val="none" w:sz="0" w:space="0" w:color="auto"/>
      </w:divBdr>
    </w:div>
    <w:div w:id="1444611204">
      <w:bodyDiv w:val="1"/>
      <w:marLeft w:val="0"/>
      <w:marRight w:val="0"/>
      <w:marTop w:val="0"/>
      <w:marBottom w:val="0"/>
      <w:divBdr>
        <w:top w:val="none" w:sz="0" w:space="0" w:color="auto"/>
        <w:left w:val="none" w:sz="0" w:space="0" w:color="auto"/>
        <w:bottom w:val="none" w:sz="0" w:space="0" w:color="auto"/>
        <w:right w:val="none" w:sz="0" w:space="0" w:color="auto"/>
      </w:divBdr>
    </w:div>
    <w:div w:id="1444691017">
      <w:bodyDiv w:val="1"/>
      <w:marLeft w:val="0"/>
      <w:marRight w:val="0"/>
      <w:marTop w:val="0"/>
      <w:marBottom w:val="0"/>
      <w:divBdr>
        <w:top w:val="none" w:sz="0" w:space="0" w:color="auto"/>
        <w:left w:val="none" w:sz="0" w:space="0" w:color="auto"/>
        <w:bottom w:val="none" w:sz="0" w:space="0" w:color="auto"/>
        <w:right w:val="none" w:sz="0" w:space="0" w:color="auto"/>
      </w:divBdr>
    </w:div>
    <w:div w:id="1444691763">
      <w:bodyDiv w:val="1"/>
      <w:marLeft w:val="0"/>
      <w:marRight w:val="0"/>
      <w:marTop w:val="0"/>
      <w:marBottom w:val="0"/>
      <w:divBdr>
        <w:top w:val="none" w:sz="0" w:space="0" w:color="auto"/>
        <w:left w:val="none" w:sz="0" w:space="0" w:color="auto"/>
        <w:bottom w:val="none" w:sz="0" w:space="0" w:color="auto"/>
        <w:right w:val="none" w:sz="0" w:space="0" w:color="auto"/>
      </w:divBdr>
    </w:div>
    <w:div w:id="1444765137">
      <w:bodyDiv w:val="1"/>
      <w:marLeft w:val="0"/>
      <w:marRight w:val="0"/>
      <w:marTop w:val="0"/>
      <w:marBottom w:val="0"/>
      <w:divBdr>
        <w:top w:val="none" w:sz="0" w:space="0" w:color="auto"/>
        <w:left w:val="none" w:sz="0" w:space="0" w:color="auto"/>
        <w:bottom w:val="none" w:sz="0" w:space="0" w:color="auto"/>
        <w:right w:val="none" w:sz="0" w:space="0" w:color="auto"/>
      </w:divBdr>
    </w:div>
    <w:div w:id="1444806676">
      <w:bodyDiv w:val="1"/>
      <w:marLeft w:val="0"/>
      <w:marRight w:val="0"/>
      <w:marTop w:val="0"/>
      <w:marBottom w:val="0"/>
      <w:divBdr>
        <w:top w:val="none" w:sz="0" w:space="0" w:color="auto"/>
        <w:left w:val="none" w:sz="0" w:space="0" w:color="auto"/>
        <w:bottom w:val="none" w:sz="0" w:space="0" w:color="auto"/>
        <w:right w:val="none" w:sz="0" w:space="0" w:color="auto"/>
      </w:divBdr>
    </w:div>
    <w:div w:id="1444807751">
      <w:bodyDiv w:val="1"/>
      <w:marLeft w:val="0"/>
      <w:marRight w:val="0"/>
      <w:marTop w:val="0"/>
      <w:marBottom w:val="0"/>
      <w:divBdr>
        <w:top w:val="none" w:sz="0" w:space="0" w:color="auto"/>
        <w:left w:val="none" w:sz="0" w:space="0" w:color="auto"/>
        <w:bottom w:val="none" w:sz="0" w:space="0" w:color="auto"/>
        <w:right w:val="none" w:sz="0" w:space="0" w:color="auto"/>
      </w:divBdr>
    </w:div>
    <w:div w:id="1444812237">
      <w:bodyDiv w:val="1"/>
      <w:marLeft w:val="0"/>
      <w:marRight w:val="0"/>
      <w:marTop w:val="0"/>
      <w:marBottom w:val="0"/>
      <w:divBdr>
        <w:top w:val="none" w:sz="0" w:space="0" w:color="auto"/>
        <w:left w:val="none" w:sz="0" w:space="0" w:color="auto"/>
        <w:bottom w:val="none" w:sz="0" w:space="0" w:color="auto"/>
        <w:right w:val="none" w:sz="0" w:space="0" w:color="auto"/>
      </w:divBdr>
    </w:div>
    <w:div w:id="1444959685">
      <w:bodyDiv w:val="1"/>
      <w:marLeft w:val="0"/>
      <w:marRight w:val="0"/>
      <w:marTop w:val="0"/>
      <w:marBottom w:val="0"/>
      <w:divBdr>
        <w:top w:val="none" w:sz="0" w:space="0" w:color="auto"/>
        <w:left w:val="none" w:sz="0" w:space="0" w:color="auto"/>
        <w:bottom w:val="none" w:sz="0" w:space="0" w:color="auto"/>
        <w:right w:val="none" w:sz="0" w:space="0" w:color="auto"/>
      </w:divBdr>
    </w:div>
    <w:div w:id="1445005601">
      <w:bodyDiv w:val="1"/>
      <w:marLeft w:val="0"/>
      <w:marRight w:val="0"/>
      <w:marTop w:val="0"/>
      <w:marBottom w:val="0"/>
      <w:divBdr>
        <w:top w:val="none" w:sz="0" w:space="0" w:color="auto"/>
        <w:left w:val="none" w:sz="0" w:space="0" w:color="auto"/>
        <w:bottom w:val="none" w:sz="0" w:space="0" w:color="auto"/>
        <w:right w:val="none" w:sz="0" w:space="0" w:color="auto"/>
      </w:divBdr>
    </w:div>
    <w:div w:id="1445033988">
      <w:bodyDiv w:val="1"/>
      <w:marLeft w:val="0"/>
      <w:marRight w:val="0"/>
      <w:marTop w:val="0"/>
      <w:marBottom w:val="0"/>
      <w:divBdr>
        <w:top w:val="none" w:sz="0" w:space="0" w:color="auto"/>
        <w:left w:val="none" w:sz="0" w:space="0" w:color="auto"/>
        <w:bottom w:val="none" w:sz="0" w:space="0" w:color="auto"/>
        <w:right w:val="none" w:sz="0" w:space="0" w:color="auto"/>
      </w:divBdr>
    </w:div>
    <w:div w:id="1445077326">
      <w:bodyDiv w:val="1"/>
      <w:marLeft w:val="0"/>
      <w:marRight w:val="0"/>
      <w:marTop w:val="0"/>
      <w:marBottom w:val="0"/>
      <w:divBdr>
        <w:top w:val="none" w:sz="0" w:space="0" w:color="auto"/>
        <w:left w:val="none" w:sz="0" w:space="0" w:color="auto"/>
        <w:bottom w:val="none" w:sz="0" w:space="0" w:color="auto"/>
        <w:right w:val="none" w:sz="0" w:space="0" w:color="auto"/>
      </w:divBdr>
    </w:div>
    <w:div w:id="1445080767">
      <w:bodyDiv w:val="1"/>
      <w:marLeft w:val="0"/>
      <w:marRight w:val="0"/>
      <w:marTop w:val="0"/>
      <w:marBottom w:val="0"/>
      <w:divBdr>
        <w:top w:val="none" w:sz="0" w:space="0" w:color="auto"/>
        <w:left w:val="none" w:sz="0" w:space="0" w:color="auto"/>
        <w:bottom w:val="none" w:sz="0" w:space="0" w:color="auto"/>
        <w:right w:val="none" w:sz="0" w:space="0" w:color="auto"/>
      </w:divBdr>
    </w:div>
    <w:div w:id="1445224550">
      <w:bodyDiv w:val="1"/>
      <w:marLeft w:val="0"/>
      <w:marRight w:val="0"/>
      <w:marTop w:val="0"/>
      <w:marBottom w:val="0"/>
      <w:divBdr>
        <w:top w:val="none" w:sz="0" w:space="0" w:color="auto"/>
        <w:left w:val="none" w:sz="0" w:space="0" w:color="auto"/>
        <w:bottom w:val="none" w:sz="0" w:space="0" w:color="auto"/>
        <w:right w:val="none" w:sz="0" w:space="0" w:color="auto"/>
      </w:divBdr>
    </w:div>
    <w:div w:id="1445227114">
      <w:bodyDiv w:val="1"/>
      <w:marLeft w:val="0"/>
      <w:marRight w:val="0"/>
      <w:marTop w:val="0"/>
      <w:marBottom w:val="0"/>
      <w:divBdr>
        <w:top w:val="none" w:sz="0" w:space="0" w:color="auto"/>
        <w:left w:val="none" w:sz="0" w:space="0" w:color="auto"/>
        <w:bottom w:val="none" w:sz="0" w:space="0" w:color="auto"/>
        <w:right w:val="none" w:sz="0" w:space="0" w:color="auto"/>
      </w:divBdr>
    </w:div>
    <w:div w:id="1445229860">
      <w:bodyDiv w:val="1"/>
      <w:marLeft w:val="0"/>
      <w:marRight w:val="0"/>
      <w:marTop w:val="0"/>
      <w:marBottom w:val="0"/>
      <w:divBdr>
        <w:top w:val="none" w:sz="0" w:space="0" w:color="auto"/>
        <w:left w:val="none" w:sz="0" w:space="0" w:color="auto"/>
        <w:bottom w:val="none" w:sz="0" w:space="0" w:color="auto"/>
        <w:right w:val="none" w:sz="0" w:space="0" w:color="auto"/>
      </w:divBdr>
    </w:div>
    <w:div w:id="1445342206">
      <w:bodyDiv w:val="1"/>
      <w:marLeft w:val="0"/>
      <w:marRight w:val="0"/>
      <w:marTop w:val="0"/>
      <w:marBottom w:val="0"/>
      <w:divBdr>
        <w:top w:val="none" w:sz="0" w:space="0" w:color="auto"/>
        <w:left w:val="none" w:sz="0" w:space="0" w:color="auto"/>
        <w:bottom w:val="none" w:sz="0" w:space="0" w:color="auto"/>
        <w:right w:val="none" w:sz="0" w:space="0" w:color="auto"/>
      </w:divBdr>
    </w:div>
    <w:div w:id="1445686942">
      <w:bodyDiv w:val="1"/>
      <w:marLeft w:val="0"/>
      <w:marRight w:val="0"/>
      <w:marTop w:val="0"/>
      <w:marBottom w:val="0"/>
      <w:divBdr>
        <w:top w:val="none" w:sz="0" w:space="0" w:color="auto"/>
        <w:left w:val="none" w:sz="0" w:space="0" w:color="auto"/>
        <w:bottom w:val="none" w:sz="0" w:space="0" w:color="auto"/>
        <w:right w:val="none" w:sz="0" w:space="0" w:color="auto"/>
      </w:divBdr>
    </w:div>
    <w:div w:id="1445689938">
      <w:bodyDiv w:val="1"/>
      <w:marLeft w:val="0"/>
      <w:marRight w:val="0"/>
      <w:marTop w:val="0"/>
      <w:marBottom w:val="0"/>
      <w:divBdr>
        <w:top w:val="none" w:sz="0" w:space="0" w:color="auto"/>
        <w:left w:val="none" w:sz="0" w:space="0" w:color="auto"/>
        <w:bottom w:val="none" w:sz="0" w:space="0" w:color="auto"/>
        <w:right w:val="none" w:sz="0" w:space="0" w:color="auto"/>
      </w:divBdr>
    </w:div>
    <w:div w:id="1445733129">
      <w:bodyDiv w:val="1"/>
      <w:marLeft w:val="0"/>
      <w:marRight w:val="0"/>
      <w:marTop w:val="0"/>
      <w:marBottom w:val="0"/>
      <w:divBdr>
        <w:top w:val="none" w:sz="0" w:space="0" w:color="auto"/>
        <w:left w:val="none" w:sz="0" w:space="0" w:color="auto"/>
        <w:bottom w:val="none" w:sz="0" w:space="0" w:color="auto"/>
        <w:right w:val="none" w:sz="0" w:space="0" w:color="auto"/>
      </w:divBdr>
    </w:div>
    <w:div w:id="1445998864">
      <w:bodyDiv w:val="1"/>
      <w:marLeft w:val="0"/>
      <w:marRight w:val="0"/>
      <w:marTop w:val="0"/>
      <w:marBottom w:val="0"/>
      <w:divBdr>
        <w:top w:val="none" w:sz="0" w:space="0" w:color="auto"/>
        <w:left w:val="none" w:sz="0" w:space="0" w:color="auto"/>
        <w:bottom w:val="none" w:sz="0" w:space="0" w:color="auto"/>
        <w:right w:val="none" w:sz="0" w:space="0" w:color="auto"/>
      </w:divBdr>
    </w:div>
    <w:div w:id="1446001611">
      <w:bodyDiv w:val="1"/>
      <w:marLeft w:val="0"/>
      <w:marRight w:val="0"/>
      <w:marTop w:val="0"/>
      <w:marBottom w:val="0"/>
      <w:divBdr>
        <w:top w:val="none" w:sz="0" w:space="0" w:color="auto"/>
        <w:left w:val="none" w:sz="0" w:space="0" w:color="auto"/>
        <w:bottom w:val="none" w:sz="0" w:space="0" w:color="auto"/>
        <w:right w:val="none" w:sz="0" w:space="0" w:color="auto"/>
      </w:divBdr>
    </w:div>
    <w:div w:id="1446198284">
      <w:bodyDiv w:val="1"/>
      <w:marLeft w:val="0"/>
      <w:marRight w:val="0"/>
      <w:marTop w:val="0"/>
      <w:marBottom w:val="0"/>
      <w:divBdr>
        <w:top w:val="none" w:sz="0" w:space="0" w:color="auto"/>
        <w:left w:val="none" w:sz="0" w:space="0" w:color="auto"/>
        <w:bottom w:val="none" w:sz="0" w:space="0" w:color="auto"/>
        <w:right w:val="none" w:sz="0" w:space="0" w:color="auto"/>
      </w:divBdr>
    </w:div>
    <w:div w:id="1446271384">
      <w:bodyDiv w:val="1"/>
      <w:marLeft w:val="0"/>
      <w:marRight w:val="0"/>
      <w:marTop w:val="0"/>
      <w:marBottom w:val="0"/>
      <w:divBdr>
        <w:top w:val="none" w:sz="0" w:space="0" w:color="auto"/>
        <w:left w:val="none" w:sz="0" w:space="0" w:color="auto"/>
        <w:bottom w:val="none" w:sz="0" w:space="0" w:color="auto"/>
        <w:right w:val="none" w:sz="0" w:space="0" w:color="auto"/>
      </w:divBdr>
    </w:div>
    <w:div w:id="1446344063">
      <w:bodyDiv w:val="1"/>
      <w:marLeft w:val="0"/>
      <w:marRight w:val="0"/>
      <w:marTop w:val="0"/>
      <w:marBottom w:val="0"/>
      <w:divBdr>
        <w:top w:val="none" w:sz="0" w:space="0" w:color="auto"/>
        <w:left w:val="none" w:sz="0" w:space="0" w:color="auto"/>
        <w:bottom w:val="none" w:sz="0" w:space="0" w:color="auto"/>
        <w:right w:val="none" w:sz="0" w:space="0" w:color="auto"/>
      </w:divBdr>
    </w:div>
    <w:div w:id="1446346400">
      <w:bodyDiv w:val="1"/>
      <w:marLeft w:val="0"/>
      <w:marRight w:val="0"/>
      <w:marTop w:val="0"/>
      <w:marBottom w:val="0"/>
      <w:divBdr>
        <w:top w:val="none" w:sz="0" w:space="0" w:color="auto"/>
        <w:left w:val="none" w:sz="0" w:space="0" w:color="auto"/>
        <w:bottom w:val="none" w:sz="0" w:space="0" w:color="auto"/>
        <w:right w:val="none" w:sz="0" w:space="0" w:color="auto"/>
      </w:divBdr>
    </w:div>
    <w:div w:id="1446608824">
      <w:bodyDiv w:val="1"/>
      <w:marLeft w:val="0"/>
      <w:marRight w:val="0"/>
      <w:marTop w:val="0"/>
      <w:marBottom w:val="0"/>
      <w:divBdr>
        <w:top w:val="none" w:sz="0" w:space="0" w:color="auto"/>
        <w:left w:val="none" w:sz="0" w:space="0" w:color="auto"/>
        <w:bottom w:val="none" w:sz="0" w:space="0" w:color="auto"/>
        <w:right w:val="none" w:sz="0" w:space="0" w:color="auto"/>
      </w:divBdr>
    </w:div>
    <w:div w:id="1446608828">
      <w:bodyDiv w:val="1"/>
      <w:marLeft w:val="0"/>
      <w:marRight w:val="0"/>
      <w:marTop w:val="0"/>
      <w:marBottom w:val="0"/>
      <w:divBdr>
        <w:top w:val="none" w:sz="0" w:space="0" w:color="auto"/>
        <w:left w:val="none" w:sz="0" w:space="0" w:color="auto"/>
        <w:bottom w:val="none" w:sz="0" w:space="0" w:color="auto"/>
        <w:right w:val="none" w:sz="0" w:space="0" w:color="auto"/>
      </w:divBdr>
    </w:div>
    <w:div w:id="1446651754">
      <w:bodyDiv w:val="1"/>
      <w:marLeft w:val="0"/>
      <w:marRight w:val="0"/>
      <w:marTop w:val="0"/>
      <w:marBottom w:val="0"/>
      <w:divBdr>
        <w:top w:val="none" w:sz="0" w:space="0" w:color="auto"/>
        <w:left w:val="none" w:sz="0" w:space="0" w:color="auto"/>
        <w:bottom w:val="none" w:sz="0" w:space="0" w:color="auto"/>
        <w:right w:val="none" w:sz="0" w:space="0" w:color="auto"/>
      </w:divBdr>
    </w:div>
    <w:div w:id="1446653572">
      <w:bodyDiv w:val="1"/>
      <w:marLeft w:val="0"/>
      <w:marRight w:val="0"/>
      <w:marTop w:val="0"/>
      <w:marBottom w:val="0"/>
      <w:divBdr>
        <w:top w:val="none" w:sz="0" w:space="0" w:color="auto"/>
        <w:left w:val="none" w:sz="0" w:space="0" w:color="auto"/>
        <w:bottom w:val="none" w:sz="0" w:space="0" w:color="auto"/>
        <w:right w:val="none" w:sz="0" w:space="0" w:color="auto"/>
      </w:divBdr>
    </w:div>
    <w:div w:id="1446730886">
      <w:bodyDiv w:val="1"/>
      <w:marLeft w:val="0"/>
      <w:marRight w:val="0"/>
      <w:marTop w:val="0"/>
      <w:marBottom w:val="0"/>
      <w:divBdr>
        <w:top w:val="none" w:sz="0" w:space="0" w:color="auto"/>
        <w:left w:val="none" w:sz="0" w:space="0" w:color="auto"/>
        <w:bottom w:val="none" w:sz="0" w:space="0" w:color="auto"/>
        <w:right w:val="none" w:sz="0" w:space="0" w:color="auto"/>
      </w:divBdr>
    </w:div>
    <w:div w:id="1446730976">
      <w:bodyDiv w:val="1"/>
      <w:marLeft w:val="0"/>
      <w:marRight w:val="0"/>
      <w:marTop w:val="0"/>
      <w:marBottom w:val="0"/>
      <w:divBdr>
        <w:top w:val="none" w:sz="0" w:space="0" w:color="auto"/>
        <w:left w:val="none" w:sz="0" w:space="0" w:color="auto"/>
        <w:bottom w:val="none" w:sz="0" w:space="0" w:color="auto"/>
        <w:right w:val="none" w:sz="0" w:space="0" w:color="auto"/>
      </w:divBdr>
    </w:div>
    <w:div w:id="1446732313">
      <w:bodyDiv w:val="1"/>
      <w:marLeft w:val="0"/>
      <w:marRight w:val="0"/>
      <w:marTop w:val="0"/>
      <w:marBottom w:val="0"/>
      <w:divBdr>
        <w:top w:val="none" w:sz="0" w:space="0" w:color="auto"/>
        <w:left w:val="none" w:sz="0" w:space="0" w:color="auto"/>
        <w:bottom w:val="none" w:sz="0" w:space="0" w:color="auto"/>
        <w:right w:val="none" w:sz="0" w:space="0" w:color="auto"/>
      </w:divBdr>
    </w:div>
    <w:div w:id="1446847214">
      <w:bodyDiv w:val="1"/>
      <w:marLeft w:val="0"/>
      <w:marRight w:val="0"/>
      <w:marTop w:val="0"/>
      <w:marBottom w:val="0"/>
      <w:divBdr>
        <w:top w:val="none" w:sz="0" w:space="0" w:color="auto"/>
        <w:left w:val="none" w:sz="0" w:space="0" w:color="auto"/>
        <w:bottom w:val="none" w:sz="0" w:space="0" w:color="auto"/>
        <w:right w:val="none" w:sz="0" w:space="0" w:color="auto"/>
      </w:divBdr>
    </w:div>
    <w:div w:id="1447044436">
      <w:bodyDiv w:val="1"/>
      <w:marLeft w:val="0"/>
      <w:marRight w:val="0"/>
      <w:marTop w:val="0"/>
      <w:marBottom w:val="0"/>
      <w:divBdr>
        <w:top w:val="none" w:sz="0" w:space="0" w:color="auto"/>
        <w:left w:val="none" w:sz="0" w:space="0" w:color="auto"/>
        <w:bottom w:val="none" w:sz="0" w:space="0" w:color="auto"/>
        <w:right w:val="none" w:sz="0" w:space="0" w:color="auto"/>
      </w:divBdr>
    </w:div>
    <w:div w:id="1447122560">
      <w:bodyDiv w:val="1"/>
      <w:marLeft w:val="0"/>
      <w:marRight w:val="0"/>
      <w:marTop w:val="0"/>
      <w:marBottom w:val="0"/>
      <w:divBdr>
        <w:top w:val="none" w:sz="0" w:space="0" w:color="auto"/>
        <w:left w:val="none" w:sz="0" w:space="0" w:color="auto"/>
        <w:bottom w:val="none" w:sz="0" w:space="0" w:color="auto"/>
        <w:right w:val="none" w:sz="0" w:space="0" w:color="auto"/>
      </w:divBdr>
    </w:div>
    <w:div w:id="1447238399">
      <w:bodyDiv w:val="1"/>
      <w:marLeft w:val="0"/>
      <w:marRight w:val="0"/>
      <w:marTop w:val="0"/>
      <w:marBottom w:val="0"/>
      <w:divBdr>
        <w:top w:val="none" w:sz="0" w:space="0" w:color="auto"/>
        <w:left w:val="none" w:sz="0" w:space="0" w:color="auto"/>
        <w:bottom w:val="none" w:sz="0" w:space="0" w:color="auto"/>
        <w:right w:val="none" w:sz="0" w:space="0" w:color="auto"/>
      </w:divBdr>
    </w:div>
    <w:div w:id="1447387904">
      <w:bodyDiv w:val="1"/>
      <w:marLeft w:val="0"/>
      <w:marRight w:val="0"/>
      <w:marTop w:val="0"/>
      <w:marBottom w:val="0"/>
      <w:divBdr>
        <w:top w:val="none" w:sz="0" w:space="0" w:color="auto"/>
        <w:left w:val="none" w:sz="0" w:space="0" w:color="auto"/>
        <w:bottom w:val="none" w:sz="0" w:space="0" w:color="auto"/>
        <w:right w:val="none" w:sz="0" w:space="0" w:color="auto"/>
      </w:divBdr>
    </w:div>
    <w:div w:id="1447430374">
      <w:bodyDiv w:val="1"/>
      <w:marLeft w:val="0"/>
      <w:marRight w:val="0"/>
      <w:marTop w:val="0"/>
      <w:marBottom w:val="0"/>
      <w:divBdr>
        <w:top w:val="none" w:sz="0" w:space="0" w:color="auto"/>
        <w:left w:val="none" w:sz="0" w:space="0" w:color="auto"/>
        <w:bottom w:val="none" w:sz="0" w:space="0" w:color="auto"/>
        <w:right w:val="none" w:sz="0" w:space="0" w:color="auto"/>
      </w:divBdr>
    </w:div>
    <w:div w:id="1447432376">
      <w:bodyDiv w:val="1"/>
      <w:marLeft w:val="0"/>
      <w:marRight w:val="0"/>
      <w:marTop w:val="0"/>
      <w:marBottom w:val="0"/>
      <w:divBdr>
        <w:top w:val="none" w:sz="0" w:space="0" w:color="auto"/>
        <w:left w:val="none" w:sz="0" w:space="0" w:color="auto"/>
        <w:bottom w:val="none" w:sz="0" w:space="0" w:color="auto"/>
        <w:right w:val="none" w:sz="0" w:space="0" w:color="auto"/>
      </w:divBdr>
    </w:div>
    <w:div w:id="1447501855">
      <w:bodyDiv w:val="1"/>
      <w:marLeft w:val="0"/>
      <w:marRight w:val="0"/>
      <w:marTop w:val="0"/>
      <w:marBottom w:val="0"/>
      <w:divBdr>
        <w:top w:val="none" w:sz="0" w:space="0" w:color="auto"/>
        <w:left w:val="none" w:sz="0" w:space="0" w:color="auto"/>
        <w:bottom w:val="none" w:sz="0" w:space="0" w:color="auto"/>
        <w:right w:val="none" w:sz="0" w:space="0" w:color="auto"/>
      </w:divBdr>
    </w:div>
    <w:div w:id="1447579196">
      <w:bodyDiv w:val="1"/>
      <w:marLeft w:val="0"/>
      <w:marRight w:val="0"/>
      <w:marTop w:val="0"/>
      <w:marBottom w:val="0"/>
      <w:divBdr>
        <w:top w:val="none" w:sz="0" w:space="0" w:color="auto"/>
        <w:left w:val="none" w:sz="0" w:space="0" w:color="auto"/>
        <w:bottom w:val="none" w:sz="0" w:space="0" w:color="auto"/>
        <w:right w:val="none" w:sz="0" w:space="0" w:color="auto"/>
      </w:divBdr>
    </w:div>
    <w:div w:id="1447770954">
      <w:bodyDiv w:val="1"/>
      <w:marLeft w:val="0"/>
      <w:marRight w:val="0"/>
      <w:marTop w:val="0"/>
      <w:marBottom w:val="0"/>
      <w:divBdr>
        <w:top w:val="none" w:sz="0" w:space="0" w:color="auto"/>
        <w:left w:val="none" w:sz="0" w:space="0" w:color="auto"/>
        <w:bottom w:val="none" w:sz="0" w:space="0" w:color="auto"/>
        <w:right w:val="none" w:sz="0" w:space="0" w:color="auto"/>
      </w:divBdr>
    </w:div>
    <w:div w:id="1447774035">
      <w:bodyDiv w:val="1"/>
      <w:marLeft w:val="0"/>
      <w:marRight w:val="0"/>
      <w:marTop w:val="0"/>
      <w:marBottom w:val="0"/>
      <w:divBdr>
        <w:top w:val="none" w:sz="0" w:space="0" w:color="auto"/>
        <w:left w:val="none" w:sz="0" w:space="0" w:color="auto"/>
        <w:bottom w:val="none" w:sz="0" w:space="0" w:color="auto"/>
        <w:right w:val="none" w:sz="0" w:space="0" w:color="auto"/>
      </w:divBdr>
    </w:div>
    <w:div w:id="1447844159">
      <w:bodyDiv w:val="1"/>
      <w:marLeft w:val="0"/>
      <w:marRight w:val="0"/>
      <w:marTop w:val="0"/>
      <w:marBottom w:val="0"/>
      <w:divBdr>
        <w:top w:val="none" w:sz="0" w:space="0" w:color="auto"/>
        <w:left w:val="none" w:sz="0" w:space="0" w:color="auto"/>
        <w:bottom w:val="none" w:sz="0" w:space="0" w:color="auto"/>
        <w:right w:val="none" w:sz="0" w:space="0" w:color="auto"/>
      </w:divBdr>
    </w:div>
    <w:div w:id="1447848456">
      <w:bodyDiv w:val="1"/>
      <w:marLeft w:val="0"/>
      <w:marRight w:val="0"/>
      <w:marTop w:val="0"/>
      <w:marBottom w:val="0"/>
      <w:divBdr>
        <w:top w:val="none" w:sz="0" w:space="0" w:color="auto"/>
        <w:left w:val="none" w:sz="0" w:space="0" w:color="auto"/>
        <w:bottom w:val="none" w:sz="0" w:space="0" w:color="auto"/>
        <w:right w:val="none" w:sz="0" w:space="0" w:color="auto"/>
      </w:divBdr>
    </w:div>
    <w:div w:id="1447887407">
      <w:bodyDiv w:val="1"/>
      <w:marLeft w:val="0"/>
      <w:marRight w:val="0"/>
      <w:marTop w:val="0"/>
      <w:marBottom w:val="0"/>
      <w:divBdr>
        <w:top w:val="none" w:sz="0" w:space="0" w:color="auto"/>
        <w:left w:val="none" w:sz="0" w:space="0" w:color="auto"/>
        <w:bottom w:val="none" w:sz="0" w:space="0" w:color="auto"/>
        <w:right w:val="none" w:sz="0" w:space="0" w:color="auto"/>
      </w:divBdr>
    </w:div>
    <w:div w:id="1447888040">
      <w:bodyDiv w:val="1"/>
      <w:marLeft w:val="0"/>
      <w:marRight w:val="0"/>
      <w:marTop w:val="0"/>
      <w:marBottom w:val="0"/>
      <w:divBdr>
        <w:top w:val="none" w:sz="0" w:space="0" w:color="auto"/>
        <w:left w:val="none" w:sz="0" w:space="0" w:color="auto"/>
        <w:bottom w:val="none" w:sz="0" w:space="0" w:color="auto"/>
        <w:right w:val="none" w:sz="0" w:space="0" w:color="auto"/>
      </w:divBdr>
    </w:div>
    <w:div w:id="1447890105">
      <w:bodyDiv w:val="1"/>
      <w:marLeft w:val="0"/>
      <w:marRight w:val="0"/>
      <w:marTop w:val="0"/>
      <w:marBottom w:val="0"/>
      <w:divBdr>
        <w:top w:val="none" w:sz="0" w:space="0" w:color="auto"/>
        <w:left w:val="none" w:sz="0" w:space="0" w:color="auto"/>
        <w:bottom w:val="none" w:sz="0" w:space="0" w:color="auto"/>
        <w:right w:val="none" w:sz="0" w:space="0" w:color="auto"/>
      </w:divBdr>
    </w:div>
    <w:div w:id="1447962849">
      <w:bodyDiv w:val="1"/>
      <w:marLeft w:val="0"/>
      <w:marRight w:val="0"/>
      <w:marTop w:val="0"/>
      <w:marBottom w:val="0"/>
      <w:divBdr>
        <w:top w:val="none" w:sz="0" w:space="0" w:color="auto"/>
        <w:left w:val="none" w:sz="0" w:space="0" w:color="auto"/>
        <w:bottom w:val="none" w:sz="0" w:space="0" w:color="auto"/>
        <w:right w:val="none" w:sz="0" w:space="0" w:color="auto"/>
      </w:divBdr>
    </w:div>
    <w:div w:id="1448038802">
      <w:bodyDiv w:val="1"/>
      <w:marLeft w:val="0"/>
      <w:marRight w:val="0"/>
      <w:marTop w:val="0"/>
      <w:marBottom w:val="0"/>
      <w:divBdr>
        <w:top w:val="none" w:sz="0" w:space="0" w:color="auto"/>
        <w:left w:val="none" w:sz="0" w:space="0" w:color="auto"/>
        <w:bottom w:val="none" w:sz="0" w:space="0" w:color="auto"/>
        <w:right w:val="none" w:sz="0" w:space="0" w:color="auto"/>
      </w:divBdr>
    </w:div>
    <w:div w:id="1448161466">
      <w:bodyDiv w:val="1"/>
      <w:marLeft w:val="0"/>
      <w:marRight w:val="0"/>
      <w:marTop w:val="0"/>
      <w:marBottom w:val="0"/>
      <w:divBdr>
        <w:top w:val="none" w:sz="0" w:space="0" w:color="auto"/>
        <w:left w:val="none" w:sz="0" w:space="0" w:color="auto"/>
        <w:bottom w:val="none" w:sz="0" w:space="0" w:color="auto"/>
        <w:right w:val="none" w:sz="0" w:space="0" w:color="auto"/>
      </w:divBdr>
    </w:div>
    <w:div w:id="1448236457">
      <w:bodyDiv w:val="1"/>
      <w:marLeft w:val="0"/>
      <w:marRight w:val="0"/>
      <w:marTop w:val="0"/>
      <w:marBottom w:val="0"/>
      <w:divBdr>
        <w:top w:val="none" w:sz="0" w:space="0" w:color="auto"/>
        <w:left w:val="none" w:sz="0" w:space="0" w:color="auto"/>
        <w:bottom w:val="none" w:sz="0" w:space="0" w:color="auto"/>
        <w:right w:val="none" w:sz="0" w:space="0" w:color="auto"/>
      </w:divBdr>
    </w:div>
    <w:div w:id="1448310123">
      <w:bodyDiv w:val="1"/>
      <w:marLeft w:val="0"/>
      <w:marRight w:val="0"/>
      <w:marTop w:val="0"/>
      <w:marBottom w:val="0"/>
      <w:divBdr>
        <w:top w:val="none" w:sz="0" w:space="0" w:color="auto"/>
        <w:left w:val="none" w:sz="0" w:space="0" w:color="auto"/>
        <w:bottom w:val="none" w:sz="0" w:space="0" w:color="auto"/>
        <w:right w:val="none" w:sz="0" w:space="0" w:color="auto"/>
      </w:divBdr>
    </w:div>
    <w:div w:id="1448356954">
      <w:bodyDiv w:val="1"/>
      <w:marLeft w:val="0"/>
      <w:marRight w:val="0"/>
      <w:marTop w:val="0"/>
      <w:marBottom w:val="0"/>
      <w:divBdr>
        <w:top w:val="none" w:sz="0" w:space="0" w:color="auto"/>
        <w:left w:val="none" w:sz="0" w:space="0" w:color="auto"/>
        <w:bottom w:val="none" w:sz="0" w:space="0" w:color="auto"/>
        <w:right w:val="none" w:sz="0" w:space="0" w:color="auto"/>
      </w:divBdr>
    </w:div>
    <w:div w:id="1448429859">
      <w:bodyDiv w:val="1"/>
      <w:marLeft w:val="0"/>
      <w:marRight w:val="0"/>
      <w:marTop w:val="0"/>
      <w:marBottom w:val="0"/>
      <w:divBdr>
        <w:top w:val="none" w:sz="0" w:space="0" w:color="auto"/>
        <w:left w:val="none" w:sz="0" w:space="0" w:color="auto"/>
        <w:bottom w:val="none" w:sz="0" w:space="0" w:color="auto"/>
        <w:right w:val="none" w:sz="0" w:space="0" w:color="auto"/>
      </w:divBdr>
    </w:div>
    <w:div w:id="1448503311">
      <w:bodyDiv w:val="1"/>
      <w:marLeft w:val="0"/>
      <w:marRight w:val="0"/>
      <w:marTop w:val="0"/>
      <w:marBottom w:val="0"/>
      <w:divBdr>
        <w:top w:val="none" w:sz="0" w:space="0" w:color="auto"/>
        <w:left w:val="none" w:sz="0" w:space="0" w:color="auto"/>
        <w:bottom w:val="none" w:sz="0" w:space="0" w:color="auto"/>
        <w:right w:val="none" w:sz="0" w:space="0" w:color="auto"/>
      </w:divBdr>
    </w:div>
    <w:div w:id="1448619943">
      <w:bodyDiv w:val="1"/>
      <w:marLeft w:val="0"/>
      <w:marRight w:val="0"/>
      <w:marTop w:val="0"/>
      <w:marBottom w:val="0"/>
      <w:divBdr>
        <w:top w:val="none" w:sz="0" w:space="0" w:color="auto"/>
        <w:left w:val="none" w:sz="0" w:space="0" w:color="auto"/>
        <w:bottom w:val="none" w:sz="0" w:space="0" w:color="auto"/>
        <w:right w:val="none" w:sz="0" w:space="0" w:color="auto"/>
      </w:divBdr>
    </w:div>
    <w:div w:id="1448700908">
      <w:bodyDiv w:val="1"/>
      <w:marLeft w:val="0"/>
      <w:marRight w:val="0"/>
      <w:marTop w:val="0"/>
      <w:marBottom w:val="0"/>
      <w:divBdr>
        <w:top w:val="none" w:sz="0" w:space="0" w:color="auto"/>
        <w:left w:val="none" w:sz="0" w:space="0" w:color="auto"/>
        <w:bottom w:val="none" w:sz="0" w:space="0" w:color="auto"/>
        <w:right w:val="none" w:sz="0" w:space="0" w:color="auto"/>
      </w:divBdr>
    </w:div>
    <w:div w:id="1448740919">
      <w:bodyDiv w:val="1"/>
      <w:marLeft w:val="0"/>
      <w:marRight w:val="0"/>
      <w:marTop w:val="0"/>
      <w:marBottom w:val="0"/>
      <w:divBdr>
        <w:top w:val="none" w:sz="0" w:space="0" w:color="auto"/>
        <w:left w:val="none" w:sz="0" w:space="0" w:color="auto"/>
        <w:bottom w:val="none" w:sz="0" w:space="0" w:color="auto"/>
        <w:right w:val="none" w:sz="0" w:space="0" w:color="auto"/>
      </w:divBdr>
    </w:div>
    <w:div w:id="1448767731">
      <w:bodyDiv w:val="1"/>
      <w:marLeft w:val="0"/>
      <w:marRight w:val="0"/>
      <w:marTop w:val="0"/>
      <w:marBottom w:val="0"/>
      <w:divBdr>
        <w:top w:val="none" w:sz="0" w:space="0" w:color="auto"/>
        <w:left w:val="none" w:sz="0" w:space="0" w:color="auto"/>
        <w:bottom w:val="none" w:sz="0" w:space="0" w:color="auto"/>
        <w:right w:val="none" w:sz="0" w:space="0" w:color="auto"/>
      </w:divBdr>
    </w:div>
    <w:div w:id="1448811665">
      <w:bodyDiv w:val="1"/>
      <w:marLeft w:val="0"/>
      <w:marRight w:val="0"/>
      <w:marTop w:val="0"/>
      <w:marBottom w:val="0"/>
      <w:divBdr>
        <w:top w:val="none" w:sz="0" w:space="0" w:color="auto"/>
        <w:left w:val="none" w:sz="0" w:space="0" w:color="auto"/>
        <w:bottom w:val="none" w:sz="0" w:space="0" w:color="auto"/>
        <w:right w:val="none" w:sz="0" w:space="0" w:color="auto"/>
      </w:divBdr>
    </w:div>
    <w:div w:id="1448886837">
      <w:bodyDiv w:val="1"/>
      <w:marLeft w:val="0"/>
      <w:marRight w:val="0"/>
      <w:marTop w:val="0"/>
      <w:marBottom w:val="0"/>
      <w:divBdr>
        <w:top w:val="none" w:sz="0" w:space="0" w:color="auto"/>
        <w:left w:val="none" w:sz="0" w:space="0" w:color="auto"/>
        <w:bottom w:val="none" w:sz="0" w:space="0" w:color="auto"/>
        <w:right w:val="none" w:sz="0" w:space="0" w:color="auto"/>
      </w:divBdr>
    </w:div>
    <w:div w:id="1448890476">
      <w:bodyDiv w:val="1"/>
      <w:marLeft w:val="0"/>
      <w:marRight w:val="0"/>
      <w:marTop w:val="0"/>
      <w:marBottom w:val="0"/>
      <w:divBdr>
        <w:top w:val="none" w:sz="0" w:space="0" w:color="auto"/>
        <w:left w:val="none" w:sz="0" w:space="0" w:color="auto"/>
        <w:bottom w:val="none" w:sz="0" w:space="0" w:color="auto"/>
        <w:right w:val="none" w:sz="0" w:space="0" w:color="auto"/>
      </w:divBdr>
    </w:div>
    <w:div w:id="1448966683">
      <w:bodyDiv w:val="1"/>
      <w:marLeft w:val="0"/>
      <w:marRight w:val="0"/>
      <w:marTop w:val="0"/>
      <w:marBottom w:val="0"/>
      <w:divBdr>
        <w:top w:val="none" w:sz="0" w:space="0" w:color="auto"/>
        <w:left w:val="none" w:sz="0" w:space="0" w:color="auto"/>
        <w:bottom w:val="none" w:sz="0" w:space="0" w:color="auto"/>
        <w:right w:val="none" w:sz="0" w:space="0" w:color="auto"/>
      </w:divBdr>
    </w:div>
    <w:div w:id="1449010153">
      <w:bodyDiv w:val="1"/>
      <w:marLeft w:val="0"/>
      <w:marRight w:val="0"/>
      <w:marTop w:val="0"/>
      <w:marBottom w:val="0"/>
      <w:divBdr>
        <w:top w:val="none" w:sz="0" w:space="0" w:color="auto"/>
        <w:left w:val="none" w:sz="0" w:space="0" w:color="auto"/>
        <w:bottom w:val="none" w:sz="0" w:space="0" w:color="auto"/>
        <w:right w:val="none" w:sz="0" w:space="0" w:color="auto"/>
      </w:divBdr>
    </w:div>
    <w:div w:id="1449011493">
      <w:bodyDiv w:val="1"/>
      <w:marLeft w:val="0"/>
      <w:marRight w:val="0"/>
      <w:marTop w:val="0"/>
      <w:marBottom w:val="0"/>
      <w:divBdr>
        <w:top w:val="none" w:sz="0" w:space="0" w:color="auto"/>
        <w:left w:val="none" w:sz="0" w:space="0" w:color="auto"/>
        <w:bottom w:val="none" w:sz="0" w:space="0" w:color="auto"/>
        <w:right w:val="none" w:sz="0" w:space="0" w:color="auto"/>
      </w:divBdr>
    </w:div>
    <w:div w:id="1449202497">
      <w:bodyDiv w:val="1"/>
      <w:marLeft w:val="0"/>
      <w:marRight w:val="0"/>
      <w:marTop w:val="0"/>
      <w:marBottom w:val="0"/>
      <w:divBdr>
        <w:top w:val="none" w:sz="0" w:space="0" w:color="auto"/>
        <w:left w:val="none" w:sz="0" w:space="0" w:color="auto"/>
        <w:bottom w:val="none" w:sz="0" w:space="0" w:color="auto"/>
        <w:right w:val="none" w:sz="0" w:space="0" w:color="auto"/>
      </w:divBdr>
    </w:div>
    <w:div w:id="1449354489">
      <w:bodyDiv w:val="1"/>
      <w:marLeft w:val="0"/>
      <w:marRight w:val="0"/>
      <w:marTop w:val="0"/>
      <w:marBottom w:val="0"/>
      <w:divBdr>
        <w:top w:val="none" w:sz="0" w:space="0" w:color="auto"/>
        <w:left w:val="none" w:sz="0" w:space="0" w:color="auto"/>
        <w:bottom w:val="none" w:sz="0" w:space="0" w:color="auto"/>
        <w:right w:val="none" w:sz="0" w:space="0" w:color="auto"/>
      </w:divBdr>
    </w:div>
    <w:div w:id="1449355153">
      <w:bodyDiv w:val="1"/>
      <w:marLeft w:val="0"/>
      <w:marRight w:val="0"/>
      <w:marTop w:val="0"/>
      <w:marBottom w:val="0"/>
      <w:divBdr>
        <w:top w:val="none" w:sz="0" w:space="0" w:color="auto"/>
        <w:left w:val="none" w:sz="0" w:space="0" w:color="auto"/>
        <w:bottom w:val="none" w:sz="0" w:space="0" w:color="auto"/>
        <w:right w:val="none" w:sz="0" w:space="0" w:color="auto"/>
      </w:divBdr>
    </w:div>
    <w:div w:id="1449398701">
      <w:bodyDiv w:val="1"/>
      <w:marLeft w:val="0"/>
      <w:marRight w:val="0"/>
      <w:marTop w:val="0"/>
      <w:marBottom w:val="0"/>
      <w:divBdr>
        <w:top w:val="none" w:sz="0" w:space="0" w:color="auto"/>
        <w:left w:val="none" w:sz="0" w:space="0" w:color="auto"/>
        <w:bottom w:val="none" w:sz="0" w:space="0" w:color="auto"/>
        <w:right w:val="none" w:sz="0" w:space="0" w:color="auto"/>
      </w:divBdr>
    </w:div>
    <w:div w:id="1449540796">
      <w:bodyDiv w:val="1"/>
      <w:marLeft w:val="0"/>
      <w:marRight w:val="0"/>
      <w:marTop w:val="0"/>
      <w:marBottom w:val="0"/>
      <w:divBdr>
        <w:top w:val="none" w:sz="0" w:space="0" w:color="auto"/>
        <w:left w:val="none" w:sz="0" w:space="0" w:color="auto"/>
        <w:bottom w:val="none" w:sz="0" w:space="0" w:color="auto"/>
        <w:right w:val="none" w:sz="0" w:space="0" w:color="auto"/>
      </w:divBdr>
    </w:div>
    <w:div w:id="1449542529">
      <w:bodyDiv w:val="1"/>
      <w:marLeft w:val="0"/>
      <w:marRight w:val="0"/>
      <w:marTop w:val="0"/>
      <w:marBottom w:val="0"/>
      <w:divBdr>
        <w:top w:val="none" w:sz="0" w:space="0" w:color="auto"/>
        <w:left w:val="none" w:sz="0" w:space="0" w:color="auto"/>
        <w:bottom w:val="none" w:sz="0" w:space="0" w:color="auto"/>
        <w:right w:val="none" w:sz="0" w:space="0" w:color="auto"/>
      </w:divBdr>
    </w:div>
    <w:div w:id="1449592524">
      <w:bodyDiv w:val="1"/>
      <w:marLeft w:val="0"/>
      <w:marRight w:val="0"/>
      <w:marTop w:val="0"/>
      <w:marBottom w:val="0"/>
      <w:divBdr>
        <w:top w:val="none" w:sz="0" w:space="0" w:color="auto"/>
        <w:left w:val="none" w:sz="0" w:space="0" w:color="auto"/>
        <w:bottom w:val="none" w:sz="0" w:space="0" w:color="auto"/>
        <w:right w:val="none" w:sz="0" w:space="0" w:color="auto"/>
      </w:divBdr>
    </w:div>
    <w:div w:id="1449622400">
      <w:bodyDiv w:val="1"/>
      <w:marLeft w:val="0"/>
      <w:marRight w:val="0"/>
      <w:marTop w:val="0"/>
      <w:marBottom w:val="0"/>
      <w:divBdr>
        <w:top w:val="none" w:sz="0" w:space="0" w:color="auto"/>
        <w:left w:val="none" w:sz="0" w:space="0" w:color="auto"/>
        <w:bottom w:val="none" w:sz="0" w:space="0" w:color="auto"/>
        <w:right w:val="none" w:sz="0" w:space="0" w:color="auto"/>
      </w:divBdr>
    </w:div>
    <w:div w:id="1449736123">
      <w:bodyDiv w:val="1"/>
      <w:marLeft w:val="0"/>
      <w:marRight w:val="0"/>
      <w:marTop w:val="0"/>
      <w:marBottom w:val="0"/>
      <w:divBdr>
        <w:top w:val="none" w:sz="0" w:space="0" w:color="auto"/>
        <w:left w:val="none" w:sz="0" w:space="0" w:color="auto"/>
        <w:bottom w:val="none" w:sz="0" w:space="0" w:color="auto"/>
        <w:right w:val="none" w:sz="0" w:space="0" w:color="auto"/>
      </w:divBdr>
    </w:div>
    <w:div w:id="1449741546">
      <w:bodyDiv w:val="1"/>
      <w:marLeft w:val="0"/>
      <w:marRight w:val="0"/>
      <w:marTop w:val="0"/>
      <w:marBottom w:val="0"/>
      <w:divBdr>
        <w:top w:val="none" w:sz="0" w:space="0" w:color="auto"/>
        <w:left w:val="none" w:sz="0" w:space="0" w:color="auto"/>
        <w:bottom w:val="none" w:sz="0" w:space="0" w:color="auto"/>
        <w:right w:val="none" w:sz="0" w:space="0" w:color="auto"/>
      </w:divBdr>
    </w:div>
    <w:div w:id="1449860216">
      <w:bodyDiv w:val="1"/>
      <w:marLeft w:val="0"/>
      <w:marRight w:val="0"/>
      <w:marTop w:val="0"/>
      <w:marBottom w:val="0"/>
      <w:divBdr>
        <w:top w:val="none" w:sz="0" w:space="0" w:color="auto"/>
        <w:left w:val="none" w:sz="0" w:space="0" w:color="auto"/>
        <w:bottom w:val="none" w:sz="0" w:space="0" w:color="auto"/>
        <w:right w:val="none" w:sz="0" w:space="0" w:color="auto"/>
      </w:divBdr>
    </w:div>
    <w:div w:id="1450050422">
      <w:bodyDiv w:val="1"/>
      <w:marLeft w:val="0"/>
      <w:marRight w:val="0"/>
      <w:marTop w:val="0"/>
      <w:marBottom w:val="0"/>
      <w:divBdr>
        <w:top w:val="none" w:sz="0" w:space="0" w:color="auto"/>
        <w:left w:val="none" w:sz="0" w:space="0" w:color="auto"/>
        <w:bottom w:val="none" w:sz="0" w:space="0" w:color="auto"/>
        <w:right w:val="none" w:sz="0" w:space="0" w:color="auto"/>
      </w:divBdr>
    </w:div>
    <w:div w:id="1450124106">
      <w:bodyDiv w:val="1"/>
      <w:marLeft w:val="0"/>
      <w:marRight w:val="0"/>
      <w:marTop w:val="0"/>
      <w:marBottom w:val="0"/>
      <w:divBdr>
        <w:top w:val="none" w:sz="0" w:space="0" w:color="auto"/>
        <w:left w:val="none" w:sz="0" w:space="0" w:color="auto"/>
        <w:bottom w:val="none" w:sz="0" w:space="0" w:color="auto"/>
        <w:right w:val="none" w:sz="0" w:space="0" w:color="auto"/>
      </w:divBdr>
    </w:div>
    <w:div w:id="1450202197">
      <w:bodyDiv w:val="1"/>
      <w:marLeft w:val="0"/>
      <w:marRight w:val="0"/>
      <w:marTop w:val="0"/>
      <w:marBottom w:val="0"/>
      <w:divBdr>
        <w:top w:val="none" w:sz="0" w:space="0" w:color="auto"/>
        <w:left w:val="none" w:sz="0" w:space="0" w:color="auto"/>
        <w:bottom w:val="none" w:sz="0" w:space="0" w:color="auto"/>
        <w:right w:val="none" w:sz="0" w:space="0" w:color="auto"/>
      </w:divBdr>
    </w:div>
    <w:div w:id="1450584802">
      <w:bodyDiv w:val="1"/>
      <w:marLeft w:val="0"/>
      <w:marRight w:val="0"/>
      <w:marTop w:val="0"/>
      <w:marBottom w:val="0"/>
      <w:divBdr>
        <w:top w:val="none" w:sz="0" w:space="0" w:color="auto"/>
        <w:left w:val="none" w:sz="0" w:space="0" w:color="auto"/>
        <w:bottom w:val="none" w:sz="0" w:space="0" w:color="auto"/>
        <w:right w:val="none" w:sz="0" w:space="0" w:color="auto"/>
      </w:divBdr>
    </w:div>
    <w:div w:id="1450734723">
      <w:bodyDiv w:val="1"/>
      <w:marLeft w:val="0"/>
      <w:marRight w:val="0"/>
      <w:marTop w:val="0"/>
      <w:marBottom w:val="0"/>
      <w:divBdr>
        <w:top w:val="none" w:sz="0" w:space="0" w:color="auto"/>
        <w:left w:val="none" w:sz="0" w:space="0" w:color="auto"/>
        <w:bottom w:val="none" w:sz="0" w:space="0" w:color="auto"/>
        <w:right w:val="none" w:sz="0" w:space="0" w:color="auto"/>
      </w:divBdr>
    </w:div>
    <w:div w:id="1451321421">
      <w:bodyDiv w:val="1"/>
      <w:marLeft w:val="0"/>
      <w:marRight w:val="0"/>
      <w:marTop w:val="0"/>
      <w:marBottom w:val="0"/>
      <w:divBdr>
        <w:top w:val="none" w:sz="0" w:space="0" w:color="auto"/>
        <w:left w:val="none" w:sz="0" w:space="0" w:color="auto"/>
        <w:bottom w:val="none" w:sz="0" w:space="0" w:color="auto"/>
        <w:right w:val="none" w:sz="0" w:space="0" w:color="auto"/>
      </w:divBdr>
    </w:div>
    <w:div w:id="1451321808">
      <w:bodyDiv w:val="1"/>
      <w:marLeft w:val="0"/>
      <w:marRight w:val="0"/>
      <w:marTop w:val="0"/>
      <w:marBottom w:val="0"/>
      <w:divBdr>
        <w:top w:val="none" w:sz="0" w:space="0" w:color="auto"/>
        <w:left w:val="none" w:sz="0" w:space="0" w:color="auto"/>
        <w:bottom w:val="none" w:sz="0" w:space="0" w:color="auto"/>
        <w:right w:val="none" w:sz="0" w:space="0" w:color="auto"/>
      </w:divBdr>
    </w:div>
    <w:div w:id="1451322884">
      <w:bodyDiv w:val="1"/>
      <w:marLeft w:val="0"/>
      <w:marRight w:val="0"/>
      <w:marTop w:val="0"/>
      <w:marBottom w:val="0"/>
      <w:divBdr>
        <w:top w:val="none" w:sz="0" w:space="0" w:color="auto"/>
        <w:left w:val="none" w:sz="0" w:space="0" w:color="auto"/>
        <w:bottom w:val="none" w:sz="0" w:space="0" w:color="auto"/>
        <w:right w:val="none" w:sz="0" w:space="0" w:color="auto"/>
      </w:divBdr>
    </w:div>
    <w:div w:id="1451513088">
      <w:bodyDiv w:val="1"/>
      <w:marLeft w:val="0"/>
      <w:marRight w:val="0"/>
      <w:marTop w:val="0"/>
      <w:marBottom w:val="0"/>
      <w:divBdr>
        <w:top w:val="none" w:sz="0" w:space="0" w:color="auto"/>
        <w:left w:val="none" w:sz="0" w:space="0" w:color="auto"/>
        <w:bottom w:val="none" w:sz="0" w:space="0" w:color="auto"/>
        <w:right w:val="none" w:sz="0" w:space="0" w:color="auto"/>
      </w:divBdr>
    </w:div>
    <w:div w:id="1451587043">
      <w:bodyDiv w:val="1"/>
      <w:marLeft w:val="0"/>
      <w:marRight w:val="0"/>
      <w:marTop w:val="0"/>
      <w:marBottom w:val="0"/>
      <w:divBdr>
        <w:top w:val="none" w:sz="0" w:space="0" w:color="auto"/>
        <w:left w:val="none" w:sz="0" w:space="0" w:color="auto"/>
        <w:bottom w:val="none" w:sz="0" w:space="0" w:color="auto"/>
        <w:right w:val="none" w:sz="0" w:space="0" w:color="auto"/>
      </w:divBdr>
    </w:div>
    <w:div w:id="1451628602">
      <w:bodyDiv w:val="1"/>
      <w:marLeft w:val="0"/>
      <w:marRight w:val="0"/>
      <w:marTop w:val="0"/>
      <w:marBottom w:val="0"/>
      <w:divBdr>
        <w:top w:val="none" w:sz="0" w:space="0" w:color="auto"/>
        <w:left w:val="none" w:sz="0" w:space="0" w:color="auto"/>
        <w:bottom w:val="none" w:sz="0" w:space="0" w:color="auto"/>
        <w:right w:val="none" w:sz="0" w:space="0" w:color="auto"/>
      </w:divBdr>
    </w:div>
    <w:div w:id="1452166693">
      <w:bodyDiv w:val="1"/>
      <w:marLeft w:val="0"/>
      <w:marRight w:val="0"/>
      <w:marTop w:val="0"/>
      <w:marBottom w:val="0"/>
      <w:divBdr>
        <w:top w:val="none" w:sz="0" w:space="0" w:color="auto"/>
        <w:left w:val="none" w:sz="0" w:space="0" w:color="auto"/>
        <w:bottom w:val="none" w:sz="0" w:space="0" w:color="auto"/>
        <w:right w:val="none" w:sz="0" w:space="0" w:color="auto"/>
      </w:divBdr>
    </w:div>
    <w:div w:id="1452243889">
      <w:bodyDiv w:val="1"/>
      <w:marLeft w:val="0"/>
      <w:marRight w:val="0"/>
      <w:marTop w:val="0"/>
      <w:marBottom w:val="0"/>
      <w:divBdr>
        <w:top w:val="none" w:sz="0" w:space="0" w:color="auto"/>
        <w:left w:val="none" w:sz="0" w:space="0" w:color="auto"/>
        <w:bottom w:val="none" w:sz="0" w:space="0" w:color="auto"/>
        <w:right w:val="none" w:sz="0" w:space="0" w:color="auto"/>
      </w:divBdr>
    </w:div>
    <w:div w:id="1452280008">
      <w:bodyDiv w:val="1"/>
      <w:marLeft w:val="0"/>
      <w:marRight w:val="0"/>
      <w:marTop w:val="0"/>
      <w:marBottom w:val="0"/>
      <w:divBdr>
        <w:top w:val="none" w:sz="0" w:space="0" w:color="auto"/>
        <w:left w:val="none" w:sz="0" w:space="0" w:color="auto"/>
        <w:bottom w:val="none" w:sz="0" w:space="0" w:color="auto"/>
        <w:right w:val="none" w:sz="0" w:space="0" w:color="auto"/>
      </w:divBdr>
    </w:div>
    <w:div w:id="1452283838">
      <w:bodyDiv w:val="1"/>
      <w:marLeft w:val="0"/>
      <w:marRight w:val="0"/>
      <w:marTop w:val="0"/>
      <w:marBottom w:val="0"/>
      <w:divBdr>
        <w:top w:val="none" w:sz="0" w:space="0" w:color="auto"/>
        <w:left w:val="none" w:sz="0" w:space="0" w:color="auto"/>
        <w:bottom w:val="none" w:sz="0" w:space="0" w:color="auto"/>
        <w:right w:val="none" w:sz="0" w:space="0" w:color="auto"/>
      </w:divBdr>
    </w:div>
    <w:div w:id="1452355683">
      <w:bodyDiv w:val="1"/>
      <w:marLeft w:val="0"/>
      <w:marRight w:val="0"/>
      <w:marTop w:val="0"/>
      <w:marBottom w:val="0"/>
      <w:divBdr>
        <w:top w:val="none" w:sz="0" w:space="0" w:color="auto"/>
        <w:left w:val="none" w:sz="0" w:space="0" w:color="auto"/>
        <w:bottom w:val="none" w:sz="0" w:space="0" w:color="auto"/>
        <w:right w:val="none" w:sz="0" w:space="0" w:color="auto"/>
      </w:divBdr>
    </w:div>
    <w:div w:id="1452431902">
      <w:bodyDiv w:val="1"/>
      <w:marLeft w:val="0"/>
      <w:marRight w:val="0"/>
      <w:marTop w:val="0"/>
      <w:marBottom w:val="0"/>
      <w:divBdr>
        <w:top w:val="none" w:sz="0" w:space="0" w:color="auto"/>
        <w:left w:val="none" w:sz="0" w:space="0" w:color="auto"/>
        <w:bottom w:val="none" w:sz="0" w:space="0" w:color="auto"/>
        <w:right w:val="none" w:sz="0" w:space="0" w:color="auto"/>
      </w:divBdr>
    </w:div>
    <w:div w:id="1452482175">
      <w:bodyDiv w:val="1"/>
      <w:marLeft w:val="0"/>
      <w:marRight w:val="0"/>
      <w:marTop w:val="0"/>
      <w:marBottom w:val="0"/>
      <w:divBdr>
        <w:top w:val="none" w:sz="0" w:space="0" w:color="auto"/>
        <w:left w:val="none" w:sz="0" w:space="0" w:color="auto"/>
        <w:bottom w:val="none" w:sz="0" w:space="0" w:color="auto"/>
        <w:right w:val="none" w:sz="0" w:space="0" w:color="auto"/>
      </w:divBdr>
    </w:div>
    <w:div w:id="1452551566">
      <w:bodyDiv w:val="1"/>
      <w:marLeft w:val="0"/>
      <w:marRight w:val="0"/>
      <w:marTop w:val="0"/>
      <w:marBottom w:val="0"/>
      <w:divBdr>
        <w:top w:val="none" w:sz="0" w:space="0" w:color="auto"/>
        <w:left w:val="none" w:sz="0" w:space="0" w:color="auto"/>
        <w:bottom w:val="none" w:sz="0" w:space="0" w:color="auto"/>
        <w:right w:val="none" w:sz="0" w:space="0" w:color="auto"/>
      </w:divBdr>
    </w:div>
    <w:div w:id="1452558001">
      <w:bodyDiv w:val="1"/>
      <w:marLeft w:val="0"/>
      <w:marRight w:val="0"/>
      <w:marTop w:val="0"/>
      <w:marBottom w:val="0"/>
      <w:divBdr>
        <w:top w:val="none" w:sz="0" w:space="0" w:color="auto"/>
        <w:left w:val="none" w:sz="0" w:space="0" w:color="auto"/>
        <w:bottom w:val="none" w:sz="0" w:space="0" w:color="auto"/>
        <w:right w:val="none" w:sz="0" w:space="0" w:color="auto"/>
      </w:divBdr>
    </w:div>
    <w:div w:id="1452703456">
      <w:bodyDiv w:val="1"/>
      <w:marLeft w:val="0"/>
      <w:marRight w:val="0"/>
      <w:marTop w:val="0"/>
      <w:marBottom w:val="0"/>
      <w:divBdr>
        <w:top w:val="none" w:sz="0" w:space="0" w:color="auto"/>
        <w:left w:val="none" w:sz="0" w:space="0" w:color="auto"/>
        <w:bottom w:val="none" w:sz="0" w:space="0" w:color="auto"/>
        <w:right w:val="none" w:sz="0" w:space="0" w:color="auto"/>
      </w:divBdr>
    </w:div>
    <w:div w:id="1452746922">
      <w:bodyDiv w:val="1"/>
      <w:marLeft w:val="0"/>
      <w:marRight w:val="0"/>
      <w:marTop w:val="0"/>
      <w:marBottom w:val="0"/>
      <w:divBdr>
        <w:top w:val="none" w:sz="0" w:space="0" w:color="auto"/>
        <w:left w:val="none" w:sz="0" w:space="0" w:color="auto"/>
        <w:bottom w:val="none" w:sz="0" w:space="0" w:color="auto"/>
        <w:right w:val="none" w:sz="0" w:space="0" w:color="auto"/>
      </w:divBdr>
    </w:div>
    <w:div w:id="1452820364">
      <w:bodyDiv w:val="1"/>
      <w:marLeft w:val="0"/>
      <w:marRight w:val="0"/>
      <w:marTop w:val="0"/>
      <w:marBottom w:val="0"/>
      <w:divBdr>
        <w:top w:val="none" w:sz="0" w:space="0" w:color="auto"/>
        <w:left w:val="none" w:sz="0" w:space="0" w:color="auto"/>
        <w:bottom w:val="none" w:sz="0" w:space="0" w:color="auto"/>
        <w:right w:val="none" w:sz="0" w:space="0" w:color="auto"/>
      </w:divBdr>
    </w:div>
    <w:div w:id="1452822020">
      <w:bodyDiv w:val="1"/>
      <w:marLeft w:val="0"/>
      <w:marRight w:val="0"/>
      <w:marTop w:val="0"/>
      <w:marBottom w:val="0"/>
      <w:divBdr>
        <w:top w:val="none" w:sz="0" w:space="0" w:color="auto"/>
        <w:left w:val="none" w:sz="0" w:space="0" w:color="auto"/>
        <w:bottom w:val="none" w:sz="0" w:space="0" w:color="auto"/>
        <w:right w:val="none" w:sz="0" w:space="0" w:color="auto"/>
      </w:divBdr>
    </w:div>
    <w:div w:id="1452823360">
      <w:bodyDiv w:val="1"/>
      <w:marLeft w:val="0"/>
      <w:marRight w:val="0"/>
      <w:marTop w:val="0"/>
      <w:marBottom w:val="0"/>
      <w:divBdr>
        <w:top w:val="none" w:sz="0" w:space="0" w:color="auto"/>
        <w:left w:val="none" w:sz="0" w:space="0" w:color="auto"/>
        <w:bottom w:val="none" w:sz="0" w:space="0" w:color="auto"/>
        <w:right w:val="none" w:sz="0" w:space="0" w:color="auto"/>
      </w:divBdr>
    </w:div>
    <w:div w:id="1452896477">
      <w:bodyDiv w:val="1"/>
      <w:marLeft w:val="0"/>
      <w:marRight w:val="0"/>
      <w:marTop w:val="0"/>
      <w:marBottom w:val="0"/>
      <w:divBdr>
        <w:top w:val="none" w:sz="0" w:space="0" w:color="auto"/>
        <w:left w:val="none" w:sz="0" w:space="0" w:color="auto"/>
        <w:bottom w:val="none" w:sz="0" w:space="0" w:color="auto"/>
        <w:right w:val="none" w:sz="0" w:space="0" w:color="auto"/>
      </w:divBdr>
    </w:div>
    <w:div w:id="1452937362">
      <w:bodyDiv w:val="1"/>
      <w:marLeft w:val="0"/>
      <w:marRight w:val="0"/>
      <w:marTop w:val="0"/>
      <w:marBottom w:val="0"/>
      <w:divBdr>
        <w:top w:val="none" w:sz="0" w:space="0" w:color="auto"/>
        <w:left w:val="none" w:sz="0" w:space="0" w:color="auto"/>
        <w:bottom w:val="none" w:sz="0" w:space="0" w:color="auto"/>
        <w:right w:val="none" w:sz="0" w:space="0" w:color="auto"/>
      </w:divBdr>
    </w:div>
    <w:div w:id="1453012130">
      <w:bodyDiv w:val="1"/>
      <w:marLeft w:val="0"/>
      <w:marRight w:val="0"/>
      <w:marTop w:val="0"/>
      <w:marBottom w:val="0"/>
      <w:divBdr>
        <w:top w:val="none" w:sz="0" w:space="0" w:color="auto"/>
        <w:left w:val="none" w:sz="0" w:space="0" w:color="auto"/>
        <w:bottom w:val="none" w:sz="0" w:space="0" w:color="auto"/>
        <w:right w:val="none" w:sz="0" w:space="0" w:color="auto"/>
      </w:divBdr>
    </w:div>
    <w:div w:id="1453016323">
      <w:bodyDiv w:val="1"/>
      <w:marLeft w:val="0"/>
      <w:marRight w:val="0"/>
      <w:marTop w:val="0"/>
      <w:marBottom w:val="0"/>
      <w:divBdr>
        <w:top w:val="none" w:sz="0" w:space="0" w:color="auto"/>
        <w:left w:val="none" w:sz="0" w:space="0" w:color="auto"/>
        <w:bottom w:val="none" w:sz="0" w:space="0" w:color="auto"/>
        <w:right w:val="none" w:sz="0" w:space="0" w:color="auto"/>
      </w:divBdr>
    </w:div>
    <w:div w:id="1453092980">
      <w:bodyDiv w:val="1"/>
      <w:marLeft w:val="0"/>
      <w:marRight w:val="0"/>
      <w:marTop w:val="0"/>
      <w:marBottom w:val="0"/>
      <w:divBdr>
        <w:top w:val="none" w:sz="0" w:space="0" w:color="auto"/>
        <w:left w:val="none" w:sz="0" w:space="0" w:color="auto"/>
        <w:bottom w:val="none" w:sz="0" w:space="0" w:color="auto"/>
        <w:right w:val="none" w:sz="0" w:space="0" w:color="auto"/>
      </w:divBdr>
    </w:div>
    <w:div w:id="1453284902">
      <w:bodyDiv w:val="1"/>
      <w:marLeft w:val="0"/>
      <w:marRight w:val="0"/>
      <w:marTop w:val="0"/>
      <w:marBottom w:val="0"/>
      <w:divBdr>
        <w:top w:val="none" w:sz="0" w:space="0" w:color="auto"/>
        <w:left w:val="none" w:sz="0" w:space="0" w:color="auto"/>
        <w:bottom w:val="none" w:sz="0" w:space="0" w:color="auto"/>
        <w:right w:val="none" w:sz="0" w:space="0" w:color="auto"/>
      </w:divBdr>
    </w:div>
    <w:div w:id="1453667479">
      <w:bodyDiv w:val="1"/>
      <w:marLeft w:val="0"/>
      <w:marRight w:val="0"/>
      <w:marTop w:val="0"/>
      <w:marBottom w:val="0"/>
      <w:divBdr>
        <w:top w:val="none" w:sz="0" w:space="0" w:color="auto"/>
        <w:left w:val="none" w:sz="0" w:space="0" w:color="auto"/>
        <w:bottom w:val="none" w:sz="0" w:space="0" w:color="auto"/>
        <w:right w:val="none" w:sz="0" w:space="0" w:color="auto"/>
      </w:divBdr>
    </w:div>
    <w:div w:id="1453668613">
      <w:bodyDiv w:val="1"/>
      <w:marLeft w:val="0"/>
      <w:marRight w:val="0"/>
      <w:marTop w:val="0"/>
      <w:marBottom w:val="0"/>
      <w:divBdr>
        <w:top w:val="none" w:sz="0" w:space="0" w:color="auto"/>
        <w:left w:val="none" w:sz="0" w:space="0" w:color="auto"/>
        <w:bottom w:val="none" w:sz="0" w:space="0" w:color="auto"/>
        <w:right w:val="none" w:sz="0" w:space="0" w:color="auto"/>
      </w:divBdr>
    </w:div>
    <w:div w:id="1453748841">
      <w:bodyDiv w:val="1"/>
      <w:marLeft w:val="0"/>
      <w:marRight w:val="0"/>
      <w:marTop w:val="0"/>
      <w:marBottom w:val="0"/>
      <w:divBdr>
        <w:top w:val="none" w:sz="0" w:space="0" w:color="auto"/>
        <w:left w:val="none" w:sz="0" w:space="0" w:color="auto"/>
        <w:bottom w:val="none" w:sz="0" w:space="0" w:color="auto"/>
        <w:right w:val="none" w:sz="0" w:space="0" w:color="auto"/>
      </w:divBdr>
    </w:div>
    <w:div w:id="1453866593">
      <w:bodyDiv w:val="1"/>
      <w:marLeft w:val="0"/>
      <w:marRight w:val="0"/>
      <w:marTop w:val="0"/>
      <w:marBottom w:val="0"/>
      <w:divBdr>
        <w:top w:val="none" w:sz="0" w:space="0" w:color="auto"/>
        <w:left w:val="none" w:sz="0" w:space="0" w:color="auto"/>
        <w:bottom w:val="none" w:sz="0" w:space="0" w:color="auto"/>
        <w:right w:val="none" w:sz="0" w:space="0" w:color="auto"/>
      </w:divBdr>
    </w:div>
    <w:div w:id="1454012400">
      <w:bodyDiv w:val="1"/>
      <w:marLeft w:val="0"/>
      <w:marRight w:val="0"/>
      <w:marTop w:val="0"/>
      <w:marBottom w:val="0"/>
      <w:divBdr>
        <w:top w:val="none" w:sz="0" w:space="0" w:color="auto"/>
        <w:left w:val="none" w:sz="0" w:space="0" w:color="auto"/>
        <w:bottom w:val="none" w:sz="0" w:space="0" w:color="auto"/>
        <w:right w:val="none" w:sz="0" w:space="0" w:color="auto"/>
      </w:divBdr>
    </w:div>
    <w:div w:id="1454208615">
      <w:bodyDiv w:val="1"/>
      <w:marLeft w:val="0"/>
      <w:marRight w:val="0"/>
      <w:marTop w:val="0"/>
      <w:marBottom w:val="0"/>
      <w:divBdr>
        <w:top w:val="none" w:sz="0" w:space="0" w:color="auto"/>
        <w:left w:val="none" w:sz="0" w:space="0" w:color="auto"/>
        <w:bottom w:val="none" w:sz="0" w:space="0" w:color="auto"/>
        <w:right w:val="none" w:sz="0" w:space="0" w:color="auto"/>
      </w:divBdr>
    </w:div>
    <w:div w:id="1454210175">
      <w:bodyDiv w:val="1"/>
      <w:marLeft w:val="0"/>
      <w:marRight w:val="0"/>
      <w:marTop w:val="0"/>
      <w:marBottom w:val="0"/>
      <w:divBdr>
        <w:top w:val="none" w:sz="0" w:space="0" w:color="auto"/>
        <w:left w:val="none" w:sz="0" w:space="0" w:color="auto"/>
        <w:bottom w:val="none" w:sz="0" w:space="0" w:color="auto"/>
        <w:right w:val="none" w:sz="0" w:space="0" w:color="auto"/>
      </w:divBdr>
    </w:div>
    <w:div w:id="1454397297">
      <w:bodyDiv w:val="1"/>
      <w:marLeft w:val="0"/>
      <w:marRight w:val="0"/>
      <w:marTop w:val="0"/>
      <w:marBottom w:val="0"/>
      <w:divBdr>
        <w:top w:val="none" w:sz="0" w:space="0" w:color="auto"/>
        <w:left w:val="none" w:sz="0" w:space="0" w:color="auto"/>
        <w:bottom w:val="none" w:sz="0" w:space="0" w:color="auto"/>
        <w:right w:val="none" w:sz="0" w:space="0" w:color="auto"/>
      </w:divBdr>
    </w:div>
    <w:div w:id="1454442455">
      <w:bodyDiv w:val="1"/>
      <w:marLeft w:val="0"/>
      <w:marRight w:val="0"/>
      <w:marTop w:val="0"/>
      <w:marBottom w:val="0"/>
      <w:divBdr>
        <w:top w:val="none" w:sz="0" w:space="0" w:color="auto"/>
        <w:left w:val="none" w:sz="0" w:space="0" w:color="auto"/>
        <w:bottom w:val="none" w:sz="0" w:space="0" w:color="auto"/>
        <w:right w:val="none" w:sz="0" w:space="0" w:color="auto"/>
      </w:divBdr>
    </w:div>
    <w:div w:id="1454472974">
      <w:bodyDiv w:val="1"/>
      <w:marLeft w:val="0"/>
      <w:marRight w:val="0"/>
      <w:marTop w:val="0"/>
      <w:marBottom w:val="0"/>
      <w:divBdr>
        <w:top w:val="none" w:sz="0" w:space="0" w:color="auto"/>
        <w:left w:val="none" w:sz="0" w:space="0" w:color="auto"/>
        <w:bottom w:val="none" w:sz="0" w:space="0" w:color="auto"/>
        <w:right w:val="none" w:sz="0" w:space="0" w:color="auto"/>
      </w:divBdr>
    </w:div>
    <w:div w:id="1454590065">
      <w:bodyDiv w:val="1"/>
      <w:marLeft w:val="0"/>
      <w:marRight w:val="0"/>
      <w:marTop w:val="0"/>
      <w:marBottom w:val="0"/>
      <w:divBdr>
        <w:top w:val="none" w:sz="0" w:space="0" w:color="auto"/>
        <w:left w:val="none" w:sz="0" w:space="0" w:color="auto"/>
        <w:bottom w:val="none" w:sz="0" w:space="0" w:color="auto"/>
        <w:right w:val="none" w:sz="0" w:space="0" w:color="auto"/>
      </w:divBdr>
    </w:div>
    <w:div w:id="1454639862">
      <w:bodyDiv w:val="1"/>
      <w:marLeft w:val="0"/>
      <w:marRight w:val="0"/>
      <w:marTop w:val="0"/>
      <w:marBottom w:val="0"/>
      <w:divBdr>
        <w:top w:val="none" w:sz="0" w:space="0" w:color="auto"/>
        <w:left w:val="none" w:sz="0" w:space="0" w:color="auto"/>
        <w:bottom w:val="none" w:sz="0" w:space="0" w:color="auto"/>
        <w:right w:val="none" w:sz="0" w:space="0" w:color="auto"/>
      </w:divBdr>
    </w:div>
    <w:div w:id="1454665487">
      <w:bodyDiv w:val="1"/>
      <w:marLeft w:val="0"/>
      <w:marRight w:val="0"/>
      <w:marTop w:val="0"/>
      <w:marBottom w:val="0"/>
      <w:divBdr>
        <w:top w:val="none" w:sz="0" w:space="0" w:color="auto"/>
        <w:left w:val="none" w:sz="0" w:space="0" w:color="auto"/>
        <w:bottom w:val="none" w:sz="0" w:space="0" w:color="auto"/>
        <w:right w:val="none" w:sz="0" w:space="0" w:color="auto"/>
      </w:divBdr>
    </w:div>
    <w:div w:id="1454712634">
      <w:bodyDiv w:val="1"/>
      <w:marLeft w:val="0"/>
      <w:marRight w:val="0"/>
      <w:marTop w:val="0"/>
      <w:marBottom w:val="0"/>
      <w:divBdr>
        <w:top w:val="none" w:sz="0" w:space="0" w:color="auto"/>
        <w:left w:val="none" w:sz="0" w:space="0" w:color="auto"/>
        <w:bottom w:val="none" w:sz="0" w:space="0" w:color="auto"/>
        <w:right w:val="none" w:sz="0" w:space="0" w:color="auto"/>
      </w:divBdr>
    </w:div>
    <w:div w:id="1454717083">
      <w:bodyDiv w:val="1"/>
      <w:marLeft w:val="0"/>
      <w:marRight w:val="0"/>
      <w:marTop w:val="0"/>
      <w:marBottom w:val="0"/>
      <w:divBdr>
        <w:top w:val="none" w:sz="0" w:space="0" w:color="auto"/>
        <w:left w:val="none" w:sz="0" w:space="0" w:color="auto"/>
        <w:bottom w:val="none" w:sz="0" w:space="0" w:color="auto"/>
        <w:right w:val="none" w:sz="0" w:space="0" w:color="auto"/>
      </w:divBdr>
    </w:div>
    <w:div w:id="1454785537">
      <w:bodyDiv w:val="1"/>
      <w:marLeft w:val="0"/>
      <w:marRight w:val="0"/>
      <w:marTop w:val="0"/>
      <w:marBottom w:val="0"/>
      <w:divBdr>
        <w:top w:val="none" w:sz="0" w:space="0" w:color="auto"/>
        <w:left w:val="none" w:sz="0" w:space="0" w:color="auto"/>
        <w:bottom w:val="none" w:sz="0" w:space="0" w:color="auto"/>
        <w:right w:val="none" w:sz="0" w:space="0" w:color="auto"/>
      </w:divBdr>
    </w:div>
    <w:div w:id="1454789065">
      <w:bodyDiv w:val="1"/>
      <w:marLeft w:val="0"/>
      <w:marRight w:val="0"/>
      <w:marTop w:val="0"/>
      <w:marBottom w:val="0"/>
      <w:divBdr>
        <w:top w:val="none" w:sz="0" w:space="0" w:color="auto"/>
        <w:left w:val="none" w:sz="0" w:space="0" w:color="auto"/>
        <w:bottom w:val="none" w:sz="0" w:space="0" w:color="auto"/>
        <w:right w:val="none" w:sz="0" w:space="0" w:color="auto"/>
      </w:divBdr>
    </w:div>
    <w:div w:id="1454860123">
      <w:bodyDiv w:val="1"/>
      <w:marLeft w:val="0"/>
      <w:marRight w:val="0"/>
      <w:marTop w:val="0"/>
      <w:marBottom w:val="0"/>
      <w:divBdr>
        <w:top w:val="none" w:sz="0" w:space="0" w:color="auto"/>
        <w:left w:val="none" w:sz="0" w:space="0" w:color="auto"/>
        <w:bottom w:val="none" w:sz="0" w:space="0" w:color="auto"/>
        <w:right w:val="none" w:sz="0" w:space="0" w:color="auto"/>
      </w:divBdr>
    </w:div>
    <w:div w:id="1454985228">
      <w:bodyDiv w:val="1"/>
      <w:marLeft w:val="0"/>
      <w:marRight w:val="0"/>
      <w:marTop w:val="0"/>
      <w:marBottom w:val="0"/>
      <w:divBdr>
        <w:top w:val="none" w:sz="0" w:space="0" w:color="auto"/>
        <w:left w:val="none" w:sz="0" w:space="0" w:color="auto"/>
        <w:bottom w:val="none" w:sz="0" w:space="0" w:color="auto"/>
        <w:right w:val="none" w:sz="0" w:space="0" w:color="auto"/>
      </w:divBdr>
    </w:div>
    <w:div w:id="1455054021">
      <w:bodyDiv w:val="1"/>
      <w:marLeft w:val="0"/>
      <w:marRight w:val="0"/>
      <w:marTop w:val="0"/>
      <w:marBottom w:val="0"/>
      <w:divBdr>
        <w:top w:val="none" w:sz="0" w:space="0" w:color="auto"/>
        <w:left w:val="none" w:sz="0" w:space="0" w:color="auto"/>
        <w:bottom w:val="none" w:sz="0" w:space="0" w:color="auto"/>
        <w:right w:val="none" w:sz="0" w:space="0" w:color="auto"/>
      </w:divBdr>
    </w:div>
    <w:div w:id="1455057212">
      <w:bodyDiv w:val="1"/>
      <w:marLeft w:val="0"/>
      <w:marRight w:val="0"/>
      <w:marTop w:val="0"/>
      <w:marBottom w:val="0"/>
      <w:divBdr>
        <w:top w:val="none" w:sz="0" w:space="0" w:color="auto"/>
        <w:left w:val="none" w:sz="0" w:space="0" w:color="auto"/>
        <w:bottom w:val="none" w:sz="0" w:space="0" w:color="auto"/>
        <w:right w:val="none" w:sz="0" w:space="0" w:color="auto"/>
      </w:divBdr>
    </w:div>
    <w:div w:id="1455128338">
      <w:bodyDiv w:val="1"/>
      <w:marLeft w:val="0"/>
      <w:marRight w:val="0"/>
      <w:marTop w:val="0"/>
      <w:marBottom w:val="0"/>
      <w:divBdr>
        <w:top w:val="none" w:sz="0" w:space="0" w:color="auto"/>
        <w:left w:val="none" w:sz="0" w:space="0" w:color="auto"/>
        <w:bottom w:val="none" w:sz="0" w:space="0" w:color="auto"/>
        <w:right w:val="none" w:sz="0" w:space="0" w:color="auto"/>
      </w:divBdr>
    </w:div>
    <w:div w:id="1455177800">
      <w:bodyDiv w:val="1"/>
      <w:marLeft w:val="0"/>
      <w:marRight w:val="0"/>
      <w:marTop w:val="0"/>
      <w:marBottom w:val="0"/>
      <w:divBdr>
        <w:top w:val="none" w:sz="0" w:space="0" w:color="auto"/>
        <w:left w:val="none" w:sz="0" w:space="0" w:color="auto"/>
        <w:bottom w:val="none" w:sz="0" w:space="0" w:color="auto"/>
        <w:right w:val="none" w:sz="0" w:space="0" w:color="auto"/>
      </w:divBdr>
    </w:div>
    <w:div w:id="1455247174">
      <w:bodyDiv w:val="1"/>
      <w:marLeft w:val="0"/>
      <w:marRight w:val="0"/>
      <w:marTop w:val="0"/>
      <w:marBottom w:val="0"/>
      <w:divBdr>
        <w:top w:val="none" w:sz="0" w:space="0" w:color="auto"/>
        <w:left w:val="none" w:sz="0" w:space="0" w:color="auto"/>
        <w:bottom w:val="none" w:sz="0" w:space="0" w:color="auto"/>
        <w:right w:val="none" w:sz="0" w:space="0" w:color="auto"/>
      </w:divBdr>
    </w:div>
    <w:div w:id="1455251720">
      <w:bodyDiv w:val="1"/>
      <w:marLeft w:val="0"/>
      <w:marRight w:val="0"/>
      <w:marTop w:val="0"/>
      <w:marBottom w:val="0"/>
      <w:divBdr>
        <w:top w:val="none" w:sz="0" w:space="0" w:color="auto"/>
        <w:left w:val="none" w:sz="0" w:space="0" w:color="auto"/>
        <w:bottom w:val="none" w:sz="0" w:space="0" w:color="auto"/>
        <w:right w:val="none" w:sz="0" w:space="0" w:color="auto"/>
      </w:divBdr>
    </w:div>
    <w:div w:id="1455367470">
      <w:bodyDiv w:val="1"/>
      <w:marLeft w:val="0"/>
      <w:marRight w:val="0"/>
      <w:marTop w:val="0"/>
      <w:marBottom w:val="0"/>
      <w:divBdr>
        <w:top w:val="none" w:sz="0" w:space="0" w:color="auto"/>
        <w:left w:val="none" w:sz="0" w:space="0" w:color="auto"/>
        <w:bottom w:val="none" w:sz="0" w:space="0" w:color="auto"/>
        <w:right w:val="none" w:sz="0" w:space="0" w:color="auto"/>
      </w:divBdr>
    </w:div>
    <w:div w:id="1455371519">
      <w:bodyDiv w:val="1"/>
      <w:marLeft w:val="0"/>
      <w:marRight w:val="0"/>
      <w:marTop w:val="0"/>
      <w:marBottom w:val="0"/>
      <w:divBdr>
        <w:top w:val="none" w:sz="0" w:space="0" w:color="auto"/>
        <w:left w:val="none" w:sz="0" w:space="0" w:color="auto"/>
        <w:bottom w:val="none" w:sz="0" w:space="0" w:color="auto"/>
        <w:right w:val="none" w:sz="0" w:space="0" w:color="auto"/>
      </w:divBdr>
    </w:div>
    <w:div w:id="1455438215">
      <w:bodyDiv w:val="1"/>
      <w:marLeft w:val="0"/>
      <w:marRight w:val="0"/>
      <w:marTop w:val="0"/>
      <w:marBottom w:val="0"/>
      <w:divBdr>
        <w:top w:val="none" w:sz="0" w:space="0" w:color="auto"/>
        <w:left w:val="none" w:sz="0" w:space="0" w:color="auto"/>
        <w:bottom w:val="none" w:sz="0" w:space="0" w:color="auto"/>
        <w:right w:val="none" w:sz="0" w:space="0" w:color="auto"/>
      </w:divBdr>
    </w:div>
    <w:div w:id="1455447805">
      <w:bodyDiv w:val="1"/>
      <w:marLeft w:val="0"/>
      <w:marRight w:val="0"/>
      <w:marTop w:val="0"/>
      <w:marBottom w:val="0"/>
      <w:divBdr>
        <w:top w:val="none" w:sz="0" w:space="0" w:color="auto"/>
        <w:left w:val="none" w:sz="0" w:space="0" w:color="auto"/>
        <w:bottom w:val="none" w:sz="0" w:space="0" w:color="auto"/>
        <w:right w:val="none" w:sz="0" w:space="0" w:color="auto"/>
      </w:divBdr>
    </w:div>
    <w:div w:id="1455562613">
      <w:bodyDiv w:val="1"/>
      <w:marLeft w:val="0"/>
      <w:marRight w:val="0"/>
      <w:marTop w:val="0"/>
      <w:marBottom w:val="0"/>
      <w:divBdr>
        <w:top w:val="none" w:sz="0" w:space="0" w:color="auto"/>
        <w:left w:val="none" w:sz="0" w:space="0" w:color="auto"/>
        <w:bottom w:val="none" w:sz="0" w:space="0" w:color="auto"/>
        <w:right w:val="none" w:sz="0" w:space="0" w:color="auto"/>
      </w:divBdr>
    </w:div>
    <w:div w:id="1455563332">
      <w:bodyDiv w:val="1"/>
      <w:marLeft w:val="0"/>
      <w:marRight w:val="0"/>
      <w:marTop w:val="0"/>
      <w:marBottom w:val="0"/>
      <w:divBdr>
        <w:top w:val="none" w:sz="0" w:space="0" w:color="auto"/>
        <w:left w:val="none" w:sz="0" w:space="0" w:color="auto"/>
        <w:bottom w:val="none" w:sz="0" w:space="0" w:color="auto"/>
        <w:right w:val="none" w:sz="0" w:space="0" w:color="auto"/>
      </w:divBdr>
    </w:div>
    <w:div w:id="1455634479">
      <w:bodyDiv w:val="1"/>
      <w:marLeft w:val="0"/>
      <w:marRight w:val="0"/>
      <w:marTop w:val="0"/>
      <w:marBottom w:val="0"/>
      <w:divBdr>
        <w:top w:val="none" w:sz="0" w:space="0" w:color="auto"/>
        <w:left w:val="none" w:sz="0" w:space="0" w:color="auto"/>
        <w:bottom w:val="none" w:sz="0" w:space="0" w:color="auto"/>
        <w:right w:val="none" w:sz="0" w:space="0" w:color="auto"/>
      </w:divBdr>
    </w:div>
    <w:div w:id="1455714422">
      <w:bodyDiv w:val="1"/>
      <w:marLeft w:val="0"/>
      <w:marRight w:val="0"/>
      <w:marTop w:val="0"/>
      <w:marBottom w:val="0"/>
      <w:divBdr>
        <w:top w:val="none" w:sz="0" w:space="0" w:color="auto"/>
        <w:left w:val="none" w:sz="0" w:space="0" w:color="auto"/>
        <w:bottom w:val="none" w:sz="0" w:space="0" w:color="auto"/>
        <w:right w:val="none" w:sz="0" w:space="0" w:color="auto"/>
      </w:divBdr>
    </w:div>
    <w:div w:id="1455754040">
      <w:bodyDiv w:val="1"/>
      <w:marLeft w:val="0"/>
      <w:marRight w:val="0"/>
      <w:marTop w:val="0"/>
      <w:marBottom w:val="0"/>
      <w:divBdr>
        <w:top w:val="none" w:sz="0" w:space="0" w:color="auto"/>
        <w:left w:val="none" w:sz="0" w:space="0" w:color="auto"/>
        <w:bottom w:val="none" w:sz="0" w:space="0" w:color="auto"/>
        <w:right w:val="none" w:sz="0" w:space="0" w:color="auto"/>
      </w:divBdr>
    </w:div>
    <w:div w:id="1455756134">
      <w:bodyDiv w:val="1"/>
      <w:marLeft w:val="0"/>
      <w:marRight w:val="0"/>
      <w:marTop w:val="0"/>
      <w:marBottom w:val="0"/>
      <w:divBdr>
        <w:top w:val="none" w:sz="0" w:space="0" w:color="auto"/>
        <w:left w:val="none" w:sz="0" w:space="0" w:color="auto"/>
        <w:bottom w:val="none" w:sz="0" w:space="0" w:color="auto"/>
        <w:right w:val="none" w:sz="0" w:space="0" w:color="auto"/>
      </w:divBdr>
    </w:div>
    <w:div w:id="1455831303">
      <w:bodyDiv w:val="1"/>
      <w:marLeft w:val="0"/>
      <w:marRight w:val="0"/>
      <w:marTop w:val="0"/>
      <w:marBottom w:val="0"/>
      <w:divBdr>
        <w:top w:val="none" w:sz="0" w:space="0" w:color="auto"/>
        <w:left w:val="none" w:sz="0" w:space="0" w:color="auto"/>
        <w:bottom w:val="none" w:sz="0" w:space="0" w:color="auto"/>
        <w:right w:val="none" w:sz="0" w:space="0" w:color="auto"/>
      </w:divBdr>
    </w:div>
    <w:div w:id="1455980242">
      <w:bodyDiv w:val="1"/>
      <w:marLeft w:val="0"/>
      <w:marRight w:val="0"/>
      <w:marTop w:val="0"/>
      <w:marBottom w:val="0"/>
      <w:divBdr>
        <w:top w:val="none" w:sz="0" w:space="0" w:color="auto"/>
        <w:left w:val="none" w:sz="0" w:space="0" w:color="auto"/>
        <w:bottom w:val="none" w:sz="0" w:space="0" w:color="auto"/>
        <w:right w:val="none" w:sz="0" w:space="0" w:color="auto"/>
      </w:divBdr>
    </w:div>
    <w:div w:id="1456098566">
      <w:bodyDiv w:val="1"/>
      <w:marLeft w:val="0"/>
      <w:marRight w:val="0"/>
      <w:marTop w:val="0"/>
      <w:marBottom w:val="0"/>
      <w:divBdr>
        <w:top w:val="none" w:sz="0" w:space="0" w:color="auto"/>
        <w:left w:val="none" w:sz="0" w:space="0" w:color="auto"/>
        <w:bottom w:val="none" w:sz="0" w:space="0" w:color="auto"/>
        <w:right w:val="none" w:sz="0" w:space="0" w:color="auto"/>
      </w:divBdr>
    </w:div>
    <w:div w:id="1456098865">
      <w:bodyDiv w:val="1"/>
      <w:marLeft w:val="0"/>
      <w:marRight w:val="0"/>
      <w:marTop w:val="0"/>
      <w:marBottom w:val="0"/>
      <w:divBdr>
        <w:top w:val="none" w:sz="0" w:space="0" w:color="auto"/>
        <w:left w:val="none" w:sz="0" w:space="0" w:color="auto"/>
        <w:bottom w:val="none" w:sz="0" w:space="0" w:color="auto"/>
        <w:right w:val="none" w:sz="0" w:space="0" w:color="auto"/>
      </w:divBdr>
    </w:div>
    <w:div w:id="1456211500">
      <w:bodyDiv w:val="1"/>
      <w:marLeft w:val="0"/>
      <w:marRight w:val="0"/>
      <w:marTop w:val="0"/>
      <w:marBottom w:val="0"/>
      <w:divBdr>
        <w:top w:val="none" w:sz="0" w:space="0" w:color="auto"/>
        <w:left w:val="none" w:sz="0" w:space="0" w:color="auto"/>
        <w:bottom w:val="none" w:sz="0" w:space="0" w:color="auto"/>
        <w:right w:val="none" w:sz="0" w:space="0" w:color="auto"/>
      </w:divBdr>
    </w:div>
    <w:div w:id="1456290770">
      <w:bodyDiv w:val="1"/>
      <w:marLeft w:val="0"/>
      <w:marRight w:val="0"/>
      <w:marTop w:val="0"/>
      <w:marBottom w:val="0"/>
      <w:divBdr>
        <w:top w:val="none" w:sz="0" w:space="0" w:color="auto"/>
        <w:left w:val="none" w:sz="0" w:space="0" w:color="auto"/>
        <w:bottom w:val="none" w:sz="0" w:space="0" w:color="auto"/>
        <w:right w:val="none" w:sz="0" w:space="0" w:color="auto"/>
      </w:divBdr>
    </w:div>
    <w:div w:id="1456295659">
      <w:bodyDiv w:val="1"/>
      <w:marLeft w:val="0"/>
      <w:marRight w:val="0"/>
      <w:marTop w:val="0"/>
      <w:marBottom w:val="0"/>
      <w:divBdr>
        <w:top w:val="none" w:sz="0" w:space="0" w:color="auto"/>
        <w:left w:val="none" w:sz="0" w:space="0" w:color="auto"/>
        <w:bottom w:val="none" w:sz="0" w:space="0" w:color="auto"/>
        <w:right w:val="none" w:sz="0" w:space="0" w:color="auto"/>
      </w:divBdr>
    </w:div>
    <w:div w:id="1456365119">
      <w:bodyDiv w:val="1"/>
      <w:marLeft w:val="0"/>
      <w:marRight w:val="0"/>
      <w:marTop w:val="0"/>
      <w:marBottom w:val="0"/>
      <w:divBdr>
        <w:top w:val="none" w:sz="0" w:space="0" w:color="auto"/>
        <w:left w:val="none" w:sz="0" w:space="0" w:color="auto"/>
        <w:bottom w:val="none" w:sz="0" w:space="0" w:color="auto"/>
        <w:right w:val="none" w:sz="0" w:space="0" w:color="auto"/>
      </w:divBdr>
    </w:div>
    <w:div w:id="1456632668">
      <w:bodyDiv w:val="1"/>
      <w:marLeft w:val="0"/>
      <w:marRight w:val="0"/>
      <w:marTop w:val="0"/>
      <w:marBottom w:val="0"/>
      <w:divBdr>
        <w:top w:val="none" w:sz="0" w:space="0" w:color="auto"/>
        <w:left w:val="none" w:sz="0" w:space="0" w:color="auto"/>
        <w:bottom w:val="none" w:sz="0" w:space="0" w:color="auto"/>
        <w:right w:val="none" w:sz="0" w:space="0" w:color="auto"/>
      </w:divBdr>
    </w:div>
    <w:div w:id="1456748681">
      <w:bodyDiv w:val="1"/>
      <w:marLeft w:val="0"/>
      <w:marRight w:val="0"/>
      <w:marTop w:val="0"/>
      <w:marBottom w:val="0"/>
      <w:divBdr>
        <w:top w:val="none" w:sz="0" w:space="0" w:color="auto"/>
        <w:left w:val="none" w:sz="0" w:space="0" w:color="auto"/>
        <w:bottom w:val="none" w:sz="0" w:space="0" w:color="auto"/>
        <w:right w:val="none" w:sz="0" w:space="0" w:color="auto"/>
      </w:divBdr>
    </w:div>
    <w:div w:id="1456800793">
      <w:bodyDiv w:val="1"/>
      <w:marLeft w:val="0"/>
      <w:marRight w:val="0"/>
      <w:marTop w:val="0"/>
      <w:marBottom w:val="0"/>
      <w:divBdr>
        <w:top w:val="none" w:sz="0" w:space="0" w:color="auto"/>
        <w:left w:val="none" w:sz="0" w:space="0" w:color="auto"/>
        <w:bottom w:val="none" w:sz="0" w:space="0" w:color="auto"/>
        <w:right w:val="none" w:sz="0" w:space="0" w:color="auto"/>
      </w:divBdr>
    </w:div>
    <w:div w:id="1456828272">
      <w:bodyDiv w:val="1"/>
      <w:marLeft w:val="0"/>
      <w:marRight w:val="0"/>
      <w:marTop w:val="0"/>
      <w:marBottom w:val="0"/>
      <w:divBdr>
        <w:top w:val="none" w:sz="0" w:space="0" w:color="auto"/>
        <w:left w:val="none" w:sz="0" w:space="0" w:color="auto"/>
        <w:bottom w:val="none" w:sz="0" w:space="0" w:color="auto"/>
        <w:right w:val="none" w:sz="0" w:space="0" w:color="auto"/>
      </w:divBdr>
    </w:div>
    <w:div w:id="1456830577">
      <w:bodyDiv w:val="1"/>
      <w:marLeft w:val="0"/>
      <w:marRight w:val="0"/>
      <w:marTop w:val="0"/>
      <w:marBottom w:val="0"/>
      <w:divBdr>
        <w:top w:val="none" w:sz="0" w:space="0" w:color="auto"/>
        <w:left w:val="none" w:sz="0" w:space="0" w:color="auto"/>
        <w:bottom w:val="none" w:sz="0" w:space="0" w:color="auto"/>
        <w:right w:val="none" w:sz="0" w:space="0" w:color="auto"/>
      </w:divBdr>
    </w:div>
    <w:div w:id="1456867483">
      <w:bodyDiv w:val="1"/>
      <w:marLeft w:val="0"/>
      <w:marRight w:val="0"/>
      <w:marTop w:val="0"/>
      <w:marBottom w:val="0"/>
      <w:divBdr>
        <w:top w:val="none" w:sz="0" w:space="0" w:color="auto"/>
        <w:left w:val="none" w:sz="0" w:space="0" w:color="auto"/>
        <w:bottom w:val="none" w:sz="0" w:space="0" w:color="auto"/>
        <w:right w:val="none" w:sz="0" w:space="0" w:color="auto"/>
      </w:divBdr>
    </w:div>
    <w:div w:id="1456873000">
      <w:bodyDiv w:val="1"/>
      <w:marLeft w:val="0"/>
      <w:marRight w:val="0"/>
      <w:marTop w:val="0"/>
      <w:marBottom w:val="0"/>
      <w:divBdr>
        <w:top w:val="none" w:sz="0" w:space="0" w:color="auto"/>
        <w:left w:val="none" w:sz="0" w:space="0" w:color="auto"/>
        <w:bottom w:val="none" w:sz="0" w:space="0" w:color="auto"/>
        <w:right w:val="none" w:sz="0" w:space="0" w:color="auto"/>
      </w:divBdr>
    </w:div>
    <w:div w:id="1457020632">
      <w:bodyDiv w:val="1"/>
      <w:marLeft w:val="0"/>
      <w:marRight w:val="0"/>
      <w:marTop w:val="0"/>
      <w:marBottom w:val="0"/>
      <w:divBdr>
        <w:top w:val="none" w:sz="0" w:space="0" w:color="auto"/>
        <w:left w:val="none" w:sz="0" w:space="0" w:color="auto"/>
        <w:bottom w:val="none" w:sz="0" w:space="0" w:color="auto"/>
        <w:right w:val="none" w:sz="0" w:space="0" w:color="auto"/>
      </w:divBdr>
    </w:div>
    <w:div w:id="1457137814">
      <w:bodyDiv w:val="1"/>
      <w:marLeft w:val="0"/>
      <w:marRight w:val="0"/>
      <w:marTop w:val="0"/>
      <w:marBottom w:val="0"/>
      <w:divBdr>
        <w:top w:val="none" w:sz="0" w:space="0" w:color="auto"/>
        <w:left w:val="none" w:sz="0" w:space="0" w:color="auto"/>
        <w:bottom w:val="none" w:sz="0" w:space="0" w:color="auto"/>
        <w:right w:val="none" w:sz="0" w:space="0" w:color="auto"/>
      </w:divBdr>
    </w:div>
    <w:div w:id="1457260050">
      <w:bodyDiv w:val="1"/>
      <w:marLeft w:val="0"/>
      <w:marRight w:val="0"/>
      <w:marTop w:val="0"/>
      <w:marBottom w:val="0"/>
      <w:divBdr>
        <w:top w:val="none" w:sz="0" w:space="0" w:color="auto"/>
        <w:left w:val="none" w:sz="0" w:space="0" w:color="auto"/>
        <w:bottom w:val="none" w:sz="0" w:space="0" w:color="auto"/>
        <w:right w:val="none" w:sz="0" w:space="0" w:color="auto"/>
      </w:divBdr>
    </w:div>
    <w:div w:id="1457409286">
      <w:bodyDiv w:val="1"/>
      <w:marLeft w:val="0"/>
      <w:marRight w:val="0"/>
      <w:marTop w:val="0"/>
      <w:marBottom w:val="0"/>
      <w:divBdr>
        <w:top w:val="none" w:sz="0" w:space="0" w:color="auto"/>
        <w:left w:val="none" w:sz="0" w:space="0" w:color="auto"/>
        <w:bottom w:val="none" w:sz="0" w:space="0" w:color="auto"/>
        <w:right w:val="none" w:sz="0" w:space="0" w:color="auto"/>
      </w:divBdr>
    </w:div>
    <w:div w:id="1457481076">
      <w:bodyDiv w:val="1"/>
      <w:marLeft w:val="0"/>
      <w:marRight w:val="0"/>
      <w:marTop w:val="0"/>
      <w:marBottom w:val="0"/>
      <w:divBdr>
        <w:top w:val="none" w:sz="0" w:space="0" w:color="auto"/>
        <w:left w:val="none" w:sz="0" w:space="0" w:color="auto"/>
        <w:bottom w:val="none" w:sz="0" w:space="0" w:color="auto"/>
        <w:right w:val="none" w:sz="0" w:space="0" w:color="auto"/>
      </w:divBdr>
    </w:div>
    <w:div w:id="1457676472">
      <w:bodyDiv w:val="1"/>
      <w:marLeft w:val="0"/>
      <w:marRight w:val="0"/>
      <w:marTop w:val="0"/>
      <w:marBottom w:val="0"/>
      <w:divBdr>
        <w:top w:val="none" w:sz="0" w:space="0" w:color="auto"/>
        <w:left w:val="none" w:sz="0" w:space="0" w:color="auto"/>
        <w:bottom w:val="none" w:sz="0" w:space="0" w:color="auto"/>
        <w:right w:val="none" w:sz="0" w:space="0" w:color="auto"/>
      </w:divBdr>
    </w:div>
    <w:div w:id="1457678020">
      <w:bodyDiv w:val="1"/>
      <w:marLeft w:val="0"/>
      <w:marRight w:val="0"/>
      <w:marTop w:val="0"/>
      <w:marBottom w:val="0"/>
      <w:divBdr>
        <w:top w:val="none" w:sz="0" w:space="0" w:color="auto"/>
        <w:left w:val="none" w:sz="0" w:space="0" w:color="auto"/>
        <w:bottom w:val="none" w:sz="0" w:space="0" w:color="auto"/>
        <w:right w:val="none" w:sz="0" w:space="0" w:color="auto"/>
      </w:divBdr>
    </w:div>
    <w:div w:id="1457681897">
      <w:bodyDiv w:val="1"/>
      <w:marLeft w:val="0"/>
      <w:marRight w:val="0"/>
      <w:marTop w:val="0"/>
      <w:marBottom w:val="0"/>
      <w:divBdr>
        <w:top w:val="none" w:sz="0" w:space="0" w:color="auto"/>
        <w:left w:val="none" w:sz="0" w:space="0" w:color="auto"/>
        <w:bottom w:val="none" w:sz="0" w:space="0" w:color="auto"/>
        <w:right w:val="none" w:sz="0" w:space="0" w:color="auto"/>
      </w:divBdr>
    </w:div>
    <w:div w:id="1457791451">
      <w:bodyDiv w:val="1"/>
      <w:marLeft w:val="0"/>
      <w:marRight w:val="0"/>
      <w:marTop w:val="0"/>
      <w:marBottom w:val="0"/>
      <w:divBdr>
        <w:top w:val="none" w:sz="0" w:space="0" w:color="auto"/>
        <w:left w:val="none" w:sz="0" w:space="0" w:color="auto"/>
        <w:bottom w:val="none" w:sz="0" w:space="0" w:color="auto"/>
        <w:right w:val="none" w:sz="0" w:space="0" w:color="auto"/>
      </w:divBdr>
    </w:div>
    <w:div w:id="1458065292">
      <w:bodyDiv w:val="1"/>
      <w:marLeft w:val="0"/>
      <w:marRight w:val="0"/>
      <w:marTop w:val="0"/>
      <w:marBottom w:val="0"/>
      <w:divBdr>
        <w:top w:val="none" w:sz="0" w:space="0" w:color="auto"/>
        <w:left w:val="none" w:sz="0" w:space="0" w:color="auto"/>
        <w:bottom w:val="none" w:sz="0" w:space="0" w:color="auto"/>
        <w:right w:val="none" w:sz="0" w:space="0" w:color="auto"/>
      </w:divBdr>
    </w:div>
    <w:div w:id="1458068024">
      <w:bodyDiv w:val="1"/>
      <w:marLeft w:val="0"/>
      <w:marRight w:val="0"/>
      <w:marTop w:val="0"/>
      <w:marBottom w:val="0"/>
      <w:divBdr>
        <w:top w:val="none" w:sz="0" w:space="0" w:color="auto"/>
        <w:left w:val="none" w:sz="0" w:space="0" w:color="auto"/>
        <w:bottom w:val="none" w:sz="0" w:space="0" w:color="auto"/>
        <w:right w:val="none" w:sz="0" w:space="0" w:color="auto"/>
      </w:divBdr>
    </w:div>
    <w:div w:id="1458140730">
      <w:bodyDiv w:val="1"/>
      <w:marLeft w:val="0"/>
      <w:marRight w:val="0"/>
      <w:marTop w:val="0"/>
      <w:marBottom w:val="0"/>
      <w:divBdr>
        <w:top w:val="none" w:sz="0" w:space="0" w:color="auto"/>
        <w:left w:val="none" w:sz="0" w:space="0" w:color="auto"/>
        <w:bottom w:val="none" w:sz="0" w:space="0" w:color="auto"/>
        <w:right w:val="none" w:sz="0" w:space="0" w:color="auto"/>
      </w:divBdr>
    </w:div>
    <w:div w:id="1458180993">
      <w:bodyDiv w:val="1"/>
      <w:marLeft w:val="0"/>
      <w:marRight w:val="0"/>
      <w:marTop w:val="0"/>
      <w:marBottom w:val="0"/>
      <w:divBdr>
        <w:top w:val="none" w:sz="0" w:space="0" w:color="auto"/>
        <w:left w:val="none" w:sz="0" w:space="0" w:color="auto"/>
        <w:bottom w:val="none" w:sz="0" w:space="0" w:color="auto"/>
        <w:right w:val="none" w:sz="0" w:space="0" w:color="auto"/>
      </w:divBdr>
    </w:div>
    <w:div w:id="1458261939">
      <w:bodyDiv w:val="1"/>
      <w:marLeft w:val="0"/>
      <w:marRight w:val="0"/>
      <w:marTop w:val="0"/>
      <w:marBottom w:val="0"/>
      <w:divBdr>
        <w:top w:val="none" w:sz="0" w:space="0" w:color="auto"/>
        <w:left w:val="none" w:sz="0" w:space="0" w:color="auto"/>
        <w:bottom w:val="none" w:sz="0" w:space="0" w:color="auto"/>
        <w:right w:val="none" w:sz="0" w:space="0" w:color="auto"/>
      </w:divBdr>
    </w:div>
    <w:div w:id="1458453693">
      <w:bodyDiv w:val="1"/>
      <w:marLeft w:val="0"/>
      <w:marRight w:val="0"/>
      <w:marTop w:val="0"/>
      <w:marBottom w:val="0"/>
      <w:divBdr>
        <w:top w:val="none" w:sz="0" w:space="0" w:color="auto"/>
        <w:left w:val="none" w:sz="0" w:space="0" w:color="auto"/>
        <w:bottom w:val="none" w:sz="0" w:space="0" w:color="auto"/>
        <w:right w:val="none" w:sz="0" w:space="0" w:color="auto"/>
      </w:divBdr>
    </w:div>
    <w:div w:id="1458717690">
      <w:bodyDiv w:val="1"/>
      <w:marLeft w:val="0"/>
      <w:marRight w:val="0"/>
      <w:marTop w:val="0"/>
      <w:marBottom w:val="0"/>
      <w:divBdr>
        <w:top w:val="none" w:sz="0" w:space="0" w:color="auto"/>
        <w:left w:val="none" w:sz="0" w:space="0" w:color="auto"/>
        <w:bottom w:val="none" w:sz="0" w:space="0" w:color="auto"/>
        <w:right w:val="none" w:sz="0" w:space="0" w:color="auto"/>
      </w:divBdr>
    </w:div>
    <w:div w:id="1458797224">
      <w:bodyDiv w:val="1"/>
      <w:marLeft w:val="0"/>
      <w:marRight w:val="0"/>
      <w:marTop w:val="0"/>
      <w:marBottom w:val="0"/>
      <w:divBdr>
        <w:top w:val="none" w:sz="0" w:space="0" w:color="auto"/>
        <w:left w:val="none" w:sz="0" w:space="0" w:color="auto"/>
        <w:bottom w:val="none" w:sz="0" w:space="0" w:color="auto"/>
        <w:right w:val="none" w:sz="0" w:space="0" w:color="auto"/>
      </w:divBdr>
    </w:div>
    <w:div w:id="1458836247">
      <w:bodyDiv w:val="1"/>
      <w:marLeft w:val="0"/>
      <w:marRight w:val="0"/>
      <w:marTop w:val="0"/>
      <w:marBottom w:val="0"/>
      <w:divBdr>
        <w:top w:val="none" w:sz="0" w:space="0" w:color="auto"/>
        <w:left w:val="none" w:sz="0" w:space="0" w:color="auto"/>
        <w:bottom w:val="none" w:sz="0" w:space="0" w:color="auto"/>
        <w:right w:val="none" w:sz="0" w:space="0" w:color="auto"/>
      </w:divBdr>
    </w:div>
    <w:div w:id="1458986978">
      <w:bodyDiv w:val="1"/>
      <w:marLeft w:val="0"/>
      <w:marRight w:val="0"/>
      <w:marTop w:val="0"/>
      <w:marBottom w:val="0"/>
      <w:divBdr>
        <w:top w:val="none" w:sz="0" w:space="0" w:color="auto"/>
        <w:left w:val="none" w:sz="0" w:space="0" w:color="auto"/>
        <w:bottom w:val="none" w:sz="0" w:space="0" w:color="auto"/>
        <w:right w:val="none" w:sz="0" w:space="0" w:color="auto"/>
      </w:divBdr>
    </w:div>
    <w:div w:id="1459028125">
      <w:bodyDiv w:val="1"/>
      <w:marLeft w:val="0"/>
      <w:marRight w:val="0"/>
      <w:marTop w:val="0"/>
      <w:marBottom w:val="0"/>
      <w:divBdr>
        <w:top w:val="none" w:sz="0" w:space="0" w:color="auto"/>
        <w:left w:val="none" w:sz="0" w:space="0" w:color="auto"/>
        <w:bottom w:val="none" w:sz="0" w:space="0" w:color="auto"/>
        <w:right w:val="none" w:sz="0" w:space="0" w:color="auto"/>
      </w:divBdr>
    </w:div>
    <w:div w:id="1459035301">
      <w:bodyDiv w:val="1"/>
      <w:marLeft w:val="0"/>
      <w:marRight w:val="0"/>
      <w:marTop w:val="0"/>
      <w:marBottom w:val="0"/>
      <w:divBdr>
        <w:top w:val="none" w:sz="0" w:space="0" w:color="auto"/>
        <w:left w:val="none" w:sz="0" w:space="0" w:color="auto"/>
        <w:bottom w:val="none" w:sz="0" w:space="0" w:color="auto"/>
        <w:right w:val="none" w:sz="0" w:space="0" w:color="auto"/>
      </w:divBdr>
    </w:div>
    <w:div w:id="1459300159">
      <w:bodyDiv w:val="1"/>
      <w:marLeft w:val="0"/>
      <w:marRight w:val="0"/>
      <w:marTop w:val="0"/>
      <w:marBottom w:val="0"/>
      <w:divBdr>
        <w:top w:val="none" w:sz="0" w:space="0" w:color="auto"/>
        <w:left w:val="none" w:sz="0" w:space="0" w:color="auto"/>
        <w:bottom w:val="none" w:sz="0" w:space="0" w:color="auto"/>
        <w:right w:val="none" w:sz="0" w:space="0" w:color="auto"/>
      </w:divBdr>
    </w:div>
    <w:div w:id="1459489583">
      <w:bodyDiv w:val="1"/>
      <w:marLeft w:val="0"/>
      <w:marRight w:val="0"/>
      <w:marTop w:val="0"/>
      <w:marBottom w:val="0"/>
      <w:divBdr>
        <w:top w:val="none" w:sz="0" w:space="0" w:color="auto"/>
        <w:left w:val="none" w:sz="0" w:space="0" w:color="auto"/>
        <w:bottom w:val="none" w:sz="0" w:space="0" w:color="auto"/>
        <w:right w:val="none" w:sz="0" w:space="0" w:color="auto"/>
      </w:divBdr>
    </w:div>
    <w:div w:id="1459496995">
      <w:bodyDiv w:val="1"/>
      <w:marLeft w:val="0"/>
      <w:marRight w:val="0"/>
      <w:marTop w:val="0"/>
      <w:marBottom w:val="0"/>
      <w:divBdr>
        <w:top w:val="none" w:sz="0" w:space="0" w:color="auto"/>
        <w:left w:val="none" w:sz="0" w:space="0" w:color="auto"/>
        <w:bottom w:val="none" w:sz="0" w:space="0" w:color="auto"/>
        <w:right w:val="none" w:sz="0" w:space="0" w:color="auto"/>
      </w:divBdr>
    </w:div>
    <w:div w:id="1459567083">
      <w:bodyDiv w:val="1"/>
      <w:marLeft w:val="0"/>
      <w:marRight w:val="0"/>
      <w:marTop w:val="0"/>
      <w:marBottom w:val="0"/>
      <w:divBdr>
        <w:top w:val="none" w:sz="0" w:space="0" w:color="auto"/>
        <w:left w:val="none" w:sz="0" w:space="0" w:color="auto"/>
        <w:bottom w:val="none" w:sz="0" w:space="0" w:color="auto"/>
        <w:right w:val="none" w:sz="0" w:space="0" w:color="auto"/>
      </w:divBdr>
    </w:div>
    <w:div w:id="1459639907">
      <w:bodyDiv w:val="1"/>
      <w:marLeft w:val="0"/>
      <w:marRight w:val="0"/>
      <w:marTop w:val="0"/>
      <w:marBottom w:val="0"/>
      <w:divBdr>
        <w:top w:val="none" w:sz="0" w:space="0" w:color="auto"/>
        <w:left w:val="none" w:sz="0" w:space="0" w:color="auto"/>
        <w:bottom w:val="none" w:sz="0" w:space="0" w:color="auto"/>
        <w:right w:val="none" w:sz="0" w:space="0" w:color="auto"/>
      </w:divBdr>
    </w:div>
    <w:div w:id="1459647857">
      <w:bodyDiv w:val="1"/>
      <w:marLeft w:val="0"/>
      <w:marRight w:val="0"/>
      <w:marTop w:val="0"/>
      <w:marBottom w:val="0"/>
      <w:divBdr>
        <w:top w:val="none" w:sz="0" w:space="0" w:color="auto"/>
        <w:left w:val="none" w:sz="0" w:space="0" w:color="auto"/>
        <w:bottom w:val="none" w:sz="0" w:space="0" w:color="auto"/>
        <w:right w:val="none" w:sz="0" w:space="0" w:color="auto"/>
      </w:divBdr>
    </w:div>
    <w:div w:id="1459833496">
      <w:bodyDiv w:val="1"/>
      <w:marLeft w:val="0"/>
      <w:marRight w:val="0"/>
      <w:marTop w:val="0"/>
      <w:marBottom w:val="0"/>
      <w:divBdr>
        <w:top w:val="none" w:sz="0" w:space="0" w:color="auto"/>
        <w:left w:val="none" w:sz="0" w:space="0" w:color="auto"/>
        <w:bottom w:val="none" w:sz="0" w:space="0" w:color="auto"/>
        <w:right w:val="none" w:sz="0" w:space="0" w:color="auto"/>
      </w:divBdr>
    </w:div>
    <w:div w:id="1459840246">
      <w:bodyDiv w:val="1"/>
      <w:marLeft w:val="0"/>
      <w:marRight w:val="0"/>
      <w:marTop w:val="0"/>
      <w:marBottom w:val="0"/>
      <w:divBdr>
        <w:top w:val="none" w:sz="0" w:space="0" w:color="auto"/>
        <w:left w:val="none" w:sz="0" w:space="0" w:color="auto"/>
        <w:bottom w:val="none" w:sz="0" w:space="0" w:color="auto"/>
        <w:right w:val="none" w:sz="0" w:space="0" w:color="auto"/>
      </w:divBdr>
    </w:div>
    <w:div w:id="1459950035">
      <w:bodyDiv w:val="1"/>
      <w:marLeft w:val="0"/>
      <w:marRight w:val="0"/>
      <w:marTop w:val="0"/>
      <w:marBottom w:val="0"/>
      <w:divBdr>
        <w:top w:val="none" w:sz="0" w:space="0" w:color="auto"/>
        <w:left w:val="none" w:sz="0" w:space="0" w:color="auto"/>
        <w:bottom w:val="none" w:sz="0" w:space="0" w:color="auto"/>
        <w:right w:val="none" w:sz="0" w:space="0" w:color="auto"/>
      </w:divBdr>
    </w:div>
    <w:div w:id="1459952670">
      <w:bodyDiv w:val="1"/>
      <w:marLeft w:val="0"/>
      <w:marRight w:val="0"/>
      <w:marTop w:val="0"/>
      <w:marBottom w:val="0"/>
      <w:divBdr>
        <w:top w:val="none" w:sz="0" w:space="0" w:color="auto"/>
        <w:left w:val="none" w:sz="0" w:space="0" w:color="auto"/>
        <w:bottom w:val="none" w:sz="0" w:space="0" w:color="auto"/>
        <w:right w:val="none" w:sz="0" w:space="0" w:color="auto"/>
      </w:divBdr>
    </w:div>
    <w:div w:id="1459958214">
      <w:bodyDiv w:val="1"/>
      <w:marLeft w:val="0"/>
      <w:marRight w:val="0"/>
      <w:marTop w:val="0"/>
      <w:marBottom w:val="0"/>
      <w:divBdr>
        <w:top w:val="none" w:sz="0" w:space="0" w:color="auto"/>
        <w:left w:val="none" w:sz="0" w:space="0" w:color="auto"/>
        <w:bottom w:val="none" w:sz="0" w:space="0" w:color="auto"/>
        <w:right w:val="none" w:sz="0" w:space="0" w:color="auto"/>
      </w:divBdr>
    </w:div>
    <w:div w:id="1460100554">
      <w:bodyDiv w:val="1"/>
      <w:marLeft w:val="0"/>
      <w:marRight w:val="0"/>
      <w:marTop w:val="0"/>
      <w:marBottom w:val="0"/>
      <w:divBdr>
        <w:top w:val="none" w:sz="0" w:space="0" w:color="auto"/>
        <w:left w:val="none" w:sz="0" w:space="0" w:color="auto"/>
        <w:bottom w:val="none" w:sz="0" w:space="0" w:color="auto"/>
        <w:right w:val="none" w:sz="0" w:space="0" w:color="auto"/>
      </w:divBdr>
    </w:div>
    <w:div w:id="1460104513">
      <w:bodyDiv w:val="1"/>
      <w:marLeft w:val="0"/>
      <w:marRight w:val="0"/>
      <w:marTop w:val="0"/>
      <w:marBottom w:val="0"/>
      <w:divBdr>
        <w:top w:val="none" w:sz="0" w:space="0" w:color="auto"/>
        <w:left w:val="none" w:sz="0" w:space="0" w:color="auto"/>
        <w:bottom w:val="none" w:sz="0" w:space="0" w:color="auto"/>
        <w:right w:val="none" w:sz="0" w:space="0" w:color="auto"/>
      </w:divBdr>
    </w:div>
    <w:div w:id="1460294091">
      <w:bodyDiv w:val="1"/>
      <w:marLeft w:val="0"/>
      <w:marRight w:val="0"/>
      <w:marTop w:val="0"/>
      <w:marBottom w:val="0"/>
      <w:divBdr>
        <w:top w:val="none" w:sz="0" w:space="0" w:color="auto"/>
        <w:left w:val="none" w:sz="0" w:space="0" w:color="auto"/>
        <w:bottom w:val="none" w:sz="0" w:space="0" w:color="auto"/>
        <w:right w:val="none" w:sz="0" w:space="0" w:color="auto"/>
      </w:divBdr>
    </w:div>
    <w:div w:id="1460296559">
      <w:bodyDiv w:val="1"/>
      <w:marLeft w:val="0"/>
      <w:marRight w:val="0"/>
      <w:marTop w:val="0"/>
      <w:marBottom w:val="0"/>
      <w:divBdr>
        <w:top w:val="none" w:sz="0" w:space="0" w:color="auto"/>
        <w:left w:val="none" w:sz="0" w:space="0" w:color="auto"/>
        <w:bottom w:val="none" w:sz="0" w:space="0" w:color="auto"/>
        <w:right w:val="none" w:sz="0" w:space="0" w:color="auto"/>
      </w:divBdr>
    </w:div>
    <w:div w:id="1460301474">
      <w:bodyDiv w:val="1"/>
      <w:marLeft w:val="0"/>
      <w:marRight w:val="0"/>
      <w:marTop w:val="0"/>
      <w:marBottom w:val="0"/>
      <w:divBdr>
        <w:top w:val="none" w:sz="0" w:space="0" w:color="auto"/>
        <w:left w:val="none" w:sz="0" w:space="0" w:color="auto"/>
        <w:bottom w:val="none" w:sz="0" w:space="0" w:color="auto"/>
        <w:right w:val="none" w:sz="0" w:space="0" w:color="auto"/>
      </w:divBdr>
    </w:div>
    <w:div w:id="1460344859">
      <w:bodyDiv w:val="1"/>
      <w:marLeft w:val="0"/>
      <w:marRight w:val="0"/>
      <w:marTop w:val="0"/>
      <w:marBottom w:val="0"/>
      <w:divBdr>
        <w:top w:val="none" w:sz="0" w:space="0" w:color="auto"/>
        <w:left w:val="none" w:sz="0" w:space="0" w:color="auto"/>
        <w:bottom w:val="none" w:sz="0" w:space="0" w:color="auto"/>
        <w:right w:val="none" w:sz="0" w:space="0" w:color="auto"/>
      </w:divBdr>
    </w:div>
    <w:div w:id="1460488162">
      <w:bodyDiv w:val="1"/>
      <w:marLeft w:val="0"/>
      <w:marRight w:val="0"/>
      <w:marTop w:val="0"/>
      <w:marBottom w:val="0"/>
      <w:divBdr>
        <w:top w:val="none" w:sz="0" w:space="0" w:color="auto"/>
        <w:left w:val="none" w:sz="0" w:space="0" w:color="auto"/>
        <w:bottom w:val="none" w:sz="0" w:space="0" w:color="auto"/>
        <w:right w:val="none" w:sz="0" w:space="0" w:color="auto"/>
      </w:divBdr>
    </w:div>
    <w:div w:id="1460762095">
      <w:bodyDiv w:val="1"/>
      <w:marLeft w:val="0"/>
      <w:marRight w:val="0"/>
      <w:marTop w:val="0"/>
      <w:marBottom w:val="0"/>
      <w:divBdr>
        <w:top w:val="none" w:sz="0" w:space="0" w:color="auto"/>
        <w:left w:val="none" w:sz="0" w:space="0" w:color="auto"/>
        <w:bottom w:val="none" w:sz="0" w:space="0" w:color="auto"/>
        <w:right w:val="none" w:sz="0" w:space="0" w:color="auto"/>
      </w:divBdr>
    </w:div>
    <w:div w:id="1460801743">
      <w:bodyDiv w:val="1"/>
      <w:marLeft w:val="0"/>
      <w:marRight w:val="0"/>
      <w:marTop w:val="0"/>
      <w:marBottom w:val="0"/>
      <w:divBdr>
        <w:top w:val="none" w:sz="0" w:space="0" w:color="auto"/>
        <w:left w:val="none" w:sz="0" w:space="0" w:color="auto"/>
        <w:bottom w:val="none" w:sz="0" w:space="0" w:color="auto"/>
        <w:right w:val="none" w:sz="0" w:space="0" w:color="auto"/>
      </w:divBdr>
    </w:div>
    <w:div w:id="1460875632">
      <w:bodyDiv w:val="1"/>
      <w:marLeft w:val="0"/>
      <w:marRight w:val="0"/>
      <w:marTop w:val="0"/>
      <w:marBottom w:val="0"/>
      <w:divBdr>
        <w:top w:val="none" w:sz="0" w:space="0" w:color="auto"/>
        <w:left w:val="none" w:sz="0" w:space="0" w:color="auto"/>
        <w:bottom w:val="none" w:sz="0" w:space="0" w:color="auto"/>
        <w:right w:val="none" w:sz="0" w:space="0" w:color="auto"/>
      </w:divBdr>
    </w:div>
    <w:div w:id="1460876289">
      <w:bodyDiv w:val="1"/>
      <w:marLeft w:val="0"/>
      <w:marRight w:val="0"/>
      <w:marTop w:val="0"/>
      <w:marBottom w:val="0"/>
      <w:divBdr>
        <w:top w:val="none" w:sz="0" w:space="0" w:color="auto"/>
        <w:left w:val="none" w:sz="0" w:space="0" w:color="auto"/>
        <w:bottom w:val="none" w:sz="0" w:space="0" w:color="auto"/>
        <w:right w:val="none" w:sz="0" w:space="0" w:color="auto"/>
      </w:divBdr>
    </w:div>
    <w:div w:id="1460948845">
      <w:bodyDiv w:val="1"/>
      <w:marLeft w:val="0"/>
      <w:marRight w:val="0"/>
      <w:marTop w:val="0"/>
      <w:marBottom w:val="0"/>
      <w:divBdr>
        <w:top w:val="none" w:sz="0" w:space="0" w:color="auto"/>
        <w:left w:val="none" w:sz="0" w:space="0" w:color="auto"/>
        <w:bottom w:val="none" w:sz="0" w:space="0" w:color="auto"/>
        <w:right w:val="none" w:sz="0" w:space="0" w:color="auto"/>
      </w:divBdr>
    </w:div>
    <w:div w:id="1460953660">
      <w:bodyDiv w:val="1"/>
      <w:marLeft w:val="0"/>
      <w:marRight w:val="0"/>
      <w:marTop w:val="0"/>
      <w:marBottom w:val="0"/>
      <w:divBdr>
        <w:top w:val="none" w:sz="0" w:space="0" w:color="auto"/>
        <w:left w:val="none" w:sz="0" w:space="0" w:color="auto"/>
        <w:bottom w:val="none" w:sz="0" w:space="0" w:color="auto"/>
        <w:right w:val="none" w:sz="0" w:space="0" w:color="auto"/>
      </w:divBdr>
    </w:div>
    <w:div w:id="1461069788">
      <w:bodyDiv w:val="1"/>
      <w:marLeft w:val="0"/>
      <w:marRight w:val="0"/>
      <w:marTop w:val="0"/>
      <w:marBottom w:val="0"/>
      <w:divBdr>
        <w:top w:val="none" w:sz="0" w:space="0" w:color="auto"/>
        <w:left w:val="none" w:sz="0" w:space="0" w:color="auto"/>
        <w:bottom w:val="none" w:sz="0" w:space="0" w:color="auto"/>
        <w:right w:val="none" w:sz="0" w:space="0" w:color="auto"/>
      </w:divBdr>
    </w:div>
    <w:div w:id="1461190737">
      <w:bodyDiv w:val="1"/>
      <w:marLeft w:val="0"/>
      <w:marRight w:val="0"/>
      <w:marTop w:val="0"/>
      <w:marBottom w:val="0"/>
      <w:divBdr>
        <w:top w:val="none" w:sz="0" w:space="0" w:color="auto"/>
        <w:left w:val="none" w:sz="0" w:space="0" w:color="auto"/>
        <w:bottom w:val="none" w:sz="0" w:space="0" w:color="auto"/>
        <w:right w:val="none" w:sz="0" w:space="0" w:color="auto"/>
      </w:divBdr>
    </w:div>
    <w:div w:id="1461343662">
      <w:bodyDiv w:val="1"/>
      <w:marLeft w:val="0"/>
      <w:marRight w:val="0"/>
      <w:marTop w:val="0"/>
      <w:marBottom w:val="0"/>
      <w:divBdr>
        <w:top w:val="none" w:sz="0" w:space="0" w:color="auto"/>
        <w:left w:val="none" w:sz="0" w:space="0" w:color="auto"/>
        <w:bottom w:val="none" w:sz="0" w:space="0" w:color="auto"/>
        <w:right w:val="none" w:sz="0" w:space="0" w:color="auto"/>
      </w:divBdr>
    </w:div>
    <w:div w:id="1461417901">
      <w:bodyDiv w:val="1"/>
      <w:marLeft w:val="0"/>
      <w:marRight w:val="0"/>
      <w:marTop w:val="0"/>
      <w:marBottom w:val="0"/>
      <w:divBdr>
        <w:top w:val="none" w:sz="0" w:space="0" w:color="auto"/>
        <w:left w:val="none" w:sz="0" w:space="0" w:color="auto"/>
        <w:bottom w:val="none" w:sz="0" w:space="0" w:color="auto"/>
        <w:right w:val="none" w:sz="0" w:space="0" w:color="auto"/>
      </w:divBdr>
    </w:div>
    <w:div w:id="1461453439">
      <w:bodyDiv w:val="1"/>
      <w:marLeft w:val="0"/>
      <w:marRight w:val="0"/>
      <w:marTop w:val="0"/>
      <w:marBottom w:val="0"/>
      <w:divBdr>
        <w:top w:val="none" w:sz="0" w:space="0" w:color="auto"/>
        <w:left w:val="none" w:sz="0" w:space="0" w:color="auto"/>
        <w:bottom w:val="none" w:sz="0" w:space="0" w:color="auto"/>
        <w:right w:val="none" w:sz="0" w:space="0" w:color="auto"/>
      </w:divBdr>
    </w:div>
    <w:div w:id="1461535234">
      <w:bodyDiv w:val="1"/>
      <w:marLeft w:val="0"/>
      <w:marRight w:val="0"/>
      <w:marTop w:val="0"/>
      <w:marBottom w:val="0"/>
      <w:divBdr>
        <w:top w:val="none" w:sz="0" w:space="0" w:color="auto"/>
        <w:left w:val="none" w:sz="0" w:space="0" w:color="auto"/>
        <w:bottom w:val="none" w:sz="0" w:space="0" w:color="auto"/>
        <w:right w:val="none" w:sz="0" w:space="0" w:color="auto"/>
      </w:divBdr>
    </w:div>
    <w:div w:id="1461727974">
      <w:bodyDiv w:val="1"/>
      <w:marLeft w:val="0"/>
      <w:marRight w:val="0"/>
      <w:marTop w:val="0"/>
      <w:marBottom w:val="0"/>
      <w:divBdr>
        <w:top w:val="none" w:sz="0" w:space="0" w:color="auto"/>
        <w:left w:val="none" w:sz="0" w:space="0" w:color="auto"/>
        <w:bottom w:val="none" w:sz="0" w:space="0" w:color="auto"/>
        <w:right w:val="none" w:sz="0" w:space="0" w:color="auto"/>
      </w:divBdr>
    </w:div>
    <w:div w:id="1461798236">
      <w:bodyDiv w:val="1"/>
      <w:marLeft w:val="0"/>
      <w:marRight w:val="0"/>
      <w:marTop w:val="0"/>
      <w:marBottom w:val="0"/>
      <w:divBdr>
        <w:top w:val="none" w:sz="0" w:space="0" w:color="auto"/>
        <w:left w:val="none" w:sz="0" w:space="0" w:color="auto"/>
        <w:bottom w:val="none" w:sz="0" w:space="0" w:color="auto"/>
        <w:right w:val="none" w:sz="0" w:space="0" w:color="auto"/>
      </w:divBdr>
    </w:div>
    <w:div w:id="1461799959">
      <w:bodyDiv w:val="1"/>
      <w:marLeft w:val="0"/>
      <w:marRight w:val="0"/>
      <w:marTop w:val="0"/>
      <w:marBottom w:val="0"/>
      <w:divBdr>
        <w:top w:val="none" w:sz="0" w:space="0" w:color="auto"/>
        <w:left w:val="none" w:sz="0" w:space="0" w:color="auto"/>
        <w:bottom w:val="none" w:sz="0" w:space="0" w:color="auto"/>
        <w:right w:val="none" w:sz="0" w:space="0" w:color="auto"/>
      </w:divBdr>
    </w:div>
    <w:div w:id="1461872850">
      <w:bodyDiv w:val="1"/>
      <w:marLeft w:val="0"/>
      <w:marRight w:val="0"/>
      <w:marTop w:val="0"/>
      <w:marBottom w:val="0"/>
      <w:divBdr>
        <w:top w:val="none" w:sz="0" w:space="0" w:color="auto"/>
        <w:left w:val="none" w:sz="0" w:space="0" w:color="auto"/>
        <w:bottom w:val="none" w:sz="0" w:space="0" w:color="auto"/>
        <w:right w:val="none" w:sz="0" w:space="0" w:color="auto"/>
      </w:divBdr>
    </w:div>
    <w:div w:id="1461878516">
      <w:bodyDiv w:val="1"/>
      <w:marLeft w:val="0"/>
      <w:marRight w:val="0"/>
      <w:marTop w:val="0"/>
      <w:marBottom w:val="0"/>
      <w:divBdr>
        <w:top w:val="none" w:sz="0" w:space="0" w:color="auto"/>
        <w:left w:val="none" w:sz="0" w:space="0" w:color="auto"/>
        <w:bottom w:val="none" w:sz="0" w:space="0" w:color="auto"/>
        <w:right w:val="none" w:sz="0" w:space="0" w:color="auto"/>
      </w:divBdr>
    </w:div>
    <w:div w:id="1461999198">
      <w:bodyDiv w:val="1"/>
      <w:marLeft w:val="0"/>
      <w:marRight w:val="0"/>
      <w:marTop w:val="0"/>
      <w:marBottom w:val="0"/>
      <w:divBdr>
        <w:top w:val="none" w:sz="0" w:space="0" w:color="auto"/>
        <w:left w:val="none" w:sz="0" w:space="0" w:color="auto"/>
        <w:bottom w:val="none" w:sz="0" w:space="0" w:color="auto"/>
        <w:right w:val="none" w:sz="0" w:space="0" w:color="auto"/>
      </w:divBdr>
    </w:div>
    <w:div w:id="1462069557">
      <w:bodyDiv w:val="1"/>
      <w:marLeft w:val="0"/>
      <w:marRight w:val="0"/>
      <w:marTop w:val="0"/>
      <w:marBottom w:val="0"/>
      <w:divBdr>
        <w:top w:val="none" w:sz="0" w:space="0" w:color="auto"/>
        <w:left w:val="none" w:sz="0" w:space="0" w:color="auto"/>
        <w:bottom w:val="none" w:sz="0" w:space="0" w:color="auto"/>
        <w:right w:val="none" w:sz="0" w:space="0" w:color="auto"/>
      </w:divBdr>
    </w:div>
    <w:div w:id="1462185172">
      <w:bodyDiv w:val="1"/>
      <w:marLeft w:val="0"/>
      <w:marRight w:val="0"/>
      <w:marTop w:val="0"/>
      <w:marBottom w:val="0"/>
      <w:divBdr>
        <w:top w:val="none" w:sz="0" w:space="0" w:color="auto"/>
        <w:left w:val="none" w:sz="0" w:space="0" w:color="auto"/>
        <w:bottom w:val="none" w:sz="0" w:space="0" w:color="auto"/>
        <w:right w:val="none" w:sz="0" w:space="0" w:color="auto"/>
      </w:divBdr>
    </w:div>
    <w:div w:id="1462187253">
      <w:bodyDiv w:val="1"/>
      <w:marLeft w:val="0"/>
      <w:marRight w:val="0"/>
      <w:marTop w:val="0"/>
      <w:marBottom w:val="0"/>
      <w:divBdr>
        <w:top w:val="none" w:sz="0" w:space="0" w:color="auto"/>
        <w:left w:val="none" w:sz="0" w:space="0" w:color="auto"/>
        <w:bottom w:val="none" w:sz="0" w:space="0" w:color="auto"/>
        <w:right w:val="none" w:sz="0" w:space="0" w:color="auto"/>
      </w:divBdr>
    </w:div>
    <w:div w:id="1462265359">
      <w:bodyDiv w:val="1"/>
      <w:marLeft w:val="0"/>
      <w:marRight w:val="0"/>
      <w:marTop w:val="0"/>
      <w:marBottom w:val="0"/>
      <w:divBdr>
        <w:top w:val="none" w:sz="0" w:space="0" w:color="auto"/>
        <w:left w:val="none" w:sz="0" w:space="0" w:color="auto"/>
        <w:bottom w:val="none" w:sz="0" w:space="0" w:color="auto"/>
        <w:right w:val="none" w:sz="0" w:space="0" w:color="auto"/>
      </w:divBdr>
    </w:div>
    <w:div w:id="1462306904">
      <w:bodyDiv w:val="1"/>
      <w:marLeft w:val="0"/>
      <w:marRight w:val="0"/>
      <w:marTop w:val="0"/>
      <w:marBottom w:val="0"/>
      <w:divBdr>
        <w:top w:val="none" w:sz="0" w:space="0" w:color="auto"/>
        <w:left w:val="none" w:sz="0" w:space="0" w:color="auto"/>
        <w:bottom w:val="none" w:sz="0" w:space="0" w:color="auto"/>
        <w:right w:val="none" w:sz="0" w:space="0" w:color="auto"/>
      </w:divBdr>
    </w:div>
    <w:div w:id="1462308785">
      <w:bodyDiv w:val="1"/>
      <w:marLeft w:val="0"/>
      <w:marRight w:val="0"/>
      <w:marTop w:val="0"/>
      <w:marBottom w:val="0"/>
      <w:divBdr>
        <w:top w:val="none" w:sz="0" w:space="0" w:color="auto"/>
        <w:left w:val="none" w:sz="0" w:space="0" w:color="auto"/>
        <w:bottom w:val="none" w:sz="0" w:space="0" w:color="auto"/>
        <w:right w:val="none" w:sz="0" w:space="0" w:color="auto"/>
      </w:divBdr>
    </w:div>
    <w:div w:id="1462383831">
      <w:bodyDiv w:val="1"/>
      <w:marLeft w:val="0"/>
      <w:marRight w:val="0"/>
      <w:marTop w:val="0"/>
      <w:marBottom w:val="0"/>
      <w:divBdr>
        <w:top w:val="none" w:sz="0" w:space="0" w:color="auto"/>
        <w:left w:val="none" w:sz="0" w:space="0" w:color="auto"/>
        <w:bottom w:val="none" w:sz="0" w:space="0" w:color="auto"/>
        <w:right w:val="none" w:sz="0" w:space="0" w:color="auto"/>
      </w:divBdr>
    </w:div>
    <w:div w:id="1462455298">
      <w:bodyDiv w:val="1"/>
      <w:marLeft w:val="0"/>
      <w:marRight w:val="0"/>
      <w:marTop w:val="0"/>
      <w:marBottom w:val="0"/>
      <w:divBdr>
        <w:top w:val="none" w:sz="0" w:space="0" w:color="auto"/>
        <w:left w:val="none" w:sz="0" w:space="0" w:color="auto"/>
        <w:bottom w:val="none" w:sz="0" w:space="0" w:color="auto"/>
        <w:right w:val="none" w:sz="0" w:space="0" w:color="auto"/>
      </w:divBdr>
    </w:div>
    <w:div w:id="1462533528">
      <w:bodyDiv w:val="1"/>
      <w:marLeft w:val="0"/>
      <w:marRight w:val="0"/>
      <w:marTop w:val="0"/>
      <w:marBottom w:val="0"/>
      <w:divBdr>
        <w:top w:val="none" w:sz="0" w:space="0" w:color="auto"/>
        <w:left w:val="none" w:sz="0" w:space="0" w:color="auto"/>
        <w:bottom w:val="none" w:sz="0" w:space="0" w:color="auto"/>
        <w:right w:val="none" w:sz="0" w:space="0" w:color="auto"/>
      </w:divBdr>
    </w:div>
    <w:div w:id="1462727999">
      <w:bodyDiv w:val="1"/>
      <w:marLeft w:val="0"/>
      <w:marRight w:val="0"/>
      <w:marTop w:val="0"/>
      <w:marBottom w:val="0"/>
      <w:divBdr>
        <w:top w:val="none" w:sz="0" w:space="0" w:color="auto"/>
        <w:left w:val="none" w:sz="0" w:space="0" w:color="auto"/>
        <w:bottom w:val="none" w:sz="0" w:space="0" w:color="auto"/>
        <w:right w:val="none" w:sz="0" w:space="0" w:color="auto"/>
      </w:divBdr>
    </w:div>
    <w:div w:id="1462764667">
      <w:bodyDiv w:val="1"/>
      <w:marLeft w:val="0"/>
      <w:marRight w:val="0"/>
      <w:marTop w:val="0"/>
      <w:marBottom w:val="0"/>
      <w:divBdr>
        <w:top w:val="none" w:sz="0" w:space="0" w:color="auto"/>
        <w:left w:val="none" w:sz="0" w:space="0" w:color="auto"/>
        <w:bottom w:val="none" w:sz="0" w:space="0" w:color="auto"/>
        <w:right w:val="none" w:sz="0" w:space="0" w:color="auto"/>
      </w:divBdr>
    </w:div>
    <w:div w:id="1462764815">
      <w:bodyDiv w:val="1"/>
      <w:marLeft w:val="0"/>
      <w:marRight w:val="0"/>
      <w:marTop w:val="0"/>
      <w:marBottom w:val="0"/>
      <w:divBdr>
        <w:top w:val="none" w:sz="0" w:space="0" w:color="auto"/>
        <w:left w:val="none" w:sz="0" w:space="0" w:color="auto"/>
        <w:bottom w:val="none" w:sz="0" w:space="0" w:color="auto"/>
        <w:right w:val="none" w:sz="0" w:space="0" w:color="auto"/>
      </w:divBdr>
    </w:div>
    <w:div w:id="1462839522">
      <w:bodyDiv w:val="1"/>
      <w:marLeft w:val="0"/>
      <w:marRight w:val="0"/>
      <w:marTop w:val="0"/>
      <w:marBottom w:val="0"/>
      <w:divBdr>
        <w:top w:val="none" w:sz="0" w:space="0" w:color="auto"/>
        <w:left w:val="none" w:sz="0" w:space="0" w:color="auto"/>
        <w:bottom w:val="none" w:sz="0" w:space="0" w:color="auto"/>
        <w:right w:val="none" w:sz="0" w:space="0" w:color="auto"/>
      </w:divBdr>
    </w:div>
    <w:div w:id="1462919008">
      <w:bodyDiv w:val="1"/>
      <w:marLeft w:val="0"/>
      <w:marRight w:val="0"/>
      <w:marTop w:val="0"/>
      <w:marBottom w:val="0"/>
      <w:divBdr>
        <w:top w:val="none" w:sz="0" w:space="0" w:color="auto"/>
        <w:left w:val="none" w:sz="0" w:space="0" w:color="auto"/>
        <w:bottom w:val="none" w:sz="0" w:space="0" w:color="auto"/>
        <w:right w:val="none" w:sz="0" w:space="0" w:color="auto"/>
      </w:divBdr>
    </w:div>
    <w:div w:id="1462923290">
      <w:bodyDiv w:val="1"/>
      <w:marLeft w:val="0"/>
      <w:marRight w:val="0"/>
      <w:marTop w:val="0"/>
      <w:marBottom w:val="0"/>
      <w:divBdr>
        <w:top w:val="none" w:sz="0" w:space="0" w:color="auto"/>
        <w:left w:val="none" w:sz="0" w:space="0" w:color="auto"/>
        <w:bottom w:val="none" w:sz="0" w:space="0" w:color="auto"/>
        <w:right w:val="none" w:sz="0" w:space="0" w:color="auto"/>
      </w:divBdr>
    </w:div>
    <w:div w:id="1462924175">
      <w:bodyDiv w:val="1"/>
      <w:marLeft w:val="0"/>
      <w:marRight w:val="0"/>
      <w:marTop w:val="0"/>
      <w:marBottom w:val="0"/>
      <w:divBdr>
        <w:top w:val="none" w:sz="0" w:space="0" w:color="auto"/>
        <w:left w:val="none" w:sz="0" w:space="0" w:color="auto"/>
        <w:bottom w:val="none" w:sz="0" w:space="0" w:color="auto"/>
        <w:right w:val="none" w:sz="0" w:space="0" w:color="auto"/>
      </w:divBdr>
    </w:div>
    <w:div w:id="1462961983">
      <w:bodyDiv w:val="1"/>
      <w:marLeft w:val="0"/>
      <w:marRight w:val="0"/>
      <w:marTop w:val="0"/>
      <w:marBottom w:val="0"/>
      <w:divBdr>
        <w:top w:val="none" w:sz="0" w:space="0" w:color="auto"/>
        <w:left w:val="none" w:sz="0" w:space="0" w:color="auto"/>
        <w:bottom w:val="none" w:sz="0" w:space="0" w:color="auto"/>
        <w:right w:val="none" w:sz="0" w:space="0" w:color="auto"/>
      </w:divBdr>
    </w:div>
    <w:div w:id="1462963106">
      <w:bodyDiv w:val="1"/>
      <w:marLeft w:val="0"/>
      <w:marRight w:val="0"/>
      <w:marTop w:val="0"/>
      <w:marBottom w:val="0"/>
      <w:divBdr>
        <w:top w:val="none" w:sz="0" w:space="0" w:color="auto"/>
        <w:left w:val="none" w:sz="0" w:space="0" w:color="auto"/>
        <w:bottom w:val="none" w:sz="0" w:space="0" w:color="auto"/>
        <w:right w:val="none" w:sz="0" w:space="0" w:color="auto"/>
      </w:divBdr>
    </w:div>
    <w:div w:id="1462990143">
      <w:bodyDiv w:val="1"/>
      <w:marLeft w:val="0"/>
      <w:marRight w:val="0"/>
      <w:marTop w:val="0"/>
      <w:marBottom w:val="0"/>
      <w:divBdr>
        <w:top w:val="none" w:sz="0" w:space="0" w:color="auto"/>
        <w:left w:val="none" w:sz="0" w:space="0" w:color="auto"/>
        <w:bottom w:val="none" w:sz="0" w:space="0" w:color="auto"/>
        <w:right w:val="none" w:sz="0" w:space="0" w:color="auto"/>
      </w:divBdr>
    </w:div>
    <w:div w:id="1463228189">
      <w:bodyDiv w:val="1"/>
      <w:marLeft w:val="0"/>
      <w:marRight w:val="0"/>
      <w:marTop w:val="0"/>
      <w:marBottom w:val="0"/>
      <w:divBdr>
        <w:top w:val="none" w:sz="0" w:space="0" w:color="auto"/>
        <w:left w:val="none" w:sz="0" w:space="0" w:color="auto"/>
        <w:bottom w:val="none" w:sz="0" w:space="0" w:color="auto"/>
        <w:right w:val="none" w:sz="0" w:space="0" w:color="auto"/>
      </w:divBdr>
    </w:div>
    <w:div w:id="1463301502">
      <w:bodyDiv w:val="1"/>
      <w:marLeft w:val="0"/>
      <w:marRight w:val="0"/>
      <w:marTop w:val="0"/>
      <w:marBottom w:val="0"/>
      <w:divBdr>
        <w:top w:val="none" w:sz="0" w:space="0" w:color="auto"/>
        <w:left w:val="none" w:sz="0" w:space="0" w:color="auto"/>
        <w:bottom w:val="none" w:sz="0" w:space="0" w:color="auto"/>
        <w:right w:val="none" w:sz="0" w:space="0" w:color="auto"/>
      </w:divBdr>
    </w:div>
    <w:div w:id="1463376875">
      <w:bodyDiv w:val="1"/>
      <w:marLeft w:val="0"/>
      <w:marRight w:val="0"/>
      <w:marTop w:val="0"/>
      <w:marBottom w:val="0"/>
      <w:divBdr>
        <w:top w:val="none" w:sz="0" w:space="0" w:color="auto"/>
        <w:left w:val="none" w:sz="0" w:space="0" w:color="auto"/>
        <w:bottom w:val="none" w:sz="0" w:space="0" w:color="auto"/>
        <w:right w:val="none" w:sz="0" w:space="0" w:color="auto"/>
      </w:divBdr>
    </w:div>
    <w:div w:id="1463384317">
      <w:bodyDiv w:val="1"/>
      <w:marLeft w:val="0"/>
      <w:marRight w:val="0"/>
      <w:marTop w:val="0"/>
      <w:marBottom w:val="0"/>
      <w:divBdr>
        <w:top w:val="none" w:sz="0" w:space="0" w:color="auto"/>
        <w:left w:val="none" w:sz="0" w:space="0" w:color="auto"/>
        <w:bottom w:val="none" w:sz="0" w:space="0" w:color="auto"/>
        <w:right w:val="none" w:sz="0" w:space="0" w:color="auto"/>
      </w:divBdr>
    </w:div>
    <w:div w:id="1463422189">
      <w:bodyDiv w:val="1"/>
      <w:marLeft w:val="0"/>
      <w:marRight w:val="0"/>
      <w:marTop w:val="0"/>
      <w:marBottom w:val="0"/>
      <w:divBdr>
        <w:top w:val="none" w:sz="0" w:space="0" w:color="auto"/>
        <w:left w:val="none" w:sz="0" w:space="0" w:color="auto"/>
        <w:bottom w:val="none" w:sz="0" w:space="0" w:color="auto"/>
        <w:right w:val="none" w:sz="0" w:space="0" w:color="auto"/>
      </w:divBdr>
    </w:div>
    <w:div w:id="1463428593">
      <w:bodyDiv w:val="1"/>
      <w:marLeft w:val="0"/>
      <w:marRight w:val="0"/>
      <w:marTop w:val="0"/>
      <w:marBottom w:val="0"/>
      <w:divBdr>
        <w:top w:val="none" w:sz="0" w:space="0" w:color="auto"/>
        <w:left w:val="none" w:sz="0" w:space="0" w:color="auto"/>
        <w:bottom w:val="none" w:sz="0" w:space="0" w:color="auto"/>
        <w:right w:val="none" w:sz="0" w:space="0" w:color="auto"/>
      </w:divBdr>
    </w:div>
    <w:div w:id="1463496269">
      <w:bodyDiv w:val="1"/>
      <w:marLeft w:val="0"/>
      <w:marRight w:val="0"/>
      <w:marTop w:val="0"/>
      <w:marBottom w:val="0"/>
      <w:divBdr>
        <w:top w:val="none" w:sz="0" w:space="0" w:color="auto"/>
        <w:left w:val="none" w:sz="0" w:space="0" w:color="auto"/>
        <w:bottom w:val="none" w:sz="0" w:space="0" w:color="auto"/>
        <w:right w:val="none" w:sz="0" w:space="0" w:color="auto"/>
      </w:divBdr>
    </w:div>
    <w:div w:id="1463766787">
      <w:bodyDiv w:val="1"/>
      <w:marLeft w:val="0"/>
      <w:marRight w:val="0"/>
      <w:marTop w:val="0"/>
      <w:marBottom w:val="0"/>
      <w:divBdr>
        <w:top w:val="none" w:sz="0" w:space="0" w:color="auto"/>
        <w:left w:val="none" w:sz="0" w:space="0" w:color="auto"/>
        <w:bottom w:val="none" w:sz="0" w:space="0" w:color="auto"/>
        <w:right w:val="none" w:sz="0" w:space="0" w:color="auto"/>
      </w:divBdr>
    </w:div>
    <w:div w:id="1463767214">
      <w:bodyDiv w:val="1"/>
      <w:marLeft w:val="0"/>
      <w:marRight w:val="0"/>
      <w:marTop w:val="0"/>
      <w:marBottom w:val="0"/>
      <w:divBdr>
        <w:top w:val="none" w:sz="0" w:space="0" w:color="auto"/>
        <w:left w:val="none" w:sz="0" w:space="0" w:color="auto"/>
        <w:bottom w:val="none" w:sz="0" w:space="0" w:color="auto"/>
        <w:right w:val="none" w:sz="0" w:space="0" w:color="auto"/>
      </w:divBdr>
    </w:div>
    <w:div w:id="1463815026">
      <w:bodyDiv w:val="1"/>
      <w:marLeft w:val="0"/>
      <w:marRight w:val="0"/>
      <w:marTop w:val="0"/>
      <w:marBottom w:val="0"/>
      <w:divBdr>
        <w:top w:val="none" w:sz="0" w:space="0" w:color="auto"/>
        <w:left w:val="none" w:sz="0" w:space="0" w:color="auto"/>
        <w:bottom w:val="none" w:sz="0" w:space="0" w:color="auto"/>
        <w:right w:val="none" w:sz="0" w:space="0" w:color="auto"/>
      </w:divBdr>
    </w:div>
    <w:div w:id="1464081325">
      <w:bodyDiv w:val="1"/>
      <w:marLeft w:val="0"/>
      <w:marRight w:val="0"/>
      <w:marTop w:val="0"/>
      <w:marBottom w:val="0"/>
      <w:divBdr>
        <w:top w:val="none" w:sz="0" w:space="0" w:color="auto"/>
        <w:left w:val="none" w:sz="0" w:space="0" w:color="auto"/>
        <w:bottom w:val="none" w:sz="0" w:space="0" w:color="auto"/>
        <w:right w:val="none" w:sz="0" w:space="0" w:color="auto"/>
      </w:divBdr>
    </w:div>
    <w:div w:id="1464150182">
      <w:bodyDiv w:val="1"/>
      <w:marLeft w:val="0"/>
      <w:marRight w:val="0"/>
      <w:marTop w:val="0"/>
      <w:marBottom w:val="0"/>
      <w:divBdr>
        <w:top w:val="none" w:sz="0" w:space="0" w:color="auto"/>
        <w:left w:val="none" w:sz="0" w:space="0" w:color="auto"/>
        <w:bottom w:val="none" w:sz="0" w:space="0" w:color="auto"/>
        <w:right w:val="none" w:sz="0" w:space="0" w:color="auto"/>
      </w:divBdr>
    </w:div>
    <w:div w:id="1464345511">
      <w:bodyDiv w:val="1"/>
      <w:marLeft w:val="0"/>
      <w:marRight w:val="0"/>
      <w:marTop w:val="0"/>
      <w:marBottom w:val="0"/>
      <w:divBdr>
        <w:top w:val="none" w:sz="0" w:space="0" w:color="auto"/>
        <w:left w:val="none" w:sz="0" w:space="0" w:color="auto"/>
        <w:bottom w:val="none" w:sz="0" w:space="0" w:color="auto"/>
        <w:right w:val="none" w:sz="0" w:space="0" w:color="auto"/>
      </w:divBdr>
    </w:div>
    <w:div w:id="1464499878">
      <w:bodyDiv w:val="1"/>
      <w:marLeft w:val="0"/>
      <w:marRight w:val="0"/>
      <w:marTop w:val="0"/>
      <w:marBottom w:val="0"/>
      <w:divBdr>
        <w:top w:val="none" w:sz="0" w:space="0" w:color="auto"/>
        <w:left w:val="none" w:sz="0" w:space="0" w:color="auto"/>
        <w:bottom w:val="none" w:sz="0" w:space="0" w:color="auto"/>
        <w:right w:val="none" w:sz="0" w:space="0" w:color="auto"/>
      </w:divBdr>
    </w:div>
    <w:div w:id="1464612321">
      <w:bodyDiv w:val="1"/>
      <w:marLeft w:val="0"/>
      <w:marRight w:val="0"/>
      <w:marTop w:val="0"/>
      <w:marBottom w:val="0"/>
      <w:divBdr>
        <w:top w:val="none" w:sz="0" w:space="0" w:color="auto"/>
        <w:left w:val="none" w:sz="0" w:space="0" w:color="auto"/>
        <w:bottom w:val="none" w:sz="0" w:space="0" w:color="auto"/>
        <w:right w:val="none" w:sz="0" w:space="0" w:color="auto"/>
      </w:divBdr>
    </w:div>
    <w:div w:id="1464690353">
      <w:bodyDiv w:val="1"/>
      <w:marLeft w:val="0"/>
      <w:marRight w:val="0"/>
      <w:marTop w:val="0"/>
      <w:marBottom w:val="0"/>
      <w:divBdr>
        <w:top w:val="none" w:sz="0" w:space="0" w:color="auto"/>
        <w:left w:val="none" w:sz="0" w:space="0" w:color="auto"/>
        <w:bottom w:val="none" w:sz="0" w:space="0" w:color="auto"/>
        <w:right w:val="none" w:sz="0" w:space="0" w:color="auto"/>
      </w:divBdr>
    </w:div>
    <w:div w:id="1464696027">
      <w:bodyDiv w:val="1"/>
      <w:marLeft w:val="0"/>
      <w:marRight w:val="0"/>
      <w:marTop w:val="0"/>
      <w:marBottom w:val="0"/>
      <w:divBdr>
        <w:top w:val="none" w:sz="0" w:space="0" w:color="auto"/>
        <w:left w:val="none" w:sz="0" w:space="0" w:color="auto"/>
        <w:bottom w:val="none" w:sz="0" w:space="0" w:color="auto"/>
        <w:right w:val="none" w:sz="0" w:space="0" w:color="auto"/>
      </w:divBdr>
    </w:div>
    <w:div w:id="1464733581">
      <w:bodyDiv w:val="1"/>
      <w:marLeft w:val="0"/>
      <w:marRight w:val="0"/>
      <w:marTop w:val="0"/>
      <w:marBottom w:val="0"/>
      <w:divBdr>
        <w:top w:val="none" w:sz="0" w:space="0" w:color="auto"/>
        <w:left w:val="none" w:sz="0" w:space="0" w:color="auto"/>
        <w:bottom w:val="none" w:sz="0" w:space="0" w:color="auto"/>
        <w:right w:val="none" w:sz="0" w:space="0" w:color="auto"/>
      </w:divBdr>
    </w:div>
    <w:div w:id="1464887602">
      <w:bodyDiv w:val="1"/>
      <w:marLeft w:val="0"/>
      <w:marRight w:val="0"/>
      <w:marTop w:val="0"/>
      <w:marBottom w:val="0"/>
      <w:divBdr>
        <w:top w:val="none" w:sz="0" w:space="0" w:color="auto"/>
        <w:left w:val="none" w:sz="0" w:space="0" w:color="auto"/>
        <w:bottom w:val="none" w:sz="0" w:space="0" w:color="auto"/>
        <w:right w:val="none" w:sz="0" w:space="0" w:color="auto"/>
      </w:divBdr>
    </w:div>
    <w:div w:id="1464931865">
      <w:bodyDiv w:val="1"/>
      <w:marLeft w:val="0"/>
      <w:marRight w:val="0"/>
      <w:marTop w:val="0"/>
      <w:marBottom w:val="0"/>
      <w:divBdr>
        <w:top w:val="none" w:sz="0" w:space="0" w:color="auto"/>
        <w:left w:val="none" w:sz="0" w:space="0" w:color="auto"/>
        <w:bottom w:val="none" w:sz="0" w:space="0" w:color="auto"/>
        <w:right w:val="none" w:sz="0" w:space="0" w:color="auto"/>
      </w:divBdr>
    </w:div>
    <w:div w:id="1464958218">
      <w:bodyDiv w:val="1"/>
      <w:marLeft w:val="0"/>
      <w:marRight w:val="0"/>
      <w:marTop w:val="0"/>
      <w:marBottom w:val="0"/>
      <w:divBdr>
        <w:top w:val="none" w:sz="0" w:space="0" w:color="auto"/>
        <w:left w:val="none" w:sz="0" w:space="0" w:color="auto"/>
        <w:bottom w:val="none" w:sz="0" w:space="0" w:color="auto"/>
        <w:right w:val="none" w:sz="0" w:space="0" w:color="auto"/>
      </w:divBdr>
    </w:div>
    <w:div w:id="1464958738">
      <w:bodyDiv w:val="1"/>
      <w:marLeft w:val="0"/>
      <w:marRight w:val="0"/>
      <w:marTop w:val="0"/>
      <w:marBottom w:val="0"/>
      <w:divBdr>
        <w:top w:val="none" w:sz="0" w:space="0" w:color="auto"/>
        <w:left w:val="none" w:sz="0" w:space="0" w:color="auto"/>
        <w:bottom w:val="none" w:sz="0" w:space="0" w:color="auto"/>
        <w:right w:val="none" w:sz="0" w:space="0" w:color="auto"/>
      </w:divBdr>
    </w:div>
    <w:div w:id="1465073971">
      <w:bodyDiv w:val="1"/>
      <w:marLeft w:val="0"/>
      <w:marRight w:val="0"/>
      <w:marTop w:val="0"/>
      <w:marBottom w:val="0"/>
      <w:divBdr>
        <w:top w:val="none" w:sz="0" w:space="0" w:color="auto"/>
        <w:left w:val="none" w:sz="0" w:space="0" w:color="auto"/>
        <w:bottom w:val="none" w:sz="0" w:space="0" w:color="auto"/>
        <w:right w:val="none" w:sz="0" w:space="0" w:color="auto"/>
      </w:divBdr>
    </w:div>
    <w:div w:id="1465082381">
      <w:bodyDiv w:val="1"/>
      <w:marLeft w:val="0"/>
      <w:marRight w:val="0"/>
      <w:marTop w:val="0"/>
      <w:marBottom w:val="0"/>
      <w:divBdr>
        <w:top w:val="none" w:sz="0" w:space="0" w:color="auto"/>
        <w:left w:val="none" w:sz="0" w:space="0" w:color="auto"/>
        <w:bottom w:val="none" w:sz="0" w:space="0" w:color="auto"/>
        <w:right w:val="none" w:sz="0" w:space="0" w:color="auto"/>
      </w:divBdr>
    </w:div>
    <w:div w:id="1465123975">
      <w:bodyDiv w:val="1"/>
      <w:marLeft w:val="0"/>
      <w:marRight w:val="0"/>
      <w:marTop w:val="0"/>
      <w:marBottom w:val="0"/>
      <w:divBdr>
        <w:top w:val="none" w:sz="0" w:space="0" w:color="auto"/>
        <w:left w:val="none" w:sz="0" w:space="0" w:color="auto"/>
        <w:bottom w:val="none" w:sz="0" w:space="0" w:color="auto"/>
        <w:right w:val="none" w:sz="0" w:space="0" w:color="auto"/>
      </w:divBdr>
    </w:div>
    <w:div w:id="1465124349">
      <w:bodyDiv w:val="1"/>
      <w:marLeft w:val="0"/>
      <w:marRight w:val="0"/>
      <w:marTop w:val="0"/>
      <w:marBottom w:val="0"/>
      <w:divBdr>
        <w:top w:val="none" w:sz="0" w:space="0" w:color="auto"/>
        <w:left w:val="none" w:sz="0" w:space="0" w:color="auto"/>
        <w:bottom w:val="none" w:sz="0" w:space="0" w:color="auto"/>
        <w:right w:val="none" w:sz="0" w:space="0" w:color="auto"/>
      </w:divBdr>
    </w:div>
    <w:div w:id="1465124755">
      <w:bodyDiv w:val="1"/>
      <w:marLeft w:val="0"/>
      <w:marRight w:val="0"/>
      <w:marTop w:val="0"/>
      <w:marBottom w:val="0"/>
      <w:divBdr>
        <w:top w:val="none" w:sz="0" w:space="0" w:color="auto"/>
        <w:left w:val="none" w:sz="0" w:space="0" w:color="auto"/>
        <w:bottom w:val="none" w:sz="0" w:space="0" w:color="auto"/>
        <w:right w:val="none" w:sz="0" w:space="0" w:color="auto"/>
      </w:divBdr>
    </w:div>
    <w:div w:id="1465125831">
      <w:bodyDiv w:val="1"/>
      <w:marLeft w:val="0"/>
      <w:marRight w:val="0"/>
      <w:marTop w:val="0"/>
      <w:marBottom w:val="0"/>
      <w:divBdr>
        <w:top w:val="none" w:sz="0" w:space="0" w:color="auto"/>
        <w:left w:val="none" w:sz="0" w:space="0" w:color="auto"/>
        <w:bottom w:val="none" w:sz="0" w:space="0" w:color="auto"/>
        <w:right w:val="none" w:sz="0" w:space="0" w:color="auto"/>
      </w:divBdr>
    </w:div>
    <w:div w:id="1465344577">
      <w:bodyDiv w:val="1"/>
      <w:marLeft w:val="0"/>
      <w:marRight w:val="0"/>
      <w:marTop w:val="0"/>
      <w:marBottom w:val="0"/>
      <w:divBdr>
        <w:top w:val="none" w:sz="0" w:space="0" w:color="auto"/>
        <w:left w:val="none" w:sz="0" w:space="0" w:color="auto"/>
        <w:bottom w:val="none" w:sz="0" w:space="0" w:color="auto"/>
        <w:right w:val="none" w:sz="0" w:space="0" w:color="auto"/>
      </w:divBdr>
    </w:div>
    <w:div w:id="1465350202">
      <w:bodyDiv w:val="1"/>
      <w:marLeft w:val="0"/>
      <w:marRight w:val="0"/>
      <w:marTop w:val="0"/>
      <w:marBottom w:val="0"/>
      <w:divBdr>
        <w:top w:val="none" w:sz="0" w:space="0" w:color="auto"/>
        <w:left w:val="none" w:sz="0" w:space="0" w:color="auto"/>
        <w:bottom w:val="none" w:sz="0" w:space="0" w:color="auto"/>
        <w:right w:val="none" w:sz="0" w:space="0" w:color="auto"/>
      </w:divBdr>
    </w:div>
    <w:div w:id="1465461259">
      <w:bodyDiv w:val="1"/>
      <w:marLeft w:val="0"/>
      <w:marRight w:val="0"/>
      <w:marTop w:val="0"/>
      <w:marBottom w:val="0"/>
      <w:divBdr>
        <w:top w:val="none" w:sz="0" w:space="0" w:color="auto"/>
        <w:left w:val="none" w:sz="0" w:space="0" w:color="auto"/>
        <w:bottom w:val="none" w:sz="0" w:space="0" w:color="auto"/>
        <w:right w:val="none" w:sz="0" w:space="0" w:color="auto"/>
      </w:divBdr>
    </w:div>
    <w:div w:id="1465536242">
      <w:bodyDiv w:val="1"/>
      <w:marLeft w:val="0"/>
      <w:marRight w:val="0"/>
      <w:marTop w:val="0"/>
      <w:marBottom w:val="0"/>
      <w:divBdr>
        <w:top w:val="none" w:sz="0" w:space="0" w:color="auto"/>
        <w:left w:val="none" w:sz="0" w:space="0" w:color="auto"/>
        <w:bottom w:val="none" w:sz="0" w:space="0" w:color="auto"/>
        <w:right w:val="none" w:sz="0" w:space="0" w:color="auto"/>
      </w:divBdr>
    </w:div>
    <w:div w:id="1465587947">
      <w:bodyDiv w:val="1"/>
      <w:marLeft w:val="0"/>
      <w:marRight w:val="0"/>
      <w:marTop w:val="0"/>
      <w:marBottom w:val="0"/>
      <w:divBdr>
        <w:top w:val="none" w:sz="0" w:space="0" w:color="auto"/>
        <w:left w:val="none" w:sz="0" w:space="0" w:color="auto"/>
        <w:bottom w:val="none" w:sz="0" w:space="0" w:color="auto"/>
        <w:right w:val="none" w:sz="0" w:space="0" w:color="auto"/>
      </w:divBdr>
    </w:div>
    <w:div w:id="1465736527">
      <w:bodyDiv w:val="1"/>
      <w:marLeft w:val="0"/>
      <w:marRight w:val="0"/>
      <w:marTop w:val="0"/>
      <w:marBottom w:val="0"/>
      <w:divBdr>
        <w:top w:val="none" w:sz="0" w:space="0" w:color="auto"/>
        <w:left w:val="none" w:sz="0" w:space="0" w:color="auto"/>
        <w:bottom w:val="none" w:sz="0" w:space="0" w:color="auto"/>
        <w:right w:val="none" w:sz="0" w:space="0" w:color="auto"/>
      </w:divBdr>
    </w:div>
    <w:div w:id="1465850793">
      <w:bodyDiv w:val="1"/>
      <w:marLeft w:val="0"/>
      <w:marRight w:val="0"/>
      <w:marTop w:val="0"/>
      <w:marBottom w:val="0"/>
      <w:divBdr>
        <w:top w:val="none" w:sz="0" w:space="0" w:color="auto"/>
        <w:left w:val="none" w:sz="0" w:space="0" w:color="auto"/>
        <w:bottom w:val="none" w:sz="0" w:space="0" w:color="auto"/>
        <w:right w:val="none" w:sz="0" w:space="0" w:color="auto"/>
      </w:divBdr>
    </w:div>
    <w:div w:id="1465999883">
      <w:bodyDiv w:val="1"/>
      <w:marLeft w:val="0"/>
      <w:marRight w:val="0"/>
      <w:marTop w:val="0"/>
      <w:marBottom w:val="0"/>
      <w:divBdr>
        <w:top w:val="none" w:sz="0" w:space="0" w:color="auto"/>
        <w:left w:val="none" w:sz="0" w:space="0" w:color="auto"/>
        <w:bottom w:val="none" w:sz="0" w:space="0" w:color="auto"/>
        <w:right w:val="none" w:sz="0" w:space="0" w:color="auto"/>
      </w:divBdr>
    </w:div>
    <w:div w:id="1466041121">
      <w:bodyDiv w:val="1"/>
      <w:marLeft w:val="0"/>
      <w:marRight w:val="0"/>
      <w:marTop w:val="0"/>
      <w:marBottom w:val="0"/>
      <w:divBdr>
        <w:top w:val="none" w:sz="0" w:space="0" w:color="auto"/>
        <w:left w:val="none" w:sz="0" w:space="0" w:color="auto"/>
        <w:bottom w:val="none" w:sz="0" w:space="0" w:color="auto"/>
        <w:right w:val="none" w:sz="0" w:space="0" w:color="auto"/>
      </w:divBdr>
    </w:div>
    <w:div w:id="1466122572">
      <w:bodyDiv w:val="1"/>
      <w:marLeft w:val="0"/>
      <w:marRight w:val="0"/>
      <w:marTop w:val="0"/>
      <w:marBottom w:val="0"/>
      <w:divBdr>
        <w:top w:val="none" w:sz="0" w:space="0" w:color="auto"/>
        <w:left w:val="none" w:sz="0" w:space="0" w:color="auto"/>
        <w:bottom w:val="none" w:sz="0" w:space="0" w:color="auto"/>
        <w:right w:val="none" w:sz="0" w:space="0" w:color="auto"/>
      </w:divBdr>
    </w:div>
    <w:div w:id="1466311382">
      <w:bodyDiv w:val="1"/>
      <w:marLeft w:val="0"/>
      <w:marRight w:val="0"/>
      <w:marTop w:val="0"/>
      <w:marBottom w:val="0"/>
      <w:divBdr>
        <w:top w:val="none" w:sz="0" w:space="0" w:color="auto"/>
        <w:left w:val="none" w:sz="0" w:space="0" w:color="auto"/>
        <w:bottom w:val="none" w:sz="0" w:space="0" w:color="auto"/>
        <w:right w:val="none" w:sz="0" w:space="0" w:color="auto"/>
      </w:divBdr>
    </w:div>
    <w:div w:id="1466313914">
      <w:bodyDiv w:val="1"/>
      <w:marLeft w:val="0"/>
      <w:marRight w:val="0"/>
      <w:marTop w:val="0"/>
      <w:marBottom w:val="0"/>
      <w:divBdr>
        <w:top w:val="none" w:sz="0" w:space="0" w:color="auto"/>
        <w:left w:val="none" w:sz="0" w:space="0" w:color="auto"/>
        <w:bottom w:val="none" w:sz="0" w:space="0" w:color="auto"/>
        <w:right w:val="none" w:sz="0" w:space="0" w:color="auto"/>
      </w:divBdr>
    </w:div>
    <w:div w:id="1466384364">
      <w:bodyDiv w:val="1"/>
      <w:marLeft w:val="0"/>
      <w:marRight w:val="0"/>
      <w:marTop w:val="0"/>
      <w:marBottom w:val="0"/>
      <w:divBdr>
        <w:top w:val="none" w:sz="0" w:space="0" w:color="auto"/>
        <w:left w:val="none" w:sz="0" w:space="0" w:color="auto"/>
        <w:bottom w:val="none" w:sz="0" w:space="0" w:color="auto"/>
        <w:right w:val="none" w:sz="0" w:space="0" w:color="auto"/>
      </w:divBdr>
    </w:div>
    <w:div w:id="1466434573">
      <w:bodyDiv w:val="1"/>
      <w:marLeft w:val="0"/>
      <w:marRight w:val="0"/>
      <w:marTop w:val="0"/>
      <w:marBottom w:val="0"/>
      <w:divBdr>
        <w:top w:val="none" w:sz="0" w:space="0" w:color="auto"/>
        <w:left w:val="none" w:sz="0" w:space="0" w:color="auto"/>
        <w:bottom w:val="none" w:sz="0" w:space="0" w:color="auto"/>
        <w:right w:val="none" w:sz="0" w:space="0" w:color="auto"/>
      </w:divBdr>
    </w:div>
    <w:div w:id="1466465550">
      <w:bodyDiv w:val="1"/>
      <w:marLeft w:val="0"/>
      <w:marRight w:val="0"/>
      <w:marTop w:val="0"/>
      <w:marBottom w:val="0"/>
      <w:divBdr>
        <w:top w:val="none" w:sz="0" w:space="0" w:color="auto"/>
        <w:left w:val="none" w:sz="0" w:space="0" w:color="auto"/>
        <w:bottom w:val="none" w:sz="0" w:space="0" w:color="auto"/>
        <w:right w:val="none" w:sz="0" w:space="0" w:color="auto"/>
      </w:divBdr>
    </w:div>
    <w:div w:id="1466655973">
      <w:bodyDiv w:val="1"/>
      <w:marLeft w:val="0"/>
      <w:marRight w:val="0"/>
      <w:marTop w:val="0"/>
      <w:marBottom w:val="0"/>
      <w:divBdr>
        <w:top w:val="none" w:sz="0" w:space="0" w:color="auto"/>
        <w:left w:val="none" w:sz="0" w:space="0" w:color="auto"/>
        <w:bottom w:val="none" w:sz="0" w:space="0" w:color="auto"/>
        <w:right w:val="none" w:sz="0" w:space="0" w:color="auto"/>
      </w:divBdr>
    </w:div>
    <w:div w:id="1466728357">
      <w:bodyDiv w:val="1"/>
      <w:marLeft w:val="0"/>
      <w:marRight w:val="0"/>
      <w:marTop w:val="0"/>
      <w:marBottom w:val="0"/>
      <w:divBdr>
        <w:top w:val="none" w:sz="0" w:space="0" w:color="auto"/>
        <w:left w:val="none" w:sz="0" w:space="0" w:color="auto"/>
        <w:bottom w:val="none" w:sz="0" w:space="0" w:color="auto"/>
        <w:right w:val="none" w:sz="0" w:space="0" w:color="auto"/>
      </w:divBdr>
    </w:div>
    <w:div w:id="1466850457">
      <w:bodyDiv w:val="1"/>
      <w:marLeft w:val="0"/>
      <w:marRight w:val="0"/>
      <w:marTop w:val="0"/>
      <w:marBottom w:val="0"/>
      <w:divBdr>
        <w:top w:val="none" w:sz="0" w:space="0" w:color="auto"/>
        <w:left w:val="none" w:sz="0" w:space="0" w:color="auto"/>
        <w:bottom w:val="none" w:sz="0" w:space="0" w:color="auto"/>
        <w:right w:val="none" w:sz="0" w:space="0" w:color="auto"/>
      </w:divBdr>
    </w:div>
    <w:div w:id="1467040522">
      <w:bodyDiv w:val="1"/>
      <w:marLeft w:val="0"/>
      <w:marRight w:val="0"/>
      <w:marTop w:val="0"/>
      <w:marBottom w:val="0"/>
      <w:divBdr>
        <w:top w:val="none" w:sz="0" w:space="0" w:color="auto"/>
        <w:left w:val="none" w:sz="0" w:space="0" w:color="auto"/>
        <w:bottom w:val="none" w:sz="0" w:space="0" w:color="auto"/>
        <w:right w:val="none" w:sz="0" w:space="0" w:color="auto"/>
      </w:divBdr>
    </w:div>
    <w:div w:id="1467041519">
      <w:bodyDiv w:val="1"/>
      <w:marLeft w:val="0"/>
      <w:marRight w:val="0"/>
      <w:marTop w:val="0"/>
      <w:marBottom w:val="0"/>
      <w:divBdr>
        <w:top w:val="none" w:sz="0" w:space="0" w:color="auto"/>
        <w:left w:val="none" w:sz="0" w:space="0" w:color="auto"/>
        <w:bottom w:val="none" w:sz="0" w:space="0" w:color="auto"/>
        <w:right w:val="none" w:sz="0" w:space="0" w:color="auto"/>
      </w:divBdr>
    </w:div>
    <w:div w:id="1467048853">
      <w:bodyDiv w:val="1"/>
      <w:marLeft w:val="0"/>
      <w:marRight w:val="0"/>
      <w:marTop w:val="0"/>
      <w:marBottom w:val="0"/>
      <w:divBdr>
        <w:top w:val="none" w:sz="0" w:space="0" w:color="auto"/>
        <w:left w:val="none" w:sz="0" w:space="0" w:color="auto"/>
        <w:bottom w:val="none" w:sz="0" w:space="0" w:color="auto"/>
        <w:right w:val="none" w:sz="0" w:space="0" w:color="auto"/>
      </w:divBdr>
    </w:div>
    <w:div w:id="1467121300">
      <w:bodyDiv w:val="1"/>
      <w:marLeft w:val="0"/>
      <w:marRight w:val="0"/>
      <w:marTop w:val="0"/>
      <w:marBottom w:val="0"/>
      <w:divBdr>
        <w:top w:val="none" w:sz="0" w:space="0" w:color="auto"/>
        <w:left w:val="none" w:sz="0" w:space="0" w:color="auto"/>
        <w:bottom w:val="none" w:sz="0" w:space="0" w:color="auto"/>
        <w:right w:val="none" w:sz="0" w:space="0" w:color="auto"/>
      </w:divBdr>
    </w:div>
    <w:div w:id="1467164934">
      <w:bodyDiv w:val="1"/>
      <w:marLeft w:val="0"/>
      <w:marRight w:val="0"/>
      <w:marTop w:val="0"/>
      <w:marBottom w:val="0"/>
      <w:divBdr>
        <w:top w:val="none" w:sz="0" w:space="0" w:color="auto"/>
        <w:left w:val="none" w:sz="0" w:space="0" w:color="auto"/>
        <w:bottom w:val="none" w:sz="0" w:space="0" w:color="auto"/>
        <w:right w:val="none" w:sz="0" w:space="0" w:color="auto"/>
      </w:divBdr>
    </w:div>
    <w:div w:id="1467308788">
      <w:bodyDiv w:val="1"/>
      <w:marLeft w:val="0"/>
      <w:marRight w:val="0"/>
      <w:marTop w:val="0"/>
      <w:marBottom w:val="0"/>
      <w:divBdr>
        <w:top w:val="none" w:sz="0" w:space="0" w:color="auto"/>
        <w:left w:val="none" w:sz="0" w:space="0" w:color="auto"/>
        <w:bottom w:val="none" w:sz="0" w:space="0" w:color="auto"/>
        <w:right w:val="none" w:sz="0" w:space="0" w:color="auto"/>
      </w:divBdr>
    </w:div>
    <w:div w:id="1467351796">
      <w:bodyDiv w:val="1"/>
      <w:marLeft w:val="0"/>
      <w:marRight w:val="0"/>
      <w:marTop w:val="0"/>
      <w:marBottom w:val="0"/>
      <w:divBdr>
        <w:top w:val="none" w:sz="0" w:space="0" w:color="auto"/>
        <w:left w:val="none" w:sz="0" w:space="0" w:color="auto"/>
        <w:bottom w:val="none" w:sz="0" w:space="0" w:color="auto"/>
        <w:right w:val="none" w:sz="0" w:space="0" w:color="auto"/>
      </w:divBdr>
    </w:div>
    <w:div w:id="1467431976">
      <w:bodyDiv w:val="1"/>
      <w:marLeft w:val="0"/>
      <w:marRight w:val="0"/>
      <w:marTop w:val="0"/>
      <w:marBottom w:val="0"/>
      <w:divBdr>
        <w:top w:val="none" w:sz="0" w:space="0" w:color="auto"/>
        <w:left w:val="none" w:sz="0" w:space="0" w:color="auto"/>
        <w:bottom w:val="none" w:sz="0" w:space="0" w:color="auto"/>
        <w:right w:val="none" w:sz="0" w:space="0" w:color="auto"/>
      </w:divBdr>
    </w:div>
    <w:div w:id="1467694866">
      <w:bodyDiv w:val="1"/>
      <w:marLeft w:val="0"/>
      <w:marRight w:val="0"/>
      <w:marTop w:val="0"/>
      <w:marBottom w:val="0"/>
      <w:divBdr>
        <w:top w:val="none" w:sz="0" w:space="0" w:color="auto"/>
        <w:left w:val="none" w:sz="0" w:space="0" w:color="auto"/>
        <w:bottom w:val="none" w:sz="0" w:space="0" w:color="auto"/>
        <w:right w:val="none" w:sz="0" w:space="0" w:color="auto"/>
      </w:divBdr>
    </w:div>
    <w:div w:id="1467747126">
      <w:bodyDiv w:val="1"/>
      <w:marLeft w:val="0"/>
      <w:marRight w:val="0"/>
      <w:marTop w:val="0"/>
      <w:marBottom w:val="0"/>
      <w:divBdr>
        <w:top w:val="none" w:sz="0" w:space="0" w:color="auto"/>
        <w:left w:val="none" w:sz="0" w:space="0" w:color="auto"/>
        <w:bottom w:val="none" w:sz="0" w:space="0" w:color="auto"/>
        <w:right w:val="none" w:sz="0" w:space="0" w:color="auto"/>
      </w:divBdr>
    </w:div>
    <w:div w:id="1467774212">
      <w:bodyDiv w:val="1"/>
      <w:marLeft w:val="0"/>
      <w:marRight w:val="0"/>
      <w:marTop w:val="0"/>
      <w:marBottom w:val="0"/>
      <w:divBdr>
        <w:top w:val="none" w:sz="0" w:space="0" w:color="auto"/>
        <w:left w:val="none" w:sz="0" w:space="0" w:color="auto"/>
        <w:bottom w:val="none" w:sz="0" w:space="0" w:color="auto"/>
        <w:right w:val="none" w:sz="0" w:space="0" w:color="auto"/>
      </w:divBdr>
    </w:div>
    <w:div w:id="1467814441">
      <w:bodyDiv w:val="1"/>
      <w:marLeft w:val="0"/>
      <w:marRight w:val="0"/>
      <w:marTop w:val="0"/>
      <w:marBottom w:val="0"/>
      <w:divBdr>
        <w:top w:val="none" w:sz="0" w:space="0" w:color="auto"/>
        <w:left w:val="none" w:sz="0" w:space="0" w:color="auto"/>
        <w:bottom w:val="none" w:sz="0" w:space="0" w:color="auto"/>
        <w:right w:val="none" w:sz="0" w:space="0" w:color="auto"/>
      </w:divBdr>
    </w:div>
    <w:div w:id="1467822303">
      <w:bodyDiv w:val="1"/>
      <w:marLeft w:val="0"/>
      <w:marRight w:val="0"/>
      <w:marTop w:val="0"/>
      <w:marBottom w:val="0"/>
      <w:divBdr>
        <w:top w:val="none" w:sz="0" w:space="0" w:color="auto"/>
        <w:left w:val="none" w:sz="0" w:space="0" w:color="auto"/>
        <w:bottom w:val="none" w:sz="0" w:space="0" w:color="auto"/>
        <w:right w:val="none" w:sz="0" w:space="0" w:color="auto"/>
      </w:divBdr>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67897482">
      <w:bodyDiv w:val="1"/>
      <w:marLeft w:val="0"/>
      <w:marRight w:val="0"/>
      <w:marTop w:val="0"/>
      <w:marBottom w:val="0"/>
      <w:divBdr>
        <w:top w:val="none" w:sz="0" w:space="0" w:color="auto"/>
        <w:left w:val="none" w:sz="0" w:space="0" w:color="auto"/>
        <w:bottom w:val="none" w:sz="0" w:space="0" w:color="auto"/>
        <w:right w:val="none" w:sz="0" w:space="0" w:color="auto"/>
      </w:divBdr>
    </w:div>
    <w:div w:id="1468012577">
      <w:bodyDiv w:val="1"/>
      <w:marLeft w:val="0"/>
      <w:marRight w:val="0"/>
      <w:marTop w:val="0"/>
      <w:marBottom w:val="0"/>
      <w:divBdr>
        <w:top w:val="none" w:sz="0" w:space="0" w:color="auto"/>
        <w:left w:val="none" w:sz="0" w:space="0" w:color="auto"/>
        <w:bottom w:val="none" w:sz="0" w:space="0" w:color="auto"/>
        <w:right w:val="none" w:sz="0" w:space="0" w:color="auto"/>
      </w:divBdr>
    </w:div>
    <w:div w:id="1468163445">
      <w:bodyDiv w:val="1"/>
      <w:marLeft w:val="0"/>
      <w:marRight w:val="0"/>
      <w:marTop w:val="0"/>
      <w:marBottom w:val="0"/>
      <w:divBdr>
        <w:top w:val="none" w:sz="0" w:space="0" w:color="auto"/>
        <w:left w:val="none" w:sz="0" w:space="0" w:color="auto"/>
        <w:bottom w:val="none" w:sz="0" w:space="0" w:color="auto"/>
        <w:right w:val="none" w:sz="0" w:space="0" w:color="auto"/>
      </w:divBdr>
    </w:div>
    <w:div w:id="1468473787">
      <w:bodyDiv w:val="1"/>
      <w:marLeft w:val="0"/>
      <w:marRight w:val="0"/>
      <w:marTop w:val="0"/>
      <w:marBottom w:val="0"/>
      <w:divBdr>
        <w:top w:val="none" w:sz="0" w:space="0" w:color="auto"/>
        <w:left w:val="none" w:sz="0" w:space="0" w:color="auto"/>
        <w:bottom w:val="none" w:sz="0" w:space="0" w:color="auto"/>
        <w:right w:val="none" w:sz="0" w:space="0" w:color="auto"/>
      </w:divBdr>
    </w:div>
    <w:div w:id="1468545354">
      <w:bodyDiv w:val="1"/>
      <w:marLeft w:val="0"/>
      <w:marRight w:val="0"/>
      <w:marTop w:val="0"/>
      <w:marBottom w:val="0"/>
      <w:divBdr>
        <w:top w:val="none" w:sz="0" w:space="0" w:color="auto"/>
        <w:left w:val="none" w:sz="0" w:space="0" w:color="auto"/>
        <w:bottom w:val="none" w:sz="0" w:space="0" w:color="auto"/>
        <w:right w:val="none" w:sz="0" w:space="0" w:color="auto"/>
      </w:divBdr>
    </w:div>
    <w:div w:id="1468548947">
      <w:bodyDiv w:val="1"/>
      <w:marLeft w:val="0"/>
      <w:marRight w:val="0"/>
      <w:marTop w:val="0"/>
      <w:marBottom w:val="0"/>
      <w:divBdr>
        <w:top w:val="none" w:sz="0" w:space="0" w:color="auto"/>
        <w:left w:val="none" w:sz="0" w:space="0" w:color="auto"/>
        <w:bottom w:val="none" w:sz="0" w:space="0" w:color="auto"/>
        <w:right w:val="none" w:sz="0" w:space="0" w:color="auto"/>
      </w:divBdr>
    </w:div>
    <w:div w:id="1468663487">
      <w:bodyDiv w:val="1"/>
      <w:marLeft w:val="0"/>
      <w:marRight w:val="0"/>
      <w:marTop w:val="0"/>
      <w:marBottom w:val="0"/>
      <w:divBdr>
        <w:top w:val="none" w:sz="0" w:space="0" w:color="auto"/>
        <w:left w:val="none" w:sz="0" w:space="0" w:color="auto"/>
        <w:bottom w:val="none" w:sz="0" w:space="0" w:color="auto"/>
        <w:right w:val="none" w:sz="0" w:space="0" w:color="auto"/>
      </w:divBdr>
    </w:div>
    <w:div w:id="1468739218">
      <w:bodyDiv w:val="1"/>
      <w:marLeft w:val="0"/>
      <w:marRight w:val="0"/>
      <w:marTop w:val="0"/>
      <w:marBottom w:val="0"/>
      <w:divBdr>
        <w:top w:val="none" w:sz="0" w:space="0" w:color="auto"/>
        <w:left w:val="none" w:sz="0" w:space="0" w:color="auto"/>
        <w:bottom w:val="none" w:sz="0" w:space="0" w:color="auto"/>
        <w:right w:val="none" w:sz="0" w:space="0" w:color="auto"/>
      </w:divBdr>
    </w:div>
    <w:div w:id="1468815003">
      <w:bodyDiv w:val="1"/>
      <w:marLeft w:val="0"/>
      <w:marRight w:val="0"/>
      <w:marTop w:val="0"/>
      <w:marBottom w:val="0"/>
      <w:divBdr>
        <w:top w:val="none" w:sz="0" w:space="0" w:color="auto"/>
        <w:left w:val="none" w:sz="0" w:space="0" w:color="auto"/>
        <w:bottom w:val="none" w:sz="0" w:space="0" w:color="auto"/>
        <w:right w:val="none" w:sz="0" w:space="0" w:color="auto"/>
      </w:divBdr>
    </w:div>
    <w:div w:id="1468932870">
      <w:bodyDiv w:val="1"/>
      <w:marLeft w:val="0"/>
      <w:marRight w:val="0"/>
      <w:marTop w:val="0"/>
      <w:marBottom w:val="0"/>
      <w:divBdr>
        <w:top w:val="none" w:sz="0" w:space="0" w:color="auto"/>
        <w:left w:val="none" w:sz="0" w:space="0" w:color="auto"/>
        <w:bottom w:val="none" w:sz="0" w:space="0" w:color="auto"/>
        <w:right w:val="none" w:sz="0" w:space="0" w:color="auto"/>
      </w:divBdr>
    </w:div>
    <w:div w:id="1468937760">
      <w:bodyDiv w:val="1"/>
      <w:marLeft w:val="0"/>
      <w:marRight w:val="0"/>
      <w:marTop w:val="0"/>
      <w:marBottom w:val="0"/>
      <w:divBdr>
        <w:top w:val="none" w:sz="0" w:space="0" w:color="auto"/>
        <w:left w:val="none" w:sz="0" w:space="0" w:color="auto"/>
        <w:bottom w:val="none" w:sz="0" w:space="0" w:color="auto"/>
        <w:right w:val="none" w:sz="0" w:space="0" w:color="auto"/>
      </w:divBdr>
    </w:div>
    <w:div w:id="1469009265">
      <w:bodyDiv w:val="1"/>
      <w:marLeft w:val="0"/>
      <w:marRight w:val="0"/>
      <w:marTop w:val="0"/>
      <w:marBottom w:val="0"/>
      <w:divBdr>
        <w:top w:val="none" w:sz="0" w:space="0" w:color="auto"/>
        <w:left w:val="none" w:sz="0" w:space="0" w:color="auto"/>
        <w:bottom w:val="none" w:sz="0" w:space="0" w:color="auto"/>
        <w:right w:val="none" w:sz="0" w:space="0" w:color="auto"/>
      </w:divBdr>
    </w:div>
    <w:div w:id="1469011341">
      <w:bodyDiv w:val="1"/>
      <w:marLeft w:val="0"/>
      <w:marRight w:val="0"/>
      <w:marTop w:val="0"/>
      <w:marBottom w:val="0"/>
      <w:divBdr>
        <w:top w:val="none" w:sz="0" w:space="0" w:color="auto"/>
        <w:left w:val="none" w:sz="0" w:space="0" w:color="auto"/>
        <w:bottom w:val="none" w:sz="0" w:space="0" w:color="auto"/>
        <w:right w:val="none" w:sz="0" w:space="0" w:color="auto"/>
      </w:divBdr>
    </w:div>
    <w:div w:id="1469084630">
      <w:bodyDiv w:val="1"/>
      <w:marLeft w:val="0"/>
      <w:marRight w:val="0"/>
      <w:marTop w:val="0"/>
      <w:marBottom w:val="0"/>
      <w:divBdr>
        <w:top w:val="none" w:sz="0" w:space="0" w:color="auto"/>
        <w:left w:val="none" w:sz="0" w:space="0" w:color="auto"/>
        <w:bottom w:val="none" w:sz="0" w:space="0" w:color="auto"/>
        <w:right w:val="none" w:sz="0" w:space="0" w:color="auto"/>
      </w:divBdr>
    </w:div>
    <w:div w:id="1469279281">
      <w:bodyDiv w:val="1"/>
      <w:marLeft w:val="0"/>
      <w:marRight w:val="0"/>
      <w:marTop w:val="0"/>
      <w:marBottom w:val="0"/>
      <w:divBdr>
        <w:top w:val="none" w:sz="0" w:space="0" w:color="auto"/>
        <w:left w:val="none" w:sz="0" w:space="0" w:color="auto"/>
        <w:bottom w:val="none" w:sz="0" w:space="0" w:color="auto"/>
        <w:right w:val="none" w:sz="0" w:space="0" w:color="auto"/>
      </w:divBdr>
    </w:div>
    <w:div w:id="1469318530">
      <w:bodyDiv w:val="1"/>
      <w:marLeft w:val="0"/>
      <w:marRight w:val="0"/>
      <w:marTop w:val="0"/>
      <w:marBottom w:val="0"/>
      <w:divBdr>
        <w:top w:val="none" w:sz="0" w:space="0" w:color="auto"/>
        <w:left w:val="none" w:sz="0" w:space="0" w:color="auto"/>
        <w:bottom w:val="none" w:sz="0" w:space="0" w:color="auto"/>
        <w:right w:val="none" w:sz="0" w:space="0" w:color="auto"/>
      </w:divBdr>
    </w:div>
    <w:div w:id="1469514692">
      <w:bodyDiv w:val="1"/>
      <w:marLeft w:val="0"/>
      <w:marRight w:val="0"/>
      <w:marTop w:val="0"/>
      <w:marBottom w:val="0"/>
      <w:divBdr>
        <w:top w:val="none" w:sz="0" w:space="0" w:color="auto"/>
        <w:left w:val="none" w:sz="0" w:space="0" w:color="auto"/>
        <w:bottom w:val="none" w:sz="0" w:space="0" w:color="auto"/>
        <w:right w:val="none" w:sz="0" w:space="0" w:color="auto"/>
      </w:divBdr>
    </w:div>
    <w:div w:id="1469586962">
      <w:bodyDiv w:val="1"/>
      <w:marLeft w:val="0"/>
      <w:marRight w:val="0"/>
      <w:marTop w:val="0"/>
      <w:marBottom w:val="0"/>
      <w:divBdr>
        <w:top w:val="none" w:sz="0" w:space="0" w:color="auto"/>
        <w:left w:val="none" w:sz="0" w:space="0" w:color="auto"/>
        <w:bottom w:val="none" w:sz="0" w:space="0" w:color="auto"/>
        <w:right w:val="none" w:sz="0" w:space="0" w:color="auto"/>
      </w:divBdr>
    </w:div>
    <w:div w:id="1469593714">
      <w:bodyDiv w:val="1"/>
      <w:marLeft w:val="0"/>
      <w:marRight w:val="0"/>
      <w:marTop w:val="0"/>
      <w:marBottom w:val="0"/>
      <w:divBdr>
        <w:top w:val="none" w:sz="0" w:space="0" w:color="auto"/>
        <w:left w:val="none" w:sz="0" w:space="0" w:color="auto"/>
        <w:bottom w:val="none" w:sz="0" w:space="0" w:color="auto"/>
        <w:right w:val="none" w:sz="0" w:space="0" w:color="auto"/>
      </w:divBdr>
    </w:div>
    <w:div w:id="1469669286">
      <w:bodyDiv w:val="1"/>
      <w:marLeft w:val="0"/>
      <w:marRight w:val="0"/>
      <w:marTop w:val="0"/>
      <w:marBottom w:val="0"/>
      <w:divBdr>
        <w:top w:val="none" w:sz="0" w:space="0" w:color="auto"/>
        <w:left w:val="none" w:sz="0" w:space="0" w:color="auto"/>
        <w:bottom w:val="none" w:sz="0" w:space="0" w:color="auto"/>
        <w:right w:val="none" w:sz="0" w:space="0" w:color="auto"/>
      </w:divBdr>
    </w:div>
    <w:div w:id="1469739982">
      <w:bodyDiv w:val="1"/>
      <w:marLeft w:val="0"/>
      <w:marRight w:val="0"/>
      <w:marTop w:val="0"/>
      <w:marBottom w:val="0"/>
      <w:divBdr>
        <w:top w:val="none" w:sz="0" w:space="0" w:color="auto"/>
        <w:left w:val="none" w:sz="0" w:space="0" w:color="auto"/>
        <w:bottom w:val="none" w:sz="0" w:space="0" w:color="auto"/>
        <w:right w:val="none" w:sz="0" w:space="0" w:color="auto"/>
      </w:divBdr>
    </w:div>
    <w:div w:id="1469934356">
      <w:bodyDiv w:val="1"/>
      <w:marLeft w:val="0"/>
      <w:marRight w:val="0"/>
      <w:marTop w:val="0"/>
      <w:marBottom w:val="0"/>
      <w:divBdr>
        <w:top w:val="none" w:sz="0" w:space="0" w:color="auto"/>
        <w:left w:val="none" w:sz="0" w:space="0" w:color="auto"/>
        <w:bottom w:val="none" w:sz="0" w:space="0" w:color="auto"/>
        <w:right w:val="none" w:sz="0" w:space="0" w:color="auto"/>
      </w:divBdr>
    </w:div>
    <w:div w:id="1470126291">
      <w:bodyDiv w:val="1"/>
      <w:marLeft w:val="0"/>
      <w:marRight w:val="0"/>
      <w:marTop w:val="0"/>
      <w:marBottom w:val="0"/>
      <w:divBdr>
        <w:top w:val="none" w:sz="0" w:space="0" w:color="auto"/>
        <w:left w:val="none" w:sz="0" w:space="0" w:color="auto"/>
        <w:bottom w:val="none" w:sz="0" w:space="0" w:color="auto"/>
        <w:right w:val="none" w:sz="0" w:space="0" w:color="auto"/>
      </w:divBdr>
    </w:div>
    <w:div w:id="1470171641">
      <w:bodyDiv w:val="1"/>
      <w:marLeft w:val="0"/>
      <w:marRight w:val="0"/>
      <w:marTop w:val="0"/>
      <w:marBottom w:val="0"/>
      <w:divBdr>
        <w:top w:val="none" w:sz="0" w:space="0" w:color="auto"/>
        <w:left w:val="none" w:sz="0" w:space="0" w:color="auto"/>
        <w:bottom w:val="none" w:sz="0" w:space="0" w:color="auto"/>
        <w:right w:val="none" w:sz="0" w:space="0" w:color="auto"/>
      </w:divBdr>
    </w:div>
    <w:div w:id="1470318849">
      <w:bodyDiv w:val="1"/>
      <w:marLeft w:val="0"/>
      <w:marRight w:val="0"/>
      <w:marTop w:val="0"/>
      <w:marBottom w:val="0"/>
      <w:divBdr>
        <w:top w:val="none" w:sz="0" w:space="0" w:color="auto"/>
        <w:left w:val="none" w:sz="0" w:space="0" w:color="auto"/>
        <w:bottom w:val="none" w:sz="0" w:space="0" w:color="auto"/>
        <w:right w:val="none" w:sz="0" w:space="0" w:color="auto"/>
      </w:divBdr>
    </w:div>
    <w:div w:id="1470512774">
      <w:bodyDiv w:val="1"/>
      <w:marLeft w:val="0"/>
      <w:marRight w:val="0"/>
      <w:marTop w:val="0"/>
      <w:marBottom w:val="0"/>
      <w:divBdr>
        <w:top w:val="none" w:sz="0" w:space="0" w:color="auto"/>
        <w:left w:val="none" w:sz="0" w:space="0" w:color="auto"/>
        <w:bottom w:val="none" w:sz="0" w:space="0" w:color="auto"/>
        <w:right w:val="none" w:sz="0" w:space="0" w:color="auto"/>
      </w:divBdr>
    </w:div>
    <w:div w:id="1470512879">
      <w:bodyDiv w:val="1"/>
      <w:marLeft w:val="0"/>
      <w:marRight w:val="0"/>
      <w:marTop w:val="0"/>
      <w:marBottom w:val="0"/>
      <w:divBdr>
        <w:top w:val="none" w:sz="0" w:space="0" w:color="auto"/>
        <w:left w:val="none" w:sz="0" w:space="0" w:color="auto"/>
        <w:bottom w:val="none" w:sz="0" w:space="0" w:color="auto"/>
        <w:right w:val="none" w:sz="0" w:space="0" w:color="auto"/>
      </w:divBdr>
    </w:div>
    <w:div w:id="1470517666">
      <w:bodyDiv w:val="1"/>
      <w:marLeft w:val="0"/>
      <w:marRight w:val="0"/>
      <w:marTop w:val="0"/>
      <w:marBottom w:val="0"/>
      <w:divBdr>
        <w:top w:val="none" w:sz="0" w:space="0" w:color="auto"/>
        <w:left w:val="none" w:sz="0" w:space="0" w:color="auto"/>
        <w:bottom w:val="none" w:sz="0" w:space="0" w:color="auto"/>
        <w:right w:val="none" w:sz="0" w:space="0" w:color="auto"/>
      </w:divBdr>
    </w:div>
    <w:div w:id="1470633799">
      <w:bodyDiv w:val="1"/>
      <w:marLeft w:val="0"/>
      <w:marRight w:val="0"/>
      <w:marTop w:val="0"/>
      <w:marBottom w:val="0"/>
      <w:divBdr>
        <w:top w:val="none" w:sz="0" w:space="0" w:color="auto"/>
        <w:left w:val="none" w:sz="0" w:space="0" w:color="auto"/>
        <w:bottom w:val="none" w:sz="0" w:space="0" w:color="auto"/>
        <w:right w:val="none" w:sz="0" w:space="0" w:color="auto"/>
      </w:divBdr>
    </w:div>
    <w:div w:id="1470660541">
      <w:bodyDiv w:val="1"/>
      <w:marLeft w:val="0"/>
      <w:marRight w:val="0"/>
      <w:marTop w:val="0"/>
      <w:marBottom w:val="0"/>
      <w:divBdr>
        <w:top w:val="none" w:sz="0" w:space="0" w:color="auto"/>
        <w:left w:val="none" w:sz="0" w:space="0" w:color="auto"/>
        <w:bottom w:val="none" w:sz="0" w:space="0" w:color="auto"/>
        <w:right w:val="none" w:sz="0" w:space="0" w:color="auto"/>
      </w:divBdr>
    </w:div>
    <w:div w:id="1470901621">
      <w:bodyDiv w:val="1"/>
      <w:marLeft w:val="0"/>
      <w:marRight w:val="0"/>
      <w:marTop w:val="0"/>
      <w:marBottom w:val="0"/>
      <w:divBdr>
        <w:top w:val="none" w:sz="0" w:space="0" w:color="auto"/>
        <w:left w:val="none" w:sz="0" w:space="0" w:color="auto"/>
        <w:bottom w:val="none" w:sz="0" w:space="0" w:color="auto"/>
        <w:right w:val="none" w:sz="0" w:space="0" w:color="auto"/>
      </w:divBdr>
    </w:div>
    <w:div w:id="1470901860">
      <w:bodyDiv w:val="1"/>
      <w:marLeft w:val="0"/>
      <w:marRight w:val="0"/>
      <w:marTop w:val="0"/>
      <w:marBottom w:val="0"/>
      <w:divBdr>
        <w:top w:val="none" w:sz="0" w:space="0" w:color="auto"/>
        <w:left w:val="none" w:sz="0" w:space="0" w:color="auto"/>
        <w:bottom w:val="none" w:sz="0" w:space="0" w:color="auto"/>
        <w:right w:val="none" w:sz="0" w:space="0" w:color="auto"/>
      </w:divBdr>
    </w:div>
    <w:div w:id="1471091001">
      <w:bodyDiv w:val="1"/>
      <w:marLeft w:val="0"/>
      <w:marRight w:val="0"/>
      <w:marTop w:val="0"/>
      <w:marBottom w:val="0"/>
      <w:divBdr>
        <w:top w:val="none" w:sz="0" w:space="0" w:color="auto"/>
        <w:left w:val="none" w:sz="0" w:space="0" w:color="auto"/>
        <w:bottom w:val="none" w:sz="0" w:space="0" w:color="auto"/>
        <w:right w:val="none" w:sz="0" w:space="0" w:color="auto"/>
      </w:divBdr>
    </w:div>
    <w:div w:id="1471093038">
      <w:bodyDiv w:val="1"/>
      <w:marLeft w:val="0"/>
      <w:marRight w:val="0"/>
      <w:marTop w:val="0"/>
      <w:marBottom w:val="0"/>
      <w:divBdr>
        <w:top w:val="none" w:sz="0" w:space="0" w:color="auto"/>
        <w:left w:val="none" w:sz="0" w:space="0" w:color="auto"/>
        <w:bottom w:val="none" w:sz="0" w:space="0" w:color="auto"/>
        <w:right w:val="none" w:sz="0" w:space="0" w:color="auto"/>
      </w:divBdr>
    </w:div>
    <w:div w:id="1471095326">
      <w:bodyDiv w:val="1"/>
      <w:marLeft w:val="0"/>
      <w:marRight w:val="0"/>
      <w:marTop w:val="0"/>
      <w:marBottom w:val="0"/>
      <w:divBdr>
        <w:top w:val="none" w:sz="0" w:space="0" w:color="auto"/>
        <w:left w:val="none" w:sz="0" w:space="0" w:color="auto"/>
        <w:bottom w:val="none" w:sz="0" w:space="0" w:color="auto"/>
        <w:right w:val="none" w:sz="0" w:space="0" w:color="auto"/>
      </w:divBdr>
    </w:div>
    <w:div w:id="1471171609">
      <w:bodyDiv w:val="1"/>
      <w:marLeft w:val="0"/>
      <w:marRight w:val="0"/>
      <w:marTop w:val="0"/>
      <w:marBottom w:val="0"/>
      <w:divBdr>
        <w:top w:val="none" w:sz="0" w:space="0" w:color="auto"/>
        <w:left w:val="none" w:sz="0" w:space="0" w:color="auto"/>
        <w:bottom w:val="none" w:sz="0" w:space="0" w:color="auto"/>
        <w:right w:val="none" w:sz="0" w:space="0" w:color="auto"/>
      </w:divBdr>
    </w:div>
    <w:div w:id="1471247318">
      <w:bodyDiv w:val="1"/>
      <w:marLeft w:val="0"/>
      <w:marRight w:val="0"/>
      <w:marTop w:val="0"/>
      <w:marBottom w:val="0"/>
      <w:divBdr>
        <w:top w:val="none" w:sz="0" w:space="0" w:color="auto"/>
        <w:left w:val="none" w:sz="0" w:space="0" w:color="auto"/>
        <w:bottom w:val="none" w:sz="0" w:space="0" w:color="auto"/>
        <w:right w:val="none" w:sz="0" w:space="0" w:color="auto"/>
      </w:divBdr>
    </w:div>
    <w:div w:id="1471291925">
      <w:bodyDiv w:val="1"/>
      <w:marLeft w:val="0"/>
      <w:marRight w:val="0"/>
      <w:marTop w:val="0"/>
      <w:marBottom w:val="0"/>
      <w:divBdr>
        <w:top w:val="none" w:sz="0" w:space="0" w:color="auto"/>
        <w:left w:val="none" w:sz="0" w:space="0" w:color="auto"/>
        <w:bottom w:val="none" w:sz="0" w:space="0" w:color="auto"/>
        <w:right w:val="none" w:sz="0" w:space="0" w:color="auto"/>
      </w:divBdr>
    </w:div>
    <w:div w:id="1471358032">
      <w:bodyDiv w:val="1"/>
      <w:marLeft w:val="0"/>
      <w:marRight w:val="0"/>
      <w:marTop w:val="0"/>
      <w:marBottom w:val="0"/>
      <w:divBdr>
        <w:top w:val="none" w:sz="0" w:space="0" w:color="auto"/>
        <w:left w:val="none" w:sz="0" w:space="0" w:color="auto"/>
        <w:bottom w:val="none" w:sz="0" w:space="0" w:color="auto"/>
        <w:right w:val="none" w:sz="0" w:space="0" w:color="auto"/>
      </w:divBdr>
    </w:div>
    <w:div w:id="1471362218">
      <w:bodyDiv w:val="1"/>
      <w:marLeft w:val="0"/>
      <w:marRight w:val="0"/>
      <w:marTop w:val="0"/>
      <w:marBottom w:val="0"/>
      <w:divBdr>
        <w:top w:val="none" w:sz="0" w:space="0" w:color="auto"/>
        <w:left w:val="none" w:sz="0" w:space="0" w:color="auto"/>
        <w:bottom w:val="none" w:sz="0" w:space="0" w:color="auto"/>
        <w:right w:val="none" w:sz="0" w:space="0" w:color="auto"/>
      </w:divBdr>
    </w:div>
    <w:div w:id="1471558107">
      <w:bodyDiv w:val="1"/>
      <w:marLeft w:val="0"/>
      <w:marRight w:val="0"/>
      <w:marTop w:val="0"/>
      <w:marBottom w:val="0"/>
      <w:divBdr>
        <w:top w:val="none" w:sz="0" w:space="0" w:color="auto"/>
        <w:left w:val="none" w:sz="0" w:space="0" w:color="auto"/>
        <w:bottom w:val="none" w:sz="0" w:space="0" w:color="auto"/>
        <w:right w:val="none" w:sz="0" w:space="0" w:color="auto"/>
      </w:divBdr>
    </w:div>
    <w:div w:id="1471560106">
      <w:bodyDiv w:val="1"/>
      <w:marLeft w:val="0"/>
      <w:marRight w:val="0"/>
      <w:marTop w:val="0"/>
      <w:marBottom w:val="0"/>
      <w:divBdr>
        <w:top w:val="none" w:sz="0" w:space="0" w:color="auto"/>
        <w:left w:val="none" w:sz="0" w:space="0" w:color="auto"/>
        <w:bottom w:val="none" w:sz="0" w:space="0" w:color="auto"/>
        <w:right w:val="none" w:sz="0" w:space="0" w:color="auto"/>
      </w:divBdr>
    </w:div>
    <w:div w:id="1471707775">
      <w:bodyDiv w:val="1"/>
      <w:marLeft w:val="0"/>
      <w:marRight w:val="0"/>
      <w:marTop w:val="0"/>
      <w:marBottom w:val="0"/>
      <w:divBdr>
        <w:top w:val="none" w:sz="0" w:space="0" w:color="auto"/>
        <w:left w:val="none" w:sz="0" w:space="0" w:color="auto"/>
        <w:bottom w:val="none" w:sz="0" w:space="0" w:color="auto"/>
        <w:right w:val="none" w:sz="0" w:space="0" w:color="auto"/>
      </w:divBdr>
    </w:div>
    <w:div w:id="1471751146">
      <w:bodyDiv w:val="1"/>
      <w:marLeft w:val="0"/>
      <w:marRight w:val="0"/>
      <w:marTop w:val="0"/>
      <w:marBottom w:val="0"/>
      <w:divBdr>
        <w:top w:val="none" w:sz="0" w:space="0" w:color="auto"/>
        <w:left w:val="none" w:sz="0" w:space="0" w:color="auto"/>
        <w:bottom w:val="none" w:sz="0" w:space="0" w:color="auto"/>
        <w:right w:val="none" w:sz="0" w:space="0" w:color="auto"/>
      </w:divBdr>
    </w:div>
    <w:div w:id="1471826716">
      <w:bodyDiv w:val="1"/>
      <w:marLeft w:val="0"/>
      <w:marRight w:val="0"/>
      <w:marTop w:val="0"/>
      <w:marBottom w:val="0"/>
      <w:divBdr>
        <w:top w:val="none" w:sz="0" w:space="0" w:color="auto"/>
        <w:left w:val="none" w:sz="0" w:space="0" w:color="auto"/>
        <w:bottom w:val="none" w:sz="0" w:space="0" w:color="auto"/>
        <w:right w:val="none" w:sz="0" w:space="0" w:color="auto"/>
      </w:divBdr>
    </w:div>
    <w:div w:id="1471970778">
      <w:bodyDiv w:val="1"/>
      <w:marLeft w:val="0"/>
      <w:marRight w:val="0"/>
      <w:marTop w:val="0"/>
      <w:marBottom w:val="0"/>
      <w:divBdr>
        <w:top w:val="none" w:sz="0" w:space="0" w:color="auto"/>
        <w:left w:val="none" w:sz="0" w:space="0" w:color="auto"/>
        <w:bottom w:val="none" w:sz="0" w:space="0" w:color="auto"/>
        <w:right w:val="none" w:sz="0" w:space="0" w:color="auto"/>
      </w:divBdr>
    </w:div>
    <w:div w:id="1472017077">
      <w:bodyDiv w:val="1"/>
      <w:marLeft w:val="0"/>
      <w:marRight w:val="0"/>
      <w:marTop w:val="0"/>
      <w:marBottom w:val="0"/>
      <w:divBdr>
        <w:top w:val="none" w:sz="0" w:space="0" w:color="auto"/>
        <w:left w:val="none" w:sz="0" w:space="0" w:color="auto"/>
        <w:bottom w:val="none" w:sz="0" w:space="0" w:color="auto"/>
        <w:right w:val="none" w:sz="0" w:space="0" w:color="auto"/>
      </w:divBdr>
    </w:div>
    <w:div w:id="1472090063">
      <w:bodyDiv w:val="1"/>
      <w:marLeft w:val="0"/>
      <w:marRight w:val="0"/>
      <w:marTop w:val="0"/>
      <w:marBottom w:val="0"/>
      <w:divBdr>
        <w:top w:val="none" w:sz="0" w:space="0" w:color="auto"/>
        <w:left w:val="none" w:sz="0" w:space="0" w:color="auto"/>
        <w:bottom w:val="none" w:sz="0" w:space="0" w:color="auto"/>
        <w:right w:val="none" w:sz="0" w:space="0" w:color="auto"/>
      </w:divBdr>
    </w:div>
    <w:div w:id="1472213883">
      <w:bodyDiv w:val="1"/>
      <w:marLeft w:val="0"/>
      <w:marRight w:val="0"/>
      <w:marTop w:val="0"/>
      <w:marBottom w:val="0"/>
      <w:divBdr>
        <w:top w:val="none" w:sz="0" w:space="0" w:color="auto"/>
        <w:left w:val="none" w:sz="0" w:space="0" w:color="auto"/>
        <w:bottom w:val="none" w:sz="0" w:space="0" w:color="auto"/>
        <w:right w:val="none" w:sz="0" w:space="0" w:color="auto"/>
      </w:divBdr>
    </w:div>
    <w:div w:id="1472361588">
      <w:bodyDiv w:val="1"/>
      <w:marLeft w:val="0"/>
      <w:marRight w:val="0"/>
      <w:marTop w:val="0"/>
      <w:marBottom w:val="0"/>
      <w:divBdr>
        <w:top w:val="none" w:sz="0" w:space="0" w:color="auto"/>
        <w:left w:val="none" w:sz="0" w:space="0" w:color="auto"/>
        <w:bottom w:val="none" w:sz="0" w:space="0" w:color="auto"/>
        <w:right w:val="none" w:sz="0" w:space="0" w:color="auto"/>
      </w:divBdr>
    </w:div>
    <w:div w:id="1472408794">
      <w:bodyDiv w:val="1"/>
      <w:marLeft w:val="0"/>
      <w:marRight w:val="0"/>
      <w:marTop w:val="0"/>
      <w:marBottom w:val="0"/>
      <w:divBdr>
        <w:top w:val="none" w:sz="0" w:space="0" w:color="auto"/>
        <w:left w:val="none" w:sz="0" w:space="0" w:color="auto"/>
        <w:bottom w:val="none" w:sz="0" w:space="0" w:color="auto"/>
        <w:right w:val="none" w:sz="0" w:space="0" w:color="auto"/>
      </w:divBdr>
    </w:div>
    <w:div w:id="1472475032">
      <w:bodyDiv w:val="1"/>
      <w:marLeft w:val="0"/>
      <w:marRight w:val="0"/>
      <w:marTop w:val="0"/>
      <w:marBottom w:val="0"/>
      <w:divBdr>
        <w:top w:val="none" w:sz="0" w:space="0" w:color="auto"/>
        <w:left w:val="none" w:sz="0" w:space="0" w:color="auto"/>
        <w:bottom w:val="none" w:sz="0" w:space="0" w:color="auto"/>
        <w:right w:val="none" w:sz="0" w:space="0" w:color="auto"/>
      </w:divBdr>
    </w:div>
    <w:div w:id="1472477588">
      <w:bodyDiv w:val="1"/>
      <w:marLeft w:val="0"/>
      <w:marRight w:val="0"/>
      <w:marTop w:val="0"/>
      <w:marBottom w:val="0"/>
      <w:divBdr>
        <w:top w:val="none" w:sz="0" w:space="0" w:color="auto"/>
        <w:left w:val="none" w:sz="0" w:space="0" w:color="auto"/>
        <w:bottom w:val="none" w:sz="0" w:space="0" w:color="auto"/>
        <w:right w:val="none" w:sz="0" w:space="0" w:color="auto"/>
      </w:divBdr>
    </w:div>
    <w:div w:id="1472551098">
      <w:bodyDiv w:val="1"/>
      <w:marLeft w:val="0"/>
      <w:marRight w:val="0"/>
      <w:marTop w:val="0"/>
      <w:marBottom w:val="0"/>
      <w:divBdr>
        <w:top w:val="none" w:sz="0" w:space="0" w:color="auto"/>
        <w:left w:val="none" w:sz="0" w:space="0" w:color="auto"/>
        <w:bottom w:val="none" w:sz="0" w:space="0" w:color="auto"/>
        <w:right w:val="none" w:sz="0" w:space="0" w:color="auto"/>
      </w:divBdr>
    </w:div>
    <w:div w:id="1472554827">
      <w:bodyDiv w:val="1"/>
      <w:marLeft w:val="0"/>
      <w:marRight w:val="0"/>
      <w:marTop w:val="0"/>
      <w:marBottom w:val="0"/>
      <w:divBdr>
        <w:top w:val="none" w:sz="0" w:space="0" w:color="auto"/>
        <w:left w:val="none" w:sz="0" w:space="0" w:color="auto"/>
        <w:bottom w:val="none" w:sz="0" w:space="0" w:color="auto"/>
        <w:right w:val="none" w:sz="0" w:space="0" w:color="auto"/>
      </w:divBdr>
    </w:div>
    <w:div w:id="1472596349">
      <w:bodyDiv w:val="1"/>
      <w:marLeft w:val="0"/>
      <w:marRight w:val="0"/>
      <w:marTop w:val="0"/>
      <w:marBottom w:val="0"/>
      <w:divBdr>
        <w:top w:val="none" w:sz="0" w:space="0" w:color="auto"/>
        <w:left w:val="none" w:sz="0" w:space="0" w:color="auto"/>
        <w:bottom w:val="none" w:sz="0" w:space="0" w:color="auto"/>
        <w:right w:val="none" w:sz="0" w:space="0" w:color="auto"/>
      </w:divBdr>
    </w:div>
    <w:div w:id="1472749171">
      <w:bodyDiv w:val="1"/>
      <w:marLeft w:val="0"/>
      <w:marRight w:val="0"/>
      <w:marTop w:val="0"/>
      <w:marBottom w:val="0"/>
      <w:divBdr>
        <w:top w:val="none" w:sz="0" w:space="0" w:color="auto"/>
        <w:left w:val="none" w:sz="0" w:space="0" w:color="auto"/>
        <w:bottom w:val="none" w:sz="0" w:space="0" w:color="auto"/>
        <w:right w:val="none" w:sz="0" w:space="0" w:color="auto"/>
      </w:divBdr>
    </w:div>
    <w:div w:id="1472862233">
      <w:bodyDiv w:val="1"/>
      <w:marLeft w:val="0"/>
      <w:marRight w:val="0"/>
      <w:marTop w:val="0"/>
      <w:marBottom w:val="0"/>
      <w:divBdr>
        <w:top w:val="none" w:sz="0" w:space="0" w:color="auto"/>
        <w:left w:val="none" w:sz="0" w:space="0" w:color="auto"/>
        <w:bottom w:val="none" w:sz="0" w:space="0" w:color="auto"/>
        <w:right w:val="none" w:sz="0" w:space="0" w:color="auto"/>
      </w:divBdr>
    </w:div>
    <w:div w:id="1472865214">
      <w:bodyDiv w:val="1"/>
      <w:marLeft w:val="0"/>
      <w:marRight w:val="0"/>
      <w:marTop w:val="0"/>
      <w:marBottom w:val="0"/>
      <w:divBdr>
        <w:top w:val="none" w:sz="0" w:space="0" w:color="auto"/>
        <w:left w:val="none" w:sz="0" w:space="0" w:color="auto"/>
        <w:bottom w:val="none" w:sz="0" w:space="0" w:color="auto"/>
        <w:right w:val="none" w:sz="0" w:space="0" w:color="auto"/>
      </w:divBdr>
    </w:div>
    <w:div w:id="1472988392">
      <w:bodyDiv w:val="1"/>
      <w:marLeft w:val="0"/>
      <w:marRight w:val="0"/>
      <w:marTop w:val="0"/>
      <w:marBottom w:val="0"/>
      <w:divBdr>
        <w:top w:val="none" w:sz="0" w:space="0" w:color="auto"/>
        <w:left w:val="none" w:sz="0" w:space="0" w:color="auto"/>
        <w:bottom w:val="none" w:sz="0" w:space="0" w:color="auto"/>
        <w:right w:val="none" w:sz="0" w:space="0" w:color="auto"/>
      </w:divBdr>
    </w:div>
    <w:div w:id="1473012543">
      <w:bodyDiv w:val="1"/>
      <w:marLeft w:val="0"/>
      <w:marRight w:val="0"/>
      <w:marTop w:val="0"/>
      <w:marBottom w:val="0"/>
      <w:divBdr>
        <w:top w:val="none" w:sz="0" w:space="0" w:color="auto"/>
        <w:left w:val="none" w:sz="0" w:space="0" w:color="auto"/>
        <w:bottom w:val="none" w:sz="0" w:space="0" w:color="auto"/>
        <w:right w:val="none" w:sz="0" w:space="0" w:color="auto"/>
      </w:divBdr>
    </w:div>
    <w:div w:id="1473019439">
      <w:bodyDiv w:val="1"/>
      <w:marLeft w:val="0"/>
      <w:marRight w:val="0"/>
      <w:marTop w:val="0"/>
      <w:marBottom w:val="0"/>
      <w:divBdr>
        <w:top w:val="none" w:sz="0" w:space="0" w:color="auto"/>
        <w:left w:val="none" w:sz="0" w:space="0" w:color="auto"/>
        <w:bottom w:val="none" w:sz="0" w:space="0" w:color="auto"/>
        <w:right w:val="none" w:sz="0" w:space="0" w:color="auto"/>
      </w:divBdr>
    </w:div>
    <w:div w:id="1473130989">
      <w:bodyDiv w:val="1"/>
      <w:marLeft w:val="0"/>
      <w:marRight w:val="0"/>
      <w:marTop w:val="0"/>
      <w:marBottom w:val="0"/>
      <w:divBdr>
        <w:top w:val="none" w:sz="0" w:space="0" w:color="auto"/>
        <w:left w:val="none" w:sz="0" w:space="0" w:color="auto"/>
        <w:bottom w:val="none" w:sz="0" w:space="0" w:color="auto"/>
        <w:right w:val="none" w:sz="0" w:space="0" w:color="auto"/>
      </w:divBdr>
    </w:div>
    <w:div w:id="1473135357">
      <w:bodyDiv w:val="1"/>
      <w:marLeft w:val="0"/>
      <w:marRight w:val="0"/>
      <w:marTop w:val="0"/>
      <w:marBottom w:val="0"/>
      <w:divBdr>
        <w:top w:val="none" w:sz="0" w:space="0" w:color="auto"/>
        <w:left w:val="none" w:sz="0" w:space="0" w:color="auto"/>
        <w:bottom w:val="none" w:sz="0" w:space="0" w:color="auto"/>
        <w:right w:val="none" w:sz="0" w:space="0" w:color="auto"/>
      </w:divBdr>
    </w:div>
    <w:div w:id="1473250886">
      <w:bodyDiv w:val="1"/>
      <w:marLeft w:val="0"/>
      <w:marRight w:val="0"/>
      <w:marTop w:val="0"/>
      <w:marBottom w:val="0"/>
      <w:divBdr>
        <w:top w:val="none" w:sz="0" w:space="0" w:color="auto"/>
        <w:left w:val="none" w:sz="0" w:space="0" w:color="auto"/>
        <w:bottom w:val="none" w:sz="0" w:space="0" w:color="auto"/>
        <w:right w:val="none" w:sz="0" w:space="0" w:color="auto"/>
      </w:divBdr>
    </w:div>
    <w:div w:id="1473254847">
      <w:bodyDiv w:val="1"/>
      <w:marLeft w:val="0"/>
      <w:marRight w:val="0"/>
      <w:marTop w:val="0"/>
      <w:marBottom w:val="0"/>
      <w:divBdr>
        <w:top w:val="none" w:sz="0" w:space="0" w:color="auto"/>
        <w:left w:val="none" w:sz="0" w:space="0" w:color="auto"/>
        <w:bottom w:val="none" w:sz="0" w:space="0" w:color="auto"/>
        <w:right w:val="none" w:sz="0" w:space="0" w:color="auto"/>
      </w:divBdr>
    </w:div>
    <w:div w:id="1473255083">
      <w:bodyDiv w:val="1"/>
      <w:marLeft w:val="0"/>
      <w:marRight w:val="0"/>
      <w:marTop w:val="0"/>
      <w:marBottom w:val="0"/>
      <w:divBdr>
        <w:top w:val="none" w:sz="0" w:space="0" w:color="auto"/>
        <w:left w:val="none" w:sz="0" w:space="0" w:color="auto"/>
        <w:bottom w:val="none" w:sz="0" w:space="0" w:color="auto"/>
        <w:right w:val="none" w:sz="0" w:space="0" w:color="auto"/>
      </w:divBdr>
    </w:div>
    <w:div w:id="1473402927">
      <w:bodyDiv w:val="1"/>
      <w:marLeft w:val="0"/>
      <w:marRight w:val="0"/>
      <w:marTop w:val="0"/>
      <w:marBottom w:val="0"/>
      <w:divBdr>
        <w:top w:val="none" w:sz="0" w:space="0" w:color="auto"/>
        <w:left w:val="none" w:sz="0" w:space="0" w:color="auto"/>
        <w:bottom w:val="none" w:sz="0" w:space="0" w:color="auto"/>
        <w:right w:val="none" w:sz="0" w:space="0" w:color="auto"/>
      </w:divBdr>
    </w:div>
    <w:div w:id="1473404086">
      <w:bodyDiv w:val="1"/>
      <w:marLeft w:val="0"/>
      <w:marRight w:val="0"/>
      <w:marTop w:val="0"/>
      <w:marBottom w:val="0"/>
      <w:divBdr>
        <w:top w:val="none" w:sz="0" w:space="0" w:color="auto"/>
        <w:left w:val="none" w:sz="0" w:space="0" w:color="auto"/>
        <w:bottom w:val="none" w:sz="0" w:space="0" w:color="auto"/>
        <w:right w:val="none" w:sz="0" w:space="0" w:color="auto"/>
      </w:divBdr>
    </w:div>
    <w:div w:id="1473593103">
      <w:bodyDiv w:val="1"/>
      <w:marLeft w:val="0"/>
      <w:marRight w:val="0"/>
      <w:marTop w:val="0"/>
      <w:marBottom w:val="0"/>
      <w:divBdr>
        <w:top w:val="none" w:sz="0" w:space="0" w:color="auto"/>
        <w:left w:val="none" w:sz="0" w:space="0" w:color="auto"/>
        <w:bottom w:val="none" w:sz="0" w:space="0" w:color="auto"/>
        <w:right w:val="none" w:sz="0" w:space="0" w:color="auto"/>
      </w:divBdr>
    </w:div>
    <w:div w:id="1473597927">
      <w:bodyDiv w:val="1"/>
      <w:marLeft w:val="0"/>
      <w:marRight w:val="0"/>
      <w:marTop w:val="0"/>
      <w:marBottom w:val="0"/>
      <w:divBdr>
        <w:top w:val="none" w:sz="0" w:space="0" w:color="auto"/>
        <w:left w:val="none" w:sz="0" w:space="0" w:color="auto"/>
        <w:bottom w:val="none" w:sz="0" w:space="0" w:color="auto"/>
        <w:right w:val="none" w:sz="0" w:space="0" w:color="auto"/>
      </w:divBdr>
    </w:div>
    <w:div w:id="1473669329">
      <w:bodyDiv w:val="1"/>
      <w:marLeft w:val="0"/>
      <w:marRight w:val="0"/>
      <w:marTop w:val="0"/>
      <w:marBottom w:val="0"/>
      <w:divBdr>
        <w:top w:val="none" w:sz="0" w:space="0" w:color="auto"/>
        <w:left w:val="none" w:sz="0" w:space="0" w:color="auto"/>
        <w:bottom w:val="none" w:sz="0" w:space="0" w:color="auto"/>
        <w:right w:val="none" w:sz="0" w:space="0" w:color="auto"/>
      </w:divBdr>
    </w:div>
    <w:div w:id="1473718471">
      <w:bodyDiv w:val="1"/>
      <w:marLeft w:val="0"/>
      <w:marRight w:val="0"/>
      <w:marTop w:val="0"/>
      <w:marBottom w:val="0"/>
      <w:divBdr>
        <w:top w:val="none" w:sz="0" w:space="0" w:color="auto"/>
        <w:left w:val="none" w:sz="0" w:space="0" w:color="auto"/>
        <w:bottom w:val="none" w:sz="0" w:space="0" w:color="auto"/>
        <w:right w:val="none" w:sz="0" w:space="0" w:color="auto"/>
      </w:divBdr>
    </w:div>
    <w:div w:id="1473719335">
      <w:bodyDiv w:val="1"/>
      <w:marLeft w:val="0"/>
      <w:marRight w:val="0"/>
      <w:marTop w:val="0"/>
      <w:marBottom w:val="0"/>
      <w:divBdr>
        <w:top w:val="none" w:sz="0" w:space="0" w:color="auto"/>
        <w:left w:val="none" w:sz="0" w:space="0" w:color="auto"/>
        <w:bottom w:val="none" w:sz="0" w:space="0" w:color="auto"/>
        <w:right w:val="none" w:sz="0" w:space="0" w:color="auto"/>
      </w:divBdr>
    </w:div>
    <w:div w:id="1473862534">
      <w:bodyDiv w:val="1"/>
      <w:marLeft w:val="0"/>
      <w:marRight w:val="0"/>
      <w:marTop w:val="0"/>
      <w:marBottom w:val="0"/>
      <w:divBdr>
        <w:top w:val="none" w:sz="0" w:space="0" w:color="auto"/>
        <w:left w:val="none" w:sz="0" w:space="0" w:color="auto"/>
        <w:bottom w:val="none" w:sz="0" w:space="0" w:color="auto"/>
        <w:right w:val="none" w:sz="0" w:space="0" w:color="auto"/>
      </w:divBdr>
    </w:div>
    <w:div w:id="1474062832">
      <w:bodyDiv w:val="1"/>
      <w:marLeft w:val="0"/>
      <w:marRight w:val="0"/>
      <w:marTop w:val="0"/>
      <w:marBottom w:val="0"/>
      <w:divBdr>
        <w:top w:val="none" w:sz="0" w:space="0" w:color="auto"/>
        <w:left w:val="none" w:sz="0" w:space="0" w:color="auto"/>
        <w:bottom w:val="none" w:sz="0" w:space="0" w:color="auto"/>
        <w:right w:val="none" w:sz="0" w:space="0" w:color="auto"/>
      </w:divBdr>
    </w:div>
    <w:div w:id="1474330364">
      <w:bodyDiv w:val="1"/>
      <w:marLeft w:val="0"/>
      <w:marRight w:val="0"/>
      <w:marTop w:val="0"/>
      <w:marBottom w:val="0"/>
      <w:divBdr>
        <w:top w:val="none" w:sz="0" w:space="0" w:color="auto"/>
        <w:left w:val="none" w:sz="0" w:space="0" w:color="auto"/>
        <w:bottom w:val="none" w:sz="0" w:space="0" w:color="auto"/>
        <w:right w:val="none" w:sz="0" w:space="0" w:color="auto"/>
      </w:divBdr>
    </w:div>
    <w:div w:id="1474444214">
      <w:bodyDiv w:val="1"/>
      <w:marLeft w:val="0"/>
      <w:marRight w:val="0"/>
      <w:marTop w:val="0"/>
      <w:marBottom w:val="0"/>
      <w:divBdr>
        <w:top w:val="none" w:sz="0" w:space="0" w:color="auto"/>
        <w:left w:val="none" w:sz="0" w:space="0" w:color="auto"/>
        <w:bottom w:val="none" w:sz="0" w:space="0" w:color="auto"/>
        <w:right w:val="none" w:sz="0" w:space="0" w:color="auto"/>
      </w:divBdr>
    </w:div>
    <w:div w:id="1474641240">
      <w:bodyDiv w:val="1"/>
      <w:marLeft w:val="0"/>
      <w:marRight w:val="0"/>
      <w:marTop w:val="0"/>
      <w:marBottom w:val="0"/>
      <w:divBdr>
        <w:top w:val="none" w:sz="0" w:space="0" w:color="auto"/>
        <w:left w:val="none" w:sz="0" w:space="0" w:color="auto"/>
        <w:bottom w:val="none" w:sz="0" w:space="0" w:color="auto"/>
        <w:right w:val="none" w:sz="0" w:space="0" w:color="auto"/>
      </w:divBdr>
    </w:div>
    <w:div w:id="1474786764">
      <w:bodyDiv w:val="1"/>
      <w:marLeft w:val="0"/>
      <w:marRight w:val="0"/>
      <w:marTop w:val="0"/>
      <w:marBottom w:val="0"/>
      <w:divBdr>
        <w:top w:val="none" w:sz="0" w:space="0" w:color="auto"/>
        <w:left w:val="none" w:sz="0" w:space="0" w:color="auto"/>
        <w:bottom w:val="none" w:sz="0" w:space="0" w:color="auto"/>
        <w:right w:val="none" w:sz="0" w:space="0" w:color="auto"/>
      </w:divBdr>
    </w:div>
    <w:div w:id="1474904694">
      <w:bodyDiv w:val="1"/>
      <w:marLeft w:val="0"/>
      <w:marRight w:val="0"/>
      <w:marTop w:val="0"/>
      <w:marBottom w:val="0"/>
      <w:divBdr>
        <w:top w:val="none" w:sz="0" w:space="0" w:color="auto"/>
        <w:left w:val="none" w:sz="0" w:space="0" w:color="auto"/>
        <w:bottom w:val="none" w:sz="0" w:space="0" w:color="auto"/>
        <w:right w:val="none" w:sz="0" w:space="0" w:color="auto"/>
      </w:divBdr>
    </w:div>
    <w:div w:id="1474906692">
      <w:bodyDiv w:val="1"/>
      <w:marLeft w:val="0"/>
      <w:marRight w:val="0"/>
      <w:marTop w:val="0"/>
      <w:marBottom w:val="0"/>
      <w:divBdr>
        <w:top w:val="none" w:sz="0" w:space="0" w:color="auto"/>
        <w:left w:val="none" w:sz="0" w:space="0" w:color="auto"/>
        <w:bottom w:val="none" w:sz="0" w:space="0" w:color="auto"/>
        <w:right w:val="none" w:sz="0" w:space="0" w:color="auto"/>
      </w:divBdr>
    </w:div>
    <w:div w:id="1475221823">
      <w:bodyDiv w:val="1"/>
      <w:marLeft w:val="0"/>
      <w:marRight w:val="0"/>
      <w:marTop w:val="0"/>
      <w:marBottom w:val="0"/>
      <w:divBdr>
        <w:top w:val="none" w:sz="0" w:space="0" w:color="auto"/>
        <w:left w:val="none" w:sz="0" w:space="0" w:color="auto"/>
        <w:bottom w:val="none" w:sz="0" w:space="0" w:color="auto"/>
        <w:right w:val="none" w:sz="0" w:space="0" w:color="auto"/>
      </w:divBdr>
    </w:div>
    <w:div w:id="1475443848">
      <w:bodyDiv w:val="1"/>
      <w:marLeft w:val="0"/>
      <w:marRight w:val="0"/>
      <w:marTop w:val="0"/>
      <w:marBottom w:val="0"/>
      <w:divBdr>
        <w:top w:val="none" w:sz="0" w:space="0" w:color="auto"/>
        <w:left w:val="none" w:sz="0" w:space="0" w:color="auto"/>
        <w:bottom w:val="none" w:sz="0" w:space="0" w:color="auto"/>
        <w:right w:val="none" w:sz="0" w:space="0" w:color="auto"/>
      </w:divBdr>
    </w:div>
    <w:div w:id="1475483066">
      <w:bodyDiv w:val="1"/>
      <w:marLeft w:val="0"/>
      <w:marRight w:val="0"/>
      <w:marTop w:val="0"/>
      <w:marBottom w:val="0"/>
      <w:divBdr>
        <w:top w:val="none" w:sz="0" w:space="0" w:color="auto"/>
        <w:left w:val="none" w:sz="0" w:space="0" w:color="auto"/>
        <w:bottom w:val="none" w:sz="0" w:space="0" w:color="auto"/>
        <w:right w:val="none" w:sz="0" w:space="0" w:color="auto"/>
      </w:divBdr>
    </w:div>
    <w:div w:id="1475560149">
      <w:bodyDiv w:val="1"/>
      <w:marLeft w:val="0"/>
      <w:marRight w:val="0"/>
      <w:marTop w:val="0"/>
      <w:marBottom w:val="0"/>
      <w:divBdr>
        <w:top w:val="none" w:sz="0" w:space="0" w:color="auto"/>
        <w:left w:val="none" w:sz="0" w:space="0" w:color="auto"/>
        <w:bottom w:val="none" w:sz="0" w:space="0" w:color="auto"/>
        <w:right w:val="none" w:sz="0" w:space="0" w:color="auto"/>
      </w:divBdr>
    </w:div>
    <w:div w:id="1475636427">
      <w:bodyDiv w:val="1"/>
      <w:marLeft w:val="0"/>
      <w:marRight w:val="0"/>
      <w:marTop w:val="0"/>
      <w:marBottom w:val="0"/>
      <w:divBdr>
        <w:top w:val="none" w:sz="0" w:space="0" w:color="auto"/>
        <w:left w:val="none" w:sz="0" w:space="0" w:color="auto"/>
        <w:bottom w:val="none" w:sz="0" w:space="0" w:color="auto"/>
        <w:right w:val="none" w:sz="0" w:space="0" w:color="auto"/>
      </w:divBdr>
    </w:div>
    <w:div w:id="1475638134">
      <w:bodyDiv w:val="1"/>
      <w:marLeft w:val="0"/>
      <w:marRight w:val="0"/>
      <w:marTop w:val="0"/>
      <w:marBottom w:val="0"/>
      <w:divBdr>
        <w:top w:val="none" w:sz="0" w:space="0" w:color="auto"/>
        <w:left w:val="none" w:sz="0" w:space="0" w:color="auto"/>
        <w:bottom w:val="none" w:sz="0" w:space="0" w:color="auto"/>
        <w:right w:val="none" w:sz="0" w:space="0" w:color="auto"/>
      </w:divBdr>
    </w:div>
    <w:div w:id="1475682305">
      <w:bodyDiv w:val="1"/>
      <w:marLeft w:val="0"/>
      <w:marRight w:val="0"/>
      <w:marTop w:val="0"/>
      <w:marBottom w:val="0"/>
      <w:divBdr>
        <w:top w:val="none" w:sz="0" w:space="0" w:color="auto"/>
        <w:left w:val="none" w:sz="0" w:space="0" w:color="auto"/>
        <w:bottom w:val="none" w:sz="0" w:space="0" w:color="auto"/>
        <w:right w:val="none" w:sz="0" w:space="0" w:color="auto"/>
      </w:divBdr>
    </w:div>
    <w:div w:id="1475756220">
      <w:bodyDiv w:val="1"/>
      <w:marLeft w:val="0"/>
      <w:marRight w:val="0"/>
      <w:marTop w:val="0"/>
      <w:marBottom w:val="0"/>
      <w:divBdr>
        <w:top w:val="none" w:sz="0" w:space="0" w:color="auto"/>
        <w:left w:val="none" w:sz="0" w:space="0" w:color="auto"/>
        <w:bottom w:val="none" w:sz="0" w:space="0" w:color="auto"/>
        <w:right w:val="none" w:sz="0" w:space="0" w:color="auto"/>
      </w:divBdr>
    </w:div>
    <w:div w:id="1475903356">
      <w:bodyDiv w:val="1"/>
      <w:marLeft w:val="0"/>
      <w:marRight w:val="0"/>
      <w:marTop w:val="0"/>
      <w:marBottom w:val="0"/>
      <w:divBdr>
        <w:top w:val="none" w:sz="0" w:space="0" w:color="auto"/>
        <w:left w:val="none" w:sz="0" w:space="0" w:color="auto"/>
        <w:bottom w:val="none" w:sz="0" w:space="0" w:color="auto"/>
        <w:right w:val="none" w:sz="0" w:space="0" w:color="auto"/>
      </w:divBdr>
    </w:div>
    <w:div w:id="1476025123">
      <w:bodyDiv w:val="1"/>
      <w:marLeft w:val="0"/>
      <w:marRight w:val="0"/>
      <w:marTop w:val="0"/>
      <w:marBottom w:val="0"/>
      <w:divBdr>
        <w:top w:val="none" w:sz="0" w:space="0" w:color="auto"/>
        <w:left w:val="none" w:sz="0" w:space="0" w:color="auto"/>
        <w:bottom w:val="none" w:sz="0" w:space="0" w:color="auto"/>
        <w:right w:val="none" w:sz="0" w:space="0" w:color="auto"/>
      </w:divBdr>
    </w:div>
    <w:div w:id="1476140657">
      <w:bodyDiv w:val="1"/>
      <w:marLeft w:val="0"/>
      <w:marRight w:val="0"/>
      <w:marTop w:val="0"/>
      <w:marBottom w:val="0"/>
      <w:divBdr>
        <w:top w:val="none" w:sz="0" w:space="0" w:color="auto"/>
        <w:left w:val="none" w:sz="0" w:space="0" w:color="auto"/>
        <w:bottom w:val="none" w:sz="0" w:space="0" w:color="auto"/>
        <w:right w:val="none" w:sz="0" w:space="0" w:color="auto"/>
      </w:divBdr>
    </w:div>
    <w:div w:id="1476145867">
      <w:bodyDiv w:val="1"/>
      <w:marLeft w:val="0"/>
      <w:marRight w:val="0"/>
      <w:marTop w:val="0"/>
      <w:marBottom w:val="0"/>
      <w:divBdr>
        <w:top w:val="none" w:sz="0" w:space="0" w:color="auto"/>
        <w:left w:val="none" w:sz="0" w:space="0" w:color="auto"/>
        <w:bottom w:val="none" w:sz="0" w:space="0" w:color="auto"/>
        <w:right w:val="none" w:sz="0" w:space="0" w:color="auto"/>
      </w:divBdr>
    </w:div>
    <w:div w:id="1476265321">
      <w:bodyDiv w:val="1"/>
      <w:marLeft w:val="0"/>
      <w:marRight w:val="0"/>
      <w:marTop w:val="0"/>
      <w:marBottom w:val="0"/>
      <w:divBdr>
        <w:top w:val="none" w:sz="0" w:space="0" w:color="auto"/>
        <w:left w:val="none" w:sz="0" w:space="0" w:color="auto"/>
        <w:bottom w:val="none" w:sz="0" w:space="0" w:color="auto"/>
        <w:right w:val="none" w:sz="0" w:space="0" w:color="auto"/>
      </w:divBdr>
    </w:div>
    <w:div w:id="1476679689">
      <w:bodyDiv w:val="1"/>
      <w:marLeft w:val="0"/>
      <w:marRight w:val="0"/>
      <w:marTop w:val="0"/>
      <w:marBottom w:val="0"/>
      <w:divBdr>
        <w:top w:val="none" w:sz="0" w:space="0" w:color="auto"/>
        <w:left w:val="none" w:sz="0" w:space="0" w:color="auto"/>
        <w:bottom w:val="none" w:sz="0" w:space="0" w:color="auto"/>
        <w:right w:val="none" w:sz="0" w:space="0" w:color="auto"/>
      </w:divBdr>
    </w:div>
    <w:div w:id="1476800696">
      <w:bodyDiv w:val="1"/>
      <w:marLeft w:val="0"/>
      <w:marRight w:val="0"/>
      <w:marTop w:val="0"/>
      <w:marBottom w:val="0"/>
      <w:divBdr>
        <w:top w:val="none" w:sz="0" w:space="0" w:color="auto"/>
        <w:left w:val="none" w:sz="0" w:space="0" w:color="auto"/>
        <w:bottom w:val="none" w:sz="0" w:space="0" w:color="auto"/>
        <w:right w:val="none" w:sz="0" w:space="0" w:color="auto"/>
      </w:divBdr>
    </w:div>
    <w:div w:id="1476870364">
      <w:bodyDiv w:val="1"/>
      <w:marLeft w:val="0"/>
      <w:marRight w:val="0"/>
      <w:marTop w:val="0"/>
      <w:marBottom w:val="0"/>
      <w:divBdr>
        <w:top w:val="none" w:sz="0" w:space="0" w:color="auto"/>
        <w:left w:val="none" w:sz="0" w:space="0" w:color="auto"/>
        <w:bottom w:val="none" w:sz="0" w:space="0" w:color="auto"/>
        <w:right w:val="none" w:sz="0" w:space="0" w:color="auto"/>
      </w:divBdr>
    </w:div>
    <w:div w:id="1476944062">
      <w:bodyDiv w:val="1"/>
      <w:marLeft w:val="0"/>
      <w:marRight w:val="0"/>
      <w:marTop w:val="0"/>
      <w:marBottom w:val="0"/>
      <w:divBdr>
        <w:top w:val="none" w:sz="0" w:space="0" w:color="auto"/>
        <w:left w:val="none" w:sz="0" w:space="0" w:color="auto"/>
        <w:bottom w:val="none" w:sz="0" w:space="0" w:color="auto"/>
        <w:right w:val="none" w:sz="0" w:space="0" w:color="auto"/>
      </w:divBdr>
    </w:div>
    <w:div w:id="1476947291">
      <w:bodyDiv w:val="1"/>
      <w:marLeft w:val="0"/>
      <w:marRight w:val="0"/>
      <w:marTop w:val="0"/>
      <w:marBottom w:val="0"/>
      <w:divBdr>
        <w:top w:val="none" w:sz="0" w:space="0" w:color="auto"/>
        <w:left w:val="none" w:sz="0" w:space="0" w:color="auto"/>
        <w:bottom w:val="none" w:sz="0" w:space="0" w:color="auto"/>
        <w:right w:val="none" w:sz="0" w:space="0" w:color="auto"/>
      </w:divBdr>
    </w:div>
    <w:div w:id="1477069829">
      <w:bodyDiv w:val="1"/>
      <w:marLeft w:val="0"/>
      <w:marRight w:val="0"/>
      <w:marTop w:val="0"/>
      <w:marBottom w:val="0"/>
      <w:divBdr>
        <w:top w:val="none" w:sz="0" w:space="0" w:color="auto"/>
        <w:left w:val="none" w:sz="0" w:space="0" w:color="auto"/>
        <w:bottom w:val="none" w:sz="0" w:space="0" w:color="auto"/>
        <w:right w:val="none" w:sz="0" w:space="0" w:color="auto"/>
      </w:divBdr>
    </w:div>
    <w:div w:id="1477337418">
      <w:bodyDiv w:val="1"/>
      <w:marLeft w:val="0"/>
      <w:marRight w:val="0"/>
      <w:marTop w:val="0"/>
      <w:marBottom w:val="0"/>
      <w:divBdr>
        <w:top w:val="none" w:sz="0" w:space="0" w:color="auto"/>
        <w:left w:val="none" w:sz="0" w:space="0" w:color="auto"/>
        <w:bottom w:val="none" w:sz="0" w:space="0" w:color="auto"/>
        <w:right w:val="none" w:sz="0" w:space="0" w:color="auto"/>
      </w:divBdr>
    </w:div>
    <w:div w:id="1477337552">
      <w:bodyDiv w:val="1"/>
      <w:marLeft w:val="0"/>
      <w:marRight w:val="0"/>
      <w:marTop w:val="0"/>
      <w:marBottom w:val="0"/>
      <w:divBdr>
        <w:top w:val="none" w:sz="0" w:space="0" w:color="auto"/>
        <w:left w:val="none" w:sz="0" w:space="0" w:color="auto"/>
        <w:bottom w:val="none" w:sz="0" w:space="0" w:color="auto"/>
        <w:right w:val="none" w:sz="0" w:space="0" w:color="auto"/>
      </w:divBdr>
    </w:div>
    <w:div w:id="1477448562">
      <w:bodyDiv w:val="1"/>
      <w:marLeft w:val="0"/>
      <w:marRight w:val="0"/>
      <w:marTop w:val="0"/>
      <w:marBottom w:val="0"/>
      <w:divBdr>
        <w:top w:val="none" w:sz="0" w:space="0" w:color="auto"/>
        <w:left w:val="none" w:sz="0" w:space="0" w:color="auto"/>
        <w:bottom w:val="none" w:sz="0" w:space="0" w:color="auto"/>
        <w:right w:val="none" w:sz="0" w:space="0" w:color="auto"/>
      </w:divBdr>
    </w:div>
    <w:div w:id="1477457280">
      <w:bodyDiv w:val="1"/>
      <w:marLeft w:val="0"/>
      <w:marRight w:val="0"/>
      <w:marTop w:val="0"/>
      <w:marBottom w:val="0"/>
      <w:divBdr>
        <w:top w:val="none" w:sz="0" w:space="0" w:color="auto"/>
        <w:left w:val="none" w:sz="0" w:space="0" w:color="auto"/>
        <w:bottom w:val="none" w:sz="0" w:space="0" w:color="auto"/>
        <w:right w:val="none" w:sz="0" w:space="0" w:color="auto"/>
      </w:divBdr>
    </w:div>
    <w:div w:id="1477457560">
      <w:bodyDiv w:val="1"/>
      <w:marLeft w:val="0"/>
      <w:marRight w:val="0"/>
      <w:marTop w:val="0"/>
      <w:marBottom w:val="0"/>
      <w:divBdr>
        <w:top w:val="none" w:sz="0" w:space="0" w:color="auto"/>
        <w:left w:val="none" w:sz="0" w:space="0" w:color="auto"/>
        <w:bottom w:val="none" w:sz="0" w:space="0" w:color="auto"/>
        <w:right w:val="none" w:sz="0" w:space="0" w:color="auto"/>
      </w:divBdr>
    </w:div>
    <w:div w:id="1477526348">
      <w:bodyDiv w:val="1"/>
      <w:marLeft w:val="0"/>
      <w:marRight w:val="0"/>
      <w:marTop w:val="0"/>
      <w:marBottom w:val="0"/>
      <w:divBdr>
        <w:top w:val="none" w:sz="0" w:space="0" w:color="auto"/>
        <w:left w:val="none" w:sz="0" w:space="0" w:color="auto"/>
        <w:bottom w:val="none" w:sz="0" w:space="0" w:color="auto"/>
        <w:right w:val="none" w:sz="0" w:space="0" w:color="auto"/>
      </w:divBdr>
    </w:div>
    <w:div w:id="1477532344">
      <w:bodyDiv w:val="1"/>
      <w:marLeft w:val="0"/>
      <w:marRight w:val="0"/>
      <w:marTop w:val="0"/>
      <w:marBottom w:val="0"/>
      <w:divBdr>
        <w:top w:val="none" w:sz="0" w:space="0" w:color="auto"/>
        <w:left w:val="none" w:sz="0" w:space="0" w:color="auto"/>
        <w:bottom w:val="none" w:sz="0" w:space="0" w:color="auto"/>
        <w:right w:val="none" w:sz="0" w:space="0" w:color="auto"/>
      </w:divBdr>
    </w:div>
    <w:div w:id="1477600638">
      <w:bodyDiv w:val="1"/>
      <w:marLeft w:val="0"/>
      <w:marRight w:val="0"/>
      <w:marTop w:val="0"/>
      <w:marBottom w:val="0"/>
      <w:divBdr>
        <w:top w:val="none" w:sz="0" w:space="0" w:color="auto"/>
        <w:left w:val="none" w:sz="0" w:space="0" w:color="auto"/>
        <w:bottom w:val="none" w:sz="0" w:space="0" w:color="auto"/>
        <w:right w:val="none" w:sz="0" w:space="0" w:color="auto"/>
      </w:divBdr>
    </w:div>
    <w:div w:id="1477644716">
      <w:bodyDiv w:val="1"/>
      <w:marLeft w:val="0"/>
      <w:marRight w:val="0"/>
      <w:marTop w:val="0"/>
      <w:marBottom w:val="0"/>
      <w:divBdr>
        <w:top w:val="none" w:sz="0" w:space="0" w:color="auto"/>
        <w:left w:val="none" w:sz="0" w:space="0" w:color="auto"/>
        <w:bottom w:val="none" w:sz="0" w:space="0" w:color="auto"/>
        <w:right w:val="none" w:sz="0" w:space="0" w:color="auto"/>
      </w:divBdr>
    </w:div>
    <w:div w:id="1477796309">
      <w:bodyDiv w:val="1"/>
      <w:marLeft w:val="0"/>
      <w:marRight w:val="0"/>
      <w:marTop w:val="0"/>
      <w:marBottom w:val="0"/>
      <w:divBdr>
        <w:top w:val="none" w:sz="0" w:space="0" w:color="auto"/>
        <w:left w:val="none" w:sz="0" w:space="0" w:color="auto"/>
        <w:bottom w:val="none" w:sz="0" w:space="0" w:color="auto"/>
        <w:right w:val="none" w:sz="0" w:space="0" w:color="auto"/>
      </w:divBdr>
    </w:div>
    <w:div w:id="1478108430">
      <w:bodyDiv w:val="1"/>
      <w:marLeft w:val="0"/>
      <w:marRight w:val="0"/>
      <w:marTop w:val="0"/>
      <w:marBottom w:val="0"/>
      <w:divBdr>
        <w:top w:val="none" w:sz="0" w:space="0" w:color="auto"/>
        <w:left w:val="none" w:sz="0" w:space="0" w:color="auto"/>
        <w:bottom w:val="none" w:sz="0" w:space="0" w:color="auto"/>
        <w:right w:val="none" w:sz="0" w:space="0" w:color="auto"/>
      </w:divBdr>
    </w:div>
    <w:div w:id="1478111638">
      <w:bodyDiv w:val="1"/>
      <w:marLeft w:val="0"/>
      <w:marRight w:val="0"/>
      <w:marTop w:val="0"/>
      <w:marBottom w:val="0"/>
      <w:divBdr>
        <w:top w:val="none" w:sz="0" w:space="0" w:color="auto"/>
        <w:left w:val="none" w:sz="0" w:space="0" w:color="auto"/>
        <w:bottom w:val="none" w:sz="0" w:space="0" w:color="auto"/>
        <w:right w:val="none" w:sz="0" w:space="0" w:color="auto"/>
      </w:divBdr>
    </w:div>
    <w:div w:id="1478231296">
      <w:bodyDiv w:val="1"/>
      <w:marLeft w:val="0"/>
      <w:marRight w:val="0"/>
      <w:marTop w:val="0"/>
      <w:marBottom w:val="0"/>
      <w:divBdr>
        <w:top w:val="none" w:sz="0" w:space="0" w:color="auto"/>
        <w:left w:val="none" w:sz="0" w:space="0" w:color="auto"/>
        <w:bottom w:val="none" w:sz="0" w:space="0" w:color="auto"/>
        <w:right w:val="none" w:sz="0" w:space="0" w:color="auto"/>
      </w:divBdr>
    </w:div>
    <w:div w:id="1478302752">
      <w:bodyDiv w:val="1"/>
      <w:marLeft w:val="0"/>
      <w:marRight w:val="0"/>
      <w:marTop w:val="0"/>
      <w:marBottom w:val="0"/>
      <w:divBdr>
        <w:top w:val="none" w:sz="0" w:space="0" w:color="auto"/>
        <w:left w:val="none" w:sz="0" w:space="0" w:color="auto"/>
        <w:bottom w:val="none" w:sz="0" w:space="0" w:color="auto"/>
        <w:right w:val="none" w:sz="0" w:space="0" w:color="auto"/>
      </w:divBdr>
    </w:div>
    <w:div w:id="1478374786">
      <w:bodyDiv w:val="1"/>
      <w:marLeft w:val="0"/>
      <w:marRight w:val="0"/>
      <w:marTop w:val="0"/>
      <w:marBottom w:val="0"/>
      <w:divBdr>
        <w:top w:val="none" w:sz="0" w:space="0" w:color="auto"/>
        <w:left w:val="none" w:sz="0" w:space="0" w:color="auto"/>
        <w:bottom w:val="none" w:sz="0" w:space="0" w:color="auto"/>
        <w:right w:val="none" w:sz="0" w:space="0" w:color="auto"/>
      </w:divBdr>
    </w:div>
    <w:div w:id="1478376146">
      <w:bodyDiv w:val="1"/>
      <w:marLeft w:val="0"/>
      <w:marRight w:val="0"/>
      <w:marTop w:val="0"/>
      <w:marBottom w:val="0"/>
      <w:divBdr>
        <w:top w:val="none" w:sz="0" w:space="0" w:color="auto"/>
        <w:left w:val="none" w:sz="0" w:space="0" w:color="auto"/>
        <w:bottom w:val="none" w:sz="0" w:space="0" w:color="auto"/>
        <w:right w:val="none" w:sz="0" w:space="0" w:color="auto"/>
      </w:divBdr>
    </w:div>
    <w:div w:id="1478378488">
      <w:bodyDiv w:val="1"/>
      <w:marLeft w:val="0"/>
      <w:marRight w:val="0"/>
      <w:marTop w:val="0"/>
      <w:marBottom w:val="0"/>
      <w:divBdr>
        <w:top w:val="none" w:sz="0" w:space="0" w:color="auto"/>
        <w:left w:val="none" w:sz="0" w:space="0" w:color="auto"/>
        <w:bottom w:val="none" w:sz="0" w:space="0" w:color="auto"/>
        <w:right w:val="none" w:sz="0" w:space="0" w:color="auto"/>
      </w:divBdr>
    </w:div>
    <w:div w:id="1478495783">
      <w:bodyDiv w:val="1"/>
      <w:marLeft w:val="0"/>
      <w:marRight w:val="0"/>
      <w:marTop w:val="0"/>
      <w:marBottom w:val="0"/>
      <w:divBdr>
        <w:top w:val="none" w:sz="0" w:space="0" w:color="auto"/>
        <w:left w:val="none" w:sz="0" w:space="0" w:color="auto"/>
        <w:bottom w:val="none" w:sz="0" w:space="0" w:color="auto"/>
        <w:right w:val="none" w:sz="0" w:space="0" w:color="auto"/>
      </w:divBdr>
    </w:div>
    <w:div w:id="1478523784">
      <w:bodyDiv w:val="1"/>
      <w:marLeft w:val="0"/>
      <w:marRight w:val="0"/>
      <w:marTop w:val="0"/>
      <w:marBottom w:val="0"/>
      <w:divBdr>
        <w:top w:val="none" w:sz="0" w:space="0" w:color="auto"/>
        <w:left w:val="none" w:sz="0" w:space="0" w:color="auto"/>
        <w:bottom w:val="none" w:sz="0" w:space="0" w:color="auto"/>
        <w:right w:val="none" w:sz="0" w:space="0" w:color="auto"/>
      </w:divBdr>
    </w:div>
    <w:div w:id="1478886546">
      <w:bodyDiv w:val="1"/>
      <w:marLeft w:val="0"/>
      <w:marRight w:val="0"/>
      <w:marTop w:val="0"/>
      <w:marBottom w:val="0"/>
      <w:divBdr>
        <w:top w:val="none" w:sz="0" w:space="0" w:color="auto"/>
        <w:left w:val="none" w:sz="0" w:space="0" w:color="auto"/>
        <w:bottom w:val="none" w:sz="0" w:space="0" w:color="auto"/>
        <w:right w:val="none" w:sz="0" w:space="0" w:color="auto"/>
      </w:divBdr>
    </w:div>
    <w:div w:id="1478916425">
      <w:bodyDiv w:val="1"/>
      <w:marLeft w:val="0"/>
      <w:marRight w:val="0"/>
      <w:marTop w:val="0"/>
      <w:marBottom w:val="0"/>
      <w:divBdr>
        <w:top w:val="none" w:sz="0" w:space="0" w:color="auto"/>
        <w:left w:val="none" w:sz="0" w:space="0" w:color="auto"/>
        <w:bottom w:val="none" w:sz="0" w:space="0" w:color="auto"/>
        <w:right w:val="none" w:sz="0" w:space="0" w:color="auto"/>
      </w:divBdr>
    </w:div>
    <w:div w:id="1479103943">
      <w:bodyDiv w:val="1"/>
      <w:marLeft w:val="0"/>
      <w:marRight w:val="0"/>
      <w:marTop w:val="0"/>
      <w:marBottom w:val="0"/>
      <w:divBdr>
        <w:top w:val="none" w:sz="0" w:space="0" w:color="auto"/>
        <w:left w:val="none" w:sz="0" w:space="0" w:color="auto"/>
        <w:bottom w:val="none" w:sz="0" w:space="0" w:color="auto"/>
        <w:right w:val="none" w:sz="0" w:space="0" w:color="auto"/>
      </w:divBdr>
    </w:div>
    <w:div w:id="1479228291">
      <w:bodyDiv w:val="1"/>
      <w:marLeft w:val="0"/>
      <w:marRight w:val="0"/>
      <w:marTop w:val="0"/>
      <w:marBottom w:val="0"/>
      <w:divBdr>
        <w:top w:val="none" w:sz="0" w:space="0" w:color="auto"/>
        <w:left w:val="none" w:sz="0" w:space="0" w:color="auto"/>
        <w:bottom w:val="none" w:sz="0" w:space="0" w:color="auto"/>
        <w:right w:val="none" w:sz="0" w:space="0" w:color="auto"/>
      </w:divBdr>
    </w:div>
    <w:div w:id="1479228829">
      <w:bodyDiv w:val="1"/>
      <w:marLeft w:val="0"/>
      <w:marRight w:val="0"/>
      <w:marTop w:val="0"/>
      <w:marBottom w:val="0"/>
      <w:divBdr>
        <w:top w:val="none" w:sz="0" w:space="0" w:color="auto"/>
        <w:left w:val="none" w:sz="0" w:space="0" w:color="auto"/>
        <w:bottom w:val="none" w:sz="0" w:space="0" w:color="auto"/>
        <w:right w:val="none" w:sz="0" w:space="0" w:color="auto"/>
      </w:divBdr>
    </w:div>
    <w:div w:id="1479297621">
      <w:bodyDiv w:val="1"/>
      <w:marLeft w:val="0"/>
      <w:marRight w:val="0"/>
      <w:marTop w:val="0"/>
      <w:marBottom w:val="0"/>
      <w:divBdr>
        <w:top w:val="none" w:sz="0" w:space="0" w:color="auto"/>
        <w:left w:val="none" w:sz="0" w:space="0" w:color="auto"/>
        <w:bottom w:val="none" w:sz="0" w:space="0" w:color="auto"/>
        <w:right w:val="none" w:sz="0" w:space="0" w:color="auto"/>
      </w:divBdr>
    </w:div>
    <w:div w:id="1479298620">
      <w:bodyDiv w:val="1"/>
      <w:marLeft w:val="0"/>
      <w:marRight w:val="0"/>
      <w:marTop w:val="0"/>
      <w:marBottom w:val="0"/>
      <w:divBdr>
        <w:top w:val="none" w:sz="0" w:space="0" w:color="auto"/>
        <w:left w:val="none" w:sz="0" w:space="0" w:color="auto"/>
        <w:bottom w:val="none" w:sz="0" w:space="0" w:color="auto"/>
        <w:right w:val="none" w:sz="0" w:space="0" w:color="auto"/>
      </w:divBdr>
    </w:div>
    <w:div w:id="1479419546">
      <w:bodyDiv w:val="1"/>
      <w:marLeft w:val="0"/>
      <w:marRight w:val="0"/>
      <w:marTop w:val="0"/>
      <w:marBottom w:val="0"/>
      <w:divBdr>
        <w:top w:val="none" w:sz="0" w:space="0" w:color="auto"/>
        <w:left w:val="none" w:sz="0" w:space="0" w:color="auto"/>
        <w:bottom w:val="none" w:sz="0" w:space="0" w:color="auto"/>
        <w:right w:val="none" w:sz="0" w:space="0" w:color="auto"/>
      </w:divBdr>
    </w:div>
    <w:div w:id="1479492118">
      <w:bodyDiv w:val="1"/>
      <w:marLeft w:val="0"/>
      <w:marRight w:val="0"/>
      <w:marTop w:val="0"/>
      <w:marBottom w:val="0"/>
      <w:divBdr>
        <w:top w:val="none" w:sz="0" w:space="0" w:color="auto"/>
        <w:left w:val="none" w:sz="0" w:space="0" w:color="auto"/>
        <w:bottom w:val="none" w:sz="0" w:space="0" w:color="auto"/>
        <w:right w:val="none" w:sz="0" w:space="0" w:color="auto"/>
      </w:divBdr>
    </w:div>
    <w:div w:id="1479492648">
      <w:bodyDiv w:val="1"/>
      <w:marLeft w:val="0"/>
      <w:marRight w:val="0"/>
      <w:marTop w:val="0"/>
      <w:marBottom w:val="0"/>
      <w:divBdr>
        <w:top w:val="none" w:sz="0" w:space="0" w:color="auto"/>
        <w:left w:val="none" w:sz="0" w:space="0" w:color="auto"/>
        <w:bottom w:val="none" w:sz="0" w:space="0" w:color="auto"/>
        <w:right w:val="none" w:sz="0" w:space="0" w:color="auto"/>
      </w:divBdr>
    </w:div>
    <w:div w:id="1479494504">
      <w:bodyDiv w:val="1"/>
      <w:marLeft w:val="0"/>
      <w:marRight w:val="0"/>
      <w:marTop w:val="0"/>
      <w:marBottom w:val="0"/>
      <w:divBdr>
        <w:top w:val="none" w:sz="0" w:space="0" w:color="auto"/>
        <w:left w:val="none" w:sz="0" w:space="0" w:color="auto"/>
        <w:bottom w:val="none" w:sz="0" w:space="0" w:color="auto"/>
        <w:right w:val="none" w:sz="0" w:space="0" w:color="auto"/>
      </w:divBdr>
    </w:div>
    <w:div w:id="1479540870">
      <w:bodyDiv w:val="1"/>
      <w:marLeft w:val="0"/>
      <w:marRight w:val="0"/>
      <w:marTop w:val="0"/>
      <w:marBottom w:val="0"/>
      <w:divBdr>
        <w:top w:val="none" w:sz="0" w:space="0" w:color="auto"/>
        <w:left w:val="none" w:sz="0" w:space="0" w:color="auto"/>
        <w:bottom w:val="none" w:sz="0" w:space="0" w:color="auto"/>
        <w:right w:val="none" w:sz="0" w:space="0" w:color="auto"/>
      </w:divBdr>
    </w:div>
    <w:div w:id="1479566518">
      <w:bodyDiv w:val="1"/>
      <w:marLeft w:val="0"/>
      <w:marRight w:val="0"/>
      <w:marTop w:val="0"/>
      <w:marBottom w:val="0"/>
      <w:divBdr>
        <w:top w:val="none" w:sz="0" w:space="0" w:color="auto"/>
        <w:left w:val="none" w:sz="0" w:space="0" w:color="auto"/>
        <w:bottom w:val="none" w:sz="0" w:space="0" w:color="auto"/>
        <w:right w:val="none" w:sz="0" w:space="0" w:color="auto"/>
      </w:divBdr>
    </w:div>
    <w:div w:id="1479613549">
      <w:bodyDiv w:val="1"/>
      <w:marLeft w:val="0"/>
      <w:marRight w:val="0"/>
      <w:marTop w:val="0"/>
      <w:marBottom w:val="0"/>
      <w:divBdr>
        <w:top w:val="none" w:sz="0" w:space="0" w:color="auto"/>
        <w:left w:val="none" w:sz="0" w:space="0" w:color="auto"/>
        <w:bottom w:val="none" w:sz="0" w:space="0" w:color="auto"/>
        <w:right w:val="none" w:sz="0" w:space="0" w:color="auto"/>
      </w:divBdr>
    </w:div>
    <w:div w:id="1479879007">
      <w:bodyDiv w:val="1"/>
      <w:marLeft w:val="0"/>
      <w:marRight w:val="0"/>
      <w:marTop w:val="0"/>
      <w:marBottom w:val="0"/>
      <w:divBdr>
        <w:top w:val="none" w:sz="0" w:space="0" w:color="auto"/>
        <w:left w:val="none" w:sz="0" w:space="0" w:color="auto"/>
        <w:bottom w:val="none" w:sz="0" w:space="0" w:color="auto"/>
        <w:right w:val="none" w:sz="0" w:space="0" w:color="auto"/>
      </w:divBdr>
    </w:div>
    <w:div w:id="1479960250">
      <w:bodyDiv w:val="1"/>
      <w:marLeft w:val="0"/>
      <w:marRight w:val="0"/>
      <w:marTop w:val="0"/>
      <w:marBottom w:val="0"/>
      <w:divBdr>
        <w:top w:val="none" w:sz="0" w:space="0" w:color="auto"/>
        <w:left w:val="none" w:sz="0" w:space="0" w:color="auto"/>
        <w:bottom w:val="none" w:sz="0" w:space="0" w:color="auto"/>
        <w:right w:val="none" w:sz="0" w:space="0" w:color="auto"/>
      </w:divBdr>
    </w:div>
    <w:div w:id="1480029774">
      <w:bodyDiv w:val="1"/>
      <w:marLeft w:val="0"/>
      <w:marRight w:val="0"/>
      <w:marTop w:val="0"/>
      <w:marBottom w:val="0"/>
      <w:divBdr>
        <w:top w:val="none" w:sz="0" w:space="0" w:color="auto"/>
        <w:left w:val="none" w:sz="0" w:space="0" w:color="auto"/>
        <w:bottom w:val="none" w:sz="0" w:space="0" w:color="auto"/>
        <w:right w:val="none" w:sz="0" w:space="0" w:color="auto"/>
      </w:divBdr>
    </w:div>
    <w:div w:id="1480076704">
      <w:bodyDiv w:val="1"/>
      <w:marLeft w:val="0"/>
      <w:marRight w:val="0"/>
      <w:marTop w:val="0"/>
      <w:marBottom w:val="0"/>
      <w:divBdr>
        <w:top w:val="none" w:sz="0" w:space="0" w:color="auto"/>
        <w:left w:val="none" w:sz="0" w:space="0" w:color="auto"/>
        <w:bottom w:val="none" w:sz="0" w:space="0" w:color="auto"/>
        <w:right w:val="none" w:sz="0" w:space="0" w:color="auto"/>
      </w:divBdr>
    </w:div>
    <w:div w:id="1480345637">
      <w:bodyDiv w:val="1"/>
      <w:marLeft w:val="0"/>
      <w:marRight w:val="0"/>
      <w:marTop w:val="0"/>
      <w:marBottom w:val="0"/>
      <w:divBdr>
        <w:top w:val="none" w:sz="0" w:space="0" w:color="auto"/>
        <w:left w:val="none" w:sz="0" w:space="0" w:color="auto"/>
        <w:bottom w:val="none" w:sz="0" w:space="0" w:color="auto"/>
        <w:right w:val="none" w:sz="0" w:space="0" w:color="auto"/>
      </w:divBdr>
    </w:div>
    <w:div w:id="1480415411">
      <w:bodyDiv w:val="1"/>
      <w:marLeft w:val="0"/>
      <w:marRight w:val="0"/>
      <w:marTop w:val="0"/>
      <w:marBottom w:val="0"/>
      <w:divBdr>
        <w:top w:val="none" w:sz="0" w:space="0" w:color="auto"/>
        <w:left w:val="none" w:sz="0" w:space="0" w:color="auto"/>
        <w:bottom w:val="none" w:sz="0" w:space="0" w:color="auto"/>
        <w:right w:val="none" w:sz="0" w:space="0" w:color="auto"/>
      </w:divBdr>
    </w:div>
    <w:div w:id="1480459183">
      <w:bodyDiv w:val="1"/>
      <w:marLeft w:val="0"/>
      <w:marRight w:val="0"/>
      <w:marTop w:val="0"/>
      <w:marBottom w:val="0"/>
      <w:divBdr>
        <w:top w:val="none" w:sz="0" w:space="0" w:color="auto"/>
        <w:left w:val="none" w:sz="0" w:space="0" w:color="auto"/>
        <w:bottom w:val="none" w:sz="0" w:space="0" w:color="auto"/>
        <w:right w:val="none" w:sz="0" w:space="0" w:color="auto"/>
      </w:divBdr>
    </w:div>
    <w:div w:id="1480462377">
      <w:bodyDiv w:val="1"/>
      <w:marLeft w:val="0"/>
      <w:marRight w:val="0"/>
      <w:marTop w:val="0"/>
      <w:marBottom w:val="0"/>
      <w:divBdr>
        <w:top w:val="none" w:sz="0" w:space="0" w:color="auto"/>
        <w:left w:val="none" w:sz="0" w:space="0" w:color="auto"/>
        <w:bottom w:val="none" w:sz="0" w:space="0" w:color="auto"/>
        <w:right w:val="none" w:sz="0" w:space="0" w:color="auto"/>
      </w:divBdr>
    </w:div>
    <w:div w:id="1480533044">
      <w:bodyDiv w:val="1"/>
      <w:marLeft w:val="0"/>
      <w:marRight w:val="0"/>
      <w:marTop w:val="0"/>
      <w:marBottom w:val="0"/>
      <w:divBdr>
        <w:top w:val="none" w:sz="0" w:space="0" w:color="auto"/>
        <w:left w:val="none" w:sz="0" w:space="0" w:color="auto"/>
        <w:bottom w:val="none" w:sz="0" w:space="0" w:color="auto"/>
        <w:right w:val="none" w:sz="0" w:space="0" w:color="auto"/>
      </w:divBdr>
    </w:div>
    <w:div w:id="1480658896">
      <w:bodyDiv w:val="1"/>
      <w:marLeft w:val="0"/>
      <w:marRight w:val="0"/>
      <w:marTop w:val="0"/>
      <w:marBottom w:val="0"/>
      <w:divBdr>
        <w:top w:val="none" w:sz="0" w:space="0" w:color="auto"/>
        <w:left w:val="none" w:sz="0" w:space="0" w:color="auto"/>
        <w:bottom w:val="none" w:sz="0" w:space="0" w:color="auto"/>
        <w:right w:val="none" w:sz="0" w:space="0" w:color="auto"/>
      </w:divBdr>
    </w:div>
    <w:div w:id="1480684255">
      <w:bodyDiv w:val="1"/>
      <w:marLeft w:val="0"/>
      <w:marRight w:val="0"/>
      <w:marTop w:val="0"/>
      <w:marBottom w:val="0"/>
      <w:divBdr>
        <w:top w:val="none" w:sz="0" w:space="0" w:color="auto"/>
        <w:left w:val="none" w:sz="0" w:space="0" w:color="auto"/>
        <w:bottom w:val="none" w:sz="0" w:space="0" w:color="auto"/>
        <w:right w:val="none" w:sz="0" w:space="0" w:color="auto"/>
      </w:divBdr>
    </w:div>
    <w:div w:id="1480880576">
      <w:bodyDiv w:val="1"/>
      <w:marLeft w:val="0"/>
      <w:marRight w:val="0"/>
      <w:marTop w:val="0"/>
      <w:marBottom w:val="0"/>
      <w:divBdr>
        <w:top w:val="none" w:sz="0" w:space="0" w:color="auto"/>
        <w:left w:val="none" w:sz="0" w:space="0" w:color="auto"/>
        <w:bottom w:val="none" w:sz="0" w:space="0" w:color="auto"/>
        <w:right w:val="none" w:sz="0" w:space="0" w:color="auto"/>
      </w:divBdr>
    </w:div>
    <w:div w:id="1480918734">
      <w:bodyDiv w:val="1"/>
      <w:marLeft w:val="0"/>
      <w:marRight w:val="0"/>
      <w:marTop w:val="0"/>
      <w:marBottom w:val="0"/>
      <w:divBdr>
        <w:top w:val="none" w:sz="0" w:space="0" w:color="auto"/>
        <w:left w:val="none" w:sz="0" w:space="0" w:color="auto"/>
        <w:bottom w:val="none" w:sz="0" w:space="0" w:color="auto"/>
        <w:right w:val="none" w:sz="0" w:space="0" w:color="auto"/>
      </w:divBdr>
    </w:div>
    <w:div w:id="1480921047">
      <w:bodyDiv w:val="1"/>
      <w:marLeft w:val="0"/>
      <w:marRight w:val="0"/>
      <w:marTop w:val="0"/>
      <w:marBottom w:val="0"/>
      <w:divBdr>
        <w:top w:val="none" w:sz="0" w:space="0" w:color="auto"/>
        <w:left w:val="none" w:sz="0" w:space="0" w:color="auto"/>
        <w:bottom w:val="none" w:sz="0" w:space="0" w:color="auto"/>
        <w:right w:val="none" w:sz="0" w:space="0" w:color="auto"/>
      </w:divBdr>
    </w:div>
    <w:div w:id="1480922340">
      <w:bodyDiv w:val="1"/>
      <w:marLeft w:val="0"/>
      <w:marRight w:val="0"/>
      <w:marTop w:val="0"/>
      <w:marBottom w:val="0"/>
      <w:divBdr>
        <w:top w:val="none" w:sz="0" w:space="0" w:color="auto"/>
        <w:left w:val="none" w:sz="0" w:space="0" w:color="auto"/>
        <w:bottom w:val="none" w:sz="0" w:space="0" w:color="auto"/>
        <w:right w:val="none" w:sz="0" w:space="0" w:color="auto"/>
      </w:divBdr>
    </w:div>
    <w:div w:id="1480997098">
      <w:bodyDiv w:val="1"/>
      <w:marLeft w:val="0"/>
      <w:marRight w:val="0"/>
      <w:marTop w:val="0"/>
      <w:marBottom w:val="0"/>
      <w:divBdr>
        <w:top w:val="none" w:sz="0" w:space="0" w:color="auto"/>
        <w:left w:val="none" w:sz="0" w:space="0" w:color="auto"/>
        <w:bottom w:val="none" w:sz="0" w:space="0" w:color="auto"/>
        <w:right w:val="none" w:sz="0" w:space="0" w:color="auto"/>
      </w:divBdr>
    </w:div>
    <w:div w:id="1481069913">
      <w:bodyDiv w:val="1"/>
      <w:marLeft w:val="0"/>
      <w:marRight w:val="0"/>
      <w:marTop w:val="0"/>
      <w:marBottom w:val="0"/>
      <w:divBdr>
        <w:top w:val="none" w:sz="0" w:space="0" w:color="auto"/>
        <w:left w:val="none" w:sz="0" w:space="0" w:color="auto"/>
        <w:bottom w:val="none" w:sz="0" w:space="0" w:color="auto"/>
        <w:right w:val="none" w:sz="0" w:space="0" w:color="auto"/>
      </w:divBdr>
    </w:div>
    <w:div w:id="1481070460">
      <w:bodyDiv w:val="1"/>
      <w:marLeft w:val="0"/>
      <w:marRight w:val="0"/>
      <w:marTop w:val="0"/>
      <w:marBottom w:val="0"/>
      <w:divBdr>
        <w:top w:val="none" w:sz="0" w:space="0" w:color="auto"/>
        <w:left w:val="none" w:sz="0" w:space="0" w:color="auto"/>
        <w:bottom w:val="none" w:sz="0" w:space="0" w:color="auto"/>
        <w:right w:val="none" w:sz="0" w:space="0" w:color="auto"/>
      </w:divBdr>
    </w:div>
    <w:div w:id="1481192388">
      <w:bodyDiv w:val="1"/>
      <w:marLeft w:val="0"/>
      <w:marRight w:val="0"/>
      <w:marTop w:val="0"/>
      <w:marBottom w:val="0"/>
      <w:divBdr>
        <w:top w:val="none" w:sz="0" w:space="0" w:color="auto"/>
        <w:left w:val="none" w:sz="0" w:space="0" w:color="auto"/>
        <w:bottom w:val="none" w:sz="0" w:space="0" w:color="auto"/>
        <w:right w:val="none" w:sz="0" w:space="0" w:color="auto"/>
      </w:divBdr>
    </w:div>
    <w:div w:id="1481535374">
      <w:bodyDiv w:val="1"/>
      <w:marLeft w:val="0"/>
      <w:marRight w:val="0"/>
      <w:marTop w:val="0"/>
      <w:marBottom w:val="0"/>
      <w:divBdr>
        <w:top w:val="none" w:sz="0" w:space="0" w:color="auto"/>
        <w:left w:val="none" w:sz="0" w:space="0" w:color="auto"/>
        <w:bottom w:val="none" w:sz="0" w:space="0" w:color="auto"/>
        <w:right w:val="none" w:sz="0" w:space="0" w:color="auto"/>
      </w:divBdr>
    </w:div>
    <w:div w:id="1481576910">
      <w:bodyDiv w:val="1"/>
      <w:marLeft w:val="0"/>
      <w:marRight w:val="0"/>
      <w:marTop w:val="0"/>
      <w:marBottom w:val="0"/>
      <w:divBdr>
        <w:top w:val="none" w:sz="0" w:space="0" w:color="auto"/>
        <w:left w:val="none" w:sz="0" w:space="0" w:color="auto"/>
        <w:bottom w:val="none" w:sz="0" w:space="0" w:color="auto"/>
        <w:right w:val="none" w:sz="0" w:space="0" w:color="auto"/>
      </w:divBdr>
    </w:div>
    <w:div w:id="1481580138">
      <w:bodyDiv w:val="1"/>
      <w:marLeft w:val="0"/>
      <w:marRight w:val="0"/>
      <w:marTop w:val="0"/>
      <w:marBottom w:val="0"/>
      <w:divBdr>
        <w:top w:val="none" w:sz="0" w:space="0" w:color="auto"/>
        <w:left w:val="none" w:sz="0" w:space="0" w:color="auto"/>
        <w:bottom w:val="none" w:sz="0" w:space="0" w:color="auto"/>
        <w:right w:val="none" w:sz="0" w:space="0" w:color="auto"/>
      </w:divBdr>
    </w:div>
    <w:div w:id="1481724804">
      <w:bodyDiv w:val="1"/>
      <w:marLeft w:val="0"/>
      <w:marRight w:val="0"/>
      <w:marTop w:val="0"/>
      <w:marBottom w:val="0"/>
      <w:divBdr>
        <w:top w:val="none" w:sz="0" w:space="0" w:color="auto"/>
        <w:left w:val="none" w:sz="0" w:space="0" w:color="auto"/>
        <w:bottom w:val="none" w:sz="0" w:space="0" w:color="auto"/>
        <w:right w:val="none" w:sz="0" w:space="0" w:color="auto"/>
      </w:divBdr>
    </w:div>
    <w:div w:id="1481846452">
      <w:bodyDiv w:val="1"/>
      <w:marLeft w:val="0"/>
      <w:marRight w:val="0"/>
      <w:marTop w:val="0"/>
      <w:marBottom w:val="0"/>
      <w:divBdr>
        <w:top w:val="none" w:sz="0" w:space="0" w:color="auto"/>
        <w:left w:val="none" w:sz="0" w:space="0" w:color="auto"/>
        <w:bottom w:val="none" w:sz="0" w:space="0" w:color="auto"/>
        <w:right w:val="none" w:sz="0" w:space="0" w:color="auto"/>
      </w:divBdr>
    </w:div>
    <w:div w:id="1481925811">
      <w:bodyDiv w:val="1"/>
      <w:marLeft w:val="0"/>
      <w:marRight w:val="0"/>
      <w:marTop w:val="0"/>
      <w:marBottom w:val="0"/>
      <w:divBdr>
        <w:top w:val="none" w:sz="0" w:space="0" w:color="auto"/>
        <w:left w:val="none" w:sz="0" w:space="0" w:color="auto"/>
        <w:bottom w:val="none" w:sz="0" w:space="0" w:color="auto"/>
        <w:right w:val="none" w:sz="0" w:space="0" w:color="auto"/>
      </w:divBdr>
    </w:div>
    <w:div w:id="1482044851">
      <w:bodyDiv w:val="1"/>
      <w:marLeft w:val="0"/>
      <w:marRight w:val="0"/>
      <w:marTop w:val="0"/>
      <w:marBottom w:val="0"/>
      <w:divBdr>
        <w:top w:val="none" w:sz="0" w:space="0" w:color="auto"/>
        <w:left w:val="none" w:sz="0" w:space="0" w:color="auto"/>
        <w:bottom w:val="none" w:sz="0" w:space="0" w:color="auto"/>
        <w:right w:val="none" w:sz="0" w:space="0" w:color="auto"/>
      </w:divBdr>
    </w:div>
    <w:div w:id="1482118001">
      <w:bodyDiv w:val="1"/>
      <w:marLeft w:val="0"/>
      <w:marRight w:val="0"/>
      <w:marTop w:val="0"/>
      <w:marBottom w:val="0"/>
      <w:divBdr>
        <w:top w:val="none" w:sz="0" w:space="0" w:color="auto"/>
        <w:left w:val="none" w:sz="0" w:space="0" w:color="auto"/>
        <w:bottom w:val="none" w:sz="0" w:space="0" w:color="auto"/>
        <w:right w:val="none" w:sz="0" w:space="0" w:color="auto"/>
      </w:divBdr>
    </w:div>
    <w:div w:id="1482162792">
      <w:bodyDiv w:val="1"/>
      <w:marLeft w:val="0"/>
      <w:marRight w:val="0"/>
      <w:marTop w:val="0"/>
      <w:marBottom w:val="0"/>
      <w:divBdr>
        <w:top w:val="none" w:sz="0" w:space="0" w:color="auto"/>
        <w:left w:val="none" w:sz="0" w:space="0" w:color="auto"/>
        <w:bottom w:val="none" w:sz="0" w:space="0" w:color="auto"/>
        <w:right w:val="none" w:sz="0" w:space="0" w:color="auto"/>
      </w:divBdr>
    </w:div>
    <w:div w:id="1482304206">
      <w:bodyDiv w:val="1"/>
      <w:marLeft w:val="0"/>
      <w:marRight w:val="0"/>
      <w:marTop w:val="0"/>
      <w:marBottom w:val="0"/>
      <w:divBdr>
        <w:top w:val="none" w:sz="0" w:space="0" w:color="auto"/>
        <w:left w:val="none" w:sz="0" w:space="0" w:color="auto"/>
        <w:bottom w:val="none" w:sz="0" w:space="0" w:color="auto"/>
        <w:right w:val="none" w:sz="0" w:space="0" w:color="auto"/>
      </w:divBdr>
    </w:div>
    <w:div w:id="1482307637">
      <w:bodyDiv w:val="1"/>
      <w:marLeft w:val="0"/>
      <w:marRight w:val="0"/>
      <w:marTop w:val="0"/>
      <w:marBottom w:val="0"/>
      <w:divBdr>
        <w:top w:val="none" w:sz="0" w:space="0" w:color="auto"/>
        <w:left w:val="none" w:sz="0" w:space="0" w:color="auto"/>
        <w:bottom w:val="none" w:sz="0" w:space="0" w:color="auto"/>
        <w:right w:val="none" w:sz="0" w:space="0" w:color="auto"/>
      </w:divBdr>
    </w:div>
    <w:div w:id="1482454858">
      <w:bodyDiv w:val="1"/>
      <w:marLeft w:val="0"/>
      <w:marRight w:val="0"/>
      <w:marTop w:val="0"/>
      <w:marBottom w:val="0"/>
      <w:divBdr>
        <w:top w:val="none" w:sz="0" w:space="0" w:color="auto"/>
        <w:left w:val="none" w:sz="0" w:space="0" w:color="auto"/>
        <w:bottom w:val="none" w:sz="0" w:space="0" w:color="auto"/>
        <w:right w:val="none" w:sz="0" w:space="0" w:color="auto"/>
      </w:divBdr>
    </w:div>
    <w:div w:id="1482498388">
      <w:bodyDiv w:val="1"/>
      <w:marLeft w:val="0"/>
      <w:marRight w:val="0"/>
      <w:marTop w:val="0"/>
      <w:marBottom w:val="0"/>
      <w:divBdr>
        <w:top w:val="none" w:sz="0" w:space="0" w:color="auto"/>
        <w:left w:val="none" w:sz="0" w:space="0" w:color="auto"/>
        <w:bottom w:val="none" w:sz="0" w:space="0" w:color="auto"/>
        <w:right w:val="none" w:sz="0" w:space="0" w:color="auto"/>
      </w:divBdr>
    </w:div>
    <w:div w:id="1482575586">
      <w:bodyDiv w:val="1"/>
      <w:marLeft w:val="0"/>
      <w:marRight w:val="0"/>
      <w:marTop w:val="0"/>
      <w:marBottom w:val="0"/>
      <w:divBdr>
        <w:top w:val="none" w:sz="0" w:space="0" w:color="auto"/>
        <w:left w:val="none" w:sz="0" w:space="0" w:color="auto"/>
        <w:bottom w:val="none" w:sz="0" w:space="0" w:color="auto"/>
        <w:right w:val="none" w:sz="0" w:space="0" w:color="auto"/>
      </w:divBdr>
    </w:div>
    <w:div w:id="1483153257">
      <w:bodyDiv w:val="1"/>
      <w:marLeft w:val="0"/>
      <w:marRight w:val="0"/>
      <w:marTop w:val="0"/>
      <w:marBottom w:val="0"/>
      <w:divBdr>
        <w:top w:val="none" w:sz="0" w:space="0" w:color="auto"/>
        <w:left w:val="none" w:sz="0" w:space="0" w:color="auto"/>
        <w:bottom w:val="none" w:sz="0" w:space="0" w:color="auto"/>
        <w:right w:val="none" w:sz="0" w:space="0" w:color="auto"/>
      </w:divBdr>
    </w:div>
    <w:div w:id="1483228197">
      <w:bodyDiv w:val="1"/>
      <w:marLeft w:val="0"/>
      <w:marRight w:val="0"/>
      <w:marTop w:val="0"/>
      <w:marBottom w:val="0"/>
      <w:divBdr>
        <w:top w:val="none" w:sz="0" w:space="0" w:color="auto"/>
        <w:left w:val="none" w:sz="0" w:space="0" w:color="auto"/>
        <w:bottom w:val="none" w:sz="0" w:space="0" w:color="auto"/>
        <w:right w:val="none" w:sz="0" w:space="0" w:color="auto"/>
      </w:divBdr>
    </w:div>
    <w:div w:id="1483348599">
      <w:bodyDiv w:val="1"/>
      <w:marLeft w:val="0"/>
      <w:marRight w:val="0"/>
      <w:marTop w:val="0"/>
      <w:marBottom w:val="0"/>
      <w:divBdr>
        <w:top w:val="none" w:sz="0" w:space="0" w:color="auto"/>
        <w:left w:val="none" w:sz="0" w:space="0" w:color="auto"/>
        <w:bottom w:val="none" w:sz="0" w:space="0" w:color="auto"/>
        <w:right w:val="none" w:sz="0" w:space="0" w:color="auto"/>
      </w:divBdr>
    </w:div>
    <w:div w:id="1483353824">
      <w:bodyDiv w:val="1"/>
      <w:marLeft w:val="0"/>
      <w:marRight w:val="0"/>
      <w:marTop w:val="0"/>
      <w:marBottom w:val="0"/>
      <w:divBdr>
        <w:top w:val="none" w:sz="0" w:space="0" w:color="auto"/>
        <w:left w:val="none" w:sz="0" w:space="0" w:color="auto"/>
        <w:bottom w:val="none" w:sz="0" w:space="0" w:color="auto"/>
        <w:right w:val="none" w:sz="0" w:space="0" w:color="auto"/>
      </w:divBdr>
    </w:div>
    <w:div w:id="1483354066">
      <w:bodyDiv w:val="1"/>
      <w:marLeft w:val="0"/>
      <w:marRight w:val="0"/>
      <w:marTop w:val="0"/>
      <w:marBottom w:val="0"/>
      <w:divBdr>
        <w:top w:val="none" w:sz="0" w:space="0" w:color="auto"/>
        <w:left w:val="none" w:sz="0" w:space="0" w:color="auto"/>
        <w:bottom w:val="none" w:sz="0" w:space="0" w:color="auto"/>
        <w:right w:val="none" w:sz="0" w:space="0" w:color="auto"/>
      </w:divBdr>
    </w:div>
    <w:div w:id="1483547729">
      <w:bodyDiv w:val="1"/>
      <w:marLeft w:val="0"/>
      <w:marRight w:val="0"/>
      <w:marTop w:val="0"/>
      <w:marBottom w:val="0"/>
      <w:divBdr>
        <w:top w:val="none" w:sz="0" w:space="0" w:color="auto"/>
        <w:left w:val="none" w:sz="0" w:space="0" w:color="auto"/>
        <w:bottom w:val="none" w:sz="0" w:space="0" w:color="auto"/>
        <w:right w:val="none" w:sz="0" w:space="0" w:color="auto"/>
      </w:divBdr>
    </w:div>
    <w:div w:id="1483621022">
      <w:bodyDiv w:val="1"/>
      <w:marLeft w:val="0"/>
      <w:marRight w:val="0"/>
      <w:marTop w:val="0"/>
      <w:marBottom w:val="0"/>
      <w:divBdr>
        <w:top w:val="none" w:sz="0" w:space="0" w:color="auto"/>
        <w:left w:val="none" w:sz="0" w:space="0" w:color="auto"/>
        <w:bottom w:val="none" w:sz="0" w:space="0" w:color="auto"/>
        <w:right w:val="none" w:sz="0" w:space="0" w:color="auto"/>
      </w:divBdr>
    </w:div>
    <w:div w:id="1483742079">
      <w:bodyDiv w:val="1"/>
      <w:marLeft w:val="0"/>
      <w:marRight w:val="0"/>
      <w:marTop w:val="0"/>
      <w:marBottom w:val="0"/>
      <w:divBdr>
        <w:top w:val="none" w:sz="0" w:space="0" w:color="auto"/>
        <w:left w:val="none" w:sz="0" w:space="0" w:color="auto"/>
        <w:bottom w:val="none" w:sz="0" w:space="0" w:color="auto"/>
        <w:right w:val="none" w:sz="0" w:space="0" w:color="auto"/>
      </w:divBdr>
    </w:div>
    <w:div w:id="1483812501">
      <w:bodyDiv w:val="1"/>
      <w:marLeft w:val="0"/>
      <w:marRight w:val="0"/>
      <w:marTop w:val="0"/>
      <w:marBottom w:val="0"/>
      <w:divBdr>
        <w:top w:val="none" w:sz="0" w:space="0" w:color="auto"/>
        <w:left w:val="none" w:sz="0" w:space="0" w:color="auto"/>
        <w:bottom w:val="none" w:sz="0" w:space="0" w:color="auto"/>
        <w:right w:val="none" w:sz="0" w:space="0" w:color="auto"/>
      </w:divBdr>
    </w:div>
    <w:div w:id="1483886949">
      <w:bodyDiv w:val="1"/>
      <w:marLeft w:val="0"/>
      <w:marRight w:val="0"/>
      <w:marTop w:val="0"/>
      <w:marBottom w:val="0"/>
      <w:divBdr>
        <w:top w:val="none" w:sz="0" w:space="0" w:color="auto"/>
        <w:left w:val="none" w:sz="0" w:space="0" w:color="auto"/>
        <w:bottom w:val="none" w:sz="0" w:space="0" w:color="auto"/>
        <w:right w:val="none" w:sz="0" w:space="0" w:color="auto"/>
      </w:divBdr>
    </w:div>
    <w:div w:id="1483890835">
      <w:bodyDiv w:val="1"/>
      <w:marLeft w:val="0"/>
      <w:marRight w:val="0"/>
      <w:marTop w:val="0"/>
      <w:marBottom w:val="0"/>
      <w:divBdr>
        <w:top w:val="none" w:sz="0" w:space="0" w:color="auto"/>
        <w:left w:val="none" w:sz="0" w:space="0" w:color="auto"/>
        <w:bottom w:val="none" w:sz="0" w:space="0" w:color="auto"/>
        <w:right w:val="none" w:sz="0" w:space="0" w:color="auto"/>
      </w:divBdr>
    </w:div>
    <w:div w:id="1483933514">
      <w:bodyDiv w:val="1"/>
      <w:marLeft w:val="0"/>
      <w:marRight w:val="0"/>
      <w:marTop w:val="0"/>
      <w:marBottom w:val="0"/>
      <w:divBdr>
        <w:top w:val="none" w:sz="0" w:space="0" w:color="auto"/>
        <w:left w:val="none" w:sz="0" w:space="0" w:color="auto"/>
        <w:bottom w:val="none" w:sz="0" w:space="0" w:color="auto"/>
        <w:right w:val="none" w:sz="0" w:space="0" w:color="auto"/>
      </w:divBdr>
    </w:div>
    <w:div w:id="1483963785">
      <w:bodyDiv w:val="1"/>
      <w:marLeft w:val="0"/>
      <w:marRight w:val="0"/>
      <w:marTop w:val="0"/>
      <w:marBottom w:val="0"/>
      <w:divBdr>
        <w:top w:val="none" w:sz="0" w:space="0" w:color="auto"/>
        <w:left w:val="none" w:sz="0" w:space="0" w:color="auto"/>
        <w:bottom w:val="none" w:sz="0" w:space="0" w:color="auto"/>
        <w:right w:val="none" w:sz="0" w:space="0" w:color="auto"/>
      </w:divBdr>
    </w:div>
    <w:div w:id="1484203731">
      <w:bodyDiv w:val="1"/>
      <w:marLeft w:val="0"/>
      <w:marRight w:val="0"/>
      <w:marTop w:val="0"/>
      <w:marBottom w:val="0"/>
      <w:divBdr>
        <w:top w:val="none" w:sz="0" w:space="0" w:color="auto"/>
        <w:left w:val="none" w:sz="0" w:space="0" w:color="auto"/>
        <w:bottom w:val="none" w:sz="0" w:space="0" w:color="auto"/>
        <w:right w:val="none" w:sz="0" w:space="0" w:color="auto"/>
      </w:divBdr>
    </w:div>
    <w:div w:id="1484274050">
      <w:bodyDiv w:val="1"/>
      <w:marLeft w:val="0"/>
      <w:marRight w:val="0"/>
      <w:marTop w:val="0"/>
      <w:marBottom w:val="0"/>
      <w:divBdr>
        <w:top w:val="none" w:sz="0" w:space="0" w:color="auto"/>
        <w:left w:val="none" w:sz="0" w:space="0" w:color="auto"/>
        <w:bottom w:val="none" w:sz="0" w:space="0" w:color="auto"/>
        <w:right w:val="none" w:sz="0" w:space="0" w:color="auto"/>
      </w:divBdr>
    </w:div>
    <w:div w:id="1484274724">
      <w:bodyDiv w:val="1"/>
      <w:marLeft w:val="0"/>
      <w:marRight w:val="0"/>
      <w:marTop w:val="0"/>
      <w:marBottom w:val="0"/>
      <w:divBdr>
        <w:top w:val="none" w:sz="0" w:space="0" w:color="auto"/>
        <w:left w:val="none" w:sz="0" w:space="0" w:color="auto"/>
        <w:bottom w:val="none" w:sz="0" w:space="0" w:color="auto"/>
        <w:right w:val="none" w:sz="0" w:space="0" w:color="auto"/>
      </w:divBdr>
    </w:div>
    <w:div w:id="1484274841">
      <w:bodyDiv w:val="1"/>
      <w:marLeft w:val="0"/>
      <w:marRight w:val="0"/>
      <w:marTop w:val="0"/>
      <w:marBottom w:val="0"/>
      <w:divBdr>
        <w:top w:val="none" w:sz="0" w:space="0" w:color="auto"/>
        <w:left w:val="none" w:sz="0" w:space="0" w:color="auto"/>
        <w:bottom w:val="none" w:sz="0" w:space="0" w:color="auto"/>
        <w:right w:val="none" w:sz="0" w:space="0" w:color="auto"/>
      </w:divBdr>
    </w:div>
    <w:div w:id="1484349993">
      <w:bodyDiv w:val="1"/>
      <w:marLeft w:val="0"/>
      <w:marRight w:val="0"/>
      <w:marTop w:val="0"/>
      <w:marBottom w:val="0"/>
      <w:divBdr>
        <w:top w:val="none" w:sz="0" w:space="0" w:color="auto"/>
        <w:left w:val="none" w:sz="0" w:space="0" w:color="auto"/>
        <w:bottom w:val="none" w:sz="0" w:space="0" w:color="auto"/>
        <w:right w:val="none" w:sz="0" w:space="0" w:color="auto"/>
      </w:divBdr>
    </w:div>
    <w:div w:id="1484393661">
      <w:bodyDiv w:val="1"/>
      <w:marLeft w:val="0"/>
      <w:marRight w:val="0"/>
      <w:marTop w:val="0"/>
      <w:marBottom w:val="0"/>
      <w:divBdr>
        <w:top w:val="none" w:sz="0" w:space="0" w:color="auto"/>
        <w:left w:val="none" w:sz="0" w:space="0" w:color="auto"/>
        <w:bottom w:val="none" w:sz="0" w:space="0" w:color="auto"/>
        <w:right w:val="none" w:sz="0" w:space="0" w:color="auto"/>
      </w:divBdr>
    </w:div>
    <w:div w:id="1484465580">
      <w:bodyDiv w:val="1"/>
      <w:marLeft w:val="0"/>
      <w:marRight w:val="0"/>
      <w:marTop w:val="0"/>
      <w:marBottom w:val="0"/>
      <w:divBdr>
        <w:top w:val="none" w:sz="0" w:space="0" w:color="auto"/>
        <w:left w:val="none" w:sz="0" w:space="0" w:color="auto"/>
        <w:bottom w:val="none" w:sz="0" w:space="0" w:color="auto"/>
        <w:right w:val="none" w:sz="0" w:space="0" w:color="auto"/>
      </w:divBdr>
    </w:div>
    <w:div w:id="1484665635">
      <w:bodyDiv w:val="1"/>
      <w:marLeft w:val="0"/>
      <w:marRight w:val="0"/>
      <w:marTop w:val="0"/>
      <w:marBottom w:val="0"/>
      <w:divBdr>
        <w:top w:val="none" w:sz="0" w:space="0" w:color="auto"/>
        <w:left w:val="none" w:sz="0" w:space="0" w:color="auto"/>
        <w:bottom w:val="none" w:sz="0" w:space="0" w:color="auto"/>
        <w:right w:val="none" w:sz="0" w:space="0" w:color="auto"/>
      </w:divBdr>
    </w:div>
    <w:div w:id="1484734693">
      <w:bodyDiv w:val="1"/>
      <w:marLeft w:val="0"/>
      <w:marRight w:val="0"/>
      <w:marTop w:val="0"/>
      <w:marBottom w:val="0"/>
      <w:divBdr>
        <w:top w:val="none" w:sz="0" w:space="0" w:color="auto"/>
        <w:left w:val="none" w:sz="0" w:space="0" w:color="auto"/>
        <w:bottom w:val="none" w:sz="0" w:space="0" w:color="auto"/>
        <w:right w:val="none" w:sz="0" w:space="0" w:color="auto"/>
      </w:divBdr>
    </w:div>
    <w:div w:id="1484814926">
      <w:bodyDiv w:val="1"/>
      <w:marLeft w:val="0"/>
      <w:marRight w:val="0"/>
      <w:marTop w:val="0"/>
      <w:marBottom w:val="0"/>
      <w:divBdr>
        <w:top w:val="none" w:sz="0" w:space="0" w:color="auto"/>
        <w:left w:val="none" w:sz="0" w:space="0" w:color="auto"/>
        <w:bottom w:val="none" w:sz="0" w:space="0" w:color="auto"/>
        <w:right w:val="none" w:sz="0" w:space="0" w:color="auto"/>
      </w:divBdr>
    </w:div>
    <w:div w:id="1485004754">
      <w:bodyDiv w:val="1"/>
      <w:marLeft w:val="0"/>
      <w:marRight w:val="0"/>
      <w:marTop w:val="0"/>
      <w:marBottom w:val="0"/>
      <w:divBdr>
        <w:top w:val="none" w:sz="0" w:space="0" w:color="auto"/>
        <w:left w:val="none" w:sz="0" w:space="0" w:color="auto"/>
        <w:bottom w:val="none" w:sz="0" w:space="0" w:color="auto"/>
        <w:right w:val="none" w:sz="0" w:space="0" w:color="auto"/>
      </w:divBdr>
    </w:div>
    <w:div w:id="1485051136">
      <w:bodyDiv w:val="1"/>
      <w:marLeft w:val="0"/>
      <w:marRight w:val="0"/>
      <w:marTop w:val="0"/>
      <w:marBottom w:val="0"/>
      <w:divBdr>
        <w:top w:val="none" w:sz="0" w:space="0" w:color="auto"/>
        <w:left w:val="none" w:sz="0" w:space="0" w:color="auto"/>
        <w:bottom w:val="none" w:sz="0" w:space="0" w:color="auto"/>
        <w:right w:val="none" w:sz="0" w:space="0" w:color="auto"/>
      </w:divBdr>
    </w:div>
    <w:div w:id="1485051656">
      <w:bodyDiv w:val="1"/>
      <w:marLeft w:val="0"/>
      <w:marRight w:val="0"/>
      <w:marTop w:val="0"/>
      <w:marBottom w:val="0"/>
      <w:divBdr>
        <w:top w:val="none" w:sz="0" w:space="0" w:color="auto"/>
        <w:left w:val="none" w:sz="0" w:space="0" w:color="auto"/>
        <w:bottom w:val="none" w:sz="0" w:space="0" w:color="auto"/>
        <w:right w:val="none" w:sz="0" w:space="0" w:color="auto"/>
      </w:divBdr>
    </w:div>
    <w:div w:id="1485121265">
      <w:bodyDiv w:val="1"/>
      <w:marLeft w:val="0"/>
      <w:marRight w:val="0"/>
      <w:marTop w:val="0"/>
      <w:marBottom w:val="0"/>
      <w:divBdr>
        <w:top w:val="none" w:sz="0" w:space="0" w:color="auto"/>
        <w:left w:val="none" w:sz="0" w:space="0" w:color="auto"/>
        <w:bottom w:val="none" w:sz="0" w:space="0" w:color="auto"/>
        <w:right w:val="none" w:sz="0" w:space="0" w:color="auto"/>
      </w:divBdr>
    </w:div>
    <w:div w:id="1485273553">
      <w:bodyDiv w:val="1"/>
      <w:marLeft w:val="0"/>
      <w:marRight w:val="0"/>
      <w:marTop w:val="0"/>
      <w:marBottom w:val="0"/>
      <w:divBdr>
        <w:top w:val="none" w:sz="0" w:space="0" w:color="auto"/>
        <w:left w:val="none" w:sz="0" w:space="0" w:color="auto"/>
        <w:bottom w:val="none" w:sz="0" w:space="0" w:color="auto"/>
        <w:right w:val="none" w:sz="0" w:space="0" w:color="auto"/>
      </w:divBdr>
    </w:div>
    <w:div w:id="1485511434">
      <w:bodyDiv w:val="1"/>
      <w:marLeft w:val="0"/>
      <w:marRight w:val="0"/>
      <w:marTop w:val="0"/>
      <w:marBottom w:val="0"/>
      <w:divBdr>
        <w:top w:val="none" w:sz="0" w:space="0" w:color="auto"/>
        <w:left w:val="none" w:sz="0" w:space="0" w:color="auto"/>
        <w:bottom w:val="none" w:sz="0" w:space="0" w:color="auto"/>
        <w:right w:val="none" w:sz="0" w:space="0" w:color="auto"/>
      </w:divBdr>
    </w:div>
    <w:div w:id="1485733743">
      <w:bodyDiv w:val="1"/>
      <w:marLeft w:val="0"/>
      <w:marRight w:val="0"/>
      <w:marTop w:val="0"/>
      <w:marBottom w:val="0"/>
      <w:divBdr>
        <w:top w:val="none" w:sz="0" w:space="0" w:color="auto"/>
        <w:left w:val="none" w:sz="0" w:space="0" w:color="auto"/>
        <w:bottom w:val="none" w:sz="0" w:space="0" w:color="auto"/>
        <w:right w:val="none" w:sz="0" w:space="0" w:color="auto"/>
      </w:divBdr>
    </w:div>
    <w:div w:id="1485777661">
      <w:bodyDiv w:val="1"/>
      <w:marLeft w:val="0"/>
      <w:marRight w:val="0"/>
      <w:marTop w:val="0"/>
      <w:marBottom w:val="0"/>
      <w:divBdr>
        <w:top w:val="none" w:sz="0" w:space="0" w:color="auto"/>
        <w:left w:val="none" w:sz="0" w:space="0" w:color="auto"/>
        <w:bottom w:val="none" w:sz="0" w:space="0" w:color="auto"/>
        <w:right w:val="none" w:sz="0" w:space="0" w:color="auto"/>
      </w:divBdr>
    </w:div>
    <w:div w:id="1485777998">
      <w:bodyDiv w:val="1"/>
      <w:marLeft w:val="0"/>
      <w:marRight w:val="0"/>
      <w:marTop w:val="0"/>
      <w:marBottom w:val="0"/>
      <w:divBdr>
        <w:top w:val="none" w:sz="0" w:space="0" w:color="auto"/>
        <w:left w:val="none" w:sz="0" w:space="0" w:color="auto"/>
        <w:bottom w:val="none" w:sz="0" w:space="0" w:color="auto"/>
        <w:right w:val="none" w:sz="0" w:space="0" w:color="auto"/>
      </w:divBdr>
    </w:div>
    <w:div w:id="1485778650">
      <w:bodyDiv w:val="1"/>
      <w:marLeft w:val="0"/>
      <w:marRight w:val="0"/>
      <w:marTop w:val="0"/>
      <w:marBottom w:val="0"/>
      <w:divBdr>
        <w:top w:val="none" w:sz="0" w:space="0" w:color="auto"/>
        <w:left w:val="none" w:sz="0" w:space="0" w:color="auto"/>
        <w:bottom w:val="none" w:sz="0" w:space="0" w:color="auto"/>
        <w:right w:val="none" w:sz="0" w:space="0" w:color="auto"/>
      </w:divBdr>
    </w:div>
    <w:div w:id="1485780326">
      <w:bodyDiv w:val="1"/>
      <w:marLeft w:val="0"/>
      <w:marRight w:val="0"/>
      <w:marTop w:val="0"/>
      <w:marBottom w:val="0"/>
      <w:divBdr>
        <w:top w:val="none" w:sz="0" w:space="0" w:color="auto"/>
        <w:left w:val="none" w:sz="0" w:space="0" w:color="auto"/>
        <w:bottom w:val="none" w:sz="0" w:space="0" w:color="auto"/>
        <w:right w:val="none" w:sz="0" w:space="0" w:color="auto"/>
      </w:divBdr>
    </w:div>
    <w:div w:id="1485853265">
      <w:bodyDiv w:val="1"/>
      <w:marLeft w:val="0"/>
      <w:marRight w:val="0"/>
      <w:marTop w:val="0"/>
      <w:marBottom w:val="0"/>
      <w:divBdr>
        <w:top w:val="none" w:sz="0" w:space="0" w:color="auto"/>
        <w:left w:val="none" w:sz="0" w:space="0" w:color="auto"/>
        <w:bottom w:val="none" w:sz="0" w:space="0" w:color="auto"/>
        <w:right w:val="none" w:sz="0" w:space="0" w:color="auto"/>
      </w:divBdr>
    </w:div>
    <w:div w:id="1485857553">
      <w:bodyDiv w:val="1"/>
      <w:marLeft w:val="0"/>
      <w:marRight w:val="0"/>
      <w:marTop w:val="0"/>
      <w:marBottom w:val="0"/>
      <w:divBdr>
        <w:top w:val="none" w:sz="0" w:space="0" w:color="auto"/>
        <w:left w:val="none" w:sz="0" w:space="0" w:color="auto"/>
        <w:bottom w:val="none" w:sz="0" w:space="0" w:color="auto"/>
        <w:right w:val="none" w:sz="0" w:space="0" w:color="auto"/>
      </w:divBdr>
    </w:div>
    <w:div w:id="1485858368">
      <w:bodyDiv w:val="1"/>
      <w:marLeft w:val="0"/>
      <w:marRight w:val="0"/>
      <w:marTop w:val="0"/>
      <w:marBottom w:val="0"/>
      <w:divBdr>
        <w:top w:val="none" w:sz="0" w:space="0" w:color="auto"/>
        <w:left w:val="none" w:sz="0" w:space="0" w:color="auto"/>
        <w:bottom w:val="none" w:sz="0" w:space="0" w:color="auto"/>
        <w:right w:val="none" w:sz="0" w:space="0" w:color="auto"/>
      </w:divBdr>
    </w:div>
    <w:div w:id="1486047736">
      <w:bodyDiv w:val="1"/>
      <w:marLeft w:val="0"/>
      <w:marRight w:val="0"/>
      <w:marTop w:val="0"/>
      <w:marBottom w:val="0"/>
      <w:divBdr>
        <w:top w:val="none" w:sz="0" w:space="0" w:color="auto"/>
        <w:left w:val="none" w:sz="0" w:space="0" w:color="auto"/>
        <w:bottom w:val="none" w:sz="0" w:space="0" w:color="auto"/>
        <w:right w:val="none" w:sz="0" w:space="0" w:color="auto"/>
      </w:divBdr>
    </w:div>
    <w:div w:id="1486162647">
      <w:bodyDiv w:val="1"/>
      <w:marLeft w:val="0"/>
      <w:marRight w:val="0"/>
      <w:marTop w:val="0"/>
      <w:marBottom w:val="0"/>
      <w:divBdr>
        <w:top w:val="none" w:sz="0" w:space="0" w:color="auto"/>
        <w:left w:val="none" w:sz="0" w:space="0" w:color="auto"/>
        <w:bottom w:val="none" w:sz="0" w:space="0" w:color="auto"/>
        <w:right w:val="none" w:sz="0" w:space="0" w:color="auto"/>
      </w:divBdr>
    </w:div>
    <w:div w:id="1486163663">
      <w:bodyDiv w:val="1"/>
      <w:marLeft w:val="0"/>
      <w:marRight w:val="0"/>
      <w:marTop w:val="0"/>
      <w:marBottom w:val="0"/>
      <w:divBdr>
        <w:top w:val="none" w:sz="0" w:space="0" w:color="auto"/>
        <w:left w:val="none" w:sz="0" w:space="0" w:color="auto"/>
        <w:bottom w:val="none" w:sz="0" w:space="0" w:color="auto"/>
        <w:right w:val="none" w:sz="0" w:space="0" w:color="auto"/>
      </w:divBdr>
    </w:div>
    <w:div w:id="1486165853">
      <w:bodyDiv w:val="1"/>
      <w:marLeft w:val="0"/>
      <w:marRight w:val="0"/>
      <w:marTop w:val="0"/>
      <w:marBottom w:val="0"/>
      <w:divBdr>
        <w:top w:val="none" w:sz="0" w:space="0" w:color="auto"/>
        <w:left w:val="none" w:sz="0" w:space="0" w:color="auto"/>
        <w:bottom w:val="none" w:sz="0" w:space="0" w:color="auto"/>
        <w:right w:val="none" w:sz="0" w:space="0" w:color="auto"/>
      </w:divBdr>
    </w:div>
    <w:div w:id="1486244483">
      <w:bodyDiv w:val="1"/>
      <w:marLeft w:val="0"/>
      <w:marRight w:val="0"/>
      <w:marTop w:val="0"/>
      <w:marBottom w:val="0"/>
      <w:divBdr>
        <w:top w:val="none" w:sz="0" w:space="0" w:color="auto"/>
        <w:left w:val="none" w:sz="0" w:space="0" w:color="auto"/>
        <w:bottom w:val="none" w:sz="0" w:space="0" w:color="auto"/>
        <w:right w:val="none" w:sz="0" w:space="0" w:color="auto"/>
      </w:divBdr>
    </w:div>
    <w:div w:id="1486318365">
      <w:bodyDiv w:val="1"/>
      <w:marLeft w:val="0"/>
      <w:marRight w:val="0"/>
      <w:marTop w:val="0"/>
      <w:marBottom w:val="0"/>
      <w:divBdr>
        <w:top w:val="none" w:sz="0" w:space="0" w:color="auto"/>
        <w:left w:val="none" w:sz="0" w:space="0" w:color="auto"/>
        <w:bottom w:val="none" w:sz="0" w:space="0" w:color="auto"/>
        <w:right w:val="none" w:sz="0" w:space="0" w:color="auto"/>
      </w:divBdr>
    </w:div>
    <w:div w:id="1486358751">
      <w:bodyDiv w:val="1"/>
      <w:marLeft w:val="0"/>
      <w:marRight w:val="0"/>
      <w:marTop w:val="0"/>
      <w:marBottom w:val="0"/>
      <w:divBdr>
        <w:top w:val="none" w:sz="0" w:space="0" w:color="auto"/>
        <w:left w:val="none" w:sz="0" w:space="0" w:color="auto"/>
        <w:bottom w:val="none" w:sz="0" w:space="0" w:color="auto"/>
        <w:right w:val="none" w:sz="0" w:space="0" w:color="auto"/>
      </w:divBdr>
    </w:div>
    <w:div w:id="1486436435">
      <w:bodyDiv w:val="1"/>
      <w:marLeft w:val="0"/>
      <w:marRight w:val="0"/>
      <w:marTop w:val="0"/>
      <w:marBottom w:val="0"/>
      <w:divBdr>
        <w:top w:val="none" w:sz="0" w:space="0" w:color="auto"/>
        <w:left w:val="none" w:sz="0" w:space="0" w:color="auto"/>
        <w:bottom w:val="none" w:sz="0" w:space="0" w:color="auto"/>
        <w:right w:val="none" w:sz="0" w:space="0" w:color="auto"/>
      </w:divBdr>
    </w:div>
    <w:div w:id="1486553800">
      <w:bodyDiv w:val="1"/>
      <w:marLeft w:val="0"/>
      <w:marRight w:val="0"/>
      <w:marTop w:val="0"/>
      <w:marBottom w:val="0"/>
      <w:divBdr>
        <w:top w:val="none" w:sz="0" w:space="0" w:color="auto"/>
        <w:left w:val="none" w:sz="0" w:space="0" w:color="auto"/>
        <w:bottom w:val="none" w:sz="0" w:space="0" w:color="auto"/>
        <w:right w:val="none" w:sz="0" w:space="0" w:color="auto"/>
      </w:divBdr>
    </w:div>
    <w:div w:id="1486553837">
      <w:bodyDiv w:val="1"/>
      <w:marLeft w:val="0"/>
      <w:marRight w:val="0"/>
      <w:marTop w:val="0"/>
      <w:marBottom w:val="0"/>
      <w:divBdr>
        <w:top w:val="none" w:sz="0" w:space="0" w:color="auto"/>
        <w:left w:val="none" w:sz="0" w:space="0" w:color="auto"/>
        <w:bottom w:val="none" w:sz="0" w:space="0" w:color="auto"/>
        <w:right w:val="none" w:sz="0" w:space="0" w:color="auto"/>
      </w:divBdr>
    </w:div>
    <w:div w:id="1486627897">
      <w:bodyDiv w:val="1"/>
      <w:marLeft w:val="0"/>
      <w:marRight w:val="0"/>
      <w:marTop w:val="0"/>
      <w:marBottom w:val="0"/>
      <w:divBdr>
        <w:top w:val="none" w:sz="0" w:space="0" w:color="auto"/>
        <w:left w:val="none" w:sz="0" w:space="0" w:color="auto"/>
        <w:bottom w:val="none" w:sz="0" w:space="0" w:color="auto"/>
        <w:right w:val="none" w:sz="0" w:space="0" w:color="auto"/>
      </w:divBdr>
    </w:div>
    <w:div w:id="1486749876">
      <w:bodyDiv w:val="1"/>
      <w:marLeft w:val="0"/>
      <w:marRight w:val="0"/>
      <w:marTop w:val="0"/>
      <w:marBottom w:val="0"/>
      <w:divBdr>
        <w:top w:val="none" w:sz="0" w:space="0" w:color="auto"/>
        <w:left w:val="none" w:sz="0" w:space="0" w:color="auto"/>
        <w:bottom w:val="none" w:sz="0" w:space="0" w:color="auto"/>
        <w:right w:val="none" w:sz="0" w:space="0" w:color="auto"/>
      </w:divBdr>
    </w:div>
    <w:div w:id="1486777867">
      <w:bodyDiv w:val="1"/>
      <w:marLeft w:val="0"/>
      <w:marRight w:val="0"/>
      <w:marTop w:val="0"/>
      <w:marBottom w:val="0"/>
      <w:divBdr>
        <w:top w:val="none" w:sz="0" w:space="0" w:color="auto"/>
        <w:left w:val="none" w:sz="0" w:space="0" w:color="auto"/>
        <w:bottom w:val="none" w:sz="0" w:space="0" w:color="auto"/>
        <w:right w:val="none" w:sz="0" w:space="0" w:color="auto"/>
      </w:divBdr>
    </w:div>
    <w:div w:id="1486779820">
      <w:bodyDiv w:val="1"/>
      <w:marLeft w:val="0"/>
      <w:marRight w:val="0"/>
      <w:marTop w:val="0"/>
      <w:marBottom w:val="0"/>
      <w:divBdr>
        <w:top w:val="none" w:sz="0" w:space="0" w:color="auto"/>
        <w:left w:val="none" w:sz="0" w:space="0" w:color="auto"/>
        <w:bottom w:val="none" w:sz="0" w:space="0" w:color="auto"/>
        <w:right w:val="none" w:sz="0" w:space="0" w:color="auto"/>
      </w:divBdr>
    </w:div>
    <w:div w:id="1486970531">
      <w:bodyDiv w:val="1"/>
      <w:marLeft w:val="0"/>
      <w:marRight w:val="0"/>
      <w:marTop w:val="0"/>
      <w:marBottom w:val="0"/>
      <w:divBdr>
        <w:top w:val="none" w:sz="0" w:space="0" w:color="auto"/>
        <w:left w:val="none" w:sz="0" w:space="0" w:color="auto"/>
        <w:bottom w:val="none" w:sz="0" w:space="0" w:color="auto"/>
        <w:right w:val="none" w:sz="0" w:space="0" w:color="auto"/>
      </w:divBdr>
    </w:div>
    <w:div w:id="1487042970">
      <w:bodyDiv w:val="1"/>
      <w:marLeft w:val="0"/>
      <w:marRight w:val="0"/>
      <w:marTop w:val="0"/>
      <w:marBottom w:val="0"/>
      <w:divBdr>
        <w:top w:val="none" w:sz="0" w:space="0" w:color="auto"/>
        <w:left w:val="none" w:sz="0" w:space="0" w:color="auto"/>
        <w:bottom w:val="none" w:sz="0" w:space="0" w:color="auto"/>
        <w:right w:val="none" w:sz="0" w:space="0" w:color="auto"/>
      </w:divBdr>
    </w:div>
    <w:div w:id="1487044508">
      <w:bodyDiv w:val="1"/>
      <w:marLeft w:val="0"/>
      <w:marRight w:val="0"/>
      <w:marTop w:val="0"/>
      <w:marBottom w:val="0"/>
      <w:divBdr>
        <w:top w:val="none" w:sz="0" w:space="0" w:color="auto"/>
        <w:left w:val="none" w:sz="0" w:space="0" w:color="auto"/>
        <w:bottom w:val="none" w:sz="0" w:space="0" w:color="auto"/>
        <w:right w:val="none" w:sz="0" w:space="0" w:color="auto"/>
      </w:divBdr>
    </w:div>
    <w:div w:id="1487279942">
      <w:bodyDiv w:val="1"/>
      <w:marLeft w:val="0"/>
      <w:marRight w:val="0"/>
      <w:marTop w:val="0"/>
      <w:marBottom w:val="0"/>
      <w:divBdr>
        <w:top w:val="none" w:sz="0" w:space="0" w:color="auto"/>
        <w:left w:val="none" w:sz="0" w:space="0" w:color="auto"/>
        <w:bottom w:val="none" w:sz="0" w:space="0" w:color="auto"/>
        <w:right w:val="none" w:sz="0" w:space="0" w:color="auto"/>
      </w:divBdr>
    </w:div>
    <w:div w:id="1487286911">
      <w:bodyDiv w:val="1"/>
      <w:marLeft w:val="0"/>
      <w:marRight w:val="0"/>
      <w:marTop w:val="0"/>
      <w:marBottom w:val="0"/>
      <w:divBdr>
        <w:top w:val="none" w:sz="0" w:space="0" w:color="auto"/>
        <w:left w:val="none" w:sz="0" w:space="0" w:color="auto"/>
        <w:bottom w:val="none" w:sz="0" w:space="0" w:color="auto"/>
        <w:right w:val="none" w:sz="0" w:space="0" w:color="auto"/>
      </w:divBdr>
    </w:div>
    <w:div w:id="1487431638">
      <w:bodyDiv w:val="1"/>
      <w:marLeft w:val="0"/>
      <w:marRight w:val="0"/>
      <w:marTop w:val="0"/>
      <w:marBottom w:val="0"/>
      <w:divBdr>
        <w:top w:val="none" w:sz="0" w:space="0" w:color="auto"/>
        <w:left w:val="none" w:sz="0" w:space="0" w:color="auto"/>
        <w:bottom w:val="none" w:sz="0" w:space="0" w:color="auto"/>
        <w:right w:val="none" w:sz="0" w:space="0" w:color="auto"/>
      </w:divBdr>
    </w:div>
    <w:div w:id="1487475279">
      <w:bodyDiv w:val="1"/>
      <w:marLeft w:val="0"/>
      <w:marRight w:val="0"/>
      <w:marTop w:val="0"/>
      <w:marBottom w:val="0"/>
      <w:divBdr>
        <w:top w:val="none" w:sz="0" w:space="0" w:color="auto"/>
        <w:left w:val="none" w:sz="0" w:space="0" w:color="auto"/>
        <w:bottom w:val="none" w:sz="0" w:space="0" w:color="auto"/>
        <w:right w:val="none" w:sz="0" w:space="0" w:color="auto"/>
      </w:divBdr>
    </w:div>
    <w:div w:id="1487475932">
      <w:bodyDiv w:val="1"/>
      <w:marLeft w:val="0"/>
      <w:marRight w:val="0"/>
      <w:marTop w:val="0"/>
      <w:marBottom w:val="0"/>
      <w:divBdr>
        <w:top w:val="none" w:sz="0" w:space="0" w:color="auto"/>
        <w:left w:val="none" w:sz="0" w:space="0" w:color="auto"/>
        <w:bottom w:val="none" w:sz="0" w:space="0" w:color="auto"/>
        <w:right w:val="none" w:sz="0" w:space="0" w:color="auto"/>
      </w:divBdr>
    </w:div>
    <w:div w:id="1487555342">
      <w:bodyDiv w:val="1"/>
      <w:marLeft w:val="0"/>
      <w:marRight w:val="0"/>
      <w:marTop w:val="0"/>
      <w:marBottom w:val="0"/>
      <w:divBdr>
        <w:top w:val="none" w:sz="0" w:space="0" w:color="auto"/>
        <w:left w:val="none" w:sz="0" w:space="0" w:color="auto"/>
        <w:bottom w:val="none" w:sz="0" w:space="0" w:color="auto"/>
        <w:right w:val="none" w:sz="0" w:space="0" w:color="auto"/>
      </w:divBdr>
    </w:div>
    <w:div w:id="1487626993">
      <w:bodyDiv w:val="1"/>
      <w:marLeft w:val="0"/>
      <w:marRight w:val="0"/>
      <w:marTop w:val="0"/>
      <w:marBottom w:val="0"/>
      <w:divBdr>
        <w:top w:val="none" w:sz="0" w:space="0" w:color="auto"/>
        <w:left w:val="none" w:sz="0" w:space="0" w:color="auto"/>
        <w:bottom w:val="none" w:sz="0" w:space="0" w:color="auto"/>
        <w:right w:val="none" w:sz="0" w:space="0" w:color="auto"/>
      </w:divBdr>
    </w:div>
    <w:div w:id="1487743718">
      <w:bodyDiv w:val="1"/>
      <w:marLeft w:val="0"/>
      <w:marRight w:val="0"/>
      <w:marTop w:val="0"/>
      <w:marBottom w:val="0"/>
      <w:divBdr>
        <w:top w:val="none" w:sz="0" w:space="0" w:color="auto"/>
        <w:left w:val="none" w:sz="0" w:space="0" w:color="auto"/>
        <w:bottom w:val="none" w:sz="0" w:space="0" w:color="auto"/>
        <w:right w:val="none" w:sz="0" w:space="0" w:color="auto"/>
      </w:divBdr>
    </w:div>
    <w:div w:id="1487815841">
      <w:bodyDiv w:val="1"/>
      <w:marLeft w:val="0"/>
      <w:marRight w:val="0"/>
      <w:marTop w:val="0"/>
      <w:marBottom w:val="0"/>
      <w:divBdr>
        <w:top w:val="none" w:sz="0" w:space="0" w:color="auto"/>
        <w:left w:val="none" w:sz="0" w:space="0" w:color="auto"/>
        <w:bottom w:val="none" w:sz="0" w:space="0" w:color="auto"/>
        <w:right w:val="none" w:sz="0" w:space="0" w:color="auto"/>
      </w:divBdr>
    </w:div>
    <w:div w:id="1487824131">
      <w:bodyDiv w:val="1"/>
      <w:marLeft w:val="0"/>
      <w:marRight w:val="0"/>
      <w:marTop w:val="0"/>
      <w:marBottom w:val="0"/>
      <w:divBdr>
        <w:top w:val="none" w:sz="0" w:space="0" w:color="auto"/>
        <w:left w:val="none" w:sz="0" w:space="0" w:color="auto"/>
        <w:bottom w:val="none" w:sz="0" w:space="0" w:color="auto"/>
        <w:right w:val="none" w:sz="0" w:space="0" w:color="auto"/>
      </w:divBdr>
    </w:div>
    <w:div w:id="1487896070">
      <w:bodyDiv w:val="1"/>
      <w:marLeft w:val="0"/>
      <w:marRight w:val="0"/>
      <w:marTop w:val="0"/>
      <w:marBottom w:val="0"/>
      <w:divBdr>
        <w:top w:val="none" w:sz="0" w:space="0" w:color="auto"/>
        <w:left w:val="none" w:sz="0" w:space="0" w:color="auto"/>
        <w:bottom w:val="none" w:sz="0" w:space="0" w:color="auto"/>
        <w:right w:val="none" w:sz="0" w:space="0" w:color="auto"/>
      </w:divBdr>
    </w:div>
    <w:div w:id="1487932921">
      <w:bodyDiv w:val="1"/>
      <w:marLeft w:val="0"/>
      <w:marRight w:val="0"/>
      <w:marTop w:val="0"/>
      <w:marBottom w:val="0"/>
      <w:divBdr>
        <w:top w:val="none" w:sz="0" w:space="0" w:color="auto"/>
        <w:left w:val="none" w:sz="0" w:space="0" w:color="auto"/>
        <w:bottom w:val="none" w:sz="0" w:space="0" w:color="auto"/>
        <w:right w:val="none" w:sz="0" w:space="0" w:color="auto"/>
      </w:divBdr>
    </w:div>
    <w:div w:id="1487939585">
      <w:bodyDiv w:val="1"/>
      <w:marLeft w:val="0"/>
      <w:marRight w:val="0"/>
      <w:marTop w:val="0"/>
      <w:marBottom w:val="0"/>
      <w:divBdr>
        <w:top w:val="none" w:sz="0" w:space="0" w:color="auto"/>
        <w:left w:val="none" w:sz="0" w:space="0" w:color="auto"/>
        <w:bottom w:val="none" w:sz="0" w:space="0" w:color="auto"/>
        <w:right w:val="none" w:sz="0" w:space="0" w:color="auto"/>
      </w:divBdr>
    </w:div>
    <w:div w:id="1487940986">
      <w:bodyDiv w:val="1"/>
      <w:marLeft w:val="0"/>
      <w:marRight w:val="0"/>
      <w:marTop w:val="0"/>
      <w:marBottom w:val="0"/>
      <w:divBdr>
        <w:top w:val="none" w:sz="0" w:space="0" w:color="auto"/>
        <w:left w:val="none" w:sz="0" w:space="0" w:color="auto"/>
        <w:bottom w:val="none" w:sz="0" w:space="0" w:color="auto"/>
        <w:right w:val="none" w:sz="0" w:space="0" w:color="auto"/>
      </w:divBdr>
    </w:div>
    <w:div w:id="1488009923">
      <w:bodyDiv w:val="1"/>
      <w:marLeft w:val="0"/>
      <w:marRight w:val="0"/>
      <w:marTop w:val="0"/>
      <w:marBottom w:val="0"/>
      <w:divBdr>
        <w:top w:val="none" w:sz="0" w:space="0" w:color="auto"/>
        <w:left w:val="none" w:sz="0" w:space="0" w:color="auto"/>
        <w:bottom w:val="none" w:sz="0" w:space="0" w:color="auto"/>
        <w:right w:val="none" w:sz="0" w:space="0" w:color="auto"/>
      </w:divBdr>
    </w:div>
    <w:div w:id="1488277674">
      <w:bodyDiv w:val="1"/>
      <w:marLeft w:val="0"/>
      <w:marRight w:val="0"/>
      <w:marTop w:val="0"/>
      <w:marBottom w:val="0"/>
      <w:divBdr>
        <w:top w:val="none" w:sz="0" w:space="0" w:color="auto"/>
        <w:left w:val="none" w:sz="0" w:space="0" w:color="auto"/>
        <w:bottom w:val="none" w:sz="0" w:space="0" w:color="auto"/>
        <w:right w:val="none" w:sz="0" w:space="0" w:color="auto"/>
      </w:divBdr>
    </w:div>
    <w:div w:id="1488354854">
      <w:bodyDiv w:val="1"/>
      <w:marLeft w:val="0"/>
      <w:marRight w:val="0"/>
      <w:marTop w:val="0"/>
      <w:marBottom w:val="0"/>
      <w:divBdr>
        <w:top w:val="none" w:sz="0" w:space="0" w:color="auto"/>
        <w:left w:val="none" w:sz="0" w:space="0" w:color="auto"/>
        <w:bottom w:val="none" w:sz="0" w:space="0" w:color="auto"/>
        <w:right w:val="none" w:sz="0" w:space="0" w:color="auto"/>
      </w:divBdr>
    </w:div>
    <w:div w:id="1488547341">
      <w:bodyDiv w:val="1"/>
      <w:marLeft w:val="0"/>
      <w:marRight w:val="0"/>
      <w:marTop w:val="0"/>
      <w:marBottom w:val="0"/>
      <w:divBdr>
        <w:top w:val="none" w:sz="0" w:space="0" w:color="auto"/>
        <w:left w:val="none" w:sz="0" w:space="0" w:color="auto"/>
        <w:bottom w:val="none" w:sz="0" w:space="0" w:color="auto"/>
        <w:right w:val="none" w:sz="0" w:space="0" w:color="auto"/>
      </w:divBdr>
    </w:div>
    <w:div w:id="1488589276">
      <w:bodyDiv w:val="1"/>
      <w:marLeft w:val="0"/>
      <w:marRight w:val="0"/>
      <w:marTop w:val="0"/>
      <w:marBottom w:val="0"/>
      <w:divBdr>
        <w:top w:val="none" w:sz="0" w:space="0" w:color="auto"/>
        <w:left w:val="none" w:sz="0" w:space="0" w:color="auto"/>
        <w:bottom w:val="none" w:sz="0" w:space="0" w:color="auto"/>
        <w:right w:val="none" w:sz="0" w:space="0" w:color="auto"/>
      </w:divBdr>
    </w:div>
    <w:div w:id="1488593866">
      <w:bodyDiv w:val="1"/>
      <w:marLeft w:val="0"/>
      <w:marRight w:val="0"/>
      <w:marTop w:val="0"/>
      <w:marBottom w:val="0"/>
      <w:divBdr>
        <w:top w:val="none" w:sz="0" w:space="0" w:color="auto"/>
        <w:left w:val="none" w:sz="0" w:space="0" w:color="auto"/>
        <w:bottom w:val="none" w:sz="0" w:space="0" w:color="auto"/>
        <w:right w:val="none" w:sz="0" w:space="0" w:color="auto"/>
      </w:divBdr>
    </w:div>
    <w:div w:id="1488742796">
      <w:bodyDiv w:val="1"/>
      <w:marLeft w:val="0"/>
      <w:marRight w:val="0"/>
      <w:marTop w:val="0"/>
      <w:marBottom w:val="0"/>
      <w:divBdr>
        <w:top w:val="none" w:sz="0" w:space="0" w:color="auto"/>
        <w:left w:val="none" w:sz="0" w:space="0" w:color="auto"/>
        <w:bottom w:val="none" w:sz="0" w:space="0" w:color="auto"/>
        <w:right w:val="none" w:sz="0" w:space="0" w:color="auto"/>
      </w:divBdr>
    </w:div>
    <w:div w:id="1488978608">
      <w:bodyDiv w:val="1"/>
      <w:marLeft w:val="0"/>
      <w:marRight w:val="0"/>
      <w:marTop w:val="0"/>
      <w:marBottom w:val="0"/>
      <w:divBdr>
        <w:top w:val="none" w:sz="0" w:space="0" w:color="auto"/>
        <w:left w:val="none" w:sz="0" w:space="0" w:color="auto"/>
        <w:bottom w:val="none" w:sz="0" w:space="0" w:color="auto"/>
        <w:right w:val="none" w:sz="0" w:space="0" w:color="auto"/>
      </w:divBdr>
    </w:div>
    <w:div w:id="1489204575">
      <w:bodyDiv w:val="1"/>
      <w:marLeft w:val="0"/>
      <w:marRight w:val="0"/>
      <w:marTop w:val="0"/>
      <w:marBottom w:val="0"/>
      <w:divBdr>
        <w:top w:val="none" w:sz="0" w:space="0" w:color="auto"/>
        <w:left w:val="none" w:sz="0" w:space="0" w:color="auto"/>
        <w:bottom w:val="none" w:sz="0" w:space="0" w:color="auto"/>
        <w:right w:val="none" w:sz="0" w:space="0" w:color="auto"/>
      </w:divBdr>
    </w:div>
    <w:div w:id="1489437123">
      <w:bodyDiv w:val="1"/>
      <w:marLeft w:val="0"/>
      <w:marRight w:val="0"/>
      <w:marTop w:val="0"/>
      <w:marBottom w:val="0"/>
      <w:divBdr>
        <w:top w:val="none" w:sz="0" w:space="0" w:color="auto"/>
        <w:left w:val="none" w:sz="0" w:space="0" w:color="auto"/>
        <w:bottom w:val="none" w:sz="0" w:space="0" w:color="auto"/>
        <w:right w:val="none" w:sz="0" w:space="0" w:color="auto"/>
      </w:divBdr>
    </w:div>
    <w:div w:id="1489514569">
      <w:bodyDiv w:val="1"/>
      <w:marLeft w:val="0"/>
      <w:marRight w:val="0"/>
      <w:marTop w:val="0"/>
      <w:marBottom w:val="0"/>
      <w:divBdr>
        <w:top w:val="none" w:sz="0" w:space="0" w:color="auto"/>
        <w:left w:val="none" w:sz="0" w:space="0" w:color="auto"/>
        <w:bottom w:val="none" w:sz="0" w:space="0" w:color="auto"/>
        <w:right w:val="none" w:sz="0" w:space="0" w:color="auto"/>
      </w:divBdr>
    </w:div>
    <w:div w:id="1489516752">
      <w:bodyDiv w:val="1"/>
      <w:marLeft w:val="0"/>
      <w:marRight w:val="0"/>
      <w:marTop w:val="0"/>
      <w:marBottom w:val="0"/>
      <w:divBdr>
        <w:top w:val="none" w:sz="0" w:space="0" w:color="auto"/>
        <w:left w:val="none" w:sz="0" w:space="0" w:color="auto"/>
        <w:bottom w:val="none" w:sz="0" w:space="0" w:color="auto"/>
        <w:right w:val="none" w:sz="0" w:space="0" w:color="auto"/>
      </w:divBdr>
    </w:div>
    <w:div w:id="1489781798">
      <w:bodyDiv w:val="1"/>
      <w:marLeft w:val="0"/>
      <w:marRight w:val="0"/>
      <w:marTop w:val="0"/>
      <w:marBottom w:val="0"/>
      <w:divBdr>
        <w:top w:val="none" w:sz="0" w:space="0" w:color="auto"/>
        <w:left w:val="none" w:sz="0" w:space="0" w:color="auto"/>
        <w:bottom w:val="none" w:sz="0" w:space="0" w:color="auto"/>
        <w:right w:val="none" w:sz="0" w:space="0" w:color="auto"/>
      </w:divBdr>
    </w:div>
    <w:div w:id="1489789004">
      <w:bodyDiv w:val="1"/>
      <w:marLeft w:val="0"/>
      <w:marRight w:val="0"/>
      <w:marTop w:val="0"/>
      <w:marBottom w:val="0"/>
      <w:divBdr>
        <w:top w:val="none" w:sz="0" w:space="0" w:color="auto"/>
        <w:left w:val="none" w:sz="0" w:space="0" w:color="auto"/>
        <w:bottom w:val="none" w:sz="0" w:space="0" w:color="auto"/>
        <w:right w:val="none" w:sz="0" w:space="0" w:color="auto"/>
      </w:divBdr>
    </w:div>
    <w:div w:id="1489790278">
      <w:bodyDiv w:val="1"/>
      <w:marLeft w:val="0"/>
      <w:marRight w:val="0"/>
      <w:marTop w:val="0"/>
      <w:marBottom w:val="0"/>
      <w:divBdr>
        <w:top w:val="none" w:sz="0" w:space="0" w:color="auto"/>
        <w:left w:val="none" w:sz="0" w:space="0" w:color="auto"/>
        <w:bottom w:val="none" w:sz="0" w:space="0" w:color="auto"/>
        <w:right w:val="none" w:sz="0" w:space="0" w:color="auto"/>
      </w:divBdr>
    </w:div>
    <w:div w:id="1489980251">
      <w:bodyDiv w:val="1"/>
      <w:marLeft w:val="0"/>
      <w:marRight w:val="0"/>
      <w:marTop w:val="0"/>
      <w:marBottom w:val="0"/>
      <w:divBdr>
        <w:top w:val="none" w:sz="0" w:space="0" w:color="auto"/>
        <w:left w:val="none" w:sz="0" w:space="0" w:color="auto"/>
        <w:bottom w:val="none" w:sz="0" w:space="0" w:color="auto"/>
        <w:right w:val="none" w:sz="0" w:space="0" w:color="auto"/>
      </w:divBdr>
    </w:div>
    <w:div w:id="1489982192">
      <w:bodyDiv w:val="1"/>
      <w:marLeft w:val="0"/>
      <w:marRight w:val="0"/>
      <w:marTop w:val="0"/>
      <w:marBottom w:val="0"/>
      <w:divBdr>
        <w:top w:val="none" w:sz="0" w:space="0" w:color="auto"/>
        <w:left w:val="none" w:sz="0" w:space="0" w:color="auto"/>
        <w:bottom w:val="none" w:sz="0" w:space="0" w:color="auto"/>
        <w:right w:val="none" w:sz="0" w:space="0" w:color="auto"/>
      </w:divBdr>
    </w:div>
    <w:div w:id="1490053955">
      <w:bodyDiv w:val="1"/>
      <w:marLeft w:val="0"/>
      <w:marRight w:val="0"/>
      <w:marTop w:val="0"/>
      <w:marBottom w:val="0"/>
      <w:divBdr>
        <w:top w:val="none" w:sz="0" w:space="0" w:color="auto"/>
        <w:left w:val="none" w:sz="0" w:space="0" w:color="auto"/>
        <w:bottom w:val="none" w:sz="0" w:space="0" w:color="auto"/>
        <w:right w:val="none" w:sz="0" w:space="0" w:color="auto"/>
      </w:divBdr>
    </w:div>
    <w:div w:id="1490095858">
      <w:bodyDiv w:val="1"/>
      <w:marLeft w:val="0"/>
      <w:marRight w:val="0"/>
      <w:marTop w:val="0"/>
      <w:marBottom w:val="0"/>
      <w:divBdr>
        <w:top w:val="none" w:sz="0" w:space="0" w:color="auto"/>
        <w:left w:val="none" w:sz="0" w:space="0" w:color="auto"/>
        <w:bottom w:val="none" w:sz="0" w:space="0" w:color="auto"/>
        <w:right w:val="none" w:sz="0" w:space="0" w:color="auto"/>
      </w:divBdr>
    </w:div>
    <w:div w:id="1490245596">
      <w:bodyDiv w:val="1"/>
      <w:marLeft w:val="0"/>
      <w:marRight w:val="0"/>
      <w:marTop w:val="0"/>
      <w:marBottom w:val="0"/>
      <w:divBdr>
        <w:top w:val="none" w:sz="0" w:space="0" w:color="auto"/>
        <w:left w:val="none" w:sz="0" w:space="0" w:color="auto"/>
        <w:bottom w:val="none" w:sz="0" w:space="0" w:color="auto"/>
        <w:right w:val="none" w:sz="0" w:space="0" w:color="auto"/>
      </w:divBdr>
    </w:div>
    <w:div w:id="1490363830">
      <w:bodyDiv w:val="1"/>
      <w:marLeft w:val="0"/>
      <w:marRight w:val="0"/>
      <w:marTop w:val="0"/>
      <w:marBottom w:val="0"/>
      <w:divBdr>
        <w:top w:val="none" w:sz="0" w:space="0" w:color="auto"/>
        <w:left w:val="none" w:sz="0" w:space="0" w:color="auto"/>
        <w:bottom w:val="none" w:sz="0" w:space="0" w:color="auto"/>
        <w:right w:val="none" w:sz="0" w:space="0" w:color="auto"/>
      </w:divBdr>
    </w:div>
    <w:div w:id="1490364135">
      <w:bodyDiv w:val="1"/>
      <w:marLeft w:val="0"/>
      <w:marRight w:val="0"/>
      <w:marTop w:val="0"/>
      <w:marBottom w:val="0"/>
      <w:divBdr>
        <w:top w:val="none" w:sz="0" w:space="0" w:color="auto"/>
        <w:left w:val="none" w:sz="0" w:space="0" w:color="auto"/>
        <w:bottom w:val="none" w:sz="0" w:space="0" w:color="auto"/>
        <w:right w:val="none" w:sz="0" w:space="0" w:color="auto"/>
      </w:divBdr>
    </w:div>
    <w:div w:id="1490438077">
      <w:bodyDiv w:val="1"/>
      <w:marLeft w:val="0"/>
      <w:marRight w:val="0"/>
      <w:marTop w:val="0"/>
      <w:marBottom w:val="0"/>
      <w:divBdr>
        <w:top w:val="none" w:sz="0" w:space="0" w:color="auto"/>
        <w:left w:val="none" w:sz="0" w:space="0" w:color="auto"/>
        <w:bottom w:val="none" w:sz="0" w:space="0" w:color="auto"/>
        <w:right w:val="none" w:sz="0" w:space="0" w:color="auto"/>
      </w:divBdr>
    </w:div>
    <w:div w:id="1490485735">
      <w:bodyDiv w:val="1"/>
      <w:marLeft w:val="0"/>
      <w:marRight w:val="0"/>
      <w:marTop w:val="0"/>
      <w:marBottom w:val="0"/>
      <w:divBdr>
        <w:top w:val="none" w:sz="0" w:space="0" w:color="auto"/>
        <w:left w:val="none" w:sz="0" w:space="0" w:color="auto"/>
        <w:bottom w:val="none" w:sz="0" w:space="0" w:color="auto"/>
        <w:right w:val="none" w:sz="0" w:space="0" w:color="auto"/>
      </w:divBdr>
    </w:div>
    <w:div w:id="1490512482">
      <w:bodyDiv w:val="1"/>
      <w:marLeft w:val="0"/>
      <w:marRight w:val="0"/>
      <w:marTop w:val="0"/>
      <w:marBottom w:val="0"/>
      <w:divBdr>
        <w:top w:val="none" w:sz="0" w:space="0" w:color="auto"/>
        <w:left w:val="none" w:sz="0" w:space="0" w:color="auto"/>
        <w:bottom w:val="none" w:sz="0" w:space="0" w:color="auto"/>
        <w:right w:val="none" w:sz="0" w:space="0" w:color="auto"/>
      </w:divBdr>
    </w:div>
    <w:div w:id="1490749087">
      <w:bodyDiv w:val="1"/>
      <w:marLeft w:val="0"/>
      <w:marRight w:val="0"/>
      <w:marTop w:val="0"/>
      <w:marBottom w:val="0"/>
      <w:divBdr>
        <w:top w:val="none" w:sz="0" w:space="0" w:color="auto"/>
        <w:left w:val="none" w:sz="0" w:space="0" w:color="auto"/>
        <w:bottom w:val="none" w:sz="0" w:space="0" w:color="auto"/>
        <w:right w:val="none" w:sz="0" w:space="0" w:color="auto"/>
      </w:divBdr>
    </w:div>
    <w:div w:id="1490830703">
      <w:bodyDiv w:val="1"/>
      <w:marLeft w:val="0"/>
      <w:marRight w:val="0"/>
      <w:marTop w:val="0"/>
      <w:marBottom w:val="0"/>
      <w:divBdr>
        <w:top w:val="none" w:sz="0" w:space="0" w:color="auto"/>
        <w:left w:val="none" w:sz="0" w:space="0" w:color="auto"/>
        <w:bottom w:val="none" w:sz="0" w:space="0" w:color="auto"/>
        <w:right w:val="none" w:sz="0" w:space="0" w:color="auto"/>
      </w:divBdr>
    </w:div>
    <w:div w:id="1490973859">
      <w:bodyDiv w:val="1"/>
      <w:marLeft w:val="0"/>
      <w:marRight w:val="0"/>
      <w:marTop w:val="0"/>
      <w:marBottom w:val="0"/>
      <w:divBdr>
        <w:top w:val="none" w:sz="0" w:space="0" w:color="auto"/>
        <w:left w:val="none" w:sz="0" w:space="0" w:color="auto"/>
        <w:bottom w:val="none" w:sz="0" w:space="0" w:color="auto"/>
        <w:right w:val="none" w:sz="0" w:space="0" w:color="auto"/>
      </w:divBdr>
    </w:div>
    <w:div w:id="1490974772">
      <w:bodyDiv w:val="1"/>
      <w:marLeft w:val="0"/>
      <w:marRight w:val="0"/>
      <w:marTop w:val="0"/>
      <w:marBottom w:val="0"/>
      <w:divBdr>
        <w:top w:val="none" w:sz="0" w:space="0" w:color="auto"/>
        <w:left w:val="none" w:sz="0" w:space="0" w:color="auto"/>
        <w:bottom w:val="none" w:sz="0" w:space="0" w:color="auto"/>
        <w:right w:val="none" w:sz="0" w:space="0" w:color="auto"/>
      </w:divBdr>
    </w:div>
    <w:div w:id="1491016715">
      <w:bodyDiv w:val="1"/>
      <w:marLeft w:val="0"/>
      <w:marRight w:val="0"/>
      <w:marTop w:val="0"/>
      <w:marBottom w:val="0"/>
      <w:divBdr>
        <w:top w:val="none" w:sz="0" w:space="0" w:color="auto"/>
        <w:left w:val="none" w:sz="0" w:space="0" w:color="auto"/>
        <w:bottom w:val="none" w:sz="0" w:space="0" w:color="auto"/>
        <w:right w:val="none" w:sz="0" w:space="0" w:color="auto"/>
      </w:divBdr>
    </w:div>
    <w:div w:id="1491290929">
      <w:bodyDiv w:val="1"/>
      <w:marLeft w:val="0"/>
      <w:marRight w:val="0"/>
      <w:marTop w:val="0"/>
      <w:marBottom w:val="0"/>
      <w:divBdr>
        <w:top w:val="none" w:sz="0" w:space="0" w:color="auto"/>
        <w:left w:val="none" w:sz="0" w:space="0" w:color="auto"/>
        <w:bottom w:val="none" w:sz="0" w:space="0" w:color="auto"/>
        <w:right w:val="none" w:sz="0" w:space="0" w:color="auto"/>
      </w:divBdr>
    </w:div>
    <w:div w:id="1491291142">
      <w:bodyDiv w:val="1"/>
      <w:marLeft w:val="0"/>
      <w:marRight w:val="0"/>
      <w:marTop w:val="0"/>
      <w:marBottom w:val="0"/>
      <w:divBdr>
        <w:top w:val="none" w:sz="0" w:space="0" w:color="auto"/>
        <w:left w:val="none" w:sz="0" w:space="0" w:color="auto"/>
        <w:bottom w:val="none" w:sz="0" w:space="0" w:color="auto"/>
        <w:right w:val="none" w:sz="0" w:space="0" w:color="auto"/>
      </w:divBdr>
    </w:div>
    <w:div w:id="1491366347">
      <w:bodyDiv w:val="1"/>
      <w:marLeft w:val="0"/>
      <w:marRight w:val="0"/>
      <w:marTop w:val="0"/>
      <w:marBottom w:val="0"/>
      <w:divBdr>
        <w:top w:val="none" w:sz="0" w:space="0" w:color="auto"/>
        <w:left w:val="none" w:sz="0" w:space="0" w:color="auto"/>
        <w:bottom w:val="none" w:sz="0" w:space="0" w:color="auto"/>
        <w:right w:val="none" w:sz="0" w:space="0" w:color="auto"/>
      </w:divBdr>
    </w:div>
    <w:div w:id="1491406310">
      <w:bodyDiv w:val="1"/>
      <w:marLeft w:val="0"/>
      <w:marRight w:val="0"/>
      <w:marTop w:val="0"/>
      <w:marBottom w:val="0"/>
      <w:divBdr>
        <w:top w:val="none" w:sz="0" w:space="0" w:color="auto"/>
        <w:left w:val="none" w:sz="0" w:space="0" w:color="auto"/>
        <w:bottom w:val="none" w:sz="0" w:space="0" w:color="auto"/>
        <w:right w:val="none" w:sz="0" w:space="0" w:color="auto"/>
      </w:divBdr>
    </w:div>
    <w:div w:id="1491555788">
      <w:bodyDiv w:val="1"/>
      <w:marLeft w:val="0"/>
      <w:marRight w:val="0"/>
      <w:marTop w:val="0"/>
      <w:marBottom w:val="0"/>
      <w:divBdr>
        <w:top w:val="none" w:sz="0" w:space="0" w:color="auto"/>
        <w:left w:val="none" w:sz="0" w:space="0" w:color="auto"/>
        <w:bottom w:val="none" w:sz="0" w:space="0" w:color="auto"/>
        <w:right w:val="none" w:sz="0" w:space="0" w:color="auto"/>
      </w:divBdr>
    </w:div>
    <w:div w:id="1491562314">
      <w:bodyDiv w:val="1"/>
      <w:marLeft w:val="0"/>
      <w:marRight w:val="0"/>
      <w:marTop w:val="0"/>
      <w:marBottom w:val="0"/>
      <w:divBdr>
        <w:top w:val="none" w:sz="0" w:space="0" w:color="auto"/>
        <w:left w:val="none" w:sz="0" w:space="0" w:color="auto"/>
        <w:bottom w:val="none" w:sz="0" w:space="0" w:color="auto"/>
        <w:right w:val="none" w:sz="0" w:space="0" w:color="auto"/>
      </w:divBdr>
    </w:div>
    <w:div w:id="1491605502">
      <w:bodyDiv w:val="1"/>
      <w:marLeft w:val="0"/>
      <w:marRight w:val="0"/>
      <w:marTop w:val="0"/>
      <w:marBottom w:val="0"/>
      <w:divBdr>
        <w:top w:val="none" w:sz="0" w:space="0" w:color="auto"/>
        <w:left w:val="none" w:sz="0" w:space="0" w:color="auto"/>
        <w:bottom w:val="none" w:sz="0" w:space="0" w:color="auto"/>
        <w:right w:val="none" w:sz="0" w:space="0" w:color="auto"/>
      </w:divBdr>
    </w:div>
    <w:div w:id="1491673456">
      <w:bodyDiv w:val="1"/>
      <w:marLeft w:val="0"/>
      <w:marRight w:val="0"/>
      <w:marTop w:val="0"/>
      <w:marBottom w:val="0"/>
      <w:divBdr>
        <w:top w:val="none" w:sz="0" w:space="0" w:color="auto"/>
        <w:left w:val="none" w:sz="0" w:space="0" w:color="auto"/>
        <w:bottom w:val="none" w:sz="0" w:space="0" w:color="auto"/>
        <w:right w:val="none" w:sz="0" w:space="0" w:color="auto"/>
      </w:divBdr>
    </w:div>
    <w:div w:id="1491746888">
      <w:bodyDiv w:val="1"/>
      <w:marLeft w:val="0"/>
      <w:marRight w:val="0"/>
      <w:marTop w:val="0"/>
      <w:marBottom w:val="0"/>
      <w:divBdr>
        <w:top w:val="none" w:sz="0" w:space="0" w:color="auto"/>
        <w:left w:val="none" w:sz="0" w:space="0" w:color="auto"/>
        <w:bottom w:val="none" w:sz="0" w:space="0" w:color="auto"/>
        <w:right w:val="none" w:sz="0" w:space="0" w:color="auto"/>
      </w:divBdr>
    </w:div>
    <w:div w:id="1491748788">
      <w:bodyDiv w:val="1"/>
      <w:marLeft w:val="0"/>
      <w:marRight w:val="0"/>
      <w:marTop w:val="0"/>
      <w:marBottom w:val="0"/>
      <w:divBdr>
        <w:top w:val="none" w:sz="0" w:space="0" w:color="auto"/>
        <w:left w:val="none" w:sz="0" w:space="0" w:color="auto"/>
        <w:bottom w:val="none" w:sz="0" w:space="0" w:color="auto"/>
        <w:right w:val="none" w:sz="0" w:space="0" w:color="auto"/>
      </w:divBdr>
    </w:div>
    <w:div w:id="1491947582">
      <w:bodyDiv w:val="1"/>
      <w:marLeft w:val="0"/>
      <w:marRight w:val="0"/>
      <w:marTop w:val="0"/>
      <w:marBottom w:val="0"/>
      <w:divBdr>
        <w:top w:val="none" w:sz="0" w:space="0" w:color="auto"/>
        <w:left w:val="none" w:sz="0" w:space="0" w:color="auto"/>
        <w:bottom w:val="none" w:sz="0" w:space="0" w:color="auto"/>
        <w:right w:val="none" w:sz="0" w:space="0" w:color="auto"/>
      </w:divBdr>
    </w:div>
    <w:div w:id="1492017852">
      <w:bodyDiv w:val="1"/>
      <w:marLeft w:val="0"/>
      <w:marRight w:val="0"/>
      <w:marTop w:val="0"/>
      <w:marBottom w:val="0"/>
      <w:divBdr>
        <w:top w:val="none" w:sz="0" w:space="0" w:color="auto"/>
        <w:left w:val="none" w:sz="0" w:space="0" w:color="auto"/>
        <w:bottom w:val="none" w:sz="0" w:space="0" w:color="auto"/>
        <w:right w:val="none" w:sz="0" w:space="0" w:color="auto"/>
      </w:divBdr>
    </w:div>
    <w:div w:id="1492060560">
      <w:bodyDiv w:val="1"/>
      <w:marLeft w:val="0"/>
      <w:marRight w:val="0"/>
      <w:marTop w:val="0"/>
      <w:marBottom w:val="0"/>
      <w:divBdr>
        <w:top w:val="none" w:sz="0" w:space="0" w:color="auto"/>
        <w:left w:val="none" w:sz="0" w:space="0" w:color="auto"/>
        <w:bottom w:val="none" w:sz="0" w:space="0" w:color="auto"/>
        <w:right w:val="none" w:sz="0" w:space="0" w:color="auto"/>
      </w:divBdr>
    </w:div>
    <w:div w:id="1492259127">
      <w:bodyDiv w:val="1"/>
      <w:marLeft w:val="0"/>
      <w:marRight w:val="0"/>
      <w:marTop w:val="0"/>
      <w:marBottom w:val="0"/>
      <w:divBdr>
        <w:top w:val="none" w:sz="0" w:space="0" w:color="auto"/>
        <w:left w:val="none" w:sz="0" w:space="0" w:color="auto"/>
        <w:bottom w:val="none" w:sz="0" w:space="0" w:color="auto"/>
        <w:right w:val="none" w:sz="0" w:space="0" w:color="auto"/>
      </w:divBdr>
    </w:div>
    <w:div w:id="1492334681">
      <w:bodyDiv w:val="1"/>
      <w:marLeft w:val="0"/>
      <w:marRight w:val="0"/>
      <w:marTop w:val="0"/>
      <w:marBottom w:val="0"/>
      <w:divBdr>
        <w:top w:val="none" w:sz="0" w:space="0" w:color="auto"/>
        <w:left w:val="none" w:sz="0" w:space="0" w:color="auto"/>
        <w:bottom w:val="none" w:sz="0" w:space="0" w:color="auto"/>
        <w:right w:val="none" w:sz="0" w:space="0" w:color="auto"/>
      </w:divBdr>
    </w:div>
    <w:div w:id="1492527949">
      <w:bodyDiv w:val="1"/>
      <w:marLeft w:val="0"/>
      <w:marRight w:val="0"/>
      <w:marTop w:val="0"/>
      <w:marBottom w:val="0"/>
      <w:divBdr>
        <w:top w:val="none" w:sz="0" w:space="0" w:color="auto"/>
        <w:left w:val="none" w:sz="0" w:space="0" w:color="auto"/>
        <w:bottom w:val="none" w:sz="0" w:space="0" w:color="auto"/>
        <w:right w:val="none" w:sz="0" w:space="0" w:color="auto"/>
      </w:divBdr>
    </w:div>
    <w:div w:id="1492603305">
      <w:bodyDiv w:val="1"/>
      <w:marLeft w:val="0"/>
      <w:marRight w:val="0"/>
      <w:marTop w:val="0"/>
      <w:marBottom w:val="0"/>
      <w:divBdr>
        <w:top w:val="none" w:sz="0" w:space="0" w:color="auto"/>
        <w:left w:val="none" w:sz="0" w:space="0" w:color="auto"/>
        <w:bottom w:val="none" w:sz="0" w:space="0" w:color="auto"/>
        <w:right w:val="none" w:sz="0" w:space="0" w:color="auto"/>
      </w:divBdr>
    </w:div>
    <w:div w:id="1492721973">
      <w:bodyDiv w:val="1"/>
      <w:marLeft w:val="0"/>
      <w:marRight w:val="0"/>
      <w:marTop w:val="0"/>
      <w:marBottom w:val="0"/>
      <w:divBdr>
        <w:top w:val="none" w:sz="0" w:space="0" w:color="auto"/>
        <w:left w:val="none" w:sz="0" w:space="0" w:color="auto"/>
        <w:bottom w:val="none" w:sz="0" w:space="0" w:color="auto"/>
        <w:right w:val="none" w:sz="0" w:space="0" w:color="auto"/>
      </w:divBdr>
    </w:div>
    <w:div w:id="1492864585">
      <w:bodyDiv w:val="1"/>
      <w:marLeft w:val="0"/>
      <w:marRight w:val="0"/>
      <w:marTop w:val="0"/>
      <w:marBottom w:val="0"/>
      <w:divBdr>
        <w:top w:val="none" w:sz="0" w:space="0" w:color="auto"/>
        <w:left w:val="none" w:sz="0" w:space="0" w:color="auto"/>
        <w:bottom w:val="none" w:sz="0" w:space="0" w:color="auto"/>
        <w:right w:val="none" w:sz="0" w:space="0" w:color="auto"/>
      </w:divBdr>
    </w:div>
    <w:div w:id="1492911670">
      <w:bodyDiv w:val="1"/>
      <w:marLeft w:val="0"/>
      <w:marRight w:val="0"/>
      <w:marTop w:val="0"/>
      <w:marBottom w:val="0"/>
      <w:divBdr>
        <w:top w:val="none" w:sz="0" w:space="0" w:color="auto"/>
        <w:left w:val="none" w:sz="0" w:space="0" w:color="auto"/>
        <w:bottom w:val="none" w:sz="0" w:space="0" w:color="auto"/>
        <w:right w:val="none" w:sz="0" w:space="0" w:color="auto"/>
      </w:divBdr>
    </w:div>
    <w:div w:id="1493138358">
      <w:bodyDiv w:val="1"/>
      <w:marLeft w:val="0"/>
      <w:marRight w:val="0"/>
      <w:marTop w:val="0"/>
      <w:marBottom w:val="0"/>
      <w:divBdr>
        <w:top w:val="none" w:sz="0" w:space="0" w:color="auto"/>
        <w:left w:val="none" w:sz="0" w:space="0" w:color="auto"/>
        <w:bottom w:val="none" w:sz="0" w:space="0" w:color="auto"/>
        <w:right w:val="none" w:sz="0" w:space="0" w:color="auto"/>
      </w:divBdr>
    </w:div>
    <w:div w:id="1493139166">
      <w:bodyDiv w:val="1"/>
      <w:marLeft w:val="0"/>
      <w:marRight w:val="0"/>
      <w:marTop w:val="0"/>
      <w:marBottom w:val="0"/>
      <w:divBdr>
        <w:top w:val="none" w:sz="0" w:space="0" w:color="auto"/>
        <w:left w:val="none" w:sz="0" w:space="0" w:color="auto"/>
        <w:bottom w:val="none" w:sz="0" w:space="0" w:color="auto"/>
        <w:right w:val="none" w:sz="0" w:space="0" w:color="auto"/>
      </w:divBdr>
    </w:div>
    <w:div w:id="1493178856">
      <w:bodyDiv w:val="1"/>
      <w:marLeft w:val="0"/>
      <w:marRight w:val="0"/>
      <w:marTop w:val="0"/>
      <w:marBottom w:val="0"/>
      <w:divBdr>
        <w:top w:val="none" w:sz="0" w:space="0" w:color="auto"/>
        <w:left w:val="none" w:sz="0" w:space="0" w:color="auto"/>
        <w:bottom w:val="none" w:sz="0" w:space="0" w:color="auto"/>
        <w:right w:val="none" w:sz="0" w:space="0" w:color="auto"/>
      </w:divBdr>
    </w:div>
    <w:div w:id="1493328091">
      <w:bodyDiv w:val="1"/>
      <w:marLeft w:val="0"/>
      <w:marRight w:val="0"/>
      <w:marTop w:val="0"/>
      <w:marBottom w:val="0"/>
      <w:divBdr>
        <w:top w:val="none" w:sz="0" w:space="0" w:color="auto"/>
        <w:left w:val="none" w:sz="0" w:space="0" w:color="auto"/>
        <w:bottom w:val="none" w:sz="0" w:space="0" w:color="auto"/>
        <w:right w:val="none" w:sz="0" w:space="0" w:color="auto"/>
      </w:divBdr>
    </w:div>
    <w:div w:id="1493332676">
      <w:bodyDiv w:val="1"/>
      <w:marLeft w:val="0"/>
      <w:marRight w:val="0"/>
      <w:marTop w:val="0"/>
      <w:marBottom w:val="0"/>
      <w:divBdr>
        <w:top w:val="none" w:sz="0" w:space="0" w:color="auto"/>
        <w:left w:val="none" w:sz="0" w:space="0" w:color="auto"/>
        <w:bottom w:val="none" w:sz="0" w:space="0" w:color="auto"/>
        <w:right w:val="none" w:sz="0" w:space="0" w:color="auto"/>
      </w:divBdr>
    </w:div>
    <w:div w:id="1493519783">
      <w:bodyDiv w:val="1"/>
      <w:marLeft w:val="0"/>
      <w:marRight w:val="0"/>
      <w:marTop w:val="0"/>
      <w:marBottom w:val="0"/>
      <w:divBdr>
        <w:top w:val="none" w:sz="0" w:space="0" w:color="auto"/>
        <w:left w:val="none" w:sz="0" w:space="0" w:color="auto"/>
        <w:bottom w:val="none" w:sz="0" w:space="0" w:color="auto"/>
        <w:right w:val="none" w:sz="0" w:space="0" w:color="auto"/>
      </w:divBdr>
    </w:div>
    <w:div w:id="1493525209">
      <w:bodyDiv w:val="1"/>
      <w:marLeft w:val="0"/>
      <w:marRight w:val="0"/>
      <w:marTop w:val="0"/>
      <w:marBottom w:val="0"/>
      <w:divBdr>
        <w:top w:val="none" w:sz="0" w:space="0" w:color="auto"/>
        <w:left w:val="none" w:sz="0" w:space="0" w:color="auto"/>
        <w:bottom w:val="none" w:sz="0" w:space="0" w:color="auto"/>
        <w:right w:val="none" w:sz="0" w:space="0" w:color="auto"/>
      </w:divBdr>
    </w:div>
    <w:div w:id="1493641791">
      <w:bodyDiv w:val="1"/>
      <w:marLeft w:val="0"/>
      <w:marRight w:val="0"/>
      <w:marTop w:val="0"/>
      <w:marBottom w:val="0"/>
      <w:divBdr>
        <w:top w:val="none" w:sz="0" w:space="0" w:color="auto"/>
        <w:left w:val="none" w:sz="0" w:space="0" w:color="auto"/>
        <w:bottom w:val="none" w:sz="0" w:space="0" w:color="auto"/>
        <w:right w:val="none" w:sz="0" w:space="0" w:color="auto"/>
      </w:divBdr>
    </w:div>
    <w:div w:id="1493719914">
      <w:bodyDiv w:val="1"/>
      <w:marLeft w:val="0"/>
      <w:marRight w:val="0"/>
      <w:marTop w:val="0"/>
      <w:marBottom w:val="0"/>
      <w:divBdr>
        <w:top w:val="none" w:sz="0" w:space="0" w:color="auto"/>
        <w:left w:val="none" w:sz="0" w:space="0" w:color="auto"/>
        <w:bottom w:val="none" w:sz="0" w:space="0" w:color="auto"/>
        <w:right w:val="none" w:sz="0" w:space="0" w:color="auto"/>
      </w:divBdr>
    </w:div>
    <w:div w:id="1493989130">
      <w:bodyDiv w:val="1"/>
      <w:marLeft w:val="0"/>
      <w:marRight w:val="0"/>
      <w:marTop w:val="0"/>
      <w:marBottom w:val="0"/>
      <w:divBdr>
        <w:top w:val="none" w:sz="0" w:space="0" w:color="auto"/>
        <w:left w:val="none" w:sz="0" w:space="0" w:color="auto"/>
        <w:bottom w:val="none" w:sz="0" w:space="0" w:color="auto"/>
        <w:right w:val="none" w:sz="0" w:space="0" w:color="auto"/>
      </w:divBdr>
    </w:div>
    <w:div w:id="1494032188">
      <w:bodyDiv w:val="1"/>
      <w:marLeft w:val="0"/>
      <w:marRight w:val="0"/>
      <w:marTop w:val="0"/>
      <w:marBottom w:val="0"/>
      <w:divBdr>
        <w:top w:val="none" w:sz="0" w:space="0" w:color="auto"/>
        <w:left w:val="none" w:sz="0" w:space="0" w:color="auto"/>
        <w:bottom w:val="none" w:sz="0" w:space="0" w:color="auto"/>
        <w:right w:val="none" w:sz="0" w:space="0" w:color="auto"/>
      </w:divBdr>
    </w:div>
    <w:div w:id="1494103022">
      <w:bodyDiv w:val="1"/>
      <w:marLeft w:val="0"/>
      <w:marRight w:val="0"/>
      <w:marTop w:val="0"/>
      <w:marBottom w:val="0"/>
      <w:divBdr>
        <w:top w:val="none" w:sz="0" w:space="0" w:color="auto"/>
        <w:left w:val="none" w:sz="0" w:space="0" w:color="auto"/>
        <w:bottom w:val="none" w:sz="0" w:space="0" w:color="auto"/>
        <w:right w:val="none" w:sz="0" w:space="0" w:color="auto"/>
      </w:divBdr>
    </w:div>
    <w:div w:id="1494182711">
      <w:bodyDiv w:val="1"/>
      <w:marLeft w:val="0"/>
      <w:marRight w:val="0"/>
      <w:marTop w:val="0"/>
      <w:marBottom w:val="0"/>
      <w:divBdr>
        <w:top w:val="none" w:sz="0" w:space="0" w:color="auto"/>
        <w:left w:val="none" w:sz="0" w:space="0" w:color="auto"/>
        <w:bottom w:val="none" w:sz="0" w:space="0" w:color="auto"/>
        <w:right w:val="none" w:sz="0" w:space="0" w:color="auto"/>
      </w:divBdr>
    </w:div>
    <w:div w:id="1494226468">
      <w:bodyDiv w:val="1"/>
      <w:marLeft w:val="0"/>
      <w:marRight w:val="0"/>
      <w:marTop w:val="0"/>
      <w:marBottom w:val="0"/>
      <w:divBdr>
        <w:top w:val="none" w:sz="0" w:space="0" w:color="auto"/>
        <w:left w:val="none" w:sz="0" w:space="0" w:color="auto"/>
        <w:bottom w:val="none" w:sz="0" w:space="0" w:color="auto"/>
        <w:right w:val="none" w:sz="0" w:space="0" w:color="auto"/>
      </w:divBdr>
    </w:div>
    <w:div w:id="1494253181">
      <w:bodyDiv w:val="1"/>
      <w:marLeft w:val="0"/>
      <w:marRight w:val="0"/>
      <w:marTop w:val="0"/>
      <w:marBottom w:val="0"/>
      <w:divBdr>
        <w:top w:val="none" w:sz="0" w:space="0" w:color="auto"/>
        <w:left w:val="none" w:sz="0" w:space="0" w:color="auto"/>
        <w:bottom w:val="none" w:sz="0" w:space="0" w:color="auto"/>
        <w:right w:val="none" w:sz="0" w:space="0" w:color="auto"/>
      </w:divBdr>
    </w:div>
    <w:div w:id="1494445900">
      <w:bodyDiv w:val="1"/>
      <w:marLeft w:val="0"/>
      <w:marRight w:val="0"/>
      <w:marTop w:val="0"/>
      <w:marBottom w:val="0"/>
      <w:divBdr>
        <w:top w:val="none" w:sz="0" w:space="0" w:color="auto"/>
        <w:left w:val="none" w:sz="0" w:space="0" w:color="auto"/>
        <w:bottom w:val="none" w:sz="0" w:space="0" w:color="auto"/>
        <w:right w:val="none" w:sz="0" w:space="0" w:color="auto"/>
      </w:divBdr>
    </w:div>
    <w:div w:id="1494486721">
      <w:bodyDiv w:val="1"/>
      <w:marLeft w:val="0"/>
      <w:marRight w:val="0"/>
      <w:marTop w:val="0"/>
      <w:marBottom w:val="0"/>
      <w:divBdr>
        <w:top w:val="none" w:sz="0" w:space="0" w:color="auto"/>
        <w:left w:val="none" w:sz="0" w:space="0" w:color="auto"/>
        <w:bottom w:val="none" w:sz="0" w:space="0" w:color="auto"/>
        <w:right w:val="none" w:sz="0" w:space="0" w:color="auto"/>
      </w:divBdr>
    </w:div>
    <w:div w:id="1494682405">
      <w:bodyDiv w:val="1"/>
      <w:marLeft w:val="0"/>
      <w:marRight w:val="0"/>
      <w:marTop w:val="0"/>
      <w:marBottom w:val="0"/>
      <w:divBdr>
        <w:top w:val="none" w:sz="0" w:space="0" w:color="auto"/>
        <w:left w:val="none" w:sz="0" w:space="0" w:color="auto"/>
        <w:bottom w:val="none" w:sz="0" w:space="0" w:color="auto"/>
        <w:right w:val="none" w:sz="0" w:space="0" w:color="auto"/>
      </w:divBdr>
    </w:div>
    <w:div w:id="1494683198">
      <w:bodyDiv w:val="1"/>
      <w:marLeft w:val="0"/>
      <w:marRight w:val="0"/>
      <w:marTop w:val="0"/>
      <w:marBottom w:val="0"/>
      <w:divBdr>
        <w:top w:val="none" w:sz="0" w:space="0" w:color="auto"/>
        <w:left w:val="none" w:sz="0" w:space="0" w:color="auto"/>
        <w:bottom w:val="none" w:sz="0" w:space="0" w:color="auto"/>
        <w:right w:val="none" w:sz="0" w:space="0" w:color="auto"/>
      </w:divBdr>
    </w:div>
    <w:div w:id="1494756526">
      <w:bodyDiv w:val="1"/>
      <w:marLeft w:val="0"/>
      <w:marRight w:val="0"/>
      <w:marTop w:val="0"/>
      <w:marBottom w:val="0"/>
      <w:divBdr>
        <w:top w:val="none" w:sz="0" w:space="0" w:color="auto"/>
        <w:left w:val="none" w:sz="0" w:space="0" w:color="auto"/>
        <w:bottom w:val="none" w:sz="0" w:space="0" w:color="auto"/>
        <w:right w:val="none" w:sz="0" w:space="0" w:color="auto"/>
      </w:divBdr>
    </w:div>
    <w:div w:id="1494759270">
      <w:bodyDiv w:val="1"/>
      <w:marLeft w:val="0"/>
      <w:marRight w:val="0"/>
      <w:marTop w:val="0"/>
      <w:marBottom w:val="0"/>
      <w:divBdr>
        <w:top w:val="none" w:sz="0" w:space="0" w:color="auto"/>
        <w:left w:val="none" w:sz="0" w:space="0" w:color="auto"/>
        <w:bottom w:val="none" w:sz="0" w:space="0" w:color="auto"/>
        <w:right w:val="none" w:sz="0" w:space="0" w:color="auto"/>
      </w:divBdr>
    </w:div>
    <w:div w:id="1494762592">
      <w:bodyDiv w:val="1"/>
      <w:marLeft w:val="0"/>
      <w:marRight w:val="0"/>
      <w:marTop w:val="0"/>
      <w:marBottom w:val="0"/>
      <w:divBdr>
        <w:top w:val="none" w:sz="0" w:space="0" w:color="auto"/>
        <w:left w:val="none" w:sz="0" w:space="0" w:color="auto"/>
        <w:bottom w:val="none" w:sz="0" w:space="0" w:color="auto"/>
        <w:right w:val="none" w:sz="0" w:space="0" w:color="auto"/>
      </w:divBdr>
    </w:div>
    <w:div w:id="1494835486">
      <w:bodyDiv w:val="1"/>
      <w:marLeft w:val="0"/>
      <w:marRight w:val="0"/>
      <w:marTop w:val="0"/>
      <w:marBottom w:val="0"/>
      <w:divBdr>
        <w:top w:val="none" w:sz="0" w:space="0" w:color="auto"/>
        <w:left w:val="none" w:sz="0" w:space="0" w:color="auto"/>
        <w:bottom w:val="none" w:sz="0" w:space="0" w:color="auto"/>
        <w:right w:val="none" w:sz="0" w:space="0" w:color="auto"/>
      </w:divBdr>
    </w:div>
    <w:div w:id="1494908017">
      <w:bodyDiv w:val="1"/>
      <w:marLeft w:val="0"/>
      <w:marRight w:val="0"/>
      <w:marTop w:val="0"/>
      <w:marBottom w:val="0"/>
      <w:divBdr>
        <w:top w:val="none" w:sz="0" w:space="0" w:color="auto"/>
        <w:left w:val="none" w:sz="0" w:space="0" w:color="auto"/>
        <w:bottom w:val="none" w:sz="0" w:space="0" w:color="auto"/>
        <w:right w:val="none" w:sz="0" w:space="0" w:color="auto"/>
      </w:divBdr>
    </w:div>
    <w:div w:id="1495141300">
      <w:bodyDiv w:val="1"/>
      <w:marLeft w:val="0"/>
      <w:marRight w:val="0"/>
      <w:marTop w:val="0"/>
      <w:marBottom w:val="0"/>
      <w:divBdr>
        <w:top w:val="none" w:sz="0" w:space="0" w:color="auto"/>
        <w:left w:val="none" w:sz="0" w:space="0" w:color="auto"/>
        <w:bottom w:val="none" w:sz="0" w:space="0" w:color="auto"/>
        <w:right w:val="none" w:sz="0" w:space="0" w:color="auto"/>
      </w:divBdr>
    </w:div>
    <w:div w:id="1495147353">
      <w:bodyDiv w:val="1"/>
      <w:marLeft w:val="0"/>
      <w:marRight w:val="0"/>
      <w:marTop w:val="0"/>
      <w:marBottom w:val="0"/>
      <w:divBdr>
        <w:top w:val="none" w:sz="0" w:space="0" w:color="auto"/>
        <w:left w:val="none" w:sz="0" w:space="0" w:color="auto"/>
        <w:bottom w:val="none" w:sz="0" w:space="0" w:color="auto"/>
        <w:right w:val="none" w:sz="0" w:space="0" w:color="auto"/>
      </w:divBdr>
    </w:div>
    <w:div w:id="1495216591">
      <w:bodyDiv w:val="1"/>
      <w:marLeft w:val="0"/>
      <w:marRight w:val="0"/>
      <w:marTop w:val="0"/>
      <w:marBottom w:val="0"/>
      <w:divBdr>
        <w:top w:val="none" w:sz="0" w:space="0" w:color="auto"/>
        <w:left w:val="none" w:sz="0" w:space="0" w:color="auto"/>
        <w:bottom w:val="none" w:sz="0" w:space="0" w:color="auto"/>
        <w:right w:val="none" w:sz="0" w:space="0" w:color="auto"/>
      </w:divBdr>
    </w:div>
    <w:div w:id="1495299429">
      <w:bodyDiv w:val="1"/>
      <w:marLeft w:val="0"/>
      <w:marRight w:val="0"/>
      <w:marTop w:val="0"/>
      <w:marBottom w:val="0"/>
      <w:divBdr>
        <w:top w:val="none" w:sz="0" w:space="0" w:color="auto"/>
        <w:left w:val="none" w:sz="0" w:space="0" w:color="auto"/>
        <w:bottom w:val="none" w:sz="0" w:space="0" w:color="auto"/>
        <w:right w:val="none" w:sz="0" w:space="0" w:color="auto"/>
      </w:divBdr>
    </w:div>
    <w:div w:id="1495336277">
      <w:bodyDiv w:val="1"/>
      <w:marLeft w:val="0"/>
      <w:marRight w:val="0"/>
      <w:marTop w:val="0"/>
      <w:marBottom w:val="0"/>
      <w:divBdr>
        <w:top w:val="none" w:sz="0" w:space="0" w:color="auto"/>
        <w:left w:val="none" w:sz="0" w:space="0" w:color="auto"/>
        <w:bottom w:val="none" w:sz="0" w:space="0" w:color="auto"/>
        <w:right w:val="none" w:sz="0" w:space="0" w:color="auto"/>
      </w:divBdr>
    </w:div>
    <w:div w:id="1495367244">
      <w:bodyDiv w:val="1"/>
      <w:marLeft w:val="0"/>
      <w:marRight w:val="0"/>
      <w:marTop w:val="0"/>
      <w:marBottom w:val="0"/>
      <w:divBdr>
        <w:top w:val="none" w:sz="0" w:space="0" w:color="auto"/>
        <w:left w:val="none" w:sz="0" w:space="0" w:color="auto"/>
        <w:bottom w:val="none" w:sz="0" w:space="0" w:color="auto"/>
        <w:right w:val="none" w:sz="0" w:space="0" w:color="auto"/>
      </w:divBdr>
    </w:div>
    <w:div w:id="1495956055">
      <w:bodyDiv w:val="1"/>
      <w:marLeft w:val="0"/>
      <w:marRight w:val="0"/>
      <w:marTop w:val="0"/>
      <w:marBottom w:val="0"/>
      <w:divBdr>
        <w:top w:val="none" w:sz="0" w:space="0" w:color="auto"/>
        <w:left w:val="none" w:sz="0" w:space="0" w:color="auto"/>
        <w:bottom w:val="none" w:sz="0" w:space="0" w:color="auto"/>
        <w:right w:val="none" w:sz="0" w:space="0" w:color="auto"/>
      </w:divBdr>
    </w:div>
    <w:div w:id="1495991562">
      <w:bodyDiv w:val="1"/>
      <w:marLeft w:val="0"/>
      <w:marRight w:val="0"/>
      <w:marTop w:val="0"/>
      <w:marBottom w:val="0"/>
      <w:divBdr>
        <w:top w:val="none" w:sz="0" w:space="0" w:color="auto"/>
        <w:left w:val="none" w:sz="0" w:space="0" w:color="auto"/>
        <w:bottom w:val="none" w:sz="0" w:space="0" w:color="auto"/>
        <w:right w:val="none" w:sz="0" w:space="0" w:color="auto"/>
      </w:divBdr>
    </w:div>
    <w:div w:id="1495997186">
      <w:bodyDiv w:val="1"/>
      <w:marLeft w:val="0"/>
      <w:marRight w:val="0"/>
      <w:marTop w:val="0"/>
      <w:marBottom w:val="0"/>
      <w:divBdr>
        <w:top w:val="none" w:sz="0" w:space="0" w:color="auto"/>
        <w:left w:val="none" w:sz="0" w:space="0" w:color="auto"/>
        <w:bottom w:val="none" w:sz="0" w:space="0" w:color="auto"/>
        <w:right w:val="none" w:sz="0" w:space="0" w:color="auto"/>
      </w:divBdr>
    </w:div>
    <w:div w:id="1496192281">
      <w:bodyDiv w:val="1"/>
      <w:marLeft w:val="0"/>
      <w:marRight w:val="0"/>
      <w:marTop w:val="0"/>
      <w:marBottom w:val="0"/>
      <w:divBdr>
        <w:top w:val="none" w:sz="0" w:space="0" w:color="auto"/>
        <w:left w:val="none" w:sz="0" w:space="0" w:color="auto"/>
        <w:bottom w:val="none" w:sz="0" w:space="0" w:color="auto"/>
        <w:right w:val="none" w:sz="0" w:space="0" w:color="auto"/>
      </w:divBdr>
    </w:div>
    <w:div w:id="1496262181">
      <w:bodyDiv w:val="1"/>
      <w:marLeft w:val="0"/>
      <w:marRight w:val="0"/>
      <w:marTop w:val="0"/>
      <w:marBottom w:val="0"/>
      <w:divBdr>
        <w:top w:val="none" w:sz="0" w:space="0" w:color="auto"/>
        <w:left w:val="none" w:sz="0" w:space="0" w:color="auto"/>
        <w:bottom w:val="none" w:sz="0" w:space="0" w:color="auto"/>
        <w:right w:val="none" w:sz="0" w:space="0" w:color="auto"/>
      </w:divBdr>
    </w:div>
    <w:div w:id="1496456517">
      <w:bodyDiv w:val="1"/>
      <w:marLeft w:val="0"/>
      <w:marRight w:val="0"/>
      <w:marTop w:val="0"/>
      <w:marBottom w:val="0"/>
      <w:divBdr>
        <w:top w:val="none" w:sz="0" w:space="0" w:color="auto"/>
        <w:left w:val="none" w:sz="0" w:space="0" w:color="auto"/>
        <w:bottom w:val="none" w:sz="0" w:space="0" w:color="auto"/>
        <w:right w:val="none" w:sz="0" w:space="0" w:color="auto"/>
      </w:divBdr>
    </w:div>
    <w:div w:id="1496535850">
      <w:bodyDiv w:val="1"/>
      <w:marLeft w:val="0"/>
      <w:marRight w:val="0"/>
      <w:marTop w:val="0"/>
      <w:marBottom w:val="0"/>
      <w:divBdr>
        <w:top w:val="none" w:sz="0" w:space="0" w:color="auto"/>
        <w:left w:val="none" w:sz="0" w:space="0" w:color="auto"/>
        <w:bottom w:val="none" w:sz="0" w:space="0" w:color="auto"/>
        <w:right w:val="none" w:sz="0" w:space="0" w:color="auto"/>
      </w:divBdr>
    </w:div>
    <w:div w:id="1496724268">
      <w:bodyDiv w:val="1"/>
      <w:marLeft w:val="0"/>
      <w:marRight w:val="0"/>
      <w:marTop w:val="0"/>
      <w:marBottom w:val="0"/>
      <w:divBdr>
        <w:top w:val="none" w:sz="0" w:space="0" w:color="auto"/>
        <w:left w:val="none" w:sz="0" w:space="0" w:color="auto"/>
        <w:bottom w:val="none" w:sz="0" w:space="0" w:color="auto"/>
        <w:right w:val="none" w:sz="0" w:space="0" w:color="auto"/>
      </w:divBdr>
    </w:div>
    <w:div w:id="1496728254">
      <w:bodyDiv w:val="1"/>
      <w:marLeft w:val="0"/>
      <w:marRight w:val="0"/>
      <w:marTop w:val="0"/>
      <w:marBottom w:val="0"/>
      <w:divBdr>
        <w:top w:val="none" w:sz="0" w:space="0" w:color="auto"/>
        <w:left w:val="none" w:sz="0" w:space="0" w:color="auto"/>
        <w:bottom w:val="none" w:sz="0" w:space="0" w:color="auto"/>
        <w:right w:val="none" w:sz="0" w:space="0" w:color="auto"/>
      </w:divBdr>
    </w:div>
    <w:div w:id="1496729634">
      <w:bodyDiv w:val="1"/>
      <w:marLeft w:val="0"/>
      <w:marRight w:val="0"/>
      <w:marTop w:val="0"/>
      <w:marBottom w:val="0"/>
      <w:divBdr>
        <w:top w:val="none" w:sz="0" w:space="0" w:color="auto"/>
        <w:left w:val="none" w:sz="0" w:space="0" w:color="auto"/>
        <w:bottom w:val="none" w:sz="0" w:space="0" w:color="auto"/>
        <w:right w:val="none" w:sz="0" w:space="0" w:color="auto"/>
      </w:divBdr>
    </w:div>
    <w:div w:id="1496844998">
      <w:bodyDiv w:val="1"/>
      <w:marLeft w:val="0"/>
      <w:marRight w:val="0"/>
      <w:marTop w:val="0"/>
      <w:marBottom w:val="0"/>
      <w:divBdr>
        <w:top w:val="none" w:sz="0" w:space="0" w:color="auto"/>
        <w:left w:val="none" w:sz="0" w:space="0" w:color="auto"/>
        <w:bottom w:val="none" w:sz="0" w:space="0" w:color="auto"/>
        <w:right w:val="none" w:sz="0" w:space="0" w:color="auto"/>
      </w:divBdr>
    </w:div>
    <w:div w:id="1496845258">
      <w:bodyDiv w:val="1"/>
      <w:marLeft w:val="0"/>
      <w:marRight w:val="0"/>
      <w:marTop w:val="0"/>
      <w:marBottom w:val="0"/>
      <w:divBdr>
        <w:top w:val="none" w:sz="0" w:space="0" w:color="auto"/>
        <w:left w:val="none" w:sz="0" w:space="0" w:color="auto"/>
        <w:bottom w:val="none" w:sz="0" w:space="0" w:color="auto"/>
        <w:right w:val="none" w:sz="0" w:space="0" w:color="auto"/>
      </w:divBdr>
    </w:div>
    <w:div w:id="1496870693">
      <w:bodyDiv w:val="1"/>
      <w:marLeft w:val="0"/>
      <w:marRight w:val="0"/>
      <w:marTop w:val="0"/>
      <w:marBottom w:val="0"/>
      <w:divBdr>
        <w:top w:val="none" w:sz="0" w:space="0" w:color="auto"/>
        <w:left w:val="none" w:sz="0" w:space="0" w:color="auto"/>
        <w:bottom w:val="none" w:sz="0" w:space="0" w:color="auto"/>
        <w:right w:val="none" w:sz="0" w:space="0" w:color="auto"/>
      </w:divBdr>
    </w:div>
    <w:div w:id="1496917802">
      <w:bodyDiv w:val="1"/>
      <w:marLeft w:val="0"/>
      <w:marRight w:val="0"/>
      <w:marTop w:val="0"/>
      <w:marBottom w:val="0"/>
      <w:divBdr>
        <w:top w:val="none" w:sz="0" w:space="0" w:color="auto"/>
        <w:left w:val="none" w:sz="0" w:space="0" w:color="auto"/>
        <w:bottom w:val="none" w:sz="0" w:space="0" w:color="auto"/>
        <w:right w:val="none" w:sz="0" w:space="0" w:color="auto"/>
      </w:divBdr>
    </w:div>
    <w:div w:id="1496920056">
      <w:bodyDiv w:val="1"/>
      <w:marLeft w:val="0"/>
      <w:marRight w:val="0"/>
      <w:marTop w:val="0"/>
      <w:marBottom w:val="0"/>
      <w:divBdr>
        <w:top w:val="none" w:sz="0" w:space="0" w:color="auto"/>
        <w:left w:val="none" w:sz="0" w:space="0" w:color="auto"/>
        <w:bottom w:val="none" w:sz="0" w:space="0" w:color="auto"/>
        <w:right w:val="none" w:sz="0" w:space="0" w:color="auto"/>
      </w:divBdr>
    </w:div>
    <w:div w:id="1497039445">
      <w:bodyDiv w:val="1"/>
      <w:marLeft w:val="0"/>
      <w:marRight w:val="0"/>
      <w:marTop w:val="0"/>
      <w:marBottom w:val="0"/>
      <w:divBdr>
        <w:top w:val="none" w:sz="0" w:space="0" w:color="auto"/>
        <w:left w:val="none" w:sz="0" w:space="0" w:color="auto"/>
        <w:bottom w:val="none" w:sz="0" w:space="0" w:color="auto"/>
        <w:right w:val="none" w:sz="0" w:space="0" w:color="auto"/>
      </w:divBdr>
    </w:div>
    <w:div w:id="1497257353">
      <w:bodyDiv w:val="1"/>
      <w:marLeft w:val="0"/>
      <w:marRight w:val="0"/>
      <w:marTop w:val="0"/>
      <w:marBottom w:val="0"/>
      <w:divBdr>
        <w:top w:val="none" w:sz="0" w:space="0" w:color="auto"/>
        <w:left w:val="none" w:sz="0" w:space="0" w:color="auto"/>
        <w:bottom w:val="none" w:sz="0" w:space="0" w:color="auto"/>
        <w:right w:val="none" w:sz="0" w:space="0" w:color="auto"/>
      </w:divBdr>
    </w:div>
    <w:div w:id="1497265077">
      <w:bodyDiv w:val="1"/>
      <w:marLeft w:val="0"/>
      <w:marRight w:val="0"/>
      <w:marTop w:val="0"/>
      <w:marBottom w:val="0"/>
      <w:divBdr>
        <w:top w:val="none" w:sz="0" w:space="0" w:color="auto"/>
        <w:left w:val="none" w:sz="0" w:space="0" w:color="auto"/>
        <w:bottom w:val="none" w:sz="0" w:space="0" w:color="auto"/>
        <w:right w:val="none" w:sz="0" w:space="0" w:color="auto"/>
      </w:divBdr>
    </w:div>
    <w:div w:id="1497303478">
      <w:bodyDiv w:val="1"/>
      <w:marLeft w:val="0"/>
      <w:marRight w:val="0"/>
      <w:marTop w:val="0"/>
      <w:marBottom w:val="0"/>
      <w:divBdr>
        <w:top w:val="none" w:sz="0" w:space="0" w:color="auto"/>
        <w:left w:val="none" w:sz="0" w:space="0" w:color="auto"/>
        <w:bottom w:val="none" w:sz="0" w:space="0" w:color="auto"/>
        <w:right w:val="none" w:sz="0" w:space="0" w:color="auto"/>
      </w:divBdr>
    </w:div>
    <w:div w:id="1497377027">
      <w:bodyDiv w:val="1"/>
      <w:marLeft w:val="0"/>
      <w:marRight w:val="0"/>
      <w:marTop w:val="0"/>
      <w:marBottom w:val="0"/>
      <w:divBdr>
        <w:top w:val="none" w:sz="0" w:space="0" w:color="auto"/>
        <w:left w:val="none" w:sz="0" w:space="0" w:color="auto"/>
        <w:bottom w:val="none" w:sz="0" w:space="0" w:color="auto"/>
        <w:right w:val="none" w:sz="0" w:space="0" w:color="auto"/>
      </w:divBdr>
    </w:div>
    <w:div w:id="1497450836">
      <w:bodyDiv w:val="1"/>
      <w:marLeft w:val="0"/>
      <w:marRight w:val="0"/>
      <w:marTop w:val="0"/>
      <w:marBottom w:val="0"/>
      <w:divBdr>
        <w:top w:val="none" w:sz="0" w:space="0" w:color="auto"/>
        <w:left w:val="none" w:sz="0" w:space="0" w:color="auto"/>
        <w:bottom w:val="none" w:sz="0" w:space="0" w:color="auto"/>
        <w:right w:val="none" w:sz="0" w:space="0" w:color="auto"/>
      </w:divBdr>
    </w:div>
    <w:div w:id="1497502815">
      <w:bodyDiv w:val="1"/>
      <w:marLeft w:val="0"/>
      <w:marRight w:val="0"/>
      <w:marTop w:val="0"/>
      <w:marBottom w:val="0"/>
      <w:divBdr>
        <w:top w:val="none" w:sz="0" w:space="0" w:color="auto"/>
        <w:left w:val="none" w:sz="0" w:space="0" w:color="auto"/>
        <w:bottom w:val="none" w:sz="0" w:space="0" w:color="auto"/>
        <w:right w:val="none" w:sz="0" w:space="0" w:color="auto"/>
      </w:divBdr>
    </w:div>
    <w:div w:id="1497526095">
      <w:bodyDiv w:val="1"/>
      <w:marLeft w:val="0"/>
      <w:marRight w:val="0"/>
      <w:marTop w:val="0"/>
      <w:marBottom w:val="0"/>
      <w:divBdr>
        <w:top w:val="none" w:sz="0" w:space="0" w:color="auto"/>
        <w:left w:val="none" w:sz="0" w:space="0" w:color="auto"/>
        <w:bottom w:val="none" w:sz="0" w:space="0" w:color="auto"/>
        <w:right w:val="none" w:sz="0" w:space="0" w:color="auto"/>
      </w:divBdr>
    </w:div>
    <w:div w:id="1497527305">
      <w:bodyDiv w:val="1"/>
      <w:marLeft w:val="0"/>
      <w:marRight w:val="0"/>
      <w:marTop w:val="0"/>
      <w:marBottom w:val="0"/>
      <w:divBdr>
        <w:top w:val="none" w:sz="0" w:space="0" w:color="auto"/>
        <w:left w:val="none" w:sz="0" w:space="0" w:color="auto"/>
        <w:bottom w:val="none" w:sz="0" w:space="0" w:color="auto"/>
        <w:right w:val="none" w:sz="0" w:space="0" w:color="auto"/>
      </w:divBdr>
    </w:div>
    <w:div w:id="1497726889">
      <w:bodyDiv w:val="1"/>
      <w:marLeft w:val="0"/>
      <w:marRight w:val="0"/>
      <w:marTop w:val="0"/>
      <w:marBottom w:val="0"/>
      <w:divBdr>
        <w:top w:val="none" w:sz="0" w:space="0" w:color="auto"/>
        <w:left w:val="none" w:sz="0" w:space="0" w:color="auto"/>
        <w:bottom w:val="none" w:sz="0" w:space="0" w:color="auto"/>
        <w:right w:val="none" w:sz="0" w:space="0" w:color="auto"/>
      </w:divBdr>
    </w:div>
    <w:div w:id="1497768348">
      <w:bodyDiv w:val="1"/>
      <w:marLeft w:val="0"/>
      <w:marRight w:val="0"/>
      <w:marTop w:val="0"/>
      <w:marBottom w:val="0"/>
      <w:divBdr>
        <w:top w:val="none" w:sz="0" w:space="0" w:color="auto"/>
        <w:left w:val="none" w:sz="0" w:space="0" w:color="auto"/>
        <w:bottom w:val="none" w:sz="0" w:space="0" w:color="auto"/>
        <w:right w:val="none" w:sz="0" w:space="0" w:color="auto"/>
      </w:divBdr>
    </w:div>
    <w:div w:id="1497837923">
      <w:bodyDiv w:val="1"/>
      <w:marLeft w:val="0"/>
      <w:marRight w:val="0"/>
      <w:marTop w:val="0"/>
      <w:marBottom w:val="0"/>
      <w:divBdr>
        <w:top w:val="none" w:sz="0" w:space="0" w:color="auto"/>
        <w:left w:val="none" w:sz="0" w:space="0" w:color="auto"/>
        <w:bottom w:val="none" w:sz="0" w:space="0" w:color="auto"/>
        <w:right w:val="none" w:sz="0" w:space="0" w:color="auto"/>
      </w:divBdr>
    </w:div>
    <w:div w:id="1498155108">
      <w:bodyDiv w:val="1"/>
      <w:marLeft w:val="0"/>
      <w:marRight w:val="0"/>
      <w:marTop w:val="0"/>
      <w:marBottom w:val="0"/>
      <w:divBdr>
        <w:top w:val="none" w:sz="0" w:space="0" w:color="auto"/>
        <w:left w:val="none" w:sz="0" w:space="0" w:color="auto"/>
        <w:bottom w:val="none" w:sz="0" w:space="0" w:color="auto"/>
        <w:right w:val="none" w:sz="0" w:space="0" w:color="auto"/>
      </w:divBdr>
    </w:div>
    <w:div w:id="1498181709">
      <w:bodyDiv w:val="1"/>
      <w:marLeft w:val="0"/>
      <w:marRight w:val="0"/>
      <w:marTop w:val="0"/>
      <w:marBottom w:val="0"/>
      <w:divBdr>
        <w:top w:val="none" w:sz="0" w:space="0" w:color="auto"/>
        <w:left w:val="none" w:sz="0" w:space="0" w:color="auto"/>
        <w:bottom w:val="none" w:sz="0" w:space="0" w:color="auto"/>
        <w:right w:val="none" w:sz="0" w:space="0" w:color="auto"/>
      </w:divBdr>
    </w:div>
    <w:div w:id="1498184590">
      <w:bodyDiv w:val="1"/>
      <w:marLeft w:val="0"/>
      <w:marRight w:val="0"/>
      <w:marTop w:val="0"/>
      <w:marBottom w:val="0"/>
      <w:divBdr>
        <w:top w:val="none" w:sz="0" w:space="0" w:color="auto"/>
        <w:left w:val="none" w:sz="0" w:space="0" w:color="auto"/>
        <w:bottom w:val="none" w:sz="0" w:space="0" w:color="auto"/>
        <w:right w:val="none" w:sz="0" w:space="0" w:color="auto"/>
      </w:divBdr>
    </w:div>
    <w:div w:id="1498374691">
      <w:bodyDiv w:val="1"/>
      <w:marLeft w:val="0"/>
      <w:marRight w:val="0"/>
      <w:marTop w:val="0"/>
      <w:marBottom w:val="0"/>
      <w:divBdr>
        <w:top w:val="none" w:sz="0" w:space="0" w:color="auto"/>
        <w:left w:val="none" w:sz="0" w:space="0" w:color="auto"/>
        <w:bottom w:val="none" w:sz="0" w:space="0" w:color="auto"/>
        <w:right w:val="none" w:sz="0" w:space="0" w:color="auto"/>
      </w:divBdr>
    </w:div>
    <w:div w:id="1498377067">
      <w:bodyDiv w:val="1"/>
      <w:marLeft w:val="0"/>
      <w:marRight w:val="0"/>
      <w:marTop w:val="0"/>
      <w:marBottom w:val="0"/>
      <w:divBdr>
        <w:top w:val="none" w:sz="0" w:space="0" w:color="auto"/>
        <w:left w:val="none" w:sz="0" w:space="0" w:color="auto"/>
        <w:bottom w:val="none" w:sz="0" w:space="0" w:color="auto"/>
        <w:right w:val="none" w:sz="0" w:space="0" w:color="auto"/>
      </w:divBdr>
    </w:div>
    <w:div w:id="1498378103">
      <w:bodyDiv w:val="1"/>
      <w:marLeft w:val="0"/>
      <w:marRight w:val="0"/>
      <w:marTop w:val="0"/>
      <w:marBottom w:val="0"/>
      <w:divBdr>
        <w:top w:val="none" w:sz="0" w:space="0" w:color="auto"/>
        <w:left w:val="none" w:sz="0" w:space="0" w:color="auto"/>
        <w:bottom w:val="none" w:sz="0" w:space="0" w:color="auto"/>
        <w:right w:val="none" w:sz="0" w:space="0" w:color="auto"/>
      </w:divBdr>
    </w:div>
    <w:div w:id="1498419387">
      <w:bodyDiv w:val="1"/>
      <w:marLeft w:val="0"/>
      <w:marRight w:val="0"/>
      <w:marTop w:val="0"/>
      <w:marBottom w:val="0"/>
      <w:divBdr>
        <w:top w:val="none" w:sz="0" w:space="0" w:color="auto"/>
        <w:left w:val="none" w:sz="0" w:space="0" w:color="auto"/>
        <w:bottom w:val="none" w:sz="0" w:space="0" w:color="auto"/>
        <w:right w:val="none" w:sz="0" w:space="0" w:color="auto"/>
      </w:divBdr>
    </w:div>
    <w:div w:id="1498493884">
      <w:bodyDiv w:val="1"/>
      <w:marLeft w:val="0"/>
      <w:marRight w:val="0"/>
      <w:marTop w:val="0"/>
      <w:marBottom w:val="0"/>
      <w:divBdr>
        <w:top w:val="none" w:sz="0" w:space="0" w:color="auto"/>
        <w:left w:val="none" w:sz="0" w:space="0" w:color="auto"/>
        <w:bottom w:val="none" w:sz="0" w:space="0" w:color="auto"/>
        <w:right w:val="none" w:sz="0" w:space="0" w:color="auto"/>
      </w:divBdr>
    </w:div>
    <w:div w:id="1498611914">
      <w:bodyDiv w:val="1"/>
      <w:marLeft w:val="0"/>
      <w:marRight w:val="0"/>
      <w:marTop w:val="0"/>
      <w:marBottom w:val="0"/>
      <w:divBdr>
        <w:top w:val="none" w:sz="0" w:space="0" w:color="auto"/>
        <w:left w:val="none" w:sz="0" w:space="0" w:color="auto"/>
        <w:bottom w:val="none" w:sz="0" w:space="0" w:color="auto"/>
        <w:right w:val="none" w:sz="0" w:space="0" w:color="auto"/>
      </w:divBdr>
    </w:div>
    <w:div w:id="1498838153">
      <w:bodyDiv w:val="1"/>
      <w:marLeft w:val="0"/>
      <w:marRight w:val="0"/>
      <w:marTop w:val="0"/>
      <w:marBottom w:val="0"/>
      <w:divBdr>
        <w:top w:val="none" w:sz="0" w:space="0" w:color="auto"/>
        <w:left w:val="none" w:sz="0" w:space="0" w:color="auto"/>
        <w:bottom w:val="none" w:sz="0" w:space="0" w:color="auto"/>
        <w:right w:val="none" w:sz="0" w:space="0" w:color="auto"/>
      </w:divBdr>
    </w:div>
    <w:div w:id="1498840840">
      <w:bodyDiv w:val="1"/>
      <w:marLeft w:val="0"/>
      <w:marRight w:val="0"/>
      <w:marTop w:val="0"/>
      <w:marBottom w:val="0"/>
      <w:divBdr>
        <w:top w:val="none" w:sz="0" w:space="0" w:color="auto"/>
        <w:left w:val="none" w:sz="0" w:space="0" w:color="auto"/>
        <w:bottom w:val="none" w:sz="0" w:space="0" w:color="auto"/>
        <w:right w:val="none" w:sz="0" w:space="0" w:color="auto"/>
      </w:divBdr>
    </w:div>
    <w:div w:id="1498958823">
      <w:bodyDiv w:val="1"/>
      <w:marLeft w:val="0"/>
      <w:marRight w:val="0"/>
      <w:marTop w:val="0"/>
      <w:marBottom w:val="0"/>
      <w:divBdr>
        <w:top w:val="none" w:sz="0" w:space="0" w:color="auto"/>
        <w:left w:val="none" w:sz="0" w:space="0" w:color="auto"/>
        <w:bottom w:val="none" w:sz="0" w:space="0" w:color="auto"/>
        <w:right w:val="none" w:sz="0" w:space="0" w:color="auto"/>
      </w:divBdr>
    </w:div>
    <w:div w:id="1499005132">
      <w:bodyDiv w:val="1"/>
      <w:marLeft w:val="0"/>
      <w:marRight w:val="0"/>
      <w:marTop w:val="0"/>
      <w:marBottom w:val="0"/>
      <w:divBdr>
        <w:top w:val="none" w:sz="0" w:space="0" w:color="auto"/>
        <w:left w:val="none" w:sz="0" w:space="0" w:color="auto"/>
        <w:bottom w:val="none" w:sz="0" w:space="0" w:color="auto"/>
        <w:right w:val="none" w:sz="0" w:space="0" w:color="auto"/>
      </w:divBdr>
    </w:div>
    <w:div w:id="1499031204">
      <w:bodyDiv w:val="1"/>
      <w:marLeft w:val="0"/>
      <w:marRight w:val="0"/>
      <w:marTop w:val="0"/>
      <w:marBottom w:val="0"/>
      <w:divBdr>
        <w:top w:val="none" w:sz="0" w:space="0" w:color="auto"/>
        <w:left w:val="none" w:sz="0" w:space="0" w:color="auto"/>
        <w:bottom w:val="none" w:sz="0" w:space="0" w:color="auto"/>
        <w:right w:val="none" w:sz="0" w:space="0" w:color="auto"/>
      </w:divBdr>
    </w:div>
    <w:div w:id="1499075934">
      <w:bodyDiv w:val="1"/>
      <w:marLeft w:val="0"/>
      <w:marRight w:val="0"/>
      <w:marTop w:val="0"/>
      <w:marBottom w:val="0"/>
      <w:divBdr>
        <w:top w:val="none" w:sz="0" w:space="0" w:color="auto"/>
        <w:left w:val="none" w:sz="0" w:space="0" w:color="auto"/>
        <w:bottom w:val="none" w:sz="0" w:space="0" w:color="auto"/>
        <w:right w:val="none" w:sz="0" w:space="0" w:color="auto"/>
      </w:divBdr>
    </w:div>
    <w:div w:id="1499152212">
      <w:bodyDiv w:val="1"/>
      <w:marLeft w:val="0"/>
      <w:marRight w:val="0"/>
      <w:marTop w:val="0"/>
      <w:marBottom w:val="0"/>
      <w:divBdr>
        <w:top w:val="none" w:sz="0" w:space="0" w:color="auto"/>
        <w:left w:val="none" w:sz="0" w:space="0" w:color="auto"/>
        <w:bottom w:val="none" w:sz="0" w:space="0" w:color="auto"/>
        <w:right w:val="none" w:sz="0" w:space="0" w:color="auto"/>
      </w:divBdr>
    </w:div>
    <w:div w:id="1499344851">
      <w:bodyDiv w:val="1"/>
      <w:marLeft w:val="0"/>
      <w:marRight w:val="0"/>
      <w:marTop w:val="0"/>
      <w:marBottom w:val="0"/>
      <w:divBdr>
        <w:top w:val="none" w:sz="0" w:space="0" w:color="auto"/>
        <w:left w:val="none" w:sz="0" w:space="0" w:color="auto"/>
        <w:bottom w:val="none" w:sz="0" w:space="0" w:color="auto"/>
        <w:right w:val="none" w:sz="0" w:space="0" w:color="auto"/>
      </w:divBdr>
    </w:div>
    <w:div w:id="1499494938">
      <w:bodyDiv w:val="1"/>
      <w:marLeft w:val="0"/>
      <w:marRight w:val="0"/>
      <w:marTop w:val="0"/>
      <w:marBottom w:val="0"/>
      <w:divBdr>
        <w:top w:val="none" w:sz="0" w:space="0" w:color="auto"/>
        <w:left w:val="none" w:sz="0" w:space="0" w:color="auto"/>
        <w:bottom w:val="none" w:sz="0" w:space="0" w:color="auto"/>
        <w:right w:val="none" w:sz="0" w:space="0" w:color="auto"/>
      </w:divBdr>
    </w:div>
    <w:div w:id="1499538338">
      <w:bodyDiv w:val="1"/>
      <w:marLeft w:val="0"/>
      <w:marRight w:val="0"/>
      <w:marTop w:val="0"/>
      <w:marBottom w:val="0"/>
      <w:divBdr>
        <w:top w:val="none" w:sz="0" w:space="0" w:color="auto"/>
        <w:left w:val="none" w:sz="0" w:space="0" w:color="auto"/>
        <w:bottom w:val="none" w:sz="0" w:space="0" w:color="auto"/>
        <w:right w:val="none" w:sz="0" w:space="0" w:color="auto"/>
      </w:divBdr>
    </w:div>
    <w:div w:id="1499615170">
      <w:bodyDiv w:val="1"/>
      <w:marLeft w:val="0"/>
      <w:marRight w:val="0"/>
      <w:marTop w:val="0"/>
      <w:marBottom w:val="0"/>
      <w:divBdr>
        <w:top w:val="none" w:sz="0" w:space="0" w:color="auto"/>
        <w:left w:val="none" w:sz="0" w:space="0" w:color="auto"/>
        <w:bottom w:val="none" w:sz="0" w:space="0" w:color="auto"/>
        <w:right w:val="none" w:sz="0" w:space="0" w:color="auto"/>
      </w:divBdr>
    </w:div>
    <w:div w:id="1499732284">
      <w:bodyDiv w:val="1"/>
      <w:marLeft w:val="0"/>
      <w:marRight w:val="0"/>
      <w:marTop w:val="0"/>
      <w:marBottom w:val="0"/>
      <w:divBdr>
        <w:top w:val="none" w:sz="0" w:space="0" w:color="auto"/>
        <w:left w:val="none" w:sz="0" w:space="0" w:color="auto"/>
        <w:bottom w:val="none" w:sz="0" w:space="0" w:color="auto"/>
        <w:right w:val="none" w:sz="0" w:space="0" w:color="auto"/>
      </w:divBdr>
    </w:div>
    <w:div w:id="1499806956">
      <w:bodyDiv w:val="1"/>
      <w:marLeft w:val="0"/>
      <w:marRight w:val="0"/>
      <w:marTop w:val="0"/>
      <w:marBottom w:val="0"/>
      <w:divBdr>
        <w:top w:val="none" w:sz="0" w:space="0" w:color="auto"/>
        <w:left w:val="none" w:sz="0" w:space="0" w:color="auto"/>
        <w:bottom w:val="none" w:sz="0" w:space="0" w:color="auto"/>
        <w:right w:val="none" w:sz="0" w:space="0" w:color="auto"/>
      </w:divBdr>
    </w:div>
    <w:div w:id="1499811331">
      <w:bodyDiv w:val="1"/>
      <w:marLeft w:val="0"/>
      <w:marRight w:val="0"/>
      <w:marTop w:val="0"/>
      <w:marBottom w:val="0"/>
      <w:divBdr>
        <w:top w:val="none" w:sz="0" w:space="0" w:color="auto"/>
        <w:left w:val="none" w:sz="0" w:space="0" w:color="auto"/>
        <w:bottom w:val="none" w:sz="0" w:space="0" w:color="auto"/>
        <w:right w:val="none" w:sz="0" w:space="0" w:color="auto"/>
      </w:divBdr>
    </w:div>
    <w:div w:id="1499812481">
      <w:bodyDiv w:val="1"/>
      <w:marLeft w:val="0"/>
      <w:marRight w:val="0"/>
      <w:marTop w:val="0"/>
      <w:marBottom w:val="0"/>
      <w:divBdr>
        <w:top w:val="none" w:sz="0" w:space="0" w:color="auto"/>
        <w:left w:val="none" w:sz="0" w:space="0" w:color="auto"/>
        <w:bottom w:val="none" w:sz="0" w:space="0" w:color="auto"/>
        <w:right w:val="none" w:sz="0" w:space="0" w:color="auto"/>
      </w:divBdr>
    </w:div>
    <w:div w:id="1499884893">
      <w:bodyDiv w:val="1"/>
      <w:marLeft w:val="0"/>
      <w:marRight w:val="0"/>
      <w:marTop w:val="0"/>
      <w:marBottom w:val="0"/>
      <w:divBdr>
        <w:top w:val="none" w:sz="0" w:space="0" w:color="auto"/>
        <w:left w:val="none" w:sz="0" w:space="0" w:color="auto"/>
        <w:bottom w:val="none" w:sz="0" w:space="0" w:color="auto"/>
        <w:right w:val="none" w:sz="0" w:space="0" w:color="auto"/>
      </w:divBdr>
    </w:div>
    <w:div w:id="1499922853">
      <w:bodyDiv w:val="1"/>
      <w:marLeft w:val="0"/>
      <w:marRight w:val="0"/>
      <w:marTop w:val="0"/>
      <w:marBottom w:val="0"/>
      <w:divBdr>
        <w:top w:val="none" w:sz="0" w:space="0" w:color="auto"/>
        <w:left w:val="none" w:sz="0" w:space="0" w:color="auto"/>
        <w:bottom w:val="none" w:sz="0" w:space="0" w:color="auto"/>
        <w:right w:val="none" w:sz="0" w:space="0" w:color="auto"/>
      </w:divBdr>
    </w:div>
    <w:div w:id="1499924054">
      <w:bodyDiv w:val="1"/>
      <w:marLeft w:val="0"/>
      <w:marRight w:val="0"/>
      <w:marTop w:val="0"/>
      <w:marBottom w:val="0"/>
      <w:divBdr>
        <w:top w:val="none" w:sz="0" w:space="0" w:color="auto"/>
        <w:left w:val="none" w:sz="0" w:space="0" w:color="auto"/>
        <w:bottom w:val="none" w:sz="0" w:space="0" w:color="auto"/>
        <w:right w:val="none" w:sz="0" w:space="0" w:color="auto"/>
      </w:divBdr>
    </w:div>
    <w:div w:id="1499927322">
      <w:bodyDiv w:val="1"/>
      <w:marLeft w:val="0"/>
      <w:marRight w:val="0"/>
      <w:marTop w:val="0"/>
      <w:marBottom w:val="0"/>
      <w:divBdr>
        <w:top w:val="none" w:sz="0" w:space="0" w:color="auto"/>
        <w:left w:val="none" w:sz="0" w:space="0" w:color="auto"/>
        <w:bottom w:val="none" w:sz="0" w:space="0" w:color="auto"/>
        <w:right w:val="none" w:sz="0" w:space="0" w:color="auto"/>
      </w:divBdr>
    </w:div>
    <w:div w:id="1499996421">
      <w:bodyDiv w:val="1"/>
      <w:marLeft w:val="0"/>
      <w:marRight w:val="0"/>
      <w:marTop w:val="0"/>
      <w:marBottom w:val="0"/>
      <w:divBdr>
        <w:top w:val="none" w:sz="0" w:space="0" w:color="auto"/>
        <w:left w:val="none" w:sz="0" w:space="0" w:color="auto"/>
        <w:bottom w:val="none" w:sz="0" w:space="0" w:color="auto"/>
        <w:right w:val="none" w:sz="0" w:space="0" w:color="auto"/>
      </w:divBdr>
    </w:div>
    <w:div w:id="1500148970">
      <w:bodyDiv w:val="1"/>
      <w:marLeft w:val="0"/>
      <w:marRight w:val="0"/>
      <w:marTop w:val="0"/>
      <w:marBottom w:val="0"/>
      <w:divBdr>
        <w:top w:val="none" w:sz="0" w:space="0" w:color="auto"/>
        <w:left w:val="none" w:sz="0" w:space="0" w:color="auto"/>
        <w:bottom w:val="none" w:sz="0" w:space="0" w:color="auto"/>
        <w:right w:val="none" w:sz="0" w:space="0" w:color="auto"/>
      </w:divBdr>
    </w:div>
    <w:div w:id="1500190144">
      <w:bodyDiv w:val="1"/>
      <w:marLeft w:val="0"/>
      <w:marRight w:val="0"/>
      <w:marTop w:val="0"/>
      <w:marBottom w:val="0"/>
      <w:divBdr>
        <w:top w:val="none" w:sz="0" w:space="0" w:color="auto"/>
        <w:left w:val="none" w:sz="0" w:space="0" w:color="auto"/>
        <w:bottom w:val="none" w:sz="0" w:space="0" w:color="auto"/>
        <w:right w:val="none" w:sz="0" w:space="0" w:color="auto"/>
      </w:divBdr>
    </w:div>
    <w:div w:id="1500267302">
      <w:bodyDiv w:val="1"/>
      <w:marLeft w:val="0"/>
      <w:marRight w:val="0"/>
      <w:marTop w:val="0"/>
      <w:marBottom w:val="0"/>
      <w:divBdr>
        <w:top w:val="none" w:sz="0" w:space="0" w:color="auto"/>
        <w:left w:val="none" w:sz="0" w:space="0" w:color="auto"/>
        <w:bottom w:val="none" w:sz="0" w:space="0" w:color="auto"/>
        <w:right w:val="none" w:sz="0" w:space="0" w:color="auto"/>
      </w:divBdr>
    </w:div>
    <w:div w:id="1500269051">
      <w:bodyDiv w:val="1"/>
      <w:marLeft w:val="0"/>
      <w:marRight w:val="0"/>
      <w:marTop w:val="0"/>
      <w:marBottom w:val="0"/>
      <w:divBdr>
        <w:top w:val="none" w:sz="0" w:space="0" w:color="auto"/>
        <w:left w:val="none" w:sz="0" w:space="0" w:color="auto"/>
        <w:bottom w:val="none" w:sz="0" w:space="0" w:color="auto"/>
        <w:right w:val="none" w:sz="0" w:space="0" w:color="auto"/>
      </w:divBdr>
    </w:div>
    <w:div w:id="1500344280">
      <w:bodyDiv w:val="1"/>
      <w:marLeft w:val="0"/>
      <w:marRight w:val="0"/>
      <w:marTop w:val="0"/>
      <w:marBottom w:val="0"/>
      <w:divBdr>
        <w:top w:val="none" w:sz="0" w:space="0" w:color="auto"/>
        <w:left w:val="none" w:sz="0" w:space="0" w:color="auto"/>
        <w:bottom w:val="none" w:sz="0" w:space="0" w:color="auto"/>
        <w:right w:val="none" w:sz="0" w:space="0" w:color="auto"/>
      </w:divBdr>
    </w:div>
    <w:div w:id="1500460184">
      <w:bodyDiv w:val="1"/>
      <w:marLeft w:val="0"/>
      <w:marRight w:val="0"/>
      <w:marTop w:val="0"/>
      <w:marBottom w:val="0"/>
      <w:divBdr>
        <w:top w:val="none" w:sz="0" w:space="0" w:color="auto"/>
        <w:left w:val="none" w:sz="0" w:space="0" w:color="auto"/>
        <w:bottom w:val="none" w:sz="0" w:space="0" w:color="auto"/>
        <w:right w:val="none" w:sz="0" w:space="0" w:color="auto"/>
      </w:divBdr>
    </w:div>
    <w:div w:id="1500465979">
      <w:bodyDiv w:val="1"/>
      <w:marLeft w:val="0"/>
      <w:marRight w:val="0"/>
      <w:marTop w:val="0"/>
      <w:marBottom w:val="0"/>
      <w:divBdr>
        <w:top w:val="none" w:sz="0" w:space="0" w:color="auto"/>
        <w:left w:val="none" w:sz="0" w:space="0" w:color="auto"/>
        <w:bottom w:val="none" w:sz="0" w:space="0" w:color="auto"/>
        <w:right w:val="none" w:sz="0" w:space="0" w:color="auto"/>
      </w:divBdr>
    </w:div>
    <w:div w:id="1500539804">
      <w:bodyDiv w:val="1"/>
      <w:marLeft w:val="0"/>
      <w:marRight w:val="0"/>
      <w:marTop w:val="0"/>
      <w:marBottom w:val="0"/>
      <w:divBdr>
        <w:top w:val="none" w:sz="0" w:space="0" w:color="auto"/>
        <w:left w:val="none" w:sz="0" w:space="0" w:color="auto"/>
        <w:bottom w:val="none" w:sz="0" w:space="0" w:color="auto"/>
        <w:right w:val="none" w:sz="0" w:space="0" w:color="auto"/>
      </w:divBdr>
    </w:div>
    <w:div w:id="1500541902">
      <w:bodyDiv w:val="1"/>
      <w:marLeft w:val="0"/>
      <w:marRight w:val="0"/>
      <w:marTop w:val="0"/>
      <w:marBottom w:val="0"/>
      <w:divBdr>
        <w:top w:val="none" w:sz="0" w:space="0" w:color="auto"/>
        <w:left w:val="none" w:sz="0" w:space="0" w:color="auto"/>
        <w:bottom w:val="none" w:sz="0" w:space="0" w:color="auto"/>
        <w:right w:val="none" w:sz="0" w:space="0" w:color="auto"/>
      </w:divBdr>
    </w:div>
    <w:div w:id="1500733708">
      <w:bodyDiv w:val="1"/>
      <w:marLeft w:val="0"/>
      <w:marRight w:val="0"/>
      <w:marTop w:val="0"/>
      <w:marBottom w:val="0"/>
      <w:divBdr>
        <w:top w:val="none" w:sz="0" w:space="0" w:color="auto"/>
        <w:left w:val="none" w:sz="0" w:space="0" w:color="auto"/>
        <w:bottom w:val="none" w:sz="0" w:space="0" w:color="auto"/>
        <w:right w:val="none" w:sz="0" w:space="0" w:color="auto"/>
      </w:divBdr>
    </w:div>
    <w:div w:id="1500734196">
      <w:bodyDiv w:val="1"/>
      <w:marLeft w:val="0"/>
      <w:marRight w:val="0"/>
      <w:marTop w:val="0"/>
      <w:marBottom w:val="0"/>
      <w:divBdr>
        <w:top w:val="none" w:sz="0" w:space="0" w:color="auto"/>
        <w:left w:val="none" w:sz="0" w:space="0" w:color="auto"/>
        <w:bottom w:val="none" w:sz="0" w:space="0" w:color="auto"/>
        <w:right w:val="none" w:sz="0" w:space="0" w:color="auto"/>
      </w:divBdr>
    </w:div>
    <w:div w:id="1501042235">
      <w:bodyDiv w:val="1"/>
      <w:marLeft w:val="0"/>
      <w:marRight w:val="0"/>
      <w:marTop w:val="0"/>
      <w:marBottom w:val="0"/>
      <w:divBdr>
        <w:top w:val="none" w:sz="0" w:space="0" w:color="auto"/>
        <w:left w:val="none" w:sz="0" w:space="0" w:color="auto"/>
        <w:bottom w:val="none" w:sz="0" w:space="0" w:color="auto"/>
        <w:right w:val="none" w:sz="0" w:space="0" w:color="auto"/>
      </w:divBdr>
    </w:div>
    <w:div w:id="1501117869">
      <w:bodyDiv w:val="1"/>
      <w:marLeft w:val="0"/>
      <w:marRight w:val="0"/>
      <w:marTop w:val="0"/>
      <w:marBottom w:val="0"/>
      <w:divBdr>
        <w:top w:val="none" w:sz="0" w:space="0" w:color="auto"/>
        <w:left w:val="none" w:sz="0" w:space="0" w:color="auto"/>
        <w:bottom w:val="none" w:sz="0" w:space="0" w:color="auto"/>
        <w:right w:val="none" w:sz="0" w:space="0" w:color="auto"/>
      </w:divBdr>
    </w:div>
    <w:div w:id="1501314779">
      <w:bodyDiv w:val="1"/>
      <w:marLeft w:val="0"/>
      <w:marRight w:val="0"/>
      <w:marTop w:val="0"/>
      <w:marBottom w:val="0"/>
      <w:divBdr>
        <w:top w:val="none" w:sz="0" w:space="0" w:color="auto"/>
        <w:left w:val="none" w:sz="0" w:space="0" w:color="auto"/>
        <w:bottom w:val="none" w:sz="0" w:space="0" w:color="auto"/>
        <w:right w:val="none" w:sz="0" w:space="0" w:color="auto"/>
      </w:divBdr>
    </w:div>
    <w:div w:id="1501386744">
      <w:bodyDiv w:val="1"/>
      <w:marLeft w:val="0"/>
      <w:marRight w:val="0"/>
      <w:marTop w:val="0"/>
      <w:marBottom w:val="0"/>
      <w:divBdr>
        <w:top w:val="none" w:sz="0" w:space="0" w:color="auto"/>
        <w:left w:val="none" w:sz="0" w:space="0" w:color="auto"/>
        <w:bottom w:val="none" w:sz="0" w:space="0" w:color="auto"/>
        <w:right w:val="none" w:sz="0" w:space="0" w:color="auto"/>
      </w:divBdr>
    </w:div>
    <w:div w:id="1501459976">
      <w:bodyDiv w:val="1"/>
      <w:marLeft w:val="0"/>
      <w:marRight w:val="0"/>
      <w:marTop w:val="0"/>
      <w:marBottom w:val="0"/>
      <w:divBdr>
        <w:top w:val="none" w:sz="0" w:space="0" w:color="auto"/>
        <w:left w:val="none" w:sz="0" w:space="0" w:color="auto"/>
        <w:bottom w:val="none" w:sz="0" w:space="0" w:color="auto"/>
        <w:right w:val="none" w:sz="0" w:space="0" w:color="auto"/>
      </w:divBdr>
    </w:div>
    <w:div w:id="1501502664">
      <w:bodyDiv w:val="1"/>
      <w:marLeft w:val="0"/>
      <w:marRight w:val="0"/>
      <w:marTop w:val="0"/>
      <w:marBottom w:val="0"/>
      <w:divBdr>
        <w:top w:val="none" w:sz="0" w:space="0" w:color="auto"/>
        <w:left w:val="none" w:sz="0" w:space="0" w:color="auto"/>
        <w:bottom w:val="none" w:sz="0" w:space="0" w:color="auto"/>
        <w:right w:val="none" w:sz="0" w:space="0" w:color="auto"/>
      </w:divBdr>
    </w:div>
    <w:div w:id="1501508285">
      <w:bodyDiv w:val="1"/>
      <w:marLeft w:val="0"/>
      <w:marRight w:val="0"/>
      <w:marTop w:val="0"/>
      <w:marBottom w:val="0"/>
      <w:divBdr>
        <w:top w:val="none" w:sz="0" w:space="0" w:color="auto"/>
        <w:left w:val="none" w:sz="0" w:space="0" w:color="auto"/>
        <w:bottom w:val="none" w:sz="0" w:space="0" w:color="auto"/>
        <w:right w:val="none" w:sz="0" w:space="0" w:color="auto"/>
      </w:divBdr>
    </w:div>
    <w:div w:id="1501580103">
      <w:bodyDiv w:val="1"/>
      <w:marLeft w:val="0"/>
      <w:marRight w:val="0"/>
      <w:marTop w:val="0"/>
      <w:marBottom w:val="0"/>
      <w:divBdr>
        <w:top w:val="none" w:sz="0" w:space="0" w:color="auto"/>
        <w:left w:val="none" w:sz="0" w:space="0" w:color="auto"/>
        <w:bottom w:val="none" w:sz="0" w:space="0" w:color="auto"/>
        <w:right w:val="none" w:sz="0" w:space="0" w:color="auto"/>
      </w:divBdr>
    </w:div>
    <w:div w:id="1502042636">
      <w:bodyDiv w:val="1"/>
      <w:marLeft w:val="0"/>
      <w:marRight w:val="0"/>
      <w:marTop w:val="0"/>
      <w:marBottom w:val="0"/>
      <w:divBdr>
        <w:top w:val="none" w:sz="0" w:space="0" w:color="auto"/>
        <w:left w:val="none" w:sz="0" w:space="0" w:color="auto"/>
        <w:bottom w:val="none" w:sz="0" w:space="0" w:color="auto"/>
        <w:right w:val="none" w:sz="0" w:space="0" w:color="auto"/>
      </w:divBdr>
    </w:div>
    <w:div w:id="1502087690">
      <w:bodyDiv w:val="1"/>
      <w:marLeft w:val="0"/>
      <w:marRight w:val="0"/>
      <w:marTop w:val="0"/>
      <w:marBottom w:val="0"/>
      <w:divBdr>
        <w:top w:val="none" w:sz="0" w:space="0" w:color="auto"/>
        <w:left w:val="none" w:sz="0" w:space="0" w:color="auto"/>
        <w:bottom w:val="none" w:sz="0" w:space="0" w:color="auto"/>
        <w:right w:val="none" w:sz="0" w:space="0" w:color="auto"/>
      </w:divBdr>
    </w:div>
    <w:div w:id="1502157233">
      <w:bodyDiv w:val="1"/>
      <w:marLeft w:val="0"/>
      <w:marRight w:val="0"/>
      <w:marTop w:val="0"/>
      <w:marBottom w:val="0"/>
      <w:divBdr>
        <w:top w:val="none" w:sz="0" w:space="0" w:color="auto"/>
        <w:left w:val="none" w:sz="0" w:space="0" w:color="auto"/>
        <w:bottom w:val="none" w:sz="0" w:space="0" w:color="auto"/>
        <w:right w:val="none" w:sz="0" w:space="0" w:color="auto"/>
      </w:divBdr>
    </w:div>
    <w:div w:id="1502157272">
      <w:bodyDiv w:val="1"/>
      <w:marLeft w:val="0"/>
      <w:marRight w:val="0"/>
      <w:marTop w:val="0"/>
      <w:marBottom w:val="0"/>
      <w:divBdr>
        <w:top w:val="none" w:sz="0" w:space="0" w:color="auto"/>
        <w:left w:val="none" w:sz="0" w:space="0" w:color="auto"/>
        <w:bottom w:val="none" w:sz="0" w:space="0" w:color="auto"/>
        <w:right w:val="none" w:sz="0" w:space="0" w:color="auto"/>
      </w:divBdr>
    </w:div>
    <w:div w:id="1502236064">
      <w:bodyDiv w:val="1"/>
      <w:marLeft w:val="0"/>
      <w:marRight w:val="0"/>
      <w:marTop w:val="0"/>
      <w:marBottom w:val="0"/>
      <w:divBdr>
        <w:top w:val="none" w:sz="0" w:space="0" w:color="auto"/>
        <w:left w:val="none" w:sz="0" w:space="0" w:color="auto"/>
        <w:bottom w:val="none" w:sz="0" w:space="0" w:color="auto"/>
        <w:right w:val="none" w:sz="0" w:space="0" w:color="auto"/>
      </w:divBdr>
    </w:div>
    <w:div w:id="1502237995">
      <w:bodyDiv w:val="1"/>
      <w:marLeft w:val="0"/>
      <w:marRight w:val="0"/>
      <w:marTop w:val="0"/>
      <w:marBottom w:val="0"/>
      <w:divBdr>
        <w:top w:val="none" w:sz="0" w:space="0" w:color="auto"/>
        <w:left w:val="none" w:sz="0" w:space="0" w:color="auto"/>
        <w:bottom w:val="none" w:sz="0" w:space="0" w:color="auto"/>
        <w:right w:val="none" w:sz="0" w:space="0" w:color="auto"/>
      </w:divBdr>
    </w:div>
    <w:div w:id="1502239351">
      <w:bodyDiv w:val="1"/>
      <w:marLeft w:val="0"/>
      <w:marRight w:val="0"/>
      <w:marTop w:val="0"/>
      <w:marBottom w:val="0"/>
      <w:divBdr>
        <w:top w:val="none" w:sz="0" w:space="0" w:color="auto"/>
        <w:left w:val="none" w:sz="0" w:space="0" w:color="auto"/>
        <w:bottom w:val="none" w:sz="0" w:space="0" w:color="auto"/>
        <w:right w:val="none" w:sz="0" w:space="0" w:color="auto"/>
      </w:divBdr>
    </w:div>
    <w:div w:id="1502309147">
      <w:bodyDiv w:val="1"/>
      <w:marLeft w:val="0"/>
      <w:marRight w:val="0"/>
      <w:marTop w:val="0"/>
      <w:marBottom w:val="0"/>
      <w:divBdr>
        <w:top w:val="none" w:sz="0" w:space="0" w:color="auto"/>
        <w:left w:val="none" w:sz="0" w:space="0" w:color="auto"/>
        <w:bottom w:val="none" w:sz="0" w:space="0" w:color="auto"/>
        <w:right w:val="none" w:sz="0" w:space="0" w:color="auto"/>
      </w:divBdr>
    </w:div>
    <w:div w:id="1502313085">
      <w:bodyDiv w:val="1"/>
      <w:marLeft w:val="0"/>
      <w:marRight w:val="0"/>
      <w:marTop w:val="0"/>
      <w:marBottom w:val="0"/>
      <w:divBdr>
        <w:top w:val="none" w:sz="0" w:space="0" w:color="auto"/>
        <w:left w:val="none" w:sz="0" w:space="0" w:color="auto"/>
        <w:bottom w:val="none" w:sz="0" w:space="0" w:color="auto"/>
        <w:right w:val="none" w:sz="0" w:space="0" w:color="auto"/>
      </w:divBdr>
    </w:div>
    <w:div w:id="1502313862">
      <w:bodyDiv w:val="1"/>
      <w:marLeft w:val="0"/>
      <w:marRight w:val="0"/>
      <w:marTop w:val="0"/>
      <w:marBottom w:val="0"/>
      <w:divBdr>
        <w:top w:val="none" w:sz="0" w:space="0" w:color="auto"/>
        <w:left w:val="none" w:sz="0" w:space="0" w:color="auto"/>
        <w:bottom w:val="none" w:sz="0" w:space="0" w:color="auto"/>
        <w:right w:val="none" w:sz="0" w:space="0" w:color="auto"/>
      </w:divBdr>
    </w:div>
    <w:div w:id="1502428657">
      <w:bodyDiv w:val="1"/>
      <w:marLeft w:val="0"/>
      <w:marRight w:val="0"/>
      <w:marTop w:val="0"/>
      <w:marBottom w:val="0"/>
      <w:divBdr>
        <w:top w:val="none" w:sz="0" w:space="0" w:color="auto"/>
        <w:left w:val="none" w:sz="0" w:space="0" w:color="auto"/>
        <w:bottom w:val="none" w:sz="0" w:space="0" w:color="auto"/>
        <w:right w:val="none" w:sz="0" w:space="0" w:color="auto"/>
      </w:divBdr>
    </w:div>
    <w:div w:id="1502509045">
      <w:bodyDiv w:val="1"/>
      <w:marLeft w:val="0"/>
      <w:marRight w:val="0"/>
      <w:marTop w:val="0"/>
      <w:marBottom w:val="0"/>
      <w:divBdr>
        <w:top w:val="none" w:sz="0" w:space="0" w:color="auto"/>
        <w:left w:val="none" w:sz="0" w:space="0" w:color="auto"/>
        <w:bottom w:val="none" w:sz="0" w:space="0" w:color="auto"/>
        <w:right w:val="none" w:sz="0" w:space="0" w:color="auto"/>
      </w:divBdr>
    </w:div>
    <w:div w:id="1502545681">
      <w:bodyDiv w:val="1"/>
      <w:marLeft w:val="0"/>
      <w:marRight w:val="0"/>
      <w:marTop w:val="0"/>
      <w:marBottom w:val="0"/>
      <w:divBdr>
        <w:top w:val="none" w:sz="0" w:space="0" w:color="auto"/>
        <w:left w:val="none" w:sz="0" w:space="0" w:color="auto"/>
        <w:bottom w:val="none" w:sz="0" w:space="0" w:color="auto"/>
        <w:right w:val="none" w:sz="0" w:space="0" w:color="auto"/>
      </w:divBdr>
    </w:div>
    <w:div w:id="1502575515">
      <w:bodyDiv w:val="1"/>
      <w:marLeft w:val="0"/>
      <w:marRight w:val="0"/>
      <w:marTop w:val="0"/>
      <w:marBottom w:val="0"/>
      <w:divBdr>
        <w:top w:val="none" w:sz="0" w:space="0" w:color="auto"/>
        <w:left w:val="none" w:sz="0" w:space="0" w:color="auto"/>
        <w:bottom w:val="none" w:sz="0" w:space="0" w:color="auto"/>
        <w:right w:val="none" w:sz="0" w:space="0" w:color="auto"/>
      </w:divBdr>
    </w:div>
    <w:div w:id="1502626546">
      <w:bodyDiv w:val="1"/>
      <w:marLeft w:val="0"/>
      <w:marRight w:val="0"/>
      <w:marTop w:val="0"/>
      <w:marBottom w:val="0"/>
      <w:divBdr>
        <w:top w:val="none" w:sz="0" w:space="0" w:color="auto"/>
        <w:left w:val="none" w:sz="0" w:space="0" w:color="auto"/>
        <w:bottom w:val="none" w:sz="0" w:space="0" w:color="auto"/>
        <w:right w:val="none" w:sz="0" w:space="0" w:color="auto"/>
      </w:divBdr>
    </w:div>
    <w:div w:id="1502697966">
      <w:bodyDiv w:val="1"/>
      <w:marLeft w:val="0"/>
      <w:marRight w:val="0"/>
      <w:marTop w:val="0"/>
      <w:marBottom w:val="0"/>
      <w:divBdr>
        <w:top w:val="none" w:sz="0" w:space="0" w:color="auto"/>
        <w:left w:val="none" w:sz="0" w:space="0" w:color="auto"/>
        <w:bottom w:val="none" w:sz="0" w:space="0" w:color="auto"/>
        <w:right w:val="none" w:sz="0" w:space="0" w:color="auto"/>
      </w:divBdr>
    </w:div>
    <w:div w:id="1502699338">
      <w:bodyDiv w:val="1"/>
      <w:marLeft w:val="0"/>
      <w:marRight w:val="0"/>
      <w:marTop w:val="0"/>
      <w:marBottom w:val="0"/>
      <w:divBdr>
        <w:top w:val="none" w:sz="0" w:space="0" w:color="auto"/>
        <w:left w:val="none" w:sz="0" w:space="0" w:color="auto"/>
        <w:bottom w:val="none" w:sz="0" w:space="0" w:color="auto"/>
        <w:right w:val="none" w:sz="0" w:space="0" w:color="auto"/>
      </w:divBdr>
    </w:div>
    <w:div w:id="1502769185">
      <w:bodyDiv w:val="1"/>
      <w:marLeft w:val="0"/>
      <w:marRight w:val="0"/>
      <w:marTop w:val="0"/>
      <w:marBottom w:val="0"/>
      <w:divBdr>
        <w:top w:val="none" w:sz="0" w:space="0" w:color="auto"/>
        <w:left w:val="none" w:sz="0" w:space="0" w:color="auto"/>
        <w:bottom w:val="none" w:sz="0" w:space="0" w:color="auto"/>
        <w:right w:val="none" w:sz="0" w:space="0" w:color="auto"/>
      </w:divBdr>
    </w:div>
    <w:div w:id="1502886366">
      <w:bodyDiv w:val="1"/>
      <w:marLeft w:val="0"/>
      <w:marRight w:val="0"/>
      <w:marTop w:val="0"/>
      <w:marBottom w:val="0"/>
      <w:divBdr>
        <w:top w:val="none" w:sz="0" w:space="0" w:color="auto"/>
        <w:left w:val="none" w:sz="0" w:space="0" w:color="auto"/>
        <w:bottom w:val="none" w:sz="0" w:space="0" w:color="auto"/>
        <w:right w:val="none" w:sz="0" w:space="0" w:color="auto"/>
      </w:divBdr>
    </w:div>
    <w:div w:id="1503005302">
      <w:bodyDiv w:val="1"/>
      <w:marLeft w:val="0"/>
      <w:marRight w:val="0"/>
      <w:marTop w:val="0"/>
      <w:marBottom w:val="0"/>
      <w:divBdr>
        <w:top w:val="none" w:sz="0" w:space="0" w:color="auto"/>
        <w:left w:val="none" w:sz="0" w:space="0" w:color="auto"/>
        <w:bottom w:val="none" w:sz="0" w:space="0" w:color="auto"/>
        <w:right w:val="none" w:sz="0" w:space="0" w:color="auto"/>
      </w:divBdr>
    </w:div>
    <w:div w:id="1503079880">
      <w:bodyDiv w:val="1"/>
      <w:marLeft w:val="0"/>
      <w:marRight w:val="0"/>
      <w:marTop w:val="0"/>
      <w:marBottom w:val="0"/>
      <w:divBdr>
        <w:top w:val="none" w:sz="0" w:space="0" w:color="auto"/>
        <w:left w:val="none" w:sz="0" w:space="0" w:color="auto"/>
        <w:bottom w:val="none" w:sz="0" w:space="0" w:color="auto"/>
        <w:right w:val="none" w:sz="0" w:space="0" w:color="auto"/>
      </w:divBdr>
    </w:div>
    <w:div w:id="1503155485">
      <w:bodyDiv w:val="1"/>
      <w:marLeft w:val="0"/>
      <w:marRight w:val="0"/>
      <w:marTop w:val="0"/>
      <w:marBottom w:val="0"/>
      <w:divBdr>
        <w:top w:val="none" w:sz="0" w:space="0" w:color="auto"/>
        <w:left w:val="none" w:sz="0" w:space="0" w:color="auto"/>
        <w:bottom w:val="none" w:sz="0" w:space="0" w:color="auto"/>
        <w:right w:val="none" w:sz="0" w:space="0" w:color="auto"/>
      </w:divBdr>
    </w:div>
    <w:div w:id="1503156044">
      <w:bodyDiv w:val="1"/>
      <w:marLeft w:val="0"/>
      <w:marRight w:val="0"/>
      <w:marTop w:val="0"/>
      <w:marBottom w:val="0"/>
      <w:divBdr>
        <w:top w:val="none" w:sz="0" w:space="0" w:color="auto"/>
        <w:left w:val="none" w:sz="0" w:space="0" w:color="auto"/>
        <w:bottom w:val="none" w:sz="0" w:space="0" w:color="auto"/>
        <w:right w:val="none" w:sz="0" w:space="0" w:color="auto"/>
      </w:divBdr>
    </w:div>
    <w:div w:id="1503278082">
      <w:bodyDiv w:val="1"/>
      <w:marLeft w:val="0"/>
      <w:marRight w:val="0"/>
      <w:marTop w:val="0"/>
      <w:marBottom w:val="0"/>
      <w:divBdr>
        <w:top w:val="none" w:sz="0" w:space="0" w:color="auto"/>
        <w:left w:val="none" w:sz="0" w:space="0" w:color="auto"/>
        <w:bottom w:val="none" w:sz="0" w:space="0" w:color="auto"/>
        <w:right w:val="none" w:sz="0" w:space="0" w:color="auto"/>
      </w:divBdr>
    </w:div>
    <w:div w:id="1503348971">
      <w:bodyDiv w:val="1"/>
      <w:marLeft w:val="0"/>
      <w:marRight w:val="0"/>
      <w:marTop w:val="0"/>
      <w:marBottom w:val="0"/>
      <w:divBdr>
        <w:top w:val="none" w:sz="0" w:space="0" w:color="auto"/>
        <w:left w:val="none" w:sz="0" w:space="0" w:color="auto"/>
        <w:bottom w:val="none" w:sz="0" w:space="0" w:color="auto"/>
        <w:right w:val="none" w:sz="0" w:space="0" w:color="auto"/>
      </w:divBdr>
    </w:div>
    <w:div w:id="1503353815">
      <w:bodyDiv w:val="1"/>
      <w:marLeft w:val="0"/>
      <w:marRight w:val="0"/>
      <w:marTop w:val="0"/>
      <w:marBottom w:val="0"/>
      <w:divBdr>
        <w:top w:val="none" w:sz="0" w:space="0" w:color="auto"/>
        <w:left w:val="none" w:sz="0" w:space="0" w:color="auto"/>
        <w:bottom w:val="none" w:sz="0" w:space="0" w:color="auto"/>
        <w:right w:val="none" w:sz="0" w:space="0" w:color="auto"/>
      </w:divBdr>
    </w:div>
    <w:div w:id="1503469781">
      <w:bodyDiv w:val="1"/>
      <w:marLeft w:val="0"/>
      <w:marRight w:val="0"/>
      <w:marTop w:val="0"/>
      <w:marBottom w:val="0"/>
      <w:divBdr>
        <w:top w:val="none" w:sz="0" w:space="0" w:color="auto"/>
        <w:left w:val="none" w:sz="0" w:space="0" w:color="auto"/>
        <w:bottom w:val="none" w:sz="0" w:space="0" w:color="auto"/>
        <w:right w:val="none" w:sz="0" w:space="0" w:color="auto"/>
      </w:divBdr>
    </w:div>
    <w:div w:id="1503543345">
      <w:bodyDiv w:val="1"/>
      <w:marLeft w:val="0"/>
      <w:marRight w:val="0"/>
      <w:marTop w:val="0"/>
      <w:marBottom w:val="0"/>
      <w:divBdr>
        <w:top w:val="none" w:sz="0" w:space="0" w:color="auto"/>
        <w:left w:val="none" w:sz="0" w:space="0" w:color="auto"/>
        <w:bottom w:val="none" w:sz="0" w:space="0" w:color="auto"/>
        <w:right w:val="none" w:sz="0" w:space="0" w:color="auto"/>
      </w:divBdr>
    </w:div>
    <w:div w:id="1503544302">
      <w:bodyDiv w:val="1"/>
      <w:marLeft w:val="0"/>
      <w:marRight w:val="0"/>
      <w:marTop w:val="0"/>
      <w:marBottom w:val="0"/>
      <w:divBdr>
        <w:top w:val="none" w:sz="0" w:space="0" w:color="auto"/>
        <w:left w:val="none" w:sz="0" w:space="0" w:color="auto"/>
        <w:bottom w:val="none" w:sz="0" w:space="0" w:color="auto"/>
        <w:right w:val="none" w:sz="0" w:space="0" w:color="auto"/>
      </w:divBdr>
    </w:div>
    <w:div w:id="1503622693">
      <w:bodyDiv w:val="1"/>
      <w:marLeft w:val="0"/>
      <w:marRight w:val="0"/>
      <w:marTop w:val="0"/>
      <w:marBottom w:val="0"/>
      <w:divBdr>
        <w:top w:val="none" w:sz="0" w:space="0" w:color="auto"/>
        <w:left w:val="none" w:sz="0" w:space="0" w:color="auto"/>
        <w:bottom w:val="none" w:sz="0" w:space="0" w:color="auto"/>
        <w:right w:val="none" w:sz="0" w:space="0" w:color="auto"/>
      </w:divBdr>
    </w:div>
    <w:div w:id="1503933816">
      <w:bodyDiv w:val="1"/>
      <w:marLeft w:val="0"/>
      <w:marRight w:val="0"/>
      <w:marTop w:val="0"/>
      <w:marBottom w:val="0"/>
      <w:divBdr>
        <w:top w:val="none" w:sz="0" w:space="0" w:color="auto"/>
        <w:left w:val="none" w:sz="0" w:space="0" w:color="auto"/>
        <w:bottom w:val="none" w:sz="0" w:space="0" w:color="auto"/>
        <w:right w:val="none" w:sz="0" w:space="0" w:color="auto"/>
      </w:divBdr>
    </w:div>
    <w:div w:id="1504275510">
      <w:bodyDiv w:val="1"/>
      <w:marLeft w:val="0"/>
      <w:marRight w:val="0"/>
      <w:marTop w:val="0"/>
      <w:marBottom w:val="0"/>
      <w:divBdr>
        <w:top w:val="none" w:sz="0" w:space="0" w:color="auto"/>
        <w:left w:val="none" w:sz="0" w:space="0" w:color="auto"/>
        <w:bottom w:val="none" w:sz="0" w:space="0" w:color="auto"/>
        <w:right w:val="none" w:sz="0" w:space="0" w:color="auto"/>
      </w:divBdr>
    </w:div>
    <w:div w:id="1504510249">
      <w:bodyDiv w:val="1"/>
      <w:marLeft w:val="0"/>
      <w:marRight w:val="0"/>
      <w:marTop w:val="0"/>
      <w:marBottom w:val="0"/>
      <w:divBdr>
        <w:top w:val="none" w:sz="0" w:space="0" w:color="auto"/>
        <w:left w:val="none" w:sz="0" w:space="0" w:color="auto"/>
        <w:bottom w:val="none" w:sz="0" w:space="0" w:color="auto"/>
        <w:right w:val="none" w:sz="0" w:space="0" w:color="auto"/>
      </w:divBdr>
    </w:div>
    <w:div w:id="1504707198">
      <w:bodyDiv w:val="1"/>
      <w:marLeft w:val="0"/>
      <w:marRight w:val="0"/>
      <w:marTop w:val="0"/>
      <w:marBottom w:val="0"/>
      <w:divBdr>
        <w:top w:val="none" w:sz="0" w:space="0" w:color="auto"/>
        <w:left w:val="none" w:sz="0" w:space="0" w:color="auto"/>
        <w:bottom w:val="none" w:sz="0" w:space="0" w:color="auto"/>
        <w:right w:val="none" w:sz="0" w:space="0" w:color="auto"/>
      </w:divBdr>
    </w:div>
    <w:div w:id="1504710805">
      <w:bodyDiv w:val="1"/>
      <w:marLeft w:val="0"/>
      <w:marRight w:val="0"/>
      <w:marTop w:val="0"/>
      <w:marBottom w:val="0"/>
      <w:divBdr>
        <w:top w:val="none" w:sz="0" w:space="0" w:color="auto"/>
        <w:left w:val="none" w:sz="0" w:space="0" w:color="auto"/>
        <w:bottom w:val="none" w:sz="0" w:space="0" w:color="auto"/>
        <w:right w:val="none" w:sz="0" w:space="0" w:color="auto"/>
      </w:divBdr>
    </w:div>
    <w:div w:id="1504781593">
      <w:bodyDiv w:val="1"/>
      <w:marLeft w:val="0"/>
      <w:marRight w:val="0"/>
      <w:marTop w:val="0"/>
      <w:marBottom w:val="0"/>
      <w:divBdr>
        <w:top w:val="none" w:sz="0" w:space="0" w:color="auto"/>
        <w:left w:val="none" w:sz="0" w:space="0" w:color="auto"/>
        <w:bottom w:val="none" w:sz="0" w:space="0" w:color="auto"/>
        <w:right w:val="none" w:sz="0" w:space="0" w:color="auto"/>
      </w:divBdr>
    </w:div>
    <w:div w:id="1504782491">
      <w:bodyDiv w:val="1"/>
      <w:marLeft w:val="0"/>
      <w:marRight w:val="0"/>
      <w:marTop w:val="0"/>
      <w:marBottom w:val="0"/>
      <w:divBdr>
        <w:top w:val="none" w:sz="0" w:space="0" w:color="auto"/>
        <w:left w:val="none" w:sz="0" w:space="0" w:color="auto"/>
        <w:bottom w:val="none" w:sz="0" w:space="0" w:color="auto"/>
        <w:right w:val="none" w:sz="0" w:space="0" w:color="auto"/>
      </w:divBdr>
    </w:div>
    <w:div w:id="1505167380">
      <w:bodyDiv w:val="1"/>
      <w:marLeft w:val="0"/>
      <w:marRight w:val="0"/>
      <w:marTop w:val="0"/>
      <w:marBottom w:val="0"/>
      <w:divBdr>
        <w:top w:val="none" w:sz="0" w:space="0" w:color="auto"/>
        <w:left w:val="none" w:sz="0" w:space="0" w:color="auto"/>
        <w:bottom w:val="none" w:sz="0" w:space="0" w:color="auto"/>
        <w:right w:val="none" w:sz="0" w:space="0" w:color="auto"/>
      </w:divBdr>
    </w:div>
    <w:div w:id="1505317532">
      <w:bodyDiv w:val="1"/>
      <w:marLeft w:val="0"/>
      <w:marRight w:val="0"/>
      <w:marTop w:val="0"/>
      <w:marBottom w:val="0"/>
      <w:divBdr>
        <w:top w:val="none" w:sz="0" w:space="0" w:color="auto"/>
        <w:left w:val="none" w:sz="0" w:space="0" w:color="auto"/>
        <w:bottom w:val="none" w:sz="0" w:space="0" w:color="auto"/>
        <w:right w:val="none" w:sz="0" w:space="0" w:color="auto"/>
      </w:divBdr>
    </w:div>
    <w:div w:id="1505434016">
      <w:bodyDiv w:val="1"/>
      <w:marLeft w:val="0"/>
      <w:marRight w:val="0"/>
      <w:marTop w:val="0"/>
      <w:marBottom w:val="0"/>
      <w:divBdr>
        <w:top w:val="none" w:sz="0" w:space="0" w:color="auto"/>
        <w:left w:val="none" w:sz="0" w:space="0" w:color="auto"/>
        <w:bottom w:val="none" w:sz="0" w:space="0" w:color="auto"/>
        <w:right w:val="none" w:sz="0" w:space="0" w:color="auto"/>
      </w:divBdr>
    </w:div>
    <w:div w:id="1505439602">
      <w:bodyDiv w:val="1"/>
      <w:marLeft w:val="0"/>
      <w:marRight w:val="0"/>
      <w:marTop w:val="0"/>
      <w:marBottom w:val="0"/>
      <w:divBdr>
        <w:top w:val="none" w:sz="0" w:space="0" w:color="auto"/>
        <w:left w:val="none" w:sz="0" w:space="0" w:color="auto"/>
        <w:bottom w:val="none" w:sz="0" w:space="0" w:color="auto"/>
        <w:right w:val="none" w:sz="0" w:space="0" w:color="auto"/>
      </w:divBdr>
    </w:div>
    <w:div w:id="1505782875">
      <w:bodyDiv w:val="1"/>
      <w:marLeft w:val="0"/>
      <w:marRight w:val="0"/>
      <w:marTop w:val="0"/>
      <w:marBottom w:val="0"/>
      <w:divBdr>
        <w:top w:val="none" w:sz="0" w:space="0" w:color="auto"/>
        <w:left w:val="none" w:sz="0" w:space="0" w:color="auto"/>
        <w:bottom w:val="none" w:sz="0" w:space="0" w:color="auto"/>
        <w:right w:val="none" w:sz="0" w:space="0" w:color="auto"/>
      </w:divBdr>
    </w:div>
    <w:div w:id="1505826998">
      <w:bodyDiv w:val="1"/>
      <w:marLeft w:val="0"/>
      <w:marRight w:val="0"/>
      <w:marTop w:val="0"/>
      <w:marBottom w:val="0"/>
      <w:divBdr>
        <w:top w:val="none" w:sz="0" w:space="0" w:color="auto"/>
        <w:left w:val="none" w:sz="0" w:space="0" w:color="auto"/>
        <w:bottom w:val="none" w:sz="0" w:space="0" w:color="auto"/>
        <w:right w:val="none" w:sz="0" w:space="0" w:color="auto"/>
      </w:divBdr>
    </w:div>
    <w:div w:id="1506048971">
      <w:bodyDiv w:val="1"/>
      <w:marLeft w:val="0"/>
      <w:marRight w:val="0"/>
      <w:marTop w:val="0"/>
      <w:marBottom w:val="0"/>
      <w:divBdr>
        <w:top w:val="none" w:sz="0" w:space="0" w:color="auto"/>
        <w:left w:val="none" w:sz="0" w:space="0" w:color="auto"/>
        <w:bottom w:val="none" w:sz="0" w:space="0" w:color="auto"/>
        <w:right w:val="none" w:sz="0" w:space="0" w:color="auto"/>
      </w:divBdr>
    </w:div>
    <w:div w:id="1506087427">
      <w:bodyDiv w:val="1"/>
      <w:marLeft w:val="0"/>
      <w:marRight w:val="0"/>
      <w:marTop w:val="0"/>
      <w:marBottom w:val="0"/>
      <w:divBdr>
        <w:top w:val="none" w:sz="0" w:space="0" w:color="auto"/>
        <w:left w:val="none" w:sz="0" w:space="0" w:color="auto"/>
        <w:bottom w:val="none" w:sz="0" w:space="0" w:color="auto"/>
        <w:right w:val="none" w:sz="0" w:space="0" w:color="auto"/>
      </w:divBdr>
    </w:div>
    <w:div w:id="1506286724">
      <w:bodyDiv w:val="1"/>
      <w:marLeft w:val="0"/>
      <w:marRight w:val="0"/>
      <w:marTop w:val="0"/>
      <w:marBottom w:val="0"/>
      <w:divBdr>
        <w:top w:val="none" w:sz="0" w:space="0" w:color="auto"/>
        <w:left w:val="none" w:sz="0" w:space="0" w:color="auto"/>
        <w:bottom w:val="none" w:sz="0" w:space="0" w:color="auto"/>
        <w:right w:val="none" w:sz="0" w:space="0" w:color="auto"/>
      </w:divBdr>
    </w:div>
    <w:div w:id="1506363215">
      <w:bodyDiv w:val="1"/>
      <w:marLeft w:val="0"/>
      <w:marRight w:val="0"/>
      <w:marTop w:val="0"/>
      <w:marBottom w:val="0"/>
      <w:divBdr>
        <w:top w:val="none" w:sz="0" w:space="0" w:color="auto"/>
        <w:left w:val="none" w:sz="0" w:space="0" w:color="auto"/>
        <w:bottom w:val="none" w:sz="0" w:space="0" w:color="auto"/>
        <w:right w:val="none" w:sz="0" w:space="0" w:color="auto"/>
      </w:divBdr>
    </w:div>
    <w:div w:id="1506432480">
      <w:bodyDiv w:val="1"/>
      <w:marLeft w:val="0"/>
      <w:marRight w:val="0"/>
      <w:marTop w:val="0"/>
      <w:marBottom w:val="0"/>
      <w:divBdr>
        <w:top w:val="none" w:sz="0" w:space="0" w:color="auto"/>
        <w:left w:val="none" w:sz="0" w:space="0" w:color="auto"/>
        <w:bottom w:val="none" w:sz="0" w:space="0" w:color="auto"/>
        <w:right w:val="none" w:sz="0" w:space="0" w:color="auto"/>
      </w:divBdr>
    </w:div>
    <w:div w:id="1506437720">
      <w:bodyDiv w:val="1"/>
      <w:marLeft w:val="0"/>
      <w:marRight w:val="0"/>
      <w:marTop w:val="0"/>
      <w:marBottom w:val="0"/>
      <w:divBdr>
        <w:top w:val="none" w:sz="0" w:space="0" w:color="auto"/>
        <w:left w:val="none" w:sz="0" w:space="0" w:color="auto"/>
        <w:bottom w:val="none" w:sz="0" w:space="0" w:color="auto"/>
        <w:right w:val="none" w:sz="0" w:space="0" w:color="auto"/>
      </w:divBdr>
    </w:div>
    <w:div w:id="1506480928">
      <w:bodyDiv w:val="1"/>
      <w:marLeft w:val="0"/>
      <w:marRight w:val="0"/>
      <w:marTop w:val="0"/>
      <w:marBottom w:val="0"/>
      <w:divBdr>
        <w:top w:val="none" w:sz="0" w:space="0" w:color="auto"/>
        <w:left w:val="none" w:sz="0" w:space="0" w:color="auto"/>
        <w:bottom w:val="none" w:sz="0" w:space="0" w:color="auto"/>
        <w:right w:val="none" w:sz="0" w:space="0" w:color="auto"/>
      </w:divBdr>
    </w:div>
    <w:div w:id="1506551436">
      <w:bodyDiv w:val="1"/>
      <w:marLeft w:val="0"/>
      <w:marRight w:val="0"/>
      <w:marTop w:val="0"/>
      <w:marBottom w:val="0"/>
      <w:divBdr>
        <w:top w:val="none" w:sz="0" w:space="0" w:color="auto"/>
        <w:left w:val="none" w:sz="0" w:space="0" w:color="auto"/>
        <w:bottom w:val="none" w:sz="0" w:space="0" w:color="auto"/>
        <w:right w:val="none" w:sz="0" w:space="0" w:color="auto"/>
      </w:divBdr>
    </w:div>
    <w:div w:id="1506551938">
      <w:bodyDiv w:val="1"/>
      <w:marLeft w:val="0"/>
      <w:marRight w:val="0"/>
      <w:marTop w:val="0"/>
      <w:marBottom w:val="0"/>
      <w:divBdr>
        <w:top w:val="none" w:sz="0" w:space="0" w:color="auto"/>
        <w:left w:val="none" w:sz="0" w:space="0" w:color="auto"/>
        <w:bottom w:val="none" w:sz="0" w:space="0" w:color="auto"/>
        <w:right w:val="none" w:sz="0" w:space="0" w:color="auto"/>
      </w:divBdr>
    </w:div>
    <w:div w:id="1506750666">
      <w:bodyDiv w:val="1"/>
      <w:marLeft w:val="0"/>
      <w:marRight w:val="0"/>
      <w:marTop w:val="0"/>
      <w:marBottom w:val="0"/>
      <w:divBdr>
        <w:top w:val="none" w:sz="0" w:space="0" w:color="auto"/>
        <w:left w:val="none" w:sz="0" w:space="0" w:color="auto"/>
        <w:bottom w:val="none" w:sz="0" w:space="0" w:color="auto"/>
        <w:right w:val="none" w:sz="0" w:space="0" w:color="auto"/>
      </w:divBdr>
    </w:div>
    <w:div w:id="1506750908">
      <w:bodyDiv w:val="1"/>
      <w:marLeft w:val="0"/>
      <w:marRight w:val="0"/>
      <w:marTop w:val="0"/>
      <w:marBottom w:val="0"/>
      <w:divBdr>
        <w:top w:val="none" w:sz="0" w:space="0" w:color="auto"/>
        <w:left w:val="none" w:sz="0" w:space="0" w:color="auto"/>
        <w:bottom w:val="none" w:sz="0" w:space="0" w:color="auto"/>
        <w:right w:val="none" w:sz="0" w:space="0" w:color="auto"/>
      </w:divBdr>
    </w:div>
    <w:div w:id="1506895477">
      <w:bodyDiv w:val="1"/>
      <w:marLeft w:val="0"/>
      <w:marRight w:val="0"/>
      <w:marTop w:val="0"/>
      <w:marBottom w:val="0"/>
      <w:divBdr>
        <w:top w:val="none" w:sz="0" w:space="0" w:color="auto"/>
        <w:left w:val="none" w:sz="0" w:space="0" w:color="auto"/>
        <w:bottom w:val="none" w:sz="0" w:space="0" w:color="auto"/>
        <w:right w:val="none" w:sz="0" w:space="0" w:color="auto"/>
      </w:divBdr>
    </w:div>
    <w:div w:id="1507095040">
      <w:bodyDiv w:val="1"/>
      <w:marLeft w:val="0"/>
      <w:marRight w:val="0"/>
      <w:marTop w:val="0"/>
      <w:marBottom w:val="0"/>
      <w:divBdr>
        <w:top w:val="none" w:sz="0" w:space="0" w:color="auto"/>
        <w:left w:val="none" w:sz="0" w:space="0" w:color="auto"/>
        <w:bottom w:val="none" w:sz="0" w:space="0" w:color="auto"/>
        <w:right w:val="none" w:sz="0" w:space="0" w:color="auto"/>
      </w:divBdr>
    </w:div>
    <w:div w:id="1507205893">
      <w:bodyDiv w:val="1"/>
      <w:marLeft w:val="0"/>
      <w:marRight w:val="0"/>
      <w:marTop w:val="0"/>
      <w:marBottom w:val="0"/>
      <w:divBdr>
        <w:top w:val="none" w:sz="0" w:space="0" w:color="auto"/>
        <w:left w:val="none" w:sz="0" w:space="0" w:color="auto"/>
        <w:bottom w:val="none" w:sz="0" w:space="0" w:color="auto"/>
        <w:right w:val="none" w:sz="0" w:space="0" w:color="auto"/>
      </w:divBdr>
    </w:div>
    <w:div w:id="1507406316">
      <w:bodyDiv w:val="1"/>
      <w:marLeft w:val="0"/>
      <w:marRight w:val="0"/>
      <w:marTop w:val="0"/>
      <w:marBottom w:val="0"/>
      <w:divBdr>
        <w:top w:val="none" w:sz="0" w:space="0" w:color="auto"/>
        <w:left w:val="none" w:sz="0" w:space="0" w:color="auto"/>
        <w:bottom w:val="none" w:sz="0" w:space="0" w:color="auto"/>
        <w:right w:val="none" w:sz="0" w:space="0" w:color="auto"/>
      </w:divBdr>
    </w:div>
    <w:div w:id="1507476613">
      <w:bodyDiv w:val="1"/>
      <w:marLeft w:val="0"/>
      <w:marRight w:val="0"/>
      <w:marTop w:val="0"/>
      <w:marBottom w:val="0"/>
      <w:divBdr>
        <w:top w:val="none" w:sz="0" w:space="0" w:color="auto"/>
        <w:left w:val="none" w:sz="0" w:space="0" w:color="auto"/>
        <w:bottom w:val="none" w:sz="0" w:space="0" w:color="auto"/>
        <w:right w:val="none" w:sz="0" w:space="0" w:color="auto"/>
      </w:divBdr>
    </w:div>
    <w:div w:id="1507479893">
      <w:bodyDiv w:val="1"/>
      <w:marLeft w:val="0"/>
      <w:marRight w:val="0"/>
      <w:marTop w:val="0"/>
      <w:marBottom w:val="0"/>
      <w:divBdr>
        <w:top w:val="none" w:sz="0" w:space="0" w:color="auto"/>
        <w:left w:val="none" w:sz="0" w:space="0" w:color="auto"/>
        <w:bottom w:val="none" w:sz="0" w:space="0" w:color="auto"/>
        <w:right w:val="none" w:sz="0" w:space="0" w:color="auto"/>
      </w:divBdr>
    </w:div>
    <w:div w:id="1507595782">
      <w:bodyDiv w:val="1"/>
      <w:marLeft w:val="0"/>
      <w:marRight w:val="0"/>
      <w:marTop w:val="0"/>
      <w:marBottom w:val="0"/>
      <w:divBdr>
        <w:top w:val="none" w:sz="0" w:space="0" w:color="auto"/>
        <w:left w:val="none" w:sz="0" w:space="0" w:color="auto"/>
        <w:bottom w:val="none" w:sz="0" w:space="0" w:color="auto"/>
        <w:right w:val="none" w:sz="0" w:space="0" w:color="auto"/>
      </w:divBdr>
    </w:div>
    <w:div w:id="1507859863">
      <w:bodyDiv w:val="1"/>
      <w:marLeft w:val="0"/>
      <w:marRight w:val="0"/>
      <w:marTop w:val="0"/>
      <w:marBottom w:val="0"/>
      <w:divBdr>
        <w:top w:val="none" w:sz="0" w:space="0" w:color="auto"/>
        <w:left w:val="none" w:sz="0" w:space="0" w:color="auto"/>
        <w:bottom w:val="none" w:sz="0" w:space="0" w:color="auto"/>
        <w:right w:val="none" w:sz="0" w:space="0" w:color="auto"/>
      </w:divBdr>
    </w:div>
    <w:div w:id="1507860850">
      <w:bodyDiv w:val="1"/>
      <w:marLeft w:val="0"/>
      <w:marRight w:val="0"/>
      <w:marTop w:val="0"/>
      <w:marBottom w:val="0"/>
      <w:divBdr>
        <w:top w:val="none" w:sz="0" w:space="0" w:color="auto"/>
        <w:left w:val="none" w:sz="0" w:space="0" w:color="auto"/>
        <w:bottom w:val="none" w:sz="0" w:space="0" w:color="auto"/>
        <w:right w:val="none" w:sz="0" w:space="0" w:color="auto"/>
      </w:divBdr>
    </w:div>
    <w:div w:id="1507861694">
      <w:bodyDiv w:val="1"/>
      <w:marLeft w:val="0"/>
      <w:marRight w:val="0"/>
      <w:marTop w:val="0"/>
      <w:marBottom w:val="0"/>
      <w:divBdr>
        <w:top w:val="none" w:sz="0" w:space="0" w:color="auto"/>
        <w:left w:val="none" w:sz="0" w:space="0" w:color="auto"/>
        <w:bottom w:val="none" w:sz="0" w:space="0" w:color="auto"/>
        <w:right w:val="none" w:sz="0" w:space="0" w:color="auto"/>
      </w:divBdr>
    </w:div>
    <w:div w:id="1508012519">
      <w:bodyDiv w:val="1"/>
      <w:marLeft w:val="0"/>
      <w:marRight w:val="0"/>
      <w:marTop w:val="0"/>
      <w:marBottom w:val="0"/>
      <w:divBdr>
        <w:top w:val="none" w:sz="0" w:space="0" w:color="auto"/>
        <w:left w:val="none" w:sz="0" w:space="0" w:color="auto"/>
        <w:bottom w:val="none" w:sz="0" w:space="0" w:color="auto"/>
        <w:right w:val="none" w:sz="0" w:space="0" w:color="auto"/>
      </w:divBdr>
    </w:div>
    <w:div w:id="1508251741">
      <w:bodyDiv w:val="1"/>
      <w:marLeft w:val="0"/>
      <w:marRight w:val="0"/>
      <w:marTop w:val="0"/>
      <w:marBottom w:val="0"/>
      <w:divBdr>
        <w:top w:val="none" w:sz="0" w:space="0" w:color="auto"/>
        <w:left w:val="none" w:sz="0" w:space="0" w:color="auto"/>
        <w:bottom w:val="none" w:sz="0" w:space="0" w:color="auto"/>
        <w:right w:val="none" w:sz="0" w:space="0" w:color="auto"/>
      </w:divBdr>
    </w:div>
    <w:div w:id="1508327780">
      <w:bodyDiv w:val="1"/>
      <w:marLeft w:val="0"/>
      <w:marRight w:val="0"/>
      <w:marTop w:val="0"/>
      <w:marBottom w:val="0"/>
      <w:divBdr>
        <w:top w:val="none" w:sz="0" w:space="0" w:color="auto"/>
        <w:left w:val="none" w:sz="0" w:space="0" w:color="auto"/>
        <w:bottom w:val="none" w:sz="0" w:space="0" w:color="auto"/>
        <w:right w:val="none" w:sz="0" w:space="0" w:color="auto"/>
      </w:divBdr>
    </w:div>
    <w:div w:id="1508443641">
      <w:bodyDiv w:val="1"/>
      <w:marLeft w:val="0"/>
      <w:marRight w:val="0"/>
      <w:marTop w:val="0"/>
      <w:marBottom w:val="0"/>
      <w:divBdr>
        <w:top w:val="none" w:sz="0" w:space="0" w:color="auto"/>
        <w:left w:val="none" w:sz="0" w:space="0" w:color="auto"/>
        <w:bottom w:val="none" w:sz="0" w:space="0" w:color="auto"/>
        <w:right w:val="none" w:sz="0" w:space="0" w:color="auto"/>
      </w:divBdr>
    </w:div>
    <w:div w:id="1508516363">
      <w:bodyDiv w:val="1"/>
      <w:marLeft w:val="0"/>
      <w:marRight w:val="0"/>
      <w:marTop w:val="0"/>
      <w:marBottom w:val="0"/>
      <w:divBdr>
        <w:top w:val="none" w:sz="0" w:space="0" w:color="auto"/>
        <w:left w:val="none" w:sz="0" w:space="0" w:color="auto"/>
        <w:bottom w:val="none" w:sz="0" w:space="0" w:color="auto"/>
        <w:right w:val="none" w:sz="0" w:space="0" w:color="auto"/>
      </w:divBdr>
    </w:div>
    <w:div w:id="1508522788">
      <w:bodyDiv w:val="1"/>
      <w:marLeft w:val="0"/>
      <w:marRight w:val="0"/>
      <w:marTop w:val="0"/>
      <w:marBottom w:val="0"/>
      <w:divBdr>
        <w:top w:val="none" w:sz="0" w:space="0" w:color="auto"/>
        <w:left w:val="none" w:sz="0" w:space="0" w:color="auto"/>
        <w:bottom w:val="none" w:sz="0" w:space="0" w:color="auto"/>
        <w:right w:val="none" w:sz="0" w:space="0" w:color="auto"/>
      </w:divBdr>
    </w:div>
    <w:div w:id="1508783535">
      <w:bodyDiv w:val="1"/>
      <w:marLeft w:val="0"/>
      <w:marRight w:val="0"/>
      <w:marTop w:val="0"/>
      <w:marBottom w:val="0"/>
      <w:divBdr>
        <w:top w:val="none" w:sz="0" w:space="0" w:color="auto"/>
        <w:left w:val="none" w:sz="0" w:space="0" w:color="auto"/>
        <w:bottom w:val="none" w:sz="0" w:space="0" w:color="auto"/>
        <w:right w:val="none" w:sz="0" w:space="0" w:color="auto"/>
      </w:divBdr>
    </w:div>
    <w:div w:id="1508787096">
      <w:bodyDiv w:val="1"/>
      <w:marLeft w:val="0"/>
      <w:marRight w:val="0"/>
      <w:marTop w:val="0"/>
      <w:marBottom w:val="0"/>
      <w:divBdr>
        <w:top w:val="none" w:sz="0" w:space="0" w:color="auto"/>
        <w:left w:val="none" w:sz="0" w:space="0" w:color="auto"/>
        <w:bottom w:val="none" w:sz="0" w:space="0" w:color="auto"/>
        <w:right w:val="none" w:sz="0" w:space="0" w:color="auto"/>
      </w:divBdr>
    </w:div>
    <w:div w:id="1508787261">
      <w:bodyDiv w:val="1"/>
      <w:marLeft w:val="0"/>
      <w:marRight w:val="0"/>
      <w:marTop w:val="0"/>
      <w:marBottom w:val="0"/>
      <w:divBdr>
        <w:top w:val="none" w:sz="0" w:space="0" w:color="auto"/>
        <w:left w:val="none" w:sz="0" w:space="0" w:color="auto"/>
        <w:bottom w:val="none" w:sz="0" w:space="0" w:color="auto"/>
        <w:right w:val="none" w:sz="0" w:space="0" w:color="auto"/>
      </w:divBdr>
    </w:div>
    <w:div w:id="1508860811">
      <w:bodyDiv w:val="1"/>
      <w:marLeft w:val="0"/>
      <w:marRight w:val="0"/>
      <w:marTop w:val="0"/>
      <w:marBottom w:val="0"/>
      <w:divBdr>
        <w:top w:val="none" w:sz="0" w:space="0" w:color="auto"/>
        <w:left w:val="none" w:sz="0" w:space="0" w:color="auto"/>
        <w:bottom w:val="none" w:sz="0" w:space="0" w:color="auto"/>
        <w:right w:val="none" w:sz="0" w:space="0" w:color="auto"/>
      </w:divBdr>
    </w:div>
    <w:div w:id="1508864513">
      <w:bodyDiv w:val="1"/>
      <w:marLeft w:val="0"/>
      <w:marRight w:val="0"/>
      <w:marTop w:val="0"/>
      <w:marBottom w:val="0"/>
      <w:divBdr>
        <w:top w:val="none" w:sz="0" w:space="0" w:color="auto"/>
        <w:left w:val="none" w:sz="0" w:space="0" w:color="auto"/>
        <w:bottom w:val="none" w:sz="0" w:space="0" w:color="auto"/>
        <w:right w:val="none" w:sz="0" w:space="0" w:color="auto"/>
      </w:divBdr>
    </w:div>
    <w:div w:id="1508866955">
      <w:bodyDiv w:val="1"/>
      <w:marLeft w:val="0"/>
      <w:marRight w:val="0"/>
      <w:marTop w:val="0"/>
      <w:marBottom w:val="0"/>
      <w:divBdr>
        <w:top w:val="none" w:sz="0" w:space="0" w:color="auto"/>
        <w:left w:val="none" w:sz="0" w:space="0" w:color="auto"/>
        <w:bottom w:val="none" w:sz="0" w:space="0" w:color="auto"/>
        <w:right w:val="none" w:sz="0" w:space="0" w:color="auto"/>
      </w:divBdr>
    </w:div>
    <w:div w:id="1508902984">
      <w:bodyDiv w:val="1"/>
      <w:marLeft w:val="0"/>
      <w:marRight w:val="0"/>
      <w:marTop w:val="0"/>
      <w:marBottom w:val="0"/>
      <w:divBdr>
        <w:top w:val="none" w:sz="0" w:space="0" w:color="auto"/>
        <w:left w:val="none" w:sz="0" w:space="0" w:color="auto"/>
        <w:bottom w:val="none" w:sz="0" w:space="0" w:color="auto"/>
        <w:right w:val="none" w:sz="0" w:space="0" w:color="auto"/>
      </w:divBdr>
    </w:div>
    <w:div w:id="1508982381">
      <w:bodyDiv w:val="1"/>
      <w:marLeft w:val="0"/>
      <w:marRight w:val="0"/>
      <w:marTop w:val="0"/>
      <w:marBottom w:val="0"/>
      <w:divBdr>
        <w:top w:val="none" w:sz="0" w:space="0" w:color="auto"/>
        <w:left w:val="none" w:sz="0" w:space="0" w:color="auto"/>
        <w:bottom w:val="none" w:sz="0" w:space="0" w:color="auto"/>
        <w:right w:val="none" w:sz="0" w:space="0" w:color="auto"/>
      </w:divBdr>
    </w:div>
    <w:div w:id="1508985866">
      <w:bodyDiv w:val="1"/>
      <w:marLeft w:val="0"/>
      <w:marRight w:val="0"/>
      <w:marTop w:val="0"/>
      <w:marBottom w:val="0"/>
      <w:divBdr>
        <w:top w:val="none" w:sz="0" w:space="0" w:color="auto"/>
        <w:left w:val="none" w:sz="0" w:space="0" w:color="auto"/>
        <w:bottom w:val="none" w:sz="0" w:space="0" w:color="auto"/>
        <w:right w:val="none" w:sz="0" w:space="0" w:color="auto"/>
      </w:divBdr>
    </w:div>
    <w:div w:id="1508986451">
      <w:bodyDiv w:val="1"/>
      <w:marLeft w:val="0"/>
      <w:marRight w:val="0"/>
      <w:marTop w:val="0"/>
      <w:marBottom w:val="0"/>
      <w:divBdr>
        <w:top w:val="none" w:sz="0" w:space="0" w:color="auto"/>
        <w:left w:val="none" w:sz="0" w:space="0" w:color="auto"/>
        <w:bottom w:val="none" w:sz="0" w:space="0" w:color="auto"/>
        <w:right w:val="none" w:sz="0" w:space="0" w:color="auto"/>
      </w:divBdr>
    </w:div>
    <w:div w:id="1509098100">
      <w:bodyDiv w:val="1"/>
      <w:marLeft w:val="0"/>
      <w:marRight w:val="0"/>
      <w:marTop w:val="0"/>
      <w:marBottom w:val="0"/>
      <w:divBdr>
        <w:top w:val="none" w:sz="0" w:space="0" w:color="auto"/>
        <w:left w:val="none" w:sz="0" w:space="0" w:color="auto"/>
        <w:bottom w:val="none" w:sz="0" w:space="0" w:color="auto"/>
        <w:right w:val="none" w:sz="0" w:space="0" w:color="auto"/>
      </w:divBdr>
    </w:div>
    <w:div w:id="1509248066">
      <w:bodyDiv w:val="1"/>
      <w:marLeft w:val="0"/>
      <w:marRight w:val="0"/>
      <w:marTop w:val="0"/>
      <w:marBottom w:val="0"/>
      <w:divBdr>
        <w:top w:val="none" w:sz="0" w:space="0" w:color="auto"/>
        <w:left w:val="none" w:sz="0" w:space="0" w:color="auto"/>
        <w:bottom w:val="none" w:sz="0" w:space="0" w:color="auto"/>
        <w:right w:val="none" w:sz="0" w:space="0" w:color="auto"/>
      </w:divBdr>
    </w:div>
    <w:div w:id="1509442208">
      <w:bodyDiv w:val="1"/>
      <w:marLeft w:val="0"/>
      <w:marRight w:val="0"/>
      <w:marTop w:val="0"/>
      <w:marBottom w:val="0"/>
      <w:divBdr>
        <w:top w:val="none" w:sz="0" w:space="0" w:color="auto"/>
        <w:left w:val="none" w:sz="0" w:space="0" w:color="auto"/>
        <w:bottom w:val="none" w:sz="0" w:space="0" w:color="auto"/>
        <w:right w:val="none" w:sz="0" w:space="0" w:color="auto"/>
      </w:divBdr>
    </w:div>
    <w:div w:id="1509515747">
      <w:bodyDiv w:val="1"/>
      <w:marLeft w:val="0"/>
      <w:marRight w:val="0"/>
      <w:marTop w:val="0"/>
      <w:marBottom w:val="0"/>
      <w:divBdr>
        <w:top w:val="none" w:sz="0" w:space="0" w:color="auto"/>
        <w:left w:val="none" w:sz="0" w:space="0" w:color="auto"/>
        <w:bottom w:val="none" w:sz="0" w:space="0" w:color="auto"/>
        <w:right w:val="none" w:sz="0" w:space="0" w:color="auto"/>
      </w:divBdr>
    </w:div>
    <w:div w:id="1509518597">
      <w:bodyDiv w:val="1"/>
      <w:marLeft w:val="0"/>
      <w:marRight w:val="0"/>
      <w:marTop w:val="0"/>
      <w:marBottom w:val="0"/>
      <w:divBdr>
        <w:top w:val="none" w:sz="0" w:space="0" w:color="auto"/>
        <w:left w:val="none" w:sz="0" w:space="0" w:color="auto"/>
        <w:bottom w:val="none" w:sz="0" w:space="0" w:color="auto"/>
        <w:right w:val="none" w:sz="0" w:space="0" w:color="auto"/>
      </w:divBdr>
    </w:div>
    <w:div w:id="1509520839">
      <w:bodyDiv w:val="1"/>
      <w:marLeft w:val="0"/>
      <w:marRight w:val="0"/>
      <w:marTop w:val="0"/>
      <w:marBottom w:val="0"/>
      <w:divBdr>
        <w:top w:val="none" w:sz="0" w:space="0" w:color="auto"/>
        <w:left w:val="none" w:sz="0" w:space="0" w:color="auto"/>
        <w:bottom w:val="none" w:sz="0" w:space="0" w:color="auto"/>
        <w:right w:val="none" w:sz="0" w:space="0" w:color="auto"/>
      </w:divBdr>
    </w:div>
    <w:div w:id="1509557816">
      <w:bodyDiv w:val="1"/>
      <w:marLeft w:val="0"/>
      <w:marRight w:val="0"/>
      <w:marTop w:val="0"/>
      <w:marBottom w:val="0"/>
      <w:divBdr>
        <w:top w:val="none" w:sz="0" w:space="0" w:color="auto"/>
        <w:left w:val="none" w:sz="0" w:space="0" w:color="auto"/>
        <w:bottom w:val="none" w:sz="0" w:space="0" w:color="auto"/>
        <w:right w:val="none" w:sz="0" w:space="0" w:color="auto"/>
      </w:divBdr>
    </w:div>
    <w:div w:id="1509640363">
      <w:bodyDiv w:val="1"/>
      <w:marLeft w:val="0"/>
      <w:marRight w:val="0"/>
      <w:marTop w:val="0"/>
      <w:marBottom w:val="0"/>
      <w:divBdr>
        <w:top w:val="none" w:sz="0" w:space="0" w:color="auto"/>
        <w:left w:val="none" w:sz="0" w:space="0" w:color="auto"/>
        <w:bottom w:val="none" w:sz="0" w:space="0" w:color="auto"/>
        <w:right w:val="none" w:sz="0" w:space="0" w:color="auto"/>
      </w:divBdr>
    </w:div>
    <w:div w:id="1509830067">
      <w:bodyDiv w:val="1"/>
      <w:marLeft w:val="0"/>
      <w:marRight w:val="0"/>
      <w:marTop w:val="0"/>
      <w:marBottom w:val="0"/>
      <w:divBdr>
        <w:top w:val="none" w:sz="0" w:space="0" w:color="auto"/>
        <w:left w:val="none" w:sz="0" w:space="0" w:color="auto"/>
        <w:bottom w:val="none" w:sz="0" w:space="0" w:color="auto"/>
        <w:right w:val="none" w:sz="0" w:space="0" w:color="auto"/>
      </w:divBdr>
    </w:div>
    <w:div w:id="1510018989">
      <w:bodyDiv w:val="1"/>
      <w:marLeft w:val="0"/>
      <w:marRight w:val="0"/>
      <w:marTop w:val="0"/>
      <w:marBottom w:val="0"/>
      <w:divBdr>
        <w:top w:val="none" w:sz="0" w:space="0" w:color="auto"/>
        <w:left w:val="none" w:sz="0" w:space="0" w:color="auto"/>
        <w:bottom w:val="none" w:sz="0" w:space="0" w:color="auto"/>
        <w:right w:val="none" w:sz="0" w:space="0" w:color="auto"/>
      </w:divBdr>
    </w:div>
    <w:div w:id="1510022606">
      <w:bodyDiv w:val="1"/>
      <w:marLeft w:val="0"/>
      <w:marRight w:val="0"/>
      <w:marTop w:val="0"/>
      <w:marBottom w:val="0"/>
      <w:divBdr>
        <w:top w:val="none" w:sz="0" w:space="0" w:color="auto"/>
        <w:left w:val="none" w:sz="0" w:space="0" w:color="auto"/>
        <w:bottom w:val="none" w:sz="0" w:space="0" w:color="auto"/>
        <w:right w:val="none" w:sz="0" w:space="0" w:color="auto"/>
      </w:divBdr>
    </w:div>
    <w:div w:id="1510028041">
      <w:bodyDiv w:val="1"/>
      <w:marLeft w:val="0"/>
      <w:marRight w:val="0"/>
      <w:marTop w:val="0"/>
      <w:marBottom w:val="0"/>
      <w:divBdr>
        <w:top w:val="none" w:sz="0" w:space="0" w:color="auto"/>
        <w:left w:val="none" w:sz="0" w:space="0" w:color="auto"/>
        <w:bottom w:val="none" w:sz="0" w:space="0" w:color="auto"/>
        <w:right w:val="none" w:sz="0" w:space="0" w:color="auto"/>
      </w:divBdr>
    </w:div>
    <w:div w:id="1510176290">
      <w:bodyDiv w:val="1"/>
      <w:marLeft w:val="0"/>
      <w:marRight w:val="0"/>
      <w:marTop w:val="0"/>
      <w:marBottom w:val="0"/>
      <w:divBdr>
        <w:top w:val="none" w:sz="0" w:space="0" w:color="auto"/>
        <w:left w:val="none" w:sz="0" w:space="0" w:color="auto"/>
        <w:bottom w:val="none" w:sz="0" w:space="0" w:color="auto"/>
        <w:right w:val="none" w:sz="0" w:space="0" w:color="auto"/>
      </w:divBdr>
    </w:div>
    <w:div w:id="1510178248">
      <w:bodyDiv w:val="1"/>
      <w:marLeft w:val="0"/>
      <w:marRight w:val="0"/>
      <w:marTop w:val="0"/>
      <w:marBottom w:val="0"/>
      <w:divBdr>
        <w:top w:val="none" w:sz="0" w:space="0" w:color="auto"/>
        <w:left w:val="none" w:sz="0" w:space="0" w:color="auto"/>
        <w:bottom w:val="none" w:sz="0" w:space="0" w:color="auto"/>
        <w:right w:val="none" w:sz="0" w:space="0" w:color="auto"/>
      </w:divBdr>
    </w:div>
    <w:div w:id="1510215894">
      <w:bodyDiv w:val="1"/>
      <w:marLeft w:val="0"/>
      <w:marRight w:val="0"/>
      <w:marTop w:val="0"/>
      <w:marBottom w:val="0"/>
      <w:divBdr>
        <w:top w:val="none" w:sz="0" w:space="0" w:color="auto"/>
        <w:left w:val="none" w:sz="0" w:space="0" w:color="auto"/>
        <w:bottom w:val="none" w:sz="0" w:space="0" w:color="auto"/>
        <w:right w:val="none" w:sz="0" w:space="0" w:color="auto"/>
      </w:divBdr>
    </w:div>
    <w:div w:id="1510221751">
      <w:bodyDiv w:val="1"/>
      <w:marLeft w:val="0"/>
      <w:marRight w:val="0"/>
      <w:marTop w:val="0"/>
      <w:marBottom w:val="0"/>
      <w:divBdr>
        <w:top w:val="none" w:sz="0" w:space="0" w:color="auto"/>
        <w:left w:val="none" w:sz="0" w:space="0" w:color="auto"/>
        <w:bottom w:val="none" w:sz="0" w:space="0" w:color="auto"/>
        <w:right w:val="none" w:sz="0" w:space="0" w:color="auto"/>
      </w:divBdr>
    </w:div>
    <w:div w:id="1510366592">
      <w:bodyDiv w:val="1"/>
      <w:marLeft w:val="0"/>
      <w:marRight w:val="0"/>
      <w:marTop w:val="0"/>
      <w:marBottom w:val="0"/>
      <w:divBdr>
        <w:top w:val="none" w:sz="0" w:space="0" w:color="auto"/>
        <w:left w:val="none" w:sz="0" w:space="0" w:color="auto"/>
        <w:bottom w:val="none" w:sz="0" w:space="0" w:color="auto"/>
        <w:right w:val="none" w:sz="0" w:space="0" w:color="auto"/>
      </w:divBdr>
    </w:div>
    <w:div w:id="1510414954">
      <w:bodyDiv w:val="1"/>
      <w:marLeft w:val="0"/>
      <w:marRight w:val="0"/>
      <w:marTop w:val="0"/>
      <w:marBottom w:val="0"/>
      <w:divBdr>
        <w:top w:val="none" w:sz="0" w:space="0" w:color="auto"/>
        <w:left w:val="none" w:sz="0" w:space="0" w:color="auto"/>
        <w:bottom w:val="none" w:sz="0" w:space="0" w:color="auto"/>
        <w:right w:val="none" w:sz="0" w:space="0" w:color="auto"/>
      </w:divBdr>
    </w:div>
    <w:div w:id="1510873370">
      <w:bodyDiv w:val="1"/>
      <w:marLeft w:val="0"/>
      <w:marRight w:val="0"/>
      <w:marTop w:val="0"/>
      <w:marBottom w:val="0"/>
      <w:divBdr>
        <w:top w:val="none" w:sz="0" w:space="0" w:color="auto"/>
        <w:left w:val="none" w:sz="0" w:space="0" w:color="auto"/>
        <w:bottom w:val="none" w:sz="0" w:space="0" w:color="auto"/>
        <w:right w:val="none" w:sz="0" w:space="0" w:color="auto"/>
      </w:divBdr>
    </w:div>
    <w:div w:id="1510944703">
      <w:bodyDiv w:val="1"/>
      <w:marLeft w:val="0"/>
      <w:marRight w:val="0"/>
      <w:marTop w:val="0"/>
      <w:marBottom w:val="0"/>
      <w:divBdr>
        <w:top w:val="none" w:sz="0" w:space="0" w:color="auto"/>
        <w:left w:val="none" w:sz="0" w:space="0" w:color="auto"/>
        <w:bottom w:val="none" w:sz="0" w:space="0" w:color="auto"/>
        <w:right w:val="none" w:sz="0" w:space="0" w:color="auto"/>
      </w:divBdr>
    </w:div>
    <w:div w:id="1511021578">
      <w:bodyDiv w:val="1"/>
      <w:marLeft w:val="0"/>
      <w:marRight w:val="0"/>
      <w:marTop w:val="0"/>
      <w:marBottom w:val="0"/>
      <w:divBdr>
        <w:top w:val="none" w:sz="0" w:space="0" w:color="auto"/>
        <w:left w:val="none" w:sz="0" w:space="0" w:color="auto"/>
        <w:bottom w:val="none" w:sz="0" w:space="0" w:color="auto"/>
        <w:right w:val="none" w:sz="0" w:space="0" w:color="auto"/>
      </w:divBdr>
    </w:div>
    <w:div w:id="1511094193">
      <w:bodyDiv w:val="1"/>
      <w:marLeft w:val="0"/>
      <w:marRight w:val="0"/>
      <w:marTop w:val="0"/>
      <w:marBottom w:val="0"/>
      <w:divBdr>
        <w:top w:val="none" w:sz="0" w:space="0" w:color="auto"/>
        <w:left w:val="none" w:sz="0" w:space="0" w:color="auto"/>
        <w:bottom w:val="none" w:sz="0" w:space="0" w:color="auto"/>
        <w:right w:val="none" w:sz="0" w:space="0" w:color="auto"/>
      </w:divBdr>
    </w:div>
    <w:div w:id="1511138523">
      <w:bodyDiv w:val="1"/>
      <w:marLeft w:val="0"/>
      <w:marRight w:val="0"/>
      <w:marTop w:val="0"/>
      <w:marBottom w:val="0"/>
      <w:divBdr>
        <w:top w:val="none" w:sz="0" w:space="0" w:color="auto"/>
        <w:left w:val="none" w:sz="0" w:space="0" w:color="auto"/>
        <w:bottom w:val="none" w:sz="0" w:space="0" w:color="auto"/>
        <w:right w:val="none" w:sz="0" w:space="0" w:color="auto"/>
      </w:divBdr>
    </w:div>
    <w:div w:id="1511330383">
      <w:bodyDiv w:val="1"/>
      <w:marLeft w:val="0"/>
      <w:marRight w:val="0"/>
      <w:marTop w:val="0"/>
      <w:marBottom w:val="0"/>
      <w:divBdr>
        <w:top w:val="none" w:sz="0" w:space="0" w:color="auto"/>
        <w:left w:val="none" w:sz="0" w:space="0" w:color="auto"/>
        <w:bottom w:val="none" w:sz="0" w:space="0" w:color="auto"/>
        <w:right w:val="none" w:sz="0" w:space="0" w:color="auto"/>
      </w:divBdr>
    </w:div>
    <w:div w:id="1511525076">
      <w:bodyDiv w:val="1"/>
      <w:marLeft w:val="0"/>
      <w:marRight w:val="0"/>
      <w:marTop w:val="0"/>
      <w:marBottom w:val="0"/>
      <w:divBdr>
        <w:top w:val="none" w:sz="0" w:space="0" w:color="auto"/>
        <w:left w:val="none" w:sz="0" w:space="0" w:color="auto"/>
        <w:bottom w:val="none" w:sz="0" w:space="0" w:color="auto"/>
        <w:right w:val="none" w:sz="0" w:space="0" w:color="auto"/>
      </w:divBdr>
    </w:div>
    <w:div w:id="1511526689">
      <w:bodyDiv w:val="1"/>
      <w:marLeft w:val="0"/>
      <w:marRight w:val="0"/>
      <w:marTop w:val="0"/>
      <w:marBottom w:val="0"/>
      <w:divBdr>
        <w:top w:val="none" w:sz="0" w:space="0" w:color="auto"/>
        <w:left w:val="none" w:sz="0" w:space="0" w:color="auto"/>
        <w:bottom w:val="none" w:sz="0" w:space="0" w:color="auto"/>
        <w:right w:val="none" w:sz="0" w:space="0" w:color="auto"/>
      </w:divBdr>
    </w:div>
    <w:div w:id="1511600817">
      <w:bodyDiv w:val="1"/>
      <w:marLeft w:val="0"/>
      <w:marRight w:val="0"/>
      <w:marTop w:val="0"/>
      <w:marBottom w:val="0"/>
      <w:divBdr>
        <w:top w:val="none" w:sz="0" w:space="0" w:color="auto"/>
        <w:left w:val="none" w:sz="0" w:space="0" w:color="auto"/>
        <w:bottom w:val="none" w:sz="0" w:space="0" w:color="auto"/>
        <w:right w:val="none" w:sz="0" w:space="0" w:color="auto"/>
      </w:divBdr>
    </w:div>
    <w:div w:id="1511605167">
      <w:bodyDiv w:val="1"/>
      <w:marLeft w:val="0"/>
      <w:marRight w:val="0"/>
      <w:marTop w:val="0"/>
      <w:marBottom w:val="0"/>
      <w:divBdr>
        <w:top w:val="none" w:sz="0" w:space="0" w:color="auto"/>
        <w:left w:val="none" w:sz="0" w:space="0" w:color="auto"/>
        <w:bottom w:val="none" w:sz="0" w:space="0" w:color="auto"/>
        <w:right w:val="none" w:sz="0" w:space="0" w:color="auto"/>
      </w:divBdr>
    </w:div>
    <w:div w:id="1511750338">
      <w:bodyDiv w:val="1"/>
      <w:marLeft w:val="0"/>
      <w:marRight w:val="0"/>
      <w:marTop w:val="0"/>
      <w:marBottom w:val="0"/>
      <w:divBdr>
        <w:top w:val="none" w:sz="0" w:space="0" w:color="auto"/>
        <w:left w:val="none" w:sz="0" w:space="0" w:color="auto"/>
        <w:bottom w:val="none" w:sz="0" w:space="0" w:color="auto"/>
        <w:right w:val="none" w:sz="0" w:space="0" w:color="auto"/>
      </w:divBdr>
    </w:div>
    <w:div w:id="1512069295">
      <w:bodyDiv w:val="1"/>
      <w:marLeft w:val="0"/>
      <w:marRight w:val="0"/>
      <w:marTop w:val="0"/>
      <w:marBottom w:val="0"/>
      <w:divBdr>
        <w:top w:val="none" w:sz="0" w:space="0" w:color="auto"/>
        <w:left w:val="none" w:sz="0" w:space="0" w:color="auto"/>
        <w:bottom w:val="none" w:sz="0" w:space="0" w:color="auto"/>
        <w:right w:val="none" w:sz="0" w:space="0" w:color="auto"/>
      </w:divBdr>
    </w:div>
    <w:div w:id="1512253761">
      <w:bodyDiv w:val="1"/>
      <w:marLeft w:val="0"/>
      <w:marRight w:val="0"/>
      <w:marTop w:val="0"/>
      <w:marBottom w:val="0"/>
      <w:divBdr>
        <w:top w:val="none" w:sz="0" w:space="0" w:color="auto"/>
        <w:left w:val="none" w:sz="0" w:space="0" w:color="auto"/>
        <w:bottom w:val="none" w:sz="0" w:space="0" w:color="auto"/>
        <w:right w:val="none" w:sz="0" w:space="0" w:color="auto"/>
      </w:divBdr>
    </w:div>
    <w:div w:id="1512329149">
      <w:bodyDiv w:val="1"/>
      <w:marLeft w:val="0"/>
      <w:marRight w:val="0"/>
      <w:marTop w:val="0"/>
      <w:marBottom w:val="0"/>
      <w:divBdr>
        <w:top w:val="none" w:sz="0" w:space="0" w:color="auto"/>
        <w:left w:val="none" w:sz="0" w:space="0" w:color="auto"/>
        <w:bottom w:val="none" w:sz="0" w:space="0" w:color="auto"/>
        <w:right w:val="none" w:sz="0" w:space="0" w:color="auto"/>
      </w:divBdr>
    </w:div>
    <w:div w:id="1512336755">
      <w:bodyDiv w:val="1"/>
      <w:marLeft w:val="0"/>
      <w:marRight w:val="0"/>
      <w:marTop w:val="0"/>
      <w:marBottom w:val="0"/>
      <w:divBdr>
        <w:top w:val="none" w:sz="0" w:space="0" w:color="auto"/>
        <w:left w:val="none" w:sz="0" w:space="0" w:color="auto"/>
        <w:bottom w:val="none" w:sz="0" w:space="0" w:color="auto"/>
        <w:right w:val="none" w:sz="0" w:space="0" w:color="auto"/>
      </w:divBdr>
    </w:div>
    <w:div w:id="1512404428">
      <w:bodyDiv w:val="1"/>
      <w:marLeft w:val="0"/>
      <w:marRight w:val="0"/>
      <w:marTop w:val="0"/>
      <w:marBottom w:val="0"/>
      <w:divBdr>
        <w:top w:val="none" w:sz="0" w:space="0" w:color="auto"/>
        <w:left w:val="none" w:sz="0" w:space="0" w:color="auto"/>
        <w:bottom w:val="none" w:sz="0" w:space="0" w:color="auto"/>
        <w:right w:val="none" w:sz="0" w:space="0" w:color="auto"/>
      </w:divBdr>
    </w:div>
    <w:div w:id="1512406235">
      <w:bodyDiv w:val="1"/>
      <w:marLeft w:val="0"/>
      <w:marRight w:val="0"/>
      <w:marTop w:val="0"/>
      <w:marBottom w:val="0"/>
      <w:divBdr>
        <w:top w:val="none" w:sz="0" w:space="0" w:color="auto"/>
        <w:left w:val="none" w:sz="0" w:space="0" w:color="auto"/>
        <w:bottom w:val="none" w:sz="0" w:space="0" w:color="auto"/>
        <w:right w:val="none" w:sz="0" w:space="0" w:color="auto"/>
      </w:divBdr>
    </w:div>
    <w:div w:id="1512454242">
      <w:bodyDiv w:val="1"/>
      <w:marLeft w:val="0"/>
      <w:marRight w:val="0"/>
      <w:marTop w:val="0"/>
      <w:marBottom w:val="0"/>
      <w:divBdr>
        <w:top w:val="none" w:sz="0" w:space="0" w:color="auto"/>
        <w:left w:val="none" w:sz="0" w:space="0" w:color="auto"/>
        <w:bottom w:val="none" w:sz="0" w:space="0" w:color="auto"/>
        <w:right w:val="none" w:sz="0" w:space="0" w:color="auto"/>
      </w:divBdr>
    </w:div>
    <w:div w:id="1512527348">
      <w:bodyDiv w:val="1"/>
      <w:marLeft w:val="0"/>
      <w:marRight w:val="0"/>
      <w:marTop w:val="0"/>
      <w:marBottom w:val="0"/>
      <w:divBdr>
        <w:top w:val="none" w:sz="0" w:space="0" w:color="auto"/>
        <w:left w:val="none" w:sz="0" w:space="0" w:color="auto"/>
        <w:bottom w:val="none" w:sz="0" w:space="0" w:color="auto"/>
        <w:right w:val="none" w:sz="0" w:space="0" w:color="auto"/>
      </w:divBdr>
    </w:div>
    <w:div w:id="1512642277">
      <w:bodyDiv w:val="1"/>
      <w:marLeft w:val="0"/>
      <w:marRight w:val="0"/>
      <w:marTop w:val="0"/>
      <w:marBottom w:val="0"/>
      <w:divBdr>
        <w:top w:val="none" w:sz="0" w:space="0" w:color="auto"/>
        <w:left w:val="none" w:sz="0" w:space="0" w:color="auto"/>
        <w:bottom w:val="none" w:sz="0" w:space="0" w:color="auto"/>
        <w:right w:val="none" w:sz="0" w:space="0" w:color="auto"/>
      </w:divBdr>
    </w:div>
    <w:div w:id="1512648940">
      <w:bodyDiv w:val="1"/>
      <w:marLeft w:val="0"/>
      <w:marRight w:val="0"/>
      <w:marTop w:val="0"/>
      <w:marBottom w:val="0"/>
      <w:divBdr>
        <w:top w:val="none" w:sz="0" w:space="0" w:color="auto"/>
        <w:left w:val="none" w:sz="0" w:space="0" w:color="auto"/>
        <w:bottom w:val="none" w:sz="0" w:space="0" w:color="auto"/>
        <w:right w:val="none" w:sz="0" w:space="0" w:color="auto"/>
      </w:divBdr>
    </w:div>
    <w:div w:id="1512718176">
      <w:bodyDiv w:val="1"/>
      <w:marLeft w:val="0"/>
      <w:marRight w:val="0"/>
      <w:marTop w:val="0"/>
      <w:marBottom w:val="0"/>
      <w:divBdr>
        <w:top w:val="none" w:sz="0" w:space="0" w:color="auto"/>
        <w:left w:val="none" w:sz="0" w:space="0" w:color="auto"/>
        <w:bottom w:val="none" w:sz="0" w:space="0" w:color="auto"/>
        <w:right w:val="none" w:sz="0" w:space="0" w:color="auto"/>
      </w:divBdr>
    </w:div>
    <w:div w:id="1512792783">
      <w:bodyDiv w:val="1"/>
      <w:marLeft w:val="0"/>
      <w:marRight w:val="0"/>
      <w:marTop w:val="0"/>
      <w:marBottom w:val="0"/>
      <w:divBdr>
        <w:top w:val="none" w:sz="0" w:space="0" w:color="auto"/>
        <w:left w:val="none" w:sz="0" w:space="0" w:color="auto"/>
        <w:bottom w:val="none" w:sz="0" w:space="0" w:color="auto"/>
        <w:right w:val="none" w:sz="0" w:space="0" w:color="auto"/>
      </w:divBdr>
    </w:div>
    <w:div w:id="1512797396">
      <w:bodyDiv w:val="1"/>
      <w:marLeft w:val="0"/>
      <w:marRight w:val="0"/>
      <w:marTop w:val="0"/>
      <w:marBottom w:val="0"/>
      <w:divBdr>
        <w:top w:val="none" w:sz="0" w:space="0" w:color="auto"/>
        <w:left w:val="none" w:sz="0" w:space="0" w:color="auto"/>
        <w:bottom w:val="none" w:sz="0" w:space="0" w:color="auto"/>
        <w:right w:val="none" w:sz="0" w:space="0" w:color="auto"/>
      </w:divBdr>
    </w:div>
    <w:div w:id="1512842091">
      <w:bodyDiv w:val="1"/>
      <w:marLeft w:val="0"/>
      <w:marRight w:val="0"/>
      <w:marTop w:val="0"/>
      <w:marBottom w:val="0"/>
      <w:divBdr>
        <w:top w:val="none" w:sz="0" w:space="0" w:color="auto"/>
        <w:left w:val="none" w:sz="0" w:space="0" w:color="auto"/>
        <w:bottom w:val="none" w:sz="0" w:space="0" w:color="auto"/>
        <w:right w:val="none" w:sz="0" w:space="0" w:color="auto"/>
      </w:divBdr>
    </w:div>
    <w:div w:id="1512911097">
      <w:bodyDiv w:val="1"/>
      <w:marLeft w:val="0"/>
      <w:marRight w:val="0"/>
      <w:marTop w:val="0"/>
      <w:marBottom w:val="0"/>
      <w:divBdr>
        <w:top w:val="none" w:sz="0" w:space="0" w:color="auto"/>
        <w:left w:val="none" w:sz="0" w:space="0" w:color="auto"/>
        <w:bottom w:val="none" w:sz="0" w:space="0" w:color="auto"/>
        <w:right w:val="none" w:sz="0" w:space="0" w:color="auto"/>
      </w:divBdr>
    </w:div>
    <w:div w:id="1512913890">
      <w:bodyDiv w:val="1"/>
      <w:marLeft w:val="0"/>
      <w:marRight w:val="0"/>
      <w:marTop w:val="0"/>
      <w:marBottom w:val="0"/>
      <w:divBdr>
        <w:top w:val="none" w:sz="0" w:space="0" w:color="auto"/>
        <w:left w:val="none" w:sz="0" w:space="0" w:color="auto"/>
        <w:bottom w:val="none" w:sz="0" w:space="0" w:color="auto"/>
        <w:right w:val="none" w:sz="0" w:space="0" w:color="auto"/>
      </w:divBdr>
    </w:div>
    <w:div w:id="1513253728">
      <w:bodyDiv w:val="1"/>
      <w:marLeft w:val="0"/>
      <w:marRight w:val="0"/>
      <w:marTop w:val="0"/>
      <w:marBottom w:val="0"/>
      <w:divBdr>
        <w:top w:val="none" w:sz="0" w:space="0" w:color="auto"/>
        <w:left w:val="none" w:sz="0" w:space="0" w:color="auto"/>
        <w:bottom w:val="none" w:sz="0" w:space="0" w:color="auto"/>
        <w:right w:val="none" w:sz="0" w:space="0" w:color="auto"/>
      </w:divBdr>
    </w:div>
    <w:div w:id="1513373940">
      <w:bodyDiv w:val="1"/>
      <w:marLeft w:val="0"/>
      <w:marRight w:val="0"/>
      <w:marTop w:val="0"/>
      <w:marBottom w:val="0"/>
      <w:divBdr>
        <w:top w:val="none" w:sz="0" w:space="0" w:color="auto"/>
        <w:left w:val="none" w:sz="0" w:space="0" w:color="auto"/>
        <w:bottom w:val="none" w:sz="0" w:space="0" w:color="auto"/>
        <w:right w:val="none" w:sz="0" w:space="0" w:color="auto"/>
      </w:divBdr>
    </w:div>
    <w:div w:id="1513375358">
      <w:bodyDiv w:val="1"/>
      <w:marLeft w:val="0"/>
      <w:marRight w:val="0"/>
      <w:marTop w:val="0"/>
      <w:marBottom w:val="0"/>
      <w:divBdr>
        <w:top w:val="none" w:sz="0" w:space="0" w:color="auto"/>
        <w:left w:val="none" w:sz="0" w:space="0" w:color="auto"/>
        <w:bottom w:val="none" w:sz="0" w:space="0" w:color="auto"/>
        <w:right w:val="none" w:sz="0" w:space="0" w:color="auto"/>
      </w:divBdr>
    </w:div>
    <w:div w:id="1513447293">
      <w:bodyDiv w:val="1"/>
      <w:marLeft w:val="0"/>
      <w:marRight w:val="0"/>
      <w:marTop w:val="0"/>
      <w:marBottom w:val="0"/>
      <w:divBdr>
        <w:top w:val="none" w:sz="0" w:space="0" w:color="auto"/>
        <w:left w:val="none" w:sz="0" w:space="0" w:color="auto"/>
        <w:bottom w:val="none" w:sz="0" w:space="0" w:color="auto"/>
        <w:right w:val="none" w:sz="0" w:space="0" w:color="auto"/>
      </w:divBdr>
    </w:div>
    <w:div w:id="1513568362">
      <w:bodyDiv w:val="1"/>
      <w:marLeft w:val="0"/>
      <w:marRight w:val="0"/>
      <w:marTop w:val="0"/>
      <w:marBottom w:val="0"/>
      <w:divBdr>
        <w:top w:val="none" w:sz="0" w:space="0" w:color="auto"/>
        <w:left w:val="none" w:sz="0" w:space="0" w:color="auto"/>
        <w:bottom w:val="none" w:sz="0" w:space="0" w:color="auto"/>
        <w:right w:val="none" w:sz="0" w:space="0" w:color="auto"/>
      </w:divBdr>
    </w:div>
    <w:div w:id="1513640423">
      <w:bodyDiv w:val="1"/>
      <w:marLeft w:val="0"/>
      <w:marRight w:val="0"/>
      <w:marTop w:val="0"/>
      <w:marBottom w:val="0"/>
      <w:divBdr>
        <w:top w:val="none" w:sz="0" w:space="0" w:color="auto"/>
        <w:left w:val="none" w:sz="0" w:space="0" w:color="auto"/>
        <w:bottom w:val="none" w:sz="0" w:space="0" w:color="auto"/>
        <w:right w:val="none" w:sz="0" w:space="0" w:color="auto"/>
      </w:divBdr>
    </w:div>
    <w:div w:id="1514027384">
      <w:bodyDiv w:val="1"/>
      <w:marLeft w:val="0"/>
      <w:marRight w:val="0"/>
      <w:marTop w:val="0"/>
      <w:marBottom w:val="0"/>
      <w:divBdr>
        <w:top w:val="none" w:sz="0" w:space="0" w:color="auto"/>
        <w:left w:val="none" w:sz="0" w:space="0" w:color="auto"/>
        <w:bottom w:val="none" w:sz="0" w:space="0" w:color="auto"/>
        <w:right w:val="none" w:sz="0" w:space="0" w:color="auto"/>
      </w:divBdr>
    </w:div>
    <w:div w:id="1514029229">
      <w:bodyDiv w:val="1"/>
      <w:marLeft w:val="0"/>
      <w:marRight w:val="0"/>
      <w:marTop w:val="0"/>
      <w:marBottom w:val="0"/>
      <w:divBdr>
        <w:top w:val="none" w:sz="0" w:space="0" w:color="auto"/>
        <w:left w:val="none" w:sz="0" w:space="0" w:color="auto"/>
        <w:bottom w:val="none" w:sz="0" w:space="0" w:color="auto"/>
        <w:right w:val="none" w:sz="0" w:space="0" w:color="auto"/>
      </w:divBdr>
    </w:div>
    <w:div w:id="1514101543">
      <w:bodyDiv w:val="1"/>
      <w:marLeft w:val="0"/>
      <w:marRight w:val="0"/>
      <w:marTop w:val="0"/>
      <w:marBottom w:val="0"/>
      <w:divBdr>
        <w:top w:val="none" w:sz="0" w:space="0" w:color="auto"/>
        <w:left w:val="none" w:sz="0" w:space="0" w:color="auto"/>
        <w:bottom w:val="none" w:sz="0" w:space="0" w:color="auto"/>
        <w:right w:val="none" w:sz="0" w:space="0" w:color="auto"/>
      </w:divBdr>
    </w:div>
    <w:div w:id="1514107448">
      <w:bodyDiv w:val="1"/>
      <w:marLeft w:val="0"/>
      <w:marRight w:val="0"/>
      <w:marTop w:val="0"/>
      <w:marBottom w:val="0"/>
      <w:divBdr>
        <w:top w:val="none" w:sz="0" w:space="0" w:color="auto"/>
        <w:left w:val="none" w:sz="0" w:space="0" w:color="auto"/>
        <w:bottom w:val="none" w:sz="0" w:space="0" w:color="auto"/>
        <w:right w:val="none" w:sz="0" w:space="0" w:color="auto"/>
      </w:divBdr>
    </w:div>
    <w:div w:id="1514150786">
      <w:bodyDiv w:val="1"/>
      <w:marLeft w:val="0"/>
      <w:marRight w:val="0"/>
      <w:marTop w:val="0"/>
      <w:marBottom w:val="0"/>
      <w:divBdr>
        <w:top w:val="none" w:sz="0" w:space="0" w:color="auto"/>
        <w:left w:val="none" w:sz="0" w:space="0" w:color="auto"/>
        <w:bottom w:val="none" w:sz="0" w:space="0" w:color="auto"/>
        <w:right w:val="none" w:sz="0" w:space="0" w:color="auto"/>
      </w:divBdr>
    </w:div>
    <w:div w:id="1514227363">
      <w:bodyDiv w:val="1"/>
      <w:marLeft w:val="0"/>
      <w:marRight w:val="0"/>
      <w:marTop w:val="0"/>
      <w:marBottom w:val="0"/>
      <w:divBdr>
        <w:top w:val="none" w:sz="0" w:space="0" w:color="auto"/>
        <w:left w:val="none" w:sz="0" w:space="0" w:color="auto"/>
        <w:bottom w:val="none" w:sz="0" w:space="0" w:color="auto"/>
        <w:right w:val="none" w:sz="0" w:space="0" w:color="auto"/>
      </w:divBdr>
    </w:div>
    <w:div w:id="1514489946">
      <w:bodyDiv w:val="1"/>
      <w:marLeft w:val="0"/>
      <w:marRight w:val="0"/>
      <w:marTop w:val="0"/>
      <w:marBottom w:val="0"/>
      <w:divBdr>
        <w:top w:val="none" w:sz="0" w:space="0" w:color="auto"/>
        <w:left w:val="none" w:sz="0" w:space="0" w:color="auto"/>
        <w:bottom w:val="none" w:sz="0" w:space="0" w:color="auto"/>
        <w:right w:val="none" w:sz="0" w:space="0" w:color="auto"/>
      </w:divBdr>
    </w:div>
    <w:div w:id="1514492565">
      <w:bodyDiv w:val="1"/>
      <w:marLeft w:val="0"/>
      <w:marRight w:val="0"/>
      <w:marTop w:val="0"/>
      <w:marBottom w:val="0"/>
      <w:divBdr>
        <w:top w:val="none" w:sz="0" w:space="0" w:color="auto"/>
        <w:left w:val="none" w:sz="0" w:space="0" w:color="auto"/>
        <w:bottom w:val="none" w:sz="0" w:space="0" w:color="auto"/>
        <w:right w:val="none" w:sz="0" w:space="0" w:color="auto"/>
      </w:divBdr>
    </w:div>
    <w:div w:id="1514565100">
      <w:bodyDiv w:val="1"/>
      <w:marLeft w:val="0"/>
      <w:marRight w:val="0"/>
      <w:marTop w:val="0"/>
      <w:marBottom w:val="0"/>
      <w:divBdr>
        <w:top w:val="none" w:sz="0" w:space="0" w:color="auto"/>
        <w:left w:val="none" w:sz="0" w:space="0" w:color="auto"/>
        <w:bottom w:val="none" w:sz="0" w:space="0" w:color="auto"/>
        <w:right w:val="none" w:sz="0" w:space="0" w:color="auto"/>
      </w:divBdr>
    </w:div>
    <w:div w:id="1514565133">
      <w:bodyDiv w:val="1"/>
      <w:marLeft w:val="0"/>
      <w:marRight w:val="0"/>
      <w:marTop w:val="0"/>
      <w:marBottom w:val="0"/>
      <w:divBdr>
        <w:top w:val="none" w:sz="0" w:space="0" w:color="auto"/>
        <w:left w:val="none" w:sz="0" w:space="0" w:color="auto"/>
        <w:bottom w:val="none" w:sz="0" w:space="0" w:color="auto"/>
        <w:right w:val="none" w:sz="0" w:space="0" w:color="auto"/>
      </w:divBdr>
    </w:div>
    <w:div w:id="1514567937">
      <w:bodyDiv w:val="1"/>
      <w:marLeft w:val="0"/>
      <w:marRight w:val="0"/>
      <w:marTop w:val="0"/>
      <w:marBottom w:val="0"/>
      <w:divBdr>
        <w:top w:val="none" w:sz="0" w:space="0" w:color="auto"/>
        <w:left w:val="none" w:sz="0" w:space="0" w:color="auto"/>
        <w:bottom w:val="none" w:sz="0" w:space="0" w:color="auto"/>
        <w:right w:val="none" w:sz="0" w:space="0" w:color="auto"/>
      </w:divBdr>
    </w:div>
    <w:div w:id="1514614950">
      <w:bodyDiv w:val="1"/>
      <w:marLeft w:val="0"/>
      <w:marRight w:val="0"/>
      <w:marTop w:val="0"/>
      <w:marBottom w:val="0"/>
      <w:divBdr>
        <w:top w:val="none" w:sz="0" w:space="0" w:color="auto"/>
        <w:left w:val="none" w:sz="0" w:space="0" w:color="auto"/>
        <w:bottom w:val="none" w:sz="0" w:space="0" w:color="auto"/>
        <w:right w:val="none" w:sz="0" w:space="0" w:color="auto"/>
      </w:divBdr>
    </w:div>
    <w:div w:id="1514800435">
      <w:bodyDiv w:val="1"/>
      <w:marLeft w:val="0"/>
      <w:marRight w:val="0"/>
      <w:marTop w:val="0"/>
      <w:marBottom w:val="0"/>
      <w:divBdr>
        <w:top w:val="none" w:sz="0" w:space="0" w:color="auto"/>
        <w:left w:val="none" w:sz="0" w:space="0" w:color="auto"/>
        <w:bottom w:val="none" w:sz="0" w:space="0" w:color="auto"/>
        <w:right w:val="none" w:sz="0" w:space="0" w:color="auto"/>
      </w:divBdr>
    </w:div>
    <w:div w:id="1514958294">
      <w:bodyDiv w:val="1"/>
      <w:marLeft w:val="0"/>
      <w:marRight w:val="0"/>
      <w:marTop w:val="0"/>
      <w:marBottom w:val="0"/>
      <w:divBdr>
        <w:top w:val="none" w:sz="0" w:space="0" w:color="auto"/>
        <w:left w:val="none" w:sz="0" w:space="0" w:color="auto"/>
        <w:bottom w:val="none" w:sz="0" w:space="0" w:color="auto"/>
        <w:right w:val="none" w:sz="0" w:space="0" w:color="auto"/>
      </w:divBdr>
    </w:div>
    <w:div w:id="1515068829">
      <w:bodyDiv w:val="1"/>
      <w:marLeft w:val="0"/>
      <w:marRight w:val="0"/>
      <w:marTop w:val="0"/>
      <w:marBottom w:val="0"/>
      <w:divBdr>
        <w:top w:val="none" w:sz="0" w:space="0" w:color="auto"/>
        <w:left w:val="none" w:sz="0" w:space="0" w:color="auto"/>
        <w:bottom w:val="none" w:sz="0" w:space="0" w:color="auto"/>
        <w:right w:val="none" w:sz="0" w:space="0" w:color="auto"/>
      </w:divBdr>
    </w:div>
    <w:div w:id="1515072131">
      <w:bodyDiv w:val="1"/>
      <w:marLeft w:val="0"/>
      <w:marRight w:val="0"/>
      <w:marTop w:val="0"/>
      <w:marBottom w:val="0"/>
      <w:divBdr>
        <w:top w:val="none" w:sz="0" w:space="0" w:color="auto"/>
        <w:left w:val="none" w:sz="0" w:space="0" w:color="auto"/>
        <w:bottom w:val="none" w:sz="0" w:space="0" w:color="auto"/>
        <w:right w:val="none" w:sz="0" w:space="0" w:color="auto"/>
      </w:divBdr>
    </w:div>
    <w:div w:id="1515341313">
      <w:bodyDiv w:val="1"/>
      <w:marLeft w:val="0"/>
      <w:marRight w:val="0"/>
      <w:marTop w:val="0"/>
      <w:marBottom w:val="0"/>
      <w:divBdr>
        <w:top w:val="none" w:sz="0" w:space="0" w:color="auto"/>
        <w:left w:val="none" w:sz="0" w:space="0" w:color="auto"/>
        <w:bottom w:val="none" w:sz="0" w:space="0" w:color="auto"/>
        <w:right w:val="none" w:sz="0" w:space="0" w:color="auto"/>
      </w:divBdr>
    </w:div>
    <w:div w:id="1515344001">
      <w:bodyDiv w:val="1"/>
      <w:marLeft w:val="0"/>
      <w:marRight w:val="0"/>
      <w:marTop w:val="0"/>
      <w:marBottom w:val="0"/>
      <w:divBdr>
        <w:top w:val="none" w:sz="0" w:space="0" w:color="auto"/>
        <w:left w:val="none" w:sz="0" w:space="0" w:color="auto"/>
        <w:bottom w:val="none" w:sz="0" w:space="0" w:color="auto"/>
        <w:right w:val="none" w:sz="0" w:space="0" w:color="auto"/>
      </w:divBdr>
    </w:div>
    <w:div w:id="1515412609">
      <w:bodyDiv w:val="1"/>
      <w:marLeft w:val="0"/>
      <w:marRight w:val="0"/>
      <w:marTop w:val="0"/>
      <w:marBottom w:val="0"/>
      <w:divBdr>
        <w:top w:val="none" w:sz="0" w:space="0" w:color="auto"/>
        <w:left w:val="none" w:sz="0" w:space="0" w:color="auto"/>
        <w:bottom w:val="none" w:sz="0" w:space="0" w:color="auto"/>
        <w:right w:val="none" w:sz="0" w:space="0" w:color="auto"/>
      </w:divBdr>
    </w:div>
    <w:div w:id="1515458441">
      <w:bodyDiv w:val="1"/>
      <w:marLeft w:val="0"/>
      <w:marRight w:val="0"/>
      <w:marTop w:val="0"/>
      <w:marBottom w:val="0"/>
      <w:divBdr>
        <w:top w:val="none" w:sz="0" w:space="0" w:color="auto"/>
        <w:left w:val="none" w:sz="0" w:space="0" w:color="auto"/>
        <w:bottom w:val="none" w:sz="0" w:space="0" w:color="auto"/>
        <w:right w:val="none" w:sz="0" w:space="0" w:color="auto"/>
      </w:divBdr>
    </w:div>
    <w:div w:id="1515460008">
      <w:bodyDiv w:val="1"/>
      <w:marLeft w:val="0"/>
      <w:marRight w:val="0"/>
      <w:marTop w:val="0"/>
      <w:marBottom w:val="0"/>
      <w:divBdr>
        <w:top w:val="none" w:sz="0" w:space="0" w:color="auto"/>
        <w:left w:val="none" w:sz="0" w:space="0" w:color="auto"/>
        <w:bottom w:val="none" w:sz="0" w:space="0" w:color="auto"/>
        <w:right w:val="none" w:sz="0" w:space="0" w:color="auto"/>
      </w:divBdr>
    </w:div>
    <w:div w:id="1515531009">
      <w:bodyDiv w:val="1"/>
      <w:marLeft w:val="0"/>
      <w:marRight w:val="0"/>
      <w:marTop w:val="0"/>
      <w:marBottom w:val="0"/>
      <w:divBdr>
        <w:top w:val="none" w:sz="0" w:space="0" w:color="auto"/>
        <w:left w:val="none" w:sz="0" w:space="0" w:color="auto"/>
        <w:bottom w:val="none" w:sz="0" w:space="0" w:color="auto"/>
        <w:right w:val="none" w:sz="0" w:space="0" w:color="auto"/>
      </w:divBdr>
    </w:div>
    <w:div w:id="1515535947">
      <w:bodyDiv w:val="1"/>
      <w:marLeft w:val="0"/>
      <w:marRight w:val="0"/>
      <w:marTop w:val="0"/>
      <w:marBottom w:val="0"/>
      <w:divBdr>
        <w:top w:val="none" w:sz="0" w:space="0" w:color="auto"/>
        <w:left w:val="none" w:sz="0" w:space="0" w:color="auto"/>
        <w:bottom w:val="none" w:sz="0" w:space="0" w:color="auto"/>
        <w:right w:val="none" w:sz="0" w:space="0" w:color="auto"/>
      </w:divBdr>
    </w:div>
    <w:div w:id="1515536108">
      <w:bodyDiv w:val="1"/>
      <w:marLeft w:val="0"/>
      <w:marRight w:val="0"/>
      <w:marTop w:val="0"/>
      <w:marBottom w:val="0"/>
      <w:divBdr>
        <w:top w:val="none" w:sz="0" w:space="0" w:color="auto"/>
        <w:left w:val="none" w:sz="0" w:space="0" w:color="auto"/>
        <w:bottom w:val="none" w:sz="0" w:space="0" w:color="auto"/>
        <w:right w:val="none" w:sz="0" w:space="0" w:color="auto"/>
      </w:divBdr>
    </w:div>
    <w:div w:id="1515538650">
      <w:bodyDiv w:val="1"/>
      <w:marLeft w:val="0"/>
      <w:marRight w:val="0"/>
      <w:marTop w:val="0"/>
      <w:marBottom w:val="0"/>
      <w:divBdr>
        <w:top w:val="none" w:sz="0" w:space="0" w:color="auto"/>
        <w:left w:val="none" w:sz="0" w:space="0" w:color="auto"/>
        <w:bottom w:val="none" w:sz="0" w:space="0" w:color="auto"/>
        <w:right w:val="none" w:sz="0" w:space="0" w:color="auto"/>
      </w:divBdr>
    </w:div>
    <w:div w:id="1515611555">
      <w:bodyDiv w:val="1"/>
      <w:marLeft w:val="0"/>
      <w:marRight w:val="0"/>
      <w:marTop w:val="0"/>
      <w:marBottom w:val="0"/>
      <w:divBdr>
        <w:top w:val="none" w:sz="0" w:space="0" w:color="auto"/>
        <w:left w:val="none" w:sz="0" w:space="0" w:color="auto"/>
        <w:bottom w:val="none" w:sz="0" w:space="0" w:color="auto"/>
        <w:right w:val="none" w:sz="0" w:space="0" w:color="auto"/>
      </w:divBdr>
    </w:div>
    <w:div w:id="1515681247">
      <w:bodyDiv w:val="1"/>
      <w:marLeft w:val="0"/>
      <w:marRight w:val="0"/>
      <w:marTop w:val="0"/>
      <w:marBottom w:val="0"/>
      <w:divBdr>
        <w:top w:val="none" w:sz="0" w:space="0" w:color="auto"/>
        <w:left w:val="none" w:sz="0" w:space="0" w:color="auto"/>
        <w:bottom w:val="none" w:sz="0" w:space="0" w:color="auto"/>
        <w:right w:val="none" w:sz="0" w:space="0" w:color="auto"/>
      </w:divBdr>
    </w:div>
    <w:div w:id="1515722784">
      <w:bodyDiv w:val="1"/>
      <w:marLeft w:val="0"/>
      <w:marRight w:val="0"/>
      <w:marTop w:val="0"/>
      <w:marBottom w:val="0"/>
      <w:divBdr>
        <w:top w:val="none" w:sz="0" w:space="0" w:color="auto"/>
        <w:left w:val="none" w:sz="0" w:space="0" w:color="auto"/>
        <w:bottom w:val="none" w:sz="0" w:space="0" w:color="auto"/>
        <w:right w:val="none" w:sz="0" w:space="0" w:color="auto"/>
      </w:divBdr>
    </w:div>
    <w:div w:id="1515874566">
      <w:bodyDiv w:val="1"/>
      <w:marLeft w:val="0"/>
      <w:marRight w:val="0"/>
      <w:marTop w:val="0"/>
      <w:marBottom w:val="0"/>
      <w:divBdr>
        <w:top w:val="none" w:sz="0" w:space="0" w:color="auto"/>
        <w:left w:val="none" w:sz="0" w:space="0" w:color="auto"/>
        <w:bottom w:val="none" w:sz="0" w:space="0" w:color="auto"/>
        <w:right w:val="none" w:sz="0" w:space="0" w:color="auto"/>
      </w:divBdr>
    </w:div>
    <w:div w:id="1515919852">
      <w:bodyDiv w:val="1"/>
      <w:marLeft w:val="0"/>
      <w:marRight w:val="0"/>
      <w:marTop w:val="0"/>
      <w:marBottom w:val="0"/>
      <w:divBdr>
        <w:top w:val="none" w:sz="0" w:space="0" w:color="auto"/>
        <w:left w:val="none" w:sz="0" w:space="0" w:color="auto"/>
        <w:bottom w:val="none" w:sz="0" w:space="0" w:color="auto"/>
        <w:right w:val="none" w:sz="0" w:space="0" w:color="auto"/>
      </w:divBdr>
    </w:div>
    <w:div w:id="1515994047">
      <w:bodyDiv w:val="1"/>
      <w:marLeft w:val="0"/>
      <w:marRight w:val="0"/>
      <w:marTop w:val="0"/>
      <w:marBottom w:val="0"/>
      <w:divBdr>
        <w:top w:val="none" w:sz="0" w:space="0" w:color="auto"/>
        <w:left w:val="none" w:sz="0" w:space="0" w:color="auto"/>
        <w:bottom w:val="none" w:sz="0" w:space="0" w:color="auto"/>
        <w:right w:val="none" w:sz="0" w:space="0" w:color="auto"/>
      </w:divBdr>
    </w:div>
    <w:div w:id="1516110069">
      <w:bodyDiv w:val="1"/>
      <w:marLeft w:val="0"/>
      <w:marRight w:val="0"/>
      <w:marTop w:val="0"/>
      <w:marBottom w:val="0"/>
      <w:divBdr>
        <w:top w:val="none" w:sz="0" w:space="0" w:color="auto"/>
        <w:left w:val="none" w:sz="0" w:space="0" w:color="auto"/>
        <w:bottom w:val="none" w:sz="0" w:space="0" w:color="auto"/>
        <w:right w:val="none" w:sz="0" w:space="0" w:color="auto"/>
      </w:divBdr>
    </w:div>
    <w:div w:id="1516268911">
      <w:bodyDiv w:val="1"/>
      <w:marLeft w:val="0"/>
      <w:marRight w:val="0"/>
      <w:marTop w:val="0"/>
      <w:marBottom w:val="0"/>
      <w:divBdr>
        <w:top w:val="none" w:sz="0" w:space="0" w:color="auto"/>
        <w:left w:val="none" w:sz="0" w:space="0" w:color="auto"/>
        <w:bottom w:val="none" w:sz="0" w:space="0" w:color="auto"/>
        <w:right w:val="none" w:sz="0" w:space="0" w:color="auto"/>
      </w:divBdr>
    </w:div>
    <w:div w:id="1516311239">
      <w:bodyDiv w:val="1"/>
      <w:marLeft w:val="0"/>
      <w:marRight w:val="0"/>
      <w:marTop w:val="0"/>
      <w:marBottom w:val="0"/>
      <w:divBdr>
        <w:top w:val="none" w:sz="0" w:space="0" w:color="auto"/>
        <w:left w:val="none" w:sz="0" w:space="0" w:color="auto"/>
        <w:bottom w:val="none" w:sz="0" w:space="0" w:color="auto"/>
        <w:right w:val="none" w:sz="0" w:space="0" w:color="auto"/>
      </w:divBdr>
    </w:div>
    <w:div w:id="1516504277">
      <w:bodyDiv w:val="1"/>
      <w:marLeft w:val="0"/>
      <w:marRight w:val="0"/>
      <w:marTop w:val="0"/>
      <w:marBottom w:val="0"/>
      <w:divBdr>
        <w:top w:val="none" w:sz="0" w:space="0" w:color="auto"/>
        <w:left w:val="none" w:sz="0" w:space="0" w:color="auto"/>
        <w:bottom w:val="none" w:sz="0" w:space="0" w:color="auto"/>
        <w:right w:val="none" w:sz="0" w:space="0" w:color="auto"/>
      </w:divBdr>
    </w:div>
    <w:div w:id="1516573772">
      <w:bodyDiv w:val="1"/>
      <w:marLeft w:val="0"/>
      <w:marRight w:val="0"/>
      <w:marTop w:val="0"/>
      <w:marBottom w:val="0"/>
      <w:divBdr>
        <w:top w:val="none" w:sz="0" w:space="0" w:color="auto"/>
        <w:left w:val="none" w:sz="0" w:space="0" w:color="auto"/>
        <w:bottom w:val="none" w:sz="0" w:space="0" w:color="auto"/>
        <w:right w:val="none" w:sz="0" w:space="0" w:color="auto"/>
      </w:divBdr>
    </w:div>
    <w:div w:id="1516725607">
      <w:bodyDiv w:val="1"/>
      <w:marLeft w:val="0"/>
      <w:marRight w:val="0"/>
      <w:marTop w:val="0"/>
      <w:marBottom w:val="0"/>
      <w:divBdr>
        <w:top w:val="none" w:sz="0" w:space="0" w:color="auto"/>
        <w:left w:val="none" w:sz="0" w:space="0" w:color="auto"/>
        <w:bottom w:val="none" w:sz="0" w:space="0" w:color="auto"/>
        <w:right w:val="none" w:sz="0" w:space="0" w:color="auto"/>
      </w:divBdr>
    </w:div>
    <w:div w:id="1516767940">
      <w:bodyDiv w:val="1"/>
      <w:marLeft w:val="0"/>
      <w:marRight w:val="0"/>
      <w:marTop w:val="0"/>
      <w:marBottom w:val="0"/>
      <w:divBdr>
        <w:top w:val="none" w:sz="0" w:space="0" w:color="auto"/>
        <w:left w:val="none" w:sz="0" w:space="0" w:color="auto"/>
        <w:bottom w:val="none" w:sz="0" w:space="0" w:color="auto"/>
        <w:right w:val="none" w:sz="0" w:space="0" w:color="auto"/>
      </w:divBdr>
    </w:div>
    <w:div w:id="1516797919">
      <w:bodyDiv w:val="1"/>
      <w:marLeft w:val="0"/>
      <w:marRight w:val="0"/>
      <w:marTop w:val="0"/>
      <w:marBottom w:val="0"/>
      <w:divBdr>
        <w:top w:val="none" w:sz="0" w:space="0" w:color="auto"/>
        <w:left w:val="none" w:sz="0" w:space="0" w:color="auto"/>
        <w:bottom w:val="none" w:sz="0" w:space="0" w:color="auto"/>
        <w:right w:val="none" w:sz="0" w:space="0" w:color="auto"/>
      </w:divBdr>
    </w:div>
    <w:div w:id="1516842897">
      <w:bodyDiv w:val="1"/>
      <w:marLeft w:val="0"/>
      <w:marRight w:val="0"/>
      <w:marTop w:val="0"/>
      <w:marBottom w:val="0"/>
      <w:divBdr>
        <w:top w:val="none" w:sz="0" w:space="0" w:color="auto"/>
        <w:left w:val="none" w:sz="0" w:space="0" w:color="auto"/>
        <w:bottom w:val="none" w:sz="0" w:space="0" w:color="auto"/>
        <w:right w:val="none" w:sz="0" w:space="0" w:color="auto"/>
      </w:divBdr>
    </w:div>
    <w:div w:id="1516920518">
      <w:bodyDiv w:val="1"/>
      <w:marLeft w:val="0"/>
      <w:marRight w:val="0"/>
      <w:marTop w:val="0"/>
      <w:marBottom w:val="0"/>
      <w:divBdr>
        <w:top w:val="none" w:sz="0" w:space="0" w:color="auto"/>
        <w:left w:val="none" w:sz="0" w:space="0" w:color="auto"/>
        <w:bottom w:val="none" w:sz="0" w:space="0" w:color="auto"/>
        <w:right w:val="none" w:sz="0" w:space="0" w:color="auto"/>
      </w:divBdr>
    </w:div>
    <w:div w:id="1517230927">
      <w:bodyDiv w:val="1"/>
      <w:marLeft w:val="0"/>
      <w:marRight w:val="0"/>
      <w:marTop w:val="0"/>
      <w:marBottom w:val="0"/>
      <w:divBdr>
        <w:top w:val="none" w:sz="0" w:space="0" w:color="auto"/>
        <w:left w:val="none" w:sz="0" w:space="0" w:color="auto"/>
        <w:bottom w:val="none" w:sz="0" w:space="0" w:color="auto"/>
        <w:right w:val="none" w:sz="0" w:space="0" w:color="auto"/>
      </w:divBdr>
    </w:div>
    <w:div w:id="1517231268">
      <w:bodyDiv w:val="1"/>
      <w:marLeft w:val="0"/>
      <w:marRight w:val="0"/>
      <w:marTop w:val="0"/>
      <w:marBottom w:val="0"/>
      <w:divBdr>
        <w:top w:val="none" w:sz="0" w:space="0" w:color="auto"/>
        <w:left w:val="none" w:sz="0" w:space="0" w:color="auto"/>
        <w:bottom w:val="none" w:sz="0" w:space="0" w:color="auto"/>
        <w:right w:val="none" w:sz="0" w:space="0" w:color="auto"/>
      </w:divBdr>
    </w:div>
    <w:div w:id="1517308949">
      <w:bodyDiv w:val="1"/>
      <w:marLeft w:val="0"/>
      <w:marRight w:val="0"/>
      <w:marTop w:val="0"/>
      <w:marBottom w:val="0"/>
      <w:divBdr>
        <w:top w:val="none" w:sz="0" w:space="0" w:color="auto"/>
        <w:left w:val="none" w:sz="0" w:space="0" w:color="auto"/>
        <w:bottom w:val="none" w:sz="0" w:space="0" w:color="auto"/>
        <w:right w:val="none" w:sz="0" w:space="0" w:color="auto"/>
      </w:divBdr>
    </w:div>
    <w:div w:id="1517380965">
      <w:bodyDiv w:val="1"/>
      <w:marLeft w:val="0"/>
      <w:marRight w:val="0"/>
      <w:marTop w:val="0"/>
      <w:marBottom w:val="0"/>
      <w:divBdr>
        <w:top w:val="none" w:sz="0" w:space="0" w:color="auto"/>
        <w:left w:val="none" w:sz="0" w:space="0" w:color="auto"/>
        <w:bottom w:val="none" w:sz="0" w:space="0" w:color="auto"/>
        <w:right w:val="none" w:sz="0" w:space="0" w:color="auto"/>
      </w:divBdr>
    </w:div>
    <w:div w:id="1517421850">
      <w:bodyDiv w:val="1"/>
      <w:marLeft w:val="0"/>
      <w:marRight w:val="0"/>
      <w:marTop w:val="0"/>
      <w:marBottom w:val="0"/>
      <w:divBdr>
        <w:top w:val="none" w:sz="0" w:space="0" w:color="auto"/>
        <w:left w:val="none" w:sz="0" w:space="0" w:color="auto"/>
        <w:bottom w:val="none" w:sz="0" w:space="0" w:color="auto"/>
        <w:right w:val="none" w:sz="0" w:space="0" w:color="auto"/>
      </w:divBdr>
    </w:div>
    <w:div w:id="1517424388">
      <w:bodyDiv w:val="1"/>
      <w:marLeft w:val="0"/>
      <w:marRight w:val="0"/>
      <w:marTop w:val="0"/>
      <w:marBottom w:val="0"/>
      <w:divBdr>
        <w:top w:val="none" w:sz="0" w:space="0" w:color="auto"/>
        <w:left w:val="none" w:sz="0" w:space="0" w:color="auto"/>
        <w:bottom w:val="none" w:sz="0" w:space="0" w:color="auto"/>
        <w:right w:val="none" w:sz="0" w:space="0" w:color="auto"/>
      </w:divBdr>
    </w:div>
    <w:div w:id="1517503787">
      <w:bodyDiv w:val="1"/>
      <w:marLeft w:val="0"/>
      <w:marRight w:val="0"/>
      <w:marTop w:val="0"/>
      <w:marBottom w:val="0"/>
      <w:divBdr>
        <w:top w:val="none" w:sz="0" w:space="0" w:color="auto"/>
        <w:left w:val="none" w:sz="0" w:space="0" w:color="auto"/>
        <w:bottom w:val="none" w:sz="0" w:space="0" w:color="auto"/>
        <w:right w:val="none" w:sz="0" w:space="0" w:color="auto"/>
      </w:divBdr>
    </w:div>
    <w:div w:id="1517575437">
      <w:bodyDiv w:val="1"/>
      <w:marLeft w:val="0"/>
      <w:marRight w:val="0"/>
      <w:marTop w:val="0"/>
      <w:marBottom w:val="0"/>
      <w:divBdr>
        <w:top w:val="none" w:sz="0" w:space="0" w:color="auto"/>
        <w:left w:val="none" w:sz="0" w:space="0" w:color="auto"/>
        <w:bottom w:val="none" w:sz="0" w:space="0" w:color="auto"/>
        <w:right w:val="none" w:sz="0" w:space="0" w:color="auto"/>
      </w:divBdr>
    </w:div>
    <w:div w:id="1517770552">
      <w:bodyDiv w:val="1"/>
      <w:marLeft w:val="0"/>
      <w:marRight w:val="0"/>
      <w:marTop w:val="0"/>
      <w:marBottom w:val="0"/>
      <w:divBdr>
        <w:top w:val="none" w:sz="0" w:space="0" w:color="auto"/>
        <w:left w:val="none" w:sz="0" w:space="0" w:color="auto"/>
        <w:bottom w:val="none" w:sz="0" w:space="0" w:color="auto"/>
        <w:right w:val="none" w:sz="0" w:space="0" w:color="auto"/>
      </w:divBdr>
    </w:div>
    <w:div w:id="1517846261">
      <w:bodyDiv w:val="1"/>
      <w:marLeft w:val="0"/>
      <w:marRight w:val="0"/>
      <w:marTop w:val="0"/>
      <w:marBottom w:val="0"/>
      <w:divBdr>
        <w:top w:val="none" w:sz="0" w:space="0" w:color="auto"/>
        <w:left w:val="none" w:sz="0" w:space="0" w:color="auto"/>
        <w:bottom w:val="none" w:sz="0" w:space="0" w:color="auto"/>
        <w:right w:val="none" w:sz="0" w:space="0" w:color="auto"/>
      </w:divBdr>
    </w:div>
    <w:div w:id="1517888963">
      <w:bodyDiv w:val="1"/>
      <w:marLeft w:val="0"/>
      <w:marRight w:val="0"/>
      <w:marTop w:val="0"/>
      <w:marBottom w:val="0"/>
      <w:divBdr>
        <w:top w:val="none" w:sz="0" w:space="0" w:color="auto"/>
        <w:left w:val="none" w:sz="0" w:space="0" w:color="auto"/>
        <w:bottom w:val="none" w:sz="0" w:space="0" w:color="auto"/>
        <w:right w:val="none" w:sz="0" w:space="0" w:color="auto"/>
      </w:divBdr>
    </w:div>
    <w:div w:id="1517966925">
      <w:bodyDiv w:val="1"/>
      <w:marLeft w:val="0"/>
      <w:marRight w:val="0"/>
      <w:marTop w:val="0"/>
      <w:marBottom w:val="0"/>
      <w:divBdr>
        <w:top w:val="none" w:sz="0" w:space="0" w:color="auto"/>
        <w:left w:val="none" w:sz="0" w:space="0" w:color="auto"/>
        <w:bottom w:val="none" w:sz="0" w:space="0" w:color="auto"/>
        <w:right w:val="none" w:sz="0" w:space="0" w:color="auto"/>
      </w:divBdr>
    </w:div>
    <w:div w:id="1518034573">
      <w:bodyDiv w:val="1"/>
      <w:marLeft w:val="0"/>
      <w:marRight w:val="0"/>
      <w:marTop w:val="0"/>
      <w:marBottom w:val="0"/>
      <w:divBdr>
        <w:top w:val="none" w:sz="0" w:space="0" w:color="auto"/>
        <w:left w:val="none" w:sz="0" w:space="0" w:color="auto"/>
        <w:bottom w:val="none" w:sz="0" w:space="0" w:color="auto"/>
        <w:right w:val="none" w:sz="0" w:space="0" w:color="auto"/>
      </w:divBdr>
    </w:div>
    <w:div w:id="1518039762">
      <w:bodyDiv w:val="1"/>
      <w:marLeft w:val="0"/>
      <w:marRight w:val="0"/>
      <w:marTop w:val="0"/>
      <w:marBottom w:val="0"/>
      <w:divBdr>
        <w:top w:val="none" w:sz="0" w:space="0" w:color="auto"/>
        <w:left w:val="none" w:sz="0" w:space="0" w:color="auto"/>
        <w:bottom w:val="none" w:sz="0" w:space="0" w:color="auto"/>
        <w:right w:val="none" w:sz="0" w:space="0" w:color="auto"/>
      </w:divBdr>
    </w:div>
    <w:div w:id="1518040601">
      <w:bodyDiv w:val="1"/>
      <w:marLeft w:val="0"/>
      <w:marRight w:val="0"/>
      <w:marTop w:val="0"/>
      <w:marBottom w:val="0"/>
      <w:divBdr>
        <w:top w:val="none" w:sz="0" w:space="0" w:color="auto"/>
        <w:left w:val="none" w:sz="0" w:space="0" w:color="auto"/>
        <w:bottom w:val="none" w:sz="0" w:space="0" w:color="auto"/>
        <w:right w:val="none" w:sz="0" w:space="0" w:color="auto"/>
      </w:divBdr>
    </w:div>
    <w:div w:id="1518155074">
      <w:bodyDiv w:val="1"/>
      <w:marLeft w:val="0"/>
      <w:marRight w:val="0"/>
      <w:marTop w:val="0"/>
      <w:marBottom w:val="0"/>
      <w:divBdr>
        <w:top w:val="none" w:sz="0" w:space="0" w:color="auto"/>
        <w:left w:val="none" w:sz="0" w:space="0" w:color="auto"/>
        <w:bottom w:val="none" w:sz="0" w:space="0" w:color="auto"/>
        <w:right w:val="none" w:sz="0" w:space="0" w:color="auto"/>
      </w:divBdr>
    </w:div>
    <w:div w:id="1518157562">
      <w:bodyDiv w:val="1"/>
      <w:marLeft w:val="0"/>
      <w:marRight w:val="0"/>
      <w:marTop w:val="0"/>
      <w:marBottom w:val="0"/>
      <w:divBdr>
        <w:top w:val="none" w:sz="0" w:space="0" w:color="auto"/>
        <w:left w:val="none" w:sz="0" w:space="0" w:color="auto"/>
        <w:bottom w:val="none" w:sz="0" w:space="0" w:color="auto"/>
        <w:right w:val="none" w:sz="0" w:space="0" w:color="auto"/>
      </w:divBdr>
    </w:div>
    <w:div w:id="1518228058">
      <w:bodyDiv w:val="1"/>
      <w:marLeft w:val="0"/>
      <w:marRight w:val="0"/>
      <w:marTop w:val="0"/>
      <w:marBottom w:val="0"/>
      <w:divBdr>
        <w:top w:val="none" w:sz="0" w:space="0" w:color="auto"/>
        <w:left w:val="none" w:sz="0" w:space="0" w:color="auto"/>
        <w:bottom w:val="none" w:sz="0" w:space="0" w:color="auto"/>
        <w:right w:val="none" w:sz="0" w:space="0" w:color="auto"/>
      </w:divBdr>
    </w:div>
    <w:div w:id="1518277444">
      <w:bodyDiv w:val="1"/>
      <w:marLeft w:val="0"/>
      <w:marRight w:val="0"/>
      <w:marTop w:val="0"/>
      <w:marBottom w:val="0"/>
      <w:divBdr>
        <w:top w:val="none" w:sz="0" w:space="0" w:color="auto"/>
        <w:left w:val="none" w:sz="0" w:space="0" w:color="auto"/>
        <w:bottom w:val="none" w:sz="0" w:space="0" w:color="auto"/>
        <w:right w:val="none" w:sz="0" w:space="0" w:color="auto"/>
      </w:divBdr>
    </w:div>
    <w:div w:id="1518428004">
      <w:bodyDiv w:val="1"/>
      <w:marLeft w:val="0"/>
      <w:marRight w:val="0"/>
      <w:marTop w:val="0"/>
      <w:marBottom w:val="0"/>
      <w:divBdr>
        <w:top w:val="none" w:sz="0" w:space="0" w:color="auto"/>
        <w:left w:val="none" w:sz="0" w:space="0" w:color="auto"/>
        <w:bottom w:val="none" w:sz="0" w:space="0" w:color="auto"/>
        <w:right w:val="none" w:sz="0" w:space="0" w:color="auto"/>
      </w:divBdr>
    </w:div>
    <w:div w:id="1518543482">
      <w:bodyDiv w:val="1"/>
      <w:marLeft w:val="0"/>
      <w:marRight w:val="0"/>
      <w:marTop w:val="0"/>
      <w:marBottom w:val="0"/>
      <w:divBdr>
        <w:top w:val="none" w:sz="0" w:space="0" w:color="auto"/>
        <w:left w:val="none" w:sz="0" w:space="0" w:color="auto"/>
        <w:bottom w:val="none" w:sz="0" w:space="0" w:color="auto"/>
        <w:right w:val="none" w:sz="0" w:space="0" w:color="auto"/>
      </w:divBdr>
    </w:div>
    <w:div w:id="1518738738">
      <w:bodyDiv w:val="1"/>
      <w:marLeft w:val="0"/>
      <w:marRight w:val="0"/>
      <w:marTop w:val="0"/>
      <w:marBottom w:val="0"/>
      <w:divBdr>
        <w:top w:val="none" w:sz="0" w:space="0" w:color="auto"/>
        <w:left w:val="none" w:sz="0" w:space="0" w:color="auto"/>
        <w:bottom w:val="none" w:sz="0" w:space="0" w:color="auto"/>
        <w:right w:val="none" w:sz="0" w:space="0" w:color="auto"/>
      </w:divBdr>
    </w:div>
    <w:div w:id="1519075020">
      <w:bodyDiv w:val="1"/>
      <w:marLeft w:val="0"/>
      <w:marRight w:val="0"/>
      <w:marTop w:val="0"/>
      <w:marBottom w:val="0"/>
      <w:divBdr>
        <w:top w:val="none" w:sz="0" w:space="0" w:color="auto"/>
        <w:left w:val="none" w:sz="0" w:space="0" w:color="auto"/>
        <w:bottom w:val="none" w:sz="0" w:space="0" w:color="auto"/>
        <w:right w:val="none" w:sz="0" w:space="0" w:color="auto"/>
      </w:divBdr>
    </w:div>
    <w:div w:id="1519193814">
      <w:bodyDiv w:val="1"/>
      <w:marLeft w:val="0"/>
      <w:marRight w:val="0"/>
      <w:marTop w:val="0"/>
      <w:marBottom w:val="0"/>
      <w:divBdr>
        <w:top w:val="none" w:sz="0" w:space="0" w:color="auto"/>
        <w:left w:val="none" w:sz="0" w:space="0" w:color="auto"/>
        <w:bottom w:val="none" w:sz="0" w:space="0" w:color="auto"/>
        <w:right w:val="none" w:sz="0" w:space="0" w:color="auto"/>
      </w:divBdr>
    </w:div>
    <w:div w:id="1519851074">
      <w:bodyDiv w:val="1"/>
      <w:marLeft w:val="0"/>
      <w:marRight w:val="0"/>
      <w:marTop w:val="0"/>
      <w:marBottom w:val="0"/>
      <w:divBdr>
        <w:top w:val="none" w:sz="0" w:space="0" w:color="auto"/>
        <w:left w:val="none" w:sz="0" w:space="0" w:color="auto"/>
        <w:bottom w:val="none" w:sz="0" w:space="0" w:color="auto"/>
        <w:right w:val="none" w:sz="0" w:space="0" w:color="auto"/>
      </w:divBdr>
    </w:div>
    <w:div w:id="1519853262">
      <w:bodyDiv w:val="1"/>
      <w:marLeft w:val="0"/>
      <w:marRight w:val="0"/>
      <w:marTop w:val="0"/>
      <w:marBottom w:val="0"/>
      <w:divBdr>
        <w:top w:val="none" w:sz="0" w:space="0" w:color="auto"/>
        <w:left w:val="none" w:sz="0" w:space="0" w:color="auto"/>
        <w:bottom w:val="none" w:sz="0" w:space="0" w:color="auto"/>
        <w:right w:val="none" w:sz="0" w:space="0" w:color="auto"/>
      </w:divBdr>
    </w:div>
    <w:div w:id="1519924629">
      <w:bodyDiv w:val="1"/>
      <w:marLeft w:val="0"/>
      <w:marRight w:val="0"/>
      <w:marTop w:val="0"/>
      <w:marBottom w:val="0"/>
      <w:divBdr>
        <w:top w:val="none" w:sz="0" w:space="0" w:color="auto"/>
        <w:left w:val="none" w:sz="0" w:space="0" w:color="auto"/>
        <w:bottom w:val="none" w:sz="0" w:space="0" w:color="auto"/>
        <w:right w:val="none" w:sz="0" w:space="0" w:color="auto"/>
      </w:divBdr>
    </w:div>
    <w:div w:id="1520002682">
      <w:bodyDiv w:val="1"/>
      <w:marLeft w:val="0"/>
      <w:marRight w:val="0"/>
      <w:marTop w:val="0"/>
      <w:marBottom w:val="0"/>
      <w:divBdr>
        <w:top w:val="none" w:sz="0" w:space="0" w:color="auto"/>
        <w:left w:val="none" w:sz="0" w:space="0" w:color="auto"/>
        <w:bottom w:val="none" w:sz="0" w:space="0" w:color="auto"/>
        <w:right w:val="none" w:sz="0" w:space="0" w:color="auto"/>
      </w:divBdr>
    </w:div>
    <w:div w:id="1520267797">
      <w:bodyDiv w:val="1"/>
      <w:marLeft w:val="0"/>
      <w:marRight w:val="0"/>
      <w:marTop w:val="0"/>
      <w:marBottom w:val="0"/>
      <w:divBdr>
        <w:top w:val="none" w:sz="0" w:space="0" w:color="auto"/>
        <w:left w:val="none" w:sz="0" w:space="0" w:color="auto"/>
        <w:bottom w:val="none" w:sz="0" w:space="0" w:color="auto"/>
        <w:right w:val="none" w:sz="0" w:space="0" w:color="auto"/>
      </w:divBdr>
    </w:div>
    <w:div w:id="1520461043">
      <w:bodyDiv w:val="1"/>
      <w:marLeft w:val="0"/>
      <w:marRight w:val="0"/>
      <w:marTop w:val="0"/>
      <w:marBottom w:val="0"/>
      <w:divBdr>
        <w:top w:val="none" w:sz="0" w:space="0" w:color="auto"/>
        <w:left w:val="none" w:sz="0" w:space="0" w:color="auto"/>
        <w:bottom w:val="none" w:sz="0" w:space="0" w:color="auto"/>
        <w:right w:val="none" w:sz="0" w:space="0" w:color="auto"/>
      </w:divBdr>
    </w:div>
    <w:div w:id="1520464446">
      <w:bodyDiv w:val="1"/>
      <w:marLeft w:val="0"/>
      <w:marRight w:val="0"/>
      <w:marTop w:val="0"/>
      <w:marBottom w:val="0"/>
      <w:divBdr>
        <w:top w:val="none" w:sz="0" w:space="0" w:color="auto"/>
        <w:left w:val="none" w:sz="0" w:space="0" w:color="auto"/>
        <w:bottom w:val="none" w:sz="0" w:space="0" w:color="auto"/>
        <w:right w:val="none" w:sz="0" w:space="0" w:color="auto"/>
      </w:divBdr>
    </w:div>
    <w:div w:id="1520579590">
      <w:bodyDiv w:val="1"/>
      <w:marLeft w:val="0"/>
      <w:marRight w:val="0"/>
      <w:marTop w:val="0"/>
      <w:marBottom w:val="0"/>
      <w:divBdr>
        <w:top w:val="none" w:sz="0" w:space="0" w:color="auto"/>
        <w:left w:val="none" w:sz="0" w:space="0" w:color="auto"/>
        <w:bottom w:val="none" w:sz="0" w:space="0" w:color="auto"/>
        <w:right w:val="none" w:sz="0" w:space="0" w:color="auto"/>
      </w:divBdr>
    </w:div>
    <w:div w:id="1520583918">
      <w:bodyDiv w:val="1"/>
      <w:marLeft w:val="0"/>
      <w:marRight w:val="0"/>
      <w:marTop w:val="0"/>
      <w:marBottom w:val="0"/>
      <w:divBdr>
        <w:top w:val="none" w:sz="0" w:space="0" w:color="auto"/>
        <w:left w:val="none" w:sz="0" w:space="0" w:color="auto"/>
        <w:bottom w:val="none" w:sz="0" w:space="0" w:color="auto"/>
        <w:right w:val="none" w:sz="0" w:space="0" w:color="auto"/>
      </w:divBdr>
    </w:div>
    <w:div w:id="1520729362">
      <w:bodyDiv w:val="1"/>
      <w:marLeft w:val="0"/>
      <w:marRight w:val="0"/>
      <w:marTop w:val="0"/>
      <w:marBottom w:val="0"/>
      <w:divBdr>
        <w:top w:val="none" w:sz="0" w:space="0" w:color="auto"/>
        <w:left w:val="none" w:sz="0" w:space="0" w:color="auto"/>
        <w:bottom w:val="none" w:sz="0" w:space="0" w:color="auto"/>
        <w:right w:val="none" w:sz="0" w:space="0" w:color="auto"/>
      </w:divBdr>
    </w:div>
    <w:div w:id="1520730086">
      <w:bodyDiv w:val="1"/>
      <w:marLeft w:val="0"/>
      <w:marRight w:val="0"/>
      <w:marTop w:val="0"/>
      <w:marBottom w:val="0"/>
      <w:divBdr>
        <w:top w:val="none" w:sz="0" w:space="0" w:color="auto"/>
        <w:left w:val="none" w:sz="0" w:space="0" w:color="auto"/>
        <w:bottom w:val="none" w:sz="0" w:space="0" w:color="auto"/>
        <w:right w:val="none" w:sz="0" w:space="0" w:color="auto"/>
      </w:divBdr>
    </w:div>
    <w:div w:id="1520856381">
      <w:bodyDiv w:val="1"/>
      <w:marLeft w:val="0"/>
      <w:marRight w:val="0"/>
      <w:marTop w:val="0"/>
      <w:marBottom w:val="0"/>
      <w:divBdr>
        <w:top w:val="none" w:sz="0" w:space="0" w:color="auto"/>
        <w:left w:val="none" w:sz="0" w:space="0" w:color="auto"/>
        <w:bottom w:val="none" w:sz="0" w:space="0" w:color="auto"/>
        <w:right w:val="none" w:sz="0" w:space="0" w:color="auto"/>
      </w:divBdr>
    </w:div>
    <w:div w:id="1520894599">
      <w:bodyDiv w:val="1"/>
      <w:marLeft w:val="0"/>
      <w:marRight w:val="0"/>
      <w:marTop w:val="0"/>
      <w:marBottom w:val="0"/>
      <w:divBdr>
        <w:top w:val="none" w:sz="0" w:space="0" w:color="auto"/>
        <w:left w:val="none" w:sz="0" w:space="0" w:color="auto"/>
        <w:bottom w:val="none" w:sz="0" w:space="0" w:color="auto"/>
        <w:right w:val="none" w:sz="0" w:space="0" w:color="auto"/>
      </w:divBdr>
    </w:div>
    <w:div w:id="1520922718">
      <w:bodyDiv w:val="1"/>
      <w:marLeft w:val="0"/>
      <w:marRight w:val="0"/>
      <w:marTop w:val="0"/>
      <w:marBottom w:val="0"/>
      <w:divBdr>
        <w:top w:val="none" w:sz="0" w:space="0" w:color="auto"/>
        <w:left w:val="none" w:sz="0" w:space="0" w:color="auto"/>
        <w:bottom w:val="none" w:sz="0" w:space="0" w:color="auto"/>
        <w:right w:val="none" w:sz="0" w:space="0" w:color="auto"/>
      </w:divBdr>
    </w:div>
    <w:div w:id="1520966997">
      <w:bodyDiv w:val="1"/>
      <w:marLeft w:val="0"/>
      <w:marRight w:val="0"/>
      <w:marTop w:val="0"/>
      <w:marBottom w:val="0"/>
      <w:divBdr>
        <w:top w:val="none" w:sz="0" w:space="0" w:color="auto"/>
        <w:left w:val="none" w:sz="0" w:space="0" w:color="auto"/>
        <w:bottom w:val="none" w:sz="0" w:space="0" w:color="auto"/>
        <w:right w:val="none" w:sz="0" w:space="0" w:color="auto"/>
      </w:divBdr>
    </w:div>
    <w:div w:id="1521119234">
      <w:bodyDiv w:val="1"/>
      <w:marLeft w:val="0"/>
      <w:marRight w:val="0"/>
      <w:marTop w:val="0"/>
      <w:marBottom w:val="0"/>
      <w:divBdr>
        <w:top w:val="none" w:sz="0" w:space="0" w:color="auto"/>
        <w:left w:val="none" w:sz="0" w:space="0" w:color="auto"/>
        <w:bottom w:val="none" w:sz="0" w:space="0" w:color="auto"/>
        <w:right w:val="none" w:sz="0" w:space="0" w:color="auto"/>
      </w:divBdr>
    </w:div>
    <w:div w:id="1521165369">
      <w:bodyDiv w:val="1"/>
      <w:marLeft w:val="0"/>
      <w:marRight w:val="0"/>
      <w:marTop w:val="0"/>
      <w:marBottom w:val="0"/>
      <w:divBdr>
        <w:top w:val="none" w:sz="0" w:space="0" w:color="auto"/>
        <w:left w:val="none" w:sz="0" w:space="0" w:color="auto"/>
        <w:bottom w:val="none" w:sz="0" w:space="0" w:color="auto"/>
        <w:right w:val="none" w:sz="0" w:space="0" w:color="auto"/>
      </w:divBdr>
    </w:div>
    <w:div w:id="1521238348">
      <w:bodyDiv w:val="1"/>
      <w:marLeft w:val="0"/>
      <w:marRight w:val="0"/>
      <w:marTop w:val="0"/>
      <w:marBottom w:val="0"/>
      <w:divBdr>
        <w:top w:val="none" w:sz="0" w:space="0" w:color="auto"/>
        <w:left w:val="none" w:sz="0" w:space="0" w:color="auto"/>
        <w:bottom w:val="none" w:sz="0" w:space="0" w:color="auto"/>
        <w:right w:val="none" w:sz="0" w:space="0" w:color="auto"/>
      </w:divBdr>
    </w:div>
    <w:div w:id="1521241527">
      <w:bodyDiv w:val="1"/>
      <w:marLeft w:val="0"/>
      <w:marRight w:val="0"/>
      <w:marTop w:val="0"/>
      <w:marBottom w:val="0"/>
      <w:divBdr>
        <w:top w:val="none" w:sz="0" w:space="0" w:color="auto"/>
        <w:left w:val="none" w:sz="0" w:space="0" w:color="auto"/>
        <w:bottom w:val="none" w:sz="0" w:space="0" w:color="auto"/>
        <w:right w:val="none" w:sz="0" w:space="0" w:color="auto"/>
      </w:divBdr>
    </w:div>
    <w:div w:id="1521310507">
      <w:bodyDiv w:val="1"/>
      <w:marLeft w:val="0"/>
      <w:marRight w:val="0"/>
      <w:marTop w:val="0"/>
      <w:marBottom w:val="0"/>
      <w:divBdr>
        <w:top w:val="none" w:sz="0" w:space="0" w:color="auto"/>
        <w:left w:val="none" w:sz="0" w:space="0" w:color="auto"/>
        <w:bottom w:val="none" w:sz="0" w:space="0" w:color="auto"/>
        <w:right w:val="none" w:sz="0" w:space="0" w:color="auto"/>
      </w:divBdr>
    </w:div>
    <w:div w:id="1521355960">
      <w:bodyDiv w:val="1"/>
      <w:marLeft w:val="0"/>
      <w:marRight w:val="0"/>
      <w:marTop w:val="0"/>
      <w:marBottom w:val="0"/>
      <w:divBdr>
        <w:top w:val="none" w:sz="0" w:space="0" w:color="auto"/>
        <w:left w:val="none" w:sz="0" w:space="0" w:color="auto"/>
        <w:bottom w:val="none" w:sz="0" w:space="0" w:color="auto"/>
        <w:right w:val="none" w:sz="0" w:space="0" w:color="auto"/>
      </w:divBdr>
    </w:div>
    <w:div w:id="1521359038">
      <w:bodyDiv w:val="1"/>
      <w:marLeft w:val="0"/>
      <w:marRight w:val="0"/>
      <w:marTop w:val="0"/>
      <w:marBottom w:val="0"/>
      <w:divBdr>
        <w:top w:val="none" w:sz="0" w:space="0" w:color="auto"/>
        <w:left w:val="none" w:sz="0" w:space="0" w:color="auto"/>
        <w:bottom w:val="none" w:sz="0" w:space="0" w:color="auto"/>
        <w:right w:val="none" w:sz="0" w:space="0" w:color="auto"/>
      </w:divBdr>
    </w:div>
    <w:div w:id="1521624331">
      <w:bodyDiv w:val="1"/>
      <w:marLeft w:val="0"/>
      <w:marRight w:val="0"/>
      <w:marTop w:val="0"/>
      <w:marBottom w:val="0"/>
      <w:divBdr>
        <w:top w:val="none" w:sz="0" w:space="0" w:color="auto"/>
        <w:left w:val="none" w:sz="0" w:space="0" w:color="auto"/>
        <w:bottom w:val="none" w:sz="0" w:space="0" w:color="auto"/>
        <w:right w:val="none" w:sz="0" w:space="0" w:color="auto"/>
      </w:divBdr>
    </w:div>
    <w:div w:id="1521774952">
      <w:bodyDiv w:val="1"/>
      <w:marLeft w:val="0"/>
      <w:marRight w:val="0"/>
      <w:marTop w:val="0"/>
      <w:marBottom w:val="0"/>
      <w:divBdr>
        <w:top w:val="none" w:sz="0" w:space="0" w:color="auto"/>
        <w:left w:val="none" w:sz="0" w:space="0" w:color="auto"/>
        <w:bottom w:val="none" w:sz="0" w:space="0" w:color="auto"/>
        <w:right w:val="none" w:sz="0" w:space="0" w:color="auto"/>
      </w:divBdr>
    </w:div>
    <w:div w:id="1521777541">
      <w:bodyDiv w:val="1"/>
      <w:marLeft w:val="0"/>
      <w:marRight w:val="0"/>
      <w:marTop w:val="0"/>
      <w:marBottom w:val="0"/>
      <w:divBdr>
        <w:top w:val="none" w:sz="0" w:space="0" w:color="auto"/>
        <w:left w:val="none" w:sz="0" w:space="0" w:color="auto"/>
        <w:bottom w:val="none" w:sz="0" w:space="0" w:color="auto"/>
        <w:right w:val="none" w:sz="0" w:space="0" w:color="auto"/>
      </w:divBdr>
    </w:div>
    <w:div w:id="1521895924">
      <w:bodyDiv w:val="1"/>
      <w:marLeft w:val="0"/>
      <w:marRight w:val="0"/>
      <w:marTop w:val="0"/>
      <w:marBottom w:val="0"/>
      <w:divBdr>
        <w:top w:val="none" w:sz="0" w:space="0" w:color="auto"/>
        <w:left w:val="none" w:sz="0" w:space="0" w:color="auto"/>
        <w:bottom w:val="none" w:sz="0" w:space="0" w:color="auto"/>
        <w:right w:val="none" w:sz="0" w:space="0" w:color="auto"/>
      </w:divBdr>
    </w:div>
    <w:div w:id="1521965961">
      <w:bodyDiv w:val="1"/>
      <w:marLeft w:val="0"/>
      <w:marRight w:val="0"/>
      <w:marTop w:val="0"/>
      <w:marBottom w:val="0"/>
      <w:divBdr>
        <w:top w:val="none" w:sz="0" w:space="0" w:color="auto"/>
        <w:left w:val="none" w:sz="0" w:space="0" w:color="auto"/>
        <w:bottom w:val="none" w:sz="0" w:space="0" w:color="auto"/>
        <w:right w:val="none" w:sz="0" w:space="0" w:color="auto"/>
      </w:divBdr>
    </w:div>
    <w:div w:id="1521971917">
      <w:bodyDiv w:val="1"/>
      <w:marLeft w:val="0"/>
      <w:marRight w:val="0"/>
      <w:marTop w:val="0"/>
      <w:marBottom w:val="0"/>
      <w:divBdr>
        <w:top w:val="none" w:sz="0" w:space="0" w:color="auto"/>
        <w:left w:val="none" w:sz="0" w:space="0" w:color="auto"/>
        <w:bottom w:val="none" w:sz="0" w:space="0" w:color="auto"/>
        <w:right w:val="none" w:sz="0" w:space="0" w:color="auto"/>
      </w:divBdr>
    </w:div>
    <w:div w:id="1522009421">
      <w:bodyDiv w:val="1"/>
      <w:marLeft w:val="0"/>
      <w:marRight w:val="0"/>
      <w:marTop w:val="0"/>
      <w:marBottom w:val="0"/>
      <w:divBdr>
        <w:top w:val="none" w:sz="0" w:space="0" w:color="auto"/>
        <w:left w:val="none" w:sz="0" w:space="0" w:color="auto"/>
        <w:bottom w:val="none" w:sz="0" w:space="0" w:color="auto"/>
        <w:right w:val="none" w:sz="0" w:space="0" w:color="auto"/>
      </w:divBdr>
    </w:div>
    <w:div w:id="1522011294">
      <w:bodyDiv w:val="1"/>
      <w:marLeft w:val="0"/>
      <w:marRight w:val="0"/>
      <w:marTop w:val="0"/>
      <w:marBottom w:val="0"/>
      <w:divBdr>
        <w:top w:val="none" w:sz="0" w:space="0" w:color="auto"/>
        <w:left w:val="none" w:sz="0" w:space="0" w:color="auto"/>
        <w:bottom w:val="none" w:sz="0" w:space="0" w:color="auto"/>
        <w:right w:val="none" w:sz="0" w:space="0" w:color="auto"/>
      </w:divBdr>
    </w:div>
    <w:div w:id="1522015564">
      <w:bodyDiv w:val="1"/>
      <w:marLeft w:val="0"/>
      <w:marRight w:val="0"/>
      <w:marTop w:val="0"/>
      <w:marBottom w:val="0"/>
      <w:divBdr>
        <w:top w:val="none" w:sz="0" w:space="0" w:color="auto"/>
        <w:left w:val="none" w:sz="0" w:space="0" w:color="auto"/>
        <w:bottom w:val="none" w:sz="0" w:space="0" w:color="auto"/>
        <w:right w:val="none" w:sz="0" w:space="0" w:color="auto"/>
      </w:divBdr>
    </w:div>
    <w:div w:id="1522159237">
      <w:bodyDiv w:val="1"/>
      <w:marLeft w:val="0"/>
      <w:marRight w:val="0"/>
      <w:marTop w:val="0"/>
      <w:marBottom w:val="0"/>
      <w:divBdr>
        <w:top w:val="none" w:sz="0" w:space="0" w:color="auto"/>
        <w:left w:val="none" w:sz="0" w:space="0" w:color="auto"/>
        <w:bottom w:val="none" w:sz="0" w:space="0" w:color="auto"/>
        <w:right w:val="none" w:sz="0" w:space="0" w:color="auto"/>
      </w:divBdr>
    </w:div>
    <w:div w:id="1522209579">
      <w:bodyDiv w:val="1"/>
      <w:marLeft w:val="0"/>
      <w:marRight w:val="0"/>
      <w:marTop w:val="0"/>
      <w:marBottom w:val="0"/>
      <w:divBdr>
        <w:top w:val="none" w:sz="0" w:space="0" w:color="auto"/>
        <w:left w:val="none" w:sz="0" w:space="0" w:color="auto"/>
        <w:bottom w:val="none" w:sz="0" w:space="0" w:color="auto"/>
        <w:right w:val="none" w:sz="0" w:space="0" w:color="auto"/>
      </w:divBdr>
    </w:div>
    <w:div w:id="1522235777">
      <w:bodyDiv w:val="1"/>
      <w:marLeft w:val="0"/>
      <w:marRight w:val="0"/>
      <w:marTop w:val="0"/>
      <w:marBottom w:val="0"/>
      <w:divBdr>
        <w:top w:val="none" w:sz="0" w:space="0" w:color="auto"/>
        <w:left w:val="none" w:sz="0" w:space="0" w:color="auto"/>
        <w:bottom w:val="none" w:sz="0" w:space="0" w:color="auto"/>
        <w:right w:val="none" w:sz="0" w:space="0" w:color="auto"/>
      </w:divBdr>
    </w:div>
    <w:div w:id="1522278862">
      <w:bodyDiv w:val="1"/>
      <w:marLeft w:val="0"/>
      <w:marRight w:val="0"/>
      <w:marTop w:val="0"/>
      <w:marBottom w:val="0"/>
      <w:divBdr>
        <w:top w:val="none" w:sz="0" w:space="0" w:color="auto"/>
        <w:left w:val="none" w:sz="0" w:space="0" w:color="auto"/>
        <w:bottom w:val="none" w:sz="0" w:space="0" w:color="auto"/>
        <w:right w:val="none" w:sz="0" w:space="0" w:color="auto"/>
      </w:divBdr>
    </w:div>
    <w:div w:id="1522552401">
      <w:bodyDiv w:val="1"/>
      <w:marLeft w:val="0"/>
      <w:marRight w:val="0"/>
      <w:marTop w:val="0"/>
      <w:marBottom w:val="0"/>
      <w:divBdr>
        <w:top w:val="none" w:sz="0" w:space="0" w:color="auto"/>
        <w:left w:val="none" w:sz="0" w:space="0" w:color="auto"/>
        <w:bottom w:val="none" w:sz="0" w:space="0" w:color="auto"/>
        <w:right w:val="none" w:sz="0" w:space="0" w:color="auto"/>
      </w:divBdr>
    </w:div>
    <w:div w:id="1522622562">
      <w:bodyDiv w:val="1"/>
      <w:marLeft w:val="0"/>
      <w:marRight w:val="0"/>
      <w:marTop w:val="0"/>
      <w:marBottom w:val="0"/>
      <w:divBdr>
        <w:top w:val="none" w:sz="0" w:space="0" w:color="auto"/>
        <w:left w:val="none" w:sz="0" w:space="0" w:color="auto"/>
        <w:bottom w:val="none" w:sz="0" w:space="0" w:color="auto"/>
        <w:right w:val="none" w:sz="0" w:space="0" w:color="auto"/>
      </w:divBdr>
    </w:div>
    <w:div w:id="1522813625">
      <w:bodyDiv w:val="1"/>
      <w:marLeft w:val="0"/>
      <w:marRight w:val="0"/>
      <w:marTop w:val="0"/>
      <w:marBottom w:val="0"/>
      <w:divBdr>
        <w:top w:val="none" w:sz="0" w:space="0" w:color="auto"/>
        <w:left w:val="none" w:sz="0" w:space="0" w:color="auto"/>
        <w:bottom w:val="none" w:sz="0" w:space="0" w:color="auto"/>
        <w:right w:val="none" w:sz="0" w:space="0" w:color="auto"/>
      </w:divBdr>
    </w:div>
    <w:div w:id="1522816751">
      <w:bodyDiv w:val="1"/>
      <w:marLeft w:val="0"/>
      <w:marRight w:val="0"/>
      <w:marTop w:val="0"/>
      <w:marBottom w:val="0"/>
      <w:divBdr>
        <w:top w:val="none" w:sz="0" w:space="0" w:color="auto"/>
        <w:left w:val="none" w:sz="0" w:space="0" w:color="auto"/>
        <w:bottom w:val="none" w:sz="0" w:space="0" w:color="auto"/>
        <w:right w:val="none" w:sz="0" w:space="0" w:color="auto"/>
      </w:divBdr>
    </w:div>
    <w:div w:id="1522817513">
      <w:bodyDiv w:val="1"/>
      <w:marLeft w:val="0"/>
      <w:marRight w:val="0"/>
      <w:marTop w:val="0"/>
      <w:marBottom w:val="0"/>
      <w:divBdr>
        <w:top w:val="none" w:sz="0" w:space="0" w:color="auto"/>
        <w:left w:val="none" w:sz="0" w:space="0" w:color="auto"/>
        <w:bottom w:val="none" w:sz="0" w:space="0" w:color="auto"/>
        <w:right w:val="none" w:sz="0" w:space="0" w:color="auto"/>
      </w:divBdr>
    </w:div>
    <w:div w:id="1522822010">
      <w:bodyDiv w:val="1"/>
      <w:marLeft w:val="0"/>
      <w:marRight w:val="0"/>
      <w:marTop w:val="0"/>
      <w:marBottom w:val="0"/>
      <w:divBdr>
        <w:top w:val="none" w:sz="0" w:space="0" w:color="auto"/>
        <w:left w:val="none" w:sz="0" w:space="0" w:color="auto"/>
        <w:bottom w:val="none" w:sz="0" w:space="0" w:color="auto"/>
        <w:right w:val="none" w:sz="0" w:space="0" w:color="auto"/>
      </w:divBdr>
    </w:div>
    <w:div w:id="1522889816">
      <w:bodyDiv w:val="1"/>
      <w:marLeft w:val="0"/>
      <w:marRight w:val="0"/>
      <w:marTop w:val="0"/>
      <w:marBottom w:val="0"/>
      <w:divBdr>
        <w:top w:val="none" w:sz="0" w:space="0" w:color="auto"/>
        <w:left w:val="none" w:sz="0" w:space="0" w:color="auto"/>
        <w:bottom w:val="none" w:sz="0" w:space="0" w:color="auto"/>
        <w:right w:val="none" w:sz="0" w:space="0" w:color="auto"/>
      </w:divBdr>
    </w:div>
    <w:div w:id="1523056949">
      <w:bodyDiv w:val="1"/>
      <w:marLeft w:val="0"/>
      <w:marRight w:val="0"/>
      <w:marTop w:val="0"/>
      <w:marBottom w:val="0"/>
      <w:divBdr>
        <w:top w:val="none" w:sz="0" w:space="0" w:color="auto"/>
        <w:left w:val="none" w:sz="0" w:space="0" w:color="auto"/>
        <w:bottom w:val="none" w:sz="0" w:space="0" w:color="auto"/>
        <w:right w:val="none" w:sz="0" w:space="0" w:color="auto"/>
      </w:divBdr>
    </w:div>
    <w:div w:id="1523086353">
      <w:bodyDiv w:val="1"/>
      <w:marLeft w:val="0"/>
      <w:marRight w:val="0"/>
      <w:marTop w:val="0"/>
      <w:marBottom w:val="0"/>
      <w:divBdr>
        <w:top w:val="none" w:sz="0" w:space="0" w:color="auto"/>
        <w:left w:val="none" w:sz="0" w:space="0" w:color="auto"/>
        <w:bottom w:val="none" w:sz="0" w:space="0" w:color="auto"/>
        <w:right w:val="none" w:sz="0" w:space="0" w:color="auto"/>
      </w:divBdr>
    </w:div>
    <w:div w:id="1523200805">
      <w:bodyDiv w:val="1"/>
      <w:marLeft w:val="0"/>
      <w:marRight w:val="0"/>
      <w:marTop w:val="0"/>
      <w:marBottom w:val="0"/>
      <w:divBdr>
        <w:top w:val="none" w:sz="0" w:space="0" w:color="auto"/>
        <w:left w:val="none" w:sz="0" w:space="0" w:color="auto"/>
        <w:bottom w:val="none" w:sz="0" w:space="0" w:color="auto"/>
        <w:right w:val="none" w:sz="0" w:space="0" w:color="auto"/>
      </w:divBdr>
    </w:div>
    <w:div w:id="1523282361">
      <w:bodyDiv w:val="1"/>
      <w:marLeft w:val="0"/>
      <w:marRight w:val="0"/>
      <w:marTop w:val="0"/>
      <w:marBottom w:val="0"/>
      <w:divBdr>
        <w:top w:val="none" w:sz="0" w:space="0" w:color="auto"/>
        <w:left w:val="none" w:sz="0" w:space="0" w:color="auto"/>
        <w:bottom w:val="none" w:sz="0" w:space="0" w:color="auto"/>
        <w:right w:val="none" w:sz="0" w:space="0" w:color="auto"/>
      </w:divBdr>
    </w:div>
    <w:div w:id="1523592571">
      <w:bodyDiv w:val="1"/>
      <w:marLeft w:val="0"/>
      <w:marRight w:val="0"/>
      <w:marTop w:val="0"/>
      <w:marBottom w:val="0"/>
      <w:divBdr>
        <w:top w:val="none" w:sz="0" w:space="0" w:color="auto"/>
        <w:left w:val="none" w:sz="0" w:space="0" w:color="auto"/>
        <w:bottom w:val="none" w:sz="0" w:space="0" w:color="auto"/>
        <w:right w:val="none" w:sz="0" w:space="0" w:color="auto"/>
      </w:divBdr>
    </w:div>
    <w:div w:id="1523740818">
      <w:bodyDiv w:val="1"/>
      <w:marLeft w:val="0"/>
      <w:marRight w:val="0"/>
      <w:marTop w:val="0"/>
      <w:marBottom w:val="0"/>
      <w:divBdr>
        <w:top w:val="none" w:sz="0" w:space="0" w:color="auto"/>
        <w:left w:val="none" w:sz="0" w:space="0" w:color="auto"/>
        <w:bottom w:val="none" w:sz="0" w:space="0" w:color="auto"/>
        <w:right w:val="none" w:sz="0" w:space="0" w:color="auto"/>
      </w:divBdr>
    </w:div>
    <w:div w:id="1523744098">
      <w:bodyDiv w:val="1"/>
      <w:marLeft w:val="0"/>
      <w:marRight w:val="0"/>
      <w:marTop w:val="0"/>
      <w:marBottom w:val="0"/>
      <w:divBdr>
        <w:top w:val="none" w:sz="0" w:space="0" w:color="auto"/>
        <w:left w:val="none" w:sz="0" w:space="0" w:color="auto"/>
        <w:bottom w:val="none" w:sz="0" w:space="0" w:color="auto"/>
        <w:right w:val="none" w:sz="0" w:space="0" w:color="auto"/>
      </w:divBdr>
    </w:div>
    <w:div w:id="1524123777">
      <w:bodyDiv w:val="1"/>
      <w:marLeft w:val="0"/>
      <w:marRight w:val="0"/>
      <w:marTop w:val="0"/>
      <w:marBottom w:val="0"/>
      <w:divBdr>
        <w:top w:val="none" w:sz="0" w:space="0" w:color="auto"/>
        <w:left w:val="none" w:sz="0" w:space="0" w:color="auto"/>
        <w:bottom w:val="none" w:sz="0" w:space="0" w:color="auto"/>
        <w:right w:val="none" w:sz="0" w:space="0" w:color="auto"/>
      </w:divBdr>
    </w:div>
    <w:div w:id="1524130567">
      <w:bodyDiv w:val="1"/>
      <w:marLeft w:val="0"/>
      <w:marRight w:val="0"/>
      <w:marTop w:val="0"/>
      <w:marBottom w:val="0"/>
      <w:divBdr>
        <w:top w:val="none" w:sz="0" w:space="0" w:color="auto"/>
        <w:left w:val="none" w:sz="0" w:space="0" w:color="auto"/>
        <w:bottom w:val="none" w:sz="0" w:space="0" w:color="auto"/>
        <w:right w:val="none" w:sz="0" w:space="0" w:color="auto"/>
      </w:divBdr>
    </w:div>
    <w:div w:id="1524247835">
      <w:bodyDiv w:val="1"/>
      <w:marLeft w:val="0"/>
      <w:marRight w:val="0"/>
      <w:marTop w:val="0"/>
      <w:marBottom w:val="0"/>
      <w:divBdr>
        <w:top w:val="none" w:sz="0" w:space="0" w:color="auto"/>
        <w:left w:val="none" w:sz="0" w:space="0" w:color="auto"/>
        <w:bottom w:val="none" w:sz="0" w:space="0" w:color="auto"/>
        <w:right w:val="none" w:sz="0" w:space="0" w:color="auto"/>
      </w:divBdr>
    </w:div>
    <w:div w:id="1524250613">
      <w:bodyDiv w:val="1"/>
      <w:marLeft w:val="0"/>
      <w:marRight w:val="0"/>
      <w:marTop w:val="0"/>
      <w:marBottom w:val="0"/>
      <w:divBdr>
        <w:top w:val="none" w:sz="0" w:space="0" w:color="auto"/>
        <w:left w:val="none" w:sz="0" w:space="0" w:color="auto"/>
        <w:bottom w:val="none" w:sz="0" w:space="0" w:color="auto"/>
        <w:right w:val="none" w:sz="0" w:space="0" w:color="auto"/>
      </w:divBdr>
    </w:div>
    <w:div w:id="1524322530">
      <w:bodyDiv w:val="1"/>
      <w:marLeft w:val="0"/>
      <w:marRight w:val="0"/>
      <w:marTop w:val="0"/>
      <w:marBottom w:val="0"/>
      <w:divBdr>
        <w:top w:val="none" w:sz="0" w:space="0" w:color="auto"/>
        <w:left w:val="none" w:sz="0" w:space="0" w:color="auto"/>
        <w:bottom w:val="none" w:sz="0" w:space="0" w:color="auto"/>
        <w:right w:val="none" w:sz="0" w:space="0" w:color="auto"/>
      </w:divBdr>
    </w:div>
    <w:div w:id="1524324658">
      <w:bodyDiv w:val="1"/>
      <w:marLeft w:val="0"/>
      <w:marRight w:val="0"/>
      <w:marTop w:val="0"/>
      <w:marBottom w:val="0"/>
      <w:divBdr>
        <w:top w:val="none" w:sz="0" w:space="0" w:color="auto"/>
        <w:left w:val="none" w:sz="0" w:space="0" w:color="auto"/>
        <w:bottom w:val="none" w:sz="0" w:space="0" w:color="auto"/>
        <w:right w:val="none" w:sz="0" w:space="0" w:color="auto"/>
      </w:divBdr>
    </w:div>
    <w:div w:id="1524367713">
      <w:bodyDiv w:val="1"/>
      <w:marLeft w:val="0"/>
      <w:marRight w:val="0"/>
      <w:marTop w:val="0"/>
      <w:marBottom w:val="0"/>
      <w:divBdr>
        <w:top w:val="none" w:sz="0" w:space="0" w:color="auto"/>
        <w:left w:val="none" w:sz="0" w:space="0" w:color="auto"/>
        <w:bottom w:val="none" w:sz="0" w:space="0" w:color="auto"/>
        <w:right w:val="none" w:sz="0" w:space="0" w:color="auto"/>
      </w:divBdr>
    </w:div>
    <w:div w:id="1524515701">
      <w:bodyDiv w:val="1"/>
      <w:marLeft w:val="0"/>
      <w:marRight w:val="0"/>
      <w:marTop w:val="0"/>
      <w:marBottom w:val="0"/>
      <w:divBdr>
        <w:top w:val="none" w:sz="0" w:space="0" w:color="auto"/>
        <w:left w:val="none" w:sz="0" w:space="0" w:color="auto"/>
        <w:bottom w:val="none" w:sz="0" w:space="0" w:color="auto"/>
        <w:right w:val="none" w:sz="0" w:space="0" w:color="auto"/>
      </w:divBdr>
    </w:div>
    <w:div w:id="1524519321">
      <w:bodyDiv w:val="1"/>
      <w:marLeft w:val="0"/>
      <w:marRight w:val="0"/>
      <w:marTop w:val="0"/>
      <w:marBottom w:val="0"/>
      <w:divBdr>
        <w:top w:val="none" w:sz="0" w:space="0" w:color="auto"/>
        <w:left w:val="none" w:sz="0" w:space="0" w:color="auto"/>
        <w:bottom w:val="none" w:sz="0" w:space="0" w:color="auto"/>
        <w:right w:val="none" w:sz="0" w:space="0" w:color="auto"/>
      </w:divBdr>
    </w:div>
    <w:div w:id="1524592388">
      <w:bodyDiv w:val="1"/>
      <w:marLeft w:val="0"/>
      <w:marRight w:val="0"/>
      <w:marTop w:val="0"/>
      <w:marBottom w:val="0"/>
      <w:divBdr>
        <w:top w:val="none" w:sz="0" w:space="0" w:color="auto"/>
        <w:left w:val="none" w:sz="0" w:space="0" w:color="auto"/>
        <w:bottom w:val="none" w:sz="0" w:space="0" w:color="auto"/>
        <w:right w:val="none" w:sz="0" w:space="0" w:color="auto"/>
      </w:divBdr>
    </w:div>
    <w:div w:id="1524634368">
      <w:bodyDiv w:val="1"/>
      <w:marLeft w:val="0"/>
      <w:marRight w:val="0"/>
      <w:marTop w:val="0"/>
      <w:marBottom w:val="0"/>
      <w:divBdr>
        <w:top w:val="none" w:sz="0" w:space="0" w:color="auto"/>
        <w:left w:val="none" w:sz="0" w:space="0" w:color="auto"/>
        <w:bottom w:val="none" w:sz="0" w:space="0" w:color="auto"/>
        <w:right w:val="none" w:sz="0" w:space="0" w:color="auto"/>
      </w:divBdr>
    </w:div>
    <w:div w:id="1524635706">
      <w:bodyDiv w:val="1"/>
      <w:marLeft w:val="0"/>
      <w:marRight w:val="0"/>
      <w:marTop w:val="0"/>
      <w:marBottom w:val="0"/>
      <w:divBdr>
        <w:top w:val="none" w:sz="0" w:space="0" w:color="auto"/>
        <w:left w:val="none" w:sz="0" w:space="0" w:color="auto"/>
        <w:bottom w:val="none" w:sz="0" w:space="0" w:color="auto"/>
        <w:right w:val="none" w:sz="0" w:space="0" w:color="auto"/>
      </w:divBdr>
    </w:div>
    <w:div w:id="1524636690">
      <w:bodyDiv w:val="1"/>
      <w:marLeft w:val="0"/>
      <w:marRight w:val="0"/>
      <w:marTop w:val="0"/>
      <w:marBottom w:val="0"/>
      <w:divBdr>
        <w:top w:val="none" w:sz="0" w:space="0" w:color="auto"/>
        <w:left w:val="none" w:sz="0" w:space="0" w:color="auto"/>
        <w:bottom w:val="none" w:sz="0" w:space="0" w:color="auto"/>
        <w:right w:val="none" w:sz="0" w:space="0" w:color="auto"/>
      </w:divBdr>
    </w:div>
    <w:div w:id="1524788006">
      <w:bodyDiv w:val="1"/>
      <w:marLeft w:val="0"/>
      <w:marRight w:val="0"/>
      <w:marTop w:val="0"/>
      <w:marBottom w:val="0"/>
      <w:divBdr>
        <w:top w:val="none" w:sz="0" w:space="0" w:color="auto"/>
        <w:left w:val="none" w:sz="0" w:space="0" w:color="auto"/>
        <w:bottom w:val="none" w:sz="0" w:space="0" w:color="auto"/>
        <w:right w:val="none" w:sz="0" w:space="0" w:color="auto"/>
      </w:divBdr>
    </w:div>
    <w:div w:id="1524858602">
      <w:bodyDiv w:val="1"/>
      <w:marLeft w:val="0"/>
      <w:marRight w:val="0"/>
      <w:marTop w:val="0"/>
      <w:marBottom w:val="0"/>
      <w:divBdr>
        <w:top w:val="none" w:sz="0" w:space="0" w:color="auto"/>
        <w:left w:val="none" w:sz="0" w:space="0" w:color="auto"/>
        <w:bottom w:val="none" w:sz="0" w:space="0" w:color="auto"/>
        <w:right w:val="none" w:sz="0" w:space="0" w:color="auto"/>
      </w:divBdr>
    </w:div>
    <w:div w:id="1525051959">
      <w:bodyDiv w:val="1"/>
      <w:marLeft w:val="0"/>
      <w:marRight w:val="0"/>
      <w:marTop w:val="0"/>
      <w:marBottom w:val="0"/>
      <w:divBdr>
        <w:top w:val="none" w:sz="0" w:space="0" w:color="auto"/>
        <w:left w:val="none" w:sz="0" w:space="0" w:color="auto"/>
        <w:bottom w:val="none" w:sz="0" w:space="0" w:color="auto"/>
        <w:right w:val="none" w:sz="0" w:space="0" w:color="auto"/>
      </w:divBdr>
    </w:div>
    <w:div w:id="1525170476">
      <w:bodyDiv w:val="1"/>
      <w:marLeft w:val="0"/>
      <w:marRight w:val="0"/>
      <w:marTop w:val="0"/>
      <w:marBottom w:val="0"/>
      <w:divBdr>
        <w:top w:val="none" w:sz="0" w:space="0" w:color="auto"/>
        <w:left w:val="none" w:sz="0" w:space="0" w:color="auto"/>
        <w:bottom w:val="none" w:sz="0" w:space="0" w:color="auto"/>
        <w:right w:val="none" w:sz="0" w:space="0" w:color="auto"/>
      </w:divBdr>
    </w:div>
    <w:div w:id="1525247520">
      <w:bodyDiv w:val="1"/>
      <w:marLeft w:val="0"/>
      <w:marRight w:val="0"/>
      <w:marTop w:val="0"/>
      <w:marBottom w:val="0"/>
      <w:divBdr>
        <w:top w:val="none" w:sz="0" w:space="0" w:color="auto"/>
        <w:left w:val="none" w:sz="0" w:space="0" w:color="auto"/>
        <w:bottom w:val="none" w:sz="0" w:space="0" w:color="auto"/>
        <w:right w:val="none" w:sz="0" w:space="0" w:color="auto"/>
      </w:divBdr>
    </w:div>
    <w:div w:id="1525435706">
      <w:bodyDiv w:val="1"/>
      <w:marLeft w:val="0"/>
      <w:marRight w:val="0"/>
      <w:marTop w:val="0"/>
      <w:marBottom w:val="0"/>
      <w:divBdr>
        <w:top w:val="none" w:sz="0" w:space="0" w:color="auto"/>
        <w:left w:val="none" w:sz="0" w:space="0" w:color="auto"/>
        <w:bottom w:val="none" w:sz="0" w:space="0" w:color="auto"/>
        <w:right w:val="none" w:sz="0" w:space="0" w:color="auto"/>
      </w:divBdr>
    </w:div>
    <w:div w:id="1525483481">
      <w:bodyDiv w:val="1"/>
      <w:marLeft w:val="0"/>
      <w:marRight w:val="0"/>
      <w:marTop w:val="0"/>
      <w:marBottom w:val="0"/>
      <w:divBdr>
        <w:top w:val="none" w:sz="0" w:space="0" w:color="auto"/>
        <w:left w:val="none" w:sz="0" w:space="0" w:color="auto"/>
        <w:bottom w:val="none" w:sz="0" w:space="0" w:color="auto"/>
        <w:right w:val="none" w:sz="0" w:space="0" w:color="auto"/>
      </w:divBdr>
    </w:div>
    <w:div w:id="1525485547">
      <w:bodyDiv w:val="1"/>
      <w:marLeft w:val="0"/>
      <w:marRight w:val="0"/>
      <w:marTop w:val="0"/>
      <w:marBottom w:val="0"/>
      <w:divBdr>
        <w:top w:val="none" w:sz="0" w:space="0" w:color="auto"/>
        <w:left w:val="none" w:sz="0" w:space="0" w:color="auto"/>
        <w:bottom w:val="none" w:sz="0" w:space="0" w:color="auto"/>
        <w:right w:val="none" w:sz="0" w:space="0" w:color="auto"/>
      </w:divBdr>
    </w:div>
    <w:div w:id="1525553323">
      <w:bodyDiv w:val="1"/>
      <w:marLeft w:val="0"/>
      <w:marRight w:val="0"/>
      <w:marTop w:val="0"/>
      <w:marBottom w:val="0"/>
      <w:divBdr>
        <w:top w:val="none" w:sz="0" w:space="0" w:color="auto"/>
        <w:left w:val="none" w:sz="0" w:space="0" w:color="auto"/>
        <w:bottom w:val="none" w:sz="0" w:space="0" w:color="auto"/>
        <w:right w:val="none" w:sz="0" w:space="0" w:color="auto"/>
      </w:divBdr>
    </w:div>
    <w:div w:id="1525629247">
      <w:bodyDiv w:val="1"/>
      <w:marLeft w:val="0"/>
      <w:marRight w:val="0"/>
      <w:marTop w:val="0"/>
      <w:marBottom w:val="0"/>
      <w:divBdr>
        <w:top w:val="none" w:sz="0" w:space="0" w:color="auto"/>
        <w:left w:val="none" w:sz="0" w:space="0" w:color="auto"/>
        <w:bottom w:val="none" w:sz="0" w:space="0" w:color="auto"/>
        <w:right w:val="none" w:sz="0" w:space="0" w:color="auto"/>
      </w:divBdr>
    </w:div>
    <w:div w:id="1525706031">
      <w:bodyDiv w:val="1"/>
      <w:marLeft w:val="0"/>
      <w:marRight w:val="0"/>
      <w:marTop w:val="0"/>
      <w:marBottom w:val="0"/>
      <w:divBdr>
        <w:top w:val="none" w:sz="0" w:space="0" w:color="auto"/>
        <w:left w:val="none" w:sz="0" w:space="0" w:color="auto"/>
        <w:bottom w:val="none" w:sz="0" w:space="0" w:color="auto"/>
        <w:right w:val="none" w:sz="0" w:space="0" w:color="auto"/>
      </w:divBdr>
    </w:div>
    <w:div w:id="1525828549">
      <w:bodyDiv w:val="1"/>
      <w:marLeft w:val="0"/>
      <w:marRight w:val="0"/>
      <w:marTop w:val="0"/>
      <w:marBottom w:val="0"/>
      <w:divBdr>
        <w:top w:val="none" w:sz="0" w:space="0" w:color="auto"/>
        <w:left w:val="none" w:sz="0" w:space="0" w:color="auto"/>
        <w:bottom w:val="none" w:sz="0" w:space="0" w:color="auto"/>
        <w:right w:val="none" w:sz="0" w:space="0" w:color="auto"/>
      </w:divBdr>
    </w:div>
    <w:div w:id="1525945247">
      <w:bodyDiv w:val="1"/>
      <w:marLeft w:val="0"/>
      <w:marRight w:val="0"/>
      <w:marTop w:val="0"/>
      <w:marBottom w:val="0"/>
      <w:divBdr>
        <w:top w:val="none" w:sz="0" w:space="0" w:color="auto"/>
        <w:left w:val="none" w:sz="0" w:space="0" w:color="auto"/>
        <w:bottom w:val="none" w:sz="0" w:space="0" w:color="auto"/>
        <w:right w:val="none" w:sz="0" w:space="0" w:color="auto"/>
      </w:divBdr>
    </w:div>
    <w:div w:id="1525972715">
      <w:bodyDiv w:val="1"/>
      <w:marLeft w:val="0"/>
      <w:marRight w:val="0"/>
      <w:marTop w:val="0"/>
      <w:marBottom w:val="0"/>
      <w:divBdr>
        <w:top w:val="none" w:sz="0" w:space="0" w:color="auto"/>
        <w:left w:val="none" w:sz="0" w:space="0" w:color="auto"/>
        <w:bottom w:val="none" w:sz="0" w:space="0" w:color="auto"/>
        <w:right w:val="none" w:sz="0" w:space="0" w:color="auto"/>
      </w:divBdr>
    </w:div>
    <w:div w:id="1526014687">
      <w:bodyDiv w:val="1"/>
      <w:marLeft w:val="0"/>
      <w:marRight w:val="0"/>
      <w:marTop w:val="0"/>
      <w:marBottom w:val="0"/>
      <w:divBdr>
        <w:top w:val="none" w:sz="0" w:space="0" w:color="auto"/>
        <w:left w:val="none" w:sz="0" w:space="0" w:color="auto"/>
        <w:bottom w:val="none" w:sz="0" w:space="0" w:color="auto"/>
        <w:right w:val="none" w:sz="0" w:space="0" w:color="auto"/>
      </w:divBdr>
    </w:div>
    <w:div w:id="1526094182">
      <w:bodyDiv w:val="1"/>
      <w:marLeft w:val="0"/>
      <w:marRight w:val="0"/>
      <w:marTop w:val="0"/>
      <w:marBottom w:val="0"/>
      <w:divBdr>
        <w:top w:val="none" w:sz="0" w:space="0" w:color="auto"/>
        <w:left w:val="none" w:sz="0" w:space="0" w:color="auto"/>
        <w:bottom w:val="none" w:sz="0" w:space="0" w:color="auto"/>
        <w:right w:val="none" w:sz="0" w:space="0" w:color="auto"/>
      </w:divBdr>
    </w:div>
    <w:div w:id="1526166522">
      <w:bodyDiv w:val="1"/>
      <w:marLeft w:val="0"/>
      <w:marRight w:val="0"/>
      <w:marTop w:val="0"/>
      <w:marBottom w:val="0"/>
      <w:divBdr>
        <w:top w:val="none" w:sz="0" w:space="0" w:color="auto"/>
        <w:left w:val="none" w:sz="0" w:space="0" w:color="auto"/>
        <w:bottom w:val="none" w:sz="0" w:space="0" w:color="auto"/>
        <w:right w:val="none" w:sz="0" w:space="0" w:color="auto"/>
      </w:divBdr>
    </w:div>
    <w:div w:id="1526168428">
      <w:bodyDiv w:val="1"/>
      <w:marLeft w:val="0"/>
      <w:marRight w:val="0"/>
      <w:marTop w:val="0"/>
      <w:marBottom w:val="0"/>
      <w:divBdr>
        <w:top w:val="none" w:sz="0" w:space="0" w:color="auto"/>
        <w:left w:val="none" w:sz="0" w:space="0" w:color="auto"/>
        <w:bottom w:val="none" w:sz="0" w:space="0" w:color="auto"/>
        <w:right w:val="none" w:sz="0" w:space="0" w:color="auto"/>
      </w:divBdr>
    </w:div>
    <w:div w:id="1526288844">
      <w:bodyDiv w:val="1"/>
      <w:marLeft w:val="0"/>
      <w:marRight w:val="0"/>
      <w:marTop w:val="0"/>
      <w:marBottom w:val="0"/>
      <w:divBdr>
        <w:top w:val="none" w:sz="0" w:space="0" w:color="auto"/>
        <w:left w:val="none" w:sz="0" w:space="0" w:color="auto"/>
        <w:bottom w:val="none" w:sz="0" w:space="0" w:color="auto"/>
        <w:right w:val="none" w:sz="0" w:space="0" w:color="auto"/>
      </w:divBdr>
    </w:div>
    <w:div w:id="1526360241">
      <w:bodyDiv w:val="1"/>
      <w:marLeft w:val="0"/>
      <w:marRight w:val="0"/>
      <w:marTop w:val="0"/>
      <w:marBottom w:val="0"/>
      <w:divBdr>
        <w:top w:val="none" w:sz="0" w:space="0" w:color="auto"/>
        <w:left w:val="none" w:sz="0" w:space="0" w:color="auto"/>
        <w:bottom w:val="none" w:sz="0" w:space="0" w:color="auto"/>
        <w:right w:val="none" w:sz="0" w:space="0" w:color="auto"/>
      </w:divBdr>
    </w:div>
    <w:div w:id="1526408876">
      <w:bodyDiv w:val="1"/>
      <w:marLeft w:val="0"/>
      <w:marRight w:val="0"/>
      <w:marTop w:val="0"/>
      <w:marBottom w:val="0"/>
      <w:divBdr>
        <w:top w:val="none" w:sz="0" w:space="0" w:color="auto"/>
        <w:left w:val="none" w:sz="0" w:space="0" w:color="auto"/>
        <w:bottom w:val="none" w:sz="0" w:space="0" w:color="auto"/>
        <w:right w:val="none" w:sz="0" w:space="0" w:color="auto"/>
      </w:divBdr>
    </w:div>
    <w:div w:id="1526409133">
      <w:bodyDiv w:val="1"/>
      <w:marLeft w:val="0"/>
      <w:marRight w:val="0"/>
      <w:marTop w:val="0"/>
      <w:marBottom w:val="0"/>
      <w:divBdr>
        <w:top w:val="none" w:sz="0" w:space="0" w:color="auto"/>
        <w:left w:val="none" w:sz="0" w:space="0" w:color="auto"/>
        <w:bottom w:val="none" w:sz="0" w:space="0" w:color="auto"/>
        <w:right w:val="none" w:sz="0" w:space="0" w:color="auto"/>
      </w:divBdr>
    </w:div>
    <w:div w:id="1526409394">
      <w:bodyDiv w:val="1"/>
      <w:marLeft w:val="0"/>
      <w:marRight w:val="0"/>
      <w:marTop w:val="0"/>
      <w:marBottom w:val="0"/>
      <w:divBdr>
        <w:top w:val="none" w:sz="0" w:space="0" w:color="auto"/>
        <w:left w:val="none" w:sz="0" w:space="0" w:color="auto"/>
        <w:bottom w:val="none" w:sz="0" w:space="0" w:color="auto"/>
        <w:right w:val="none" w:sz="0" w:space="0" w:color="auto"/>
      </w:divBdr>
    </w:div>
    <w:div w:id="1526628134">
      <w:bodyDiv w:val="1"/>
      <w:marLeft w:val="0"/>
      <w:marRight w:val="0"/>
      <w:marTop w:val="0"/>
      <w:marBottom w:val="0"/>
      <w:divBdr>
        <w:top w:val="none" w:sz="0" w:space="0" w:color="auto"/>
        <w:left w:val="none" w:sz="0" w:space="0" w:color="auto"/>
        <w:bottom w:val="none" w:sz="0" w:space="0" w:color="auto"/>
        <w:right w:val="none" w:sz="0" w:space="0" w:color="auto"/>
      </w:divBdr>
    </w:div>
    <w:div w:id="1526670100">
      <w:bodyDiv w:val="1"/>
      <w:marLeft w:val="0"/>
      <w:marRight w:val="0"/>
      <w:marTop w:val="0"/>
      <w:marBottom w:val="0"/>
      <w:divBdr>
        <w:top w:val="none" w:sz="0" w:space="0" w:color="auto"/>
        <w:left w:val="none" w:sz="0" w:space="0" w:color="auto"/>
        <w:bottom w:val="none" w:sz="0" w:space="0" w:color="auto"/>
        <w:right w:val="none" w:sz="0" w:space="0" w:color="auto"/>
      </w:divBdr>
    </w:div>
    <w:div w:id="1526671864">
      <w:bodyDiv w:val="1"/>
      <w:marLeft w:val="0"/>
      <w:marRight w:val="0"/>
      <w:marTop w:val="0"/>
      <w:marBottom w:val="0"/>
      <w:divBdr>
        <w:top w:val="none" w:sz="0" w:space="0" w:color="auto"/>
        <w:left w:val="none" w:sz="0" w:space="0" w:color="auto"/>
        <w:bottom w:val="none" w:sz="0" w:space="0" w:color="auto"/>
        <w:right w:val="none" w:sz="0" w:space="0" w:color="auto"/>
      </w:divBdr>
    </w:div>
    <w:div w:id="1526677331">
      <w:bodyDiv w:val="1"/>
      <w:marLeft w:val="0"/>
      <w:marRight w:val="0"/>
      <w:marTop w:val="0"/>
      <w:marBottom w:val="0"/>
      <w:divBdr>
        <w:top w:val="none" w:sz="0" w:space="0" w:color="auto"/>
        <w:left w:val="none" w:sz="0" w:space="0" w:color="auto"/>
        <w:bottom w:val="none" w:sz="0" w:space="0" w:color="auto"/>
        <w:right w:val="none" w:sz="0" w:space="0" w:color="auto"/>
      </w:divBdr>
    </w:div>
    <w:div w:id="1526749921">
      <w:bodyDiv w:val="1"/>
      <w:marLeft w:val="0"/>
      <w:marRight w:val="0"/>
      <w:marTop w:val="0"/>
      <w:marBottom w:val="0"/>
      <w:divBdr>
        <w:top w:val="none" w:sz="0" w:space="0" w:color="auto"/>
        <w:left w:val="none" w:sz="0" w:space="0" w:color="auto"/>
        <w:bottom w:val="none" w:sz="0" w:space="0" w:color="auto"/>
        <w:right w:val="none" w:sz="0" w:space="0" w:color="auto"/>
      </w:divBdr>
    </w:div>
    <w:div w:id="1526792739">
      <w:bodyDiv w:val="1"/>
      <w:marLeft w:val="0"/>
      <w:marRight w:val="0"/>
      <w:marTop w:val="0"/>
      <w:marBottom w:val="0"/>
      <w:divBdr>
        <w:top w:val="none" w:sz="0" w:space="0" w:color="auto"/>
        <w:left w:val="none" w:sz="0" w:space="0" w:color="auto"/>
        <w:bottom w:val="none" w:sz="0" w:space="0" w:color="auto"/>
        <w:right w:val="none" w:sz="0" w:space="0" w:color="auto"/>
      </w:divBdr>
    </w:div>
    <w:div w:id="1526794427">
      <w:bodyDiv w:val="1"/>
      <w:marLeft w:val="0"/>
      <w:marRight w:val="0"/>
      <w:marTop w:val="0"/>
      <w:marBottom w:val="0"/>
      <w:divBdr>
        <w:top w:val="none" w:sz="0" w:space="0" w:color="auto"/>
        <w:left w:val="none" w:sz="0" w:space="0" w:color="auto"/>
        <w:bottom w:val="none" w:sz="0" w:space="0" w:color="auto"/>
        <w:right w:val="none" w:sz="0" w:space="0" w:color="auto"/>
      </w:divBdr>
    </w:div>
    <w:div w:id="1526941181">
      <w:bodyDiv w:val="1"/>
      <w:marLeft w:val="0"/>
      <w:marRight w:val="0"/>
      <w:marTop w:val="0"/>
      <w:marBottom w:val="0"/>
      <w:divBdr>
        <w:top w:val="none" w:sz="0" w:space="0" w:color="auto"/>
        <w:left w:val="none" w:sz="0" w:space="0" w:color="auto"/>
        <w:bottom w:val="none" w:sz="0" w:space="0" w:color="auto"/>
        <w:right w:val="none" w:sz="0" w:space="0" w:color="auto"/>
      </w:divBdr>
    </w:div>
    <w:div w:id="1527057694">
      <w:bodyDiv w:val="1"/>
      <w:marLeft w:val="0"/>
      <w:marRight w:val="0"/>
      <w:marTop w:val="0"/>
      <w:marBottom w:val="0"/>
      <w:divBdr>
        <w:top w:val="none" w:sz="0" w:space="0" w:color="auto"/>
        <w:left w:val="none" w:sz="0" w:space="0" w:color="auto"/>
        <w:bottom w:val="none" w:sz="0" w:space="0" w:color="auto"/>
        <w:right w:val="none" w:sz="0" w:space="0" w:color="auto"/>
      </w:divBdr>
    </w:div>
    <w:div w:id="1527255847">
      <w:bodyDiv w:val="1"/>
      <w:marLeft w:val="0"/>
      <w:marRight w:val="0"/>
      <w:marTop w:val="0"/>
      <w:marBottom w:val="0"/>
      <w:divBdr>
        <w:top w:val="none" w:sz="0" w:space="0" w:color="auto"/>
        <w:left w:val="none" w:sz="0" w:space="0" w:color="auto"/>
        <w:bottom w:val="none" w:sz="0" w:space="0" w:color="auto"/>
        <w:right w:val="none" w:sz="0" w:space="0" w:color="auto"/>
      </w:divBdr>
    </w:div>
    <w:div w:id="1527258459">
      <w:bodyDiv w:val="1"/>
      <w:marLeft w:val="0"/>
      <w:marRight w:val="0"/>
      <w:marTop w:val="0"/>
      <w:marBottom w:val="0"/>
      <w:divBdr>
        <w:top w:val="none" w:sz="0" w:space="0" w:color="auto"/>
        <w:left w:val="none" w:sz="0" w:space="0" w:color="auto"/>
        <w:bottom w:val="none" w:sz="0" w:space="0" w:color="auto"/>
        <w:right w:val="none" w:sz="0" w:space="0" w:color="auto"/>
      </w:divBdr>
    </w:div>
    <w:div w:id="1527403834">
      <w:bodyDiv w:val="1"/>
      <w:marLeft w:val="0"/>
      <w:marRight w:val="0"/>
      <w:marTop w:val="0"/>
      <w:marBottom w:val="0"/>
      <w:divBdr>
        <w:top w:val="none" w:sz="0" w:space="0" w:color="auto"/>
        <w:left w:val="none" w:sz="0" w:space="0" w:color="auto"/>
        <w:bottom w:val="none" w:sz="0" w:space="0" w:color="auto"/>
        <w:right w:val="none" w:sz="0" w:space="0" w:color="auto"/>
      </w:divBdr>
    </w:div>
    <w:div w:id="1527406002">
      <w:bodyDiv w:val="1"/>
      <w:marLeft w:val="0"/>
      <w:marRight w:val="0"/>
      <w:marTop w:val="0"/>
      <w:marBottom w:val="0"/>
      <w:divBdr>
        <w:top w:val="none" w:sz="0" w:space="0" w:color="auto"/>
        <w:left w:val="none" w:sz="0" w:space="0" w:color="auto"/>
        <w:bottom w:val="none" w:sz="0" w:space="0" w:color="auto"/>
        <w:right w:val="none" w:sz="0" w:space="0" w:color="auto"/>
      </w:divBdr>
    </w:div>
    <w:div w:id="1527409187">
      <w:bodyDiv w:val="1"/>
      <w:marLeft w:val="0"/>
      <w:marRight w:val="0"/>
      <w:marTop w:val="0"/>
      <w:marBottom w:val="0"/>
      <w:divBdr>
        <w:top w:val="none" w:sz="0" w:space="0" w:color="auto"/>
        <w:left w:val="none" w:sz="0" w:space="0" w:color="auto"/>
        <w:bottom w:val="none" w:sz="0" w:space="0" w:color="auto"/>
        <w:right w:val="none" w:sz="0" w:space="0" w:color="auto"/>
      </w:divBdr>
    </w:div>
    <w:div w:id="1527476546">
      <w:bodyDiv w:val="1"/>
      <w:marLeft w:val="0"/>
      <w:marRight w:val="0"/>
      <w:marTop w:val="0"/>
      <w:marBottom w:val="0"/>
      <w:divBdr>
        <w:top w:val="none" w:sz="0" w:space="0" w:color="auto"/>
        <w:left w:val="none" w:sz="0" w:space="0" w:color="auto"/>
        <w:bottom w:val="none" w:sz="0" w:space="0" w:color="auto"/>
        <w:right w:val="none" w:sz="0" w:space="0" w:color="auto"/>
      </w:divBdr>
    </w:div>
    <w:div w:id="1527601530">
      <w:bodyDiv w:val="1"/>
      <w:marLeft w:val="0"/>
      <w:marRight w:val="0"/>
      <w:marTop w:val="0"/>
      <w:marBottom w:val="0"/>
      <w:divBdr>
        <w:top w:val="none" w:sz="0" w:space="0" w:color="auto"/>
        <w:left w:val="none" w:sz="0" w:space="0" w:color="auto"/>
        <w:bottom w:val="none" w:sz="0" w:space="0" w:color="auto"/>
        <w:right w:val="none" w:sz="0" w:space="0" w:color="auto"/>
      </w:divBdr>
    </w:div>
    <w:div w:id="1527671153">
      <w:bodyDiv w:val="1"/>
      <w:marLeft w:val="0"/>
      <w:marRight w:val="0"/>
      <w:marTop w:val="0"/>
      <w:marBottom w:val="0"/>
      <w:divBdr>
        <w:top w:val="none" w:sz="0" w:space="0" w:color="auto"/>
        <w:left w:val="none" w:sz="0" w:space="0" w:color="auto"/>
        <w:bottom w:val="none" w:sz="0" w:space="0" w:color="auto"/>
        <w:right w:val="none" w:sz="0" w:space="0" w:color="auto"/>
      </w:divBdr>
    </w:div>
    <w:div w:id="1527715002">
      <w:bodyDiv w:val="1"/>
      <w:marLeft w:val="0"/>
      <w:marRight w:val="0"/>
      <w:marTop w:val="0"/>
      <w:marBottom w:val="0"/>
      <w:divBdr>
        <w:top w:val="none" w:sz="0" w:space="0" w:color="auto"/>
        <w:left w:val="none" w:sz="0" w:space="0" w:color="auto"/>
        <w:bottom w:val="none" w:sz="0" w:space="0" w:color="auto"/>
        <w:right w:val="none" w:sz="0" w:space="0" w:color="auto"/>
      </w:divBdr>
    </w:div>
    <w:div w:id="1527718932">
      <w:bodyDiv w:val="1"/>
      <w:marLeft w:val="0"/>
      <w:marRight w:val="0"/>
      <w:marTop w:val="0"/>
      <w:marBottom w:val="0"/>
      <w:divBdr>
        <w:top w:val="none" w:sz="0" w:space="0" w:color="auto"/>
        <w:left w:val="none" w:sz="0" w:space="0" w:color="auto"/>
        <w:bottom w:val="none" w:sz="0" w:space="0" w:color="auto"/>
        <w:right w:val="none" w:sz="0" w:space="0" w:color="auto"/>
      </w:divBdr>
    </w:div>
    <w:div w:id="1527862266">
      <w:bodyDiv w:val="1"/>
      <w:marLeft w:val="0"/>
      <w:marRight w:val="0"/>
      <w:marTop w:val="0"/>
      <w:marBottom w:val="0"/>
      <w:divBdr>
        <w:top w:val="none" w:sz="0" w:space="0" w:color="auto"/>
        <w:left w:val="none" w:sz="0" w:space="0" w:color="auto"/>
        <w:bottom w:val="none" w:sz="0" w:space="0" w:color="auto"/>
        <w:right w:val="none" w:sz="0" w:space="0" w:color="auto"/>
      </w:divBdr>
    </w:div>
    <w:div w:id="1527864501">
      <w:bodyDiv w:val="1"/>
      <w:marLeft w:val="0"/>
      <w:marRight w:val="0"/>
      <w:marTop w:val="0"/>
      <w:marBottom w:val="0"/>
      <w:divBdr>
        <w:top w:val="none" w:sz="0" w:space="0" w:color="auto"/>
        <w:left w:val="none" w:sz="0" w:space="0" w:color="auto"/>
        <w:bottom w:val="none" w:sz="0" w:space="0" w:color="auto"/>
        <w:right w:val="none" w:sz="0" w:space="0" w:color="auto"/>
      </w:divBdr>
    </w:div>
    <w:div w:id="1527868204">
      <w:bodyDiv w:val="1"/>
      <w:marLeft w:val="0"/>
      <w:marRight w:val="0"/>
      <w:marTop w:val="0"/>
      <w:marBottom w:val="0"/>
      <w:divBdr>
        <w:top w:val="none" w:sz="0" w:space="0" w:color="auto"/>
        <w:left w:val="none" w:sz="0" w:space="0" w:color="auto"/>
        <w:bottom w:val="none" w:sz="0" w:space="0" w:color="auto"/>
        <w:right w:val="none" w:sz="0" w:space="0" w:color="auto"/>
      </w:divBdr>
    </w:div>
    <w:div w:id="1527913956">
      <w:bodyDiv w:val="1"/>
      <w:marLeft w:val="0"/>
      <w:marRight w:val="0"/>
      <w:marTop w:val="0"/>
      <w:marBottom w:val="0"/>
      <w:divBdr>
        <w:top w:val="none" w:sz="0" w:space="0" w:color="auto"/>
        <w:left w:val="none" w:sz="0" w:space="0" w:color="auto"/>
        <w:bottom w:val="none" w:sz="0" w:space="0" w:color="auto"/>
        <w:right w:val="none" w:sz="0" w:space="0" w:color="auto"/>
      </w:divBdr>
    </w:div>
    <w:div w:id="1528329010">
      <w:bodyDiv w:val="1"/>
      <w:marLeft w:val="0"/>
      <w:marRight w:val="0"/>
      <w:marTop w:val="0"/>
      <w:marBottom w:val="0"/>
      <w:divBdr>
        <w:top w:val="none" w:sz="0" w:space="0" w:color="auto"/>
        <w:left w:val="none" w:sz="0" w:space="0" w:color="auto"/>
        <w:bottom w:val="none" w:sz="0" w:space="0" w:color="auto"/>
        <w:right w:val="none" w:sz="0" w:space="0" w:color="auto"/>
      </w:divBdr>
    </w:div>
    <w:div w:id="1528904192">
      <w:bodyDiv w:val="1"/>
      <w:marLeft w:val="0"/>
      <w:marRight w:val="0"/>
      <w:marTop w:val="0"/>
      <w:marBottom w:val="0"/>
      <w:divBdr>
        <w:top w:val="none" w:sz="0" w:space="0" w:color="auto"/>
        <w:left w:val="none" w:sz="0" w:space="0" w:color="auto"/>
        <w:bottom w:val="none" w:sz="0" w:space="0" w:color="auto"/>
        <w:right w:val="none" w:sz="0" w:space="0" w:color="auto"/>
      </w:divBdr>
    </w:div>
    <w:div w:id="1529024787">
      <w:bodyDiv w:val="1"/>
      <w:marLeft w:val="0"/>
      <w:marRight w:val="0"/>
      <w:marTop w:val="0"/>
      <w:marBottom w:val="0"/>
      <w:divBdr>
        <w:top w:val="none" w:sz="0" w:space="0" w:color="auto"/>
        <w:left w:val="none" w:sz="0" w:space="0" w:color="auto"/>
        <w:bottom w:val="none" w:sz="0" w:space="0" w:color="auto"/>
        <w:right w:val="none" w:sz="0" w:space="0" w:color="auto"/>
      </w:divBdr>
    </w:div>
    <w:div w:id="1529029929">
      <w:bodyDiv w:val="1"/>
      <w:marLeft w:val="0"/>
      <w:marRight w:val="0"/>
      <w:marTop w:val="0"/>
      <w:marBottom w:val="0"/>
      <w:divBdr>
        <w:top w:val="none" w:sz="0" w:space="0" w:color="auto"/>
        <w:left w:val="none" w:sz="0" w:space="0" w:color="auto"/>
        <w:bottom w:val="none" w:sz="0" w:space="0" w:color="auto"/>
        <w:right w:val="none" w:sz="0" w:space="0" w:color="auto"/>
      </w:divBdr>
    </w:div>
    <w:div w:id="1529106291">
      <w:bodyDiv w:val="1"/>
      <w:marLeft w:val="0"/>
      <w:marRight w:val="0"/>
      <w:marTop w:val="0"/>
      <w:marBottom w:val="0"/>
      <w:divBdr>
        <w:top w:val="none" w:sz="0" w:space="0" w:color="auto"/>
        <w:left w:val="none" w:sz="0" w:space="0" w:color="auto"/>
        <w:bottom w:val="none" w:sz="0" w:space="0" w:color="auto"/>
        <w:right w:val="none" w:sz="0" w:space="0" w:color="auto"/>
      </w:divBdr>
    </w:div>
    <w:div w:id="1529174395">
      <w:bodyDiv w:val="1"/>
      <w:marLeft w:val="0"/>
      <w:marRight w:val="0"/>
      <w:marTop w:val="0"/>
      <w:marBottom w:val="0"/>
      <w:divBdr>
        <w:top w:val="none" w:sz="0" w:space="0" w:color="auto"/>
        <w:left w:val="none" w:sz="0" w:space="0" w:color="auto"/>
        <w:bottom w:val="none" w:sz="0" w:space="0" w:color="auto"/>
        <w:right w:val="none" w:sz="0" w:space="0" w:color="auto"/>
      </w:divBdr>
    </w:div>
    <w:div w:id="1529223579">
      <w:bodyDiv w:val="1"/>
      <w:marLeft w:val="0"/>
      <w:marRight w:val="0"/>
      <w:marTop w:val="0"/>
      <w:marBottom w:val="0"/>
      <w:divBdr>
        <w:top w:val="none" w:sz="0" w:space="0" w:color="auto"/>
        <w:left w:val="none" w:sz="0" w:space="0" w:color="auto"/>
        <w:bottom w:val="none" w:sz="0" w:space="0" w:color="auto"/>
        <w:right w:val="none" w:sz="0" w:space="0" w:color="auto"/>
      </w:divBdr>
    </w:div>
    <w:div w:id="1529248166">
      <w:bodyDiv w:val="1"/>
      <w:marLeft w:val="0"/>
      <w:marRight w:val="0"/>
      <w:marTop w:val="0"/>
      <w:marBottom w:val="0"/>
      <w:divBdr>
        <w:top w:val="none" w:sz="0" w:space="0" w:color="auto"/>
        <w:left w:val="none" w:sz="0" w:space="0" w:color="auto"/>
        <w:bottom w:val="none" w:sz="0" w:space="0" w:color="auto"/>
        <w:right w:val="none" w:sz="0" w:space="0" w:color="auto"/>
      </w:divBdr>
    </w:div>
    <w:div w:id="1529371963">
      <w:bodyDiv w:val="1"/>
      <w:marLeft w:val="0"/>
      <w:marRight w:val="0"/>
      <w:marTop w:val="0"/>
      <w:marBottom w:val="0"/>
      <w:divBdr>
        <w:top w:val="none" w:sz="0" w:space="0" w:color="auto"/>
        <w:left w:val="none" w:sz="0" w:space="0" w:color="auto"/>
        <w:bottom w:val="none" w:sz="0" w:space="0" w:color="auto"/>
        <w:right w:val="none" w:sz="0" w:space="0" w:color="auto"/>
      </w:divBdr>
    </w:div>
    <w:div w:id="1529486818">
      <w:bodyDiv w:val="1"/>
      <w:marLeft w:val="0"/>
      <w:marRight w:val="0"/>
      <w:marTop w:val="0"/>
      <w:marBottom w:val="0"/>
      <w:divBdr>
        <w:top w:val="none" w:sz="0" w:space="0" w:color="auto"/>
        <w:left w:val="none" w:sz="0" w:space="0" w:color="auto"/>
        <w:bottom w:val="none" w:sz="0" w:space="0" w:color="auto"/>
        <w:right w:val="none" w:sz="0" w:space="0" w:color="auto"/>
      </w:divBdr>
    </w:div>
    <w:div w:id="1529564615">
      <w:bodyDiv w:val="1"/>
      <w:marLeft w:val="0"/>
      <w:marRight w:val="0"/>
      <w:marTop w:val="0"/>
      <w:marBottom w:val="0"/>
      <w:divBdr>
        <w:top w:val="none" w:sz="0" w:space="0" w:color="auto"/>
        <w:left w:val="none" w:sz="0" w:space="0" w:color="auto"/>
        <w:bottom w:val="none" w:sz="0" w:space="0" w:color="auto"/>
        <w:right w:val="none" w:sz="0" w:space="0" w:color="auto"/>
      </w:divBdr>
    </w:div>
    <w:div w:id="1529685591">
      <w:bodyDiv w:val="1"/>
      <w:marLeft w:val="0"/>
      <w:marRight w:val="0"/>
      <w:marTop w:val="0"/>
      <w:marBottom w:val="0"/>
      <w:divBdr>
        <w:top w:val="none" w:sz="0" w:space="0" w:color="auto"/>
        <w:left w:val="none" w:sz="0" w:space="0" w:color="auto"/>
        <w:bottom w:val="none" w:sz="0" w:space="0" w:color="auto"/>
        <w:right w:val="none" w:sz="0" w:space="0" w:color="auto"/>
      </w:divBdr>
    </w:div>
    <w:div w:id="1529952280">
      <w:bodyDiv w:val="1"/>
      <w:marLeft w:val="0"/>
      <w:marRight w:val="0"/>
      <w:marTop w:val="0"/>
      <w:marBottom w:val="0"/>
      <w:divBdr>
        <w:top w:val="none" w:sz="0" w:space="0" w:color="auto"/>
        <w:left w:val="none" w:sz="0" w:space="0" w:color="auto"/>
        <w:bottom w:val="none" w:sz="0" w:space="0" w:color="auto"/>
        <w:right w:val="none" w:sz="0" w:space="0" w:color="auto"/>
      </w:divBdr>
    </w:div>
    <w:div w:id="1530100131">
      <w:bodyDiv w:val="1"/>
      <w:marLeft w:val="0"/>
      <w:marRight w:val="0"/>
      <w:marTop w:val="0"/>
      <w:marBottom w:val="0"/>
      <w:divBdr>
        <w:top w:val="none" w:sz="0" w:space="0" w:color="auto"/>
        <w:left w:val="none" w:sz="0" w:space="0" w:color="auto"/>
        <w:bottom w:val="none" w:sz="0" w:space="0" w:color="auto"/>
        <w:right w:val="none" w:sz="0" w:space="0" w:color="auto"/>
      </w:divBdr>
    </w:div>
    <w:div w:id="1530101481">
      <w:bodyDiv w:val="1"/>
      <w:marLeft w:val="0"/>
      <w:marRight w:val="0"/>
      <w:marTop w:val="0"/>
      <w:marBottom w:val="0"/>
      <w:divBdr>
        <w:top w:val="none" w:sz="0" w:space="0" w:color="auto"/>
        <w:left w:val="none" w:sz="0" w:space="0" w:color="auto"/>
        <w:bottom w:val="none" w:sz="0" w:space="0" w:color="auto"/>
        <w:right w:val="none" w:sz="0" w:space="0" w:color="auto"/>
      </w:divBdr>
    </w:div>
    <w:div w:id="1530218583">
      <w:bodyDiv w:val="1"/>
      <w:marLeft w:val="0"/>
      <w:marRight w:val="0"/>
      <w:marTop w:val="0"/>
      <w:marBottom w:val="0"/>
      <w:divBdr>
        <w:top w:val="none" w:sz="0" w:space="0" w:color="auto"/>
        <w:left w:val="none" w:sz="0" w:space="0" w:color="auto"/>
        <w:bottom w:val="none" w:sz="0" w:space="0" w:color="auto"/>
        <w:right w:val="none" w:sz="0" w:space="0" w:color="auto"/>
      </w:divBdr>
    </w:div>
    <w:div w:id="1530332656">
      <w:bodyDiv w:val="1"/>
      <w:marLeft w:val="0"/>
      <w:marRight w:val="0"/>
      <w:marTop w:val="0"/>
      <w:marBottom w:val="0"/>
      <w:divBdr>
        <w:top w:val="none" w:sz="0" w:space="0" w:color="auto"/>
        <w:left w:val="none" w:sz="0" w:space="0" w:color="auto"/>
        <w:bottom w:val="none" w:sz="0" w:space="0" w:color="auto"/>
        <w:right w:val="none" w:sz="0" w:space="0" w:color="auto"/>
      </w:divBdr>
    </w:div>
    <w:div w:id="1530409230">
      <w:bodyDiv w:val="1"/>
      <w:marLeft w:val="0"/>
      <w:marRight w:val="0"/>
      <w:marTop w:val="0"/>
      <w:marBottom w:val="0"/>
      <w:divBdr>
        <w:top w:val="none" w:sz="0" w:space="0" w:color="auto"/>
        <w:left w:val="none" w:sz="0" w:space="0" w:color="auto"/>
        <w:bottom w:val="none" w:sz="0" w:space="0" w:color="auto"/>
        <w:right w:val="none" w:sz="0" w:space="0" w:color="auto"/>
      </w:divBdr>
    </w:div>
    <w:div w:id="1530602640">
      <w:bodyDiv w:val="1"/>
      <w:marLeft w:val="0"/>
      <w:marRight w:val="0"/>
      <w:marTop w:val="0"/>
      <w:marBottom w:val="0"/>
      <w:divBdr>
        <w:top w:val="none" w:sz="0" w:space="0" w:color="auto"/>
        <w:left w:val="none" w:sz="0" w:space="0" w:color="auto"/>
        <w:bottom w:val="none" w:sz="0" w:space="0" w:color="auto"/>
        <w:right w:val="none" w:sz="0" w:space="0" w:color="auto"/>
      </w:divBdr>
    </w:div>
    <w:div w:id="1530603133">
      <w:bodyDiv w:val="1"/>
      <w:marLeft w:val="0"/>
      <w:marRight w:val="0"/>
      <w:marTop w:val="0"/>
      <w:marBottom w:val="0"/>
      <w:divBdr>
        <w:top w:val="none" w:sz="0" w:space="0" w:color="auto"/>
        <w:left w:val="none" w:sz="0" w:space="0" w:color="auto"/>
        <w:bottom w:val="none" w:sz="0" w:space="0" w:color="auto"/>
        <w:right w:val="none" w:sz="0" w:space="0" w:color="auto"/>
      </w:divBdr>
    </w:div>
    <w:div w:id="1530676972">
      <w:bodyDiv w:val="1"/>
      <w:marLeft w:val="0"/>
      <w:marRight w:val="0"/>
      <w:marTop w:val="0"/>
      <w:marBottom w:val="0"/>
      <w:divBdr>
        <w:top w:val="none" w:sz="0" w:space="0" w:color="auto"/>
        <w:left w:val="none" w:sz="0" w:space="0" w:color="auto"/>
        <w:bottom w:val="none" w:sz="0" w:space="0" w:color="auto"/>
        <w:right w:val="none" w:sz="0" w:space="0" w:color="auto"/>
      </w:divBdr>
    </w:div>
    <w:div w:id="1530678091">
      <w:bodyDiv w:val="1"/>
      <w:marLeft w:val="0"/>
      <w:marRight w:val="0"/>
      <w:marTop w:val="0"/>
      <w:marBottom w:val="0"/>
      <w:divBdr>
        <w:top w:val="none" w:sz="0" w:space="0" w:color="auto"/>
        <w:left w:val="none" w:sz="0" w:space="0" w:color="auto"/>
        <w:bottom w:val="none" w:sz="0" w:space="0" w:color="auto"/>
        <w:right w:val="none" w:sz="0" w:space="0" w:color="auto"/>
      </w:divBdr>
    </w:div>
    <w:div w:id="1530680121">
      <w:bodyDiv w:val="1"/>
      <w:marLeft w:val="0"/>
      <w:marRight w:val="0"/>
      <w:marTop w:val="0"/>
      <w:marBottom w:val="0"/>
      <w:divBdr>
        <w:top w:val="none" w:sz="0" w:space="0" w:color="auto"/>
        <w:left w:val="none" w:sz="0" w:space="0" w:color="auto"/>
        <w:bottom w:val="none" w:sz="0" w:space="0" w:color="auto"/>
        <w:right w:val="none" w:sz="0" w:space="0" w:color="auto"/>
      </w:divBdr>
    </w:div>
    <w:div w:id="1530796547">
      <w:bodyDiv w:val="1"/>
      <w:marLeft w:val="0"/>
      <w:marRight w:val="0"/>
      <w:marTop w:val="0"/>
      <w:marBottom w:val="0"/>
      <w:divBdr>
        <w:top w:val="none" w:sz="0" w:space="0" w:color="auto"/>
        <w:left w:val="none" w:sz="0" w:space="0" w:color="auto"/>
        <w:bottom w:val="none" w:sz="0" w:space="0" w:color="auto"/>
        <w:right w:val="none" w:sz="0" w:space="0" w:color="auto"/>
      </w:divBdr>
    </w:div>
    <w:div w:id="1531063412">
      <w:bodyDiv w:val="1"/>
      <w:marLeft w:val="0"/>
      <w:marRight w:val="0"/>
      <w:marTop w:val="0"/>
      <w:marBottom w:val="0"/>
      <w:divBdr>
        <w:top w:val="none" w:sz="0" w:space="0" w:color="auto"/>
        <w:left w:val="none" w:sz="0" w:space="0" w:color="auto"/>
        <w:bottom w:val="none" w:sz="0" w:space="0" w:color="auto"/>
        <w:right w:val="none" w:sz="0" w:space="0" w:color="auto"/>
      </w:divBdr>
    </w:div>
    <w:div w:id="1531070112">
      <w:bodyDiv w:val="1"/>
      <w:marLeft w:val="0"/>
      <w:marRight w:val="0"/>
      <w:marTop w:val="0"/>
      <w:marBottom w:val="0"/>
      <w:divBdr>
        <w:top w:val="none" w:sz="0" w:space="0" w:color="auto"/>
        <w:left w:val="none" w:sz="0" w:space="0" w:color="auto"/>
        <w:bottom w:val="none" w:sz="0" w:space="0" w:color="auto"/>
        <w:right w:val="none" w:sz="0" w:space="0" w:color="auto"/>
      </w:divBdr>
    </w:div>
    <w:div w:id="1531265645">
      <w:bodyDiv w:val="1"/>
      <w:marLeft w:val="0"/>
      <w:marRight w:val="0"/>
      <w:marTop w:val="0"/>
      <w:marBottom w:val="0"/>
      <w:divBdr>
        <w:top w:val="none" w:sz="0" w:space="0" w:color="auto"/>
        <w:left w:val="none" w:sz="0" w:space="0" w:color="auto"/>
        <w:bottom w:val="none" w:sz="0" w:space="0" w:color="auto"/>
        <w:right w:val="none" w:sz="0" w:space="0" w:color="auto"/>
      </w:divBdr>
    </w:div>
    <w:div w:id="1531451977">
      <w:bodyDiv w:val="1"/>
      <w:marLeft w:val="0"/>
      <w:marRight w:val="0"/>
      <w:marTop w:val="0"/>
      <w:marBottom w:val="0"/>
      <w:divBdr>
        <w:top w:val="none" w:sz="0" w:space="0" w:color="auto"/>
        <w:left w:val="none" w:sz="0" w:space="0" w:color="auto"/>
        <w:bottom w:val="none" w:sz="0" w:space="0" w:color="auto"/>
        <w:right w:val="none" w:sz="0" w:space="0" w:color="auto"/>
      </w:divBdr>
    </w:div>
    <w:div w:id="1531794324">
      <w:bodyDiv w:val="1"/>
      <w:marLeft w:val="0"/>
      <w:marRight w:val="0"/>
      <w:marTop w:val="0"/>
      <w:marBottom w:val="0"/>
      <w:divBdr>
        <w:top w:val="none" w:sz="0" w:space="0" w:color="auto"/>
        <w:left w:val="none" w:sz="0" w:space="0" w:color="auto"/>
        <w:bottom w:val="none" w:sz="0" w:space="0" w:color="auto"/>
        <w:right w:val="none" w:sz="0" w:space="0" w:color="auto"/>
      </w:divBdr>
    </w:div>
    <w:div w:id="1531802582">
      <w:bodyDiv w:val="1"/>
      <w:marLeft w:val="0"/>
      <w:marRight w:val="0"/>
      <w:marTop w:val="0"/>
      <w:marBottom w:val="0"/>
      <w:divBdr>
        <w:top w:val="none" w:sz="0" w:space="0" w:color="auto"/>
        <w:left w:val="none" w:sz="0" w:space="0" w:color="auto"/>
        <w:bottom w:val="none" w:sz="0" w:space="0" w:color="auto"/>
        <w:right w:val="none" w:sz="0" w:space="0" w:color="auto"/>
      </w:divBdr>
    </w:div>
    <w:div w:id="1531918928">
      <w:bodyDiv w:val="1"/>
      <w:marLeft w:val="0"/>
      <w:marRight w:val="0"/>
      <w:marTop w:val="0"/>
      <w:marBottom w:val="0"/>
      <w:divBdr>
        <w:top w:val="none" w:sz="0" w:space="0" w:color="auto"/>
        <w:left w:val="none" w:sz="0" w:space="0" w:color="auto"/>
        <w:bottom w:val="none" w:sz="0" w:space="0" w:color="auto"/>
        <w:right w:val="none" w:sz="0" w:space="0" w:color="auto"/>
      </w:divBdr>
    </w:div>
    <w:div w:id="1531919704">
      <w:bodyDiv w:val="1"/>
      <w:marLeft w:val="0"/>
      <w:marRight w:val="0"/>
      <w:marTop w:val="0"/>
      <w:marBottom w:val="0"/>
      <w:divBdr>
        <w:top w:val="none" w:sz="0" w:space="0" w:color="auto"/>
        <w:left w:val="none" w:sz="0" w:space="0" w:color="auto"/>
        <w:bottom w:val="none" w:sz="0" w:space="0" w:color="auto"/>
        <w:right w:val="none" w:sz="0" w:space="0" w:color="auto"/>
      </w:divBdr>
    </w:div>
    <w:div w:id="1531990047">
      <w:bodyDiv w:val="1"/>
      <w:marLeft w:val="0"/>
      <w:marRight w:val="0"/>
      <w:marTop w:val="0"/>
      <w:marBottom w:val="0"/>
      <w:divBdr>
        <w:top w:val="none" w:sz="0" w:space="0" w:color="auto"/>
        <w:left w:val="none" w:sz="0" w:space="0" w:color="auto"/>
        <w:bottom w:val="none" w:sz="0" w:space="0" w:color="auto"/>
        <w:right w:val="none" w:sz="0" w:space="0" w:color="auto"/>
      </w:divBdr>
    </w:div>
    <w:div w:id="1532037380">
      <w:bodyDiv w:val="1"/>
      <w:marLeft w:val="0"/>
      <w:marRight w:val="0"/>
      <w:marTop w:val="0"/>
      <w:marBottom w:val="0"/>
      <w:divBdr>
        <w:top w:val="none" w:sz="0" w:space="0" w:color="auto"/>
        <w:left w:val="none" w:sz="0" w:space="0" w:color="auto"/>
        <w:bottom w:val="none" w:sz="0" w:space="0" w:color="auto"/>
        <w:right w:val="none" w:sz="0" w:space="0" w:color="auto"/>
      </w:divBdr>
    </w:div>
    <w:div w:id="1532062179">
      <w:bodyDiv w:val="1"/>
      <w:marLeft w:val="0"/>
      <w:marRight w:val="0"/>
      <w:marTop w:val="0"/>
      <w:marBottom w:val="0"/>
      <w:divBdr>
        <w:top w:val="none" w:sz="0" w:space="0" w:color="auto"/>
        <w:left w:val="none" w:sz="0" w:space="0" w:color="auto"/>
        <w:bottom w:val="none" w:sz="0" w:space="0" w:color="auto"/>
        <w:right w:val="none" w:sz="0" w:space="0" w:color="auto"/>
      </w:divBdr>
    </w:div>
    <w:div w:id="1532114011">
      <w:bodyDiv w:val="1"/>
      <w:marLeft w:val="0"/>
      <w:marRight w:val="0"/>
      <w:marTop w:val="0"/>
      <w:marBottom w:val="0"/>
      <w:divBdr>
        <w:top w:val="none" w:sz="0" w:space="0" w:color="auto"/>
        <w:left w:val="none" w:sz="0" w:space="0" w:color="auto"/>
        <w:bottom w:val="none" w:sz="0" w:space="0" w:color="auto"/>
        <w:right w:val="none" w:sz="0" w:space="0" w:color="auto"/>
      </w:divBdr>
    </w:div>
    <w:div w:id="1532181324">
      <w:bodyDiv w:val="1"/>
      <w:marLeft w:val="0"/>
      <w:marRight w:val="0"/>
      <w:marTop w:val="0"/>
      <w:marBottom w:val="0"/>
      <w:divBdr>
        <w:top w:val="none" w:sz="0" w:space="0" w:color="auto"/>
        <w:left w:val="none" w:sz="0" w:space="0" w:color="auto"/>
        <w:bottom w:val="none" w:sz="0" w:space="0" w:color="auto"/>
        <w:right w:val="none" w:sz="0" w:space="0" w:color="auto"/>
      </w:divBdr>
    </w:div>
    <w:div w:id="1532183814">
      <w:bodyDiv w:val="1"/>
      <w:marLeft w:val="0"/>
      <w:marRight w:val="0"/>
      <w:marTop w:val="0"/>
      <w:marBottom w:val="0"/>
      <w:divBdr>
        <w:top w:val="none" w:sz="0" w:space="0" w:color="auto"/>
        <w:left w:val="none" w:sz="0" w:space="0" w:color="auto"/>
        <w:bottom w:val="none" w:sz="0" w:space="0" w:color="auto"/>
        <w:right w:val="none" w:sz="0" w:space="0" w:color="auto"/>
      </w:divBdr>
    </w:div>
    <w:div w:id="1532259613">
      <w:bodyDiv w:val="1"/>
      <w:marLeft w:val="0"/>
      <w:marRight w:val="0"/>
      <w:marTop w:val="0"/>
      <w:marBottom w:val="0"/>
      <w:divBdr>
        <w:top w:val="none" w:sz="0" w:space="0" w:color="auto"/>
        <w:left w:val="none" w:sz="0" w:space="0" w:color="auto"/>
        <w:bottom w:val="none" w:sz="0" w:space="0" w:color="auto"/>
        <w:right w:val="none" w:sz="0" w:space="0" w:color="auto"/>
      </w:divBdr>
    </w:div>
    <w:div w:id="1532379608">
      <w:bodyDiv w:val="1"/>
      <w:marLeft w:val="0"/>
      <w:marRight w:val="0"/>
      <w:marTop w:val="0"/>
      <w:marBottom w:val="0"/>
      <w:divBdr>
        <w:top w:val="none" w:sz="0" w:space="0" w:color="auto"/>
        <w:left w:val="none" w:sz="0" w:space="0" w:color="auto"/>
        <w:bottom w:val="none" w:sz="0" w:space="0" w:color="auto"/>
        <w:right w:val="none" w:sz="0" w:space="0" w:color="auto"/>
      </w:divBdr>
    </w:div>
    <w:div w:id="1532449684">
      <w:bodyDiv w:val="1"/>
      <w:marLeft w:val="0"/>
      <w:marRight w:val="0"/>
      <w:marTop w:val="0"/>
      <w:marBottom w:val="0"/>
      <w:divBdr>
        <w:top w:val="none" w:sz="0" w:space="0" w:color="auto"/>
        <w:left w:val="none" w:sz="0" w:space="0" w:color="auto"/>
        <w:bottom w:val="none" w:sz="0" w:space="0" w:color="auto"/>
        <w:right w:val="none" w:sz="0" w:space="0" w:color="auto"/>
      </w:divBdr>
    </w:div>
    <w:div w:id="1532450259">
      <w:bodyDiv w:val="1"/>
      <w:marLeft w:val="0"/>
      <w:marRight w:val="0"/>
      <w:marTop w:val="0"/>
      <w:marBottom w:val="0"/>
      <w:divBdr>
        <w:top w:val="none" w:sz="0" w:space="0" w:color="auto"/>
        <w:left w:val="none" w:sz="0" w:space="0" w:color="auto"/>
        <w:bottom w:val="none" w:sz="0" w:space="0" w:color="auto"/>
        <w:right w:val="none" w:sz="0" w:space="0" w:color="auto"/>
      </w:divBdr>
    </w:div>
    <w:div w:id="1532569571">
      <w:bodyDiv w:val="1"/>
      <w:marLeft w:val="0"/>
      <w:marRight w:val="0"/>
      <w:marTop w:val="0"/>
      <w:marBottom w:val="0"/>
      <w:divBdr>
        <w:top w:val="none" w:sz="0" w:space="0" w:color="auto"/>
        <w:left w:val="none" w:sz="0" w:space="0" w:color="auto"/>
        <w:bottom w:val="none" w:sz="0" w:space="0" w:color="auto"/>
        <w:right w:val="none" w:sz="0" w:space="0" w:color="auto"/>
      </w:divBdr>
    </w:div>
    <w:div w:id="1532692469">
      <w:bodyDiv w:val="1"/>
      <w:marLeft w:val="0"/>
      <w:marRight w:val="0"/>
      <w:marTop w:val="0"/>
      <w:marBottom w:val="0"/>
      <w:divBdr>
        <w:top w:val="none" w:sz="0" w:space="0" w:color="auto"/>
        <w:left w:val="none" w:sz="0" w:space="0" w:color="auto"/>
        <w:bottom w:val="none" w:sz="0" w:space="0" w:color="auto"/>
        <w:right w:val="none" w:sz="0" w:space="0" w:color="auto"/>
      </w:divBdr>
    </w:div>
    <w:div w:id="1532958051">
      <w:bodyDiv w:val="1"/>
      <w:marLeft w:val="0"/>
      <w:marRight w:val="0"/>
      <w:marTop w:val="0"/>
      <w:marBottom w:val="0"/>
      <w:divBdr>
        <w:top w:val="none" w:sz="0" w:space="0" w:color="auto"/>
        <w:left w:val="none" w:sz="0" w:space="0" w:color="auto"/>
        <w:bottom w:val="none" w:sz="0" w:space="0" w:color="auto"/>
        <w:right w:val="none" w:sz="0" w:space="0" w:color="auto"/>
      </w:divBdr>
    </w:div>
    <w:div w:id="1533034067">
      <w:bodyDiv w:val="1"/>
      <w:marLeft w:val="0"/>
      <w:marRight w:val="0"/>
      <w:marTop w:val="0"/>
      <w:marBottom w:val="0"/>
      <w:divBdr>
        <w:top w:val="none" w:sz="0" w:space="0" w:color="auto"/>
        <w:left w:val="none" w:sz="0" w:space="0" w:color="auto"/>
        <w:bottom w:val="none" w:sz="0" w:space="0" w:color="auto"/>
        <w:right w:val="none" w:sz="0" w:space="0" w:color="auto"/>
      </w:divBdr>
    </w:div>
    <w:div w:id="1533112562">
      <w:bodyDiv w:val="1"/>
      <w:marLeft w:val="0"/>
      <w:marRight w:val="0"/>
      <w:marTop w:val="0"/>
      <w:marBottom w:val="0"/>
      <w:divBdr>
        <w:top w:val="none" w:sz="0" w:space="0" w:color="auto"/>
        <w:left w:val="none" w:sz="0" w:space="0" w:color="auto"/>
        <w:bottom w:val="none" w:sz="0" w:space="0" w:color="auto"/>
        <w:right w:val="none" w:sz="0" w:space="0" w:color="auto"/>
      </w:divBdr>
    </w:div>
    <w:div w:id="1533149283">
      <w:bodyDiv w:val="1"/>
      <w:marLeft w:val="0"/>
      <w:marRight w:val="0"/>
      <w:marTop w:val="0"/>
      <w:marBottom w:val="0"/>
      <w:divBdr>
        <w:top w:val="none" w:sz="0" w:space="0" w:color="auto"/>
        <w:left w:val="none" w:sz="0" w:space="0" w:color="auto"/>
        <w:bottom w:val="none" w:sz="0" w:space="0" w:color="auto"/>
        <w:right w:val="none" w:sz="0" w:space="0" w:color="auto"/>
      </w:divBdr>
    </w:div>
    <w:div w:id="1533149469">
      <w:bodyDiv w:val="1"/>
      <w:marLeft w:val="0"/>
      <w:marRight w:val="0"/>
      <w:marTop w:val="0"/>
      <w:marBottom w:val="0"/>
      <w:divBdr>
        <w:top w:val="none" w:sz="0" w:space="0" w:color="auto"/>
        <w:left w:val="none" w:sz="0" w:space="0" w:color="auto"/>
        <w:bottom w:val="none" w:sz="0" w:space="0" w:color="auto"/>
        <w:right w:val="none" w:sz="0" w:space="0" w:color="auto"/>
      </w:divBdr>
    </w:div>
    <w:div w:id="1533152884">
      <w:bodyDiv w:val="1"/>
      <w:marLeft w:val="0"/>
      <w:marRight w:val="0"/>
      <w:marTop w:val="0"/>
      <w:marBottom w:val="0"/>
      <w:divBdr>
        <w:top w:val="none" w:sz="0" w:space="0" w:color="auto"/>
        <w:left w:val="none" w:sz="0" w:space="0" w:color="auto"/>
        <w:bottom w:val="none" w:sz="0" w:space="0" w:color="auto"/>
        <w:right w:val="none" w:sz="0" w:space="0" w:color="auto"/>
      </w:divBdr>
    </w:div>
    <w:div w:id="1533181030">
      <w:bodyDiv w:val="1"/>
      <w:marLeft w:val="0"/>
      <w:marRight w:val="0"/>
      <w:marTop w:val="0"/>
      <w:marBottom w:val="0"/>
      <w:divBdr>
        <w:top w:val="none" w:sz="0" w:space="0" w:color="auto"/>
        <w:left w:val="none" w:sz="0" w:space="0" w:color="auto"/>
        <w:bottom w:val="none" w:sz="0" w:space="0" w:color="auto"/>
        <w:right w:val="none" w:sz="0" w:space="0" w:color="auto"/>
      </w:divBdr>
    </w:div>
    <w:div w:id="1533224312">
      <w:bodyDiv w:val="1"/>
      <w:marLeft w:val="0"/>
      <w:marRight w:val="0"/>
      <w:marTop w:val="0"/>
      <w:marBottom w:val="0"/>
      <w:divBdr>
        <w:top w:val="none" w:sz="0" w:space="0" w:color="auto"/>
        <w:left w:val="none" w:sz="0" w:space="0" w:color="auto"/>
        <w:bottom w:val="none" w:sz="0" w:space="0" w:color="auto"/>
        <w:right w:val="none" w:sz="0" w:space="0" w:color="auto"/>
      </w:divBdr>
    </w:div>
    <w:div w:id="1533299043">
      <w:bodyDiv w:val="1"/>
      <w:marLeft w:val="0"/>
      <w:marRight w:val="0"/>
      <w:marTop w:val="0"/>
      <w:marBottom w:val="0"/>
      <w:divBdr>
        <w:top w:val="none" w:sz="0" w:space="0" w:color="auto"/>
        <w:left w:val="none" w:sz="0" w:space="0" w:color="auto"/>
        <w:bottom w:val="none" w:sz="0" w:space="0" w:color="auto"/>
        <w:right w:val="none" w:sz="0" w:space="0" w:color="auto"/>
      </w:divBdr>
    </w:div>
    <w:div w:id="1533299948">
      <w:bodyDiv w:val="1"/>
      <w:marLeft w:val="0"/>
      <w:marRight w:val="0"/>
      <w:marTop w:val="0"/>
      <w:marBottom w:val="0"/>
      <w:divBdr>
        <w:top w:val="none" w:sz="0" w:space="0" w:color="auto"/>
        <w:left w:val="none" w:sz="0" w:space="0" w:color="auto"/>
        <w:bottom w:val="none" w:sz="0" w:space="0" w:color="auto"/>
        <w:right w:val="none" w:sz="0" w:space="0" w:color="auto"/>
      </w:divBdr>
    </w:div>
    <w:div w:id="1533493257">
      <w:bodyDiv w:val="1"/>
      <w:marLeft w:val="0"/>
      <w:marRight w:val="0"/>
      <w:marTop w:val="0"/>
      <w:marBottom w:val="0"/>
      <w:divBdr>
        <w:top w:val="none" w:sz="0" w:space="0" w:color="auto"/>
        <w:left w:val="none" w:sz="0" w:space="0" w:color="auto"/>
        <w:bottom w:val="none" w:sz="0" w:space="0" w:color="auto"/>
        <w:right w:val="none" w:sz="0" w:space="0" w:color="auto"/>
      </w:divBdr>
    </w:div>
    <w:div w:id="1533496558">
      <w:bodyDiv w:val="1"/>
      <w:marLeft w:val="0"/>
      <w:marRight w:val="0"/>
      <w:marTop w:val="0"/>
      <w:marBottom w:val="0"/>
      <w:divBdr>
        <w:top w:val="none" w:sz="0" w:space="0" w:color="auto"/>
        <w:left w:val="none" w:sz="0" w:space="0" w:color="auto"/>
        <w:bottom w:val="none" w:sz="0" w:space="0" w:color="auto"/>
        <w:right w:val="none" w:sz="0" w:space="0" w:color="auto"/>
      </w:divBdr>
    </w:div>
    <w:div w:id="1533496597">
      <w:bodyDiv w:val="1"/>
      <w:marLeft w:val="0"/>
      <w:marRight w:val="0"/>
      <w:marTop w:val="0"/>
      <w:marBottom w:val="0"/>
      <w:divBdr>
        <w:top w:val="none" w:sz="0" w:space="0" w:color="auto"/>
        <w:left w:val="none" w:sz="0" w:space="0" w:color="auto"/>
        <w:bottom w:val="none" w:sz="0" w:space="0" w:color="auto"/>
        <w:right w:val="none" w:sz="0" w:space="0" w:color="auto"/>
      </w:divBdr>
    </w:div>
    <w:div w:id="1533569080">
      <w:bodyDiv w:val="1"/>
      <w:marLeft w:val="0"/>
      <w:marRight w:val="0"/>
      <w:marTop w:val="0"/>
      <w:marBottom w:val="0"/>
      <w:divBdr>
        <w:top w:val="none" w:sz="0" w:space="0" w:color="auto"/>
        <w:left w:val="none" w:sz="0" w:space="0" w:color="auto"/>
        <w:bottom w:val="none" w:sz="0" w:space="0" w:color="auto"/>
        <w:right w:val="none" w:sz="0" w:space="0" w:color="auto"/>
      </w:divBdr>
    </w:div>
    <w:div w:id="1533569745">
      <w:bodyDiv w:val="1"/>
      <w:marLeft w:val="0"/>
      <w:marRight w:val="0"/>
      <w:marTop w:val="0"/>
      <w:marBottom w:val="0"/>
      <w:divBdr>
        <w:top w:val="none" w:sz="0" w:space="0" w:color="auto"/>
        <w:left w:val="none" w:sz="0" w:space="0" w:color="auto"/>
        <w:bottom w:val="none" w:sz="0" w:space="0" w:color="auto"/>
        <w:right w:val="none" w:sz="0" w:space="0" w:color="auto"/>
      </w:divBdr>
    </w:div>
    <w:div w:id="1533571307">
      <w:bodyDiv w:val="1"/>
      <w:marLeft w:val="0"/>
      <w:marRight w:val="0"/>
      <w:marTop w:val="0"/>
      <w:marBottom w:val="0"/>
      <w:divBdr>
        <w:top w:val="none" w:sz="0" w:space="0" w:color="auto"/>
        <w:left w:val="none" w:sz="0" w:space="0" w:color="auto"/>
        <w:bottom w:val="none" w:sz="0" w:space="0" w:color="auto"/>
        <w:right w:val="none" w:sz="0" w:space="0" w:color="auto"/>
      </w:divBdr>
    </w:div>
    <w:div w:id="1533611488">
      <w:bodyDiv w:val="1"/>
      <w:marLeft w:val="0"/>
      <w:marRight w:val="0"/>
      <w:marTop w:val="0"/>
      <w:marBottom w:val="0"/>
      <w:divBdr>
        <w:top w:val="none" w:sz="0" w:space="0" w:color="auto"/>
        <w:left w:val="none" w:sz="0" w:space="0" w:color="auto"/>
        <w:bottom w:val="none" w:sz="0" w:space="0" w:color="auto"/>
        <w:right w:val="none" w:sz="0" w:space="0" w:color="auto"/>
      </w:divBdr>
    </w:div>
    <w:div w:id="1533611597">
      <w:bodyDiv w:val="1"/>
      <w:marLeft w:val="0"/>
      <w:marRight w:val="0"/>
      <w:marTop w:val="0"/>
      <w:marBottom w:val="0"/>
      <w:divBdr>
        <w:top w:val="none" w:sz="0" w:space="0" w:color="auto"/>
        <w:left w:val="none" w:sz="0" w:space="0" w:color="auto"/>
        <w:bottom w:val="none" w:sz="0" w:space="0" w:color="auto"/>
        <w:right w:val="none" w:sz="0" w:space="0" w:color="auto"/>
      </w:divBdr>
    </w:div>
    <w:div w:id="1533688179">
      <w:bodyDiv w:val="1"/>
      <w:marLeft w:val="0"/>
      <w:marRight w:val="0"/>
      <w:marTop w:val="0"/>
      <w:marBottom w:val="0"/>
      <w:divBdr>
        <w:top w:val="none" w:sz="0" w:space="0" w:color="auto"/>
        <w:left w:val="none" w:sz="0" w:space="0" w:color="auto"/>
        <w:bottom w:val="none" w:sz="0" w:space="0" w:color="auto"/>
        <w:right w:val="none" w:sz="0" w:space="0" w:color="auto"/>
      </w:divBdr>
    </w:div>
    <w:div w:id="1533692299">
      <w:bodyDiv w:val="1"/>
      <w:marLeft w:val="0"/>
      <w:marRight w:val="0"/>
      <w:marTop w:val="0"/>
      <w:marBottom w:val="0"/>
      <w:divBdr>
        <w:top w:val="none" w:sz="0" w:space="0" w:color="auto"/>
        <w:left w:val="none" w:sz="0" w:space="0" w:color="auto"/>
        <w:bottom w:val="none" w:sz="0" w:space="0" w:color="auto"/>
        <w:right w:val="none" w:sz="0" w:space="0" w:color="auto"/>
      </w:divBdr>
    </w:div>
    <w:div w:id="1533807578">
      <w:bodyDiv w:val="1"/>
      <w:marLeft w:val="0"/>
      <w:marRight w:val="0"/>
      <w:marTop w:val="0"/>
      <w:marBottom w:val="0"/>
      <w:divBdr>
        <w:top w:val="none" w:sz="0" w:space="0" w:color="auto"/>
        <w:left w:val="none" w:sz="0" w:space="0" w:color="auto"/>
        <w:bottom w:val="none" w:sz="0" w:space="0" w:color="auto"/>
        <w:right w:val="none" w:sz="0" w:space="0" w:color="auto"/>
      </w:divBdr>
    </w:div>
    <w:div w:id="1533811325">
      <w:bodyDiv w:val="1"/>
      <w:marLeft w:val="0"/>
      <w:marRight w:val="0"/>
      <w:marTop w:val="0"/>
      <w:marBottom w:val="0"/>
      <w:divBdr>
        <w:top w:val="none" w:sz="0" w:space="0" w:color="auto"/>
        <w:left w:val="none" w:sz="0" w:space="0" w:color="auto"/>
        <w:bottom w:val="none" w:sz="0" w:space="0" w:color="auto"/>
        <w:right w:val="none" w:sz="0" w:space="0" w:color="auto"/>
      </w:divBdr>
    </w:div>
    <w:div w:id="1533877367">
      <w:bodyDiv w:val="1"/>
      <w:marLeft w:val="0"/>
      <w:marRight w:val="0"/>
      <w:marTop w:val="0"/>
      <w:marBottom w:val="0"/>
      <w:divBdr>
        <w:top w:val="none" w:sz="0" w:space="0" w:color="auto"/>
        <w:left w:val="none" w:sz="0" w:space="0" w:color="auto"/>
        <w:bottom w:val="none" w:sz="0" w:space="0" w:color="auto"/>
        <w:right w:val="none" w:sz="0" w:space="0" w:color="auto"/>
      </w:divBdr>
    </w:div>
    <w:div w:id="1533880374">
      <w:bodyDiv w:val="1"/>
      <w:marLeft w:val="0"/>
      <w:marRight w:val="0"/>
      <w:marTop w:val="0"/>
      <w:marBottom w:val="0"/>
      <w:divBdr>
        <w:top w:val="none" w:sz="0" w:space="0" w:color="auto"/>
        <w:left w:val="none" w:sz="0" w:space="0" w:color="auto"/>
        <w:bottom w:val="none" w:sz="0" w:space="0" w:color="auto"/>
        <w:right w:val="none" w:sz="0" w:space="0" w:color="auto"/>
      </w:divBdr>
    </w:div>
    <w:div w:id="1534031622">
      <w:bodyDiv w:val="1"/>
      <w:marLeft w:val="0"/>
      <w:marRight w:val="0"/>
      <w:marTop w:val="0"/>
      <w:marBottom w:val="0"/>
      <w:divBdr>
        <w:top w:val="none" w:sz="0" w:space="0" w:color="auto"/>
        <w:left w:val="none" w:sz="0" w:space="0" w:color="auto"/>
        <w:bottom w:val="none" w:sz="0" w:space="0" w:color="auto"/>
        <w:right w:val="none" w:sz="0" w:space="0" w:color="auto"/>
      </w:divBdr>
    </w:div>
    <w:div w:id="1534147013">
      <w:bodyDiv w:val="1"/>
      <w:marLeft w:val="0"/>
      <w:marRight w:val="0"/>
      <w:marTop w:val="0"/>
      <w:marBottom w:val="0"/>
      <w:divBdr>
        <w:top w:val="none" w:sz="0" w:space="0" w:color="auto"/>
        <w:left w:val="none" w:sz="0" w:space="0" w:color="auto"/>
        <w:bottom w:val="none" w:sz="0" w:space="0" w:color="auto"/>
        <w:right w:val="none" w:sz="0" w:space="0" w:color="auto"/>
      </w:divBdr>
    </w:div>
    <w:div w:id="1534226330">
      <w:bodyDiv w:val="1"/>
      <w:marLeft w:val="0"/>
      <w:marRight w:val="0"/>
      <w:marTop w:val="0"/>
      <w:marBottom w:val="0"/>
      <w:divBdr>
        <w:top w:val="none" w:sz="0" w:space="0" w:color="auto"/>
        <w:left w:val="none" w:sz="0" w:space="0" w:color="auto"/>
        <w:bottom w:val="none" w:sz="0" w:space="0" w:color="auto"/>
        <w:right w:val="none" w:sz="0" w:space="0" w:color="auto"/>
      </w:divBdr>
    </w:div>
    <w:div w:id="1534343643">
      <w:bodyDiv w:val="1"/>
      <w:marLeft w:val="0"/>
      <w:marRight w:val="0"/>
      <w:marTop w:val="0"/>
      <w:marBottom w:val="0"/>
      <w:divBdr>
        <w:top w:val="none" w:sz="0" w:space="0" w:color="auto"/>
        <w:left w:val="none" w:sz="0" w:space="0" w:color="auto"/>
        <w:bottom w:val="none" w:sz="0" w:space="0" w:color="auto"/>
        <w:right w:val="none" w:sz="0" w:space="0" w:color="auto"/>
      </w:divBdr>
    </w:div>
    <w:div w:id="1534415217">
      <w:bodyDiv w:val="1"/>
      <w:marLeft w:val="0"/>
      <w:marRight w:val="0"/>
      <w:marTop w:val="0"/>
      <w:marBottom w:val="0"/>
      <w:divBdr>
        <w:top w:val="none" w:sz="0" w:space="0" w:color="auto"/>
        <w:left w:val="none" w:sz="0" w:space="0" w:color="auto"/>
        <w:bottom w:val="none" w:sz="0" w:space="0" w:color="auto"/>
        <w:right w:val="none" w:sz="0" w:space="0" w:color="auto"/>
      </w:divBdr>
    </w:div>
    <w:div w:id="1534417869">
      <w:bodyDiv w:val="1"/>
      <w:marLeft w:val="0"/>
      <w:marRight w:val="0"/>
      <w:marTop w:val="0"/>
      <w:marBottom w:val="0"/>
      <w:divBdr>
        <w:top w:val="none" w:sz="0" w:space="0" w:color="auto"/>
        <w:left w:val="none" w:sz="0" w:space="0" w:color="auto"/>
        <w:bottom w:val="none" w:sz="0" w:space="0" w:color="auto"/>
        <w:right w:val="none" w:sz="0" w:space="0" w:color="auto"/>
      </w:divBdr>
    </w:div>
    <w:div w:id="1534418711">
      <w:bodyDiv w:val="1"/>
      <w:marLeft w:val="0"/>
      <w:marRight w:val="0"/>
      <w:marTop w:val="0"/>
      <w:marBottom w:val="0"/>
      <w:divBdr>
        <w:top w:val="none" w:sz="0" w:space="0" w:color="auto"/>
        <w:left w:val="none" w:sz="0" w:space="0" w:color="auto"/>
        <w:bottom w:val="none" w:sz="0" w:space="0" w:color="auto"/>
        <w:right w:val="none" w:sz="0" w:space="0" w:color="auto"/>
      </w:divBdr>
    </w:div>
    <w:div w:id="1534460205">
      <w:bodyDiv w:val="1"/>
      <w:marLeft w:val="0"/>
      <w:marRight w:val="0"/>
      <w:marTop w:val="0"/>
      <w:marBottom w:val="0"/>
      <w:divBdr>
        <w:top w:val="none" w:sz="0" w:space="0" w:color="auto"/>
        <w:left w:val="none" w:sz="0" w:space="0" w:color="auto"/>
        <w:bottom w:val="none" w:sz="0" w:space="0" w:color="auto"/>
        <w:right w:val="none" w:sz="0" w:space="0" w:color="auto"/>
      </w:divBdr>
    </w:div>
    <w:div w:id="1534460530">
      <w:bodyDiv w:val="1"/>
      <w:marLeft w:val="0"/>
      <w:marRight w:val="0"/>
      <w:marTop w:val="0"/>
      <w:marBottom w:val="0"/>
      <w:divBdr>
        <w:top w:val="none" w:sz="0" w:space="0" w:color="auto"/>
        <w:left w:val="none" w:sz="0" w:space="0" w:color="auto"/>
        <w:bottom w:val="none" w:sz="0" w:space="0" w:color="auto"/>
        <w:right w:val="none" w:sz="0" w:space="0" w:color="auto"/>
      </w:divBdr>
    </w:div>
    <w:div w:id="1534533693">
      <w:bodyDiv w:val="1"/>
      <w:marLeft w:val="0"/>
      <w:marRight w:val="0"/>
      <w:marTop w:val="0"/>
      <w:marBottom w:val="0"/>
      <w:divBdr>
        <w:top w:val="none" w:sz="0" w:space="0" w:color="auto"/>
        <w:left w:val="none" w:sz="0" w:space="0" w:color="auto"/>
        <w:bottom w:val="none" w:sz="0" w:space="0" w:color="auto"/>
        <w:right w:val="none" w:sz="0" w:space="0" w:color="auto"/>
      </w:divBdr>
    </w:div>
    <w:div w:id="1534540136">
      <w:bodyDiv w:val="1"/>
      <w:marLeft w:val="0"/>
      <w:marRight w:val="0"/>
      <w:marTop w:val="0"/>
      <w:marBottom w:val="0"/>
      <w:divBdr>
        <w:top w:val="none" w:sz="0" w:space="0" w:color="auto"/>
        <w:left w:val="none" w:sz="0" w:space="0" w:color="auto"/>
        <w:bottom w:val="none" w:sz="0" w:space="0" w:color="auto"/>
        <w:right w:val="none" w:sz="0" w:space="0" w:color="auto"/>
      </w:divBdr>
    </w:div>
    <w:div w:id="1534884622">
      <w:bodyDiv w:val="1"/>
      <w:marLeft w:val="0"/>
      <w:marRight w:val="0"/>
      <w:marTop w:val="0"/>
      <w:marBottom w:val="0"/>
      <w:divBdr>
        <w:top w:val="none" w:sz="0" w:space="0" w:color="auto"/>
        <w:left w:val="none" w:sz="0" w:space="0" w:color="auto"/>
        <w:bottom w:val="none" w:sz="0" w:space="0" w:color="auto"/>
        <w:right w:val="none" w:sz="0" w:space="0" w:color="auto"/>
      </w:divBdr>
    </w:div>
    <w:div w:id="1534999767">
      <w:bodyDiv w:val="1"/>
      <w:marLeft w:val="0"/>
      <w:marRight w:val="0"/>
      <w:marTop w:val="0"/>
      <w:marBottom w:val="0"/>
      <w:divBdr>
        <w:top w:val="none" w:sz="0" w:space="0" w:color="auto"/>
        <w:left w:val="none" w:sz="0" w:space="0" w:color="auto"/>
        <w:bottom w:val="none" w:sz="0" w:space="0" w:color="auto"/>
        <w:right w:val="none" w:sz="0" w:space="0" w:color="auto"/>
      </w:divBdr>
    </w:div>
    <w:div w:id="1535071795">
      <w:bodyDiv w:val="1"/>
      <w:marLeft w:val="0"/>
      <w:marRight w:val="0"/>
      <w:marTop w:val="0"/>
      <w:marBottom w:val="0"/>
      <w:divBdr>
        <w:top w:val="none" w:sz="0" w:space="0" w:color="auto"/>
        <w:left w:val="none" w:sz="0" w:space="0" w:color="auto"/>
        <w:bottom w:val="none" w:sz="0" w:space="0" w:color="auto"/>
        <w:right w:val="none" w:sz="0" w:space="0" w:color="auto"/>
      </w:divBdr>
    </w:div>
    <w:div w:id="1535190521">
      <w:bodyDiv w:val="1"/>
      <w:marLeft w:val="0"/>
      <w:marRight w:val="0"/>
      <w:marTop w:val="0"/>
      <w:marBottom w:val="0"/>
      <w:divBdr>
        <w:top w:val="none" w:sz="0" w:space="0" w:color="auto"/>
        <w:left w:val="none" w:sz="0" w:space="0" w:color="auto"/>
        <w:bottom w:val="none" w:sz="0" w:space="0" w:color="auto"/>
        <w:right w:val="none" w:sz="0" w:space="0" w:color="auto"/>
      </w:divBdr>
    </w:div>
    <w:div w:id="1535196031">
      <w:bodyDiv w:val="1"/>
      <w:marLeft w:val="0"/>
      <w:marRight w:val="0"/>
      <w:marTop w:val="0"/>
      <w:marBottom w:val="0"/>
      <w:divBdr>
        <w:top w:val="none" w:sz="0" w:space="0" w:color="auto"/>
        <w:left w:val="none" w:sz="0" w:space="0" w:color="auto"/>
        <w:bottom w:val="none" w:sz="0" w:space="0" w:color="auto"/>
        <w:right w:val="none" w:sz="0" w:space="0" w:color="auto"/>
      </w:divBdr>
    </w:div>
    <w:div w:id="1535313205">
      <w:bodyDiv w:val="1"/>
      <w:marLeft w:val="0"/>
      <w:marRight w:val="0"/>
      <w:marTop w:val="0"/>
      <w:marBottom w:val="0"/>
      <w:divBdr>
        <w:top w:val="none" w:sz="0" w:space="0" w:color="auto"/>
        <w:left w:val="none" w:sz="0" w:space="0" w:color="auto"/>
        <w:bottom w:val="none" w:sz="0" w:space="0" w:color="auto"/>
        <w:right w:val="none" w:sz="0" w:space="0" w:color="auto"/>
      </w:divBdr>
    </w:div>
    <w:div w:id="1535381968">
      <w:bodyDiv w:val="1"/>
      <w:marLeft w:val="0"/>
      <w:marRight w:val="0"/>
      <w:marTop w:val="0"/>
      <w:marBottom w:val="0"/>
      <w:divBdr>
        <w:top w:val="none" w:sz="0" w:space="0" w:color="auto"/>
        <w:left w:val="none" w:sz="0" w:space="0" w:color="auto"/>
        <w:bottom w:val="none" w:sz="0" w:space="0" w:color="auto"/>
        <w:right w:val="none" w:sz="0" w:space="0" w:color="auto"/>
      </w:divBdr>
    </w:div>
    <w:div w:id="1535385389">
      <w:bodyDiv w:val="1"/>
      <w:marLeft w:val="0"/>
      <w:marRight w:val="0"/>
      <w:marTop w:val="0"/>
      <w:marBottom w:val="0"/>
      <w:divBdr>
        <w:top w:val="none" w:sz="0" w:space="0" w:color="auto"/>
        <w:left w:val="none" w:sz="0" w:space="0" w:color="auto"/>
        <w:bottom w:val="none" w:sz="0" w:space="0" w:color="auto"/>
        <w:right w:val="none" w:sz="0" w:space="0" w:color="auto"/>
      </w:divBdr>
    </w:div>
    <w:div w:id="1535458845">
      <w:bodyDiv w:val="1"/>
      <w:marLeft w:val="0"/>
      <w:marRight w:val="0"/>
      <w:marTop w:val="0"/>
      <w:marBottom w:val="0"/>
      <w:divBdr>
        <w:top w:val="none" w:sz="0" w:space="0" w:color="auto"/>
        <w:left w:val="none" w:sz="0" w:space="0" w:color="auto"/>
        <w:bottom w:val="none" w:sz="0" w:space="0" w:color="auto"/>
        <w:right w:val="none" w:sz="0" w:space="0" w:color="auto"/>
      </w:divBdr>
    </w:div>
    <w:div w:id="1535575511">
      <w:bodyDiv w:val="1"/>
      <w:marLeft w:val="0"/>
      <w:marRight w:val="0"/>
      <w:marTop w:val="0"/>
      <w:marBottom w:val="0"/>
      <w:divBdr>
        <w:top w:val="none" w:sz="0" w:space="0" w:color="auto"/>
        <w:left w:val="none" w:sz="0" w:space="0" w:color="auto"/>
        <w:bottom w:val="none" w:sz="0" w:space="0" w:color="auto"/>
        <w:right w:val="none" w:sz="0" w:space="0" w:color="auto"/>
      </w:divBdr>
    </w:div>
    <w:div w:id="1535579900">
      <w:bodyDiv w:val="1"/>
      <w:marLeft w:val="0"/>
      <w:marRight w:val="0"/>
      <w:marTop w:val="0"/>
      <w:marBottom w:val="0"/>
      <w:divBdr>
        <w:top w:val="none" w:sz="0" w:space="0" w:color="auto"/>
        <w:left w:val="none" w:sz="0" w:space="0" w:color="auto"/>
        <w:bottom w:val="none" w:sz="0" w:space="0" w:color="auto"/>
        <w:right w:val="none" w:sz="0" w:space="0" w:color="auto"/>
      </w:divBdr>
    </w:div>
    <w:div w:id="1535651701">
      <w:bodyDiv w:val="1"/>
      <w:marLeft w:val="0"/>
      <w:marRight w:val="0"/>
      <w:marTop w:val="0"/>
      <w:marBottom w:val="0"/>
      <w:divBdr>
        <w:top w:val="none" w:sz="0" w:space="0" w:color="auto"/>
        <w:left w:val="none" w:sz="0" w:space="0" w:color="auto"/>
        <w:bottom w:val="none" w:sz="0" w:space="0" w:color="auto"/>
        <w:right w:val="none" w:sz="0" w:space="0" w:color="auto"/>
      </w:divBdr>
    </w:div>
    <w:div w:id="1535654987">
      <w:bodyDiv w:val="1"/>
      <w:marLeft w:val="0"/>
      <w:marRight w:val="0"/>
      <w:marTop w:val="0"/>
      <w:marBottom w:val="0"/>
      <w:divBdr>
        <w:top w:val="none" w:sz="0" w:space="0" w:color="auto"/>
        <w:left w:val="none" w:sz="0" w:space="0" w:color="auto"/>
        <w:bottom w:val="none" w:sz="0" w:space="0" w:color="auto"/>
        <w:right w:val="none" w:sz="0" w:space="0" w:color="auto"/>
      </w:divBdr>
    </w:div>
    <w:div w:id="1535655568">
      <w:bodyDiv w:val="1"/>
      <w:marLeft w:val="0"/>
      <w:marRight w:val="0"/>
      <w:marTop w:val="0"/>
      <w:marBottom w:val="0"/>
      <w:divBdr>
        <w:top w:val="none" w:sz="0" w:space="0" w:color="auto"/>
        <w:left w:val="none" w:sz="0" w:space="0" w:color="auto"/>
        <w:bottom w:val="none" w:sz="0" w:space="0" w:color="auto"/>
        <w:right w:val="none" w:sz="0" w:space="0" w:color="auto"/>
      </w:divBdr>
    </w:div>
    <w:div w:id="1535801869">
      <w:bodyDiv w:val="1"/>
      <w:marLeft w:val="0"/>
      <w:marRight w:val="0"/>
      <w:marTop w:val="0"/>
      <w:marBottom w:val="0"/>
      <w:divBdr>
        <w:top w:val="none" w:sz="0" w:space="0" w:color="auto"/>
        <w:left w:val="none" w:sz="0" w:space="0" w:color="auto"/>
        <w:bottom w:val="none" w:sz="0" w:space="0" w:color="auto"/>
        <w:right w:val="none" w:sz="0" w:space="0" w:color="auto"/>
      </w:divBdr>
    </w:div>
    <w:div w:id="1535802294">
      <w:bodyDiv w:val="1"/>
      <w:marLeft w:val="0"/>
      <w:marRight w:val="0"/>
      <w:marTop w:val="0"/>
      <w:marBottom w:val="0"/>
      <w:divBdr>
        <w:top w:val="none" w:sz="0" w:space="0" w:color="auto"/>
        <w:left w:val="none" w:sz="0" w:space="0" w:color="auto"/>
        <w:bottom w:val="none" w:sz="0" w:space="0" w:color="auto"/>
        <w:right w:val="none" w:sz="0" w:space="0" w:color="auto"/>
      </w:divBdr>
    </w:div>
    <w:div w:id="1535921090">
      <w:bodyDiv w:val="1"/>
      <w:marLeft w:val="0"/>
      <w:marRight w:val="0"/>
      <w:marTop w:val="0"/>
      <w:marBottom w:val="0"/>
      <w:divBdr>
        <w:top w:val="none" w:sz="0" w:space="0" w:color="auto"/>
        <w:left w:val="none" w:sz="0" w:space="0" w:color="auto"/>
        <w:bottom w:val="none" w:sz="0" w:space="0" w:color="auto"/>
        <w:right w:val="none" w:sz="0" w:space="0" w:color="auto"/>
      </w:divBdr>
    </w:div>
    <w:div w:id="1535926625">
      <w:bodyDiv w:val="1"/>
      <w:marLeft w:val="0"/>
      <w:marRight w:val="0"/>
      <w:marTop w:val="0"/>
      <w:marBottom w:val="0"/>
      <w:divBdr>
        <w:top w:val="none" w:sz="0" w:space="0" w:color="auto"/>
        <w:left w:val="none" w:sz="0" w:space="0" w:color="auto"/>
        <w:bottom w:val="none" w:sz="0" w:space="0" w:color="auto"/>
        <w:right w:val="none" w:sz="0" w:space="0" w:color="auto"/>
      </w:divBdr>
    </w:div>
    <w:div w:id="1536042682">
      <w:bodyDiv w:val="1"/>
      <w:marLeft w:val="0"/>
      <w:marRight w:val="0"/>
      <w:marTop w:val="0"/>
      <w:marBottom w:val="0"/>
      <w:divBdr>
        <w:top w:val="none" w:sz="0" w:space="0" w:color="auto"/>
        <w:left w:val="none" w:sz="0" w:space="0" w:color="auto"/>
        <w:bottom w:val="none" w:sz="0" w:space="0" w:color="auto"/>
        <w:right w:val="none" w:sz="0" w:space="0" w:color="auto"/>
      </w:divBdr>
    </w:div>
    <w:div w:id="1536111954">
      <w:bodyDiv w:val="1"/>
      <w:marLeft w:val="0"/>
      <w:marRight w:val="0"/>
      <w:marTop w:val="0"/>
      <w:marBottom w:val="0"/>
      <w:divBdr>
        <w:top w:val="none" w:sz="0" w:space="0" w:color="auto"/>
        <w:left w:val="none" w:sz="0" w:space="0" w:color="auto"/>
        <w:bottom w:val="none" w:sz="0" w:space="0" w:color="auto"/>
        <w:right w:val="none" w:sz="0" w:space="0" w:color="auto"/>
      </w:divBdr>
    </w:div>
    <w:div w:id="1536116681">
      <w:bodyDiv w:val="1"/>
      <w:marLeft w:val="0"/>
      <w:marRight w:val="0"/>
      <w:marTop w:val="0"/>
      <w:marBottom w:val="0"/>
      <w:divBdr>
        <w:top w:val="none" w:sz="0" w:space="0" w:color="auto"/>
        <w:left w:val="none" w:sz="0" w:space="0" w:color="auto"/>
        <w:bottom w:val="none" w:sz="0" w:space="0" w:color="auto"/>
        <w:right w:val="none" w:sz="0" w:space="0" w:color="auto"/>
      </w:divBdr>
    </w:div>
    <w:div w:id="1536187411">
      <w:bodyDiv w:val="1"/>
      <w:marLeft w:val="0"/>
      <w:marRight w:val="0"/>
      <w:marTop w:val="0"/>
      <w:marBottom w:val="0"/>
      <w:divBdr>
        <w:top w:val="none" w:sz="0" w:space="0" w:color="auto"/>
        <w:left w:val="none" w:sz="0" w:space="0" w:color="auto"/>
        <w:bottom w:val="none" w:sz="0" w:space="0" w:color="auto"/>
        <w:right w:val="none" w:sz="0" w:space="0" w:color="auto"/>
      </w:divBdr>
    </w:div>
    <w:div w:id="1536189200">
      <w:bodyDiv w:val="1"/>
      <w:marLeft w:val="0"/>
      <w:marRight w:val="0"/>
      <w:marTop w:val="0"/>
      <w:marBottom w:val="0"/>
      <w:divBdr>
        <w:top w:val="none" w:sz="0" w:space="0" w:color="auto"/>
        <w:left w:val="none" w:sz="0" w:space="0" w:color="auto"/>
        <w:bottom w:val="none" w:sz="0" w:space="0" w:color="auto"/>
        <w:right w:val="none" w:sz="0" w:space="0" w:color="auto"/>
      </w:divBdr>
    </w:div>
    <w:div w:id="1536311967">
      <w:bodyDiv w:val="1"/>
      <w:marLeft w:val="0"/>
      <w:marRight w:val="0"/>
      <w:marTop w:val="0"/>
      <w:marBottom w:val="0"/>
      <w:divBdr>
        <w:top w:val="none" w:sz="0" w:space="0" w:color="auto"/>
        <w:left w:val="none" w:sz="0" w:space="0" w:color="auto"/>
        <w:bottom w:val="none" w:sz="0" w:space="0" w:color="auto"/>
        <w:right w:val="none" w:sz="0" w:space="0" w:color="auto"/>
      </w:divBdr>
    </w:div>
    <w:div w:id="1536313939">
      <w:bodyDiv w:val="1"/>
      <w:marLeft w:val="0"/>
      <w:marRight w:val="0"/>
      <w:marTop w:val="0"/>
      <w:marBottom w:val="0"/>
      <w:divBdr>
        <w:top w:val="none" w:sz="0" w:space="0" w:color="auto"/>
        <w:left w:val="none" w:sz="0" w:space="0" w:color="auto"/>
        <w:bottom w:val="none" w:sz="0" w:space="0" w:color="auto"/>
        <w:right w:val="none" w:sz="0" w:space="0" w:color="auto"/>
      </w:divBdr>
    </w:div>
    <w:div w:id="1536384503">
      <w:bodyDiv w:val="1"/>
      <w:marLeft w:val="0"/>
      <w:marRight w:val="0"/>
      <w:marTop w:val="0"/>
      <w:marBottom w:val="0"/>
      <w:divBdr>
        <w:top w:val="none" w:sz="0" w:space="0" w:color="auto"/>
        <w:left w:val="none" w:sz="0" w:space="0" w:color="auto"/>
        <w:bottom w:val="none" w:sz="0" w:space="0" w:color="auto"/>
        <w:right w:val="none" w:sz="0" w:space="0" w:color="auto"/>
      </w:divBdr>
    </w:div>
    <w:div w:id="1536385313">
      <w:bodyDiv w:val="1"/>
      <w:marLeft w:val="0"/>
      <w:marRight w:val="0"/>
      <w:marTop w:val="0"/>
      <w:marBottom w:val="0"/>
      <w:divBdr>
        <w:top w:val="none" w:sz="0" w:space="0" w:color="auto"/>
        <w:left w:val="none" w:sz="0" w:space="0" w:color="auto"/>
        <w:bottom w:val="none" w:sz="0" w:space="0" w:color="auto"/>
        <w:right w:val="none" w:sz="0" w:space="0" w:color="auto"/>
      </w:divBdr>
    </w:div>
    <w:div w:id="1536386767">
      <w:bodyDiv w:val="1"/>
      <w:marLeft w:val="0"/>
      <w:marRight w:val="0"/>
      <w:marTop w:val="0"/>
      <w:marBottom w:val="0"/>
      <w:divBdr>
        <w:top w:val="none" w:sz="0" w:space="0" w:color="auto"/>
        <w:left w:val="none" w:sz="0" w:space="0" w:color="auto"/>
        <w:bottom w:val="none" w:sz="0" w:space="0" w:color="auto"/>
        <w:right w:val="none" w:sz="0" w:space="0" w:color="auto"/>
      </w:divBdr>
    </w:div>
    <w:div w:id="1536457727">
      <w:bodyDiv w:val="1"/>
      <w:marLeft w:val="0"/>
      <w:marRight w:val="0"/>
      <w:marTop w:val="0"/>
      <w:marBottom w:val="0"/>
      <w:divBdr>
        <w:top w:val="none" w:sz="0" w:space="0" w:color="auto"/>
        <w:left w:val="none" w:sz="0" w:space="0" w:color="auto"/>
        <w:bottom w:val="none" w:sz="0" w:space="0" w:color="auto"/>
        <w:right w:val="none" w:sz="0" w:space="0" w:color="auto"/>
      </w:divBdr>
    </w:div>
    <w:div w:id="1536625771">
      <w:bodyDiv w:val="1"/>
      <w:marLeft w:val="0"/>
      <w:marRight w:val="0"/>
      <w:marTop w:val="0"/>
      <w:marBottom w:val="0"/>
      <w:divBdr>
        <w:top w:val="none" w:sz="0" w:space="0" w:color="auto"/>
        <w:left w:val="none" w:sz="0" w:space="0" w:color="auto"/>
        <w:bottom w:val="none" w:sz="0" w:space="0" w:color="auto"/>
        <w:right w:val="none" w:sz="0" w:space="0" w:color="auto"/>
      </w:divBdr>
    </w:div>
    <w:div w:id="1536843458">
      <w:bodyDiv w:val="1"/>
      <w:marLeft w:val="0"/>
      <w:marRight w:val="0"/>
      <w:marTop w:val="0"/>
      <w:marBottom w:val="0"/>
      <w:divBdr>
        <w:top w:val="none" w:sz="0" w:space="0" w:color="auto"/>
        <w:left w:val="none" w:sz="0" w:space="0" w:color="auto"/>
        <w:bottom w:val="none" w:sz="0" w:space="0" w:color="auto"/>
        <w:right w:val="none" w:sz="0" w:space="0" w:color="auto"/>
      </w:divBdr>
    </w:div>
    <w:div w:id="1536891093">
      <w:bodyDiv w:val="1"/>
      <w:marLeft w:val="0"/>
      <w:marRight w:val="0"/>
      <w:marTop w:val="0"/>
      <w:marBottom w:val="0"/>
      <w:divBdr>
        <w:top w:val="none" w:sz="0" w:space="0" w:color="auto"/>
        <w:left w:val="none" w:sz="0" w:space="0" w:color="auto"/>
        <w:bottom w:val="none" w:sz="0" w:space="0" w:color="auto"/>
        <w:right w:val="none" w:sz="0" w:space="0" w:color="auto"/>
      </w:divBdr>
    </w:div>
    <w:div w:id="1536963550">
      <w:bodyDiv w:val="1"/>
      <w:marLeft w:val="0"/>
      <w:marRight w:val="0"/>
      <w:marTop w:val="0"/>
      <w:marBottom w:val="0"/>
      <w:divBdr>
        <w:top w:val="none" w:sz="0" w:space="0" w:color="auto"/>
        <w:left w:val="none" w:sz="0" w:space="0" w:color="auto"/>
        <w:bottom w:val="none" w:sz="0" w:space="0" w:color="auto"/>
        <w:right w:val="none" w:sz="0" w:space="0" w:color="auto"/>
      </w:divBdr>
    </w:div>
    <w:div w:id="1536969349">
      <w:bodyDiv w:val="1"/>
      <w:marLeft w:val="0"/>
      <w:marRight w:val="0"/>
      <w:marTop w:val="0"/>
      <w:marBottom w:val="0"/>
      <w:divBdr>
        <w:top w:val="none" w:sz="0" w:space="0" w:color="auto"/>
        <w:left w:val="none" w:sz="0" w:space="0" w:color="auto"/>
        <w:bottom w:val="none" w:sz="0" w:space="0" w:color="auto"/>
        <w:right w:val="none" w:sz="0" w:space="0" w:color="auto"/>
      </w:divBdr>
    </w:div>
    <w:div w:id="1537110943">
      <w:bodyDiv w:val="1"/>
      <w:marLeft w:val="0"/>
      <w:marRight w:val="0"/>
      <w:marTop w:val="0"/>
      <w:marBottom w:val="0"/>
      <w:divBdr>
        <w:top w:val="none" w:sz="0" w:space="0" w:color="auto"/>
        <w:left w:val="none" w:sz="0" w:space="0" w:color="auto"/>
        <w:bottom w:val="none" w:sz="0" w:space="0" w:color="auto"/>
        <w:right w:val="none" w:sz="0" w:space="0" w:color="auto"/>
      </w:divBdr>
    </w:div>
    <w:div w:id="1537153688">
      <w:bodyDiv w:val="1"/>
      <w:marLeft w:val="0"/>
      <w:marRight w:val="0"/>
      <w:marTop w:val="0"/>
      <w:marBottom w:val="0"/>
      <w:divBdr>
        <w:top w:val="none" w:sz="0" w:space="0" w:color="auto"/>
        <w:left w:val="none" w:sz="0" w:space="0" w:color="auto"/>
        <w:bottom w:val="none" w:sz="0" w:space="0" w:color="auto"/>
        <w:right w:val="none" w:sz="0" w:space="0" w:color="auto"/>
      </w:divBdr>
    </w:div>
    <w:div w:id="1537156622">
      <w:bodyDiv w:val="1"/>
      <w:marLeft w:val="0"/>
      <w:marRight w:val="0"/>
      <w:marTop w:val="0"/>
      <w:marBottom w:val="0"/>
      <w:divBdr>
        <w:top w:val="none" w:sz="0" w:space="0" w:color="auto"/>
        <w:left w:val="none" w:sz="0" w:space="0" w:color="auto"/>
        <w:bottom w:val="none" w:sz="0" w:space="0" w:color="auto"/>
        <w:right w:val="none" w:sz="0" w:space="0" w:color="auto"/>
      </w:divBdr>
    </w:div>
    <w:div w:id="1537157648">
      <w:bodyDiv w:val="1"/>
      <w:marLeft w:val="0"/>
      <w:marRight w:val="0"/>
      <w:marTop w:val="0"/>
      <w:marBottom w:val="0"/>
      <w:divBdr>
        <w:top w:val="none" w:sz="0" w:space="0" w:color="auto"/>
        <w:left w:val="none" w:sz="0" w:space="0" w:color="auto"/>
        <w:bottom w:val="none" w:sz="0" w:space="0" w:color="auto"/>
        <w:right w:val="none" w:sz="0" w:space="0" w:color="auto"/>
      </w:divBdr>
    </w:div>
    <w:div w:id="1537233683">
      <w:bodyDiv w:val="1"/>
      <w:marLeft w:val="0"/>
      <w:marRight w:val="0"/>
      <w:marTop w:val="0"/>
      <w:marBottom w:val="0"/>
      <w:divBdr>
        <w:top w:val="none" w:sz="0" w:space="0" w:color="auto"/>
        <w:left w:val="none" w:sz="0" w:space="0" w:color="auto"/>
        <w:bottom w:val="none" w:sz="0" w:space="0" w:color="auto"/>
        <w:right w:val="none" w:sz="0" w:space="0" w:color="auto"/>
      </w:divBdr>
    </w:div>
    <w:div w:id="1537503883">
      <w:bodyDiv w:val="1"/>
      <w:marLeft w:val="0"/>
      <w:marRight w:val="0"/>
      <w:marTop w:val="0"/>
      <w:marBottom w:val="0"/>
      <w:divBdr>
        <w:top w:val="none" w:sz="0" w:space="0" w:color="auto"/>
        <w:left w:val="none" w:sz="0" w:space="0" w:color="auto"/>
        <w:bottom w:val="none" w:sz="0" w:space="0" w:color="auto"/>
        <w:right w:val="none" w:sz="0" w:space="0" w:color="auto"/>
      </w:divBdr>
    </w:div>
    <w:div w:id="1537546287">
      <w:bodyDiv w:val="1"/>
      <w:marLeft w:val="0"/>
      <w:marRight w:val="0"/>
      <w:marTop w:val="0"/>
      <w:marBottom w:val="0"/>
      <w:divBdr>
        <w:top w:val="none" w:sz="0" w:space="0" w:color="auto"/>
        <w:left w:val="none" w:sz="0" w:space="0" w:color="auto"/>
        <w:bottom w:val="none" w:sz="0" w:space="0" w:color="auto"/>
        <w:right w:val="none" w:sz="0" w:space="0" w:color="auto"/>
      </w:divBdr>
    </w:div>
    <w:div w:id="1537617020">
      <w:bodyDiv w:val="1"/>
      <w:marLeft w:val="0"/>
      <w:marRight w:val="0"/>
      <w:marTop w:val="0"/>
      <w:marBottom w:val="0"/>
      <w:divBdr>
        <w:top w:val="none" w:sz="0" w:space="0" w:color="auto"/>
        <w:left w:val="none" w:sz="0" w:space="0" w:color="auto"/>
        <w:bottom w:val="none" w:sz="0" w:space="0" w:color="auto"/>
        <w:right w:val="none" w:sz="0" w:space="0" w:color="auto"/>
      </w:divBdr>
    </w:div>
    <w:div w:id="1537691626">
      <w:bodyDiv w:val="1"/>
      <w:marLeft w:val="0"/>
      <w:marRight w:val="0"/>
      <w:marTop w:val="0"/>
      <w:marBottom w:val="0"/>
      <w:divBdr>
        <w:top w:val="none" w:sz="0" w:space="0" w:color="auto"/>
        <w:left w:val="none" w:sz="0" w:space="0" w:color="auto"/>
        <w:bottom w:val="none" w:sz="0" w:space="0" w:color="auto"/>
        <w:right w:val="none" w:sz="0" w:space="0" w:color="auto"/>
      </w:divBdr>
    </w:div>
    <w:div w:id="1537818008">
      <w:bodyDiv w:val="1"/>
      <w:marLeft w:val="0"/>
      <w:marRight w:val="0"/>
      <w:marTop w:val="0"/>
      <w:marBottom w:val="0"/>
      <w:divBdr>
        <w:top w:val="none" w:sz="0" w:space="0" w:color="auto"/>
        <w:left w:val="none" w:sz="0" w:space="0" w:color="auto"/>
        <w:bottom w:val="none" w:sz="0" w:space="0" w:color="auto"/>
        <w:right w:val="none" w:sz="0" w:space="0" w:color="auto"/>
      </w:divBdr>
    </w:div>
    <w:div w:id="1537818259">
      <w:bodyDiv w:val="1"/>
      <w:marLeft w:val="0"/>
      <w:marRight w:val="0"/>
      <w:marTop w:val="0"/>
      <w:marBottom w:val="0"/>
      <w:divBdr>
        <w:top w:val="none" w:sz="0" w:space="0" w:color="auto"/>
        <w:left w:val="none" w:sz="0" w:space="0" w:color="auto"/>
        <w:bottom w:val="none" w:sz="0" w:space="0" w:color="auto"/>
        <w:right w:val="none" w:sz="0" w:space="0" w:color="auto"/>
      </w:divBdr>
    </w:div>
    <w:div w:id="1538158200">
      <w:bodyDiv w:val="1"/>
      <w:marLeft w:val="0"/>
      <w:marRight w:val="0"/>
      <w:marTop w:val="0"/>
      <w:marBottom w:val="0"/>
      <w:divBdr>
        <w:top w:val="none" w:sz="0" w:space="0" w:color="auto"/>
        <w:left w:val="none" w:sz="0" w:space="0" w:color="auto"/>
        <w:bottom w:val="none" w:sz="0" w:space="0" w:color="auto"/>
        <w:right w:val="none" w:sz="0" w:space="0" w:color="auto"/>
      </w:divBdr>
    </w:div>
    <w:div w:id="1538158615">
      <w:bodyDiv w:val="1"/>
      <w:marLeft w:val="0"/>
      <w:marRight w:val="0"/>
      <w:marTop w:val="0"/>
      <w:marBottom w:val="0"/>
      <w:divBdr>
        <w:top w:val="none" w:sz="0" w:space="0" w:color="auto"/>
        <w:left w:val="none" w:sz="0" w:space="0" w:color="auto"/>
        <w:bottom w:val="none" w:sz="0" w:space="0" w:color="auto"/>
        <w:right w:val="none" w:sz="0" w:space="0" w:color="auto"/>
      </w:divBdr>
    </w:div>
    <w:div w:id="1538198967">
      <w:bodyDiv w:val="1"/>
      <w:marLeft w:val="0"/>
      <w:marRight w:val="0"/>
      <w:marTop w:val="0"/>
      <w:marBottom w:val="0"/>
      <w:divBdr>
        <w:top w:val="none" w:sz="0" w:space="0" w:color="auto"/>
        <w:left w:val="none" w:sz="0" w:space="0" w:color="auto"/>
        <w:bottom w:val="none" w:sz="0" w:space="0" w:color="auto"/>
        <w:right w:val="none" w:sz="0" w:space="0" w:color="auto"/>
      </w:divBdr>
    </w:div>
    <w:div w:id="1538346858">
      <w:bodyDiv w:val="1"/>
      <w:marLeft w:val="0"/>
      <w:marRight w:val="0"/>
      <w:marTop w:val="0"/>
      <w:marBottom w:val="0"/>
      <w:divBdr>
        <w:top w:val="none" w:sz="0" w:space="0" w:color="auto"/>
        <w:left w:val="none" w:sz="0" w:space="0" w:color="auto"/>
        <w:bottom w:val="none" w:sz="0" w:space="0" w:color="auto"/>
        <w:right w:val="none" w:sz="0" w:space="0" w:color="auto"/>
      </w:divBdr>
    </w:div>
    <w:div w:id="1538348446">
      <w:bodyDiv w:val="1"/>
      <w:marLeft w:val="0"/>
      <w:marRight w:val="0"/>
      <w:marTop w:val="0"/>
      <w:marBottom w:val="0"/>
      <w:divBdr>
        <w:top w:val="none" w:sz="0" w:space="0" w:color="auto"/>
        <w:left w:val="none" w:sz="0" w:space="0" w:color="auto"/>
        <w:bottom w:val="none" w:sz="0" w:space="0" w:color="auto"/>
        <w:right w:val="none" w:sz="0" w:space="0" w:color="auto"/>
      </w:divBdr>
    </w:div>
    <w:div w:id="1538393229">
      <w:bodyDiv w:val="1"/>
      <w:marLeft w:val="0"/>
      <w:marRight w:val="0"/>
      <w:marTop w:val="0"/>
      <w:marBottom w:val="0"/>
      <w:divBdr>
        <w:top w:val="none" w:sz="0" w:space="0" w:color="auto"/>
        <w:left w:val="none" w:sz="0" w:space="0" w:color="auto"/>
        <w:bottom w:val="none" w:sz="0" w:space="0" w:color="auto"/>
        <w:right w:val="none" w:sz="0" w:space="0" w:color="auto"/>
      </w:divBdr>
    </w:div>
    <w:div w:id="1538395347">
      <w:bodyDiv w:val="1"/>
      <w:marLeft w:val="0"/>
      <w:marRight w:val="0"/>
      <w:marTop w:val="0"/>
      <w:marBottom w:val="0"/>
      <w:divBdr>
        <w:top w:val="none" w:sz="0" w:space="0" w:color="auto"/>
        <w:left w:val="none" w:sz="0" w:space="0" w:color="auto"/>
        <w:bottom w:val="none" w:sz="0" w:space="0" w:color="auto"/>
        <w:right w:val="none" w:sz="0" w:space="0" w:color="auto"/>
      </w:divBdr>
    </w:div>
    <w:div w:id="1538397820">
      <w:bodyDiv w:val="1"/>
      <w:marLeft w:val="0"/>
      <w:marRight w:val="0"/>
      <w:marTop w:val="0"/>
      <w:marBottom w:val="0"/>
      <w:divBdr>
        <w:top w:val="none" w:sz="0" w:space="0" w:color="auto"/>
        <w:left w:val="none" w:sz="0" w:space="0" w:color="auto"/>
        <w:bottom w:val="none" w:sz="0" w:space="0" w:color="auto"/>
        <w:right w:val="none" w:sz="0" w:space="0" w:color="auto"/>
      </w:divBdr>
    </w:div>
    <w:div w:id="1538540542">
      <w:bodyDiv w:val="1"/>
      <w:marLeft w:val="0"/>
      <w:marRight w:val="0"/>
      <w:marTop w:val="0"/>
      <w:marBottom w:val="0"/>
      <w:divBdr>
        <w:top w:val="none" w:sz="0" w:space="0" w:color="auto"/>
        <w:left w:val="none" w:sz="0" w:space="0" w:color="auto"/>
        <w:bottom w:val="none" w:sz="0" w:space="0" w:color="auto"/>
        <w:right w:val="none" w:sz="0" w:space="0" w:color="auto"/>
      </w:divBdr>
    </w:div>
    <w:div w:id="1538590022">
      <w:bodyDiv w:val="1"/>
      <w:marLeft w:val="0"/>
      <w:marRight w:val="0"/>
      <w:marTop w:val="0"/>
      <w:marBottom w:val="0"/>
      <w:divBdr>
        <w:top w:val="none" w:sz="0" w:space="0" w:color="auto"/>
        <w:left w:val="none" w:sz="0" w:space="0" w:color="auto"/>
        <w:bottom w:val="none" w:sz="0" w:space="0" w:color="auto"/>
        <w:right w:val="none" w:sz="0" w:space="0" w:color="auto"/>
      </w:divBdr>
    </w:div>
    <w:div w:id="1538662683">
      <w:bodyDiv w:val="1"/>
      <w:marLeft w:val="0"/>
      <w:marRight w:val="0"/>
      <w:marTop w:val="0"/>
      <w:marBottom w:val="0"/>
      <w:divBdr>
        <w:top w:val="none" w:sz="0" w:space="0" w:color="auto"/>
        <w:left w:val="none" w:sz="0" w:space="0" w:color="auto"/>
        <w:bottom w:val="none" w:sz="0" w:space="0" w:color="auto"/>
        <w:right w:val="none" w:sz="0" w:space="0" w:color="auto"/>
      </w:divBdr>
    </w:div>
    <w:div w:id="1539003492">
      <w:bodyDiv w:val="1"/>
      <w:marLeft w:val="0"/>
      <w:marRight w:val="0"/>
      <w:marTop w:val="0"/>
      <w:marBottom w:val="0"/>
      <w:divBdr>
        <w:top w:val="none" w:sz="0" w:space="0" w:color="auto"/>
        <w:left w:val="none" w:sz="0" w:space="0" w:color="auto"/>
        <w:bottom w:val="none" w:sz="0" w:space="0" w:color="auto"/>
        <w:right w:val="none" w:sz="0" w:space="0" w:color="auto"/>
      </w:divBdr>
    </w:div>
    <w:div w:id="1539050107">
      <w:bodyDiv w:val="1"/>
      <w:marLeft w:val="0"/>
      <w:marRight w:val="0"/>
      <w:marTop w:val="0"/>
      <w:marBottom w:val="0"/>
      <w:divBdr>
        <w:top w:val="none" w:sz="0" w:space="0" w:color="auto"/>
        <w:left w:val="none" w:sz="0" w:space="0" w:color="auto"/>
        <w:bottom w:val="none" w:sz="0" w:space="0" w:color="auto"/>
        <w:right w:val="none" w:sz="0" w:space="0" w:color="auto"/>
      </w:divBdr>
    </w:div>
    <w:div w:id="1539079972">
      <w:bodyDiv w:val="1"/>
      <w:marLeft w:val="0"/>
      <w:marRight w:val="0"/>
      <w:marTop w:val="0"/>
      <w:marBottom w:val="0"/>
      <w:divBdr>
        <w:top w:val="none" w:sz="0" w:space="0" w:color="auto"/>
        <w:left w:val="none" w:sz="0" w:space="0" w:color="auto"/>
        <w:bottom w:val="none" w:sz="0" w:space="0" w:color="auto"/>
        <w:right w:val="none" w:sz="0" w:space="0" w:color="auto"/>
      </w:divBdr>
    </w:div>
    <w:div w:id="1539321004">
      <w:bodyDiv w:val="1"/>
      <w:marLeft w:val="0"/>
      <w:marRight w:val="0"/>
      <w:marTop w:val="0"/>
      <w:marBottom w:val="0"/>
      <w:divBdr>
        <w:top w:val="none" w:sz="0" w:space="0" w:color="auto"/>
        <w:left w:val="none" w:sz="0" w:space="0" w:color="auto"/>
        <w:bottom w:val="none" w:sz="0" w:space="0" w:color="auto"/>
        <w:right w:val="none" w:sz="0" w:space="0" w:color="auto"/>
      </w:divBdr>
    </w:div>
    <w:div w:id="1539394441">
      <w:bodyDiv w:val="1"/>
      <w:marLeft w:val="0"/>
      <w:marRight w:val="0"/>
      <w:marTop w:val="0"/>
      <w:marBottom w:val="0"/>
      <w:divBdr>
        <w:top w:val="none" w:sz="0" w:space="0" w:color="auto"/>
        <w:left w:val="none" w:sz="0" w:space="0" w:color="auto"/>
        <w:bottom w:val="none" w:sz="0" w:space="0" w:color="auto"/>
        <w:right w:val="none" w:sz="0" w:space="0" w:color="auto"/>
      </w:divBdr>
    </w:div>
    <w:div w:id="1539464032">
      <w:bodyDiv w:val="1"/>
      <w:marLeft w:val="0"/>
      <w:marRight w:val="0"/>
      <w:marTop w:val="0"/>
      <w:marBottom w:val="0"/>
      <w:divBdr>
        <w:top w:val="none" w:sz="0" w:space="0" w:color="auto"/>
        <w:left w:val="none" w:sz="0" w:space="0" w:color="auto"/>
        <w:bottom w:val="none" w:sz="0" w:space="0" w:color="auto"/>
        <w:right w:val="none" w:sz="0" w:space="0" w:color="auto"/>
      </w:divBdr>
    </w:div>
    <w:div w:id="1539468705">
      <w:bodyDiv w:val="1"/>
      <w:marLeft w:val="0"/>
      <w:marRight w:val="0"/>
      <w:marTop w:val="0"/>
      <w:marBottom w:val="0"/>
      <w:divBdr>
        <w:top w:val="none" w:sz="0" w:space="0" w:color="auto"/>
        <w:left w:val="none" w:sz="0" w:space="0" w:color="auto"/>
        <w:bottom w:val="none" w:sz="0" w:space="0" w:color="auto"/>
        <w:right w:val="none" w:sz="0" w:space="0" w:color="auto"/>
      </w:divBdr>
    </w:div>
    <w:div w:id="1539513863">
      <w:bodyDiv w:val="1"/>
      <w:marLeft w:val="0"/>
      <w:marRight w:val="0"/>
      <w:marTop w:val="0"/>
      <w:marBottom w:val="0"/>
      <w:divBdr>
        <w:top w:val="none" w:sz="0" w:space="0" w:color="auto"/>
        <w:left w:val="none" w:sz="0" w:space="0" w:color="auto"/>
        <w:bottom w:val="none" w:sz="0" w:space="0" w:color="auto"/>
        <w:right w:val="none" w:sz="0" w:space="0" w:color="auto"/>
      </w:divBdr>
    </w:div>
    <w:div w:id="1539657483">
      <w:bodyDiv w:val="1"/>
      <w:marLeft w:val="0"/>
      <w:marRight w:val="0"/>
      <w:marTop w:val="0"/>
      <w:marBottom w:val="0"/>
      <w:divBdr>
        <w:top w:val="none" w:sz="0" w:space="0" w:color="auto"/>
        <w:left w:val="none" w:sz="0" w:space="0" w:color="auto"/>
        <w:bottom w:val="none" w:sz="0" w:space="0" w:color="auto"/>
        <w:right w:val="none" w:sz="0" w:space="0" w:color="auto"/>
      </w:divBdr>
    </w:div>
    <w:div w:id="1539776631">
      <w:bodyDiv w:val="1"/>
      <w:marLeft w:val="0"/>
      <w:marRight w:val="0"/>
      <w:marTop w:val="0"/>
      <w:marBottom w:val="0"/>
      <w:divBdr>
        <w:top w:val="none" w:sz="0" w:space="0" w:color="auto"/>
        <w:left w:val="none" w:sz="0" w:space="0" w:color="auto"/>
        <w:bottom w:val="none" w:sz="0" w:space="0" w:color="auto"/>
        <w:right w:val="none" w:sz="0" w:space="0" w:color="auto"/>
      </w:divBdr>
    </w:div>
    <w:div w:id="1539778482">
      <w:bodyDiv w:val="1"/>
      <w:marLeft w:val="0"/>
      <w:marRight w:val="0"/>
      <w:marTop w:val="0"/>
      <w:marBottom w:val="0"/>
      <w:divBdr>
        <w:top w:val="none" w:sz="0" w:space="0" w:color="auto"/>
        <w:left w:val="none" w:sz="0" w:space="0" w:color="auto"/>
        <w:bottom w:val="none" w:sz="0" w:space="0" w:color="auto"/>
        <w:right w:val="none" w:sz="0" w:space="0" w:color="auto"/>
      </w:divBdr>
    </w:div>
    <w:div w:id="1539780586">
      <w:bodyDiv w:val="1"/>
      <w:marLeft w:val="0"/>
      <w:marRight w:val="0"/>
      <w:marTop w:val="0"/>
      <w:marBottom w:val="0"/>
      <w:divBdr>
        <w:top w:val="none" w:sz="0" w:space="0" w:color="auto"/>
        <w:left w:val="none" w:sz="0" w:space="0" w:color="auto"/>
        <w:bottom w:val="none" w:sz="0" w:space="0" w:color="auto"/>
        <w:right w:val="none" w:sz="0" w:space="0" w:color="auto"/>
      </w:divBdr>
    </w:div>
    <w:div w:id="1539853784">
      <w:bodyDiv w:val="1"/>
      <w:marLeft w:val="0"/>
      <w:marRight w:val="0"/>
      <w:marTop w:val="0"/>
      <w:marBottom w:val="0"/>
      <w:divBdr>
        <w:top w:val="none" w:sz="0" w:space="0" w:color="auto"/>
        <w:left w:val="none" w:sz="0" w:space="0" w:color="auto"/>
        <w:bottom w:val="none" w:sz="0" w:space="0" w:color="auto"/>
        <w:right w:val="none" w:sz="0" w:space="0" w:color="auto"/>
      </w:divBdr>
    </w:div>
    <w:div w:id="1539932072">
      <w:bodyDiv w:val="1"/>
      <w:marLeft w:val="0"/>
      <w:marRight w:val="0"/>
      <w:marTop w:val="0"/>
      <w:marBottom w:val="0"/>
      <w:divBdr>
        <w:top w:val="none" w:sz="0" w:space="0" w:color="auto"/>
        <w:left w:val="none" w:sz="0" w:space="0" w:color="auto"/>
        <w:bottom w:val="none" w:sz="0" w:space="0" w:color="auto"/>
        <w:right w:val="none" w:sz="0" w:space="0" w:color="auto"/>
      </w:divBdr>
    </w:div>
    <w:div w:id="1539967788">
      <w:bodyDiv w:val="1"/>
      <w:marLeft w:val="0"/>
      <w:marRight w:val="0"/>
      <w:marTop w:val="0"/>
      <w:marBottom w:val="0"/>
      <w:divBdr>
        <w:top w:val="none" w:sz="0" w:space="0" w:color="auto"/>
        <w:left w:val="none" w:sz="0" w:space="0" w:color="auto"/>
        <w:bottom w:val="none" w:sz="0" w:space="0" w:color="auto"/>
        <w:right w:val="none" w:sz="0" w:space="0" w:color="auto"/>
      </w:divBdr>
    </w:div>
    <w:div w:id="1539969900">
      <w:bodyDiv w:val="1"/>
      <w:marLeft w:val="0"/>
      <w:marRight w:val="0"/>
      <w:marTop w:val="0"/>
      <w:marBottom w:val="0"/>
      <w:divBdr>
        <w:top w:val="none" w:sz="0" w:space="0" w:color="auto"/>
        <w:left w:val="none" w:sz="0" w:space="0" w:color="auto"/>
        <w:bottom w:val="none" w:sz="0" w:space="0" w:color="auto"/>
        <w:right w:val="none" w:sz="0" w:space="0" w:color="auto"/>
      </w:divBdr>
    </w:div>
    <w:div w:id="1540046017">
      <w:bodyDiv w:val="1"/>
      <w:marLeft w:val="0"/>
      <w:marRight w:val="0"/>
      <w:marTop w:val="0"/>
      <w:marBottom w:val="0"/>
      <w:divBdr>
        <w:top w:val="none" w:sz="0" w:space="0" w:color="auto"/>
        <w:left w:val="none" w:sz="0" w:space="0" w:color="auto"/>
        <w:bottom w:val="none" w:sz="0" w:space="0" w:color="auto"/>
        <w:right w:val="none" w:sz="0" w:space="0" w:color="auto"/>
      </w:divBdr>
    </w:div>
    <w:div w:id="1540049375">
      <w:bodyDiv w:val="1"/>
      <w:marLeft w:val="0"/>
      <w:marRight w:val="0"/>
      <w:marTop w:val="0"/>
      <w:marBottom w:val="0"/>
      <w:divBdr>
        <w:top w:val="none" w:sz="0" w:space="0" w:color="auto"/>
        <w:left w:val="none" w:sz="0" w:space="0" w:color="auto"/>
        <w:bottom w:val="none" w:sz="0" w:space="0" w:color="auto"/>
        <w:right w:val="none" w:sz="0" w:space="0" w:color="auto"/>
      </w:divBdr>
    </w:div>
    <w:div w:id="1540124410">
      <w:bodyDiv w:val="1"/>
      <w:marLeft w:val="0"/>
      <w:marRight w:val="0"/>
      <w:marTop w:val="0"/>
      <w:marBottom w:val="0"/>
      <w:divBdr>
        <w:top w:val="none" w:sz="0" w:space="0" w:color="auto"/>
        <w:left w:val="none" w:sz="0" w:space="0" w:color="auto"/>
        <w:bottom w:val="none" w:sz="0" w:space="0" w:color="auto"/>
        <w:right w:val="none" w:sz="0" w:space="0" w:color="auto"/>
      </w:divBdr>
    </w:div>
    <w:div w:id="1540240313">
      <w:bodyDiv w:val="1"/>
      <w:marLeft w:val="0"/>
      <w:marRight w:val="0"/>
      <w:marTop w:val="0"/>
      <w:marBottom w:val="0"/>
      <w:divBdr>
        <w:top w:val="none" w:sz="0" w:space="0" w:color="auto"/>
        <w:left w:val="none" w:sz="0" w:space="0" w:color="auto"/>
        <w:bottom w:val="none" w:sz="0" w:space="0" w:color="auto"/>
        <w:right w:val="none" w:sz="0" w:space="0" w:color="auto"/>
      </w:divBdr>
    </w:div>
    <w:div w:id="1540315605">
      <w:bodyDiv w:val="1"/>
      <w:marLeft w:val="0"/>
      <w:marRight w:val="0"/>
      <w:marTop w:val="0"/>
      <w:marBottom w:val="0"/>
      <w:divBdr>
        <w:top w:val="none" w:sz="0" w:space="0" w:color="auto"/>
        <w:left w:val="none" w:sz="0" w:space="0" w:color="auto"/>
        <w:bottom w:val="none" w:sz="0" w:space="0" w:color="auto"/>
        <w:right w:val="none" w:sz="0" w:space="0" w:color="auto"/>
      </w:divBdr>
    </w:div>
    <w:div w:id="1540317943">
      <w:bodyDiv w:val="1"/>
      <w:marLeft w:val="0"/>
      <w:marRight w:val="0"/>
      <w:marTop w:val="0"/>
      <w:marBottom w:val="0"/>
      <w:divBdr>
        <w:top w:val="none" w:sz="0" w:space="0" w:color="auto"/>
        <w:left w:val="none" w:sz="0" w:space="0" w:color="auto"/>
        <w:bottom w:val="none" w:sz="0" w:space="0" w:color="auto"/>
        <w:right w:val="none" w:sz="0" w:space="0" w:color="auto"/>
      </w:divBdr>
    </w:div>
    <w:div w:id="1540318276">
      <w:bodyDiv w:val="1"/>
      <w:marLeft w:val="0"/>
      <w:marRight w:val="0"/>
      <w:marTop w:val="0"/>
      <w:marBottom w:val="0"/>
      <w:divBdr>
        <w:top w:val="none" w:sz="0" w:space="0" w:color="auto"/>
        <w:left w:val="none" w:sz="0" w:space="0" w:color="auto"/>
        <w:bottom w:val="none" w:sz="0" w:space="0" w:color="auto"/>
        <w:right w:val="none" w:sz="0" w:space="0" w:color="auto"/>
      </w:divBdr>
    </w:div>
    <w:div w:id="1540320125">
      <w:bodyDiv w:val="1"/>
      <w:marLeft w:val="0"/>
      <w:marRight w:val="0"/>
      <w:marTop w:val="0"/>
      <w:marBottom w:val="0"/>
      <w:divBdr>
        <w:top w:val="none" w:sz="0" w:space="0" w:color="auto"/>
        <w:left w:val="none" w:sz="0" w:space="0" w:color="auto"/>
        <w:bottom w:val="none" w:sz="0" w:space="0" w:color="auto"/>
        <w:right w:val="none" w:sz="0" w:space="0" w:color="auto"/>
      </w:divBdr>
    </w:div>
    <w:div w:id="1540513005">
      <w:bodyDiv w:val="1"/>
      <w:marLeft w:val="0"/>
      <w:marRight w:val="0"/>
      <w:marTop w:val="0"/>
      <w:marBottom w:val="0"/>
      <w:divBdr>
        <w:top w:val="none" w:sz="0" w:space="0" w:color="auto"/>
        <w:left w:val="none" w:sz="0" w:space="0" w:color="auto"/>
        <w:bottom w:val="none" w:sz="0" w:space="0" w:color="auto"/>
        <w:right w:val="none" w:sz="0" w:space="0" w:color="auto"/>
      </w:divBdr>
    </w:div>
    <w:div w:id="1540556203">
      <w:bodyDiv w:val="1"/>
      <w:marLeft w:val="0"/>
      <w:marRight w:val="0"/>
      <w:marTop w:val="0"/>
      <w:marBottom w:val="0"/>
      <w:divBdr>
        <w:top w:val="none" w:sz="0" w:space="0" w:color="auto"/>
        <w:left w:val="none" w:sz="0" w:space="0" w:color="auto"/>
        <w:bottom w:val="none" w:sz="0" w:space="0" w:color="auto"/>
        <w:right w:val="none" w:sz="0" w:space="0" w:color="auto"/>
      </w:divBdr>
    </w:div>
    <w:div w:id="1540583598">
      <w:bodyDiv w:val="1"/>
      <w:marLeft w:val="0"/>
      <w:marRight w:val="0"/>
      <w:marTop w:val="0"/>
      <w:marBottom w:val="0"/>
      <w:divBdr>
        <w:top w:val="none" w:sz="0" w:space="0" w:color="auto"/>
        <w:left w:val="none" w:sz="0" w:space="0" w:color="auto"/>
        <w:bottom w:val="none" w:sz="0" w:space="0" w:color="auto"/>
        <w:right w:val="none" w:sz="0" w:space="0" w:color="auto"/>
      </w:divBdr>
    </w:div>
    <w:div w:id="1540630632">
      <w:bodyDiv w:val="1"/>
      <w:marLeft w:val="0"/>
      <w:marRight w:val="0"/>
      <w:marTop w:val="0"/>
      <w:marBottom w:val="0"/>
      <w:divBdr>
        <w:top w:val="none" w:sz="0" w:space="0" w:color="auto"/>
        <w:left w:val="none" w:sz="0" w:space="0" w:color="auto"/>
        <w:bottom w:val="none" w:sz="0" w:space="0" w:color="auto"/>
        <w:right w:val="none" w:sz="0" w:space="0" w:color="auto"/>
      </w:divBdr>
    </w:div>
    <w:div w:id="1540972427">
      <w:bodyDiv w:val="1"/>
      <w:marLeft w:val="0"/>
      <w:marRight w:val="0"/>
      <w:marTop w:val="0"/>
      <w:marBottom w:val="0"/>
      <w:divBdr>
        <w:top w:val="none" w:sz="0" w:space="0" w:color="auto"/>
        <w:left w:val="none" w:sz="0" w:space="0" w:color="auto"/>
        <w:bottom w:val="none" w:sz="0" w:space="0" w:color="auto"/>
        <w:right w:val="none" w:sz="0" w:space="0" w:color="auto"/>
      </w:divBdr>
    </w:div>
    <w:div w:id="1541017019">
      <w:bodyDiv w:val="1"/>
      <w:marLeft w:val="0"/>
      <w:marRight w:val="0"/>
      <w:marTop w:val="0"/>
      <w:marBottom w:val="0"/>
      <w:divBdr>
        <w:top w:val="none" w:sz="0" w:space="0" w:color="auto"/>
        <w:left w:val="none" w:sz="0" w:space="0" w:color="auto"/>
        <w:bottom w:val="none" w:sz="0" w:space="0" w:color="auto"/>
        <w:right w:val="none" w:sz="0" w:space="0" w:color="auto"/>
      </w:divBdr>
    </w:div>
    <w:div w:id="1541211212">
      <w:bodyDiv w:val="1"/>
      <w:marLeft w:val="0"/>
      <w:marRight w:val="0"/>
      <w:marTop w:val="0"/>
      <w:marBottom w:val="0"/>
      <w:divBdr>
        <w:top w:val="none" w:sz="0" w:space="0" w:color="auto"/>
        <w:left w:val="none" w:sz="0" w:space="0" w:color="auto"/>
        <w:bottom w:val="none" w:sz="0" w:space="0" w:color="auto"/>
        <w:right w:val="none" w:sz="0" w:space="0" w:color="auto"/>
      </w:divBdr>
    </w:div>
    <w:div w:id="1541237799">
      <w:bodyDiv w:val="1"/>
      <w:marLeft w:val="0"/>
      <w:marRight w:val="0"/>
      <w:marTop w:val="0"/>
      <w:marBottom w:val="0"/>
      <w:divBdr>
        <w:top w:val="none" w:sz="0" w:space="0" w:color="auto"/>
        <w:left w:val="none" w:sz="0" w:space="0" w:color="auto"/>
        <w:bottom w:val="none" w:sz="0" w:space="0" w:color="auto"/>
        <w:right w:val="none" w:sz="0" w:space="0" w:color="auto"/>
      </w:divBdr>
    </w:div>
    <w:div w:id="1541362546">
      <w:bodyDiv w:val="1"/>
      <w:marLeft w:val="0"/>
      <w:marRight w:val="0"/>
      <w:marTop w:val="0"/>
      <w:marBottom w:val="0"/>
      <w:divBdr>
        <w:top w:val="none" w:sz="0" w:space="0" w:color="auto"/>
        <w:left w:val="none" w:sz="0" w:space="0" w:color="auto"/>
        <w:bottom w:val="none" w:sz="0" w:space="0" w:color="auto"/>
        <w:right w:val="none" w:sz="0" w:space="0" w:color="auto"/>
      </w:divBdr>
    </w:div>
    <w:div w:id="1541362945">
      <w:bodyDiv w:val="1"/>
      <w:marLeft w:val="0"/>
      <w:marRight w:val="0"/>
      <w:marTop w:val="0"/>
      <w:marBottom w:val="0"/>
      <w:divBdr>
        <w:top w:val="none" w:sz="0" w:space="0" w:color="auto"/>
        <w:left w:val="none" w:sz="0" w:space="0" w:color="auto"/>
        <w:bottom w:val="none" w:sz="0" w:space="0" w:color="auto"/>
        <w:right w:val="none" w:sz="0" w:space="0" w:color="auto"/>
      </w:divBdr>
    </w:div>
    <w:div w:id="1541431963">
      <w:bodyDiv w:val="1"/>
      <w:marLeft w:val="0"/>
      <w:marRight w:val="0"/>
      <w:marTop w:val="0"/>
      <w:marBottom w:val="0"/>
      <w:divBdr>
        <w:top w:val="none" w:sz="0" w:space="0" w:color="auto"/>
        <w:left w:val="none" w:sz="0" w:space="0" w:color="auto"/>
        <w:bottom w:val="none" w:sz="0" w:space="0" w:color="auto"/>
        <w:right w:val="none" w:sz="0" w:space="0" w:color="auto"/>
      </w:divBdr>
    </w:div>
    <w:div w:id="1541434307">
      <w:bodyDiv w:val="1"/>
      <w:marLeft w:val="0"/>
      <w:marRight w:val="0"/>
      <w:marTop w:val="0"/>
      <w:marBottom w:val="0"/>
      <w:divBdr>
        <w:top w:val="none" w:sz="0" w:space="0" w:color="auto"/>
        <w:left w:val="none" w:sz="0" w:space="0" w:color="auto"/>
        <w:bottom w:val="none" w:sz="0" w:space="0" w:color="auto"/>
        <w:right w:val="none" w:sz="0" w:space="0" w:color="auto"/>
      </w:divBdr>
    </w:div>
    <w:div w:id="1541438760">
      <w:bodyDiv w:val="1"/>
      <w:marLeft w:val="0"/>
      <w:marRight w:val="0"/>
      <w:marTop w:val="0"/>
      <w:marBottom w:val="0"/>
      <w:divBdr>
        <w:top w:val="none" w:sz="0" w:space="0" w:color="auto"/>
        <w:left w:val="none" w:sz="0" w:space="0" w:color="auto"/>
        <w:bottom w:val="none" w:sz="0" w:space="0" w:color="auto"/>
        <w:right w:val="none" w:sz="0" w:space="0" w:color="auto"/>
      </w:divBdr>
    </w:div>
    <w:div w:id="1541631930">
      <w:bodyDiv w:val="1"/>
      <w:marLeft w:val="0"/>
      <w:marRight w:val="0"/>
      <w:marTop w:val="0"/>
      <w:marBottom w:val="0"/>
      <w:divBdr>
        <w:top w:val="none" w:sz="0" w:space="0" w:color="auto"/>
        <w:left w:val="none" w:sz="0" w:space="0" w:color="auto"/>
        <w:bottom w:val="none" w:sz="0" w:space="0" w:color="auto"/>
        <w:right w:val="none" w:sz="0" w:space="0" w:color="auto"/>
      </w:divBdr>
    </w:div>
    <w:div w:id="1541698327">
      <w:bodyDiv w:val="1"/>
      <w:marLeft w:val="0"/>
      <w:marRight w:val="0"/>
      <w:marTop w:val="0"/>
      <w:marBottom w:val="0"/>
      <w:divBdr>
        <w:top w:val="none" w:sz="0" w:space="0" w:color="auto"/>
        <w:left w:val="none" w:sz="0" w:space="0" w:color="auto"/>
        <w:bottom w:val="none" w:sz="0" w:space="0" w:color="auto"/>
        <w:right w:val="none" w:sz="0" w:space="0" w:color="auto"/>
      </w:divBdr>
    </w:div>
    <w:div w:id="1541820647">
      <w:bodyDiv w:val="1"/>
      <w:marLeft w:val="0"/>
      <w:marRight w:val="0"/>
      <w:marTop w:val="0"/>
      <w:marBottom w:val="0"/>
      <w:divBdr>
        <w:top w:val="none" w:sz="0" w:space="0" w:color="auto"/>
        <w:left w:val="none" w:sz="0" w:space="0" w:color="auto"/>
        <w:bottom w:val="none" w:sz="0" w:space="0" w:color="auto"/>
        <w:right w:val="none" w:sz="0" w:space="0" w:color="auto"/>
      </w:divBdr>
    </w:div>
    <w:div w:id="1541867128">
      <w:bodyDiv w:val="1"/>
      <w:marLeft w:val="0"/>
      <w:marRight w:val="0"/>
      <w:marTop w:val="0"/>
      <w:marBottom w:val="0"/>
      <w:divBdr>
        <w:top w:val="none" w:sz="0" w:space="0" w:color="auto"/>
        <w:left w:val="none" w:sz="0" w:space="0" w:color="auto"/>
        <w:bottom w:val="none" w:sz="0" w:space="0" w:color="auto"/>
        <w:right w:val="none" w:sz="0" w:space="0" w:color="auto"/>
      </w:divBdr>
    </w:div>
    <w:div w:id="1541895219">
      <w:bodyDiv w:val="1"/>
      <w:marLeft w:val="0"/>
      <w:marRight w:val="0"/>
      <w:marTop w:val="0"/>
      <w:marBottom w:val="0"/>
      <w:divBdr>
        <w:top w:val="none" w:sz="0" w:space="0" w:color="auto"/>
        <w:left w:val="none" w:sz="0" w:space="0" w:color="auto"/>
        <w:bottom w:val="none" w:sz="0" w:space="0" w:color="auto"/>
        <w:right w:val="none" w:sz="0" w:space="0" w:color="auto"/>
      </w:divBdr>
    </w:div>
    <w:div w:id="1541896323">
      <w:bodyDiv w:val="1"/>
      <w:marLeft w:val="0"/>
      <w:marRight w:val="0"/>
      <w:marTop w:val="0"/>
      <w:marBottom w:val="0"/>
      <w:divBdr>
        <w:top w:val="none" w:sz="0" w:space="0" w:color="auto"/>
        <w:left w:val="none" w:sz="0" w:space="0" w:color="auto"/>
        <w:bottom w:val="none" w:sz="0" w:space="0" w:color="auto"/>
        <w:right w:val="none" w:sz="0" w:space="0" w:color="auto"/>
      </w:divBdr>
    </w:div>
    <w:div w:id="1541937431">
      <w:bodyDiv w:val="1"/>
      <w:marLeft w:val="0"/>
      <w:marRight w:val="0"/>
      <w:marTop w:val="0"/>
      <w:marBottom w:val="0"/>
      <w:divBdr>
        <w:top w:val="none" w:sz="0" w:space="0" w:color="auto"/>
        <w:left w:val="none" w:sz="0" w:space="0" w:color="auto"/>
        <w:bottom w:val="none" w:sz="0" w:space="0" w:color="auto"/>
        <w:right w:val="none" w:sz="0" w:space="0" w:color="auto"/>
      </w:divBdr>
    </w:div>
    <w:div w:id="1542086721">
      <w:bodyDiv w:val="1"/>
      <w:marLeft w:val="0"/>
      <w:marRight w:val="0"/>
      <w:marTop w:val="0"/>
      <w:marBottom w:val="0"/>
      <w:divBdr>
        <w:top w:val="none" w:sz="0" w:space="0" w:color="auto"/>
        <w:left w:val="none" w:sz="0" w:space="0" w:color="auto"/>
        <w:bottom w:val="none" w:sz="0" w:space="0" w:color="auto"/>
        <w:right w:val="none" w:sz="0" w:space="0" w:color="auto"/>
      </w:divBdr>
    </w:div>
    <w:div w:id="1542092358">
      <w:bodyDiv w:val="1"/>
      <w:marLeft w:val="0"/>
      <w:marRight w:val="0"/>
      <w:marTop w:val="0"/>
      <w:marBottom w:val="0"/>
      <w:divBdr>
        <w:top w:val="none" w:sz="0" w:space="0" w:color="auto"/>
        <w:left w:val="none" w:sz="0" w:space="0" w:color="auto"/>
        <w:bottom w:val="none" w:sz="0" w:space="0" w:color="auto"/>
        <w:right w:val="none" w:sz="0" w:space="0" w:color="auto"/>
      </w:divBdr>
    </w:div>
    <w:div w:id="1542136074">
      <w:bodyDiv w:val="1"/>
      <w:marLeft w:val="0"/>
      <w:marRight w:val="0"/>
      <w:marTop w:val="0"/>
      <w:marBottom w:val="0"/>
      <w:divBdr>
        <w:top w:val="none" w:sz="0" w:space="0" w:color="auto"/>
        <w:left w:val="none" w:sz="0" w:space="0" w:color="auto"/>
        <w:bottom w:val="none" w:sz="0" w:space="0" w:color="auto"/>
        <w:right w:val="none" w:sz="0" w:space="0" w:color="auto"/>
      </w:divBdr>
    </w:div>
    <w:div w:id="1542210581">
      <w:bodyDiv w:val="1"/>
      <w:marLeft w:val="0"/>
      <w:marRight w:val="0"/>
      <w:marTop w:val="0"/>
      <w:marBottom w:val="0"/>
      <w:divBdr>
        <w:top w:val="none" w:sz="0" w:space="0" w:color="auto"/>
        <w:left w:val="none" w:sz="0" w:space="0" w:color="auto"/>
        <w:bottom w:val="none" w:sz="0" w:space="0" w:color="auto"/>
        <w:right w:val="none" w:sz="0" w:space="0" w:color="auto"/>
      </w:divBdr>
    </w:div>
    <w:div w:id="1542278099">
      <w:bodyDiv w:val="1"/>
      <w:marLeft w:val="0"/>
      <w:marRight w:val="0"/>
      <w:marTop w:val="0"/>
      <w:marBottom w:val="0"/>
      <w:divBdr>
        <w:top w:val="none" w:sz="0" w:space="0" w:color="auto"/>
        <w:left w:val="none" w:sz="0" w:space="0" w:color="auto"/>
        <w:bottom w:val="none" w:sz="0" w:space="0" w:color="auto"/>
        <w:right w:val="none" w:sz="0" w:space="0" w:color="auto"/>
      </w:divBdr>
    </w:div>
    <w:div w:id="1542401290">
      <w:bodyDiv w:val="1"/>
      <w:marLeft w:val="0"/>
      <w:marRight w:val="0"/>
      <w:marTop w:val="0"/>
      <w:marBottom w:val="0"/>
      <w:divBdr>
        <w:top w:val="none" w:sz="0" w:space="0" w:color="auto"/>
        <w:left w:val="none" w:sz="0" w:space="0" w:color="auto"/>
        <w:bottom w:val="none" w:sz="0" w:space="0" w:color="auto"/>
        <w:right w:val="none" w:sz="0" w:space="0" w:color="auto"/>
      </w:divBdr>
    </w:div>
    <w:div w:id="1542475209">
      <w:bodyDiv w:val="1"/>
      <w:marLeft w:val="0"/>
      <w:marRight w:val="0"/>
      <w:marTop w:val="0"/>
      <w:marBottom w:val="0"/>
      <w:divBdr>
        <w:top w:val="none" w:sz="0" w:space="0" w:color="auto"/>
        <w:left w:val="none" w:sz="0" w:space="0" w:color="auto"/>
        <w:bottom w:val="none" w:sz="0" w:space="0" w:color="auto"/>
        <w:right w:val="none" w:sz="0" w:space="0" w:color="auto"/>
      </w:divBdr>
    </w:div>
    <w:div w:id="1542547117">
      <w:bodyDiv w:val="1"/>
      <w:marLeft w:val="0"/>
      <w:marRight w:val="0"/>
      <w:marTop w:val="0"/>
      <w:marBottom w:val="0"/>
      <w:divBdr>
        <w:top w:val="none" w:sz="0" w:space="0" w:color="auto"/>
        <w:left w:val="none" w:sz="0" w:space="0" w:color="auto"/>
        <w:bottom w:val="none" w:sz="0" w:space="0" w:color="auto"/>
        <w:right w:val="none" w:sz="0" w:space="0" w:color="auto"/>
      </w:divBdr>
    </w:div>
    <w:div w:id="1542551438">
      <w:bodyDiv w:val="1"/>
      <w:marLeft w:val="0"/>
      <w:marRight w:val="0"/>
      <w:marTop w:val="0"/>
      <w:marBottom w:val="0"/>
      <w:divBdr>
        <w:top w:val="none" w:sz="0" w:space="0" w:color="auto"/>
        <w:left w:val="none" w:sz="0" w:space="0" w:color="auto"/>
        <w:bottom w:val="none" w:sz="0" w:space="0" w:color="auto"/>
        <w:right w:val="none" w:sz="0" w:space="0" w:color="auto"/>
      </w:divBdr>
    </w:div>
    <w:div w:id="1542597110">
      <w:bodyDiv w:val="1"/>
      <w:marLeft w:val="0"/>
      <w:marRight w:val="0"/>
      <w:marTop w:val="0"/>
      <w:marBottom w:val="0"/>
      <w:divBdr>
        <w:top w:val="none" w:sz="0" w:space="0" w:color="auto"/>
        <w:left w:val="none" w:sz="0" w:space="0" w:color="auto"/>
        <w:bottom w:val="none" w:sz="0" w:space="0" w:color="auto"/>
        <w:right w:val="none" w:sz="0" w:space="0" w:color="auto"/>
      </w:divBdr>
    </w:div>
    <w:div w:id="1542671436">
      <w:bodyDiv w:val="1"/>
      <w:marLeft w:val="0"/>
      <w:marRight w:val="0"/>
      <w:marTop w:val="0"/>
      <w:marBottom w:val="0"/>
      <w:divBdr>
        <w:top w:val="none" w:sz="0" w:space="0" w:color="auto"/>
        <w:left w:val="none" w:sz="0" w:space="0" w:color="auto"/>
        <w:bottom w:val="none" w:sz="0" w:space="0" w:color="auto"/>
        <w:right w:val="none" w:sz="0" w:space="0" w:color="auto"/>
      </w:divBdr>
    </w:div>
    <w:div w:id="1542673577">
      <w:bodyDiv w:val="1"/>
      <w:marLeft w:val="0"/>
      <w:marRight w:val="0"/>
      <w:marTop w:val="0"/>
      <w:marBottom w:val="0"/>
      <w:divBdr>
        <w:top w:val="none" w:sz="0" w:space="0" w:color="auto"/>
        <w:left w:val="none" w:sz="0" w:space="0" w:color="auto"/>
        <w:bottom w:val="none" w:sz="0" w:space="0" w:color="auto"/>
        <w:right w:val="none" w:sz="0" w:space="0" w:color="auto"/>
      </w:divBdr>
    </w:div>
    <w:div w:id="1542742781">
      <w:bodyDiv w:val="1"/>
      <w:marLeft w:val="0"/>
      <w:marRight w:val="0"/>
      <w:marTop w:val="0"/>
      <w:marBottom w:val="0"/>
      <w:divBdr>
        <w:top w:val="none" w:sz="0" w:space="0" w:color="auto"/>
        <w:left w:val="none" w:sz="0" w:space="0" w:color="auto"/>
        <w:bottom w:val="none" w:sz="0" w:space="0" w:color="auto"/>
        <w:right w:val="none" w:sz="0" w:space="0" w:color="auto"/>
      </w:divBdr>
    </w:div>
    <w:div w:id="1542790296">
      <w:bodyDiv w:val="1"/>
      <w:marLeft w:val="0"/>
      <w:marRight w:val="0"/>
      <w:marTop w:val="0"/>
      <w:marBottom w:val="0"/>
      <w:divBdr>
        <w:top w:val="none" w:sz="0" w:space="0" w:color="auto"/>
        <w:left w:val="none" w:sz="0" w:space="0" w:color="auto"/>
        <w:bottom w:val="none" w:sz="0" w:space="0" w:color="auto"/>
        <w:right w:val="none" w:sz="0" w:space="0" w:color="auto"/>
      </w:divBdr>
    </w:div>
    <w:div w:id="1542937737">
      <w:bodyDiv w:val="1"/>
      <w:marLeft w:val="0"/>
      <w:marRight w:val="0"/>
      <w:marTop w:val="0"/>
      <w:marBottom w:val="0"/>
      <w:divBdr>
        <w:top w:val="none" w:sz="0" w:space="0" w:color="auto"/>
        <w:left w:val="none" w:sz="0" w:space="0" w:color="auto"/>
        <w:bottom w:val="none" w:sz="0" w:space="0" w:color="auto"/>
        <w:right w:val="none" w:sz="0" w:space="0" w:color="auto"/>
      </w:divBdr>
    </w:div>
    <w:div w:id="1543058539">
      <w:bodyDiv w:val="1"/>
      <w:marLeft w:val="0"/>
      <w:marRight w:val="0"/>
      <w:marTop w:val="0"/>
      <w:marBottom w:val="0"/>
      <w:divBdr>
        <w:top w:val="none" w:sz="0" w:space="0" w:color="auto"/>
        <w:left w:val="none" w:sz="0" w:space="0" w:color="auto"/>
        <w:bottom w:val="none" w:sz="0" w:space="0" w:color="auto"/>
        <w:right w:val="none" w:sz="0" w:space="0" w:color="auto"/>
      </w:divBdr>
    </w:div>
    <w:div w:id="1543059580">
      <w:bodyDiv w:val="1"/>
      <w:marLeft w:val="0"/>
      <w:marRight w:val="0"/>
      <w:marTop w:val="0"/>
      <w:marBottom w:val="0"/>
      <w:divBdr>
        <w:top w:val="none" w:sz="0" w:space="0" w:color="auto"/>
        <w:left w:val="none" w:sz="0" w:space="0" w:color="auto"/>
        <w:bottom w:val="none" w:sz="0" w:space="0" w:color="auto"/>
        <w:right w:val="none" w:sz="0" w:space="0" w:color="auto"/>
      </w:divBdr>
    </w:div>
    <w:div w:id="1543132906">
      <w:bodyDiv w:val="1"/>
      <w:marLeft w:val="0"/>
      <w:marRight w:val="0"/>
      <w:marTop w:val="0"/>
      <w:marBottom w:val="0"/>
      <w:divBdr>
        <w:top w:val="none" w:sz="0" w:space="0" w:color="auto"/>
        <w:left w:val="none" w:sz="0" w:space="0" w:color="auto"/>
        <w:bottom w:val="none" w:sz="0" w:space="0" w:color="auto"/>
        <w:right w:val="none" w:sz="0" w:space="0" w:color="auto"/>
      </w:divBdr>
    </w:div>
    <w:div w:id="1543206611">
      <w:bodyDiv w:val="1"/>
      <w:marLeft w:val="0"/>
      <w:marRight w:val="0"/>
      <w:marTop w:val="0"/>
      <w:marBottom w:val="0"/>
      <w:divBdr>
        <w:top w:val="none" w:sz="0" w:space="0" w:color="auto"/>
        <w:left w:val="none" w:sz="0" w:space="0" w:color="auto"/>
        <w:bottom w:val="none" w:sz="0" w:space="0" w:color="auto"/>
        <w:right w:val="none" w:sz="0" w:space="0" w:color="auto"/>
      </w:divBdr>
    </w:div>
    <w:div w:id="1543325385">
      <w:bodyDiv w:val="1"/>
      <w:marLeft w:val="0"/>
      <w:marRight w:val="0"/>
      <w:marTop w:val="0"/>
      <w:marBottom w:val="0"/>
      <w:divBdr>
        <w:top w:val="none" w:sz="0" w:space="0" w:color="auto"/>
        <w:left w:val="none" w:sz="0" w:space="0" w:color="auto"/>
        <w:bottom w:val="none" w:sz="0" w:space="0" w:color="auto"/>
        <w:right w:val="none" w:sz="0" w:space="0" w:color="auto"/>
      </w:divBdr>
    </w:div>
    <w:div w:id="1543588672">
      <w:bodyDiv w:val="1"/>
      <w:marLeft w:val="0"/>
      <w:marRight w:val="0"/>
      <w:marTop w:val="0"/>
      <w:marBottom w:val="0"/>
      <w:divBdr>
        <w:top w:val="none" w:sz="0" w:space="0" w:color="auto"/>
        <w:left w:val="none" w:sz="0" w:space="0" w:color="auto"/>
        <w:bottom w:val="none" w:sz="0" w:space="0" w:color="auto"/>
        <w:right w:val="none" w:sz="0" w:space="0" w:color="auto"/>
      </w:divBdr>
    </w:div>
    <w:div w:id="1543593711">
      <w:bodyDiv w:val="1"/>
      <w:marLeft w:val="0"/>
      <w:marRight w:val="0"/>
      <w:marTop w:val="0"/>
      <w:marBottom w:val="0"/>
      <w:divBdr>
        <w:top w:val="none" w:sz="0" w:space="0" w:color="auto"/>
        <w:left w:val="none" w:sz="0" w:space="0" w:color="auto"/>
        <w:bottom w:val="none" w:sz="0" w:space="0" w:color="auto"/>
        <w:right w:val="none" w:sz="0" w:space="0" w:color="auto"/>
      </w:divBdr>
    </w:div>
    <w:div w:id="1543707929">
      <w:bodyDiv w:val="1"/>
      <w:marLeft w:val="0"/>
      <w:marRight w:val="0"/>
      <w:marTop w:val="0"/>
      <w:marBottom w:val="0"/>
      <w:divBdr>
        <w:top w:val="none" w:sz="0" w:space="0" w:color="auto"/>
        <w:left w:val="none" w:sz="0" w:space="0" w:color="auto"/>
        <w:bottom w:val="none" w:sz="0" w:space="0" w:color="auto"/>
        <w:right w:val="none" w:sz="0" w:space="0" w:color="auto"/>
      </w:divBdr>
    </w:div>
    <w:div w:id="1543789193">
      <w:bodyDiv w:val="1"/>
      <w:marLeft w:val="0"/>
      <w:marRight w:val="0"/>
      <w:marTop w:val="0"/>
      <w:marBottom w:val="0"/>
      <w:divBdr>
        <w:top w:val="none" w:sz="0" w:space="0" w:color="auto"/>
        <w:left w:val="none" w:sz="0" w:space="0" w:color="auto"/>
        <w:bottom w:val="none" w:sz="0" w:space="0" w:color="auto"/>
        <w:right w:val="none" w:sz="0" w:space="0" w:color="auto"/>
      </w:divBdr>
    </w:div>
    <w:div w:id="1543904830">
      <w:bodyDiv w:val="1"/>
      <w:marLeft w:val="0"/>
      <w:marRight w:val="0"/>
      <w:marTop w:val="0"/>
      <w:marBottom w:val="0"/>
      <w:divBdr>
        <w:top w:val="none" w:sz="0" w:space="0" w:color="auto"/>
        <w:left w:val="none" w:sz="0" w:space="0" w:color="auto"/>
        <w:bottom w:val="none" w:sz="0" w:space="0" w:color="auto"/>
        <w:right w:val="none" w:sz="0" w:space="0" w:color="auto"/>
      </w:divBdr>
    </w:div>
    <w:div w:id="1543983792">
      <w:bodyDiv w:val="1"/>
      <w:marLeft w:val="0"/>
      <w:marRight w:val="0"/>
      <w:marTop w:val="0"/>
      <w:marBottom w:val="0"/>
      <w:divBdr>
        <w:top w:val="none" w:sz="0" w:space="0" w:color="auto"/>
        <w:left w:val="none" w:sz="0" w:space="0" w:color="auto"/>
        <w:bottom w:val="none" w:sz="0" w:space="0" w:color="auto"/>
        <w:right w:val="none" w:sz="0" w:space="0" w:color="auto"/>
      </w:divBdr>
    </w:div>
    <w:div w:id="1544054088">
      <w:bodyDiv w:val="1"/>
      <w:marLeft w:val="0"/>
      <w:marRight w:val="0"/>
      <w:marTop w:val="0"/>
      <w:marBottom w:val="0"/>
      <w:divBdr>
        <w:top w:val="none" w:sz="0" w:space="0" w:color="auto"/>
        <w:left w:val="none" w:sz="0" w:space="0" w:color="auto"/>
        <w:bottom w:val="none" w:sz="0" w:space="0" w:color="auto"/>
        <w:right w:val="none" w:sz="0" w:space="0" w:color="auto"/>
      </w:divBdr>
    </w:div>
    <w:div w:id="1544056150">
      <w:bodyDiv w:val="1"/>
      <w:marLeft w:val="0"/>
      <w:marRight w:val="0"/>
      <w:marTop w:val="0"/>
      <w:marBottom w:val="0"/>
      <w:divBdr>
        <w:top w:val="none" w:sz="0" w:space="0" w:color="auto"/>
        <w:left w:val="none" w:sz="0" w:space="0" w:color="auto"/>
        <w:bottom w:val="none" w:sz="0" w:space="0" w:color="auto"/>
        <w:right w:val="none" w:sz="0" w:space="0" w:color="auto"/>
      </w:divBdr>
    </w:div>
    <w:div w:id="1544245196">
      <w:bodyDiv w:val="1"/>
      <w:marLeft w:val="0"/>
      <w:marRight w:val="0"/>
      <w:marTop w:val="0"/>
      <w:marBottom w:val="0"/>
      <w:divBdr>
        <w:top w:val="none" w:sz="0" w:space="0" w:color="auto"/>
        <w:left w:val="none" w:sz="0" w:space="0" w:color="auto"/>
        <w:bottom w:val="none" w:sz="0" w:space="0" w:color="auto"/>
        <w:right w:val="none" w:sz="0" w:space="0" w:color="auto"/>
      </w:divBdr>
    </w:div>
    <w:div w:id="1544322357">
      <w:bodyDiv w:val="1"/>
      <w:marLeft w:val="0"/>
      <w:marRight w:val="0"/>
      <w:marTop w:val="0"/>
      <w:marBottom w:val="0"/>
      <w:divBdr>
        <w:top w:val="none" w:sz="0" w:space="0" w:color="auto"/>
        <w:left w:val="none" w:sz="0" w:space="0" w:color="auto"/>
        <w:bottom w:val="none" w:sz="0" w:space="0" w:color="auto"/>
        <w:right w:val="none" w:sz="0" w:space="0" w:color="auto"/>
      </w:divBdr>
    </w:div>
    <w:div w:id="1544365735">
      <w:bodyDiv w:val="1"/>
      <w:marLeft w:val="0"/>
      <w:marRight w:val="0"/>
      <w:marTop w:val="0"/>
      <w:marBottom w:val="0"/>
      <w:divBdr>
        <w:top w:val="none" w:sz="0" w:space="0" w:color="auto"/>
        <w:left w:val="none" w:sz="0" w:space="0" w:color="auto"/>
        <w:bottom w:val="none" w:sz="0" w:space="0" w:color="auto"/>
        <w:right w:val="none" w:sz="0" w:space="0" w:color="auto"/>
      </w:divBdr>
    </w:div>
    <w:div w:id="1544437272">
      <w:bodyDiv w:val="1"/>
      <w:marLeft w:val="0"/>
      <w:marRight w:val="0"/>
      <w:marTop w:val="0"/>
      <w:marBottom w:val="0"/>
      <w:divBdr>
        <w:top w:val="none" w:sz="0" w:space="0" w:color="auto"/>
        <w:left w:val="none" w:sz="0" w:space="0" w:color="auto"/>
        <w:bottom w:val="none" w:sz="0" w:space="0" w:color="auto"/>
        <w:right w:val="none" w:sz="0" w:space="0" w:color="auto"/>
      </w:divBdr>
    </w:div>
    <w:div w:id="1544514334">
      <w:bodyDiv w:val="1"/>
      <w:marLeft w:val="0"/>
      <w:marRight w:val="0"/>
      <w:marTop w:val="0"/>
      <w:marBottom w:val="0"/>
      <w:divBdr>
        <w:top w:val="none" w:sz="0" w:space="0" w:color="auto"/>
        <w:left w:val="none" w:sz="0" w:space="0" w:color="auto"/>
        <w:bottom w:val="none" w:sz="0" w:space="0" w:color="auto"/>
        <w:right w:val="none" w:sz="0" w:space="0" w:color="auto"/>
      </w:divBdr>
    </w:div>
    <w:div w:id="1544558221">
      <w:bodyDiv w:val="1"/>
      <w:marLeft w:val="0"/>
      <w:marRight w:val="0"/>
      <w:marTop w:val="0"/>
      <w:marBottom w:val="0"/>
      <w:divBdr>
        <w:top w:val="none" w:sz="0" w:space="0" w:color="auto"/>
        <w:left w:val="none" w:sz="0" w:space="0" w:color="auto"/>
        <w:bottom w:val="none" w:sz="0" w:space="0" w:color="auto"/>
        <w:right w:val="none" w:sz="0" w:space="0" w:color="auto"/>
      </w:divBdr>
    </w:div>
    <w:div w:id="1544631640">
      <w:bodyDiv w:val="1"/>
      <w:marLeft w:val="0"/>
      <w:marRight w:val="0"/>
      <w:marTop w:val="0"/>
      <w:marBottom w:val="0"/>
      <w:divBdr>
        <w:top w:val="none" w:sz="0" w:space="0" w:color="auto"/>
        <w:left w:val="none" w:sz="0" w:space="0" w:color="auto"/>
        <w:bottom w:val="none" w:sz="0" w:space="0" w:color="auto"/>
        <w:right w:val="none" w:sz="0" w:space="0" w:color="auto"/>
      </w:divBdr>
    </w:div>
    <w:div w:id="1544639096">
      <w:bodyDiv w:val="1"/>
      <w:marLeft w:val="0"/>
      <w:marRight w:val="0"/>
      <w:marTop w:val="0"/>
      <w:marBottom w:val="0"/>
      <w:divBdr>
        <w:top w:val="none" w:sz="0" w:space="0" w:color="auto"/>
        <w:left w:val="none" w:sz="0" w:space="0" w:color="auto"/>
        <w:bottom w:val="none" w:sz="0" w:space="0" w:color="auto"/>
        <w:right w:val="none" w:sz="0" w:space="0" w:color="auto"/>
      </w:divBdr>
    </w:div>
    <w:div w:id="1544905195">
      <w:bodyDiv w:val="1"/>
      <w:marLeft w:val="0"/>
      <w:marRight w:val="0"/>
      <w:marTop w:val="0"/>
      <w:marBottom w:val="0"/>
      <w:divBdr>
        <w:top w:val="none" w:sz="0" w:space="0" w:color="auto"/>
        <w:left w:val="none" w:sz="0" w:space="0" w:color="auto"/>
        <w:bottom w:val="none" w:sz="0" w:space="0" w:color="auto"/>
        <w:right w:val="none" w:sz="0" w:space="0" w:color="auto"/>
      </w:divBdr>
    </w:div>
    <w:div w:id="1545017766">
      <w:bodyDiv w:val="1"/>
      <w:marLeft w:val="0"/>
      <w:marRight w:val="0"/>
      <w:marTop w:val="0"/>
      <w:marBottom w:val="0"/>
      <w:divBdr>
        <w:top w:val="none" w:sz="0" w:space="0" w:color="auto"/>
        <w:left w:val="none" w:sz="0" w:space="0" w:color="auto"/>
        <w:bottom w:val="none" w:sz="0" w:space="0" w:color="auto"/>
        <w:right w:val="none" w:sz="0" w:space="0" w:color="auto"/>
      </w:divBdr>
    </w:div>
    <w:div w:id="1545168770">
      <w:bodyDiv w:val="1"/>
      <w:marLeft w:val="0"/>
      <w:marRight w:val="0"/>
      <w:marTop w:val="0"/>
      <w:marBottom w:val="0"/>
      <w:divBdr>
        <w:top w:val="none" w:sz="0" w:space="0" w:color="auto"/>
        <w:left w:val="none" w:sz="0" w:space="0" w:color="auto"/>
        <w:bottom w:val="none" w:sz="0" w:space="0" w:color="auto"/>
        <w:right w:val="none" w:sz="0" w:space="0" w:color="auto"/>
      </w:divBdr>
    </w:div>
    <w:div w:id="1545210973">
      <w:bodyDiv w:val="1"/>
      <w:marLeft w:val="0"/>
      <w:marRight w:val="0"/>
      <w:marTop w:val="0"/>
      <w:marBottom w:val="0"/>
      <w:divBdr>
        <w:top w:val="none" w:sz="0" w:space="0" w:color="auto"/>
        <w:left w:val="none" w:sz="0" w:space="0" w:color="auto"/>
        <w:bottom w:val="none" w:sz="0" w:space="0" w:color="auto"/>
        <w:right w:val="none" w:sz="0" w:space="0" w:color="auto"/>
      </w:divBdr>
    </w:div>
    <w:div w:id="1545287911">
      <w:bodyDiv w:val="1"/>
      <w:marLeft w:val="0"/>
      <w:marRight w:val="0"/>
      <w:marTop w:val="0"/>
      <w:marBottom w:val="0"/>
      <w:divBdr>
        <w:top w:val="none" w:sz="0" w:space="0" w:color="auto"/>
        <w:left w:val="none" w:sz="0" w:space="0" w:color="auto"/>
        <w:bottom w:val="none" w:sz="0" w:space="0" w:color="auto"/>
        <w:right w:val="none" w:sz="0" w:space="0" w:color="auto"/>
      </w:divBdr>
    </w:div>
    <w:div w:id="1545602954">
      <w:bodyDiv w:val="1"/>
      <w:marLeft w:val="0"/>
      <w:marRight w:val="0"/>
      <w:marTop w:val="0"/>
      <w:marBottom w:val="0"/>
      <w:divBdr>
        <w:top w:val="none" w:sz="0" w:space="0" w:color="auto"/>
        <w:left w:val="none" w:sz="0" w:space="0" w:color="auto"/>
        <w:bottom w:val="none" w:sz="0" w:space="0" w:color="auto"/>
        <w:right w:val="none" w:sz="0" w:space="0" w:color="auto"/>
      </w:divBdr>
    </w:div>
    <w:div w:id="1545631248">
      <w:bodyDiv w:val="1"/>
      <w:marLeft w:val="0"/>
      <w:marRight w:val="0"/>
      <w:marTop w:val="0"/>
      <w:marBottom w:val="0"/>
      <w:divBdr>
        <w:top w:val="none" w:sz="0" w:space="0" w:color="auto"/>
        <w:left w:val="none" w:sz="0" w:space="0" w:color="auto"/>
        <w:bottom w:val="none" w:sz="0" w:space="0" w:color="auto"/>
        <w:right w:val="none" w:sz="0" w:space="0" w:color="auto"/>
      </w:divBdr>
    </w:div>
    <w:div w:id="1545755245">
      <w:bodyDiv w:val="1"/>
      <w:marLeft w:val="0"/>
      <w:marRight w:val="0"/>
      <w:marTop w:val="0"/>
      <w:marBottom w:val="0"/>
      <w:divBdr>
        <w:top w:val="none" w:sz="0" w:space="0" w:color="auto"/>
        <w:left w:val="none" w:sz="0" w:space="0" w:color="auto"/>
        <w:bottom w:val="none" w:sz="0" w:space="0" w:color="auto"/>
        <w:right w:val="none" w:sz="0" w:space="0" w:color="auto"/>
      </w:divBdr>
    </w:div>
    <w:div w:id="1545825477">
      <w:bodyDiv w:val="1"/>
      <w:marLeft w:val="0"/>
      <w:marRight w:val="0"/>
      <w:marTop w:val="0"/>
      <w:marBottom w:val="0"/>
      <w:divBdr>
        <w:top w:val="none" w:sz="0" w:space="0" w:color="auto"/>
        <w:left w:val="none" w:sz="0" w:space="0" w:color="auto"/>
        <w:bottom w:val="none" w:sz="0" w:space="0" w:color="auto"/>
        <w:right w:val="none" w:sz="0" w:space="0" w:color="auto"/>
      </w:divBdr>
    </w:div>
    <w:div w:id="1545945483">
      <w:bodyDiv w:val="1"/>
      <w:marLeft w:val="0"/>
      <w:marRight w:val="0"/>
      <w:marTop w:val="0"/>
      <w:marBottom w:val="0"/>
      <w:divBdr>
        <w:top w:val="none" w:sz="0" w:space="0" w:color="auto"/>
        <w:left w:val="none" w:sz="0" w:space="0" w:color="auto"/>
        <w:bottom w:val="none" w:sz="0" w:space="0" w:color="auto"/>
        <w:right w:val="none" w:sz="0" w:space="0" w:color="auto"/>
      </w:divBdr>
    </w:div>
    <w:div w:id="1545950285">
      <w:bodyDiv w:val="1"/>
      <w:marLeft w:val="0"/>
      <w:marRight w:val="0"/>
      <w:marTop w:val="0"/>
      <w:marBottom w:val="0"/>
      <w:divBdr>
        <w:top w:val="none" w:sz="0" w:space="0" w:color="auto"/>
        <w:left w:val="none" w:sz="0" w:space="0" w:color="auto"/>
        <w:bottom w:val="none" w:sz="0" w:space="0" w:color="auto"/>
        <w:right w:val="none" w:sz="0" w:space="0" w:color="auto"/>
      </w:divBdr>
    </w:div>
    <w:div w:id="1546067386">
      <w:bodyDiv w:val="1"/>
      <w:marLeft w:val="0"/>
      <w:marRight w:val="0"/>
      <w:marTop w:val="0"/>
      <w:marBottom w:val="0"/>
      <w:divBdr>
        <w:top w:val="none" w:sz="0" w:space="0" w:color="auto"/>
        <w:left w:val="none" w:sz="0" w:space="0" w:color="auto"/>
        <w:bottom w:val="none" w:sz="0" w:space="0" w:color="auto"/>
        <w:right w:val="none" w:sz="0" w:space="0" w:color="auto"/>
      </w:divBdr>
    </w:div>
    <w:div w:id="1546068228">
      <w:bodyDiv w:val="1"/>
      <w:marLeft w:val="0"/>
      <w:marRight w:val="0"/>
      <w:marTop w:val="0"/>
      <w:marBottom w:val="0"/>
      <w:divBdr>
        <w:top w:val="none" w:sz="0" w:space="0" w:color="auto"/>
        <w:left w:val="none" w:sz="0" w:space="0" w:color="auto"/>
        <w:bottom w:val="none" w:sz="0" w:space="0" w:color="auto"/>
        <w:right w:val="none" w:sz="0" w:space="0" w:color="auto"/>
      </w:divBdr>
    </w:div>
    <w:div w:id="1546214361">
      <w:bodyDiv w:val="1"/>
      <w:marLeft w:val="0"/>
      <w:marRight w:val="0"/>
      <w:marTop w:val="0"/>
      <w:marBottom w:val="0"/>
      <w:divBdr>
        <w:top w:val="none" w:sz="0" w:space="0" w:color="auto"/>
        <w:left w:val="none" w:sz="0" w:space="0" w:color="auto"/>
        <w:bottom w:val="none" w:sz="0" w:space="0" w:color="auto"/>
        <w:right w:val="none" w:sz="0" w:space="0" w:color="auto"/>
      </w:divBdr>
    </w:div>
    <w:div w:id="1546258615">
      <w:bodyDiv w:val="1"/>
      <w:marLeft w:val="0"/>
      <w:marRight w:val="0"/>
      <w:marTop w:val="0"/>
      <w:marBottom w:val="0"/>
      <w:divBdr>
        <w:top w:val="none" w:sz="0" w:space="0" w:color="auto"/>
        <w:left w:val="none" w:sz="0" w:space="0" w:color="auto"/>
        <w:bottom w:val="none" w:sz="0" w:space="0" w:color="auto"/>
        <w:right w:val="none" w:sz="0" w:space="0" w:color="auto"/>
      </w:divBdr>
    </w:div>
    <w:div w:id="1546332174">
      <w:bodyDiv w:val="1"/>
      <w:marLeft w:val="0"/>
      <w:marRight w:val="0"/>
      <w:marTop w:val="0"/>
      <w:marBottom w:val="0"/>
      <w:divBdr>
        <w:top w:val="none" w:sz="0" w:space="0" w:color="auto"/>
        <w:left w:val="none" w:sz="0" w:space="0" w:color="auto"/>
        <w:bottom w:val="none" w:sz="0" w:space="0" w:color="auto"/>
        <w:right w:val="none" w:sz="0" w:space="0" w:color="auto"/>
      </w:divBdr>
    </w:div>
    <w:div w:id="1546336569">
      <w:bodyDiv w:val="1"/>
      <w:marLeft w:val="0"/>
      <w:marRight w:val="0"/>
      <w:marTop w:val="0"/>
      <w:marBottom w:val="0"/>
      <w:divBdr>
        <w:top w:val="none" w:sz="0" w:space="0" w:color="auto"/>
        <w:left w:val="none" w:sz="0" w:space="0" w:color="auto"/>
        <w:bottom w:val="none" w:sz="0" w:space="0" w:color="auto"/>
        <w:right w:val="none" w:sz="0" w:space="0" w:color="auto"/>
      </w:divBdr>
    </w:div>
    <w:div w:id="1546407265">
      <w:bodyDiv w:val="1"/>
      <w:marLeft w:val="0"/>
      <w:marRight w:val="0"/>
      <w:marTop w:val="0"/>
      <w:marBottom w:val="0"/>
      <w:divBdr>
        <w:top w:val="none" w:sz="0" w:space="0" w:color="auto"/>
        <w:left w:val="none" w:sz="0" w:space="0" w:color="auto"/>
        <w:bottom w:val="none" w:sz="0" w:space="0" w:color="auto"/>
        <w:right w:val="none" w:sz="0" w:space="0" w:color="auto"/>
      </w:divBdr>
    </w:div>
    <w:div w:id="1546409635">
      <w:bodyDiv w:val="1"/>
      <w:marLeft w:val="0"/>
      <w:marRight w:val="0"/>
      <w:marTop w:val="0"/>
      <w:marBottom w:val="0"/>
      <w:divBdr>
        <w:top w:val="none" w:sz="0" w:space="0" w:color="auto"/>
        <w:left w:val="none" w:sz="0" w:space="0" w:color="auto"/>
        <w:bottom w:val="none" w:sz="0" w:space="0" w:color="auto"/>
        <w:right w:val="none" w:sz="0" w:space="0" w:color="auto"/>
      </w:divBdr>
    </w:div>
    <w:div w:id="1546410420">
      <w:bodyDiv w:val="1"/>
      <w:marLeft w:val="0"/>
      <w:marRight w:val="0"/>
      <w:marTop w:val="0"/>
      <w:marBottom w:val="0"/>
      <w:divBdr>
        <w:top w:val="none" w:sz="0" w:space="0" w:color="auto"/>
        <w:left w:val="none" w:sz="0" w:space="0" w:color="auto"/>
        <w:bottom w:val="none" w:sz="0" w:space="0" w:color="auto"/>
        <w:right w:val="none" w:sz="0" w:space="0" w:color="auto"/>
      </w:divBdr>
    </w:div>
    <w:div w:id="1546526170">
      <w:bodyDiv w:val="1"/>
      <w:marLeft w:val="0"/>
      <w:marRight w:val="0"/>
      <w:marTop w:val="0"/>
      <w:marBottom w:val="0"/>
      <w:divBdr>
        <w:top w:val="none" w:sz="0" w:space="0" w:color="auto"/>
        <w:left w:val="none" w:sz="0" w:space="0" w:color="auto"/>
        <w:bottom w:val="none" w:sz="0" w:space="0" w:color="auto"/>
        <w:right w:val="none" w:sz="0" w:space="0" w:color="auto"/>
      </w:divBdr>
    </w:div>
    <w:div w:id="1546600242">
      <w:bodyDiv w:val="1"/>
      <w:marLeft w:val="0"/>
      <w:marRight w:val="0"/>
      <w:marTop w:val="0"/>
      <w:marBottom w:val="0"/>
      <w:divBdr>
        <w:top w:val="none" w:sz="0" w:space="0" w:color="auto"/>
        <w:left w:val="none" w:sz="0" w:space="0" w:color="auto"/>
        <w:bottom w:val="none" w:sz="0" w:space="0" w:color="auto"/>
        <w:right w:val="none" w:sz="0" w:space="0" w:color="auto"/>
      </w:divBdr>
    </w:div>
    <w:div w:id="1546679693">
      <w:bodyDiv w:val="1"/>
      <w:marLeft w:val="0"/>
      <w:marRight w:val="0"/>
      <w:marTop w:val="0"/>
      <w:marBottom w:val="0"/>
      <w:divBdr>
        <w:top w:val="none" w:sz="0" w:space="0" w:color="auto"/>
        <w:left w:val="none" w:sz="0" w:space="0" w:color="auto"/>
        <w:bottom w:val="none" w:sz="0" w:space="0" w:color="auto"/>
        <w:right w:val="none" w:sz="0" w:space="0" w:color="auto"/>
      </w:divBdr>
    </w:div>
    <w:div w:id="1546867510">
      <w:bodyDiv w:val="1"/>
      <w:marLeft w:val="0"/>
      <w:marRight w:val="0"/>
      <w:marTop w:val="0"/>
      <w:marBottom w:val="0"/>
      <w:divBdr>
        <w:top w:val="none" w:sz="0" w:space="0" w:color="auto"/>
        <w:left w:val="none" w:sz="0" w:space="0" w:color="auto"/>
        <w:bottom w:val="none" w:sz="0" w:space="0" w:color="auto"/>
        <w:right w:val="none" w:sz="0" w:space="0" w:color="auto"/>
      </w:divBdr>
    </w:div>
    <w:div w:id="1546913859">
      <w:bodyDiv w:val="1"/>
      <w:marLeft w:val="0"/>
      <w:marRight w:val="0"/>
      <w:marTop w:val="0"/>
      <w:marBottom w:val="0"/>
      <w:divBdr>
        <w:top w:val="none" w:sz="0" w:space="0" w:color="auto"/>
        <w:left w:val="none" w:sz="0" w:space="0" w:color="auto"/>
        <w:bottom w:val="none" w:sz="0" w:space="0" w:color="auto"/>
        <w:right w:val="none" w:sz="0" w:space="0" w:color="auto"/>
      </w:divBdr>
    </w:div>
    <w:div w:id="1546990038">
      <w:bodyDiv w:val="1"/>
      <w:marLeft w:val="0"/>
      <w:marRight w:val="0"/>
      <w:marTop w:val="0"/>
      <w:marBottom w:val="0"/>
      <w:divBdr>
        <w:top w:val="none" w:sz="0" w:space="0" w:color="auto"/>
        <w:left w:val="none" w:sz="0" w:space="0" w:color="auto"/>
        <w:bottom w:val="none" w:sz="0" w:space="0" w:color="auto"/>
        <w:right w:val="none" w:sz="0" w:space="0" w:color="auto"/>
      </w:divBdr>
    </w:div>
    <w:div w:id="1546991853">
      <w:bodyDiv w:val="1"/>
      <w:marLeft w:val="0"/>
      <w:marRight w:val="0"/>
      <w:marTop w:val="0"/>
      <w:marBottom w:val="0"/>
      <w:divBdr>
        <w:top w:val="none" w:sz="0" w:space="0" w:color="auto"/>
        <w:left w:val="none" w:sz="0" w:space="0" w:color="auto"/>
        <w:bottom w:val="none" w:sz="0" w:space="0" w:color="auto"/>
        <w:right w:val="none" w:sz="0" w:space="0" w:color="auto"/>
      </w:divBdr>
    </w:div>
    <w:div w:id="1547063870">
      <w:bodyDiv w:val="1"/>
      <w:marLeft w:val="0"/>
      <w:marRight w:val="0"/>
      <w:marTop w:val="0"/>
      <w:marBottom w:val="0"/>
      <w:divBdr>
        <w:top w:val="none" w:sz="0" w:space="0" w:color="auto"/>
        <w:left w:val="none" w:sz="0" w:space="0" w:color="auto"/>
        <w:bottom w:val="none" w:sz="0" w:space="0" w:color="auto"/>
        <w:right w:val="none" w:sz="0" w:space="0" w:color="auto"/>
      </w:divBdr>
    </w:div>
    <w:div w:id="1547134112">
      <w:bodyDiv w:val="1"/>
      <w:marLeft w:val="0"/>
      <w:marRight w:val="0"/>
      <w:marTop w:val="0"/>
      <w:marBottom w:val="0"/>
      <w:divBdr>
        <w:top w:val="none" w:sz="0" w:space="0" w:color="auto"/>
        <w:left w:val="none" w:sz="0" w:space="0" w:color="auto"/>
        <w:bottom w:val="none" w:sz="0" w:space="0" w:color="auto"/>
        <w:right w:val="none" w:sz="0" w:space="0" w:color="auto"/>
      </w:divBdr>
    </w:div>
    <w:div w:id="1547134697">
      <w:bodyDiv w:val="1"/>
      <w:marLeft w:val="0"/>
      <w:marRight w:val="0"/>
      <w:marTop w:val="0"/>
      <w:marBottom w:val="0"/>
      <w:divBdr>
        <w:top w:val="none" w:sz="0" w:space="0" w:color="auto"/>
        <w:left w:val="none" w:sz="0" w:space="0" w:color="auto"/>
        <w:bottom w:val="none" w:sz="0" w:space="0" w:color="auto"/>
        <w:right w:val="none" w:sz="0" w:space="0" w:color="auto"/>
      </w:divBdr>
    </w:div>
    <w:div w:id="1547255562">
      <w:bodyDiv w:val="1"/>
      <w:marLeft w:val="0"/>
      <w:marRight w:val="0"/>
      <w:marTop w:val="0"/>
      <w:marBottom w:val="0"/>
      <w:divBdr>
        <w:top w:val="none" w:sz="0" w:space="0" w:color="auto"/>
        <w:left w:val="none" w:sz="0" w:space="0" w:color="auto"/>
        <w:bottom w:val="none" w:sz="0" w:space="0" w:color="auto"/>
        <w:right w:val="none" w:sz="0" w:space="0" w:color="auto"/>
      </w:divBdr>
    </w:div>
    <w:div w:id="1547256593">
      <w:bodyDiv w:val="1"/>
      <w:marLeft w:val="0"/>
      <w:marRight w:val="0"/>
      <w:marTop w:val="0"/>
      <w:marBottom w:val="0"/>
      <w:divBdr>
        <w:top w:val="none" w:sz="0" w:space="0" w:color="auto"/>
        <w:left w:val="none" w:sz="0" w:space="0" w:color="auto"/>
        <w:bottom w:val="none" w:sz="0" w:space="0" w:color="auto"/>
        <w:right w:val="none" w:sz="0" w:space="0" w:color="auto"/>
      </w:divBdr>
    </w:div>
    <w:div w:id="1547445355">
      <w:bodyDiv w:val="1"/>
      <w:marLeft w:val="0"/>
      <w:marRight w:val="0"/>
      <w:marTop w:val="0"/>
      <w:marBottom w:val="0"/>
      <w:divBdr>
        <w:top w:val="none" w:sz="0" w:space="0" w:color="auto"/>
        <w:left w:val="none" w:sz="0" w:space="0" w:color="auto"/>
        <w:bottom w:val="none" w:sz="0" w:space="0" w:color="auto"/>
        <w:right w:val="none" w:sz="0" w:space="0" w:color="auto"/>
      </w:divBdr>
    </w:div>
    <w:div w:id="1547524565">
      <w:bodyDiv w:val="1"/>
      <w:marLeft w:val="0"/>
      <w:marRight w:val="0"/>
      <w:marTop w:val="0"/>
      <w:marBottom w:val="0"/>
      <w:divBdr>
        <w:top w:val="none" w:sz="0" w:space="0" w:color="auto"/>
        <w:left w:val="none" w:sz="0" w:space="0" w:color="auto"/>
        <w:bottom w:val="none" w:sz="0" w:space="0" w:color="auto"/>
        <w:right w:val="none" w:sz="0" w:space="0" w:color="auto"/>
      </w:divBdr>
    </w:div>
    <w:div w:id="1547639522">
      <w:bodyDiv w:val="1"/>
      <w:marLeft w:val="0"/>
      <w:marRight w:val="0"/>
      <w:marTop w:val="0"/>
      <w:marBottom w:val="0"/>
      <w:divBdr>
        <w:top w:val="none" w:sz="0" w:space="0" w:color="auto"/>
        <w:left w:val="none" w:sz="0" w:space="0" w:color="auto"/>
        <w:bottom w:val="none" w:sz="0" w:space="0" w:color="auto"/>
        <w:right w:val="none" w:sz="0" w:space="0" w:color="auto"/>
      </w:divBdr>
    </w:div>
    <w:div w:id="1547720985">
      <w:bodyDiv w:val="1"/>
      <w:marLeft w:val="0"/>
      <w:marRight w:val="0"/>
      <w:marTop w:val="0"/>
      <w:marBottom w:val="0"/>
      <w:divBdr>
        <w:top w:val="none" w:sz="0" w:space="0" w:color="auto"/>
        <w:left w:val="none" w:sz="0" w:space="0" w:color="auto"/>
        <w:bottom w:val="none" w:sz="0" w:space="0" w:color="auto"/>
        <w:right w:val="none" w:sz="0" w:space="0" w:color="auto"/>
      </w:divBdr>
    </w:div>
    <w:div w:id="1547793904">
      <w:bodyDiv w:val="1"/>
      <w:marLeft w:val="0"/>
      <w:marRight w:val="0"/>
      <w:marTop w:val="0"/>
      <w:marBottom w:val="0"/>
      <w:divBdr>
        <w:top w:val="none" w:sz="0" w:space="0" w:color="auto"/>
        <w:left w:val="none" w:sz="0" w:space="0" w:color="auto"/>
        <w:bottom w:val="none" w:sz="0" w:space="0" w:color="auto"/>
        <w:right w:val="none" w:sz="0" w:space="0" w:color="auto"/>
      </w:divBdr>
    </w:div>
    <w:div w:id="1547836947">
      <w:bodyDiv w:val="1"/>
      <w:marLeft w:val="0"/>
      <w:marRight w:val="0"/>
      <w:marTop w:val="0"/>
      <w:marBottom w:val="0"/>
      <w:divBdr>
        <w:top w:val="none" w:sz="0" w:space="0" w:color="auto"/>
        <w:left w:val="none" w:sz="0" w:space="0" w:color="auto"/>
        <w:bottom w:val="none" w:sz="0" w:space="0" w:color="auto"/>
        <w:right w:val="none" w:sz="0" w:space="0" w:color="auto"/>
      </w:divBdr>
    </w:div>
    <w:div w:id="1547912845">
      <w:bodyDiv w:val="1"/>
      <w:marLeft w:val="0"/>
      <w:marRight w:val="0"/>
      <w:marTop w:val="0"/>
      <w:marBottom w:val="0"/>
      <w:divBdr>
        <w:top w:val="none" w:sz="0" w:space="0" w:color="auto"/>
        <w:left w:val="none" w:sz="0" w:space="0" w:color="auto"/>
        <w:bottom w:val="none" w:sz="0" w:space="0" w:color="auto"/>
        <w:right w:val="none" w:sz="0" w:space="0" w:color="auto"/>
      </w:divBdr>
    </w:div>
    <w:div w:id="1547984974">
      <w:bodyDiv w:val="1"/>
      <w:marLeft w:val="0"/>
      <w:marRight w:val="0"/>
      <w:marTop w:val="0"/>
      <w:marBottom w:val="0"/>
      <w:divBdr>
        <w:top w:val="none" w:sz="0" w:space="0" w:color="auto"/>
        <w:left w:val="none" w:sz="0" w:space="0" w:color="auto"/>
        <w:bottom w:val="none" w:sz="0" w:space="0" w:color="auto"/>
        <w:right w:val="none" w:sz="0" w:space="0" w:color="auto"/>
      </w:divBdr>
    </w:div>
    <w:div w:id="1548105005">
      <w:bodyDiv w:val="1"/>
      <w:marLeft w:val="0"/>
      <w:marRight w:val="0"/>
      <w:marTop w:val="0"/>
      <w:marBottom w:val="0"/>
      <w:divBdr>
        <w:top w:val="none" w:sz="0" w:space="0" w:color="auto"/>
        <w:left w:val="none" w:sz="0" w:space="0" w:color="auto"/>
        <w:bottom w:val="none" w:sz="0" w:space="0" w:color="auto"/>
        <w:right w:val="none" w:sz="0" w:space="0" w:color="auto"/>
      </w:divBdr>
    </w:div>
    <w:div w:id="1548108359">
      <w:bodyDiv w:val="1"/>
      <w:marLeft w:val="0"/>
      <w:marRight w:val="0"/>
      <w:marTop w:val="0"/>
      <w:marBottom w:val="0"/>
      <w:divBdr>
        <w:top w:val="none" w:sz="0" w:space="0" w:color="auto"/>
        <w:left w:val="none" w:sz="0" w:space="0" w:color="auto"/>
        <w:bottom w:val="none" w:sz="0" w:space="0" w:color="auto"/>
        <w:right w:val="none" w:sz="0" w:space="0" w:color="auto"/>
      </w:divBdr>
    </w:div>
    <w:div w:id="1548178465">
      <w:bodyDiv w:val="1"/>
      <w:marLeft w:val="0"/>
      <w:marRight w:val="0"/>
      <w:marTop w:val="0"/>
      <w:marBottom w:val="0"/>
      <w:divBdr>
        <w:top w:val="none" w:sz="0" w:space="0" w:color="auto"/>
        <w:left w:val="none" w:sz="0" w:space="0" w:color="auto"/>
        <w:bottom w:val="none" w:sz="0" w:space="0" w:color="auto"/>
        <w:right w:val="none" w:sz="0" w:space="0" w:color="auto"/>
      </w:divBdr>
    </w:div>
    <w:div w:id="1548253822">
      <w:bodyDiv w:val="1"/>
      <w:marLeft w:val="0"/>
      <w:marRight w:val="0"/>
      <w:marTop w:val="0"/>
      <w:marBottom w:val="0"/>
      <w:divBdr>
        <w:top w:val="none" w:sz="0" w:space="0" w:color="auto"/>
        <w:left w:val="none" w:sz="0" w:space="0" w:color="auto"/>
        <w:bottom w:val="none" w:sz="0" w:space="0" w:color="auto"/>
        <w:right w:val="none" w:sz="0" w:space="0" w:color="auto"/>
      </w:divBdr>
    </w:div>
    <w:div w:id="1548293284">
      <w:bodyDiv w:val="1"/>
      <w:marLeft w:val="0"/>
      <w:marRight w:val="0"/>
      <w:marTop w:val="0"/>
      <w:marBottom w:val="0"/>
      <w:divBdr>
        <w:top w:val="none" w:sz="0" w:space="0" w:color="auto"/>
        <w:left w:val="none" w:sz="0" w:space="0" w:color="auto"/>
        <w:bottom w:val="none" w:sz="0" w:space="0" w:color="auto"/>
        <w:right w:val="none" w:sz="0" w:space="0" w:color="auto"/>
      </w:divBdr>
    </w:div>
    <w:div w:id="1548373296">
      <w:bodyDiv w:val="1"/>
      <w:marLeft w:val="0"/>
      <w:marRight w:val="0"/>
      <w:marTop w:val="0"/>
      <w:marBottom w:val="0"/>
      <w:divBdr>
        <w:top w:val="none" w:sz="0" w:space="0" w:color="auto"/>
        <w:left w:val="none" w:sz="0" w:space="0" w:color="auto"/>
        <w:bottom w:val="none" w:sz="0" w:space="0" w:color="auto"/>
        <w:right w:val="none" w:sz="0" w:space="0" w:color="auto"/>
      </w:divBdr>
    </w:div>
    <w:div w:id="1548488587">
      <w:bodyDiv w:val="1"/>
      <w:marLeft w:val="0"/>
      <w:marRight w:val="0"/>
      <w:marTop w:val="0"/>
      <w:marBottom w:val="0"/>
      <w:divBdr>
        <w:top w:val="none" w:sz="0" w:space="0" w:color="auto"/>
        <w:left w:val="none" w:sz="0" w:space="0" w:color="auto"/>
        <w:bottom w:val="none" w:sz="0" w:space="0" w:color="auto"/>
        <w:right w:val="none" w:sz="0" w:space="0" w:color="auto"/>
      </w:divBdr>
    </w:div>
    <w:div w:id="1548569709">
      <w:bodyDiv w:val="1"/>
      <w:marLeft w:val="0"/>
      <w:marRight w:val="0"/>
      <w:marTop w:val="0"/>
      <w:marBottom w:val="0"/>
      <w:divBdr>
        <w:top w:val="none" w:sz="0" w:space="0" w:color="auto"/>
        <w:left w:val="none" w:sz="0" w:space="0" w:color="auto"/>
        <w:bottom w:val="none" w:sz="0" w:space="0" w:color="auto"/>
        <w:right w:val="none" w:sz="0" w:space="0" w:color="auto"/>
      </w:divBdr>
    </w:div>
    <w:div w:id="1548637181">
      <w:bodyDiv w:val="1"/>
      <w:marLeft w:val="0"/>
      <w:marRight w:val="0"/>
      <w:marTop w:val="0"/>
      <w:marBottom w:val="0"/>
      <w:divBdr>
        <w:top w:val="none" w:sz="0" w:space="0" w:color="auto"/>
        <w:left w:val="none" w:sz="0" w:space="0" w:color="auto"/>
        <w:bottom w:val="none" w:sz="0" w:space="0" w:color="auto"/>
        <w:right w:val="none" w:sz="0" w:space="0" w:color="auto"/>
      </w:divBdr>
    </w:div>
    <w:div w:id="1548712514">
      <w:bodyDiv w:val="1"/>
      <w:marLeft w:val="0"/>
      <w:marRight w:val="0"/>
      <w:marTop w:val="0"/>
      <w:marBottom w:val="0"/>
      <w:divBdr>
        <w:top w:val="none" w:sz="0" w:space="0" w:color="auto"/>
        <w:left w:val="none" w:sz="0" w:space="0" w:color="auto"/>
        <w:bottom w:val="none" w:sz="0" w:space="0" w:color="auto"/>
        <w:right w:val="none" w:sz="0" w:space="0" w:color="auto"/>
      </w:divBdr>
    </w:div>
    <w:div w:id="1548881729">
      <w:bodyDiv w:val="1"/>
      <w:marLeft w:val="0"/>
      <w:marRight w:val="0"/>
      <w:marTop w:val="0"/>
      <w:marBottom w:val="0"/>
      <w:divBdr>
        <w:top w:val="none" w:sz="0" w:space="0" w:color="auto"/>
        <w:left w:val="none" w:sz="0" w:space="0" w:color="auto"/>
        <w:bottom w:val="none" w:sz="0" w:space="0" w:color="auto"/>
        <w:right w:val="none" w:sz="0" w:space="0" w:color="auto"/>
      </w:divBdr>
    </w:div>
    <w:div w:id="1549024528">
      <w:bodyDiv w:val="1"/>
      <w:marLeft w:val="0"/>
      <w:marRight w:val="0"/>
      <w:marTop w:val="0"/>
      <w:marBottom w:val="0"/>
      <w:divBdr>
        <w:top w:val="none" w:sz="0" w:space="0" w:color="auto"/>
        <w:left w:val="none" w:sz="0" w:space="0" w:color="auto"/>
        <w:bottom w:val="none" w:sz="0" w:space="0" w:color="auto"/>
        <w:right w:val="none" w:sz="0" w:space="0" w:color="auto"/>
      </w:divBdr>
    </w:div>
    <w:div w:id="1549101903">
      <w:bodyDiv w:val="1"/>
      <w:marLeft w:val="0"/>
      <w:marRight w:val="0"/>
      <w:marTop w:val="0"/>
      <w:marBottom w:val="0"/>
      <w:divBdr>
        <w:top w:val="none" w:sz="0" w:space="0" w:color="auto"/>
        <w:left w:val="none" w:sz="0" w:space="0" w:color="auto"/>
        <w:bottom w:val="none" w:sz="0" w:space="0" w:color="auto"/>
        <w:right w:val="none" w:sz="0" w:space="0" w:color="auto"/>
      </w:divBdr>
    </w:div>
    <w:div w:id="1549104199">
      <w:bodyDiv w:val="1"/>
      <w:marLeft w:val="0"/>
      <w:marRight w:val="0"/>
      <w:marTop w:val="0"/>
      <w:marBottom w:val="0"/>
      <w:divBdr>
        <w:top w:val="none" w:sz="0" w:space="0" w:color="auto"/>
        <w:left w:val="none" w:sz="0" w:space="0" w:color="auto"/>
        <w:bottom w:val="none" w:sz="0" w:space="0" w:color="auto"/>
        <w:right w:val="none" w:sz="0" w:space="0" w:color="auto"/>
      </w:divBdr>
    </w:div>
    <w:div w:id="1549683592">
      <w:bodyDiv w:val="1"/>
      <w:marLeft w:val="0"/>
      <w:marRight w:val="0"/>
      <w:marTop w:val="0"/>
      <w:marBottom w:val="0"/>
      <w:divBdr>
        <w:top w:val="none" w:sz="0" w:space="0" w:color="auto"/>
        <w:left w:val="none" w:sz="0" w:space="0" w:color="auto"/>
        <w:bottom w:val="none" w:sz="0" w:space="0" w:color="auto"/>
        <w:right w:val="none" w:sz="0" w:space="0" w:color="auto"/>
      </w:divBdr>
    </w:div>
    <w:div w:id="1549757922">
      <w:bodyDiv w:val="1"/>
      <w:marLeft w:val="0"/>
      <w:marRight w:val="0"/>
      <w:marTop w:val="0"/>
      <w:marBottom w:val="0"/>
      <w:divBdr>
        <w:top w:val="none" w:sz="0" w:space="0" w:color="auto"/>
        <w:left w:val="none" w:sz="0" w:space="0" w:color="auto"/>
        <w:bottom w:val="none" w:sz="0" w:space="0" w:color="auto"/>
        <w:right w:val="none" w:sz="0" w:space="0" w:color="auto"/>
      </w:divBdr>
    </w:div>
    <w:div w:id="1549799632">
      <w:bodyDiv w:val="1"/>
      <w:marLeft w:val="0"/>
      <w:marRight w:val="0"/>
      <w:marTop w:val="0"/>
      <w:marBottom w:val="0"/>
      <w:divBdr>
        <w:top w:val="none" w:sz="0" w:space="0" w:color="auto"/>
        <w:left w:val="none" w:sz="0" w:space="0" w:color="auto"/>
        <w:bottom w:val="none" w:sz="0" w:space="0" w:color="auto"/>
        <w:right w:val="none" w:sz="0" w:space="0" w:color="auto"/>
      </w:divBdr>
    </w:div>
    <w:div w:id="1549876818">
      <w:bodyDiv w:val="1"/>
      <w:marLeft w:val="0"/>
      <w:marRight w:val="0"/>
      <w:marTop w:val="0"/>
      <w:marBottom w:val="0"/>
      <w:divBdr>
        <w:top w:val="none" w:sz="0" w:space="0" w:color="auto"/>
        <w:left w:val="none" w:sz="0" w:space="0" w:color="auto"/>
        <w:bottom w:val="none" w:sz="0" w:space="0" w:color="auto"/>
        <w:right w:val="none" w:sz="0" w:space="0" w:color="auto"/>
      </w:divBdr>
    </w:div>
    <w:div w:id="1549993317">
      <w:bodyDiv w:val="1"/>
      <w:marLeft w:val="0"/>
      <w:marRight w:val="0"/>
      <w:marTop w:val="0"/>
      <w:marBottom w:val="0"/>
      <w:divBdr>
        <w:top w:val="none" w:sz="0" w:space="0" w:color="auto"/>
        <w:left w:val="none" w:sz="0" w:space="0" w:color="auto"/>
        <w:bottom w:val="none" w:sz="0" w:space="0" w:color="auto"/>
        <w:right w:val="none" w:sz="0" w:space="0" w:color="auto"/>
      </w:divBdr>
    </w:div>
    <w:div w:id="1550067377">
      <w:bodyDiv w:val="1"/>
      <w:marLeft w:val="0"/>
      <w:marRight w:val="0"/>
      <w:marTop w:val="0"/>
      <w:marBottom w:val="0"/>
      <w:divBdr>
        <w:top w:val="none" w:sz="0" w:space="0" w:color="auto"/>
        <w:left w:val="none" w:sz="0" w:space="0" w:color="auto"/>
        <w:bottom w:val="none" w:sz="0" w:space="0" w:color="auto"/>
        <w:right w:val="none" w:sz="0" w:space="0" w:color="auto"/>
      </w:divBdr>
    </w:div>
    <w:div w:id="1550143188">
      <w:bodyDiv w:val="1"/>
      <w:marLeft w:val="0"/>
      <w:marRight w:val="0"/>
      <w:marTop w:val="0"/>
      <w:marBottom w:val="0"/>
      <w:divBdr>
        <w:top w:val="none" w:sz="0" w:space="0" w:color="auto"/>
        <w:left w:val="none" w:sz="0" w:space="0" w:color="auto"/>
        <w:bottom w:val="none" w:sz="0" w:space="0" w:color="auto"/>
        <w:right w:val="none" w:sz="0" w:space="0" w:color="auto"/>
      </w:divBdr>
    </w:div>
    <w:div w:id="1550259767">
      <w:bodyDiv w:val="1"/>
      <w:marLeft w:val="0"/>
      <w:marRight w:val="0"/>
      <w:marTop w:val="0"/>
      <w:marBottom w:val="0"/>
      <w:divBdr>
        <w:top w:val="none" w:sz="0" w:space="0" w:color="auto"/>
        <w:left w:val="none" w:sz="0" w:space="0" w:color="auto"/>
        <w:bottom w:val="none" w:sz="0" w:space="0" w:color="auto"/>
        <w:right w:val="none" w:sz="0" w:space="0" w:color="auto"/>
      </w:divBdr>
    </w:div>
    <w:div w:id="1550412009">
      <w:bodyDiv w:val="1"/>
      <w:marLeft w:val="0"/>
      <w:marRight w:val="0"/>
      <w:marTop w:val="0"/>
      <w:marBottom w:val="0"/>
      <w:divBdr>
        <w:top w:val="none" w:sz="0" w:space="0" w:color="auto"/>
        <w:left w:val="none" w:sz="0" w:space="0" w:color="auto"/>
        <w:bottom w:val="none" w:sz="0" w:space="0" w:color="auto"/>
        <w:right w:val="none" w:sz="0" w:space="0" w:color="auto"/>
      </w:divBdr>
    </w:div>
    <w:div w:id="1550456682">
      <w:bodyDiv w:val="1"/>
      <w:marLeft w:val="0"/>
      <w:marRight w:val="0"/>
      <w:marTop w:val="0"/>
      <w:marBottom w:val="0"/>
      <w:divBdr>
        <w:top w:val="none" w:sz="0" w:space="0" w:color="auto"/>
        <w:left w:val="none" w:sz="0" w:space="0" w:color="auto"/>
        <w:bottom w:val="none" w:sz="0" w:space="0" w:color="auto"/>
        <w:right w:val="none" w:sz="0" w:space="0" w:color="auto"/>
      </w:divBdr>
    </w:div>
    <w:div w:id="1550460715">
      <w:bodyDiv w:val="1"/>
      <w:marLeft w:val="0"/>
      <w:marRight w:val="0"/>
      <w:marTop w:val="0"/>
      <w:marBottom w:val="0"/>
      <w:divBdr>
        <w:top w:val="none" w:sz="0" w:space="0" w:color="auto"/>
        <w:left w:val="none" w:sz="0" w:space="0" w:color="auto"/>
        <w:bottom w:val="none" w:sz="0" w:space="0" w:color="auto"/>
        <w:right w:val="none" w:sz="0" w:space="0" w:color="auto"/>
      </w:divBdr>
    </w:div>
    <w:div w:id="1550651388">
      <w:bodyDiv w:val="1"/>
      <w:marLeft w:val="0"/>
      <w:marRight w:val="0"/>
      <w:marTop w:val="0"/>
      <w:marBottom w:val="0"/>
      <w:divBdr>
        <w:top w:val="none" w:sz="0" w:space="0" w:color="auto"/>
        <w:left w:val="none" w:sz="0" w:space="0" w:color="auto"/>
        <w:bottom w:val="none" w:sz="0" w:space="0" w:color="auto"/>
        <w:right w:val="none" w:sz="0" w:space="0" w:color="auto"/>
      </w:divBdr>
    </w:div>
    <w:div w:id="1550654940">
      <w:bodyDiv w:val="1"/>
      <w:marLeft w:val="0"/>
      <w:marRight w:val="0"/>
      <w:marTop w:val="0"/>
      <w:marBottom w:val="0"/>
      <w:divBdr>
        <w:top w:val="none" w:sz="0" w:space="0" w:color="auto"/>
        <w:left w:val="none" w:sz="0" w:space="0" w:color="auto"/>
        <w:bottom w:val="none" w:sz="0" w:space="0" w:color="auto"/>
        <w:right w:val="none" w:sz="0" w:space="0" w:color="auto"/>
      </w:divBdr>
    </w:div>
    <w:div w:id="1550725583">
      <w:bodyDiv w:val="1"/>
      <w:marLeft w:val="0"/>
      <w:marRight w:val="0"/>
      <w:marTop w:val="0"/>
      <w:marBottom w:val="0"/>
      <w:divBdr>
        <w:top w:val="none" w:sz="0" w:space="0" w:color="auto"/>
        <w:left w:val="none" w:sz="0" w:space="0" w:color="auto"/>
        <w:bottom w:val="none" w:sz="0" w:space="0" w:color="auto"/>
        <w:right w:val="none" w:sz="0" w:space="0" w:color="auto"/>
      </w:divBdr>
    </w:div>
    <w:div w:id="1550729231">
      <w:bodyDiv w:val="1"/>
      <w:marLeft w:val="0"/>
      <w:marRight w:val="0"/>
      <w:marTop w:val="0"/>
      <w:marBottom w:val="0"/>
      <w:divBdr>
        <w:top w:val="none" w:sz="0" w:space="0" w:color="auto"/>
        <w:left w:val="none" w:sz="0" w:space="0" w:color="auto"/>
        <w:bottom w:val="none" w:sz="0" w:space="0" w:color="auto"/>
        <w:right w:val="none" w:sz="0" w:space="0" w:color="auto"/>
      </w:divBdr>
    </w:div>
    <w:div w:id="1550846790">
      <w:bodyDiv w:val="1"/>
      <w:marLeft w:val="0"/>
      <w:marRight w:val="0"/>
      <w:marTop w:val="0"/>
      <w:marBottom w:val="0"/>
      <w:divBdr>
        <w:top w:val="none" w:sz="0" w:space="0" w:color="auto"/>
        <w:left w:val="none" w:sz="0" w:space="0" w:color="auto"/>
        <w:bottom w:val="none" w:sz="0" w:space="0" w:color="auto"/>
        <w:right w:val="none" w:sz="0" w:space="0" w:color="auto"/>
      </w:divBdr>
    </w:div>
    <w:div w:id="1550872549">
      <w:bodyDiv w:val="1"/>
      <w:marLeft w:val="0"/>
      <w:marRight w:val="0"/>
      <w:marTop w:val="0"/>
      <w:marBottom w:val="0"/>
      <w:divBdr>
        <w:top w:val="none" w:sz="0" w:space="0" w:color="auto"/>
        <w:left w:val="none" w:sz="0" w:space="0" w:color="auto"/>
        <w:bottom w:val="none" w:sz="0" w:space="0" w:color="auto"/>
        <w:right w:val="none" w:sz="0" w:space="0" w:color="auto"/>
      </w:divBdr>
    </w:div>
    <w:div w:id="1550915137">
      <w:bodyDiv w:val="1"/>
      <w:marLeft w:val="0"/>
      <w:marRight w:val="0"/>
      <w:marTop w:val="0"/>
      <w:marBottom w:val="0"/>
      <w:divBdr>
        <w:top w:val="none" w:sz="0" w:space="0" w:color="auto"/>
        <w:left w:val="none" w:sz="0" w:space="0" w:color="auto"/>
        <w:bottom w:val="none" w:sz="0" w:space="0" w:color="auto"/>
        <w:right w:val="none" w:sz="0" w:space="0" w:color="auto"/>
      </w:divBdr>
    </w:div>
    <w:div w:id="1550922508">
      <w:bodyDiv w:val="1"/>
      <w:marLeft w:val="0"/>
      <w:marRight w:val="0"/>
      <w:marTop w:val="0"/>
      <w:marBottom w:val="0"/>
      <w:divBdr>
        <w:top w:val="none" w:sz="0" w:space="0" w:color="auto"/>
        <w:left w:val="none" w:sz="0" w:space="0" w:color="auto"/>
        <w:bottom w:val="none" w:sz="0" w:space="0" w:color="auto"/>
        <w:right w:val="none" w:sz="0" w:space="0" w:color="auto"/>
      </w:divBdr>
    </w:div>
    <w:div w:id="1550993438">
      <w:bodyDiv w:val="1"/>
      <w:marLeft w:val="0"/>
      <w:marRight w:val="0"/>
      <w:marTop w:val="0"/>
      <w:marBottom w:val="0"/>
      <w:divBdr>
        <w:top w:val="none" w:sz="0" w:space="0" w:color="auto"/>
        <w:left w:val="none" w:sz="0" w:space="0" w:color="auto"/>
        <w:bottom w:val="none" w:sz="0" w:space="0" w:color="auto"/>
        <w:right w:val="none" w:sz="0" w:space="0" w:color="auto"/>
      </w:divBdr>
    </w:div>
    <w:div w:id="1551064902">
      <w:bodyDiv w:val="1"/>
      <w:marLeft w:val="0"/>
      <w:marRight w:val="0"/>
      <w:marTop w:val="0"/>
      <w:marBottom w:val="0"/>
      <w:divBdr>
        <w:top w:val="none" w:sz="0" w:space="0" w:color="auto"/>
        <w:left w:val="none" w:sz="0" w:space="0" w:color="auto"/>
        <w:bottom w:val="none" w:sz="0" w:space="0" w:color="auto"/>
        <w:right w:val="none" w:sz="0" w:space="0" w:color="auto"/>
      </w:divBdr>
    </w:div>
    <w:div w:id="1551072706">
      <w:bodyDiv w:val="1"/>
      <w:marLeft w:val="0"/>
      <w:marRight w:val="0"/>
      <w:marTop w:val="0"/>
      <w:marBottom w:val="0"/>
      <w:divBdr>
        <w:top w:val="none" w:sz="0" w:space="0" w:color="auto"/>
        <w:left w:val="none" w:sz="0" w:space="0" w:color="auto"/>
        <w:bottom w:val="none" w:sz="0" w:space="0" w:color="auto"/>
        <w:right w:val="none" w:sz="0" w:space="0" w:color="auto"/>
      </w:divBdr>
    </w:div>
    <w:div w:id="1551333823">
      <w:bodyDiv w:val="1"/>
      <w:marLeft w:val="0"/>
      <w:marRight w:val="0"/>
      <w:marTop w:val="0"/>
      <w:marBottom w:val="0"/>
      <w:divBdr>
        <w:top w:val="none" w:sz="0" w:space="0" w:color="auto"/>
        <w:left w:val="none" w:sz="0" w:space="0" w:color="auto"/>
        <w:bottom w:val="none" w:sz="0" w:space="0" w:color="auto"/>
        <w:right w:val="none" w:sz="0" w:space="0" w:color="auto"/>
      </w:divBdr>
    </w:div>
    <w:div w:id="1551382922">
      <w:bodyDiv w:val="1"/>
      <w:marLeft w:val="0"/>
      <w:marRight w:val="0"/>
      <w:marTop w:val="0"/>
      <w:marBottom w:val="0"/>
      <w:divBdr>
        <w:top w:val="none" w:sz="0" w:space="0" w:color="auto"/>
        <w:left w:val="none" w:sz="0" w:space="0" w:color="auto"/>
        <w:bottom w:val="none" w:sz="0" w:space="0" w:color="auto"/>
        <w:right w:val="none" w:sz="0" w:space="0" w:color="auto"/>
      </w:divBdr>
    </w:div>
    <w:div w:id="1551575187">
      <w:bodyDiv w:val="1"/>
      <w:marLeft w:val="0"/>
      <w:marRight w:val="0"/>
      <w:marTop w:val="0"/>
      <w:marBottom w:val="0"/>
      <w:divBdr>
        <w:top w:val="none" w:sz="0" w:space="0" w:color="auto"/>
        <w:left w:val="none" w:sz="0" w:space="0" w:color="auto"/>
        <w:bottom w:val="none" w:sz="0" w:space="0" w:color="auto"/>
        <w:right w:val="none" w:sz="0" w:space="0" w:color="auto"/>
      </w:divBdr>
    </w:div>
    <w:div w:id="1551722133">
      <w:bodyDiv w:val="1"/>
      <w:marLeft w:val="0"/>
      <w:marRight w:val="0"/>
      <w:marTop w:val="0"/>
      <w:marBottom w:val="0"/>
      <w:divBdr>
        <w:top w:val="none" w:sz="0" w:space="0" w:color="auto"/>
        <w:left w:val="none" w:sz="0" w:space="0" w:color="auto"/>
        <w:bottom w:val="none" w:sz="0" w:space="0" w:color="auto"/>
        <w:right w:val="none" w:sz="0" w:space="0" w:color="auto"/>
      </w:divBdr>
    </w:div>
    <w:div w:id="1551724068">
      <w:bodyDiv w:val="1"/>
      <w:marLeft w:val="0"/>
      <w:marRight w:val="0"/>
      <w:marTop w:val="0"/>
      <w:marBottom w:val="0"/>
      <w:divBdr>
        <w:top w:val="none" w:sz="0" w:space="0" w:color="auto"/>
        <w:left w:val="none" w:sz="0" w:space="0" w:color="auto"/>
        <w:bottom w:val="none" w:sz="0" w:space="0" w:color="auto"/>
        <w:right w:val="none" w:sz="0" w:space="0" w:color="auto"/>
      </w:divBdr>
    </w:div>
    <w:div w:id="1551724689">
      <w:bodyDiv w:val="1"/>
      <w:marLeft w:val="0"/>
      <w:marRight w:val="0"/>
      <w:marTop w:val="0"/>
      <w:marBottom w:val="0"/>
      <w:divBdr>
        <w:top w:val="none" w:sz="0" w:space="0" w:color="auto"/>
        <w:left w:val="none" w:sz="0" w:space="0" w:color="auto"/>
        <w:bottom w:val="none" w:sz="0" w:space="0" w:color="auto"/>
        <w:right w:val="none" w:sz="0" w:space="0" w:color="auto"/>
      </w:divBdr>
    </w:div>
    <w:div w:id="1551768389">
      <w:bodyDiv w:val="1"/>
      <w:marLeft w:val="0"/>
      <w:marRight w:val="0"/>
      <w:marTop w:val="0"/>
      <w:marBottom w:val="0"/>
      <w:divBdr>
        <w:top w:val="none" w:sz="0" w:space="0" w:color="auto"/>
        <w:left w:val="none" w:sz="0" w:space="0" w:color="auto"/>
        <w:bottom w:val="none" w:sz="0" w:space="0" w:color="auto"/>
        <w:right w:val="none" w:sz="0" w:space="0" w:color="auto"/>
      </w:divBdr>
    </w:div>
    <w:div w:id="1551913403">
      <w:bodyDiv w:val="1"/>
      <w:marLeft w:val="0"/>
      <w:marRight w:val="0"/>
      <w:marTop w:val="0"/>
      <w:marBottom w:val="0"/>
      <w:divBdr>
        <w:top w:val="none" w:sz="0" w:space="0" w:color="auto"/>
        <w:left w:val="none" w:sz="0" w:space="0" w:color="auto"/>
        <w:bottom w:val="none" w:sz="0" w:space="0" w:color="auto"/>
        <w:right w:val="none" w:sz="0" w:space="0" w:color="auto"/>
      </w:divBdr>
    </w:div>
    <w:div w:id="1551914653">
      <w:bodyDiv w:val="1"/>
      <w:marLeft w:val="0"/>
      <w:marRight w:val="0"/>
      <w:marTop w:val="0"/>
      <w:marBottom w:val="0"/>
      <w:divBdr>
        <w:top w:val="none" w:sz="0" w:space="0" w:color="auto"/>
        <w:left w:val="none" w:sz="0" w:space="0" w:color="auto"/>
        <w:bottom w:val="none" w:sz="0" w:space="0" w:color="auto"/>
        <w:right w:val="none" w:sz="0" w:space="0" w:color="auto"/>
      </w:divBdr>
    </w:div>
    <w:div w:id="1552033064">
      <w:bodyDiv w:val="1"/>
      <w:marLeft w:val="0"/>
      <w:marRight w:val="0"/>
      <w:marTop w:val="0"/>
      <w:marBottom w:val="0"/>
      <w:divBdr>
        <w:top w:val="none" w:sz="0" w:space="0" w:color="auto"/>
        <w:left w:val="none" w:sz="0" w:space="0" w:color="auto"/>
        <w:bottom w:val="none" w:sz="0" w:space="0" w:color="auto"/>
        <w:right w:val="none" w:sz="0" w:space="0" w:color="auto"/>
      </w:divBdr>
    </w:div>
    <w:div w:id="1552038904">
      <w:bodyDiv w:val="1"/>
      <w:marLeft w:val="0"/>
      <w:marRight w:val="0"/>
      <w:marTop w:val="0"/>
      <w:marBottom w:val="0"/>
      <w:divBdr>
        <w:top w:val="none" w:sz="0" w:space="0" w:color="auto"/>
        <w:left w:val="none" w:sz="0" w:space="0" w:color="auto"/>
        <w:bottom w:val="none" w:sz="0" w:space="0" w:color="auto"/>
        <w:right w:val="none" w:sz="0" w:space="0" w:color="auto"/>
      </w:divBdr>
    </w:div>
    <w:div w:id="1552107963">
      <w:bodyDiv w:val="1"/>
      <w:marLeft w:val="0"/>
      <w:marRight w:val="0"/>
      <w:marTop w:val="0"/>
      <w:marBottom w:val="0"/>
      <w:divBdr>
        <w:top w:val="none" w:sz="0" w:space="0" w:color="auto"/>
        <w:left w:val="none" w:sz="0" w:space="0" w:color="auto"/>
        <w:bottom w:val="none" w:sz="0" w:space="0" w:color="auto"/>
        <w:right w:val="none" w:sz="0" w:space="0" w:color="auto"/>
      </w:divBdr>
    </w:div>
    <w:div w:id="1552158558">
      <w:bodyDiv w:val="1"/>
      <w:marLeft w:val="0"/>
      <w:marRight w:val="0"/>
      <w:marTop w:val="0"/>
      <w:marBottom w:val="0"/>
      <w:divBdr>
        <w:top w:val="none" w:sz="0" w:space="0" w:color="auto"/>
        <w:left w:val="none" w:sz="0" w:space="0" w:color="auto"/>
        <w:bottom w:val="none" w:sz="0" w:space="0" w:color="auto"/>
        <w:right w:val="none" w:sz="0" w:space="0" w:color="auto"/>
      </w:divBdr>
    </w:div>
    <w:div w:id="1552376040">
      <w:bodyDiv w:val="1"/>
      <w:marLeft w:val="0"/>
      <w:marRight w:val="0"/>
      <w:marTop w:val="0"/>
      <w:marBottom w:val="0"/>
      <w:divBdr>
        <w:top w:val="none" w:sz="0" w:space="0" w:color="auto"/>
        <w:left w:val="none" w:sz="0" w:space="0" w:color="auto"/>
        <w:bottom w:val="none" w:sz="0" w:space="0" w:color="auto"/>
        <w:right w:val="none" w:sz="0" w:space="0" w:color="auto"/>
      </w:divBdr>
    </w:div>
    <w:div w:id="1552493644">
      <w:bodyDiv w:val="1"/>
      <w:marLeft w:val="0"/>
      <w:marRight w:val="0"/>
      <w:marTop w:val="0"/>
      <w:marBottom w:val="0"/>
      <w:divBdr>
        <w:top w:val="none" w:sz="0" w:space="0" w:color="auto"/>
        <w:left w:val="none" w:sz="0" w:space="0" w:color="auto"/>
        <w:bottom w:val="none" w:sz="0" w:space="0" w:color="auto"/>
        <w:right w:val="none" w:sz="0" w:space="0" w:color="auto"/>
      </w:divBdr>
    </w:div>
    <w:div w:id="1552578111">
      <w:bodyDiv w:val="1"/>
      <w:marLeft w:val="0"/>
      <w:marRight w:val="0"/>
      <w:marTop w:val="0"/>
      <w:marBottom w:val="0"/>
      <w:divBdr>
        <w:top w:val="none" w:sz="0" w:space="0" w:color="auto"/>
        <w:left w:val="none" w:sz="0" w:space="0" w:color="auto"/>
        <w:bottom w:val="none" w:sz="0" w:space="0" w:color="auto"/>
        <w:right w:val="none" w:sz="0" w:space="0" w:color="auto"/>
      </w:divBdr>
    </w:div>
    <w:div w:id="1552690792">
      <w:bodyDiv w:val="1"/>
      <w:marLeft w:val="0"/>
      <w:marRight w:val="0"/>
      <w:marTop w:val="0"/>
      <w:marBottom w:val="0"/>
      <w:divBdr>
        <w:top w:val="none" w:sz="0" w:space="0" w:color="auto"/>
        <w:left w:val="none" w:sz="0" w:space="0" w:color="auto"/>
        <w:bottom w:val="none" w:sz="0" w:space="0" w:color="auto"/>
        <w:right w:val="none" w:sz="0" w:space="0" w:color="auto"/>
      </w:divBdr>
    </w:div>
    <w:div w:id="1552693354">
      <w:bodyDiv w:val="1"/>
      <w:marLeft w:val="0"/>
      <w:marRight w:val="0"/>
      <w:marTop w:val="0"/>
      <w:marBottom w:val="0"/>
      <w:divBdr>
        <w:top w:val="none" w:sz="0" w:space="0" w:color="auto"/>
        <w:left w:val="none" w:sz="0" w:space="0" w:color="auto"/>
        <w:bottom w:val="none" w:sz="0" w:space="0" w:color="auto"/>
        <w:right w:val="none" w:sz="0" w:space="0" w:color="auto"/>
      </w:divBdr>
    </w:div>
    <w:div w:id="1552767174">
      <w:bodyDiv w:val="1"/>
      <w:marLeft w:val="0"/>
      <w:marRight w:val="0"/>
      <w:marTop w:val="0"/>
      <w:marBottom w:val="0"/>
      <w:divBdr>
        <w:top w:val="none" w:sz="0" w:space="0" w:color="auto"/>
        <w:left w:val="none" w:sz="0" w:space="0" w:color="auto"/>
        <w:bottom w:val="none" w:sz="0" w:space="0" w:color="auto"/>
        <w:right w:val="none" w:sz="0" w:space="0" w:color="auto"/>
      </w:divBdr>
    </w:div>
    <w:div w:id="1552841710">
      <w:bodyDiv w:val="1"/>
      <w:marLeft w:val="0"/>
      <w:marRight w:val="0"/>
      <w:marTop w:val="0"/>
      <w:marBottom w:val="0"/>
      <w:divBdr>
        <w:top w:val="none" w:sz="0" w:space="0" w:color="auto"/>
        <w:left w:val="none" w:sz="0" w:space="0" w:color="auto"/>
        <w:bottom w:val="none" w:sz="0" w:space="0" w:color="auto"/>
        <w:right w:val="none" w:sz="0" w:space="0" w:color="auto"/>
      </w:divBdr>
    </w:div>
    <w:div w:id="1552961643">
      <w:bodyDiv w:val="1"/>
      <w:marLeft w:val="0"/>
      <w:marRight w:val="0"/>
      <w:marTop w:val="0"/>
      <w:marBottom w:val="0"/>
      <w:divBdr>
        <w:top w:val="none" w:sz="0" w:space="0" w:color="auto"/>
        <w:left w:val="none" w:sz="0" w:space="0" w:color="auto"/>
        <w:bottom w:val="none" w:sz="0" w:space="0" w:color="auto"/>
        <w:right w:val="none" w:sz="0" w:space="0" w:color="auto"/>
      </w:divBdr>
    </w:div>
    <w:div w:id="1553031025">
      <w:bodyDiv w:val="1"/>
      <w:marLeft w:val="0"/>
      <w:marRight w:val="0"/>
      <w:marTop w:val="0"/>
      <w:marBottom w:val="0"/>
      <w:divBdr>
        <w:top w:val="none" w:sz="0" w:space="0" w:color="auto"/>
        <w:left w:val="none" w:sz="0" w:space="0" w:color="auto"/>
        <w:bottom w:val="none" w:sz="0" w:space="0" w:color="auto"/>
        <w:right w:val="none" w:sz="0" w:space="0" w:color="auto"/>
      </w:divBdr>
    </w:div>
    <w:div w:id="1553033421">
      <w:bodyDiv w:val="1"/>
      <w:marLeft w:val="0"/>
      <w:marRight w:val="0"/>
      <w:marTop w:val="0"/>
      <w:marBottom w:val="0"/>
      <w:divBdr>
        <w:top w:val="none" w:sz="0" w:space="0" w:color="auto"/>
        <w:left w:val="none" w:sz="0" w:space="0" w:color="auto"/>
        <w:bottom w:val="none" w:sz="0" w:space="0" w:color="auto"/>
        <w:right w:val="none" w:sz="0" w:space="0" w:color="auto"/>
      </w:divBdr>
    </w:div>
    <w:div w:id="1553077718">
      <w:bodyDiv w:val="1"/>
      <w:marLeft w:val="0"/>
      <w:marRight w:val="0"/>
      <w:marTop w:val="0"/>
      <w:marBottom w:val="0"/>
      <w:divBdr>
        <w:top w:val="none" w:sz="0" w:space="0" w:color="auto"/>
        <w:left w:val="none" w:sz="0" w:space="0" w:color="auto"/>
        <w:bottom w:val="none" w:sz="0" w:space="0" w:color="auto"/>
        <w:right w:val="none" w:sz="0" w:space="0" w:color="auto"/>
      </w:divBdr>
    </w:div>
    <w:div w:id="1553149392">
      <w:bodyDiv w:val="1"/>
      <w:marLeft w:val="0"/>
      <w:marRight w:val="0"/>
      <w:marTop w:val="0"/>
      <w:marBottom w:val="0"/>
      <w:divBdr>
        <w:top w:val="none" w:sz="0" w:space="0" w:color="auto"/>
        <w:left w:val="none" w:sz="0" w:space="0" w:color="auto"/>
        <w:bottom w:val="none" w:sz="0" w:space="0" w:color="auto"/>
        <w:right w:val="none" w:sz="0" w:space="0" w:color="auto"/>
      </w:divBdr>
    </w:div>
    <w:div w:id="1553224905">
      <w:bodyDiv w:val="1"/>
      <w:marLeft w:val="0"/>
      <w:marRight w:val="0"/>
      <w:marTop w:val="0"/>
      <w:marBottom w:val="0"/>
      <w:divBdr>
        <w:top w:val="none" w:sz="0" w:space="0" w:color="auto"/>
        <w:left w:val="none" w:sz="0" w:space="0" w:color="auto"/>
        <w:bottom w:val="none" w:sz="0" w:space="0" w:color="auto"/>
        <w:right w:val="none" w:sz="0" w:space="0" w:color="auto"/>
      </w:divBdr>
    </w:div>
    <w:div w:id="1553465586">
      <w:bodyDiv w:val="1"/>
      <w:marLeft w:val="0"/>
      <w:marRight w:val="0"/>
      <w:marTop w:val="0"/>
      <w:marBottom w:val="0"/>
      <w:divBdr>
        <w:top w:val="none" w:sz="0" w:space="0" w:color="auto"/>
        <w:left w:val="none" w:sz="0" w:space="0" w:color="auto"/>
        <w:bottom w:val="none" w:sz="0" w:space="0" w:color="auto"/>
        <w:right w:val="none" w:sz="0" w:space="0" w:color="auto"/>
      </w:divBdr>
    </w:div>
    <w:div w:id="1553536338">
      <w:bodyDiv w:val="1"/>
      <w:marLeft w:val="0"/>
      <w:marRight w:val="0"/>
      <w:marTop w:val="0"/>
      <w:marBottom w:val="0"/>
      <w:divBdr>
        <w:top w:val="none" w:sz="0" w:space="0" w:color="auto"/>
        <w:left w:val="none" w:sz="0" w:space="0" w:color="auto"/>
        <w:bottom w:val="none" w:sz="0" w:space="0" w:color="auto"/>
        <w:right w:val="none" w:sz="0" w:space="0" w:color="auto"/>
      </w:divBdr>
    </w:div>
    <w:div w:id="1553538220">
      <w:bodyDiv w:val="1"/>
      <w:marLeft w:val="0"/>
      <w:marRight w:val="0"/>
      <w:marTop w:val="0"/>
      <w:marBottom w:val="0"/>
      <w:divBdr>
        <w:top w:val="none" w:sz="0" w:space="0" w:color="auto"/>
        <w:left w:val="none" w:sz="0" w:space="0" w:color="auto"/>
        <w:bottom w:val="none" w:sz="0" w:space="0" w:color="auto"/>
        <w:right w:val="none" w:sz="0" w:space="0" w:color="auto"/>
      </w:divBdr>
    </w:div>
    <w:div w:id="1553615961">
      <w:bodyDiv w:val="1"/>
      <w:marLeft w:val="0"/>
      <w:marRight w:val="0"/>
      <w:marTop w:val="0"/>
      <w:marBottom w:val="0"/>
      <w:divBdr>
        <w:top w:val="none" w:sz="0" w:space="0" w:color="auto"/>
        <w:left w:val="none" w:sz="0" w:space="0" w:color="auto"/>
        <w:bottom w:val="none" w:sz="0" w:space="0" w:color="auto"/>
        <w:right w:val="none" w:sz="0" w:space="0" w:color="auto"/>
      </w:divBdr>
    </w:div>
    <w:div w:id="1553804455">
      <w:bodyDiv w:val="1"/>
      <w:marLeft w:val="0"/>
      <w:marRight w:val="0"/>
      <w:marTop w:val="0"/>
      <w:marBottom w:val="0"/>
      <w:divBdr>
        <w:top w:val="none" w:sz="0" w:space="0" w:color="auto"/>
        <w:left w:val="none" w:sz="0" w:space="0" w:color="auto"/>
        <w:bottom w:val="none" w:sz="0" w:space="0" w:color="auto"/>
        <w:right w:val="none" w:sz="0" w:space="0" w:color="auto"/>
      </w:divBdr>
    </w:div>
    <w:div w:id="1554077753">
      <w:bodyDiv w:val="1"/>
      <w:marLeft w:val="0"/>
      <w:marRight w:val="0"/>
      <w:marTop w:val="0"/>
      <w:marBottom w:val="0"/>
      <w:divBdr>
        <w:top w:val="none" w:sz="0" w:space="0" w:color="auto"/>
        <w:left w:val="none" w:sz="0" w:space="0" w:color="auto"/>
        <w:bottom w:val="none" w:sz="0" w:space="0" w:color="auto"/>
        <w:right w:val="none" w:sz="0" w:space="0" w:color="auto"/>
      </w:divBdr>
    </w:div>
    <w:div w:id="1554150510">
      <w:bodyDiv w:val="1"/>
      <w:marLeft w:val="0"/>
      <w:marRight w:val="0"/>
      <w:marTop w:val="0"/>
      <w:marBottom w:val="0"/>
      <w:divBdr>
        <w:top w:val="none" w:sz="0" w:space="0" w:color="auto"/>
        <w:left w:val="none" w:sz="0" w:space="0" w:color="auto"/>
        <w:bottom w:val="none" w:sz="0" w:space="0" w:color="auto"/>
        <w:right w:val="none" w:sz="0" w:space="0" w:color="auto"/>
      </w:divBdr>
    </w:div>
    <w:div w:id="1554385916">
      <w:bodyDiv w:val="1"/>
      <w:marLeft w:val="0"/>
      <w:marRight w:val="0"/>
      <w:marTop w:val="0"/>
      <w:marBottom w:val="0"/>
      <w:divBdr>
        <w:top w:val="none" w:sz="0" w:space="0" w:color="auto"/>
        <w:left w:val="none" w:sz="0" w:space="0" w:color="auto"/>
        <w:bottom w:val="none" w:sz="0" w:space="0" w:color="auto"/>
        <w:right w:val="none" w:sz="0" w:space="0" w:color="auto"/>
      </w:divBdr>
    </w:div>
    <w:div w:id="1554386603">
      <w:bodyDiv w:val="1"/>
      <w:marLeft w:val="0"/>
      <w:marRight w:val="0"/>
      <w:marTop w:val="0"/>
      <w:marBottom w:val="0"/>
      <w:divBdr>
        <w:top w:val="none" w:sz="0" w:space="0" w:color="auto"/>
        <w:left w:val="none" w:sz="0" w:space="0" w:color="auto"/>
        <w:bottom w:val="none" w:sz="0" w:space="0" w:color="auto"/>
        <w:right w:val="none" w:sz="0" w:space="0" w:color="auto"/>
      </w:divBdr>
    </w:div>
    <w:div w:id="1554541138">
      <w:bodyDiv w:val="1"/>
      <w:marLeft w:val="0"/>
      <w:marRight w:val="0"/>
      <w:marTop w:val="0"/>
      <w:marBottom w:val="0"/>
      <w:divBdr>
        <w:top w:val="none" w:sz="0" w:space="0" w:color="auto"/>
        <w:left w:val="none" w:sz="0" w:space="0" w:color="auto"/>
        <w:bottom w:val="none" w:sz="0" w:space="0" w:color="auto"/>
        <w:right w:val="none" w:sz="0" w:space="0" w:color="auto"/>
      </w:divBdr>
    </w:div>
    <w:div w:id="1554584828">
      <w:bodyDiv w:val="1"/>
      <w:marLeft w:val="0"/>
      <w:marRight w:val="0"/>
      <w:marTop w:val="0"/>
      <w:marBottom w:val="0"/>
      <w:divBdr>
        <w:top w:val="none" w:sz="0" w:space="0" w:color="auto"/>
        <w:left w:val="none" w:sz="0" w:space="0" w:color="auto"/>
        <w:bottom w:val="none" w:sz="0" w:space="0" w:color="auto"/>
        <w:right w:val="none" w:sz="0" w:space="0" w:color="auto"/>
      </w:divBdr>
    </w:div>
    <w:div w:id="1554656246">
      <w:bodyDiv w:val="1"/>
      <w:marLeft w:val="0"/>
      <w:marRight w:val="0"/>
      <w:marTop w:val="0"/>
      <w:marBottom w:val="0"/>
      <w:divBdr>
        <w:top w:val="none" w:sz="0" w:space="0" w:color="auto"/>
        <w:left w:val="none" w:sz="0" w:space="0" w:color="auto"/>
        <w:bottom w:val="none" w:sz="0" w:space="0" w:color="auto"/>
        <w:right w:val="none" w:sz="0" w:space="0" w:color="auto"/>
      </w:divBdr>
    </w:div>
    <w:div w:id="1554730789">
      <w:bodyDiv w:val="1"/>
      <w:marLeft w:val="0"/>
      <w:marRight w:val="0"/>
      <w:marTop w:val="0"/>
      <w:marBottom w:val="0"/>
      <w:divBdr>
        <w:top w:val="none" w:sz="0" w:space="0" w:color="auto"/>
        <w:left w:val="none" w:sz="0" w:space="0" w:color="auto"/>
        <w:bottom w:val="none" w:sz="0" w:space="0" w:color="auto"/>
        <w:right w:val="none" w:sz="0" w:space="0" w:color="auto"/>
      </w:divBdr>
    </w:div>
    <w:div w:id="1555115419">
      <w:bodyDiv w:val="1"/>
      <w:marLeft w:val="0"/>
      <w:marRight w:val="0"/>
      <w:marTop w:val="0"/>
      <w:marBottom w:val="0"/>
      <w:divBdr>
        <w:top w:val="none" w:sz="0" w:space="0" w:color="auto"/>
        <w:left w:val="none" w:sz="0" w:space="0" w:color="auto"/>
        <w:bottom w:val="none" w:sz="0" w:space="0" w:color="auto"/>
        <w:right w:val="none" w:sz="0" w:space="0" w:color="auto"/>
      </w:divBdr>
    </w:div>
    <w:div w:id="1555238184">
      <w:bodyDiv w:val="1"/>
      <w:marLeft w:val="0"/>
      <w:marRight w:val="0"/>
      <w:marTop w:val="0"/>
      <w:marBottom w:val="0"/>
      <w:divBdr>
        <w:top w:val="none" w:sz="0" w:space="0" w:color="auto"/>
        <w:left w:val="none" w:sz="0" w:space="0" w:color="auto"/>
        <w:bottom w:val="none" w:sz="0" w:space="0" w:color="auto"/>
        <w:right w:val="none" w:sz="0" w:space="0" w:color="auto"/>
      </w:divBdr>
    </w:div>
    <w:div w:id="1555311644">
      <w:bodyDiv w:val="1"/>
      <w:marLeft w:val="0"/>
      <w:marRight w:val="0"/>
      <w:marTop w:val="0"/>
      <w:marBottom w:val="0"/>
      <w:divBdr>
        <w:top w:val="none" w:sz="0" w:space="0" w:color="auto"/>
        <w:left w:val="none" w:sz="0" w:space="0" w:color="auto"/>
        <w:bottom w:val="none" w:sz="0" w:space="0" w:color="auto"/>
        <w:right w:val="none" w:sz="0" w:space="0" w:color="auto"/>
      </w:divBdr>
    </w:div>
    <w:div w:id="1555432619">
      <w:bodyDiv w:val="1"/>
      <w:marLeft w:val="0"/>
      <w:marRight w:val="0"/>
      <w:marTop w:val="0"/>
      <w:marBottom w:val="0"/>
      <w:divBdr>
        <w:top w:val="none" w:sz="0" w:space="0" w:color="auto"/>
        <w:left w:val="none" w:sz="0" w:space="0" w:color="auto"/>
        <w:bottom w:val="none" w:sz="0" w:space="0" w:color="auto"/>
        <w:right w:val="none" w:sz="0" w:space="0" w:color="auto"/>
      </w:divBdr>
    </w:div>
    <w:div w:id="1555507293">
      <w:bodyDiv w:val="1"/>
      <w:marLeft w:val="0"/>
      <w:marRight w:val="0"/>
      <w:marTop w:val="0"/>
      <w:marBottom w:val="0"/>
      <w:divBdr>
        <w:top w:val="none" w:sz="0" w:space="0" w:color="auto"/>
        <w:left w:val="none" w:sz="0" w:space="0" w:color="auto"/>
        <w:bottom w:val="none" w:sz="0" w:space="0" w:color="auto"/>
        <w:right w:val="none" w:sz="0" w:space="0" w:color="auto"/>
      </w:divBdr>
    </w:div>
    <w:div w:id="1555700071">
      <w:bodyDiv w:val="1"/>
      <w:marLeft w:val="0"/>
      <w:marRight w:val="0"/>
      <w:marTop w:val="0"/>
      <w:marBottom w:val="0"/>
      <w:divBdr>
        <w:top w:val="none" w:sz="0" w:space="0" w:color="auto"/>
        <w:left w:val="none" w:sz="0" w:space="0" w:color="auto"/>
        <w:bottom w:val="none" w:sz="0" w:space="0" w:color="auto"/>
        <w:right w:val="none" w:sz="0" w:space="0" w:color="auto"/>
      </w:divBdr>
    </w:div>
    <w:div w:id="1555700941">
      <w:bodyDiv w:val="1"/>
      <w:marLeft w:val="0"/>
      <w:marRight w:val="0"/>
      <w:marTop w:val="0"/>
      <w:marBottom w:val="0"/>
      <w:divBdr>
        <w:top w:val="none" w:sz="0" w:space="0" w:color="auto"/>
        <w:left w:val="none" w:sz="0" w:space="0" w:color="auto"/>
        <w:bottom w:val="none" w:sz="0" w:space="0" w:color="auto"/>
        <w:right w:val="none" w:sz="0" w:space="0" w:color="auto"/>
      </w:divBdr>
    </w:div>
    <w:div w:id="1555701944">
      <w:bodyDiv w:val="1"/>
      <w:marLeft w:val="0"/>
      <w:marRight w:val="0"/>
      <w:marTop w:val="0"/>
      <w:marBottom w:val="0"/>
      <w:divBdr>
        <w:top w:val="none" w:sz="0" w:space="0" w:color="auto"/>
        <w:left w:val="none" w:sz="0" w:space="0" w:color="auto"/>
        <w:bottom w:val="none" w:sz="0" w:space="0" w:color="auto"/>
        <w:right w:val="none" w:sz="0" w:space="0" w:color="auto"/>
      </w:divBdr>
    </w:div>
    <w:div w:id="1555703882">
      <w:bodyDiv w:val="1"/>
      <w:marLeft w:val="0"/>
      <w:marRight w:val="0"/>
      <w:marTop w:val="0"/>
      <w:marBottom w:val="0"/>
      <w:divBdr>
        <w:top w:val="none" w:sz="0" w:space="0" w:color="auto"/>
        <w:left w:val="none" w:sz="0" w:space="0" w:color="auto"/>
        <w:bottom w:val="none" w:sz="0" w:space="0" w:color="auto"/>
        <w:right w:val="none" w:sz="0" w:space="0" w:color="auto"/>
      </w:divBdr>
    </w:div>
    <w:div w:id="1555963574">
      <w:bodyDiv w:val="1"/>
      <w:marLeft w:val="0"/>
      <w:marRight w:val="0"/>
      <w:marTop w:val="0"/>
      <w:marBottom w:val="0"/>
      <w:divBdr>
        <w:top w:val="none" w:sz="0" w:space="0" w:color="auto"/>
        <w:left w:val="none" w:sz="0" w:space="0" w:color="auto"/>
        <w:bottom w:val="none" w:sz="0" w:space="0" w:color="auto"/>
        <w:right w:val="none" w:sz="0" w:space="0" w:color="auto"/>
      </w:divBdr>
    </w:div>
    <w:div w:id="1556237360">
      <w:bodyDiv w:val="1"/>
      <w:marLeft w:val="0"/>
      <w:marRight w:val="0"/>
      <w:marTop w:val="0"/>
      <w:marBottom w:val="0"/>
      <w:divBdr>
        <w:top w:val="none" w:sz="0" w:space="0" w:color="auto"/>
        <w:left w:val="none" w:sz="0" w:space="0" w:color="auto"/>
        <w:bottom w:val="none" w:sz="0" w:space="0" w:color="auto"/>
        <w:right w:val="none" w:sz="0" w:space="0" w:color="auto"/>
      </w:divBdr>
    </w:div>
    <w:div w:id="1556239331">
      <w:bodyDiv w:val="1"/>
      <w:marLeft w:val="0"/>
      <w:marRight w:val="0"/>
      <w:marTop w:val="0"/>
      <w:marBottom w:val="0"/>
      <w:divBdr>
        <w:top w:val="none" w:sz="0" w:space="0" w:color="auto"/>
        <w:left w:val="none" w:sz="0" w:space="0" w:color="auto"/>
        <w:bottom w:val="none" w:sz="0" w:space="0" w:color="auto"/>
        <w:right w:val="none" w:sz="0" w:space="0" w:color="auto"/>
      </w:divBdr>
    </w:div>
    <w:div w:id="1556311076">
      <w:bodyDiv w:val="1"/>
      <w:marLeft w:val="0"/>
      <w:marRight w:val="0"/>
      <w:marTop w:val="0"/>
      <w:marBottom w:val="0"/>
      <w:divBdr>
        <w:top w:val="none" w:sz="0" w:space="0" w:color="auto"/>
        <w:left w:val="none" w:sz="0" w:space="0" w:color="auto"/>
        <w:bottom w:val="none" w:sz="0" w:space="0" w:color="auto"/>
        <w:right w:val="none" w:sz="0" w:space="0" w:color="auto"/>
      </w:divBdr>
    </w:div>
    <w:div w:id="1556311089">
      <w:bodyDiv w:val="1"/>
      <w:marLeft w:val="0"/>
      <w:marRight w:val="0"/>
      <w:marTop w:val="0"/>
      <w:marBottom w:val="0"/>
      <w:divBdr>
        <w:top w:val="none" w:sz="0" w:space="0" w:color="auto"/>
        <w:left w:val="none" w:sz="0" w:space="0" w:color="auto"/>
        <w:bottom w:val="none" w:sz="0" w:space="0" w:color="auto"/>
        <w:right w:val="none" w:sz="0" w:space="0" w:color="auto"/>
      </w:divBdr>
    </w:div>
    <w:div w:id="1556426672">
      <w:bodyDiv w:val="1"/>
      <w:marLeft w:val="0"/>
      <w:marRight w:val="0"/>
      <w:marTop w:val="0"/>
      <w:marBottom w:val="0"/>
      <w:divBdr>
        <w:top w:val="none" w:sz="0" w:space="0" w:color="auto"/>
        <w:left w:val="none" w:sz="0" w:space="0" w:color="auto"/>
        <w:bottom w:val="none" w:sz="0" w:space="0" w:color="auto"/>
        <w:right w:val="none" w:sz="0" w:space="0" w:color="auto"/>
      </w:divBdr>
    </w:div>
    <w:div w:id="1556432793">
      <w:bodyDiv w:val="1"/>
      <w:marLeft w:val="0"/>
      <w:marRight w:val="0"/>
      <w:marTop w:val="0"/>
      <w:marBottom w:val="0"/>
      <w:divBdr>
        <w:top w:val="none" w:sz="0" w:space="0" w:color="auto"/>
        <w:left w:val="none" w:sz="0" w:space="0" w:color="auto"/>
        <w:bottom w:val="none" w:sz="0" w:space="0" w:color="auto"/>
        <w:right w:val="none" w:sz="0" w:space="0" w:color="auto"/>
      </w:divBdr>
    </w:div>
    <w:div w:id="1556434323">
      <w:bodyDiv w:val="1"/>
      <w:marLeft w:val="0"/>
      <w:marRight w:val="0"/>
      <w:marTop w:val="0"/>
      <w:marBottom w:val="0"/>
      <w:divBdr>
        <w:top w:val="none" w:sz="0" w:space="0" w:color="auto"/>
        <w:left w:val="none" w:sz="0" w:space="0" w:color="auto"/>
        <w:bottom w:val="none" w:sz="0" w:space="0" w:color="auto"/>
        <w:right w:val="none" w:sz="0" w:space="0" w:color="auto"/>
      </w:divBdr>
    </w:div>
    <w:div w:id="1556506009">
      <w:bodyDiv w:val="1"/>
      <w:marLeft w:val="0"/>
      <w:marRight w:val="0"/>
      <w:marTop w:val="0"/>
      <w:marBottom w:val="0"/>
      <w:divBdr>
        <w:top w:val="none" w:sz="0" w:space="0" w:color="auto"/>
        <w:left w:val="none" w:sz="0" w:space="0" w:color="auto"/>
        <w:bottom w:val="none" w:sz="0" w:space="0" w:color="auto"/>
        <w:right w:val="none" w:sz="0" w:space="0" w:color="auto"/>
      </w:divBdr>
    </w:div>
    <w:div w:id="1556547586">
      <w:bodyDiv w:val="1"/>
      <w:marLeft w:val="0"/>
      <w:marRight w:val="0"/>
      <w:marTop w:val="0"/>
      <w:marBottom w:val="0"/>
      <w:divBdr>
        <w:top w:val="none" w:sz="0" w:space="0" w:color="auto"/>
        <w:left w:val="none" w:sz="0" w:space="0" w:color="auto"/>
        <w:bottom w:val="none" w:sz="0" w:space="0" w:color="auto"/>
        <w:right w:val="none" w:sz="0" w:space="0" w:color="auto"/>
      </w:divBdr>
    </w:div>
    <w:div w:id="1556626875">
      <w:bodyDiv w:val="1"/>
      <w:marLeft w:val="0"/>
      <w:marRight w:val="0"/>
      <w:marTop w:val="0"/>
      <w:marBottom w:val="0"/>
      <w:divBdr>
        <w:top w:val="none" w:sz="0" w:space="0" w:color="auto"/>
        <w:left w:val="none" w:sz="0" w:space="0" w:color="auto"/>
        <w:bottom w:val="none" w:sz="0" w:space="0" w:color="auto"/>
        <w:right w:val="none" w:sz="0" w:space="0" w:color="auto"/>
      </w:divBdr>
    </w:div>
    <w:div w:id="1556698543">
      <w:bodyDiv w:val="1"/>
      <w:marLeft w:val="0"/>
      <w:marRight w:val="0"/>
      <w:marTop w:val="0"/>
      <w:marBottom w:val="0"/>
      <w:divBdr>
        <w:top w:val="none" w:sz="0" w:space="0" w:color="auto"/>
        <w:left w:val="none" w:sz="0" w:space="0" w:color="auto"/>
        <w:bottom w:val="none" w:sz="0" w:space="0" w:color="auto"/>
        <w:right w:val="none" w:sz="0" w:space="0" w:color="auto"/>
      </w:divBdr>
    </w:div>
    <w:div w:id="1556702454">
      <w:bodyDiv w:val="1"/>
      <w:marLeft w:val="0"/>
      <w:marRight w:val="0"/>
      <w:marTop w:val="0"/>
      <w:marBottom w:val="0"/>
      <w:divBdr>
        <w:top w:val="none" w:sz="0" w:space="0" w:color="auto"/>
        <w:left w:val="none" w:sz="0" w:space="0" w:color="auto"/>
        <w:bottom w:val="none" w:sz="0" w:space="0" w:color="auto"/>
        <w:right w:val="none" w:sz="0" w:space="0" w:color="auto"/>
      </w:divBdr>
    </w:div>
    <w:div w:id="1556743149">
      <w:bodyDiv w:val="1"/>
      <w:marLeft w:val="0"/>
      <w:marRight w:val="0"/>
      <w:marTop w:val="0"/>
      <w:marBottom w:val="0"/>
      <w:divBdr>
        <w:top w:val="none" w:sz="0" w:space="0" w:color="auto"/>
        <w:left w:val="none" w:sz="0" w:space="0" w:color="auto"/>
        <w:bottom w:val="none" w:sz="0" w:space="0" w:color="auto"/>
        <w:right w:val="none" w:sz="0" w:space="0" w:color="auto"/>
      </w:divBdr>
    </w:div>
    <w:div w:id="1556814642">
      <w:bodyDiv w:val="1"/>
      <w:marLeft w:val="0"/>
      <w:marRight w:val="0"/>
      <w:marTop w:val="0"/>
      <w:marBottom w:val="0"/>
      <w:divBdr>
        <w:top w:val="none" w:sz="0" w:space="0" w:color="auto"/>
        <w:left w:val="none" w:sz="0" w:space="0" w:color="auto"/>
        <w:bottom w:val="none" w:sz="0" w:space="0" w:color="auto"/>
        <w:right w:val="none" w:sz="0" w:space="0" w:color="auto"/>
      </w:divBdr>
    </w:div>
    <w:div w:id="1556815438">
      <w:bodyDiv w:val="1"/>
      <w:marLeft w:val="0"/>
      <w:marRight w:val="0"/>
      <w:marTop w:val="0"/>
      <w:marBottom w:val="0"/>
      <w:divBdr>
        <w:top w:val="none" w:sz="0" w:space="0" w:color="auto"/>
        <w:left w:val="none" w:sz="0" w:space="0" w:color="auto"/>
        <w:bottom w:val="none" w:sz="0" w:space="0" w:color="auto"/>
        <w:right w:val="none" w:sz="0" w:space="0" w:color="auto"/>
      </w:divBdr>
    </w:div>
    <w:div w:id="1556818515">
      <w:bodyDiv w:val="1"/>
      <w:marLeft w:val="0"/>
      <w:marRight w:val="0"/>
      <w:marTop w:val="0"/>
      <w:marBottom w:val="0"/>
      <w:divBdr>
        <w:top w:val="none" w:sz="0" w:space="0" w:color="auto"/>
        <w:left w:val="none" w:sz="0" w:space="0" w:color="auto"/>
        <w:bottom w:val="none" w:sz="0" w:space="0" w:color="auto"/>
        <w:right w:val="none" w:sz="0" w:space="0" w:color="auto"/>
      </w:divBdr>
    </w:div>
    <w:div w:id="1556819074">
      <w:bodyDiv w:val="1"/>
      <w:marLeft w:val="0"/>
      <w:marRight w:val="0"/>
      <w:marTop w:val="0"/>
      <w:marBottom w:val="0"/>
      <w:divBdr>
        <w:top w:val="none" w:sz="0" w:space="0" w:color="auto"/>
        <w:left w:val="none" w:sz="0" w:space="0" w:color="auto"/>
        <w:bottom w:val="none" w:sz="0" w:space="0" w:color="auto"/>
        <w:right w:val="none" w:sz="0" w:space="0" w:color="auto"/>
      </w:divBdr>
    </w:div>
    <w:div w:id="1556889633">
      <w:bodyDiv w:val="1"/>
      <w:marLeft w:val="0"/>
      <w:marRight w:val="0"/>
      <w:marTop w:val="0"/>
      <w:marBottom w:val="0"/>
      <w:divBdr>
        <w:top w:val="none" w:sz="0" w:space="0" w:color="auto"/>
        <w:left w:val="none" w:sz="0" w:space="0" w:color="auto"/>
        <w:bottom w:val="none" w:sz="0" w:space="0" w:color="auto"/>
        <w:right w:val="none" w:sz="0" w:space="0" w:color="auto"/>
      </w:divBdr>
    </w:div>
    <w:div w:id="1556894006">
      <w:bodyDiv w:val="1"/>
      <w:marLeft w:val="0"/>
      <w:marRight w:val="0"/>
      <w:marTop w:val="0"/>
      <w:marBottom w:val="0"/>
      <w:divBdr>
        <w:top w:val="none" w:sz="0" w:space="0" w:color="auto"/>
        <w:left w:val="none" w:sz="0" w:space="0" w:color="auto"/>
        <w:bottom w:val="none" w:sz="0" w:space="0" w:color="auto"/>
        <w:right w:val="none" w:sz="0" w:space="0" w:color="auto"/>
      </w:divBdr>
    </w:div>
    <w:div w:id="1557008668">
      <w:bodyDiv w:val="1"/>
      <w:marLeft w:val="0"/>
      <w:marRight w:val="0"/>
      <w:marTop w:val="0"/>
      <w:marBottom w:val="0"/>
      <w:divBdr>
        <w:top w:val="none" w:sz="0" w:space="0" w:color="auto"/>
        <w:left w:val="none" w:sz="0" w:space="0" w:color="auto"/>
        <w:bottom w:val="none" w:sz="0" w:space="0" w:color="auto"/>
        <w:right w:val="none" w:sz="0" w:space="0" w:color="auto"/>
      </w:divBdr>
    </w:div>
    <w:div w:id="1557082541">
      <w:bodyDiv w:val="1"/>
      <w:marLeft w:val="0"/>
      <w:marRight w:val="0"/>
      <w:marTop w:val="0"/>
      <w:marBottom w:val="0"/>
      <w:divBdr>
        <w:top w:val="none" w:sz="0" w:space="0" w:color="auto"/>
        <w:left w:val="none" w:sz="0" w:space="0" w:color="auto"/>
        <w:bottom w:val="none" w:sz="0" w:space="0" w:color="auto"/>
        <w:right w:val="none" w:sz="0" w:space="0" w:color="auto"/>
      </w:divBdr>
    </w:div>
    <w:div w:id="1557088172">
      <w:bodyDiv w:val="1"/>
      <w:marLeft w:val="0"/>
      <w:marRight w:val="0"/>
      <w:marTop w:val="0"/>
      <w:marBottom w:val="0"/>
      <w:divBdr>
        <w:top w:val="none" w:sz="0" w:space="0" w:color="auto"/>
        <w:left w:val="none" w:sz="0" w:space="0" w:color="auto"/>
        <w:bottom w:val="none" w:sz="0" w:space="0" w:color="auto"/>
        <w:right w:val="none" w:sz="0" w:space="0" w:color="auto"/>
      </w:divBdr>
    </w:div>
    <w:div w:id="1557231641">
      <w:bodyDiv w:val="1"/>
      <w:marLeft w:val="0"/>
      <w:marRight w:val="0"/>
      <w:marTop w:val="0"/>
      <w:marBottom w:val="0"/>
      <w:divBdr>
        <w:top w:val="none" w:sz="0" w:space="0" w:color="auto"/>
        <w:left w:val="none" w:sz="0" w:space="0" w:color="auto"/>
        <w:bottom w:val="none" w:sz="0" w:space="0" w:color="auto"/>
        <w:right w:val="none" w:sz="0" w:space="0" w:color="auto"/>
      </w:divBdr>
    </w:div>
    <w:div w:id="1557273535">
      <w:bodyDiv w:val="1"/>
      <w:marLeft w:val="0"/>
      <w:marRight w:val="0"/>
      <w:marTop w:val="0"/>
      <w:marBottom w:val="0"/>
      <w:divBdr>
        <w:top w:val="none" w:sz="0" w:space="0" w:color="auto"/>
        <w:left w:val="none" w:sz="0" w:space="0" w:color="auto"/>
        <w:bottom w:val="none" w:sz="0" w:space="0" w:color="auto"/>
        <w:right w:val="none" w:sz="0" w:space="0" w:color="auto"/>
      </w:divBdr>
    </w:div>
    <w:div w:id="1557275632">
      <w:bodyDiv w:val="1"/>
      <w:marLeft w:val="0"/>
      <w:marRight w:val="0"/>
      <w:marTop w:val="0"/>
      <w:marBottom w:val="0"/>
      <w:divBdr>
        <w:top w:val="none" w:sz="0" w:space="0" w:color="auto"/>
        <w:left w:val="none" w:sz="0" w:space="0" w:color="auto"/>
        <w:bottom w:val="none" w:sz="0" w:space="0" w:color="auto"/>
        <w:right w:val="none" w:sz="0" w:space="0" w:color="auto"/>
      </w:divBdr>
    </w:div>
    <w:div w:id="1557277062">
      <w:bodyDiv w:val="1"/>
      <w:marLeft w:val="0"/>
      <w:marRight w:val="0"/>
      <w:marTop w:val="0"/>
      <w:marBottom w:val="0"/>
      <w:divBdr>
        <w:top w:val="none" w:sz="0" w:space="0" w:color="auto"/>
        <w:left w:val="none" w:sz="0" w:space="0" w:color="auto"/>
        <w:bottom w:val="none" w:sz="0" w:space="0" w:color="auto"/>
        <w:right w:val="none" w:sz="0" w:space="0" w:color="auto"/>
      </w:divBdr>
    </w:div>
    <w:div w:id="1557282644">
      <w:bodyDiv w:val="1"/>
      <w:marLeft w:val="0"/>
      <w:marRight w:val="0"/>
      <w:marTop w:val="0"/>
      <w:marBottom w:val="0"/>
      <w:divBdr>
        <w:top w:val="none" w:sz="0" w:space="0" w:color="auto"/>
        <w:left w:val="none" w:sz="0" w:space="0" w:color="auto"/>
        <w:bottom w:val="none" w:sz="0" w:space="0" w:color="auto"/>
        <w:right w:val="none" w:sz="0" w:space="0" w:color="auto"/>
      </w:divBdr>
    </w:div>
    <w:div w:id="1557356760">
      <w:bodyDiv w:val="1"/>
      <w:marLeft w:val="0"/>
      <w:marRight w:val="0"/>
      <w:marTop w:val="0"/>
      <w:marBottom w:val="0"/>
      <w:divBdr>
        <w:top w:val="none" w:sz="0" w:space="0" w:color="auto"/>
        <w:left w:val="none" w:sz="0" w:space="0" w:color="auto"/>
        <w:bottom w:val="none" w:sz="0" w:space="0" w:color="auto"/>
        <w:right w:val="none" w:sz="0" w:space="0" w:color="auto"/>
      </w:divBdr>
    </w:div>
    <w:div w:id="1557472230">
      <w:bodyDiv w:val="1"/>
      <w:marLeft w:val="0"/>
      <w:marRight w:val="0"/>
      <w:marTop w:val="0"/>
      <w:marBottom w:val="0"/>
      <w:divBdr>
        <w:top w:val="none" w:sz="0" w:space="0" w:color="auto"/>
        <w:left w:val="none" w:sz="0" w:space="0" w:color="auto"/>
        <w:bottom w:val="none" w:sz="0" w:space="0" w:color="auto"/>
        <w:right w:val="none" w:sz="0" w:space="0" w:color="auto"/>
      </w:divBdr>
    </w:div>
    <w:div w:id="1557474962">
      <w:bodyDiv w:val="1"/>
      <w:marLeft w:val="0"/>
      <w:marRight w:val="0"/>
      <w:marTop w:val="0"/>
      <w:marBottom w:val="0"/>
      <w:divBdr>
        <w:top w:val="none" w:sz="0" w:space="0" w:color="auto"/>
        <w:left w:val="none" w:sz="0" w:space="0" w:color="auto"/>
        <w:bottom w:val="none" w:sz="0" w:space="0" w:color="auto"/>
        <w:right w:val="none" w:sz="0" w:space="0" w:color="auto"/>
      </w:divBdr>
    </w:div>
    <w:div w:id="1557626096">
      <w:bodyDiv w:val="1"/>
      <w:marLeft w:val="0"/>
      <w:marRight w:val="0"/>
      <w:marTop w:val="0"/>
      <w:marBottom w:val="0"/>
      <w:divBdr>
        <w:top w:val="none" w:sz="0" w:space="0" w:color="auto"/>
        <w:left w:val="none" w:sz="0" w:space="0" w:color="auto"/>
        <w:bottom w:val="none" w:sz="0" w:space="0" w:color="auto"/>
        <w:right w:val="none" w:sz="0" w:space="0" w:color="auto"/>
      </w:divBdr>
    </w:div>
    <w:div w:id="1557738769">
      <w:bodyDiv w:val="1"/>
      <w:marLeft w:val="0"/>
      <w:marRight w:val="0"/>
      <w:marTop w:val="0"/>
      <w:marBottom w:val="0"/>
      <w:divBdr>
        <w:top w:val="none" w:sz="0" w:space="0" w:color="auto"/>
        <w:left w:val="none" w:sz="0" w:space="0" w:color="auto"/>
        <w:bottom w:val="none" w:sz="0" w:space="0" w:color="auto"/>
        <w:right w:val="none" w:sz="0" w:space="0" w:color="auto"/>
      </w:divBdr>
    </w:div>
    <w:div w:id="1557744174">
      <w:bodyDiv w:val="1"/>
      <w:marLeft w:val="0"/>
      <w:marRight w:val="0"/>
      <w:marTop w:val="0"/>
      <w:marBottom w:val="0"/>
      <w:divBdr>
        <w:top w:val="none" w:sz="0" w:space="0" w:color="auto"/>
        <w:left w:val="none" w:sz="0" w:space="0" w:color="auto"/>
        <w:bottom w:val="none" w:sz="0" w:space="0" w:color="auto"/>
        <w:right w:val="none" w:sz="0" w:space="0" w:color="auto"/>
      </w:divBdr>
    </w:div>
    <w:div w:id="1557813254">
      <w:bodyDiv w:val="1"/>
      <w:marLeft w:val="0"/>
      <w:marRight w:val="0"/>
      <w:marTop w:val="0"/>
      <w:marBottom w:val="0"/>
      <w:divBdr>
        <w:top w:val="none" w:sz="0" w:space="0" w:color="auto"/>
        <w:left w:val="none" w:sz="0" w:space="0" w:color="auto"/>
        <w:bottom w:val="none" w:sz="0" w:space="0" w:color="auto"/>
        <w:right w:val="none" w:sz="0" w:space="0" w:color="auto"/>
      </w:divBdr>
    </w:div>
    <w:div w:id="1557858327">
      <w:bodyDiv w:val="1"/>
      <w:marLeft w:val="0"/>
      <w:marRight w:val="0"/>
      <w:marTop w:val="0"/>
      <w:marBottom w:val="0"/>
      <w:divBdr>
        <w:top w:val="none" w:sz="0" w:space="0" w:color="auto"/>
        <w:left w:val="none" w:sz="0" w:space="0" w:color="auto"/>
        <w:bottom w:val="none" w:sz="0" w:space="0" w:color="auto"/>
        <w:right w:val="none" w:sz="0" w:space="0" w:color="auto"/>
      </w:divBdr>
    </w:div>
    <w:div w:id="1557929029">
      <w:bodyDiv w:val="1"/>
      <w:marLeft w:val="0"/>
      <w:marRight w:val="0"/>
      <w:marTop w:val="0"/>
      <w:marBottom w:val="0"/>
      <w:divBdr>
        <w:top w:val="none" w:sz="0" w:space="0" w:color="auto"/>
        <w:left w:val="none" w:sz="0" w:space="0" w:color="auto"/>
        <w:bottom w:val="none" w:sz="0" w:space="0" w:color="auto"/>
        <w:right w:val="none" w:sz="0" w:space="0" w:color="auto"/>
      </w:divBdr>
    </w:div>
    <w:div w:id="1558010488">
      <w:bodyDiv w:val="1"/>
      <w:marLeft w:val="0"/>
      <w:marRight w:val="0"/>
      <w:marTop w:val="0"/>
      <w:marBottom w:val="0"/>
      <w:divBdr>
        <w:top w:val="none" w:sz="0" w:space="0" w:color="auto"/>
        <w:left w:val="none" w:sz="0" w:space="0" w:color="auto"/>
        <w:bottom w:val="none" w:sz="0" w:space="0" w:color="auto"/>
        <w:right w:val="none" w:sz="0" w:space="0" w:color="auto"/>
      </w:divBdr>
    </w:div>
    <w:div w:id="1558013428">
      <w:bodyDiv w:val="1"/>
      <w:marLeft w:val="0"/>
      <w:marRight w:val="0"/>
      <w:marTop w:val="0"/>
      <w:marBottom w:val="0"/>
      <w:divBdr>
        <w:top w:val="none" w:sz="0" w:space="0" w:color="auto"/>
        <w:left w:val="none" w:sz="0" w:space="0" w:color="auto"/>
        <w:bottom w:val="none" w:sz="0" w:space="0" w:color="auto"/>
        <w:right w:val="none" w:sz="0" w:space="0" w:color="auto"/>
      </w:divBdr>
    </w:div>
    <w:div w:id="1558080212">
      <w:bodyDiv w:val="1"/>
      <w:marLeft w:val="0"/>
      <w:marRight w:val="0"/>
      <w:marTop w:val="0"/>
      <w:marBottom w:val="0"/>
      <w:divBdr>
        <w:top w:val="none" w:sz="0" w:space="0" w:color="auto"/>
        <w:left w:val="none" w:sz="0" w:space="0" w:color="auto"/>
        <w:bottom w:val="none" w:sz="0" w:space="0" w:color="auto"/>
        <w:right w:val="none" w:sz="0" w:space="0" w:color="auto"/>
      </w:divBdr>
    </w:div>
    <w:div w:id="1558123619">
      <w:bodyDiv w:val="1"/>
      <w:marLeft w:val="0"/>
      <w:marRight w:val="0"/>
      <w:marTop w:val="0"/>
      <w:marBottom w:val="0"/>
      <w:divBdr>
        <w:top w:val="none" w:sz="0" w:space="0" w:color="auto"/>
        <w:left w:val="none" w:sz="0" w:space="0" w:color="auto"/>
        <w:bottom w:val="none" w:sz="0" w:space="0" w:color="auto"/>
        <w:right w:val="none" w:sz="0" w:space="0" w:color="auto"/>
      </w:divBdr>
    </w:div>
    <w:div w:id="1558127710">
      <w:bodyDiv w:val="1"/>
      <w:marLeft w:val="0"/>
      <w:marRight w:val="0"/>
      <w:marTop w:val="0"/>
      <w:marBottom w:val="0"/>
      <w:divBdr>
        <w:top w:val="none" w:sz="0" w:space="0" w:color="auto"/>
        <w:left w:val="none" w:sz="0" w:space="0" w:color="auto"/>
        <w:bottom w:val="none" w:sz="0" w:space="0" w:color="auto"/>
        <w:right w:val="none" w:sz="0" w:space="0" w:color="auto"/>
      </w:divBdr>
    </w:div>
    <w:div w:id="1558198715">
      <w:bodyDiv w:val="1"/>
      <w:marLeft w:val="0"/>
      <w:marRight w:val="0"/>
      <w:marTop w:val="0"/>
      <w:marBottom w:val="0"/>
      <w:divBdr>
        <w:top w:val="none" w:sz="0" w:space="0" w:color="auto"/>
        <w:left w:val="none" w:sz="0" w:space="0" w:color="auto"/>
        <w:bottom w:val="none" w:sz="0" w:space="0" w:color="auto"/>
        <w:right w:val="none" w:sz="0" w:space="0" w:color="auto"/>
      </w:divBdr>
    </w:div>
    <w:div w:id="1558200422">
      <w:bodyDiv w:val="1"/>
      <w:marLeft w:val="0"/>
      <w:marRight w:val="0"/>
      <w:marTop w:val="0"/>
      <w:marBottom w:val="0"/>
      <w:divBdr>
        <w:top w:val="none" w:sz="0" w:space="0" w:color="auto"/>
        <w:left w:val="none" w:sz="0" w:space="0" w:color="auto"/>
        <w:bottom w:val="none" w:sz="0" w:space="0" w:color="auto"/>
        <w:right w:val="none" w:sz="0" w:space="0" w:color="auto"/>
      </w:divBdr>
    </w:div>
    <w:div w:id="1558272728">
      <w:bodyDiv w:val="1"/>
      <w:marLeft w:val="0"/>
      <w:marRight w:val="0"/>
      <w:marTop w:val="0"/>
      <w:marBottom w:val="0"/>
      <w:divBdr>
        <w:top w:val="none" w:sz="0" w:space="0" w:color="auto"/>
        <w:left w:val="none" w:sz="0" w:space="0" w:color="auto"/>
        <w:bottom w:val="none" w:sz="0" w:space="0" w:color="auto"/>
        <w:right w:val="none" w:sz="0" w:space="0" w:color="auto"/>
      </w:divBdr>
    </w:div>
    <w:div w:id="1558274128">
      <w:bodyDiv w:val="1"/>
      <w:marLeft w:val="0"/>
      <w:marRight w:val="0"/>
      <w:marTop w:val="0"/>
      <w:marBottom w:val="0"/>
      <w:divBdr>
        <w:top w:val="none" w:sz="0" w:space="0" w:color="auto"/>
        <w:left w:val="none" w:sz="0" w:space="0" w:color="auto"/>
        <w:bottom w:val="none" w:sz="0" w:space="0" w:color="auto"/>
        <w:right w:val="none" w:sz="0" w:space="0" w:color="auto"/>
      </w:divBdr>
    </w:div>
    <w:div w:id="1558275967">
      <w:bodyDiv w:val="1"/>
      <w:marLeft w:val="0"/>
      <w:marRight w:val="0"/>
      <w:marTop w:val="0"/>
      <w:marBottom w:val="0"/>
      <w:divBdr>
        <w:top w:val="none" w:sz="0" w:space="0" w:color="auto"/>
        <w:left w:val="none" w:sz="0" w:space="0" w:color="auto"/>
        <w:bottom w:val="none" w:sz="0" w:space="0" w:color="auto"/>
        <w:right w:val="none" w:sz="0" w:space="0" w:color="auto"/>
      </w:divBdr>
    </w:div>
    <w:div w:id="1558281917">
      <w:bodyDiv w:val="1"/>
      <w:marLeft w:val="0"/>
      <w:marRight w:val="0"/>
      <w:marTop w:val="0"/>
      <w:marBottom w:val="0"/>
      <w:divBdr>
        <w:top w:val="none" w:sz="0" w:space="0" w:color="auto"/>
        <w:left w:val="none" w:sz="0" w:space="0" w:color="auto"/>
        <w:bottom w:val="none" w:sz="0" w:space="0" w:color="auto"/>
        <w:right w:val="none" w:sz="0" w:space="0" w:color="auto"/>
      </w:divBdr>
    </w:div>
    <w:div w:id="1558392319">
      <w:bodyDiv w:val="1"/>
      <w:marLeft w:val="0"/>
      <w:marRight w:val="0"/>
      <w:marTop w:val="0"/>
      <w:marBottom w:val="0"/>
      <w:divBdr>
        <w:top w:val="none" w:sz="0" w:space="0" w:color="auto"/>
        <w:left w:val="none" w:sz="0" w:space="0" w:color="auto"/>
        <w:bottom w:val="none" w:sz="0" w:space="0" w:color="auto"/>
        <w:right w:val="none" w:sz="0" w:space="0" w:color="auto"/>
      </w:divBdr>
    </w:div>
    <w:div w:id="1558392891">
      <w:bodyDiv w:val="1"/>
      <w:marLeft w:val="0"/>
      <w:marRight w:val="0"/>
      <w:marTop w:val="0"/>
      <w:marBottom w:val="0"/>
      <w:divBdr>
        <w:top w:val="none" w:sz="0" w:space="0" w:color="auto"/>
        <w:left w:val="none" w:sz="0" w:space="0" w:color="auto"/>
        <w:bottom w:val="none" w:sz="0" w:space="0" w:color="auto"/>
        <w:right w:val="none" w:sz="0" w:space="0" w:color="auto"/>
      </w:divBdr>
    </w:div>
    <w:div w:id="1558397565">
      <w:bodyDiv w:val="1"/>
      <w:marLeft w:val="0"/>
      <w:marRight w:val="0"/>
      <w:marTop w:val="0"/>
      <w:marBottom w:val="0"/>
      <w:divBdr>
        <w:top w:val="none" w:sz="0" w:space="0" w:color="auto"/>
        <w:left w:val="none" w:sz="0" w:space="0" w:color="auto"/>
        <w:bottom w:val="none" w:sz="0" w:space="0" w:color="auto"/>
        <w:right w:val="none" w:sz="0" w:space="0" w:color="auto"/>
      </w:divBdr>
    </w:div>
    <w:div w:id="1558468572">
      <w:bodyDiv w:val="1"/>
      <w:marLeft w:val="0"/>
      <w:marRight w:val="0"/>
      <w:marTop w:val="0"/>
      <w:marBottom w:val="0"/>
      <w:divBdr>
        <w:top w:val="none" w:sz="0" w:space="0" w:color="auto"/>
        <w:left w:val="none" w:sz="0" w:space="0" w:color="auto"/>
        <w:bottom w:val="none" w:sz="0" w:space="0" w:color="auto"/>
        <w:right w:val="none" w:sz="0" w:space="0" w:color="auto"/>
      </w:divBdr>
    </w:div>
    <w:div w:id="1558587815">
      <w:bodyDiv w:val="1"/>
      <w:marLeft w:val="0"/>
      <w:marRight w:val="0"/>
      <w:marTop w:val="0"/>
      <w:marBottom w:val="0"/>
      <w:divBdr>
        <w:top w:val="none" w:sz="0" w:space="0" w:color="auto"/>
        <w:left w:val="none" w:sz="0" w:space="0" w:color="auto"/>
        <w:bottom w:val="none" w:sz="0" w:space="0" w:color="auto"/>
        <w:right w:val="none" w:sz="0" w:space="0" w:color="auto"/>
      </w:divBdr>
    </w:div>
    <w:div w:id="1558591307">
      <w:bodyDiv w:val="1"/>
      <w:marLeft w:val="0"/>
      <w:marRight w:val="0"/>
      <w:marTop w:val="0"/>
      <w:marBottom w:val="0"/>
      <w:divBdr>
        <w:top w:val="none" w:sz="0" w:space="0" w:color="auto"/>
        <w:left w:val="none" w:sz="0" w:space="0" w:color="auto"/>
        <w:bottom w:val="none" w:sz="0" w:space="0" w:color="auto"/>
        <w:right w:val="none" w:sz="0" w:space="0" w:color="auto"/>
      </w:divBdr>
    </w:div>
    <w:div w:id="1558710820">
      <w:bodyDiv w:val="1"/>
      <w:marLeft w:val="0"/>
      <w:marRight w:val="0"/>
      <w:marTop w:val="0"/>
      <w:marBottom w:val="0"/>
      <w:divBdr>
        <w:top w:val="none" w:sz="0" w:space="0" w:color="auto"/>
        <w:left w:val="none" w:sz="0" w:space="0" w:color="auto"/>
        <w:bottom w:val="none" w:sz="0" w:space="0" w:color="auto"/>
        <w:right w:val="none" w:sz="0" w:space="0" w:color="auto"/>
      </w:divBdr>
    </w:div>
    <w:div w:id="1558937067">
      <w:bodyDiv w:val="1"/>
      <w:marLeft w:val="0"/>
      <w:marRight w:val="0"/>
      <w:marTop w:val="0"/>
      <w:marBottom w:val="0"/>
      <w:divBdr>
        <w:top w:val="none" w:sz="0" w:space="0" w:color="auto"/>
        <w:left w:val="none" w:sz="0" w:space="0" w:color="auto"/>
        <w:bottom w:val="none" w:sz="0" w:space="0" w:color="auto"/>
        <w:right w:val="none" w:sz="0" w:space="0" w:color="auto"/>
      </w:divBdr>
    </w:div>
    <w:div w:id="1558937530">
      <w:bodyDiv w:val="1"/>
      <w:marLeft w:val="0"/>
      <w:marRight w:val="0"/>
      <w:marTop w:val="0"/>
      <w:marBottom w:val="0"/>
      <w:divBdr>
        <w:top w:val="none" w:sz="0" w:space="0" w:color="auto"/>
        <w:left w:val="none" w:sz="0" w:space="0" w:color="auto"/>
        <w:bottom w:val="none" w:sz="0" w:space="0" w:color="auto"/>
        <w:right w:val="none" w:sz="0" w:space="0" w:color="auto"/>
      </w:divBdr>
    </w:div>
    <w:div w:id="1558979347">
      <w:bodyDiv w:val="1"/>
      <w:marLeft w:val="0"/>
      <w:marRight w:val="0"/>
      <w:marTop w:val="0"/>
      <w:marBottom w:val="0"/>
      <w:divBdr>
        <w:top w:val="none" w:sz="0" w:space="0" w:color="auto"/>
        <w:left w:val="none" w:sz="0" w:space="0" w:color="auto"/>
        <w:bottom w:val="none" w:sz="0" w:space="0" w:color="auto"/>
        <w:right w:val="none" w:sz="0" w:space="0" w:color="auto"/>
      </w:divBdr>
    </w:div>
    <w:div w:id="1559170473">
      <w:bodyDiv w:val="1"/>
      <w:marLeft w:val="0"/>
      <w:marRight w:val="0"/>
      <w:marTop w:val="0"/>
      <w:marBottom w:val="0"/>
      <w:divBdr>
        <w:top w:val="none" w:sz="0" w:space="0" w:color="auto"/>
        <w:left w:val="none" w:sz="0" w:space="0" w:color="auto"/>
        <w:bottom w:val="none" w:sz="0" w:space="0" w:color="auto"/>
        <w:right w:val="none" w:sz="0" w:space="0" w:color="auto"/>
      </w:divBdr>
    </w:div>
    <w:div w:id="1559316050">
      <w:bodyDiv w:val="1"/>
      <w:marLeft w:val="0"/>
      <w:marRight w:val="0"/>
      <w:marTop w:val="0"/>
      <w:marBottom w:val="0"/>
      <w:divBdr>
        <w:top w:val="none" w:sz="0" w:space="0" w:color="auto"/>
        <w:left w:val="none" w:sz="0" w:space="0" w:color="auto"/>
        <w:bottom w:val="none" w:sz="0" w:space="0" w:color="auto"/>
        <w:right w:val="none" w:sz="0" w:space="0" w:color="auto"/>
      </w:divBdr>
    </w:div>
    <w:div w:id="1559391798">
      <w:bodyDiv w:val="1"/>
      <w:marLeft w:val="0"/>
      <w:marRight w:val="0"/>
      <w:marTop w:val="0"/>
      <w:marBottom w:val="0"/>
      <w:divBdr>
        <w:top w:val="none" w:sz="0" w:space="0" w:color="auto"/>
        <w:left w:val="none" w:sz="0" w:space="0" w:color="auto"/>
        <w:bottom w:val="none" w:sz="0" w:space="0" w:color="auto"/>
        <w:right w:val="none" w:sz="0" w:space="0" w:color="auto"/>
      </w:divBdr>
    </w:div>
    <w:div w:id="1559585669">
      <w:bodyDiv w:val="1"/>
      <w:marLeft w:val="0"/>
      <w:marRight w:val="0"/>
      <w:marTop w:val="0"/>
      <w:marBottom w:val="0"/>
      <w:divBdr>
        <w:top w:val="none" w:sz="0" w:space="0" w:color="auto"/>
        <w:left w:val="none" w:sz="0" w:space="0" w:color="auto"/>
        <w:bottom w:val="none" w:sz="0" w:space="0" w:color="auto"/>
        <w:right w:val="none" w:sz="0" w:space="0" w:color="auto"/>
      </w:divBdr>
    </w:div>
    <w:div w:id="1559589008">
      <w:bodyDiv w:val="1"/>
      <w:marLeft w:val="0"/>
      <w:marRight w:val="0"/>
      <w:marTop w:val="0"/>
      <w:marBottom w:val="0"/>
      <w:divBdr>
        <w:top w:val="none" w:sz="0" w:space="0" w:color="auto"/>
        <w:left w:val="none" w:sz="0" w:space="0" w:color="auto"/>
        <w:bottom w:val="none" w:sz="0" w:space="0" w:color="auto"/>
        <w:right w:val="none" w:sz="0" w:space="0" w:color="auto"/>
      </w:divBdr>
    </w:div>
    <w:div w:id="1559825584">
      <w:bodyDiv w:val="1"/>
      <w:marLeft w:val="0"/>
      <w:marRight w:val="0"/>
      <w:marTop w:val="0"/>
      <w:marBottom w:val="0"/>
      <w:divBdr>
        <w:top w:val="none" w:sz="0" w:space="0" w:color="auto"/>
        <w:left w:val="none" w:sz="0" w:space="0" w:color="auto"/>
        <w:bottom w:val="none" w:sz="0" w:space="0" w:color="auto"/>
        <w:right w:val="none" w:sz="0" w:space="0" w:color="auto"/>
      </w:divBdr>
    </w:div>
    <w:div w:id="1559897902">
      <w:bodyDiv w:val="1"/>
      <w:marLeft w:val="0"/>
      <w:marRight w:val="0"/>
      <w:marTop w:val="0"/>
      <w:marBottom w:val="0"/>
      <w:divBdr>
        <w:top w:val="none" w:sz="0" w:space="0" w:color="auto"/>
        <w:left w:val="none" w:sz="0" w:space="0" w:color="auto"/>
        <w:bottom w:val="none" w:sz="0" w:space="0" w:color="auto"/>
        <w:right w:val="none" w:sz="0" w:space="0" w:color="auto"/>
      </w:divBdr>
    </w:div>
    <w:div w:id="1560050453">
      <w:bodyDiv w:val="1"/>
      <w:marLeft w:val="0"/>
      <w:marRight w:val="0"/>
      <w:marTop w:val="0"/>
      <w:marBottom w:val="0"/>
      <w:divBdr>
        <w:top w:val="none" w:sz="0" w:space="0" w:color="auto"/>
        <w:left w:val="none" w:sz="0" w:space="0" w:color="auto"/>
        <w:bottom w:val="none" w:sz="0" w:space="0" w:color="auto"/>
        <w:right w:val="none" w:sz="0" w:space="0" w:color="auto"/>
      </w:divBdr>
    </w:div>
    <w:div w:id="1560095210">
      <w:bodyDiv w:val="1"/>
      <w:marLeft w:val="0"/>
      <w:marRight w:val="0"/>
      <w:marTop w:val="0"/>
      <w:marBottom w:val="0"/>
      <w:divBdr>
        <w:top w:val="none" w:sz="0" w:space="0" w:color="auto"/>
        <w:left w:val="none" w:sz="0" w:space="0" w:color="auto"/>
        <w:bottom w:val="none" w:sz="0" w:space="0" w:color="auto"/>
        <w:right w:val="none" w:sz="0" w:space="0" w:color="auto"/>
      </w:divBdr>
    </w:div>
    <w:div w:id="1560166338">
      <w:bodyDiv w:val="1"/>
      <w:marLeft w:val="0"/>
      <w:marRight w:val="0"/>
      <w:marTop w:val="0"/>
      <w:marBottom w:val="0"/>
      <w:divBdr>
        <w:top w:val="none" w:sz="0" w:space="0" w:color="auto"/>
        <w:left w:val="none" w:sz="0" w:space="0" w:color="auto"/>
        <w:bottom w:val="none" w:sz="0" w:space="0" w:color="auto"/>
        <w:right w:val="none" w:sz="0" w:space="0" w:color="auto"/>
      </w:divBdr>
    </w:div>
    <w:div w:id="1560243200">
      <w:bodyDiv w:val="1"/>
      <w:marLeft w:val="0"/>
      <w:marRight w:val="0"/>
      <w:marTop w:val="0"/>
      <w:marBottom w:val="0"/>
      <w:divBdr>
        <w:top w:val="none" w:sz="0" w:space="0" w:color="auto"/>
        <w:left w:val="none" w:sz="0" w:space="0" w:color="auto"/>
        <w:bottom w:val="none" w:sz="0" w:space="0" w:color="auto"/>
        <w:right w:val="none" w:sz="0" w:space="0" w:color="auto"/>
      </w:divBdr>
    </w:div>
    <w:div w:id="1560288488">
      <w:bodyDiv w:val="1"/>
      <w:marLeft w:val="0"/>
      <w:marRight w:val="0"/>
      <w:marTop w:val="0"/>
      <w:marBottom w:val="0"/>
      <w:divBdr>
        <w:top w:val="none" w:sz="0" w:space="0" w:color="auto"/>
        <w:left w:val="none" w:sz="0" w:space="0" w:color="auto"/>
        <w:bottom w:val="none" w:sz="0" w:space="0" w:color="auto"/>
        <w:right w:val="none" w:sz="0" w:space="0" w:color="auto"/>
      </w:divBdr>
    </w:div>
    <w:div w:id="1560360259">
      <w:bodyDiv w:val="1"/>
      <w:marLeft w:val="0"/>
      <w:marRight w:val="0"/>
      <w:marTop w:val="0"/>
      <w:marBottom w:val="0"/>
      <w:divBdr>
        <w:top w:val="none" w:sz="0" w:space="0" w:color="auto"/>
        <w:left w:val="none" w:sz="0" w:space="0" w:color="auto"/>
        <w:bottom w:val="none" w:sz="0" w:space="0" w:color="auto"/>
        <w:right w:val="none" w:sz="0" w:space="0" w:color="auto"/>
      </w:divBdr>
    </w:div>
    <w:div w:id="1560364669">
      <w:bodyDiv w:val="1"/>
      <w:marLeft w:val="0"/>
      <w:marRight w:val="0"/>
      <w:marTop w:val="0"/>
      <w:marBottom w:val="0"/>
      <w:divBdr>
        <w:top w:val="none" w:sz="0" w:space="0" w:color="auto"/>
        <w:left w:val="none" w:sz="0" w:space="0" w:color="auto"/>
        <w:bottom w:val="none" w:sz="0" w:space="0" w:color="auto"/>
        <w:right w:val="none" w:sz="0" w:space="0" w:color="auto"/>
      </w:divBdr>
    </w:div>
    <w:div w:id="1560477827">
      <w:bodyDiv w:val="1"/>
      <w:marLeft w:val="0"/>
      <w:marRight w:val="0"/>
      <w:marTop w:val="0"/>
      <w:marBottom w:val="0"/>
      <w:divBdr>
        <w:top w:val="none" w:sz="0" w:space="0" w:color="auto"/>
        <w:left w:val="none" w:sz="0" w:space="0" w:color="auto"/>
        <w:bottom w:val="none" w:sz="0" w:space="0" w:color="auto"/>
        <w:right w:val="none" w:sz="0" w:space="0" w:color="auto"/>
      </w:divBdr>
    </w:div>
    <w:div w:id="1560480723">
      <w:bodyDiv w:val="1"/>
      <w:marLeft w:val="0"/>
      <w:marRight w:val="0"/>
      <w:marTop w:val="0"/>
      <w:marBottom w:val="0"/>
      <w:divBdr>
        <w:top w:val="none" w:sz="0" w:space="0" w:color="auto"/>
        <w:left w:val="none" w:sz="0" w:space="0" w:color="auto"/>
        <w:bottom w:val="none" w:sz="0" w:space="0" w:color="auto"/>
        <w:right w:val="none" w:sz="0" w:space="0" w:color="auto"/>
      </w:divBdr>
    </w:div>
    <w:div w:id="1560675135">
      <w:bodyDiv w:val="1"/>
      <w:marLeft w:val="0"/>
      <w:marRight w:val="0"/>
      <w:marTop w:val="0"/>
      <w:marBottom w:val="0"/>
      <w:divBdr>
        <w:top w:val="none" w:sz="0" w:space="0" w:color="auto"/>
        <w:left w:val="none" w:sz="0" w:space="0" w:color="auto"/>
        <w:bottom w:val="none" w:sz="0" w:space="0" w:color="auto"/>
        <w:right w:val="none" w:sz="0" w:space="0" w:color="auto"/>
      </w:divBdr>
    </w:div>
    <w:div w:id="1560676680">
      <w:bodyDiv w:val="1"/>
      <w:marLeft w:val="0"/>
      <w:marRight w:val="0"/>
      <w:marTop w:val="0"/>
      <w:marBottom w:val="0"/>
      <w:divBdr>
        <w:top w:val="none" w:sz="0" w:space="0" w:color="auto"/>
        <w:left w:val="none" w:sz="0" w:space="0" w:color="auto"/>
        <w:bottom w:val="none" w:sz="0" w:space="0" w:color="auto"/>
        <w:right w:val="none" w:sz="0" w:space="0" w:color="auto"/>
      </w:divBdr>
    </w:div>
    <w:div w:id="1560827851">
      <w:bodyDiv w:val="1"/>
      <w:marLeft w:val="0"/>
      <w:marRight w:val="0"/>
      <w:marTop w:val="0"/>
      <w:marBottom w:val="0"/>
      <w:divBdr>
        <w:top w:val="none" w:sz="0" w:space="0" w:color="auto"/>
        <w:left w:val="none" w:sz="0" w:space="0" w:color="auto"/>
        <w:bottom w:val="none" w:sz="0" w:space="0" w:color="auto"/>
        <w:right w:val="none" w:sz="0" w:space="0" w:color="auto"/>
      </w:divBdr>
    </w:div>
    <w:div w:id="1561014928">
      <w:bodyDiv w:val="1"/>
      <w:marLeft w:val="0"/>
      <w:marRight w:val="0"/>
      <w:marTop w:val="0"/>
      <w:marBottom w:val="0"/>
      <w:divBdr>
        <w:top w:val="none" w:sz="0" w:space="0" w:color="auto"/>
        <w:left w:val="none" w:sz="0" w:space="0" w:color="auto"/>
        <w:bottom w:val="none" w:sz="0" w:space="0" w:color="auto"/>
        <w:right w:val="none" w:sz="0" w:space="0" w:color="auto"/>
      </w:divBdr>
    </w:div>
    <w:div w:id="1561021131">
      <w:bodyDiv w:val="1"/>
      <w:marLeft w:val="0"/>
      <w:marRight w:val="0"/>
      <w:marTop w:val="0"/>
      <w:marBottom w:val="0"/>
      <w:divBdr>
        <w:top w:val="none" w:sz="0" w:space="0" w:color="auto"/>
        <w:left w:val="none" w:sz="0" w:space="0" w:color="auto"/>
        <w:bottom w:val="none" w:sz="0" w:space="0" w:color="auto"/>
        <w:right w:val="none" w:sz="0" w:space="0" w:color="auto"/>
      </w:divBdr>
    </w:div>
    <w:div w:id="1561089414">
      <w:bodyDiv w:val="1"/>
      <w:marLeft w:val="0"/>
      <w:marRight w:val="0"/>
      <w:marTop w:val="0"/>
      <w:marBottom w:val="0"/>
      <w:divBdr>
        <w:top w:val="none" w:sz="0" w:space="0" w:color="auto"/>
        <w:left w:val="none" w:sz="0" w:space="0" w:color="auto"/>
        <w:bottom w:val="none" w:sz="0" w:space="0" w:color="auto"/>
        <w:right w:val="none" w:sz="0" w:space="0" w:color="auto"/>
      </w:divBdr>
    </w:div>
    <w:div w:id="1561134204">
      <w:bodyDiv w:val="1"/>
      <w:marLeft w:val="0"/>
      <w:marRight w:val="0"/>
      <w:marTop w:val="0"/>
      <w:marBottom w:val="0"/>
      <w:divBdr>
        <w:top w:val="none" w:sz="0" w:space="0" w:color="auto"/>
        <w:left w:val="none" w:sz="0" w:space="0" w:color="auto"/>
        <w:bottom w:val="none" w:sz="0" w:space="0" w:color="auto"/>
        <w:right w:val="none" w:sz="0" w:space="0" w:color="auto"/>
      </w:divBdr>
    </w:div>
    <w:div w:id="1561138110">
      <w:bodyDiv w:val="1"/>
      <w:marLeft w:val="0"/>
      <w:marRight w:val="0"/>
      <w:marTop w:val="0"/>
      <w:marBottom w:val="0"/>
      <w:divBdr>
        <w:top w:val="none" w:sz="0" w:space="0" w:color="auto"/>
        <w:left w:val="none" w:sz="0" w:space="0" w:color="auto"/>
        <w:bottom w:val="none" w:sz="0" w:space="0" w:color="auto"/>
        <w:right w:val="none" w:sz="0" w:space="0" w:color="auto"/>
      </w:divBdr>
    </w:div>
    <w:div w:id="1561331591">
      <w:bodyDiv w:val="1"/>
      <w:marLeft w:val="0"/>
      <w:marRight w:val="0"/>
      <w:marTop w:val="0"/>
      <w:marBottom w:val="0"/>
      <w:divBdr>
        <w:top w:val="none" w:sz="0" w:space="0" w:color="auto"/>
        <w:left w:val="none" w:sz="0" w:space="0" w:color="auto"/>
        <w:bottom w:val="none" w:sz="0" w:space="0" w:color="auto"/>
        <w:right w:val="none" w:sz="0" w:space="0" w:color="auto"/>
      </w:divBdr>
    </w:div>
    <w:div w:id="1561549366">
      <w:bodyDiv w:val="1"/>
      <w:marLeft w:val="0"/>
      <w:marRight w:val="0"/>
      <w:marTop w:val="0"/>
      <w:marBottom w:val="0"/>
      <w:divBdr>
        <w:top w:val="none" w:sz="0" w:space="0" w:color="auto"/>
        <w:left w:val="none" w:sz="0" w:space="0" w:color="auto"/>
        <w:bottom w:val="none" w:sz="0" w:space="0" w:color="auto"/>
        <w:right w:val="none" w:sz="0" w:space="0" w:color="auto"/>
      </w:divBdr>
    </w:div>
    <w:div w:id="1561550631">
      <w:bodyDiv w:val="1"/>
      <w:marLeft w:val="0"/>
      <w:marRight w:val="0"/>
      <w:marTop w:val="0"/>
      <w:marBottom w:val="0"/>
      <w:divBdr>
        <w:top w:val="none" w:sz="0" w:space="0" w:color="auto"/>
        <w:left w:val="none" w:sz="0" w:space="0" w:color="auto"/>
        <w:bottom w:val="none" w:sz="0" w:space="0" w:color="auto"/>
        <w:right w:val="none" w:sz="0" w:space="0" w:color="auto"/>
      </w:divBdr>
    </w:div>
    <w:div w:id="1561672833">
      <w:bodyDiv w:val="1"/>
      <w:marLeft w:val="0"/>
      <w:marRight w:val="0"/>
      <w:marTop w:val="0"/>
      <w:marBottom w:val="0"/>
      <w:divBdr>
        <w:top w:val="none" w:sz="0" w:space="0" w:color="auto"/>
        <w:left w:val="none" w:sz="0" w:space="0" w:color="auto"/>
        <w:bottom w:val="none" w:sz="0" w:space="0" w:color="auto"/>
        <w:right w:val="none" w:sz="0" w:space="0" w:color="auto"/>
      </w:divBdr>
    </w:div>
    <w:div w:id="1561673770">
      <w:bodyDiv w:val="1"/>
      <w:marLeft w:val="0"/>
      <w:marRight w:val="0"/>
      <w:marTop w:val="0"/>
      <w:marBottom w:val="0"/>
      <w:divBdr>
        <w:top w:val="none" w:sz="0" w:space="0" w:color="auto"/>
        <w:left w:val="none" w:sz="0" w:space="0" w:color="auto"/>
        <w:bottom w:val="none" w:sz="0" w:space="0" w:color="auto"/>
        <w:right w:val="none" w:sz="0" w:space="0" w:color="auto"/>
      </w:divBdr>
    </w:div>
    <w:div w:id="1561744919">
      <w:bodyDiv w:val="1"/>
      <w:marLeft w:val="0"/>
      <w:marRight w:val="0"/>
      <w:marTop w:val="0"/>
      <w:marBottom w:val="0"/>
      <w:divBdr>
        <w:top w:val="none" w:sz="0" w:space="0" w:color="auto"/>
        <w:left w:val="none" w:sz="0" w:space="0" w:color="auto"/>
        <w:bottom w:val="none" w:sz="0" w:space="0" w:color="auto"/>
        <w:right w:val="none" w:sz="0" w:space="0" w:color="auto"/>
      </w:divBdr>
    </w:div>
    <w:div w:id="1561861337">
      <w:bodyDiv w:val="1"/>
      <w:marLeft w:val="0"/>
      <w:marRight w:val="0"/>
      <w:marTop w:val="0"/>
      <w:marBottom w:val="0"/>
      <w:divBdr>
        <w:top w:val="none" w:sz="0" w:space="0" w:color="auto"/>
        <w:left w:val="none" w:sz="0" w:space="0" w:color="auto"/>
        <w:bottom w:val="none" w:sz="0" w:space="0" w:color="auto"/>
        <w:right w:val="none" w:sz="0" w:space="0" w:color="auto"/>
      </w:divBdr>
    </w:div>
    <w:div w:id="1561862431">
      <w:bodyDiv w:val="1"/>
      <w:marLeft w:val="0"/>
      <w:marRight w:val="0"/>
      <w:marTop w:val="0"/>
      <w:marBottom w:val="0"/>
      <w:divBdr>
        <w:top w:val="none" w:sz="0" w:space="0" w:color="auto"/>
        <w:left w:val="none" w:sz="0" w:space="0" w:color="auto"/>
        <w:bottom w:val="none" w:sz="0" w:space="0" w:color="auto"/>
        <w:right w:val="none" w:sz="0" w:space="0" w:color="auto"/>
      </w:divBdr>
    </w:div>
    <w:div w:id="1561944704">
      <w:bodyDiv w:val="1"/>
      <w:marLeft w:val="0"/>
      <w:marRight w:val="0"/>
      <w:marTop w:val="0"/>
      <w:marBottom w:val="0"/>
      <w:divBdr>
        <w:top w:val="none" w:sz="0" w:space="0" w:color="auto"/>
        <w:left w:val="none" w:sz="0" w:space="0" w:color="auto"/>
        <w:bottom w:val="none" w:sz="0" w:space="0" w:color="auto"/>
        <w:right w:val="none" w:sz="0" w:space="0" w:color="auto"/>
      </w:divBdr>
    </w:div>
    <w:div w:id="1561986766">
      <w:bodyDiv w:val="1"/>
      <w:marLeft w:val="0"/>
      <w:marRight w:val="0"/>
      <w:marTop w:val="0"/>
      <w:marBottom w:val="0"/>
      <w:divBdr>
        <w:top w:val="none" w:sz="0" w:space="0" w:color="auto"/>
        <w:left w:val="none" w:sz="0" w:space="0" w:color="auto"/>
        <w:bottom w:val="none" w:sz="0" w:space="0" w:color="auto"/>
        <w:right w:val="none" w:sz="0" w:space="0" w:color="auto"/>
      </w:divBdr>
    </w:div>
    <w:div w:id="1561986898">
      <w:bodyDiv w:val="1"/>
      <w:marLeft w:val="0"/>
      <w:marRight w:val="0"/>
      <w:marTop w:val="0"/>
      <w:marBottom w:val="0"/>
      <w:divBdr>
        <w:top w:val="none" w:sz="0" w:space="0" w:color="auto"/>
        <w:left w:val="none" w:sz="0" w:space="0" w:color="auto"/>
        <w:bottom w:val="none" w:sz="0" w:space="0" w:color="auto"/>
        <w:right w:val="none" w:sz="0" w:space="0" w:color="auto"/>
      </w:divBdr>
    </w:div>
    <w:div w:id="1562138750">
      <w:bodyDiv w:val="1"/>
      <w:marLeft w:val="0"/>
      <w:marRight w:val="0"/>
      <w:marTop w:val="0"/>
      <w:marBottom w:val="0"/>
      <w:divBdr>
        <w:top w:val="none" w:sz="0" w:space="0" w:color="auto"/>
        <w:left w:val="none" w:sz="0" w:space="0" w:color="auto"/>
        <w:bottom w:val="none" w:sz="0" w:space="0" w:color="auto"/>
        <w:right w:val="none" w:sz="0" w:space="0" w:color="auto"/>
      </w:divBdr>
    </w:div>
    <w:div w:id="1562330333">
      <w:bodyDiv w:val="1"/>
      <w:marLeft w:val="0"/>
      <w:marRight w:val="0"/>
      <w:marTop w:val="0"/>
      <w:marBottom w:val="0"/>
      <w:divBdr>
        <w:top w:val="none" w:sz="0" w:space="0" w:color="auto"/>
        <w:left w:val="none" w:sz="0" w:space="0" w:color="auto"/>
        <w:bottom w:val="none" w:sz="0" w:space="0" w:color="auto"/>
        <w:right w:val="none" w:sz="0" w:space="0" w:color="auto"/>
      </w:divBdr>
    </w:div>
    <w:div w:id="1562406541">
      <w:bodyDiv w:val="1"/>
      <w:marLeft w:val="0"/>
      <w:marRight w:val="0"/>
      <w:marTop w:val="0"/>
      <w:marBottom w:val="0"/>
      <w:divBdr>
        <w:top w:val="none" w:sz="0" w:space="0" w:color="auto"/>
        <w:left w:val="none" w:sz="0" w:space="0" w:color="auto"/>
        <w:bottom w:val="none" w:sz="0" w:space="0" w:color="auto"/>
        <w:right w:val="none" w:sz="0" w:space="0" w:color="auto"/>
      </w:divBdr>
    </w:div>
    <w:div w:id="1562523878">
      <w:bodyDiv w:val="1"/>
      <w:marLeft w:val="0"/>
      <w:marRight w:val="0"/>
      <w:marTop w:val="0"/>
      <w:marBottom w:val="0"/>
      <w:divBdr>
        <w:top w:val="none" w:sz="0" w:space="0" w:color="auto"/>
        <w:left w:val="none" w:sz="0" w:space="0" w:color="auto"/>
        <w:bottom w:val="none" w:sz="0" w:space="0" w:color="auto"/>
        <w:right w:val="none" w:sz="0" w:space="0" w:color="auto"/>
      </w:divBdr>
    </w:div>
    <w:div w:id="1562640494">
      <w:bodyDiv w:val="1"/>
      <w:marLeft w:val="0"/>
      <w:marRight w:val="0"/>
      <w:marTop w:val="0"/>
      <w:marBottom w:val="0"/>
      <w:divBdr>
        <w:top w:val="none" w:sz="0" w:space="0" w:color="auto"/>
        <w:left w:val="none" w:sz="0" w:space="0" w:color="auto"/>
        <w:bottom w:val="none" w:sz="0" w:space="0" w:color="auto"/>
        <w:right w:val="none" w:sz="0" w:space="0" w:color="auto"/>
      </w:divBdr>
    </w:div>
    <w:div w:id="1562786211">
      <w:bodyDiv w:val="1"/>
      <w:marLeft w:val="0"/>
      <w:marRight w:val="0"/>
      <w:marTop w:val="0"/>
      <w:marBottom w:val="0"/>
      <w:divBdr>
        <w:top w:val="none" w:sz="0" w:space="0" w:color="auto"/>
        <w:left w:val="none" w:sz="0" w:space="0" w:color="auto"/>
        <w:bottom w:val="none" w:sz="0" w:space="0" w:color="auto"/>
        <w:right w:val="none" w:sz="0" w:space="0" w:color="auto"/>
      </w:divBdr>
    </w:div>
    <w:div w:id="1562863258">
      <w:bodyDiv w:val="1"/>
      <w:marLeft w:val="0"/>
      <w:marRight w:val="0"/>
      <w:marTop w:val="0"/>
      <w:marBottom w:val="0"/>
      <w:divBdr>
        <w:top w:val="none" w:sz="0" w:space="0" w:color="auto"/>
        <w:left w:val="none" w:sz="0" w:space="0" w:color="auto"/>
        <w:bottom w:val="none" w:sz="0" w:space="0" w:color="auto"/>
        <w:right w:val="none" w:sz="0" w:space="0" w:color="auto"/>
      </w:divBdr>
    </w:div>
    <w:div w:id="1562863718">
      <w:bodyDiv w:val="1"/>
      <w:marLeft w:val="0"/>
      <w:marRight w:val="0"/>
      <w:marTop w:val="0"/>
      <w:marBottom w:val="0"/>
      <w:divBdr>
        <w:top w:val="none" w:sz="0" w:space="0" w:color="auto"/>
        <w:left w:val="none" w:sz="0" w:space="0" w:color="auto"/>
        <w:bottom w:val="none" w:sz="0" w:space="0" w:color="auto"/>
        <w:right w:val="none" w:sz="0" w:space="0" w:color="auto"/>
      </w:divBdr>
    </w:div>
    <w:div w:id="1563054390">
      <w:bodyDiv w:val="1"/>
      <w:marLeft w:val="0"/>
      <w:marRight w:val="0"/>
      <w:marTop w:val="0"/>
      <w:marBottom w:val="0"/>
      <w:divBdr>
        <w:top w:val="none" w:sz="0" w:space="0" w:color="auto"/>
        <w:left w:val="none" w:sz="0" w:space="0" w:color="auto"/>
        <w:bottom w:val="none" w:sz="0" w:space="0" w:color="auto"/>
        <w:right w:val="none" w:sz="0" w:space="0" w:color="auto"/>
      </w:divBdr>
    </w:div>
    <w:div w:id="1563103369">
      <w:bodyDiv w:val="1"/>
      <w:marLeft w:val="0"/>
      <w:marRight w:val="0"/>
      <w:marTop w:val="0"/>
      <w:marBottom w:val="0"/>
      <w:divBdr>
        <w:top w:val="none" w:sz="0" w:space="0" w:color="auto"/>
        <w:left w:val="none" w:sz="0" w:space="0" w:color="auto"/>
        <w:bottom w:val="none" w:sz="0" w:space="0" w:color="auto"/>
        <w:right w:val="none" w:sz="0" w:space="0" w:color="auto"/>
      </w:divBdr>
    </w:div>
    <w:div w:id="1563105229">
      <w:bodyDiv w:val="1"/>
      <w:marLeft w:val="0"/>
      <w:marRight w:val="0"/>
      <w:marTop w:val="0"/>
      <w:marBottom w:val="0"/>
      <w:divBdr>
        <w:top w:val="none" w:sz="0" w:space="0" w:color="auto"/>
        <w:left w:val="none" w:sz="0" w:space="0" w:color="auto"/>
        <w:bottom w:val="none" w:sz="0" w:space="0" w:color="auto"/>
        <w:right w:val="none" w:sz="0" w:space="0" w:color="auto"/>
      </w:divBdr>
    </w:div>
    <w:div w:id="1563179975">
      <w:bodyDiv w:val="1"/>
      <w:marLeft w:val="0"/>
      <w:marRight w:val="0"/>
      <w:marTop w:val="0"/>
      <w:marBottom w:val="0"/>
      <w:divBdr>
        <w:top w:val="none" w:sz="0" w:space="0" w:color="auto"/>
        <w:left w:val="none" w:sz="0" w:space="0" w:color="auto"/>
        <w:bottom w:val="none" w:sz="0" w:space="0" w:color="auto"/>
        <w:right w:val="none" w:sz="0" w:space="0" w:color="auto"/>
      </w:divBdr>
    </w:div>
    <w:div w:id="1563248065">
      <w:bodyDiv w:val="1"/>
      <w:marLeft w:val="0"/>
      <w:marRight w:val="0"/>
      <w:marTop w:val="0"/>
      <w:marBottom w:val="0"/>
      <w:divBdr>
        <w:top w:val="none" w:sz="0" w:space="0" w:color="auto"/>
        <w:left w:val="none" w:sz="0" w:space="0" w:color="auto"/>
        <w:bottom w:val="none" w:sz="0" w:space="0" w:color="auto"/>
        <w:right w:val="none" w:sz="0" w:space="0" w:color="auto"/>
      </w:divBdr>
    </w:div>
    <w:div w:id="1563253574">
      <w:bodyDiv w:val="1"/>
      <w:marLeft w:val="0"/>
      <w:marRight w:val="0"/>
      <w:marTop w:val="0"/>
      <w:marBottom w:val="0"/>
      <w:divBdr>
        <w:top w:val="none" w:sz="0" w:space="0" w:color="auto"/>
        <w:left w:val="none" w:sz="0" w:space="0" w:color="auto"/>
        <w:bottom w:val="none" w:sz="0" w:space="0" w:color="auto"/>
        <w:right w:val="none" w:sz="0" w:space="0" w:color="auto"/>
      </w:divBdr>
    </w:div>
    <w:div w:id="1563326548">
      <w:bodyDiv w:val="1"/>
      <w:marLeft w:val="0"/>
      <w:marRight w:val="0"/>
      <w:marTop w:val="0"/>
      <w:marBottom w:val="0"/>
      <w:divBdr>
        <w:top w:val="none" w:sz="0" w:space="0" w:color="auto"/>
        <w:left w:val="none" w:sz="0" w:space="0" w:color="auto"/>
        <w:bottom w:val="none" w:sz="0" w:space="0" w:color="auto"/>
        <w:right w:val="none" w:sz="0" w:space="0" w:color="auto"/>
      </w:divBdr>
    </w:div>
    <w:div w:id="1563370293">
      <w:bodyDiv w:val="1"/>
      <w:marLeft w:val="0"/>
      <w:marRight w:val="0"/>
      <w:marTop w:val="0"/>
      <w:marBottom w:val="0"/>
      <w:divBdr>
        <w:top w:val="none" w:sz="0" w:space="0" w:color="auto"/>
        <w:left w:val="none" w:sz="0" w:space="0" w:color="auto"/>
        <w:bottom w:val="none" w:sz="0" w:space="0" w:color="auto"/>
        <w:right w:val="none" w:sz="0" w:space="0" w:color="auto"/>
      </w:divBdr>
    </w:div>
    <w:div w:id="1563370866">
      <w:bodyDiv w:val="1"/>
      <w:marLeft w:val="0"/>
      <w:marRight w:val="0"/>
      <w:marTop w:val="0"/>
      <w:marBottom w:val="0"/>
      <w:divBdr>
        <w:top w:val="none" w:sz="0" w:space="0" w:color="auto"/>
        <w:left w:val="none" w:sz="0" w:space="0" w:color="auto"/>
        <w:bottom w:val="none" w:sz="0" w:space="0" w:color="auto"/>
        <w:right w:val="none" w:sz="0" w:space="0" w:color="auto"/>
      </w:divBdr>
    </w:div>
    <w:div w:id="1563373806">
      <w:bodyDiv w:val="1"/>
      <w:marLeft w:val="0"/>
      <w:marRight w:val="0"/>
      <w:marTop w:val="0"/>
      <w:marBottom w:val="0"/>
      <w:divBdr>
        <w:top w:val="none" w:sz="0" w:space="0" w:color="auto"/>
        <w:left w:val="none" w:sz="0" w:space="0" w:color="auto"/>
        <w:bottom w:val="none" w:sz="0" w:space="0" w:color="auto"/>
        <w:right w:val="none" w:sz="0" w:space="0" w:color="auto"/>
      </w:divBdr>
    </w:div>
    <w:div w:id="1563517721">
      <w:bodyDiv w:val="1"/>
      <w:marLeft w:val="0"/>
      <w:marRight w:val="0"/>
      <w:marTop w:val="0"/>
      <w:marBottom w:val="0"/>
      <w:divBdr>
        <w:top w:val="none" w:sz="0" w:space="0" w:color="auto"/>
        <w:left w:val="none" w:sz="0" w:space="0" w:color="auto"/>
        <w:bottom w:val="none" w:sz="0" w:space="0" w:color="auto"/>
        <w:right w:val="none" w:sz="0" w:space="0" w:color="auto"/>
      </w:divBdr>
    </w:div>
    <w:div w:id="1563518689">
      <w:bodyDiv w:val="1"/>
      <w:marLeft w:val="0"/>
      <w:marRight w:val="0"/>
      <w:marTop w:val="0"/>
      <w:marBottom w:val="0"/>
      <w:divBdr>
        <w:top w:val="none" w:sz="0" w:space="0" w:color="auto"/>
        <w:left w:val="none" w:sz="0" w:space="0" w:color="auto"/>
        <w:bottom w:val="none" w:sz="0" w:space="0" w:color="auto"/>
        <w:right w:val="none" w:sz="0" w:space="0" w:color="auto"/>
      </w:divBdr>
    </w:div>
    <w:div w:id="1563559451">
      <w:bodyDiv w:val="1"/>
      <w:marLeft w:val="0"/>
      <w:marRight w:val="0"/>
      <w:marTop w:val="0"/>
      <w:marBottom w:val="0"/>
      <w:divBdr>
        <w:top w:val="none" w:sz="0" w:space="0" w:color="auto"/>
        <w:left w:val="none" w:sz="0" w:space="0" w:color="auto"/>
        <w:bottom w:val="none" w:sz="0" w:space="0" w:color="auto"/>
        <w:right w:val="none" w:sz="0" w:space="0" w:color="auto"/>
      </w:divBdr>
    </w:div>
    <w:div w:id="1563633236">
      <w:bodyDiv w:val="1"/>
      <w:marLeft w:val="0"/>
      <w:marRight w:val="0"/>
      <w:marTop w:val="0"/>
      <w:marBottom w:val="0"/>
      <w:divBdr>
        <w:top w:val="none" w:sz="0" w:space="0" w:color="auto"/>
        <w:left w:val="none" w:sz="0" w:space="0" w:color="auto"/>
        <w:bottom w:val="none" w:sz="0" w:space="0" w:color="auto"/>
        <w:right w:val="none" w:sz="0" w:space="0" w:color="auto"/>
      </w:divBdr>
    </w:div>
    <w:div w:id="1563637391">
      <w:bodyDiv w:val="1"/>
      <w:marLeft w:val="0"/>
      <w:marRight w:val="0"/>
      <w:marTop w:val="0"/>
      <w:marBottom w:val="0"/>
      <w:divBdr>
        <w:top w:val="none" w:sz="0" w:space="0" w:color="auto"/>
        <w:left w:val="none" w:sz="0" w:space="0" w:color="auto"/>
        <w:bottom w:val="none" w:sz="0" w:space="0" w:color="auto"/>
        <w:right w:val="none" w:sz="0" w:space="0" w:color="auto"/>
      </w:divBdr>
    </w:div>
    <w:div w:id="1563638121">
      <w:bodyDiv w:val="1"/>
      <w:marLeft w:val="0"/>
      <w:marRight w:val="0"/>
      <w:marTop w:val="0"/>
      <w:marBottom w:val="0"/>
      <w:divBdr>
        <w:top w:val="none" w:sz="0" w:space="0" w:color="auto"/>
        <w:left w:val="none" w:sz="0" w:space="0" w:color="auto"/>
        <w:bottom w:val="none" w:sz="0" w:space="0" w:color="auto"/>
        <w:right w:val="none" w:sz="0" w:space="0" w:color="auto"/>
      </w:divBdr>
    </w:div>
    <w:div w:id="1563784498">
      <w:bodyDiv w:val="1"/>
      <w:marLeft w:val="0"/>
      <w:marRight w:val="0"/>
      <w:marTop w:val="0"/>
      <w:marBottom w:val="0"/>
      <w:divBdr>
        <w:top w:val="none" w:sz="0" w:space="0" w:color="auto"/>
        <w:left w:val="none" w:sz="0" w:space="0" w:color="auto"/>
        <w:bottom w:val="none" w:sz="0" w:space="0" w:color="auto"/>
        <w:right w:val="none" w:sz="0" w:space="0" w:color="auto"/>
      </w:divBdr>
    </w:div>
    <w:div w:id="1563835055">
      <w:bodyDiv w:val="1"/>
      <w:marLeft w:val="0"/>
      <w:marRight w:val="0"/>
      <w:marTop w:val="0"/>
      <w:marBottom w:val="0"/>
      <w:divBdr>
        <w:top w:val="none" w:sz="0" w:space="0" w:color="auto"/>
        <w:left w:val="none" w:sz="0" w:space="0" w:color="auto"/>
        <w:bottom w:val="none" w:sz="0" w:space="0" w:color="auto"/>
        <w:right w:val="none" w:sz="0" w:space="0" w:color="auto"/>
      </w:divBdr>
    </w:div>
    <w:div w:id="1563835666">
      <w:bodyDiv w:val="1"/>
      <w:marLeft w:val="0"/>
      <w:marRight w:val="0"/>
      <w:marTop w:val="0"/>
      <w:marBottom w:val="0"/>
      <w:divBdr>
        <w:top w:val="none" w:sz="0" w:space="0" w:color="auto"/>
        <w:left w:val="none" w:sz="0" w:space="0" w:color="auto"/>
        <w:bottom w:val="none" w:sz="0" w:space="0" w:color="auto"/>
        <w:right w:val="none" w:sz="0" w:space="0" w:color="auto"/>
      </w:divBdr>
    </w:div>
    <w:div w:id="1563907938">
      <w:bodyDiv w:val="1"/>
      <w:marLeft w:val="0"/>
      <w:marRight w:val="0"/>
      <w:marTop w:val="0"/>
      <w:marBottom w:val="0"/>
      <w:divBdr>
        <w:top w:val="none" w:sz="0" w:space="0" w:color="auto"/>
        <w:left w:val="none" w:sz="0" w:space="0" w:color="auto"/>
        <w:bottom w:val="none" w:sz="0" w:space="0" w:color="auto"/>
        <w:right w:val="none" w:sz="0" w:space="0" w:color="auto"/>
      </w:divBdr>
    </w:div>
    <w:div w:id="1564288355">
      <w:bodyDiv w:val="1"/>
      <w:marLeft w:val="0"/>
      <w:marRight w:val="0"/>
      <w:marTop w:val="0"/>
      <w:marBottom w:val="0"/>
      <w:divBdr>
        <w:top w:val="none" w:sz="0" w:space="0" w:color="auto"/>
        <w:left w:val="none" w:sz="0" w:space="0" w:color="auto"/>
        <w:bottom w:val="none" w:sz="0" w:space="0" w:color="auto"/>
        <w:right w:val="none" w:sz="0" w:space="0" w:color="auto"/>
      </w:divBdr>
    </w:div>
    <w:div w:id="1564371305">
      <w:bodyDiv w:val="1"/>
      <w:marLeft w:val="0"/>
      <w:marRight w:val="0"/>
      <w:marTop w:val="0"/>
      <w:marBottom w:val="0"/>
      <w:divBdr>
        <w:top w:val="none" w:sz="0" w:space="0" w:color="auto"/>
        <w:left w:val="none" w:sz="0" w:space="0" w:color="auto"/>
        <w:bottom w:val="none" w:sz="0" w:space="0" w:color="auto"/>
        <w:right w:val="none" w:sz="0" w:space="0" w:color="auto"/>
      </w:divBdr>
    </w:div>
    <w:div w:id="1564413982">
      <w:bodyDiv w:val="1"/>
      <w:marLeft w:val="0"/>
      <w:marRight w:val="0"/>
      <w:marTop w:val="0"/>
      <w:marBottom w:val="0"/>
      <w:divBdr>
        <w:top w:val="none" w:sz="0" w:space="0" w:color="auto"/>
        <w:left w:val="none" w:sz="0" w:space="0" w:color="auto"/>
        <w:bottom w:val="none" w:sz="0" w:space="0" w:color="auto"/>
        <w:right w:val="none" w:sz="0" w:space="0" w:color="auto"/>
      </w:divBdr>
    </w:div>
    <w:div w:id="1564414581">
      <w:bodyDiv w:val="1"/>
      <w:marLeft w:val="0"/>
      <w:marRight w:val="0"/>
      <w:marTop w:val="0"/>
      <w:marBottom w:val="0"/>
      <w:divBdr>
        <w:top w:val="none" w:sz="0" w:space="0" w:color="auto"/>
        <w:left w:val="none" w:sz="0" w:space="0" w:color="auto"/>
        <w:bottom w:val="none" w:sz="0" w:space="0" w:color="auto"/>
        <w:right w:val="none" w:sz="0" w:space="0" w:color="auto"/>
      </w:divBdr>
    </w:div>
    <w:div w:id="1564557848">
      <w:bodyDiv w:val="1"/>
      <w:marLeft w:val="0"/>
      <w:marRight w:val="0"/>
      <w:marTop w:val="0"/>
      <w:marBottom w:val="0"/>
      <w:divBdr>
        <w:top w:val="none" w:sz="0" w:space="0" w:color="auto"/>
        <w:left w:val="none" w:sz="0" w:space="0" w:color="auto"/>
        <w:bottom w:val="none" w:sz="0" w:space="0" w:color="auto"/>
        <w:right w:val="none" w:sz="0" w:space="0" w:color="auto"/>
      </w:divBdr>
    </w:div>
    <w:div w:id="1564561491">
      <w:bodyDiv w:val="1"/>
      <w:marLeft w:val="0"/>
      <w:marRight w:val="0"/>
      <w:marTop w:val="0"/>
      <w:marBottom w:val="0"/>
      <w:divBdr>
        <w:top w:val="none" w:sz="0" w:space="0" w:color="auto"/>
        <w:left w:val="none" w:sz="0" w:space="0" w:color="auto"/>
        <w:bottom w:val="none" w:sz="0" w:space="0" w:color="auto"/>
        <w:right w:val="none" w:sz="0" w:space="0" w:color="auto"/>
      </w:divBdr>
    </w:div>
    <w:div w:id="1564635025">
      <w:bodyDiv w:val="1"/>
      <w:marLeft w:val="0"/>
      <w:marRight w:val="0"/>
      <w:marTop w:val="0"/>
      <w:marBottom w:val="0"/>
      <w:divBdr>
        <w:top w:val="none" w:sz="0" w:space="0" w:color="auto"/>
        <w:left w:val="none" w:sz="0" w:space="0" w:color="auto"/>
        <w:bottom w:val="none" w:sz="0" w:space="0" w:color="auto"/>
        <w:right w:val="none" w:sz="0" w:space="0" w:color="auto"/>
      </w:divBdr>
    </w:div>
    <w:div w:id="1564681009">
      <w:bodyDiv w:val="1"/>
      <w:marLeft w:val="0"/>
      <w:marRight w:val="0"/>
      <w:marTop w:val="0"/>
      <w:marBottom w:val="0"/>
      <w:divBdr>
        <w:top w:val="none" w:sz="0" w:space="0" w:color="auto"/>
        <w:left w:val="none" w:sz="0" w:space="0" w:color="auto"/>
        <w:bottom w:val="none" w:sz="0" w:space="0" w:color="auto"/>
        <w:right w:val="none" w:sz="0" w:space="0" w:color="auto"/>
      </w:divBdr>
    </w:div>
    <w:div w:id="1564683969">
      <w:bodyDiv w:val="1"/>
      <w:marLeft w:val="0"/>
      <w:marRight w:val="0"/>
      <w:marTop w:val="0"/>
      <w:marBottom w:val="0"/>
      <w:divBdr>
        <w:top w:val="none" w:sz="0" w:space="0" w:color="auto"/>
        <w:left w:val="none" w:sz="0" w:space="0" w:color="auto"/>
        <w:bottom w:val="none" w:sz="0" w:space="0" w:color="auto"/>
        <w:right w:val="none" w:sz="0" w:space="0" w:color="auto"/>
      </w:divBdr>
    </w:div>
    <w:div w:id="1565141664">
      <w:bodyDiv w:val="1"/>
      <w:marLeft w:val="0"/>
      <w:marRight w:val="0"/>
      <w:marTop w:val="0"/>
      <w:marBottom w:val="0"/>
      <w:divBdr>
        <w:top w:val="none" w:sz="0" w:space="0" w:color="auto"/>
        <w:left w:val="none" w:sz="0" w:space="0" w:color="auto"/>
        <w:bottom w:val="none" w:sz="0" w:space="0" w:color="auto"/>
        <w:right w:val="none" w:sz="0" w:space="0" w:color="auto"/>
      </w:divBdr>
    </w:div>
    <w:div w:id="1565217758">
      <w:bodyDiv w:val="1"/>
      <w:marLeft w:val="0"/>
      <w:marRight w:val="0"/>
      <w:marTop w:val="0"/>
      <w:marBottom w:val="0"/>
      <w:divBdr>
        <w:top w:val="none" w:sz="0" w:space="0" w:color="auto"/>
        <w:left w:val="none" w:sz="0" w:space="0" w:color="auto"/>
        <w:bottom w:val="none" w:sz="0" w:space="0" w:color="auto"/>
        <w:right w:val="none" w:sz="0" w:space="0" w:color="auto"/>
      </w:divBdr>
    </w:div>
    <w:div w:id="1565338924">
      <w:bodyDiv w:val="1"/>
      <w:marLeft w:val="0"/>
      <w:marRight w:val="0"/>
      <w:marTop w:val="0"/>
      <w:marBottom w:val="0"/>
      <w:divBdr>
        <w:top w:val="none" w:sz="0" w:space="0" w:color="auto"/>
        <w:left w:val="none" w:sz="0" w:space="0" w:color="auto"/>
        <w:bottom w:val="none" w:sz="0" w:space="0" w:color="auto"/>
        <w:right w:val="none" w:sz="0" w:space="0" w:color="auto"/>
      </w:divBdr>
    </w:div>
    <w:div w:id="1565676035">
      <w:bodyDiv w:val="1"/>
      <w:marLeft w:val="0"/>
      <w:marRight w:val="0"/>
      <w:marTop w:val="0"/>
      <w:marBottom w:val="0"/>
      <w:divBdr>
        <w:top w:val="none" w:sz="0" w:space="0" w:color="auto"/>
        <w:left w:val="none" w:sz="0" w:space="0" w:color="auto"/>
        <w:bottom w:val="none" w:sz="0" w:space="0" w:color="auto"/>
        <w:right w:val="none" w:sz="0" w:space="0" w:color="auto"/>
      </w:divBdr>
    </w:div>
    <w:div w:id="1565679841">
      <w:bodyDiv w:val="1"/>
      <w:marLeft w:val="0"/>
      <w:marRight w:val="0"/>
      <w:marTop w:val="0"/>
      <w:marBottom w:val="0"/>
      <w:divBdr>
        <w:top w:val="none" w:sz="0" w:space="0" w:color="auto"/>
        <w:left w:val="none" w:sz="0" w:space="0" w:color="auto"/>
        <w:bottom w:val="none" w:sz="0" w:space="0" w:color="auto"/>
        <w:right w:val="none" w:sz="0" w:space="0" w:color="auto"/>
      </w:divBdr>
    </w:div>
    <w:div w:id="1565720749">
      <w:bodyDiv w:val="1"/>
      <w:marLeft w:val="0"/>
      <w:marRight w:val="0"/>
      <w:marTop w:val="0"/>
      <w:marBottom w:val="0"/>
      <w:divBdr>
        <w:top w:val="none" w:sz="0" w:space="0" w:color="auto"/>
        <w:left w:val="none" w:sz="0" w:space="0" w:color="auto"/>
        <w:bottom w:val="none" w:sz="0" w:space="0" w:color="auto"/>
        <w:right w:val="none" w:sz="0" w:space="0" w:color="auto"/>
      </w:divBdr>
    </w:div>
    <w:div w:id="1565918781">
      <w:bodyDiv w:val="1"/>
      <w:marLeft w:val="0"/>
      <w:marRight w:val="0"/>
      <w:marTop w:val="0"/>
      <w:marBottom w:val="0"/>
      <w:divBdr>
        <w:top w:val="none" w:sz="0" w:space="0" w:color="auto"/>
        <w:left w:val="none" w:sz="0" w:space="0" w:color="auto"/>
        <w:bottom w:val="none" w:sz="0" w:space="0" w:color="auto"/>
        <w:right w:val="none" w:sz="0" w:space="0" w:color="auto"/>
      </w:divBdr>
    </w:div>
    <w:div w:id="1565994583">
      <w:bodyDiv w:val="1"/>
      <w:marLeft w:val="0"/>
      <w:marRight w:val="0"/>
      <w:marTop w:val="0"/>
      <w:marBottom w:val="0"/>
      <w:divBdr>
        <w:top w:val="none" w:sz="0" w:space="0" w:color="auto"/>
        <w:left w:val="none" w:sz="0" w:space="0" w:color="auto"/>
        <w:bottom w:val="none" w:sz="0" w:space="0" w:color="auto"/>
        <w:right w:val="none" w:sz="0" w:space="0" w:color="auto"/>
      </w:divBdr>
    </w:div>
    <w:div w:id="1566065084">
      <w:bodyDiv w:val="1"/>
      <w:marLeft w:val="0"/>
      <w:marRight w:val="0"/>
      <w:marTop w:val="0"/>
      <w:marBottom w:val="0"/>
      <w:divBdr>
        <w:top w:val="none" w:sz="0" w:space="0" w:color="auto"/>
        <w:left w:val="none" w:sz="0" w:space="0" w:color="auto"/>
        <w:bottom w:val="none" w:sz="0" w:space="0" w:color="auto"/>
        <w:right w:val="none" w:sz="0" w:space="0" w:color="auto"/>
      </w:divBdr>
    </w:div>
    <w:div w:id="1566142722">
      <w:bodyDiv w:val="1"/>
      <w:marLeft w:val="0"/>
      <w:marRight w:val="0"/>
      <w:marTop w:val="0"/>
      <w:marBottom w:val="0"/>
      <w:divBdr>
        <w:top w:val="none" w:sz="0" w:space="0" w:color="auto"/>
        <w:left w:val="none" w:sz="0" w:space="0" w:color="auto"/>
        <w:bottom w:val="none" w:sz="0" w:space="0" w:color="auto"/>
        <w:right w:val="none" w:sz="0" w:space="0" w:color="auto"/>
      </w:divBdr>
    </w:div>
    <w:div w:id="1566185629">
      <w:bodyDiv w:val="1"/>
      <w:marLeft w:val="0"/>
      <w:marRight w:val="0"/>
      <w:marTop w:val="0"/>
      <w:marBottom w:val="0"/>
      <w:divBdr>
        <w:top w:val="none" w:sz="0" w:space="0" w:color="auto"/>
        <w:left w:val="none" w:sz="0" w:space="0" w:color="auto"/>
        <w:bottom w:val="none" w:sz="0" w:space="0" w:color="auto"/>
        <w:right w:val="none" w:sz="0" w:space="0" w:color="auto"/>
      </w:divBdr>
    </w:div>
    <w:div w:id="1566254866">
      <w:bodyDiv w:val="1"/>
      <w:marLeft w:val="0"/>
      <w:marRight w:val="0"/>
      <w:marTop w:val="0"/>
      <w:marBottom w:val="0"/>
      <w:divBdr>
        <w:top w:val="none" w:sz="0" w:space="0" w:color="auto"/>
        <w:left w:val="none" w:sz="0" w:space="0" w:color="auto"/>
        <w:bottom w:val="none" w:sz="0" w:space="0" w:color="auto"/>
        <w:right w:val="none" w:sz="0" w:space="0" w:color="auto"/>
      </w:divBdr>
    </w:div>
    <w:div w:id="1566262484">
      <w:bodyDiv w:val="1"/>
      <w:marLeft w:val="0"/>
      <w:marRight w:val="0"/>
      <w:marTop w:val="0"/>
      <w:marBottom w:val="0"/>
      <w:divBdr>
        <w:top w:val="none" w:sz="0" w:space="0" w:color="auto"/>
        <w:left w:val="none" w:sz="0" w:space="0" w:color="auto"/>
        <w:bottom w:val="none" w:sz="0" w:space="0" w:color="auto"/>
        <w:right w:val="none" w:sz="0" w:space="0" w:color="auto"/>
      </w:divBdr>
    </w:div>
    <w:div w:id="1566404666">
      <w:bodyDiv w:val="1"/>
      <w:marLeft w:val="0"/>
      <w:marRight w:val="0"/>
      <w:marTop w:val="0"/>
      <w:marBottom w:val="0"/>
      <w:divBdr>
        <w:top w:val="none" w:sz="0" w:space="0" w:color="auto"/>
        <w:left w:val="none" w:sz="0" w:space="0" w:color="auto"/>
        <w:bottom w:val="none" w:sz="0" w:space="0" w:color="auto"/>
        <w:right w:val="none" w:sz="0" w:space="0" w:color="auto"/>
      </w:divBdr>
    </w:div>
    <w:div w:id="1566449857">
      <w:bodyDiv w:val="1"/>
      <w:marLeft w:val="0"/>
      <w:marRight w:val="0"/>
      <w:marTop w:val="0"/>
      <w:marBottom w:val="0"/>
      <w:divBdr>
        <w:top w:val="none" w:sz="0" w:space="0" w:color="auto"/>
        <w:left w:val="none" w:sz="0" w:space="0" w:color="auto"/>
        <w:bottom w:val="none" w:sz="0" w:space="0" w:color="auto"/>
        <w:right w:val="none" w:sz="0" w:space="0" w:color="auto"/>
      </w:divBdr>
    </w:div>
    <w:div w:id="1566451250">
      <w:bodyDiv w:val="1"/>
      <w:marLeft w:val="0"/>
      <w:marRight w:val="0"/>
      <w:marTop w:val="0"/>
      <w:marBottom w:val="0"/>
      <w:divBdr>
        <w:top w:val="none" w:sz="0" w:space="0" w:color="auto"/>
        <w:left w:val="none" w:sz="0" w:space="0" w:color="auto"/>
        <w:bottom w:val="none" w:sz="0" w:space="0" w:color="auto"/>
        <w:right w:val="none" w:sz="0" w:space="0" w:color="auto"/>
      </w:divBdr>
    </w:div>
    <w:div w:id="1566531863">
      <w:bodyDiv w:val="1"/>
      <w:marLeft w:val="0"/>
      <w:marRight w:val="0"/>
      <w:marTop w:val="0"/>
      <w:marBottom w:val="0"/>
      <w:divBdr>
        <w:top w:val="none" w:sz="0" w:space="0" w:color="auto"/>
        <w:left w:val="none" w:sz="0" w:space="0" w:color="auto"/>
        <w:bottom w:val="none" w:sz="0" w:space="0" w:color="auto"/>
        <w:right w:val="none" w:sz="0" w:space="0" w:color="auto"/>
      </w:divBdr>
    </w:div>
    <w:div w:id="1566601277">
      <w:bodyDiv w:val="1"/>
      <w:marLeft w:val="0"/>
      <w:marRight w:val="0"/>
      <w:marTop w:val="0"/>
      <w:marBottom w:val="0"/>
      <w:divBdr>
        <w:top w:val="none" w:sz="0" w:space="0" w:color="auto"/>
        <w:left w:val="none" w:sz="0" w:space="0" w:color="auto"/>
        <w:bottom w:val="none" w:sz="0" w:space="0" w:color="auto"/>
        <w:right w:val="none" w:sz="0" w:space="0" w:color="auto"/>
      </w:divBdr>
    </w:div>
    <w:div w:id="1566605035">
      <w:bodyDiv w:val="1"/>
      <w:marLeft w:val="0"/>
      <w:marRight w:val="0"/>
      <w:marTop w:val="0"/>
      <w:marBottom w:val="0"/>
      <w:divBdr>
        <w:top w:val="none" w:sz="0" w:space="0" w:color="auto"/>
        <w:left w:val="none" w:sz="0" w:space="0" w:color="auto"/>
        <w:bottom w:val="none" w:sz="0" w:space="0" w:color="auto"/>
        <w:right w:val="none" w:sz="0" w:space="0" w:color="auto"/>
      </w:divBdr>
    </w:div>
    <w:div w:id="1566649524">
      <w:bodyDiv w:val="1"/>
      <w:marLeft w:val="0"/>
      <w:marRight w:val="0"/>
      <w:marTop w:val="0"/>
      <w:marBottom w:val="0"/>
      <w:divBdr>
        <w:top w:val="none" w:sz="0" w:space="0" w:color="auto"/>
        <w:left w:val="none" w:sz="0" w:space="0" w:color="auto"/>
        <w:bottom w:val="none" w:sz="0" w:space="0" w:color="auto"/>
        <w:right w:val="none" w:sz="0" w:space="0" w:color="auto"/>
      </w:divBdr>
    </w:div>
    <w:div w:id="1566723206">
      <w:bodyDiv w:val="1"/>
      <w:marLeft w:val="0"/>
      <w:marRight w:val="0"/>
      <w:marTop w:val="0"/>
      <w:marBottom w:val="0"/>
      <w:divBdr>
        <w:top w:val="none" w:sz="0" w:space="0" w:color="auto"/>
        <w:left w:val="none" w:sz="0" w:space="0" w:color="auto"/>
        <w:bottom w:val="none" w:sz="0" w:space="0" w:color="auto"/>
        <w:right w:val="none" w:sz="0" w:space="0" w:color="auto"/>
      </w:divBdr>
    </w:div>
    <w:div w:id="1566797986">
      <w:bodyDiv w:val="1"/>
      <w:marLeft w:val="0"/>
      <w:marRight w:val="0"/>
      <w:marTop w:val="0"/>
      <w:marBottom w:val="0"/>
      <w:divBdr>
        <w:top w:val="none" w:sz="0" w:space="0" w:color="auto"/>
        <w:left w:val="none" w:sz="0" w:space="0" w:color="auto"/>
        <w:bottom w:val="none" w:sz="0" w:space="0" w:color="auto"/>
        <w:right w:val="none" w:sz="0" w:space="0" w:color="auto"/>
      </w:divBdr>
    </w:div>
    <w:div w:id="1566867383">
      <w:bodyDiv w:val="1"/>
      <w:marLeft w:val="0"/>
      <w:marRight w:val="0"/>
      <w:marTop w:val="0"/>
      <w:marBottom w:val="0"/>
      <w:divBdr>
        <w:top w:val="none" w:sz="0" w:space="0" w:color="auto"/>
        <w:left w:val="none" w:sz="0" w:space="0" w:color="auto"/>
        <w:bottom w:val="none" w:sz="0" w:space="0" w:color="auto"/>
        <w:right w:val="none" w:sz="0" w:space="0" w:color="auto"/>
      </w:divBdr>
    </w:div>
    <w:div w:id="1567107318">
      <w:bodyDiv w:val="1"/>
      <w:marLeft w:val="0"/>
      <w:marRight w:val="0"/>
      <w:marTop w:val="0"/>
      <w:marBottom w:val="0"/>
      <w:divBdr>
        <w:top w:val="none" w:sz="0" w:space="0" w:color="auto"/>
        <w:left w:val="none" w:sz="0" w:space="0" w:color="auto"/>
        <w:bottom w:val="none" w:sz="0" w:space="0" w:color="auto"/>
        <w:right w:val="none" w:sz="0" w:space="0" w:color="auto"/>
      </w:divBdr>
    </w:div>
    <w:div w:id="1567108277">
      <w:bodyDiv w:val="1"/>
      <w:marLeft w:val="0"/>
      <w:marRight w:val="0"/>
      <w:marTop w:val="0"/>
      <w:marBottom w:val="0"/>
      <w:divBdr>
        <w:top w:val="none" w:sz="0" w:space="0" w:color="auto"/>
        <w:left w:val="none" w:sz="0" w:space="0" w:color="auto"/>
        <w:bottom w:val="none" w:sz="0" w:space="0" w:color="auto"/>
        <w:right w:val="none" w:sz="0" w:space="0" w:color="auto"/>
      </w:divBdr>
    </w:div>
    <w:div w:id="1567185930">
      <w:bodyDiv w:val="1"/>
      <w:marLeft w:val="0"/>
      <w:marRight w:val="0"/>
      <w:marTop w:val="0"/>
      <w:marBottom w:val="0"/>
      <w:divBdr>
        <w:top w:val="none" w:sz="0" w:space="0" w:color="auto"/>
        <w:left w:val="none" w:sz="0" w:space="0" w:color="auto"/>
        <w:bottom w:val="none" w:sz="0" w:space="0" w:color="auto"/>
        <w:right w:val="none" w:sz="0" w:space="0" w:color="auto"/>
      </w:divBdr>
    </w:div>
    <w:div w:id="1567228885">
      <w:bodyDiv w:val="1"/>
      <w:marLeft w:val="0"/>
      <w:marRight w:val="0"/>
      <w:marTop w:val="0"/>
      <w:marBottom w:val="0"/>
      <w:divBdr>
        <w:top w:val="none" w:sz="0" w:space="0" w:color="auto"/>
        <w:left w:val="none" w:sz="0" w:space="0" w:color="auto"/>
        <w:bottom w:val="none" w:sz="0" w:space="0" w:color="auto"/>
        <w:right w:val="none" w:sz="0" w:space="0" w:color="auto"/>
      </w:divBdr>
    </w:div>
    <w:div w:id="1567258920">
      <w:bodyDiv w:val="1"/>
      <w:marLeft w:val="0"/>
      <w:marRight w:val="0"/>
      <w:marTop w:val="0"/>
      <w:marBottom w:val="0"/>
      <w:divBdr>
        <w:top w:val="none" w:sz="0" w:space="0" w:color="auto"/>
        <w:left w:val="none" w:sz="0" w:space="0" w:color="auto"/>
        <w:bottom w:val="none" w:sz="0" w:space="0" w:color="auto"/>
        <w:right w:val="none" w:sz="0" w:space="0" w:color="auto"/>
      </w:divBdr>
    </w:div>
    <w:div w:id="1567374616">
      <w:bodyDiv w:val="1"/>
      <w:marLeft w:val="0"/>
      <w:marRight w:val="0"/>
      <w:marTop w:val="0"/>
      <w:marBottom w:val="0"/>
      <w:divBdr>
        <w:top w:val="none" w:sz="0" w:space="0" w:color="auto"/>
        <w:left w:val="none" w:sz="0" w:space="0" w:color="auto"/>
        <w:bottom w:val="none" w:sz="0" w:space="0" w:color="auto"/>
        <w:right w:val="none" w:sz="0" w:space="0" w:color="auto"/>
      </w:divBdr>
    </w:div>
    <w:div w:id="1567450100">
      <w:bodyDiv w:val="1"/>
      <w:marLeft w:val="0"/>
      <w:marRight w:val="0"/>
      <w:marTop w:val="0"/>
      <w:marBottom w:val="0"/>
      <w:divBdr>
        <w:top w:val="none" w:sz="0" w:space="0" w:color="auto"/>
        <w:left w:val="none" w:sz="0" w:space="0" w:color="auto"/>
        <w:bottom w:val="none" w:sz="0" w:space="0" w:color="auto"/>
        <w:right w:val="none" w:sz="0" w:space="0" w:color="auto"/>
      </w:divBdr>
    </w:div>
    <w:div w:id="1567454533">
      <w:bodyDiv w:val="1"/>
      <w:marLeft w:val="0"/>
      <w:marRight w:val="0"/>
      <w:marTop w:val="0"/>
      <w:marBottom w:val="0"/>
      <w:divBdr>
        <w:top w:val="none" w:sz="0" w:space="0" w:color="auto"/>
        <w:left w:val="none" w:sz="0" w:space="0" w:color="auto"/>
        <w:bottom w:val="none" w:sz="0" w:space="0" w:color="auto"/>
        <w:right w:val="none" w:sz="0" w:space="0" w:color="auto"/>
      </w:divBdr>
    </w:div>
    <w:div w:id="1567642963">
      <w:bodyDiv w:val="1"/>
      <w:marLeft w:val="0"/>
      <w:marRight w:val="0"/>
      <w:marTop w:val="0"/>
      <w:marBottom w:val="0"/>
      <w:divBdr>
        <w:top w:val="none" w:sz="0" w:space="0" w:color="auto"/>
        <w:left w:val="none" w:sz="0" w:space="0" w:color="auto"/>
        <w:bottom w:val="none" w:sz="0" w:space="0" w:color="auto"/>
        <w:right w:val="none" w:sz="0" w:space="0" w:color="auto"/>
      </w:divBdr>
    </w:div>
    <w:div w:id="1567646635">
      <w:bodyDiv w:val="1"/>
      <w:marLeft w:val="0"/>
      <w:marRight w:val="0"/>
      <w:marTop w:val="0"/>
      <w:marBottom w:val="0"/>
      <w:divBdr>
        <w:top w:val="none" w:sz="0" w:space="0" w:color="auto"/>
        <w:left w:val="none" w:sz="0" w:space="0" w:color="auto"/>
        <w:bottom w:val="none" w:sz="0" w:space="0" w:color="auto"/>
        <w:right w:val="none" w:sz="0" w:space="0" w:color="auto"/>
      </w:divBdr>
    </w:div>
    <w:div w:id="1567689991">
      <w:bodyDiv w:val="1"/>
      <w:marLeft w:val="0"/>
      <w:marRight w:val="0"/>
      <w:marTop w:val="0"/>
      <w:marBottom w:val="0"/>
      <w:divBdr>
        <w:top w:val="none" w:sz="0" w:space="0" w:color="auto"/>
        <w:left w:val="none" w:sz="0" w:space="0" w:color="auto"/>
        <w:bottom w:val="none" w:sz="0" w:space="0" w:color="auto"/>
        <w:right w:val="none" w:sz="0" w:space="0" w:color="auto"/>
      </w:divBdr>
    </w:div>
    <w:div w:id="1567757730">
      <w:bodyDiv w:val="1"/>
      <w:marLeft w:val="0"/>
      <w:marRight w:val="0"/>
      <w:marTop w:val="0"/>
      <w:marBottom w:val="0"/>
      <w:divBdr>
        <w:top w:val="none" w:sz="0" w:space="0" w:color="auto"/>
        <w:left w:val="none" w:sz="0" w:space="0" w:color="auto"/>
        <w:bottom w:val="none" w:sz="0" w:space="0" w:color="auto"/>
        <w:right w:val="none" w:sz="0" w:space="0" w:color="auto"/>
      </w:divBdr>
    </w:div>
    <w:div w:id="1567842294">
      <w:bodyDiv w:val="1"/>
      <w:marLeft w:val="0"/>
      <w:marRight w:val="0"/>
      <w:marTop w:val="0"/>
      <w:marBottom w:val="0"/>
      <w:divBdr>
        <w:top w:val="none" w:sz="0" w:space="0" w:color="auto"/>
        <w:left w:val="none" w:sz="0" w:space="0" w:color="auto"/>
        <w:bottom w:val="none" w:sz="0" w:space="0" w:color="auto"/>
        <w:right w:val="none" w:sz="0" w:space="0" w:color="auto"/>
      </w:divBdr>
    </w:div>
    <w:div w:id="1567960302">
      <w:bodyDiv w:val="1"/>
      <w:marLeft w:val="0"/>
      <w:marRight w:val="0"/>
      <w:marTop w:val="0"/>
      <w:marBottom w:val="0"/>
      <w:divBdr>
        <w:top w:val="none" w:sz="0" w:space="0" w:color="auto"/>
        <w:left w:val="none" w:sz="0" w:space="0" w:color="auto"/>
        <w:bottom w:val="none" w:sz="0" w:space="0" w:color="auto"/>
        <w:right w:val="none" w:sz="0" w:space="0" w:color="auto"/>
      </w:divBdr>
    </w:div>
    <w:div w:id="1568026839">
      <w:bodyDiv w:val="1"/>
      <w:marLeft w:val="0"/>
      <w:marRight w:val="0"/>
      <w:marTop w:val="0"/>
      <w:marBottom w:val="0"/>
      <w:divBdr>
        <w:top w:val="none" w:sz="0" w:space="0" w:color="auto"/>
        <w:left w:val="none" w:sz="0" w:space="0" w:color="auto"/>
        <w:bottom w:val="none" w:sz="0" w:space="0" w:color="auto"/>
        <w:right w:val="none" w:sz="0" w:space="0" w:color="auto"/>
      </w:divBdr>
    </w:div>
    <w:div w:id="1568104236">
      <w:bodyDiv w:val="1"/>
      <w:marLeft w:val="0"/>
      <w:marRight w:val="0"/>
      <w:marTop w:val="0"/>
      <w:marBottom w:val="0"/>
      <w:divBdr>
        <w:top w:val="none" w:sz="0" w:space="0" w:color="auto"/>
        <w:left w:val="none" w:sz="0" w:space="0" w:color="auto"/>
        <w:bottom w:val="none" w:sz="0" w:space="0" w:color="auto"/>
        <w:right w:val="none" w:sz="0" w:space="0" w:color="auto"/>
      </w:divBdr>
    </w:div>
    <w:div w:id="1568108747">
      <w:bodyDiv w:val="1"/>
      <w:marLeft w:val="0"/>
      <w:marRight w:val="0"/>
      <w:marTop w:val="0"/>
      <w:marBottom w:val="0"/>
      <w:divBdr>
        <w:top w:val="none" w:sz="0" w:space="0" w:color="auto"/>
        <w:left w:val="none" w:sz="0" w:space="0" w:color="auto"/>
        <w:bottom w:val="none" w:sz="0" w:space="0" w:color="auto"/>
        <w:right w:val="none" w:sz="0" w:space="0" w:color="auto"/>
      </w:divBdr>
    </w:div>
    <w:div w:id="1568149354">
      <w:bodyDiv w:val="1"/>
      <w:marLeft w:val="0"/>
      <w:marRight w:val="0"/>
      <w:marTop w:val="0"/>
      <w:marBottom w:val="0"/>
      <w:divBdr>
        <w:top w:val="none" w:sz="0" w:space="0" w:color="auto"/>
        <w:left w:val="none" w:sz="0" w:space="0" w:color="auto"/>
        <w:bottom w:val="none" w:sz="0" w:space="0" w:color="auto"/>
        <w:right w:val="none" w:sz="0" w:space="0" w:color="auto"/>
      </w:divBdr>
    </w:div>
    <w:div w:id="1568152917">
      <w:bodyDiv w:val="1"/>
      <w:marLeft w:val="0"/>
      <w:marRight w:val="0"/>
      <w:marTop w:val="0"/>
      <w:marBottom w:val="0"/>
      <w:divBdr>
        <w:top w:val="none" w:sz="0" w:space="0" w:color="auto"/>
        <w:left w:val="none" w:sz="0" w:space="0" w:color="auto"/>
        <w:bottom w:val="none" w:sz="0" w:space="0" w:color="auto"/>
        <w:right w:val="none" w:sz="0" w:space="0" w:color="auto"/>
      </w:divBdr>
    </w:div>
    <w:div w:id="1568224446">
      <w:bodyDiv w:val="1"/>
      <w:marLeft w:val="0"/>
      <w:marRight w:val="0"/>
      <w:marTop w:val="0"/>
      <w:marBottom w:val="0"/>
      <w:divBdr>
        <w:top w:val="none" w:sz="0" w:space="0" w:color="auto"/>
        <w:left w:val="none" w:sz="0" w:space="0" w:color="auto"/>
        <w:bottom w:val="none" w:sz="0" w:space="0" w:color="auto"/>
        <w:right w:val="none" w:sz="0" w:space="0" w:color="auto"/>
      </w:divBdr>
    </w:div>
    <w:div w:id="1568299403">
      <w:bodyDiv w:val="1"/>
      <w:marLeft w:val="0"/>
      <w:marRight w:val="0"/>
      <w:marTop w:val="0"/>
      <w:marBottom w:val="0"/>
      <w:divBdr>
        <w:top w:val="none" w:sz="0" w:space="0" w:color="auto"/>
        <w:left w:val="none" w:sz="0" w:space="0" w:color="auto"/>
        <w:bottom w:val="none" w:sz="0" w:space="0" w:color="auto"/>
        <w:right w:val="none" w:sz="0" w:space="0" w:color="auto"/>
      </w:divBdr>
    </w:div>
    <w:div w:id="1568301108">
      <w:bodyDiv w:val="1"/>
      <w:marLeft w:val="0"/>
      <w:marRight w:val="0"/>
      <w:marTop w:val="0"/>
      <w:marBottom w:val="0"/>
      <w:divBdr>
        <w:top w:val="none" w:sz="0" w:space="0" w:color="auto"/>
        <w:left w:val="none" w:sz="0" w:space="0" w:color="auto"/>
        <w:bottom w:val="none" w:sz="0" w:space="0" w:color="auto"/>
        <w:right w:val="none" w:sz="0" w:space="0" w:color="auto"/>
      </w:divBdr>
    </w:div>
    <w:div w:id="1568302561">
      <w:bodyDiv w:val="1"/>
      <w:marLeft w:val="0"/>
      <w:marRight w:val="0"/>
      <w:marTop w:val="0"/>
      <w:marBottom w:val="0"/>
      <w:divBdr>
        <w:top w:val="none" w:sz="0" w:space="0" w:color="auto"/>
        <w:left w:val="none" w:sz="0" w:space="0" w:color="auto"/>
        <w:bottom w:val="none" w:sz="0" w:space="0" w:color="auto"/>
        <w:right w:val="none" w:sz="0" w:space="0" w:color="auto"/>
      </w:divBdr>
    </w:div>
    <w:div w:id="1568414820">
      <w:bodyDiv w:val="1"/>
      <w:marLeft w:val="0"/>
      <w:marRight w:val="0"/>
      <w:marTop w:val="0"/>
      <w:marBottom w:val="0"/>
      <w:divBdr>
        <w:top w:val="none" w:sz="0" w:space="0" w:color="auto"/>
        <w:left w:val="none" w:sz="0" w:space="0" w:color="auto"/>
        <w:bottom w:val="none" w:sz="0" w:space="0" w:color="auto"/>
        <w:right w:val="none" w:sz="0" w:space="0" w:color="auto"/>
      </w:divBdr>
    </w:div>
    <w:div w:id="1568421619">
      <w:bodyDiv w:val="1"/>
      <w:marLeft w:val="0"/>
      <w:marRight w:val="0"/>
      <w:marTop w:val="0"/>
      <w:marBottom w:val="0"/>
      <w:divBdr>
        <w:top w:val="none" w:sz="0" w:space="0" w:color="auto"/>
        <w:left w:val="none" w:sz="0" w:space="0" w:color="auto"/>
        <w:bottom w:val="none" w:sz="0" w:space="0" w:color="auto"/>
        <w:right w:val="none" w:sz="0" w:space="0" w:color="auto"/>
      </w:divBdr>
    </w:div>
    <w:div w:id="1568492403">
      <w:bodyDiv w:val="1"/>
      <w:marLeft w:val="0"/>
      <w:marRight w:val="0"/>
      <w:marTop w:val="0"/>
      <w:marBottom w:val="0"/>
      <w:divBdr>
        <w:top w:val="none" w:sz="0" w:space="0" w:color="auto"/>
        <w:left w:val="none" w:sz="0" w:space="0" w:color="auto"/>
        <w:bottom w:val="none" w:sz="0" w:space="0" w:color="auto"/>
        <w:right w:val="none" w:sz="0" w:space="0" w:color="auto"/>
      </w:divBdr>
    </w:div>
    <w:div w:id="1568495957">
      <w:bodyDiv w:val="1"/>
      <w:marLeft w:val="0"/>
      <w:marRight w:val="0"/>
      <w:marTop w:val="0"/>
      <w:marBottom w:val="0"/>
      <w:divBdr>
        <w:top w:val="none" w:sz="0" w:space="0" w:color="auto"/>
        <w:left w:val="none" w:sz="0" w:space="0" w:color="auto"/>
        <w:bottom w:val="none" w:sz="0" w:space="0" w:color="auto"/>
        <w:right w:val="none" w:sz="0" w:space="0" w:color="auto"/>
      </w:divBdr>
    </w:div>
    <w:div w:id="1568688239">
      <w:bodyDiv w:val="1"/>
      <w:marLeft w:val="0"/>
      <w:marRight w:val="0"/>
      <w:marTop w:val="0"/>
      <w:marBottom w:val="0"/>
      <w:divBdr>
        <w:top w:val="none" w:sz="0" w:space="0" w:color="auto"/>
        <w:left w:val="none" w:sz="0" w:space="0" w:color="auto"/>
        <w:bottom w:val="none" w:sz="0" w:space="0" w:color="auto"/>
        <w:right w:val="none" w:sz="0" w:space="0" w:color="auto"/>
      </w:divBdr>
    </w:div>
    <w:div w:id="1568806909">
      <w:bodyDiv w:val="1"/>
      <w:marLeft w:val="0"/>
      <w:marRight w:val="0"/>
      <w:marTop w:val="0"/>
      <w:marBottom w:val="0"/>
      <w:divBdr>
        <w:top w:val="none" w:sz="0" w:space="0" w:color="auto"/>
        <w:left w:val="none" w:sz="0" w:space="0" w:color="auto"/>
        <w:bottom w:val="none" w:sz="0" w:space="0" w:color="auto"/>
        <w:right w:val="none" w:sz="0" w:space="0" w:color="auto"/>
      </w:divBdr>
    </w:div>
    <w:div w:id="1568959213">
      <w:bodyDiv w:val="1"/>
      <w:marLeft w:val="0"/>
      <w:marRight w:val="0"/>
      <w:marTop w:val="0"/>
      <w:marBottom w:val="0"/>
      <w:divBdr>
        <w:top w:val="none" w:sz="0" w:space="0" w:color="auto"/>
        <w:left w:val="none" w:sz="0" w:space="0" w:color="auto"/>
        <w:bottom w:val="none" w:sz="0" w:space="0" w:color="auto"/>
        <w:right w:val="none" w:sz="0" w:space="0" w:color="auto"/>
      </w:divBdr>
    </w:div>
    <w:div w:id="1569029460">
      <w:bodyDiv w:val="1"/>
      <w:marLeft w:val="0"/>
      <w:marRight w:val="0"/>
      <w:marTop w:val="0"/>
      <w:marBottom w:val="0"/>
      <w:divBdr>
        <w:top w:val="none" w:sz="0" w:space="0" w:color="auto"/>
        <w:left w:val="none" w:sz="0" w:space="0" w:color="auto"/>
        <w:bottom w:val="none" w:sz="0" w:space="0" w:color="auto"/>
        <w:right w:val="none" w:sz="0" w:space="0" w:color="auto"/>
      </w:divBdr>
    </w:div>
    <w:div w:id="1569069737">
      <w:bodyDiv w:val="1"/>
      <w:marLeft w:val="0"/>
      <w:marRight w:val="0"/>
      <w:marTop w:val="0"/>
      <w:marBottom w:val="0"/>
      <w:divBdr>
        <w:top w:val="none" w:sz="0" w:space="0" w:color="auto"/>
        <w:left w:val="none" w:sz="0" w:space="0" w:color="auto"/>
        <w:bottom w:val="none" w:sz="0" w:space="0" w:color="auto"/>
        <w:right w:val="none" w:sz="0" w:space="0" w:color="auto"/>
      </w:divBdr>
    </w:div>
    <w:div w:id="1569074633">
      <w:bodyDiv w:val="1"/>
      <w:marLeft w:val="0"/>
      <w:marRight w:val="0"/>
      <w:marTop w:val="0"/>
      <w:marBottom w:val="0"/>
      <w:divBdr>
        <w:top w:val="none" w:sz="0" w:space="0" w:color="auto"/>
        <w:left w:val="none" w:sz="0" w:space="0" w:color="auto"/>
        <w:bottom w:val="none" w:sz="0" w:space="0" w:color="auto"/>
        <w:right w:val="none" w:sz="0" w:space="0" w:color="auto"/>
      </w:divBdr>
    </w:div>
    <w:div w:id="1569077383">
      <w:bodyDiv w:val="1"/>
      <w:marLeft w:val="0"/>
      <w:marRight w:val="0"/>
      <w:marTop w:val="0"/>
      <w:marBottom w:val="0"/>
      <w:divBdr>
        <w:top w:val="none" w:sz="0" w:space="0" w:color="auto"/>
        <w:left w:val="none" w:sz="0" w:space="0" w:color="auto"/>
        <w:bottom w:val="none" w:sz="0" w:space="0" w:color="auto"/>
        <w:right w:val="none" w:sz="0" w:space="0" w:color="auto"/>
      </w:divBdr>
    </w:div>
    <w:div w:id="1569150563">
      <w:bodyDiv w:val="1"/>
      <w:marLeft w:val="0"/>
      <w:marRight w:val="0"/>
      <w:marTop w:val="0"/>
      <w:marBottom w:val="0"/>
      <w:divBdr>
        <w:top w:val="none" w:sz="0" w:space="0" w:color="auto"/>
        <w:left w:val="none" w:sz="0" w:space="0" w:color="auto"/>
        <w:bottom w:val="none" w:sz="0" w:space="0" w:color="auto"/>
        <w:right w:val="none" w:sz="0" w:space="0" w:color="auto"/>
      </w:divBdr>
    </w:div>
    <w:div w:id="1569262810">
      <w:bodyDiv w:val="1"/>
      <w:marLeft w:val="0"/>
      <w:marRight w:val="0"/>
      <w:marTop w:val="0"/>
      <w:marBottom w:val="0"/>
      <w:divBdr>
        <w:top w:val="none" w:sz="0" w:space="0" w:color="auto"/>
        <w:left w:val="none" w:sz="0" w:space="0" w:color="auto"/>
        <w:bottom w:val="none" w:sz="0" w:space="0" w:color="auto"/>
        <w:right w:val="none" w:sz="0" w:space="0" w:color="auto"/>
      </w:divBdr>
    </w:div>
    <w:div w:id="1569342691">
      <w:bodyDiv w:val="1"/>
      <w:marLeft w:val="0"/>
      <w:marRight w:val="0"/>
      <w:marTop w:val="0"/>
      <w:marBottom w:val="0"/>
      <w:divBdr>
        <w:top w:val="none" w:sz="0" w:space="0" w:color="auto"/>
        <w:left w:val="none" w:sz="0" w:space="0" w:color="auto"/>
        <w:bottom w:val="none" w:sz="0" w:space="0" w:color="auto"/>
        <w:right w:val="none" w:sz="0" w:space="0" w:color="auto"/>
      </w:divBdr>
    </w:div>
    <w:div w:id="1569612312">
      <w:bodyDiv w:val="1"/>
      <w:marLeft w:val="0"/>
      <w:marRight w:val="0"/>
      <w:marTop w:val="0"/>
      <w:marBottom w:val="0"/>
      <w:divBdr>
        <w:top w:val="none" w:sz="0" w:space="0" w:color="auto"/>
        <w:left w:val="none" w:sz="0" w:space="0" w:color="auto"/>
        <w:bottom w:val="none" w:sz="0" w:space="0" w:color="auto"/>
        <w:right w:val="none" w:sz="0" w:space="0" w:color="auto"/>
      </w:divBdr>
    </w:div>
    <w:div w:id="1569613818">
      <w:bodyDiv w:val="1"/>
      <w:marLeft w:val="0"/>
      <w:marRight w:val="0"/>
      <w:marTop w:val="0"/>
      <w:marBottom w:val="0"/>
      <w:divBdr>
        <w:top w:val="none" w:sz="0" w:space="0" w:color="auto"/>
        <w:left w:val="none" w:sz="0" w:space="0" w:color="auto"/>
        <w:bottom w:val="none" w:sz="0" w:space="0" w:color="auto"/>
        <w:right w:val="none" w:sz="0" w:space="0" w:color="auto"/>
      </w:divBdr>
    </w:div>
    <w:div w:id="1569730569">
      <w:bodyDiv w:val="1"/>
      <w:marLeft w:val="0"/>
      <w:marRight w:val="0"/>
      <w:marTop w:val="0"/>
      <w:marBottom w:val="0"/>
      <w:divBdr>
        <w:top w:val="none" w:sz="0" w:space="0" w:color="auto"/>
        <w:left w:val="none" w:sz="0" w:space="0" w:color="auto"/>
        <w:bottom w:val="none" w:sz="0" w:space="0" w:color="auto"/>
        <w:right w:val="none" w:sz="0" w:space="0" w:color="auto"/>
      </w:divBdr>
    </w:div>
    <w:div w:id="1569850055">
      <w:bodyDiv w:val="1"/>
      <w:marLeft w:val="0"/>
      <w:marRight w:val="0"/>
      <w:marTop w:val="0"/>
      <w:marBottom w:val="0"/>
      <w:divBdr>
        <w:top w:val="none" w:sz="0" w:space="0" w:color="auto"/>
        <w:left w:val="none" w:sz="0" w:space="0" w:color="auto"/>
        <w:bottom w:val="none" w:sz="0" w:space="0" w:color="auto"/>
        <w:right w:val="none" w:sz="0" w:space="0" w:color="auto"/>
      </w:divBdr>
    </w:div>
    <w:div w:id="1569877157">
      <w:bodyDiv w:val="1"/>
      <w:marLeft w:val="0"/>
      <w:marRight w:val="0"/>
      <w:marTop w:val="0"/>
      <w:marBottom w:val="0"/>
      <w:divBdr>
        <w:top w:val="none" w:sz="0" w:space="0" w:color="auto"/>
        <w:left w:val="none" w:sz="0" w:space="0" w:color="auto"/>
        <w:bottom w:val="none" w:sz="0" w:space="0" w:color="auto"/>
        <w:right w:val="none" w:sz="0" w:space="0" w:color="auto"/>
      </w:divBdr>
    </w:div>
    <w:div w:id="1569921344">
      <w:bodyDiv w:val="1"/>
      <w:marLeft w:val="0"/>
      <w:marRight w:val="0"/>
      <w:marTop w:val="0"/>
      <w:marBottom w:val="0"/>
      <w:divBdr>
        <w:top w:val="none" w:sz="0" w:space="0" w:color="auto"/>
        <w:left w:val="none" w:sz="0" w:space="0" w:color="auto"/>
        <w:bottom w:val="none" w:sz="0" w:space="0" w:color="auto"/>
        <w:right w:val="none" w:sz="0" w:space="0" w:color="auto"/>
      </w:divBdr>
    </w:div>
    <w:div w:id="1570071835">
      <w:bodyDiv w:val="1"/>
      <w:marLeft w:val="0"/>
      <w:marRight w:val="0"/>
      <w:marTop w:val="0"/>
      <w:marBottom w:val="0"/>
      <w:divBdr>
        <w:top w:val="none" w:sz="0" w:space="0" w:color="auto"/>
        <w:left w:val="none" w:sz="0" w:space="0" w:color="auto"/>
        <w:bottom w:val="none" w:sz="0" w:space="0" w:color="auto"/>
        <w:right w:val="none" w:sz="0" w:space="0" w:color="auto"/>
      </w:divBdr>
    </w:div>
    <w:div w:id="1570186588">
      <w:bodyDiv w:val="1"/>
      <w:marLeft w:val="0"/>
      <w:marRight w:val="0"/>
      <w:marTop w:val="0"/>
      <w:marBottom w:val="0"/>
      <w:divBdr>
        <w:top w:val="none" w:sz="0" w:space="0" w:color="auto"/>
        <w:left w:val="none" w:sz="0" w:space="0" w:color="auto"/>
        <w:bottom w:val="none" w:sz="0" w:space="0" w:color="auto"/>
        <w:right w:val="none" w:sz="0" w:space="0" w:color="auto"/>
      </w:divBdr>
    </w:div>
    <w:div w:id="1570386532">
      <w:bodyDiv w:val="1"/>
      <w:marLeft w:val="0"/>
      <w:marRight w:val="0"/>
      <w:marTop w:val="0"/>
      <w:marBottom w:val="0"/>
      <w:divBdr>
        <w:top w:val="none" w:sz="0" w:space="0" w:color="auto"/>
        <w:left w:val="none" w:sz="0" w:space="0" w:color="auto"/>
        <w:bottom w:val="none" w:sz="0" w:space="0" w:color="auto"/>
        <w:right w:val="none" w:sz="0" w:space="0" w:color="auto"/>
      </w:divBdr>
    </w:div>
    <w:div w:id="1570529698">
      <w:bodyDiv w:val="1"/>
      <w:marLeft w:val="0"/>
      <w:marRight w:val="0"/>
      <w:marTop w:val="0"/>
      <w:marBottom w:val="0"/>
      <w:divBdr>
        <w:top w:val="none" w:sz="0" w:space="0" w:color="auto"/>
        <w:left w:val="none" w:sz="0" w:space="0" w:color="auto"/>
        <w:bottom w:val="none" w:sz="0" w:space="0" w:color="auto"/>
        <w:right w:val="none" w:sz="0" w:space="0" w:color="auto"/>
      </w:divBdr>
    </w:div>
    <w:div w:id="1570536705">
      <w:bodyDiv w:val="1"/>
      <w:marLeft w:val="0"/>
      <w:marRight w:val="0"/>
      <w:marTop w:val="0"/>
      <w:marBottom w:val="0"/>
      <w:divBdr>
        <w:top w:val="none" w:sz="0" w:space="0" w:color="auto"/>
        <w:left w:val="none" w:sz="0" w:space="0" w:color="auto"/>
        <w:bottom w:val="none" w:sz="0" w:space="0" w:color="auto"/>
        <w:right w:val="none" w:sz="0" w:space="0" w:color="auto"/>
      </w:divBdr>
    </w:div>
    <w:div w:id="1570580388">
      <w:bodyDiv w:val="1"/>
      <w:marLeft w:val="0"/>
      <w:marRight w:val="0"/>
      <w:marTop w:val="0"/>
      <w:marBottom w:val="0"/>
      <w:divBdr>
        <w:top w:val="none" w:sz="0" w:space="0" w:color="auto"/>
        <w:left w:val="none" w:sz="0" w:space="0" w:color="auto"/>
        <w:bottom w:val="none" w:sz="0" w:space="0" w:color="auto"/>
        <w:right w:val="none" w:sz="0" w:space="0" w:color="auto"/>
      </w:divBdr>
    </w:div>
    <w:div w:id="1570799212">
      <w:bodyDiv w:val="1"/>
      <w:marLeft w:val="0"/>
      <w:marRight w:val="0"/>
      <w:marTop w:val="0"/>
      <w:marBottom w:val="0"/>
      <w:divBdr>
        <w:top w:val="none" w:sz="0" w:space="0" w:color="auto"/>
        <w:left w:val="none" w:sz="0" w:space="0" w:color="auto"/>
        <w:bottom w:val="none" w:sz="0" w:space="0" w:color="auto"/>
        <w:right w:val="none" w:sz="0" w:space="0" w:color="auto"/>
      </w:divBdr>
    </w:div>
    <w:div w:id="1570966713">
      <w:bodyDiv w:val="1"/>
      <w:marLeft w:val="0"/>
      <w:marRight w:val="0"/>
      <w:marTop w:val="0"/>
      <w:marBottom w:val="0"/>
      <w:divBdr>
        <w:top w:val="none" w:sz="0" w:space="0" w:color="auto"/>
        <w:left w:val="none" w:sz="0" w:space="0" w:color="auto"/>
        <w:bottom w:val="none" w:sz="0" w:space="0" w:color="auto"/>
        <w:right w:val="none" w:sz="0" w:space="0" w:color="auto"/>
      </w:divBdr>
    </w:div>
    <w:div w:id="1571229093">
      <w:bodyDiv w:val="1"/>
      <w:marLeft w:val="0"/>
      <w:marRight w:val="0"/>
      <w:marTop w:val="0"/>
      <w:marBottom w:val="0"/>
      <w:divBdr>
        <w:top w:val="none" w:sz="0" w:space="0" w:color="auto"/>
        <w:left w:val="none" w:sz="0" w:space="0" w:color="auto"/>
        <w:bottom w:val="none" w:sz="0" w:space="0" w:color="auto"/>
        <w:right w:val="none" w:sz="0" w:space="0" w:color="auto"/>
      </w:divBdr>
    </w:div>
    <w:div w:id="1571384594">
      <w:bodyDiv w:val="1"/>
      <w:marLeft w:val="0"/>
      <w:marRight w:val="0"/>
      <w:marTop w:val="0"/>
      <w:marBottom w:val="0"/>
      <w:divBdr>
        <w:top w:val="none" w:sz="0" w:space="0" w:color="auto"/>
        <w:left w:val="none" w:sz="0" w:space="0" w:color="auto"/>
        <w:bottom w:val="none" w:sz="0" w:space="0" w:color="auto"/>
        <w:right w:val="none" w:sz="0" w:space="0" w:color="auto"/>
      </w:divBdr>
    </w:div>
    <w:div w:id="1571422284">
      <w:bodyDiv w:val="1"/>
      <w:marLeft w:val="0"/>
      <w:marRight w:val="0"/>
      <w:marTop w:val="0"/>
      <w:marBottom w:val="0"/>
      <w:divBdr>
        <w:top w:val="none" w:sz="0" w:space="0" w:color="auto"/>
        <w:left w:val="none" w:sz="0" w:space="0" w:color="auto"/>
        <w:bottom w:val="none" w:sz="0" w:space="0" w:color="auto"/>
        <w:right w:val="none" w:sz="0" w:space="0" w:color="auto"/>
      </w:divBdr>
    </w:div>
    <w:div w:id="1571425252">
      <w:bodyDiv w:val="1"/>
      <w:marLeft w:val="0"/>
      <w:marRight w:val="0"/>
      <w:marTop w:val="0"/>
      <w:marBottom w:val="0"/>
      <w:divBdr>
        <w:top w:val="none" w:sz="0" w:space="0" w:color="auto"/>
        <w:left w:val="none" w:sz="0" w:space="0" w:color="auto"/>
        <w:bottom w:val="none" w:sz="0" w:space="0" w:color="auto"/>
        <w:right w:val="none" w:sz="0" w:space="0" w:color="auto"/>
      </w:divBdr>
    </w:div>
    <w:div w:id="1571496614">
      <w:bodyDiv w:val="1"/>
      <w:marLeft w:val="0"/>
      <w:marRight w:val="0"/>
      <w:marTop w:val="0"/>
      <w:marBottom w:val="0"/>
      <w:divBdr>
        <w:top w:val="none" w:sz="0" w:space="0" w:color="auto"/>
        <w:left w:val="none" w:sz="0" w:space="0" w:color="auto"/>
        <w:bottom w:val="none" w:sz="0" w:space="0" w:color="auto"/>
        <w:right w:val="none" w:sz="0" w:space="0" w:color="auto"/>
      </w:divBdr>
    </w:div>
    <w:div w:id="1571571736">
      <w:bodyDiv w:val="1"/>
      <w:marLeft w:val="0"/>
      <w:marRight w:val="0"/>
      <w:marTop w:val="0"/>
      <w:marBottom w:val="0"/>
      <w:divBdr>
        <w:top w:val="none" w:sz="0" w:space="0" w:color="auto"/>
        <w:left w:val="none" w:sz="0" w:space="0" w:color="auto"/>
        <w:bottom w:val="none" w:sz="0" w:space="0" w:color="auto"/>
        <w:right w:val="none" w:sz="0" w:space="0" w:color="auto"/>
      </w:divBdr>
    </w:div>
    <w:div w:id="1571578049">
      <w:bodyDiv w:val="1"/>
      <w:marLeft w:val="0"/>
      <w:marRight w:val="0"/>
      <w:marTop w:val="0"/>
      <w:marBottom w:val="0"/>
      <w:divBdr>
        <w:top w:val="none" w:sz="0" w:space="0" w:color="auto"/>
        <w:left w:val="none" w:sz="0" w:space="0" w:color="auto"/>
        <w:bottom w:val="none" w:sz="0" w:space="0" w:color="auto"/>
        <w:right w:val="none" w:sz="0" w:space="0" w:color="auto"/>
      </w:divBdr>
    </w:div>
    <w:div w:id="1571579142">
      <w:bodyDiv w:val="1"/>
      <w:marLeft w:val="0"/>
      <w:marRight w:val="0"/>
      <w:marTop w:val="0"/>
      <w:marBottom w:val="0"/>
      <w:divBdr>
        <w:top w:val="none" w:sz="0" w:space="0" w:color="auto"/>
        <w:left w:val="none" w:sz="0" w:space="0" w:color="auto"/>
        <w:bottom w:val="none" w:sz="0" w:space="0" w:color="auto"/>
        <w:right w:val="none" w:sz="0" w:space="0" w:color="auto"/>
      </w:divBdr>
    </w:div>
    <w:div w:id="1571648140">
      <w:bodyDiv w:val="1"/>
      <w:marLeft w:val="0"/>
      <w:marRight w:val="0"/>
      <w:marTop w:val="0"/>
      <w:marBottom w:val="0"/>
      <w:divBdr>
        <w:top w:val="none" w:sz="0" w:space="0" w:color="auto"/>
        <w:left w:val="none" w:sz="0" w:space="0" w:color="auto"/>
        <w:bottom w:val="none" w:sz="0" w:space="0" w:color="auto"/>
        <w:right w:val="none" w:sz="0" w:space="0" w:color="auto"/>
      </w:divBdr>
    </w:div>
    <w:div w:id="1571649084">
      <w:bodyDiv w:val="1"/>
      <w:marLeft w:val="0"/>
      <w:marRight w:val="0"/>
      <w:marTop w:val="0"/>
      <w:marBottom w:val="0"/>
      <w:divBdr>
        <w:top w:val="none" w:sz="0" w:space="0" w:color="auto"/>
        <w:left w:val="none" w:sz="0" w:space="0" w:color="auto"/>
        <w:bottom w:val="none" w:sz="0" w:space="0" w:color="auto"/>
        <w:right w:val="none" w:sz="0" w:space="0" w:color="auto"/>
      </w:divBdr>
    </w:div>
    <w:div w:id="1571691389">
      <w:bodyDiv w:val="1"/>
      <w:marLeft w:val="0"/>
      <w:marRight w:val="0"/>
      <w:marTop w:val="0"/>
      <w:marBottom w:val="0"/>
      <w:divBdr>
        <w:top w:val="none" w:sz="0" w:space="0" w:color="auto"/>
        <w:left w:val="none" w:sz="0" w:space="0" w:color="auto"/>
        <w:bottom w:val="none" w:sz="0" w:space="0" w:color="auto"/>
        <w:right w:val="none" w:sz="0" w:space="0" w:color="auto"/>
      </w:divBdr>
    </w:div>
    <w:div w:id="1571693484">
      <w:bodyDiv w:val="1"/>
      <w:marLeft w:val="0"/>
      <w:marRight w:val="0"/>
      <w:marTop w:val="0"/>
      <w:marBottom w:val="0"/>
      <w:divBdr>
        <w:top w:val="none" w:sz="0" w:space="0" w:color="auto"/>
        <w:left w:val="none" w:sz="0" w:space="0" w:color="auto"/>
        <w:bottom w:val="none" w:sz="0" w:space="0" w:color="auto"/>
        <w:right w:val="none" w:sz="0" w:space="0" w:color="auto"/>
      </w:divBdr>
    </w:div>
    <w:div w:id="1571695798">
      <w:bodyDiv w:val="1"/>
      <w:marLeft w:val="0"/>
      <w:marRight w:val="0"/>
      <w:marTop w:val="0"/>
      <w:marBottom w:val="0"/>
      <w:divBdr>
        <w:top w:val="none" w:sz="0" w:space="0" w:color="auto"/>
        <w:left w:val="none" w:sz="0" w:space="0" w:color="auto"/>
        <w:bottom w:val="none" w:sz="0" w:space="0" w:color="auto"/>
        <w:right w:val="none" w:sz="0" w:space="0" w:color="auto"/>
      </w:divBdr>
    </w:div>
    <w:div w:id="1571695941">
      <w:bodyDiv w:val="1"/>
      <w:marLeft w:val="0"/>
      <w:marRight w:val="0"/>
      <w:marTop w:val="0"/>
      <w:marBottom w:val="0"/>
      <w:divBdr>
        <w:top w:val="none" w:sz="0" w:space="0" w:color="auto"/>
        <w:left w:val="none" w:sz="0" w:space="0" w:color="auto"/>
        <w:bottom w:val="none" w:sz="0" w:space="0" w:color="auto"/>
        <w:right w:val="none" w:sz="0" w:space="0" w:color="auto"/>
      </w:divBdr>
    </w:div>
    <w:div w:id="1571768735">
      <w:bodyDiv w:val="1"/>
      <w:marLeft w:val="0"/>
      <w:marRight w:val="0"/>
      <w:marTop w:val="0"/>
      <w:marBottom w:val="0"/>
      <w:divBdr>
        <w:top w:val="none" w:sz="0" w:space="0" w:color="auto"/>
        <w:left w:val="none" w:sz="0" w:space="0" w:color="auto"/>
        <w:bottom w:val="none" w:sz="0" w:space="0" w:color="auto"/>
        <w:right w:val="none" w:sz="0" w:space="0" w:color="auto"/>
      </w:divBdr>
    </w:div>
    <w:div w:id="1571773167">
      <w:bodyDiv w:val="1"/>
      <w:marLeft w:val="0"/>
      <w:marRight w:val="0"/>
      <w:marTop w:val="0"/>
      <w:marBottom w:val="0"/>
      <w:divBdr>
        <w:top w:val="none" w:sz="0" w:space="0" w:color="auto"/>
        <w:left w:val="none" w:sz="0" w:space="0" w:color="auto"/>
        <w:bottom w:val="none" w:sz="0" w:space="0" w:color="auto"/>
        <w:right w:val="none" w:sz="0" w:space="0" w:color="auto"/>
      </w:divBdr>
    </w:div>
    <w:div w:id="1571840704">
      <w:bodyDiv w:val="1"/>
      <w:marLeft w:val="0"/>
      <w:marRight w:val="0"/>
      <w:marTop w:val="0"/>
      <w:marBottom w:val="0"/>
      <w:divBdr>
        <w:top w:val="none" w:sz="0" w:space="0" w:color="auto"/>
        <w:left w:val="none" w:sz="0" w:space="0" w:color="auto"/>
        <w:bottom w:val="none" w:sz="0" w:space="0" w:color="auto"/>
        <w:right w:val="none" w:sz="0" w:space="0" w:color="auto"/>
      </w:divBdr>
    </w:div>
    <w:div w:id="1571886072">
      <w:bodyDiv w:val="1"/>
      <w:marLeft w:val="0"/>
      <w:marRight w:val="0"/>
      <w:marTop w:val="0"/>
      <w:marBottom w:val="0"/>
      <w:divBdr>
        <w:top w:val="none" w:sz="0" w:space="0" w:color="auto"/>
        <w:left w:val="none" w:sz="0" w:space="0" w:color="auto"/>
        <w:bottom w:val="none" w:sz="0" w:space="0" w:color="auto"/>
        <w:right w:val="none" w:sz="0" w:space="0" w:color="auto"/>
      </w:divBdr>
    </w:div>
    <w:div w:id="1571958120">
      <w:bodyDiv w:val="1"/>
      <w:marLeft w:val="0"/>
      <w:marRight w:val="0"/>
      <w:marTop w:val="0"/>
      <w:marBottom w:val="0"/>
      <w:divBdr>
        <w:top w:val="none" w:sz="0" w:space="0" w:color="auto"/>
        <w:left w:val="none" w:sz="0" w:space="0" w:color="auto"/>
        <w:bottom w:val="none" w:sz="0" w:space="0" w:color="auto"/>
        <w:right w:val="none" w:sz="0" w:space="0" w:color="auto"/>
      </w:divBdr>
    </w:div>
    <w:div w:id="1572033859">
      <w:bodyDiv w:val="1"/>
      <w:marLeft w:val="0"/>
      <w:marRight w:val="0"/>
      <w:marTop w:val="0"/>
      <w:marBottom w:val="0"/>
      <w:divBdr>
        <w:top w:val="none" w:sz="0" w:space="0" w:color="auto"/>
        <w:left w:val="none" w:sz="0" w:space="0" w:color="auto"/>
        <w:bottom w:val="none" w:sz="0" w:space="0" w:color="auto"/>
        <w:right w:val="none" w:sz="0" w:space="0" w:color="auto"/>
      </w:divBdr>
    </w:div>
    <w:div w:id="1572037080">
      <w:bodyDiv w:val="1"/>
      <w:marLeft w:val="0"/>
      <w:marRight w:val="0"/>
      <w:marTop w:val="0"/>
      <w:marBottom w:val="0"/>
      <w:divBdr>
        <w:top w:val="none" w:sz="0" w:space="0" w:color="auto"/>
        <w:left w:val="none" w:sz="0" w:space="0" w:color="auto"/>
        <w:bottom w:val="none" w:sz="0" w:space="0" w:color="auto"/>
        <w:right w:val="none" w:sz="0" w:space="0" w:color="auto"/>
      </w:divBdr>
    </w:div>
    <w:div w:id="1572234761">
      <w:bodyDiv w:val="1"/>
      <w:marLeft w:val="0"/>
      <w:marRight w:val="0"/>
      <w:marTop w:val="0"/>
      <w:marBottom w:val="0"/>
      <w:divBdr>
        <w:top w:val="none" w:sz="0" w:space="0" w:color="auto"/>
        <w:left w:val="none" w:sz="0" w:space="0" w:color="auto"/>
        <w:bottom w:val="none" w:sz="0" w:space="0" w:color="auto"/>
        <w:right w:val="none" w:sz="0" w:space="0" w:color="auto"/>
      </w:divBdr>
    </w:div>
    <w:div w:id="1572235631">
      <w:bodyDiv w:val="1"/>
      <w:marLeft w:val="0"/>
      <w:marRight w:val="0"/>
      <w:marTop w:val="0"/>
      <w:marBottom w:val="0"/>
      <w:divBdr>
        <w:top w:val="none" w:sz="0" w:space="0" w:color="auto"/>
        <w:left w:val="none" w:sz="0" w:space="0" w:color="auto"/>
        <w:bottom w:val="none" w:sz="0" w:space="0" w:color="auto"/>
        <w:right w:val="none" w:sz="0" w:space="0" w:color="auto"/>
      </w:divBdr>
    </w:div>
    <w:div w:id="1572305719">
      <w:bodyDiv w:val="1"/>
      <w:marLeft w:val="0"/>
      <w:marRight w:val="0"/>
      <w:marTop w:val="0"/>
      <w:marBottom w:val="0"/>
      <w:divBdr>
        <w:top w:val="none" w:sz="0" w:space="0" w:color="auto"/>
        <w:left w:val="none" w:sz="0" w:space="0" w:color="auto"/>
        <w:bottom w:val="none" w:sz="0" w:space="0" w:color="auto"/>
        <w:right w:val="none" w:sz="0" w:space="0" w:color="auto"/>
      </w:divBdr>
    </w:div>
    <w:div w:id="1572346035">
      <w:bodyDiv w:val="1"/>
      <w:marLeft w:val="0"/>
      <w:marRight w:val="0"/>
      <w:marTop w:val="0"/>
      <w:marBottom w:val="0"/>
      <w:divBdr>
        <w:top w:val="none" w:sz="0" w:space="0" w:color="auto"/>
        <w:left w:val="none" w:sz="0" w:space="0" w:color="auto"/>
        <w:bottom w:val="none" w:sz="0" w:space="0" w:color="auto"/>
        <w:right w:val="none" w:sz="0" w:space="0" w:color="auto"/>
      </w:divBdr>
    </w:div>
    <w:div w:id="1572421573">
      <w:bodyDiv w:val="1"/>
      <w:marLeft w:val="0"/>
      <w:marRight w:val="0"/>
      <w:marTop w:val="0"/>
      <w:marBottom w:val="0"/>
      <w:divBdr>
        <w:top w:val="none" w:sz="0" w:space="0" w:color="auto"/>
        <w:left w:val="none" w:sz="0" w:space="0" w:color="auto"/>
        <w:bottom w:val="none" w:sz="0" w:space="0" w:color="auto"/>
        <w:right w:val="none" w:sz="0" w:space="0" w:color="auto"/>
      </w:divBdr>
    </w:div>
    <w:div w:id="1572424177">
      <w:bodyDiv w:val="1"/>
      <w:marLeft w:val="0"/>
      <w:marRight w:val="0"/>
      <w:marTop w:val="0"/>
      <w:marBottom w:val="0"/>
      <w:divBdr>
        <w:top w:val="none" w:sz="0" w:space="0" w:color="auto"/>
        <w:left w:val="none" w:sz="0" w:space="0" w:color="auto"/>
        <w:bottom w:val="none" w:sz="0" w:space="0" w:color="auto"/>
        <w:right w:val="none" w:sz="0" w:space="0" w:color="auto"/>
      </w:divBdr>
    </w:div>
    <w:div w:id="1572690709">
      <w:bodyDiv w:val="1"/>
      <w:marLeft w:val="0"/>
      <w:marRight w:val="0"/>
      <w:marTop w:val="0"/>
      <w:marBottom w:val="0"/>
      <w:divBdr>
        <w:top w:val="none" w:sz="0" w:space="0" w:color="auto"/>
        <w:left w:val="none" w:sz="0" w:space="0" w:color="auto"/>
        <w:bottom w:val="none" w:sz="0" w:space="0" w:color="auto"/>
        <w:right w:val="none" w:sz="0" w:space="0" w:color="auto"/>
      </w:divBdr>
    </w:div>
    <w:div w:id="1572886330">
      <w:bodyDiv w:val="1"/>
      <w:marLeft w:val="0"/>
      <w:marRight w:val="0"/>
      <w:marTop w:val="0"/>
      <w:marBottom w:val="0"/>
      <w:divBdr>
        <w:top w:val="none" w:sz="0" w:space="0" w:color="auto"/>
        <w:left w:val="none" w:sz="0" w:space="0" w:color="auto"/>
        <w:bottom w:val="none" w:sz="0" w:space="0" w:color="auto"/>
        <w:right w:val="none" w:sz="0" w:space="0" w:color="auto"/>
      </w:divBdr>
    </w:div>
    <w:div w:id="1572931876">
      <w:bodyDiv w:val="1"/>
      <w:marLeft w:val="0"/>
      <w:marRight w:val="0"/>
      <w:marTop w:val="0"/>
      <w:marBottom w:val="0"/>
      <w:divBdr>
        <w:top w:val="none" w:sz="0" w:space="0" w:color="auto"/>
        <w:left w:val="none" w:sz="0" w:space="0" w:color="auto"/>
        <w:bottom w:val="none" w:sz="0" w:space="0" w:color="auto"/>
        <w:right w:val="none" w:sz="0" w:space="0" w:color="auto"/>
      </w:divBdr>
    </w:div>
    <w:div w:id="1573198851">
      <w:bodyDiv w:val="1"/>
      <w:marLeft w:val="0"/>
      <w:marRight w:val="0"/>
      <w:marTop w:val="0"/>
      <w:marBottom w:val="0"/>
      <w:divBdr>
        <w:top w:val="none" w:sz="0" w:space="0" w:color="auto"/>
        <w:left w:val="none" w:sz="0" w:space="0" w:color="auto"/>
        <w:bottom w:val="none" w:sz="0" w:space="0" w:color="auto"/>
        <w:right w:val="none" w:sz="0" w:space="0" w:color="auto"/>
      </w:divBdr>
    </w:div>
    <w:div w:id="1573390068">
      <w:bodyDiv w:val="1"/>
      <w:marLeft w:val="0"/>
      <w:marRight w:val="0"/>
      <w:marTop w:val="0"/>
      <w:marBottom w:val="0"/>
      <w:divBdr>
        <w:top w:val="none" w:sz="0" w:space="0" w:color="auto"/>
        <w:left w:val="none" w:sz="0" w:space="0" w:color="auto"/>
        <w:bottom w:val="none" w:sz="0" w:space="0" w:color="auto"/>
        <w:right w:val="none" w:sz="0" w:space="0" w:color="auto"/>
      </w:divBdr>
    </w:div>
    <w:div w:id="1573468201">
      <w:bodyDiv w:val="1"/>
      <w:marLeft w:val="0"/>
      <w:marRight w:val="0"/>
      <w:marTop w:val="0"/>
      <w:marBottom w:val="0"/>
      <w:divBdr>
        <w:top w:val="none" w:sz="0" w:space="0" w:color="auto"/>
        <w:left w:val="none" w:sz="0" w:space="0" w:color="auto"/>
        <w:bottom w:val="none" w:sz="0" w:space="0" w:color="auto"/>
        <w:right w:val="none" w:sz="0" w:space="0" w:color="auto"/>
      </w:divBdr>
    </w:div>
    <w:div w:id="1573471295">
      <w:bodyDiv w:val="1"/>
      <w:marLeft w:val="0"/>
      <w:marRight w:val="0"/>
      <w:marTop w:val="0"/>
      <w:marBottom w:val="0"/>
      <w:divBdr>
        <w:top w:val="none" w:sz="0" w:space="0" w:color="auto"/>
        <w:left w:val="none" w:sz="0" w:space="0" w:color="auto"/>
        <w:bottom w:val="none" w:sz="0" w:space="0" w:color="auto"/>
        <w:right w:val="none" w:sz="0" w:space="0" w:color="auto"/>
      </w:divBdr>
    </w:div>
    <w:div w:id="1573614184">
      <w:bodyDiv w:val="1"/>
      <w:marLeft w:val="0"/>
      <w:marRight w:val="0"/>
      <w:marTop w:val="0"/>
      <w:marBottom w:val="0"/>
      <w:divBdr>
        <w:top w:val="none" w:sz="0" w:space="0" w:color="auto"/>
        <w:left w:val="none" w:sz="0" w:space="0" w:color="auto"/>
        <w:bottom w:val="none" w:sz="0" w:space="0" w:color="auto"/>
        <w:right w:val="none" w:sz="0" w:space="0" w:color="auto"/>
      </w:divBdr>
    </w:div>
    <w:div w:id="1573659482">
      <w:bodyDiv w:val="1"/>
      <w:marLeft w:val="0"/>
      <w:marRight w:val="0"/>
      <w:marTop w:val="0"/>
      <w:marBottom w:val="0"/>
      <w:divBdr>
        <w:top w:val="none" w:sz="0" w:space="0" w:color="auto"/>
        <w:left w:val="none" w:sz="0" w:space="0" w:color="auto"/>
        <w:bottom w:val="none" w:sz="0" w:space="0" w:color="auto"/>
        <w:right w:val="none" w:sz="0" w:space="0" w:color="auto"/>
      </w:divBdr>
    </w:div>
    <w:div w:id="1573733131">
      <w:bodyDiv w:val="1"/>
      <w:marLeft w:val="0"/>
      <w:marRight w:val="0"/>
      <w:marTop w:val="0"/>
      <w:marBottom w:val="0"/>
      <w:divBdr>
        <w:top w:val="none" w:sz="0" w:space="0" w:color="auto"/>
        <w:left w:val="none" w:sz="0" w:space="0" w:color="auto"/>
        <w:bottom w:val="none" w:sz="0" w:space="0" w:color="auto"/>
        <w:right w:val="none" w:sz="0" w:space="0" w:color="auto"/>
      </w:divBdr>
    </w:div>
    <w:div w:id="1573735913">
      <w:bodyDiv w:val="1"/>
      <w:marLeft w:val="0"/>
      <w:marRight w:val="0"/>
      <w:marTop w:val="0"/>
      <w:marBottom w:val="0"/>
      <w:divBdr>
        <w:top w:val="none" w:sz="0" w:space="0" w:color="auto"/>
        <w:left w:val="none" w:sz="0" w:space="0" w:color="auto"/>
        <w:bottom w:val="none" w:sz="0" w:space="0" w:color="auto"/>
        <w:right w:val="none" w:sz="0" w:space="0" w:color="auto"/>
      </w:divBdr>
    </w:div>
    <w:div w:id="1573737188">
      <w:bodyDiv w:val="1"/>
      <w:marLeft w:val="0"/>
      <w:marRight w:val="0"/>
      <w:marTop w:val="0"/>
      <w:marBottom w:val="0"/>
      <w:divBdr>
        <w:top w:val="none" w:sz="0" w:space="0" w:color="auto"/>
        <w:left w:val="none" w:sz="0" w:space="0" w:color="auto"/>
        <w:bottom w:val="none" w:sz="0" w:space="0" w:color="auto"/>
        <w:right w:val="none" w:sz="0" w:space="0" w:color="auto"/>
      </w:divBdr>
    </w:div>
    <w:div w:id="1573851234">
      <w:bodyDiv w:val="1"/>
      <w:marLeft w:val="0"/>
      <w:marRight w:val="0"/>
      <w:marTop w:val="0"/>
      <w:marBottom w:val="0"/>
      <w:divBdr>
        <w:top w:val="none" w:sz="0" w:space="0" w:color="auto"/>
        <w:left w:val="none" w:sz="0" w:space="0" w:color="auto"/>
        <w:bottom w:val="none" w:sz="0" w:space="0" w:color="auto"/>
        <w:right w:val="none" w:sz="0" w:space="0" w:color="auto"/>
      </w:divBdr>
    </w:div>
    <w:div w:id="1573933583">
      <w:bodyDiv w:val="1"/>
      <w:marLeft w:val="0"/>
      <w:marRight w:val="0"/>
      <w:marTop w:val="0"/>
      <w:marBottom w:val="0"/>
      <w:divBdr>
        <w:top w:val="none" w:sz="0" w:space="0" w:color="auto"/>
        <w:left w:val="none" w:sz="0" w:space="0" w:color="auto"/>
        <w:bottom w:val="none" w:sz="0" w:space="0" w:color="auto"/>
        <w:right w:val="none" w:sz="0" w:space="0" w:color="auto"/>
      </w:divBdr>
    </w:div>
    <w:div w:id="1574003833">
      <w:bodyDiv w:val="1"/>
      <w:marLeft w:val="0"/>
      <w:marRight w:val="0"/>
      <w:marTop w:val="0"/>
      <w:marBottom w:val="0"/>
      <w:divBdr>
        <w:top w:val="none" w:sz="0" w:space="0" w:color="auto"/>
        <w:left w:val="none" w:sz="0" w:space="0" w:color="auto"/>
        <w:bottom w:val="none" w:sz="0" w:space="0" w:color="auto"/>
        <w:right w:val="none" w:sz="0" w:space="0" w:color="auto"/>
      </w:divBdr>
    </w:div>
    <w:div w:id="1574044272">
      <w:bodyDiv w:val="1"/>
      <w:marLeft w:val="0"/>
      <w:marRight w:val="0"/>
      <w:marTop w:val="0"/>
      <w:marBottom w:val="0"/>
      <w:divBdr>
        <w:top w:val="none" w:sz="0" w:space="0" w:color="auto"/>
        <w:left w:val="none" w:sz="0" w:space="0" w:color="auto"/>
        <w:bottom w:val="none" w:sz="0" w:space="0" w:color="auto"/>
        <w:right w:val="none" w:sz="0" w:space="0" w:color="auto"/>
      </w:divBdr>
    </w:div>
    <w:div w:id="1574126083">
      <w:bodyDiv w:val="1"/>
      <w:marLeft w:val="0"/>
      <w:marRight w:val="0"/>
      <w:marTop w:val="0"/>
      <w:marBottom w:val="0"/>
      <w:divBdr>
        <w:top w:val="none" w:sz="0" w:space="0" w:color="auto"/>
        <w:left w:val="none" w:sz="0" w:space="0" w:color="auto"/>
        <w:bottom w:val="none" w:sz="0" w:space="0" w:color="auto"/>
        <w:right w:val="none" w:sz="0" w:space="0" w:color="auto"/>
      </w:divBdr>
    </w:div>
    <w:div w:id="1574198632">
      <w:bodyDiv w:val="1"/>
      <w:marLeft w:val="0"/>
      <w:marRight w:val="0"/>
      <w:marTop w:val="0"/>
      <w:marBottom w:val="0"/>
      <w:divBdr>
        <w:top w:val="none" w:sz="0" w:space="0" w:color="auto"/>
        <w:left w:val="none" w:sz="0" w:space="0" w:color="auto"/>
        <w:bottom w:val="none" w:sz="0" w:space="0" w:color="auto"/>
        <w:right w:val="none" w:sz="0" w:space="0" w:color="auto"/>
      </w:divBdr>
    </w:div>
    <w:div w:id="1574242652">
      <w:bodyDiv w:val="1"/>
      <w:marLeft w:val="0"/>
      <w:marRight w:val="0"/>
      <w:marTop w:val="0"/>
      <w:marBottom w:val="0"/>
      <w:divBdr>
        <w:top w:val="none" w:sz="0" w:space="0" w:color="auto"/>
        <w:left w:val="none" w:sz="0" w:space="0" w:color="auto"/>
        <w:bottom w:val="none" w:sz="0" w:space="0" w:color="auto"/>
        <w:right w:val="none" w:sz="0" w:space="0" w:color="auto"/>
      </w:divBdr>
    </w:div>
    <w:div w:id="1574268755">
      <w:bodyDiv w:val="1"/>
      <w:marLeft w:val="0"/>
      <w:marRight w:val="0"/>
      <w:marTop w:val="0"/>
      <w:marBottom w:val="0"/>
      <w:divBdr>
        <w:top w:val="none" w:sz="0" w:space="0" w:color="auto"/>
        <w:left w:val="none" w:sz="0" w:space="0" w:color="auto"/>
        <w:bottom w:val="none" w:sz="0" w:space="0" w:color="auto"/>
        <w:right w:val="none" w:sz="0" w:space="0" w:color="auto"/>
      </w:divBdr>
    </w:div>
    <w:div w:id="1574315120">
      <w:bodyDiv w:val="1"/>
      <w:marLeft w:val="0"/>
      <w:marRight w:val="0"/>
      <w:marTop w:val="0"/>
      <w:marBottom w:val="0"/>
      <w:divBdr>
        <w:top w:val="none" w:sz="0" w:space="0" w:color="auto"/>
        <w:left w:val="none" w:sz="0" w:space="0" w:color="auto"/>
        <w:bottom w:val="none" w:sz="0" w:space="0" w:color="auto"/>
        <w:right w:val="none" w:sz="0" w:space="0" w:color="auto"/>
      </w:divBdr>
    </w:div>
    <w:div w:id="1574317412">
      <w:bodyDiv w:val="1"/>
      <w:marLeft w:val="0"/>
      <w:marRight w:val="0"/>
      <w:marTop w:val="0"/>
      <w:marBottom w:val="0"/>
      <w:divBdr>
        <w:top w:val="none" w:sz="0" w:space="0" w:color="auto"/>
        <w:left w:val="none" w:sz="0" w:space="0" w:color="auto"/>
        <w:bottom w:val="none" w:sz="0" w:space="0" w:color="auto"/>
        <w:right w:val="none" w:sz="0" w:space="0" w:color="auto"/>
      </w:divBdr>
    </w:div>
    <w:div w:id="1574386240">
      <w:bodyDiv w:val="1"/>
      <w:marLeft w:val="0"/>
      <w:marRight w:val="0"/>
      <w:marTop w:val="0"/>
      <w:marBottom w:val="0"/>
      <w:divBdr>
        <w:top w:val="none" w:sz="0" w:space="0" w:color="auto"/>
        <w:left w:val="none" w:sz="0" w:space="0" w:color="auto"/>
        <w:bottom w:val="none" w:sz="0" w:space="0" w:color="auto"/>
        <w:right w:val="none" w:sz="0" w:space="0" w:color="auto"/>
      </w:divBdr>
    </w:div>
    <w:div w:id="1574467227">
      <w:bodyDiv w:val="1"/>
      <w:marLeft w:val="0"/>
      <w:marRight w:val="0"/>
      <w:marTop w:val="0"/>
      <w:marBottom w:val="0"/>
      <w:divBdr>
        <w:top w:val="none" w:sz="0" w:space="0" w:color="auto"/>
        <w:left w:val="none" w:sz="0" w:space="0" w:color="auto"/>
        <w:bottom w:val="none" w:sz="0" w:space="0" w:color="auto"/>
        <w:right w:val="none" w:sz="0" w:space="0" w:color="auto"/>
      </w:divBdr>
    </w:div>
    <w:div w:id="1574775669">
      <w:bodyDiv w:val="1"/>
      <w:marLeft w:val="0"/>
      <w:marRight w:val="0"/>
      <w:marTop w:val="0"/>
      <w:marBottom w:val="0"/>
      <w:divBdr>
        <w:top w:val="none" w:sz="0" w:space="0" w:color="auto"/>
        <w:left w:val="none" w:sz="0" w:space="0" w:color="auto"/>
        <w:bottom w:val="none" w:sz="0" w:space="0" w:color="auto"/>
        <w:right w:val="none" w:sz="0" w:space="0" w:color="auto"/>
      </w:divBdr>
    </w:div>
    <w:div w:id="1574854053">
      <w:bodyDiv w:val="1"/>
      <w:marLeft w:val="0"/>
      <w:marRight w:val="0"/>
      <w:marTop w:val="0"/>
      <w:marBottom w:val="0"/>
      <w:divBdr>
        <w:top w:val="none" w:sz="0" w:space="0" w:color="auto"/>
        <w:left w:val="none" w:sz="0" w:space="0" w:color="auto"/>
        <w:bottom w:val="none" w:sz="0" w:space="0" w:color="auto"/>
        <w:right w:val="none" w:sz="0" w:space="0" w:color="auto"/>
      </w:divBdr>
    </w:div>
    <w:div w:id="1574854626">
      <w:bodyDiv w:val="1"/>
      <w:marLeft w:val="0"/>
      <w:marRight w:val="0"/>
      <w:marTop w:val="0"/>
      <w:marBottom w:val="0"/>
      <w:divBdr>
        <w:top w:val="none" w:sz="0" w:space="0" w:color="auto"/>
        <w:left w:val="none" w:sz="0" w:space="0" w:color="auto"/>
        <w:bottom w:val="none" w:sz="0" w:space="0" w:color="auto"/>
        <w:right w:val="none" w:sz="0" w:space="0" w:color="auto"/>
      </w:divBdr>
    </w:div>
    <w:div w:id="1574896061">
      <w:bodyDiv w:val="1"/>
      <w:marLeft w:val="0"/>
      <w:marRight w:val="0"/>
      <w:marTop w:val="0"/>
      <w:marBottom w:val="0"/>
      <w:divBdr>
        <w:top w:val="none" w:sz="0" w:space="0" w:color="auto"/>
        <w:left w:val="none" w:sz="0" w:space="0" w:color="auto"/>
        <w:bottom w:val="none" w:sz="0" w:space="0" w:color="auto"/>
        <w:right w:val="none" w:sz="0" w:space="0" w:color="auto"/>
      </w:divBdr>
    </w:div>
    <w:div w:id="1574965801">
      <w:bodyDiv w:val="1"/>
      <w:marLeft w:val="0"/>
      <w:marRight w:val="0"/>
      <w:marTop w:val="0"/>
      <w:marBottom w:val="0"/>
      <w:divBdr>
        <w:top w:val="none" w:sz="0" w:space="0" w:color="auto"/>
        <w:left w:val="none" w:sz="0" w:space="0" w:color="auto"/>
        <w:bottom w:val="none" w:sz="0" w:space="0" w:color="auto"/>
        <w:right w:val="none" w:sz="0" w:space="0" w:color="auto"/>
      </w:divBdr>
    </w:div>
    <w:div w:id="1574970378">
      <w:bodyDiv w:val="1"/>
      <w:marLeft w:val="0"/>
      <w:marRight w:val="0"/>
      <w:marTop w:val="0"/>
      <w:marBottom w:val="0"/>
      <w:divBdr>
        <w:top w:val="none" w:sz="0" w:space="0" w:color="auto"/>
        <w:left w:val="none" w:sz="0" w:space="0" w:color="auto"/>
        <w:bottom w:val="none" w:sz="0" w:space="0" w:color="auto"/>
        <w:right w:val="none" w:sz="0" w:space="0" w:color="auto"/>
      </w:divBdr>
    </w:div>
    <w:div w:id="1574973153">
      <w:bodyDiv w:val="1"/>
      <w:marLeft w:val="0"/>
      <w:marRight w:val="0"/>
      <w:marTop w:val="0"/>
      <w:marBottom w:val="0"/>
      <w:divBdr>
        <w:top w:val="none" w:sz="0" w:space="0" w:color="auto"/>
        <w:left w:val="none" w:sz="0" w:space="0" w:color="auto"/>
        <w:bottom w:val="none" w:sz="0" w:space="0" w:color="auto"/>
        <w:right w:val="none" w:sz="0" w:space="0" w:color="auto"/>
      </w:divBdr>
    </w:div>
    <w:div w:id="1575160424">
      <w:bodyDiv w:val="1"/>
      <w:marLeft w:val="0"/>
      <w:marRight w:val="0"/>
      <w:marTop w:val="0"/>
      <w:marBottom w:val="0"/>
      <w:divBdr>
        <w:top w:val="none" w:sz="0" w:space="0" w:color="auto"/>
        <w:left w:val="none" w:sz="0" w:space="0" w:color="auto"/>
        <w:bottom w:val="none" w:sz="0" w:space="0" w:color="auto"/>
        <w:right w:val="none" w:sz="0" w:space="0" w:color="auto"/>
      </w:divBdr>
    </w:div>
    <w:div w:id="1575237502">
      <w:bodyDiv w:val="1"/>
      <w:marLeft w:val="0"/>
      <w:marRight w:val="0"/>
      <w:marTop w:val="0"/>
      <w:marBottom w:val="0"/>
      <w:divBdr>
        <w:top w:val="none" w:sz="0" w:space="0" w:color="auto"/>
        <w:left w:val="none" w:sz="0" w:space="0" w:color="auto"/>
        <w:bottom w:val="none" w:sz="0" w:space="0" w:color="auto"/>
        <w:right w:val="none" w:sz="0" w:space="0" w:color="auto"/>
      </w:divBdr>
    </w:div>
    <w:div w:id="1575313304">
      <w:bodyDiv w:val="1"/>
      <w:marLeft w:val="0"/>
      <w:marRight w:val="0"/>
      <w:marTop w:val="0"/>
      <w:marBottom w:val="0"/>
      <w:divBdr>
        <w:top w:val="none" w:sz="0" w:space="0" w:color="auto"/>
        <w:left w:val="none" w:sz="0" w:space="0" w:color="auto"/>
        <w:bottom w:val="none" w:sz="0" w:space="0" w:color="auto"/>
        <w:right w:val="none" w:sz="0" w:space="0" w:color="auto"/>
      </w:divBdr>
    </w:div>
    <w:div w:id="1575315156">
      <w:bodyDiv w:val="1"/>
      <w:marLeft w:val="0"/>
      <w:marRight w:val="0"/>
      <w:marTop w:val="0"/>
      <w:marBottom w:val="0"/>
      <w:divBdr>
        <w:top w:val="none" w:sz="0" w:space="0" w:color="auto"/>
        <w:left w:val="none" w:sz="0" w:space="0" w:color="auto"/>
        <w:bottom w:val="none" w:sz="0" w:space="0" w:color="auto"/>
        <w:right w:val="none" w:sz="0" w:space="0" w:color="auto"/>
      </w:divBdr>
    </w:div>
    <w:div w:id="1575317562">
      <w:bodyDiv w:val="1"/>
      <w:marLeft w:val="0"/>
      <w:marRight w:val="0"/>
      <w:marTop w:val="0"/>
      <w:marBottom w:val="0"/>
      <w:divBdr>
        <w:top w:val="none" w:sz="0" w:space="0" w:color="auto"/>
        <w:left w:val="none" w:sz="0" w:space="0" w:color="auto"/>
        <w:bottom w:val="none" w:sz="0" w:space="0" w:color="auto"/>
        <w:right w:val="none" w:sz="0" w:space="0" w:color="auto"/>
      </w:divBdr>
    </w:div>
    <w:div w:id="1575355725">
      <w:bodyDiv w:val="1"/>
      <w:marLeft w:val="0"/>
      <w:marRight w:val="0"/>
      <w:marTop w:val="0"/>
      <w:marBottom w:val="0"/>
      <w:divBdr>
        <w:top w:val="none" w:sz="0" w:space="0" w:color="auto"/>
        <w:left w:val="none" w:sz="0" w:space="0" w:color="auto"/>
        <w:bottom w:val="none" w:sz="0" w:space="0" w:color="auto"/>
        <w:right w:val="none" w:sz="0" w:space="0" w:color="auto"/>
      </w:divBdr>
    </w:div>
    <w:div w:id="1575506130">
      <w:bodyDiv w:val="1"/>
      <w:marLeft w:val="0"/>
      <w:marRight w:val="0"/>
      <w:marTop w:val="0"/>
      <w:marBottom w:val="0"/>
      <w:divBdr>
        <w:top w:val="none" w:sz="0" w:space="0" w:color="auto"/>
        <w:left w:val="none" w:sz="0" w:space="0" w:color="auto"/>
        <w:bottom w:val="none" w:sz="0" w:space="0" w:color="auto"/>
        <w:right w:val="none" w:sz="0" w:space="0" w:color="auto"/>
      </w:divBdr>
    </w:div>
    <w:div w:id="1575702874">
      <w:bodyDiv w:val="1"/>
      <w:marLeft w:val="0"/>
      <w:marRight w:val="0"/>
      <w:marTop w:val="0"/>
      <w:marBottom w:val="0"/>
      <w:divBdr>
        <w:top w:val="none" w:sz="0" w:space="0" w:color="auto"/>
        <w:left w:val="none" w:sz="0" w:space="0" w:color="auto"/>
        <w:bottom w:val="none" w:sz="0" w:space="0" w:color="auto"/>
        <w:right w:val="none" w:sz="0" w:space="0" w:color="auto"/>
      </w:divBdr>
    </w:div>
    <w:div w:id="1575818070">
      <w:bodyDiv w:val="1"/>
      <w:marLeft w:val="0"/>
      <w:marRight w:val="0"/>
      <w:marTop w:val="0"/>
      <w:marBottom w:val="0"/>
      <w:divBdr>
        <w:top w:val="none" w:sz="0" w:space="0" w:color="auto"/>
        <w:left w:val="none" w:sz="0" w:space="0" w:color="auto"/>
        <w:bottom w:val="none" w:sz="0" w:space="0" w:color="auto"/>
        <w:right w:val="none" w:sz="0" w:space="0" w:color="auto"/>
      </w:divBdr>
    </w:div>
    <w:div w:id="1576041044">
      <w:bodyDiv w:val="1"/>
      <w:marLeft w:val="0"/>
      <w:marRight w:val="0"/>
      <w:marTop w:val="0"/>
      <w:marBottom w:val="0"/>
      <w:divBdr>
        <w:top w:val="none" w:sz="0" w:space="0" w:color="auto"/>
        <w:left w:val="none" w:sz="0" w:space="0" w:color="auto"/>
        <w:bottom w:val="none" w:sz="0" w:space="0" w:color="auto"/>
        <w:right w:val="none" w:sz="0" w:space="0" w:color="auto"/>
      </w:divBdr>
    </w:div>
    <w:div w:id="1576089282">
      <w:bodyDiv w:val="1"/>
      <w:marLeft w:val="0"/>
      <w:marRight w:val="0"/>
      <w:marTop w:val="0"/>
      <w:marBottom w:val="0"/>
      <w:divBdr>
        <w:top w:val="none" w:sz="0" w:space="0" w:color="auto"/>
        <w:left w:val="none" w:sz="0" w:space="0" w:color="auto"/>
        <w:bottom w:val="none" w:sz="0" w:space="0" w:color="auto"/>
        <w:right w:val="none" w:sz="0" w:space="0" w:color="auto"/>
      </w:divBdr>
    </w:div>
    <w:div w:id="1576091370">
      <w:bodyDiv w:val="1"/>
      <w:marLeft w:val="0"/>
      <w:marRight w:val="0"/>
      <w:marTop w:val="0"/>
      <w:marBottom w:val="0"/>
      <w:divBdr>
        <w:top w:val="none" w:sz="0" w:space="0" w:color="auto"/>
        <w:left w:val="none" w:sz="0" w:space="0" w:color="auto"/>
        <w:bottom w:val="none" w:sz="0" w:space="0" w:color="auto"/>
        <w:right w:val="none" w:sz="0" w:space="0" w:color="auto"/>
      </w:divBdr>
    </w:div>
    <w:div w:id="1576234557">
      <w:bodyDiv w:val="1"/>
      <w:marLeft w:val="0"/>
      <w:marRight w:val="0"/>
      <w:marTop w:val="0"/>
      <w:marBottom w:val="0"/>
      <w:divBdr>
        <w:top w:val="none" w:sz="0" w:space="0" w:color="auto"/>
        <w:left w:val="none" w:sz="0" w:space="0" w:color="auto"/>
        <w:bottom w:val="none" w:sz="0" w:space="0" w:color="auto"/>
        <w:right w:val="none" w:sz="0" w:space="0" w:color="auto"/>
      </w:divBdr>
    </w:div>
    <w:div w:id="1576356972">
      <w:bodyDiv w:val="1"/>
      <w:marLeft w:val="0"/>
      <w:marRight w:val="0"/>
      <w:marTop w:val="0"/>
      <w:marBottom w:val="0"/>
      <w:divBdr>
        <w:top w:val="none" w:sz="0" w:space="0" w:color="auto"/>
        <w:left w:val="none" w:sz="0" w:space="0" w:color="auto"/>
        <w:bottom w:val="none" w:sz="0" w:space="0" w:color="auto"/>
        <w:right w:val="none" w:sz="0" w:space="0" w:color="auto"/>
      </w:divBdr>
    </w:div>
    <w:div w:id="1576471156">
      <w:bodyDiv w:val="1"/>
      <w:marLeft w:val="0"/>
      <w:marRight w:val="0"/>
      <w:marTop w:val="0"/>
      <w:marBottom w:val="0"/>
      <w:divBdr>
        <w:top w:val="none" w:sz="0" w:space="0" w:color="auto"/>
        <w:left w:val="none" w:sz="0" w:space="0" w:color="auto"/>
        <w:bottom w:val="none" w:sz="0" w:space="0" w:color="auto"/>
        <w:right w:val="none" w:sz="0" w:space="0" w:color="auto"/>
      </w:divBdr>
    </w:div>
    <w:div w:id="1576472159">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623496">
      <w:bodyDiv w:val="1"/>
      <w:marLeft w:val="0"/>
      <w:marRight w:val="0"/>
      <w:marTop w:val="0"/>
      <w:marBottom w:val="0"/>
      <w:divBdr>
        <w:top w:val="none" w:sz="0" w:space="0" w:color="auto"/>
        <w:left w:val="none" w:sz="0" w:space="0" w:color="auto"/>
        <w:bottom w:val="none" w:sz="0" w:space="0" w:color="auto"/>
        <w:right w:val="none" w:sz="0" w:space="0" w:color="auto"/>
      </w:divBdr>
    </w:div>
    <w:div w:id="1576891088">
      <w:bodyDiv w:val="1"/>
      <w:marLeft w:val="0"/>
      <w:marRight w:val="0"/>
      <w:marTop w:val="0"/>
      <w:marBottom w:val="0"/>
      <w:divBdr>
        <w:top w:val="none" w:sz="0" w:space="0" w:color="auto"/>
        <w:left w:val="none" w:sz="0" w:space="0" w:color="auto"/>
        <w:bottom w:val="none" w:sz="0" w:space="0" w:color="auto"/>
        <w:right w:val="none" w:sz="0" w:space="0" w:color="auto"/>
      </w:divBdr>
    </w:div>
    <w:div w:id="1576937238">
      <w:bodyDiv w:val="1"/>
      <w:marLeft w:val="0"/>
      <w:marRight w:val="0"/>
      <w:marTop w:val="0"/>
      <w:marBottom w:val="0"/>
      <w:divBdr>
        <w:top w:val="none" w:sz="0" w:space="0" w:color="auto"/>
        <w:left w:val="none" w:sz="0" w:space="0" w:color="auto"/>
        <w:bottom w:val="none" w:sz="0" w:space="0" w:color="auto"/>
        <w:right w:val="none" w:sz="0" w:space="0" w:color="auto"/>
      </w:divBdr>
    </w:div>
    <w:div w:id="1576937434">
      <w:bodyDiv w:val="1"/>
      <w:marLeft w:val="0"/>
      <w:marRight w:val="0"/>
      <w:marTop w:val="0"/>
      <w:marBottom w:val="0"/>
      <w:divBdr>
        <w:top w:val="none" w:sz="0" w:space="0" w:color="auto"/>
        <w:left w:val="none" w:sz="0" w:space="0" w:color="auto"/>
        <w:bottom w:val="none" w:sz="0" w:space="0" w:color="auto"/>
        <w:right w:val="none" w:sz="0" w:space="0" w:color="auto"/>
      </w:divBdr>
    </w:div>
    <w:div w:id="1577011313">
      <w:bodyDiv w:val="1"/>
      <w:marLeft w:val="0"/>
      <w:marRight w:val="0"/>
      <w:marTop w:val="0"/>
      <w:marBottom w:val="0"/>
      <w:divBdr>
        <w:top w:val="none" w:sz="0" w:space="0" w:color="auto"/>
        <w:left w:val="none" w:sz="0" w:space="0" w:color="auto"/>
        <w:bottom w:val="none" w:sz="0" w:space="0" w:color="auto"/>
        <w:right w:val="none" w:sz="0" w:space="0" w:color="auto"/>
      </w:divBdr>
    </w:div>
    <w:div w:id="1577087550">
      <w:bodyDiv w:val="1"/>
      <w:marLeft w:val="0"/>
      <w:marRight w:val="0"/>
      <w:marTop w:val="0"/>
      <w:marBottom w:val="0"/>
      <w:divBdr>
        <w:top w:val="none" w:sz="0" w:space="0" w:color="auto"/>
        <w:left w:val="none" w:sz="0" w:space="0" w:color="auto"/>
        <w:bottom w:val="none" w:sz="0" w:space="0" w:color="auto"/>
        <w:right w:val="none" w:sz="0" w:space="0" w:color="auto"/>
      </w:divBdr>
    </w:div>
    <w:div w:id="1577127551">
      <w:bodyDiv w:val="1"/>
      <w:marLeft w:val="0"/>
      <w:marRight w:val="0"/>
      <w:marTop w:val="0"/>
      <w:marBottom w:val="0"/>
      <w:divBdr>
        <w:top w:val="none" w:sz="0" w:space="0" w:color="auto"/>
        <w:left w:val="none" w:sz="0" w:space="0" w:color="auto"/>
        <w:bottom w:val="none" w:sz="0" w:space="0" w:color="auto"/>
        <w:right w:val="none" w:sz="0" w:space="0" w:color="auto"/>
      </w:divBdr>
    </w:div>
    <w:div w:id="1577203310">
      <w:bodyDiv w:val="1"/>
      <w:marLeft w:val="0"/>
      <w:marRight w:val="0"/>
      <w:marTop w:val="0"/>
      <w:marBottom w:val="0"/>
      <w:divBdr>
        <w:top w:val="none" w:sz="0" w:space="0" w:color="auto"/>
        <w:left w:val="none" w:sz="0" w:space="0" w:color="auto"/>
        <w:bottom w:val="none" w:sz="0" w:space="0" w:color="auto"/>
        <w:right w:val="none" w:sz="0" w:space="0" w:color="auto"/>
      </w:divBdr>
    </w:div>
    <w:div w:id="1577276322">
      <w:bodyDiv w:val="1"/>
      <w:marLeft w:val="0"/>
      <w:marRight w:val="0"/>
      <w:marTop w:val="0"/>
      <w:marBottom w:val="0"/>
      <w:divBdr>
        <w:top w:val="none" w:sz="0" w:space="0" w:color="auto"/>
        <w:left w:val="none" w:sz="0" w:space="0" w:color="auto"/>
        <w:bottom w:val="none" w:sz="0" w:space="0" w:color="auto"/>
        <w:right w:val="none" w:sz="0" w:space="0" w:color="auto"/>
      </w:divBdr>
    </w:div>
    <w:div w:id="1577279441">
      <w:bodyDiv w:val="1"/>
      <w:marLeft w:val="0"/>
      <w:marRight w:val="0"/>
      <w:marTop w:val="0"/>
      <w:marBottom w:val="0"/>
      <w:divBdr>
        <w:top w:val="none" w:sz="0" w:space="0" w:color="auto"/>
        <w:left w:val="none" w:sz="0" w:space="0" w:color="auto"/>
        <w:bottom w:val="none" w:sz="0" w:space="0" w:color="auto"/>
        <w:right w:val="none" w:sz="0" w:space="0" w:color="auto"/>
      </w:divBdr>
    </w:div>
    <w:div w:id="1577282909">
      <w:bodyDiv w:val="1"/>
      <w:marLeft w:val="0"/>
      <w:marRight w:val="0"/>
      <w:marTop w:val="0"/>
      <w:marBottom w:val="0"/>
      <w:divBdr>
        <w:top w:val="none" w:sz="0" w:space="0" w:color="auto"/>
        <w:left w:val="none" w:sz="0" w:space="0" w:color="auto"/>
        <w:bottom w:val="none" w:sz="0" w:space="0" w:color="auto"/>
        <w:right w:val="none" w:sz="0" w:space="0" w:color="auto"/>
      </w:divBdr>
    </w:div>
    <w:div w:id="1577352569">
      <w:bodyDiv w:val="1"/>
      <w:marLeft w:val="0"/>
      <w:marRight w:val="0"/>
      <w:marTop w:val="0"/>
      <w:marBottom w:val="0"/>
      <w:divBdr>
        <w:top w:val="none" w:sz="0" w:space="0" w:color="auto"/>
        <w:left w:val="none" w:sz="0" w:space="0" w:color="auto"/>
        <w:bottom w:val="none" w:sz="0" w:space="0" w:color="auto"/>
        <w:right w:val="none" w:sz="0" w:space="0" w:color="auto"/>
      </w:divBdr>
    </w:div>
    <w:div w:id="1577471896">
      <w:bodyDiv w:val="1"/>
      <w:marLeft w:val="0"/>
      <w:marRight w:val="0"/>
      <w:marTop w:val="0"/>
      <w:marBottom w:val="0"/>
      <w:divBdr>
        <w:top w:val="none" w:sz="0" w:space="0" w:color="auto"/>
        <w:left w:val="none" w:sz="0" w:space="0" w:color="auto"/>
        <w:bottom w:val="none" w:sz="0" w:space="0" w:color="auto"/>
        <w:right w:val="none" w:sz="0" w:space="0" w:color="auto"/>
      </w:divBdr>
    </w:div>
    <w:div w:id="1577472480">
      <w:bodyDiv w:val="1"/>
      <w:marLeft w:val="0"/>
      <w:marRight w:val="0"/>
      <w:marTop w:val="0"/>
      <w:marBottom w:val="0"/>
      <w:divBdr>
        <w:top w:val="none" w:sz="0" w:space="0" w:color="auto"/>
        <w:left w:val="none" w:sz="0" w:space="0" w:color="auto"/>
        <w:bottom w:val="none" w:sz="0" w:space="0" w:color="auto"/>
        <w:right w:val="none" w:sz="0" w:space="0" w:color="auto"/>
      </w:divBdr>
    </w:div>
    <w:div w:id="1577473113">
      <w:bodyDiv w:val="1"/>
      <w:marLeft w:val="0"/>
      <w:marRight w:val="0"/>
      <w:marTop w:val="0"/>
      <w:marBottom w:val="0"/>
      <w:divBdr>
        <w:top w:val="none" w:sz="0" w:space="0" w:color="auto"/>
        <w:left w:val="none" w:sz="0" w:space="0" w:color="auto"/>
        <w:bottom w:val="none" w:sz="0" w:space="0" w:color="auto"/>
        <w:right w:val="none" w:sz="0" w:space="0" w:color="auto"/>
      </w:divBdr>
    </w:div>
    <w:div w:id="1577594022">
      <w:bodyDiv w:val="1"/>
      <w:marLeft w:val="0"/>
      <w:marRight w:val="0"/>
      <w:marTop w:val="0"/>
      <w:marBottom w:val="0"/>
      <w:divBdr>
        <w:top w:val="none" w:sz="0" w:space="0" w:color="auto"/>
        <w:left w:val="none" w:sz="0" w:space="0" w:color="auto"/>
        <w:bottom w:val="none" w:sz="0" w:space="0" w:color="auto"/>
        <w:right w:val="none" w:sz="0" w:space="0" w:color="auto"/>
      </w:divBdr>
    </w:div>
    <w:div w:id="1577594297">
      <w:bodyDiv w:val="1"/>
      <w:marLeft w:val="0"/>
      <w:marRight w:val="0"/>
      <w:marTop w:val="0"/>
      <w:marBottom w:val="0"/>
      <w:divBdr>
        <w:top w:val="none" w:sz="0" w:space="0" w:color="auto"/>
        <w:left w:val="none" w:sz="0" w:space="0" w:color="auto"/>
        <w:bottom w:val="none" w:sz="0" w:space="0" w:color="auto"/>
        <w:right w:val="none" w:sz="0" w:space="0" w:color="auto"/>
      </w:divBdr>
    </w:div>
    <w:div w:id="1577663310">
      <w:bodyDiv w:val="1"/>
      <w:marLeft w:val="0"/>
      <w:marRight w:val="0"/>
      <w:marTop w:val="0"/>
      <w:marBottom w:val="0"/>
      <w:divBdr>
        <w:top w:val="none" w:sz="0" w:space="0" w:color="auto"/>
        <w:left w:val="none" w:sz="0" w:space="0" w:color="auto"/>
        <w:bottom w:val="none" w:sz="0" w:space="0" w:color="auto"/>
        <w:right w:val="none" w:sz="0" w:space="0" w:color="auto"/>
      </w:divBdr>
    </w:div>
    <w:div w:id="1577785089">
      <w:bodyDiv w:val="1"/>
      <w:marLeft w:val="0"/>
      <w:marRight w:val="0"/>
      <w:marTop w:val="0"/>
      <w:marBottom w:val="0"/>
      <w:divBdr>
        <w:top w:val="none" w:sz="0" w:space="0" w:color="auto"/>
        <w:left w:val="none" w:sz="0" w:space="0" w:color="auto"/>
        <w:bottom w:val="none" w:sz="0" w:space="0" w:color="auto"/>
        <w:right w:val="none" w:sz="0" w:space="0" w:color="auto"/>
      </w:divBdr>
    </w:div>
    <w:div w:id="1577856166">
      <w:bodyDiv w:val="1"/>
      <w:marLeft w:val="0"/>
      <w:marRight w:val="0"/>
      <w:marTop w:val="0"/>
      <w:marBottom w:val="0"/>
      <w:divBdr>
        <w:top w:val="none" w:sz="0" w:space="0" w:color="auto"/>
        <w:left w:val="none" w:sz="0" w:space="0" w:color="auto"/>
        <w:bottom w:val="none" w:sz="0" w:space="0" w:color="auto"/>
        <w:right w:val="none" w:sz="0" w:space="0" w:color="auto"/>
      </w:divBdr>
    </w:div>
    <w:div w:id="1577856893">
      <w:bodyDiv w:val="1"/>
      <w:marLeft w:val="0"/>
      <w:marRight w:val="0"/>
      <w:marTop w:val="0"/>
      <w:marBottom w:val="0"/>
      <w:divBdr>
        <w:top w:val="none" w:sz="0" w:space="0" w:color="auto"/>
        <w:left w:val="none" w:sz="0" w:space="0" w:color="auto"/>
        <w:bottom w:val="none" w:sz="0" w:space="0" w:color="auto"/>
        <w:right w:val="none" w:sz="0" w:space="0" w:color="auto"/>
      </w:divBdr>
    </w:div>
    <w:div w:id="1577856990">
      <w:bodyDiv w:val="1"/>
      <w:marLeft w:val="0"/>
      <w:marRight w:val="0"/>
      <w:marTop w:val="0"/>
      <w:marBottom w:val="0"/>
      <w:divBdr>
        <w:top w:val="none" w:sz="0" w:space="0" w:color="auto"/>
        <w:left w:val="none" w:sz="0" w:space="0" w:color="auto"/>
        <w:bottom w:val="none" w:sz="0" w:space="0" w:color="auto"/>
        <w:right w:val="none" w:sz="0" w:space="0" w:color="auto"/>
      </w:divBdr>
    </w:div>
    <w:div w:id="1577938247">
      <w:bodyDiv w:val="1"/>
      <w:marLeft w:val="0"/>
      <w:marRight w:val="0"/>
      <w:marTop w:val="0"/>
      <w:marBottom w:val="0"/>
      <w:divBdr>
        <w:top w:val="none" w:sz="0" w:space="0" w:color="auto"/>
        <w:left w:val="none" w:sz="0" w:space="0" w:color="auto"/>
        <w:bottom w:val="none" w:sz="0" w:space="0" w:color="auto"/>
        <w:right w:val="none" w:sz="0" w:space="0" w:color="auto"/>
      </w:divBdr>
    </w:div>
    <w:div w:id="1577939059">
      <w:bodyDiv w:val="1"/>
      <w:marLeft w:val="0"/>
      <w:marRight w:val="0"/>
      <w:marTop w:val="0"/>
      <w:marBottom w:val="0"/>
      <w:divBdr>
        <w:top w:val="none" w:sz="0" w:space="0" w:color="auto"/>
        <w:left w:val="none" w:sz="0" w:space="0" w:color="auto"/>
        <w:bottom w:val="none" w:sz="0" w:space="0" w:color="auto"/>
        <w:right w:val="none" w:sz="0" w:space="0" w:color="auto"/>
      </w:divBdr>
    </w:div>
    <w:div w:id="1577940147">
      <w:bodyDiv w:val="1"/>
      <w:marLeft w:val="0"/>
      <w:marRight w:val="0"/>
      <w:marTop w:val="0"/>
      <w:marBottom w:val="0"/>
      <w:divBdr>
        <w:top w:val="none" w:sz="0" w:space="0" w:color="auto"/>
        <w:left w:val="none" w:sz="0" w:space="0" w:color="auto"/>
        <w:bottom w:val="none" w:sz="0" w:space="0" w:color="auto"/>
        <w:right w:val="none" w:sz="0" w:space="0" w:color="auto"/>
      </w:divBdr>
    </w:div>
    <w:div w:id="1577977863">
      <w:bodyDiv w:val="1"/>
      <w:marLeft w:val="0"/>
      <w:marRight w:val="0"/>
      <w:marTop w:val="0"/>
      <w:marBottom w:val="0"/>
      <w:divBdr>
        <w:top w:val="none" w:sz="0" w:space="0" w:color="auto"/>
        <w:left w:val="none" w:sz="0" w:space="0" w:color="auto"/>
        <w:bottom w:val="none" w:sz="0" w:space="0" w:color="auto"/>
        <w:right w:val="none" w:sz="0" w:space="0" w:color="auto"/>
      </w:divBdr>
    </w:div>
    <w:div w:id="1578052306">
      <w:bodyDiv w:val="1"/>
      <w:marLeft w:val="0"/>
      <w:marRight w:val="0"/>
      <w:marTop w:val="0"/>
      <w:marBottom w:val="0"/>
      <w:divBdr>
        <w:top w:val="none" w:sz="0" w:space="0" w:color="auto"/>
        <w:left w:val="none" w:sz="0" w:space="0" w:color="auto"/>
        <w:bottom w:val="none" w:sz="0" w:space="0" w:color="auto"/>
        <w:right w:val="none" w:sz="0" w:space="0" w:color="auto"/>
      </w:divBdr>
    </w:div>
    <w:div w:id="1578173752">
      <w:bodyDiv w:val="1"/>
      <w:marLeft w:val="0"/>
      <w:marRight w:val="0"/>
      <w:marTop w:val="0"/>
      <w:marBottom w:val="0"/>
      <w:divBdr>
        <w:top w:val="none" w:sz="0" w:space="0" w:color="auto"/>
        <w:left w:val="none" w:sz="0" w:space="0" w:color="auto"/>
        <w:bottom w:val="none" w:sz="0" w:space="0" w:color="auto"/>
        <w:right w:val="none" w:sz="0" w:space="0" w:color="auto"/>
      </w:divBdr>
    </w:div>
    <w:div w:id="1578201585">
      <w:bodyDiv w:val="1"/>
      <w:marLeft w:val="0"/>
      <w:marRight w:val="0"/>
      <w:marTop w:val="0"/>
      <w:marBottom w:val="0"/>
      <w:divBdr>
        <w:top w:val="none" w:sz="0" w:space="0" w:color="auto"/>
        <w:left w:val="none" w:sz="0" w:space="0" w:color="auto"/>
        <w:bottom w:val="none" w:sz="0" w:space="0" w:color="auto"/>
        <w:right w:val="none" w:sz="0" w:space="0" w:color="auto"/>
      </w:divBdr>
    </w:div>
    <w:div w:id="1578202585">
      <w:bodyDiv w:val="1"/>
      <w:marLeft w:val="0"/>
      <w:marRight w:val="0"/>
      <w:marTop w:val="0"/>
      <w:marBottom w:val="0"/>
      <w:divBdr>
        <w:top w:val="none" w:sz="0" w:space="0" w:color="auto"/>
        <w:left w:val="none" w:sz="0" w:space="0" w:color="auto"/>
        <w:bottom w:val="none" w:sz="0" w:space="0" w:color="auto"/>
        <w:right w:val="none" w:sz="0" w:space="0" w:color="auto"/>
      </w:divBdr>
    </w:div>
    <w:div w:id="1578242073">
      <w:bodyDiv w:val="1"/>
      <w:marLeft w:val="0"/>
      <w:marRight w:val="0"/>
      <w:marTop w:val="0"/>
      <w:marBottom w:val="0"/>
      <w:divBdr>
        <w:top w:val="none" w:sz="0" w:space="0" w:color="auto"/>
        <w:left w:val="none" w:sz="0" w:space="0" w:color="auto"/>
        <w:bottom w:val="none" w:sz="0" w:space="0" w:color="auto"/>
        <w:right w:val="none" w:sz="0" w:space="0" w:color="auto"/>
      </w:divBdr>
    </w:div>
    <w:div w:id="1578248975">
      <w:bodyDiv w:val="1"/>
      <w:marLeft w:val="0"/>
      <w:marRight w:val="0"/>
      <w:marTop w:val="0"/>
      <w:marBottom w:val="0"/>
      <w:divBdr>
        <w:top w:val="none" w:sz="0" w:space="0" w:color="auto"/>
        <w:left w:val="none" w:sz="0" w:space="0" w:color="auto"/>
        <w:bottom w:val="none" w:sz="0" w:space="0" w:color="auto"/>
        <w:right w:val="none" w:sz="0" w:space="0" w:color="auto"/>
      </w:divBdr>
    </w:div>
    <w:div w:id="1578401120">
      <w:bodyDiv w:val="1"/>
      <w:marLeft w:val="0"/>
      <w:marRight w:val="0"/>
      <w:marTop w:val="0"/>
      <w:marBottom w:val="0"/>
      <w:divBdr>
        <w:top w:val="none" w:sz="0" w:space="0" w:color="auto"/>
        <w:left w:val="none" w:sz="0" w:space="0" w:color="auto"/>
        <w:bottom w:val="none" w:sz="0" w:space="0" w:color="auto"/>
        <w:right w:val="none" w:sz="0" w:space="0" w:color="auto"/>
      </w:divBdr>
    </w:div>
    <w:div w:id="1578443346">
      <w:bodyDiv w:val="1"/>
      <w:marLeft w:val="0"/>
      <w:marRight w:val="0"/>
      <w:marTop w:val="0"/>
      <w:marBottom w:val="0"/>
      <w:divBdr>
        <w:top w:val="none" w:sz="0" w:space="0" w:color="auto"/>
        <w:left w:val="none" w:sz="0" w:space="0" w:color="auto"/>
        <w:bottom w:val="none" w:sz="0" w:space="0" w:color="auto"/>
        <w:right w:val="none" w:sz="0" w:space="0" w:color="auto"/>
      </w:divBdr>
    </w:div>
    <w:div w:id="1578513009">
      <w:bodyDiv w:val="1"/>
      <w:marLeft w:val="0"/>
      <w:marRight w:val="0"/>
      <w:marTop w:val="0"/>
      <w:marBottom w:val="0"/>
      <w:divBdr>
        <w:top w:val="none" w:sz="0" w:space="0" w:color="auto"/>
        <w:left w:val="none" w:sz="0" w:space="0" w:color="auto"/>
        <w:bottom w:val="none" w:sz="0" w:space="0" w:color="auto"/>
        <w:right w:val="none" w:sz="0" w:space="0" w:color="auto"/>
      </w:divBdr>
    </w:div>
    <w:div w:id="1578632147">
      <w:bodyDiv w:val="1"/>
      <w:marLeft w:val="0"/>
      <w:marRight w:val="0"/>
      <w:marTop w:val="0"/>
      <w:marBottom w:val="0"/>
      <w:divBdr>
        <w:top w:val="none" w:sz="0" w:space="0" w:color="auto"/>
        <w:left w:val="none" w:sz="0" w:space="0" w:color="auto"/>
        <w:bottom w:val="none" w:sz="0" w:space="0" w:color="auto"/>
        <w:right w:val="none" w:sz="0" w:space="0" w:color="auto"/>
      </w:divBdr>
    </w:div>
    <w:div w:id="1578638315">
      <w:bodyDiv w:val="1"/>
      <w:marLeft w:val="0"/>
      <w:marRight w:val="0"/>
      <w:marTop w:val="0"/>
      <w:marBottom w:val="0"/>
      <w:divBdr>
        <w:top w:val="none" w:sz="0" w:space="0" w:color="auto"/>
        <w:left w:val="none" w:sz="0" w:space="0" w:color="auto"/>
        <w:bottom w:val="none" w:sz="0" w:space="0" w:color="auto"/>
        <w:right w:val="none" w:sz="0" w:space="0" w:color="auto"/>
      </w:divBdr>
    </w:div>
    <w:div w:id="1578830490">
      <w:bodyDiv w:val="1"/>
      <w:marLeft w:val="0"/>
      <w:marRight w:val="0"/>
      <w:marTop w:val="0"/>
      <w:marBottom w:val="0"/>
      <w:divBdr>
        <w:top w:val="none" w:sz="0" w:space="0" w:color="auto"/>
        <w:left w:val="none" w:sz="0" w:space="0" w:color="auto"/>
        <w:bottom w:val="none" w:sz="0" w:space="0" w:color="auto"/>
        <w:right w:val="none" w:sz="0" w:space="0" w:color="auto"/>
      </w:divBdr>
    </w:div>
    <w:div w:id="1578974232">
      <w:bodyDiv w:val="1"/>
      <w:marLeft w:val="0"/>
      <w:marRight w:val="0"/>
      <w:marTop w:val="0"/>
      <w:marBottom w:val="0"/>
      <w:divBdr>
        <w:top w:val="none" w:sz="0" w:space="0" w:color="auto"/>
        <w:left w:val="none" w:sz="0" w:space="0" w:color="auto"/>
        <w:bottom w:val="none" w:sz="0" w:space="0" w:color="auto"/>
        <w:right w:val="none" w:sz="0" w:space="0" w:color="auto"/>
      </w:divBdr>
    </w:div>
    <w:div w:id="1579048861">
      <w:bodyDiv w:val="1"/>
      <w:marLeft w:val="0"/>
      <w:marRight w:val="0"/>
      <w:marTop w:val="0"/>
      <w:marBottom w:val="0"/>
      <w:divBdr>
        <w:top w:val="none" w:sz="0" w:space="0" w:color="auto"/>
        <w:left w:val="none" w:sz="0" w:space="0" w:color="auto"/>
        <w:bottom w:val="none" w:sz="0" w:space="0" w:color="auto"/>
        <w:right w:val="none" w:sz="0" w:space="0" w:color="auto"/>
      </w:divBdr>
    </w:div>
    <w:div w:id="1579092331">
      <w:bodyDiv w:val="1"/>
      <w:marLeft w:val="0"/>
      <w:marRight w:val="0"/>
      <w:marTop w:val="0"/>
      <w:marBottom w:val="0"/>
      <w:divBdr>
        <w:top w:val="none" w:sz="0" w:space="0" w:color="auto"/>
        <w:left w:val="none" w:sz="0" w:space="0" w:color="auto"/>
        <w:bottom w:val="none" w:sz="0" w:space="0" w:color="auto"/>
        <w:right w:val="none" w:sz="0" w:space="0" w:color="auto"/>
      </w:divBdr>
    </w:div>
    <w:div w:id="1579096477">
      <w:bodyDiv w:val="1"/>
      <w:marLeft w:val="0"/>
      <w:marRight w:val="0"/>
      <w:marTop w:val="0"/>
      <w:marBottom w:val="0"/>
      <w:divBdr>
        <w:top w:val="none" w:sz="0" w:space="0" w:color="auto"/>
        <w:left w:val="none" w:sz="0" w:space="0" w:color="auto"/>
        <w:bottom w:val="none" w:sz="0" w:space="0" w:color="auto"/>
        <w:right w:val="none" w:sz="0" w:space="0" w:color="auto"/>
      </w:divBdr>
    </w:div>
    <w:div w:id="1579290517">
      <w:bodyDiv w:val="1"/>
      <w:marLeft w:val="0"/>
      <w:marRight w:val="0"/>
      <w:marTop w:val="0"/>
      <w:marBottom w:val="0"/>
      <w:divBdr>
        <w:top w:val="none" w:sz="0" w:space="0" w:color="auto"/>
        <w:left w:val="none" w:sz="0" w:space="0" w:color="auto"/>
        <w:bottom w:val="none" w:sz="0" w:space="0" w:color="auto"/>
        <w:right w:val="none" w:sz="0" w:space="0" w:color="auto"/>
      </w:divBdr>
    </w:div>
    <w:div w:id="1579362798">
      <w:bodyDiv w:val="1"/>
      <w:marLeft w:val="0"/>
      <w:marRight w:val="0"/>
      <w:marTop w:val="0"/>
      <w:marBottom w:val="0"/>
      <w:divBdr>
        <w:top w:val="none" w:sz="0" w:space="0" w:color="auto"/>
        <w:left w:val="none" w:sz="0" w:space="0" w:color="auto"/>
        <w:bottom w:val="none" w:sz="0" w:space="0" w:color="auto"/>
        <w:right w:val="none" w:sz="0" w:space="0" w:color="auto"/>
      </w:divBdr>
    </w:div>
    <w:div w:id="1579366429">
      <w:bodyDiv w:val="1"/>
      <w:marLeft w:val="0"/>
      <w:marRight w:val="0"/>
      <w:marTop w:val="0"/>
      <w:marBottom w:val="0"/>
      <w:divBdr>
        <w:top w:val="none" w:sz="0" w:space="0" w:color="auto"/>
        <w:left w:val="none" w:sz="0" w:space="0" w:color="auto"/>
        <w:bottom w:val="none" w:sz="0" w:space="0" w:color="auto"/>
        <w:right w:val="none" w:sz="0" w:space="0" w:color="auto"/>
      </w:divBdr>
    </w:div>
    <w:div w:id="1579437004">
      <w:bodyDiv w:val="1"/>
      <w:marLeft w:val="0"/>
      <w:marRight w:val="0"/>
      <w:marTop w:val="0"/>
      <w:marBottom w:val="0"/>
      <w:divBdr>
        <w:top w:val="none" w:sz="0" w:space="0" w:color="auto"/>
        <w:left w:val="none" w:sz="0" w:space="0" w:color="auto"/>
        <w:bottom w:val="none" w:sz="0" w:space="0" w:color="auto"/>
        <w:right w:val="none" w:sz="0" w:space="0" w:color="auto"/>
      </w:divBdr>
    </w:div>
    <w:div w:id="1579438541">
      <w:bodyDiv w:val="1"/>
      <w:marLeft w:val="0"/>
      <w:marRight w:val="0"/>
      <w:marTop w:val="0"/>
      <w:marBottom w:val="0"/>
      <w:divBdr>
        <w:top w:val="none" w:sz="0" w:space="0" w:color="auto"/>
        <w:left w:val="none" w:sz="0" w:space="0" w:color="auto"/>
        <w:bottom w:val="none" w:sz="0" w:space="0" w:color="auto"/>
        <w:right w:val="none" w:sz="0" w:space="0" w:color="auto"/>
      </w:divBdr>
    </w:div>
    <w:div w:id="1579439969">
      <w:bodyDiv w:val="1"/>
      <w:marLeft w:val="0"/>
      <w:marRight w:val="0"/>
      <w:marTop w:val="0"/>
      <w:marBottom w:val="0"/>
      <w:divBdr>
        <w:top w:val="none" w:sz="0" w:space="0" w:color="auto"/>
        <w:left w:val="none" w:sz="0" w:space="0" w:color="auto"/>
        <w:bottom w:val="none" w:sz="0" w:space="0" w:color="auto"/>
        <w:right w:val="none" w:sz="0" w:space="0" w:color="auto"/>
      </w:divBdr>
    </w:div>
    <w:div w:id="1579441922">
      <w:bodyDiv w:val="1"/>
      <w:marLeft w:val="0"/>
      <w:marRight w:val="0"/>
      <w:marTop w:val="0"/>
      <w:marBottom w:val="0"/>
      <w:divBdr>
        <w:top w:val="none" w:sz="0" w:space="0" w:color="auto"/>
        <w:left w:val="none" w:sz="0" w:space="0" w:color="auto"/>
        <w:bottom w:val="none" w:sz="0" w:space="0" w:color="auto"/>
        <w:right w:val="none" w:sz="0" w:space="0" w:color="auto"/>
      </w:divBdr>
    </w:div>
    <w:div w:id="1579515497">
      <w:bodyDiv w:val="1"/>
      <w:marLeft w:val="0"/>
      <w:marRight w:val="0"/>
      <w:marTop w:val="0"/>
      <w:marBottom w:val="0"/>
      <w:divBdr>
        <w:top w:val="none" w:sz="0" w:space="0" w:color="auto"/>
        <w:left w:val="none" w:sz="0" w:space="0" w:color="auto"/>
        <w:bottom w:val="none" w:sz="0" w:space="0" w:color="auto"/>
        <w:right w:val="none" w:sz="0" w:space="0" w:color="auto"/>
      </w:divBdr>
    </w:div>
    <w:div w:id="1579897022">
      <w:bodyDiv w:val="1"/>
      <w:marLeft w:val="0"/>
      <w:marRight w:val="0"/>
      <w:marTop w:val="0"/>
      <w:marBottom w:val="0"/>
      <w:divBdr>
        <w:top w:val="none" w:sz="0" w:space="0" w:color="auto"/>
        <w:left w:val="none" w:sz="0" w:space="0" w:color="auto"/>
        <w:bottom w:val="none" w:sz="0" w:space="0" w:color="auto"/>
        <w:right w:val="none" w:sz="0" w:space="0" w:color="auto"/>
      </w:divBdr>
    </w:div>
    <w:div w:id="1579905332">
      <w:bodyDiv w:val="1"/>
      <w:marLeft w:val="0"/>
      <w:marRight w:val="0"/>
      <w:marTop w:val="0"/>
      <w:marBottom w:val="0"/>
      <w:divBdr>
        <w:top w:val="none" w:sz="0" w:space="0" w:color="auto"/>
        <w:left w:val="none" w:sz="0" w:space="0" w:color="auto"/>
        <w:bottom w:val="none" w:sz="0" w:space="0" w:color="auto"/>
        <w:right w:val="none" w:sz="0" w:space="0" w:color="auto"/>
      </w:divBdr>
    </w:div>
    <w:div w:id="1579944775">
      <w:bodyDiv w:val="1"/>
      <w:marLeft w:val="0"/>
      <w:marRight w:val="0"/>
      <w:marTop w:val="0"/>
      <w:marBottom w:val="0"/>
      <w:divBdr>
        <w:top w:val="none" w:sz="0" w:space="0" w:color="auto"/>
        <w:left w:val="none" w:sz="0" w:space="0" w:color="auto"/>
        <w:bottom w:val="none" w:sz="0" w:space="0" w:color="auto"/>
        <w:right w:val="none" w:sz="0" w:space="0" w:color="auto"/>
      </w:divBdr>
    </w:div>
    <w:div w:id="1580288733">
      <w:bodyDiv w:val="1"/>
      <w:marLeft w:val="0"/>
      <w:marRight w:val="0"/>
      <w:marTop w:val="0"/>
      <w:marBottom w:val="0"/>
      <w:divBdr>
        <w:top w:val="none" w:sz="0" w:space="0" w:color="auto"/>
        <w:left w:val="none" w:sz="0" w:space="0" w:color="auto"/>
        <w:bottom w:val="none" w:sz="0" w:space="0" w:color="auto"/>
        <w:right w:val="none" w:sz="0" w:space="0" w:color="auto"/>
      </w:divBdr>
    </w:div>
    <w:div w:id="1580555624">
      <w:bodyDiv w:val="1"/>
      <w:marLeft w:val="0"/>
      <w:marRight w:val="0"/>
      <w:marTop w:val="0"/>
      <w:marBottom w:val="0"/>
      <w:divBdr>
        <w:top w:val="none" w:sz="0" w:space="0" w:color="auto"/>
        <w:left w:val="none" w:sz="0" w:space="0" w:color="auto"/>
        <w:bottom w:val="none" w:sz="0" w:space="0" w:color="auto"/>
        <w:right w:val="none" w:sz="0" w:space="0" w:color="auto"/>
      </w:divBdr>
    </w:div>
    <w:div w:id="1580629001">
      <w:bodyDiv w:val="1"/>
      <w:marLeft w:val="0"/>
      <w:marRight w:val="0"/>
      <w:marTop w:val="0"/>
      <w:marBottom w:val="0"/>
      <w:divBdr>
        <w:top w:val="none" w:sz="0" w:space="0" w:color="auto"/>
        <w:left w:val="none" w:sz="0" w:space="0" w:color="auto"/>
        <w:bottom w:val="none" w:sz="0" w:space="0" w:color="auto"/>
        <w:right w:val="none" w:sz="0" w:space="0" w:color="auto"/>
      </w:divBdr>
    </w:div>
    <w:div w:id="1580824303">
      <w:bodyDiv w:val="1"/>
      <w:marLeft w:val="0"/>
      <w:marRight w:val="0"/>
      <w:marTop w:val="0"/>
      <w:marBottom w:val="0"/>
      <w:divBdr>
        <w:top w:val="none" w:sz="0" w:space="0" w:color="auto"/>
        <w:left w:val="none" w:sz="0" w:space="0" w:color="auto"/>
        <w:bottom w:val="none" w:sz="0" w:space="0" w:color="auto"/>
        <w:right w:val="none" w:sz="0" w:space="0" w:color="auto"/>
      </w:divBdr>
    </w:div>
    <w:div w:id="1580942827">
      <w:bodyDiv w:val="1"/>
      <w:marLeft w:val="0"/>
      <w:marRight w:val="0"/>
      <w:marTop w:val="0"/>
      <w:marBottom w:val="0"/>
      <w:divBdr>
        <w:top w:val="none" w:sz="0" w:space="0" w:color="auto"/>
        <w:left w:val="none" w:sz="0" w:space="0" w:color="auto"/>
        <w:bottom w:val="none" w:sz="0" w:space="0" w:color="auto"/>
        <w:right w:val="none" w:sz="0" w:space="0" w:color="auto"/>
      </w:divBdr>
    </w:div>
    <w:div w:id="1580945929">
      <w:bodyDiv w:val="1"/>
      <w:marLeft w:val="0"/>
      <w:marRight w:val="0"/>
      <w:marTop w:val="0"/>
      <w:marBottom w:val="0"/>
      <w:divBdr>
        <w:top w:val="none" w:sz="0" w:space="0" w:color="auto"/>
        <w:left w:val="none" w:sz="0" w:space="0" w:color="auto"/>
        <w:bottom w:val="none" w:sz="0" w:space="0" w:color="auto"/>
        <w:right w:val="none" w:sz="0" w:space="0" w:color="auto"/>
      </w:divBdr>
    </w:div>
    <w:div w:id="1580946446">
      <w:bodyDiv w:val="1"/>
      <w:marLeft w:val="0"/>
      <w:marRight w:val="0"/>
      <w:marTop w:val="0"/>
      <w:marBottom w:val="0"/>
      <w:divBdr>
        <w:top w:val="none" w:sz="0" w:space="0" w:color="auto"/>
        <w:left w:val="none" w:sz="0" w:space="0" w:color="auto"/>
        <w:bottom w:val="none" w:sz="0" w:space="0" w:color="auto"/>
        <w:right w:val="none" w:sz="0" w:space="0" w:color="auto"/>
      </w:divBdr>
    </w:div>
    <w:div w:id="1581058806">
      <w:bodyDiv w:val="1"/>
      <w:marLeft w:val="0"/>
      <w:marRight w:val="0"/>
      <w:marTop w:val="0"/>
      <w:marBottom w:val="0"/>
      <w:divBdr>
        <w:top w:val="none" w:sz="0" w:space="0" w:color="auto"/>
        <w:left w:val="none" w:sz="0" w:space="0" w:color="auto"/>
        <w:bottom w:val="none" w:sz="0" w:space="0" w:color="auto"/>
        <w:right w:val="none" w:sz="0" w:space="0" w:color="auto"/>
      </w:divBdr>
    </w:div>
    <w:div w:id="1581134269">
      <w:bodyDiv w:val="1"/>
      <w:marLeft w:val="0"/>
      <w:marRight w:val="0"/>
      <w:marTop w:val="0"/>
      <w:marBottom w:val="0"/>
      <w:divBdr>
        <w:top w:val="none" w:sz="0" w:space="0" w:color="auto"/>
        <w:left w:val="none" w:sz="0" w:space="0" w:color="auto"/>
        <w:bottom w:val="none" w:sz="0" w:space="0" w:color="auto"/>
        <w:right w:val="none" w:sz="0" w:space="0" w:color="auto"/>
      </w:divBdr>
    </w:div>
    <w:div w:id="1581479582">
      <w:bodyDiv w:val="1"/>
      <w:marLeft w:val="0"/>
      <w:marRight w:val="0"/>
      <w:marTop w:val="0"/>
      <w:marBottom w:val="0"/>
      <w:divBdr>
        <w:top w:val="none" w:sz="0" w:space="0" w:color="auto"/>
        <w:left w:val="none" w:sz="0" w:space="0" w:color="auto"/>
        <w:bottom w:val="none" w:sz="0" w:space="0" w:color="auto"/>
        <w:right w:val="none" w:sz="0" w:space="0" w:color="auto"/>
      </w:divBdr>
    </w:div>
    <w:div w:id="1581480990">
      <w:bodyDiv w:val="1"/>
      <w:marLeft w:val="0"/>
      <w:marRight w:val="0"/>
      <w:marTop w:val="0"/>
      <w:marBottom w:val="0"/>
      <w:divBdr>
        <w:top w:val="none" w:sz="0" w:space="0" w:color="auto"/>
        <w:left w:val="none" w:sz="0" w:space="0" w:color="auto"/>
        <w:bottom w:val="none" w:sz="0" w:space="0" w:color="auto"/>
        <w:right w:val="none" w:sz="0" w:space="0" w:color="auto"/>
      </w:divBdr>
    </w:div>
    <w:div w:id="1581519505">
      <w:bodyDiv w:val="1"/>
      <w:marLeft w:val="0"/>
      <w:marRight w:val="0"/>
      <w:marTop w:val="0"/>
      <w:marBottom w:val="0"/>
      <w:divBdr>
        <w:top w:val="none" w:sz="0" w:space="0" w:color="auto"/>
        <w:left w:val="none" w:sz="0" w:space="0" w:color="auto"/>
        <w:bottom w:val="none" w:sz="0" w:space="0" w:color="auto"/>
        <w:right w:val="none" w:sz="0" w:space="0" w:color="auto"/>
      </w:divBdr>
    </w:div>
    <w:div w:id="1581527659">
      <w:bodyDiv w:val="1"/>
      <w:marLeft w:val="0"/>
      <w:marRight w:val="0"/>
      <w:marTop w:val="0"/>
      <w:marBottom w:val="0"/>
      <w:divBdr>
        <w:top w:val="none" w:sz="0" w:space="0" w:color="auto"/>
        <w:left w:val="none" w:sz="0" w:space="0" w:color="auto"/>
        <w:bottom w:val="none" w:sz="0" w:space="0" w:color="auto"/>
        <w:right w:val="none" w:sz="0" w:space="0" w:color="auto"/>
      </w:divBdr>
    </w:div>
    <w:div w:id="1581595654">
      <w:bodyDiv w:val="1"/>
      <w:marLeft w:val="0"/>
      <w:marRight w:val="0"/>
      <w:marTop w:val="0"/>
      <w:marBottom w:val="0"/>
      <w:divBdr>
        <w:top w:val="none" w:sz="0" w:space="0" w:color="auto"/>
        <w:left w:val="none" w:sz="0" w:space="0" w:color="auto"/>
        <w:bottom w:val="none" w:sz="0" w:space="0" w:color="auto"/>
        <w:right w:val="none" w:sz="0" w:space="0" w:color="auto"/>
      </w:divBdr>
    </w:div>
    <w:div w:id="1581602338">
      <w:bodyDiv w:val="1"/>
      <w:marLeft w:val="0"/>
      <w:marRight w:val="0"/>
      <w:marTop w:val="0"/>
      <w:marBottom w:val="0"/>
      <w:divBdr>
        <w:top w:val="none" w:sz="0" w:space="0" w:color="auto"/>
        <w:left w:val="none" w:sz="0" w:space="0" w:color="auto"/>
        <w:bottom w:val="none" w:sz="0" w:space="0" w:color="auto"/>
        <w:right w:val="none" w:sz="0" w:space="0" w:color="auto"/>
      </w:divBdr>
    </w:div>
    <w:div w:id="1581717860">
      <w:bodyDiv w:val="1"/>
      <w:marLeft w:val="0"/>
      <w:marRight w:val="0"/>
      <w:marTop w:val="0"/>
      <w:marBottom w:val="0"/>
      <w:divBdr>
        <w:top w:val="none" w:sz="0" w:space="0" w:color="auto"/>
        <w:left w:val="none" w:sz="0" w:space="0" w:color="auto"/>
        <w:bottom w:val="none" w:sz="0" w:space="0" w:color="auto"/>
        <w:right w:val="none" w:sz="0" w:space="0" w:color="auto"/>
      </w:divBdr>
    </w:div>
    <w:div w:id="1581913581">
      <w:bodyDiv w:val="1"/>
      <w:marLeft w:val="0"/>
      <w:marRight w:val="0"/>
      <w:marTop w:val="0"/>
      <w:marBottom w:val="0"/>
      <w:divBdr>
        <w:top w:val="none" w:sz="0" w:space="0" w:color="auto"/>
        <w:left w:val="none" w:sz="0" w:space="0" w:color="auto"/>
        <w:bottom w:val="none" w:sz="0" w:space="0" w:color="auto"/>
        <w:right w:val="none" w:sz="0" w:space="0" w:color="auto"/>
      </w:divBdr>
    </w:div>
    <w:div w:id="1582135962">
      <w:bodyDiv w:val="1"/>
      <w:marLeft w:val="0"/>
      <w:marRight w:val="0"/>
      <w:marTop w:val="0"/>
      <w:marBottom w:val="0"/>
      <w:divBdr>
        <w:top w:val="none" w:sz="0" w:space="0" w:color="auto"/>
        <w:left w:val="none" w:sz="0" w:space="0" w:color="auto"/>
        <w:bottom w:val="none" w:sz="0" w:space="0" w:color="auto"/>
        <w:right w:val="none" w:sz="0" w:space="0" w:color="auto"/>
      </w:divBdr>
    </w:div>
    <w:div w:id="1582180212">
      <w:bodyDiv w:val="1"/>
      <w:marLeft w:val="0"/>
      <w:marRight w:val="0"/>
      <w:marTop w:val="0"/>
      <w:marBottom w:val="0"/>
      <w:divBdr>
        <w:top w:val="none" w:sz="0" w:space="0" w:color="auto"/>
        <w:left w:val="none" w:sz="0" w:space="0" w:color="auto"/>
        <w:bottom w:val="none" w:sz="0" w:space="0" w:color="auto"/>
        <w:right w:val="none" w:sz="0" w:space="0" w:color="auto"/>
      </w:divBdr>
    </w:div>
    <w:div w:id="1582180547">
      <w:bodyDiv w:val="1"/>
      <w:marLeft w:val="0"/>
      <w:marRight w:val="0"/>
      <w:marTop w:val="0"/>
      <w:marBottom w:val="0"/>
      <w:divBdr>
        <w:top w:val="none" w:sz="0" w:space="0" w:color="auto"/>
        <w:left w:val="none" w:sz="0" w:space="0" w:color="auto"/>
        <w:bottom w:val="none" w:sz="0" w:space="0" w:color="auto"/>
        <w:right w:val="none" w:sz="0" w:space="0" w:color="auto"/>
      </w:divBdr>
    </w:div>
    <w:div w:id="1582375229">
      <w:bodyDiv w:val="1"/>
      <w:marLeft w:val="0"/>
      <w:marRight w:val="0"/>
      <w:marTop w:val="0"/>
      <w:marBottom w:val="0"/>
      <w:divBdr>
        <w:top w:val="none" w:sz="0" w:space="0" w:color="auto"/>
        <w:left w:val="none" w:sz="0" w:space="0" w:color="auto"/>
        <w:bottom w:val="none" w:sz="0" w:space="0" w:color="auto"/>
        <w:right w:val="none" w:sz="0" w:space="0" w:color="auto"/>
      </w:divBdr>
    </w:div>
    <w:div w:id="1582444829">
      <w:bodyDiv w:val="1"/>
      <w:marLeft w:val="0"/>
      <w:marRight w:val="0"/>
      <w:marTop w:val="0"/>
      <w:marBottom w:val="0"/>
      <w:divBdr>
        <w:top w:val="none" w:sz="0" w:space="0" w:color="auto"/>
        <w:left w:val="none" w:sz="0" w:space="0" w:color="auto"/>
        <w:bottom w:val="none" w:sz="0" w:space="0" w:color="auto"/>
        <w:right w:val="none" w:sz="0" w:space="0" w:color="auto"/>
      </w:divBdr>
    </w:div>
    <w:div w:id="1582448662">
      <w:bodyDiv w:val="1"/>
      <w:marLeft w:val="0"/>
      <w:marRight w:val="0"/>
      <w:marTop w:val="0"/>
      <w:marBottom w:val="0"/>
      <w:divBdr>
        <w:top w:val="none" w:sz="0" w:space="0" w:color="auto"/>
        <w:left w:val="none" w:sz="0" w:space="0" w:color="auto"/>
        <w:bottom w:val="none" w:sz="0" w:space="0" w:color="auto"/>
        <w:right w:val="none" w:sz="0" w:space="0" w:color="auto"/>
      </w:divBdr>
    </w:div>
    <w:div w:id="1582449237">
      <w:bodyDiv w:val="1"/>
      <w:marLeft w:val="0"/>
      <w:marRight w:val="0"/>
      <w:marTop w:val="0"/>
      <w:marBottom w:val="0"/>
      <w:divBdr>
        <w:top w:val="none" w:sz="0" w:space="0" w:color="auto"/>
        <w:left w:val="none" w:sz="0" w:space="0" w:color="auto"/>
        <w:bottom w:val="none" w:sz="0" w:space="0" w:color="auto"/>
        <w:right w:val="none" w:sz="0" w:space="0" w:color="auto"/>
      </w:divBdr>
    </w:div>
    <w:div w:id="1582592999">
      <w:bodyDiv w:val="1"/>
      <w:marLeft w:val="0"/>
      <w:marRight w:val="0"/>
      <w:marTop w:val="0"/>
      <w:marBottom w:val="0"/>
      <w:divBdr>
        <w:top w:val="none" w:sz="0" w:space="0" w:color="auto"/>
        <w:left w:val="none" w:sz="0" w:space="0" w:color="auto"/>
        <w:bottom w:val="none" w:sz="0" w:space="0" w:color="auto"/>
        <w:right w:val="none" w:sz="0" w:space="0" w:color="auto"/>
      </w:divBdr>
    </w:div>
    <w:div w:id="1582832363">
      <w:bodyDiv w:val="1"/>
      <w:marLeft w:val="0"/>
      <w:marRight w:val="0"/>
      <w:marTop w:val="0"/>
      <w:marBottom w:val="0"/>
      <w:divBdr>
        <w:top w:val="none" w:sz="0" w:space="0" w:color="auto"/>
        <w:left w:val="none" w:sz="0" w:space="0" w:color="auto"/>
        <w:bottom w:val="none" w:sz="0" w:space="0" w:color="auto"/>
        <w:right w:val="none" w:sz="0" w:space="0" w:color="auto"/>
      </w:divBdr>
    </w:div>
    <w:div w:id="1582905812">
      <w:bodyDiv w:val="1"/>
      <w:marLeft w:val="0"/>
      <w:marRight w:val="0"/>
      <w:marTop w:val="0"/>
      <w:marBottom w:val="0"/>
      <w:divBdr>
        <w:top w:val="none" w:sz="0" w:space="0" w:color="auto"/>
        <w:left w:val="none" w:sz="0" w:space="0" w:color="auto"/>
        <w:bottom w:val="none" w:sz="0" w:space="0" w:color="auto"/>
        <w:right w:val="none" w:sz="0" w:space="0" w:color="auto"/>
      </w:divBdr>
    </w:div>
    <w:div w:id="1582982223">
      <w:bodyDiv w:val="1"/>
      <w:marLeft w:val="0"/>
      <w:marRight w:val="0"/>
      <w:marTop w:val="0"/>
      <w:marBottom w:val="0"/>
      <w:divBdr>
        <w:top w:val="none" w:sz="0" w:space="0" w:color="auto"/>
        <w:left w:val="none" w:sz="0" w:space="0" w:color="auto"/>
        <w:bottom w:val="none" w:sz="0" w:space="0" w:color="auto"/>
        <w:right w:val="none" w:sz="0" w:space="0" w:color="auto"/>
      </w:divBdr>
    </w:div>
    <w:div w:id="1582982560">
      <w:bodyDiv w:val="1"/>
      <w:marLeft w:val="0"/>
      <w:marRight w:val="0"/>
      <w:marTop w:val="0"/>
      <w:marBottom w:val="0"/>
      <w:divBdr>
        <w:top w:val="none" w:sz="0" w:space="0" w:color="auto"/>
        <w:left w:val="none" w:sz="0" w:space="0" w:color="auto"/>
        <w:bottom w:val="none" w:sz="0" w:space="0" w:color="auto"/>
        <w:right w:val="none" w:sz="0" w:space="0" w:color="auto"/>
      </w:divBdr>
    </w:div>
    <w:div w:id="1582988772">
      <w:bodyDiv w:val="1"/>
      <w:marLeft w:val="0"/>
      <w:marRight w:val="0"/>
      <w:marTop w:val="0"/>
      <w:marBottom w:val="0"/>
      <w:divBdr>
        <w:top w:val="none" w:sz="0" w:space="0" w:color="auto"/>
        <w:left w:val="none" w:sz="0" w:space="0" w:color="auto"/>
        <w:bottom w:val="none" w:sz="0" w:space="0" w:color="auto"/>
        <w:right w:val="none" w:sz="0" w:space="0" w:color="auto"/>
      </w:divBdr>
    </w:div>
    <w:div w:id="1583025301">
      <w:bodyDiv w:val="1"/>
      <w:marLeft w:val="0"/>
      <w:marRight w:val="0"/>
      <w:marTop w:val="0"/>
      <w:marBottom w:val="0"/>
      <w:divBdr>
        <w:top w:val="none" w:sz="0" w:space="0" w:color="auto"/>
        <w:left w:val="none" w:sz="0" w:space="0" w:color="auto"/>
        <w:bottom w:val="none" w:sz="0" w:space="0" w:color="auto"/>
        <w:right w:val="none" w:sz="0" w:space="0" w:color="auto"/>
      </w:divBdr>
    </w:div>
    <w:div w:id="1583177073">
      <w:bodyDiv w:val="1"/>
      <w:marLeft w:val="0"/>
      <w:marRight w:val="0"/>
      <w:marTop w:val="0"/>
      <w:marBottom w:val="0"/>
      <w:divBdr>
        <w:top w:val="none" w:sz="0" w:space="0" w:color="auto"/>
        <w:left w:val="none" w:sz="0" w:space="0" w:color="auto"/>
        <w:bottom w:val="none" w:sz="0" w:space="0" w:color="auto"/>
        <w:right w:val="none" w:sz="0" w:space="0" w:color="auto"/>
      </w:divBdr>
    </w:div>
    <w:div w:id="1583418117">
      <w:bodyDiv w:val="1"/>
      <w:marLeft w:val="0"/>
      <w:marRight w:val="0"/>
      <w:marTop w:val="0"/>
      <w:marBottom w:val="0"/>
      <w:divBdr>
        <w:top w:val="none" w:sz="0" w:space="0" w:color="auto"/>
        <w:left w:val="none" w:sz="0" w:space="0" w:color="auto"/>
        <w:bottom w:val="none" w:sz="0" w:space="0" w:color="auto"/>
        <w:right w:val="none" w:sz="0" w:space="0" w:color="auto"/>
      </w:divBdr>
    </w:div>
    <w:div w:id="1583445588">
      <w:bodyDiv w:val="1"/>
      <w:marLeft w:val="0"/>
      <w:marRight w:val="0"/>
      <w:marTop w:val="0"/>
      <w:marBottom w:val="0"/>
      <w:divBdr>
        <w:top w:val="none" w:sz="0" w:space="0" w:color="auto"/>
        <w:left w:val="none" w:sz="0" w:space="0" w:color="auto"/>
        <w:bottom w:val="none" w:sz="0" w:space="0" w:color="auto"/>
        <w:right w:val="none" w:sz="0" w:space="0" w:color="auto"/>
      </w:divBdr>
    </w:div>
    <w:div w:id="1583445748">
      <w:bodyDiv w:val="1"/>
      <w:marLeft w:val="0"/>
      <w:marRight w:val="0"/>
      <w:marTop w:val="0"/>
      <w:marBottom w:val="0"/>
      <w:divBdr>
        <w:top w:val="none" w:sz="0" w:space="0" w:color="auto"/>
        <w:left w:val="none" w:sz="0" w:space="0" w:color="auto"/>
        <w:bottom w:val="none" w:sz="0" w:space="0" w:color="auto"/>
        <w:right w:val="none" w:sz="0" w:space="0" w:color="auto"/>
      </w:divBdr>
    </w:div>
    <w:div w:id="1583493192">
      <w:bodyDiv w:val="1"/>
      <w:marLeft w:val="0"/>
      <w:marRight w:val="0"/>
      <w:marTop w:val="0"/>
      <w:marBottom w:val="0"/>
      <w:divBdr>
        <w:top w:val="none" w:sz="0" w:space="0" w:color="auto"/>
        <w:left w:val="none" w:sz="0" w:space="0" w:color="auto"/>
        <w:bottom w:val="none" w:sz="0" w:space="0" w:color="auto"/>
        <w:right w:val="none" w:sz="0" w:space="0" w:color="auto"/>
      </w:divBdr>
    </w:div>
    <w:div w:id="1583567653">
      <w:bodyDiv w:val="1"/>
      <w:marLeft w:val="0"/>
      <w:marRight w:val="0"/>
      <w:marTop w:val="0"/>
      <w:marBottom w:val="0"/>
      <w:divBdr>
        <w:top w:val="none" w:sz="0" w:space="0" w:color="auto"/>
        <w:left w:val="none" w:sz="0" w:space="0" w:color="auto"/>
        <w:bottom w:val="none" w:sz="0" w:space="0" w:color="auto"/>
        <w:right w:val="none" w:sz="0" w:space="0" w:color="auto"/>
      </w:divBdr>
    </w:div>
    <w:div w:id="1583636390">
      <w:bodyDiv w:val="1"/>
      <w:marLeft w:val="0"/>
      <w:marRight w:val="0"/>
      <w:marTop w:val="0"/>
      <w:marBottom w:val="0"/>
      <w:divBdr>
        <w:top w:val="none" w:sz="0" w:space="0" w:color="auto"/>
        <w:left w:val="none" w:sz="0" w:space="0" w:color="auto"/>
        <w:bottom w:val="none" w:sz="0" w:space="0" w:color="auto"/>
        <w:right w:val="none" w:sz="0" w:space="0" w:color="auto"/>
      </w:divBdr>
    </w:div>
    <w:div w:id="1583638669">
      <w:bodyDiv w:val="1"/>
      <w:marLeft w:val="0"/>
      <w:marRight w:val="0"/>
      <w:marTop w:val="0"/>
      <w:marBottom w:val="0"/>
      <w:divBdr>
        <w:top w:val="none" w:sz="0" w:space="0" w:color="auto"/>
        <w:left w:val="none" w:sz="0" w:space="0" w:color="auto"/>
        <w:bottom w:val="none" w:sz="0" w:space="0" w:color="auto"/>
        <w:right w:val="none" w:sz="0" w:space="0" w:color="auto"/>
      </w:divBdr>
    </w:div>
    <w:div w:id="1583639875">
      <w:bodyDiv w:val="1"/>
      <w:marLeft w:val="0"/>
      <w:marRight w:val="0"/>
      <w:marTop w:val="0"/>
      <w:marBottom w:val="0"/>
      <w:divBdr>
        <w:top w:val="none" w:sz="0" w:space="0" w:color="auto"/>
        <w:left w:val="none" w:sz="0" w:space="0" w:color="auto"/>
        <w:bottom w:val="none" w:sz="0" w:space="0" w:color="auto"/>
        <w:right w:val="none" w:sz="0" w:space="0" w:color="auto"/>
      </w:divBdr>
    </w:div>
    <w:div w:id="1583642870">
      <w:bodyDiv w:val="1"/>
      <w:marLeft w:val="0"/>
      <w:marRight w:val="0"/>
      <w:marTop w:val="0"/>
      <w:marBottom w:val="0"/>
      <w:divBdr>
        <w:top w:val="none" w:sz="0" w:space="0" w:color="auto"/>
        <w:left w:val="none" w:sz="0" w:space="0" w:color="auto"/>
        <w:bottom w:val="none" w:sz="0" w:space="0" w:color="auto"/>
        <w:right w:val="none" w:sz="0" w:space="0" w:color="auto"/>
      </w:divBdr>
    </w:div>
    <w:div w:id="1583680040">
      <w:bodyDiv w:val="1"/>
      <w:marLeft w:val="0"/>
      <w:marRight w:val="0"/>
      <w:marTop w:val="0"/>
      <w:marBottom w:val="0"/>
      <w:divBdr>
        <w:top w:val="none" w:sz="0" w:space="0" w:color="auto"/>
        <w:left w:val="none" w:sz="0" w:space="0" w:color="auto"/>
        <w:bottom w:val="none" w:sz="0" w:space="0" w:color="auto"/>
        <w:right w:val="none" w:sz="0" w:space="0" w:color="auto"/>
      </w:divBdr>
    </w:div>
    <w:div w:id="1583829223">
      <w:bodyDiv w:val="1"/>
      <w:marLeft w:val="0"/>
      <w:marRight w:val="0"/>
      <w:marTop w:val="0"/>
      <w:marBottom w:val="0"/>
      <w:divBdr>
        <w:top w:val="none" w:sz="0" w:space="0" w:color="auto"/>
        <w:left w:val="none" w:sz="0" w:space="0" w:color="auto"/>
        <w:bottom w:val="none" w:sz="0" w:space="0" w:color="auto"/>
        <w:right w:val="none" w:sz="0" w:space="0" w:color="auto"/>
      </w:divBdr>
    </w:div>
    <w:div w:id="1583874755">
      <w:bodyDiv w:val="1"/>
      <w:marLeft w:val="0"/>
      <w:marRight w:val="0"/>
      <w:marTop w:val="0"/>
      <w:marBottom w:val="0"/>
      <w:divBdr>
        <w:top w:val="none" w:sz="0" w:space="0" w:color="auto"/>
        <w:left w:val="none" w:sz="0" w:space="0" w:color="auto"/>
        <w:bottom w:val="none" w:sz="0" w:space="0" w:color="auto"/>
        <w:right w:val="none" w:sz="0" w:space="0" w:color="auto"/>
      </w:divBdr>
    </w:div>
    <w:div w:id="1583880249">
      <w:bodyDiv w:val="1"/>
      <w:marLeft w:val="0"/>
      <w:marRight w:val="0"/>
      <w:marTop w:val="0"/>
      <w:marBottom w:val="0"/>
      <w:divBdr>
        <w:top w:val="none" w:sz="0" w:space="0" w:color="auto"/>
        <w:left w:val="none" w:sz="0" w:space="0" w:color="auto"/>
        <w:bottom w:val="none" w:sz="0" w:space="0" w:color="auto"/>
        <w:right w:val="none" w:sz="0" w:space="0" w:color="auto"/>
      </w:divBdr>
    </w:div>
    <w:div w:id="1584073349">
      <w:bodyDiv w:val="1"/>
      <w:marLeft w:val="0"/>
      <w:marRight w:val="0"/>
      <w:marTop w:val="0"/>
      <w:marBottom w:val="0"/>
      <w:divBdr>
        <w:top w:val="none" w:sz="0" w:space="0" w:color="auto"/>
        <w:left w:val="none" w:sz="0" w:space="0" w:color="auto"/>
        <w:bottom w:val="none" w:sz="0" w:space="0" w:color="auto"/>
        <w:right w:val="none" w:sz="0" w:space="0" w:color="auto"/>
      </w:divBdr>
    </w:div>
    <w:div w:id="1584143160">
      <w:bodyDiv w:val="1"/>
      <w:marLeft w:val="0"/>
      <w:marRight w:val="0"/>
      <w:marTop w:val="0"/>
      <w:marBottom w:val="0"/>
      <w:divBdr>
        <w:top w:val="none" w:sz="0" w:space="0" w:color="auto"/>
        <w:left w:val="none" w:sz="0" w:space="0" w:color="auto"/>
        <w:bottom w:val="none" w:sz="0" w:space="0" w:color="auto"/>
        <w:right w:val="none" w:sz="0" w:space="0" w:color="auto"/>
      </w:divBdr>
    </w:div>
    <w:div w:id="1584146284">
      <w:bodyDiv w:val="1"/>
      <w:marLeft w:val="0"/>
      <w:marRight w:val="0"/>
      <w:marTop w:val="0"/>
      <w:marBottom w:val="0"/>
      <w:divBdr>
        <w:top w:val="none" w:sz="0" w:space="0" w:color="auto"/>
        <w:left w:val="none" w:sz="0" w:space="0" w:color="auto"/>
        <w:bottom w:val="none" w:sz="0" w:space="0" w:color="auto"/>
        <w:right w:val="none" w:sz="0" w:space="0" w:color="auto"/>
      </w:divBdr>
    </w:div>
    <w:div w:id="1584334677">
      <w:bodyDiv w:val="1"/>
      <w:marLeft w:val="0"/>
      <w:marRight w:val="0"/>
      <w:marTop w:val="0"/>
      <w:marBottom w:val="0"/>
      <w:divBdr>
        <w:top w:val="none" w:sz="0" w:space="0" w:color="auto"/>
        <w:left w:val="none" w:sz="0" w:space="0" w:color="auto"/>
        <w:bottom w:val="none" w:sz="0" w:space="0" w:color="auto"/>
        <w:right w:val="none" w:sz="0" w:space="0" w:color="auto"/>
      </w:divBdr>
    </w:div>
    <w:div w:id="1584340993">
      <w:bodyDiv w:val="1"/>
      <w:marLeft w:val="0"/>
      <w:marRight w:val="0"/>
      <w:marTop w:val="0"/>
      <w:marBottom w:val="0"/>
      <w:divBdr>
        <w:top w:val="none" w:sz="0" w:space="0" w:color="auto"/>
        <w:left w:val="none" w:sz="0" w:space="0" w:color="auto"/>
        <w:bottom w:val="none" w:sz="0" w:space="0" w:color="auto"/>
        <w:right w:val="none" w:sz="0" w:space="0" w:color="auto"/>
      </w:divBdr>
    </w:div>
    <w:div w:id="1584411856">
      <w:bodyDiv w:val="1"/>
      <w:marLeft w:val="0"/>
      <w:marRight w:val="0"/>
      <w:marTop w:val="0"/>
      <w:marBottom w:val="0"/>
      <w:divBdr>
        <w:top w:val="none" w:sz="0" w:space="0" w:color="auto"/>
        <w:left w:val="none" w:sz="0" w:space="0" w:color="auto"/>
        <w:bottom w:val="none" w:sz="0" w:space="0" w:color="auto"/>
        <w:right w:val="none" w:sz="0" w:space="0" w:color="auto"/>
      </w:divBdr>
    </w:div>
    <w:div w:id="1584485846">
      <w:bodyDiv w:val="1"/>
      <w:marLeft w:val="0"/>
      <w:marRight w:val="0"/>
      <w:marTop w:val="0"/>
      <w:marBottom w:val="0"/>
      <w:divBdr>
        <w:top w:val="none" w:sz="0" w:space="0" w:color="auto"/>
        <w:left w:val="none" w:sz="0" w:space="0" w:color="auto"/>
        <w:bottom w:val="none" w:sz="0" w:space="0" w:color="auto"/>
        <w:right w:val="none" w:sz="0" w:space="0" w:color="auto"/>
      </w:divBdr>
    </w:div>
    <w:div w:id="1584492527">
      <w:bodyDiv w:val="1"/>
      <w:marLeft w:val="0"/>
      <w:marRight w:val="0"/>
      <w:marTop w:val="0"/>
      <w:marBottom w:val="0"/>
      <w:divBdr>
        <w:top w:val="none" w:sz="0" w:space="0" w:color="auto"/>
        <w:left w:val="none" w:sz="0" w:space="0" w:color="auto"/>
        <w:bottom w:val="none" w:sz="0" w:space="0" w:color="auto"/>
        <w:right w:val="none" w:sz="0" w:space="0" w:color="auto"/>
      </w:divBdr>
    </w:div>
    <w:div w:id="1584681911">
      <w:bodyDiv w:val="1"/>
      <w:marLeft w:val="0"/>
      <w:marRight w:val="0"/>
      <w:marTop w:val="0"/>
      <w:marBottom w:val="0"/>
      <w:divBdr>
        <w:top w:val="none" w:sz="0" w:space="0" w:color="auto"/>
        <w:left w:val="none" w:sz="0" w:space="0" w:color="auto"/>
        <w:bottom w:val="none" w:sz="0" w:space="0" w:color="auto"/>
        <w:right w:val="none" w:sz="0" w:space="0" w:color="auto"/>
      </w:divBdr>
    </w:div>
    <w:div w:id="1584800056">
      <w:bodyDiv w:val="1"/>
      <w:marLeft w:val="0"/>
      <w:marRight w:val="0"/>
      <w:marTop w:val="0"/>
      <w:marBottom w:val="0"/>
      <w:divBdr>
        <w:top w:val="none" w:sz="0" w:space="0" w:color="auto"/>
        <w:left w:val="none" w:sz="0" w:space="0" w:color="auto"/>
        <w:bottom w:val="none" w:sz="0" w:space="0" w:color="auto"/>
        <w:right w:val="none" w:sz="0" w:space="0" w:color="auto"/>
      </w:divBdr>
    </w:div>
    <w:div w:id="1584877159">
      <w:bodyDiv w:val="1"/>
      <w:marLeft w:val="0"/>
      <w:marRight w:val="0"/>
      <w:marTop w:val="0"/>
      <w:marBottom w:val="0"/>
      <w:divBdr>
        <w:top w:val="none" w:sz="0" w:space="0" w:color="auto"/>
        <w:left w:val="none" w:sz="0" w:space="0" w:color="auto"/>
        <w:bottom w:val="none" w:sz="0" w:space="0" w:color="auto"/>
        <w:right w:val="none" w:sz="0" w:space="0" w:color="auto"/>
      </w:divBdr>
    </w:div>
    <w:div w:id="1584878970">
      <w:bodyDiv w:val="1"/>
      <w:marLeft w:val="0"/>
      <w:marRight w:val="0"/>
      <w:marTop w:val="0"/>
      <w:marBottom w:val="0"/>
      <w:divBdr>
        <w:top w:val="none" w:sz="0" w:space="0" w:color="auto"/>
        <w:left w:val="none" w:sz="0" w:space="0" w:color="auto"/>
        <w:bottom w:val="none" w:sz="0" w:space="0" w:color="auto"/>
        <w:right w:val="none" w:sz="0" w:space="0" w:color="auto"/>
      </w:divBdr>
    </w:div>
    <w:div w:id="1584946748">
      <w:bodyDiv w:val="1"/>
      <w:marLeft w:val="0"/>
      <w:marRight w:val="0"/>
      <w:marTop w:val="0"/>
      <w:marBottom w:val="0"/>
      <w:divBdr>
        <w:top w:val="none" w:sz="0" w:space="0" w:color="auto"/>
        <w:left w:val="none" w:sz="0" w:space="0" w:color="auto"/>
        <w:bottom w:val="none" w:sz="0" w:space="0" w:color="auto"/>
        <w:right w:val="none" w:sz="0" w:space="0" w:color="auto"/>
      </w:divBdr>
    </w:div>
    <w:div w:id="1584950572">
      <w:bodyDiv w:val="1"/>
      <w:marLeft w:val="0"/>
      <w:marRight w:val="0"/>
      <w:marTop w:val="0"/>
      <w:marBottom w:val="0"/>
      <w:divBdr>
        <w:top w:val="none" w:sz="0" w:space="0" w:color="auto"/>
        <w:left w:val="none" w:sz="0" w:space="0" w:color="auto"/>
        <w:bottom w:val="none" w:sz="0" w:space="0" w:color="auto"/>
        <w:right w:val="none" w:sz="0" w:space="0" w:color="auto"/>
      </w:divBdr>
    </w:div>
    <w:div w:id="1584951890">
      <w:bodyDiv w:val="1"/>
      <w:marLeft w:val="0"/>
      <w:marRight w:val="0"/>
      <w:marTop w:val="0"/>
      <w:marBottom w:val="0"/>
      <w:divBdr>
        <w:top w:val="none" w:sz="0" w:space="0" w:color="auto"/>
        <w:left w:val="none" w:sz="0" w:space="0" w:color="auto"/>
        <w:bottom w:val="none" w:sz="0" w:space="0" w:color="auto"/>
        <w:right w:val="none" w:sz="0" w:space="0" w:color="auto"/>
      </w:divBdr>
    </w:div>
    <w:div w:id="1585067237">
      <w:bodyDiv w:val="1"/>
      <w:marLeft w:val="0"/>
      <w:marRight w:val="0"/>
      <w:marTop w:val="0"/>
      <w:marBottom w:val="0"/>
      <w:divBdr>
        <w:top w:val="none" w:sz="0" w:space="0" w:color="auto"/>
        <w:left w:val="none" w:sz="0" w:space="0" w:color="auto"/>
        <w:bottom w:val="none" w:sz="0" w:space="0" w:color="auto"/>
        <w:right w:val="none" w:sz="0" w:space="0" w:color="auto"/>
      </w:divBdr>
    </w:div>
    <w:div w:id="1585138930">
      <w:bodyDiv w:val="1"/>
      <w:marLeft w:val="0"/>
      <w:marRight w:val="0"/>
      <w:marTop w:val="0"/>
      <w:marBottom w:val="0"/>
      <w:divBdr>
        <w:top w:val="none" w:sz="0" w:space="0" w:color="auto"/>
        <w:left w:val="none" w:sz="0" w:space="0" w:color="auto"/>
        <w:bottom w:val="none" w:sz="0" w:space="0" w:color="auto"/>
        <w:right w:val="none" w:sz="0" w:space="0" w:color="auto"/>
      </w:divBdr>
    </w:div>
    <w:div w:id="1585142517">
      <w:bodyDiv w:val="1"/>
      <w:marLeft w:val="0"/>
      <w:marRight w:val="0"/>
      <w:marTop w:val="0"/>
      <w:marBottom w:val="0"/>
      <w:divBdr>
        <w:top w:val="none" w:sz="0" w:space="0" w:color="auto"/>
        <w:left w:val="none" w:sz="0" w:space="0" w:color="auto"/>
        <w:bottom w:val="none" w:sz="0" w:space="0" w:color="auto"/>
        <w:right w:val="none" w:sz="0" w:space="0" w:color="auto"/>
      </w:divBdr>
    </w:div>
    <w:div w:id="1585142859">
      <w:bodyDiv w:val="1"/>
      <w:marLeft w:val="0"/>
      <w:marRight w:val="0"/>
      <w:marTop w:val="0"/>
      <w:marBottom w:val="0"/>
      <w:divBdr>
        <w:top w:val="none" w:sz="0" w:space="0" w:color="auto"/>
        <w:left w:val="none" w:sz="0" w:space="0" w:color="auto"/>
        <w:bottom w:val="none" w:sz="0" w:space="0" w:color="auto"/>
        <w:right w:val="none" w:sz="0" w:space="0" w:color="auto"/>
      </w:divBdr>
    </w:div>
    <w:div w:id="1585261279">
      <w:bodyDiv w:val="1"/>
      <w:marLeft w:val="0"/>
      <w:marRight w:val="0"/>
      <w:marTop w:val="0"/>
      <w:marBottom w:val="0"/>
      <w:divBdr>
        <w:top w:val="none" w:sz="0" w:space="0" w:color="auto"/>
        <w:left w:val="none" w:sz="0" w:space="0" w:color="auto"/>
        <w:bottom w:val="none" w:sz="0" w:space="0" w:color="auto"/>
        <w:right w:val="none" w:sz="0" w:space="0" w:color="auto"/>
      </w:divBdr>
    </w:div>
    <w:div w:id="1585333522">
      <w:bodyDiv w:val="1"/>
      <w:marLeft w:val="0"/>
      <w:marRight w:val="0"/>
      <w:marTop w:val="0"/>
      <w:marBottom w:val="0"/>
      <w:divBdr>
        <w:top w:val="none" w:sz="0" w:space="0" w:color="auto"/>
        <w:left w:val="none" w:sz="0" w:space="0" w:color="auto"/>
        <w:bottom w:val="none" w:sz="0" w:space="0" w:color="auto"/>
        <w:right w:val="none" w:sz="0" w:space="0" w:color="auto"/>
      </w:divBdr>
    </w:div>
    <w:div w:id="1585382542">
      <w:bodyDiv w:val="1"/>
      <w:marLeft w:val="0"/>
      <w:marRight w:val="0"/>
      <w:marTop w:val="0"/>
      <w:marBottom w:val="0"/>
      <w:divBdr>
        <w:top w:val="none" w:sz="0" w:space="0" w:color="auto"/>
        <w:left w:val="none" w:sz="0" w:space="0" w:color="auto"/>
        <w:bottom w:val="none" w:sz="0" w:space="0" w:color="auto"/>
        <w:right w:val="none" w:sz="0" w:space="0" w:color="auto"/>
      </w:divBdr>
    </w:div>
    <w:div w:id="1585531745">
      <w:bodyDiv w:val="1"/>
      <w:marLeft w:val="0"/>
      <w:marRight w:val="0"/>
      <w:marTop w:val="0"/>
      <w:marBottom w:val="0"/>
      <w:divBdr>
        <w:top w:val="none" w:sz="0" w:space="0" w:color="auto"/>
        <w:left w:val="none" w:sz="0" w:space="0" w:color="auto"/>
        <w:bottom w:val="none" w:sz="0" w:space="0" w:color="auto"/>
        <w:right w:val="none" w:sz="0" w:space="0" w:color="auto"/>
      </w:divBdr>
    </w:div>
    <w:div w:id="1585648643">
      <w:bodyDiv w:val="1"/>
      <w:marLeft w:val="0"/>
      <w:marRight w:val="0"/>
      <w:marTop w:val="0"/>
      <w:marBottom w:val="0"/>
      <w:divBdr>
        <w:top w:val="none" w:sz="0" w:space="0" w:color="auto"/>
        <w:left w:val="none" w:sz="0" w:space="0" w:color="auto"/>
        <w:bottom w:val="none" w:sz="0" w:space="0" w:color="auto"/>
        <w:right w:val="none" w:sz="0" w:space="0" w:color="auto"/>
      </w:divBdr>
    </w:div>
    <w:div w:id="1585651093">
      <w:bodyDiv w:val="1"/>
      <w:marLeft w:val="0"/>
      <w:marRight w:val="0"/>
      <w:marTop w:val="0"/>
      <w:marBottom w:val="0"/>
      <w:divBdr>
        <w:top w:val="none" w:sz="0" w:space="0" w:color="auto"/>
        <w:left w:val="none" w:sz="0" w:space="0" w:color="auto"/>
        <w:bottom w:val="none" w:sz="0" w:space="0" w:color="auto"/>
        <w:right w:val="none" w:sz="0" w:space="0" w:color="auto"/>
      </w:divBdr>
    </w:div>
    <w:div w:id="1586183195">
      <w:bodyDiv w:val="1"/>
      <w:marLeft w:val="0"/>
      <w:marRight w:val="0"/>
      <w:marTop w:val="0"/>
      <w:marBottom w:val="0"/>
      <w:divBdr>
        <w:top w:val="none" w:sz="0" w:space="0" w:color="auto"/>
        <w:left w:val="none" w:sz="0" w:space="0" w:color="auto"/>
        <w:bottom w:val="none" w:sz="0" w:space="0" w:color="auto"/>
        <w:right w:val="none" w:sz="0" w:space="0" w:color="auto"/>
      </w:divBdr>
    </w:div>
    <w:div w:id="1586256676">
      <w:bodyDiv w:val="1"/>
      <w:marLeft w:val="0"/>
      <w:marRight w:val="0"/>
      <w:marTop w:val="0"/>
      <w:marBottom w:val="0"/>
      <w:divBdr>
        <w:top w:val="none" w:sz="0" w:space="0" w:color="auto"/>
        <w:left w:val="none" w:sz="0" w:space="0" w:color="auto"/>
        <w:bottom w:val="none" w:sz="0" w:space="0" w:color="auto"/>
        <w:right w:val="none" w:sz="0" w:space="0" w:color="auto"/>
      </w:divBdr>
    </w:div>
    <w:div w:id="1586260193">
      <w:bodyDiv w:val="1"/>
      <w:marLeft w:val="0"/>
      <w:marRight w:val="0"/>
      <w:marTop w:val="0"/>
      <w:marBottom w:val="0"/>
      <w:divBdr>
        <w:top w:val="none" w:sz="0" w:space="0" w:color="auto"/>
        <w:left w:val="none" w:sz="0" w:space="0" w:color="auto"/>
        <w:bottom w:val="none" w:sz="0" w:space="0" w:color="auto"/>
        <w:right w:val="none" w:sz="0" w:space="0" w:color="auto"/>
      </w:divBdr>
    </w:div>
    <w:div w:id="1586265604">
      <w:bodyDiv w:val="1"/>
      <w:marLeft w:val="0"/>
      <w:marRight w:val="0"/>
      <w:marTop w:val="0"/>
      <w:marBottom w:val="0"/>
      <w:divBdr>
        <w:top w:val="none" w:sz="0" w:space="0" w:color="auto"/>
        <w:left w:val="none" w:sz="0" w:space="0" w:color="auto"/>
        <w:bottom w:val="none" w:sz="0" w:space="0" w:color="auto"/>
        <w:right w:val="none" w:sz="0" w:space="0" w:color="auto"/>
      </w:divBdr>
    </w:div>
    <w:div w:id="1586374221">
      <w:bodyDiv w:val="1"/>
      <w:marLeft w:val="0"/>
      <w:marRight w:val="0"/>
      <w:marTop w:val="0"/>
      <w:marBottom w:val="0"/>
      <w:divBdr>
        <w:top w:val="none" w:sz="0" w:space="0" w:color="auto"/>
        <w:left w:val="none" w:sz="0" w:space="0" w:color="auto"/>
        <w:bottom w:val="none" w:sz="0" w:space="0" w:color="auto"/>
        <w:right w:val="none" w:sz="0" w:space="0" w:color="auto"/>
      </w:divBdr>
    </w:div>
    <w:div w:id="1586574560">
      <w:bodyDiv w:val="1"/>
      <w:marLeft w:val="0"/>
      <w:marRight w:val="0"/>
      <w:marTop w:val="0"/>
      <w:marBottom w:val="0"/>
      <w:divBdr>
        <w:top w:val="none" w:sz="0" w:space="0" w:color="auto"/>
        <w:left w:val="none" w:sz="0" w:space="0" w:color="auto"/>
        <w:bottom w:val="none" w:sz="0" w:space="0" w:color="auto"/>
        <w:right w:val="none" w:sz="0" w:space="0" w:color="auto"/>
      </w:divBdr>
    </w:div>
    <w:div w:id="1586647664">
      <w:bodyDiv w:val="1"/>
      <w:marLeft w:val="0"/>
      <w:marRight w:val="0"/>
      <w:marTop w:val="0"/>
      <w:marBottom w:val="0"/>
      <w:divBdr>
        <w:top w:val="none" w:sz="0" w:space="0" w:color="auto"/>
        <w:left w:val="none" w:sz="0" w:space="0" w:color="auto"/>
        <w:bottom w:val="none" w:sz="0" w:space="0" w:color="auto"/>
        <w:right w:val="none" w:sz="0" w:space="0" w:color="auto"/>
      </w:divBdr>
    </w:div>
    <w:div w:id="1586761841">
      <w:bodyDiv w:val="1"/>
      <w:marLeft w:val="0"/>
      <w:marRight w:val="0"/>
      <w:marTop w:val="0"/>
      <w:marBottom w:val="0"/>
      <w:divBdr>
        <w:top w:val="none" w:sz="0" w:space="0" w:color="auto"/>
        <w:left w:val="none" w:sz="0" w:space="0" w:color="auto"/>
        <w:bottom w:val="none" w:sz="0" w:space="0" w:color="auto"/>
        <w:right w:val="none" w:sz="0" w:space="0" w:color="auto"/>
      </w:divBdr>
    </w:div>
    <w:div w:id="1586762337">
      <w:bodyDiv w:val="1"/>
      <w:marLeft w:val="0"/>
      <w:marRight w:val="0"/>
      <w:marTop w:val="0"/>
      <w:marBottom w:val="0"/>
      <w:divBdr>
        <w:top w:val="none" w:sz="0" w:space="0" w:color="auto"/>
        <w:left w:val="none" w:sz="0" w:space="0" w:color="auto"/>
        <w:bottom w:val="none" w:sz="0" w:space="0" w:color="auto"/>
        <w:right w:val="none" w:sz="0" w:space="0" w:color="auto"/>
      </w:divBdr>
    </w:div>
    <w:div w:id="1586766743">
      <w:bodyDiv w:val="1"/>
      <w:marLeft w:val="0"/>
      <w:marRight w:val="0"/>
      <w:marTop w:val="0"/>
      <w:marBottom w:val="0"/>
      <w:divBdr>
        <w:top w:val="none" w:sz="0" w:space="0" w:color="auto"/>
        <w:left w:val="none" w:sz="0" w:space="0" w:color="auto"/>
        <w:bottom w:val="none" w:sz="0" w:space="0" w:color="auto"/>
        <w:right w:val="none" w:sz="0" w:space="0" w:color="auto"/>
      </w:divBdr>
    </w:div>
    <w:div w:id="1586768058">
      <w:bodyDiv w:val="1"/>
      <w:marLeft w:val="0"/>
      <w:marRight w:val="0"/>
      <w:marTop w:val="0"/>
      <w:marBottom w:val="0"/>
      <w:divBdr>
        <w:top w:val="none" w:sz="0" w:space="0" w:color="auto"/>
        <w:left w:val="none" w:sz="0" w:space="0" w:color="auto"/>
        <w:bottom w:val="none" w:sz="0" w:space="0" w:color="auto"/>
        <w:right w:val="none" w:sz="0" w:space="0" w:color="auto"/>
      </w:divBdr>
    </w:div>
    <w:div w:id="1586842809">
      <w:bodyDiv w:val="1"/>
      <w:marLeft w:val="0"/>
      <w:marRight w:val="0"/>
      <w:marTop w:val="0"/>
      <w:marBottom w:val="0"/>
      <w:divBdr>
        <w:top w:val="none" w:sz="0" w:space="0" w:color="auto"/>
        <w:left w:val="none" w:sz="0" w:space="0" w:color="auto"/>
        <w:bottom w:val="none" w:sz="0" w:space="0" w:color="auto"/>
        <w:right w:val="none" w:sz="0" w:space="0" w:color="auto"/>
      </w:divBdr>
    </w:div>
    <w:div w:id="1586844175">
      <w:bodyDiv w:val="1"/>
      <w:marLeft w:val="0"/>
      <w:marRight w:val="0"/>
      <w:marTop w:val="0"/>
      <w:marBottom w:val="0"/>
      <w:divBdr>
        <w:top w:val="none" w:sz="0" w:space="0" w:color="auto"/>
        <w:left w:val="none" w:sz="0" w:space="0" w:color="auto"/>
        <w:bottom w:val="none" w:sz="0" w:space="0" w:color="auto"/>
        <w:right w:val="none" w:sz="0" w:space="0" w:color="auto"/>
      </w:divBdr>
    </w:div>
    <w:div w:id="1586916060">
      <w:bodyDiv w:val="1"/>
      <w:marLeft w:val="0"/>
      <w:marRight w:val="0"/>
      <w:marTop w:val="0"/>
      <w:marBottom w:val="0"/>
      <w:divBdr>
        <w:top w:val="none" w:sz="0" w:space="0" w:color="auto"/>
        <w:left w:val="none" w:sz="0" w:space="0" w:color="auto"/>
        <w:bottom w:val="none" w:sz="0" w:space="0" w:color="auto"/>
        <w:right w:val="none" w:sz="0" w:space="0" w:color="auto"/>
      </w:divBdr>
    </w:div>
    <w:div w:id="1586961704">
      <w:bodyDiv w:val="1"/>
      <w:marLeft w:val="0"/>
      <w:marRight w:val="0"/>
      <w:marTop w:val="0"/>
      <w:marBottom w:val="0"/>
      <w:divBdr>
        <w:top w:val="none" w:sz="0" w:space="0" w:color="auto"/>
        <w:left w:val="none" w:sz="0" w:space="0" w:color="auto"/>
        <w:bottom w:val="none" w:sz="0" w:space="0" w:color="auto"/>
        <w:right w:val="none" w:sz="0" w:space="0" w:color="auto"/>
      </w:divBdr>
    </w:div>
    <w:div w:id="1587035794">
      <w:bodyDiv w:val="1"/>
      <w:marLeft w:val="0"/>
      <w:marRight w:val="0"/>
      <w:marTop w:val="0"/>
      <w:marBottom w:val="0"/>
      <w:divBdr>
        <w:top w:val="none" w:sz="0" w:space="0" w:color="auto"/>
        <w:left w:val="none" w:sz="0" w:space="0" w:color="auto"/>
        <w:bottom w:val="none" w:sz="0" w:space="0" w:color="auto"/>
        <w:right w:val="none" w:sz="0" w:space="0" w:color="auto"/>
      </w:divBdr>
    </w:div>
    <w:div w:id="1587182066">
      <w:bodyDiv w:val="1"/>
      <w:marLeft w:val="0"/>
      <w:marRight w:val="0"/>
      <w:marTop w:val="0"/>
      <w:marBottom w:val="0"/>
      <w:divBdr>
        <w:top w:val="none" w:sz="0" w:space="0" w:color="auto"/>
        <w:left w:val="none" w:sz="0" w:space="0" w:color="auto"/>
        <w:bottom w:val="none" w:sz="0" w:space="0" w:color="auto"/>
        <w:right w:val="none" w:sz="0" w:space="0" w:color="auto"/>
      </w:divBdr>
    </w:div>
    <w:div w:id="1587230742">
      <w:bodyDiv w:val="1"/>
      <w:marLeft w:val="0"/>
      <w:marRight w:val="0"/>
      <w:marTop w:val="0"/>
      <w:marBottom w:val="0"/>
      <w:divBdr>
        <w:top w:val="none" w:sz="0" w:space="0" w:color="auto"/>
        <w:left w:val="none" w:sz="0" w:space="0" w:color="auto"/>
        <w:bottom w:val="none" w:sz="0" w:space="0" w:color="auto"/>
        <w:right w:val="none" w:sz="0" w:space="0" w:color="auto"/>
      </w:divBdr>
    </w:div>
    <w:div w:id="1587301688">
      <w:bodyDiv w:val="1"/>
      <w:marLeft w:val="0"/>
      <w:marRight w:val="0"/>
      <w:marTop w:val="0"/>
      <w:marBottom w:val="0"/>
      <w:divBdr>
        <w:top w:val="none" w:sz="0" w:space="0" w:color="auto"/>
        <w:left w:val="none" w:sz="0" w:space="0" w:color="auto"/>
        <w:bottom w:val="none" w:sz="0" w:space="0" w:color="auto"/>
        <w:right w:val="none" w:sz="0" w:space="0" w:color="auto"/>
      </w:divBdr>
    </w:div>
    <w:div w:id="1587301860">
      <w:bodyDiv w:val="1"/>
      <w:marLeft w:val="0"/>
      <w:marRight w:val="0"/>
      <w:marTop w:val="0"/>
      <w:marBottom w:val="0"/>
      <w:divBdr>
        <w:top w:val="none" w:sz="0" w:space="0" w:color="auto"/>
        <w:left w:val="none" w:sz="0" w:space="0" w:color="auto"/>
        <w:bottom w:val="none" w:sz="0" w:space="0" w:color="auto"/>
        <w:right w:val="none" w:sz="0" w:space="0" w:color="auto"/>
      </w:divBdr>
    </w:div>
    <w:div w:id="1587373929">
      <w:bodyDiv w:val="1"/>
      <w:marLeft w:val="0"/>
      <w:marRight w:val="0"/>
      <w:marTop w:val="0"/>
      <w:marBottom w:val="0"/>
      <w:divBdr>
        <w:top w:val="none" w:sz="0" w:space="0" w:color="auto"/>
        <w:left w:val="none" w:sz="0" w:space="0" w:color="auto"/>
        <w:bottom w:val="none" w:sz="0" w:space="0" w:color="auto"/>
        <w:right w:val="none" w:sz="0" w:space="0" w:color="auto"/>
      </w:divBdr>
    </w:div>
    <w:div w:id="1587378504">
      <w:bodyDiv w:val="1"/>
      <w:marLeft w:val="0"/>
      <w:marRight w:val="0"/>
      <w:marTop w:val="0"/>
      <w:marBottom w:val="0"/>
      <w:divBdr>
        <w:top w:val="none" w:sz="0" w:space="0" w:color="auto"/>
        <w:left w:val="none" w:sz="0" w:space="0" w:color="auto"/>
        <w:bottom w:val="none" w:sz="0" w:space="0" w:color="auto"/>
        <w:right w:val="none" w:sz="0" w:space="0" w:color="auto"/>
      </w:divBdr>
    </w:div>
    <w:div w:id="1587380112">
      <w:bodyDiv w:val="1"/>
      <w:marLeft w:val="0"/>
      <w:marRight w:val="0"/>
      <w:marTop w:val="0"/>
      <w:marBottom w:val="0"/>
      <w:divBdr>
        <w:top w:val="none" w:sz="0" w:space="0" w:color="auto"/>
        <w:left w:val="none" w:sz="0" w:space="0" w:color="auto"/>
        <w:bottom w:val="none" w:sz="0" w:space="0" w:color="auto"/>
        <w:right w:val="none" w:sz="0" w:space="0" w:color="auto"/>
      </w:divBdr>
    </w:div>
    <w:div w:id="1587567365">
      <w:bodyDiv w:val="1"/>
      <w:marLeft w:val="0"/>
      <w:marRight w:val="0"/>
      <w:marTop w:val="0"/>
      <w:marBottom w:val="0"/>
      <w:divBdr>
        <w:top w:val="none" w:sz="0" w:space="0" w:color="auto"/>
        <w:left w:val="none" w:sz="0" w:space="0" w:color="auto"/>
        <w:bottom w:val="none" w:sz="0" w:space="0" w:color="auto"/>
        <w:right w:val="none" w:sz="0" w:space="0" w:color="auto"/>
      </w:divBdr>
    </w:div>
    <w:div w:id="1587568953">
      <w:bodyDiv w:val="1"/>
      <w:marLeft w:val="0"/>
      <w:marRight w:val="0"/>
      <w:marTop w:val="0"/>
      <w:marBottom w:val="0"/>
      <w:divBdr>
        <w:top w:val="none" w:sz="0" w:space="0" w:color="auto"/>
        <w:left w:val="none" w:sz="0" w:space="0" w:color="auto"/>
        <w:bottom w:val="none" w:sz="0" w:space="0" w:color="auto"/>
        <w:right w:val="none" w:sz="0" w:space="0" w:color="auto"/>
      </w:divBdr>
    </w:div>
    <w:div w:id="1587571639">
      <w:bodyDiv w:val="1"/>
      <w:marLeft w:val="0"/>
      <w:marRight w:val="0"/>
      <w:marTop w:val="0"/>
      <w:marBottom w:val="0"/>
      <w:divBdr>
        <w:top w:val="none" w:sz="0" w:space="0" w:color="auto"/>
        <w:left w:val="none" w:sz="0" w:space="0" w:color="auto"/>
        <w:bottom w:val="none" w:sz="0" w:space="0" w:color="auto"/>
        <w:right w:val="none" w:sz="0" w:space="0" w:color="auto"/>
      </w:divBdr>
    </w:div>
    <w:div w:id="1587574444">
      <w:bodyDiv w:val="1"/>
      <w:marLeft w:val="0"/>
      <w:marRight w:val="0"/>
      <w:marTop w:val="0"/>
      <w:marBottom w:val="0"/>
      <w:divBdr>
        <w:top w:val="none" w:sz="0" w:space="0" w:color="auto"/>
        <w:left w:val="none" w:sz="0" w:space="0" w:color="auto"/>
        <w:bottom w:val="none" w:sz="0" w:space="0" w:color="auto"/>
        <w:right w:val="none" w:sz="0" w:space="0" w:color="auto"/>
      </w:divBdr>
    </w:div>
    <w:div w:id="1587616306">
      <w:bodyDiv w:val="1"/>
      <w:marLeft w:val="0"/>
      <w:marRight w:val="0"/>
      <w:marTop w:val="0"/>
      <w:marBottom w:val="0"/>
      <w:divBdr>
        <w:top w:val="none" w:sz="0" w:space="0" w:color="auto"/>
        <w:left w:val="none" w:sz="0" w:space="0" w:color="auto"/>
        <w:bottom w:val="none" w:sz="0" w:space="0" w:color="auto"/>
        <w:right w:val="none" w:sz="0" w:space="0" w:color="auto"/>
      </w:divBdr>
    </w:div>
    <w:div w:id="1587685718">
      <w:bodyDiv w:val="1"/>
      <w:marLeft w:val="0"/>
      <w:marRight w:val="0"/>
      <w:marTop w:val="0"/>
      <w:marBottom w:val="0"/>
      <w:divBdr>
        <w:top w:val="none" w:sz="0" w:space="0" w:color="auto"/>
        <w:left w:val="none" w:sz="0" w:space="0" w:color="auto"/>
        <w:bottom w:val="none" w:sz="0" w:space="0" w:color="auto"/>
        <w:right w:val="none" w:sz="0" w:space="0" w:color="auto"/>
      </w:divBdr>
    </w:div>
    <w:div w:id="1587692089">
      <w:bodyDiv w:val="1"/>
      <w:marLeft w:val="0"/>
      <w:marRight w:val="0"/>
      <w:marTop w:val="0"/>
      <w:marBottom w:val="0"/>
      <w:divBdr>
        <w:top w:val="none" w:sz="0" w:space="0" w:color="auto"/>
        <w:left w:val="none" w:sz="0" w:space="0" w:color="auto"/>
        <w:bottom w:val="none" w:sz="0" w:space="0" w:color="auto"/>
        <w:right w:val="none" w:sz="0" w:space="0" w:color="auto"/>
      </w:divBdr>
    </w:div>
    <w:div w:id="1587766002">
      <w:bodyDiv w:val="1"/>
      <w:marLeft w:val="0"/>
      <w:marRight w:val="0"/>
      <w:marTop w:val="0"/>
      <w:marBottom w:val="0"/>
      <w:divBdr>
        <w:top w:val="none" w:sz="0" w:space="0" w:color="auto"/>
        <w:left w:val="none" w:sz="0" w:space="0" w:color="auto"/>
        <w:bottom w:val="none" w:sz="0" w:space="0" w:color="auto"/>
        <w:right w:val="none" w:sz="0" w:space="0" w:color="auto"/>
      </w:divBdr>
    </w:div>
    <w:div w:id="1587807220">
      <w:bodyDiv w:val="1"/>
      <w:marLeft w:val="0"/>
      <w:marRight w:val="0"/>
      <w:marTop w:val="0"/>
      <w:marBottom w:val="0"/>
      <w:divBdr>
        <w:top w:val="none" w:sz="0" w:space="0" w:color="auto"/>
        <w:left w:val="none" w:sz="0" w:space="0" w:color="auto"/>
        <w:bottom w:val="none" w:sz="0" w:space="0" w:color="auto"/>
        <w:right w:val="none" w:sz="0" w:space="0" w:color="auto"/>
      </w:divBdr>
    </w:div>
    <w:div w:id="1587880376">
      <w:bodyDiv w:val="1"/>
      <w:marLeft w:val="0"/>
      <w:marRight w:val="0"/>
      <w:marTop w:val="0"/>
      <w:marBottom w:val="0"/>
      <w:divBdr>
        <w:top w:val="none" w:sz="0" w:space="0" w:color="auto"/>
        <w:left w:val="none" w:sz="0" w:space="0" w:color="auto"/>
        <w:bottom w:val="none" w:sz="0" w:space="0" w:color="auto"/>
        <w:right w:val="none" w:sz="0" w:space="0" w:color="auto"/>
      </w:divBdr>
    </w:div>
    <w:div w:id="1587881976">
      <w:bodyDiv w:val="1"/>
      <w:marLeft w:val="0"/>
      <w:marRight w:val="0"/>
      <w:marTop w:val="0"/>
      <w:marBottom w:val="0"/>
      <w:divBdr>
        <w:top w:val="none" w:sz="0" w:space="0" w:color="auto"/>
        <w:left w:val="none" w:sz="0" w:space="0" w:color="auto"/>
        <w:bottom w:val="none" w:sz="0" w:space="0" w:color="auto"/>
        <w:right w:val="none" w:sz="0" w:space="0" w:color="auto"/>
      </w:divBdr>
    </w:div>
    <w:div w:id="1587955164">
      <w:bodyDiv w:val="1"/>
      <w:marLeft w:val="0"/>
      <w:marRight w:val="0"/>
      <w:marTop w:val="0"/>
      <w:marBottom w:val="0"/>
      <w:divBdr>
        <w:top w:val="none" w:sz="0" w:space="0" w:color="auto"/>
        <w:left w:val="none" w:sz="0" w:space="0" w:color="auto"/>
        <w:bottom w:val="none" w:sz="0" w:space="0" w:color="auto"/>
        <w:right w:val="none" w:sz="0" w:space="0" w:color="auto"/>
      </w:divBdr>
    </w:div>
    <w:div w:id="1588030204">
      <w:bodyDiv w:val="1"/>
      <w:marLeft w:val="0"/>
      <w:marRight w:val="0"/>
      <w:marTop w:val="0"/>
      <w:marBottom w:val="0"/>
      <w:divBdr>
        <w:top w:val="none" w:sz="0" w:space="0" w:color="auto"/>
        <w:left w:val="none" w:sz="0" w:space="0" w:color="auto"/>
        <w:bottom w:val="none" w:sz="0" w:space="0" w:color="auto"/>
        <w:right w:val="none" w:sz="0" w:space="0" w:color="auto"/>
      </w:divBdr>
    </w:div>
    <w:div w:id="1588032522">
      <w:bodyDiv w:val="1"/>
      <w:marLeft w:val="0"/>
      <w:marRight w:val="0"/>
      <w:marTop w:val="0"/>
      <w:marBottom w:val="0"/>
      <w:divBdr>
        <w:top w:val="none" w:sz="0" w:space="0" w:color="auto"/>
        <w:left w:val="none" w:sz="0" w:space="0" w:color="auto"/>
        <w:bottom w:val="none" w:sz="0" w:space="0" w:color="auto"/>
        <w:right w:val="none" w:sz="0" w:space="0" w:color="auto"/>
      </w:divBdr>
    </w:div>
    <w:div w:id="1588149981">
      <w:bodyDiv w:val="1"/>
      <w:marLeft w:val="0"/>
      <w:marRight w:val="0"/>
      <w:marTop w:val="0"/>
      <w:marBottom w:val="0"/>
      <w:divBdr>
        <w:top w:val="none" w:sz="0" w:space="0" w:color="auto"/>
        <w:left w:val="none" w:sz="0" w:space="0" w:color="auto"/>
        <w:bottom w:val="none" w:sz="0" w:space="0" w:color="auto"/>
        <w:right w:val="none" w:sz="0" w:space="0" w:color="auto"/>
      </w:divBdr>
    </w:div>
    <w:div w:id="1588153575">
      <w:bodyDiv w:val="1"/>
      <w:marLeft w:val="0"/>
      <w:marRight w:val="0"/>
      <w:marTop w:val="0"/>
      <w:marBottom w:val="0"/>
      <w:divBdr>
        <w:top w:val="none" w:sz="0" w:space="0" w:color="auto"/>
        <w:left w:val="none" w:sz="0" w:space="0" w:color="auto"/>
        <w:bottom w:val="none" w:sz="0" w:space="0" w:color="auto"/>
        <w:right w:val="none" w:sz="0" w:space="0" w:color="auto"/>
      </w:divBdr>
    </w:div>
    <w:div w:id="1588223340">
      <w:bodyDiv w:val="1"/>
      <w:marLeft w:val="0"/>
      <w:marRight w:val="0"/>
      <w:marTop w:val="0"/>
      <w:marBottom w:val="0"/>
      <w:divBdr>
        <w:top w:val="none" w:sz="0" w:space="0" w:color="auto"/>
        <w:left w:val="none" w:sz="0" w:space="0" w:color="auto"/>
        <w:bottom w:val="none" w:sz="0" w:space="0" w:color="auto"/>
        <w:right w:val="none" w:sz="0" w:space="0" w:color="auto"/>
      </w:divBdr>
    </w:div>
    <w:div w:id="1588224929">
      <w:bodyDiv w:val="1"/>
      <w:marLeft w:val="0"/>
      <w:marRight w:val="0"/>
      <w:marTop w:val="0"/>
      <w:marBottom w:val="0"/>
      <w:divBdr>
        <w:top w:val="none" w:sz="0" w:space="0" w:color="auto"/>
        <w:left w:val="none" w:sz="0" w:space="0" w:color="auto"/>
        <w:bottom w:val="none" w:sz="0" w:space="0" w:color="auto"/>
        <w:right w:val="none" w:sz="0" w:space="0" w:color="auto"/>
      </w:divBdr>
    </w:div>
    <w:div w:id="1588265072">
      <w:bodyDiv w:val="1"/>
      <w:marLeft w:val="0"/>
      <w:marRight w:val="0"/>
      <w:marTop w:val="0"/>
      <w:marBottom w:val="0"/>
      <w:divBdr>
        <w:top w:val="none" w:sz="0" w:space="0" w:color="auto"/>
        <w:left w:val="none" w:sz="0" w:space="0" w:color="auto"/>
        <w:bottom w:val="none" w:sz="0" w:space="0" w:color="auto"/>
        <w:right w:val="none" w:sz="0" w:space="0" w:color="auto"/>
      </w:divBdr>
    </w:div>
    <w:div w:id="1588272904">
      <w:bodyDiv w:val="1"/>
      <w:marLeft w:val="0"/>
      <w:marRight w:val="0"/>
      <w:marTop w:val="0"/>
      <w:marBottom w:val="0"/>
      <w:divBdr>
        <w:top w:val="none" w:sz="0" w:space="0" w:color="auto"/>
        <w:left w:val="none" w:sz="0" w:space="0" w:color="auto"/>
        <w:bottom w:val="none" w:sz="0" w:space="0" w:color="auto"/>
        <w:right w:val="none" w:sz="0" w:space="0" w:color="auto"/>
      </w:divBdr>
    </w:div>
    <w:div w:id="1588348488">
      <w:bodyDiv w:val="1"/>
      <w:marLeft w:val="0"/>
      <w:marRight w:val="0"/>
      <w:marTop w:val="0"/>
      <w:marBottom w:val="0"/>
      <w:divBdr>
        <w:top w:val="none" w:sz="0" w:space="0" w:color="auto"/>
        <w:left w:val="none" w:sz="0" w:space="0" w:color="auto"/>
        <w:bottom w:val="none" w:sz="0" w:space="0" w:color="auto"/>
        <w:right w:val="none" w:sz="0" w:space="0" w:color="auto"/>
      </w:divBdr>
    </w:div>
    <w:div w:id="1588348806">
      <w:bodyDiv w:val="1"/>
      <w:marLeft w:val="0"/>
      <w:marRight w:val="0"/>
      <w:marTop w:val="0"/>
      <w:marBottom w:val="0"/>
      <w:divBdr>
        <w:top w:val="none" w:sz="0" w:space="0" w:color="auto"/>
        <w:left w:val="none" w:sz="0" w:space="0" w:color="auto"/>
        <w:bottom w:val="none" w:sz="0" w:space="0" w:color="auto"/>
        <w:right w:val="none" w:sz="0" w:space="0" w:color="auto"/>
      </w:divBdr>
    </w:div>
    <w:div w:id="1588418177">
      <w:bodyDiv w:val="1"/>
      <w:marLeft w:val="0"/>
      <w:marRight w:val="0"/>
      <w:marTop w:val="0"/>
      <w:marBottom w:val="0"/>
      <w:divBdr>
        <w:top w:val="none" w:sz="0" w:space="0" w:color="auto"/>
        <w:left w:val="none" w:sz="0" w:space="0" w:color="auto"/>
        <w:bottom w:val="none" w:sz="0" w:space="0" w:color="auto"/>
        <w:right w:val="none" w:sz="0" w:space="0" w:color="auto"/>
      </w:divBdr>
    </w:div>
    <w:div w:id="1588462421">
      <w:bodyDiv w:val="1"/>
      <w:marLeft w:val="0"/>
      <w:marRight w:val="0"/>
      <w:marTop w:val="0"/>
      <w:marBottom w:val="0"/>
      <w:divBdr>
        <w:top w:val="none" w:sz="0" w:space="0" w:color="auto"/>
        <w:left w:val="none" w:sz="0" w:space="0" w:color="auto"/>
        <w:bottom w:val="none" w:sz="0" w:space="0" w:color="auto"/>
        <w:right w:val="none" w:sz="0" w:space="0" w:color="auto"/>
      </w:divBdr>
    </w:div>
    <w:div w:id="1588492741">
      <w:bodyDiv w:val="1"/>
      <w:marLeft w:val="0"/>
      <w:marRight w:val="0"/>
      <w:marTop w:val="0"/>
      <w:marBottom w:val="0"/>
      <w:divBdr>
        <w:top w:val="none" w:sz="0" w:space="0" w:color="auto"/>
        <w:left w:val="none" w:sz="0" w:space="0" w:color="auto"/>
        <w:bottom w:val="none" w:sz="0" w:space="0" w:color="auto"/>
        <w:right w:val="none" w:sz="0" w:space="0" w:color="auto"/>
      </w:divBdr>
    </w:div>
    <w:div w:id="1588537873">
      <w:bodyDiv w:val="1"/>
      <w:marLeft w:val="0"/>
      <w:marRight w:val="0"/>
      <w:marTop w:val="0"/>
      <w:marBottom w:val="0"/>
      <w:divBdr>
        <w:top w:val="none" w:sz="0" w:space="0" w:color="auto"/>
        <w:left w:val="none" w:sz="0" w:space="0" w:color="auto"/>
        <w:bottom w:val="none" w:sz="0" w:space="0" w:color="auto"/>
        <w:right w:val="none" w:sz="0" w:space="0" w:color="auto"/>
      </w:divBdr>
    </w:div>
    <w:div w:id="1588658738">
      <w:bodyDiv w:val="1"/>
      <w:marLeft w:val="0"/>
      <w:marRight w:val="0"/>
      <w:marTop w:val="0"/>
      <w:marBottom w:val="0"/>
      <w:divBdr>
        <w:top w:val="none" w:sz="0" w:space="0" w:color="auto"/>
        <w:left w:val="none" w:sz="0" w:space="0" w:color="auto"/>
        <w:bottom w:val="none" w:sz="0" w:space="0" w:color="auto"/>
        <w:right w:val="none" w:sz="0" w:space="0" w:color="auto"/>
      </w:divBdr>
    </w:div>
    <w:div w:id="1588689458">
      <w:bodyDiv w:val="1"/>
      <w:marLeft w:val="0"/>
      <w:marRight w:val="0"/>
      <w:marTop w:val="0"/>
      <w:marBottom w:val="0"/>
      <w:divBdr>
        <w:top w:val="none" w:sz="0" w:space="0" w:color="auto"/>
        <w:left w:val="none" w:sz="0" w:space="0" w:color="auto"/>
        <w:bottom w:val="none" w:sz="0" w:space="0" w:color="auto"/>
        <w:right w:val="none" w:sz="0" w:space="0" w:color="auto"/>
      </w:divBdr>
    </w:div>
    <w:div w:id="1588922577">
      <w:bodyDiv w:val="1"/>
      <w:marLeft w:val="0"/>
      <w:marRight w:val="0"/>
      <w:marTop w:val="0"/>
      <w:marBottom w:val="0"/>
      <w:divBdr>
        <w:top w:val="none" w:sz="0" w:space="0" w:color="auto"/>
        <w:left w:val="none" w:sz="0" w:space="0" w:color="auto"/>
        <w:bottom w:val="none" w:sz="0" w:space="0" w:color="auto"/>
        <w:right w:val="none" w:sz="0" w:space="0" w:color="auto"/>
      </w:divBdr>
    </w:div>
    <w:div w:id="1588924751">
      <w:bodyDiv w:val="1"/>
      <w:marLeft w:val="0"/>
      <w:marRight w:val="0"/>
      <w:marTop w:val="0"/>
      <w:marBottom w:val="0"/>
      <w:divBdr>
        <w:top w:val="none" w:sz="0" w:space="0" w:color="auto"/>
        <w:left w:val="none" w:sz="0" w:space="0" w:color="auto"/>
        <w:bottom w:val="none" w:sz="0" w:space="0" w:color="auto"/>
        <w:right w:val="none" w:sz="0" w:space="0" w:color="auto"/>
      </w:divBdr>
    </w:div>
    <w:div w:id="1589192343">
      <w:bodyDiv w:val="1"/>
      <w:marLeft w:val="0"/>
      <w:marRight w:val="0"/>
      <w:marTop w:val="0"/>
      <w:marBottom w:val="0"/>
      <w:divBdr>
        <w:top w:val="none" w:sz="0" w:space="0" w:color="auto"/>
        <w:left w:val="none" w:sz="0" w:space="0" w:color="auto"/>
        <w:bottom w:val="none" w:sz="0" w:space="0" w:color="auto"/>
        <w:right w:val="none" w:sz="0" w:space="0" w:color="auto"/>
      </w:divBdr>
    </w:div>
    <w:div w:id="1589195561">
      <w:bodyDiv w:val="1"/>
      <w:marLeft w:val="0"/>
      <w:marRight w:val="0"/>
      <w:marTop w:val="0"/>
      <w:marBottom w:val="0"/>
      <w:divBdr>
        <w:top w:val="none" w:sz="0" w:space="0" w:color="auto"/>
        <w:left w:val="none" w:sz="0" w:space="0" w:color="auto"/>
        <w:bottom w:val="none" w:sz="0" w:space="0" w:color="auto"/>
        <w:right w:val="none" w:sz="0" w:space="0" w:color="auto"/>
      </w:divBdr>
    </w:div>
    <w:div w:id="1589343709">
      <w:bodyDiv w:val="1"/>
      <w:marLeft w:val="0"/>
      <w:marRight w:val="0"/>
      <w:marTop w:val="0"/>
      <w:marBottom w:val="0"/>
      <w:divBdr>
        <w:top w:val="none" w:sz="0" w:space="0" w:color="auto"/>
        <w:left w:val="none" w:sz="0" w:space="0" w:color="auto"/>
        <w:bottom w:val="none" w:sz="0" w:space="0" w:color="auto"/>
        <w:right w:val="none" w:sz="0" w:space="0" w:color="auto"/>
      </w:divBdr>
    </w:div>
    <w:div w:id="1589383590">
      <w:bodyDiv w:val="1"/>
      <w:marLeft w:val="0"/>
      <w:marRight w:val="0"/>
      <w:marTop w:val="0"/>
      <w:marBottom w:val="0"/>
      <w:divBdr>
        <w:top w:val="none" w:sz="0" w:space="0" w:color="auto"/>
        <w:left w:val="none" w:sz="0" w:space="0" w:color="auto"/>
        <w:bottom w:val="none" w:sz="0" w:space="0" w:color="auto"/>
        <w:right w:val="none" w:sz="0" w:space="0" w:color="auto"/>
      </w:divBdr>
    </w:div>
    <w:div w:id="1589535051">
      <w:bodyDiv w:val="1"/>
      <w:marLeft w:val="0"/>
      <w:marRight w:val="0"/>
      <w:marTop w:val="0"/>
      <w:marBottom w:val="0"/>
      <w:divBdr>
        <w:top w:val="none" w:sz="0" w:space="0" w:color="auto"/>
        <w:left w:val="none" w:sz="0" w:space="0" w:color="auto"/>
        <w:bottom w:val="none" w:sz="0" w:space="0" w:color="auto"/>
        <w:right w:val="none" w:sz="0" w:space="0" w:color="auto"/>
      </w:divBdr>
    </w:div>
    <w:div w:id="1589535783">
      <w:bodyDiv w:val="1"/>
      <w:marLeft w:val="0"/>
      <w:marRight w:val="0"/>
      <w:marTop w:val="0"/>
      <w:marBottom w:val="0"/>
      <w:divBdr>
        <w:top w:val="none" w:sz="0" w:space="0" w:color="auto"/>
        <w:left w:val="none" w:sz="0" w:space="0" w:color="auto"/>
        <w:bottom w:val="none" w:sz="0" w:space="0" w:color="auto"/>
        <w:right w:val="none" w:sz="0" w:space="0" w:color="auto"/>
      </w:divBdr>
    </w:div>
    <w:div w:id="1589581562">
      <w:bodyDiv w:val="1"/>
      <w:marLeft w:val="0"/>
      <w:marRight w:val="0"/>
      <w:marTop w:val="0"/>
      <w:marBottom w:val="0"/>
      <w:divBdr>
        <w:top w:val="none" w:sz="0" w:space="0" w:color="auto"/>
        <w:left w:val="none" w:sz="0" w:space="0" w:color="auto"/>
        <w:bottom w:val="none" w:sz="0" w:space="0" w:color="auto"/>
        <w:right w:val="none" w:sz="0" w:space="0" w:color="auto"/>
      </w:divBdr>
    </w:div>
    <w:div w:id="1589607743">
      <w:bodyDiv w:val="1"/>
      <w:marLeft w:val="0"/>
      <w:marRight w:val="0"/>
      <w:marTop w:val="0"/>
      <w:marBottom w:val="0"/>
      <w:divBdr>
        <w:top w:val="none" w:sz="0" w:space="0" w:color="auto"/>
        <w:left w:val="none" w:sz="0" w:space="0" w:color="auto"/>
        <w:bottom w:val="none" w:sz="0" w:space="0" w:color="auto"/>
        <w:right w:val="none" w:sz="0" w:space="0" w:color="auto"/>
      </w:divBdr>
    </w:div>
    <w:div w:id="1589659276">
      <w:bodyDiv w:val="1"/>
      <w:marLeft w:val="0"/>
      <w:marRight w:val="0"/>
      <w:marTop w:val="0"/>
      <w:marBottom w:val="0"/>
      <w:divBdr>
        <w:top w:val="none" w:sz="0" w:space="0" w:color="auto"/>
        <w:left w:val="none" w:sz="0" w:space="0" w:color="auto"/>
        <w:bottom w:val="none" w:sz="0" w:space="0" w:color="auto"/>
        <w:right w:val="none" w:sz="0" w:space="0" w:color="auto"/>
      </w:divBdr>
    </w:div>
    <w:div w:id="1589727552">
      <w:bodyDiv w:val="1"/>
      <w:marLeft w:val="0"/>
      <w:marRight w:val="0"/>
      <w:marTop w:val="0"/>
      <w:marBottom w:val="0"/>
      <w:divBdr>
        <w:top w:val="none" w:sz="0" w:space="0" w:color="auto"/>
        <w:left w:val="none" w:sz="0" w:space="0" w:color="auto"/>
        <w:bottom w:val="none" w:sz="0" w:space="0" w:color="auto"/>
        <w:right w:val="none" w:sz="0" w:space="0" w:color="auto"/>
      </w:divBdr>
    </w:div>
    <w:div w:id="1589777448">
      <w:bodyDiv w:val="1"/>
      <w:marLeft w:val="0"/>
      <w:marRight w:val="0"/>
      <w:marTop w:val="0"/>
      <w:marBottom w:val="0"/>
      <w:divBdr>
        <w:top w:val="none" w:sz="0" w:space="0" w:color="auto"/>
        <w:left w:val="none" w:sz="0" w:space="0" w:color="auto"/>
        <w:bottom w:val="none" w:sz="0" w:space="0" w:color="auto"/>
        <w:right w:val="none" w:sz="0" w:space="0" w:color="auto"/>
      </w:divBdr>
    </w:div>
    <w:div w:id="1589803373">
      <w:bodyDiv w:val="1"/>
      <w:marLeft w:val="0"/>
      <w:marRight w:val="0"/>
      <w:marTop w:val="0"/>
      <w:marBottom w:val="0"/>
      <w:divBdr>
        <w:top w:val="none" w:sz="0" w:space="0" w:color="auto"/>
        <w:left w:val="none" w:sz="0" w:space="0" w:color="auto"/>
        <w:bottom w:val="none" w:sz="0" w:space="0" w:color="auto"/>
        <w:right w:val="none" w:sz="0" w:space="0" w:color="auto"/>
      </w:divBdr>
    </w:div>
    <w:div w:id="1589853344">
      <w:bodyDiv w:val="1"/>
      <w:marLeft w:val="0"/>
      <w:marRight w:val="0"/>
      <w:marTop w:val="0"/>
      <w:marBottom w:val="0"/>
      <w:divBdr>
        <w:top w:val="none" w:sz="0" w:space="0" w:color="auto"/>
        <w:left w:val="none" w:sz="0" w:space="0" w:color="auto"/>
        <w:bottom w:val="none" w:sz="0" w:space="0" w:color="auto"/>
        <w:right w:val="none" w:sz="0" w:space="0" w:color="auto"/>
      </w:divBdr>
    </w:div>
    <w:div w:id="1590045722">
      <w:bodyDiv w:val="1"/>
      <w:marLeft w:val="0"/>
      <w:marRight w:val="0"/>
      <w:marTop w:val="0"/>
      <w:marBottom w:val="0"/>
      <w:divBdr>
        <w:top w:val="none" w:sz="0" w:space="0" w:color="auto"/>
        <w:left w:val="none" w:sz="0" w:space="0" w:color="auto"/>
        <w:bottom w:val="none" w:sz="0" w:space="0" w:color="auto"/>
        <w:right w:val="none" w:sz="0" w:space="0" w:color="auto"/>
      </w:divBdr>
    </w:div>
    <w:div w:id="1590193880">
      <w:bodyDiv w:val="1"/>
      <w:marLeft w:val="0"/>
      <w:marRight w:val="0"/>
      <w:marTop w:val="0"/>
      <w:marBottom w:val="0"/>
      <w:divBdr>
        <w:top w:val="none" w:sz="0" w:space="0" w:color="auto"/>
        <w:left w:val="none" w:sz="0" w:space="0" w:color="auto"/>
        <w:bottom w:val="none" w:sz="0" w:space="0" w:color="auto"/>
        <w:right w:val="none" w:sz="0" w:space="0" w:color="auto"/>
      </w:divBdr>
    </w:div>
    <w:div w:id="1590305686">
      <w:bodyDiv w:val="1"/>
      <w:marLeft w:val="0"/>
      <w:marRight w:val="0"/>
      <w:marTop w:val="0"/>
      <w:marBottom w:val="0"/>
      <w:divBdr>
        <w:top w:val="none" w:sz="0" w:space="0" w:color="auto"/>
        <w:left w:val="none" w:sz="0" w:space="0" w:color="auto"/>
        <w:bottom w:val="none" w:sz="0" w:space="0" w:color="auto"/>
        <w:right w:val="none" w:sz="0" w:space="0" w:color="auto"/>
      </w:divBdr>
    </w:div>
    <w:div w:id="1590383261">
      <w:bodyDiv w:val="1"/>
      <w:marLeft w:val="0"/>
      <w:marRight w:val="0"/>
      <w:marTop w:val="0"/>
      <w:marBottom w:val="0"/>
      <w:divBdr>
        <w:top w:val="none" w:sz="0" w:space="0" w:color="auto"/>
        <w:left w:val="none" w:sz="0" w:space="0" w:color="auto"/>
        <w:bottom w:val="none" w:sz="0" w:space="0" w:color="auto"/>
        <w:right w:val="none" w:sz="0" w:space="0" w:color="auto"/>
      </w:divBdr>
    </w:div>
    <w:div w:id="1590386826">
      <w:bodyDiv w:val="1"/>
      <w:marLeft w:val="0"/>
      <w:marRight w:val="0"/>
      <w:marTop w:val="0"/>
      <w:marBottom w:val="0"/>
      <w:divBdr>
        <w:top w:val="none" w:sz="0" w:space="0" w:color="auto"/>
        <w:left w:val="none" w:sz="0" w:space="0" w:color="auto"/>
        <w:bottom w:val="none" w:sz="0" w:space="0" w:color="auto"/>
        <w:right w:val="none" w:sz="0" w:space="0" w:color="auto"/>
      </w:divBdr>
    </w:div>
    <w:div w:id="1590389951">
      <w:bodyDiv w:val="1"/>
      <w:marLeft w:val="0"/>
      <w:marRight w:val="0"/>
      <w:marTop w:val="0"/>
      <w:marBottom w:val="0"/>
      <w:divBdr>
        <w:top w:val="none" w:sz="0" w:space="0" w:color="auto"/>
        <w:left w:val="none" w:sz="0" w:space="0" w:color="auto"/>
        <w:bottom w:val="none" w:sz="0" w:space="0" w:color="auto"/>
        <w:right w:val="none" w:sz="0" w:space="0" w:color="auto"/>
      </w:divBdr>
    </w:div>
    <w:div w:id="1590429515">
      <w:bodyDiv w:val="1"/>
      <w:marLeft w:val="0"/>
      <w:marRight w:val="0"/>
      <w:marTop w:val="0"/>
      <w:marBottom w:val="0"/>
      <w:divBdr>
        <w:top w:val="none" w:sz="0" w:space="0" w:color="auto"/>
        <w:left w:val="none" w:sz="0" w:space="0" w:color="auto"/>
        <w:bottom w:val="none" w:sz="0" w:space="0" w:color="auto"/>
        <w:right w:val="none" w:sz="0" w:space="0" w:color="auto"/>
      </w:divBdr>
    </w:div>
    <w:div w:id="1590430781">
      <w:bodyDiv w:val="1"/>
      <w:marLeft w:val="0"/>
      <w:marRight w:val="0"/>
      <w:marTop w:val="0"/>
      <w:marBottom w:val="0"/>
      <w:divBdr>
        <w:top w:val="none" w:sz="0" w:space="0" w:color="auto"/>
        <w:left w:val="none" w:sz="0" w:space="0" w:color="auto"/>
        <w:bottom w:val="none" w:sz="0" w:space="0" w:color="auto"/>
        <w:right w:val="none" w:sz="0" w:space="0" w:color="auto"/>
      </w:divBdr>
    </w:div>
    <w:div w:id="1590432230">
      <w:bodyDiv w:val="1"/>
      <w:marLeft w:val="0"/>
      <w:marRight w:val="0"/>
      <w:marTop w:val="0"/>
      <w:marBottom w:val="0"/>
      <w:divBdr>
        <w:top w:val="none" w:sz="0" w:space="0" w:color="auto"/>
        <w:left w:val="none" w:sz="0" w:space="0" w:color="auto"/>
        <w:bottom w:val="none" w:sz="0" w:space="0" w:color="auto"/>
        <w:right w:val="none" w:sz="0" w:space="0" w:color="auto"/>
      </w:divBdr>
    </w:div>
    <w:div w:id="1590457082">
      <w:bodyDiv w:val="1"/>
      <w:marLeft w:val="0"/>
      <w:marRight w:val="0"/>
      <w:marTop w:val="0"/>
      <w:marBottom w:val="0"/>
      <w:divBdr>
        <w:top w:val="none" w:sz="0" w:space="0" w:color="auto"/>
        <w:left w:val="none" w:sz="0" w:space="0" w:color="auto"/>
        <w:bottom w:val="none" w:sz="0" w:space="0" w:color="auto"/>
        <w:right w:val="none" w:sz="0" w:space="0" w:color="auto"/>
      </w:divBdr>
    </w:div>
    <w:div w:id="1590500127">
      <w:bodyDiv w:val="1"/>
      <w:marLeft w:val="0"/>
      <w:marRight w:val="0"/>
      <w:marTop w:val="0"/>
      <w:marBottom w:val="0"/>
      <w:divBdr>
        <w:top w:val="none" w:sz="0" w:space="0" w:color="auto"/>
        <w:left w:val="none" w:sz="0" w:space="0" w:color="auto"/>
        <w:bottom w:val="none" w:sz="0" w:space="0" w:color="auto"/>
        <w:right w:val="none" w:sz="0" w:space="0" w:color="auto"/>
      </w:divBdr>
    </w:div>
    <w:div w:id="1590580544">
      <w:bodyDiv w:val="1"/>
      <w:marLeft w:val="0"/>
      <w:marRight w:val="0"/>
      <w:marTop w:val="0"/>
      <w:marBottom w:val="0"/>
      <w:divBdr>
        <w:top w:val="none" w:sz="0" w:space="0" w:color="auto"/>
        <w:left w:val="none" w:sz="0" w:space="0" w:color="auto"/>
        <w:bottom w:val="none" w:sz="0" w:space="0" w:color="auto"/>
        <w:right w:val="none" w:sz="0" w:space="0" w:color="auto"/>
      </w:divBdr>
    </w:div>
    <w:div w:id="1590626324">
      <w:bodyDiv w:val="1"/>
      <w:marLeft w:val="0"/>
      <w:marRight w:val="0"/>
      <w:marTop w:val="0"/>
      <w:marBottom w:val="0"/>
      <w:divBdr>
        <w:top w:val="none" w:sz="0" w:space="0" w:color="auto"/>
        <w:left w:val="none" w:sz="0" w:space="0" w:color="auto"/>
        <w:bottom w:val="none" w:sz="0" w:space="0" w:color="auto"/>
        <w:right w:val="none" w:sz="0" w:space="0" w:color="auto"/>
      </w:divBdr>
    </w:div>
    <w:div w:id="1590693178">
      <w:bodyDiv w:val="1"/>
      <w:marLeft w:val="0"/>
      <w:marRight w:val="0"/>
      <w:marTop w:val="0"/>
      <w:marBottom w:val="0"/>
      <w:divBdr>
        <w:top w:val="none" w:sz="0" w:space="0" w:color="auto"/>
        <w:left w:val="none" w:sz="0" w:space="0" w:color="auto"/>
        <w:bottom w:val="none" w:sz="0" w:space="0" w:color="auto"/>
        <w:right w:val="none" w:sz="0" w:space="0" w:color="auto"/>
      </w:divBdr>
    </w:div>
    <w:div w:id="1590842857">
      <w:bodyDiv w:val="1"/>
      <w:marLeft w:val="0"/>
      <w:marRight w:val="0"/>
      <w:marTop w:val="0"/>
      <w:marBottom w:val="0"/>
      <w:divBdr>
        <w:top w:val="none" w:sz="0" w:space="0" w:color="auto"/>
        <w:left w:val="none" w:sz="0" w:space="0" w:color="auto"/>
        <w:bottom w:val="none" w:sz="0" w:space="0" w:color="auto"/>
        <w:right w:val="none" w:sz="0" w:space="0" w:color="auto"/>
      </w:divBdr>
    </w:div>
    <w:div w:id="1590850626">
      <w:bodyDiv w:val="1"/>
      <w:marLeft w:val="0"/>
      <w:marRight w:val="0"/>
      <w:marTop w:val="0"/>
      <w:marBottom w:val="0"/>
      <w:divBdr>
        <w:top w:val="none" w:sz="0" w:space="0" w:color="auto"/>
        <w:left w:val="none" w:sz="0" w:space="0" w:color="auto"/>
        <w:bottom w:val="none" w:sz="0" w:space="0" w:color="auto"/>
        <w:right w:val="none" w:sz="0" w:space="0" w:color="auto"/>
      </w:divBdr>
    </w:div>
    <w:div w:id="1590962369">
      <w:bodyDiv w:val="1"/>
      <w:marLeft w:val="0"/>
      <w:marRight w:val="0"/>
      <w:marTop w:val="0"/>
      <w:marBottom w:val="0"/>
      <w:divBdr>
        <w:top w:val="none" w:sz="0" w:space="0" w:color="auto"/>
        <w:left w:val="none" w:sz="0" w:space="0" w:color="auto"/>
        <w:bottom w:val="none" w:sz="0" w:space="0" w:color="auto"/>
        <w:right w:val="none" w:sz="0" w:space="0" w:color="auto"/>
      </w:divBdr>
    </w:div>
    <w:div w:id="1590962656">
      <w:bodyDiv w:val="1"/>
      <w:marLeft w:val="0"/>
      <w:marRight w:val="0"/>
      <w:marTop w:val="0"/>
      <w:marBottom w:val="0"/>
      <w:divBdr>
        <w:top w:val="none" w:sz="0" w:space="0" w:color="auto"/>
        <w:left w:val="none" w:sz="0" w:space="0" w:color="auto"/>
        <w:bottom w:val="none" w:sz="0" w:space="0" w:color="auto"/>
        <w:right w:val="none" w:sz="0" w:space="0" w:color="auto"/>
      </w:divBdr>
    </w:div>
    <w:div w:id="1591036636">
      <w:bodyDiv w:val="1"/>
      <w:marLeft w:val="0"/>
      <w:marRight w:val="0"/>
      <w:marTop w:val="0"/>
      <w:marBottom w:val="0"/>
      <w:divBdr>
        <w:top w:val="none" w:sz="0" w:space="0" w:color="auto"/>
        <w:left w:val="none" w:sz="0" w:space="0" w:color="auto"/>
        <w:bottom w:val="none" w:sz="0" w:space="0" w:color="auto"/>
        <w:right w:val="none" w:sz="0" w:space="0" w:color="auto"/>
      </w:divBdr>
    </w:div>
    <w:div w:id="1591040862">
      <w:bodyDiv w:val="1"/>
      <w:marLeft w:val="0"/>
      <w:marRight w:val="0"/>
      <w:marTop w:val="0"/>
      <w:marBottom w:val="0"/>
      <w:divBdr>
        <w:top w:val="none" w:sz="0" w:space="0" w:color="auto"/>
        <w:left w:val="none" w:sz="0" w:space="0" w:color="auto"/>
        <w:bottom w:val="none" w:sz="0" w:space="0" w:color="auto"/>
        <w:right w:val="none" w:sz="0" w:space="0" w:color="auto"/>
      </w:divBdr>
    </w:div>
    <w:div w:id="1591086392">
      <w:bodyDiv w:val="1"/>
      <w:marLeft w:val="0"/>
      <w:marRight w:val="0"/>
      <w:marTop w:val="0"/>
      <w:marBottom w:val="0"/>
      <w:divBdr>
        <w:top w:val="none" w:sz="0" w:space="0" w:color="auto"/>
        <w:left w:val="none" w:sz="0" w:space="0" w:color="auto"/>
        <w:bottom w:val="none" w:sz="0" w:space="0" w:color="auto"/>
        <w:right w:val="none" w:sz="0" w:space="0" w:color="auto"/>
      </w:divBdr>
    </w:div>
    <w:div w:id="1591154614">
      <w:bodyDiv w:val="1"/>
      <w:marLeft w:val="0"/>
      <w:marRight w:val="0"/>
      <w:marTop w:val="0"/>
      <w:marBottom w:val="0"/>
      <w:divBdr>
        <w:top w:val="none" w:sz="0" w:space="0" w:color="auto"/>
        <w:left w:val="none" w:sz="0" w:space="0" w:color="auto"/>
        <w:bottom w:val="none" w:sz="0" w:space="0" w:color="auto"/>
        <w:right w:val="none" w:sz="0" w:space="0" w:color="auto"/>
      </w:divBdr>
    </w:div>
    <w:div w:id="1591163416">
      <w:bodyDiv w:val="1"/>
      <w:marLeft w:val="0"/>
      <w:marRight w:val="0"/>
      <w:marTop w:val="0"/>
      <w:marBottom w:val="0"/>
      <w:divBdr>
        <w:top w:val="none" w:sz="0" w:space="0" w:color="auto"/>
        <w:left w:val="none" w:sz="0" w:space="0" w:color="auto"/>
        <w:bottom w:val="none" w:sz="0" w:space="0" w:color="auto"/>
        <w:right w:val="none" w:sz="0" w:space="0" w:color="auto"/>
      </w:divBdr>
    </w:div>
    <w:div w:id="1591232828">
      <w:bodyDiv w:val="1"/>
      <w:marLeft w:val="0"/>
      <w:marRight w:val="0"/>
      <w:marTop w:val="0"/>
      <w:marBottom w:val="0"/>
      <w:divBdr>
        <w:top w:val="none" w:sz="0" w:space="0" w:color="auto"/>
        <w:left w:val="none" w:sz="0" w:space="0" w:color="auto"/>
        <w:bottom w:val="none" w:sz="0" w:space="0" w:color="auto"/>
        <w:right w:val="none" w:sz="0" w:space="0" w:color="auto"/>
      </w:divBdr>
    </w:div>
    <w:div w:id="1591349447">
      <w:bodyDiv w:val="1"/>
      <w:marLeft w:val="0"/>
      <w:marRight w:val="0"/>
      <w:marTop w:val="0"/>
      <w:marBottom w:val="0"/>
      <w:divBdr>
        <w:top w:val="none" w:sz="0" w:space="0" w:color="auto"/>
        <w:left w:val="none" w:sz="0" w:space="0" w:color="auto"/>
        <w:bottom w:val="none" w:sz="0" w:space="0" w:color="auto"/>
        <w:right w:val="none" w:sz="0" w:space="0" w:color="auto"/>
      </w:divBdr>
    </w:div>
    <w:div w:id="1591430480">
      <w:bodyDiv w:val="1"/>
      <w:marLeft w:val="0"/>
      <w:marRight w:val="0"/>
      <w:marTop w:val="0"/>
      <w:marBottom w:val="0"/>
      <w:divBdr>
        <w:top w:val="none" w:sz="0" w:space="0" w:color="auto"/>
        <w:left w:val="none" w:sz="0" w:space="0" w:color="auto"/>
        <w:bottom w:val="none" w:sz="0" w:space="0" w:color="auto"/>
        <w:right w:val="none" w:sz="0" w:space="0" w:color="auto"/>
      </w:divBdr>
    </w:div>
    <w:div w:id="1591546892">
      <w:bodyDiv w:val="1"/>
      <w:marLeft w:val="0"/>
      <w:marRight w:val="0"/>
      <w:marTop w:val="0"/>
      <w:marBottom w:val="0"/>
      <w:divBdr>
        <w:top w:val="none" w:sz="0" w:space="0" w:color="auto"/>
        <w:left w:val="none" w:sz="0" w:space="0" w:color="auto"/>
        <w:bottom w:val="none" w:sz="0" w:space="0" w:color="auto"/>
        <w:right w:val="none" w:sz="0" w:space="0" w:color="auto"/>
      </w:divBdr>
    </w:div>
    <w:div w:id="1591548402">
      <w:bodyDiv w:val="1"/>
      <w:marLeft w:val="0"/>
      <w:marRight w:val="0"/>
      <w:marTop w:val="0"/>
      <w:marBottom w:val="0"/>
      <w:divBdr>
        <w:top w:val="none" w:sz="0" w:space="0" w:color="auto"/>
        <w:left w:val="none" w:sz="0" w:space="0" w:color="auto"/>
        <w:bottom w:val="none" w:sz="0" w:space="0" w:color="auto"/>
        <w:right w:val="none" w:sz="0" w:space="0" w:color="auto"/>
      </w:divBdr>
    </w:div>
    <w:div w:id="1591623480">
      <w:bodyDiv w:val="1"/>
      <w:marLeft w:val="0"/>
      <w:marRight w:val="0"/>
      <w:marTop w:val="0"/>
      <w:marBottom w:val="0"/>
      <w:divBdr>
        <w:top w:val="none" w:sz="0" w:space="0" w:color="auto"/>
        <w:left w:val="none" w:sz="0" w:space="0" w:color="auto"/>
        <w:bottom w:val="none" w:sz="0" w:space="0" w:color="auto"/>
        <w:right w:val="none" w:sz="0" w:space="0" w:color="auto"/>
      </w:divBdr>
    </w:div>
    <w:div w:id="1591694069">
      <w:bodyDiv w:val="1"/>
      <w:marLeft w:val="0"/>
      <w:marRight w:val="0"/>
      <w:marTop w:val="0"/>
      <w:marBottom w:val="0"/>
      <w:divBdr>
        <w:top w:val="none" w:sz="0" w:space="0" w:color="auto"/>
        <w:left w:val="none" w:sz="0" w:space="0" w:color="auto"/>
        <w:bottom w:val="none" w:sz="0" w:space="0" w:color="auto"/>
        <w:right w:val="none" w:sz="0" w:space="0" w:color="auto"/>
      </w:divBdr>
    </w:div>
    <w:div w:id="1591740972">
      <w:bodyDiv w:val="1"/>
      <w:marLeft w:val="0"/>
      <w:marRight w:val="0"/>
      <w:marTop w:val="0"/>
      <w:marBottom w:val="0"/>
      <w:divBdr>
        <w:top w:val="none" w:sz="0" w:space="0" w:color="auto"/>
        <w:left w:val="none" w:sz="0" w:space="0" w:color="auto"/>
        <w:bottom w:val="none" w:sz="0" w:space="0" w:color="auto"/>
        <w:right w:val="none" w:sz="0" w:space="0" w:color="auto"/>
      </w:divBdr>
    </w:div>
    <w:div w:id="1591742799">
      <w:bodyDiv w:val="1"/>
      <w:marLeft w:val="0"/>
      <w:marRight w:val="0"/>
      <w:marTop w:val="0"/>
      <w:marBottom w:val="0"/>
      <w:divBdr>
        <w:top w:val="none" w:sz="0" w:space="0" w:color="auto"/>
        <w:left w:val="none" w:sz="0" w:space="0" w:color="auto"/>
        <w:bottom w:val="none" w:sz="0" w:space="0" w:color="auto"/>
        <w:right w:val="none" w:sz="0" w:space="0" w:color="auto"/>
      </w:divBdr>
    </w:div>
    <w:div w:id="1591962186">
      <w:bodyDiv w:val="1"/>
      <w:marLeft w:val="0"/>
      <w:marRight w:val="0"/>
      <w:marTop w:val="0"/>
      <w:marBottom w:val="0"/>
      <w:divBdr>
        <w:top w:val="none" w:sz="0" w:space="0" w:color="auto"/>
        <w:left w:val="none" w:sz="0" w:space="0" w:color="auto"/>
        <w:bottom w:val="none" w:sz="0" w:space="0" w:color="auto"/>
        <w:right w:val="none" w:sz="0" w:space="0" w:color="auto"/>
      </w:divBdr>
    </w:div>
    <w:div w:id="1592078045">
      <w:bodyDiv w:val="1"/>
      <w:marLeft w:val="0"/>
      <w:marRight w:val="0"/>
      <w:marTop w:val="0"/>
      <w:marBottom w:val="0"/>
      <w:divBdr>
        <w:top w:val="none" w:sz="0" w:space="0" w:color="auto"/>
        <w:left w:val="none" w:sz="0" w:space="0" w:color="auto"/>
        <w:bottom w:val="none" w:sz="0" w:space="0" w:color="auto"/>
        <w:right w:val="none" w:sz="0" w:space="0" w:color="auto"/>
      </w:divBdr>
    </w:div>
    <w:div w:id="1592078342">
      <w:bodyDiv w:val="1"/>
      <w:marLeft w:val="0"/>
      <w:marRight w:val="0"/>
      <w:marTop w:val="0"/>
      <w:marBottom w:val="0"/>
      <w:divBdr>
        <w:top w:val="none" w:sz="0" w:space="0" w:color="auto"/>
        <w:left w:val="none" w:sz="0" w:space="0" w:color="auto"/>
        <w:bottom w:val="none" w:sz="0" w:space="0" w:color="auto"/>
        <w:right w:val="none" w:sz="0" w:space="0" w:color="auto"/>
      </w:divBdr>
    </w:div>
    <w:div w:id="1592081115">
      <w:bodyDiv w:val="1"/>
      <w:marLeft w:val="0"/>
      <w:marRight w:val="0"/>
      <w:marTop w:val="0"/>
      <w:marBottom w:val="0"/>
      <w:divBdr>
        <w:top w:val="none" w:sz="0" w:space="0" w:color="auto"/>
        <w:left w:val="none" w:sz="0" w:space="0" w:color="auto"/>
        <w:bottom w:val="none" w:sz="0" w:space="0" w:color="auto"/>
        <w:right w:val="none" w:sz="0" w:space="0" w:color="auto"/>
      </w:divBdr>
    </w:div>
    <w:div w:id="1592160127">
      <w:bodyDiv w:val="1"/>
      <w:marLeft w:val="0"/>
      <w:marRight w:val="0"/>
      <w:marTop w:val="0"/>
      <w:marBottom w:val="0"/>
      <w:divBdr>
        <w:top w:val="none" w:sz="0" w:space="0" w:color="auto"/>
        <w:left w:val="none" w:sz="0" w:space="0" w:color="auto"/>
        <w:bottom w:val="none" w:sz="0" w:space="0" w:color="auto"/>
        <w:right w:val="none" w:sz="0" w:space="0" w:color="auto"/>
      </w:divBdr>
    </w:div>
    <w:div w:id="1592198015">
      <w:bodyDiv w:val="1"/>
      <w:marLeft w:val="0"/>
      <w:marRight w:val="0"/>
      <w:marTop w:val="0"/>
      <w:marBottom w:val="0"/>
      <w:divBdr>
        <w:top w:val="none" w:sz="0" w:space="0" w:color="auto"/>
        <w:left w:val="none" w:sz="0" w:space="0" w:color="auto"/>
        <w:bottom w:val="none" w:sz="0" w:space="0" w:color="auto"/>
        <w:right w:val="none" w:sz="0" w:space="0" w:color="auto"/>
      </w:divBdr>
    </w:div>
    <w:div w:id="1592199060">
      <w:bodyDiv w:val="1"/>
      <w:marLeft w:val="0"/>
      <w:marRight w:val="0"/>
      <w:marTop w:val="0"/>
      <w:marBottom w:val="0"/>
      <w:divBdr>
        <w:top w:val="none" w:sz="0" w:space="0" w:color="auto"/>
        <w:left w:val="none" w:sz="0" w:space="0" w:color="auto"/>
        <w:bottom w:val="none" w:sz="0" w:space="0" w:color="auto"/>
        <w:right w:val="none" w:sz="0" w:space="0" w:color="auto"/>
      </w:divBdr>
    </w:div>
    <w:div w:id="1592202276">
      <w:bodyDiv w:val="1"/>
      <w:marLeft w:val="0"/>
      <w:marRight w:val="0"/>
      <w:marTop w:val="0"/>
      <w:marBottom w:val="0"/>
      <w:divBdr>
        <w:top w:val="none" w:sz="0" w:space="0" w:color="auto"/>
        <w:left w:val="none" w:sz="0" w:space="0" w:color="auto"/>
        <w:bottom w:val="none" w:sz="0" w:space="0" w:color="auto"/>
        <w:right w:val="none" w:sz="0" w:space="0" w:color="auto"/>
      </w:divBdr>
    </w:div>
    <w:div w:id="1592277510">
      <w:bodyDiv w:val="1"/>
      <w:marLeft w:val="0"/>
      <w:marRight w:val="0"/>
      <w:marTop w:val="0"/>
      <w:marBottom w:val="0"/>
      <w:divBdr>
        <w:top w:val="none" w:sz="0" w:space="0" w:color="auto"/>
        <w:left w:val="none" w:sz="0" w:space="0" w:color="auto"/>
        <w:bottom w:val="none" w:sz="0" w:space="0" w:color="auto"/>
        <w:right w:val="none" w:sz="0" w:space="0" w:color="auto"/>
      </w:divBdr>
    </w:div>
    <w:div w:id="1592278664">
      <w:bodyDiv w:val="1"/>
      <w:marLeft w:val="0"/>
      <w:marRight w:val="0"/>
      <w:marTop w:val="0"/>
      <w:marBottom w:val="0"/>
      <w:divBdr>
        <w:top w:val="none" w:sz="0" w:space="0" w:color="auto"/>
        <w:left w:val="none" w:sz="0" w:space="0" w:color="auto"/>
        <w:bottom w:val="none" w:sz="0" w:space="0" w:color="auto"/>
        <w:right w:val="none" w:sz="0" w:space="0" w:color="auto"/>
      </w:divBdr>
    </w:div>
    <w:div w:id="1592348095">
      <w:bodyDiv w:val="1"/>
      <w:marLeft w:val="0"/>
      <w:marRight w:val="0"/>
      <w:marTop w:val="0"/>
      <w:marBottom w:val="0"/>
      <w:divBdr>
        <w:top w:val="none" w:sz="0" w:space="0" w:color="auto"/>
        <w:left w:val="none" w:sz="0" w:space="0" w:color="auto"/>
        <w:bottom w:val="none" w:sz="0" w:space="0" w:color="auto"/>
        <w:right w:val="none" w:sz="0" w:space="0" w:color="auto"/>
      </w:divBdr>
    </w:div>
    <w:div w:id="1592396539">
      <w:bodyDiv w:val="1"/>
      <w:marLeft w:val="0"/>
      <w:marRight w:val="0"/>
      <w:marTop w:val="0"/>
      <w:marBottom w:val="0"/>
      <w:divBdr>
        <w:top w:val="none" w:sz="0" w:space="0" w:color="auto"/>
        <w:left w:val="none" w:sz="0" w:space="0" w:color="auto"/>
        <w:bottom w:val="none" w:sz="0" w:space="0" w:color="auto"/>
        <w:right w:val="none" w:sz="0" w:space="0" w:color="auto"/>
      </w:divBdr>
    </w:div>
    <w:div w:id="1592425669">
      <w:bodyDiv w:val="1"/>
      <w:marLeft w:val="0"/>
      <w:marRight w:val="0"/>
      <w:marTop w:val="0"/>
      <w:marBottom w:val="0"/>
      <w:divBdr>
        <w:top w:val="none" w:sz="0" w:space="0" w:color="auto"/>
        <w:left w:val="none" w:sz="0" w:space="0" w:color="auto"/>
        <w:bottom w:val="none" w:sz="0" w:space="0" w:color="auto"/>
        <w:right w:val="none" w:sz="0" w:space="0" w:color="auto"/>
      </w:divBdr>
    </w:div>
    <w:div w:id="1592466091">
      <w:bodyDiv w:val="1"/>
      <w:marLeft w:val="0"/>
      <w:marRight w:val="0"/>
      <w:marTop w:val="0"/>
      <w:marBottom w:val="0"/>
      <w:divBdr>
        <w:top w:val="none" w:sz="0" w:space="0" w:color="auto"/>
        <w:left w:val="none" w:sz="0" w:space="0" w:color="auto"/>
        <w:bottom w:val="none" w:sz="0" w:space="0" w:color="auto"/>
        <w:right w:val="none" w:sz="0" w:space="0" w:color="auto"/>
      </w:divBdr>
    </w:div>
    <w:div w:id="1592591400">
      <w:bodyDiv w:val="1"/>
      <w:marLeft w:val="0"/>
      <w:marRight w:val="0"/>
      <w:marTop w:val="0"/>
      <w:marBottom w:val="0"/>
      <w:divBdr>
        <w:top w:val="none" w:sz="0" w:space="0" w:color="auto"/>
        <w:left w:val="none" w:sz="0" w:space="0" w:color="auto"/>
        <w:bottom w:val="none" w:sz="0" w:space="0" w:color="auto"/>
        <w:right w:val="none" w:sz="0" w:space="0" w:color="auto"/>
      </w:divBdr>
    </w:div>
    <w:div w:id="1592814036">
      <w:bodyDiv w:val="1"/>
      <w:marLeft w:val="0"/>
      <w:marRight w:val="0"/>
      <w:marTop w:val="0"/>
      <w:marBottom w:val="0"/>
      <w:divBdr>
        <w:top w:val="none" w:sz="0" w:space="0" w:color="auto"/>
        <w:left w:val="none" w:sz="0" w:space="0" w:color="auto"/>
        <w:bottom w:val="none" w:sz="0" w:space="0" w:color="auto"/>
        <w:right w:val="none" w:sz="0" w:space="0" w:color="auto"/>
      </w:divBdr>
    </w:div>
    <w:div w:id="1592856584">
      <w:bodyDiv w:val="1"/>
      <w:marLeft w:val="0"/>
      <w:marRight w:val="0"/>
      <w:marTop w:val="0"/>
      <w:marBottom w:val="0"/>
      <w:divBdr>
        <w:top w:val="none" w:sz="0" w:space="0" w:color="auto"/>
        <w:left w:val="none" w:sz="0" w:space="0" w:color="auto"/>
        <w:bottom w:val="none" w:sz="0" w:space="0" w:color="auto"/>
        <w:right w:val="none" w:sz="0" w:space="0" w:color="auto"/>
      </w:divBdr>
    </w:div>
    <w:div w:id="1592930620">
      <w:bodyDiv w:val="1"/>
      <w:marLeft w:val="0"/>
      <w:marRight w:val="0"/>
      <w:marTop w:val="0"/>
      <w:marBottom w:val="0"/>
      <w:divBdr>
        <w:top w:val="none" w:sz="0" w:space="0" w:color="auto"/>
        <w:left w:val="none" w:sz="0" w:space="0" w:color="auto"/>
        <w:bottom w:val="none" w:sz="0" w:space="0" w:color="auto"/>
        <w:right w:val="none" w:sz="0" w:space="0" w:color="auto"/>
      </w:divBdr>
    </w:div>
    <w:div w:id="1593201980">
      <w:bodyDiv w:val="1"/>
      <w:marLeft w:val="0"/>
      <w:marRight w:val="0"/>
      <w:marTop w:val="0"/>
      <w:marBottom w:val="0"/>
      <w:divBdr>
        <w:top w:val="none" w:sz="0" w:space="0" w:color="auto"/>
        <w:left w:val="none" w:sz="0" w:space="0" w:color="auto"/>
        <w:bottom w:val="none" w:sz="0" w:space="0" w:color="auto"/>
        <w:right w:val="none" w:sz="0" w:space="0" w:color="auto"/>
      </w:divBdr>
    </w:div>
    <w:div w:id="1593271738">
      <w:bodyDiv w:val="1"/>
      <w:marLeft w:val="0"/>
      <w:marRight w:val="0"/>
      <w:marTop w:val="0"/>
      <w:marBottom w:val="0"/>
      <w:divBdr>
        <w:top w:val="none" w:sz="0" w:space="0" w:color="auto"/>
        <w:left w:val="none" w:sz="0" w:space="0" w:color="auto"/>
        <w:bottom w:val="none" w:sz="0" w:space="0" w:color="auto"/>
        <w:right w:val="none" w:sz="0" w:space="0" w:color="auto"/>
      </w:divBdr>
    </w:div>
    <w:div w:id="1593319606">
      <w:bodyDiv w:val="1"/>
      <w:marLeft w:val="0"/>
      <w:marRight w:val="0"/>
      <w:marTop w:val="0"/>
      <w:marBottom w:val="0"/>
      <w:divBdr>
        <w:top w:val="none" w:sz="0" w:space="0" w:color="auto"/>
        <w:left w:val="none" w:sz="0" w:space="0" w:color="auto"/>
        <w:bottom w:val="none" w:sz="0" w:space="0" w:color="auto"/>
        <w:right w:val="none" w:sz="0" w:space="0" w:color="auto"/>
      </w:divBdr>
    </w:div>
    <w:div w:id="1593585359">
      <w:bodyDiv w:val="1"/>
      <w:marLeft w:val="0"/>
      <w:marRight w:val="0"/>
      <w:marTop w:val="0"/>
      <w:marBottom w:val="0"/>
      <w:divBdr>
        <w:top w:val="none" w:sz="0" w:space="0" w:color="auto"/>
        <w:left w:val="none" w:sz="0" w:space="0" w:color="auto"/>
        <w:bottom w:val="none" w:sz="0" w:space="0" w:color="auto"/>
        <w:right w:val="none" w:sz="0" w:space="0" w:color="auto"/>
      </w:divBdr>
    </w:div>
    <w:div w:id="1593707761">
      <w:bodyDiv w:val="1"/>
      <w:marLeft w:val="0"/>
      <w:marRight w:val="0"/>
      <w:marTop w:val="0"/>
      <w:marBottom w:val="0"/>
      <w:divBdr>
        <w:top w:val="none" w:sz="0" w:space="0" w:color="auto"/>
        <w:left w:val="none" w:sz="0" w:space="0" w:color="auto"/>
        <w:bottom w:val="none" w:sz="0" w:space="0" w:color="auto"/>
        <w:right w:val="none" w:sz="0" w:space="0" w:color="auto"/>
      </w:divBdr>
    </w:div>
    <w:div w:id="1593856549">
      <w:bodyDiv w:val="1"/>
      <w:marLeft w:val="0"/>
      <w:marRight w:val="0"/>
      <w:marTop w:val="0"/>
      <w:marBottom w:val="0"/>
      <w:divBdr>
        <w:top w:val="none" w:sz="0" w:space="0" w:color="auto"/>
        <w:left w:val="none" w:sz="0" w:space="0" w:color="auto"/>
        <w:bottom w:val="none" w:sz="0" w:space="0" w:color="auto"/>
        <w:right w:val="none" w:sz="0" w:space="0" w:color="auto"/>
      </w:divBdr>
    </w:div>
    <w:div w:id="1593971816">
      <w:bodyDiv w:val="1"/>
      <w:marLeft w:val="0"/>
      <w:marRight w:val="0"/>
      <w:marTop w:val="0"/>
      <w:marBottom w:val="0"/>
      <w:divBdr>
        <w:top w:val="none" w:sz="0" w:space="0" w:color="auto"/>
        <w:left w:val="none" w:sz="0" w:space="0" w:color="auto"/>
        <w:bottom w:val="none" w:sz="0" w:space="0" w:color="auto"/>
        <w:right w:val="none" w:sz="0" w:space="0" w:color="auto"/>
      </w:divBdr>
    </w:div>
    <w:div w:id="1594044092">
      <w:bodyDiv w:val="1"/>
      <w:marLeft w:val="0"/>
      <w:marRight w:val="0"/>
      <w:marTop w:val="0"/>
      <w:marBottom w:val="0"/>
      <w:divBdr>
        <w:top w:val="none" w:sz="0" w:space="0" w:color="auto"/>
        <w:left w:val="none" w:sz="0" w:space="0" w:color="auto"/>
        <w:bottom w:val="none" w:sz="0" w:space="0" w:color="auto"/>
        <w:right w:val="none" w:sz="0" w:space="0" w:color="auto"/>
      </w:divBdr>
    </w:div>
    <w:div w:id="1594194645">
      <w:bodyDiv w:val="1"/>
      <w:marLeft w:val="0"/>
      <w:marRight w:val="0"/>
      <w:marTop w:val="0"/>
      <w:marBottom w:val="0"/>
      <w:divBdr>
        <w:top w:val="none" w:sz="0" w:space="0" w:color="auto"/>
        <w:left w:val="none" w:sz="0" w:space="0" w:color="auto"/>
        <w:bottom w:val="none" w:sz="0" w:space="0" w:color="auto"/>
        <w:right w:val="none" w:sz="0" w:space="0" w:color="auto"/>
      </w:divBdr>
    </w:div>
    <w:div w:id="1594238301">
      <w:bodyDiv w:val="1"/>
      <w:marLeft w:val="0"/>
      <w:marRight w:val="0"/>
      <w:marTop w:val="0"/>
      <w:marBottom w:val="0"/>
      <w:divBdr>
        <w:top w:val="none" w:sz="0" w:space="0" w:color="auto"/>
        <w:left w:val="none" w:sz="0" w:space="0" w:color="auto"/>
        <w:bottom w:val="none" w:sz="0" w:space="0" w:color="auto"/>
        <w:right w:val="none" w:sz="0" w:space="0" w:color="auto"/>
      </w:divBdr>
    </w:div>
    <w:div w:id="1594314604">
      <w:bodyDiv w:val="1"/>
      <w:marLeft w:val="0"/>
      <w:marRight w:val="0"/>
      <w:marTop w:val="0"/>
      <w:marBottom w:val="0"/>
      <w:divBdr>
        <w:top w:val="none" w:sz="0" w:space="0" w:color="auto"/>
        <w:left w:val="none" w:sz="0" w:space="0" w:color="auto"/>
        <w:bottom w:val="none" w:sz="0" w:space="0" w:color="auto"/>
        <w:right w:val="none" w:sz="0" w:space="0" w:color="auto"/>
      </w:divBdr>
    </w:div>
    <w:div w:id="1594318974">
      <w:bodyDiv w:val="1"/>
      <w:marLeft w:val="0"/>
      <w:marRight w:val="0"/>
      <w:marTop w:val="0"/>
      <w:marBottom w:val="0"/>
      <w:divBdr>
        <w:top w:val="none" w:sz="0" w:space="0" w:color="auto"/>
        <w:left w:val="none" w:sz="0" w:space="0" w:color="auto"/>
        <w:bottom w:val="none" w:sz="0" w:space="0" w:color="auto"/>
        <w:right w:val="none" w:sz="0" w:space="0" w:color="auto"/>
      </w:divBdr>
    </w:div>
    <w:div w:id="1594320420">
      <w:bodyDiv w:val="1"/>
      <w:marLeft w:val="0"/>
      <w:marRight w:val="0"/>
      <w:marTop w:val="0"/>
      <w:marBottom w:val="0"/>
      <w:divBdr>
        <w:top w:val="none" w:sz="0" w:space="0" w:color="auto"/>
        <w:left w:val="none" w:sz="0" w:space="0" w:color="auto"/>
        <w:bottom w:val="none" w:sz="0" w:space="0" w:color="auto"/>
        <w:right w:val="none" w:sz="0" w:space="0" w:color="auto"/>
      </w:divBdr>
    </w:div>
    <w:div w:id="1594322195">
      <w:bodyDiv w:val="1"/>
      <w:marLeft w:val="0"/>
      <w:marRight w:val="0"/>
      <w:marTop w:val="0"/>
      <w:marBottom w:val="0"/>
      <w:divBdr>
        <w:top w:val="none" w:sz="0" w:space="0" w:color="auto"/>
        <w:left w:val="none" w:sz="0" w:space="0" w:color="auto"/>
        <w:bottom w:val="none" w:sz="0" w:space="0" w:color="auto"/>
        <w:right w:val="none" w:sz="0" w:space="0" w:color="auto"/>
      </w:divBdr>
    </w:div>
    <w:div w:id="1594433108">
      <w:bodyDiv w:val="1"/>
      <w:marLeft w:val="0"/>
      <w:marRight w:val="0"/>
      <w:marTop w:val="0"/>
      <w:marBottom w:val="0"/>
      <w:divBdr>
        <w:top w:val="none" w:sz="0" w:space="0" w:color="auto"/>
        <w:left w:val="none" w:sz="0" w:space="0" w:color="auto"/>
        <w:bottom w:val="none" w:sz="0" w:space="0" w:color="auto"/>
        <w:right w:val="none" w:sz="0" w:space="0" w:color="auto"/>
      </w:divBdr>
    </w:div>
    <w:div w:id="1594510795">
      <w:bodyDiv w:val="1"/>
      <w:marLeft w:val="0"/>
      <w:marRight w:val="0"/>
      <w:marTop w:val="0"/>
      <w:marBottom w:val="0"/>
      <w:divBdr>
        <w:top w:val="none" w:sz="0" w:space="0" w:color="auto"/>
        <w:left w:val="none" w:sz="0" w:space="0" w:color="auto"/>
        <w:bottom w:val="none" w:sz="0" w:space="0" w:color="auto"/>
        <w:right w:val="none" w:sz="0" w:space="0" w:color="auto"/>
      </w:divBdr>
    </w:div>
    <w:div w:id="1594630953">
      <w:bodyDiv w:val="1"/>
      <w:marLeft w:val="0"/>
      <w:marRight w:val="0"/>
      <w:marTop w:val="0"/>
      <w:marBottom w:val="0"/>
      <w:divBdr>
        <w:top w:val="none" w:sz="0" w:space="0" w:color="auto"/>
        <w:left w:val="none" w:sz="0" w:space="0" w:color="auto"/>
        <w:bottom w:val="none" w:sz="0" w:space="0" w:color="auto"/>
        <w:right w:val="none" w:sz="0" w:space="0" w:color="auto"/>
      </w:divBdr>
    </w:div>
    <w:div w:id="1594633092">
      <w:bodyDiv w:val="1"/>
      <w:marLeft w:val="0"/>
      <w:marRight w:val="0"/>
      <w:marTop w:val="0"/>
      <w:marBottom w:val="0"/>
      <w:divBdr>
        <w:top w:val="none" w:sz="0" w:space="0" w:color="auto"/>
        <w:left w:val="none" w:sz="0" w:space="0" w:color="auto"/>
        <w:bottom w:val="none" w:sz="0" w:space="0" w:color="auto"/>
        <w:right w:val="none" w:sz="0" w:space="0" w:color="auto"/>
      </w:divBdr>
    </w:div>
    <w:div w:id="1594780324">
      <w:bodyDiv w:val="1"/>
      <w:marLeft w:val="0"/>
      <w:marRight w:val="0"/>
      <w:marTop w:val="0"/>
      <w:marBottom w:val="0"/>
      <w:divBdr>
        <w:top w:val="none" w:sz="0" w:space="0" w:color="auto"/>
        <w:left w:val="none" w:sz="0" w:space="0" w:color="auto"/>
        <w:bottom w:val="none" w:sz="0" w:space="0" w:color="auto"/>
        <w:right w:val="none" w:sz="0" w:space="0" w:color="auto"/>
      </w:divBdr>
    </w:div>
    <w:div w:id="1594782930">
      <w:bodyDiv w:val="1"/>
      <w:marLeft w:val="0"/>
      <w:marRight w:val="0"/>
      <w:marTop w:val="0"/>
      <w:marBottom w:val="0"/>
      <w:divBdr>
        <w:top w:val="none" w:sz="0" w:space="0" w:color="auto"/>
        <w:left w:val="none" w:sz="0" w:space="0" w:color="auto"/>
        <w:bottom w:val="none" w:sz="0" w:space="0" w:color="auto"/>
        <w:right w:val="none" w:sz="0" w:space="0" w:color="auto"/>
      </w:divBdr>
    </w:div>
    <w:div w:id="1594819030">
      <w:bodyDiv w:val="1"/>
      <w:marLeft w:val="0"/>
      <w:marRight w:val="0"/>
      <w:marTop w:val="0"/>
      <w:marBottom w:val="0"/>
      <w:divBdr>
        <w:top w:val="none" w:sz="0" w:space="0" w:color="auto"/>
        <w:left w:val="none" w:sz="0" w:space="0" w:color="auto"/>
        <w:bottom w:val="none" w:sz="0" w:space="0" w:color="auto"/>
        <w:right w:val="none" w:sz="0" w:space="0" w:color="auto"/>
      </w:divBdr>
    </w:div>
    <w:div w:id="1594821644">
      <w:bodyDiv w:val="1"/>
      <w:marLeft w:val="0"/>
      <w:marRight w:val="0"/>
      <w:marTop w:val="0"/>
      <w:marBottom w:val="0"/>
      <w:divBdr>
        <w:top w:val="none" w:sz="0" w:space="0" w:color="auto"/>
        <w:left w:val="none" w:sz="0" w:space="0" w:color="auto"/>
        <w:bottom w:val="none" w:sz="0" w:space="0" w:color="auto"/>
        <w:right w:val="none" w:sz="0" w:space="0" w:color="auto"/>
      </w:divBdr>
    </w:div>
    <w:div w:id="1594895850">
      <w:bodyDiv w:val="1"/>
      <w:marLeft w:val="0"/>
      <w:marRight w:val="0"/>
      <w:marTop w:val="0"/>
      <w:marBottom w:val="0"/>
      <w:divBdr>
        <w:top w:val="none" w:sz="0" w:space="0" w:color="auto"/>
        <w:left w:val="none" w:sz="0" w:space="0" w:color="auto"/>
        <w:bottom w:val="none" w:sz="0" w:space="0" w:color="auto"/>
        <w:right w:val="none" w:sz="0" w:space="0" w:color="auto"/>
      </w:divBdr>
    </w:div>
    <w:div w:id="1594972999">
      <w:bodyDiv w:val="1"/>
      <w:marLeft w:val="0"/>
      <w:marRight w:val="0"/>
      <w:marTop w:val="0"/>
      <w:marBottom w:val="0"/>
      <w:divBdr>
        <w:top w:val="none" w:sz="0" w:space="0" w:color="auto"/>
        <w:left w:val="none" w:sz="0" w:space="0" w:color="auto"/>
        <w:bottom w:val="none" w:sz="0" w:space="0" w:color="auto"/>
        <w:right w:val="none" w:sz="0" w:space="0" w:color="auto"/>
      </w:divBdr>
    </w:div>
    <w:div w:id="1594975361">
      <w:bodyDiv w:val="1"/>
      <w:marLeft w:val="0"/>
      <w:marRight w:val="0"/>
      <w:marTop w:val="0"/>
      <w:marBottom w:val="0"/>
      <w:divBdr>
        <w:top w:val="none" w:sz="0" w:space="0" w:color="auto"/>
        <w:left w:val="none" w:sz="0" w:space="0" w:color="auto"/>
        <w:bottom w:val="none" w:sz="0" w:space="0" w:color="auto"/>
        <w:right w:val="none" w:sz="0" w:space="0" w:color="auto"/>
      </w:divBdr>
    </w:div>
    <w:div w:id="1595019329">
      <w:bodyDiv w:val="1"/>
      <w:marLeft w:val="0"/>
      <w:marRight w:val="0"/>
      <w:marTop w:val="0"/>
      <w:marBottom w:val="0"/>
      <w:divBdr>
        <w:top w:val="none" w:sz="0" w:space="0" w:color="auto"/>
        <w:left w:val="none" w:sz="0" w:space="0" w:color="auto"/>
        <w:bottom w:val="none" w:sz="0" w:space="0" w:color="auto"/>
        <w:right w:val="none" w:sz="0" w:space="0" w:color="auto"/>
      </w:divBdr>
    </w:div>
    <w:div w:id="1595088607">
      <w:bodyDiv w:val="1"/>
      <w:marLeft w:val="0"/>
      <w:marRight w:val="0"/>
      <w:marTop w:val="0"/>
      <w:marBottom w:val="0"/>
      <w:divBdr>
        <w:top w:val="none" w:sz="0" w:space="0" w:color="auto"/>
        <w:left w:val="none" w:sz="0" w:space="0" w:color="auto"/>
        <w:bottom w:val="none" w:sz="0" w:space="0" w:color="auto"/>
        <w:right w:val="none" w:sz="0" w:space="0" w:color="auto"/>
      </w:divBdr>
    </w:div>
    <w:div w:id="1595169175">
      <w:bodyDiv w:val="1"/>
      <w:marLeft w:val="0"/>
      <w:marRight w:val="0"/>
      <w:marTop w:val="0"/>
      <w:marBottom w:val="0"/>
      <w:divBdr>
        <w:top w:val="none" w:sz="0" w:space="0" w:color="auto"/>
        <w:left w:val="none" w:sz="0" w:space="0" w:color="auto"/>
        <w:bottom w:val="none" w:sz="0" w:space="0" w:color="auto"/>
        <w:right w:val="none" w:sz="0" w:space="0" w:color="auto"/>
      </w:divBdr>
    </w:div>
    <w:div w:id="1595281329">
      <w:bodyDiv w:val="1"/>
      <w:marLeft w:val="0"/>
      <w:marRight w:val="0"/>
      <w:marTop w:val="0"/>
      <w:marBottom w:val="0"/>
      <w:divBdr>
        <w:top w:val="none" w:sz="0" w:space="0" w:color="auto"/>
        <w:left w:val="none" w:sz="0" w:space="0" w:color="auto"/>
        <w:bottom w:val="none" w:sz="0" w:space="0" w:color="auto"/>
        <w:right w:val="none" w:sz="0" w:space="0" w:color="auto"/>
      </w:divBdr>
    </w:div>
    <w:div w:id="1595437103">
      <w:bodyDiv w:val="1"/>
      <w:marLeft w:val="0"/>
      <w:marRight w:val="0"/>
      <w:marTop w:val="0"/>
      <w:marBottom w:val="0"/>
      <w:divBdr>
        <w:top w:val="none" w:sz="0" w:space="0" w:color="auto"/>
        <w:left w:val="none" w:sz="0" w:space="0" w:color="auto"/>
        <w:bottom w:val="none" w:sz="0" w:space="0" w:color="auto"/>
        <w:right w:val="none" w:sz="0" w:space="0" w:color="auto"/>
      </w:divBdr>
    </w:div>
    <w:div w:id="1595551397">
      <w:bodyDiv w:val="1"/>
      <w:marLeft w:val="0"/>
      <w:marRight w:val="0"/>
      <w:marTop w:val="0"/>
      <w:marBottom w:val="0"/>
      <w:divBdr>
        <w:top w:val="none" w:sz="0" w:space="0" w:color="auto"/>
        <w:left w:val="none" w:sz="0" w:space="0" w:color="auto"/>
        <w:bottom w:val="none" w:sz="0" w:space="0" w:color="auto"/>
        <w:right w:val="none" w:sz="0" w:space="0" w:color="auto"/>
      </w:divBdr>
    </w:div>
    <w:div w:id="1595552348">
      <w:bodyDiv w:val="1"/>
      <w:marLeft w:val="0"/>
      <w:marRight w:val="0"/>
      <w:marTop w:val="0"/>
      <w:marBottom w:val="0"/>
      <w:divBdr>
        <w:top w:val="none" w:sz="0" w:space="0" w:color="auto"/>
        <w:left w:val="none" w:sz="0" w:space="0" w:color="auto"/>
        <w:bottom w:val="none" w:sz="0" w:space="0" w:color="auto"/>
        <w:right w:val="none" w:sz="0" w:space="0" w:color="auto"/>
      </w:divBdr>
    </w:div>
    <w:div w:id="1595556425">
      <w:bodyDiv w:val="1"/>
      <w:marLeft w:val="0"/>
      <w:marRight w:val="0"/>
      <w:marTop w:val="0"/>
      <w:marBottom w:val="0"/>
      <w:divBdr>
        <w:top w:val="none" w:sz="0" w:space="0" w:color="auto"/>
        <w:left w:val="none" w:sz="0" w:space="0" w:color="auto"/>
        <w:bottom w:val="none" w:sz="0" w:space="0" w:color="auto"/>
        <w:right w:val="none" w:sz="0" w:space="0" w:color="auto"/>
      </w:divBdr>
    </w:div>
    <w:div w:id="1595673625">
      <w:bodyDiv w:val="1"/>
      <w:marLeft w:val="0"/>
      <w:marRight w:val="0"/>
      <w:marTop w:val="0"/>
      <w:marBottom w:val="0"/>
      <w:divBdr>
        <w:top w:val="none" w:sz="0" w:space="0" w:color="auto"/>
        <w:left w:val="none" w:sz="0" w:space="0" w:color="auto"/>
        <w:bottom w:val="none" w:sz="0" w:space="0" w:color="auto"/>
        <w:right w:val="none" w:sz="0" w:space="0" w:color="auto"/>
      </w:divBdr>
    </w:div>
    <w:div w:id="1595819715">
      <w:bodyDiv w:val="1"/>
      <w:marLeft w:val="0"/>
      <w:marRight w:val="0"/>
      <w:marTop w:val="0"/>
      <w:marBottom w:val="0"/>
      <w:divBdr>
        <w:top w:val="none" w:sz="0" w:space="0" w:color="auto"/>
        <w:left w:val="none" w:sz="0" w:space="0" w:color="auto"/>
        <w:bottom w:val="none" w:sz="0" w:space="0" w:color="auto"/>
        <w:right w:val="none" w:sz="0" w:space="0" w:color="auto"/>
      </w:divBdr>
    </w:div>
    <w:div w:id="1595894124">
      <w:bodyDiv w:val="1"/>
      <w:marLeft w:val="0"/>
      <w:marRight w:val="0"/>
      <w:marTop w:val="0"/>
      <w:marBottom w:val="0"/>
      <w:divBdr>
        <w:top w:val="none" w:sz="0" w:space="0" w:color="auto"/>
        <w:left w:val="none" w:sz="0" w:space="0" w:color="auto"/>
        <w:bottom w:val="none" w:sz="0" w:space="0" w:color="auto"/>
        <w:right w:val="none" w:sz="0" w:space="0" w:color="auto"/>
      </w:divBdr>
    </w:div>
    <w:div w:id="1595943498">
      <w:bodyDiv w:val="1"/>
      <w:marLeft w:val="0"/>
      <w:marRight w:val="0"/>
      <w:marTop w:val="0"/>
      <w:marBottom w:val="0"/>
      <w:divBdr>
        <w:top w:val="none" w:sz="0" w:space="0" w:color="auto"/>
        <w:left w:val="none" w:sz="0" w:space="0" w:color="auto"/>
        <w:bottom w:val="none" w:sz="0" w:space="0" w:color="auto"/>
        <w:right w:val="none" w:sz="0" w:space="0" w:color="auto"/>
      </w:divBdr>
    </w:div>
    <w:div w:id="1596010979">
      <w:bodyDiv w:val="1"/>
      <w:marLeft w:val="0"/>
      <w:marRight w:val="0"/>
      <w:marTop w:val="0"/>
      <w:marBottom w:val="0"/>
      <w:divBdr>
        <w:top w:val="none" w:sz="0" w:space="0" w:color="auto"/>
        <w:left w:val="none" w:sz="0" w:space="0" w:color="auto"/>
        <w:bottom w:val="none" w:sz="0" w:space="0" w:color="auto"/>
        <w:right w:val="none" w:sz="0" w:space="0" w:color="auto"/>
      </w:divBdr>
    </w:div>
    <w:div w:id="1596011791">
      <w:bodyDiv w:val="1"/>
      <w:marLeft w:val="0"/>
      <w:marRight w:val="0"/>
      <w:marTop w:val="0"/>
      <w:marBottom w:val="0"/>
      <w:divBdr>
        <w:top w:val="none" w:sz="0" w:space="0" w:color="auto"/>
        <w:left w:val="none" w:sz="0" w:space="0" w:color="auto"/>
        <w:bottom w:val="none" w:sz="0" w:space="0" w:color="auto"/>
        <w:right w:val="none" w:sz="0" w:space="0" w:color="auto"/>
      </w:divBdr>
    </w:div>
    <w:div w:id="1596086614">
      <w:bodyDiv w:val="1"/>
      <w:marLeft w:val="0"/>
      <w:marRight w:val="0"/>
      <w:marTop w:val="0"/>
      <w:marBottom w:val="0"/>
      <w:divBdr>
        <w:top w:val="none" w:sz="0" w:space="0" w:color="auto"/>
        <w:left w:val="none" w:sz="0" w:space="0" w:color="auto"/>
        <w:bottom w:val="none" w:sz="0" w:space="0" w:color="auto"/>
        <w:right w:val="none" w:sz="0" w:space="0" w:color="auto"/>
      </w:divBdr>
    </w:div>
    <w:div w:id="1596088577">
      <w:bodyDiv w:val="1"/>
      <w:marLeft w:val="0"/>
      <w:marRight w:val="0"/>
      <w:marTop w:val="0"/>
      <w:marBottom w:val="0"/>
      <w:divBdr>
        <w:top w:val="none" w:sz="0" w:space="0" w:color="auto"/>
        <w:left w:val="none" w:sz="0" w:space="0" w:color="auto"/>
        <w:bottom w:val="none" w:sz="0" w:space="0" w:color="auto"/>
        <w:right w:val="none" w:sz="0" w:space="0" w:color="auto"/>
      </w:divBdr>
    </w:div>
    <w:div w:id="1596281010">
      <w:bodyDiv w:val="1"/>
      <w:marLeft w:val="0"/>
      <w:marRight w:val="0"/>
      <w:marTop w:val="0"/>
      <w:marBottom w:val="0"/>
      <w:divBdr>
        <w:top w:val="none" w:sz="0" w:space="0" w:color="auto"/>
        <w:left w:val="none" w:sz="0" w:space="0" w:color="auto"/>
        <w:bottom w:val="none" w:sz="0" w:space="0" w:color="auto"/>
        <w:right w:val="none" w:sz="0" w:space="0" w:color="auto"/>
      </w:divBdr>
    </w:div>
    <w:div w:id="1596285868">
      <w:bodyDiv w:val="1"/>
      <w:marLeft w:val="0"/>
      <w:marRight w:val="0"/>
      <w:marTop w:val="0"/>
      <w:marBottom w:val="0"/>
      <w:divBdr>
        <w:top w:val="none" w:sz="0" w:space="0" w:color="auto"/>
        <w:left w:val="none" w:sz="0" w:space="0" w:color="auto"/>
        <w:bottom w:val="none" w:sz="0" w:space="0" w:color="auto"/>
        <w:right w:val="none" w:sz="0" w:space="0" w:color="auto"/>
      </w:divBdr>
    </w:div>
    <w:div w:id="1596865502">
      <w:bodyDiv w:val="1"/>
      <w:marLeft w:val="0"/>
      <w:marRight w:val="0"/>
      <w:marTop w:val="0"/>
      <w:marBottom w:val="0"/>
      <w:divBdr>
        <w:top w:val="none" w:sz="0" w:space="0" w:color="auto"/>
        <w:left w:val="none" w:sz="0" w:space="0" w:color="auto"/>
        <w:bottom w:val="none" w:sz="0" w:space="0" w:color="auto"/>
        <w:right w:val="none" w:sz="0" w:space="0" w:color="auto"/>
      </w:divBdr>
    </w:div>
    <w:div w:id="1597056952">
      <w:bodyDiv w:val="1"/>
      <w:marLeft w:val="0"/>
      <w:marRight w:val="0"/>
      <w:marTop w:val="0"/>
      <w:marBottom w:val="0"/>
      <w:divBdr>
        <w:top w:val="none" w:sz="0" w:space="0" w:color="auto"/>
        <w:left w:val="none" w:sz="0" w:space="0" w:color="auto"/>
        <w:bottom w:val="none" w:sz="0" w:space="0" w:color="auto"/>
        <w:right w:val="none" w:sz="0" w:space="0" w:color="auto"/>
      </w:divBdr>
    </w:div>
    <w:div w:id="1597060051">
      <w:bodyDiv w:val="1"/>
      <w:marLeft w:val="0"/>
      <w:marRight w:val="0"/>
      <w:marTop w:val="0"/>
      <w:marBottom w:val="0"/>
      <w:divBdr>
        <w:top w:val="none" w:sz="0" w:space="0" w:color="auto"/>
        <w:left w:val="none" w:sz="0" w:space="0" w:color="auto"/>
        <w:bottom w:val="none" w:sz="0" w:space="0" w:color="auto"/>
        <w:right w:val="none" w:sz="0" w:space="0" w:color="auto"/>
      </w:divBdr>
    </w:div>
    <w:div w:id="1597203944">
      <w:bodyDiv w:val="1"/>
      <w:marLeft w:val="0"/>
      <w:marRight w:val="0"/>
      <w:marTop w:val="0"/>
      <w:marBottom w:val="0"/>
      <w:divBdr>
        <w:top w:val="none" w:sz="0" w:space="0" w:color="auto"/>
        <w:left w:val="none" w:sz="0" w:space="0" w:color="auto"/>
        <w:bottom w:val="none" w:sz="0" w:space="0" w:color="auto"/>
        <w:right w:val="none" w:sz="0" w:space="0" w:color="auto"/>
      </w:divBdr>
    </w:div>
    <w:div w:id="1597249454">
      <w:bodyDiv w:val="1"/>
      <w:marLeft w:val="0"/>
      <w:marRight w:val="0"/>
      <w:marTop w:val="0"/>
      <w:marBottom w:val="0"/>
      <w:divBdr>
        <w:top w:val="none" w:sz="0" w:space="0" w:color="auto"/>
        <w:left w:val="none" w:sz="0" w:space="0" w:color="auto"/>
        <w:bottom w:val="none" w:sz="0" w:space="0" w:color="auto"/>
        <w:right w:val="none" w:sz="0" w:space="0" w:color="auto"/>
      </w:divBdr>
    </w:div>
    <w:div w:id="1597329823">
      <w:bodyDiv w:val="1"/>
      <w:marLeft w:val="0"/>
      <w:marRight w:val="0"/>
      <w:marTop w:val="0"/>
      <w:marBottom w:val="0"/>
      <w:divBdr>
        <w:top w:val="none" w:sz="0" w:space="0" w:color="auto"/>
        <w:left w:val="none" w:sz="0" w:space="0" w:color="auto"/>
        <w:bottom w:val="none" w:sz="0" w:space="0" w:color="auto"/>
        <w:right w:val="none" w:sz="0" w:space="0" w:color="auto"/>
      </w:divBdr>
    </w:div>
    <w:div w:id="1597397112">
      <w:bodyDiv w:val="1"/>
      <w:marLeft w:val="0"/>
      <w:marRight w:val="0"/>
      <w:marTop w:val="0"/>
      <w:marBottom w:val="0"/>
      <w:divBdr>
        <w:top w:val="none" w:sz="0" w:space="0" w:color="auto"/>
        <w:left w:val="none" w:sz="0" w:space="0" w:color="auto"/>
        <w:bottom w:val="none" w:sz="0" w:space="0" w:color="auto"/>
        <w:right w:val="none" w:sz="0" w:space="0" w:color="auto"/>
      </w:divBdr>
    </w:div>
    <w:div w:id="1597441442">
      <w:bodyDiv w:val="1"/>
      <w:marLeft w:val="0"/>
      <w:marRight w:val="0"/>
      <w:marTop w:val="0"/>
      <w:marBottom w:val="0"/>
      <w:divBdr>
        <w:top w:val="none" w:sz="0" w:space="0" w:color="auto"/>
        <w:left w:val="none" w:sz="0" w:space="0" w:color="auto"/>
        <w:bottom w:val="none" w:sz="0" w:space="0" w:color="auto"/>
        <w:right w:val="none" w:sz="0" w:space="0" w:color="auto"/>
      </w:divBdr>
    </w:div>
    <w:div w:id="1597515839">
      <w:bodyDiv w:val="1"/>
      <w:marLeft w:val="0"/>
      <w:marRight w:val="0"/>
      <w:marTop w:val="0"/>
      <w:marBottom w:val="0"/>
      <w:divBdr>
        <w:top w:val="none" w:sz="0" w:space="0" w:color="auto"/>
        <w:left w:val="none" w:sz="0" w:space="0" w:color="auto"/>
        <w:bottom w:val="none" w:sz="0" w:space="0" w:color="auto"/>
        <w:right w:val="none" w:sz="0" w:space="0" w:color="auto"/>
      </w:divBdr>
    </w:div>
    <w:div w:id="1597595267">
      <w:bodyDiv w:val="1"/>
      <w:marLeft w:val="0"/>
      <w:marRight w:val="0"/>
      <w:marTop w:val="0"/>
      <w:marBottom w:val="0"/>
      <w:divBdr>
        <w:top w:val="none" w:sz="0" w:space="0" w:color="auto"/>
        <w:left w:val="none" w:sz="0" w:space="0" w:color="auto"/>
        <w:bottom w:val="none" w:sz="0" w:space="0" w:color="auto"/>
        <w:right w:val="none" w:sz="0" w:space="0" w:color="auto"/>
      </w:divBdr>
    </w:div>
    <w:div w:id="1597667888">
      <w:bodyDiv w:val="1"/>
      <w:marLeft w:val="0"/>
      <w:marRight w:val="0"/>
      <w:marTop w:val="0"/>
      <w:marBottom w:val="0"/>
      <w:divBdr>
        <w:top w:val="none" w:sz="0" w:space="0" w:color="auto"/>
        <w:left w:val="none" w:sz="0" w:space="0" w:color="auto"/>
        <w:bottom w:val="none" w:sz="0" w:space="0" w:color="auto"/>
        <w:right w:val="none" w:sz="0" w:space="0" w:color="auto"/>
      </w:divBdr>
    </w:div>
    <w:div w:id="1597668032">
      <w:bodyDiv w:val="1"/>
      <w:marLeft w:val="0"/>
      <w:marRight w:val="0"/>
      <w:marTop w:val="0"/>
      <w:marBottom w:val="0"/>
      <w:divBdr>
        <w:top w:val="none" w:sz="0" w:space="0" w:color="auto"/>
        <w:left w:val="none" w:sz="0" w:space="0" w:color="auto"/>
        <w:bottom w:val="none" w:sz="0" w:space="0" w:color="auto"/>
        <w:right w:val="none" w:sz="0" w:space="0" w:color="auto"/>
      </w:divBdr>
    </w:div>
    <w:div w:id="1597788811">
      <w:bodyDiv w:val="1"/>
      <w:marLeft w:val="0"/>
      <w:marRight w:val="0"/>
      <w:marTop w:val="0"/>
      <w:marBottom w:val="0"/>
      <w:divBdr>
        <w:top w:val="none" w:sz="0" w:space="0" w:color="auto"/>
        <w:left w:val="none" w:sz="0" w:space="0" w:color="auto"/>
        <w:bottom w:val="none" w:sz="0" w:space="0" w:color="auto"/>
        <w:right w:val="none" w:sz="0" w:space="0" w:color="auto"/>
      </w:divBdr>
    </w:div>
    <w:div w:id="1597791276">
      <w:bodyDiv w:val="1"/>
      <w:marLeft w:val="0"/>
      <w:marRight w:val="0"/>
      <w:marTop w:val="0"/>
      <w:marBottom w:val="0"/>
      <w:divBdr>
        <w:top w:val="none" w:sz="0" w:space="0" w:color="auto"/>
        <w:left w:val="none" w:sz="0" w:space="0" w:color="auto"/>
        <w:bottom w:val="none" w:sz="0" w:space="0" w:color="auto"/>
        <w:right w:val="none" w:sz="0" w:space="0" w:color="auto"/>
      </w:divBdr>
    </w:div>
    <w:div w:id="1597900553">
      <w:bodyDiv w:val="1"/>
      <w:marLeft w:val="0"/>
      <w:marRight w:val="0"/>
      <w:marTop w:val="0"/>
      <w:marBottom w:val="0"/>
      <w:divBdr>
        <w:top w:val="none" w:sz="0" w:space="0" w:color="auto"/>
        <w:left w:val="none" w:sz="0" w:space="0" w:color="auto"/>
        <w:bottom w:val="none" w:sz="0" w:space="0" w:color="auto"/>
        <w:right w:val="none" w:sz="0" w:space="0" w:color="auto"/>
      </w:divBdr>
    </w:div>
    <w:div w:id="1597903736">
      <w:bodyDiv w:val="1"/>
      <w:marLeft w:val="0"/>
      <w:marRight w:val="0"/>
      <w:marTop w:val="0"/>
      <w:marBottom w:val="0"/>
      <w:divBdr>
        <w:top w:val="none" w:sz="0" w:space="0" w:color="auto"/>
        <w:left w:val="none" w:sz="0" w:space="0" w:color="auto"/>
        <w:bottom w:val="none" w:sz="0" w:space="0" w:color="auto"/>
        <w:right w:val="none" w:sz="0" w:space="0" w:color="auto"/>
      </w:divBdr>
    </w:div>
    <w:div w:id="1597903770">
      <w:bodyDiv w:val="1"/>
      <w:marLeft w:val="0"/>
      <w:marRight w:val="0"/>
      <w:marTop w:val="0"/>
      <w:marBottom w:val="0"/>
      <w:divBdr>
        <w:top w:val="none" w:sz="0" w:space="0" w:color="auto"/>
        <w:left w:val="none" w:sz="0" w:space="0" w:color="auto"/>
        <w:bottom w:val="none" w:sz="0" w:space="0" w:color="auto"/>
        <w:right w:val="none" w:sz="0" w:space="0" w:color="auto"/>
      </w:divBdr>
    </w:div>
    <w:div w:id="1597907399">
      <w:bodyDiv w:val="1"/>
      <w:marLeft w:val="0"/>
      <w:marRight w:val="0"/>
      <w:marTop w:val="0"/>
      <w:marBottom w:val="0"/>
      <w:divBdr>
        <w:top w:val="none" w:sz="0" w:space="0" w:color="auto"/>
        <w:left w:val="none" w:sz="0" w:space="0" w:color="auto"/>
        <w:bottom w:val="none" w:sz="0" w:space="0" w:color="auto"/>
        <w:right w:val="none" w:sz="0" w:space="0" w:color="auto"/>
      </w:divBdr>
    </w:div>
    <w:div w:id="1598177224">
      <w:bodyDiv w:val="1"/>
      <w:marLeft w:val="0"/>
      <w:marRight w:val="0"/>
      <w:marTop w:val="0"/>
      <w:marBottom w:val="0"/>
      <w:divBdr>
        <w:top w:val="none" w:sz="0" w:space="0" w:color="auto"/>
        <w:left w:val="none" w:sz="0" w:space="0" w:color="auto"/>
        <w:bottom w:val="none" w:sz="0" w:space="0" w:color="auto"/>
        <w:right w:val="none" w:sz="0" w:space="0" w:color="auto"/>
      </w:divBdr>
    </w:div>
    <w:div w:id="1598247679">
      <w:bodyDiv w:val="1"/>
      <w:marLeft w:val="0"/>
      <w:marRight w:val="0"/>
      <w:marTop w:val="0"/>
      <w:marBottom w:val="0"/>
      <w:divBdr>
        <w:top w:val="none" w:sz="0" w:space="0" w:color="auto"/>
        <w:left w:val="none" w:sz="0" w:space="0" w:color="auto"/>
        <w:bottom w:val="none" w:sz="0" w:space="0" w:color="auto"/>
        <w:right w:val="none" w:sz="0" w:space="0" w:color="auto"/>
      </w:divBdr>
    </w:div>
    <w:div w:id="1598294956">
      <w:bodyDiv w:val="1"/>
      <w:marLeft w:val="0"/>
      <w:marRight w:val="0"/>
      <w:marTop w:val="0"/>
      <w:marBottom w:val="0"/>
      <w:divBdr>
        <w:top w:val="none" w:sz="0" w:space="0" w:color="auto"/>
        <w:left w:val="none" w:sz="0" w:space="0" w:color="auto"/>
        <w:bottom w:val="none" w:sz="0" w:space="0" w:color="auto"/>
        <w:right w:val="none" w:sz="0" w:space="0" w:color="auto"/>
      </w:divBdr>
    </w:div>
    <w:div w:id="1598368536">
      <w:bodyDiv w:val="1"/>
      <w:marLeft w:val="0"/>
      <w:marRight w:val="0"/>
      <w:marTop w:val="0"/>
      <w:marBottom w:val="0"/>
      <w:divBdr>
        <w:top w:val="none" w:sz="0" w:space="0" w:color="auto"/>
        <w:left w:val="none" w:sz="0" w:space="0" w:color="auto"/>
        <w:bottom w:val="none" w:sz="0" w:space="0" w:color="auto"/>
        <w:right w:val="none" w:sz="0" w:space="0" w:color="auto"/>
      </w:divBdr>
    </w:div>
    <w:div w:id="1598370346">
      <w:bodyDiv w:val="1"/>
      <w:marLeft w:val="0"/>
      <w:marRight w:val="0"/>
      <w:marTop w:val="0"/>
      <w:marBottom w:val="0"/>
      <w:divBdr>
        <w:top w:val="none" w:sz="0" w:space="0" w:color="auto"/>
        <w:left w:val="none" w:sz="0" w:space="0" w:color="auto"/>
        <w:bottom w:val="none" w:sz="0" w:space="0" w:color="auto"/>
        <w:right w:val="none" w:sz="0" w:space="0" w:color="auto"/>
      </w:divBdr>
    </w:div>
    <w:div w:id="1598708059">
      <w:bodyDiv w:val="1"/>
      <w:marLeft w:val="0"/>
      <w:marRight w:val="0"/>
      <w:marTop w:val="0"/>
      <w:marBottom w:val="0"/>
      <w:divBdr>
        <w:top w:val="none" w:sz="0" w:space="0" w:color="auto"/>
        <w:left w:val="none" w:sz="0" w:space="0" w:color="auto"/>
        <w:bottom w:val="none" w:sz="0" w:space="0" w:color="auto"/>
        <w:right w:val="none" w:sz="0" w:space="0" w:color="auto"/>
      </w:divBdr>
    </w:div>
    <w:div w:id="1598711484">
      <w:bodyDiv w:val="1"/>
      <w:marLeft w:val="0"/>
      <w:marRight w:val="0"/>
      <w:marTop w:val="0"/>
      <w:marBottom w:val="0"/>
      <w:divBdr>
        <w:top w:val="none" w:sz="0" w:space="0" w:color="auto"/>
        <w:left w:val="none" w:sz="0" w:space="0" w:color="auto"/>
        <w:bottom w:val="none" w:sz="0" w:space="0" w:color="auto"/>
        <w:right w:val="none" w:sz="0" w:space="0" w:color="auto"/>
      </w:divBdr>
    </w:div>
    <w:div w:id="1598714815">
      <w:bodyDiv w:val="1"/>
      <w:marLeft w:val="0"/>
      <w:marRight w:val="0"/>
      <w:marTop w:val="0"/>
      <w:marBottom w:val="0"/>
      <w:divBdr>
        <w:top w:val="none" w:sz="0" w:space="0" w:color="auto"/>
        <w:left w:val="none" w:sz="0" w:space="0" w:color="auto"/>
        <w:bottom w:val="none" w:sz="0" w:space="0" w:color="auto"/>
        <w:right w:val="none" w:sz="0" w:space="0" w:color="auto"/>
      </w:divBdr>
    </w:div>
    <w:div w:id="1598782227">
      <w:bodyDiv w:val="1"/>
      <w:marLeft w:val="0"/>
      <w:marRight w:val="0"/>
      <w:marTop w:val="0"/>
      <w:marBottom w:val="0"/>
      <w:divBdr>
        <w:top w:val="none" w:sz="0" w:space="0" w:color="auto"/>
        <w:left w:val="none" w:sz="0" w:space="0" w:color="auto"/>
        <w:bottom w:val="none" w:sz="0" w:space="0" w:color="auto"/>
        <w:right w:val="none" w:sz="0" w:space="0" w:color="auto"/>
      </w:divBdr>
    </w:div>
    <w:div w:id="1598827333">
      <w:bodyDiv w:val="1"/>
      <w:marLeft w:val="0"/>
      <w:marRight w:val="0"/>
      <w:marTop w:val="0"/>
      <w:marBottom w:val="0"/>
      <w:divBdr>
        <w:top w:val="none" w:sz="0" w:space="0" w:color="auto"/>
        <w:left w:val="none" w:sz="0" w:space="0" w:color="auto"/>
        <w:bottom w:val="none" w:sz="0" w:space="0" w:color="auto"/>
        <w:right w:val="none" w:sz="0" w:space="0" w:color="auto"/>
      </w:divBdr>
    </w:div>
    <w:div w:id="1598832983">
      <w:bodyDiv w:val="1"/>
      <w:marLeft w:val="0"/>
      <w:marRight w:val="0"/>
      <w:marTop w:val="0"/>
      <w:marBottom w:val="0"/>
      <w:divBdr>
        <w:top w:val="none" w:sz="0" w:space="0" w:color="auto"/>
        <w:left w:val="none" w:sz="0" w:space="0" w:color="auto"/>
        <w:bottom w:val="none" w:sz="0" w:space="0" w:color="auto"/>
        <w:right w:val="none" w:sz="0" w:space="0" w:color="auto"/>
      </w:divBdr>
    </w:div>
    <w:div w:id="1598901589">
      <w:bodyDiv w:val="1"/>
      <w:marLeft w:val="0"/>
      <w:marRight w:val="0"/>
      <w:marTop w:val="0"/>
      <w:marBottom w:val="0"/>
      <w:divBdr>
        <w:top w:val="none" w:sz="0" w:space="0" w:color="auto"/>
        <w:left w:val="none" w:sz="0" w:space="0" w:color="auto"/>
        <w:bottom w:val="none" w:sz="0" w:space="0" w:color="auto"/>
        <w:right w:val="none" w:sz="0" w:space="0" w:color="auto"/>
      </w:divBdr>
    </w:div>
    <w:div w:id="1598948710">
      <w:bodyDiv w:val="1"/>
      <w:marLeft w:val="0"/>
      <w:marRight w:val="0"/>
      <w:marTop w:val="0"/>
      <w:marBottom w:val="0"/>
      <w:divBdr>
        <w:top w:val="none" w:sz="0" w:space="0" w:color="auto"/>
        <w:left w:val="none" w:sz="0" w:space="0" w:color="auto"/>
        <w:bottom w:val="none" w:sz="0" w:space="0" w:color="auto"/>
        <w:right w:val="none" w:sz="0" w:space="0" w:color="auto"/>
      </w:divBdr>
    </w:div>
    <w:div w:id="1598949858">
      <w:bodyDiv w:val="1"/>
      <w:marLeft w:val="0"/>
      <w:marRight w:val="0"/>
      <w:marTop w:val="0"/>
      <w:marBottom w:val="0"/>
      <w:divBdr>
        <w:top w:val="none" w:sz="0" w:space="0" w:color="auto"/>
        <w:left w:val="none" w:sz="0" w:space="0" w:color="auto"/>
        <w:bottom w:val="none" w:sz="0" w:space="0" w:color="auto"/>
        <w:right w:val="none" w:sz="0" w:space="0" w:color="auto"/>
      </w:divBdr>
    </w:div>
    <w:div w:id="1599026533">
      <w:bodyDiv w:val="1"/>
      <w:marLeft w:val="0"/>
      <w:marRight w:val="0"/>
      <w:marTop w:val="0"/>
      <w:marBottom w:val="0"/>
      <w:divBdr>
        <w:top w:val="none" w:sz="0" w:space="0" w:color="auto"/>
        <w:left w:val="none" w:sz="0" w:space="0" w:color="auto"/>
        <w:bottom w:val="none" w:sz="0" w:space="0" w:color="auto"/>
        <w:right w:val="none" w:sz="0" w:space="0" w:color="auto"/>
      </w:divBdr>
    </w:div>
    <w:div w:id="1599175198">
      <w:bodyDiv w:val="1"/>
      <w:marLeft w:val="0"/>
      <w:marRight w:val="0"/>
      <w:marTop w:val="0"/>
      <w:marBottom w:val="0"/>
      <w:divBdr>
        <w:top w:val="none" w:sz="0" w:space="0" w:color="auto"/>
        <w:left w:val="none" w:sz="0" w:space="0" w:color="auto"/>
        <w:bottom w:val="none" w:sz="0" w:space="0" w:color="auto"/>
        <w:right w:val="none" w:sz="0" w:space="0" w:color="auto"/>
      </w:divBdr>
    </w:div>
    <w:div w:id="1599294511">
      <w:bodyDiv w:val="1"/>
      <w:marLeft w:val="0"/>
      <w:marRight w:val="0"/>
      <w:marTop w:val="0"/>
      <w:marBottom w:val="0"/>
      <w:divBdr>
        <w:top w:val="none" w:sz="0" w:space="0" w:color="auto"/>
        <w:left w:val="none" w:sz="0" w:space="0" w:color="auto"/>
        <w:bottom w:val="none" w:sz="0" w:space="0" w:color="auto"/>
        <w:right w:val="none" w:sz="0" w:space="0" w:color="auto"/>
      </w:divBdr>
    </w:div>
    <w:div w:id="1599483375">
      <w:bodyDiv w:val="1"/>
      <w:marLeft w:val="0"/>
      <w:marRight w:val="0"/>
      <w:marTop w:val="0"/>
      <w:marBottom w:val="0"/>
      <w:divBdr>
        <w:top w:val="none" w:sz="0" w:space="0" w:color="auto"/>
        <w:left w:val="none" w:sz="0" w:space="0" w:color="auto"/>
        <w:bottom w:val="none" w:sz="0" w:space="0" w:color="auto"/>
        <w:right w:val="none" w:sz="0" w:space="0" w:color="auto"/>
      </w:divBdr>
    </w:div>
    <w:div w:id="1599562404">
      <w:bodyDiv w:val="1"/>
      <w:marLeft w:val="0"/>
      <w:marRight w:val="0"/>
      <w:marTop w:val="0"/>
      <w:marBottom w:val="0"/>
      <w:divBdr>
        <w:top w:val="none" w:sz="0" w:space="0" w:color="auto"/>
        <w:left w:val="none" w:sz="0" w:space="0" w:color="auto"/>
        <w:bottom w:val="none" w:sz="0" w:space="0" w:color="auto"/>
        <w:right w:val="none" w:sz="0" w:space="0" w:color="auto"/>
      </w:divBdr>
    </w:div>
    <w:div w:id="1600024509">
      <w:bodyDiv w:val="1"/>
      <w:marLeft w:val="0"/>
      <w:marRight w:val="0"/>
      <w:marTop w:val="0"/>
      <w:marBottom w:val="0"/>
      <w:divBdr>
        <w:top w:val="none" w:sz="0" w:space="0" w:color="auto"/>
        <w:left w:val="none" w:sz="0" w:space="0" w:color="auto"/>
        <w:bottom w:val="none" w:sz="0" w:space="0" w:color="auto"/>
        <w:right w:val="none" w:sz="0" w:space="0" w:color="auto"/>
      </w:divBdr>
    </w:div>
    <w:div w:id="1600061834">
      <w:bodyDiv w:val="1"/>
      <w:marLeft w:val="0"/>
      <w:marRight w:val="0"/>
      <w:marTop w:val="0"/>
      <w:marBottom w:val="0"/>
      <w:divBdr>
        <w:top w:val="none" w:sz="0" w:space="0" w:color="auto"/>
        <w:left w:val="none" w:sz="0" w:space="0" w:color="auto"/>
        <w:bottom w:val="none" w:sz="0" w:space="0" w:color="auto"/>
        <w:right w:val="none" w:sz="0" w:space="0" w:color="auto"/>
      </w:divBdr>
    </w:div>
    <w:div w:id="1600135025">
      <w:bodyDiv w:val="1"/>
      <w:marLeft w:val="0"/>
      <w:marRight w:val="0"/>
      <w:marTop w:val="0"/>
      <w:marBottom w:val="0"/>
      <w:divBdr>
        <w:top w:val="none" w:sz="0" w:space="0" w:color="auto"/>
        <w:left w:val="none" w:sz="0" w:space="0" w:color="auto"/>
        <w:bottom w:val="none" w:sz="0" w:space="0" w:color="auto"/>
        <w:right w:val="none" w:sz="0" w:space="0" w:color="auto"/>
      </w:divBdr>
    </w:div>
    <w:div w:id="1600261747">
      <w:bodyDiv w:val="1"/>
      <w:marLeft w:val="0"/>
      <w:marRight w:val="0"/>
      <w:marTop w:val="0"/>
      <w:marBottom w:val="0"/>
      <w:divBdr>
        <w:top w:val="none" w:sz="0" w:space="0" w:color="auto"/>
        <w:left w:val="none" w:sz="0" w:space="0" w:color="auto"/>
        <w:bottom w:val="none" w:sz="0" w:space="0" w:color="auto"/>
        <w:right w:val="none" w:sz="0" w:space="0" w:color="auto"/>
      </w:divBdr>
    </w:div>
    <w:div w:id="1600290190">
      <w:bodyDiv w:val="1"/>
      <w:marLeft w:val="0"/>
      <w:marRight w:val="0"/>
      <w:marTop w:val="0"/>
      <w:marBottom w:val="0"/>
      <w:divBdr>
        <w:top w:val="none" w:sz="0" w:space="0" w:color="auto"/>
        <w:left w:val="none" w:sz="0" w:space="0" w:color="auto"/>
        <w:bottom w:val="none" w:sz="0" w:space="0" w:color="auto"/>
        <w:right w:val="none" w:sz="0" w:space="0" w:color="auto"/>
      </w:divBdr>
    </w:div>
    <w:div w:id="1600408244">
      <w:bodyDiv w:val="1"/>
      <w:marLeft w:val="0"/>
      <w:marRight w:val="0"/>
      <w:marTop w:val="0"/>
      <w:marBottom w:val="0"/>
      <w:divBdr>
        <w:top w:val="none" w:sz="0" w:space="0" w:color="auto"/>
        <w:left w:val="none" w:sz="0" w:space="0" w:color="auto"/>
        <w:bottom w:val="none" w:sz="0" w:space="0" w:color="auto"/>
        <w:right w:val="none" w:sz="0" w:space="0" w:color="auto"/>
      </w:divBdr>
    </w:div>
    <w:div w:id="1600409795">
      <w:bodyDiv w:val="1"/>
      <w:marLeft w:val="0"/>
      <w:marRight w:val="0"/>
      <w:marTop w:val="0"/>
      <w:marBottom w:val="0"/>
      <w:divBdr>
        <w:top w:val="none" w:sz="0" w:space="0" w:color="auto"/>
        <w:left w:val="none" w:sz="0" w:space="0" w:color="auto"/>
        <w:bottom w:val="none" w:sz="0" w:space="0" w:color="auto"/>
        <w:right w:val="none" w:sz="0" w:space="0" w:color="auto"/>
      </w:divBdr>
    </w:div>
    <w:div w:id="1600410654">
      <w:bodyDiv w:val="1"/>
      <w:marLeft w:val="0"/>
      <w:marRight w:val="0"/>
      <w:marTop w:val="0"/>
      <w:marBottom w:val="0"/>
      <w:divBdr>
        <w:top w:val="none" w:sz="0" w:space="0" w:color="auto"/>
        <w:left w:val="none" w:sz="0" w:space="0" w:color="auto"/>
        <w:bottom w:val="none" w:sz="0" w:space="0" w:color="auto"/>
        <w:right w:val="none" w:sz="0" w:space="0" w:color="auto"/>
      </w:divBdr>
    </w:div>
    <w:div w:id="1600455601">
      <w:bodyDiv w:val="1"/>
      <w:marLeft w:val="0"/>
      <w:marRight w:val="0"/>
      <w:marTop w:val="0"/>
      <w:marBottom w:val="0"/>
      <w:divBdr>
        <w:top w:val="none" w:sz="0" w:space="0" w:color="auto"/>
        <w:left w:val="none" w:sz="0" w:space="0" w:color="auto"/>
        <w:bottom w:val="none" w:sz="0" w:space="0" w:color="auto"/>
        <w:right w:val="none" w:sz="0" w:space="0" w:color="auto"/>
      </w:divBdr>
    </w:div>
    <w:div w:id="1600482558">
      <w:bodyDiv w:val="1"/>
      <w:marLeft w:val="0"/>
      <w:marRight w:val="0"/>
      <w:marTop w:val="0"/>
      <w:marBottom w:val="0"/>
      <w:divBdr>
        <w:top w:val="none" w:sz="0" w:space="0" w:color="auto"/>
        <w:left w:val="none" w:sz="0" w:space="0" w:color="auto"/>
        <w:bottom w:val="none" w:sz="0" w:space="0" w:color="auto"/>
        <w:right w:val="none" w:sz="0" w:space="0" w:color="auto"/>
      </w:divBdr>
    </w:div>
    <w:div w:id="1600486992">
      <w:bodyDiv w:val="1"/>
      <w:marLeft w:val="0"/>
      <w:marRight w:val="0"/>
      <w:marTop w:val="0"/>
      <w:marBottom w:val="0"/>
      <w:divBdr>
        <w:top w:val="none" w:sz="0" w:space="0" w:color="auto"/>
        <w:left w:val="none" w:sz="0" w:space="0" w:color="auto"/>
        <w:bottom w:val="none" w:sz="0" w:space="0" w:color="auto"/>
        <w:right w:val="none" w:sz="0" w:space="0" w:color="auto"/>
      </w:divBdr>
    </w:div>
    <w:div w:id="1600674595">
      <w:bodyDiv w:val="1"/>
      <w:marLeft w:val="0"/>
      <w:marRight w:val="0"/>
      <w:marTop w:val="0"/>
      <w:marBottom w:val="0"/>
      <w:divBdr>
        <w:top w:val="none" w:sz="0" w:space="0" w:color="auto"/>
        <w:left w:val="none" w:sz="0" w:space="0" w:color="auto"/>
        <w:bottom w:val="none" w:sz="0" w:space="0" w:color="auto"/>
        <w:right w:val="none" w:sz="0" w:space="0" w:color="auto"/>
      </w:divBdr>
    </w:div>
    <w:div w:id="1600794919">
      <w:bodyDiv w:val="1"/>
      <w:marLeft w:val="0"/>
      <w:marRight w:val="0"/>
      <w:marTop w:val="0"/>
      <w:marBottom w:val="0"/>
      <w:divBdr>
        <w:top w:val="none" w:sz="0" w:space="0" w:color="auto"/>
        <w:left w:val="none" w:sz="0" w:space="0" w:color="auto"/>
        <w:bottom w:val="none" w:sz="0" w:space="0" w:color="auto"/>
        <w:right w:val="none" w:sz="0" w:space="0" w:color="auto"/>
      </w:divBdr>
    </w:div>
    <w:div w:id="1600917001">
      <w:bodyDiv w:val="1"/>
      <w:marLeft w:val="0"/>
      <w:marRight w:val="0"/>
      <w:marTop w:val="0"/>
      <w:marBottom w:val="0"/>
      <w:divBdr>
        <w:top w:val="none" w:sz="0" w:space="0" w:color="auto"/>
        <w:left w:val="none" w:sz="0" w:space="0" w:color="auto"/>
        <w:bottom w:val="none" w:sz="0" w:space="0" w:color="auto"/>
        <w:right w:val="none" w:sz="0" w:space="0" w:color="auto"/>
      </w:divBdr>
    </w:div>
    <w:div w:id="1600984008">
      <w:bodyDiv w:val="1"/>
      <w:marLeft w:val="0"/>
      <w:marRight w:val="0"/>
      <w:marTop w:val="0"/>
      <w:marBottom w:val="0"/>
      <w:divBdr>
        <w:top w:val="none" w:sz="0" w:space="0" w:color="auto"/>
        <w:left w:val="none" w:sz="0" w:space="0" w:color="auto"/>
        <w:bottom w:val="none" w:sz="0" w:space="0" w:color="auto"/>
        <w:right w:val="none" w:sz="0" w:space="0" w:color="auto"/>
      </w:divBdr>
    </w:div>
    <w:div w:id="1601062162">
      <w:bodyDiv w:val="1"/>
      <w:marLeft w:val="0"/>
      <w:marRight w:val="0"/>
      <w:marTop w:val="0"/>
      <w:marBottom w:val="0"/>
      <w:divBdr>
        <w:top w:val="none" w:sz="0" w:space="0" w:color="auto"/>
        <w:left w:val="none" w:sz="0" w:space="0" w:color="auto"/>
        <w:bottom w:val="none" w:sz="0" w:space="0" w:color="auto"/>
        <w:right w:val="none" w:sz="0" w:space="0" w:color="auto"/>
      </w:divBdr>
    </w:div>
    <w:div w:id="1601067545">
      <w:bodyDiv w:val="1"/>
      <w:marLeft w:val="0"/>
      <w:marRight w:val="0"/>
      <w:marTop w:val="0"/>
      <w:marBottom w:val="0"/>
      <w:divBdr>
        <w:top w:val="none" w:sz="0" w:space="0" w:color="auto"/>
        <w:left w:val="none" w:sz="0" w:space="0" w:color="auto"/>
        <w:bottom w:val="none" w:sz="0" w:space="0" w:color="auto"/>
        <w:right w:val="none" w:sz="0" w:space="0" w:color="auto"/>
      </w:divBdr>
    </w:div>
    <w:div w:id="1601177763">
      <w:bodyDiv w:val="1"/>
      <w:marLeft w:val="0"/>
      <w:marRight w:val="0"/>
      <w:marTop w:val="0"/>
      <w:marBottom w:val="0"/>
      <w:divBdr>
        <w:top w:val="none" w:sz="0" w:space="0" w:color="auto"/>
        <w:left w:val="none" w:sz="0" w:space="0" w:color="auto"/>
        <w:bottom w:val="none" w:sz="0" w:space="0" w:color="auto"/>
        <w:right w:val="none" w:sz="0" w:space="0" w:color="auto"/>
      </w:divBdr>
    </w:div>
    <w:div w:id="1601182773">
      <w:bodyDiv w:val="1"/>
      <w:marLeft w:val="0"/>
      <w:marRight w:val="0"/>
      <w:marTop w:val="0"/>
      <w:marBottom w:val="0"/>
      <w:divBdr>
        <w:top w:val="none" w:sz="0" w:space="0" w:color="auto"/>
        <w:left w:val="none" w:sz="0" w:space="0" w:color="auto"/>
        <w:bottom w:val="none" w:sz="0" w:space="0" w:color="auto"/>
        <w:right w:val="none" w:sz="0" w:space="0" w:color="auto"/>
      </w:divBdr>
    </w:div>
    <w:div w:id="1601183809">
      <w:bodyDiv w:val="1"/>
      <w:marLeft w:val="0"/>
      <w:marRight w:val="0"/>
      <w:marTop w:val="0"/>
      <w:marBottom w:val="0"/>
      <w:divBdr>
        <w:top w:val="none" w:sz="0" w:space="0" w:color="auto"/>
        <w:left w:val="none" w:sz="0" w:space="0" w:color="auto"/>
        <w:bottom w:val="none" w:sz="0" w:space="0" w:color="auto"/>
        <w:right w:val="none" w:sz="0" w:space="0" w:color="auto"/>
      </w:divBdr>
    </w:div>
    <w:div w:id="1601257743">
      <w:bodyDiv w:val="1"/>
      <w:marLeft w:val="0"/>
      <w:marRight w:val="0"/>
      <w:marTop w:val="0"/>
      <w:marBottom w:val="0"/>
      <w:divBdr>
        <w:top w:val="none" w:sz="0" w:space="0" w:color="auto"/>
        <w:left w:val="none" w:sz="0" w:space="0" w:color="auto"/>
        <w:bottom w:val="none" w:sz="0" w:space="0" w:color="auto"/>
        <w:right w:val="none" w:sz="0" w:space="0" w:color="auto"/>
      </w:divBdr>
    </w:div>
    <w:div w:id="1601258809">
      <w:bodyDiv w:val="1"/>
      <w:marLeft w:val="0"/>
      <w:marRight w:val="0"/>
      <w:marTop w:val="0"/>
      <w:marBottom w:val="0"/>
      <w:divBdr>
        <w:top w:val="none" w:sz="0" w:space="0" w:color="auto"/>
        <w:left w:val="none" w:sz="0" w:space="0" w:color="auto"/>
        <w:bottom w:val="none" w:sz="0" w:space="0" w:color="auto"/>
        <w:right w:val="none" w:sz="0" w:space="0" w:color="auto"/>
      </w:divBdr>
    </w:div>
    <w:div w:id="1601334435">
      <w:bodyDiv w:val="1"/>
      <w:marLeft w:val="0"/>
      <w:marRight w:val="0"/>
      <w:marTop w:val="0"/>
      <w:marBottom w:val="0"/>
      <w:divBdr>
        <w:top w:val="none" w:sz="0" w:space="0" w:color="auto"/>
        <w:left w:val="none" w:sz="0" w:space="0" w:color="auto"/>
        <w:bottom w:val="none" w:sz="0" w:space="0" w:color="auto"/>
        <w:right w:val="none" w:sz="0" w:space="0" w:color="auto"/>
      </w:divBdr>
    </w:div>
    <w:div w:id="1601376564">
      <w:bodyDiv w:val="1"/>
      <w:marLeft w:val="0"/>
      <w:marRight w:val="0"/>
      <w:marTop w:val="0"/>
      <w:marBottom w:val="0"/>
      <w:divBdr>
        <w:top w:val="none" w:sz="0" w:space="0" w:color="auto"/>
        <w:left w:val="none" w:sz="0" w:space="0" w:color="auto"/>
        <w:bottom w:val="none" w:sz="0" w:space="0" w:color="auto"/>
        <w:right w:val="none" w:sz="0" w:space="0" w:color="auto"/>
      </w:divBdr>
    </w:div>
    <w:div w:id="1601598100">
      <w:bodyDiv w:val="1"/>
      <w:marLeft w:val="0"/>
      <w:marRight w:val="0"/>
      <w:marTop w:val="0"/>
      <w:marBottom w:val="0"/>
      <w:divBdr>
        <w:top w:val="none" w:sz="0" w:space="0" w:color="auto"/>
        <w:left w:val="none" w:sz="0" w:space="0" w:color="auto"/>
        <w:bottom w:val="none" w:sz="0" w:space="0" w:color="auto"/>
        <w:right w:val="none" w:sz="0" w:space="0" w:color="auto"/>
      </w:divBdr>
    </w:div>
    <w:div w:id="1601642933">
      <w:bodyDiv w:val="1"/>
      <w:marLeft w:val="0"/>
      <w:marRight w:val="0"/>
      <w:marTop w:val="0"/>
      <w:marBottom w:val="0"/>
      <w:divBdr>
        <w:top w:val="none" w:sz="0" w:space="0" w:color="auto"/>
        <w:left w:val="none" w:sz="0" w:space="0" w:color="auto"/>
        <w:bottom w:val="none" w:sz="0" w:space="0" w:color="auto"/>
        <w:right w:val="none" w:sz="0" w:space="0" w:color="auto"/>
      </w:divBdr>
    </w:div>
    <w:div w:id="1601716471">
      <w:bodyDiv w:val="1"/>
      <w:marLeft w:val="0"/>
      <w:marRight w:val="0"/>
      <w:marTop w:val="0"/>
      <w:marBottom w:val="0"/>
      <w:divBdr>
        <w:top w:val="none" w:sz="0" w:space="0" w:color="auto"/>
        <w:left w:val="none" w:sz="0" w:space="0" w:color="auto"/>
        <w:bottom w:val="none" w:sz="0" w:space="0" w:color="auto"/>
        <w:right w:val="none" w:sz="0" w:space="0" w:color="auto"/>
      </w:divBdr>
    </w:div>
    <w:div w:id="1601789565">
      <w:bodyDiv w:val="1"/>
      <w:marLeft w:val="0"/>
      <w:marRight w:val="0"/>
      <w:marTop w:val="0"/>
      <w:marBottom w:val="0"/>
      <w:divBdr>
        <w:top w:val="none" w:sz="0" w:space="0" w:color="auto"/>
        <w:left w:val="none" w:sz="0" w:space="0" w:color="auto"/>
        <w:bottom w:val="none" w:sz="0" w:space="0" w:color="auto"/>
        <w:right w:val="none" w:sz="0" w:space="0" w:color="auto"/>
      </w:divBdr>
    </w:div>
    <w:div w:id="1601791916">
      <w:bodyDiv w:val="1"/>
      <w:marLeft w:val="0"/>
      <w:marRight w:val="0"/>
      <w:marTop w:val="0"/>
      <w:marBottom w:val="0"/>
      <w:divBdr>
        <w:top w:val="none" w:sz="0" w:space="0" w:color="auto"/>
        <w:left w:val="none" w:sz="0" w:space="0" w:color="auto"/>
        <w:bottom w:val="none" w:sz="0" w:space="0" w:color="auto"/>
        <w:right w:val="none" w:sz="0" w:space="0" w:color="auto"/>
      </w:divBdr>
    </w:div>
    <w:div w:id="1601831791">
      <w:bodyDiv w:val="1"/>
      <w:marLeft w:val="0"/>
      <w:marRight w:val="0"/>
      <w:marTop w:val="0"/>
      <w:marBottom w:val="0"/>
      <w:divBdr>
        <w:top w:val="none" w:sz="0" w:space="0" w:color="auto"/>
        <w:left w:val="none" w:sz="0" w:space="0" w:color="auto"/>
        <w:bottom w:val="none" w:sz="0" w:space="0" w:color="auto"/>
        <w:right w:val="none" w:sz="0" w:space="0" w:color="auto"/>
      </w:divBdr>
    </w:div>
    <w:div w:id="1601910760">
      <w:bodyDiv w:val="1"/>
      <w:marLeft w:val="0"/>
      <w:marRight w:val="0"/>
      <w:marTop w:val="0"/>
      <w:marBottom w:val="0"/>
      <w:divBdr>
        <w:top w:val="none" w:sz="0" w:space="0" w:color="auto"/>
        <w:left w:val="none" w:sz="0" w:space="0" w:color="auto"/>
        <w:bottom w:val="none" w:sz="0" w:space="0" w:color="auto"/>
        <w:right w:val="none" w:sz="0" w:space="0" w:color="auto"/>
      </w:divBdr>
    </w:div>
    <w:div w:id="1602032661">
      <w:bodyDiv w:val="1"/>
      <w:marLeft w:val="0"/>
      <w:marRight w:val="0"/>
      <w:marTop w:val="0"/>
      <w:marBottom w:val="0"/>
      <w:divBdr>
        <w:top w:val="none" w:sz="0" w:space="0" w:color="auto"/>
        <w:left w:val="none" w:sz="0" w:space="0" w:color="auto"/>
        <w:bottom w:val="none" w:sz="0" w:space="0" w:color="auto"/>
        <w:right w:val="none" w:sz="0" w:space="0" w:color="auto"/>
      </w:divBdr>
    </w:div>
    <w:div w:id="1602252091">
      <w:bodyDiv w:val="1"/>
      <w:marLeft w:val="0"/>
      <w:marRight w:val="0"/>
      <w:marTop w:val="0"/>
      <w:marBottom w:val="0"/>
      <w:divBdr>
        <w:top w:val="none" w:sz="0" w:space="0" w:color="auto"/>
        <w:left w:val="none" w:sz="0" w:space="0" w:color="auto"/>
        <w:bottom w:val="none" w:sz="0" w:space="0" w:color="auto"/>
        <w:right w:val="none" w:sz="0" w:space="0" w:color="auto"/>
      </w:divBdr>
    </w:div>
    <w:div w:id="1602254014">
      <w:bodyDiv w:val="1"/>
      <w:marLeft w:val="0"/>
      <w:marRight w:val="0"/>
      <w:marTop w:val="0"/>
      <w:marBottom w:val="0"/>
      <w:divBdr>
        <w:top w:val="none" w:sz="0" w:space="0" w:color="auto"/>
        <w:left w:val="none" w:sz="0" w:space="0" w:color="auto"/>
        <w:bottom w:val="none" w:sz="0" w:space="0" w:color="auto"/>
        <w:right w:val="none" w:sz="0" w:space="0" w:color="auto"/>
      </w:divBdr>
    </w:div>
    <w:div w:id="1602298140">
      <w:bodyDiv w:val="1"/>
      <w:marLeft w:val="0"/>
      <w:marRight w:val="0"/>
      <w:marTop w:val="0"/>
      <w:marBottom w:val="0"/>
      <w:divBdr>
        <w:top w:val="none" w:sz="0" w:space="0" w:color="auto"/>
        <w:left w:val="none" w:sz="0" w:space="0" w:color="auto"/>
        <w:bottom w:val="none" w:sz="0" w:space="0" w:color="auto"/>
        <w:right w:val="none" w:sz="0" w:space="0" w:color="auto"/>
      </w:divBdr>
    </w:div>
    <w:div w:id="1602298736">
      <w:bodyDiv w:val="1"/>
      <w:marLeft w:val="0"/>
      <w:marRight w:val="0"/>
      <w:marTop w:val="0"/>
      <w:marBottom w:val="0"/>
      <w:divBdr>
        <w:top w:val="none" w:sz="0" w:space="0" w:color="auto"/>
        <w:left w:val="none" w:sz="0" w:space="0" w:color="auto"/>
        <w:bottom w:val="none" w:sz="0" w:space="0" w:color="auto"/>
        <w:right w:val="none" w:sz="0" w:space="0" w:color="auto"/>
      </w:divBdr>
    </w:div>
    <w:div w:id="1602376921">
      <w:bodyDiv w:val="1"/>
      <w:marLeft w:val="0"/>
      <w:marRight w:val="0"/>
      <w:marTop w:val="0"/>
      <w:marBottom w:val="0"/>
      <w:divBdr>
        <w:top w:val="none" w:sz="0" w:space="0" w:color="auto"/>
        <w:left w:val="none" w:sz="0" w:space="0" w:color="auto"/>
        <w:bottom w:val="none" w:sz="0" w:space="0" w:color="auto"/>
        <w:right w:val="none" w:sz="0" w:space="0" w:color="auto"/>
      </w:divBdr>
    </w:div>
    <w:div w:id="1602378692">
      <w:bodyDiv w:val="1"/>
      <w:marLeft w:val="0"/>
      <w:marRight w:val="0"/>
      <w:marTop w:val="0"/>
      <w:marBottom w:val="0"/>
      <w:divBdr>
        <w:top w:val="none" w:sz="0" w:space="0" w:color="auto"/>
        <w:left w:val="none" w:sz="0" w:space="0" w:color="auto"/>
        <w:bottom w:val="none" w:sz="0" w:space="0" w:color="auto"/>
        <w:right w:val="none" w:sz="0" w:space="0" w:color="auto"/>
      </w:divBdr>
    </w:div>
    <w:div w:id="1602450246">
      <w:bodyDiv w:val="1"/>
      <w:marLeft w:val="0"/>
      <w:marRight w:val="0"/>
      <w:marTop w:val="0"/>
      <w:marBottom w:val="0"/>
      <w:divBdr>
        <w:top w:val="none" w:sz="0" w:space="0" w:color="auto"/>
        <w:left w:val="none" w:sz="0" w:space="0" w:color="auto"/>
        <w:bottom w:val="none" w:sz="0" w:space="0" w:color="auto"/>
        <w:right w:val="none" w:sz="0" w:space="0" w:color="auto"/>
      </w:divBdr>
    </w:div>
    <w:div w:id="1602493215">
      <w:bodyDiv w:val="1"/>
      <w:marLeft w:val="0"/>
      <w:marRight w:val="0"/>
      <w:marTop w:val="0"/>
      <w:marBottom w:val="0"/>
      <w:divBdr>
        <w:top w:val="none" w:sz="0" w:space="0" w:color="auto"/>
        <w:left w:val="none" w:sz="0" w:space="0" w:color="auto"/>
        <w:bottom w:val="none" w:sz="0" w:space="0" w:color="auto"/>
        <w:right w:val="none" w:sz="0" w:space="0" w:color="auto"/>
      </w:divBdr>
    </w:div>
    <w:div w:id="1602570131">
      <w:bodyDiv w:val="1"/>
      <w:marLeft w:val="0"/>
      <w:marRight w:val="0"/>
      <w:marTop w:val="0"/>
      <w:marBottom w:val="0"/>
      <w:divBdr>
        <w:top w:val="none" w:sz="0" w:space="0" w:color="auto"/>
        <w:left w:val="none" w:sz="0" w:space="0" w:color="auto"/>
        <w:bottom w:val="none" w:sz="0" w:space="0" w:color="auto"/>
        <w:right w:val="none" w:sz="0" w:space="0" w:color="auto"/>
      </w:divBdr>
    </w:div>
    <w:div w:id="1602572110">
      <w:bodyDiv w:val="1"/>
      <w:marLeft w:val="0"/>
      <w:marRight w:val="0"/>
      <w:marTop w:val="0"/>
      <w:marBottom w:val="0"/>
      <w:divBdr>
        <w:top w:val="none" w:sz="0" w:space="0" w:color="auto"/>
        <w:left w:val="none" w:sz="0" w:space="0" w:color="auto"/>
        <w:bottom w:val="none" w:sz="0" w:space="0" w:color="auto"/>
        <w:right w:val="none" w:sz="0" w:space="0" w:color="auto"/>
      </w:divBdr>
    </w:div>
    <w:div w:id="1602684058">
      <w:bodyDiv w:val="1"/>
      <w:marLeft w:val="0"/>
      <w:marRight w:val="0"/>
      <w:marTop w:val="0"/>
      <w:marBottom w:val="0"/>
      <w:divBdr>
        <w:top w:val="none" w:sz="0" w:space="0" w:color="auto"/>
        <w:left w:val="none" w:sz="0" w:space="0" w:color="auto"/>
        <w:bottom w:val="none" w:sz="0" w:space="0" w:color="auto"/>
        <w:right w:val="none" w:sz="0" w:space="0" w:color="auto"/>
      </w:divBdr>
    </w:div>
    <w:div w:id="1602715278">
      <w:bodyDiv w:val="1"/>
      <w:marLeft w:val="0"/>
      <w:marRight w:val="0"/>
      <w:marTop w:val="0"/>
      <w:marBottom w:val="0"/>
      <w:divBdr>
        <w:top w:val="none" w:sz="0" w:space="0" w:color="auto"/>
        <w:left w:val="none" w:sz="0" w:space="0" w:color="auto"/>
        <w:bottom w:val="none" w:sz="0" w:space="0" w:color="auto"/>
        <w:right w:val="none" w:sz="0" w:space="0" w:color="auto"/>
      </w:divBdr>
    </w:div>
    <w:div w:id="1602951868">
      <w:bodyDiv w:val="1"/>
      <w:marLeft w:val="0"/>
      <w:marRight w:val="0"/>
      <w:marTop w:val="0"/>
      <w:marBottom w:val="0"/>
      <w:divBdr>
        <w:top w:val="none" w:sz="0" w:space="0" w:color="auto"/>
        <w:left w:val="none" w:sz="0" w:space="0" w:color="auto"/>
        <w:bottom w:val="none" w:sz="0" w:space="0" w:color="auto"/>
        <w:right w:val="none" w:sz="0" w:space="0" w:color="auto"/>
      </w:divBdr>
    </w:div>
    <w:div w:id="1603026781">
      <w:bodyDiv w:val="1"/>
      <w:marLeft w:val="0"/>
      <w:marRight w:val="0"/>
      <w:marTop w:val="0"/>
      <w:marBottom w:val="0"/>
      <w:divBdr>
        <w:top w:val="none" w:sz="0" w:space="0" w:color="auto"/>
        <w:left w:val="none" w:sz="0" w:space="0" w:color="auto"/>
        <w:bottom w:val="none" w:sz="0" w:space="0" w:color="auto"/>
        <w:right w:val="none" w:sz="0" w:space="0" w:color="auto"/>
      </w:divBdr>
    </w:div>
    <w:div w:id="1603100440">
      <w:bodyDiv w:val="1"/>
      <w:marLeft w:val="0"/>
      <w:marRight w:val="0"/>
      <w:marTop w:val="0"/>
      <w:marBottom w:val="0"/>
      <w:divBdr>
        <w:top w:val="none" w:sz="0" w:space="0" w:color="auto"/>
        <w:left w:val="none" w:sz="0" w:space="0" w:color="auto"/>
        <w:bottom w:val="none" w:sz="0" w:space="0" w:color="auto"/>
        <w:right w:val="none" w:sz="0" w:space="0" w:color="auto"/>
      </w:divBdr>
    </w:div>
    <w:div w:id="1603100799">
      <w:bodyDiv w:val="1"/>
      <w:marLeft w:val="0"/>
      <w:marRight w:val="0"/>
      <w:marTop w:val="0"/>
      <w:marBottom w:val="0"/>
      <w:divBdr>
        <w:top w:val="none" w:sz="0" w:space="0" w:color="auto"/>
        <w:left w:val="none" w:sz="0" w:space="0" w:color="auto"/>
        <w:bottom w:val="none" w:sz="0" w:space="0" w:color="auto"/>
        <w:right w:val="none" w:sz="0" w:space="0" w:color="auto"/>
      </w:divBdr>
    </w:div>
    <w:div w:id="1603102177">
      <w:bodyDiv w:val="1"/>
      <w:marLeft w:val="0"/>
      <w:marRight w:val="0"/>
      <w:marTop w:val="0"/>
      <w:marBottom w:val="0"/>
      <w:divBdr>
        <w:top w:val="none" w:sz="0" w:space="0" w:color="auto"/>
        <w:left w:val="none" w:sz="0" w:space="0" w:color="auto"/>
        <w:bottom w:val="none" w:sz="0" w:space="0" w:color="auto"/>
        <w:right w:val="none" w:sz="0" w:space="0" w:color="auto"/>
      </w:divBdr>
    </w:div>
    <w:div w:id="1603103999">
      <w:bodyDiv w:val="1"/>
      <w:marLeft w:val="0"/>
      <w:marRight w:val="0"/>
      <w:marTop w:val="0"/>
      <w:marBottom w:val="0"/>
      <w:divBdr>
        <w:top w:val="none" w:sz="0" w:space="0" w:color="auto"/>
        <w:left w:val="none" w:sz="0" w:space="0" w:color="auto"/>
        <w:bottom w:val="none" w:sz="0" w:space="0" w:color="auto"/>
        <w:right w:val="none" w:sz="0" w:space="0" w:color="auto"/>
      </w:divBdr>
    </w:div>
    <w:div w:id="1603218603">
      <w:bodyDiv w:val="1"/>
      <w:marLeft w:val="0"/>
      <w:marRight w:val="0"/>
      <w:marTop w:val="0"/>
      <w:marBottom w:val="0"/>
      <w:divBdr>
        <w:top w:val="none" w:sz="0" w:space="0" w:color="auto"/>
        <w:left w:val="none" w:sz="0" w:space="0" w:color="auto"/>
        <w:bottom w:val="none" w:sz="0" w:space="0" w:color="auto"/>
        <w:right w:val="none" w:sz="0" w:space="0" w:color="auto"/>
      </w:divBdr>
    </w:div>
    <w:div w:id="1603296691">
      <w:bodyDiv w:val="1"/>
      <w:marLeft w:val="0"/>
      <w:marRight w:val="0"/>
      <w:marTop w:val="0"/>
      <w:marBottom w:val="0"/>
      <w:divBdr>
        <w:top w:val="none" w:sz="0" w:space="0" w:color="auto"/>
        <w:left w:val="none" w:sz="0" w:space="0" w:color="auto"/>
        <w:bottom w:val="none" w:sz="0" w:space="0" w:color="auto"/>
        <w:right w:val="none" w:sz="0" w:space="0" w:color="auto"/>
      </w:divBdr>
    </w:div>
    <w:div w:id="1603298713">
      <w:bodyDiv w:val="1"/>
      <w:marLeft w:val="0"/>
      <w:marRight w:val="0"/>
      <w:marTop w:val="0"/>
      <w:marBottom w:val="0"/>
      <w:divBdr>
        <w:top w:val="none" w:sz="0" w:space="0" w:color="auto"/>
        <w:left w:val="none" w:sz="0" w:space="0" w:color="auto"/>
        <w:bottom w:val="none" w:sz="0" w:space="0" w:color="auto"/>
        <w:right w:val="none" w:sz="0" w:space="0" w:color="auto"/>
      </w:divBdr>
    </w:div>
    <w:div w:id="1603298740">
      <w:bodyDiv w:val="1"/>
      <w:marLeft w:val="0"/>
      <w:marRight w:val="0"/>
      <w:marTop w:val="0"/>
      <w:marBottom w:val="0"/>
      <w:divBdr>
        <w:top w:val="none" w:sz="0" w:space="0" w:color="auto"/>
        <w:left w:val="none" w:sz="0" w:space="0" w:color="auto"/>
        <w:bottom w:val="none" w:sz="0" w:space="0" w:color="auto"/>
        <w:right w:val="none" w:sz="0" w:space="0" w:color="auto"/>
      </w:divBdr>
    </w:div>
    <w:div w:id="1603299937">
      <w:bodyDiv w:val="1"/>
      <w:marLeft w:val="0"/>
      <w:marRight w:val="0"/>
      <w:marTop w:val="0"/>
      <w:marBottom w:val="0"/>
      <w:divBdr>
        <w:top w:val="none" w:sz="0" w:space="0" w:color="auto"/>
        <w:left w:val="none" w:sz="0" w:space="0" w:color="auto"/>
        <w:bottom w:val="none" w:sz="0" w:space="0" w:color="auto"/>
        <w:right w:val="none" w:sz="0" w:space="0" w:color="auto"/>
      </w:divBdr>
    </w:div>
    <w:div w:id="1603301578">
      <w:bodyDiv w:val="1"/>
      <w:marLeft w:val="0"/>
      <w:marRight w:val="0"/>
      <w:marTop w:val="0"/>
      <w:marBottom w:val="0"/>
      <w:divBdr>
        <w:top w:val="none" w:sz="0" w:space="0" w:color="auto"/>
        <w:left w:val="none" w:sz="0" w:space="0" w:color="auto"/>
        <w:bottom w:val="none" w:sz="0" w:space="0" w:color="auto"/>
        <w:right w:val="none" w:sz="0" w:space="0" w:color="auto"/>
      </w:divBdr>
    </w:div>
    <w:div w:id="1603343035">
      <w:bodyDiv w:val="1"/>
      <w:marLeft w:val="0"/>
      <w:marRight w:val="0"/>
      <w:marTop w:val="0"/>
      <w:marBottom w:val="0"/>
      <w:divBdr>
        <w:top w:val="none" w:sz="0" w:space="0" w:color="auto"/>
        <w:left w:val="none" w:sz="0" w:space="0" w:color="auto"/>
        <w:bottom w:val="none" w:sz="0" w:space="0" w:color="auto"/>
        <w:right w:val="none" w:sz="0" w:space="0" w:color="auto"/>
      </w:divBdr>
    </w:div>
    <w:div w:id="1603370010">
      <w:bodyDiv w:val="1"/>
      <w:marLeft w:val="0"/>
      <w:marRight w:val="0"/>
      <w:marTop w:val="0"/>
      <w:marBottom w:val="0"/>
      <w:divBdr>
        <w:top w:val="none" w:sz="0" w:space="0" w:color="auto"/>
        <w:left w:val="none" w:sz="0" w:space="0" w:color="auto"/>
        <w:bottom w:val="none" w:sz="0" w:space="0" w:color="auto"/>
        <w:right w:val="none" w:sz="0" w:space="0" w:color="auto"/>
      </w:divBdr>
    </w:div>
    <w:div w:id="1603535015">
      <w:bodyDiv w:val="1"/>
      <w:marLeft w:val="0"/>
      <w:marRight w:val="0"/>
      <w:marTop w:val="0"/>
      <w:marBottom w:val="0"/>
      <w:divBdr>
        <w:top w:val="none" w:sz="0" w:space="0" w:color="auto"/>
        <w:left w:val="none" w:sz="0" w:space="0" w:color="auto"/>
        <w:bottom w:val="none" w:sz="0" w:space="0" w:color="auto"/>
        <w:right w:val="none" w:sz="0" w:space="0" w:color="auto"/>
      </w:divBdr>
    </w:div>
    <w:div w:id="1603561781">
      <w:bodyDiv w:val="1"/>
      <w:marLeft w:val="0"/>
      <w:marRight w:val="0"/>
      <w:marTop w:val="0"/>
      <w:marBottom w:val="0"/>
      <w:divBdr>
        <w:top w:val="none" w:sz="0" w:space="0" w:color="auto"/>
        <w:left w:val="none" w:sz="0" w:space="0" w:color="auto"/>
        <w:bottom w:val="none" w:sz="0" w:space="0" w:color="auto"/>
        <w:right w:val="none" w:sz="0" w:space="0" w:color="auto"/>
      </w:divBdr>
    </w:div>
    <w:div w:id="1603610471">
      <w:bodyDiv w:val="1"/>
      <w:marLeft w:val="0"/>
      <w:marRight w:val="0"/>
      <w:marTop w:val="0"/>
      <w:marBottom w:val="0"/>
      <w:divBdr>
        <w:top w:val="none" w:sz="0" w:space="0" w:color="auto"/>
        <w:left w:val="none" w:sz="0" w:space="0" w:color="auto"/>
        <w:bottom w:val="none" w:sz="0" w:space="0" w:color="auto"/>
        <w:right w:val="none" w:sz="0" w:space="0" w:color="auto"/>
      </w:divBdr>
    </w:div>
    <w:div w:id="1603805700">
      <w:bodyDiv w:val="1"/>
      <w:marLeft w:val="0"/>
      <w:marRight w:val="0"/>
      <w:marTop w:val="0"/>
      <w:marBottom w:val="0"/>
      <w:divBdr>
        <w:top w:val="none" w:sz="0" w:space="0" w:color="auto"/>
        <w:left w:val="none" w:sz="0" w:space="0" w:color="auto"/>
        <w:bottom w:val="none" w:sz="0" w:space="0" w:color="auto"/>
        <w:right w:val="none" w:sz="0" w:space="0" w:color="auto"/>
      </w:divBdr>
    </w:div>
    <w:div w:id="1603950567">
      <w:bodyDiv w:val="1"/>
      <w:marLeft w:val="0"/>
      <w:marRight w:val="0"/>
      <w:marTop w:val="0"/>
      <w:marBottom w:val="0"/>
      <w:divBdr>
        <w:top w:val="none" w:sz="0" w:space="0" w:color="auto"/>
        <w:left w:val="none" w:sz="0" w:space="0" w:color="auto"/>
        <w:bottom w:val="none" w:sz="0" w:space="0" w:color="auto"/>
        <w:right w:val="none" w:sz="0" w:space="0" w:color="auto"/>
      </w:divBdr>
    </w:div>
    <w:div w:id="1604067748">
      <w:bodyDiv w:val="1"/>
      <w:marLeft w:val="0"/>
      <w:marRight w:val="0"/>
      <w:marTop w:val="0"/>
      <w:marBottom w:val="0"/>
      <w:divBdr>
        <w:top w:val="none" w:sz="0" w:space="0" w:color="auto"/>
        <w:left w:val="none" w:sz="0" w:space="0" w:color="auto"/>
        <w:bottom w:val="none" w:sz="0" w:space="0" w:color="auto"/>
        <w:right w:val="none" w:sz="0" w:space="0" w:color="auto"/>
      </w:divBdr>
    </w:div>
    <w:div w:id="1604143588">
      <w:bodyDiv w:val="1"/>
      <w:marLeft w:val="0"/>
      <w:marRight w:val="0"/>
      <w:marTop w:val="0"/>
      <w:marBottom w:val="0"/>
      <w:divBdr>
        <w:top w:val="none" w:sz="0" w:space="0" w:color="auto"/>
        <w:left w:val="none" w:sz="0" w:space="0" w:color="auto"/>
        <w:bottom w:val="none" w:sz="0" w:space="0" w:color="auto"/>
        <w:right w:val="none" w:sz="0" w:space="0" w:color="auto"/>
      </w:divBdr>
    </w:div>
    <w:div w:id="1604456419">
      <w:bodyDiv w:val="1"/>
      <w:marLeft w:val="0"/>
      <w:marRight w:val="0"/>
      <w:marTop w:val="0"/>
      <w:marBottom w:val="0"/>
      <w:divBdr>
        <w:top w:val="none" w:sz="0" w:space="0" w:color="auto"/>
        <w:left w:val="none" w:sz="0" w:space="0" w:color="auto"/>
        <w:bottom w:val="none" w:sz="0" w:space="0" w:color="auto"/>
        <w:right w:val="none" w:sz="0" w:space="0" w:color="auto"/>
      </w:divBdr>
    </w:div>
    <w:div w:id="1604529317">
      <w:bodyDiv w:val="1"/>
      <w:marLeft w:val="0"/>
      <w:marRight w:val="0"/>
      <w:marTop w:val="0"/>
      <w:marBottom w:val="0"/>
      <w:divBdr>
        <w:top w:val="none" w:sz="0" w:space="0" w:color="auto"/>
        <w:left w:val="none" w:sz="0" w:space="0" w:color="auto"/>
        <w:bottom w:val="none" w:sz="0" w:space="0" w:color="auto"/>
        <w:right w:val="none" w:sz="0" w:space="0" w:color="auto"/>
      </w:divBdr>
    </w:div>
    <w:div w:id="1604725943">
      <w:bodyDiv w:val="1"/>
      <w:marLeft w:val="0"/>
      <w:marRight w:val="0"/>
      <w:marTop w:val="0"/>
      <w:marBottom w:val="0"/>
      <w:divBdr>
        <w:top w:val="none" w:sz="0" w:space="0" w:color="auto"/>
        <w:left w:val="none" w:sz="0" w:space="0" w:color="auto"/>
        <w:bottom w:val="none" w:sz="0" w:space="0" w:color="auto"/>
        <w:right w:val="none" w:sz="0" w:space="0" w:color="auto"/>
      </w:divBdr>
    </w:div>
    <w:div w:id="1604846373">
      <w:bodyDiv w:val="1"/>
      <w:marLeft w:val="0"/>
      <w:marRight w:val="0"/>
      <w:marTop w:val="0"/>
      <w:marBottom w:val="0"/>
      <w:divBdr>
        <w:top w:val="none" w:sz="0" w:space="0" w:color="auto"/>
        <w:left w:val="none" w:sz="0" w:space="0" w:color="auto"/>
        <w:bottom w:val="none" w:sz="0" w:space="0" w:color="auto"/>
        <w:right w:val="none" w:sz="0" w:space="0" w:color="auto"/>
      </w:divBdr>
    </w:div>
    <w:div w:id="1604991003">
      <w:bodyDiv w:val="1"/>
      <w:marLeft w:val="0"/>
      <w:marRight w:val="0"/>
      <w:marTop w:val="0"/>
      <w:marBottom w:val="0"/>
      <w:divBdr>
        <w:top w:val="none" w:sz="0" w:space="0" w:color="auto"/>
        <w:left w:val="none" w:sz="0" w:space="0" w:color="auto"/>
        <w:bottom w:val="none" w:sz="0" w:space="0" w:color="auto"/>
        <w:right w:val="none" w:sz="0" w:space="0" w:color="auto"/>
      </w:divBdr>
    </w:div>
    <w:div w:id="1605115957">
      <w:bodyDiv w:val="1"/>
      <w:marLeft w:val="0"/>
      <w:marRight w:val="0"/>
      <w:marTop w:val="0"/>
      <w:marBottom w:val="0"/>
      <w:divBdr>
        <w:top w:val="none" w:sz="0" w:space="0" w:color="auto"/>
        <w:left w:val="none" w:sz="0" w:space="0" w:color="auto"/>
        <w:bottom w:val="none" w:sz="0" w:space="0" w:color="auto"/>
        <w:right w:val="none" w:sz="0" w:space="0" w:color="auto"/>
      </w:divBdr>
    </w:div>
    <w:div w:id="1605264485">
      <w:bodyDiv w:val="1"/>
      <w:marLeft w:val="0"/>
      <w:marRight w:val="0"/>
      <w:marTop w:val="0"/>
      <w:marBottom w:val="0"/>
      <w:divBdr>
        <w:top w:val="none" w:sz="0" w:space="0" w:color="auto"/>
        <w:left w:val="none" w:sz="0" w:space="0" w:color="auto"/>
        <w:bottom w:val="none" w:sz="0" w:space="0" w:color="auto"/>
        <w:right w:val="none" w:sz="0" w:space="0" w:color="auto"/>
      </w:divBdr>
    </w:div>
    <w:div w:id="1605305115">
      <w:bodyDiv w:val="1"/>
      <w:marLeft w:val="0"/>
      <w:marRight w:val="0"/>
      <w:marTop w:val="0"/>
      <w:marBottom w:val="0"/>
      <w:divBdr>
        <w:top w:val="none" w:sz="0" w:space="0" w:color="auto"/>
        <w:left w:val="none" w:sz="0" w:space="0" w:color="auto"/>
        <w:bottom w:val="none" w:sz="0" w:space="0" w:color="auto"/>
        <w:right w:val="none" w:sz="0" w:space="0" w:color="auto"/>
      </w:divBdr>
    </w:div>
    <w:div w:id="1605335165">
      <w:bodyDiv w:val="1"/>
      <w:marLeft w:val="0"/>
      <w:marRight w:val="0"/>
      <w:marTop w:val="0"/>
      <w:marBottom w:val="0"/>
      <w:divBdr>
        <w:top w:val="none" w:sz="0" w:space="0" w:color="auto"/>
        <w:left w:val="none" w:sz="0" w:space="0" w:color="auto"/>
        <w:bottom w:val="none" w:sz="0" w:space="0" w:color="auto"/>
        <w:right w:val="none" w:sz="0" w:space="0" w:color="auto"/>
      </w:divBdr>
    </w:div>
    <w:div w:id="1605335327">
      <w:bodyDiv w:val="1"/>
      <w:marLeft w:val="0"/>
      <w:marRight w:val="0"/>
      <w:marTop w:val="0"/>
      <w:marBottom w:val="0"/>
      <w:divBdr>
        <w:top w:val="none" w:sz="0" w:space="0" w:color="auto"/>
        <w:left w:val="none" w:sz="0" w:space="0" w:color="auto"/>
        <w:bottom w:val="none" w:sz="0" w:space="0" w:color="auto"/>
        <w:right w:val="none" w:sz="0" w:space="0" w:color="auto"/>
      </w:divBdr>
    </w:div>
    <w:div w:id="1605652224">
      <w:bodyDiv w:val="1"/>
      <w:marLeft w:val="0"/>
      <w:marRight w:val="0"/>
      <w:marTop w:val="0"/>
      <w:marBottom w:val="0"/>
      <w:divBdr>
        <w:top w:val="none" w:sz="0" w:space="0" w:color="auto"/>
        <w:left w:val="none" w:sz="0" w:space="0" w:color="auto"/>
        <w:bottom w:val="none" w:sz="0" w:space="0" w:color="auto"/>
        <w:right w:val="none" w:sz="0" w:space="0" w:color="auto"/>
      </w:divBdr>
    </w:div>
    <w:div w:id="1605652961">
      <w:bodyDiv w:val="1"/>
      <w:marLeft w:val="0"/>
      <w:marRight w:val="0"/>
      <w:marTop w:val="0"/>
      <w:marBottom w:val="0"/>
      <w:divBdr>
        <w:top w:val="none" w:sz="0" w:space="0" w:color="auto"/>
        <w:left w:val="none" w:sz="0" w:space="0" w:color="auto"/>
        <w:bottom w:val="none" w:sz="0" w:space="0" w:color="auto"/>
        <w:right w:val="none" w:sz="0" w:space="0" w:color="auto"/>
      </w:divBdr>
    </w:div>
    <w:div w:id="1605840779">
      <w:bodyDiv w:val="1"/>
      <w:marLeft w:val="0"/>
      <w:marRight w:val="0"/>
      <w:marTop w:val="0"/>
      <w:marBottom w:val="0"/>
      <w:divBdr>
        <w:top w:val="none" w:sz="0" w:space="0" w:color="auto"/>
        <w:left w:val="none" w:sz="0" w:space="0" w:color="auto"/>
        <w:bottom w:val="none" w:sz="0" w:space="0" w:color="auto"/>
        <w:right w:val="none" w:sz="0" w:space="0" w:color="auto"/>
      </w:divBdr>
    </w:div>
    <w:div w:id="1605847460">
      <w:bodyDiv w:val="1"/>
      <w:marLeft w:val="0"/>
      <w:marRight w:val="0"/>
      <w:marTop w:val="0"/>
      <w:marBottom w:val="0"/>
      <w:divBdr>
        <w:top w:val="none" w:sz="0" w:space="0" w:color="auto"/>
        <w:left w:val="none" w:sz="0" w:space="0" w:color="auto"/>
        <w:bottom w:val="none" w:sz="0" w:space="0" w:color="auto"/>
        <w:right w:val="none" w:sz="0" w:space="0" w:color="auto"/>
      </w:divBdr>
    </w:div>
    <w:div w:id="1605920397">
      <w:bodyDiv w:val="1"/>
      <w:marLeft w:val="0"/>
      <w:marRight w:val="0"/>
      <w:marTop w:val="0"/>
      <w:marBottom w:val="0"/>
      <w:divBdr>
        <w:top w:val="none" w:sz="0" w:space="0" w:color="auto"/>
        <w:left w:val="none" w:sz="0" w:space="0" w:color="auto"/>
        <w:bottom w:val="none" w:sz="0" w:space="0" w:color="auto"/>
        <w:right w:val="none" w:sz="0" w:space="0" w:color="auto"/>
      </w:divBdr>
    </w:div>
    <w:div w:id="1605964555">
      <w:bodyDiv w:val="1"/>
      <w:marLeft w:val="0"/>
      <w:marRight w:val="0"/>
      <w:marTop w:val="0"/>
      <w:marBottom w:val="0"/>
      <w:divBdr>
        <w:top w:val="none" w:sz="0" w:space="0" w:color="auto"/>
        <w:left w:val="none" w:sz="0" w:space="0" w:color="auto"/>
        <w:bottom w:val="none" w:sz="0" w:space="0" w:color="auto"/>
        <w:right w:val="none" w:sz="0" w:space="0" w:color="auto"/>
      </w:divBdr>
    </w:div>
    <w:div w:id="1605991481">
      <w:bodyDiv w:val="1"/>
      <w:marLeft w:val="0"/>
      <w:marRight w:val="0"/>
      <w:marTop w:val="0"/>
      <w:marBottom w:val="0"/>
      <w:divBdr>
        <w:top w:val="none" w:sz="0" w:space="0" w:color="auto"/>
        <w:left w:val="none" w:sz="0" w:space="0" w:color="auto"/>
        <w:bottom w:val="none" w:sz="0" w:space="0" w:color="auto"/>
        <w:right w:val="none" w:sz="0" w:space="0" w:color="auto"/>
      </w:divBdr>
    </w:div>
    <w:div w:id="1606234496">
      <w:bodyDiv w:val="1"/>
      <w:marLeft w:val="0"/>
      <w:marRight w:val="0"/>
      <w:marTop w:val="0"/>
      <w:marBottom w:val="0"/>
      <w:divBdr>
        <w:top w:val="none" w:sz="0" w:space="0" w:color="auto"/>
        <w:left w:val="none" w:sz="0" w:space="0" w:color="auto"/>
        <w:bottom w:val="none" w:sz="0" w:space="0" w:color="auto"/>
        <w:right w:val="none" w:sz="0" w:space="0" w:color="auto"/>
      </w:divBdr>
    </w:div>
    <w:div w:id="1606419363">
      <w:bodyDiv w:val="1"/>
      <w:marLeft w:val="0"/>
      <w:marRight w:val="0"/>
      <w:marTop w:val="0"/>
      <w:marBottom w:val="0"/>
      <w:divBdr>
        <w:top w:val="none" w:sz="0" w:space="0" w:color="auto"/>
        <w:left w:val="none" w:sz="0" w:space="0" w:color="auto"/>
        <w:bottom w:val="none" w:sz="0" w:space="0" w:color="auto"/>
        <w:right w:val="none" w:sz="0" w:space="0" w:color="auto"/>
      </w:divBdr>
    </w:div>
    <w:div w:id="1606421323">
      <w:bodyDiv w:val="1"/>
      <w:marLeft w:val="0"/>
      <w:marRight w:val="0"/>
      <w:marTop w:val="0"/>
      <w:marBottom w:val="0"/>
      <w:divBdr>
        <w:top w:val="none" w:sz="0" w:space="0" w:color="auto"/>
        <w:left w:val="none" w:sz="0" w:space="0" w:color="auto"/>
        <w:bottom w:val="none" w:sz="0" w:space="0" w:color="auto"/>
        <w:right w:val="none" w:sz="0" w:space="0" w:color="auto"/>
      </w:divBdr>
    </w:div>
    <w:div w:id="1606501446">
      <w:bodyDiv w:val="1"/>
      <w:marLeft w:val="0"/>
      <w:marRight w:val="0"/>
      <w:marTop w:val="0"/>
      <w:marBottom w:val="0"/>
      <w:divBdr>
        <w:top w:val="none" w:sz="0" w:space="0" w:color="auto"/>
        <w:left w:val="none" w:sz="0" w:space="0" w:color="auto"/>
        <w:bottom w:val="none" w:sz="0" w:space="0" w:color="auto"/>
        <w:right w:val="none" w:sz="0" w:space="0" w:color="auto"/>
      </w:divBdr>
    </w:div>
    <w:div w:id="1606617126">
      <w:bodyDiv w:val="1"/>
      <w:marLeft w:val="0"/>
      <w:marRight w:val="0"/>
      <w:marTop w:val="0"/>
      <w:marBottom w:val="0"/>
      <w:divBdr>
        <w:top w:val="none" w:sz="0" w:space="0" w:color="auto"/>
        <w:left w:val="none" w:sz="0" w:space="0" w:color="auto"/>
        <w:bottom w:val="none" w:sz="0" w:space="0" w:color="auto"/>
        <w:right w:val="none" w:sz="0" w:space="0" w:color="auto"/>
      </w:divBdr>
    </w:div>
    <w:div w:id="1606764602">
      <w:bodyDiv w:val="1"/>
      <w:marLeft w:val="0"/>
      <w:marRight w:val="0"/>
      <w:marTop w:val="0"/>
      <w:marBottom w:val="0"/>
      <w:divBdr>
        <w:top w:val="none" w:sz="0" w:space="0" w:color="auto"/>
        <w:left w:val="none" w:sz="0" w:space="0" w:color="auto"/>
        <w:bottom w:val="none" w:sz="0" w:space="0" w:color="auto"/>
        <w:right w:val="none" w:sz="0" w:space="0" w:color="auto"/>
      </w:divBdr>
    </w:div>
    <w:div w:id="1606766897">
      <w:bodyDiv w:val="1"/>
      <w:marLeft w:val="0"/>
      <w:marRight w:val="0"/>
      <w:marTop w:val="0"/>
      <w:marBottom w:val="0"/>
      <w:divBdr>
        <w:top w:val="none" w:sz="0" w:space="0" w:color="auto"/>
        <w:left w:val="none" w:sz="0" w:space="0" w:color="auto"/>
        <w:bottom w:val="none" w:sz="0" w:space="0" w:color="auto"/>
        <w:right w:val="none" w:sz="0" w:space="0" w:color="auto"/>
      </w:divBdr>
    </w:div>
    <w:div w:id="1606768278">
      <w:bodyDiv w:val="1"/>
      <w:marLeft w:val="0"/>
      <w:marRight w:val="0"/>
      <w:marTop w:val="0"/>
      <w:marBottom w:val="0"/>
      <w:divBdr>
        <w:top w:val="none" w:sz="0" w:space="0" w:color="auto"/>
        <w:left w:val="none" w:sz="0" w:space="0" w:color="auto"/>
        <w:bottom w:val="none" w:sz="0" w:space="0" w:color="auto"/>
        <w:right w:val="none" w:sz="0" w:space="0" w:color="auto"/>
      </w:divBdr>
    </w:div>
    <w:div w:id="1606840652">
      <w:bodyDiv w:val="1"/>
      <w:marLeft w:val="0"/>
      <w:marRight w:val="0"/>
      <w:marTop w:val="0"/>
      <w:marBottom w:val="0"/>
      <w:divBdr>
        <w:top w:val="none" w:sz="0" w:space="0" w:color="auto"/>
        <w:left w:val="none" w:sz="0" w:space="0" w:color="auto"/>
        <w:bottom w:val="none" w:sz="0" w:space="0" w:color="auto"/>
        <w:right w:val="none" w:sz="0" w:space="0" w:color="auto"/>
      </w:divBdr>
    </w:div>
    <w:div w:id="1606881447">
      <w:bodyDiv w:val="1"/>
      <w:marLeft w:val="0"/>
      <w:marRight w:val="0"/>
      <w:marTop w:val="0"/>
      <w:marBottom w:val="0"/>
      <w:divBdr>
        <w:top w:val="none" w:sz="0" w:space="0" w:color="auto"/>
        <w:left w:val="none" w:sz="0" w:space="0" w:color="auto"/>
        <w:bottom w:val="none" w:sz="0" w:space="0" w:color="auto"/>
        <w:right w:val="none" w:sz="0" w:space="0" w:color="auto"/>
      </w:divBdr>
    </w:div>
    <w:div w:id="1606962628">
      <w:bodyDiv w:val="1"/>
      <w:marLeft w:val="0"/>
      <w:marRight w:val="0"/>
      <w:marTop w:val="0"/>
      <w:marBottom w:val="0"/>
      <w:divBdr>
        <w:top w:val="none" w:sz="0" w:space="0" w:color="auto"/>
        <w:left w:val="none" w:sz="0" w:space="0" w:color="auto"/>
        <w:bottom w:val="none" w:sz="0" w:space="0" w:color="auto"/>
        <w:right w:val="none" w:sz="0" w:space="0" w:color="auto"/>
      </w:divBdr>
    </w:div>
    <w:div w:id="1607035263">
      <w:bodyDiv w:val="1"/>
      <w:marLeft w:val="0"/>
      <w:marRight w:val="0"/>
      <w:marTop w:val="0"/>
      <w:marBottom w:val="0"/>
      <w:divBdr>
        <w:top w:val="none" w:sz="0" w:space="0" w:color="auto"/>
        <w:left w:val="none" w:sz="0" w:space="0" w:color="auto"/>
        <w:bottom w:val="none" w:sz="0" w:space="0" w:color="auto"/>
        <w:right w:val="none" w:sz="0" w:space="0" w:color="auto"/>
      </w:divBdr>
    </w:div>
    <w:div w:id="1607075839">
      <w:bodyDiv w:val="1"/>
      <w:marLeft w:val="0"/>
      <w:marRight w:val="0"/>
      <w:marTop w:val="0"/>
      <w:marBottom w:val="0"/>
      <w:divBdr>
        <w:top w:val="none" w:sz="0" w:space="0" w:color="auto"/>
        <w:left w:val="none" w:sz="0" w:space="0" w:color="auto"/>
        <w:bottom w:val="none" w:sz="0" w:space="0" w:color="auto"/>
        <w:right w:val="none" w:sz="0" w:space="0" w:color="auto"/>
      </w:divBdr>
    </w:div>
    <w:div w:id="1607229500">
      <w:bodyDiv w:val="1"/>
      <w:marLeft w:val="0"/>
      <w:marRight w:val="0"/>
      <w:marTop w:val="0"/>
      <w:marBottom w:val="0"/>
      <w:divBdr>
        <w:top w:val="none" w:sz="0" w:space="0" w:color="auto"/>
        <w:left w:val="none" w:sz="0" w:space="0" w:color="auto"/>
        <w:bottom w:val="none" w:sz="0" w:space="0" w:color="auto"/>
        <w:right w:val="none" w:sz="0" w:space="0" w:color="auto"/>
      </w:divBdr>
    </w:div>
    <w:div w:id="1607272674">
      <w:bodyDiv w:val="1"/>
      <w:marLeft w:val="0"/>
      <w:marRight w:val="0"/>
      <w:marTop w:val="0"/>
      <w:marBottom w:val="0"/>
      <w:divBdr>
        <w:top w:val="none" w:sz="0" w:space="0" w:color="auto"/>
        <w:left w:val="none" w:sz="0" w:space="0" w:color="auto"/>
        <w:bottom w:val="none" w:sz="0" w:space="0" w:color="auto"/>
        <w:right w:val="none" w:sz="0" w:space="0" w:color="auto"/>
      </w:divBdr>
    </w:div>
    <w:div w:id="1607344513">
      <w:bodyDiv w:val="1"/>
      <w:marLeft w:val="0"/>
      <w:marRight w:val="0"/>
      <w:marTop w:val="0"/>
      <w:marBottom w:val="0"/>
      <w:divBdr>
        <w:top w:val="none" w:sz="0" w:space="0" w:color="auto"/>
        <w:left w:val="none" w:sz="0" w:space="0" w:color="auto"/>
        <w:bottom w:val="none" w:sz="0" w:space="0" w:color="auto"/>
        <w:right w:val="none" w:sz="0" w:space="0" w:color="auto"/>
      </w:divBdr>
    </w:div>
    <w:div w:id="1607350407">
      <w:bodyDiv w:val="1"/>
      <w:marLeft w:val="0"/>
      <w:marRight w:val="0"/>
      <w:marTop w:val="0"/>
      <w:marBottom w:val="0"/>
      <w:divBdr>
        <w:top w:val="none" w:sz="0" w:space="0" w:color="auto"/>
        <w:left w:val="none" w:sz="0" w:space="0" w:color="auto"/>
        <w:bottom w:val="none" w:sz="0" w:space="0" w:color="auto"/>
        <w:right w:val="none" w:sz="0" w:space="0" w:color="auto"/>
      </w:divBdr>
    </w:div>
    <w:div w:id="1607541722">
      <w:bodyDiv w:val="1"/>
      <w:marLeft w:val="0"/>
      <w:marRight w:val="0"/>
      <w:marTop w:val="0"/>
      <w:marBottom w:val="0"/>
      <w:divBdr>
        <w:top w:val="none" w:sz="0" w:space="0" w:color="auto"/>
        <w:left w:val="none" w:sz="0" w:space="0" w:color="auto"/>
        <w:bottom w:val="none" w:sz="0" w:space="0" w:color="auto"/>
        <w:right w:val="none" w:sz="0" w:space="0" w:color="auto"/>
      </w:divBdr>
    </w:div>
    <w:div w:id="1607618120">
      <w:bodyDiv w:val="1"/>
      <w:marLeft w:val="0"/>
      <w:marRight w:val="0"/>
      <w:marTop w:val="0"/>
      <w:marBottom w:val="0"/>
      <w:divBdr>
        <w:top w:val="none" w:sz="0" w:space="0" w:color="auto"/>
        <w:left w:val="none" w:sz="0" w:space="0" w:color="auto"/>
        <w:bottom w:val="none" w:sz="0" w:space="0" w:color="auto"/>
        <w:right w:val="none" w:sz="0" w:space="0" w:color="auto"/>
      </w:divBdr>
    </w:div>
    <w:div w:id="1607694996">
      <w:bodyDiv w:val="1"/>
      <w:marLeft w:val="0"/>
      <w:marRight w:val="0"/>
      <w:marTop w:val="0"/>
      <w:marBottom w:val="0"/>
      <w:divBdr>
        <w:top w:val="none" w:sz="0" w:space="0" w:color="auto"/>
        <w:left w:val="none" w:sz="0" w:space="0" w:color="auto"/>
        <w:bottom w:val="none" w:sz="0" w:space="0" w:color="auto"/>
        <w:right w:val="none" w:sz="0" w:space="0" w:color="auto"/>
      </w:divBdr>
    </w:div>
    <w:div w:id="1607738670">
      <w:bodyDiv w:val="1"/>
      <w:marLeft w:val="0"/>
      <w:marRight w:val="0"/>
      <w:marTop w:val="0"/>
      <w:marBottom w:val="0"/>
      <w:divBdr>
        <w:top w:val="none" w:sz="0" w:space="0" w:color="auto"/>
        <w:left w:val="none" w:sz="0" w:space="0" w:color="auto"/>
        <w:bottom w:val="none" w:sz="0" w:space="0" w:color="auto"/>
        <w:right w:val="none" w:sz="0" w:space="0" w:color="auto"/>
      </w:divBdr>
    </w:div>
    <w:div w:id="1607805311">
      <w:bodyDiv w:val="1"/>
      <w:marLeft w:val="0"/>
      <w:marRight w:val="0"/>
      <w:marTop w:val="0"/>
      <w:marBottom w:val="0"/>
      <w:divBdr>
        <w:top w:val="none" w:sz="0" w:space="0" w:color="auto"/>
        <w:left w:val="none" w:sz="0" w:space="0" w:color="auto"/>
        <w:bottom w:val="none" w:sz="0" w:space="0" w:color="auto"/>
        <w:right w:val="none" w:sz="0" w:space="0" w:color="auto"/>
      </w:divBdr>
    </w:div>
    <w:div w:id="1607811225">
      <w:bodyDiv w:val="1"/>
      <w:marLeft w:val="0"/>
      <w:marRight w:val="0"/>
      <w:marTop w:val="0"/>
      <w:marBottom w:val="0"/>
      <w:divBdr>
        <w:top w:val="none" w:sz="0" w:space="0" w:color="auto"/>
        <w:left w:val="none" w:sz="0" w:space="0" w:color="auto"/>
        <w:bottom w:val="none" w:sz="0" w:space="0" w:color="auto"/>
        <w:right w:val="none" w:sz="0" w:space="0" w:color="auto"/>
      </w:divBdr>
    </w:div>
    <w:div w:id="1607926394">
      <w:bodyDiv w:val="1"/>
      <w:marLeft w:val="0"/>
      <w:marRight w:val="0"/>
      <w:marTop w:val="0"/>
      <w:marBottom w:val="0"/>
      <w:divBdr>
        <w:top w:val="none" w:sz="0" w:space="0" w:color="auto"/>
        <w:left w:val="none" w:sz="0" w:space="0" w:color="auto"/>
        <w:bottom w:val="none" w:sz="0" w:space="0" w:color="auto"/>
        <w:right w:val="none" w:sz="0" w:space="0" w:color="auto"/>
      </w:divBdr>
    </w:div>
    <w:div w:id="1608006829">
      <w:bodyDiv w:val="1"/>
      <w:marLeft w:val="0"/>
      <w:marRight w:val="0"/>
      <w:marTop w:val="0"/>
      <w:marBottom w:val="0"/>
      <w:divBdr>
        <w:top w:val="none" w:sz="0" w:space="0" w:color="auto"/>
        <w:left w:val="none" w:sz="0" w:space="0" w:color="auto"/>
        <w:bottom w:val="none" w:sz="0" w:space="0" w:color="auto"/>
        <w:right w:val="none" w:sz="0" w:space="0" w:color="auto"/>
      </w:divBdr>
    </w:div>
    <w:div w:id="1608152915">
      <w:bodyDiv w:val="1"/>
      <w:marLeft w:val="0"/>
      <w:marRight w:val="0"/>
      <w:marTop w:val="0"/>
      <w:marBottom w:val="0"/>
      <w:divBdr>
        <w:top w:val="none" w:sz="0" w:space="0" w:color="auto"/>
        <w:left w:val="none" w:sz="0" w:space="0" w:color="auto"/>
        <w:bottom w:val="none" w:sz="0" w:space="0" w:color="auto"/>
        <w:right w:val="none" w:sz="0" w:space="0" w:color="auto"/>
      </w:divBdr>
    </w:div>
    <w:div w:id="1608191455">
      <w:bodyDiv w:val="1"/>
      <w:marLeft w:val="0"/>
      <w:marRight w:val="0"/>
      <w:marTop w:val="0"/>
      <w:marBottom w:val="0"/>
      <w:divBdr>
        <w:top w:val="none" w:sz="0" w:space="0" w:color="auto"/>
        <w:left w:val="none" w:sz="0" w:space="0" w:color="auto"/>
        <w:bottom w:val="none" w:sz="0" w:space="0" w:color="auto"/>
        <w:right w:val="none" w:sz="0" w:space="0" w:color="auto"/>
      </w:divBdr>
    </w:div>
    <w:div w:id="1608267955">
      <w:bodyDiv w:val="1"/>
      <w:marLeft w:val="0"/>
      <w:marRight w:val="0"/>
      <w:marTop w:val="0"/>
      <w:marBottom w:val="0"/>
      <w:divBdr>
        <w:top w:val="none" w:sz="0" w:space="0" w:color="auto"/>
        <w:left w:val="none" w:sz="0" w:space="0" w:color="auto"/>
        <w:bottom w:val="none" w:sz="0" w:space="0" w:color="auto"/>
        <w:right w:val="none" w:sz="0" w:space="0" w:color="auto"/>
      </w:divBdr>
    </w:div>
    <w:div w:id="1608343202">
      <w:bodyDiv w:val="1"/>
      <w:marLeft w:val="0"/>
      <w:marRight w:val="0"/>
      <w:marTop w:val="0"/>
      <w:marBottom w:val="0"/>
      <w:divBdr>
        <w:top w:val="none" w:sz="0" w:space="0" w:color="auto"/>
        <w:left w:val="none" w:sz="0" w:space="0" w:color="auto"/>
        <w:bottom w:val="none" w:sz="0" w:space="0" w:color="auto"/>
        <w:right w:val="none" w:sz="0" w:space="0" w:color="auto"/>
      </w:divBdr>
    </w:div>
    <w:div w:id="1608343489">
      <w:bodyDiv w:val="1"/>
      <w:marLeft w:val="0"/>
      <w:marRight w:val="0"/>
      <w:marTop w:val="0"/>
      <w:marBottom w:val="0"/>
      <w:divBdr>
        <w:top w:val="none" w:sz="0" w:space="0" w:color="auto"/>
        <w:left w:val="none" w:sz="0" w:space="0" w:color="auto"/>
        <w:bottom w:val="none" w:sz="0" w:space="0" w:color="auto"/>
        <w:right w:val="none" w:sz="0" w:space="0" w:color="auto"/>
      </w:divBdr>
    </w:div>
    <w:div w:id="1608351324">
      <w:bodyDiv w:val="1"/>
      <w:marLeft w:val="0"/>
      <w:marRight w:val="0"/>
      <w:marTop w:val="0"/>
      <w:marBottom w:val="0"/>
      <w:divBdr>
        <w:top w:val="none" w:sz="0" w:space="0" w:color="auto"/>
        <w:left w:val="none" w:sz="0" w:space="0" w:color="auto"/>
        <w:bottom w:val="none" w:sz="0" w:space="0" w:color="auto"/>
        <w:right w:val="none" w:sz="0" w:space="0" w:color="auto"/>
      </w:divBdr>
    </w:div>
    <w:div w:id="1608388965">
      <w:bodyDiv w:val="1"/>
      <w:marLeft w:val="0"/>
      <w:marRight w:val="0"/>
      <w:marTop w:val="0"/>
      <w:marBottom w:val="0"/>
      <w:divBdr>
        <w:top w:val="none" w:sz="0" w:space="0" w:color="auto"/>
        <w:left w:val="none" w:sz="0" w:space="0" w:color="auto"/>
        <w:bottom w:val="none" w:sz="0" w:space="0" w:color="auto"/>
        <w:right w:val="none" w:sz="0" w:space="0" w:color="auto"/>
      </w:divBdr>
    </w:div>
    <w:div w:id="1608540428">
      <w:bodyDiv w:val="1"/>
      <w:marLeft w:val="0"/>
      <w:marRight w:val="0"/>
      <w:marTop w:val="0"/>
      <w:marBottom w:val="0"/>
      <w:divBdr>
        <w:top w:val="none" w:sz="0" w:space="0" w:color="auto"/>
        <w:left w:val="none" w:sz="0" w:space="0" w:color="auto"/>
        <w:bottom w:val="none" w:sz="0" w:space="0" w:color="auto"/>
        <w:right w:val="none" w:sz="0" w:space="0" w:color="auto"/>
      </w:divBdr>
    </w:div>
    <w:div w:id="1608541956">
      <w:bodyDiv w:val="1"/>
      <w:marLeft w:val="0"/>
      <w:marRight w:val="0"/>
      <w:marTop w:val="0"/>
      <w:marBottom w:val="0"/>
      <w:divBdr>
        <w:top w:val="none" w:sz="0" w:space="0" w:color="auto"/>
        <w:left w:val="none" w:sz="0" w:space="0" w:color="auto"/>
        <w:bottom w:val="none" w:sz="0" w:space="0" w:color="auto"/>
        <w:right w:val="none" w:sz="0" w:space="0" w:color="auto"/>
      </w:divBdr>
    </w:div>
    <w:div w:id="1608587366">
      <w:bodyDiv w:val="1"/>
      <w:marLeft w:val="0"/>
      <w:marRight w:val="0"/>
      <w:marTop w:val="0"/>
      <w:marBottom w:val="0"/>
      <w:divBdr>
        <w:top w:val="none" w:sz="0" w:space="0" w:color="auto"/>
        <w:left w:val="none" w:sz="0" w:space="0" w:color="auto"/>
        <w:bottom w:val="none" w:sz="0" w:space="0" w:color="auto"/>
        <w:right w:val="none" w:sz="0" w:space="0" w:color="auto"/>
      </w:divBdr>
    </w:div>
    <w:div w:id="1608653396">
      <w:bodyDiv w:val="1"/>
      <w:marLeft w:val="0"/>
      <w:marRight w:val="0"/>
      <w:marTop w:val="0"/>
      <w:marBottom w:val="0"/>
      <w:divBdr>
        <w:top w:val="none" w:sz="0" w:space="0" w:color="auto"/>
        <w:left w:val="none" w:sz="0" w:space="0" w:color="auto"/>
        <w:bottom w:val="none" w:sz="0" w:space="0" w:color="auto"/>
        <w:right w:val="none" w:sz="0" w:space="0" w:color="auto"/>
      </w:divBdr>
    </w:div>
    <w:div w:id="1608847135">
      <w:bodyDiv w:val="1"/>
      <w:marLeft w:val="0"/>
      <w:marRight w:val="0"/>
      <w:marTop w:val="0"/>
      <w:marBottom w:val="0"/>
      <w:divBdr>
        <w:top w:val="none" w:sz="0" w:space="0" w:color="auto"/>
        <w:left w:val="none" w:sz="0" w:space="0" w:color="auto"/>
        <w:bottom w:val="none" w:sz="0" w:space="0" w:color="auto"/>
        <w:right w:val="none" w:sz="0" w:space="0" w:color="auto"/>
      </w:divBdr>
    </w:div>
    <w:div w:id="1608997441">
      <w:bodyDiv w:val="1"/>
      <w:marLeft w:val="0"/>
      <w:marRight w:val="0"/>
      <w:marTop w:val="0"/>
      <w:marBottom w:val="0"/>
      <w:divBdr>
        <w:top w:val="none" w:sz="0" w:space="0" w:color="auto"/>
        <w:left w:val="none" w:sz="0" w:space="0" w:color="auto"/>
        <w:bottom w:val="none" w:sz="0" w:space="0" w:color="auto"/>
        <w:right w:val="none" w:sz="0" w:space="0" w:color="auto"/>
      </w:divBdr>
    </w:div>
    <w:div w:id="1608998682">
      <w:bodyDiv w:val="1"/>
      <w:marLeft w:val="0"/>
      <w:marRight w:val="0"/>
      <w:marTop w:val="0"/>
      <w:marBottom w:val="0"/>
      <w:divBdr>
        <w:top w:val="none" w:sz="0" w:space="0" w:color="auto"/>
        <w:left w:val="none" w:sz="0" w:space="0" w:color="auto"/>
        <w:bottom w:val="none" w:sz="0" w:space="0" w:color="auto"/>
        <w:right w:val="none" w:sz="0" w:space="0" w:color="auto"/>
      </w:divBdr>
    </w:div>
    <w:div w:id="1609045101">
      <w:bodyDiv w:val="1"/>
      <w:marLeft w:val="0"/>
      <w:marRight w:val="0"/>
      <w:marTop w:val="0"/>
      <w:marBottom w:val="0"/>
      <w:divBdr>
        <w:top w:val="none" w:sz="0" w:space="0" w:color="auto"/>
        <w:left w:val="none" w:sz="0" w:space="0" w:color="auto"/>
        <w:bottom w:val="none" w:sz="0" w:space="0" w:color="auto"/>
        <w:right w:val="none" w:sz="0" w:space="0" w:color="auto"/>
      </w:divBdr>
    </w:div>
    <w:div w:id="1609196461">
      <w:bodyDiv w:val="1"/>
      <w:marLeft w:val="0"/>
      <w:marRight w:val="0"/>
      <w:marTop w:val="0"/>
      <w:marBottom w:val="0"/>
      <w:divBdr>
        <w:top w:val="none" w:sz="0" w:space="0" w:color="auto"/>
        <w:left w:val="none" w:sz="0" w:space="0" w:color="auto"/>
        <w:bottom w:val="none" w:sz="0" w:space="0" w:color="auto"/>
        <w:right w:val="none" w:sz="0" w:space="0" w:color="auto"/>
      </w:divBdr>
    </w:div>
    <w:div w:id="1609309620">
      <w:bodyDiv w:val="1"/>
      <w:marLeft w:val="0"/>
      <w:marRight w:val="0"/>
      <w:marTop w:val="0"/>
      <w:marBottom w:val="0"/>
      <w:divBdr>
        <w:top w:val="none" w:sz="0" w:space="0" w:color="auto"/>
        <w:left w:val="none" w:sz="0" w:space="0" w:color="auto"/>
        <w:bottom w:val="none" w:sz="0" w:space="0" w:color="auto"/>
        <w:right w:val="none" w:sz="0" w:space="0" w:color="auto"/>
      </w:divBdr>
    </w:div>
    <w:div w:id="1609311244">
      <w:bodyDiv w:val="1"/>
      <w:marLeft w:val="0"/>
      <w:marRight w:val="0"/>
      <w:marTop w:val="0"/>
      <w:marBottom w:val="0"/>
      <w:divBdr>
        <w:top w:val="none" w:sz="0" w:space="0" w:color="auto"/>
        <w:left w:val="none" w:sz="0" w:space="0" w:color="auto"/>
        <w:bottom w:val="none" w:sz="0" w:space="0" w:color="auto"/>
        <w:right w:val="none" w:sz="0" w:space="0" w:color="auto"/>
      </w:divBdr>
    </w:div>
    <w:div w:id="1609315826">
      <w:bodyDiv w:val="1"/>
      <w:marLeft w:val="0"/>
      <w:marRight w:val="0"/>
      <w:marTop w:val="0"/>
      <w:marBottom w:val="0"/>
      <w:divBdr>
        <w:top w:val="none" w:sz="0" w:space="0" w:color="auto"/>
        <w:left w:val="none" w:sz="0" w:space="0" w:color="auto"/>
        <w:bottom w:val="none" w:sz="0" w:space="0" w:color="auto"/>
        <w:right w:val="none" w:sz="0" w:space="0" w:color="auto"/>
      </w:divBdr>
    </w:div>
    <w:div w:id="1609393355">
      <w:bodyDiv w:val="1"/>
      <w:marLeft w:val="0"/>
      <w:marRight w:val="0"/>
      <w:marTop w:val="0"/>
      <w:marBottom w:val="0"/>
      <w:divBdr>
        <w:top w:val="none" w:sz="0" w:space="0" w:color="auto"/>
        <w:left w:val="none" w:sz="0" w:space="0" w:color="auto"/>
        <w:bottom w:val="none" w:sz="0" w:space="0" w:color="auto"/>
        <w:right w:val="none" w:sz="0" w:space="0" w:color="auto"/>
      </w:divBdr>
    </w:div>
    <w:div w:id="1609464557">
      <w:bodyDiv w:val="1"/>
      <w:marLeft w:val="0"/>
      <w:marRight w:val="0"/>
      <w:marTop w:val="0"/>
      <w:marBottom w:val="0"/>
      <w:divBdr>
        <w:top w:val="none" w:sz="0" w:space="0" w:color="auto"/>
        <w:left w:val="none" w:sz="0" w:space="0" w:color="auto"/>
        <w:bottom w:val="none" w:sz="0" w:space="0" w:color="auto"/>
        <w:right w:val="none" w:sz="0" w:space="0" w:color="auto"/>
      </w:divBdr>
    </w:div>
    <w:div w:id="1609509699">
      <w:bodyDiv w:val="1"/>
      <w:marLeft w:val="0"/>
      <w:marRight w:val="0"/>
      <w:marTop w:val="0"/>
      <w:marBottom w:val="0"/>
      <w:divBdr>
        <w:top w:val="none" w:sz="0" w:space="0" w:color="auto"/>
        <w:left w:val="none" w:sz="0" w:space="0" w:color="auto"/>
        <w:bottom w:val="none" w:sz="0" w:space="0" w:color="auto"/>
        <w:right w:val="none" w:sz="0" w:space="0" w:color="auto"/>
      </w:divBdr>
    </w:div>
    <w:div w:id="1609510728">
      <w:bodyDiv w:val="1"/>
      <w:marLeft w:val="0"/>
      <w:marRight w:val="0"/>
      <w:marTop w:val="0"/>
      <w:marBottom w:val="0"/>
      <w:divBdr>
        <w:top w:val="none" w:sz="0" w:space="0" w:color="auto"/>
        <w:left w:val="none" w:sz="0" w:space="0" w:color="auto"/>
        <w:bottom w:val="none" w:sz="0" w:space="0" w:color="auto"/>
        <w:right w:val="none" w:sz="0" w:space="0" w:color="auto"/>
      </w:divBdr>
    </w:div>
    <w:div w:id="1609654068">
      <w:bodyDiv w:val="1"/>
      <w:marLeft w:val="0"/>
      <w:marRight w:val="0"/>
      <w:marTop w:val="0"/>
      <w:marBottom w:val="0"/>
      <w:divBdr>
        <w:top w:val="none" w:sz="0" w:space="0" w:color="auto"/>
        <w:left w:val="none" w:sz="0" w:space="0" w:color="auto"/>
        <w:bottom w:val="none" w:sz="0" w:space="0" w:color="auto"/>
        <w:right w:val="none" w:sz="0" w:space="0" w:color="auto"/>
      </w:divBdr>
    </w:div>
    <w:div w:id="1609846910">
      <w:bodyDiv w:val="1"/>
      <w:marLeft w:val="0"/>
      <w:marRight w:val="0"/>
      <w:marTop w:val="0"/>
      <w:marBottom w:val="0"/>
      <w:divBdr>
        <w:top w:val="none" w:sz="0" w:space="0" w:color="auto"/>
        <w:left w:val="none" w:sz="0" w:space="0" w:color="auto"/>
        <w:bottom w:val="none" w:sz="0" w:space="0" w:color="auto"/>
        <w:right w:val="none" w:sz="0" w:space="0" w:color="auto"/>
      </w:divBdr>
    </w:div>
    <w:div w:id="1609849793">
      <w:bodyDiv w:val="1"/>
      <w:marLeft w:val="0"/>
      <w:marRight w:val="0"/>
      <w:marTop w:val="0"/>
      <w:marBottom w:val="0"/>
      <w:divBdr>
        <w:top w:val="none" w:sz="0" w:space="0" w:color="auto"/>
        <w:left w:val="none" w:sz="0" w:space="0" w:color="auto"/>
        <w:bottom w:val="none" w:sz="0" w:space="0" w:color="auto"/>
        <w:right w:val="none" w:sz="0" w:space="0" w:color="auto"/>
      </w:divBdr>
    </w:div>
    <w:div w:id="1610041262">
      <w:bodyDiv w:val="1"/>
      <w:marLeft w:val="0"/>
      <w:marRight w:val="0"/>
      <w:marTop w:val="0"/>
      <w:marBottom w:val="0"/>
      <w:divBdr>
        <w:top w:val="none" w:sz="0" w:space="0" w:color="auto"/>
        <w:left w:val="none" w:sz="0" w:space="0" w:color="auto"/>
        <w:bottom w:val="none" w:sz="0" w:space="0" w:color="auto"/>
        <w:right w:val="none" w:sz="0" w:space="0" w:color="auto"/>
      </w:divBdr>
    </w:div>
    <w:div w:id="1610116202">
      <w:bodyDiv w:val="1"/>
      <w:marLeft w:val="0"/>
      <w:marRight w:val="0"/>
      <w:marTop w:val="0"/>
      <w:marBottom w:val="0"/>
      <w:divBdr>
        <w:top w:val="none" w:sz="0" w:space="0" w:color="auto"/>
        <w:left w:val="none" w:sz="0" w:space="0" w:color="auto"/>
        <w:bottom w:val="none" w:sz="0" w:space="0" w:color="auto"/>
        <w:right w:val="none" w:sz="0" w:space="0" w:color="auto"/>
      </w:divBdr>
    </w:div>
    <w:div w:id="1610120375">
      <w:bodyDiv w:val="1"/>
      <w:marLeft w:val="0"/>
      <w:marRight w:val="0"/>
      <w:marTop w:val="0"/>
      <w:marBottom w:val="0"/>
      <w:divBdr>
        <w:top w:val="none" w:sz="0" w:space="0" w:color="auto"/>
        <w:left w:val="none" w:sz="0" w:space="0" w:color="auto"/>
        <w:bottom w:val="none" w:sz="0" w:space="0" w:color="auto"/>
        <w:right w:val="none" w:sz="0" w:space="0" w:color="auto"/>
      </w:divBdr>
    </w:div>
    <w:div w:id="1610120609">
      <w:bodyDiv w:val="1"/>
      <w:marLeft w:val="0"/>
      <w:marRight w:val="0"/>
      <w:marTop w:val="0"/>
      <w:marBottom w:val="0"/>
      <w:divBdr>
        <w:top w:val="none" w:sz="0" w:space="0" w:color="auto"/>
        <w:left w:val="none" w:sz="0" w:space="0" w:color="auto"/>
        <w:bottom w:val="none" w:sz="0" w:space="0" w:color="auto"/>
        <w:right w:val="none" w:sz="0" w:space="0" w:color="auto"/>
      </w:divBdr>
    </w:div>
    <w:div w:id="1610308526">
      <w:bodyDiv w:val="1"/>
      <w:marLeft w:val="0"/>
      <w:marRight w:val="0"/>
      <w:marTop w:val="0"/>
      <w:marBottom w:val="0"/>
      <w:divBdr>
        <w:top w:val="none" w:sz="0" w:space="0" w:color="auto"/>
        <w:left w:val="none" w:sz="0" w:space="0" w:color="auto"/>
        <w:bottom w:val="none" w:sz="0" w:space="0" w:color="auto"/>
        <w:right w:val="none" w:sz="0" w:space="0" w:color="auto"/>
      </w:divBdr>
    </w:div>
    <w:div w:id="1610351589">
      <w:bodyDiv w:val="1"/>
      <w:marLeft w:val="0"/>
      <w:marRight w:val="0"/>
      <w:marTop w:val="0"/>
      <w:marBottom w:val="0"/>
      <w:divBdr>
        <w:top w:val="none" w:sz="0" w:space="0" w:color="auto"/>
        <w:left w:val="none" w:sz="0" w:space="0" w:color="auto"/>
        <w:bottom w:val="none" w:sz="0" w:space="0" w:color="auto"/>
        <w:right w:val="none" w:sz="0" w:space="0" w:color="auto"/>
      </w:divBdr>
    </w:div>
    <w:div w:id="1610507506">
      <w:bodyDiv w:val="1"/>
      <w:marLeft w:val="0"/>
      <w:marRight w:val="0"/>
      <w:marTop w:val="0"/>
      <w:marBottom w:val="0"/>
      <w:divBdr>
        <w:top w:val="none" w:sz="0" w:space="0" w:color="auto"/>
        <w:left w:val="none" w:sz="0" w:space="0" w:color="auto"/>
        <w:bottom w:val="none" w:sz="0" w:space="0" w:color="auto"/>
        <w:right w:val="none" w:sz="0" w:space="0" w:color="auto"/>
      </w:divBdr>
    </w:div>
    <w:div w:id="1610547426">
      <w:bodyDiv w:val="1"/>
      <w:marLeft w:val="0"/>
      <w:marRight w:val="0"/>
      <w:marTop w:val="0"/>
      <w:marBottom w:val="0"/>
      <w:divBdr>
        <w:top w:val="none" w:sz="0" w:space="0" w:color="auto"/>
        <w:left w:val="none" w:sz="0" w:space="0" w:color="auto"/>
        <w:bottom w:val="none" w:sz="0" w:space="0" w:color="auto"/>
        <w:right w:val="none" w:sz="0" w:space="0" w:color="auto"/>
      </w:divBdr>
    </w:div>
    <w:div w:id="1610548736">
      <w:bodyDiv w:val="1"/>
      <w:marLeft w:val="0"/>
      <w:marRight w:val="0"/>
      <w:marTop w:val="0"/>
      <w:marBottom w:val="0"/>
      <w:divBdr>
        <w:top w:val="none" w:sz="0" w:space="0" w:color="auto"/>
        <w:left w:val="none" w:sz="0" w:space="0" w:color="auto"/>
        <w:bottom w:val="none" w:sz="0" w:space="0" w:color="auto"/>
        <w:right w:val="none" w:sz="0" w:space="0" w:color="auto"/>
      </w:divBdr>
    </w:div>
    <w:div w:id="1610552862">
      <w:bodyDiv w:val="1"/>
      <w:marLeft w:val="0"/>
      <w:marRight w:val="0"/>
      <w:marTop w:val="0"/>
      <w:marBottom w:val="0"/>
      <w:divBdr>
        <w:top w:val="none" w:sz="0" w:space="0" w:color="auto"/>
        <w:left w:val="none" w:sz="0" w:space="0" w:color="auto"/>
        <w:bottom w:val="none" w:sz="0" w:space="0" w:color="auto"/>
        <w:right w:val="none" w:sz="0" w:space="0" w:color="auto"/>
      </w:divBdr>
    </w:div>
    <w:div w:id="1610621690">
      <w:bodyDiv w:val="1"/>
      <w:marLeft w:val="0"/>
      <w:marRight w:val="0"/>
      <w:marTop w:val="0"/>
      <w:marBottom w:val="0"/>
      <w:divBdr>
        <w:top w:val="none" w:sz="0" w:space="0" w:color="auto"/>
        <w:left w:val="none" w:sz="0" w:space="0" w:color="auto"/>
        <w:bottom w:val="none" w:sz="0" w:space="0" w:color="auto"/>
        <w:right w:val="none" w:sz="0" w:space="0" w:color="auto"/>
      </w:divBdr>
    </w:div>
    <w:div w:id="1610699827">
      <w:bodyDiv w:val="1"/>
      <w:marLeft w:val="0"/>
      <w:marRight w:val="0"/>
      <w:marTop w:val="0"/>
      <w:marBottom w:val="0"/>
      <w:divBdr>
        <w:top w:val="none" w:sz="0" w:space="0" w:color="auto"/>
        <w:left w:val="none" w:sz="0" w:space="0" w:color="auto"/>
        <w:bottom w:val="none" w:sz="0" w:space="0" w:color="auto"/>
        <w:right w:val="none" w:sz="0" w:space="0" w:color="auto"/>
      </w:divBdr>
    </w:div>
    <w:div w:id="1610812321">
      <w:bodyDiv w:val="1"/>
      <w:marLeft w:val="0"/>
      <w:marRight w:val="0"/>
      <w:marTop w:val="0"/>
      <w:marBottom w:val="0"/>
      <w:divBdr>
        <w:top w:val="none" w:sz="0" w:space="0" w:color="auto"/>
        <w:left w:val="none" w:sz="0" w:space="0" w:color="auto"/>
        <w:bottom w:val="none" w:sz="0" w:space="0" w:color="auto"/>
        <w:right w:val="none" w:sz="0" w:space="0" w:color="auto"/>
      </w:divBdr>
    </w:div>
    <w:div w:id="1610965898">
      <w:bodyDiv w:val="1"/>
      <w:marLeft w:val="0"/>
      <w:marRight w:val="0"/>
      <w:marTop w:val="0"/>
      <w:marBottom w:val="0"/>
      <w:divBdr>
        <w:top w:val="none" w:sz="0" w:space="0" w:color="auto"/>
        <w:left w:val="none" w:sz="0" w:space="0" w:color="auto"/>
        <w:bottom w:val="none" w:sz="0" w:space="0" w:color="auto"/>
        <w:right w:val="none" w:sz="0" w:space="0" w:color="auto"/>
      </w:divBdr>
    </w:div>
    <w:div w:id="1610968001">
      <w:bodyDiv w:val="1"/>
      <w:marLeft w:val="0"/>
      <w:marRight w:val="0"/>
      <w:marTop w:val="0"/>
      <w:marBottom w:val="0"/>
      <w:divBdr>
        <w:top w:val="none" w:sz="0" w:space="0" w:color="auto"/>
        <w:left w:val="none" w:sz="0" w:space="0" w:color="auto"/>
        <w:bottom w:val="none" w:sz="0" w:space="0" w:color="auto"/>
        <w:right w:val="none" w:sz="0" w:space="0" w:color="auto"/>
      </w:divBdr>
    </w:div>
    <w:div w:id="1610972479">
      <w:bodyDiv w:val="1"/>
      <w:marLeft w:val="0"/>
      <w:marRight w:val="0"/>
      <w:marTop w:val="0"/>
      <w:marBottom w:val="0"/>
      <w:divBdr>
        <w:top w:val="none" w:sz="0" w:space="0" w:color="auto"/>
        <w:left w:val="none" w:sz="0" w:space="0" w:color="auto"/>
        <w:bottom w:val="none" w:sz="0" w:space="0" w:color="auto"/>
        <w:right w:val="none" w:sz="0" w:space="0" w:color="auto"/>
      </w:divBdr>
    </w:div>
    <w:div w:id="1611275974">
      <w:bodyDiv w:val="1"/>
      <w:marLeft w:val="0"/>
      <w:marRight w:val="0"/>
      <w:marTop w:val="0"/>
      <w:marBottom w:val="0"/>
      <w:divBdr>
        <w:top w:val="none" w:sz="0" w:space="0" w:color="auto"/>
        <w:left w:val="none" w:sz="0" w:space="0" w:color="auto"/>
        <w:bottom w:val="none" w:sz="0" w:space="0" w:color="auto"/>
        <w:right w:val="none" w:sz="0" w:space="0" w:color="auto"/>
      </w:divBdr>
    </w:div>
    <w:div w:id="1611283442">
      <w:bodyDiv w:val="1"/>
      <w:marLeft w:val="0"/>
      <w:marRight w:val="0"/>
      <w:marTop w:val="0"/>
      <w:marBottom w:val="0"/>
      <w:divBdr>
        <w:top w:val="none" w:sz="0" w:space="0" w:color="auto"/>
        <w:left w:val="none" w:sz="0" w:space="0" w:color="auto"/>
        <w:bottom w:val="none" w:sz="0" w:space="0" w:color="auto"/>
        <w:right w:val="none" w:sz="0" w:space="0" w:color="auto"/>
      </w:divBdr>
    </w:div>
    <w:div w:id="1611425998">
      <w:bodyDiv w:val="1"/>
      <w:marLeft w:val="0"/>
      <w:marRight w:val="0"/>
      <w:marTop w:val="0"/>
      <w:marBottom w:val="0"/>
      <w:divBdr>
        <w:top w:val="none" w:sz="0" w:space="0" w:color="auto"/>
        <w:left w:val="none" w:sz="0" w:space="0" w:color="auto"/>
        <w:bottom w:val="none" w:sz="0" w:space="0" w:color="auto"/>
        <w:right w:val="none" w:sz="0" w:space="0" w:color="auto"/>
      </w:divBdr>
    </w:div>
    <w:div w:id="1611473102">
      <w:bodyDiv w:val="1"/>
      <w:marLeft w:val="0"/>
      <w:marRight w:val="0"/>
      <w:marTop w:val="0"/>
      <w:marBottom w:val="0"/>
      <w:divBdr>
        <w:top w:val="none" w:sz="0" w:space="0" w:color="auto"/>
        <w:left w:val="none" w:sz="0" w:space="0" w:color="auto"/>
        <w:bottom w:val="none" w:sz="0" w:space="0" w:color="auto"/>
        <w:right w:val="none" w:sz="0" w:space="0" w:color="auto"/>
      </w:divBdr>
    </w:div>
    <w:div w:id="1611550511">
      <w:bodyDiv w:val="1"/>
      <w:marLeft w:val="0"/>
      <w:marRight w:val="0"/>
      <w:marTop w:val="0"/>
      <w:marBottom w:val="0"/>
      <w:divBdr>
        <w:top w:val="none" w:sz="0" w:space="0" w:color="auto"/>
        <w:left w:val="none" w:sz="0" w:space="0" w:color="auto"/>
        <w:bottom w:val="none" w:sz="0" w:space="0" w:color="auto"/>
        <w:right w:val="none" w:sz="0" w:space="0" w:color="auto"/>
      </w:divBdr>
    </w:div>
    <w:div w:id="1611624116">
      <w:bodyDiv w:val="1"/>
      <w:marLeft w:val="0"/>
      <w:marRight w:val="0"/>
      <w:marTop w:val="0"/>
      <w:marBottom w:val="0"/>
      <w:divBdr>
        <w:top w:val="none" w:sz="0" w:space="0" w:color="auto"/>
        <w:left w:val="none" w:sz="0" w:space="0" w:color="auto"/>
        <w:bottom w:val="none" w:sz="0" w:space="0" w:color="auto"/>
        <w:right w:val="none" w:sz="0" w:space="0" w:color="auto"/>
      </w:divBdr>
    </w:div>
    <w:div w:id="1611738020">
      <w:bodyDiv w:val="1"/>
      <w:marLeft w:val="0"/>
      <w:marRight w:val="0"/>
      <w:marTop w:val="0"/>
      <w:marBottom w:val="0"/>
      <w:divBdr>
        <w:top w:val="none" w:sz="0" w:space="0" w:color="auto"/>
        <w:left w:val="none" w:sz="0" w:space="0" w:color="auto"/>
        <w:bottom w:val="none" w:sz="0" w:space="0" w:color="auto"/>
        <w:right w:val="none" w:sz="0" w:space="0" w:color="auto"/>
      </w:divBdr>
    </w:div>
    <w:div w:id="1611858522">
      <w:bodyDiv w:val="1"/>
      <w:marLeft w:val="0"/>
      <w:marRight w:val="0"/>
      <w:marTop w:val="0"/>
      <w:marBottom w:val="0"/>
      <w:divBdr>
        <w:top w:val="none" w:sz="0" w:space="0" w:color="auto"/>
        <w:left w:val="none" w:sz="0" w:space="0" w:color="auto"/>
        <w:bottom w:val="none" w:sz="0" w:space="0" w:color="auto"/>
        <w:right w:val="none" w:sz="0" w:space="0" w:color="auto"/>
      </w:divBdr>
    </w:div>
    <w:div w:id="1612006859">
      <w:bodyDiv w:val="1"/>
      <w:marLeft w:val="0"/>
      <w:marRight w:val="0"/>
      <w:marTop w:val="0"/>
      <w:marBottom w:val="0"/>
      <w:divBdr>
        <w:top w:val="none" w:sz="0" w:space="0" w:color="auto"/>
        <w:left w:val="none" w:sz="0" w:space="0" w:color="auto"/>
        <w:bottom w:val="none" w:sz="0" w:space="0" w:color="auto"/>
        <w:right w:val="none" w:sz="0" w:space="0" w:color="auto"/>
      </w:divBdr>
    </w:div>
    <w:div w:id="1612011936">
      <w:bodyDiv w:val="1"/>
      <w:marLeft w:val="0"/>
      <w:marRight w:val="0"/>
      <w:marTop w:val="0"/>
      <w:marBottom w:val="0"/>
      <w:divBdr>
        <w:top w:val="none" w:sz="0" w:space="0" w:color="auto"/>
        <w:left w:val="none" w:sz="0" w:space="0" w:color="auto"/>
        <w:bottom w:val="none" w:sz="0" w:space="0" w:color="auto"/>
        <w:right w:val="none" w:sz="0" w:space="0" w:color="auto"/>
      </w:divBdr>
    </w:div>
    <w:div w:id="1612123139">
      <w:bodyDiv w:val="1"/>
      <w:marLeft w:val="0"/>
      <w:marRight w:val="0"/>
      <w:marTop w:val="0"/>
      <w:marBottom w:val="0"/>
      <w:divBdr>
        <w:top w:val="none" w:sz="0" w:space="0" w:color="auto"/>
        <w:left w:val="none" w:sz="0" w:space="0" w:color="auto"/>
        <w:bottom w:val="none" w:sz="0" w:space="0" w:color="auto"/>
        <w:right w:val="none" w:sz="0" w:space="0" w:color="auto"/>
      </w:divBdr>
    </w:div>
    <w:div w:id="1612124268">
      <w:bodyDiv w:val="1"/>
      <w:marLeft w:val="0"/>
      <w:marRight w:val="0"/>
      <w:marTop w:val="0"/>
      <w:marBottom w:val="0"/>
      <w:divBdr>
        <w:top w:val="none" w:sz="0" w:space="0" w:color="auto"/>
        <w:left w:val="none" w:sz="0" w:space="0" w:color="auto"/>
        <w:bottom w:val="none" w:sz="0" w:space="0" w:color="auto"/>
        <w:right w:val="none" w:sz="0" w:space="0" w:color="auto"/>
      </w:divBdr>
    </w:div>
    <w:div w:id="1612199982">
      <w:bodyDiv w:val="1"/>
      <w:marLeft w:val="0"/>
      <w:marRight w:val="0"/>
      <w:marTop w:val="0"/>
      <w:marBottom w:val="0"/>
      <w:divBdr>
        <w:top w:val="none" w:sz="0" w:space="0" w:color="auto"/>
        <w:left w:val="none" w:sz="0" w:space="0" w:color="auto"/>
        <w:bottom w:val="none" w:sz="0" w:space="0" w:color="auto"/>
        <w:right w:val="none" w:sz="0" w:space="0" w:color="auto"/>
      </w:divBdr>
    </w:div>
    <w:div w:id="1612206812">
      <w:bodyDiv w:val="1"/>
      <w:marLeft w:val="0"/>
      <w:marRight w:val="0"/>
      <w:marTop w:val="0"/>
      <w:marBottom w:val="0"/>
      <w:divBdr>
        <w:top w:val="none" w:sz="0" w:space="0" w:color="auto"/>
        <w:left w:val="none" w:sz="0" w:space="0" w:color="auto"/>
        <w:bottom w:val="none" w:sz="0" w:space="0" w:color="auto"/>
        <w:right w:val="none" w:sz="0" w:space="0" w:color="auto"/>
      </w:divBdr>
    </w:div>
    <w:div w:id="1612274403">
      <w:bodyDiv w:val="1"/>
      <w:marLeft w:val="0"/>
      <w:marRight w:val="0"/>
      <w:marTop w:val="0"/>
      <w:marBottom w:val="0"/>
      <w:divBdr>
        <w:top w:val="none" w:sz="0" w:space="0" w:color="auto"/>
        <w:left w:val="none" w:sz="0" w:space="0" w:color="auto"/>
        <w:bottom w:val="none" w:sz="0" w:space="0" w:color="auto"/>
        <w:right w:val="none" w:sz="0" w:space="0" w:color="auto"/>
      </w:divBdr>
    </w:div>
    <w:div w:id="1612393725">
      <w:bodyDiv w:val="1"/>
      <w:marLeft w:val="0"/>
      <w:marRight w:val="0"/>
      <w:marTop w:val="0"/>
      <w:marBottom w:val="0"/>
      <w:divBdr>
        <w:top w:val="none" w:sz="0" w:space="0" w:color="auto"/>
        <w:left w:val="none" w:sz="0" w:space="0" w:color="auto"/>
        <w:bottom w:val="none" w:sz="0" w:space="0" w:color="auto"/>
        <w:right w:val="none" w:sz="0" w:space="0" w:color="auto"/>
      </w:divBdr>
    </w:div>
    <w:div w:id="1612397003">
      <w:bodyDiv w:val="1"/>
      <w:marLeft w:val="0"/>
      <w:marRight w:val="0"/>
      <w:marTop w:val="0"/>
      <w:marBottom w:val="0"/>
      <w:divBdr>
        <w:top w:val="none" w:sz="0" w:space="0" w:color="auto"/>
        <w:left w:val="none" w:sz="0" w:space="0" w:color="auto"/>
        <w:bottom w:val="none" w:sz="0" w:space="0" w:color="auto"/>
        <w:right w:val="none" w:sz="0" w:space="0" w:color="auto"/>
      </w:divBdr>
    </w:div>
    <w:div w:id="1612665249">
      <w:bodyDiv w:val="1"/>
      <w:marLeft w:val="0"/>
      <w:marRight w:val="0"/>
      <w:marTop w:val="0"/>
      <w:marBottom w:val="0"/>
      <w:divBdr>
        <w:top w:val="none" w:sz="0" w:space="0" w:color="auto"/>
        <w:left w:val="none" w:sz="0" w:space="0" w:color="auto"/>
        <w:bottom w:val="none" w:sz="0" w:space="0" w:color="auto"/>
        <w:right w:val="none" w:sz="0" w:space="0" w:color="auto"/>
      </w:divBdr>
    </w:div>
    <w:div w:id="1612741655">
      <w:bodyDiv w:val="1"/>
      <w:marLeft w:val="0"/>
      <w:marRight w:val="0"/>
      <w:marTop w:val="0"/>
      <w:marBottom w:val="0"/>
      <w:divBdr>
        <w:top w:val="none" w:sz="0" w:space="0" w:color="auto"/>
        <w:left w:val="none" w:sz="0" w:space="0" w:color="auto"/>
        <w:bottom w:val="none" w:sz="0" w:space="0" w:color="auto"/>
        <w:right w:val="none" w:sz="0" w:space="0" w:color="auto"/>
      </w:divBdr>
    </w:div>
    <w:div w:id="1612855110">
      <w:bodyDiv w:val="1"/>
      <w:marLeft w:val="0"/>
      <w:marRight w:val="0"/>
      <w:marTop w:val="0"/>
      <w:marBottom w:val="0"/>
      <w:divBdr>
        <w:top w:val="none" w:sz="0" w:space="0" w:color="auto"/>
        <w:left w:val="none" w:sz="0" w:space="0" w:color="auto"/>
        <w:bottom w:val="none" w:sz="0" w:space="0" w:color="auto"/>
        <w:right w:val="none" w:sz="0" w:space="0" w:color="auto"/>
      </w:divBdr>
    </w:div>
    <w:div w:id="1612855578">
      <w:bodyDiv w:val="1"/>
      <w:marLeft w:val="0"/>
      <w:marRight w:val="0"/>
      <w:marTop w:val="0"/>
      <w:marBottom w:val="0"/>
      <w:divBdr>
        <w:top w:val="none" w:sz="0" w:space="0" w:color="auto"/>
        <w:left w:val="none" w:sz="0" w:space="0" w:color="auto"/>
        <w:bottom w:val="none" w:sz="0" w:space="0" w:color="auto"/>
        <w:right w:val="none" w:sz="0" w:space="0" w:color="auto"/>
      </w:divBdr>
    </w:div>
    <w:div w:id="1612861196">
      <w:bodyDiv w:val="1"/>
      <w:marLeft w:val="0"/>
      <w:marRight w:val="0"/>
      <w:marTop w:val="0"/>
      <w:marBottom w:val="0"/>
      <w:divBdr>
        <w:top w:val="none" w:sz="0" w:space="0" w:color="auto"/>
        <w:left w:val="none" w:sz="0" w:space="0" w:color="auto"/>
        <w:bottom w:val="none" w:sz="0" w:space="0" w:color="auto"/>
        <w:right w:val="none" w:sz="0" w:space="0" w:color="auto"/>
      </w:divBdr>
    </w:div>
    <w:div w:id="1612862304">
      <w:bodyDiv w:val="1"/>
      <w:marLeft w:val="0"/>
      <w:marRight w:val="0"/>
      <w:marTop w:val="0"/>
      <w:marBottom w:val="0"/>
      <w:divBdr>
        <w:top w:val="none" w:sz="0" w:space="0" w:color="auto"/>
        <w:left w:val="none" w:sz="0" w:space="0" w:color="auto"/>
        <w:bottom w:val="none" w:sz="0" w:space="0" w:color="auto"/>
        <w:right w:val="none" w:sz="0" w:space="0" w:color="auto"/>
      </w:divBdr>
    </w:div>
    <w:div w:id="1612929156">
      <w:bodyDiv w:val="1"/>
      <w:marLeft w:val="0"/>
      <w:marRight w:val="0"/>
      <w:marTop w:val="0"/>
      <w:marBottom w:val="0"/>
      <w:divBdr>
        <w:top w:val="none" w:sz="0" w:space="0" w:color="auto"/>
        <w:left w:val="none" w:sz="0" w:space="0" w:color="auto"/>
        <w:bottom w:val="none" w:sz="0" w:space="0" w:color="auto"/>
        <w:right w:val="none" w:sz="0" w:space="0" w:color="auto"/>
      </w:divBdr>
    </w:div>
    <w:div w:id="1612972583">
      <w:bodyDiv w:val="1"/>
      <w:marLeft w:val="0"/>
      <w:marRight w:val="0"/>
      <w:marTop w:val="0"/>
      <w:marBottom w:val="0"/>
      <w:divBdr>
        <w:top w:val="none" w:sz="0" w:space="0" w:color="auto"/>
        <w:left w:val="none" w:sz="0" w:space="0" w:color="auto"/>
        <w:bottom w:val="none" w:sz="0" w:space="0" w:color="auto"/>
        <w:right w:val="none" w:sz="0" w:space="0" w:color="auto"/>
      </w:divBdr>
    </w:div>
    <w:div w:id="1612977689">
      <w:bodyDiv w:val="1"/>
      <w:marLeft w:val="0"/>
      <w:marRight w:val="0"/>
      <w:marTop w:val="0"/>
      <w:marBottom w:val="0"/>
      <w:divBdr>
        <w:top w:val="none" w:sz="0" w:space="0" w:color="auto"/>
        <w:left w:val="none" w:sz="0" w:space="0" w:color="auto"/>
        <w:bottom w:val="none" w:sz="0" w:space="0" w:color="auto"/>
        <w:right w:val="none" w:sz="0" w:space="0" w:color="auto"/>
      </w:divBdr>
    </w:div>
    <w:div w:id="1613127333">
      <w:bodyDiv w:val="1"/>
      <w:marLeft w:val="0"/>
      <w:marRight w:val="0"/>
      <w:marTop w:val="0"/>
      <w:marBottom w:val="0"/>
      <w:divBdr>
        <w:top w:val="none" w:sz="0" w:space="0" w:color="auto"/>
        <w:left w:val="none" w:sz="0" w:space="0" w:color="auto"/>
        <w:bottom w:val="none" w:sz="0" w:space="0" w:color="auto"/>
        <w:right w:val="none" w:sz="0" w:space="0" w:color="auto"/>
      </w:divBdr>
    </w:div>
    <w:div w:id="1613170867">
      <w:bodyDiv w:val="1"/>
      <w:marLeft w:val="0"/>
      <w:marRight w:val="0"/>
      <w:marTop w:val="0"/>
      <w:marBottom w:val="0"/>
      <w:divBdr>
        <w:top w:val="none" w:sz="0" w:space="0" w:color="auto"/>
        <w:left w:val="none" w:sz="0" w:space="0" w:color="auto"/>
        <w:bottom w:val="none" w:sz="0" w:space="0" w:color="auto"/>
        <w:right w:val="none" w:sz="0" w:space="0" w:color="auto"/>
      </w:divBdr>
    </w:div>
    <w:div w:id="1613246921">
      <w:bodyDiv w:val="1"/>
      <w:marLeft w:val="0"/>
      <w:marRight w:val="0"/>
      <w:marTop w:val="0"/>
      <w:marBottom w:val="0"/>
      <w:divBdr>
        <w:top w:val="none" w:sz="0" w:space="0" w:color="auto"/>
        <w:left w:val="none" w:sz="0" w:space="0" w:color="auto"/>
        <w:bottom w:val="none" w:sz="0" w:space="0" w:color="auto"/>
        <w:right w:val="none" w:sz="0" w:space="0" w:color="auto"/>
      </w:divBdr>
    </w:div>
    <w:div w:id="1613397674">
      <w:bodyDiv w:val="1"/>
      <w:marLeft w:val="0"/>
      <w:marRight w:val="0"/>
      <w:marTop w:val="0"/>
      <w:marBottom w:val="0"/>
      <w:divBdr>
        <w:top w:val="none" w:sz="0" w:space="0" w:color="auto"/>
        <w:left w:val="none" w:sz="0" w:space="0" w:color="auto"/>
        <w:bottom w:val="none" w:sz="0" w:space="0" w:color="auto"/>
        <w:right w:val="none" w:sz="0" w:space="0" w:color="auto"/>
      </w:divBdr>
    </w:div>
    <w:div w:id="1613511581">
      <w:bodyDiv w:val="1"/>
      <w:marLeft w:val="0"/>
      <w:marRight w:val="0"/>
      <w:marTop w:val="0"/>
      <w:marBottom w:val="0"/>
      <w:divBdr>
        <w:top w:val="none" w:sz="0" w:space="0" w:color="auto"/>
        <w:left w:val="none" w:sz="0" w:space="0" w:color="auto"/>
        <w:bottom w:val="none" w:sz="0" w:space="0" w:color="auto"/>
        <w:right w:val="none" w:sz="0" w:space="0" w:color="auto"/>
      </w:divBdr>
    </w:div>
    <w:div w:id="1613586338">
      <w:bodyDiv w:val="1"/>
      <w:marLeft w:val="0"/>
      <w:marRight w:val="0"/>
      <w:marTop w:val="0"/>
      <w:marBottom w:val="0"/>
      <w:divBdr>
        <w:top w:val="none" w:sz="0" w:space="0" w:color="auto"/>
        <w:left w:val="none" w:sz="0" w:space="0" w:color="auto"/>
        <w:bottom w:val="none" w:sz="0" w:space="0" w:color="auto"/>
        <w:right w:val="none" w:sz="0" w:space="0" w:color="auto"/>
      </w:divBdr>
    </w:div>
    <w:div w:id="1613588597">
      <w:bodyDiv w:val="1"/>
      <w:marLeft w:val="0"/>
      <w:marRight w:val="0"/>
      <w:marTop w:val="0"/>
      <w:marBottom w:val="0"/>
      <w:divBdr>
        <w:top w:val="none" w:sz="0" w:space="0" w:color="auto"/>
        <w:left w:val="none" w:sz="0" w:space="0" w:color="auto"/>
        <w:bottom w:val="none" w:sz="0" w:space="0" w:color="auto"/>
        <w:right w:val="none" w:sz="0" w:space="0" w:color="auto"/>
      </w:divBdr>
    </w:div>
    <w:div w:id="1613592076">
      <w:bodyDiv w:val="1"/>
      <w:marLeft w:val="0"/>
      <w:marRight w:val="0"/>
      <w:marTop w:val="0"/>
      <w:marBottom w:val="0"/>
      <w:divBdr>
        <w:top w:val="none" w:sz="0" w:space="0" w:color="auto"/>
        <w:left w:val="none" w:sz="0" w:space="0" w:color="auto"/>
        <w:bottom w:val="none" w:sz="0" w:space="0" w:color="auto"/>
        <w:right w:val="none" w:sz="0" w:space="0" w:color="auto"/>
      </w:divBdr>
    </w:div>
    <w:div w:id="1613630460">
      <w:bodyDiv w:val="1"/>
      <w:marLeft w:val="0"/>
      <w:marRight w:val="0"/>
      <w:marTop w:val="0"/>
      <w:marBottom w:val="0"/>
      <w:divBdr>
        <w:top w:val="none" w:sz="0" w:space="0" w:color="auto"/>
        <w:left w:val="none" w:sz="0" w:space="0" w:color="auto"/>
        <w:bottom w:val="none" w:sz="0" w:space="0" w:color="auto"/>
        <w:right w:val="none" w:sz="0" w:space="0" w:color="auto"/>
      </w:divBdr>
    </w:div>
    <w:div w:id="1613777802">
      <w:bodyDiv w:val="1"/>
      <w:marLeft w:val="0"/>
      <w:marRight w:val="0"/>
      <w:marTop w:val="0"/>
      <w:marBottom w:val="0"/>
      <w:divBdr>
        <w:top w:val="none" w:sz="0" w:space="0" w:color="auto"/>
        <w:left w:val="none" w:sz="0" w:space="0" w:color="auto"/>
        <w:bottom w:val="none" w:sz="0" w:space="0" w:color="auto"/>
        <w:right w:val="none" w:sz="0" w:space="0" w:color="auto"/>
      </w:divBdr>
    </w:div>
    <w:div w:id="1613780342">
      <w:bodyDiv w:val="1"/>
      <w:marLeft w:val="0"/>
      <w:marRight w:val="0"/>
      <w:marTop w:val="0"/>
      <w:marBottom w:val="0"/>
      <w:divBdr>
        <w:top w:val="none" w:sz="0" w:space="0" w:color="auto"/>
        <w:left w:val="none" w:sz="0" w:space="0" w:color="auto"/>
        <w:bottom w:val="none" w:sz="0" w:space="0" w:color="auto"/>
        <w:right w:val="none" w:sz="0" w:space="0" w:color="auto"/>
      </w:divBdr>
    </w:div>
    <w:div w:id="1613828468">
      <w:bodyDiv w:val="1"/>
      <w:marLeft w:val="0"/>
      <w:marRight w:val="0"/>
      <w:marTop w:val="0"/>
      <w:marBottom w:val="0"/>
      <w:divBdr>
        <w:top w:val="none" w:sz="0" w:space="0" w:color="auto"/>
        <w:left w:val="none" w:sz="0" w:space="0" w:color="auto"/>
        <w:bottom w:val="none" w:sz="0" w:space="0" w:color="auto"/>
        <w:right w:val="none" w:sz="0" w:space="0" w:color="auto"/>
      </w:divBdr>
    </w:div>
    <w:div w:id="1613899609">
      <w:bodyDiv w:val="1"/>
      <w:marLeft w:val="0"/>
      <w:marRight w:val="0"/>
      <w:marTop w:val="0"/>
      <w:marBottom w:val="0"/>
      <w:divBdr>
        <w:top w:val="none" w:sz="0" w:space="0" w:color="auto"/>
        <w:left w:val="none" w:sz="0" w:space="0" w:color="auto"/>
        <w:bottom w:val="none" w:sz="0" w:space="0" w:color="auto"/>
        <w:right w:val="none" w:sz="0" w:space="0" w:color="auto"/>
      </w:divBdr>
    </w:div>
    <w:div w:id="1613899867">
      <w:bodyDiv w:val="1"/>
      <w:marLeft w:val="0"/>
      <w:marRight w:val="0"/>
      <w:marTop w:val="0"/>
      <w:marBottom w:val="0"/>
      <w:divBdr>
        <w:top w:val="none" w:sz="0" w:space="0" w:color="auto"/>
        <w:left w:val="none" w:sz="0" w:space="0" w:color="auto"/>
        <w:bottom w:val="none" w:sz="0" w:space="0" w:color="auto"/>
        <w:right w:val="none" w:sz="0" w:space="0" w:color="auto"/>
      </w:divBdr>
    </w:div>
    <w:div w:id="1613901172">
      <w:bodyDiv w:val="1"/>
      <w:marLeft w:val="0"/>
      <w:marRight w:val="0"/>
      <w:marTop w:val="0"/>
      <w:marBottom w:val="0"/>
      <w:divBdr>
        <w:top w:val="none" w:sz="0" w:space="0" w:color="auto"/>
        <w:left w:val="none" w:sz="0" w:space="0" w:color="auto"/>
        <w:bottom w:val="none" w:sz="0" w:space="0" w:color="auto"/>
        <w:right w:val="none" w:sz="0" w:space="0" w:color="auto"/>
      </w:divBdr>
    </w:div>
    <w:div w:id="1613976865">
      <w:bodyDiv w:val="1"/>
      <w:marLeft w:val="0"/>
      <w:marRight w:val="0"/>
      <w:marTop w:val="0"/>
      <w:marBottom w:val="0"/>
      <w:divBdr>
        <w:top w:val="none" w:sz="0" w:space="0" w:color="auto"/>
        <w:left w:val="none" w:sz="0" w:space="0" w:color="auto"/>
        <w:bottom w:val="none" w:sz="0" w:space="0" w:color="auto"/>
        <w:right w:val="none" w:sz="0" w:space="0" w:color="auto"/>
      </w:divBdr>
    </w:div>
    <w:div w:id="1614047694">
      <w:bodyDiv w:val="1"/>
      <w:marLeft w:val="0"/>
      <w:marRight w:val="0"/>
      <w:marTop w:val="0"/>
      <w:marBottom w:val="0"/>
      <w:divBdr>
        <w:top w:val="none" w:sz="0" w:space="0" w:color="auto"/>
        <w:left w:val="none" w:sz="0" w:space="0" w:color="auto"/>
        <w:bottom w:val="none" w:sz="0" w:space="0" w:color="auto"/>
        <w:right w:val="none" w:sz="0" w:space="0" w:color="auto"/>
      </w:divBdr>
    </w:div>
    <w:div w:id="1614048392">
      <w:bodyDiv w:val="1"/>
      <w:marLeft w:val="0"/>
      <w:marRight w:val="0"/>
      <w:marTop w:val="0"/>
      <w:marBottom w:val="0"/>
      <w:divBdr>
        <w:top w:val="none" w:sz="0" w:space="0" w:color="auto"/>
        <w:left w:val="none" w:sz="0" w:space="0" w:color="auto"/>
        <w:bottom w:val="none" w:sz="0" w:space="0" w:color="auto"/>
        <w:right w:val="none" w:sz="0" w:space="0" w:color="auto"/>
      </w:divBdr>
    </w:div>
    <w:div w:id="1614166099">
      <w:bodyDiv w:val="1"/>
      <w:marLeft w:val="0"/>
      <w:marRight w:val="0"/>
      <w:marTop w:val="0"/>
      <w:marBottom w:val="0"/>
      <w:divBdr>
        <w:top w:val="none" w:sz="0" w:space="0" w:color="auto"/>
        <w:left w:val="none" w:sz="0" w:space="0" w:color="auto"/>
        <w:bottom w:val="none" w:sz="0" w:space="0" w:color="auto"/>
        <w:right w:val="none" w:sz="0" w:space="0" w:color="auto"/>
      </w:divBdr>
    </w:div>
    <w:div w:id="1614283888">
      <w:bodyDiv w:val="1"/>
      <w:marLeft w:val="0"/>
      <w:marRight w:val="0"/>
      <w:marTop w:val="0"/>
      <w:marBottom w:val="0"/>
      <w:divBdr>
        <w:top w:val="none" w:sz="0" w:space="0" w:color="auto"/>
        <w:left w:val="none" w:sz="0" w:space="0" w:color="auto"/>
        <w:bottom w:val="none" w:sz="0" w:space="0" w:color="auto"/>
        <w:right w:val="none" w:sz="0" w:space="0" w:color="auto"/>
      </w:divBdr>
    </w:div>
    <w:div w:id="1614284662">
      <w:bodyDiv w:val="1"/>
      <w:marLeft w:val="0"/>
      <w:marRight w:val="0"/>
      <w:marTop w:val="0"/>
      <w:marBottom w:val="0"/>
      <w:divBdr>
        <w:top w:val="none" w:sz="0" w:space="0" w:color="auto"/>
        <w:left w:val="none" w:sz="0" w:space="0" w:color="auto"/>
        <w:bottom w:val="none" w:sz="0" w:space="0" w:color="auto"/>
        <w:right w:val="none" w:sz="0" w:space="0" w:color="auto"/>
      </w:divBdr>
    </w:div>
    <w:div w:id="1614510453">
      <w:bodyDiv w:val="1"/>
      <w:marLeft w:val="0"/>
      <w:marRight w:val="0"/>
      <w:marTop w:val="0"/>
      <w:marBottom w:val="0"/>
      <w:divBdr>
        <w:top w:val="none" w:sz="0" w:space="0" w:color="auto"/>
        <w:left w:val="none" w:sz="0" w:space="0" w:color="auto"/>
        <w:bottom w:val="none" w:sz="0" w:space="0" w:color="auto"/>
        <w:right w:val="none" w:sz="0" w:space="0" w:color="auto"/>
      </w:divBdr>
    </w:div>
    <w:div w:id="1614627403">
      <w:bodyDiv w:val="1"/>
      <w:marLeft w:val="0"/>
      <w:marRight w:val="0"/>
      <w:marTop w:val="0"/>
      <w:marBottom w:val="0"/>
      <w:divBdr>
        <w:top w:val="none" w:sz="0" w:space="0" w:color="auto"/>
        <w:left w:val="none" w:sz="0" w:space="0" w:color="auto"/>
        <w:bottom w:val="none" w:sz="0" w:space="0" w:color="auto"/>
        <w:right w:val="none" w:sz="0" w:space="0" w:color="auto"/>
      </w:divBdr>
    </w:div>
    <w:div w:id="1614706260">
      <w:bodyDiv w:val="1"/>
      <w:marLeft w:val="0"/>
      <w:marRight w:val="0"/>
      <w:marTop w:val="0"/>
      <w:marBottom w:val="0"/>
      <w:divBdr>
        <w:top w:val="none" w:sz="0" w:space="0" w:color="auto"/>
        <w:left w:val="none" w:sz="0" w:space="0" w:color="auto"/>
        <w:bottom w:val="none" w:sz="0" w:space="0" w:color="auto"/>
        <w:right w:val="none" w:sz="0" w:space="0" w:color="auto"/>
      </w:divBdr>
    </w:div>
    <w:div w:id="1614708000">
      <w:bodyDiv w:val="1"/>
      <w:marLeft w:val="0"/>
      <w:marRight w:val="0"/>
      <w:marTop w:val="0"/>
      <w:marBottom w:val="0"/>
      <w:divBdr>
        <w:top w:val="none" w:sz="0" w:space="0" w:color="auto"/>
        <w:left w:val="none" w:sz="0" w:space="0" w:color="auto"/>
        <w:bottom w:val="none" w:sz="0" w:space="0" w:color="auto"/>
        <w:right w:val="none" w:sz="0" w:space="0" w:color="auto"/>
      </w:divBdr>
    </w:div>
    <w:div w:id="1614751441">
      <w:bodyDiv w:val="1"/>
      <w:marLeft w:val="0"/>
      <w:marRight w:val="0"/>
      <w:marTop w:val="0"/>
      <w:marBottom w:val="0"/>
      <w:divBdr>
        <w:top w:val="none" w:sz="0" w:space="0" w:color="auto"/>
        <w:left w:val="none" w:sz="0" w:space="0" w:color="auto"/>
        <w:bottom w:val="none" w:sz="0" w:space="0" w:color="auto"/>
        <w:right w:val="none" w:sz="0" w:space="0" w:color="auto"/>
      </w:divBdr>
    </w:div>
    <w:div w:id="1614897301">
      <w:bodyDiv w:val="1"/>
      <w:marLeft w:val="0"/>
      <w:marRight w:val="0"/>
      <w:marTop w:val="0"/>
      <w:marBottom w:val="0"/>
      <w:divBdr>
        <w:top w:val="none" w:sz="0" w:space="0" w:color="auto"/>
        <w:left w:val="none" w:sz="0" w:space="0" w:color="auto"/>
        <w:bottom w:val="none" w:sz="0" w:space="0" w:color="auto"/>
        <w:right w:val="none" w:sz="0" w:space="0" w:color="auto"/>
      </w:divBdr>
    </w:div>
    <w:div w:id="1614897833">
      <w:bodyDiv w:val="1"/>
      <w:marLeft w:val="0"/>
      <w:marRight w:val="0"/>
      <w:marTop w:val="0"/>
      <w:marBottom w:val="0"/>
      <w:divBdr>
        <w:top w:val="none" w:sz="0" w:space="0" w:color="auto"/>
        <w:left w:val="none" w:sz="0" w:space="0" w:color="auto"/>
        <w:bottom w:val="none" w:sz="0" w:space="0" w:color="auto"/>
        <w:right w:val="none" w:sz="0" w:space="0" w:color="auto"/>
      </w:divBdr>
    </w:div>
    <w:div w:id="1614942071">
      <w:bodyDiv w:val="1"/>
      <w:marLeft w:val="0"/>
      <w:marRight w:val="0"/>
      <w:marTop w:val="0"/>
      <w:marBottom w:val="0"/>
      <w:divBdr>
        <w:top w:val="none" w:sz="0" w:space="0" w:color="auto"/>
        <w:left w:val="none" w:sz="0" w:space="0" w:color="auto"/>
        <w:bottom w:val="none" w:sz="0" w:space="0" w:color="auto"/>
        <w:right w:val="none" w:sz="0" w:space="0" w:color="auto"/>
      </w:divBdr>
    </w:div>
    <w:div w:id="1615016844">
      <w:bodyDiv w:val="1"/>
      <w:marLeft w:val="0"/>
      <w:marRight w:val="0"/>
      <w:marTop w:val="0"/>
      <w:marBottom w:val="0"/>
      <w:divBdr>
        <w:top w:val="none" w:sz="0" w:space="0" w:color="auto"/>
        <w:left w:val="none" w:sz="0" w:space="0" w:color="auto"/>
        <w:bottom w:val="none" w:sz="0" w:space="0" w:color="auto"/>
        <w:right w:val="none" w:sz="0" w:space="0" w:color="auto"/>
      </w:divBdr>
    </w:div>
    <w:div w:id="1615091434">
      <w:bodyDiv w:val="1"/>
      <w:marLeft w:val="0"/>
      <w:marRight w:val="0"/>
      <w:marTop w:val="0"/>
      <w:marBottom w:val="0"/>
      <w:divBdr>
        <w:top w:val="none" w:sz="0" w:space="0" w:color="auto"/>
        <w:left w:val="none" w:sz="0" w:space="0" w:color="auto"/>
        <w:bottom w:val="none" w:sz="0" w:space="0" w:color="auto"/>
        <w:right w:val="none" w:sz="0" w:space="0" w:color="auto"/>
      </w:divBdr>
    </w:div>
    <w:div w:id="1615163619">
      <w:bodyDiv w:val="1"/>
      <w:marLeft w:val="0"/>
      <w:marRight w:val="0"/>
      <w:marTop w:val="0"/>
      <w:marBottom w:val="0"/>
      <w:divBdr>
        <w:top w:val="none" w:sz="0" w:space="0" w:color="auto"/>
        <w:left w:val="none" w:sz="0" w:space="0" w:color="auto"/>
        <w:bottom w:val="none" w:sz="0" w:space="0" w:color="auto"/>
        <w:right w:val="none" w:sz="0" w:space="0" w:color="auto"/>
      </w:divBdr>
    </w:div>
    <w:div w:id="1615549856">
      <w:bodyDiv w:val="1"/>
      <w:marLeft w:val="0"/>
      <w:marRight w:val="0"/>
      <w:marTop w:val="0"/>
      <w:marBottom w:val="0"/>
      <w:divBdr>
        <w:top w:val="none" w:sz="0" w:space="0" w:color="auto"/>
        <w:left w:val="none" w:sz="0" w:space="0" w:color="auto"/>
        <w:bottom w:val="none" w:sz="0" w:space="0" w:color="auto"/>
        <w:right w:val="none" w:sz="0" w:space="0" w:color="auto"/>
      </w:divBdr>
    </w:div>
    <w:div w:id="1615553146">
      <w:bodyDiv w:val="1"/>
      <w:marLeft w:val="0"/>
      <w:marRight w:val="0"/>
      <w:marTop w:val="0"/>
      <w:marBottom w:val="0"/>
      <w:divBdr>
        <w:top w:val="none" w:sz="0" w:space="0" w:color="auto"/>
        <w:left w:val="none" w:sz="0" w:space="0" w:color="auto"/>
        <w:bottom w:val="none" w:sz="0" w:space="0" w:color="auto"/>
        <w:right w:val="none" w:sz="0" w:space="0" w:color="auto"/>
      </w:divBdr>
    </w:div>
    <w:div w:id="1615553573">
      <w:bodyDiv w:val="1"/>
      <w:marLeft w:val="0"/>
      <w:marRight w:val="0"/>
      <w:marTop w:val="0"/>
      <w:marBottom w:val="0"/>
      <w:divBdr>
        <w:top w:val="none" w:sz="0" w:space="0" w:color="auto"/>
        <w:left w:val="none" w:sz="0" w:space="0" w:color="auto"/>
        <w:bottom w:val="none" w:sz="0" w:space="0" w:color="auto"/>
        <w:right w:val="none" w:sz="0" w:space="0" w:color="auto"/>
      </w:divBdr>
    </w:div>
    <w:div w:id="1615553965">
      <w:bodyDiv w:val="1"/>
      <w:marLeft w:val="0"/>
      <w:marRight w:val="0"/>
      <w:marTop w:val="0"/>
      <w:marBottom w:val="0"/>
      <w:divBdr>
        <w:top w:val="none" w:sz="0" w:space="0" w:color="auto"/>
        <w:left w:val="none" w:sz="0" w:space="0" w:color="auto"/>
        <w:bottom w:val="none" w:sz="0" w:space="0" w:color="auto"/>
        <w:right w:val="none" w:sz="0" w:space="0" w:color="auto"/>
      </w:divBdr>
    </w:div>
    <w:div w:id="1615558529">
      <w:bodyDiv w:val="1"/>
      <w:marLeft w:val="0"/>
      <w:marRight w:val="0"/>
      <w:marTop w:val="0"/>
      <w:marBottom w:val="0"/>
      <w:divBdr>
        <w:top w:val="none" w:sz="0" w:space="0" w:color="auto"/>
        <w:left w:val="none" w:sz="0" w:space="0" w:color="auto"/>
        <w:bottom w:val="none" w:sz="0" w:space="0" w:color="auto"/>
        <w:right w:val="none" w:sz="0" w:space="0" w:color="auto"/>
      </w:divBdr>
    </w:div>
    <w:div w:id="1615600625">
      <w:bodyDiv w:val="1"/>
      <w:marLeft w:val="0"/>
      <w:marRight w:val="0"/>
      <w:marTop w:val="0"/>
      <w:marBottom w:val="0"/>
      <w:divBdr>
        <w:top w:val="none" w:sz="0" w:space="0" w:color="auto"/>
        <w:left w:val="none" w:sz="0" w:space="0" w:color="auto"/>
        <w:bottom w:val="none" w:sz="0" w:space="0" w:color="auto"/>
        <w:right w:val="none" w:sz="0" w:space="0" w:color="auto"/>
      </w:divBdr>
    </w:div>
    <w:div w:id="1615675919">
      <w:bodyDiv w:val="1"/>
      <w:marLeft w:val="0"/>
      <w:marRight w:val="0"/>
      <w:marTop w:val="0"/>
      <w:marBottom w:val="0"/>
      <w:divBdr>
        <w:top w:val="none" w:sz="0" w:space="0" w:color="auto"/>
        <w:left w:val="none" w:sz="0" w:space="0" w:color="auto"/>
        <w:bottom w:val="none" w:sz="0" w:space="0" w:color="auto"/>
        <w:right w:val="none" w:sz="0" w:space="0" w:color="auto"/>
      </w:divBdr>
    </w:div>
    <w:div w:id="1615820039">
      <w:bodyDiv w:val="1"/>
      <w:marLeft w:val="0"/>
      <w:marRight w:val="0"/>
      <w:marTop w:val="0"/>
      <w:marBottom w:val="0"/>
      <w:divBdr>
        <w:top w:val="none" w:sz="0" w:space="0" w:color="auto"/>
        <w:left w:val="none" w:sz="0" w:space="0" w:color="auto"/>
        <w:bottom w:val="none" w:sz="0" w:space="0" w:color="auto"/>
        <w:right w:val="none" w:sz="0" w:space="0" w:color="auto"/>
      </w:divBdr>
    </w:div>
    <w:div w:id="1615864536">
      <w:bodyDiv w:val="1"/>
      <w:marLeft w:val="0"/>
      <w:marRight w:val="0"/>
      <w:marTop w:val="0"/>
      <w:marBottom w:val="0"/>
      <w:divBdr>
        <w:top w:val="none" w:sz="0" w:space="0" w:color="auto"/>
        <w:left w:val="none" w:sz="0" w:space="0" w:color="auto"/>
        <w:bottom w:val="none" w:sz="0" w:space="0" w:color="auto"/>
        <w:right w:val="none" w:sz="0" w:space="0" w:color="auto"/>
      </w:divBdr>
    </w:div>
    <w:div w:id="1616210250">
      <w:bodyDiv w:val="1"/>
      <w:marLeft w:val="0"/>
      <w:marRight w:val="0"/>
      <w:marTop w:val="0"/>
      <w:marBottom w:val="0"/>
      <w:divBdr>
        <w:top w:val="none" w:sz="0" w:space="0" w:color="auto"/>
        <w:left w:val="none" w:sz="0" w:space="0" w:color="auto"/>
        <w:bottom w:val="none" w:sz="0" w:space="0" w:color="auto"/>
        <w:right w:val="none" w:sz="0" w:space="0" w:color="auto"/>
      </w:divBdr>
    </w:div>
    <w:div w:id="1616251164">
      <w:bodyDiv w:val="1"/>
      <w:marLeft w:val="0"/>
      <w:marRight w:val="0"/>
      <w:marTop w:val="0"/>
      <w:marBottom w:val="0"/>
      <w:divBdr>
        <w:top w:val="none" w:sz="0" w:space="0" w:color="auto"/>
        <w:left w:val="none" w:sz="0" w:space="0" w:color="auto"/>
        <w:bottom w:val="none" w:sz="0" w:space="0" w:color="auto"/>
        <w:right w:val="none" w:sz="0" w:space="0" w:color="auto"/>
      </w:divBdr>
    </w:div>
    <w:div w:id="1616327576">
      <w:bodyDiv w:val="1"/>
      <w:marLeft w:val="0"/>
      <w:marRight w:val="0"/>
      <w:marTop w:val="0"/>
      <w:marBottom w:val="0"/>
      <w:divBdr>
        <w:top w:val="none" w:sz="0" w:space="0" w:color="auto"/>
        <w:left w:val="none" w:sz="0" w:space="0" w:color="auto"/>
        <w:bottom w:val="none" w:sz="0" w:space="0" w:color="auto"/>
        <w:right w:val="none" w:sz="0" w:space="0" w:color="auto"/>
      </w:divBdr>
    </w:div>
    <w:div w:id="1616332022">
      <w:bodyDiv w:val="1"/>
      <w:marLeft w:val="0"/>
      <w:marRight w:val="0"/>
      <w:marTop w:val="0"/>
      <w:marBottom w:val="0"/>
      <w:divBdr>
        <w:top w:val="none" w:sz="0" w:space="0" w:color="auto"/>
        <w:left w:val="none" w:sz="0" w:space="0" w:color="auto"/>
        <w:bottom w:val="none" w:sz="0" w:space="0" w:color="auto"/>
        <w:right w:val="none" w:sz="0" w:space="0" w:color="auto"/>
      </w:divBdr>
    </w:div>
    <w:div w:id="1616519745">
      <w:bodyDiv w:val="1"/>
      <w:marLeft w:val="0"/>
      <w:marRight w:val="0"/>
      <w:marTop w:val="0"/>
      <w:marBottom w:val="0"/>
      <w:divBdr>
        <w:top w:val="none" w:sz="0" w:space="0" w:color="auto"/>
        <w:left w:val="none" w:sz="0" w:space="0" w:color="auto"/>
        <w:bottom w:val="none" w:sz="0" w:space="0" w:color="auto"/>
        <w:right w:val="none" w:sz="0" w:space="0" w:color="auto"/>
      </w:divBdr>
    </w:div>
    <w:div w:id="1616523093">
      <w:bodyDiv w:val="1"/>
      <w:marLeft w:val="0"/>
      <w:marRight w:val="0"/>
      <w:marTop w:val="0"/>
      <w:marBottom w:val="0"/>
      <w:divBdr>
        <w:top w:val="none" w:sz="0" w:space="0" w:color="auto"/>
        <w:left w:val="none" w:sz="0" w:space="0" w:color="auto"/>
        <w:bottom w:val="none" w:sz="0" w:space="0" w:color="auto"/>
        <w:right w:val="none" w:sz="0" w:space="0" w:color="auto"/>
      </w:divBdr>
    </w:div>
    <w:div w:id="1616668453">
      <w:bodyDiv w:val="1"/>
      <w:marLeft w:val="0"/>
      <w:marRight w:val="0"/>
      <w:marTop w:val="0"/>
      <w:marBottom w:val="0"/>
      <w:divBdr>
        <w:top w:val="none" w:sz="0" w:space="0" w:color="auto"/>
        <w:left w:val="none" w:sz="0" w:space="0" w:color="auto"/>
        <w:bottom w:val="none" w:sz="0" w:space="0" w:color="auto"/>
        <w:right w:val="none" w:sz="0" w:space="0" w:color="auto"/>
      </w:divBdr>
    </w:div>
    <w:div w:id="1616710819">
      <w:bodyDiv w:val="1"/>
      <w:marLeft w:val="0"/>
      <w:marRight w:val="0"/>
      <w:marTop w:val="0"/>
      <w:marBottom w:val="0"/>
      <w:divBdr>
        <w:top w:val="none" w:sz="0" w:space="0" w:color="auto"/>
        <w:left w:val="none" w:sz="0" w:space="0" w:color="auto"/>
        <w:bottom w:val="none" w:sz="0" w:space="0" w:color="auto"/>
        <w:right w:val="none" w:sz="0" w:space="0" w:color="auto"/>
      </w:divBdr>
    </w:div>
    <w:div w:id="1616861560">
      <w:bodyDiv w:val="1"/>
      <w:marLeft w:val="0"/>
      <w:marRight w:val="0"/>
      <w:marTop w:val="0"/>
      <w:marBottom w:val="0"/>
      <w:divBdr>
        <w:top w:val="none" w:sz="0" w:space="0" w:color="auto"/>
        <w:left w:val="none" w:sz="0" w:space="0" w:color="auto"/>
        <w:bottom w:val="none" w:sz="0" w:space="0" w:color="auto"/>
        <w:right w:val="none" w:sz="0" w:space="0" w:color="auto"/>
      </w:divBdr>
    </w:div>
    <w:div w:id="1616908649">
      <w:bodyDiv w:val="1"/>
      <w:marLeft w:val="0"/>
      <w:marRight w:val="0"/>
      <w:marTop w:val="0"/>
      <w:marBottom w:val="0"/>
      <w:divBdr>
        <w:top w:val="none" w:sz="0" w:space="0" w:color="auto"/>
        <w:left w:val="none" w:sz="0" w:space="0" w:color="auto"/>
        <w:bottom w:val="none" w:sz="0" w:space="0" w:color="auto"/>
        <w:right w:val="none" w:sz="0" w:space="0" w:color="auto"/>
      </w:divBdr>
    </w:div>
    <w:div w:id="1616911051">
      <w:bodyDiv w:val="1"/>
      <w:marLeft w:val="0"/>
      <w:marRight w:val="0"/>
      <w:marTop w:val="0"/>
      <w:marBottom w:val="0"/>
      <w:divBdr>
        <w:top w:val="none" w:sz="0" w:space="0" w:color="auto"/>
        <w:left w:val="none" w:sz="0" w:space="0" w:color="auto"/>
        <w:bottom w:val="none" w:sz="0" w:space="0" w:color="auto"/>
        <w:right w:val="none" w:sz="0" w:space="0" w:color="auto"/>
      </w:divBdr>
    </w:div>
    <w:div w:id="1616985198">
      <w:bodyDiv w:val="1"/>
      <w:marLeft w:val="0"/>
      <w:marRight w:val="0"/>
      <w:marTop w:val="0"/>
      <w:marBottom w:val="0"/>
      <w:divBdr>
        <w:top w:val="none" w:sz="0" w:space="0" w:color="auto"/>
        <w:left w:val="none" w:sz="0" w:space="0" w:color="auto"/>
        <w:bottom w:val="none" w:sz="0" w:space="0" w:color="auto"/>
        <w:right w:val="none" w:sz="0" w:space="0" w:color="auto"/>
      </w:divBdr>
    </w:div>
    <w:div w:id="1617132021">
      <w:bodyDiv w:val="1"/>
      <w:marLeft w:val="0"/>
      <w:marRight w:val="0"/>
      <w:marTop w:val="0"/>
      <w:marBottom w:val="0"/>
      <w:divBdr>
        <w:top w:val="none" w:sz="0" w:space="0" w:color="auto"/>
        <w:left w:val="none" w:sz="0" w:space="0" w:color="auto"/>
        <w:bottom w:val="none" w:sz="0" w:space="0" w:color="auto"/>
        <w:right w:val="none" w:sz="0" w:space="0" w:color="auto"/>
      </w:divBdr>
    </w:div>
    <w:div w:id="1617372410">
      <w:bodyDiv w:val="1"/>
      <w:marLeft w:val="0"/>
      <w:marRight w:val="0"/>
      <w:marTop w:val="0"/>
      <w:marBottom w:val="0"/>
      <w:divBdr>
        <w:top w:val="none" w:sz="0" w:space="0" w:color="auto"/>
        <w:left w:val="none" w:sz="0" w:space="0" w:color="auto"/>
        <w:bottom w:val="none" w:sz="0" w:space="0" w:color="auto"/>
        <w:right w:val="none" w:sz="0" w:space="0" w:color="auto"/>
      </w:divBdr>
    </w:div>
    <w:div w:id="1617440330">
      <w:bodyDiv w:val="1"/>
      <w:marLeft w:val="0"/>
      <w:marRight w:val="0"/>
      <w:marTop w:val="0"/>
      <w:marBottom w:val="0"/>
      <w:divBdr>
        <w:top w:val="none" w:sz="0" w:space="0" w:color="auto"/>
        <w:left w:val="none" w:sz="0" w:space="0" w:color="auto"/>
        <w:bottom w:val="none" w:sz="0" w:space="0" w:color="auto"/>
        <w:right w:val="none" w:sz="0" w:space="0" w:color="auto"/>
      </w:divBdr>
    </w:div>
    <w:div w:id="1617440883">
      <w:bodyDiv w:val="1"/>
      <w:marLeft w:val="0"/>
      <w:marRight w:val="0"/>
      <w:marTop w:val="0"/>
      <w:marBottom w:val="0"/>
      <w:divBdr>
        <w:top w:val="none" w:sz="0" w:space="0" w:color="auto"/>
        <w:left w:val="none" w:sz="0" w:space="0" w:color="auto"/>
        <w:bottom w:val="none" w:sz="0" w:space="0" w:color="auto"/>
        <w:right w:val="none" w:sz="0" w:space="0" w:color="auto"/>
      </w:divBdr>
    </w:div>
    <w:div w:id="1617441897">
      <w:bodyDiv w:val="1"/>
      <w:marLeft w:val="0"/>
      <w:marRight w:val="0"/>
      <w:marTop w:val="0"/>
      <w:marBottom w:val="0"/>
      <w:divBdr>
        <w:top w:val="none" w:sz="0" w:space="0" w:color="auto"/>
        <w:left w:val="none" w:sz="0" w:space="0" w:color="auto"/>
        <w:bottom w:val="none" w:sz="0" w:space="0" w:color="auto"/>
        <w:right w:val="none" w:sz="0" w:space="0" w:color="auto"/>
      </w:divBdr>
    </w:div>
    <w:div w:id="1617517178">
      <w:bodyDiv w:val="1"/>
      <w:marLeft w:val="0"/>
      <w:marRight w:val="0"/>
      <w:marTop w:val="0"/>
      <w:marBottom w:val="0"/>
      <w:divBdr>
        <w:top w:val="none" w:sz="0" w:space="0" w:color="auto"/>
        <w:left w:val="none" w:sz="0" w:space="0" w:color="auto"/>
        <w:bottom w:val="none" w:sz="0" w:space="0" w:color="auto"/>
        <w:right w:val="none" w:sz="0" w:space="0" w:color="auto"/>
      </w:divBdr>
    </w:div>
    <w:div w:id="1617518657">
      <w:bodyDiv w:val="1"/>
      <w:marLeft w:val="0"/>
      <w:marRight w:val="0"/>
      <w:marTop w:val="0"/>
      <w:marBottom w:val="0"/>
      <w:divBdr>
        <w:top w:val="none" w:sz="0" w:space="0" w:color="auto"/>
        <w:left w:val="none" w:sz="0" w:space="0" w:color="auto"/>
        <w:bottom w:val="none" w:sz="0" w:space="0" w:color="auto"/>
        <w:right w:val="none" w:sz="0" w:space="0" w:color="auto"/>
      </w:divBdr>
    </w:div>
    <w:div w:id="1617519386">
      <w:bodyDiv w:val="1"/>
      <w:marLeft w:val="0"/>
      <w:marRight w:val="0"/>
      <w:marTop w:val="0"/>
      <w:marBottom w:val="0"/>
      <w:divBdr>
        <w:top w:val="none" w:sz="0" w:space="0" w:color="auto"/>
        <w:left w:val="none" w:sz="0" w:space="0" w:color="auto"/>
        <w:bottom w:val="none" w:sz="0" w:space="0" w:color="auto"/>
        <w:right w:val="none" w:sz="0" w:space="0" w:color="auto"/>
      </w:divBdr>
    </w:div>
    <w:div w:id="1617519944">
      <w:bodyDiv w:val="1"/>
      <w:marLeft w:val="0"/>
      <w:marRight w:val="0"/>
      <w:marTop w:val="0"/>
      <w:marBottom w:val="0"/>
      <w:divBdr>
        <w:top w:val="none" w:sz="0" w:space="0" w:color="auto"/>
        <w:left w:val="none" w:sz="0" w:space="0" w:color="auto"/>
        <w:bottom w:val="none" w:sz="0" w:space="0" w:color="auto"/>
        <w:right w:val="none" w:sz="0" w:space="0" w:color="auto"/>
      </w:divBdr>
    </w:div>
    <w:div w:id="1617561497">
      <w:bodyDiv w:val="1"/>
      <w:marLeft w:val="0"/>
      <w:marRight w:val="0"/>
      <w:marTop w:val="0"/>
      <w:marBottom w:val="0"/>
      <w:divBdr>
        <w:top w:val="none" w:sz="0" w:space="0" w:color="auto"/>
        <w:left w:val="none" w:sz="0" w:space="0" w:color="auto"/>
        <w:bottom w:val="none" w:sz="0" w:space="0" w:color="auto"/>
        <w:right w:val="none" w:sz="0" w:space="0" w:color="auto"/>
      </w:divBdr>
    </w:div>
    <w:div w:id="1617563034">
      <w:bodyDiv w:val="1"/>
      <w:marLeft w:val="0"/>
      <w:marRight w:val="0"/>
      <w:marTop w:val="0"/>
      <w:marBottom w:val="0"/>
      <w:divBdr>
        <w:top w:val="none" w:sz="0" w:space="0" w:color="auto"/>
        <w:left w:val="none" w:sz="0" w:space="0" w:color="auto"/>
        <w:bottom w:val="none" w:sz="0" w:space="0" w:color="auto"/>
        <w:right w:val="none" w:sz="0" w:space="0" w:color="auto"/>
      </w:divBdr>
    </w:div>
    <w:div w:id="1617565429">
      <w:bodyDiv w:val="1"/>
      <w:marLeft w:val="0"/>
      <w:marRight w:val="0"/>
      <w:marTop w:val="0"/>
      <w:marBottom w:val="0"/>
      <w:divBdr>
        <w:top w:val="none" w:sz="0" w:space="0" w:color="auto"/>
        <w:left w:val="none" w:sz="0" w:space="0" w:color="auto"/>
        <w:bottom w:val="none" w:sz="0" w:space="0" w:color="auto"/>
        <w:right w:val="none" w:sz="0" w:space="0" w:color="auto"/>
      </w:divBdr>
    </w:div>
    <w:div w:id="1617711128">
      <w:bodyDiv w:val="1"/>
      <w:marLeft w:val="0"/>
      <w:marRight w:val="0"/>
      <w:marTop w:val="0"/>
      <w:marBottom w:val="0"/>
      <w:divBdr>
        <w:top w:val="none" w:sz="0" w:space="0" w:color="auto"/>
        <w:left w:val="none" w:sz="0" w:space="0" w:color="auto"/>
        <w:bottom w:val="none" w:sz="0" w:space="0" w:color="auto"/>
        <w:right w:val="none" w:sz="0" w:space="0" w:color="auto"/>
      </w:divBdr>
    </w:div>
    <w:div w:id="1617712090">
      <w:bodyDiv w:val="1"/>
      <w:marLeft w:val="0"/>
      <w:marRight w:val="0"/>
      <w:marTop w:val="0"/>
      <w:marBottom w:val="0"/>
      <w:divBdr>
        <w:top w:val="none" w:sz="0" w:space="0" w:color="auto"/>
        <w:left w:val="none" w:sz="0" w:space="0" w:color="auto"/>
        <w:bottom w:val="none" w:sz="0" w:space="0" w:color="auto"/>
        <w:right w:val="none" w:sz="0" w:space="0" w:color="auto"/>
      </w:divBdr>
    </w:div>
    <w:div w:id="1617784513">
      <w:bodyDiv w:val="1"/>
      <w:marLeft w:val="0"/>
      <w:marRight w:val="0"/>
      <w:marTop w:val="0"/>
      <w:marBottom w:val="0"/>
      <w:divBdr>
        <w:top w:val="none" w:sz="0" w:space="0" w:color="auto"/>
        <w:left w:val="none" w:sz="0" w:space="0" w:color="auto"/>
        <w:bottom w:val="none" w:sz="0" w:space="0" w:color="auto"/>
        <w:right w:val="none" w:sz="0" w:space="0" w:color="auto"/>
      </w:divBdr>
    </w:div>
    <w:div w:id="1617906322">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17907447">
      <w:bodyDiv w:val="1"/>
      <w:marLeft w:val="0"/>
      <w:marRight w:val="0"/>
      <w:marTop w:val="0"/>
      <w:marBottom w:val="0"/>
      <w:divBdr>
        <w:top w:val="none" w:sz="0" w:space="0" w:color="auto"/>
        <w:left w:val="none" w:sz="0" w:space="0" w:color="auto"/>
        <w:bottom w:val="none" w:sz="0" w:space="0" w:color="auto"/>
        <w:right w:val="none" w:sz="0" w:space="0" w:color="auto"/>
      </w:divBdr>
    </w:div>
    <w:div w:id="1618174616">
      <w:bodyDiv w:val="1"/>
      <w:marLeft w:val="0"/>
      <w:marRight w:val="0"/>
      <w:marTop w:val="0"/>
      <w:marBottom w:val="0"/>
      <w:divBdr>
        <w:top w:val="none" w:sz="0" w:space="0" w:color="auto"/>
        <w:left w:val="none" w:sz="0" w:space="0" w:color="auto"/>
        <w:bottom w:val="none" w:sz="0" w:space="0" w:color="auto"/>
        <w:right w:val="none" w:sz="0" w:space="0" w:color="auto"/>
      </w:divBdr>
    </w:div>
    <w:div w:id="1618178222">
      <w:bodyDiv w:val="1"/>
      <w:marLeft w:val="0"/>
      <w:marRight w:val="0"/>
      <w:marTop w:val="0"/>
      <w:marBottom w:val="0"/>
      <w:divBdr>
        <w:top w:val="none" w:sz="0" w:space="0" w:color="auto"/>
        <w:left w:val="none" w:sz="0" w:space="0" w:color="auto"/>
        <w:bottom w:val="none" w:sz="0" w:space="0" w:color="auto"/>
        <w:right w:val="none" w:sz="0" w:space="0" w:color="auto"/>
      </w:divBdr>
    </w:div>
    <w:div w:id="1618218563">
      <w:bodyDiv w:val="1"/>
      <w:marLeft w:val="0"/>
      <w:marRight w:val="0"/>
      <w:marTop w:val="0"/>
      <w:marBottom w:val="0"/>
      <w:divBdr>
        <w:top w:val="none" w:sz="0" w:space="0" w:color="auto"/>
        <w:left w:val="none" w:sz="0" w:space="0" w:color="auto"/>
        <w:bottom w:val="none" w:sz="0" w:space="0" w:color="auto"/>
        <w:right w:val="none" w:sz="0" w:space="0" w:color="auto"/>
      </w:divBdr>
    </w:div>
    <w:div w:id="1618218620">
      <w:bodyDiv w:val="1"/>
      <w:marLeft w:val="0"/>
      <w:marRight w:val="0"/>
      <w:marTop w:val="0"/>
      <w:marBottom w:val="0"/>
      <w:divBdr>
        <w:top w:val="none" w:sz="0" w:space="0" w:color="auto"/>
        <w:left w:val="none" w:sz="0" w:space="0" w:color="auto"/>
        <w:bottom w:val="none" w:sz="0" w:space="0" w:color="auto"/>
        <w:right w:val="none" w:sz="0" w:space="0" w:color="auto"/>
      </w:divBdr>
    </w:div>
    <w:div w:id="1618292449">
      <w:bodyDiv w:val="1"/>
      <w:marLeft w:val="0"/>
      <w:marRight w:val="0"/>
      <w:marTop w:val="0"/>
      <w:marBottom w:val="0"/>
      <w:divBdr>
        <w:top w:val="none" w:sz="0" w:space="0" w:color="auto"/>
        <w:left w:val="none" w:sz="0" w:space="0" w:color="auto"/>
        <w:bottom w:val="none" w:sz="0" w:space="0" w:color="auto"/>
        <w:right w:val="none" w:sz="0" w:space="0" w:color="auto"/>
      </w:divBdr>
    </w:div>
    <w:div w:id="1618371670">
      <w:bodyDiv w:val="1"/>
      <w:marLeft w:val="0"/>
      <w:marRight w:val="0"/>
      <w:marTop w:val="0"/>
      <w:marBottom w:val="0"/>
      <w:divBdr>
        <w:top w:val="none" w:sz="0" w:space="0" w:color="auto"/>
        <w:left w:val="none" w:sz="0" w:space="0" w:color="auto"/>
        <w:bottom w:val="none" w:sz="0" w:space="0" w:color="auto"/>
        <w:right w:val="none" w:sz="0" w:space="0" w:color="auto"/>
      </w:divBdr>
    </w:div>
    <w:div w:id="1618372882">
      <w:bodyDiv w:val="1"/>
      <w:marLeft w:val="0"/>
      <w:marRight w:val="0"/>
      <w:marTop w:val="0"/>
      <w:marBottom w:val="0"/>
      <w:divBdr>
        <w:top w:val="none" w:sz="0" w:space="0" w:color="auto"/>
        <w:left w:val="none" w:sz="0" w:space="0" w:color="auto"/>
        <w:bottom w:val="none" w:sz="0" w:space="0" w:color="auto"/>
        <w:right w:val="none" w:sz="0" w:space="0" w:color="auto"/>
      </w:divBdr>
    </w:div>
    <w:div w:id="1618487421">
      <w:bodyDiv w:val="1"/>
      <w:marLeft w:val="0"/>
      <w:marRight w:val="0"/>
      <w:marTop w:val="0"/>
      <w:marBottom w:val="0"/>
      <w:divBdr>
        <w:top w:val="none" w:sz="0" w:space="0" w:color="auto"/>
        <w:left w:val="none" w:sz="0" w:space="0" w:color="auto"/>
        <w:bottom w:val="none" w:sz="0" w:space="0" w:color="auto"/>
        <w:right w:val="none" w:sz="0" w:space="0" w:color="auto"/>
      </w:divBdr>
    </w:div>
    <w:div w:id="1618490456">
      <w:bodyDiv w:val="1"/>
      <w:marLeft w:val="0"/>
      <w:marRight w:val="0"/>
      <w:marTop w:val="0"/>
      <w:marBottom w:val="0"/>
      <w:divBdr>
        <w:top w:val="none" w:sz="0" w:space="0" w:color="auto"/>
        <w:left w:val="none" w:sz="0" w:space="0" w:color="auto"/>
        <w:bottom w:val="none" w:sz="0" w:space="0" w:color="auto"/>
        <w:right w:val="none" w:sz="0" w:space="0" w:color="auto"/>
      </w:divBdr>
    </w:div>
    <w:div w:id="1618491305">
      <w:bodyDiv w:val="1"/>
      <w:marLeft w:val="0"/>
      <w:marRight w:val="0"/>
      <w:marTop w:val="0"/>
      <w:marBottom w:val="0"/>
      <w:divBdr>
        <w:top w:val="none" w:sz="0" w:space="0" w:color="auto"/>
        <w:left w:val="none" w:sz="0" w:space="0" w:color="auto"/>
        <w:bottom w:val="none" w:sz="0" w:space="0" w:color="auto"/>
        <w:right w:val="none" w:sz="0" w:space="0" w:color="auto"/>
      </w:divBdr>
    </w:div>
    <w:div w:id="1618563827">
      <w:bodyDiv w:val="1"/>
      <w:marLeft w:val="0"/>
      <w:marRight w:val="0"/>
      <w:marTop w:val="0"/>
      <w:marBottom w:val="0"/>
      <w:divBdr>
        <w:top w:val="none" w:sz="0" w:space="0" w:color="auto"/>
        <w:left w:val="none" w:sz="0" w:space="0" w:color="auto"/>
        <w:bottom w:val="none" w:sz="0" w:space="0" w:color="auto"/>
        <w:right w:val="none" w:sz="0" w:space="0" w:color="auto"/>
      </w:divBdr>
    </w:div>
    <w:div w:id="1618567171">
      <w:bodyDiv w:val="1"/>
      <w:marLeft w:val="0"/>
      <w:marRight w:val="0"/>
      <w:marTop w:val="0"/>
      <w:marBottom w:val="0"/>
      <w:divBdr>
        <w:top w:val="none" w:sz="0" w:space="0" w:color="auto"/>
        <w:left w:val="none" w:sz="0" w:space="0" w:color="auto"/>
        <w:bottom w:val="none" w:sz="0" w:space="0" w:color="auto"/>
        <w:right w:val="none" w:sz="0" w:space="0" w:color="auto"/>
      </w:divBdr>
    </w:div>
    <w:div w:id="1618758152">
      <w:bodyDiv w:val="1"/>
      <w:marLeft w:val="0"/>
      <w:marRight w:val="0"/>
      <w:marTop w:val="0"/>
      <w:marBottom w:val="0"/>
      <w:divBdr>
        <w:top w:val="none" w:sz="0" w:space="0" w:color="auto"/>
        <w:left w:val="none" w:sz="0" w:space="0" w:color="auto"/>
        <w:bottom w:val="none" w:sz="0" w:space="0" w:color="auto"/>
        <w:right w:val="none" w:sz="0" w:space="0" w:color="auto"/>
      </w:divBdr>
    </w:div>
    <w:div w:id="1618759748">
      <w:bodyDiv w:val="1"/>
      <w:marLeft w:val="0"/>
      <w:marRight w:val="0"/>
      <w:marTop w:val="0"/>
      <w:marBottom w:val="0"/>
      <w:divBdr>
        <w:top w:val="none" w:sz="0" w:space="0" w:color="auto"/>
        <w:left w:val="none" w:sz="0" w:space="0" w:color="auto"/>
        <w:bottom w:val="none" w:sz="0" w:space="0" w:color="auto"/>
        <w:right w:val="none" w:sz="0" w:space="0" w:color="auto"/>
      </w:divBdr>
    </w:div>
    <w:div w:id="1618760240">
      <w:bodyDiv w:val="1"/>
      <w:marLeft w:val="0"/>
      <w:marRight w:val="0"/>
      <w:marTop w:val="0"/>
      <w:marBottom w:val="0"/>
      <w:divBdr>
        <w:top w:val="none" w:sz="0" w:space="0" w:color="auto"/>
        <w:left w:val="none" w:sz="0" w:space="0" w:color="auto"/>
        <w:bottom w:val="none" w:sz="0" w:space="0" w:color="auto"/>
        <w:right w:val="none" w:sz="0" w:space="0" w:color="auto"/>
      </w:divBdr>
    </w:div>
    <w:div w:id="1618831709">
      <w:bodyDiv w:val="1"/>
      <w:marLeft w:val="0"/>
      <w:marRight w:val="0"/>
      <w:marTop w:val="0"/>
      <w:marBottom w:val="0"/>
      <w:divBdr>
        <w:top w:val="none" w:sz="0" w:space="0" w:color="auto"/>
        <w:left w:val="none" w:sz="0" w:space="0" w:color="auto"/>
        <w:bottom w:val="none" w:sz="0" w:space="0" w:color="auto"/>
        <w:right w:val="none" w:sz="0" w:space="0" w:color="auto"/>
      </w:divBdr>
    </w:div>
    <w:div w:id="1619028114">
      <w:bodyDiv w:val="1"/>
      <w:marLeft w:val="0"/>
      <w:marRight w:val="0"/>
      <w:marTop w:val="0"/>
      <w:marBottom w:val="0"/>
      <w:divBdr>
        <w:top w:val="none" w:sz="0" w:space="0" w:color="auto"/>
        <w:left w:val="none" w:sz="0" w:space="0" w:color="auto"/>
        <w:bottom w:val="none" w:sz="0" w:space="0" w:color="auto"/>
        <w:right w:val="none" w:sz="0" w:space="0" w:color="auto"/>
      </w:divBdr>
    </w:div>
    <w:div w:id="1619214280">
      <w:bodyDiv w:val="1"/>
      <w:marLeft w:val="0"/>
      <w:marRight w:val="0"/>
      <w:marTop w:val="0"/>
      <w:marBottom w:val="0"/>
      <w:divBdr>
        <w:top w:val="none" w:sz="0" w:space="0" w:color="auto"/>
        <w:left w:val="none" w:sz="0" w:space="0" w:color="auto"/>
        <w:bottom w:val="none" w:sz="0" w:space="0" w:color="auto"/>
        <w:right w:val="none" w:sz="0" w:space="0" w:color="auto"/>
      </w:divBdr>
    </w:div>
    <w:div w:id="1619219239">
      <w:bodyDiv w:val="1"/>
      <w:marLeft w:val="0"/>
      <w:marRight w:val="0"/>
      <w:marTop w:val="0"/>
      <w:marBottom w:val="0"/>
      <w:divBdr>
        <w:top w:val="none" w:sz="0" w:space="0" w:color="auto"/>
        <w:left w:val="none" w:sz="0" w:space="0" w:color="auto"/>
        <w:bottom w:val="none" w:sz="0" w:space="0" w:color="auto"/>
        <w:right w:val="none" w:sz="0" w:space="0" w:color="auto"/>
      </w:divBdr>
    </w:div>
    <w:div w:id="1619482627">
      <w:bodyDiv w:val="1"/>
      <w:marLeft w:val="0"/>
      <w:marRight w:val="0"/>
      <w:marTop w:val="0"/>
      <w:marBottom w:val="0"/>
      <w:divBdr>
        <w:top w:val="none" w:sz="0" w:space="0" w:color="auto"/>
        <w:left w:val="none" w:sz="0" w:space="0" w:color="auto"/>
        <w:bottom w:val="none" w:sz="0" w:space="0" w:color="auto"/>
        <w:right w:val="none" w:sz="0" w:space="0" w:color="auto"/>
      </w:divBdr>
    </w:div>
    <w:div w:id="1619489920">
      <w:bodyDiv w:val="1"/>
      <w:marLeft w:val="0"/>
      <w:marRight w:val="0"/>
      <w:marTop w:val="0"/>
      <w:marBottom w:val="0"/>
      <w:divBdr>
        <w:top w:val="none" w:sz="0" w:space="0" w:color="auto"/>
        <w:left w:val="none" w:sz="0" w:space="0" w:color="auto"/>
        <w:bottom w:val="none" w:sz="0" w:space="0" w:color="auto"/>
        <w:right w:val="none" w:sz="0" w:space="0" w:color="auto"/>
      </w:divBdr>
    </w:div>
    <w:div w:id="1619602807">
      <w:bodyDiv w:val="1"/>
      <w:marLeft w:val="0"/>
      <w:marRight w:val="0"/>
      <w:marTop w:val="0"/>
      <w:marBottom w:val="0"/>
      <w:divBdr>
        <w:top w:val="none" w:sz="0" w:space="0" w:color="auto"/>
        <w:left w:val="none" w:sz="0" w:space="0" w:color="auto"/>
        <w:bottom w:val="none" w:sz="0" w:space="0" w:color="auto"/>
        <w:right w:val="none" w:sz="0" w:space="0" w:color="auto"/>
      </w:divBdr>
    </w:div>
    <w:div w:id="1619676601">
      <w:bodyDiv w:val="1"/>
      <w:marLeft w:val="0"/>
      <w:marRight w:val="0"/>
      <w:marTop w:val="0"/>
      <w:marBottom w:val="0"/>
      <w:divBdr>
        <w:top w:val="none" w:sz="0" w:space="0" w:color="auto"/>
        <w:left w:val="none" w:sz="0" w:space="0" w:color="auto"/>
        <w:bottom w:val="none" w:sz="0" w:space="0" w:color="auto"/>
        <w:right w:val="none" w:sz="0" w:space="0" w:color="auto"/>
      </w:divBdr>
    </w:div>
    <w:div w:id="1619680122">
      <w:bodyDiv w:val="1"/>
      <w:marLeft w:val="0"/>
      <w:marRight w:val="0"/>
      <w:marTop w:val="0"/>
      <w:marBottom w:val="0"/>
      <w:divBdr>
        <w:top w:val="none" w:sz="0" w:space="0" w:color="auto"/>
        <w:left w:val="none" w:sz="0" w:space="0" w:color="auto"/>
        <w:bottom w:val="none" w:sz="0" w:space="0" w:color="auto"/>
        <w:right w:val="none" w:sz="0" w:space="0" w:color="auto"/>
      </w:divBdr>
    </w:div>
    <w:div w:id="1619920284">
      <w:bodyDiv w:val="1"/>
      <w:marLeft w:val="0"/>
      <w:marRight w:val="0"/>
      <w:marTop w:val="0"/>
      <w:marBottom w:val="0"/>
      <w:divBdr>
        <w:top w:val="none" w:sz="0" w:space="0" w:color="auto"/>
        <w:left w:val="none" w:sz="0" w:space="0" w:color="auto"/>
        <w:bottom w:val="none" w:sz="0" w:space="0" w:color="auto"/>
        <w:right w:val="none" w:sz="0" w:space="0" w:color="auto"/>
      </w:divBdr>
    </w:div>
    <w:div w:id="1619946565">
      <w:bodyDiv w:val="1"/>
      <w:marLeft w:val="0"/>
      <w:marRight w:val="0"/>
      <w:marTop w:val="0"/>
      <w:marBottom w:val="0"/>
      <w:divBdr>
        <w:top w:val="none" w:sz="0" w:space="0" w:color="auto"/>
        <w:left w:val="none" w:sz="0" w:space="0" w:color="auto"/>
        <w:bottom w:val="none" w:sz="0" w:space="0" w:color="auto"/>
        <w:right w:val="none" w:sz="0" w:space="0" w:color="auto"/>
      </w:divBdr>
    </w:div>
    <w:div w:id="1619948085">
      <w:bodyDiv w:val="1"/>
      <w:marLeft w:val="0"/>
      <w:marRight w:val="0"/>
      <w:marTop w:val="0"/>
      <w:marBottom w:val="0"/>
      <w:divBdr>
        <w:top w:val="none" w:sz="0" w:space="0" w:color="auto"/>
        <w:left w:val="none" w:sz="0" w:space="0" w:color="auto"/>
        <w:bottom w:val="none" w:sz="0" w:space="0" w:color="auto"/>
        <w:right w:val="none" w:sz="0" w:space="0" w:color="auto"/>
      </w:divBdr>
    </w:div>
    <w:div w:id="1619986864">
      <w:bodyDiv w:val="1"/>
      <w:marLeft w:val="0"/>
      <w:marRight w:val="0"/>
      <w:marTop w:val="0"/>
      <w:marBottom w:val="0"/>
      <w:divBdr>
        <w:top w:val="none" w:sz="0" w:space="0" w:color="auto"/>
        <w:left w:val="none" w:sz="0" w:space="0" w:color="auto"/>
        <w:bottom w:val="none" w:sz="0" w:space="0" w:color="auto"/>
        <w:right w:val="none" w:sz="0" w:space="0" w:color="auto"/>
      </w:divBdr>
    </w:div>
    <w:div w:id="1619994957">
      <w:bodyDiv w:val="1"/>
      <w:marLeft w:val="0"/>
      <w:marRight w:val="0"/>
      <w:marTop w:val="0"/>
      <w:marBottom w:val="0"/>
      <w:divBdr>
        <w:top w:val="none" w:sz="0" w:space="0" w:color="auto"/>
        <w:left w:val="none" w:sz="0" w:space="0" w:color="auto"/>
        <w:bottom w:val="none" w:sz="0" w:space="0" w:color="auto"/>
        <w:right w:val="none" w:sz="0" w:space="0" w:color="auto"/>
      </w:divBdr>
    </w:div>
    <w:div w:id="1620070705">
      <w:bodyDiv w:val="1"/>
      <w:marLeft w:val="0"/>
      <w:marRight w:val="0"/>
      <w:marTop w:val="0"/>
      <w:marBottom w:val="0"/>
      <w:divBdr>
        <w:top w:val="none" w:sz="0" w:space="0" w:color="auto"/>
        <w:left w:val="none" w:sz="0" w:space="0" w:color="auto"/>
        <w:bottom w:val="none" w:sz="0" w:space="0" w:color="auto"/>
        <w:right w:val="none" w:sz="0" w:space="0" w:color="auto"/>
      </w:divBdr>
    </w:div>
    <w:div w:id="1620187959">
      <w:bodyDiv w:val="1"/>
      <w:marLeft w:val="0"/>
      <w:marRight w:val="0"/>
      <w:marTop w:val="0"/>
      <w:marBottom w:val="0"/>
      <w:divBdr>
        <w:top w:val="none" w:sz="0" w:space="0" w:color="auto"/>
        <w:left w:val="none" w:sz="0" w:space="0" w:color="auto"/>
        <w:bottom w:val="none" w:sz="0" w:space="0" w:color="auto"/>
        <w:right w:val="none" w:sz="0" w:space="0" w:color="auto"/>
      </w:divBdr>
    </w:div>
    <w:div w:id="1620212120">
      <w:bodyDiv w:val="1"/>
      <w:marLeft w:val="0"/>
      <w:marRight w:val="0"/>
      <w:marTop w:val="0"/>
      <w:marBottom w:val="0"/>
      <w:divBdr>
        <w:top w:val="none" w:sz="0" w:space="0" w:color="auto"/>
        <w:left w:val="none" w:sz="0" w:space="0" w:color="auto"/>
        <w:bottom w:val="none" w:sz="0" w:space="0" w:color="auto"/>
        <w:right w:val="none" w:sz="0" w:space="0" w:color="auto"/>
      </w:divBdr>
    </w:div>
    <w:div w:id="1620407836">
      <w:bodyDiv w:val="1"/>
      <w:marLeft w:val="0"/>
      <w:marRight w:val="0"/>
      <w:marTop w:val="0"/>
      <w:marBottom w:val="0"/>
      <w:divBdr>
        <w:top w:val="none" w:sz="0" w:space="0" w:color="auto"/>
        <w:left w:val="none" w:sz="0" w:space="0" w:color="auto"/>
        <w:bottom w:val="none" w:sz="0" w:space="0" w:color="auto"/>
        <w:right w:val="none" w:sz="0" w:space="0" w:color="auto"/>
      </w:divBdr>
    </w:div>
    <w:div w:id="1620408278">
      <w:bodyDiv w:val="1"/>
      <w:marLeft w:val="0"/>
      <w:marRight w:val="0"/>
      <w:marTop w:val="0"/>
      <w:marBottom w:val="0"/>
      <w:divBdr>
        <w:top w:val="none" w:sz="0" w:space="0" w:color="auto"/>
        <w:left w:val="none" w:sz="0" w:space="0" w:color="auto"/>
        <w:bottom w:val="none" w:sz="0" w:space="0" w:color="auto"/>
        <w:right w:val="none" w:sz="0" w:space="0" w:color="auto"/>
      </w:divBdr>
    </w:div>
    <w:div w:id="1620455680">
      <w:bodyDiv w:val="1"/>
      <w:marLeft w:val="0"/>
      <w:marRight w:val="0"/>
      <w:marTop w:val="0"/>
      <w:marBottom w:val="0"/>
      <w:divBdr>
        <w:top w:val="none" w:sz="0" w:space="0" w:color="auto"/>
        <w:left w:val="none" w:sz="0" w:space="0" w:color="auto"/>
        <w:bottom w:val="none" w:sz="0" w:space="0" w:color="auto"/>
        <w:right w:val="none" w:sz="0" w:space="0" w:color="auto"/>
      </w:divBdr>
    </w:div>
    <w:div w:id="1620600395">
      <w:bodyDiv w:val="1"/>
      <w:marLeft w:val="0"/>
      <w:marRight w:val="0"/>
      <w:marTop w:val="0"/>
      <w:marBottom w:val="0"/>
      <w:divBdr>
        <w:top w:val="none" w:sz="0" w:space="0" w:color="auto"/>
        <w:left w:val="none" w:sz="0" w:space="0" w:color="auto"/>
        <w:bottom w:val="none" w:sz="0" w:space="0" w:color="auto"/>
        <w:right w:val="none" w:sz="0" w:space="0" w:color="auto"/>
      </w:divBdr>
    </w:div>
    <w:div w:id="1620600884">
      <w:bodyDiv w:val="1"/>
      <w:marLeft w:val="0"/>
      <w:marRight w:val="0"/>
      <w:marTop w:val="0"/>
      <w:marBottom w:val="0"/>
      <w:divBdr>
        <w:top w:val="none" w:sz="0" w:space="0" w:color="auto"/>
        <w:left w:val="none" w:sz="0" w:space="0" w:color="auto"/>
        <w:bottom w:val="none" w:sz="0" w:space="0" w:color="auto"/>
        <w:right w:val="none" w:sz="0" w:space="0" w:color="auto"/>
      </w:divBdr>
    </w:div>
    <w:div w:id="1620721723">
      <w:bodyDiv w:val="1"/>
      <w:marLeft w:val="0"/>
      <w:marRight w:val="0"/>
      <w:marTop w:val="0"/>
      <w:marBottom w:val="0"/>
      <w:divBdr>
        <w:top w:val="none" w:sz="0" w:space="0" w:color="auto"/>
        <w:left w:val="none" w:sz="0" w:space="0" w:color="auto"/>
        <w:bottom w:val="none" w:sz="0" w:space="0" w:color="auto"/>
        <w:right w:val="none" w:sz="0" w:space="0" w:color="auto"/>
      </w:divBdr>
    </w:div>
    <w:div w:id="1620797039">
      <w:bodyDiv w:val="1"/>
      <w:marLeft w:val="0"/>
      <w:marRight w:val="0"/>
      <w:marTop w:val="0"/>
      <w:marBottom w:val="0"/>
      <w:divBdr>
        <w:top w:val="none" w:sz="0" w:space="0" w:color="auto"/>
        <w:left w:val="none" w:sz="0" w:space="0" w:color="auto"/>
        <w:bottom w:val="none" w:sz="0" w:space="0" w:color="auto"/>
        <w:right w:val="none" w:sz="0" w:space="0" w:color="auto"/>
      </w:divBdr>
    </w:div>
    <w:div w:id="1620799420">
      <w:bodyDiv w:val="1"/>
      <w:marLeft w:val="0"/>
      <w:marRight w:val="0"/>
      <w:marTop w:val="0"/>
      <w:marBottom w:val="0"/>
      <w:divBdr>
        <w:top w:val="none" w:sz="0" w:space="0" w:color="auto"/>
        <w:left w:val="none" w:sz="0" w:space="0" w:color="auto"/>
        <w:bottom w:val="none" w:sz="0" w:space="0" w:color="auto"/>
        <w:right w:val="none" w:sz="0" w:space="0" w:color="auto"/>
      </w:divBdr>
    </w:div>
    <w:div w:id="1620910760">
      <w:bodyDiv w:val="1"/>
      <w:marLeft w:val="0"/>
      <w:marRight w:val="0"/>
      <w:marTop w:val="0"/>
      <w:marBottom w:val="0"/>
      <w:divBdr>
        <w:top w:val="none" w:sz="0" w:space="0" w:color="auto"/>
        <w:left w:val="none" w:sz="0" w:space="0" w:color="auto"/>
        <w:bottom w:val="none" w:sz="0" w:space="0" w:color="auto"/>
        <w:right w:val="none" w:sz="0" w:space="0" w:color="auto"/>
      </w:divBdr>
    </w:div>
    <w:div w:id="1620911777">
      <w:bodyDiv w:val="1"/>
      <w:marLeft w:val="0"/>
      <w:marRight w:val="0"/>
      <w:marTop w:val="0"/>
      <w:marBottom w:val="0"/>
      <w:divBdr>
        <w:top w:val="none" w:sz="0" w:space="0" w:color="auto"/>
        <w:left w:val="none" w:sz="0" w:space="0" w:color="auto"/>
        <w:bottom w:val="none" w:sz="0" w:space="0" w:color="auto"/>
        <w:right w:val="none" w:sz="0" w:space="0" w:color="auto"/>
      </w:divBdr>
    </w:div>
    <w:div w:id="1620916800">
      <w:bodyDiv w:val="1"/>
      <w:marLeft w:val="0"/>
      <w:marRight w:val="0"/>
      <w:marTop w:val="0"/>
      <w:marBottom w:val="0"/>
      <w:divBdr>
        <w:top w:val="none" w:sz="0" w:space="0" w:color="auto"/>
        <w:left w:val="none" w:sz="0" w:space="0" w:color="auto"/>
        <w:bottom w:val="none" w:sz="0" w:space="0" w:color="auto"/>
        <w:right w:val="none" w:sz="0" w:space="0" w:color="auto"/>
      </w:divBdr>
    </w:div>
    <w:div w:id="1620917250">
      <w:bodyDiv w:val="1"/>
      <w:marLeft w:val="0"/>
      <w:marRight w:val="0"/>
      <w:marTop w:val="0"/>
      <w:marBottom w:val="0"/>
      <w:divBdr>
        <w:top w:val="none" w:sz="0" w:space="0" w:color="auto"/>
        <w:left w:val="none" w:sz="0" w:space="0" w:color="auto"/>
        <w:bottom w:val="none" w:sz="0" w:space="0" w:color="auto"/>
        <w:right w:val="none" w:sz="0" w:space="0" w:color="auto"/>
      </w:divBdr>
    </w:div>
    <w:div w:id="1620992961">
      <w:bodyDiv w:val="1"/>
      <w:marLeft w:val="0"/>
      <w:marRight w:val="0"/>
      <w:marTop w:val="0"/>
      <w:marBottom w:val="0"/>
      <w:divBdr>
        <w:top w:val="none" w:sz="0" w:space="0" w:color="auto"/>
        <w:left w:val="none" w:sz="0" w:space="0" w:color="auto"/>
        <w:bottom w:val="none" w:sz="0" w:space="0" w:color="auto"/>
        <w:right w:val="none" w:sz="0" w:space="0" w:color="auto"/>
      </w:divBdr>
    </w:div>
    <w:div w:id="1620993860">
      <w:bodyDiv w:val="1"/>
      <w:marLeft w:val="0"/>
      <w:marRight w:val="0"/>
      <w:marTop w:val="0"/>
      <w:marBottom w:val="0"/>
      <w:divBdr>
        <w:top w:val="none" w:sz="0" w:space="0" w:color="auto"/>
        <w:left w:val="none" w:sz="0" w:space="0" w:color="auto"/>
        <w:bottom w:val="none" w:sz="0" w:space="0" w:color="auto"/>
        <w:right w:val="none" w:sz="0" w:space="0" w:color="auto"/>
      </w:divBdr>
    </w:div>
    <w:div w:id="1621061774">
      <w:bodyDiv w:val="1"/>
      <w:marLeft w:val="0"/>
      <w:marRight w:val="0"/>
      <w:marTop w:val="0"/>
      <w:marBottom w:val="0"/>
      <w:divBdr>
        <w:top w:val="none" w:sz="0" w:space="0" w:color="auto"/>
        <w:left w:val="none" w:sz="0" w:space="0" w:color="auto"/>
        <w:bottom w:val="none" w:sz="0" w:space="0" w:color="auto"/>
        <w:right w:val="none" w:sz="0" w:space="0" w:color="auto"/>
      </w:divBdr>
    </w:div>
    <w:div w:id="1621230245">
      <w:bodyDiv w:val="1"/>
      <w:marLeft w:val="0"/>
      <w:marRight w:val="0"/>
      <w:marTop w:val="0"/>
      <w:marBottom w:val="0"/>
      <w:divBdr>
        <w:top w:val="none" w:sz="0" w:space="0" w:color="auto"/>
        <w:left w:val="none" w:sz="0" w:space="0" w:color="auto"/>
        <w:bottom w:val="none" w:sz="0" w:space="0" w:color="auto"/>
        <w:right w:val="none" w:sz="0" w:space="0" w:color="auto"/>
      </w:divBdr>
    </w:div>
    <w:div w:id="1621260711">
      <w:bodyDiv w:val="1"/>
      <w:marLeft w:val="0"/>
      <w:marRight w:val="0"/>
      <w:marTop w:val="0"/>
      <w:marBottom w:val="0"/>
      <w:divBdr>
        <w:top w:val="none" w:sz="0" w:space="0" w:color="auto"/>
        <w:left w:val="none" w:sz="0" w:space="0" w:color="auto"/>
        <w:bottom w:val="none" w:sz="0" w:space="0" w:color="auto"/>
        <w:right w:val="none" w:sz="0" w:space="0" w:color="auto"/>
      </w:divBdr>
    </w:div>
    <w:div w:id="1621304831">
      <w:bodyDiv w:val="1"/>
      <w:marLeft w:val="0"/>
      <w:marRight w:val="0"/>
      <w:marTop w:val="0"/>
      <w:marBottom w:val="0"/>
      <w:divBdr>
        <w:top w:val="none" w:sz="0" w:space="0" w:color="auto"/>
        <w:left w:val="none" w:sz="0" w:space="0" w:color="auto"/>
        <w:bottom w:val="none" w:sz="0" w:space="0" w:color="auto"/>
        <w:right w:val="none" w:sz="0" w:space="0" w:color="auto"/>
      </w:divBdr>
    </w:div>
    <w:div w:id="1621305429">
      <w:bodyDiv w:val="1"/>
      <w:marLeft w:val="0"/>
      <w:marRight w:val="0"/>
      <w:marTop w:val="0"/>
      <w:marBottom w:val="0"/>
      <w:divBdr>
        <w:top w:val="none" w:sz="0" w:space="0" w:color="auto"/>
        <w:left w:val="none" w:sz="0" w:space="0" w:color="auto"/>
        <w:bottom w:val="none" w:sz="0" w:space="0" w:color="auto"/>
        <w:right w:val="none" w:sz="0" w:space="0" w:color="auto"/>
      </w:divBdr>
    </w:div>
    <w:div w:id="1621375286">
      <w:bodyDiv w:val="1"/>
      <w:marLeft w:val="0"/>
      <w:marRight w:val="0"/>
      <w:marTop w:val="0"/>
      <w:marBottom w:val="0"/>
      <w:divBdr>
        <w:top w:val="none" w:sz="0" w:space="0" w:color="auto"/>
        <w:left w:val="none" w:sz="0" w:space="0" w:color="auto"/>
        <w:bottom w:val="none" w:sz="0" w:space="0" w:color="auto"/>
        <w:right w:val="none" w:sz="0" w:space="0" w:color="auto"/>
      </w:divBdr>
    </w:div>
    <w:div w:id="1621377988">
      <w:bodyDiv w:val="1"/>
      <w:marLeft w:val="0"/>
      <w:marRight w:val="0"/>
      <w:marTop w:val="0"/>
      <w:marBottom w:val="0"/>
      <w:divBdr>
        <w:top w:val="none" w:sz="0" w:space="0" w:color="auto"/>
        <w:left w:val="none" w:sz="0" w:space="0" w:color="auto"/>
        <w:bottom w:val="none" w:sz="0" w:space="0" w:color="auto"/>
        <w:right w:val="none" w:sz="0" w:space="0" w:color="auto"/>
      </w:divBdr>
    </w:div>
    <w:div w:id="1621378477">
      <w:bodyDiv w:val="1"/>
      <w:marLeft w:val="0"/>
      <w:marRight w:val="0"/>
      <w:marTop w:val="0"/>
      <w:marBottom w:val="0"/>
      <w:divBdr>
        <w:top w:val="none" w:sz="0" w:space="0" w:color="auto"/>
        <w:left w:val="none" w:sz="0" w:space="0" w:color="auto"/>
        <w:bottom w:val="none" w:sz="0" w:space="0" w:color="auto"/>
        <w:right w:val="none" w:sz="0" w:space="0" w:color="auto"/>
      </w:divBdr>
    </w:div>
    <w:div w:id="1621380641">
      <w:bodyDiv w:val="1"/>
      <w:marLeft w:val="0"/>
      <w:marRight w:val="0"/>
      <w:marTop w:val="0"/>
      <w:marBottom w:val="0"/>
      <w:divBdr>
        <w:top w:val="none" w:sz="0" w:space="0" w:color="auto"/>
        <w:left w:val="none" w:sz="0" w:space="0" w:color="auto"/>
        <w:bottom w:val="none" w:sz="0" w:space="0" w:color="auto"/>
        <w:right w:val="none" w:sz="0" w:space="0" w:color="auto"/>
      </w:divBdr>
    </w:div>
    <w:div w:id="1621447221">
      <w:bodyDiv w:val="1"/>
      <w:marLeft w:val="0"/>
      <w:marRight w:val="0"/>
      <w:marTop w:val="0"/>
      <w:marBottom w:val="0"/>
      <w:divBdr>
        <w:top w:val="none" w:sz="0" w:space="0" w:color="auto"/>
        <w:left w:val="none" w:sz="0" w:space="0" w:color="auto"/>
        <w:bottom w:val="none" w:sz="0" w:space="0" w:color="auto"/>
        <w:right w:val="none" w:sz="0" w:space="0" w:color="auto"/>
      </w:divBdr>
    </w:div>
    <w:div w:id="1621447999">
      <w:bodyDiv w:val="1"/>
      <w:marLeft w:val="0"/>
      <w:marRight w:val="0"/>
      <w:marTop w:val="0"/>
      <w:marBottom w:val="0"/>
      <w:divBdr>
        <w:top w:val="none" w:sz="0" w:space="0" w:color="auto"/>
        <w:left w:val="none" w:sz="0" w:space="0" w:color="auto"/>
        <w:bottom w:val="none" w:sz="0" w:space="0" w:color="auto"/>
        <w:right w:val="none" w:sz="0" w:space="0" w:color="auto"/>
      </w:divBdr>
    </w:div>
    <w:div w:id="1621454595">
      <w:bodyDiv w:val="1"/>
      <w:marLeft w:val="0"/>
      <w:marRight w:val="0"/>
      <w:marTop w:val="0"/>
      <w:marBottom w:val="0"/>
      <w:divBdr>
        <w:top w:val="none" w:sz="0" w:space="0" w:color="auto"/>
        <w:left w:val="none" w:sz="0" w:space="0" w:color="auto"/>
        <w:bottom w:val="none" w:sz="0" w:space="0" w:color="auto"/>
        <w:right w:val="none" w:sz="0" w:space="0" w:color="auto"/>
      </w:divBdr>
    </w:div>
    <w:div w:id="1621498148">
      <w:bodyDiv w:val="1"/>
      <w:marLeft w:val="0"/>
      <w:marRight w:val="0"/>
      <w:marTop w:val="0"/>
      <w:marBottom w:val="0"/>
      <w:divBdr>
        <w:top w:val="none" w:sz="0" w:space="0" w:color="auto"/>
        <w:left w:val="none" w:sz="0" w:space="0" w:color="auto"/>
        <w:bottom w:val="none" w:sz="0" w:space="0" w:color="auto"/>
        <w:right w:val="none" w:sz="0" w:space="0" w:color="auto"/>
      </w:divBdr>
    </w:div>
    <w:div w:id="1621567938">
      <w:bodyDiv w:val="1"/>
      <w:marLeft w:val="0"/>
      <w:marRight w:val="0"/>
      <w:marTop w:val="0"/>
      <w:marBottom w:val="0"/>
      <w:divBdr>
        <w:top w:val="none" w:sz="0" w:space="0" w:color="auto"/>
        <w:left w:val="none" w:sz="0" w:space="0" w:color="auto"/>
        <w:bottom w:val="none" w:sz="0" w:space="0" w:color="auto"/>
        <w:right w:val="none" w:sz="0" w:space="0" w:color="auto"/>
      </w:divBdr>
    </w:div>
    <w:div w:id="1621570558">
      <w:bodyDiv w:val="1"/>
      <w:marLeft w:val="0"/>
      <w:marRight w:val="0"/>
      <w:marTop w:val="0"/>
      <w:marBottom w:val="0"/>
      <w:divBdr>
        <w:top w:val="none" w:sz="0" w:space="0" w:color="auto"/>
        <w:left w:val="none" w:sz="0" w:space="0" w:color="auto"/>
        <w:bottom w:val="none" w:sz="0" w:space="0" w:color="auto"/>
        <w:right w:val="none" w:sz="0" w:space="0" w:color="auto"/>
      </w:divBdr>
    </w:div>
    <w:div w:id="1621644513">
      <w:bodyDiv w:val="1"/>
      <w:marLeft w:val="0"/>
      <w:marRight w:val="0"/>
      <w:marTop w:val="0"/>
      <w:marBottom w:val="0"/>
      <w:divBdr>
        <w:top w:val="none" w:sz="0" w:space="0" w:color="auto"/>
        <w:left w:val="none" w:sz="0" w:space="0" w:color="auto"/>
        <w:bottom w:val="none" w:sz="0" w:space="0" w:color="auto"/>
        <w:right w:val="none" w:sz="0" w:space="0" w:color="auto"/>
      </w:divBdr>
    </w:div>
    <w:div w:id="1621648255">
      <w:bodyDiv w:val="1"/>
      <w:marLeft w:val="0"/>
      <w:marRight w:val="0"/>
      <w:marTop w:val="0"/>
      <w:marBottom w:val="0"/>
      <w:divBdr>
        <w:top w:val="none" w:sz="0" w:space="0" w:color="auto"/>
        <w:left w:val="none" w:sz="0" w:space="0" w:color="auto"/>
        <w:bottom w:val="none" w:sz="0" w:space="0" w:color="auto"/>
        <w:right w:val="none" w:sz="0" w:space="0" w:color="auto"/>
      </w:divBdr>
    </w:div>
    <w:div w:id="1621885985">
      <w:bodyDiv w:val="1"/>
      <w:marLeft w:val="0"/>
      <w:marRight w:val="0"/>
      <w:marTop w:val="0"/>
      <w:marBottom w:val="0"/>
      <w:divBdr>
        <w:top w:val="none" w:sz="0" w:space="0" w:color="auto"/>
        <w:left w:val="none" w:sz="0" w:space="0" w:color="auto"/>
        <w:bottom w:val="none" w:sz="0" w:space="0" w:color="auto"/>
        <w:right w:val="none" w:sz="0" w:space="0" w:color="auto"/>
      </w:divBdr>
    </w:div>
    <w:div w:id="1621911895">
      <w:bodyDiv w:val="1"/>
      <w:marLeft w:val="0"/>
      <w:marRight w:val="0"/>
      <w:marTop w:val="0"/>
      <w:marBottom w:val="0"/>
      <w:divBdr>
        <w:top w:val="none" w:sz="0" w:space="0" w:color="auto"/>
        <w:left w:val="none" w:sz="0" w:space="0" w:color="auto"/>
        <w:bottom w:val="none" w:sz="0" w:space="0" w:color="auto"/>
        <w:right w:val="none" w:sz="0" w:space="0" w:color="auto"/>
      </w:divBdr>
    </w:div>
    <w:div w:id="1621954834">
      <w:bodyDiv w:val="1"/>
      <w:marLeft w:val="0"/>
      <w:marRight w:val="0"/>
      <w:marTop w:val="0"/>
      <w:marBottom w:val="0"/>
      <w:divBdr>
        <w:top w:val="none" w:sz="0" w:space="0" w:color="auto"/>
        <w:left w:val="none" w:sz="0" w:space="0" w:color="auto"/>
        <w:bottom w:val="none" w:sz="0" w:space="0" w:color="auto"/>
        <w:right w:val="none" w:sz="0" w:space="0" w:color="auto"/>
      </w:divBdr>
    </w:div>
    <w:div w:id="1621955906">
      <w:bodyDiv w:val="1"/>
      <w:marLeft w:val="0"/>
      <w:marRight w:val="0"/>
      <w:marTop w:val="0"/>
      <w:marBottom w:val="0"/>
      <w:divBdr>
        <w:top w:val="none" w:sz="0" w:space="0" w:color="auto"/>
        <w:left w:val="none" w:sz="0" w:space="0" w:color="auto"/>
        <w:bottom w:val="none" w:sz="0" w:space="0" w:color="auto"/>
        <w:right w:val="none" w:sz="0" w:space="0" w:color="auto"/>
      </w:divBdr>
    </w:div>
    <w:div w:id="1622028113">
      <w:bodyDiv w:val="1"/>
      <w:marLeft w:val="0"/>
      <w:marRight w:val="0"/>
      <w:marTop w:val="0"/>
      <w:marBottom w:val="0"/>
      <w:divBdr>
        <w:top w:val="none" w:sz="0" w:space="0" w:color="auto"/>
        <w:left w:val="none" w:sz="0" w:space="0" w:color="auto"/>
        <w:bottom w:val="none" w:sz="0" w:space="0" w:color="auto"/>
        <w:right w:val="none" w:sz="0" w:space="0" w:color="auto"/>
      </w:divBdr>
    </w:div>
    <w:div w:id="1622032136">
      <w:bodyDiv w:val="1"/>
      <w:marLeft w:val="0"/>
      <w:marRight w:val="0"/>
      <w:marTop w:val="0"/>
      <w:marBottom w:val="0"/>
      <w:divBdr>
        <w:top w:val="none" w:sz="0" w:space="0" w:color="auto"/>
        <w:left w:val="none" w:sz="0" w:space="0" w:color="auto"/>
        <w:bottom w:val="none" w:sz="0" w:space="0" w:color="auto"/>
        <w:right w:val="none" w:sz="0" w:space="0" w:color="auto"/>
      </w:divBdr>
    </w:div>
    <w:div w:id="1622110080">
      <w:bodyDiv w:val="1"/>
      <w:marLeft w:val="0"/>
      <w:marRight w:val="0"/>
      <w:marTop w:val="0"/>
      <w:marBottom w:val="0"/>
      <w:divBdr>
        <w:top w:val="none" w:sz="0" w:space="0" w:color="auto"/>
        <w:left w:val="none" w:sz="0" w:space="0" w:color="auto"/>
        <w:bottom w:val="none" w:sz="0" w:space="0" w:color="auto"/>
        <w:right w:val="none" w:sz="0" w:space="0" w:color="auto"/>
      </w:divBdr>
    </w:div>
    <w:div w:id="1622111830">
      <w:bodyDiv w:val="1"/>
      <w:marLeft w:val="0"/>
      <w:marRight w:val="0"/>
      <w:marTop w:val="0"/>
      <w:marBottom w:val="0"/>
      <w:divBdr>
        <w:top w:val="none" w:sz="0" w:space="0" w:color="auto"/>
        <w:left w:val="none" w:sz="0" w:space="0" w:color="auto"/>
        <w:bottom w:val="none" w:sz="0" w:space="0" w:color="auto"/>
        <w:right w:val="none" w:sz="0" w:space="0" w:color="auto"/>
      </w:divBdr>
    </w:div>
    <w:div w:id="1622153795">
      <w:bodyDiv w:val="1"/>
      <w:marLeft w:val="0"/>
      <w:marRight w:val="0"/>
      <w:marTop w:val="0"/>
      <w:marBottom w:val="0"/>
      <w:divBdr>
        <w:top w:val="none" w:sz="0" w:space="0" w:color="auto"/>
        <w:left w:val="none" w:sz="0" w:space="0" w:color="auto"/>
        <w:bottom w:val="none" w:sz="0" w:space="0" w:color="auto"/>
        <w:right w:val="none" w:sz="0" w:space="0" w:color="auto"/>
      </w:divBdr>
    </w:div>
    <w:div w:id="1622295968">
      <w:bodyDiv w:val="1"/>
      <w:marLeft w:val="0"/>
      <w:marRight w:val="0"/>
      <w:marTop w:val="0"/>
      <w:marBottom w:val="0"/>
      <w:divBdr>
        <w:top w:val="none" w:sz="0" w:space="0" w:color="auto"/>
        <w:left w:val="none" w:sz="0" w:space="0" w:color="auto"/>
        <w:bottom w:val="none" w:sz="0" w:space="0" w:color="auto"/>
        <w:right w:val="none" w:sz="0" w:space="0" w:color="auto"/>
      </w:divBdr>
    </w:div>
    <w:div w:id="1622297283">
      <w:bodyDiv w:val="1"/>
      <w:marLeft w:val="0"/>
      <w:marRight w:val="0"/>
      <w:marTop w:val="0"/>
      <w:marBottom w:val="0"/>
      <w:divBdr>
        <w:top w:val="none" w:sz="0" w:space="0" w:color="auto"/>
        <w:left w:val="none" w:sz="0" w:space="0" w:color="auto"/>
        <w:bottom w:val="none" w:sz="0" w:space="0" w:color="auto"/>
        <w:right w:val="none" w:sz="0" w:space="0" w:color="auto"/>
      </w:divBdr>
    </w:div>
    <w:div w:id="1622413858">
      <w:bodyDiv w:val="1"/>
      <w:marLeft w:val="0"/>
      <w:marRight w:val="0"/>
      <w:marTop w:val="0"/>
      <w:marBottom w:val="0"/>
      <w:divBdr>
        <w:top w:val="none" w:sz="0" w:space="0" w:color="auto"/>
        <w:left w:val="none" w:sz="0" w:space="0" w:color="auto"/>
        <w:bottom w:val="none" w:sz="0" w:space="0" w:color="auto"/>
        <w:right w:val="none" w:sz="0" w:space="0" w:color="auto"/>
      </w:divBdr>
    </w:div>
    <w:div w:id="1622420997">
      <w:bodyDiv w:val="1"/>
      <w:marLeft w:val="0"/>
      <w:marRight w:val="0"/>
      <w:marTop w:val="0"/>
      <w:marBottom w:val="0"/>
      <w:divBdr>
        <w:top w:val="none" w:sz="0" w:space="0" w:color="auto"/>
        <w:left w:val="none" w:sz="0" w:space="0" w:color="auto"/>
        <w:bottom w:val="none" w:sz="0" w:space="0" w:color="auto"/>
        <w:right w:val="none" w:sz="0" w:space="0" w:color="auto"/>
      </w:divBdr>
    </w:div>
    <w:div w:id="1622421054">
      <w:bodyDiv w:val="1"/>
      <w:marLeft w:val="0"/>
      <w:marRight w:val="0"/>
      <w:marTop w:val="0"/>
      <w:marBottom w:val="0"/>
      <w:divBdr>
        <w:top w:val="none" w:sz="0" w:space="0" w:color="auto"/>
        <w:left w:val="none" w:sz="0" w:space="0" w:color="auto"/>
        <w:bottom w:val="none" w:sz="0" w:space="0" w:color="auto"/>
        <w:right w:val="none" w:sz="0" w:space="0" w:color="auto"/>
      </w:divBdr>
    </w:div>
    <w:div w:id="1622682426">
      <w:bodyDiv w:val="1"/>
      <w:marLeft w:val="0"/>
      <w:marRight w:val="0"/>
      <w:marTop w:val="0"/>
      <w:marBottom w:val="0"/>
      <w:divBdr>
        <w:top w:val="none" w:sz="0" w:space="0" w:color="auto"/>
        <w:left w:val="none" w:sz="0" w:space="0" w:color="auto"/>
        <w:bottom w:val="none" w:sz="0" w:space="0" w:color="auto"/>
        <w:right w:val="none" w:sz="0" w:space="0" w:color="auto"/>
      </w:divBdr>
    </w:div>
    <w:div w:id="1622876664">
      <w:bodyDiv w:val="1"/>
      <w:marLeft w:val="0"/>
      <w:marRight w:val="0"/>
      <w:marTop w:val="0"/>
      <w:marBottom w:val="0"/>
      <w:divBdr>
        <w:top w:val="none" w:sz="0" w:space="0" w:color="auto"/>
        <w:left w:val="none" w:sz="0" w:space="0" w:color="auto"/>
        <w:bottom w:val="none" w:sz="0" w:space="0" w:color="auto"/>
        <w:right w:val="none" w:sz="0" w:space="0" w:color="auto"/>
      </w:divBdr>
    </w:div>
    <w:div w:id="1622955621">
      <w:bodyDiv w:val="1"/>
      <w:marLeft w:val="0"/>
      <w:marRight w:val="0"/>
      <w:marTop w:val="0"/>
      <w:marBottom w:val="0"/>
      <w:divBdr>
        <w:top w:val="none" w:sz="0" w:space="0" w:color="auto"/>
        <w:left w:val="none" w:sz="0" w:space="0" w:color="auto"/>
        <w:bottom w:val="none" w:sz="0" w:space="0" w:color="auto"/>
        <w:right w:val="none" w:sz="0" w:space="0" w:color="auto"/>
      </w:divBdr>
    </w:div>
    <w:div w:id="1622999801">
      <w:bodyDiv w:val="1"/>
      <w:marLeft w:val="0"/>
      <w:marRight w:val="0"/>
      <w:marTop w:val="0"/>
      <w:marBottom w:val="0"/>
      <w:divBdr>
        <w:top w:val="none" w:sz="0" w:space="0" w:color="auto"/>
        <w:left w:val="none" w:sz="0" w:space="0" w:color="auto"/>
        <w:bottom w:val="none" w:sz="0" w:space="0" w:color="auto"/>
        <w:right w:val="none" w:sz="0" w:space="0" w:color="auto"/>
      </w:divBdr>
    </w:div>
    <w:div w:id="1623072433">
      <w:bodyDiv w:val="1"/>
      <w:marLeft w:val="0"/>
      <w:marRight w:val="0"/>
      <w:marTop w:val="0"/>
      <w:marBottom w:val="0"/>
      <w:divBdr>
        <w:top w:val="none" w:sz="0" w:space="0" w:color="auto"/>
        <w:left w:val="none" w:sz="0" w:space="0" w:color="auto"/>
        <w:bottom w:val="none" w:sz="0" w:space="0" w:color="auto"/>
        <w:right w:val="none" w:sz="0" w:space="0" w:color="auto"/>
      </w:divBdr>
    </w:div>
    <w:div w:id="1623076487">
      <w:bodyDiv w:val="1"/>
      <w:marLeft w:val="0"/>
      <w:marRight w:val="0"/>
      <w:marTop w:val="0"/>
      <w:marBottom w:val="0"/>
      <w:divBdr>
        <w:top w:val="none" w:sz="0" w:space="0" w:color="auto"/>
        <w:left w:val="none" w:sz="0" w:space="0" w:color="auto"/>
        <w:bottom w:val="none" w:sz="0" w:space="0" w:color="auto"/>
        <w:right w:val="none" w:sz="0" w:space="0" w:color="auto"/>
      </w:divBdr>
    </w:div>
    <w:div w:id="1623149167">
      <w:bodyDiv w:val="1"/>
      <w:marLeft w:val="0"/>
      <w:marRight w:val="0"/>
      <w:marTop w:val="0"/>
      <w:marBottom w:val="0"/>
      <w:divBdr>
        <w:top w:val="none" w:sz="0" w:space="0" w:color="auto"/>
        <w:left w:val="none" w:sz="0" w:space="0" w:color="auto"/>
        <w:bottom w:val="none" w:sz="0" w:space="0" w:color="auto"/>
        <w:right w:val="none" w:sz="0" w:space="0" w:color="auto"/>
      </w:divBdr>
    </w:div>
    <w:div w:id="1623340947">
      <w:bodyDiv w:val="1"/>
      <w:marLeft w:val="0"/>
      <w:marRight w:val="0"/>
      <w:marTop w:val="0"/>
      <w:marBottom w:val="0"/>
      <w:divBdr>
        <w:top w:val="none" w:sz="0" w:space="0" w:color="auto"/>
        <w:left w:val="none" w:sz="0" w:space="0" w:color="auto"/>
        <w:bottom w:val="none" w:sz="0" w:space="0" w:color="auto"/>
        <w:right w:val="none" w:sz="0" w:space="0" w:color="auto"/>
      </w:divBdr>
    </w:div>
    <w:div w:id="1623457866">
      <w:bodyDiv w:val="1"/>
      <w:marLeft w:val="0"/>
      <w:marRight w:val="0"/>
      <w:marTop w:val="0"/>
      <w:marBottom w:val="0"/>
      <w:divBdr>
        <w:top w:val="none" w:sz="0" w:space="0" w:color="auto"/>
        <w:left w:val="none" w:sz="0" w:space="0" w:color="auto"/>
        <w:bottom w:val="none" w:sz="0" w:space="0" w:color="auto"/>
        <w:right w:val="none" w:sz="0" w:space="0" w:color="auto"/>
      </w:divBdr>
    </w:div>
    <w:div w:id="1623458390">
      <w:bodyDiv w:val="1"/>
      <w:marLeft w:val="0"/>
      <w:marRight w:val="0"/>
      <w:marTop w:val="0"/>
      <w:marBottom w:val="0"/>
      <w:divBdr>
        <w:top w:val="none" w:sz="0" w:space="0" w:color="auto"/>
        <w:left w:val="none" w:sz="0" w:space="0" w:color="auto"/>
        <w:bottom w:val="none" w:sz="0" w:space="0" w:color="auto"/>
        <w:right w:val="none" w:sz="0" w:space="0" w:color="auto"/>
      </w:divBdr>
    </w:div>
    <w:div w:id="1623725343">
      <w:bodyDiv w:val="1"/>
      <w:marLeft w:val="0"/>
      <w:marRight w:val="0"/>
      <w:marTop w:val="0"/>
      <w:marBottom w:val="0"/>
      <w:divBdr>
        <w:top w:val="none" w:sz="0" w:space="0" w:color="auto"/>
        <w:left w:val="none" w:sz="0" w:space="0" w:color="auto"/>
        <w:bottom w:val="none" w:sz="0" w:space="0" w:color="auto"/>
        <w:right w:val="none" w:sz="0" w:space="0" w:color="auto"/>
      </w:divBdr>
    </w:div>
    <w:div w:id="1623803185">
      <w:bodyDiv w:val="1"/>
      <w:marLeft w:val="0"/>
      <w:marRight w:val="0"/>
      <w:marTop w:val="0"/>
      <w:marBottom w:val="0"/>
      <w:divBdr>
        <w:top w:val="none" w:sz="0" w:space="0" w:color="auto"/>
        <w:left w:val="none" w:sz="0" w:space="0" w:color="auto"/>
        <w:bottom w:val="none" w:sz="0" w:space="0" w:color="auto"/>
        <w:right w:val="none" w:sz="0" w:space="0" w:color="auto"/>
      </w:divBdr>
    </w:div>
    <w:div w:id="1623804480">
      <w:bodyDiv w:val="1"/>
      <w:marLeft w:val="0"/>
      <w:marRight w:val="0"/>
      <w:marTop w:val="0"/>
      <w:marBottom w:val="0"/>
      <w:divBdr>
        <w:top w:val="none" w:sz="0" w:space="0" w:color="auto"/>
        <w:left w:val="none" w:sz="0" w:space="0" w:color="auto"/>
        <w:bottom w:val="none" w:sz="0" w:space="0" w:color="auto"/>
        <w:right w:val="none" w:sz="0" w:space="0" w:color="auto"/>
      </w:divBdr>
    </w:div>
    <w:div w:id="1623804486">
      <w:bodyDiv w:val="1"/>
      <w:marLeft w:val="0"/>
      <w:marRight w:val="0"/>
      <w:marTop w:val="0"/>
      <w:marBottom w:val="0"/>
      <w:divBdr>
        <w:top w:val="none" w:sz="0" w:space="0" w:color="auto"/>
        <w:left w:val="none" w:sz="0" w:space="0" w:color="auto"/>
        <w:bottom w:val="none" w:sz="0" w:space="0" w:color="auto"/>
        <w:right w:val="none" w:sz="0" w:space="0" w:color="auto"/>
      </w:divBdr>
    </w:div>
    <w:div w:id="1623999909">
      <w:bodyDiv w:val="1"/>
      <w:marLeft w:val="0"/>
      <w:marRight w:val="0"/>
      <w:marTop w:val="0"/>
      <w:marBottom w:val="0"/>
      <w:divBdr>
        <w:top w:val="none" w:sz="0" w:space="0" w:color="auto"/>
        <w:left w:val="none" w:sz="0" w:space="0" w:color="auto"/>
        <w:bottom w:val="none" w:sz="0" w:space="0" w:color="auto"/>
        <w:right w:val="none" w:sz="0" w:space="0" w:color="auto"/>
      </w:divBdr>
    </w:div>
    <w:div w:id="1624068408">
      <w:bodyDiv w:val="1"/>
      <w:marLeft w:val="0"/>
      <w:marRight w:val="0"/>
      <w:marTop w:val="0"/>
      <w:marBottom w:val="0"/>
      <w:divBdr>
        <w:top w:val="none" w:sz="0" w:space="0" w:color="auto"/>
        <w:left w:val="none" w:sz="0" w:space="0" w:color="auto"/>
        <w:bottom w:val="none" w:sz="0" w:space="0" w:color="auto"/>
        <w:right w:val="none" w:sz="0" w:space="0" w:color="auto"/>
      </w:divBdr>
    </w:div>
    <w:div w:id="1624073234">
      <w:bodyDiv w:val="1"/>
      <w:marLeft w:val="0"/>
      <w:marRight w:val="0"/>
      <w:marTop w:val="0"/>
      <w:marBottom w:val="0"/>
      <w:divBdr>
        <w:top w:val="none" w:sz="0" w:space="0" w:color="auto"/>
        <w:left w:val="none" w:sz="0" w:space="0" w:color="auto"/>
        <w:bottom w:val="none" w:sz="0" w:space="0" w:color="auto"/>
        <w:right w:val="none" w:sz="0" w:space="0" w:color="auto"/>
      </w:divBdr>
    </w:div>
    <w:div w:id="1624262208">
      <w:bodyDiv w:val="1"/>
      <w:marLeft w:val="0"/>
      <w:marRight w:val="0"/>
      <w:marTop w:val="0"/>
      <w:marBottom w:val="0"/>
      <w:divBdr>
        <w:top w:val="none" w:sz="0" w:space="0" w:color="auto"/>
        <w:left w:val="none" w:sz="0" w:space="0" w:color="auto"/>
        <w:bottom w:val="none" w:sz="0" w:space="0" w:color="auto"/>
        <w:right w:val="none" w:sz="0" w:space="0" w:color="auto"/>
      </w:divBdr>
    </w:div>
    <w:div w:id="1624270660">
      <w:bodyDiv w:val="1"/>
      <w:marLeft w:val="0"/>
      <w:marRight w:val="0"/>
      <w:marTop w:val="0"/>
      <w:marBottom w:val="0"/>
      <w:divBdr>
        <w:top w:val="none" w:sz="0" w:space="0" w:color="auto"/>
        <w:left w:val="none" w:sz="0" w:space="0" w:color="auto"/>
        <w:bottom w:val="none" w:sz="0" w:space="0" w:color="auto"/>
        <w:right w:val="none" w:sz="0" w:space="0" w:color="auto"/>
      </w:divBdr>
    </w:div>
    <w:div w:id="1624341712">
      <w:bodyDiv w:val="1"/>
      <w:marLeft w:val="0"/>
      <w:marRight w:val="0"/>
      <w:marTop w:val="0"/>
      <w:marBottom w:val="0"/>
      <w:divBdr>
        <w:top w:val="none" w:sz="0" w:space="0" w:color="auto"/>
        <w:left w:val="none" w:sz="0" w:space="0" w:color="auto"/>
        <w:bottom w:val="none" w:sz="0" w:space="0" w:color="auto"/>
        <w:right w:val="none" w:sz="0" w:space="0" w:color="auto"/>
      </w:divBdr>
    </w:div>
    <w:div w:id="1624386612">
      <w:bodyDiv w:val="1"/>
      <w:marLeft w:val="0"/>
      <w:marRight w:val="0"/>
      <w:marTop w:val="0"/>
      <w:marBottom w:val="0"/>
      <w:divBdr>
        <w:top w:val="none" w:sz="0" w:space="0" w:color="auto"/>
        <w:left w:val="none" w:sz="0" w:space="0" w:color="auto"/>
        <w:bottom w:val="none" w:sz="0" w:space="0" w:color="auto"/>
        <w:right w:val="none" w:sz="0" w:space="0" w:color="auto"/>
      </w:divBdr>
    </w:div>
    <w:div w:id="1624387773">
      <w:bodyDiv w:val="1"/>
      <w:marLeft w:val="0"/>
      <w:marRight w:val="0"/>
      <w:marTop w:val="0"/>
      <w:marBottom w:val="0"/>
      <w:divBdr>
        <w:top w:val="none" w:sz="0" w:space="0" w:color="auto"/>
        <w:left w:val="none" w:sz="0" w:space="0" w:color="auto"/>
        <w:bottom w:val="none" w:sz="0" w:space="0" w:color="auto"/>
        <w:right w:val="none" w:sz="0" w:space="0" w:color="auto"/>
      </w:divBdr>
    </w:div>
    <w:div w:id="1624506708">
      <w:bodyDiv w:val="1"/>
      <w:marLeft w:val="0"/>
      <w:marRight w:val="0"/>
      <w:marTop w:val="0"/>
      <w:marBottom w:val="0"/>
      <w:divBdr>
        <w:top w:val="none" w:sz="0" w:space="0" w:color="auto"/>
        <w:left w:val="none" w:sz="0" w:space="0" w:color="auto"/>
        <w:bottom w:val="none" w:sz="0" w:space="0" w:color="auto"/>
        <w:right w:val="none" w:sz="0" w:space="0" w:color="auto"/>
      </w:divBdr>
    </w:div>
    <w:div w:id="1624578391">
      <w:bodyDiv w:val="1"/>
      <w:marLeft w:val="0"/>
      <w:marRight w:val="0"/>
      <w:marTop w:val="0"/>
      <w:marBottom w:val="0"/>
      <w:divBdr>
        <w:top w:val="none" w:sz="0" w:space="0" w:color="auto"/>
        <w:left w:val="none" w:sz="0" w:space="0" w:color="auto"/>
        <w:bottom w:val="none" w:sz="0" w:space="0" w:color="auto"/>
        <w:right w:val="none" w:sz="0" w:space="0" w:color="auto"/>
      </w:divBdr>
    </w:div>
    <w:div w:id="1624653661">
      <w:bodyDiv w:val="1"/>
      <w:marLeft w:val="0"/>
      <w:marRight w:val="0"/>
      <w:marTop w:val="0"/>
      <w:marBottom w:val="0"/>
      <w:divBdr>
        <w:top w:val="none" w:sz="0" w:space="0" w:color="auto"/>
        <w:left w:val="none" w:sz="0" w:space="0" w:color="auto"/>
        <w:bottom w:val="none" w:sz="0" w:space="0" w:color="auto"/>
        <w:right w:val="none" w:sz="0" w:space="0" w:color="auto"/>
      </w:divBdr>
    </w:div>
    <w:div w:id="1624656680">
      <w:bodyDiv w:val="1"/>
      <w:marLeft w:val="0"/>
      <w:marRight w:val="0"/>
      <w:marTop w:val="0"/>
      <w:marBottom w:val="0"/>
      <w:divBdr>
        <w:top w:val="none" w:sz="0" w:space="0" w:color="auto"/>
        <w:left w:val="none" w:sz="0" w:space="0" w:color="auto"/>
        <w:bottom w:val="none" w:sz="0" w:space="0" w:color="auto"/>
        <w:right w:val="none" w:sz="0" w:space="0" w:color="auto"/>
      </w:divBdr>
    </w:div>
    <w:div w:id="1624732766">
      <w:bodyDiv w:val="1"/>
      <w:marLeft w:val="0"/>
      <w:marRight w:val="0"/>
      <w:marTop w:val="0"/>
      <w:marBottom w:val="0"/>
      <w:divBdr>
        <w:top w:val="none" w:sz="0" w:space="0" w:color="auto"/>
        <w:left w:val="none" w:sz="0" w:space="0" w:color="auto"/>
        <w:bottom w:val="none" w:sz="0" w:space="0" w:color="auto"/>
        <w:right w:val="none" w:sz="0" w:space="0" w:color="auto"/>
      </w:divBdr>
    </w:div>
    <w:div w:id="1624926173">
      <w:bodyDiv w:val="1"/>
      <w:marLeft w:val="0"/>
      <w:marRight w:val="0"/>
      <w:marTop w:val="0"/>
      <w:marBottom w:val="0"/>
      <w:divBdr>
        <w:top w:val="none" w:sz="0" w:space="0" w:color="auto"/>
        <w:left w:val="none" w:sz="0" w:space="0" w:color="auto"/>
        <w:bottom w:val="none" w:sz="0" w:space="0" w:color="auto"/>
        <w:right w:val="none" w:sz="0" w:space="0" w:color="auto"/>
      </w:divBdr>
    </w:div>
    <w:div w:id="1625038278">
      <w:bodyDiv w:val="1"/>
      <w:marLeft w:val="0"/>
      <w:marRight w:val="0"/>
      <w:marTop w:val="0"/>
      <w:marBottom w:val="0"/>
      <w:divBdr>
        <w:top w:val="none" w:sz="0" w:space="0" w:color="auto"/>
        <w:left w:val="none" w:sz="0" w:space="0" w:color="auto"/>
        <w:bottom w:val="none" w:sz="0" w:space="0" w:color="auto"/>
        <w:right w:val="none" w:sz="0" w:space="0" w:color="auto"/>
      </w:divBdr>
    </w:div>
    <w:div w:id="1625040279">
      <w:bodyDiv w:val="1"/>
      <w:marLeft w:val="0"/>
      <w:marRight w:val="0"/>
      <w:marTop w:val="0"/>
      <w:marBottom w:val="0"/>
      <w:divBdr>
        <w:top w:val="none" w:sz="0" w:space="0" w:color="auto"/>
        <w:left w:val="none" w:sz="0" w:space="0" w:color="auto"/>
        <w:bottom w:val="none" w:sz="0" w:space="0" w:color="auto"/>
        <w:right w:val="none" w:sz="0" w:space="0" w:color="auto"/>
      </w:divBdr>
    </w:div>
    <w:div w:id="1625041419">
      <w:bodyDiv w:val="1"/>
      <w:marLeft w:val="0"/>
      <w:marRight w:val="0"/>
      <w:marTop w:val="0"/>
      <w:marBottom w:val="0"/>
      <w:divBdr>
        <w:top w:val="none" w:sz="0" w:space="0" w:color="auto"/>
        <w:left w:val="none" w:sz="0" w:space="0" w:color="auto"/>
        <w:bottom w:val="none" w:sz="0" w:space="0" w:color="auto"/>
        <w:right w:val="none" w:sz="0" w:space="0" w:color="auto"/>
      </w:divBdr>
    </w:div>
    <w:div w:id="1625042228">
      <w:bodyDiv w:val="1"/>
      <w:marLeft w:val="0"/>
      <w:marRight w:val="0"/>
      <w:marTop w:val="0"/>
      <w:marBottom w:val="0"/>
      <w:divBdr>
        <w:top w:val="none" w:sz="0" w:space="0" w:color="auto"/>
        <w:left w:val="none" w:sz="0" w:space="0" w:color="auto"/>
        <w:bottom w:val="none" w:sz="0" w:space="0" w:color="auto"/>
        <w:right w:val="none" w:sz="0" w:space="0" w:color="auto"/>
      </w:divBdr>
    </w:div>
    <w:div w:id="1625111988">
      <w:bodyDiv w:val="1"/>
      <w:marLeft w:val="0"/>
      <w:marRight w:val="0"/>
      <w:marTop w:val="0"/>
      <w:marBottom w:val="0"/>
      <w:divBdr>
        <w:top w:val="none" w:sz="0" w:space="0" w:color="auto"/>
        <w:left w:val="none" w:sz="0" w:space="0" w:color="auto"/>
        <w:bottom w:val="none" w:sz="0" w:space="0" w:color="auto"/>
        <w:right w:val="none" w:sz="0" w:space="0" w:color="auto"/>
      </w:divBdr>
    </w:div>
    <w:div w:id="1625187291">
      <w:bodyDiv w:val="1"/>
      <w:marLeft w:val="0"/>
      <w:marRight w:val="0"/>
      <w:marTop w:val="0"/>
      <w:marBottom w:val="0"/>
      <w:divBdr>
        <w:top w:val="none" w:sz="0" w:space="0" w:color="auto"/>
        <w:left w:val="none" w:sz="0" w:space="0" w:color="auto"/>
        <w:bottom w:val="none" w:sz="0" w:space="0" w:color="auto"/>
        <w:right w:val="none" w:sz="0" w:space="0" w:color="auto"/>
      </w:divBdr>
    </w:div>
    <w:div w:id="1625310083">
      <w:bodyDiv w:val="1"/>
      <w:marLeft w:val="0"/>
      <w:marRight w:val="0"/>
      <w:marTop w:val="0"/>
      <w:marBottom w:val="0"/>
      <w:divBdr>
        <w:top w:val="none" w:sz="0" w:space="0" w:color="auto"/>
        <w:left w:val="none" w:sz="0" w:space="0" w:color="auto"/>
        <w:bottom w:val="none" w:sz="0" w:space="0" w:color="auto"/>
        <w:right w:val="none" w:sz="0" w:space="0" w:color="auto"/>
      </w:divBdr>
    </w:div>
    <w:div w:id="1625388163">
      <w:bodyDiv w:val="1"/>
      <w:marLeft w:val="0"/>
      <w:marRight w:val="0"/>
      <w:marTop w:val="0"/>
      <w:marBottom w:val="0"/>
      <w:divBdr>
        <w:top w:val="none" w:sz="0" w:space="0" w:color="auto"/>
        <w:left w:val="none" w:sz="0" w:space="0" w:color="auto"/>
        <w:bottom w:val="none" w:sz="0" w:space="0" w:color="auto"/>
        <w:right w:val="none" w:sz="0" w:space="0" w:color="auto"/>
      </w:divBdr>
    </w:div>
    <w:div w:id="1625574548">
      <w:bodyDiv w:val="1"/>
      <w:marLeft w:val="0"/>
      <w:marRight w:val="0"/>
      <w:marTop w:val="0"/>
      <w:marBottom w:val="0"/>
      <w:divBdr>
        <w:top w:val="none" w:sz="0" w:space="0" w:color="auto"/>
        <w:left w:val="none" w:sz="0" w:space="0" w:color="auto"/>
        <w:bottom w:val="none" w:sz="0" w:space="0" w:color="auto"/>
        <w:right w:val="none" w:sz="0" w:space="0" w:color="auto"/>
      </w:divBdr>
    </w:div>
    <w:div w:id="1625579283">
      <w:bodyDiv w:val="1"/>
      <w:marLeft w:val="0"/>
      <w:marRight w:val="0"/>
      <w:marTop w:val="0"/>
      <w:marBottom w:val="0"/>
      <w:divBdr>
        <w:top w:val="none" w:sz="0" w:space="0" w:color="auto"/>
        <w:left w:val="none" w:sz="0" w:space="0" w:color="auto"/>
        <w:bottom w:val="none" w:sz="0" w:space="0" w:color="auto"/>
        <w:right w:val="none" w:sz="0" w:space="0" w:color="auto"/>
      </w:divBdr>
    </w:div>
    <w:div w:id="1626231896">
      <w:bodyDiv w:val="1"/>
      <w:marLeft w:val="0"/>
      <w:marRight w:val="0"/>
      <w:marTop w:val="0"/>
      <w:marBottom w:val="0"/>
      <w:divBdr>
        <w:top w:val="none" w:sz="0" w:space="0" w:color="auto"/>
        <w:left w:val="none" w:sz="0" w:space="0" w:color="auto"/>
        <w:bottom w:val="none" w:sz="0" w:space="0" w:color="auto"/>
        <w:right w:val="none" w:sz="0" w:space="0" w:color="auto"/>
      </w:divBdr>
    </w:div>
    <w:div w:id="1626232337">
      <w:bodyDiv w:val="1"/>
      <w:marLeft w:val="0"/>
      <w:marRight w:val="0"/>
      <w:marTop w:val="0"/>
      <w:marBottom w:val="0"/>
      <w:divBdr>
        <w:top w:val="none" w:sz="0" w:space="0" w:color="auto"/>
        <w:left w:val="none" w:sz="0" w:space="0" w:color="auto"/>
        <w:bottom w:val="none" w:sz="0" w:space="0" w:color="auto"/>
        <w:right w:val="none" w:sz="0" w:space="0" w:color="auto"/>
      </w:divBdr>
    </w:div>
    <w:div w:id="1626277037">
      <w:bodyDiv w:val="1"/>
      <w:marLeft w:val="0"/>
      <w:marRight w:val="0"/>
      <w:marTop w:val="0"/>
      <w:marBottom w:val="0"/>
      <w:divBdr>
        <w:top w:val="none" w:sz="0" w:space="0" w:color="auto"/>
        <w:left w:val="none" w:sz="0" w:space="0" w:color="auto"/>
        <w:bottom w:val="none" w:sz="0" w:space="0" w:color="auto"/>
        <w:right w:val="none" w:sz="0" w:space="0" w:color="auto"/>
      </w:divBdr>
    </w:div>
    <w:div w:id="1626307727">
      <w:bodyDiv w:val="1"/>
      <w:marLeft w:val="0"/>
      <w:marRight w:val="0"/>
      <w:marTop w:val="0"/>
      <w:marBottom w:val="0"/>
      <w:divBdr>
        <w:top w:val="none" w:sz="0" w:space="0" w:color="auto"/>
        <w:left w:val="none" w:sz="0" w:space="0" w:color="auto"/>
        <w:bottom w:val="none" w:sz="0" w:space="0" w:color="auto"/>
        <w:right w:val="none" w:sz="0" w:space="0" w:color="auto"/>
      </w:divBdr>
    </w:div>
    <w:div w:id="1626424272">
      <w:bodyDiv w:val="1"/>
      <w:marLeft w:val="0"/>
      <w:marRight w:val="0"/>
      <w:marTop w:val="0"/>
      <w:marBottom w:val="0"/>
      <w:divBdr>
        <w:top w:val="none" w:sz="0" w:space="0" w:color="auto"/>
        <w:left w:val="none" w:sz="0" w:space="0" w:color="auto"/>
        <w:bottom w:val="none" w:sz="0" w:space="0" w:color="auto"/>
        <w:right w:val="none" w:sz="0" w:space="0" w:color="auto"/>
      </w:divBdr>
    </w:div>
    <w:div w:id="1626429712">
      <w:bodyDiv w:val="1"/>
      <w:marLeft w:val="0"/>
      <w:marRight w:val="0"/>
      <w:marTop w:val="0"/>
      <w:marBottom w:val="0"/>
      <w:divBdr>
        <w:top w:val="none" w:sz="0" w:space="0" w:color="auto"/>
        <w:left w:val="none" w:sz="0" w:space="0" w:color="auto"/>
        <w:bottom w:val="none" w:sz="0" w:space="0" w:color="auto"/>
        <w:right w:val="none" w:sz="0" w:space="0" w:color="auto"/>
      </w:divBdr>
    </w:div>
    <w:div w:id="1626472945">
      <w:bodyDiv w:val="1"/>
      <w:marLeft w:val="0"/>
      <w:marRight w:val="0"/>
      <w:marTop w:val="0"/>
      <w:marBottom w:val="0"/>
      <w:divBdr>
        <w:top w:val="none" w:sz="0" w:space="0" w:color="auto"/>
        <w:left w:val="none" w:sz="0" w:space="0" w:color="auto"/>
        <w:bottom w:val="none" w:sz="0" w:space="0" w:color="auto"/>
        <w:right w:val="none" w:sz="0" w:space="0" w:color="auto"/>
      </w:divBdr>
    </w:div>
    <w:div w:id="1626622854">
      <w:bodyDiv w:val="1"/>
      <w:marLeft w:val="0"/>
      <w:marRight w:val="0"/>
      <w:marTop w:val="0"/>
      <w:marBottom w:val="0"/>
      <w:divBdr>
        <w:top w:val="none" w:sz="0" w:space="0" w:color="auto"/>
        <w:left w:val="none" w:sz="0" w:space="0" w:color="auto"/>
        <w:bottom w:val="none" w:sz="0" w:space="0" w:color="auto"/>
        <w:right w:val="none" w:sz="0" w:space="0" w:color="auto"/>
      </w:divBdr>
    </w:div>
    <w:div w:id="1626766471">
      <w:bodyDiv w:val="1"/>
      <w:marLeft w:val="0"/>
      <w:marRight w:val="0"/>
      <w:marTop w:val="0"/>
      <w:marBottom w:val="0"/>
      <w:divBdr>
        <w:top w:val="none" w:sz="0" w:space="0" w:color="auto"/>
        <w:left w:val="none" w:sz="0" w:space="0" w:color="auto"/>
        <w:bottom w:val="none" w:sz="0" w:space="0" w:color="auto"/>
        <w:right w:val="none" w:sz="0" w:space="0" w:color="auto"/>
      </w:divBdr>
    </w:div>
    <w:div w:id="1626812402">
      <w:bodyDiv w:val="1"/>
      <w:marLeft w:val="0"/>
      <w:marRight w:val="0"/>
      <w:marTop w:val="0"/>
      <w:marBottom w:val="0"/>
      <w:divBdr>
        <w:top w:val="none" w:sz="0" w:space="0" w:color="auto"/>
        <w:left w:val="none" w:sz="0" w:space="0" w:color="auto"/>
        <w:bottom w:val="none" w:sz="0" w:space="0" w:color="auto"/>
        <w:right w:val="none" w:sz="0" w:space="0" w:color="auto"/>
      </w:divBdr>
    </w:div>
    <w:div w:id="1626813117">
      <w:bodyDiv w:val="1"/>
      <w:marLeft w:val="0"/>
      <w:marRight w:val="0"/>
      <w:marTop w:val="0"/>
      <w:marBottom w:val="0"/>
      <w:divBdr>
        <w:top w:val="none" w:sz="0" w:space="0" w:color="auto"/>
        <w:left w:val="none" w:sz="0" w:space="0" w:color="auto"/>
        <w:bottom w:val="none" w:sz="0" w:space="0" w:color="auto"/>
        <w:right w:val="none" w:sz="0" w:space="0" w:color="auto"/>
      </w:divBdr>
    </w:div>
    <w:div w:id="1626886212">
      <w:bodyDiv w:val="1"/>
      <w:marLeft w:val="0"/>
      <w:marRight w:val="0"/>
      <w:marTop w:val="0"/>
      <w:marBottom w:val="0"/>
      <w:divBdr>
        <w:top w:val="none" w:sz="0" w:space="0" w:color="auto"/>
        <w:left w:val="none" w:sz="0" w:space="0" w:color="auto"/>
        <w:bottom w:val="none" w:sz="0" w:space="0" w:color="auto"/>
        <w:right w:val="none" w:sz="0" w:space="0" w:color="auto"/>
      </w:divBdr>
    </w:div>
    <w:div w:id="1626933573">
      <w:bodyDiv w:val="1"/>
      <w:marLeft w:val="0"/>
      <w:marRight w:val="0"/>
      <w:marTop w:val="0"/>
      <w:marBottom w:val="0"/>
      <w:divBdr>
        <w:top w:val="none" w:sz="0" w:space="0" w:color="auto"/>
        <w:left w:val="none" w:sz="0" w:space="0" w:color="auto"/>
        <w:bottom w:val="none" w:sz="0" w:space="0" w:color="auto"/>
        <w:right w:val="none" w:sz="0" w:space="0" w:color="auto"/>
      </w:divBdr>
    </w:div>
    <w:div w:id="1627083520">
      <w:bodyDiv w:val="1"/>
      <w:marLeft w:val="0"/>
      <w:marRight w:val="0"/>
      <w:marTop w:val="0"/>
      <w:marBottom w:val="0"/>
      <w:divBdr>
        <w:top w:val="none" w:sz="0" w:space="0" w:color="auto"/>
        <w:left w:val="none" w:sz="0" w:space="0" w:color="auto"/>
        <w:bottom w:val="none" w:sz="0" w:space="0" w:color="auto"/>
        <w:right w:val="none" w:sz="0" w:space="0" w:color="auto"/>
      </w:divBdr>
    </w:div>
    <w:div w:id="1627269862">
      <w:bodyDiv w:val="1"/>
      <w:marLeft w:val="0"/>
      <w:marRight w:val="0"/>
      <w:marTop w:val="0"/>
      <w:marBottom w:val="0"/>
      <w:divBdr>
        <w:top w:val="none" w:sz="0" w:space="0" w:color="auto"/>
        <w:left w:val="none" w:sz="0" w:space="0" w:color="auto"/>
        <w:bottom w:val="none" w:sz="0" w:space="0" w:color="auto"/>
        <w:right w:val="none" w:sz="0" w:space="0" w:color="auto"/>
      </w:divBdr>
    </w:div>
    <w:div w:id="1627472181">
      <w:bodyDiv w:val="1"/>
      <w:marLeft w:val="0"/>
      <w:marRight w:val="0"/>
      <w:marTop w:val="0"/>
      <w:marBottom w:val="0"/>
      <w:divBdr>
        <w:top w:val="none" w:sz="0" w:space="0" w:color="auto"/>
        <w:left w:val="none" w:sz="0" w:space="0" w:color="auto"/>
        <w:bottom w:val="none" w:sz="0" w:space="0" w:color="auto"/>
        <w:right w:val="none" w:sz="0" w:space="0" w:color="auto"/>
      </w:divBdr>
    </w:div>
    <w:div w:id="1627541743">
      <w:bodyDiv w:val="1"/>
      <w:marLeft w:val="0"/>
      <w:marRight w:val="0"/>
      <w:marTop w:val="0"/>
      <w:marBottom w:val="0"/>
      <w:divBdr>
        <w:top w:val="none" w:sz="0" w:space="0" w:color="auto"/>
        <w:left w:val="none" w:sz="0" w:space="0" w:color="auto"/>
        <w:bottom w:val="none" w:sz="0" w:space="0" w:color="auto"/>
        <w:right w:val="none" w:sz="0" w:space="0" w:color="auto"/>
      </w:divBdr>
    </w:div>
    <w:div w:id="1627613300">
      <w:bodyDiv w:val="1"/>
      <w:marLeft w:val="0"/>
      <w:marRight w:val="0"/>
      <w:marTop w:val="0"/>
      <w:marBottom w:val="0"/>
      <w:divBdr>
        <w:top w:val="none" w:sz="0" w:space="0" w:color="auto"/>
        <w:left w:val="none" w:sz="0" w:space="0" w:color="auto"/>
        <w:bottom w:val="none" w:sz="0" w:space="0" w:color="auto"/>
        <w:right w:val="none" w:sz="0" w:space="0" w:color="auto"/>
      </w:divBdr>
    </w:div>
    <w:div w:id="1627615860">
      <w:bodyDiv w:val="1"/>
      <w:marLeft w:val="0"/>
      <w:marRight w:val="0"/>
      <w:marTop w:val="0"/>
      <w:marBottom w:val="0"/>
      <w:divBdr>
        <w:top w:val="none" w:sz="0" w:space="0" w:color="auto"/>
        <w:left w:val="none" w:sz="0" w:space="0" w:color="auto"/>
        <w:bottom w:val="none" w:sz="0" w:space="0" w:color="auto"/>
        <w:right w:val="none" w:sz="0" w:space="0" w:color="auto"/>
      </w:divBdr>
    </w:div>
    <w:div w:id="1627663297">
      <w:bodyDiv w:val="1"/>
      <w:marLeft w:val="0"/>
      <w:marRight w:val="0"/>
      <w:marTop w:val="0"/>
      <w:marBottom w:val="0"/>
      <w:divBdr>
        <w:top w:val="none" w:sz="0" w:space="0" w:color="auto"/>
        <w:left w:val="none" w:sz="0" w:space="0" w:color="auto"/>
        <w:bottom w:val="none" w:sz="0" w:space="0" w:color="auto"/>
        <w:right w:val="none" w:sz="0" w:space="0" w:color="auto"/>
      </w:divBdr>
    </w:div>
    <w:div w:id="1627928383">
      <w:bodyDiv w:val="1"/>
      <w:marLeft w:val="0"/>
      <w:marRight w:val="0"/>
      <w:marTop w:val="0"/>
      <w:marBottom w:val="0"/>
      <w:divBdr>
        <w:top w:val="none" w:sz="0" w:space="0" w:color="auto"/>
        <w:left w:val="none" w:sz="0" w:space="0" w:color="auto"/>
        <w:bottom w:val="none" w:sz="0" w:space="0" w:color="auto"/>
        <w:right w:val="none" w:sz="0" w:space="0" w:color="auto"/>
      </w:divBdr>
    </w:div>
    <w:div w:id="1627928650">
      <w:bodyDiv w:val="1"/>
      <w:marLeft w:val="0"/>
      <w:marRight w:val="0"/>
      <w:marTop w:val="0"/>
      <w:marBottom w:val="0"/>
      <w:divBdr>
        <w:top w:val="none" w:sz="0" w:space="0" w:color="auto"/>
        <w:left w:val="none" w:sz="0" w:space="0" w:color="auto"/>
        <w:bottom w:val="none" w:sz="0" w:space="0" w:color="auto"/>
        <w:right w:val="none" w:sz="0" w:space="0" w:color="auto"/>
      </w:divBdr>
    </w:div>
    <w:div w:id="1628077621">
      <w:bodyDiv w:val="1"/>
      <w:marLeft w:val="0"/>
      <w:marRight w:val="0"/>
      <w:marTop w:val="0"/>
      <w:marBottom w:val="0"/>
      <w:divBdr>
        <w:top w:val="none" w:sz="0" w:space="0" w:color="auto"/>
        <w:left w:val="none" w:sz="0" w:space="0" w:color="auto"/>
        <w:bottom w:val="none" w:sz="0" w:space="0" w:color="auto"/>
        <w:right w:val="none" w:sz="0" w:space="0" w:color="auto"/>
      </w:divBdr>
    </w:div>
    <w:div w:id="1628244411">
      <w:bodyDiv w:val="1"/>
      <w:marLeft w:val="0"/>
      <w:marRight w:val="0"/>
      <w:marTop w:val="0"/>
      <w:marBottom w:val="0"/>
      <w:divBdr>
        <w:top w:val="none" w:sz="0" w:space="0" w:color="auto"/>
        <w:left w:val="none" w:sz="0" w:space="0" w:color="auto"/>
        <w:bottom w:val="none" w:sz="0" w:space="0" w:color="auto"/>
        <w:right w:val="none" w:sz="0" w:space="0" w:color="auto"/>
      </w:divBdr>
    </w:div>
    <w:div w:id="1628505125">
      <w:bodyDiv w:val="1"/>
      <w:marLeft w:val="0"/>
      <w:marRight w:val="0"/>
      <w:marTop w:val="0"/>
      <w:marBottom w:val="0"/>
      <w:divBdr>
        <w:top w:val="none" w:sz="0" w:space="0" w:color="auto"/>
        <w:left w:val="none" w:sz="0" w:space="0" w:color="auto"/>
        <w:bottom w:val="none" w:sz="0" w:space="0" w:color="auto"/>
        <w:right w:val="none" w:sz="0" w:space="0" w:color="auto"/>
      </w:divBdr>
    </w:div>
    <w:div w:id="1628511622">
      <w:bodyDiv w:val="1"/>
      <w:marLeft w:val="0"/>
      <w:marRight w:val="0"/>
      <w:marTop w:val="0"/>
      <w:marBottom w:val="0"/>
      <w:divBdr>
        <w:top w:val="none" w:sz="0" w:space="0" w:color="auto"/>
        <w:left w:val="none" w:sz="0" w:space="0" w:color="auto"/>
        <w:bottom w:val="none" w:sz="0" w:space="0" w:color="auto"/>
        <w:right w:val="none" w:sz="0" w:space="0" w:color="auto"/>
      </w:divBdr>
    </w:div>
    <w:div w:id="1628583598">
      <w:bodyDiv w:val="1"/>
      <w:marLeft w:val="0"/>
      <w:marRight w:val="0"/>
      <w:marTop w:val="0"/>
      <w:marBottom w:val="0"/>
      <w:divBdr>
        <w:top w:val="none" w:sz="0" w:space="0" w:color="auto"/>
        <w:left w:val="none" w:sz="0" w:space="0" w:color="auto"/>
        <w:bottom w:val="none" w:sz="0" w:space="0" w:color="auto"/>
        <w:right w:val="none" w:sz="0" w:space="0" w:color="auto"/>
      </w:divBdr>
    </w:div>
    <w:div w:id="1628587594">
      <w:bodyDiv w:val="1"/>
      <w:marLeft w:val="0"/>
      <w:marRight w:val="0"/>
      <w:marTop w:val="0"/>
      <w:marBottom w:val="0"/>
      <w:divBdr>
        <w:top w:val="none" w:sz="0" w:space="0" w:color="auto"/>
        <w:left w:val="none" w:sz="0" w:space="0" w:color="auto"/>
        <w:bottom w:val="none" w:sz="0" w:space="0" w:color="auto"/>
        <w:right w:val="none" w:sz="0" w:space="0" w:color="auto"/>
      </w:divBdr>
    </w:div>
    <w:div w:id="1628656399">
      <w:bodyDiv w:val="1"/>
      <w:marLeft w:val="0"/>
      <w:marRight w:val="0"/>
      <w:marTop w:val="0"/>
      <w:marBottom w:val="0"/>
      <w:divBdr>
        <w:top w:val="none" w:sz="0" w:space="0" w:color="auto"/>
        <w:left w:val="none" w:sz="0" w:space="0" w:color="auto"/>
        <w:bottom w:val="none" w:sz="0" w:space="0" w:color="auto"/>
        <w:right w:val="none" w:sz="0" w:space="0" w:color="auto"/>
      </w:divBdr>
    </w:div>
    <w:div w:id="1628658447">
      <w:bodyDiv w:val="1"/>
      <w:marLeft w:val="0"/>
      <w:marRight w:val="0"/>
      <w:marTop w:val="0"/>
      <w:marBottom w:val="0"/>
      <w:divBdr>
        <w:top w:val="none" w:sz="0" w:space="0" w:color="auto"/>
        <w:left w:val="none" w:sz="0" w:space="0" w:color="auto"/>
        <w:bottom w:val="none" w:sz="0" w:space="0" w:color="auto"/>
        <w:right w:val="none" w:sz="0" w:space="0" w:color="auto"/>
      </w:divBdr>
    </w:div>
    <w:div w:id="1628704418">
      <w:bodyDiv w:val="1"/>
      <w:marLeft w:val="0"/>
      <w:marRight w:val="0"/>
      <w:marTop w:val="0"/>
      <w:marBottom w:val="0"/>
      <w:divBdr>
        <w:top w:val="none" w:sz="0" w:space="0" w:color="auto"/>
        <w:left w:val="none" w:sz="0" w:space="0" w:color="auto"/>
        <w:bottom w:val="none" w:sz="0" w:space="0" w:color="auto"/>
        <w:right w:val="none" w:sz="0" w:space="0" w:color="auto"/>
      </w:divBdr>
    </w:div>
    <w:div w:id="1628732384">
      <w:bodyDiv w:val="1"/>
      <w:marLeft w:val="0"/>
      <w:marRight w:val="0"/>
      <w:marTop w:val="0"/>
      <w:marBottom w:val="0"/>
      <w:divBdr>
        <w:top w:val="none" w:sz="0" w:space="0" w:color="auto"/>
        <w:left w:val="none" w:sz="0" w:space="0" w:color="auto"/>
        <w:bottom w:val="none" w:sz="0" w:space="0" w:color="auto"/>
        <w:right w:val="none" w:sz="0" w:space="0" w:color="auto"/>
      </w:divBdr>
    </w:div>
    <w:div w:id="1628779115">
      <w:bodyDiv w:val="1"/>
      <w:marLeft w:val="0"/>
      <w:marRight w:val="0"/>
      <w:marTop w:val="0"/>
      <w:marBottom w:val="0"/>
      <w:divBdr>
        <w:top w:val="none" w:sz="0" w:space="0" w:color="auto"/>
        <w:left w:val="none" w:sz="0" w:space="0" w:color="auto"/>
        <w:bottom w:val="none" w:sz="0" w:space="0" w:color="auto"/>
        <w:right w:val="none" w:sz="0" w:space="0" w:color="auto"/>
      </w:divBdr>
    </w:div>
    <w:div w:id="1628848693">
      <w:bodyDiv w:val="1"/>
      <w:marLeft w:val="0"/>
      <w:marRight w:val="0"/>
      <w:marTop w:val="0"/>
      <w:marBottom w:val="0"/>
      <w:divBdr>
        <w:top w:val="none" w:sz="0" w:space="0" w:color="auto"/>
        <w:left w:val="none" w:sz="0" w:space="0" w:color="auto"/>
        <w:bottom w:val="none" w:sz="0" w:space="0" w:color="auto"/>
        <w:right w:val="none" w:sz="0" w:space="0" w:color="auto"/>
      </w:divBdr>
    </w:div>
    <w:div w:id="1628925146">
      <w:bodyDiv w:val="1"/>
      <w:marLeft w:val="0"/>
      <w:marRight w:val="0"/>
      <w:marTop w:val="0"/>
      <w:marBottom w:val="0"/>
      <w:divBdr>
        <w:top w:val="none" w:sz="0" w:space="0" w:color="auto"/>
        <w:left w:val="none" w:sz="0" w:space="0" w:color="auto"/>
        <w:bottom w:val="none" w:sz="0" w:space="0" w:color="auto"/>
        <w:right w:val="none" w:sz="0" w:space="0" w:color="auto"/>
      </w:divBdr>
    </w:div>
    <w:div w:id="1628926641">
      <w:bodyDiv w:val="1"/>
      <w:marLeft w:val="0"/>
      <w:marRight w:val="0"/>
      <w:marTop w:val="0"/>
      <w:marBottom w:val="0"/>
      <w:divBdr>
        <w:top w:val="none" w:sz="0" w:space="0" w:color="auto"/>
        <w:left w:val="none" w:sz="0" w:space="0" w:color="auto"/>
        <w:bottom w:val="none" w:sz="0" w:space="0" w:color="auto"/>
        <w:right w:val="none" w:sz="0" w:space="0" w:color="auto"/>
      </w:divBdr>
    </w:div>
    <w:div w:id="1629117553">
      <w:bodyDiv w:val="1"/>
      <w:marLeft w:val="0"/>
      <w:marRight w:val="0"/>
      <w:marTop w:val="0"/>
      <w:marBottom w:val="0"/>
      <w:divBdr>
        <w:top w:val="none" w:sz="0" w:space="0" w:color="auto"/>
        <w:left w:val="none" w:sz="0" w:space="0" w:color="auto"/>
        <w:bottom w:val="none" w:sz="0" w:space="0" w:color="auto"/>
        <w:right w:val="none" w:sz="0" w:space="0" w:color="auto"/>
      </w:divBdr>
    </w:div>
    <w:div w:id="1629431146">
      <w:bodyDiv w:val="1"/>
      <w:marLeft w:val="0"/>
      <w:marRight w:val="0"/>
      <w:marTop w:val="0"/>
      <w:marBottom w:val="0"/>
      <w:divBdr>
        <w:top w:val="none" w:sz="0" w:space="0" w:color="auto"/>
        <w:left w:val="none" w:sz="0" w:space="0" w:color="auto"/>
        <w:bottom w:val="none" w:sz="0" w:space="0" w:color="auto"/>
        <w:right w:val="none" w:sz="0" w:space="0" w:color="auto"/>
      </w:divBdr>
    </w:div>
    <w:div w:id="1629508188">
      <w:bodyDiv w:val="1"/>
      <w:marLeft w:val="0"/>
      <w:marRight w:val="0"/>
      <w:marTop w:val="0"/>
      <w:marBottom w:val="0"/>
      <w:divBdr>
        <w:top w:val="none" w:sz="0" w:space="0" w:color="auto"/>
        <w:left w:val="none" w:sz="0" w:space="0" w:color="auto"/>
        <w:bottom w:val="none" w:sz="0" w:space="0" w:color="auto"/>
        <w:right w:val="none" w:sz="0" w:space="0" w:color="auto"/>
      </w:divBdr>
    </w:div>
    <w:div w:id="1629555938">
      <w:bodyDiv w:val="1"/>
      <w:marLeft w:val="0"/>
      <w:marRight w:val="0"/>
      <w:marTop w:val="0"/>
      <w:marBottom w:val="0"/>
      <w:divBdr>
        <w:top w:val="none" w:sz="0" w:space="0" w:color="auto"/>
        <w:left w:val="none" w:sz="0" w:space="0" w:color="auto"/>
        <w:bottom w:val="none" w:sz="0" w:space="0" w:color="auto"/>
        <w:right w:val="none" w:sz="0" w:space="0" w:color="auto"/>
      </w:divBdr>
    </w:div>
    <w:div w:id="1629579067">
      <w:bodyDiv w:val="1"/>
      <w:marLeft w:val="0"/>
      <w:marRight w:val="0"/>
      <w:marTop w:val="0"/>
      <w:marBottom w:val="0"/>
      <w:divBdr>
        <w:top w:val="none" w:sz="0" w:space="0" w:color="auto"/>
        <w:left w:val="none" w:sz="0" w:space="0" w:color="auto"/>
        <w:bottom w:val="none" w:sz="0" w:space="0" w:color="auto"/>
        <w:right w:val="none" w:sz="0" w:space="0" w:color="auto"/>
      </w:divBdr>
    </w:div>
    <w:div w:id="1629580485">
      <w:bodyDiv w:val="1"/>
      <w:marLeft w:val="0"/>
      <w:marRight w:val="0"/>
      <w:marTop w:val="0"/>
      <w:marBottom w:val="0"/>
      <w:divBdr>
        <w:top w:val="none" w:sz="0" w:space="0" w:color="auto"/>
        <w:left w:val="none" w:sz="0" w:space="0" w:color="auto"/>
        <w:bottom w:val="none" w:sz="0" w:space="0" w:color="auto"/>
        <w:right w:val="none" w:sz="0" w:space="0" w:color="auto"/>
      </w:divBdr>
    </w:div>
    <w:div w:id="1629900092">
      <w:bodyDiv w:val="1"/>
      <w:marLeft w:val="0"/>
      <w:marRight w:val="0"/>
      <w:marTop w:val="0"/>
      <w:marBottom w:val="0"/>
      <w:divBdr>
        <w:top w:val="none" w:sz="0" w:space="0" w:color="auto"/>
        <w:left w:val="none" w:sz="0" w:space="0" w:color="auto"/>
        <w:bottom w:val="none" w:sz="0" w:space="0" w:color="auto"/>
        <w:right w:val="none" w:sz="0" w:space="0" w:color="auto"/>
      </w:divBdr>
    </w:div>
    <w:div w:id="1629967453">
      <w:bodyDiv w:val="1"/>
      <w:marLeft w:val="0"/>
      <w:marRight w:val="0"/>
      <w:marTop w:val="0"/>
      <w:marBottom w:val="0"/>
      <w:divBdr>
        <w:top w:val="none" w:sz="0" w:space="0" w:color="auto"/>
        <w:left w:val="none" w:sz="0" w:space="0" w:color="auto"/>
        <w:bottom w:val="none" w:sz="0" w:space="0" w:color="auto"/>
        <w:right w:val="none" w:sz="0" w:space="0" w:color="auto"/>
      </w:divBdr>
    </w:div>
    <w:div w:id="1629968383">
      <w:bodyDiv w:val="1"/>
      <w:marLeft w:val="0"/>
      <w:marRight w:val="0"/>
      <w:marTop w:val="0"/>
      <w:marBottom w:val="0"/>
      <w:divBdr>
        <w:top w:val="none" w:sz="0" w:space="0" w:color="auto"/>
        <w:left w:val="none" w:sz="0" w:space="0" w:color="auto"/>
        <w:bottom w:val="none" w:sz="0" w:space="0" w:color="auto"/>
        <w:right w:val="none" w:sz="0" w:space="0" w:color="auto"/>
      </w:divBdr>
    </w:div>
    <w:div w:id="1630084278">
      <w:bodyDiv w:val="1"/>
      <w:marLeft w:val="0"/>
      <w:marRight w:val="0"/>
      <w:marTop w:val="0"/>
      <w:marBottom w:val="0"/>
      <w:divBdr>
        <w:top w:val="none" w:sz="0" w:space="0" w:color="auto"/>
        <w:left w:val="none" w:sz="0" w:space="0" w:color="auto"/>
        <w:bottom w:val="none" w:sz="0" w:space="0" w:color="auto"/>
        <w:right w:val="none" w:sz="0" w:space="0" w:color="auto"/>
      </w:divBdr>
    </w:div>
    <w:div w:id="1630088271">
      <w:bodyDiv w:val="1"/>
      <w:marLeft w:val="0"/>
      <w:marRight w:val="0"/>
      <w:marTop w:val="0"/>
      <w:marBottom w:val="0"/>
      <w:divBdr>
        <w:top w:val="none" w:sz="0" w:space="0" w:color="auto"/>
        <w:left w:val="none" w:sz="0" w:space="0" w:color="auto"/>
        <w:bottom w:val="none" w:sz="0" w:space="0" w:color="auto"/>
        <w:right w:val="none" w:sz="0" w:space="0" w:color="auto"/>
      </w:divBdr>
    </w:div>
    <w:div w:id="1630280616">
      <w:bodyDiv w:val="1"/>
      <w:marLeft w:val="0"/>
      <w:marRight w:val="0"/>
      <w:marTop w:val="0"/>
      <w:marBottom w:val="0"/>
      <w:divBdr>
        <w:top w:val="none" w:sz="0" w:space="0" w:color="auto"/>
        <w:left w:val="none" w:sz="0" w:space="0" w:color="auto"/>
        <w:bottom w:val="none" w:sz="0" w:space="0" w:color="auto"/>
        <w:right w:val="none" w:sz="0" w:space="0" w:color="auto"/>
      </w:divBdr>
    </w:div>
    <w:div w:id="1630358724">
      <w:bodyDiv w:val="1"/>
      <w:marLeft w:val="0"/>
      <w:marRight w:val="0"/>
      <w:marTop w:val="0"/>
      <w:marBottom w:val="0"/>
      <w:divBdr>
        <w:top w:val="none" w:sz="0" w:space="0" w:color="auto"/>
        <w:left w:val="none" w:sz="0" w:space="0" w:color="auto"/>
        <w:bottom w:val="none" w:sz="0" w:space="0" w:color="auto"/>
        <w:right w:val="none" w:sz="0" w:space="0" w:color="auto"/>
      </w:divBdr>
    </w:div>
    <w:div w:id="1630361763">
      <w:bodyDiv w:val="1"/>
      <w:marLeft w:val="0"/>
      <w:marRight w:val="0"/>
      <w:marTop w:val="0"/>
      <w:marBottom w:val="0"/>
      <w:divBdr>
        <w:top w:val="none" w:sz="0" w:space="0" w:color="auto"/>
        <w:left w:val="none" w:sz="0" w:space="0" w:color="auto"/>
        <w:bottom w:val="none" w:sz="0" w:space="0" w:color="auto"/>
        <w:right w:val="none" w:sz="0" w:space="0" w:color="auto"/>
      </w:divBdr>
    </w:div>
    <w:div w:id="1630428082">
      <w:bodyDiv w:val="1"/>
      <w:marLeft w:val="0"/>
      <w:marRight w:val="0"/>
      <w:marTop w:val="0"/>
      <w:marBottom w:val="0"/>
      <w:divBdr>
        <w:top w:val="none" w:sz="0" w:space="0" w:color="auto"/>
        <w:left w:val="none" w:sz="0" w:space="0" w:color="auto"/>
        <w:bottom w:val="none" w:sz="0" w:space="0" w:color="auto"/>
        <w:right w:val="none" w:sz="0" w:space="0" w:color="auto"/>
      </w:divBdr>
    </w:div>
    <w:div w:id="1630546561">
      <w:bodyDiv w:val="1"/>
      <w:marLeft w:val="0"/>
      <w:marRight w:val="0"/>
      <w:marTop w:val="0"/>
      <w:marBottom w:val="0"/>
      <w:divBdr>
        <w:top w:val="none" w:sz="0" w:space="0" w:color="auto"/>
        <w:left w:val="none" w:sz="0" w:space="0" w:color="auto"/>
        <w:bottom w:val="none" w:sz="0" w:space="0" w:color="auto"/>
        <w:right w:val="none" w:sz="0" w:space="0" w:color="auto"/>
      </w:divBdr>
    </w:div>
    <w:div w:id="1630549014">
      <w:bodyDiv w:val="1"/>
      <w:marLeft w:val="0"/>
      <w:marRight w:val="0"/>
      <w:marTop w:val="0"/>
      <w:marBottom w:val="0"/>
      <w:divBdr>
        <w:top w:val="none" w:sz="0" w:space="0" w:color="auto"/>
        <w:left w:val="none" w:sz="0" w:space="0" w:color="auto"/>
        <w:bottom w:val="none" w:sz="0" w:space="0" w:color="auto"/>
        <w:right w:val="none" w:sz="0" w:space="0" w:color="auto"/>
      </w:divBdr>
    </w:div>
    <w:div w:id="1630550735">
      <w:bodyDiv w:val="1"/>
      <w:marLeft w:val="0"/>
      <w:marRight w:val="0"/>
      <w:marTop w:val="0"/>
      <w:marBottom w:val="0"/>
      <w:divBdr>
        <w:top w:val="none" w:sz="0" w:space="0" w:color="auto"/>
        <w:left w:val="none" w:sz="0" w:space="0" w:color="auto"/>
        <w:bottom w:val="none" w:sz="0" w:space="0" w:color="auto"/>
        <w:right w:val="none" w:sz="0" w:space="0" w:color="auto"/>
      </w:divBdr>
    </w:div>
    <w:div w:id="1630668393">
      <w:bodyDiv w:val="1"/>
      <w:marLeft w:val="0"/>
      <w:marRight w:val="0"/>
      <w:marTop w:val="0"/>
      <w:marBottom w:val="0"/>
      <w:divBdr>
        <w:top w:val="none" w:sz="0" w:space="0" w:color="auto"/>
        <w:left w:val="none" w:sz="0" w:space="0" w:color="auto"/>
        <w:bottom w:val="none" w:sz="0" w:space="0" w:color="auto"/>
        <w:right w:val="none" w:sz="0" w:space="0" w:color="auto"/>
      </w:divBdr>
    </w:div>
    <w:div w:id="1630741987">
      <w:bodyDiv w:val="1"/>
      <w:marLeft w:val="0"/>
      <w:marRight w:val="0"/>
      <w:marTop w:val="0"/>
      <w:marBottom w:val="0"/>
      <w:divBdr>
        <w:top w:val="none" w:sz="0" w:space="0" w:color="auto"/>
        <w:left w:val="none" w:sz="0" w:space="0" w:color="auto"/>
        <w:bottom w:val="none" w:sz="0" w:space="0" w:color="auto"/>
        <w:right w:val="none" w:sz="0" w:space="0" w:color="auto"/>
      </w:divBdr>
    </w:div>
    <w:div w:id="1630814259">
      <w:bodyDiv w:val="1"/>
      <w:marLeft w:val="0"/>
      <w:marRight w:val="0"/>
      <w:marTop w:val="0"/>
      <w:marBottom w:val="0"/>
      <w:divBdr>
        <w:top w:val="none" w:sz="0" w:space="0" w:color="auto"/>
        <w:left w:val="none" w:sz="0" w:space="0" w:color="auto"/>
        <w:bottom w:val="none" w:sz="0" w:space="0" w:color="auto"/>
        <w:right w:val="none" w:sz="0" w:space="0" w:color="auto"/>
      </w:divBdr>
    </w:div>
    <w:div w:id="1630863797">
      <w:bodyDiv w:val="1"/>
      <w:marLeft w:val="0"/>
      <w:marRight w:val="0"/>
      <w:marTop w:val="0"/>
      <w:marBottom w:val="0"/>
      <w:divBdr>
        <w:top w:val="none" w:sz="0" w:space="0" w:color="auto"/>
        <w:left w:val="none" w:sz="0" w:space="0" w:color="auto"/>
        <w:bottom w:val="none" w:sz="0" w:space="0" w:color="auto"/>
        <w:right w:val="none" w:sz="0" w:space="0" w:color="auto"/>
      </w:divBdr>
    </w:div>
    <w:div w:id="1630866123">
      <w:bodyDiv w:val="1"/>
      <w:marLeft w:val="0"/>
      <w:marRight w:val="0"/>
      <w:marTop w:val="0"/>
      <w:marBottom w:val="0"/>
      <w:divBdr>
        <w:top w:val="none" w:sz="0" w:space="0" w:color="auto"/>
        <w:left w:val="none" w:sz="0" w:space="0" w:color="auto"/>
        <w:bottom w:val="none" w:sz="0" w:space="0" w:color="auto"/>
        <w:right w:val="none" w:sz="0" w:space="0" w:color="auto"/>
      </w:divBdr>
    </w:div>
    <w:div w:id="1630932290">
      <w:bodyDiv w:val="1"/>
      <w:marLeft w:val="0"/>
      <w:marRight w:val="0"/>
      <w:marTop w:val="0"/>
      <w:marBottom w:val="0"/>
      <w:divBdr>
        <w:top w:val="none" w:sz="0" w:space="0" w:color="auto"/>
        <w:left w:val="none" w:sz="0" w:space="0" w:color="auto"/>
        <w:bottom w:val="none" w:sz="0" w:space="0" w:color="auto"/>
        <w:right w:val="none" w:sz="0" w:space="0" w:color="auto"/>
      </w:divBdr>
    </w:div>
    <w:div w:id="1631009131">
      <w:bodyDiv w:val="1"/>
      <w:marLeft w:val="0"/>
      <w:marRight w:val="0"/>
      <w:marTop w:val="0"/>
      <w:marBottom w:val="0"/>
      <w:divBdr>
        <w:top w:val="none" w:sz="0" w:space="0" w:color="auto"/>
        <w:left w:val="none" w:sz="0" w:space="0" w:color="auto"/>
        <w:bottom w:val="none" w:sz="0" w:space="0" w:color="auto"/>
        <w:right w:val="none" w:sz="0" w:space="0" w:color="auto"/>
      </w:divBdr>
    </w:div>
    <w:div w:id="1631016746">
      <w:bodyDiv w:val="1"/>
      <w:marLeft w:val="0"/>
      <w:marRight w:val="0"/>
      <w:marTop w:val="0"/>
      <w:marBottom w:val="0"/>
      <w:divBdr>
        <w:top w:val="none" w:sz="0" w:space="0" w:color="auto"/>
        <w:left w:val="none" w:sz="0" w:space="0" w:color="auto"/>
        <w:bottom w:val="none" w:sz="0" w:space="0" w:color="auto"/>
        <w:right w:val="none" w:sz="0" w:space="0" w:color="auto"/>
      </w:divBdr>
    </w:div>
    <w:div w:id="1631083149">
      <w:bodyDiv w:val="1"/>
      <w:marLeft w:val="0"/>
      <w:marRight w:val="0"/>
      <w:marTop w:val="0"/>
      <w:marBottom w:val="0"/>
      <w:divBdr>
        <w:top w:val="none" w:sz="0" w:space="0" w:color="auto"/>
        <w:left w:val="none" w:sz="0" w:space="0" w:color="auto"/>
        <w:bottom w:val="none" w:sz="0" w:space="0" w:color="auto"/>
        <w:right w:val="none" w:sz="0" w:space="0" w:color="auto"/>
      </w:divBdr>
    </w:div>
    <w:div w:id="1631285462">
      <w:bodyDiv w:val="1"/>
      <w:marLeft w:val="0"/>
      <w:marRight w:val="0"/>
      <w:marTop w:val="0"/>
      <w:marBottom w:val="0"/>
      <w:divBdr>
        <w:top w:val="none" w:sz="0" w:space="0" w:color="auto"/>
        <w:left w:val="none" w:sz="0" w:space="0" w:color="auto"/>
        <w:bottom w:val="none" w:sz="0" w:space="0" w:color="auto"/>
        <w:right w:val="none" w:sz="0" w:space="0" w:color="auto"/>
      </w:divBdr>
    </w:div>
    <w:div w:id="1631327672">
      <w:bodyDiv w:val="1"/>
      <w:marLeft w:val="0"/>
      <w:marRight w:val="0"/>
      <w:marTop w:val="0"/>
      <w:marBottom w:val="0"/>
      <w:divBdr>
        <w:top w:val="none" w:sz="0" w:space="0" w:color="auto"/>
        <w:left w:val="none" w:sz="0" w:space="0" w:color="auto"/>
        <w:bottom w:val="none" w:sz="0" w:space="0" w:color="auto"/>
        <w:right w:val="none" w:sz="0" w:space="0" w:color="auto"/>
      </w:divBdr>
    </w:div>
    <w:div w:id="1631473107">
      <w:bodyDiv w:val="1"/>
      <w:marLeft w:val="0"/>
      <w:marRight w:val="0"/>
      <w:marTop w:val="0"/>
      <w:marBottom w:val="0"/>
      <w:divBdr>
        <w:top w:val="none" w:sz="0" w:space="0" w:color="auto"/>
        <w:left w:val="none" w:sz="0" w:space="0" w:color="auto"/>
        <w:bottom w:val="none" w:sz="0" w:space="0" w:color="auto"/>
        <w:right w:val="none" w:sz="0" w:space="0" w:color="auto"/>
      </w:divBdr>
    </w:div>
    <w:div w:id="1631596790">
      <w:bodyDiv w:val="1"/>
      <w:marLeft w:val="0"/>
      <w:marRight w:val="0"/>
      <w:marTop w:val="0"/>
      <w:marBottom w:val="0"/>
      <w:divBdr>
        <w:top w:val="none" w:sz="0" w:space="0" w:color="auto"/>
        <w:left w:val="none" w:sz="0" w:space="0" w:color="auto"/>
        <w:bottom w:val="none" w:sz="0" w:space="0" w:color="auto"/>
        <w:right w:val="none" w:sz="0" w:space="0" w:color="auto"/>
      </w:divBdr>
    </w:div>
    <w:div w:id="1631784634">
      <w:bodyDiv w:val="1"/>
      <w:marLeft w:val="0"/>
      <w:marRight w:val="0"/>
      <w:marTop w:val="0"/>
      <w:marBottom w:val="0"/>
      <w:divBdr>
        <w:top w:val="none" w:sz="0" w:space="0" w:color="auto"/>
        <w:left w:val="none" w:sz="0" w:space="0" w:color="auto"/>
        <w:bottom w:val="none" w:sz="0" w:space="0" w:color="auto"/>
        <w:right w:val="none" w:sz="0" w:space="0" w:color="auto"/>
      </w:divBdr>
    </w:div>
    <w:div w:id="1631932545">
      <w:bodyDiv w:val="1"/>
      <w:marLeft w:val="0"/>
      <w:marRight w:val="0"/>
      <w:marTop w:val="0"/>
      <w:marBottom w:val="0"/>
      <w:divBdr>
        <w:top w:val="none" w:sz="0" w:space="0" w:color="auto"/>
        <w:left w:val="none" w:sz="0" w:space="0" w:color="auto"/>
        <w:bottom w:val="none" w:sz="0" w:space="0" w:color="auto"/>
        <w:right w:val="none" w:sz="0" w:space="0" w:color="auto"/>
      </w:divBdr>
    </w:div>
    <w:div w:id="1631978215">
      <w:bodyDiv w:val="1"/>
      <w:marLeft w:val="0"/>
      <w:marRight w:val="0"/>
      <w:marTop w:val="0"/>
      <w:marBottom w:val="0"/>
      <w:divBdr>
        <w:top w:val="none" w:sz="0" w:space="0" w:color="auto"/>
        <w:left w:val="none" w:sz="0" w:space="0" w:color="auto"/>
        <w:bottom w:val="none" w:sz="0" w:space="0" w:color="auto"/>
        <w:right w:val="none" w:sz="0" w:space="0" w:color="auto"/>
      </w:divBdr>
    </w:div>
    <w:div w:id="1632132802">
      <w:bodyDiv w:val="1"/>
      <w:marLeft w:val="0"/>
      <w:marRight w:val="0"/>
      <w:marTop w:val="0"/>
      <w:marBottom w:val="0"/>
      <w:divBdr>
        <w:top w:val="none" w:sz="0" w:space="0" w:color="auto"/>
        <w:left w:val="none" w:sz="0" w:space="0" w:color="auto"/>
        <w:bottom w:val="none" w:sz="0" w:space="0" w:color="auto"/>
        <w:right w:val="none" w:sz="0" w:space="0" w:color="auto"/>
      </w:divBdr>
    </w:div>
    <w:div w:id="1632243785">
      <w:bodyDiv w:val="1"/>
      <w:marLeft w:val="0"/>
      <w:marRight w:val="0"/>
      <w:marTop w:val="0"/>
      <w:marBottom w:val="0"/>
      <w:divBdr>
        <w:top w:val="none" w:sz="0" w:space="0" w:color="auto"/>
        <w:left w:val="none" w:sz="0" w:space="0" w:color="auto"/>
        <w:bottom w:val="none" w:sz="0" w:space="0" w:color="auto"/>
        <w:right w:val="none" w:sz="0" w:space="0" w:color="auto"/>
      </w:divBdr>
    </w:div>
    <w:div w:id="1632246106">
      <w:bodyDiv w:val="1"/>
      <w:marLeft w:val="0"/>
      <w:marRight w:val="0"/>
      <w:marTop w:val="0"/>
      <w:marBottom w:val="0"/>
      <w:divBdr>
        <w:top w:val="none" w:sz="0" w:space="0" w:color="auto"/>
        <w:left w:val="none" w:sz="0" w:space="0" w:color="auto"/>
        <w:bottom w:val="none" w:sz="0" w:space="0" w:color="auto"/>
        <w:right w:val="none" w:sz="0" w:space="0" w:color="auto"/>
      </w:divBdr>
    </w:div>
    <w:div w:id="1632246667">
      <w:bodyDiv w:val="1"/>
      <w:marLeft w:val="0"/>
      <w:marRight w:val="0"/>
      <w:marTop w:val="0"/>
      <w:marBottom w:val="0"/>
      <w:divBdr>
        <w:top w:val="none" w:sz="0" w:space="0" w:color="auto"/>
        <w:left w:val="none" w:sz="0" w:space="0" w:color="auto"/>
        <w:bottom w:val="none" w:sz="0" w:space="0" w:color="auto"/>
        <w:right w:val="none" w:sz="0" w:space="0" w:color="auto"/>
      </w:divBdr>
    </w:div>
    <w:div w:id="1632251992">
      <w:bodyDiv w:val="1"/>
      <w:marLeft w:val="0"/>
      <w:marRight w:val="0"/>
      <w:marTop w:val="0"/>
      <w:marBottom w:val="0"/>
      <w:divBdr>
        <w:top w:val="none" w:sz="0" w:space="0" w:color="auto"/>
        <w:left w:val="none" w:sz="0" w:space="0" w:color="auto"/>
        <w:bottom w:val="none" w:sz="0" w:space="0" w:color="auto"/>
        <w:right w:val="none" w:sz="0" w:space="0" w:color="auto"/>
      </w:divBdr>
    </w:div>
    <w:div w:id="1632403042">
      <w:bodyDiv w:val="1"/>
      <w:marLeft w:val="0"/>
      <w:marRight w:val="0"/>
      <w:marTop w:val="0"/>
      <w:marBottom w:val="0"/>
      <w:divBdr>
        <w:top w:val="none" w:sz="0" w:space="0" w:color="auto"/>
        <w:left w:val="none" w:sz="0" w:space="0" w:color="auto"/>
        <w:bottom w:val="none" w:sz="0" w:space="0" w:color="auto"/>
        <w:right w:val="none" w:sz="0" w:space="0" w:color="auto"/>
      </w:divBdr>
    </w:div>
    <w:div w:id="1632594851">
      <w:bodyDiv w:val="1"/>
      <w:marLeft w:val="0"/>
      <w:marRight w:val="0"/>
      <w:marTop w:val="0"/>
      <w:marBottom w:val="0"/>
      <w:divBdr>
        <w:top w:val="none" w:sz="0" w:space="0" w:color="auto"/>
        <w:left w:val="none" w:sz="0" w:space="0" w:color="auto"/>
        <w:bottom w:val="none" w:sz="0" w:space="0" w:color="auto"/>
        <w:right w:val="none" w:sz="0" w:space="0" w:color="auto"/>
      </w:divBdr>
    </w:div>
    <w:div w:id="1632704729">
      <w:bodyDiv w:val="1"/>
      <w:marLeft w:val="0"/>
      <w:marRight w:val="0"/>
      <w:marTop w:val="0"/>
      <w:marBottom w:val="0"/>
      <w:divBdr>
        <w:top w:val="none" w:sz="0" w:space="0" w:color="auto"/>
        <w:left w:val="none" w:sz="0" w:space="0" w:color="auto"/>
        <w:bottom w:val="none" w:sz="0" w:space="0" w:color="auto"/>
        <w:right w:val="none" w:sz="0" w:space="0" w:color="auto"/>
      </w:divBdr>
    </w:div>
    <w:div w:id="1632705459">
      <w:bodyDiv w:val="1"/>
      <w:marLeft w:val="0"/>
      <w:marRight w:val="0"/>
      <w:marTop w:val="0"/>
      <w:marBottom w:val="0"/>
      <w:divBdr>
        <w:top w:val="none" w:sz="0" w:space="0" w:color="auto"/>
        <w:left w:val="none" w:sz="0" w:space="0" w:color="auto"/>
        <w:bottom w:val="none" w:sz="0" w:space="0" w:color="auto"/>
        <w:right w:val="none" w:sz="0" w:space="0" w:color="auto"/>
      </w:divBdr>
    </w:div>
    <w:div w:id="1632903692">
      <w:bodyDiv w:val="1"/>
      <w:marLeft w:val="0"/>
      <w:marRight w:val="0"/>
      <w:marTop w:val="0"/>
      <w:marBottom w:val="0"/>
      <w:divBdr>
        <w:top w:val="none" w:sz="0" w:space="0" w:color="auto"/>
        <w:left w:val="none" w:sz="0" w:space="0" w:color="auto"/>
        <w:bottom w:val="none" w:sz="0" w:space="0" w:color="auto"/>
        <w:right w:val="none" w:sz="0" w:space="0" w:color="auto"/>
      </w:divBdr>
    </w:div>
    <w:div w:id="1632977991">
      <w:bodyDiv w:val="1"/>
      <w:marLeft w:val="0"/>
      <w:marRight w:val="0"/>
      <w:marTop w:val="0"/>
      <w:marBottom w:val="0"/>
      <w:divBdr>
        <w:top w:val="none" w:sz="0" w:space="0" w:color="auto"/>
        <w:left w:val="none" w:sz="0" w:space="0" w:color="auto"/>
        <w:bottom w:val="none" w:sz="0" w:space="0" w:color="auto"/>
        <w:right w:val="none" w:sz="0" w:space="0" w:color="auto"/>
      </w:divBdr>
    </w:div>
    <w:div w:id="1632980817">
      <w:bodyDiv w:val="1"/>
      <w:marLeft w:val="0"/>
      <w:marRight w:val="0"/>
      <w:marTop w:val="0"/>
      <w:marBottom w:val="0"/>
      <w:divBdr>
        <w:top w:val="none" w:sz="0" w:space="0" w:color="auto"/>
        <w:left w:val="none" w:sz="0" w:space="0" w:color="auto"/>
        <w:bottom w:val="none" w:sz="0" w:space="0" w:color="auto"/>
        <w:right w:val="none" w:sz="0" w:space="0" w:color="auto"/>
      </w:divBdr>
    </w:div>
    <w:div w:id="1633246597">
      <w:bodyDiv w:val="1"/>
      <w:marLeft w:val="0"/>
      <w:marRight w:val="0"/>
      <w:marTop w:val="0"/>
      <w:marBottom w:val="0"/>
      <w:divBdr>
        <w:top w:val="none" w:sz="0" w:space="0" w:color="auto"/>
        <w:left w:val="none" w:sz="0" w:space="0" w:color="auto"/>
        <w:bottom w:val="none" w:sz="0" w:space="0" w:color="auto"/>
        <w:right w:val="none" w:sz="0" w:space="0" w:color="auto"/>
      </w:divBdr>
    </w:div>
    <w:div w:id="1633289978">
      <w:bodyDiv w:val="1"/>
      <w:marLeft w:val="0"/>
      <w:marRight w:val="0"/>
      <w:marTop w:val="0"/>
      <w:marBottom w:val="0"/>
      <w:divBdr>
        <w:top w:val="none" w:sz="0" w:space="0" w:color="auto"/>
        <w:left w:val="none" w:sz="0" w:space="0" w:color="auto"/>
        <w:bottom w:val="none" w:sz="0" w:space="0" w:color="auto"/>
        <w:right w:val="none" w:sz="0" w:space="0" w:color="auto"/>
      </w:divBdr>
    </w:div>
    <w:div w:id="1633363301">
      <w:bodyDiv w:val="1"/>
      <w:marLeft w:val="0"/>
      <w:marRight w:val="0"/>
      <w:marTop w:val="0"/>
      <w:marBottom w:val="0"/>
      <w:divBdr>
        <w:top w:val="none" w:sz="0" w:space="0" w:color="auto"/>
        <w:left w:val="none" w:sz="0" w:space="0" w:color="auto"/>
        <w:bottom w:val="none" w:sz="0" w:space="0" w:color="auto"/>
        <w:right w:val="none" w:sz="0" w:space="0" w:color="auto"/>
      </w:divBdr>
    </w:div>
    <w:div w:id="1633367178">
      <w:bodyDiv w:val="1"/>
      <w:marLeft w:val="0"/>
      <w:marRight w:val="0"/>
      <w:marTop w:val="0"/>
      <w:marBottom w:val="0"/>
      <w:divBdr>
        <w:top w:val="none" w:sz="0" w:space="0" w:color="auto"/>
        <w:left w:val="none" w:sz="0" w:space="0" w:color="auto"/>
        <w:bottom w:val="none" w:sz="0" w:space="0" w:color="auto"/>
        <w:right w:val="none" w:sz="0" w:space="0" w:color="auto"/>
      </w:divBdr>
    </w:div>
    <w:div w:id="1633443373">
      <w:bodyDiv w:val="1"/>
      <w:marLeft w:val="0"/>
      <w:marRight w:val="0"/>
      <w:marTop w:val="0"/>
      <w:marBottom w:val="0"/>
      <w:divBdr>
        <w:top w:val="none" w:sz="0" w:space="0" w:color="auto"/>
        <w:left w:val="none" w:sz="0" w:space="0" w:color="auto"/>
        <w:bottom w:val="none" w:sz="0" w:space="0" w:color="auto"/>
        <w:right w:val="none" w:sz="0" w:space="0" w:color="auto"/>
      </w:divBdr>
    </w:div>
    <w:div w:id="1633514559">
      <w:bodyDiv w:val="1"/>
      <w:marLeft w:val="0"/>
      <w:marRight w:val="0"/>
      <w:marTop w:val="0"/>
      <w:marBottom w:val="0"/>
      <w:divBdr>
        <w:top w:val="none" w:sz="0" w:space="0" w:color="auto"/>
        <w:left w:val="none" w:sz="0" w:space="0" w:color="auto"/>
        <w:bottom w:val="none" w:sz="0" w:space="0" w:color="auto"/>
        <w:right w:val="none" w:sz="0" w:space="0" w:color="auto"/>
      </w:divBdr>
    </w:div>
    <w:div w:id="1633831424">
      <w:bodyDiv w:val="1"/>
      <w:marLeft w:val="0"/>
      <w:marRight w:val="0"/>
      <w:marTop w:val="0"/>
      <w:marBottom w:val="0"/>
      <w:divBdr>
        <w:top w:val="none" w:sz="0" w:space="0" w:color="auto"/>
        <w:left w:val="none" w:sz="0" w:space="0" w:color="auto"/>
        <w:bottom w:val="none" w:sz="0" w:space="0" w:color="auto"/>
        <w:right w:val="none" w:sz="0" w:space="0" w:color="auto"/>
      </w:divBdr>
    </w:div>
    <w:div w:id="1633949082">
      <w:bodyDiv w:val="1"/>
      <w:marLeft w:val="0"/>
      <w:marRight w:val="0"/>
      <w:marTop w:val="0"/>
      <w:marBottom w:val="0"/>
      <w:divBdr>
        <w:top w:val="none" w:sz="0" w:space="0" w:color="auto"/>
        <w:left w:val="none" w:sz="0" w:space="0" w:color="auto"/>
        <w:bottom w:val="none" w:sz="0" w:space="0" w:color="auto"/>
        <w:right w:val="none" w:sz="0" w:space="0" w:color="auto"/>
      </w:divBdr>
    </w:div>
    <w:div w:id="1634094968">
      <w:bodyDiv w:val="1"/>
      <w:marLeft w:val="0"/>
      <w:marRight w:val="0"/>
      <w:marTop w:val="0"/>
      <w:marBottom w:val="0"/>
      <w:divBdr>
        <w:top w:val="none" w:sz="0" w:space="0" w:color="auto"/>
        <w:left w:val="none" w:sz="0" w:space="0" w:color="auto"/>
        <w:bottom w:val="none" w:sz="0" w:space="0" w:color="auto"/>
        <w:right w:val="none" w:sz="0" w:space="0" w:color="auto"/>
      </w:divBdr>
    </w:div>
    <w:div w:id="1634214403">
      <w:bodyDiv w:val="1"/>
      <w:marLeft w:val="0"/>
      <w:marRight w:val="0"/>
      <w:marTop w:val="0"/>
      <w:marBottom w:val="0"/>
      <w:divBdr>
        <w:top w:val="none" w:sz="0" w:space="0" w:color="auto"/>
        <w:left w:val="none" w:sz="0" w:space="0" w:color="auto"/>
        <w:bottom w:val="none" w:sz="0" w:space="0" w:color="auto"/>
        <w:right w:val="none" w:sz="0" w:space="0" w:color="auto"/>
      </w:divBdr>
    </w:div>
    <w:div w:id="1634285399">
      <w:bodyDiv w:val="1"/>
      <w:marLeft w:val="0"/>
      <w:marRight w:val="0"/>
      <w:marTop w:val="0"/>
      <w:marBottom w:val="0"/>
      <w:divBdr>
        <w:top w:val="none" w:sz="0" w:space="0" w:color="auto"/>
        <w:left w:val="none" w:sz="0" w:space="0" w:color="auto"/>
        <w:bottom w:val="none" w:sz="0" w:space="0" w:color="auto"/>
        <w:right w:val="none" w:sz="0" w:space="0" w:color="auto"/>
      </w:divBdr>
    </w:div>
    <w:div w:id="1634285726">
      <w:bodyDiv w:val="1"/>
      <w:marLeft w:val="0"/>
      <w:marRight w:val="0"/>
      <w:marTop w:val="0"/>
      <w:marBottom w:val="0"/>
      <w:divBdr>
        <w:top w:val="none" w:sz="0" w:space="0" w:color="auto"/>
        <w:left w:val="none" w:sz="0" w:space="0" w:color="auto"/>
        <w:bottom w:val="none" w:sz="0" w:space="0" w:color="auto"/>
        <w:right w:val="none" w:sz="0" w:space="0" w:color="auto"/>
      </w:divBdr>
    </w:div>
    <w:div w:id="1634292629">
      <w:bodyDiv w:val="1"/>
      <w:marLeft w:val="0"/>
      <w:marRight w:val="0"/>
      <w:marTop w:val="0"/>
      <w:marBottom w:val="0"/>
      <w:divBdr>
        <w:top w:val="none" w:sz="0" w:space="0" w:color="auto"/>
        <w:left w:val="none" w:sz="0" w:space="0" w:color="auto"/>
        <w:bottom w:val="none" w:sz="0" w:space="0" w:color="auto"/>
        <w:right w:val="none" w:sz="0" w:space="0" w:color="auto"/>
      </w:divBdr>
    </w:div>
    <w:div w:id="1634405159">
      <w:bodyDiv w:val="1"/>
      <w:marLeft w:val="0"/>
      <w:marRight w:val="0"/>
      <w:marTop w:val="0"/>
      <w:marBottom w:val="0"/>
      <w:divBdr>
        <w:top w:val="none" w:sz="0" w:space="0" w:color="auto"/>
        <w:left w:val="none" w:sz="0" w:space="0" w:color="auto"/>
        <w:bottom w:val="none" w:sz="0" w:space="0" w:color="auto"/>
        <w:right w:val="none" w:sz="0" w:space="0" w:color="auto"/>
      </w:divBdr>
    </w:div>
    <w:div w:id="1634407937">
      <w:bodyDiv w:val="1"/>
      <w:marLeft w:val="0"/>
      <w:marRight w:val="0"/>
      <w:marTop w:val="0"/>
      <w:marBottom w:val="0"/>
      <w:divBdr>
        <w:top w:val="none" w:sz="0" w:space="0" w:color="auto"/>
        <w:left w:val="none" w:sz="0" w:space="0" w:color="auto"/>
        <w:bottom w:val="none" w:sz="0" w:space="0" w:color="auto"/>
        <w:right w:val="none" w:sz="0" w:space="0" w:color="auto"/>
      </w:divBdr>
    </w:div>
    <w:div w:id="1634410048">
      <w:bodyDiv w:val="1"/>
      <w:marLeft w:val="0"/>
      <w:marRight w:val="0"/>
      <w:marTop w:val="0"/>
      <w:marBottom w:val="0"/>
      <w:divBdr>
        <w:top w:val="none" w:sz="0" w:space="0" w:color="auto"/>
        <w:left w:val="none" w:sz="0" w:space="0" w:color="auto"/>
        <w:bottom w:val="none" w:sz="0" w:space="0" w:color="auto"/>
        <w:right w:val="none" w:sz="0" w:space="0" w:color="auto"/>
      </w:divBdr>
    </w:div>
    <w:div w:id="1634557026">
      <w:bodyDiv w:val="1"/>
      <w:marLeft w:val="0"/>
      <w:marRight w:val="0"/>
      <w:marTop w:val="0"/>
      <w:marBottom w:val="0"/>
      <w:divBdr>
        <w:top w:val="none" w:sz="0" w:space="0" w:color="auto"/>
        <w:left w:val="none" w:sz="0" w:space="0" w:color="auto"/>
        <w:bottom w:val="none" w:sz="0" w:space="0" w:color="auto"/>
        <w:right w:val="none" w:sz="0" w:space="0" w:color="auto"/>
      </w:divBdr>
    </w:div>
    <w:div w:id="1634560190">
      <w:bodyDiv w:val="1"/>
      <w:marLeft w:val="0"/>
      <w:marRight w:val="0"/>
      <w:marTop w:val="0"/>
      <w:marBottom w:val="0"/>
      <w:divBdr>
        <w:top w:val="none" w:sz="0" w:space="0" w:color="auto"/>
        <w:left w:val="none" w:sz="0" w:space="0" w:color="auto"/>
        <w:bottom w:val="none" w:sz="0" w:space="0" w:color="auto"/>
        <w:right w:val="none" w:sz="0" w:space="0" w:color="auto"/>
      </w:divBdr>
    </w:div>
    <w:div w:id="1634676000">
      <w:bodyDiv w:val="1"/>
      <w:marLeft w:val="0"/>
      <w:marRight w:val="0"/>
      <w:marTop w:val="0"/>
      <w:marBottom w:val="0"/>
      <w:divBdr>
        <w:top w:val="none" w:sz="0" w:space="0" w:color="auto"/>
        <w:left w:val="none" w:sz="0" w:space="0" w:color="auto"/>
        <w:bottom w:val="none" w:sz="0" w:space="0" w:color="auto"/>
        <w:right w:val="none" w:sz="0" w:space="0" w:color="auto"/>
      </w:divBdr>
    </w:div>
    <w:div w:id="1634679561">
      <w:bodyDiv w:val="1"/>
      <w:marLeft w:val="0"/>
      <w:marRight w:val="0"/>
      <w:marTop w:val="0"/>
      <w:marBottom w:val="0"/>
      <w:divBdr>
        <w:top w:val="none" w:sz="0" w:space="0" w:color="auto"/>
        <w:left w:val="none" w:sz="0" w:space="0" w:color="auto"/>
        <w:bottom w:val="none" w:sz="0" w:space="0" w:color="auto"/>
        <w:right w:val="none" w:sz="0" w:space="0" w:color="auto"/>
      </w:divBdr>
    </w:div>
    <w:div w:id="1634754043">
      <w:bodyDiv w:val="1"/>
      <w:marLeft w:val="0"/>
      <w:marRight w:val="0"/>
      <w:marTop w:val="0"/>
      <w:marBottom w:val="0"/>
      <w:divBdr>
        <w:top w:val="none" w:sz="0" w:space="0" w:color="auto"/>
        <w:left w:val="none" w:sz="0" w:space="0" w:color="auto"/>
        <w:bottom w:val="none" w:sz="0" w:space="0" w:color="auto"/>
        <w:right w:val="none" w:sz="0" w:space="0" w:color="auto"/>
      </w:divBdr>
    </w:div>
    <w:div w:id="1634939495">
      <w:bodyDiv w:val="1"/>
      <w:marLeft w:val="0"/>
      <w:marRight w:val="0"/>
      <w:marTop w:val="0"/>
      <w:marBottom w:val="0"/>
      <w:divBdr>
        <w:top w:val="none" w:sz="0" w:space="0" w:color="auto"/>
        <w:left w:val="none" w:sz="0" w:space="0" w:color="auto"/>
        <w:bottom w:val="none" w:sz="0" w:space="0" w:color="auto"/>
        <w:right w:val="none" w:sz="0" w:space="0" w:color="auto"/>
      </w:divBdr>
    </w:div>
    <w:div w:id="1635023829">
      <w:bodyDiv w:val="1"/>
      <w:marLeft w:val="0"/>
      <w:marRight w:val="0"/>
      <w:marTop w:val="0"/>
      <w:marBottom w:val="0"/>
      <w:divBdr>
        <w:top w:val="none" w:sz="0" w:space="0" w:color="auto"/>
        <w:left w:val="none" w:sz="0" w:space="0" w:color="auto"/>
        <w:bottom w:val="none" w:sz="0" w:space="0" w:color="auto"/>
        <w:right w:val="none" w:sz="0" w:space="0" w:color="auto"/>
      </w:divBdr>
    </w:div>
    <w:div w:id="1635062462">
      <w:bodyDiv w:val="1"/>
      <w:marLeft w:val="0"/>
      <w:marRight w:val="0"/>
      <w:marTop w:val="0"/>
      <w:marBottom w:val="0"/>
      <w:divBdr>
        <w:top w:val="none" w:sz="0" w:space="0" w:color="auto"/>
        <w:left w:val="none" w:sz="0" w:space="0" w:color="auto"/>
        <w:bottom w:val="none" w:sz="0" w:space="0" w:color="auto"/>
        <w:right w:val="none" w:sz="0" w:space="0" w:color="auto"/>
      </w:divBdr>
    </w:div>
    <w:div w:id="1635064227">
      <w:bodyDiv w:val="1"/>
      <w:marLeft w:val="0"/>
      <w:marRight w:val="0"/>
      <w:marTop w:val="0"/>
      <w:marBottom w:val="0"/>
      <w:divBdr>
        <w:top w:val="none" w:sz="0" w:space="0" w:color="auto"/>
        <w:left w:val="none" w:sz="0" w:space="0" w:color="auto"/>
        <w:bottom w:val="none" w:sz="0" w:space="0" w:color="auto"/>
        <w:right w:val="none" w:sz="0" w:space="0" w:color="auto"/>
      </w:divBdr>
    </w:div>
    <w:div w:id="1635066315">
      <w:bodyDiv w:val="1"/>
      <w:marLeft w:val="0"/>
      <w:marRight w:val="0"/>
      <w:marTop w:val="0"/>
      <w:marBottom w:val="0"/>
      <w:divBdr>
        <w:top w:val="none" w:sz="0" w:space="0" w:color="auto"/>
        <w:left w:val="none" w:sz="0" w:space="0" w:color="auto"/>
        <w:bottom w:val="none" w:sz="0" w:space="0" w:color="auto"/>
        <w:right w:val="none" w:sz="0" w:space="0" w:color="auto"/>
      </w:divBdr>
    </w:div>
    <w:div w:id="1635135308">
      <w:bodyDiv w:val="1"/>
      <w:marLeft w:val="0"/>
      <w:marRight w:val="0"/>
      <w:marTop w:val="0"/>
      <w:marBottom w:val="0"/>
      <w:divBdr>
        <w:top w:val="none" w:sz="0" w:space="0" w:color="auto"/>
        <w:left w:val="none" w:sz="0" w:space="0" w:color="auto"/>
        <w:bottom w:val="none" w:sz="0" w:space="0" w:color="auto"/>
        <w:right w:val="none" w:sz="0" w:space="0" w:color="auto"/>
      </w:divBdr>
    </w:div>
    <w:div w:id="1635402554">
      <w:bodyDiv w:val="1"/>
      <w:marLeft w:val="0"/>
      <w:marRight w:val="0"/>
      <w:marTop w:val="0"/>
      <w:marBottom w:val="0"/>
      <w:divBdr>
        <w:top w:val="none" w:sz="0" w:space="0" w:color="auto"/>
        <w:left w:val="none" w:sz="0" w:space="0" w:color="auto"/>
        <w:bottom w:val="none" w:sz="0" w:space="0" w:color="auto"/>
        <w:right w:val="none" w:sz="0" w:space="0" w:color="auto"/>
      </w:divBdr>
    </w:div>
    <w:div w:id="1635480598">
      <w:bodyDiv w:val="1"/>
      <w:marLeft w:val="0"/>
      <w:marRight w:val="0"/>
      <w:marTop w:val="0"/>
      <w:marBottom w:val="0"/>
      <w:divBdr>
        <w:top w:val="none" w:sz="0" w:space="0" w:color="auto"/>
        <w:left w:val="none" w:sz="0" w:space="0" w:color="auto"/>
        <w:bottom w:val="none" w:sz="0" w:space="0" w:color="auto"/>
        <w:right w:val="none" w:sz="0" w:space="0" w:color="auto"/>
      </w:divBdr>
    </w:div>
    <w:div w:id="1635482960">
      <w:bodyDiv w:val="1"/>
      <w:marLeft w:val="0"/>
      <w:marRight w:val="0"/>
      <w:marTop w:val="0"/>
      <w:marBottom w:val="0"/>
      <w:divBdr>
        <w:top w:val="none" w:sz="0" w:space="0" w:color="auto"/>
        <w:left w:val="none" w:sz="0" w:space="0" w:color="auto"/>
        <w:bottom w:val="none" w:sz="0" w:space="0" w:color="auto"/>
        <w:right w:val="none" w:sz="0" w:space="0" w:color="auto"/>
      </w:divBdr>
    </w:div>
    <w:div w:id="1635525348">
      <w:bodyDiv w:val="1"/>
      <w:marLeft w:val="0"/>
      <w:marRight w:val="0"/>
      <w:marTop w:val="0"/>
      <w:marBottom w:val="0"/>
      <w:divBdr>
        <w:top w:val="none" w:sz="0" w:space="0" w:color="auto"/>
        <w:left w:val="none" w:sz="0" w:space="0" w:color="auto"/>
        <w:bottom w:val="none" w:sz="0" w:space="0" w:color="auto"/>
        <w:right w:val="none" w:sz="0" w:space="0" w:color="auto"/>
      </w:divBdr>
    </w:div>
    <w:div w:id="1635672510">
      <w:bodyDiv w:val="1"/>
      <w:marLeft w:val="0"/>
      <w:marRight w:val="0"/>
      <w:marTop w:val="0"/>
      <w:marBottom w:val="0"/>
      <w:divBdr>
        <w:top w:val="none" w:sz="0" w:space="0" w:color="auto"/>
        <w:left w:val="none" w:sz="0" w:space="0" w:color="auto"/>
        <w:bottom w:val="none" w:sz="0" w:space="0" w:color="auto"/>
        <w:right w:val="none" w:sz="0" w:space="0" w:color="auto"/>
      </w:divBdr>
    </w:div>
    <w:div w:id="1635789414">
      <w:bodyDiv w:val="1"/>
      <w:marLeft w:val="0"/>
      <w:marRight w:val="0"/>
      <w:marTop w:val="0"/>
      <w:marBottom w:val="0"/>
      <w:divBdr>
        <w:top w:val="none" w:sz="0" w:space="0" w:color="auto"/>
        <w:left w:val="none" w:sz="0" w:space="0" w:color="auto"/>
        <w:bottom w:val="none" w:sz="0" w:space="0" w:color="auto"/>
        <w:right w:val="none" w:sz="0" w:space="0" w:color="auto"/>
      </w:divBdr>
    </w:div>
    <w:div w:id="1635794898">
      <w:bodyDiv w:val="1"/>
      <w:marLeft w:val="0"/>
      <w:marRight w:val="0"/>
      <w:marTop w:val="0"/>
      <w:marBottom w:val="0"/>
      <w:divBdr>
        <w:top w:val="none" w:sz="0" w:space="0" w:color="auto"/>
        <w:left w:val="none" w:sz="0" w:space="0" w:color="auto"/>
        <w:bottom w:val="none" w:sz="0" w:space="0" w:color="auto"/>
        <w:right w:val="none" w:sz="0" w:space="0" w:color="auto"/>
      </w:divBdr>
    </w:div>
    <w:div w:id="1635795205">
      <w:bodyDiv w:val="1"/>
      <w:marLeft w:val="0"/>
      <w:marRight w:val="0"/>
      <w:marTop w:val="0"/>
      <w:marBottom w:val="0"/>
      <w:divBdr>
        <w:top w:val="none" w:sz="0" w:space="0" w:color="auto"/>
        <w:left w:val="none" w:sz="0" w:space="0" w:color="auto"/>
        <w:bottom w:val="none" w:sz="0" w:space="0" w:color="auto"/>
        <w:right w:val="none" w:sz="0" w:space="0" w:color="auto"/>
      </w:divBdr>
    </w:div>
    <w:div w:id="1635909742">
      <w:bodyDiv w:val="1"/>
      <w:marLeft w:val="0"/>
      <w:marRight w:val="0"/>
      <w:marTop w:val="0"/>
      <w:marBottom w:val="0"/>
      <w:divBdr>
        <w:top w:val="none" w:sz="0" w:space="0" w:color="auto"/>
        <w:left w:val="none" w:sz="0" w:space="0" w:color="auto"/>
        <w:bottom w:val="none" w:sz="0" w:space="0" w:color="auto"/>
        <w:right w:val="none" w:sz="0" w:space="0" w:color="auto"/>
      </w:divBdr>
    </w:div>
    <w:div w:id="1635913693">
      <w:bodyDiv w:val="1"/>
      <w:marLeft w:val="0"/>
      <w:marRight w:val="0"/>
      <w:marTop w:val="0"/>
      <w:marBottom w:val="0"/>
      <w:divBdr>
        <w:top w:val="none" w:sz="0" w:space="0" w:color="auto"/>
        <w:left w:val="none" w:sz="0" w:space="0" w:color="auto"/>
        <w:bottom w:val="none" w:sz="0" w:space="0" w:color="auto"/>
        <w:right w:val="none" w:sz="0" w:space="0" w:color="auto"/>
      </w:divBdr>
    </w:div>
    <w:div w:id="1635988876">
      <w:bodyDiv w:val="1"/>
      <w:marLeft w:val="0"/>
      <w:marRight w:val="0"/>
      <w:marTop w:val="0"/>
      <w:marBottom w:val="0"/>
      <w:divBdr>
        <w:top w:val="none" w:sz="0" w:space="0" w:color="auto"/>
        <w:left w:val="none" w:sz="0" w:space="0" w:color="auto"/>
        <w:bottom w:val="none" w:sz="0" w:space="0" w:color="auto"/>
        <w:right w:val="none" w:sz="0" w:space="0" w:color="auto"/>
      </w:divBdr>
    </w:div>
    <w:div w:id="1636061881">
      <w:bodyDiv w:val="1"/>
      <w:marLeft w:val="0"/>
      <w:marRight w:val="0"/>
      <w:marTop w:val="0"/>
      <w:marBottom w:val="0"/>
      <w:divBdr>
        <w:top w:val="none" w:sz="0" w:space="0" w:color="auto"/>
        <w:left w:val="none" w:sz="0" w:space="0" w:color="auto"/>
        <w:bottom w:val="none" w:sz="0" w:space="0" w:color="auto"/>
        <w:right w:val="none" w:sz="0" w:space="0" w:color="auto"/>
      </w:divBdr>
    </w:div>
    <w:div w:id="1636134940">
      <w:bodyDiv w:val="1"/>
      <w:marLeft w:val="0"/>
      <w:marRight w:val="0"/>
      <w:marTop w:val="0"/>
      <w:marBottom w:val="0"/>
      <w:divBdr>
        <w:top w:val="none" w:sz="0" w:space="0" w:color="auto"/>
        <w:left w:val="none" w:sz="0" w:space="0" w:color="auto"/>
        <w:bottom w:val="none" w:sz="0" w:space="0" w:color="auto"/>
        <w:right w:val="none" w:sz="0" w:space="0" w:color="auto"/>
      </w:divBdr>
    </w:div>
    <w:div w:id="1636135099">
      <w:bodyDiv w:val="1"/>
      <w:marLeft w:val="0"/>
      <w:marRight w:val="0"/>
      <w:marTop w:val="0"/>
      <w:marBottom w:val="0"/>
      <w:divBdr>
        <w:top w:val="none" w:sz="0" w:space="0" w:color="auto"/>
        <w:left w:val="none" w:sz="0" w:space="0" w:color="auto"/>
        <w:bottom w:val="none" w:sz="0" w:space="0" w:color="auto"/>
        <w:right w:val="none" w:sz="0" w:space="0" w:color="auto"/>
      </w:divBdr>
    </w:div>
    <w:div w:id="1636256282">
      <w:bodyDiv w:val="1"/>
      <w:marLeft w:val="0"/>
      <w:marRight w:val="0"/>
      <w:marTop w:val="0"/>
      <w:marBottom w:val="0"/>
      <w:divBdr>
        <w:top w:val="none" w:sz="0" w:space="0" w:color="auto"/>
        <w:left w:val="none" w:sz="0" w:space="0" w:color="auto"/>
        <w:bottom w:val="none" w:sz="0" w:space="0" w:color="auto"/>
        <w:right w:val="none" w:sz="0" w:space="0" w:color="auto"/>
      </w:divBdr>
    </w:div>
    <w:div w:id="1636443679">
      <w:bodyDiv w:val="1"/>
      <w:marLeft w:val="0"/>
      <w:marRight w:val="0"/>
      <w:marTop w:val="0"/>
      <w:marBottom w:val="0"/>
      <w:divBdr>
        <w:top w:val="none" w:sz="0" w:space="0" w:color="auto"/>
        <w:left w:val="none" w:sz="0" w:space="0" w:color="auto"/>
        <w:bottom w:val="none" w:sz="0" w:space="0" w:color="auto"/>
        <w:right w:val="none" w:sz="0" w:space="0" w:color="auto"/>
      </w:divBdr>
    </w:div>
    <w:div w:id="1636444996">
      <w:bodyDiv w:val="1"/>
      <w:marLeft w:val="0"/>
      <w:marRight w:val="0"/>
      <w:marTop w:val="0"/>
      <w:marBottom w:val="0"/>
      <w:divBdr>
        <w:top w:val="none" w:sz="0" w:space="0" w:color="auto"/>
        <w:left w:val="none" w:sz="0" w:space="0" w:color="auto"/>
        <w:bottom w:val="none" w:sz="0" w:space="0" w:color="auto"/>
        <w:right w:val="none" w:sz="0" w:space="0" w:color="auto"/>
      </w:divBdr>
    </w:div>
    <w:div w:id="1636450700">
      <w:bodyDiv w:val="1"/>
      <w:marLeft w:val="0"/>
      <w:marRight w:val="0"/>
      <w:marTop w:val="0"/>
      <w:marBottom w:val="0"/>
      <w:divBdr>
        <w:top w:val="none" w:sz="0" w:space="0" w:color="auto"/>
        <w:left w:val="none" w:sz="0" w:space="0" w:color="auto"/>
        <w:bottom w:val="none" w:sz="0" w:space="0" w:color="auto"/>
        <w:right w:val="none" w:sz="0" w:space="0" w:color="auto"/>
      </w:divBdr>
    </w:div>
    <w:div w:id="1636566389">
      <w:bodyDiv w:val="1"/>
      <w:marLeft w:val="0"/>
      <w:marRight w:val="0"/>
      <w:marTop w:val="0"/>
      <w:marBottom w:val="0"/>
      <w:divBdr>
        <w:top w:val="none" w:sz="0" w:space="0" w:color="auto"/>
        <w:left w:val="none" w:sz="0" w:space="0" w:color="auto"/>
        <w:bottom w:val="none" w:sz="0" w:space="0" w:color="auto"/>
        <w:right w:val="none" w:sz="0" w:space="0" w:color="auto"/>
      </w:divBdr>
    </w:div>
    <w:div w:id="1636642412">
      <w:bodyDiv w:val="1"/>
      <w:marLeft w:val="0"/>
      <w:marRight w:val="0"/>
      <w:marTop w:val="0"/>
      <w:marBottom w:val="0"/>
      <w:divBdr>
        <w:top w:val="none" w:sz="0" w:space="0" w:color="auto"/>
        <w:left w:val="none" w:sz="0" w:space="0" w:color="auto"/>
        <w:bottom w:val="none" w:sz="0" w:space="0" w:color="auto"/>
        <w:right w:val="none" w:sz="0" w:space="0" w:color="auto"/>
      </w:divBdr>
    </w:div>
    <w:div w:id="1636715042">
      <w:bodyDiv w:val="1"/>
      <w:marLeft w:val="0"/>
      <w:marRight w:val="0"/>
      <w:marTop w:val="0"/>
      <w:marBottom w:val="0"/>
      <w:divBdr>
        <w:top w:val="none" w:sz="0" w:space="0" w:color="auto"/>
        <w:left w:val="none" w:sz="0" w:space="0" w:color="auto"/>
        <w:bottom w:val="none" w:sz="0" w:space="0" w:color="auto"/>
        <w:right w:val="none" w:sz="0" w:space="0" w:color="auto"/>
      </w:divBdr>
    </w:div>
    <w:div w:id="1636790052">
      <w:bodyDiv w:val="1"/>
      <w:marLeft w:val="0"/>
      <w:marRight w:val="0"/>
      <w:marTop w:val="0"/>
      <w:marBottom w:val="0"/>
      <w:divBdr>
        <w:top w:val="none" w:sz="0" w:space="0" w:color="auto"/>
        <w:left w:val="none" w:sz="0" w:space="0" w:color="auto"/>
        <w:bottom w:val="none" w:sz="0" w:space="0" w:color="auto"/>
        <w:right w:val="none" w:sz="0" w:space="0" w:color="auto"/>
      </w:divBdr>
    </w:div>
    <w:div w:id="1636829903">
      <w:bodyDiv w:val="1"/>
      <w:marLeft w:val="0"/>
      <w:marRight w:val="0"/>
      <w:marTop w:val="0"/>
      <w:marBottom w:val="0"/>
      <w:divBdr>
        <w:top w:val="none" w:sz="0" w:space="0" w:color="auto"/>
        <w:left w:val="none" w:sz="0" w:space="0" w:color="auto"/>
        <w:bottom w:val="none" w:sz="0" w:space="0" w:color="auto"/>
        <w:right w:val="none" w:sz="0" w:space="0" w:color="auto"/>
      </w:divBdr>
    </w:div>
    <w:div w:id="1636905361">
      <w:bodyDiv w:val="1"/>
      <w:marLeft w:val="0"/>
      <w:marRight w:val="0"/>
      <w:marTop w:val="0"/>
      <w:marBottom w:val="0"/>
      <w:divBdr>
        <w:top w:val="none" w:sz="0" w:space="0" w:color="auto"/>
        <w:left w:val="none" w:sz="0" w:space="0" w:color="auto"/>
        <w:bottom w:val="none" w:sz="0" w:space="0" w:color="auto"/>
        <w:right w:val="none" w:sz="0" w:space="0" w:color="auto"/>
      </w:divBdr>
    </w:div>
    <w:div w:id="1636980992">
      <w:bodyDiv w:val="1"/>
      <w:marLeft w:val="0"/>
      <w:marRight w:val="0"/>
      <w:marTop w:val="0"/>
      <w:marBottom w:val="0"/>
      <w:divBdr>
        <w:top w:val="none" w:sz="0" w:space="0" w:color="auto"/>
        <w:left w:val="none" w:sz="0" w:space="0" w:color="auto"/>
        <w:bottom w:val="none" w:sz="0" w:space="0" w:color="auto"/>
        <w:right w:val="none" w:sz="0" w:space="0" w:color="auto"/>
      </w:divBdr>
    </w:div>
    <w:div w:id="1637104023">
      <w:bodyDiv w:val="1"/>
      <w:marLeft w:val="0"/>
      <w:marRight w:val="0"/>
      <w:marTop w:val="0"/>
      <w:marBottom w:val="0"/>
      <w:divBdr>
        <w:top w:val="none" w:sz="0" w:space="0" w:color="auto"/>
        <w:left w:val="none" w:sz="0" w:space="0" w:color="auto"/>
        <w:bottom w:val="none" w:sz="0" w:space="0" w:color="auto"/>
        <w:right w:val="none" w:sz="0" w:space="0" w:color="auto"/>
      </w:divBdr>
    </w:div>
    <w:div w:id="1637106324">
      <w:bodyDiv w:val="1"/>
      <w:marLeft w:val="0"/>
      <w:marRight w:val="0"/>
      <w:marTop w:val="0"/>
      <w:marBottom w:val="0"/>
      <w:divBdr>
        <w:top w:val="none" w:sz="0" w:space="0" w:color="auto"/>
        <w:left w:val="none" w:sz="0" w:space="0" w:color="auto"/>
        <w:bottom w:val="none" w:sz="0" w:space="0" w:color="auto"/>
        <w:right w:val="none" w:sz="0" w:space="0" w:color="auto"/>
      </w:divBdr>
    </w:div>
    <w:div w:id="1637177176">
      <w:bodyDiv w:val="1"/>
      <w:marLeft w:val="0"/>
      <w:marRight w:val="0"/>
      <w:marTop w:val="0"/>
      <w:marBottom w:val="0"/>
      <w:divBdr>
        <w:top w:val="none" w:sz="0" w:space="0" w:color="auto"/>
        <w:left w:val="none" w:sz="0" w:space="0" w:color="auto"/>
        <w:bottom w:val="none" w:sz="0" w:space="0" w:color="auto"/>
        <w:right w:val="none" w:sz="0" w:space="0" w:color="auto"/>
      </w:divBdr>
    </w:div>
    <w:div w:id="1637295174">
      <w:bodyDiv w:val="1"/>
      <w:marLeft w:val="0"/>
      <w:marRight w:val="0"/>
      <w:marTop w:val="0"/>
      <w:marBottom w:val="0"/>
      <w:divBdr>
        <w:top w:val="none" w:sz="0" w:space="0" w:color="auto"/>
        <w:left w:val="none" w:sz="0" w:space="0" w:color="auto"/>
        <w:bottom w:val="none" w:sz="0" w:space="0" w:color="auto"/>
        <w:right w:val="none" w:sz="0" w:space="0" w:color="auto"/>
      </w:divBdr>
    </w:div>
    <w:div w:id="1637296311">
      <w:bodyDiv w:val="1"/>
      <w:marLeft w:val="0"/>
      <w:marRight w:val="0"/>
      <w:marTop w:val="0"/>
      <w:marBottom w:val="0"/>
      <w:divBdr>
        <w:top w:val="none" w:sz="0" w:space="0" w:color="auto"/>
        <w:left w:val="none" w:sz="0" w:space="0" w:color="auto"/>
        <w:bottom w:val="none" w:sz="0" w:space="0" w:color="auto"/>
        <w:right w:val="none" w:sz="0" w:space="0" w:color="auto"/>
      </w:divBdr>
    </w:div>
    <w:div w:id="1637419267">
      <w:bodyDiv w:val="1"/>
      <w:marLeft w:val="0"/>
      <w:marRight w:val="0"/>
      <w:marTop w:val="0"/>
      <w:marBottom w:val="0"/>
      <w:divBdr>
        <w:top w:val="none" w:sz="0" w:space="0" w:color="auto"/>
        <w:left w:val="none" w:sz="0" w:space="0" w:color="auto"/>
        <w:bottom w:val="none" w:sz="0" w:space="0" w:color="auto"/>
        <w:right w:val="none" w:sz="0" w:space="0" w:color="auto"/>
      </w:divBdr>
    </w:div>
    <w:div w:id="1637488819">
      <w:bodyDiv w:val="1"/>
      <w:marLeft w:val="0"/>
      <w:marRight w:val="0"/>
      <w:marTop w:val="0"/>
      <w:marBottom w:val="0"/>
      <w:divBdr>
        <w:top w:val="none" w:sz="0" w:space="0" w:color="auto"/>
        <w:left w:val="none" w:sz="0" w:space="0" w:color="auto"/>
        <w:bottom w:val="none" w:sz="0" w:space="0" w:color="auto"/>
        <w:right w:val="none" w:sz="0" w:space="0" w:color="auto"/>
      </w:divBdr>
    </w:div>
    <w:div w:id="1637492188">
      <w:bodyDiv w:val="1"/>
      <w:marLeft w:val="0"/>
      <w:marRight w:val="0"/>
      <w:marTop w:val="0"/>
      <w:marBottom w:val="0"/>
      <w:divBdr>
        <w:top w:val="none" w:sz="0" w:space="0" w:color="auto"/>
        <w:left w:val="none" w:sz="0" w:space="0" w:color="auto"/>
        <w:bottom w:val="none" w:sz="0" w:space="0" w:color="auto"/>
        <w:right w:val="none" w:sz="0" w:space="0" w:color="auto"/>
      </w:divBdr>
    </w:div>
    <w:div w:id="1637563807">
      <w:bodyDiv w:val="1"/>
      <w:marLeft w:val="0"/>
      <w:marRight w:val="0"/>
      <w:marTop w:val="0"/>
      <w:marBottom w:val="0"/>
      <w:divBdr>
        <w:top w:val="none" w:sz="0" w:space="0" w:color="auto"/>
        <w:left w:val="none" w:sz="0" w:space="0" w:color="auto"/>
        <w:bottom w:val="none" w:sz="0" w:space="0" w:color="auto"/>
        <w:right w:val="none" w:sz="0" w:space="0" w:color="auto"/>
      </w:divBdr>
    </w:div>
    <w:div w:id="1637564602">
      <w:bodyDiv w:val="1"/>
      <w:marLeft w:val="0"/>
      <w:marRight w:val="0"/>
      <w:marTop w:val="0"/>
      <w:marBottom w:val="0"/>
      <w:divBdr>
        <w:top w:val="none" w:sz="0" w:space="0" w:color="auto"/>
        <w:left w:val="none" w:sz="0" w:space="0" w:color="auto"/>
        <w:bottom w:val="none" w:sz="0" w:space="0" w:color="auto"/>
        <w:right w:val="none" w:sz="0" w:space="0" w:color="auto"/>
      </w:divBdr>
    </w:div>
    <w:div w:id="1637640418">
      <w:bodyDiv w:val="1"/>
      <w:marLeft w:val="0"/>
      <w:marRight w:val="0"/>
      <w:marTop w:val="0"/>
      <w:marBottom w:val="0"/>
      <w:divBdr>
        <w:top w:val="none" w:sz="0" w:space="0" w:color="auto"/>
        <w:left w:val="none" w:sz="0" w:space="0" w:color="auto"/>
        <w:bottom w:val="none" w:sz="0" w:space="0" w:color="auto"/>
        <w:right w:val="none" w:sz="0" w:space="0" w:color="auto"/>
      </w:divBdr>
    </w:div>
    <w:div w:id="1637679777">
      <w:bodyDiv w:val="1"/>
      <w:marLeft w:val="0"/>
      <w:marRight w:val="0"/>
      <w:marTop w:val="0"/>
      <w:marBottom w:val="0"/>
      <w:divBdr>
        <w:top w:val="none" w:sz="0" w:space="0" w:color="auto"/>
        <w:left w:val="none" w:sz="0" w:space="0" w:color="auto"/>
        <w:bottom w:val="none" w:sz="0" w:space="0" w:color="auto"/>
        <w:right w:val="none" w:sz="0" w:space="0" w:color="auto"/>
      </w:divBdr>
    </w:div>
    <w:div w:id="1637758031">
      <w:bodyDiv w:val="1"/>
      <w:marLeft w:val="0"/>
      <w:marRight w:val="0"/>
      <w:marTop w:val="0"/>
      <w:marBottom w:val="0"/>
      <w:divBdr>
        <w:top w:val="none" w:sz="0" w:space="0" w:color="auto"/>
        <w:left w:val="none" w:sz="0" w:space="0" w:color="auto"/>
        <w:bottom w:val="none" w:sz="0" w:space="0" w:color="auto"/>
        <w:right w:val="none" w:sz="0" w:space="0" w:color="auto"/>
      </w:divBdr>
    </w:div>
    <w:div w:id="1637879708">
      <w:bodyDiv w:val="1"/>
      <w:marLeft w:val="0"/>
      <w:marRight w:val="0"/>
      <w:marTop w:val="0"/>
      <w:marBottom w:val="0"/>
      <w:divBdr>
        <w:top w:val="none" w:sz="0" w:space="0" w:color="auto"/>
        <w:left w:val="none" w:sz="0" w:space="0" w:color="auto"/>
        <w:bottom w:val="none" w:sz="0" w:space="0" w:color="auto"/>
        <w:right w:val="none" w:sz="0" w:space="0" w:color="auto"/>
      </w:divBdr>
    </w:div>
    <w:div w:id="1637906734">
      <w:bodyDiv w:val="1"/>
      <w:marLeft w:val="0"/>
      <w:marRight w:val="0"/>
      <w:marTop w:val="0"/>
      <w:marBottom w:val="0"/>
      <w:divBdr>
        <w:top w:val="none" w:sz="0" w:space="0" w:color="auto"/>
        <w:left w:val="none" w:sz="0" w:space="0" w:color="auto"/>
        <w:bottom w:val="none" w:sz="0" w:space="0" w:color="auto"/>
        <w:right w:val="none" w:sz="0" w:space="0" w:color="auto"/>
      </w:divBdr>
    </w:div>
    <w:div w:id="1637949270">
      <w:bodyDiv w:val="1"/>
      <w:marLeft w:val="0"/>
      <w:marRight w:val="0"/>
      <w:marTop w:val="0"/>
      <w:marBottom w:val="0"/>
      <w:divBdr>
        <w:top w:val="none" w:sz="0" w:space="0" w:color="auto"/>
        <w:left w:val="none" w:sz="0" w:space="0" w:color="auto"/>
        <w:bottom w:val="none" w:sz="0" w:space="0" w:color="auto"/>
        <w:right w:val="none" w:sz="0" w:space="0" w:color="auto"/>
      </w:divBdr>
    </w:div>
    <w:div w:id="1637952589">
      <w:bodyDiv w:val="1"/>
      <w:marLeft w:val="0"/>
      <w:marRight w:val="0"/>
      <w:marTop w:val="0"/>
      <w:marBottom w:val="0"/>
      <w:divBdr>
        <w:top w:val="none" w:sz="0" w:space="0" w:color="auto"/>
        <w:left w:val="none" w:sz="0" w:space="0" w:color="auto"/>
        <w:bottom w:val="none" w:sz="0" w:space="0" w:color="auto"/>
        <w:right w:val="none" w:sz="0" w:space="0" w:color="auto"/>
      </w:divBdr>
    </w:div>
    <w:div w:id="1638023701">
      <w:bodyDiv w:val="1"/>
      <w:marLeft w:val="0"/>
      <w:marRight w:val="0"/>
      <w:marTop w:val="0"/>
      <w:marBottom w:val="0"/>
      <w:divBdr>
        <w:top w:val="none" w:sz="0" w:space="0" w:color="auto"/>
        <w:left w:val="none" w:sz="0" w:space="0" w:color="auto"/>
        <w:bottom w:val="none" w:sz="0" w:space="0" w:color="auto"/>
        <w:right w:val="none" w:sz="0" w:space="0" w:color="auto"/>
      </w:divBdr>
    </w:div>
    <w:div w:id="1638218480">
      <w:bodyDiv w:val="1"/>
      <w:marLeft w:val="0"/>
      <w:marRight w:val="0"/>
      <w:marTop w:val="0"/>
      <w:marBottom w:val="0"/>
      <w:divBdr>
        <w:top w:val="none" w:sz="0" w:space="0" w:color="auto"/>
        <w:left w:val="none" w:sz="0" w:space="0" w:color="auto"/>
        <w:bottom w:val="none" w:sz="0" w:space="0" w:color="auto"/>
        <w:right w:val="none" w:sz="0" w:space="0" w:color="auto"/>
      </w:divBdr>
    </w:div>
    <w:div w:id="1638295813">
      <w:bodyDiv w:val="1"/>
      <w:marLeft w:val="0"/>
      <w:marRight w:val="0"/>
      <w:marTop w:val="0"/>
      <w:marBottom w:val="0"/>
      <w:divBdr>
        <w:top w:val="none" w:sz="0" w:space="0" w:color="auto"/>
        <w:left w:val="none" w:sz="0" w:space="0" w:color="auto"/>
        <w:bottom w:val="none" w:sz="0" w:space="0" w:color="auto"/>
        <w:right w:val="none" w:sz="0" w:space="0" w:color="auto"/>
      </w:divBdr>
    </w:div>
    <w:div w:id="1638297789">
      <w:bodyDiv w:val="1"/>
      <w:marLeft w:val="0"/>
      <w:marRight w:val="0"/>
      <w:marTop w:val="0"/>
      <w:marBottom w:val="0"/>
      <w:divBdr>
        <w:top w:val="none" w:sz="0" w:space="0" w:color="auto"/>
        <w:left w:val="none" w:sz="0" w:space="0" w:color="auto"/>
        <w:bottom w:val="none" w:sz="0" w:space="0" w:color="auto"/>
        <w:right w:val="none" w:sz="0" w:space="0" w:color="auto"/>
      </w:divBdr>
    </w:div>
    <w:div w:id="1638414382">
      <w:bodyDiv w:val="1"/>
      <w:marLeft w:val="0"/>
      <w:marRight w:val="0"/>
      <w:marTop w:val="0"/>
      <w:marBottom w:val="0"/>
      <w:divBdr>
        <w:top w:val="none" w:sz="0" w:space="0" w:color="auto"/>
        <w:left w:val="none" w:sz="0" w:space="0" w:color="auto"/>
        <w:bottom w:val="none" w:sz="0" w:space="0" w:color="auto"/>
        <w:right w:val="none" w:sz="0" w:space="0" w:color="auto"/>
      </w:divBdr>
    </w:div>
    <w:div w:id="1638418486">
      <w:bodyDiv w:val="1"/>
      <w:marLeft w:val="0"/>
      <w:marRight w:val="0"/>
      <w:marTop w:val="0"/>
      <w:marBottom w:val="0"/>
      <w:divBdr>
        <w:top w:val="none" w:sz="0" w:space="0" w:color="auto"/>
        <w:left w:val="none" w:sz="0" w:space="0" w:color="auto"/>
        <w:bottom w:val="none" w:sz="0" w:space="0" w:color="auto"/>
        <w:right w:val="none" w:sz="0" w:space="0" w:color="auto"/>
      </w:divBdr>
    </w:div>
    <w:div w:id="1638487033">
      <w:bodyDiv w:val="1"/>
      <w:marLeft w:val="0"/>
      <w:marRight w:val="0"/>
      <w:marTop w:val="0"/>
      <w:marBottom w:val="0"/>
      <w:divBdr>
        <w:top w:val="none" w:sz="0" w:space="0" w:color="auto"/>
        <w:left w:val="none" w:sz="0" w:space="0" w:color="auto"/>
        <w:bottom w:val="none" w:sz="0" w:space="0" w:color="auto"/>
        <w:right w:val="none" w:sz="0" w:space="0" w:color="auto"/>
      </w:divBdr>
    </w:div>
    <w:div w:id="1638488651">
      <w:bodyDiv w:val="1"/>
      <w:marLeft w:val="0"/>
      <w:marRight w:val="0"/>
      <w:marTop w:val="0"/>
      <w:marBottom w:val="0"/>
      <w:divBdr>
        <w:top w:val="none" w:sz="0" w:space="0" w:color="auto"/>
        <w:left w:val="none" w:sz="0" w:space="0" w:color="auto"/>
        <w:bottom w:val="none" w:sz="0" w:space="0" w:color="auto"/>
        <w:right w:val="none" w:sz="0" w:space="0" w:color="auto"/>
      </w:divBdr>
    </w:div>
    <w:div w:id="1638493232">
      <w:bodyDiv w:val="1"/>
      <w:marLeft w:val="0"/>
      <w:marRight w:val="0"/>
      <w:marTop w:val="0"/>
      <w:marBottom w:val="0"/>
      <w:divBdr>
        <w:top w:val="none" w:sz="0" w:space="0" w:color="auto"/>
        <w:left w:val="none" w:sz="0" w:space="0" w:color="auto"/>
        <w:bottom w:val="none" w:sz="0" w:space="0" w:color="auto"/>
        <w:right w:val="none" w:sz="0" w:space="0" w:color="auto"/>
      </w:divBdr>
    </w:div>
    <w:div w:id="1638608833">
      <w:bodyDiv w:val="1"/>
      <w:marLeft w:val="0"/>
      <w:marRight w:val="0"/>
      <w:marTop w:val="0"/>
      <w:marBottom w:val="0"/>
      <w:divBdr>
        <w:top w:val="none" w:sz="0" w:space="0" w:color="auto"/>
        <w:left w:val="none" w:sz="0" w:space="0" w:color="auto"/>
        <w:bottom w:val="none" w:sz="0" w:space="0" w:color="auto"/>
        <w:right w:val="none" w:sz="0" w:space="0" w:color="auto"/>
      </w:divBdr>
    </w:div>
    <w:div w:id="1638754478">
      <w:bodyDiv w:val="1"/>
      <w:marLeft w:val="0"/>
      <w:marRight w:val="0"/>
      <w:marTop w:val="0"/>
      <w:marBottom w:val="0"/>
      <w:divBdr>
        <w:top w:val="none" w:sz="0" w:space="0" w:color="auto"/>
        <w:left w:val="none" w:sz="0" w:space="0" w:color="auto"/>
        <w:bottom w:val="none" w:sz="0" w:space="0" w:color="auto"/>
        <w:right w:val="none" w:sz="0" w:space="0" w:color="auto"/>
      </w:divBdr>
    </w:div>
    <w:div w:id="1638757521">
      <w:bodyDiv w:val="1"/>
      <w:marLeft w:val="0"/>
      <w:marRight w:val="0"/>
      <w:marTop w:val="0"/>
      <w:marBottom w:val="0"/>
      <w:divBdr>
        <w:top w:val="none" w:sz="0" w:space="0" w:color="auto"/>
        <w:left w:val="none" w:sz="0" w:space="0" w:color="auto"/>
        <w:bottom w:val="none" w:sz="0" w:space="0" w:color="auto"/>
        <w:right w:val="none" w:sz="0" w:space="0" w:color="auto"/>
      </w:divBdr>
    </w:div>
    <w:div w:id="1638800204">
      <w:bodyDiv w:val="1"/>
      <w:marLeft w:val="0"/>
      <w:marRight w:val="0"/>
      <w:marTop w:val="0"/>
      <w:marBottom w:val="0"/>
      <w:divBdr>
        <w:top w:val="none" w:sz="0" w:space="0" w:color="auto"/>
        <w:left w:val="none" w:sz="0" w:space="0" w:color="auto"/>
        <w:bottom w:val="none" w:sz="0" w:space="0" w:color="auto"/>
        <w:right w:val="none" w:sz="0" w:space="0" w:color="auto"/>
      </w:divBdr>
    </w:div>
    <w:div w:id="1638992181">
      <w:bodyDiv w:val="1"/>
      <w:marLeft w:val="0"/>
      <w:marRight w:val="0"/>
      <w:marTop w:val="0"/>
      <w:marBottom w:val="0"/>
      <w:divBdr>
        <w:top w:val="none" w:sz="0" w:space="0" w:color="auto"/>
        <w:left w:val="none" w:sz="0" w:space="0" w:color="auto"/>
        <w:bottom w:val="none" w:sz="0" w:space="0" w:color="auto"/>
        <w:right w:val="none" w:sz="0" w:space="0" w:color="auto"/>
      </w:divBdr>
    </w:div>
    <w:div w:id="1639069475">
      <w:bodyDiv w:val="1"/>
      <w:marLeft w:val="0"/>
      <w:marRight w:val="0"/>
      <w:marTop w:val="0"/>
      <w:marBottom w:val="0"/>
      <w:divBdr>
        <w:top w:val="none" w:sz="0" w:space="0" w:color="auto"/>
        <w:left w:val="none" w:sz="0" w:space="0" w:color="auto"/>
        <w:bottom w:val="none" w:sz="0" w:space="0" w:color="auto"/>
        <w:right w:val="none" w:sz="0" w:space="0" w:color="auto"/>
      </w:divBdr>
    </w:div>
    <w:div w:id="1639189446">
      <w:bodyDiv w:val="1"/>
      <w:marLeft w:val="0"/>
      <w:marRight w:val="0"/>
      <w:marTop w:val="0"/>
      <w:marBottom w:val="0"/>
      <w:divBdr>
        <w:top w:val="none" w:sz="0" w:space="0" w:color="auto"/>
        <w:left w:val="none" w:sz="0" w:space="0" w:color="auto"/>
        <w:bottom w:val="none" w:sz="0" w:space="0" w:color="auto"/>
        <w:right w:val="none" w:sz="0" w:space="0" w:color="auto"/>
      </w:divBdr>
    </w:div>
    <w:div w:id="1639191441">
      <w:bodyDiv w:val="1"/>
      <w:marLeft w:val="0"/>
      <w:marRight w:val="0"/>
      <w:marTop w:val="0"/>
      <w:marBottom w:val="0"/>
      <w:divBdr>
        <w:top w:val="none" w:sz="0" w:space="0" w:color="auto"/>
        <w:left w:val="none" w:sz="0" w:space="0" w:color="auto"/>
        <w:bottom w:val="none" w:sz="0" w:space="0" w:color="auto"/>
        <w:right w:val="none" w:sz="0" w:space="0" w:color="auto"/>
      </w:divBdr>
    </w:div>
    <w:div w:id="1639383963">
      <w:bodyDiv w:val="1"/>
      <w:marLeft w:val="0"/>
      <w:marRight w:val="0"/>
      <w:marTop w:val="0"/>
      <w:marBottom w:val="0"/>
      <w:divBdr>
        <w:top w:val="none" w:sz="0" w:space="0" w:color="auto"/>
        <w:left w:val="none" w:sz="0" w:space="0" w:color="auto"/>
        <w:bottom w:val="none" w:sz="0" w:space="0" w:color="auto"/>
        <w:right w:val="none" w:sz="0" w:space="0" w:color="auto"/>
      </w:divBdr>
    </w:div>
    <w:div w:id="1639609613">
      <w:bodyDiv w:val="1"/>
      <w:marLeft w:val="0"/>
      <w:marRight w:val="0"/>
      <w:marTop w:val="0"/>
      <w:marBottom w:val="0"/>
      <w:divBdr>
        <w:top w:val="none" w:sz="0" w:space="0" w:color="auto"/>
        <w:left w:val="none" w:sz="0" w:space="0" w:color="auto"/>
        <w:bottom w:val="none" w:sz="0" w:space="0" w:color="auto"/>
        <w:right w:val="none" w:sz="0" w:space="0" w:color="auto"/>
      </w:divBdr>
    </w:div>
    <w:div w:id="1639610650">
      <w:bodyDiv w:val="1"/>
      <w:marLeft w:val="0"/>
      <w:marRight w:val="0"/>
      <w:marTop w:val="0"/>
      <w:marBottom w:val="0"/>
      <w:divBdr>
        <w:top w:val="none" w:sz="0" w:space="0" w:color="auto"/>
        <w:left w:val="none" w:sz="0" w:space="0" w:color="auto"/>
        <w:bottom w:val="none" w:sz="0" w:space="0" w:color="auto"/>
        <w:right w:val="none" w:sz="0" w:space="0" w:color="auto"/>
      </w:divBdr>
    </w:div>
    <w:div w:id="1639720463">
      <w:bodyDiv w:val="1"/>
      <w:marLeft w:val="0"/>
      <w:marRight w:val="0"/>
      <w:marTop w:val="0"/>
      <w:marBottom w:val="0"/>
      <w:divBdr>
        <w:top w:val="none" w:sz="0" w:space="0" w:color="auto"/>
        <w:left w:val="none" w:sz="0" w:space="0" w:color="auto"/>
        <w:bottom w:val="none" w:sz="0" w:space="0" w:color="auto"/>
        <w:right w:val="none" w:sz="0" w:space="0" w:color="auto"/>
      </w:divBdr>
    </w:div>
    <w:div w:id="1639797346">
      <w:bodyDiv w:val="1"/>
      <w:marLeft w:val="0"/>
      <w:marRight w:val="0"/>
      <w:marTop w:val="0"/>
      <w:marBottom w:val="0"/>
      <w:divBdr>
        <w:top w:val="none" w:sz="0" w:space="0" w:color="auto"/>
        <w:left w:val="none" w:sz="0" w:space="0" w:color="auto"/>
        <w:bottom w:val="none" w:sz="0" w:space="0" w:color="auto"/>
        <w:right w:val="none" w:sz="0" w:space="0" w:color="auto"/>
      </w:divBdr>
    </w:div>
    <w:div w:id="1639802009">
      <w:bodyDiv w:val="1"/>
      <w:marLeft w:val="0"/>
      <w:marRight w:val="0"/>
      <w:marTop w:val="0"/>
      <w:marBottom w:val="0"/>
      <w:divBdr>
        <w:top w:val="none" w:sz="0" w:space="0" w:color="auto"/>
        <w:left w:val="none" w:sz="0" w:space="0" w:color="auto"/>
        <w:bottom w:val="none" w:sz="0" w:space="0" w:color="auto"/>
        <w:right w:val="none" w:sz="0" w:space="0" w:color="auto"/>
      </w:divBdr>
    </w:div>
    <w:div w:id="1639917465">
      <w:bodyDiv w:val="1"/>
      <w:marLeft w:val="0"/>
      <w:marRight w:val="0"/>
      <w:marTop w:val="0"/>
      <w:marBottom w:val="0"/>
      <w:divBdr>
        <w:top w:val="none" w:sz="0" w:space="0" w:color="auto"/>
        <w:left w:val="none" w:sz="0" w:space="0" w:color="auto"/>
        <w:bottom w:val="none" w:sz="0" w:space="0" w:color="auto"/>
        <w:right w:val="none" w:sz="0" w:space="0" w:color="auto"/>
      </w:divBdr>
    </w:div>
    <w:div w:id="1639988551">
      <w:bodyDiv w:val="1"/>
      <w:marLeft w:val="0"/>
      <w:marRight w:val="0"/>
      <w:marTop w:val="0"/>
      <w:marBottom w:val="0"/>
      <w:divBdr>
        <w:top w:val="none" w:sz="0" w:space="0" w:color="auto"/>
        <w:left w:val="none" w:sz="0" w:space="0" w:color="auto"/>
        <w:bottom w:val="none" w:sz="0" w:space="0" w:color="auto"/>
        <w:right w:val="none" w:sz="0" w:space="0" w:color="auto"/>
      </w:divBdr>
    </w:div>
    <w:div w:id="1639992707">
      <w:bodyDiv w:val="1"/>
      <w:marLeft w:val="0"/>
      <w:marRight w:val="0"/>
      <w:marTop w:val="0"/>
      <w:marBottom w:val="0"/>
      <w:divBdr>
        <w:top w:val="none" w:sz="0" w:space="0" w:color="auto"/>
        <w:left w:val="none" w:sz="0" w:space="0" w:color="auto"/>
        <w:bottom w:val="none" w:sz="0" w:space="0" w:color="auto"/>
        <w:right w:val="none" w:sz="0" w:space="0" w:color="auto"/>
      </w:divBdr>
    </w:div>
    <w:div w:id="1639997542">
      <w:bodyDiv w:val="1"/>
      <w:marLeft w:val="0"/>
      <w:marRight w:val="0"/>
      <w:marTop w:val="0"/>
      <w:marBottom w:val="0"/>
      <w:divBdr>
        <w:top w:val="none" w:sz="0" w:space="0" w:color="auto"/>
        <w:left w:val="none" w:sz="0" w:space="0" w:color="auto"/>
        <w:bottom w:val="none" w:sz="0" w:space="0" w:color="auto"/>
        <w:right w:val="none" w:sz="0" w:space="0" w:color="auto"/>
      </w:divBdr>
    </w:div>
    <w:div w:id="1640107238">
      <w:bodyDiv w:val="1"/>
      <w:marLeft w:val="0"/>
      <w:marRight w:val="0"/>
      <w:marTop w:val="0"/>
      <w:marBottom w:val="0"/>
      <w:divBdr>
        <w:top w:val="none" w:sz="0" w:space="0" w:color="auto"/>
        <w:left w:val="none" w:sz="0" w:space="0" w:color="auto"/>
        <w:bottom w:val="none" w:sz="0" w:space="0" w:color="auto"/>
        <w:right w:val="none" w:sz="0" w:space="0" w:color="auto"/>
      </w:divBdr>
    </w:div>
    <w:div w:id="1640112359">
      <w:bodyDiv w:val="1"/>
      <w:marLeft w:val="0"/>
      <w:marRight w:val="0"/>
      <w:marTop w:val="0"/>
      <w:marBottom w:val="0"/>
      <w:divBdr>
        <w:top w:val="none" w:sz="0" w:space="0" w:color="auto"/>
        <w:left w:val="none" w:sz="0" w:space="0" w:color="auto"/>
        <w:bottom w:val="none" w:sz="0" w:space="0" w:color="auto"/>
        <w:right w:val="none" w:sz="0" w:space="0" w:color="auto"/>
      </w:divBdr>
    </w:div>
    <w:div w:id="1640113407">
      <w:bodyDiv w:val="1"/>
      <w:marLeft w:val="0"/>
      <w:marRight w:val="0"/>
      <w:marTop w:val="0"/>
      <w:marBottom w:val="0"/>
      <w:divBdr>
        <w:top w:val="none" w:sz="0" w:space="0" w:color="auto"/>
        <w:left w:val="none" w:sz="0" w:space="0" w:color="auto"/>
        <w:bottom w:val="none" w:sz="0" w:space="0" w:color="auto"/>
        <w:right w:val="none" w:sz="0" w:space="0" w:color="auto"/>
      </w:divBdr>
    </w:div>
    <w:div w:id="1640182885">
      <w:bodyDiv w:val="1"/>
      <w:marLeft w:val="0"/>
      <w:marRight w:val="0"/>
      <w:marTop w:val="0"/>
      <w:marBottom w:val="0"/>
      <w:divBdr>
        <w:top w:val="none" w:sz="0" w:space="0" w:color="auto"/>
        <w:left w:val="none" w:sz="0" w:space="0" w:color="auto"/>
        <w:bottom w:val="none" w:sz="0" w:space="0" w:color="auto"/>
        <w:right w:val="none" w:sz="0" w:space="0" w:color="auto"/>
      </w:divBdr>
    </w:div>
    <w:div w:id="1640263534">
      <w:bodyDiv w:val="1"/>
      <w:marLeft w:val="0"/>
      <w:marRight w:val="0"/>
      <w:marTop w:val="0"/>
      <w:marBottom w:val="0"/>
      <w:divBdr>
        <w:top w:val="none" w:sz="0" w:space="0" w:color="auto"/>
        <w:left w:val="none" w:sz="0" w:space="0" w:color="auto"/>
        <w:bottom w:val="none" w:sz="0" w:space="0" w:color="auto"/>
        <w:right w:val="none" w:sz="0" w:space="0" w:color="auto"/>
      </w:divBdr>
    </w:div>
    <w:div w:id="1640302907">
      <w:bodyDiv w:val="1"/>
      <w:marLeft w:val="0"/>
      <w:marRight w:val="0"/>
      <w:marTop w:val="0"/>
      <w:marBottom w:val="0"/>
      <w:divBdr>
        <w:top w:val="none" w:sz="0" w:space="0" w:color="auto"/>
        <w:left w:val="none" w:sz="0" w:space="0" w:color="auto"/>
        <w:bottom w:val="none" w:sz="0" w:space="0" w:color="auto"/>
        <w:right w:val="none" w:sz="0" w:space="0" w:color="auto"/>
      </w:divBdr>
    </w:div>
    <w:div w:id="1640303213">
      <w:bodyDiv w:val="1"/>
      <w:marLeft w:val="0"/>
      <w:marRight w:val="0"/>
      <w:marTop w:val="0"/>
      <w:marBottom w:val="0"/>
      <w:divBdr>
        <w:top w:val="none" w:sz="0" w:space="0" w:color="auto"/>
        <w:left w:val="none" w:sz="0" w:space="0" w:color="auto"/>
        <w:bottom w:val="none" w:sz="0" w:space="0" w:color="auto"/>
        <w:right w:val="none" w:sz="0" w:space="0" w:color="auto"/>
      </w:divBdr>
    </w:div>
    <w:div w:id="1640374996">
      <w:bodyDiv w:val="1"/>
      <w:marLeft w:val="0"/>
      <w:marRight w:val="0"/>
      <w:marTop w:val="0"/>
      <w:marBottom w:val="0"/>
      <w:divBdr>
        <w:top w:val="none" w:sz="0" w:space="0" w:color="auto"/>
        <w:left w:val="none" w:sz="0" w:space="0" w:color="auto"/>
        <w:bottom w:val="none" w:sz="0" w:space="0" w:color="auto"/>
        <w:right w:val="none" w:sz="0" w:space="0" w:color="auto"/>
      </w:divBdr>
    </w:div>
    <w:div w:id="1640450655">
      <w:bodyDiv w:val="1"/>
      <w:marLeft w:val="0"/>
      <w:marRight w:val="0"/>
      <w:marTop w:val="0"/>
      <w:marBottom w:val="0"/>
      <w:divBdr>
        <w:top w:val="none" w:sz="0" w:space="0" w:color="auto"/>
        <w:left w:val="none" w:sz="0" w:space="0" w:color="auto"/>
        <w:bottom w:val="none" w:sz="0" w:space="0" w:color="auto"/>
        <w:right w:val="none" w:sz="0" w:space="0" w:color="auto"/>
      </w:divBdr>
    </w:div>
    <w:div w:id="1640453869">
      <w:bodyDiv w:val="1"/>
      <w:marLeft w:val="0"/>
      <w:marRight w:val="0"/>
      <w:marTop w:val="0"/>
      <w:marBottom w:val="0"/>
      <w:divBdr>
        <w:top w:val="none" w:sz="0" w:space="0" w:color="auto"/>
        <w:left w:val="none" w:sz="0" w:space="0" w:color="auto"/>
        <w:bottom w:val="none" w:sz="0" w:space="0" w:color="auto"/>
        <w:right w:val="none" w:sz="0" w:space="0" w:color="auto"/>
      </w:divBdr>
    </w:div>
    <w:div w:id="1640498014">
      <w:bodyDiv w:val="1"/>
      <w:marLeft w:val="0"/>
      <w:marRight w:val="0"/>
      <w:marTop w:val="0"/>
      <w:marBottom w:val="0"/>
      <w:divBdr>
        <w:top w:val="none" w:sz="0" w:space="0" w:color="auto"/>
        <w:left w:val="none" w:sz="0" w:space="0" w:color="auto"/>
        <w:bottom w:val="none" w:sz="0" w:space="0" w:color="auto"/>
        <w:right w:val="none" w:sz="0" w:space="0" w:color="auto"/>
      </w:divBdr>
    </w:div>
    <w:div w:id="1640573851">
      <w:bodyDiv w:val="1"/>
      <w:marLeft w:val="0"/>
      <w:marRight w:val="0"/>
      <w:marTop w:val="0"/>
      <w:marBottom w:val="0"/>
      <w:divBdr>
        <w:top w:val="none" w:sz="0" w:space="0" w:color="auto"/>
        <w:left w:val="none" w:sz="0" w:space="0" w:color="auto"/>
        <w:bottom w:val="none" w:sz="0" w:space="0" w:color="auto"/>
        <w:right w:val="none" w:sz="0" w:space="0" w:color="auto"/>
      </w:divBdr>
    </w:div>
    <w:div w:id="1640647877">
      <w:bodyDiv w:val="1"/>
      <w:marLeft w:val="0"/>
      <w:marRight w:val="0"/>
      <w:marTop w:val="0"/>
      <w:marBottom w:val="0"/>
      <w:divBdr>
        <w:top w:val="none" w:sz="0" w:space="0" w:color="auto"/>
        <w:left w:val="none" w:sz="0" w:space="0" w:color="auto"/>
        <w:bottom w:val="none" w:sz="0" w:space="0" w:color="auto"/>
        <w:right w:val="none" w:sz="0" w:space="0" w:color="auto"/>
      </w:divBdr>
    </w:div>
    <w:div w:id="1640843193">
      <w:bodyDiv w:val="1"/>
      <w:marLeft w:val="0"/>
      <w:marRight w:val="0"/>
      <w:marTop w:val="0"/>
      <w:marBottom w:val="0"/>
      <w:divBdr>
        <w:top w:val="none" w:sz="0" w:space="0" w:color="auto"/>
        <w:left w:val="none" w:sz="0" w:space="0" w:color="auto"/>
        <w:bottom w:val="none" w:sz="0" w:space="0" w:color="auto"/>
        <w:right w:val="none" w:sz="0" w:space="0" w:color="auto"/>
      </w:divBdr>
    </w:div>
    <w:div w:id="1640957680">
      <w:bodyDiv w:val="1"/>
      <w:marLeft w:val="0"/>
      <w:marRight w:val="0"/>
      <w:marTop w:val="0"/>
      <w:marBottom w:val="0"/>
      <w:divBdr>
        <w:top w:val="none" w:sz="0" w:space="0" w:color="auto"/>
        <w:left w:val="none" w:sz="0" w:space="0" w:color="auto"/>
        <w:bottom w:val="none" w:sz="0" w:space="0" w:color="auto"/>
        <w:right w:val="none" w:sz="0" w:space="0" w:color="auto"/>
      </w:divBdr>
    </w:div>
    <w:div w:id="1640959228">
      <w:bodyDiv w:val="1"/>
      <w:marLeft w:val="0"/>
      <w:marRight w:val="0"/>
      <w:marTop w:val="0"/>
      <w:marBottom w:val="0"/>
      <w:divBdr>
        <w:top w:val="none" w:sz="0" w:space="0" w:color="auto"/>
        <w:left w:val="none" w:sz="0" w:space="0" w:color="auto"/>
        <w:bottom w:val="none" w:sz="0" w:space="0" w:color="auto"/>
        <w:right w:val="none" w:sz="0" w:space="0" w:color="auto"/>
      </w:divBdr>
    </w:div>
    <w:div w:id="1641300798">
      <w:bodyDiv w:val="1"/>
      <w:marLeft w:val="0"/>
      <w:marRight w:val="0"/>
      <w:marTop w:val="0"/>
      <w:marBottom w:val="0"/>
      <w:divBdr>
        <w:top w:val="none" w:sz="0" w:space="0" w:color="auto"/>
        <w:left w:val="none" w:sz="0" w:space="0" w:color="auto"/>
        <w:bottom w:val="none" w:sz="0" w:space="0" w:color="auto"/>
        <w:right w:val="none" w:sz="0" w:space="0" w:color="auto"/>
      </w:divBdr>
    </w:div>
    <w:div w:id="1641378202">
      <w:bodyDiv w:val="1"/>
      <w:marLeft w:val="0"/>
      <w:marRight w:val="0"/>
      <w:marTop w:val="0"/>
      <w:marBottom w:val="0"/>
      <w:divBdr>
        <w:top w:val="none" w:sz="0" w:space="0" w:color="auto"/>
        <w:left w:val="none" w:sz="0" w:space="0" w:color="auto"/>
        <w:bottom w:val="none" w:sz="0" w:space="0" w:color="auto"/>
        <w:right w:val="none" w:sz="0" w:space="0" w:color="auto"/>
      </w:divBdr>
    </w:div>
    <w:div w:id="1641425032">
      <w:bodyDiv w:val="1"/>
      <w:marLeft w:val="0"/>
      <w:marRight w:val="0"/>
      <w:marTop w:val="0"/>
      <w:marBottom w:val="0"/>
      <w:divBdr>
        <w:top w:val="none" w:sz="0" w:space="0" w:color="auto"/>
        <w:left w:val="none" w:sz="0" w:space="0" w:color="auto"/>
        <w:bottom w:val="none" w:sz="0" w:space="0" w:color="auto"/>
        <w:right w:val="none" w:sz="0" w:space="0" w:color="auto"/>
      </w:divBdr>
    </w:div>
    <w:div w:id="1641495401">
      <w:bodyDiv w:val="1"/>
      <w:marLeft w:val="0"/>
      <w:marRight w:val="0"/>
      <w:marTop w:val="0"/>
      <w:marBottom w:val="0"/>
      <w:divBdr>
        <w:top w:val="none" w:sz="0" w:space="0" w:color="auto"/>
        <w:left w:val="none" w:sz="0" w:space="0" w:color="auto"/>
        <w:bottom w:val="none" w:sz="0" w:space="0" w:color="auto"/>
        <w:right w:val="none" w:sz="0" w:space="0" w:color="auto"/>
      </w:divBdr>
    </w:div>
    <w:div w:id="1641570231">
      <w:bodyDiv w:val="1"/>
      <w:marLeft w:val="0"/>
      <w:marRight w:val="0"/>
      <w:marTop w:val="0"/>
      <w:marBottom w:val="0"/>
      <w:divBdr>
        <w:top w:val="none" w:sz="0" w:space="0" w:color="auto"/>
        <w:left w:val="none" w:sz="0" w:space="0" w:color="auto"/>
        <w:bottom w:val="none" w:sz="0" w:space="0" w:color="auto"/>
        <w:right w:val="none" w:sz="0" w:space="0" w:color="auto"/>
      </w:divBdr>
    </w:div>
    <w:div w:id="1641689248">
      <w:bodyDiv w:val="1"/>
      <w:marLeft w:val="0"/>
      <w:marRight w:val="0"/>
      <w:marTop w:val="0"/>
      <w:marBottom w:val="0"/>
      <w:divBdr>
        <w:top w:val="none" w:sz="0" w:space="0" w:color="auto"/>
        <w:left w:val="none" w:sz="0" w:space="0" w:color="auto"/>
        <w:bottom w:val="none" w:sz="0" w:space="0" w:color="auto"/>
        <w:right w:val="none" w:sz="0" w:space="0" w:color="auto"/>
      </w:divBdr>
    </w:div>
    <w:div w:id="1641762581">
      <w:bodyDiv w:val="1"/>
      <w:marLeft w:val="0"/>
      <w:marRight w:val="0"/>
      <w:marTop w:val="0"/>
      <w:marBottom w:val="0"/>
      <w:divBdr>
        <w:top w:val="none" w:sz="0" w:space="0" w:color="auto"/>
        <w:left w:val="none" w:sz="0" w:space="0" w:color="auto"/>
        <w:bottom w:val="none" w:sz="0" w:space="0" w:color="auto"/>
        <w:right w:val="none" w:sz="0" w:space="0" w:color="auto"/>
      </w:divBdr>
    </w:div>
    <w:div w:id="1641766881">
      <w:bodyDiv w:val="1"/>
      <w:marLeft w:val="0"/>
      <w:marRight w:val="0"/>
      <w:marTop w:val="0"/>
      <w:marBottom w:val="0"/>
      <w:divBdr>
        <w:top w:val="none" w:sz="0" w:space="0" w:color="auto"/>
        <w:left w:val="none" w:sz="0" w:space="0" w:color="auto"/>
        <w:bottom w:val="none" w:sz="0" w:space="0" w:color="auto"/>
        <w:right w:val="none" w:sz="0" w:space="0" w:color="auto"/>
      </w:divBdr>
    </w:div>
    <w:div w:id="1642347553">
      <w:bodyDiv w:val="1"/>
      <w:marLeft w:val="0"/>
      <w:marRight w:val="0"/>
      <w:marTop w:val="0"/>
      <w:marBottom w:val="0"/>
      <w:divBdr>
        <w:top w:val="none" w:sz="0" w:space="0" w:color="auto"/>
        <w:left w:val="none" w:sz="0" w:space="0" w:color="auto"/>
        <w:bottom w:val="none" w:sz="0" w:space="0" w:color="auto"/>
        <w:right w:val="none" w:sz="0" w:space="0" w:color="auto"/>
      </w:divBdr>
    </w:div>
    <w:div w:id="1642417703">
      <w:bodyDiv w:val="1"/>
      <w:marLeft w:val="0"/>
      <w:marRight w:val="0"/>
      <w:marTop w:val="0"/>
      <w:marBottom w:val="0"/>
      <w:divBdr>
        <w:top w:val="none" w:sz="0" w:space="0" w:color="auto"/>
        <w:left w:val="none" w:sz="0" w:space="0" w:color="auto"/>
        <w:bottom w:val="none" w:sz="0" w:space="0" w:color="auto"/>
        <w:right w:val="none" w:sz="0" w:space="0" w:color="auto"/>
      </w:divBdr>
    </w:div>
    <w:div w:id="1642419730">
      <w:bodyDiv w:val="1"/>
      <w:marLeft w:val="0"/>
      <w:marRight w:val="0"/>
      <w:marTop w:val="0"/>
      <w:marBottom w:val="0"/>
      <w:divBdr>
        <w:top w:val="none" w:sz="0" w:space="0" w:color="auto"/>
        <w:left w:val="none" w:sz="0" w:space="0" w:color="auto"/>
        <w:bottom w:val="none" w:sz="0" w:space="0" w:color="auto"/>
        <w:right w:val="none" w:sz="0" w:space="0" w:color="auto"/>
      </w:divBdr>
    </w:div>
    <w:div w:id="1642423008">
      <w:bodyDiv w:val="1"/>
      <w:marLeft w:val="0"/>
      <w:marRight w:val="0"/>
      <w:marTop w:val="0"/>
      <w:marBottom w:val="0"/>
      <w:divBdr>
        <w:top w:val="none" w:sz="0" w:space="0" w:color="auto"/>
        <w:left w:val="none" w:sz="0" w:space="0" w:color="auto"/>
        <w:bottom w:val="none" w:sz="0" w:space="0" w:color="auto"/>
        <w:right w:val="none" w:sz="0" w:space="0" w:color="auto"/>
      </w:divBdr>
    </w:div>
    <w:div w:id="1642728267">
      <w:bodyDiv w:val="1"/>
      <w:marLeft w:val="0"/>
      <w:marRight w:val="0"/>
      <w:marTop w:val="0"/>
      <w:marBottom w:val="0"/>
      <w:divBdr>
        <w:top w:val="none" w:sz="0" w:space="0" w:color="auto"/>
        <w:left w:val="none" w:sz="0" w:space="0" w:color="auto"/>
        <w:bottom w:val="none" w:sz="0" w:space="0" w:color="auto"/>
        <w:right w:val="none" w:sz="0" w:space="0" w:color="auto"/>
      </w:divBdr>
    </w:div>
    <w:div w:id="1642879379">
      <w:bodyDiv w:val="1"/>
      <w:marLeft w:val="0"/>
      <w:marRight w:val="0"/>
      <w:marTop w:val="0"/>
      <w:marBottom w:val="0"/>
      <w:divBdr>
        <w:top w:val="none" w:sz="0" w:space="0" w:color="auto"/>
        <w:left w:val="none" w:sz="0" w:space="0" w:color="auto"/>
        <w:bottom w:val="none" w:sz="0" w:space="0" w:color="auto"/>
        <w:right w:val="none" w:sz="0" w:space="0" w:color="auto"/>
      </w:divBdr>
    </w:div>
    <w:div w:id="1642882235">
      <w:bodyDiv w:val="1"/>
      <w:marLeft w:val="0"/>
      <w:marRight w:val="0"/>
      <w:marTop w:val="0"/>
      <w:marBottom w:val="0"/>
      <w:divBdr>
        <w:top w:val="none" w:sz="0" w:space="0" w:color="auto"/>
        <w:left w:val="none" w:sz="0" w:space="0" w:color="auto"/>
        <w:bottom w:val="none" w:sz="0" w:space="0" w:color="auto"/>
        <w:right w:val="none" w:sz="0" w:space="0" w:color="auto"/>
      </w:divBdr>
    </w:div>
    <w:div w:id="1642925466">
      <w:bodyDiv w:val="1"/>
      <w:marLeft w:val="0"/>
      <w:marRight w:val="0"/>
      <w:marTop w:val="0"/>
      <w:marBottom w:val="0"/>
      <w:divBdr>
        <w:top w:val="none" w:sz="0" w:space="0" w:color="auto"/>
        <w:left w:val="none" w:sz="0" w:space="0" w:color="auto"/>
        <w:bottom w:val="none" w:sz="0" w:space="0" w:color="auto"/>
        <w:right w:val="none" w:sz="0" w:space="0" w:color="auto"/>
      </w:divBdr>
    </w:div>
    <w:div w:id="1642925832">
      <w:bodyDiv w:val="1"/>
      <w:marLeft w:val="0"/>
      <w:marRight w:val="0"/>
      <w:marTop w:val="0"/>
      <w:marBottom w:val="0"/>
      <w:divBdr>
        <w:top w:val="none" w:sz="0" w:space="0" w:color="auto"/>
        <w:left w:val="none" w:sz="0" w:space="0" w:color="auto"/>
        <w:bottom w:val="none" w:sz="0" w:space="0" w:color="auto"/>
        <w:right w:val="none" w:sz="0" w:space="0" w:color="auto"/>
      </w:divBdr>
    </w:div>
    <w:div w:id="1643002275">
      <w:bodyDiv w:val="1"/>
      <w:marLeft w:val="0"/>
      <w:marRight w:val="0"/>
      <w:marTop w:val="0"/>
      <w:marBottom w:val="0"/>
      <w:divBdr>
        <w:top w:val="none" w:sz="0" w:space="0" w:color="auto"/>
        <w:left w:val="none" w:sz="0" w:space="0" w:color="auto"/>
        <w:bottom w:val="none" w:sz="0" w:space="0" w:color="auto"/>
        <w:right w:val="none" w:sz="0" w:space="0" w:color="auto"/>
      </w:divBdr>
    </w:div>
    <w:div w:id="1643072886">
      <w:bodyDiv w:val="1"/>
      <w:marLeft w:val="0"/>
      <w:marRight w:val="0"/>
      <w:marTop w:val="0"/>
      <w:marBottom w:val="0"/>
      <w:divBdr>
        <w:top w:val="none" w:sz="0" w:space="0" w:color="auto"/>
        <w:left w:val="none" w:sz="0" w:space="0" w:color="auto"/>
        <w:bottom w:val="none" w:sz="0" w:space="0" w:color="auto"/>
        <w:right w:val="none" w:sz="0" w:space="0" w:color="auto"/>
      </w:divBdr>
    </w:div>
    <w:div w:id="1643073504">
      <w:bodyDiv w:val="1"/>
      <w:marLeft w:val="0"/>
      <w:marRight w:val="0"/>
      <w:marTop w:val="0"/>
      <w:marBottom w:val="0"/>
      <w:divBdr>
        <w:top w:val="none" w:sz="0" w:space="0" w:color="auto"/>
        <w:left w:val="none" w:sz="0" w:space="0" w:color="auto"/>
        <w:bottom w:val="none" w:sz="0" w:space="0" w:color="auto"/>
        <w:right w:val="none" w:sz="0" w:space="0" w:color="auto"/>
      </w:divBdr>
    </w:div>
    <w:div w:id="1643147448">
      <w:bodyDiv w:val="1"/>
      <w:marLeft w:val="0"/>
      <w:marRight w:val="0"/>
      <w:marTop w:val="0"/>
      <w:marBottom w:val="0"/>
      <w:divBdr>
        <w:top w:val="none" w:sz="0" w:space="0" w:color="auto"/>
        <w:left w:val="none" w:sz="0" w:space="0" w:color="auto"/>
        <w:bottom w:val="none" w:sz="0" w:space="0" w:color="auto"/>
        <w:right w:val="none" w:sz="0" w:space="0" w:color="auto"/>
      </w:divBdr>
    </w:div>
    <w:div w:id="1643151352">
      <w:bodyDiv w:val="1"/>
      <w:marLeft w:val="0"/>
      <w:marRight w:val="0"/>
      <w:marTop w:val="0"/>
      <w:marBottom w:val="0"/>
      <w:divBdr>
        <w:top w:val="none" w:sz="0" w:space="0" w:color="auto"/>
        <w:left w:val="none" w:sz="0" w:space="0" w:color="auto"/>
        <w:bottom w:val="none" w:sz="0" w:space="0" w:color="auto"/>
        <w:right w:val="none" w:sz="0" w:space="0" w:color="auto"/>
      </w:divBdr>
    </w:div>
    <w:div w:id="1643315364">
      <w:bodyDiv w:val="1"/>
      <w:marLeft w:val="0"/>
      <w:marRight w:val="0"/>
      <w:marTop w:val="0"/>
      <w:marBottom w:val="0"/>
      <w:divBdr>
        <w:top w:val="none" w:sz="0" w:space="0" w:color="auto"/>
        <w:left w:val="none" w:sz="0" w:space="0" w:color="auto"/>
        <w:bottom w:val="none" w:sz="0" w:space="0" w:color="auto"/>
        <w:right w:val="none" w:sz="0" w:space="0" w:color="auto"/>
      </w:divBdr>
    </w:div>
    <w:div w:id="1643651428">
      <w:bodyDiv w:val="1"/>
      <w:marLeft w:val="0"/>
      <w:marRight w:val="0"/>
      <w:marTop w:val="0"/>
      <w:marBottom w:val="0"/>
      <w:divBdr>
        <w:top w:val="none" w:sz="0" w:space="0" w:color="auto"/>
        <w:left w:val="none" w:sz="0" w:space="0" w:color="auto"/>
        <w:bottom w:val="none" w:sz="0" w:space="0" w:color="auto"/>
        <w:right w:val="none" w:sz="0" w:space="0" w:color="auto"/>
      </w:divBdr>
    </w:div>
    <w:div w:id="1643651862">
      <w:bodyDiv w:val="1"/>
      <w:marLeft w:val="0"/>
      <w:marRight w:val="0"/>
      <w:marTop w:val="0"/>
      <w:marBottom w:val="0"/>
      <w:divBdr>
        <w:top w:val="none" w:sz="0" w:space="0" w:color="auto"/>
        <w:left w:val="none" w:sz="0" w:space="0" w:color="auto"/>
        <w:bottom w:val="none" w:sz="0" w:space="0" w:color="auto"/>
        <w:right w:val="none" w:sz="0" w:space="0" w:color="auto"/>
      </w:divBdr>
    </w:div>
    <w:div w:id="1643728824">
      <w:bodyDiv w:val="1"/>
      <w:marLeft w:val="0"/>
      <w:marRight w:val="0"/>
      <w:marTop w:val="0"/>
      <w:marBottom w:val="0"/>
      <w:divBdr>
        <w:top w:val="none" w:sz="0" w:space="0" w:color="auto"/>
        <w:left w:val="none" w:sz="0" w:space="0" w:color="auto"/>
        <w:bottom w:val="none" w:sz="0" w:space="0" w:color="auto"/>
        <w:right w:val="none" w:sz="0" w:space="0" w:color="auto"/>
      </w:divBdr>
    </w:div>
    <w:div w:id="1643847946">
      <w:bodyDiv w:val="1"/>
      <w:marLeft w:val="0"/>
      <w:marRight w:val="0"/>
      <w:marTop w:val="0"/>
      <w:marBottom w:val="0"/>
      <w:divBdr>
        <w:top w:val="none" w:sz="0" w:space="0" w:color="auto"/>
        <w:left w:val="none" w:sz="0" w:space="0" w:color="auto"/>
        <w:bottom w:val="none" w:sz="0" w:space="0" w:color="auto"/>
        <w:right w:val="none" w:sz="0" w:space="0" w:color="auto"/>
      </w:divBdr>
    </w:div>
    <w:div w:id="1643849747">
      <w:bodyDiv w:val="1"/>
      <w:marLeft w:val="0"/>
      <w:marRight w:val="0"/>
      <w:marTop w:val="0"/>
      <w:marBottom w:val="0"/>
      <w:divBdr>
        <w:top w:val="none" w:sz="0" w:space="0" w:color="auto"/>
        <w:left w:val="none" w:sz="0" w:space="0" w:color="auto"/>
        <w:bottom w:val="none" w:sz="0" w:space="0" w:color="auto"/>
        <w:right w:val="none" w:sz="0" w:space="0" w:color="auto"/>
      </w:divBdr>
    </w:div>
    <w:div w:id="1643851759">
      <w:bodyDiv w:val="1"/>
      <w:marLeft w:val="0"/>
      <w:marRight w:val="0"/>
      <w:marTop w:val="0"/>
      <w:marBottom w:val="0"/>
      <w:divBdr>
        <w:top w:val="none" w:sz="0" w:space="0" w:color="auto"/>
        <w:left w:val="none" w:sz="0" w:space="0" w:color="auto"/>
        <w:bottom w:val="none" w:sz="0" w:space="0" w:color="auto"/>
        <w:right w:val="none" w:sz="0" w:space="0" w:color="auto"/>
      </w:divBdr>
    </w:div>
    <w:div w:id="1643852454">
      <w:bodyDiv w:val="1"/>
      <w:marLeft w:val="0"/>
      <w:marRight w:val="0"/>
      <w:marTop w:val="0"/>
      <w:marBottom w:val="0"/>
      <w:divBdr>
        <w:top w:val="none" w:sz="0" w:space="0" w:color="auto"/>
        <w:left w:val="none" w:sz="0" w:space="0" w:color="auto"/>
        <w:bottom w:val="none" w:sz="0" w:space="0" w:color="auto"/>
        <w:right w:val="none" w:sz="0" w:space="0" w:color="auto"/>
      </w:divBdr>
    </w:div>
    <w:div w:id="1643998393">
      <w:bodyDiv w:val="1"/>
      <w:marLeft w:val="0"/>
      <w:marRight w:val="0"/>
      <w:marTop w:val="0"/>
      <w:marBottom w:val="0"/>
      <w:divBdr>
        <w:top w:val="none" w:sz="0" w:space="0" w:color="auto"/>
        <w:left w:val="none" w:sz="0" w:space="0" w:color="auto"/>
        <w:bottom w:val="none" w:sz="0" w:space="0" w:color="auto"/>
        <w:right w:val="none" w:sz="0" w:space="0" w:color="auto"/>
      </w:divBdr>
    </w:div>
    <w:div w:id="1644039108">
      <w:bodyDiv w:val="1"/>
      <w:marLeft w:val="0"/>
      <w:marRight w:val="0"/>
      <w:marTop w:val="0"/>
      <w:marBottom w:val="0"/>
      <w:divBdr>
        <w:top w:val="none" w:sz="0" w:space="0" w:color="auto"/>
        <w:left w:val="none" w:sz="0" w:space="0" w:color="auto"/>
        <w:bottom w:val="none" w:sz="0" w:space="0" w:color="auto"/>
        <w:right w:val="none" w:sz="0" w:space="0" w:color="auto"/>
      </w:divBdr>
    </w:div>
    <w:div w:id="1644043486">
      <w:bodyDiv w:val="1"/>
      <w:marLeft w:val="0"/>
      <w:marRight w:val="0"/>
      <w:marTop w:val="0"/>
      <w:marBottom w:val="0"/>
      <w:divBdr>
        <w:top w:val="none" w:sz="0" w:space="0" w:color="auto"/>
        <w:left w:val="none" w:sz="0" w:space="0" w:color="auto"/>
        <w:bottom w:val="none" w:sz="0" w:space="0" w:color="auto"/>
        <w:right w:val="none" w:sz="0" w:space="0" w:color="auto"/>
      </w:divBdr>
    </w:div>
    <w:div w:id="1644120979">
      <w:bodyDiv w:val="1"/>
      <w:marLeft w:val="0"/>
      <w:marRight w:val="0"/>
      <w:marTop w:val="0"/>
      <w:marBottom w:val="0"/>
      <w:divBdr>
        <w:top w:val="none" w:sz="0" w:space="0" w:color="auto"/>
        <w:left w:val="none" w:sz="0" w:space="0" w:color="auto"/>
        <w:bottom w:val="none" w:sz="0" w:space="0" w:color="auto"/>
        <w:right w:val="none" w:sz="0" w:space="0" w:color="auto"/>
      </w:divBdr>
    </w:div>
    <w:div w:id="1644189569">
      <w:bodyDiv w:val="1"/>
      <w:marLeft w:val="0"/>
      <w:marRight w:val="0"/>
      <w:marTop w:val="0"/>
      <w:marBottom w:val="0"/>
      <w:divBdr>
        <w:top w:val="none" w:sz="0" w:space="0" w:color="auto"/>
        <w:left w:val="none" w:sz="0" w:space="0" w:color="auto"/>
        <w:bottom w:val="none" w:sz="0" w:space="0" w:color="auto"/>
        <w:right w:val="none" w:sz="0" w:space="0" w:color="auto"/>
      </w:divBdr>
    </w:div>
    <w:div w:id="1644236752">
      <w:bodyDiv w:val="1"/>
      <w:marLeft w:val="0"/>
      <w:marRight w:val="0"/>
      <w:marTop w:val="0"/>
      <w:marBottom w:val="0"/>
      <w:divBdr>
        <w:top w:val="none" w:sz="0" w:space="0" w:color="auto"/>
        <w:left w:val="none" w:sz="0" w:space="0" w:color="auto"/>
        <w:bottom w:val="none" w:sz="0" w:space="0" w:color="auto"/>
        <w:right w:val="none" w:sz="0" w:space="0" w:color="auto"/>
      </w:divBdr>
    </w:div>
    <w:div w:id="1644311786">
      <w:bodyDiv w:val="1"/>
      <w:marLeft w:val="0"/>
      <w:marRight w:val="0"/>
      <w:marTop w:val="0"/>
      <w:marBottom w:val="0"/>
      <w:divBdr>
        <w:top w:val="none" w:sz="0" w:space="0" w:color="auto"/>
        <w:left w:val="none" w:sz="0" w:space="0" w:color="auto"/>
        <w:bottom w:val="none" w:sz="0" w:space="0" w:color="auto"/>
        <w:right w:val="none" w:sz="0" w:space="0" w:color="auto"/>
      </w:divBdr>
    </w:div>
    <w:div w:id="1644314576">
      <w:bodyDiv w:val="1"/>
      <w:marLeft w:val="0"/>
      <w:marRight w:val="0"/>
      <w:marTop w:val="0"/>
      <w:marBottom w:val="0"/>
      <w:divBdr>
        <w:top w:val="none" w:sz="0" w:space="0" w:color="auto"/>
        <w:left w:val="none" w:sz="0" w:space="0" w:color="auto"/>
        <w:bottom w:val="none" w:sz="0" w:space="0" w:color="auto"/>
        <w:right w:val="none" w:sz="0" w:space="0" w:color="auto"/>
      </w:divBdr>
    </w:div>
    <w:div w:id="1644383598">
      <w:bodyDiv w:val="1"/>
      <w:marLeft w:val="0"/>
      <w:marRight w:val="0"/>
      <w:marTop w:val="0"/>
      <w:marBottom w:val="0"/>
      <w:divBdr>
        <w:top w:val="none" w:sz="0" w:space="0" w:color="auto"/>
        <w:left w:val="none" w:sz="0" w:space="0" w:color="auto"/>
        <w:bottom w:val="none" w:sz="0" w:space="0" w:color="auto"/>
        <w:right w:val="none" w:sz="0" w:space="0" w:color="auto"/>
      </w:divBdr>
    </w:div>
    <w:div w:id="1644433710">
      <w:bodyDiv w:val="1"/>
      <w:marLeft w:val="0"/>
      <w:marRight w:val="0"/>
      <w:marTop w:val="0"/>
      <w:marBottom w:val="0"/>
      <w:divBdr>
        <w:top w:val="none" w:sz="0" w:space="0" w:color="auto"/>
        <w:left w:val="none" w:sz="0" w:space="0" w:color="auto"/>
        <w:bottom w:val="none" w:sz="0" w:space="0" w:color="auto"/>
        <w:right w:val="none" w:sz="0" w:space="0" w:color="auto"/>
      </w:divBdr>
    </w:div>
    <w:div w:id="1644499648">
      <w:bodyDiv w:val="1"/>
      <w:marLeft w:val="0"/>
      <w:marRight w:val="0"/>
      <w:marTop w:val="0"/>
      <w:marBottom w:val="0"/>
      <w:divBdr>
        <w:top w:val="none" w:sz="0" w:space="0" w:color="auto"/>
        <w:left w:val="none" w:sz="0" w:space="0" w:color="auto"/>
        <w:bottom w:val="none" w:sz="0" w:space="0" w:color="auto"/>
        <w:right w:val="none" w:sz="0" w:space="0" w:color="auto"/>
      </w:divBdr>
    </w:div>
    <w:div w:id="1644505189">
      <w:bodyDiv w:val="1"/>
      <w:marLeft w:val="0"/>
      <w:marRight w:val="0"/>
      <w:marTop w:val="0"/>
      <w:marBottom w:val="0"/>
      <w:divBdr>
        <w:top w:val="none" w:sz="0" w:space="0" w:color="auto"/>
        <w:left w:val="none" w:sz="0" w:space="0" w:color="auto"/>
        <w:bottom w:val="none" w:sz="0" w:space="0" w:color="auto"/>
        <w:right w:val="none" w:sz="0" w:space="0" w:color="auto"/>
      </w:divBdr>
    </w:div>
    <w:div w:id="1644888589">
      <w:bodyDiv w:val="1"/>
      <w:marLeft w:val="0"/>
      <w:marRight w:val="0"/>
      <w:marTop w:val="0"/>
      <w:marBottom w:val="0"/>
      <w:divBdr>
        <w:top w:val="none" w:sz="0" w:space="0" w:color="auto"/>
        <w:left w:val="none" w:sz="0" w:space="0" w:color="auto"/>
        <w:bottom w:val="none" w:sz="0" w:space="0" w:color="auto"/>
        <w:right w:val="none" w:sz="0" w:space="0" w:color="auto"/>
      </w:divBdr>
    </w:div>
    <w:div w:id="1644889727">
      <w:bodyDiv w:val="1"/>
      <w:marLeft w:val="0"/>
      <w:marRight w:val="0"/>
      <w:marTop w:val="0"/>
      <w:marBottom w:val="0"/>
      <w:divBdr>
        <w:top w:val="none" w:sz="0" w:space="0" w:color="auto"/>
        <w:left w:val="none" w:sz="0" w:space="0" w:color="auto"/>
        <w:bottom w:val="none" w:sz="0" w:space="0" w:color="auto"/>
        <w:right w:val="none" w:sz="0" w:space="0" w:color="auto"/>
      </w:divBdr>
    </w:div>
    <w:div w:id="1645042227">
      <w:bodyDiv w:val="1"/>
      <w:marLeft w:val="0"/>
      <w:marRight w:val="0"/>
      <w:marTop w:val="0"/>
      <w:marBottom w:val="0"/>
      <w:divBdr>
        <w:top w:val="none" w:sz="0" w:space="0" w:color="auto"/>
        <w:left w:val="none" w:sz="0" w:space="0" w:color="auto"/>
        <w:bottom w:val="none" w:sz="0" w:space="0" w:color="auto"/>
        <w:right w:val="none" w:sz="0" w:space="0" w:color="auto"/>
      </w:divBdr>
    </w:div>
    <w:div w:id="1645085506">
      <w:bodyDiv w:val="1"/>
      <w:marLeft w:val="0"/>
      <w:marRight w:val="0"/>
      <w:marTop w:val="0"/>
      <w:marBottom w:val="0"/>
      <w:divBdr>
        <w:top w:val="none" w:sz="0" w:space="0" w:color="auto"/>
        <w:left w:val="none" w:sz="0" w:space="0" w:color="auto"/>
        <w:bottom w:val="none" w:sz="0" w:space="0" w:color="auto"/>
        <w:right w:val="none" w:sz="0" w:space="0" w:color="auto"/>
      </w:divBdr>
    </w:div>
    <w:div w:id="1645113905">
      <w:bodyDiv w:val="1"/>
      <w:marLeft w:val="0"/>
      <w:marRight w:val="0"/>
      <w:marTop w:val="0"/>
      <w:marBottom w:val="0"/>
      <w:divBdr>
        <w:top w:val="none" w:sz="0" w:space="0" w:color="auto"/>
        <w:left w:val="none" w:sz="0" w:space="0" w:color="auto"/>
        <w:bottom w:val="none" w:sz="0" w:space="0" w:color="auto"/>
        <w:right w:val="none" w:sz="0" w:space="0" w:color="auto"/>
      </w:divBdr>
    </w:div>
    <w:div w:id="1645230716">
      <w:bodyDiv w:val="1"/>
      <w:marLeft w:val="0"/>
      <w:marRight w:val="0"/>
      <w:marTop w:val="0"/>
      <w:marBottom w:val="0"/>
      <w:divBdr>
        <w:top w:val="none" w:sz="0" w:space="0" w:color="auto"/>
        <w:left w:val="none" w:sz="0" w:space="0" w:color="auto"/>
        <w:bottom w:val="none" w:sz="0" w:space="0" w:color="auto"/>
        <w:right w:val="none" w:sz="0" w:space="0" w:color="auto"/>
      </w:divBdr>
    </w:div>
    <w:div w:id="1645281539">
      <w:bodyDiv w:val="1"/>
      <w:marLeft w:val="0"/>
      <w:marRight w:val="0"/>
      <w:marTop w:val="0"/>
      <w:marBottom w:val="0"/>
      <w:divBdr>
        <w:top w:val="none" w:sz="0" w:space="0" w:color="auto"/>
        <w:left w:val="none" w:sz="0" w:space="0" w:color="auto"/>
        <w:bottom w:val="none" w:sz="0" w:space="0" w:color="auto"/>
        <w:right w:val="none" w:sz="0" w:space="0" w:color="auto"/>
      </w:divBdr>
    </w:div>
    <w:div w:id="1645350272">
      <w:bodyDiv w:val="1"/>
      <w:marLeft w:val="0"/>
      <w:marRight w:val="0"/>
      <w:marTop w:val="0"/>
      <w:marBottom w:val="0"/>
      <w:divBdr>
        <w:top w:val="none" w:sz="0" w:space="0" w:color="auto"/>
        <w:left w:val="none" w:sz="0" w:space="0" w:color="auto"/>
        <w:bottom w:val="none" w:sz="0" w:space="0" w:color="auto"/>
        <w:right w:val="none" w:sz="0" w:space="0" w:color="auto"/>
      </w:divBdr>
    </w:div>
    <w:div w:id="1645353162">
      <w:bodyDiv w:val="1"/>
      <w:marLeft w:val="0"/>
      <w:marRight w:val="0"/>
      <w:marTop w:val="0"/>
      <w:marBottom w:val="0"/>
      <w:divBdr>
        <w:top w:val="none" w:sz="0" w:space="0" w:color="auto"/>
        <w:left w:val="none" w:sz="0" w:space="0" w:color="auto"/>
        <w:bottom w:val="none" w:sz="0" w:space="0" w:color="auto"/>
        <w:right w:val="none" w:sz="0" w:space="0" w:color="auto"/>
      </w:divBdr>
    </w:div>
    <w:div w:id="1645550914">
      <w:bodyDiv w:val="1"/>
      <w:marLeft w:val="0"/>
      <w:marRight w:val="0"/>
      <w:marTop w:val="0"/>
      <w:marBottom w:val="0"/>
      <w:divBdr>
        <w:top w:val="none" w:sz="0" w:space="0" w:color="auto"/>
        <w:left w:val="none" w:sz="0" w:space="0" w:color="auto"/>
        <w:bottom w:val="none" w:sz="0" w:space="0" w:color="auto"/>
        <w:right w:val="none" w:sz="0" w:space="0" w:color="auto"/>
      </w:divBdr>
    </w:div>
    <w:div w:id="1645575517">
      <w:bodyDiv w:val="1"/>
      <w:marLeft w:val="0"/>
      <w:marRight w:val="0"/>
      <w:marTop w:val="0"/>
      <w:marBottom w:val="0"/>
      <w:divBdr>
        <w:top w:val="none" w:sz="0" w:space="0" w:color="auto"/>
        <w:left w:val="none" w:sz="0" w:space="0" w:color="auto"/>
        <w:bottom w:val="none" w:sz="0" w:space="0" w:color="auto"/>
        <w:right w:val="none" w:sz="0" w:space="0" w:color="auto"/>
      </w:divBdr>
    </w:div>
    <w:div w:id="1645695706">
      <w:bodyDiv w:val="1"/>
      <w:marLeft w:val="0"/>
      <w:marRight w:val="0"/>
      <w:marTop w:val="0"/>
      <w:marBottom w:val="0"/>
      <w:divBdr>
        <w:top w:val="none" w:sz="0" w:space="0" w:color="auto"/>
        <w:left w:val="none" w:sz="0" w:space="0" w:color="auto"/>
        <w:bottom w:val="none" w:sz="0" w:space="0" w:color="auto"/>
        <w:right w:val="none" w:sz="0" w:space="0" w:color="auto"/>
      </w:divBdr>
    </w:div>
    <w:div w:id="1645695824">
      <w:bodyDiv w:val="1"/>
      <w:marLeft w:val="0"/>
      <w:marRight w:val="0"/>
      <w:marTop w:val="0"/>
      <w:marBottom w:val="0"/>
      <w:divBdr>
        <w:top w:val="none" w:sz="0" w:space="0" w:color="auto"/>
        <w:left w:val="none" w:sz="0" w:space="0" w:color="auto"/>
        <w:bottom w:val="none" w:sz="0" w:space="0" w:color="auto"/>
        <w:right w:val="none" w:sz="0" w:space="0" w:color="auto"/>
      </w:divBdr>
    </w:div>
    <w:div w:id="1645700516">
      <w:bodyDiv w:val="1"/>
      <w:marLeft w:val="0"/>
      <w:marRight w:val="0"/>
      <w:marTop w:val="0"/>
      <w:marBottom w:val="0"/>
      <w:divBdr>
        <w:top w:val="none" w:sz="0" w:space="0" w:color="auto"/>
        <w:left w:val="none" w:sz="0" w:space="0" w:color="auto"/>
        <w:bottom w:val="none" w:sz="0" w:space="0" w:color="auto"/>
        <w:right w:val="none" w:sz="0" w:space="0" w:color="auto"/>
      </w:divBdr>
    </w:div>
    <w:div w:id="1645701298">
      <w:bodyDiv w:val="1"/>
      <w:marLeft w:val="0"/>
      <w:marRight w:val="0"/>
      <w:marTop w:val="0"/>
      <w:marBottom w:val="0"/>
      <w:divBdr>
        <w:top w:val="none" w:sz="0" w:space="0" w:color="auto"/>
        <w:left w:val="none" w:sz="0" w:space="0" w:color="auto"/>
        <w:bottom w:val="none" w:sz="0" w:space="0" w:color="auto"/>
        <w:right w:val="none" w:sz="0" w:space="0" w:color="auto"/>
      </w:divBdr>
    </w:div>
    <w:div w:id="1645814448">
      <w:bodyDiv w:val="1"/>
      <w:marLeft w:val="0"/>
      <w:marRight w:val="0"/>
      <w:marTop w:val="0"/>
      <w:marBottom w:val="0"/>
      <w:divBdr>
        <w:top w:val="none" w:sz="0" w:space="0" w:color="auto"/>
        <w:left w:val="none" w:sz="0" w:space="0" w:color="auto"/>
        <w:bottom w:val="none" w:sz="0" w:space="0" w:color="auto"/>
        <w:right w:val="none" w:sz="0" w:space="0" w:color="auto"/>
      </w:divBdr>
    </w:div>
    <w:div w:id="1645818486">
      <w:bodyDiv w:val="1"/>
      <w:marLeft w:val="0"/>
      <w:marRight w:val="0"/>
      <w:marTop w:val="0"/>
      <w:marBottom w:val="0"/>
      <w:divBdr>
        <w:top w:val="none" w:sz="0" w:space="0" w:color="auto"/>
        <w:left w:val="none" w:sz="0" w:space="0" w:color="auto"/>
        <w:bottom w:val="none" w:sz="0" w:space="0" w:color="auto"/>
        <w:right w:val="none" w:sz="0" w:space="0" w:color="auto"/>
      </w:divBdr>
    </w:div>
    <w:div w:id="1645937679">
      <w:bodyDiv w:val="1"/>
      <w:marLeft w:val="0"/>
      <w:marRight w:val="0"/>
      <w:marTop w:val="0"/>
      <w:marBottom w:val="0"/>
      <w:divBdr>
        <w:top w:val="none" w:sz="0" w:space="0" w:color="auto"/>
        <w:left w:val="none" w:sz="0" w:space="0" w:color="auto"/>
        <w:bottom w:val="none" w:sz="0" w:space="0" w:color="auto"/>
        <w:right w:val="none" w:sz="0" w:space="0" w:color="auto"/>
      </w:divBdr>
    </w:div>
    <w:div w:id="1646082430">
      <w:bodyDiv w:val="1"/>
      <w:marLeft w:val="0"/>
      <w:marRight w:val="0"/>
      <w:marTop w:val="0"/>
      <w:marBottom w:val="0"/>
      <w:divBdr>
        <w:top w:val="none" w:sz="0" w:space="0" w:color="auto"/>
        <w:left w:val="none" w:sz="0" w:space="0" w:color="auto"/>
        <w:bottom w:val="none" w:sz="0" w:space="0" w:color="auto"/>
        <w:right w:val="none" w:sz="0" w:space="0" w:color="auto"/>
      </w:divBdr>
    </w:div>
    <w:div w:id="1646159916">
      <w:bodyDiv w:val="1"/>
      <w:marLeft w:val="0"/>
      <w:marRight w:val="0"/>
      <w:marTop w:val="0"/>
      <w:marBottom w:val="0"/>
      <w:divBdr>
        <w:top w:val="none" w:sz="0" w:space="0" w:color="auto"/>
        <w:left w:val="none" w:sz="0" w:space="0" w:color="auto"/>
        <w:bottom w:val="none" w:sz="0" w:space="0" w:color="auto"/>
        <w:right w:val="none" w:sz="0" w:space="0" w:color="auto"/>
      </w:divBdr>
    </w:div>
    <w:div w:id="1646162753">
      <w:bodyDiv w:val="1"/>
      <w:marLeft w:val="0"/>
      <w:marRight w:val="0"/>
      <w:marTop w:val="0"/>
      <w:marBottom w:val="0"/>
      <w:divBdr>
        <w:top w:val="none" w:sz="0" w:space="0" w:color="auto"/>
        <w:left w:val="none" w:sz="0" w:space="0" w:color="auto"/>
        <w:bottom w:val="none" w:sz="0" w:space="0" w:color="auto"/>
        <w:right w:val="none" w:sz="0" w:space="0" w:color="auto"/>
      </w:divBdr>
    </w:div>
    <w:div w:id="1646199269">
      <w:bodyDiv w:val="1"/>
      <w:marLeft w:val="0"/>
      <w:marRight w:val="0"/>
      <w:marTop w:val="0"/>
      <w:marBottom w:val="0"/>
      <w:divBdr>
        <w:top w:val="none" w:sz="0" w:space="0" w:color="auto"/>
        <w:left w:val="none" w:sz="0" w:space="0" w:color="auto"/>
        <w:bottom w:val="none" w:sz="0" w:space="0" w:color="auto"/>
        <w:right w:val="none" w:sz="0" w:space="0" w:color="auto"/>
      </w:divBdr>
    </w:div>
    <w:div w:id="1646203048">
      <w:bodyDiv w:val="1"/>
      <w:marLeft w:val="0"/>
      <w:marRight w:val="0"/>
      <w:marTop w:val="0"/>
      <w:marBottom w:val="0"/>
      <w:divBdr>
        <w:top w:val="none" w:sz="0" w:space="0" w:color="auto"/>
        <w:left w:val="none" w:sz="0" w:space="0" w:color="auto"/>
        <w:bottom w:val="none" w:sz="0" w:space="0" w:color="auto"/>
        <w:right w:val="none" w:sz="0" w:space="0" w:color="auto"/>
      </w:divBdr>
    </w:div>
    <w:div w:id="1646279973">
      <w:bodyDiv w:val="1"/>
      <w:marLeft w:val="0"/>
      <w:marRight w:val="0"/>
      <w:marTop w:val="0"/>
      <w:marBottom w:val="0"/>
      <w:divBdr>
        <w:top w:val="none" w:sz="0" w:space="0" w:color="auto"/>
        <w:left w:val="none" w:sz="0" w:space="0" w:color="auto"/>
        <w:bottom w:val="none" w:sz="0" w:space="0" w:color="auto"/>
        <w:right w:val="none" w:sz="0" w:space="0" w:color="auto"/>
      </w:divBdr>
    </w:div>
    <w:div w:id="1646349159">
      <w:bodyDiv w:val="1"/>
      <w:marLeft w:val="0"/>
      <w:marRight w:val="0"/>
      <w:marTop w:val="0"/>
      <w:marBottom w:val="0"/>
      <w:divBdr>
        <w:top w:val="none" w:sz="0" w:space="0" w:color="auto"/>
        <w:left w:val="none" w:sz="0" w:space="0" w:color="auto"/>
        <w:bottom w:val="none" w:sz="0" w:space="0" w:color="auto"/>
        <w:right w:val="none" w:sz="0" w:space="0" w:color="auto"/>
      </w:divBdr>
    </w:div>
    <w:div w:id="1646546256">
      <w:bodyDiv w:val="1"/>
      <w:marLeft w:val="0"/>
      <w:marRight w:val="0"/>
      <w:marTop w:val="0"/>
      <w:marBottom w:val="0"/>
      <w:divBdr>
        <w:top w:val="none" w:sz="0" w:space="0" w:color="auto"/>
        <w:left w:val="none" w:sz="0" w:space="0" w:color="auto"/>
        <w:bottom w:val="none" w:sz="0" w:space="0" w:color="auto"/>
        <w:right w:val="none" w:sz="0" w:space="0" w:color="auto"/>
      </w:divBdr>
    </w:div>
    <w:div w:id="1646735655">
      <w:bodyDiv w:val="1"/>
      <w:marLeft w:val="0"/>
      <w:marRight w:val="0"/>
      <w:marTop w:val="0"/>
      <w:marBottom w:val="0"/>
      <w:divBdr>
        <w:top w:val="none" w:sz="0" w:space="0" w:color="auto"/>
        <w:left w:val="none" w:sz="0" w:space="0" w:color="auto"/>
        <w:bottom w:val="none" w:sz="0" w:space="0" w:color="auto"/>
        <w:right w:val="none" w:sz="0" w:space="0" w:color="auto"/>
      </w:divBdr>
    </w:div>
    <w:div w:id="1646742558">
      <w:bodyDiv w:val="1"/>
      <w:marLeft w:val="0"/>
      <w:marRight w:val="0"/>
      <w:marTop w:val="0"/>
      <w:marBottom w:val="0"/>
      <w:divBdr>
        <w:top w:val="none" w:sz="0" w:space="0" w:color="auto"/>
        <w:left w:val="none" w:sz="0" w:space="0" w:color="auto"/>
        <w:bottom w:val="none" w:sz="0" w:space="0" w:color="auto"/>
        <w:right w:val="none" w:sz="0" w:space="0" w:color="auto"/>
      </w:divBdr>
    </w:div>
    <w:div w:id="1646885355">
      <w:bodyDiv w:val="1"/>
      <w:marLeft w:val="0"/>
      <w:marRight w:val="0"/>
      <w:marTop w:val="0"/>
      <w:marBottom w:val="0"/>
      <w:divBdr>
        <w:top w:val="none" w:sz="0" w:space="0" w:color="auto"/>
        <w:left w:val="none" w:sz="0" w:space="0" w:color="auto"/>
        <w:bottom w:val="none" w:sz="0" w:space="0" w:color="auto"/>
        <w:right w:val="none" w:sz="0" w:space="0" w:color="auto"/>
      </w:divBdr>
    </w:div>
    <w:div w:id="1646885384">
      <w:bodyDiv w:val="1"/>
      <w:marLeft w:val="0"/>
      <w:marRight w:val="0"/>
      <w:marTop w:val="0"/>
      <w:marBottom w:val="0"/>
      <w:divBdr>
        <w:top w:val="none" w:sz="0" w:space="0" w:color="auto"/>
        <w:left w:val="none" w:sz="0" w:space="0" w:color="auto"/>
        <w:bottom w:val="none" w:sz="0" w:space="0" w:color="auto"/>
        <w:right w:val="none" w:sz="0" w:space="0" w:color="auto"/>
      </w:divBdr>
    </w:div>
    <w:div w:id="1646934389">
      <w:bodyDiv w:val="1"/>
      <w:marLeft w:val="0"/>
      <w:marRight w:val="0"/>
      <w:marTop w:val="0"/>
      <w:marBottom w:val="0"/>
      <w:divBdr>
        <w:top w:val="none" w:sz="0" w:space="0" w:color="auto"/>
        <w:left w:val="none" w:sz="0" w:space="0" w:color="auto"/>
        <w:bottom w:val="none" w:sz="0" w:space="0" w:color="auto"/>
        <w:right w:val="none" w:sz="0" w:space="0" w:color="auto"/>
      </w:divBdr>
    </w:div>
    <w:div w:id="1647079651">
      <w:bodyDiv w:val="1"/>
      <w:marLeft w:val="0"/>
      <w:marRight w:val="0"/>
      <w:marTop w:val="0"/>
      <w:marBottom w:val="0"/>
      <w:divBdr>
        <w:top w:val="none" w:sz="0" w:space="0" w:color="auto"/>
        <w:left w:val="none" w:sz="0" w:space="0" w:color="auto"/>
        <w:bottom w:val="none" w:sz="0" w:space="0" w:color="auto"/>
        <w:right w:val="none" w:sz="0" w:space="0" w:color="auto"/>
      </w:divBdr>
    </w:div>
    <w:div w:id="1647279396">
      <w:bodyDiv w:val="1"/>
      <w:marLeft w:val="0"/>
      <w:marRight w:val="0"/>
      <w:marTop w:val="0"/>
      <w:marBottom w:val="0"/>
      <w:divBdr>
        <w:top w:val="none" w:sz="0" w:space="0" w:color="auto"/>
        <w:left w:val="none" w:sz="0" w:space="0" w:color="auto"/>
        <w:bottom w:val="none" w:sz="0" w:space="0" w:color="auto"/>
        <w:right w:val="none" w:sz="0" w:space="0" w:color="auto"/>
      </w:divBdr>
    </w:div>
    <w:div w:id="1647315910">
      <w:bodyDiv w:val="1"/>
      <w:marLeft w:val="0"/>
      <w:marRight w:val="0"/>
      <w:marTop w:val="0"/>
      <w:marBottom w:val="0"/>
      <w:divBdr>
        <w:top w:val="none" w:sz="0" w:space="0" w:color="auto"/>
        <w:left w:val="none" w:sz="0" w:space="0" w:color="auto"/>
        <w:bottom w:val="none" w:sz="0" w:space="0" w:color="auto"/>
        <w:right w:val="none" w:sz="0" w:space="0" w:color="auto"/>
      </w:divBdr>
    </w:div>
    <w:div w:id="1647398702">
      <w:bodyDiv w:val="1"/>
      <w:marLeft w:val="0"/>
      <w:marRight w:val="0"/>
      <w:marTop w:val="0"/>
      <w:marBottom w:val="0"/>
      <w:divBdr>
        <w:top w:val="none" w:sz="0" w:space="0" w:color="auto"/>
        <w:left w:val="none" w:sz="0" w:space="0" w:color="auto"/>
        <w:bottom w:val="none" w:sz="0" w:space="0" w:color="auto"/>
        <w:right w:val="none" w:sz="0" w:space="0" w:color="auto"/>
      </w:divBdr>
    </w:div>
    <w:div w:id="1647466098">
      <w:bodyDiv w:val="1"/>
      <w:marLeft w:val="0"/>
      <w:marRight w:val="0"/>
      <w:marTop w:val="0"/>
      <w:marBottom w:val="0"/>
      <w:divBdr>
        <w:top w:val="none" w:sz="0" w:space="0" w:color="auto"/>
        <w:left w:val="none" w:sz="0" w:space="0" w:color="auto"/>
        <w:bottom w:val="none" w:sz="0" w:space="0" w:color="auto"/>
        <w:right w:val="none" w:sz="0" w:space="0" w:color="auto"/>
      </w:divBdr>
    </w:div>
    <w:div w:id="1647473417">
      <w:bodyDiv w:val="1"/>
      <w:marLeft w:val="0"/>
      <w:marRight w:val="0"/>
      <w:marTop w:val="0"/>
      <w:marBottom w:val="0"/>
      <w:divBdr>
        <w:top w:val="none" w:sz="0" w:space="0" w:color="auto"/>
        <w:left w:val="none" w:sz="0" w:space="0" w:color="auto"/>
        <w:bottom w:val="none" w:sz="0" w:space="0" w:color="auto"/>
        <w:right w:val="none" w:sz="0" w:space="0" w:color="auto"/>
      </w:divBdr>
    </w:div>
    <w:div w:id="1647584222">
      <w:bodyDiv w:val="1"/>
      <w:marLeft w:val="0"/>
      <w:marRight w:val="0"/>
      <w:marTop w:val="0"/>
      <w:marBottom w:val="0"/>
      <w:divBdr>
        <w:top w:val="none" w:sz="0" w:space="0" w:color="auto"/>
        <w:left w:val="none" w:sz="0" w:space="0" w:color="auto"/>
        <w:bottom w:val="none" w:sz="0" w:space="0" w:color="auto"/>
        <w:right w:val="none" w:sz="0" w:space="0" w:color="auto"/>
      </w:divBdr>
    </w:div>
    <w:div w:id="1647588673">
      <w:bodyDiv w:val="1"/>
      <w:marLeft w:val="0"/>
      <w:marRight w:val="0"/>
      <w:marTop w:val="0"/>
      <w:marBottom w:val="0"/>
      <w:divBdr>
        <w:top w:val="none" w:sz="0" w:space="0" w:color="auto"/>
        <w:left w:val="none" w:sz="0" w:space="0" w:color="auto"/>
        <w:bottom w:val="none" w:sz="0" w:space="0" w:color="auto"/>
        <w:right w:val="none" w:sz="0" w:space="0" w:color="auto"/>
      </w:divBdr>
    </w:div>
    <w:div w:id="1647589603">
      <w:bodyDiv w:val="1"/>
      <w:marLeft w:val="0"/>
      <w:marRight w:val="0"/>
      <w:marTop w:val="0"/>
      <w:marBottom w:val="0"/>
      <w:divBdr>
        <w:top w:val="none" w:sz="0" w:space="0" w:color="auto"/>
        <w:left w:val="none" w:sz="0" w:space="0" w:color="auto"/>
        <w:bottom w:val="none" w:sz="0" w:space="0" w:color="auto"/>
        <w:right w:val="none" w:sz="0" w:space="0" w:color="auto"/>
      </w:divBdr>
    </w:div>
    <w:div w:id="1647658796">
      <w:bodyDiv w:val="1"/>
      <w:marLeft w:val="0"/>
      <w:marRight w:val="0"/>
      <w:marTop w:val="0"/>
      <w:marBottom w:val="0"/>
      <w:divBdr>
        <w:top w:val="none" w:sz="0" w:space="0" w:color="auto"/>
        <w:left w:val="none" w:sz="0" w:space="0" w:color="auto"/>
        <w:bottom w:val="none" w:sz="0" w:space="0" w:color="auto"/>
        <w:right w:val="none" w:sz="0" w:space="0" w:color="auto"/>
      </w:divBdr>
    </w:div>
    <w:div w:id="1647971264">
      <w:bodyDiv w:val="1"/>
      <w:marLeft w:val="0"/>
      <w:marRight w:val="0"/>
      <w:marTop w:val="0"/>
      <w:marBottom w:val="0"/>
      <w:divBdr>
        <w:top w:val="none" w:sz="0" w:space="0" w:color="auto"/>
        <w:left w:val="none" w:sz="0" w:space="0" w:color="auto"/>
        <w:bottom w:val="none" w:sz="0" w:space="0" w:color="auto"/>
        <w:right w:val="none" w:sz="0" w:space="0" w:color="auto"/>
      </w:divBdr>
    </w:div>
    <w:div w:id="1647978597">
      <w:bodyDiv w:val="1"/>
      <w:marLeft w:val="0"/>
      <w:marRight w:val="0"/>
      <w:marTop w:val="0"/>
      <w:marBottom w:val="0"/>
      <w:divBdr>
        <w:top w:val="none" w:sz="0" w:space="0" w:color="auto"/>
        <w:left w:val="none" w:sz="0" w:space="0" w:color="auto"/>
        <w:bottom w:val="none" w:sz="0" w:space="0" w:color="auto"/>
        <w:right w:val="none" w:sz="0" w:space="0" w:color="auto"/>
      </w:divBdr>
    </w:div>
    <w:div w:id="1648124110">
      <w:bodyDiv w:val="1"/>
      <w:marLeft w:val="0"/>
      <w:marRight w:val="0"/>
      <w:marTop w:val="0"/>
      <w:marBottom w:val="0"/>
      <w:divBdr>
        <w:top w:val="none" w:sz="0" w:space="0" w:color="auto"/>
        <w:left w:val="none" w:sz="0" w:space="0" w:color="auto"/>
        <w:bottom w:val="none" w:sz="0" w:space="0" w:color="auto"/>
        <w:right w:val="none" w:sz="0" w:space="0" w:color="auto"/>
      </w:divBdr>
    </w:div>
    <w:div w:id="1648129333">
      <w:bodyDiv w:val="1"/>
      <w:marLeft w:val="0"/>
      <w:marRight w:val="0"/>
      <w:marTop w:val="0"/>
      <w:marBottom w:val="0"/>
      <w:divBdr>
        <w:top w:val="none" w:sz="0" w:space="0" w:color="auto"/>
        <w:left w:val="none" w:sz="0" w:space="0" w:color="auto"/>
        <w:bottom w:val="none" w:sz="0" w:space="0" w:color="auto"/>
        <w:right w:val="none" w:sz="0" w:space="0" w:color="auto"/>
      </w:divBdr>
    </w:div>
    <w:div w:id="1648170147">
      <w:bodyDiv w:val="1"/>
      <w:marLeft w:val="0"/>
      <w:marRight w:val="0"/>
      <w:marTop w:val="0"/>
      <w:marBottom w:val="0"/>
      <w:divBdr>
        <w:top w:val="none" w:sz="0" w:space="0" w:color="auto"/>
        <w:left w:val="none" w:sz="0" w:space="0" w:color="auto"/>
        <w:bottom w:val="none" w:sz="0" w:space="0" w:color="auto"/>
        <w:right w:val="none" w:sz="0" w:space="0" w:color="auto"/>
      </w:divBdr>
    </w:div>
    <w:div w:id="1648432813">
      <w:bodyDiv w:val="1"/>
      <w:marLeft w:val="0"/>
      <w:marRight w:val="0"/>
      <w:marTop w:val="0"/>
      <w:marBottom w:val="0"/>
      <w:divBdr>
        <w:top w:val="none" w:sz="0" w:space="0" w:color="auto"/>
        <w:left w:val="none" w:sz="0" w:space="0" w:color="auto"/>
        <w:bottom w:val="none" w:sz="0" w:space="0" w:color="auto"/>
        <w:right w:val="none" w:sz="0" w:space="0" w:color="auto"/>
      </w:divBdr>
    </w:div>
    <w:div w:id="1648435133">
      <w:bodyDiv w:val="1"/>
      <w:marLeft w:val="0"/>
      <w:marRight w:val="0"/>
      <w:marTop w:val="0"/>
      <w:marBottom w:val="0"/>
      <w:divBdr>
        <w:top w:val="none" w:sz="0" w:space="0" w:color="auto"/>
        <w:left w:val="none" w:sz="0" w:space="0" w:color="auto"/>
        <w:bottom w:val="none" w:sz="0" w:space="0" w:color="auto"/>
        <w:right w:val="none" w:sz="0" w:space="0" w:color="auto"/>
      </w:divBdr>
    </w:div>
    <w:div w:id="1648514279">
      <w:bodyDiv w:val="1"/>
      <w:marLeft w:val="0"/>
      <w:marRight w:val="0"/>
      <w:marTop w:val="0"/>
      <w:marBottom w:val="0"/>
      <w:divBdr>
        <w:top w:val="none" w:sz="0" w:space="0" w:color="auto"/>
        <w:left w:val="none" w:sz="0" w:space="0" w:color="auto"/>
        <w:bottom w:val="none" w:sz="0" w:space="0" w:color="auto"/>
        <w:right w:val="none" w:sz="0" w:space="0" w:color="auto"/>
      </w:divBdr>
    </w:div>
    <w:div w:id="1648587883">
      <w:bodyDiv w:val="1"/>
      <w:marLeft w:val="0"/>
      <w:marRight w:val="0"/>
      <w:marTop w:val="0"/>
      <w:marBottom w:val="0"/>
      <w:divBdr>
        <w:top w:val="none" w:sz="0" w:space="0" w:color="auto"/>
        <w:left w:val="none" w:sz="0" w:space="0" w:color="auto"/>
        <w:bottom w:val="none" w:sz="0" w:space="0" w:color="auto"/>
        <w:right w:val="none" w:sz="0" w:space="0" w:color="auto"/>
      </w:divBdr>
    </w:div>
    <w:div w:id="1648824247">
      <w:bodyDiv w:val="1"/>
      <w:marLeft w:val="0"/>
      <w:marRight w:val="0"/>
      <w:marTop w:val="0"/>
      <w:marBottom w:val="0"/>
      <w:divBdr>
        <w:top w:val="none" w:sz="0" w:space="0" w:color="auto"/>
        <w:left w:val="none" w:sz="0" w:space="0" w:color="auto"/>
        <w:bottom w:val="none" w:sz="0" w:space="0" w:color="auto"/>
        <w:right w:val="none" w:sz="0" w:space="0" w:color="auto"/>
      </w:divBdr>
    </w:div>
    <w:div w:id="1648827005">
      <w:bodyDiv w:val="1"/>
      <w:marLeft w:val="0"/>
      <w:marRight w:val="0"/>
      <w:marTop w:val="0"/>
      <w:marBottom w:val="0"/>
      <w:divBdr>
        <w:top w:val="none" w:sz="0" w:space="0" w:color="auto"/>
        <w:left w:val="none" w:sz="0" w:space="0" w:color="auto"/>
        <w:bottom w:val="none" w:sz="0" w:space="0" w:color="auto"/>
        <w:right w:val="none" w:sz="0" w:space="0" w:color="auto"/>
      </w:divBdr>
    </w:div>
    <w:div w:id="1648851136">
      <w:bodyDiv w:val="1"/>
      <w:marLeft w:val="0"/>
      <w:marRight w:val="0"/>
      <w:marTop w:val="0"/>
      <w:marBottom w:val="0"/>
      <w:divBdr>
        <w:top w:val="none" w:sz="0" w:space="0" w:color="auto"/>
        <w:left w:val="none" w:sz="0" w:space="0" w:color="auto"/>
        <w:bottom w:val="none" w:sz="0" w:space="0" w:color="auto"/>
        <w:right w:val="none" w:sz="0" w:space="0" w:color="auto"/>
      </w:divBdr>
    </w:div>
    <w:div w:id="1649048193">
      <w:bodyDiv w:val="1"/>
      <w:marLeft w:val="0"/>
      <w:marRight w:val="0"/>
      <w:marTop w:val="0"/>
      <w:marBottom w:val="0"/>
      <w:divBdr>
        <w:top w:val="none" w:sz="0" w:space="0" w:color="auto"/>
        <w:left w:val="none" w:sz="0" w:space="0" w:color="auto"/>
        <w:bottom w:val="none" w:sz="0" w:space="0" w:color="auto"/>
        <w:right w:val="none" w:sz="0" w:space="0" w:color="auto"/>
      </w:divBdr>
    </w:div>
    <w:div w:id="1649169530">
      <w:bodyDiv w:val="1"/>
      <w:marLeft w:val="0"/>
      <w:marRight w:val="0"/>
      <w:marTop w:val="0"/>
      <w:marBottom w:val="0"/>
      <w:divBdr>
        <w:top w:val="none" w:sz="0" w:space="0" w:color="auto"/>
        <w:left w:val="none" w:sz="0" w:space="0" w:color="auto"/>
        <w:bottom w:val="none" w:sz="0" w:space="0" w:color="auto"/>
        <w:right w:val="none" w:sz="0" w:space="0" w:color="auto"/>
      </w:divBdr>
    </w:div>
    <w:div w:id="1649245680">
      <w:bodyDiv w:val="1"/>
      <w:marLeft w:val="0"/>
      <w:marRight w:val="0"/>
      <w:marTop w:val="0"/>
      <w:marBottom w:val="0"/>
      <w:divBdr>
        <w:top w:val="none" w:sz="0" w:space="0" w:color="auto"/>
        <w:left w:val="none" w:sz="0" w:space="0" w:color="auto"/>
        <w:bottom w:val="none" w:sz="0" w:space="0" w:color="auto"/>
        <w:right w:val="none" w:sz="0" w:space="0" w:color="auto"/>
      </w:divBdr>
    </w:div>
    <w:div w:id="1649279896">
      <w:bodyDiv w:val="1"/>
      <w:marLeft w:val="0"/>
      <w:marRight w:val="0"/>
      <w:marTop w:val="0"/>
      <w:marBottom w:val="0"/>
      <w:divBdr>
        <w:top w:val="none" w:sz="0" w:space="0" w:color="auto"/>
        <w:left w:val="none" w:sz="0" w:space="0" w:color="auto"/>
        <w:bottom w:val="none" w:sz="0" w:space="0" w:color="auto"/>
        <w:right w:val="none" w:sz="0" w:space="0" w:color="auto"/>
      </w:divBdr>
    </w:div>
    <w:div w:id="1649287767">
      <w:bodyDiv w:val="1"/>
      <w:marLeft w:val="0"/>
      <w:marRight w:val="0"/>
      <w:marTop w:val="0"/>
      <w:marBottom w:val="0"/>
      <w:divBdr>
        <w:top w:val="none" w:sz="0" w:space="0" w:color="auto"/>
        <w:left w:val="none" w:sz="0" w:space="0" w:color="auto"/>
        <w:bottom w:val="none" w:sz="0" w:space="0" w:color="auto"/>
        <w:right w:val="none" w:sz="0" w:space="0" w:color="auto"/>
      </w:divBdr>
    </w:div>
    <w:div w:id="1649355232">
      <w:bodyDiv w:val="1"/>
      <w:marLeft w:val="0"/>
      <w:marRight w:val="0"/>
      <w:marTop w:val="0"/>
      <w:marBottom w:val="0"/>
      <w:divBdr>
        <w:top w:val="none" w:sz="0" w:space="0" w:color="auto"/>
        <w:left w:val="none" w:sz="0" w:space="0" w:color="auto"/>
        <w:bottom w:val="none" w:sz="0" w:space="0" w:color="auto"/>
        <w:right w:val="none" w:sz="0" w:space="0" w:color="auto"/>
      </w:divBdr>
    </w:div>
    <w:div w:id="1649434370">
      <w:bodyDiv w:val="1"/>
      <w:marLeft w:val="0"/>
      <w:marRight w:val="0"/>
      <w:marTop w:val="0"/>
      <w:marBottom w:val="0"/>
      <w:divBdr>
        <w:top w:val="none" w:sz="0" w:space="0" w:color="auto"/>
        <w:left w:val="none" w:sz="0" w:space="0" w:color="auto"/>
        <w:bottom w:val="none" w:sz="0" w:space="0" w:color="auto"/>
        <w:right w:val="none" w:sz="0" w:space="0" w:color="auto"/>
      </w:divBdr>
    </w:div>
    <w:div w:id="1649436699">
      <w:bodyDiv w:val="1"/>
      <w:marLeft w:val="0"/>
      <w:marRight w:val="0"/>
      <w:marTop w:val="0"/>
      <w:marBottom w:val="0"/>
      <w:divBdr>
        <w:top w:val="none" w:sz="0" w:space="0" w:color="auto"/>
        <w:left w:val="none" w:sz="0" w:space="0" w:color="auto"/>
        <w:bottom w:val="none" w:sz="0" w:space="0" w:color="auto"/>
        <w:right w:val="none" w:sz="0" w:space="0" w:color="auto"/>
      </w:divBdr>
    </w:div>
    <w:div w:id="1649557937">
      <w:bodyDiv w:val="1"/>
      <w:marLeft w:val="0"/>
      <w:marRight w:val="0"/>
      <w:marTop w:val="0"/>
      <w:marBottom w:val="0"/>
      <w:divBdr>
        <w:top w:val="none" w:sz="0" w:space="0" w:color="auto"/>
        <w:left w:val="none" w:sz="0" w:space="0" w:color="auto"/>
        <w:bottom w:val="none" w:sz="0" w:space="0" w:color="auto"/>
        <w:right w:val="none" w:sz="0" w:space="0" w:color="auto"/>
      </w:divBdr>
    </w:div>
    <w:div w:id="1649822065">
      <w:bodyDiv w:val="1"/>
      <w:marLeft w:val="0"/>
      <w:marRight w:val="0"/>
      <w:marTop w:val="0"/>
      <w:marBottom w:val="0"/>
      <w:divBdr>
        <w:top w:val="none" w:sz="0" w:space="0" w:color="auto"/>
        <w:left w:val="none" w:sz="0" w:space="0" w:color="auto"/>
        <w:bottom w:val="none" w:sz="0" w:space="0" w:color="auto"/>
        <w:right w:val="none" w:sz="0" w:space="0" w:color="auto"/>
      </w:divBdr>
    </w:div>
    <w:div w:id="1649822940">
      <w:bodyDiv w:val="1"/>
      <w:marLeft w:val="0"/>
      <w:marRight w:val="0"/>
      <w:marTop w:val="0"/>
      <w:marBottom w:val="0"/>
      <w:divBdr>
        <w:top w:val="none" w:sz="0" w:space="0" w:color="auto"/>
        <w:left w:val="none" w:sz="0" w:space="0" w:color="auto"/>
        <w:bottom w:val="none" w:sz="0" w:space="0" w:color="auto"/>
        <w:right w:val="none" w:sz="0" w:space="0" w:color="auto"/>
      </w:divBdr>
    </w:div>
    <w:div w:id="1649868911">
      <w:bodyDiv w:val="1"/>
      <w:marLeft w:val="0"/>
      <w:marRight w:val="0"/>
      <w:marTop w:val="0"/>
      <w:marBottom w:val="0"/>
      <w:divBdr>
        <w:top w:val="none" w:sz="0" w:space="0" w:color="auto"/>
        <w:left w:val="none" w:sz="0" w:space="0" w:color="auto"/>
        <w:bottom w:val="none" w:sz="0" w:space="0" w:color="auto"/>
        <w:right w:val="none" w:sz="0" w:space="0" w:color="auto"/>
      </w:divBdr>
    </w:div>
    <w:div w:id="1649895274">
      <w:bodyDiv w:val="1"/>
      <w:marLeft w:val="0"/>
      <w:marRight w:val="0"/>
      <w:marTop w:val="0"/>
      <w:marBottom w:val="0"/>
      <w:divBdr>
        <w:top w:val="none" w:sz="0" w:space="0" w:color="auto"/>
        <w:left w:val="none" w:sz="0" w:space="0" w:color="auto"/>
        <w:bottom w:val="none" w:sz="0" w:space="0" w:color="auto"/>
        <w:right w:val="none" w:sz="0" w:space="0" w:color="auto"/>
      </w:divBdr>
    </w:div>
    <w:div w:id="1649896015">
      <w:bodyDiv w:val="1"/>
      <w:marLeft w:val="0"/>
      <w:marRight w:val="0"/>
      <w:marTop w:val="0"/>
      <w:marBottom w:val="0"/>
      <w:divBdr>
        <w:top w:val="none" w:sz="0" w:space="0" w:color="auto"/>
        <w:left w:val="none" w:sz="0" w:space="0" w:color="auto"/>
        <w:bottom w:val="none" w:sz="0" w:space="0" w:color="auto"/>
        <w:right w:val="none" w:sz="0" w:space="0" w:color="auto"/>
      </w:divBdr>
    </w:div>
    <w:div w:id="1650012832">
      <w:bodyDiv w:val="1"/>
      <w:marLeft w:val="0"/>
      <w:marRight w:val="0"/>
      <w:marTop w:val="0"/>
      <w:marBottom w:val="0"/>
      <w:divBdr>
        <w:top w:val="none" w:sz="0" w:space="0" w:color="auto"/>
        <w:left w:val="none" w:sz="0" w:space="0" w:color="auto"/>
        <w:bottom w:val="none" w:sz="0" w:space="0" w:color="auto"/>
        <w:right w:val="none" w:sz="0" w:space="0" w:color="auto"/>
      </w:divBdr>
    </w:div>
    <w:div w:id="1650133334">
      <w:bodyDiv w:val="1"/>
      <w:marLeft w:val="0"/>
      <w:marRight w:val="0"/>
      <w:marTop w:val="0"/>
      <w:marBottom w:val="0"/>
      <w:divBdr>
        <w:top w:val="none" w:sz="0" w:space="0" w:color="auto"/>
        <w:left w:val="none" w:sz="0" w:space="0" w:color="auto"/>
        <w:bottom w:val="none" w:sz="0" w:space="0" w:color="auto"/>
        <w:right w:val="none" w:sz="0" w:space="0" w:color="auto"/>
      </w:divBdr>
    </w:div>
    <w:div w:id="1650549590">
      <w:bodyDiv w:val="1"/>
      <w:marLeft w:val="0"/>
      <w:marRight w:val="0"/>
      <w:marTop w:val="0"/>
      <w:marBottom w:val="0"/>
      <w:divBdr>
        <w:top w:val="none" w:sz="0" w:space="0" w:color="auto"/>
        <w:left w:val="none" w:sz="0" w:space="0" w:color="auto"/>
        <w:bottom w:val="none" w:sz="0" w:space="0" w:color="auto"/>
        <w:right w:val="none" w:sz="0" w:space="0" w:color="auto"/>
      </w:divBdr>
    </w:div>
    <w:div w:id="1650551618">
      <w:bodyDiv w:val="1"/>
      <w:marLeft w:val="0"/>
      <w:marRight w:val="0"/>
      <w:marTop w:val="0"/>
      <w:marBottom w:val="0"/>
      <w:divBdr>
        <w:top w:val="none" w:sz="0" w:space="0" w:color="auto"/>
        <w:left w:val="none" w:sz="0" w:space="0" w:color="auto"/>
        <w:bottom w:val="none" w:sz="0" w:space="0" w:color="auto"/>
        <w:right w:val="none" w:sz="0" w:space="0" w:color="auto"/>
      </w:divBdr>
    </w:div>
    <w:div w:id="1650598598">
      <w:bodyDiv w:val="1"/>
      <w:marLeft w:val="0"/>
      <w:marRight w:val="0"/>
      <w:marTop w:val="0"/>
      <w:marBottom w:val="0"/>
      <w:divBdr>
        <w:top w:val="none" w:sz="0" w:space="0" w:color="auto"/>
        <w:left w:val="none" w:sz="0" w:space="0" w:color="auto"/>
        <w:bottom w:val="none" w:sz="0" w:space="0" w:color="auto"/>
        <w:right w:val="none" w:sz="0" w:space="0" w:color="auto"/>
      </w:divBdr>
    </w:div>
    <w:div w:id="1650816831">
      <w:bodyDiv w:val="1"/>
      <w:marLeft w:val="0"/>
      <w:marRight w:val="0"/>
      <w:marTop w:val="0"/>
      <w:marBottom w:val="0"/>
      <w:divBdr>
        <w:top w:val="none" w:sz="0" w:space="0" w:color="auto"/>
        <w:left w:val="none" w:sz="0" w:space="0" w:color="auto"/>
        <w:bottom w:val="none" w:sz="0" w:space="0" w:color="auto"/>
        <w:right w:val="none" w:sz="0" w:space="0" w:color="auto"/>
      </w:divBdr>
    </w:div>
    <w:div w:id="1650861518">
      <w:bodyDiv w:val="1"/>
      <w:marLeft w:val="0"/>
      <w:marRight w:val="0"/>
      <w:marTop w:val="0"/>
      <w:marBottom w:val="0"/>
      <w:divBdr>
        <w:top w:val="none" w:sz="0" w:space="0" w:color="auto"/>
        <w:left w:val="none" w:sz="0" w:space="0" w:color="auto"/>
        <w:bottom w:val="none" w:sz="0" w:space="0" w:color="auto"/>
        <w:right w:val="none" w:sz="0" w:space="0" w:color="auto"/>
      </w:divBdr>
    </w:div>
    <w:div w:id="1650940217">
      <w:bodyDiv w:val="1"/>
      <w:marLeft w:val="0"/>
      <w:marRight w:val="0"/>
      <w:marTop w:val="0"/>
      <w:marBottom w:val="0"/>
      <w:divBdr>
        <w:top w:val="none" w:sz="0" w:space="0" w:color="auto"/>
        <w:left w:val="none" w:sz="0" w:space="0" w:color="auto"/>
        <w:bottom w:val="none" w:sz="0" w:space="0" w:color="auto"/>
        <w:right w:val="none" w:sz="0" w:space="0" w:color="auto"/>
      </w:divBdr>
    </w:div>
    <w:div w:id="1651056261">
      <w:bodyDiv w:val="1"/>
      <w:marLeft w:val="0"/>
      <w:marRight w:val="0"/>
      <w:marTop w:val="0"/>
      <w:marBottom w:val="0"/>
      <w:divBdr>
        <w:top w:val="none" w:sz="0" w:space="0" w:color="auto"/>
        <w:left w:val="none" w:sz="0" w:space="0" w:color="auto"/>
        <w:bottom w:val="none" w:sz="0" w:space="0" w:color="auto"/>
        <w:right w:val="none" w:sz="0" w:space="0" w:color="auto"/>
      </w:divBdr>
    </w:div>
    <w:div w:id="1651129354">
      <w:bodyDiv w:val="1"/>
      <w:marLeft w:val="0"/>
      <w:marRight w:val="0"/>
      <w:marTop w:val="0"/>
      <w:marBottom w:val="0"/>
      <w:divBdr>
        <w:top w:val="none" w:sz="0" w:space="0" w:color="auto"/>
        <w:left w:val="none" w:sz="0" w:space="0" w:color="auto"/>
        <w:bottom w:val="none" w:sz="0" w:space="0" w:color="auto"/>
        <w:right w:val="none" w:sz="0" w:space="0" w:color="auto"/>
      </w:divBdr>
    </w:div>
    <w:div w:id="1651133807">
      <w:bodyDiv w:val="1"/>
      <w:marLeft w:val="0"/>
      <w:marRight w:val="0"/>
      <w:marTop w:val="0"/>
      <w:marBottom w:val="0"/>
      <w:divBdr>
        <w:top w:val="none" w:sz="0" w:space="0" w:color="auto"/>
        <w:left w:val="none" w:sz="0" w:space="0" w:color="auto"/>
        <w:bottom w:val="none" w:sz="0" w:space="0" w:color="auto"/>
        <w:right w:val="none" w:sz="0" w:space="0" w:color="auto"/>
      </w:divBdr>
    </w:div>
    <w:div w:id="1651205867">
      <w:bodyDiv w:val="1"/>
      <w:marLeft w:val="0"/>
      <w:marRight w:val="0"/>
      <w:marTop w:val="0"/>
      <w:marBottom w:val="0"/>
      <w:divBdr>
        <w:top w:val="none" w:sz="0" w:space="0" w:color="auto"/>
        <w:left w:val="none" w:sz="0" w:space="0" w:color="auto"/>
        <w:bottom w:val="none" w:sz="0" w:space="0" w:color="auto"/>
        <w:right w:val="none" w:sz="0" w:space="0" w:color="auto"/>
      </w:divBdr>
    </w:div>
    <w:div w:id="1651209783">
      <w:bodyDiv w:val="1"/>
      <w:marLeft w:val="0"/>
      <w:marRight w:val="0"/>
      <w:marTop w:val="0"/>
      <w:marBottom w:val="0"/>
      <w:divBdr>
        <w:top w:val="none" w:sz="0" w:space="0" w:color="auto"/>
        <w:left w:val="none" w:sz="0" w:space="0" w:color="auto"/>
        <w:bottom w:val="none" w:sz="0" w:space="0" w:color="auto"/>
        <w:right w:val="none" w:sz="0" w:space="0" w:color="auto"/>
      </w:divBdr>
    </w:div>
    <w:div w:id="1651247905">
      <w:bodyDiv w:val="1"/>
      <w:marLeft w:val="0"/>
      <w:marRight w:val="0"/>
      <w:marTop w:val="0"/>
      <w:marBottom w:val="0"/>
      <w:divBdr>
        <w:top w:val="none" w:sz="0" w:space="0" w:color="auto"/>
        <w:left w:val="none" w:sz="0" w:space="0" w:color="auto"/>
        <w:bottom w:val="none" w:sz="0" w:space="0" w:color="auto"/>
        <w:right w:val="none" w:sz="0" w:space="0" w:color="auto"/>
      </w:divBdr>
    </w:div>
    <w:div w:id="1651401826">
      <w:bodyDiv w:val="1"/>
      <w:marLeft w:val="0"/>
      <w:marRight w:val="0"/>
      <w:marTop w:val="0"/>
      <w:marBottom w:val="0"/>
      <w:divBdr>
        <w:top w:val="none" w:sz="0" w:space="0" w:color="auto"/>
        <w:left w:val="none" w:sz="0" w:space="0" w:color="auto"/>
        <w:bottom w:val="none" w:sz="0" w:space="0" w:color="auto"/>
        <w:right w:val="none" w:sz="0" w:space="0" w:color="auto"/>
      </w:divBdr>
    </w:div>
    <w:div w:id="1651518656">
      <w:bodyDiv w:val="1"/>
      <w:marLeft w:val="0"/>
      <w:marRight w:val="0"/>
      <w:marTop w:val="0"/>
      <w:marBottom w:val="0"/>
      <w:divBdr>
        <w:top w:val="none" w:sz="0" w:space="0" w:color="auto"/>
        <w:left w:val="none" w:sz="0" w:space="0" w:color="auto"/>
        <w:bottom w:val="none" w:sz="0" w:space="0" w:color="auto"/>
        <w:right w:val="none" w:sz="0" w:space="0" w:color="auto"/>
      </w:divBdr>
    </w:div>
    <w:div w:id="1651786496">
      <w:bodyDiv w:val="1"/>
      <w:marLeft w:val="0"/>
      <w:marRight w:val="0"/>
      <w:marTop w:val="0"/>
      <w:marBottom w:val="0"/>
      <w:divBdr>
        <w:top w:val="none" w:sz="0" w:space="0" w:color="auto"/>
        <w:left w:val="none" w:sz="0" w:space="0" w:color="auto"/>
        <w:bottom w:val="none" w:sz="0" w:space="0" w:color="auto"/>
        <w:right w:val="none" w:sz="0" w:space="0" w:color="auto"/>
      </w:divBdr>
    </w:div>
    <w:div w:id="1651791307">
      <w:bodyDiv w:val="1"/>
      <w:marLeft w:val="0"/>
      <w:marRight w:val="0"/>
      <w:marTop w:val="0"/>
      <w:marBottom w:val="0"/>
      <w:divBdr>
        <w:top w:val="none" w:sz="0" w:space="0" w:color="auto"/>
        <w:left w:val="none" w:sz="0" w:space="0" w:color="auto"/>
        <w:bottom w:val="none" w:sz="0" w:space="0" w:color="auto"/>
        <w:right w:val="none" w:sz="0" w:space="0" w:color="auto"/>
      </w:divBdr>
    </w:div>
    <w:div w:id="1651791836">
      <w:bodyDiv w:val="1"/>
      <w:marLeft w:val="0"/>
      <w:marRight w:val="0"/>
      <w:marTop w:val="0"/>
      <w:marBottom w:val="0"/>
      <w:divBdr>
        <w:top w:val="none" w:sz="0" w:space="0" w:color="auto"/>
        <w:left w:val="none" w:sz="0" w:space="0" w:color="auto"/>
        <w:bottom w:val="none" w:sz="0" w:space="0" w:color="auto"/>
        <w:right w:val="none" w:sz="0" w:space="0" w:color="auto"/>
      </w:divBdr>
    </w:div>
    <w:div w:id="1651905576">
      <w:bodyDiv w:val="1"/>
      <w:marLeft w:val="0"/>
      <w:marRight w:val="0"/>
      <w:marTop w:val="0"/>
      <w:marBottom w:val="0"/>
      <w:divBdr>
        <w:top w:val="none" w:sz="0" w:space="0" w:color="auto"/>
        <w:left w:val="none" w:sz="0" w:space="0" w:color="auto"/>
        <w:bottom w:val="none" w:sz="0" w:space="0" w:color="auto"/>
        <w:right w:val="none" w:sz="0" w:space="0" w:color="auto"/>
      </w:divBdr>
    </w:div>
    <w:div w:id="1651985237">
      <w:bodyDiv w:val="1"/>
      <w:marLeft w:val="0"/>
      <w:marRight w:val="0"/>
      <w:marTop w:val="0"/>
      <w:marBottom w:val="0"/>
      <w:divBdr>
        <w:top w:val="none" w:sz="0" w:space="0" w:color="auto"/>
        <w:left w:val="none" w:sz="0" w:space="0" w:color="auto"/>
        <w:bottom w:val="none" w:sz="0" w:space="0" w:color="auto"/>
        <w:right w:val="none" w:sz="0" w:space="0" w:color="auto"/>
      </w:divBdr>
    </w:div>
    <w:div w:id="1652056664">
      <w:bodyDiv w:val="1"/>
      <w:marLeft w:val="0"/>
      <w:marRight w:val="0"/>
      <w:marTop w:val="0"/>
      <w:marBottom w:val="0"/>
      <w:divBdr>
        <w:top w:val="none" w:sz="0" w:space="0" w:color="auto"/>
        <w:left w:val="none" w:sz="0" w:space="0" w:color="auto"/>
        <w:bottom w:val="none" w:sz="0" w:space="0" w:color="auto"/>
        <w:right w:val="none" w:sz="0" w:space="0" w:color="auto"/>
      </w:divBdr>
    </w:div>
    <w:div w:id="1652099421">
      <w:bodyDiv w:val="1"/>
      <w:marLeft w:val="0"/>
      <w:marRight w:val="0"/>
      <w:marTop w:val="0"/>
      <w:marBottom w:val="0"/>
      <w:divBdr>
        <w:top w:val="none" w:sz="0" w:space="0" w:color="auto"/>
        <w:left w:val="none" w:sz="0" w:space="0" w:color="auto"/>
        <w:bottom w:val="none" w:sz="0" w:space="0" w:color="auto"/>
        <w:right w:val="none" w:sz="0" w:space="0" w:color="auto"/>
      </w:divBdr>
    </w:div>
    <w:div w:id="1652173958">
      <w:bodyDiv w:val="1"/>
      <w:marLeft w:val="0"/>
      <w:marRight w:val="0"/>
      <w:marTop w:val="0"/>
      <w:marBottom w:val="0"/>
      <w:divBdr>
        <w:top w:val="none" w:sz="0" w:space="0" w:color="auto"/>
        <w:left w:val="none" w:sz="0" w:space="0" w:color="auto"/>
        <w:bottom w:val="none" w:sz="0" w:space="0" w:color="auto"/>
        <w:right w:val="none" w:sz="0" w:space="0" w:color="auto"/>
      </w:divBdr>
    </w:div>
    <w:div w:id="1652246940">
      <w:bodyDiv w:val="1"/>
      <w:marLeft w:val="0"/>
      <w:marRight w:val="0"/>
      <w:marTop w:val="0"/>
      <w:marBottom w:val="0"/>
      <w:divBdr>
        <w:top w:val="none" w:sz="0" w:space="0" w:color="auto"/>
        <w:left w:val="none" w:sz="0" w:space="0" w:color="auto"/>
        <w:bottom w:val="none" w:sz="0" w:space="0" w:color="auto"/>
        <w:right w:val="none" w:sz="0" w:space="0" w:color="auto"/>
      </w:divBdr>
    </w:div>
    <w:div w:id="1652247539">
      <w:bodyDiv w:val="1"/>
      <w:marLeft w:val="0"/>
      <w:marRight w:val="0"/>
      <w:marTop w:val="0"/>
      <w:marBottom w:val="0"/>
      <w:divBdr>
        <w:top w:val="none" w:sz="0" w:space="0" w:color="auto"/>
        <w:left w:val="none" w:sz="0" w:space="0" w:color="auto"/>
        <w:bottom w:val="none" w:sz="0" w:space="0" w:color="auto"/>
        <w:right w:val="none" w:sz="0" w:space="0" w:color="auto"/>
      </w:divBdr>
    </w:div>
    <w:div w:id="1652320503">
      <w:bodyDiv w:val="1"/>
      <w:marLeft w:val="0"/>
      <w:marRight w:val="0"/>
      <w:marTop w:val="0"/>
      <w:marBottom w:val="0"/>
      <w:divBdr>
        <w:top w:val="none" w:sz="0" w:space="0" w:color="auto"/>
        <w:left w:val="none" w:sz="0" w:space="0" w:color="auto"/>
        <w:bottom w:val="none" w:sz="0" w:space="0" w:color="auto"/>
        <w:right w:val="none" w:sz="0" w:space="0" w:color="auto"/>
      </w:divBdr>
    </w:div>
    <w:div w:id="1652323071">
      <w:bodyDiv w:val="1"/>
      <w:marLeft w:val="0"/>
      <w:marRight w:val="0"/>
      <w:marTop w:val="0"/>
      <w:marBottom w:val="0"/>
      <w:divBdr>
        <w:top w:val="none" w:sz="0" w:space="0" w:color="auto"/>
        <w:left w:val="none" w:sz="0" w:space="0" w:color="auto"/>
        <w:bottom w:val="none" w:sz="0" w:space="0" w:color="auto"/>
        <w:right w:val="none" w:sz="0" w:space="0" w:color="auto"/>
      </w:divBdr>
    </w:div>
    <w:div w:id="1652372073">
      <w:bodyDiv w:val="1"/>
      <w:marLeft w:val="0"/>
      <w:marRight w:val="0"/>
      <w:marTop w:val="0"/>
      <w:marBottom w:val="0"/>
      <w:divBdr>
        <w:top w:val="none" w:sz="0" w:space="0" w:color="auto"/>
        <w:left w:val="none" w:sz="0" w:space="0" w:color="auto"/>
        <w:bottom w:val="none" w:sz="0" w:space="0" w:color="auto"/>
        <w:right w:val="none" w:sz="0" w:space="0" w:color="auto"/>
      </w:divBdr>
    </w:div>
    <w:div w:id="1652440686">
      <w:bodyDiv w:val="1"/>
      <w:marLeft w:val="0"/>
      <w:marRight w:val="0"/>
      <w:marTop w:val="0"/>
      <w:marBottom w:val="0"/>
      <w:divBdr>
        <w:top w:val="none" w:sz="0" w:space="0" w:color="auto"/>
        <w:left w:val="none" w:sz="0" w:space="0" w:color="auto"/>
        <w:bottom w:val="none" w:sz="0" w:space="0" w:color="auto"/>
        <w:right w:val="none" w:sz="0" w:space="0" w:color="auto"/>
      </w:divBdr>
    </w:div>
    <w:div w:id="1652445663">
      <w:bodyDiv w:val="1"/>
      <w:marLeft w:val="0"/>
      <w:marRight w:val="0"/>
      <w:marTop w:val="0"/>
      <w:marBottom w:val="0"/>
      <w:divBdr>
        <w:top w:val="none" w:sz="0" w:space="0" w:color="auto"/>
        <w:left w:val="none" w:sz="0" w:space="0" w:color="auto"/>
        <w:bottom w:val="none" w:sz="0" w:space="0" w:color="auto"/>
        <w:right w:val="none" w:sz="0" w:space="0" w:color="auto"/>
      </w:divBdr>
    </w:div>
    <w:div w:id="1652560625">
      <w:bodyDiv w:val="1"/>
      <w:marLeft w:val="0"/>
      <w:marRight w:val="0"/>
      <w:marTop w:val="0"/>
      <w:marBottom w:val="0"/>
      <w:divBdr>
        <w:top w:val="none" w:sz="0" w:space="0" w:color="auto"/>
        <w:left w:val="none" w:sz="0" w:space="0" w:color="auto"/>
        <w:bottom w:val="none" w:sz="0" w:space="0" w:color="auto"/>
        <w:right w:val="none" w:sz="0" w:space="0" w:color="auto"/>
      </w:divBdr>
    </w:div>
    <w:div w:id="1652949966">
      <w:bodyDiv w:val="1"/>
      <w:marLeft w:val="0"/>
      <w:marRight w:val="0"/>
      <w:marTop w:val="0"/>
      <w:marBottom w:val="0"/>
      <w:divBdr>
        <w:top w:val="none" w:sz="0" w:space="0" w:color="auto"/>
        <w:left w:val="none" w:sz="0" w:space="0" w:color="auto"/>
        <w:bottom w:val="none" w:sz="0" w:space="0" w:color="auto"/>
        <w:right w:val="none" w:sz="0" w:space="0" w:color="auto"/>
      </w:divBdr>
    </w:div>
    <w:div w:id="1653101755">
      <w:bodyDiv w:val="1"/>
      <w:marLeft w:val="0"/>
      <w:marRight w:val="0"/>
      <w:marTop w:val="0"/>
      <w:marBottom w:val="0"/>
      <w:divBdr>
        <w:top w:val="none" w:sz="0" w:space="0" w:color="auto"/>
        <w:left w:val="none" w:sz="0" w:space="0" w:color="auto"/>
        <w:bottom w:val="none" w:sz="0" w:space="0" w:color="auto"/>
        <w:right w:val="none" w:sz="0" w:space="0" w:color="auto"/>
      </w:divBdr>
    </w:div>
    <w:div w:id="1653219272">
      <w:bodyDiv w:val="1"/>
      <w:marLeft w:val="0"/>
      <w:marRight w:val="0"/>
      <w:marTop w:val="0"/>
      <w:marBottom w:val="0"/>
      <w:divBdr>
        <w:top w:val="none" w:sz="0" w:space="0" w:color="auto"/>
        <w:left w:val="none" w:sz="0" w:space="0" w:color="auto"/>
        <w:bottom w:val="none" w:sz="0" w:space="0" w:color="auto"/>
        <w:right w:val="none" w:sz="0" w:space="0" w:color="auto"/>
      </w:divBdr>
    </w:div>
    <w:div w:id="1653287560">
      <w:bodyDiv w:val="1"/>
      <w:marLeft w:val="0"/>
      <w:marRight w:val="0"/>
      <w:marTop w:val="0"/>
      <w:marBottom w:val="0"/>
      <w:divBdr>
        <w:top w:val="none" w:sz="0" w:space="0" w:color="auto"/>
        <w:left w:val="none" w:sz="0" w:space="0" w:color="auto"/>
        <w:bottom w:val="none" w:sz="0" w:space="0" w:color="auto"/>
        <w:right w:val="none" w:sz="0" w:space="0" w:color="auto"/>
      </w:divBdr>
    </w:div>
    <w:div w:id="1653288025">
      <w:bodyDiv w:val="1"/>
      <w:marLeft w:val="0"/>
      <w:marRight w:val="0"/>
      <w:marTop w:val="0"/>
      <w:marBottom w:val="0"/>
      <w:divBdr>
        <w:top w:val="none" w:sz="0" w:space="0" w:color="auto"/>
        <w:left w:val="none" w:sz="0" w:space="0" w:color="auto"/>
        <w:bottom w:val="none" w:sz="0" w:space="0" w:color="auto"/>
        <w:right w:val="none" w:sz="0" w:space="0" w:color="auto"/>
      </w:divBdr>
    </w:div>
    <w:div w:id="1653290736">
      <w:bodyDiv w:val="1"/>
      <w:marLeft w:val="0"/>
      <w:marRight w:val="0"/>
      <w:marTop w:val="0"/>
      <w:marBottom w:val="0"/>
      <w:divBdr>
        <w:top w:val="none" w:sz="0" w:space="0" w:color="auto"/>
        <w:left w:val="none" w:sz="0" w:space="0" w:color="auto"/>
        <w:bottom w:val="none" w:sz="0" w:space="0" w:color="auto"/>
        <w:right w:val="none" w:sz="0" w:space="0" w:color="auto"/>
      </w:divBdr>
    </w:div>
    <w:div w:id="1653294816">
      <w:bodyDiv w:val="1"/>
      <w:marLeft w:val="0"/>
      <w:marRight w:val="0"/>
      <w:marTop w:val="0"/>
      <w:marBottom w:val="0"/>
      <w:divBdr>
        <w:top w:val="none" w:sz="0" w:space="0" w:color="auto"/>
        <w:left w:val="none" w:sz="0" w:space="0" w:color="auto"/>
        <w:bottom w:val="none" w:sz="0" w:space="0" w:color="auto"/>
        <w:right w:val="none" w:sz="0" w:space="0" w:color="auto"/>
      </w:divBdr>
    </w:div>
    <w:div w:id="1653413908">
      <w:bodyDiv w:val="1"/>
      <w:marLeft w:val="0"/>
      <w:marRight w:val="0"/>
      <w:marTop w:val="0"/>
      <w:marBottom w:val="0"/>
      <w:divBdr>
        <w:top w:val="none" w:sz="0" w:space="0" w:color="auto"/>
        <w:left w:val="none" w:sz="0" w:space="0" w:color="auto"/>
        <w:bottom w:val="none" w:sz="0" w:space="0" w:color="auto"/>
        <w:right w:val="none" w:sz="0" w:space="0" w:color="auto"/>
      </w:divBdr>
    </w:div>
    <w:div w:id="1653561257">
      <w:bodyDiv w:val="1"/>
      <w:marLeft w:val="0"/>
      <w:marRight w:val="0"/>
      <w:marTop w:val="0"/>
      <w:marBottom w:val="0"/>
      <w:divBdr>
        <w:top w:val="none" w:sz="0" w:space="0" w:color="auto"/>
        <w:left w:val="none" w:sz="0" w:space="0" w:color="auto"/>
        <w:bottom w:val="none" w:sz="0" w:space="0" w:color="auto"/>
        <w:right w:val="none" w:sz="0" w:space="0" w:color="auto"/>
      </w:divBdr>
    </w:div>
    <w:div w:id="1653563677">
      <w:bodyDiv w:val="1"/>
      <w:marLeft w:val="0"/>
      <w:marRight w:val="0"/>
      <w:marTop w:val="0"/>
      <w:marBottom w:val="0"/>
      <w:divBdr>
        <w:top w:val="none" w:sz="0" w:space="0" w:color="auto"/>
        <w:left w:val="none" w:sz="0" w:space="0" w:color="auto"/>
        <w:bottom w:val="none" w:sz="0" w:space="0" w:color="auto"/>
        <w:right w:val="none" w:sz="0" w:space="0" w:color="auto"/>
      </w:divBdr>
    </w:div>
    <w:div w:id="1653752180">
      <w:bodyDiv w:val="1"/>
      <w:marLeft w:val="0"/>
      <w:marRight w:val="0"/>
      <w:marTop w:val="0"/>
      <w:marBottom w:val="0"/>
      <w:divBdr>
        <w:top w:val="none" w:sz="0" w:space="0" w:color="auto"/>
        <w:left w:val="none" w:sz="0" w:space="0" w:color="auto"/>
        <w:bottom w:val="none" w:sz="0" w:space="0" w:color="auto"/>
        <w:right w:val="none" w:sz="0" w:space="0" w:color="auto"/>
      </w:divBdr>
    </w:div>
    <w:div w:id="1653754701">
      <w:bodyDiv w:val="1"/>
      <w:marLeft w:val="0"/>
      <w:marRight w:val="0"/>
      <w:marTop w:val="0"/>
      <w:marBottom w:val="0"/>
      <w:divBdr>
        <w:top w:val="none" w:sz="0" w:space="0" w:color="auto"/>
        <w:left w:val="none" w:sz="0" w:space="0" w:color="auto"/>
        <w:bottom w:val="none" w:sz="0" w:space="0" w:color="auto"/>
        <w:right w:val="none" w:sz="0" w:space="0" w:color="auto"/>
      </w:divBdr>
    </w:div>
    <w:div w:id="1653756112">
      <w:bodyDiv w:val="1"/>
      <w:marLeft w:val="0"/>
      <w:marRight w:val="0"/>
      <w:marTop w:val="0"/>
      <w:marBottom w:val="0"/>
      <w:divBdr>
        <w:top w:val="none" w:sz="0" w:space="0" w:color="auto"/>
        <w:left w:val="none" w:sz="0" w:space="0" w:color="auto"/>
        <w:bottom w:val="none" w:sz="0" w:space="0" w:color="auto"/>
        <w:right w:val="none" w:sz="0" w:space="0" w:color="auto"/>
      </w:divBdr>
    </w:div>
    <w:div w:id="1653756419">
      <w:bodyDiv w:val="1"/>
      <w:marLeft w:val="0"/>
      <w:marRight w:val="0"/>
      <w:marTop w:val="0"/>
      <w:marBottom w:val="0"/>
      <w:divBdr>
        <w:top w:val="none" w:sz="0" w:space="0" w:color="auto"/>
        <w:left w:val="none" w:sz="0" w:space="0" w:color="auto"/>
        <w:bottom w:val="none" w:sz="0" w:space="0" w:color="auto"/>
        <w:right w:val="none" w:sz="0" w:space="0" w:color="auto"/>
      </w:divBdr>
    </w:div>
    <w:div w:id="1653827576">
      <w:bodyDiv w:val="1"/>
      <w:marLeft w:val="0"/>
      <w:marRight w:val="0"/>
      <w:marTop w:val="0"/>
      <w:marBottom w:val="0"/>
      <w:divBdr>
        <w:top w:val="none" w:sz="0" w:space="0" w:color="auto"/>
        <w:left w:val="none" w:sz="0" w:space="0" w:color="auto"/>
        <w:bottom w:val="none" w:sz="0" w:space="0" w:color="auto"/>
        <w:right w:val="none" w:sz="0" w:space="0" w:color="auto"/>
      </w:divBdr>
    </w:div>
    <w:div w:id="1654022878">
      <w:bodyDiv w:val="1"/>
      <w:marLeft w:val="0"/>
      <w:marRight w:val="0"/>
      <w:marTop w:val="0"/>
      <w:marBottom w:val="0"/>
      <w:divBdr>
        <w:top w:val="none" w:sz="0" w:space="0" w:color="auto"/>
        <w:left w:val="none" w:sz="0" w:space="0" w:color="auto"/>
        <w:bottom w:val="none" w:sz="0" w:space="0" w:color="auto"/>
        <w:right w:val="none" w:sz="0" w:space="0" w:color="auto"/>
      </w:divBdr>
    </w:div>
    <w:div w:id="1654024557">
      <w:bodyDiv w:val="1"/>
      <w:marLeft w:val="0"/>
      <w:marRight w:val="0"/>
      <w:marTop w:val="0"/>
      <w:marBottom w:val="0"/>
      <w:divBdr>
        <w:top w:val="none" w:sz="0" w:space="0" w:color="auto"/>
        <w:left w:val="none" w:sz="0" w:space="0" w:color="auto"/>
        <w:bottom w:val="none" w:sz="0" w:space="0" w:color="auto"/>
        <w:right w:val="none" w:sz="0" w:space="0" w:color="auto"/>
      </w:divBdr>
    </w:div>
    <w:div w:id="1654026632">
      <w:bodyDiv w:val="1"/>
      <w:marLeft w:val="0"/>
      <w:marRight w:val="0"/>
      <w:marTop w:val="0"/>
      <w:marBottom w:val="0"/>
      <w:divBdr>
        <w:top w:val="none" w:sz="0" w:space="0" w:color="auto"/>
        <w:left w:val="none" w:sz="0" w:space="0" w:color="auto"/>
        <w:bottom w:val="none" w:sz="0" w:space="0" w:color="auto"/>
        <w:right w:val="none" w:sz="0" w:space="0" w:color="auto"/>
      </w:divBdr>
    </w:div>
    <w:div w:id="1654063849">
      <w:bodyDiv w:val="1"/>
      <w:marLeft w:val="0"/>
      <w:marRight w:val="0"/>
      <w:marTop w:val="0"/>
      <w:marBottom w:val="0"/>
      <w:divBdr>
        <w:top w:val="none" w:sz="0" w:space="0" w:color="auto"/>
        <w:left w:val="none" w:sz="0" w:space="0" w:color="auto"/>
        <w:bottom w:val="none" w:sz="0" w:space="0" w:color="auto"/>
        <w:right w:val="none" w:sz="0" w:space="0" w:color="auto"/>
      </w:divBdr>
    </w:div>
    <w:div w:id="1654139774">
      <w:bodyDiv w:val="1"/>
      <w:marLeft w:val="0"/>
      <w:marRight w:val="0"/>
      <w:marTop w:val="0"/>
      <w:marBottom w:val="0"/>
      <w:divBdr>
        <w:top w:val="none" w:sz="0" w:space="0" w:color="auto"/>
        <w:left w:val="none" w:sz="0" w:space="0" w:color="auto"/>
        <w:bottom w:val="none" w:sz="0" w:space="0" w:color="auto"/>
        <w:right w:val="none" w:sz="0" w:space="0" w:color="auto"/>
      </w:divBdr>
    </w:div>
    <w:div w:id="1654142376">
      <w:bodyDiv w:val="1"/>
      <w:marLeft w:val="0"/>
      <w:marRight w:val="0"/>
      <w:marTop w:val="0"/>
      <w:marBottom w:val="0"/>
      <w:divBdr>
        <w:top w:val="none" w:sz="0" w:space="0" w:color="auto"/>
        <w:left w:val="none" w:sz="0" w:space="0" w:color="auto"/>
        <w:bottom w:val="none" w:sz="0" w:space="0" w:color="auto"/>
        <w:right w:val="none" w:sz="0" w:space="0" w:color="auto"/>
      </w:divBdr>
    </w:div>
    <w:div w:id="1654483684">
      <w:bodyDiv w:val="1"/>
      <w:marLeft w:val="0"/>
      <w:marRight w:val="0"/>
      <w:marTop w:val="0"/>
      <w:marBottom w:val="0"/>
      <w:divBdr>
        <w:top w:val="none" w:sz="0" w:space="0" w:color="auto"/>
        <w:left w:val="none" w:sz="0" w:space="0" w:color="auto"/>
        <w:bottom w:val="none" w:sz="0" w:space="0" w:color="auto"/>
        <w:right w:val="none" w:sz="0" w:space="0" w:color="auto"/>
      </w:divBdr>
    </w:div>
    <w:div w:id="1654599335">
      <w:bodyDiv w:val="1"/>
      <w:marLeft w:val="0"/>
      <w:marRight w:val="0"/>
      <w:marTop w:val="0"/>
      <w:marBottom w:val="0"/>
      <w:divBdr>
        <w:top w:val="none" w:sz="0" w:space="0" w:color="auto"/>
        <w:left w:val="none" w:sz="0" w:space="0" w:color="auto"/>
        <w:bottom w:val="none" w:sz="0" w:space="0" w:color="auto"/>
        <w:right w:val="none" w:sz="0" w:space="0" w:color="auto"/>
      </w:divBdr>
    </w:div>
    <w:div w:id="1654605780">
      <w:bodyDiv w:val="1"/>
      <w:marLeft w:val="0"/>
      <w:marRight w:val="0"/>
      <w:marTop w:val="0"/>
      <w:marBottom w:val="0"/>
      <w:divBdr>
        <w:top w:val="none" w:sz="0" w:space="0" w:color="auto"/>
        <w:left w:val="none" w:sz="0" w:space="0" w:color="auto"/>
        <w:bottom w:val="none" w:sz="0" w:space="0" w:color="auto"/>
        <w:right w:val="none" w:sz="0" w:space="0" w:color="auto"/>
      </w:divBdr>
    </w:div>
    <w:div w:id="1654677467">
      <w:bodyDiv w:val="1"/>
      <w:marLeft w:val="0"/>
      <w:marRight w:val="0"/>
      <w:marTop w:val="0"/>
      <w:marBottom w:val="0"/>
      <w:divBdr>
        <w:top w:val="none" w:sz="0" w:space="0" w:color="auto"/>
        <w:left w:val="none" w:sz="0" w:space="0" w:color="auto"/>
        <w:bottom w:val="none" w:sz="0" w:space="0" w:color="auto"/>
        <w:right w:val="none" w:sz="0" w:space="0" w:color="auto"/>
      </w:divBdr>
    </w:div>
    <w:div w:id="1654679385">
      <w:bodyDiv w:val="1"/>
      <w:marLeft w:val="0"/>
      <w:marRight w:val="0"/>
      <w:marTop w:val="0"/>
      <w:marBottom w:val="0"/>
      <w:divBdr>
        <w:top w:val="none" w:sz="0" w:space="0" w:color="auto"/>
        <w:left w:val="none" w:sz="0" w:space="0" w:color="auto"/>
        <w:bottom w:val="none" w:sz="0" w:space="0" w:color="auto"/>
        <w:right w:val="none" w:sz="0" w:space="0" w:color="auto"/>
      </w:divBdr>
    </w:div>
    <w:div w:id="1654748611">
      <w:bodyDiv w:val="1"/>
      <w:marLeft w:val="0"/>
      <w:marRight w:val="0"/>
      <w:marTop w:val="0"/>
      <w:marBottom w:val="0"/>
      <w:divBdr>
        <w:top w:val="none" w:sz="0" w:space="0" w:color="auto"/>
        <w:left w:val="none" w:sz="0" w:space="0" w:color="auto"/>
        <w:bottom w:val="none" w:sz="0" w:space="0" w:color="auto"/>
        <w:right w:val="none" w:sz="0" w:space="0" w:color="auto"/>
      </w:divBdr>
    </w:div>
    <w:div w:id="1654944749">
      <w:bodyDiv w:val="1"/>
      <w:marLeft w:val="0"/>
      <w:marRight w:val="0"/>
      <w:marTop w:val="0"/>
      <w:marBottom w:val="0"/>
      <w:divBdr>
        <w:top w:val="none" w:sz="0" w:space="0" w:color="auto"/>
        <w:left w:val="none" w:sz="0" w:space="0" w:color="auto"/>
        <w:bottom w:val="none" w:sz="0" w:space="0" w:color="auto"/>
        <w:right w:val="none" w:sz="0" w:space="0" w:color="auto"/>
      </w:divBdr>
    </w:div>
    <w:div w:id="1654991378">
      <w:bodyDiv w:val="1"/>
      <w:marLeft w:val="0"/>
      <w:marRight w:val="0"/>
      <w:marTop w:val="0"/>
      <w:marBottom w:val="0"/>
      <w:divBdr>
        <w:top w:val="none" w:sz="0" w:space="0" w:color="auto"/>
        <w:left w:val="none" w:sz="0" w:space="0" w:color="auto"/>
        <w:bottom w:val="none" w:sz="0" w:space="0" w:color="auto"/>
        <w:right w:val="none" w:sz="0" w:space="0" w:color="auto"/>
      </w:divBdr>
    </w:div>
    <w:div w:id="1655143584">
      <w:bodyDiv w:val="1"/>
      <w:marLeft w:val="0"/>
      <w:marRight w:val="0"/>
      <w:marTop w:val="0"/>
      <w:marBottom w:val="0"/>
      <w:divBdr>
        <w:top w:val="none" w:sz="0" w:space="0" w:color="auto"/>
        <w:left w:val="none" w:sz="0" w:space="0" w:color="auto"/>
        <w:bottom w:val="none" w:sz="0" w:space="0" w:color="auto"/>
        <w:right w:val="none" w:sz="0" w:space="0" w:color="auto"/>
      </w:divBdr>
    </w:div>
    <w:div w:id="1655177901">
      <w:bodyDiv w:val="1"/>
      <w:marLeft w:val="0"/>
      <w:marRight w:val="0"/>
      <w:marTop w:val="0"/>
      <w:marBottom w:val="0"/>
      <w:divBdr>
        <w:top w:val="none" w:sz="0" w:space="0" w:color="auto"/>
        <w:left w:val="none" w:sz="0" w:space="0" w:color="auto"/>
        <w:bottom w:val="none" w:sz="0" w:space="0" w:color="auto"/>
        <w:right w:val="none" w:sz="0" w:space="0" w:color="auto"/>
      </w:divBdr>
    </w:div>
    <w:div w:id="1655254085">
      <w:bodyDiv w:val="1"/>
      <w:marLeft w:val="0"/>
      <w:marRight w:val="0"/>
      <w:marTop w:val="0"/>
      <w:marBottom w:val="0"/>
      <w:divBdr>
        <w:top w:val="none" w:sz="0" w:space="0" w:color="auto"/>
        <w:left w:val="none" w:sz="0" w:space="0" w:color="auto"/>
        <w:bottom w:val="none" w:sz="0" w:space="0" w:color="auto"/>
        <w:right w:val="none" w:sz="0" w:space="0" w:color="auto"/>
      </w:divBdr>
    </w:div>
    <w:div w:id="1655335646">
      <w:bodyDiv w:val="1"/>
      <w:marLeft w:val="0"/>
      <w:marRight w:val="0"/>
      <w:marTop w:val="0"/>
      <w:marBottom w:val="0"/>
      <w:divBdr>
        <w:top w:val="none" w:sz="0" w:space="0" w:color="auto"/>
        <w:left w:val="none" w:sz="0" w:space="0" w:color="auto"/>
        <w:bottom w:val="none" w:sz="0" w:space="0" w:color="auto"/>
        <w:right w:val="none" w:sz="0" w:space="0" w:color="auto"/>
      </w:divBdr>
    </w:div>
    <w:div w:id="1655405450">
      <w:bodyDiv w:val="1"/>
      <w:marLeft w:val="0"/>
      <w:marRight w:val="0"/>
      <w:marTop w:val="0"/>
      <w:marBottom w:val="0"/>
      <w:divBdr>
        <w:top w:val="none" w:sz="0" w:space="0" w:color="auto"/>
        <w:left w:val="none" w:sz="0" w:space="0" w:color="auto"/>
        <w:bottom w:val="none" w:sz="0" w:space="0" w:color="auto"/>
        <w:right w:val="none" w:sz="0" w:space="0" w:color="auto"/>
      </w:divBdr>
    </w:div>
    <w:div w:id="1655449149">
      <w:bodyDiv w:val="1"/>
      <w:marLeft w:val="0"/>
      <w:marRight w:val="0"/>
      <w:marTop w:val="0"/>
      <w:marBottom w:val="0"/>
      <w:divBdr>
        <w:top w:val="none" w:sz="0" w:space="0" w:color="auto"/>
        <w:left w:val="none" w:sz="0" w:space="0" w:color="auto"/>
        <w:bottom w:val="none" w:sz="0" w:space="0" w:color="auto"/>
        <w:right w:val="none" w:sz="0" w:space="0" w:color="auto"/>
      </w:divBdr>
    </w:div>
    <w:div w:id="1655524075">
      <w:bodyDiv w:val="1"/>
      <w:marLeft w:val="0"/>
      <w:marRight w:val="0"/>
      <w:marTop w:val="0"/>
      <w:marBottom w:val="0"/>
      <w:divBdr>
        <w:top w:val="none" w:sz="0" w:space="0" w:color="auto"/>
        <w:left w:val="none" w:sz="0" w:space="0" w:color="auto"/>
        <w:bottom w:val="none" w:sz="0" w:space="0" w:color="auto"/>
        <w:right w:val="none" w:sz="0" w:space="0" w:color="auto"/>
      </w:divBdr>
    </w:div>
    <w:div w:id="1655986946">
      <w:bodyDiv w:val="1"/>
      <w:marLeft w:val="0"/>
      <w:marRight w:val="0"/>
      <w:marTop w:val="0"/>
      <w:marBottom w:val="0"/>
      <w:divBdr>
        <w:top w:val="none" w:sz="0" w:space="0" w:color="auto"/>
        <w:left w:val="none" w:sz="0" w:space="0" w:color="auto"/>
        <w:bottom w:val="none" w:sz="0" w:space="0" w:color="auto"/>
        <w:right w:val="none" w:sz="0" w:space="0" w:color="auto"/>
      </w:divBdr>
    </w:div>
    <w:div w:id="1655991743">
      <w:bodyDiv w:val="1"/>
      <w:marLeft w:val="0"/>
      <w:marRight w:val="0"/>
      <w:marTop w:val="0"/>
      <w:marBottom w:val="0"/>
      <w:divBdr>
        <w:top w:val="none" w:sz="0" w:space="0" w:color="auto"/>
        <w:left w:val="none" w:sz="0" w:space="0" w:color="auto"/>
        <w:bottom w:val="none" w:sz="0" w:space="0" w:color="auto"/>
        <w:right w:val="none" w:sz="0" w:space="0" w:color="auto"/>
      </w:divBdr>
    </w:div>
    <w:div w:id="1656034184">
      <w:bodyDiv w:val="1"/>
      <w:marLeft w:val="0"/>
      <w:marRight w:val="0"/>
      <w:marTop w:val="0"/>
      <w:marBottom w:val="0"/>
      <w:divBdr>
        <w:top w:val="none" w:sz="0" w:space="0" w:color="auto"/>
        <w:left w:val="none" w:sz="0" w:space="0" w:color="auto"/>
        <w:bottom w:val="none" w:sz="0" w:space="0" w:color="auto"/>
        <w:right w:val="none" w:sz="0" w:space="0" w:color="auto"/>
      </w:divBdr>
    </w:div>
    <w:div w:id="1656110207">
      <w:bodyDiv w:val="1"/>
      <w:marLeft w:val="0"/>
      <w:marRight w:val="0"/>
      <w:marTop w:val="0"/>
      <w:marBottom w:val="0"/>
      <w:divBdr>
        <w:top w:val="none" w:sz="0" w:space="0" w:color="auto"/>
        <w:left w:val="none" w:sz="0" w:space="0" w:color="auto"/>
        <w:bottom w:val="none" w:sz="0" w:space="0" w:color="auto"/>
        <w:right w:val="none" w:sz="0" w:space="0" w:color="auto"/>
      </w:divBdr>
    </w:div>
    <w:div w:id="1656227495">
      <w:bodyDiv w:val="1"/>
      <w:marLeft w:val="0"/>
      <w:marRight w:val="0"/>
      <w:marTop w:val="0"/>
      <w:marBottom w:val="0"/>
      <w:divBdr>
        <w:top w:val="none" w:sz="0" w:space="0" w:color="auto"/>
        <w:left w:val="none" w:sz="0" w:space="0" w:color="auto"/>
        <w:bottom w:val="none" w:sz="0" w:space="0" w:color="auto"/>
        <w:right w:val="none" w:sz="0" w:space="0" w:color="auto"/>
      </w:divBdr>
    </w:div>
    <w:div w:id="1656294802">
      <w:bodyDiv w:val="1"/>
      <w:marLeft w:val="0"/>
      <w:marRight w:val="0"/>
      <w:marTop w:val="0"/>
      <w:marBottom w:val="0"/>
      <w:divBdr>
        <w:top w:val="none" w:sz="0" w:space="0" w:color="auto"/>
        <w:left w:val="none" w:sz="0" w:space="0" w:color="auto"/>
        <w:bottom w:val="none" w:sz="0" w:space="0" w:color="auto"/>
        <w:right w:val="none" w:sz="0" w:space="0" w:color="auto"/>
      </w:divBdr>
    </w:div>
    <w:div w:id="1656492318">
      <w:bodyDiv w:val="1"/>
      <w:marLeft w:val="0"/>
      <w:marRight w:val="0"/>
      <w:marTop w:val="0"/>
      <w:marBottom w:val="0"/>
      <w:divBdr>
        <w:top w:val="none" w:sz="0" w:space="0" w:color="auto"/>
        <w:left w:val="none" w:sz="0" w:space="0" w:color="auto"/>
        <w:bottom w:val="none" w:sz="0" w:space="0" w:color="auto"/>
        <w:right w:val="none" w:sz="0" w:space="0" w:color="auto"/>
      </w:divBdr>
    </w:div>
    <w:div w:id="1656566334">
      <w:bodyDiv w:val="1"/>
      <w:marLeft w:val="0"/>
      <w:marRight w:val="0"/>
      <w:marTop w:val="0"/>
      <w:marBottom w:val="0"/>
      <w:divBdr>
        <w:top w:val="none" w:sz="0" w:space="0" w:color="auto"/>
        <w:left w:val="none" w:sz="0" w:space="0" w:color="auto"/>
        <w:bottom w:val="none" w:sz="0" w:space="0" w:color="auto"/>
        <w:right w:val="none" w:sz="0" w:space="0" w:color="auto"/>
      </w:divBdr>
    </w:div>
    <w:div w:id="1656646077">
      <w:bodyDiv w:val="1"/>
      <w:marLeft w:val="0"/>
      <w:marRight w:val="0"/>
      <w:marTop w:val="0"/>
      <w:marBottom w:val="0"/>
      <w:divBdr>
        <w:top w:val="none" w:sz="0" w:space="0" w:color="auto"/>
        <w:left w:val="none" w:sz="0" w:space="0" w:color="auto"/>
        <w:bottom w:val="none" w:sz="0" w:space="0" w:color="auto"/>
        <w:right w:val="none" w:sz="0" w:space="0" w:color="auto"/>
      </w:divBdr>
    </w:div>
    <w:div w:id="1656759826">
      <w:bodyDiv w:val="1"/>
      <w:marLeft w:val="0"/>
      <w:marRight w:val="0"/>
      <w:marTop w:val="0"/>
      <w:marBottom w:val="0"/>
      <w:divBdr>
        <w:top w:val="none" w:sz="0" w:space="0" w:color="auto"/>
        <w:left w:val="none" w:sz="0" w:space="0" w:color="auto"/>
        <w:bottom w:val="none" w:sz="0" w:space="0" w:color="auto"/>
        <w:right w:val="none" w:sz="0" w:space="0" w:color="auto"/>
      </w:divBdr>
    </w:div>
    <w:div w:id="1656836206">
      <w:bodyDiv w:val="1"/>
      <w:marLeft w:val="0"/>
      <w:marRight w:val="0"/>
      <w:marTop w:val="0"/>
      <w:marBottom w:val="0"/>
      <w:divBdr>
        <w:top w:val="none" w:sz="0" w:space="0" w:color="auto"/>
        <w:left w:val="none" w:sz="0" w:space="0" w:color="auto"/>
        <w:bottom w:val="none" w:sz="0" w:space="0" w:color="auto"/>
        <w:right w:val="none" w:sz="0" w:space="0" w:color="auto"/>
      </w:divBdr>
    </w:div>
    <w:div w:id="1656911737">
      <w:bodyDiv w:val="1"/>
      <w:marLeft w:val="0"/>
      <w:marRight w:val="0"/>
      <w:marTop w:val="0"/>
      <w:marBottom w:val="0"/>
      <w:divBdr>
        <w:top w:val="none" w:sz="0" w:space="0" w:color="auto"/>
        <w:left w:val="none" w:sz="0" w:space="0" w:color="auto"/>
        <w:bottom w:val="none" w:sz="0" w:space="0" w:color="auto"/>
        <w:right w:val="none" w:sz="0" w:space="0" w:color="auto"/>
      </w:divBdr>
    </w:div>
    <w:div w:id="1656913780">
      <w:bodyDiv w:val="1"/>
      <w:marLeft w:val="0"/>
      <w:marRight w:val="0"/>
      <w:marTop w:val="0"/>
      <w:marBottom w:val="0"/>
      <w:divBdr>
        <w:top w:val="none" w:sz="0" w:space="0" w:color="auto"/>
        <w:left w:val="none" w:sz="0" w:space="0" w:color="auto"/>
        <w:bottom w:val="none" w:sz="0" w:space="0" w:color="auto"/>
        <w:right w:val="none" w:sz="0" w:space="0" w:color="auto"/>
      </w:divBdr>
    </w:div>
    <w:div w:id="1656954957">
      <w:bodyDiv w:val="1"/>
      <w:marLeft w:val="0"/>
      <w:marRight w:val="0"/>
      <w:marTop w:val="0"/>
      <w:marBottom w:val="0"/>
      <w:divBdr>
        <w:top w:val="none" w:sz="0" w:space="0" w:color="auto"/>
        <w:left w:val="none" w:sz="0" w:space="0" w:color="auto"/>
        <w:bottom w:val="none" w:sz="0" w:space="0" w:color="auto"/>
        <w:right w:val="none" w:sz="0" w:space="0" w:color="auto"/>
      </w:divBdr>
    </w:div>
    <w:div w:id="1657029851">
      <w:bodyDiv w:val="1"/>
      <w:marLeft w:val="0"/>
      <w:marRight w:val="0"/>
      <w:marTop w:val="0"/>
      <w:marBottom w:val="0"/>
      <w:divBdr>
        <w:top w:val="none" w:sz="0" w:space="0" w:color="auto"/>
        <w:left w:val="none" w:sz="0" w:space="0" w:color="auto"/>
        <w:bottom w:val="none" w:sz="0" w:space="0" w:color="auto"/>
        <w:right w:val="none" w:sz="0" w:space="0" w:color="auto"/>
      </w:divBdr>
    </w:div>
    <w:div w:id="1657109064">
      <w:bodyDiv w:val="1"/>
      <w:marLeft w:val="0"/>
      <w:marRight w:val="0"/>
      <w:marTop w:val="0"/>
      <w:marBottom w:val="0"/>
      <w:divBdr>
        <w:top w:val="none" w:sz="0" w:space="0" w:color="auto"/>
        <w:left w:val="none" w:sz="0" w:space="0" w:color="auto"/>
        <w:bottom w:val="none" w:sz="0" w:space="0" w:color="auto"/>
        <w:right w:val="none" w:sz="0" w:space="0" w:color="auto"/>
      </w:divBdr>
    </w:div>
    <w:div w:id="1657143849">
      <w:bodyDiv w:val="1"/>
      <w:marLeft w:val="0"/>
      <w:marRight w:val="0"/>
      <w:marTop w:val="0"/>
      <w:marBottom w:val="0"/>
      <w:divBdr>
        <w:top w:val="none" w:sz="0" w:space="0" w:color="auto"/>
        <w:left w:val="none" w:sz="0" w:space="0" w:color="auto"/>
        <w:bottom w:val="none" w:sz="0" w:space="0" w:color="auto"/>
        <w:right w:val="none" w:sz="0" w:space="0" w:color="auto"/>
      </w:divBdr>
    </w:div>
    <w:div w:id="1657301758">
      <w:bodyDiv w:val="1"/>
      <w:marLeft w:val="0"/>
      <w:marRight w:val="0"/>
      <w:marTop w:val="0"/>
      <w:marBottom w:val="0"/>
      <w:divBdr>
        <w:top w:val="none" w:sz="0" w:space="0" w:color="auto"/>
        <w:left w:val="none" w:sz="0" w:space="0" w:color="auto"/>
        <w:bottom w:val="none" w:sz="0" w:space="0" w:color="auto"/>
        <w:right w:val="none" w:sz="0" w:space="0" w:color="auto"/>
      </w:divBdr>
    </w:div>
    <w:div w:id="1657537123">
      <w:bodyDiv w:val="1"/>
      <w:marLeft w:val="0"/>
      <w:marRight w:val="0"/>
      <w:marTop w:val="0"/>
      <w:marBottom w:val="0"/>
      <w:divBdr>
        <w:top w:val="none" w:sz="0" w:space="0" w:color="auto"/>
        <w:left w:val="none" w:sz="0" w:space="0" w:color="auto"/>
        <w:bottom w:val="none" w:sz="0" w:space="0" w:color="auto"/>
        <w:right w:val="none" w:sz="0" w:space="0" w:color="auto"/>
      </w:divBdr>
    </w:div>
    <w:div w:id="1657686712">
      <w:bodyDiv w:val="1"/>
      <w:marLeft w:val="0"/>
      <w:marRight w:val="0"/>
      <w:marTop w:val="0"/>
      <w:marBottom w:val="0"/>
      <w:divBdr>
        <w:top w:val="none" w:sz="0" w:space="0" w:color="auto"/>
        <w:left w:val="none" w:sz="0" w:space="0" w:color="auto"/>
        <w:bottom w:val="none" w:sz="0" w:space="0" w:color="auto"/>
        <w:right w:val="none" w:sz="0" w:space="0" w:color="auto"/>
      </w:divBdr>
    </w:div>
    <w:div w:id="1657764027">
      <w:bodyDiv w:val="1"/>
      <w:marLeft w:val="0"/>
      <w:marRight w:val="0"/>
      <w:marTop w:val="0"/>
      <w:marBottom w:val="0"/>
      <w:divBdr>
        <w:top w:val="none" w:sz="0" w:space="0" w:color="auto"/>
        <w:left w:val="none" w:sz="0" w:space="0" w:color="auto"/>
        <w:bottom w:val="none" w:sz="0" w:space="0" w:color="auto"/>
        <w:right w:val="none" w:sz="0" w:space="0" w:color="auto"/>
      </w:divBdr>
    </w:div>
    <w:div w:id="1657874974">
      <w:bodyDiv w:val="1"/>
      <w:marLeft w:val="0"/>
      <w:marRight w:val="0"/>
      <w:marTop w:val="0"/>
      <w:marBottom w:val="0"/>
      <w:divBdr>
        <w:top w:val="none" w:sz="0" w:space="0" w:color="auto"/>
        <w:left w:val="none" w:sz="0" w:space="0" w:color="auto"/>
        <w:bottom w:val="none" w:sz="0" w:space="0" w:color="auto"/>
        <w:right w:val="none" w:sz="0" w:space="0" w:color="auto"/>
      </w:divBdr>
    </w:div>
    <w:div w:id="1657881764">
      <w:bodyDiv w:val="1"/>
      <w:marLeft w:val="0"/>
      <w:marRight w:val="0"/>
      <w:marTop w:val="0"/>
      <w:marBottom w:val="0"/>
      <w:divBdr>
        <w:top w:val="none" w:sz="0" w:space="0" w:color="auto"/>
        <w:left w:val="none" w:sz="0" w:space="0" w:color="auto"/>
        <w:bottom w:val="none" w:sz="0" w:space="0" w:color="auto"/>
        <w:right w:val="none" w:sz="0" w:space="0" w:color="auto"/>
      </w:divBdr>
    </w:div>
    <w:div w:id="1658027073">
      <w:bodyDiv w:val="1"/>
      <w:marLeft w:val="0"/>
      <w:marRight w:val="0"/>
      <w:marTop w:val="0"/>
      <w:marBottom w:val="0"/>
      <w:divBdr>
        <w:top w:val="none" w:sz="0" w:space="0" w:color="auto"/>
        <w:left w:val="none" w:sz="0" w:space="0" w:color="auto"/>
        <w:bottom w:val="none" w:sz="0" w:space="0" w:color="auto"/>
        <w:right w:val="none" w:sz="0" w:space="0" w:color="auto"/>
      </w:divBdr>
    </w:div>
    <w:div w:id="1658075600">
      <w:bodyDiv w:val="1"/>
      <w:marLeft w:val="0"/>
      <w:marRight w:val="0"/>
      <w:marTop w:val="0"/>
      <w:marBottom w:val="0"/>
      <w:divBdr>
        <w:top w:val="none" w:sz="0" w:space="0" w:color="auto"/>
        <w:left w:val="none" w:sz="0" w:space="0" w:color="auto"/>
        <w:bottom w:val="none" w:sz="0" w:space="0" w:color="auto"/>
        <w:right w:val="none" w:sz="0" w:space="0" w:color="auto"/>
      </w:divBdr>
    </w:div>
    <w:div w:id="1658147227">
      <w:bodyDiv w:val="1"/>
      <w:marLeft w:val="0"/>
      <w:marRight w:val="0"/>
      <w:marTop w:val="0"/>
      <w:marBottom w:val="0"/>
      <w:divBdr>
        <w:top w:val="none" w:sz="0" w:space="0" w:color="auto"/>
        <w:left w:val="none" w:sz="0" w:space="0" w:color="auto"/>
        <w:bottom w:val="none" w:sz="0" w:space="0" w:color="auto"/>
        <w:right w:val="none" w:sz="0" w:space="0" w:color="auto"/>
      </w:divBdr>
    </w:div>
    <w:div w:id="1658260706">
      <w:bodyDiv w:val="1"/>
      <w:marLeft w:val="0"/>
      <w:marRight w:val="0"/>
      <w:marTop w:val="0"/>
      <w:marBottom w:val="0"/>
      <w:divBdr>
        <w:top w:val="none" w:sz="0" w:space="0" w:color="auto"/>
        <w:left w:val="none" w:sz="0" w:space="0" w:color="auto"/>
        <w:bottom w:val="none" w:sz="0" w:space="0" w:color="auto"/>
        <w:right w:val="none" w:sz="0" w:space="0" w:color="auto"/>
      </w:divBdr>
    </w:div>
    <w:div w:id="1658269690">
      <w:bodyDiv w:val="1"/>
      <w:marLeft w:val="0"/>
      <w:marRight w:val="0"/>
      <w:marTop w:val="0"/>
      <w:marBottom w:val="0"/>
      <w:divBdr>
        <w:top w:val="none" w:sz="0" w:space="0" w:color="auto"/>
        <w:left w:val="none" w:sz="0" w:space="0" w:color="auto"/>
        <w:bottom w:val="none" w:sz="0" w:space="0" w:color="auto"/>
        <w:right w:val="none" w:sz="0" w:space="0" w:color="auto"/>
      </w:divBdr>
    </w:div>
    <w:div w:id="1658341496">
      <w:bodyDiv w:val="1"/>
      <w:marLeft w:val="0"/>
      <w:marRight w:val="0"/>
      <w:marTop w:val="0"/>
      <w:marBottom w:val="0"/>
      <w:divBdr>
        <w:top w:val="none" w:sz="0" w:space="0" w:color="auto"/>
        <w:left w:val="none" w:sz="0" w:space="0" w:color="auto"/>
        <w:bottom w:val="none" w:sz="0" w:space="0" w:color="auto"/>
        <w:right w:val="none" w:sz="0" w:space="0" w:color="auto"/>
      </w:divBdr>
    </w:div>
    <w:div w:id="1658342838">
      <w:bodyDiv w:val="1"/>
      <w:marLeft w:val="0"/>
      <w:marRight w:val="0"/>
      <w:marTop w:val="0"/>
      <w:marBottom w:val="0"/>
      <w:divBdr>
        <w:top w:val="none" w:sz="0" w:space="0" w:color="auto"/>
        <w:left w:val="none" w:sz="0" w:space="0" w:color="auto"/>
        <w:bottom w:val="none" w:sz="0" w:space="0" w:color="auto"/>
        <w:right w:val="none" w:sz="0" w:space="0" w:color="auto"/>
      </w:divBdr>
    </w:div>
    <w:div w:id="1658344483">
      <w:bodyDiv w:val="1"/>
      <w:marLeft w:val="0"/>
      <w:marRight w:val="0"/>
      <w:marTop w:val="0"/>
      <w:marBottom w:val="0"/>
      <w:divBdr>
        <w:top w:val="none" w:sz="0" w:space="0" w:color="auto"/>
        <w:left w:val="none" w:sz="0" w:space="0" w:color="auto"/>
        <w:bottom w:val="none" w:sz="0" w:space="0" w:color="auto"/>
        <w:right w:val="none" w:sz="0" w:space="0" w:color="auto"/>
      </w:divBdr>
    </w:div>
    <w:div w:id="1658413108">
      <w:bodyDiv w:val="1"/>
      <w:marLeft w:val="0"/>
      <w:marRight w:val="0"/>
      <w:marTop w:val="0"/>
      <w:marBottom w:val="0"/>
      <w:divBdr>
        <w:top w:val="none" w:sz="0" w:space="0" w:color="auto"/>
        <w:left w:val="none" w:sz="0" w:space="0" w:color="auto"/>
        <w:bottom w:val="none" w:sz="0" w:space="0" w:color="auto"/>
        <w:right w:val="none" w:sz="0" w:space="0" w:color="auto"/>
      </w:divBdr>
    </w:div>
    <w:div w:id="1658454643">
      <w:bodyDiv w:val="1"/>
      <w:marLeft w:val="0"/>
      <w:marRight w:val="0"/>
      <w:marTop w:val="0"/>
      <w:marBottom w:val="0"/>
      <w:divBdr>
        <w:top w:val="none" w:sz="0" w:space="0" w:color="auto"/>
        <w:left w:val="none" w:sz="0" w:space="0" w:color="auto"/>
        <w:bottom w:val="none" w:sz="0" w:space="0" w:color="auto"/>
        <w:right w:val="none" w:sz="0" w:space="0" w:color="auto"/>
      </w:divBdr>
    </w:div>
    <w:div w:id="1658457061">
      <w:bodyDiv w:val="1"/>
      <w:marLeft w:val="0"/>
      <w:marRight w:val="0"/>
      <w:marTop w:val="0"/>
      <w:marBottom w:val="0"/>
      <w:divBdr>
        <w:top w:val="none" w:sz="0" w:space="0" w:color="auto"/>
        <w:left w:val="none" w:sz="0" w:space="0" w:color="auto"/>
        <w:bottom w:val="none" w:sz="0" w:space="0" w:color="auto"/>
        <w:right w:val="none" w:sz="0" w:space="0" w:color="auto"/>
      </w:divBdr>
    </w:div>
    <w:div w:id="1658457645">
      <w:bodyDiv w:val="1"/>
      <w:marLeft w:val="0"/>
      <w:marRight w:val="0"/>
      <w:marTop w:val="0"/>
      <w:marBottom w:val="0"/>
      <w:divBdr>
        <w:top w:val="none" w:sz="0" w:space="0" w:color="auto"/>
        <w:left w:val="none" w:sz="0" w:space="0" w:color="auto"/>
        <w:bottom w:val="none" w:sz="0" w:space="0" w:color="auto"/>
        <w:right w:val="none" w:sz="0" w:space="0" w:color="auto"/>
      </w:divBdr>
    </w:div>
    <w:div w:id="1658486750">
      <w:bodyDiv w:val="1"/>
      <w:marLeft w:val="0"/>
      <w:marRight w:val="0"/>
      <w:marTop w:val="0"/>
      <w:marBottom w:val="0"/>
      <w:divBdr>
        <w:top w:val="none" w:sz="0" w:space="0" w:color="auto"/>
        <w:left w:val="none" w:sz="0" w:space="0" w:color="auto"/>
        <w:bottom w:val="none" w:sz="0" w:space="0" w:color="auto"/>
        <w:right w:val="none" w:sz="0" w:space="0" w:color="auto"/>
      </w:divBdr>
    </w:div>
    <w:div w:id="1658536294">
      <w:bodyDiv w:val="1"/>
      <w:marLeft w:val="0"/>
      <w:marRight w:val="0"/>
      <w:marTop w:val="0"/>
      <w:marBottom w:val="0"/>
      <w:divBdr>
        <w:top w:val="none" w:sz="0" w:space="0" w:color="auto"/>
        <w:left w:val="none" w:sz="0" w:space="0" w:color="auto"/>
        <w:bottom w:val="none" w:sz="0" w:space="0" w:color="auto"/>
        <w:right w:val="none" w:sz="0" w:space="0" w:color="auto"/>
      </w:divBdr>
    </w:div>
    <w:div w:id="1658651241">
      <w:bodyDiv w:val="1"/>
      <w:marLeft w:val="0"/>
      <w:marRight w:val="0"/>
      <w:marTop w:val="0"/>
      <w:marBottom w:val="0"/>
      <w:divBdr>
        <w:top w:val="none" w:sz="0" w:space="0" w:color="auto"/>
        <w:left w:val="none" w:sz="0" w:space="0" w:color="auto"/>
        <w:bottom w:val="none" w:sz="0" w:space="0" w:color="auto"/>
        <w:right w:val="none" w:sz="0" w:space="0" w:color="auto"/>
      </w:divBdr>
    </w:div>
    <w:div w:id="1658797517">
      <w:bodyDiv w:val="1"/>
      <w:marLeft w:val="0"/>
      <w:marRight w:val="0"/>
      <w:marTop w:val="0"/>
      <w:marBottom w:val="0"/>
      <w:divBdr>
        <w:top w:val="none" w:sz="0" w:space="0" w:color="auto"/>
        <w:left w:val="none" w:sz="0" w:space="0" w:color="auto"/>
        <w:bottom w:val="none" w:sz="0" w:space="0" w:color="auto"/>
        <w:right w:val="none" w:sz="0" w:space="0" w:color="auto"/>
      </w:divBdr>
    </w:div>
    <w:div w:id="1658798497">
      <w:bodyDiv w:val="1"/>
      <w:marLeft w:val="0"/>
      <w:marRight w:val="0"/>
      <w:marTop w:val="0"/>
      <w:marBottom w:val="0"/>
      <w:divBdr>
        <w:top w:val="none" w:sz="0" w:space="0" w:color="auto"/>
        <w:left w:val="none" w:sz="0" w:space="0" w:color="auto"/>
        <w:bottom w:val="none" w:sz="0" w:space="0" w:color="auto"/>
        <w:right w:val="none" w:sz="0" w:space="0" w:color="auto"/>
      </w:divBdr>
    </w:div>
    <w:div w:id="1659111636">
      <w:bodyDiv w:val="1"/>
      <w:marLeft w:val="0"/>
      <w:marRight w:val="0"/>
      <w:marTop w:val="0"/>
      <w:marBottom w:val="0"/>
      <w:divBdr>
        <w:top w:val="none" w:sz="0" w:space="0" w:color="auto"/>
        <w:left w:val="none" w:sz="0" w:space="0" w:color="auto"/>
        <w:bottom w:val="none" w:sz="0" w:space="0" w:color="auto"/>
        <w:right w:val="none" w:sz="0" w:space="0" w:color="auto"/>
      </w:divBdr>
    </w:div>
    <w:div w:id="1659267451">
      <w:bodyDiv w:val="1"/>
      <w:marLeft w:val="0"/>
      <w:marRight w:val="0"/>
      <w:marTop w:val="0"/>
      <w:marBottom w:val="0"/>
      <w:divBdr>
        <w:top w:val="none" w:sz="0" w:space="0" w:color="auto"/>
        <w:left w:val="none" w:sz="0" w:space="0" w:color="auto"/>
        <w:bottom w:val="none" w:sz="0" w:space="0" w:color="auto"/>
        <w:right w:val="none" w:sz="0" w:space="0" w:color="auto"/>
      </w:divBdr>
    </w:div>
    <w:div w:id="1659308028">
      <w:bodyDiv w:val="1"/>
      <w:marLeft w:val="0"/>
      <w:marRight w:val="0"/>
      <w:marTop w:val="0"/>
      <w:marBottom w:val="0"/>
      <w:divBdr>
        <w:top w:val="none" w:sz="0" w:space="0" w:color="auto"/>
        <w:left w:val="none" w:sz="0" w:space="0" w:color="auto"/>
        <w:bottom w:val="none" w:sz="0" w:space="0" w:color="auto"/>
        <w:right w:val="none" w:sz="0" w:space="0" w:color="auto"/>
      </w:divBdr>
    </w:div>
    <w:div w:id="1659335473">
      <w:bodyDiv w:val="1"/>
      <w:marLeft w:val="0"/>
      <w:marRight w:val="0"/>
      <w:marTop w:val="0"/>
      <w:marBottom w:val="0"/>
      <w:divBdr>
        <w:top w:val="none" w:sz="0" w:space="0" w:color="auto"/>
        <w:left w:val="none" w:sz="0" w:space="0" w:color="auto"/>
        <w:bottom w:val="none" w:sz="0" w:space="0" w:color="auto"/>
        <w:right w:val="none" w:sz="0" w:space="0" w:color="auto"/>
      </w:divBdr>
    </w:div>
    <w:div w:id="1659384994">
      <w:bodyDiv w:val="1"/>
      <w:marLeft w:val="0"/>
      <w:marRight w:val="0"/>
      <w:marTop w:val="0"/>
      <w:marBottom w:val="0"/>
      <w:divBdr>
        <w:top w:val="none" w:sz="0" w:space="0" w:color="auto"/>
        <w:left w:val="none" w:sz="0" w:space="0" w:color="auto"/>
        <w:bottom w:val="none" w:sz="0" w:space="0" w:color="auto"/>
        <w:right w:val="none" w:sz="0" w:space="0" w:color="auto"/>
      </w:divBdr>
    </w:div>
    <w:div w:id="1659452961">
      <w:bodyDiv w:val="1"/>
      <w:marLeft w:val="0"/>
      <w:marRight w:val="0"/>
      <w:marTop w:val="0"/>
      <w:marBottom w:val="0"/>
      <w:divBdr>
        <w:top w:val="none" w:sz="0" w:space="0" w:color="auto"/>
        <w:left w:val="none" w:sz="0" w:space="0" w:color="auto"/>
        <w:bottom w:val="none" w:sz="0" w:space="0" w:color="auto"/>
        <w:right w:val="none" w:sz="0" w:space="0" w:color="auto"/>
      </w:divBdr>
    </w:div>
    <w:div w:id="1659504439">
      <w:bodyDiv w:val="1"/>
      <w:marLeft w:val="0"/>
      <w:marRight w:val="0"/>
      <w:marTop w:val="0"/>
      <w:marBottom w:val="0"/>
      <w:divBdr>
        <w:top w:val="none" w:sz="0" w:space="0" w:color="auto"/>
        <w:left w:val="none" w:sz="0" w:space="0" w:color="auto"/>
        <w:bottom w:val="none" w:sz="0" w:space="0" w:color="auto"/>
        <w:right w:val="none" w:sz="0" w:space="0" w:color="auto"/>
      </w:divBdr>
    </w:div>
    <w:div w:id="1659571352">
      <w:bodyDiv w:val="1"/>
      <w:marLeft w:val="0"/>
      <w:marRight w:val="0"/>
      <w:marTop w:val="0"/>
      <w:marBottom w:val="0"/>
      <w:divBdr>
        <w:top w:val="none" w:sz="0" w:space="0" w:color="auto"/>
        <w:left w:val="none" w:sz="0" w:space="0" w:color="auto"/>
        <w:bottom w:val="none" w:sz="0" w:space="0" w:color="auto"/>
        <w:right w:val="none" w:sz="0" w:space="0" w:color="auto"/>
      </w:divBdr>
    </w:div>
    <w:div w:id="1659797441">
      <w:bodyDiv w:val="1"/>
      <w:marLeft w:val="0"/>
      <w:marRight w:val="0"/>
      <w:marTop w:val="0"/>
      <w:marBottom w:val="0"/>
      <w:divBdr>
        <w:top w:val="none" w:sz="0" w:space="0" w:color="auto"/>
        <w:left w:val="none" w:sz="0" w:space="0" w:color="auto"/>
        <w:bottom w:val="none" w:sz="0" w:space="0" w:color="auto"/>
        <w:right w:val="none" w:sz="0" w:space="0" w:color="auto"/>
      </w:divBdr>
    </w:div>
    <w:div w:id="1659844660">
      <w:bodyDiv w:val="1"/>
      <w:marLeft w:val="0"/>
      <w:marRight w:val="0"/>
      <w:marTop w:val="0"/>
      <w:marBottom w:val="0"/>
      <w:divBdr>
        <w:top w:val="none" w:sz="0" w:space="0" w:color="auto"/>
        <w:left w:val="none" w:sz="0" w:space="0" w:color="auto"/>
        <w:bottom w:val="none" w:sz="0" w:space="0" w:color="auto"/>
        <w:right w:val="none" w:sz="0" w:space="0" w:color="auto"/>
      </w:divBdr>
    </w:div>
    <w:div w:id="1659962234">
      <w:bodyDiv w:val="1"/>
      <w:marLeft w:val="0"/>
      <w:marRight w:val="0"/>
      <w:marTop w:val="0"/>
      <w:marBottom w:val="0"/>
      <w:divBdr>
        <w:top w:val="none" w:sz="0" w:space="0" w:color="auto"/>
        <w:left w:val="none" w:sz="0" w:space="0" w:color="auto"/>
        <w:bottom w:val="none" w:sz="0" w:space="0" w:color="auto"/>
        <w:right w:val="none" w:sz="0" w:space="0" w:color="auto"/>
      </w:divBdr>
    </w:div>
    <w:div w:id="1659963424">
      <w:bodyDiv w:val="1"/>
      <w:marLeft w:val="0"/>
      <w:marRight w:val="0"/>
      <w:marTop w:val="0"/>
      <w:marBottom w:val="0"/>
      <w:divBdr>
        <w:top w:val="none" w:sz="0" w:space="0" w:color="auto"/>
        <w:left w:val="none" w:sz="0" w:space="0" w:color="auto"/>
        <w:bottom w:val="none" w:sz="0" w:space="0" w:color="auto"/>
        <w:right w:val="none" w:sz="0" w:space="0" w:color="auto"/>
      </w:divBdr>
    </w:div>
    <w:div w:id="1660034153">
      <w:bodyDiv w:val="1"/>
      <w:marLeft w:val="0"/>
      <w:marRight w:val="0"/>
      <w:marTop w:val="0"/>
      <w:marBottom w:val="0"/>
      <w:divBdr>
        <w:top w:val="none" w:sz="0" w:space="0" w:color="auto"/>
        <w:left w:val="none" w:sz="0" w:space="0" w:color="auto"/>
        <w:bottom w:val="none" w:sz="0" w:space="0" w:color="auto"/>
        <w:right w:val="none" w:sz="0" w:space="0" w:color="auto"/>
      </w:divBdr>
    </w:div>
    <w:div w:id="1660034333">
      <w:bodyDiv w:val="1"/>
      <w:marLeft w:val="0"/>
      <w:marRight w:val="0"/>
      <w:marTop w:val="0"/>
      <w:marBottom w:val="0"/>
      <w:divBdr>
        <w:top w:val="none" w:sz="0" w:space="0" w:color="auto"/>
        <w:left w:val="none" w:sz="0" w:space="0" w:color="auto"/>
        <w:bottom w:val="none" w:sz="0" w:space="0" w:color="auto"/>
        <w:right w:val="none" w:sz="0" w:space="0" w:color="auto"/>
      </w:divBdr>
    </w:div>
    <w:div w:id="1660037871">
      <w:bodyDiv w:val="1"/>
      <w:marLeft w:val="0"/>
      <w:marRight w:val="0"/>
      <w:marTop w:val="0"/>
      <w:marBottom w:val="0"/>
      <w:divBdr>
        <w:top w:val="none" w:sz="0" w:space="0" w:color="auto"/>
        <w:left w:val="none" w:sz="0" w:space="0" w:color="auto"/>
        <w:bottom w:val="none" w:sz="0" w:space="0" w:color="auto"/>
        <w:right w:val="none" w:sz="0" w:space="0" w:color="auto"/>
      </w:divBdr>
    </w:div>
    <w:div w:id="1660042131">
      <w:bodyDiv w:val="1"/>
      <w:marLeft w:val="0"/>
      <w:marRight w:val="0"/>
      <w:marTop w:val="0"/>
      <w:marBottom w:val="0"/>
      <w:divBdr>
        <w:top w:val="none" w:sz="0" w:space="0" w:color="auto"/>
        <w:left w:val="none" w:sz="0" w:space="0" w:color="auto"/>
        <w:bottom w:val="none" w:sz="0" w:space="0" w:color="auto"/>
        <w:right w:val="none" w:sz="0" w:space="0" w:color="auto"/>
      </w:divBdr>
    </w:div>
    <w:div w:id="1660188654">
      <w:bodyDiv w:val="1"/>
      <w:marLeft w:val="0"/>
      <w:marRight w:val="0"/>
      <w:marTop w:val="0"/>
      <w:marBottom w:val="0"/>
      <w:divBdr>
        <w:top w:val="none" w:sz="0" w:space="0" w:color="auto"/>
        <w:left w:val="none" w:sz="0" w:space="0" w:color="auto"/>
        <w:bottom w:val="none" w:sz="0" w:space="0" w:color="auto"/>
        <w:right w:val="none" w:sz="0" w:space="0" w:color="auto"/>
      </w:divBdr>
    </w:div>
    <w:div w:id="1660233283">
      <w:bodyDiv w:val="1"/>
      <w:marLeft w:val="0"/>
      <w:marRight w:val="0"/>
      <w:marTop w:val="0"/>
      <w:marBottom w:val="0"/>
      <w:divBdr>
        <w:top w:val="none" w:sz="0" w:space="0" w:color="auto"/>
        <w:left w:val="none" w:sz="0" w:space="0" w:color="auto"/>
        <w:bottom w:val="none" w:sz="0" w:space="0" w:color="auto"/>
        <w:right w:val="none" w:sz="0" w:space="0" w:color="auto"/>
      </w:divBdr>
    </w:div>
    <w:div w:id="1660303297">
      <w:bodyDiv w:val="1"/>
      <w:marLeft w:val="0"/>
      <w:marRight w:val="0"/>
      <w:marTop w:val="0"/>
      <w:marBottom w:val="0"/>
      <w:divBdr>
        <w:top w:val="none" w:sz="0" w:space="0" w:color="auto"/>
        <w:left w:val="none" w:sz="0" w:space="0" w:color="auto"/>
        <w:bottom w:val="none" w:sz="0" w:space="0" w:color="auto"/>
        <w:right w:val="none" w:sz="0" w:space="0" w:color="auto"/>
      </w:divBdr>
    </w:div>
    <w:div w:id="1660306533">
      <w:bodyDiv w:val="1"/>
      <w:marLeft w:val="0"/>
      <w:marRight w:val="0"/>
      <w:marTop w:val="0"/>
      <w:marBottom w:val="0"/>
      <w:divBdr>
        <w:top w:val="none" w:sz="0" w:space="0" w:color="auto"/>
        <w:left w:val="none" w:sz="0" w:space="0" w:color="auto"/>
        <w:bottom w:val="none" w:sz="0" w:space="0" w:color="auto"/>
        <w:right w:val="none" w:sz="0" w:space="0" w:color="auto"/>
      </w:divBdr>
    </w:div>
    <w:div w:id="1660310144">
      <w:bodyDiv w:val="1"/>
      <w:marLeft w:val="0"/>
      <w:marRight w:val="0"/>
      <w:marTop w:val="0"/>
      <w:marBottom w:val="0"/>
      <w:divBdr>
        <w:top w:val="none" w:sz="0" w:space="0" w:color="auto"/>
        <w:left w:val="none" w:sz="0" w:space="0" w:color="auto"/>
        <w:bottom w:val="none" w:sz="0" w:space="0" w:color="auto"/>
        <w:right w:val="none" w:sz="0" w:space="0" w:color="auto"/>
      </w:divBdr>
    </w:div>
    <w:div w:id="1660311148">
      <w:bodyDiv w:val="1"/>
      <w:marLeft w:val="0"/>
      <w:marRight w:val="0"/>
      <w:marTop w:val="0"/>
      <w:marBottom w:val="0"/>
      <w:divBdr>
        <w:top w:val="none" w:sz="0" w:space="0" w:color="auto"/>
        <w:left w:val="none" w:sz="0" w:space="0" w:color="auto"/>
        <w:bottom w:val="none" w:sz="0" w:space="0" w:color="auto"/>
        <w:right w:val="none" w:sz="0" w:space="0" w:color="auto"/>
      </w:divBdr>
    </w:div>
    <w:div w:id="1660381633">
      <w:bodyDiv w:val="1"/>
      <w:marLeft w:val="0"/>
      <w:marRight w:val="0"/>
      <w:marTop w:val="0"/>
      <w:marBottom w:val="0"/>
      <w:divBdr>
        <w:top w:val="none" w:sz="0" w:space="0" w:color="auto"/>
        <w:left w:val="none" w:sz="0" w:space="0" w:color="auto"/>
        <w:bottom w:val="none" w:sz="0" w:space="0" w:color="auto"/>
        <w:right w:val="none" w:sz="0" w:space="0" w:color="auto"/>
      </w:divBdr>
    </w:div>
    <w:div w:id="1660425550">
      <w:bodyDiv w:val="1"/>
      <w:marLeft w:val="0"/>
      <w:marRight w:val="0"/>
      <w:marTop w:val="0"/>
      <w:marBottom w:val="0"/>
      <w:divBdr>
        <w:top w:val="none" w:sz="0" w:space="0" w:color="auto"/>
        <w:left w:val="none" w:sz="0" w:space="0" w:color="auto"/>
        <w:bottom w:val="none" w:sz="0" w:space="0" w:color="auto"/>
        <w:right w:val="none" w:sz="0" w:space="0" w:color="auto"/>
      </w:divBdr>
    </w:div>
    <w:div w:id="1660645490">
      <w:bodyDiv w:val="1"/>
      <w:marLeft w:val="0"/>
      <w:marRight w:val="0"/>
      <w:marTop w:val="0"/>
      <w:marBottom w:val="0"/>
      <w:divBdr>
        <w:top w:val="none" w:sz="0" w:space="0" w:color="auto"/>
        <w:left w:val="none" w:sz="0" w:space="0" w:color="auto"/>
        <w:bottom w:val="none" w:sz="0" w:space="0" w:color="auto"/>
        <w:right w:val="none" w:sz="0" w:space="0" w:color="auto"/>
      </w:divBdr>
    </w:div>
    <w:div w:id="1660648346">
      <w:bodyDiv w:val="1"/>
      <w:marLeft w:val="0"/>
      <w:marRight w:val="0"/>
      <w:marTop w:val="0"/>
      <w:marBottom w:val="0"/>
      <w:divBdr>
        <w:top w:val="none" w:sz="0" w:space="0" w:color="auto"/>
        <w:left w:val="none" w:sz="0" w:space="0" w:color="auto"/>
        <w:bottom w:val="none" w:sz="0" w:space="0" w:color="auto"/>
        <w:right w:val="none" w:sz="0" w:space="0" w:color="auto"/>
      </w:divBdr>
    </w:div>
    <w:div w:id="1660770580">
      <w:bodyDiv w:val="1"/>
      <w:marLeft w:val="0"/>
      <w:marRight w:val="0"/>
      <w:marTop w:val="0"/>
      <w:marBottom w:val="0"/>
      <w:divBdr>
        <w:top w:val="none" w:sz="0" w:space="0" w:color="auto"/>
        <w:left w:val="none" w:sz="0" w:space="0" w:color="auto"/>
        <w:bottom w:val="none" w:sz="0" w:space="0" w:color="auto"/>
        <w:right w:val="none" w:sz="0" w:space="0" w:color="auto"/>
      </w:divBdr>
    </w:div>
    <w:div w:id="1660814563">
      <w:bodyDiv w:val="1"/>
      <w:marLeft w:val="0"/>
      <w:marRight w:val="0"/>
      <w:marTop w:val="0"/>
      <w:marBottom w:val="0"/>
      <w:divBdr>
        <w:top w:val="none" w:sz="0" w:space="0" w:color="auto"/>
        <w:left w:val="none" w:sz="0" w:space="0" w:color="auto"/>
        <w:bottom w:val="none" w:sz="0" w:space="0" w:color="auto"/>
        <w:right w:val="none" w:sz="0" w:space="0" w:color="auto"/>
      </w:divBdr>
    </w:div>
    <w:div w:id="1660840653">
      <w:bodyDiv w:val="1"/>
      <w:marLeft w:val="0"/>
      <w:marRight w:val="0"/>
      <w:marTop w:val="0"/>
      <w:marBottom w:val="0"/>
      <w:divBdr>
        <w:top w:val="none" w:sz="0" w:space="0" w:color="auto"/>
        <w:left w:val="none" w:sz="0" w:space="0" w:color="auto"/>
        <w:bottom w:val="none" w:sz="0" w:space="0" w:color="auto"/>
        <w:right w:val="none" w:sz="0" w:space="0" w:color="auto"/>
      </w:divBdr>
    </w:div>
    <w:div w:id="1660840998">
      <w:bodyDiv w:val="1"/>
      <w:marLeft w:val="0"/>
      <w:marRight w:val="0"/>
      <w:marTop w:val="0"/>
      <w:marBottom w:val="0"/>
      <w:divBdr>
        <w:top w:val="none" w:sz="0" w:space="0" w:color="auto"/>
        <w:left w:val="none" w:sz="0" w:space="0" w:color="auto"/>
        <w:bottom w:val="none" w:sz="0" w:space="0" w:color="auto"/>
        <w:right w:val="none" w:sz="0" w:space="0" w:color="auto"/>
      </w:divBdr>
    </w:div>
    <w:div w:id="1660886499">
      <w:bodyDiv w:val="1"/>
      <w:marLeft w:val="0"/>
      <w:marRight w:val="0"/>
      <w:marTop w:val="0"/>
      <w:marBottom w:val="0"/>
      <w:divBdr>
        <w:top w:val="none" w:sz="0" w:space="0" w:color="auto"/>
        <w:left w:val="none" w:sz="0" w:space="0" w:color="auto"/>
        <w:bottom w:val="none" w:sz="0" w:space="0" w:color="auto"/>
        <w:right w:val="none" w:sz="0" w:space="0" w:color="auto"/>
      </w:divBdr>
    </w:div>
    <w:div w:id="1660957548">
      <w:bodyDiv w:val="1"/>
      <w:marLeft w:val="0"/>
      <w:marRight w:val="0"/>
      <w:marTop w:val="0"/>
      <w:marBottom w:val="0"/>
      <w:divBdr>
        <w:top w:val="none" w:sz="0" w:space="0" w:color="auto"/>
        <w:left w:val="none" w:sz="0" w:space="0" w:color="auto"/>
        <w:bottom w:val="none" w:sz="0" w:space="0" w:color="auto"/>
        <w:right w:val="none" w:sz="0" w:space="0" w:color="auto"/>
      </w:divBdr>
    </w:div>
    <w:div w:id="1661152174">
      <w:bodyDiv w:val="1"/>
      <w:marLeft w:val="0"/>
      <w:marRight w:val="0"/>
      <w:marTop w:val="0"/>
      <w:marBottom w:val="0"/>
      <w:divBdr>
        <w:top w:val="none" w:sz="0" w:space="0" w:color="auto"/>
        <w:left w:val="none" w:sz="0" w:space="0" w:color="auto"/>
        <w:bottom w:val="none" w:sz="0" w:space="0" w:color="auto"/>
        <w:right w:val="none" w:sz="0" w:space="0" w:color="auto"/>
      </w:divBdr>
    </w:div>
    <w:div w:id="1661155449">
      <w:bodyDiv w:val="1"/>
      <w:marLeft w:val="0"/>
      <w:marRight w:val="0"/>
      <w:marTop w:val="0"/>
      <w:marBottom w:val="0"/>
      <w:divBdr>
        <w:top w:val="none" w:sz="0" w:space="0" w:color="auto"/>
        <w:left w:val="none" w:sz="0" w:space="0" w:color="auto"/>
        <w:bottom w:val="none" w:sz="0" w:space="0" w:color="auto"/>
        <w:right w:val="none" w:sz="0" w:space="0" w:color="auto"/>
      </w:divBdr>
    </w:div>
    <w:div w:id="1661228440">
      <w:bodyDiv w:val="1"/>
      <w:marLeft w:val="0"/>
      <w:marRight w:val="0"/>
      <w:marTop w:val="0"/>
      <w:marBottom w:val="0"/>
      <w:divBdr>
        <w:top w:val="none" w:sz="0" w:space="0" w:color="auto"/>
        <w:left w:val="none" w:sz="0" w:space="0" w:color="auto"/>
        <w:bottom w:val="none" w:sz="0" w:space="0" w:color="auto"/>
        <w:right w:val="none" w:sz="0" w:space="0" w:color="auto"/>
      </w:divBdr>
    </w:div>
    <w:div w:id="1661230096">
      <w:bodyDiv w:val="1"/>
      <w:marLeft w:val="0"/>
      <w:marRight w:val="0"/>
      <w:marTop w:val="0"/>
      <w:marBottom w:val="0"/>
      <w:divBdr>
        <w:top w:val="none" w:sz="0" w:space="0" w:color="auto"/>
        <w:left w:val="none" w:sz="0" w:space="0" w:color="auto"/>
        <w:bottom w:val="none" w:sz="0" w:space="0" w:color="auto"/>
        <w:right w:val="none" w:sz="0" w:space="0" w:color="auto"/>
      </w:divBdr>
    </w:div>
    <w:div w:id="1661303510">
      <w:bodyDiv w:val="1"/>
      <w:marLeft w:val="0"/>
      <w:marRight w:val="0"/>
      <w:marTop w:val="0"/>
      <w:marBottom w:val="0"/>
      <w:divBdr>
        <w:top w:val="none" w:sz="0" w:space="0" w:color="auto"/>
        <w:left w:val="none" w:sz="0" w:space="0" w:color="auto"/>
        <w:bottom w:val="none" w:sz="0" w:space="0" w:color="auto"/>
        <w:right w:val="none" w:sz="0" w:space="0" w:color="auto"/>
      </w:divBdr>
    </w:div>
    <w:div w:id="1661495272">
      <w:bodyDiv w:val="1"/>
      <w:marLeft w:val="0"/>
      <w:marRight w:val="0"/>
      <w:marTop w:val="0"/>
      <w:marBottom w:val="0"/>
      <w:divBdr>
        <w:top w:val="none" w:sz="0" w:space="0" w:color="auto"/>
        <w:left w:val="none" w:sz="0" w:space="0" w:color="auto"/>
        <w:bottom w:val="none" w:sz="0" w:space="0" w:color="auto"/>
        <w:right w:val="none" w:sz="0" w:space="0" w:color="auto"/>
      </w:divBdr>
    </w:div>
    <w:div w:id="1661495423">
      <w:bodyDiv w:val="1"/>
      <w:marLeft w:val="0"/>
      <w:marRight w:val="0"/>
      <w:marTop w:val="0"/>
      <w:marBottom w:val="0"/>
      <w:divBdr>
        <w:top w:val="none" w:sz="0" w:space="0" w:color="auto"/>
        <w:left w:val="none" w:sz="0" w:space="0" w:color="auto"/>
        <w:bottom w:val="none" w:sz="0" w:space="0" w:color="auto"/>
        <w:right w:val="none" w:sz="0" w:space="0" w:color="auto"/>
      </w:divBdr>
    </w:div>
    <w:div w:id="1661499136">
      <w:bodyDiv w:val="1"/>
      <w:marLeft w:val="0"/>
      <w:marRight w:val="0"/>
      <w:marTop w:val="0"/>
      <w:marBottom w:val="0"/>
      <w:divBdr>
        <w:top w:val="none" w:sz="0" w:space="0" w:color="auto"/>
        <w:left w:val="none" w:sz="0" w:space="0" w:color="auto"/>
        <w:bottom w:val="none" w:sz="0" w:space="0" w:color="auto"/>
        <w:right w:val="none" w:sz="0" w:space="0" w:color="auto"/>
      </w:divBdr>
    </w:div>
    <w:div w:id="1661691274">
      <w:bodyDiv w:val="1"/>
      <w:marLeft w:val="0"/>
      <w:marRight w:val="0"/>
      <w:marTop w:val="0"/>
      <w:marBottom w:val="0"/>
      <w:divBdr>
        <w:top w:val="none" w:sz="0" w:space="0" w:color="auto"/>
        <w:left w:val="none" w:sz="0" w:space="0" w:color="auto"/>
        <w:bottom w:val="none" w:sz="0" w:space="0" w:color="auto"/>
        <w:right w:val="none" w:sz="0" w:space="0" w:color="auto"/>
      </w:divBdr>
    </w:div>
    <w:div w:id="1661691763">
      <w:bodyDiv w:val="1"/>
      <w:marLeft w:val="0"/>
      <w:marRight w:val="0"/>
      <w:marTop w:val="0"/>
      <w:marBottom w:val="0"/>
      <w:divBdr>
        <w:top w:val="none" w:sz="0" w:space="0" w:color="auto"/>
        <w:left w:val="none" w:sz="0" w:space="0" w:color="auto"/>
        <w:bottom w:val="none" w:sz="0" w:space="0" w:color="auto"/>
        <w:right w:val="none" w:sz="0" w:space="0" w:color="auto"/>
      </w:divBdr>
    </w:div>
    <w:div w:id="1661696304">
      <w:bodyDiv w:val="1"/>
      <w:marLeft w:val="0"/>
      <w:marRight w:val="0"/>
      <w:marTop w:val="0"/>
      <w:marBottom w:val="0"/>
      <w:divBdr>
        <w:top w:val="none" w:sz="0" w:space="0" w:color="auto"/>
        <w:left w:val="none" w:sz="0" w:space="0" w:color="auto"/>
        <w:bottom w:val="none" w:sz="0" w:space="0" w:color="auto"/>
        <w:right w:val="none" w:sz="0" w:space="0" w:color="auto"/>
      </w:divBdr>
    </w:div>
    <w:div w:id="1661806187">
      <w:bodyDiv w:val="1"/>
      <w:marLeft w:val="0"/>
      <w:marRight w:val="0"/>
      <w:marTop w:val="0"/>
      <w:marBottom w:val="0"/>
      <w:divBdr>
        <w:top w:val="none" w:sz="0" w:space="0" w:color="auto"/>
        <w:left w:val="none" w:sz="0" w:space="0" w:color="auto"/>
        <w:bottom w:val="none" w:sz="0" w:space="0" w:color="auto"/>
        <w:right w:val="none" w:sz="0" w:space="0" w:color="auto"/>
      </w:divBdr>
    </w:div>
    <w:div w:id="1661928985">
      <w:bodyDiv w:val="1"/>
      <w:marLeft w:val="0"/>
      <w:marRight w:val="0"/>
      <w:marTop w:val="0"/>
      <w:marBottom w:val="0"/>
      <w:divBdr>
        <w:top w:val="none" w:sz="0" w:space="0" w:color="auto"/>
        <w:left w:val="none" w:sz="0" w:space="0" w:color="auto"/>
        <w:bottom w:val="none" w:sz="0" w:space="0" w:color="auto"/>
        <w:right w:val="none" w:sz="0" w:space="0" w:color="auto"/>
      </w:divBdr>
    </w:div>
    <w:div w:id="1661929330">
      <w:bodyDiv w:val="1"/>
      <w:marLeft w:val="0"/>
      <w:marRight w:val="0"/>
      <w:marTop w:val="0"/>
      <w:marBottom w:val="0"/>
      <w:divBdr>
        <w:top w:val="none" w:sz="0" w:space="0" w:color="auto"/>
        <w:left w:val="none" w:sz="0" w:space="0" w:color="auto"/>
        <w:bottom w:val="none" w:sz="0" w:space="0" w:color="auto"/>
        <w:right w:val="none" w:sz="0" w:space="0" w:color="auto"/>
      </w:divBdr>
    </w:div>
    <w:div w:id="1661956188">
      <w:bodyDiv w:val="1"/>
      <w:marLeft w:val="0"/>
      <w:marRight w:val="0"/>
      <w:marTop w:val="0"/>
      <w:marBottom w:val="0"/>
      <w:divBdr>
        <w:top w:val="none" w:sz="0" w:space="0" w:color="auto"/>
        <w:left w:val="none" w:sz="0" w:space="0" w:color="auto"/>
        <w:bottom w:val="none" w:sz="0" w:space="0" w:color="auto"/>
        <w:right w:val="none" w:sz="0" w:space="0" w:color="auto"/>
      </w:divBdr>
    </w:div>
    <w:div w:id="1662004637">
      <w:bodyDiv w:val="1"/>
      <w:marLeft w:val="0"/>
      <w:marRight w:val="0"/>
      <w:marTop w:val="0"/>
      <w:marBottom w:val="0"/>
      <w:divBdr>
        <w:top w:val="none" w:sz="0" w:space="0" w:color="auto"/>
        <w:left w:val="none" w:sz="0" w:space="0" w:color="auto"/>
        <w:bottom w:val="none" w:sz="0" w:space="0" w:color="auto"/>
        <w:right w:val="none" w:sz="0" w:space="0" w:color="auto"/>
      </w:divBdr>
    </w:div>
    <w:div w:id="1662152086">
      <w:bodyDiv w:val="1"/>
      <w:marLeft w:val="0"/>
      <w:marRight w:val="0"/>
      <w:marTop w:val="0"/>
      <w:marBottom w:val="0"/>
      <w:divBdr>
        <w:top w:val="none" w:sz="0" w:space="0" w:color="auto"/>
        <w:left w:val="none" w:sz="0" w:space="0" w:color="auto"/>
        <w:bottom w:val="none" w:sz="0" w:space="0" w:color="auto"/>
        <w:right w:val="none" w:sz="0" w:space="0" w:color="auto"/>
      </w:divBdr>
    </w:div>
    <w:div w:id="1662269919">
      <w:bodyDiv w:val="1"/>
      <w:marLeft w:val="0"/>
      <w:marRight w:val="0"/>
      <w:marTop w:val="0"/>
      <w:marBottom w:val="0"/>
      <w:divBdr>
        <w:top w:val="none" w:sz="0" w:space="0" w:color="auto"/>
        <w:left w:val="none" w:sz="0" w:space="0" w:color="auto"/>
        <w:bottom w:val="none" w:sz="0" w:space="0" w:color="auto"/>
        <w:right w:val="none" w:sz="0" w:space="0" w:color="auto"/>
      </w:divBdr>
    </w:div>
    <w:div w:id="1662464882">
      <w:bodyDiv w:val="1"/>
      <w:marLeft w:val="0"/>
      <w:marRight w:val="0"/>
      <w:marTop w:val="0"/>
      <w:marBottom w:val="0"/>
      <w:divBdr>
        <w:top w:val="none" w:sz="0" w:space="0" w:color="auto"/>
        <w:left w:val="none" w:sz="0" w:space="0" w:color="auto"/>
        <w:bottom w:val="none" w:sz="0" w:space="0" w:color="auto"/>
        <w:right w:val="none" w:sz="0" w:space="0" w:color="auto"/>
      </w:divBdr>
    </w:div>
    <w:div w:id="1662467181">
      <w:bodyDiv w:val="1"/>
      <w:marLeft w:val="0"/>
      <w:marRight w:val="0"/>
      <w:marTop w:val="0"/>
      <w:marBottom w:val="0"/>
      <w:divBdr>
        <w:top w:val="none" w:sz="0" w:space="0" w:color="auto"/>
        <w:left w:val="none" w:sz="0" w:space="0" w:color="auto"/>
        <w:bottom w:val="none" w:sz="0" w:space="0" w:color="auto"/>
        <w:right w:val="none" w:sz="0" w:space="0" w:color="auto"/>
      </w:divBdr>
    </w:div>
    <w:div w:id="1662542568">
      <w:bodyDiv w:val="1"/>
      <w:marLeft w:val="0"/>
      <w:marRight w:val="0"/>
      <w:marTop w:val="0"/>
      <w:marBottom w:val="0"/>
      <w:divBdr>
        <w:top w:val="none" w:sz="0" w:space="0" w:color="auto"/>
        <w:left w:val="none" w:sz="0" w:space="0" w:color="auto"/>
        <w:bottom w:val="none" w:sz="0" w:space="0" w:color="auto"/>
        <w:right w:val="none" w:sz="0" w:space="0" w:color="auto"/>
      </w:divBdr>
    </w:div>
    <w:div w:id="1662729791">
      <w:bodyDiv w:val="1"/>
      <w:marLeft w:val="0"/>
      <w:marRight w:val="0"/>
      <w:marTop w:val="0"/>
      <w:marBottom w:val="0"/>
      <w:divBdr>
        <w:top w:val="none" w:sz="0" w:space="0" w:color="auto"/>
        <w:left w:val="none" w:sz="0" w:space="0" w:color="auto"/>
        <w:bottom w:val="none" w:sz="0" w:space="0" w:color="auto"/>
        <w:right w:val="none" w:sz="0" w:space="0" w:color="auto"/>
      </w:divBdr>
    </w:div>
    <w:div w:id="1662810896">
      <w:bodyDiv w:val="1"/>
      <w:marLeft w:val="0"/>
      <w:marRight w:val="0"/>
      <w:marTop w:val="0"/>
      <w:marBottom w:val="0"/>
      <w:divBdr>
        <w:top w:val="none" w:sz="0" w:space="0" w:color="auto"/>
        <w:left w:val="none" w:sz="0" w:space="0" w:color="auto"/>
        <w:bottom w:val="none" w:sz="0" w:space="0" w:color="auto"/>
        <w:right w:val="none" w:sz="0" w:space="0" w:color="auto"/>
      </w:divBdr>
    </w:div>
    <w:div w:id="1662852762">
      <w:bodyDiv w:val="1"/>
      <w:marLeft w:val="0"/>
      <w:marRight w:val="0"/>
      <w:marTop w:val="0"/>
      <w:marBottom w:val="0"/>
      <w:divBdr>
        <w:top w:val="none" w:sz="0" w:space="0" w:color="auto"/>
        <w:left w:val="none" w:sz="0" w:space="0" w:color="auto"/>
        <w:bottom w:val="none" w:sz="0" w:space="0" w:color="auto"/>
        <w:right w:val="none" w:sz="0" w:space="0" w:color="auto"/>
      </w:divBdr>
    </w:div>
    <w:div w:id="1662923107">
      <w:bodyDiv w:val="1"/>
      <w:marLeft w:val="0"/>
      <w:marRight w:val="0"/>
      <w:marTop w:val="0"/>
      <w:marBottom w:val="0"/>
      <w:divBdr>
        <w:top w:val="none" w:sz="0" w:space="0" w:color="auto"/>
        <w:left w:val="none" w:sz="0" w:space="0" w:color="auto"/>
        <w:bottom w:val="none" w:sz="0" w:space="0" w:color="auto"/>
        <w:right w:val="none" w:sz="0" w:space="0" w:color="auto"/>
      </w:divBdr>
    </w:div>
    <w:div w:id="1662997979">
      <w:bodyDiv w:val="1"/>
      <w:marLeft w:val="0"/>
      <w:marRight w:val="0"/>
      <w:marTop w:val="0"/>
      <w:marBottom w:val="0"/>
      <w:divBdr>
        <w:top w:val="none" w:sz="0" w:space="0" w:color="auto"/>
        <w:left w:val="none" w:sz="0" w:space="0" w:color="auto"/>
        <w:bottom w:val="none" w:sz="0" w:space="0" w:color="auto"/>
        <w:right w:val="none" w:sz="0" w:space="0" w:color="auto"/>
      </w:divBdr>
    </w:div>
    <w:div w:id="1663047361">
      <w:bodyDiv w:val="1"/>
      <w:marLeft w:val="0"/>
      <w:marRight w:val="0"/>
      <w:marTop w:val="0"/>
      <w:marBottom w:val="0"/>
      <w:divBdr>
        <w:top w:val="none" w:sz="0" w:space="0" w:color="auto"/>
        <w:left w:val="none" w:sz="0" w:space="0" w:color="auto"/>
        <w:bottom w:val="none" w:sz="0" w:space="0" w:color="auto"/>
        <w:right w:val="none" w:sz="0" w:space="0" w:color="auto"/>
      </w:divBdr>
    </w:div>
    <w:div w:id="1663117112">
      <w:bodyDiv w:val="1"/>
      <w:marLeft w:val="0"/>
      <w:marRight w:val="0"/>
      <w:marTop w:val="0"/>
      <w:marBottom w:val="0"/>
      <w:divBdr>
        <w:top w:val="none" w:sz="0" w:space="0" w:color="auto"/>
        <w:left w:val="none" w:sz="0" w:space="0" w:color="auto"/>
        <w:bottom w:val="none" w:sz="0" w:space="0" w:color="auto"/>
        <w:right w:val="none" w:sz="0" w:space="0" w:color="auto"/>
      </w:divBdr>
    </w:div>
    <w:div w:id="1663119589">
      <w:bodyDiv w:val="1"/>
      <w:marLeft w:val="0"/>
      <w:marRight w:val="0"/>
      <w:marTop w:val="0"/>
      <w:marBottom w:val="0"/>
      <w:divBdr>
        <w:top w:val="none" w:sz="0" w:space="0" w:color="auto"/>
        <w:left w:val="none" w:sz="0" w:space="0" w:color="auto"/>
        <w:bottom w:val="none" w:sz="0" w:space="0" w:color="auto"/>
        <w:right w:val="none" w:sz="0" w:space="0" w:color="auto"/>
      </w:divBdr>
    </w:div>
    <w:div w:id="1663123339">
      <w:bodyDiv w:val="1"/>
      <w:marLeft w:val="0"/>
      <w:marRight w:val="0"/>
      <w:marTop w:val="0"/>
      <w:marBottom w:val="0"/>
      <w:divBdr>
        <w:top w:val="none" w:sz="0" w:space="0" w:color="auto"/>
        <w:left w:val="none" w:sz="0" w:space="0" w:color="auto"/>
        <w:bottom w:val="none" w:sz="0" w:space="0" w:color="auto"/>
        <w:right w:val="none" w:sz="0" w:space="0" w:color="auto"/>
      </w:divBdr>
    </w:div>
    <w:div w:id="1663192704">
      <w:bodyDiv w:val="1"/>
      <w:marLeft w:val="0"/>
      <w:marRight w:val="0"/>
      <w:marTop w:val="0"/>
      <w:marBottom w:val="0"/>
      <w:divBdr>
        <w:top w:val="none" w:sz="0" w:space="0" w:color="auto"/>
        <w:left w:val="none" w:sz="0" w:space="0" w:color="auto"/>
        <w:bottom w:val="none" w:sz="0" w:space="0" w:color="auto"/>
        <w:right w:val="none" w:sz="0" w:space="0" w:color="auto"/>
      </w:divBdr>
    </w:div>
    <w:div w:id="1663195691">
      <w:bodyDiv w:val="1"/>
      <w:marLeft w:val="0"/>
      <w:marRight w:val="0"/>
      <w:marTop w:val="0"/>
      <w:marBottom w:val="0"/>
      <w:divBdr>
        <w:top w:val="none" w:sz="0" w:space="0" w:color="auto"/>
        <w:left w:val="none" w:sz="0" w:space="0" w:color="auto"/>
        <w:bottom w:val="none" w:sz="0" w:space="0" w:color="auto"/>
        <w:right w:val="none" w:sz="0" w:space="0" w:color="auto"/>
      </w:divBdr>
    </w:div>
    <w:div w:id="1663195841">
      <w:bodyDiv w:val="1"/>
      <w:marLeft w:val="0"/>
      <w:marRight w:val="0"/>
      <w:marTop w:val="0"/>
      <w:marBottom w:val="0"/>
      <w:divBdr>
        <w:top w:val="none" w:sz="0" w:space="0" w:color="auto"/>
        <w:left w:val="none" w:sz="0" w:space="0" w:color="auto"/>
        <w:bottom w:val="none" w:sz="0" w:space="0" w:color="auto"/>
        <w:right w:val="none" w:sz="0" w:space="0" w:color="auto"/>
      </w:divBdr>
    </w:div>
    <w:div w:id="1663200811">
      <w:bodyDiv w:val="1"/>
      <w:marLeft w:val="0"/>
      <w:marRight w:val="0"/>
      <w:marTop w:val="0"/>
      <w:marBottom w:val="0"/>
      <w:divBdr>
        <w:top w:val="none" w:sz="0" w:space="0" w:color="auto"/>
        <w:left w:val="none" w:sz="0" w:space="0" w:color="auto"/>
        <w:bottom w:val="none" w:sz="0" w:space="0" w:color="auto"/>
        <w:right w:val="none" w:sz="0" w:space="0" w:color="auto"/>
      </w:divBdr>
    </w:div>
    <w:div w:id="1663311992">
      <w:bodyDiv w:val="1"/>
      <w:marLeft w:val="0"/>
      <w:marRight w:val="0"/>
      <w:marTop w:val="0"/>
      <w:marBottom w:val="0"/>
      <w:divBdr>
        <w:top w:val="none" w:sz="0" w:space="0" w:color="auto"/>
        <w:left w:val="none" w:sz="0" w:space="0" w:color="auto"/>
        <w:bottom w:val="none" w:sz="0" w:space="0" w:color="auto"/>
        <w:right w:val="none" w:sz="0" w:space="0" w:color="auto"/>
      </w:divBdr>
    </w:div>
    <w:div w:id="1663384883">
      <w:bodyDiv w:val="1"/>
      <w:marLeft w:val="0"/>
      <w:marRight w:val="0"/>
      <w:marTop w:val="0"/>
      <w:marBottom w:val="0"/>
      <w:divBdr>
        <w:top w:val="none" w:sz="0" w:space="0" w:color="auto"/>
        <w:left w:val="none" w:sz="0" w:space="0" w:color="auto"/>
        <w:bottom w:val="none" w:sz="0" w:space="0" w:color="auto"/>
        <w:right w:val="none" w:sz="0" w:space="0" w:color="auto"/>
      </w:divBdr>
    </w:div>
    <w:div w:id="1663436165">
      <w:bodyDiv w:val="1"/>
      <w:marLeft w:val="0"/>
      <w:marRight w:val="0"/>
      <w:marTop w:val="0"/>
      <w:marBottom w:val="0"/>
      <w:divBdr>
        <w:top w:val="none" w:sz="0" w:space="0" w:color="auto"/>
        <w:left w:val="none" w:sz="0" w:space="0" w:color="auto"/>
        <w:bottom w:val="none" w:sz="0" w:space="0" w:color="auto"/>
        <w:right w:val="none" w:sz="0" w:space="0" w:color="auto"/>
      </w:divBdr>
    </w:div>
    <w:div w:id="1663466328">
      <w:bodyDiv w:val="1"/>
      <w:marLeft w:val="0"/>
      <w:marRight w:val="0"/>
      <w:marTop w:val="0"/>
      <w:marBottom w:val="0"/>
      <w:divBdr>
        <w:top w:val="none" w:sz="0" w:space="0" w:color="auto"/>
        <w:left w:val="none" w:sz="0" w:space="0" w:color="auto"/>
        <w:bottom w:val="none" w:sz="0" w:space="0" w:color="auto"/>
        <w:right w:val="none" w:sz="0" w:space="0" w:color="auto"/>
      </w:divBdr>
    </w:div>
    <w:div w:id="1663511311">
      <w:bodyDiv w:val="1"/>
      <w:marLeft w:val="0"/>
      <w:marRight w:val="0"/>
      <w:marTop w:val="0"/>
      <w:marBottom w:val="0"/>
      <w:divBdr>
        <w:top w:val="none" w:sz="0" w:space="0" w:color="auto"/>
        <w:left w:val="none" w:sz="0" w:space="0" w:color="auto"/>
        <w:bottom w:val="none" w:sz="0" w:space="0" w:color="auto"/>
        <w:right w:val="none" w:sz="0" w:space="0" w:color="auto"/>
      </w:divBdr>
    </w:div>
    <w:div w:id="1663582055">
      <w:bodyDiv w:val="1"/>
      <w:marLeft w:val="0"/>
      <w:marRight w:val="0"/>
      <w:marTop w:val="0"/>
      <w:marBottom w:val="0"/>
      <w:divBdr>
        <w:top w:val="none" w:sz="0" w:space="0" w:color="auto"/>
        <w:left w:val="none" w:sz="0" w:space="0" w:color="auto"/>
        <w:bottom w:val="none" w:sz="0" w:space="0" w:color="auto"/>
        <w:right w:val="none" w:sz="0" w:space="0" w:color="auto"/>
      </w:divBdr>
    </w:div>
    <w:div w:id="1663654798">
      <w:bodyDiv w:val="1"/>
      <w:marLeft w:val="0"/>
      <w:marRight w:val="0"/>
      <w:marTop w:val="0"/>
      <w:marBottom w:val="0"/>
      <w:divBdr>
        <w:top w:val="none" w:sz="0" w:space="0" w:color="auto"/>
        <w:left w:val="none" w:sz="0" w:space="0" w:color="auto"/>
        <w:bottom w:val="none" w:sz="0" w:space="0" w:color="auto"/>
        <w:right w:val="none" w:sz="0" w:space="0" w:color="auto"/>
      </w:divBdr>
    </w:div>
    <w:div w:id="1663657723">
      <w:bodyDiv w:val="1"/>
      <w:marLeft w:val="0"/>
      <w:marRight w:val="0"/>
      <w:marTop w:val="0"/>
      <w:marBottom w:val="0"/>
      <w:divBdr>
        <w:top w:val="none" w:sz="0" w:space="0" w:color="auto"/>
        <w:left w:val="none" w:sz="0" w:space="0" w:color="auto"/>
        <w:bottom w:val="none" w:sz="0" w:space="0" w:color="auto"/>
        <w:right w:val="none" w:sz="0" w:space="0" w:color="auto"/>
      </w:divBdr>
    </w:div>
    <w:div w:id="1663894888">
      <w:bodyDiv w:val="1"/>
      <w:marLeft w:val="0"/>
      <w:marRight w:val="0"/>
      <w:marTop w:val="0"/>
      <w:marBottom w:val="0"/>
      <w:divBdr>
        <w:top w:val="none" w:sz="0" w:space="0" w:color="auto"/>
        <w:left w:val="none" w:sz="0" w:space="0" w:color="auto"/>
        <w:bottom w:val="none" w:sz="0" w:space="0" w:color="auto"/>
        <w:right w:val="none" w:sz="0" w:space="0" w:color="auto"/>
      </w:divBdr>
    </w:div>
    <w:div w:id="1664122239">
      <w:bodyDiv w:val="1"/>
      <w:marLeft w:val="0"/>
      <w:marRight w:val="0"/>
      <w:marTop w:val="0"/>
      <w:marBottom w:val="0"/>
      <w:divBdr>
        <w:top w:val="none" w:sz="0" w:space="0" w:color="auto"/>
        <w:left w:val="none" w:sz="0" w:space="0" w:color="auto"/>
        <w:bottom w:val="none" w:sz="0" w:space="0" w:color="auto"/>
        <w:right w:val="none" w:sz="0" w:space="0" w:color="auto"/>
      </w:divBdr>
    </w:div>
    <w:div w:id="1664233098">
      <w:bodyDiv w:val="1"/>
      <w:marLeft w:val="0"/>
      <w:marRight w:val="0"/>
      <w:marTop w:val="0"/>
      <w:marBottom w:val="0"/>
      <w:divBdr>
        <w:top w:val="none" w:sz="0" w:space="0" w:color="auto"/>
        <w:left w:val="none" w:sz="0" w:space="0" w:color="auto"/>
        <w:bottom w:val="none" w:sz="0" w:space="0" w:color="auto"/>
        <w:right w:val="none" w:sz="0" w:space="0" w:color="auto"/>
      </w:divBdr>
    </w:div>
    <w:div w:id="1664426944">
      <w:bodyDiv w:val="1"/>
      <w:marLeft w:val="0"/>
      <w:marRight w:val="0"/>
      <w:marTop w:val="0"/>
      <w:marBottom w:val="0"/>
      <w:divBdr>
        <w:top w:val="none" w:sz="0" w:space="0" w:color="auto"/>
        <w:left w:val="none" w:sz="0" w:space="0" w:color="auto"/>
        <w:bottom w:val="none" w:sz="0" w:space="0" w:color="auto"/>
        <w:right w:val="none" w:sz="0" w:space="0" w:color="auto"/>
      </w:divBdr>
    </w:div>
    <w:div w:id="1664428744">
      <w:bodyDiv w:val="1"/>
      <w:marLeft w:val="0"/>
      <w:marRight w:val="0"/>
      <w:marTop w:val="0"/>
      <w:marBottom w:val="0"/>
      <w:divBdr>
        <w:top w:val="none" w:sz="0" w:space="0" w:color="auto"/>
        <w:left w:val="none" w:sz="0" w:space="0" w:color="auto"/>
        <w:bottom w:val="none" w:sz="0" w:space="0" w:color="auto"/>
        <w:right w:val="none" w:sz="0" w:space="0" w:color="auto"/>
      </w:divBdr>
    </w:div>
    <w:div w:id="1664433654">
      <w:bodyDiv w:val="1"/>
      <w:marLeft w:val="0"/>
      <w:marRight w:val="0"/>
      <w:marTop w:val="0"/>
      <w:marBottom w:val="0"/>
      <w:divBdr>
        <w:top w:val="none" w:sz="0" w:space="0" w:color="auto"/>
        <w:left w:val="none" w:sz="0" w:space="0" w:color="auto"/>
        <w:bottom w:val="none" w:sz="0" w:space="0" w:color="auto"/>
        <w:right w:val="none" w:sz="0" w:space="0" w:color="auto"/>
      </w:divBdr>
    </w:div>
    <w:div w:id="1664501899">
      <w:bodyDiv w:val="1"/>
      <w:marLeft w:val="0"/>
      <w:marRight w:val="0"/>
      <w:marTop w:val="0"/>
      <w:marBottom w:val="0"/>
      <w:divBdr>
        <w:top w:val="none" w:sz="0" w:space="0" w:color="auto"/>
        <w:left w:val="none" w:sz="0" w:space="0" w:color="auto"/>
        <w:bottom w:val="none" w:sz="0" w:space="0" w:color="auto"/>
        <w:right w:val="none" w:sz="0" w:space="0" w:color="auto"/>
      </w:divBdr>
    </w:div>
    <w:div w:id="1664510509">
      <w:bodyDiv w:val="1"/>
      <w:marLeft w:val="0"/>
      <w:marRight w:val="0"/>
      <w:marTop w:val="0"/>
      <w:marBottom w:val="0"/>
      <w:divBdr>
        <w:top w:val="none" w:sz="0" w:space="0" w:color="auto"/>
        <w:left w:val="none" w:sz="0" w:space="0" w:color="auto"/>
        <w:bottom w:val="none" w:sz="0" w:space="0" w:color="auto"/>
        <w:right w:val="none" w:sz="0" w:space="0" w:color="auto"/>
      </w:divBdr>
    </w:div>
    <w:div w:id="1664696512">
      <w:bodyDiv w:val="1"/>
      <w:marLeft w:val="0"/>
      <w:marRight w:val="0"/>
      <w:marTop w:val="0"/>
      <w:marBottom w:val="0"/>
      <w:divBdr>
        <w:top w:val="none" w:sz="0" w:space="0" w:color="auto"/>
        <w:left w:val="none" w:sz="0" w:space="0" w:color="auto"/>
        <w:bottom w:val="none" w:sz="0" w:space="0" w:color="auto"/>
        <w:right w:val="none" w:sz="0" w:space="0" w:color="auto"/>
      </w:divBdr>
    </w:div>
    <w:div w:id="1664774845">
      <w:bodyDiv w:val="1"/>
      <w:marLeft w:val="0"/>
      <w:marRight w:val="0"/>
      <w:marTop w:val="0"/>
      <w:marBottom w:val="0"/>
      <w:divBdr>
        <w:top w:val="none" w:sz="0" w:space="0" w:color="auto"/>
        <w:left w:val="none" w:sz="0" w:space="0" w:color="auto"/>
        <w:bottom w:val="none" w:sz="0" w:space="0" w:color="auto"/>
        <w:right w:val="none" w:sz="0" w:space="0" w:color="auto"/>
      </w:divBdr>
    </w:div>
    <w:div w:id="1664894844">
      <w:bodyDiv w:val="1"/>
      <w:marLeft w:val="0"/>
      <w:marRight w:val="0"/>
      <w:marTop w:val="0"/>
      <w:marBottom w:val="0"/>
      <w:divBdr>
        <w:top w:val="none" w:sz="0" w:space="0" w:color="auto"/>
        <w:left w:val="none" w:sz="0" w:space="0" w:color="auto"/>
        <w:bottom w:val="none" w:sz="0" w:space="0" w:color="auto"/>
        <w:right w:val="none" w:sz="0" w:space="0" w:color="auto"/>
      </w:divBdr>
    </w:div>
    <w:div w:id="1664964689">
      <w:bodyDiv w:val="1"/>
      <w:marLeft w:val="0"/>
      <w:marRight w:val="0"/>
      <w:marTop w:val="0"/>
      <w:marBottom w:val="0"/>
      <w:divBdr>
        <w:top w:val="none" w:sz="0" w:space="0" w:color="auto"/>
        <w:left w:val="none" w:sz="0" w:space="0" w:color="auto"/>
        <w:bottom w:val="none" w:sz="0" w:space="0" w:color="auto"/>
        <w:right w:val="none" w:sz="0" w:space="0" w:color="auto"/>
      </w:divBdr>
    </w:div>
    <w:div w:id="1665082525">
      <w:bodyDiv w:val="1"/>
      <w:marLeft w:val="0"/>
      <w:marRight w:val="0"/>
      <w:marTop w:val="0"/>
      <w:marBottom w:val="0"/>
      <w:divBdr>
        <w:top w:val="none" w:sz="0" w:space="0" w:color="auto"/>
        <w:left w:val="none" w:sz="0" w:space="0" w:color="auto"/>
        <w:bottom w:val="none" w:sz="0" w:space="0" w:color="auto"/>
        <w:right w:val="none" w:sz="0" w:space="0" w:color="auto"/>
      </w:divBdr>
    </w:div>
    <w:div w:id="1665089253">
      <w:bodyDiv w:val="1"/>
      <w:marLeft w:val="0"/>
      <w:marRight w:val="0"/>
      <w:marTop w:val="0"/>
      <w:marBottom w:val="0"/>
      <w:divBdr>
        <w:top w:val="none" w:sz="0" w:space="0" w:color="auto"/>
        <w:left w:val="none" w:sz="0" w:space="0" w:color="auto"/>
        <w:bottom w:val="none" w:sz="0" w:space="0" w:color="auto"/>
        <w:right w:val="none" w:sz="0" w:space="0" w:color="auto"/>
      </w:divBdr>
    </w:div>
    <w:div w:id="1665162277">
      <w:bodyDiv w:val="1"/>
      <w:marLeft w:val="0"/>
      <w:marRight w:val="0"/>
      <w:marTop w:val="0"/>
      <w:marBottom w:val="0"/>
      <w:divBdr>
        <w:top w:val="none" w:sz="0" w:space="0" w:color="auto"/>
        <w:left w:val="none" w:sz="0" w:space="0" w:color="auto"/>
        <w:bottom w:val="none" w:sz="0" w:space="0" w:color="auto"/>
        <w:right w:val="none" w:sz="0" w:space="0" w:color="auto"/>
      </w:divBdr>
    </w:div>
    <w:div w:id="1665234072">
      <w:bodyDiv w:val="1"/>
      <w:marLeft w:val="0"/>
      <w:marRight w:val="0"/>
      <w:marTop w:val="0"/>
      <w:marBottom w:val="0"/>
      <w:divBdr>
        <w:top w:val="none" w:sz="0" w:space="0" w:color="auto"/>
        <w:left w:val="none" w:sz="0" w:space="0" w:color="auto"/>
        <w:bottom w:val="none" w:sz="0" w:space="0" w:color="auto"/>
        <w:right w:val="none" w:sz="0" w:space="0" w:color="auto"/>
      </w:divBdr>
    </w:div>
    <w:div w:id="1665235058">
      <w:bodyDiv w:val="1"/>
      <w:marLeft w:val="0"/>
      <w:marRight w:val="0"/>
      <w:marTop w:val="0"/>
      <w:marBottom w:val="0"/>
      <w:divBdr>
        <w:top w:val="none" w:sz="0" w:space="0" w:color="auto"/>
        <w:left w:val="none" w:sz="0" w:space="0" w:color="auto"/>
        <w:bottom w:val="none" w:sz="0" w:space="0" w:color="auto"/>
        <w:right w:val="none" w:sz="0" w:space="0" w:color="auto"/>
      </w:divBdr>
    </w:div>
    <w:div w:id="1665283441">
      <w:bodyDiv w:val="1"/>
      <w:marLeft w:val="0"/>
      <w:marRight w:val="0"/>
      <w:marTop w:val="0"/>
      <w:marBottom w:val="0"/>
      <w:divBdr>
        <w:top w:val="none" w:sz="0" w:space="0" w:color="auto"/>
        <w:left w:val="none" w:sz="0" w:space="0" w:color="auto"/>
        <w:bottom w:val="none" w:sz="0" w:space="0" w:color="auto"/>
        <w:right w:val="none" w:sz="0" w:space="0" w:color="auto"/>
      </w:divBdr>
    </w:div>
    <w:div w:id="1665427439">
      <w:bodyDiv w:val="1"/>
      <w:marLeft w:val="0"/>
      <w:marRight w:val="0"/>
      <w:marTop w:val="0"/>
      <w:marBottom w:val="0"/>
      <w:divBdr>
        <w:top w:val="none" w:sz="0" w:space="0" w:color="auto"/>
        <w:left w:val="none" w:sz="0" w:space="0" w:color="auto"/>
        <w:bottom w:val="none" w:sz="0" w:space="0" w:color="auto"/>
        <w:right w:val="none" w:sz="0" w:space="0" w:color="auto"/>
      </w:divBdr>
    </w:div>
    <w:div w:id="1665545647">
      <w:bodyDiv w:val="1"/>
      <w:marLeft w:val="0"/>
      <w:marRight w:val="0"/>
      <w:marTop w:val="0"/>
      <w:marBottom w:val="0"/>
      <w:divBdr>
        <w:top w:val="none" w:sz="0" w:space="0" w:color="auto"/>
        <w:left w:val="none" w:sz="0" w:space="0" w:color="auto"/>
        <w:bottom w:val="none" w:sz="0" w:space="0" w:color="auto"/>
        <w:right w:val="none" w:sz="0" w:space="0" w:color="auto"/>
      </w:divBdr>
    </w:div>
    <w:div w:id="1665546866">
      <w:bodyDiv w:val="1"/>
      <w:marLeft w:val="0"/>
      <w:marRight w:val="0"/>
      <w:marTop w:val="0"/>
      <w:marBottom w:val="0"/>
      <w:divBdr>
        <w:top w:val="none" w:sz="0" w:space="0" w:color="auto"/>
        <w:left w:val="none" w:sz="0" w:space="0" w:color="auto"/>
        <w:bottom w:val="none" w:sz="0" w:space="0" w:color="auto"/>
        <w:right w:val="none" w:sz="0" w:space="0" w:color="auto"/>
      </w:divBdr>
    </w:div>
    <w:div w:id="1665740957">
      <w:bodyDiv w:val="1"/>
      <w:marLeft w:val="0"/>
      <w:marRight w:val="0"/>
      <w:marTop w:val="0"/>
      <w:marBottom w:val="0"/>
      <w:divBdr>
        <w:top w:val="none" w:sz="0" w:space="0" w:color="auto"/>
        <w:left w:val="none" w:sz="0" w:space="0" w:color="auto"/>
        <w:bottom w:val="none" w:sz="0" w:space="0" w:color="auto"/>
        <w:right w:val="none" w:sz="0" w:space="0" w:color="auto"/>
      </w:divBdr>
    </w:div>
    <w:div w:id="1665812695">
      <w:bodyDiv w:val="1"/>
      <w:marLeft w:val="0"/>
      <w:marRight w:val="0"/>
      <w:marTop w:val="0"/>
      <w:marBottom w:val="0"/>
      <w:divBdr>
        <w:top w:val="none" w:sz="0" w:space="0" w:color="auto"/>
        <w:left w:val="none" w:sz="0" w:space="0" w:color="auto"/>
        <w:bottom w:val="none" w:sz="0" w:space="0" w:color="auto"/>
        <w:right w:val="none" w:sz="0" w:space="0" w:color="auto"/>
      </w:divBdr>
    </w:div>
    <w:div w:id="1665818762">
      <w:bodyDiv w:val="1"/>
      <w:marLeft w:val="0"/>
      <w:marRight w:val="0"/>
      <w:marTop w:val="0"/>
      <w:marBottom w:val="0"/>
      <w:divBdr>
        <w:top w:val="none" w:sz="0" w:space="0" w:color="auto"/>
        <w:left w:val="none" w:sz="0" w:space="0" w:color="auto"/>
        <w:bottom w:val="none" w:sz="0" w:space="0" w:color="auto"/>
        <w:right w:val="none" w:sz="0" w:space="0" w:color="auto"/>
      </w:divBdr>
    </w:div>
    <w:div w:id="1665861767">
      <w:bodyDiv w:val="1"/>
      <w:marLeft w:val="0"/>
      <w:marRight w:val="0"/>
      <w:marTop w:val="0"/>
      <w:marBottom w:val="0"/>
      <w:divBdr>
        <w:top w:val="none" w:sz="0" w:space="0" w:color="auto"/>
        <w:left w:val="none" w:sz="0" w:space="0" w:color="auto"/>
        <w:bottom w:val="none" w:sz="0" w:space="0" w:color="auto"/>
        <w:right w:val="none" w:sz="0" w:space="0" w:color="auto"/>
      </w:divBdr>
    </w:div>
    <w:div w:id="1665861855">
      <w:bodyDiv w:val="1"/>
      <w:marLeft w:val="0"/>
      <w:marRight w:val="0"/>
      <w:marTop w:val="0"/>
      <w:marBottom w:val="0"/>
      <w:divBdr>
        <w:top w:val="none" w:sz="0" w:space="0" w:color="auto"/>
        <w:left w:val="none" w:sz="0" w:space="0" w:color="auto"/>
        <w:bottom w:val="none" w:sz="0" w:space="0" w:color="auto"/>
        <w:right w:val="none" w:sz="0" w:space="0" w:color="auto"/>
      </w:divBdr>
    </w:div>
    <w:div w:id="1665930638">
      <w:bodyDiv w:val="1"/>
      <w:marLeft w:val="0"/>
      <w:marRight w:val="0"/>
      <w:marTop w:val="0"/>
      <w:marBottom w:val="0"/>
      <w:divBdr>
        <w:top w:val="none" w:sz="0" w:space="0" w:color="auto"/>
        <w:left w:val="none" w:sz="0" w:space="0" w:color="auto"/>
        <w:bottom w:val="none" w:sz="0" w:space="0" w:color="auto"/>
        <w:right w:val="none" w:sz="0" w:space="0" w:color="auto"/>
      </w:divBdr>
    </w:div>
    <w:div w:id="1666399074">
      <w:bodyDiv w:val="1"/>
      <w:marLeft w:val="0"/>
      <w:marRight w:val="0"/>
      <w:marTop w:val="0"/>
      <w:marBottom w:val="0"/>
      <w:divBdr>
        <w:top w:val="none" w:sz="0" w:space="0" w:color="auto"/>
        <w:left w:val="none" w:sz="0" w:space="0" w:color="auto"/>
        <w:bottom w:val="none" w:sz="0" w:space="0" w:color="auto"/>
        <w:right w:val="none" w:sz="0" w:space="0" w:color="auto"/>
      </w:divBdr>
    </w:div>
    <w:div w:id="1666543006">
      <w:bodyDiv w:val="1"/>
      <w:marLeft w:val="0"/>
      <w:marRight w:val="0"/>
      <w:marTop w:val="0"/>
      <w:marBottom w:val="0"/>
      <w:divBdr>
        <w:top w:val="none" w:sz="0" w:space="0" w:color="auto"/>
        <w:left w:val="none" w:sz="0" w:space="0" w:color="auto"/>
        <w:bottom w:val="none" w:sz="0" w:space="0" w:color="auto"/>
        <w:right w:val="none" w:sz="0" w:space="0" w:color="auto"/>
      </w:divBdr>
    </w:div>
    <w:div w:id="1666589658">
      <w:bodyDiv w:val="1"/>
      <w:marLeft w:val="0"/>
      <w:marRight w:val="0"/>
      <w:marTop w:val="0"/>
      <w:marBottom w:val="0"/>
      <w:divBdr>
        <w:top w:val="none" w:sz="0" w:space="0" w:color="auto"/>
        <w:left w:val="none" w:sz="0" w:space="0" w:color="auto"/>
        <w:bottom w:val="none" w:sz="0" w:space="0" w:color="auto"/>
        <w:right w:val="none" w:sz="0" w:space="0" w:color="auto"/>
      </w:divBdr>
    </w:div>
    <w:div w:id="1666664184">
      <w:bodyDiv w:val="1"/>
      <w:marLeft w:val="0"/>
      <w:marRight w:val="0"/>
      <w:marTop w:val="0"/>
      <w:marBottom w:val="0"/>
      <w:divBdr>
        <w:top w:val="none" w:sz="0" w:space="0" w:color="auto"/>
        <w:left w:val="none" w:sz="0" w:space="0" w:color="auto"/>
        <w:bottom w:val="none" w:sz="0" w:space="0" w:color="auto"/>
        <w:right w:val="none" w:sz="0" w:space="0" w:color="auto"/>
      </w:divBdr>
    </w:div>
    <w:div w:id="1666743665">
      <w:bodyDiv w:val="1"/>
      <w:marLeft w:val="0"/>
      <w:marRight w:val="0"/>
      <w:marTop w:val="0"/>
      <w:marBottom w:val="0"/>
      <w:divBdr>
        <w:top w:val="none" w:sz="0" w:space="0" w:color="auto"/>
        <w:left w:val="none" w:sz="0" w:space="0" w:color="auto"/>
        <w:bottom w:val="none" w:sz="0" w:space="0" w:color="auto"/>
        <w:right w:val="none" w:sz="0" w:space="0" w:color="auto"/>
      </w:divBdr>
    </w:div>
    <w:div w:id="1666782003">
      <w:bodyDiv w:val="1"/>
      <w:marLeft w:val="0"/>
      <w:marRight w:val="0"/>
      <w:marTop w:val="0"/>
      <w:marBottom w:val="0"/>
      <w:divBdr>
        <w:top w:val="none" w:sz="0" w:space="0" w:color="auto"/>
        <w:left w:val="none" w:sz="0" w:space="0" w:color="auto"/>
        <w:bottom w:val="none" w:sz="0" w:space="0" w:color="auto"/>
        <w:right w:val="none" w:sz="0" w:space="0" w:color="auto"/>
      </w:divBdr>
    </w:div>
    <w:div w:id="1666854060">
      <w:bodyDiv w:val="1"/>
      <w:marLeft w:val="0"/>
      <w:marRight w:val="0"/>
      <w:marTop w:val="0"/>
      <w:marBottom w:val="0"/>
      <w:divBdr>
        <w:top w:val="none" w:sz="0" w:space="0" w:color="auto"/>
        <w:left w:val="none" w:sz="0" w:space="0" w:color="auto"/>
        <w:bottom w:val="none" w:sz="0" w:space="0" w:color="auto"/>
        <w:right w:val="none" w:sz="0" w:space="0" w:color="auto"/>
      </w:divBdr>
    </w:div>
    <w:div w:id="1666854431">
      <w:bodyDiv w:val="1"/>
      <w:marLeft w:val="0"/>
      <w:marRight w:val="0"/>
      <w:marTop w:val="0"/>
      <w:marBottom w:val="0"/>
      <w:divBdr>
        <w:top w:val="none" w:sz="0" w:space="0" w:color="auto"/>
        <w:left w:val="none" w:sz="0" w:space="0" w:color="auto"/>
        <w:bottom w:val="none" w:sz="0" w:space="0" w:color="auto"/>
        <w:right w:val="none" w:sz="0" w:space="0" w:color="auto"/>
      </w:divBdr>
    </w:div>
    <w:div w:id="1666930384">
      <w:bodyDiv w:val="1"/>
      <w:marLeft w:val="0"/>
      <w:marRight w:val="0"/>
      <w:marTop w:val="0"/>
      <w:marBottom w:val="0"/>
      <w:divBdr>
        <w:top w:val="none" w:sz="0" w:space="0" w:color="auto"/>
        <w:left w:val="none" w:sz="0" w:space="0" w:color="auto"/>
        <w:bottom w:val="none" w:sz="0" w:space="0" w:color="auto"/>
        <w:right w:val="none" w:sz="0" w:space="0" w:color="auto"/>
      </w:divBdr>
    </w:div>
    <w:div w:id="1666931924">
      <w:bodyDiv w:val="1"/>
      <w:marLeft w:val="0"/>
      <w:marRight w:val="0"/>
      <w:marTop w:val="0"/>
      <w:marBottom w:val="0"/>
      <w:divBdr>
        <w:top w:val="none" w:sz="0" w:space="0" w:color="auto"/>
        <w:left w:val="none" w:sz="0" w:space="0" w:color="auto"/>
        <w:bottom w:val="none" w:sz="0" w:space="0" w:color="auto"/>
        <w:right w:val="none" w:sz="0" w:space="0" w:color="auto"/>
      </w:divBdr>
    </w:div>
    <w:div w:id="1666932865">
      <w:bodyDiv w:val="1"/>
      <w:marLeft w:val="0"/>
      <w:marRight w:val="0"/>
      <w:marTop w:val="0"/>
      <w:marBottom w:val="0"/>
      <w:divBdr>
        <w:top w:val="none" w:sz="0" w:space="0" w:color="auto"/>
        <w:left w:val="none" w:sz="0" w:space="0" w:color="auto"/>
        <w:bottom w:val="none" w:sz="0" w:space="0" w:color="auto"/>
        <w:right w:val="none" w:sz="0" w:space="0" w:color="auto"/>
      </w:divBdr>
    </w:div>
    <w:div w:id="1667126851">
      <w:bodyDiv w:val="1"/>
      <w:marLeft w:val="0"/>
      <w:marRight w:val="0"/>
      <w:marTop w:val="0"/>
      <w:marBottom w:val="0"/>
      <w:divBdr>
        <w:top w:val="none" w:sz="0" w:space="0" w:color="auto"/>
        <w:left w:val="none" w:sz="0" w:space="0" w:color="auto"/>
        <w:bottom w:val="none" w:sz="0" w:space="0" w:color="auto"/>
        <w:right w:val="none" w:sz="0" w:space="0" w:color="auto"/>
      </w:divBdr>
    </w:div>
    <w:div w:id="1667241651">
      <w:bodyDiv w:val="1"/>
      <w:marLeft w:val="0"/>
      <w:marRight w:val="0"/>
      <w:marTop w:val="0"/>
      <w:marBottom w:val="0"/>
      <w:divBdr>
        <w:top w:val="none" w:sz="0" w:space="0" w:color="auto"/>
        <w:left w:val="none" w:sz="0" w:space="0" w:color="auto"/>
        <w:bottom w:val="none" w:sz="0" w:space="0" w:color="auto"/>
        <w:right w:val="none" w:sz="0" w:space="0" w:color="auto"/>
      </w:divBdr>
    </w:div>
    <w:div w:id="1667250408">
      <w:bodyDiv w:val="1"/>
      <w:marLeft w:val="0"/>
      <w:marRight w:val="0"/>
      <w:marTop w:val="0"/>
      <w:marBottom w:val="0"/>
      <w:divBdr>
        <w:top w:val="none" w:sz="0" w:space="0" w:color="auto"/>
        <w:left w:val="none" w:sz="0" w:space="0" w:color="auto"/>
        <w:bottom w:val="none" w:sz="0" w:space="0" w:color="auto"/>
        <w:right w:val="none" w:sz="0" w:space="0" w:color="auto"/>
      </w:divBdr>
    </w:div>
    <w:div w:id="1667442479">
      <w:bodyDiv w:val="1"/>
      <w:marLeft w:val="0"/>
      <w:marRight w:val="0"/>
      <w:marTop w:val="0"/>
      <w:marBottom w:val="0"/>
      <w:divBdr>
        <w:top w:val="none" w:sz="0" w:space="0" w:color="auto"/>
        <w:left w:val="none" w:sz="0" w:space="0" w:color="auto"/>
        <w:bottom w:val="none" w:sz="0" w:space="0" w:color="auto"/>
        <w:right w:val="none" w:sz="0" w:space="0" w:color="auto"/>
      </w:divBdr>
    </w:div>
    <w:div w:id="1667511712">
      <w:bodyDiv w:val="1"/>
      <w:marLeft w:val="0"/>
      <w:marRight w:val="0"/>
      <w:marTop w:val="0"/>
      <w:marBottom w:val="0"/>
      <w:divBdr>
        <w:top w:val="none" w:sz="0" w:space="0" w:color="auto"/>
        <w:left w:val="none" w:sz="0" w:space="0" w:color="auto"/>
        <w:bottom w:val="none" w:sz="0" w:space="0" w:color="auto"/>
        <w:right w:val="none" w:sz="0" w:space="0" w:color="auto"/>
      </w:divBdr>
    </w:div>
    <w:div w:id="1667829007">
      <w:bodyDiv w:val="1"/>
      <w:marLeft w:val="0"/>
      <w:marRight w:val="0"/>
      <w:marTop w:val="0"/>
      <w:marBottom w:val="0"/>
      <w:divBdr>
        <w:top w:val="none" w:sz="0" w:space="0" w:color="auto"/>
        <w:left w:val="none" w:sz="0" w:space="0" w:color="auto"/>
        <w:bottom w:val="none" w:sz="0" w:space="0" w:color="auto"/>
        <w:right w:val="none" w:sz="0" w:space="0" w:color="auto"/>
      </w:divBdr>
    </w:div>
    <w:div w:id="1668164918">
      <w:bodyDiv w:val="1"/>
      <w:marLeft w:val="0"/>
      <w:marRight w:val="0"/>
      <w:marTop w:val="0"/>
      <w:marBottom w:val="0"/>
      <w:divBdr>
        <w:top w:val="none" w:sz="0" w:space="0" w:color="auto"/>
        <w:left w:val="none" w:sz="0" w:space="0" w:color="auto"/>
        <w:bottom w:val="none" w:sz="0" w:space="0" w:color="auto"/>
        <w:right w:val="none" w:sz="0" w:space="0" w:color="auto"/>
      </w:divBdr>
    </w:div>
    <w:div w:id="1668242288">
      <w:bodyDiv w:val="1"/>
      <w:marLeft w:val="0"/>
      <w:marRight w:val="0"/>
      <w:marTop w:val="0"/>
      <w:marBottom w:val="0"/>
      <w:divBdr>
        <w:top w:val="none" w:sz="0" w:space="0" w:color="auto"/>
        <w:left w:val="none" w:sz="0" w:space="0" w:color="auto"/>
        <w:bottom w:val="none" w:sz="0" w:space="0" w:color="auto"/>
        <w:right w:val="none" w:sz="0" w:space="0" w:color="auto"/>
      </w:divBdr>
    </w:div>
    <w:div w:id="1668242446">
      <w:bodyDiv w:val="1"/>
      <w:marLeft w:val="0"/>
      <w:marRight w:val="0"/>
      <w:marTop w:val="0"/>
      <w:marBottom w:val="0"/>
      <w:divBdr>
        <w:top w:val="none" w:sz="0" w:space="0" w:color="auto"/>
        <w:left w:val="none" w:sz="0" w:space="0" w:color="auto"/>
        <w:bottom w:val="none" w:sz="0" w:space="0" w:color="auto"/>
        <w:right w:val="none" w:sz="0" w:space="0" w:color="auto"/>
      </w:divBdr>
    </w:div>
    <w:div w:id="1668289515">
      <w:bodyDiv w:val="1"/>
      <w:marLeft w:val="0"/>
      <w:marRight w:val="0"/>
      <w:marTop w:val="0"/>
      <w:marBottom w:val="0"/>
      <w:divBdr>
        <w:top w:val="none" w:sz="0" w:space="0" w:color="auto"/>
        <w:left w:val="none" w:sz="0" w:space="0" w:color="auto"/>
        <w:bottom w:val="none" w:sz="0" w:space="0" w:color="auto"/>
        <w:right w:val="none" w:sz="0" w:space="0" w:color="auto"/>
      </w:divBdr>
    </w:div>
    <w:div w:id="1668316063">
      <w:bodyDiv w:val="1"/>
      <w:marLeft w:val="0"/>
      <w:marRight w:val="0"/>
      <w:marTop w:val="0"/>
      <w:marBottom w:val="0"/>
      <w:divBdr>
        <w:top w:val="none" w:sz="0" w:space="0" w:color="auto"/>
        <w:left w:val="none" w:sz="0" w:space="0" w:color="auto"/>
        <w:bottom w:val="none" w:sz="0" w:space="0" w:color="auto"/>
        <w:right w:val="none" w:sz="0" w:space="0" w:color="auto"/>
      </w:divBdr>
    </w:div>
    <w:div w:id="1668367545">
      <w:bodyDiv w:val="1"/>
      <w:marLeft w:val="0"/>
      <w:marRight w:val="0"/>
      <w:marTop w:val="0"/>
      <w:marBottom w:val="0"/>
      <w:divBdr>
        <w:top w:val="none" w:sz="0" w:space="0" w:color="auto"/>
        <w:left w:val="none" w:sz="0" w:space="0" w:color="auto"/>
        <w:bottom w:val="none" w:sz="0" w:space="0" w:color="auto"/>
        <w:right w:val="none" w:sz="0" w:space="0" w:color="auto"/>
      </w:divBdr>
    </w:div>
    <w:div w:id="1668438536">
      <w:bodyDiv w:val="1"/>
      <w:marLeft w:val="0"/>
      <w:marRight w:val="0"/>
      <w:marTop w:val="0"/>
      <w:marBottom w:val="0"/>
      <w:divBdr>
        <w:top w:val="none" w:sz="0" w:space="0" w:color="auto"/>
        <w:left w:val="none" w:sz="0" w:space="0" w:color="auto"/>
        <w:bottom w:val="none" w:sz="0" w:space="0" w:color="auto"/>
        <w:right w:val="none" w:sz="0" w:space="0" w:color="auto"/>
      </w:divBdr>
    </w:div>
    <w:div w:id="1668556547">
      <w:bodyDiv w:val="1"/>
      <w:marLeft w:val="0"/>
      <w:marRight w:val="0"/>
      <w:marTop w:val="0"/>
      <w:marBottom w:val="0"/>
      <w:divBdr>
        <w:top w:val="none" w:sz="0" w:space="0" w:color="auto"/>
        <w:left w:val="none" w:sz="0" w:space="0" w:color="auto"/>
        <w:bottom w:val="none" w:sz="0" w:space="0" w:color="auto"/>
        <w:right w:val="none" w:sz="0" w:space="0" w:color="auto"/>
      </w:divBdr>
    </w:div>
    <w:div w:id="1668635944">
      <w:bodyDiv w:val="1"/>
      <w:marLeft w:val="0"/>
      <w:marRight w:val="0"/>
      <w:marTop w:val="0"/>
      <w:marBottom w:val="0"/>
      <w:divBdr>
        <w:top w:val="none" w:sz="0" w:space="0" w:color="auto"/>
        <w:left w:val="none" w:sz="0" w:space="0" w:color="auto"/>
        <w:bottom w:val="none" w:sz="0" w:space="0" w:color="auto"/>
        <w:right w:val="none" w:sz="0" w:space="0" w:color="auto"/>
      </w:divBdr>
    </w:div>
    <w:div w:id="1668745873">
      <w:bodyDiv w:val="1"/>
      <w:marLeft w:val="0"/>
      <w:marRight w:val="0"/>
      <w:marTop w:val="0"/>
      <w:marBottom w:val="0"/>
      <w:divBdr>
        <w:top w:val="none" w:sz="0" w:space="0" w:color="auto"/>
        <w:left w:val="none" w:sz="0" w:space="0" w:color="auto"/>
        <w:bottom w:val="none" w:sz="0" w:space="0" w:color="auto"/>
        <w:right w:val="none" w:sz="0" w:space="0" w:color="auto"/>
      </w:divBdr>
    </w:div>
    <w:div w:id="1668896360">
      <w:bodyDiv w:val="1"/>
      <w:marLeft w:val="0"/>
      <w:marRight w:val="0"/>
      <w:marTop w:val="0"/>
      <w:marBottom w:val="0"/>
      <w:divBdr>
        <w:top w:val="none" w:sz="0" w:space="0" w:color="auto"/>
        <w:left w:val="none" w:sz="0" w:space="0" w:color="auto"/>
        <w:bottom w:val="none" w:sz="0" w:space="0" w:color="auto"/>
        <w:right w:val="none" w:sz="0" w:space="0" w:color="auto"/>
      </w:divBdr>
    </w:div>
    <w:div w:id="1668942393">
      <w:bodyDiv w:val="1"/>
      <w:marLeft w:val="0"/>
      <w:marRight w:val="0"/>
      <w:marTop w:val="0"/>
      <w:marBottom w:val="0"/>
      <w:divBdr>
        <w:top w:val="none" w:sz="0" w:space="0" w:color="auto"/>
        <w:left w:val="none" w:sz="0" w:space="0" w:color="auto"/>
        <w:bottom w:val="none" w:sz="0" w:space="0" w:color="auto"/>
        <w:right w:val="none" w:sz="0" w:space="0" w:color="auto"/>
      </w:divBdr>
    </w:div>
    <w:div w:id="1669021460">
      <w:bodyDiv w:val="1"/>
      <w:marLeft w:val="0"/>
      <w:marRight w:val="0"/>
      <w:marTop w:val="0"/>
      <w:marBottom w:val="0"/>
      <w:divBdr>
        <w:top w:val="none" w:sz="0" w:space="0" w:color="auto"/>
        <w:left w:val="none" w:sz="0" w:space="0" w:color="auto"/>
        <w:bottom w:val="none" w:sz="0" w:space="0" w:color="auto"/>
        <w:right w:val="none" w:sz="0" w:space="0" w:color="auto"/>
      </w:divBdr>
    </w:div>
    <w:div w:id="1669139751">
      <w:bodyDiv w:val="1"/>
      <w:marLeft w:val="0"/>
      <w:marRight w:val="0"/>
      <w:marTop w:val="0"/>
      <w:marBottom w:val="0"/>
      <w:divBdr>
        <w:top w:val="none" w:sz="0" w:space="0" w:color="auto"/>
        <w:left w:val="none" w:sz="0" w:space="0" w:color="auto"/>
        <w:bottom w:val="none" w:sz="0" w:space="0" w:color="auto"/>
        <w:right w:val="none" w:sz="0" w:space="0" w:color="auto"/>
      </w:divBdr>
    </w:div>
    <w:div w:id="1669400359">
      <w:bodyDiv w:val="1"/>
      <w:marLeft w:val="0"/>
      <w:marRight w:val="0"/>
      <w:marTop w:val="0"/>
      <w:marBottom w:val="0"/>
      <w:divBdr>
        <w:top w:val="none" w:sz="0" w:space="0" w:color="auto"/>
        <w:left w:val="none" w:sz="0" w:space="0" w:color="auto"/>
        <w:bottom w:val="none" w:sz="0" w:space="0" w:color="auto"/>
        <w:right w:val="none" w:sz="0" w:space="0" w:color="auto"/>
      </w:divBdr>
    </w:div>
    <w:div w:id="1669404851">
      <w:bodyDiv w:val="1"/>
      <w:marLeft w:val="0"/>
      <w:marRight w:val="0"/>
      <w:marTop w:val="0"/>
      <w:marBottom w:val="0"/>
      <w:divBdr>
        <w:top w:val="none" w:sz="0" w:space="0" w:color="auto"/>
        <w:left w:val="none" w:sz="0" w:space="0" w:color="auto"/>
        <w:bottom w:val="none" w:sz="0" w:space="0" w:color="auto"/>
        <w:right w:val="none" w:sz="0" w:space="0" w:color="auto"/>
      </w:divBdr>
    </w:div>
    <w:div w:id="1669557642">
      <w:bodyDiv w:val="1"/>
      <w:marLeft w:val="0"/>
      <w:marRight w:val="0"/>
      <w:marTop w:val="0"/>
      <w:marBottom w:val="0"/>
      <w:divBdr>
        <w:top w:val="none" w:sz="0" w:space="0" w:color="auto"/>
        <w:left w:val="none" w:sz="0" w:space="0" w:color="auto"/>
        <w:bottom w:val="none" w:sz="0" w:space="0" w:color="auto"/>
        <w:right w:val="none" w:sz="0" w:space="0" w:color="auto"/>
      </w:divBdr>
    </w:div>
    <w:div w:id="1669749051">
      <w:bodyDiv w:val="1"/>
      <w:marLeft w:val="0"/>
      <w:marRight w:val="0"/>
      <w:marTop w:val="0"/>
      <w:marBottom w:val="0"/>
      <w:divBdr>
        <w:top w:val="none" w:sz="0" w:space="0" w:color="auto"/>
        <w:left w:val="none" w:sz="0" w:space="0" w:color="auto"/>
        <w:bottom w:val="none" w:sz="0" w:space="0" w:color="auto"/>
        <w:right w:val="none" w:sz="0" w:space="0" w:color="auto"/>
      </w:divBdr>
    </w:div>
    <w:div w:id="1669823165">
      <w:bodyDiv w:val="1"/>
      <w:marLeft w:val="0"/>
      <w:marRight w:val="0"/>
      <w:marTop w:val="0"/>
      <w:marBottom w:val="0"/>
      <w:divBdr>
        <w:top w:val="none" w:sz="0" w:space="0" w:color="auto"/>
        <w:left w:val="none" w:sz="0" w:space="0" w:color="auto"/>
        <w:bottom w:val="none" w:sz="0" w:space="0" w:color="auto"/>
        <w:right w:val="none" w:sz="0" w:space="0" w:color="auto"/>
      </w:divBdr>
    </w:div>
    <w:div w:id="1669943642">
      <w:bodyDiv w:val="1"/>
      <w:marLeft w:val="0"/>
      <w:marRight w:val="0"/>
      <w:marTop w:val="0"/>
      <w:marBottom w:val="0"/>
      <w:divBdr>
        <w:top w:val="none" w:sz="0" w:space="0" w:color="auto"/>
        <w:left w:val="none" w:sz="0" w:space="0" w:color="auto"/>
        <w:bottom w:val="none" w:sz="0" w:space="0" w:color="auto"/>
        <w:right w:val="none" w:sz="0" w:space="0" w:color="auto"/>
      </w:divBdr>
    </w:div>
    <w:div w:id="1670015786">
      <w:bodyDiv w:val="1"/>
      <w:marLeft w:val="0"/>
      <w:marRight w:val="0"/>
      <w:marTop w:val="0"/>
      <w:marBottom w:val="0"/>
      <w:divBdr>
        <w:top w:val="none" w:sz="0" w:space="0" w:color="auto"/>
        <w:left w:val="none" w:sz="0" w:space="0" w:color="auto"/>
        <w:bottom w:val="none" w:sz="0" w:space="0" w:color="auto"/>
        <w:right w:val="none" w:sz="0" w:space="0" w:color="auto"/>
      </w:divBdr>
    </w:div>
    <w:div w:id="1670134401">
      <w:bodyDiv w:val="1"/>
      <w:marLeft w:val="0"/>
      <w:marRight w:val="0"/>
      <w:marTop w:val="0"/>
      <w:marBottom w:val="0"/>
      <w:divBdr>
        <w:top w:val="none" w:sz="0" w:space="0" w:color="auto"/>
        <w:left w:val="none" w:sz="0" w:space="0" w:color="auto"/>
        <w:bottom w:val="none" w:sz="0" w:space="0" w:color="auto"/>
        <w:right w:val="none" w:sz="0" w:space="0" w:color="auto"/>
      </w:divBdr>
    </w:div>
    <w:div w:id="1670206280">
      <w:bodyDiv w:val="1"/>
      <w:marLeft w:val="0"/>
      <w:marRight w:val="0"/>
      <w:marTop w:val="0"/>
      <w:marBottom w:val="0"/>
      <w:divBdr>
        <w:top w:val="none" w:sz="0" w:space="0" w:color="auto"/>
        <w:left w:val="none" w:sz="0" w:space="0" w:color="auto"/>
        <w:bottom w:val="none" w:sz="0" w:space="0" w:color="auto"/>
        <w:right w:val="none" w:sz="0" w:space="0" w:color="auto"/>
      </w:divBdr>
    </w:div>
    <w:div w:id="1670254780">
      <w:bodyDiv w:val="1"/>
      <w:marLeft w:val="0"/>
      <w:marRight w:val="0"/>
      <w:marTop w:val="0"/>
      <w:marBottom w:val="0"/>
      <w:divBdr>
        <w:top w:val="none" w:sz="0" w:space="0" w:color="auto"/>
        <w:left w:val="none" w:sz="0" w:space="0" w:color="auto"/>
        <w:bottom w:val="none" w:sz="0" w:space="0" w:color="auto"/>
        <w:right w:val="none" w:sz="0" w:space="0" w:color="auto"/>
      </w:divBdr>
    </w:div>
    <w:div w:id="1670324349">
      <w:bodyDiv w:val="1"/>
      <w:marLeft w:val="0"/>
      <w:marRight w:val="0"/>
      <w:marTop w:val="0"/>
      <w:marBottom w:val="0"/>
      <w:divBdr>
        <w:top w:val="none" w:sz="0" w:space="0" w:color="auto"/>
        <w:left w:val="none" w:sz="0" w:space="0" w:color="auto"/>
        <w:bottom w:val="none" w:sz="0" w:space="0" w:color="auto"/>
        <w:right w:val="none" w:sz="0" w:space="0" w:color="auto"/>
      </w:divBdr>
    </w:div>
    <w:div w:id="1670477612">
      <w:bodyDiv w:val="1"/>
      <w:marLeft w:val="0"/>
      <w:marRight w:val="0"/>
      <w:marTop w:val="0"/>
      <w:marBottom w:val="0"/>
      <w:divBdr>
        <w:top w:val="none" w:sz="0" w:space="0" w:color="auto"/>
        <w:left w:val="none" w:sz="0" w:space="0" w:color="auto"/>
        <w:bottom w:val="none" w:sz="0" w:space="0" w:color="auto"/>
        <w:right w:val="none" w:sz="0" w:space="0" w:color="auto"/>
      </w:divBdr>
    </w:div>
    <w:div w:id="1670594589">
      <w:bodyDiv w:val="1"/>
      <w:marLeft w:val="0"/>
      <w:marRight w:val="0"/>
      <w:marTop w:val="0"/>
      <w:marBottom w:val="0"/>
      <w:divBdr>
        <w:top w:val="none" w:sz="0" w:space="0" w:color="auto"/>
        <w:left w:val="none" w:sz="0" w:space="0" w:color="auto"/>
        <w:bottom w:val="none" w:sz="0" w:space="0" w:color="auto"/>
        <w:right w:val="none" w:sz="0" w:space="0" w:color="auto"/>
      </w:divBdr>
    </w:div>
    <w:div w:id="1670599009">
      <w:bodyDiv w:val="1"/>
      <w:marLeft w:val="0"/>
      <w:marRight w:val="0"/>
      <w:marTop w:val="0"/>
      <w:marBottom w:val="0"/>
      <w:divBdr>
        <w:top w:val="none" w:sz="0" w:space="0" w:color="auto"/>
        <w:left w:val="none" w:sz="0" w:space="0" w:color="auto"/>
        <w:bottom w:val="none" w:sz="0" w:space="0" w:color="auto"/>
        <w:right w:val="none" w:sz="0" w:space="0" w:color="auto"/>
      </w:divBdr>
    </w:div>
    <w:div w:id="1670600463">
      <w:bodyDiv w:val="1"/>
      <w:marLeft w:val="0"/>
      <w:marRight w:val="0"/>
      <w:marTop w:val="0"/>
      <w:marBottom w:val="0"/>
      <w:divBdr>
        <w:top w:val="none" w:sz="0" w:space="0" w:color="auto"/>
        <w:left w:val="none" w:sz="0" w:space="0" w:color="auto"/>
        <w:bottom w:val="none" w:sz="0" w:space="0" w:color="auto"/>
        <w:right w:val="none" w:sz="0" w:space="0" w:color="auto"/>
      </w:divBdr>
    </w:div>
    <w:div w:id="1670671053">
      <w:bodyDiv w:val="1"/>
      <w:marLeft w:val="0"/>
      <w:marRight w:val="0"/>
      <w:marTop w:val="0"/>
      <w:marBottom w:val="0"/>
      <w:divBdr>
        <w:top w:val="none" w:sz="0" w:space="0" w:color="auto"/>
        <w:left w:val="none" w:sz="0" w:space="0" w:color="auto"/>
        <w:bottom w:val="none" w:sz="0" w:space="0" w:color="auto"/>
        <w:right w:val="none" w:sz="0" w:space="0" w:color="auto"/>
      </w:divBdr>
    </w:div>
    <w:div w:id="1670673917">
      <w:bodyDiv w:val="1"/>
      <w:marLeft w:val="0"/>
      <w:marRight w:val="0"/>
      <w:marTop w:val="0"/>
      <w:marBottom w:val="0"/>
      <w:divBdr>
        <w:top w:val="none" w:sz="0" w:space="0" w:color="auto"/>
        <w:left w:val="none" w:sz="0" w:space="0" w:color="auto"/>
        <w:bottom w:val="none" w:sz="0" w:space="0" w:color="auto"/>
        <w:right w:val="none" w:sz="0" w:space="0" w:color="auto"/>
      </w:divBdr>
    </w:div>
    <w:div w:id="1670906902">
      <w:bodyDiv w:val="1"/>
      <w:marLeft w:val="0"/>
      <w:marRight w:val="0"/>
      <w:marTop w:val="0"/>
      <w:marBottom w:val="0"/>
      <w:divBdr>
        <w:top w:val="none" w:sz="0" w:space="0" w:color="auto"/>
        <w:left w:val="none" w:sz="0" w:space="0" w:color="auto"/>
        <w:bottom w:val="none" w:sz="0" w:space="0" w:color="auto"/>
        <w:right w:val="none" w:sz="0" w:space="0" w:color="auto"/>
      </w:divBdr>
    </w:div>
    <w:div w:id="1670985728">
      <w:bodyDiv w:val="1"/>
      <w:marLeft w:val="0"/>
      <w:marRight w:val="0"/>
      <w:marTop w:val="0"/>
      <w:marBottom w:val="0"/>
      <w:divBdr>
        <w:top w:val="none" w:sz="0" w:space="0" w:color="auto"/>
        <w:left w:val="none" w:sz="0" w:space="0" w:color="auto"/>
        <w:bottom w:val="none" w:sz="0" w:space="0" w:color="auto"/>
        <w:right w:val="none" w:sz="0" w:space="0" w:color="auto"/>
      </w:divBdr>
    </w:div>
    <w:div w:id="1671130094">
      <w:bodyDiv w:val="1"/>
      <w:marLeft w:val="0"/>
      <w:marRight w:val="0"/>
      <w:marTop w:val="0"/>
      <w:marBottom w:val="0"/>
      <w:divBdr>
        <w:top w:val="none" w:sz="0" w:space="0" w:color="auto"/>
        <w:left w:val="none" w:sz="0" w:space="0" w:color="auto"/>
        <w:bottom w:val="none" w:sz="0" w:space="0" w:color="auto"/>
        <w:right w:val="none" w:sz="0" w:space="0" w:color="auto"/>
      </w:divBdr>
    </w:div>
    <w:div w:id="1671174222">
      <w:bodyDiv w:val="1"/>
      <w:marLeft w:val="0"/>
      <w:marRight w:val="0"/>
      <w:marTop w:val="0"/>
      <w:marBottom w:val="0"/>
      <w:divBdr>
        <w:top w:val="none" w:sz="0" w:space="0" w:color="auto"/>
        <w:left w:val="none" w:sz="0" w:space="0" w:color="auto"/>
        <w:bottom w:val="none" w:sz="0" w:space="0" w:color="auto"/>
        <w:right w:val="none" w:sz="0" w:space="0" w:color="auto"/>
      </w:divBdr>
    </w:div>
    <w:div w:id="1671252731">
      <w:bodyDiv w:val="1"/>
      <w:marLeft w:val="0"/>
      <w:marRight w:val="0"/>
      <w:marTop w:val="0"/>
      <w:marBottom w:val="0"/>
      <w:divBdr>
        <w:top w:val="none" w:sz="0" w:space="0" w:color="auto"/>
        <w:left w:val="none" w:sz="0" w:space="0" w:color="auto"/>
        <w:bottom w:val="none" w:sz="0" w:space="0" w:color="auto"/>
        <w:right w:val="none" w:sz="0" w:space="0" w:color="auto"/>
      </w:divBdr>
    </w:div>
    <w:div w:id="1671253747">
      <w:bodyDiv w:val="1"/>
      <w:marLeft w:val="0"/>
      <w:marRight w:val="0"/>
      <w:marTop w:val="0"/>
      <w:marBottom w:val="0"/>
      <w:divBdr>
        <w:top w:val="none" w:sz="0" w:space="0" w:color="auto"/>
        <w:left w:val="none" w:sz="0" w:space="0" w:color="auto"/>
        <w:bottom w:val="none" w:sz="0" w:space="0" w:color="auto"/>
        <w:right w:val="none" w:sz="0" w:space="0" w:color="auto"/>
      </w:divBdr>
    </w:div>
    <w:div w:id="1671330104">
      <w:bodyDiv w:val="1"/>
      <w:marLeft w:val="0"/>
      <w:marRight w:val="0"/>
      <w:marTop w:val="0"/>
      <w:marBottom w:val="0"/>
      <w:divBdr>
        <w:top w:val="none" w:sz="0" w:space="0" w:color="auto"/>
        <w:left w:val="none" w:sz="0" w:space="0" w:color="auto"/>
        <w:bottom w:val="none" w:sz="0" w:space="0" w:color="auto"/>
        <w:right w:val="none" w:sz="0" w:space="0" w:color="auto"/>
      </w:divBdr>
    </w:div>
    <w:div w:id="1671366345">
      <w:bodyDiv w:val="1"/>
      <w:marLeft w:val="0"/>
      <w:marRight w:val="0"/>
      <w:marTop w:val="0"/>
      <w:marBottom w:val="0"/>
      <w:divBdr>
        <w:top w:val="none" w:sz="0" w:space="0" w:color="auto"/>
        <w:left w:val="none" w:sz="0" w:space="0" w:color="auto"/>
        <w:bottom w:val="none" w:sz="0" w:space="0" w:color="auto"/>
        <w:right w:val="none" w:sz="0" w:space="0" w:color="auto"/>
      </w:divBdr>
    </w:div>
    <w:div w:id="1671518578">
      <w:bodyDiv w:val="1"/>
      <w:marLeft w:val="0"/>
      <w:marRight w:val="0"/>
      <w:marTop w:val="0"/>
      <w:marBottom w:val="0"/>
      <w:divBdr>
        <w:top w:val="none" w:sz="0" w:space="0" w:color="auto"/>
        <w:left w:val="none" w:sz="0" w:space="0" w:color="auto"/>
        <w:bottom w:val="none" w:sz="0" w:space="0" w:color="auto"/>
        <w:right w:val="none" w:sz="0" w:space="0" w:color="auto"/>
      </w:divBdr>
    </w:div>
    <w:div w:id="1671636082">
      <w:bodyDiv w:val="1"/>
      <w:marLeft w:val="0"/>
      <w:marRight w:val="0"/>
      <w:marTop w:val="0"/>
      <w:marBottom w:val="0"/>
      <w:divBdr>
        <w:top w:val="none" w:sz="0" w:space="0" w:color="auto"/>
        <w:left w:val="none" w:sz="0" w:space="0" w:color="auto"/>
        <w:bottom w:val="none" w:sz="0" w:space="0" w:color="auto"/>
        <w:right w:val="none" w:sz="0" w:space="0" w:color="auto"/>
      </w:divBdr>
    </w:div>
    <w:div w:id="1671642289">
      <w:bodyDiv w:val="1"/>
      <w:marLeft w:val="0"/>
      <w:marRight w:val="0"/>
      <w:marTop w:val="0"/>
      <w:marBottom w:val="0"/>
      <w:divBdr>
        <w:top w:val="none" w:sz="0" w:space="0" w:color="auto"/>
        <w:left w:val="none" w:sz="0" w:space="0" w:color="auto"/>
        <w:bottom w:val="none" w:sz="0" w:space="0" w:color="auto"/>
        <w:right w:val="none" w:sz="0" w:space="0" w:color="auto"/>
      </w:divBdr>
    </w:div>
    <w:div w:id="1671710885">
      <w:bodyDiv w:val="1"/>
      <w:marLeft w:val="0"/>
      <w:marRight w:val="0"/>
      <w:marTop w:val="0"/>
      <w:marBottom w:val="0"/>
      <w:divBdr>
        <w:top w:val="none" w:sz="0" w:space="0" w:color="auto"/>
        <w:left w:val="none" w:sz="0" w:space="0" w:color="auto"/>
        <w:bottom w:val="none" w:sz="0" w:space="0" w:color="auto"/>
        <w:right w:val="none" w:sz="0" w:space="0" w:color="auto"/>
      </w:divBdr>
    </w:div>
    <w:div w:id="1671718472">
      <w:bodyDiv w:val="1"/>
      <w:marLeft w:val="0"/>
      <w:marRight w:val="0"/>
      <w:marTop w:val="0"/>
      <w:marBottom w:val="0"/>
      <w:divBdr>
        <w:top w:val="none" w:sz="0" w:space="0" w:color="auto"/>
        <w:left w:val="none" w:sz="0" w:space="0" w:color="auto"/>
        <w:bottom w:val="none" w:sz="0" w:space="0" w:color="auto"/>
        <w:right w:val="none" w:sz="0" w:space="0" w:color="auto"/>
      </w:divBdr>
    </w:div>
    <w:div w:id="1671761272">
      <w:bodyDiv w:val="1"/>
      <w:marLeft w:val="0"/>
      <w:marRight w:val="0"/>
      <w:marTop w:val="0"/>
      <w:marBottom w:val="0"/>
      <w:divBdr>
        <w:top w:val="none" w:sz="0" w:space="0" w:color="auto"/>
        <w:left w:val="none" w:sz="0" w:space="0" w:color="auto"/>
        <w:bottom w:val="none" w:sz="0" w:space="0" w:color="auto"/>
        <w:right w:val="none" w:sz="0" w:space="0" w:color="auto"/>
      </w:divBdr>
    </w:div>
    <w:div w:id="1671832007">
      <w:bodyDiv w:val="1"/>
      <w:marLeft w:val="0"/>
      <w:marRight w:val="0"/>
      <w:marTop w:val="0"/>
      <w:marBottom w:val="0"/>
      <w:divBdr>
        <w:top w:val="none" w:sz="0" w:space="0" w:color="auto"/>
        <w:left w:val="none" w:sz="0" w:space="0" w:color="auto"/>
        <w:bottom w:val="none" w:sz="0" w:space="0" w:color="auto"/>
        <w:right w:val="none" w:sz="0" w:space="0" w:color="auto"/>
      </w:divBdr>
    </w:div>
    <w:div w:id="1671835333">
      <w:bodyDiv w:val="1"/>
      <w:marLeft w:val="0"/>
      <w:marRight w:val="0"/>
      <w:marTop w:val="0"/>
      <w:marBottom w:val="0"/>
      <w:divBdr>
        <w:top w:val="none" w:sz="0" w:space="0" w:color="auto"/>
        <w:left w:val="none" w:sz="0" w:space="0" w:color="auto"/>
        <w:bottom w:val="none" w:sz="0" w:space="0" w:color="auto"/>
        <w:right w:val="none" w:sz="0" w:space="0" w:color="auto"/>
      </w:divBdr>
    </w:div>
    <w:div w:id="1671909058">
      <w:bodyDiv w:val="1"/>
      <w:marLeft w:val="0"/>
      <w:marRight w:val="0"/>
      <w:marTop w:val="0"/>
      <w:marBottom w:val="0"/>
      <w:divBdr>
        <w:top w:val="none" w:sz="0" w:space="0" w:color="auto"/>
        <w:left w:val="none" w:sz="0" w:space="0" w:color="auto"/>
        <w:bottom w:val="none" w:sz="0" w:space="0" w:color="auto"/>
        <w:right w:val="none" w:sz="0" w:space="0" w:color="auto"/>
      </w:divBdr>
    </w:div>
    <w:div w:id="1672029131">
      <w:bodyDiv w:val="1"/>
      <w:marLeft w:val="0"/>
      <w:marRight w:val="0"/>
      <w:marTop w:val="0"/>
      <w:marBottom w:val="0"/>
      <w:divBdr>
        <w:top w:val="none" w:sz="0" w:space="0" w:color="auto"/>
        <w:left w:val="none" w:sz="0" w:space="0" w:color="auto"/>
        <w:bottom w:val="none" w:sz="0" w:space="0" w:color="auto"/>
        <w:right w:val="none" w:sz="0" w:space="0" w:color="auto"/>
      </w:divBdr>
    </w:div>
    <w:div w:id="1672104468">
      <w:bodyDiv w:val="1"/>
      <w:marLeft w:val="0"/>
      <w:marRight w:val="0"/>
      <w:marTop w:val="0"/>
      <w:marBottom w:val="0"/>
      <w:divBdr>
        <w:top w:val="none" w:sz="0" w:space="0" w:color="auto"/>
        <w:left w:val="none" w:sz="0" w:space="0" w:color="auto"/>
        <w:bottom w:val="none" w:sz="0" w:space="0" w:color="auto"/>
        <w:right w:val="none" w:sz="0" w:space="0" w:color="auto"/>
      </w:divBdr>
    </w:div>
    <w:div w:id="1672218713">
      <w:bodyDiv w:val="1"/>
      <w:marLeft w:val="0"/>
      <w:marRight w:val="0"/>
      <w:marTop w:val="0"/>
      <w:marBottom w:val="0"/>
      <w:divBdr>
        <w:top w:val="none" w:sz="0" w:space="0" w:color="auto"/>
        <w:left w:val="none" w:sz="0" w:space="0" w:color="auto"/>
        <w:bottom w:val="none" w:sz="0" w:space="0" w:color="auto"/>
        <w:right w:val="none" w:sz="0" w:space="0" w:color="auto"/>
      </w:divBdr>
    </w:div>
    <w:div w:id="1672491456">
      <w:bodyDiv w:val="1"/>
      <w:marLeft w:val="0"/>
      <w:marRight w:val="0"/>
      <w:marTop w:val="0"/>
      <w:marBottom w:val="0"/>
      <w:divBdr>
        <w:top w:val="none" w:sz="0" w:space="0" w:color="auto"/>
        <w:left w:val="none" w:sz="0" w:space="0" w:color="auto"/>
        <w:bottom w:val="none" w:sz="0" w:space="0" w:color="auto"/>
        <w:right w:val="none" w:sz="0" w:space="0" w:color="auto"/>
      </w:divBdr>
    </w:div>
    <w:div w:id="1672564134">
      <w:bodyDiv w:val="1"/>
      <w:marLeft w:val="0"/>
      <w:marRight w:val="0"/>
      <w:marTop w:val="0"/>
      <w:marBottom w:val="0"/>
      <w:divBdr>
        <w:top w:val="none" w:sz="0" w:space="0" w:color="auto"/>
        <w:left w:val="none" w:sz="0" w:space="0" w:color="auto"/>
        <w:bottom w:val="none" w:sz="0" w:space="0" w:color="auto"/>
        <w:right w:val="none" w:sz="0" w:space="0" w:color="auto"/>
      </w:divBdr>
    </w:div>
    <w:div w:id="1672638619">
      <w:bodyDiv w:val="1"/>
      <w:marLeft w:val="0"/>
      <w:marRight w:val="0"/>
      <w:marTop w:val="0"/>
      <w:marBottom w:val="0"/>
      <w:divBdr>
        <w:top w:val="none" w:sz="0" w:space="0" w:color="auto"/>
        <w:left w:val="none" w:sz="0" w:space="0" w:color="auto"/>
        <w:bottom w:val="none" w:sz="0" w:space="0" w:color="auto"/>
        <w:right w:val="none" w:sz="0" w:space="0" w:color="auto"/>
      </w:divBdr>
    </w:div>
    <w:div w:id="1672640484">
      <w:bodyDiv w:val="1"/>
      <w:marLeft w:val="0"/>
      <w:marRight w:val="0"/>
      <w:marTop w:val="0"/>
      <w:marBottom w:val="0"/>
      <w:divBdr>
        <w:top w:val="none" w:sz="0" w:space="0" w:color="auto"/>
        <w:left w:val="none" w:sz="0" w:space="0" w:color="auto"/>
        <w:bottom w:val="none" w:sz="0" w:space="0" w:color="auto"/>
        <w:right w:val="none" w:sz="0" w:space="0" w:color="auto"/>
      </w:divBdr>
    </w:div>
    <w:div w:id="1672835903">
      <w:bodyDiv w:val="1"/>
      <w:marLeft w:val="0"/>
      <w:marRight w:val="0"/>
      <w:marTop w:val="0"/>
      <w:marBottom w:val="0"/>
      <w:divBdr>
        <w:top w:val="none" w:sz="0" w:space="0" w:color="auto"/>
        <w:left w:val="none" w:sz="0" w:space="0" w:color="auto"/>
        <w:bottom w:val="none" w:sz="0" w:space="0" w:color="auto"/>
        <w:right w:val="none" w:sz="0" w:space="0" w:color="auto"/>
      </w:divBdr>
    </w:div>
    <w:div w:id="1672836164">
      <w:bodyDiv w:val="1"/>
      <w:marLeft w:val="0"/>
      <w:marRight w:val="0"/>
      <w:marTop w:val="0"/>
      <w:marBottom w:val="0"/>
      <w:divBdr>
        <w:top w:val="none" w:sz="0" w:space="0" w:color="auto"/>
        <w:left w:val="none" w:sz="0" w:space="0" w:color="auto"/>
        <w:bottom w:val="none" w:sz="0" w:space="0" w:color="auto"/>
        <w:right w:val="none" w:sz="0" w:space="0" w:color="auto"/>
      </w:divBdr>
    </w:div>
    <w:div w:id="1672876888">
      <w:bodyDiv w:val="1"/>
      <w:marLeft w:val="0"/>
      <w:marRight w:val="0"/>
      <w:marTop w:val="0"/>
      <w:marBottom w:val="0"/>
      <w:divBdr>
        <w:top w:val="none" w:sz="0" w:space="0" w:color="auto"/>
        <w:left w:val="none" w:sz="0" w:space="0" w:color="auto"/>
        <w:bottom w:val="none" w:sz="0" w:space="0" w:color="auto"/>
        <w:right w:val="none" w:sz="0" w:space="0" w:color="auto"/>
      </w:divBdr>
    </w:div>
    <w:div w:id="1672903225">
      <w:bodyDiv w:val="1"/>
      <w:marLeft w:val="0"/>
      <w:marRight w:val="0"/>
      <w:marTop w:val="0"/>
      <w:marBottom w:val="0"/>
      <w:divBdr>
        <w:top w:val="none" w:sz="0" w:space="0" w:color="auto"/>
        <w:left w:val="none" w:sz="0" w:space="0" w:color="auto"/>
        <w:bottom w:val="none" w:sz="0" w:space="0" w:color="auto"/>
        <w:right w:val="none" w:sz="0" w:space="0" w:color="auto"/>
      </w:divBdr>
    </w:div>
    <w:div w:id="1673069746">
      <w:bodyDiv w:val="1"/>
      <w:marLeft w:val="0"/>
      <w:marRight w:val="0"/>
      <w:marTop w:val="0"/>
      <w:marBottom w:val="0"/>
      <w:divBdr>
        <w:top w:val="none" w:sz="0" w:space="0" w:color="auto"/>
        <w:left w:val="none" w:sz="0" w:space="0" w:color="auto"/>
        <w:bottom w:val="none" w:sz="0" w:space="0" w:color="auto"/>
        <w:right w:val="none" w:sz="0" w:space="0" w:color="auto"/>
      </w:divBdr>
    </w:div>
    <w:div w:id="1673215538">
      <w:bodyDiv w:val="1"/>
      <w:marLeft w:val="0"/>
      <w:marRight w:val="0"/>
      <w:marTop w:val="0"/>
      <w:marBottom w:val="0"/>
      <w:divBdr>
        <w:top w:val="none" w:sz="0" w:space="0" w:color="auto"/>
        <w:left w:val="none" w:sz="0" w:space="0" w:color="auto"/>
        <w:bottom w:val="none" w:sz="0" w:space="0" w:color="auto"/>
        <w:right w:val="none" w:sz="0" w:space="0" w:color="auto"/>
      </w:divBdr>
    </w:div>
    <w:div w:id="1673217928">
      <w:bodyDiv w:val="1"/>
      <w:marLeft w:val="0"/>
      <w:marRight w:val="0"/>
      <w:marTop w:val="0"/>
      <w:marBottom w:val="0"/>
      <w:divBdr>
        <w:top w:val="none" w:sz="0" w:space="0" w:color="auto"/>
        <w:left w:val="none" w:sz="0" w:space="0" w:color="auto"/>
        <w:bottom w:val="none" w:sz="0" w:space="0" w:color="auto"/>
        <w:right w:val="none" w:sz="0" w:space="0" w:color="auto"/>
      </w:divBdr>
    </w:div>
    <w:div w:id="1673289066">
      <w:bodyDiv w:val="1"/>
      <w:marLeft w:val="0"/>
      <w:marRight w:val="0"/>
      <w:marTop w:val="0"/>
      <w:marBottom w:val="0"/>
      <w:divBdr>
        <w:top w:val="none" w:sz="0" w:space="0" w:color="auto"/>
        <w:left w:val="none" w:sz="0" w:space="0" w:color="auto"/>
        <w:bottom w:val="none" w:sz="0" w:space="0" w:color="auto"/>
        <w:right w:val="none" w:sz="0" w:space="0" w:color="auto"/>
      </w:divBdr>
    </w:div>
    <w:div w:id="1673414649">
      <w:bodyDiv w:val="1"/>
      <w:marLeft w:val="0"/>
      <w:marRight w:val="0"/>
      <w:marTop w:val="0"/>
      <w:marBottom w:val="0"/>
      <w:divBdr>
        <w:top w:val="none" w:sz="0" w:space="0" w:color="auto"/>
        <w:left w:val="none" w:sz="0" w:space="0" w:color="auto"/>
        <w:bottom w:val="none" w:sz="0" w:space="0" w:color="auto"/>
        <w:right w:val="none" w:sz="0" w:space="0" w:color="auto"/>
      </w:divBdr>
    </w:div>
    <w:div w:id="1673534437">
      <w:bodyDiv w:val="1"/>
      <w:marLeft w:val="0"/>
      <w:marRight w:val="0"/>
      <w:marTop w:val="0"/>
      <w:marBottom w:val="0"/>
      <w:divBdr>
        <w:top w:val="none" w:sz="0" w:space="0" w:color="auto"/>
        <w:left w:val="none" w:sz="0" w:space="0" w:color="auto"/>
        <w:bottom w:val="none" w:sz="0" w:space="0" w:color="auto"/>
        <w:right w:val="none" w:sz="0" w:space="0" w:color="auto"/>
      </w:divBdr>
    </w:div>
    <w:div w:id="1673606325">
      <w:bodyDiv w:val="1"/>
      <w:marLeft w:val="0"/>
      <w:marRight w:val="0"/>
      <w:marTop w:val="0"/>
      <w:marBottom w:val="0"/>
      <w:divBdr>
        <w:top w:val="none" w:sz="0" w:space="0" w:color="auto"/>
        <w:left w:val="none" w:sz="0" w:space="0" w:color="auto"/>
        <w:bottom w:val="none" w:sz="0" w:space="0" w:color="auto"/>
        <w:right w:val="none" w:sz="0" w:space="0" w:color="auto"/>
      </w:divBdr>
    </w:div>
    <w:div w:id="1673752618">
      <w:bodyDiv w:val="1"/>
      <w:marLeft w:val="0"/>
      <w:marRight w:val="0"/>
      <w:marTop w:val="0"/>
      <w:marBottom w:val="0"/>
      <w:divBdr>
        <w:top w:val="none" w:sz="0" w:space="0" w:color="auto"/>
        <w:left w:val="none" w:sz="0" w:space="0" w:color="auto"/>
        <w:bottom w:val="none" w:sz="0" w:space="0" w:color="auto"/>
        <w:right w:val="none" w:sz="0" w:space="0" w:color="auto"/>
      </w:divBdr>
    </w:div>
    <w:div w:id="1673755746">
      <w:bodyDiv w:val="1"/>
      <w:marLeft w:val="0"/>
      <w:marRight w:val="0"/>
      <w:marTop w:val="0"/>
      <w:marBottom w:val="0"/>
      <w:divBdr>
        <w:top w:val="none" w:sz="0" w:space="0" w:color="auto"/>
        <w:left w:val="none" w:sz="0" w:space="0" w:color="auto"/>
        <w:bottom w:val="none" w:sz="0" w:space="0" w:color="auto"/>
        <w:right w:val="none" w:sz="0" w:space="0" w:color="auto"/>
      </w:divBdr>
    </w:div>
    <w:div w:id="1673869560">
      <w:bodyDiv w:val="1"/>
      <w:marLeft w:val="0"/>
      <w:marRight w:val="0"/>
      <w:marTop w:val="0"/>
      <w:marBottom w:val="0"/>
      <w:divBdr>
        <w:top w:val="none" w:sz="0" w:space="0" w:color="auto"/>
        <w:left w:val="none" w:sz="0" w:space="0" w:color="auto"/>
        <w:bottom w:val="none" w:sz="0" w:space="0" w:color="auto"/>
        <w:right w:val="none" w:sz="0" w:space="0" w:color="auto"/>
      </w:divBdr>
    </w:div>
    <w:div w:id="1673949162">
      <w:bodyDiv w:val="1"/>
      <w:marLeft w:val="0"/>
      <w:marRight w:val="0"/>
      <w:marTop w:val="0"/>
      <w:marBottom w:val="0"/>
      <w:divBdr>
        <w:top w:val="none" w:sz="0" w:space="0" w:color="auto"/>
        <w:left w:val="none" w:sz="0" w:space="0" w:color="auto"/>
        <w:bottom w:val="none" w:sz="0" w:space="0" w:color="auto"/>
        <w:right w:val="none" w:sz="0" w:space="0" w:color="auto"/>
      </w:divBdr>
    </w:div>
    <w:div w:id="1673990972">
      <w:bodyDiv w:val="1"/>
      <w:marLeft w:val="0"/>
      <w:marRight w:val="0"/>
      <w:marTop w:val="0"/>
      <w:marBottom w:val="0"/>
      <w:divBdr>
        <w:top w:val="none" w:sz="0" w:space="0" w:color="auto"/>
        <w:left w:val="none" w:sz="0" w:space="0" w:color="auto"/>
        <w:bottom w:val="none" w:sz="0" w:space="0" w:color="auto"/>
        <w:right w:val="none" w:sz="0" w:space="0" w:color="auto"/>
      </w:divBdr>
    </w:div>
    <w:div w:id="1673991262">
      <w:bodyDiv w:val="1"/>
      <w:marLeft w:val="0"/>
      <w:marRight w:val="0"/>
      <w:marTop w:val="0"/>
      <w:marBottom w:val="0"/>
      <w:divBdr>
        <w:top w:val="none" w:sz="0" w:space="0" w:color="auto"/>
        <w:left w:val="none" w:sz="0" w:space="0" w:color="auto"/>
        <w:bottom w:val="none" w:sz="0" w:space="0" w:color="auto"/>
        <w:right w:val="none" w:sz="0" w:space="0" w:color="auto"/>
      </w:divBdr>
    </w:div>
    <w:div w:id="1674184261">
      <w:bodyDiv w:val="1"/>
      <w:marLeft w:val="0"/>
      <w:marRight w:val="0"/>
      <w:marTop w:val="0"/>
      <w:marBottom w:val="0"/>
      <w:divBdr>
        <w:top w:val="none" w:sz="0" w:space="0" w:color="auto"/>
        <w:left w:val="none" w:sz="0" w:space="0" w:color="auto"/>
        <w:bottom w:val="none" w:sz="0" w:space="0" w:color="auto"/>
        <w:right w:val="none" w:sz="0" w:space="0" w:color="auto"/>
      </w:divBdr>
    </w:div>
    <w:div w:id="1674213967">
      <w:bodyDiv w:val="1"/>
      <w:marLeft w:val="0"/>
      <w:marRight w:val="0"/>
      <w:marTop w:val="0"/>
      <w:marBottom w:val="0"/>
      <w:divBdr>
        <w:top w:val="none" w:sz="0" w:space="0" w:color="auto"/>
        <w:left w:val="none" w:sz="0" w:space="0" w:color="auto"/>
        <w:bottom w:val="none" w:sz="0" w:space="0" w:color="auto"/>
        <w:right w:val="none" w:sz="0" w:space="0" w:color="auto"/>
      </w:divBdr>
    </w:div>
    <w:div w:id="1674264957">
      <w:bodyDiv w:val="1"/>
      <w:marLeft w:val="0"/>
      <w:marRight w:val="0"/>
      <w:marTop w:val="0"/>
      <w:marBottom w:val="0"/>
      <w:divBdr>
        <w:top w:val="none" w:sz="0" w:space="0" w:color="auto"/>
        <w:left w:val="none" w:sz="0" w:space="0" w:color="auto"/>
        <w:bottom w:val="none" w:sz="0" w:space="0" w:color="auto"/>
        <w:right w:val="none" w:sz="0" w:space="0" w:color="auto"/>
      </w:divBdr>
    </w:div>
    <w:div w:id="1674334343">
      <w:bodyDiv w:val="1"/>
      <w:marLeft w:val="0"/>
      <w:marRight w:val="0"/>
      <w:marTop w:val="0"/>
      <w:marBottom w:val="0"/>
      <w:divBdr>
        <w:top w:val="none" w:sz="0" w:space="0" w:color="auto"/>
        <w:left w:val="none" w:sz="0" w:space="0" w:color="auto"/>
        <w:bottom w:val="none" w:sz="0" w:space="0" w:color="auto"/>
        <w:right w:val="none" w:sz="0" w:space="0" w:color="auto"/>
      </w:divBdr>
    </w:div>
    <w:div w:id="1674379660">
      <w:bodyDiv w:val="1"/>
      <w:marLeft w:val="0"/>
      <w:marRight w:val="0"/>
      <w:marTop w:val="0"/>
      <w:marBottom w:val="0"/>
      <w:divBdr>
        <w:top w:val="none" w:sz="0" w:space="0" w:color="auto"/>
        <w:left w:val="none" w:sz="0" w:space="0" w:color="auto"/>
        <w:bottom w:val="none" w:sz="0" w:space="0" w:color="auto"/>
        <w:right w:val="none" w:sz="0" w:space="0" w:color="auto"/>
      </w:divBdr>
    </w:div>
    <w:div w:id="1674525769">
      <w:bodyDiv w:val="1"/>
      <w:marLeft w:val="0"/>
      <w:marRight w:val="0"/>
      <w:marTop w:val="0"/>
      <w:marBottom w:val="0"/>
      <w:divBdr>
        <w:top w:val="none" w:sz="0" w:space="0" w:color="auto"/>
        <w:left w:val="none" w:sz="0" w:space="0" w:color="auto"/>
        <w:bottom w:val="none" w:sz="0" w:space="0" w:color="auto"/>
        <w:right w:val="none" w:sz="0" w:space="0" w:color="auto"/>
      </w:divBdr>
    </w:div>
    <w:div w:id="1674604086">
      <w:bodyDiv w:val="1"/>
      <w:marLeft w:val="0"/>
      <w:marRight w:val="0"/>
      <w:marTop w:val="0"/>
      <w:marBottom w:val="0"/>
      <w:divBdr>
        <w:top w:val="none" w:sz="0" w:space="0" w:color="auto"/>
        <w:left w:val="none" w:sz="0" w:space="0" w:color="auto"/>
        <w:bottom w:val="none" w:sz="0" w:space="0" w:color="auto"/>
        <w:right w:val="none" w:sz="0" w:space="0" w:color="auto"/>
      </w:divBdr>
    </w:div>
    <w:div w:id="1674607718">
      <w:bodyDiv w:val="1"/>
      <w:marLeft w:val="0"/>
      <w:marRight w:val="0"/>
      <w:marTop w:val="0"/>
      <w:marBottom w:val="0"/>
      <w:divBdr>
        <w:top w:val="none" w:sz="0" w:space="0" w:color="auto"/>
        <w:left w:val="none" w:sz="0" w:space="0" w:color="auto"/>
        <w:bottom w:val="none" w:sz="0" w:space="0" w:color="auto"/>
        <w:right w:val="none" w:sz="0" w:space="0" w:color="auto"/>
      </w:divBdr>
    </w:div>
    <w:div w:id="1674719455">
      <w:bodyDiv w:val="1"/>
      <w:marLeft w:val="0"/>
      <w:marRight w:val="0"/>
      <w:marTop w:val="0"/>
      <w:marBottom w:val="0"/>
      <w:divBdr>
        <w:top w:val="none" w:sz="0" w:space="0" w:color="auto"/>
        <w:left w:val="none" w:sz="0" w:space="0" w:color="auto"/>
        <w:bottom w:val="none" w:sz="0" w:space="0" w:color="auto"/>
        <w:right w:val="none" w:sz="0" w:space="0" w:color="auto"/>
      </w:divBdr>
    </w:div>
    <w:div w:id="1674724537">
      <w:bodyDiv w:val="1"/>
      <w:marLeft w:val="0"/>
      <w:marRight w:val="0"/>
      <w:marTop w:val="0"/>
      <w:marBottom w:val="0"/>
      <w:divBdr>
        <w:top w:val="none" w:sz="0" w:space="0" w:color="auto"/>
        <w:left w:val="none" w:sz="0" w:space="0" w:color="auto"/>
        <w:bottom w:val="none" w:sz="0" w:space="0" w:color="auto"/>
        <w:right w:val="none" w:sz="0" w:space="0" w:color="auto"/>
      </w:divBdr>
    </w:div>
    <w:div w:id="1674792742">
      <w:bodyDiv w:val="1"/>
      <w:marLeft w:val="0"/>
      <w:marRight w:val="0"/>
      <w:marTop w:val="0"/>
      <w:marBottom w:val="0"/>
      <w:divBdr>
        <w:top w:val="none" w:sz="0" w:space="0" w:color="auto"/>
        <w:left w:val="none" w:sz="0" w:space="0" w:color="auto"/>
        <w:bottom w:val="none" w:sz="0" w:space="0" w:color="auto"/>
        <w:right w:val="none" w:sz="0" w:space="0" w:color="auto"/>
      </w:divBdr>
    </w:div>
    <w:div w:id="1674794491">
      <w:bodyDiv w:val="1"/>
      <w:marLeft w:val="0"/>
      <w:marRight w:val="0"/>
      <w:marTop w:val="0"/>
      <w:marBottom w:val="0"/>
      <w:divBdr>
        <w:top w:val="none" w:sz="0" w:space="0" w:color="auto"/>
        <w:left w:val="none" w:sz="0" w:space="0" w:color="auto"/>
        <w:bottom w:val="none" w:sz="0" w:space="0" w:color="auto"/>
        <w:right w:val="none" w:sz="0" w:space="0" w:color="auto"/>
      </w:divBdr>
    </w:div>
    <w:div w:id="1675038307">
      <w:bodyDiv w:val="1"/>
      <w:marLeft w:val="0"/>
      <w:marRight w:val="0"/>
      <w:marTop w:val="0"/>
      <w:marBottom w:val="0"/>
      <w:divBdr>
        <w:top w:val="none" w:sz="0" w:space="0" w:color="auto"/>
        <w:left w:val="none" w:sz="0" w:space="0" w:color="auto"/>
        <w:bottom w:val="none" w:sz="0" w:space="0" w:color="auto"/>
        <w:right w:val="none" w:sz="0" w:space="0" w:color="auto"/>
      </w:divBdr>
    </w:div>
    <w:div w:id="1675105791">
      <w:bodyDiv w:val="1"/>
      <w:marLeft w:val="0"/>
      <w:marRight w:val="0"/>
      <w:marTop w:val="0"/>
      <w:marBottom w:val="0"/>
      <w:divBdr>
        <w:top w:val="none" w:sz="0" w:space="0" w:color="auto"/>
        <w:left w:val="none" w:sz="0" w:space="0" w:color="auto"/>
        <w:bottom w:val="none" w:sz="0" w:space="0" w:color="auto"/>
        <w:right w:val="none" w:sz="0" w:space="0" w:color="auto"/>
      </w:divBdr>
    </w:div>
    <w:div w:id="1675306692">
      <w:bodyDiv w:val="1"/>
      <w:marLeft w:val="0"/>
      <w:marRight w:val="0"/>
      <w:marTop w:val="0"/>
      <w:marBottom w:val="0"/>
      <w:divBdr>
        <w:top w:val="none" w:sz="0" w:space="0" w:color="auto"/>
        <w:left w:val="none" w:sz="0" w:space="0" w:color="auto"/>
        <w:bottom w:val="none" w:sz="0" w:space="0" w:color="auto"/>
        <w:right w:val="none" w:sz="0" w:space="0" w:color="auto"/>
      </w:divBdr>
    </w:div>
    <w:div w:id="1675378182">
      <w:bodyDiv w:val="1"/>
      <w:marLeft w:val="0"/>
      <w:marRight w:val="0"/>
      <w:marTop w:val="0"/>
      <w:marBottom w:val="0"/>
      <w:divBdr>
        <w:top w:val="none" w:sz="0" w:space="0" w:color="auto"/>
        <w:left w:val="none" w:sz="0" w:space="0" w:color="auto"/>
        <w:bottom w:val="none" w:sz="0" w:space="0" w:color="auto"/>
        <w:right w:val="none" w:sz="0" w:space="0" w:color="auto"/>
      </w:divBdr>
    </w:div>
    <w:div w:id="1675448389">
      <w:bodyDiv w:val="1"/>
      <w:marLeft w:val="0"/>
      <w:marRight w:val="0"/>
      <w:marTop w:val="0"/>
      <w:marBottom w:val="0"/>
      <w:divBdr>
        <w:top w:val="none" w:sz="0" w:space="0" w:color="auto"/>
        <w:left w:val="none" w:sz="0" w:space="0" w:color="auto"/>
        <w:bottom w:val="none" w:sz="0" w:space="0" w:color="auto"/>
        <w:right w:val="none" w:sz="0" w:space="0" w:color="auto"/>
      </w:divBdr>
    </w:div>
    <w:div w:id="1675569983">
      <w:bodyDiv w:val="1"/>
      <w:marLeft w:val="0"/>
      <w:marRight w:val="0"/>
      <w:marTop w:val="0"/>
      <w:marBottom w:val="0"/>
      <w:divBdr>
        <w:top w:val="none" w:sz="0" w:space="0" w:color="auto"/>
        <w:left w:val="none" w:sz="0" w:space="0" w:color="auto"/>
        <w:bottom w:val="none" w:sz="0" w:space="0" w:color="auto"/>
        <w:right w:val="none" w:sz="0" w:space="0" w:color="auto"/>
      </w:divBdr>
    </w:div>
    <w:div w:id="1675834575">
      <w:bodyDiv w:val="1"/>
      <w:marLeft w:val="0"/>
      <w:marRight w:val="0"/>
      <w:marTop w:val="0"/>
      <w:marBottom w:val="0"/>
      <w:divBdr>
        <w:top w:val="none" w:sz="0" w:space="0" w:color="auto"/>
        <w:left w:val="none" w:sz="0" w:space="0" w:color="auto"/>
        <w:bottom w:val="none" w:sz="0" w:space="0" w:color="auto"/>
        <w:right w:val="none" w:sz="0" w:space="0" w:color="auto"/>
      </w:divBdr>
    </w:div>
    <w:div w:id="1675917344">
      <w:bodyDiv w:val="1"/>
      <w:marLeft w:val="0"/>
      <w:marRight w:val="0"/>
      <w:marTop w:val="0"/>
      <w:marBottom w:val="0"/>
      <w:divBdr>
        <w:top w:val="none" w:sz="0" w:space="0" w:color="auto"/>
        <w:left w:val="none" w:sz="0" w:space="0" w:color="auto"/>
        <w:bottom w:val="none" w:sz="0" w:space="0" w:color="auto"/>
        <w:right w:val="none" w:sz="0" w:space="0" w:color="auto"/>
      </w:divBdr>
    </w:div>
    <w:div w:id="1675952747">
      <w:bodyDiv w:val="1"/>
      <w:marLeft w:val="0"/>
      <w:marRight w:val="0"/>
      <w:marTop w:val="0"/>
      <w:marBottom w:val="0"/>
      <w:divBdr>
        <w:top w:val="none" w:sz="0" w:space="0" w:color="auto"/>
        <w:left w:val="none" w:sz="0" w:space="0" w:color="auto"/>
        <w:bottom w:val="none" w:sz="0" w:space="0" w:color="auto"/>
        <w:right w:val="none" w:sz="0" w:space="0" w:color="auto"/>
      </w:divBdr>
    </w:div>
    <w:div w:id="1676111783">
      <w:bodyDiv w:val="1"/>
      <w:marLeft w:val="0"/>
      <w:marRight w:val="0"/>
      <w:marTop w:val="0"/>
      <w:marBottom w:val="0"/>
      <w:divBdr>
        <w:top w:val="none" w:sz="0" w:space="0" w:color="auto"/>
        <w:left w:val="none" w:sz="0" w:space="0" w:color="auto"/>
        <w:bottom w:val="none" w:sz="0" w:space="0" w:color="auto"/>
        <w:right w:val="none" w:sz="0" w:space="0" w:color="auto"/>
      </w:divBdr>
    </w:div>
    <w:div w:id="1676152519">
      <w:bodyDiv w:val="1"/>
      <w:marLeft w:val="0"/>
      <w:marRight w:val="0"/>
      <w:marTop w:val="0"/>
      <w:marBottom w:val="0"/>
      <w:divBdr>
        <w:top w:val="none" w:sz="0" w:space="0" w:color="auto"/>
        <w:left w:val="none" w:sz="0" w:space="0" w:color="auto"/>
        <w:bottom w:val="none" w:sz="0" w:space="0" w:color="auto"/>
        <w:right w:val="none" w:sz="0" w:space="0" w:color="auto"/>
      </w:divBdr>
    </w:div>
    <w:div w:id="1676228688">
      <w:bodyDiv w:val="1"/>
      <w:marLeft w:val="0"/>
      <w:marRight w:val="0"/>
      <w:marTop w:val="0"/>
      <w:marBottom w:val="0"/>
      <w:divBdr>
        <w:top w:val="none" w:sz="0" w:space="0" w:color="auto"/>
        <w:left w:val="none" w:sz="0" w:space="0" w:color="auto"/>
        <w:bottom w:val="none" w:sz="0" w:space="0" w:color="auto"/>
        <w:right w:val="none" w:sz="0" w:space="0" w:color="auto"/>
      </w:divBdr>
    </w:div>
    <w:div w:id="1676373124">
      <w:bodyDiv w:val="1"/>
      <w:marLeft w:val="0"/>
      <w:marRight w:val="0"/>
      <w:marTop w:val="0"/>
      <w:marBottom w:val="0"/>
      <w:divBdr>
        <w:top w:val="none" w:sz="0" w:space="0" w:color="auto"/>
        <w:left w:val="none" w:sz="0" w:space="0" w:color="auto"/>
        <w:bottom w:val="none" w:sz="0" w:space="0" w:color="auto"/>
        <w:right w:val="none" w:sz="0" w:space="0" w:color="auto"/>
      </w:divBdr>
    </w:div>
    <w:div w:id="1676570388">
      <w:bodyDiv w:val="1"/>
      <w:marLeft w:val="0"/>
      <w:marRight w:val="0"/>
      <w:marTop w:val="0"/>
      <w:marBottom w:val="0"/>
      <w:divBdr>
        <w:top w:val="none" w:sz="0" w:space="0" w:color="auto"/>
        <w:left w:val="none" w:sz="0" w:space="0" w:color="auto"/>
        <w:bottom w:val="none" w:sz="0" w:space="0" w:color="auto"/>
        <w:right w:val="none" w:sz="0" w:space="0" w:color="auto"/>
      </w:divBdr>
    </w:div>
    <w:div w:id="1676691005">
      <w:bodyDiv w:val="1"/>
      <w:marLeft w:val="0"/>
      <w:marRight w:val="0"/>
      <w:marTop w:val="0"/>
      <w:marBottom w:val="0"/>
      <w:divBdr>
        <w:top w:val="none" w:sz="0" w:space="0" w:color="auto"/>
        <w:left w:val="none" w:sz="0" w:space="0" w:color="auto"/>
        <w:bottom w:val="none" w:sz="0" w:space="0" w:color="auto"/>
        <w:right w:val="none" w:sz="0" w:space="0" w:color="auto"/>
      </w:divBdr>
    </w:div>
    <w:div w:id="1676758645">
      <w:bodyDiv w:val="1"/>
      <w:marLeft w:val="0"/>
      <w:marRight w:val="0"/>
      <w:marTop w:val="0"/>
      <w:marBottom w:val="0"/>
      <w:divBdr>
        <w:top w:val="none" w:sz="0" w:space="0" w:color="auto"/>
        <w:left w:val="none" w:sz="0" w:space="0" w:color="auto"/>
        <w:bottom w:val="none" w:sz="0" w:space="0" w:color="auto"/>
        <w:right w:val="none" w:sz="0" w:space="0" w:color="auto"/>
      </w:divBdr>
    </w:div>
    <w:div w:id="1676760697">
      <w:bodyDiv w:val="1"/>
      <w:marLeft w:val="0"/>
      <w:marRight w:val="0"/>
      <w:marTop w:val="0"/>
      <w:marBottom w:val="0"/>
      <w:divBdr>
        <w:top w:val="none" w:sz="0" w:space="0" w:color="auto"/>
        <w:left w:val="none" w:sz="0" w:space="0" w:color="auto"/>
        <w:bottom w:val="none" w:sz="0" w:space="0" w:color="auto"/>
        <w:right w:val="none" w:sz="0" w:space="0" w:color="auto"/>
      </w:divBdr>
    </w:div>
    <w:div w:id="1676767418">
      <w:bodyDiv w:val="1"/>
      <w:marLeft w:val="0"/>
      <w:marRight w:val="0"/>
      <w:marTop w:val="0"/>
      <w:marBottom w:val="0"/>
      <w:divBdr>
        <w:top w:val="none" w:sz="0" w:space="0" w:color="auto"/>
        <w:left w:val="none" w:sz="0" w:space="0" w:color="auto"/>
        <w:bottom w:val="none" w:sz="0" w:space="0" w:color="auto"/>
        <w:right w:val="none" w:sz="0" w:space="0" w:color="auto"/>
      </w:divBdr>
    </w:div>
    <w:div w:id="1676806326">
      <w:bodyDiv w:val="1"/>
      <w:marLeft w:val="0"/>
      <w:marRight w:val="0"/>
      <w:marTop w:val="0"/>
      <w:marBottom w:val="0"/>
      <w:divBdr>
        <w:top w:val="none" w:sz="0" w:space="0" w:color="auto"/>
        <w:left w:val="none" w:sz="0" w:space="0" w:color="auto"/>
        <w:bottom w:val="none" w:sz="0" w:space="0" w:color="auto"/>
        <w:right w:val="none" w:sz="0" w:space="0" w:color="auto"/>
      </w:divBdr>
    </w:div>
    <w:div w:id="1676879705">
      <w:bodyDiv w:val="1"/>
      <w:marLeft w:val="0"/>
      <w:marRight w:val="0"/>
      <w:marTop w:val="0"/>
      <w:marBottom w:val="0"/>
      <w:divBdr>
        <w:top w:val="none" w:sz="0" w:space="0" w:color="auto"/>
        <w:left w:val="none" w:sz="0" w:space="0" w:color="auto"/>
        <w:bottom w:val="none" w:sz="0" w:space="0" w:color="auto"/>
        <w:right w:val="none" w:sz="0" w:space="0" w:color="auto"/>
      </w:divBdr>
    </w:div>
    <w:div w:id="1676882147">
      <w:bodyDiv w:val="1"/>
      <w:marLeft w:val="0"/>
      <w:marRight w:val="0"/>
      <w:marTop w:val="0"/>
      <w:marBottom w:val="0"/>
      <w:divBdr>
        <w:top w:val="none" w:sz="0" w:space="0" w:color="auto"/>
        <w:left w:val="none" w:sz="0" w:space="0" w:color="auto"/>
        <w:bottom w:val="none" w:sz="0" w:space="0" w:color="auto"/>
        <w:right w:val="none" w:sz="0" w:space="0" w:color="auto"/>
      </w:divBdr>
    </w:div>
    <w:div w:id="1676883278">
      <w:bodyDiv w:val="1"/>
      <w:marLeft w:val="0"/>
      <w:marRight w:val="0"/>
      <w:marTop w:val="0"/>
      <w:marBottom w:val="0"/>
      <w:divBdr>
        <w:top w:val="none" w:sz="0" w:space="0" w:color="auto"/>
        <w:left w:val="none" w:sz="0" w:space="0" w:color="auto"/>
        <w:bottom w:val="none" w:sz="0" w:space="0" w:color="auto"/>
        <w:right w:val="none" w:sz="0" w:space="0" w:color="auto"/>
      </w:divBdr>
    </w:div>
    <w:div w:id="1676960809">
      <w:bodyDiv w:val="1"/>
      <w:marLeft w:val="0"/>
      <w:marRight w:val="0"/>
      <w:marTop w:val="0"/>
      <w:marBottom w:val="0"/>
      <w:divBdr>
        <w:top w:val="none" w:sz="0" w:space="0" w:color="auto"/>
        <w:left w:val="none" w:sz="0" w:space="0" w:color="auto"/>
        <w:bottom w:val="none" w:sz="0" w:space="0" w:color="auto"/>
        <w:right w:val="none" w:sz="0" w:space="0" w:color="auto"/>
      </w:divBdr>
    </w:div>
    <w:div w:id="1677032080">
      <w:bodyDiv w:val="1"/>
      <w:marLeft w:val="0"/>
      <w:marRight w:val="0"/>
      <w:marTop w:val="0"/>
      <w:marBottom w:val="0"/>
      <w:divBdr>
        <w:top w:val="none" w:sz="0" w:space="0" w:color="auto"/>
        <w:left w:val="none" w:sz="0" w:space="0" w:color="auto"/>
        <w:bottom w:val="none" w:sz="0" w:space="0" w:color="auto"/>
        <w:right w:val="none" w:sz="0" w:space="0" w:color="auto"/>
      </w:divBdr>
    </w:div>
    <w:div w:id="1677148688">
      <w:bodyDiv w:val="1"/>
      <w:marLeft w:val="0"/>
      <w:marRight w:val="0"/>
      <w:marTop w:val="0"/>
      <w:marBottom w:val="0"/>
      <w:divBdr>
        <w:top w:val="none" w:sz="0" w:space="0" w:color="auto"/>
        <w:left w:val="none" w:sz="0" w:space="0" w:color="auto"/>
        <w:bottom w:val="none" w:sz="0" w:space="0" w:color="auto"/>
        <w:right w:val="none" w:sz="0" w:space="0" w:color="auto"/>
      </w:divBdr>
    </w:div>
    <w:div w:id="1677227677">
      <w:bodyDiv w:val="1"/>
      <w:marLeft w:val="0"/>
      <w:marRight w:val="0"/>
      <w:marTop w:val="0"/>
      <w:marBottom w:val="0"/>
      <w:divBdr>
        <w:top w:val="none" w:sz="0" w:space="0" w:color="auto"/>
        <w:left w:val="none" w:sz="0" w:space="0" w:color="auto"/>
        <w:bottom w:val="none" w:sz="0" w:space="0" w:color="auto"/>
        <w:right w:val="none" w:sz="0" w:space="0" w:color="auto"/>
      </w:divBdr>
    </w:div>
    <w:div w:id="1677539091">
      <w:bodyDiv w:val="1"/>
      <w:marLeft w:val="0"/>
      <w:marRight w:val="0"/>
      <w:marTop w:val="0"/>
      <w:marBottom w:val="0"/>
      <w:divBdr>
        <w:top w:val="none" w:sz="0" w:space="0" w:color="auto"/>
        <w:left w:val="none" w:sz="0" w:space="0" w:color="auto"/>
        <w:bottom w:val="none" w:sz="0" w:space="0" w:color="auto"/>
        <w:right w:val="none" w:sz="0" w:space="0" w:color="auto"/>
      </w:divBdr>
    </w:div>
    <w:div w:id="1677683203">
      <w:bodyDiv w:val="1"/>
      <w:marLeft w:val="0"/>
      <w:marRight w:val="0"/>
      <w:marTop w:val="0"/>
      <w:marBottom w:val="0"/>
      <w:divBdr>
        <w:top w:val="none" w:sz="0" w:space="0" w:color="auto"/>
        <w:left w:val="none" w:sz="0" w:space="0" w:color="auto"/>
        <w:bottom w:val="none" w:sz="0" w:space="0" w:color="auto"/>
        <w:right w:val="none" w:sz="0" w:space="0" w:color="auto"/>
      </w:divBdr>
    </w:div>
    <w:div w:id="1677686417">
      <w:bodyDiv w:val="1"/>
      <w:marLeft w:val="0"/>
      <w:marRight w:val="0"/>
      <w:marTop w:val="0"/>
      <w:marBottom w:val="0"/>
      <w:divBdr>
        <w:top w:val="none" w:sz="0" w:space="0" w:color="auto"/>
        <w:left w:val="none" w:sz="0" w:space="0" w:color="auto"/>
        <w:bottom w:val="none" w:sz="0" w:space="0" w:color="auto"/>
        <w:right w:val="none" w:sz="0" w:space="0" w:color="auto"/>
      </w:divBdr>
    </w:div>
    <w:div w:id="1677726392">
      <w:bodyDiv w:val="1"/>
      <w:marLeft w:val="0"/>
      <w:marRight w:val="0"/>
      <w:marTop w:val="0"/>
      <w:marBottom w:val="0"/>
      <w:divBdr>
        <w:top w:val="none" w:sz="0" w:space="0" w:color="auto"/>
        <w:left w:val="none" w:sz="0" w:space="0" w:color="auto"/>
        <w:bottom w:val="none" w:sz="0" w:space="0" w:color="auto"/>
        <w:right w:val="none" w:sz="0" w:space="0" w:color="auto"/>
      </w:divBdr>
    </w:div>
    <w:div w:id="1677731735">
      <w:bodyDiv w:val="1"/>
      <w:marLeft w:val="0"/>
      <w:marRight w:val="0"/>
      <w:marTop w:val="0"/>
      <w:marBottom w:val="0"/>
      <w:divBdr>
        <w:top w:val="none" w:sz="0" w:space="0" w:color="auto"/>
        <w:left w:val="none" w:sz="0" w:space="0" w:color="auto"/>
        <w:bottom w:val="none" w:sz="0" w:space="0" w:color="auto"/>
        <w:right w:val="none" w:sz="0" w:space="0" w:color="auto"/>
      </w:divBdr>
    </w:div>
    <w:div w:id="1677875972">
      <w:bodyDiv w:val="1"/>
      <w:marLeft w:val="0"/>
      <w:marRight w:val="0"/>
      <w:marTop w:val="0"/>
      <w:marBottom w:val="0"/>
      <w:divBdr>
        <w:top w:val="none" w:sz="0" w:space="0" w:color="auto"/>
        <w:left w:val="none" w:sz="0" w:space="0" w:color="auto"/>
        <w:bottom w:val="none" w:sz="0" w:space="0" w:color="auto"/>
        <w:right w:val="none" w:sz="0" w:space="0" w:color="auto"/>
      </w:divBdr>
    </w:div>
    <w:div w:id="1677876195">
      <w:bodyDiv w:val="1"/>
      <w:marLeft w:val="0"/>
      <w:marRight w:val="0"/>
      <w:marTop w:val="0"/>
      <w:marBottom w:val="0"/>
      <w:divBdr>
        <w:top w:val="none" w:sz="0" w:space="0" w:color="auto"/>
        <w:left w:val="none" w:sz="0" w:space="0" w:color="auto"/>
        <w:bottom w:val="none" w:sz="0" w:space="0" w:color="auto"/>
        <w:right w:val="none" w:sz="0" w:space="0" w:color="auto"/>
      </w:divBdr>
    </w:div>
    <w:div w:id="1677884017">
      <w:bodyDiv w:val="1"/>
      <w:marLeft w:val="0"/>
      <w:marRight w:val="0"/>
      <w:marTop w:val="0"/>
      <w:marBottom w:val="0"/>
      <w:divBdr>
        <w:top w:val="none" w:sz="0" w:space="0" w:color="auto"/>
        <w:left w:val="none" w:sz="0" w:space="0" w:color="auto"/>
        <w:bottom w:val="none" w:sz="0" w:space="0" w:color="auto"/>
        <w:right w:val="none" w:sz="0" w:space="0" w:color="auto"/>
      </w:divBdr>
    </w:div>
    <w:div w:id="1677885048">
      <w:bodyDiv w:val="1"/>
      <w:marLeft w:val="0"/>
      <w:marRight w:val="0"/>
      <w:marTop w:val="0"/>
      <w:marBottom w:val="0"/>
      <w:divBdr>
        <w:top w:val="none" w:sz="0" w:space="0" w:color="auto"/>
        <w:left w:val="none" w:sz="0" w:space="0" w:color="auto"/>
        <w:bottom w:val="none" w:sz="0" w:space="0" w:color="auto"/>
        <w:right w:val="none" w:sz="0" w:space="0" w:color="auto"/>
      </w:divBdr>
    </w:div>
    <w:div w:id="1677885309">
      <w:bodyDiv w:val="1"/>
      <w:marLeft w:val="0"/>
      <w:marRight w:val="0"/>
      <w:marTop w:val="0"/>
      <w:marBottom w:val="0"/>
      <w:divBdr>
        <w:top w:val="none" w:sz="0" w:space="0" w:color="auto"/>
        <w:left w:val="none" w:sz="0" w:space="0" w:color="auto"/>
        <w:bottom w:val="none" w:sz="0" w:space="0" w:color="auto"/>
        <w:right w:val="none" w:sz="0" w:space="0" w:color="auto"/>
      </w:divBdr>
    </w:div>
    <w:div w:id="1677921534">
      <w:bodyDiv w:val="1"/>
      <w:marLeft w:val="0"/>
      <w:marRight w:val="0"/>
      <w:marTop w:val="0"/>
      <w:marBottom w:val="0"/>
      <w:divBdr>
        <w:top w:val="none" w:sz="0" w:space="0" w:color="auto"/>
        <w:left w:val="none" w:sz="0" w:space="0" w:color="auto"/>
        <w:bottom w:val="none" w:sz="0" w:space="0" w:color="auto"/>
        <w:right w:val="none" w:sz="0" w:space="0" w:color="auto"/>
      </w:divBdr>
    </w:div>
    <w:div w:id="1678076046">
      <w:bodyDiv w:val="1"/>
      <w:marLeft w:val="0"/>
      <w:marRight w:val="0"/>
      <w:marTop w:val="0"/>
      <w:marBottom w:val="0"/>
      <w:divBdr>
        <w:top w:val="none" w:sz="0" w:space="0" w:color="auto"/>
        <w:left w:val="none" w:sz="0" w:space="0" w:color="auto"/>
        <w:bottom w:val="none" w:sz="0" w:space="0" w:color="auto"/>
        <w:right w:val="none" w:sz="0" w:space="0" w:color="auto"/>
      </w:divBdr>
    </w:div>
    <w:div w:id="1678117089">
      <w:bodyDiv w:val="1"/>
      <w:marLeft w:val="0"/>
      <w:marRight w:val="0"/>
      <w:marTop w:val="0"/>
      <w:marBottom w:val="0"/>
      <w:divBdr>
        <w:top w:val="none" w:sz="0" w:space="0" w:color="auto"/>
        <w:left w:val="none" w:sz="0" w:space="0" w:color="auto"/>
        <w:bottom w:val="none" w:sz="0" w:space="0" w:color="auto"/>
        <w:right w:val="none" w:sz="0" w:space="0" w:color="auto"/>
      </w:divBdr>
    </w:div>
    <w:div w:id="1678193342">
      <w:bodyDiv w:val="1"/>
      <w:marLeft w:val="0"/>
      <w:marRight w:val="0"/>
      <w:marTop w:val="0"/>
      <w:marBottom w:val="0"/>
      <w:divBdr>
        <w:top w:val="none" w:sz="0" w:space="0" w:color="auto"/>
        <w:left w:val="none" w:sz="0" w:space="0" w:color="auto"/>
        <w:bottom w:val="none" w:sz="0" w:space="0" w:color="auto"/>
        <w:right w:val="none" w:sz="0" w:space="0" w:color="auto"/>
      </w:divBdr>
    </w:div>
    <w:div w:id="1678266544">
      <w:bodyDiv w:val="1"/>
      <w:marLeft w:val="0"/>
      <w:marRight w:val="0"/>
      <w:marTop w:val="0"/>
      <w:marBottom w:val="0"/>
      <w:divBdr>
        <w:top w:val="none" w:sz="0" w:space="0" w:color="auto"/>
        <w:left w:val="none" w:sz="0" w:space="0" w:color="auto"/>
        <w:bottom w:val="none" w:sz="0" w:space="0" w:color="auto"/>
        <w:right w:val="none" w:sz="0" w:space="0" w:color="auto"/>
      </w:divBdr>
    </w:div>
    <w:div w:id="1678339017">
      <w:bodyDiv w:val="1"/>
      <w:marLeft w:val="0"/>
      <w:marRight w:val="0"/>
      <w:marTop w:val="0"/>
      <w:marBottom w:val="0"/>
      <w:divBdr>
        <w:top w:val="none" w:sz="0" w:space="0" w:color="auto"/>
        <w:left w:val="none" w:sz="0" w:space="0" w:color="auto"/>
        <w:bottom w:val="none" w:sz="0" w:space="0" w:color="auto"/>
        <w:right w:val="none" w:sz="0" w:space="0" w:color="auto"/>
      </w:divBdr>
    </w:div>
    <w:div w:id="1678463565">
      <w:bodyDiv w:val="1"/>
      <w:marLeft w:val="0"/>
      <w:marRight w:val="0"/>
      <w:marTop w:val="0"/>
      <w:marBottom w:val="0"/>
      <w:divBdr>
        <w:top w:val="none" w:sz="0" w:space="0" w:color="auto"/>
        <w:left w:val="none" w:sz="0" w:space="0" w:color="auto"/>
        <w:bottom w:val="none" w:sz="0" w:space="0" w:color="auto"/>
        <w:right w:val="none" w:sz="0" w:space="0" w:color="auto"/>
      </w:divBdr>
    </w:div>
    <w:div w:id="1678771187">
      <w:bodyDiv w:val="1"/>
      <w:marLeft w:val="0"/>
      <w:marRight w:val="0"/>
      <w:marTop w:val="0"/>
      <w:marBottom w:val="0"/>
      <w:divBdr>
        <w:top w:val="none" w:sz="0" w:space="0" w:color="auto"/>
        <w:left w:val="none" w:sz="0" w:space="0" w:color="auto"/>
        <w:bottom w:val="none" w:sz="0" w:space="0" w:color="auto"/>
        <w:right w:val="none" w:sz="0" w:space="0" w:color="auto"/>
      </w:divBdr>
    </w:div>
    <w:div w:id="1678848422">
      <w:bodyDiv w:val="1"/>
      <w:marLeft w:val="0"/>
      <w:marRight w:val="0"/>
      <w:marTop w:val="0"/>
      <w:marBottom w:val="0"/>
      <w:divBdr>
        <w:top w:val="none" w:sz="0" w:space="0" w:color="auto"/>
        <w:left w:val="none" w:sz="0" w:space="0" w:color="auto"/>
        <w:bottom w:val="none" w:sz="0" w:space="0" w:color="auto"/>
        <w:right w:val="none" w:sz="0" w:space="0" w:color="auto"/>
      </w:divBdr>
    </w:div>
    <w:div w:id="1678849772">
      <w:bodyDiv w:val="1"/>
      <w:marLeft w:val="0"/>
      <w:marRight w:val="0"/>
      <w:marTop w:val="0"/>
      <w:marBottom w:val="0"/>
      <w:divBdr>
        <w:top w:val="none" w:sz="0" w:space="0" w:color="auto"/>
        <w:left w:val="none" w:sz="0" w:space="0" w:color="auto"/>
        <w:bottom w:val="none" w:sz="0" w:space="0" w:color="auto"/>
        <w:right w:val="none" w:sz="0" w:space="0" w:color="auto"/>
      </w:divBdr>
    </w:div>
    <w:div w:id="1678969839">
      <w:bodyDiv w:val="1"/>
      <w:marLeft w:val="0"/>
      <w:marRight w:val="0"/>
      <w:marTop w:val="0"/>
      <w:marBottom w:val="0"/>
      <w:divBdr>
        <w:top w:val="none" w:sz="0" w:space="0" w:color="auto"/>
        <w:left w:val="none" w:sz="0" w:space="0" w:color="auto"/>
        <w:bottom w:val="none" w:sz="0" w:space="0" w:color="auto"/>
        <w:right w:val="none" w:sz="0" w:space="0" w:color="auto"/>
      </w:divBdr>
    </w:div>
    <w:div w:id="1678993530">
      <w:bodyDiv w:val="1"/>
      <w:marLeft w:val="0"/>
      <w:marRight w:val="0"/>
      <w:marTop w:val="0"/>
      <w:marBottom w:val="0"/>
      <w:divBdr>
        <w:top w:val="none" w:sz="0" w:space="0" w:color="auto"/>
        <w:left w:val="none" w:sz="0" w:space="0" w:color="auto"/>
        <w:bottom w:val="none" w:sz="0" w:space="0" w:color="auto"/>
        <w:right w:val="none" w:sz="0" w:space="0" w:color="auto"/>
      </w:divBdr>
    </w:div>
    <w:div w:id="1679038204">
      <w:bodyDiv w:val="1"/>
      <w:marLeft w:val="0"/>
      <w:marRight w:val="0"/>
      <w:marTop w:val="0"/>
      <w:marBottom w:val="0"/>
      <w:divBdr>
        <w:top w:val="none" w:sz="0" w:space="0" w:color="auto"/>
        <w:left w:val="none" w:sz="0" w:space="0" w:color="auto"/>
        <w:bottom w:val="none" w:sz="0" w:space="0" w:color="auto"/>
        <w:right w:val="none" w:sz="0" w:space="0" w:color="auto"/>
      </w:divBdr>
    </w:div>
    <w:div w:id="1679040936">
      <w:bodyDiv w:val="1"/>
      <w:marLeft w:val="0"/>
      <w:marRight w:val="0"/>
      <w:marTop w:val="0"/>
      <w:marBottom w:val="0"/>
      <w:divBdr>
        <w:top w:val="none" w:sz="0" w:space="0" w:color="auto"/>
        <w:left w:val="none" w:sz="0" w:space="0" w:color="auto"/>
        <w:bottom w:val="none" w:sz="0" w:space="0" w:color="auto"/>
        <w:right w:val="none" w:sz="0" w:space="0" w:color="auto"/>
      </w:divBdr>
    </w:div>
    <w:div w:id="1679041625">
      <w:bodyDiv w:val="1"/>
      <w:marLeft w:val="0"/>
      <w:marRight w:val="0"/>
      <w:marTop w:val="0"/>
      <w:marBottom w:val="0"/>
      <w:divBdr>
        <w:top w:val="none" w:sz="0" w:space="0" w:color="auto"/>
        <w:left w:val="none" w:sz="0" w:space="0" w:color="auto"/>
        <w:bottom w:val="none" w:sz="0" w:space="0" w:color="auto"/>
        <w:right w:val="none" w:sz="0" w:space="0" w:color="auto"/>
      </w:divBdr>
    </w:div>
    <w:div w:id="1679115787">
      <w:bodyDiv w:val="1"/>
      <w:marLeft w:val="0"/>
      <w:marRight w:val="0"/>
      <w:marTop w:val="0"/>
      <w:marBottom w:val="0"/>
      <w:divBdr>
        <w:top w:val="none" w:sz="0" w:space="0" w:color="auto"/>
        <w:left w:val="none" w:sz="0" w:space="0" w:color="auto"/>
        <w:bottom w:val="none" w:sz="0" w:space="0" w:color="auto"/>
        <w:right w:val="none" w:sz="0" w:space="0" w:color="auto"/>
      </w:divBdr>
    </w:div>
    <w:div w:id="1679116264">
      <w:bodyDiv w:val="1"/>
      <w:marLeft w:val="0"/>
      <w:marRight w:val="0"/>
      <w:marTop w:val="0"/>
      <w:marBottom w:val="0"/>
      <w:divBdr>
        <w:top w:val="none" w:sz="0" w:space="0" w:color="auto"/>
        <w:left w:val="none" w:sz="0" w:space="0" w:color="auto"/>
        <w:bottom w:val="none" w:sz="0" w:space="0" w:color="auto"/>
        <w:right w:val="none" w:sz="0" w:space="0" w:color="auto"/>
      </w:divBdr>
    </w:div>
    <w:div w:id="1679189771">
      <w:bodyDiv w:val="1"/>
      <w:marLeft w:val="0"/>
      <w:marRight w:val="0"/>
      <w:marTop w:val="0"/>
      <w:marBottom w:val="0"/>
      <w:divBdr>
        <w:top w:val="none" w:sz="0" w:space="0" w:color="auto"/>
        <w:left w:val="none" w:sz="0" w:space="0" w:color="auto"/>
        <w:bottom w:val="none" w:sz="0" w:space="0" w:color="auto"/>
        <w:right w:val="none" w:sz="0" w:space="0" w:color="auto"/>
      </w:divBdr>
    </w:div>
    <w:div w:id="1679191661">
      <w:bodyDiv w:val="1"/>
      <w:marLeft w:val="0"/>
      <w:marRight w:val="0"/>
      <w:marTop w:val="0"/>
      <w:marBottom w:val="0"/>
      <w:divBdr>
        <w:top w:val="none" w:sz="0" w:space="0" w:color="auto"/>
        <w:left w:val="none" w:sz="0" w:space="0" w:color="auto"/>
        <w:bottom w:val="none" w:sz="0" w:space="0" w:color="auto"/>
        <w:right w:val="none" w:sz="0" w:space="0" w:color="auto"/>
      </w:divBdr>
    </w:div>
    <w:div w:id="1679309484">
      <w:bodyDiv w:val="1"/>
      <w:marLeft w:val="0"/>
      <w:marRight w:val="0"/>
      <w:marTop w:val="0"/>
      <w:marBottom w:val="0"/>
      <w:divBdr>
        <w:top w:val="none" w:sz="0" w:space="0" w:color="auto"/>
        <w:left w:val="none" w:sz="0" w:space="0" w:color="auto"/>
        <w:bottom w:val="none" w:sz="0" w:space="0" w:color="auto"/>
        <w:right w:val="none" w:sz="0" w:space="0" w:color="auto"/>
      </w:divBdr>
    </w:div>
    <w:div w:id="1679380722">
      <w:bodyDiv w:val="1"/>
      <w:marLeft w:val="0"/>
      <w:marRight w:val="0"/>
      <w:marTop w:val="0"/>
      <w:marBottom w:val="0"/>
      <w:divBdr>
        <w:top w:val="none" w:sz="0" w:space="0" w:color="auto"/>
        <w:left w:val="none" w:sz="0" w:space="0" w:color="auto"/>
        <w:bottom w:val="none" w:sz="0" w:space="0" w:color="auto"/>
        <w:right w:val="none" w:sz="0" w:space="0" w:color="auto"/>
      </w:divBdr>
    </w:div>
    <w:div w:id="1679572994">
      <w:bodyDiv w:val="1"/>
      <w:marLeft w:val="0"/>
      <w:marRight w:val="0"/>
      <w:marTop w:val="0"/>
      <w:marBottom w:val="0"/>
      <w:divBdr>
        <w:top w:val="none" w:sz="0" w:space="0" w:color="auto"/>
        <w:left w:val="none" w:sz="0" w:space="0" w:color="auto"/>
        <w:bottom w:val="none" w:sz="0" w:space="0" w:color="auto"/>
        <w:right w:val="none" w:sz="0" w:space="0" w:color="auto"/>
      </w:divBdr>
    </w:div>
    <w:div w:id="1679580771">
      <w:bodyDiv w:val="1"/>
      <w:marLeft w:val="0"/>
      <w:marRight w:val="0"/>
      <w:marTop w:val="0"/>
      <w:marBottom w:val="0"/>
      <w:divBdr>
        <w:top w:val="none" w:sz="0" w:space="0" w:color="auto"/>
        <w:left w:val="none" w:sz="0" w:space="0" w:color="auto"/>
        <w:bottom w:val="none" w:sz="0" w:space="0" w:color="auto"/>
        <w:right w:val="none" w:sz="0" w:space="0" w:color="auto"/>
      </w:divBdr>
    </w:div>
    <w:div w:id="1679623910">
      <w:bodyDiv w:val="1"/>
      <w:marLeft w:val="0"/>
      <w:marRight w:val="0"/>
      <w:marTop w:val="0"/>
      <w:marBottom w:val="0"/>
      <w:divBdr>
        <w:top w:val="none" w:sz="0" w:space="0" w:color="auto"/>
        <w:left w:val="none" w:sz="0" w:space="0" w:color="auto"/>
        <w:bottom w:val="none" w:sz="0" w:space="0" w:color="auto"/>
        <w:right w:val="none" w:sz="0" w:space="0" w:color="auto"/>
      </w:divBdr>
    </w:div>
    <w:div w:id="1679699879">
      <w:bodyDiv w:val="1"/>
      <w:marLeft w:val="0"/>
      <w:marRight w:val="0"/>
      <w:marTop w:val="0"/>
      <w:marBottom w:val="0"/>
      <w:divBdr>
        <w:top w:val="none" w:sz="0" w:space="0" w:color="auto"/>
        <w:left w:val="none" w:sz="0" w:space="0" w:color="auto"/>
        <w:bottom w:val="none" w:sz="0" w:space="0" w:color="auto"/>
        <w:right w:val="none" w:sz="0" w:space="0" w:color="auto"/>
      </w:divBdr>
    </w:div>
    <w:div w:id="1679773022">
      <w:bodyDiv w:val="1"/>
      <w:marLeft w:val="0"/>
      <w:marRight w:val="0"/>
      <w:marTop w:val="0"/>
      <w:marBottom w:val="0"/>
      <w:divBdr>
        <w:top w:val="none" w:sz="0" w:space="0" w:color="auto"/>
        <w:left w:val="none" w:sz="0" w:space="0" w:color="auto"/>
        <w:bottom w:val="none" w:sz="0" w:space="0" w:color="auto"/>
        <w:right w:val="none" w:sz="0" w:space="0" w:color="auto"/>
      </w:divBdr>
    </w:div>
    <w:div w:id="1679847127">
      <w:bodyDiv w:val="1"/>
      <w:marLeft w:val="0"/>
      <w:marRight w:val="0"/>
      <w:marTop w:val="0"/>
      <w:marBottom w:val="0"/>
      <w:divBdr>
        <w:top w:val="none" w:sz="0" w:space="0" w:color="auto"/>
        <w:left w:val="none" w:sz="0" w:space="0" w:color="auto"/>
        <w:bottom w:val="none" w:sz="0" w:space="0" w:color="auto"/>
        <w:right w:val="none" w:sz="0" w:space="0" w:color="auto"/>
      </w:divBdr>
    </w:div>
    <w:div w:id="1679967236">
      <w:bodyDiv w:val="1"/>
      <w:marLeft w:val="0"/>
      <w:marRight w:val="0"/>
      <w:marTop w:val="0"/>
      <w:marBottom w:val="0"/>
      <w:divBdr>
        <w:top w:val="none" w:sz="0" w:space="0" w:color="auto"/>
        <w:left w:val="none" w:sz="0" w:space="0" w:color="auto"/>
        <w:bottom w:val="none" w:sz="0" w:space="0" w:color="auto"/>
        <w:right w:val="none" w:sz="0" w:space="0" w:color="auto"/>
      </w:divBdr>
    </w:div>
    <w:div w:id="1679967655">
      <w:bodyDiv w:val="1"/>
      <w:marLeft w:val="0"/>
      <w:marRight w:val="0"/>
      <w:marTop w:val="0"/>
      <w:marBottom w:val="0"/>
      <w:divBdr>
        <w:top w:val="none" w:sz="0" w:space="0" w:color="auto"/>
        <w:left w:val="none" w:sz="0" w:space="0" w:color="auto"/>
        <w:bottom w:val="none" w:sz="0" w:space="0" w:color="auto"/>
        <w:right w:val="none" w:sz="0" w:space="0" w:color="auto"/>
      </w:divBdr>
    </w:div>
    <w:div w:id="1680043680">
      <w:bodyDiv w:val="1"/>
      <w:marLeft w:val="0"/>
      <w:marRight w:val="0"/>
      <w:marTop w:val="0"/>
      <w:marBottom w:val="0"/>
      <w:divBdr>
        <w:top w:val="none" w:sz="0" w:space="0" w:color="auto"/>
        <w:left w:val="none" w:sz="0" w:space="0" w:color="auto"/>
        <w:bottom w:val="none" w:sz="0" w:space="0" w:color="auto"/>
        <w:right w:val="none" w:sz="0" w:space="0" w:color="auto"/>
      </w:divBdr>
    </w:div>
    <w:div w:id="1680157001">
      <w:bodyDiv w:val="1"/>
      <w:marLeft w:val="0"/>
      <w:marRight w:val="0"/>
      <w:marTop w:val="0"/>
      <w:marBottom w:val="0"/>
      <w:divBdr>
        <w:top w:val="none" w:sz="0" w:space="0" w:color="auto"/>
        <w:left w:val="none" w:sz="0" w:space="0" w:color="auto"/>
        <w:bottom w:val="none" w:sz="0" w:space="0" w:color="auto"/>
        <w:right w:val="none" w:sz="0" w:space="0" w:color="auto"/>
      </w:divBdr>
    </w:div>
    <w:div w:id="1680158982">
      <w:bodyDiv w:val="1"/>
      <w:marLeft w:val="0"/>
      <w:marRight w:val="0"/>
      <w:marTop w:val="0"/>
      <w:marBottom w:val="0"/>
      <w:divBdr>
        <w:top w:val="none" w:sz="0" w:space="0" w:color="auto"/>
        <w:left w:val="none" w:sz="0" w:space="0" w:color="auto"/>
        <w:bottom w:val="none" w:sz="0" w:space="0" w:color="auto"/>
        <w:right w:val="none" w:sz="0" w:space="0" w:color="auto"/>
      </w:divBdr>
    </w:div>
    <w:div w:id="1680160155">
      <w:bodyDiv w:val="1"/>
      <w:marLeft w:val="0"/>
      <w:marRight w:val="0"/>
      <w:marTop w:val="0"/>
      <w:marBottom w:val="0"/>
      <w:divBdr>
        <w:top w:val="none" w:sz="0" w:space="0" w:color="auto"/>
        <w:left w:val="none" w:sz="0" w:space="0" w:color="auto"/>
        <w:bottom w:val="none" w:sz="0" w:space="0" w:color="auto"/>
        <w:right w:val="none" w:sz="0" w:space="0" w:color="auto"/>
      </w:divBdr>
    </w:div>
    <w:div w:id="1680304891">
      <w:bodyDiv w:val="1"/>
      <w:marLeft w:val="0"/>
      <w:marRight w:val="0"/>
      <w:marTop w:val="0"/>
      <w:marBottom w:val="0"/>
      <w:divBdr>
        <w:top w:val="none" w:sz="0" w:space="0" w:color="auto"/>
        <w:left w:val="none" w:sz="0" w:space="0" w:color="auto"/>
        <w:bottom w:val="none" w:sz="0" w:space="0" w:color="auto"/>
        <w:right w:val="none" w:sz="0" w:space="0" w:color="auto"/>
      </w:divBdr>
    </w:div>
    <w:div w:id="1680346116">
      <w:bodyDiv w:val="1"/>
      <w:marLeft w:val="0"/>
      <w:marRight w:val="0"/>
      <w:marTop w:val="0"/>
      <w:marBottom w:val="0"/>
      <w:divBdr>
        <w:top w:val="none" w:sz="0" w:space="0" w:color="auto"/>
        <w:left w:val="none" w:sz="0" w:space="0" w:color="auto"/>
        <w:bottom w:val="none" w:sz="0" w:space="0" w:color="auto"/>
        <w:right w:val="none" w:sz="0" w:space="0" w:color="auto"/>
      </w:divBdr>
    </w:div>
    <w:div w:id="1680499745">
      <w:bodyDiv w:val="1"/>
      <w:marLeft w:val="0"/>
      <w:marRight w:val="0"/>
      <w:marTop w:val="0"/>
      <w:marBottom w:val="0"/>
      <w:divBdr>
        <w:top w:val="none" w:sz="0" w:space="0" w:color="auto"/>
        <w:left w:val="none" w:sz="0" w:space="0" w:color="auto"/>
        <w:bottom w:val="none" w:sz="0" w:space="0" w:color="auto"/>
        <w:right w:val="none" w:sz="0" w:space="0" w:color="auto"/>
      </w:divBdr>
    </w:div>
    <w:div w:id="1680505691">
      <w:bodyDiv w:val="1"/>
      <w:marLeft w:val="0"/>
      <w:marRight w:val="0"/>
      <w:marTop w:val="0"/>
      <w:marBottom w:val="0"/>
      <w:divBdr>
        <w:top w:val="none" w:sz="0" w:space="0" w:color="auto"/>
        <w:left w:val="none" w:sz="0" w:space="0" w:color="auto"/>
        <w:bottom w:val="none" w:sz="0" w:space="0" w:color="auto"/>
        <w:right w:val="none" w:sz="0" w:space="0" w:color="auto"/>
      </w:divBdr>
    </w:div>
    <w:div w:id="1680542774">
      <w:bodyDiv w:val="1"/>
      <w:marLeft w:val="0"/>
      <w:marRight w:val="0"/>
      <w:marTop w:val="0"/>
      <w:marBottom w:val="0"/>
      <w:divBdr>
        <w:top w:val="none" w:sz="0" w:space="0" w:color="auto"/>
        <w:left w:val="none" w:sz="0" w:space="0" w:color="auto"/>
        <w:bottom w:val="none" w:sz="0" w:space="0" w:color="auto"/>
        <w:right w:val="none" w:sz="0" w:space="0" w:color="auto"/>
      </w:divBdr>
    </w:div>
    <w:div w:id="1680737102">
      <w:bodyDiv w:val="1"/>
      <w:marLeft w:val="0"/>
      <w:marRight w:val="0"/>
      <w:marTop w:val="0"/>
      <w:marBottom w:val="0"/>
      <w:divBdr>
        <w:top w:val="none" w:sz="0" w:space="0" w:color="auto"/>
        <w:left w:val="none" w:sz="0" w:space="0" w:color="auto"/>
        <w:bottom w:val="none" w:sz="0" w:space="0" w:color="auto"/>
        <w:right w:val="none" w:sz="0" w:space="0" w:color="auto"/>
      </w:divBdr>
    </w:div>
    <w:div w:id="1680737112">
      <w:bodyDiv w:val="1"/>
      <w:marLeft w:val="0"/>
      <w:marRight w:val="0"/>
      <w:marTop w:val="0"/>
      <w:marBottom w:val="0"/>
      <w:divBdr>
        <w:top w:val="none" w:sz="0" w:space="0" w:color="auto"/>
        <w:left w:val="none" w:sz="0" w:space="0" w:color="auto"/>
        <w:bottom w:val="none" w:sz="0" w:space="0" w:color="auto"/>
        <w:right w:val="none" w:sz="0" w:space="0" w:color="auto"/>
      </w:divBdr>
    </w:div>
    <w:div w:id="1680741704">
      <w:bodyDiv w:val="1"/>
      <w:marLeft w:val="0"/>
      <w:marRight w:val="0"/>
      <w:marTop w:val="0"/>
      <w:marBottom w:val="0"/>
      <w:divBdr>
        <w:top w:val="none" w:sz="0" w:space="0" w:color="auto"/>
        <w:left w:val="none" w:sz="0" w:space="0" w:color="auto"/>
        <w:bottom w:val="none" w:sz="0" w:space="0" w:color="auto"/>
        <w:right w:val="none" w:sz="0" w:space="0" w:color="auto"/>
      </w:divBdr>
    </w:div>
    <w:div w:id="1680765968">
      <w:bodyDiv w:val="1"/>
      <w:marLeft w:val="0"/>
      <w:marRight w:val="0"/>
      <w:marTop w:val="0"/>
      <w:marBottom w:val="0"/>
      <w:divBdr>
        <w:top w:val="none" w:sz="0" w:space="0" w:color="auto"/>
        <w:left w:val="none" w:sz="0" w:space="0" w:color="auto"/>
        <w:bottom w:val="none" w:sz="0" w:space="0" w:color="auto"/>
        <w:right w:val="none" w:sz="0" w:space="0" w:color="auto"/>
      </w:divBdr>
    </w:div>
    <w:div w:id="1680810429">
      <w:bodyDiv w:val="1"/>
      <w:marLeft w:val="0"/>
      <w:marRight w:val="0"/>
      <w:marTop w:val="0"/>
      <w:marBottom w:val="0"/>
      <w:divBdr>
        <w:top w:val="none" w:sz="0" w:space="0" w:color="auto"/>
        <w:left w:val="none" w:sz="0" w:space="0" w:color="auto"/>
        <w:bottom w:val="none" w:sz="0" w:space="0" w:color="auto"/>
        <w:right w:val="none" w:sz="0" w:space="0" w:color="auto"/>
      </w:divBdr>
    </w:div>
    <w:div w:id="1680815301">
      <w:bodyDiv w:val="1"/>
      <w:marLeft w:val="0"/>
      <w:marRight w:val="0"/>
      <w:marTop w:val="0"/>
      <w:marBottom w:val="0"/>
      <w:divBdr>
        <w:top w:val="none" w:sz="0" w:space="0" w:color="auto"/>
        <w:left w:val="none" w:sz="0" w:space="0" w:color="auto"/>
        <w:bottom w:val="none" w:sz="0" w:space="0" w:color="auto"/>
        <w:right w:val="none" w:sz="0" w:space="0" w:color="auto"/>
      </w:divBdr>
    </w:div>
    <w:div w:id="1680890205">
      <w:bodyDiv w:val="1"/>
      <w:marLeft w:val="0"/>
      <w:marRight w:val="0"/>
      <w:marTop w:val="0"/>
      <w:marBottom w:val="0"/>
      <w:divBdr>
        <w:top w:val="none" w:sz="0" w:space="0" w:color="auto"/>
        <w:left w:val="none" w:sz="0" w:space="0" w:color="auto"/>
        <w:bottom w:val="none" w:sz="0" w:space="0" w:color="auto"/>
        <w:right w:val="none" w:sz="0" w:space="0" w:color="auto"/>
      </w:divBdr>
    </w:div>
    <w:div w:id="1680962621">
      <w:bodyDiv w:val="1"/>
      <w:marLeft w:val="0"/>
      <w:marRight w:val="0"/>
      <w:marTop w:val="0"/>
      <w:marBottom w:val="0"/>
      <w:divBdr>
        <w:top w:val="none" w:sz="0" w:space="0" w:color="auto"/>
        <w:left w:val="none" w:sz="0" w:space="0" w:color="auto"/>
        <w:bottom w:val="none" w:sz="0" w:space="0" w:color="auto"/>
        <w:right w:val="none" w:sz="0" w:space="0" w:color="auto"/>
      </w:divBdr>
    </w:div>
    <w:div w:id="1681003136">
      <w:bodyDiv w:val="1"/>
      <w:marLeft w:val="0"/>
      <w:marRight w:val="0"/>
      <w:marTop w:val="0"/>
      <w:marBottom w:val="0"/>
      <w:divBdr>
        <w:top w:val="none" w:sz="0" w:space="0" w:color="auto"/>
        <w:left w:val="none" w:sz="0" w:space="0" w:color="auto"/>
        <w:bottom w:val="none" w:sz="0" w:space="0" w:color="auto"/>
        <w:right w:val="none" w:sz="0" w:space="0" w:color="auto"/>
      </w:divBdr>
    </w:div>
    <w:div w:id="1681077152">
      <w:bodyDiv w:val="1"/>
      <w:marLeft w:val="0"/>
      <w:marRight w:val="0"/>
      <w:marTop w:val="0"/>
      <w:marBottom w:val="0"/>
      <w:divBdr>
        <w:top w:val="none" w:sz="0" w:space="0" w:color="auto"/>
        <w:left w:val="none" w:sz="0" w:space="0" w:color="auto"/>
        <w:bottom w:val="none" w:sz="0" w:space="0" w:color="auto"/>
        <w:right w:val="none" w:sz="0" w:space="0" w:color="auto"/>
      </w:divBdr>
    </w:div>
    <w:div w:id="1681158622">
      <w:bodyDiv w:val="1"/>
      <w:marLeft w:val="0"/>
      <w:marRight w:val="0"/>
      <w:marTop w:val="0"/>
      <w:marBottom w:val="0"/>
      <w:divBdr>
        <w:top w:val="none" w:sz="0" w:space="0" w:color="auto"/>
        <w:left w:val="none" w:sz="0" w:space="0" w:color="auto"/>
        <w:bottom w:val="none" w:sz="0" w:space="0" w:color="auto"/>
        <w:right w:val="none" w:sz="0" w:space="0" w:color="auto"/>
      </w:divBdr>
    </w:div>
    <w:div w:id="1681199560">
      <w:bodyDiv w:val="1"/>
      <w:marLeft w:val="0"/>
      <w:marRight w:val="0"/>
      <w:marTop w:val="0"/>
      <w:marBottom w:val="0"/>
      <w:divBdr>
        <w:top w:val="none" w:sz="0" w:space="0" w:color="auto"/>
        <w:left w:val="none" w:sz="0" w:space="0" w:color="auto"/>
        <w:bottom w:val="none" w:sz="0" w:space="0" w:color="auto"/>
        <w:right w:val="none" w:sz="0" w:space="0" w:color="auto"/>
      </w:divBdr>
    </w:div>
    <w:div w:id="1681203402">
      <w:bodyDiv w:val="1"/>
      <w:marLeft w:val="0"/>
      <w:marRight w:val="0"/>
      <w:marTop w:val="0"/>
      <w:marBottom w:val="0"/>
      <w:divBdr>
        <w:top w:val="none" w:sz="0" w:space="0" w:color="auto"/>
        <w:left w:val="none" w:sz="0" w:space="0" w:color="auto"/>
        <w:bottom w:val="none" w:sz="0" w:space="0" w:color="auto"/>
        <w:right w:val="none" w:sz="0" w:space="0" w:color="auto"/>
      </w:divBdr>
    </w:div>
    <w:div w:id="1681276805">
      <w:bodyDiv w:val="1"/>
      <w:marLeft w:val="0"/>
      <w:marRight w:val="0"/>
      <w:marTop w:val="0"/>
      <w:marBottom w:val="0"/>
      <w:divBdr>
        <w:top w:val="none" w:sz="0" w:space="0" w:color="auto"/>
        <w:left w:val="none" w:sz="0" w:space="0" w:color="auto"/>
        <w:bottom w:val="none" w:sz="0" w:space="0" w:color="auto"/>
        <w:right w:val="none" w:sz="0" w:space="0" w:color="auto"/>
      </w:divBdr>
    </w:div>
    <w:div w:id="1681279182">
      <w:bodyDiv w:val="1"/>
      <w:marLeft w:val="0"/>
      <w:marRight w:val="0"/>
      <w:marTop w:val="0"/>
      <w:marBottom w:val="0"/>
      <w:divBdr>
        <w:top w:val="none" w:sz="0" w:space="0" w:color="auto"/>
        <w:left w:val="none" w:sz="0" w:space="0" w:color="auto"/>
        <w:bottom w:val="none" w:sz="0" w:space="0" w:color="auto"/>
        <w:right w:val="none" w:sz="0" w:space="0" w:color="auto"/>
      </w:divBdr>
    </w:div>
    <w:div w:id="1681465694">
      <w:bodyDiv w:val="1"/>
      <w:marLeft w:val="0"/>
      <w:marRight w:val="0"/>
      <w:marTop w:val="0"/>
      <w:marBottom w:val="0"/>
      <w:divBdr>
        <w:top w:val="none" w:sz="0" w:space="0" w:color="auto"/>
        <w:left w:val="none" w:sz="0" w:space="0" w:color="auto"/>
        <w:bottom w:val="none" w:sz="0" w:space="0" w:color="auto"/>
        <w:right w:val="none" w:sz="0" w:space="0" w:color="auto"/>
      </w:divBdr>
    </w:div>
    <w:div w:id="1681466477">
      <w:bodyDiv w:val="1"/>
      <w:marLeft w:val="0"/>
      <w:marRight w:val="0"/>
      <w:marTop w:val="0"/>
      <w:marBottom w:val="0"/>
      <w:divBdr>
        <w:top w:val="none" w:sz="0" w:space="0" w:color="auto"/>
        <w:left w:val="none" w:sz="0" w:space="0" w:color="auto"/>
        <w:bottom w:val="none" w:sz="0" w:space="0" w:color="auto"/>
        <w:right w:val="none" w:sz="0" w:space="0" w:color="auto"/>
      </w:divBdr>
    </w:div>
    <w:div w:id="1681467551">
      <w:bodyDiv w:val="1"/>
      <w:marLeft w:val="0"/>
      <w:marRight w:val="0"/>
      <w:marTop w:val="0"/>
      <w:marBottom w:val="0"/>
      <w:divBdr>
        <w:top w:val="none" w:sz="0" w:space="0" w:color="auto"/>
        <w:left w:val="none" w:sz="0" w:space="0" w:color="auto"/>
        <w:bottom w:val="none" w:sz="0" w:space="0" w:color="auto"/>
        <w:right w:val="none" w:sz="0" w:space="0" w:color="auto"/>
      </w:divBdr>
    </w:div>
    <w:div w:id="1681467670">
      <w:bodyDiv w:val="1"/>
      <w:marLeft w:val="0"/>
      <w:marRight w:val="0"/>
      <w:marTop w:val="0"/>
      <w:marBottom w:val="0"/>
      <w:divBdr>
        <w:top w:val="none" w:sz="0" w:space="0" w:color="auto"/>
        <w:left w:val="none" w:sz="0" w:space="0" w:color="auto"/>
        <w:bottom w:val="none" w:sz="0" w:space="0" w:color="auto"/>
        <w:right w:val="none" w:sz="0" w:space="0" w:color="auto"/>
      </w:divBdr>
    </w:div>
    <w:div w:id="1681664469">
      <w:bodyDiv w:val="1"/>
      <w:marLeft w:val="0"/>
      <w:marRight w:val="0"/>
      <w:marTop w:val="0"/>
      <w:marBottom w:val="0"/>
      <w:divBdr>
        <w:top w:val="none" w:sz="0" w:space="0" w:color="auto"/>
        <w:left w:val="none" w:sz="0" w:space="0" w:color="auto"/>
        <w:bottom w:val="none" w:sz="0" w:space="0" w:color="auto"/>
        <w:right w:val="none" w:sz="0" w:space="0" w:color="auto"/>
      </w:divBdr>
    </w:div>
    <w:div w:id="1681664597">
      <w:bodyDiv w:val="1"/>
      <w:marLeft w:val="0"/>
      <w:marRight w:val="0"/>
      <w:marTop w:val="0"/>
      <w:marBottom w:val="0"/>
      <w:divBdr>
        <w:top w:val="none" w:sz="0" w:space="0" w:color="auto"/>
        <w:left w:val="none" w:sz="0" w:space="0" w:color="auto"/>
        <w:bottom w:val="none" w:sz="0" w:space="0" w:color="auto"/>
        <w:right w:val="none" w:sz="0" w:space="0" w:color="auto"/>
      </w:divBdr>
    </w:div>
    <w:div w:id="1681816013">
      <w:bodyDiv w:val="1"/>
      <w:marLeft w:val="0"/>
      <w:marRight w:val="0"/>
      <w:marTop w:val="0"/>
      <w:marBottom w:val="0"/>
      <w:divBdr>
        <w:top w:val="none" w:sz="0" w:space="0" w:color="auto"/>
        <w:left w:val="none" w:sz="0" w:space="0" w:color="auto"/>
        <w:bottom w:val="none" w:sz="0" w:space="0" w:color="auto"/>
        <w:right w:val="none" w:sz="0" w:space="0" w:color="auto"/>
      </w:divBdr>
    </w:div>
    <w:div w:id="1681926897">
      <w:bodyDiv w:val="1"/>
      <w:marLeft w:val="0"/>
      <w:marRight w:val="0"/>
      <w:marTop w:val="0"/>
      <w:marBottom w:val="0"/>
      <w:divBdr>
        <w:top w:val="none" w:sz="0" w:space="0" w:color="auto"/>
        <w:left w:val="none" w:sz="0" w:space="0" w:color="auto"/>
        <w:bottom w:val="none" w:sz="0" w:space="0" w:color="auto"/>
        <w:right w:val="none" w:sz="0" w:space="0" w:color="auto"/>
      </w:divBdr>
    </w:div>
    <w:div w:id="1682051657">
      <w:bodyDiv w:val="1"/>
      <w:marLeft w:val="0"/>
      <w:marRight w:val="0"/>
      <w:marTop w:val="0"/>
      <w:marBottom w:val="0"/>
      <w:divBdr>
        <w:top w:val="none" w:sz="0" w:space="0" w:color="auto"/>
        <w:left w:val="none" w:sz="0" w:space="0" w:color="auto"/>
        <w:bottom w:val="none" w:sz="0" w:space="0" w:color="auto"/>
        <w:right w:val="none" w:sz="0" w:space="0" w:color="auto"/>
      </w:divBdr>
    </w:div>
    <w:div w:id="1682076239">
      <w:bodyDiv w:val="1"/>
      <w:marLeft w:val="0"/>
      <w:marRight w:val="0"/>
      <w:marTop w:val="0"/>
      <w:marBottom w:val="0"/>
      <w:divBdr>
        <w:top w:val="none" w:sz="0" w:space="0" w:color="auto"/>
        <w:left w:val="none" w:sz="0" w:space="0" w:color="auto"/>
        <w:bottom w:val="none" w:sz="0" w:space="0" w:color="auto"/>
        <w:right w:val="none" w:sz="0" w:space="0" w:color="auto"/>
      </w:divBdr>
    </w:div>
    <w:div w:id="1682126209">
      <w:bodyDiv w:val="1"/>
      <w:marLeft w:val="0"/>
      <w:marRight w:val="0"/>
      <w:marTop w:val="0"/>
      <w:marBottom w:val="0"/>
      <w:divBdr>
        <w:top w:val="none" w:sz="0" w:space="0" w:color="auto"/>
        <w:left w:val="none" w:sz="0" w:space="0" w:color="auto"/>
        <w:bottom w:val="none" w:sz="0" w:space="0" w:color="auto"/>
        <w:right w:val="none" w:sz="0" w:space="0" w:color="auto"/>
      </w:divBdr>
    </w:div>
    <w:div w:id="1682197961">
      <w:bodyDiv w:val="1"/>
      <w:marLeft w:val="0"/>
      <w:marRight w:val="0"/>
      <w:marTop w:val="0"/>
      <w:marBottom w:val="0"/>
      <w:divBdr>
        <w:top w:val="none" w:sz="0" w:space="0" w:color="auto"/>
        <w:left w:val="none" w:sz="0" w:space="0" w:color="auto"/>
        <w:bottom w:val="none" w:sz="0" w:space="0" w:color="auto"/>
        <w:right w:val="none" w:sz="0" w:space="0" w:color="auto"/>
      </w:divBdr>
    </w:div>
    <w:div w:id="1682198290">
      <w:bodyDiv w:val="1"/>
      <w:marLeft w:val="0"/>
      <w:marRight w:val="0"/>
      <w:marTop w:val="0"/>
      <w:marBottom w:val="0"/>
      <w:divBdr>
        <w:top w:val="none" w:sz="0" w:space="0" w:color="auto"/>
        <w:left w:val="none" w:sz="0" w:space="0" w:color="auto"/>
        <w:bottom w:val="none" w:sz="0" w:space="0" w:color="auto"/>
        <w:right w:val="none" w:sz="0" w:space="0" w:color="auto"/>
      </w:divBdr>
    </w:div>
    <w:div w:id="1682244094">
      <w:bodyDiv w:val="1"/>
      <w:marLeft w:val="0"/>
      <w:marRight w:val="0"/>
      <w:marTop w:val="0"/>
      <w:marBottom w:val="0"/>
      <w:divBdr>
        <w:top w:val="none" w:sz="0" w:space="0" w:color="auto"/>
        <w:left w:val="none" w:sz="0" w:space="0" w:color="auto"/>
        <w:bottom w:val="none" w:sz="0" w:space="0" w:color="auto"/>
        <w:right w:val="none" w:sz="0" w:space="0" w:color="auto"/>
      </w:divBdr>
    </w:div>
    <w:div w:id="1682274602">
      <w:bodyDiv w:val="1"/>
      <w:marLeft w:val="0"/>
      <w:marRight w:val="0"/>
      <w:marTop w:val="0"/>
      <w:marBottom w:val="0"/>
      <w:divBdr>
        <w:top w:val="none" w:sz="0" w:space="0" w:color="auto"/>
        <w:left w:val="none" w:sz="0" w:space="0" w:color="auto"/>
        <w:bottom w:val="none" w:sz="0" w:space="0" w:color="auto"/>
        <w:right w:val="none" w:sz="0" w:space="0" w:color="auto"/>
      </w:divBdr>
    </w:div>
    <w:div w:id="1682314066">
      <w:bodyDiv w:val="1"/>
      <w:marLeft w:val="0"/>
      <w:marRight w:val="0"/>
      <w:marTop w:val="0"/>
      <w:marBottom w:val="0"/>
      <w:divBdr>
        <w:top w:val="none" w:sz="0" w:space="0" w:color="auto"/>
        <w:left w:val="none" w:sz="0" w:space="0" w:color="auto"/>
        <w:bottom w:val="none" w:sz="0" w:space="0" w:color="auto"/>
        <w:right w:val="none" w:sz="0" w:space="0" w:color="auto"/>
      </w:divBdr>
    </w:div>
    <w:div w:id="1682471099">
      <w:bodyDiv w:val="1"/>
      <w:marLeft w:val="0"/>
      <w:marRight w:val="0"/>
      <w:marTop w:val="0"/>
      <w:marBottom w:val="0"/>
      <w:divBdr>
        <w:top w:val="none" w:sz="0" w:space="0" w:color="auto"/>
        <w:left w:val="none" w:sz="0" w:space="0" w:color="auto"/>
        <w:bottom w:val="none" w:sz="0" w:space="0" w:color="auto"/>
        <w:right w:val="none" w:sz="0" w:space="0" w:color="auto"/>
      </w:divBdr>
    </w:div>
    <w:div w:id="1682514105">
      <w:bodyDiv w:val="1"/>
      <w:marLeft w:val="0"/>
      <w:marRight w:val="0"/>
      <w:marTop w:val="0"/>
      <w:marBottom w:val="0"/>
      <w:divBdr>
        <w:top w:val="none" w:sz="0" w:space="0" w:color="auto"/>
        <w:left w:val="none" w:sz="0" w:space="0" w:color="auto"/>
        <w:bottom w:val="none" w:sz="0" w:space="0" w:color="auto"/>
        <w:right w:val="none" w:sz="0" w:space="0" w:color="auto"/>
      </w:divBdr>
    </w:div>
    <w:div w:id="1682583295">
      <w:bodyDiv w:val="1"/>
      <w:marLeft w:val="0"/>
      <w:marRight w:val="0"/>
      <w:marTop w:val="0"/>
      <w:marBottom w:val="0"/>
      <w:divBdr>
        <w:top w:val="none" w:sz="0" w:space="0" w:color="auto"/>
        <w:left w:val="none" w:sz="0" w:space="0" w:color="auto"/>
        <w:bottom w:val="none" w:sz="0" w:space="0" w:color="auto"/>
        <w:right w:val="none" w:sz="0" w:space="0" w:color="auto"/>
      </w:divBdr>
    </w:div>
    <w:div w:id="1682734494">
      <w:bodyDiv w:val="1"/>
      <w:marLeft w:val="0"/>
      <w:marRight w:val="0"/>
      <w:marTop w:val="0"/>
      <w:marBottom w:val="0"/>
      <w:divBdr>
        <w:top w:val="none" w:sz="0" w:space="0" w:color="auto"/>
        <w:left w:val="none" w:sz="0" w:space="0" w:color="auto"/>
        <w:bottom w:val="none" w:sz="0" w:space="0" w:color="auto"/>
        <w:right w:val="none" w:sz="0" w:space="0" w:color="auto"/>
      </w:divBdr>
    </w:div>
    <w:div w:id="1682858021">
      <w:bodyDiv w:val="1"/>
      <w:marLeft w:val="0"/>
      <w:marRight w:val="0"/>
      <w:marTop w:val="0"/>
      <w:marBottom w:val="0"/>
      <w:divBdr>
        <w:top w:val="none" w:sz="0" w:space="0" w:color="auto"/>
        <w:left w:val="none" w:sz="0" w:space="0" w:color="auto"/>
        <w:bottom w:val="none" w:sz="0" w:space="0" w:color="auto"/>
        <w:right w:val="none" w:sz="0" w:space="0" w:color="auto"/>
      </w:divBdr>
    </w:div>
    <w:div w:id="1682899803">
      <w:bodyDiv w:val="1"/>
      <w:marLeft w:val="0"/>
      <w:marRight w:val="0"/>
      <w:marTop w:val="0"/>
      <w:marBottom w:val="0"/>
      <w:divBdr>
        <w:top w:val="none" w:sz="0" w:space="0" w:color="auto"/>
        <w:left w:val="none" w:sz="0" w:space="0" w:color="auto"/>
        <w:bottom w:val="none" w:sz="0" w:space="0" w:color="auto"/>
        <w:right w:val="none" w:sz="0" w:space="0" w:color="auto"/>
      </w:divBdr>
    </w:div>
    <w:div w:id="1682929231">
      <w:bodyDiv w:val="1"/>
      <w:marLeft w:val="0"/>
      <w:marRight w:val="0"/>
      <w:marTop w:val="0"/>
      <w:marBottom w:val="0"/>
      <w:divBdr>
        <w:top w:val="none" w:sz="0" w:space="0" w:color="auto"/>
        <w:left w:val="none" w:sz="0" w:space="0" w:color="auto"/>
        <w:bottom w:val="none" w:sz="0" w:space="0" w:color="auto"/>
        <w:right w:val="none" w:sz="0" w:space="0" w:color="auto"/>
      </w:divBdr>
    </w:div>
    <w:div w:id="1682969363">
      <w:bodyDiv w:val="1"/>
      <w:marLeft w:val="0"/>
      <w:marRight w:val="0"/>
      <w:marTop w:val="0"/>
      <w:marBottom w:val="0"/>
      <w:divBdr>
        <w:top w:val="none" w:sz="0" w:space="0" w:color="auto"/>
        <w:left w:val="none" w:sz="0" w:space="0" w:color="auto"/>
        <w:bottom w:val="none" w:sz="0" w:space="0" w:color="auto"/>
        <w:right w:val="none" w:sz="0" w:space="0" w:color="auto"/>
      </w:divBdr>
    </w:div>
    <w:div w:id="1683051285">
      <w:bodyDiv w:val="1"/>
      <w:marLeft w:val="0"/>
      <w:marRight w:val="0"/>
      <w:marTop w:val="0"/>
      <w:marBottom w:val="0"/>
      <w:divBdr>
        <w:top w:val="none" w:sz="0" w:space="0" w:color="auto"/>
        <w:left w:val="none" w:sz="0" w:space="0" w:color="auto"/>
        <w:bottom w:val="none" w:sz="0" w:space="0" w:color="auto"/>
        <w:right w:val="none" w:sz="0" w:space="0" w:color="auto"/>
      </w:divBdr>
    </w:div>
    <w:div w:id="1683120624">
      <w:bodyDiv w:val="1"/>
      <w:marLeft w:val="0"/>
      <w:marRight w:val="0"/>
      <w:marTop w:val="0"/>
      <w:marBottom w:val="0"/>
      <w:divBdr>
        <w:top w:val="none" w:sz="0" w:space="0" w:color="auto"/>
        <w:left w:val="none" w:sz="0" w:space="0" w:color="auto"/>
        <w:bottom w:val="none" w:sz="0" w:space="0" w:color="auto"/>
        <w:right w:val="none" w:sz="0" w:space="0" w:color="auto"/>
      </w:divBdr>
    </w:div>
    <w:div w:id="1683193422">
      <w:bodyDiv w:val="1"/>
      <w:marLeft w:val="0"/>
      <w:marRight w:val="0"/>
      <w:marTop w:val="0"/>
      <w:marBottom w:val="0"/>
      <w:divBdr>
        <w:top w:val="none" w:sz="0" w:space="0" w:color="auto"/>
        <w:left w:val="none" w:sz="0" w:space="0" w:color="auto"/>
        <w:bottom w:val="none" w:sz="0" w:space="0" w:color="auto"/>
        <w:right w:val="none" w:sz="0" w:space="0" w:color="auto"/>
      </w:divBdr>
    </w:div>
    <w:div w:id="1683241454">
      <w:bodyDiv w:val="1"/>
      <w:marLeft w:val="0"/>
      <w:marRight w:val="0"/>
      <w:marTop w:val="0"/>
      <w:marBottom w:val="0"/>
      <w:divBdr>
        <w:top w:val="none" w:sz="0" w:space="0" w:color="auto"/>
        <w:left w:val="none" w:sz="0" w:space="0" w:color="auto"/>
        <w:bottom w:val="none" w:sz="0" w:space="0" w:color="auto"/>
        <w:right w:val="none" w:sz="0" w:space="0" w:color="auto"/>
      </w:divBdr>
    </w:div>
    <w:div w:id="1683245157">
      <w:bodyDiv w:val="1"/>
      <w:marLeft w:val="0"/>
      <w:marRight w:val="0"/>
      <w:marTop w:val="0"/>
      <w:marBottom w:val="0"/>
      <w:divBdr>
        <w:top w:val="none" w:sz="0" w:space="0" w:color="auto"/>
        <w:left w:val="none" w:sz="0" w:space="0" w:color="auto"/>
        <w:bottom w:val="none" w:sz="0" w:space="0" w:color="auto"/>
        <w:right w:val="none" w:sz="0" w:space="0" w:color="auto"/>
      </w:divBdr>
    </w:div>
    <w:div w:id="1683972435">
      <w:bodyDiv w:val="1"/>
      <w:marLeft w:val="0"/>
      <w:marRight w:val="0"/>
      <w:marTop w:val="0"/>
      <w:marBottom w:val="0"/>
      <w:divBdr>
        <w:top w:val="none" w:sz="0" w:space="0" w:color="auto"/>
        <w:left w:val="none" w:sz="0" w:space="0" w:color="auto"/>
        <w:bottom w:val="none" w:sz="0" w:space="0" w:color="auto"/>
        <w:right w:val="none" w:sz="0" w:space="0" w:color="auto"/>
      </w:divBdr>
    </w:div>
    <w:div w:id="1684163601">
      <w:bodyDiv w:val="1"/>
      <w:marLeft w:val="0"/>
      <w:marRight w:val="0"/>
      <w:marTop w:val="0"/>
      <w:marBottom w:val="0"/>
      <w:divBdr>
        <w:top w:val="none" w:sz="0" w:space="0" w:color="auto"/>
        <w:left w:val="none" w:sz="0" w:space="0" w:color="auto"/>
        <w:bottom w:val="none" w:sz="0" w:space="0" w:color="auto"/>
        <w:right w:val="none" w:sz="0" w:space="0" w:color="auto"/>
      </w:divBdr>
    </w:div>
    <w:div w:id="1684209900">
      <w:bodyDiv w:val="1"/>
      <w:marLeft w:val="0"/>
      <w:marRight w:val="0"/>
      <w:marTop w:val="0"/>
      <w:marBottom w:val="0"/>
      <w:divBdr>
        <w:top w:val="none" w:sz="0" w:space="0" w:color="auto"/>
        <w:left w:val="none" w:sz="0" w:space="0" w:color="auto"/>
        <w:bottom w:val="none" w:sz="0" w:space="0" w:color="auto"/>
        <w:right w:val="none" w:sz="0" w:space="0" w:color="auto"/>
      </w:divBdr>
    </w:div>
    <w:div w:id="1684282195">
      <w:bodyDiv w:val="1"/>
      <w:marLeft w:val="0"/>
      <w:marRight w:val="0"/>
      <w:marTop w:val="0"/>
      <w:marBottom w:val="0"/>
      <w:divBdr>
        <w:top w:val="none" w:sz="0" w:space="0" w:color="auto"/>
        <w:left w:val="none" w:sz="0" w:space="0" w:color="auto"/>
        <w:bottom w:val="none" w:sz="0" w:space="0" w:color="auto"/>
        <w:right w:val="none" w:sz="0" w:space="0" w:color="auto"/>
      </w:divBdr>
    </w:div>
    <w:div w:id="1684287142">
      <w:bodyDiv w:val="1"/>
      <w:marLeft w:val="0"/>
      <w:marRight w:val="0"/>
      <w:marTop w:val="0"/>
      <w:marBottom w:val="0"/>
      <w:divBdr>
        <w:top w:val="none" w:sz="0" w:space="0" w:color="auto"/>
        <w:left w:val="none" w:sz="0" w:space="0" w:color="auto"/>
        <w:bottom w:val="none" w:sz="0" w:space="0" w:color="auto"/>
        <w:right w:val="none" w:sz="0" w:space="0" w:color="auto"/>
      </w:divBdr>
    </w:div>
    <w:div w:id="1684476368">
      <w:bodyDiv w:val="1"/>
      <w:marLeft w:val="0"/>
      <w:marRight w:val="0"/>
      <w:marTop w:val="0"/>
      <w:marBottom w:val="0"/>
      <w:divBdr>
        <w:top w:val="none" w:sz="0" w:space="0" w:color="auto"/>
        <w:left w:val="none" w:sz="0" w:space="0" w:color="auto"/>
        <w:bottom w:val="none" w:sz="0" w:space="0" w:color="auto"/>
        <w:right w:val="none" w:sz="0" w:space="0" w:color="auto"/>
      </w:divBdr>
    </w:div>
    <w:div w:id="1684671608">
      <w:bodyDiv w:val="1"/>
      <w:marLeft w:val="0"/>
      <w:marRight w:val="0"/>
      <w:marTop w:val="0"/>
      <w:marBottom w:val="0"/>
      <w:divBdr>
        <w:top w:val="none" w:sz="0" w:space="0" w:color="auto"/>
        <w:left w:val="none" w:sz="0" w:space="0" w:color="auto"/>
        <w:bottom w:val="none" w:sz="0" w:space="0" w:color="auto"/>
        <w:right w:val="none" w:sz="0" w:space="0" w:color="auto"/>
      </w:divBdr>
    </w:div>
    <w:div w:id="1684743169">
      <w:bodyDiv w:val="1"/>
      <w:marLeft w:val="0"/>
      <w:marRight w:val="0"/>
      <w:marTop w:val="0"/>
      <w:marBottom w:val="0"/>
      <w:divBdr>
        <w:top w:val="none" w:sz="0" w:space="0" w:color="auto"/>
        <w:left w:val="none" w:sz="0" w:space="0" w:color="auto"/>
        <w:bottom w:val="none" w:sz="0" w:space="0" w:color="auto"/>
        <w:right w:val="none" w:sz="0" w:space="0" w:color="auto"/>
      </w:divBdr>
    </w:div>
    <w:div w:id="1684819852">
      <w:bodyDiv w:val="1"/>
      <w:marLeft w:val="0"/>
      <w:marRight w:val="0"/>
      <w:marTop w:val="0"/>
      <w:marBottom w:val="0"/>
      <w:divBdr>
        <w:top w:val="none" w:sz="0" w:space="0" w:color="auto"/>
        <w:left w:val="none" w:sz="0" w:space="0" w:color="auto"/>
        <w:bottom w:val="none" w:sz="0" w:space="0" w:color="auto"/>
        <w:right w:val="none" w:sz="0" w:space="0" w:color="auto"/>
      </w:divBdr>
    </w:div>
    <w:div w:id="1684893199">
      <w:bodyDiv w:val="1"/>
      <w:marLeft w:val="0"/>
      <w:marRight w:val="0"/>
      <w:marTop w:val="0"/>
      <w:marBottom w:val="0"/>
      <w:divBdr>
        <w:top w:val="none" w:sz="0" w:space="0" w:color="auto"/>
        <w:left w:val="none" w:sz="0" w:space="0" w:color="auto"/>
        <w:bottom w:val="none" w:sz="0" w:space="0" w:color="auto"/>
        <w:right w:val="none" w:sz="0" w:space="0" w:color="auto"/>
      </w:divBdr>
    </w:div>
    <w:div w:id="1685009635">
      <w:bodyDiv w:val="1"/>
      <w:marLeft w:val="0"/>
      <w:marRight w:val="0"/>
      <w:marTop w:val="0"/>
      <w:marBottom w:val="0"/>
      <w:divBdr>
        <w:top w:val="none" w:sz="0" w:space="0" w:color="auto"/>
        <w:left w:val="none" w:sz="0" w:space="0" w:color="auto"/>
        <w:bottom w:val="none" w:sz="0" w:space="0" w:color="auto"/>
        <w:right w:val="none" w:sz="0" w:space="0" w:color="auto"/>
      </w:divBdr>
    </w:div>
    <w:div w:id="1685015311">
      <w:bodyDiv w:val="1"/>
      <w:marLeft w:val="0"/>
      <w:marRight w:val="0"/>
      <w:marTop w:val="0"/>
      <w:marBottom w:val="0"/>
      <w:divBdr>
        <w:top w:val="none" w:sz="0" w:space="0" w:color="auto"/>
        <w:left w:val="none" w:sz="0" w:space="0" w:color="auto"/>
        <w:bottom w:val="none" w:sz="0" w:space="0" w:color="auto"/>
        <w:right w:val="none" w:sz="0" w:space="0" w:color="auto"/>
      </w:divBdr>
    </w:div>
    <w:div w:id="1685017177">
      <w:bodyDiv w:val="1"/>
      <w:marLeft w:val="0"/>
      <w:marRight w:val="0"/>
      <w:marTop w:val="0"/>
      <w:marBottom w:val="0"/>
      <w:divBdr>
        <w:top w:val="none" w:sz="0" w:space="0" w:color="auto"/>
        <w:left w:val="none" w:sz="0" w:space="0" w:color="auto"/>
        <w:bottom w:val="none" w:sz="0" w:space="0" w:color="auto"/>
        <w:right w:val="none" w:sz="0" w:space="0" w:color="auto"/>
      </w:divBdr>
    </w:div>
    <w:div w:id="1685017599">
      <w:bodyDiv w:val="1"/>
      <w:marLeft w:val="0"/>
      <w:marRight w:val="0"/>
      <w:marTop w:val="0"/>
      <w:marBottom w:val="0"/>
      <w:divBdr>
        <w:top w:val="none" w:sz="0" w:space="0" w:color="auto"/>
        <w:left w:val="none" w:sz="0" w:space="0" w:color="auto"/>
        <w:bottom w:val="none" w:sz="0" w:space="0" w:color="auto"/>
        <w:right w:val="none" w:sz="0" w:space="0" w:color="auto"/>
      </w:divBdr>
    </w:div>
    <w:div w:id="1685127402">
      <w:bodyDiv w:val="1"/>
      <w:marLeft w:val="0"/>
      <w:marRight w:val="0"/>
      <w:marTop w:val="0"/>
      <w:marBottom w:val="0"/>
      <w:divBdr>
        <w:top w:val="none" w:sz="0" w:space="0" w:color="auto"/>
        <w:left w:val="none" w:sz="0" w:space="0" w:color="auto"/>
        <w:bottom w:val="none" w:sz="0" w:space="0" w:color="auto"/>
        <w:right w:val="none" w:sz="0" w:space="0" w:color="auto"/>
      </w:divBdr>
    </w:div>
    <w:div w:id="1685130118">
      <w:bodyDiv w:val="1"/>
      <w:marLeft w:val="0"/>
      <w:marRight w:val="0"/>
      <w:marTop w:val="0"/>
      <w:marBottom w:val="0"/>
      <w:divBdr>
        <w:top w:val="none" w:sz="0" w:space="0" w:color="auto"/>
        <w:left w:val="none" w:sz="0" w:space="0" w:color="auto"/>
        <w:bottom w:val="none" w:sz="0" w:space="0" w:color="auto"/>
        <w:right w:val="none" w:sz="0" w:space="0" w:color="auto"/>
      </w:divBdr>
    </w:div>
    <w:div w:id="1685278830">
      <w:bodyDiv w:val="1"/>
      <w:marLeft w:val="0"/>
      <w:marRight w:val="0"/>
      <w:marTop w:val="0"/>
      <w:marBottom w:val="0"/>
      <w:divBdr>
        <w:top w:val="none" w:sz="0" w:space="0" w:color="auto"/>
        <w:left w:val="none" w:sz="0" w:space="0" w:color="auto"/>
        <w:bottom w:val="none" w:sz="0" w:space="0" w:color="auto"/>
        <w:right w:val="none" w:sz="0" w:space="0" w:color="auto"/>
      </w:divBdr>
    </w:div>
    <w:div w:id="1685325072">
      <w:bodyDiv w:val="1"/>
      <w:marLeft w:val="0"/>
      <w:marRight w:val="0"/>
      <w:marTop w:val="0"/>
      <w:marBottom w:val="0"/>
      <w:divBdr>
        <w:top w:val="none" w:sz="0" w:space="0" w:color="auto"/>
        <w:left w:val="none" w:sz="0" w:space="0" w:color="auto"/>
        <w:bottom w:val="none" w:sz="0" w:space="0" w:color="auto"/>
        <w:right w:val="none" w:sz="0" w:space="0" w:color="auto"/>
      </w:divBdr>
    </w:div>
    <w:div w:id="1685352708">
      <w:bodyDiv w:val="1"/>
      <w:marLeft w:val="0"/>
      <w:marRight w:val="0"/>
      <w:marTop w:val="0"/>
      <w:marBottom w:val="0"/>
      <w:divBdr>
        <w:top w:val="none" w:sz="0" w:space="0" w:color="auto"/>
        <w:left w:val="none" w:sz="0" w:space="0" w:color="auto"/>
        <w:bottom w:val="none" w:sz="0" w:space="0" w:color="auto"/>
        <w:right w:val="none" w:sz="0" w:space="0" w:color="auto"/>
      </w:divBdr>
    </w:div>
    <w:div w:id="1685400820">
      <w:bodyDiv w:val="1"/>
      <w:marLeft w:val="0"/>
      <w:marRight w:val="0"/>
      <w:marTop w:val="0"/>
      <w:marBottom w:val="0"/>
      <w:divBdr>
        <w:top w:val="none" w:sz="0" w:space="0" w:color="auto"/>
        <w:left w:val="none" w:sz="0" w:space="0" w:color="auto"/>
        <w:bottom w:val="none" w:sz="0" w:space="0" w:color="auto"/>
        <w:right w:val="none" w:sz="0" w:space="0" w:color="auto"/>
      </w:divBdr>
    </w:div>
    <w:div w:id="1685477707">
      <w:bodyDiv w:val="1"/>
      <w:marLeft w:val="0"/>
      <w:marRight w:val="0"/>
      <w:marTop w:val="0"/>
      <w:marBottom w:val="0"/>
      <w:divBdr>
        <w:top w:val="none" w:sz="0" w:space="0" w:color="auto"/>
        <w:left w:val="none" w:sz="0" w:space="0" w:color="auto"/>
        <w:bottom w:val="none" w:sz="0" w:space="0" w:color="auto"/>
        <w:right w:val="none" w:sz="0" w:space="0" w:color="auto"/>
      </w:divBdr>
    </w:div>
    <w:div w:id="1685588746">
      <w:bodyDiv w:val="1"/>
      <w:marLeft w:val="0"/>
      <w:marRight w:val="0"/>
      <w:marTop w:val="0"/>
      <w:marBottom w:val="0"/>
      <w:divBdr>
        <w:top w:val="none" w:sz="0" w:space="0" w:color="auto"/>
        <w:left w:val="none" w:sz="0" w:space="0" w:color="auto"/>
        <w:bottom w:val="none" w:sz="0" w:space="0" w:color="auto"/>
        <w:right w:val="none" w:sz="0" w:space="0" w:color="auto"/>
      </w:divBdr>
    </w:div>
    <w:div w:id="1685744623">
      <w:bodyDiv w:val="1"/>
      <w:marLeft w:val="0"/>
      <w:marRight w:val="0"/>
      <w:marTop w:val="0"/>
      <w:marBottom w:val="0"/>
      <w:divBdr>
        <w:top w:val="none" w:sz="0" w:space="0" w:color="auto"/>
        <w:left w:val="none" w:sz="0" w:space="0" w:color="auto"/>
        <w:bottom w:val="none" w:sz="0" w:space="0" w:color="auto"/>
        <w:right w:val="none" w:sz="0" w:space="0" w:color="auto"/>
      </w:divBdr>
    </w:div>
    <w:div w:id="1685747206">
      <w:bodyDiv w:val="1"/>
      <w:marLeft w:val="0"/>
      <w:marRight w:val="0"/>
      <w:marTop w:val="0"/>
      <w:marBottom w:val="0"/>
      <w:divBdr>
        <w:top w:val="none" w:sz="0" w:space="0" w:color="auto"/>
        <w:left w:val="none" w:sz="0" w:space="0" w:color="auto"/>
        <w:bottom w:val="none" w:sz="0" w:space="0" w:color="auto"/>
        <w:right w:val="none" w:sz="0" w:space="0" w:color="auto"/>
      </w:divBdr>
    </w:div>
    <w:div w:id="1685748299">
      <w:bodyDiv w:val="1"/>
      <w:marLeft w:val="0"/>
      <w:marRight w:val="0"/>
      <w:marTop w:val="0"/>
      <w:marBottom w:val="0"/>
      <w:divBdr>
        <w:top w:val="none" w:sz="0" w:space="0" w:color="auto"/>
        <w:left w:val="none" w:sz="0" w:space="0" w:color="auto"/>
        <w:bottom w:val="none" w:sz="0" w:space="0" w:color="auto"/>
        <w:right w:val="none" w:sz="0" w:space="0" w:color="auto"/>
      </w:divBdr>
    </w:div>
    <w:div w:id="1685789317">
      <w:bodyDiv w:val="1"/>
      <w:marLeft w:val="0"/>
      <w:marRight w:val="0"/>
      <w:marTop w:val="0"/>
      <w:marBottom w:val="0"/>
      <w:divBdr>
        <w:top w:val="none" w:sz="0" w:space="0" w:color="auto"/>
        <w:left w:val="none" w:sz="0" w:space="0" w:color="auto"/>
        <w:bottom w:val="none" w:sz="0" w:space="0" w:color="auto"/>
        <w:right w:val="none" w:sz="0" w:space="0" w:color="auto"/>
      </w:divBdr>
    </w:div>
    <w:div w:id="1685814590">
      <w:bodyDiv w:val="1"/>
      <w:marLeft w:val="0"/>
      <w:marRight w:val="0"/>
      <w:marTop w:val="0"/>
      <w:marBottom w:val="0"/>
      <w:divBdr>
        <w:top w:val="none" w:sz="0" w:space="0" w:color="auto"/>
        <w:left w:val="none" w:sz="0" w:space="0" w:color="auto"/>
        <w:bottom w:val="none" w:sz="0" w:space="0" w:color="auto"/>
        <w:right w:val="none" w:sz="0" w:space="0" w:color="auto"/>
      </w:divBdr>
    </w:div>
    <w:div w:id="1685937468">
      <w:bodyDiv w:val="1"/>
      <w:marLeft w:val="0"/>
      <w:marRight w:val="0"/>
      <w:marTop w:val="0"/>
      <w:marBottom w:val="0"/>
      <w:divBdr>
        <w:top w:val="none" w:sz="0" w:space="0" w:color="auto"/>
        <w:left w:val="none" w:sz="0" w:space="0" w:color="auto"/>
        <w:bottom w:val="none" w:sz="0" w:space="0" w:color="auto"/>
        <w:right w:val="none" w:sz="0" w:space="0" w:color="auto"/>
      </w:divBdr>
    </w:div>
    <w:div w:id="1686056030">
      <w:bodyDiv w:val="1"/>
      <w:marLeft w:val="0"/>
      <w:marRight w:val="0"/>
      <w:marTop w:val="0"/>
      <w:marBottom w:val="0"/>
      <w:divBdr>
        <w:top w:val="none" w:sz="0" w:space="0" w:color="auto"/>
        <w:left w:val="none" w:sz="0" w:space="0" w:color="auto"/>
        <w:bottom w:val="none" w:sz="0" w:space="0" w:color="auto"/>
        <w:right w:val="none" w:sz="0" w:space="0" w:color="auto"/>
      </w:divBdr>
    </w:div>
    <w:div w:id="1686201648">
      <w:bodyDiv w:val="1"/>
      <w:marLeft w:val="0"/>
      <w:marRight w:val="0"/>
      <w:marTop w:val="0"/>
      <w:marBottom w:val="0"/>
      <w:divBdr>
        <w:top w:val="none" w:sz="0" w:space="0" w:color="auto"/>
        <w:left w:val="none" w:sz="0" w:space="0" w:color="auto"/>
        <w:bottom w:val="none" w:sz="0" w:space="0" w:color="auto"/>
        <w:right w:val="none" w:sz="0" w:space="0" w:color="auto"/>
      </w:divBdr>
    </w:div>
    <w:div w:id="1686319873">
      <w:bodyDiv w:val="1"/>
      <w:marLeft w:val="0"/>
      <w:marRight w:val="0"/>
      <w:marTop w:val="0"/>
      <w:marBottom w:val="0"/>
      <w:divBdr>
        <w:top w:val="none" w:sz="0" w:space="0" w:color="auto"/>
        <w:left w:val="none" w:sz="0" w:space="0" w:color="auto"/>
        <w:bottom w:val="none" w:sz="0" w:space="0" w:color="auto"/>
        <w:right w:val="none" w:sz="0" w:space="0" w:color="auto"/>
      </w:divBdr>
    </w:div>
    <w:div w:id="1686439263">
      <w:bodyDiv w:val="1"/>
      <w:marLeft w:val="0"/>
      <w:marRight w:val="0"/>
      <w:marTop w:val="0"/>
      <w:marBottom w:val="0"/>
      <w:divBdr>
        <w:top w:val="none" w:sz="0" w:space="0" w:color="auto"/>
        <w:left w:val="none" w:sz="0" w:space="0" w:color="auto"/>
        <w:bottom w:val="none" w:sz="0" w:space="0" w:color="auto"/>
        <w:right w:val="none" w:sz="0" w:space="0" w:color="auto"/>
      </w:divBdr>
    </w:div>
    <w:div w:id="1686595737">
      <w:bodyDiv w:val="1"/>
      <w:marLeft w:val="0"/>
      <w:marRight w:val="0"/>
      <w:marTop w:val="0"/>
      <w:marBottom w:val="0"/>
      <w:divBdr>
        <w:top w:val="none" w:sz="0" w:space="0" w:color="auto"/>
        <w:left w:val="none" w:sz="0" w:space="0" w:color="auto"/>
        <w:bottom w:val="none" w:sz="0" w:space="0" w:color="auto"/>
        <w:right w:val="none" w:sz="0" w:space="0" w:color="auto"/>
      </w:divBdr>
    </w:div>
    <w:div w:id="1686663588">
      <w:bodyDiv w:val="1"/>
      <w:marLeft w:val="0"/>
      <w:marRight w:val="0"/>
      <w:marTop w:val="0"/>
      <w:marBottom w:val="0"/>
      <w:divBdr>
        <w:top w:val="none" w:sz="0" w:space="0" w:color="auto"/>
        <w:left w:val="none" w:sz="0" w:space="0" w:color="auto"/>
        <w:bottom w:val="none" w:sz="0" w:space="0" w:color="auto"/>
        <w:right w:val="none" w:sz="0" w:space="0" w:color="auto"/>
      </w:divBdr>
    </w:div>
    <w:div w:id="1686712615">
      <w:bodyDiv w:val="1"/>
      <w:marLeft w:val="0"/>
      <w:marRight w:val="0"/>
      <w:marTop w:val="0"/>
      <w:marBottom w:val="0"/>
      <w:divBdr>
        <w:top w:val="none" w:sz="0" w:space="0" w:color="auto"/>
        <w:left w:val="none" w:sz="0" w:space="0" w:color="auto"/>
        <w:bottom w:val="none" w:sz="0" w:space="0" w:color="auto"/>
        <w:right w:val="none" w:sz="0" w:space="0" w:color="auto"/>
      </w:divBdr>
    </w:div>
    <w:div w:id="1686785112">
      <w:bodyDiv w:val="1"/>
      <w:marLeft w:val="0"/>
      <w:marRight w:val="0"/>
      <w:marTop w:val="0"/>
      <w:marBottom w:val="0"/>
      <w:divBdr>
        <w:top w:val="none" w:sz="0" w:space="0" w:color="auto"/>
        <w:left w:val="none" w:sz="0" w:space="0" w:color="auto"/>
        <w:bottom w:val="none" w:sz="0" w:space="0" w:color="auto"/>
        <w:right w:val="none" w:sz="0" w:space="0" w:color="auto"/>
      </w:divBdr>
    </w:div>
    <w:div w:id="1686978503">
      <w:bodyDiv w:val="1"/>
      <w:marLeft w:val="0"/>
      <w:marRight w:val="0"/>
      <w:marTop w:val="0"/>
      <w:marBottom w:val="0"/>
      <w:divBdr>
        <w:top w:val="none" w:sz="0" w:space="0" w:color="auto"/>
        <w:left w:val="none" w:sz="0" w:space="0" w:color="auto"/>
        <w:bottom w:val="none" w:sz="0" w:space="0" w:color="auto"/>
        <w:right w:val="none" w:sz="0" w:space="0" w:color="auto"/>
      </w:divBdr>
    </w:div>
    <w:div w:id="1686978896">
      <w:bodyDiv w:val="1"/>
      <w:marLeft w:val="0"/>
      <w:marRight w:val="0"/>
      <w:marTop w:val="0"/>
      <w:marBottom w:val="0"/>
      <w:divBdr>
        <w:top w:val="none" w:sz="0" w:space="0" w:color="auto"/>
        <w:left w:val="none" w:sz="0" w:space="0" w:color="auto"/>
        <w:bottom w:val="none" w:sz="0" w:space="0" w:color="auto"/>
        <w:right w:val="none" w:sz="0" w:space="0" w:color="auto"/>
      </w:divBdr>
    </w:div>
    <w:div w:id="1686982184">
      <w:bodyDiv w:val="1"/>
      <w:marLeft w:val="0"/>
      <w:marRight w:val="0"/>
      <w:marTop w:val="0"/>
      <w:marBottom w:val="0"/>
      <w:divBdr>
        <w:top w:val="none" w:sz="0" w:space="0" w:color="auto"/>
        <w:left w:val="none" w:sz="0" w:space="0" w:color="auto"/>
        <w:bottom w:val="none" w:sz="0" w:space="0" w:color="auto"/>
        <w:right w:val="none" w:sz="0" w:space="0" w:color="auto"/>
      </w:divBdr>
    </w:div>
    <w:div w:id="1687051405">
      <w:bodyDiv w:val="1"/>
      <w:marLeft w:val="0"/>
      <w:marRight w:val="0"/>
      <w:marTop w:val="0"/>
      <w:marBottom w:val="0"/>
      <w:divBdr>
        <w:top w:val="none" w:sz="0" w:space="0" w:color="auto"/>
        <w:left w:val="none" w:sz="0" w:space="0" w:color="auto"/>
        <w:bottom w:val="none" w:sz="0" w:space="0" w:color="auto"/>
        <w:right w:val="none" w:sz="0" w:space="0" w:color="auto"/>
      </w:divBdr>
    </w:div>
    <w:div w:id="1687058201">
      <w:bodyDiv w:val="1"/>
      <w:marLeft w:val="0"/>
      <w:marRight w:val="0"/>
      <w:marTop w:val="0"/>
      <w:marBottom w:val="0"/>
      <w:divBdr>
        <w:top w:val="none" w:sz="0" w:space="0" w:color="auto"/>
        <w:left w:val="none" w:sz="0" w:space="0" w:color="auto"/>
        <w:bottom w:val="none" w:sz="0" w:space="0" w:color="auto"/>
        <w:right w:val="none" w:sz="0" w:space="0" w:color="auto"/>
      </w:divBdr>
    </w:div>
    <w:div w:id="1687175678">
      <w:bodyDiv w:val="1"/>
      <w:marLeft w:val="0"/>
      <w:marRight w:val="0"/>
      <w:marTop w:val="0"/>
      <w:marBottom w:val="0"/>
      <w:divBdr>
        <w:top w:val="none" w:sz="0" w:space="0" w:color="auto"/>
        <w:left w:val="none" w:sz="0" w:space="0" w:color="auto"/>
        <w:bottom w:val="none" w:sz="0" w:space="0" w:color="auto"/>
        <w:right w:val="none" w:sz="0" w:space="0" w:color="auto"/>
      </w:divBdr>
    </w:div>
    <w:div w:id="1687294530">
      <w:bodyDiv w:val="1"/>
      <w:marLeft w:val="0"/>
      <w:marRight w:val="0"/>
      <w:marTop w:val="0"/>
      <w:marBottom w:val="0"/>
      <w:divBdr>
        <w:top w:val="none" w:sz="0" w:space="0" w:color="auto"/>
        <w:left w:val="none" w:sz="0" w:space="0" w:color="auto"/>
        <w:bottom w:val="none" w:sz="0" w:space="0" w:color="auto"/>
        <w:right w:val="none" w:sz="0" w:space="0" w:color="auto"/>
      </w:divBdr>
    </w:div>
    <w:div w:id="1687436257">
      <w:bodyDiv w:val="1"/>
      <w:marLeft w:val="0"/>
      <w:marRight w:val="0"/>
      <w:marTop w:val="0"/>
      <w:marBottom w:val="0"/>
      <w:divBdr>
        <w:top w:val="none" w:sz="0" w:space="0" w:color="auto"/>
        <w:left w:val="none" w:sz="0" w:space="0" w:color="auto"/>
        <w:bottom w:val="none" w:sz="0" w:space="0" w:color="auto"/>
        <w:right w:val="none" w:sz="0" w:space="0" w:color="auto"/>
      </w:divBdr>
    </w:div>
    <w:div w:id="1687442129">
      <w:bodyDiv w:val="1"/>
      <w:marLeft w:val="0"/>
      <w:marRight w:val="0"/>
      <w:marTop w:val="0"/>
      <w:marBottom w:val="0"/>
      <w:divBdr>
        <w:top w:val="none" w:sz="0" w:space="0" w:color="auto"/>
        <w:left w:val="none" w:sz="0" w:space="0" w:color="auto"/>
        <w:bottom w:val="none" w:sz="0" w:space="0" w:color="auto"/>
        <w:right w:val="none" w:sz="0" w:space="0" w:color="auto"/>
      </w:divBdr>
    </w:div>
    <w:div w:id="1687515038">
      <w:bodyDiv w:val="1"/>
      <w:marLeft w:val="0"/>
      <w:marRight w:val="0"/>
      <w:marTop w:val="0"/>
      <w:marBottom w:val="0"/>
      <w:divBdr>
        <w:top w:val="none" w:sz="0" w:space="0" w:color="auto"/>
        <w:left w:val="none" w:sz="0" w:space="0" w:color="auto"/>
        <w:bottom w:val="none" w:sz="0" w:space="0" w:color="auto"/>
        <w:right w:val="none" w:sz="0" w:space="0" w:color="auto"/>
      </w:divBdr>
    </w:div>
    <w:div w:id="1687517950">
      <w:bodyDiv w:val="1"/>
      <w:marLeft w:val="0"/>
      <w:marRight w:val="0"/>
      <w:marTop w:val="0"/>
      <w:marBottom w:val="0"/>
      <w:divBdr>
        <w:top w:val="none" w:sz="0" w:space="0" w:color="auto"/>
        <w:left w:val="none" w:sz="0" w:space="0" w:color="auto"/>
        <w:bottom w:val="none" w:sz="0" w:space="0" w:color="auto"/>
        <w:right w:val="none" w:sz="0" w:space="0" w:color="auto"/>
      </w:divBdr>
    </w:div>
    <w:div w:id="1687556758">
      <w:bodyDiv w:val="1"/>
      <w:marLeft w:val="0"/>
      <w:marRight w:val="0"/>
      <w:marTop w:val="0"/>
      <w:marBottom w:val="0"/>
      <w:divBdr>
        <w:top w:val="none" w:sz="0" w:space="0" w:color="auto"/>
        <w:left w:val="none" w:sz="0" w:space="0" w:color="auto"/>
        <w:bottom w:val="none" w:sz="0" w:space="0" w:color="auto"/>
        <w:right w:val="none" w:sz="0" w:space="0" w:color="auto"/>
      </w:divBdr>
    </w:div>
    <w:div w:id="1687561694">
      <w:bodyDiv w:val="1"/>
      <w:marLeft w:val="0"/>
      <w:marRight w:val="0"/>
      <w:marTop w:val="0"/>
      <w:marBottom w:val="0"/>
      <w:divBdr>
        <w:top w:val="none" w:sz="0" w:space="0" w:color="auto"/>
        <w:left w:val="none" w:sz="0" w:space="0" w:color="auto"/>
        <w:bottom w:val="none" w:sz="0" w:space="0" w:color="auto"/>
        <w:right w:val="none" w:sz="0" w:space="0" w:color="auto"/>
      </w:divBdr>
    </w:div>
    <w:div w:id="1687631539">
      <w:bodyDiv w:val="1"/>
      <w:marLeft w:val="0"/>
      <w:marRight w:val="0"/>
      <w:marTop w:val="0"/>
      <w:marBottom w:val="0"/>
      <w:divBdr>
        <w:top w:val="none" w:sz="0" w:space="0" w:color="auto"/>
        <w:left w:val="none" w:sz="0" w:space="0" w:color="auto"/>
        <w:bottom w:val="none" w:sz="0" w:space="0" w:color="auto"/>
        <w:right w:val="none" w:sz="0" w:space="0" w:color="auto"/>
      </w:divBdr>
    </w:div>
    <w:div w:id="1687635228">
      <w:bodyDiv w:val="1"/>
      <w:marLeft w:val="0"/>
      <w:marRight w:val="0"/>
      <w:marTop w:val="0"/>
      <w:marBottom w:val="0"/>
      <w:divBdr>
        <w:top w:val="none" w:sz="0" w:space="0" w:color="auto"/>
        <w:left w:val="none" w:sz="0" w:space="0" w:color="auto"/>
        <w:bottom w:val="none" w:sz="0" w:space="0" w:color="auto"/>
        <w:right w:val="none" w:sz="0" w:space="0" w:color="auto"/>
      </w:divBdr>
    </w:div>
    <w:div w:id="1687635825">
      <w:bodyDiv w:val="1"/>
      <w:marLeft w:val="0"/>
      <w:marRight w:val="0"/>
      <w:marTop w:val="0"/>
      <w:marBottom w:val="0"/>
      <w:divBdr>
        <w:top w:val="none" w:sz="0" w:space="0" w:color="auto"/>
        <w:left w:val="none" w:sz="0" w:space="0" w:color="auto"/>
        <w:bottom w:val="none" w:sz="0" w:space="0" w:color="auto"/>
        <w:right w:val="none" w:sz="0" w:space="0" w:color="auto"/>
      </w:divBdr>
    </w:div>
    <w:div w:id="1687712995">
      <w:bodyDiv w:val="1"/>
      <w:marLeft w:val="0"/>
      <w:marRight w:val="0"/>
      <w:marTop w:val="0"/>
      <w:marBottom w:val="0"/>
      <w:divBdr>
        <w:top w:val="none" w:sz="0" w:space="0" w:color="auto"/>
        <w:left w:val="none" w:sz="0" w:space="0" w:color="auto"/>
        <w:bottom w:val="none" w:sz="0" w:space="0" w:color="auto"/>
        <w:right w:val="none" w:sz="0" w:space="0" w:color="auto"/>
      </w:divBdr>
    </w:div>
    <w:div w:id="1688021133">
      <w:bodyDiv w:val="1"/>
      <w:marLeft w:val="0"/>
      <w:marRight w:val="0"/>
      <w:marTop w:val="0"/>
      <w:marBottom w:val="0"/>
      <w:divBdr>
        <w:top w:val="none" w:sz="0" w:space="0" w:color="auto"/>
        <w:left w:val="none" w:sz="0" w:space="0" w:color="auto"/>
        <w:bottom w:val="none" w:sz="0" w:space="0" w:color="auto"/>
        <w:right w:val="none" w:sz="0" w:space="0" w:color="auto"/>
      </w:divBdr>
    </w:div>
    <w:div w:id="1688168158">
      <w:bodyDiv w:val="1"/>
      <w:marLeft w:val="0"/>
      <w:marRight w:val="0"/>
      <w:marTop w:val="0"/>
      <w:marBottom w:val="0"/>
      <w:divBdr>
        <w:top w:val="none" w:sz="0" w:space="0" w:color="auto"/>
        <w:left w:val="none" w:sz="0" w:space="0" w:color="auto"/>
        <w:bottom w:val="none" w:sz="0" w:space="0" w:color="auto"/>
        <w:right w:val="none" w:sz="0" w:space="0" w:color="auto"/>
      </w:divBdr>
    </w:div>
    <w:div w:id="1688171633">
      <w:bodyDiv w:val="1"/>
      <w:marLeft w:val="0"/>
      <w:marRight w:val="0"/>
      <w:marTop w:val="0"/>
      <w:marBottom w:val="0"/>
      <w:divBdr>
        <w:top w:val="none" w:sz="0" w:space="0" w:color="auto"/>
        <w:left w:val="none" w:sz="0" w:space="0" w:color="auto"/>
        <w:bottom w:val="none" w:sz="0" w:space="0" w:color="auto"/>
        <w:right w:val="none" w:sz="0" w:space="0" w:color="auto"/>
      </w:divBdr>
    </w:div>
    <w:div w:id="1688285960">
      <w:bodyDiv w:val="1"/>
      <w:marLeft w:val="0"/>
      <w:marRight w:val="0"/>
      <w:marTop w:val="0"/>
      <w:marBottom w:val="0"/>
      <w:divBdr>
        <w:top w:val="none" w:sz="0" w:space="0" w:color="auto"/>
        <w:left w:val="none" w:sz="0" w:space="0" w:color="auto"/>
        <w:bottom w:val="none" w:sz="0" w:space="0" w:color="auto"/>
        <w:right w:val="none" w:sz="0" w:space="0" w:color="auto"/>
      </w:divBdr>
    </w:div>
    <w:div w:id="1688291310">
      <w:bodyDiv w:val="1"/>
      <w:marLeft w:val="0"/>
      <w:marRight w:val="0"/>
      <w:marTop w:val="0"/>
      <w:marBottom w:val="0"/>
      <w:divBdr>
        <w:top w:val="none" w:sz="0" w:space="0" w:color="auto"/>
        <w:left w:val="none" w:sz="0" w:space="0" w:color="auto"/>
        <w:bottom w:val="none" w:sz="0" w:space="0" w:color="auto"/>
        <w:right w:val="none" w:sz="0" w:space="0" w:color="auto"/>
      </w:divBdr>
    </w:div>
    <w:div w:id="1688292361">
      <w:bodyDiv w:val="1"/>
      <w:marLeft w:val="0"/>
      <w:marRight w:val="0"/>
      <w:marTop w:val="0"/>
      <w:marBottom w:val="0"/>
      <w:divBdr>
        <w:top w:val="none" w:sz="0" w:space="0" w:color="auto"/>
        <w:left w:val="none" w:sz="0" w:space="0" w:color="auto"/>
        <w:bottom w:val="none" w:sz="0" w:space="0" w:color="auto"/>
        <w:right w:val="none" w:sz="0" w:space="0" w:color="auto"/>
      </w:divBdr>
    </w:div>
    <w:div w:id="1688292592">
      <w:bodyDiv w:val="1"/>
      <w:marLeft w:val="0"/>
      <w:marRight w:val="0"/>
      <w:marTop w:val="0"/>
      <w:marBottom w:val="0"/>
      <w:divBdr>
        <w:top w:val="none" w:sz="0" w:space="0" w:color="auto"/>
        <w:left w:val="none" w:sz="0" w:space="0" w:color="auto"/>
        <w:bottom w:val="none" w:sz="0" w:space="0" w:color="auto"/>
        <w:right w:val="none" w:sz="0" w:space="0" w:color="auto"/>
      </w:divBdr>
    </w:div>
    <w:div w:id="1688749878">
      <w:bodyDiv w:val="1"/>
      <w:marLeft w:val="0"/>
      <w:marRight w:val="0"/>
      <w:marTop w:val="0"/>
      <w:marBottom w:val="0"/>
      <w:divBdr>
        <w:top w:val="none" w:sz="0" w:space="0" w:color="auto"/>
        <w:left w:val="none" w:sz="0" w:space="0" w:color="auto"/>
        <w:bottom w:val="none" w:sz="0" w:space="0" w:color="auto"/>
        <w:right w:val="none" w:sz="0" w:space="0" w:color="auto"/>
      </w:divBdr>
    </w:div>
    <w:div w:id="1688798615">
      <w:bodyDiv w:val="1"/>
      <w:marLeft w:val="0"/>
      <w:marRight w:val="0"/>
      <w:marTop w:val="0"/>
      <w:marBottom w:val="0"/>
      <w:divBdr>
        <w:top w:val="none" w:sz="0" w:space="0" w:color="auto"/>
        <w:left w:val="none" w:sz="0" w:space="0" w:color="auto"/>
        <w:bottom w:val="none" w:sz="0" w:space="0" w:color="auto"/>
        <w:right w:val="none" w:sz="0" w:space="0" w:color="auto"/>
      </w:divBdr>
    </w:div>
    <w:div w:id="1688822389">
      <w:bodyDiv w:val="1"/>
      <w:marLeft w:val="0"/>
      <w:marRight w:val="0"/>
      <w:marTop w:val="0"/>
      <w:marBottom w:val="0"/>
      <w:divBdr>
        <w:top w:val="none" w:sz="0" w:space="0" w:color="auto"/>
        <w:left w:val="none" w:sz="0" w:space="0" w:color="auto"/>
        <w:bottom w:val="none" w:sz="0" w:space="0" w:color="auto"/>
        <w:right w:val="none" w:sz="0" w:space="0" w:color="auto"/>
      </w:divBdr>
    </w:div>
    <w:div w:id="1689061212">
      <w:bodyDiv w:val="1"/>
      <w:marLeft w:val="0"/>
      <w:marRight w:val="0"/>
      <w:marTop w:val="0"/>
      <w:marBottom w:val="0"/>
      <w:divBdr>
        <w:top w:val="none" w:sz="0" w:space="0" w:color="auto"/>
        <w:left w:val="none" w:sz="0" w:space="0" w:color="auto"/>
        <w:bottom w:val="none" w:sz="0" w:space="0" w:color="auto"/>
        <w:right w:val="none" w:sz="0" w:space="0" w:color="auto"/>
      </w:divBdr>
    </w:div>
    <w:div w:id="1689091799">
      <w:bodyDiv w:val="1"/>
      <w:marLeft w:val="0"/>
      <w:marRight w:val="0"/>
      <w:marTop w:val="0"/>
      <w:marBottom w:val="0"/>
      <w:divBdr>
        <w:top w:val="none" w:sz="0" w:space="0" w:color="auto"/>
        <w:left w:val="none" w:sz="0" w:space="0" w:color="auto"/>
        <w:bottom w:val="none" w:sz="0" w:space="0" w:color="auto"/>
        <w:right w:val="none" w:sz="0" w:space="0" w:color="auto"/>
      </w:divBdr>
    </w:div>
    <w:div w:id="1689137909">
      <w:bodyDiv w:val="1"/>
      <w:marLeft w:val="0"/>
      <w:marRight w:val="0"/>
      <w:marTop w:val="0"/>
      <w:marBottom w:val="0"/>
      <w:divBdr>
        <w:top w:val="none" w:sz="0" w:space="0" w:color="auto"/>
        <w:left w:val="none" w:sz="0" w:space="0" w:color="auto"/>
        <w:bottom w:val="none" w:sz="0" w:space="0" w:color="auto"/>
        <w:right w:val="none" w:sz="0" w:space="0" w:color="auto"/>
      </w:divBdr>
    </w:div>
    <w:div w:id="1689214299">
      <w:bodyDiv w:val="1"/>
      <w:marLeft w:val="0"/>
      <w:marRight w:val="0"/>
      <w:marTop w:val="0"/>
      <w:marBottom w:val="0"/>
      <w:divBdr>
        <w:top w:val="none" w:sz="0" w:space="0" w:color="auto"/>
        <w:left w:val="none" w:sz="0" w:space="0" w:color="auto"/>
        <w:bottom w:val="none" w:sz="0" w:space="0" w:color="auto"/>
        <w:right w:val="none" w:sz="0" w:space="0" w:color="auto"/>
      </w:divBdr>
    </w:div>
    <w:div w:id="1689256287">
      <w:bodyDiv w:val="1"/>
      <w:marLeft w:val="0"/>
      <w:marRight w:val="0"/>
      <w:marTop w:val="0"/>
      <w:marBottom w:val="0"/>
      <w:divBdr>
        <w:top w:val="none" w:sz="0" w:space="0" w:color="auto"/>
        <w:left w:val="none" w:sz="0" w:space="0" w:color="auto"/>
        <w:bottom w:val="none" w:sz="0" w:space="0" w:color="auto"/>
        <w:right w:val="none" w:sz="0" w:space="0" w:color="auto"/>
      </w:divBdr>
    </w:div>
    <w:div w:id="1689331551">
      <w:bodyDiv w:val="1"/>
      <w:marLeft w:val="0"/>
      <w:marRight w:val="0"/>
      <w:marTop w:val="0"/>
      <w:marBottom w:val="0"/>
      <w:divBdr>
        <w:top w:val="none" w:sz="0" w:space="0" w:color="auto"/>
        <w:left w:val="none" w:sz="0" w:space="0" w:color="auto"/>
        <w:bottom w:val="none" w:sz="0" w:space="0" w:color="auto"/>
        <w:right w:val="none" w:sz="0" w:space="0" w:color="auto"/>
      </w:divBdr>
    </w:div>
    <w:div w:id="1689406675">
      <w:bodyDiv w:val="1"/>
      <w:marLeft w:val="0"/>
      <w:marRight w:val="0"/>
      <w:marTop w:val="0"/>
      <w:marBottom w:val="0"/>
      <w:divBdr>
        <w:top w:val="none" w:sz="0" w:space="0" w:color="auto"/>
        <w:left w:val="none" w:sz="0" w:space="0" w:color="auto"/>
        <w:bottom w:val="none" w:sz="0" w:space="0" w:color="auto"/>
        <w:right w:val="none" w:sz="0" w:space="0" w:color="auto"/>
      </w:divBdr>
    </w:div>
    <w:div w:id="1689406951">
      <w:bodyDiv w:val="1"/>
      <w:marLeft w:val="0"/>
      <w:marRight w:val="0"/>
      <w:marTop w:val="0"/>
      <w:marBottom w:val="0"/>
      <w:divBdr>
        <w:top w:val="none" w:sz="0" w:space="0" w:color="auto"/>
        <w:left w:val="none" w:sz="0" w:space="0" w:color="auto"/>
        <w:bottom w:val="none" w:sz="0" w:space="0" w:color="auto"/>
        <w:right w:val="none" w:sz="0" w:space="0" w:color="auto"/>
      </w:divBdr>
    </w:div>
    <w:div w:id="1689410918">
      <w:bodyDiv w:val="1"/>
      <w:marLeft w:val="0"/>
      <w:marRight w:val="0"/>
      <w:marTop w:val="0"/>
      <w:marBottom w:val="0"/>
      <w:divBdr>
        <w:top w:val="none" w:sz="0" w:space="0" w:color="auto"/>
        <w:left w:val="none" w:sz="0" w:space="0" w:color="auto"/>
        <w:bottom w:val="none" w:sz="0" w:space="0" w:color="auto"/>
        <w:right w:val="none" w:sz="0" w:space="0" w:color="auto"/>
      </w:divBdr>
    </w:div>
    <w:div w:id="1689484639">
      <w:bodyDiv w:val="1"/>
      <w:marLeft w:val="0"/>
      <w:marRight w:val="0"/>
      <w:marTop w:val="0"/>
      <w:marBottom w:val="0"/>
      <w:divBdr>
        <w:top w:val="none" w:sz="0" w:space="0" w:color="auto"/>
        <w:left w:val="none" w:sz="0" w:space="0" w:color="auto"/>
        <w:bottom w:val="none" w:sz="0" w:space="0" w:color="auto"/>
        <w:right w:val="none" w:sz="0" w:space="0" w:color="auto"/>
      </w:divBdr>
    </w:div>
    <w:div w:id="1689521973">
      <w:bodyDiv w:val="1"/>
      <w:marLeft w:val="0"/>
      <w:marRight w:val="0"/>
      <w:marTop w:val="0"/>
      <w:marBottom w:val="0"/>
      <w:divBdr>
        <w:top w:val="none" w:sz="0" w:space="0" w:color="auto"/>
        <w:left w:val="none" w:sz="0" w:space="0" w:color="auto"/>
        <w:bottom w:val="none" w:sz="0" w:space="0" w:color="auto"/>
        <w:right w:val="none" w:sz="0" w:space="0" w:color="auto"/>
      </w:divBdr>
    </w:div>
    <w:div w:id="1689598115">
      <w:bodyDiv w:val="1"/>
      <w:marLeft w:val="0"/>
      <w:marRight w:val="0"/>
      <w:marTop w:val="0"/>
      <w:marBottom w:val="0"/>
      <w:divBdr>
        <w:top w:val="none" w:sz="0" w:space="0" w:color="auto"/>
        <w:left w:val="none" w:sz="0" w:space="0" w:color="auto"/>
        <w:bottom w:val="none" w:sz="0" w:space="0" w:color="auto"/>
        <w:right w:val="none" w:sz="0" w:space="0" w:color="auto"/>
      </w:divBdr>
    </w:div>
    <w:div w:id="1689718134">
      <w:bodyDiv w:val="1"/>
      <w:marLeft w:val="0"/>
      <w:marRight w:val="0"/>
      <w:marTop w:val="0"/>
      <w:marBottom w:val="0"/>
      <w:divBdr>
        <w:top w:val="none" w:sz="0" w:space="0" w:color="auto"/>
        <w:left w:val="none" w:sz="0" w:space="0" w:color="auto"/>
        <w:bottom w:val="none" w:sz="0" w:space="0" w:color="auto"/>
        <w:right w:val="none" w:sz="0" w:space="0" w:color="auto"/>
      </w:divBdr>
    </w:div>
    <w:div w:id="1689746916">
      <w:bodyDiv w:val="1"/>
      <w:marLeft w:val="0"/>
      <w:marRight w:val="0"/>
      <w:marTop w:val="0"/>
      <w:marBottom w:val="0"/>
      <w:divBdr>
        <w:top w:val="none" w:sz="0" w:space="0" w:color="auto"/>
        <w:left w:val="none" w:sz="0" w:space="0" w:color="auto"/>
        <w:bottom w:val="none" w:sz="0" w:space="0" w:color="auto"/>
        <w:right w:val="none" w:sz="0" w:space="0" w:color="auto"/>
      </w:divBdr>
    </w:div>
    <w:div w:id="1689791074">
      <w:bodyDiv w:val="1"/>
      <w:marLeft w:val="0"/>
      <w:marRight w:val="0"/>
      <w:marTop w:val="0"/>
      <w:marBottom w:val="0"/>
      <w:divBdr>
        <w:top w:val="none" w:sz="0" w:space="0" w:color="auto"/>
        <w:left w:val="none" w:sz="0" w:space="0" w:color="auto"/>
        <w:bottom w:val="none" w:sz="0" w:space="0" w:color="auto"/>
        <w:right w:val="none" w:sz="0" w:space="0" w:color="auto"/>
      </w:divBdr>
    </w:div>
    <w:div w:id="1689913220">
      <w:bodyDiv w:val="1"/>
      <w:marLeft w:val="0"/>
      <w:marRight w:val="0"/>
      <w:marTop w:val="0"/>
      <w:marBottom w:val="0"/>
      <w:divBdr>
        <w:top w:val="none" w:sz="0" w:space="0" w:color="auto"/>
        <w:left w:val="none" w:sz="0" w:space="0" w:color="auto"/>
        <w:bottom w:val="none" w:sz="0" w:space="0" w:color="auto"/>
        <w:right w:val="none" w:sz="0" w:space="0" w:color="auto"/>
      </w:divBdr>
    </w:div>
    <w:div w:id="1689989991">
      <w:bodyDiv w:val="1"/>
      <w:marLeft w:val="0"/>
      <w:marRight w:val="0"/>
      <w:marTop w:val="0"/>
      <w:marBottom w:val="0"/>
      <w:divBdr>
        <w:top w:val="none" w:sz="0" w:space="0" w:color="auto"/>
        <w:left w:val="none" w:sz="0" w:space="0" w:color="auto"/>
        <w:bottom w:val="none" w:sz="0" w:space="0" w:color="auto"/>
        <w:right w:val="none" w:sz="0" w:space="0" w:color="auto"/>
      </w:divBdr>
    </w:div>
    <w:div w:id="1690060418">
      <w:bodyDiv w:val="1"/>
      <w:marLeft w:val="0"/>
      <w:marRight w:val="0"/>
      <w:marTop w:val="0"/>
      <w:marBottom w:val="0"/>
      <w:divBdr>
        <w:top w:val="none" w:sz="0" w:space="0" w:color="auto"/>
        <w:left w:val="none" w:sz="0" w:space="0" w:color="auto"/>
        <w:bottom w:val="none" w:sz="0" w:space="0" w:color="auto"/>
        <w:right w:val="none" w:sz="0" w:space="0" w:color="auto"/>
      </w:divBdr>
    </w:div>
    <w:div w:id="1690133984">
      <w:bodyDiv w:val="1"/>
      <w:marLeft w:val="0"/>
      <w:marRight w:val="0"/>
      <w:marTop w:val="0"/>
      <w:marBottom w:val="0"/>
      <w:divBdr>
        <w:top w:val="none" w:sz="0" w:space="0" w:color="auto"/>
        <w:left w:val="none" w:sz="0" w:space="0" w:color="auto"/>
        <w:bottom w:val="none" w:sz="0" w:space="0" w:color="auto"/>
        <w:right w:val="none" w:sz="0" w:space="0" w:color="auto"/>
      </w:divBdr>
    </w:div>
    <w:div w:id="1690525269">
      <w:bodyDiv w:val="1"/>
      <w:marLeft w:val="0"/>
      <w:marRight w:val="0"/>
      <w:marTop w:val="0"/>
      <w:marBottom w:val="0"/>
      <w:divBdr>
        <w:top w:val="none" w:sz="0" w:space="0" w:color="auto"/>
        <w:left w:val="none" w:sz="0" w:space="0" w:color="auto"/>
        <w:bottom w:val="none" w:sz="0" w:space="0" w:color="auto"/>
        <w:right w:val="none" w:sz="0" w:space="0" w:color="auto"/>
      </w:divBdr>
    </w:div>
    <w:div w:id="1690596691">
      <w:bodyDiv w:val="1"/>
      <w:marLeft w:val="0"/>
      <w:marRight w:val="0"/>
      <w:marTop w:val="0"/>
      <w:marBottom w:val="0"/>
      <w:divBdr>
        <w:top w:val="none" w:sz="0" w:space="0" w:color="auto"/>
        <w:left w:val="none" w:sz="0" w:space="0" w:color="auto"/>
        <w:bottom w:val="none" w:sz="0" w:space="0" w:color="auto"/>
        <w:right w:val="none" w:sz="0" w:space="0" w:color="auto"/>
      </w:divBdr>
    </w:div>
    <w:div w:id="1690598879">
      <w:bodyDiv w:val="1"/>
      <w:marLeft w:val="0"/>
      <w:marRight w:val="0"/>
      <w:marTop w:val="0"/>
      <w:marBottom w:val="0"/>
      <w:divBdr>
        <w:top w:val="none" w:sz="0" w:space="0" w:color="auto"/>
        <w:left w:val="none" w:sz="0" w:space="0" w:color="auto"/>
        <w:bottom w:val="none" w:sz="0" w:space="0" w:color="auto"/>
        <w:right w:val="none" w:sz="0" w:space="0" w:color="auto"/>
      </w:divBdr>
    </w:div>
    <w:div w:id="1690642923">
      <w:bodyDiv w:val="1"/>
      <w:marLeft w:val="0"/>
      <w:marRight w:val="0"/>
      <w:marTop w:val="0"/>
      <w:marBottom w:val="0"/>
      <w:divBdr>
        <w:top w:val="none" w:sz="0" w:space="0" w:color="auto"/>
        <w:left w:val="none" w:sz="0" w:space="0" w:color="auto"/>
        <w:bottom w:val="none" w:sz="0" w:space="0" w:color="auto"/>
        <w:right w:val="none" w:sz="0" w:space="0" w:color="auto"/>
      </w:divBdr>
    </w:div>
    <w:div w:id="1690712935">
      <w:bodyDiv w:val="1"/>
      <w:marLeft w:val="0"/>
      <w:marRight w:val="0"/>
      <w:marTop w:val="0"/>
      <w:marBottom w:val="0"/>
      <w:divBdr>
        <w:top w:val="none" w:sz="0" w:space="0" w:color="auto"/>
        <w:left w:val="none" w:sz="0" w:space="0" w:color="auto"/>
        <w:bottom w:val="none" w:sz="0" w:space="0" w:color="auto"/>
        <w:right w:val="none" w:sz="0" w:space="0" w:color="auto"/>
      </w:divBdr>
    </w:div>
    <w:div w:id="1690982782">
      <w:bodyDiv w:val="1"/>
      <w:marLeft w:val="0"/>
      <w:marRight w:val="0"/>
      <w:marTop w:val="0"/>
      <w:marBottom w:val="0"/>
      <w:divBdr>
        <w:top w:val="none" w:sz="0" w:space="0" w:color="auto"/>
        <w:left w:val="none" w:sz="0" w:space="0" w:color="auto"/>
        <w:bottom w:val="none" w:sz="0" w:space="0" w:color="auto"/>
        <w:right w:val="none" w:sz="0" w:space="0" w:color="auto"/>
      </w:divBdr>
    </w:div>
    <w:div w:id="1690989898">
      <w:bodyDiv w:val="1"/>
      <w:marLeft w:val="0"/>
      <w:marRight w:val="0"/>
      <w:marTop w:val="0"/>
      <w:marBottom w:val="0"/>
      <w:divBdr>
        <w:top w:val="none" w:sz="0" w:space="0" w:color="auto"/>
        <w:left w:val="none" w:sz="0" w:space="0" w:color="auto"/>
        <w:bottom w:val="none" w:sz="0" w:space="0" w:color="auto"/>
        <w:right w:val="none" w:sz="0" w:space="0" w:color="auto"/>
      </w:divBdr>
    </w:div>
    <w:div w:id="1691174930">
      <w:bodyDiv w:val="1"/>
      <w:marLeft w:val="0"/>
      <w:marRight w:val="0"/>
      <w:marTop w:val="0"/>
      <w:marBottom w:val="0"/>
      <w:divBdr>
        <w:top w:val="none" w:sz="0" w:space="0" w:color="auto"/>
        <w:left w:val="none" w:sz="0" w:space="0" w:color="auto"/>
        <w:bottom w:val="none" w:sz="0" w:space="0" w:color="auto"/>
        <w:right w:val="none" w:sz="0" w:space="0" w:color="auto"/>
      </w:divBdr>
    </w:div>
    <w:div w:id="1691293413">
      <w:bodyDiv w:val="1"/>
      <w:marLeft w:val="0"/>
      <w:marRight w:val="0"/>
      <w:marTop w:val="0"/>
      <w:marBottom w:val="0"/>
      <w:divBdr>
        <w:top w:val="none" w:sz="0" w:space="0" w:color="auto"/>
        <w:left w:val="none" w:sz="0" w:space="0" w:color="auto"/>
        <w:bottom w:val="none" w:sz="0" w:space="0" w:color="auto"/>
        <w:right w:val="none" w:sz="0" w:space="0" w:color="auto"/>
      </w:divBdr>
    </w:div>
    <w:div w:id="1691418791">
      <w:bodyDiv w:val="1"/>
      <w:marLeft w:val="0"/>
      <w:marRight w:val="0"/>
      <w:marTop w:val="0"/>
      <w:marBottom w:val="0"/>
      <w:divBdr>
        <w:top w:val="none" w:sz="0" w:space="0" w:color="auto"/>
        <w:left w:val="none" w:sz="0" w:space="0" w:color="auto"/>
        <w:bottom w:val="none" w:sz="0" w:space="0" w:color="auto"/>
        <w:right w:val="none" w:sz="0" w:space="0" w:color="auto"/>
      </w:divBdr>
    </w:div>
    <w:div w:id="1691450968">
      <w:bodyDiv w:val="1"/>
      <w:marLeft w:val="0"/>
      <w:marRight w:val="0"/>
      <w:marTop w:val="0"/>
      <w:marBottom w:val="0"/>
      <w:divBdr>
        <w:top w:val="none" w:sz="0" w:space="0" w:color="auto"/>
        <w:left w:val="none" w:sz="0" w:space="0" w:color="auto"/>
        <w:bottom w:val="none" w:sz="0" w:space="0" w:color="auto"/>
        <w:right w:val="none" w:sz="0" w:space="0" w:color="auto"/>
      </w:divBdr>
    </w:div>
    <w:div w:id="1691492716">
      <w:bodyDiv w:val="1"/>
      <w:marLeft w:val="0"/>
      <w:marRight w:val="0"/>
      <w:marTop w:val="0"/>
      <w:marBottom w:val="0"/>
      <w:divBdr>
        <w:top w:val="none" w:sz="0" w:space="0" w:color="auto"/>
        <w:left w:val="none" w:sz="0" w:space="0" w:color="auto"/>
        <w:bottom w:val="none" w:sz="0" w:space="0" w:color="auto"/>
        <w:right w:val="none" w:sz="0" w:space="0" w:color="auto"/>
      </w:divBdr>
    </w:div>
    <w:div w:id="1691687502">
      <w:bodyDiv w:val="1"/>
      <w:marLeft w:val="0"/>
      <w:marRight w:val="0"/>
      <w:marTop w:val="0"/>
      <w:marBottom w:val="0"/>
      <w:divBdr>
        <w:top w:val="none" w:sz="0" w:space="0" w:color="auto"/>
        <w:left w:val="none" w:sz="0" w:space="0" w:color="auto"/>
        <w:bottom w:val="none" w:sz="0" w:space="0" w:color="auto"/>
        <w:right w:val="none" w:sz="0" w:space="0" w:color="auto"/>
      </w:divBdr>
    </w:div>
    <w:div w:id="1691762948">
      <w:bodyDiv w:val="1"/>
      <w:marLeft w:val="0"/>
      <w:marRight w:val="0"/>
      <w:marTop w:val="0"/>
      <w:marBottom w:val="0"/>
      <w:divBdr>
        <w:top w:val="none" w:sz="0" w:space="0" w:color="auto"/>
        <w:left w:val="none" w:sz="0" w:space="0" w:color="auto"/>
        <w:bottom w:val="none" w:sz="0" w:space="0" w:color="auto"/>
        <w:right w:val="none" w:sz="0" w:space="0" w:color="auto"/>
      </w:divBdr>
    </w:div>
    <w:div w:id="1691881367">
      <w:bodyDiv w:val="1"/>
      <w:marLeft w:val="0"/>
      <w:marRight w:val="0"/>
      <w:marTop w:val="0"/>
      <w:marBottom w:val="0"/>
      <w:divBdr>
        <w:top w:val="none" w:sz="0" w:space="0" w:color="auto"/>
        <w:left w:val="none" w:sz="0" w:space="0" w:color="auto"/>
        <w:bottom w:val="none" w:sz="0" w:space="0" w:color="auto"/>
        <w:right w:val="none" w:sz="0" w:space="0" w:color="auto"/>
      </w:divBdr>
    </w:div>
    <w:div w:id="1691954428">
      <w:bodyDiv w:val="1"/>
      <w:marLeft w:val="0"/>
      <w:marRight w:val="0"/>
      <w:marTop w:val="0"/>
      <w:marBottom w:val="0"/>
      <w:divBdr>
        <w:top w:val="none" w:sz="0" w:space="0" w:color="auto"/>
        <w:left w:val="none" w:sz="0" w:space="0" w:color="auto"/>
        <w:bottom w:val="none" w:sz="0" w:space="0" w:color="auto"/>
        <w:right w:val="none" w:sz="0" w:space="0" w:color="auto"/>
      </w:divBdr>
    </w:div>
    <w:div w:id="1692025716">
      <w:bodyDiv w:val="1"/>
      <w:marLeft w:val="0"/>
      <w:marRight w:val="0"/>
      <w:marTop w:val="0"/>
      <w:marBottom w:val="0"/>
      <w:divBdr>
        <w:top w:val="none" w:sz="0" w:space="0" w:color="auto"/>
        <w:left w:val="none" w:sz="0" w:space="0" w:color="auto"/>
        <w:bottom w:val="none" w:sz="0" w:space="0" w:color="auto"/>
        <w:right w:val="none" w:sz="0" w:space="0" w:color="auto"/>
      </w:divBdr>
    </w:div>
    <w:div w:id="1692295908">
      <w:bodyDiv w:val="1"/>
      <w:marLeft w:val="0"/>
      <w:marRight w:val="0"/>
      <w:marTop w:val="0"/>
      <w:marBottom w:val="0"/>
      <w:divBdr>
        <w:top w:val="none" w:sz="0" w:space="0" w:color="auto"/>
        <w:left w:val="none" w:sz="0" w:space="0" w:color="auto"/>
        <w:bottom w:val="none" w:sz="0" w:space="0" w:color="auto"/>
        <w:right w:val="none" w:sz="0" w:space="0" w:color="auto"/>
      </w:divBdr>
    </w:div>
    <w:div w:id="1692492657">
      <w:bodyDiv w:val="1"/>
      <w:marLeft w:val="0"/>
      <w:marRight w:val="0"/>
      <w:marTop w:val="0"/>
      <w:marBottom w:val="0"/>
      <w:divBdr>
        <w:top w:val="none" w:sz="0" w:space="0" w:color="auto"/>
        <w:left w:val="none" w:sz="0" w:space="0" w:color="auto"/>
        <w:bottom w:val="none" w:sz="0" w:space="0" w:color="auto"/>
        <w:right w:val="none" w:sz="0" w:space="0" w:color="auto"/>
      </w:divBdr>
    </w:div>
    <w:div w:id="1692680272">
      <w:bodyDiv w:val="1"/>
      <w:marLeft w:val="0"/>
      <w:marRight w:val="0"/>
      <w:marTop w:val="0"/>
      <w:marBottom w:val="0"/>
      <w:divBdr>
        <w:top w:val="none" w:sz="0" w:space="0" w:color="auto"/>
        <w:left w:val="none" w:sz="0" w:space="0" w:color="auto"/>
        <w:bottom w:val="none" w:sz="0" w:space="0" w:color="auto"/>
        <w:right w:val="none" w:sz="0" w:space="0" w:color="auto"/>
      </w:divBdr>
    </w:div>
    <w:div w:id="1692683243">
      <w:bodyDiv w:val="1"/>
      <w:marLeft w:val="0"/>
      <w:marRight w:val="0"/>
      <w:marTop w:val="0"/>
      <w:marBottom w:val="0"/>
      <w:divBdr>
        <w:top w:val="none" w:sz="0" w:space="0" w:color="auto"/>
        <w:left w:val="none" w:sz="0" w:space="0" w:color="auto"/>
        <w:bottom w:val="none" w:sz="0" w:space="0" w:color="auto"/>
        <w:right w:val="none" w:sz="0" w:space="0" w:color="auto"/>
      </w:divBdr>
    </w:div>
    <w:div w:id="1692880826">
      <w:bodyDiv w:val="1"/>
      <w:marLeft w:val="0"/>
      <w:marRight w:val="0"/>
      <w:marTop w:val="0"/>
      <w:marBottom w:val="0"/>
      <w:divBdr>
        <w:top w:val="none" w:sz="0" w:space="0" w:color="auto"/>
        <w:left w:val="none" w:sz="0" w:space="0" w:color="auto"/>
        <w:bottom w:val="none" w:sz="0" w:space="0" w:color="auto"/>
        <w:right w:val="none" w:sz="0" w:space="0" w:color="auto"/>
      </w:divBdr>
    </w:div>
    <w:div w:id="1693142625">
      <w:bodyDiv w:val="1"/>
      <w:marLeft w:val="0"/>
      <w:marRight w:val="0"/>
      <w:marTop w:val="0"/>
      <w:marBottom w:val="0"/>
      <w:divBdr>
        <w:top w:val="none" w:sz="0" w:space="0" w:color="auto"/>
        <w:left w:val="none" w:sz="0" w:space="0" w:color="auto"/>
        <w:bottom w:val="none" w:sz="0" w:space="0" w:color="auto"/>
        <w:right w:val="none" w:sz="0" w:space="0" w:color="auto"/>
      </w:divBdr>
    </w:div>
    <w:div w:id="1693148110">
      <w:bodyDiv w:val="1"/>
      <w:marLeft w:val="0"/>
      <w:marRight w:val="0"/>
      <w:marTop w:val="0"/>
      <w:marBottom w:val="0"/>
      <w:divBdr>
        <w:top w:val="none" w:sz="0" w:space="0" w:color="auto"/>
        <w:left w:val="none" w:sz="0" w:space="0" w:color="auto"/>
        <w:bottom w:val="none" w:sz="0" w:space="0" w:color="auto"/>
        <w:right w:val="none" w:sz="0" w:space="0" w:color="auto"/>
      </w:divBdr>
    </w:div>
    <w:div w:id="1693190814">
      <w:bodyDiv w:val="1"/>
      <w:marLeft w:val="0"/>
      <w:marRight w:val="0"/>
      <w:marTop w:val="0"/>
      <w:marBottom w:val="0"/>
      <w:divBdr>
        <w:top w:val="none" w:sz="0" w:space="0" w:color="auto"/>
        <w:left w:val="none" w:sz="0" w:space="0" w:color="auto"/>
        <w:bottom w:val="none" w:sz="0" w:space="0" w:color="auto"/>
        <w:right w:val="none" w:sz="0" w:space="0" w:color="auto"/>
      </w:divBdr>
    </w:div>
    <w:div w:id="1693336619">
      <w:bodyDiv w:val="1"/>
      <w:marLeft w:val="0"/>
      <w:marRight w:val="0"/>
      <w:marTop w:val="0"/>
      <w:marBottom w:val="0"/>
      <w:divBdr>
        <w:top w:val="none" w:sz="0" w:space="0" w:color="auto"/>
        <w:left w:val="none" w:sz="0" w:space="0" w:color="auto"/>
        <w:bottom w:val="none" w:sz="0" w:space="0" w:color="auto"/>
        <w:right w:val="none" w:sz="0" w:space="0" w:color="auto"/>
      </w:divBdr>
    </w:div>
    <w:div w:id="1693409075">
      <w:bodyDiv w:val="1"/>
      <w:marLeft w:val="0"/>
      <w:marRight w:val="0"/>
      <w:marTop w:val="0"/>
      <w:marBottom w:val="0"/>
      <w:divBdr>
        <w:top w:val="none" w:sz="0" w:space="0" w:color="auto"/>
        <w:left w:val="none" w:sz="0" w:space="0" w:color="auto"/>
        <w:bottom w:val="none" w:sz="0" w:space="0" w:color="auto"/>
        <w:right w:val="none" w:sz="0" w:space="0" w:color="auto"/>
      </w:divBdr>
    </w:div>
    <w:div w:id="1693414790">
      <w:bodyDiv w:val="1"/>
      <w:marLeft w:val="0"/>
      <w:marRight w:val="0"/>
      <w:marTop w:val="0"/>
      <w:marBottom w:val="0"/>
      <w:divBdr>
        <w:top w:val="none" w:sz="0" w:space="0" w:color="auto"/>
        <w:left w:val="none" w:sz="0" w:space="0" w:color="auto"/>
        <w:bottom w:val="none" w:sz="0" w:space="0" w:color="auto"/>
        <w:right w:val="none" w:sz="0" w:space="0" w:color="auto"/>
      </w:divBdr>
    </w:div>
    <w:div w:id="1693416414">
      <w:bodyDiv w:val="1"/>
      <w:marLeft w:val="0"/>
      <w:marRight w:val="0"/>
      <w:marTop w:val="0"/>
      <w:marBottom w:val="0"/>
      <w:divBdr>
        <w:top w:val="none" w:sz="0" w:space="0" w:color="auto"/>
        <w:left w:val="none" w:sz="0" w:space="0" w:color="auto"/>
        <w:bottom w:val="none" w:sz="0" w:space="0" w:color="auto"/>
        <w:right w:val="none" w:sz="0" w:space="0" w:color="auto"/>
      </w:divBdr>
    </w:div>
    <w:div w:id="1693454664">
      <w:bodyDiv w:val="1"/>
      <w:marLeft w:val="0"/>
      <w:marRight w:val="0"/>
      <w:marTop w:val="0"/>
      <w:marBottom w:val="0"/>
      <w:divBdr>
        <w:top w:val="none" w:sz="0" w:space="0" w:color="auto"/>
        <w:left w:val="none" w:sz="0" w:space="0" w:color="auto"/>
        <w:bottom w:val="none" w:sz="0" w:space="0" w:color="auto"/>
        <w:right w:val="none" w:sz="0" w:space="0" w:color="auto"/>
      </w:divBdr>
    </w:div>
    <w:div w:id="1693526760">
      <w:bodyDiv w:val="1"/>
      <w:marLeft w:val="0"/>
      <w:marRight w:val="0"/>
      <w:marTop w:val="0"/>
      <w:marBottom w:val="0"/>
      <w:divBdr>
        <w:top w:val="none" w:sz="0" w:space="0" w:color="auto"/>
        <w:left w:val="none" w:sz="0" w:space="0" w:color="auto"/>
        <w:bottom w:val="none" w:sz="0" w:space="0" w:color="auto"/>
        <w:right w:val="none" w:sz="0" w:space="0" w:color="auto"/>
      </w:divBdr>
    </w:div>
    <w:div w:id="1693611683">
      <w:bodyDiv w:val="1"/>
      <w:marLeft w:val="0"/>
      <w:marRight w:val="0"/>
      <w:marTop w:val="0"/>
      <w:marBottom w:val="0"/>
      <w:divBdr>
        <w:top w:val="none" w:sz="0" w:space="0" w:color="auto"/>
        <w:left w:val="none" w:sz="0" w:space="0" w:color="auto"/>
        <w:bottom w:val="none" w:sz="0" w:space="0" w:color="auto"/>
        <w:right w:val="none" w:sz="0" w:space="0" w:color="auto"/>
      </w:divBdr>
    </w:div>
    <w:div w:id="1693651714">
      <w:bodyDiv w:val="1"/>
      <w:marLeft w:val="0"/>
      <w:marRight w:val="0"/>
      <w:marTop w:val="0"/>
      <w:marBottom w:val="0"/>
      <w:divBdr>
        <w:top w:val="none" w:sz="0" w:space="0" w:color="auto"/>
        <w:left w:val="none" w:sz="0" w:space="0" w:color="auto"/>
        <w:bottom w:val="none" w:sz="0" w:space="0" w:color="auto"/>
        <w:right w:val="none" w:sz="0" w:space="0" w:color="auto"/>
      </w:divBdr>
    </w:div>
    <w:div w:id="1694188942">
      <w:bodyDiv w:val="1"/>
      <w:marLeft w:val="0"/>
      <w:marRight w:val="0"/>
      <w:marTop w:val="0"/>
      <w:marBottom w:val="0"/>
      <w:divBdr>
        <w:top w:val="none" w:sz="0" w:space="0" w:color="auto"/>
        <w:left w:val="none" w:sz="0" w:space="0" w:color="auto"/>
        <w:bottom w:val="none" w:sz="0" w:space="0" w:color="auto"/>
        <w:right w:val="none" w:sz="0" w:space="0" w:color="auto"/>
      </w:divBdr>
    </w:div>
    <w:div w:id="1694263262">
      <w:bodyDiv w:val="1"/>
      <w:marLeft w:val="0"/>
      <w:marRight w:val="0"/>
      <w:marTop w:val="0"/>
      <w:marBottom w:val="0"/>
      <w:divBdr>
        <w:top w:val="none" w:sz="0" w:space="0" w:color="auto"/>
        <w:left w:val="none" w:sz="0" w:space="0" w:color="auto"/>
        <w:bottom w:val="none" w:sz="0" w:space="0" w:color="auto"/>
        <w:right w:val="none" w:sz="0" w:space="0" w:color="auto"/>
      </w:divBdr>
    </w:div>
    <w:div w:id="1694302876">
      <w:bodyDiv w:val="1"/>
      <w:marLeft w:val="0"/>
      <w:marRight w:val="0"/>
      <w:marTop w:val="0"/>
      <w:marBottom w:val="0"/>
      <w:divBdr>
        <w:top w:val="none" w:sz="0" w:space="0" w:color="auto"/>
        <w:left w:val="none" w:sz="0" w:space="0" w:color="auto"/>
        <w:bottom w:val="none" w:sz="0" w:space="0" w:color="auto"/>
        <w:right w:val="none" w:sz="0" w:space="0" w:color="auto"/>
      </w:divBdr>
    </w:div>
    <w:div w:id="1694333266">
      <w:bodyDiv w:val="1"/>
      <w:marLeft w:val="0"/>
      <w:marRight w:val="0"/>
      <w:marTop w:val="0"/>
      <w:marBottom w:val="0"/>
      <w:divBdr>
        <w:top w:val="none" w:sz="0" w:space="0" w:color="auto"/>
        <w:left w:val="none" w:sz="0" w:space="0" w:color="auto"/>
        <w:bottom w:val="none" w:sz="0" w:space="0" w:color="auto"/>
        <w:right w:val="none" w:sz="0" w:space="0" w:color="auto"/>
      </w:divBdr>
    </w:div>
    <w:div w:id="1694375680">
      <w:bodyDiv w:val="1"/>
      <w:marLeft w:val="0"/>
      <w:marRight w:val="0"/>
      <w:marTop w:val="0"/>
      <w:marBottom w:val="0"/>
      <w:divBdr>
        <w:top w:val="none" w:sz="0" w:space="0" w:color="auto"/>
        <w:left w:val="none" w:sz="0" w:space="0" w:color="auto"/>
        <w:bottom w:val="none" w:sz="0" w:space="0" w:color="auto"/>
        <w:right w:val="none" w:sz="0" w:space="0" w:color="auto"/>
      </w:divBdr>
    </w:div>
    <w:div w:id="1694379542">
      <w:bodyDiv w:val="1"/>
      <w:marLeft w:val="0"/>
      <w:marRight w:val="0"/>
      <w:marTop w:val="0"/>
      <w:marBottom w:val="0"/>
      <w:divBdr>
        <w:top w:val="none" w:sz="0" w:space="0" w:color="auto"/>
        <w:left w:val="none" w:sz="0" w:space="0" w:color="auto"/>
        <w:bottom w:val="none" w:sz="0" w:space="0" w:color="auto"/>
        <w:right w:val="none" w:sz="0" w:space="0" w:color="auto"/>
      </w:divBdr>
    </w:div>
    <w:div w:id="1694458799">
      <w:bodyDiv w:val="1"/>
      <w:marLeft w:val="0"/>
      <w:marRight w:val="0"/>
      <w:marTop w:val="0"/>
      <w:marBottom w:val="0"/>
      <w:divBdr>
        <w:top w:val="none" w:sz="0" w:space="0" w:color="auto"/>
        <w:left w:val="none" w:sz="0" w:space="0" w:color="auto"/>
        <w:bottom w:val="none" w:sz="0" w:space="0" w:color="auto"/>
        <w:right w:val="none" w:sz="0" w:space="0" w:color="auto"/>
      </w:divBdr>
    </w:div>
    <w:div w:id="1694577293">
      <w:bodyDiv w:val="1"/>
      <w:marLeft w:val="0"/>
      <w:marRight w:val="0"/>
      <w:marTop w:val="0"/>
      <w:marBottom w:val="0"/>
      <w:divBdr>
        <w:top w:val="none" w:sz="0" w:space="0" w:color="auto"/>
        <w:left w:val="none" w:sz="0" w:space="0" w:color="auto"/>
        <w:bottom w:val="none" w:sz="0" w:space="0" w:color="auto"/>
        <w:right w:val="none" w:sz="0" w:space="0" w:color="auto"/>
      </w:divBdr>
    </w:div>
    <w:div w:id="1694577547">
      <w:bodyDiv w:val="1"/>
      <w:marLeft w:val="0"/>
      <w:marRight w:val="0"/>
      <w:marTop w:val="0"/>
      <w:marBottom w:val="0"/>
      <w:divBdr>
        <w:top w:val="none" w:sz="0" w:space="0" w:color="auto"/>
        <w:left w:val="none" w:sz="0" w:space="0" w:color="auto"/>
        <w:bottom w:val="none" w:sz="0" w:space="0" w:color="auto"/>
        <w:right w:val="none" w:sz="0" w:space="0" w:color="auto"/>
      </w:divBdr>
    </w:div>
    <w:div w:id="1694646936">
      <w:bodyDiv w:val="1"/>
      <w:marLeft w:val="0"/>
      <w:marRight w:val="0"/>
      <w:marTop w:val="0"/>
      <w:marBottom w:val="0"/>
      <w:divBdr>
        <w:top w:val="none" w:sz="0" w:space="0" w:color="auto"/>
        <w:left w:val="none" w:sz="0" w:space="0" w:color="auto"/>
        <w:bottom w:val="none" w:sz="0" w:space="0" w:color="auto"/>
        <w:right w:val="none" w:sz="0" w:space="0" w:color="auto"/>
      </w:divBdr>
    </w:div>
    <w:div w:id="1694842788">
      <w:bodyDiv w:val="1"/>
      <w:marLeft w:val="0"/>
      <w:marRight w:val="0"/>
      <w:marTop w:val="0"/>
      <w:marBottom w:val="0"/>
      <w:divBdr>
        <w:top w:val="none" w:sz="0" w:space="0" w:color="auto"/>
        <w:left w:val="none" w:sz="0" w:space="0" w:color="auto"/>
        <w:bottom w:val="none" w:sz="0" w:space="0" w:color="auto"/>
        <w:right w:val="none" w:sz="0" w:space="0" w:color="auto"/>
      </w:divBdr>
    </w:div>
    <w:div w:id="1694914808">
      <w:bodyDiv w:val="1"/>
      <w:marLeft w:val="0"/>
      <w:marRight w:val="0"/>
      <w:marTop w:val="0"/>
      <w:marBottom w:val="0"/>
      <w:divBdr>
        <w:top w:val="none" w:sz="0" w:space="0" w:color="auto"/>
        <w:left w:val="none" w:sz="0" w:space="0" w:color="auto"/>
        <w:bottom w:val="none" w:sz="0" w:space="0" w:color="auto"/>
        <w:right w:val="none" w:sz="0" w:space="0" w:color="auto"/>
      </w:divBdr>
    </w:div>
    <w:div w:id="1694921796">
      <w:bodyDiv w:val="1"/>
      <w:marLeft w:val="0"/>
      <w:marRight w:val="0"/>
      <w:marTop w:val="0"/>
      <w:marBottom w:val="0"/>
      <w:divBdr>
        <w:top w:val="none" w:sz="0" w:space="0" w:color="auto"/>
        <w:left w:val="none" w:sz="0" w:space="0" w:color="auto"/>
        <w:bottom w:val="none" w:sz="0" w:space="0" w:color="auto"/>
        <w:right w:val="none" w:sz="0" w:space="0" w:color="auto"/>
      </w:divBdr>
    </w:div>
    <w:div w:id="1695037177">
      <w:bodyDiv w:val="1"/>
      <w:marLeft w:val="0"/>
      <w:marRight w:val="0"/>
      <w:marTop w:val="0"/>
      <w:marBottom w:val="0"/>
      <w:divBdr>
        <w:top w:val="none" w:sz="0" w:space="0" w:color="auto"/>
        <w:left w:val="none" w:sz="0" w:space="0" w:color="auto"/>
        <w:bottom w:val="none" w:sz="0" w:space="0" w:color="auto"/>
        <w:right w:val="none" w:sz="0" w:space="0" w:color="auto"/>
      </w:divBdr>
    </w:div>
    <w:div w:id="1695111560">
      <w:bodyDiv w:val="1"/>
      <w:marLeft w:val="0"/>
      <w:marRight w:val="0"/>
      <w:marTop w:val="0"/>
      <w:marBottom w:val="0"/>
      <w:divBdr>
        <w:top w:val="none" w:sz="0" w:space="0" w:color="auto"/>
        <w:left w:val="none" w:sz="0" w:space="0" w:color="auto"/>
        <w:bottom w:val="none" w:sz="0" w:space="0" w:color="auto"/>
        <w:right w:val="none" w:sz="0" w:space="0" w:color="auto"/>
      </w:divBdr>
    </w:div>
    <w:div w:id="1695229882">
      <w:bodyDiv w:val="1"/>
      <w:marLeft w:val="0"/>
      <w:marRight w:val="0"/>
      <w:marTop w:val="0"/>
      <w:marBottom w:val="0"/>
      <w:divBdr>
        <w:top w:val="none" w:sz="0" w:space="0" w:color="auto"/>
        <w:left w:val="none" w:sz="0" w:space="0" w:color="auto"/>
        <w:bottom w:val="none" w:sz="0" w:space="0" w:color="auto"/>
        <w:right w:val="none" w:sz="0" w:space="0" w:color="auto"/>
      </w:divBdr>
    </w:div>
    <w:div w:id="1695569528">
      <w:bodyDiv w:val="1"/>
      <w:marLeft w:val="0"/>
      <w:marRight w:val="0"/>
      <w:marTop w:val="0"/>
      <w:marBottom w:val="0"/>
      <w:divBdr>
        <w:top w:val="none" w:sz="0" w:space="0" w:color="auto"/>
        <w:left w:val="none" w:sz="0" w:space="0" w:color="auto"/>
        <w:bottom w:val="none" w:sz="0" w:space="0" w:color="auto"/>
        <w:right w:val="none" w:sz="0" w:space="0" w:color="auto"/>
      </w:divBdr>
    </w:div>
    <w:div w:id="1695576058">
      <w:bodyDiv w:val="1"/>
      <w:marLeft w:val="0"/>
      <w:marRight w:val="0"/>
      <w:marTop w:val="0"/>
      <w:marBottom w:val="0"/>
      <w:divBdr>
        <w:top w:val="none" w:sz="0" w:space="0" w:color="auto"/>
        <w:left w:val="none" w:sz="0" w:space="0" w:color="auto"/>
        <w:bottom w:val="none" w:sz="0" w:space="0" w:color="auto"/>
        <w:right w:val="none" w:sz="0" w:space="0" w:color="auto"/>
      </w:divBdr>
    </w:div>
    <w:div w:id="1695643870">
      <w:bodyDiv w:val="1"/>
      <w:marLeft w:val="0"/>
      <w:marRight w:val="0"/>
      <w:marTop w:val="0"/>
      <w:marBottom w:val="0"/>
      <w:divBdr>
        <w:top w:val="none" w:sz="0" w:space="0" w:color="auto"/>
        <w:left w:val="none" w:sz="0" w:space="0" w:color="auto"/>
        <w:bottom w:val="none" w:sz="0" w:space="0" w:color="auto"/>
        <w:right w:val="none" w:sz="0" w:space="0" w:color="auto"/>
      </w:divBdr>
    </w:div>
    <w:div w:id="1695812828">
      <w:bodyDiv w:val="1"/>
      <w:marLeft w:val="0"/>
      <w:marRight w:val="0"/>
      <w:marTop w:val="0"/>
      <w:marBottom w:val="0"/>
      <w:divBdr>
        <w:top w:val="none" w:sz="0" w:space="0" w:color="auto"/>
        <w:left w:val="none" w:sz="0" w:space="0" w:color="auto"/>
        <w:bottom w:val="none" w:sz="0" w:space="0" w:color="auto"/>
        <w:right w:val="none" w:sz="0" w:space="0" w:color="auto"/>
      </w:divBdr>
    </w:div>
    <w:div w:id="1695838466">
      <w:bodyDiv w:val="1"/>
      <w:marLeft w:val="0"/>
      <w:marRight w:val="0"/>
      <w:marTop w:val="0"/>
      <w:marBottom w:val="0"/>
      <w:divBdr>
        <w:top w:val="none" w:sz="0" w:space="0" w:color="auto"/>
        <w:left w:val="none" w:sz="0" w:space="0" w:color="auto"/>
        <w:bottom w:val="none" w:sz="0" w:space="0" w:color="auto"/>
        <w:right w:val="none" w:sz="0" w:space="0" w:color="auto"/>
      </w:divBdr>
    </w:div>
    <w:div w:id="1695959275">
      <w:bodyDiv w:val="1"/>
      <w:marLeft w:val="0"/>
      <w:marRight w:val="0"/>
      <w:marTop w:val="0"/>
      <w:marBottom w:val="0"/>
      <w:divBdr>
        <w:top w:val="none" w:sz="0" w:space="0" w:color="auto"/>
        <w:left w:val="none" w:sz="0" w:space="0" w:color="auto"/>
        <w:bottom w:val="none" w:sz="0" w:space="0" w:color="auto"/>
        <w:right w:val="none" w:sz="0" w:space="0" w:color="auto"/>
      </w:divBdr>
    </w:div>
    <w:div w:id="1696077228">
      <w:bodyDiv w:val="1"/>
      <w:marLeft w:val="0"/>
      <w:marRight w:val="0"/>
      <w:marTop w:val="0"/>
      <w:marBottom w:val="0"/>
      <w:divBdr>
        <w:top w:val="none" w:sz="0" w:space="0" w:color="auto"/>
        <w:left w:val="none" w:sz="0" w:space="0" w:color="auto"/>
        <w:bottom w:val="none" w:sz="0" w:space="0" w:color="auto"/>
        <w:right w:val="none" w:sz="0" w:space="0" w:color="auto"/>
      </w:divBdr>
    </w:div>
    <w:div w:id="1696148602">
      <w:bodyDiv w:val="1"/>
      <w:marLeft w:val="0"/>
      <w:marRight w:val="0"/>
      <w:marTop w:val="0"/>
      <w:marBottom w:val="0"/>
      <w:divBdr>
        <w:top w:val="none" w:sz="0" w:space="0" w:color="auto"/>
        <w:left w:val="none" w:sz="0" w:space="0" w:color="auto"/>
        <w:bottom w:val="none" w:sz="0" w:space="0" w:color="auto"/>
        <w:right w:val="none" w:sz="0" w:space="0" w:color="auto"/>
      </w:divBdr>
    </w:div>
    <w:div w:id="1696151292">
      <w:bodyDiv w:val="1"/>
      <w:marLeft w:val="0"/>
      <w:marRight w:val="0"/>
      <w:marTop w:val="0"/>
      <w:marBottom w:val="0"/>
      <w:divBdr>
        <w:top w:val="none" w:sz="0" w:space="0" w:color="auto"/>
        <w:left w:val="none" w:sz="0" w:space="0" w:color="auto"/>
        <w:bottom w:val="none" w:sz="0" w:space="0" w:color="auto"/>
        <w:right w:val="none" w:sz="0" w:space="0" w:color="auto"/>
      </w:divBdr>
    </w:div>
    <w:div w:id="1696157365">
      <w:bodyDiv w:val="1"/>
      <w:marLeft w:val="0"/>
      <w:marRight w:val="0"/>
      <w:marTop w:val="0"/>
      <w:marBottom w:val="0"/>
      <w:divBdr>
        <w:top w:val="none" w:sz="0" w:space="0" w:color="auto"/>
        <w:left w:val="none" w:sz="0" w:space="0" w:color="auto"/>
        <w:bottom w:val="none" w:sz="0" w:space="0" w:color="auto"/>
        <w:right w:val="none" w:sz="0" w:space="0" w:color="auto"/>
      </w:divBdr>
    </w:div>
    <w:div w:id="1696416899">
      <w:bodyDiv w:val="1"/>
      <w:marLeft w:val="0"/>
      <w:marRight w:val="0"/>
      <w:marTop w:val="0"/>
      <w:marBottom w:val="0"/>
      <w:divBdr>
        <w:top w:val="none" w:sz="0" w:space="0" w:color="auto"/>
        <w:left w:val="none" w:sz="0" w:space="0" w:color="auto"/>
        <w:bottom w:val="none" w:sz="0" w:space="0" w:color="auto"/>
        <w:right w:val="none" w:sz="0" w:space="0" w:color="auto"/>
      </w:divBdr>
    </w:div>
    <w:div w:id="1696734950">
      <w:bodyDiv w:val="1"/>
      <w:marLeft w:val="0"/>
      <w:marRight w:val="0"/>
      <w:marTop w:val="0"/>
      <w:marBottom w:val="0"/>
      <w:divBdr>
        <w:top w:val="none" w:sz="0" w:space="0" w:color="auto"/>
        <w:left w:val="none" w:sz="0" w:space="0" w:color="auto"/>
        <w:bottom w:val="none" w:sz="0" w:space="0" w:color="auto"/>
        <w:right w:val="none" w:sz="0" w:space="0" w:color="auto"/>
      </w:divBdr>
    </w:div>
    <w:div w:id="1696803955">
      <w:bodyDiv w:val="1"/>
      <w:marLeft w:val="0"/>
      <w:marRight w:val="0"/>
      <w:marTop w:val="0"/>
      <w:marBottom w:val="0"/>
      <w:divBdr>
        <w:top w:val="none" w:sz="0" w:space="0" w:color="auto"/>
        <w:left w:val="none" w:sz="0" w:space="0" w:color="auto"/>
        <w:bottom w:val="none" w:sz="0" w:space="0" w:color="auto"/>
        <w:right w:val="none" w:sz="0" w:space="0" w:color="auto"/>
      </w:divBdr>
    </w:div>
    <w:div w:id="1696812660">
      <w:bodyDiv w:val="1"/>
      <w:marLeft w:val="0"/>
      <w:marRight w:val="0"/>
      <w:marTop w:val="0"/>
      <w:marBottom w:val="0"/>
      <w:divBdr>
        <w:top w:val="none" w:sz="0" w:space="0" w:color="auto"/>
        <w:left w:val="none" w:sz="0" w:space="0" w:color="auto"/>
        <w:bottom w:val="none" w:sz="0" w:space="0" w:color="auto"/>
        <w:right w:val="none" w:sz="0" w:space="0" w:color="auto"/>
      </w:divBdr>
    </w:div>
    <w:div w:id="1696878535">
      <w:bodyDiv w:val="1"/>
      <w:marLeft w:val="0"/>
      <w:marRight w:val="0"/>
      <w:marTop w:val="0"/>
      <w:marBottom w:val="0"/>
      <w:divBdr>
        <w:top w:val="none" w:sz="0" w:space="0" w:color="auto"/>
        <w:left w:val="none" w:sz="0" w:space="0" w:color="auto"/>
        <w:bottom w:val="none" w:sz="0" w:space="0" w:color="auto"/>
        <w:right w:val="none" w:sz="0" w:space="0" w:color="auto"/>
      </w:divBdr>
    </w:div>
    <w:div w:id="1696882467">
      <w:bodyDiv w:val="1"/>
      <w:marLeft w:val="0"/>
      <w:marRight w:val="0"/>
      <w:marTop w:val="0"/>
      <w:marBottom w:val="0"/>
      <w:divBdr>
        <w:top w:val="none" w:sz="0" w:space="0" w:color="auto"/>
        <w:left w:val="none" w:sz="0" w:space="0" w:color="auto"/>
        <w:bottom w:val="none" w:sz="0" w:space="0" w:color="auto"/>
        <w:right w:val="none" w:sz="0" w:space="0" w:color="auto"/>
      </w:divBdr>
    </w:div>
    <w:div w:id="1696886197">
      <w:bodyDiv w:val="1"/>
      <w:marLeft w:val="0"/>
      <w:marRight w:val="0"/>
      <w:marTop w:val="0"/>
      <w:marBottom w:val="0"/>
      <w:divBdr>
        <w:top w:val="none" w:sz="0" w:space="0" w:color="auto"/>
        <w:left w:val="none" w:sz="0" w:space="0" w:color="auto"/>
        <w:bottom w:val="none" w:sz="0" w:space="0" w:color="auto"/>
        <w:right w:val="none" w:sz="0" w:space="0" w:color="auto"/>
      </w:divBdr>
    </w:div>
    <w:div w:id="1696924451">
      <w:bodyDiv w:val="1"/>
      <w:marLeft w:val="0"/>
      <w:marRight w:val="0"/>
      <w:marTop w:val="0"/>
      <w:marBottom w:val="0"/>
      <w:divBdr>
        <w:top w:val="none" w:sz="0" w:space="0" w:color="auto"/>
        <w:left w:val="none" w:sz="0" w:space="0" w:color="auto"/>
        <w:bottom w:val="none" w:sz="0" w:space="0" w:color="auto"/>
        <w:right w:val="none" w:sz="0" w:space="0" w:color="auto"/>
      </w:divBdr>
    </w:div>
    <w:div w:id="1696928077">
      <w:bodyDiv w:val="1"/>
      <w:marLeft w:val="0"/>
      <w:marRight w:val="0"/>
      <w:marTop w:val="0"/>
      <w:marBottom w:val="0"/>
      <w:divBdr>
        <w:top w:val="none" w:sz="0" w:space="0" w:color="auto"/>
        <w:left w:val="none" w:sz="0" w:space="0" w:color="auto"/>
        <w:bottom w:val="none" w:sz="0" w:space="0" w:color="auto"/>
        <w:right w:val="none" w:sz="0" w:space="0" w:color="auto"/>
      </w:divBdr>
    </w:div>
    <w:div w:id="1696955209">
      <w:bodyDiv w:val="1"/>
      <w:marLeft w:val="0"/>
      <w:marRight w:val="0"/>
      <w:marTop w:val="0"/>
      <w:marBottom w:val="0"/>
      <w:divBdr>
        <w:top w:val="none" w:sz="0" w:space="0" w:color="auto"/>
        <w:left w:val="none" w:sz="0" w:space="0" w:color="auto"/>
        <w:bottom w:val="none" w:sz="0" w:space="0" w:color="auto"/>
        <w:right w:val="none" w:sz="0" w:space="0" w:color="auto"/>
      </w:divBdr>
    </w:div>
    <w:div w:id="1697075179">
      <w:bodyDiv w:val="1"/>
      <w:marLeft w:val="0"/>
      <w:marRight w:val="0"/>
      <w:marTop w:val="0"/>
      <w:marBottom w:val="0"/>
      <w:divBdr>
        <w:top w:val="none" w:sz="0" w:space="0" w:color="auto"/>
        <w:left w:val="none" w:sz="0" w:space="0" w:color="auto"/>
        <w:bottom w:val="none" w:sz="0" w:space="0" w:color="auto"/>
        <w:right w:val="none" w:sz="0" w:space="0" w:color="auto"/>
      </w:divBdr>
    </w:div>
    <w:div w:id="1697077223">
      <w:bodyDiv w:val="1"/>
      <w:marLeft w:val="0"/>
      <w:marRight w:val="0"/>
      <w:marTop w:val="0"/>
      <w:marBottom w:val="0"/>
      <w:divBdr>
        <w:top w:val="none" w:sz="0" w:space="0" w:color="auto"/>
        <w:left w:val="none" w:sz="0" w:space="0" w:color="auto"/>
        <w:bottom w:val="none" w:sz="0" w:space="0" w:color="auto"/>
        <w:right w:val="none" w:sz="0" w:space="0" w:color="auto"/>
      </w:divBdr>
    </w:div>
    <w:div w:id="1697148723">
      <w:bodyDiv w:val="1"/>
      <w:marLeft w:val="0"/>
      <w:marRight w:val="0"/>
      <w:marTop w:val="0"/>
      <w:marBottom w:val="0"/>
      <w:divBdr>
        <w:top w:val="none" w:sz="0" w:space="0" w:color="auto"/>
        <w:left w:val="none" w:sz="0" w:space="0" w:color="auto"/>
        <w:bottom w:val="none" w:sz="0" w:space="0" w:color="auto"/>
        <w:right w:val="none" w:sz="0" w:space="0" w:color="auto"/>
      </w:divBdr>
    </w:div>
    <w:div w:id="1697190926">
      <w:bodyDiv w:val="1"/>
      <w:marLeft w:val="0"/>
      <w:marRight w:val="0"/>
      <w:marTop w:val="0"/>
      <w:marBottom w:val="0"/>
      <w:divBdr>
        <w:top w:val="none" w:sz="0" w:space="0" w:color="auto"/>
        <w:left w:val="none" w:sz="0" w:space="0" w:color="auto"/>
        <w:bottom w:val="none" w:sz="0" w:space="0" w:color="auto"/>
        <w:right w:val="none" w:sz="0" w:space="0" w:color="auto"/>
      </w:divBdr>
    </w:div>
    <w:div w:id="1697194506">
      <w:bodyDiv w:val="1"/>
      <w:marLeft w:val="0"/>
      <w:marRight w:val="0"/>
      <w:marTop w:val="0"/>
      <w:marBottom w:val="0"/>
      <w:divBdr>
        <w:top w:val="none" w:sz="0" w:space="0" w:color="auto"/>
        <w:left w:val="none" w:sz="0" w:space="0" w:color="auto"/>
        <w:bottom w:val="none" w:sz="0" w:space="0" w:color="auto"/>
        <w:right w:val="none" w:sz="0" w:space="0" w:color="auto"/>
      </w:divBdr>
    </w:div>
    <w:div w:id="1697274210">
      <w:bodyDiv w:val="1"/>
      <w:marLeft w:val="0"/>
      <w:marRight w:val="0"/>
      <w:marTop w:val="0"/>
      <w:marBottom w:val="0"/>
      <w:divBdr>
        <w:top w:val="none" w:sz="0" w:space="0" w:color="auto"/>
        <w:left w:val="none" w:sz="0" w:space="0" w:color="auto"/>
        <w:bottom w:val="none" w:sz="0" w:space="0" w:color="auto"/>
        <w:right w:val="none" w:sz="0" w:space="0" w:color="auto"/>
      </w:divBdr>
    </w:div>
    <w:div w:id="1697343224">
      <w:bodyDiv w:val="1"/>
      <w:marLeft w:val="0"/>
      <w:marRight w:val="0"/>
      <w:marTop w:val="0"/>
      <w:marBottom w:val="0"/>
      <w:divBdr>
        <w:top w:val="none" w:sz="0" w:space="0" w:color="auto"/>
        <w:left w:val="none" w:sz="0" w:space="0" w:color="auto"/>
        <w:bottom w:val="none" w:sz="0" w:space="0" w:color="auto"/>
        <w:right w:val="none" w:sz="0" w:space="0" w:color="auto"/>
      </w:divBdr>
    </w:div>
    <w:div w:id="1697389652">
      <w:bodyDiv w:val="1"/>
      <w:marLeft w:val="0"/>
      <w:marRight w:val="0"/>
      <w:marTop w:val="0"/>
      <w:marBottom w:val="0"/>
      <w:divBdr>
        <w:top w:val="none" w:sz="0" w:space="0" w:color="auto"/>
        <w:left w:val="none" w:sz="0" w:space="0" w:color="auto"/>
        <w:bottom w:val="none" w:sz="0" w:space="0" w:color="auto"/>
        <w:right w:val="none" w:sz="0" w:space="0" w:color="auto"/>
      </w:divBdr>
    </w:div>
    <w:div w:id="1697582191">
      <w:bodyDiv w:val="1"/>
      <w:marLeft w:val="0"/>
      <w:marRight w:val="0"/>
      <w:marTop w:val="0"/>
      <w:marBottom w:val="0"/>
      <w:divBdr>
        <w:top w:val="none" w:sz="0" w:space="0" w:color="auto"/>
        <w:left w:val="none" w:sz="0" w:space="0" w:color="auto"/>
        <w:bottom w:val="none" w:sz="0" w:space="0" w:color="auto"/>
        <w:right w:val="none" w:sz="0" w:space="0" w:color="auto"/>
      </w:divBdr>
    </w:div>
    <w:div w:id="1697611554">
      <w:bodyDiv w:val="1"/>
      <w:marLeft w:val="0"/>
      <w:marRight w:val="0"/>
      <w:marTop w:val="0"/>
      <w:marBottom w:val="0"/>
      <w:divBdr>
        <w:top w:val="none" w:sz="0" w:space="0" w:color="auto"/>
        <w:left w:val="none" w:sz="0" w:space="0" w:color="auto"/>
        <w:bottom w:val="none" w:sz="0" w:space="0" w:color="auto"/>
        <w:right w:val="none" w:sz="0" w:space="0" w:color="auto"/>
      </w:divBdr>
    </w:div>
    <w:div w:id="1697653878">
      <w:bodyDiv w:val="1"/>
      <w:marLeft w:val="0"/>
      <w:marRight w:val="0"/>
      <w:marTop w:val="0"/>
      <w:marBottom w:val="0"/>
      <w:divBdr>
        <w:top w:val="none" w:sz="0" w:space="0" w:color="auto"/>
        <w:left w:val="none" w:sz="0" w:space="0" w:color="auto"/>
        <w:bottom w:val="none" w:sz="0" w:space="0" w:color="auto"/>
        <w:right w:val="none" w:sz="0" w:space="0" w:color="auto"/>
      </w:divBdr>
    </w:div>
    <w:div w:id="1697658695">
      <w:bodyDiv w:val="1"/>
      <w:marLeft w:val="0"/>
      <w:marRight w:val="0"/>
      <w:marTop w:val="0"/>
      <w:marBottom w:val="0"/>
      <w:divBdr>
        <w:top w:val="none" w:sz="0" w:space="0" w:color="auto"/>
        <w:left w:val="none" w:sz="0" w:space="0" w:color="auto"/>
        <w:bottom w:val="none" w:sz="0" w:space="0" w:color="auto"/>
        <w:right w:val="none" w:sz="0" w:space="0" w:color="auto"/>
      </w:divBdr>
    </w:div>
    <w:div w:id="1697776052">
      <w:bodyDiv w:val="1"/>
      <w:marLeft w:val="0"/>
      <w:marRight w:val="0"/>
      <w:marTop w:val="0"/>
      <w:marBottom w:val="0"/>
      <w:divBdr>
        <w:top w:val="none" w:sz="0" w:space="0" w:color="auto"/>
        <w:left w:val="none" w:sz="0" w:space="0" w:color="auto"/>
        <w:bottom w:val="none" w:sz="0" w:space="0" w:color="auto"/>
        <w:right w:val="none" w:sz="0" w:space="0" w:color="auto"/>
      </w:divBdr>
    </w:div>
    <w:div w:id="1697849506">
      <w:bodyDiv w:val="1"/>
      <w:marLeft w:val="0"/>
      <w:marRight w:val="0"/>
      <w:marTop w:val="0"/>
      <w:marBottom w:val="0"/>
      <w:divBdr>
        <w:top w:val="none" w:sz="0" w:space="0" w:color="auto"/>
        <w:left w:val="none" w:sz="0" w:space="0" w:color="auto"/>
        <w:bottom w:val="none" w:sz="0" w:space="0" w:color="auto"/>
        <w:right w:val="none" w:sz="0" w:space="0" w:color="auto"/>
      </w:divBdr>
    </w:div>
    <w:div w:id="1697999429">
      <w:bodyDiv w:val="1"/>
      <w:marLeft w:val="0"/>
      <w:marRight w:val="0"/>
      <w:marTop w:val="0"/>
      <w:marBottom w:val="0"/>
      <w:divBdr>
        <w:top w:val="none" w:sz="0" w:space="0" w:color="auto"/>
        <w:left w:val="none" w:sz="0" w:space="0" w:color="auto"/>
        <w:bottom w:val="none" w:sz="0" w:space="0" w:color="auto"/>
        <w:right w:val="none" w:sz="0" w:space="0" w:color="auto"/>
      </w:divBdr>
    </w:div>
    <w:div w:id="1698040157">
      <w:bodyDiv w:val="1"/>
      <w:marLeft w:val="0"/>
      <w:marRight w:val="0"/>
      <w:marTop w:val="0"/>
      <w:marBottom w:val="0"/>
      <w:divBdr>
        <w:top w:val="none" w:sz="0" w:space="0" w:color="auto"/>
        <w:left w:val="none" w:sz="0" w:space="0" w:color="auto"/>
        <w:bottom w:val="none" w:sz="0" w:space="0" w:color="auto"/>
        <w:right w:val="none" w:sz="0" w:space="0" w:color="auto"/>
      </w:divBdr>
    </w:div>
    <w:div w:id="1698045306">
      <w:bodyDiv w:val="1"/>
      <w:marLeft w:val="0"/>
      <w:marRight w:val="0"/>
      <w:marTop w:val="0"/>
      <w:marBottom w:val="0"/>
      <w:divBdr>
        <w:top w:val="none" w:sz="0" w:space="0" w:color="auto"/>
        <w:left w:val="none" w:sz="0" w:space="0" w:color="auto"/>
        <w:bottom w:val="none" w:sz="0" w:space="0" w:color="auto"/>
        <w:right w:val="none" w:sz="0" w:space="0" w:color="auto"/>
      </w:divBdr>
    </w:div>
    <w:div w:id="1698120420">
      <w:bodyDiv w:val="1"/>
      <w:marLeft w:val="0"/>
      <w:marRight w:val="0"/>
      <w:marTop w:val="0"/>
      <w:marBottom w:val="0"/>
      <w:divBdr>
        <w:top w:val="none" w:sz="0" w:space="0" w:color="auto"/>
        <w:left w:val="none" w:sz="0" w:space="0" w:color="auto"/>
        <w:bottom w:val="none" w:sz="0" w:space="0" w:color="auto"/>
        <w:right w:val="none" w:sz="0" w:space="0" w:color="auto"/>
      </w:divBdr>
    </w:div>
    <w:div w:id="1698191558">
      <w:bodyDiv w:val="1"/>
      <w:marLeft w:val="0"/>
      <w:marRight w:val="0"/>
      <w:marTop w:val="0"/>
      <w:marBottom w:val="0"/>
      <w:divBdr>
        <w:top w:val="none" w:sz="0" w:space="0" w:color="auto"/>
        <w:left w:val="none" w:sz="0" w:space="0" w:color="auto"/>
        <w:bottom w:val="none" w:sz="0" w:space="0" w:color="auto"/>
        <w:right w:val="none" w:sz="0" w:space="0" w:color="auto"/>
      </w:divBdr>
    </w:div>
    <w:div w:id="1698307875">
      <w:bodyDiv w:val="1"/>
      <w:marLeft w:val="0"/>
      <w:marRight w:val="0"/>
      <w:marTop w:val="0"/>
      <w:marBottom w:val="0"/>
      <w:divBdr>
        <w:top w:val="none" w:sz="0" w:space="0" w:color="auto"/>
        <w:left w:val="none" w:sz="0" w:space="0" w:color="auto"/>
        <w:bottom w:val="none" w:sz="0" w:space="0" w:color="auto"/>
        <w:right w:val="none" w:sz="0" w:space="0" w:color="auto"/>
      </w:divBdr>
    </w:div>
    <w:div w:id="1698309199">
      <w:bodyDiv w:val="1"/>
      <w:marLeft w:val="0"/>
      <w:marRight w:val="0"/>
      <w:marTop w:val="0"/>
      <w:marBottom w:val="0"/>
      <w:divBdr>
        <w:top w:val="none" w:sz="0" w:space="0" w:color="auto"/>
        <w:left w:val="none" w:sz="0" w:space="0" w:color="auto"/>
        <w:bottom w:val="none" w:sz="0" w:space="0" w:color="auto"/>
        <w:right w:val="none" w:sz="0" w:space="0" w:color="auto"/>
      </w:divBdr>
    </w:div>
    <w:div w:id="1698311739">
      <w:bodyDiv w:val="1"/>
      <w:marLeft w:val="0"/>
      <w:marRight w:val="0"/>
      <w:marTop w:val="0"/>
      <w:marBottom w:val="0"/>
      <w:divBdr>
        <w:top w:val="none" w:sz="0" w:space="0" w:color="auto"/>
        <w:left w:val="none" w:sz="0" w:space="0" w:color="auto"/>
        <w:bottom w:val="none" w:sz="0" w:space="0" w:color="auto"/>
        <w:right w:val="none" w:sz="0" w:space="0" w:color="auto"/>
      </w:divBdr>
    </w:div>
    <w:div w:id="1698385279">
      <w:bodyDiv w:val="1"/>
      <w:marLeft w:val="0"/>
      <w:marRight w:val="0"/>
      <w:marTop w:val="0"/>
      <w:marBottom w:val="0"/>
      <w:divBdr>
        <w:top w:val="none" w:sz="0" w:space="0" w:color="auto"/>
        <w:left w:val="none" w:sz="0" w:space="0" w:color="auto"/>
        <w:bottom w:val="none" w:sz="0" w:space="0" w:color="auto"/>
        <w:right w:val="none" w:sz="0" w:space="0" w:color="auto"/>
      </w:divBdr>
    </w:div>
    <w:div w:id="1698585282">
      <w:bodyDiv w:val="1"/>
      <w:marLeft w:val="0"/>
      <w:marRight w:val="0"/>
      <w:marTop w:val="0"/>
      <w:marBottom w:val="0"/>
      <w:divBdr>
        <w:top w:val="none" w:sz="0" w:space="0" w:color="auto"/>
        <w:left w:val="none" w:sz="0" w:space="0" w:color="auto"/>
        <w:bottom w:val="none" w:sz="0" w:space="0" w:color="auto"/>
        <w:right w:val="none" w:sz="0" w:space="0" w:color="auto"/>
      </w:divBdr>
    </w:div>
    <w:div w:id="1698889742">
      <w:bodyDiv w:val="1"/>
      <w:marLeft w:val="0"/>
      <w:marRight w:val="0"/>
      <w:marTop w:val="0"/>
      <w:marBottom w:val="0"/>
      <w:divBdr>
        <w:top w:val="none" w:sz="0" w:space="0" w:color="auto"/>
        <w:left w:val="none" w:sz="0" w:space="0" w:color="auto"/>
        <w:bottom w:val="none" w:sz="0" w:space="0" w:color="auto"/>
        <w:right w:val="none" w:sz="0" w:space="0" w:color="auto"/>
      </w:divBdr>
    </w:div>
    <w:div w:id="1698964682">
      <w:bodyDiv w:val="1"/>
      <w:marLeft w:val="0"/>
      <w:marRight w:val="0"/>
      <w:marTop w:val="0"/>
      <w:marBottom w:val="0"/>
      <w:divBdr>
        <w:top w:val="none" w:sz="0" w:space="0" w:color="auto"/>
        <w:left w:val="none" w:sz="0" w:space="0" w:color="auto"/>
        <w:bottom w:val="none" w:sz="0" w:space="0" w:color="auto"/>
        <w:right w:val="none" w:sz="0" w:space="0" w:color="auto"/>
      </w:divBdr>
    </w:div>
    <w:div w:id="1699042858">
      <w:bodyDiv w:val="1"/>
      <w:marLeft w:val="0"/>
      <w:marRight w:val="0"/>
      <w:marTop w:val="0"/>
      <w:marBottom w:val="0"/>
      <w:divBdr>
        <w:top w:val="none" w:sz="0" w:space="0" w:color="auto"/>
        <w:left w:val="none" w:sz="0" w:space="0" w:color="auto"/>
        <w:bottom w:val="none" w:sz="0" w:space="0" w:color="auto"/>
        <w:right w:val="none" w:sz="0" w:space="0" w:color="auto"/>
      </w:divBdr>
    </w:div>
    <w:div w:id="1699087428">
      <w:bodyDiv w:val="1"/>
      <w:marLeft w:val="0"/>
      <w:marRight w:val="0"/>
      <w:marTop w:val="0"/>
      <w:marBottom w:val="0"/>
      <w:divBdr>
        <w:top w:val="none" w:sz="0" w:space="0" w:color="auto"/>
        <w:left w:val="none" w:sz="0" w:space="0" w:color="auto"/>
        <w:bottom w:val="none" w:sz="0" w:space="0" w:color="auto"/>
        <w:right w:val="none" w:sz="0" w:space="0" w:color="auto"/>
      </w:divBdr>
    </w:div>
    <w:div w:id="1699161299">
      <w:bodyDiv w:val="1"/>
      <w:marLeft w:val="0"/>
      <w:marRight w:val="0"/>
      <w:marTop w:val="0"/>
      <w:marBottom w:val="0"/>
      <w:divBdr>
        <w:top w:val="none" w:sz="0" w:space="0" w:color="auto"/>
        <w:left w:val="none" w:sz="0" w:space="0" w:color="auto"/>
        <w:bottom w:val="none" w:sz="0" w:space="0" w:color="auto"/>
        <w:right w:val="none" w:sz="0" w:space="0" w:color="auto"/>
      </w:divBdr>
    </w:div>
    <w:div w:id="1699432923">
      <w:bodyDiv w:val="1"/>
      <w:marLeft w:val="0"/>
      <w:marRight w:val="0"/>
      <w:marTop w:val="0"/>
      <w:marBottom w:val="0"/>
      <w:divBdr>
        <w:top w:val="none" w:sz="0" w:space="0" w:color="auto"/>
        <w:left w:val="none" w:sz="0" w:space="0" w:color="auto"/>
        <w:bottom w:val="none" w:sz="0" w:space="0" w:color="auto"/>
        <w:right w:val="none" w:sz="0" w:space="0" w:color="auto"/>
      </w:divBdr>
    </w:div>
    <w:div w:id="1699505874">
      <w:bodyDiv w:val="1"/>
      <w:marLeft w:val="0"/>
      <w:marRight w:val="0"/>
      <w:marTop w:val="0"/>
      <w:marBottom w:val="0"/>
      <w:divBdr>
        <w:top w:val="none" w:sz="0" w:space="0" w:color="auto"/>
        <w:left w:val="none" w:sz="0" w:space="0" w:color="auto"/>
        <w:bottom w:val="none" w:sz="0" w:space="0" w:color="auto"/>
        <w:right w:val="none" w:sz="0" w:space="0" w:color="auto"/>
      </w:divBdr>
    </w:div>
    <w:div w:id="1699507909">
      <w:bodyDiv w:val="1"/>
      <w:marLeft w:val="0"/>
      <w:marRight w:val="0"/>
      <w:marTop w:val="0"/>
      <w:marBottom w:val="0"/>
      <w:divBdr>
        <w:top w:val="none" w:sz="0" w:space="0" w:color="auto"/>
        <w:left w:val="none" w:sz="0" w:space="0" w:color="auto"/>
        <w:bottom w:val="none" w:sz="0" w:space="0" w:color="auto"/>
        <w:right w:val="none" w:sz="0" w:space="0" w:color="auto"/>
      </w:divBdr>
    </w:div>
    <w:div w:id="1699546532">
      <w:bodyDiv w:val="1"/>
      <w:marLeft w:val="0"/>
      <w:marRight w:val="0"/>
      <w:marTop w:val="0"/>
      <w:marBottom w:val="0"/>
      <w:divBdr>
        <w:top w:val="none" w:sz="0" w:space="0" w:color="auto"/>
        <w:left w:val="none" w:sz="0" w:space="0" w:color="auto"/>
        <w:bottom w:val="none" w:sz="0" w:space="0" w:color="auto"/>
        <w:right w:val="none" w:sz="0" w:space="0" w:color="auto"/>
      </w:divBdr>
    </w:div>
    <w:div w:id="1699575948">
      <w:bodyDiv w:val="1"/>
      <w:marLeft w:val="0"/>
      <w:marRight w:val="0"/>
      <w:marTop w:val="0"/>
      <w:marBottom w:val="0"/>
      <w:divBdr>
        <w:top w:val="none" w:sz="0" w:space="0" w:color="auto"/>
        <w:left w:val="none" w:sz="0" w:space="0" w:color="auto"/>
        <w:bottom w:val="none" w:sz="0" w:space="0" w:color="auto"/>
        <w:right w:val="none" w:sz="0" w:space="0" w:color="auto"/>
      </w:divBdr>
    </w:div>
    <w:div w:id="1699617907">
      <w:bodyDiv w:val="1"/>
      <w:marLeft w:val="0"/>
      <w:marRight w:val="0"/>
      <w:marTop w:val="0"/>
      <w:marBottom w:val="0"/>
      <w:divBdr>
        <w:top w:val="none" w:sz="0" w:space="0" w:color="auto"/>
        <w:left w:val="none" w:sz="0" w:space="0" w:color="auto"/>
        <w:bottom w:val="none" w:sz="0" w:space="0" w:color="auto"/>
        <w:right w:val="none" w:sz="0" w:space="0" w:color="auto"/>
      </w:divBdr>
    </w:div>
    <w:div w:id="1699620823">
      <w:bodyDiv w:val="1"/>
      <w:marLeft w:val="0"/>
      <w:marRight w:val="0"/>
      <w:marTop w:val="0"/>
      <w:marBottom w:val="0"/>
      <w:divBdr>
        <w:top w:val="none" w:sz="0" w:space="0" w:color="auto"/>
        <w:left w:val="none" w:sz="0" w:space="0" w:color="auto"/>
        <w:bottom w:val="none" w:sz="0" w:space="0" w:color="auto"/>
        <w:right w:val="none" w:sz="0" w:space="0" w:color="auto"/>
      </w:divBdr>
    </w:div>
    <w:div w:id="1699623877">
      <w:bodyDiv w:val="1"/>
      <w:marLeft w:val="0"/>
      <w:marRight w:val="0"/>
      <w:marTop w:val="0"/>
      <w:marBottom w:val="0"/>
      <w:divBdr>
        <w:top w:val="none" w:sz="0" w:space="0" w:color="auto"/>
        <w:left w:val="none" w:sz="0" w:space="0" w:color="auto"/>
        <w:bottom w:val="none" w:sz="0" w:space="0" w:color="auto"/>
        <w:right w:val="none" w:sz="0" w:space="0" w:color="auto"/>
      </w:divBdr>
    </w:div>
    <w:div w:id="1699816193">
      <w:bodyDiv w:val="1"/>
      <w:marLeft w:val="0"/>
      <w:marRight w:val="0"/>
      <w:marTop w:val="0"/>
      <w:marBottom w:val="0"/>
      <w:divBdr>
        <w:top w:val="none" w:sz="0" w:space="0" w:color="auto"/>
        <w:left w:val="none" w:sz="0" w:space="0" w:color="auto"/>
        <w:bottom w:val="none" w:sz="0" w:space="0" w:color="auto"/>
        <w:right w:val="none" w:sz="0" w:space="0" w:color="auto"/>
      </w:divBdr>
    </w:div>
    <w:div w:id="1699817433">
      <w:bodyDiv w:val="1"/>
      <w:marLeft w:val="0"/>
      <w:marRight w:val="0"/>
      <w:marTop w:val="0"/>
      <w:marBottom w:val="0"/>
      <w:divBdr>
        <w:top w:val="none" w:sz="0" w:space="0" w:color="auto"/>
        <w:left w:val="none" w:sz="0" w:space="0" w:color="auto"/>
        <w:bottom w:val="none" w:sz="0" w:space="0" w:color="auto"/>
        <w:right w:val="none" w:sz="0" w:space="0" w:color="auto"/>
      </w:divBdr>
    </w:div>
    <w:div w:id="1699891178">
      <w:bodyDiv w:val="1"/>
      <w:marLeft w:val="0"/>
      <w:marRight w:val="0"/>
      <w:marTop w:val="0"/>
      <w:marBottom w:val="0"/>
      <w:divBdr>
        <w:top w:val="none" w:sz="0" w:space="0" w:color="auto"/>
        <w:left w:val="none" w:sz="0" w:space="0" w:color="auto"/>
        <w:bottom w:val="none" w:sz="0" w:space="0" w:color="auto"/>
        <w:right w:val="none" w:sz="0" w:space="0" w:color="auto"/>
      </w:divBdr>
    </w:div>
    <w:div w:id="1699963325">
      <w:bodyDiv w:val="1"/>
      <w:marLeft w:val="0"/>
      <w:marRight w:val="0"/>
      <w:marTop w:val="0"/>
      <w:marBottom w:val="0"/>
      <w:divBdr>
        <w:top w:val="none" w:sz="0" w:space="0" w:color="auto"/>
        <w:left w:val="none" w:sz="0" w:space="0" w:color="auto"/>
        <w:bottom w:val="none" w:sz="0" w:space="0" w:color="auto"/>
        <w:right w:val="none" w:sz="0" w:space="0" w:color="auto"/>
      </w:divBdr>
    </w:div>
    <w:div w:id="1700079669">
      <w:bodyDiv w:val="1"/>
      <w:marLeft w:val="0"/>
      <w:marRight w:val="0"/>
      <w:marTop w:val="0"/>
      <w:marBottom w:val="0"/>
      <w:divBdr>
        <w:top w:val="none" w:sz="0" w:space="0" w:color="auto"/>
        <w:left w:val="none" w:sz="0" w:space="0" w:color="auto"/>
        <w:bottom w:val="none" w:sz="0" w:space="0" w:color="auto"/>
        <w:right w:val="none" w:sz="0" w:space="0" w:color="auto"/>
      </w:divBdr>
    </w:div>
    <w:div w:id="1700086964">
      <w:bodyDiv w:val="1"/>
      <w:marLeft w:val="0"/>
      <w:marRight w:val="0"/>
      <w:marTop w:val="0"/>
      <w:marBottom w:val="0"/>
      <w:divBdr>
        <w:top w:val="none" w:sz="0" w:space="0" w:color="auto"/>
        <w:left w:val="none" w:sz="0" w:space="0" w:color="auto"/>
        <w:bottom w:val="none" w:sz="0" w:space="0" w:color="auto"/>
        <w:right w:val="none" w:sz="0" w:space="0" w:color="auto"/>
      </w:divBdr>
    </w:div>
    <w:div w:id="1700203217">
      <w:bodyDiv w:val="1"/>
      <w:marLeft w:val="0"/>
      <w:marRight w:val="0"/>
      <w:marTop w:val="0"/>
      <w:marBottom w:val="0"/>
      <w:divBdr>
        <w:top w:val="none" w:sz="0" w:space="0" w:color="auto"/>
        <w:left w:val="none" w:sz="0" w:space="0" w:color="auto"/>
        <w:bottom w:val="none" w:sz="0" w:space="0" w:color="auto"/>
        <w:right w:val="none" w:sz="0" w:space="0" w:color="auto"/>
      </w:divBdr>
    </w:div>
    <w:div w:id="1700231457">
      <w:bodyDiv w:val="1"/>
      <w:marLeft w:val="0"/>
      <w:marRight w:val="0"/>
      <w:marTop w:val="0"/>
      <w:marBottom w:val="0"/>
      <w:divBdr>
        <w:top w:val="none" w:sz="0" w:space="0" w:color="auto"/>
        <w:left w:val="none" w:sz="0" w:space="0" w:color="auto"/>
        <w:bottom w:val="none" w:sz="0" w:space="0" w:color="auto"/>
        <w:right w:val="none" w:sz="0" w:space="0" w:color="auto"/>
      </w:divBdr>
    </w:div>
    <w:div w:id="1700279749">
      <w:bodyDiv w:val="1"/>
      <w:marLeft w:val="0"/>
      <w:marRight w:val="0"/>
      <w:marTop w:val="0"/>
      <w:marBottom w:val="0"/>
      <w:divBdr>
        <w:top w:val="none" w:sz="0" w:space="0" w:color="auto"/>
        <w:left w:val="none" w:sz="0" w:space="0" w:color="auto"/>
        <w:bottom w:val="none" w:sz="0" w:space="0" w:color="auto"/>
        <w:right w:val="none" w:sz="0" w:space="0" w:color="auto"/>
      </w:divBdr>
    </w:div>
    <w:div w:id="1700350982">
      <w:bodyDiv w:val="1"/>
      <w:marLeft w:val="0"/>
      <w:marRight w:val="0"/>
      <w:marTop w:val="0"/>
      <w:marBottom w:val="0"/>
      <w:divBdr>
        <w:top w:val="none" w:sz="0" w:space="0" w:color="auto"/>
        <w:left w:val="none" w:sz="0" w:space="0" w:color="auto"/>
        <w:bottom w:val="none" w:sz="0" w:space="0" w:color="auto"/>
        <w:right w:val="none" w:sz="0" w:space="0" w:color="auto"/>
      </w:divBdr>
    </w:div>
    <w:div w:id="1700353188">
      <w:bodyDiv w:val="1"/>
      <w:marLeft w:val="0"/>
      <w:marRight w:val="0"/>
      <w:marTop w:val="0"/>
      <w:marBottom w:val="0"/>
      <w:divBdr>
        <w:top w:val="none" w:sz="0" w:space="0" w:color="auto"/>
        <w:left w:val="none" w:sz="0" w:space="0" w:color="auto"/>
        <w:bottom w:val="none" w:sz="0" w:space="0" w:color="auto"/>
        <w:right w:val="none" w:sz="0" w:space="0" w:color="auto"/>
      </w:divBdr>
    </w:div>
    <w:div w:id="1700426302">
      <w:bodyDiv w:val="1"/>
      <w:marLeft w:val="0"/>
      <w:marRight w:val="0"/>
      <w:marTop w:val="0"/>
      <w:marBottom w:val="0"/>
      <w:divBdr>
        <w:top w:val="none" w:sz="0" w:space="0" w:color="auto"/>
        <w:left w:val="none" w:sz="0" w:space="0" w:color="auto"/>
        <w:bottom w:val="none" w:sz="0" w:space="0" w:color="auto"/>
        <w:right w:val="none" w:sz="0" w:space="0" w:color="auto"/>
      </w:divBdr>
    </w:div>
    <w:div w:id="1700620035">
      <w:bodyDiv w:val="1"/>
      <w:marLeft w:val="0"/>
      <w:marRight w:val="0"/>
      <w:marTop w:val="0"/>
      <w:marBottom w:val="0"/>
      <w:divBdr>
        <w:top w:val="none" w:sz="0" w:space="0" w:color="auto"/>
        <w:left w:val="none" w:sz="0" w:space="0" w:color="auto"/>
        <w:bottom w:val="none" w:sz="0" w:space="0" w:color="auto"/>
        <w:right w:val="none" w:sz="0" w:space="0" w:color="auto"/>
      </w:divBdr>
    </w:div>
    <w:div w:id="1700660441">
      <w:bodyDiv w:val="1"/>
      <w:marLeft w:val="0"/>
      <w:marRight w:val="0"/>
      <w:marTop w:val="0"/>
      <w:marBottom w:val="0"/>
      <w:divBdr>
        <w:top w:val="none" w:sz="0" w:space="0" w:color="auto"/>
        <w:left w:val="none" w:sz="0" w:space="0" w:color="auto"/>
        <w:bottom w:val="none" w:sz="0" w:space="0" w:color="auto"/>
        <w:right w:val="none" w:sz="0" w:space="0" w:color="auto"/>
      </w:divBdr>
    </w:div>
    <w:div w:id="1700663185">
      <w:bodyDiv w:val="1"/>
      <w:marLeft w:val="0"/>
      <w:marRight w:val="0"/>
      <w:marTop w:val="0"/>
      <w:marBottom w:val="0"/>
      <w:divBdr>
        <w:top w:val="none" w:sz="0" w:space="0" w:color="auto"/>
        <w:left w:val="none" w:sz="0" w:space="0" w:color="auto"/>
        <w:bottom w:val="none" w:sz="0" w:space="0" w:color="auto"/>
        <w:right w:val="none" w:sz="0" w:space="0" w:color="auto"/>
      </w:divBdr>
    </w:div>
    <w:div w:id="1700665219">
      <w:bodyDiv w:val="1"/>
      <w:marLeft w:val="0"/>
      <w:marRight w:val="0"/>
      <w:marTop w:val="0"/>
      <w:marBottom w:val="0"/>
      <w:divBdr>
        <w:top w:val="none" w:sz="0" w:space="0" w:color="auto"/>
        <w:left w:val="none" w:sz="0" w:space="0" w:color="auto"/>
        <w:bottom w:val="none" w:sz="0" w:space="0" w:color="auto"/>
        <w:right w:val="none" w:sz="0" w:space="0" w:color="auto"/>
      </w:divBdr>
    </w:div>
    <w:div w:id="1700742526">
      <w:bodyDiv w:val="1"/>
      <w:marLeft w:val="0"/>
      <w:marRight w:val="0"/>
      <w:marTop w:val="0"/>
      <w:marBottom w:val="0"/>
      <w:divBdr>
        <w:top w:val="none" w:sz="0" w:space="0" w:color="auto"/>
        <w:left w:val="none" w:sz="0" w:space="0" w:color="auto"/>
        <w:bottom w:val="none" w:sz="0" w:space="0" w:color="auto"/>
        <w:right w:val="none" w:sz="0" w:space="0" w:color="auto"/>
      </w:divBdr>
    </w:div>
    <w:div w:id="1700934904">
      <w:bodyDiv w:val="1"/>
      <w:marLeft w:val="0"/>
      <w:marRight w:val="0"/>
      <w:marTop w:val="0"/>
      <w:marBottom w:val="0"/>
      <w:divBdr>
        <w:top w:val="none" w:sz="0" w:space="0" w:color="auto"/>
        <w:left w:val="none" w:sz="0" w:space="0" w:color="auto"/>
        <w:bottom w:val="none" w:sz="0" w:space="0" w:color="auto"/>
        <w:right w:val="none" w:sz="0" w:space="0" w:color="auto"/>
      </w:divBdr>
    </w:div>
    <w:div w:id="1700936418">
      <w:bodyDiv w:val="1"/>
      <w:marLeft w:val="0"/>
      <w:marRight w:val="0"/>
      <w:marTop w:val="0"/>
      <w:marBottom w:val="0"/>
      <w:divBdr>
        <w:top w:val="none" w:sz="0" w:space="0" w:color="auto"/>
        <w:left w:val="none" w:sz="0" w:space="0" w:color="auto"/>
        <w:bottom w:val="none" w:sz="0" w:space="0" w:color="auto"/>
        <w:right w:val="none" w:sz="0" w:space="0" w:color="auto"/>
      </w:divBdr>
    </w:div>
    <w:div w:id="1700937493">
      <w:bodyDiv w:val="1"/>
      <w:marLeft w:val="0"/>
      <w:marRight w:val="0"/>
      <w:marTop w:val="0"/>
      <w:marBottom w:val="0"/>
      <w:divBdr>
        <w:top w:val="none" w:sz="0" w:space="0" w:color="auto"/>
        <w:left w:val="none" w:sz="0" w:space="0" w:color="auto"/>
        <w:bottom w:val="none" w:sz="0" w:space="0" w:color="auto"/>
        <w:right w:val="none" w:sz="0" w:space="0" w:color="auto"/>
      </w:divBdr>
    </w:div>
    <w:div w:id="1701010997">
      <w:bodyDiv w:val="1"/>
      <w:marLeft w:val="0"/>
      <w:marRight w:val="0"/>
      <w:marTop w:val="0"/>
      <w:marBottom w:val="0"/>
      <w:divBdr>
        <w:top w:val="none" w:sz="0" w:space="0" w:color="auto"/>
        <w:left w:val="none" w:sz="0" w:space="0" w:color="auto"/>
        <w:bottom w:val="none" w:sz="0" w:space="0" w:color="auto"/>
        <w:right w:val="none" w:sz="0" w:space="0" w:color="auto"/>
      </w:divBdr>
    </w:div>
    <w:div w:id="1701124241">
      <w:bodyDiv w:val="1"/>
      <w:marLeft w:val="0"/>
      <w:marRight w:val="0"/>
      <w:marTop w:val="0"/>
      <w:marBottom w:val="0"/>
      <w:divBdr>
        <w:top w:val="none" w:sz="0" w:space="0" w:color="auto"/>
        <w:left w:val="none" w:sz="0" w:space="0" w:color="auto"/>
        <w:bottom w:val="none" w:sz="0" w:space="0" w:color="auto"/>
        <w:right w:val="none" w:sz="0" w:space="0" w:color="auto"/>
      </w:divBdr>
    </w:div>
    <w:div w:id="1701198665">
      <w:bodyDiv w:val="1"/>
      <w:marLeft w:val="0"/>
      <w:marRight w:val="0"/>
      <w:marTop w:val="0"/>
      <w:marBottom w:val="0"/>
      <w:divBdr>
        <w:top w:val="none" w:sz="0" w:space="0" w:color="auto"/>
        <w:left w:val="none" w:sz="0" w:space="0" w:color="auto"/>
        <w:bottom w:val="none" w:sz="0" w:space="0" w:color="auto"/>
        <w:right w:val="none" w:sz="0" w:space="0" w:color="auto"/>
      </w:divBdr>
    </w:div>
    <w:div w:id="1701202409">
      <w:bodyDiv w:val="1"/>
      <w:marLeft w:val="0"/>
      <w:marRight w:val="0"/>
      <w:marTop w:val="0"/>
      <w:marBottom w:val="0"/>
      <w:divBdr>
        <w:top w:val="none" w:sz="0" w:space="0" w:color="auto"/>
        <w:left w:val="none" w:sz="0" w:space="0" w:color="auto"/>
        <w:bottom w:val="none" w:sz="0" w:space="0" w:color="auto"/>
        <w:right w:val="none" w:sz="0" w:space="0" w:color="auto"/>
      </w:divBdr>
    </w:div>
    <w:div w:id="1701280587">
      <w:bodyDiv w:val="1"/>
      <w:marLeft w:val="0"/>
      <w:marRight w:val="0"/>
      <w:marTop w:val="0"/>
      <w:marBottom w:val="0"/>
      <w:divBdr>
        <w:top w:val="none" w:sz="0" w:space="0" w:color="auto"/>
        <w:left w:val="none" w:sz="0" w:space="0" w:color="auto"/>
        <w:bottom w:val="none" w:sz="0" w:space="0" w:color="auto"/>
        <w:right w:val="none" w:sz="0" w:space="0" w:color="auto"/>
      </w:divBdr>
    </w:div>
    <w:div w:id="1701391545">
      <w:bodyDiv w:val="1"/>
      <w:marLeft w:val="0"/>
      <w:marRight w:val="0"/>
      <w:marTop w:val="0"/>
      <w:marBottom w:val="0"/>
      <w:divBdr>
        <w:top w:val="none" w:sz="0" w:space="0" w:color="auto"/>
        <w:left w:val="none" w:sz="0" w:space="0" w:color="auto"/>
        <w:bottom w:val="none" w:sz="0" w:space="0" w:color="auto"/>
        <w:right w:val="none" w:sz="0" w:space="0" w:color="auto"/>
      </w:divBdr>
    </w:div>
    <w:div w:id="1701392769">
      <w:bodyDiv w:val="1"/>
      <w:marLeft w:val="0"/>
      <w:marRight w:val="0"/>
      <w:marTop w:val="0"/>
      <w:marBottom w:val="0"/>
      <w:divBdr>
        <w:top w:val="none" w:sz="0" w:space="0" w:color="auto"/>
        <w:left w:val="none" w:sz="0" w:space="0" w:color="auto"/>
        <w:bottom w:val="none" w:sz="0" w:space="0" w:color="auto"/>
        <w:right w:val="none" w:sz="0" w:space="0" w:color="auto"/>
      </w:divBdr>
    </w:div>
    <w:div w:id="1701466860">
      <w:bodyDiv w:val="1"/>
      <w:marLeft w:val="0"/>
      <w:marRight w:val="0"/>
      <w:marTop w:val="0"/>
      <w:marBottom w:val="0"/>
      <w:divBdr>
        <w:top w:val="none" w:sz="0" w:space="0" w:color="auto"/>
        <w:left w:val="none" w:sz="0" w:space="0" w:color="auto"/>
        <w:bottom w:val="none" w:sz="0" w:space="0" w:color="auto"/>
        <w:right w:val="none" w:sz="0" w:space="0" w:color="auto"/>
      </w:divBdr>
    </w:div>
    <w:div w:id="1701472978">
      <w:bodyDiv w:val="1"/>
      <w:marLeft w:val="0"/>
      <w:marRight w:val="0"/>
      <w:marTop w:val="0"/>
      <w:marBottom w:val="0"/>
      <w:divBdr>
        <w:top w:val="none" w:sz="0" w:space="0" w:color="auto"/>
        <w:left w:val="none" w:sz="0" w:space="0" w:color="auto"/>
        <w:bottom w:val="none" w:sz="0" w:space="0" w:color="auto"/>
        <w:right w:val="none" w:sz="0" w:space="0" w:color="auto"/>
      </w:divBdr>
    </w:div>
    <w:div w:id="1701474142">
      <w:bodyDiv w:val="1"/>
      <w:marLeft w:val="0"/>
      <w:marRight w:val="0"/>
      <w:marTop w:val="0"/>
      <w:marBottom w:val="0"/>
      <w:divBdr>
        <w:top w:val="none" w:sz="0" w:space="0" w:color="auto"/>
        <w:left w:val="none" w:sz="0" w:space="0" w:color="auto"/>
        <w:bottom w:val="none" w:sz="0" w:space="0" w:color="auto"/>
        <w:right w:val="none" w:sz="0" w:space="0" w:color="auto"/>
      </w:divBdr>
    </w:div>
    <w:div w:id="1701708033">
      <w:bodyDiv w:val="1"/>
      <w:marLeft w:val="0"/>
      <w:marRight w:val="0"/>
      <w:marTop w:val="0"/>
      <w:marBottom w:val="0"/>
      <w:divBdr>
        <w:top w:val="none" w:sz="0" w:space="0" w:color="auto"/>
        <w:left w:val="none" w:sz="0" w:space="0" w:color="auto"/>
        <w:bottom w:val="none" w:sz="0" w:space="0" w:color="auto"/>
        <w:right w:val="none" w:sz="0" w:space="0" w:color="auto"/>
      </w:divBdr>
    </w:div>
    <w:div w:id="1701975978">
      <w:bodyDiv w:val="1"/>
      <w:marLeft w:val="0"/>
      <w:marRight w:val="0"/>
      <w:marTop w:val="0"/>
      <w:marBottom w:val="0"/>
      <w:divBdr>
        <w:top w:val="none" w:sz="0" w:space="0" w:color="auto"/>
        <w:left w:val="none" w:sz="0" w:space="0" w:color="auto"/>
        <w:bottom w:val="none" w:sz="0" w:space="0" w:color="auto"/>
        <w:right w:val="none" w:sz="0" w:space="0" w:color="auto"/>
      </w:divBdr>
    </w:div>
    <w:div w:id="1702046082">
      <w:bodyDiv w:val="1"/>
      <w:marLeft w:val="0"/>
      <w:marRight w:val="0"/>
      <w:marTop w:val="0"/>
      <w:marBottom w:val="0"/>
      <w:divBdr>
        <w:top w:val="none" w:sz="0" w:space="0" w:color="auto"/>
        <w:left w:val="none" w:sz="0" w:space="0" w:color="auto"/>
        <w:bottom w:val="none" w:sz="0" w:space="0" w:color="auto"/>
        <w:right w:val="none" w:sz="0" w:space="0" w:color="auto"/>
      </w:divBdr>
    </w:div>
    <w:div w:id="1702125465">
      <w:bodyDiv w:val="1"/>
      <w:marLeft w:val="0"/>
      <w:marRight w:val="0"/>
      <w:marTop w:val="0"/>
      <w:marBottom w:val="0"/>
      <w:divBdr>
        <w:top w:val="none" w:sz="0" w:space="0" w:color="auto"/>
        <w:left w:val="none" w:sz="0" w:space="0" w:color="auto"/>
        <w:bottom w:val="none" w:sz="0" w:space="0" w:color="auto"/>
        <w:right w:val="none" w:sz="0" w:space="0" w:color="auto"/>
      </w:divBdr>
    </w:div>
    <w:div w:id="1702169294">
      <w:bodyDiv w:val="1"/>
      <w:marLeft w:val="0"/>
      <w:marRight w:val="0"/>
      <w:marTop w:val="0"/>
      <w:marBottom w:val="0"/>
      <w:divBdr>
        <w:top w:val="none" w:sz="0" w:space="0" w:color="auto"/>
        <w:left w:val="none" w:sz="0" w:space="0" w:color="auto"/>
        <w:bottom w:val="none" w:sz="0" w:space="0" w:color="auto"/>
        <w:right w:val="none" w:sz="0" w:space="0" w:color="auto"/>
      </w:divBdr>
    </w:div>
    <w:div w:id="1702239217">
      <w:bodyDiv w:val="1"/>
      <w:marLeft w:val="0"/>
      <w:marRight w:val="0"/>
      <w:marTop w:val="0"/>
      <w:marBottom w:val="0"/>
      <w:divBdr>
        <w:top w:val="none" w:sz="0" w:space="0" w:color="auto"/>
        <w:left w:val="none" w:sz="0" w:space="0" w:color="auto"/>
        <w:bottom w:val="none" w:sz="0" w:space="0" w:color="auto"/>
        <w:right w:val="none" w:sz="0" w:space="0" w:color="auto"/>
      </w:divBdr>
    </w:div>
    <w:div w:id="1702318129">
      <w:bodyDiv w:val="1"/>
      <w:marLeft w:val="0"/>
      <w:marRight w:val="0"/>
      <w:marTop w:val="0"/>
      <w:marBottom w:val="0"/>
      <w:divBdr>
        <w:top w:val="none" w:sz="0" w:space="0" w:color="auto"/>
        <w:left w:val="none" w:sz="0" w:space="0" w:color="auto"/>
        <w:bottom w:val="none" w:sz="0" w:space="0" w:color="auto"/>
        <w:right w:val="none" w:sz="0" w:space="0" w:color="auto"/>
      </w:divBdr>
    </w:div>
    <w:div w:id="1702323564">
      <w:bodyDiv w:val="1"/>
      <w:marLeft w:val="0"/>
      <w:marRight w:val="0"/>
      <w:marTop w:val="0"/>
      <w:marBottom w:val="0"/>
      <w:divBdr>
        <w:top w:val="none" w:sz="0" w:space="0" w:color="auto"/>
        <w:left w:val="none" w:sz="0" w:space="0" w:color="auto"/>
        <w:bottom w:val="none" w:sz="0" w:space="0" w:color="auto"/>
        <w:right w:val="none" w:sz="0" w:space="0" w:color="auto"/>
      </w:divBdr>
    </w:div>
    <w:div w:id="1702389694">
      <w:bodyDiv w:val="1"/>
      <w:marLeft w:val="0"/>
      <w:marRight w:val="0"/>
      <w:marTop w:val="0"/>
      <w:marBottom w:val="0"/>
      <w:divBdr>
        <w:top w:val="none" w:sz="0" w:space="0" w:color="auto"/>
        <w:left w:val="none" w:sz="0" w:space="0" w:color="auto"/>
        <w:bottom w:val="none" w:sz="0" w:space="0" w:color="auto"/>
        <w:right w:val="none" w:sz="0" w:space="0" w:color="auto"/>
      </w:divBdr>
    </w:div>
    <w:div w:id="1702394156">
      <w:bodyDiv w:val="1"/>
      <w:marLeft w:val="0"/>
      <w:marRight w:val="0"/>
      <w:marTop w:val="0"/>
      <w:marBottom w:val="0"/>
      <w:divBdr>
        <w:top w:val="none" w:sz="0" w:space="0" w:color="auto"/>
        <w:left w:val="none" w:sz="0" w:space="0" w:color="auto"/>
        <w:bottom w:val="none" w:sz="0" w:space="0" w:color="auto"/>
        <w:right w:val="none" w:sz="0" w:space="0" w:color="auto"/>
      </w:divBdr>
    </w:div>
    <w:div w:id="1702508956">
      <w:bodyDiv w:val="1"/>
      <w:marLeft w:val="0"/>
      <w:marRight w:val="0"/>
      <w:marTop w:val="0"/>
      <w:marBottom w:val="0"/>
      <w:divBdr>
        <w:top w:val="none" w:sz="0" w:space="0" w:color="auto"/>
        <w:left w:val="none" w:sz="0" w:space="0" w:color="auto"/>
        <w:bottom w:val="none" w:sz="0" w:space="0" w:color="auto"/>
        <w:right w:val="none" w:sz="0" w:space="0" w:color="auto"/>
      </w:divBdr>
    </w:div>
    <w:div w:id="1702510241">
      <w:bodyDiv w:val="1"/>
      <w:marLeft w:val="0"/>
      <w:marRight w:val="0"/>
      <w:marTop w:val="0"/>
      <w:marBottom w:val="0"/>
      <w:divBdr>
        <w:top w:val="none" w:sz="0" w:space="0" w:color="auto"/>
        <w:left w:val="none" w:sz="0" w:space="0" w:color="auto"/>
        <w:bottom w:val="none" w:sz="0" w:space="0" w:color="auto"/>
        <w:right w:val="none" w:sz="0" w:space="0" w:color="auto"/>
      </w:divBdr>
    </w:div>
    <w:div w:id="1702631381">
      <w:bodyDiv w:val="1"/>
      <w:marLeft w:val="0"/>
      <w:marRight w:val="0"/>
      <w:marTop w:val="0"/>
      <w:marBottom w:val="0"/>
      <w:divBdr>
        <w:top w:val="none" w:sz="0" w:space="0" w:color="auto"/>
        <w:left w:val="none" w:sz="0" w:space="0" w:color="auto"/>
        <w:bottom w:val="none" w:sz="0" w:space="0" w:color="auto"/>
        <w:right w:val="none" w:sz="0" w:space="0" w:color="auto"/>
      </w:divBdr>
    </w:div>
    <w:div w:id="1702631439">
      <w:bodyDiv w:val="1"/>
      <w:marLeft w:val="0"/>
      <w:marRight w:val="0"/>
      <w:marTop w:val="0"/>
      <w:marBottom w:val="0"/>
      <w:divBdr>
        <w:top w:val="none" w:sz="0" w:space="0" w:color="auto"/>
        <w:left w:val="none" w:sz="0" w:space="0" w:color="auto"/>
        <w:bottom w:val="none" w:sz="0" w:space="0" w:color="auto"/>
        <w:right w:val="none" w:sz="0" w:space="0" w:color="auto"/>
      </w:divBdr>
    </w:div>
    <w:div w:id="1702784230">
      <w:bodyDiv w:val="1"/>
      <w:marLeft w:val="0"/>
      <w:marRight w:val="0"/>
      <w:marTop w:val="0"/>
      <w:marBottom w:val="0"/>
      <w:divBdr>
        <w:top w:val="none" w:sz="0" w:space="0" w:color="auto"/>
        <w:left w:val="none" w:sz="0" w:space="0" w:color="auto"/>
        <w:bottom w:val="none" w:sz="0" w:space="0" w:color="auto"/>
        <w:right w:val="none" w:sz="0" w:space="0" w:color="auto"/>
      </w:divBdr>
    </w:div>
    <w:div w:id="1702901737">
      <w:bodyDiv w:val="1"/>
      <w:marLeft w:val="0"/>
      <w:marRight w:val="0"/>
      <w:marTop w:val="0"/>
      <w:marBottom w:val="0"/>
      <w:divBdr>
        <w:top w:val="none" w:sz="0" w:space="0" w:color="auto"/>
        <w:left w:val="none" w:sz="0" w:space="0" w:color="auto"/>
        <w:bottom w:val="none" w:sz="0" w:space="0" w:color="auto"/>
        <w:right w:val="none" w:sz="0" w:space="0" w:color="auto"/>
      </w:divBdr>
    </w:div>
    <w:div w:id="1703093645">
      <w:bodyDiv w:val="1"/>
      <w:marLeft w:val="0"/>
      <w:marRight w:val="0"/>
      <w:marTop w:val="0"/>
      <w:marBottom w:val="0"/>
      <w:divBdr>
        <w:top w:val="none" w:sz="0" w:space="0" w:color="auto"/>
        <w:left w:val="none" w:sz="0" w:space="0" w:color="auto"/>
        <w:bottom w:val="none" w:sz="0" w:space="0" w:color="auto"/>
        <w:right w:val="none" w:sz="0" w:space="0" w:color="auto"/>
      </w:divBdr>
    </w:div>
    <w:div w:id="1703241574">
      <w:bodyDiv w:val="1"/>
      <w:marLeft w:val="0"/>
      <w:marRight w:val="0"/>
      <w:marTop w:val="0"/>
      <w:marBottom w:val="0"/>
      <w:divBdr>
        <w:top w:val="none" w:sz="0" w:space="0" w:color="auto"/>
        <w:left w:val="none" w:sz="0" w:space="0" w:color="auto"/>
        <w:bottom w:val="none" w:sz="0" w:space="0" w:color="auto"/>
        <w:right w:val="none" w:sz="0" w:space="0" w:color="auto"/>
      </w:divBdr>
    </w:div>
    <w:div w:id="1703361141">
      <w:bodyDiv w:val="1"/>
      <w:marLeft w:val="0"/>
      <w:marRight w:val="0"/>
      <w:marTop w:val="0"/>
      <w:marBottom w:val="0"/>
      <w:divBdr>
        <w:top w:val="none" w:sz="0" w:space="0" w:color="auto"/>
        <w:left w:val="none" w:sz="0" w:space="0" w:color="auto"/>
        <w:bottom w:val="none" w:sz="0" w:space="0" w:color="auto"/>
        <w:right w:val="none" w:sz="0" w:space="0" w:color="auto"/>
      </w:divBdr>
    </w:div>
    <w:div w:id="1703361492">
      <w:bodyDiv w:val="1"/>
      <w:marLeft w:val="0"/>
      <w:marRight w:val="0"/>
      <w:marTop w:val="0"/>
      <w:marBottom w:val="0"/>
      <w:divBdr>
        <w:top w:val="none" w:sz="0" w:space="0" w:color="auto"/>
        <w:left w:val="none" w:sz="0" w:space="0" w:color="auto"/>
        <w:bottom w:val="none" w:sz="0" w:space="0" w:color="auto"/>
        <w:right w:val="none" w:sz="0" w:space="0" w:color="auto"/>
      </w:divBdr>
    </w:div>
    <w:div w:id="1703628930">
      <w:bodyDiv w:val="1"/>
      <w:marLeft w:val="0"/>
      <w:marRight w:val="0"/>
      <w:marTop w:val="0"/>
      <w:marBottom w:val="0"/>
      <w:divBdr>
        <w:top w:val="none" w:sz="0" w:space="0" w:color="auto"/>
        <w:left w:val="none" w:sz="0" w:space="0" w:color="auto"/>
        <w:bottom w:val="none" w:sz="0" w:space="0" w:color="auto"/>
        <w:right w:val="none" w:sz="0" w:space="0" w:color="auto"/>
      </w:divBdr>
    </w:div>
    <w:div w:id="1703748871">
      <w:bodyDiv w:val="1"/>
      <w:marLeft w:val="0"/>
      <w:marRight w:val="0"/>
      <w:marTop w:val="0"/>
      <w:marBottom w:val="0"/>
      <w:divBdr>
        <w:top w:val="none" w:sz="0" w:space="0" w:color="auto"/>
        <w:left w:val="none" w:sz="0" w:space="0" w:color="auto"/>
        <w:bottom w:val="none" w:sz="0" w:space="0" w:color="auto"/>
        <w:right w:val="none" w:sz="0" w:space="0" w:color="auto"/>
      </w:divBdr>
    </w:div>
    <w:div w:id="1703819645">
      <w:bodyDiv w:val="1"/>
      <w:marLeft w:val="0"/>
      <w:marRight w:val="0"/>
      <w:marTop w:val="0"/>
      <w:marBottom w:val="0"/>
      <w:divBdr>
        <w:top w:val="none" w:sz="0" w:space="0" w:color="auto"/>
        <w:left w:val="none" w:sz="0" w:space="0" w:color="auto"/>
        <w:bottom w:val="none" w:sz="0" w:space="0" w:color="auto"/>
        <w:right w:val="none" w:sz="0" w:space="0" w:color="auto"/>
      </w:divBdr>
    </w:div>
    <w:div w:id="1703823667">
      <w:bodyDiv w:val="1"/>
      <w:marLeft w:val="0"/>
      <w:marRight w:val="0"/>
      <w:marTop w:val="0"/>
      <w:marBottom w:val="0"/>
      <w:divBdr>
        <w:top w:val="none" w:sz="0" w:space="0" w:color="auto"/>
        <w:left w:val="none" w:sz="0" w:space="0" w:color="auto"/>
        <w:bottom w:val="none" w:sz="0" w:space="0" w:color="auto"/>
        <w:right w:val="none" w:sz="0" w:space="0" w:color="auto"/>
      </w:divBdr>
    </w:div>
    <w:div w:id="1703823709">
      <w:bodyDiv w:val="1"/>
      <w:marLeft w:val="0"/>
      <w:marRight w:val="0"/>
      <w:marTop w:val="0"/>
      <w:marBottom w:val="0"/>
      <w:divBdr>
        <w:top w:val="none" w:sz="0" w:space="0" w:color="auto"/>
        <w:left w:val="none" w:sz="0" w:space="0" w:color="auto"/>
        <w:bottom w:val="none" w:sz="0" w:space="0" w:color="auto"/>
        <w:right w:val="none" w:sz="0" w:space="0" w:color="auto"/>
      </w:divBdr>
    </w:div>
    <w:div w:id="1703824427">
      <w:bodyDiv w:val="1"/>
      <w:marLeft w:val="0"/>
      <w:marRight w:val="0"/>
      <w:marTop w:val="0"/>
      <w:marBottom w:val="0"/>
      <w:divBdr>
        <w:top w:val="none" w:sz="0" w:space="0" w:color="auto"/>
        <w:left w:val="none" w:sz="0" w:space="0" w:color="auto"/>
        <w:bottom w:val="none" w:sz="0" w:space="0" w:color="auto"/>
        <w:right w:val="none" w:sz="0" w:space="0" w:color="auto"/>
      </w:divBdr>
    </w:div>
    <w:div w:id="1703895064">
      <w:bodyDiv w:val="1"/>
      <w:marLeft w:val="0"/>
      <w:marRight w:val="0"/>
      <w:marTop w:val="0"/>
      <w:marBottom w:val="0"/>
      <w:divBdr>
        <w:top w:val="none" w:sz="0" w:space="0" w:color="auto"/>
        <w:left w:val="none" w:sz="0" w:space="0" w:color="auto"/>
        <w:bottom w:val="none" w:sz="0" w:space="0" w:color="auto"/>
        <w:right w:val="none" w:sz="0" w:space="0" w:color="auto"/>
      </w:divBdr>
    </w:div>
    <w:div w:id="1703896519">
      <w:bodyDiv w:val="1"/>
      <w:marLeft w:val="0"/>
      <w:marRight w:val="0"/>
      <w:marTop w:val="0"/>
      <w:marBottom w:val="0"/>
      <w:divBdr>
        <w:top w:val="none" w:sz="0" w:space="0" w:color="auto"/>
        <w:left w:val="none" w:sz="0" w:space="0" w:color="auto"/>
        <w:bottom w:val="none" w:sz="0" w:space="0" w:color="auto"/>
        <w:right w:val="none" w:sz="0" w:space="0" w:color="auto"/>
      </w:divBdr>
    </w:div>
    <w:div w:id="1703940574">
      <w:bodyDiv w:val="1"/>
      <w:marLeft w:val="0"/>
      <w:marRight w:val="0"/>
      <w:marTop w:val="0"/>
      <w:marBottom w:val="0"/>
      <w:divBdr>
        <w:top w:val="none" w:sz="0" w:space="0" w:color="auto"/>
        <w:left w:val="none" w:sz="0" w:space="0" w:color="auto"/>
        <w:bottom w:val="none" w:sz="0" w:space="0" w:color="auto"/>
        <w:right w:val="none" w:sz="0" w:space="0" w:color="auto"/>
      </w:divBdr>
    </w:div>
    <w:div w:id="1703944946">
      <w:bodyDiv w:val="1"/>
      <w:marLeft w:val="0"/>
      <w:marRight w:val="0"/>
      <w:marTop w:val="0"/>
      <w:marBottom w:val="0"/>
      <w:divBdr>
        <w:top w:val="none" w:sz="0" w:space="0" w:color="auto"/>
        <w:left w:val="none" w:sz="0" w:space="0" w:color="auto"/>
        <w:bottom w:val="none" w:sz="0" w:space="0" w:color="auto"/>
        <w:right w:val="none" w:sz="0" w:space="0" w:color="auto"/>
      </w:divBdr>
    </w:div>
    <w:div w:id="1704011444">
      <w:bodyDiv w:val="1"/>
      <w:marLeft w:val="0"/>
      <w:marRight w:val="0"/>
      <w:marTop w:val="0"/>
      <w:marBottom w:val="0"/>
      <w:divBdr>
        <w:top w:val="none" w:sz="0" w:space="0" w:color="auto"/>
        <w:left w:val="none" w:sz="0" w:space="0" w:color="auto"/>
        <w:bottom w:val="none" w:sz="0" w:space="0" w:color="auto"/>
        <w:right w:val="none" w:sz="0" w:space="0" w:color="auto"/>
      </w:divBdr>
    </w:div>
    <w:div w:id="1704210694">
      <w:bodyDiv w:val="1"/>
      <w:marLeft w:val="0"/>
      <w:marRight w:val="0"/>
      <w:marTop w:val="0"/>
      <w:marBottom w:val="0"/>
      <w:divBdr>
        <w:top w:val="none" w:sz="0" w:space="0" w:color="auto"/>
        <w:left w:val="none" w:sz="0" w:space="0" w:color="auto"/>
        <w:bottom w:val="none" w:sz="0" w:space="0" w:color="auto"/>
        <w:right w:val="none" w:sz="0" w:space="0" w:color="auto"/>
      </w:divBdr>
    </w:div>
    <w:div w:id="1704405792">
      <w:bodyDiv w:val="1"/>
      <w:marLeft w:val="0"/>
      <w:marRight w:val="0"/>
      <w:marTop w:val="0"/>
      <w:marBottom w:val="0"/>
      <w:divBdr>
        <w:top w:val="none" w:sz="0" w:space="0" w:color="auto"/>
        <w:left w:val="none" w:sz="0" w:space="0" w:color="auto"/>
        <w:bottom w:val="none" w:sz="0" w:space="0" w:color="auto"/>
        <w:right w:val="none" w:sz="0" w:space="0" w:color="auto"/>
      </w:divBdr>
    </w:div>
    <w:div w:id="1704594700">
      <w:bodyDiv w:val="1"/>
      <w:marLeft w:val="0"/>
      <w:marRight w:val="0"/>
      <w:marTop w:val="0"/>
      <w:marBottom w:val="0"/>
      <w:divBdr>
        <w:top w:val="none" w:sz="0" w:space="0" w:color="auto"/>
        <w:left w:val="none" w:sz="0" w:space="0" w:color="auto"/>
        <w:bottom w:val="none" w:sz="0" w:space="0" w:color="auto"/>
        <w:right w:val="none" w:sz="0" w:space="0" w:color="auto"/>
      </w:divBdr>
    </w:div>
    <w:div w:id="1704599731">
      <w:bodyDiv w:val="1"/>
      <w:marLeft w:val="0"/>
      <w:marRight w:val="0"/>
      <w:marTop w:val="0"/>
      <w:marBottom w:val="0"/>
      <w:divBdr>
        <w:top w:val="none" w:sz="0" w:space="0" w:color="auto"/>
        <w:left w:val="none" w:sz="0" w:space="0" w:color="auto"/>
        <w:bottom w:val="none" w:sz="0" w:space="0" w:color="auto"/>
        <w:right w:val="none" w:sz="0" w:space="0" w:color="auto"/>
      </w:divBdr>
    </w:div>
    <w:div w:id="1704671763">
      <w:bodyDiv w:val="1"/>
      <w:marLeft w:val="0"/>
      <w:marRight w:val="0"/>
      <w:marTop w:val="0"/>
      <w:marBottom w:val="0"/>
      <w:divBdr>
        <w:top w:val="none" w:sz="0" w:space="0" w:color="auto"/>
        <w:left w:val="none" w:sz="0" w:space="0" w:color="auto"/>
        <w:bottom w:val="none" w:sz="0" w:space="0" w:color="auto"/>
        <w:right w:val="none" w:sz="0" w:space="0" w:color="auto"/>
      </w:divBdr>
    </w:div>
    <w:div w:id="1705016428">
      <w:bodyDiv w:val="1"/>
      <w:marLeft w:val="0"/>
      <w:marRight w:val="0"/>
      <w:marTop w:val="0"/>
      <w:marBottom w:val="0"/>
      <w:divBdr>
        <w:top w:val="none" w:sz="0" w:space="0" w:color="auto"/>
        <w:left w:val="none" w:sz="0" w:space="0" w:color="auto"/>
        <w:bottom w:val="none" w:sz="0" w:space="0" w:color="auto"/>
        <w:right w:val="none" w:sz="0" w:space="0" w:color="auto"/>
      </w:divBdr>
    </w:div>
    <w:div w:id="1705133441">
      <w:bodyDiv w:val="1"/>
      <w:marLeft w:val="0"/>
      <w:marRight w:val="0"/>
      <w:marTop w:val="0"/>
      <w:marBottom w:val="0"/>
      <w:divBdr>
        <w:top w:val="none" w:sz="0" w:space="0" w:color="auto"/>
        <w:left w:val="none" w:sz="0" w:space="0" w:color="auto"/>
        <w:bottom w:val="none" w:sz="0" w:space="0" w:color="auto"/>
        <w:right w:val="none" w:sz="0" w:space="0" w:color="auto"/>
      </w:divBdr>
    </w:div>
    <w:div w:id="1705252222">
      <w:bodyDiv w:val="1"/>
      <w:marLeft w:val="0"/>
      <w:marRight w:val="0"/>
      <w:marTop w:val="0"/>
      <w:marBottom w:val="0"/>
      <w:divBdr>
        <w:top w:val="none" w:sz="0" w:space="0" w:color="auto"/>
        <w:left w:val="none" w:sz="0" w:space="0" w:color="auto"/>
        <w:bottom w:val="none" w:sz="0" w:space="0" w:color="auto"/>
        <w:right w:val="none" w:sz="0" w:space="0" w:color="auto"/>
      </w:divBdr>
    </w:div>
    <w:div w:id="1705448255">
      <w:bodyDiv w:val="1"/>
      <w:marLeft w:val="0"/>
      <w:marRight w:val="0"/>
      <w:marTop w:val="0"/>
      <w:marBottom w:val="0"/>
      <w:divBdr>
        <w:top w:val="none" w:sz="0" w:space="0" w:color="auto"/>
        <w:left w:val="none" w:sz="0" w:space="0" w:color="auto"/>
        <w:bottom w:val="none" w:sz="0" w:space="0" w:color="auto"/>
        <w:right w:val="none" w:sz="0" w:space="0" w:color="auto"/>
      </w:divBdr>
    </w:div>
    <w:div w:id="1705640475">
      <w:bodyDiv w:val="1"/>
      <w:marLeft w:val="0"/>
      <w:marRight w:val="0"/>
      <w:marTop w:val="0"/>
      <w:marBottom w:val="0"/>
      <w:divBdr>
        <w:top w:val="none" w:sz="0" w:space="0" w:color="auto"/>
        <w:left w:val="none" w:sz="0" w:space="0" w:color="auto"/>
        <w:bottom w:val="none" w:sz="0" w:space="0" w:color="auto"/>
        <w:right w:val="none" w:sz="0" w:space="0" w:color="auto"/>
      </w:divBdr>
    </w:div>
    <w:div w:id="1705670479">
      <w:bodyDiv w:val="1"/>
      <w:marLeft w:val="0"/>
      <w:marRight w:val="0"/>
      <w:marTop w:val="0"/>
      <w:marBottom w:val="0"/>
      <w:divBdr>
        <w:top w:val="none" w:sz="0" w:space="0" w:color="auto"/>
        <w:left w:val="none" w:sz="0" w:space="0" w:color="auto"/>
        <w:bottom w:val="none" w:sz="0" w:space="0" w:color="auto"/>
        <w:right w:val="none" w:sz="0" w:space="0" w:color="auto"/>
      </w:divBdr>
    </w:div>
    <w:div w:id="1705709560">
      <w:bodyDiv w:val="1"/>
      <w:marLeft w:val="0"/>
      <w:marRight w:val="0"/>
      <w:marTop w:val="0"/>
      <w:marBottom w:val="0"/>
      <w:divBdr>
        <w:top w:val="none" w:sz="0" w:space="0" w:color="auto"/>
        <w:left w:val="none" w:sz="0" w:space="0" w:color="auto"/>
        <w:bottom w:val="none" w:sz="0" w:space="0" w:color="auto"/>
        <w:right w:val="none" w:sz="0" w:space="0" w:color="auto"/>
      </w:divBdr>
    </w:div>
    <w:div w:id="1705864512">
      <w:bodyDiv w:val="1"/>
      <w:marLeft w:val="0"/>
      <w:marRight w:val="0"/>
      <w:marTop w:val="0"/>
      <w:marBottom w:val="0"/>
      <w:divBdr>
        <w:top w:val="none" w:sz="0" w:space="0" w:color="auto"/>
        <w:left w:val="none" w:sz="0" w:space="0" w:color="auto"/>
        <w:bottom w:val="none" w:sz="0" w:space="0" w:color="auto"/>
        <w:right w:val="none" w:sz="0" w:space="0" w:color="auto"/>
      </w:divBdr>
    </w:div>
    <w:div w:id="1705909497">
      <w:bodyDiv w:val="1"/>
      <w:marLeft w:val="0"/>
      <w:marRight w:val="0"/>
      <w:marTop w:val="0"/>
      <w:marBottom w:val="0"/>
      <w:divBdr>
        <w:top w:val="none" w:sz="0" w:space="0" w:color="auto"/>
        <w:left w:val="none" w:sz="0" w:space="0" w:color="auto"/>
        <w:bottom w:val="none" w:sz="0" w:space="0" w:color="auto"/>
        <w:right w:val="none" w:sz="0" w:space="0" w:color="auto"/>
      </w:divBdr>
    </w:div>
    <w:div w:id="1706052587">
      <w:bodyDiv w:val="1"/>
      <w:marLeft w:val="0"/>
      <w:marRight w:val="0"/>
      <w:marTop w:val="0"/>
      <w:marBottom w:val="0"/>
      <w:divBdr>
        <w:top w:val="none" w:sz="0" w:space="0" w:color="auto"/>
        <w:left w:val="none" w:sz="0" w:space="0" w:color="auto"/>
        <w:bottom w:val="none" w:sz="0" w:space="0" w:color="auto"/>
        <w:right w:val="none" w:sz="0" w:space="0" w:color="auto"/>
      </w:divBdr>
    </w:div>
    <w:div w:id="1706102401">
      <w:bodyDiv w:val="1"/>
      <w:marLeft w:val="0"/>
      <w:marRight w:val="0"/>
      <w:marTop w:val="0"/>
      <w:marBottom w:val="0"/>
      <w:divBdr>
        <w:top w:val="none" w:sz="0" w:space="0" w:color="auto"/>
        <w:left w:val="none" w:sz="0" w:space="0" w:color="auto"/>
        <w:bottom w:val="none" w:sz="0" w:space="0" w:color="auto"/>
        <w:right w:val="none" w:sz="0" w:space="0" w:color="auto"/>
      </w:divBdr>
    </w:div>
    <w:div w:id="1706562946">
      <w:bodyDiv w:val="1"/>
      <w:marLeft w:val="0"/>
      <w:marRight w:val="0"/>
      <w:marTop w:val="0"/>
      <w:marBottom w:val="0"/>
      <w:divBdr>
        <w:top w:val="none" w:sz="0" w:space="0" w:color="auto"/>
        <w:left w:val="none" w:sz="0" w:space="0" w:color="auto"/>
        <w:bottom w:val="none" w:sz="0" w:space="0" w:color="auto"/>
        <w:right w:val="none" w:sz="0" w:space="0" w:color="auto"/>
      </w:divBdr>
    </w:div>
    <w:div w:id="1706826041">
      <w:bodyDiv w:val="1"/>
      <w:marLeft w:val="0"/>
      <w:marRight w:val="0"/>
      <w:marTop w:val="0"/>
      <w:marBottom w:val="0"/>
      <w:divBdr>
        <w:top w:val="none" w:sz="0" w:space="0" w:color="auto"/>
        <w:left w:val="none" w:sz="0" w:space="0" w:color="auto"/>
        <w:bottom w:val="none" w:sz="0" w:space="0" w:color="auto"/>
        <w:right w:val="none" w:sz="0" w:space="0" w:color="auto"/>
      </w:divBdr>
    </w:div>
    <w:div w:id="1706952614">
      <w:bodyDiv w:val="1"/>
      <w:marLeft w:val="0"/>
      <w:marRight w:val="0"/>
      <w:marTop w:val="0"/>
      <w:marBottom w:val="0"/>
      <w:divBdr>
        <w:top w:val="none" w:sz="0" w:space="0" w:color="auto"/>
        <w:left w:val="none" w:sz="0" w:space="0" w:color="auto"/>
        <w:bottom w:val="none" w:sz="0" w:space="0" w:color="auto"/>
        <w:right w:val="none" w:sz="0" w:space="0" w:color="auto"/>
      </w:divBdr>
    </w:div>
    <w:div w:id="1707177560">
      <w:bodyDiv w:val="1"/>
      <w:marLeft w:val="0"/>
      <w:marRight w:val="0"/>
      <w:marTop w:val="0"/>
      <w:marBottom w:val="0"/>
      <w:divBdr>
        <w:top w:val="none" w:sz="0" w:space="0" w:color="auto"/>
        <w:left w:val="none" w:sz="0" w:space="0" w:color="auto"/>
        <w:bottom w:val="none" w:sz="0" w:space="0" w:color="auto"/>
        <w:right w:val="none" w:sz="0" w:space="0" w:color="auto"/>
      </w:divBdr>
    </w:div>
    <w:div w:id="1707363743">
      <w:bodyDiv w:val="1"/>
      <w:marLeft w:val="0"/>
      <w:marRight w:val="0"/>
      <w:marTop w:val="0"/>
      <w:marBottom w:val="0"/>
      <w:divBdr>
        <w:top w:val="none" w:sz="0" w:space="0" w:color="auto"/>
        <w:left w:val="none" w:sz="0" w:space="0" w:color="auto"/>
        <w:bottom w:val="none" w:sz="0" w:space="0" w:color="auto"/>
        <w:right w:val="none" w:sz="0" w:space="0" w:color="auto"/>
      </w:divBdr>
    </w:div>
    <w:div w:id="1707485485">
      <w:bodyDiv w:val="1"/>
      <w:marLeft w:val="0"/>
      <w:marRight w:val="0"/>
      <w:marTop w:val="0"/>
      <w:marBottom w:val="0"/>
      <w:divBdr>
        <w:top w:val="none" w:sz="0" w:space="0" w:color="auto"/>
        <w:left w:val="none" w:sz="0" w:space="0" w:color="auto"/>
        <w:bottom w:val="none" w:sz="0" w:space="0" w:color="auto"/>
        <w:right w:val="none" w:sz="0" w:space="0" w:color="auto"/>
      </w:divBdr>
    </w:div>
    <w:div w:id="1707559827">
      <w:bodyDiv w:val="1"/>
      <w:marLeft w:val="0"/>
      <w:marRight w:val="0"/>
      <w:marTop w:val="0"/>
      <w:marBottom w:val="0"/>
      <w:divBdr>
        <w:top w:val="none" w:sz="0" w:space="0" w:color="auto"/>
        <w:left w:val="none" w:sz="0" w:space="0" w:color="auto"/>
        <w:bottom w:val="none" w:sz="0" w:space="0" w:color="auto"/>
        <w:right w:val="none" w:sz="0" w:space="0" w:color="auto"/>
      </w:divBdr>
    </w:div>
    <w:div w:id="1707674141">
      <w:bodyDiv w:val="1"/>
      <w:marLeft w:val="0"/>
      <w:marRight w:val="0"/>
      <w:marTop w:val="0"/>
      <w:marBottom w:val="0"/>
      <w:divBdr>
        <w:top w:val="none" w:sz="0" w:space="0" w:color="auto"/>
        <w:left w:val="none" w:sz="0" w:space="0" w:color="auto"/>
        <w:bottom w:val="none" w:sz="0" w:space="0" w:color="auto"/>
        <w:right w:val="none" w:sz="0" w:space="0" w:color="auto"/>
      </w:divBdr>
    </w:div>
    <w:div w:id="1707757605">
      <w:bodyDiv w:val="1"/>
      <w:marLeft w:val="0"/>
      <w:marRight w:val="0"/>
      <w:marTop w:val="0"/>
      <w:marBottom w:val="0"/>
      <w:divBdr>
        <w:top w:val="none" w:sz="0" w:space="0" w:color="auto"/>
        <w:left w:val="none" w:sz="0" w:space="0" w:color="auto"/>
        <w:bottom w:val="none" w:sz="0" w:space="0" w:color="auto"/>
        <w:right w:val="none" w:sz="0" w:space="0" w:color="auto"/>
      </w:divBdr>
    </w:div>
    <w:div w:id="1707832364">
      <w:bodyDiv w:val="1"/>
      <w:marLeft w:val="0"/>
      <w:marRight w:val="0"/>
      <w:marTop w:val="0"/>
      <w:marBottom w:val="0"/>
      <w:divBdr>
        <w:top w:val="none" w:sz="0" w:space="0" w:color="auto"/>
        <w:left w:val="none" w:sz="0" w:space="0" w:color="auto"/>
        <w:bottom w:val="none" w:sz="0" w:space="0" w:color="auto"/>
        <w:right w:val="none" w:sz="0" w:space="0" w:color="auto"/>
      </w:divBdr>
    </w:div>
    <w:div w:id="1707869665">
      <w:bodyDiv w:val="1"/>
      <w:marLeft w:val="0"/>
      <w:marRight w:val="0"/>
      <w:marTop w:val="0"/>
      <w:marBottom w:val="0"/>
      <w:divBdr>
        <w:top w:val="none" w:sz="0" w:space="0" w:color="auto"/>
        <w:left w:val="none" w:sz="0" w:space="0" w:color="auto"/>
        <w:bottom w:val="none" w:sz="0" w:space="0" w:color="auto"/>
        <w:right w:val="none" w:sz="0" w:space="0" w:color="auto"/>
      </w:divBdr>
    </w:div>
    <w:div w:id="1707949985">
      <w:bodyDiv w:val="1"/>
      <w:marLeft w:val="0"/>
      <w:marRight w:val="0"/>
      <w:marTop w:val="0"/>
      <w:marBottom w:val="0"/>
      <w:divBdr>
        <w:top w:val="none" w:sz="0" w:space="0" w:color="auto"/>
        <w:left w:val="none" w:sz="0" w:space="0" w:color="auto"/>
        <w:bottom w:val="none" w:sz="0" w:space="0" w:color="auto"/>
        <w:right w:val="none" w:sz="0" w:space="0" w:color="auto"/>
      </w:divBdr>
    </w:div>
    <w:div w:id="1707950432">
      <w:bodyDiv w:val="1"/>
      <w:marLeft w:val="0"/>
      <w:marRight w:val="0"/>
      <w:marTop w:val="0"/>
      <w:marBottom w:val="0"/>
      <w:divBdr>
        <w:top w:val="none" w:sz="0" w:space="0" w:color="auto"/>
        <w:left w:val="none" w:sz="0" w:space="0" w:color="auto"/>
        <w:bottom w:val="none" w:sz="0" w:space="0" w:color="auto"/>
        <w:right w:val="none" w:sz="0" w:space="0" w:color="auto"/>
      </w:divBdr>
    </w:div>
    <w:div w:id="1708215553">
      <w:bodyDiv w:val="1"/>
      <w:marLeft w:val="0"/>
      <w:marRight w:val="0"/>
      <w:marTop w:val="0"/>
      <w:marBottom w:val="0"/>
      <w:divBdr>
        <w:top w:val="none" w:sz="0" w:space="0" w:color="auto"/>
        <w:left w:val="none" w:sz="0" w:space="0" w:color="auto"/>
        <w:bottom w:val="none" w:sz="0" w:space="0" w:color="auto"/>
        <w:right w:val="none" w:sz="0" w:space="0" w:color="auto"/>
      </w:divBdr>
    </w:div>
    <w:div w:id="1708218961">
      <w:bodyDiv w:val="1"/>
      <w:marLeft w:val="0"/>
      <w:marRight w:val="0"/>
      <w:marTop w:val="0"/>
      <w:marBottom w:val="0"/>
      <w:divBdr>
        <w:top w:val="none" w:sz="0" w:space="0" w:color="auto"/>
        <w:left w:val="none" w:sz="0" w:space="0" w:color="auto"/>
        <w:bottom w:val="none" w:sz="0" w:space="0" w:color="auto"/>
        <w:right w:val="none" w:sz="0" w:space="0" w:color="auto"/>
      </w:divBdr>
    </w:div>
    <w:div w:id="1708262537">
      <w:bodyDiv w:val="1"/>
      <w:marLeft w:val="0"/>
      <w:marRight w:val="0"/>
      <w:marTop w:val="0"/>
      <w:marBottom w:val="0"/>
      <w:divBdr>
        <w:top w:val="none" w:sz="0" w:space="0" w:color="auto"/>
        <w:left w:val="none" w:sz="0" w:space="0" w:color="auto"/>
        <w:bottom w:val="none" w:sz="0" w:space="0" w:color="auto"/>
        <w:right w:val="none" w:sz="0" w:space="0" w:color="auto"/>
      </w:divBdr>
    </w:div>
    <w:div w:id="1708287502">
      <w:bodyDiv w:val="1"/>
      <w:marLeft w:val="0"/>
      <w:marRight w:val="0"/>
      <w:marTop w:val="0"/>
      <w:marBottom w:val="0"/>
      <w:divBdr>
        <w:top w:val="none" w:sz="0" w:space="0" w:color="auto"/>
        <w:left w:val="none" w:sz="0" w:space="0" w:color="auto"/>
        <w:bottom w:val="none" w:sz="0" w:space="0" w:color="auto"/>
        <w:right w:val="none" w:sz="0" w:space="0" w:color="auto"/>
      </w:divBdr>
    </w:div>
    <w:div w:id="1708335063">
      <w:bodyDiv w:val="1"/>
      <w:marLeft w:val="0"/>
      <w:marRight w:val="0"/>
      <w:marTop w:val="0"/>
      <w:marBottom w:val="0"/>
      <w:divBdr>
        <w:top w:val="none" w:sz="0" w:space="0" w:color="auto"/>
        <w:left w:val="none" w:sz="0" w:space="0" w:color="auto"/>
        <w:bottom w:val="none" w:sz="0" w:space="0" w:color="auto"/>
        <w:right w:val="none" w:sz="0" w:space="0" w:color="auto"/>
      </w:divBdr>
    </w:div>
    <w:div w:id="1708412469">
      <w:bodyDiv w:val="1"/>
      <w:marLeft w:val="0"/>
      <w:marRight w:val="0"/>
      <w:marTop w:val="0"/>
      <w:marBottom w:val="0"/>
      <w:divBdr>
        <w:top w:val="none" w:sz="0" w:space="0" w:color="auto"/>
        <w:left w:val="none" w:sz="0" w:space="0" w:color="auto"/>
        <w:bottom w:val="none" w:sz="0" w:space="0" w:color="auto"/>
        <w:right w:val="none" w:sz="0" w:space="0" w:color="auto"/>
      </w:divBdr>
    </w:div>
    <w:div w:id="1708524702">
      <w:bodyDiv w:val="1"/>
      <w:marLeft w:val="0"/>
      <w:marRight w:val="0"/>
      <w:marTop w:val="0"/>
      <w:marBottom w:val="0"/>
      <w:divBdr>
        <w:top w:val="none" w:sz="0" w:space="0" w:color="auto"/>
        <w:left w:val="none" w:sz="0" w:space="0" w:color="auto"/>
        <w:bottom w:val="none" w:sz="0" w:space="0" w:color="auto"/>
        <w:right w:val="none" w:sz="0" w:space="0" w:color="auto"/>
      </w:divBdr>
    </w:div>
    <w:div w:id="1708605420">
      <w:bodyDiv w:val="1"/>
      <w:marLeft w:val="0"/>
      <w:marRight w:val="0"/>
      <w:marTop w:val="0"/>
      <w:marBottom w:val="0"/>
      <w:divBdr>
        <w:top w:val="none" w:sz="0" w:space="0" w:color="auto"/>
        <w:left w:val="none" w:sz="0" w:space="0" w:color="auto"/>
        <w:bottom w:val="none" w:sz="0" w:space="0" w:color="auto"/>
        <w:right w:val="none" w:sz="0" w:space="0" w:color="auto"/>
      </w:divBdr>
    </w:div>
    <w:div w:id="1708674092">
      <w:bodyDiv w:val="1"/>
      <w:marLeft w:val="0"/>
      <w:marRight w:val="0"/>
      <w:marTop w:val="0"/>
      <w:marBottom w:val="0"/>
      <w:divBdr>
        <w:top w:val="none" w:sz="0" w:space="0" w:color="auto"/>
        <w:left w:val="none" w:sz="0" w:space="0" w:color="auto"/>
        <w:bottom w:val="none" w:sz="0" w:space="0" w:color="auto"/>
        <w:right w:val="none" w:sz="0" w:space="0" w:color="auto"/>
      </w:divBdr>
    </w:div>
    <w:div w:id="1708791500">
      <w:bodyDiv w:val="1"/>
      <w:marLeft w:val="0"/>
      <w:marRight w:val="0"/>
      <w:marTop w:val="0"/>
      <w:marBottom w:val="0"/>
      <w:divBdr>
        <w:top w:val="none" w:sz="0" w:space="0" w:color="auto"/>
        <w:left w:val="none" w:sz="0" w:space="0" w:color="auto"/>
        <w:bottom w:val="none" w:sz="0" w:space="0" w:color="auto"/>
        <w:right w:val="none" w:sz="0" w:space="0" w:color="auto"/>
      </w:divBdr>
    </w:div>
    <w:div w:id="1708795297">
      <w:bodyDiv w:val="1"/>
      <w:marLeft w:val="0"/>
      <w:marRight w:val="0"/>
      <w:marTop w:val="0"/>
      <w:marBottom w:val="0"/>
      <w:divBdr>
        <w:top w:val="none" w:sz="0" w:space="0" w:color="auto"/>
        <w:left w:val="none" w:sz="0" w:space="0" w:color="auto"/>
        <w:bottom w:val="none" w:sz="0" w:space="0" w:color="auto"/>
        <w:right w:val="none" w:sz="0" w:space="0" w:color="auto"/>
      </w:divBdr>
    </w:div>
    <w:div w:id="1708874054">
      <w:bodyDiv w:val="1"/>
      <w:marLeft w:val="0"/>
      <w:marRight w:val="0"/>
      <w:marTop w:val="0"/>
      <w:marBottom w:val="0"/>
      <w:divBdr>
        <w:top w:val="none" w:sz="0" w:space="0" w:color="auto"/>
        <w:left w:val="none" w:sz="0" w:space="0" w:color="auto"/>
        <w:bottom w:val="none" w:sz="0" w:space="0" w:color="auto"/>
        <w:right w:val="none" w:sz="0" w:space="0" w:color="auto"/>
      </w:divBdr>
    </w:div>
    <w:div w:id="1709065361">
      <w:bodyDiv w:val="1"/>
      <w:marLeft w:val="0"/>
      <w:marRight w:val="0"/>
      <w:marTop w:val="0"/>
      <w:marBottom w:val="0"/>
      <w:divBdr>
        <w:top w:val="none" w:sz="0" w:space="0" w:color="auto"/>
        <w:left w:val="none" w:sz="0" w:space="0" w:color="auto"/>
        <w:bottom w:val="none" w:sz="0" w:space="0" w:color="auto"/>
        <w:right w:val="none" w:sz="0" w:space="0" w:color="auto"/>
      </w:divBdr>
    </w:div>
    <w:div w:id="1709067981">
      <w:bodyDiv w:val="1"/>
      <w:marLeft w:val="0"/>
      <w:marRight w:val="0"/>
      <w:marTop w:val="0"/>
      <w:marBottom w:val="0"/>
      <w:divBdr>
        <w:top w:val="none" w:sz="0" w:space="0" w:color="auto"/>
        <w:left w:val="none" w:sz="0" w:space="0" w:color="auto"/>
        <w:bottom w:val="none" w:sz="0" w:space="0" w:color="auto"/>
        <w:right w:val="none" w:sz="0" w:space="0" w:color="auto"/>
      </w:divBdr>
    </w:div>
    <w:div w:id="1709068217">
      <w:bodyDiv w:val="1"/>
      <w:marLeft w:val="0"/>
      <w:marRight w:val="0"/>
      <w:marTop w:val="0"/>
      <w:marBottom w:val="0"/>
      <w:divBdr>
        <w:top w:val="none" w:sz="0" w:space="0" w:color="auto"/>
        <w:left w:val="none" w:sz="0" w:space="0" w:color="auto"/>
        <w:bottom w:val="none" w:sz="0" w:space="0" w:color="auto"/>
        <w:right w:val="none" w:sz="0" w:space="0" w:color="auto"/>
      </w:divBdr>
    </w:div>
    <w:div w:id="1709258323">
      <w:bodyDiv w:val="1"/>
      <w:marLeft w:val="0"/>
      <w:marRight w:val="0"/>
      <w:marTop w:val="0"/>
      <w:marBottom w:val="0"/>
      <w:divBdr>
        <w:top w:val="none" w:sz="0" w:space="0" w:color="auto"/>
        <w:left w:val="none" w:sz="0" w:space="0" w:color="auto"/>
        <w:bottom w:val="none" w:sz="0" w:space="0" w:color="auto"/>
        <w:right w:val="none" w:sz="0" w:space="0" w:color="auto"/>
      </w:divBdr>
    </w:div>
    <w:div w:id="1709379433">
      <w:bodyDiv w:val="1"/>
      <w:marLeft w:val="0"/>
      <w:marRight w:val="0"/>
      <w:marTop w:val="0"/>
      <w:marBottom w:val="0"/>
      <w:divBdr>
        <w:top w:val="none" w:sz="0" w:space="0" w:color="auto"/>
        <w:left w:val="none" w:sz="0" w:space="0" w:color="auto"/>
        <w:bottom w:val="none" w:sz="0" w:space="0" w:color="auto"/>
        <w:right w:val="none" w:sz="0" w:space="0" w:color="auto"/>
      </w:divBdr>
    </w:div>
    <w:div w:id="1709456196">
      <w:bodyDiv w:val="1"/>
      <w:marLeft w:val="0"/>
      <w:marRight w:val="0"/>
      <w:marTop w:val="0"/>
      <w:marBottom w:val="0"/>
      <w:divBdr>
        <w:top w:val="none" w:sz="0" w:space="0" w:color="auto"/>
        <w:left w:val="none" w:sz="0" w:space="0" w:color="auto"/>
        <w:bottom w:val="none" w:sz="0" w:space="0" w:color="auto"/>
        <w:right w:val="none" w:sz="0" w:space="0" w:color="auto"/>
      </w:divBdr>
    </w:div>
    <w:div w:id="1709573193">
      <w:bodyDiv w:val="1"/>
      <w:marLeft w:val="0"/>
      <w:marRight w:val="0"/>
      <w:marTop w:val="0"/>
      <w:marBottom w:val="0"/>
      <w:divBdr>
        <w:top w:val="none" w:sz="0" w:space="0" w:color="auto"/>
        <w:left w:val="none" w:sz="0" w:space="0" w:color="auto"/>
        <w:bottom w:val="none" w:sz="0" w:space="0" w:color="auto"/>
        <w:right w:val="none" w:sz="0" w:space="0" w:color="auto"/>
      </w:divBdr>
    </w:div>
    <w:div w:id="1709716067">
      <w:bodyDiv w:val="1"/>
      <w:marLeft w:val="0"/>
      <w:marRight w:val="0"/>
      <w:marTop w:val="0"/>
      <w:marBottom w:val="0"/>
      <w:divBdr>
        <w:top w:val="none" w:sz="0" w:space="0" w:color="auto"/>
        <w:left w:val="none" w:sz="0" w:space="0" w:color="auto"/>
        <w:bottom w:val="none" w:sz="0" w:space="0" w:color="auto"/>
        <w:right w:val="none" w:sz="0" w:space="0" w:color="auto"/>
      </w:divBdr>
    </w:div>
    <w:div w:id="1709716524">
      <w:bodyDiv w:val="1"/>
      <w:marLeft w:val="0"/>
      <w:marRight w:val="0"/>
      <w:marTop w:val="0"/>
      <w:marBottom w:val="0"/>
      <w:divBdr>
        <w:top w:val="none" w:sz="0" w:space="0" w:color="auto"/>
        <w:left w:val="none" w:sz="0" w:space="0" w:color="auto"/>
        <w:bottom w:val="none" w:sz="0" w:space="0" w:color="auto"/>
        <w:right w:val="none" w:sz="0" w:space="0" w:color="auto"/>
      </w:divBdr>
    </w:div>
    <w:div w:id="1709798752">
      <w:bodyDiv w:val="1"/>
      <w:marLeft w:val="0"/>
      <w:marRight w:val="0"/>
      <w:marTop w:val="0"/>
      <w:marBottom w:val="0"/>
      <w:divBdr>
        <w:top w:val="none" w:sz="0" w:space="0" w:color="auto"/>
        <w:left w:val="none" w:sz="0" w:space="0" w:color="auto"/>
        <w:bottom w:val="none" w:sz="0" w:space="0" w:color="auto"/>
        <w:right w:val="none" w:sz="0" w:space="0" w:color="auto"/>
      </w:divBdr>
    </w:div>
    <w:div w:id="1709841950">
      <w:bodyDiv w:val="1"/>
      <w:marLeft w:val="0"/>
      <w:marRight w:val="0"/>
      <w:marTop w:val="0"/>
      <w:marBottom w:val="0"/>
      <w:divBdr>
        <w:top w:val="none" w:sz="0" w:space="0" w:color="auto"/>
        <w:left w:val="none" w:sz="0" w:space="0" w:color="auto"/>
        <w:bottom w:val="none" w:sz="0" w:space="0" w:color="auto"/>
        <w:right w:val="none" w:sz="0" w:space="0" w:color="auto"/>
      </w:divBdr>
    </w:div>
    <w:div w:id="1709911517">
      <w:bodyDiv w:val="1"/>
      <w:marLeft w:val="0"/>
      <w:marRight w:val="0"/>
      <w:marTop w:val="0"/>
      <w:marBottom w:val="0"/>
      <w:divBdr>
        <w:top w:val="none" w:sz="0" w:space="0" w:color="auto"/>
        <w:left w:val="none" w:sz="0" w:space="0" w:color="auto"/>
        <w:bottom w:val="none" w:sz="0" w:space="0" w:color="auto"/>
        <w:right w:val="none" w:sz="0" w:space="0" w:color="auto"/>
      </w:divBdr>
    </w:div>
    <w:div w:id="1710105883">
      <w:bodyDiv w:val="1"/>
      <w:marLeft w:val="0"/>
      <w:marRight w:val="0"/>
      <w:marTop w:val="0"/>
      <w:marBottom w:val="0"/>
      <w:divBdr>
        <w:top w:val="none" w:sz="0" w:space="0" w:color="auto"/>
        <w:left w:val="none" w:sz="0" w:space="0" w:color="auto"/>
        <w:bottom w:val="none" w:sz="0" w:space="0" w:color="auto"/>
        <w:right w:val="none" w:sz="0" w:space="0" w:color="auto"/>
      </w:divBdr>
    </w:div>
    <w:div w:id="1710301578">
      <w:bodyDiv w:val="1"/>
      <w:marLeft w:val="0"/>
      <w:marRight w:val="0"/>
      <w:marTop w:val="0"/>
      <w:marBottom w:val="0"/>
      <w:divBdr>
        <w:top w:val="none" w:sz="0" w:space="0" w:color="auto"/>
        <w:left w:val="none" w:sz="0" w:space="0" w:color="auto"/>
        <w:bottom w:val="none" w:sz="0" w:space="0" w:color="auto"/>
        <w:right w:val="none" w:sz="0" w:space="0" w:color="auto"/>
      </w:divBdr>
    </w:div>
    <w:div w:id="1710302097">
      <w:bodyDiv w:val="1"/>
      <w:marLeft w:val="0"/>
      <w:marRight w:val="0"/>
      <w:marTop w:val="0"/>
      <w:marBottom w:val="0"/>
      <w:divBdr>
        <w:top w:val="none" w:sz="0" w:space="0" w:color="auto"/>
        <w:left w:val="none" w:sz="0" w:space="0" w:color="auto"/>
        <w:bottom w:val="none" w:sz="0" w:space="0" w:color="auto"/>
        <w:right w:val="none" w:sz="0" w:space="0" w:color="auto"/>
      </w:divBdr>
    </w:div>
    <w:div w:id="1710302353">
      <w:bodyDiv w:val="1"/>
      <w:marLeft w:val="0"/>
      <w:marRight w:val="0"/>
      <w:marTop w:val="0"/>
      <w:marBottom w:val="0"/>
      <w:divBdr>
        <w:top w:val="none" w:sz="0" w:space="0" w:color="auto"/>
        <w:left w:val="none" w:sz="0" w:space="0" w:color="auto"/>
        <w:bottom w:val="none" w:sz="0" w:space="0" w:color="auto"/>
        <w:right w:val="none" w:sz="0" w:space="0" w:color="auto"/>
      </w:divBdr>
    </w:div>
    <w:div w:id="1710371900">
      <w:bodyDiv w:val="1"/>
      <w:marLeft w:val="0"/>
      <w:marRight w:val="0"/>
      <w:marTop w:val="0"/>
      <w:marBottom w:val="0"/>
      <w:divBdr>
        <w:top w:val="none" w:sz="0" w:space="0" w:color="auto"/>
        <w:left w:val="none" w:sz="0" w:space="0" w:color="auto"/>
        <w:bottom w:val="none" w:sz="0" w:space="0" w:color="auto"/>
        <w:right w:val="none" w:sz="0" w:space="0" w:color="auto"/>
      </w:divBdr>
    </w:div>
    <w:div w:id="1710565675">
      <w:bodyDiv w:val="1"/>
      <w:marLeft w:val="0"/>
      <w:marRight w:val="0"/>
      <w:marTop w:val="0"/>
      <w:marBottom w:val="0"/>
      <w:divBdr>
        <w:top w:val="none" w:sz="0" w:space="0" w:color="auto"/>
        <w:left w:val="none" w:sz="0" w:space="0" w:color="auto"/>
        <w:bottom w:val="none" w:sz="0" w:space="0" w:color="auto"/>
        <w:right w:val="none" w:sz="0" w:space="0" w:color="auto"/>
      </w:divBdr>
    </w:div>
    <w:div w:id="1710648672">
      <w:bodyDiv w:val="1"/>
      <w:marLeft w:val="0"/>
      <w:marRight w:val="0"/>
      <w:marTop w:val="0"/>
      <w:marBottom w:val="0"/>
      <w:divBdr>
        <w:top w:val="none" w:sz="0" w:space="0" w:color="auto"/>
        <w:left w:val="none" w:sz="0" w:space="0" w:color="auto"/>
        <w:bottom w:val="none" w:sz="0" w:space="0" w:color="auto"/>
        <w:right w:val="none" w:sz="0" w:space="0" w:color="auto"/>
      </w:divBdr>
    </w:div>
    <w:div w:id="1710686256">
      <w:bodyDiv w:val="1"/>
      <w:marLeft w:val="0"/>
      <w:marRight w:val="0"/>
      <w:marTop w:val="0"/>
      <w:marBottom w:val="0"/>
      <w:divBdr>
        <w:top w:val="none" w:sz="0" w:space="0" w:color="auto"/>
        <w:left w:val="none" w:sz="0" w:space="0" w:color="auto"/>
        <w:bottom w:val="none" w:sz="0" w:space="0" w:color="auto"/>
        <w:right w:val="none" w:sz="0" w:space="0" w:color="auto"/>
      </w:divBdr>
    </w:div>
    <w:div w:id="1710718929">
      <w:bodyDiv w:val="1"/>
      <w:marLeft w:val="0"/>
      <w:marRight w:val="0"/>
      <w:marTop w:val="0"/>
      <w:marBottom w:val="0"/>
      <w:divBdr>
        <w:top w:val="none" w:sz="0" w:space="0" w:color="auto"/>
        <w:left w:val="none" w:sz="0" w:space="0" w:color="auto"/>
        <w:bottom w:val="none" w:sz="0" w:space="0" w:color="auto"/>
        <w:right w:val="none" w:sz="0" w:space="0" w:color="auto"/>
      </w:divBdr>
    </w:div>
    <w:div w:id="1710759886">
      <w:bodyDiv w:val="1"/>
      <w:marLeft w:val="0"/>
      <w:marRight w:val="0"/>
      <w:marTop w:val="0"/>
      <w:marBottom w:val="0"/>
      <w:divBdr>
        <w:top w:val="none" w:sz="0" w:space="0" w:color="auto"/>
        <w:left w:val="none" w:sz="0" w:space="0" w:color="auto"/>
        <w:bottom w:val="none" w:sz="0" w:space="0" w:color="auto"/>
        <w:right w:val="none" w:sz="0" w:space="0" w:color="auto"/>
      </w:divBdr>
    </w:div>
    <w:div w:id="1710834964">
      <w:bodyDiv w:val="1"/>
      <w:marLeft w:val="0"/>
      <w:marRight w:val="0"/>
      <w:marTop w:val="0"/>
      <w:marBottom w:val="0"/>
      <w:divBdr>
        <w:top w:val="none" w:sz="0" w:space="0" w:color="auto"/>
        <w:left w:val="none" w:sz="0" w:space="0" w:color="auto"/>
        <w:bottom w:val="none" w:sz="0" w:space="0" w:color="auto"/>
        <w:right w:val="none" w:sz="0" w:space="0" w:color="auto"/>
      </w:divBdr>
    </w:div>
    <w:div w:id="1711031200">
      <w:bodyDiv w:val="1"/>
      <w:marLeft w:val="0"/>
      <w:marRight w:val="0"/>
      <w:marTop w:val="0"/>
      <w:marBottom w:val="0"/>
      <w:divBdr>
        <w:top w:val="none" w:sz="0" w:space="0" w:color="auto"/>
        <w:left w:val="none" w:sz="0" w:space="0" w:color="auto"/>
        <w:bottom w:val="none" w:sz="0" w:space="0" w:color="auto"/>
        <w:right w:val="none" w:sz="0" w:space="0" w:color="auto"/>
      </w:divBdr>
    </w:div>
    <w:div w:id="1711107405">
      <w:bodyDiv w:val="1"/>
      <w:marLeft w:val="0"/>
      <w:marRight w:val="0"/>
      <w:marTop w:val="0"/>
      <w:marBottom w:val="0"/>
      <w:divBdr>
        <w:top w:val="none" w:sz="0" w:space="0" w:color="auto"/>
        <w:left w:val="none" w:sz="0" w:space="0" w:color="auto"/>
        <w:bottom w:val="none" w:sz="0" w:space="0" w:color="auto"/>
        <w:right w:val="none" w:sz="0" w:space="0" w:color="auto"/>
      </w:divBdr>
    </w:div>
    <w:div w:id="1711110751">
      <w:bodyDiv w:val="1"/>
      <w:marLeft w:val="0"/>
      <w:marRight w:val="0"/>
      <w:marTop w:val="0"/>
      <w:marBottom w:val="0"/>
      <w:divBdr>
        <w:top w:val="none" w:sz="0" w:space="0" w:color="auto"/>
        <w:left w:val="none" w:sz="0" w:space="0" w:color="auto"/>
        <w:bottom w:val="none" w:sz="0" w:space="0" w:color="auto"/>
        <w:right w:val="none" w:sz="0" w:space="0" w:color="auto"/>
      </w:divBdr>
    </w:div>
    <w:div w:id="1711488179">
      <w:bodyDiv w:val="1"/>
      <w:marLeft w:val="0"/>
      <w:marRight w:val="0"/>
      <w:marTop w:val="0"/>
      <w:marBottom w:val="0"/>
      <w:divBdr>
        <w:top w:val="none" w:sz="0" w:space="0" w:color="auto"/>
        <w:left w:val="none" w:sz="0" w:space="0" w:color="auto"/>
        <w:bottom w:val="none" w:sz="0" w:space="0" w:color="auto"/>
        <w:right w:val="none" w:sz="0" w:space="0" w:color="auto"/>
      </w:divBdr>
    </w:div>
    <w:div w:id="1711488728">
      <w:bodyDiv w:val="1"/>
      <w:marLeft w:val="0"/>
      <w:marRight w:val="0"/>
      <w:marTop w:val="0"/>
      <w:marBottom w:val="0"/>
      <w:divBdr>
        <w:top w:val="none" w:sz="0" w:space="0" w:color="auto"/>
        <w:left w:val="none" w:sz="0" w:space="0" w:color="auto"/>
        <w:bottom w:val="none" w:sz="0" w:space="0" w:color="auto"/>
        <w:right w:val="none" w:sz="0" w:space="0" w:color="auto"/>
      </w:divBdr>
    </w:div>
    <w:div w:id="1711565368">
      <w:bodyDiv w:val="1"/>
      <w:marLeft w:val="0"/>
      <w:marRight w:val="0"/>
      <w:marTop w:val="0"/>
      <w:marBottom w:val="0"/>
      <w:divBdr>
        <w:top w:val="none" w:sz="0" w:space="0" w:color="auto"/>
        <w:left w:val="none" w:sz="0" w:space="0" w:color="auto"/>
        <w:bottom w:val="none" w:sz="0" w:space="0" w:color="auto"/>
        <w:right w:val="none" w:sz="0" w:space="0" w:color="auto"/>
      </w:divBdr>
    </w:div>
    <w:div w:id="1711570134">
      <w:bodyDiv w:val="1"/>
      <w:marLeft w:val="0"/>
      <w:marRight w:val="0"/>
      <w:marTop w:val="0"/>
      <w:marBottom w:val="0"/>
      <w:divBdr>
        <w:top w:val="none" w:sz="0" w:space="0" w:color="auto"/>
        <w:left w:val="none" w:sz="0" w:space="0" w:color="auto"/>
        <w:bottom w:val="none" w:sz="0" w:space="0" w:color="auto"/>
        <w:right w:val="none" w:sz="0" w:space="0" w:color="auto"/>
      </w:divBdr>
    </w:div>
    <w:div w:id="1711682744">
      <w:bodyDiv w:val="1"/>
      <w:marLeft w:val="0"/>
      <w:marRight w:val="0"/>
      <w:marTop w:val="0"/>
      <w:marBottom w:val="0"/>
      <w:divBdr>
        <w:top w:val="none" w:sz="0" w:space="0" w:color="auto"/>
        <w:left w:val="none" w:sz="0" w:space="0" w:color="auto"/>
        <w:bottom w:val="none" w:sz="0" w:space="0" w:color="auto"/>
        <w:right w:val="none" w:sz="0" w:space="0" w:color="auto"/>
      </w:divBdr>
    </w:div>
    <w:div w:id="1711876773">
      <w:bodyDiv w:val="1"/>
      <w:marLeft w:val="0"/>
      <w:marRight w:val="0"/>
      <w:marTop w:val="0"/>
      <w:marBottom w:val="0"/>
      <w:divBdr>
        <w:top w:val="none" w:sz="0" w:space="0" w:color="auto"/>
        <w:left w:val="none" w:sz="0" w:space="0" w:color="auto"/>
        <w:bottom w:val="none" w:sz="0" w:space="0" w:color="auto"/>
        <w:right w:val="none" w:sz="0" w:space="0" w:color="auto"/>
      </w:divBdr>
    </w:div>
    <w:div w:id="1711956019">
      <w:bodyDiv w:val="1"/>
      <w:marLeft w:val="0"/>
      <w:marRight w:val="0"/>
      <w:marTop w:val="0"/>
      <w:marBottom w:val="0"/>
      <w:divBdr>
        <w:top w:val="none" w:sz="0" w:space="0" w:color="auto"/>
        <w:left w:val="none" w:sz="0" w:space="0" w:color="auto"/>
        <w:bottom w:val="none" w:sz="0" w:space="0" w:color="auto"/>
        <w:right w:val="none" w:sz="0" w:space="0" w:color="auto"/>
      </w:divBdr>
    </w:div>
    <w:div w:id="1712073305">
      <w:bodyDiv w:val="1"/>
      <w:marLeft w:val="0"/>
      <w:marRight w:val="0"/>
      <w:marTop w:val="0"/>
      <w:marBottom w:val="0"/>
      <w:divBdr>
        <w:top w:val="none" w:sz="0" w:space="0" w:color="auto"/>
        <w:left w:val="none" w:sz="0" w:space="0" w:color="auto"/>
        <w:bottom w:val="none" w:sz="0" w:space="0" w:color="auto"/>
        <w:right w:val="none" w:sz="0" w:space="0" w:color="auto"/>
      </w:divBdr>
    </w:div>
    <w:div w:id="1712144160">
      <w:bodyDiv w:val="1"/>
      <w:marLeft w:val="0"/>
      <w:marRight w:val="0"/>
      <w:marTop w:val="0"/>
      <w:marBottom w:val="0"/>
      <w:divBdr>
        <w:top w:val="none" w:sz="0" w:space="0" w:color="auto"/>
        <w:left w:val="none" w:sz="0" w:space="0" w:color="auto"/>
        <w:bottom w:val="none" w:sz="0" w:space="0" w:color="auto"/>
        <w:right w:val="none" w:sz="0" w:space="0" w:color="auto"/>
      </w:divBdr>
    </w:div>
    <w:div w:id="1712531875">
      <w:bodyDiv w:val="1"/>
      <w:marLeft w:val="0"/>
      <w:marRight w:val="0"/>
      <w:marTop w:val="0"/>
      <w:marBottom w:val="0"/>
      <w:divBdr>
        <w:top w:val="none" w:sz="0" w:space="0" w:color="auto"/>
        <w:left w:val="none" w:sz="0" w:space="0" w:color="auto"/>
        <w:bottom w:val="none" w:sz="0" w:space="0" w:color="auto"/>
        <w:right w:val="none" w:sz="0" w:space="0" w:color="auto"/>
      </w:divBdr>
    </w:div>
    <w:div w:id="1712536134">
      <w:bodyDiv w:val="1"/>
      <w:marLeft w:val="0"/>
      <w:marRight w:val="0"/>
      <w:marTop w:val="0"/>
      <w:marBottom w:val="0"/>
      <w:divBdr>
        <w:top w:val="none" w:sz="0" w:space="0" w:color="auto"/>
        <w:left w:val="none" w:sz="0" w:space="0" w:color="auto"/>
        <w:bottom w:val="none" w:sz="0" w:space="0" w:color="auto"/>
        <w:right w:val="none" w:sz="0" w:space="0" w:color="auto"/>
      </w:divBdr>
    </w:div>
    <w:div w:id="1712683172">
      <w:bodyDiv w:val="1"/>
      <w:marLeft w:val="0"/>
      <w:marRight w:val="0"/>
      <w:marTop w:val="0"/>
      <w:marBottom w:val="0"/>
      <w:divBdr>
        <w:top w:val="none" w:sz="0" w:space="0" w:color="auto"/>
        <w:left w:val="none" w:sz="0" w:space="0" w:color="auto"/>
        <w:bottom w:val="none" w:sz="0" w:space="0" w:color="auto"/>
        <w:right w:val="none" w:sz="0" w:space="0" w:color="auto"/>
      </w:divBdr>
    </w:div>
    <w:div w:id="1712728750">
      <w:bodyDiv w:val="1"/>
      <w:marLeft w:val="0"/>
      <w:marRight w:val="0"/>
      <w:marTop w:val="0"/>
      <w:marBottom w:val="0"/>
      <w:divBdr>
        <w:top w:val="none" w:sz="0" w:space="0" w:color="auto"/>
        <w:left w:val="none" w:sz="0" w:space="0" w:color="auto"/>
        <w:bottom w:val="none" w:sz="0" w:space="0" w:color="auto"/>
        <w:right w:val="none" w:sz="0" w:space="0" w:color="auto"/>
      </w:divBdr>
    </w:div>
    <w:div w:id="1712730780">
      <w:bodyDiv w:val="1"/>
      <w:marLeft w:val="0"/>
      <w:marRight w:val="0"/>
      <w:marTop w:val="0"/>
      <w:marBottom w:val="0"/>
      <w:divBdr>
        <w:top w:val="none" w:sz="0" w:space="0" w:color="auto"/>
        <w:left w:val="none" w:sz="0" w:space="0" w:color="auto"/>
        <w:bottom w:val="none" w:sz="0" w:space="0" w:color="auto"/>
        <w:right w:val="none" w:sz="0" w:space="0" w:color="auto"/>
      </w:divBdr>
    </w:div>
    <w:div w:id="1712801431">
      <w:bodyDiv w:val="1"/>
      <w:marLeft w:val="0"/>
      <w:marRight w:val="0"/>
      <w:marTop w:val="0"/>
      <w:marBottom w:val="0"/>
      <w:divBdr>
        <w:top w:val="none" w:sz="0" w:space="0" w:color="auto"/>
        <w:left w:val="none" w:sz="0" w:space="0" w:color="auto"/>
        <w:bottom w:val="none" w:sz="0" w:space="0" w:color="auto"/>
        <w:right w:val="none" w:sz="0" w:space="0" w:color="auto"/>
      </w:divBdr>
    </w:div>
    <w:div w:id="1712850588">
      <w:bodyDiv w:val="1"/>
      <w:marLeft w:val="0"/>
      <w:marRight w:val="0"/>
      <w:marTop w:val="0"/>
      <w:marBottom w:val="0"/>
      <w:divBdr>
        <w:top w:val="none" w:sz="0" w:space="0" w:color="auto"/>
        <w:left w:val="none" w:sz="0" w:space="0" w:color="auto"/>
        <w:bottom w:val="none" w:sz="0" w:space="0" w:color="auto"/>
        <w:right w:val="none" w:sz="0" w:space="0" w:color="auto"/>
      </w:divBdr>
    </w:div>
    <w:div w:id="1712875853">
      <w:bodyDiv w:val="1"/>
      <w:marLeft w:val="0"/>
      <w:marRight w:val="0"/>
      <w:marTop w:val="0"/>
      <w:marBottom w:val="0"/>
      <w:divBdr>
        <w:top w:val="none" w:sz="0" w:space="0" w:color="auto"/>
        <w:left w:val="none" w:sz="0" w:space="0" w:color="auto"/>
        <w:bottom w:val="none" w:sz="0" w:space="0" w:color="auto"/>
        <w:right w:val="none" w:sz="0" w:space="0" w:color="auto"/>
      </w:divBdr>
    </w:div>
    <w:div w:id="1712881570">
      <w:bodyDiv w:val="1"/>
      <w:marLeft w:val="0"/>
      <w:marRight w:val="0"/>
      <w:marTop w:val="0"/>
      <w:marBottom w:val="0"/>
      <w:divBdr>
        <w:top w:val="none" w:sz="0" w:space="0" w:color="auto"/>
        <w:left w:val="none" w:sz="0" w:space="0" w:color="auto"/>
        <w:bottom w:val="none" w:sz="0" w:space="0" w:color="auto"/>
        <w:right w:val="none" w:sz="0" w:space="0" w:color="auto"/>
      </w:divBdr>
    </w:div>
    <w:div w:id="1713070086">
      <w:bodyDiv w:val="1"/>
      <w:marLeft w:val="0"/>
      <w:marRight w:val="0"/>
      <w:marTop w:val="0"/>
      <w:marBottom w:val="0"/>
      <w:divBdr>
        <w:top w:val="none" w:sz="0" w:space="0" w:color="auto"/>
        <w:left w:val="none" w:sz="0" w:space="0" w:color="auto"/>
        <w:bottom w:val="none" w:sz="0" w:space="0" w:color="auto"/>
        <w:right w:val="none" w:sz="0" w:space="0" w:color="auto"/>
      </w:divBdr>
    </w:div>
    <w:div w:id="1713071741">
      <w:bodyDiv w:val="1"/>
      <w:marLeft w:val="0"/>
      <w:marRight w:val="0"/>
      <w:marTop w:val="0"/>
      <w:marBottom w:val="0"/>
      <w:divBdr>
        <w:top w:val="none" w:sz="0" w:space="0" w:color="auto"/>
        <w:left w:val="none" w:sz="0" w:space="0" w:color="auto"/>
        <w:bottom w:val="none" w:sz="0" w:space="0" w:color="auto"/>
        <w:right w:val="none" w:sz="0" w:space="0" w:color="auto"/>
      </w:divBdr>
    </w:div>
    <w:div w:id="1713116209">
      <w:bodyDiv w:val="1"/>
      <w:marLeft w:val="0"/>
      <w:marRight w:val="0"/>
      <w:marTop w:val="0"/>
      <w:marBottom w:val="0"/>
      <w:divBdr>
        <w:top w:val="none" w:sz="0" w:space="0" w:color="auto"/>
        <w:left w:val="none" w:sz="0" w:space="0" w:color="auto"/>
        <w:bottom w:val="none" w:sz="0" w:space="0" w:color="auto"/>
        <w:right w:val="none" w:sz="0" w:space="0" w:color="auto"/>
      </w:divBdr>
    </w:div>
    <w:div w:id="1713118866">
      <w:bodyDiv w:val="1"/>
      <w:marLeft w:val="0"/>
      <w:marRight w:val="0"/>
      <w:marTop w:val="0"/>
      <w:marBottom w:val="0"/>
      <w:divBdr>
        <w:top w:val="none" w:sz="0" w:space="0" w:color="auto"/>
        <w:left w:val="none" w:sz="0" w:space="0" w:color="auto"/>
        <w:bottom w:val="none" w:sz="0" w:space="0" w:color="auto"/>
        <w:right w:val="none" w:sz="0" w:space="0" w:color="auto"/>
      </w:divBdr>
    </w:div>
    <w:div w:id="1713143106">
      <w:bodyDiv w:val="1"/>
      <w:marLeft w:val="0"/>
      <w:marRight w:val="0"/>
      <w:marTop w:val="0"/>
      <w:marBottom w:val="0"/>
      <w:divBdr>
        <w:top w:val="none" w:sz="0" w:space="0" w:color="auto"/>
        <w:left w:val="none" w:sz="0" w:space="0" w:color="auto"/>
        <w:bottom w:val="none" w:sz="0" w:space="0" w:color="auto"/>
        <w:right w:val="none" w:sz="0" w:space="0" w:color="auto"/>
      </w:divBdr>
    </w:div>
    <w:div w:id="1713189558">
      <w:bodyDiv w:val="1"/>
      <w:marLeft w:val="0"/>
      <w:marRight w:val="0"/>
      <w:marTop w:val="0"/>
      <w:marBottom w:val="0"/>
      <w:divBdr>
        <w:top w:val="none" w:sz="0" w:space="0" w:color="auto"/>
        <w:left w:val="none" w:sz="0" w:space="0" w:color="auto"/>
        <w:bottom w:val="none" w:sz="0" w:space="0" w:color="auto"/>
        <w:right w:val="none" w:sz="0" w:space="0" w:color="auto"/>
      </w:divBdr>
    </w:div>
    <w:div w:id="1713263713">
      <w:bodyDiv w:val="1"/>
      <w:marLeft w:val="0"/>
      <w:marRight w:val="0"/>
      <w:marTop w:val="0"/>
      <w:marBottom w:val="0"/>
      <w:divBdr>
        <w:top w:val="none" w:sz="0" w:space="0" w:color="auto"/>
        <w:left w:val="none" w:sz="0" w:space="0" w:color="auto"/>
        <w:bottom w:val="none" w:sz="0" w:space="0" w:color="auto"/>
        <w:right w:val="none" w:sz="0" w:space="0" w:color="auto"/>
      </w:divBdr>
    </w:div>
    <w:div w:id="1713384962">
      <w:bodyDiv w:val="1"/>
      <w:marLeft w:val="0"/>
      <w:marRight w:val="0"/>
      <w:marTop w:val="0"/>
      <w:marBottom w:val="0"/>
      <w:divBdr>
        <w:top w:val="none" w:sz="0" w:space="0" w:color="auto"/>
        <w:left w:val="none" w:sz="0" w:space="0" w:color="auto"/>
        <w:bottom w:val="none" w:sz="0" w:space="0" w:color="auto"/>
        <w:right w:val="none" w:sz="0" w:space="0" w:color="auto"/>
      </w:divBdr>
    </w:div>
    <w:div w:id="1713505795">
      <w:bodyDiv w:val="1"/>
      <w:marLeft w:val="0"/>
      <w:marRight w:val="0"/>
      <w:marTop w:val="0"/>
      <w:marBottom w:val="0"/>
      <w:divBdr>
        <w:top w:val="none" w:sz="0" w:space="0" w:color="auto"/>
        <w:left w:val="none" w:sz="0" w:space="0" w:color="auto"/>
        <w:bottom w:val="none" w:sz="0" w:space="0" w:color="auto"/>
        <w:right w:val="none" w:sz="0" w:space="0" w:color="auto"/>
      </w:divBdr>
    </w:div>
    <w:div w:id="1713529022">
      <w:bodyDiv w:val="1"/>
      <w:marLeft w:val="0"/>
      <w:marRight w:val="0"/>
      <w:marTop w:val="0"/>
      <w:marBottom w:val="0"/>
      <w:divBdr>
        <w:top w:val="none" w:sz="0" w:space="0" w:color="auto"/>
        <w:left w:val="none" w:sz="0" w:space="0" w:color="auto"/>
        <w:bottom w:val="none" w:sz="0" w:space="0" w:color="auto"/>
        <w:right w:val="none" w:sz="0" w:space="0" w:color="auto"/>
      </w:divBdr>
    </w:div>
    <w:div w:id="1713577722">
      <w:bodyDiv w:val="1"/>
      <w:marLeft w:val="0"/>
      <w:marRight w:val="0"/>
      <w:marTop w:val="0"/>
      <w:marBottom w:val="0"/>
      <w:divBdr>
        <w:top w:val="none" w:sz="0" w:space="0" w:color="auto"/>
        <w:left w:val="none" w:sz="0" w:space="0" w:color="auto"/>
        <w:bottom w:val="none" w:sz="0" w:space="0" w:color="auto"/>
        <w:right w:val="none" w:sz="0" w:space="0" w:color="auto"/>
      </w:divBdr>
    </w:div>
    <w:div w:id="1713728178">
      <w:bodyDiv w:val="1"/>
      <w:marLeft w:val="0"/>
      <w:marRight w:val="0"/>
      <w:marTop w:val="0"/>
      <w:marBottom w:val="0"/>
      <w:divBdr>
        <w:top w:val="none" w:sz="0" w:space="0" w:color="auto"/>
        <w:left w:val="none" w:sz="0" w:space="0" w:color="auto"/>
        <w:bottom w:val="none" w:sz="0" w:space="0" w:color="auto"/>
        <w:right w:val="none" w:sz="0" w:space="0" w:color="auto"/>
      </w:divBdr>
    </w:div>
    <w:div w:id="1713840525">
      <w:bodyDiv w:val="1"/>
      <w:marLeft w:val="0"/>
      <w:marRight w:val="0"/>
      <w:marTop w:val="0"/>
      <w:marBottom w:val="0"/>
      <w:divBdr>
        <w:top w:val="none" w:sz="0" w:space="0" w:color="auto"/>
        <w:left w:val="none" w:sz="0" w:space="0" w:color="auto"/>
        <w:bottom w:val="none" w:sz="0" w:space="0" w:color="auto"/>
        <w:right w:val="none" w:sz="0" w:space="0" w:color="auto"/>
      </w:divBdr>
    </w:div>
    <w:div w:id="1713842750">
      <w:bodyDiv w:val="1"/>
      <w:marLeft w:val="0"/>
      <w:marRight w:val="0"/>
      <w:marTop w:val="0"/>
      <w:marBottom w:val="0"/>
      <w:divBdr>
        <w:top w:val="none" w:sz="0" w:space="0" w:color="auto"/>
        <w:left w:val="none" w:sz="0" w:space="0" w:color="auto"/>
        <w:bottom w:val="none" w:sz="0" w:space="0" w:color="auto"/>
        <w:right w:val="none" w:sz="0" w:space="0" w:color="auto"/>
      </w:divBdr>
    </w:div>
    <w:div w:id="1713846643">
      <w:bodyDiv w:val="1"/>
      <w:marLeft w:val="0"/>
      <w:marRight w:val="0"/>
      <w:marTop w:val="0"/>
      <w:marBottom w:val="0"/>
      <w:divBdr>
        <w:top w:val="none" w:sz="0" w:space="0" w:color="auto"/>
        <w:left w:val="none" w:sz="0" w:space="0" w:color="auto"/>
        <w:bottom w:val="none" w:sz="0" w:space="0" w:color="auto"/>
        <w:right w:val="none" w:sz="0" w:space="0" w:color="auto"/>
      </w:divBdr>
    </w:div>
    <w:div w:id="1713849555">
      <w:bodyDiv w:val="1"/>
      <w:marLeft w:val="0"/>
      <w:marRight w:val="0"/>
      <w:marTop w:val="0"/>
      <w:marBottom w:val="0"/>
      <w:divBdr>
        <w:top w:val="none" w:sz="0" w:space="0" w:color="auto"/>
        <w:left w:val="none" w:sz="0" w:space="0" w:color="auto"/>
        <w:bottom w:val="none" w:sz="0" w:space="0" w:color="auto"/>
        <w:right w:val="none" w:sz="0" w:space="0" w:color="auto"/>
      </w:divBdr>
    </w:div>
    <w:div w:id="1713916551">
      <w:bodyDiv w:val="1"/>
      <w:marLeft w:val="0"/>
      <w:marRight w:val="0"/>
      <w:marTop w:val="0"/>
      <w:marBottom w:val="0"/>
      <w:divBdr>
        <w:top w:val="none" w:sz="0" w:space="0" w:color="auto"/>
        <w:left w:val="none" w:sz="0" w:space="0" w:color="auto"/>
        <w:bottom w:val="none" w:sz="0" w:space="0" w:color="auto"/>
        <w:right w:val="none" w:sz="0" w:space="0" w:color="auto"/>
      </w:divBdr>
    </w:div>
    <w:div w:id="1713920472">
      <w:bodyDiv w:val="1"/>
      <w:marLeft w:val="0"/>
      <w:marRight w:val="0"/>
      <w:marTop w:val="0"/>
      <w:marBottom w:val="0"/>
      <w:divBdr>
        <w:top w:val="none" w:sz="0" w:space="0" w:color="auto"/>
        <w:left w:val="none" w:sz="0" w:space="0" w:color="auto"/>
        <w:bottom w:val="none" w:sz="0" w:space="0" w:color="auto"/>
        <w:right w:val="none" w:sz="0" w:space="0" w:color="auto"/>
      </w:divBdr>
    </w:div>
    <w:div w:id="1713966072">
      <w:bodyDiv w:val="1"/>
      <w:marLeft w:val="0"/>
      <w:marRight w:val="0"/>
      <w:marTop w:val="0"/>
      <w:marBottom w:val="0"/>
      <w:divBdr>
        <w:top w:val="none" w:sz="0" w:space="0" w:color="auto"/>
        <w:left w:val="none" w:sz="0" w:space="0" w:color="auto"/>
        <w:bottom w:val="none" w:sz="0" w:space="0" w:color="auto"/>
        <w:right w:val="none" w:sz="0" w:space="0" w:color="auto"/>
      </w:divBdr>
    </w:div>
    <w:div w:id="1714109280">
      <w:bodyDiv w:val="1"/>
      <w:marLeft w:val="0"/>
      <w:marRight w:val="0"/>
      <w:marTop w:val="0"/>
      <w:marBottom w:val="0"/>
      <w:divBdr>
        <w:top w:val="none" w:sz="0" w:space="0" w:color="auto"/>
        <w:left w:val="none" w:sz="0" w:space="0" w:color="auto"/>
        <w:bottom w:val="none" w:sz="0" w:space="0" w:color="auto"/>
        <w:right w:val="none" w:sz="0" w:space="0" w:color="auto"/>
      </w:divBdr>
    </w:div>
    <w:div w:id="1714191540">
      <w:bodyDiv w:val="1"/>
      <w:marLeft w:val="0"/>
      <w:marRight w:val="0"/>
      <w:marTop w:val="0"/>
      <w:marBottom w:val="0"/>
      <w:divBdr>
        <w:top w:val="none" w:sz="0" w:space="0" w:color="auto"/>
        <w:left w:val="none" w:sz="0" w:space="0" w:color="auto"/>
        <w:bottom w:val="none" w:sz="0" w:space="0" w:color="auto"/>
        <w:right w:val="none" w:sz="0" w:space="0" w:color="auto"/>
      </w:divBdr>
    </w:div>
    <w:div w:id="1714227983">
      <w:bodyDiv w:val="1"/>
      <w:marLeft w:val="0"/>
      <w:marRight w:val="0"/>
      <w:marTop w:val="0"/>
      <w:marBottom w:val="0"/>
      <w:divBdr>
        <w:top w:val="none" w:sz="0" w:space="0" w:color="auto"/>
        <w:left w:val="none" w:sz="0" w:space="0" w:color="auto"/>
        <w:bottom w:val="none" w:sz="0" w:space="0" w:color="auto"/>
        <w:right w:val="none" w:sz="0" w:space="0" w:color="auto"/>
      </w:divBdr>
    </w:div>
    <w:div w:id="1714303743">
      <w:bodyDiv w:val="1"/>
      <w:marLeft w:val="0"/>
      <w:marRight w:val="0"/>
      <w:marTop w:val="0"/>
      <w:marBottom w:val="0"/>
      <w:divBdr>
        <w:top w:val="none" w:sz="0" w:space="0" w:color="auto"/>
        <w:left w:val="none" w:sz="0" w:space="0" w:color="auto"/>
        <w:bottom w:val="none" w:sz="0" w:space="0" w:color="auto"/>
        <w:right w:val="none" w:sz="0" w:space="0" w:color="auto"/>
      </w:divBdr>
    </w:div>
    <w:div w:id="1714304819">
      <w:bodyDiv w:val="1"/>
      <w:marLeft w:val="0"/>
      <w:marRight w:val="0"/>
      <w:marTop w:val="0"/>
      <w:marBottom w:val="0"/>
      <w:divBdr>
        <w:top w:val="none" w:sz="0" w:space="0" w:color="auto"/>
        <w:left w:val="none" w:sz="0" w:space="0" w:color="auto"/>
        <w:bottom w:val="none" w:sz="0" w:space="0" w:color="auto"/>
        <w:right w:val="none" w:sz="0" w:space="0" w:color="auto"/>
      </w:divBdr>
    </w:div>
    <w:div w:id="1714424749">
      <w:bodyDiv w:val="1"/>
      <w:marLeft w:val="0"/>
      <w:marRight w:val="0"/>
      <w:marTop w:val="0"/>
      <w:marBottom w:val="0"/>
      <w:divBdr>
        <w:top w:val="none" w:sz="0" w:space="0" w:color="auto"/>
        <w:left w:val="none" w:sz="0" w:space="0" w:color="auto"/>
        <w:bottom w:val="none" w:sz="0" w:space="0" w:color="auto"/>
        <w:right w:val="none" w:sz="0" w:space="0" w:color="auto"/>
      </w:divBdr>
    </w:div>
    <w:div w:id="1714424981">
      <w:bodyDiv w:val="1"/>
      <w:marLeft w:val="0"/>
      <w:marRight w:val="0"/>
      <w:marTop w:val="0"/>
      <w:marBottom w:val="0"/>
      <w:divBdr>
        <w:top w:val="none" w:sz="0" w:space="0" w:color="auto"/>
        <w:left w:val="none" w:sz="0" w:space="0" w:color="auto"/>
        <w:bottom w:val="none" w:sz="0" w:space="0" w:color="auto"/>
        <w:right w:val="none" w:sz="0" w:space="0" w:color="auto"/>
      </w:divBdr>
    </w:div>
    <w:div w:id="1714573053">
      <w:bodyDiv w:val="1"/>
      <w:marLeft w:val="0"/>
      <w:marRight w:val="0"/>
      <w:marTop w:val="0"/>
      <w:marBottom w:val="0"/>
      <w:divBdr>
        <w:top w:val="none" w:sz="0" w:space="0" w:color="auto"/>
        <w:left w:val="none" w:sz="0" w:space="0" w:color="auto"/>
        <w:bottom w:val="none" w:sz="0" w:space="0" w:color="auto"/>
        <w:right w:val="none" w:sz="0" w:space="0" w:color="auto"/>
      </w:divBdr>
    </w:div>
    <w:div w:id="1714577008">
      <w:bodyDiv w:val="1"/>
      <w:marLeft w:val="0"/>
      <w:marRight w:val="0"/>
      <w:marTop w:val="0"/>
      <w:marBottom w:val="0"/>
      <w:divBdr>
        <w:top w:val="none" w:sz="0" w:space="0" w:color="auto"/>
        <w:left w:val="none" w:sz="0" w:space="0" w:color="auto"/>
        <w:bottom w:val="none" w:sz="0" w:space="0" w:color="auto"/>
        <w:right w:val="none" w:sz="0" w:space="0" w:color="auto"/>
      </w:divBdr>
    </w:div>
    <w:div w:id="1714577342">
      <w:bodyDiv w:val="1"/>
      <w:marLeft w:val="0"/>
      <w:marRight w:val="0"/>
      <w:marTop w:val="0"/>
      <w:marBottom w:val="0"/>
      <w:divBdr>
        <w:top w:val="none" w:sz="0" w:space="0" w:color="auto"/>
        <w:left w:val="none" w:sz="0" w:space="0" w:color="auto"/>
        <w:bottom w:val="none" w:sz="0" w:space="0" w:color="auto"/>
        <w:right w:val="none" w:sz="0" w:space="0" w:color="auto"/>
      </w:divBdr>
    </w:div>
    <w:div w:id="1714886032">
      <w:bodyDiv w:val="1"/>
      <w:marLeft w:val="0"/>
      <w:marRight w:val="0"/>
      <w:marTop w:val="0"/>
      <w:marBottom w:val="0"/>
      <w:divBdr>
        <w:top w:val="none" w:sz="0" w:space="0" w:color="auto"/>
        <w:left w:val="none" w:sz="0" w:space="0" w:color="auto"/>
        <w:bottom w:val="none" w:sz="0" w:space="0" w:color="auto"/>
        <w:right w:val="none" w:sz="0" w:space="0" w:color="auto"/>
      </w:divBdr>
    </w:div>
    <w:div w:id="1714960693">
      <w:bodyDiv w:val="1"/>
      <w:marLeft w:val="0"/>
      <w:marRight w:val="0"/>
      <w:marTop w:val="0"/>
      <w:marBottom w:val="0"/>
      <w:divBdr>
        <w:top w:val="none" w:sz="0" w:space="0" w:color="auto"/>
        <w:left w:val="none" w:sz="0" w:space="0" w:color="auto"/>
        <w:bottom w:val="none" w:sz="0" w:space="0" w:color="auto"/>
        <w:right w:val="none" w:sz="0" w:space="0" w:color="auto"/>
      </w:divBdr>
    </w:div>
    <w:div w:id="1714960814">
      <w:bodyDiv w:val="1"/>
      <w:marLeft w:val="0"/>
      <w:marRight w:val="0"/>
      <w:marTop w:val="0"/>
      <w:marBottom w:val="0"/>
      <w:divBdr>
        <w:top w:val="none" w:sz="0" w:space="0" w:color="auto"/>
        <w:left w:val="none" w:sz="0" w:space="0" w:color="auto"/>
        <w:bottom w:val="none" w:sz="0" w:space="0" w:color="auto"/>
        <w:right w:val="none" w:sz="0" w:space="0" w:color="auto"/>
      </w:divBdr>
    </w:div>
    <w:div w:id="1715041944">
      <w:bodyDiv w:val="1"/>
      <w:marLeft w:val="0"/>
      <w:marRight w:val="0"/>
      <w:marTop w:val="0"/>
      <w:marBottom w:val="0"/>
      <w:divBdr>
        <w:top w:val="none" w:sz="0" w:space="0" w:color="auto"/>
        <w:left w:val="none" w:sz="0" w:space="0" w:color="auto"/>
        <w:bottom w:val="none" w:sz="0" w:space="0" w:color="auto"/>
        <w:right w:val="none" w:sz="0" w:space="0" w:color="auto"/>
      </w:divBdr>
    </w:div>
    <w:div w:id="1715079516">
      <w:bodyDiv w:val="1"/>
      <w:marLeft w:val="0"/>
      <w:marRight w:val="0"/>
      <w:marTop w:val="0"/>
      <w:marBottom w:val="0"/>
      <w:divBdr>
        <w:top w:val="none" w:sz="0" w:space="0" w:color="auto"/>
        <w:left w:val="none" w:sz="0" w:space="0" w:color="auto"/>
        <w:bottom w:val="none" w:sz="0" w:space="0" w:color="auto"/>
        <w:right w:val="none" w:sz="0" w:space="0" w:color="auto"/>
      </w:divBdr>
    </w:div>
    <w:div w:id="1715304343">
      <w:bodyDiv w:val="1"/>
      <w:marLeft w:val="0"/>
      <w:marRight w:val="0"/>
      <w:marTop w:val="0"/>
      <w:marBottom w:val="0"/>
      <w:divBdr>
        <w:top w:val="none" w:sz="0" w:space="0" w:color="auto"/>
        <w:left w:val="none" w:sz="0" w:space="0" w:color="auto"/>
        <w:bottom w:val="none" w:sz="0" w:space="0" w:color="auto"/>
        <w:right w:val="none" w:sz="0" w:space="0" w:color="auto"/>
      </w:divBdr>
    </w:div>
    <w:div w:id="1715347028">
      <w:bodyDiv w:val="1"/>
      <w:marLeft w:val="0"/>
      <w:marRight w:val="0"/>
      <w:marTop w:val="0"/>
      <w:marBottom w:val="0"/>
      <w:divBdr>
        <w:top w:val="none" w:sz="0" w:space="0" w:color="auto"/>
        <w:left w:val="none" w:sz="0" w:space="0" w:color="auto"/>
        <w:bottom w:val="none" w:sz="0" w:space="0" w:color="auto"/>
        <w:right w:val="none" w:sz="0" w:space="0" w:color="auto"/>
      </w:divBdr>
    </w:div>
    <w:div w:id="1715349175">
      <w:bodyDiv w:val="1"/>
      <w:marLeft w:val="0"/>
      <w:marRight w:val="0"/>
      <w:marTop w:val="0"/>
      <w:marBottom w:val="0"/>
      <w:divBdr>
        <w:top w:val="none" w:sz="0" w:space="0" w:color="auto"/>
        <w:left w:val="none" w:sz="0" w:space="0" w:color="auto"/>
        <w:bottom w:val="none" w:sz="0" w:space="0" w:color="auto"/>
        <w:right w:val="none" w:sz="0" w:space="0" w:color="auto"/>
      </w:divBdr>
    </w:div>
    <w:div w:id="1715419986">
      <w:bodyDiv w:val="1"/>
      <w:marLeft w:val="0"/>
      <w:marRight w:val="0"/>
      <w:marTop w:val="0"/>
      <w:marBottom w:val="0"/>
      <w:divBdr>
        <w:top w:val="none" w:sz="0" w:space="0" w:color="auto"/>
        <w:left w:val="none" w:sz="0" w:space="0" w:color="auto"/>
        <w:bottom w:val="none" w:sz="0" w:space="0" w:color="auto"/>
        <w:right w:val="none" w:sz="0" w:space="0" w:color="auto"/>
      </w:divBdr>
    </w:div>
    <w:div w:id="1715420775">
      <w:bodyDiv w:val="1"/>
      <w:marLeft w:val="0"/>
      <w:marRight w:val="0"/>
      <w:marTop w:val="0"/>
      <w:marBottom w:val="0"/>
      <w:divBdr>
        <w:top w:val="none" w:sz="0" w:space="0" w:color="auto"/>
        <w:left w:val="none" w:sz="0" w:space="0" w:color="auto"/>
        <w:bottom w:val="none" w:sz="0" w:space="0" w:color="auto"/>
        <w:right w:val="none" w:sz="0" w:space="0" w:color="auto"/>
      </w:divBdr>
    </w:div>
    <w:div w:id="1715501225">
      <w:bodyDiv w:val="1"/>
      <w:marLeft w:val="0"/>
      <w:marRight w:val="0"/>
      <w:marTop w:val="0"/>
      <w:marBottom w:val="0"/>
      <w:divBdr>
        <w:top w:val="none" w:sz="0" w:space="0" w:color="auto"/>
        <w:left w:val="none" w:sz="0" w:space="0" w:color="auto"/>
        <w:bottom w:val="none" w:sz="0" w:space="0" w:color="auto"/>
        <w:right w:val="none" w:sz="0" w:space="0" w:color="auto"/>
      </w:divBdr>
    </w:div>
    <w:div w:id="1715502635">
      <w:bodyDiv w:val="1"/>
      <w:marLeft w:val="0"/>
      <w:marRight w:val="0"/>
      <w:marTop w:val="0"/>
      <w:marBottom w:val="0"/>
      <w:divBdr>
        <w:top w:val="none" w:sz="0" w:space="0" w:color="auto"/>
        <w:left w:val="none" w:sz="0" w:space="0" w:color="auto"/>
        <w:bottom w:val="none" w:sz="0" w:space="0" w:color="auto"/>
        <w:right w:val="none" w:sz="0" w:space="0" w:color="auto"/>
      </w:divBdr>
    </w:div>
    <w:div w:id="1715541058">
      <w:bodyDiv w:val="1"/>
      <w:marLeft w:val="0"/>
      <w:marRight w:val="0"/>
      <w:marTop w:val="0"/>
      <w:marBottom w:val="0"/>
      <w:divBdr>
        <w:top w:val="none" w:sz="0" w:space="0" w:color="auto"/>
        <w:left w:val="none" w:sz="0" w:space="0" w:color="auto"/>
        <w:bottom w:val="none" w:sz="0" w:space="0" w:color="auto"/>
        <w:right w:val="none" w:sz="0" w:space="0" w:color="auto"/>
      </w:divBdr>
    </w:div>
    <w:div w:id="1715693272">
      <w:bodyDiv w:val="1"/>
      <w:marLeft w:val="0"/>
      <w:marRight w:val="0"/>
      <w:marTop w:val="0"/>
      <w:marBottom w:val="0"/>
      <w:divBdr>
        <w:top w:val="none" w:sz="0" w:space="0" w:color="auto"/>
        <w:left w:val="none" w:sz="0" w:space="0" w:color="auto"/>
        <w:bottom w:val="none" w:sz="0" w:space="0" w:color="auto"/>
        <w:right w:val="none" w:sz="0" w:space="0" w:color="auto"/>
      </w:divBdr>
    </w:div>
    <w:div w:id="1715696144">
      <w:bodyDiv w:val="1"/>
      <w:marLeft w:val="0"/>
      <w:marRight w:val="0"/>
      <w:marTop w:val="0"/>
      <w:marBottom w:val="0"/>
      <w:divBdr>
        <w:top w:val="none" w:sz="0" w:space="0" w:color="auto"/>
        <w:left w:val="none" w:sz="0" w:space="0" w:color="auto"/>
        <w:bottom w:val="none" w:sz="0" w:space="0" w:color="auto"/>
        <w:right w:val="none" w:sz="0" w:space="0" w:color="auto"/>
      </w:divBdr>
    </w:div>
    <w:div w:id="1715884473">
      <w:bodyDiv w:val="1"/>
      <w:marLeft w:val="0"/>
      <w:marRight w:val="0"/>
      <w:marTop w:val="0"/>
      <w:marBottom w:val="0"/>
      <w:divBdr>
        <w:top w:val="none" w:sz="0" w:space="0" w:color="auto"/>
        <w:left w:val="none" w:sz="0" w:space="0" w:color="auto"/>
        <w:bottom w:val="none" w:sz="0" w:space="0" w:color="auto"/>
        <w:right w:val="none" w:sz="0" w:space="0" w:color="auto"/>
      </w:divBdr>
    </w:div>
    <w:div w:id="1715887812">
      <w:bodyDiv w:val="1"/>
      <w:marLeft w:val="0"/>
      <w:marRight w:val="0"/>
      <w:marTop w:val="0"/>
      <w:marBottom w:val="0"/>
      <w:divBdr>
        <w:top w:val="none" w:sz="0" w:space="0" w:color="auto"/>
        <w:left w:val="none" w:sz="0" w:space="0" w:color="auto"/>
        <w:bottom w:val="none" w:sz="0" w:space="0" w:color="auto"/>
        <w:right w:val="none" w:sz="0" w:space="0" w:color="auto"/>
      </w:divBdr>
    </w:div>
    <w:div w:id="1715888315">
      <w:bodyDiv w:val="1"/>
      <w:marLeft w:val="0"/>
      <w:marRight w:val="0"/>
      <w:marTop w:val="0"/>
      <w:marBottom w:val="0"/>
      <w:divBdr>
        <w:top w:val="none" w:sz="0" w:space="0" w:color="auto"/>
        <w:left w:val="none" w:sz="0" w:space="0" w:color="auto"/>
        <w:bottom w:val="none" w:sz="0" w:space="0" w:color="auto"/>
        <w:right w:val="none" w:sz="0" w:space="0" w:color="auto"/>
      </w:divBdr>
    </w:div>
    <w:div w:id="1716196036">
      <w:bodyDiv w:val="1"/>
      <w:marLeft w:val="0"/>
      <w:marRight w:val="0"/>
      <w:marTop w:val="0"/>
      <w:marBottom w:val="0"/>
      <w:divBdr>
        <w:top w:val="none" w:sz="0" w:space="0" w:color="auto"/>
        <w:left w:val="none" w:sz="0" w:space="0" w:color="auto"/>
        <w:bottom w:val="none" w:sz="0" w:space="0" w:color="auto"/>
        <w:right w:val="none" w:sz="0" w:space="0" w:color="auto"/>
      </w:divBdr>
    </w:div>
    <w:div w:id="1716197508">
      <w:bodyDiv w:val="1"/>
      <w:marLeft w:val="0"/>
      <w:marRight w:val="0"/>
      <w:marTop w:val="0"/>
      <w:marBottom w:val="0"/>
      <w:divBdr>
        <w:top w:val="none" w:sz="0" w:space="0" w:color="auto"/>
        <w:left w:val="none" w:sz="0" w:space="0" w:color="auto"/>
        <w:bottom w:val="none" w:sz="0" w:space="0" w:color="auto"/>
        <w:right w:val="none" w:sz="0" w:space="0" w:color="auto"/>
      </w:divBdr>
    </w:div>
    <w:div w:id="1716273872">
      <w:bodyDiv w:val="1"/>
      <w:marLeft w:val="0"/>
      <w:marRight w:val="0"/>
      <w:marTop w:val="0"/>
      <w:marBottom w:val="0"/>
      <w:divBdr>
        <w:top w:val="none" w:sz="0" w:space="0" w:color="auto"/>
        <w:left w:val="none" w:sz="0" w:space="0" w:color="auto"/>
        <w:bottom w:val="none" w:sz="0" w:space="0" w:color="auto"/>
        <w:right w:val="none" w:sz="0" w:space="0" w:color="auto"/>
      </w:divBdr>
    </w:div>
    <w:div w:id="1716462695">
      <w:bodyDiv w:val="1"/>
      <w:marLeft w:val="0"/>
      <w:marRight w:val="0"/>
      <w:marTop w:val="0"/>
      <w:marBottom w:val="0"/>
      <w:divBdr>
        <w:top w:val="none" w:sz="0" w:space="0" w:color="auto"/>
        <w:left w:val="none" w:sz="0" w:space="0" w:color="auto"/>
        <w:bottom w:val="none" w:sz="0" w:space="0" w:color="auto"/>
        <w:right w:val="none" w:sz="0" w:space="0" w:color="auto"/>
      </w:divBdr>
    </w:div>
    <w:div w:id="1716464699">
      <w:bodyDiv w:val="1"/>
      <w:marLeft w:val="0"/>
      <w:marRight w:val="0"/>
      <w:marTop w:val="0"/>
      <w:marBottom w:val="0"/>
      <w:divBdr>
        <w:top w:val="none" w:sz="0" w:space="0" w:color="auto"/>
        <w:left w:val="none" w:sz="0" w:space="0" w:color="auto"/>
        <w:bottom w:val="none" w:sz="0" w:space="0" w:color="auto"/>
        <w:right w:val="none" w:sz="0" w:space="0" w:color="auto"/>
      </w:divBdr>
    </w:div>
    <w:div w:id="1716537415">
      <w:bodyDiv w:val="1"/>
      <w:marLeft w:val="0"/>
      <w:marRight w:val="0"/>
      <w:marTop w:val="0"/>
      <w:marBottom w:val="0"/>
      <w:divBdr>
        <w:top w:val="none" w:sz="0" w:space="0" w:color="auto"/>
        <w:left w:val="none" w:sz="0" w:space="0" w:color="auto"/>
        <w:bottom w:val="none" w:sz="0" w:space="0" w:color="auto"/>
        <w:right w:val="none" w:sz="0" w:space="0" w:color="auto"/>
      </w:divBdr>
    </w:div>
    <w:div w:id="1716616198">
      <w:bodyDiv w:val="1"/>
      <w:marLeft w:val="0"/>
      <w:marRight w:val="0"/>
      <w:marTop w:val="0"/>
      <w:marBottom w:val="0"/>
      <w:divBdr>
        <w:top w:val="none" w:sz="0" w:space="0" w:color="auto"/>
        <w:left w:val="none" w:sz="0" w:space="0" w:color="auto"/>
        <w:bottom w:val="none" w:sz="0" w:space="0" w:color="auto"/>
        <w:right w:val="none" w:sz="0" w:space="0" w:color="auto"/>
      </w:divBdr>
    </w:div>
    <w:div w:id="1716658982">
      <w:bodyDiv w:val="1"/>
      <w:marLeft w:val="0"/>
      <w:marRight w:val="0"/>
      <w:marTop w:val="0"/>
      <w:marBottom w:val="0"/>
      <w:divBdr>
        <w:top w:val="none" w:sz="0" w:space="0" w:color="auto"/>
        <w:left w:val="none" w:sz="0" w:space="0" w:color="auto"/>
        <w:bottom w:val="none" w:sz="0" w:space="0" w:color="auto"/>
        <w:right w:val="none" w:sz="0" w:space="0" w:color="auto"/>
      </w:divBdr>
    </w:div>
    <w:div w:id="1716664018">
      <w:bodyDiv w:val="1"/>
      <w:marLeft w:val="0"/>
      <w:marRight w:val="0"/>
      <w:marTop w:val="0"/>
      <w:marBottom w:val="0"/>
      <w:divBdr>
        <w:top w:val="none" w:sz="0" w:space="0" w:color="auto"/>
        <w:left w:val="none" w:sz="0" w:space="0" w:color="auto"/>
        <w:bottom w:val="none" w:sz="0" w:space="0" w:color="auto"/>
        <w:right w:val="none" w:sz="0" w:space="0" w:color="auto"/>
      </w:divBdr>
    </w:div>
    <w:div w:id="1716733736">
      <w:bodyDiv w:val="1"/>
      <w:marLeft w:val="0"/>
      <w:marRight w:val="0"/>
      <w:marTop w:val="0"/>
      <w:marBottom w:val="0"/>
      <w:divBdr>
        <w:top w:val="none" w:sz="0" w:space="0" w:color="auto"/>
        <w:left w:val="none" w:sz="0" w:space="0" w:color="auto"/>
        <w:bottom w:val="none" w:sz="0" w:space="0" w:color="auto"/>
        <w:right w:val="none" w:sz="0" w:space="0" w:color="auto"/>
      </w:divBdr>
    </w:div>
    <w:div w:id="1716734066">
      <w:bodyDiv w:val="1"/>
      <w:marLeft w:val="0"/>
      <w:marRight w:val="0"/>
      <w:marTop w:val="0"/>
      <w:marBottom w:val="0"/>
      <w:divBdr>
        <w:top w:val="none" w:sz="0" w:space="0" w:color="auto"/>
        <w:left w:val="none" w:sz="0" w:space="0" w:color="auto"/>
        <w:bottom w:val="none" w:sz="0" w:space="0" w:color="auto"/>
        <w:right w:val="none" w:sz="0" w:space="0" w:color="auto"/>
      </w:divBdr>
    </w:div>
    <w:div w:id="1716737120">
      <w:bodyDiv w:val="1"/>
      <w:marLeft w:val="0"/>
      <w:marRight w:val="0"/>
      <w:marTop w:val="0"/>
      <w:marBottom w:val="0"/>
      <w:divBdr>
        <w:top w:val="none" w:sz="0" w:space="0" w:color="auto"/>
        <w:left w:val="none" w:sz="0" w:space="0" w:color="auto"/>
        <w:bottom w:val="none" w:sz="0" w:space="0" w:color="auto"/>
        <w:right w:val="none" w:sz="0" w:space="0" w:color="auto"/>
      </w:divBdr>
    </w:div>
    <w:div w:id="1716849356">
      <w:bodyDiv w:val="1"/>
      <w:marLeft w:val="0"/>
      <w:marRight w:val="0"/>
      <w:marTop w:val="0"/>
      <w:marBottom w:val="0"/>
      <w:divBdr>
        <w:top w:val="none" w:sz="0" w:space="0" w:color="auto"/>
        <w:left w:val="none" w:sz="0" w:space="0" w:color="auto"/>
        <w:bottom w:val="none" w:sz="0" w:space="0" w:color="auto"/>
        <w:right w:val="none" w:sz="0" w:space="0" w:color="auto"/>
      </w:divBdr>
    </w:div>
    <w:div w:id="1716850465">
      <w:bodyDiv w:val="1"/>
      <w:marLeft w:val="0"/>
      <w:marRight w:val="0"/>
      <w:marTop w:val="0"/>
      <w:marBottom w:val="0"/>
      <w:divBdr>
        <w:top w:val="none" w:sz="0" w:space="0" w:color="auto"/>
        <w:left w:val="none" w:sz="0" w:space="0" w:color="auto"/>
        <w:bottom w:val="none" w:sz="0" w:space="0" w:color="auto"/>
        <w:right w:val="none" w:sz="0" w:space="0" w:color="auto"/>
      </w:divBdr>
    </w:div>
    <w:div w:id="1716857085">
      <w:bodyDiv w:val="1"/>
      <w:marLeft w:val="0"/>
      <w:marRight w:val="0"/>
      <w:marTop w:val="0"/>
      <w:marBottom w:val="0"/>
      <w:divBdr>
        <w:top w:val="none" w:sz="0" w:space="0" w:color="auto"/>
        <w:left w:val="none" w:sz="0" w:space="0" w:color="auto"/>
        <w:bottom w:val="none" w:sz="0" w:space="0" w:color="auto"/>
        <w:right w:val="none" w:sz="0" w:space="0" w:color="auto"/>
      </w:divBdr>
    </w:div>
    <w:div w:id="1716857266">
      <w:bodyDiv w:val="1"/>
      <w:marLeft w:val="0"/>
      <w:marRight w:val="0"/>
      <w:marTop w:val="0"/>
      <w:marBottom w:val="0"/>
      <w:divBdr>
        <w:top w:val="none" w:sz="0" w:space="0" w:color="auto"/>
        <w:left w:val="none" w:sz="0" w:space="0" w:color="auto"/>
        <w:bottom w:val="none" w:sz="0" w:space="0" w:color="auto"/>
        <w:right w:val="none" w:sz="0" w:space="0" w:color="auto"/>
      </w:divBdr>
    </w:div>
    <w:div w:id="1716857529">
      <w:bodyDiv w:val="1"/>
      <w:marLeft w:val="0"/>
      <w:marRight w:val="0"/>
      <w:marTop w:val="0"/>
      <w:marBottom w:val="0"/>
      <w:divBdr>
        <w:top w:val="none" w:sz="0" w:space="0" w:color="auto"/>
        <w:left w:val="none" w:sz="0" w:space="0" w:color="auto"/>
        <w:bottom w:val="none" w:sz="0" w:space="0" w:color="auto"/>
        <w:right w:val="none" w:sz="0" w:space="0" w:color="auto"/>
      </w:divBdr>
    </w:div>
    <w:div w:id="1716930547">
      <w:bodyDiv w:val="1"/>
      <w:marLeft w:val="0"/>
      <w:marRight w:val="0"/>
      <w:marTop w:val="0"/>
      <w:marBottom w:val="0"/>
      <w:divBdr>
        <w:top w:val="none" w:sz="0" w:space="0" w:color="auto"/>
        <w:left w:val="none" w:sz="0" w:space="0" w:color="auto"/>
        <w:bottom w:val="none" w:sz="0" w:space="0" w:color="auto"/>
        <w:right w:val="none" w:sz="0" w:space="0" w:color="auto"/>
      </w:divBdr>
    </w:div>
    <w:div w:id="1717002859">
      <w:bodyDiv w:val="1"/>
      <w:marLeft w:val="0"/>
      <w:marRight w:val="0"/>
      <w:marTop w:val="0"/>
      <w:marBottom w:val="0"/>
      <w:divBdr>
        <w:top w:val="none" w:sz="0" w:space="0" w:color="auto"/>
        <w:left w:val="none" w:sz="0" w:space="0" w:color="auto"/>
        <w:bottom w:val="none" w:sz="0" w:space="0" w:color="auto"/>
        <w:right w:val="none" w:sz="0" w:space="0" w:color="auto"/>
      </w:divBdr>
    </w:div>
    <w:div w:id="1717004122">
      <w:bodyDiv w:val="1"/>
      <w:marLeft w:val="0"/>
      <w:marRight w:val="0"/>
      <w:marTop w:val="0"/>
      <w:marBottom w:val="0"/>
      <w:divBdr>
        <w:top w:val="none" w:sz="0" w:space="0" w:color="auto"/>
        <w:left w:val="none" w:sz="0" w:space="0" w:color="auto"/>
        <w:bottom w:val="none" w:sz="0" w:space="0" w:color="auto"/>
        <w:right w:val="none" w:sz="0" w:space="0" w:color="auto"/>
      </w:divBdr>
    </w:div>
    <w:div w:id="1717116978">
      <w:bodyDiv w:val="1"/>
      <w:marLeft w:val="0"/>
      <w:marRight w:val="0"/>
      <w:marTop w:val="0"/>
      <w:marBottom w:val="0"/>
      <w:divBdr>
        <w:top w:val="none" w:sz="0" w:space="0" w:color="auto"/>
        <w:left w:val="none" w:sz="0" w:space="0" w:color="auto"/>
        <w:bottom w:val="none" w:sz="0" w:space="0" w:color="auto"/>
        <w:right w:val="none" w:sz="0" w:space="0" w:color="auto"/>
      </w:divBdr>
    </w:div>
    <w:div w:id="1717197703">
      <w:bodyDiv w:val="1"/>
      <w:marLeft w:val="0"/>
      <w:marRight w:val="0"/>
      <w:marTop w:val="0"/>
      <w:marBottom w:val="0"/>
      <w:divBdr>
        <w:top w:val="none" w:sz="0" w:space="0" w:color="auto"/>
        <w:left w:val="none" w:sz="0" w:space="0" w:color="auto"/>
        <w:bottom w:val="none" w:sz="0" w:space="0" w:color="auto"/>
        <w:right w:val="none" w:sz="0" w:space="0" w:color="auto"/>
      </w:divBdr>
    </w:div>
    <w:div w:id="1717310072">
      <w:bodyDiv w:val="1"/>
      <w:marLeft w:val="0"/>
      <w:marRight w:val="0"/>
      <w:marTop w:val="0"/>
      <w:marBottom w:val="0"/>
      <w:divBdr>
        <w:top w:val="none" w:sz="0" w:space="0" w:color="auto"/>
        <w:left w:val="none" w:sz="0" w:space="0" w:color="auto"/>
        <w:bottom w:val="none" w:sz="0" w:space="0" w:color="auto"/>
        <w:right w:val="none" w:sz="0" w:space="0" w:color="auto"/>
      </w:divBdr>
    </w:div>
    <w:div w:id="1717316682">
      <w:bodyDiv w:val="1"/>
      <w:marLeft w:val="0"/>
      <w:marRight w:val="0"/>
      <w:marTop w:val="0"/>
      <w:marBottom w:val="0"/>
      <w:divBdr>
        <w:top w:val="none" w:sz="0" w:space="0" w:color="auto"/>
        <w:left w:val="none" w:sz="0" w:space="0" w:color="auto"/>
        <w:bottom w:val="none" w:sz="0" w:space="0" w:color="auto"/>
        <w:right w:val="none" w:sz="0" w:space="0" w:color="auto"/>
      </w:divBdr>
    </w:div>
    <w:div w:id="1717466594">
      <w:bodyDiv w:val="1"/>
      <w:marLeft w:val="0"/>
      <w:marRight w:val="0"/>
      <w:marTop w:val="0"/>
      <w:marBottom w:val="0"/>
      <w:divBdr>
        <w:top w:val="none" w:sz="0" w:space="0" w:color="auto"/>
        <w:left w:val="none" w:sz="0" w:space="0" w:color="auto"/>
        <w:bottom w:val="none" w:sz="0" w:space="0" w:color="auto"/>
        <w:right w:val="none" w:sz="0" w:space="0" w:color="auto"/>
      </w:divBdr>
    </w:div>
    <w:div w:id="1717510410">
      <w:bodyDiv w:val="1"/>
      <w:marLeft w:val="0"/>
      <w:marRight w:val="0"/>
      <w:marTop w:val="0"/>
      <w:marBottom w:val="0"/>
      <w:divBdr>
        <w:top w:val="none" w:sz="0" w:space="0" w:color="auto"/>
        <w:left w:val="none" w:sz="0" w:space="0" w:color="auto"/>
        <w:bottom w:val="none" w:sz="0" w:space="0" w:color="auto"/>
        <w:right w:val="none" w:sz="0" w:space="0" w:color="auto"/>
      </w:divBdr>
    </w:div>
    <w:div w:id="1717655631">
      <w:bodyDiv w:val="1"/>
      <w:marLeft w:val="0"/>
      <w:marRight w:val="0"/>
      <w:marTop w:val="0"/>
      <w:marBottom w:val="0"/>
      <w:divBdr>
        <w:top w:val="none" w:sz="0" w:space="0" w:color="auto"/>
        <w:left w:val="none" w:sz="0" w:space="0" w:color="auto"/>
        <w:bottom w:val="none" w:sz="0" w:space="0" w:color="auto"/>
        <w:right w:val="none" w:sz="0" w:space="0" w:color="auto"/>
      </w:divBdr>
    </w:div>
    <w:div w:id="1717698946">
      <w:bodyDiv w:val="1"/>
      <w:marLeft w:val="0"/>
      <w:marRight w:val="0"/>
      <w:marTop w:val="0"/>
      <w:marBottom w:val="0"/>
      <w:divBdr>
        <w:top w:val="none" w:sz="0" w:space="0" w:color="auto"/>
        <w:left w:val="none" w:sz="0" w:space="0" w:color="auto"/>
        <w:bottom w:val="none" w:sz="0" w:space="0" w:color="auto"/>
        <w:right w:val="none" w:sz="0" w:space="0" w:color="auto"/>
      </w:divBdr>
    </w:div>
    <w:div w:id="1717701245">
      <w:bodyDiv w:val="1"/>
      <w:marLeft w:val="0"/>
      <w:marRight w:val="0"/>
      <w:marTop w:val="0"/>
      <w:marBottom w:val="0"/>
      <w:divBdr>
        <w:top w:val="none" w:sz="0" w:space="0" w:color="auto"/>
        <w:left w:val="none" w:sz="0" w:space="0" w:color="auto"/>
        <w:bottom w:val="none" w:sz="0" w:space="0" w:color="auto"/>
        <w:right w:val="none" w:sz="0" w:space="0" w:color="auto"/>
      </w:divBdr>
    </w:div>
    <w:div w:id="1717729166">
      <w:bodyDiv w:val="1"/>
      <w:marLeft w:val="0"/>
      <w:marRight w:val="0"/>
      <w:marTop w:val="0"/>
      <w:marBottom w:val="0"/>
      <w:divBdr>
        <w:top w:val="none" w:sz="0" w:space="0" w:color="auto"/>
        <w:left w:val="none" w:sz="0" w:space="0" w:color="auto"/>
        <w:bottom w:val="none" w:sz="0" w:space="0" w:color="auto"/>
        <w:right w:val="none" w:sz="0" w:space="0" w:color="auto"/>
      </w:divBdr>
    </w:div>
    <w:div w:id="1717853829">
      <w:bodyDiv w:val="1"/>
      <w:marLeft w:val="0"/>
      <w:marRight w:val="0"/>
      <w:marTop w:val="0"/>
      <w:marBottom w:val="0"/>
      <w:divBdr>
        <w:top w:val="none" w:sz="0" w:space="0" w:color="auto"/>
        <w:left w:val="none" w:sz="0" w:space="0" w:color="auto"/>
        <w:bottom w:val="none" w:sz="0" w:space="0" w:color="auto"/>
        <w:right w:val="none" w:sz="0" w:space="0" w:color="auto"/>
      </w:divBdr>
    </w:div>
    <w:div w:id="1717899388">
      <w:bodyDiv w:val="1"/>
      <w:marLeft w:val="0"/>
      <w:marRight w:val="0"/>
      <w:marTop w:val="0"/>
      <w:marBottom w:val="0"/>
      <w:divBdr>
        <w:top w:val="none" w:sz="0" w:space="0" w:color="auto"/>
        <w:left w:val="none" w:sz="0" w:space="0" w:color="auto"/>
        <w:bottom w:val="none" w:sz="0" w:space="0" w:color="auto"/>
        <w:right w:val="none" w:sz="0" w:space="0" w:color="auto"/>
      </w:divBdr>
    </w:div>
    <w:div w:id="1717922702">
      <w:bodyDiv w:val="1"/>
      <w:marLeft w:val="0"/>
      <w:marRight w:val="0"/>
      <w:marTop w:val="0"/>
      <w:marBottom w:val="0"/>
      <w:divBdr>
        <w:top w:val="none" w:sz="0" w:space="0" w:color="auto"/>
        <w:left w:val="none" w:sz="0" w:space="0" w:color="auto"/>
        <w:bottom w:val="none" w:sz="0" w:space="0" w:color="auto"/>
        <w:right w:val="none" w:sz="0" w:space="0" w:color="auto"/>
      </w:divBdr>
    </w:div>
    <w:div w:id="1718047749">
      <w:bodyDiv w:val="1"/>
      <w:marLeft w:val="0"/>
      <w:marRight w:val="0"/>
      <w:marTop w:val="0"/>
      <w:marBottom w:val="0"/>
      <w:divBdr>
        <w:top w:val="none" w:sz="0" w:space="0" w:color="auto"/>
        <w:left w:val="none" w:sz="0" w:space="0" w:color="auto"/>
        <w:bottom w:val="none" w:sz="0" w:space="0" w:color="auto"/>
        <w:right w:val="none" w:sz="0" w:space="0" w:color="auto"/>
      </w:divBdr>
    </w:div>
    <w:div w:id="1718117117">
      <w:bodyDiv w:val="1"/>
      <w:marLeft w:val="0"/>
      <w:marRight w:val="0"/>
      <w:marTop w:val="0"/>
      <w:marBottom w:val="0"/>
      <w:divBdr>
        <w:top w:val="none" w:sz="0" w:space="0" w:color="auto"/>
        <w:left w:val="none" w:sz="0" w:space="0" w:color="auto"/>
        <w:bottom w:val="none" w:sz="0" w:space="0" w:color="auto"/>
        <w:right w:val="none" w:sz="0" w:space="0" w:color="auto"/>
      </w:divBdr>
    </w:div>
    <w:div w:id="1718117456">
      <w:bodyDiv w:val="1"/>
      <w:marLeft w:val="0"/>
      <w:marRight w:val="0"/>
      <w:marTop w:val="0"/>
      <w:marBottom w:val="0"/>
      <w:divBdr>
        <w:top w:val="none" w:sz="0" w:space="0" w:color="auto"/>
        <w:left w:val="none" w:sz="0" w:space="0" w:color="auto"/>
        <w:bottom w:val="none" w:sz="0" w:space="0" w:color="auto"/>
        <w:right w:val="none" w:sz="0" w:space="0" w:color="auto"/>
      </w:divBdr>
    </w:div>
    <w:div w:id="1718124148">
      <w:bodyDiv w:val="1"/>
      <w:marLeft w:val="0"/>
      <w:marRight w:val="0"/>
      <w:marTop w:val="0"/>
      <w:marBottom w:val="0"/>
      <w:divBdr>
        <w:top w:val="none" w:sz="0" w:space="0" w:color="auto"/>
        <w:left w:val="none" w:sz="0" w:space="0" w:color="auto"/>
        <w:bottom w:val="none" w:sz="0" w:space="0" w:color="auto"/>
        <w:right w:val="none" w:sz="0" w:space="0" w:color="auto"/>
      </w:divBdr>
    </w:div>
    <w:div w:id="1718124444">
      <w:bodyDiv w:val="1"/>
      <w:marLeft w:val="0"/>
      <w:marRight w:val="0"/>
      <w:marTop w:val="0"/>
      <w:marBottom w:val="0"/>
      <w:divBdr>
        <w:top w:val="none" w:sz="0" w:space="0" w:color="auto"/>
        <w:left w:val="none" w:sz="0" w:space="0" w:color="auto"/>
        <w:bottom w:val="none" w:sz="0" w:space="0" w:color="auto"/>
        <w:right w:val="none" w:sz="0" w:space="0" w:color="auto"/>
      </w:divBdr>
    </w:div>
    <w:div w:id="1718165070">
      <w:bodyDiv w:val="1"/>
      <w:marLeft w:val="0"/>
      <w:marRight w:val="0"/>
      <w:marTop w:val="0"/>
      <w:marBottom w:val="0"/>
      <w:divBdr>
        <w:top w:val="none" w:sz="0" w:space="0" w:color="auto"/>
        <w:left w:val="none" w:sz="0" w:space="0" w:color="auto"/>
        <w:bottom w:val="none" w:sz="0" w:space="0" w:color="auto"/>
        <w:right w:val="none" w:sz="0" w:space="0" w:color="auto"/>
      </w:divBdr>
    </w:div>
    <w:div w:id="1718167303">
      <w:bodyDiv w:val="1"/>
      <w:marLeft w:val="0"/>
      <w:marRight w:val="0"/>
      <w:marTop w:val="0"/>
      <w:marBottom w:val="0"/>
      <w:divBdr>
        <w:top w:val="none" w:sz="0" w:space="0" w:color="auto"/>
        <w:left w:val="none" w:sz="0" w:space="0" w:color="auto"/>
        <w:bottom w:val="none" w:sz="0" w:space="0" w:color="auto"/>
        <w:right w:val="none" w:sz="0" w:space="0" w:color="auto"/>
      </w:divBdr>
    </w:div>
    <w:div w:id="1718313544">
      <w:bodyDiv w:val="1"/>
      <w:marLeft w:val="0"/>
      <w:marRight w:val="0"/>
      <w:marTop w:val="0"/>
      <w:marBottom w:val="0"/>
      <w:divBdr>
        <w:top w:val="none" w:sz="0" w:space="0" w:color="auto"/>
        <w:left w:val="none" w:sz="0" w:space="0" w:color="auto"/>
        <w:bottom w:val="none" w:sz="0" w:space="0" w:color="auto"/>
        <w:right w:val="none" w:sz="0" w:space="0" w:color="auto"/>
      </w:divBdr>
    </w:div>
    <w:div w:id="1718386415">
      <w:bodyDiv w:val="1"/>
      <w:marLeft w:val="0"/>
      <w:marRight w:val="0"/>
      <w:marTop w:val="0"/>
      <w:marBottom w:val="0"/>
      <w:divBdr>
        <w:top w:val="none" w:sz="0" w:space="0" w:color="auto"/>
        <w:left w:val="none" w:sz="0" w:space="0" w:color="auto"/>
        <w:bottom w:val="none" w:sz="0" w:space="0" w:color="auto"/>
        <w:right w:val="none" w:sz="0" w:space="0" w:color="auto"/>
      </w:divBdr>
    </w:div>
    <w:div w:id="1718434654">
      <w:bodyDiv w:val="1"/>
      <w:marLeft w:val="0"/>
      <w:marRight w:val="0"/>
      <w:marTop w:val="0"/>
      <w:marBottom w:val="0"/>
      <w:divBdr>
        <w:top w:val="none" w:sz="0" w:space="0" w:color="auto"/>
        <w:left w:val="none" w:sz="0" w:space="0" w:color="auto"/>
        <w:bottom w:val="none" w:sz="0" w:space="0" w:color="auto"/>
        <w:right w:val="none" w:sz="0" w:space="0" w:color="auto"/>
      </w:divBdr>
    </w:div>
    <w:div w:id="1718579499">
      <w:bodyDiv w:val="1"/>
      <w:marLeft w:val="0"/>
      <w:marRight w:val="0"/>
      <w:marTop w:val="0"/>
      <w:marBottom w:val="0"/>
      <w:divBdr>
        <w:top w:val="none" w:sz="0" w:space="0" w:color="auto"/>
        <w:left w:val="none" w:sz="0" w:space="0" w:color="auto"/>
        <w:bottom w:val="none" w:sz="0" w:space="0" w:color="auto"/>
        <w:right w:val="none" w:sz="0" w:space="0" w:color="auto"/>
      </w:divBdr>
    </w:div>
    <w:div w:id="1718580210">
      <w:bodyDiv w:val="1"/>
      <w:marLeft w:val="0"/>
      <w:marRight w:val="0"/>
      <w:marTop w:val="0"/>
      <w:marBottom w:val="0"/>
      <w:divBdr>
        <w:top w:val="none" w:sz="0" w:space="0" w:color="auto"/>
        <w:left w:val="none" w:sz="0" w:space="0" w:color="auto"/>
        <w:bottom w:val="none" w:sz="0" w:space="0" w:color="auto"/>
        <w:right w:val="none" w:sz="0" w:space="0" w:color="auto"/>
      </w:divBdr>
    </w:div>
    <w:div w:id="1718699051">
      <w:bodyDiv w:val="1"/>
      <w:marLeft w:val="0"/>
      <w:marRight w:val="0"/>
      <w:marTop w:val="0"/>
      <w:marBottom w:val="0"/>
      <w:divBdr>
        <w:top w:val="none" w:sz="0" w:space="0" w:color="auto"/>
        <w:left w:val="none" w:sz="0" w:space="0" w:color="auto"/>
        <w:bottom w:val="none" w:sz="0" w:space="0" w:color="auto"/>
        <w:right w:val="none" w:sz="0" w:space="0" w:color="auto"/>
      </w:divBdr>
    </w:div>
    <w:div w:id="1718702916">
      <w:bodyDiv w:val="1"/>
      <w:marLeft w:val="0"/>
      <w:marRight w:val="0"/>
      <w:marTop w:val="0"/>
      <w:marBottom w:val="0"/>
      <w:divBdr>
        <w:top w:val="none" w:sz="0" w:space="0" w:color="auto"/>
        <w:left w:val="none" w:sz="0" w:space="0" w:color="auto"/>
        <w:bottom w:val="none" w:sz="0" w:space="0" w:color="auto"/>
        <w:right w:val="none" w:sz="0" w:space="0" w:color="auto"/>
      </w:divBdr>
    </w:div>
    <w:div w:id="1718779114">
      <w:bodyDiv w:val="1"/>
      <w:marLeft w:val="0"/>
      <w:marRight w:val="0"/>
      <w:marTop w:val="0"/>
      <w:marBottom w:val="0"/>
      <w:divBdr>
        <w:top w:val="none" w:sz="0" w:space="0" w:color="auto"/>
        <w:left w:val="none" w:sz="0" w:space="0" w:color="auto"/>
        <w:bottom w:val="none" w:sz="0" w:space="0" w:color="auto"/>
        <w:right w:val="none" w:sz="0" w:space="0" w:color="auto"/>
      </w:divBdr>
    </w:div>
    <w:div w:id="1719354237">
      <w:bodyDiv w:val="1"/>
      <w:marLeft w:val="0"/>
      <w:marRight w:val="0"/>
      <w:marTop w:val="0"/>
      <w:marBottom w:val="0"/>
      <w:divBdr>
        <w:top w:val="none" w:sz="0" w:space="0" w:color="auto"/>
        <w:left w:val="none" w:sz="0" w:space="0" w:color="auto"/>
        <w:bottom w:val="none" w:sz="0" w:space="0" w:color="auto"/>
        <w:right w:val="none" w:sz="0" w:space="0" w:color="auto"/>
      </w:divBdr>
    </w:div>
    <w:div w:id="1719553646">
      <w:bodyDiv w:val="1"/>
      <w:marLeft w:val="0"/>
      <w:marRight w:val="0"/>
      <w:marTop w:val="0"/>
      <w:marBottom w:val="0"/>
      <w:divBdr>
        <w:top w:val="none" w:sz="0" w:space="0" w:color="auto"/>
        <w:left w:val="none" w:sz="0" w:space="0" w:color="auto"/>
        <w:bottom w:val="none" w:sz="0" w:space="0" w:color="auto"/>
        <w:right w:val="none" w:sz="0" w:space="0" w:color="auto"/>
      </w:divBdr>
    </w:div>
    <w:div w:id="1719620211">
      <w:bodyDiv w:val="1"/>
      <w:marLeft w:val="0"/>
      <w:marRight w:val="0"/>
      <w:marTop w:val="0"/>
      <w:marBottom w:val="0"/>
      <w:divBdr>
        <w:top w:val="none" w:sz="0" w:space="0" w:color="auto"/>
        <w:left w:val="none" w:sz="0" w:space="0" w:color="auto"/>
        <w:bottom w:val="none" w:sz="0" w:space="0" w:color="auto"/>
        <w:right w:val="none" w:sz="0" w:space="0" w:color="auto"/>
      </w:divBdr>
    </w:div>
    <w:div w:id="1719670067">
      <w:bodyDiv w:val="1"/>
      <w:marLeft w:val="0"/>
      <w:marRight w:val="0"/>
      <w:marTop w:val="0"/>
      <w:marBottom w:val="0"/>
      <w:divBdr>
        <w:top w:val="none" w:sz="0" w:space="0" w:color="auto"/>
        <w:left w:val="none" w:sz="0" w:space="0" w:color="auto"/>
        <w:bottom w:val="none" w:sz="0" w:space="0" w:color="auto"/>
        <w:right w:val="none" w:sz="0" w:space="0" w:color="auto"/>
      </w:divBdr>
    </w:div>
    <w:div w:id="1719741625">
      <w:bodyDiv w:val="1"/>
      <w:marLeft w:val="0"/>
      <w:marRight w:val="0"/>
      <w:marTop w:val="0"/>
      <w:marBottom w:val="0"/>
      <w:divBdr>
        <w:top w:val="none" w:sz="0" w:space="0" w:color="auto"/>
        <w:left w:val="none" w:sz="0" w:space="0" w:color="auto"/>
        <w:bottom w:val="none" w:sz="0" w:space="0" w:color="auto"/>
        <w:right w:val="none" w:sz="0" w:space="0" w:color="auto"/>
      </w:divBdr>
    </w:div>
    <w:div w:id="1719746281">
      <w:bodyDiv w:val="1"/>
      <w:marLeft w:val="0"/>
      <w:marRight w:val="0"/>
      <w:marTop w:val="0"/>
      <w:marBottom w:val="0"/>
      <w:divBdr>
        <w:top w:val="none" w:sz="0" w:space="0" w:color="auto"/>
        <w:left w:val="none" w:sz="0" w:space="0" w:color="auto"/>
        <w:bottom w:val="none" w:sz="0" w:space="0" w:color="auto"/>
        <w:right w:val="none" w:sz="0" w:space="0" w:color="auto"/>
      </w:divBdr>
    </w:div>
    <w:div w:id="1719819573">
      <w:bodyDiv w:val="1"/>
      <w:marLeft w:val="0"/>
      <w:marRight w:val="0"/>
      <w:marTop w:val="0"/>
      <w:marBottom w:val="0"/>
      <w:divBdr>
        <w:top w:val="none" w:sz="0" w:space="0" w:color="auto"/>
        <w:left w:val="none" w:sz="0" w:space="0" w:color="auto"/>
        <w:bottom w:val="none" w:sz="0" w:space="0" w:color="auto"/>
        <w:right w:val="none" w:sz="0" w:space="0" w:color="auto"/>
      </w:divBdr>
    </w:div>
    <w:div w:id="1719890211">
      <w:bodyDiv w:val="1"/>
      <w:marLeft w:val="0"/>
      <w:marRight w:val="0"/>
      <w:marTop w:val="0"/>
      <w:marBottom w:val="0"/>
      <w:divBdr>
        <w:top w:val="none" w:sz="0" w:space="0" w:color="auto"/>
        <w:left w:val="none" w:sz="0" w:space="0" w:color="auto"/>
        <w:bottom w:val="none" w:sz="0" w:space="0" w:color="auto"/>
        <w:right w:val="none" w:sz="0" w:space="0" w:color="auto"/>
      </w:divBdr>
    </w:div>
    <w:div w:id="1719933695">
      <w:bodyDiv w:val="1"/>
      <w:marLeft w:val="0"/>
      <w:marRight w:val="0"/>
      <w:marTop w:val="0"/>
      <w:marBottom w:val="0"/>
      <w:divBdr>
        <w:top w:val="none" w:sz="0" w:space="0" w:color="auto"/>
        <w:left w:val="none" w:sz="0" w:space="0" w:color="auto"/>
        <w:bottom w:val="none" w:sz="0" w:space="0" w:color="auto"/>
        <w:right w:val="none" w:sz="0" w:space="0" w:color="auto"/>
      </w:divBdr>
    </w:div>
    <w:div w:id="1720130660">
      <w:bodyDiv w:val="1"/>
      <w:marLeft w:val="0"/>
      <w:marRight w:val="0"/>
      <w:marTop w:val="0"/>
      <w:marBottom w:val="0"/>
      <w:divBdr>
        <w:top w:val="none" w:sz="0" w:space="0" w:color="auto"/>
        <w:left w:val="none" w:sz="0" w:space="0" w:color="auto"/>
        <w:bottom w:val="none" w:sz="0" w:space="0" w:color="auto"/>
        <w:right w:val="none" w:sz="0" w:space="0" w:color="auto"/>
      </w:divBdr>
    </w:div>
    <w:div w:id="1720199609">
      <w:bodyDiv w:val="1"/>
      <w:marLeft w:val="0"/>
      <w:marRight w:val="0"/>
      <w:marTop w:val="0"/>
      <w:marBottom w:val="0"/>
      <w:divBdr>
        <w:top w:val="none" w:sz="0" w:space="0" w:color="auto"/>
        <w:left w:val="none" w:sz="0" w:space="0" w:color="auto"/>
        <w:bottom w:val="none" w:sz="0" w:space="0" w:color="auto"/>
        <w:right w:val="none" w:sz="0" w:space="0" w:color="auto"/>
      </w:divBdr>
    </w:div>
    <w:div w:id="1720208785">
      <w:bodyDiv w:val="1"/>
      <w:marLeft w:val="0"/>
      <w:marRight w:val="0"/>
      <w:marTop w:val="0"/>
      <w:marBottom w:val="0"/>
      <w:divBdr>
        <w:top w:val="none" w:sz="0" w:space="0" w:color="auto"/>
        <w:left w:val="none" w:sz="0" w:space="0" w:color="auto"/>
        <w:bottom w:val="none" w:sz="0" w:space="0" w:color="auto"/>
        <w:right w:val="none" w:sz="0" w:space="0" w:color="auto"/>
      </w:divBdr>
    </w:div>
    <w:div w:id="1720276399">
      <w:bodyDiv w:val="1"/>
      <w:marLeft w:val="0"/>
      <w:marRight w:val="0"/>
      <w:marTop w:val="0"/>
      <w:marBottom w:val="0"/>
      <w:divBdr>
        <w:top w:val="none" w:sz="0" w:space="0" w:color="auto"/>
        <w:left w:val="none" w:sz="0" w:space="0" w:color="auto"/>
        <w:bottom w:val="none" w:sz="0" w:space="0" w:color="auto"/>
        <w:right w:val="none" w:sz="0" w:space="0" w:color="auto"/>
      </w:divBdr>
    </w:div>
    <w:div w:id="1720395068">
      <w:bodyDiv w:val="1"/>
      <w:marLeft w:val="0"/>
      <w:marRight w:val="0"/>
      <w:marTop w:val="0"/>
      <w:marBottom w:val="0"/>
      <w:divBdr>
        <w:top w:val="none" w:sz="0" w:space="0" w:color="auto"/>
        <w:left w:val="none" w:sz="0" w:space="0" w:color="auto"/>
        <w:bottom w:val="none" w:sz="0" w:space="0" w:color="auto"/>
        <w:right w:val="none" w:sz="0" w:space="0" w:color="auto"/>
      </w:divBdr>
    </w:div>
    <w:div w:id="1720399091">
      <w:bodyDiv w:val="1"/>
      <w:marLeft w:val="0"/>
      <w:marRight w:val="0"/>
      <w:marTop w:val="0"/>
      <w:marBottom w:val="0"/>
      <w:divBdr>
        <w:top w:val="none" w:sz="0" w:space="0" w:color="auto"/>
        <w:left w:val="none" w:sz="0" w:space="0" w:color="auto"/>
        <w:bottom w:val="none" w:sz="0" w:space="0" w:color="auto"/>
        <w:right w:val="none" w:sz="0" w:space="0" w:color="auto"/>
      </w:divBdr>
    </w:div>
    <w:div w:id="1720544046">
      <w:bodyDiv w:val="1"/>
      <w:marLeft w:val="0"/>
      <w:marRight w:val="0"/>
      <w:marTop w:val="0"/>
      <w:marBottom w:val="0"/>
      <w:divBdr>
        <w:top w:val="none" w:sz="0" w:space="0" w:color="auto"/>
        <w:left w:val="none" w:sz="0" w:space="0" w:color="auto"/>
        <w:bottom w:val="none" w:sz="0" w:space="0" w:color="auto"/>
        <w:right w:val="none" w:sz="0" w:space="0" w:color="auto"/>
      </w:divBdr>
    </w:div>
    <w:div w:id="1720544853">
      <w:bodyDiv w:val="1"/>
      <w:marLeft w:val="0"/>
      <w:marRight w:val="0"/>
      <w:marTop w:val="0"/>
      <w:marBottom w:val="0"/>
      <w:divBdr>
        <w:top w:val="none" w:sz="0" w:space="0" w:color="auto"/>
        <w:left w:val="none" w:sz="0" w:space="0" w:color="auto"/>
        <w:bottom w:val="none" w:sz="0" w:space="0" w:color="auto"/>
        <w:right w:val="none" w:sz="0" w:space="0" w:color="auto"/>
      </w:divBdr>
    </w:div>
    <w:div w:id="1720547469">
      <w:bodyDiv w:val="1"/>
      <w:marLeft w:val="0"/>
      <w:marRight w:val="0"/>
      <w:marTop w:val="0"/>
      <w:marBottom w:val="0"/>
      <w:divBdr>
        <w:top w:val="none" w:sz="0" w:space="0" w:color="auto"/>
        <w:left w:val="none" w:sz="0" w:space="0" w:color="auto"/>
        <w:bottom w:val="none" w:sz="0" w:space="0" w:color="auto"/>
        <w:right w:val="none" w:sz="0" w:space="0" w:color="auto"/>
      </w:divBdr>
    </w:div>
    <w:div w:id="1720586655">
      <w:bodyDiv w:val="1"/>
      <w:marLeft w:val="0"/>
      <w:marRight w:val="0"/>
      <w:marTop w:val="0"/>
      <w:marBottom w:val="0"/>
      <w:divBdr>
        <w:top w:val="none" w:sz="0" w:space="0" w:color="auto"/>
        <w:left w:val="none" w:sz="0" w:space="0" w:color="auto"/>
        <w:bottom w:val="none" w:sz="0" w:space="0" w:color="auto"/>
        <w:right w:val="none" w:sz="0" w:space="0" w:color="auto"/>
      </w:divBdr>
    </w:div>
    <w:div w:id="1720594017">
      <w:bodyDiv w:val="1"/>
      <w:marLeft w:val="0"/>
      <w:marRight w:val="0"/>
      <w:marTop w:val="0"/>
      <w:marBottom w:val="0"/>
      <w:divBdr>
        <w:top w:val="none" w:sz="0" w:space="0" w:color="auto"/>
        <w:left w:val="none" w:sz="0" w:space="0" w:color="auto"/>
        <w:bottom w:val="none" w:sz="0" w:space="0" w:color="auto"/>
        <w:right w:val="none" w:sz="0" w:space="0" w:color="auto"/>
      </w:divBdr>
    </w:div>
    <w:div w:id="1720594387">
      <w:bodyDiv w:val="1"/>
      <w:marLeft w:val="0"/>
      <w:marRight w:val="0"/>
      <w:marTop w:val="0"/>
      <w:marBottom w:val="0"/>
      <w:divBdr>
        <w:top w:val="none" w:sz="0" w:space="0" w:color="auto"/>
        <w:left w:val="none" w:sz="0" w:space="0" w:color="auto"/>
        <w:bottom w:val="none" w:sz="0" w:space="0" w:color="auto"/>
        <w:right w:val="none" w:sz="0" w:space="0" w:color="auto"/>
      </w:divBdr>
    </w:div>
    <w:div w:id="1720667627">
      <w:bodyDiv w:val="1"/>
      <w:marLeft w:val="0"/>
      <w:marRight w:val="0"/>
      <w:marTop w:val="0"/>
      <w:marBottom w:val="0"/>
      <w:divBdr>
        <w:top w:val="none" w:sz="0" w:space="0" w:color="auto"/>
        <w:left w:val="none" w:sz="0" w:space="0" w:color="auto"/>
        <w:bottom w:val="none" w:sz="0" w:space="0" w:color="auto"/>
        <w:right w:val="none" w:sz="0" w:space="0" w:color="auto"/>
      </w:divBdr>
    </w:div>
    <w:div w:id="1720788321">
      <w:bodyDiv w:val="1"/>
      <w:marLeft w:val="0"/>
      <w:marRight w:val="0"/>
      <w:marTop w:val="0"/>
      <w:marBottom w:val="0"/>
      <w:divBdr>
        <w:top w:val="none" w:sz="0" w:space="0" w:color="auto"/>
        <w:left w:val="none" w:sz="0" w:space="0" w:color="auto"/>
        <w:bottom w:val="none" w:sz="0" w:space="0" w:color="auto"/>
        <w:right w:val="none" w:sz="0" w:space="0" w:color="auto"/>
      </w:divBdr>
    </w:div>
    <w:div w:id="1720858414">
      <w:bodyDiv w:val="1"/>
      <w:marLeft w:val="0"/>
      <w:marRight w:val="0"/>
      <w:marTop w:val="0"/>
      <w:marBottom w:val="0"/>
      <w:divBdr>
        <w:top w:val="none" w:sz="0" w:space="0" w:color="auto"/>
        <w:left w:val="none" w:sz="0" w:space="0" w:color="auto"/>
        <w:bottom w:val="none" w:sz="0" w:space="0" w:color="auto"/>
        <w:right w:val="none" w:sz="0" w:space="0" w:color="auto"/>
      </w:divBdr>
    </w:div>
    <w:div w:id="1720931045">
      <w:bodyDiv w:val="1"/>
      <w:marLeft w:val="0"/>
      <w:marRight w:val="0"/>
      <w:marTop w:val="0"/>
      <w:marBottom w:val="0"/>
      <w:divBdr>
        <w:top w:val="none" w:sz="0" w:space="0" w:color="auto"/>
        <w:left w:val="none" w:sz="0" w:space="0" w:color="auto"/>
        <w:bottom w:val="none" w:sz="0" w:space="0" w:color="auto"/>
        <w:right w:val="none" w:sz="0" w:space="0" w:color="auto"/>
      </w:divBdr>
    </w:div>
    <w:div w:id="1720976864">
      <w:bodyDiv w:val="1"/>
      <w:marLeft w:val="0"/>
      <w:marRight w:val="0"/>
      <w:marTop w:val="0"/>
      <w:marBottom w:val="0"/>
      <w:divBdr>
        <w:top w:val="none" w:sz="0" w:space="0" w:color="auto"/>
        <w:left w:val="none" w:sz="0" w:space="0" w:color="auto"/>
        <w:bottom w:val="none" w:sz="0" w:space="0" w:color="auto"/>
        <w:right w:val="none" w:sz="0" w:space="0" w:color="auto"/>
      </w:divBdr>
    </w:div>
    <w:div w:id="1721048256">
      <w:bodyDiv w:val="1"/>
      <w:marLeft w:val="0"/>
      <w:marRight w:val="0"/>
      <w:marTop w:val="0"/>
      <w:marBottom w:val="0"/>
      <w:divBdr>
        <w:top w:val="none" w:sz="0" w:space="0" w:color="auto"/>
        <w:left w:val="none" w:sz="0" w:space="0" w:color="auto"/>
        <w:bottom w:val="none" w:sz="0" w:space="0" w:color="auto"/>
        <w:right w:val="none" w:sz="0" w:space="0" w:color="auto"/>
      </w:divBdr>
    </w:div>
    <w:div w:id="1721132578">
      <w:bodyDiv w:val="1"/>
      <w:marLeft w:val="0"/>
      <w:marRight w:val="0"/>
      <w:marTop w:val="0"/>
      <w:marBottom w:val="0"/>
      <w:divBdr>
        <w:top w:val="none" w:sz="0" w:space="0" w:color="auto"/>
        <w:left w:val="none" w:sz="0" w:space="0" w:color="auto"/>
        <w:bottom w:val="none" w:sz="0" w:space="0" w:color="auto"/>
        <w:right w:val="none" w:sz="0" w:space="0" w:color="auto"/>
      </w:divBdr>
    </w:div>
    <w:div w:id="1721202632">
      <w:bodyDiv w:val="1"/>
      <w:marLeft w:val="0"/>
      <w:marRight w:val="0"/>
      <w:marTop w:val="0"/>
      <w:marBottom w:val="0"/>
      <w:divBdr>
        <w:top w:val="none" w:sz="0" w:space="0" w:color="auto"/>
        <w:left w:val="none" w:sz="0" w:space="0" w:color="auto"/>
        <w:bottom w:val="none" w:sz="0" w:space="0" w:color="auto"/>
        <w:right w:val="none" w:sz="0" w:space="0" w:color="auto"/>
      </w:divBdr>
    </w:div>
    <w:div w:id="1721242433">
      <w:bodyDiv w:val="1"/>
      <w:marLeft w:val="0"/>
      <w:marRight w:val="0"/>
      <w:marTop w:val="0"/>
      <w:marBottom w:val="0"/>
      <w:divBdr>
        <w:top w:val="none" w:sz="0" w:space="0" w:color="auto"/>
        <w:left w:val="none" w:sz="0" w:space="0" w:color="auto"/>
        <w:bottom w:val="none" w:sz="0" w:space="0" w:color="auto"/>
        <w:right w:val="none" w:sz="0" w:space="0" w:color="auto"/>
      </w:divBdr>
    </w:div>
    <w:div w:id="1721248199">
      <w:bodyDiv w:val="1"/>
      <w:marLeft w:val="0"/>
      <w:marRight w:val="0"/>
      <w:marTop w:val="0"/>
      <w:marBottom w:val="0"/>
      <w:divBdr>
        <w:top w:val="none" w:sz="0" w:space="0" w:color="auto"/>
        <w:left w:val="none" w:sz="0" w:space="0" w:color="auto"/>
        <w:bottom w:val="none" w:sz="0" w:space="0" w:color="auto"/>
        <w:right w:val="none" w:sz="0" w:space="0" w:color="auto"/>
      </w:divBdr>
    </w:div>
    <w:div w:id="1721249618">
      <w:bodyDiv w:val="1"/>
      <w:marLeft w:val="0"/>
      <w:marRight w:val="0"/>
      <w:marTop w:val="0"/>
      <w:marBottom w:val="0"/>
      <w:divBdr>
        <w:top w:val="none" w:sz="0" w:space="0" w:color="auto"/>
        <w:left w:val="none" w:sz="0" w:space="0" w:color="auto"/>
        <w:bottom w:val="none" w:sz="0" w:space="0" w:color="auto"/>
        <w:right w:val="none" w:sz="0" w:space="0" w:color="auto"/>
      </w:divBdr>
    </w:div>
    <w:div w:id="1721250058">
      <w:bodyDiv w:val="1"/>
      <w:marLeft w:val="0"/>
      <w:marRight w:val="0"/>
      <w:marTop w:val="0"/>
      <w:marBottom w:val="0"/>
      <w:divBdr>
        <w:top w:val="none" w:sz="0" w:space="0" w:color="auto"/>
        <w:left w:val="none" w:sz="0" w:space="0" w:color="auto"/>
        <w:bottom w:val="none" w:sz="0" w:space="0" w:color="auto"/>
        <w:right w:val="none" w:sz="0" w:space="0" w:color="auto"/>
      </w:divBdr>
    </w:div>
    <w:div w:id="1721317965">
      <w:bodyDiv w:val="1"/>
      <w:marLeft w:val="0"/>
      <w:marRight w:val="0"/>
      <w:marTop w:val="0"/>
      <w:marBottom w:val="0"/>
      <w:divBdr>
        <w:top w:val="none" w:sz="0" w:space="0" w:color="auto"/>
        <w:left w:val="none" w:sz="0" w:space="0" w:color="auto"/>
        <w:bottom w:val="none" w:sz="0" w:space="0" w:color="auto"/>
        <w:right w:val="none" w:sz="0" w:space="0" w:color="auto"/>
      </w:divBdr>
    </w:div>
    <w:div w:id="1721435462">
      <w:bodyDiv w:val="1"/>
      <w:marLeft w:val="0"/>
      <w:marRight w:val="0"/>
      <w:marTop w:val="0"/>
      <w:marBottom w:val="0"/>
      <w:divBdr>
        <w:top w:val="none" w:sz="0" w:space="0" w:color="auto"/>
        <w:left w:val="none" w:sz="0" w:space="0" w:color="auto"/>
        <w:bottom w:val="none" w:sz="0" w:space="0" w:color="auto"/>
        <w:right w:val="none" w:sz="0" w:space="0" w:color="auto"/>
      </w:divBdr>
    </w:div>
    <w:div w:id="1721439329">
      <w:bodyDiv w:val="1"/>
      <w:marLeft w:val="0"/>
      <w:marRight w:val="0"/>
      <w:marTop w:val="0"/>
      <w:marBottom w:val="0"/>
      <w:divBdr>
        <w:top w:val="none" w:sz="0" w:space="0" w:color="auto"/>
        <w:left w:val="none" w:sz="0" w:space="0" w:color="auto"/>
        <w:bottom w:val="none" w:sz="0" w:space="0" w:color="auto"/>
        <w:right w:val="none" w:sz="0" w:space="0" w:color="auto"/>
      </w:divBdr>
    </w:div>
    <w:div w:id="1721898705">
      <w:bodyDiv w:val="1"/>
      <w:marLeft w:val="0"/>
      <w:marRight w:val="0"/>
      <w:marTop w:val="0"/>
      <w:marBottom w:val="0"/>
      <w:divBdr>
        <w:top w:val="none" w:sz="0" w:space="0" w:color="auto"/>
        <w:left w:val="none" w:sz="0" w:space="0" w:color="auto"/>
        <w:bottom w:val="none" w:sz="0" w:space="0" w:color="auto"/>
        <w:right w:val="none" w:sz="0" w:space="0" w:color="auto"/>
      </w:divBdr>
    </w:div>
    <w:div w:id="1721976032">
      <w:bodyDiv w:val="1"/>
      <w:marLeft w:val="0"/>
      <w:marRight w:val="0"/>
      <w:marTop w:val="0"/>
      <w:marBottom w:val="0"/>
      <w:divBdr>
        <w:top w:val="none" w:sz="0" w:space="0" w:color="auto"/>
        <w:left w:val="none" w:sz="0" w:space="0" w:color="auto"/>
        <w:bottom w:val="none" w:sz="0" w:space="0" w:color="auto"/>
        <w:right w:val="none" w:sz="0" w:space="0" w:color="auto"/>
      </w:divBdr>
    </w:div>
    <w:div w:id="1722051427">
      <w:bodyDiv w:val="1"/>
      <w:marLeft w:val="0"/>
      <w:marRight w:val="0"/>
      <w:marTop w:val="0"/>
      <w:marBottom w:val="0"/>
      <w:divBdr>
        <w:top w:val="none" w:sz="0" w:space="0" w:color="auto"/>
        <w:left w:val="none" w:sz="0" w:space="0" w:color="auto"/>
        <w:bottom w:val="none" w:sz="0" w:space="0" w:color="auto"/>
        <w:right w:val="none" w:sz="0" w:space="0" w:color="auto"/>
      </w:divBdr>
    </w:div>
    <w:div w:id="1722167493">
      <w:bodyDiv w:val="1"/>
      <w:marLeft w:val="0"/>
      <w:marRight w:val="0"/>
      <w:marTop w:val="0"/>
      <w:marBottom w:val="0"/>
      <w:divBdr>
        <w:top w:val="none" w:sz="0" w:space="0" w:color="auto"/>
        <w:left w:val="none" w:sz="0" w:space="0" w:color="auto"/>
        <w:bottom w:val="none" w:sz="0" w:space="0" w:color="auto"/>
        <w:right w:val="none" w:sz="0" w:space="0" w:color="auto"/>
      </w:divBdr>
    </w:div>
    <w:div w:id="1722169326">
      <w:bodyDiv w:val="1"/>
      <w:marLeft w:val="0"/>
      <w:marRight w:val="0"/>
      <w:marTop w:val="0"/>
      <w:marBottom w:val="0"/>
      <w:divBdr>
        <w:top w:val="none" w:sz="0" w:space="0" w:color="auto"/>
        <w:left w:val="none" w:sz="0" w:space="0" w:color="auto"/>
        <w:bottom w:val="none" w:sz="0" w:space="0" w:color="auto"/>
        <w:right w:val="none" w:sz="0" w:space="0" w:color="auto"/>
      </w:divBdr>
    </w:div>
    <w:div w:id="1722514862">
      <w:bodyDiv w:val="1"/>
      <w:marLeft w:val="0"/>
      <w:marRight w:val="0"/>
      <w:marTop w:val="0"/>
      <w:marBottom w:val="0"/>
      <w:divBdr>
        <w:top w:val="none" w:sz="0" w:space="0" w:color="auto"/>
        <w:left w:val="none" w:sz="0" w:space="0" w:color="auto"/>
        <w:bottom w:val="none" w:sz="0" w:space="0" w:color="auto"/>
        <w:right w:val="none" w:sz="0" w:space="0" w:color="auto"/>
      </w:divBdr>
    </w:div>
    <w:div w:id="1722553238">
      <w:bodyDiv w:val="1"/>
      <w:marLeft w:val="0"/>
      <w:marRight w:val="0"/>
      <w:marTop w:val="0"/>
      <w:marBottom w:val="0"/>
      <w:divBdr>
        <w:top w:val="none" w:sz="0" w:space="0" w:color="auto"/>
        <w:left w:val="none" w:sz="0" w:space="0" w:color="auto"/>
        <w:bottom w:val="none" w:sz="0" w:space="0" w:color="auto"/>
        <w:right w:val="none" w:sz="0" w:space="0" w:color="auto"/>
      </w:divBdr>
    </w:div>
    <w:div w:id="1722632803">
      <w:bodyDiv w:val="1"/>
      <w:marLeft w:val="0"/>
      <w:marRight w:val="0"/>
      <w:marTop w:val="0"/>
      <w:marBottom w:val="0"/>
      <w:divBdr>
        <w:top w:val="none" w:sz="0" w:space="0" w:color="auto"/>
        <w:left w:val="none" w:sz="0" w:space="0" w:color="auto"/>
        <w:bottom w:val="none" w:sz="0" w:space="0" w:color="auto"/>
        <w:right w:val="none" w:sz="0" w:space="0" w:color="auto"/>
      </w:divBdr>
    </w:div>
    <w:div w:id="1722635208">
      <w:bodyDiv w:val="1"/>
      <w:marLeft w:val="0"/>
      <w:marRight w:val="0"/>
      <w:marTop w:val="0"/>
      <w:marBottom w:val="0"/>
      <w:divBdr>
        <w:top w:val="none" w:sz="0" w:space="0" w:color="auto"/>
        <w:left w:val="none" w:sz="0" w:space="0" w:color="auto"/>
        <w:bottom w:val="none" w:sz="0" w:space="0" w:color="auto"/>
        <w:right w:val="none" w:sz="0" w:space="0" w:color="auto"/>
      </w:divBdr>
    </w:div>
    <w:div w:id="1722679501">
      <w:bodyDiv w:val="1"/>
      <w:marLeft w:val="0"/>
      <w:marRight w:val="0"/>
      <w:marTop w:val="0"/>
      <w:marBottom w:val="0"/>
      <w:divBdr>
        <w:top w:val="none" w:sz="0" w:space="0" w:color="auto"/>
        <w:left w:val="none" w:sz="0" w:space="0" w:color="auto"/>
        <w:bottom w:val="none" w:sz="0" w:space="0" w:color="auto"/>
        <w:right w:val="none" w:sz="0" w:space="0" w:color="auto"/>
      </w:divBdr>
    </w:div>
    <w:div w:id="1722704217">
      <w:bodyDiv w:val="1"/>
      <w:marLeft w:val="0"/>
      <w:marRight w:val="0"/>
      <w:marTop w:val="0"/>
      <w:marBottom w:val="0"/>
      <w:divBdr>
        <w:top w:val="none" w:sz="0" w:space="0" w:color="auto"/>
        <w:left w:val="none" w:sz="0" w:space="0" w:color="auto"/>
        <w:bottom w:val="none" w:sz="0" w:space="0" w:color="auto"/>
        <w:right w:val="none" w:sz="0" w:space="0" w:color="auto"/>
      </w:divBdr>
    </w:div>
    <w:div w:id="1722747645">
      <w:bodyDiv w:val="1"/>
      <w:marLeft w:val="0"/>
      <w:marRight w:val="0"/>
      <w:marTop w:val="0"/>
      <w:marBottom w:val="0"/>
      <w:divBdr>
        <w:top w:val="none" w:sz="0" w:space="0" w:color="auto"/>
        <w:left w:val="none" w:sz="0" w:space="0" w:color="auto"/>
        <w:bottom w:val="none" w:sz="0" w:space="0" w:color="auto"/>
        <w:right w:val="none" w:sz="0" w:space="0" w:color="auto"/>
      </w:divBdr>
    </w:div>
    <w:div w:id="1723097602">
      <w:bodyDiv w:val="1"/>
      <w:marLeft w:val="0"/>
      <w:marRight w:val="0"/>
      <w:marTop w:val="0"/>
      <w:marBottom w:val="0"/>
      <w:divBdr>
        <w:top w:val="none" w:sz="0" w:space="0" w:color="auto"/>
        <w:left w:val="none" w:sz="0" w:space="0" w:color="auto"/>
        <w:bottom w:val="none" w:sz="0" w:space="0" w:color="auto"/>
        <w:right w:val="none" w:sz="0" w:space="0" w:color="auto"/>
      </w:divBdr>
    </w:div>
    <w:div w:id="1723167469">
      <w:bodyDiv w:val="1"/>
      <w:marLeft w:val="0"/>
      <w:marRight w:val="0"/>
      <w:marTop w:val="0"/>
      <w:marBottom w:val="0"/>
      <w:divBdr>
        <w:top w:val="none" w:sz="0" w:space="0" w:color="auto"/>
        <w:left w:val="none" w:sz="0" w:space="0" w:color="auto"/>
        <w:bottom w:val="none" w:sz="0" w:space="0" w:color="auto"/>
        <w:right w:val="none" w:sz="0" w:space="0" w:color="auto"/>
      </w:divBdr>
    </w:div>
    <w:div w:id="1723214814">
      <w:bodyDiv w:val="1"/>
      <w:marLeft w:val="0"/>
      <w:marRight w:val="0"/>
      <w:marTop w:val="0"/>
      <w:marBottom w:val="0"/>
      <w:divBdr>
        <w:top w:val="none" w:sz="0" w:space="0" w:color="auto"/>
        <w:left w:val="none" w:sz="0" w:space="0" w:color="auto"/>
        <w:bottom w:val="none" w:sz="0" w:space="0" w:color="auto"/>
        <w:right w:val="none" w:sz="0" w:space="0" w:color="auto"/>
      </w:divBdr>
    </w:div>
    <w:div w:id="1723215426">
      <w:bodyDiv w:val="1"/>
      <w:marLeft w:val="0"/>
      <w:marRight w:val="0"/>
      <w:marTop w:val="0"/>
      <w:marBottom w:val="0"/>
      <w:divBdr>
        <w:top w:val="none" w:sz="0" w:space="0" w:color="auto"/>
        <w:left w:val="none" w:sz="0" w:space="0" w:color="auto"/>
        <w:bottom w:val="none" w:sz="0" w:space="0" w:color="auto"/>
        <w:right w:val="none" w:sz="0" w:space="0" w:color="auto"/>
      </w:divBdr>
    </w:div>
    <w:div w:id="1723475904">
      <w:bodyDiv w:val="1"/>
      <w:marLeft w:val="0"/>
      <w:marRight w:val="0"/>
      <w:marTop w:val="0"/>
      <w:marBottom w:val="0"/>
      <w:divBdr>
        <w:top w:val="none" w:sz="0" w:space="0" w:color="auto"/>
        <w:left w:val="none" w:sz="0" w:space="0" w:color="auto"/>
        <w:bottom w:val="none" w:sz="0" w:space="0" w:color="auto"/>
        <w:right w:val="none" w:sz="0" w:space="0" w:color="auto"/>
      </w:divBdr>
    </w:div>
    <w:div w:id="1723555350">
      <w:bodyDiv w:val="1"/>
      <w:marLeft w:val="0"/>
      <w:marRight w:val="0"/>
      <w:marTop w:val="0"/>
      <w:marBottom w:val="0"/>
      <w:divBdr>
        <w:top w:val="none" w:sz="0" w:space="0" w:color="auto"/>
        <w:left w:val="none" w:sz="0" w:space="0" w:color="auto"/>
        <w:bottom w:val="none" w:sz="0" w:space="0" w:color="auto"/>
        <w:right w:val="none" w:sz="0" w:space="0" w:color="auto"/>
      </w:divBdr>
    </w:div>
    <w:div w:id="1723601209">
      <w:bodyDiv w:val="1"/>
      <w:marLeft w:val="0"/>
      <w:marRight w:val="0"/>
      <w:marTop w:val="0"/>
      <w:marBottom w:val="0"/>
      <w:divBdr>
        <w:top w:val="none" w:sz="0" w:space="0" w:color="auto"/>
        <w:left w:val="none" w:sz="0" w:space="0" w:color="auto"/>
        <w:bottom w:val="none" w:sz="0" w:space="0" w:color="auto"/>
        <w:right w:val="none" w:sz="0" w:space="0" w:color="auto"/>
      </w:divBdr>
    </w:div>
    <w:div w:id="1724475328">
      <w:bodyDiv w:val="1"/>
      <w:marLeft w:val="0"/>
      <w:marRight w:val="0"/>
      <w:marTop w:val="0"/>
      <w:marBottom w:val="0"/>
      <w:divBdr>
        <w:top w:val="none" w:sz="0" w:space="0" w:color="auto"/>
        <w:left w:val="none" w:sz="0" w:space="0" w:color="auto"/>
        <w:bottom w:val="none" w:sz="0" w:space="0" w:color="auto"/>
        <w:right w:val="none" w:sz="0" w:space="0" w:color="auto"/>
      </w:divBdr>
    </w:div>
    <w:div w:id="1724524400">
      <w:bodyDiv w:val="1"/>
      <w:marLeft w:val="0"/>
      <w:marRight w:val="0"/>
      <w:marTop w:val="0"/>
      <w:marBottom w:val="0"/>
      <w:divBdr>
        <w:top w:val="none" w:sz="0" w:space="0" w:color="auto"/>
        <w:left w:val="none" w:sz="0" w:space="0" w:color="auto"/>
        <w:bottom w:val="none" w:sz="0" w:space="0" w:color="auto"/>
        <w:right w:val="none" w:sz="0" w:space="0" w:color="auto"/>
      </w:divBdr>
    </w:div>
    <w:div w:id="1724524701">
      <w:bodyDiv w:val="1"/>
      <w:marLeft w:val="0"/>
      <w:marRight w:val="0"/>
      <w:marTop w:val="0"/>
      <w:marBottom w:val="0"/>
      <w:divBdr>
        <w:top w:val="none" w:sz="0" w:space="0" w:color="auto"/>
        <w:left w:val="none" w:sz="0" w:space="0" w:color="auto"/>
        <w:bottom w:val="none" w:sz="0" w:space="0" w:color="auto"/>
        <w:right w:val="none" w:sz="0" w:space="0" w:color="auto"/>
      </w:divBdr>
    </w:div>
    <w:div w:id="1724598500">
      <w:bodyDiv w:val="1"/>
      <w:marLeft w:val="0"/>
      <w:marRight w:val="0"/>
      <w:marTop w:val="0"/>
      <w:marBottom w:val="0"/>
      <w:divBdr>
        <w:top w:val="none" w:sz="0" w:space="0" w:color="auto"/>
        <w:left w:val="none" w:sz="0" w:space="0" w:color="auto"/>
        <w:bottom w:val="none" w:sz="0" w:space="0" w:color="auto"/>
        <w:right w:val="none" w:sz="0" w:space="0" w:color="auto"/>
      </w:divBdr>
    </w:div>
    <w:div w:id="1724669381">
      <w:bodyDiv w:val="1"/>
      <w:marLeft w:val="0"/>
      <w:marRight w:val="0"/>
      <w:marTop w:val="0"/>
      <w:marBottom w:val="0"/>
      <w:divBdr>
        <w:top w:val="none" w:sz="0" w:space="0" w:color="auto"/>
        <w:left w:val="none" w:sz="0" w:space="0" w:color="auto"/>
        <w:bottom w:val="none" w:sz="0" w:space="0" w:color="auto"/>
        <w:right w:val="none" w:sz="0" w:space="0" w:color="auto"/>
      </w:divBdr>
    </w:div>
    <w:div w:id="1724677063">
      <w:bodyDiv w:val="1"/>
      <w:marLeft w:val="0"/>
      <w:marRight w:val="0"/>
      <w:marTop w:val="0"/>
      <w:marBottom w:val="0"/>
      <w:divBdr>
        <w:top w:val="none" w:sz="0" w:space="0" w:color="auto"/>
        <w:left w:val="none" w:sz="0" w:space="0" w:color="auto"/>
        <w:bottom w:val="none" w:sz="0" w:space="0" w:color="auto"/>
        <w:right w:val="none" w:sz="0" w:space="0" w:color="auto"/>
      </w:divBdr>
    </w:div>
    <w:div w:id="1724711980">
      <w:bodyDiv w:val="1"/>
      <w:marLeft w:val="0"/>
      <w:marRight w:val="0"/>
      <w:marTop w:val="0"/>
      <w:marBottom w:val="0"/>
      <w:divBdr>
        <w:top w:val="none" w:sz="0" w:space="0" w:color="auto"/>
        <w:left w:val="none" w:sz="0" w:space="0" w:color="auto"/>
        <w:bottom w:val="none" w:sz="0" w:space="0" w:color="auto"/>
        <w:right w:val="none" w:sz="0" w:space="0" w:color="auto"/>
      </w:divBdr>
    </w:div>
    <w:div w:id="1724786389">
      <w:bodyDiv w:val="1"/>
      <w:marLeft w:val="0"/>
      <w:marRight w:val="0"/>
      <w:marTop w:val="0"/>
      <w:marBottom w:val="0"/>
      <w:divBdr>
        <w:top w:val="none" w:sz="0" w:space="0" w:color="auto"/>
        <w:left w:val="none" w:sz="0" w:space="0" w:color="auto"/>
        <w:bottom w:val="none" w:sz="0" w:space="0" w:color="auto"/>
        <w:right w:val="none" w:sz="0" w:space="0" w:color="auto"/>
      </w:divBdr>
    </w:div>
    <w:div w:id="1724791452">
      <w:bodyDiv w:val="1"/>
      <w:marLeft w:val="0"/>
      <w:marRight w:val="0"/>
      <w:marTop w:val="0"/>
      <w:marBottom w:val="0"/>
      <w:divBdr>
        <w:top w:val="none" w:sz="0" w:space="0" w:color="auto"/>
        <w:left w:val="none" w:sz="0" w:space="0" w:color="auto"/>
        <w:bottom w:val="none" w:sz="0" w:space="0" w:color="auto"/>
        <w:right w:val="none" w:sz="0" w:space="0" w:color="auto"/>
      </w:divBdr>
    </w:div>
    <w:div w:id="1724865003">
      <w:bodyDiv w:val="1"/>
      <w:marLeft w:val="0"/>
      <w:marRight w:val="0"/>
      <w:marTop w:val="0"/>
      <w:marBottom w:val="0"/>
      <w:divBdr>
        <w:top w:val="none" w:sz="0" w:space="0" w:color="auto"/>
        <w:left w:val="none" w:sz="0" w:space="0" w:color="auto"/>
        <w:bottom w:val="none" w:sz="0" w:space="0" w:color="auto"/>
        <w:right w:val="none" w:sz="0" w:space="0" w:color="auto"/>
      </w:divBdr>
    </w:div>
    <w:div w:id="1724910894">
      <w:bodyDiv w:val="1"/>
      <w:marLeft w:val="0"/>
      <w:marRight w:val="0"/>
      <w:marTop w:val="0"/>
      <w:marBottom w:val="0"/>
      <w:divBdr>
        <w:top w:val="none" w:sz="0" w:space="0" w:color="auto"/>
        <w:left w:val="none" w:sz="0" w:space="0" w:color="auto"/>
        <w:bottom w:val="none" w:sz="0" w:space="0" w:color="auto"/>
        <w:right w:val="none" w:sz="0" w:space="0" w:color="auto"/>
      </w:divBdr>
    </w:div>
    <w:div w:id="1724980570">
      <w:bodyDiv w:val="1"/>
      <w:marLeft w:val="0"/>
      <w:marRight w:val="0"/>
      <w:marTop w:val="0"/>
      <w:marBottom w:val="0"/>
      <w:divBdr>
        <w:top w:val="none" w:sz="0" w:space="0" w:color="auto"/>
        <w:left w:val="none" w:sz="0" w:space="0" w:color="auto"/>
        <w:bottom w:val="none" w:sz="0" w:space="0" w:color="auto"/>
        <w:right w:val="none" w:sz="0" w:space="0" w:color="auto"/>
      </w:divBdr>
    </w:div>
    <w:div w:id="1724982752">
      <w:bodyDiv w:val="1"/>
      <w:marLeft w:val="0"/>
      <w:marRight w:val="0"/>
      <w:marTop w:val="0"/>
      <w:marBottom w:val="0"/>
      <w:divBdr>
        <w:top w:val="none" w:sz="0" w:space="0" w:color="auto"/>
        <w:left w:val="none" w:sz="0" w:space="0" w:color="auto"/>
        <w:bottom w:val="none" w:sz="0" w:space="0" w:color="auto"/>
        <w:right w:val="none" w:sz="0" w:space="0" w:color="auto"/>
      </w:divBdr>
    </w:div>
    <w:div w:id="1725058057">
      <w:bodyDiv w:val="1"/>
      <w:marLeft w:val="0"/>
      <w:marRight w:val="0"/>
      <w:marTop w:val="0"/>
      <w:marBottom w:val="0"/>
      <w:divBdr>
        <w:top w:val="none" w:sz="0" w:space="0" w:color="auto"/>
        <w:left w:val="none" w:sz="0" w:space="0" w:color="auto"/>
        <w:bottom w:val="none" w:sz="0" w:space="0" w:color="auto"/>
        <w:right w:val="none" w:sz="0" w:space="0" w:color="auto"/>
      </w:divBdr>
    </w:div>
    <w:div w:id="1725107008">
      <w:bodyDiv w:val="1"/>
      <w:marLeft w:val="0"/>
      <w:marRight w:val="0"/>
      <w:marTop w:val="0"/>
      <w:marBottom w:val="0"/>
      <w:divBdr>
        <w:top w:val="none" w:sz="0" w:space="0" w:color="auto"/>
        <w:left w:val="none" w:sz="0" w:space="0" w:color="auto"/>
        <w:bottom w:val="none" w:sz="0" w:space="0" w:color="auto"/>
        <w:right w:val="none" w:sz="0" w:space="0" w:color="auto"/>
      </w:divBdr>
    </w:div>
    <w:div w:id="1725250736">
      <w:bodyDiv w:val="1"/>
      <w:marLeft w:val="0"/>
      <w:marRight w:val="0"/>
      <w:marTop w:val="0"/>
      <w:marBottom w:val="0"/>
      <w:divBdr>
        <w:top w:val="none" w:sz="0" w:space="0" w:color="auto"/>
        <w:left w:val="none" w:sz="0" w:space="0" w:color="auto"/>
        <w:bottom w:val="none" w:sz="0" w:space="0" w:color="auto"/>
        <w:right w:val="none" w:sz="0" w:space="0" w:color="auto"/>
      </w:divBdr>
    </w:div>
    <w:div w:id="1725324606">
      <w:bodyDiv w:val="1"/>
      <w:marLeft w:val="0"/>
      <w:marRight w:val="0"/>
      <w:marTop w:val="0"/>
      <w:marBottom w:val="0"/>
      <w:divBdr>
        <w:top w:val="none" w:sz="0" w:space="0" w:color="auto"/>
        <w:left w:val="none" w:sz="0" w:space="0" w:color="auto"/>
        <w:bottom w:val="none" w:sz="0" w:space="0" w:color="auto"/>
        <w:right w:val="none" w:sz="0" w:space="0" w:color="auto"/>
      </w:divBdr>
    </w:div>
    <w:div w:id="1725331036">
      <w:bodyDiv w:val="1"/>
      <w:marLeft w:val="0"/>
      <w:marRight w:val="0"/>
      <w:marTop w:val="0"/>
      <w:marBottom w:val="0"/>
      <w:divBdr>
        <w:top w:val="none" w:sz="0" w:space="0" w:color="auto"/>
        <w:left w:val="none" w:sz="0" w:space="0" w:color="auto"/>
        <w:bottom w:val="none" w:sz="0" w:space="0" w:color="auto"/>
        <w:right w:val="none" w:sz="0" w:space="0" w:color="auto"/>
      </w:divBdr>
    </w:div>
    <w:div w:id="1725332820">
      <w:bodyDiv w:val="1"/>
      <w:marLeft w:val="0"/>
      <w:marRight w:val="0"/>
      <w:marTop w:val="0"/>
      <w:marBottom w:val="0"/>
      <w:divBdr>
        <w:top w:val="none" w:sz="0" w:space="0" w:color="auto"/>
        <w:left w:val="none" w:sz="0" w:space="0" w:color="auto"/>
        <w:bottom w:val="none" w:sz="0" w:space="0" w:color="auto"/>
        <w:right w:val="none" w:sz="0" w:space="0" w:color="auto"/>
      </w:divBdr>
    </w:div>
    <w:div w:id="1725566990">
      <w:bodyDiv w:val="1"/>
      <w:marLeft w:val="0"/>
      <w:marRight w:val="0"/>
      <w:marTop w:val="0"/>
      <w:marBottom w:val="0"/>
      <w:divBdr>
        <w:top w:val="none" w:sz="0" w:space="0" w:color="auto"/>
        <w:left w:val="none" w:sz="0" w:space="0" w:color="auto"/>
        <w:bottom w:val="none" w:sz="0" w:space="0" w:color="auto"/>
        <w:right w:val="none" w:sz="0" w:space="0" w:color="auto"/>
      </w:divBdr>
    </w:div>
    <w:div w:id="1725715682">
      <w:bodyDiv w:val="1"/>
      <w:marLeft w:val="0"/>
      <w:marRight w:val="0"/>
      <w:marTop w:val="0"/>
      <w:marBottom w:val="0"/>
      <w:divBdr>
        <w:top w:val="none" w:sz="0" w:space="0" w:color="auto"/>
        <w:left w:val="none" w:sz="0" w:space="0" w:color="auto"/>
        <w:bottom w:val="none" w:sz="0" w:space="0" w:color="auto"/>
        <w:right w:val="none" w:sz="0" w:space="0" w:color="auto"/>
      </w:divBdr>
    </w:div>
    <w:div w:id="1725717375">
      <w:bodyDiv w:val="1"/>
      <w:marLeft w:val="0"/>
      <w:marRight w:val="0"/>
      <w:marTop w:val="0"/>
      <w:marBottom w:val="0"/>
      <w:divBdr>
        <w:top w:val="none" w:sz="0" w:space="0" w:color="auto"/>
        <w:left w:val="none" w:sz="0" w:space="0" w:color="auto"/>
        <w:bottom w:val="none" w:sz="0" w:space="0" w:color="auto"/>
        <w:right w:val="none" w:sz="0" w:space="0" w:color="auto"/>
      </w:divBdr>
    </w:div>
    <w:div w:id="1725834650">
      <w:bodyDiv w:val="1"/>
      <w:marLeft w:val="0"/>
      <w:marRight w:val="0"/>
      <w:marTop w:val="0"/>
      <w:marBottom w:val="0"/>
      <w:divBdr>
        <w:top w:val="none" w:sz="0" w:space="0" w:color="auto"/>
        <w:left w:val="none" w:sz="0" w:space="0" w:color="auto"/>
        <w:bottom w:val="none" w:sz="0" w:space="0" w:color="auto"/>
        <w:right w:val="none" w:sz="0" w:space="0" w:color="auto"/>
      </w:divBdr>
    </w:div>
    <w:div w:id="1726025535">
      <w:bodyDiv w:val="1"/>
      <w:marLeft w:val="0"/>
      <w:marRight w:val="0"/>
      <w:marTop w:val="0"/>
      <w:marBottom w:val="0"/>
      <w:divBdr>
        <w:top w:val="none" w:sz="0" w:space="0" w:color="auto"/>
        <w:left w:val="none" w:sz="0" w:space="0" w:color="auto"/>
        <w:bottom w:val="none" w:sz="0" w:space="0" w:color="auto"/>
        <w:right w:val="none" w:sz="0" w:space="0" w:color="auto"/>
      </w:divBdr>
    </w:div>
    <w:div w:id="1726029061">
      <w:bodyDiv w:val="1"/>
      <w:marLeft w:val="0"/>
      <w:marRight w:val="0"/>
      <w:marTop w:val="0"/>
      <w:marBottom w:val="0"/>
      <w:divBdr>
        <w:top w:val="none" w:sz="0" w:space="0" w:color="auto"/>
        <w:left w:val="none" w:sz="0" w:space="0" w:color="auto"/>
        <w:bottom w:val="none" w:sz="0" w:space="0" w:color="auto"/>
        <w:right w:val="none" w:sz="0" w:space="0" w:color="auto"/>
      </w:divBdr>
    </w:div>
    <w:div w:id="1726179439">
      <w:bodyDiv w:val="1"/>
      <w:marLeft w:val="0"/>
      <w:marRight w:val="0"/>
      <w:marTop w:val="0"/>
      <w:marBottom w:val="0"/>
      <w:divBdr>
        <w:top w:val="none" w:sz="0" w:space="0" w:color="auto"/>
        <w:left w:val="none" w:sz="0" w:space="0" w:color="auto"/>
        <w:bottom w:val="none" w:sz="0" w:space="0" w:color="auto"/>
        <w:right w:val="none" w:sz="0" w:space="0" w:color="auto"/>
      </w:divBdr>
    </w:div>
    <w:div w:id="1726249583">
      <w:bodyDiv w:val="1"/>
      <w:marLeft w:val="0"/>
      <w:marRight w:val="0"/>
      <w:marTop w:val="0"/>
      <w:marBottom w:val="0"/>
      <w:divBdr>
        <w:top w:val="none" w:sz="0" w:space="0" w:color="auto"/>
        <w:left w:val="none" w:sz="0" w:space="0" w:color="auto"/>
        <w:bottom w:val="none" w:sz="0" w:space="0" w:color="auto"/>
        <w:right w:val="none" w:sz="0" w:space="0" w:color="auto"/>
      </w:divBdr>
    </w:div>
    <w:div w:id="1726249912">
      <w:bodyDiv w:val="1"/>
      <w:marLeft w:val="0"/>
      <w:marRight w:val="0"/>
      <w:marTop w:val="0"/>
      <w:marBottom w:val="0"/>
      <w:divBdr>
        <w:top w:val="none" w:sz="0" w:space="0" w:color="auto"/>
        <w:left w:val="none" w:sz="0" w:space="0" w:color="auto"/>
        <w:bottom w:val="none" w:sz="0" w:space="0" w:color="auto"/>
        <w:right w:val="none" w:sz="0" w:space="0" w:color="auto"/>
      </w:divBdr>
    </w:div>
    <w:div w:id="1726297504">
      <w:bodyDiv w:val="1"/>
      <w:marLeft w:val="0"/>
      <w:marRight w:val="0"/>
      <w:marTop w:val="0"/>
      <w:marBottom w:val="0"/>
      <w:divBdr>
        <w:top w:val="none" w:sz="0" w:space="0" w:color="auto"/>
        <w:left w:val="none" w:sz="0" w:space="0" w:color="auto"/>
        <w:bottom w:val="none" w:sz="0" w:space="0" w:color="auto"/>
        <w:right w:val="none" w:sz="0" w:space="0" w:color="auto"/>
      </w:divBdr>
    </w:div>
    <w:div w:id="1726368609">
      <w:bodyDiv w:val="1"/>
      <w:marLeft w:val="0"/>
      <w:marRight w:val="0"/>
      <w:marTop w:val="0"/>
      <w:marBottom w:val="0"/>
      <w:divBdr>
        <w:top w:val="none" w:sz="0" w:space="0" w:color="auto"/>
        <w:left w:val="none" w:sz="0" w:space="0" w:color="auto"/>
        <w:bottom w:val="none" w:sz="0" w:space="0" w:color="auto"/>
        <w:right w:val="none" w:sz="0" w:space="0" w:color="auto"/>
      </w:divBdr>
    </w:div>
    <w:div w:id="1726489547">
      <w:bodyDiv w:val="1"/>
      <w:marLeft w:val="0"/>
      <w:marRight w:val="0"/>
      <w:marTop w:val="0"/>
      <w:marBottom w:val="0"/>
      <w:divBdr>
        <w:top w:val="none" w:sz="0" w:space="0" w:color="auto"/>
        <w:left w:val="none" w:sz="0" w:space="0" w:color="auto"/>
        <w:bottom w:val="none" w:sz="0" w:space="0" w:color="auto"/>
        <w:right w:val="none" w:sz="0" w:space="0" w:color="auto"/>
      </w:divBdr>
    </w:div>
    <w:div w:id="1726561149">
      <w:bodyDiv w:val="1"/>
      <w:marLeft w:val="0"/>
      <w:marRight w:val="0"/>
      <w:marTop w:val="0"/>
      <w:marBottom w:val="0"/>
      <w:divBdr>
        <w:top w:val="none" w:sz="0" w:space="0" w:color="auto"/>
        <w:left w:val="none" w:sz="0" w:space="0" w:color="auto"/>
        <w:bottom w:val="none" w:sz="0" w:space="0" w:color="auto"/>
        <w:right w:val="none" w:sz="0" w:space="0" w:color="auto"/>
      </w:divBdr>
    </w:div>
    <w:div w:id="1726638298">
      <w:bodyDiv w:val="1"/>
      <w:marLeft w:val="0"/>
      <w:marRight w:val="0"/>
      <w:marTop w:val="0"/>
      <w:marBottom w:val="0"/>
      <w:divBdr>
        <w:top w:val="none" w:sz="0" w:space="0" w:color="auto"/>
        <w:left w:val="none" w:sz="0" w:space="0" w:color="auto"/>
        <w:bottom w:val="none" w:sz="0" w:space="0" w:color="auto"/>
        <w:right w:val="none" w:sz="0" w:space="0" w:color="auto"/>
      </w:divBdr>
    </w:div>
    <w:div w:id="1726642784">
      <w:bodyDiv w:val="1"/>
      <w:marLeft w:val="0"/>
      <w:marRight w:val="0"/>
      <w:marTop w:val="0"/>
      <w:marBottom w:val="0"/>
      <w:divBdr>
        <w:top w:val="none" w:sz="0" w:space="0" w:color="auto"/>
        <w:left w:val="none" w:sz="0" w:space="0" w:color="auto"/>
        <w:bottom w:val="none" w:sz="0" w:space="0" w:color="auto"/>
        <w:right w:val="none" w:sz="0" w:space="0" w:color="auto"/>
      </w:divBdr>
    </w:div>
    <w:div w:id="1726678317">
      <w:bodyDiv w:val="1"/>
      <w:marLeft w:val="0"/>
      <w:marRight w:val="0"/>
      <w:marTop w:val="0"/>
      <w:marBottom w:val="0"/>
      <w:divBdr>
        <w:top w:val="none" w:sz="0" w:space="0" w:color="auto"/>
        <w:left w:val="none" w:sz="0" w:space="0" w:color="auto"/>
        <w:bottom w:val="none" w:sz="0" w:space="0" w:color="auto"/>
        <w:right w:val="none" w:sz="0" w:space="0" w:color="auto"/>
      </w:divBdr>
    </w:div>
    <w:div w:id="1726680088">
      <w:bodyDiv w:val="1"/>
      <w:marLeft w:val="0"/>
      <w:marRight w:val="0"/>
      <w:marTop w:val="0"/>
      <w:marBottom w:val="0"/>
      <w:divBdr>
        <w:top w:val="none" w:sz="0" w:space="0" w:color="auto"/>
        <w:left w:val="none" w:sz="0" w:space="0" w:color="auto"/>
        <w:bottom w:val="none" w:sz="0" w:space="0" w:color="auto"/>
        <w:right w:val="none" w:sz="0" w:space="0" w:color="auto"/>
      </w:divBdr>
    </w:div>
    <w:div w:id="1726680445">
      <w:bodyDiv w:val="1"/>
      <w:marLeft w:val="0"/>
      <w:marRight w:val="0"/>
      <w:marTop w:val="0"/>
      <w:marBottom w:val="0"/>
      <w:divBdr>
        <w:top w:val="none" w:sz="0" w:space="0" w:color="auto"/>
        <w:left w:val="none" w:sz="0" w:space="0" w:color="auto"/>
        <w:bottom w:val="none" w:sz="0" w:space="0" w:color="auto"/>
        <w:right w:val="none" w:sz="0" w:space="0" w:color="auto"/>
      </w:divBdr>
    </w:div>
    <w:div w:id="1726755369">
      <w:bodyDiv w:val="1"/>
      <w:marLeft w:val="0"/>
      <w:marRight w:val="0"/>
      <w:marTop w:val="0"/>
      <w:marBottom w:val="0"/>
      <w:divBdr>
        <w:top w:val="none" w:sz="0" w:space="0" w:color="auto"/>
        <w:left w:val="none" w:sz="0" w:space="0" w:color="auto"/>
        <w:bottom w:val="none" w:sz="0" w:space="0" w:color="auto"/>
        <w:right w:val="none" w:sz="0" w:space="0" w:color="auto"/>
      </w:divBdr>
    </w:div>
    <w:div w:id="1727147963">
      <w:bodyDiv w:val="1"/>
      <w:marLeft w:val="0"/>
      <w:marRight w:val="0"/>
      <w:marTop w:val="0"/>
      <w:marBottom w:val="0"/>
      <w:divBdr>
        <w:top w:val="none" w:sz="0" w:space="0" w:color="auto"/>
        <w:left w:val="none" w:sz="0" w:space="0" w:color="auto"/>
        <w:bottom w:val="none" w:sz="0" w:space="0" w:color="auto"/>
        <w:right w:val="none" w:sz="0" w:space="0" w:color="auto"/>
      </w:divBdr>
    </w:div>
    <w:div w:id="1727333650">
      <w:bodyDiv w:val="1"/>
      <w:marLeft w:val="0"/>
      <w:marRight w:val="0"/>
      <w:marTop w:val="0"/>
      <w:marBottom w:val="0"/>
      <w:divBdr>
        <w:top w:val="none" w:sz="0" w:space="0" w:color="auto"/>
        <w:left w:val="none" w:sz="0" w:space="0" w:color="auto"/>
        <w:bottom w:val="none" w:sz="0" w:space="0" w:color="auto"/>
        <w:right w:val="none" w:sz="0" w:space="0" w:color="auto"/>
      </w:divBdr>
    </w:div>
    <w:div w:id="1727338952">
      <w:bodyDiv w:val="1"/>
      <w:marLeft w:val="0"/>
      <w:marRight w:val="0"/>
      <w:marTop w:val="0"/>
      <w:marBottom w:val="0"/>
      <w:divBdr>
        <w:top w:val="none" w:sz="0" w:space="0" w:color="auto"/>
        <w:left w:val="none" w:sz="0" w:space="0" w:color="auto"/>
        <w:bottom w:val="none" w:sz="0" w:space="0" w:color="auto"/>
        <w:right w:val="none" w:sz="0" w:space="0" w:color="auto"/>
      </w:divBdr>
    </w:div>
    <w:div w:id="1727407466">
      <w:bodyDiv w:val="1"/>
      <w:marLeft w:val="0"/>
      <w:marRight w:val="0"/>
      <w:marTop w:val="0"/>
      <w:marBottom w:val="0"/>
      <w:divBdr>
        <w:top w:val="none" w:sz="0" w:space="0" w:color="auto"/>
        <w:left w:val="none" w:sz="0" w:space="0" w:color="auto"/>
        <w:bottom w:val="none" w:sz="0" w:space="0" w:color="auto"/>
        <w:right w:val="none" w:sz="0" w:space="0" w:color="auto"/>
      </w:divBdr>
    </w:div>
    <w:div w:id="1727534649">
      <w:bodyDiv w:val="1"/>
      <w:marLeft w:val="0"/>
      <w:marRight w:val="0"/>
      <w:marTop w:val="0"/>
      <w:marBottom w:val="0"/>
      <w:divBdr>
        <w:top w:val="none" w:sz="0" w:space="0" w:color="auto"/>
        <w:left w:val="none" w:sz="0" w:space="0" w:color="auto"/>
        <w:bottom w:val="none" w:sz="0" w:space="0" w:color="auto"/>
        <w:right w:val="none" w:sz="0" w:space="0" w:color="auto"/>
      </w:divBdr>
    </w:div>
    <w:div w:id="1727796441">
      <w:bodyDiv w:val="1"/>
      <w:marLeft w:val="0"/>
      <w:marRight w:val="0"/>
      <w:marTop w:val="0"/>
      <w:marBottom w:val="0"/>
      <w:divBdr>
        <w:top w:val="none" w:sz="0" w:space="0" w:color="auto"/>
        <w:left w:val="none" w:sz="0" w:space="0" w:color="auto"/>
        <w:bottom w:val="none" w:sz="0" w:space="0" w:color="auto"/>
        <w:right w:val="none" w:sz="0" w:space="0" w:color="auto"/>
      </w:divBdr>
    </w:div>
    <w:div w:id="1727869479">
      <w:bodyDiv w:val="1"/>
      <w:marLeft w:val="0"/>
      <w:marRight w:val="0"/>
      <w:marTop w:val="0"/>
      <w:marBottom w:val="0"/>
      <w:divBdr>
        <w:top w:val="none" w:sz="0" w:space="0" w:color="auto"/>
        <w:left w:val="none" w:sz="0" w:space="0" w:color="auto"/>
        <w:bottom w:val="none" w:sz="0" w:space="0" w:color="auto"/>
        <w:right w:val="none" w:sz="0" w:space="0" w:color="auto"/>
      </w:divBdr>
    </w:div>
    <w:div w:id="1727873138">
      <w:bodyDiv w:val="1"/>
      <w:marLeft w:val="0"/>
      <w:marRight w:val="0"/>
      <w:marTop w:val="0"/>
      <w:marBottom w:val="0"/>
      <w:divBdr>
        <w:top w:val="none" w:sz="0" w:space="0" w:color="auto"/>
        <w:left w:val="none" w:sz="0" w:space="0" w:color="auto"/>
        <w:bottom w:val="none" w:sz="0" w:space="0" w:color="auto"/>
        <w:right w:val="none" w:sz="0" w:space="0" w:color="auto"/>
      </w:divBdr>
    </w:div>
    <w:div w:id="1727873461">
      <w:bodyDiv w:val="1"/>
      <w:marLeft w:val="0"/>
      <w:marRight w:val="0"/>
      <w:marTop w:val="0"/>
      <w:marBottom w:val="0"/>
      <w:divBdr>
        <w:top w:val="none" w:sz="0" w:space="0" w:color="auto"/>
        <w:left w:val="none" w:sz="0" w:space="0" w:color="auto"/>
        <w:bottom w:val="none" w:sz="0" w:space="0" w:color="auto"/>
        <w:right w:val="none" w:sz="0" w:space="0" w:color="auto"/>
      </w:divBdr>
    </w:div>
    <w:div w:id="1727996291">
      <w:bodyDiv w:val="1"/>
      <w:marLeft w:val="0"/>
      <w:marRight w:val="0"/>
      <w:marTop w:val="0"/>
      <w:marBottom w:val="0"/>
      <w:divBdr>
        <w:top w:val="none" w:sz="0" w:space="0" w:color="auto"/>
        <w:left w:val="none" w:sz="0" w:space="0" w:color="auto"/>
        <w:bottom w:val="none" w:sz="0" w:space="0" w:color="auto"/>
        <w:right w:val="none" w:sz="0" w:space="0" w:color="auto"/>
      </w:divBdr>
    </w:div>
    <w:div w:id="1728069889">
      <w:bodyDiv w:val="1"/>
      <w:marLeft w:val="0"/>
      <w:marRight w:val="0"/>
      <w:marTop w:val="0"/>
      <w:marBottom w:val="0"/>
      <w:divBdr>
        <w:top w:val="none" w:sz="0" w:space="0" w:color="auto"/>
        <w:left w:val="none" w:sz="0" w:space="0" w:color="auto"/>
        <w:bottom w:val="none" w:sz="0" w:space="0" w:color="auto"/>
        <w:right w:val="none" w:sz="0" w:space="0" w:color="auto"/>
      </w:divBdr>
    </w:div>
    <w:div w:id="1728141783">
      <w:bodyDiv w:val="1"/>
      <w:marLeft w:val="0"/>
      <w:marRight w:val="0"/>
      <w:marTop w:val="0"/>
      <w:marBottom w:val="0"/>
      <w:divBdr>
        <w:top w:val="none" w:sz="0" w:space="0" w:color="auto"/>
        <w:left w:val="none" w:sz="0" w:space="0" w:color="auto"/>
        <w:bottom w:val="none" w:sz="0" w:space="0" w:color="auto"/>
        <w:right w:val="none" w:sz="0" w:space="0" w:color="auto"/>
      </w:divBdr>
    </w:div>
    <w:div w:id="1728184933">
      <w:bodyDiv w:val="1"/>
      <w:marLeft w:val="0"/>
      <w:marRight w:val="0"/>
      <w:marTop w:val="0"/>
      <w:marBottom w:val="0"/>
      <w:divBdr>
        <w:top w:val="none" w:sz="0" w:space="0" w:color="auto"/>
        <w:left w:val="none" w:sz="0" w:space="0" w:color="auto"/>
        <w:bottom w:val="none" w:sz="0" w:space="0" w:color="auto"/>
        <w:right w:val="none" w:sz="0" w:space="0" w:color="auto"/>
      </w:divBdr>
    </w:div>
    <w:div w:id="1728185636">
      <w:bodyDiv w:val="1"/>
      <w:marLeft w:val="0"/>
      <w:marRight w:val="0"/>
      <w:marTop w:val="0"/>
      <w:marBottom w:val="0"/>
      <w:divBdr>
        <w:top w:val="none" w:sz="0" w:space="0" w:color="auto"/>
        <w:left w:val="none" w:sz="0" w:space="0" w:color="auto"/>
        <w:bottom w:val="none" w:sz="0" w:space="0" w:color="auto"/>
        <w:right w:val="none" w:sz="0" w:space="0" w:color="auto"/>
      </w:divBdr>
    </w:div>
    <w:div w:id="1728188477">
      <w:bodyDiv w:val="1"/>
      <w:marLeft w:val="0"/>
      <w:marRight w:val="0"/>
      <w:marTop w:val="0"/>
      <w:marBottom w:val="0"/>
      <w:divBdr>
        <w:top w:val="none" w:sz="0" w:space="0" w:color="auto"/>
        <w:left w:val="none" w:sz="0" w:space="0" w:color="auto"/>
        <w:bottom w:val="none" w:sz="0" w:space="0" w:color="auto"/>
        <w:right w:val="none" w:sz="0" w:space="0" w:color="auto"/>
      </w:divBdr>
    </w:div>
    <w:div w:id="1728336416">
      <w:bodyDiv w:val="1"/>
      <w:marLeft w:val="0"/>
      <w:marRight w:val="0"/>
      <w:marTop w:val="0"/>
      <w:marBottom w:val="0"/>
      <w:divBdr>
        <w:top w:val="none" w:sz="0" w:space="0" w:color="auto"/>
        <w:left w:val="none" w:sz="0" w:space="0" w:color="auto"/>
        <w:bottom w:val="none" w:sz="0" w:space="0" w:color="auto"/>
        <w:right w:val="none" w:sz="0" w:space="0" w:color="auto"/>
      </w:divBdr>
    </w:div>
    <w:div w:id="1728339902">
      <w:bodyDiv w:val="1"/>
      <w:marLeft w:val="0"/>
      <w:marRight w:val="0"/>
      <w:marTop w:val="0"/>
      <w:marBottom w:val="0"/>
      <w:divBdr>
        <w:top w:val="none" w:sz="0" w:space="0" w:color="auto"/>
        <w:left w:val="none" w:sz="0" w:space="0" w:color="auto"/>
        <w:bottom w:val="none" w:sz="0" w:space="0" w:color="auto"/>
        <w:right w:val="none" w:sz="0" w:space="0" w:color="auto"/>
      </w:divBdr>
    </w:div>
    <w:div w:id="1728407662">
      <w:bodyDiv w:val="1"/>
      <w:marLeft w:val="0"/>
      <w:marRight w:val="0"/>
      <w:marTop w:val="0"/>
      <w:marBottom w:val="0"/>
      <w:divBdr>
        <w:top w:val="none" w:sz="0" w:space="0" w:color="auto"/>
        <w:left w:val="none" w:sz="0" w:space="0" w:color="auto"/>
        <w:bottom w:val="none" w:sz="0" w:space="0" w:color="auto"/>
        <w:right w:val="none" w:sz="0" w:space="0" w:color="auto"/>
      </w:divBdr>
    </w:div>
    <w:div w:id="1728411774">
      <w:bodyDiv w:val="1"/>
      <w:marLeft w:val="0"/>
      <w:marRight w:val="0"/>
      <w:marTop w:val="0"/>
      <w:marBottom w:val="0"/>
      <w:divBdr>
        <w:top w:val="none" w:sz="0" w:space="0" w:color="auto"/>
        <w:left w:val="none" w:sz="0" w:space="0" w:color="auto"/>
        <w:bottom w:val="none" w:sz="0" w:space="0" w:color="auto"/>
        <w:right w:val="none" w:sz="0" w:space="0" w:color="auto"/>
      </w:divBdr>
    </w:div>
    <w:div w:id="1728532448">
      <w:bodyDiv w:val="1"/>
      <w:marLeft w:val="0"/>
      <w:marRight w:val="0"/>
      <w:marTop w:val="0"/>
      <w:marBottom w:val="0"/>
      <w:divBdr>
        <w:top w:val="none" w:sz="0" w:space="0" w:color="auto"/>
        <w:left w:val="none" w:sz="0" w:space="0" w:color="auto"/>
        <w:bottom w:val="none" w:sz="0" w:space="0" w:color="auto"/>
        <w:right w:val="none" w:sz="0" w:space="0" w:color="auto"/>
      </w:divBdr>
    </w:div>
    <w:div w:id="1728645729">
      <w:bodyDiv w:val="1"/>
      <w:marLeft w:val="0"/>
      <w:marRight w:val="0"/>
      <w:marTop w:val="0"/>
      <w:marBottom w:val="0"/>
      <w:divBdr>
        <w:top w:val="none" w:sz="0" w:space="0" w:color="auto"/>
        <w:left w:val="none" w:sz="0" w:space="0" w:color="auto"/>
        <w:bottom w:val="none" w:sz="0" w:space="0" w:color="auto"/>
        <w:right w:val="none" w:sz="0" w:space="0" w:color="auto"/>
      </w:divBdr>
    </w:div>
    <w:div w:id="1728726183">
      <w:bodyDiv w:val="1"/>
      <w:marLeft w:val="0"/>
      <w:marRight w:val="0"/>
      <w:marTop w:val="0"/>
      <w:marBottom w:val="0"/>
      <w:divBdr>
        <w:top w:val="none" w:sz="0" w:space="0" w:color="auto"/>
        <w:left w:val="none" w:sz="0" w:space="0" w:color="auto"/>
        <w:bottom w:val="none" w:sz="0" w:space="0" w:color="auto"/>
        <w:right w:val="none" w:sz="0" w:space="0" w:color="auto"/>
      </w:divBdr>
    </w:div>
    <w:div w:id="1728918978">
      <w:bodyDiv w:val="1"/>
      <w:marLeft w:val="0"/>
      <w:marRight w:val="0"/>
      <w:marTop w:val="0"/>
      <w:marBottom w:val="0"/>
      <w:divBdr>
        <w:top w:val="none" w:sz="0" w:space="0" w:color="auto"/>
        <w:left w:val="none" w:sz="0" w:space="0" w:color="auto"/>
        <w:bottom w:val="none" w:sz="0" w:space="0" w:color="auto"/>
        <w:right w:val="none" w:sz="0" w:space="0" w:color="auto"/>
      </w:divBdr>
    </w:div>
    <w:div w:id="1728989196">
      <w:bodyDiv w:val="1"/>
      <w:marLeft w:val="0"/>
      <w:marRight w:val="0"/>
      <w:marTop w:val="0"/>
      <w:marBottom w:val="0"/>
      <w:divBdr>
        <w:top w:val="none" w:sz="0" w:space="0" w:color="auto"/>
        <w:left w:val="none" w:sz="0" w:space="0" w:color="auto"/>
        <w:bottom w:val="none" w:sz="0" w:space="0" w:color="auto"/>
        <w:right w:val="none" w:sz="0" w:space="0" w:color="auto"/>
      </w:divBdr>
    </w:div>
    <w:div w:id="1728990004">
      <w:bodyDiv w:val="1"/>
      <w:marLeft w:val="0"/>
      <w:marRight w:val="0"/>
      <w:marTop w:val="0"/>
      <w:marBottom w:val="0"/>
      <w:divBdr>
        <w:top w:val="none" w:sz="0" w:space="0" w:color="auto"/>
        <w:left w:val="none" w:sz="0" w:space="0" w:color="auto"/>
        <w:bottom w:val="none" w:sz="0" w:space="0" w:color="auto"/>
        <w:right w:val="none" w:sz="0" w:space="0" w:color="auto"/>
      </w:divBdr>
    </w:div>
    <w:div w:id="1729067877">
      <w:bodyDiv w:val="1"/>
      <w:marLeft w:val="0"/>
      <w:marRight w:val="0"/>
      <w:marTop w:val="0"/>
      <w:marBottom w:val="0"/>
      <w:divBdr>
        <w:top w:val="none" w:sz="0" w:space="0" w:color="auto"/>
        <w:left w:val="none" w:sz="0" w:space="0" w:color="auto"/>
        <w:bottom w:val="none" w:sz="0" w:space="0" w:color="auto"/>
        <w:right w:val="none" w:sz="0" w:space="0" w:color="auto"/>
      </w:divBdr>
    </w:div>
    <w:div w:id="1729107473">
      <w:bodyDiv w:val="1"/>
      <w:marLeft w:val="0"/>
      <w:marRight w:val="0"/>
      <w:marTop w:val="0"/>
      <w:marBottom w:val="0"/>
      <w:divBdr>
        <w:top w:val="none" w:sz="0" w:space="0" w:color="auto"/>
        <w:left w:val="none" w:sz="0" w:space="0" w:color="auto"/>
        <w:bottom w:val="none" w:sz="0" w:space="0" w:color="auto"/>
        <w:right w:val="none" w:sz="0" w:space="0" w:color="auto"/>
      </w:divBdr>
    </w:div>
    <w:div w:id="1729113936">
      <w:bodyDiv w:val="1"/>
      <w:marLeft w:val="0"/>
      <w:marRight w:val="0"/>
      <w:marTop w:val="0"/>
      <w:marBottom w:val="0"/>
      <w:divBdr>
        <w:top w:val="none" w:sz="0" w:space="0" w:color="auto"/>
        <w:left w:val="none" w:sz="0" w:space="0" w:color="auto"/>
        <w:bottom w:val="none" w:sz="0" w:space="0" w:color="auto"/>
        <w:right w:val="none" w:sz="0" w:space="0" w:color="auto"/>
      </w:divBdr>
    </w:div>
    <w:div w:id="1729183535">
      <w:bodyDiv w:val="1"/>
      <w:marLeft w:val="0"/>
      <w:marRight w:val="0"/>
      <w:marTop w:val="0"/>
      <w:marBottom w:val="0"/>
      <w:divBdr>
        <w:top w:val="none" w:sz="0" w:space="0" w:color="auto"/>
        <w:left w:val="none" w:sz="0" w:space="0" w:color="auto"/>
        <w:bottom w:val="none" w:sz="0" w:space="0" w:color="auto"/>
        <w:right w:val="none" w:sz="0" w:space="0" w:color="auto"/>
      </w:divBdr>
    </w:div>
    <w:div w:id="1729375497">
      <w:bodyDiv w:val="1"/>
      <w:marLeft w:val="0"/>
      <w:marRight w:val="0"/>
      <w:marTop w:val="0"/>
      <w:marBottom w:val="0"/>
      <w:divBdr>
        <w:top w:val="none" w:sz="0" w:space="0" w:color="auto"/>
        <w:left w:val="none" w:sz="0" w:space="0" w:color="auto"/>
        <w:bottom w:val="none" w:sz="0" w:space="0" w:color="auto"/>
        <w:right w:val="none" w:sz="0" w:space="0" w:color="auto"/>
      </w:divBdr>
    </w:div>
    <w:div w:id="1729454642">
      <w:bodyDiv w:val="1"/>
      <w:marLeft w:val="0"/>
      <w:marRight w:val="0"/>
      <w:marTop w:val="0"/>
      <w:marBottom w:val="0"/>
      <w:divBdr>
        <w:top w:val="none" w:sz="0" w:space="0" w:color="auto"/>
        <w:left w:val="none" w:sz="0" w:space="0" w:color="auto"/>
        <w:bottom w:val="none" w:sz="0" w:space="0" w:color="auto"/>
        <w:right w:val="none" w:sz="0" w:space="0" w:color="auto"/>
      </w:divBdr>
    </w:div>
    <w:div w:id="1729723520">
      <w:bodyDiv w:val="1"/>
      <w:marLeft w:val="0"/>
      <w:marRight w:val="0"/>
      <w:marTop w:val="0"/>
      <w:marBottom w:val="0"/>
      <w:divBdr>
        <w:top w:val="none" w:sz="0" w:space="0" w:color="auto"/>
        <w:left w:val="none" w:sz="0" w:space="0" w:color="auto"/>
        <w:bottom w:val="none" w:sz="0" w:space="0" w:color="auto"/>
        <w:right w:val="none" w:sz="0" w:space="0" w:color="auto"/>
      </w:divBdr>
    </w:div>
    <w:div w:id="1729959097">
      <w:bodyDiv w:val="1"/>
      <w:marLeft w:val="0"/>
      <w:marRight w:val="0"/>
      <w:marTop w:val="0"/>
      <w:marBottom w:val="0"/>
      <w:divBdr>
        <w:top w:val="none" w:sz="0" w:space="0" w:color="auto"/>
        <w:left w:val="none" w:sz="0" w:space="0" w:color="auto"/>
        <w:bottom w:val="none" w:sz="0" w:space="0" w:color="auto"/>
        <w:right w:val="none" w:sz="0" w:space="0" w:color="auto"/>
      </w:divBdr>
    </w:div>
    <w:div w:id="1729961109">
      <w:bodyDiv w:val="1"/>
      <w:marLeft w:val="0"/>
      <w:marRight w:val="0"/>
      <w:marTop w:val="0"/>
      <w:marBottom w:val="0"/>
      <w:divBdr>
        <w:top w:val="none" w:sz="0" w:space="0" w:color="auto"/>
        <w:left w:val="none" w:sz="0" w:space="0" w:color="auto"/>
        <w:bottom w:val="none" w:sz="0" w:space="0" w:color="auto"/>
        <w:right w:val="none" w:sz="0" w:space="0" w:color="auto"/>
      </w:divBdr>
    </w:div>
    <w:div w:id="1730037397">
      <w:bodyDiv w:val="1"/>
      <w:marLeft w:val="0"/>
      <w:marRight w:val="0"/>
      <w:marTop w:val="0"/>
      <w:marBottom w:val="0"/>
      <w:divBdr>
        <w:top w:val="none" w:sz="0" w:space="0" w:color="auto"/>
        <w:left w:val="none" w:sz="0" w:space="0" w:color="auto"/>
        <w:bottom w:val="none" w:sz="0" w:space="0" w:color="auto"/>
        <w:right w:val="none" w:sz="0" w:space="0" w:color="auto"/>
      </w:divBdr>
    </w:div>
    <w:div w:id="1730151551">
      <w:bodyDiv w:val="1"/>
      <w:marLeft w:val="0"/>
      <w:marRight w:val="0"/>
      <w:marTop w:val="0"/>
      <w:marBottom w:val="0"/>
      <w:divBdr>
        <w:top w:val="none" w:sz="0" w:space="0" w:color="auto"/>
        <w:left w:val="none" w:sz="0" w:space="0" w:color="auto"/>
        <w:bottom w:val="none" w:sz="0" w:space="0" w:color="auto"/>
        <w:right w:val="none" w:sz="0" w:space="0" w:color="auto"/>
      </w:divBdr>
    </w:div>
    <w:div w:id="1730376320">
      <w:bodyDiv w:val="1"/>
      <w:marLeft w:val="0"/>
      <w:marRight w:val="0"/>
      <w:marTop w:val="0"/>
      <w:marBottom w:val="0"/>
      <w:divBdr>
        <w:top w:val="none" w:sz="0" w:space="0" w:color="auto"/>
        <w:left w:val="none" w:sz="0" w:space="0" w:color="auto"/>
        <w:bottom w:val="none" w:sz="0" w:space="0" w:color="auto"/>
        <w:right w:val="none" w:sz="0" w:space="0" w:color="auto"/>
      </w:divBdr>
    </w:div>
    <w:div w:id="1730610159">
      <w:bodyDiv w:val="1"/>
      <w:marLeft w:val="0"/>
      <w:marRight w:val="0"/>
      <w:marTop w:val="0"/>
      <w:marBottom w:val="0"/>
      <w:divBdr>
        <w:top w:val="none" w:sz="0" w:space="0" w:color="auto"/>
        <w:left w:val="none" w:sz="0" w:space="0" w:color="auto"/>
        <w:bottom w:val="none" w:sz="0" w:space="0" w:color="auto"/>
        <w:right w:val="none" w:sz="0" w:space="0" w:color="auto"/>
      </w:divBdr>
    </w:div>
    <w:div w:id="1730613136">
      <w:bodyDiv w:val="1"/>
      <w:marLeft w:val="0"/>
      <w:marRight w:val="0"/>
      <w:marTop w:val="0"/>
      <w:marBottom w:val="0"/>
      <w:divBdr>
        <w:top w:val="none" w:sz="0" w:space="0" w:color="auto"/>
        <w:left w:val="none" w:sz="0" w:space="0" w:color="auto"/>
        <w:bottom w:val="none" w:sz="0" w:space="0" w:color="auto"/>
        <w:right w:val="none" w:sz="0" w:space="0" w:color="auto"/>
      </w:divBdr>
    </w:div>
    <w:div w:id="1730692027">
      <w:bodyDiv w:val="1"/>
      <w:marLeft w:val="0"/>
      <w:marRight w:val="0"/>
      <w:marTop w:val="0"/>
      <w:marBottom w:val="0"/>
      <w:divBdr>
        <w:top w:val="none" w:sz="0" w:space="0" w:color="auto"/>
        <w:left w:val="none" w:sz="0" w:space="0" w:color="auto"/>
        <w:bottom w:val="none" w:sz="0" w:space="0" w:color="auto"/>
        <w:right w:val="none" w:sz="0" w:space="0" w:color="auto"/>
      </w:divBdr>
    </w:div>
    <w:div w:id="1730763825">
      <w:bodyDiv w:val="1"/>
      <w:marLeft w:val="0"/>
      <w:marRight w:val="0"/>
      <w:marTop w:val="0"/>
      <w:marBottom w:val="0"/>
      <w:divBdr>
        <w:top w:val="none" w:sz="0" w:space="0" w:color="auto"/>
        <w:left w:val="none" w:sz="0" w:space="0" w:color="auto"/>
        <w:bottom w:val="none" w:sz="0" w:space="0" w:color="auto"/>
        <w:right w:val="none" w:sz="0" w:space="0" w:color="auto"/>
      </w:divBdr>
    </w:div>
    <w:div w:id="1730767709">
      <w:bodyDiv w:val="1"/>
      <w:marLeft w:val="0"/>
      <w:marRight w:val="0"/>
      <w:marTop w:val="0"/>
      <w:marBottom w:val="0"/>
      <w:divBdr>
        <w:top w:val="none" w:sz="0" w:space="0" w:color="auto"/>
        <w:left w:val="none" w:sz="0" w:space="0" w:color="auto"/>
        <w:bottom w:val="none" w:sz="0" w:space="0" w:color="auto"/>
        <w:right w:val="none" w:sz="0" w:space="0" w:color="auto"/>
      </w:divBdr>
    </w:div>
    <w:div w:id="1730880116">
      <w:bodyDiv w:val="1"/>
      <w:marLeft w:val="0"/>
      <w:marRight w:val="0"/>
      <w:marTop w:val="0"/>
      <w:marBottom w:val="0"/>
      <w:divBdr>
        <w:top w:val="none" w:sz="0" w:space="0" w:color="auto"/>
        <w:left w:val="none" w:sz="0" w:space="0" w:color="auto"/>
        <w:bottom w:val="none" w:sz="0" w:space="0" w:color="auto"/>
        <w:right w:val="none" w:sz="0" w:space="0" w:color="auto"/>
      </w:divBdr>
    </w:div>
    <w:div w:id="1730885156">
      <w:bodyDiv w:val="1"/>
      <w:marLeft w:val="0"/>
      <w:marRight w:val="0"/>
      <w:marTop w:val="0"/>
      <w:marBottom w:val="0"/>
      <w:divBdr>
        <w:top w:val="none" w:sz="0" w:space="0" w:color="auto"/>
        <w:left w:val="none" w:sz="0" w:space="0" w:color="auto"/>
        <w:bottom w:val="none" w:sz="0" w:space="0" w:color="auto"/>
        <w:right w:val="none" w:sz="0" w:space="0" w:color="auto"/>
      </w:divBdr>
    </w:div>
    <w:div w:id="1730960577">
      <w:bodyDiv w:val="1"/>
      <w:marLeft w:val="0"/>
      <w:marRight w:val="0"/>
      <w:marTop w:val="0"/>
      <w:marBottom w:val="0"/>
      <w:divBdr>
        <w:top w:val="none" w:sz="0" w:space="0" w:color="auto"/>
        <w:left w:val="none" w:sz="0" w:space="0" w:color="auto"/>
        <w:bottom w:val="none" w:sz="0" w:space="0" w:color="auto"/>
        <w:right w:val="none" w:sz="0" w:space="0" w:color="auto"/>
      </w:divBdr>
    </w:div>
    <w:div w:id="1731028611">
      <w:bodyDiv w:val="1"/>
      <w:marLeft w:val="0"/>
      <w:marRight w:val="0"/>
      <w:marTop w:val="0"/>
      <w:marBottom w:val="0"/>
      <w:divBdr>
        <w:top w:val="none" w:sz="0" w:space="0" w:color="auto"/>
        <w:left w:val="none" w:sz="0" w:space="0" w:color="auto"/>
        <w:bottom w:val="none" w:sz="0" w:space="0" w:color="auto"/>
        <w:right w:val="none" w:sz="0" w:space="0" w:color="auto"/>
      </w:divBdr>
    </w:div>
    <w:div w:id="1731073978">
      <w:bodyDiv w:val="1"/>
      <w:marLeft w:val="0"/>
      <w:marRight w:val="0"/>
      <w:marTop w:val="0"/>
      <w:marBottom w:val="0"/>
      <w:divBdr>
        <w:top w:val="none" w:sz="0" w:space="0" w:color="auto"/>
        <w:left w:val="none" w:sz="0" w:space="0" w:color="auto"/>
        <w:bottom w:val="none" w:sz="0" w:space="0" w:color="auto"/>
        <w:right w:val="none" w:sz="0" w:space="0" w:color="auto"/>
      </w:divBdr>
    </w:div>
    <w:div w:id="1731150174">
      <w:bodyDiv w:val="1"/>
      <w:marLeft w:val="0"/>
      <w:marRight w:val="0"/>
      <w:marTop w:val="0"/>
      <w:marBottom w:val="0"/>
      <w:divBdr>
        <w:top w:val="none" w:sz="0" w:space="0" w:color="auto"/>
        <w:left w:val="none" w:sz="0" w:space="0" w:color="auto"/>
        <w:bottom w:val="none" w:sz="0" w:space="0" w:color="auto"/>
        <w:right w:val="none" w:sz="0" w:space="0" w:color="auto"/>
      </w:divBdr>
    </w:div>
    <w:div w:id="1731223858">
      <w:bodyDiv w:val="1"/>
      <w:marLeft w:val="0"/>
      <w:marRight w:val="0"/>
      <w:marTop w:val="0"/>
      <w:marBottom w:val="0"/>
      <w:divBdr>
        <w:top w:val="none" w:sz="0" w:space="0" w:color="auto"/>
        <w:left w:val="none" w:sz="0" w:space="0" w:color="auto"/>
        <w:bottom w:val="none" w:sz="0" w:space="0" w:color="auto"/>
        <w:right w:val="none" w:sz="0" w:space="0" w:color="auto"/>
      </w:divBdr>
    </w:div>
    <w:div w:id="1731339563">
      <w:bodyDiv w:val="1"/>
      <w:marLeft w:val="0"/>
      <w:marRight w:val="0"/>
      <w:marTop w:val="0"/>
      <w:marBottom w:val="0"/>
      <w:divBdr>
        <w:top w:val="none" w:sz="0" w:space="0" w:color="auto"/>
        <w:left w:val="none" w:sz="0" w:space="0" w:color="auto"/>
        <w:bottom w:val="none" w:sz="0" w:space="0" w:color="auto"/>
        <w:right w:val="none" w:sz="0" w:space="0" w:color="auto"/>
      </w:divBdr>
    </w:div>
    <w:div w:id="1731418996">
      <w:bodyDiv w:val="1"/>
      <w:marLeft w:val="0"/>
      <w:marRight w:val="0"/>
      <w:marTop w:val="0"/>
      <w:marBottom w:val="0"/>
      <w:divBdr>
        <w:top w:val="none" w:sz="0" w:space="0" w:color="auto"/>
        <w:left w:val="none" w:sz="0" w:space="0" w:color="auto"/>
        <w:bottom w:val="none" w:sz="0" w:space="0" w:color="auto"/>
        <w:right w:val="none" w:sz="0" w:space="0" w:color="auto"/>
      </w:divBdr>
    </w:div>
    <w:div w:id="1731658535">
      <w:bodyDiv w:val="1"/>
      <w:marLeft w:val="0"/>
      <w:marRight w:val="0"/>
      <w:marTop w:val="0"/>
      <w:marBottom w:val="0"/>
      <w:divBdr>
        <w:top w:val="none" w:sz="0" w:space="0" w:color="auto"/>
        <w:left w:val="none" w:sz="0" w:space="0" w:color="auto"/>
        <w:bottom w:val="none" w:sz="0" w:space="0" w:color="auto"/>
        <w:right w:val="none" w:sz="0" w:space="0" w:color="auto"/>
      </w:divBdr>
    </w:div>
    <w:div w:id="1731726927">
      <w:bodyDiv w:val="1"/>
      <w:marLeft w:val="0"/>
      <w:marRight w:val="0"/>
      <w:marTop w:val="0"/>
      <w:marBottom w:val="0"/>
      <w:divBdr>
        <w:top w:val="none" w:sz="0" w:space="0" w:color="auto"/>
        <w:left w:val="none" w:sz="0" w:space="0" w:color="auto"/>
        <w:bottom w:val="none" w:sz="0" w:space="0" w:color="auto"/>
        <w:right w:val="none" w:sz="0" w:space="0" w:color="auto"/>
      </w:divBdr>
    </w:div>
    <w:div w:id="1731733155">
      <w:bodyDiv w:val="1"/>
      <w:marLeft w:val="0"/>
      <w:marRight w:val="0"/>
      <w:marTop w:val="0"/>
      <w:marBottom w:val="0"/>
      <w:divBdr>
        <w:top w:val="none" w:sz="0" w:space="0" w:color="auto"/>
        <w:left w:val="none" w:sz="0" w:space="0" w:color="auto"/>
        <w:bottom w:val="none" w:sz="0" w:space="0" w:color="auto"/>
        <w:right w:val="none" w:sz="0" w:space="0" w:color="auto"/>
      </w:divBdr>
    </w:div>
    <w:div w:id="1731884513">
      <w:bodyDiv w:val="1"/>
      <w:marLeft w:val="0"/>
      <w:marRight w:val="0"/>
      <w:marTop w:val="0"/>
      <w:marBottom w:val="0"/>
      <w:divBdr>
        <w:top w:val="none" w:sz="0" w:space="0" w:color="auto"/>
        <w:left w:val="none" w:sz="0" w:space="0" w:color="auto"/>
        <w:bottom w:val="none" w:sz="0" w:space="0" w:color="auto"/>
        <w:right w:val="none" w:sz="0" w:space="0" w:color="auto"/>
      </w:divBdr>
    </w:div>
    <w:div w:id="1731925314">
      <w:bodyDiv w:val="1"/>
      <w:marLeft w:val="0"/>
      <w:marRight w:val="0"/>
      <w:marTop w:val="0"/>
      <w:marBottom w:val="0"/>
      <w:divBdr>
        <w:top w:val="none" w:sz="0" w:space="0" w:color="auto"/>
        <w:left w:val="none" w:sz="0" w:space="0" w:color="auto"/>
        <w:bottom w:val="none" w:sz="0" w:space="0" w:color="auto"/>
        <w:right w:val="none" w:sz="0" w:space="0" w:color="auto"/>
      </w:divBdr>
    </w:div>
    <w:div w:id="1731925674">
      <w:bodyDiv w:val="1"/>
      <w:marLeft w:val="0"/>
      <w:marRight w:val="0"/>
      <w:marTop w:val="0"/>
      <w:marBottom w:val="0"/>
      <w:divBdr>
        <w:top w:val="none" w:sz="0" w:space="0" w:color="auto"/>
        <w:left w:val="none" w:sz="0" w:space="0" w:color="auto"/>
        <w:bottom w:val="none" w:sz="0" w:space="0" w:color="auto"/>
        <w:right w:val="none" w:sz="0" w:space="0" w:color="auto"/>
      </w:divBdr>
    </w:div>
    <w:div w:id="1732074401">
      <w:bodyDiv w:val="1"/>
      <w:marLeft w:val="0"/>
      <w:marRight w:val="0"/>
      <w:marTop w:val="0"/>
      <w:marBottom w:val="0"/>
      <w:divBdr>
        <w:top w:val="none" w:sz="0" w:space="0" w:color="auto"/>
        <w:left w:val="none" w:sz="0" w:space="0" w:color="auto"/>
        <w:bottom w:val="none" w:sz="0" w:space="0" w:color="auto"/>
        <w:right w:val="none" w:sz="0" w:space="0" w:color="auto"/>
      </w:divBdr>
    </w:div>
    <w:div w:id="1732191630">
      <w:bodyDiv w:val="1"/>
      <w:marLeft w:val="0"/>
      <w:marRight w:val="0"/>
      <w:marTop w:val="0"/>
      <w:marBottom w:val="0"/>
      <w:divBdr>
        <w:top w:val="none" w:sz="0" w:space="0" w:color="auto"/>
        <w:left w:val="none" w:sz="0" w:space="0" w:color="auto"/>
        <w:bottom w:val="none" w:sz="0" w:space="0" w:color="auto"/>
        <w:right w:val="none" w:sz="0" w:space="0" w:color="auto"/>
      </w:divBdr>
    </w:div>
    <w:div w:id="1732192460">
      <w:bodyDiv w:val="1"/>
      <w:marLeft w:val="0"/>
      <w:marRight w:val="0"/>
      <w:marTop w:val="0"/>
      <w:marBottom w:val="0"/>
      <w:divBdr>
        <w:top w:val="none" w:sz="0" w:space="0" w:color="auto"/>
        <w:left w:val="none" w:sz="0" w:space="0" w:color="auto"/>
        <w:bottom w:val="none" w:sz="0" w:space="0" w:color="auto"/>
        <w:right w:val="none" w:sz="0" w:space="0" w:color="auto"/>
      </w:divBdr>
    </w:div>
    <w:div w:id="1732342544">
      <w:bodyDiv w:val="1"/>
      <w:marLeft w:val="0"/>
      <w:marRight w:val="0"/>
      <w:marTop w:val="0"/>
      <w:marBottom w:val="0"/>
      <w:divBdr>
        <w:top w:val="none" w:sz="0" w:space="0" w:color="auto"/>
        <w:left w:val="none" w:sz="0" w:space="0" w:color="auto"/>
        <w:bottom w:val="none" w:sz="0" w:space="0" w:color="auto"/>
        <w:right w:val="none" w:sz="0" w:space="0" w:color="auto"/>
      </w:divBdr>
    </w:div>
    <w:div w:id="1732343887">
      <w:bodyDiv w:val="1"/>
      <w:marLeft w:val="0"/>
      <w:marRight w:val="0"/>
      <w:marTop w:val="0"/>
      <w:marBottom w:val="0"/>
      <w:divBdr>
        <w:top w:val="none" w:sz="0" w:space="0" w:color="auto"/>
        <w:left w:val="none" w:sz="0" w:space="0" w:color="auto"/>
        <w:bottom w:val="none" w:sz="0" w:space="0" w:color="auto"/>
        <w:right w:val="none" w:sz="0" w:space="0" w:color="auto"/>
      </w:divBdr>
    </w:div>
    <w:div w:id="1732539489">
      <w:bodyDiv w:val="1"/>
      <w:marLeft w:val="0"/>
      <w:marRight w:val="0"/>
      <w:marTop w:val="0"/>
      <w:marBottom w:val="0"/>
      <w:divBdr>
        <w:top w:val="none" w:sz="0" w:space="0" w:color="auto"/>
        <w:left w:val="none" w:sz="0" w:space="0" w:color="auto"/>
        <w:bottom w:val="none" w:sz="0" w:space="0" w:color="auto"/>
        <w:right w:val="none" w:sz="0" w:space="0" w:color="auto"/>
      </w:divBdr>
    </w:div>
    <w:div w:id="1732582376">
      <w:bodyDiv w:val="1"/>
      <w:marLeft w:val="0"/>
      <w:marRight w:val="0"/>
      <w:marTop w:val="0"/>
      <w:marBottom w:val="0"/>
      <w:divBdr>
        <w:top w:val="none" w:sz="0" w:space="0" w:color="auto"/>
        <w:left w:val="none" w:sz="0" w:space="0" w:color="auto"/>
        <w:bottom w:val="none" w:sz="0" w:space="0" w:color="auto"/>
        <w:right w:val="none" w:sz="0" w:space="0" w:color="auto"/>
      </w:divBdr>
    </w:div>
    <w:div w:id="1732607245">
      <w:bodyDiv w:val="1"/>
      <w:marLeft w:val="0"/>
      <w:marRight w:val="0"/>
      <w:marTop w:val="0"/>
      <w:marBottom w:val="0"/>
      <w:divBdr>
        <w:top w:val="none" w:sz="0" w:space="0" w:color="auto"/>
        <w:left w:val="none" w:sz="0" w:space="0" w:color="auto"/>
        <w:bottom w:val="none" w:sz="0" w:space="0" w:color="auto"/>
        <w:right w:val="none" w:sz="0" w:space="0" w:color="auto"/>
      </w:divBdr>
    </w:div>
    <w:div w:id="1732775277">
      <w:bodyDiv w:val="1"/>
      <w:marLeft w:val="0"/>
      <w:marRight w:val="0"/>
      <w:marTop w:val="0"/>
      <w:marBottom w:val="0"/>
      <w:divBdr>
        <w:top w:val="none" w:sz="0" w:space="0" w:color="auto"/>
        <w:left w:val="none" w:sz="0" w:space="0" w:color="auto"/>
        <w:bottom w:val="none" w:sz="0" w:space="0" w:color="auto"/>
        <w:right w:val="none" w:sz="0" w:space="0" w:color="auto"/>
      </w:divBdr>
    </w:div>
    <w:div w:id="1732776324">
      <w:bodyDiv w:val="1"/>
      <w:marLeft w:val="0"/>
      <w:marRight w:val="0"/>
      <w:marTop w:val="0"/>
      <w:marBottom w:val="0"/>
      <w:divBdr>
        <w:top w:val="none" w:sz="0" w:space="0" w:color="auto"/>
        <w:left w:val="none" w:sz="0" w:space="0" w:color="auto"/>
        <w:bottom w:val="none" w:sz="0" w:space="0" w:color="auto"/>
        <w:right w:val="none" w:sz="0" w:space="0" w:color="auto"/>
      </w:divBdr>
    </w:div>
    <w:div w:id="1732845026">
      <w:bodyDiv w:val="1"/>
      <w:marLeft w:val="0"/>
      <w:marRight w:val="0"/>
      <w:marTop w:val="0"/>
      <w:marBottom w:val="0"/>
      <w:divBdr>
        <w:top w:val="none" w:sz="0" w:space="0" w:color="auto"/>
        <w:left w:val="none" w:sz="0" w:space="0" w:color="auto"/>
        <w:bottom w:val="none" w:sz="0" w:space="0" w:color="auto"/>
        <w:right w:val="none" w:sz="0" w:space="0" w:color="auto"/>
      </w:divBdr>
    </w:div>
    <w:div w:id="1732849849">
      <w:bodyDiv w:val="1"/>
      <w:marLeft w:val="0"/>
      <w:marRight w:val="0"/>
      <w:marTop w:val="0"/>
      <w:marBottom w:val="0"/>
      <w:divBdr>
        <w:top w:val="none" w:sz="0" w:space="0" w:color="auto"/>
        <w:left w:val="none" w:sz="0" w:space="0" w:color="auto"/>
        <w:bottom w:val="none" w:sz="0" w:space="0" w:color="auto"/>
        <w:right w:val="none" w:sz="0" w:space="0" w:color="auto"/>
      </w:divBdr>
    </w:div>
    <w:div w:id="1732921064">
      <w:bodyDiv w:val="1"/>
      <w:marLeft w:val="0"/>
      <w:marRight w:val="0"/>
      <w:marTop w:val="0"/>
      <w:marBottom w:val="0"/>
      <w:divBdr>
        <w:top w:val="none" w:sz="0" w:space="0" w:color="auto"/>
        <w:left w:val="none" w:sz="0" w:space="0" w:color="auto"/>
        <w:bottom w:val="none" w:sz="0" w:space="0" w:color="auto"/>
        <w:right w:val="none" w:sz="0" w:space="0" w:color="auto"/>
      </w:divBdr>
    </w:div>
    <w:div w:id="1732926450">
      <w:bodyDiv w:val="1"/>
      <w:marLeft w:val="0"/>
      <w:marRight w:val="0"/>
      <w:marTop w:val="0"/>
      <w:marBottom w:val="0"/>
      <w:divBdr>
        <w:top w:val="none" w:sz="0" w:space="0" w:color="auto"/>
        <w:left w:val="none" w:sz="0" w:space="0" w:color="auto"/>
        <w:bottom w:val="none" w:sz="0" w:space="0" w:color="auto"/>
        <w:right w:val="none" w:sz="0" w:space="0" w:color="auto"/>
      </w:divBdr>
    </w:div>
    <w:div w:id="1733000218">
      <w:bodyDiv w:val="1"/>
      <w:marLeft w:val="0"/>
      <w:marRight w:val="0"/>
      <w:marTop w:val="0"/>
      <w:marBottom w:val="0"/>
      <w:divBdr>
        <w:top w:val="none" w:sz="0" w:space="0" w:color="auto"/>
        <w:left w:val="none" w:sz="0" w:space="0" w:color="auto"/>
        <w:bottom w:val="none" w:sz="0" w:space="0" w:color="auto"/>
        <w:right w:val="none" w:sz="0" w:space="0" w:color="auto"/>
      </w:divBdr>
    </w:div>
    <w:div w:id="1733037589">
      <w:bodyDiv w:val="1"/>
      <w:marLeft w:val="0"/>
      <w:marRight w:val="0"/>
      <w:marTop w:val="0"/>
      <w:marBottom w:val="0"/>
      <w:divBdr>
        <w:top w:val="none" w:sz="0" w:space="0" w:color="auto"/>
        <w:left w:val="none" w:sz="0" w:space="0" w:color="auto"/>
        <w:bottom w:val="none" w:sz="0" w:space="0" w:color="auto"/>
        <w:right w:val="none" w:sz="0" w:space="0" w:color="auto"/>
      </w:divBdr>
    </w:div>
    <w:div w:id="1733116166">
      <w:bodyDiv w:val="1"/>
      <w:marLeft w:val="0"/>
      <w:marRight w:val="0"/>
      <w:marTop w:val="0"/>
      <w:marBottom w:val="0"/>
      <w:divBdr>
        <w:top w:val="none" w:sz="0" w:space="0" w:color="auto"/>
        <w:left w:val="none" w:sz="0" w:space="0" w:color="auto"/>
        <w:bottom w:val="none" w:sz="0" w:space="0" w:color="auto"/>
        <w:right w:val="none" w:sz="0" w:space="0" w:color="auto"/>
      </w:divBdr>
    </w:div>
    <w:div w:id="1733236365">
      <w:bodyDiv w:val="1"/>
      <w:marLeft w:val="0"/>
      <w:marRight w:val="0"/>
      <w:marTop w:val="0"/>
      <w:marBottom w:val="0"/>
      <w:divBdr>
        <w:top w:val="none" w:sz="0" w:space="0" w:color="auto"/>
        <w:left w:val="none" w:sz="0" w:space="0" w:color="auto"/>
        <w:bottom w:val="none" w:sz="0" w:space="0" w:color="auto"/>
        <w:right w:val="none" w:sz="0" w:space="0" w:color="auto"/>
      </w:divBdr>
    </w:div>
    <w:div w:id="1733432284">
      <w:bodyDiv w:val="1"/>
      <w:marLeft w:val="0"/>
      <w:marRight w:val="0"/>
      <w:marTop w:val="0"/>
      <w:marBottom w:val="0"/>
      <w:divBdr>
        <w:top w:val="none" w:sz="0" w:space="0" w:color="auto"/>
        <w:left w:val="none" w:sz="0" w:space="0" w:color="auto"/>
        <w:bottom w:val="none" w:sz="0" w:space="0" w:color="auto"/>
        <w:right w:val="none" w:sz="0" w:space="0" w:color="auto"/>
      </w:divBdr>
    </w:div>
    <w:div w:id="1733581975">
      <w:bodyDiv w:val="1"/>
      <w:marLeft w:val="0"/>
      <w:marRight w:val="0"/>
      <w:marTop w:val="0"/>
      <w:marBottom w:val="0"/>
      <w:divBdr>
        <w:top w:val="none" w:sz="0" w:space="0" w:color="auto"/>
        <w:left w:val="none" w:sz="0" w:space="0" w:color="auto"/>
        <w:bottom w:val="none" w:sz="0" w:space="0" w:color="auto"/>
        <w:right w:val="none" w:sz="0" w:space="0" w:color="auto"/>
      </w:divBdr>
    </w:div>
    <w:div w:id="1733772224">
      <w:bodyDiv w:val="1"/>
      <w:marLeft w:val="0"/>
      <w:marRight w:val="0"/>
      <w:marTop w:val="0"/>
      <w:marBottom w:val="0"/>
      <w:divBdr>
        <w:top w:val="none" w:sz="0" w:space="0" w:color="auto"/>
        <w:left w:val="none" w:sz="0" w:space="0" w:color="auto"/>
        <w:bottom w:val="none" w:sz="0" w:space="0" w:color="auto"/>
        <w:right w:val="none" w:sz="0" w:space="0" w:color="auto"/>
      </w:divBdr>
    </w:div>
    <w:div w:id="1734113541">
      <w:bodyDiv w:val="1"/>
      <w:marLeft w:val="0"/>
      <w:marRight w:val="0"/>
      <w:marTop w:val="0"/>
      <w:marBottom w:val="0"/>
      <w:divBdr>
        <w:top w:val="none" w:sz="0" w:space="0" w:color="auto"/>
        <w:left w:val="none" w:sz="0" w:space="0" w:color="auto"/>
        <w:bottom w:val="none" w:sz="0" w:space="0" w:color="auto"/>
        <w:right w:val="none" w:sz="0" w:space="0" w:color="auto"/>
      </w:divBdr>
    </w:div>
    <w:div w:id="1734347221">
      <w:bodyDiv w:val="1"/>
      <w:marLeft w:val="0"/>
      <w:marRight w:val="0"/>
      <w:marTop w:val="0"/>
      <w:marBottom w:val="0"/>
      <w:divBdr>
        <w:top w:val="none" w:sz="0" w:space="0" w:color="auto"/>
        <w:left w:val="none" w:sz="0" w:space="0" w:color="auto"/>
        <w:bottom w:val="none" w:sz="0" w:space="0" w:color="auto"/>
        <w:right w:val="none" w:sz="0" w:space="0" w:color="auto"/>
      </w:divBdr>
    </w:div>
    <w:div w:id="1734349684">
      <w:bodyDiv w:val="1"/>
      <w:marLeft w:val="0"/>
      <w:marRight w:val="0"/>
      <w:marTop w:val="0"/>
      <w:marBottom w:val="0"/>
      <w:divBdr>
        <w:top w:val="none" w:sz="0" w:space="0" w:color="auto"/>
        <w:left w:val="none" w:sz="0" w:space="0" w:color="auto"/>
        <w:bottom w:val="none" w:sz="0" w:space="0" w:color="auto"/>
        <w:right w:val="none" w:sz="0" w:space="0" w:color="auto"/>
      </w:divBdr>
    </w:div>
    <w:div w:id="1734545405">
      <w:bodyDiv w:val="1"/>
      <w:marLeft w:val="0"/>
      <w:marRight w:val="0"/>
      <w:marTop w:val="0"/>
      <w:marBottom w:val="0"/>
      <w:divBdr>
        <w:top w:val="none" w:sz="0" w:space="0" w:color="auto"/>
        <w:left w:val="none" w:sz="0" w:space="0" w:color="auto"/>
        <w:bottom w:val="none" w:sz="0" w:space="0" w:color="auto"/>
        <w:right w:val="none" w:sz="0" w:space="0" w:color="auto"/>
      </w:divBdr>
    </w:div>
    <w:div w:id="1734546253">
      <w:bodyDiv w:val="1"/>
      <w:marLeft w:val="0"/>
      <w:marRight w:val="0"/>
      <w:marTop w:val="0"/>
      <w:marBottom w:val="0"/>
      <w:divBdr>
        <w:top w:val="none" w:sz="0" w:space="0" w:color="auto"/>
        <w:left w:val="none" w:sz="0" w:space="0" w:color="auto"/>
        <w:bottom w:val="none" w:sz="0" w:space="0" w:color="auto"/>
        <w:right w:val="none" w:sz="0" w:space="0" w:color="auto"/>
      </w:divBdr>
    </w:div>
    <w:div w:id="1734616576">
      <w:bodyDiv w:val="1"/>
      <w:marLeft w:val="0"/>
      <w:marRight w:val="0"/>
      <w:marTop w:val="0"/>
      <w:marBottom w:val="0"/>
      <w:divBdr>
        <w:top w:val="none" w:sz="0" w:space="0" w:color="auto"/>
        <w:left w:val="none" w:sz="0" w:space="0" w:color="auto"/>
        <w:bottom w:val="none" w:sz="0" w:space="0" w:color="auto"/>
        <w:right w:val="none" w:sz="0" w:space="0" w:color="auto"/>
      </w:divBdr>
    </w:div>
    <w:div w:id="1734692405">
      <w:bodyDiv w:val="1"/>
      <w:marLeft w:val="0"/>
      <w:marRight w:val="0"/>
      <w:marTop w:val="0"/>
      <w:marBottom w:val="0"/>
      <w:divBdr>
        <w:top w:val="none" w:sz="0" w:space="0" w:color="auto"/>
        <w:left w:val="none" w:sz="0" w:space="0" w:color="auto"/>
        <w:bottom w:val="none" w:sz="0" w:space="0" w:color="auto"/>
        <w:right w:val="none" w:sz="0" w:space="0" w:color="auto"/>
      </w:divBdr>
    </w:div>
    <w:div w:id="1734694429">
      <w:bodyDiv w:val="1"/>
      <w:marLeft w:val="0"/>
      <w:marRight w:val="0"/>
      <w:marTop w:val="0"/>
      <w:marBottom w:val="0"/>
      <w:divBdr>
        <w:top w:val="none" w:sz="0" w:space="0" w:color="auto"/>
        <w:left w:val="none" w:sz="0" w:space="0" w:color="auto"/>
        <w:bottom w:val="none" w:sz="0" w:space="0" w:color="auto"/>
        <w:right w:val="none" w:sz="0" w:space="0" w:color="auto"/>
      </w:divBdr>
    </w:div>
    <w:div w:id="1734739153">
      <w:bodyDiv w:val="1"/>
      <w:marLeft w:val="0"/>
      <w:marRight w:val="0"/>
      <w:marTop w:val="0"/>
      <w:marBottom w:val="0"/>
      <w:divBdr>
        <w:top w:val="none" w:sz="0" w:space="0" w:color="auto"/>
        <w:left w:val="none" w:sz="0" w:space="0" w:color="auto"/>
        <w:bottom w:val="none" w:sz="0" w:space="0" w:color="auto"/>
        <w:right w:val="none" w:sz="0" w:space="0" w:color="auto"/>
      </w:divBdr>
    </w:div>
    <w:div w:id="1734766966">
      <w:bodyDiv w:val="1"/>
      <w:marLeft w:val="0"/>
      <w:marRight w:val="0"/>
      <w:marTop w:val="0"/>
      <w:marBottom w:val="0"/>
      <w:divBdr>
        <w:top w:val="none" w:sz="0" w:space="0" w:color="auto"/>
        <w:left w:val="none" w:sz="0" w:space="0" w:color="auto"/>
        <w:bottom w:val="none" w:sz="0" w:space="0" w:color="auto"/>
        <w:right w:val="none" w:sz="0" w:space="0" w:color="auto"/>
      </w:divBdr>
    </w:div>
    <w:div w:id="1734815007">
      <w:bodyDiv w:val="1"/>
      <w:marLeft w:val="0"/>
      <w:marRight w:val="0"/>
      <w:marTop w:val="0"/>
      <w:marBottom w:val="0"/>
      <w:divBdr>
        <w:top w:val="none" w:sz="0" w:space="0" w:color="auto"/>
        <w:left w:val="none" w:sz="0" w:space="0" w:color="auto"/>
        <w:bottom w:val="none" w:sz="0" w:space="0" w:color="auto"/>
        <w:right w:val="none" w:sz="0" w:space="0" w:color="auto"/>
      </w:divBdr>
    </w:div>
    <w:div w:id="1734889240">
      <w:bodyDiv w:val="1"/>
      <w:marLeft w:val="0"/>
      <w:marRight w:val="0"/>
      <w:marTop w:val="0"/>
      <w:marBottom w:val="0"/>
      <w:divBdr>
        <w:top w:val="none" w:sz="0" w:space="0" w:color="auto"/>
        <w:left w:val="none" w:sz="0" w:space="0" w:color="auto"/>
        <w:bottom w:val="none" w:sz="0" w:space="0" w:color="auto"/>
        <w:right w:val="none" w:sz="0" w:space="0" w:color="auto"/>
      </w:divBdr>
    </w:div>
    <w:div w:id="1734965746">
      <w:bodyDiv w:val="1"/>
      <w:marLeft w:val="0"/>
      <w:marRight w:val="0"/>
      <w:marTop w:val="0"/>
      <w:marBottom w:val="0"/>
      <w:divBdr>
        <w:top w:val="none" w:sz="0" w:space="0" w:color="auto"/>
        <w:left w:val="none" w:sz="0" w:space="0" w:color="auto"/>
        <w:bottom w:val="none" w:sz="0" w:space="0" w:color="auto"/>
        <w:right w:val="none" w:sz="0" w:space="0" w:color="auto"/>
      </w:divBdr>
    </w:div>
    <w:div w:id="1735004976">
      <w:bodyDiv w:val="1"/>
      <w:marLeft w:val="0"/>
      <w:marRight w:val="0"/>
      <w:marTop w:val="0"/>
      <w:marBottom w:val="0"/>
      <w:divBdr>
        <w:top w:val="none" w:sz="0" w:space="0" w:color="auto"/>
        <w:left w:val="none" w:sz="0" w:space="0" w:color="auto"/>
        <w:bottom w:val="none" w:sz="0" w:space="0" w:color="auto"/>
        <w:right w:val="none" w:sz="0" w:space="0" w:color="auto"/>
      </w:divBdr>
    </w:div>
    <w:div w:id="1735008524">
      <w:bodyDiv w:val="1"/>
      <w:marLeft w:val="0"/>
      <w:marRight w:val="0"/>
      <w:marTop w:val="0"/>
      <w:marBottom w:val="0"/>
      <w:divBdr>
        <w:top w:val="none" w:sz="0" w:space="0" w:color="auto"/>
        <w:left w:val="none" w:sz="0" w:space="0" w:color="auto"/>
        <w:bottom w:val="none" w:sz="0" w:space="0" w:color="auto"/>
        <w:right w:val="none" w:sz="0" w:space="0" w:color="auto"/>
      </w:divBdr>
    </w:div>
    <w:div w:id="1735009717">
      <w:bodyDiv w:val="1"/>
      <w:marLeft w:val="0"/>
      <w:marRight w:val="0"/>
      <w:marTop w:val="0"/>
      <w:marBottom w:val="0"/>
      <w:divBdr>
        <w:top w:val="none" w:sz="0" w:space="0" w:color="auto"/>
        <w:left w:val="none" w:sz="0" w:space="0" w:color="auto"/>
        <w:bottom w:val="none" w:sz="0" w:space="0" w:color="auto"/>
        <w:right w:val="none" w:sz="0" w:space="0" w:color="auto"/>
      </w:divBdr>
    </w:div>
    <w:div w:id="1735011538">
      <w:bodyDiv w:val="1"/>
      <w:marLeft w:val="0"/>
      <w:marRight w:val="0"/>
      <w:marTop w:val="0"/>
      <w:marBottom w:val="0"/>
      <w:divBdr>
        <w:top w:val="none" w:sz="0" w:space="0" w:color="auto"/>
        <w:left w:val="none" w:sz="0" w:space="0" w:color="auto"/>
        <w:bottom w:val="none" w:sz="0" w:space="0" w:color="auto"/>
        <w:right w:val="none" w:sz="0" w:space="0" w:color="auto"/>
      </w:divBdr>
    </w:div>
    <w:div w:id="1735077853">
      <w:bodyDiv w:val="1"/>
      <w:marLeft w:val="0"/>
      <w:marRight w:val="0"/>
      <w:marTop w:val="0"/>
      <w:marBottom w:val="0"/>
      <w:divBdr>
        <w:top w:val="none" w:sz="0" w:space="0" w:color="auto"/>
        <w:left w:val="none" w:sz="0" w:space="0" w:color="auto"/>
        <w:bottom w:val="none" w:sz="0" w:space="0" w:color="auto"/>
        <w:right w:val="none" w:sz="0" w:space="0" w:color="auto"/>
      </w:divBdr>
    </w:div>
    <w:div w:id="1735083454">
      <w:bodyDiv w:val="1"/>
      <w:marLeft w:val="0"/>
      <w:marRight w:val="0"/>
      <w:marTop w:val="0"/>
      <w:marBottom w:val="0"/>
      <w:divBdr>
        <w:top w:val="none" w:sz="0" w:space="0" w:color="auto"/>
        <w:left w:val="none" w:sz="0" w:space="0" w:color="auto"/>
        <w:bottom w:val="none" w:sz="0" w:space="0" w:color="auto"/>
        <w:right w:val="none" w:sz="0" w:space="0" w:color="auto"/>
      </w:divBdr>
    </w:div>
    <w:div w:id="1735273820">
      <w:bodyDiv w:val="1"/>
      <w:marLeft w:val="0"/>
      <w:marRight w:val="0"/>
      <w:marTop w:val="0"/>
      <w:marBottom w:val="0"/>
      <w:divBdr>
        <w:top w:val="none" w:sz="0" w:space="0" w:color="auto"/>
        <w:left w:val="none" w:sz="0" w:space="0" w:color="auto"/>
        <w:bottom w:val="none" w:sz="0" w:space="0" w:color="auto"/>
        <w:right w:val="none" w:sz="0" w:space="0" w:color="auto"/>
      </w:divBdr>
    </w:div>
    <w:div w:id="1735426042">
      <w:bodyDiv w:val="1"/>
      <w:marLeft w:val="0"/>
      <w:marRight w:val="0"/>
      <w:marTop w:val="0"/>
      <w:marBottom w:val="0"/>
      <w:divBdr>
        <w:top w:val="none" w:sz="0" w:space="0" w:color="auto"/>
        <w:left w:val="none" w:sz="0" w:space="0" w:color="auto"/>
        <w:bottom w:val="none" w:sz="0" w:space="0" w:color="auto"/>
        <w:right w:val="none" w:sz="0" w:space="0" w:color="auto"/>
      </w:divBdr>
    </w:div>
    <w:div w:id="1735471011">
      <w:bodyDiv w:val="1"/>
      <w:marLeft w:val="0"/>
      <w:marRight w:val="0"/>
      <w:marTop w:val="0"/>
      <w:marBottom w:val="0"/>
      <w:divBdr>
        <w:top w:val="none" w:sz="0" w:space="0" w:color="auto"/>
        <w:left w:val="none" w:sz="0" w:space="0" w:color="auto"/>
        <w:bottom w:val="none" w:sz="0" w:space="0" w:color="auto"/>
        <w:right w:val="none" w:sz="0" w:space="0" w:color="auto"/>
      </w:divBdr>
    </w:div>
    <w:div w:id="1735659272">
      <w:bodyDiv w:val="1"/>
      <w:marLeft w:val="0"/>
      <w:marRight w:val="0"/>
      <w:marTop w:val="0"/>
      <w:marBottom w:val="0"/>
      <w:divBdr>
        <w:top w:val="none" w:sz="0" w:space="0" w:color="auto"/>
        <w:left w:val="none" w:sz="0" w:space="0" w:color="auto"/>
        <w:bottom w:val="none" w:sz="0" w:space="0" w:color="auto"/>
        <w:right w:val="none" w:sz="0" w:space="0" w:color="auto"/>
      </w:divBdr>
    </w:div>
    <w:div w:id="1735814976">
      <w:bodyDiv w:val="1"/>
      <w:marLeft w:val="0"/>
      <w:marRight w:val="0"/>
      <w:marTop w:val="0"/>
      <w:marBottom w:val="0"/>
      <w:divBdr>
        <w:top w:val="none" w:sz="0" w:space="0" w:color="auto"/>
        <w:left w:val="none" w:sz="0" w:space="0" w:color="auto"/>
        <w:bottom w:val="none" w:sz="0" w:space="0" w:color="auto"/>
        <w:right w:val="none" w:sz="0" w:space="0" w:color="auto"/>
      </w:divBdr>
    </w:div>
    <w:div w:id="1735816132">
      <w:bodyDiv w:val="1"/>
      <w:marLeft w:val="0"/>
      <w:marRight w:val="0"/>
      <w:marTop w:val="0"/>
      <w:marBottom w:val="0"/>
      <w:divBdr>
        <w:top w:val="none" w:sz="0" w:space="0" w:color="auto"/>
        <w:left w:val="none" w:sz="0" w:space="0" w:color="auto"/>
        <w:bottom w:val="none" w:sz="0" w:space="0" w:color="auto"/>
        <w:right w:val="none" w:sz="0" w:space="0" w:color="auto"/>
      </w:divBdr>
    </w:div>
    <w:div w:id="1735934684">
      <w:bodyDiv w:val="1"/>
      <w:marLeft w:val="0"/>
      <w:marRight w:val="0"/>
      <w:marTop w:val="0"/>
      <w:marBottom w:val="0"/>
      <w:divBdr>
        <w:top w:val="none" w:sz="0" w:space="0" w:color="auto"/>
        <w:left w:val="none" w:sz="0" w:space="0" w:color="auto"/>
        <w:bottom w:val="none" w:sz="0" w:space="0" w:color="auto"/>
        <w:right w:val="none" w:sz="0" w:space="0" w:color="auto"/>
      </w:divBdr>
    </w:div>
    <w:div w:id="1736010087">
      <w:bodyDiv w:val="1"/>
      <w:marLeft w:val="0"/>
      <w:marRight w:val="0"/>
      <w:marTop w:val="0"/>
      <w:marBottom w:val="0"/>
      <w:divBdr>
        <w:top w:val="none" w:sz="0" w:space="0" w:color="auto"/>
        <w:left w:val="none" w:sz="0" w:space="0" w:color="auto"/>
        <w:bottom w:val="none" w:sz="0" w:space="0" w:color="auto"/>
        <w:right w:val="none" w:sz="0" w:space="0" w:color="auto"/>
      </w:divBdr>
    </w:div>
    <w:div w:id="1736196151">
      <w:bodyDiv w:val="1"/>
      <w:marLeft w:val="0"/>
      <w:marRight w:val="0"/>
      <w:marTop w:val="0"/>
      <w:marBottom w:val="0"/>
      <w:divBdr>
        <w:top w:val="none" w:sz="0" w:space="0" w:color="auto"/>
        <w:left w:val="none" w:sz="0" w:space="0" w:color="auto"/>
        <w:bottom w:val="none" w:sz="0" w:space="0" w:color="auto"/>
        <w:right w:val="none" w:sz="0" w:space="0" w:color="auto"/>
      </w:divBdr>
    </w:div>
    <w:div w:id="1736665930">
      <w:bodyDiv w:val="1"/>
      <w:marLeft w:val="0"/>
      <w:marRight w:val="0"/>
      <w:marTop w:val="0"/>
      <w:marBottom w:val="0"/>
      <w:divBdr>
        <w:top w:val="none" w:sz="0" w:space="0" w:color="auto"/>
        <w:left w:val="none" w:sz="0" w:space="0" w:color="auto"/>
        <w:bottom w:val="none" w:sz="0" w:space="0" w:color="auto"/>
        <w:right w:val="none" w:sz="0" w:space="0" w:color="auto"/>
      </w:divBdr>
    </w:div>
    <w:div w:id="1736706270">
      <w:bodyDiv w:val="1"/>
      <w:marLeft w:val="0"/>
      <w:marRight w:val="0"/>
      <w:marTop w:val="0"/>
      <w:marBottom w:val="0"/>
      <w:divBdr>
        <w:top w:val="none" w:sz="0" w:space="0" w:color="auto"/>
        <w:left w:val="none" w:sz="0" w:space="0" w:color="auto"/>
        <w:bottom w:val="none" w:sz="0" w:space="0" w:color="auto"/>
        <w:right w:val="none" w:sz="0" w:space="0" w:color="auto"/>
      </w:divBdr>
    </w:div>
    <w:div w:id="1736775027">
      <w:bodyDiv w:val="1"/>
      <w:marLeft w:val="0"/>
      <w:marRight w:val="0"/>
      <w:marTop w:val="0"/>
      <w:marBottom w:val="0"/>
      <w:divBdr>
        <w:top w:val="none" w:sz="0" w:space="0" w:color="auto"/>
        <w:left w:val="none" w:sz="0" w:space="0" w:color="auto"/>
        <w:bottom w:val="none" w:sz="0" w:space="0" w:color="auto"/>
        <w:right w:val="none" w:sz="0" w:space="0" w:color="auto"/>
      </w:divBdr>
    </w:div>
    <w:div w:id="1736781142">
      <w:bodyDiv w:val="1"/>
      <w:marLeft w:val="0"/>
      <w:marRight w:val="0"/>
      <w:marTop w:val="0"/>
      <w:marBottom w:val="0"/>
      <w:divBdr>
        <w:top w:val="none" w:sz="0" w:space="0" w:color="auto"/>
        <w:left w:val="none" w:sz="0" w:space="0" w:color="auto"/>
        <w:bottom w:val="none" w:sz="0" w:space="0" w:color="auto"/>
        <w:right w:val="none" w:sz="0" w:space="0" w:color="auto"/>
      </w:divBdr>
    </w:div>
    <w:div w:id="1736782176">
      <w:bodyDiv w:val="1"/>
      <w:marLeft w:val="0"/>
      <w:marRight w:val="0"/>
      <w:marTop w:val="0"/>
      <w:marBottom w:val="0"/>
      <w:divBdr>
        <w:top w:val="none" w:sz="0" w:space="0" w:color="auto"/>
        <w:left w:val="none" w:sz="0" w:space="0" w:color="auto"/>
        <w:bottom w:val="none" w:sz="0" w:space="0" w:color="auto"/>
        <w:right w:val="none" w:sz="0" w:space="0" w:color="auto"/>
      </w:divBdr>
    </w:div>
    <w:div w:id="1736927650">
      <w:bodyDiv w:val="1"/>
      <w:marLeft w:val="0"/>
      <w:marRight w:val="0"/>
      <w:marTop w:val="0"/>
      <w:marBottom w:val="0"/>
      <w:divBdr>
        <w:top w:val="none" w:sz="0" w:space="0" w:color="auto"/>
        <w:left w:val="none" w:sz="0" w:space="0" w:color="auto"/>
        <w:bottom w:val="none" w:sz="0" w:space="0" w:color="auto"/>
        <w:right w:val="none" w:sz="0" w:space="0" w:color="auto"/>
      </w:divBdr>
    </w:div>
    <w:div w:id="1736968346">
      <w:bodyDiv w:val="1"/>
      <w:marLeft w:val="0"/>
      <w:marRight w:val="0"/>
      <w:marTop w:val="0"/>
      <w:marBottom w:val="0"/>
      <w:divBdr>
        <w:top w:val="none" w:sz="0" w:space="0" w:color="auto"/>
        <w:left w:val="none" w:sz="0" w:space="0" w:color="auto"/>
        <w:bottom w:val="none" w:sz="0" w:space="0" w:color="auto"/>
        <w:right w:val="none" w:sz="0" w:space="0" w:color="auto"/>
      </w:divBdr>
    </w:div>
    <w:div w:id="1736975412">
      <w:bodyDiv w:val="1"/>
      <w:marLeft w:val="0"/>
      <w:marRight w:val="0"/>
      <w:marTop w:val="0"/>
      <w:marBottom w:val="0"/>
      <w:divBdr>
        <w:top w:val="none" w:sz="0" w:space="0" w:color="auto"/>
        <w:left w:val="none" w:sz="0" w:space="0" w:color="auto"/>
        <w:bottom w:val="none" w:sz="0" w:space="0" w:color="auto"/>
        <w:right w:val="none" w:sz="0" w:space="0" w:color="auto"/>
      </w:divBdr>
    </w:div>
    <w:div w:id="1737051795">
      <w:bodyDiv w:val="1"/>
      <w:marLeft w:val="0"/>
      <w:marRight w:val="0"/>
      <w:marTop w:val="0"/>
      <w:marBottom w:val="0"/>
      <w:divBdr>
        <w:top w:val="none" w:sz="0" w:space="0" w:color="auto"/>
        <w:left w:val="none" w:sz="0" w:space="0" w:color="auto"/>
        <w:bottom w:val="none" w:sz="0" w:space="0" w:color="auto"/>
        <w:right w:val="none" w:sz="0" w:space="0" w:color="auto"/>
      </w:divBdr>
    </w:div>
    <w:div w:id="1737166674">
      <w:bodyDiv w:val="1"/>
      <w:marLeft w:val="0"/>
      <w:marRight w:val="0"/>
      <w:marTop w:val="0"/>
      <w:marBottom w:val="0"/>
      <w:divBdr>
        <w:top w:val="none" w:sz="0" w:space="0" w:color="auto"/>
        <w:left w:val="none" w:sz="0" w:space="0" w:color="auto"/>
        <w:bottom w:val="none" w:sz="0" w:space="0" w:color="auto"/>
        <w:right w:val="none" w:sz="0" w:space="0" w:color="auto"/>
      </w:divBdr>
    </w:div>
    <w:div w:id="1737167982">
      <w:bodyDiv w:val="1"/>
      <w:marLeft w:val="0"/>
      <w:marRight w:val="0"/>
      <w:marTop w:val="0"/>
      <w:marBottom w:val="0"/>
      <w:divBdr>
        <w:top w:val="none" w:sz="0" w:space="0" w:color="auto"/>
        <w:left w:val="none" w:sz="0" w:space="0" w:color="auto"/>
        <w:bottom w:val="none" w:sz="0" w:space="0" w:color="auto"/>
        <w:right w:val="none" w:sz="0" w:space="0" w:color="auto"/>
      </w:divBdr>
    </w:div>
    <w:div w:id="1737359490">
      <w:bodyDiv w:val="1"/>
      <w:marLeft w:val="0"/>
      <w:marRight w:val="0"/>
      <w:marTop w:val="0"/>
      <w:marBottom w:val="0"/>
      <w:divBdr>
        <w:top w:val="none" w:sz="0" w:space="0" w:color="auto"/>
        <w:left w:val="none" w:sz="0" w:space="0" w:color="auto"/>
        <w:bottom w:val="none" w:sz="0" w:space="0" w:color="auto"/>
        <w:right w:val="none" w:sz="0" w:space="0" w:color="auto"/>
      </w:divBdr>
    </w:div>
    <w:div w:id="1737360808">
      <w:bodyDiv w:val="1"/>
      <w:marLeft w:val="0"/>
      <w:marRight w:val="0"/>
      <w:marTop w:val="0"/>
      <w:marBottom w:val="0"/>
      <w:divBdr>
        <w:top w:val="none" w:sz="0" w:space="0" w:color="auto"/>
        <w:left w:val="none" w:sz="0" w:space="0" w:color="auto"/>
        <w:bottom w:val="none" w:sz="0" w:space="0" w:color="auto"/>
        <w:right w:val="none" w:sz="0" w:space="0" w:color="auto"/>
      </w:divBdr>
    </w:div>
    <w:div w:id="1737429879">
      <w:bodyDiv w:val="1"/>
      <w:marLeft w:val="0"/>
      <w:marRight w:val="0"/>
      <w:marTop w:val="0"/>
      <w:marBottom w:val="0"/>
      <w:divBdr>
        <w:top w:val="none" w:sz="0" w:space="0" w:color="auto"/>
        <w:left w:val="none" w:sz="0" w:space="0" w:color="auto"/>
        <w:bottom w:val="none" w:sz="0" w:space="0" w:color="auto"/>
        <w:right w:val="none" w:sz="0" w:space="0" w:color="auto"/>
      </w:divBdr>
    </w:div>
    <w:div w:id="1737430615">
      <w:bodyDiv w:val="1"/>
      <w:marLeft w:val="0"/>
      <w:marRight w:val="0"/>
      <w:marTop w:val="0"/>
      <w:marBottom w:val="0"/>
      <w:divBdr>
        <w:top w:val="none" w:sz="0" w:space="0" w:color="auto"/>
        <w:left w:val="none" w:sz="0" w:space="0" w:color="auto"/>
        <w:bottom w:val="none" w:sz="0" w:space="0" w:color="auto"/>
        <w:right w:val="none" w:sz="0" w:space="0" w:color="auto"/>
      </w:divBdr>
    </w:div>
    <w:div w:id="1737435863">
      <w:bodyDiv w:val="1"/>
      <w:marLeft w:val="0"/>
      <w:marRight w:val="0"/>
      <w:marTop w:val="0"/>
      <w:marBottom w:val="0"/>
      <w:divBdr>
        <w:top w:val="none" w:sz="0" w:space="0" w:color="auto"/>
        <w:left w:val="none" w:sz="0" w:space="0" w:color="auto"/>
        <w:bottom w:val="none" w:sz="0" w:space="0" w:color="auto"/>
        <w:right w:val="none" w:sz="0" w:space="0" w:color="auto"/>
      </w:divBdr>
    </w:div>
    <w:div w:id="1737438651">
      <w:bodyDiv w:val="1"/>
      <w:marLeft w:val="0"/>
      <w:marRight w:val="0"/>
      <w:marTop w:val="0"/>
      <w:marBottom w:val="0"/>
      <w:divBdr>
        <w:top w:val="none" w:sz="0" w:space="0" w:color="auto"/>
        <w:left w:val="none" w:sz="0" w:space="0" w:color="auto"/>
        <w:bottom w:val="none" w:sz="0" w:space="0" w:color="auto"/>
        <w:right w:val="none" w:sz="0" w:space="0" w:color="auto"/>
      </w:divBdr>
    </w:div>
    <w:div w:id="1737505944">
      <w:bodyDiv w:val="1"/>
      <w:marLeft w:val="0"/>
      <w:marRight w:val="0"/>
      <w:marTop w:val="0"/>
      <w:marBottom w:val="0"/>
      <w:divBdr>
        <w:top w:val="none" w:sz="0" w:space="0" w:color="auto"/>
        <w:left w:val="none" w:sz="0" w:space="0" w:color="auto"/>
        <w:bottom w:val="none" w:sz="0" w:space="0" w:color="auto"/>
        <w:right w:val="none" w:sz="0" w:space="0" w:color="auto"/>
      </w:divBdr>
    </w:div>
    <w:div w:id="1737508477">
      <w:bodyDiv w:val="1"/>
      <w:marLeft w:val="0"/>
      <w:marRight w:val="0"/>
      <w:marTop w:val="0"/>
      <w:marBottom w:val="0"/>
      <w:divBdr>
        <w:top w:val="none" w:sz="0" w:space="0" w:color="auto"/>
        <w:left w:val="none" w:sz="0" w:space="0" w:color="auto"/>
        <w:bottom w:val="none" w:sz="0" w:space="0" w:color="auto"/>
        <w:right w:val="none" w:sz="0" w:space="0" w:color="auto"/>
      </w:divBdr>
    </w:div>
    <w:div w:id="1737556652">
      <w:bodyDiv w:val="1"/>
      <w:marLeft w:val="0"/>
      <w:marRight w:val="0"/>
      <w:marTop w:val="0"/>
      <w:marBottom w:val="0"/>
      <w:divBdr>
        <w:top w:val="none" w:sz="0" w:space="0" w:color="auto"/>
        <w:left w:val="none" w:sz="0" w:space="0" w:color="auto"/>
        <w:bottom w:val="none" w:sz="0" w:space="0" w:color="auto"/>
        <w:right w:val="none" w:sz="0" w:space="0" w:color="auto"/>
      </w:divBdr>
    </w:div>
    <w:div w:id="1737702021">
      <w:bodyDiv w:val="1"/>
      <w:marLeft w:val="0"/>
      <w:marRight w:val="0"/>
      <w:marTop w:val="0"/>
      <w:marBottom w:val="0"/>
      <w:divBdr>
        <w:top w:val="none" w:sz="0" w:space="0" w:color="auto"/>
        <w:left w:val="none" w:sz="0" w:space="0" w:color="auto"/>
        <w:bottom w:val="none" w:sz="0" w:space="0" w:color="auto"/>
        <w:right w:val="none" w:sz="0" w:space="0" w:color="auto"/>
      </w:divBdr>
    </w:div>
    <w:div w:id="1737818498">
      <w:bodyDiv w:val="1"/>
      <w:marLeft w:val="0"/>
      <w:marRight w:val="0"/>
      <w:marTop w:val="0"/>
      <w:marBottom w:val="0"/>
      <w:divBdr>
        <w:top w:val="none" w:sz="0" w:space="0" w:color="auto"/>
        <w:left w:val="none" w:sz="0" w:space="0" w:color="auto"/>
        <w:bottom w:val="none" w:sz="0" w:space="0" w:color="auto"/>
        <w:right w:val="none" w:sz="0" w:space="0" w:color="auto"/>
      </w:divBdr>
    </w:div>
    <w:div w:id="1737824765">
      <w:bodyDiv w:val="1"/>
      <w:marLeft w:val="0"/>
      <w:marRight w:val="0"/>
      <w:marTop w:val="0"/>
      <w:marBottom w:val="0"/>
      <w:divBdr>
        <w:top w:val="none" w:sz="0" w:space="0" w:color="auto"/>
        <w:left w:val="none" w:sz="0" w:space="0" w:color="auto"/>
        <w:bottom w:val="none" w:sz="0" w:space="0" w:color="auto"/>
        <w:right w:val="none" w:sz="0" w:space="0" w:color="auto"/>
      </w:divBdr>
    </w:div>
    <w:div w:id="1738162551">
      <w:bodyDiv w:val="1"/>
      <w:marLeft w:val="0"/>
      <w:marRight w:val="0"/>
      <w:marTop w:val="0"/>
      <w:marBottom w:val="0"/>
      <w:divBdr>
        <w:top w:val="none" w:sz="0" w:space="0" w:color="auto"/>
        <w:left w:val="none" w:sz="0" w:space="0" w:color="auto"/>
        <w:bottom w:val="none" w:sz="0" w:space="0" w:color="auto"/>
        <w:right w:val="none" w:sz="0" w:space="0" w:color="auto"/>
      </w:divBdr>
    </w:div>
    <w:div w:id="1738279660">
      <w:bodyDiv w:val="1"/>
      <w:marLeft w:val="0"/>
      <w:marRight w:val="0"/>
      <w:marTop w:val="0"/>
      <w:marBottom w:val="0"/>
      <w:divBdr>
        <w:top w:val="none" w:sz="0" w:space="0" w:color="auto"/>
        <w:left w:val="none" w:sz="0" w:space="0" w:color="auto"/>
        <w:bottom w:val="none" w:sz="0" w:space="0" w:color="auto"/>
        <w:right w:val="none" w:sz="0" w:space="0" w:color="auto"/>
      </w:divBdr>
    </w:div>
    <w:div w:id="1738286788">
      <w:bodyDiv w:val="1"/>
      <w:marLeft w:val="0"/>
      <w:marRight w:val="0"/>
      <w:marTop w:val="0"/>
      <w:marBottom w:val="0"/>
      <w:divBdr>
        <w:top w:val="none" w:sz="0" w:space="0" w:color="auto"/>
        <w:left w:val="none" w:sz="0" w:space="0" w:color="auto"/>
        <w:bottom w:val="none" w:sz="0" w:space="0" w:color="auto"/>
        <w:right w:val="none" w:sz="0" w:space="0" w:color="auto"/>
      </w:divBdr>
    </w:div>
    <w:div w:id="1738354833">
      <w:bodyDiv w:val="1"/>
      <w:marLeft w:val="0"/>
      <w:marRight w:val="0"/>
      <w:marTop w:val="0"/>
      <w:marBottom w:val="0"/>
      <w:divBdr>
        <w:top w:val="none" w:sz="0" w:space="0" w:color="auto"/>
        <w:left w:val="none" w:sz="0" w:space="0" w:color="auto"/>
        <w:bottom w:val="none" w:sz="0" w:space="0" w:color="auto"/>
        <w:right w:val="none" w:sz="0" w:space="0" w:color="auto"/>
      </w:divBdr>
    </w:div>
    <w:div w:id="1738438418">
      <w:bodyDiv w:val="1"/>
      <w:marLeft w:val="0"/>
      <w:marRight w:val="0"/>
      <w:marTop w:val="0"/>
      <w:marBottom w:val="0"/>
      <w:divBdr>
        <w:top w:val="none" w:sz="0" w:space="0" w:color="auto"/>
        <w:left w:val="none" w:sz="0" w:space="0" w:color="auto"/>
        <w:bottom w:val="none" w:sz="0" w:space="0" w:color="auto"/>
        <w:right w:val="none" w:sz="0" w:space="0" w:color="auto"/>
      </w:divBdr>
    </w:div>
    <w:div w:id="1738476325">
      <w:bodyDiv w:val="1"/>
      <w:marLeft w:val="0"/>
      <w:marRight w:val="0"/>
      <w:marTop w:val="0"/>
      <w:marBottom w:val="0"/>
      <w:divBdr>
        <w:top w:val="none" w:sz="0" w:space="0" w:color="auto"/>
        <w:left w:val="none" w:sz="0" w:space="0" w:color="auto"/>
        <w:bottom w:val="none" w:sz="0" w:space="0" w:color="auto"/>
        <w:right w:val="none" w:sz="0" w:space="0" w:color="auto"/>
      </w:divBdr>
    </w:div>
    <w:div w:id="1738547663">
      <w:bodyDiv w:val="1"/>
      <w:marLeft w:val="0"/>
      <w:marRight w:val="0"/>
      <w:marTop w:val="0"/>
      <w:marBottom w:val="0"/>
      <w:divBdr>
        <w:top w:val="none" w:sz="0" w:space="0" w:color="auto"/>
        <w:left w:val="none" w:sz="0" w:space="0" w:color="auto"/>
        <w:bottom w:val="none" w:sz="0" w:space="0" w:color="auto"/>
        <w:right w:val="none" w:sz="0" w:space="0" w:color="auto"/>
      </w:divBdr>
    </w:div>
    <w:div w:id="1738743180">
      <w:bodyDiv w:val="1"/>
      <w:marLeft w:val="0"/>
      <w:marRight w:val="0"/>
      <w:marTop w:val="0"/>
      <w:marBottom w:val="0"/>
      <w:divBdr>
        <w:top w:val="none" w:sz="0" w:space="0" w:color="auto"/>
        <w:left w:val="none" w:sz="0" w:space="0" w:color="auto"/>
        <w:bottom w:val="none" w:sz="0" w:space="0" w:color="auto"/>
        <w:right w:val="none" w:sz="0" w:space="0" w:color="auto"/>
      </w:divBdr>
    </w:div>
    <w:div w:id="1738867056">
      <w:bodyDiv w:val="1"/>
      <w:marLeft w:val="0"/>
      <w:marRight w:val="0"/>
      <w:marTop w:val="0"/>
      <w:marBottom w:val="0"/>
      <w:divBdr>
        <w:top w:val="none" w:sz="0" w:space="0" w:color="auto"/>
        <w:left w:val="none" w:sz="0" w:space="0" w:color="auto"/>
        <w:bottom w:val="none" w:sz="0" w:space="0" w:color="auto"/>
        <w:right w:val="none" w:sz="0" w:space="0" w:color="auto"/>
      </w:divBdr>
    </w:div>
    <w:div w:id="1738897583">
      <w:bodyDiv w:val="1"/>
      <w:marLeft w:val="0"/>
      <w:marRight w:val="0"/>
      <w:marTop w:val="0"/>
      <w:marBottom w:val="0"/>
      <w:divBdr>
        <w:top w:val="none" w:sz="0" w:space="0" w:color="auto"/>
        <w:left w:val="none" w:sz="0" w:space="0" w:color="auto"/>
        <w:bottom w:val="none" w:sz="0" w:space="0" w:color="auto"/>
        <w:right w:val="none" w:sz="0" w:space="0" w:color="auto"/>
      </w:divBdr>
    </w:div>
    <w:div w:id="1739091468">
      <w:bodyDiv w:val="1"/>
      <w:marLeft w:val="0"/>
      <w:marRight w:val="0"/>
      <w:marTop w:val="0"/>
      <w:marBottom w:val="0"/>
      <w:divBdr>
        <w:top w:val="none" w:sz="0" w:space="0" w:color="auto"/>
        <w:left w:val="none" w:sz="0" w:space="0" w:color="auto"/>
        <w:bottom w:val="none" w:sz="0" w:space="0" w:color="auto"/>
        <w:right w:val="none" w:sz="0" w:space="0" w:color="auto"/>
      </w:divBdr>
    </w:div>
    <w:div w:id="1739203622">
      <w:bodyDiv w:val="1"/>
      <w:marLeft w:val="0"/>
      <w:marRight w:val="0"/>
      <w:marTop w:val="0"/>
      <w:marBottom w:val="0"/>
      <w:divBdr>
        <w:top w:val="none" w:sz="0" w:space="0" w:color="auto"/>
        <w:left w:val="none" w:sz="0" w:space="0" w:color="auto"/>
        <w:bottom w:val="none" w:sz="0" w:space="0" w:color="auto"/>
        <w:right w:val="none" w:sz="0" w:space="0" w:color="auto"/>
      </w:divBdr>
    </w:div>
    <w:div w:id="1739205643">
      <w:bodyDiv w:val="1"/>
      <w:marLeft w:val="0"/>
      <w:marRight w:val="0"/>
      <w:marTop w:val="0"/>
      <w:marBottom w:val="0"/>
      <w:divBdr>
        <w:top w:val="none" w:sz="0" w:space="0" w:color="auto"/>
        <w:left w:val="none" w:sz="0" w:space="0" w:color="auto"/>
        <w:bottom w:val="none" w:sz="0" w:space="0" w:color="auto"/>
        <w:right w:val="none" w:sz="0" w:space="0" w:color="auto"/>
      </w:divBdr>
    </w:div>
    <w:div w:id="1739205879">
      <w:bodyDiv w:val="1"/>
      <w:marLeft w:val="0"/>
      <w:marRight w:val="0"/>
      <w:marTop w:val="0"/>
      <w:marBottom w:val="0"/>
      <w:divBdr>
        <w:top w:val="none" w:sz="0" w:space="0" w:color="auto"/>
        <w:left w:val="none" w:sz="0" w:space="0" w:color="auto"/>
        <w:bottom w:val="none" w:sz="0" w:space="0" w:color="auto"/>
        <w:right w:val="none" w:sz="0" w:space="0" w:color="auto"/>
      </w:divBdr>
    </w:div>
    <w:div w:id="1739281823">
      <w:bodyDiv w:val="1"/>
      <w:marLeft w:val="0"/>
      <w:marRight w:val="0"/>
      <w:marTop w:val="0"/>
      <w:marBottom w:val="0"/>
      <w:divBdr>
        <w:top w:val="none" w:sz="0" w:space="0" w:color="auto"/>
        <w:left w:val="none" w:sz="0" w:space="0" w:color="auto"/>
        <w:bottom w:val="none" w:sz="0" w:space="0" w:color="auto"/>
        <w:right w:val="none" w:sz="0" w:space="0" w:color="auto"/>
      </w:divBdr>
    </w:div>
    <w:div w:id="1739282502">
      <w:bodyDiv w:val="1"/>
      <w:marLeft w:val="0"/>
      <w:marRight w:val="0"/>
      <w:marTop w:val="0"/>
      <w:marBottom w:val="0"/>
      <w:divBdr>
        <w:top w:val="none" w:sz="0" w:space="0" w:color="auto"/>
        <w:left w:val="none" w:sz="0" w:space="0" w:color="auto"/>
        <w:bottom w:val="none" w:sz="0" w:space="0" w:color="auto"/>
        <w:right w:val="none" w:sz="0" w:space="0" w:color="auto"/>
      </w:divBdr>
    </w:div>
    <w:div w:id="1739326230">
      <w:bodyDiv w:val="1"/>
      <w:marLeft w:val="0"/>
      <w:marRight w:val="0"/>
      <w:marTop w:val="0"/>
      <w:marBottom w:val="0"/>
      <w:divBdr>
        <w:top w:val="none" w:sz="0" w:space="0" w:color="auto"/>
        <w:left w:val="none" w:sz="0" w:space="0" w:color="auto"/>
        <w:bottom w:val="none" w:sz="0" w:space="0" w:color="auto"/>
        <w:right w:val="none" w:sz="0" w:space="0" w:color="auto"/>
      </w:divBdr>
    </w:div>
    <w:div w:id="1739404993">
      <w:bodyDiv w:val="1"/>
      <w:marLeft w:val="0"/>
      <w:marRight w:val="0"/>
      <w:marTop w:val="0"/>
      <w:marBottom w:val="0"/>
      <w:divBdr>
        <w:top w:val="none" w:sz="0" w:space="0" w:color="auto"/>
        <w:left w:val="none" w:sz="0" w:space="0" w:color="auto"/>
        <w:bottom w:val="none" w:sz="0" w:space="0" w:color="auto"/>
        <w:right w:val="none" w:sz="0" w:space="0" w:color="auto"/>
      </w:divBdr>
    </w:div>
    <w:div w:id="1739476029">
      <w:bodyDiv w:val="1"/>
      <w:marLeft w:val="0"/>
      <w:marRight w:val="0"/>
      <w:marTop w:val="0"/>
      <w:marBottom w:val="0"/>
      <w:divBdr>
        <w:top w:val="none" w:sz="0" w:space="0" w:color="auto"/>
        <w:left w:val="none" w:sz="0" w:space="0" w:color="auto"/>
        <w:bottom w:val="none" w:sz="0" w:space="0" w:color="auto"/>
        <w:right w:val="none" w:sz="0" w:space="0" w:color="auto"/>
      </w:divBdr>
    </w:div>
    <w:div w:id="1739548218">
      <w:bodyDiv w:val="1"/>
      <w:marLeft w:val="0"/>
      <w:marRight w:val="0"/>
      <w:marTop w:val="0"/>
      <w:marBottom w:val="0"/>
      <w:divBdr>
        <w:top w:val="none" w:sz="0" w:space="0" w:color="auto"/>
        <w:left w:val="none" w:sz="0" w:space="0" w:color="auto"/>
        <w:bottom w:val="none" w:sz="0" w:space="0" w:color="auto"/>
        <w:right w:val="none" w:sz="0" w:space="0" w:color="auto"/>
      </w:divBdr>
    </w:div>
    <w:div w:id="1739551896">
      <w:bodyDiv w:val="1"/>
      <w:marLeft w:val="0"/>
      <w:marRight w:val="0"/>
      <w:marTop w:val="0"/>
      <w:marBottom w:val="0"/>
      <w:divBdr>
        <w:top w:val="none" w:sz="0" w:space="0" w:color="auto"/>
        <w:left w:val="none" w:sz="0" w:space="0" w:color="auto"/>
        <w:bottom w:val="none" w:sz="0" w:space="0" w:color="auto"/>
        <w:right w:val="none" w:sz="0" w:space="0" w:color="auto"/>
      </w:divBdr>
    </w:div>
    <w:div w:id="1739593269">
      <w:bodyDiv w:val="1"/>
      <w:marLeft w:val="0"/>
      <w:marRight w:val="0"/>
      <w:marTop w:val="0"/>
      <w:marBottom w:val="0"/>
      <w:divBdr>
        <w:top w:val="none" w:sz="0" w:space="0" w:color="auto"/>
        <w:left w:val="none" w:sz="0" w:space="0" w:color="auto"/>
        <w:bottom w:val="none" w:sz="0" w:space="0" w:color="auto"/>
        <w:right w:val="none" w:sz="0" w:space="0" w:color="auto"/>
      </w:divBdr>
    </w:div>
    <w:div w:id="1739786951">
      <w:bodyDiv w:val="1"/>
      <w:marLeft w:val="0"/>
      <w:marRight w:val="0"/>
      <w:marTop w:val="0"/>
      <w:marBottom w:val="0"/>
      <w:divBdr>
        <w:top w:val="none" w:sz="0" w:space="0" w:color="auto"/>
        <w:left w:val="none" w:sz="0" w:space="0" w:color="auto"/>
        <w:bottom w:val="none" w:sz="0" w:space="0" w:color="auto"/>
        <w:right w:val="none" w:sz="0" w:space="0" w:color="auto"/>
      </w:divBdr>
    </w:div>
    <w:div w:id="1739789748">
      <w:bodyDiv w:val="1"/>
      <w:marLeft w:val="0"/>
      <w:marRight w:val="0"/>
      <w:marTop w:val="0"/>
      <w:marBottom w:val="0"/>
      <w:divBdr>
        <w:top w:val="none" w:sz="0" w:space="0" w:color="auto"/>
        <w:left w:val="none" w:sz="0" w:space="0" w:color="auto"/>
        <w:bottom w:val="none" w:sz="0" w:space="0" w:color="auto"/>
        <w:right w:val="none" w:sz="0" w:space="0" w:color="auto"/>
      </w:divBdr>
    </w:div>
    <w:div w:id="1739860087">
      <w:bodyDiv w:val="1"/>
      <w:marLeft w:val="0"/>
      <w:marRight w:val="0"/>
      <w:marTop w:val="0"/>
      <w:marBottom w:val="0"/>
      <w:divBdr>
        <w:top w:val="none" w:sz="0" w:space="0" w:color="auto"/>
        <w:left w:val="none" w:sz="0" w:space="0" w:color="auto"/>
        <w:bottom w:val="none" w:sz="0" w:space="0" w:color="auto"/>
        <w:right w:val="none" w:sz="0" w:space="0" w:color="auto"/>
      </w:divBdr>
    </w:div>
    <w:div w:id="1739865467">
      <w:bodyDiv w:val="1"/>
      <w:marLeft w:val="0"/>
      <w:marRight w:val="0"/>
      <w:marTop w:val="0"/>
      <w:marBottom w:val="0"/>
      <w:divBdr>
        <w:top w:val="none" w:sz="0" w:space="0" w:color="auto"/>
        <w:left w:val="none" w:sz="0" w:space="0" w:color="auto"/>
        <w:bottom w:val="none" w:sz="0" w:space="0" w:color="auto"/>
        <w:right w:val="none" w:sz="0" w:space="0" w:color="auto"/>
      </w:divBdr>
    </w:div>
    <w:div w:id="1739934079">
      <w:bodyDiv w:val="1"/>
      <w:marLeft w:val="0"/>
      <w:marRight w:val="0"/>
      <w:marTop w:val="0"/>
      <w:marBottom w:val="0"/>
      <w:divBdr>
        <w:top w:val="none" w:sz="0" w:space="0" w:color="auto"/>
        <w:left w:val="none" w:sz="0" w:space="0" w:color="auto"/>
        <w:bottom w:val="none" w:sz="0" w:space="0" w:color="auto"/>
        <w:right w:val="none" w:sz="0" w:space="0" w:color="auto"/>
      </w:divBdr>
    </w:div>
    <w:div w:id="1739936804">
      <w:bodyDiv w:val="1"/>
      <w:marLeft w:val="0"/>
      <w:marRight w:val="0"/>
      <w:marTop w:val="0"/>
      <w:marBottom w:val="0"/>
      <w:divBdr>
        <w:top w:val="none" w:sz="0" w:space="0" w:color="auto"/>
        <w:left w:val="none" w:sz="0" w:space="0" w:color="auto"/>
        <w:bottom w:val="none" w:sz="0" w:space="0" w:color="auto"/>
        <w:right w:val="none" w:sz="0" w:space="0" w:color="auto"/>
      </w:divBdr>
    </w:div>
    <w:div w:id="1739983020">
      <w:bodyDiv w:val="1"/>
      <w:marLeft w:val="0"/>
      <w:marRight w:val="0"/>
      <w:marTop w:val="0"/>
      <w:marBottom w:val="0"/>
      <w:divBdr>
        <w:top w:val="none" w:sz="0" w:space="0" w:color="auto"/>
        <w:left w:val="none" w:sz="0" w:space="0" w:color="auto"/>
        <w:bottom w:val="none" w:sz="0" w:space="0" w:color="auto"/>
        <w:right w:val="none" w:sz="0" w:space="0" w:color="auto"/>
      </w:divBdr>
    </w:div>
    <w:div w:id="1739984499">
      <w:bodyDiv w:val="1"/>
      <w:marLeft w:val="0"/>
      <w:marRight w:val="0"/>
      <w:marTop w:val="0"/>
      <w:marBottom w:val="0"/>
      <w:divBdr>
        <w:top w:val="none" w:sz="0" w:space="0" w:color="auto"/>
        <w:left w:val="none" w:sz="0" w:space="0" w:color="auto"/>
        <w:bottom w:val="none" w:sz="0" w:space="0" w:color="auto"/>
        <w:right w:val="none" w:sz="0" w:space="0" w:color="auto"/>
      </w:divBdr>
    </w:div>
    <w:div w:id="1740009065">
      <w:bodyDiv w:val="1"/>
      <w:marLeft w:val="0"/>
      <w:marRight w:val="0"/>
      <w:marTop w:val="0"/>
      <w:marBottom w:val="0"/>
      <w:divBdr>
        <w:top w:val="none" w:sz="0" w:space="0" w:color="auto"/>
        <w:left w:val="none" w:sz="0" w:space="0" w:color="auto"/>
        <w:bottom w:val="none" w:sz="0" w:space="0" w:color="auto"/>
        <w:right w:val="none" w:sz="0" w:space="0" w:color="auto"/>
      </w:divBdr>
    </w:div>
    <w:div w:id="1740204025">
      <w:bodyDiv w:val="1"/>
      <w:marLeft w:val="0"/>
      <w:marRight w:val="0"/>
      <w:marTop w:val="0"/>
      <w:marBottom w:val="0"/>
      <w:divBdr>
        <w:top w:val="none" w:sz="0" w:space="0" w:color="auto"/>
        <w:left w:val="none" w:sz="0" w:space="0" w:color="auto"/>
        <w:bottom w:val="none" w:sz="0" w:space="0" w:color="auto"/>
        <w:right w:val="none" w:sz="0" w:space="0" w:color="auto"/>
      </w:divBdr>
    </w:div>
    <w:div w:id="1740204230">
      <w:bodyDiv w:val="1"/>
      <w:marLeft w:val="0"/>
      <w:marRight w:val="0"/>
      <w:marTop w:val="0"/>
      <w:marBottom w:val="0"/>
      <w:divBdr>
        <w:top w:val="none" w:sz="0" w:space="0" w:color="auto"/>
        <w:left w:val="none" w:sz="0" w:space="0" w:color="auto"/>
        <w:bottom w:val="none" w:sz="0" w:space="0" w:color="auto"/>
        <w:right w:val="none" w:sz="0" w:space="0" w:color="auto"/>
      </w:divBdr>
    </w:div>
    <w:div w:id="1740209668">
      <w:bodyDiv w:val="1"/>
      <w:marLeft w:val="0"/>
      <w:marRight w:val="0"/>
      <w:marTop w:val="0"/>
      <w:marBottom w:val="0"/>
      <w:divBdr>
        <w:top w:val="none" w:sz="0" w:space="0" w:color="auto"/>
        <w:left w:val="none" w:sz="0" w:space="0" w:color="auto"/>
        <w:bottom w:val="none" w:sz="0" w:space="0" w:color="auto"/>
        <w:right w:val="none" w:sz="0" w:space="0" w:color="auto"/>
      </w:divBdr>
    </w:div>
    <w:div w:id="1740247201">
      <w:bodyDiv w:val="1"/>
      <w:marLeft w:val="0"/>
      <w:marRight w:val="0"/>
      <w:marTop w:val="0"/>
      <w:marBottom w:val="0"/>
      <w:divBdr>
        <w:top w:val="none" w:sz="0" w:space="0" w:color="auto"/>
        <w:left w:val="none" w:sz="0" w:space="0" w:color="auto"/>
        <w:bottom w:val="none" w:sz="0" w:space="0" w:color="auto"/>
        <w:right w:val="none" w:sz="0" w:space="0" w:color="auto"/>
      </w:divBdr>
    </w:div>
    <w:div w:id="1740398291">
      <w:bodyDiv w:val="1"/>
      <w:marLeft w:val="0"/>
      <w:marRight w:val="0"/>
      <w:marTop w:val="0"/>
      <w:marBottom w:val="0"/>
      <w:divBdr>
        <w:top w:val="none" w:sz="0" w:space="0" w:color="auto"/>
        <w:left w:val="none" w:sz="0" w:space="0" w:color="auto"/>
        <w:bottom w:val="none" w:sz="0" w:space="0" w:color="auto"/>
        <w:right w:val="none" w:sz="0" w:space="0" w:color="auto"/>
      </w:divBdr>
    </w:div>
    <w:div w:id="1740404395">
      <w:bodyDiv w:val="1"/>
      <w:marLeft w:val="0"/>
      <w:marRight w:val="0"/>
      <w:marTop w:val="0"/>
      <w:marBottom w:val="0"/>
      <w:divBdr>
        <w:top w:val="none" w:sz="0" w:space="0" w:color="auto"/>
        <w:left w:val="none" w:sz="0" w:space="0" w:color="auto"/>
        <w:bottom w:val="none" w:sz="0" w:space="0" w:color="auto"/>
        <w:right w:val="none" w:sz="0" w:space="0" w:color="auto"/>
      </w:divBdr>
    </w:div>
    <w:div w:id="1740588446">
      <w:bodyDiv w:val="1"/>
      <w:marLeft w:val="0"/>
      <w:marRight w:val="0"/>
      <w:marTop w:val="0"/>
      <w:marBottom w:val="0"/>
      <w:divBdr>
        <w:top w:val="none" w:sz="0" w:space="0" w:color="auto"/>
        <w:left w:val="none" w:sz="0" w:space="0" w:color="auto"/>
        <w:bottom w:val="none" w:sz="0" w:space="0" w:color="auto"/>
        <w:right w:val="none" w:sz="0" w:space="0" w:color="auto"/>
      </w:divBdr>
    </w:div>
    <w:div w:id="1740707058">
      <w:bodyDiv w:val="1"/>
      <w:marLeft w:val="0"/>
      <w:marRight w:val="0"/>
      <w:marTop w:val="0"/>
      <w:marBottom w:val="0"/>
      <w:divBdr>
        <w:top w:val="none" w:sz="0" w:space="0" w:color="auto"/>
        <w:left w:val="none" w:sz="0" w:space="0" w:color="auto"/>
        <w:bottom w:val="none" w:sz="0" w:space="0" w:color="auto"/>
        <w:right w:val="none" w:sz="0" w:space="0" w:color="auto"/>
      </w:divBdr>
    </w:div>
    <w:div w:id="1740783273">
      <w:bodyDiv w:val="1"/>
      <w:marLeft w:val="0"/>
      <w:marRight w:val="0"/>
      <w:marTop w:val="0"/>
      <w:marBottom w:val="0"/>
      <w:divBdr>
        <w:top w:val="none" w:sz="0" w:space="0" w:color="auto"/>
        <w:left w:val="none" w:sz="0" w:space="0" w:color="auto"/>
        <w:bottom w:val="none" w:sz="0" w:space="0" w:color="auto"/>
        <w:right w:val="none" w:sz="0" w:space="0" w:color="auto"/>
      </w:divBdr>
    </w:div>
    <w:div w:id="1740787710">
      <w:bodyDiv w:val="1"/>
      <w:marLeft w:val="0"/>
      <w:marRight w:val="0"/>
      <w:marTop w:val="0"/>
      <w:marBottom w:val="0"/>
      <w:divBdr>
        <w:top w:val="none" w:sz="0" w:space="0" w:color="auto"/>
        <w:left w:val="none" w:sz="0" w:space="0" w:color="auto"/>
        <w:bottom w:val="none" w:sz="0" w:space="0" w:color="auto"/>
        <w:right w:val="none" w:sz="0" w:space="0" w:color="auto"/>
      </w:divBdr>
    </w:div>
    <w:div w:id="1740789975">
      <w:bodyDiv w:val="1"/>
      <w:marLeft w:val="0"/>
      <w:marRight w:val="0"/>
      <w:marTop w:val="0"/>
      <w:marBottom w:val="0"/>
      <w:divBdr>
        <w:top w:val="none" w:sz="0" w:space="0" w:color="auto"/>
        <w:left w:val="none" w:sz="0" w:space="0" w:color="auto"/>
        <w:bottom w:val="none" w:sz="0" w:space="0" w:color="auto"/>
        <w:right w:val="none" w:sz="0" w:space="0" w:color="auto"/>
      </w:divBdr>
    </w:div>
    <w:div w:id="1740899473">
      <w:bodyDiv w:val="1"/>
      <w:marLeft w:val="0"/>
      <w:marRight w:val="0"/>
      <w:marTop w:val="0"/>
      <w:marBottom w:val="0"/>
      <w:divBdr>
        <w:top w:val="none" w:sz="0" w:space="0" w:color="auto"/>
        <w:left w:val="none" w:sz="0" w:space="0" w:color="auto"/>
        <w:bottom w:val="none" w:sz="0" w:space="0" w:color="auto"/>
        <w:right w:val="none" w:sz="0" w:space="0" w:color="auto"/>
      </w:divBdr>
    </w:div>
    <w:div w:id="1740900549">
      <w:bodyDiv w:val="1"/>
      <w:marLeft w:val="0"/>
      <w:marRight w:val="0"/>
      <w:marTop w:val="0"/>
      <w:marBottom w:val="0"/>
      <w:divBdr>
        <w:top w:val="none" w:sz="0" w:space="0" w:color="auto"/>
        <w:left w:val="none" w:sz="0" w:space="0" w:color="auto"/>
        <w:bottom w:val="none" w:sz="0" w:space="0" w:color="auto"/>
        <w:right w:val="none" w:sz="0" w:space="0" w:color="auto"/>
      </w:divBdr>
    </w:div>
    <w:div w:id="1741101484">
      <w:bodyDiv w:val="1"/>
      <w:marLeft w:val="0"/>
      <w:marRight w:val="0"/>
      <w:marTop w:val="0"/>
      <w:marBottom w:val="0"/>
      <w:divBdr>
        <w:top w:val="none" w:sz="0" w:space="0" w:color="auto"/>
        <w:left w:val="none" w:sz="0" w:space="0" w:color="auto"/>
        <w:bottom w:val="none" w:sz="0" w:space="0" w:color="auto"/>
        <w:right w:val="none" w:sz="0" w:space="0" w:color="auto"/>
      </w:divBdr>
    </w:div>
    <w:div w:id="1741322593">
      <w:bodyDiv w:val="1"/>
      <w:marLeft w:val="0"/>
      <w:marRight w:val="0"/>
      <w:marTop w:val="0"/>
      <w:marBottom w:val="0"/>
      <w:divBdr>
        <w:top w:val="none" w:sz="0" w:space="0" w:color="auto"/>
        <w:left w:val="none" w:sz="0" w:space="0" w:color="auto"/>
        <w:bottom w:val="none" w:sz="0" w:space="0" w:color="auto"/>
        <w:right w:val="none" w:sz="0" w:space="0" w:color="auto"/>
      </w:divBdr>
    </w:div>
    <w:div w:id="1741440191">
      <w:bodyDiv w:val="1"/>
      <w:marLeft w:val="0"/>
      <w:marRight w:val="0"/>
      <w:marTop w:val="0"/>
      <w:marBottom w:val="0"/>
      <w:divBdr>
        <w:top w:val="none" w:sz="0" w:space="0" w:color="auto"/>
        <w:left w:val="none" w:sz="0" w:space="0" w:color="auto"/>
        <w:bottom w:val="none" w:sz="0" w:space="0" w:color="auto"/>
        <w:right w:val="none" w:sz="0" w:space="0" w:color="auto"/>
      </w:divBdr>
    </w:div>
    <w:div w:id="1741441248">
      <w:bodyDiv w:val="1"/>
      <w:marLeft w:val="0"/>
      <w:marRight w:val="0"/>
      <w:marTop w:val="0"/>
      <w:marBottom w:val="0"/>
      <w:divBdr>
        <w:top w:val="none" w:sz="0" w:space="0" w:color="auto"/>
        <w:left w:val="none" w:sz="0" w:space="0" w:color="auto"/>
        <w:bottom w:val="none" w:sz="0" w:space="0" w:color="auto"/>
        <w:right w:val="none" w:sz="0" w:space="0" w:color="auto"/>
      </w:divBdr>
    </w:div>
    <w:div w:id="1741444631">
      <w:bodyDiv w:val="1"/>
      <w:marLeft w:val="0"/>
      <w:marRight w:val="0"/>
      <w:marTop w:val="0"/>
      <w:marBottom w:val="0"/>
      <w:divBdr>
        <w:top w:val="none" w:sz="0" w:space="0" w:color="auto"/>
        <w:left w:val="none" w:sz="0" w:space="0" w:color="auto"/>
        <w:bottom w:val="none" w:sz="0" w:space="0" w:color="auto"/>
        <w:right w:val="none" w:sz="0" w:space="0" w:color="auto"/>
      </w:divBdr>
    </w:div>
    <w:div w:id="1741559304">
      <w:bodyDiv w:val="1"/>
      <w:marLeft w:val="0"/>
      <w:marRight w:val="0"/>
      <w:marTop w:val="0"/>
      <w:marBottom w:val="0"/>
      <w:divBdr>
        <w:top w:val="none" w:sz="0" w:space="0" w:color="auto"/>
        <w:left w:val="none" w:sz="0" w:space="0" w:color="auto"/>
        <w:bottom w:val="none" w:sz="0" w:space="0" w:color="auto"/>
        <w:right w:val="none" w:sz="0" w:space="0" w:color="auto"/>
      </w:divBdr>
    </w:div>
    <w:div w:id="1741559650">
      <w:bodyDiv w:val="1"/>
      <w:marLeft w:val="0"/>
      <w:marRight w:val="0"/>
      <w:marTop w:val="0"/>
      <w:marBottom w:val="0"/>
      <w:divBdr>
        <w:top w:val="none" w:sz="0" w:space="0" w:color="auto"/>
        <w:left w:val="none" w:sz="0" w:space="0" w:color="auto"/>
        <w:bottom w:val="none" w:sz="0" w:space="0" w:color="auto"/>
        <w:right w:val="none" w:sz="0" w:space="0" w:color="auto"/>
      </w:divBdr>
    </w:div>
    <w:div w:id="1741711265">
      <w:bodyDiv w:val="1"/>
      <w:marLeft w:val="0"/>
      <w:marRight w:val="0"/>
      <w:marTop w:val="0"/>
      <w:marBottom w:val="0"/>
      <w:divBdr>
        <w:top w:val="none" w:sz="0" w:space="0" w:color="auto"/>
        <w:left w:val="none" w:sz="0" w:space="0" w:color="auto"/>
        <w:bottom w:val="none" w:sz="0" w:space="0" w:color="auto"/>
        <w:right w:val="none" w:sz="0" w:space="0" w:color="auto"/>
      </w:divBdr>
    </w:div>
    <w:div w:id="1741780949">
      <w:bodyDiv w:val="1"/>
      <w:marLeft w:val="0"/>
      <w:marRight w:val="0"/>
      <w:marTop w:val="0"/>
      <w:marBottom w:val="0"/>
      <w:divBdr>
        <w:top w:val="none" w:sz="0" w:space="0" w:color="auto"/>
        <w:left w:val="none" w:sz="0" w:space="0" w:color="auto"/>
        <w:bottom w:val="none" w:sz="0" w:space="0" w:color="auto"/>
        <w:right w:val="none" w:sz="0" w:space="0" w:color="auto"/>
      </w:divBdr>
    </w:div>
    <w:div w:id="1741948373">
      <w:bodyDiv w:val="1"/>
      <w:marLeft w:val="0"/>
      <w:marRight w:val="0"/>
      <w:marTop w:val="0"/>
      <w:marBottom w:val="0"/>
      <w:divBdr>
        <w:top w:val="none" w:sz="0" w:space="0" w:color="auto"/>
        <w:left w:val="none" w:sz="0" w:space="0" w:color="auto"/>
        <w:bottom w:val="none" w:sz="0" w:space="0" w:color="auto"/>
        <w:right w:val="none" w:sz="0" w:space="0" w:color="auto"/>
      </w:divBdr>
    </w:div>
    <w:div w:id="1741950271">
      <w:bodyDiv w:val="1"/>
      <w:marLeft w:val="0"/>
      <w:marRight w:val="0"/>
      <w:marTop w:val="0"/>
      <w:marBottom w:val="0"/>
      <w:divBdr>
        <w:top w:val="none" w:sz="0" w:space="0" w:color="auto"/>
        <w:left w:val="none" w:sz="0" w:space="0" w:color="auto"/>
        <w:bottom w:val="none" w:sz="0" w:space="0" w:color="auto"/>
        <w:right w:val="none" w:sz="0" w:space="0" w:color="auto"/>
      </w:divBdr>
    </w:div>
    <w:div w:id="1742093457">
      <w:bodyDiv w:val="1"/>
      <w:marLeft w:val="0"/>
      <w:marRight w:val="0"/>
      <w:marTop w:val="0"/>
      <w:marBottom w:val="0"/>
      <w:divBdr>
        <w:top w:val="none" w:sz="0" w:space="0" w:color="auto"/>
        <w:left w:val="none" w:sz="0" w:space="0" w:color="auto"/>
        <w:bottom w:val="none" w:sz="0" w:space="0" w:color="auto"/>
        <w:right w:val="none" w:sz="0" w:space="0" w:color="auto"/>
      </w:divBdr>
    </w:div>
    <w:div w:id="1742287190">
      <w:bodyDiv w:val="1"/>
      <w:marLeft w:val="0"/>
      <w:marRight w:val="0"/>
      <w:marTop w:val="0"/>
      <w:marBottom w:val="0"/>
      <w:divBdr>
        <w:top w:val="none" w:sz="0" w:space="0" w:color="auto"/>
        <w:left w:val="none" w:sz="0" w:space="0" w:color="auto"/>
        <w:bottom w:val="none" w:sz="0" w:space="0" w:color="auto"/>
        <w:right w:val="none" w:sz="0" w:space="0" w:color="auto"/>
      </w:divBdr>
    </w:div>
    <w:div w:id="1742364447">
      <w:bodyDiv w:val="1"/>
      <w:marLeft w:val="0"/>
      <w:marRight w:val="0"/>
      <w:marTop w:val="0"/>
      <w:marBottom w:val="0"/>
      <w:divBdr>
        <w:top w:val="none" w:sz="0" w:space="0" w:color="auto"/>
        <w:left w:val="none" w:sz="0" w:space="0" w:color="auto"/>
        <w:bottom w:val="none" w:sz="0" w:space="0" w:color="auto"/>
        <w:right w:val="none" w:sz="0" w:space="0" w:color="auto"/>
      </w:divBdr>
    </w:div>
    <w:div w:id="1742365111">
      <w:bodyDiv w:val="1"/>
      <w:marLeft w:val="0"/>
      <w:marRight w:val="0"/>
      <w:marTop w:val="0"/>
      <w:marBottom w:val="0"/>
      <w:divBdr>
        <w:top w:val="none" w:sz="0" w:space="0" w:color="auto"/>
        <w:left w:val="none" w:sz="0" w:space="0" w:color="auto"/>
        <w:bottom w:val="none" w:sz="0" w:space="0" w:color="auto"/>
        <w:right w:val="none" w:sz="0" w:space="0" w:color="auto"/>
      </w:divBdr>
    </w:div>
    <w:div w:id="1742369297">
      <w:bodyDiv w:val="1"/>
      <w:marLeft w:val="0"/>
      <w:marRight w:val="0"/>
      <w:marTop w:val="0"/>
      <w:marBottom w:val="0"/>
      <w:divBdr>
        <w:top w:val="none" w:sz="0" w:space="0" w:color="auto"/>
        <w:left w:val="none" w:sz="0" w:space="0" w:color="auto"/>
        <w:bottom w:val="none" w:sz="0" w:space="0" w:color="auto"/>
        <w:right w:val="none" w:sz="0" w:space="0" w:color="auto"/>
      </w:divBdr>
    </w:div>
    <w:div w:id="1742436785">
      <w:bodyDiv w:val="1"/>
      <w:marLeft w:val="0"/>
      <w:marRight w:val="0"/>
      <w:marTop w:val="0"/>
      <w:marBottom w:val="0"/>
      <w:divBdr>
        <w:top w:val="none" w:sz="0" w:space="0" w:color="auto"/>
        <w:left w:val="none" w:sz="0" w:space="0" w:color="auto"/>
        <w:bottom w:val="none" w:sz="0" w:space="0" w:color="auto"/>
        <w:right w:val="none" w:sz="0" w:space="0" w:color="auto"/>
      </w:divBdr>
    </w:div>
    <w:div w:id="1742756964">
      <w:bodyDiv w:val="1"/>
      <w:marLeft w:val="0"/>
      <w:marRight w:val="0"/>
      <w:marTop w:val="0"/>
      <w:marBottom w:val="0"/>
      <w:divBdr>
        <w:top w:val="none" w:sz="0" w:space="0" w:color="auto"/>
        <w:left w:val="none" w:sz="0" w:space="0" w:color="auto"/>
        <w:bottom w:val="none" w:sz="0" w:space="0" w:color="auto"/>
        <w:right w:val="none" w:sz="0" w:space="0" w:color="auto"/>
      </w:divBdr>
    </w:div>
    <w:div w:id="1742826217">
      <w:bodyDiv w:val="1"/>
      <w:marLeft w:val="0"/>
      <w:marRight w:val="0"/>
      <w:marTop w:val="0"/>
      <w:marBottom w:val="0"/>
      <w:divBdr>
        <w:top w:val="none" w:sz="0" w:space="0" w:color="auto"/>
        <w:left w:val="none" w:sz="0" w:space="0" w:color="auto"/>
        <w:bottom w:val="none" w:sz="0" w:space="0" w:color="auto"/>
        <w:right w:val="none" w:sz="0" w:space="0" w:color="auto"/>
      </w:divBdr>
    </w:div>
    <w:div w:id="1742826322">
      <w:bodyDiv w:val="1"/>
      <w:marLeft w:val="0"/>
      <w:marRight w:val="0"/>
      <w:marTop w:val="0"/>
      <w:marBottom w:val="0"/>
      <w:divBdr>
        <w:top w:val="none" w:sz="0" w:space="0" w:color="auto"/>
        <w:left w:val="none" w:sz="0" w:space="0" w:color="auto"/>
        <w:bottom w:val="none" w:sz="0" w:space="0" w:color="auto"/>
        <w:right w:val="none" w:sz="0" w:space="0" w:color="auto"/>
      </w:divBdr>
    </w:div>
    <w:div w:id="1742866937">
      <w:bodyDiv w:val="1"/>
      <w:marLeft w:val="0"/>
      <w:marRight w:val="0"/>
      <w:marTop w:val="0"/>
      <w:marBottom w:val="0"/>
      <w:divBdr>
        <w:top w:val="none" w:sz="0" w:space="0" w:color="auto"/>
        <w:left w:val="none" w:sz="0" w:space="0" w:color="auto"/>
        <w:bottom w:val="none" w:sz="0" w:space="0" w:color="auto"/>
        <w:right w:val="none" w:sz="0" w:space="0" w:color="auto"/>
      </w:divBdr>
    </w:div>
    <w:div w:id="1742943705">
      <w:bodyDiv w:val="1"/>
      <w:marLeft w:val="0"/>
      <w:marRight w:val="0"/>
      <w:marTop w:val="0"/>
      <w:marBottom w:val="0"/>
      <w:divBdr>
        <w:top w:val="none" w:sz="0" w:space="0" w:color="auto"/>
        <w:left w:val="none" w:sz="0" w:space="0" w:color="auto"/>
        <w:bottom w:val="none" w:sz="0" w:space="0" w:color="auto"/>
        <w:right w:val="none" w:sz="0" w:space="0" w:color="auto"/>
      </w:divBdr>
    </w:div>
    <w:div w:id="1742948751">
      <w:bodyDiv w:val="1"/>
      <w:marLeft w:val="0"/>
      <w:marRight w:val="0"/>
      <w:marTop w:val="0"/>
      <w:marBottom w:val="0"/>
      <w:divBdr>
        <w:top w:val="none" w:sz="0" w:space="0" w:color="auto"/>
        <w:left w:val="none" w:sz="0" w:space="0" w:color="auto"/>
        <w:bottom w:val="none" w:sz="0" w:space="0" w:color="auto"/>
        <w:right w:val="none" w:sz="0" w:space="0" w:color="auto"/>
      </w:divBdr>
    </w:div>
    <w:div w:id="1743016162">
      <w:bodyDiv w:val="1"/>
      <w:marLeft w:val="0"/>
      <w:marRight w:val="0"/>
      <w:marTop w:val="0"/>
      <w:marBottom w:val="0"/>
      <w:divBdr>
        <w:top w:val="none" w:sz="0" w:space="0" w:color="auto"/>
        <w:left w:val="none" w:sz="0" w:space="0" w:color="auto"/>
        <w:bottom w:val="none" w:sz="0" w:space="0" w:color="auto"/>
        <w:right w:val="none" w:sz="0" w:space="0" w:color="auto"/>
      </w:divBdr>
    </w:div>
    <w:div w:id="1743134495">
      <w:bodyDiv w:val="1"/>
      <w:marLeft w:val="0"/>
      <w:marRight w:val="0"/>
      <w:marTop w:val="0"/>
      <w:marBottom w:val="0"/>
      <w:divBdr>
        <w:top w:val="none" w:sz="0" w:space="0" w:color="auto"/>
        <w:left w:val="none" w:sz="0" w:space="0" w:color="auto"/>
        <w:bottom w:val="none" w:sz="0" w:space="0" w:color="auto"/>
        <w:right w:val="none" w:sz="0" w:space="0" w:color="auto"/>
      </w:divBdr>
    </w:div>
    <w:div w:id="1743210206">
      <w:bodyDiv w:val="1"/>
      <w:marLeft w:val="0"/>
      <w:marRight w:val="0"/>
      <w:marTop w:val="0"/>
      <w:marBottom w:val="0"/>
      <w:divBdr>
        <w:top w:val="none" w:sz="0" w:space="0" w:color="auto"/>
        <w:left w:val="none" w:sz="0" w:space="0" w:color="auto"/>
        <w:bottom w:val="none" w:sz="0" w:space="0" w:color="auto"/>
        <w:right w:val="none" w:sz="0" w:space="0" w:color="auto"/>
      </w:divBdr>
    </w:div>
    <w:div w:id="1743290361">
      <w:bodyDiv w:val="1"/>
      <w:marLeft w:val="0"/>
      <w:marRight w:val="0"/>
      <w:marTop w:val="0"/>
      <w:marBottom w:val="0"/>
      <w:divBdr>
        <w:top w:val="none" w:sz="0" w:space="0" w:color="auto"/>
        <w:left w:val="none" w:sz="0" w:space="0" w:color="auto"/>
        <w:bottom w:val="none" w:sz="0" w:space="0" w:color="auto"/>
        <w:right w:val="none" w:sz="0" w:space="0" w:color="auto"/>
      </w:divBdr>
    </w:div>
    <w:div w:id="1743407917">
      <w:bodyDiv w:val="1"/>
      <w:marLeft w:val="0"/>
      <w:marRight w:val="0"/>
      <w:marTop w:val="0"/>
      <w:marBottom w:val="0"/>
      <w:divBdr>
        <w:top w:val="none" w:sz="0" w:space="0" w:color="auto"/>
        <w:left w:val="none" w:sz="0" w:space="0" w:color="auto"/>
        <w:bottom w:val="none" w:sz="0" w:space="0" w:color="auto"/>
        <w:right w:val="none" w:sz="0" w:space="0" w:color="auto"/>
      </w:divBdr>
    </w:div>
    <w:div w:id="1743411218">
      <w:bodyDiv w:val="1"/>
      <w:marLeft w:val="0"/>
      <w:marRight w:val="0"/>
      <w:marTop w:val="0"/>
      <w:marBottom w:val="0"/>
      <w:divBdr>
        <w:top w:val="none" w:sz="0" w:space="0" w:color="auto"/>
        <w:left w:val="none" w:sz="0" w:space="0" w:color="auto"/>
        <w:bottom w:val="none" w:sz="0" w:space="0" w:color="auto"/>
        <w:right w:val="none" w:sz="0" w:space="0" w:color="auto"/>
      </w:divBdr>
    </w:div>
    <w:div w:id="1743478327">
      <w:bodyDiv w:val="1"/>
      <w:marLeft w:val="0"/>
      <w:marRight w:val="0"/>
      <w:marTop w:val="0"/>
      <w:marBottom w:val="0"/>
      <w:divBdr>
        <w:top w:val="none" w:sz="0" w:space="0" w:color="auto"/>
        <w:left w:val="none" w:sz="0" w:space="0" w:color="auto"/>
        <w:bottom w:val="none" w:sz="0" w:space="0" w:color="auto"/>
        <w:right w:val="none" w:sz="0" w:space="0" w:color="auto"/>
      </w:divBdr>
    </w:div>
    <w:div w:id="1743483530">
      <w:bodyDiv w:val="1"/>
      <w:marLeft w:val="0"/>
      <w:marRight w:val="0"/>
      <w:marTop w:val="0"/>
      <w:marBottom w:val="0"/>
      <w:divBdr>
        <w:top w:val="none" w:sz="0" w:space="0" w:color="auto"/>
        <w:left w:val="none" w:sz="0" w:space="0" w:color="auto"/>
        <w:bottom w:val="none" w:sz="0" w:space="0" w:color="auto"/>
        <w:right w:val="none" w:sz="0" w:space="0" w:color="auto"/>
      </w:divBdr>
    </w:div>
    <w:div w:id="1743604827">
      <w:bodyDiv w:val="1"/>
      <w:marLeft w:val="0"/>
      <w:marRight w:val="0"/>
      <w:marTop w:val="0"/>
      <w:marBottom w:val="0"/>
      <w:divBdr>
        <w:top w:val="none" w:sz="0" w:space="0" w:color="auto"/>
        <w:left w:val="none" w:sz="0" w:space="0" w:color="auto"/>
        <w:bottom w:val="none" w:sz="0" w:space="0" w:color="auto"/>
        <w:right w:val="none" w:sz="0" w:space="0" w:color="auto"/>
      </w:divBdr>
    </w:div>
    <w:div w:id="1743604843">
      <w:bodyDiv w:val="1"/>
      <w:marLeft w:val="0"/>
      <w:marRight w:val="0"/>
      <w:marTop w:val="0"/>
      <w:marBottom w:val="0"/>
      <w:divBdr>
        <w:top w:val="none" w:sz="0" w:space="0" w:color="auto"/>
        <w:left w:val="none" w:sz="0" w:space="0" w:color="auto"/>
        <w:bottom w:val="none" w:sz="0" w:space="0" w:color="auto"/>
        <w:right w:val="none" w:sz="0" w:space="0" w:color="auto"/>
      </w:divBdr>
    </w:div>
    <w:div w:id="1743680132">
      <w:bodyDiv w:val="1"/>
      <w:marLeft w:val="0"/>
      <w:marRight w:val="0"/>
      <w:marTop w:val="0"/>
      <w:marBottom w:val="0"/>
      <w:divBdr>
        <w:top w:val="none" w:sz="0" w:space="0" w:color="auto"/>
        <w:left w:val="none" w:sz="0" w:space="0" w:color="auto"/>
        <w:bottom w:val="none" w:sz="0" w:space="0" w:color="auto"/>
        <w:right w:val="none" w:sz="0" w:space="0" w:color="auto"/>
      </w:divBdr>
    </w:div>
    <w:div w:id="1743720704">
      <w:bodyDiv w:val="1"/>
      <w:marLeft w:val="0"/>
      <w:marRight w:val="0"/>
      <w:marTop w:val="0"/>
      <w:marBottom w:val="0"/>
      <w:divBdr>
        <w:top w:val="none" w:sz="0" w:space="0" w:color="auto"/>
        <w:left w:val="none" w:sz="0" w:space="0" w:color="auto"/>
        <w:bottom w:val="none" w:sz="0" w:space="0" w:color="auto"/>
        <w:right w:val="none" w:sz="0" w:space="0" w:color="auto"/>
      </w:divBdr>
    </w:div>
    <w:div w:id="1743747485">
      <w:bodyDiv w:val="1"/>
      <w:marLeft w:val="0"/>
      <w:marRight w:val="0"/>
      <w:marTop w:val="0"/>
      <w:marBottom w:val="0"/>
      <w:divBdr>
        <w:top w:val="none" w:sz="0" w:space="0" w:color="auto"/>
        <w:left w:val="none" w:sz="0" w:space="0" w:color="auto"/>
        <w:bottom w:val="none" w:sz="0" w:space="0" w:color="auto"/>
        <w:right w:val="none" w:sz="0" w:space="0" w:color="auto"/>
      </w:divBdr>
    </w:div>
    <w:div w:id="1743790746">
      <w:bodyDiv w:val="1"/>
      <w:marLeft w:val="0"/>
      <w:marRight w:val="0"/>
      <w:marTop w:val="0"/>
      <w:marBottom w:val="0"/>
      <w:divBdr>
        <w:top w:val="none" w:sz="0" w:space="0" w:color="auto"/>
        <w:left w:val="none" w:sz="0" w:space="0" w:color="auto"/>
        <w:bottom w:val="none" w:sz="0" w:space="0" w:color="auto"/>
        <w:right w:val="none" w:sz="0" w:space="0" w:color="auto"/>
      </w:divBdr>
    </w:div>
    <w:div w:id="1743795879">
      <w:bodyDiv w:val="1"/>
      <w:marLeft w:val="0"/>
      <w:marRight w:val="0"/>
      <w:marTop w:val="0"/>
      <w:marBottom w:val="0"/>
      <w:divBdr>
        <w:top w:val="none" w:sz="0" w:space="0" w:color="auto"/>
        <w:left w:val="none" w:sz="0" w:space="0" w:color="auto"/>
        <w:bottom w:val="none" w:sz="0" w:space="0" w:color="auto"/>
        <w:right w:val="none" w:sz="0" w:space="0" w:color="auto"/>
      </w:divBdr>
    </w:div>
    <w:div w:id="1743796142">
      <w:bodyDiv w:val="1"/>
      <w:marLeft w:val="0"/>
      <w:marRight w:val="0"/>
      <w:marTop w:val="0"/>
      <w:marBottom w:val="0"/>
      <w:divBdr>
        <w:top w:val="none" w:sz="0" w:space="0" w:color="auto"/>
        <w:left w:val="none" w:sz="0" w:space="0" w:color="auto"/>
        <w:bottom w:val="none" w:sz="0" w:space="0" w:color="auto"/>
        <w:right w:val="none" w:sz="0" w:space="0" w:color="auto"/>
      </w:divBdr>
    </w:div>
    <w:div w:id="1743912988">
      <w:bodyDiv w:val="1"/>
      <w:marLeft w:val="0"/>
      <w:marRight w:val="0"/>
      <w:marTop w:val="0"/>
      <w:marBottom w:val="0"/>
      <w:divBdr>
        <w:top w:val="none" w:sz="0" w:space="0" w:color="auto"/>
        <w:left w:val="none" w:sz="0" w:space="0" w:color="auto"/>
        <w:bottom w:val="none" w:sz="0" w:space="0" w:color="auto"/>
        <w:right w:val="none" w:sz="0" w:space="0" w:color="auto"/>
      </w:divBdr>
    </w:div>
    <w:div w:id="1743987305">
      <w:bodyDiv w:val="1"/>
      <w:marLeft w:val="0"/>
      <w:marRight w:val="0"/>
      <w:marTop w:val="0"/>
      <w:marBottom w:val="0"/>
      <w:divBdr>
        <w:top w:val="none" w:sz="0" w:space="0" w:color="auto"/>
        <w:left w:val="none" w:sz="0" w:space="0" w:color="auto"/>
        <w:bottom w:val="none" w:sz="0" w:space="0" w:color="auto"/>
        <w:right w:val="none" w:sz="0" w:space="0" w:color="auto"/>
      </w:divBdr>
    </w:div>
    <w:div w:id="1743991013">
      <w:bodyDiv w:val="1"/>
      <w:marLeft w:val="0"/>
      <w:marRight w:val="0"/>
      <w:marTop w:val="0"/>
      <w:marBottom w:val="0"/>
      <w:divBdr>
        <w:top w:val="none" w:sz="0" w:space="0" w:color="auto"/>
        <w:left w:val="none" w:sz="0" w:space="0" w:color="auto"/>
        <w:bottom w:val="none" w:sz="0" w:space="0" w:color="auto"/>
        <w:right w:val="none" w:sz="0" w:space="0" w:color="auto"/>
      </w:divBdr>
    </w:div>
    <w:div w:id="1744177264">
      <w:bodyDiv w:val="1"/>
      <w:marLeft w:val="0"/>
      <w:marRight w:val="0"/>
      <w:marTop w:val="0"/>
      <w:marBottom w:val="0"/>
      <w:divBdr>
        <w:top w:val="none" w:sz="0" w:space="0" w:color="auto"/>
        <w:left w:val="none" w:sz="0" w:space="0" w:color="auto"/>
        <w:bottom w:val="none" w:sz="0" w:space="0" w:color="auto"/>
        <w:right w:val="none" w:sz="0" w:space="0" w:color="auto"/>
      </w:divBdr>
    </w:div>
    <w:div w:id="1744334053">
      <w:bodyDiv w:val="1"/>
      <w:marLeft w:val="0"/>
      <w:marRight w:val="0"/>
      <w:marTop w:val="0"/>
      <w:marBottom w:val="0"/>
      <w:divBdr>
        <w:top w:val="none" w:sz="0" w:space="0" w:color="auto"/>
        <w:left w:val="none" w:sz="0" w:space="0" w:color="auto"/>
        <w:bottom w:val="none" w:sz="0" w:space="0" w:color="auto"/>
        <w:right w:val="none" w:sz="0" w:space="0" w:color="auto"/>
      </w:divBdr>
    </w:div>
    <w:div w:id="1744376564">
      <w:bodyDiv w:val="1"/>
      <w:marLeft w:val="0"/>
      <w:marRight w:val="0"/>
      <w:marTop w:val="0"/>
      <w:marBottom w:val="0"/>
      <w:divBdr>
        <w:top w:val="none" w:sz="0" w:space="0" w:color="auto"/>
        <w:left w:val="none" w:sz="0" w:space="0" w:color="auto"/>
        <w:bottom w:val="none" w:sz="0" w:space="0" w:color="auto"/>
        <w:right w:val="none" w:sz="0" w:space="0" w:color="auto"/>
      </w:divBdr>
    </w:div>
    <w:div w:id="1744377917">
      <w:bodyDiv w:val="1"/>
      <w:marLeft w:val="0"/>
      <w:marRight w:val="0"/>
      <w:marTop w:val="0"/>
      <w:marBottom w:val="0"/>
      <w:divBdr>
        <w:top w:val="none" w:sz="0" w:space="0" w:color="auto"/>
        <w:left w:val="none" w:sz="0" w:space="0" w:color="auto"/>
        <w:bottom w:val="none" w:sz="0" w:space="0" w:color="auto"/>
        <w:right w:val="none" w:sz="0" w:space="0" w:color="auto"/>
      </w:divBdr>
    </w:div>
    <w:div w:id="1744445980">
      <w:bodyDiv w:val="1"/>
      <w:marLeft w:val="0"/>
      <w:marRight w:val="0"/>
      <w:marTop w:val="0"/>
      <w:marBottom w:val="0"/>
      <w:divBdr>
        <w:top w:val="none" w:sz="0" w:space="0" w:color="auto"/>
        <w:left w:val="none" w:sz="0" w:space="0" w:color="auto"/>
        <w:bottom w:val="none" w:sz="0" w:space="0" w:color="auto"/>
        <w:right w:val="none" w:sz="0" w:space="0" w:color="auto"/>
      </w:divBdr>
    </w:div>
    <w:div w:id="1744595436">
      <w:bodyDiv w:val="1"/>
      <w:marLeft w:val="0"/>
      <w:marRight w:val="0"/>
      <w:marTop w:val="0"/>
      <w:marBottom w:val="0"/>
      <w:divBdr>
        <w:top w:val="none" w:sz="0" w:space="0" w:color="auto"/>
        <w:left w:val="none" w:sz="0" w:space="0" w:color="auto"/>
        <w:bottom w:val="none" w:sz="0" w:space="0" w:color="auto"/>
        <w:right w:val="none" w:sz="0" w:space="0" w:color="auto"/>
      </w:divBdr>
    </w:div>
    <w:div w:id="1744647374">
      <w:bodyDiv w:val="1"/>
      <w:marLeft w:val="0"/>
      <w:marRight w:val="0"/>
      <w:marTop w:val="0"/>
      <w:marBottom w:val="0"/>
      <w:divBdr>
        <w:top w:val="none" w:sz="0" w:space="0" w:color="auto"/>
        <w:left w:val="none" w:sz="0" w:space="0" w:color="auto"/>
        <w:bottom w:val="none" w:sz="0" w:space="0" w:color="auto"/>
        <w:right w:val="none" w:sz="0" w:space="0" w:color="auto"/>
      </w:divBdr>
    </w:div>
    <w:div w:id="1744721247">
      <w:bodyDiv w:val="1"/>
      <w:marLeft w:val="0"/>
      <w:marRight w:val="0"/>
      <w:marTop w:val="0"/>
      <w:marBottom w:val="0"/>
      <w:divBdr>
        <w:top w:val="none" w:sz="0" w:space="0" w:color="auto"/>
        <w:left w:val="none" w:sz="0" w:space="0" w:color="auto"/>
        <w:bottom w:val="none" w:sz="0" w:space="0" w:color="auto"/>
        <w:right w:val="none" w:sz="0" w:space="0" w:color="auto"/>
      </w:divBdr>
    </w:div>
    <w:div w:id="1744722387">
      <w:bodyDiv w:val="1"/>
      <w:marLeft w:val="0"/>
      <w:marRight w:val="0"/>
      <w:marTop w:val="0"/>
      <w:marBottom w:val="0"/>
      <w:divBdr>
        <w:top w:val="none" w:sz="0" w:space="0" w:color="auto"/>
        <w:left w:val="none" w:sz="0" w:space="0" w:color="auto"/>
        <w:bottom w:val="none" w:sz="0" w:space="0" w:color="auto"/>
        <w:right w:val="none" w:sz="0" w:space="0" w:color="auto"/>
      </w:divBdr>
    </w:div>
    <w:div w:id="1744789107">
      <w:bodyDiv w:val="1"/>
      <w:marLeft w:val="0"/>
      <w:marRight w:val="0"/>
      <w:marTop w:val="0"/>
      <w:marBottom w:val="0"/>
      <w:divBdr>
        <w:top w:val="none" w:sz="0" w:space="0" w:color="auto"/>
        <w:left w:val="none" w:sz="0" w:space="0" w:color="auto"/>
        <w:bottom w:val="none" w:sz="0" w:space="0" w:color="auto"/>
        <w:right w:val="none" w:sz="0" w:space="0" w:color="auto"/>
      </w:divBdr>
    </w:div>
    <w:div w:id="1744791865">
      <w:bodyDiv w:val="1"/>
      <w:marLeft w:val="0"/>
      <w:marRight w:val="0"/>
      <w:marTop w:val="0"/>
      <w:marBottom w:val="0"/>
      <w:divBdr>
        <w:top w:val="none" w:sz="0" w:space="0" w:color="auto"/>
        <w:left w:val="none" w:sz="0" w:space="0" w:color="auto"/>
        <w:bottom w:val="none" w:sz="0" w:space="0" w:color="auto"/>
        <w:right w:val="none" w:sz="0" w:space="0" w:color="auto"/>
      </w:divBdr>
    </w:div>
    <w:div w:id="1744793693">
      <w:bodyDiv w:val="1"/>
      <w:marLeft w:val="0"/>
      <w:marRight w:val="0"/>
      <w:marTop w:val="0"/>
      <w:marBottom w:val="0"/>
      <w:divBdr>
        <w:top w:val="none" w:sz="0" w:space="0" w:color="auto"/>
        <w:left w:val="none" w:sz="0" w:space="0" w:color="auto"/>
        <w:bottom w:val="none" w:sz="0" w:space="0" w:color="auto"/>
        <w:right w:val="none" w:sz="0" w:space="0" w:color="auto"/>
      </w:divBdr>
    </w:div>
    <w:div w:id="1744833486">
      <w:bodyDiv w:val="1"/>
      <w:marLeft w:val="0"/>
      <w:marRight w:val="0"/>
      <w:marTop w:val="0"/>
      <w:marBottom w:val="0"/>
      <w:divBdr>
        <w:top w:val="none" w:sz="0" w:space="0" w:color="auto"/>
        <w:left w:val="none" w:sz="0" w:space="0" w:color="auto"/>
        <w:bottom w:val="none" w:sz="0" w:space="0" w:color="auto"/>
        <w:right w:val="none" w:sz="0" w:space="0" w:color="auto"/>
      </w:divBdr>
    </w:div>
    <w:div w:id="1744909409">
      <w:bodyDiv w:val="1"/>
      <w:marLeft w:val="0"/>
      <w:marRight w:val="0"/>
      <w:marTop w:val="0"/>
      <w:marBottom w:val="0"/>
      <w:divBdr>
        <w:top w:val="none" w:sz="0" w:space="0" w:color="auto"/>
        <w:left w:val="none" w:sz="0" w:space="0" w:color="auto"/>
        <w:bottom w:val="none" w:sz="0" w:space="0" w:color="auto"/>
        <w:right w:val="none" w:sz="0" w:space="0" w:color="auto"/>
      </w:divBdr>
    </w:div>
    <w:div w:id="1744910893">
      <w:bodyDiv w:val="1"/>
      <w:marLeft w:val="0"/>
      <w:marRight w:val="0"/>
      <w:marTop w:val="0"/>
      <w:marBottom w:val="0"/>
      <w:divBdr>
        <w:top w:val="none" w:sz="0" w:space="0" w:color="auto"/>
        <w:left w:val="none" w:sz="0" w:space="0" w:color="auto"/>
        <w:bottom w:val="none" w:sz="0" w:space="0" w:color="auto"/>
        <w:right w:val="none" w:sz="0" w:space="0" w:color="auto"/>
      </w:divBdr>
    </w:div>
    <w:div w:id="1744982811">
      <w:bodyDiv w:val="1"/>
      <w:marLeft w:val="0"/>
      <w:marRight w:val="0"/>
      <w:marTop w:val="0"/>
      <w:marBottom w:val="0"/>
      <w:divBdr>
        <w:top w:val="none" w:sz="0" w:space="0" w:color="auto"/>
        <w:left w:val="none" w:sz="0" w:space="0" w:color="auto"/>
        <w:bottom w:val="none" w:sz="0" w:space="0" w:color="auto"/>
        <w:right w:val="none" w:sz="0" w:space="0" w:color="auto"/>
      </w:divBdr>
    </w:div>
    <w:div w:id="1744989656">
      <w:bodyDiv w:val="1"/>
      <w:marLeft w:val="0"/>
      <w:marRight w:val="0"/>
      <w:marTop w:val="0"/>
      <w:marBottom w:val="0"/>
      <w:divBdr>
        <w:top w:val="none" w:sz="0" w:space="0" w:color="auto"/>
        <w:left w:val="none" w:sz="0" w:space="0" w:color="auto"/>
        <w:bottom w:val="none" w:sz="0" w:space="0" w:color="auto"/>
        <w:right w:val="none" w:sz="0" w:space="0" w:color="auto"/>
      </w:divBdr>
    </w:div>
    <w:div w:id="1745031354">
      <w:bodyDiv w:val="1"/>
      <w:marLeft w:val="0"/>
      <w:marRight w:val="0"/>
      <w:marTop w:val="0"/>
      <w:marBottom w:val="0"/>
      <w:divBdr>
        <w:top w:val="none" w:sz="0" w:space="0" w:color="auto"/>
        <w:left w:val="none" w:sz="0" w:space="0" w:color="auto"/>
        <w:bottom w:val="none" w:sz="0" w:space="0" w:color="auto"/>
        <w:right w:val="none" w:sz="0" w:space="0" w:color="auto"/>
      </w:divBdr>
    </w:div>
    <w:div w:id="1745105227">
      <w:bodyDiv w:val="1"/>
      <w:marLeft w:val="0"/>
      <w:marRight w:val="0"/>
      <w:marTop w:val="0"/>
      <w:marBottom w:val="0"/>
      <w:divBdr>
        <w:top w:val="none" w:sz="0" w:space="0" w:color="auto"/>
        <w:left w:val="none" w:sz="0" w:space="0" w:color="auto"/>
        <w:bottom w:val="none" w:sz="0" w:space="0" w:color="auto"/>
        <w:right w:val="none" w:sz="0" w:space="0" w:color="auto"/>
      </w:divBdr>
    </w:div>
    <w:div w:id="1745182519">
      <w:bodyDiv w:val="1"/>
      <w:marLeft w:val="0"/>
      <w:marRight w:val="0"/>
      <w:marTop w:val="0"/>
      <w:marBottom w:val="0"/>
      <w:divBdr>
        <w:top w:val="none" w:sz="0" w:space="0" w:color="auto"/>
        <w:left w:val="none" w:sz="0" w:space="0" w:color="auto"/>
        <w:bottom w:val="none" w:sz="0" w:space="0" w:color="auto"/>
        <w:right w:val="none" w:sz="0" w:space="0" w:color="auto"/>
      </w:divBdr>
    </w:div>
    <w:div w:id="1745299959">
      <w:bodyDiv w:val="1"/>
      <w:marLeft w:val="0"/>
      <w:marRight w:val="0"/>
      <w:marTop w:val="0"/>
      <w:marBottom w:val="0"/>
      <w:divBdr>
        <w:top w:val="none" w:sz="0" w:space="0" w:color="auto"/>
        <w:left w:val="none" w:sz="0" w:space="0" w:color="auto"/>
        <w:bottom w:val="none" w:sz="0" w:space="0" w:color="auto"/>
        <w:right w:val="none" w:sz="0" w:space="0" w:color="auto"/>
      </w:divBdr>
    </w:div>
    <w:div w:id="1745494514">
      <w:bodyDiv w:val="1"/>
      <w:marLeft w:val="0"/>
      <w:marRight w:val="0"/>
      <w:marTop w:val="0"/>
      <w:marBottom w:val="0"/>
      <w:divBdr>
        <w:top w:val="none" w:sz="0" w:space="0" w:color="auto"/>
        <w:left w:val="none" w:sz="0" w:space="0" w:color="auto"/>
        <w:bottom w:val="none" w:sz="0" w:space="0" w:color="auto"/>
        <w:right w:val="none" w:sz="0" w:space="0" w:color="auto"/>
      </w:divBdr>
    </w:div>
    <w:div w:id="1745562841">
      <w:bodyDiv w:val="1"/>
      <w:marLeft w:val="0"/>
      <w:marRight w:val="0"/>
      <w:marTop w:val="0"/>
      <w:marBottom w:val="0"/>
      <w:divBdr>
        <w:top w:val="none" w:sz="0" w:space="0" w:color="auto"/>
        <w:left w:val="none" w:sz="0" w:space="0" w:color="auto"/>
        <w:bottom w:val="none" w:sz="0" w:space="0" w:color="auto"/>
        <w:right w:val="none" w:sz="0" w:space="0" w:color="auto"/>
      </w:divBdr>
    </w:div>
    <w:div w:id="1745838615">
      <w:bodyDiv w:val="1"/>
      <w:marLeft w:val="0"/>
      <w:marRight w:val="0"/>
      <w:marTop w:val="0"/>
      <w:marBottom w:val="0"/>
      <w:divBdr>
        <w:top w:val="none" w:sz="0" w:space="0" w:color="auto"/>
        <w:left w:val="none" w:sz="0" w:space="0" w:color="auto"/>
        <w:bottom w:val="none" w:sz="0" w:space="0" w:color="auto"/>
        <w:right w:val="none" w:sz="0" w:space="0" w:color="auto"/>
      </w:divBdr>
    </w:div>
    <w:div w:id="1746029611">
      <w:bodyDiv w:val="1"/>
      <w:marLeft w:val="0"/>
      <w:marRight w:val="0"/>
      <w:marTop w:val="0"/>
      <w:marBottom w:val="0"/>
      <w:divBdr>
        <w:top w:val="none" w:sz="0" w:space="0" w:color="auto"/>
        <w:left w:val="none" w:sz="0" w:space="0" w:color="auto"/>
        <w:bottom w:val="none" w:sz="0" w:space="0" w:color="auto"/>
        <w:right w:val="none" w:sz="0" w:space="0" w:color="auto"/>
      </w:divBdr>
    </w:div>
    <w:div w:id="1746143091">
      <w:bodyDiv w:val="1"/>
      <w:marLeft w:val="0"/>
      <w:marRight w:val="0"/>
      <w:marTop w:val="0"/>
      <w:marBottom w:val="0"/>
      <w:divBdr>
        <w:top w:val="none" w:sz="0" w:space="0" w:color="auto"/>
        <w:left w:val="none" w:sz="0" w:space="0" w:color="auto"/>
        <w:bottom w:val="none" w:sz="0" w:space="0" w:color="auto"/>
        <w:right w:val="none" w:sz="0" w:space="0" w:color="auto"/>
      </w:divBdr>
    </w:div>
    <w:div w:id="1746221574">
      <w:bodyDiv w:val="1"/>
      <w:marLeft w:val="0"/>
      <w:marRight w:val="0"/>
      <w:marTop w:val="0"/>
      <w:marBottom w:val="0"/>
      <w:divBdr>
        <w:top w:val="none" w:sz="0" w:space="0" w:color="auto"/>
        <w:left w:val="none" w:sz="0" w:space="0" w:color="auto"/>
        <w:bottom w:val="none" w:sz="0" w:space="0" w:color="auto"/>
        <w:right w:val="none" w:sz="0" w:space="0" w:color="auto"/>
      </w:divBdr>
    </w:div>
    <w:div w:id="1746343685">
      <w:bodyDiv w:val="1"/>
      <w:marLeft w:val="0"/>
      <w:marRight w:val="0"/>
      <w:marTop w:val="0"/>
      <w:marBottom w:val="0"/>
      <w:divBdr>
        <w:top w:val="none" w:sz="0" w:space="0" w:color="auto"/>
        <w:left w:val="none" w:sz="0" w:space="0" w:color="auto"/>
        <w:bottom w:val="none" w:sz="0" w:space="0" w:color="auto"/>
        <w:right w:val="none" w:sz="0" w:space="0" w:color="auto"/>
      </w:divBdr>
    </w:div>
    <w:div w:id="1746344267">
      <w:bodyDiv w:val="1"/>
      <w:marLeft w:val="0"/>
      <w:marRight w:val="0"/>
      <w:marTop w:val="0"/>
      <w:marBottom w:val="0"/>
      <w:divBdr>
        <w:top w:val="none" w:sz="0" w:space="0" w:color="auto"/>
        <w:left w:val="none" w:sz="0" w:space="0" w:color="auto"/>
        <w:bottom w:val="none" w:sz="0" w:space="0" w:color="auto"/>
        <w:right w:val="none" w:sz="0" w:space="0" w:color="auto"/>
      </w:divBdr>
    </w:div>
    <w:div w:id="1746492401">
      <w:bodyDiv w:val="1"/>
      <w:marLeft w:val="0"/>
      <w:marRight w:val="0"/>
      <w:marTop w:val="0"/>
      <w:marBottom w:val="0"/>
      <w:divBdr>
        <w:top w:val="none" w:sz="0" w:space="0" w:color="auto"/>
        <w:left w:val="none" w:sz="0" w:space="0" w:color="auto"/>
        <w:bottom w:val="none" w:sz="0" w:space="0" w:color="auto"/>
        <w:right w:val="none" w:sz="0" w:space="0" w:color="auto"/>
      </w:divBdr>
    </w:div>
    <w:div w:id="1746493591">
      <w:bodyDiv w:val="1"/>
      <w:marLeft w:val="0"/>
      <w:marRight w:val="0"/>
      <w:marTop w:val="0"/>
      <w:marBottom w:val="0"/>
      <w:divBdr>
        <w:top w:val="none" w:sz="0" w:space="0" w:color="auto"/>
        <w:left w:val="none" w:sz="0" w:space="0" w:color="auto"/>
        <w:bottom w:val="none" w:sz="0" w:space="0" w:color="auto"/>
        <w:right w:val="none" w:sz="0" w:space="0" w:color="auto"/>
      </w:divBdr>
    </w:div>
    <w:div w:id="1746679824">
      <w:bodyDiv w:val="1"/>
      <w:marLeft w:val="0"/>
      <w:marRight w:val="0"/>
      <w:marTop w:val="0"/>
      <w:marBottom w:val="0"/>
      <w:divBdr>
        <w:top w:val="none" w:sz="0" w:space="0" w:color="auto"/>
        <w:left w:val="none" w:sz="0" w:space="0" w:color="auto"/>
        <w:bottom w:val="none" w:sz="0" w:space="0" w:color="auto"/>
        <w:right w:val="none" w:sz="0" w:space="0" w:color="auto"/>
      </w:divBdr>
    </w:div>
    <w:div w:id="1746679911">
      <w:bodyDiv w:val="1"/>
      <w:marLeft w:val="0"/>
      <w:marRight w:val="0"/>
      <w:marTop w:val="0"/>
      <w:marBottom w:val="0"/>
      <w:divBdr>
        <w:top w:val="none" w:sz="0" w:space="0" w:color="auto"/>
        <w:left w:val="none" w:sz="0" w:space="0" w:color="auto"/>
        <w:bottom w:val="none" w:sz="0" w:space="0" w:color="auto"/>
        <w:right w:val="none" w:sz="0" w:space="0" w:color="auto"/>
      </w:divBdr>
    </w:div>
    <w:div w:id="1746686464">
      <w:bodyDiv w:val="1"/>
      <w:marLeft w:val="0"/>
      <w:marRight w:val="0"/>
      <w:marTop w:val="0"/>
      <w:marBottom w:val="0"/>
      <w:divBdr>
        <w:top w:val="none" w:sz="0" w:space="0" w:color="auto"/>
        <w:left w:val="none" w:sz="0" w:space="0" w:color="auto"/>
        <w:bottom w:val="none" w:sz="0" w:space="0" w:color="auto"/>
        <w:right w:val="none" w:sz="0" w:space="0" w:color="auto"/>
      </w:divBdr>
    </w:div>
    <w:div w:id="1746758282">
      <w:bodyDiv w:val="1"/>
      <w:marLeft w:val="0"/>
      <w:marRight w:val="0"/>
      <w:marTop w:val="0"/>
      <w:marBottom w:val="0"/>
      <w:divBdr>
        <w:top w:val="none" w:sz="0" w:space="0" w:color="auto"/>
        <w:left w:val="none" w:sz="0" w:space="0" w:color="auto"/>
        <w:bottom w:val="none" w:sz="0" w:space="0" w:color="auto"/>
        <w:right w:val="none" w:sz="0" w:space="0" w:color="auto"/>
      </w:divBdr>
    </w:div>
    <w:div w:id="1746800971">
      <w:bodyDiv w:val="1"/>
      <w:marLeft w:val="0"/>
      <w:marRight w:val="0"/>
      <w:marTop w:val="0"/>
      <w:marBottom w:val="0"/>
      <w:divBdr>
        <w:top w:val="none" w:sz="0" w:space="0" w:color="auto"/>
        <w:left w:val="none" w:sz="0" w:space="0" w:color="auto"/>
        <w:bottom w:val="none" w:sz="0" w:space="0" w:color="auto"/>
        <w:right w:val="none" w:sz="0" w:space="0" w:color="auto"/>
      </w:divBdr>
    </w:div>
    <w:div w:id="1746872831">
      <w:bodyDiv w:val="1"/>
      <w:marLeft w:val="0"/>
      <w:marRight w:val="0"/>
      <w:marTop w:val="0"/>
      <w:marBottom w:val="0"/>
      <w:divBdr>
        <w:top w:val="none" w:sz="0" w:space="0" w:color="auto"/>
        <w:left w:val="none" w:sz="0" w:space="0" w:color="auto"/>
        <w:bottom w:val="none" w:sz="0" w:space="0" w:color="auto"/>
        <w:right w:val="none" w:sz="0" w:space="0" w:color="auto"/>
      </w:divBdr>
    </w:div>
    <w:div w:id="1746873028">
      <w:bodyDiv w:val="1"/>
      <w:marLeft w:val="0"/>
      <w:marRight w:val="0"/>
      <w:marTop w:val="0"/>
      <w:marBottom w:val="0"/>
      <w:divBdr>
        <w:top w:val="none" w:sz="0" w:space="0" w:color="auto"/>
        <w:left w:val="none" w:sz="0" w:space="0" w:color="auto"/>
        <w:bottom w:val="none" w:sz="0" w:space="0" w:color="auto"/>
        <w:right w:val="none" w:sz="0" w:space="0" w:color="auto"/>
      </w:divBdr>
    </w:div>
    <w:div w:id="1746875612">
      <w:bodyDiv w:val="1"/>
      <w:marLeft w:val="0"/>
      <w:marRight w:val="0"/>
      <w:marTop w:val="0"/>
      <w:marBottom w:val="0"/>
      <w:divBdr>
        <w:top w:val="none" w:sz="0" w:space="0" w:color="auto"/>
        <w:left w:val="none" w:sz="0" w:space="0" w:color="auto"/>
        <w:bottom w:val="none" w:sz="0" w:space="0" w:color="auto"/>
        <w:right w:val="none" w:sz="0" w:space="0" w:color="auto"/>
      </w:divBdr>
    </w:div>
    <w:div w:id="1746881212">
      <w:bodyDiv w:val="1"/>
      <w:marLeft w:val="0"/>
      <w:marRight w:val="0"/>
      <w:marTop w:val="0"/>
      <w:marBottom w:val="0"/>
      <w:divBdr>
        <w:top w:val="none" w:sz="0" w:space="0" w:color="auto"/>
        <w:left w:val="none" w:sz="0" w:space="0" w:color="auto"/>
        <w:bottom w:val="none" w:sz="0" w:space="0" w:color="auto"/>
        <w:right w:val="none" w:sz="0" w:space="0" w:color="auto"/>
      </w:divBdr>
    </w:div>
    <w:div w:id="1747023941">
      <w:bodyDiv w:val="1"/>
      <w:marLeft w:val="0"/>
      <w:marRight w:val="0"/>
      <w:marTop w:val="0"/>
      <w:marBottom w:val="0"/>
      <w:divBdr>
        <w:top w:val="none" w:sz="0" w:space="0" w:color="auto"/>
        <w:left w:val="none" w:sz="0" w:space="0" w:color="auto"/>
        <w:bottom w:val="none" w:sz="0" w:space="0" w:color="auto"/>
        <w:right w:val="none" w:sz="0" w:space="0" w:color="auto"/>
      </w:divBdr>
    </w:div>
    <w:div w:id="1747066955">
      <w:bodyDiv w:val="1"/>
      <w:marLeft w:val="0"/>
      <w:marRight w:val="0"/>
      <w:marTop w:val="0"/>
      <w:marBottom w:val="0"/>
      <w:divBdr>
        <w:top w:val="none" w:sz="0" w:space="0" w:color="auto"/>
        <w:left w:val="none" w:sz="0" w:space="0" w:color="auto"/>
        <w:bottom w:val="none" w:sz="0" w:space="0" w:color="auto"/>
        <w:right w:val="none" w:sz="0" w:space="0" w:color="auto"/>
      </w:divBdr>
    </w:div>
    <w:div w:id="1747147629">
      <w:bodyDiv w:val="1"/>
      <w:marLeft w:val="0"/>
      <w:marRight w:val="0"/>
      <w:marTop w:val="0"/>
      <w:marBottom w:val="0"/>
      <w:divBdr>
        <w:top w:val="none" w:sz="0" w:space="0" w:color="auto"/>
        <w:left w:val="none" w:sz="0" w:space="0" w:color="auto"/>
        <w:bottom w:val="none" w:sz="0" w:space="0" w:color="auto"/>
        <w:right w:val="none" w:sz="0" w:space="0" w:color="auto"/>
      </w:divBdr>
    </w:div>
    <w:div w:id="1747217738">
      <w:bodyDiv w:val="1"/>
      <w:marLeft w:val="0"/>
      <w:marRight w:val="0"/>
      <w:marTop w:val="0"/>
      <w:marBottom w:val="0"/>
      <w:divBdr>
        <w:top w:val="none" w:sz="0" w:space="0" w:color="auto"/>
        <w:left w:val="none" w:sz="0" w:space="0" w:color="auto"/>
        <w:bottom w:val="none" w:sz="0" w:space="0" w:color="auto"/>
        <w:right w:val="none" w:sz="0" w:space="0" w:color="auto"/>
      </w:divBdr>
    </w:div>
    <w:div w:id="1747263582">
      <w:bodyDiv w:val="1"/>
      <w:marLeft w:val="0"/>
      <w:marRight w:val="0"/>
      <w:marTop w:val="0"/>
      <w:marBottom w:val="0"/>
      <w:divBdr>
        <w:top w:val="none" w:sz="0" w:space="0" w:color="auto"/>
        <w:left w:val="none" w:sz="0" w:space="0" w:color="auto"/>
        <w:bottom w:val="none" w:sz="0" w:space="0" w:color="auto"/>
        <w:right w:val="none" w:sz="0" w:space="0" w:color="auto"/>
      </w:divBdr>
    </w:div>
    <w:div w:id="1747342157">
      <w:bodyDiv w:val="1"/>
      <w:marLeft w:val="0"/>
      <w:marRight w:val="0"/>
      <w:marTop w:val="0"/>
      <w:marBottom w:val="0"/>
      <w:divBdr>
        <w:top w:val="none" w:sz="0" w:space="0" w:color="auto"/>
        <w:left w:val="none" w:sz="0" w:space="0" w:color="auto"/>
        <w:bottom w:val="none" w:sz="0" w:space="0" w:color="auto"/>
        <w:right w:val="none" w:sz="0" w:space="0" w:color="auto"/>
      </w:divBdr>
    </w:div>
    <w:div w:id="1747612625">
      <w:bodyDiv w:val="1"/>
      <w:marLeft w:val="0"/>
      <w:marRight w:val="0"/>
      <w:marTop w:val="0"/>
      <w:marBottom w:val="0"/>
      <w:divBdr>
        <w:top w:val="none" w:sz="0" w:space="0" w:color="auto"/>
        <w:left w:val="none" w:sz="0" w:space="0" w:color="auto"/>
        <w:bottom w:val="none" w:sz="0" w:space="0" w:color="auto"/>
        <w:right w:val="none" w:sz="0" w:space="0" w:color="auto"/>
      </w:divBdr>
    </w:div>
    <w:div w:id="1747727800">
      <w:bodyDiv w:val="1"/>
      <w:marLeft w:val="0"/>
      <w:marRight w:val="0"/>
      <w:marTop w:val="0"/>
      <w:marBottom w:val="0"/>
      <w:divBdr>
        <w:top w:val="none" w:sz="0" w:space="0" w:color="auto"/>
        <w:left w:val="none" w:sz="0" w:space="0" w:color="auto"/>
        <w:bottom w:val="none" w:sz="0" w:space="0" w:color="auto"/>
        <w:right w:val="none" w:sz="0" w:space="0" w:color="auto"/>
      </w:divBdr>
    </w:div>
    <w:div w:id="1747990180">
      <w:bodyDiv w:val="1"/>
      <w:marLeft w:val="0"/>
      <w:marRight w:val="0"/>
      <w:marTop w:val="0"/>
      <w:marBottom w:val="0"/>
      <w:divBdr>
        <w:top w:val="none" w:sz="0" w:space="0" w:color="auto"/>
        <w:left w:val="none" w:sz="0" w:space="0" w:color="auto"/>
        <w:bottom w:val="none" w:sz="0" w:space="0" w:color="auto"/>
        <w:right w:val="none" w:sz="0" w:space="0" w:color="auto"/>
      </w:divBdr>
    </w:div>
    <w:div w:id="1747996268">
      <w:bodyDiv w:val="1"/>
      <w:marLeft w:val="0"/>
      <w:marRight w:val="0"/>
      <w:marTop w:val="0"/>
      <w:marBottom w:val="0"/>
      <w:divBdr>
        <w:top w:val="none" w:sz="0" w:space="0" w:color="auto"/>
        <w:left w:val="none" w:sz="0" w:space="0" w:color="auto"/>
        <w:bottom w:val="none" w:sz="0" w:space="0" w:color="auto"/>
        <w:right w:val="none" w:sz="0" w:space="0" w:color="auto"/>
      </w:divBdr>
    </w:div>
    <w:div w:id="1747996732">
      <w:bodyDiv w:val="1"/>
      <w:marLeft w:val="0"/>
      <w:marRight w:val="0"/>
      <w:marTop w:val="0"/>
      <w:marBottom w:val="0"/>
      <w:divBdr>
        <w:top w:val="none" w:sz="0" w:space="0" w:color="auto"/>
        <w:left w:val="none" w:sz="0" w:space="0" w:color="auto"/>
        <w:bottom w:val="none" w:sz="0" w:space="0" w:color="auto"/>
        <w:right w:val="none" w:sz="0" w:space="0" w:color="auto"/>
      </w:divBdr>
    </w:div>
    <w:div w:id="1748041782">
      <w:bodyDiv w:val="1"/>
      <w:marLeft w:val="0"/>
      <w:marRight w:val="0"/>
      <w:marTop w:val="0"/>
      <w:marBottom w:val="0"/>
      <w:divBdr>
        <w:top w:val="none" w:sz="0" w:space="0" w:color="auto"/>
        <w:left w:val="none" w:sz="0" w:space="0" w:color="auto"/>
        <w:bottom w:val="none" w:sz="0" w:space="0" w:color="auto"/>
        <w:right w:val="none" w:sz="0" w:space="0" w:color="auto"/>
      </w:divBdr>
    </w:div>
    <w:div w:id="1748067624">
      <w:bodyDiv w:val="1"/>
      <w:marLeft w:val="0"/>
      <w:marRight w:val="0"/>
      <w:marTop w:val="0"/>
      <w:marBottom w:val="0"/>
      <w:divBdr>
        <w:top w:val="none" w:sz="0" w:space="0" w:color="auto"/>
        <w:left w:val="none" w:sz="0" w:space="0" w:color="auto"/>
        <w:bottom w:val="none" w:sz="0" w:space="0" w:color="auto"/>
        <w:right w:val="none" w:sz="0" w:space="0" w:color="auto"/>
      </w:divBdr>
    </w:div>
    <w:div w:id="1748265188">
      <w:bodyDiv w:val="1"/>
      <w:marLeft w:val="0"/>
      <w:marRight w:val="0"/>
      <w:marTop w:val="0"/>
      <w:marBottom w:val="0"/>
      <w:divBdr>
        <w:top w:val="none" w:sz="0" w:space="0" w:color="auto"/>
        <w:left w:val="none" w:sz="0" w:space="0" w:color="auto"/>
        <w:bottom w:val="none" w:sz="0" w:space="0" w:color="auto"/>
        <w:right w:val="none" w:sz="0" w:space="0" w:color="auto"/>
      </w:divBdr>
    </w:div>
    <w:div w:id="1748335796">
      <w:bodyDiv w:val="1"/>
      <w:marLeft w:val="0"/>
      <w:marRight w:val="0"/>
      <w:marTop w:val="0"/>
      <w:marBottom w:val="0"/>
      <w:divBdr>
        <w:top w:val="none" w:sz="0" w:space="0" w:color="auto"/>
        <w:left w:val="none" w:sz="0" w:space="0" w:color="auto"/>
        <w:bottom w:val="none" w:sz="0" w:space="0" w:color="auto"/>
        <w:right w:val="none" w:sz="0" w:space="0" w:color="auto"/>
      </w:divBdr>
    </w:div>
    <w:div w:id="1748376978">
      <w:bodyDiv w:val="1"/>
      <w:marLeft w:val="0"/>
      <w:marRight w:val="0"/>
      <w:marTop w:val="0"/>
      <w:marBottom w:val="0"/>
      <w:divBdr>
        <w:top w:val="none" w:sz="0" w:space="0" w:color="auto"/>
        <w:left w:val="none" w:sz="0" w:space="0" w:color="auto"/>
        <w:bottom w:val="none" w:sz="0" w:space="0" w:color="auto"/>
        <w:right w:val="none" w:sz="0" w:space="0" w:color="auto"/>
      </w:divBdr>
    </w:div>
    <w:div w:id="1748380178">
      <w:bodyDiv w:val="1"/>
      <w:marLeft w:val="0"/>
      <w:marRight w:val="0"/>
      <w:marTop w:val="0"/>
      <w:marBottom w:val="0"/>
      <w:divBdr>
        <w:top w:val="none" w:sz="0" w:space="0" w:color="auto"/>
        <w:left w:val="none" w:sz="0" w:space="0" w:color="auto"/>
        <w:bottom w:val="none" w:sz="0" w:space="0" w:color="auto"/>
        <w:right w:val="none" w:sz="0" w:space="0" w:color="auto"/>
      </w:divBdr>
    </w:div>
    <w:div w:id="1748648383">
      <w:bodyDiv w:val="1"/>
      <w:marLeft w:val="0"/>
      <w:marRight w:val="0"/>
      <w:marTop w:val="0"/>
      <w:marBottom w:val="0"/>
      <w:divBdr>
        <w:top w:val="none" w:sz="0" w:space="0" w:color="auto"/>
        <w:left w:val="none" w:sz="0" w:space="0" w:color="auto"/>
        <w:bottom w:val="none" w:sz="0" w:space="0" w:color="auto"/>
        <w:right w:val="none" w:sz="0" w:space="0" w:color="auto"/>
      </w:divBdr>
    </w:div>
    <w:div w:id="1748918714">
      <w:bodyDiv w:val="1"/>
      <w:marLeft w:val="0"/>
      <w:marRight w:val="0"/>
      <w:marTop w:val="0"/>
      <w:marBottom w:val="0"/>
      <w:divBdr>
        <w:top w:val="none" w:sz="0" w:space="0" w:color="auto"/>
        <w:left w:val="none" w:sz="0" w:space="0" w:color="auto"/>
        <w:bottom w:val="none" w:sz="0" w:space="0" w:color="auto"/>
        <w:right w:val="none" w:sz="0" w:space="0" w:color="auto"/>
      </w:divBdr>
    </w:div>
    <w:div w:id="1748990545">
      <w:bodyDiv w:val="1"/>
      <w:marLeft w:val="0"/>
      <w:marRight w:val="0"/>
      <w:marTop w:val="0"/>
      <w:marBottom w:val="0"/>
      <w:divBdr>
        <w:top w:val="none" w:sz="0" w:space="0" w:color="auto"/>
        <w:left w:val="none" w:sz="0" w:space="0" w:color="auto"/>
        <w:bottom w:val="none" w:sz="0" w:space="0" w:color="auto"/>
        <w:right w:val="none" w:sz="0" w:space="0" w:color="auto"/>
      </w:divBdr>
    </w:div>
    <w:div w:id="1749034218">
      <w:bodyDiv w:val="1"/>
      <w:marLeft w:val="0"/>
      <w:marRight w:val="0"/>
      <w:marTop w:val="0"/>
      <w:marBottom w:val="0"/>
      <w:divBdr>
        <w:top w:val="none" w:sz="0" w:space="0" w:color="auto"/>
        <w:left w:val="none" w:sz="0" w:space="0" w:color="auto"/>
        <w:bottom w:val="none" w:sz="0" w:space="0" w:color="auto"/>
        <w:right w:val="none" w:sz="0" w:space="0" w:color="auto"/>
      </w:divBdr>
    </w:div>
    <w:div w:id="1749231955">
      <w:bodyDiv w:val="1"/>
      <w:marLeft w:val="0"/>
      <w:marRight w:val="0"/>
      <w:marTop w:val="0"/>
      <w:marBottom w:val="0"/>
      <w:divBdr>
        <w:top w:val="none" w:sz="0" w:space="0" w:color="auto"/>
        <w:left w:val="none" w:sz="0" w:space="0" w:color="auto"/>
        <w:bottom w:val="none" w:sz="0" w:space="0" w:color="auto"/>
        <w:right w:val="none" w:sz="0" w:space="0" w:color="auto"/>
      </w:divBdr>
    </w:div>
    <w:div w:id="1749309079">
      <w:bodyDiv w:val="1"/>
      <w:marLeft w:val="0"/>
      <w:marRight w:val="0"/>
      <w:marTop w:val="0"/>
      <w:marBottom w:val="0"/>
      <w:divBdr>
        <w:top w:val="none" w:sz="0" w:space="0" w:color="auto"/>
        <w:left w:val="none" w:sz="0" w:space="0" w:color="auto"/>
        <w:bottom w:val="none" w:sz="0" w:space="0" w:color="auto"/>
        <w:right w:val="none" w:sz="0" w:space="0" w:color="auto"/>
      </w:divBdr>
    </w:div>
    <w:div w:id="1749375906">
      <w:bodyDiv w:val="1"/>
      <w:marLeft w:val="0"/>
      <w:marRight w:val="0"/>
      <w:marTop w:val="0"/>
      <w:marBottom w:val="0"/>
      <w:divBdr>
        <w:top w:val="none" w:sz="0" w:space="0" w:color="auto"/>
        <w:left w:val="none" w:sz="0" w:space="0" w:color="auto"/>
        <w:bottom w:val="none" w:sz="0" w:space="0" w:color="auto"/>
        <w:right w:val="none" w:sz="0" w:space="0" w:color="auto"/>
      </w:divBdr>
    </w:div>
    <w:div w:id="1749376392">
      <w:bodyDiv w:val="1"/>
      <w:marLeft w:val="0"/>
      <w:marRight w:val="0"/>
      <w:marTop w:val="0"/>
      <w:marBottom w:val="0"/>
      <w:divBdr>
        <w:top w:val="none" w:sz="0" w:space="0" w:color="auto"/>
        <w:left w:val="none" w:sz="0" w:space="0" w:color="auto"/>
        <w:bottom w:val="none" w:sz="0" w:space="0" w:color="auto"/>
        <w:right w:val="none" w:sz="0" w:space="0" w:color="auto"/>
      </w:divBdr>
    </w:div>
    <w:div w:id="1749383773">
      <w:bodyDiv w:val="1"/>
      <w:marLeft w:val="0"/>
      <w:marRight w:val="0"/>
      <w:marTop w:val="0"/>
      <w:marBottom w:val="0"/>
      <w:divBdr>
        <w:top w:val="none" w:sz="0" w:space="0" w:color="auto"/>
        <w:left w:val="none" w:sz="0" w:space="0" w:color="auto"/>
        <w:bottom w:val="none" w:sz="0" w:space="0" w:color="auto"/>
        <w:right w:val="none" w:sz="0" w:space="0" w:color="auto"/>
      </w:divBdr>
    </w:div>
    <w:div w:id="1749418897">
      <w:bodyDiv w:val="1"/>
      <w:marLeft w:val="0"/>
      <w:marRight w:val="0"/>
      <w:marTop w:val="0"/>
      <w:marBottom w:val="0"/>
      <w:divBdr>
        <w:top w:val="none" w:sz="0" w:space="0" w:color="auto"/>
        <w:left w:val="none" w:sz="0" w:space="0" w:color="auto"/>
        <w:bottom w:val="none" w:sz="0" w:space="0" w:color="auto"/>
        <w:right w:val="none" w:sz="0" w:space="0" w:color="auto"/>
      </w:divBdr>
    </w:div>
    <w:div w:id="1749571766">
      <w:bodyDiv w:val="1"/>
      <w:marLeft w:val="0"/>
      <w:marRight w:val="0"/>
      <w:marTop w:val="0"/>
      <w:marBottom w:val="0"/>
      <w:divBdr>
        <w:top w:val="none" w:sz="0" w:space="0" w:color="auto"/>
        <w:left w:val="none" w:sz="0" w:space="0" w:color="auto"/>
        <w:bottom w:val="none" w:sz="0" w:space="0" w:color="auto"/>
        <w:right w:val="none" w:sz="0" w:space="0" w:color="auto"/>
      </w:divBdr>
    </w:div>
    <w:div w:id="1749574058">
      <w:bodyDiv w:val="1"/>
      <w:marLeft w:val="0"/>
      <w:marRight w:val="0"/>
      <w:marTop w:val="0"/>
      <w:marBottom w:val="0"/>
      <w:divBdr>
        <w:top w:val="none" w:sz="0" w:space="0" w:color="auto"/>
        <w:left w:val="none" w:sz="0" w:space="0" w:color="auto"/>
        <w:bottom w:val="none" w:sz="0" w:space="0" w:color="auto"/>
        <w:right w:val="none" w:sz="0" w:space="0" w:color="auto"/>
      </w:divBdr>
    </w:div>
    <w:div w:id="1749577270">
      <w:bodyDiv w:val="1"/>
      <w:marLeft w:val="0"/>
      <w:marRight w:val="0"/>
      <w:marTop w:val="0"/>
      <w:marBottom w:val="0"/>
      <w:divBdr>
        <w:top w:val="none" w:sz="0" w:space="0" w:color="auto"/>
        <w:left w:val="none" w:sz="0" w:space="0" w:color="auto"/>
        <w:bottom w:val="none" w:sz="0" w:space="0" w:color="auto"/>
        <w:right w:val="none" w:sz="0" w:space="0" w:color="auto"/>
      </w:divBdr>
    </w:div>
    <w:div w:id="1749578258">
      <w:bodyDiv w:val="1"/>
      <w:marLeft w:val="0"/>
      <w:marRight w:val="0"/>
      <w:marTop w:val="0"/>
      <w:marBottom w:val="0"/>
      <w:divBdr>
        <w:top w:val="none" w:sz="0" w:space="0" w:color="auto"/>
        <w:left w:val="none" w:sz="0" w:space="0" w:color="auto"/>
        <w:bottom w:val="none" w:sz="0" w:space="0" w:color="auto"/>
        <w:right w:val="none" w:sz="0" w:space="0" w:color="auto"/>
      </w:divBdr>
    </w:div>
    <w:div w:id="1749644017">
      <w:bodyDiv w:val="1"/>
      <w:marLeft w:val="0"/>
      <w:marRight w:val="0"/>
      <w:marTop w:val="0"/>
      <w:marBottom w:val="0"/>
      <w:divBdr>
        <w:top w:val="none" w:sz="0" w:space="0" w:color="auto"/>
        <w:left w:val="none" w:sz="0" w:space="0" w:color="auto"/>
        <w:bottom w:val="none" w:sz="0" w:space="0" w:color="auto"/>
        <w:right w:val="none" w:sz="0" w:space="0" w:color="auto"/>
      </w:divBdr>
    </w:div>
    <w:div w:id="1749690325">
      <w:bodyDiv w:val="1"/>
      <w:marLeft w:val="0"/>
      <w:marRight w:val="0"/>
      <w:marTop w:val="0"/>
      <w:marBottom w:val="0"/>
      <w:divBdr>
        <w:top w:val="none" w:sz="0" w:space="0" w:color="auto"/>
        <w:left w:val="none" w:sz="0" w:space="0" w:color="auto"/>
        <w:bottom w:val="none" w:sz="0" w:space="0" w:color="auto"/>
        <w:right w:val="none" w:sz="0" w:space="0" w:color="auto"/>
      </w:divBdr>
    </w:div>
    <w:div w:id="1749690871">
      <w:bodyDiv w:val="1"/>
      <w:marLeft w:val="0"/>
      <w:marRight w:val="0"/>
      <w:marTop w:val="0"/>
      <w:marBottom w:val="0"/>
      <w:divBdr>
        <w:top w:val="none" w:sz="0" w:space="0" w:color="auto"/>
        <w:left w:val="none" w:sz="0" w:space="0" w:color="auto"/>
        <w:bottom w:val="none" w:sz="0" w:space="0" w:color="auto"/>
        <w:right w:val="none" w:sz="0" w:space="0" w:color="auto"/>
      </w:divBdr>
    </w:div>
    <w:div w:id="1749762227">
      <w:bodyDiv w:val="1"/>
      <w:marLeft w:val="0"/>
      <w:marRight w:val="0"/>
      <w:marTop w:val="0"/>
      <w:marBottom w:val="0"/>
      <w:divBdr>
        <w:top w:val="none" w:sz="0" w:space="0" w:color="auto"/>
        <w:left w:val="none" w:sz="0" w:space="0" w:color="auto"/>
        <w:bottom w:val="none" w:sz="0" w:space="0" w:color="auto"/>
        <w:right w:val="none" w:sz="0" w:space="0" w:color="auto"/>
      </w:divBdr>
    </w:div>
    <w:div w:id="1749838464">
      <w:bodyDiv w:val="1"/>
      <w:marLeft w:val="0"/>
      <w:marRight w:val="0"/>
      <w:marTop w:val="0"/>
      <w:marBottom w:val="0"/>
      <w:divBdr>
        <w:top w:val="none" w:sz="0" w:space="0" w:color="auto"/>
        <w:left w:val="none" w:sz="0" w:space="0" w:color="auto"/>
        <w:bottom w:val="none" w:sz="0" w:space="0" w:color="auto"/>
        <w:right w:val="none" w:sz="0" w:space="0" w:color="auto"/>
      </w:divBdr>
    </w:div>
    <w:div w:id="1750078854">
      <w:bodyDiv w:val="1"/>
      <w:marLeft w:val="0"/>
      <w:marRight w:val="0"/>
      <w:marTop w:val="0"/>
      <w:marBottom w:val="0"/>
      <w:divBdr>
        <w:top w:val="none" w:sz="0" w:space="0" w:color="auto"/>
        <w:left w:val="none" w:sz="0" w:space="0" w:color="auto"/>
        <w:bottom w:val="none" w:sz="0" w:space="0" w:color="auto"/>
        <w:right w:val="none" w:sz="0" w:space="0" w:color="auto"/>
      </w:divBdr>
    </w:div>
    <w:div w:id="1750079137">
      <w:bodyDiv w:val="1"/>
      <w:marLeft w:val="0"/>
      <w:marRight w:val="0"/>
      <w:marTop w:val="0"/>
      <w:marBottom w:val="0"/>
      <w:divBdr>
        <w:top w:val="none" w:sz="0" w:space="0" w:color="auto"/>
        <w:left w:val="none" w:sz="0" w:space="0" w:color="auto"/>
        <w:bottom w:val="none" w:sz="0" w:space="0" w:color="auto"/>
        <w:right w:val="none" w:sz="0" w:space="0" w:color="auto"/>
      </w:divBdr>
    </w:div>
    <w:div w:id="1750227884">
      <w:bodyDiv w:val="1"/>
      <w:marLeft w:val="0"/>
      <w:marRight w:val="0"/>
      <w:marTop w:val="0"/>
      <w:marBottom w:val="0"/>
      <w:divBdr>
        <w:top w:val="none" w:sz="0" w:space="0" w:color="auto"/>
        <w:left w:val="none" w:sz="0" w:space="0" w:color="auto"/>
        <w:bottom w:val="none" w:sz="0" w:space="0" w:color="auto"/>
        <w:right w:val="none" w:sz="0" w:space="0" w:color="auto"/>
      </w:divBdr>
    </w:div>
    <w:div w:id="1750275510">
      <w:bodyDiv w:val="1"/>
      <w:marLeft w:val="0"/>
      <w:marRight w:val="0"/>
      <w:marTop w:val="0"/>
      <w:marBottom w:val="0"/>
      <w:divBdr>
        <w:top w:val="none" w:sz="0" w:space="0" w:color="auto"/>
        <w:left w:val="none" w:sz="0" w:space="0" w:color="auto"/>
        <w:bottom w:val="none" w:sz="0" w:space="0" w:color="auto"/>
        <w:right w:val="none" w:sz="0" w:space="0" w:color="auto"/>
      </w:divBdr>
    </w:div>
    <w:div w:id="1750419732">
      <w:bodyDiv w:val="1"/>
      <w:marLeft w:val="0"/>
      <w:marRight w:val="0"/>
      <w:marTop w:val="0"/>
      <w:marBottom w:val="0"/>
      <w:divBdr>
        <w:top w:val="none" w:sz="0" w:space="0" w:color="auto"/>
        <w:left w:val="none" w:sz="0" w:space="0" w:color="auto"/>
        <w:bottom w:val="none" w:sz="0" w:space="0" w:color="auto"/>
        <w:right w:val="none" w:sz="0" w:space="0" w:color="auto"/>
      </w:divBdr>
    </w:div>
    <w:div w:id="1750732912">
      <w:bodyDiv w:val="1"/>
      <w:marLeft w:val="0"/>
      <w:marRight w:val="0"/>
      <w:marTop w:val="0"/>
      <w:marBottom w:val="0"/>
      <w:divBdr>
        <w:top w:val="none" w:sz="0" w:space="0" w:color="auto"/>
        <w:left w:val="none" w:sz="0" w:space="0" w:color="auto"/>
        <w:bottom w:val="none" w:sz="0" w:space="0" w:color="auto"/>
        <w:right w:val="none" w:sz="0" w:space="0" w:color="auto"/>
      </w:divBdr>
    </w:div>
    <w:div w:id="1750736770">
      <w:bodyDiv w:val="1"/>
      <w:marLeft w:val="0"/>
      <w:marRight w:val="0"/>
      <w:marTop w:val="0"/>
      <w:marBottom w:val="0"/>
      <w:divBdr>
        <w:top w:val="none" w:sz="0" w:space="0" w:color="auto"/>
        <w:left w:val="none" w:sz="0" w:space="0" w:color="auto"/>
        <w:bottom w:val="none" w:sz="0" w:space="0" w:color="auto"/>
        <w:right w:val="none" w:sz="0" w:space="0" w:color="auto"/>
      </w:divBdr>
    </w:div>
    <w:div w:id="1750804294">
      <w:bodyDiv w:val="1"/>
      <w:marLeft w:val="0"/>
      <w:marRight w:val="0"/>
      <w:marTop w:val="0"/>
      <w:marBottom w:val="0"/>
      <w:divBdr>
        <w:top w:val="none" w:sz="0" w:space="0" w:color="auto"/>
        <w:left w:val="none" w:sz="0" w:space="0" w:color="auto"/>
        <w:bottom w:val="none" w:sz="0" w:space="0" w:color="auto"/>
        <w:right w:val="none" w:sz="0" w:space="0" w:color="auto"/>
      </w:divBdr>
    </w:div>
    <w:div w:id="1750879441">
      <w:bodyDiv w:val="1"/>
      <w:marLeft w:val="0"/>
      <w:marRight w:val="0"/>
      <w:marTop w:val="0"/>
      <w:marBottom w:val="0"/>
      <w:divBdr>
        <w:top w:val="none" w:sz="0" w:space="0" w:color="auto"/>
        <w:left w:val="none" w:sz="0" w:space="0" w:color="auto"/>
        <w:bottom w:val="none" w:sz="0" w:space="0" w:color="auto"/>
        <w:right w:val="none" w:sz="0" w:space="0" w:color="auto"/>
      </w:divBdr>
    </w:div>
    <w:div w:id="1750925723">
      <w:bodyDiv w:val="1"/>
      <w:marLeft w:val="0"/>
      <w:marRight w:val="0"/>
      <w:marTop w:val="0"/>
      <w:marBottom w:val="0"/>
      <w:divBdr>
        <w:top w:val="none" w:sz="0" w:space="0" w:color="auto"/>
        <w:left w:val="none" w:sz="0" w:space="0" w:color="auto"/>
        <w:bottom w:val="none" w:sz="0" w:space="0" w:color="auto"/>
        <w:right w:val="none" w:sz="0" w:space="0" w:color="auto"/>
      </w:divBdr>
    </w:div>
    <w:div w:id="1750998120">
      <w:bodyDiv w:val="1"/>
      <w:marLeft w:val="0"/>
      <w:marRight w:val="0"/>
      <w:marTop w:val="0"/>
      <w:marBottom w:val="0"/>
      <w:divBdr>
        <w:top w:val="none" w:sz="0" w:space="0" w:color="auto"/>
        <w:left w:val="none" w:sz="0" w:space="0" w:color="auto"/>
        <w:bottom w:val="none" w:sz="0" w:space="0" w:color="auto"/>
        <w:right w:val="none" w:sz="0" w:space="0" w:color="auto"/>
      </w:divBdr>
    </w:div>
    <w:div w:id="1751193165">
      <w:bodyDiv w:val="1"/>
      <w:marLeft w:val="0"/>
      <w:marRight w:val="0"/>
      <w:marTop w:val="0"/>
      <w:marBottom w:val="0"/>
      <w:divBdr>
        <w:top w:val="none" w:sz="0" w:space="0" w:color="auto"/>
        <w:left w:val="none" w:sz="0" w:space="0" w:color="auto"/>
        <w:bottom w:val="none" w:sz="0" w:space="0" w:color="auto"/>
        <w:right w:val="none" w:sz="0" w:space="0" w:color="auto"/>
      </w:divBdr>
    </w:div>
    <w:div w:id="1751271579">
      <w:bodyDiv w:val="1"/>
      <w:marLeft w:val="0"/>
      <w:marRight w:val="0"/>
      <w:marTop w:val="0"/>
      <w:marBottom w:val="0"/>
      <w:divBdr>
        <w:top w:val="none" w:sz="0" w:space="0" w:color="auto"/>
        <w:left w:val="none" w:sz="0" w:space="0" w:color="auto"/>
        <w:bottom w:val="none" w:sz="0" w:space="0" w:color="auto"/>
        <w:right w:val="none" w:sz="0" w:space="0" w:color="auto"/>
      </w:divBdr>
    </w:div>
    <w:div w:id="1751345269">
      <w:bodyDiv w:val="1"/>
      <w:marLeft w:val="0"/>
      <w:marRight w:val="0"/>
      <w:marTop w:val="0"/>
      <w:marBottom w:val="0"/>
      <w:divBdr>
        <w:top w:val="none" w:sz="0" w:space="0" w:color="auto"/>
        <w:left w:val="none" w:sz="0" w:space="0" w:color="auto"/>
        <w:bottom w:val="none" w:sz="0" w:space="0" w:color="auto"/>
        <w:right w:val="none" w:sz="0" w:space="0" w:color="auto"/>
      </w:divBdr>
    </w:div>
    <w:div w:id="1751464254">
      <w:bodyDiv w:val="1"/>
      <w:marLeft w:val="0"/>
      <w:marRight w:val="0"/>
      <w:marTop w:val="0"/>
      <w:marBottom w:val="0"/>
      <w:divBdr>
        <w:top w:val="none" w:sz="0" w:space="0" w:color="auto"/>
        <w:left w:val="none" w:sz="0" w:space="0" w:color="auto"/>
        <w:bottom w:val="none" w:sz="0" w:space="0" w:color="auto"/>
        <w:right w:val="none" w:sz="0" w:space="0" w:color="auto"/>
      </w:divBdr>
    </w:div>
    <w:div w:id="1751542385">
      <w:bodyDiv w:val="1"/>
      <w:marLeft w:val="0"/>
      <w:marRight w:val="0"/>
      <w:marTop w:val="0"/>
      <w:marBottom w:val="0"/>
      <w:divBdr>
        <w:top w:val="none" w:sz="0" w:space="0" w:color="auto"/>
        <w:left w:val="none" w:sz="0" w:space="0" w:color="auto"/>
        <w:bottom w:val="none" w:sz="0" w:space="0" w:color="auto"/>
        <w:right w:val="none" w:sz="0" w:space="0" w:color="auto"/>
      </w:divBdr>
    </w:div>
    <w:div w:id="1751585456">
      <w:bodyDiv w:val="1"/>
      <w:marLeft w:val="0"/>
      <w:marRight w:val="0"/>
      <w:marTop w:val="0"/>
      <w:marBottom w:val="0"/>
      <w:divBdr>
        <w:top w:val="none" w:sz="0" w:space="0" w:color="auto"/>
        <w:left w:val="none" w:sz="0" w:space="0" w:color="auto"/>
        <w:bottom w:val="none" w:sz="0" w:space="0" w:color="auto"/>
        <w:right w:val="none" w:sz="0" w:space="0" w:color="auto"/>
      </w:divBdr>
    </w:div>
    <w:div w:id="1751653837">
      <w:bodyDiv w:val="1"/>
      <w:marLeft w:val="0"/>
      <w:marRight w:val="0"/>
      <w:marTop w:val="0"/>
      <w:marBottom w:val="0"/>
      <w:divBdr>
        <w:top w:val="none" w:sz="0" w:space="0" w:color="auto"/>
        <w:left w:val="none" w:sz="0" w:space="0" w:color="auto"/>
        <w:bottom w:val="none" w:sz="0" w:space="0" w:color="auto"/>
        <w:right w:val="none" w:sz="0" w:space="0" w:color="auto"/>
      </w:divBdr>
    </w:div>
    <w:div w:id="1751654604">
      <w:bodyDiv w:val="1"/>
      <w:marLeft w:val="0"/>
      <w:marRight w:val="0"/>
      <w:marTop w:val="0"/>
      <w:marBottom w:val="0"/>
      <w:divBdr>
        <w:top w:val="none" w:sz="0" w:space="0" w:color="auto"/>
        <w:left w:val="none" w:sz="0" w:space="0" w:color="auto"/>
        <w:bottom w:val="none" w:sz="0" w:space="0" w:color="auto"/>
        <w:right w:val="none" w:sz="0" w:space="0" w:color="auto"/>
      </w:divBdr>
    </w:div>
    <w:div w:id="1751729691">
      <w:bodyDiv w:val="1"/>
      <w:marLeft w:val="0"/>
      <w:marRight w:val="0"/>
      <w:marTop w:val="0"/>
      <w:marBottom w:val="0"/>
      <w:divBdr>
        <w:top w:val="none" w:sz="0" w:space="0" w:color="auto"/>
        <w:left w:val="none" w:sz="0" w:space="0" w:color="auto"/>
        <w:bottom w:val="none" w:sz="0" w:space="0" w:color="auto"/>
        <w:right w:val="none" w:sz="0" w:space="0" w:color="auto"/>
      </w:divBdr>
    </w:div>
    <w:div w:id="1751804298">
      <w:bodyDiv w:val="1"/>
      <w:marLeft w:val="0"/>
      <w:marRight w:val="0"/>
      <w:marTop w:val="0"/>
      <w:marBottom w:val="0"/>
      <w:divBdr>
        <w:top w:val="none" w:sz="0" w:space="0" w:color="auto"/>
        <w:left w:val="none" w:sz="0" w:space="0" w:color="auto"/>
        <w:bottom w:val="none" w:sz="0" w:space="0" w:color="auto"/>
        <w:right w:val="none" w:sz="0" w:space="0" w:color="auto"/>
      </w:divBdr>
    </w:div>
    <w:div w:id="1751925452">
      <w:bodyDiv w:val="1"/>
      <w:marLeft w:val="0"/>
      <w:marRight w:val="0"/>
      <w:marTop w:val="0"/>
      <w:marBottom w:val="0"/>
      <w:divBdr>
        <w:top w:val="none" w:sz="0" w:space="0" w:color="auto"/>
        <w:left w:val="none" w:sz="0" w:space="0" w:color="auto"/>
        <w:bottom w:val="none" w:sz="0" w:space="0" w:color="auto"/>
        <w:right w:val="none" w:sz="0" w:space="0" w:color="auto"/>
      </w:divBdr>
    </w:div>
    <w:div w:id="1752006155">
      <w:bodyDiv w:val="1"/>
      <w:marLeft w:val="0"/>
      <w:marRight w:val="0"/>
      <w:marTop w:val="0"/>
      <w:marBottom w:val="0"/>
      <w:divBdr>
        <w:top w:val="none" w:sz="0" w:space="0" w:color="auto"/>
        <w:left w:val="none" w:sz="0" w:space="0" w:color="auto"/>
        <w:bottom w:val="none" w:sz="0" w:space="0" w:color="auto"/>
        <w:right w:val="none" w:sz="0" w:space="0" w:color="auto"/>
      </w:divBdr>
    </w:div>
    <w:div w:id="1752042786">
      <w:bodyDiv w:val="1"/>
      <w:marLeft w:val="0"/>
      <w:marRight w:val="0"/>
      <w:marTop w:val="0"/>
      <w:marBottom w:val="0"/>
      <w:divBdr>
        <w:top w:val="none" w:sz="0" w:space="0" w:color="auto"/>
        <w:left w:val="none" w:sz="0" w:space="0" w:color="auto"/>
        <w:bottom w:val="none" w:sz="0" w:space="0" w:color="auto"/>
        <w:right w:val="none" w:sz="0" w:space="0" w:color="auto"/>
      </w:divBdr>
    </w:div>
    <w:div w:id="1752115490">
      <w:bodyDiv w:val="1"/>
      <w:marLeft w:val="0"/>
      <w:marRight w:val="0"/>
      <w:marTop w:val="0"/>
      <w:marBottom w:val="0"/>
      <w:divBdr>
        <w:top w:val="none" w:sz="0" w:space="0" w:color="auto"/>
        <w:left w:val="none" w:sz="0" w:space="0" w:color="auto"/>
        <w:bottom w:val="none" w:sz="0" w:space="0" w:color="auto"/>
        <w:right w:val="none" w:sz="0" w:space="0" w:color="auto"/>
      </w:divBdr>
    </w:div>
    <w:div w:id="1752121881">
      <w:bodyDiv w:val="1"/>
      <w:marLeft w:val="0"/>
      <w:marRight w:val="0"/>
      <w:marTop w:val="0"/>
      <w:marBottom w:val="0"/>
      <w:divBdr>
        <w:top w:val="none" w:sz="0" w:space="0" w:color="auto"/>
        <w:left w:val="none" w:sz="0" w:space="0" w:color="auto"/>
        <w:bottom w:val="none" w:sz="0" w:space="0" w:color="auto"/>
        <w:right w:val="none" w:sz="0" w:space="0" w:color="auto"/>
      </w:divBdr>
    </w:div>
    <w:div w:id="1752238020">
      <w:bodyDiv w:val="1"/>
      <w:marLeft w:val="0"/>
      <w:marRight w:val="0"/>
      <w:marTop w:val="0"/>
      <w:marBottom w:val="0"/>
      <w:divBdr>
        <w:top w:val="none" w:sz="0" w:space="0" w:color="auto"/>
        <w:left w:val="none" w:sz="0" w:space="0" w:color="auto"/>
        <w:bottom w:val="none" w:sz="0" w:space="0" w:color="auto"/>
        <w:right w:val="none" w:sz="0" w:space="0" w:color="auto"/>
      </w:divBdr>
    </w:div>
    <w:div w:id="1752310014">
      <w:bodyDiv w:val="1"/>
      <w:marLeft w:val="0"/>
      <w:marRight w:val="0"/>
      <w:marTop w:val="0"/>
      <w:marBottom w:val="0"/>
      <w:divBdr>
        <w:top w:val="none" w:sz="0" w:space="0" w:color="auto"/>
        <w:left w:val="none" w:sz="0" w:space="0" w:color="auto"/>
        <w:bottom w:val="none" w:sz="0" w:space="0" w:color="auto"/>
        <w:right w:val="none" w:sz="0" w:space="0" w:color="auto"/>
      </w:divBdr>
    </w:div>
    <w:div w:id="1752390890">
      <w:bodyDiv w:val="1"/>
      <w:marLeft w:val="0"/>
      <w:marRight w:val="0"/>
      <w:marTop w:val="0"/>
      <w:marBottom w:val="0"/>
      <w:divBdr>
        <w:top w:val="none" w:sz="0" w:space="0" w:color="auto"/>
        <w:left w:val="none" w:sz="0" w:space="0" w:color="auto"/>
        <w:bottom w:val="none" w:sz="0" w:space="0" w:color="auto"/>
        <w:right w:val="none" w:sz="0" w:space="0" w:color="auto"/>
      </w:divBdr>
    </w:div>
    <w:div w:id="1752580479">
      <w:bodyDiv w:val="1"/>
      <w:marLeft w:val="0"/>
      <w:marRight w:val="0"/>
      <w:marTop w:val="0"/>
      <w:marBottom w:val="0"/>
      <w:divBdr>
        <w:top w:val="none" w:sz="0" w:space="0" w:color="auto"/>
        <w:left w:val="none" w:sz="0" w:space="0" w:color="auto"/>
        <w:bottom w:val="none" w:sz="0" w:space="0" w:color="auto"/>
        <w:right w:val="none" w:sz="0" w:space="0" w:color="auto"/>
      </w:divBdr>
    </w:div>
    <w:div w:id="1752653061">
      <w:bodyDiv w:val="1"/>
      <w:marLeft w:val="0"/>
      <w:marRight w:val="0"/>
      <w:marTop w:val="0"/>
      <w:marBottom w:val="0"/>
      <w:divBdr>
        <w:top w:val="none" w:sz="0" w:space="0" w:color="auto"/>
        <w:left w:val="none" w:sz="0" w:space="0" w:color="auto"/>
        <w:bottom w:val="none" w:sz="0" w:space="0" w:color="auto"/>
        <w:right w:val="none" w:sz="0" w:space="0" w:color="auto"/>
      </w:divBdr>
    </w:div>
    <w:div w:id="1752701190">
      <w:bodyDiv w:val="1"/>
      <w:marLeft w:val="0"/>
      <w:marRight w:val="0"/>
      <w:marTop w:val="0"/>
      <w:marBottom w:val="0"/>
      <w:divBdr>
        <w:top w:val="none" w:sz="0" w:space="0" w:color="auto"/>
        <w:left w:val="none" w:sz="0" w:space="0" w:color="auto"/>
        <w:bottom w:val="none" w:sz="0" w:space="0" w:color="auto"/>
        <w:right w:val="none" w:sz="0" w:space="0" w:color="auto"/>
      </w:divBdr>
    </w:div>
    <w:div w:id="1752969286">
      <w:bodyDiv w:val="1"/>
      <w:marLeft w:val="0"/>
      <w:marRight w:val="0"/>
      <w:marTop w:val="0"/>
      <w:marBottom w:val="0"/>
      <w:divBdr>
        <w:top w:val="none" w:sz="0" w:space="0" w:color="auto"/>
        <w:left w:val="none" w:sz="0" w:space="0" w:color="auto"/>
        <w:bottom w:val="none" w:sz="0" w:space="0" w:color="auto"/>
        <w:right w:val="none" w:sz="0" w:space="0" w:color="auto"/>
      </w:divBdr>
    </w:div>
    <w:div w:id="1753046863">
      <w:bodyDiv w:val="1"/>
      <w:marLeft w:val="0"/>
      <w:marRight w:val="0"/>
      <w:marTop w:val="0"/>
      <w:marBottom w:val="0"/>
      <w:divBdr>
        <w:top w:val="none" w:sz="0" w:space="0" w:color="auto"/>
        <w:left w:val="none" w:sz="0" w:space="0" w:color="auto"/>
        <w:bottom w:val="none" w:sz="0" w:space="0" w:color="auto"/>
        <w:right w:val="none" w:sz="0" w:space="0" w:color="auto"/>
      </w:divBdr>
    </w:div>
    <w:div w:id="1753088917">
      <w:bodyDiv w:val="1"/>
      <w:marLeft w:val="0"/>
      <w:marRight w:val="0"/>
      <w:marTop w:val="0"/>
      <w:marBottom w:val="0"/>
      <w:divBdr>
        <w:top w:val="none" w:sz="0" w:space="0" w:color="auto"/>
        <w:left w:val="none" w:sz="0" w:space="0" w:color="auto"/>
        <w:bottom w:val="none" w:sz="0" w:space="0" w:color="auto"/>
        <w:right w:val="none" w:sz="0" w:space="0" w:color="auto"/>
      </w:divBdr>
    </w:div>
    <w:div w:id="1753116601">
      <w:bodyDiv w:val="1"/>
      <w:marLeft w:val="0"/>
      <w:marRight w:val="0"/>
      <w:marTop w:val="0"/>
      <w:marBottom w:val="0"/>
      <w:divBdr>
        <w:top w:val="none" w:sz="0" w:space="0" w:color="auto"/>
        <w:left w:val="none" w:sz="0" w:space="0" w:color="auto"/>
        <w:bottom w:val="none" w:sz="0" w:space="0" w:color="auto"/>
        <w:right w:val="none" w:sz="0" w:space="0" w:color="auto"/>
      </w:divBdr>
    </w:div>
    <w:div w:id="1753120301">
      <w:bodyDiv w:val="1"/>
      <w:marLeft w:val="0"/>
      <w:marRight w:val="0"/>
      <w:marTop w:val="0"/>
      <w:marBottom w:val="0"/>
      <w:divBdr>
        <w:top w:val="none" w:sz="0" w:space="0" w:color="auto"/>
        <w:left w:val="none" w:sz="0" w:space="0" w:color="auto"/>
        <w:bottom w:val="none" w:sz="0" w:space="0" w:color="auto"/>
        <w:right w:val="none" w:sz="0" w:space="0" w:color="auto"/>
      </w:divBdr>
    </w:div>
    <w:div w:id="1753240425">
      <w:bodyDiv w:val="1"/>
      <w:marLeft w:val="0"/>
      <w:marRight w:val="0"/>
      <w:marTop w:val="0"/>
      <w:marBottom w:val="0"/>
      <w:divBdr>
        <w:top w:val="none" w:sz="0" w:space="0" w:color="auto"/>
        <w:left w:val="none" w:sz="0" w:space="0" w:color="auto"/>
        <w:bottom w:val="none" w:sz="0" w:space="0" w:color="auto"/>
        <w:right w:val="none" w:sz="0" w:space="0" w:color="auto"/>
      </w:divBdr>
    </w:div>
    <w:div w:id="1753312167">
      <w:bodyDiv w:val="1"/>
      <w:marLeft w:val="0"/>
      <w:marRight w:val="0"/>
      <w:marTop w:val="0"/>
      <w:marBottom w:val="0"/>
      <w:divBdr>
        <w:top w:val="none" w:sz="0" w:space="0" w:color="auto"/>
        <w:left w:val="none" w:sz="0" w:space="0" w:color="auto"/>
        <w:bottom w:val="none" w:sz="0" w:space="0" w:color="auto"/>
        <w:right w:val="none" w:sz="0" w:space="0" w:color="auto"/>
      </w:divBdr>
    </w:div>
    <w:div w:id="1753429053">
      <w:bodyDiv w:val="1"/>
      <w:marLeft w:val="0"/>
      <w:marRight w:val="0"/>
      <w:marTop w:val="0"/>
      <w:marBottom w:val="0"/>
      <w:divBdr>
        <w:top w:val="none" w:sz="0" w:space="0" w:color="auto"/>
        <w:left w:val="none" w:sz="0" w:space="0" w:color="auto"/>
        <w:bottom w:val="none" w:sz="0" w:space="0" w:color="auto"/>
        <w:right w:val="none" w:sz="0" w:space="0" w:color="auto"/>
      </w:divBdr>
    </w:div>
    <w:div w:id="1753619012">
      <w:bodyDiv w:val="1"/>
      <w:marLeft w:val="0"/>
      <w:marRight w:val="0"/>
      <w:marTop w:val="0"/>
      <w:marBottom w:val="0"/>
      <w:divBdr>
        <w:top w:val="none" w:sz="0" w:space="0" w:color="auto"/>
        <w:left w:val="none" w:sz="0" w:space="0" w:color="auto"/>
        <w:bottom w:val="none" w:sz="0" w:space="0" w:color="auto"/>
        <w:right w:val="none" w:sz="0" w:space="0" w:color="auto"/>
      </w:divBdr>
    </w:div>
    <w:div w:id="1753622920">
      <w:bodyDiv w:val="1"/>
      <w:marLeft w:val="0"/>
      <w:marRight w:val="0"/>
      <w:marTop w:val="0"/>
      <w:marBottom w:val="0"/>
      <w:divBdr>
        <w:top w:val="none" w:sz="0" w:space="0" w:color="auto"/>
        <w:left w:val="none" w:sz="0" w:space="0" w:color="auto"/>
        <w:bottom w:val="none" w:sz="0" w:space="0" w:color="auto"/>
        <w:right w:val="none" w:sz="0" w:space="0" w:color="auto"/>
      </w:divBdr>
    </w:div>
    <w:div w:id="1753624324">
      <w:bodyDiv w:val="1"/>
      <w:marLeft w:val="0"/>
      <w:marRight w:val="0"/>
      <w:marTop w:val="0"/>
      <w:marBottom w:val="0"/>
      <w:divBdr>
        <w:top w:val="none" w:sz="0" w:space="0" w:color="auto"/>
        <w:left w:val="none" w:sz="0" w:space="0" w:color="auto"/>
        <w:bottom w:val="none" w:sz="0" w:space="0" w:color="auto"/>
        <w:right w:val="none" w:sz="0" w:space="0" w:color="auto"/>
      </w:divBdr>
    </w:div>
    <w:div w:id="1753697953">
      <w:bodyDiv w:val="1"/>
      <w:marLeft w:val="0"/>
      <w:marRight w:val="0"/>
      <w:marTop w:val="0"/>
      <w:marBottom w:val="0"/>
      <w:divBdr>
        <w:top w:val="none" w:sz="0" w:space="0" w:color="auto"/>
        <w:left w:val="none" w:sz="0" w:space="0" w:color="auto"/>
        <w:bottom w:val="none" w:sz="0" w:space="0" w:color="auto"/>
        <w:right w:val="none" w:sz="0" w:space="0" w:color="auto"/>
      </w:divBdr>
    </w:div>
    <w:div w:id="1753775648">
      <w:bodyDiv w:val="1"/>
      <w:marLeft w:val="0"/>
      <w:marRight w:val="0"/>
      <w:marTop w:val="0"/>
      <w:marBottom w:val="0"/>
      <w:divBdr>
        <w:top w:val="none" w:sz="0" w:space="0" w:color="auto"/>
        <w:left w:val="none" w:sz="0" w:space="0" w:color="auto"/>
        <w:bottom w:val="none" w:sz="0" w:space="0" w:color="auto"/>
        <w:right w:val="none" w:sz="0" w:space="0" w:color="auto"/>
      </w:divBdr>
    </w:div>
    <w:div w:id="1753969054">
      <w:bodyDiv w:val="1"/>
      <w:marLeft w:val="0"/>
      <w:marRight w:val="0"/>
      <w:marTop w:val="0"/>
      <w:marBottom w:val="0"/>
      <w:divBdr>
        <w:top w:val="none" w:sz="0" w:space="0" w:color="auto"/>
        <w:left w:val="none" w:sz="0" w:space="0" w:color="auto"/>
        <w:bottom w:val="none" w:sz="0" w:space="0" w:color="auto"/>
        <w:right w:val="none" w:sz="0" w:space="0" w:color="auto"/>
      </w:divBdr>
    </w:div>
    <w:div w:id="1753971952">
      <w:bodyDiv w:val="1"/>
      <w:marLeft w:val="0"/>
      <w:marRight w:val="0"/>
      <w:marTop w:val="0"/>
      <w:marBottom w:val="0"/>
      <w:divBdr>
        <w:top w:val="none" w:sz="0" w:space="0" w:color="auto"/>
        <w:left w:val="none" w:sz="0" w:space="0" w:color="auto"/>
        <w:bottom w:val="none" w:sz="0" w:space="0" w:color="auto"/>
        <w:right w:val="none" w:sz="0" w:space="0" w:color="auto"/>
      </w:divBdr>
    </w:div>
    <w:div w:id="1754276474">
      <w:bodyDiv w:val="1"/>
      <w:marLeft w:val="0"/>
      <w:marRight w:val="0"/>
      <w:marTop w:val="0"/>
      <w:marBottom w:val="0"/>
      <w:divBdr>
        <w:top w:val="none" w:sz="0" w:space="0" w:color="auto"/>
        <w:left w:val="none" w:sz="0" w:space="0" w:color="auto"/>
        <w:bottom w:val="none" w:sz="0" w:space="0" w:color="auto"/>
        <w:right w:val="none" w:sz="0" w:space="0" w:color="auto"/>
      </w:divBdr>
    </w:div>
    <w:div w:id="1754467633">
      <w:bodyDiv w:val="1"/>
      <w:marLeft w:val="0"/>
      <w:marRight w:val="0"/>
      <w:marTop w:val="0"/>
      <w:marBottom w:val="0"/>
      <w:divBdr>
        <w:top w:val="none" w:sz="0" w:space="0" w:color="auto"/>
        <w:left w:val="none" w:sz="0" w:space="0" w:color="auto"/>
        <w:bottom w:val="none" w:sz="0" w:space="0" w:color="auto"/>
        <w:right w:val="none" w:sz="0" w:space="0" w:color="auto"/>
      </w:divBdr>
    </w:div>
    <w:div w:id="1754468691">
      <w:bodyDiv w:val="1"/>
      <w:marLeft w:val="0"/>
      <w:marRight w:val="0"/>
      <w:marTop w:val="0"/>
      <w:marBottom w:val="0"/>
      <w:divBdr>
        <w:top w:val="none" w:sz="0" w:space="0" w:color="auto"/>
        <w:left w:val="none" w:sz="0" w:space="0" w:color="auto"/>
        <w:bottom w:val="none" w:sz="0" w:space="0" w:color="auto"/>
        <w:right w:val="none" w:sz="0" w:space="0" w:color="auto"/>
      </w:divBdr>
    </w:div>
    <w:div w:id="1754620481">
      <w:bodyDiv w:val="1"/>
      <w:marLeft w:val="0"/>
      <w:marRight w:val="0"/>
      <w:marTop w:val="0"/>
      <w:marBottom w:val="0"/>
      <w:divBdr>
        <w:top w:val="none" w:sz="0" w:space="0" w:color="auto"/>
        <w:left w:val="none" w:sz="0" w:space="0" w:color="auto"/>
        <w:bottom w:val="none" w:sz="0" w:space="0" w:color="auto"/>
        <w:right w:val="none" w:sz="0" w:space="0" w:color="auto"/>
      </w:divBdr>
    </w:div>
    <w:div w:id="1754625832">
      <w:bodyDiv w:val="1"/>
      <w:marLeft w:val="0"/>
      <w:marRight w:val="0"/>
      <w:marTop w:val="0"/>
      <w:marBottom w:val="0"/>
      <w:divBdr>
        <w:top w:val="none" w:sz="0" w:space="0" w:color="auto"/>
        <w:left w:val="none" w:sz="0" w:space="0" w:color="auto"/>
        <w:bottom w:val="none" w:sz="0" w:space="0" w:color="auto"/>
        <w:right w:val="none" w:sz="0" w:space="0" w:color="auto"/>
      </w:divBdr>
    </w:div>
    <w:div w:id="1754667530">
      <w:bodyDiv w:val="1"/>
      <w:marLeft w:val="0"/>
      <w:marRight w:val="0"/>
      <w:marTop w:val="0"/>
      <w:marBottom w:val="0"/>
      <w:divBdr>
        <w:top w:val="none" w:sz="0" w:space="0" w:color="auto"/>
        <w:left w:val="none" w:sz="0" w:space="0" w:color="auto"/>
        <w:bottom w:val="none" w:sz="0" w:space="0" w:color="auto"/>
        <w:right w:val="none" w:sz="0" w:space="0" w:color="auto"/>
      </w:divBdr>
    </w:div>
    <w:div w:id="1754692963">
      <w:bodyDiv w:val="1"/>
      <w:marLeft w:val="0"/>
      <w:marRight w:val="0"/>
      <w:marTop w:val="0"/>
      <w:marBottom w:val="0"/>
      <w:divBdr>
        <w:top w:val="none" w:sz="0" w:space="0" w:color="auto"/>
        <w:left w:val="none" w:sz="0" w:space="0" w:color="auto"/>
        <w:bottom w:val="none" w:sz="0" w:space="0" w:color="auto"/>
        <w:right w:val="none" w:sz="0" w:space="0" w:color="auto"/>
      </w:divBdr>
    </w:div>
    <w:div w:id="1754858603">
      <w:bodyDiv w:val="1"/>
      <w:marLeft w:val="0"/>
      <w:marRight w:val="0"/>
      <w:marTop w:val="0"/>
      <w:marBottom w:val="0"/>
      <w:divBdr>
        <w:top w:val="none" w:sz="0" w:space="0" w:color="auto"/>
        <w:left w:val="none" w:sz="0" w:space="0" w:color="auto"/>
        <w:bottom w:val="none" w:sz="0" w:space="0" w:color="auto"/>
        <w:right w:val="none" w:sz="0" w:space="0" w:color="auto"/>
      </w:divBdr>
    </w:div>
    <w:div w:id="1755054280">
      <w:bodyDiv w:val="1"/>
      <w:marLeft w:val="0"/>
      <w:marRight w:val="0"/>
      <w:marTop w:val="0"/>
      <w:marBottom w:val="0"/>
      <w:divBdr>
        <w:top w:val="none" w:sz="0" w:space="0" w:color="auto"/>
        <w:left w:val="none" w:sz="0" w:space="0" w:color="auto"/>
        <w:bottom w:val="none" w:sz="0" w:space="0" w:color="auto"/>
        <w:right w:val="none" w:sz="0" w:space="0" w:color="auto"/>
      </w:divBdr>
    </w:div>
    <w:div w:id="1755055308">
      <w:bodyDiv w:val="1"/>
      <w:marLeft w:val="0"/>
      <w:marRight w:val="0"/>
      <w:marTop w:val="0"/>
      <w:marBottom w:val="0"/>
      <w:divBdr>
        <w:top w:val="none" w:sz="0" w:space="0" w:color="auto"/>
        <w:left w:val="none" w:sz="0" w:space="0" w:color="auto"/>
        <w:bottom w:val="none" w:sz="0" w:space="0" w:color="auto"/>
        <w:right w:val="none" w:sz="0" w:space="0" w:color="auto"/>
      </w:divBdr>
    </w:div>
    <w:div w:id="1755125851">
      <w:bodyDiv w:val="1"/>
      <w:marLeft w:val="0"/>
      <w:marRight w:val="0"/>
      <w:marTop w:val="0"/>
      <w:marBottom w:val="0"/>
      <w:divBdr>
        <w:top w:val="none" w:sz="0" w:space="0" w:color="auto"/>
        <w:left w:val="none" w:sz="0" w:space="0" w:color="auto"/>
        <w:bottom w:val="none" w:sz="0" w:space="0" w:color="auto"/>
        <w:right w:val="none" w:sz="0" w:space="0" w:color="auto"/>
      </w:divBdr>
    </w:div>
    <w:div w:id="1755280780">
      <w:bodyDiv w:val="1"/>
      <w:marLeft w:val="0"/>
      <w:marRight w:val="0"/>
      <w:marTop w:val="0"/>
      <w:marBottom w:val="0"/>
      <w:divBdr>
        <w:top w:val="none" w:sz="0" w:space="0" w:color="auto"/>
        <w:left w:val="none" w:sz="0" w:space="0" w:color="auto"/>
        <w:bottom w:val="none" w:sz="0" w:space="0" w:color="auto"/>
        <w:right w:val="none" w:sz="0" w:space="0" w:color="auto"/>
      </w:divBdr>
    </w:div>
    <w:div w:id="1755318115">
      <w:bodyDiv w:val="1"/>
      <w:marLeft w:val="0"/>
      <w:marRight w:val="0"/>
      <w:marTop w:val="0"/>
      <w:marBottom w:val="0"/>
      <w:divBdr>
        <w:top w:val="none" w:sz="0" w:space="0" w:color="auto"/>
        <w:left w:val="none" w:sz="0" w:space="0" w:color="auto"/>
        <w:bottom w:val="none" w:sz="0" w:space="0" w:color="auto"/>
        <w:right w:val="none" w:sz="0" w:space="0" w:color="auto"/>
      </w:divBdr>
    </w:div>
    <w:div w:id="1755321207">
      <w:bodyDiv w:val="1"/>
      <w:marLeft w:val="0"/>
      <w:marRight w:val="0"/>
      <w:marTop w:val="0"/>
      <w:marBottom w:val="0"/>
      <w:divBdr>
        <w:top w:val="none" w:sz="0" w:space="0" w:color="auto"/>
        <w:left w:val="none" w:sz="0" w:space="0" w:color="auto"/>
        <w:bottom w:val="none" w:sz="0" w:space="0" w:color="auto"/>
        <w:right w:val="none" w:sz="0" w:space="0" w:color="auto"/>
      </w:divBdr>
    </w:div>
    <w:div w:id="1755541603">
      <w:bodyDiv w:val="1"/>
      <w:marLeft w:val="0"/>
      <w:marRight w:val="0"/>
      <w:marTop w:val="0"/>
      <w:marBottom w:val="0"/>
      <w:divBdr>
        <w:top w:val="none" w:sz="0" w:space="0" w:color="auto"/>
        <w:left w:val="none" w:sz="0" w:space="0" w:color="auto"/>
        <w:bottom w:val="none" w:sz="0" w:space="0" w:color="auto"/>
        <w:right w:val="none" w:sz="0" w:space="0" w:color="auto"/>
      </w:divBdr>
    </w:div>
    <w:div w:id="1755587113">
      <w:bodyDiv w:val="1"/>
      <w:marLeft w:val="0"/>
      <w:marRight w:val="0"/>
      <w:marTop w:val="0"/>
      <w:marBottom w:val="0"/>
      <w:divBdr>
        <w:top w:val="none" w:sz="0" w:space="0" w:color="auto"/>
        <w:left w:val="none" w:sz="0" w:space="0" w:color="auto"/>
        <w:bottom w:val="none" w:sz="0" w:space="0" w:color="auto"/>
        <w:right w:val="none" w:sz="0" w:space="0" w:color="auto"/>
      </w:divBdr>
    </w:div>
    <w:div w:id="1755660402">
      <w:bodyDiv w:val="1"/>
      <w:marLeft w:val="0"/>
      <w:marRight w:val="0"/>
      <w:marTop w:val="0"/>
      <w:marBottom w:val="0"/>
      <w:divBdr>
        <w:top w:val="none" w:sz="0" w:space="0" w:color="auto"/>
        <w:left w:val="none" w:sz="0" w:space="0" w:color="auto"/>
        <w:bottom w:val="none" w:sz="0" w:space="0" w:color="auto"/>
        <w:right w:val="none" w:sz="0" w:space="0" w:color="auto"/>
      </w:divBdr>
    </w:div>
    <w:div w:id="1755737540">
      <w:bodyDiv w:val="1"/>
      <w:marLeft w:val="0"/>
      <w:marRight w:val="0"/>
      <w:marTop w:val="0"/>
      <w:marBottom w:val="0"/>
      <w:divBdr>
        <w:top w:val="none" w:sz="0" w:space="0" w:color="auto"/>
        <w:left w:val="none" w:sz="0" w:space="0" w:color="auto"/>
        <w:bottom w:val="none" w:sz="0" w:space="0" w:color="auto"/>
        <w:right w:val="none" w:sz="0" w:space="0" w:color="auto"/>
      </w:divBdr>
    </w:div>
    <w:div w:id="1755738254">
      <w:bodyDiv w:val="1"/>
      <w:marLeft w:val="0"/>
      <w:marRight w:val="0"/>
      <w:marTop w:val="0"/>
      <w:marBottom w:val="0"/>
      <w:divBdr>
        <w:top w:val="none" w:sz="0" w:space="0" w:color="auto"/>
        <w:left w:val="none" w:sz="0" w:space="0" w:color="auto"/>
        <w:bottom w:val="none" w:sz="0" w:space="0" w:color="auto"/>
        <w:right w:val="none" w:sz="0" w:space="0" w:color="auto"/>
      </w:divBdr>
    </w:div>
    <w:div w:id="1755779945">
      <w:bodyDiv w:val="1"/>
      <w:marLeft w:val="0"/>
      <w:marRight w:val="0"/>
      <w:marTop w:val="0"/>
      <w:marBottom w:val="0"/>
      <w:divBdr>
        <w:top w:val="none" w:sz="0" w:space="0" w:color="auto"/>
        <w:left w:val="none" w:sz="0" w:space="0" w:color="auto"/>
        <w:bottom w:val="none" w:sz="0" w:space="0" w:color="auto"/>
        <w:right w:val="none" w:sz="0" w:space="0" w:color="auto"/>
      </w:divBdr>
    </w:div>
    <w:div w:id="1755783837">
      <w:bodyDiv w:val="1"/>
      <w:marLeft w:val="0"/>
      <w:marRight w:val="0"/>
      <w:marTop w:val="0"/>
      <w:marBottom w:val="0"/>
      <w:divBdr>
        <w:top w:val="none" w:sz="0" w:space="0" w:color="auto"/>
        <w:left w:val="none" w:sz="0" w:space="0" w:color="auto"/>
        <w:bottom w:val="none" w:sz="0" w:space="0" w:color="auto"/>
        <w:right w:val="none" w:sz="0" w:space="0" w:color="auto"/>
      </w:divBdr>
    </w:div>
    <w:div w:id="1755931849">
      <w:bodyDiv w:val="1"/>
      <w:marLeft w:val="0"/>
      <w:marRight w:val="0"/>
      <w:marTop w:val="0"/>
      <w:marBottom w:val="0"/>
      <w:divBdr>
        <w:top w:val="none" w:sz="0" w:space="0" w:color="auto"/>
        <w:left w:val="none" w:sz="0" w:space="0" w:color="auto"/>
        <w:bottom w:val="none" w:sz="0" w:space="0" w:color="auto"/>
        <w:right w:val="none" w:sz="0" w:space="0" w:color="auto"/>
      </w:divBdr>
    </w:div>
    <w:div w:id="1755933287">
      <w:bodyDiv w:val="1"/>
      <w:marLeft w:val="0"/>
      <w:marRight w:val="0"/>
      <w:marTop w:val="0"/>
      <w:marBottom w:val="0"/>
      <w:divBdr>
        <w:top w:val="none" w:sz="0" w:space="0" w:color="auto"/>
        <w:left w:val="none" w:sz="0" w:space="0" w:color="auto"/>
        <w:bottom w:val="none" w:sz="0" w:space="0" w:color="auto"/>
        <w:right w:val="none" w:sz="0" w:space="0" w:color="auto"/>
      </w:divBdr>
    </w:div>
    <w:div w:id="1755936243">
      <w:bodyDiv w:val="1"/>
      <w:marLeft w:val="0"/>
      <w:marRight w:val="0"/>
      <w:marTop w:val="0"/>
      <w:marBottom w:val="0"/>
      <w:divBdr>
        <w:top w:val="none" w:sz="0" w:space="0" w:color="auto"/>
        <w:left w:val="none" w:sz="0" w:space="0" w:color="auto"/>
        <w:bottom w:val="none" w:sz="0" w:space="0" w:color="auto"/>
        <w:right w:val="none" w:sz="0" w:space="0" w:color="auto"/>
      </w:divBdr>
    </w:div>
    <w:div w:id="1755971628">
      <w:bodyDiv w:val="1"/>
      <w:marLeft w:val="0"/>
      <w:marRight w:val="0"/>
      <w:marTop w:val="0"/>
      <w:marBottom w:val="0"/>
      <w:divBdr>
        <w:top w:val="none" w:sz="0" w:space="0" w:color="auto"/>
        <w:left w:val="none" w:sz="0" w:space="0" w:color="auto"/>
        <w:bottom w:val="none" w:sz="0" w:space="0" w:color="auto"/>
        <w:right w:val="none" w:sz="0" w:space="0" w:color="auto"/>
      </w:divBdr>
    </w:div>
    <w:div w:id="1755975564">
      <w:bodyDiv w:val="1"/>
      <w:marLeft w:val="0"/>
      <w:marRight w:val="0"/>
      <w:marTop w:val="0"/>
      <w:marBottom w:val="0"/>
      <w:divBdr>
        <w:top w:val="none" w:sz="0" w:space="0" w:color="auto"/>
        <w:left w:val="none" w:sz="0" w:space="0" w:color="auto"/>
        <w:bottom w:val="none" w:sz="0" w:space="0" w:color="auto"/>
        <w:right w:val="none" w:sz="0" w:space="0" w:color="auto"/>
      </w:divBdr>
    </w:div>
    <w:div w:id="1756047809">
      <w:bodyDiv w:val="1"/>
      <w:marLeft w:val="0"/>
      <w:marRight w:val="0"/>
      <w:marTop w:val="0"/>
      <w:marBottom w:val="0"/>
      <w:divBdr>
        <w:top w:val="none" w:sz="0" w:space="0" w:color="auto"/>
        <w:left w:val="none" w:sz="0" w:space="0" w:color="auto"/>
        <w:bottom w:val="none" w:sz="0" w:space="0" w:color="auto"/>
        <w:right w:val="none" w:sz="0" w:space="0" w:color="auto"/>
      </w:divBdr>
    </w:div>
    <w:div w:id="1756441938">
      <w:bodyDiv w:val="1"/>
      <w:marLeft w:val="0"/>
      <w:marRight w:val="0"/>
      <w:marTop w:val="0"/>
      <w:marBottom w:val="0"/>
      <w:divBdr>
        <w:top w:val="none" w:sz="0" w:space="0" w:color="auto"/>
        <w:left w:val="none" w:sz="0" w:space="0" w:color="auto"/>
        <w:bottom w:val="none" w:sz="0" w:space="0" w:color="auto"/>
        <w:right w:val="none" w:sz="0" w:space="0" w:color="auto"/>
      </w:divBdr>
    </w:div>
    <w:div w:id="1756785841">
      <w:bodyDiv w:val="1"/>
      <w:marLeft w:val="0"/>
      <w:marRight w:val="0"/>
      <w:marTop w:val="0"/>
      <w:marBottom w:val="0"/>
      <w:divBdr>
        <w:top w:val="none" w:sz="0" w:space="0" w:color="auto"/>
        <w:left w:val="none" w:sz="0" w:space="0" w:color="auto"/>
        <w:bottom w:val="none" w:sz="0" w:space="0" w:color="auto"/>
        <w:right w:val="none" w:sz="0" w:space="0" w:color="auto"/>
      </w:divBdr>
    </w:div>
    <w:div w:id="1756899085">
      <w:bodyDiv w:val="1"/>
      <w:marLeft w:val="0"/>
      <w:marRight w:val="0"/>
      <w:marTop w:val="0"/>
      <w:marBottom w:val="0"/>
      <w:divBdr>
        <w:top w:val="none" w:sz="0" w:space="0" w:color="auto"/>
        <w:left w:val="none" w:sz="0" w:space="0" w:color="auto"/>
        <w:bottom w:val="none" w:sz="0" w:space="0" w:color="auto"/>
        <w:right w:val="none" w:sz="0" w:space="0" w:color="auto"/>
      </w:divBdr>
    </w:div>
    <w:div w:id="1756973720">
      <w:bodyDiv w:val="1"/>
      <w:marLeft w:val="0"/>
      <w:marRight w:val="0"/>
      <w:marTop w:val="0"/>
      <w:marBottom w:val="0"/>
      <w:divBdr>
        <w:top w:val="none" w:sz="0" w:space="0" w:color="auto"/>
        <w:left w:val="none" w:sz="0" w:space="0" w:color="auto"/>
        <w:bottom w:val="none" w:sz="0" w:space="0" w:color="auto"/>
        <w:right w:val="none" w:sz="0" w:space="0" w:color="auto"/>
      </w:divBdr>
    </w:div>
    <w:div w:id="1756974669">
      <w:bodyDiv w:val="1"/>
      <w:marLeft w:val="0"/>
      <w:marRight w:val="0"/>
      <w:marTop w:val="0"/>
      <w:marBottom w:val="0"/>
      <w:divBdr>
        <w:top w:val="none" w:sz="0" w:space="0" w:color="auto"/>
        <w:left w:val="none" w:sz="0" w:space="0" w:color="auto"/>
        <w:bottom w:val="none" w:sz="0" w:space="0" w:color="auto"/>
        <w:right w:val="none" w:sz="0" w:space="0" w:color="auto"/>
      </w:divBdr>
    </w:div>
    <w:div w:id="1756974694">
      <w:bodyDiv w:val="1"/>
      <w:marLeft w:val="0"/>
      <w:marRight w:val="0"/>
      <w:marTop w:val="0"/>
      <w:marBottom w:val="0"/>
      <w:divBdr>
        <w:top w:val="none" w:sz="0" w:space="0" w:color="auto"/>
        <w:left w:val="none" w:sz="0" w:space="0" w:color="auto"/>
        <w:bottom w:val="none" w:sz="0" w:space="0" w:color="auto"/>
        <w:right w:val="none" w:sz="0" w:space="0" w:color="auto"/>
      </w:divBdr>
    </w:div>
    <w:div w:id="1757284366">
      <w:bodyDiv w:val="1"/>
      <w:marLeft w:val="0"/>
      <w:marRight w:val="0"/>
      <w:marTop w:val="0"/>
      <w:marBottom w:val="0"/>
      <w:divBdr>
        <w:top w:val="none" w:sz="0" w:space="0" w:color="auto"/>
        <w:left w:val="none" w:sz="0" w:space="0" w:color="auto"/>
        <w:bottom w:val="none" w:sz="0" w:space="0" w:color="auto"/>
        <w:right w:val="none" w:sz="0" w:space="0" w:color="auto"/>
      </w:divBdr>
    </w:div>
    <w:div w:id="1757285481">
      <w:bodyDiv w:val="1"/>
      <w:marLeft w:val="0"/>
      <w:marRight w:val="0"/>
      <w:marTop w:val="0"/>
      <w:marBottom w:val="0"/>
      <w:divBdr>
        <w:top w:val="none" w:sz="0" w:space="0" w:color="auto"/>
        <w:left w:val="none" w:sz="0" w:space="0" w:color="auto"/>
        <w:bottom w:val="none" w:sz="0" w:space="0" w:color="auto"/>
        <w:right w:val="none" w:sz="0" w:space="0" w:color="auto"/>
      </w:divBdr>
    </w:div>
    <w:div w:id="1757314669">
      <w:bodyDiv w:val="1"/>
      <w:marLeft w:val="0"/>
      <w:marRight w:val="0"/>
      <w:marTop w:val="0"/>
      <w:marBottom w:val="0"/>
      <w:divBdr>
        <w:top w:val="none" w:sz="0" w:space="0" w:color="auto"/>
        <w:left w:val="none" w:sz="0" w:space="0" w:color="auto"/>
        <w:bottom w:val="none" w:sz="0" w:space="0" w:color="auto"/>
        <w:right w:val="none" w:sz="0" w:space="0" w:color="auto"/>
      </w:divBdr>
    </w:div>
    <w:div w:id="1757358079">
      <w:bodyDiv w:val="1"/>
      <w:marLeft w:val="0"/>
      <w:marRight w:val="0"/>
      <w:marTop w:val="0"/>
      <w:marBottom w:val="0"/>
      <w:divBdr>
        <w:top w:val="none" w:sz="0" w:space="0" w:color="auto"/>
        <w:left w:val="none" w:sz="0" w:space="0" w:color="auto"/>
        <w:bottom w:val="none" w:sz="0" w:space="0" w:color="auto"/>
        <w:right w:val="none" w:sz="0" w:space="0" w:color="auto"/>
      </w:divBdr>
    </w:div>
    <w:div w:id="1757433301">
      <w:bodyDiv w:val="1"/>
      <w:marLeft w:val="0"/>
      <w:marRight w:val="0"/>
      <w:marTop w:val="0"/>
      <w:marBottom w:val="0"/>
      <w:divBdr>
        <w:top w:val="none" w:sz="0" w:space="0" w:color="auto"/>
        <w:left w:val="none" w:sz="0" w:space="0" w:color="auto"/>
        <w:bottom w:val="none" w:sz="0" w:space="0" w:color="auto"/>
        <w:right w:val="none" w:sz="0" w:space="0" w:color="auto"/>
      </w:divBdr>
    </w:div>
    <w:div w:id="1757435501">
      <w:bodyDiv w:val="1"/>
      <w:marLeft w:val="0"/>
      <w:marRight w:val="0"/>
      <w:marTop w:val="0"/>
      <w:marBottom w:val="0"/>
      <w:divBdr>
        <w:top w:val="none" w:sz="0" w:space="0" w:color="auto"/>
        <w:left w:val="none" w:sz="0" w:space="0" w:color="auto"/>
        <w:bottom w:val="none" w:sz="0" w:space="0" w:color="auto"/>
        <w:right w:val="none" w:sz="0" w:space="0" w:color="auto"/>
      </w:divBdr>
    </w:div>
    <w:div w:id="1757507550">
      <w:bodyDiv w:val="1"/>
      <w:marLeft w:val="0"/>
      <w:marRight w:val="0"/>
      <w:marTop w:val="0"/>
      <w:marBottom w:val="0"/>
      <w:divBdr>
        <w:top w:val="none" w:sz="0" w:space="0" w:color="auto"/>
        <w:left w:val="none" w:sz="0" w:space="0" w:color="auto"/>
        <w:bottom w:val="none" w:sz="0" w:space="0" w:color="auto"/>
        <w:right w:val="none" w:sz="0" w:space="0" w:color="auto"/>
      </w:divBdr>
    </w:div>
    <w:div w:id="1757550197">
      <w:bodyDiv w:val="1"/>
      <w:marLeft w:val="0"/>
      <w:marRight w:val="0"/>
      <w:marTop w:val="0"/>
      <w:marBottom w:val="0"/>
      <w:divBdr>
        <w:top w:val="none" w:sz="0" w:space="0" w:color="auto"/>
        <w:left w:val="none" w:sz="0" w:space="0" w:color="auto"/>
        <w:bottom w:val="none" w:sz="0" w:space="0" w:color="auto"/>
        <w:right w:val="none" w:sz="0" w:space="0" w:color="auto"/>
      </w:divBdr>
    </w:div>
    <w:div w:id="1757704482">
      <w:bodyDiv w:val="1"/>
      <w:marLeft w:val="0"/>
      <w:marRight w:val="0"/>
      <w:marTop w:val="0"/>
      <w:marBottom w:val="0"/>
      <w:divBdr>
        <w:top w:val="none" w:sz="0" w:space="0" w:color="auto"/>
        <w:left w:val="none" w:sz="0" w:space="0" w:color="auto"/>
        <w:bottom w:val="none" w:sz="0" w:space="0" w:color="auto"/>
        <w:right w:val="none" w:sz="0" w:space="0" w:color="auto"/>
      </w:divBdr>
    </w:div>
    <w:div w:id="1757821477">
      <w:bodyDiv w:val="1"/>
      <w:marLeft w:val="0"/>
      <w:marRight w:val="0"/>
      <w:marTop w:val="0"/>
      <w:marBottom w:val="0"/>
      <w:divBdr>
        <w:top w:val="none" w:sz="0" w:space="0" w:color="auto"/>
        <w:left w:val="none" w:sz="0" w:space="0" w:color="auto"/>
        <w:bottom w:val="none" w:sz="0" w:space="0" w:color="auto"/>
        <w:right w:val="none" w:sz="0" w:space="0" w:color="auto"/>
      </w:divBdr>
    </w:div>
    <w:div w:id="1757821833">
      <w:bodyDiv w:val="1"/>
      <w:marLeft w:val="0"/>
      <w:marRight w:val="0"/>
      <w:marTop w:val="0"/>
      <w:marBottom w:val="0"/>
      <w:divBdr>
        <w:top w:val="none" w:sz="0" w:space="0" w:color="auto"/>
        <w:left w:val="none" w:sz="0" w:space="0" w:color="auto"/>
        <w:bottom w:val="none" w:sz="0" w:space="0" w:color="auto"/>
        <w:right w:val="none" w:sz="0" w:space="0" w:color="auto"/>
      </w:divBdr>
    </w:div>
    <w:div w:id="1757943638">
      <w:bodyDiv w:val="1"/>
      <w:marLeft w:val="0"/>
      <w:marRight w:val="0"/>
      <w:marTop w:val="0"/>
      <w:marBottom w:val="0"/>
      <w:divBdr>
        <w:top w:val="none" w:sz="0" w:space="0" w:color="auto"/>
        <w:left w:val="none" w:sz="0" w:space="0" w:color="auto"/>
        <w:bottom w:val="none" w:sz="0" w:space="0" w:color="auto"/>
        <w:right w:val="none" w:sz="0" w:space="0" w:color="auto"/>
      </w:divBdr>
    </w:div>
    <w:div w:id="1758088719">
      <w:bodyDiv w:val="1"/>
      <w:marLeft w:val="0"/>
      <w:marRight w:val="0"/>
      <w:marTop w:val="0"/>
      <w:marBottom w:val="0"/>
      <w:divBdr>
        <w:top w:val="none" w:sz="0" w:space="0" w:color="auto"/>
        <w:left w:val="none" w:sz="0" w:space="0" w:color="auto"/>
        <w:bottom w:val="none" w:sz="0" w:space="0" w:color="auto"/>
        <w:right w:val="none" w:sz="0" w:space="0" w:color="auto"/>
      </w:divBdr>
    </w:div>
    <w:div w:id="1758089298">
      <w:bodyDiv w:val="1"/>
      <w:marLeft w:val="0"/>
      <w:marRight w:val="0"/>
      <w:marTop w:val="0"/>
      <w:marBottom w:val="0"/>
      <w:divBdr>
        <w:top w:val="none" w:sz="0" w:space="0" w:color="auto"/>
        <w:left w:val="none" w:sz="0" w:space="0" w:color="auto"/>
        <w:bottom w:val="none" w:sz="0" w:space="0" w:color="auto"/>
        <w:right w:val="none" w:sz="0" w:space="0" w:color="auto"/>
      </w:divBdr>
    </w:div>
    <w:div w:id="1758211342">
      <w:bodyDiv w:val="1"/>
      <w:marLeft w:val="0"/>
      <w:marRight w:val="0"/>
      <w:marTop w:val="0"/>
      <w:marBottom w:val="0"/>
      <w:divBdr>
        <w:top w:val="none" w:sz="0" w:space="0" w:color="auto"/>
        <w:left w:val="none" w:sz="0" w:space="0" w:color="auto"/>
        <w:bottom w:val="none" w:sz="0" w:space="0" w:color="auto"/>
        <w:right w:val="none" w:sz="0" w:space="0" w:color="auto"/>
      </w:divBdr>
    </w:div>
    <w:div w:id="1758214262">
      <w:bodyDiv w:val="1"/>
      <w:marLeft w:val="0"/>
      <w:marRight w:val="0"/>
      <w:marTop w:val="0"/>
      <w:marBottom w:val="0"/>
      <w:divBdr>
        <w:top w:val="none" w:sz="0" w:space="0" w:color="auto"/>
        <w:left w:val="none" w:sz="0" w:space="0" w:color="auto"/>
        <w:bottom w:val="none" w:sz="0" w:space="0" w:color="auto"/>
        <w:right w:val="none" w:sz="0" w:space="0" w:color="auto"/>
      </w:divBdr>
    </w:div>
    <w:div w:id="1758214479">
      <w:bodyDiv w:val="1"/>
      <w:marLeft w:val="0"/>
      <w:marRight w:val="0"/>
      <w:marTop w:val="0"/>
      <w:marBottom w:val="0"/>
      <w:divBdr>
        <w:top w:val="none" w:sz="0" w:space="0" w:color="auto"/>
        <w:left w:val="none" w:sz="0" w:space="0" w:color="auto"/>
        <w:bottom w:val="none" w:sz="0" w:space="0" w:color="auto"/>
        <w:right w:val="none" w:sz="0" w:space="0" w:color="auto"/>
      </w:divBdr>
    </w:div>
    <w:div w:id="1758284834">
      <w:bodyDiv w:val="1"/>
      <w:marLeft w:val="0"/>
      <w:marRight w:val="0"/>
      <w:marTop w:val="0"/>
      <w:marBottom w:val="0"/>
      <w:divBdr>
        <w:top w:val="none" w:sz="0" w:space="0" w:color="auto"/>
        <w:left w:val="none" w:sz="0" w:space="0" w:color="auto"/>
        <w:bottom w:val="none" w:sz="0" w:space="0" w:color="auto"/>
        <w:right w:val="none" w:sz="0" w:space="0" w:color="auto"/>
      </w:divBdr>
    </w:div>
    <w:div w:id="1758287955">
      <w:bodyDiv w:val="1"/>
      <w:marLeft w:val="0"/>
      <w:marRight w:val="0"/>
      <w:marTop w:val="0"/>
      <w:marBottom w:val="0"/>
      <w:divBdr>
        <w:top w:val="none" w:sz="0" w:space="0" w:color="auto"/>
        <w:left w:val="none" w:sz="0" w:space="0" w:color="auto"/>
        <w:bottom w:val="none" w:sz="0" w:space="0" w:color="auto"/>
        <w:right w:val="none" w:sz="0" w:space="0" w:color="auto"/>
      </w:divBdr>
    </w:div>
    <w:div w:id="1758331227">
      <w:bodyDiv w:val="1"/>
      <w:marLeft w:val="0"/>
      <w:marRight w:val="0"/>
      <w:marTop w:val="0"/>
      <w:marBottom w:val="0"/>
      <w:divBdr>
        <w:top w:val="none" w:sz="0" w:space="0" w:color="auto"/>
        <w:left w:val="none" w:sz="0" w:space="0" w:color="auto"/>
        <w:bottom w:val="none" w:sz="0" w:space="0" w:color="auto"/>
        <w:right w:val="none" w:sz="0" w:space="0" w:color="auto"/>
      </w:divBdr>
    </w:div>
    <w:div w:id="1758359681">
      <w:bodyDiv w:val="1"/>
      <w:marLeft w:val="0"/>
      <w:marRight w:val="0"/>
      <w:marTop w:val="0"/>
      <w:marBottom w:val="0"/>
      <w:divBdr>
        <w:top w:val="none" w:sz="0" w:space="0" w:color="auto"/>
        <w:left w:val="none" w:sz="0" w:space="0" w:color="auto"/>
        <w:bottom w:val="none" w:sz="0" w:space="0" w:color="auto"/>
        <w:right w:val="none" w:sz="0" w:space="0" w:color="auto"/>
      </w:divBdr>
    </w:div>
    <w:div w:id="1758404455">
      <w:bodyDiv w:val="1"/>
      <w:marLeft w:val="0"/>
      <w:marRight w:val="0"/>
      <w:marTop w:val="0"/>
      <w:marBottom w:val="0"/>
      <w:divBdr>
        <w:top w:val="none" w:sz="0" w:space="0" w:color="auto"/>
        <w:left w:val="none" w:sz="0" w:space="0" w:color="auto"/>
        <w:bottom w:val="none" w:sz="0" w:space="0" w:color="auto"/>
        <w:right w:val="none" w:sz="0" w:space="0" w:color="auto"/>
      </w:divBdr>
    </w:div>
    <w:div w:id="1758550103">
      <w:bodyDiv w:val="1"/>
      <w:marLeft w:val="0"/>
      <w:marRight w:val="0"/>
      <w:marTop w:val="0"/>
      <w:marBottom w:val="0"/>
      <w:divBdr>
        <w:top w:val="none" w:sz="0" w:space="0" w:color="auto"/>
        <w:left w:val="none" w:sz="0" w:space="0" w:color="auto"/>
        <w:bottom w:val="none" w:sz="0" w:space="0" w:color="auto"/>
        <w:right w:val="none" w:sz="0" w:space="0" w:color="auto"/>
      </w:divBdr>
    </w:div>
    <w:div w:id="1758551019">
      <w:bodyDiv w:val="1"/>
      <w:marLeft w:val="0"/>
      <w:marRight w:val="0"/>
      <w:marTop w:val="0"/>
      <w:marBottom w:val="0"/>
      <w:divBdr>
        <w:top w:val="none" w:sz="0" w:space="0" w:color="auto"/>
        <w:left w:val="none" w:sz="0" w:space="0" w:color="auto"/>
        <w:bottom w:val="none" w:sz="0" w:space="0" w:color="auto"/>
        <w:right w:val="none" w:sz="0" w:space="0" w:color="auto"/>
      </w:divBdr>
    </w:div>
    <w:div w:id="1758595349">
      <w:bodyDiv w:val="1"/>
      <w:marLeft w:val="0"/>
      <w:marRight w:val="0"/>
      <w:marTop w:val="0"/>
      <w:marBottom w:val="0"/>
      <w:divBdr>
        <w:top w:val="none" w:sz="0" w:space="0" w:color="auto"/>
        <w:left w:val="none" w:sz="0" w:space="0" w:color="auto"/>
        <w:bottom w:val="none" w:sz="0" w:space="0" w:color="auto"/>
        <w:right w:val="none" w:sz="0" w:space="0" w:color="auto"/>
      </w:divBdr>
    </w:div>
    <w:div w:id="1758598193">
      <w:bodyDiv w:val="1"/>
      <w:marLeft w:val="0"/>
      <w:marRight w:val="0"/>
      <w:marTop w:val="0"/>
      <w:marBottom w:val="0"/>
      <w:divBdr>
        <w:top w:val="none" w:sz="0" w:space="0" w:color="auto"/>
        <w:left w:val="none" w:sz="0" w:space="0" w:color="auto"/>
        <w:bottom w:val="none" w:sz="0" w:space="0" w:color="auto"/>
        <w:right w:val="none" w:sz="0" w:space="0" w:color="auto"/>
      </w:divBdr>
    </w:div>
    <w:div w:id="1758598895">
      <w:bodyDiv w:val="1"/>
      <w:marLeft w:val="0"/>
      <w:marRight w:val="0"/>
      <w:marTop w:val="0"/>
      <w:marBottom w:val="0"/>
      <w:divBdr>
        <w:top w:val="none" w:sz="0" w:space="0" w:color="auto"/>
        <w:left w:val="none" w:sz="0" w:space="0" w:color="auto"/>
        <w:bottom w:val="none" w:sz="0" w:space="0" w:color="auto"/>
        <w:right w:val="none" w:sz="0" w:space="0" w:color="auto"/>
      </w:divBdr>
    </w:div>
    <w:div w:id="1758669739">
      <w:bodyDiv w:val="1"/>
      <w:marLeft w:val="0"/>
      <w:marRight w:val="0"/>
      <w:marTop w:val="0"/>
      <w:marBottom w:val="0"/>
      <w:divBdr>
        <w:top w:val="none" w:sz="0" w:space="0" w:color="auto"/>
        <w:left w:val="none" w:sz="0" w:space="0" w:color="auto"/>
        <w:bottom w:val="none" w:sz="0" w:space="0" w:color="auto"/>
        <w:right w:val="none" w:sz="0" w:space="0" w:color="auto"/>
      </w:divBdr>
    </w:div>
    <w:div w:id="1758670509">
      <w:bodyDiv w:val="1"/>
      <w:marLeft w:val="0"/>
      <w:marRight w:val="0"/>
      <w:marTop w:val="0"/>
      <w:marBottom w:val="0"/>
      <w:divBdr>
        <w:top w:val="none" w:sz="0" w:space="0" w:color="auto"/>
        <w:left w:val="none" w:sz="0" w:space="0" w:color="auto"/>
        <w:bottom w:val="none" w:sz="0" w:space="0" w:color="auto"/>
        <w:right w:val="none" w:sz="0" w:space="0" w:color="auto"/>
      </w:divBdr>
    </w:div>
    <w:div w:id="1758743673">
      <w:bodyDiv w:val="1"/>
      <w:marLeft w:val="0"/>
      <w:marRight w:val="0"/>
      <w:marTop w:val="0"/>
      <w:marBottom w:val="0"/>
      <w:divBdr>
        <w:top w:val="none" w:sz="0" w:space="0" w:color="auto"/>
        <w:left w:val="none" w:sz="0" w:space="0" w:color="auto"/>
        <w:bottom w:val="none" w:sz="0" w:space="0" w:color="auto"/>
        <w:right w:val="none" w:sz="0" w:space="0" w:color="auto"/>
      </w:divBdr>
    </w:div>
    <w:div w:id="1758865460">
      <w:bodyDiv w:val="1"/>
      <w:marLeft w:val="0"/>
      <w:marRight w:val="0"/>
      <w:marTop w:val="0"/>
      <w:marBottom w:val="0"/>
      <w:divBdr>
        <w:top w:val="none" w:sz="0" w:space="0" w:color="auto"/>
        <w:left w:val="none" w:sz="0" w:space="0" w:color="auto"/>
        <w:bottom w:val="none" w:sz="0" w:space="0" w:color="auto"/>
        <w:right w:val="none" w:sz="0" w:space="0" w:color="auto"/>
      </w:divBdr>
    </w:div>
    <w:div w:id="1758986465">
      <w:bodyDiv w:val="1"/>
      <w:marLeft w:val="0"/>
      <w:marRight w:val="0"/>
      <w:marTop w:val="0"/>
      <w:marBottom w:val="0"/>
      <w:divBdr>
        <w:top w:val="none" w:sz="0" w:space="0" w:color="auto"/>
        <w:left w:val="none" w:sz="0" w:space="0" w:color="auto"/>
        <w:bottom w:val="none" w:sz="0" w:space="0" w:color="auto"/>
        <w:right w:val="none" w:sz="0" w:space="0" w:color="auto"/>
      </w:divBdr>
    </w:div>
    <w:div w:id="1759135331">
      <w:bodyDiv w:val="1"/>
      <w:marLeft w:val="0"/>
      <w:marRight w:val="0"/>
      <w:marTop w:val="0"/>
      <w:marBottom w:val="0"/>
      <w:divBdr>
        <w:top w:val="none" w:sz="0" w:space="0" w:color="auto"/>
        <w:left w:val="none" w:sz="0" w:space="0" w:color="auto"/>
        <w:bottom w:val="none" w:sz="0" w:space="0" w:color="auto"/>
        <w:right w:val="none" w:sz="0" w:space="0" w:color="auto"/>
      </w:divBdr>
    </w:div>
    <w:div w:id="1759212658">
      <w:bodyDiv w:val="1"/>
      <w:marLeft w:val="0"/>
      <w:marRight w:val="0"/>
      <w:marTop w:val="0"/>
      <w:marBottom w:val="0"/>
      <w:divBdr>
        <w:top w:val="none" w:sz="0" w:space="0" w:color="auto"/>
        <w:left w:val="none" w:sz="0" w:space="0" w:color="auto"/>
        <w:bottom w:val="none" w:sz="0" w:space="0" w:color="auto"/>
        <w:right w:val="none" w:sz="0" w:space="0" w:color="auto"/>
      </w:divBdr>
    </w:div>
    <w:div w:id="1759324683">
      <w:bodyDiv w:val="1"/>
      <w:marLeft w:val="0"/>
      <w:marRight w:val="0"/>
      <w:marTop w:val="0"/>
      <w:marBottom w:val="0"/>
      <w:divBdr>
        <w:top w:val="none" w:sz="0" w:space="0" w:color="auto"/>
        <w:left w:val="none" w:sz="0" w:space="0" w:color="auto"/>
        <w:bottom w:val="none" w:sz="0" w:space="0" w:color="auto"/>
        <w:right w:val="none" w:sz="0" w:space="0" w:color="auto"/>
      </w:divBdr>
    </w:div>
    <w:div w:id="1759404039">
      <w:bodyDiv w:val="1"/>
      <w:marLeft w:val="0"/>
      <w:marRight w:val="0"/>
      <w:marTop w:val="0"/>
      <w:marBottom w:val="0"/>
      <w:divBdr>
        <w:top w:val="none" w:sz="0" w:space="0" w:color="auto"/>
        <w:left w:val="none" w:sz="0" w:space="0" w:color="auto"/>
        <w:bottom w:val="none" w:sz="0" w:space="0" w:color="auto"/>
        <w:right w:val="none" w:sz="0" w:space="0" w:color="auto"/>
      </w:divBdr>
    </w:div>
    <w:div w:id="1759406001">
      <w:bodyDiv w:val="1"/>
      <w:marLeft w:val="0"/>
      <w:marRight w:val="0"/>
      <w:marTop w:val="0"/>
      <w:marBottom w:val="0"/>
      <w:divBdr>
        <w:top w:val="none" w:sz="0" w:space="0" w:color="auto"/>
        <w:left w:val="none" w:sz="0" w:space="0" w:color="auto"/>
        <w:bottom w:val="none" w:sz="0" w:space="0" w:color="auto"/>
        <w:right w:val="none" w:sz="0" w:space="0" w:color="auto"/>
      </w:divBdr>
    </w:div>
    <w:div w:id="1759448357">
      <w:bodyDiv w:val="1"/>
      <w:marLeft w:val="0"/>
      <w:marRight w:val="0"/>
      <w:marTop w:val="0"/>
      <w:marBottom w:val="0"/>
      <w:divBdr>
        <w:top w:val="none" w:sz="0" w:space="0" w:color="auto"/>
        <w:left w:val="none" w:sz="0" w:space="0" w:color="auto"/>
        <w:bottom w:val="none" w:sz="0" w:space="0" w:color="auto"/>
        <w:right w:val="none" w:sz="0" w:space="0" w:color="auto"/>
      </w:divBdr>
    </w:div>
    <w:div w:id="1759515878">
      <w:bodyDiv w:val="1"/>
      <w:marLeft w:val="0"/>
      <w:marRight w:val="0"/>
      <w:marTop w:val="0"/>
      <w:marBottom w:val="0"/>
      <w:divBdr>
        <w:top w:val="none" w:sz="0" w:space="0" w:color="auto"/>
        <w:left w:val="none" w:sz="0" w:space="0" w:color="auto"/>
        <w:bottom w:val="none" w:sz="0" w:space="0" w:color="auto"/>
        <w:right w:val="none" w:sz="0" w:space="0" w:color="auto"/>
      </w:divBdr>
    </w:div>
    <w:div w:id="1759516657">
      <w:bodyDiv w:val="1"/>
      <w:marLeft w:val="0"/>
      <w:marRight w:val="0"/>
      <w:marTop w:val="0"/>
      <w:marBottom w:val="0"/>
      <w:divBdr>
        <w:top w:val="none" w:sz="0" w:space="0" w:color="auto"/>
        <w:left w:val="none" w:sz="0" w:space="0" w:color="auto"/>
        <w:bottom w:val="none" w:sz="0" w:space="0" w:color="auto"/>
        <w:right w:val="none" w:sz="0" w:space="0" w:color="auto"/>
      </w:divBdr>
    </w:div>
    <w:div w:id="1759520069">
      <w:bodyDiv w:val="1"/>
      <w:marLeft w:val="0"/>
      <w:marRight w:val="0"/>
      <w:marTop w:val="0"/>
      <w:marBottom w:val="0"/>
      <w:divBdr>
        <w:top w:val="none" w:sz="0" w:space="0" w:color="auto"/>
        <w:left w:val="none" w:sz="0" w:space="0" w:color="auto"/>
        <w:bottom w:val="none" w:sz="0" w:space="0" w:color="auto"/>
        <w:right w:val="none" w:sz="0" w:space="0" w:color="auto"/>
      </w:divBdr>
    </w:div>
    <w:div w:id="1759668722">
      <w:bodyDiv w:val="1"/>
      <w:marLeft w:val="0"/>
      <w:marRight w:val="0"/>
      <w:marTop w:val="0"/>
      <w:marBottom w:val="0"/>
      <w:divBdr>
        <w:top w:val="none" w:sz="0" w:space="0" w:color="auto"/>
        <w:left w:val="none" w:sz="0" w:space="0" w:color="auto"/>
        <w:bottom w:val="none" w:sz="0" w:space="0" w:color="auto"/>
        <w:right w:val="none" w:sz="0" w:space="0" w:color="auto"/>
      </w:divBdr>
    </w:div>
    <w:div w:id="1759787106">
      <w:bodyDiv w:val="1"/>
      <w:marLeft w:val="0"/>
      <w:marRight w:val="0"/>
      <w:marTop w:val="0"/>
      <w:marBottom w:val="0"/>
      <w:divBdr>
        <w:top w:val="none" w:sz="0" w:space="0" w:color="auto"/>
        <w:left w:val="none" w:sz="0" w:space="0" w:color="auto"/>
        <w:bottom w:val="none" w:sz="0" w:space="0" w:color="auto"/>
        <w:right w:val="none" w:sz="0" w:space="0" w:color="auto"/>
      </w:divBdr>
    </w:div>
    <w:div w:id="1759787748">
      <w:bodyDiv w:val="1"/>
      <w:marLeft w:val="0"/>
      <w:marRight w:val="0"/>
      <w:marTop w:val="0"/>
      <w:marBottom w:val="0"/>
      <w:divBdr>
        <w:top w:val="none" w:sz="0" w:space="0" w:color="auto"/>
        <w:left w:val="none" w:sz="0" w:space="0" w:color="auto"/>
        <w:bottom w:val="none" w:sz="0" w:space="0" w:color="auto"/>
        <w:right w:val="none" w:sz="0" w:space="0" w:color="auto"/>
      </w:divBdr>
    </w:div>
    <w:div w:id="1759907889">
      <w:bodyDiv w:val="1"/>
      <w:marLeft w:val="0"/>
      <w:marRight w:val="0"/>
      <w:marTop w:val="0"/>
      <w:marBottom w:val="0"/>
      <w:divBdr>
        <w:top w:val="none" w:sz="0" w:space="0" w:color="auto"/>
        <w:left w:val="none" w:sz="0" w:space="0" w:color="auto"/>
        <w:bottom w:val="none" w:sz="0" w:space="0" w:color="auto"/>
        <w:right w:val="none" w:sz="0" w:space="0" w:color="auto"/>
      </w:divBdr>
    </w:div>
    <w:div w:id="1760055158">
      <w:bodyDiv w:val="1"/>
      <w:marLeft w:val="0"/>
      <w:marRight w:val="0"/>
      <w:marTop w:val="0"/>
      <w:marBottom w:val="0"/>
      <w:divBdr>
        <w:top w:val="none" w:sz="0" w:space="0" w:color="auto"/>
        <w:left w:val="none" w:sz="0" w:space="0" w:color="auto"/>
        <w:bottom w:val="none" w:sz="0" w:space="0" w:color="auto"/>
        <w:right w:val="none" w:sz="0" w:space="0" w:color="auto"/>
      </w:divBdr>
    </w:div>
    <w:div w:id="1760058216">
      <w:bodyDiv w:val="1"/>
      <w:marLeft w:val="0"/>
      <w:marRight w:val="0"/>
      <w:marTop w:val="0"/>
      <w:marBottom w:val="0"/>
      <w:divBdr>
        <w:top w:val="none" w:sz="0" w:space="0" w:color="auto"/>
        <w:left w:val="none" w:sz="0" w:space="0" w:color="auto"/>
        <w:bottom w:val="none" w:sz="0" w:space="0" w:color="auto"/>
        <w:right w:val="none" w:sz="0" w:space="0" w:color="auto"/>
      </w:divBdr>
    </w:div>
    <w:div w:id="1760102374">
      <w:bodyDiv w:val="1"/>
      <w:marLeft w:val="0"/>
      <w:marRight w:val="0"/>
      <w:marTop w:val="0"/>
      <w:marBottom w:val="0"/>
      <w:divBdr>
        <w:top w:val="none" w:sz="0" w:space="0" w:color="auto"/>
        <w:left w:val="none" w:sz="0" w:space="0" w:color="auto"/>
        <w:bottom w:val="none" w:sz="0" w:space="0" w:color="auto"/>
        <w:right w:val="none" w:sz="0" w:space="0" w:color="auto"/>
      </w:divBdr>
    </w:div>
    <w:div w:id="1760439608">
      <w:bodyDiv w:val="1"/>
      <w:marLeft w:val="0"/>
      <w:marRight w:val="0"/>
      <w:marTop w:val="0"/>
      <w:marBottom w:val="0"/>
      <w:divBdr>
        <w:top w:val="none" w:sz="0" w:space="0" w:color="auto"/>
        <w:left w:val="none" w:sz="0" w:space="0" w:color="auto"/>
        <w:bottom w:val="none" w:sz="0" w:space="0" w:color="auto"/>
        <w:right w:val="none" w:sz="0" w:space="0" w:color="auto"/>
      </w:divBdr>
    </w:div>
    <w:div w:id="1760520221">
      <w:bodyDiv w:val="1"/>
      <w:marLeft w:val="0"/>
      <w:marRight w:val="0"/>
      <w:marTop w:val="0"/>
      <w:marBottom w:val="0"/>
      <w:divBdr>
        <w:top w:val="none" w:sz="0" w:space="0" w:color="auto"/>
        <w:left w:val="none" w:sz="0" w:space="0" w:color="auto"/>
        <w:bottom w:val="none" w:sz="0" w:space="0" w:color="auto"/>
        <w:right w:val="none" w:sz="0" w:space="0" w:color="auto"/>
      </w:divBdr>
    </w:div>
    <w:div w:id="1760590912">
      <w:bodyDiv w:val="1"/>
      <w:marLeft w:val="0"/>
      <w:marRight w:val="0"/>
      <w:marTop w:val="0"/>
      <w:marBottom w:val="0"/>
      <w:divBdr>
        <w:top w:val="none" w:sz="0" w:space="0" w:color="auto"/>
        <w:left w:val="none" w:sz="0" w:space="0" w:color="auto"/>
        <w:bottom w:val="none" w:sz="0" w:space="0" w:color="auto"/>
        <w:right w:val="none" w:sz="0" w:space="0" w:color="auto"/>
      </w:divBdr>
    </w:div>
    <w:div w:id="1760632856">
      <w:bodyDiv w:val="1"/>
      <w:marLeft w:val="0"/>
      <w:marRight w:val="0"/>
      <w:marTop w:val="0"/>
      <w:marBottom w:val="0"/>
      <w:divBdr>
        <w:top w:val="none" w:sz="0" w:space="0" w:color="auto"/>
        <w:left w:val="none" w:sz="0" w:space="0" w:color="auto"/>
        <w:bottom w:val="none" w:sz="0" w:space="0" w:color="auto"/>
        <w:right w:val="none" w:sz="0" w:space="0" w:color="auto"/>
      </w:divBdr>
    </w:div>
    <w:div w:id="1760830855">
      <w:bodyDiv w:val="1"/>
      <w:marLeft w:val="0"/>
      <w:marRight w:val="0"/>
      <w:marTop w:val="0"/>
      <w:marBottom w:val="0"/>
      <w:divBdr>
        <w:top w:val="none" w:sz="0" w:space="0" w:color="auto"/>
        <w:left w:val="none" w:sz="0" w:space="0" w:color="auto"/>
        <w:bottom w:val="none" w:sz="0" w:space="0" w:color="auto"/>
        <w:right w:val="none" w:sz="0" w:space="0" w:color="auto"/>
      </w:divBdr>
    </w:div>
    <w:div w:id="1760834871">
      <w:bodyDiv w:val="1"/>
      <w:marLeft w:val="0"/>
      <w:marRight w:val="0"/>
      <w:marTop w:val="0"/>
      <w:marBottom w:val="0"/>
      <w:divBdr>
        <w:top w:val="none" w:sz="0" w:space="0" w:color="auto"/>
        <w:left w:val="none" w:sz="0" w:space="0" w:color="auto"/>
        <w:bottom w:val="none" w:sz="0" w:space="0" w:color="auto"/>
        <w:right w:val="none" w:sz="0" w:space="0" w:color="auto"/>
      </w:divBdr>
    </w:div>
    <w:div w:id="1761098955">
      <w:bodyDiv w:val="1"/>
      <w:marLeft w:val="0"/>
      <w:marRight w:val="0"/>
      <w:marTop w:val="0"/>
      <w:marBottom w:val="0"/>
      <w:divBdr>
        <w:top w:val="none" w:sz="0" w:space="0" w:color="auto"/>
        <w:left w:val="none" w:sz="0" w:space="0" w:color="auto"/>
        <w:bottom w:val="none" w:sz="0" w:space="0" w:color="auto"/>
        <w:right w:val="none" w:sz="0" w:space="0" w:color="auto"/>
      </w:divBdr>
    </w:div>
    <w:div w:id="1761173788">
      <w:bodyDiv w:val="1"/>
      <w:marLeft w:val="0"/>
      <w:marRight w:val="0"/>
      <w:marTop w:val="0"/>
      <w:marBottom w:val="0"/>
      <w:divBdr>
        <w:top w:val="none" w:sz="0" w:space="0" w:color="auto"/>
        <w:left w:val="none" w:sz="0" w:space="0" w:color="auto"/>
        <w:bottom w:val="none" w:sz="0" w:space="0" w:color="auto"/>
        <w:right w:val="none" w:sz="0" w:space="0" w:color="auto"/>
      </w:divBdr>
    </w:div>
    <w:div w:id="1761293337">
      <w:bodyDiv w:val="1"/>
      <w:marLeft w:val="0"/>
      <w:marRight w:val="0"/>
      <w:marTop w:val="0"/>
      <w:marBottom w:val="0"/>
      <w:divBdr>
        <w:top w:val="none" w:sz="0" w:space="0" w:color="auto"/>
        <w:left w:val="none" w:sz="0" w:space="0" w:color="auto"/>
        <w:bottom w:val="none" w:sz="0" w:space="0" w:color="auto"/>
        <w:right w:val="none" w:sz="0" w:space="0" w:color="auto"/>
      </w:divBdr>
    </w:div>
    <w:div w:id="1761372049">
      <w:bodyDiv w:val="1"/>
      <w:marLeft w:val="0"/>
      <w:marRight w:val="0"/>
      <w:marTop w:val="0"/>
      <w:marBottom w:val="0"/>
      <w:divBdr>
        <w:top w:val="none" w:sz="0" w:space="0" w:color="auto"/>
        <w:left w:val="none" w:sz="0" w:space="0" w:color="auto"/>
        <w:bottom w:val="none" w:sz="0" w:space="0" w:color="auto"/>
        <w:right w:val="none" w:sz="0" w:space="0" w:color="auto"/>
      </w:divBdr>
    </w:div>
    <w:div w:id="1761483556">
      <w:bodyDiv w:val="1"/>
      <w:marLeft w:val="0"/>
      <w:marRight w:val="0"/>
      <w:marTop w:val="0"/>
      <w:marBottom w:val="0"/>
      <w:divBdr>
        <w:top w:val="none" w:sz="0" w:space="0" w:color="auto"/>
        <w:left w:val="none" w:sz="0" w:space="0" w:color="auto"/>
        <w:bottom w:val="none" w:sz="0" w:space="0" w:color="auto"/>
        <w:right w:val="none" w:sz="0" w:space="0" w:color="auto"/>
      </w:divBdr>
    </w:div>
    <w:div w:id="1761489918">
      <w:bodyDiv w:val="1"/>
      <w:marLeft w:val="0"/>
      <w:marRight w:val="0"/>
      <w:marTop w:val="0"/>
      <w:marBottom w:val="0"/>
      <w:divBdr>
        <w:top w:val="none" w:sz="0" w:space="0" w:color="auto"/>
        <w:left w:val="none" w:sz="0" w:space="0" w:color="auto"/>
        <w:bottom w:val="none" w:sz="0" w:space="0" w:color="auto"/>
        <w:right w:val="none" w:sz="0" w:space="0" w:color="auto"/>
      </w:divBdr>
    </w:div>
    <w:div w:id="1761635332">
      <w:bodyDiv w:val="1"/>
      <w:marLeft w:val="0"/>
      <w:marRight w:val="0"/>
      <w:marTop w:val="0"/>
      <w:marBottom w:val="0"/>
      <w:divBdr>
        <w:top w:val="none" w:sz="0" w:space="0" w:color="auto"/>
        <w:left w:val="none" w:sz="0" w:space="0" w:color="auto"/>
        <w:bottom w:val="none" w:sz="0" w:space="0" w:color="auto"/>
        <w:right w:val="none" w:sz="0" w:space="0" w:color="auto"/>
      </w:divBdr>
    </w:div>
    <w:div w:id="1761753083">
      <w:bodyDiv w:val="1"/>
      <w:marLeft w:val="0"/>
      <w:marRight w:val="0"/>
      <w:marTop w:val="0"/>
      <w:marBottom w:val="0"/>
      <w:divBdr>
        <w:top w:val="none" w:sz="0" w:space="0" w:color="auto"/>
        <w:left w:val="none" w:sz="0" w:space="0" w:color="auto"/>
        <w:bottom w:val="none" w:sz="0" w:space="0" w:color="auto"/>
        <w:right w:val="none" w:sz="0" w:space="0" w:color="auto"/>
      </w:divBdr>
    </w:div>
    <w:div w:id="1761871153">
      <w:bodyDiv w:val="1"/>
      <w:marLeft w:val="0"/>
      <w:marRight w:val="0"/>
      <w:marTop w:val="0"/>
      <w:marBottom w:val="0"/>
      <w:divBdr>
        <w:top w:val="none" w:sz="0" w:space="0" w:color="auto"/>
        <w:left w:val="none" w:sz="0" w:space="0" w:color="auto"/>
        <w:bottom w:val="none" w:sz="0" w:space="0" w:color="auto"/>
        <w:right w:val="none" w:sz="0" w:space="0" w:color="auto"/>
      </w:divBdr>
    </w:div>
    <w:div w:id="1761871233">
      <w:bodyDiv w:val="1"/>
      <w:marLeft w:val="0"/>
      <w:marRight w:val="0"/>
      <w:marTop w:val="0"/>
      <w:marBottom w:val="0"/>
      <w:divBdr>
        <w:top w:val="none" w:sz="0" w:space="0" w:color="auto"/>
        <w:left w:val="none" w:sz="0" w:space="0" w:color="auto"/>
        <w:bottom w:val="none" w:sz="0" w:space="0" w:color="auto"/>
        <w:right w:val="none" w:sz="0" w:space="0" w:color="auto"/>
      </w:divBdr>
    </w:div>
    <w:div w:id="1761871438">
      <w:bodyDiv w:val="1"/>
      <w:marLeft w:val="0"/>
      <w:marRight w:val="0"/>
      <w:marTop w:val="0"/>
      <w:marBottom w:val="0"/>
      <w:divBdr>
        <w:top w:val="none" w:sz="0" w:space="0" w:color="auto"/>
        <w:left w:val="none" w:sz="0" w:space="0" w:color="auto"/>
        <w:bottom w:val="none" w:sz="0" w:space="0" w:color="auto"/>
        <w:right w:val="none" w:sz="0" w:space="0" w:color="auto"/>
      </w:divBdr>
    </w:div>
    <w:div w:id="1761901441">
      <w:bodyDiv w:val="1"/>
      <w:marLeft w:val="0"/>
      <w:marRight w:val="0"/>
      <w:marTop w:val="0"/>
      <w:marBottom w:val="0"/>
      <w:divBdr>
        <w:top w:val="none" w:sz="0" w:space="0" w:color="auto"/>
        <w:left w:val="none" w:sz="0" w:space="0" w:color="auto"/>
        <w:bottom w:val="none" w:sz="0" w:space="0" w:color="auto"/>
        <w:right w:val="none" w:sz="0" w:space="0" w:color="auto"/>
      </w:divBdr>
    </w:div>
    <w:div w:id="1762137386">
      <w:bodyDiv w:val="1"/>
      <w:marLeft w:val="0"/>
      <w:marRight w:val="0"/>
      <w:marTop w:val="0"/>
      <w:marBottom w:val="0"/>
      <w:divBdr>
        <w:top w:val="none" w:sz="0" w:space="0" w:color="auto"/>
        <w:left w:val="none" w:sz="0" w:space="0" w:color="auto"/>
        <w:bottom w:val="none" w:sz="0" w:space="0" w:color="auto"/>
        <w:right w:val="none" w:sz="0" w:space="0" w:color="auto"/>
      </w:divBdr>
    </w:div>
    <w:div w:id="1762220022">
      <w:bodyDiv w:val="1"/>
      <w:marLeft w:val="0"/>
      <w:marRight w:val="0"/>
      <w:marTop w:val="0"/>
      <w:marBottom w:val="0"/>
      <w:divBdr>
        <w:top w:val="none" w:sz="0" w:space="0" w:color="auto"/>
        <w:left w:val="none" w:sz="0" w:space="0" w:color="auto"/>
        <w:bottom w:val="none" w:sz="0" w:space="0" w:color="auto"/>
        <w:right w:val="none" w:sz="0" w:space="0" w:color="auto"/>
      </w:divBdr>
    </w:div>
    <w:div w:id="1762220354">
      <w:bodyDiv w:val="1"/>
      <w:marLeft w:val="0"/>
      <w:marRight w:val="0"/>
      <w:marTop w:val="0"/>
      <w:marBottom w:val="0"/>
      <w:divBdr>
        <w:top w:val="none" w:sz="0" w:space="0" w:color="auto"/>
        <w:left w:val="none" w:sz="0" w:space="0" w:color="auto"/>
        <w:bottom w:val="none" w:sz="0" w:space="0" w:color="auto"/>
        <w:right w:val="none" w:sz="0" w:space="0" w:color="auto"/>
      </w:divBdr>
    </w:div>
    <w:div w:id="1762294757">
      <w:bodyDiv w:val="1"/>
      <w:marLeft w:val="0"/>
      <w:marRight w:val="0"/>
      <w:marTop w:val="0"/>
      <w:marBottom w:val="0"/>
      <w:divBdr>
        <w:top w:val="none" w:sz="0" w:space="0" w:color="auto"/>
        <w:left w:val="none" w:sz="0" w:space="0" w:color="auto"/>
        <w:bottom w:val="none" w:sz="0" w:space="0" w:color="auto"/>
        <w:right w:val="none" w:sz="0" w:space="0" w:color="auto"/>
      </w:divBdr>
    </w:div>
    <w:div w:id="1762337469">
      <w:bodyDiv w:val="1"/>
      <w:marLeft w:val="0"/>
      <w:marRight w:val="0"/>
      <w:marTop w:val="0"/>
      <w:marBottom w:val="0"/>
      <w:divBdr>
        <w:top w:val="none" w:sz="0" w:space="0" w:color="auto"/>
        <w:left w:val="none" w:sz="0" w:space="0" w:color="auto"/>
        <w:bottom w:val="none" w:sz="0" w:space="0" w:color="auto"/>
        <w:right w:val="none" w:sz="0" w:space="0" w:color="auto"/>
      </w:divBdr>
    </w:div>
    <w:div w:id="1762339167">
      <w:bodyDiv w:val="1"/>
      <w:marLeft w:val="0"/>
      <w:marRight w:val="0"/>
      <w:marTop w:val="0"/>
      <w:marBottom w:val="0"/>
      <w:divBdr>
        <w:top w:val="none" w:sz="0" w:space="0" w:color="auto"/>
        <w:left w:val="none" w:sz="0" w:space="0" w:color="auto"/>
        <w:bottom w:val="none" w:sz="0" w:space="0" w:color="auto"/>
        <w:right w:val="none" w:sz="0" w:space="0" w:color="auto"/>
      </w:divBdr>
    </w:div>
    <w:div w:id="1762489428">
      <w:bodyDiv w:val="1"/>
      <w:marLeft w:val="0"/>
      <w:marRight w:val="0"/>
      <w:marTop w:val="0"/>
      <w:marBottom w:val="0"/>
      <w:divBdr>
        <w:top w:val="none" w:sz="0" w:space="0" w:color="auto"/>
        <w:left w:val="none" w:sz="0" w:space="0" w:color="auto"/>
        <w:bottom w:val="none" w:sz="0" w:space="0" w:color="auto"/>
        <w:right w:val="none" w:sz="0" w:space="0" w:color="auto"/>
      </w:divBdr>
    </w:div>
    <w:div w:id="1762525310">
      <w:bodyDiv w:val="1"/>
      <w:marLeft w:val="0"/>
      <w:marRight w:val="0"/>
      <w:marTop w:val="0"/>
      <w:marBottom w:val="0"/>
      <w:divBdr>
        <w:top w:val="none" w:sz="0" w:space="0" w:color="auto"/>
        <w:left w:val="none" w:sz="0" w:space="0" w:color="auto"/>
        <w:bottom w:val="none" w:sz="0" w:space="0" w:color="auto"/>
        <w:right w:val="none" w:sz="0" w:space="0" w:color="auto"/>
      </w:divBdr>
    </w:div>
    <w:div w:id="1762531018">
      <w:bodyDiv w:val="1"/>
      <w:marLeft w:val="0"/>
      <w:marRight w:val="0"/>
      <w:marTop w:val="0"/>
      <w:marBottom w:val="0"/>
      <w:divBdr>
        <w:top w:val="none" w:sz="0" w:space="0" w:color="auto"/>
        <w:left w:val="none" w:sz="0" w:space="0" w:color="auto"/>
        <w:bottom w:val="none" w:sz="0" w:space="0" w:color="auto"/>
        <w:right w:val="none" w:sz="0" w:space="0" w:color="auto"/>
      </w:divBdr>
    </w:div>
    <w:div w:id="1762598764">
      <w:bodyDiv w:val="1"/>
      <w:marLeft w:val="0"/>
      <w:marRight w:val="0"/>
      <w:marTop w:val="0"/>
      <w:marBottom w:val="0"/>
      <w:divBdr>
        <w:top w:val="none" w:sz="0" w:space="0" w:color="auto"/>
        <w:left w:val="none" w:sz="0" w:space="0" w:color="auto"/>
        <w:bottom w:val="none" w:sz="0" w:space="0" w:color="auto"/>
        <w:right w:val="none" w:sz="0" w:space="0" w:color="auto"/>
      </w:divBdr>
    </w:div>
    <w:div w:id="1762679664">
      <w:bodyDiv w:val="1"/>
      <w:marLeft w:val="0"/>
      <w:marRight w:val="0"/>
      <w:marTop w:val="0"/>
      <w:marBottom w:val="0"/>
      <w:divBdr>
        <w:top w:val="none" w:sz="0" w:space="0" w:color="auto"/>
        <w:left w:val="none" w:sz="0" w:space="0" w:color="auto"/>
        <w:bottom w:val="none" w:sz="0" w:space="0" w:color="auto"/>
        <w:right w:val="none" w:sz="0" w:space="0" w:color="auto"/>
      </w:divBdr>
    </w:div>
    <w:div w:id="1762680070">
      <w:bodyDiv w:val="1"/>
      <w:marLeft w:val="0"/>
      <w:marRight w:val="0"/>
      <w:marTop w:val="0"/>
      <w:marBottom w:val="0"/>
      <w:divBdr>
        <w:top w:val="none" w:sz="0" w:space="0" w:color="auto"/>
        <w:left w:val="none" w:sz="0" w:space="0" w:color="auto"/>
        <w:bottom w:val="none" w:sz="0" w:space="0" w:color="auto"/>
        <w:right w:val="none" w:sz="0" w:space="0" w:color="auto"/>
      </w:divBdr>
    </w:div>
    <w:div w:id="1762680348">
      <w:bodyDiv w:val="1"/>
      <w:marLeft w:val="0"/>
      <w:marRight w:val="0"/>
      <w:marTop w:val="0"/>
      <w:marBottom w:val="0"/>
      <w:divBdr>
        <w:top w:val="none" w:sz="0" w:space="0" w:color="auto"/>
        <w:left w:val="none" w:sz="0" w:space="0" w:color="auto"/>
        <w:bottom w:val="none" w:sz="0" w:space="0" w:color="auto"/>
        <w:right w:val="none" w:sz="0" w:space="0" w:color="auto"/>
      </w:divBdr>
    </w:div>
    <w:div w:id="1762682006">
      <w:bodyDiv w:val="1"/>
      <w:marLeft w:val="0"/>
      <w:marRight w:val="0"/>
      <w:marTop w:val="0"/>
      <w:marBottom w:val="0"/>
      <w:divBdr>
        <w:top w:val="none" w:sz="0" w:space="0" w:color="auto"/>
        <w:left w:val="none" w:sz="0" w:space="0" w:color="auto"/>
        <w:bottom w:val="none" w:sz="0" w:space="0" w:color="auto"/>
        <w:right w:val="none" w:sz="0" w:space="0" w:color="auto"/>
      </w:divBdr>
    </w:div>
    <w:div w:id="1762722647">
      <w:bodyDiv w:val="1"/>
      <w:marLeft w:val="0"/>
      <w:marRight w:val="0"/>
      <w:marTop w:val="0"/>
      <w:marBottom w:val="0"/>
      <w:divBdr>
        <w:top w:val="none" w:sz="0" w:space="0" w:color="auto"/>
        <w:left w:val="none" w:sz="0" w:space="0" w:color="auto"/>
        <w:bottom w:val="none" w:sz="0" w:space="0" w:color="auto"/>
        <w:right w:val="none" w:sz="0" w:space="0" w:color="auto"/>
      </w:divBdr>
    </w:div>
    <w:div w:id="1762724128">
      <w:bodyDiv w:val="1"/>
      <w:marLeft w:val="0"/>
      <w:marRight w:val="0"/>
      <w:marTop w:val="0"/>
      <w:marBottom w:val="0"/>
      <w:divBdr>
        <w:top w:val="none" w:sz="0" w:space="0" w:color="auto"/>
        <w:left w:val="none" w:sz="0" w:space="0" w:color="auto"/>
        <w:bottom w:val="none" w:sz="0" w:space="0" w:color="auto"/>
        <w:right w:val="none" w:sz="0" w:space="0" w:color="auto"/>
      </w:divBdr>
    </w:div>
    <w:div w:id="1762794548">
      <w:bodyDiv w:val="1"/>
      <w:marLeft w:val="0"/>
      <w:marRight w:val="0"/>
      <w:marTop w:val="0"/>
      <w:marBottom w:val="0"/>
      <w:divBdr>
        <w:top w:val="none" w:sz="0" w:space="0" w:color="auto"/>
        <w:left w:val="none" w:sz="0" w:space="0" w:color="auto"/>
        <w:bottom w:val="none" w:sz="0" w:space="0" w:color="auto"/>
        <w:right w:val="none" w:sz="0" w:space="0" w:color="auto"/>
      </w:divBdr>
    </w:div>
    <w:div w:id="1762799084">
      <w:bodyDiv w:val="1"/>
      <w:marLeft w:val="0"/>
      <w:marRight w:val="0"/>
      <w:marTop w:val="0"/>
      <w:marBottom w:val="0"/>
      <w:divBdr>
        <w:top w:val="none" w:sz="0" w:space="0" w:color="auto"/>
        <w:left w:val="none" w:sz="0" w:space="0" w:color="auto"/>
        <w:bottom w:val="none" w:sz="0" w:space="0" w:color="auto"/>
        <w:right w:val="none" w:sz="0" w:space="0" w:color="auto"/>
      </w:divBdr>
    </w:div>
    <w:div w:id="1762867511">
      <w:bodyDiv w:val="1"/>
      <w:marLeft w:val="0"/>
      <w:marRight w:val="0"/>
      <w:marTop w:val="0"/>
      <w:marBottom w:val="0"/>
      <w:divBdr>
        <w:top w:val="none" w:sz="0" w:space="0" w:color="auto"/>
        <w:left w:val="none" w:sz="0" w:space="0" w:color="auto"/>
        <w:bottom w:val="none" w:sz="0" w:space="0" w:color="auto"/>
        <w:right w:val="none" w:sz="0" w:space="0" w:color="auto"/>
      </w:divBdr>
    </w:div>
    <w:div w:id="1762869755">
      <w:bodyDiv w:val="1"/>
      <w:marLeft w:val="0"/>
      <w:marRight w:val="0"/>
      <w:marTop w:val="0"/>
      <w:marBottom w:val="0"/>
      <w:divBdr>
        <w:top w:val="none" w:sz="0" w:space="0" w:color="auto"/>
        <w:left w:val="none" w:sz="0" w:space="0" w:color="auto"/>
        <w:bottom w:val="none" w:sz="0" w:space="0" w:color="auto"/>
        <w:right w:val="none" w:sz="0" w:space="0" w:color="auto"/>
      </w:divBdr>
    </w:div>
    <w:div w:id="1762872305">
      <w:bodyDiv w:val="1"/>
      <w:marLeft w:val="0"/>
      <w:marRight w:val="0"/>
      <w:marTop w:val="0"/>
      <w:marBottom w:val="0"/>
      <w:divBdr>
        <w:top w:val="none" w:sz="0" w:space="0" w:color="auto"/>
        <w:left w:val="none" w:sz="0" w:space="0" w:color="auto"/>
        <w:bottom w:val="none" w:sz="0" w:space="0" w:color="auto"/>
        <w:right w:val="none" w:sz="0" w:space="0" w:color="auto"/>
      </w:divBdr>
    </w:div>
    <w:div w:id="1762943434">
      <w:bodyDiv w:val="1"/>
      <w:marLeft w:val="0"/>
      <w:marRight w:val="0"/>
      <w:marTop w:val="0"/>
      <w:marBottom w:val="0"/>
      <w:divBdr>
        <w:top w:val="none" w:sz="0" w:space="0" w:color="auto"/>
        <w:left w:val="none" w:sz="0" w:space="0" w:color="auto"/>
        <w:bottom w:val="none" w:sz="0" w:space="0" w:color="auto"/>
        <w:right w:val="none" w:sz="0" w:space="0" w:color="auto"/>
      </w:divBdr>
    </w:div>
    <w:div w:id="1762989396">
      <w:bodyDiv w:val="1"/>
      <w:marLeft w:val="0"/>
      <w:marRight w:val="0"/>
      <w:marTop w:val="0"/>
      <w:marBottom w:val="0"/>
      <w:divBdr>
        <w:top w:val="none" w:sz="0" w:space="0" w:color="auto"/>
        <w:left w:val="none" w:sz="0" w:space="0" w:color="auto"/>
        <w:bottom w:val="none" w:sz="0" w:space="0" w:color="auto"/>
        <w:right w:val="none" w:sz="0" w:space="0" w:color="auto"/>
      </w:divBdr>
    </w:div>
    <w:div w:id="1762989599">
      <w:bodyDiv w:val="1"/>
      <w:marLeft w:val="0"/>
      <w:marRight w:val="0"/>
      <w:marTop w:val="0"/>
      <w:marBottom w:val="0"/>
      <w:divBdr>
        <w:top w:val="none" w:sz="0" w:space="0" w:color="auto"/>
        <w:left w:val="none" w:sz="0" w:space="0" w:color="auto"/>
        <w:bottom w:val="none" w:sz="0" w:space="0" w:color="auto"/>
        <w:right w:val="none" w:sz="0" w:space="0" w:color="auto"/>
      </w:divBdr>
    </w:div>
    <w:div w:id="1763070201">
      <w:bodyDiv w:val="1"/>
      <w:marLeft w:val="0"/>
      <w:marRight w:val="0"/>
      <w:marTop w:val="0"/>
      <w:marBottom w:val="0"/>
      <w:divBdr>
        <w:top w:val="none" w:sz="0" w:space="0" w:color="auto"/>
        <w:left w:val="none" w:sz="0" w:space="0" w:color="auto"/>
        <w:bottom w:val="none" w:sz="0" w:space="0" w:color="auto"/>
        <w:right w:val="none" w:sz="0" w:space="0" w:color="auto"/>
      </w:divBdr>
    </w:div>
    <w:div w:id="1763184225">
      <w:bodyDiv w:val="1"/>
      <w:marLeft w:val="0"/>
      <w:marRight w:val="0"/>
      <w:marTop w:val="0"/>
      <w:marBottom w:val="0"/>
      <w:divBdr>
        <w:top w:val="none" w:sz="0" w:space="0" w:color="auto"/>
        <w:left w:val="none" w:sz="0" w:space="0" w:color="auto"/>
        <w:bottom w:val="none" w:sz="0" w:space="0" w:color="auto"/>
        <w:right w:val="none" w:sz="0" w:space="0" w:color="auto"/>
      </w:divBdr>
    </w:div>
    <w:div w:id="1763254330">
      <w:bodyDiv w:val="1"/>
      <w:marLeft w:val="0"/>
      <w:marRight w:val="0"/>
      <w:marTop w:val="0"/>
      <w:marBottom w:val="0"/>
      <w:divBdr>
        <w:top w:val="none" w:sz="0" w:space="0" w:color="auto"/>
        <w:left w:val="none" w:sz="0" w:space="0" w:color="auto"/>
        <w:bottom w:val="none" w:sz="0" w:space="0" w:color="auto"/>
        <w:right w:val="none" w:sz="0" w:space="0" w:color="auto"/>
      </w:divBdr>
    </w:div>
    <w:div w:id="1763262336">
      <w:bodyDiv w:val="1"/>
      <w:marLeft w:val="0"/>
      <w:marRight w:val="0"/>
      <w:marTop w:val="0"/>
      <w:marBottom w:val="0"/>
      <w:divBdr>
        <w:top w:val="none" w:sz="0" w:space="0" w:color="auto"/>
        <w:left w:val="none" w:sz="0" w:space="0" w:color="auto"/>
        <w:bottom w:val="none" w:sz="0" w:space="0" w:color="auto"/>
        <w:right w:val="none" w:sz="0" w:space="0" w:color="auto"/>
      </w:divBdr>
    </w:div>
    <w:div w:id="1763333297">
      <w:bodyDiv w:val="1"/>
      <w:marLeft w:val="0"/>
      <w:marRight w:val="0"/>
      <w:marTop w:val="0"/>
      <w:marBottom w:val="0"/>
      <w:divBdr>
        <w:top w:val="none" w:sz="0" w:space="0" w:color="auto"/>
        <w:left w:val="none" w:sz="0" w:space="0" w:color="auto"/>
        <w:bottom w:val="none" w:sz="0" w:space="0" w:color="auto"/>
        <w:right w:val="none" w:sz="0" w:space="0" w:color="auto"/>
      </w:divBdr>
    </w:div>
    <w:div w:id="1763599779">
      <w:bodyDiv w:val="1"/>
      <w:marLeft w:val="0"/>
      <w:marRight w:val="0"/>
      <w:marTop w:val="0"/>
      <w:marBottom w:val="0"/>
      <w:divBdr>
        <w:top w:val="none" w:sz="0" w:space="0" w:color="auto"/>
        <w:left w:val="none" w:sz="0" w:space="0" w:color="auto"/>
        <w:bottom w:val="none" w:sz="0" w:space="0" w:color="auto"/>
        <w:right w:val="none" w:sz="0" w:space="0" w:color="auto"/>
      </w:divBdr>
    </w:div>
    <w:div w:id="1763644677">
      <w:bodyDiv w:val="1"/>
      <w:marLeft w:val="0"/>
      <w:marRight w:val="0"/>
      <w:marTop w:val="0"/>
      <w:marBottom w:val="0"/>
      <w:divBdr>
        <w:top w:val="none" w:sz="0" w:space="0" w:color="auto"/>
        <w:left w:val="none" w:sz="0" w:space="0" w:color="auto"/>
        <w:bottom w:val="none" w:sz="0" w:space="0" w:color="auto"/>
        <w:right w:val="none" w:sz="0" w:space="0" w:color="auto"/>
      </w:divBdr>
    </w:div>
    <w:div w:id="1763718745">
      <w:bodyDiv w:val="1"/>
      <w:marLeft w:val="0"/>
      <w:marRight w:val="0"/>
      <w:marTop w:val="0"/>
      <w:marBottom w:val="0"/>
      <w:divBdr>
        <w:top w:val="none" w:sz="0" w:space="0" w:color="auto"/>
        <w:left w:val="none" w:sz="0" w:space="0" w:color="auto"/>
        <w:bottom w:val="none" w:sz="0" w:space="0" w:color="auto"/>
        <w:right w:val="none" w:sz="0" w:space="0" w:color="auto"/>
      </w:divBdr>
    </w:div>
    <w:div w:id="1763723563">
      <w:bodyDiv w:val="1"/>
      <w:marLeft w:val="0"/>
      <w:marRight w:val="0"/>
      <w:marTop w:val="0"/>
      <w:marBottom w:val="0"/>
      <w:divBdr>
        <w:top w:val="none" w:sz="0" w:space="0" w:color="auto"/>
        <w:left w:val="none" w:sz="0" w:space="0" w:color="auto"/>
        <w:bottom w:val="none" w:sz="0" w:space="0" w:color="auto"/>
        <w:right w:val="none" w:sz="0" w:space="0" w:color="auto"/>
      </w:divBdr>
    </w:div>
    <w:div w:id="1763840678">
      <w:bodyDiv w:val="1"/>
      <w:marLeft w:val="0"/>
      <w:marRight w:val="0"/>
      <w:marTop w:val="0"/>
      <w:marBottom w:val="0"/>
      <w:divBdr>
        <w:top w:val="none" w:sz="0" w:space="0" w:color="auto"/>
        <w:left w:val="none" w:sz="0" w:space="0" w:color="auto"/>
        <w:bottom w:val="none" w:sz="0" w:space="0" w:color="auto"/>
        <w:right w:val="none" w:sz="0" w:space="0" w:color="auto"/>
      </w:divBdr>
    </w:div>
    <w:div w:id="1763913780">
      <w:bodyDiv w:val="1"/>
      <w:marLeft w:val="0"/>
      <w:marRight w:val="0"/>
      <w:marTop w:val="0"/>
      <w:marBottom w:val="0"/>
      <w:divBdr>
        <w:top w:val="none" w:sz="0" w:space="0" w:color="auto"/>
        <w:left w:val="none" w:sz="0" w:space="0" w:color="auto"/>
        <w:bottom w:val="none" w:sz="0" w:space="0" w:color="auto"/>
        <w:right w:val="none" w:sz="0" w:space="0" w:color="auto"/>
      </w:divBdr>
    </w:div>
    <w:div w:id="1763992769">
      <w:bodyDiv w:val="1"/>
      <w:marLeft w:val="0"/>
      <w:marRight w:val="0"/>
      <w:marTop w:val="0"/>
      <w:marBottom w:val="0"/>
      <w:divBdr>
        <w:top w:val="none" w:sz="0" w:space="0" w:color="auto"/>
        <w:left w:val="none" w:sz="0" w:space="0" w:color="auto"/>
        <w:bottom w:val="none" w:sz="0" w:space="0" w:color="auto"/>
        <w:right w:val="none" w:sz="0" w:space="0" w:color="auto"/>
      </w:divBdr>
    </w:div>
    <w:div w:id="1764034101">
      <w:bodyDiv w:val="1"/>
      <w:marLeft w:val="0"/>
      <w:marRight w:val="0"/>
      <w:marTop w:val="0"/>
      <w:marBottom w:val="0"/>
      <w:divBdr>
        <w:top w:val="none" w:sz="0" w:space="0" w:color="auto"/>
        <w:left w:val="none" w:sz="0" w:space="0" w:color="auto"/>
        <w:bottom w:val="none" w:sz="0" w:space="0" w:color="auto"/>
        <w:right w:val="none" w:sz="0" w:space="0" w:color="auto"/>
      </w:divBdr>
    </w:div>
    <w:div w:id="1764063944">
      <w:bodyDiv w:val="1"/>
      <w:marLeft w:val="0"/>
      <w:marRight w:val="0"/>
      <w:marTop w:val="0"/>
      <w:marBottom w:val="0"/>
      <w:divBdr>
        <w:top w:val="none" w:sz="0" w:space="0" w:color="auto"/>
        <w:left w:val="none" w:sz="0" w:space="0" w:color="auto"/>
        <w:bottom w:val="none" w:sz="0" w:space="0" w:color="auto"/>
        <w:right w:val="none" w:sz="0" w:space="0" w:color="auto"/>
      </w:divBdr>
    </w:div>
    <w:div w:id="1764108610">
      <w:bodyDiv w:val="1"/>
      <w:marLeft w:val="0"/>
      <w:marRight w:val="0"/>
      <w:marTop w:val="0"/>
      <w:marBottom w:val="0"/>
      <w:divBdr>
        <w:top w:val="none" w:sz="0" w:space="0" w:color="auto"/>
        <w:left w:val="none" w:sz="0" w:space="0" w:color="auto"/>
        <w:bottom w:val="none" w:sz="0" w:space="0" w:color="auto"/>
        <w:right w:val="none" w:sz="0" w:space="0" w:color="auto"/>
      </w:divBdr>
    </w:div>
    <w:div w:id="1764301606">
      <w:bodyDiv w:val="1"/>
      <w:marLeft w:val="0"/>
      <w:marRight w:val="0"/>
      <w:marTop w:val="0"/>
      <w:marBottom w:val="0"/>
      <w:divBdr>
        <w:top w:val="none" w:sz="0" w:space="0" w:color="auto"/>
        <w:left w:val="none" w:sz="0" w:space="0" w:color="auto"/>
        <w:bottom w:val="none" w:sz="0" w:space="0" w:color="auto"/>
        <w:right w:val="none" w:sz="0" w:space="0" w:color="auto"/>
      </w:divBdr>
    </w:div>
    <w:div w:id="1764375642">
      <w:bodyDiv w:val="1"/>
      <w:marLeft w:val="0"/>
      <w:marRight w:val="0"/>
      <w:marTop w:val="0"/>
      <w:marBottom w:val="0"/>
      <w:divBdr>
        <w:top w:val="none" w:sz="0" w:space="0" w:color="auto"/>
        <w:left w:val="none" w:sz="0" w:space="0" w:color="auto"/>
        <w:bottom w:val="none" w:sz="0" w:space="0" w:color="auto"/>
        <w:right w:val="none" w:sz="0" w:space="0" w:color="auto"/>
      </w:divBdr>
    </w:div>
    <w:div w:id="1764491809">
      <w:bodyDiv w:val="1"/>
      <w:marLeft w:val="0"/>
      <w:marRight w:val="0"/>
      <w:marTop w:val="0"/>
      <w:marBottom w:val="0"/>
      <w:divBdr>
        <w:top w:val="none" w:sz="0" w:space="0" w:color="auto"/>
        <w:left w:val="none" w:sz="0" w:space="0" w:color="auto"/>
        <w:bottom w:val="none" w:sz="0" w:space="0" w:color="auto"/>
        <w:right w:val="none" w:sz="0" w:space="0" w:color="auto"/>
      </w:divBdr>
    </w:div>
    <w:div w:id="1764491908">
      <w:bodyDiv w:val="1"/>
      <w:marLeft w:val="0"/>
      <w:marRight w:val="0"/>
      <w:marTop w:val="0"/>
      <w:marBottom w:val="0"/>
      <w:divBdr>
        <w:top w:val="none" w:sz="0" w:space="0" w:color="auto"/>
        <w:left w:val="none" w:sz="0" w:space="0" w:color="auto"/>
        <w:bottom w:val="none" w:sz="0" w:space="0" w:color="auto"/>
        <w:right w:val="none" w:sz="0" w:space="0" w:color="auto"/>
      </w:divBdr>
    </w:div>
    <w:div w:id="1764573351">
      <w:bodyDiv w:val="1"/>
      <w:marLeft w:val="0"/>
      <w:marRight w:val="0"/>
      <w:marTop w:val="0"/>
      <w:marBottom w:val="0"/>
      <w:divBdr>
        <w:top w:val="none" w:sz="0" w:space="0" w:color="auto"/>
        <w:left w:val="none" w:sz="0" w:space="0" w:color="auto"/>
        <w:bottom w:val="none" w:sz="0" w:space="0" w:color="auto"/>
        <w:right w:val="none" w:sz="0" w:space="0" w:color="auto"/>
      </w:divBdr>
    </w:div>
    <w:div w:id="1764574180">
      <w:bodyDiv w:val="1"/>
      <w:marLeft w:val="0"/>
      <w:marRight w:val="0"/>
      <w:marTop w:val="0"/>
      <w:marBottom w:val="0"/>
      <w:divBdr>
        <w:top w:val="none" w:sz="0" w:space="0" w:color="auto"/>
        <w:left w:val="none" w:sz="0" w:space="0" w:color="auto"/>
        <w:bottom w:val="none" w:sz="0" w:space="0" w:color="auto"/>
        <w:right w:val="none" w:sz="0" w:space="0" w:color="auto"/>
      </w:divBdr>
    </w:div>
    <w:div w:id="1764644286">
      <w:bodyDiv w:val="1"/>
      <w:marLeft w:val="0"/>
      <w:marRight w:val="0"/>
      <w:marTop w:val="0"/>
      <w:marBottom w:val="0"/>
      <w:divBdr>
        <w:top w:val="none" w:sz="0" w:space="0" w:color="auto"/>
        <w:left w:val="none" w:sz="0" w:space="0" w:color="auto"/>
        <w:bottom w:val="none" w:sz="0" w:space="0" w:color="auto"/>
        <w:right w:val="none" w:sz="0" w:space="0" w:color="auto"/>
      </w:divBdr>
    </w:div>
    <w:div w:id="1764688791">
      <w:bodyDiv w:val="1"/>
      <w:marLeft w:val="0"/>
      <w:marRight w:val="0"/>
      <w:marTop w:val="0"/>
      <w:marBottom w:val="0"/>
      <w:divBdr>
        <w:top w:val="none" w:sz="0" w:space="0" w:color="auto"/>
        <w:left w:val="none" w:sz="0" w:space="0" w:color="auto"/>
        <w:bottom w:val="none" w:sz="0" w:space="0" w:color="auto"/>
        <w:right w:val="none" w:sz="0" w:space="0" w:color="auto"/>
      </w:divBdr>
    </w:div>
    <w:div w:id="1764758300">
      <w:bodyDiv w:val="1"/>
      <w:marLeft w:val="0"/>
      <w:marRight w:val="0"/>
      <w:marTop w:val="0"/>
      <w:marBottom w:val="0"/>
      <w:divBdr>
        <w:top w:val="none" w:sz="0" w:space="0" w:color="auto"/>
        <w:left w:val="none" w:sz="0" w:space="0" w:color="auto"/>
        <w:bottom w:val="none" w:sz="0" w:space="0" w:color="auto"/>
        <w:right w:val="none" w:sz="0" w:space="0" w:color="auto"/>
      </w:divBdr>
    </w:div>
    <w:div w:id="1764763640">
      <w:bodyDiv w:val="1"/>
      <w:marLeft w:val="0"/>
      <w:marRight w:val="0"/>
      <w:marTop w:val="0"/>
      <w:marBottom w:val="0"/>
      <w:divBdr>
        <w:top w:val="none" w:sz="0" w:space="0" w:color="auto"/>
        <w:left w:val="none" w:sz="0" w:space="0" w:color="auto"/>
        <w:bottom w:val="none" w:sz="0" w:space="0" w:color="auto"/>
        <w:right w:val="none" w:sz="0" w:space="0" w:color="auto"/>
      </w:divBdr>
    </w:div>
    <w:div w:id="1764833503">
      <w:bodyDiv w:val="1"/>
      <w:marLeft w:val="0"/>
      <w:marRight w:val="0"/>
      <w:marTop w:val="0"/>
      <w:marBottom w:val="0"/>
      <w:divBdr>
        <w:top w:val="none" w:sz="0" w:space="0" w:color="auto"/>
        <w:left w:val="none" w:sz="0" w:space="0" w:color="auto"/>
        <w:bottom w:val="none" w:sz="0" w:space="0" w:color="auto"/>
        <w:right w:val="none" w:sz="0" w:space="0" w:color="auto"/>
      </w:divBdr>
    </w:div>
    <w:div w:id="1764834592">
      <w:bodyDiv w:val="1"/>
      <w:marLeft w:val="0"/>
      <w:marRight w:val="0"/>
      <w:marTop w:val="0"/>
      <w:marBottom w:val="0"/>
      <w:divBdr>
        <w:top w:val="none" w:sz="0" w:space="0" w:color="auto"/>
        <w:left w:val="none" w:sz="0" w:space="0" w:color="auto"/>
        <w:bottom w:val="none" w:sz="0" w:space="0" w:color="auto"/>
        <w:right w:val="none" w:sz="0" w:space="0" w:color="auto"/>
      </w:divBdr>
    </w:div>
    <w:div w:id="1764954580">
      <w:bodyDiv w:val="1"/>
      <w:marLeft w:val="0"/>
      <w:marRight w:val="0"/>
      <w:marTop w:val="0"/>
      <w:marBottom w:val="0"/>
      <w:divBdr>
        <w:top w:val="none" w:sz="0" w:space="0" w:color="auto"/>
        <w:left w:val="none" w:sz="0" w:space="0" w:color="auto"/>
        <w:bottom w:val="none" w:sz="0" w:space="0" w:color="auto"/>
        <w:right w:val="none" w:sz="0" w:space="0" w:color="auto"/>
      </w:divBdr>
    </w:div>
    <w:div w:id="1765111343">
      <w:bodyDiv w:val="1"/>
      <w:marLeft w:val="0"/>
      <w:marRight w:val="0"/>
      <w:marTop w:val="0"/>
      <w:marBottom w:val="0"/>
      <w:divBdr>
        <w:top w:val="none" w:sz="0" w:space="0" w:color="auto"/>
        <w:left w:val="none" w:sz="0" w:space="0" w:color="auto"/>
        <w:bottom w:val="none" w:sz="0" w:space="0" w:color="auto"/>
        <w:right w:val="none" w:sz="0" w:space="0" w:color="auto"/>
      </w:divBdr>
    </w:div>
    <w:div w:id="1765221731">
      <w:bodyDiv w:val="1"/>
      <w:marLeft w:val="0"/>
      <w:marRight w:val="0"/>
      <w:marTop w:val="0"/>
      <w:marBottom w:val="0"/>
      <w:divBdr>
        <w:top w:val="none" w:sz="0" w:space="0" w:color="auto"/>
        <w:left w:val="none" w:sz="0" w:space="0" w:color="auto"/>
        <w:bottom w:val="none" w:sz="0" w:space="0" w:color="auto"/>
        <w:right w:val="none" w:sz="0" w:space="0" w:color="auto"/>
      </w:divBdr>
    </w:div>
    <w:div w:id="1765374235">
      <w:bodyDiv w:val="1"/>
      <w:marLeft w:val="0"/>
      <w:marRight w:val="0"/>
      <w:marTop w:val="0"/>
      <w:marBottom w:val="0"/>
      <w:divBdr>
        <w:top w:val="none" w:sz="0" w:space="0" w:color="auto"/>
        <w:left w:val="none" w:sz="0" w:space="0" w:color="auto"/>
        <w:bottom w:val="none" w:sz="0" w:space="0" w:color="auto"/>
        <w:right w:val="none" w:sz="0" w:space="0" w:color="auto"/>
      </w:divBdr>
    </w:div>
    <w:div w:id="1765419193">
      <w:bodyDiv w:val="1"/>
      <w:marLeft w:val="0"/>
      <w:marRight w:val="0"/>
      <w:marTop w:val="0"/>
      <w:marBottom w:val="0"/>
      <w:divBdr>
        <w:top w:val="none" w:sz="0" w:space="0" w:color="auto"/>
        <w:left w:val="none" w:sz="0" w:space="0" w:color="auto"/>
        <w:bottom w:val="none" w:sz="0" w:space="0" w:color="auto"/>
        <w:right w:val="none" w:sz="0" w:space="0" w:color="auto"/>
      </w:divBdr>
    </w:div>
    <w:div w:id="1765422831">
      <w:bodyDiv w:val="1"/>
      <w:marLeft w:val="0"/>
      <w:marRight w:val="0"/>
      <w:marTop w:val="0"/>
      <w:marBottom w:val="0"/>
      <w:divBdr>
        <w:top w:val="none" w:sz="0" w:space="0" w:color="auto"/>
        <w:left w:val="none" w:sz="0" w:space="0" w:color="auto"/>
        <w:bottom w:val="none" w:sz="0" w:space="0" w:color="auto"/>
        <w:right w:val="none" w:sz="0" w:space="0" w:color="auto"/>
      </w:divBdr>
    </w:div>
    <w:div w:id="1765611335">
      <w:bodyDiv w:val="1"/>
      <w:marLeft w:val="0"/>
      <w:marRight w:val="0"/>
      <w:marTop w:val="0"/>
      <w:marBottom w:val="0"/>
      <w:divBdr>
        <w:top w:val="none" w:sz="0" w:space="0" w:color="auto"/>
        <w:left w:val="none" w:sz="0" w:space="0" w:color="auto"/>
        <w:bottom w:val="none" w:sz="0" w:space="0" w:color="auto"/>
        <w:right w:val="none" w:sz="0" w:space="0" w:color="auto"/>
      </w:divBdr>
    </w:div>
    <w:div w:id="1765614074">
      <w:bodyDiv w:val="1"/>
      <w:marLeft w:val="0"/>
      <w:marRight w:val="0"/>
      <w:marTop w:val="0"/>
      <w:marBottom w:val="0"/>
      <w:divBdr>
        <w:top w:val="none" w:sz="0" w:space="0" w:color="auto"/>
        <w:left w:val="none" w:sz="0" w:space="0" w:color="auto"/>
        <w:bottom w:val="none" w:sz="0" w:space="0" w:color="auto"/>
        <w:right w:val="none" w:sz="0" w:space="0" w:color="auto"/>
      </w:divBdr>
    </w:div>
    <w:div w:id="1765875418">
      <w:bodyDiv w:val="1"/>
      <w:marLeft w:val="0"/>
      <w:marRight w:val="0"/>
      <w:marTop w:val="0"/>
      <w:marBottom w:val="0"/>
      <w:divBdr>
        <w:top w:val="none" w:sz="0" w:space="0" w:color="auto"/>
        <w:left w:val="none" w:sz="0" w:space="0" w:color="auto"/>
        <w:bottom w:val="none" w:sz="0" w:space="0" w:color="auto"/>
        <w:right w:val="none" w:sz="0" w:space="0" w:color="auto"/>
      </w:divBdr>
    </w:div>
    <w:div w:id="1765881190">
      <w:bodyDiv w:val="1"/>
      <w:marLeft w:val="0"/>
      <w:marRight w:val="0"/>
      <w:marTop w:val="0"/>
      <w:marBottom w:val="0"/>
      <w:divBdr>
        <w:top w:val="none" w:sz="0" w:space="0" w:color="auto"/>
        <w:left w:val="none" w:sz="0" w:space="0" w:color="auto"/>
        <w:bottom w:val="none" w:sz="0" w:space="0" w:color="auto"/>
        <w:right w:val="none" w:sz="0" w:space="0" w:color="auto"/>
      </w:divBdr>
    </w:div>
    <w:div w:id="1765884496">
      <w:bodyDiv w:val="1"/>
      <w:marLeft w:val="0"/>
      <w:marRight w:val="0"/>
      <w:marTop w:val="0"/>
      <w:marBottom w:val="0"/>
      <w:divBdr>
        <w:top w:val="none" w:sz="0" w:space="0" w:color="auto"/>
        <w:left w:val="none" w:sz="0" w:space="0" w:color="auto"/>
        <w:bottom w:val="none" w:sz="0" w:space="0" w:color="auto"/>
        <w:right w:val="none" w:sz="0" w:space="0" w:color="auto"/>
      </w:divBdr>
    </w:div>
    <w:div w:id="1765999138">
      <w:bodyDiv w:val="1"/>
      <w:marLeft w:val="0"/>
      <w:marRight w:val="0"/>
      <w:marTop w:val="0"/>
      <w:marBottom w:val="0"/>
      <w:divBdr>
        <w:top w:val="none" w:sz="0" w:space="0" w:color="auto"/>
        <w:left w:val="none" w:sz="0" w:space="0" w:color="auto"/>
        <w:bottom w:val="none" w:sz="0" w:space="0" w:color="auto"/>
        <w:right w:val="none" w:sz="0" w:space="0" w:color="auto"/>
      </w:divBdr>
    </w:div>
    <w:div w:id="1766069503">
      <w:bodyDiv w:val="1"/>
      <w:marLeft w:val="0"/>
      <w:marRight w:val="0"/>
      <w:marTop w:val="0"/>
      <w:marBottom w:val="0"/>
      <w:divBdr>
        <w:top w:val="none" w:sz="0" w:space="0" w:color="auto"/>
        <w:left w:val="none" w:sz="0" w:space="0" w:color="auto"/>
        <w:bottom w:val="none" w:sz="0" w:space="0" w:color="auto"/>
        <w:right w:val="none" w:sz="0" w:space="0" w:color="auto"/>
      </w:divBdr>
    </w:div>
    <w:div w:id="1766223125">
      <w:bodyDiv w:val="1"/>
      <w:marLeft w:val="0"/>
      <w:marRight w:val="0"/>
      <w:marTop w:val="0"/>
      <w:marBottom w:val="0"/>
      <w:divBdr>
        <w:top w:val="none" w:sz="0" w:space="0" w:color="auto"/>
        <w:left w:val="none" w:sz="0" w:space="0" w:color="auto"/>
        <w:bottom w:val="none" w:sz="0" w:space="0" w:color="auto"/>
        <w:right w:val="none" w:sz="0" w:space="0" w:color="auto"/>
      </w:divBdr>
    </w:div>
    <w:div w:id="1766224189">
      <w:bodyDiv w:val="1"/>
      <w:marLeft w:val="0"/>
      <w:marRight w:val="0"/>
      <w:marTop w:val="0"/>
      <w:marBottom w:val="0"/>
      <w:divBdr>
        <w:top w:val="none" w:sz="0" w:space="0" w:color="auto"/>
        <w:left w:val="none" w:sz="0" w:space="0" w:color="auto"/>
        <w:bottom w:val="none" w:sz="0" w:space="0" w:color="auto"/>
        <w:right w:val="none" w:sz="0" w:space="0" w:color="auto"/>
      </w:divBdr>
    </w:div>
    <w:div w:id="1766270411">
      <w:bodyDiv w:val="1"/>
      <w:marLeft w:val="0"/>
      <w:marRight w:val="0"/>
      <w:marTop w:val="0"/>
      <w:marBottom w:val="0"/>
      <w:divBdr>
        <w:top w:val="none" w:sz="0" w:space="0" w:color="auto"/>
        <w:left w:val="none" w:sz="0" w:space="0" w:color="auto"/>
        <w:bottom w:val="none" w:sz="0" w:space="0" w:color="auto"/>
        <w:right w:val="none" w:sz="0" w:space="0" w:color="auto"/>
      </w:divBdr>
    </w:div>
    <w:div w:id="1766345571">
      <w:bodyDiv w:val="1"/>
      <w:marLeft w:val="0"/>
      <w:marRight w:val="0"/>
      <w:marTop w:val="0"/>
      <w:marBottom w:val="0"/>
      <w:divBdr>
        <w:top w:val="none" w:sz="0" w:space="0" w:color="auto"/>
        <w:left w:val="none" w:sz="0" w:space="0" w:color="auto"/>
        <w:bottom w:val="none" w:sz="0" w:space="0" w:color="auto"/>
        <w:right w:val="none" w:sz="0" w:space="0" w:color="auto"/>
      </w:divBdr>
    </w:div>
    <w:div w:id="1766417377">
      <w:bodyDiv w:val="1"/>
      <w:marLeft w:val="0"/>
      <w:marRight w:val="0"/>
      <w:marTop w:val="0"/>
      <w:marBottom w:val="0"/>
      <w:divBdr>
        <w:top w:val="none" w:sz="0" w:space="0" w:color="auto"/>
        <w:left w:val="none" w:sz="0" w:space="0" w:color="auto"/>
        <w:bottom w:val="none" w:sz="0" w:space="0" w:color="auto"/>
        <w:right w:val="none" w:sz="0" w:space="0" w:color="auto"/>
      </w:divBdr>
    </w:div>
    <w:div w:id="1766611112">
      <w:bodyDiv w:val="1"/>
      <w:marLeft w:val="0"/>
      <w:marRight w:val="0"/>
      <w:marTop w:val="0"/>
      <w:marBottom w:val="0"/>
      <w:divBdr>
        <w:top w:val="none" w:sz="0" w:space="0" w:color="auto"/>
        <w:left w:val="none" w:sz="0" w:space="0" w:color="auto"/>
        <w:bottom w:val="none" w:sz="0" w:space="0" w:color="auto"/>
        <w:right w:val="none" w:sz="0" w:space="0" w:color="auto"/>
      </w:divBdr>
    </w:div>
    <w:div w:id="1766685313">
      <w:bodyDiv w:val="1"/>
      <w:marLeft w:val="0"/>
      <w:marRight w:val="0"/>
      <w:marTop w:val="0"/>
      <w:marBottom w:val="0"/>
      <w:divBdr>
        <w:top w:val="none" w:sz="0" w:space="0" w:color="auto"/>
        <w:left w:val="none" w:sz="0" w:space="0" w:color="auto"/>
        <w:bottom w:val="none" w:sz="0" w:space="0" w:color="auto"/>
        <w:right w:val="none" w:sz="0" w:space="0" w:color="auto"/>
      </w:divBdr>
    </w:div>
    <w:div w:id="1766724111">
      <w:bodyDiv w:val="1"/>
      <w:marLeft w:val="0"/>
      <w:marRight w:val="0"/>
      <w:marTop w:val="0"/>
      <w:marBottom w:val="0"/>
      <w:divBdr>
        <w:top w:val="none" w:sz="0" w:space="0" w:color="auto"/>
        <w:left w:val="none" w:sz="0" w:space="0" w:color="auto"/>
        <w:bottom w:val="none" w:sz="0" w:space="0" w:color="auto"/>
        <w:right w:val="none" w:sz="0" w:space="0" w:color="auto"/>
      </w:divBdr>
    </w:div>
    <w:div w:id="1766798991">
      <w:bodyDiv w:val="1"/>
      <w:marLeft w:val="0"/>
      <w:marRight w:val="0"/>
      <w:marTop w:val="0"/>
      <w:marBottom w:val="0"/>
      <w:divBdr>
        <w:top w:val="none" w:sz="0" w:space="0" w:color="auto"/>
        <w:left w:val="none" w:sz="0" w:space="0" w:color="auto"/>
        <w:bottom w:val="none" w:sz="0" w:space="0" w:color="auto"/>
        <w:right w:val="none" w:sz="0" w:space="0" w:color="auto"/>
      </w:divBdr>
    </w:div>
    <w:div w:id="1766801657">
      <w:bodyDiv w:val="1"/>
      <w:marLeft w:val="0"/>
      <w:marRight w:val="0"/>
      <w:marTop w:val="0"/>
      <w:marBottom w:val="0"/>
      <w:divBdr>
        <w:top w:val="none" w:sz="0" w:space="0" w:color="auto"/>
        <w:left w:val="none" w:sz="0" w:space="0" w:color="auto"/>
        <w:bottom w:val="none" w:sz="0" w:space="0" w:color="auto"/>
        <w:right w:val="none" w:sz="0" w:space="0" w:color="auto"/>
      </w:divBdr>
    </w:div>
    <w:div w:id="1766807312">
      <w:bodyDiv w:val="1"/>
      <w:marLeft w:val="0"/>
      <w:marRight w:val="0"/>
      <w:marTop w:val="0"/>
      <w:marBottom w:val="0"/>
      <w:divBdr>
        <w:top w:val="none" w:sz="0" w:space="0" w:color="auto"/>
        <w:left w:val="none" w:sz="0" w:space="0" w:color="auto"/>
        <w:bottom w:val="none" w:sz="0" w:space="0" w:color="auto"/>
        <w:right w:val="none" w:sz="0" w:space="0" w:color="auto"/>
      </w:divBdr>
    </w:div>
    <w:div w:id="1766878981">
      <w:bodyDiv w:val="1"/>
      <w:marLeft w:val="0"/>
      <w:marRight w:val="0"/>
      <w:marTop w:val="0"/>
      <w:marBottom w:val="0"/>
      <w:divBdr>
        <w:top w:val="none" w:sz="0" w:space="0" w:color="auto"/>
        <w:left w:val="none" w:sz="0" w:space="0" w:color="auto"/>
        <w:bottom w:val="none" w:sz="0" w:space="0" w:color="auto"/>
        <w:right w:val="none" w:sz="0" w:space="0" w:color="auto"/>
      </w:divBdr>
    </w:div>
    <w:div w:id="1766919293">
      <w:bodyDiv w:val="1"/>
      <w:marLeft w:val="0"/>
      <w:marRight w:val="0"/>
      <w:marTop w:val="0"/>
      <w:marBottom w:val="0"/>
      <w:divBdr>
        <w:top w:val="none" w:sz="0" w:space="0" w:color="auto"/>
        <w:left w:val="none" w:sz="0" w:space="0" w:color="auto"/>
        <w:bottom w:val="none" w:sz="0" w:space="0" w:color="auto"/>
        <w:right w:val="none" w:sz="0" w:space="0" w:color="auto"/>
      </w:divBdr>
    </w:div>
    <w:div w:id="1766924273">
      <w:bodyDiv w:val="1"/>
      <w:marLeft w:val="0"/>
      <w:marRight w:val="0"/>
      <w:marTop w:val="0"/>
      <w:marBottom w:val="0"/>
      <w:divBdr>
        <w:top w:val="none" w:sz="0" w:space="0" w:color="auto"/>
        <w:left w:val="none" w:sz="0" w:space="0" w:color="auto"/>
        <w:bottom w:val="none" w:sz="0" w:space="0" w:color="auto"/>
        <w:right w:val="none" w:sz="0" w:space="0" w:color="auto"/>
      </w:divBdr>
    </w:div>
    <w:div w:id="1767112841">
      <w:bodyDiv w:val="1"/>
      <w:marLeft w:val="0"/>
      <w:marRight w:val="0"/>
      <w:marTop w:val="0"/>
      <w:marBottom w:val="0"/>
      <w:divBdr>
        <w:top w:val="none" w:sz="0" w:space="0" w:color="auto"/>
        <w:left w:val="none" w:sz="0" w:space="0" w:color="auto"/>
        <w:bottom w:val="none" w:sz="0" w:space="0" w:color="auto"/>
        <w:right w:val="none" w:sz="0" w:space="0" w:color="auto"/>
      </w:divBdr>
    </w:div>
    <w:div w:id="1767187775">
      <w:bodyDiv w:val="1"/>
      <w:marLeft w:val="0"/>
      <w:marRight w:val="0"/>
      <w:marTop w:val="0"/>
      <w:marBottom w:val="0"/>
      <w:divBdr>
        <w:top w:val="none" w:sz="0" w:space="0" w:color="auto"/>
        <w:left w:val="none" w:sz="0" w:space="0" w:color="auto"/>
        <w:bottom w:val="none" w:sz="0" w:space="0" w:color="auto"/>
        <w:right w:val="none" w:sz="0" w:space="0" w:color="auto"/>
      </w:divBdr>
    </w:div>
    <w:div w:id="1767311647">
      <w:bodyDiv w:val="1"/>
      <w:marLeft w:val="0"/>
      <w:marRight w:val="0"/>
      <w:marTop w:val="0"/>
      <w:marBottom w:val="0"/>
      <w:divBdr>
        <w:top w:val="none" w:sz="0" w:space="0" w:color="auto"/>
        <w:left w:val="none" w:sz="0" w:space="0" w:color="auto"/>
        <w:bottom w:val="none" w:sz="0" w:space="0" w:color="auto"/>
        <w:right w:val="none" w:sz="0" w:space="0" w:color="auto"/>
      </w:divBdr>
    </w:div>
    <w:div w:id="1767387565">
      <w:bodyDiv w:val="1"/>
      <w:marLeft w:val="0"/>
      <w:marRight w:val="0"/>
      <w:marTop w:val="0"/>
      <w:marBottom w:val="0"/>
      <w:divBdr>
        <w:top w:val="none" w:sz="0" w:space="0" w:color="auto"/>
        <w:left w:val="none" w:sz="0" w:space="0" w:color="auto"/>
        <w:bottom w:val="none" w:sz="0" w:space="0" w:color="auto"/>
        <w:right w:val="none" w:sz="0" w:space="0" w:color="auto"/>
      </w:divBdr>
    </w:div>
    <w:div w:id="1767388282">
      <w:bodyDiv w:val="1"/>
      <w:marLeft w:val="0"/>
      <w:marRight w:val="0"/>
      <w:marTop w:val="0"/>
      <w:marBottom w:val="0"/>
      <w:divBdr>
        <w:top w:val="none" w:sz="0" w:space="0" w:color="auto"/>
        <w:left w:val="none" w:sz="0" w:space="0" w:color="auto"/>
        <w:bottom w:val="none" w:sz="0" w:space="0" w:color="auto"/>
        <w:right w:val="none" w:sz="0" w:space="0" w:color="auto"/>
      </w:divBdr>
    </w:div>
    <w:div w:id="1767534405">
      <w:bodyDiv w:val="1"/>
      <w:marLeft w:val="0"/>
      <w:marRight w:val="0"/>
      <w:marTop w:val="0"/>
      <w:marBottom w:val="0"/>
      <w:divBdr>
        <w:top w:val="none" w:sz="0" w:space="0" w:color="auto"/>
        <w:left w:val="none" w:sz="0" w:space="0" w:color="auto"/>
        <w:bottom w:val="none" w:sz="0" w:space="0" w:color="auto"/>
        <w:right w:val="none" w:sz="0" w:space="0" w:color="auto"/>
      </w:divBdr>
    </w:div>
    <w:div w:id="1767535189">
      <w:bodyDiv w:val="1"/>
      <w:marLeft w:val="0"/>
      <w:marRight w:val="0"/>
      <w:marTop w:val="0"/>
      <w:marBottom w:val="0"/>
      <w:divBdr>
        <w:top w:val="none" w:sz="0" w:space="0" w:color="auto"/>
        <w:left w:val="none" w:sz="0" w:space="0" w:color="auto"/>
        <w:bottom w:val="none" w:sz="0" w:space="0" w:color="auto"/>
        <w:right w:val="none" w:sz="0" w:space="0" w:color="auto"/>
      </w:divBdr>
    </w:div>
    <w:div w:id="1767648081">
      <w:bodyDiv w:val="1"/>
      <w:marLeft w:val="0"/>
      <w:marRight w:val="0"/>
      <w:marTop w:val="0"/>
      <w:marBottom w:val="0"/>
      <w:divBdr>
        <w:top w:val="none" w:sz="0" w:space="0" w:color="auto"/>
        <w:left w:val="none" w:sz="0" w:space="0" w:color="auto"/>
        <w:bottom w:val="none" w:sz="0" w:space="0" w:color="auto"/>
        <w:right w:val="none" w:sz="0" w:space="0" w:color="auto"/>
      </w:divBdr>
    </w:div>
    <w:div w:id="1767726861">
      <w:bodyDiv w:val="1"/>
      <w:marLeft w:val="0"/>
      <w:marRight w:val="0"/>
      <w:marTop w:val="0"/>
      <w:marBottom w:val="0"/>
      <w:divBdr>
        <w:top w:val="none" w:sz="0" w:space="0" w:color="auto"/>
        <w:left w:val="none" w:sz="0" w:space="0" w:color="auto"/>
        <w:bottom w:val="none" w:sz="0" w:space="0" w:color="auto"/>
        <w:right w:val="none" w:sz="0" w:space="0" w:color="auto"/>
      </w:divBdr>
    </w:div>
    <w:div w:id="1767849285">
      <w:bodyDiv w:val="1"/>
      <w:marLeft w:val="0"/>
      <w:marRight w:val="0"/>
      <w:marTop w:val="0"/>
      <w:marBottom w:val="0"/>
      <w:divBdr>
        <w:top w:val="none" w:sz="0" w:space="0" w:color="auto"/>
        <w:left w:val="none" w:sz="0" w:space="0" w:color="auto"/>
        <w:bottom w:val="none" w:sz="0" w:space="0" w:color="auto"/>
        <w:right w:val="none" w:sz="0" w:space="0" w:color="auto"/>
      </w:divBdr>
    </w:div>
    <w:div w:id="1767966208">
      <w:bodyDiv w:val="1"/>
      <w:marLeft w:val="0"/>
      <w:marRight w:val="0"/>
      <w:marTop w:val="0"/>
      <w:marBottom w:val="0"/>
      <w:divBdr>
        <w:top w:val="none" w:sz="0" w:space="0" w:color="auto"/>
        <w:left w:val="none" w:sz="0" w:space="0" w:color="auto"/>
        <w:bottom w:val="none" w:sz="0" w:space="0" w:color="auto"/>
        <w:right w:val="none" w:sz="0" w:space="0" w:color="auto"/>
      </w:divBdr>
    </w:div>
    <w:div w:id="1767995907">
      <w:bodyDiv w:val="1"/>
      <w:marLeft w:val="0"/>
      <w:marRight w:val="0"/>
      <w:marTop w:val="0"/>
      <w:marBottom w:val="0"/>
      <w:divBdr>
        <w:top w:val="none" w:sz="0" w:space="0" w:color="auto"/>
        <w:left w:val="none" w:sz="0" w:space="0" w:color="auto"/>
        <w:bottom w:val="none" w:sz="0" w:space="0" w:color="auto"/>
        <w:right w:val="none" w:sz="0" w:space="0" w:color="auto"/>
      </w:divBdr>
    </w:div>
    <w:div w:id="1768041808">
      <w:bodyDiv w:val="1"/>
      <w:marLeft w:val="0"/>
      <w:marRight w:val="0"/>
      <w:marTop w:val="0"/>
      <w:marBottom w:val="0"/>
      <w:divBdr>
        <w:top w:val="none" w:sz="0" w:space="0" w:color="auto"/>
        <w:left w:val="none" w:sz="0" w:space="0" w:color="auto"/>
        <w:bottom w:val="none" w:sz="0" w:space="0" w:color="auto"/>
        <w:right w:val="none" w:sz="0" w:space="0" w:color="auto"/>
      </w:divBdr>
    </w:div>
    <w:div w:id="1768193095">
      <w:bodyDiv w:val="1"/>
      <w:marLeft w:val="0"/>
      <w:marRight w:val="0"/>
      <w:marTop w:val="0"/>
      <w:marBottom w:val="0"/>
      <w:divBdr>
        <w:top w:val="none" w:sz="0" w:space="0" w:color="auto"/>
        <w:left w:val="none" w:sz="0" w:space="0" w:color="auto"/>
        <w:bottom w:val="none" w:sz="0" w:space="0" w:color="auto"/>
        <w:right w:val="none" w:sz="0" w:space="0" w:color="auto"/>
      </w:divBdr>
    </w:div>
    <w:div w:id="1768228460">
      <w:bodyDiv w:val="1"/>
      <w:marLeft w:val="0"/>
      <w:marRight w:val="0"/>
      <w:marTop w:val="0"/>
      <w:marBottom w:val="0"/>
      <w:divBdr>
        <w:top w:val="none" w:sz="0" w:space="0" w:color="auto"/>
        <w:left w:val="none" w:sz="0" w:space="0" w:color="auto"/>
        <w:bottom w:val="none" w:sz="0" w:space="0" w:color="auto"/>
        <w:right w:val="none" w:sz="0" w:space="0" w:color="auto"/>
      </w:divBdr>
    </w:div>
    <w:div w:id="1768231963">
      <w:bodyDiv w:val="1"/>
      <w:marLeft w:val="0"/>
      <w:marRight w:val="0"/>
      <w:marTop w:val="0"/>
      <w:marBottom w:val="0"/>
      <w:divBdr>
        <w:top w:val="none" w:sz="0" w:space="0" w:color="auto"/>
        <w:left w:val="none" w:sz="0" w:space="0" w:color="auto"/>
        <w:bottom w:val="none" w:sz="0" w:space="0" w:color="auto"/>
        <w:right w:val="none" w:sz="0" w:space="0" w:color="auto"/>
      </w:divBdr>
    </w:div>
    <w:div w:id="1768498698">
      <w:bodyDiv w:val="1"/>
      <w:marLeft w:val="0"/>
      <w:marRight w:val="0"/>
      <w:marTop w:val="0"/>
      <w:marBottom w:val="0"/>
      <w:divBdr>
        <w:top w:val="none" w:sz="0" w:space="0" w:color="auto"/>
        <w:left w:val="none" w:sz="0" w:space="0" w:color="auto"/>
        <w:bottom w:val="none" w:sz="0" w:space="0" w:color="auto"/>
        <w:right w:val="none" w:sz="0" w:space="0" w:color="auto"/>
      </w:divBdr>
    </w:div>
    <w:div w:id="1768574892">
      <w:bodyDiv w:val="1"/>
      <w:marLeft w:val="0"/>
      <w:marRight w:val="0"/>
      <w:marTop w:val="0"/>
      <w:marBottom w:val="0"/>
      <w:divBdr>
        <w:top w:val="none" w:sz="0" w:space="0" w:color="auto"/>
        <w:left w:val="none" w:sz="0" w:space="0" w:color="auto"/>
        <w:bottom w:val="none" w:sz="0" w:space="0" w:color="auto"/>
        <w:right w:val="none" w:sz="0" w:space="0" w:color="auto"/>
      </w:divBdr>
    </w:div>
    <w:div w:id="1768646846">
      <w:bodyDiv w:val="1"/>
      <w:marLeft w:val="0"/>
      <w:marRight w:val="0"/>
      <w:marTop w:val="0"/>
      <w:marBottom w:val="0"/>
      <w:divBdr>
        <w:top w:val="none" w:sz="0" w:space="0" w:color="auto"/>
        <w:left w:val="none" w:sz="0" w:space="0" w:color="auto"/>
        <w:bottom w:val="none" w:sz="0" w:space="0" w:color="auto"/>
        <w:right w:val="none" w:sz="0" w:space="0" w:color="auto"/>
      </w:divBdr>
    </w:div>
    <w:div w:id="1768765556">
      <w:bodyDiv w:val="1"/>
      <w:marLeft w:val="0"/>
      <w:marRight w:val="0"/>
      <w:marTop w:val="0"/>
      <w:marBottom w:val="0"/>
      <w:divBdr>
        <w:top w:val="none" w:sz="0" w:space="0" w:color="auto"/>
        <w:left w:val="none" w:sz="0" w:space="0" w:color="auto"/>
        <w:bottom w:val="none" w:sz="0" w:space="0" w:color="auto"/>
        <w:right w:val="none" w:sz="0" w:space="0" w:color="auto"/>
      </w:divBdr>
    </w:div>
    <w:div w:id="1768772725">
      <w:bodyDiv w:val="1"/>
      <w:marLeft w:val="0"/>
      <w:marRight w:val="0"/>
      <w:marTop w:val="0"/>
      <w:marBottom w:val="0"/>
      <w:divBdr>
        <w:top w:val="none" w:sz="0" w:space="0" w:color="auto"/>
        <w:left w:val="none" w:sz="0" w:space="0" w:color="auto"/>
        <w:bottom w:val="none" w:sz="0" w:space="0" w:color="auto"/>
        <w:right w:val="none" w:sz="0" w:space="0" w:color="auto"/>
      </w:divBdr>
    </w:div>
    <w:div w:id="1768885534">
      <w:bodyDiv w:val="1"/>
      <w:marLeft w:val="0"/>
      <w:marRight w:val="0"/>
      <w:marTop w:val="0"/>
      <w:marBottom w:val="0"/>
      <w:divBdr>
        <w:top w:val="none" w:sz="0" w:space="0" w:color="auto"/>
        <w:left w:val="none" w:sz="0" w:space="0" w:color="auto"/>
        <w:bottom w:val="none" w:sz="0" w:space="0" w:color="auto"/>
        <w:right w:val="none" w:sz="0" w:space="0" w:color="auto"/>
      </w:divBdr>
    </w:div>
    <w:div w:id="1768888570">
      <w:bodyDiv w:val="1"/>
      <w:marLeft w:val="0"/>
      <w:marRight w:val="0"/>
      <w:marTop w:val="0"/>
      <w:marBottom w:val="0"/>
      <w:divBdr>
        <w:top w:val="none" w:sz="0" w:space="0" w:color="auto"/>
        <w:left w:val="none" w:sz="0" w:space="0" w:color="auto"/>
        <w:bottom w:val="none" w:sz="0" w:space="0" w:color="auto"/>
        <w:right w:val="none" w:sz="0" w:space="0" w:color="auto"/>
      </w:divBdr>
    </w:div>
    <w:div w:id="1769041162">
      <w:bodyDiv w:val="1"/>
      <w:marLeft w:val="0"/>
      <w:marRight w:val="0"/>
      <w:marTop w:val="0"/>
      <w:marBottom w:val="0"/>
      <w:divBdr>
        <w:top w:val="none" w:sz="0" w:space="0" w:color="auto"/>
        <w:left w:val="none" w:sz="0" w:space="0" w:color="auto"/>
        <w:bottom w:val="none" w:sz="0" w:space="0" w:color="auto"/>
        <w:right w:val="none" w:sz="0" w:space="0" w:color="auto"/>
      </w:divBdr>
    </w:div>
    <w:div w:id="1769228318">
      <w:bodyDiv w:val="1"/>
      <w:marLeft w:val="0"/>
      <w:marRight w:val="0"/>
      <w:marTop w:val="0"/>
      <w:marBottom w:val="0"/>
      <w:divBdr>
        <w:top w:val="none" w:sz="0" w:space="0" w:color="auto"/>
        <w:left w:val="none" w:sz="0" w:space="0" w:color="auto"/>
        <w:bottom w:val="none" w:sz="0" w:space="0" w:color="auto"/>
        <w:right w:val="none" w:sz="0" w:space="0" w:color="auto"/>
      </w:divBdr>
    </w:div>
    <w:div w:id="1769230175">
      <w:bodyDiv w:val="1"/>
      <w:marLeft w:val="0"/>
      <w:marRight w:val="0"/>
      <w:marTop w:val="0"/>
      <w:marBottom w:val="0"/>
      <w:divBdr>
        <w:top w:val="none" w:sz="0" w:space="0" w:color="auto"/>
        <w:left w:val="none" w:sz="0" w:space="0" w:color="auto"/>
        <w:bottom w:val="none" w:sz="0" w:space="0" w:color="auto"/>
        <w:right w:val="none" w:sz="0" w:space="0" w:color="auto"/>
      </w:divBdr>
    </w:div>
    <w:div w:id="1769231729">
      <w:bodyDiv w:val="1"/>
      <w:marLeft w:val="0"/>
      <w:marRight w:val="0"/>
      <w:marTop w:val="0"/>
      <w:marBottom w:val="0"/>
      <w:divBdr>
        <w:top w:val="none" w:sz="0" w:space="0" w:color="auto"/>
        <w:left w:val="none" w:sz="0" w:space="0" w:color="auto"/>
        <w:bottom w:val="none" w:sz="0" w:space="0" w:color="auto"/>
        <w:right w:val="none" w:sz="0" w:space="0" w:color="auto"/>
      </w:divBdr>
    </w:div>
    <w:div w:id="1769306549">
      <w:bodyDiv w:val="1"/>
      <w:marLeft w:val="0"/>
      <w:marRight w:val="0"/>
      <w:marTop w:val="0"/>
      <w:marBottom w:val="0"/>
      <w:divBdr>
        <w:top w:val="none" w:sz="0" w:space="0" w:color="auto"/>
        <w:left w:val="none" w:sz="0" w:space="0" w:color="auto"/>
        <w:bottom w:val="none" w:sz="0" w:space="0" w:color="auto"/>
        <w:right w:val="none" w:sz="0" w:space="0" w:color="auto"/>
      </w:divBdr>
    </w:div>
    <w:div w:id="1769422454">
      <w:bodyDiv w:val="1"/>
      <w:marLeft w:val="0"/>
      <w:marRight w:val="0"/>
      <w:marTop w:val="0"/>
      <w:marBottom w:val="0"/>
      <w:divBdr>
        <w:top w:val="none" w:sz="0" w:space="0" w:color="auto"/>
        <w:left w:val="none" w:sz="0" w:space="0" w:color="auto"/>
        <w:bottom w:val="none" w:sz="0" w:space="0" w:color="auto"/>
        <w:right w:val="none" w:sz="0" w:space="0" w:color="auto"/>
      </w:divBdr>
    </w:div>
    <w:div w:id="1769502652">
      <w:bodyDiv w:val="1"/>
      <w:marLeft w:val="0"/>
      <w:marRight w:val="0"/>
      <w:marTop w:val="0"/>
      <w:marBottom w:val="0"/>
      <w:divBdr>
        <w:top w:val="none" w:sz="0" w:space="0" w:color="auto"/>
        <w:left w:val="none" w:sz="0" w:space="0" w:color="auto"/>
        <w:bottom w:val="none" w:sz="0" w:space="0" w:color="auto"/>
        <w:right w:val="none" w:sz="0" w:space="0" w:color="auto"/>
      </w:divBdr>
    </w:div>
    <w:div w:id="1769688748">
      <w:bodyDiv w:val="1"/>
      <w:marLeft w:val="0"/>
      <w:marRight w:val="0"/>
      <w:marTop w:val="0"/>
      <w:marBottom w:val="0"/>
      <w:divBdr>
        <w:top w:val="none" w:sz="0" w:space="0" w:color="auto"/>
        <w:left w:val="none" w:sz="0" w:space="0" w:color="auto"/>
        <w:bottom w:val="none" w:sz="0" w:space="0" w:color="auto"/>
        <w:right w:val="none" w:sz="0" w:space="0" w:color="auto"/>
      </w:divBdr>
    </w:div>
    <w:div w:id="1769695845">
      <w:bodyDiv w:val="1"/>
      <w:marLeft w:val="0"/>
      <w:marRight w:val="0"/>
      <w:marTop w:val="0"/>
      <w:marBottom w:val="0"/>
      <w:divBdr>
        <w:top w:val="none" w:sz="0" w:space="0" w:color="auto"/>
        <w:left w:val="none" w:sz="0" w:space="0" w:color="auto"/>
        <w:bottom w:val="none" w:sz="0" w:space="0" w:color="auto"/>
        <w:right w:val="none" w:sz="0" w:space="0" w:color="auto"/>
      </w:divBdr>
    </w:div>
    <w:div w:id="1769812538">
      <w:bodyDiv w:val="1"/>
      <w:marLeft w:val="0"/>
      <w:marRight w:val="0"/>
      <w:marTop w:val="0"/>
      <w:marBottom w:val="0"/>
      <w:divBdr>
        <w:top w:val="none" w:sz="0" w:space="0" w:color="auto"/>
        <w:left w:val="none" w:sz="0" w:space="0" w:color="auto"/>
        <w:bottom w:val="none" w:sz="0" w:space="0" w:color="auto"/>
        <w:right w:val="none" w:sz="0" w:space="0" w:color="auto"/>
      </w:divBdr>
    </w:div>
    <w:div w:id="1769957359">
      <w:bodyDiv w:val="1"/>
      <w:marLeft w:val="0"/>
      <w:marRight w:val="0"/>
      <w:marTop w:val="0"/>
      <w:marBottom w:val="0"/>
      <w:divBdr>
        <w:top w:val="none" w:sz="0" w:space="0" w:color="auto"/>
        <w:left w:val="none" w:sz="0" w:space="0" w:color="auto"/>
        <w:bottom w:val="none" w:sz="0" w:space="0" w:color="auto"/>
        <w:right w:val="none" w:sz="0" w:space="0" w:color="auto"/>
      </w:divBdr>
    </w:div>
    <w:div w:id="1769960623">
      <w:bodyDiv w:val="1"/>
      <w:marLeft w:val="0"/>
      <w:marRight w:val="0"/>
      <w:marTop w:val="0"/>
      <w:marBottom w:val="0"/>
      <w:divBdr>
        <w:top w:val="none" w:sz="0" w:space="0" w:color="auto"/>
        <w:left w:val="none" w:sz="0" w:space="0" w:color="auto"/>
        <w:bottom w:val="none" w:sz="0" w:space="0" w:color="auto"/>
        <w:right w:val="none" w:sz="0" w:space="0" w:color="auto"/>
      </w:divBdr>
    </w:div>
    <w:div w:id="1769963291">
      <w:bodyDiv w:val="1"/>
      <w:marLeft w:val="0"/>
      <w:marRight w:val="0"/>
      <w:marTop w:val="0"/>
      <w:marBottom w:val="0"/>
      <w:divBdr>
        <w:top w:val="none" w:sz="0" w:space="0" w:color="auto"/>
        <w:left w:val="none" w:sz="0" w:space="0" w:color="auto"/>
        <w:bottom w:val="none" w:sz="0" w:space="0" w:color="auto"/>
        <w:right w:val="none" w:sz="0" w:space="0" w:color="auto"/>
      </w:divBdr>
    </w:div>
    <w:div w:id="1770153175">
      <w:bodyDiv w:val="1"/>
      <w:marLeft w:val="0"/>
      <w:marRight w:val="0"/>
      <w:marTop w:val="0"/>
      <w:marBottom w:val="0"/>
      <w:divBdr>
        <w:top w:val="none" w:sz="0" w:space="0" w:color="auto"/>
        <w:left w:val="none" w:sz="0" w:space="0" w:color="auto"/>
        <w:bottom w:val="none" w:sz="0" w:space="0" w:color="auto"/>
        <w:right w:val="none" w:sz="0" w:space="0" w:color="auto"/>
      </w:divBdr>
    </w:div>
    <w:div w:id="1770153197">
      <w:bodyDiv w:val="1"/>
      <w:marLeft w:val="0"/>
      <w:marRight w:val="0"/>
      <w:marTop w:val="0"/>
      <w:marBottom w:val="0"/>
      <w:divBdr>
        <w:top w:val="none" w:sz="0" w:space="0" w:color="auto"/>
        <w:left w:val="none" w:sz="0" w:space="0" w:color="auto"/>
        <w:bottom w:val="none" w:sz="0" w:space="0" w:color="auto"/>
        <w:right w:val="none" w:sz="0" w:space="0" w:color="auto"/>
      </w:divBdr>
    </w:div>
    <w:div w:id="1770546064">
      <w:bodyDiv w:val="1"/>
      <w:marLeft w:val="0"/>
      <w:marRight w:val="0"/>
      <w:marTop w:val="0"/>
      <w:marBottom w:val="0"/>
      <w:divBdr>
        <w:top w:val="none" w:sz="0" w:space="0" w:color="auto"/>
        <w:left w:val="none" w:sz="0" w:space="0" w:color="auto"/>
        <w:bottom w:val="none" w:sz="0" w:space="0" w:color="auto"/>
        <w:right w:val="none" w:sz="0" w:space="0" w:color="auto"/>
      </w:divBdr>
    </w:div>
    <w:div w:id="1770657107">
      <w:bodyDiv w:val="1"/>
      <w:marLeft w:val="0"/>
      <w:marRight w:val="0"/>
      <w:marTop w:val="0"/>
      <w:marBottom w:val="0"/>
      <w:divBdr>
        <w:top w:val="none" w:sz="0" w:space="0" w:color="auto"/>
        <w:left w:val="none" w:sz="0" w:space="0" w:color="auto"/>
        <w:bottom w:val="none" w:sz="0" w:space="0" w:color="auto"/>
        <w:right w:val="none" w:sz="0" w:space="0" w:color="auto"/>
      </w:divBdr>
    </w:div>
    <w:div w:id="1770855131">
      <w:bodyDiv w:val="1"/>
      <w:marLeft w:val="0"/>
      <w:marRight w:val="0"/>
      <w:marTop w:val="0"/>
      <w:marBottom w:val="0"/>
      <w:divBdr>
        <w:top w:val="none" w:sz="0" w:space="0" w:color="auto"/>
        <w:left w:val="none" w:sz="0" w:space="0" w:color="auto"/>
        <w:bottom w:val="none" w:sz="0" w:space="0" w:color="auto"/>
        <w:right w:val="none" w:sz="0" w:space="0" w:color="auto"/>
      </w:divBdr>
    </w:div>
    <w:div w:id="1770930852">
      <w:bodyDiv w:val="1"/>
      <w:marLeft w:val="0"/>
      <w:marRight w:val="0"/>
      <w:marTop w:val="0"/>
      <w:marBottom w:val="0"/>
      <w:divBdr>
        <w:top w:val="none" w:sz="0" w:space="0" w:color="auto"/>
        <w:left w:val="none" w:sz="0" w:space="0" w:color="auto"/>
        <w:bottom w:val="none" w:sz="0" w:space="0" w:color="auto"/>
        <w:right w:val="none" w:sz="0" w:space="0" w:color="auto"/>
      </w:divBdr>
    </w:div>
    <w:div w:id="1771118394">
      <w:bodyDiv w:val="1"/>
      <w:marLeft w:val="0"/>
      <w:marRight w:val="0"/>
      <w:marTop w:val="0"/>
      <w:marBottom w:val="0"/>
      <w:divBdr>
        <w:top w:val="none" w:sz="0" w:space="0" w:color="auto"/>
        <w:left w:val="none" w:sz="0" w:space="0" w:color="auto"/>
        <w:bottom w:val="none" w:sz="0" w:space="0" w:color="auto"/>
        <w:right w:val="none" w:sz="0" w:space="0" w:color="auto"/>
      </w:divBdr>
    </w:div>
    <w:div w:id="1771121194">
      <w:bodyDiv w:val="1"/>
      <w:marLeft w:val="0"/>
      <w:marRight w:val="0"/>
      <w:marTop w:val="0"/>
      <w:marBottom w:val="0"/>
      <w:divBdr>
        <w:top w:val="none" w:sz="0" w:space="0" w:color="auto"/>
        <w:left w:val="none" w:sz="0" w:space="0" w:color="auto"/>
        <w:bottom w:val="none" w:sz="0" w:space="0" w:color="auto"/>
        <w:right w:val="none" w:sz="0" w:space="0" w:color="auto"/>
      </w:divBdr>
    </w:div>
    <w:div w:id="1771124093">
      <w:bodyDiv w:val="1"/>
      <w:marLeft w:val="0"/>
      <w:marRight w:val="0"/>
      <w:marTop w:val="0"/>
      <w:marBottom w:val="0"/>
      <w:divBdr>
        <w:top w:val="none" w:sz="0" w:space="0" w:color="auto"/>
        <w:left w:val="none" w:sz="0" w:space="0" w:color="auto"/>
        <w:bottom w:val="none" w:sz="0" w:space="0" w:color="auto"/>
        <w:right w:val="none" w:sz="0" w:space="0" w:color="auto"/>
      </w:divBdr>
    </w:div>
    <w:div w:id="1771268768">
      <w:bodyDiv w:val="1"/>
      <w:marLeft w:val="0"/>
      <w:marRight w:val="0"/>
      <w:marTop w:val="0"/>
      <w:marBottom w:val="0"/>
      <w:divBdr>
        <w:top w:val="none" w:sz="0" w:space="0" w:color="auto"/>
        <w:left w:val="none" w:sz="0" w:space="0" w:color="auto"/>
        <w:bottom w:val="none" w:sz="0" w:space="0" w:color="auto"/>
        <w:right w:val="none" w:sz="0" w:space="0" w:color="auto"/>
      </w:divBdr>
    </w:div>
    <w:div w:id="1771313080">
      <w:bodyDiv w:val="1"/>
      <w:marLeft w:val="0"/>
      <w:marRight w:val="0"/>
      <w:marTop w:val="0"/>
      <w:marBottom w:val="0"/>
      <w:divBdr>
        <w:top w:val="none" w:sz="0" w:space="0" w:color="auto"/>
        <w:left w:val="none" w:sz="0" w:space="0" w:color="auto"/>
        <w:bottom w:val="none" w:sz="0" w:space="0" w:color="auto"/>
        <w:right w:val="none" w:sz="0" w:space="0" w:color="auto"/>
      </w:divBdr>
    </w:div>
    <w:div w:id="1771469006">
      <w:bodyDiv w:val="1"/>
      <w:marLeft w:val="0"/>
      <w:marRight w:val="0"/>
      <w:marTop w:val="0"/>
      <w:marBottom w:val="0"/>
      <w:divBdr>
        <w:top w:val="none" w:sz="0" w:space="0" w:color="auto"/>
        <w:left w:val="none" w:sz="0" w:space="0" w:color="auto"/>
        <w:bottom w:val="none" w:sz="0" w:space="0" w:color="auto"/>
        <w:right w:val="none" w:sz="0" w:space="0" w:color="auto"/>
      </w:divBdr>
    </w:div>
    <w:div w:id="1771469800">
      <w:bodyDiv w:val="1"/>
      <w:marLeft w:val="0"/>
      <w:marRight w:val="0"/>
      <w:marTop w:val="0"/>
      <w:marBottom w:val="0"/>
      <w:divBdr>
        <w:top w:val="none" w:sz="0" w:space="0" w:color="auto"/>
        <w:left w:val="none" w:sz="0" w:space="0" w:color="auto"/>
        <w:bottom w:val="none" w:sz="0" w:space="0" w:color="auto"/>
        <w:right w:val="none" w:sz="0" w:space="0" w:color="auto"/>
      </w:divBdr>
    </w:div>
    <w:div w:id="1771509306">
      <w:bodyDiv w:val="1"/>
      <w:marLeft w:val="0"/>
      <w:marRight w:val="0"/>
      <w:marTop w:val="0"/>
      <w:marBottom w:val="0"/>
      <w:divBdr>
        <w:top w:val="none" w:sz="0" w:space="0" w:color="auto"/>
        <w:left w:val="none" w:sz="0" w:space="0" w:color="auto"/>
        <w:bottom w:val="none" w:sz="0" w:space="0" w:color="auto"/>
        <w:right w:val="none" w:sz="0" w:space="0" w:color="auto"/>
      </w:divBdr>
    </w:div>
    <w:div w:id="1771774969">
      <w:bodyDiv w:val="1"/>
      <w:marLeft w:val="0"/>
      <w:marRight w:val="0"/>
      <w:marTop w:val="0"/>
      <w:marBottom w:val="0"/>
      <w:divBdr>
        <w:top w:val="none" w:sz="0" w:space="0" w:color="auto"/>
        <w:left w:val="none" w:sz="0" w:space="0" w:color="auto"/>
        <w:bottom w:val="none" w:sz="0" w:space="0" w:color="auto"/>
        <w:right w:val="none" w:sz="0" w:space="0" w:color="auto"/>
      </w:divBdr>
    </w:div>
    <w:div w:id="1771854771">
      <w:bodyDiv w:val="1"/>
      <w:marLeft w:val="0"/>
      <w:marRight w:val="0"/>
      <w:marTop w:val="0"/>
      <w:marBottom w:val="0"/>
      <w:divBdr>
        <w:top w:val="none" w:sz="0" w:space="0" w:color="auto"/>
        <w:left w:val="none" w:sz="0" w:space="0" w:color="auto"/>
        <w:bottom w:val="none" w:sz="0" w:space="0" w:color="auto"/>
        <w:right w:val="none" w:sz="0" w:space="0" w:color="auto"/>
      </w:divBdr>
    </w:div>
    <w:div w:id="1771857063">
      <w:bodyDiv w:val="1"/>
      <w:marLeft w:val="0"/>
      <w:marRight w:val="0"/>
      <w:marTop w:val="0"/>
      <w:marBottom w:val="0"/>
      <w:divBdr>
        <w:top w:val="none" w:sz="0" w:space="0" w:color="auto"/>
        <w:left w:val="none" w:sz="0" w:space="0" w:color="auto"/>
        <w:bottom w:val="none" w:sz="0" w:space="0" w:color="auto"/>
        <w:right w:val="none" w:sz="0" w:space="0" w:color="auto"/>
      </w:divBdr>
    </w:div>
    <w:div w:id="1772118193">
      <w:bodyDiv w:val="1"/>
      <w:marLeft w:val="0"/>
      <w:marRight w:val="0"/>
      <w:marTop w:val="0"/>
      <w:marBottom w:val="0"/>
      <w:divBdr>
        <w:top w:val="none" w:sz="0" w:space="0" w:color="auto"/>
        <w:left w:val="none" w:sz="0" w:space="0" w:color="auto"/>
        <w:bottom w:val="none" w:sz="0" w:space="0" w:color="auto"/>
        <w:right w:val="none" w:sz="0" w:space="0" w:color="auto"/>
      </w:divBdr>
    </w:div>
    <w:div w:id="1772234542">
      <w:bodyDiv w:val="1"/>
      <w:marLeft w:val="0"/>
      <w:marRight w:val="0"/>
      <w:marTop w:val="0"/>
      <w:marBottom w:val="0"/>
      <w:divBdr>
        <w:top w:val="none" w:sz="0" w:space="0" w:color="auto"/>
        <w:left w:val="none" w:sz="0" w:space="0" w:color="auto"/>
        <w:bottom w:val="none" w:sz="0" w:space="0" w:color="auto"/>
        <w:right w:val="none" w:sz="0" w:space="0" w:color="auto"/>
      </w:divBdr>
    </w:div>
    <w:div w:id="1772238291">
      <w:bodyDiv w:val="1"/>
      <w:marLeft w:val="0"/>
      <w:marRight w:val="0"/>
      <w:marTop w:val="0"/>
      <w:marBottom w:val="0"/>
      <w:divBdr>
        <w:top w:val="none" w:sz="0" w:space="0" w:color="auto"/>
        <w:left w:val="none" w:sz="0" w:space="0" w:color="auto"/>
        <w:bottom w:val="none" w:sz="0" w:space="0" w:color="auto"/>
        <w:right w:val="none" w:sz="0" w:space="0" w:color="auto"/>
      </w:divBdr>
    </w:div>
    <w:div w:id="1772239056">
      <w:bodyDiv w:val="1"/>
      <w:marLeft w:val="0"/>
      <w:marRight w:val="0"/>
      <w:marTop w:val="0"/>
      <w:marBottom w:val="0"/>
      <w:divBdr>
        <w:top w:val="none" w:sz="0" w:space="0" w:color="auto"/>
        <w:left w:val="none" w:sz="0" w:space="0" w:color="auto"/>
        <w:bottom w:val="none" w:sz="0" w:space="0" w:color="auto"/>
        <w:right w:val="none" w:sz="0" w:space="0" w:color="auto"/>
      </w:divBdr>
    </w:div>
    <w:div w:id="1772317785">
      <w:bodyDiv w:val="1"/>
      <w:marLeft w:val="0"/>
      <w:marRight w:val="0"/>
      <w:marTop w:val="0"/>
      <w:marBottom w:val="0"/>
      <w:divBdr>
        <w:top w:val="none" w:sz="0" w:space="0" w:color="auto"/>
        <w:left w:val="none" w:sz="0" w:space="0" w:color="auto"/>
        <w:bottom w:val="none" w:sz="0" w:space="0" w:color="auto"/>
        <w:right w:val="none" w:sz="0" w:space="0" w:color="auto"/>
      </w:divBdr>
    </w:div>
    <w:div w:id="1772356308">
      <w:bodyDiv w:val="1"/>
      <w:marLeft w:val="0"/>
      <w:marRight w:val="0"/>
      <w:marTop w:val="0"/>
      <w:marBottom w:val="0"/>
      <w:divBdr>
        <w:top w:val="none" w:sz="0" w:space="0" w:color="auto"/>
        <w:left w:val="none" w:sz="0" w:space="0" w:color="auto"/>
        <w:bottom w:val="none" w:sz="0" w:space="0" w:color="auto"/>
        <w:right w:val="none" w:sz="0" w:space="0" w:color="auto"/>
      </w:divBdr>
    </w:div>
    <w:div w:id="1772357349">
      <w:bodyDiv w:val="1"/>
      <w:marLeft w:val="0"/>
      <w:marRight w:val="0"/>
      <w:marTop w:val="0"/>
      <w:marBottom w:val="0"/>
      <w:divBdr>
        <w:top w:val="none" w:sz="0" w:space="0" w:color="auto"/>
        <w:left w:val="none" w:sz="0" w:space="0" w:color="auto"/>
        <w:bottom w:val="none" w:sz="0" w:space="0" w:color="auto"/>
        <w:right w:val="none" w:sz="0" w:space="0" w:color="auto"/>
      </w:divBdr>
    </w:div>
    <w:div w:id="1772359606">
      <w:bodyDiv w:val="1"/>
      <w:marLeft w:val="0"/>
      <w:marRight w:val="0"/>
      <w:marTop w:val="0"/>
      <w:marBottom w:val="0"/>
      <w:divBdr>
        <w:top w:val="none" w:sz="0" w:space="0" w:color="auto"/>
        <w:left w:val="none" w:sz="0" w:space="0" w:color="auto"/>
        <w:bottom w:val="none" w:sz="0" w:space="0" w:color="auto"/>
        <w:right w:val="none" w:sz="0" w:space="0" w:color="auto"/>
      </w:divBdr>
    </w:div>
    <w:div w:id="1772504620">
      <w:bodyDiv w:val="1"/>
      <w:marLeft w:val="0"/>
      <w:marRight w:val="0"/>
      <w:marTop w:val="0"/>
      <w:marBottom w:val="0"/>
      <w:divBdr>
        <w:top w:val="none" w:sz="0" w:space="0" w:color="auto"/>
        <w:left w:val="none" w:sz="0" w:space="0" w:color="auto"/>
        <w:bottom w:val="none" w:sz="0" w:space="0" w:color="auto"/>
        <w:right w:val="none" w:sz="0" w:space="0" w:color="auto"/>
      </w:divBdr>
    </w:div>
    <w:div w:id="1772508394">
      <w:bodyDiv w:val="1"/>
      <w:marLeft w:val="0"/>
      <w:marRight w:val="0"/>
      <w:marTop w:val="0"/>
      <w:marBottom w:val="0"/>
      <w:divBdr>
        <w:top w:val="none" w:sz="0" w:space="0" w:color="auto"/>
        <w:left w:val="none" w:sz="0" w:space="0" w:color="auto"/>
        <w:bottom w:val="none" w:sz="0" w:space="0" w:color="auto"/>
        <w:right w:val="none" w:sz="0" w:space="0" w:color="auto"/>
      </w:divBdr>
    </w:div>
    <w:div w:id="1772623506">
      <w:bodyDiv w:val="1"/>
      <w:marLeft w:val="0"/>
      <w:marRight w:val="0"/>
      <w:marTop w:val="0"/>
      <w:marBottom w:val="0"/>
      <w:divBdr>
        <w:top w:val="none" w:sz="0" w:space="0" w:color="auto"/>
        <w:left w:val="none" w:sz="0" w:space="0" w:color="auto"/>
        <w:bottom w:val="none" w:sz="0" w:space="0" w:color="auto"/>
        <w:right w:val="none" w:sz="0" w:space="0" w:color="auto"/>
      </w:divBdr>
    </w:div>
    <w:div w:id="1772772806">
      <w:bodyDiv w:val="1"/>
      <w:marLeft w:val="0"/>
      <w:marRight w:val="0"/>
      <w:marTop w:val="0"/>
      <w:marBottom w:val="0"/>
      <w:divBdr>
        <w:top w:val="none" w:sz="0" w:space="0" w:color="auto"/>
        <w:left w:val="none" w:sz="0" w:space="0" w:color="auto"/>
        <w:bottom w:val="none" w:sz="0" w:space="0" w:color="auto"/>
        <w:right w:val="none" w:sz="0" w:space="0" w:color="auto"/>
      </w:divBdr>
    </w:div>
    <w:div w:id="1772776896">
      <w:bodyDiv w:val="1"/>
      <w:marLeft w:val="0"/>
      <w:marRight w:val="0"/>
      <w:marTop w:val="0"/>
      <w:marBottom w:val="0"/>
      <w:divBdr>
        <w:top w:val="none" w:sz="0" w:space="0" w:color="auto"/>
        <w:left w:val="none" w:sz="0" w:space="0" w:color="auto"/>
        <w:bottom w:val="none" w:sz="0" w:space="0" w:color="auto"/>
        <w:right w:val="none" w:sz="0" w:space="0" w:color="auto"/>
      </w:divBdr>
    </w:div>
    <w:div w:id="1772777226">
      <w:bodyDiv w:val="1"/>
      <w:marLeft w:val="0"/>
      <w:marRight w:val="0"/>
      <w:marTop w:val="0"/>
      <w:marBottom w:val="0"/>
      <w:divBdr>
        <w:top w:val="none" w:sz="0" w:space="0" w:color="auto"/>
        <w:left w:val="none" w:sz="0" w:space="0" w:color="auto"/>
        <w:bottom w:val="none" w:sz="0" w:space="0" w:color="auto"/>
        <w:right w:val="none" w:sz="0" w:space="0" w:color="auto"/>
      </w:divBdr>
    </w:div>
    <w:div w:id="1772821977">
      <w:bodyDiv w:val="1"/>
      <w:marLeft w:val="0"/>
      <w:marRight w:val="0"/>
      <w:marTop w:val="0"/>
      <w:marBottom w:val="0"/>
      <w:divBdr>
        <w:top w:val="none" w:sz="0" w:space="0" w:color="auto"/>
        <w:left w:val="none" w:sz="0" w:space="0" w:color="auto"/>
        <w:bottom w:val="none" w:sz="0" w:space="0" w:color="auto"/>
        <w:right w:val="none" w:sz="0" w:space="0" w:color="auto"/>
      </w:divBdr>
    </w:div>
    <w:div w:id="1772898702">
      <w:bodyDiv w:val="1"/>
      <w:marLeft w:val="0"/>
      <w:marRight w:val="0"/>
      <w:marTop w:val="0"/>
      <w:marBottom w:val="0"/>
      <w:divBdr>
        <w:top w:val="none" w:sz="0" w:space="0" w:color="auto"/>
        <w:left w:val="none" w:sz="0" w:space="0" w:color="auto"/>
        <w:bottom w:val="none" w:sz="0" w:space="0" w:color="auto"/>
        <w:right w:val="none" w:sz="0" w:space="0" w:color="auto"/>
      </w:divBdr>
    </w:div>
    <w:div w:id="1773089577">
      <w:bodyDiv w:val="1"/>
      <w:marLeft w:val="0"/>
      <w:marRight w:val="0"/>
      <w:marTop w:val="0"/>
      <w:marBottom w:val="0"/>
      <w:divBdr>
        <w:top w:val="none" w:sz="0" w:space="0" w:color="auto"/>
        <w:left w:val="none" w:sz="0" w:space="0" w:color="auto"/>
        <w:bottom w:val="none" w:sz="0" w:space="0" w:color="auto"/>
        <w:right w:val="none" w:sz="0" w:space="0" w:color="auto"/>
      </w:divBdr>
    </w:div>
    <w:div w:id="1773090662">
      <w:bodyDiv w:val="1"/>
      <w:marLeft w:val="0"/>
      <w:marRight w:val="0"/>
      <w:marTop w:val="0"/>
      <w:marBottom w:val="0"/>
      <w:divBdr>
        <w:top w:val="none" w:sz="0" w:space="0" w:color="auto"/>
        <w:left w:val="none" w:sz="0" w:space="0" w:color="auto"/>
        <w:bottom w:val="none" w:sz="0" w:space="0" w:color="auto"/>
        <w:right w:val="none" w:sz="0" w:space="0" w:color="auto"/>
      </w:divBdr>
    </w:div>
    <w:div w:id="1773158936">
      <w:bodyDiv w:val="1"/>
      <w:marLeft w:val="0"/>
      <w:marRight w:val="0"/>
      <w:marTop w:val="0"/>
      <w:marBottom w:val="0"/>
      <w:divBdr>
        <w:top w:val="none" w:sz="0" w:space="0" w:color="auto"/>
        <w:left w:val="none" w:sz="0" w:space="0" w:color="auto"/>
        <w:bottom w:val="none" w:sz="0" w:space="0" w:color="auto"/>
        <w:right w:val="none" w:sz="0" w:space="0" w:color="auto"/>
      </w:divBdr>
    </w:div>
    <w:div w:id="1773237757">
      <w:bodyDiv w:val="1"/>
      <w:marLeft w:val="0"/>
      <w:marRight w:val="0"/>
      <w:marTop w:val="0"/>
      <w:marBottom w:val="0"/>
      <w:divBdr>
        <w:top w:val="none" w:sz="0" w:space="0" w:color="auto"/>
        <w:left w:val="none" w:sz="0" w:space="0" w:color="auto"/>
        <w:bottom w:val="none" w:sz="0" w:space="0" w:color="auto"/>
        <w:right w:val="none" w:sz="0" w:space="0" w:color="auto"/>
      </w:divBdr>
    </w:div>
    <w:div w:id="1773284675">
      <w:bodyDiv w:val="1"/>
      <w:marLeft w:val="0"/>
      <w:marRight w:val="0"/>
      <w:marTop w:val="0"/>
      <w:marBottom w:val="0"/>
      <w:divBdr>
        <w:top w:val="none" w:sz="0" w:space="0" w:color="auto"/>
        <w:left w:val="none" w:sz="0" w:space="0" w:color="auto"/>
        <w:bottom w:val="none" w:sz="0" w:space="0" w:color="auto"/>
        <w:right w:val="none" w:sz="0" w:space="0" w:color="auto"/>
      </w:divBdr>
    </w:div>
    <w:div w:id="1773359026">
      <w:bodyDiv w:val="1"/>
      <w:marLeft w:val="0"/>
      <w:marRight w:val="0"/>
      <w:marTop w:val="0"/>
      <w:marBottom w:val="0"/>
      <w:divBdr>
        <w:top w:val="none" w:sz="0" w:space="0" w:color="auto"/>
        <w:left w:val="none" w:sz="0" w:space="0" w:color="auto"/>
        <w:bottom w:val="none" w:sz="0" w:space="0" w:color="auto"/>
        <w:right w:val="none" w:sz="0" w:space="0" w:color="auto"/>
      </w:divBdr>
    </w:div>
    <w:div w:id="1773430829">
      <w:bodyDiv w:val="1"/>
      <w:marLeft w:val="0"/>
      <w:marRight w:val="0"/>
      <w:marTop w:val="0"/>
      <w:marBottom w:val="0"/>
      <w:divBdr>
        <w:top w:val="none" w:sz="0" w:space="0" w:color="auto"/>
        <w:left w:val="none" w:sz="0" w:space="0" w:color="auto"/>
        <w:bottom w:val="none" w:sz="0" w:space="0" w:color="auto"/>
        <w:right w:val="none" w:sz="0" w:space="0" w:color="auto"/>
      </w:divBdr>
    </w:div>
    <w:div w:id="1773432420">
      <w:bodyDiv w:val="1"/>
      <w:marLeft w:val="0"/>
      <w:marRight w:val="0"/>
      <w:marTop w:val="0"/>
      <w:marBottom w:val="0"/>
      <w:divBdr>
        <w:top w:val="none" w:sz="0" w:space="0" w:color="auto"/>
        <w:left w:val="none" w:sz="0" w:space="0" w:color="auto"/>
        <w:bottom w:val="none" w:sz="0" w:space="0" w:color="auto"/>
        <w:right w:val="none" w:sz="0" w:space="0" w:color="auto"/>
      </w:divBdr>
    </w:div>
    <w:div w:id="1773434400">
      <w:bodyDiv w:val="1"/>
      <w:marLeft w:val="0"/>
      <w:marRight w:val="0"/>
      <w:marTop w:val="0"/>
      <w:marBottom w:val="0"/>
      <w:divBdr>
        <w:top w:val="none" w:sz="0" w:space="0" w:color="auto"/>
        <w:left w:val="none" w:sz="0" w:space="0" w:color="auto"/>
        <w:bottom w:val="none" w:sz="0" w:space="0" w:color="auto"/>
        <w:right w:val="none" w:sz="0" w:space="0" w:color="auto"/>
      </w:divBdr>
    </w:div>
    <w:div w:id="1773471869">
      <w:bodyDiv w:val="1"/>
      <w:marLeft w:val="0"/>
      <w:marRight w:val="0"/>
      <w:marTop w:val="0"/>
      <w:marBottom w:val="0"/>
      <w:divBdr>
        <w:top w:val="none" w:sz="0" w:space="0" w:color="auto"/>
        <w:left w:val="none" w:sz="0" w:space="0" w:color="auto"/>
        <w:bottom w:val="none" w:sz="0" w:space="0" w:color="auto"/>
        <w:right w:val="none" w:sz="0" w:space="0" w:color="auto"/>
      </w:divBdr>
    </w:div>
    <w:div w:id="1773546253">
      <w:bodyDiv w:val="1"/>
      <w:marLeft w:val="0"/>
      <w:marRight w:val="0"/>
      <w:marTop w:val="0"/>
      <w:marBottom w:val="0"/>
      <w:divBdr>
        <w:top w:val="none" w:sz="0" w:space="0" w:color="auto"/>
        <w:left w:val="none" w:sz="0" w:space="0" w:color="auto"/>
        <w:bottom w:val="none" w:sz="0" w:space="0" w:color="auto"/>
        <w:right w:val="none" w:sz="0" w:space="0" w:color="auto"/>
      </w:divBdr>
    </w:div>
    <w:div w:id="1773546636">
      <w:bodyDiv w:val="1"/>
      <w:marLeft w:val="0"/>
      <w:marRight w:val="0"/>
      <w:marTop w:val="0"/>
      <w:marBottom w:val="0"/>
      <w:divBdr>
        <w:top w:val="none" w:sz="0" w:space="0" w:color="auto"/>
        <w:left w:val="none" w:sz="0" w:space="0" w:color="auto"/>
        <w:bottom w:val="none" w:sz="0" w:space="0" w:color="auto"/>
        <w:right w:val="none" w:sz="0" w:space="0" w:color="auto"/>
      </w:divBdr>
    </w:div>
    <w:div w:id="1773548689">
      <w:bodyDiv w:val="1"/>
      <w:marLeft w:val="0"/>
      <w:marRight w:val="0"/>
      <w:marTop w:val="0"/>
      <w:marBottom w:val="0"/>
      <w:divBdr>
        <w:top w:val="none" w:sz="0" w:space="0" w:color="auto"/>
        <w:left w:val="none" w:sz="0" w:space="0" w:color="auto"/>
        <w:bottom w:val="none" w:sz="0" w:space="0" w:color="auto"/>
        <w:right w:val="none" w:sz="0" w:space="0" w:color="auto"/>
      </w:divBdr>
    </w:div>
    <w:div w:id="1773666331">
      <w:bodyDiv w:val="1"/>
      <w:marLeft w:val="0"/>
      <w:marRight w:val="0"/>
      <w:marTop w:val="0"/>
      <w:marBottom w:val="0"/>
      <w:divBdr>
        <w:top w:val="none" w:sz="0" w:space="0" w:color="auto"/>
        <w:left w:val="none" w:sz="0" w:space="0" w:color="auto"/>
        <w:bottom w:val="none" w:sz="0" w:space="0" w:color="auto"/>
        <w:right w:val="none" w:sz="0" w:space="0" w:color="auto"/>
      </w:divBdr>
    </w:div>
    <w:div w:id="1773743697">
      <w:bodyDiv w:val="1"/>
      <w:marLeft w:val="0"/>
      <w:marRight w:val="0"/>
      <w:marTop w:val="0"/>
      <w:marBottom w:val="0"/>
      <w:divBdr>
        <w:top w:val="none" w:sz="0" w:space="0" w:color="auto"/>
        <w:left w:val="none" w:sz="0" w:space="0" w:color="auto"/>
        <w:bottom w:val="none" w:sz="0" w:space="0" w:color="auto"/>
        <w:right w:val="none" w:sz="0" w:space="0" w:color="auto"/>
      </w:divBdr>
    </w:div>
    <w:div w:id="1773746228">
      <w:bodyDiv w:val="1"/>
      <w:marLeft w:val="0"/>
      <w:marRight w:val="0"/>
      <w:marTop w:val="0"/>
      <w:marBottom w:val="0"/>
      <w:divBdr>
        <w:top w:val="none" w:sz="0" w:space="0" w:color="auto"/>
        <w:left w:val="none" w:sz="0" w:space="0" w:color="auto"/>
        <w:bottom w:val="none" w:sz="0" w:space="0" w:color="auto"/>
        <w:right w:val="none" w:sz="0" w:space="0" w:color="auto"/>
      </w:divBdr>
    </w:div>
    <w:div w:id="1773863724">
      <w:bodyDiv w:val="1"/>
      <w:marLeft w:val="0"/>
      <w:marRight w:val="0"/>
      <w:marTop w:val="0"/>
      <w:marBottom w:val="0"/>
      <w:divBdr>
        <w:top w:val="none" w:sz="0" w:space="0" w:color="auto"/>
        <w:left w:val="none" w:sz="0" w:space="0" w:color="auto"/>
        <w:bottom w:val="none" w:sz="0" w:space="0" w:color="auto"/>
        <w:right w:val="none" w:sz="0" w:space="0" w:color="auto"/>
      </w:divBdr>
    </w:div>
    <w:div w:id="1773939669">
      <w:bodyDiv w:val="1"/>
      <w:marLeft w:val="0"/>
      <w:marRight w:val="0"/>
      <w:marTop w:val="0"/>
      <w:marBottom w:val="0"/>
      <w:divBdr>
        <w:top w:val="none" w:sz="0" w:space="0" w:color="auto"/>
        <w:left w:val="none" w:sz="0" w:space="0" w:color="auto"/>
        <w:bottom w:val="none" w:sz="0" w:space="0" w:color="auto"/>
        <w:right w:val="none" w:sz="0" w:space="0" w:color="auto"/>
      </w:divBdr>
    </w:div>
    <w:div w:id="1774010933">
      <w:bodyDiv w:val="1"/>
      <w:marLeft w:val="0"/>
      <w:marRight w:val="0"/>
      <w:marTop w:val="0"/>
      <w:marBottom w:val="0"/>
      <w:divBdr>
        <w:top w:val="none" w:sz="0" w:space="0" w:color="auto"/>
        <w:left w:val="none" w:sz="0" w:space="0" w:color="auto"/>
        <w:bottom w:val="none" w:sz="0" w:space="0" w:color="auto"/>
        <w:right w:val="none" w:sz="0" w:space="0" w:color="auto"/>
      </w:divBdr>
    </w:div>
    <w:div w:id="1774277520">
      <w:bodyDiv w:val="1"/>
      <w:marLeft w:val="0"/>
      <w:marRight w:val="0"/>
      <w:marTop w:val="0"/>
      <w:marBottom w:val="0"/>
      <w:divBdr>
        <w:top w:val="none" w:sz="0" w:space="0" w:color="auto"/>
        <w:left w:val="none" w:sz="0" w:space="0" w:color="auto"/>
        <w:bottom w:val="none" w:sz="0" w:space="0" w:color="auto"/>
        <w:right w:val="none" w:sz="0" w:space="0" w:color="auto"/>
      </w:divBdr>
    </w:div>
    <w:div w:id="1774351629">
      <w:bodyDiv w:val="1"/>
      <w:marLeft w:val="0"/>
      <w:marRight w:val="0"/>
      <w:marTop w:val="0"/>
      <w:marBottom w:val="0"/>
      <w:divBdr>
        <w:top w:val="none" w:sz="0" w:space="0" w:color="auto"/>
        <w:left w:val="none" w:sz="0" w:space="0" w:color="auto"/>
        <w:bottom w:val="none" w:sz="0" w:space="0" w:color="auto"/>
        <w:right w:val="none" w:sz="0" w:space="0" w:color="auto"/>
      </w:divBdr>
    </w:div>
    <w:div w:id="1774352814">
      <w:bodyDiv w:val="1"/>
      <w:marLeft w:val="0"/>
      <w:marRight w:val="0"/>
      <w:marTop w:val="0"/>
      <w:marBottom w:val="0"/>
      <w:divBdr>
        <w:top w:val="none" w:sz="0" w:space="0" w:color="auto"/>
        <w:left w:val="none" w:sz="0" w:space="0" w:color="auto"/>
        <w:bottom w:val="none" w:sz="0" w:space="0" w:color="auto"/>
        <w:right w:val="none" w:sz="0" w:space="0" w:color="auto"/>
      </w:divBdr>
    </w:div>
    <w:div w:id="1774473927">
      <w:bodyDiv w:val="1"/>
      <w:marLeft w:val="0"/>
      <w:marRight w:val="0"/>
      <w:marTop w:val="0"/>
      <w:marBottom w:val="0"/>
      <w:divBdr>
        <w:top w:val="none" w:sz="0" w:space="0" w:color="auto"/>
        <w:left w:val="none" w:sz="0" w:space="0" w:color="auto"/>
        <w:bottom w:val="none" w:sz="0" w:space="0" w:color="auto"/>
        <w:right w:val="none" w:sz="0" w:space="0" w:color="auto"/>
      </w:divBdr>
    </w:div>
    <w:div w:id="1774476968">
      <w:bodyDiv w:val="1"/>
      <w:marLeft w:val="0"/>
      <w:marRight w:val="0"/>
      <w:marTop w:val="0"/>
      <w:marBottom w:val="0"/>
      <w:divBdr>
        <w:top w:val="none" w:sz="0" w:space="0" w:color="auto"/>
        <w:left w:val="none" w:sz="0" w:space="0" w:color="auto"/>
        <w:bottom w:val="none" w:sz="0" w:space="0" w:color="auto"/>
        <w:right w:val="none" w:sz="0" w:space="0" w:color="auto"/>
      </w:divBdr>
    </w:div>
    <w:div w:id="1774545193">
      <w:bodyDiv w:val="1"/>
      <w:marLeft w:val="0"/>
      <w:marRight w:val="0"/>
      <w:marTop w:val="0"/>
      <w:marBottom w:val="0"/>
      <w:divBdr>
        <w:top w:val="none" w:sz="0" w:space="0" w:color="auto"/>
        <w:left w:val="none" w:sz="0" w:space="0" w:color="auto"/>
        <w:bottom w:val="none" w:sz="0" w:space="0" w:color="auto"/>
        <w:right w:val="none" w:sz="0" w:space="0" w:color="auto"/>
      </w:divBdr>
    </w:div>
    <w:div w:id="1774546511">
      <w:bodyDiv w:val="1"/>
      <w:marLeft w:val="0"/>
      <w:marRight w:val="0"/>
      <w:marTop w:val="0"/>
      <w:marBottom w:val="0"/>
      <w:divBdr>
        <w:top w:val="none" w:sz="0" w:space="0" w:color="auto"/>
        <w:left w:val="none" w:sz="0" w:space="0" w:color="auto"/>
        <w:bottom w:val="none" w:sz="0" w:space="0" w:color="auto"/>
        <w:right w:val="none" w:sz="0" w:space="0" w:color="auto"/>
      </w:divBdr>
    </w:div>
    <w:div w:id="1774742151">
      <w:bodyDiv w:val="1"/>
      <w:marLeft w:val="0"/>
      <w:marRight w:val="0"/>
      <w:marTop w:val="0"/>
      <w:marBottom w:val="0"/>
      <w:divBdr>
        <w:top w:val="none" w:sz="0" w:space="0" w:color="auto"/>
        <w:left w:val="none" w:sz="0" w:space="0" w:color="auto"/>
        <w:bottom w:val="none" w:sz="0" w:space="0" w:color="auto"/>
        <w:right w:val="none" w:sz="0" w:space="0" w:color="auto"/>
      </w:divBdr>
    </w:div>
    <w:div w:id="1774744134">
      <w:bodyDiv w:val="1"/>
      <w:marLeft w:val="0"/>
      <w:marRight w:val="0"/>
      <w:marTop w:val="0"/>
      <w:marBottom w:val="0"/>
      <w:divBdr>
        <w:top w:val="none" w:sz="0" w:space="0" w:color="auto"/>
        <w:left w:val="none" w:sz="0" w:space="0" w:color="auto"/>
        <w:bottom w:val="none" w:sz="0" w:space="0" w:color="auto"/>
        <w:right w:val="none" w:sz="0" w:space="0" w:color="auto"/>
      </w:divBdr>
    </w:div>
    <w:div w:id="1774813154">
      <w:bodyDiv w:val="1"/>
      <w:marLeft w:val="0"/>
      <w:marRight w:val="0"/>
      <w:marTop w:val="0"/>
      <w:marBottom w:val="0"/>
      <w:divBdr>
        <w:top w:val="none" w:sz="0" w:space="0" w:color="auto"/>
        <w:left w:val="none" w:sz="0" w:space="0" w:color="auto"/>
        <w:bottom w:val="none" w:sz="0" w:space="0" w:color="auto"/>
        <w:right w:val="none" w:sz="0" w:space="0" w:color="auto"/>
      </w:divBdr>
    </w:div>
    <w:div w:id="1774933925">
      <w:bodyDiv w:val="1"/>
      <w:marLeft w:val="0"/>
      <w:marRight w:val="0"/>
      <w:marTop w:val="0"/>
      <w:marBottom w:val="0"/>
      <w:divBdr>
        <w:top w:val="none" w:sz="0" w:space="0" w:color="auto"/>
        <w:left w:val="none" w:sz="0" w:space="0" w:color="auto"/>
        <w:bottom w:val="none" w:sz="0" w:space="0" w:color="auto"/>
        <w:right w:val="none" w:sz="0" w:space="0" w:color="auto"/>
      </w:divBdr>
    </w:div>
    <w:div w:id="1775126231">
      <w:bodyDiv w:val="1"/>
      <w:marLeft w:val="0"/>
      <w:marRight w:val="0"/>
      <w:marTop w:val="0"/>
      <w:marBottom w:val="0"/>
      <w:divBdr>
        <w:top w:val="none" w:sz="0" w:space="0" w:color="auto"/>
        <w:left w:val="none" w:sz="0" w:space="0" w:color="auto"/>
        <w:bottom w:val="none" w:sz="0" w:space="0" w:color="auto"/>
        <w:right w:val="none" w:sz="0" w:space="0" w:color="auto"/>
      </w:divBdr>
    </w:div>
    <w:div w:id="1775126307">
      <w:bodyDiv w:val="1"/>
      <w:marLeft w:val="0"/>
      <w:marRight w:val="0"/>
      <w:marTop w:val="0"/>
      <w:marBottom w:val="0"/>
      <w:divBdr>
        <w:top w:val="none" w:sz="0" w:space="0" w:color="auto"/>
        <w:left w:val="none" w:sz="0" w:space="0" w:color="auto"/>
        <w:bottom w:val="none" w:sz="0" w:space="0" w:color="auto"/>
        <w:right w:val="none" w:sz="0" w:space="0" w:color="auto"/>
      </w:divBdr>
    </w:div>
    <w:div w:id="1775249945">
      <w:bodyDiv w:val="1"/>
      <w:marLeft w:val="0"/>
      <w:marRight w:val="0"/>
      <w:marTop w:val="0"/>
      <w:marBottom w:val="0"/>
      <w:divBdr>
        <w:top w:val="none" w:sz="0" w:space="0" w:color="auto"/>
        <w:left w:val="none" w:sz="0" w:space="0" w:color="auto"/>
        <w:bottom w:val="none" w:sz="0" w:space="0" w:color="auto"/>
        <w:right w:val="none" w:sz="0" w:space="0" w:color="auto"/>
      </w:divBdr>
    </w:div>
    <w:div w:id="1775317932">
      <w:bodyDiv w:val="1"/>
      <w:marLeft w:val="0"/>
      <w:marRight w:val="0"/>
      <w:marTop w:val="0"/>
      <w:marBottom w:val="0"/>
      <w:divBdr>
        <w:top w:val="none" w:sz="0" w:space="0" w:color="auto"/>
        <w:left w:val="none" w:sz="0" w:space="0" w:color="auto"/>
        <w:bottom w:val="none" w:sz="0" w:space="0" w:color="auto"/>
        <w:right w:val="none" w:sz="0" w:space="0" w:color="auto"/>
      </w:divBdr>
    </w:div>
    <w:div w:id="1775325383">
      <w:bodyDiv w:val="1"/>
      <w:marLeft w:val="0"/>
      <w:marRight w:val="0"/>
      <w:marTop w:val="0"/>
      <w:marBottom w:val="0"/>
      <w:divBdr>
        <w:top w:val="none" w:sz="0" w:space="0" w:color="auto"/>
        <w:left w:val="none" w:sz="0" w:space="0" w:color="auto"/>
        <w:bottom w:val="none" w:sz="0" w:space="0" w:color="auto"/>
        <w:right w:val="none" w:sz="0" w:space="0" w:color="auto"/>
      </w:divBdr>
    </w:div>
    <w:div w:id="1775513162">
      <w:bodyDiv w:val="1"/>
      <w:marLeft w:val="0"/>
      <w:marRight w:val="0"/>
      <w:marTop w:val="0"/>
      <w:marBottom w:val="0"/>
      <w:divBdr>
        <w:top w:val="none" w:sz="0" w:space="0" w:color="auto"/>
        <w:left w:val="none" w:sz="0" w:space="0" w:color="auto"/>
        <w:bottom w:val="none" w:sz="0" w:space="0" w:color="auto"/>
        <w:right w:val="none" w:sz="0" w:space="0" w:color="auto"/>
      </w:divBdr>
    </w:div>
    <w:div w:id="1775593606">
      <w:bodyDiv w:val="1"/>
      <w:marLeft w:val="0"/>
      <w:marRight w:val="0"/>
      <w:marTop w:val="0"/>
      <w:marBottom w:val="0"/>
      <w:divBdr>
        <w:top w:val="none" w:sz="0" w:space="0" w:color="auto"/>
        <w:left w:val="none" w:sz="0" w:space="0" w:color="auto"/>
        <w:bottom w:val="none" w:sz="0" w:space="0" w:color="auto"/>
        <w:right w:val="none" w:sz="0" w:space="0" w:color="auto"/>
      </w:divBdr>
    </w:div>
    <w:div w:id="1775711450">
      <w:bodyDiv w:val="1"/>
      <w:marLeft w:val="0"/>
      <w:marRight w:val="0"/>
      <w:marTop w:val="0"/>
      <w:marBottom w:val="0"/>
      <w:divBdr>
        <w:top w:val="none" w:sz="0" w:space="0" w:color="auto"/>
        <w:left w:val="none" w:sz="0" w:space="0" w:color="auto"/>
        <w:bottom w:val="none" w:sz="0" w:space="0" w:color="auto"/>
        <w:right w:val="none" w:sz="0" w:space="0" w:color="auto"/>
      </w:divBdr>
    </w:div>
    <w:div w:id="1775973003">
      <w:bodyDiv w:val="1"/>
      <w:marLeft w:val="0"/>
      <w:marRight w:val="0"/>
      <w:marTop w:val="0"/>
      <w:marBottom w:val="0"/>
      <w:divBdr>
        <w:top w:val="none" w:sz="0" w:space="0" w:color="auto"/>
        <w:left w:val="none" w:sz="0" w:space="0" w:color="auto"/>
        <w:bottom w:val="none" w:sz="0" w:space="0" w:color="auto"/>
        <w:right w:val="none" w:sz="0" w:space="0" w:color="auto"/>
      </w:divBdr>
    </w:div>
    <w:div w:id="1776054126">
      <w:bodyDiv w:val="1"/>
      <w:marLeft w:val="0"/>
      <w:marRight w:val="0"/>
      <w:marTop w:val="0"/>
      <w:marBottom w:val="0"/>
      <w:divBdr>
        <w:top w:val="none" w:sz="0" w:space="0" w:color="auto"/>
        <w:left w:val="none" w:sz="0" w:space="0" w:color="auto"/>
        <w:bottom w:val="none" w:sz="0" w:space="0" w:color="auto"/>
        <w:right w:val="none" w:sz="0" w:space="0" w:color="auto"/>
      </w:divBdr>
    </w:div>
    <w:div w:id="1776246979">
      <w:bodyDiv w:val="1"/>
      <w:marLeft w:val="0"/>
      <w:marRight w:val="0"/>
      <w:marTop w:val="0"/>
      <w:marBottom w:val="0"/>
      <w:divBdr>
        <w:top w:val="none" w:sz="0" w:space="0" w:color="auto"/>
        <w:left w:val="none" w:sz="0" w:space="0" w:color="auto"/>
        <w:bottom w:val="none" w:sz="0" w:space="0" w:color="auto"/>
        <w:right w:val="none" w:sz="0" w:space="0" w:color="auto"/>
      </w:divBdr>
    </w:div>
    <w:div w:id="1776249644">
      <w:bodyDiv w:val="1"/>
      <w:marLeft w:val="0"/>
      <w:marRight w:val="0"/>
      <w:marTop w:val="0"/>
      <w:marBottom w:val="0"/>
      <w:divBdr>
        <w:top w:val="none" w:sz="0" w:space="0" w:color="auto"/>
        <w:left w:val="none" w:sz="0" w:space="0" w:color="auto"/>
        <w:bottom w:val="none" w:sz="0" w:space="0" w:color="auto"/>
        <w:right w:val="none" w:sz="0" w:space="0" w:color="auto"/>
      </w:divBdr>
    </w:div>
    <w:div w:id="1776319098">
      <w:bodyDiv w:val="1"/>
      <w:marLeft w:val="0"/>
      <w:marRight w:val="0"/>
      <w:marTop w:val="0"/>
      <w:marBottom w:val="0"/>
      <w:divBdr>
        <w:top w:val="none" w:sz="0" w:space="0" w:color="auto"/>
        <w:left w:val="none" w:sz="0" w:space="0" w:color="auto"/>
        <w:bottom w:val="none" w:sz="0" w:space="0" w:color="auto"/>
        <w:right w:val="none" w:sz="0" w:space="0" w:color="auto"/>
      </w:divBdr>
    </w:div>
    <w:div w:id="1776437779">
      <w:bodyDiv w:val="1"/>
      <w:marLeft w:val="0"/>
      <w:marRight w:val="0"/>
      <w:marTop w:val="0"/>
      <w:marBottom w:val="0"/>
      <w:divBdr>
        <w:top w:val="none" w:sz="0" w:space="0" w:color="auto"/>
        <w:left w:val="none" w:sz="0" w:space="0" w:color="auto"/>
        <w:bottom w:val="none" w:sz="0" w:space="0" w:color="auto"/>
        <w:right w:val="none" w:sz="0" w:space="0" w:color="auto"/>
      </w:divBdr>
    </w:div>
    <w:div w:id="1776512287">
      <w:bodyDiv w:val="1"/>
      <w:marLeft w:val="0"/>
      <w:marRight w:val="0"/>
      <w:marTop w:val="0"/>
      <w:marBottom w:val="0"/>
      <w:divBdr>
        <w:top w:val="none" w:sz="0" w:space="0" w:color="auto"/>
        <w:left w:val="none" w:sz="0" w:space="0" w:color="auto"/>
        <w:bottom w:val="none" w:sz="0" w:space="0" w:color="auto"/>
        <w:right w:val="none" w:sz="0" w:space="0" w:color="auto"/>
      </w:divBdr>
    </w:div>
    <w:div w:id="1776516398">
      <w:bodyDiv w:val="1"/>
      <w:marLeft w:val="0"/>
      <w:marRight w:val="0"/>
      <w:marTop w:val="0"/>
      <w:marBottom w:val="0"/>
      <w:divBdr>
        <w:top w:val="none" w:sz="0" w:space="0" w:color="auto"/>
        <w:left w:val="none" w:sz="0" w:space="0" w:color="auto"/>
        <w:bottom w:val="none" w:sz="0" w:space="0" w:color="auto"/>
        <w:right w:val="none" w:sz="0" w:space="0" w:color="auto"/>
      </w:divBdr>
    </w:div>
    <w:div w:id="1776631158">
      <w:bodyDiv w:val="1"/>
      <w:marLeft w:val="0"/>
      <w:marRight w:val="0"/>
      <w:marTop w:val="0"/>
      <w:marBottom w:val="0"/>
      <w:divBdr>
        <w:top w:val="none" w:sz="0" w:space="0" w:color="auto"/>
        <w:left w:val="none" w:sz="0" w:space="0" w:color="auto"/>
        <w:bottom w:val="none" w:sz="0" w:space="0" w:color="auto"/>
        <w:right w:val="none" w:sz="0" w:space="0" w:color="auto"/>
      </w:divBdr>
    </w:div>
    <w:div w:id="1776635217">
      <w:bodyDiv w:val="1"/>
      <w:marLeft w:val="0"/>
      <w:marRight w:val="0"/>
      <w:marTop w:val="0"/>
      <w:marBottom w:val="0"/>
      <w:divBdr>
        <w:top w:val="none" w:sz="0" w:space="0" w:color="auto"/>
        <w:left w:val="none" w:sz="0" w:space="0" w:color="auto"/>
        <w:bottom w:val="none" w:sz="0" w:space="0" w:color="auto"/>
        <w:right w:val="none" w:sz="0" w:space="0" w:color="auto"/>
      </w:divBdr>
    </w:div>
    <w:div w:id="1776826378">
      <w:bodyDiv w:val="1"/>
      <w:marLeft w:val="0"/>
      <w:marRight w:val="0"/>
      <w:marTop w:val="0"/>
      <w:marBottom w:val="0"/>
      <w:divBdr>
        <w:top w:val="none" w:sz="0" w:space="0" w:color="auto"/>
        <w:left w:val="none" w:sz="0" w:space="0" w:color="auto"/>
        <w:bottom w:val="none" w:sz="0" w:space="0" w:color="auto"/>
        <w:right w:val="none" w:sz="0" w:space="0" w:color="auto"/>
      </w:divBdr>
    </w:div>
    <w:div w:id="1776830588">
      <w:bodyDiv w:val="1"/>
      <w:marLeft w:val="0"/>
      <w:marRight w:val="0"/>
      <w:marTop w:val="0"/>
      <w:marBottom w:val="0"/>
      <w:divBdr>
        <w:top w:val="none" w:sz="0" w:space="0" w:color="auto"/>
        <w:left w:val="none" w:sz="0" w:space="0" w:color="auto"/>
        <w:bottom w:val="none" w:sz="0" w:space="0" w:color="auto"/>
        <w:right w:val="none" w:sz="0" w:space="0" w:color="auto"/>
      </w:divBdr>
    </w:div>
    <w:div w:id="1776899557">
      <w:bodyDiv w:val="1"/>
      <w:marLeft w:val="0"/>
      <w:marRight w:val="0"/>
      <w:marTop w:val="0"/>
      <w:marBottom w:val="0"/>
      <w:divBdr>
        <w:top w:val="none" w:sz="0" w:space="0" w:color="auto"/>
        <w:left w:val="none" w:sz="0" w:space="0" w:color="auto"/>
        <w:bottom w:val="none" w:sz="0" w:space="0" w:color="auto"/>
        <w:right w:val="none" w:sz="0" w:space="0" w:color="auto"/>
      </w:divBdr>
    </w:div>
    <w:div w:id="1777018437">
      <w:bodyDiv w:val="1"/>
      <w:marLeft w:val="0"/>
      <w:marRight w:val="0"/>
      <w:marTop w:val="0"/>
      <w:marBottom w:val="0"/>
      <w:divBdr>
        <w:top w:val="none" w:sz="0" w:space="0" w:color="auto"/>
        <w:left w:val="none" w:sz="0" w:space="0" w:color="auto"/>
        <w:bottom w:val="none" w:sz="0" w:space="0" w:color="auto"/>
        <w:right w:val="none" w:sz="0" w:space="0" w:color="auto"/>
      </w:divBdr>
    </w:div>
    <w:div w:id="1777098932">
      <w:bodyDiv w:val="1"/>
      <w:marLeft w:val="0"/>
      <w:marRight w:val="0"/>
      <w:marTop w:val="0"/>
      <w:marBottom w:val="0"/>
      <w:divBdr>
        <w:top w:val="none" w:sz="0" w:space="0" w:color="auto"/>
        <w:left w:val="none" w:sz="0" w:space="0" w:color="auto"/>
        <w:bottom w:val="none" w:sz="0" w:space="0" w:color="auto"/>
        <w:right w:val="none" w:sz="0" w:space="0" w:color="auto"/>
      </w:divBdr>
    </w:div>
    <w:div w:id="1777285482">
      <w:bodyDiv w:val="1"/>
      <w:marLeft w:val="0"/>
      <w:marRight w:val="0"/>
      <w:marTop w:val="0"/>
      <w:marBottom w:val="0"/>
      <w:divBdr>
        <w:top w:val="none" w:sz="0" w:space="0" w:color="auto"/>
        <w:left w:val="none" w:sz="0" w:space="0" w:color="auto"/>
        <w:bottom w:val="none" w:sz="0" w:space="0" w:color="auto"/>
        <w:right w:val="none" w:sz="0" w:space="0" w:color="auto"/>
      </w:divBdr>
    </w:div>
    <w:div w:id="1777287528">
      <w:bodyDiv w:val="1"/>
      <w:marLeft w:val="0"/>
      <w:marRight w:val="0"/>
      <w:marTop w:val="0"/>
      <w:marBottom w:val="0"/>
      <w:divBdr>
        <w:top w:val="none" w:sz="0" w:space="0" w:color="auto"/>
        <w:left w:val="none" w:sz="0" w:space="0" w:color="auto"/>
        <w:bottom w:val="none" w:sz="0" w:space="0" w:color="auto"/>
        <w:right w:val="none" w:sz="0" w:space="0" w:color="auto"/>
      </w:divBdr>
    </w:div>
    <w:div w:id="1777403049">
      <w:bodyDiv w:val="1"/>
      <w:marLeft w:val="0"/>
      <w:marRight w:val="0"/>
      <w:marTop w:val="0"/>
      <w:marBottom w:val="0"/>
      <w:divBdr>
        <w:top w:val="none" w:sz="0" w:space="0" w:color="auto"/>
        <w:left w:val="none" w:sz="0" w:space="0" w:color="auto"/>
        <w:bottom w:val="none" w:sz="0" w:space="0" w:color="auto"/>
        <w:right w:val="none" w:sz="0" w:space="0" w:color="auto"/>
      </w:divBdr>
    </w:div>
    <w:div w:id="1777406473">
      <w:bodyDiv w:val="1"/>
      <w:marLeft w:val="0"/>
      <w:marRight w:val="0"/>
      <w:marTop w:val="0"/>
      <w:marBottom w:val="0"/>
      <w:divBdr>
        <w:top w:val="none" w:sz="0" w:space="0" w:color="auto"/>
        <w:left w:val="none" w:sz="0" w:space="0" w:color="auto"/>
        <w:bottom w:val="none" w:sz="0" w:space="0" w:color="auto"/>
        <w:right w:val="none" w:sz="0" w:space="0" w:color="auto"/>
      </w:divBdr>
    </w:div>
    <w:div w:id="1777598925">
      <w:bodyDiv w:val="1"/>
      <w:marLeft w:val="0"/>
      <w:marRight w:val="0"/>
      <w:marTop w:val="0"/>
      <w:marBottom w:val="0"/>
      <w:divBdr>
        <w:top w:val="none" w:sz="0" w:space="0" w:color="auto"/>
        <w:left w:val="none" w:sz="0" w:space="0" w:color="auto"/>
        <w:bottom w:val="none" w:sz="0" w:space="0" w:color="auto"/>
        <w:right w:val="none" w:sz="0" w:space="0" w:color="auto"/>
      </w:divBdr>
    </w:div>
    <w:div w:id="1777629207">
      <w:bodyDiv w:val="1"/>
      <w:marLeft w:val="0"/>
      <w:marRight w:val="0"/>
      <w:marTop w:val="0"/>
      <w:marBottom w:val="0"/>
      <w:divBdr>
        <w:top w:val="none" w:sz="0" w:space="0" w:color="auto"/>
        <w:left w:val="none" w:sz="0" w:space="0" w:color="auto"/>
        <w:bottom w:val="none" w:sz="0" w:space="0" w:color="auto"/>
        <w:right w:val="none" w:sz="0" w:space="0" w:color="auto"/>
      </w:divBdr>
    </w:div>
    <w:div w:id="1777670201">
      <w:bodyDiv w:val="1"/>
      <w:marLeft w:val="0"/>
      <w:marRight w:val="0"/>
      <w:marTop w:val="0"/>
      <w:marBottom w:val="0"/>
      <w:divBdr>
        <w:top w:val="none" w:sz="0" w:space="0" w:color="auto"/>
        <w:left w:val="none" w:sz="0" w:space="0" w:color="auto"/>
        <w:bottom w:val="none" w:sz="0" w:space="0" w:color="auto"/>
        <w:right w:val="none" w:sz="0" w:space="0" w:color="auto"/>
      </w:divBdr>
    </w:div>
    <w:div w:id="1777678221">
      <w:bodyDiv w:val="1"/>
      <w:marLeft w:val="0"/>
      <w:marRight w:val="0"/>
      <w:marTop w:val="0"/>
      <w:marBottom w:val="0"/>
      <w:divBdr>
        <w:top w:val="none" w:sz="0" w:space="0" w:color="auto"/>
        <w:left w:val="none" w:sz="0" w:space="0" w:color="auto"/>
        <w:bottom w:val="none" w:sz="0" w:space="0" w:color="auto"/>
        <w:right w:val="none" w:sz="0" w:space="0" w:color="auto"/>
      </w:divBdr>
    </w:div>
    <w:div w:id="1777747146">
      <w:bodyDiv w:val="1"/>
      <w:marLeft w:val="0"/>
      <w:marRight w:val="0"/>
      <w:marTop w:val="0"/>
      <w:marBottom w:val="0"/>
      <w:divBdr>
        <w:top w:val="none" w:sz="0" w:space="0" w:color="auto"/>
        <w:left w:val="none" w:sz="0" w:space="0" w:color="auto"/>
        <w:bottom w:val="none" w:sz="0" w:space="0" w:color="auto"/>
        <w:right w:val="none" w:sz="0" w:space="0" w:color="auto"/>
      </w:divBdr>
    </w:div>
    <w:div w:id="1777747428">
      <w:bodyDiv w:val="1"/>
      <w:marLeft w:val="0"/>
      <w:marRight w:val="0"/>
      <w:marTop w:val="0"/>
      <w:marBottom w:val="0"/>
      <w:divBdr>
        <w:top w:val="none" w:sz="0" w:space="0" w:color="auto"/>
        <w:left w:val="none" w:sz="0" w:space="0" w:color="auto"/>
        <w:bottom w:val="none" w:sz="0" w:space="0" w:color="auto"/>
        <w:right w:val="none" w:sz="0" w:space="0" w:color="auto"/>
      </w:divBdr>
    </w:div>
    <w:div w:id="1777750788">
      <w:bodyDiv w:val="1"/>
      <w:marLeft w:val="0"/>
      <w:marRight w:val="0"/>
      <w:marTop w:val="0"/>
      <w:marBottom w:val="0"/>
      <w:divBdr>
        <w:top w:val="none" w:sz="0" w:space="0" w:color="auto"/>
        <w:left w:val="none" w:sz="0" w:space="0" w:color="auto"/>
        <w:bottom w:val="none" w:sz="0" w:space="0" w:color="auto"/>
        <w:right w:val="none" w:sz="0" w:space="0" w:color="auto"/>
      </w:divBdr>
    </w:div>
    <w:div w:id="1777752217">
      <w:bodyDiv w:val="1"/>
      <w:marLeft w:val="0"/>
      <w:marRight w:val="0"/>
      <w:marTop w:val="0"/>
      <w:marBottom w:val="0"/>
      <w:divBdr>
        <w:top w:val="none" w:sz="0" w:space="0" w:color="auto"/>
        <w:left w:val="none" w:sz="0" w:space="0" w:color="auto"/>
        <w:bottom w:val="none" w:sz="0" w:space="0" w:color="auto"/>
        <w:right w:val="none" w:sz="0" w:space="0" w:color="auto"/>
      </w:divBdr>
    </w:div>
    <w:div w:id="1777865216">
      <w:bodyDiv w:val="1"/>
      <w:marLeft w:val="0"/>
      <w:marRight w:val="0"/>
      <w:marTop w:val="0"/>
      <w:marBottom w:val="0"/>
      <w:divBdr>
        <w:top w:val="none" w:sz="0" w:space="0" w:color="auto"/>
        <w:left w:val="none" w:sz="0" w:space="0" w:color="auto"/>
        <w:bottom w:val="none" w:sz="0" w:space="0" w:color="auto"/>
        <w:right w:val="none" w:sz="0" w:space="0" w:color="auto"/>
      </w:divBdr>
    </w:div>
    <w:div w:id="1777940330">
      <w:bodyDiv w:val="1"/>
      <w:marLeft w:val="0"/>
      <w:marRight w:val="0"/>
      <w:marTop w:val="0"/>
      <w:marBottom w:val="0"/>
      <w:divBdr>
        <w:top w:val="none" w:sz="0" w:space="0" w:color="auto"/>
        <w:left w:val="none" w:sz="0" w:space="0" w:color="auto"/>
        <w:bottom w:val="none" w:sz="0" w:space="0" w:color="auto"/>
        <w:right w:val="none" w:sz="0" w:space="0" w:color="auto"/>
      </w:divBdr>
    </w:div>
    <w:div w:id="1778021287">
      <w:bodyDiv w:val="1"/>
      <w:marLeft w:val="0"/>
      <w:marRight w:val="0"/>
      <w:marTop w:val="0"/>
      <w:marBottom w:val="0"/>
      <w:divBdr>
        <w:top w:val="none" w:sz="0" w:space="0" w:color="auto"/>
        <w:left w:val="none" w:sz="0" w:space="0" w:color="auto"/>
        <w:bottom w:val="none" w:sz="0" w:space="0" w:color="auto"/>
        <w:right w:val="none" w:sz="0" w:space="0" w:color="auto"/>
      </w:divBdr>
    </w:div>
    <w:div w:id="1778135759">
      <w:bodyDiv w:val="1"/>
      <w:marLeft w:val="0"/>
      <w:marRight w:val="0"/>
      <w:marTop w:val="0"/>
      <w:marBottom w:val="0"/>
      <w:divBdr>
        <w:top w:val="none" w:sz="0" w:space="0" w:color="auto"/>
        <w:left w:val="none" w:sz="0" w:space="0" w:color="auto"/>
        <w:bottom w:val="none" w:sz="0" w:space="0" w:color="auto"/>
        <w:right w:val="none" w:sz="0" w:space="0" w:color="auto"/>
      </w:divBdr>
    </w:div>
    <w:div w:id="1778254490">
      <w:bodyDiv w:val="1"/>
      <w:marLeft w:val="0"/>
      <w:marRight w:val="0"/>
      <w:marTop w:val="0"/>
      <w:marBottom w:val="0"/>
      <w:divBdr>
        <w:top w:val="none" w:sz="0" w:space="0" w:color="auto"/>
        <w:left w:val="none" w:sz="0" w:space="0" w:color="auto"/>
        <w:bottom w:val="none" w:sz="0" w:space="0" w:color="auto"/>
        <w:right w:val="none" w:sz="0" w:space="0" w:color="auto"/>
      </w:divBdr>
    </w:div>
    <w:div w:id="1778330117">
      <w:bodyDiv w:val="1"/>
      <w:marLeft w:val="0"/>
      <w:marRight w:val="0"/>
      <w:marTop w:val="0"/>
      <w:marBottom w:val="0"/>
      <w:divBdr>
        <w:top w:val="none" w:sz="0" w:space="0" w:color="auto"/>
        <w:left w:val="none" w:sz="0" w:space="0" w:color="auto"/>
        <w:bottom w:val="none" w:sz="0" w:space="0" w:color="auto"/>
        <w:right w:val="none" w:sz="0" w:space="0" w:color="auto"/>
      </w:divBdr>
    </w:div>
    <w:div w:id="1778403222">
      <w:bodyDiv w:val="1"/>
      <w:marLeft w:val="0"/>
      <w:marRight w:val="0"/>
      <w:marTop w:val="0"/>
      <w:marBottom w:val="0"/>
      <w:divBdr>
        <w:top w:val="none" w:sz="0" w:space="0" w:color="auto"/>
        <w:left w:val="none" w:sz="0" w:space="0" w:color="auto"/>
        <w:bottom w:val="none" w:sz="0" w:space="0" w:color="auto"/>
        <w:right w:val="none" w:sz="0" w:space="0" w:color="auto"/>
      </w:divBdr>
    </w:div>
    <w:div w:id="1778409840">
      <w:bodyDiv w:val="1"/>
      <w:marLeft w:val="0"/>
      <w:marRight w:val="0"/>
      <w:marTop w:val="0"/>
      <w:marBottom w:val="0"/>
      <w:divBdr>
        <w:top w:val="none" w:sz="0" w:space="0" w:color="auto"/>
        <w:left w:val="none" w:sz="0" w:space="0" w:color="auto"/>
        <w:bottom w:val="none" w:sz="0" w:space="0" w:color="auto"/>
        <w:right w:val="none" w:sz="0" w:space="0" w:color="auto"/>
      </w:divBdr>
    </w:div>
    <w:div w:id="1778477766">
      <w:bodyDiv w:val="1"/>
      <w:marLeft w:val="0"/>
      <w:marRight w:val="0"/>
      <w:marTop w:val="0"/>
      <w:marBottom w:val="0"/>
      <w:divBdr>
        <w:top w:val="none" w:sz="0" w:space="0" w:color="auto"/>
        <w:left w:val="none" w:sz="0" w:space="0" w:color="auto"/>
        <w:bottom w:val="none" w:sz="0" w:space="0" w:color="auto"/>
        <w:right w:val="none" w:sz="0" w:space="0" w:color="auto"/>
      </w:divBdr>
    </w:div>
    <w:div w:id="1778677368">
      <w:bodyDiv w:val="1"/>
      <w:marLeft w:val="0"/>
      <w:marRight w:val="0"/>
      <w:marTop w:val="0"/>
      <w:marBottom w:val="0"/>
      <w:divBdr>
        <w:top w:val="none" w:sz="0" w:space="0" w:color="auto"/>
        <w:left w:val="none" w:sz="0" w:space="0" w:color="auto"/>
        <w:bottom w:val="none" w:sz="0" w:space="0" w:color="auto"/>
        <w:right w:val="none" w:sz="0" w:space="0" w:color="auto"/>
      </w:divBdr>
    </w:div>
    <w:div w:id="1778719367">
      <w:bodyDiv w:val="1"/>
      <w:marLeft w:val="0"/>
      <w:marRight w:val="0"/>
      <w:marTop w:val="0"/>
      <w:marBottom w:val="0"/>
      <w:divBdr>
        <w:top w:val="none" w:sz="0" w:space="0" w:color="auto"/>
        <w:left w:val="none" w:sz="0" w:space="0" w:color="auto"/>
        <w:bottom w:val="none" w:sz="0" w:space="0" w:color="auto"/>
        <w:right w:val="none" w:sz="0" w:space="0" w:color="auto"/>
      </w:divBdr>
    </w:div>
    <w:div w:id="1778982633">
      <w:bodyDiv w:val="1"/>
      <w:marLeft w:val="0"/>
      <w:marRight w:val="0"/>
      <w:marTop w:val="0"/>
      <w:marBottom w:val="0"/>
      <w:divBdr>
        <w:top w:val="none" w:sz="0" w:space="0" w:color="auto"/>
        <w:left w:val="none" w:sz="0" w:space="0" w:color="auto"/>
        <w:bottom w:val="none" w:sz="0" w:space="0" w:color="auto"/>
        <w:right w:val="none" w:sz="0" w:space="0" w:color="auto"/>
      </w:divBdr>
    </w:div>
    <w:div w:id="1778984389">
      <w:bodyDiv w:val="1"/>
      <w:marLeft w:val="0"/>
      <w:marRight w:val="0"/>
      <w:marTop w:val="0"/>
      <w:marBottom w:val="0"/>
      <w:divBdr>
        <w:top w:val="none" w:sz="0" w:space="0" w:color="auto"/>
        <w:left w:val="none" w:sz="0" w:space="0" w:color="auto"/>
        <w:bottom w:val="none" w:sz="0" w:space="0" w:color="auto"/>
        <w:right w:val="none" w:sz="0" w:space="0" w:color="auto"/>
      </w:divBdr>
    </w:div>
    <w:div w:id="1778985667">
      <w:bodyDiv w:val="1"/>
      <w:marLeft w:val="0"/>
      <w:marRight w:val="0"/>
      <w:marTop w:val="0"/>
      <w:marBottom w:val="0"/>
      <w:divBdr>
        <w:top w:val="none" w:sz="0" w:space="0" w:color="auto"/>
        <w:left w:val="none" w:sz="0" w:space="0" w:color="auto"/>
        <w:bottom w:val="none" w:sz="0" w:space="0" w:color="auto"/>
        <w:right w:val="none" w:sz="0" w:space="0" w:color="auto"/>
      </w:divBdr>
    </w:div>
    <w:div w:id="1778986323">
      <w:bodyDiv w:val="1"/>
      <w:marLeft w:val="0"/>
      <w:marRight w:val="0"/>
      <w:marTop w:val="0"/>
      <w:marBottom w:val="0"/>
      <w:divBdr>
        <w:top w:val="none" w:sz="0" w:space="0" w:color="auto"/>
        <w:left w:val="none" w:sz="0" w:space="0" w:color="auto"/>
        <w:bottom w:val="none" w:sz="0" w:space="0" w:color="auto"/>
        <w:right w:val="none" w:sz="0" w:space="0" w:color="auto"/>
      </w:divBdr>
    </w:div>
    <w:div w:id="1779177284">
      <w:bodyDiv w:val="1"/>
      <w:marLeft w:val="0"/>
      <w:marRight w:val="0"/>
      <w:marTop w:val="0"/>
      <w:marBottom w:val="0"/>
      <w:divBdr>
        <w:top w:val="none" w:sz="0" w:space="0" w:color="auto"/>
        <w:left w:val="none" w:sz="0" w:space="0" w:color="auto"/>
        <w:bottom w:val="none" w:sz="0" w:space="0" w:color="auto"/>
        <w:right w:val="none" w:sz="0" w:space="0" w:color="auto"/>
      </w:divBdr>
    </w:div>
    <w:div w:id="1779252527">
      <w:bodyDiv w:val="1"/>
      <w:marLeft w:val="0"/>
      <w:marRight w:val="0"/>
      <w:marTop w:val="0"/>
      <w:marBottom w:val="0"/>
      <w:divBdr>
        <w:top w:val="none" w:sz="0" w:space="0" w:color="auto"/>
        <w:left w:val="none" w:sz="0" w:space="0" w:color="auto"/>
        <w:bottom w:val="none" w:sz="0" w:space="0" w:color="auto"/>
        <w:right w:val="none" w:sz="0" w:space="0" w:color="auto"/>
      </w:divBdr>
    </w:div>
    <w:div w:id="1779443348">
      <w:bodyDiv w:val="1"/>
      <w:marLeft w:val="0"/>
      <w:marRight w:val="0"/>
      <w:marTop w:val="0"/>
      <w:marBottom w:val="0"/>
      <w:divBdr>
        <w:top w:val="none" w:sz="0" w:space="0" w:color="auto"/>
        <w:left w:val="none" w:sz="0" w:space="0" w:color="auto"/>
        <w:bottom w:val="none" w:sz="0" w:space="0" w:color="auto"/>
        <w:right w:val="none" w:sz="0" w:space="0" w:color="auto"/>
      </w:divBdr>
    </w:div>
    <w:div w:id="1779568524">
      <w:bodyDiv w:val="1"/>
      <w:marLeft w:val="0"/>
      <w:marRight w:val="0"/>
      <w:marTop w:val="0"/>
      <w:marBottom w:val="0"/>
      <w:divBdr>
        <w:top w:val="none" w:sz="0" w:space="0" w:color="auto"/>
        <w:left w:val="none" w:sz="0" w:space="0" w:color="auto"/>
        <w:bottom w:val="none" w:sz="0" w:space="0" w:color="auto"/>
        <w:right w:val="none" w:sz="0" w:space="0" w:color="auto"/>
      </w:divBdr>
    </w:div>
    <w:div w:id="1779636829">
      <w:bodyDiv w:val="1"/>
      <w:marLeft w:val="0"/>
      <w:marRight w:val="0"/>
      <w:marTop w:val="0"/>
      <w:marBottom w:val="0"/>
      <w:divBdr>
        <w:top w:val="none" w:sz="0" w:space="0" w:color="auto"/>
        <w:left w:val="none" w:sz="0" w:space="0" w:color="auto"/>
        <w:bottom w:val="none" w:sz="0" w:space="0" w:color="auto"/>
        <w:right w:val="none" w:sz="0" w:space="0" w:color="auto"/>
      </w:divBdr>
    </w:div>
    <w:div w:id="1779637871">
      <w:bodyDiv w:val="1"/>
      <w:marLeft w:val="0"/>
      <w:marRight w:val="0"/>
      <w:marTop w:val="0"/>
      <w:marBottom w:val="0"/>
      <w:divBdr>
        <w:top w:val="none" w:sz="0" w:space="0" w:color="auto"/>
        <w:left w:val="none" w:sz="0" w:space="0" w:color="auto"/>
        <w:bottom w:val="none" w:sz="0" w:space="0" w:color="auto"/>
        <w:right w:val="none" w:sz="0" w:space="0" w:color="auto"/>
      </w:divBdr>
    </w:div>
    <w:div w:id="1779638113">
      <w:bodyDiv w:val="1"/>
      <w:marLeft w:val="0"/>
      <w:marRight w:val="0"/>
      <w:marTop w:val="0"/>
      <w:marBottom w:val="0"/>
      <w:divBdr>
        <w:top w:val="none" w:sz="0" w:space="0" w:color="auto"/>
        <w:left w:val="none" w:sz="0" w:space="0" w:color="auto"/>
        <w:bottom w:val="none" w:sz="0" w:space="0" w:color="auto"/>
        <w:right w:val="none" w:sz="0" w:space="0" w:color="auto"/>
      </w:divBdr>
    </w:div>
    <w:div w:id="1779833440">
      <w:bodyDiv w:val="1"/>
      <w:marLeft w:val="0"/>
      <w:marRight w:val="0"/>
      <w:marTop w:val="0"/>
      <w:marBottom w:val="0"/>
      <w:divBdr>
        <w:top w:val="none" w:sz="0" w:space="0" w:color="auto"/>
        <w:left w:val="none" w:sz="0" w:space="0" w:color="auto"/>
        <w:bottom w:val="none" w:sz="0" w:space="0" w:color="auto"/>
        <w:right w:val="none" w:sz="0" w:space="0" w:color="auto"/>
      </w:divBdr>
    </w:div>
    <w:div w:id="1779911118">
      <w:bodyDiv w:val="1"/>
      <w:marLeft w:val="0"/>
      <w:marRight w:val="0"/>
      <w:marTop w:val="0"/>
      <w:marBottom w:val="0"/>
      <w:divBdr>
        <w:top w:val="none" w:sz="0" w:space="0" w:color="auto"/>
        <w:left w:val="none" w:sz="0" w:space="0" w:color="auto"/>
        <w:bottom w:val="none" w:sz="0" w:space="0" w:color="auto"/>
        <w:right w:val="none" w:sz="0" w:space="0" w:color="auto"/>
      </w:divBdr>
    </w:div>
    <w:div w:id="1780055760">
      <w:bodyDiv w:val="1"/>
      <w:marLeft w:val="0"/>
      <w:marRight w:val="0"/>
      <w:marTop w:val="0"/>
      <w:marBottom w:val="0"/>
      <w:divBdr>
        <w:top w:val="none" w:sz="0" w:space="0" w:color="auto"/>
        <w:left w:val="none" w:sz="0" w:space="0" w:color="auto"/>
        <w:bottom w:val="none" w:sz="0" w:space="0" w:color="auto"/>
        <w:right w:val="none" w:sz="0" w:space="0" w:color="auto"/>
      </w:divBdr>
    </w:div>
    <w:div w:id="1780055997">
      <w:bodyDiv w:val="1"/>
      <w:marLeft w:val="0"/>
      <w:marRight w:val="0"/>
      <w:marTop w:val="0"/>
      <w:marBottom w:val="0"/>
      <w:divBdr>
        <w:top w:val="none" w:sz="0" w:space="0" w:color="auto"/>
        <w:left w:val="none" w:sz="0" w:space="0" w:color="auto"/>
        <w:bottom w:val="none" w:sz="0" w:space="0" w:color="auto"/>
        <w:right w:val="none" w:sz="0" w:space="0" w:color="auto"/>
      </w:divBdr>
    </w:div>
    <w:div w:id="1780097942">
      <w:bodyDiv w:val="1"/>
      <w:marLeft w:val="0"/>
      <w:marRight w:val="0"/>
      <w:marTop w:val="0"/>
      <w:marBottom w:val="0"/>
      <w:divBdr>
        <w:top w:val="none" w:sz="0" w:space="0" w:color="auto"/>
        <w:left w:val="none" w:sz="0" w:space="0" w:color="auto"/>
        <w:bottom w:val="none" w:sz="0" w:space="0" w:color="auto"/>
        <w:right w:val="none" w:sz="0" w:space="0" w:color="auto"/>
      </w:divBdr>
    </w:div>
    <w:div w:id="1780102803">
      <w:bodyDiv w:val="1"/>
      <w:marLeft w:val="0"/>
      <w:marRight w:val="0"/>
      <w:marTop w:val="0"/>
      <w:marBottom w:val="0"/>
      <w:divBdr>
        <w:top w:val="none" w:sz="0" w:space="0" w:color="auto"/>
        <w:left w:val="none" w:sz="0" w:space="0" w:color="auto"/>
        <w:bottom w:val="none" w:sz="0" w:space="0" w:color="auto"/>
        <w:right w:val="none" w:sz="0" w:space="0" w:color="auto"/>
      </w:divBdr>
    </w:div>
    <w:div w:id="1780104075">
      <w:bodyDiv w:val="1"/>
      <w:marLeft w:val="0"/>
      <w:marRight w:val="0"/>
      <w:marTop w:val="0"/>
      <w:marBottom w:val="0"/>
      <w:divBdr>
        <w:top w:val="none" w:sz="0" w:space="0" w:color="auto"/>
        <w:left w:val="none" w:sz="0" w:space="0" w:color="auto"/>
        <w:bottom w:val="none" w:sz="0" w:space="0" w:color="auto"/>
        <w:right w:val="none" w:sz="0" w:space="0" w:color="auto"/>
      </w:divBdr>
    </w:div>
    <w:div w:id="1780179964">
      <w:bodyDiv w:val="1"/>
      <w:marLeft w:val="0"/>
      <w:marRight w:val="0"/>
      <w:marTop w:val="0"/>
      <w:marBottom w:val="0"/>
      <w:divBdr>
        <w:top w:val="none" w:sz="0" w:space="0" w:color="auto"/>
        <w:left w:val="none" w:sz="0" w:space="0" w:color="auto"/>
        <w:bottom w:val="none" w:sz="0" w:space="0" w:color="auto"/>
        <w:right w:val="none" w:sz="0" w:space="0" w:color="auto"/>
      </w:divBdr>
    </w:div>
    <w:div w:id="1780369635">
      <w:bodyDiv w:val="1"/>
      <w:marLeft w:val="0"/>
      <w:marRight w:val="0"/>
      <w:marTop w:val="0"/>
      <w:marBottom w:val="0"/>
      <w:divBdr>
        <w:top w:val="none" w:sz="0" w:space="0" w:color="auto"/>
        <w:left w:val="none" w:sz="0" w:space="0" w:color="auto"/>
        <w:bottom w:val="none" w:sz="0" w:space="0" w:color="auto"/>
        <w:right w:val="none" w:sz="0" w:space="0" w:color="auto"/>
      </w:divBdr>
    </w:div>
    <w:div w:id="1780446884">
      <w:bodyDiv w:val="1"/>
      <w:marLeft w:val="0"/>
      <w:marRight w:val="0"/>
      <w:marTop w:val="0"/>
      <w:marBottom w:val="0"/>
      <w:divBdr>
        <w:top w:val="none" w:sz="0" w:space="0" w:color="auto"/>
        <w:left w:val="none" w:sz="0" w:space="0" w:color="auto"/>
        <w:bottom w:val="none" w:sz="0" w:space="0" w:color="auto"/>
        <w:right w:val="none" w:sz="0" w:space="0" w:color="auto"/>
      </w:divBdr>
    </w:div>
    <w:div w:id="1780759229">
      <w:bodyDiv w:val="1"/>
      <w:marLeft w:val="0"/>
      <w:marRight w:val="0"/>
      <w:marTop w:val="0"/>
      <w:marBottom w:val="0"/>
      <w:divBdr>
        <w:top w:val="none" w:sz="0" w:space="0" w:color="auto"/>
        <w:left w:val="none" w:sz="0" w:space="0" w:color="auto"/>
        <w:bottom w:val="none" w:sz="0" w:space="0" w:color="auto"/>
        <w:right w:val="none" w:sz="0" w:space="0" w:color="auto"/>
      </w:divBdr>
    </w:div>
    <w:div w:id="1780832390">
      <w:bodyDiv w:val="1"/>
      <w:marLeft w:val="0"/>
      <w:marRight w:val="0"/>
      <w:marTop w:val="0"/>
      <w:marBottom w:val="0"/>
      <w:divBdr>
        <w:top w:val="none" w:sz="0" w:space="0" w:color="auto"/>
        <w:left w:val="none" w:sz="0" w:space="0" w:color="auto"/>
        <w:bottom w:val="none" w:sz="0" w:space="0" w:color="auto"/>
        <w:right w:val="none" w:sz="0" w:space="0" w:color="auto"/>
      </w:divBdr>
    </w:div>
    <w:div w:id="1780876946">
      <w:bodyDiv w:val="1"/>
      <w:marLeft w:val="0"/>
      <w:marRight w:val="0"/>
      <w:marTop w:val="0"/>
      <w:marBottom w:val="0"/>
      <w:divBdr>
        <w:top w:val="none" w:sz="0" w:space="0" w:color="auto"/>
        <w:left w:val="none" w:sz="0" w:space="0" w:color="auto"/>
        <w:bottom w:val="none" w:sz="0" w:space="0" w:color="auto"/>
        <w:right w:val="none" w:sz="0" w:space="0" w:color="auto"/>
      </w:divBdr>
    </w:div>
    <w:div w:id="1780879542">
      <w:bodyDiv w:val="1"/>
      <w:marLeft w:val="0"/>
      <w:marRight w:val="0"/>
      <w:marTop w:val="0"/>
      <w:marBottom w:val="0"/>
      <w:divBdr>
        <w:top w:val="none" w:sz="0" w:space="0" w:color="auto"/>
        <w:left w:val="none" w:sz="0" w:space="0" w:color="auto"/>
        <w:bottom w:val="none" w:sz="0" w:space="0" w:color="auto"/>
        <w:right w:val="none" w:sz="0" w:space="0" w:color="auto"/>
      </w:divBdr>
    </w:div>
    <w:div w:id="1780879913">
      <w:bodyDiv w:val="1"/>
      <w:marLeft w:val="0"/>
      <w:marRight w:val="0"/>
      <w:marTop w:val="0"/>
      <w:marBottom w:val="0"/>
      <w:divBdr>
        <w:top w:val="none" w:sz="0" w:space="0" w:color="auto"/>
        <w:left w:val="none" w:sz="0" w:space="0" w:color="auto"/>
        <w:bottom w:val="none" w:sz="0" w:space="0" w:color="auto"/>
        <w:right w:val="none" w:sz="0" w:space="0" w:color="auto"/>
      </w:divBdr>
    </w:div>
    <w:div w:id="1781028293">
      <w:bodyDiv w:val="1"/>
      <w:marLeft w:val="0"/>
      <w:marRight w:val="0"/>
      <w:marTop w:val="0"/>
      <w:marBottom w:val="0"/>
      <w:divBdr>
        <w:top w:val="none" w:sz="0" w:space="0" w:color="auto"/>
        <w:left w:val="none" w:sz="0" w:space="0" w:color="auto"/>
        <w:bottom w:val="none" w:sz="0" w:space="0" w:color="auto"/>
        <w:right w:val="none" w:sz="0" w:space="0" w:color="auto"/>
      </w:divBdr>
    </w:div>
    <w:div w:id="1781298333">
      <w:bodyDiv w:val="1"/>
      <w:marLeft w:val="0"/>
      <w:marRight w:val="0"/>
      <w:marTop w:val="0"/>
      <w:marBottom w:val="0"/>
      <w:divBdr>
        <w:top w:val="none" w:sz="0" w:space="0" w:color="auto"/>
        <w:left w:val="none" w:sz="0" w:space="0" w:color="auto"/>
        <w:bottom w:val="none" w:sz="0" w:space="0" w:color="auto"/>
        <w:right w:val="none" w:sz="0" w:space="0" w:color="auto"/>
      </w:divBdr>
    </w:div>
    <w:div w:id="1781485159">
      <w:bodyDiv w:val="1"/>
      <w:marLeft w:val="0"/>
      <w:marRight w:val="0"/>
      <w:marTop w:val="0"/>
      <w:marBottom w:val="0"/>
      <w:divBdr>
        <w:top w:val="none" w:sz="0" w:space="0" w:color="auto"/>
        <w:left w:val="none" w:sz="0" w:space="0" w:color="auto"/>
        <w:bottom w:val="none" w:sz="0" w:space="0" w:color="auto"/>
        <w:right w:val="none" w:sz="0" w:space="0" w:color="auto"/>
      </w:divBdr>
    </w:div>
    <w:div w:id="1781604058">
      <w:bodyDiv w:val="1"/>
      <w:marLeft w:val="0"/>
      <w:marRight w:val="0"/>
      <w:marTop w:val="0"/>
      <w:marBottom w:val="0"/>
      <w:divBdr>
        <w:top w:val="none" w:sz="0" w:space="0" w:color="auto"/>
        <w:left w:val="none" w:sz="0" w:space="0" w:color="auto"/>
        <w:bottom w:val="none" w:sz="0" w:space="0" w:color="auto"/>
        <w:right w:val="none" w:sz="0" w:space="0" w:color="auto"/>
      </w:divBdr>
    </w:div>
    <w:div w:id="1781605244">
      <w:bodyDiv w:val="1"/>
      <w:marLeft w:val="0"/>
      <w:marRight w:val="0"/>
      <w:marTop w:val="0"/>
      <w:marBottom w:val="0"/>
      <w:divBdr>
        <w:top w:val="none" w:sz="0" w:space="0" w:color="auto"/>
        <w:left w:val="none" w:sz="0" w:space="0" w:color="auto"/>
        <w:bottom w:val="none" w:sz="0" w:space="0" w:color="auto"/>
        <w:right w:val="none" w:sz="0" w:space="0" w:color="auto"/>
      </w:divBdr>
    </w:div>
    <w:div w:id="1781678284">
      <w:bodyDiv w:val="1"/>
      <w:marLeft w:val="0"/>
      <w:marRight w:val="0"/>
      <w:marTop w:val="0"/>
      <w:marBottom w:val="0"/>
      <w:divBdr>
        <w:top w:val="none" w:sz="0" w:space="0" w:color="auto"/>
        <w:left w:val="none" w:sz="0" w:space="0" w:color="auto"/>
        <w:bottom w:val="none" w:sz="0" w:space="0" w:color="auto"/>
        <w:right w:val="none" w:sz="0" w:space="0" w:color="auto"/>
      </w:divBdr>
    </w:div>
    <w:div w:id="1781754990">
      <w:bodyDiv w:val="1"/>
      <w:marLeft w:val="0"/>
      <w:marRight w:val="0"/>
      <w:marTop w:val="0"/>
      <w:marBottom w:val="0"/>
      <w:divBdr>
        <w:top w:val="none" w:sz="0" w:space="0" w:color="auto"/>
        <w:left w:val="none" w:sz="0" w:space="0" w:color="auto"/>
        <w:bottom w:val="none" w:sz="0" w:space="0" w:color="auto"/>
        <w:right w:val="none" w:sz="0" w:space="0" w:color="auto"/>
      </w:divBdr>
    </w:div>
    <w:div w:id="1781755193">
      <w:bodyDiv w:val="1"/>
      <w:marLeft w:val="0"/>
      <w:marRight w:val="0"/>
      <w:marTop w:val="0"/>
      <w:marBottom w:val="0"/>
      <w:divBdr>
        <w:top w:val="none" w:sz="0" w:space="0" w:color="auto"/>
        <w:left w:val="none" w:sz="0" w:space="0" w:color="auto"/>
        <w:bottom w:val="none" w:sz="0" w:space="0" w:color="auto"/>
        <w:right w:val="none" w:sz="0" w:space="0" w:color="auto"/>
      </w:divBdr>
    </w:div>
    <w:div w:id="1781800026">
      <w:bodyDiv w:val="1"/>
      <w:marLeft w:val="0"/>
      <w:marRight w:val="0"/>
      <w:marTop w:val="0"/>
      <w:marBottom w:val="0"/>
      <w:divBdr>
        <w:top w:val="none" w:sz="0" w:space="0" w:color="auto"/>
        <w:left w:val="none" w:sz="0" w:space="0" w:color="auto"/>
        <w:bottom w:val="none" w:sz="0" w:space="0" w:color="auto"/>
        <w:right w:val="none" w:sz="0" w:space="0" w:color="auto"/>
      </w:divBdr>
    </w:div>
    <w:div w:id="1781995332">
      <w:bodyDiv w:val="1"/>
      <w:marLeft w:val="0"/>
      <w:marRight w:val="0"/>
      <w:marTop w:val="0"/>
      <w:marBottom w:val="0"/>
      <w:divBdr>
        <w:top w:val="none" w:sz="0" w:space="0" w:color="auto"/>
        <w:left w:val="none" w:sz="0" w:space="0" w:color="auto"/>
        <w:bottom w:val="none" w:sz="0" w:space="0" w:color="auto"/>
        <w:right w:val="none" w:sz="0" w:space="0" w:color="auto"/>
      </w:divBdr>
    </w:div>
    <w:div w:id="1782143224">
      <w:bodyDiv w:val="1"/>
      <w:marLeft w:val="0"/>
      <w:marRight w:val="0"/>
      <w:marTop w:val="0"/>
      <w:marBottom w:val="0"/>
      <w:divBdr>
        <w:top w:val="none" w:sz="0" w:space="0" w:color="auto"/>
        <w:left w:val="none" w:sz="0" w:space="0" w:color="auto"/>
        <w:bottom w:val="none" w:sz="0" w:space="0" w:color="auto"/>
        <w:right w:val="none" w:sz="0" w:space="0" w:color="auto"/>
      </w:divBdr>
    </w:div>
    <w:div w:id="1782144406">
      <w:bodyDiv w:val="1"/>
      <w:marLeft w:val="0"/>
      <w:marRight w:val="0"/>
      <w:marTop w:val="0"/>
      <w:marBottom w:val="0"/>
      <w:divBdr>
        <w:top w:val="none" w:sz="0" w:space="0" w:color="auto"/>
        <w:left w:val="none" w:sz="0" w:space="0" w:color="auto"/>
        <w:bottom w:val="none" w:sz="0" w:space="0" w:color="auto"/>
        <w:right w:val="none" w:sz="0" w:space="0" w:color="auto"/>
      </w:divBdr>
    </w:div>
    <w:div w:id="1782147591">
      <w:bodyDiv w:val="1"/>
      <w:marLeft w:val="0"/>
      <w:marRight w:val="0"/>
      <w:marTop w:val="0"/>
      <w:marBottom w:val="0"/>
      <w:divBdr>
        <w:top w:val="none" w:sz="0" w:space="0" w:color="auto"/>
        <w:left w:val="none" w:sz="0" w:space="0" w:color="auto"/>
        <w:bottom w:val="none" w:sz="0" w:space="0" w:color="auto"/>
        <w:right w:val="none" w:sz="0" w:space="0" w:color="auto"/>
      </w:divBdr>
    </w:div>
    <w:div w:id="1782408477">
      <w:bodyDiv w:val="1"/>
      <w:marLeft w:val="0"/>
      <w:marRight w:val="0"/>
      <w:marTop w:val="0"/>
      <w:marBottom w:val="0"/>
      <w:divBdr>
        <w:top w:val="none" w:sz="0" w:space="0" w:color="auto"/>
        <w:left w:val="none" w:sz="0" w:space="0" w:color="auto"/>
        <w:bottom w:val="none" w:sz="0" w:space="0" w:color="auto"/>
        <w:right w:val="none" w:sz="0" w:space="0" w:color="auto"/>
      </w:divBdr>
    </w:div>
    <w:div w:id="1782408529">
      <w:bodyDiv w:val="1"/>
      <w:marLeft w:val="0"/>
      <w:marRight w:val="0"/>
      <w:marTop w:val="0"/>
      <w:marBottom w:val="0"/>
      <w:divBdr>
        <w:top w:val="none" w:sz="0" w:space="0" w:color="auto"/>
        <w:left w:val="none" w:sz="0" w:space="0" w:color="auto"/>
        <w:bottom w:val="none" w:sz="0" w:space="0" w:color="auto"/>
        <w:right w:val="none" w:sz="0" w:space="0" w:color="auto"/>
      </w:divBdr>
    </w:div>
    <w:div w:id="1782410071">
      <w:bodyDiv w:val="1"/>
      <w:marLeft w:val="0"/>
      <w:marRight w:val="0"/>
      <w:marTop w:val="0"/>
      <w:marBottom w:val="0"/>
      <w:divBdr>
        <w:top w:val="none" w:sz="0" w:space="0" w:color="auto"/>
        <w:left w:val="none" w:sz="0" w:space="0" w:color="auto"/>
        <w:bottom w:val="none" w:sz="0" w:space="0" w:color="auto"/>
        <w:right w:val="none" w:sz="0" w:space="0" w:color="auto"/>
      </w:divBdr>
    </w:div>
    <w:div w:id="1782412334">
      <w:bodyDiv w:val="1"/>
      <w:marLeft w:val="0"/>
      <w:marRight w:val="0"/>
      <w:marTop w:val="0"/>
      <w:marBottom w:val="0"/>
      <w:divBdr>
        <w:top w:val="none" w:sz="0" w:space="0" w:color="auto"/>
        <w:left w:val="none" w:sz="0" w:space="0" w:color="auto"/>
        <w:bottom w:val="none" w:sz="0" w:space="0" w:color="auto"/>
        <w:right w:val="none" w:sz="0" w:space="0" w:color="auto"/>
      </w:divBdr>
    </w:div>
    <w:div w:id="1782457128">
      <w:bodyDiv w:val="1"/>
      <w:marLeft w:val="0"/>
      <w:marRight w:val="0"/>
      <w:marTop w:val="0"/>
      <w:marBottom w:val="0"/>
      <w:divBdr>
        <w:top w:val="none" w:sz="0" w:space="0" w:color="auto"/>
        <w:left w:val="none" w:sz="0" w:space="0" w:color="auto"/>
        <w:bottom w:val="none" w:sz="0" w:space="0" w:color="auto"/>
        <w:right w:val="none" w:sz="0" w:space="0" w:color="auto"/>
      </w:divBdr>
    </w:div>
    <w:div w:id="1782531049">
      <w:bodyDiv w:val="1"/>
      <w:marLeft w:val="0"/>
      <w:marRight w:val="0"/>
      <w:marTop w:val="0"/>
      <w:marBottom w:val="0"/>
      <w:divBdr>
        <w:top w:val="none" w:sz="0" w:space="0" w:color="auto"/>
        <w:left w:val="none" w:sz="0" w:space="0" w:color="auto"/>
        <w:bottom w:val="none" w:sz="0" w:space="0" w:color="auto"/>
        <w:right w:val="none" w:sz="0" w:space="0" w:color="auto"/>
      </w:divBdr>
    </w:div>
    <w:div w:id="1782533426">
      <w:bodyDiv w:val="1"/>
      <w:marLeft w:val="0"/>
      <w:marRight w:val="0"/>
      <w:marTop w:val="0"/>
      <w:marBottom w:val="0"/>
      <w:divBdr>
        <w:top w:val="none" w:sz="0" w:space="0" w:color="auto"/>
        <w:left w:val="none" w:sz="0" w:space="0" w:color="auto"/>
        <w:bottom w:val="none" w:sz="0" w:space="0" w:color="auto"/>
        <w:right w:val="none" w:sz="0" w:space="0" w:color="auto"/>
      </w:divBdr>
    </w:div>
    <w:div w:id="1782533585">
      <w:bodyDiv w:val="1"/>
      <w:marLeft w:val="0"/>
      <w:marRight w:val="0"/>
      <w:marTop w:val="0"/>
      <w:marBottom w:val="0"/>
      <w:divBdr>
        <w:top w:val="none" w:sz="0" w:space="0" w:color="auto"/>
        <w:left w:val="none" w:sz="0" w:space="0" w:color="auto"/>
        <w:bottom w:val="none" w:sz="0" w:space="0" w:color="auto"/>
        <w:right w:val="none" w:sz="0" w:space="0" w:color="auto"/>
      </w:divBdr>
    </w:div>
    <w:div w:id="1782802325">
      <w:bodyDiv w:val="1"/>
      <w:marLeft w:val="0"/>
      <w:marRight w:val="0"/>
      <w:marTop w:val="0"/>
      <w:marBottom w:val="0"/>
      <w:divBdr>
        <w:top w:val="none" w:sz="0" w:space="0" w:color="auto"/>
        <w:left w:val="none" w:sz="0" w:space="0" w:color="auto"/>
        <w:bottom w:val="none" w:sz="0" w:space="0" w:color="auto"/>
        <w:right w:val="none" w:sz="0" w:space="0" w:color="auto"/>
      </w:divBdr>
    </w:div>
    <w:div w:id="1782846393">
      <w:bodyDiv w:val="1"/>
      <w:marLeft w:val="0"/>
      <w:marRight w:val="0"/>
      <w:marTop w:val="0"/>
      <w:marBottom w:val="0"/>
      <w:divBdr>
        <w:top w:val="none" w:sz="0" w:space="0" w:color="auto"/>
        <w:left w:val="none" w:sz="0" w:space="0" w:color="auto"/>
        <w:bottom w:val="none" w:sz="0" w:space="0" w:color="auto"/>
        <w:right w:val="none" w:sz="0" w:space="0" w:color="auto"/>
      </w:divBdr>
    </w:div>
    <w:div w:id="1782870212">
      <w:bodyDiv w:val="1"/>
      <w:marLeft w:val="0"/>
      <w:marRight w:val="0"/>
      <w:marTop w:val="0"/>
      <w:marBottom w:val="0"/>
      <w:divBdr>
        <w:top w:val="none" w:sz="0" w:space="0" w:color="auto"/>
        <w:left w:val="none" w:sz="0" w:space="0" w:color="auto"/>
        <w:bottom w:val="none" w:sz="0" w:space="0" w:color="auto"/>
        <w:right w:val="none" w:sz="0" w:space="0" w:color="auto"/>
      </w:divBdr>
    </w:div>
    <w:div w:id="1782870382">
      <w:bodyDiv w:val="1"/>
      <w:marLeft w:val="0"/>
      <w:marRight w:val="0"/>
      <w:marTop w:val="0"/>
      <w:marBottom w:val="0"/>
      <w:divBdr>
        <w:top w:val="none" w:sz="0" w:space="0" w:color="auto"/>
        <w:left w:val="none" w:sz="0" w:space="0" w:color="auto"/>
        <w:bottom w:val="none" w:sz="0" w:space="0" w:color="auto"/>
        <w:right w:val="none" w:sz="0" w:space="0" w:color="auto"/>
      </w:divBdr>
    </w:div>
    <w:div w:id="1782871597">
      <w:bodyDiv w:val="1"/>
      <w:marLeft w:val="0"/>
      <w:marRight w:val="0"/>
      <w:marTop w:val="0"/>
      <w:marBottom w:val="0"/>
      <w:divBdr>
        <w:top w:val="none" w:sz="0" w:space="0" w:color="auto"/>
        <w:left w:val="none" w:sz="0" w:space="0" w:color="auto"/>
        <w:bottom w:val="none" w:sz="0" w:space="0" w:color="auto"/>
        <w:right w:val="none" w:sz="0" w:space="0" w:color="auto"/>
      </w:divBdr>
    </w:div>
    <w:div w:id="1782917880">
      <w:bodyDiv w:val="1"/>
      <w:marLeft w:val="0"/>
      <w:marRight w:val="0"/>
      <w:marTop w:val="0"/>
      <w:marBottom w:val="0"/>
      <w:divBdr>
        <w:top w:val="none" w:sz="0" w:space="0" w:color="auto"/>
        <w:left w:val="none" w:sz="0" w:space="0" w:color="auto"/>
        <w:bottom w:val="none" w:sz="0" w:space="0" w:color="auto"/>
        <w:right w:val="none" w:sz="0" w:space="0" w:color="auto"/>
      </w:divBdr>
    </w:div>
    <w:div w:id="1782921232">
      <w:bodyDiv w:val="1"/>
      <w:marLeft w:val="0"/>
      <w:marRight w:val="0"/>
      <w:marTop w:val="0"/>
      <w:marBottom w:val="0"/>
      <w:divBdr>
        <w:top w:val="none" w:sz="0" w:space="0" w:color="auto"/>
        <w:left w:val="none" w:sz="0" w:space="0" w:color="auto"/>
        <w:bottom w:val="none" w:sz="0" w:space="0" w:color="auto"/>
        <w:right w:val="none" w:sz="0" w:space="0" w:color="auto"/>
      </w:divBdr>
    </w:div>
    <w:div w:id="1782988390">
      <w:bodyDiv w:val="1"/>
      <w:marLeft w:val="0"/>
      <w:marRight w:val="0"/>
      <w:marTop w:val="0"/>
      <w:marBottom w:val="0"/>
      <w:divBdr>
        <w:top w:val="none" w:sz="0" w:space="0" w:color="auto"/>
        <w:left w:val="none" w:sz="0" w:space="0" w:color="auto"/>
        <w:bottom w:val="none" w:sz="0" w:space="0" w:color="auto"/>
        <w:right w:val="none" w:sz="0" w:space="0" w:color="auto"/>
      </w:divBdr>
    </w:div>
    <w:div w:id="1783070424">
      <w:bodyDiv w:val="1"/>
      <w:marLeft w:val="0"/>
      <w:marRight w:val="0"/>
      <w:marTop w:val="0"/>
      <w:marBottom w:val="0"/>
      <w:divBdr>
        <w:top w:val="none" w:sz="0" w:space="0" w:color="auto"/>
        <w:left w:val="none" w:sz="0" w:space="0" w:color="auto"/>
        <w:bottom w:val="none" w:sz="0" w:space="0" w:color="auto"/>
        <w:right w:val="none" w:sz="0" w:space="0" w:color="auto"/>
      </w:divBdr>
    </w:div>
    <w:div w:id="1783180849">
      <w:bodyDiv w:val="1"/>
      <w:marLeft w:val="0"/>
      <w:marRight w:val="0"/>
      <w:marTop w:val="0"/>
      <w:marBottom w:val="0"/>
      <w:divBdr>
        <w:top w:val="none" w:sz="0" w:space="0" w:color="auto"/>
        <w:left w:val="none" w:sz="0" w:space="0" w:color="auto"/>
        <w:bottom w:val="none" w:sz="0" w:space="0" w:color="auto"/>
        <w:right w:val="none" w:sz="0" w:space="0" w:color="auto"/>
      </w:divBdr>
    </w:div>
    <w:div w:id="1783256902">
      <w:bodyDiv w:val="1"/>
      <w:marLeft w:val="0"/>
      <w:marRight w:val="0"/>
      <w:marTop w:val="0"/>
      <w:marBottom w:val="0"/>
      <w:divBdr>
        <w:top w:val="none" w:sz="0" w:space="0" w:color="auto"/>
        <w:left w:val="none" w:sz="0" w:space="0" w:color="auto"/>
        <w:bottom w:val="none" w:sz="0" w:space="0" w:color="auto"/>
        <w:right w:val="none" w:sz="0" w:space="0" w:color="auto"/>
      </w:divBdr>
    </w:div>
    <w:div w:id="1783382863">
      <w:bodyDiv w:val="1"/>
      <w:marLeft w:val="0"/>
      <w:marRight w:val="0"/>
      <w:marTop w:val="0"/>
      <w:marBottom w:val="0"/>
      <w:divBdr>
        <w:top w:val="none" w:sz="0" w:space="0" w:color="auto"/>
        <w:left w:val="none" w:sz="0" w:space="0" w:color="auto"/>
        <w:bottom w:val="none" w:sz="0" w:space="0" w:color="auto"/>
        <w:right w:val="none" w:sz="0" w:space="0" w:color="auto"/>
      </w:divBdr>
    </w:div>
    <w:div w:id="1783500095">
      <w:bodyDiv w:val="1"/>
      <w:marLeft w:val="0"/>
      <w:marRight w:val="0"/>
      <w:marTop w:val="0"/>
      <w:marBottom w:val="0"/>
      <w:divBdr>
        <w:top w:val="none" w:sz="0" w:space="0" w:color="auto"/>
        <w:left w:val="none" w:sz="0" w:space="0" w:color="auto"/>
        <w:bottom w:val="none" w:sz="0" w:space="0" w:color="auto"/>
        <w:right w:val="none" w:sz="0" w:space="0" w:color="auto"/>
      </w:divBdr>
    </w:div>
    <w:div w:id="1783722370">
      <w:bodyDiv w:val="1"/>
      <w:marLeft w:val="0"/>
      <w:marRight w:val="0"/>
      <w:marTop w:val="0"/>
      <w:marBottom w:val="0"/>
      <w:divBdr>
        <w:top w:val="none" w:sz="0" w:space="0" w:color="auto"/>
        <w:left w:val="none" w:sz="0" w:space="0" w:color="auto"/>
        <w:bottom w:val="none" w:sz="0" w:space="0" w:color="auto"/>
        <w:right w:val="none" w:sz="0" w:space="0" w:color="auto"/>
      </w:divBdr>
    </w:div>
    <w:div w:id="1783764274">
      <w:bodyDiv w:val="1"/>
      <w:marLeft w:val="0"/>
      <w:marRight w:val="0"/>
      <w:marTop w:val="0"/>
      <w:marBottom w:val="0"/>
      <w:divBdr>
        <w:top w:val="none" w:sz="0" w:space="0" w:color="auto"/>
        <w:left w:val="none" w:sz="0" w:space="0" w:color="auto"/>
        <w:bottom w:val="none" w:sz="0" w:space="0" w:color="auto"/>
        <w:right w:val="none" w:sz="0" w:space="0" w:color="auto"/>
      </w:divBdr>
    </w:div>
    <w:div w:id="1783920886">
      <w:bodyDiv w:val="1"/>
      <w:marLeft w:val="0"/>
      <w:marRight w:val="0"/>
      <w:marTop w:val="0"/>
      <w:marBottom w:val="0"/>
      <w:divBdr>
        <w:top w:val="none" w:sz="0" w:space="0" w:color="auto"/>
        <w:left w:val="none" w:sz="0" w:space="0" w:color="auto"/>
        <w:bottom w:val="none" w:sz="0" w:space="0" w:color="auto"/>
        <w:right w:val="none" w:sz="0" w:space="0" w:color="auto"/>
      </w:divBdr>
    </w:div>
    <w:div w:id="1783955766">
      <w:bodyDiv w:val="1"/>
      <w:marLeft w:val="0"/>
      <w:marRight w:val="0"/>
      <w:marTop w:val="0"/>
      <w:marBottom w:val="0"/>
      <w:divBdr>
        <w:top w:val="none" w:sz="0" w:space="0" w:color="auto"/>
        <w:left w:val="none" w:sz="0" w:space="0" w:color="auto"/>
        <w:bottom w:val="none" w:sz="0" w:space="0" w:color="auto"/>
        <w:right w:val="none" w:sz="0" w:space="0" w:color="auto"/>
      </w:divBdr>
    </w:div>
    <w:div w:id="1783960587">
      <w:bodyDiv w:val="1"/>
      <w:marLeft w:val="0"/>
      <w:marRight w:val="0"/>
      <w:marTop w:val="0"/>
      <w:marBottom w:val="0"/>
      <w:divBdr>
        <w:top w:val="none" w:sz="0" w:space="0" w:color="auto"/>
        <w:left w:val="none" w:sz="0" w:space="0" w:color="auto"/>
        <w:bottom w:val="none" w:sz="0" w:space="0" w:color="auto"/>
        <w:right w:val="none" w:sz="0" w:space="0" w:color="auto"/>
      </w:divBdr>
    </w:div>
    <w:div w:id="1784179967">
      <w:bodyDiv w:val="1"/>
      <w:marLeft w:val="0"/>
      <w:marRight w:val="0"/>
      <w:marTop w:val="0"/>
      <w:marBottom w:val="0"/>
      <w:divBdr>
        <w:top w:val="none" w:sz="0" w:space="0" w:color="auto"/>
        <w:left w:val="none" w:sz="0" w:space="0" w:color="auto"/>
        <w:bottom w:val="none" w:sz="0" w:space="0" w:color="auto"/>
        <w:right w:val="none" w:sz="0" w:space="0" w:color="auto"/>
      </w:divBdr>
    </w:div>
    <w:div w:id="1784298636">
      <w:bodyDiv w:val="1"/>
      <w:marLeft w:val="0"/>
      <w:marRight w:val="0"/>
      <w:marTop w:val="0"/>
      <w:marBottom w:val="0"/>
      <w:divBdr>
        <w:top w:val="none" w:sz="0" w:space="0" w:color="auto"/>
        <w:left w:val="none" w:sz="0" w:space="0" w:color="auto"/>
        <w:bottom w:val="none" w:sz="0" w:space="0" w:color="auto"/>
        <w:right w:val="none" w:sz="0" w:space="0" w:color="auto"/>
      </w:divBdr>
    </w:div>
    <w:div w:id="1784303541">
      <w:bodyDiv w:val="1"/>
      <w:marLeft w:val="0"/>
      <w:marRight w:val="0"/>
      <w:marTop w:val="0"/>
      <w:marBottom w:val="0"/>
      <w:divBdr>
        <w:top w:val="none" w:sz="0" w:space="0" w:color="auto"/>
        <w:left w:val="none" w:sz="0" w:space="0" w:color="auto"/>
        <w:bottom w:val="none" w:sz="0" w:space="0" w:color="auto"/>
        <w:right w:val="none" w:sz="0" w:space="0" w:color="auto"/>
      </w:divBdr>
    </w:div>
    <w:div w:id="1784573166">
      <w:bodyDiv w:val="1"/>
      <w:marLeft w:val="0"/>
      <w:marRight w:val="0"/>
      <w:marTop w:val="0"/>
      <w:marBottom w:val="0"/>
      <w:divBdr>
        <w:top w:val="none" w:sz="0" w:space="0" w:color="auto"/>
        <w:left w:val="none" w:sz="0" w:space="0" w:color="auto"/>
        <w:bottom w:val="none" w:sz="0" w:space="0" w:color="auto"/>
        <w:right w:val="none" w:sz="0" w:space="0" w:color="auto"/>
      </w:divBdr>
    </w:div>
    <w:div w:id="1784686237">
      <w:bodyDiv w:val="1"/>
      <w:marLeft w:val="0"/>
      <w:marRight w:val="0"/>
      <w:marTop w:val="0"/>
      <w:marBottom w:val="0"/>
      <w:divBdr>
        <w:top w:val="none" w:sz="0" w:space="0" w:color="auto"/>
        <w:left w:val="none" w:sz="0" w:space="0" w:color="auto"/>
        <w:bottom w:val="none" w:sz="0" w:space="0" w:color="auto"/>
        <w:right w:val="none" w:sz="0" w:space="0" w:color="auto"/>
      </w:divBdr>
    </w:div>
    <w:div w:id="1784693283">
      <w:bodyDiv w:val="1"/>
      <w:marLeft w:val="0"/>
      <w:marRight w:val="0"/>
      <w:marTop w:val="0"/>
      <w:marBottom w:val="0"/>
      <w:divBdr>
        <w:top w:val="none" w:sz="0" w:space="0" w:color="auto"/>
        <w:left w:val="none" w:sz="0" w:space="0" w:color="auto"/>
        <w:bottom w:val="none" w:sz="0" w:space="0" w:color="auto"/>
        <w:right w:val="none" w:sz="0" w:space="0" w:color="auto"/>
      </w:divBdr>
    </w:div>
    <w:div w:id="1784837937">
      <w:bodyDiv w:val="1"/>
      <w:marLeft w:val="0"/>
      <w:marRight w:val="0"/>
      <w:marTop w:val="0"/>
      <w:marBottom w:val="0"/>
      <w:divBdr>
        <w:top w:val="none" w:sz="0" w:space="0" w:color="auto"/>
        <w:left w:val="none" w:sz="0" w:space="0" w:color="auto"/>
        <w:bottom w:val="none" w:sz="0" w:space="0" w:color="auto"/>
        <w:right w:val="none" w:sz="0" w:space="0" w:color="auto"/>
      </w:divBdr>
    </w:div>
    <w:div w:id="1784878833">
      <w:bodyDiv w:val="1"/>
      <w:marLeft w:val="0"/>
      <w:marRight w:val="0"/>
      <w:marTop w:val="0"/>
      <w:marBottom w:val="0"/>
      <w:divBdr>
        <w:top w:val="none" w:sz="0" w:space="0" w:color="auto"/>
        <w:left w:val="none" w:sz="0" w:space="0" w:color="auto"/>
        <w:bottom w:val="none" w:sz="0" w:space="0" w:color="auto"/>
        <w:right w:val="none" w:sz="0" w:space="0" w:color="auto"/>
      </w:divBdr>
    </w:div>
    <w:div w:id="1784886328">
      <w:bodyDiv w:val="1"/>
      <w:marLeft w:val="0"/>
      <w:marRight w:val="0"/>
      <w:marTop w:val="0"/>
      <w:marBottom w:val="0"/>
      <w:divBdr>
        <w:top w:val="none" w:sz="0" w:space="0" w:color="auto"/>
        <w:left w:val="none" w:sz="0" w:space="0" w:color="auto"/>
        <w:bottom w:val="none" w:sz="0" w:space="0" w:color="auto"/>
        <w:right w:val="none" w:sz="0" w:space="0" w:color="auto"/>
      </w:divBdr>
    </w:div>
    <w:div w:id="1784962093">
      <w:bodyDiv w:val="1"/>
      <w:marLeft w:val="0"/>
      <w:marRight w:val="0"/>
      <w:marTop w:val="0"/>
      <w:marBottom w:val="0"/>
      <w:divBdr>
        <w:top w:val="none" w:sz="0" w:space="0" w:color="auto"/>
        <w:left w:val="none" w:sz="0" w:space="0" w:color="auto"/>
        <w:bottom w:val="none" w:sz="0" w:space="0" w:color="auto"/>
        <w:right w:val="none" w:sz="0" w:space="0" w:color="auto"/>
      </w:divBdr>
    </w:div>
    <w:div w:id="1785035610">
      <w:bodyDiv w:val="1"/>
      <w:marLeft w:val="0"/>
      <w:marRight w:val="0"/>
      <w:marTop w:val="0"/>
      <w:marBottom w:val="0"/>
      <w:divBdr>
        <w:top w:val="none" w:sz="0" w:space="0" w:color="auto"/>
        <w:left w:val="none" w:sz="0" w:space="0" w:color="auto"/>
        <w:bottom w:val="none" w:sz="0" w:space="0" w:color="auto"/>
        <w:right w:val="none" w:sz="0" w:space="0" w:color="auto"/>
      </w:divBdr>
    </w:div>
    <w:div w:id="1785222185">
      <w:bodyDiv w:val="1"/>
      <w:marLeft w:val="0"/>
      <w:marRight w:val="0"/>
      <w:marTop w:val="0"/>
      <w:marBottom w:val="0"/>
      <w:divBdr>
        <w:top w:val="none" w:sz="0" w:space="0" w:color="auto"/>
        <w:left w:val="none" w:sz="0" w:space="0" w:color="auto"/>
        <w:bottom w:val="none" w:sz="0" w:space="0" w:color="auto"/>
        <w:right w:val="none" w:sz="0" w:space="0" w:color="auto"/>
      </w:divBdr>
    </w:div>
    <w:div w:id="1785227619">
      <w:bodyDiv w:val="1"/>
      <w:marLeft w:val="0"/>
      <w:marRight w:val="0"/>
      <w:marTop w:val="0"/>
      <w:marBottom w:val="0"/>
      <w:divBdr>
        <w:top w:val="none" w:sz="0" w:space="0" w:color="auto"/>
        <w:left w:val="none" w:sz="0" w:space="0" w:color="auto"/>
        <w:bottom w:val="none" w:sz="0" w:space="0" w:color="auto"/>
        <w:right w:val="none" w:sz="0" w:space="0" w:color="auto"/>
      </w:divBdr>
    </w:div>
    <w:div w:id="1785229521">
      <w:bodyDiv w:val="1"/>
      <w:marLeft w:val="0"/>
      <w:marRight w:val="0"/>
      <w:marTop w:val="0"/>
      <w:marBottom w:val="0"/>
      <w:divBdr>
        <w:top w:val="none" w:sz="0" w:space="0" w:color="auto"/>
        <w:left w:val="none" w:sz="0" w:space="0" w:color="auto"/>
        <w:bottom w:val="none" w:sz="0" w:space="0" w:color="auto"/>
        <w:right w:val="none" w:sz="0" w:space="0" w:color="auto"/>
      </w:divBdr>
    </w:div>
    <w:div w:id="1785297837">
      <w:bodyDiv w:val="1"/>
      <w:marLeft w:val="0"/>
      <w:marRight w:val="0"/>
      <w:marTop w:val="0"/>
      <w:marBottom w:val="0"/>
      <w:divBdr>
        <w:top w:val="none" w:sz="0" w:space="0" w:color="auto"/>
        <w:left w:val="none" w:sz="0" w:space="0" w:color="auto"/>
        <w:bottom w:val="none" w:sz="0" w:space="0" w:color="auto"/>
        <w:right w:val="none" w:sz="0" w:space="0" w:color="auto"/>
      </w:divBdr>
    </w:div>
    <w:div w:id="1785345876">
      <w:bodyDiv w:val="1"/>
      <w:marLeft w:val="0"/>
      <w:marRight w:val="0"/>
      <w:marTop w:val="0"/>
      <w:marBottom w:val="0"/>
      <w:divBdr>
        <w:top w:val="none" w:sz="0" w:space="0" w:color="auto"/>
        <w:left w:val="none" w:sz="0" w:space="0" w:color="auto"/>
        <w:bottom w:val="none" w:sz="0" w:space="0" w:color="auto"/>
        <w:right w:val="none" w:sz="0" w:space="0" w:color="auto"/>
      </w:divBdr>
    </w:div>
    <w:div w:id="1785347091">
      <w:bodyDiv w:val="1"/>
      <w:marLeft w:val="0"/>
      <w:marRight w:val="0"/>
      <w:marTop w:val="0"/>
      <w:marBottom w:val="0"/>
      <w:divBdr>
        <w:top w:val="none" w:sz="0" w:space="0" w:color="auto"/>
        <w:left w:val="none" w:sz="0" w:space="0" w:color="auto"/>
        <w:bottom w:val="none" w:sz="0" w:space="0" w:color="auto"/>
        <w:right w:val="none" w:sz="0" w:space="0" w:color="auto"/>
      </w:divBdr>
    </w:div>
    <w:div w:id="1785464359">
      <w:bodyDiv w:val="1"/>
      <w:marLeft w:val="0"/>
      <w:marRight w:val="0"/>
      <w:marTop w:val="0"/>
      <w:marBottom w:val="0"/>
      <w:divBdr>
        <w:top w:val="none" w:sz="0" w:space="0" w:color="auto"/>
        <w:left w:val="none" w:sz="0" w:space="0" w:color="auto"/>
        <w:bottom w:val="none" w:sz="0" w:space="0" w:color="auto"/>
        <w:right w:val="none" w:sz="0" w:space="0" w:color="auto"/>
      </w:divBdr>
    </w:div>
    <w:div w:id="1785540245">
      <w:bodyDiv w:val="1"/>
      <w:marLeft w:val="0"/>
      <w:marRight w:val="0"/>
      <w:marTop w:val="0"/>
      <w:marBottom w:val="0"/>
      <w:divBdr>
        <w:top w:val="none" w:sz="0" w:space="0" w:color="auto"/>
        <w:left w:val="none" w:sz="0" w:space="0" w:color="auto"/>
        <w:bottom w:val="none" w:sz="0" w:space="0" w:color="auto"/>
        <w:right w:val="none" w:sz="0" w:space="0" w:color="auto"/>
      </w:divBdr>
    </w:div>
    <w:div w:id="1785616107">
      <w:bodyDiv w:val="1"/>
      <w:marLeft w:val="0"/>
      <w:marRight w:val="0"/>
      <w:marTop w:val="0"/>
      <w:marBottom w:val="0"/>
      <w:divBdr>
        <w:top w:val="none" w:sz="0" w:space="0" w:color="auto"/>
        <w:left w:val="none" w:sz="0" w:space="0" w:color="auto"/>
        <w:bottom w:val="none" w:sz="0" w:space="0" w:color="auto"/>
        <w:right w:val="none" w:sz="0" w:space="0" w:color="auto"/>
      </w:divBdr>
    </w:div>
    <w:div w:id="1785726883">
      <w:bodyDiv w:val="1"/>
      <w:marLeft w:val="0"/>
      <w:marRight w:val="0"/>
      <w:marTop w:val="0"/>
      <w:marBottom w:val="0"/>
      <w:divBdr>
        <w:top w:val="none" w:sz="0" w:space="0" w:color="auto"/>
        <w:left w:val="none" w:sz="0" w:space="0" w:color="auto"/>
        <w:bottom w:val="none" w:sz="0" w:space="0" w:color="auto"/>
        <w:right w:val="none" w:sz="0" w:space="0" w:color="auto"/>
      </w:divBdr>
    </w:div>
    <w:div w:id="1785807787">
      <w:bodyDiv w:val="1"/>
      <w:marLeft w:val="0"/>
      <w:marRight w:val="0"/>
      <w:marTop w:val="0"/>
      <w:marBottom w:val="0"/>
      <w:divBdr>
        <w:top w:val="none" w:sz="0" w:space="0" w:color="auto"/>
        <w:left w:val="none" w:sz="0" w:space="0" w:color="auto"/>
        <w:bottom w:val="none" w:sz="0" w:space="0" w:color="auto"/>
        <w:right w:val="none" w:sz="0" w:space="0" w:color="auto"/>
      </w:divBdr>
    </w:div>
    <w:div w:id="1785809689">
      <w:bodyDiv w:val="1"/>
      <w:marLeft w:val="0"/>
      <w:marRight w:val="0"/>
      <w:marTop w:val="0"/>
      <w:marBottom w:val="0"/>
      <w:divBdr>
        <w:top w:val="none" w:sz="0" w:space="0" w:color="auto"/>
        <w:left w:val="none" w:sz="0" w:space="0" w:color="auto"/>
        <w:bottom w:val="none" w:sz="0" w:space="0" w:color="auto"/>
        <w:right w:val="none" w:sz="0" w:space="0" w:color="auto"/>
      </w:divBdr>
    </w:div>
    <w:div w:id="1785999475">
      <w:bodyDiv w:val="1"/>
      <w:marLeft w:val="0"/>
      <w:marRight w:val="0"/>
      <w:marTop w:val="0"/>
      <w:marBottom w:val="0"/>
      <w:divBdr>
        <w:top w:val="none" w:sz="0" w:space="0" w:color="auto"/>
        <w:left w:val="none" w:sz="0" w:space="0" w:color="auto"/>
        <w:bottom w:val="none" w:sz="0" w:space="0" w:color="auto"/>
        <w:right w:val="none" w:sz="0" w:space="0" w:color="auto"/>
      </w:divBdr>
    </w:div>
    <w:div w:id="1786071121">
      <w:bodyDiv w:val="1"/>
      <w:marLeft w:val="0"/>
      <w:marRight w:val="0"/>
      <w:marTop w:val="0"/>
      <w:marBottom w:val="0"/>
      <w:divBdr>
        <w:top w:val="none" w:sz="0" w:space="0" w:color="auto"/>
        <w:left w:val="none" w:sz="0" w:space="0" w:color="auto"/>
        <w:bottom w:val="none" w:sz="0" w:space="0" w:color="auto"/>
        <w:right w:val="none" w:sz="0" w:space="0" w:color="auto"/>
      </w:divBdr>
    </w:div>
    <w:div w:id="1786188729">
      <w:bodyDiv w:val="1"/>
      <w:marLeft w:val="0"/>
      <w:marRight w:val="0"/>
      <w:marTop w:val="0"/>
      <w:marBottom w:val="0"/>
      <w:divBdr>
        <w:top w:val="none" w:sz="0" w:space="0" w:color="auto"/>
        <w:left w:val="none" w:sz="0" w:space="0" w:color="auto"/>
        <w:bottom w:val="none" w:sz="0" w:space="0" w:color="auto"/>
        <w:right w:val="none" w:sz="0" w:space="0" w:color="auto"/>
      </w:divBdr>
    </w:div>
    <w:div w:id="1786194787">
      <w:bodyDiv w:val="1"/>
      <w:marLeft w:val="0"/>
      <w:marRight w:val="0"/>
      <w:marTop w:val="0"/>
      <w:marBottom w:val="0"/>
      <w:divBdr>
        <w:top w:val="none" w:sz="0" w:space="0" w:color="auto"/>
        <w:left w:val="none" w:sz="0" w:space="0" w:color="auto"/>
        <w:bottom w:val="none" w:sz="0" w:space="0" w:color="auto"/>
        <w:right w:val="none" w:sz="0" w:space="0" w:color="auto"/>
      </w:divBdr>
    </w:div>
    <w:div w:id="1786195959">
      <w:bodyDiv w:val="1"/>
      <w:marLeft w:val="0"/>
      <w:marRight w:val="0"/>
      <w:marTop w:val="0"/>
      <w:marBottom w:val="0"/>
      <w:divBdr>
        <w:top w:val="none" w:sz="0" w:space="0" w:color="auto"/>
        <w:left w:val="none" w:sz="0" w:space="0" w:color="auto"/>
        <w:bottom w:val="none" w:sz="0" w:space="0" w:color="auto"/>
        <w:right w:val="none" w:sz="0" w:space="0" w:color="auto"/>
      </w:divBdr>
    </w:div>
    <w:div w:id="1786268298">
      <w:bodyDiv w:val="1"/>
      <w:marLeft w:val="0"/>
      <w:marRight w:val="0"/>
      <w:marTop w:val="0"/>
      <w:marBottom w:val="0"/>
      <w:divBdr>
        <w:top w:val="none" w:sz="0" w:space="0" w:color="auto"/>
        <w:left w:val="none" w:sz="0" w:space="0" w:color="auto"/>
        <w:bottom w:val="none" w:sz="0" w:space="0" w:color="auto"/>
        <w:right w:val="none" w:sz="0" w:space="0" w:color="auto"/>
      </w:divBdr>
    </w:div>
    <w:div w:id="1786460257">
      <w:bodyDiv w:val="1"/>
      <w:marLeft w:val="0"/>
      <w:marRight w:val="0"/>
      <w:marTop w:val="0"/>
      <w:marBottom w:val="0"/>
      <w:divBdr>
        <w:top w:val="none" w:sz="0" w:space="0" w:color="auto"/>
        <w:left w:val="none" w:sz="0" w:space="0" w:color="auto"/>
        <w:bottom w:val="none" w:sz="0" w:space="0" w:color="auto"/>
        <w:right w:val="none" w:sz="0" w:space="0" w:color="auto"/>
      </w:divBdr>
    </w:div>
    <w:div w:id="1786583666">
      <w:bodyDiv w:val="1"/>
      <w:marLeft w:val="0"/>
      <w:marRight w:val="0"/>
      <w:marTop w:val="0"/>
      <w:marBottom w:val="0"/>
      <w:divBdr>
        <w:top w:val="none" w:sz="0" w:space="0" w:color="auto"/>
        <w:left w:val="none" w:sz="0" w:space="0" w:color="auto"/>
        <w:bottom w:val="none" w:sz="0" w:space="0" w:color="auto"/>
        <w:right w:val="none" w:sz="0" w:space="0" w:color="auto"/>
      </w:divBdr>
    </w:div>
    <w:div w:id="1786654755">
      <w:bodyDiv w:val="1"/>
      <w:marLeft w:val="0"/>
      <w:marRight w:val="0"/>
      <w:marTop w:val="0"/>
      <w:marBottom w:val="0"/>
      <w:divBdr>
        <w:top w:val="none" w:sz="0" w:space="0" w:color="auto"/>
        <w:left w:val="none" w:sz="0" w:space="0" w:color="auto"/>
        <w:bottom w:val="none" w:sz="0" w:space="0" w:color="auto"/>
        <w:right w:val="none" w:sz="0" w:space="0" w:color="auto"/>
      </w:divBdr>
    </w:div>
    <w:div w:id="1786995264">
      <w:bodyDiv w:val="1"/>
      <w:marLeft w:val="0"/>
      <w:marRight w:val="0"/>
      <w:marTop w:val="0"/>
      <w:marBottom w:val="0"/>
      <w:divBdr>
        <w:top w:val="none" w:sz="0" w:space="0" w:color="auto"/>
        <w:left w:val="none" w:sz="0" w:space="0" w:color="auto"/>
        <w:bottom w:val="none" w:sz="0" w:space="0" w:color="auto"/>
        <w:right w:val="none" w:sz="0" w:space="0" w:color="auto"/>
      </w:divBdr>
    </w:div>
    <w:div w:id="1786997183">
      <w:bodyDiv w:val="1"/>
      <w:marLeft w:val="0"/>
      <w:marRight w:val="0"/>
      <w:marTop w:val="0"/>
      <w:marBottom w:val="0"/>
      <w:divBdr>
        <w:top w:val="none" w:sz="0" w:space="0" w:color="auto"/>
        <w:left w:val="none" w:sz="0" w:space="0" w:color="auto"/>
        <w:bottom w:val="none" w:sz="0" w:space="0" w:color="auto"/>
        <w:right w:val="none" w:sz="0" w:space="0" w:color="auto"/>
      </w:divBdr>
    </w:div>
    <w:div w:id="1787113235">
      <w:bodyDiv w:val="1"/>
      <w:marLeft w:val="0"/>
      <w:marRight w:val="0"/>
      <w:marTop w:val="0"/>
      <w:marBottom w:val="0"/>
      <w:divBdr>
        <w:top w:val="none" w:sz="0" w:space="0" w:color="auto"/>
        <w:left w:val="none" w:sz="0" w:space="0" w:color="auto"/>
        <w:bottom w:val="none" w:sz="0" w:space="0" w:color="auto"/>
        <w:right w:val="none" w:sz="0" w:space="0" w:color="auto"/>
      </w:divBdr>
    </w:div>
    <w:div w:id="1787190291">
      <w:bodyDiv w:val="1"/>
      <w:marLeft w:val="0"/>
      <w:marRight w:val="0"/>
      <w:marTop w:val="0"/>
      <w:marBottom w:val="0"/>
      <w:divBdr>
        <w:top w:val="none" w:sz="0" w:space="0" w:color="auto"/>
        <w:left w:val="none" w:sz="0" w:space="0" w:color="auto"/>
        <w:bottom w:val="none" w:sz="0" w:space="0" w:color="auto"/>
        <w:right w:val="none" w:sz="0" w:space="0" w:color="auto"/>
      </w:divBdr>
    </w:div>
    <w:div w:id="1787233585">
      <w:bodyDiv w:val="1"/>
      <w:marLeft w:val="0"/>
      <w:marRight w:val="0"/>
      <w:marTop w:val="0"/>
      <w:marBottom w:val="0"/>
      <w:divBdr>
        <w:top w:val="none" w:sz="0" w:space="0" w:color="auto"/>
        <w:left w:val="none" w:sz="0" w:space="0" w:color="auto"/>
        <w:bottom w:val="none" w:sz="0" w:space="0" w:color="auto"/>
        <w:right w:val="none" w:sz="0" w:space="0" w:color="auto"/>
      </w:divBdr>
    </w:div>
    <w:div w:id="1787234733">
      <w:bodyDiv w:val="1"/>
      <w:marLeft w:val="0"/>
      <w:marRight w:val="0"/>
      <w:marTop w:val="0"/>
      <w:marBottom w:val="0"/>
      <w:divBdr>
        <w:top w:val="none" w:sz="0" w:space="0" w:color="auto"/>
        <w:left w:val="none" w:sz="0" w:space="0" w:color="auto"/>
        <w:bottom w:val="none" w:sz="0" w:space="0" w:color="auto"/>
        <w:right w:val="none" w:sz="0" w:space="0" w:color="auto"/>
      </w:divBdr>
    </w:div>
    <w:div w:id="1787311130">
      <w:bodyDiv w:val="1"/>
      <w:marLeft w:val="0"/>
      <w:marRight w:val="0"/>
      <w:marTop w:val="0"/>
      <w:marBottom w:val="0"/>
      <w:divBdr>
        <w:top w:val="none" w:sz="0" w:space="0" w:color="auto"/>
        <w:left w:val="none" w:sz="0" w:space="0" w:color="auto"/>
        <w:bottom w:val="none" w:sz="0" w:space="0" w:color="auto"/>
        <w:right w:val="none" w:sz="0" w:space="0" w:color="auto"/>
      </w:divBdr>
    </w:div>
    <w:div w:id="1787461614">
      <w:bodyDiv w:val="1"/>
      <w:marLeft w:val="0"/>
      <w:marRight w:val="0"/>
      <w:marTop w:val="0"/>
      <w:marBottom w:val="0"/>
      <w:divBdr>
        <w:top w:val="none" w:sz="0" w:space="0" w:color="auto"/>
        <w:left w:val="none" w:sz="0" w:space="0" w:color="auto"/>
        <w:bottom w:val="none" w:sz="0" w:space="0" w:color="auto"/>
        <w:right w:val="none" w:sz="0" w:space="0" w:color="auto"/>
      </w:divBdr>
    </w:div>
    <w:div w:id="1787508307">
      <w:bodyDiv w:val="1"/>
      <w:marLeft w:val="0"/>
      <w:marRight w:val="0"/>
      <w:marTop w:val="0"/>
      <w:marBottom w:val="0"/>
      <w:divBdr>
        <w:top w:val="none" w:sz="0" w:space="0" w:color="auto"/>
        <w:left w:val="none" w:sz="0" w:space="0" w:color="auto"/>
        <w:bottom w:val="none" w:sz="0" w:space="0" w:color="auto"/>
        <w:right w:val="none" w:sz="0" w:space="0" w:color="auto"/>
      </w:divBdr>
    </w:div>
    <w:div w:id="1787655512">
      <w:bodyDiv w:val="1"/>
      <w:marLeft w:val="0"/>
      <w:marRight w:val="0"/>
      <w:marTop w:val="0"/>
      <w:marBottom w:val="0"/>
      <w:divBdr>
        <w:top w:val="none" w:sz="0" w:space="0" w:color="auto"/>
        <w:left w:val="none" w:sz="0" w:space="0" w:color="auto"/>
        <w:bottom w:val="none" w:sz="0" w:space="0" w:color="auto"/>
        <w:right w:val="none" w:sz="0" w:space="0" w:color="auto"/>
      </w:divBdr>
    </w:div>
    <w:div w:id="1787695894">
      <w:bodyDiv w:val="1"/>
      <w:marLeft w:val="0"/>
      <w:marRight w:val="0"/>
      <w:marTop w:val="0"/>
      <w:marBottom w:val="0"/>
      <w:divBdr>
        <w:top w:val="none" w:sz="0" w:space="0" w:color="auto"/>
        <w:left w:val="none" w:sz="0" w:space="0" w:color="auto"/>
        <w:bottom w:val="none" w:sz="0" w:space="0" w:color="auto"/>
        <w:right w:val="none" w:sz="0" w:space="0" w:color="auto"/>
      </w:divBdr>
    </w:div>
    <w:div w:id="1787775504">
      <w:bodyDiv w:val="1"/>
      <w:marLeft w:val="0"/>
      <w:marRight w:val="0"/>
      <w:marTop w:val="0"/>
      <w:marBottom w:val="0"/>
      <w:divBdr>
        <w:top w:val="none" w:sz="0" w:space="0" w:color="auto"/>
        <w:left w:val="none" w:sz="0" w:space="0" w:color="auto"/>
        <w:bottom w:val="none" w:sz="0" w:space="0" w:color="auto"/>
        <w:right w:val="none" w:sz="0" w:space="0" w:color="auto"/>
      </w:divBdr>
    </w:div>
    <w:div w:id="1787776224">
      <w:bodyDiv w:val="1"/>
      <w:marLeft w:val="0"/>
      <w:marRight w:val="0"/>
      <w:marTop w:val="0"/>
      <w:marBottom w:val="0"/>
      <w:divBdr>
        <w:top w:val="none" w:sz="0" w:space="0" w:color="auto"/>
        <w:left w:val="none" w:sz="0" w:space="0" w:color="auto"/>
        <w:bottom w:val="none" w:sz="0" w:space="0" w:color="auto"/>
        <w:right w:val="none" w:sz="0" w:space="0" w:color="auto"/>
      </w:divBdr>
    </w:div>
    <w:div w:id="1787895227">
      <w:bodyDiv w:val="1"/>
      <w:marLeft w:val="0"/>
      <w:marRight w:val="0"/>
      <w:marTop w:val="0"/>
      <w:marBottom w:val="0"/>
      <w:divBdr>
        <w:top w:val="none" w:sz="0" w:space="0" w:color="auto"/>
        <w:left w:val="none" w:sz="0" w:space="0" w:color="auto"/>
        <w:bottom w:val="none" w:sz="0" w:space="0" w:color="auto"/>
        <w:right w:val="none" w:sz="0" w:space="0" w:color="auto"/>
      </w:divBdr>
    </w:div>
    <w:div w:id="1787919775">
      <w:bodyDiv w:val="1"/>
      <w:marLeft w:val="0"/>
      <w:marRight w:val="0"/>
      <w:marTop w:val="0"/>
      <w:marBottom w:val="0"/>
      <w:divBdr>
        <w:top w:val="none" w:sz="0" w:space="0" w:color="auto"/>
        <w:left w:val="none" w:sz="0" w:space="0" w:color="auto"/>
        <w:bottom w:val="none" w:sz="0" w:space="0" w:color="auto"/>
        <w:right w:val="none" w:sz="0" w:space="0" w:color="auto"/>
      </w:divBdr>
    </w:div>
    <w:div w:id="1787965563">
      <w:bodyDiv w:val="1"/>
      <w:marLeft w:val="0"/>
      <w:marRight w:val="0"/>
      <w:marTop w:val="0"/>
      <w:marBottom w:val="0"/>
      <w:divBdr>
        <w:top w:val="none" w:sz="0" w:space="0" w:color="auto"/>
        <w:left w:val="none" w:sz="0" w:space="0" w:color="auto"/>
        <w:bottom w:val="none" w:sz="0" w:space="0" w:color="auto"/>
        <w:right w:val="none" w:sz="0" w:space="0" w:color="auto"/>
      </w:divBdr>
    </w:div>
    <w:div w:id="1788045113">
      <w:bodyDiv w:val="1"/>
      <w:marLeft w:val="0"/>
      <w:marRight w:val="0"/>
      <w:marTop w:val="0"/>
      <w:marBottom w:val="0"/>
      <w:divBdr>
        <w:top w:val="none" w:sz="0" w:space="0" w:color="auto"/>
        <w:left w:val="none" w:sz="0" w:space="0" w:color="auto"/>
        <w:bottom w:val="none" w:sz="0" w:space="0" w:color="auto"/>
        <w:right w:val="none" w:sz="0" w:space="0" w:color="auto"/>
      </w:divBdr>
    </w:div>
    <w:div w:id="1788084242">
      <w:bodyDiv w:val="1"/>
      <w:marLeft w:val="0"/>
      <w:marRight w:val="0"/>
      <w:marTop w:val="0"/>
      <w:marBottom w:val="0"/>
      <w:divBdr>
        <w:top w:val="none" w:sz="0" w:space="0" w:color="auto"/>
        <w:left w:val="none" w:sz="0" w:space="0" w:color="auto"/>
        <w:bottom w:val="none" w:sz="0" w:space="0" w:color="auto"/>
        <w:right w:val="none" w:sz="0" w:space="0" w:color="auto"/>
      </w:divBdr>
    </w:div>
    <w:div w:id="1788088437">
      <w:bodyDiv w:val="1"/>
      <w:marLeft w:val="0"/>
      <w:marRight w:val="0"/>
      <w:marTop w:val="0"/>
      <w:marBottom w:val="0"/>
      <w:divBdr>
        <w:top w:val="none" w:sz="0" w:space="0" w:color="auto"/>
        <w:left w:val="none" w:sz="0" w:space="0" w:color="auto"/>
        <w:bottom w:val="none" w:sz="0" w:space="0" w:color="auto"/>
        <w:right w:val="none" w:sz="0" w:space="0" w:color="auto"/>
      </w:divBdr>
    </w:div>
    <w:div w:id="1788116870">
      <w:bodyDiv w:val="1"/>
      <w:marLeft w:val="0"/>
      <w:marRight w:val="0"/>
      <w:marTop w:val="0"/>
      <w:marBottom w:val="0"/>
      <w:divBdr>
        <w:top w:val="none" w:sz="0" w:space="0" w:color="auto"/>
        <w:left w:val="none" w:sz="0" w:space="0" w:color="auto"/>
        <w:bottom w:val="none" w:sz="0" w:space="0" w:color="auto"/>
        <w:right w:val="none" w:sz="0" w:space="0" w:color="auto"/>
      </w:divBdr>
    </w:div>
    <w:div w:id="1788307221">
      <w:bodyDiv w:val="1"/>
      <w:marLeft w:val="0"/>
      <w:marRight w:val="0"/>
      <w:marTop w:val="0"/>
      <w:marBottom w:val="0"/>
      <w:divBdr>
        <w:top w:val="none" w:sz="0" w:space="0" w:color="auto"/>
        <w:left w:val="none" w:sz="0" w:space="0" w:color="auto"/>
        <w:bottom w:val="none" w:sz="0" w:space="0" w:color="auto"/>
        <w:right w:val="none" w:sz="0" w:space="0" w:color="auto"/>
      </w:divBdr>
    </w:div>
    <w:div w:id="1788424086">
      <w:bodyDiv w:val="1"/>
      <w:marLeft w:val="0"/>
      <w:marRight w:val="0"/>
      <w:marTop w:val="0"/>
      <w:marBottom w:val="0"/>
      <w:divBdr>
        <w:top w:val="none" w:sz="0" w:space="0" w:color="auto"/>
        <w:left w:val="none" w:sz="0" w:space="0" w:color="auto"/>
        <w:bottom w:val="none" w:sz="0" w:space="0" w:color="auto"/>
        <w:right w:val="none" w:sz="0" w:space="0" w:color="auto"/>
      </w:divBdr>
    </w:div>
    <w:div w:id="1788427422">
      <w:bodyDiv w:val="1"/>
      <w:marLeft w:val="0"/>
      <w:marRight w:val="0"/>
      <w:marTop w:val="0"/>
      <w:marBottom w:val="0"/>
      <w:divBdr>
        <w:top w:val="none" w:sz="0" w:space="0" w:color="auto"/>
        <w:left w:val="none" w:sz="0" w:space="0" w:color="auto"/>
        <w:bottom w:val="none" w:sz="0" w:space="0" w:color="auto"/>
        <w:right w:val="none" w:sz="0" w:space="0" w:color="auto"/>
      </w:divBdr>
    </w:div>
    <w:div w:id="1788574135">
      <w:bodyDiv w:val="1"/>
      <w:marLeft w:val="0"/>
      <w:marRight w:val="0"/>
      <w:marTop w:val="0"/>
      <w:marBottom w:val="0"/>
      <w:divBdr>
        <w:top w:val="none" w:sz="0" w:space="0" w:color="auto"/>
        <w:left w:val="none" w:sz="0" w:space="0" w:color="auto"/>
        <w:bottom w:val="none" w:sz="0" w:space="0" w:color="auto"/>
        <w:right w:val="none" w:sz="0" w:space="0" w:color="auto"/>
      </w:divBdr>
    </w:div>
    <w:div w:id="1788692009">
      <w:bodyDiv w:val="1"/>
      <w:marLeft w:val="0"/>
      <w:marRight w:val="0"/>
      <w:marTop w:val="0"/>
      <w:marBottom w:val="0"/>
      <w:divBdr>
        <w:top w:val="none" w:sz="0" w:space="0" w:color="auto"/>
        <w:left w:val="none" w:sz="0" w:space="0" w:color="auto"/>
        <w:bottom w:val="none" w:sz="0" w:space="0" w:color="auto"/>
        <w:right w:val="none" w:sz="0" w:space="0" w:color="auto"/>
      </w:divBdr>
    </w:div>
    <w:div w:id="1788692518">
      <w:bodyDiv w:val="1"/>
      <w:marLeft w:val="0"/>
      <w:marRight w:val="0"/>
      <w:marTop w:val="0"/>
      <w:marBottom w:val="0"/>
      <w:divBdr>
        <w:top w:val="none" w:sz="0" w:space="0" w:color="auto"/>
        <w:left w:val="none" w:sz="0" w:space="0" w:color="auto"/>
        <w:bottom w:val="none" w:sz="0" w:space="0" w:color="auto"/>
        <w:right w:val="none" w:sz="0" w:space="0" w:color="auto"/>
      </w:divBdr>
    </w:div>
    <w:div w:id="1788739689">
      <w:bodyDiv w:val="1"/>
      <w:marLeft w:val="0"/>
      <w:marRight w:val="0"/>
      <w:marTop w:val="0"/>
      <w:marBottom w:val="0"/>
      <w:divBdr>
        <w:top w:val="none" w:sz="0" w:space="0" w:color="auto"/>
        <w:left w:val="none" w:sz="0" w:space="0" w:color="auto"/>
        <w:bottom w:val="none" w:sz="0" w:space="0" w:color="auto"/>
        <w:right w:val="none" w:sz="0" w:space="0" w:color="auto"/>
      </w:divBdr>
    </w:div>
    <w:div w:id="1788890488">
      <w:bodyDiv w:val="1"/>
      <w:marLeft w:val="0"/>
      <w:marRight w:val="0"/>
      <w:marTop w:val="0"/>
      <w:marBottom w:val="0"/>
      <w:divBdr>
        <w:top w:val="none" w:sz="0" w:space="0" w:color="auto"/>
        <w:left w:val="none" w:sz="0" w:space="0" w:color="auto"/>
        <w:bottom w:val="none" w:sz="0" w:space="0" w:color="auto"/>
        <w:right w:val="none" w:sz="0" w:space="0" w:color="auto"/>
      </w:divBdr>
    </w:div>
    <w:div w:id="1788960793">
      <w:bodyDiv w:val="1"/>
      <w:marLeft w:val="0"/>
      <w:marRight w:val="0"/>
      <w:marTop w:val="0"/>
      <w:marBottom w:val="0"/>
      <w:divBdr>
        <w:top w:val="none" w:sz="0" w:space="0" w:color="auto"/>
        <w:left w:val="none" w:sz="0" w:space="0" w:color="auto"/>
        <w:bottom w:val="none" w:sz="0" w:space="0" w:color="auto"/>
        <w:right w:val="none" w:sz="0" w:space="0" w:color="auto"/>
      </w:divBdr>
    </w:div>
    <w:div w:id="1788964630">
      <w:bodyDiv w:val="1"/>
      <w:marLeft w:val="0"/>
      <w:marRight w:val="0"/>
      <w:marTop w:val="0"/>
      <w:marBottom w:val="0"/>
      <w:divBdr>
        <w:top w:val="none" w:sz="0" w:space="0" w:color="auto"/>
        <w:left w:val="none" w:sz="0" w:space="0" w:color="auto"/>
        <w:bottom w:val="none" w:sz="0" w:space="0" w:color="auto"/>
        <w:right w:val="none" w:sz="0" w:space="0" w:color="auto"/>
      </w:divBdr>
    </w:div>
    <w:div w:id="1789004253">
      <w:bodyDiv w:val="1"/>
      <w:marLeft w:val="0"/>
      <w:marRight w:val="0"/>
      <w:marTop w:val="0"/>
      <w:marBottom w:val="0"/>
      <w:divBdr>
        <w:top w:val="none" w:sz="0" w:space="0" w:color="auto"/>
        <w:left w:val="none" w:sz="0" w:space="0" w:color="auto"/>
        <w:bottom w:val="none" w:sz="0" w:space="0" w:color="auto"/>
        <w:right w:val="none" w:sz="0" w:space="0" w:color="auto"/>
      </w:divBdr>
    </w:div>
    <w:div w:id="1789085174">
      <w:bodyDiv w:val="1"/>
      <w:marLeft w:val="0"/>
      <w:marRight w:val="0"/>
      <w:marTop w:val="0"/>
      <w:marBottom w:val="0"/>
      <w:divBdr>
        <w:top w:val="none" w:sz="0" w:space="0" w:color="auto"/>
        <w:left w:val="none" w:sz="0" w:space="0" w:color="auto"/>
        <w:bottom w:val="none" w:sz="0" w:space="0" w:color="auto"/>
        <w:right w:val="none" w:sz="0" w:space="0" w:color="auto"/>
      </w:divBdr>
    </w:div>
    <w:div w:id="1789154016">
      <w:bodyDiv w:val="1"/>
      <w:marLeft w:val="0"/>
      <w:marRight w:val="0"/>
      <w:marTop w:val="0"/>
      <w:marBottom w:val="0"/>
      <w:divBdr>
        <w:top w:val="none" w:sz="0" w:space="0" w:color="auto"/>
        <w:left w:val="none" w:sz="0" w:space="0" w:color="auto"/>
        <w:bottom w:val="none" w:sz="0" w:space="0" w:color="auto"/>
        <w:right w:val="none" w:sz="0" w:space="0" w:color="auto"/>
      </w:divBdr>
    </w:div>
    <w:div w:id="1789160687">
      <w:bodyDiv w:val="1"/>
      <w:marLeft w:val="0"/>
      <w:marRight w:val="0"/>
      <w:marTop w:val="0"/>
      <w:marBottom w:val="0"/>
      <w:divBdr>
        <w:top w:val="none" w:sz="0" w:space="0" w:color="auto"/>
        <w:left w:val="none" w:sz="0" w:space="0" w:color="auto"/>
        <w:bottom w:val="none" w:sz="0" w:space="0" w:color="auto"/>
        <w:right w:val="none" w:sz="0" w:space="0" w:color="auto"/>
      </w:divBdr>
    </w:div>
    <w:div w:id="1789205762">
      <w:bodyDiv w:val="1"/>
      <w:marLeft w:val="0"/>
      <w:marRight w:val="0"/>
      <w:marTop w:val="0"/>
      <w:marBottom w:val="0"/>
      <w:divBdr>
        <w:top w:val="none" w:sz="0" w:space="0" w:color="auto"/>
        <w:left w:val="none" w:sz="0" w:space="0" w:color="auto"/>
        <w:bottom w:val="none" w:sz="0" w:space="0" w:color="auto"/>
        <w:right w:val="none" w:sz="0" w:space="0" w:color="auto"/>
      </w:divBdr>
    </w:div>
    <w:div w:id="1789273052">
      <w:bodyDiv w:val="1"/>
      <w:marLeft w:val="0"/>
      <w:marRight w:val="0"/>
      <w:marTop w:val="0"/>
      <w:marBottom w:val="0"/>
      <w:divBdr>
        <w:top w:val="none" w:sz="0" w:space="0" w:color="auto"/>
        <w:left w:val="none" w:sz="0" w:space="0" w:color="auto"/>
        <w:bottom w:val="none" w:sz="0" w:space="0" w:color="auto"/>
        <w:right w:val="none" w:sz="0" w:space="0" w:color="auto"/>
      </w:divBdr>
    </w:div>
    <w:div w:id="1789276927">
      <w:bodyDiv w:val="1"/>
      <w:marLeft w:val="0"/>
      <w:marRight w:val="0"/>
      <w:marTop w:val="0"/>
      <w:marBottom w:val="0"/>
      <w:divBdr>
        <w:top w:val="none" w:sz="0" w:space="0" w:color="auto"/>
        <w:left w:val="none" w:sz="0" w:space="0" w:color="auto"/>
        <w:bottom w:val="none" w:sz="0" w:space="0" w:color="auto"/>
        <w:right w:val="none" w:sz="0" w:space="0" w:color="auto"/>
      </w:divBdr>
    </w:div>
    <w:div w:id="1789469668">
      <w:bodyDiv w:val="1"/>
      <w:marLeft w:val="0"/>
      <w:marRight w:val="0"/>
      <w:marTop w:val="0"/>
      <w:marBottom w:val="0"/>
      <w:divBdr>
        <w:top w:val="none" w:sz="0" w:space="0" w:color="auto"/>
        <w:left w:val="none" w:sz="0" w:space="0" w:color="auto"/>
        <w:bottom w:val="none" w:sz="0" w:space="0" w:color="auto"/>
        <w:right w:val="none" w:sz="0" w:space="0" w:color="auto"/>
      </w:divBdr>
    </w:div>
    <w:div w:id="1789664258">
      <w:bodyDiv w:val="1"/>
      <w:marLeft w:val="0"/>
      <w:marRight w:val="0"/>
      <w:marTop w:val="0"/>
      <w:marBottom w:val="0"/>
      <w:divBdr>
        <w:top w:val="none" w:sz="0" w:space="0" w:color="auto"/>
        <w:left w:val="none" w:sz="0" w:space="0" w:color="auto"/>
        <w:bottom w:val="none" w:sz="0" w:space="0" w:color="auto"/>
        <w:right w:val="none" w:sz="0" w:space="0" w:color="auto"/>
      </w:divBdr>
    </w:div>
    <w:div w:id="1789737801">
      <w:bodyDiv w:val="1"/>
      <w:marLeft w:val="0"/>
      <w:marRight w:val="0"/>
      <w:marTop w:val="0"/>
      <w:marBottom w:val="0"/>
      <w:divBdr>
        <w:top w:val="none" w:sz="0" w:space="0" w:color="auto"/>
        <w:left w:val="none" w:sz="0" w:space="0" w:color="auto"/>
        <w:bottom w:val="none" w:sz="0" w:space="0" w:color="auto"/>
        <w:right w:val="none" w:sz="0" w:space="0" w:color="auto"/>
      </w:divBdr>
    </w:div>
    <w:div w:id="1789816875">
      <w:bodyDiv w:val="1"/>
      <w:marLeft w:val="0"/>
      <w:marRight w:val="0"/>
      <w:marTop w:val="0"/>
      <w:marBottom w:val="0"/>
      <w:divBdr>
        <w:top w:val="none" w:sz="0" w:space="0" w:color="auto"/>
        <w:left w:val="none" w:sz="0" w:space="0" w:color="auto"/>
        <w:bottom w:val="none" w:sz="0" w:space="0" w:color="auto"/>
        <w:right w:val="none" w:sz="0" w:space="0" w:color="auto"/>
      </w:divBdr>
    </w:div>
    <w:div w:id="1789816983">
      <w:bodyDiv w:val="1"/>
      <w:marLeft w:val="0"/>
      <w:marRight w:val="0"/>
      <w:marTop w:val="0"/>
      <w:marBottom w:val="0"/>
      <w:divBdr>
        <w:top w:val="none" w:sz="0" w:space="0" w:color="auto"/>
        <w:left w:val="none" w:sz="0" w:space="0" w:color="auto"/>
        <w:bottom w:val="none" w:sz="0" w:space="0" w:color="auto"/>
        <w:right w:val="none" w:sz="0" w:space="0" w:color="auto"/>
      </w:divBdr>
    </w:div>
    <w:div w:id="1789855485">
      <w:bodyDiv w:val="1"/>
      <w:marLeft w:val="0"/>
      <w:marRight w:val="0"/>
      <w:marTop w:val="0"/>
      <w:marBottom w:val="0"/>
      <w:divBdr>
        <w:top w:val="none" w:sz="0" w:space="0" w:color="auto"/>
        <w:left w:val="none" w:sz="0" w:space="0" w:color="auto"/>
        <w:bottom w:val="none" w:sz="0" w:space="0" w:color="auto"/>
        <w:right w:val="none" w:sz="0" w:space="0" w:color="auto"/>
      </w:divBdr>
    </w:div>
    <w:div w:id="1789856081">
      <w:bodyDiv w:val="1"/>
      <w:marLeft w:val="0"/>
      <w:marRight w:val="0"/>
      <w:marTop w:val="0"/>
      <w:marBottom w:val="0"/>
      <w:divBdr>
        <w:top w:val="none" w:sz="0" w:space="0" w:color="auto"/>
        <w:left w:val="none" w:sz="0" w:space="0" w:color="auto"/>
        <w:bottom w:val="none" w:sz="0" w:space="0" w:color="auto"/>
        <w:right w:val="none" w:sz="0" w:space="0" w:color="auto"/>
      </w:divBdr>
    </w:div>
    <w:div w:id="1789860647">
      <w:bodyDiv w:val="1"/>
      <w:marLeft w:val="0"/>
      <w:marRight w:val="0"/>
      <w:marTop w:val="0"/>
      <w:marBottom w:val="0"/>
      <w:divBdr>
        <w:top w:val="none" w:sz="0" w:space="0" w:color="auto"/>
        <w:left w:val="none" w:sz="0" w:space="0" w:color="auto"/>
        <w:bottom w:val="none" w:sz="0" w:space="0" w:color="auto"/>
        <w:right w:val="none" w:sz="0" w:space="0" w:color="auto"/>
      </w:divBdr>
    </w:div>
    <w:div w:id="1790005831">
      <w:bodyDiv w:val="1"/>
      <w:marLeft w:val="0"/>
      <w:marRight w:val="0"/>
      <w:marTop w:val="0"/>
      <w:marBottom w:val="0"/>
      <w:divBdr>
        <w:top w:val="none" w:sz="0" w:space="0" w:color="auto"/>
        <w:left w:val="none" w:sz="0" w:space="0" w:color="auto"/>
        <w:bottom w:val="none" w:sz="0" w:space="0" w:color="auto"/>
        <w:right w:val="none" w:sz="0" w:space="0" w:color="auto"/>
      </w:divBdr>
    </w:div>
    <w:div w:id="1790008288">
      <w:bodyDiv w:val="1"/>
      <w:marLeft w:val="0"/>
      <w:marRight w:val="0"/>
      <w:marTop w:val="0"/>
      <w:marBottom w:val="0"/>
      <w:divBdr>
        <w:top w:val="none" w:sz="0" w:space="0" w:color="auto"/>
        <w:left w:val="none" w:sz="0" w:space="0" w:color="auto"/>
        <w:bottom w:val="none" w:sz="0" w:space="0" w:color="auto"/>
        <w:right w:val="none" w:sz="0" w:space="0" w:color="auto"/>
      </w:divBdr>
    </w:div>
    <w:div w:id="1790200366">
      <w:bodyDiv w:val="1"/>
      <w:marLeft w:val="0"/>
      <w:marRight w:val="0"/>
      <w:marTop w:val="0"/>
      <w:marBottom w:val="0"/>
      <w:divBdr>
        <w:top w:val="none" w:sz="0" w:space="0" w:color="auto"/>
        <w:left w:val="none" w:sz="0" w:space="0" w:color="auto"/>
        <w:bottom w:val="none" w:sz="0" w:space="0" w:color="auto"/>
        <w:right w:val="none" w:sz="0" w:space="0" w:color="auto"/>
      </w:divBdr>
    </w:div>
    <w:div w:id="1790273331">
      <w:bodyDiv w:val="1"/>
      <w:marLeft w:val="0"/>
      <w:marRight w:val="0"/>
      <w:marTop w:val="0"/>
      <w:marBottom w:val="0"/>
      <w:divBdr>
        <w:top w:val="none" w:sz="0" w:space="0" w:color="auto"/>
        <w:left w:val="none" w:sz="0" w:space="0" w:color="auto"/>
        <w:bottom w:val="none" w:sz="0" w:space="0" w:color="auto"/>
        <w:right w:val="none" w:sz="0" w:space="0" w:color="auto"/>
      </w:divBdr>
    </w:div>
    <w:div w:id="1790276927">
      <w:bodyDiv w:val="1"/>
      <w:marLeft w:val="0"/>
      <w:marRight w:val="0"/>
      <w:marTop w:val="0"/>
      <w:marBottom w:val="0"/>
      <w:divBdr>
        <w:top w:val="none" w:sz="0" w:space="0" w:color="auto"/>
        <w:left w:val="none" w:sz="0" w:space="0" w:color="auto"/>
        <w:bottom w:val="none" w:sz="0" w:space="0" w:color="auto"/>
        <w:right w:val="none" w:sz="0" w:space="0" w:color="auto"/>
      </w:divBdr>
    </w:div>
    <w:div w:id="1790320724">
      <w:bodyDiv w:val="1"/>
      <w:marLeft w:val="0"/>
      <w:marRight w:val="0"/>
      <w:marTop w:val="0"/>
      <w:marBottom w:val="0"/>
      <w:divBdr>
        <w:top w:val="none" w:sz="0" w:space="0" w:color="auto"/>
        <w:left w:val="none" w:sz="0" w:space="0" w:color="auto"/>
        <w:bottom w:val="none" w:sz="0" w:space="0" w:color="auto"/>
        <w:right w:val="none" w:sz="0" w:space="0" w:color="auto"/>
      </w:divBdr>
    </w:div>
    <w:div w:id="1790586324">
      <w:bodyDiv w:val="1"/>
      <w:marLeft w:val="0"/>
      <w:marRight w:val="0"/>
      <w:marTop w:val="0"/>
      <w:marBottom w:val="0"/>
      <w:divBdr>
        <w:top w:val="none" w:sz="0" w:space="0" w:color="auto"/>
        <w:left w:val="none" w:sz="0" w:space="0" w:color="auto"/>
        <w:bottom w:val="none" w:sz="0" w:space="0" w:color="auto"/>
        <w:right w:val="none" w:sz="0" w:space="0" w:color="auto"/>
      </w:divBdr>
    </w:div>
    <w:div w:id="1790586529">
      <w:bodyDiv w:val="1"/>
      <w:marLeft w:val="0"/>
      <w:marRight w:val="0"/>
      <w:marTop w:val="0"/>
      <w:marBottom w:val="0"/>
      <w:divBdr>
        <w:top w:val="none" w:sz="0" w:space="0" w:color="auto"/>
        <w:left w:val="none" w:sz="0" w:space="0" w:color="auto"/>
        <w:bottom w:val="none" w:sz="0" w:space="0" w:color="auto"/>
        <w:right w:val="none" w:sz="0" w:space="0" w:color="auto"/>
      </w:divBdr>
    </w:div>
    <w:div w:id="1790852883">
      <w:bodyDiv w:val="1"/>
      <w:marLeft w:val="0"/>
      <w:marRight w:val="0"/>
      <w:marTop w:val="0"/>
      <w:marBottom w:val="0"/>
      <w:divBdr>
        <w:top w:val="none" w:sz="0" w:space="0" w:color="auto"/>
        <w:left w:val="none" w:sz="0" w:space="0" w:color="auto"/>
        <w:bottom w:val="none" w:sz="0" w:space="0" w:color="auto"/>
        <w:right w:val="none" w:sz="0" w:space="0" w:color="auto"/>
      </w:divBdr>
    </w:div>
    <w:div w:id="1790855612">
      <w:bodyDiv w:val="1"/>
      <w:marLeft w:val="0"/>
      <w:marRight w:val="0"/>
      <w:marTop w:val="0"/>
      <w:marBottom w:val="0"/>
      <w:divBdr>
        <w:top w:val="none" w:sz="0" w:space="0" w:color="auto"/>
        <w:left w:val="none" w:sz="0" w:space="0" w:color="auto"/>
        <w:bottom w:val="none" w:sz="0" w:space="0" w:color="auto"/>
        <w:right w:val="none" w:sz="0" w:space="0" w:color="auto"/>
      </w:divBdr>
    </w:div>
    <w:div w:id="1790926071">
      <w:bodyDiv w:val="1"/>
      <w:marLeft w:val="0"/>
      <w:marRight w:val="0"/>
      <w:marTop w:val="0"/>
      <w:marBottom w:val="0"/>
      <w:divBdr>
        <w:top w:val="none" w:sz="0" w:space="0" w:color="auto"/>
        <w:left w:val="none" w:sz="0" w:space="0" w:color="auto"/>
        <w:bottom w:val="none" w:sz="0" w:space="0" w:color="auto"/>
        <w:right w:val="none" w:sz="0" w:space="0" w:color="auto"/>
      </w:divBdr>
    </w:div>
    <w:div w:id="1790973862">
      <w:bodyDiv w:val="1"/>
      <w:marLeft w:val="0"/>
      <w:marRight w:val="0"/>
      <w:marTop w:val="0"/>
      <w:marBottom w:val="0"/>
      <w:divBdr>
        <w:top w:val="none" w:sz="0" w:space="0" w:color="auto"/>
        <w:left w:val="none" w:sz="0" w:space="0" w:color="auto"/>
        <w:bottom w:val="none" w:sz="0" w:space="0" w:color="auto"/>
        <w:right w:val="none" w:sz="0" w:space="0" w:color="auto"/>
      </w:divBdr>
    </w:div>
    <w:div w:id="1791044660">
      <w:bodyDiv w:val="1"/>
      <w:marLeft w:val="0"/>
      <w:marRight w:val="0"/>
      <w:marTop w:val="0"/>
      <w:marBottom w:val="0"/>
      <w:divBdr>
        <w:top w:val="none" w:sz="0" w:space="0" w:color="auto"/>
        <w:left w:val="none" w:sz="0" w:space="0" w:color="auto"/>
        <w:bottom w:val="none" w:sz="0" w:space="0" w:color="auto"/>
        <w:right w:val="none" w:sz="0" w:space="0" w:color="auto"/>
      </w:divBdr>
    </w:div>
    <w:div w:id="1791168582">
      <w:bodyDiv w:val="1"/>
      <w:marLeft w:val="0"/>
      <w:marRight w:val="0"/>
      <w:marTop w:val="0"/>
      <w:marBottom w:val="0"/>
      <w:divBdr>
        <w:top w:val="none" w:sz="0" w:space="0" w:color="auto"/>
        <w:left w:val="none" w:sz="0" w:space="0" w:color="auto"/>
        <w:bottom w:val="none" w:sz="0" w:space="0" w:color="auto"/>
        <w:right w:val="none" w:sz="0" w:space="0" w:color="auto"/>
      </w:divBdr>
    </w:div>
    <w:div w:id="1791239861">
      <w:bodyDiv w:val="1"/>
      <w:marLeft w:val="0"/>
      <w:marRight w:val="0"/>
      <w:marTop w:val="0"/>
      <w:marBottom w:val="0"/>
      <w:divBdr>
        <w:top w:val="none" w:sz="0" w:space="0" w:color="auto"/>
        <w:left w:val="none" w:sz="0" w:space="0" w:color="auto"/>
        <w:bottom w:val="none" w:sz="0" w:space="0" w:color="auto"/>
        <w:right w:val="none" w:sz="0" w:space="0" w:color="auto"/>
      </w:divBdr>
    </w:div>
    <w:div w:id="1791318861">
      <w:bodyDiv w:val="1"/>
      <w:marLeft w:val="0"/>
      <w:marRight w:val="0"/>
      <w:marTop w:val="0"/>
      <w:marBottom w:val="0"/>
      <w:divBdr>
        <w:top w:val="none" w:sz="0" w:space="0" w:color="auto"/>
        <w:left w:val="none" w:sz="0" w:space="0" w:color="auto"/>
        <w:bottom w:val="none" w:sz="0" w:space="0" w:color="auto"/>
        <w:right w:val="none" w:sz="0" w:space="0" w:color="auto"/>
      </w:divBdr>
    </w:div>
    <w:div w:id="1791322332">
      <w:bodyDiv w:val="1"/>
      <w:marLeft w:val="0"/>
      <w:marRight w:val="0"/>
      <w:marTop w:val="0"/>
      <w:marBottom w:val="0"/>
      <w:divBdr>
        <w:top w:val="none" w:sz="0" w:space="0" w:color="auto"/>
        <w:left w:val="none" w:sz="0" w:space="0" w:color="auto"/>
        <w:bottom w:val="none" w:sz="0" w:space="0" w:color="auto"/>
        <w:right w:val="none" w:sz="0" w:space="0" w:color="auto"/>
      </w:divBdr>
    </w:div>
    <w:div w:id="1791389900">
      <w:bodyDiv w:val="1"/>
      <w:marLeft w:val="0"/>
      <w:marRight w:val="0"/>
      <w:marTop w:val="0"/>
      <w:marBottom w:val="0"/>
      <w:divBdr>
        <w:top w:val="none" w:sz="0" w:space="0" w:color="auto"/>
        <w:left w:val="none" w:sz="0" w:space="0" w:color="auto"/>
        <w:bottom w:val="none" w:sz="0" w:space="0" w:color="auto"/>
        <w:right w:val="none" w:sz="0" w:space="0" w:color="auto"/>
      </w:divBdr>
    </w:div>
    <w:div w:id="1791391226">
      <w:bodyDiv w:val="1"/>
      <w:marLeft w:val="0"/>
      <w:marRight w:val="0"/>
      <w:marTop w:val="0"/>
      <w:marBottom w:val="0"/>
      <w:divBdr>
        <w:top w:val="none" w:sz="0" w:space="0" w:color="auto"/>
        <w:left w:val="none" w:sz="0" w:space="0" w:color="auto"/>
        <w:bottom w:val="none" w:sz="0" w:space="0" w:color="auto"/>
        <w:right w:val="none" w:sz="0" w:space="0" w:color="auto"/>
      </w:divBdr>
    </w:div>
    <w:div w:id="1791439509">
      <w:bodyDiv w:val="1"/>
      <w:marLeft w:val="0"/>
      <w:marRight w:val="0"/>
      <w:marTop w:val="0"/>
      <w:marBottom w:val="0"/>
      <w:divBdr>
        <w:top w:val="none" w:sz="0" w:space="0" w:color="auto"/>
        <w:left w:val="none" w:sz="0" w:space="0" w:color="auto"/>
        <w:bottom w:val="none" w:sz="0" w:space="0" w:color="auto"/>
        <w:right w:val="none" w:sz="0" w:space="0" w:color="auto"/>
      </w:divBdr>
    </w:div>
    <w:div w:id="1791583549">
      <w:bodyDiv w:val="1"/>
      <w:marLeft w:val="0"/>
      <w:marRight w:val="0"/>
      <w:marTop w:val="0"/>
      <w:marBottom w:val="0"/>
      <w:divBdr>
        <w:top w:val="none" w:sz="0" w:space="0" w:color="auto"/>
        <w:left w:val="none" w:sz="0" w:space="0" w:color="auto"/>
        <w:bottom w:val="none" w:sz="0" w:space="0" w:color="auto"/>
        <w:right w:val="none" w:sz="0" w:space="0" w:color="auto"/>
      </w:divBdr>
    </w:div>
    <w:div w:id="1791589571">
      <w:bodyDiv w:val="1"/>
      <w:marLeft w:val="0"/>
      <w:marRight w:val="0"/>
      <w:marTop w:val="0"/>
      <w:marBottom w:val="0"/>
      <w:divBdr>
        <w:top w:val="none" w:sz="0" w:space="0" w:color="auto"/>
        <w:left w:val="none" w:sz="0" w:space="0" w:color="auto"/>
        <w:bottom w:val="none" w:sz="0" w:space="0" w:color="auto"/>
        <w:right w:val="none" w:sz="0" w:space="0" w:color="auto"/>
      </w:divBdr>
    </w:div>
    <w:div w:id="1791628121">
      <w:bodyDiv w:val="1"/>
      <w:marLeft w:val="0"/>
      <w:marRight w:val="0"/>
      <w:marTop w:val="0"/>
      <w:marBottom w:val="0"/>
      <w:divBdr>
        <w:top w:val="none" w:sz="0" w:space="0" w:color="auto"/>
        <w:left w:val="none" w:sz="0" w:space="0" w:color="auto"/>
        <w:bottom w:val="none" w:sz="0" w:space="0" w:color="auto"/>
        <w:right w:val="none" w:sz="0" w:space="0" w:color="auto"/>
      </w:divBdr>
    </w:div>
    <w:div w:id="1791699332">
      <w:bodyDiv w:val="1"/>
      <w:marLeft w:val="0"/>
      <w:marRight w:val="0"/>
      <w:marTop w:val="0"/>
      <w:marBottom w:val="0"/>
      <w:divBdr>
        <w:top w:val="none" w:sz="0" w:space="0" w:color="auto"/>
        <w:left w:val="none" w:sz="0" w:space="0" w:color="auto"/>
        <w:bottom w:val="none" w:sz="0" w:space="0" w:color="auto"/>
        <w:right w:val="none" w:sz="0" w:space="0" w:color="auto"/>
      </w:divBdr>
    </w:div>
    <w:div w:id="1791779929">
      <w:bodyDiv w:val="1"/>
      <w:marLeft w:val="0"/>
      <w:marRight w:val="0"/>
      <w:marTop w:val="0"/>
      <w:marBottom w:val="0"/>
      <w:divBdr>
        <w:top w:val="none" w:sz="0" w:space="0" w:color="auto"/>
        <w:left w:val="none" w:sz="0" w:space="0" w:color="auto"/>
        <w:bottom w:val="none" w:sz="0" w:space="0" w:color="auto"/>
        <w:right w:val="none" w:sz="0" w:space="0" w:color="auto"/>
      </w:divBdr>
    </w:div>
    <w:div w:id="1791783722">
      <w:bodyDiv w:val="1"/>
      <w:marLeft w:val="0"/>
      <w:marRight w:val="0"/>
      <w:marTop w:val="0"/>
      <w:marBottom w:val="0"/>
      <w:divBdr>
        <w:top w:val="none" w:sz="0" w:space="0" w:color="auto"/>
        <w:left w:val="none" w:sz="0" w:space="0" w:color="auto"/>
        <w:bottom w:val="none" w:sz="0" w:space="0" w:color="auto"/>
        <w:right w:val="none" w:sz="0" w:space="0" w:color="auto"/>
      </w:divBdr>
    </w:div>
    <w:div w:id="1791825360">
      <w:bodyDiv w:val="1"/>
      <w:marLeft w:val="0"/>
      <w:marRight w:val="0"/>
      <w:marTop w:val="0"/>
      <w:marBottom w:val="0"/>
      <w:divBdr>
        <w:top w:val="none" w:sz="0" w:space="0" w:color="auto"/>
        <w:left w:val="none" w:sz="0" w:space="0" w:color="auto"/>
        <w:bottom w:val="none" w:sz="0" w:space="0" w:color="auto"/>
        <w:right w:val="none" w:sz="0" w:space="0" w:color="auto"/>
      </w:divBdr>
    </w:div>
    <w:div w:id="1791894538">
      <w:bodyDiv w:val="1"/>
      <w:marLeft w:val="0"/>
      <w:marRight w:val="0"/>
      <w:marTop w:val="0"/>
      <w:marBottom w:val="0"/>
      <w:divBdr>
        <w:top w:val="none" w:sz="0" w:space="0" w:color="auto"/>
        <w:left w:val="none" w:sz="0" w:space="0" w:color="auto"/>
        <w:bottom w:val="none" w:sz="0" w:space="0" w:color="auto"/>
        <w:right w:val="none" w:sz="0" w:space="0" w:color="auto"/>
      </w:divBdr>
    </w:div>
    <w:div w:id="1791898324">
      <w:bodyDiv w:val="1"/>
      <w:marLeft w:val="0"/>
      <w:marRight w:val="0"/>
      <w:marTop w:val="0"/>
      <w:marBottom w:val="0"/>
      <w:divBdr>
        <w:top w:val="none" w:sz="0" w:space="0" w:color="auto"/>
        <w:left w:val="none" w:sz="0" w:space="0" w:color="auto"/>
        <w:bottom w:val="none" w:sz="0" w:space="0" w:color="auto"/>
        <w:right w:val="none" w:sz="0" w:space="0" w:color="auto"/>
      </w:divBdr>
    </w:div>
    <w:div w:id="1791976238">
      <w:bodyDiv w:val="1"/>
      <w:marLeft w:val="0"/>
      <w:marRight w:val="0"/>
      <w:marTop w:val="0"/>
      <w:marBottom w:val="0"/>
      <w:divBdr>
        <w:top w:val="none" w:sz="0" w:space="0" w:color="auto"/>
        <w:left w:val="none" w:sz="0" w:space="0" w:color="auto"/>
        <w:bottom w:val="none" w:sz="0" w:space="0" w:color="auto"/>
        <w:right w:val="none" w:sz="0" w:space="0" w:color="auto"/>
      </w:divBdr>
    </w:div>
    <w:div w:id="1792044778">
      <w:bodyDiv w:val="1"/>
      <w:marLeft w:val="0"/>
      <w:marRight w:val="0"/>
      <w:marTop w:val="0"/>
      <w:marBottom w:val="0"/>
      <w:divBdr>
        <w:top w:val="none" w:sz="0" w:space="0" w:color="auto"/>
        <w:left w:val="none" w:sz="0" w:space="0" w:color="auto"/>
        <w:bottom w:val="none" w:sz="0" w:space="0" w:color="auto"/>
        <w:right w:val="none" w:sz="0" w:space="0" w:color="auto"/>
      </w:divBdr>
    </w:div>
    <w:div w:id="1792093108">
      <w:bodyDiv w:val="1"/>
      <w:marLeft w:val="0"/>
      <w:marRight w:val="0"/>
      <w:marTop w:val="0"/>
      <w:marBottom w:val="0"/>
      <w:divBdr>
        <w:top w:val="none" w:sz="0" w:space="0" w:color="auto"/>
        <w:left w:val="none" w:sz="0" w:space="0" w:color="auto"/>
        <w:bottom w:val="none" w:sz="0" w:space="0" w:color="auto"/>
        <w:right w:val="none" w:sz="0" w:space="0" w:color="auto"/>
      </w:divBdr>
    </w:div>
    <w:div w:id="1792355427">
      <w:bodyDiv w:val="1"/>
      <w:marLeft w:val="0"/>
      <w:marRight w:val="0"/>
      <w:marTop w:val="0"/>
      <w:marBottom w:val="0"/>
      <w:divBdr>
        <w:top w:val="none" w:sz="0" w:space="0" w:color="auto"/>
        <w:left w:val="none" w:sz="0" w:space="0" w:color="auto"/>
        <w:bottom w:val="none" w:sz="0" w:space="0" w:color="auto"/>
        <w:right w:val="none" w:sz="0" w:space="0" w:color="auto"/>
      </w:divBdr>
    </w:div>
    <w:div w:id="1792360344">
      <w:bodyDiv w:val="1"/>
      <w:marLeft w:val="0"/>
      <w:marRight w:val="0"/>
      <w:marTop w:val="0"/>
      <w:marBottom w:val="0"/>
      <w:divBdr>
        <w:top w:val="none" w:sz="0" w:space="0" w:color="auto"/>
        <w:left w:val="none" w:sz="0" w:space="0" w:color="auto"/>
        <w:bottom w:val="none" w:sz="0" w:space="0" w:color="auto"/>
        <w:right w:val="none" w:sz="0" w:space="0" w:color="auto"/>
      </w:divBdr>
    </w:div>
    <w:div w:id="1792360827">
      <w:bodyDiv w:val="1"/>
      <w:marLeft w:val="0"/>
      <w:marRight w:val="0"/>
      <w:marTop w:val="0"/>
      <w:marBottom w:val="0"/>
      <w:divBdr>
        <w:top w:val="none" w:sz="0" w:space="0" w:color="auto"/>
        <w:left w:val="none" w:sz="0" w:space="0" w:color="auto"/>
        <w:bottom w:val="none" w:sz="0" w:space="0" w:color="auto"/>
        <w:right w:val="none" w:sz="0" w:space="0" w:color="auto"/>
      </w:divBdr>
    </w:div>
    <w:div w:id="1792438370">
      <w:bodyDiv w:val="1"/>
      <w:marLeft w:val="0"/>
      <w:marRight w:val="0"/>
      <w:marTop w:val="0"/>
      <w:marBottom w:val="0"/>
      <w:divBdr>
        <w:top w:val="none" w:sz="0" w:space="0" w:color="auto"/>
        <w:left w:val="none" w:sz="0" w:space="0" w:color="auto"/>
        <w:bottom w:val="none" w:sz="0" w:space="0" w:color="auto"/>
        <w:right w:val="none" w:sz="0" w:space="0" w:color="auto"/>
      </w:divBdr>
    </w:div>
    <w:div w:id="1792507409">
      <w:bodyDiv w:val="1"/>
      <w:marLeft w:val="0"/>
      <w:marRight w:val="0"/>
      <w:marTop w:val="0"/>
      <w:marBottom w:val="0"/>
      <w:divBdr>
        <w:top w:val="none" w:sz="0" w:space="0" w:color="auto"/>
        <w:left w:val="none" w:sz="0" w:space="0" w:color="auto"/>
        <w:bottom w:val="none" w:sz="0" w:space="0" w:color="auto"/>
        <w:right w:val="none" w:sz="0" w:space="0" w:color="auto"/>
      </w:divBdr>
    </w:div>
    <w:div w:id="1792549991">
      <w:bodyDiv w:val="1"/>
      <w:marLeft w:val="0"/>
      <w:marRight w:val="0"/>
      <w:marTop w:val="0"/>
      <w:marBottom w:val="0"/>
      <w:divBdr>
        <w:top w:val="none" w:sz="0" w:space="0" w:color="auto"/>
        <w:left w:val="none" w:sz="0" w:space="0" w:color="auto"/>
        <w:bottom w:val="none" w:sz="0" w:space="0" w:color="auto"/>
        <w:right w:val="none" w:sz="0" w:space="0" w:color="auto"/>
      </w:divBdr>
    </w:div>
    <w:div w:id="1792552485">
      <w:bodyDiv w:val="1"/>
      <w:marLeft w:val="0"/>
      <w:marRight w:val="0"/>
      <w:marTop w:val="0"/>
      <w:marBottom w:val="0"/>
      <w:divBdr>
        <w:top w:val="none" w:sz="0" w:space="0" w:color="auto"/>
        <w:left w:val="none" w:sz="0" w:space="0" w:color="auto"/>
        <w:bottom w:val="none" w:sz="0" w:space="0" w:color="auto"/>
        <w:right w:val="none" w:sz="0" w:space="0" w:color="auto"/>
      </w:divBdr>
    </w:div>
    <w:div w:id="1792556605">
      <w:bodyDiv w:val="1"/>
      <w:marLeft w:val="0"/>
      <w:marRight w:val="0"/>
      <w:marTop w:val="0"/>
      <w:marBottom w:val="0"/>
      <w:divBdr>
        <w:top w:val="none" w:sz="0" w:space="0" w:color="auto"/>
        <w:left w:val="none" w:sz="0" w:space="0" w:color="auto"/>
        <w:bottom w:val="none" w:sz="0" w:space="0" w:color="auto"/>
        <w:right w:val="none" w:sz="0" w:space="0" w:color="auto"/>
      </w:divBdr>
    </w:div>
    <w:div w:id="1792557428">
      <w:bodyDiv w:val="1"/>
      <w:marLeft w:val="0"/>
      <w:marRight w:val="0"/>
      <w:marTop w:val="0"/>
      <w:marBottom w:val="0"/>
      <w:divBdr>
        <w:top w:val="none" w:sz="0" w:space="0" w:color="auto"/>
        <w:left w:val="none" w:sz="0" w:space="0" w:color="auto"/>
        <w:bottom w:val="none" w:sz="0" w:space="0" w:color="auto"/>
        <w:right w:val="none" w:sz="0" w:space="0" w:color="auto"/>
      </w:divBdr>
    </w:div>
    <w:div w:id="1792741065">
      <w:bodyDiv w:val="1"/>
      <w:marLeft w:val="0"/>
      <w:marRight w:val="0"/>
      <w:marTop w:val="0"/>
      <w:marBottom w:val="0"/>
      <w:divBdr>
        <w:top w:val="none" w:sz="0" w:space="0" w:color="auto"/>
        <w:left w:val="none" w:sz="0" w:space="0" w:color="auto"/>
        <w:bottom w:val="none" w:sz="0" w:space="0" w:color="auto"/>
        <w:right w:val="none" w:sz="0" w:space="0" w:color="auto"/>
      </w:divBdr>
    </w:div>
    <w:div w:id="1792750732">
      <w:bodyDiv w:val="1"/>
      <w:marLeft w:val="0"/>
      <w:marRight w:val="0"/>
      <w:marTop w:val="0"/>
      <w:marBottom w:val="0"/>
      <w:divBdr>
        <w:top w:val="none" w:sz="0" w:space="0" w:color="auto"/>
        <w:left w:val="none" w:sz="0" w:space="0" w:color="auto"/>
        <w:bottom w:val="none" w:sz="0" w:space="0" w:color="auto"/>
        <w:right w:val="none" w:sz="0" w:space="0" w:color="auto"/>
      </w:divBdr>
    </w:div>
    <w:div w:id="1792935141">
      <w:bodyDiv w:val="1"/>
      <w:marLeft w:val="0"/>
      <w:marRight w:val="0"/>
      <w:marTop w:val="0"/>
      <w:marBottom w:val="0"/>
      <w:divBdr>
        <w:top w:val="none" w:sz="0" w:space="0" w:color="auto"/>
        <w:left w:val="none" w:sz="0" w:space="0" w:color="auto"/>
        <w:bottom w:val="none" w:sz="0" w:space="0" w:color="auto"/>
        <w:right w:val="none" w:sz="0" w:space="0" w:color="auto"/>
      </w:divBdr>
    </w:div>
    <w:div w:id="1793010427">
      <w:bodyDiv w:val="1"/>
      <w:marLeft w:val="0"/>
      <w:marRight w:val="0"/>
      <w:marTop w:val="0"/>
      <w:marBottom w:val="0"/>
      <w:divBdr>
        <w:top w:val="none" w:sz="0" w:space="0" w:color="auto"/>
        <w:left w:val="none" w:sz="0" w:space="0" w:color="auto"/>
        <w:bottom w:val="none" w:sz="0" w:space="0" w:color="auto"/>
        <w:right w:val="none" w:sz="0" w:space="0" w:color="auto"/>
      </w:divBdr>
    </w:div>
    <w:div w:id="1793132588">
      <w:bodyDiv w:val="1"/>
      <w:marLeft w:val="0"/>
      <w:marRight w:val="0"/>
      <w:marTop w:val="0"/>
      <w:marBottom w:val="0"/>
      <w:divBdr>
        <w:top w:val="none" w:sz="0" w:space="0" w:color="auto"/>
        <w:left w:val="none" w:sz="0" w:space="0" w:color="auto"/>
        <w:bottom w:val="none" w:sz="0" w:space="0" w:color="auto"/>
        <w:right w:val="none" w:sz="0" w:space="0" w:color="auto"/>
      </w:divBdr>
    </w:div>
    <w:div w:id="1793134003">
      <w:bodyDiv w:val="1"/>
      <w:marLeft w:val="0"/>
      <w:marRight w:val="0"/>
      <w:marTop w:val="0"/>
      <w:marBottom w:val="0"/>
      <w:divBdr>
        <w:top w:val="none" w:sz="0" w:space="0" w:color="auto"/>
        <w:left w:val="none" w:sz="0" w:space="0" w:color="auto"/>
        <w:bottom w:val="none" w:sz="0" w:space="0" w:color="auto"/>
        <w:right w:val="none" w:sz="0" w:space="0" w:color="auto"/>
      </w:divBdr>
    </w:div>
    <w:div w:id="1793286647">
      <w:bodyDiv w:val="1"/>
      <w:marLeft w:val="0"/>
      <w:marRight w:val="0"/>
      <w:marTop w:val="0"/>
      <w:marBottom w:val="0"/>
      <w:divBdr>
        <w:top w:val="none" w:sz="0" w:space="0" w:color="auto"/>
        <w:left w:val="none" w:sz="0" w:space="0" w:color="auto"/>
        <w:bottom w:val="none" w:sz="0" w:space="0" w:color="auto"/>
        <w:right w:val="none" w:sz="0" w:space="0" w:color="auto"/>
      </w:divBdr>
    </w:div>
    <w:div w:id="1793357090">
      <w:bodyDiv w:val="1"/>
      <w:marLeft w:val="0"/>
      <w:marRight w:val="0"/>
      <w:marTop w:val="0"/>
      <w:marBottom w:val="0"/>
      <w:divBdr>
        <w:top w:val="none" w:sz="0" w:space="0" w:color="auto"/>
        <w:left w:val="none" w:sz="0" w:space="0" w:color="auto"/>
        <w:bottom w:val="none" w:sz="0" w:space="0" w:color="auto"/>
        <w:right w:val="none" w:sz="0" w:space="0" w:color="auto"/>
      </w:divBdr>
    </w:div>
    <w:div w:id="1793358153">
      <w:bodyDiv w:val="1"/>
      <w:marLeft w:val="0"/>
      <w:marRight w:val="0"/>
      <w:marTop w:val="0"/>
      <w:marBottom w:val="0"/>
      <w:divBdr>
        <w:top w:val="none" w:sz="0" w:space="0" w:color="auto"/>
        <w:left w:val="none" w:sz="0" w:space="0" w:color="auto"/>
        <w:bottom w:val="none" w:sz="0" w:space="0" w:color="auto"/>
        <w:right w:val="none" w:sz="0" w:space="0" w:color="auto"/>
      </w:divBdr>
    </w:div>
    <w:div w:id="1793359157">
      <w:bodyDiv w:val="1"/>
      <w:marLeft w:val="0"/>
      <w:marRight w:val="0"/>
      <w:marTop w:val="0"/>
      <w:marBottom w:val="0"/>
      <w:divBdr>
        <w:top w:val="none" w:sz="0" w:space="0" w:color="auto"/>
        <w:left w:val="none" w:sz="0" w:space="0" w:color="auto"/>
        <w:bottom w:val="none" w:sz="0" w:space="0" w:color="auto"/>
        <w:right w:val="none" w:sz="0" w:space="0" w:color="auto"/>
      </w:divBdr>
    </w:div>
    <w:div w:id="1793480462">
      <w:bodyDiv w:val="1"/>
      <w:marLeft w:val="0"/>
      <w:marRight w:val="0"/>
      <w:marTop w:val="0"/>
      <w:marBottom w:val="0"/>
      <w:divBdr>
        <w:top w:val="none" w:sz="0" w:space="0" w:color="auto"/>
        <w:left w:val="none" w:sz="0" w:space="0" w:color="auto"/>
        <w:bottom w:val="none" w:sz="0" w:space="0" w:color="auto"/>
        <w:right w:val="none" w:sz="0" w:space="0" w:color="auto"/>
      </w:divBdr>
    </w:div>
    <w:div w:id="1793867008">
      <w:bodyDiv w:val="1"/>
      <w:marLeft w:val="0"/>
      <w:marRight w:val="0"/>
      <w:marTop w:val="0"/>
      <w:marBottom w:val="0"/>
      <w:divBdr>
        <w:top w:val="none" w:sz="0" w:space="0" w:color="auto"/>
        <w:left w:val="none" w:sz="0" w:space="0" w:color="auto"/>
        <w:bottom w:val="none" w:sz="0" w:space="0" w:color="auto"/>
        <w:right w:val="none" w:sz="0" w:space="0" w:color="auto"/>
      </w:divBdr>
    </w:div>
    <w:div w:id="1793942733">
      <w:bodyDiv w:val="1"/>
      <w:marLeft w:val="0"/>
      <w:marRight w:val="0"/>
      <w:marTop w:val="0"/>
      <w:marBottom w:val="0"/>
      <w:divBdr>
        <w:top w:val="none" w:sz="0" w:space="0" w:color="auto"/>
        <w:left w:val="none" w:sz="0" w:space="0" w:color="auto"/>
        <w:bottom w:val="none" w:sz="0" w:space="0" w:color="auto"/>
        <w:right w:val="none" w:sz="0" w:space="0" w:color="auto"/>
      </w:divBdr>
    </w:div>
    <w:div w:id="1794010786">
      <w:bodyDiv w:val="1"/>
      <w:marLeft w:val="0"/>
      <w:marRight w:val="0"/>
      <w:marTop w:val="0"/>
      <w:marBottom w:val="0"/>
      <w:divBdr>
        <w:top w:val="none" w:sz="0" w:space="0" w:color="auto"/>
        <w:left w:val="none" w:sz="0" w:space="0" w:color="auto"/>
        <w:bottom w:val="none" w:sz="0" w:space="0" w:color="auto"/>
        <w:right w:val="none" w:sz="0" w:space="0" w:color="auto"/>
      </w:divBdr>
    </w:div>
    <w:div w:id="1794012037">
      <w:bodyDiv w:val="1"/>
      <w:marLeft w:val="0"/>
      <w:marRight w:val="0"/>
      <w:marTop w:val="0"/>
      <w:marBottom w:val="0"/>
      <w:divBdr>
        <w:top w:val="none" w:sz="0" w:space="0" w:color="auto"/>
        <w:left w:val="none" w:sz="0" w:space="0" w:color="auto"/>
        <w:bottom w:val="none" w:sz="0" w:space="0" w:color="auto"/>
        <w:right w:val="none" w:sz="0" w:space="0" w:color="auto"/>
      </w:divBdr>
    </w:div>
    <w:div w:id="1794053964">
      <w:bodyDiv w:val="1"/>
      <w:marLeft w:val="0"/>
      <w:marRight w:val="0"/>
      <w:marTop w:val="0"/>
      <w:marBottom w:val="0"/>
      <w:divBdr>
        <w:top w:val="none" w:sz="0" w:space="0" w:color="auto"/>
        <w:left w:val="none" w:sz="0" w:space="0" w:color="auto"/>
        <w:bottom w:val="none" w:sz="0" w:space="0" w:color="auto"/>
        <w:right w:val="none" w:sz="0" w:space="0" w:color="auto"/>
      </w:divBdr>
    </w:div>
    <w:div w:id="1794058510">
      <w:bodyDiv w:val="1"/>
      <w:marLeft w:val="0"/>
      <w:marRight w:val="0"/>
      <w:marTop w:val="0"/>
      <w:marBottom w:val="0"/>
      <w:divBdr>
        <w:top w:val="none" w:sz="0" w:space="0" w:color="auto"/>
        <w:left w:val="none" w:sz="0" w:space="0" w:color="auto"/>
        <w:bottom w:val="none" w:sz="0" w:space="0" w:color="auto"/>
        <w:right w:val="none" w:sz="0" w:space="0" w:color="auto"/>
      </w:divBdr>
    </w:div>
    <w:div w:id="1794204551">
      <w:bodyDiv w:val="1"/>
      <w:marLeft w:val="0"/>
      <w:marRight w:val="0"/>
      <w:marTop w:val="0"/>
      <w:marBottom w:val="0"/>
      <w:divBdr>
        <w:top w:val="none" w:sz="0" w:space="0" w:color="auto"/>
        <w:left w:val="none" w:sz="0" w:space="0" w:color="auto"/>
        <w:bottom w:val="none" w:sz="0" w:space="0" w:color="auto"/>
        <w:right w:val="none" w:sz="0" w:space="0" w:color="auto"/>
      </w:divBdr>
    </w:div>
    <w:div w:id="1794247465">
      <w:bodyDiv w:val="1"/>
      <w:marLeft w:val="0"/>
      <w:marRight w:val="0"/>
      <w:marTop w:val="0"/>
      <w:marBottom w:val="0"/>
      <w:divBdr>
        <w:top w:val="none" w:sz="0" w:space="0" w:color="auto"/>
        <w:left w:val="none" w:sz="0" w:space="0" w:color="auto"/>
        <w:bottom w:val="none" w:sz="0" w:space="0" w:color="auto"/>
        <w:right w:val="none" w:sz="0" w:space="0" w:color="auto"/>
      </w:divBdr>
    </w:div>
    <w:div w:id="1794251020">
      <w:bodyDiv w:val="1"/>
      <w:marLeft w:val="0"/>
      <w:marRight w:val="0"/>
      <w:marTop w:val="0"/>
      <w:marBottom w:val="0"/>
      <w:divBdr>
        <w:top w:val="none" w:sz="0" w:space="0" w:color="auto"/>
        <w:left w:val="none" w:sz="0" w:space="0" w:color="auto"/>
        <w:bottom w:val="none" w:sz="0" w:space="0" w:color="auto"/>
        <w:right w:val="none" w:sz="0" w:space="0" w:color="auto"/>
      </w:divBdr>
    </w:div>
    <w:div w:id="1794398009">
      <w:bodyDiv w:val="1"/>
      <w:marLeft w:val="0"/>
      <w:marRight w:val="0"/>
      <w:marTop w:val="0"/>
      <w:marBottom w:val="0"/>
      <w:divBdr>
        <w:top w:val="none" w:sz="0" w:space="0" w:color="auto"/>
        <w:left w:val="none" w:sz="0" w:space="0" w:color="auto"/>
        <w:bottom w:val="none" w:sz="0" w:space="0" w:color="auto"/>
        <w:right w:val="none" w:sz="0" w:space="0" w:color="auto"/>
      </w:divBdr>
    </w:div>
    <w:div w:id="1794402256">
      <w:bodyDiv w:val="1"/>
      <w:marLeft w:val="0"/>
      <w:marRight w:val="0"/>
      <w:marTop w:val="0"/>
      <w:marBottom w:val="0"/>
      <w:divBdr>
        <w:top w:val="none" w:sz="0" w:space="0" w:color="auto"/>
        <w:left w:val="none" w:sz="0" w:space="0" w:color="auto"/>
        <w:bottom w:val="none" w:sz="0" w:space="0" w:color="auto"/>
        <w:right w:val="none" w:sz="0" w:space="0" w:color="auto"/>
      </w:divBdr>
    </w:div>
    <w:div w:id="1794403819">
      <w:bodyDiv w:val="1"/>
      <w:marLeft w:val="0"/>
      <w:marRight w:val="0"/>
      <w:marTop w:val="0"/>
      <w:marBottom w:val="0"/>
      <w:divBdr>
        <w:top w:val="none" w:sz="0" w:space="0" w:color="auto"/>
        <w:left w:val="none" w:sz="0" w:space="0" w:color="auto"/>
        <w:bottom w:val="none" w:sz="0" w:space="0" w:color="auto"/>
        <w:right w:val="none" w:sz="0" w:space="0" w:color="auto"/>
      </w:divBdr>
    </w:div>
    <w:div w:id="1794443921">
      <w:bodyDiv w:val="1"/>
      <w:marLeft w:val="0"/>
      <w:marRight w:val="0"/>
      <w:marTop w:val="0"/>
      <w:marBottom w:val="0"/>
      <w:divBdr>
        <w:top w:val="none" w:sz="0" w:space="0" w:color="auto"/>
        <w:left w:val="none" w:sz="0" w:space="0" w:color="auto"/>
        <w:bottom w:val="none" w:sz="0" w:space="0" w:color="auto"/>
        <w:right w:val="none" w:sz="0" w:space="0" w:color="auto"/>
      </w:divBdr>
    </w:div>
    <w:div w:id="1794471620">
      <w:bodyDiv w:val="1"/>
      <w:marLeft w:val="0"/>
      <w:marRight w:val="0"/>
      <w:marTop w:val="0"/>
      <w:marBottom w:val="0"/>
      <w:divBdr>
        <w:top w:val="none" w:sz="0" w:space="0" w:color="auto"/>
        <w:left w:val="none" w:sz="0" w:space="0" w:color="auto"/>
        <w:bottom w:val="none" w:sz="0" w:space="0" w:color="auto"/>
        <w:right w:val="none" w:sz="0" w:space="0" w:color="auto"/>
      </w:divBdr>
    </w:div>
    <w:div w:id="1794515211">
      <w:bodyDiv w:val="1"/>
      <w:marLeft w:val="0"/>
      <w:marRight w:val="0"/>
      <w:marTop w:val="0"/>
      <w:marBottom w:val="0"/>
      <w:divBdr>
        <w:top w:val="none" w:sz="0" w:space="0" w:color="auto"/>
        <w:left w:val="none" w:sz="0" w:space="0" w:color="auto"/>
        <w:bottom w:val="none" w:sz="0" w:space="0" w:color="auto"/>
        <w:right w:val="none" w:sz="0" w:space="0" w:color="auto"/>
      </w:divBdr>
    </w:div>
    <w:div w:id="1794515773">
      <w:bodyDiv w:val="1"/>
      <w:marLeft w:val="0"/>
      <w:marRight w:val="0"/>
      <w:marTop w:val="0"/>
      <w:marBottom w:val="0"/>
      <w:divBdr>
        <w:top w:val="none" w:sz="0" w:space="0" w:color="auto"/>
        <w:left w:val="none" w:sz="0" w:space="0" w:color="auto"/>
        <w:bottom w:val="none" w:sz="0" w:space="0" w:color="auto"/>
        <w:right w:val="none" w:sz="0" w:space="0" w:color="auto"/>
      </w:divBdr>
    </w:div>
    <w:div w:id="1794518067">
      <w:bodyDiv w:val="1"/>
      <w:marLeft w:val="0"/>
      <w:marRight w:val="0"/>
      <w:marTop w:val="0"/>
      <w:marBottom w:val="0"/>
      <w:divBdr>
        <w:top w:val="none" w:sz="0" w:space="0" w:color="auto"/>
        <w:left w:val="none" w:sz="0" w:space="0" w:color="auto"/>
        <w:bottom w:val="none" w:sz="0" w:space="0" w:color="auto"/>
        <w:right w:val="none" w:sz="0" w:space="0" w:color="auto"/>
      </w:divBdr>
    </w:div>
    <w:div w:id="1794590516">
      <w:bodyDiv w:val="1"/>
      <w:marLeft w:val="0"/>
      <w:marRight w:val="0"/>
      <w:marTop w:val="0"/>
      <w:marBottom w:val="0"/>
      <w:divBdr>
        <w:top w:val="none" w:sz="0" w:space="0" w:color="auto"/>
        <w:left w:val="none" w:sz="0" w:space="0" w:color="auto"/>
        <w:bottom w:val="none" w:sz="0" w:space="0" w:color="auto"/>
        <w:right w:val="none" w:sz="0" w:space="0" w:color="auto"/>
      </w:divBdr>
    </w:div>
    <w:div w:id="1794591617">
      <w:bodyDiv w:val="1"/>
      <w:marLeft w:val="0"/>
      <w:marRight w:val="0"/>
      <w:marTop w:val="0"/>
      <w:marBottom w:val="0"/>
      <w:divBdr>
        <w:top w:val="none" w:sz="0" w:space="0" w:color="auto"/>
        <w:left w:val="none" w:sz="0" w:space="0" w:color="auto"/>
        <w:bottom w:val="none" w:sz="0" w:space="0" w:color="auto"/>
        <w:right w:val="none" w:sz="0" w:space="0" w:color="auto"/>
      </w:divBdr>
    </w:div>
    <w:div w:id="1794640184">
      <w:bodyDiv w:val="1"/>
      <w:marLeft w:val="0"/>
      <w:marRight w:val="0"/>
      <w:marTop w:val="0"/>
      <w:marBottom w:val="0"/>
      <w:divBdr>
        <w:top w:val="none" w:sz="0" w:space="0" w:color="auto"/>
        <w:left w:val="none" w:sz="0" w:space="0" w:color="auto"/>
        <w:bottom w:val="none" w:sz="0" w:space="0" w:color="auto"/>
        <w:right w:val="none" w:sz="0" w:space="0" w:color="auto"/>
      </w:divBdr>
    </w:div>
    <w:div w:id="1794982590">
      <w:bodyDiv w:val="1"/>
      <w:marLeft w:val="0"/>
      <w:marRight w:val="0"/>
      <w:marTop w:val="0"/>
      <w:marBottom w:val="0"/>
      <w:divBdr>
        <w:top w:val="none" w:sz="0" w:space="0" w:color="auto"/>
        <w:left w:val="none" w:sz="0" w:space="0" w:color="auto"/>
        <w:bottom w:val="none" w:sz="0" w:space="0" w:color="auto"/>
        <w:right w:val="none" w:sz="0" w:space="0" w:color="auto"/>
      </w:divBdr>
    </w:div>
    <w:div w:id="1794983446">
      <w:bodyDiv w:val="1"/>
      <w:marLeft w:val="0"/>
      <w:marRight w:val="0"/>
      <w:marTop w:val="0"/>
      <w:marBottom w:val="0"/>
      <w:divBdr>
        <w:top w:val="none" w:sz="0" w:space="0" w:color="auto"/>
        <w:left w:val="none" w:sz="0" w:space="0" w:color="auto"/>
        <w:bottom w:val="none" w:sz="0" w:space="0" w:color="auto"/>
        <w:right w:val="none" w:sz="0" w:space="0" w:color="auto"/>
      </w:divBdr>
    </w:div>
    <w:div w:id="1795055446">
      <w:bodyDiv w:val="1"/>
      <w:marLeft w:val="0"/>
      <w:marRight w:val="0"/>
      <w:marTop w:val="0"/>
      <w:marBottom w:val="0"/>
      <w:divBdr>
        <w:top w:val="none" w:sz="0" w:space="0" w:color="auto"/>
        <w:left w:val="none" w:sz="0" w:space="0" w:color="auto"/>
        <w:bottom w:val="none" w:sz="0" w:space="0" w:color="auto"/>
        <w:right w:val="none" w:sz="0" w:space="0" w:color="auto"/>
      </w:divBdr>
    </w:div>
    <w:div w:id="1795248744">
      <w:bodyDiv w:val="1"/>
      <w:marLeft w:val="0"/>
      <w:marRight w:val="0"/>
      <w:marTop w:val="0"/>
      <w:marBottom w:val="0"/>
      <w:divBdr>
        <w:top w:val="none" w:sz="0" w:space="0" w:color="auto"/>
        <w:left w:val="none" w:sz="0" w:space="0" w:color="auto"/>
        <w:bottom w:val="none" w:sz="0" w:space="0" w:color="auto"/>
        <w:right w:val="none" w:sz="0" w:space="0" w:color="auto"/>
      </w:divBdr>
    </w:div>
    <w:div w:id="1795370989">
      <w:bodyDiv w:val="1"/>
      <w:marLeft w:val="0"/>
      <w:marRight w:val="0"/>
      <w:marTop w:val="0"/>
      <w:marBottom w:val="0"/>
      <w:divBdr>
        <w:top w:val="none" w:sz="0" w:space="0" w:color="auto"/>
        <w:left w:val="none" w:sz="0" w:space="0" w:color="auto"/>
        <w:bottom w:val="none" w:sz="0" w:space="0" w:color="auto"/>
        <w:right w:val="none" w:sz="0" w:space="0" w:color="auto"/>
      </w:divBdr>
    </w:div>
    <w:div w:id="1795513780">
      <w:bodyDiv w:val="1"/>
      <w:marLeft w:val="0"/>
      <w:marRight w:val="0"/>
      <w:marTop w:val="0"/>
      <w:marBottom w:val="0"/>
      <w:divBdr>
        <w:top w:val="none" w:sz="0" w:space="0" w:color="auto"/>
        <w:left w:val="none" w:sz="0" w:space="0" w:color="auto"/>
        <w:bottom w:val="none" w:sz="0" w:space="0" w:color="auto"/>
        <w:right w:val="none" w:sz="0" w:space="0" w:color="auto"/>
      </w:divBdr>
    </w:div>
    <w:div w:id="1795555458">
      <w:bodyDiv w:val="1"/>
      <w:marLeft w:val="0"/>
      <w:marRight w:val="0"/>
      <w:marTop w:val="0"/>
      <w:marBottom w:val="0"/>
      <w:divBdr>
        <w:top w:val="none" w:sz="0" w:space="0" w:color="auto"/>
        <w:left w:val="none" w:sz="0" w:space="0" w:color="auto"/>
        <w:bottom w:val="none" w:sz="0" w:space="0" w:color="auto"/>
        <w:right w:val="none" w:sz="0" w:space="0" w:color="auto"/>
      </w:divBdr>
    </w:div>
    <w:div w:id="1795557159">
      <w:bodyDiv w:val="1"/>
      <w:marLeft w:val="0"/>
      <w:marRight w:val="0"/>
      <w:marTop w:val="0"/>
      <w:marBottom w:val="0"/>
      <w:divBdr>
        <w:top w:val="none" w:sz="0" w:space="0" w:color="auto"/>
        <w:left w:val="none" w:sz="0" w:space="0" w:color="auto"/>
        <w:bottom w:val="none" w:sz="0" w:space="0" w:color="auto"/>
        <w:right w:val="none" w:sz="0" w:space="0" w:color="auto"/>
      </w:divBdr>
    </w:div>
    <w:div w:id="1795560865">
      <w:bodyDiv w:val="1"/>
      <w:marLeft w:val="0"/>
      <w:marRight w:val="0"/>
      <w:marTop w:val="0"/>
      <w:marBottom w:val="0"/>
      <w:divBdr>
        <w:top w:val="none" w:sz="0" w:space="0" w:color="auto"/>
        <w:left w:val="none" w:sz="0" w:space="0" w:color="auto"/>
        <w:bottom w:val="none" w:sz="0" w:space="0" w:color="auto"/>
        <w:right w:val="none" w:sz="0" w:space="0" w:color="auto"/>
      </w:divBdr>
    </w:div>
    <w:div w:id="1795637623">
      <w:bodyDiv w:val="1"/>
      <w:marLeft w:val="0"/>
      <w:marRight w:val="0"/>
      <w:marTop w:val="0"/>
      <w:marBottom w:val="0"/>
      <w:divBdr>
        <w:top w:val="none" w:sz="0" w:space="0" w:color="auto"/>
        <w:left w:val="none" w:sz="0" w:space="0" w:color="auto"/>
        <w:bottom w:val="none" w:sz="0" w:space="0" w:color="auto"/>
        <w:right w:val="none" w:sz="0" w:space="0" w:color="auto"/>
      </w:divBdr>
    </w:div>
    <w:div w:id="1795712144">
      <w:bodyDiv w:val="1"/>
      <w:marLeft w:val="0"/>
      <w:marRight w:val="0"/>
      <w:marTop w:val="0"/>
      <w:marBottom w:val="0"/>
      <w:divBdr>
        <w:top w:val="none" w:sz="0" w:space="0" w:color="auto"/>
        <w:left w:val="none" w:sz="0" w:space="0" w:color="auto"/>
        <w:bottom w:val="none" w:sz="0" w:space="0" w:color="auto"/>
        <w:right w:val="none" w:sz="0" w:space="0" w:color="auto"/>
      </w:divBdr>
    </w:div>
    <w:div w:id="1795828640">
      <w:bodyDiv w:val="1"/>
      <w:marLeft w:val="0"/>
      <w:marRight w:val="0"/>
      <w:marTop w:val="0"/>
      <w:marBottom w:val="0"/>
      <w:divBdr>
        <w:top w:val="none" w:sz="0" w:space="0" w:color="auto"/>
        <w:left w:val="none" w:sz="0" w:space="0" w:color="auto"/>
        <w:bottom w:val="none" w:sz="0" w:space="0" w:color="auto"/>
        <w:right w:val="none" w:sz="0" w:space="0" w:color="auto"/>
      </w:divBdr>
    </w:div>
    <w:div w:id="1795831571">
      <w:bodyDiv w:val="1"/>
      <w:marLeft w:val="0"/>
      <w:marRight w:val="0"/>
      <w:marTop w:val="0"/>
      <w:marBottom w:val="0"/>
      <w:divBdr>
        <w:top w:val="none" w:sz="0" w:space="0" w:color="auto"/>
        <w:left w:val="none" w:sz="0" w:space="0" w:color="auto"/>
        <w:bottom w:val="none" w:sz="0" w:space="0" w:color="auto"/>
        <w:right w:val="none" w:sz="0" w:space="0" w:color="auto"/>
      </w:divBdr>
    </w:div>
    <w:div w:id="1795900057">
      <w:bodyDiv w:val="1"/>
      <w:marLeft w:val="0"/>
      <w:marRight w:val="0"/>
      <w:marTop w:val="0"/>
      <w:marBottom w:val="0"/>
      <w:divBdr>
        <w:top w:val="none" w:sz="0" w:space="0" w:color="auto"/>
        <w:left w:val="none" w:sz="0" w:space="0" w:color="auto"/>
        <w:bottom w:val="none" w:sz="0" w:space="0" w:color="auto"/>
        <w:right w:val="none" w:sz="0" w:space="0" w:color="auto"/>
      </w:divBdr>
    </w:div>
    <w:div w:id="1795975059">
      <w:bodyDiv w:val="1"/>
      <w:marLeft w:val="0"/>
      <w:marRight w:val="0"/>
      <w:marTop w:val="0"/>
      <w:marBottom w:val="0"/>
      <w:divBdr>
        <w:top w:val="none" w:sz="0" w:space="0" w:color="auto"/>
        <w:left w:val="none" w:sz="0" w:space="0" w:color="auto"/>
        <w:bottom w:val="none" w:sz="0" w:space="0" w:color="auto"/>
        <w:right w:val="none" w:sz="0" w:space="0" w:color="auto"/>
      </w:divBdr>
    </w:div>
    <w:div w:id="1795975832">
      <w:bodyDiv w:val="1"/>
      <w:marLeft w:val="0"/>
      <w:marRight w:val="0"/>
      <w:marTop w:val="0"/>
      <w:marBottom w:val="0"/>
      <w:divBdr>
        <w:top w:val="none" w:sz="0" w:space="0" w:color="auto"/>
        <w:left w:val="none" w:sz="0" w:space="0" w:color="auto"/>
        <w:bottom w:val="none" w:sz="0" w:space="0" w:color="auto"/>
        <w:right w:val="none" w:sz="0" w:space="0" w:color="auto"/>
      </w:divBdr>
    </w:div>
    <w:div w:id="1795975992">
      <w:bodyDiv w:val="1"/>
      <w:marLeft w:val="0"/>
      <w:marRight w:val="0"/>
      <w:marTop w:val="0"/>
      <w:marBottom w:val="0"/>
      <w:divBdr>
        <w:top w:val="none" w:sz="0" w:space="0" w:color="auto"/>
        <w:left w:val="none" w:sz="0" w:space="0" w:color="auto"/>
        <w:bottom w:val="none" w:sz="0" w:space="0" w:color="auto"/>
        <w:right w:val="none" w:sz="0" w:space="0" w:color="auto"/>
      </w:divBdr>
    </w:div>
    <w:div w:id="1796177218">
      <w:bodyDiv w:val="1"/>
      <w:marLeft w:val="0"/>
      <w:marRight w:val="0"/>
      <w:marTop w:val="0"/>
      <w:marBottom w:val="0"/>
      <w:divBdr>
        <w:top w:val="none" w:sz="0" w:space="0" w:color="auto"/>
        <w:left w:val="none" w:sz="0" w:space="0" w:color="auto"/>
        <w:bottom w:val="none" w:sz="0" w:space="0" w:color="auto"/>
        <w:right w:val="none" w:sz="0" w:space="0" w:color="auto"/>
      </w:divBdr>
    </w:div>
    <w:div w:id="1796290731">
      <w:bodyDiv w:val="1"/>
      <w:marLeft w:val="0"/>
      <w:marRight w:val="0"/>
      <w:marTop w:val="0"/>
      <w:marBottom w:val="0"/>
      <w:divBdr>
        <w:top w:val="none" w:sz="0" w:space="0" w:color="auto"/>
        <w:left w:val="none" w:sz="0" w:space="0" w:color="auto"/>
        <w:bottom w:val="none" w:sz="0" w:space="0" w:color="auto"/>
        <w:right w:val="none" w:sz="0" w:space="0" w:color="auto"/>
      </w:divBdr>
    </w:div>
    <w:div w:id="1796365592">
      <w:bodyDiv w:val="1"/>
      <w:marLeft w:val="0"/>
      <w:marRight w:val="0"/>
      <w:marTop w:val="0"/>
      <w:marBottom w:val="0"/>
      <w:divBdr>
        <w:top w:val="none" w:sz="0" w:space="0" w:color="auto"/>
        <w:left w:val="none" w:sz="0" w:space="0" w:color="auto"/>
        <w:bottom w:val="none" w:sz="0" w:space="0" w:color="auto"/>
        <w:right w:val="none" w:sz="0" w:space="0" w:color="auto"/>
      </w:divBdr>
    </w:div>
    <w:div w:id="1796487407">
      <w:bodyDiv w:val="1"/>
      <w:marLeft w:val="0"/>
      <w:marRight w:val="0"/>
      <w:marTop w:val="0"/>
      <w:marBottom w:val="0"/>
      <w:divBdr>
        <w:top w:val="none" w:sz="0" w:space="0" w:color="auto"/>
        <w:left w:val="none" w:sz="0" w:space="0" w:color="auto"/>
        <w:bottom w:val="none" w:sz="0" w:space="0" w:color="auto"/>
        <w:right w:val="none" w:sz="0" w:space="0" w:color="auto"/>
      </w:divBdr>
    </w:div>
    <w:div w:id="1796488977">
      <w:bodyDiv w:val="1"/>
      <w:marLeft w:val="0"/>
      <w:marRight w:val="0"/>
      <w:marTop w:val="0"/>
      <w:marBottom w:val="0"/>
      <w:divBdr>
        <w:top w:val="none" w:sz="0" w:space="0" w:color="auto"/>
        <w:left w:val="none" w:sz="0" w:space="0" w:color="auto"/>
        <w:bottom w:val="none" w:sz="0" w:space="0" w:color="auto"/>
        <w:right w:val="none" w:sz="0" w:space="0" w:color="auto"/>
      </w:divBdr>
    </w:div>
    <w:div w:id="1796673073">
      <w:bodyDiv w:val="1"/>
      <w:marLeft w:val="0"/>
      <w:marRight w:val="0"/>
      <w:marTop w:val="0"/>
      <w:marBottom w:val="0"/>
      <w:divBdr>
        <w:top w:val="none" w:sz="0" w:space="0" w:color="auto"/>
        <w:left w:val="none" w:sz="0" w:space="0" w:color="auto"/>
        <w:bottom w:val="none" w:sz="0" w:space="0" w:color="auto"/>
        <w:right w:val="none" w:sz="0" w:space="0" w:color="auto"/>
      </w:divBdr>
    </w:div>
    <w:div w:id="1796828500">
      <w:bodyDiv w:val="1"/>
      <w:marLeft w:val="0"/>
      <w:marRight w:val="0"/>
      <w:marTop w:val="0"/>
      <w:marBottom w:val="0"/>
      <w:divBdr>
        <w:top w:val="none" w:sz="0" w:space="0" w:color="auto"/>
        <w:left w:val="none" w:sz="0" w:space="0" w:color="auto"/>
        <w:bottom w:val="none" w:sz="0" w:space="0" w:color="auto"/>
        <w:right w:val="none" w:sz="0" w:space="0" w:color="auto"/>
      </w:divBdr>
    </w:div>
    <w:div w:id="1796832273">
      <w:bodyDiv w:val="1"/>
      <w:marLeft w:val="0"/>
      <w:marRight w:val="0"/>
      <w:marTop w:val="0"/>
      <w:marBottom w:val="0"/>
      <w:divBdr>
        <w:top w:val="none" w:sz="0" w:space="0" w:color="auto"/>
        <w:left w:val="none" w:sz="0" w:space="0" w:color="auto"/>
        <w:bottom w:val="none" w:sz="0" w:space="0" w:color="auto"/>
        <w:right w:val="none" w:sz="0" w:space="0" w:color="auto"/>
      </w:divBdr>
    </w:div>
    <w:div w:id="1796945859">
      <w:bodyDiv w:val="1"/>
      <w:marLeft w:val="0"/>
      <w:marRight w:val="0"/>
      <w:marTop w:val="0"/>
      <w:marBottom w:val="0"/>
      <w:divBdr>
        <w:top w:val="none" w:sz="0" w:space="0" w:color="auto"/>
        <w:left w:val="none" w:sz="0" w:space="0" w:color="auto"/>
        <w:bottom w:val="none" w:sz="0" w:space="0" w:color="auto"/>
        <w:right w:val="none" w:sz="0" w:space="0" w:color="auto"/>
      </w:divBdr>
    </w:div>
    <w:div w:id="1797017324">
      <w:bodyDiv w:val="1"/>
      <w:marLeft w:val="0"/>
      <w:marRight w:val="0"/>
      <w:marTop w:val="0"/>
      <w:marBottom w:val="0"/>
      <w:divBdr>
        <w:top w:val="none" w:sz="0" w:space="0" w:color="auto"/>
        <w:left w:val="none" w:sz="0" w:space="0" w:color="auto"/>
        <w:bottom w:val="none" w:sz="0" w:space="0" w:color="auto"/>
        <w:right w:val="none" w:sz="0" w:space="0" w:color="auto"/>
      </w:divBdr>
    </w:div>
    <w:div w:id="1797021485">
      <w:bodyDiv w:val="1"/>
      <w:marLeft w:val="0"/>
      <w:marRight w:val="0"/>
      <w:marTop w:val="0"/>
      <w:marBottom w:val="0"/>
      <w:divBdr>
        <w:top w:val="none" w:sz="0" w:space="0" w:color="auto"/>
        <w:left w:val="none" w:sz="0" w:space="0" w:color="auto"/>
        <w:bottom w:val="none" w:sz="0" w:space="0" w:color="auto"/>
        <w:right w:val="none" w:sz="0" w:space="0" w:color="auto"/>
      </w:divBdr>
    </w:div>
    <w:div w:id="1797063628">
      <w:bodyDiv w:val="1"/>
      <w:marLeft w:val="0"/>
      <w:marRight w:val="0"/>
      <w:marTop w:val="0"/>
      <w:marBottom w:val="0"/>
      <w:divBdr>
        <w:top w:val="none" w:sz="0" w:space="0" w:color="auto"/>
        <w:left w:val="none" w:sz="0" w:space="0" w:color="auto"/>
        <w:bottom w:val="none" w:sz="0" w:space="0" w:color="auto"/>
        <w:right w:val="none" w:sz="0" w:space="0" w:color="auto"/>
      </w:divBdr>
    </w:div>
    <w:div w:id="1797210386">
      <w:bodyDiv w:val="1"/>
      <w:marLeft w:val="0"/>
      <w:marRight w:val="0"/>
      <w:marTop w:val="0"/>
      <w:marBottom w:val="0"/>
      <w:divBdr>
        <w:top w:val="none" w:sz="0" w:space="0" w:color="auto"/>
        <w:left w:val="none" w:sz="0" w:space="0" w:color="auto"/>
        <w:bottom w:val="none" w:sz="0" w:space="0" w:color="auto"/>
        <w:right w:val="none" w:sz="0" w:space="0" w:color="auto"/>
      </w:divBdr>
    </w:div>
    <w:div w:id="1797215035">
      <w:bodyDiv w:val="1"/>
      <w:marLeft w:val="0"/>
      <w:marRight w:val="0"/>
      <w:marTop w:val="0"/>
      <w:marBottom w:val="0"/>
      <w:divBdr>
        <w:top w:val="none" w:sz="0" w:space="0" w:color="auto"/>
        <w:left w:val="none" w:sz="0" w:space="0" w:color="auto"/>
        <w:bottom w:val="none" w:sz="0" w:space="0" w:color="auto"/>
        <w:right w:val="none" w:sz="0" w:space="0" w:color="auto"/>
      </w:divBdr>
    </w:div>
    <w:div w:id="1797289592">
      <w:bodyDiv w:val="1"/>
      <w:marLeft w:val="0"/>
      <w:marRight w:val="0"/>
      <w:marTop w:val="0"/>
      <w:marBottom w:val="0"/>
      <w:divBdr>
        <w:top w:val="none" w:sz="0" w:space="0" w:color="auto"/>
        <w:left w:val="none" w:sz="0" w:space="0" w:color="auto"/>
        <w:bottom w:val="none" w:sz="0" w:space="0" w:color="auto"/>
        <w:right w:val="none" w:sz="0" w:space="0" w:color="auto"/>
      </w:divBdr>
    </w:div>
    <w:div w:id="1797408572">
      <w:bodyDiv w:val="1"/>
      <w:marLeft w:val="0"/>
      <w:marRight w:val="0"/>
      <w:marTop w:val="0"/>
      <w:marBottom w:val="0"/>
      <w:divBdr>
        <w:top w:val="none" w:sz="0" w:space="0" w:color="auto"/>
        <w:left w:val="none" w:sz="0" w:space="0" w:color="auto"/>
        <w:bottom w:val="none" w:sz="0" w:space="0" w:color="auto"/>
        <w:right w:val="none" w:sz="0" w:space="0" w:color="auto"/>
      </w:divBdr>
    </w:div>
    <w:div w:id="1797479123">
      <w:bodyDiv w:val="1"/>
      <w:marLeft w:val="0"/>
      <w:marRight w:val="0"/>
      <w:marTop w:val="0"/>
      <w:marBottom w:val="0"/>
      <w:divBdr>
        <w:top w:val="none" w:sz="0" w:space="0" w:color="auto"/>
        <w:left w:val="none" w:sz="0" w:space="0" w:color="auto"/>
        <w:bottom w:val="none" w:sz="0" w:space="0" w:color="auto"/>
        <w:right w:val="none" w:sz="0" w:space="0" w:color="auto"/>
      </w:divBdr>
    </w:div>
    <w:div w:id="1797486325">
      <w:bodyDiv w:val="1"/>
      <w:marLeft w:val="0"/>
      <w:marRight w:val="0"/>
      <w:marTop w:val="0"/>
      <w:marBottom w:val="0"/>
      <w:divBdr>
        <w:top w:val="none" w:sz="0" w:space="0" w:color="auto"/>
        <w:left w:val="none" w:sz="0" w:space="0" w:color="auto"/>
        <w:bottom w:val="none" w:sz="0" w:space="0" w:color="auto"/>
        <w:right w:val="none" w:sz="0" w:space="0" w:color="auto"/>
      </w:divBdr>
    </w:div>
    <w:div w:id="1797679633">
      <w:bodyDiv w:val="1"/>
      <w:marLeft w:val="0"/>
      <w:marRight w:val="0"/>
      <w:marTop w:val="0"/>
      <w:marBottom w:val="0"/>
      <w:divBdr>
        <w:top w:val="none" w:sz="0" w:space="0" w:color="auto"/>
        <w:left w:val="none" w:sz="0" w:space="0" w:color="auto"/>
        <w:bottom w:val="none" w:sz="0" w:space="0" w:color="auto"/>
        <w:right w:val="none" w:sz="0" w:space="0" w:color="auto"/>
      </w:divBdr>
    </w:div>
    <w:div w:id="1797680216">
      <w:bodyDiv w:val="1"/>
      <w:marLeft w:val="0"/>
      <w:marRight w:val="0"/>
      <w:marTop w:val="0"/>
      <w:marBottom w:val="0"/>
      <w:divBdr>
        <w:top w:val="none" w:sz="0" w:space="0" w:color="auto"/>
        <w:left w:val="none" w:sz="0" w:space="0" w:color="auto"/>
        <w:bottom w:val="none" w:sz="0" w:space="0" w:color="auto"/>
        <w:right w:val="none" w:sz="0" w:space="0" w:color="auto"/>
      </w:divBdr>
    </w:div>
    <w:div w:id="1797718939">
      <w:bodyDiv w:val="1"/>
      <w:marLeft w:val="0"/>
      <w:marRight w:val="0"/>
      <w:marTop w:val="0"/>
      <w:marBottom w:val="0"/>
      <w:divBdr>
        <w:top w:val="none" w:sz="0" w:space="0" w:color="auto"/>
        <w:left w:val="none" w:sz="0" w:space="0" w:color="auto"/>
        <w:bottom w:val="none" w:sz="0" w:space="0" w:color="auto"/>
        <w:right w:val="none" w:sz="0" w:space="0" w:color="auto"/>
      </w:divBdr>
    </w:div>
    <w:div w:id="1797872961">
      <w:bodyDiv w:val="1"/>
      <w:marLeft w:val="0"/>
      <w:marRight w:val="0"/>
      <w:marTop w:val="0"/>
      <w:marBottom w:val="0"/>
      <w:divBdr>
        <w:top w:val="none" w:sz="0" w:space="0" w:color="auto"/>
        <w:left w:val="none" w:sz="0" w:space="0" w:color="auto"/>
        <w:bottom w:val="none" w:sz="0" w:space="0" w:color="auto"/>
        <w:right w:val="none" w:sz="0" w:space="0" w:color="auto"/>
      </w:divBdr>
    </w:div>
    <w:div w:id="1797984226">
      <w:bodyDiv w:val="1"/>
      <w:marLeft w:val="0"/>
      <w:marRight w:val="0"/>
      <w:marTop w:val="0"/>
      <w:marBottom w:val="0"/>
      <w:divBdr>
        <w:top w:val="none" w:sz="0" w:space="0" w:color="auto"/>
        <w:left w:val="none" w:sz="0" w:space="0" w:color="auto"/>
        <w:bottom w:val="none" w:sz="0" w:space="0" w:color="auto"/>
        <w:right w:val="none" w:sz="0" w:space="0" w:color="auto"/>
      </w:divBdr>
    </w:div>
    <w:div w:id="1798140580">
      <w:bodyDiv w:val="1"/>
      <w:marLeft w:val="0"/>
      <w:marRight w:val="0"/>
      <w:marTop w:val="0"/>
      <w:marBottom w:val="0"/>
      <w:divBdr>
        <w:top w:val="none" w:sz="0" w:space="0" w:color="auto"/>
        <w:left w:val="none" w:sz="0" w:space="0" w:color="auto"/>
        <w:bottom w:val="none" w:sz="0" w:space="0" w:color="auto"/>
        <w:right w:val="none" w:sz="0" w:space="0" w:color="auto"/>
      </w:divBdr>
    </w:div>
    <w:div w:id="1798143276">
      <w:bodyDiv w:val="1"/>
      <w:marLeft w:val="0"/>
      <w:marRight w:val="0"/>
      <w:marTop w:val="0"/>
      <w:marBottom w:val="0"/>
      <w:divBdr>
        <w:top w:val="none" w:sz="0" w:space="0" w:color="auto"/>
        <w:left w:val="none" w:sz="0" w:space="0" w:color="auto"/>
        <w:bottom w:val="none" w:sz="0" w:space="0" w:color="auto"/>
        <w:right w:val="none" w:sz="0" w:space="0" w:color="auto"/>
      </w:divBdr>
    </w:div>
    <w:div w:id="1798336260">
      <w:bodyDiv w:val="1"/>
      <w:marLeft w:val="0"/>
      <w:marRight w:val="0"/>
      <w:marTop w:val="0"/>
      <w:marBottom w:val="0"/>
      <w:divBdr>
        <w:top w:val="none" w:sz="0" w:space="0" w:color="auto"/>
        <w:left w:val="none" w:sz="0" w:space="0" w:color="auto"/>
        <w:bottom w:val="none" w:sz="0" w:space="0" w:color="auto"/>
        <w:right w:val="none" w:sz="0" w:space="0" w:color="auto"/>
      </w:divBdr>
    </w:div>
    <w:div w:id="1798376825">
      <w:bodyDiv w:val="1"/>
      <w:marLeft w:val="0"/>
      <w:marRight w:val="0"/>
      <w:marTop w:val="0"/>
      <w:marBottom w:val="0"/>
      <w:divBdr>
        <w:top w:val="none" w:sz="0" w:space="0" w:color="auto"/>
        <w:left w:val="none" w:sz="0" w:space="0" w:color="auto"/>
        <w:bottom w:val="none" w:sz="0" w:space="0" w:color="auto"/>
        <w:right w:val="none" w:sz="0" w:space="0" w:color="auto"/>
      </w:divBdr>
    </w:div>
    <w:div w:id="1798449495">
      <w:bodyDiv w:val="1"/>
      <w:marLeft w:val="0"/>
      <w:marRight w:val="0"/>
      <w:marTop w:val="0"/>
      <w:marBottom w:val="0"/>
      <w:divBdr>
        <w:top w:val="none" w:sz="0" w:space="0" w:color="auto"/>
        <w:left w:val="none" w:sz="0" w:space="0" w:color="auto"/>
        <w:bottom w:val="none" w:sz="0" w:space="0" w:color="auto"/>
        <w:right w:val="none" w:sz="0" w:space="0" w:color="auto"/>
      </w:divBdr>
    </w:div>
    <w:div w:id="1798451456">
      <w:bodyDiv w:val="1"/>
      <w:marLeft w:val="0"/>
      <w:marRight w:val="0"/>
      <w:marTop w:val="0"/>
      <w:marBottom w:val="0"/>
      <w:divBdr>
        <w:top w:val="none" w:sz="0" w:space="0" w:color="auto"/>
        <w:left w:val="none" w:sz="0" w:space="0" w:color="auto"/>
        <w:bottom w:val="none" w:sz="0" w:space="0" w:color="auto"/>
        <w:right w:val="none" w:sz="0" w:space="0" w:color="auto"/>
      </w:divBdr>
    </w:div>
    <w:div w:id="1798527556">
      <w:bodyDiv w:val="1"/>
      <w:marLeft w:val="0"/>
      <w:marRight w:val="0"/>
      <w:marTop w:val="0"/>
      <w:marBottom w:val="0"/>
      <w:divBdr>
        <w:top w:val="none" w:sz="0" w:space="0" w:color="auto"/>
        <w:left w:val="none" w:sz="0" w:space="0" w:color="auto"/>
        <w:bottom w:val="none" w:sz="0" w:space="0" w:color="auto"/>
        <w:right w:val="none" w:sz="0" w:space="0" w:color="auto"/>
      </w:divBdr>
    </w:div>
    <w:div w:id="1798638539">
      <w:bodyDiv w:val="1"/>
      <w:marLeft w:val="0"/>
      <w:marRight w:val="0"/>
      <w:marTop w:val="0"/>
      <w:marBottom w:val="0"/>
      <w:divBdr>
        <w:top w:val="none" w:sz="0" w:space="0" w:color="auto"/>
        <w:left w:val="none" w:sz="0" w:space="0" w:color="auto"/>
        <w:bottom w:val="none" w:sz="0" w:space="0" w:color="auto"/>
        <w:right w:val="none" w:sz="0" w:space="0" w:color="auto"/>
      </w:divBdr>
    </w:div>
    <w:div w:id="1798645487">
      <w:bodyDiv w:val="1"/>
      <w:marLeft w:val="0"/>
      <w:marRight w:val="0"/>
      <w:marTop w:val="0"/>
      <w:marBottom w:val="0"/>
      <w:divBdr>
        <w:top w:val="none" w:sz="0" w:space="0" w:color="auto"/>
        <w:left w:val="none" w:sz="0" w:space="0" w:color="auto"/>
        <w:bottom w:val="none" w:sz="0" w:space="0" w:color="auto"/>
        <w:right w:val="none" w:sz="0" w:space="0" w:color="auto"/>
      </w:divBdr>
    </w:div>
    <w:div w:id="1798835872">
      <w:bodyDiv w:val="1"/>
      <w:marLeft w:val="0"/>
      <w:marRight w:val="0"/>
      <w:marTop w:val="0"/>
      <w:marBottom w:val="0"/>
      <w:divBdr>
        <w:top w:val="none" w:sz="0" w:space="0" w:color="auto"/>
        <w:left w:val="none" w:sz="0" w:space="0" w:color="auto"/>
        <w:bottom w:val="none" w:sz="0" w:space="0" w:color="auto"/>
        <w:right w:val="none" w:sz="0" w:space="0" w:color="auto"/>
      </w:divBdr>
    </w:div>
    <w:div w:id="1798838184">
      <w:bodyDiv w:val="1"/>
      <w:marLeft w:val="0"/>
      <w:marRight w:val="0"/>
      <w:marTop w:val="0"/>
      <w:marBottom w:val="0"/>
      <w:divBdr>
        <w:top w:val="none" w:sz="0" w:space="0" w:color="auto"/>
        <w:left w:val="none" w:sz="0" w:space="0" w:color="auto"/>
        <w:bottom w:val="none" w:sz="0" w:space="0" w:color="auto"/>
        <w:right w:val="none" w:sz="0" w:space="0" w:color="auto"/>
      </w:divBdr>
    </w:div>
    <w:div w:id="1799034250">
      <w:bodyDiv w:val="1"/>
      <w:marLeft w:val="0"/>
      <w:marRight w:val="0"/>
      <w:marTop w:val="0"/>
      <w:marBottom w:val="0"/>
      <w:divBdr>
        <w:top w:val="none" w:sz="0" w:space="0" w:color="auto"/>
        <w:left w:val="none" w:sz="0" w:space="0" w:color="auto"/>
        <w:bottom w:val="none" w:sz="0" w:space="0" w:color="auto"/>
        <w:right w:val="none" w:sz="0" w:space="0" w:color="auto"/>
      </w:divBdr>
    </w:div>
    <w:div w:id="1799109837">
      <w:bodyDiv w:val="1"/>
      <w:marLeft w:val="0"/>
      <w:marRight w:val="0"/>
      <w:marTop w:val="0"/>
      <w:marBottom w:val="0"/>
      <w:divBdr>
        <w:top w:val="none" w:sz="0" w:space="0" w:color="auto"/>
        <w:left w:val="none" w:sz="0" w:space="0" w:color="auto"/>
        <w:bottom w:val="none" w:sz="0" w:space="0" w:color="auto"/>
        <w:right w:val="none" w:sz="0" w:space="0" w:color="auto"/>
      </w:divBdr>
    </w:div>
    <w:div w:id="1799447729">
      <w:bodyDiv w:val="1"/>
      <w:marLeft w:val="0"/>
      <w:marRight w:val="0"/>
      <w:marTop w:val="0"/>
      <w:marBottom w:val="0"/>
      <w:divBdr>
        <w:top w:val="none" w:sz="0" w:space="0" w:color="auto"/>
        <w:left w:val="none" w:sz="0" w:space="0" w:color="auto"/>
        <w:bottom w:val="none" w:sz="0" w:space="0" w:color="auto"/>
        <w:right w:val="none" w:sz="0" w:space="0" w:color="auto"/>
      </w:divBdr>
    </w:div>
    <w:div w:id="1799451723">
      <w:bodyDiv w:val="1"/>
      <w:marLeft w:val="0"/>
      <w:marRight w:val="0"/>
      <w:marTop w:val="0"/>
      <w:marBottom w:val="0"/>
      <w:divBdr>
        <w:top w:val="none" w:sz="0" w:space="0" w:color="auto"/>
        <w:left w:val="none" w:sz="0" w:space="0" w:color="auto"/>
        <w:bottom w:val="none" w:sz="0" w:space="0" w:color="auto"/>
        <w:right w:val="none" w:sz="0" w:space="0" w:color="auto"/>
      </w:divBdr>
    </w:div>
    <w:div w:id="1799646056">
      <w:bodyDiv w:val="1"/>
      <w:marLeft w:val="0"/>
      <w:marRight w:val="0"/>
      <w:marTop w:val="0"/>
      <w:marBottom w:val="0"/>
      <w:divBdr>
        <w:top w:val="none" w:sz="0" w:space="0" w:color="auto"/>
        <w:left w:val="none" w:sz="0" w:space="0" w:color="auto"/>
        <w:bottom w:val="none" w:sz="0" w:space="0" w:color="auto"/>
        <w:right w:val="none" w:sz="0" w:space="0" w:color="auto"/>
      </w:divBdr>
    </w:div>
    <w:div w:id="1799715239">
      <w:bodyDiv w:val="1"/>
      <w:marLeft w:val="0"/>
      <w:marRight w:val="0"/>
      <w:marTop w:val="0"/>
      <w:marBottom w:val="0"/>
      <w:divBdr>
        <w:top w:val="none" w:sz="0" w:space="0" w:color="auto"/>
        <w:left w:val="none" w:sz="0" w:space="0" w:color="auto"/>
        <w:bottom w:val="none" w:sz="0" w:space="0" w:color="auto"/>
        <w:right w:val="none" w:sz="0" w:space="0" w:color="auto"/>
      </w:divBdr>
    </w:div>
    <w:div w:id="1799762648">
      <w:bodyDiv w:val="1"/>
      <w:marLeft w:val="0"/>
      <w:marRight w:val="0"/>
      <w:marTop w:val="0"/>
      <w:marBottom w:val="0"/>
      <w:divBdr>
        <w:top w:val="none" w:sz="0" w:space="0" w:color="auto"/>
        <w:left w:val="none" w:sz="0" w:space="0" w:color="auto"/>
        <w:bottom w:val="none" w:sz="0" w:space="0" w:color="auto"/>
        <w:right w:val="none" w:sz="0" w:space="0" w:color="auto"/>
      </w:divBdr>
    </w:div>
    <w:div w:id="1799834793">
      <w:bodyDiv w:val="1"/>
      <w:marLeft w:val="0"/>
      <w:marRight w:val="0"/>
      <w:marTop w:val="0"/>
      <w:marBottom w:val="0"/>
      <w:divBdr>
        <w:top w:val="none" w:sz="0" w:space="0" w:color="auto"/>
        <w:left w:val="none" w:sz="0" w:space="0" w:color="auto"/>
        <w:bottom w:val="none" w:sz="0" w:space="0" w:color="auto"/>
        <w:right w:val="none" w:sz="0" w:space="0" w:color="auto"/>
      </w:divBdr>
    </w:div>
    <w:div w:id="1799881988">
      <w:bodyDiv w:val="1"/>
      <w:marLeft w:val="0"/>
      <w:marRight w:val="0"/>
      <w:marTop w:val="0"/>
      <w:marBottom w:val="0"/>
      <w:divBdr>
        <w:top w:val="none" w:sz="0" w:space="0" w:color="auto"/>
        <w:left w:val="none" w:sz="0" w:space="0" w:color="auto"/>
        <w:bottom w:val="none" w:sz="0" w:space="0" w:color="auto"/>
        <w:right w:val="none" w:sz="0" w:space="0" w:color="auto"/>
      </w:divBdr>
    </w:div>
    <w:div w:id="1800030697">
      <w:bodyDiv w:val="1"/>
      <w:marLeft w:val="0"/>
      <w:marRight w:val="0"/>
      <w:marTop w:val="0"/>
      <w:marBottom w:val="0"/>
      <w:divBdr>
        <w:top w:val="none" w:sz="0" w:space="0" w:color="auto"/>
        <w:left w:val="none" w:sz="0" w:space="0" w:color="auto"/>
        <w:bottom w:val="none" w:sz="0" w:space="0" w:color="auto"/>
        <w:right w:val="none" w:sz="0" w:space="0" w:color="auto"/>
      </w:divBdr>
    </w:div>
    <w:div w:id="1800103877">
      <w:bodyDiv w:val="1"/>
      <w:marLeft w:val="0"/>
      <w:marRight w:val="0"/>
      <w:marTop w:val="0"/>
      <w:marBottom w:val="0"/>
      <w:divBdr>
        <w:top w:val="none" w:sz="0" w:space="0" w:color="auto"/>
        <w:left w:val="none" w:sz="0" w:space="0" w:color="auto"/>
        <w:bottom w:val="none" w:sz="0" w:space="0" w:color="auto"/>
        <w:right w:val="none" w:sz="0" w:space="0" w:color="auto"/>
      </w:divBdr>
    </w:div>
    <w:div w:id="1800108543">
      <w:bodyDiv w:val="1"/>
      <w:marLeft w:val="0"/>
      <w:marRight w:val="0"/>
      <w:marTop w:val="0"/>
      <w:marBottom w:val="0"/>
      <w:divBdr>
        <w:top w:val="none" w:sz="0" w:space="0" w:color="auto"/>
        <w:left w:val="none" w:sz="0" w:space="0" w:color="auto"/>
        <w:bottom w:val="none" w:sz="0" w:space="0" w:color="auto"/>
        <w:right w:val="none" w:sz="0" w:space="0" w:color="auto"/>
      </w:divBdr>
    </w:div>
    <w:div w:id="1800175195">
      <w:bodyDiv w:val="1"/>
      <w:marLeft w:val="0"/>
      <w:marRight w:val="0"/>
      <w:marTop w:val="0"/>
      <w:marBottom w:val="0"/>
      <w:divBdr>
        <w:top w:val="none" w:sz="0" w:space="0" w:color="auto"/>
        <w:left w:val="none" w:sz="0" w:space="0" w:color="auto"/>
        <w:bottom w:val="none" w:sz="0" w:space="0" w:color="auto"/>
        <w:right w:val="none" w:sz="0" w:space="0" w:color="auto"/>
      </w:divBdr>
    </w:div>
    <w:div w:id="1800226434">
      <w:bodyDiv w:val="1"/>
      <w:marLeft w:val="0"/>
      <w:marRight w:val="0"/>
      <w:marTop w:val="0"/>
      <w:marBottom w:val="0"/>
      <w:divBdr>
        <w:top w:val="none" w:sz="0" w:space="0" w:color="auto"/>
        <w:left w:val="none" w:sz="0" w:space="0" w:color="auto"/>
        <w:bottom w:val="none" w:sz="0" w:space="0" w:color="auto"/>
        <w:right w:val="none" w:sz="0" w:space="0" w:color="auto"/>
      </w:divBdr>
    </w:div>
    <w:div w:id="1800300737">
      <w:bodyDiv w:val="1"/>
      <w:marLeft w:val="0"/>
      <w:marRight w:val="0"/>
      <w:marTop w:val="0"/>
      <w:marBottom w:val="0"/>
      <w:divBdr>
        <w:top w:val="none" w:sz="0" w:space="0" w:color="auto"/>
        <w:left w:val="none" w:sz="0" w:space="0" w:color="auto"/>
        <w:bottom w:val="none" w:sz="0" w:space="0" w:color="auto"/>
        <w:right w:val="none" w:sz="0" w:space="0" w:color="auto"/>
      </w:divBdr>
    </w:div>
    <w:div w:id="1800339498">
      <w:bodyDiv w:val="1"/>
      <w:marLeft w:val="0"/>
      <w:marRight w:val="0"/>
      <w:marTop w:val="0"/>
      <w:marBottom w:val="0"/>
      <w:divBdr>
        <w:top w:val="none" w:sz="0" w:space="0" w:color="auto"/>
        <w:left w:val="none" w:sz="0" w:space="0" w:color="auto"/>
        <w:bottom w:val="none" w:sz="0" w:space="0" w:color="auto"/>
        <w:right w:val="none" w:sz="0" w:space="0" w:color="auto"/>
      </w:divBdr>
    </w:div>
    <w:div w:id="1800568451">
      <w:bodyDiv w:val="1"/>
      <w:marLeft w:val="0"/>
      <w:marRight w:val="0"/>
      <w:marTop w:val="0"/>
      <w:marBottom w:val="0"/>
      <w:divBdr>
        <w:top w:val="none" w:sz="0" w:space="0" w:color="auto"/>
        <w:left w:val="none" w:sz="0" w:space="0" w:color="auto"/>
        <w:bottom w:val="none" w:sz="0" w:space="0" w:color="auto"/>
        <w:right w:val="none" w:sz="0" w:space="0" w:color="auto"/>
      </w:divBdr>
    </w:div>
    <w:div w:id="1800609617">
      <w:bodyDiv w:val="1"/>
      <w:marLeft w:val="0"/>
      <w:marRight w:val="0"/>
      <w:marTop w:val="0"/>
      <w:marBottom w:val="0"/>
      <w:divBdr>
        <w:top w:val="none" w:sz="0" w:space="0" w:color="auto"/>
        <w:left w:val="none" w:sz="0" w:space="0" w:color="auto"/>
        <w:bottom w:val="none" w:sz="0" w:space="0" w:color="auto"/>
        <w:right w:val="none" w:sz="0" w:space="0" w:color="auto"/>
      </w:divBdr>
    </w:div>
    <w:div w:id="1800951614">
      <w:bodyDiv w:val="1"/>
      <w:marLeft w:val="0"/>
      <w:marRight w:val="0"/>
      <w:marTop w:val="0"/>
      <w:marBottom w:val="0"/>
      <w:divBdr>
        <w:top w:val="none" w:sz="0" w:space="0" w:color="auto"/>
        <w:left w:val="none" w:sz="0" w:space="0" w:color="auto"/>
        <w:bottom w:val="none" w:sz="0" w:space="0" w:color="auto"/>
        <w:right w:val="none" w:sz="0" w:space="0" w:color="auto"/>
      </w:divBdr>
    </w:div>
    <w:div w:id="1800998337">
      <w:bodyDiv w:val="1"/>
      <w:marLeft w:val="0"/>
      <w:marRight w:val="0"/>
      <w:marTop w:val="0"/>
      <w:marBottom w:val="0"/>
      <w:divBdr>
        <w:top w:val="none" w:sz="0" w:space="0" w:color="auto"/>
        <w:left w:val="none" w:sz="0" w:space="0" w:color="auto"/>
        <w:bottom w:val="none" w:sz="0" w:space="0" w:color="auto"/>
        <w:right w:val="none" w:sz="0" w:space="0" w:color="auto"/>
      </w:divBdr>
    </w:div>
    <w:div w:id="1801193031">
      <w:bodyDiv w:val="1"/>
      <w:marLeft w:val="0"/>
      <w:marRight w:val="0"/>
      <w:marTop w:val="0"/>
      <w:marBottom w:val="0"/>
      <w:divBdr>
        <w:top w:val="none" w:sz="0" w:space="0" w:color="auto"/>
        <w:left w:val="none" w:sz="0" w:space="0" w:color="auto"/>
        <w:bottom w:val="none" w:sz="0" w:space="0" w:color="auto"/>
        <w:right w:val="none" w:sz="0" w:space="0" w:color="auto"/>
      </w:divBdr>
    </w:div>
    <w:div w:id="1801260749">
      <w:bodyDiv w:val="1"/>
      <w:marLeft w:val="0"/>
      <w:marRight w:val="0"/>
      <w:marTop w:val="0"/>
      <w:marBottom w:val="0"/>
      <w:divBdr>
        <w:top w:val="none" w:sz="0" w:space="0" w:color="auto"/>
        <w:left w:val="none" w:sz="0" w:space="0" w:color="auto"/>
        <w:bottom w:val="none" w:sz="0" w:space="0" w:color="auto"/>
        <w:right w:val="none" w:sz="0" w:space="0" w:color="auto"/>
      </w:divBdr>
    </w:div>
    <w:div w:id="1801415552">
      <w:bodyDiv w:val="1"/>
      <w:marLeft w:val="0"/>
      <w:marRight w:val="0"/>
      <w:marTop w:val="0"/>
      <w:marBottom w:val="0"/>
      <w:divBdr>
        <w:top w:val="none" w:sz="0" w:space="0" w:color="auto"/>
        <w:left w:val="none" w:sz="0" w:space="0" w:color="auto"/>
        <w:bottom w:val="none" w:sz="0" w:space="0" w:color="auto"/>
        <w:right w:val="none" w:sz="0" w:space="0" w:color="auto"/>
      </w:divBdr>
    </w:div>
    <w:div w:id="1801459976">
      <w:bodyDiv w:val="1"/>
      <w:marLeft w:val="0"/>
      <w:marRight w:val="0"/>
      <w:marTop w:val="0"/>
      <w:marBottom w:val="0"/>
      <w:divBdr>
        <w:top w:val="none" w:sz="0" w:space="0" w:color="auto"/>
        <w:left w:val="none" w:sz="0" w:space="0" w:color="auto"/>
        <w:bottom w:val="none" w:sz="0" w:space="0" w:color="auto"/>
        <w:right w:val="none" w:sz="0" w:space="0" w:color="auto"/>
      </w:divBdr>
    </w:div>
    <w:div w:id="1801604350">
      <w:bodyDiv w:val="1"/>
      <w:marLeft w:val="0"/>
      <w:marRight w:val="0"/>
      <w:marTop w:val="0"/>
      <w:marBottom w:val="0"/>
      <w:divBdr>
        <w:top w:val="none" w:sz="0" w:space="0" w:color="auto"/>
        <w:left w:val="none" w:sz="0" w:space="0" w:color="auto"/>
        <w:bottom w:val="none" w:sz="0" w:space="0" w:color="auto"/>
        <w:right w:val="none" w:sz="0" w:space="0" w:color="auto"/>
      </w:divBdr>
    </w:div>
    <w:div w:id="1801611088">
      <w:bodyDiv w:val="1"/>
      <w:marLeft w:val="0"/>
      <w:marRight w:val="0"/>
      <w:marTop w:val="0"/>
      <w:marBottom w:val="0"/>
      <w:divBdr>
        <w:top w:val="none" w:sz="0" w:space="0" w:color="auto"/>
        <w:left w:val="none" w:sz="0" w:space="0" w:color="auto"/>
        <w:bottom w:val="none" w:sz="0" w:space="0" w:color="auto"/>
        <w:right w:val="none" w:sz="0" w:space="0" w:color="auto"/>
      </w:divBdr>
    </w:div>
    <w:div w:id="1801805440">
      <w:bodyDiv w:val="1"/>
      <w:marLeft w:val="0"/>
      <w:marRight w:val="0"/>
      <w:marTop w:val="0"/>
      <w:marBottom w:val="0"/>
      <w:divBdr>
        <w:top w:val="none" w:sz="0" w:space="0" w:color="auto"/>
        <w:left w:val="none" w:sz="0" w:space="0" w:color="auto"/>
        <w:bottom w:val="none" w:sz="0" w:space="0" w:color="auto"/>
        <w:right w:val="none" w:sz="0" w:space="0" w:color="auto"/>
      </w:divBdr>
    </w:div>
    <w:div w:id="1801848895">
      <w:bodyDiv w:val="1"/>
      <w:marLeft w:val="0"/>
      <w:marRight w:val="0"/>
      <w:marTop w:val="0"/>
      <w:marBottom w:val="0"/>
      <w:divBdr>
        <w:top w:val="none" w:sz="0" w:space="0" w:color="auto"/>
        <w:left w:val="none" w:sz="0" w:space="0" w:color="auto"/>
        <w:bottom w:val="none" w:sz="0" w:space="0" w:color="auto"/>
        <w:right w:val="none" w:sz="0" w:space="0" w:color="auto"/>
      </w:divBdr>
    </w:div>
    <w:div w:id="1802185424">
      <w:bodyDiv w:val="1"/>
      <w:marLeft w:val="0"/>
      <w:marRight w:val="0"/>
      <w:marTop w:val="0"/>
      <w:marBottom w:val="0"/>
      <w:divBdr>
        <w:top w:val="none" w:sz="0" w:space="0" w:color="auto"/>
        <w:left w:val="none" w:sz="0" w:space="0" w:color="auto"/>
        <w:bottom w:val="none" w:sz="0" w:space="0" w:color="auto"/>
        <w:right w:val="none" w:sz="0" w:space="0" w:color="auto"/>
      </w:divBdr>
    </w:div>
    <w:div w:id="1802306507">
      <w:bodyDiv w:val="1"/>
      <w:marLeft w:val="0"/>
      <w:marRight w:val="0"/>
      <w:marTop w:val="0"/>
      <w:marBottom w:val="0"/>
      <w:divBdr>
        <w:top w:val="none" w:sz="0" w:space="0" w:color="auto"/>
        <w:left w:val="none" w:sz="0" w:space="0" w:color="auto"/>
        <w:bottom w:val="none" w:sz="0" w:space="0" w:color="auto"/>
        <w:right w:val="none" w:sz="0" w:space="0" w:color="auto"/>
      </w:divBdr>
    </w:div>
    <w:div w:id="1802459390">
      <w:bodyDiv w:val="1"/>
      <w:marLeft w:val="0"/>
      <w:marRight w:val="0"/>
      <w:marTop w:val="0"/>
      <w:marBottom w:val="0"/>
      <w:divBdr>
        <w:top w:val="none" w:sz="0" w:space="0" w:color="auto"/>
        <w:left w:val="none" w:sz="0" w:space="0" w:color="auto"/>
        <w:bottom w:val="none" w:sz="0" w:space="0" w:color="auto"/>
        <w:right w:val="none" w:sz="0" w:space="0" w:color="auto"/>
      </w:divBdr>
    </w:div>
    <w:div w:id="1802529201">
      <w:bodyDiv w:val="1"/>
      <w:marLeft w:val="0"/>
      <w:marRight w:val="0"/>
      <w:marTop w:val="0"/>
      <w:marBottom w:val="0"/>
      <w:divBdr>
        <w:top w:val="none" w:sz="0" w:space="0" w:color="auto"/>
        <w:left w:val="none" w:sz="0" w:space="0" w:color="auto"/>
        <w:bottom w:val="none" w:sz="0" w:space="0" w:color="auto"/>
        <w:right w:val="none" w:sz="0" w:space="0" w:color="auto"/>
      </w:divBdr>
    </w:div>
    <w:div w:id="1802534057">
      <w:bodyDiv w:val="1"/>
      <w:marLeft w:val="0"/>
      <w:marRight w:val="0"/>
      <w:marTop w:val="0"/>
      <w:marBottom w:val="0"/>
      <w:divBdr>
        <w:top w:val="none" w:sz="0" w:space="0" w:color="auto"/>
        <w:left w:val="none" w:sz="0" w:space="0" w:color="auto"/>
        <w:bottom w:val="none" w:sz="0" w:space="0" w:color="auto"/>
        <w:right w:val="none" w:sz="0" w:space="0" w:color="auto"/>
      </w:divBdr>
    </w:div>
    <w:div w:id="1802534247">
      <w:bodyDiv w:val="1"/>
      <w:marLeft w:val="0"/>
      <w:marRight w:val="0"/>
      <w:marTop w:val="0"/>
      <w:marBottom w:val="0"/>
      <w:divBdr>
        <w:top w:val="none" w:sz="0" w:space="0" w:color="auto"/>
        <w:left w:val="none" w:sz="0" w:space="0" w:color="auto"/>
        <w:bottom w:val="none" w:sz="0" w:space="0" w:color="auto"/>
        <w:right w:val="none" w:sz="0" w:space="0" w:color="auto"/>
      </w:divBdr>
    </w:div>
    <w:div w:id="1802570509">
      <w:bodyDiv w:val="1"/>
      <w:marLeft w:val="0"/>
      <w:marRight w:val="0"/>
      <w:marTop w:val="0"/>
      <w:marBottom w:val="0"/>
      <w:divBdr>
        <w:top w:val="none" w:sz="0" w:space="0" w:color="auto"/>
        <w:left w:val="none" w:sz="0" w:space="0" w:color="auto"/>
        <w:bottom w:val="none" w:sz="0" w:space="0" w:color="auto"/>
        <w:right w:val="none" w:sz="0" w:space="0" w:color="auto"/>
      </w:divBdr>
    </w:div>
    <w:div w:id="1802576872">
      <w:bodyDiv w:val="1"/>
      <w:marLeft w:val="0"/>
      <w:marRight w:val="0"/>
      <w:marTop w:val="0"/>
      <w:marBottom w:val="0"/>
      <w:divBdr>
        <w:top w:val="none" w:sz="0" w:space="0" w:color="auto"/>
        <w:left w:val="none" w:sz="0" w:space="0" w:color="auto"/>
        <w:bottom w:val="none" w:sz="0" w:space="0" w:color="auto"/>
        <w:right w:val="none" w:sz="0" w:space="0" w:color="auto"/>
      </w:divBdr>
    </w:div>
    <w:div w:id="1802653400">
      <w:bodyDiv w:val="1"/>
      <w:marLeft w:val="0"/>
      <w:marRight w:val="0"/>
      <w:marTop w:val="0"/>
      <w:marBottom w:val="0"/>
      <w:divBdr>
        <w:top w:val="none" w:sz="0" w:space="0" w:color="auto"/>
        <w:left w:val="none" w:sz="0" w:space="0" w:color="auto"/>
        <w:bottom w:val="none" w:sz="0" w:space="0" w:color="auto"/>
        <w:right w:val="none" w:sz="0" w:space="0" w:color="auto"/>
      </w:divBdr>
    </w:div>
    <w:div w:id="1802721723">
      <w:bodyDiv w:val="1"/>
      <w:marLeft w:val="0"/>
      <w:marRight w:val="0"/>
      <w:marTop w:val="0"/>
      <w:marBottom w:val="0"/>
      <w:divBdr>
        <w:top w:val="none" w:sz="0" w:space="0" w:color="auto"/>
        <w:left w:val="none" w:sz="0" w:space="0" w:color="auto"/>
        <w:bottom w:val="none" w:sz="0" w:space="0" w:color="auto"/>
        <w:right w:val="none" w:sz="0" w:space="0" w:color="auto"/>
      </w:divBdr>
    </w:div>
    <w:div w:id="1802728969">
      <w:bodyDiv w:val="1"/>
      <w:marLeft w:val="0"/>
      <w:marRight w:val="0"/>
      <w:marTop w:val="0"/>
      <w:marBottom w:val="0"/>
      <w:divBdr>
        <w:top w:val="none" w:sz="0" w:space="0" w:color="auto"/>
        <w:left w:val="none" w:sz="0" w:space="0" w:color="auto"/>
        <w:bottom w:val="none" w:sz="0" w:space="0" w:color="auto"/>
        <w:right w:val="none" w:sz="0" w:space="0" w:color="auto"/>
      </w:divBdr>
    </w:div>
    <w:div w:id="1802844295">
      <w:bodyDiv w:val="1"/>
      <w:marLeft w:val="0"/>
      <w:marRight w:val="0"/>
      <w:marTop w:val="0"/>
      <w:marBottom w:val="0"/>
      <w:divBdr>
        <w:top w:val="none" w:sz="0" w:space="0" w:color="auto"/>
        <w:left w:val="none" w:sz="0" w:space="0" w:color="auto"/>
        <w:bottom w:val="none" w:sz="0" w:space="0" w:color="auto"/>
        <w:right w:val="none" w:sz="0" w:space="0" w:color="auto"/>
      </w:divBdr>
    </w:div>
    <w:div w:id="1802846655">
      <w:bodyDiv w:val="1"/>
      <w:marLeft w:val="0"/>
      <w:marRight w:val="0"/>
      <w:marTop w:val="0"/>
      <w:marBottom w:val="0"/>
      <w:divBdr>
        <w:top w:val="none" w:sz="0" w:space="0" w:color="auto"/>
        <w:left w:val="none" w:sz="0" w:space="0" w:color="auto"/>
        <w:bottom w:val="none" w:sz="0" w:space="0" w:color="auto"/>
        <w:right w:val="none" w:sz="0" w:space="0" w:color="auto"/>
      </w:divBdr>
    </w:div>
    <w:div w:id="1802847628">
      <w:bodyDiv w:val="1"/>
      <w:marLeft w:val="0"/>
      <w:marRight w:val="0"/>
      <w:marTop w:val="0"/>
      <w:marBottom w:val="0"/>
      <w:divBdr>
        <w:top w:val="none" w:sz="0" w:space="0" w:color="auto"/>
        <w:left w:val="none" w:sz="0" w:space="0" w:color="auto"/>
        <w:bottom w:val="none" w:sz="0" w:space="0" w:color="auto"/>
        <w:right w:val="none" w:sz="0" w:space="0" w:color="auto"/>
      </w:divBdr>
    </w:div>
    <w:div w:id="1802848147">
      <w:bodyDiv w:val="1"/>
      <w:marLeft w:val="0"/>
      <w:marRight w:val="0"/>
      <w:marTop w:val="0"/>
      <w:marBottom w:val="0"/>
      <w:divBdr>
        <w:top w:val="none" w:sz="0" w:space="0" w:color="auto"/>
        <w:left w:val="none" w:sz="0" w:space="0" w:color="auto"/>
        <w:bottom w:val="none" w:sz="0" w:space="0" w:color="auto"/>
        <w:right w:val="none" w:sz="0" w:space="0" w:color="auto"/>
      </w:divBdr>
    </w:div>
    <w:div w:id="1802920862">
      <w:bodyDiv w:val="1"/>
      <w:marLeft w:val="0"/>
      <w:marRight w:val="0"/>
      <w:marTop w:val="0"/>
      <w:marBottom w:val="0"/>
      <w:divBdr>
        <w:top w:val="none" w:sz="0" w:space="0" w:color="auto"/>
        <w:left w:val="none" w:sz="0" w:space="0" w:color="auto"/>
        <w:bottom w:val="none" w:sz="0" w:space="0" w:color="auto"/>
        <w:right w:val="none" w:sz="0" w:space="0" w:color="auto"/>
      </w:divBdr>
    </w:div>
    <w:div w:id="1802990428">
      <w:bodyDiv w:val="1"/>
      <w:marLeft w:val="0"/>
      <w:marRight w:val="0"/>
      <w:marTop w:val="0"/>
      <w:marBottom w:val="0"/>
      <w:divBdr>
        <w:top w:val="none" w:sz="0" w:space="0" w:color="auto"/>
        <w:left w:val="none" w:sz="0" w:space="0" w:color="auto"/>
        <w:bottom w:val="none" w:sz="0" w:space="0" w:color="auto"/>
        <w:right w:val="none" w:sz="0" w:space="0" w:color="auto"/>
      </w:divBdr>
    </w:div>
    <w:div w:id="1802992176">
      <w:bodyDiv w:val="1"/>
      <w:marLeft w:val="0"/>
      <w:marRight w:val="0"/>
      <w:marTop w:val="0"/>
      <w:marBottom w:val="0"/>
      <w:divBdr>
        <w:top w:val="none" w:sz="0" w:space="0" w:color="auto"/>
        <w:left w:val="none" w:sz="0" w:space="0" w:color="auto"/>
        <w:bottom w:val="none" w:sz="0" w:space="0" w:color="auto"/>
        <w:right w:val="none" w:sz="0" w:space="0" w:color="auto"/>
      </w:divBdr>
    </w:div>
    <w:div w:id="1803033894">
      <w:bodyDiv w:val="1"/>
      <w:marLeft w:val="0"/>
      <w:marRight w:val="0"/>
      <w:marTop w:val="0"/>
      <w:marBottom w:val="0"/>
      <w:divBdr>
        <w:top w:val="none" w:sz="0" w:space="0" w:color="auto"/>
        <w:left w:val="none" w:sz="0" w:space="0" w:color="auto"/>
        <w:bottom w:val="none" w:sz="0" w:space="0" w:color="auto"/>
        <w:right w:val="none" w:sz="0" w:space="0" w:color="auto"/>
      </w:divBdr>
    </w:div>
    <w:div w:id="1803034776">
      <w:bodyDiv w:val="1"/>
      <w:marLeft w:val="0"/>
      <w:marRight w:val="0"/>
      <w:marTop w:val="0"/>
      <w:marBottom w:val="0"/>
      <w:divBdr>
        <w:top w:val="none" w:sz="0" w:space="0" w:color="auto"/>
        <w:left w:val="none" w:sz="0" w:space="0" w:color="auto"/>
        <w:bottom w:val="none" w:sz="0" w:space="0" w:color="auto"/>
        <w:right w:val="none" w:sz="0" w:space="0" w:color="auto"/>
      </w:divBdr>
    </w:div>
    <w:div w:id="1803109323">
      <w:bodyDiv w:val="1"/>
      <w:marLeft w:val="0"/>
      <w:marRight w:val="0"/>
      <w:marTop w:val="0"/>
      <w:marBottom w:val="0"/>
      <w:divBdr>
        <w:top w:val="none" w:sz="0" w:space="0" w:color="auto"/>
        <w:left w:val="none" w:sz="0" w:space="0" w:color="auto"/>
        <w:bottom w:val="none" w:sz="0" w:space="0" w:color="auto"/>
        <w:right w:val="none" w:sz="0" w:space="0" w:color="auto"/>
      </w:divBdr>
    </w:div>
    <w:div w:id="1803110392">
      <w:bodyDiv w:val="1"/>
      <w:marLeft w:val="0"/>
      <w:marRight w:val="0"/>
      <w:marTop w:val="0"/>
      <w:marBottom w:val="0"/>
      <w:divBdr>
        <w:top w:val="none" w:sz="0" w:space="0" w:color="auto"/>
        <w:left w:val="none" w:sz="0" w:space="0" w:color="auto"/>
        <w:bottom w:val="none" w:sz="0" w:space="0" w:color="auto"/>
        <w:right w:val="none" w:sz="0" w:space="0" w:color="auto"/>
      </w:divBdr>
    </w:div>
    <w:div w:id="1803225693">
      <w:bodyDiv w:val="1"/>
      <w:marLeft w:val="0"/>
      <w:marRight w:val="0"/>
      <w:marTop w:val="0"/>
      <w:marBottom w:val="0"/>
      <w:divBdr>
        <w:top w:val="none" w:sz="0" w:space="0" w:color="auto"/>
        <w:left w:val="none" w:sz="0" w:space="0" w:color="auto"/>
        <w:bottom w:val="none" w:sz="0" w:space="0" w:color="auto"/>
        <w:right w:val="none" w:sz="0" w:space="0" w:color="auto"/>
      </w:divBdr>
    </w:div>
    <w:div w:id="1803309279">
      <w:bodyDiv w:val="1"/>
      <w:marLeft w:val="0"/>
      <w:marRight w:val="0"/>
      <w:marTop w:val="0"/>
      <w:marBottom w:val="0"/>
      <w:divBdr>
        <w:top w:val="none" w:sz="0" w:space="0" w:color="auto"/>
        <w:left w:val="none" w:sz="0" w:space="0" w:color="auto"/>
        <w:bottom w:val="none" w:sz="0" w:space="0" w:color="auto"/>
        <w:right w:val="none" w:sz="0" w:space="0" w:color="auto"/>
      </w:divBdr>
    </w:div>
    <w:div w:id="1803309317">
      <w:bodyDiv w:val="1"/>
      <w:marLeft w:val="0"/>
      <w:marRight w:val="0"/>
      <w:marTop w:val="0"/>
      <w:marBottom w:val="0"/>
      <w:divBdr>
        <w:top w:val="none" w:sz="0" w:space="0" w:color="auto"/>
        <w:left w:val="none" w:sz="0" w:space="0" w:color="auto"/>
        <w:bottom w:val="none" w:sz="0" w:space="0" w:color="auto"/>
        <w:right w:val="none" w:sz="0" w:space="0" w:color="auto"/>
      </w:divBdr>
    </w:div>
    <w:div w:id="1803426594">
      <w:bodyDiv w:val="1"/>
      <w:marLeft w:val="0"/>
      <w:marRight w:val="0"/>
      <w:marTop w:val="0"/>
      <w:marBottom w:val="0"/>
      <w:divBdr>
        <w:top w:val="none" w:sz="0" w:space="0" w:color="auto"/>
        <w:left w:val="none" w:sz="0" w:space="0" w:color="auto"/>
        <w:bottom w:val="none" w:sz="0" w:space="0" w:color="auto"/>
        <w:right w:val="none" w:sz="0" w:space="0" w:color="auto"/>
      </w:divBdr>
    </w:div>
    <w:div w:id="1803496193">
      <w:bodyDiv w:val="1"/>
      <w:marLeft w:val="0"/>
      <w:marRight w:val="0"/>
      <w:marTop w:val="0"/>
      <w:marBottom w:val="0"/>
      <w:divBdr>
        <w:top w:val="none" w:sz="0" w:space="0" w:color="auto"/>
        <w:left w:val="none" w:sz="0" w:space="0" w:color="auto"/>
        <w:bottom w:val="none" w:sz="0" w:space="0" w:color="auto"/>
        <w:right w:val="none" w:sz="0" w:space="0" w:color="auto"/>
      </w:divBdr>
    </w:div>
    <w:div w:id="1803814410">
      <w:bodyDiv w:val="1"/>
      <w:marLeft w:val="0"/>
      <w:marRight w:val="0"/>
      <w:marTop w:val="0"/>
      <w:marBottom w:val="0"/>
      <w:divBdr>
        <w:top w:val="none" w:sz="0" w:space="0" w:color="auto"/>
        <w:left w:val="none" w:sz="0" w:space="0" w:color="auto"/>
        <w:bottom w:val="none" w:sz="0" w:space="0" w:color="auto"/>
        <w:right w:val="none" w:sz="0" w:space="0" w:color="auto"/>
      </w:divBdr>
    </w:div>
    <w:div w:id="1803959789">
      <w:bodyDiv w:val="1"/>
      <w:marLeft w:val="0"/>
      <w:marRight w:val="0"/>
      <w:marTop w:val="0"/>
      <w:marBottom w:val="0"/>
      <w:divBdr>
        <w:top w:val="none" w:sz="0" w:space="0" w:color="auto"/>
        <w:left w:val="none" w:sz="0" w:space="0" w:color="auto"/>
        <w:bottom w:val="none" w:sz="0" w:space="0" w:color="auto"/>
        <w:right w:val="none" w:sz="0" w:space="0" w:color="auto"/>
      </w:divBdr>
    </w:div>
    <w:div w:id="1803965243">
      <w:bodyDiv w:val="1"/>
      <w:marLeft w:val="0"/>
      <w:marRight w:val="0"/>
      <w:marTop w:val="0"/>
      <w:marBottom w:val="0"/>
      <w:divBdr>
        <w:top w:val="none" w:sz="0" w:space="0" w:color="auto"/>
        <w:left w:val="none" w:sz="0" w:space="0" w:color="auto"/>
        <w:bottom w:val="none" w:sz="0" w:space="0" w:color="auto"/>
        <w:right w:val="none" w:sz="0" w:space="0" w:color="auto"/>
      </w:divBdr>
    </w:div>
    <w:div w:id="1804034007">
      <w:bodyDiv w:val="1"/>
      <w:marLeft w:val="0"/>
      <w:marRight w:val="0"/>
      <w:marTop w:val="0"/>
      <w:marBottom w:val="0"/>
      <w:divBdr>
        <w:top w:val="none" w:sz="0" w:space="0" w:color="auto"/>
        <w:left w:val="none" w:sz="0" w:space="0" w:color="auto"/>
        <w:bottom w:val="none" w:sz="0" w:space="0" w:color="auto"/>
        <w:right w:val="none" w:sz="0" w:space="0" w:color="auto"/>
      </w:divBdr>
    </w:div>
    <w:div w:id="1804344471">
      <w:bodyDiv w:val="1"/>
      <w:marLeft w:val="0"/>
      <w:marRight w:val="0"/>
      <w:marTop w:val="0"/>
      <w:marBottom w:val="0"/>
      <w:divBdr>
        <w:top w:val="none" w:sz="0" w:space="0" w:color="auto"/>
        <w:left w:val="none" w:sz="0" w:space="0" w:color="auto"/>
        <w:bottom w:val="none" w:sz="0" w:space="0" w:color="auto"/>
        <w:right w:val="none" w:sz="0" w:space="0" w:color="auto"/>
      </w:divBdr>
    </w:div>
    <w:div w:id="1804497261">
      <w:bodyDiv w:val="1"/>
      <w:marLeft w:val="0"/>
      <w:marRight w:val="0"/>
      <w:marTop w:val="0"/>
      <w:marBottom w:val="0"/>
      <w:divBdr>
        <w:top w:val="none" w:sz="0" w:space="0" w:color="auto"/>
        <w:left w:val="none" w:sz="0" w:space="0" w:color="auto"/>
        <w:bottom w:val="none" w:sz="0" w:space="0" w:color="auto"/>
        <w:right w:val="none" w:sz="0" w:space="0" w:color="auto"/>
      </w:divBdr>
    </w:div>
    <w:div w:id="1804539922">
      <w:bodyDiv w:val="1"/>
      <w:marLeft w:val="0"/>
      <w:marRight w:val="0"/>
      <w:marTop w:val="0"/>
      <w:marBottom w:val="0"/>
      <w:divBdr>
        <w:top w:val="none" w:sz="0" w:space="0" w:color="auto"/>
        <w:left w:val="none" w:sz="0" w:space="0" w:color="auto"/>
        <w:bottom w:val="none" w:sz="0" w:space="0" w:color="auto"/>
        <w:right w:val="none" w:sz="0" w:space="0" w:color="auto"/>
      </w:divBdr>
    </w:div>
    <w:div w:id="1804615117">
      <w:bodyDiv w:val="1"/>
      <w:marLeft w:val="0"/>
      <w:marRight w:val="0"/>
      <w:marTop w:val="0"/>
      <w:marBottom w:val="0"/>
      <w:divBdr>
        <w:top w:val="none" w:sz="0" w:space="0" w:color="auto"/>
        <w:left w:val="none" w:sz="0" w:space="0" w:color="auto"/>
        <w:bottom w:val="none" w:sz="0" w:space="0" w:color="auto"/>
        <w:right w:val="none" w:sz="0" w:space="0" w:color="auto"/>
      </w:divBdr>
    </w:div>
    <w:div w:id="1804619302">
      <w:bodyDiv w:val="1"/>
      <w:marLeft w:val="0"/>
      <w:marRight w:val="0"/>
      <w:marTop w:val="0"/>
      <w:marBottom w:val="0"/>
      <w:divBdr>
        <w:top w:val="none" w:sz="0" w:space="0" w:color="auto"/>
        <w:left w:val="none" w:sz="0" w:space="0" w:color="auto"/>
        <w:bottom w:val="none" w:sz="0" w:space="0" w:color="auto"/>
        <w:right w:val="none" w:sz="0" w:space="0" w:color="auto"/>
      </w:divBdr>
    </w:div>
    <w:div w:id="1804686919">
      <w:bodyDiv w:val="1"/>
      <w:marLeft w:val="0"/>
      <w:marRight w:val="0"/>
      <w:marTop w:val="0"/>
      <w:marBottom w:val="0"/>
      <w:divBdr>
        <w:top w:val="none" w:sz="0" w:space="0" w:color="auto"/>
        <w:left w:val="none" w:sz="0" w:space="0" w:color="auto"/>
        <w:bottom w:val="none" w:sz="0" w:space="0" w:color="auto"/>
        <w:right w:val="none" w:sz="0" w:space="0" w:color="auto"/>
      </w:divBdr>
    </w:div>
    <w:div w:id="1804692154">
      <w:bodyDiv w:val="1"/>
      <w:marLeft w:val="0"/>
      <w:marRight w:val="0"/>
      <w:marTop w:val="0"/>
      <w:marBottom w:val="0"/>
      <w:divBdr>
        <w:top w:val="none" w:sz="0" w:space="0" w:color="auto"/>
        <w:left w:val="none" w:sz="0" w:space="0" w:color="auto"/>
        <w:bottom w:val="none" w:sz="0" w:space="0" w:color="auto"/>
        <w:right w:val="none" w:sz="0" w:space="0" w:color="auto"/>
      </w:divBdr>
    </w:div>
    <w:div w:id="1804733953">
      <w:bodyDiv w:val="1"/>
      <w:marLeft w:val="0"/>
      <w:marRight w:val="0"/>
      <w:marTop w:val="0"/>
      <w:marBottom w:val="0"/>
      <w:divBdr>
        <w:top w:val="none" w:sz="0" w:space="0" w:color="auto"/>
        <w:left w:val="none" w:sz="0" w:space="0" w:color="auto"/>
        <w:bottom w:val="none" w:sz="0" w:space="0" w:color="auto"/>
        <w:right w:val="none" w:sz="0" w:space="0" w:color="auto"/>
      </w:divBdr>
    </w:div>
    <w:div w:id="1804880952">
      <w:bodyDiv w:val="1"/>
      <w:marLeft w:val="0"/>
      <w:marRight w:val="0"/>
      <w:marTop w:val="0"/>
      <w:marBottom w:val="0"/>
      <w:divBdr>
        <w:top w:val="none" w:sz="0" w:space="0" w:color="auto"/>
        <w:left w:val="none" w:sz="0" w:space="0" w:color="auto"/>
        <w:bottom w:val="none" w:sz="0" w:space="0" w:color="auto"/>
        <w:right w:val="none" w:sz="0" w:space="0" w:color="auto"/>
      </w:divBdr>
    </w:div>
    <w:div w:id="1804881205">
      <w:bodyDiv w:val="1"/>
      <w:marLeft w:val="0"/>
      <w:marRight w:val="0"/>
      <w:marTop w:val="0"/>
      <w:marBottom w:val="0"/>
      <w:divBdr>
        <w:top w:val="none" w:sz="0" w:space="0" w:color="auto"/>
        <w:left w:val="none" w:sz="0" w:space="0" w:color="auto"/>
        <w:bottom w:val="none" w:sz="0" w:space="0" w:color="auto"/>
        <w:right w:val="none" w:sz="0" w:space="0" w:color="auto"/>
      </w:divBdr>
    </w:div>
    <w:div w:id="1804884498">
      <w:bodyDiv w:val="1"/>
      <w:marLeft w:val="0"/>
      <w:marRight w:val="0"/>
      <w:marTop w:val="0"/>
      <w:marBottom w:val="0"/>
      <w:divBdr>
        <w:top w:val="none" w:sz="0" w:space="0" w:color="auto"/>
        <w:left w:val="none" w:sz="0" w:space="0" w:color="auto"/>
        <w:bottom w:val="none" w:sz="0" w:space="0" w:color="auto"/>
        <w:right w:val="none" w:sz="0" w:space="0" w:color="auto"/>
      </w:divBdr>
    </w:div>
    <w:div w:id="1805005853">
      <w:bodyDiv w:val="1"/>
      <w:marLeft w:val="0"/>
      <w:marRight w:val="0"/>
      <w:marTop w:val="0"/>
      <w:marBottom w:val="0"/>
      <w:divBdr>
        <w:top w:val="none" w:sz="0" w:space="0" w:color="auto"/>
        <w:left w:val="none" w:sz="0" w:space="0" w:color="auto"/>
        <w:bottom w:val="none" w:sz="0" w:space="0" w:color="auto"/>
        <w:right w:val="none" w:sz="0" w:space="0" w:color="auto"/>
      </w:divBdr>
    </w:div>
    <w:div w:id="1805078235">
      <w:bodyDiv w:val="1"/>
      <w:marLeft w:val="0"/>
      <w:marRight w:val="0"/>
      <w:marTop w:val="0"/>
      <w:marBottom w:val="0"/>
      <w:divBdr>
        <w:top w:val="none" w:sz="0" w:space="0" w:color="auto"/>
        <w:left w:val="none" w:sz="0" w:space="0" w:color="auto"/>
        <w:bottom w:val="none" w:sz="0" w:space="0" w:color="auto"/>
        <w:right w:val="none" w:sz="0" w:space="0" w:color="auto"/>
      </w:divBdr>
    </w:div>
    <w:div w:id="1805195753">
      <w:bodyDiv w:val="1"/>
      <w:marLeft w:val="0"/>
      <w:marRight w:val="0"/>
      <w:marTop w:val="0"/>
      <w:marBottom w:val="0"/>
      <w:divBdr>
        <w:top w:val="none" w:sz="0" w:space="0" w:color="auto"/>
        <w:left w:val="none" w:sz="0" w:space="0" w:color="auto"/>
        <w:bottom w:val="none" w:sz="0" w:space="0" w:color="auto"/>
        <w:right w:val="none" w:sz="0" w:space="0" w:color="auto"/>
      </w:divBdr>
    </w:div>
    <w:div w:id="1805268509">
      <w:bodyDiv w:val="1"/>
      <w:marLeft w:val="0"/>
      <w:marRight w:val="0"/>
      <w:marTop w:val="0"/>
      <w:marBottom w:val="0"/>
      <w:divBdr>
        <w:top w:val="none" w:sz="0" w:space="0" w:color="auto"/>
        <w:left w:val="none" w:sz="0" w:space="0" w:color="auto"/>
        <w:bottom w:val="none" w:sz="0" w:space="0" w:color="auto"/>
        <w:right w:val="none" w:sz="0" w:space="0" w:color="auto"/>
      </w:divBdr>
    </w:div>
    <w:div w:id="1805350705">
      <w:bodyDiv w:val="1"/>
      <w:marLeft w:val="0"/>
      <w:marRight w:val="0"/>
      <w:marTop w:val="0"/>
      <w:marBottom w:val="0"/>
      <w:divBdr>
        <w:top w:val="none" w:sz="0" w:space="0" w:color="auto"/>
        <w:left w:val="none" w:sz="0" w:space="0" w:color="auto"/>
        <w:bottom w:val="none" w:sz="0" w:space="0" w:color="auto"/>
        <w:right w:val="none" w:sz="0" w:space="0" w:color="auto"/>
      </w:divBdr>
    </w:div>
    <w:div w:id="1805463275">
      <w:bodyDiv w:val="1"/>
      <w:marLeft w:val="0"/>
      <w:marRight w:val="0"/>
      <w:marTop w:val="0"/>
      <w:marBottom w:val="0"/>
      <w:divBdr>
        <w:top w:val="none" w:sz="0" w:space="0" w:color="auto"/>
        <w:left w:val="none" w:sz="0" w:space="0" w:color="auto"/>
        <w:bottom w:val="none" w:sz="0" w:space="0" w:color="auto"/>
        <w:right w:val="none" w:sz="0" w:space="0" w:color="auto"/>
      </w:divBdr>
    </w:div>
    <w:div w:id="1805730267">
      <w:bodyDiv w:val="1"/>
      <w:marLeft w:val="0"/>
      <w:marRight w:val="0"/>
      <w:marTop w:val="0"/>
      <w:marBottom w:val="0"/>
      <w:divBdr>
        <w:top w:val="none" w:sz="0" w:space="0" w:color="auto"/>
        <w:left w:val="none" w:sz="0" w:space="0" w:color="auto"/>
        <w:bottom w:val="none" w:sz="0" w:space="0" w:color="auto"/>
        <w:right w:val="none" w:sz="0" w:space="0" w:color="auto"/>
      </w:divBdr>
    </w:div>
    <w:div w:id="1805734487">
      <w:bodyDiv w:val="1"/>
      <w:marLeft w:val="0"/>
      <w:marRight w:val="0"/>
      <w:marTop w:val="0"/>
      <w:marBottom w:val="0"/>
      <w:divBdr>
        <w:top w:val="none" w:sz="0" w:space="0" w:color="auto"/>
        <w:left w:val="none" w:sz="0" w:space="0" w:color="auto"/>
        <w:bottom w:val="none" w:sz="0" w:space="0" w:color="auto"/>
        <w:right w:val="none" w:sz="0" w:space="0" w:color="auto"/>
      </w:divBdr>
    </w:div>
    <w:div w:id="1805737554">
      <w:bodyDiv w:val="1"/>
      <w:marLeft w:val="0"/>
      <w:marRight w:val="0"/>
      <w:marTop w:val="0"/>
      <w:marBottom w:val="0"/>
      <w:divBdr>
        <w:top w:val="none" w:sz="0" w:space="0" w:color="auto"/>
        <w:left w:val="none" w:sz="0" w:space="0" w:color="auto"/>
        <w:bottom w:val="none" w:sz="0" w:space="0" w:color="auto"/>
        <w:right w:val="none" w:sz="0" w:space="0" w:color="auto"/>
      </w:divBdr>
    </w:div>
    <w:div w:id="1805847825">
      <w:bodyDiv w:val="1"/>
      <w:marLeft w:val="0"/>
      <w:marRight w:val="0"/>
      <w:marTop w:val="0"/>
      <w:marBottom w:val="0"/>
      <w:divBdr>
        <w:top w:val="none" w:sz="0" w:space="0" w:color="auto"/>
        <w:left w:val="none" w:sz="0" w:space="0" w:color="auto"/>
        <w:bottom w:val="none" w:sz="0" w:space="0" w:color="auto"/>
        <w:right w:val="none" w:sz="0" w:space="0" w:color="auto"/>
      </w:divBdr>
    </w:div>
    <w:div w:id="1805851618">
      <w:bodyDiv w:val="1"/>
      <w:marLeft w:val="0"/>
      <w:marRight w:val="0"/>
      <w:marTop w:val="0"/>
      <w:marBottom w:val="0"/>
      <w:divBdr>
        <w:top w:val="none" w:sz="0" w:space="0" w:color="auto"/>
        <w:left w:val="none" w:sz="0" w:space="0" w:color="auto"/>
        <w:bottom w:val="none" w:sz="0" w:space="0" w:color="auto"/>
        <w:right w:val="none" w:sz="0" w:space="0" w:color="auto"/>
      </w:divBdr>
    </w:div>
    <w:div w:id="1805997319">
      <w:bodyDiv w:val="1"/>
      <w:marLeft w:val="0"/>
      <w:marRight w:val="0"/>
      <w:marTop w:val="0"/>
      <w:marBottom w:val="0"/>
      <w:divBdr>
        <w:top w:val="none" w:sz="0" w:space="0" w:color="auto"/>
        <w:left w:val="none" w:sz="0" w:space="0" w:color="auto"/>
        <w:bottom w:val="none" w:sz="0" w:space="0" w:color="auto"/>
        <w:right w:val="none" w:sz="0" w:space="0" w:color="auto"/>
      </w:divBdr>
    </w:div>
    <w:div w:id="1806045490">
      <w:bodyDiv w:val="1"/>
      <w:marLeft w:val="0"/>
      <w:marRight w:val="0"/>
      <w:marTop w:val="0"/>
      <w:marBottom w:val="0"/>
      <w:divBdr>
        <w:top w:val="none" w:sz="0" w:space="0" w:color="auto"/>
        <w:left w:val="none" w:sz="0" w:space="0" w:color="auto"/>
        <w:bottom w:val="none" w:sz="0" w:space="0" w:color="auto"/>
        <w:right w:val="none" w:sz="0" w:space="0" w:color="auto"/>
      </w:divBdr>
    </w:div>
    <w:div w:id="1806121233">
      <w:bodyDiv w:val="1"/>
      <w:marLeft w:val="0"/>
      <w:marRight w:val="0"/>
      <w:marTop w:val="0"/>
      <w:marBottom w:val="0"/>
      <w:divBdr>
        <w:top w:val="none" w:sz="0" w:space="0" w:color="auto"/>
        <w:left w:val="none" w:sz="0" w:space="0" w:color="auto"/>
        <w:bottom w:val="none" w:sz="0" w:space="0" w:color="auto"/>
        <w:right w:val="none" w:sz="0" w:space="0" w:color="auto"/>
      </w:divBdr>
    </w:div>
    <w:div w:id="1806195459">
      <w:bodyDiv w:val="1"/>
      <w:marLeft w:val="0"/>
      <w:marRight w:val="0"/>
      <w:marTop w:val="0"/>
      <w:marBottom w:val="0"/>
      <w:divBdr>
        <w:top w:val="none" w:sz="0" w:space="0" w:color="auto"/>
        <w:left w:val="none" w:sz="0" w:space="0" w:color="auto"/>
        <w:bottom w:val="none" w:sz="0" w:space="0" w:color="auto"/>
        <w:right w:val="none" w:sz="0" w:space="0" w:color="auto"/>
      </w:divBdr>
    </w:div>
    <w:div w:id="1806197414">
      <w:bodyDiv w:val="1"/>
      <w:marLeft w:val="0"/>
      <w:marRight w:val="0"/>
      <w:marTop w:val="0"/>
      <w:marBottom w:val="0"/>
      <w:divBdr>
        <w:top w:val="none" w:sz="0" w:space="0" w:color="auto"/>
        <w:left w:val="none" w:sz="0" w:space="0" w:color="auto"/>
        <w:bottom w:val="none" w:sz="0" w:space="0" w:color="auto"/>
        <w:right w:val="none" w:sz="0" w:space="0" w:color="auto"/>
      </w:divBdr>
    </w:div>
    <w:div w:id="1806199320">
      <w:bodyDiv w:val="1"/>
      <w:marLeft w:val="0"/>
      <w:marRight w:val="0"/>
      <w:marTop w:val="0"/>
      <w:marBottom w:val="0"/>
      <w:divBdr>
        <w:top w:val="none" w:sz="0" w:space="0" w:color="auto"/>
        <w:left w:val="none" w:sz="0" w:space="0" w:color="auto"/>
        <w:bottom w:val="none" w:sz="0" w:space="0" w:color="auto"/>
        <w:right w:val="none" w:sz="0" w:space="0" w:color="auto"/>
      </w:divBdr>
    </w:div>
    <w:div w:id="1806240920">
      <w:bodyDiv w:val="1"/>
      <w:marLeft w:val="0"/>
      <w:marRight w:val="0"/>
      <w:marTop w:val="0"/>
      <w:marBottom w:val="0"/>
      <w:divBdr>
        <w:top w:val="none" w:sz="0" w:space="0" w:color="auto"/>
        <w:left w:val="none" w:sz="0" w:space="0" w:color="auto"/>
        <w:bottom w:val="none" w:sz="0" w:space="0" w:color="auto"/>
        <w:right w:val="none" w:sz="0" w:space="0" w:color="auto"/>
      </w:divBdr>
    </w:div>
    <w:div w:id="1806391586">
      <w:bodyDiv w:val="1"/>
      <w:marLeft w:val="0"/>
      <w:marRight w:val="0"/>
      <w:marTop w:val="0"/>
      <w:marBottom w:val="0"/>
      <w:divBdr>
        <w:top w:val="none" w:sz="0" w:space="0" w:color="auto"/>
        <w:left w:val="none" w:sz="0" w:space="0" w:color="auto"/>
        <w:bottom w:val="none" w:sz="0" w:space="0" w:color="auto"/>
        <w:right w:val="none" w:sz="0" w:space="0" w:color="auto"/>
      </w:divBdr>
    </w:div>
    <w:div w:id="1806435712">
      <w:bodyDiv w:val="1"/>
      <w:marLeft w:val="0"/>
      <w:marRight w:val="0"/>
      <w:marTop w:val="0"/>
      <w:marBottom w:val="0"/>
      <w:divBdr>
        <w:top w:val="none" w:sz="0" w:space="0" w:color="auto"/>
        <w:left w:val="none" w:sz="0" w:space="0" w:color="auto"/>
        <w:bottom w:val="none" w:sz="0" w:space="0" w:color="auto"/>
        <w:right w:val="none" w:sz="0" w:space="0" w:color="auto"/>
      </w:divBdr>
    </w:div>
    <w:div w:id="1806501915">
      <w:bodyDiv w:val="1"/>
      <w:marLeft w:val="0"/>
      <w:marRight w:val="0"/>
      <w:marTop w:val="0"/>
      <w:marBottom w:val="0"/>
      <w:divBdr>
        <w:top w:val="none" w:sz="0" w:space="0" w:color="auto"/>
        <w:left w:val="none" w:sz="0" w:space="0" w:color="auto"/>
        <w:bottom w:val="none" w:sz="0" w:space="0" w:color="auto"/>
        <w:right w:val="none" w:sz="0" w:space="0" w:color="auto"/>
      </w:divBdr>
    </w:div>
    <w:div w:id="1806510887">
      <w:bodyDiv w:val="1"/>
      <w:marLeft w:val="0"/>
      <w:marRight w:val="0"/>
      <w:marTop w:val="0"/>
      <w:marBottom w:val="0"/>
      <w:divBdr>
        <w:top w:val="none" w:sz="0" w:space="0" w:color="auto"/>
        <w:left w:val="none" w:sz="0" w:space="0" w:color="auto"/>
        <w:bottom w:val="none" w:sz="0" w:space="0" w:color="auto"/>
        <w:right w:val="none" w:sz="0" w:space="0" w:color="auto"/>
      </w:divBdr>
    </w:div>
    <w:div w:id="1806511260">
      <w:bodyDiv w:val="1"/>
      <w:marLeft w:val="0"/>
      <w:marRight w:val="0"/>
      <w:marTop w:val="0"/>
      <w:marBottom w:val="0"/>
      <w:divBdr>
        <w:top w:val="none" w:sz="0" w:space="0" w:color="auto"/>
        <w:left w:val="none" w:sz="0" w:space="0" w:color="auto"/>
        <w:bottom w:val="none" w:sz="0" w:space="0" w:color="auto"/>
        <w:right w:val="none" w:sz="0" w:space="0" w:color="auto"/>
      </w:divBdr>
    </w:div>
    <w:div w:id="1806780091">
      <w:bodyDiv w:val="1"/>
      <w:marLeft w:val="0"/>
      <w:marRight w:val="0"/>
      <w:marTop w:val="0"/>
      <w:marBottom w:val="0"/>
      <w:divBdr>
        <w:top w:val="none" w:sz="0" w:space="0" w:color="auto"/>
        <w:left w:val="none" w:sz="0" w:space="0" w:color="auto"/>
        <w:bottom w:val="none" w:sz="0" w:space="0" w:color="auto"/>
        <w:right w:val="none" w:sz="0" w:space="0" w:color="auto"/>
      </w:divBdr>
    </w:div>
    <w:div w:id="1806894837">
      <w:bodyDiv w:val="1"/>
      <w:marLeft w:val="0"/>
      <w:marRight w:val="0"/>
      <w:marTop w:val="0"/>
      <w:marBottom w:val="0"/>
      <w:divBdr>
        <w:top w:val="none" w:sz="0" w:space="0" w:color="auto"/>
        <w:left w:val="none" w:sz="0" w:space="0" w:color="auto"/>
        <w:bottom w:val="none" w:sz="0" w:space="0" w:color="auto"/>
        <w:right w:val="none" w:sz="0" w:space="0" w:color="auto"/>
      </w:divBdr>
    </w:div>
    <w:div w:id="1806895518">
      <w:bodyDiv w:val="1"/>
      <w:marLeft w:val="0"/>
      <w:marRight w:val="0"/>
      <w:marTop w:val="0"/>
      <w:marBottom w:val="0"/>
      <w:divBdr>
        <w:top w:val="none" w:sz="0" w:space="0" w:color="auto"/>
        <w:left w:val="none" w:sz="0" w:space="0" w:color="auto"/>
        <w:bottom w:val="none" w:sz="0" w:space="0" w:color="auto"/>
        <w:right w:val="none" w:sz="0" w:space="0" w:color="auto"/>
      </w:divBdr>
    </w:div>
    <w:div w:id="1806925708">
      <w:bodyDiv w:val="1"/>
      <w:marLeft w:val="0"/>
      <w:marRight w:val="0"/>
      <w:marTop w:val="0"/>
      <w:marBottom w:val="0"/>
      <w:divBdr>
        <w:top w:val="none" w:sz="0" w:space="0" w:color="auto"/>
        <w:left w:val="none" w:sz="0" w:space="0" w:color="auto"/>
        <w:bottom w:val="none" w:sz="0" w:space="0" w:color="auto"/>
        <w:right w:val="none" w:sz="0" w:space="0" w:color="auto"/>
      </w:divBdr>
    </w:div>
    <w:div w:id="1807116764">
      <w:bodyDiv w:val="1"/>
      <w:marLeft w:val="0"/>
      <w:marRight w:val="0"/>
      <w:marTop w:val="0"/>
      <w:marBottom w:val="0"/>
      <w:divBdr>
        <w:top w:val="none" w:sz="0" w:space="0" w:color="auto"/>
        <w:left w:val="none" w:sz="0" w:space="0" w:color="auto"/>
        <w:bottom w:val="none" w:sz="0" w:space="0" w:color="auto"/>
        <w:right w:val="none" w:sz="0" w:space="0" w:color="auto"/>
      </w:divBdr>
    </w:div>
    <w:div w:id="1807119261">
      <w:bodyDiv w:val="1"/>
      <w:marLeft w:val="0"/>
      <w:marRight w:val="0"/>
      <w:marTop w:val="0"/>
      <w:marBottom w:val="0"/>
      <w:divBdr>
        <w:top w:val="none" w:sz="0" w:space="0" w:color="auto"/>
        <w:left w:val="none" w:sz="0" w:space="0" w:color="auto"/>
        <w:bottom w:val="none" w:sz="0" w:space="0" w:color="auto"/>
        <w:right w:val="none" w:sz="0" w:space="0" w:color="auto"/>
      </w:divBdr>
    </w:div>
    <w:div w:id="1807158758">
      <w:bodyDiv w:val="1"/>
      <w:marLeft w:val="0"/>
      <w:marRight w:val="0"/>
      <w:marTop w:val="0"/>
      <w:marBottom w:val="0"/>
      <w:divBdr>
        <w:top w:val="none" w:sz="0" w:space="0" w:color="auto"/>
        <w:left w:val="none" w:sz="0" w:space="0" w:color="auto"/>
        <w:bottom w:val="none" w:sz="0" w:space="0" w:color="auto"/>
        <w:right w:val="none" w:sz="0" w:space="0" w:color="auto"/>
      </w:divBdr>
    </w:div>
    <w:div w:id="1807165860">
      <w:bodyDiv w:val="1"/>
      <w:marLeft w:val="0"/>
      <w:marRight w:val="0"/>
      <w:marTop w:val="0"/>
      <w:marBottom w:val="0"/>
      <w:divBdr>
        <w:top w:val="none" w:sz="0" w:space="0" w:color="auto"/>
        <w:left w:val="none" w:sz="0" w:space="0" w:color="auto"/>
        <w:bottom w:val="none" w:sz="0" w:space="0" w:color="auto"/>
        <w:right w:val="none" w:sz="0" w:space="0" w:color="auto"/>
      </w:divBdr>
    </w:div>
    <w:div w:id="1807232538">
      <w:bodyDiv w:val="1"/>
      <w:marLeft w:val="0"/>
      <w:marRight w:val="0"/>
      <w:marTop w:val="0"/>
      <w:marBottom w:val="0"/>
      <w:divBdr>
        <w:top w:val="none" w:sz="0" w:space="0" w:color="auto"/>
        <w:left w:val="none" w:sz="0" w:space="0" w:color="auto"/>
        <w:bottom w:val="none" w:sz="0" w:space="0" w:color="auto"/>
        <w:right w:val="none" w:sz="0" w:space="0" w:color="auto"/>
      </w:divBdr>
    </w:div>
    <w:div w:id="1807429515">
      <w:bodyDiv w:val="1"/>
      <w:marLeft w:val="0"/>
      <w:marRight w:val="0"/>
      <w:marTop w:val="0"/>
      <w:marBottom w:val="0"/>
      <w:divBdr>
        <w:top w:val="none" w:sz="0" w:space="0" w:color="auto"/>
        <w:left w:val="none" w:sz="0" w:space="0" w:color="auto"/>
        <w:bottom w:val="none" w:sz="0" w:space="0" w:color="auto"/>
        <w:right w:val="none" w:sz="0" w:space="0" w:color="auto"/>
      </w:divBdr>
    </w:div>
    <w:div w:id="1807430762">
      <w:bodyDiv w:val="1"/>
      <w:marLeft w:val="0"/>
      <w:marRight w:val="0"/>
      <w:marTop w:val="0"/>
      <w:marBottom w:val="0"/>
      <w:divBdr>
        <w:top w:val="none" w:sz="0" w:space="0" w:color="auto"/>
        <w:left w:val="none" w:sz="0" w:space="0" w:color="auto"/>
        <w:bottom w:val="none" w:sz="0" w:space="0" w:color="auto"/>
        <w:right w:val="none" w:sz="0" w:space="0" w:color="auto"/>
      </w:divBdr>
    </w:div>
    <w:div w:id="1807508479">
      <w:bodyDiv w:val="1"/>
      <w:marLeft w:val="0"/>
      <w:marRight w:val="0"/>
      <w:marTop w:val="0"/>
      <w:marBottom w:val="0"/>
      <w:divBdr>
        <w:top w:val="none" w:sz="0" w:space="0" w:color="auto"/>
        <w:left w:val="none" w:sz="0" w:space="0" w:color="auto"/>
        <w:bottom w:val="none" w:sz="0" w:space="0" w:color="auto"/>
        <w:right w:val="none" w:sz="0" w:space="0" w:color="auto"/>
      </w:divBdr>
    </w:div>
    <w:div w:id="1807579208">
      <w:bodyDiv w:val="1"/>
      <w:marLeft w:val="0"/>
      <w:marRight w:val="0"/>
      <w:marTop w:val="0"/>
      <w:marBottom w:val="0"/>
      <w:divBdr>
        <w:top w:val="none" w:sz="0" w:space="0" w:color="auto"/>
        <w:left w:val="none" w:sz="0" w:space="0" w:color="auto"/>
        <w:bottom w:val="none" w:sz="0" w:space="0" w:color="auto"/>
        <w:right w:val="none" w:sz="0" w:space="0" w:color="auto"/>
      </w:divBdr>
    </w:div>
    <w:div w:id="1807620017">
      <w:bodyDiv w:val="1"/>
      <w:marLeft w:val="0"/>
      <w:marRight w:val="0"/>
      <w:marTop w:val="0"/>
      <w:marBottom w:val="0"/>
      <w:divBdr>
        <w:top w:val="none" w:sz="0" w:space="0" w:color="auto"/>
        <w:left w:val="none" w:sz="0" w:space="0" w:color="auto"/>
        <w:bottom w:val="none" w:sz="0" w:space="0" w:color="auto"/>
        <w:right w:val="none" w:sz="0" w:space="0" w:color="auto"/>
      </w:divBdr>
    </w:div>
    <w:div w:id="1807621352">
      <w:bodyDiv w:val="1"/>
      <w:marLeft w:val="0"/>
      <w:marRight w:val="0"/>
      <w:marTop w:val="0"/>
      <w:marBottom w:val="0"/>
      <w:divBdr>
        <w:top w:val="none" w:sz="0" w:space="0" w:color="auto"/>
        <w:left w:val="none" w:sz="0" w:space="0" w:color="auto"/>
        <w:bottom w:val="none" w:sz="0" w:space="0" w:color="auto"/>
        <w:right w:val="none" w:sz="0" w:space="0" w:color="auto"/>
      </w:divBdr>
    </w:div>
    <w:div w:id="1807621821">
      <w:bodyDiv w:val="1"/>
      <w:marLeft w:val="0"/>
      <w:marRight w:val="0"/>
      <w:marTop w:val="0"/>
      <w:marBottom w:val="0"/>
      <w:divBdr>
        <w:top w:val="none" w:sz="0" w:space="0" w:color="auto"/>
        <w:left w:val="none" w:sz="0" w:space="0" w:color="auto"/>
        <w:bottom w:val="none" w:sz="0" w:space="0" w:color="auto"/>
        <w:right w:val="none" w:sz="0" w:space="0" w:color="auto"/>
      </w:divBdr>
    </w:div>
    <w:div w:id="1807626089">
      <w:bodyDiv w:val="1"/>
      <w:marLeft w:val="0"/>
      <w:marRight w:val="0"/>
      <w:marTop w:val="0"/>
      <w:marBottom w:val="0"/>
      <w:divBdr>
        <w:top w:val="none" w:sz="0" w:space="0" w:color="auto"/>
        <w:left w:val="none" w:sz="0" w:space="0" w:color="auto"/>
        <w:bottom w:val="none" w:sz="0" w:space="0" w:color="auto"/>
        <w:right w:val="none" w:sz="0" w:space="0" w:color="auto"/>
      </w:divBdr>
    </w:div>
    <w:div w:id="1807628210">
      <w:bodyDiv w:val="1"/>
      <w:marLeft w:val="0"/>
      <w:marRight w:val="0"/>
      <w:marTop w:val="0"/>
      <w:marBottom w:val="0"/>
      <w:divBdr>
        <w:top w:val="none" w:sz="0" w:space="0" w:color="auto"/>
        <w:left w:val="none" w:sz="0" w:space="0" w:color="auto"/>
        <w:bottom w:val="none" w:sz="0" w:space="0" w:color="auto"/>
        <w:right w:val="none" w:sz="0" w:space="0" w:color="auto"/>
      </w:divBdr>
    </w:div>
    <w:div w:id="1807701120">
      <w:bodyDiv w:val="1"/>
      <w:marLeft w:val="0"/>
      <w:marRight w:val="0"/>
      <w:marTop w:val="0"/>
      <w:marBottom w:val="0"/>
      <w:divBdr>
        <w:top w:val="none" w:sz="0" w:space="0" w:color="auto"/>
        <w:left w:val="none" w:sz="0" w:space="0" w:color="auto"/>
        <w:bottom w:val="none" w:sz="0" w:space="0" w:color="auto"/>
        <w:right w:val="none" w:sz="0" w:space="0" w:color="auto"/>
      </w:divBdr>
    </w:div>
    <w:div w:id="1807812419">
      <w:bodyDiv w:val="1"/>
      <w:marLeft w:val="0"/>
      <w:marRight w:val="0"/>
      <w:marTop w:val="0"/>
      <w:marBottom w:val="0"/>
      <w:divBdr>
        <w:top w:val="none" w:sz="0" w:space="0" w:color="auto"/>
        <w:left w:val="none" w:sz="0" w:space="0" w:color="auto"/>
        <w:bottom w:val="none" w:sz="0" w:space="0" w:color="auto"/>
        <w:right w:val="none" w:sz="0" w:space="0" w:color="auto"/>
      </w:divBdr>
    </w:div>
    <w:div w:id="1807821951">
      <w:bodyDiv w:val="1"/>
      <w:marLeft w:val="0"/>
      <w:marRight w:val="0"/>
      <w:marTop w:val="0"/>
      <w:marBottom w:val="0"/>
      <w:divBdr>
        <w:top w:val="none" w:sz="0" w:space="0" w:color="auto"/>
        <w:left w:val="none" w:sz="0" w:space="0" w:color="auto"/>
        <w:bottom w:val="none" w:sz="0" w:space="0" w:color="auto"/>
        <w:right w:val="none" w:sz="0" w:space="0" w:color="auto"/>
      </w:divBdr>
    </w:div>
    <w:div w:id="1807967657">
      <w:bodyDiv w:val="1"/>
      <w:marLeft w:val="0"/>
      <w:marRight w:val="0"/>
      <w:marTop w:val="0"/>
      <w:marBottom w:val="0"/>
      <w:divBdr>
        <w:top w:val="none" w:sz="0" w:space="0" w:color="auto"/>
        <w:left w:val="none" w:sz="0" w:space="0" w:color="auto"/>
        <w:bottom w:val="none" w:sz="0" w:space="0" w:color="auto"/>
        <w:right w:val="none" w:sz="0" w:space="0" w:color="auto"/>
      </w:divBdr>
    </w:div>
    <w:div w:id="1807971703">
      <w:bodyDiv w:val="1"/>
      <w:marLeft w:val="0"/>
      <w:marRight w:val="0"/>
      <w:marTop w:val="0"/>
      <w:marBottom w:val="0"/>
      <w:divBdr>
        <w:top w:val="none" w:sz="0" w:space="0" w:color="auto"/>
        <w:left w:val="none" w:sz="0" w:space="0" w:color="auto"/>
        <w:bottom w:val="none" w:sz="0" w:space="0" w:color="auto"/>
        <w:right w:val="none" w:sz="0" w:space="0" w:color="auto"/>
      </w:divBdr>
    </w:div>
    <w:div w:id="1808158499">
      <w:bodyDiv w:val="1"/>
      <w:marLeft w:val="0"/>
      <w:marRight w:val="0"/>
      <w:marTop w:val="0"/>
      <w:marBottom w:val="0"/>
      <w:divBdr>
        <w:top w:val="none" w:sz="0" w:space="0" w:color="auto"/>
        <w:left w:val="none" w:sz="0" w:space="0" w:color="auto"/>
        <w:bottom w:val="none" w:sz="0" w:space="0" w:color="auto"/>
        <w:right w:val="none" w:sz="0" w:space="0" w:color="auto"/>
      </w:divBdr>
    </w:div>
    <w:div w:id="1808162865">
      <w:bodyDiv w:val="1"/>
      <w:marLeft w:val="0"/>
      <w:marRight w:val="0"/>
      <w:marTop w:val="0"/>
      <w:marBottom w:val="0"/>
      <w:divBdr>
        <w:top w:val="none" w:sz="0" w:space="0" w:color="auto"/>
        <w:left w:val="none" w:sz="0" w:space="0" w:color="auto"/>
        <w:bottom w:val="none" w:sz="0" w:space="0" w:color="auto"/>
        <w:right w:val="none" w:sz="0" w:space="0" w:color="auto"/>
      </w:divBdr>
    </w:div>
    <w:div w:id="1808279826">
      <w:bodyDiv w:val="1"/>
      <w:marLeft w:val="0"/>
      <w:marRight w:val="0"/>
      <w:marTop w:val="0"/>
      <w:marBottom w:val="0"/>
      <w:divBdr>
        <w:top w:val="none" w:sz="0" w:space="0" w:color="auto"/>
        <w:left w:val="none" w:sz="0" w:space="0" w:color="auto"/>
        <w:bottom w:val="none" w:sz="0" w:space="0" w:color="auto"/>
        <w:right w:val="none" w:sz="0" w:space="0" w:color="auto"/>
      </w:divBdr>
    </w:div>
    <w:div w:id="1808351188">
      <w:bodyDiv w:val="1"/>
      <w:marLeft w:val="0"/>
      <w:marRight w:val="0"/>
      <w:marTop w:val="0"/>
      <w:marBottom w:val="0"/>
      <w:divBdr>
        <w:top w:val="none" w:sz="0" w:space="0" w:color="auto"/>
        <w:left w:val="none" w:sz="0" w:space="0" w:color="auto"/>
        <w:bottom w:val="none" w:sz="0" w:space="0" w:color="auto"/>
        <w:right w:val="none" w:sz="0" w:space="0" w:color="auto"/>
      </w:divBdr>
    </w:div>
    <w:div w:id="1808357009">
      <w:bodyDiv w:val="1"/>
      <w:marLeft w:val="0"/>
      <w:marRight w:val="0"/>
      <w:marTop w:val="0"/>
      <w:marBottom w:val="0"/>
      <w:divBdr>
        <w:top w:val="none" w:sz="0" w:space="0" w:color="auto"/>
        <w:left w:val="none" w:sz="0" w:space="0" w:color="auto"/>
        <w:bottom w:val="none" w:sz="0" w:space="0" w:color="auto"/>
        <w:right w:val="none" w:sz="0" w:space="0" w:color="auto"/>
      </w:divBdr>
    </w:div>
    <w:div w:id="1808425871">
      <w:bodyDiv w:val="1"/>
      <w:marLeft w:val="0"/>
      <w:marRight w:val="0"/>
      <w:marTop w:val="0"/>
      <w:marBottom w:val="0"/>
      <w:divBdr>
        <w:top w:val="none" w:sz="0" w:space="0" w:color="auto"/>
        <w:left w:val="none" w:sz="0" w:space="0" w:color="auto"/>
        <w:bottom w:val="none" w:sz="0" w:space="0" w:color="auto"/>
        <w:right w:val="none" w:sz="0" w:space="0" w:color="auto"/>
      </w:divBdr>
    </w:div>
    <w:div w:id="1808432288">
      <w:bodyDiv w:val="1"/>
      <w:marLeft w:val="0"/>
      <w:marRight w:val="0"/>
      <w:marTop w:val="0"/>
      <w:marBottom w:val="0"/>
      <w:divBdr>
        <w:top w:val="none" w:sz="0" w:space="0" w:color="auto"/>
        <w:left w:val="none" w:sz="0" w:space="0" w:color="auto"/>
        <w:bottom w:val="none" w:sz="0" w:space="0" w:color="auto"/>
        <w:right w:val="none" w:sz="0" w:space="0" w:color="auto"/>
      </w:divBdr>
    </w:div>
    <w:div w:id="1808468625">
      <w:bodyDiv w:val="1"/>
      <w:marLeft w:val="0"/>
      <w:marRight w:val="0"/>
      <w:marTop w:val="0"/>
      <w:marBottom w:val="0"/>
      <w:divBdr>
        <w:top w:val="none" w:sz="0" w:space="0" w:color="auto"/>
        <w:left w:val="none" w:sz="0" w:space="0" w:color="auto"/>
        <w:bottom w:val="none" w:sz="0" w:space="0" w:color="auto"/>
        <w:right w:val="none" w:sz="0" w:space="0" w:color="auto"/>
      </w:divBdr>
    </w:div>
    <w:div w:id="1808471976">
      <w:bodyDiv w:val="1"/>
      <w:marLeft w:val="0"/>
      <w:marRight w:val="0"/>
      <w:marTop w:val="0"/>
      <w:marBottom w:val="0"/>
      <w:divBdr>
        <w:top w:val="none" w:sz="0" w:space="0" w:color="auto"/>
        <w:left w:val="none" w:sz="0" w:space="0" w:color="auto"/>
        <w:bottom w:val="none" w:sz="0" w:space="0" w:color="auto"/>
        <w:right w:val="none" w:sz="0" w:space="0" w:color="auto"/>
      </w:divBdr>
    </w:div>
    <w:div w:id="1808477062">
      <w:bodyDiv w:val="1"/>
      <w:marLeft w:val="0"/>
      <w:marRight w:val="0"/>
      <w:marTop w:val="0"/>
      <w:marBottom w:val="0"/>
      <w:divBdr>
        <w:top w:val="none" w:sz="0" w:space="0" w:color="auto"/>
        <w:left w:val="none" w:sz="0" w:space="0" w:color="auto"/>
        <w:bottom w:val="none" w:sz="0" w:space="0" w:color="auto"/>
        <w:right w:val="none" w:sz="0" w:space="0" w:color="auto"/>
      </w:divBdr>
    </w:div>
    <w:div w:id="1808544180">
      <w:bodyDiv w:val="1"/>
      <w:marLeft w:val="0"/>
      <w:marRight w:val="0"/>
      <w:marTop w:val="0"/>
      <w:marBottom w:val="0"/>
      <w:divBdr>
        <w:top w:val="none" w:sz="0" w:space="0" w:color="auto"/>
        <w:left w:val="none" w:sz="0" w:space="0" w:color="auto"/>
        <w:bottom w:val="none" w:sz="0" w:space="0" w:color="auto"/>
        <w:right w:val="none" w:sz="0" w:space="0" w:color="auto"/>
      </w:divBdr>
    </w:div>
    <w:div w:id="1808549260">
      <w:bodyDiv w:val="1"/>
      <w:marLeft w:val="0"/>
      <w:marRight w:val="0"/>
      <w:marTop w:val="0"/>
      <w:marBottom w:val="0"/>
      <w:divBdr>
        <w:top w:val="none" w:sz="0" w:space="0" w:color="auto"/>
        <w:left w:val="none" w:sz="0" w:space="0" w:color="auto"/>
        <w:bottom w:val="none" w:sz="0" w:space="0" w:color="auto"/>
        <w:right w:val="none" w:sz="0" w:space="0" w:color="auto"/>
      </w:divBdr>
    </w:div>
    <w:div w:id="1808550380">
      <w:bodyDiv w:val="1"/>
      <w:marLeft w:val="0"/>
      <w:marRight w:val="0"/>
      <w:marTop w:val="0"/>
      <w:marBottom w:val="0"/>
      <w:divBdr>
        <w:top w:val="none" w:sz="0" w:space="0" w:color="auto"/>
        <w:left w:val="none" w:sz="0" w:space="0" w:color="auto"/>
        <w:bottom w:val="none" w:sz="0" w:space="0" w:color="auto"/>
        <w:right w:val="none" w:sz="0" w:space="0" w:color="auto"/>
      </w:divBdr>
    </w:div>
    <w:div w:id="1808664525">
      <w:bodyDiv w:val="1"/>
      <w:marLeft w:val="0"/>
      <w:marRight w:val="0"/>
      <w:marTop w:val="0"/>
      <w:marBottom w:val="0"/>
      <w:divBdr>
        <w:top w:val="none" w:sz="0" w:space="0" w:color="auto"/>
        <w:left w:val="none" w:sz="0" w:space="0" w:color="auto"/>
        <w:bottom w:val="none" w:sz="0" w:space="0" w:color="auto"/>
        <w:right w:val="none" w:sz="0" w:space="0" w:color="auto"/>
      </w:divBdr>
    </w:div>
    <w:div w:id="1808740092">
      <w:bodyDiv w:val="1"/>
      <w:marLeft w:val="0"/>
      <w:marRight w:val="0"/>
      <w:marTop w:val="0"/>
      <w:marBottom w:val="0"/>
      <w:divBdr>
        <w:top w:val="none" w:sz="0" w:space="0" w:color="auto"/>
        <w:left w:val="none" w:sz="0" w:space="0" w:color="auto"/>
        <w:bottom w:val="none" w:sz="0" w:space="0" w:color="auto"/>
        <w:right w:val="none" w:sz="0" w:space="0" w:color="auto"/>
      </w:divBdr>
    </w:div>
    <w:div w:id="1809087561">
      <w:bodyDiv w:val="1"/>
      <w:marLeft w:val="0"/>
      <w:marRight w:val="0"/>
      <w:marTop w:val="0"/>
      <w:marBottom w:val="0"/>
      <w:divBdr>
        <w:top w:val="none" w:sz="0" w:space="0" w:color="auto"/>
        <w:left w:val="none" w:sz="0" w:space="0" w:color="auto"/>
        <w:bottom w:val="none" w:sz="0" w:space="0" w:color="auto"/>
        <w:right w:val="none" w:sz="0" w:space="0" w:color="auto"/>
      </w:divBdr>
    </w:div>
    <w:div w:id="1809132541">
      <w:bodyDiv w:val="1"/>
      <w:marLeft w:val="0"/>
      <w:marRight w:val="0"/>
      <w:marTop w:val="0"/>
      <w:marBottom w:val="0"/>
      <w:divBdr>
        <w:top w:val="none" w:sz="0" w:space="0" w:color="auto"/>
        <w:left w:val="none" w:sz="0" w:space="0" w:color="auto"/>
        <w:bottom w:val="none" w:sz="0" w:space="0" w:color="auto"/>
        <w:right w:val="none" w:sz="0" w:space="0" w:color="auto"/>
      </w:divBdr>
    </w:div>
    <w:div w:id="1809275232">
      <w:bodyDiv w:val="1"/>
      <w:marLeft w:val="0"/>
      <w:marRight w:val="0"/>
      <w:marTop w:val="0"/>
      <w:marBottom w:val="0"/>
      <w:divBdr>
        <w:top w:val="none" w:sz="0" w:space="0" w:color="auto"/>
        <w:left w:val="none" w:sz="0" w:space="0" w:color="auto"/>
        <w:bottom w:val="none" w:sz="0" w:space="0" w:color="auto"/>
        <w:right w:val="none" w:sz="0" w:space="0" w:color="auto"/>
      </w:divBdr>
    </w:div>
    <w:div w:id="1809396875">
      <w:bodyDiv w:val="1"/>
      <w:marLeft w:val="0"/>
      <w:marRight w:val="0"/>
      <w:marTop w:val="0"/>
      <w:marBottom w:val="0"/>
      <w:divBdr>
        <w:top w:val="none" w:sz="0" w:space="0" w:color="auto"/>
        <w:left w:val="none" w:sz="0" w:space="0" w:color="auto"/>
        <w:bottom w:val="none" w:sz="0" w:space="0" w:color="auto"/>
        <w:right w:val="none" w:sz="0" w:space="0" w:color="auto"/>
      </w:divBdr>
    </w:div>
    <w:div w:id="1809401041">
      <w:bodyDiv w:val="1"/>
      <w:marLeft w:val="0"/>
      <w:marRight w:val="0"/>
      <w:marTop w:val="0"/>
      <w:marBottom w:val="0"/>
      <w:divBdr>
        <w:top w:val="none" w:sz="0" w:space="0" w:color="auto"/>
        <w:left w:val="none" w:sz="0" w:space="0" w:color="auto"/>
        <w:bottom w:val="none" w:sz="0" w:space="0" w:color="auto"/>
        <w:right w:val="none" w:sz="0" w:space="0" w:color="auto"/>
      </w:divBdr>
    </w:div>
    <w:div w:id="1810005106">
      <w:bodyDiv w:val="1"/>
      <w:marLeft w:val="0"/>
      <w:marRight w:val="0"/>
      <w:marTop w:val="0"/>
      <w:marBottom w:val="0"/>
      <w:divBdr>
        <w:top w:val="none" w:sz="0" w:space="0" w:color="auto"/>
        <w:left w:val="none" w:sz="0" w:space="0" w:color="auto"/>
        <w:bottom w:val="none" w:sz="0" w:space="0" w:color="auto"/>
        <w:right w:val="none" w:sz="0" w:space="0" w:color="auto"/>
      </w:divBdr>
    </w:div>
    <w:div w:id="1810391017">
      <w:bodyDiv w:val="1"/>
      <w:marLeft w:val="0"/>
      <w:marRight w:val="0"/>
      <w:marTop w:val="0"/>
      <w:marBottom w:val="0"/>
      <w:divBdr>
        <w:top w:val="none" w:sz="0" w:space="0" w:color="auto"/>
        <w:left w:val="none" w:sz="0" w:space="0" w:color="auto"/>
        <w:bottom w:val="none" w:sz="0" w:space="0" w:color="auto"/>
        <w:right w:val="none" w:sz="0" w:space="0" w:color="auto"/>
      </w:divBdr>
    </w:div>
    <w:div w:id="1810512965">
      <w:bodyDiv w:val="1"/>
      <w:marLeft w:val="0"/>
      <w:marRight w:val="0"/>
      <w:marTop w:val="0"/>
      <w:marBottom w:val="0"/>
      <w:divBdr>
        <w:top w:val="none" w:sz="0" w:space="0" w:color="auto"/>
        <w:left w:val="none" w:sz="0" w:space="0" w:color="auto"/>
        <w:bottom w:val="none" w:sz="0" w:space="0" w:color="auto"/>
        <w:right w:val="none" w:sz="0" w:space="0" w:color="auto"/>
      </w:divBdr>
    </w:div>
    <w:div w:id="1810584117">
      <w:bodyDiv w:val="1"/>
      <w:marLeft w:val="0"/>
      <w:marRight w:val="0"/>
      <w:marTop w:val="0"/>
      <w:marBottom w:val="0"/>
      <w:divBdr>
        <w:top w:val="none" w:sz="0" w:space="0" w:color="auto"/>
        <w:left w:val="none" w:sz="0" w:space="0" w:color="auto"/>
        <w:bottom w:val="none" w:sz="0" w:space="0" w:color="auto"/>
        <w:right w:val="none" w:sz="0" w:space="0" w:color="auto"/>
      </w:divBdr>
    </w:div>
    <w:div w:id="1810633708">
      <w:bodyDiv w:val="1"/>
      <w:marLeft w:val="0"/>
      <w:marRight w:val="0"/>
      <w:marTop w:val="0"/>
      <w:marBottom w:val="0"/>
      <w:divBdr>
        <w:top w:val="none" w:sz="0" w:space="0" w:color="auto"/>
        <w:left w:val="none" w:sz="0" w:space="0" w:color="auto"/>
        <w:bottom w:val="none" w:sz="0" w:space="0" w:color="auto"/>
        <w:right w:val="none" w:sz="0" w:space="0" w:color="auto"/>
      </w:divBdr>
    </w:div>
    <w:div w:id="1810702408">
      <w:bodyDiv w:val="1"/>
      <w:marLeft w:val="0"/>
      <w:marRight w:val="0"/>
      <w:marTop w:val="0"/>
      <w:marBottom w:val="0"/>
      <w:divBdr>
        <w:top w:val="none" w:sz="0" w:space="0" w:color="auto"/>
        <w:left w:val="none" w:sz="0" w:space="0" w:color="auto"/>
        <w:bottom w:val="none" w:sz="0" w:space="0" w:color="auto"/>
        <w:right w:val="none" w:sz="0" w:space="0" w:color="auto"/>
      </w:divBdr>
    </w:div>
    <w:div w:id="1810704267">
      <w:bodyDiv w:val="1"/>
      <w:marLeft w:val="0"/>
      <w:marRight w:val="0"/>
      <w:marTop w:val="0"/>
      <w:marBottom w:val="0"/>
      <w:divBdr>
        <w:top w:val="none" w:sz="0" w:space="0" w:color="auto"/>
        <w:left w:val="none" w:sz="0" w:space="0" w:color="auto"/>
        <w:bottom w:val="none" w:sz="0" w:space="0" w:color="auto"/>
        <w:right w:val="none" w:sz="0" w:space="0" w:color="auto"/>
      </w:divBdr>
    </w:div>
    <w:div w:id="1810704882">
      <w:bodyDiv w:val="1"/>
      <w:marLeft w:val="0"/>
      <w:marRight w:val="0"/>
      <w:marTop w:val="0"/>
      <w:marBottom w:val="0"/>
      <w:divBdr>
        <w:top w:val="none" w:sz="0" w:space="0" w:color="auto"/>
        <w:left w:val="none" w:sz="0" w:space="0" w:color="auto"/>
        <w:bottom w:val="none" w:sz="0" w:space="0" w:color="auto"/>
        <w:right w:val="none" w:sz="0" w:space="0" w:color="auto"/>
      </w:divBdr>
    </w:div>
    <w:div w:id="1810779658">
      <w:bodyDiv w:val="1"/>
      <w:marLeft w:val="0"/>
      <w:marRight w:val="0"/>
      <w:marTop w:val="0"/>
      <w:marBottom w:val="0"/>
      <w:divBdr>
        <w:top w:val="none" w:sz="0" w:space="0" w:color="auto"/>
        <w:left w:val="none" w:sz="0" w:space="0" w:color="auto"/>
        <w:bottom w:val="none" w:sz="0" w:space="0" w:color="auto"/>
        <w:right w:val="none" w:sz="0" w:space="0" w:color="auto"/>
      </w:divBdr>
    </w:div>
    <w:div w:id="1810825871">
      <w:bodyDiv w:val="1"/>
      <w:marLeft w:val="0"/>
      <w:marRight w:val="0"/>
      <w:marTop w:val="0"/>
      <w:marBottom w:val="0"/>
      <w:divBdr>
        <w:top w:val="none" w:sz="0" w:space="0" w:color="auto"/>
        <w:left w:val="none" w:sz="0" w:space="0" w:color="auto"/>
        <w:bottom w:val="none" w:sz="0" w:space="0" w:color="auto"/>
        <w:right w:val="none" w:sz="0" w:space="0" w:color="auto"/>
      </w:divBdr>
    </w:div>
    <w:div w:id="1810902408">
      <w:bodyDiv w:val="1"/>
      <w:marLeft w:val="0"/>
      <w:marRight w:val="0"/>
      <w:marTop w:val="0"/>
      <w:marBottom w:val="0"/>
      <w:divBdr>
        <w:top w:val="none" w:sz="0" w:space="0" w:color="auto"/>
        <w:left w:val="none" w:sz="0" w:space="0" w:color="auto"/>
        <w:bottom w:val="none" w:sz="0" w:space="0" w:color="auto"/>
        <w:right w:val="none" w:sz="0" w:space="0" w:color="auto"/>
      </w:divBdr>
    </w:div>
    <w:div w:id="1811314992">
      <w:bodyDiv w:val="1"/>
      <w:marLeft w:val="0"/>
      <w:marRight w:val="0"/>
      <w:marTop w:val="0"/>
      <w:marBottom w:val="0"/>
      <w:divBdr>
        <w:top w:val="none" w:sz="0" w:space="0" w:color="auto"/>
        <w:left w:val="none" w:sz="0" w:space="0" w:color="auto"/>
        <w:bottom w:val="none" w:sz="0" w:space="0" w:color="auto"/>
        <w:right w:val="none" w:sz="0" w:space="0" w:color="auto"/>
      </w:divBdr>
    </w:div>
    <w:div w:id="1811360380">
      <w:bodyDiv w:val="1"/>
      <w:marLeft w:val="0"/>
      <w:marRight w:val="0"/>
      <w:marTop w:val="0"/>
      <w:marBottom w:val="0"/>
      <w:divBdr>
        <w:top w:val="none" w:sz="0" w:space="0" w:color="auto"/>
        <w:left w:val="none" w:sz="0" w:space="0" w:color="auto"/>
        <w:bottom w:val="none" w:sz="0" w:space="0" w:color="auto"/>
        <w:right w:val="none" w:sz="0" w:space="0" w:color="auto"/>
      </w:divBdr>
    </w:div>
    <w:div w:id="1811628138">
      <w:bodyDiv w:val="1"/>
      <w:marLeft w:val="0"/>
      <w:marRight w:val="0"/>
      <w:marTop w:val="0"/>
      <w:marBottom w:val="0"/>
      <w:divBdr>
        <w:top w:val="none" w:sz="0" w:space="0" w:color="auto"/>
        <w:left w:val="none" w:sz="0" w:space="0" w:color="auto"/>
        <w:bottom w:val="none" w:sz="0" w:space="0" w:color="auto"/>
        <w:right w:val="none" w:sz="0" w:space="0" w:color="auto"/>
      </w:divBdr>
    </w:div>
    <w:div w:id="1811751744">
      <w:bodyDiv w:val="1"/>
      <w:marLeft w:val="0"/>
      <w:marRight w:val="0"/>
      <w:marTop w:val="0"/>
      <w:marBottom w:val="0"/>
      <w:divBdr>
        <w:top w:val="none" w:sz="0" w:space="0" w:color="auto"/>
        <w:left w:val="none" w:sz="0" w:space="0" w:color="auto"/>
        <w:bottom w:val="none" w:sz="0" w:space="0" w:color="auto"/>
        <w:right w:val="none" w:sz="0" w:space="0" w:color="auto"/>
      </w:divBdr>
    </w:div>
    <w:div w:id="1811751788">
      <w:bodyDiv w:val="1"/>
      <w:marLeft w:val="0"/>
      <w:marRight w:val="0"/>
      <w:marTop w:val="0"/>
      <w:marBottom w:val="0"/>
      <w:divBdr>
        <w:top w:val="none" w:sz="0" w:space="0" w:color="auto"/>
        <w:left w:val="none" w:sz="0" w:space="0" w:color="auto"/>
        <w:bottom w:val="none" w:sz="0" w:space="0" w:color="auto"/>
        <w:right w:val="none" w:sz="0" w:space="0" w:color="auto"/>
      </w:divBdr>
    </w:div>
    <w:div w:id="1811823988">
      <w:bodyDiv w:val="1"/>
      <w:marLeft w:val="0"/>
      <w:marRight w:val="0"/>
      <w:marTop w:val="0"/>
      <w:marBottom w:val="0"/>
      <w:divBdr>
        <w:top w:val="none" w:sz="0" w:space="0" w:color="auto"/>
        <w:left w:val="none" w:sz="0" w:space="0" w:color="auto"/>
        <w:bottom w:val="none" w:sz="0" w:space="0" w:color="auto"/>
        <w:right w:val="none" w:sz="0" w:space="0" w:color="auto"/>
      </w:divBdr>
    </w:div>
    <w:div w:id="1811899939">
      <w:bodyDiv w:val="1"/>
      <w:marLeft w:val="0"/>
      <w:marRight w:val="0"/>
      <w:marTop w:val="0"/>
      <w:marBottom w:val="0"/>
      <w:divBdr>
        <w:top w:val="none" w:sz="0" w:space="0" w:color="auto"/>
        <w:left w:val="none" w:sz="0" w:space="0" w:color="auto"/>
        <w:bottom w:val="none" w:sz="0" w:space="0" w:color="auto"/>
        <w:right w:val="none" w:sz="0" w:space="0" w:color="auto"/>
      </w:divBdr>
    </w:div>
    <w:div w:id="1811942545">
      <w:bodyDiv w:val="1"/>
      <w:marLeft w:val="0"/>
      <w:marRight w:val="0"/>
      <w:marTop w:val="0"/>
      <w:marBottom w:val="0"/>
      <w:divBdr>
        <w:top w:val="none" w:sz="0" w:space="0" w:color="auto"/>
        <w:left w:val="none" w:sz="0" w:space="0" w:color="auto"/>
        <w:bottom w:val="none" w:sz="0" w:space="0" w:color="auto"/>
        <w:right w:val="none" w:sz="0" w:space="0" w:color="auto"/>
      </w:divBdr>
    </w:div>
    <w:div w:id="1812091131">
      <w:bodyDiv w:val="1"/>
      <w:marLeft w:val="0"/>
      <w:marRight w:val="0"/>
      <w:marTop w:val="0"/>
      <w:marBottom w:val="0"/>
      <w:divBdr>
        <w:top w:val="none" w:sz="0" w:space="0" w:color="auto"/>
        <w:left w:val="none" w:sz="0" w:space="0" w:color="auto"/>
        <w:bottom w:val="none" w:sz="0" w:space="0" w:color="auto"/>
        <w:right w:val="none" w:sz="0" w:space="0" w:color="auto"/>
      </w:divBdr>
    </w:div>
    <w:div w:id="1812168392">
      <w:bodyDiv w:val="1"/>
      <w:marLeft w:val="0"/>
      <w:marRight w:val="0"/>
      <w:marTop w:val="0"/>
      <w:marBottom w:val="0"/>
      <w:divBdr>
        <w:top w:val="none" w:sz="0" w:space="0" w:color="auto"/>
        <w:left w:val="none" w:sz="0" w:space="0" w:color="auto"/>
        <w:bottom w:val="none" w:sz="0" w:space="0" w:color="auto"/>
        <w:right w:val="none" w:sz="0" w:space="0" w:color="auto"/>
      </w:divBdr>
    </w:div>
    <w:div w:id="1812207071">
      <w:bodyDiv w:val="1"/>
      <w:marLeft w:val="0"/>
      <w:marRight w:val="0"/>
      <w:marTop w:val="0"/>
      <w:marBottom w:val="0"/>
      <w:divBdr>
        <w:top w:val="none" w:sz="0" w:space="0" w:color="auto"/>
        <w:left w:val="none" w:sz="0" w:space="0" w:color="auto"/>
        <w:bottom w:val="none" w:sz="0" w:space="0" w:color="auto"/>
        <w:right w:val="none" w:sz="0" w:space="0" w:color="auto"/>
      </w:divBdr>
    </w:div>
    <w:div w:id="1812208560">
      <w:bodyDiv w:val="1"/>
      <w:marLeft w:val="0"/>
      <w:marRight w:val="0"/>
      <w:marTop w:val="0"/>
      <w:marBottom w:val="0"/>
      <w:divBdr>
        <w:top w:val="none" w:sz="0" w:space="0" w:color="auto"/>
        <w:left w:val="none" w:sz="0" w:space="0" w:color="auto"/>
        <w:bottom w:val="none" w:sz="0" w:space="0" w:color="auto"/>
        <w:right w:val="none" w:sz="0" w:space="0" w:color="auto"/>
      </w:divBdr>
    </w:div>
    <w:div w:id="1812210164">
      <w:bodyDiv w:val="1"/>
      <w:marLeft w:val="0"/>
      <w:marRight w:val="0"/>
      <w:marTop w:val="0"/>
      <w:marBottom w:val="0"/>
      <w:divBdr>
        <w:top w:val="none" w:sz="0" w:space="0" w:color="auto"/>
        <w:left w:val="none" w:sz="0" w:space="0" w:color="auto"/>
        <w:bottom w:val="none" w:sz="0" w:space="0" w:color="auto"/>
        <w:right w:val="none" w:sz="0" w:space="0" w:color="auto"/>
      </w:divBdr>
    </w:div>
    <w:div w:id="1812360040">
      <w:bodyDiv w:val="1"/>
      <w:marLeft w:val="0"/>
      <w:marRight w:val="0"/>
      <w:marTop w:val="0"/>
      <w:marBottom w:val="0"/>
      <w:divBdr>
        <w:top w:val="none" w:sz="0" w:space="0" w:color="auto"/>
        <w:left w:val="none" w:sz="0" w:space="0" w:color="auto"/>
        <w:bottom w:val="none" w:sz="0" w:space="0" w:color="auto"/>
        <w:right w:val="none" w:sz="0" w:space="0" w:color="auto"/>
      </w:divBdr>
    </w:div>
    <w:div w:id="1812476414">
      <w:bodyDiv w:val="1"/>
      <w:marLeft w:val="0"/>
      <w:marRight w:val="0"/>
      <w:marTop w:val="0"/>
      <w:marBottom w:val="0"/>
      <w:divBdr>
        <w:top w:val="none" w:sz="0" w:space="0" w:color="auto"/>
        <w:left w:val="none" w:sz="0" w:space="0" w:color="auto"/>
        <w:bottom w:val="none" w:sz="0" w:space="0" w:color="auto"/>
        <w:right w:val="none" w:sz="0" w:space="0" w:color="auto"/>
      </w:divBdr>
    </w:div>
    <w:div w:id="1812481782">
      <w:bodyDiv w:val="1"/>
      <w:marLeft w:val="0"/>
      <w:marRight w:val="0"/>
      <w:marTop w:val="0"/>
      <w:marBottom w:val="0"/>
      <w:divBdr>
        <w:top w:val="none" w:sz="0" w:space="0" w:color="auto"/>
        <w:left w:val="none" w:sz="0" w:space="0" w:color="auto"/>
        <w:bottom w:val="none" w:sz="0" w:space="0" w:color="auto"/>
        <w:right w:val="none" w:sz="0" w:space="0" w:color="auto"/>
      </w:divBdr>
    </w:div>
    <w:div w:id="1812594806">
      <w:bodyDiv w:val="1"/>
      <w:marLeft w:val="0"/>
      <w:marRight w:val="0"/>
      <w:marTop w:val="0"/>
      <w:marBottom w:val="0"/>
      <w:divBdr>
        <w:top w:val="none" w:sz="0" w:space="0" w:color="auto"/>
        <w:left w:val="none" w:sz="0" w:space="0" w:color="auto"/>
        <w:bottom w:val="none" w:sz="0" w:space="0" w:color="auto"/>
        <w:right w:val="none" w:sz="0" w:space="0" w:color="auto"/>
      </w:divBdr>
    </w:div>
    <w:div w:id="1812626763">
      <w:bodyDiv w:val="1"/>
      <w:marLeft w:val="0"/>
      <w:marRight w:val="0"/>
      <w:marTop w:val="0"/>
      <w:marBottom w:val="0"/>
      <w:divBdr>
        <w:top w:val="none" w:sz="0" w:space="0" w:color="auto"/>
        <w:left w:val="none" w:sz="0" w:space="0" w:color="auto"/>
        <w:bottom w:val="none" w:sz="0" w:space="0" w:color="auto"/>
        <w:right w:val="none" w:sz="0" w:space="0" w:color="auto"/>
      </w:divBdr>
    </w:div>
    <w:div w:id="1812751160">
      <w:bodyDiv w:val="1"/>
      <w:marLeft w:val="0"/>
      <w:marRight w:val="0"/>
      <w:marTop w:val="0"/>
      <w:marBottom w:val="0"/>
      <w:divBdr>
        <w:top w:val="none" w:sz="0" w:space="0" w:color="auto"/>
        <w:left w:val="none" w:sz="0" w:space="0" w:color="auto"/>
        <w:bottom w:val="none" w:sz="0" w:space="0" w:color="auto"/>
        <w:right w:val="none" w:sz="0" w:space="0" w:color="auto"/>
      </w:divBdr>
    </w:div>
    <w:div w:id="1812751756">
      <w:bodyDiv w:val="1"/>
      <w:marLeft w:val="0"/>
      <w:marRight w:val="0"/>
      <w:marTop w:val="0"/>
      <w:marBottom w:val="0"/>
      <w:divBdr>
        <w:top w:val="none" w:sz="0" w:space="0" w:color="auto"/>
        <w:left w:val="none" w:sz="0" w:space="0" w:color="auto"/>
        <w:bottom w:val="none" w:sz="0" w:space="0" w:color="auto"/>
        <w:right w:val="none" w:sz="0" w:space="0" w:color="auto"/>
      </w:divBdr>
    </w:div>
    <w:div w:id="1812819018">
      <w:bodyDiv w:val="1"/>
      <w:marLeft w:val="0"/>
      <w:marRight w:val="0"/>
      <w:marTop w:val="0"/>
      <w:marBottom w:val="0"/>
      <w:divBdr>
        <w:top w:val="none" w:sz="0" w:space="0" w:color="auto"/>
        <w:left w:val="none" w:sz="0" w:space="0" w:color="auto"/>
        <w:bottom w:val="none" w:sz="0" w:space="0" w:color="auto"/>
        <w:right w:val="none" w:sz="0" w:space="0" w:color="auto"/>
      </w:divBdr>
    </w:div>
    <w:div w:id="1812862733">
      <w:bodyDiv w:val="1"/>
      <w:marLeft w:val="0"/>
      <w:marRight w:val="0"/>
      <w:marTop w:val="0"/>
      <w:marBottom w:val="0"/>
      <w:divBdr>
        <w:top w:val="none" w:sz="0" w:space="0" w:color="auto"/>
        <w:left w:val="none" w:sz="0" w:space="0" w:color="auto"/>
        <w:bottom w:val="none" w:sz="0" w:space="0" w:color="auto"/>
        <w:right w:val="none" w:sz="0" w:space="0" w:color="auto"/>
      </w:divBdr>
    </w:div>
    <w:div w:id="1812938866">
      <w:bodyDiv w:val="1"/>
      <w:marLeft w:val="0"/>
      <w:marRight w:val="0"/>
      <w:marTop w:val="0"/>
      <w:marBottom w:val="0"/>
      <w:divBdr>
        <w:top w:val="none" w:sz="0" w:space="0" w:color="auto"/>
        <w:left w:val="none" w:sz="0" w:space="0" w:color="auto"/>
        <w:bottom w:val="none" w:sz="0" w:space="0" w:color="auto"/>
        <w:right w:val="none" w:sz="0" w:space="0" w:color="auto"/>
      </w:divBdr>
    </w:div>
    <w:div w:id="1813017981">
      <w:bodyDiv w:val="1"/>
      <w:marLeft w:val="0"/>
      <w:marRight w:val="0"/>
      <w:marTop w:val="0"/>
      <w:marBottom w:val="0"/>
      <w:divBdr>
        <w:top w:val="none" w:sz="0" w:space="0" w:color="auto"/>
        <w:left w:val="none" w:sz="0" w:space="0" w:color="auto"/>
        <w:bottom w:val="none" w:sz="0" w:space="0" w:color="auto"/>
        <w:right w:val="none" w:sz="0" w:space="0" w:color="auto"/>
      </w:divBdr>
    </w:div>
    <w:div w:id="1813055697">
      <w:bodyDiv w:val="1"/>
      <w:marLeft w:val="0"/>
      <w:marRight w:val="0"/>
      <w:marTop w:val="0"/>
      <w:marBottom w:val="0"/>
      <w:divBdr>
        <w:top w:val="none" w:sz="0" w:space="0" w:color="auto"/>
        <w:left w:val="none" w:sz="0" w:space="0" w:color="auto"/>
        <w:bottom w:val="none" w:sz="0" w:space="0" w:color="auto"/>
        <w:right w:val="none" w:sz="0" w:space="0" w:color="auto"/>
      </w:divBdr>
    </w:div>
    <w:div w:id="1813207716">
      <w:bodyDiv w:val="1"/>
      <w:marLeft w:val="0"/>
      <w:marRight w:val="0"/>
      <w:marTop w:val="0"/>
      <w:marBottom w:val="0"/>
      <w:divBdr>
        <w:top w:val="none" w:sz="0" w:space="0" w:color="auto"/>
        <w:left w:val="none" w:sz="0" w:space="0" w:color="auto"/>
        <w:bottom w:val="none" w:sz="0" w:space="0" w:color="auto"/>
        <w:right w:val="none" w:sz="0" w:space="0" w:color="auto"/>
      </w:divBdr>
    </w:div>
    <w:div w:id="1813212955">
      <w:bodyDiv w:val="1"/>
      <w:marLeft w:val="0"/>
      <w:marRight w:val="0"/>
      <w:marTop w:val="0"/>
      <w:marBottom w:val="0"/>
      <w:divBdr>
        <w:top w:val="none" w:sz="0" w:space="0" w:color="auto"/>
        <w:left w:val="none" w:sz="0" w:space="0" w:color="auto"/>
        <w:bottom w:val="none" w:sz="0" w:space="0" w:color="auto"/>
        <w:right w:val="none" w:sz="0" w:space="0" w:color="auto"/>
      </w:divBdr>
    </w:div>
    <w:div w:id="1813251535">
      <w:bodyDiv w:val="1"/>
      <w:marLeft w:val="0"/>
      <w:marRight w:val="0"/>
      <w:marTop w:val="0"/>
      <w:marBottom w:val="0"/>
      <w:divBdr>
        <w:top w:val="none" w:sz="0" w:space="0" w:color="auto"/>
        <w:left w:val="none" w:sz="0" w:space="0" w:color="auto"/>
        <w:bottom w:val="none" w:sz="0" w:space="0" w:color="auto"/>
        <w:right w:val="none" w:sz="0" w:space="0" w:color="auto"/>
      </w:divBdr>
    </w:div>
    <w:div w:id="1813252759">
      <w:bodyDiv w:val="1"/>
      <w:marLeft w:val="0"/>
      <w:marRight w:val="0"/>
      <w:marTop w:val="0"/>
      <w:marBottom w:val="0"/>
      <w:divBdr>
        <w:top w:val="none" w:sz="0" w:space="0" w:color="auto"/>
        <w:left w:val="none" w:sz="0" w:space="0" w:color="auto"/>
        <w:bottom w:val="none" w:sz="0" w:space="0" w:color="auto"/>
        <w:right w:val="none" w:sz="0" w:space="0" w:color="auto"/>
      </w:divBdr>
    </w:div>
    <w:div w:id="1813253243">
      <w:bodyDiv w:val="1"/>
      <w:marLeft w:val="0"/>
      <w:marRight w:val="0"/>
      <w:marTop w:val="0"/>
      <w:marBottom w:val="0"/>
      <w:divBdr>
        <w:top w:val="none" w:sz="0" w:space="0" w:color="auto"/>
        <w:left w:val="none" w:sz="0" w:space="0" w:color="auto"/>
        <w:bottom w:val="none" w:sz="0" w:space="0" w:color="auto"/>
        <w:right w:val="none" w:sz="0" w:space="0" w:color="auto"/>
      </w:divBdr>
    </w:div>
    <w:div w:id="1813256970">
      <w:bodyDiv w:val="1"/>
      <w:marLeft w:val="0"/>
      <w:marRight w:val="0"/>
      <w:marTop w:val="0"/>
      <w:marBottom w:val="0"/>
      <w:divBdr>
        <w:top w:val="none" w:sz="0" w:space="0" w:color="auto"/>
        <w:left w:val="none" w:sz="0" w:space="0" w:color="auto"/>
        <w:bottom w:val="none" w:sz="0" w:space="0" w:color="auto"/>
        <w:right w:val="none" w:sz="0" w:space="0" w:color="auto"/>
      </w:divBdr>
    </w:div>
    <w:div w:id="1813326480">
      <w:bodyDiv w:val="1"/>
      <w:marLeft w:val="0"/>
      <w:marRight w:val="0"/>
      <w:marTop w:val="0"/>
      <w:marBottom w:val="0"/>
      <w:divBdr>
        <w:top w:val="none" w:sz="0" w:space="0" w:color="auto"/>
        <w:left w:val="none" w:sz="0" w:space="0" w:color="auto"/>
        <w:bottom w:val="none" w:sz="0" w:space="0" w:color="auto"/>
        <w:right w:val="none" w:sz="0" w:space="0" w:color="auto"/>
      </w:divBdr>
    </w:div>
    <w:div w:id="1813447582">
      <w:bodyDiv w:val="1"/>
      <w:marLeft w:val="0"/>
      <w:marRight w:val="0"/>
      <w:marTop w:val="0"/>
      <w:marBottom w:val="0"/>
      <w:divBdr>
        <w:top w:val="none" w:sz="0" w:space="0" w:color="auto"/>
        <w:left w:val="none" w:sz="0" w:space="0" w:color="auto"/>
        <w:bottom w:val="none" w:sz="0" w:space="0" w:color="auto"/>
        <w:right w:val="none" w:sz="0" w:space="0" w:color="auto"/>
      </w:divBdr>
    </w:div>
    <w:div w:id="1813522259">
      <w:bodyDiv w:val="1"/>
      <w:marLeft w:val="0"/>
      <w:marRight w:val="0"/>
      <w:marTop w:val="0"/>
      <w:marBottom w:val="0"/>
      <w:divBdr>
        <w:top w:val="none" w:sz="0" w:space="0" w:color="auto"/>
        <w:left w:val="none" w:sz="0" w:space="0" w:color="auto"/>
        <w:bottom w:val="none" w:sz="0" w:space="0" w:color="auto"/>
        <w:right w:val="none" w:sz="0" w:space="0" w:color="auto"/>
      </w:divBdr>
    </w:div>
    <w:div w:id="1813525807">
      <w:bodyDiv w:val="1"/>
      <w:marLeft w:val="0"/>
      <w:marRight w:val="0"/>
      <w:marTop w:val="0"/>
      <w:marBottom w:val="0"/>
      <w:divBdr>
        <w:top w:val="none" w:sz="0" w:space="0" w:color="auto"/>
        <w:left w:val="none" w:sz="0" w:space="0" w:color="auto"/>
        <w:bottom w:val="none" w:sz="0" w:space="0" w:color="auto"/>
        <w:right w:val="none" w:sz="0" w:space="0" w:color="auto"/>
      </w:divBdr>
    </w:div>
    <w:div w:id="1813601358">
      <w:bodyDiv w:val="1"/>
      <w:marLeft w:val="0"/>
      <w:marRight w:val="0"/>
      <w:marTop w:val="0"/>
      <w:marBottom w:val="0"/>
      <w:divBdr>
        <w:top w:val="none" w:sz="0" w:space="0" w:color="auto"/>
        <w:left w:val="none" w:sz="0" w:space="0" w:color="auto"/>
        <w:bottom w:val="none" w:sz="0" w:space="0" w:color="auto"/>
        <w:right w:val="none" w:sz="0" w:space="0" w:color="auto"/>
      </w:divBdr>
    </w:div>
    <w:div w:id="1813717894">
      <w:bodyDiv w:val="1"/>
      <w:marLeft w:val="0"/>
      <w:marRight w:val="0"/>
      <w:marTop w:val="0"/>
      <w:marBottom w:val="0"/>
      <w:divBdr>
        <w:top w:val="none" w:sz="0" w:space="0" w:color="auto"/>
        <w:left w:val="none" w:sz="0" w:space="0" w:color="auto"/>
        <w:bottom w:val="none" w:sz="0" w:space="0" w:color="auto"/>
        <w:right w:val="none" w:sz="0" w:space="0" w:color="auto"/>
      </w:divBdr>
    </w:div>
    <w:div w:id="1813717973">
      <w:bodyDiv w:val="1"/>
      <w:marLeft w:val="0"/>
      <w:marRight w:val="0"/>
      <w:marTop w:val="0"/>
      <w:marBottom w:val="0"/>
      <w:divBdr>
        <w:top w:val="none" w:sz="0" w:space="0" w:color="auto"/>
        <w:left w:val="none" w:sz="0" w:space="0" w:color="auto"/>
        <w:bottom w:val="none" w:sz="0" w:space="0" w:color="auto"/>
        <w:right w:val="none" w:sz="0" w:space="0" w:color="auto"/>
      </w:divBdr>
    </w:div>
    <w:div w:id="1813789217">
      <w:bodyDiv w:val="1"/>
      <w:marLeft w:val="0"/>
      <w:marRight w:val="0"/>
      <w:marTop w:val="0"/>
      <w:marBottom w:val="0"/>
      <w:divBdr>
        <w:top w:val="none" w:sz="0" w:space="0" w:color="auto"/>
        <w:left w:val="none" w:sz="0" w:space="0" w:color="auto"/>
        <w:bottom w:val="none" w:sz="0" w:space="0" w:color="auto"/>
        <w:right w:val="none" w:sz="0" w:space="0" w:color="auto"/>
      </w:divBdr>
    </w:div>
    <w:div w:id="1813793045">
      <w:bodyDiv w:val="1"/>
      <w:marLeft w:val="0"/>
      <w:marRight w:val="0"/>
      <w:marTop w:val="0"/>
      <w:marBottom w:val="0"/>
      <w:divBdr>
        <w:top w:val="none" w:sz="0" w:space="0" w:color="auto"/>
        <w:left w:val="none" w:sz="0" w:space="0" w:color="auto"/>
        <w:bottom w:val="none" w:sz="0" w:space="0" w:color="auto"/>
        <w:right w:val="none" w:sz="0" w:space="0" w:color="auto"/>
      </w:divBdr>
    </w:div>
    <w:div w:id="1813861030">
      <w:bodyDiv w:val="1"/>
      <w:marLeft w:val="0"/>
      <w:marRight w:val="0"/>
      <w:marTop w:val="0"/>
      <w:marBottom w:val="0"/>
      <w:divBdr>
        <w:top w:val="none" w:sz="0" w:space="0" w:color="auto"/>
        <w:left w:val="none" w:sz="0" w:space="0" w:color="auto"/>
        <w:bottom w:val="none" w:sz="0" w:space="0" w:color="auto"/>
        <w:right w:val="none" w:sz="0" w:space="0" w:color="auto"/>
      </w:divBdr>
    </w:div>
    <w:div w:id="1813936195">
      <w:bodyDiv w:val="1"/>
      <w:marLeft w:val="0"/>
      <w:marRight w:val="0"/>
      <w:marTop w:val="0"/>
      <w:marBottom w:val="0"/>
      <w:divBdr>
        <w:top w:val="none" w:sz="0" w:space="0" w:color="auto"/>
        <w:left w:val="none" w:sz="0" w:space="0" w:color="auto"/>
        <w:bottom w:val="none" w:sz="0" w:space="0" w:color="auto"/>
        <w:right w:val="none" w:sz="0" w:space="0" w:color="auto"/>
      </w:divBdr>
    </w:div>
    <w:div w:id="1813982470">
      <w:bodyDiv w:val="1"/>
      <w:marLeft w:val="0"/>
      <w:marRight w:val="0"/>
      <w:marTop w:val="0"/>
      <w:marBottom w:val="0"/>
      <w:divBdr>
        <w:top w:val="none" w:sz="0" w:space="0" w:color="auto"/>
        <w:left w:val="none" w:sz="0" w:space="0" w:color="auto"/>
        <w:bottom w:val="none" w:sz="0" w:space="0" w:color="auto"/>
        <w:right w:val="none" w:sz="0" w:space="0" w:color="auto"/>
      </w:divBdr>
    </w:div>
    <w:div w:id="1814130068">
      <w:bodyDiv w:val="1"/>
      <w:marLeft w:val="0"/>
      <w:marRight w:val="0"/>
      <w:marTop w:val="0"/>
      <w:marBottom w:val="0"/>
      <w:divBdr>
        <w:top w:val="none" w:sz="0" w:space="0" w:color="auto"/>
        <w:left w:val="none" w:sz="0" w:space="0" w:color="auto"/>
        <w:bottom w:val="none" w:sz="0" w:space="0" w:color="auto"/>
        <w:right w:val="none" w:sz="0" w:space="0" w:color="auto"/>
      </w:divBdr>
    </w:div>
    <w:div w:id="1814132696">
      <w:bodyDiv w:val="1"/>
      <w:marLeft w:val="0"/>
      <w:marRight w:val="0"/>
      <w:marTop w:val="0"/>
      <w:marBottom w:val="0"/>
      <w:divBdr>
        <w:top w:val="none" w:sz="0" w:space="0" w:color="auto"/>
        <w:left w:val="none" w:sz="0" w:space="0" w:color="auto"/>
        <w:bottom w:val="none" w:sz="0" w:space="0" w:color="auto"/>
        <w:right w:val="none" w:sz="0" w:space="0" w:color="auto"/>
      </w:divBdr>
    </w:div>
    <w:div w:id="1814179259">
      <w:bodyDiv w:val="1"/>
      <w:marLeft w:val="0"/>
      <w:marRight w:val="0"/>
      <w:marTop w:val="0"/>
      <w:marBottom w:val="0"/>
      <w:divBdr>
        <w:top w:val="none" w:sz="0" w:space="0" w:color="auto"/>
        <w:left w:val="none" w:sz="0" w:space="0" w:color="auto"/>
        <w:bottom w:val="none" w:sz="0" w:space="0" w:color="auto"/>
        <w:right w:val="none" w:sz="0" w:space="0" w:color="auto"/>
      </w:divBdr>
    </w:div>
    <w:div w:id="1814179379">
      <w:bodyDiv w:val="1"/>
      <w:marLeft w:val="0"/>
      <w:marRight w:val="0"/>
      <w:marTop w:val="0"/>
      <w:marBottom w:val="0"/>
      <w:divBdr>
        <w:top w:val="none" w:sz="0" w:space="0" w:color="auto"/>
        <w:left w:val="none" w:sz="0" w:space="0" w:color="auto"/>
        <w:bottom w:val="none" w:sz="0" w:space="0" w:color="auto"/>
        <w:right w:val="none" w:sz="0" w:space="0" w:color="auto"/>
      </w:divBdr>
    </w:div>
    <w:div w:id="1814179953">
      <w:bodyDiv w:val="1"/>
      <w:marLeft w:val="0"/>
      <w:marRight w:val="0"/>
      <w:marTop w:val="0"/>
      <w:marBottom w:val="0"/>
      <w:divBdr>
        <w:top w:val="none" w:sz="0" w:space="0" w:color="auto"/>
        <w:left w:val="none" w:sz="0" w:space="0" w:color="auto"/>
        <w:bottom w:val="none" w:sz="0" w:space="0" w:color="auto"/>
        <w:right w:val="none" w:sz="0" w:space="0" w:color="auto"/>
      </w:divBdr>
    </w:div>
    <w:div w:id="1814324638">
      <w:bodyDiv w:val="1"/>
      <w:marLeft w:val="0"/>
      <w:marRight w:val="0"/>
      <w:marTop w:val="0"/>
      <w:marBottom w:val="0"/>
      <w:divBdr>
        <w:top w:val="none" w:sz="0" w:space="0" w:color="auto"/>
        <w:left w:val="none" w:sz="0" w:space="0" w:color="auto"/>
        <w:bottom w:val="none" w:sz="0" w:space="0" w:color="auto"/>
        <w:right w:val="none" w:sz="0" w:space="0" w:color="auto"/>
      </w:divBdr>
    </w:div>
    <w:div w:id="1814326239">
      <w:bodyDiv w:val="1"/>
      <w:marLeft w:val="0"/>
      <w:marRight w:val="0"/>
      <w:marTop w:val="0"/>
      <w:marBottom w:val="0"/>
      <w:divBdr>
        <w:top w:val="none" w:sz="0" w:space="0" w:color="auto"/>
        <w:left w:val="none" w:sz="0" w:space="0" w:color="auto"/>
        <w:bottom w:val="none" w:sz="0" w:space="0" w:color="auto"/>
        <w:right w:val="none" w:sz="0" w:space="0" w:color="auto"/>
      </w:divBdr>
    </w:div>
    <w:div w:id="1814329395">
      <w:bodyDiv w:val="1"/>
      <w:marLeft w:val="0"/>
      <w:marRight w:val="0"/>
      <w:marTop w:val="0"/>
      <w:marBottom w:val="0"/>
      <w:divBdr>
        <w:top w:val="none" w:sz="0" w:space="0" w:color="auto"/>
        <w:left w:val="none" w:sz="0" w:space="0" w:color="auto"/>
        <w:bottom w:val="none" w:sz="0" w:space="0" w:color="auto"/>
        <w:right w:val="none" w:sz="0" w:space="0" w:color="auto"/>
      </w:divBdr>
    </w:div>
    <w:div w:id="1814329730">
      <w:bodyDiv w:val="1"/>
      <w:marLeft w:val="0"/>
      <w:marRight w:val="0"/>
      <w:marTop w:val="0"/>
      <w:marBottom w:val="0"/>
      <w:divBdr>
        <w:top w:val="none" w:sz="0" w:space="0" w:color="auto"/>
        <w:left w:val="none" w:sz="0" w:space="0" w:color="auto"/>
        <w:bottom w:val="none" w:sz="0" w:space="0" w:color="auto"/>
        <w:right w:val="none" w:sz="0" w:space="0" w:color="auto"/>
      </w:divBdr>
    </w:div>
    <w:div w:id="1814368815">
      <w:bodyDiv w:val="1"/>
      <w:marLeft w:val="0"/>
      <w:marRight w:val="0"/>
      <w:marTop w:val="0"/>
      <w:marBottom w:val="0"/>
      <w:divBdr>
        <w:top w:val="none" w:sz="0" w:space="0" w:color="auto"/>
        <w:left w:val="none" w:sz="0" w:space="0" w:color="auto"/>
        <w:bottom w:val="none" w:sz="0" w:space="0" w:color="auto"/>
        <w:right w:val="none" w:sz="0" w:space="0" w:color="auto"/>
      </w:divBdr>
    </w:div>
    <w:div w:id="1814370601">
      <w:bodyDiv w:val="1"/>
      <w:marLeft w:val="0"/>
      <w:marRight w:val="0"/>
      <w:marTop w:val="0"/>
      <w:marBottom w:val="0"/>
      <w:divBdr>
        <w:top w:val="none" w:sz="0" w:space="0" w:color="auto"/>
        <w:left w:val="none" w:sz="0" w:space="0" w:color="auto"/>
        <w:bottom w:val="none" w:sz="0" w:space="0" w:color="auto"/>
        <w:right w:val="none" w:sz="0" w:space="0" w:color="auto"/>
      </w:divBdr>
    </w:div>
    <w:div w:id="1814561336">
      <w:bodyDiv w:val="1"/>
      <w:marLeft w:val="0"/>
      <w:marRight w:val="0"/>
      <w:marTop w:val="0"/>
      <w:marBottom w:val="0"/>
      <w:divBdr>
        <w:top w:val="none" w:sz="0" w:space="0" w:color="auto"/>
        <w:left w:val="none" w:sz="0" w:space="0" w:color="auto"/>
        <w:bottom w:val="none" w:sz="0" w:space="0" w:color="auto"/>
        <w:right w:val="none" w:sz="0" w:space="0" w:color="auto"/>
      </w:divBdr>
    </w:div>
    <w:div w:id="1814593204">
      <w:bodyDiv w:val="1"/>
      <w:marLeft w:val="0"/>
      <w:marRight w:val="0"/>
      <w:marTop w:val="0"/>
      <w:marBottom w:val="0"/>
      <w:divBdr>
        <w:top w:val="none" w:sz="0" w:space="0" w:color="auto"/>
        <w:left w:val="none" w:sz="0" w:space="0" w:color="auto"/>
        <w:bottom w:val="none" w:sz="0" w:space="0" w:color="auto"/>
        <w:right w:val="none" w:sz="0" w:space="0" w:color="auto"/>
      </w:divBdr>
    </w:div>
    <w:div w:id="1814635425">
      <w:bodyDiv w:val="1"/>
      <w:marLeft w:val="0"/>
      <w:marRight w:val="0"/>
      <w:marTop w:val="0"/>
      <w:marBottom w:val="0"/>
      <w:divBdr>
        <w:top w:val="none" w:sz="0" w:space="0" w:color="auto"/>
        <w:left w:val="none" w:sz="0" w:space="0" w:color="auto"/>
        <w:bottom w:val="none" w:sz="0" w:space="0" w:color="auto"/>
        <w:right w:val="none" w:sz="0" w:space="0" w:color="auto"/>
      </w:divBdr>
    </w:div>
    <w:div w:id="1814640378">
      <w:bodyDiv w:val="1"/>
      <w:marLeft w:val="0"/>
      <w:marRight w:val="0"/>
      <w:marTop w:val="0"/>
      <w:marBottom w:val="0"/>
      <w:divBdr>
        <w:top w:val="none" w:sz="0" w:space="0" w:color="auto"/>
        <w:left w:val="none" w:sz="0" w:space="0" w:color="auto"/>
        <w:bottom w:val="none" w:sz="0" w:space="0" w:color="auto"/>
        <w:right w:val="none" w:sz="0" w:space="0" w:color="auto"/>
      </w:divBdr>
    </w:div>
    <w:div w:id="1814829113">
      <w:bodyDiv w:val="1"/>
      <w:marLeft w:val="0"/>
      <w:marRight w:val="0"/>
      <w:marTop w:val="0"/>
      <w:marBottom w:val="0"/>
      <w:divBdr>
        <w:top w:val="none" w:sz="0" w:space="0" w:color="auto"/>
        <w:left w:val="none" w:sz="0" w:space="0" w:color="auto"/>
        <w:bottom w:val="none" w:sz="0" w:space="0" w:color="auto"/>
        <w:right w:val="none" w:sz="0" w:space="0" w:color="auto"/>
      </w:divBdr>
    </w:div>
    <w:div w:id="1814834034">
      <w:bodyDiv w:val="1"/>
      <w:marLeft w:val="0"/>
      <w:marRight w:val="0"/>
      <w:marTop w:val="0"/>
      <w:marBottom w:val="0"/>
      <w:divBdr>
        <w:top w:val="none" w:sz="0" w:space="0" w:color="auto"/>
        <w:left w:val="none" w:sz="0" w:space="0" w:color="auto"/>
        <w:bottom w:val="none" w:sz="0" w:space="0" w:color="auto"/>
        <w:right w:val="none" w:sz="0" w:space="0" w:color="auto"/>
      </w:divBdr>
    </w:div>
    <w:div w:id="1814904126">
      <w:bodyDiv w:val="1"/>
      <w:marLeft w:val="0"/>
      <w:marRight w:val="0"/>
      <w:marTop w:val="0"/>
      <w:marBottom w:val="0"/>
      <w:divBdr>
        <w:top w:val="none" w:sz="0" w:space="0" w:color="auto"/>
        <w:left w:val="none" w:sz="0" w:space="0" w:color="auto"/>
        <w:bottom w:val="none" w:sz="0" w:space="0" w:color="auto"/>
        <w:right w:val="none" w:sz="0" w:space="0" w:color="auto"/>
      </w:divBdr>
    </w:div>
    <w:div w:id="1815024575">
      <w:bodyDiv w:val="1"/>
      <w:marLeft w:val="0"/>
      <w:marRight w:val="0"/>
      <w:marTop w:val="0"/>
      <w:marBottom w:val="0"/>
      <w:divBdr>
        <w:top w:val="none" w:sz="0" w:space="0" w:color="auto"/>
        <w:left w:val="none" w:sz="0" w:space="0" w:color="auto"/>
        <w:bottom w:val="none" w:sz="0" w:space="0" w:color="auto"/>
        <w:right w:val="none" w:sz="0" w:space="0" w:color="auto"/>
      </w:divBdr>
    </w:div>
    <w:div w:id="1815098228">
      <w:bodyDiv w:val="1"/>
      <w:marLeft w:val="0"/>
      <w:marRight w:val="0"/>
      <w:marTop w:val="0"/>
      <w:marBottom w:val="0"/>
      <w:divBdr>
        <w:top w:val="none" w:sz="0" w:space="0" w:color="auto"/>
        <w:left w:val="none" w:sz="0" w:space="0" w:color="auto"/>
        <w:bottom w:val="none" w:sz="0" w:space="0" w:color="auto"/>
        <w:right w:val="none" w:sz="0" w:space="0" w:color="auto"/>
      </w:divBdr>
    </w:div>
    <w:div w:id="1815100093">
      <w:bodyDiv w:val="1"/>
      <w:marLeft w:val="0"/>
      <w:marRight w:val="0"/>
      <w:marTop w:val="0"/>
      <w:marBottom w:val="0"/>
      <w:divBdr>
        <w:top w:val="none" w:sz="0" w:space="0" w:color="auto"/>
        <w:left w:val="none" w:sz="0" w:space="0" w:color="auto"/>
        <w:bottom w:val="none" w:sz="0" w:space="0" w:color="auto"/>
        <w:right w:val="none" w:sz="0" w:space="0" w:color="auto"/>
      </w:divBdr>
    </w:div>
    <w:div w:id="1815172448">
      <w:bodyDiv w:val="1"/>
      <w:marLeft w:val="0"/>
      <w:marRight w:val="0"/>
      <w:marTop w:val="0"/>
      <w:marBottom w:val="0"/>
      <w:divBdr>
        <w:top w:val="none" w:sz="0" w:space="0" w:color="auto"/>
        <w:left w:val="none" w:sz="0" w:space="0" w:color="auto"/>
        <w:bottom w:val="none" w:sz="0" w:space="0" w:color="auto"/>
        <w:right w:val="none" w:sz="0" w:space="0" w:color="auto"/>
      </w:divBdr>
    </w:div>
    <w:div w:id="1815176262">
      <w:bodyDiv w:val="1"/>
      <w:marLeft w:val="0"/>
      <w:marRight w:val="0"/>
      <w:marTop w:val="0"/>
      <w:marBottom w:val="0"/>
      <w:divBdr>
        <w:top w:val="none" w:sz="0" w:space="0" w:color="auto"/>
        <w:left w:val="none" w:sz="0" w:space="0" w:color="auto"/>
        <w:bottom w:val="none" w:sz="0" w:space="0" w:color="auto"/>
        <w:right w:val="none" w:sz="0" w:space="0" w:color="auto"/>
      </w:divBdr>
    </w:div>
    <w:div w:id="1815217500">
      <w:bodyDiv w:val="1"/>
      <w:marLeft w:val="0"/>
      <w:marRight w:val="0"/>
      <w:marTop w:val="0"/>
      <w:marBottom w:val="0"/>
      <w:divBdr>
        <w:top w:val="none" w:sz="0" w:space="0" w:color="auto"/>
        <w:left w:val="none" w:sz="0" w:space="0" w:color="auto"/>
        <w:bottom w:val="none" w:sz="0" w:space="0" w:color="auto"/>
        <w:right w:val="none" w:sz="0" w:space="0" w:color="auto"/>
      </w:divBdr>
    </w:div>
    <w:div w:id="1815220805">
      <w:bodyDiv w:val="1"/>
      <w:marLeft w:val="0"/>
      <w:marRight w:val="0"/>
      <w:marTop w:val="0"/>
      <w:marBottom w:val="0"/>
      <w:divBdr>
        <w:top w:val="none" w:sz="0" w:space="0" w:color="auto"/>
        <w:left w:val="none" w:sz="0" w:space="0" w:color="auto"/>
        <w:bottom w:val="none" w:sz="0" w:space="0" w:color="auto"/>
        <w:right w:val="none" w:sz="0" w:space="0" w:color="auto"/>
      </w:divBdr>
    </w:div>
    <w:div w:id="1815368337">
      <w:bodyDiv w:val="1"/>
      <w:marLeft w:val="0"/>
      <w:marRight w:val="0"/>
      <w:marTop w:val="0"/>
      <w:marBottom w:val="0"/>
      <w:divBdr>
        <w:top w:val="none" w:sz="0" w:space="0" w:color="auto"/>
        <w:left w:val="none" w:sz="0" w:space="0" w:color="auto"/>
        <w:bottom w:val="none" w:sz="0" w:space="0" w:color="auto"/>
        <w:right w:val="none" w:sz="0" w:space="0" w:color="auto"/>
      </w:divBdr>
    </w:div>
    <w:div w:id="1815490262">
      <w:bodyDiv w:val="1"/>
      <w:marLeft w:val="0"/>
      <w:marRight w:val="0"/>
      <w:marTop w:val="0"/>
      <w:marBottom w:val="0"/>
      <w:divBdr>
        <w:top w:val="none" w:sz="0" w:space="0" w:color="auto"/>
        <w:left w:val="none" w:sz="0" w:space="0" w:color="auto"/>
        <w:bottom w:val="none" w:sz="0" w:space="0" w:color="auto"/>
        <w:right w:val="none" w:sz="0" w:space="0" w:color="auto"/>
      </w:divBdr>
    </w:div>
    <w:div w:id="1815562867">
      <w:bodyDiv w:val="1"/>
      <w:marLeft w:val="0"/>
      <w:marRight w:val="0"/>
      <w:marTop w:val="0"/>
      <w:marBottom w:val="0"/>
      <w:divBdr>
        <w:top w:val="none" w:sz="0" w:space="0" w:color="auto"/>
        <w:left w:val="none" w:sz="0" w:space="0" w:color="auto"/>
        <w:bottom w:val="none" w:sz="0" w:space="0" w:color="auto"/>
        <w:right w:val="none" w:sz="0" w:space="0" w:color="auto"/>
      </w:divBdr>
    </w:div>
    <w:div w:id="1815566787">
      <w:bodyDiv w:val="1"/>
      <w:marLeft w:val="0"/>
      <w:marRight w:val="0"/>
      <w:marTop w:val="0"/>
      <w:marBottom w:val="0"/>
      <w:divBdr>
        <w:top w:val="none" w:sz="0" w:space="0" w:color="auto"/>
        <w:left w:val="none" w:sz="0" w:space="0" w:color="auto"/>
        <w:bottom w:val="none" w:sz="0" w:space="0" w:color="auto"/>
        <w:right w:val="none" w:sz="0" w:space="0" w:color="auto"/>
      </w:divBdr>
    </w:div>
    <w:div w:id="1815678473">
      <w:bodyDiv w:val="1"/>
      <w:marLeft w:val="0"/>
      <w:marRight w:val="0"/>
      <w:marTop w:val="0"/>
      <w:marBottom w:val="0"/>
      <w:divBdr>
        <w:top w:val="none" w:sz="0" w:space="0" w:color="auto"/>
        <w:left w:val="none" w:sz="0" w:space="0" w:color="auto"/>
        <w:bottom w:val="none" w:sz="0" w:space="0" w:color="auto"/>
        <w:right w:val="none" w:sz="0" w:space="0" w:color="auto"/>
      </w:divBdr>
    </w:div>
    <w:div w:id="1815755322">
      <w:bodyDiv w:val="1"/>
      <w:marLeft w:val="0"/>
      <w:marRight w:val="0"/>
      <w:marTop w:val="0"/>
      <w:marBottom w:val="0"/>
      <w:divBdr>
        <w:top w:val="none" w:sz="0" w:space="0" w:color="auto"/>
        <w:left w:val="none" w:sz="0" w:space="0" w:color="auto"/>
        <w:bottom w:val="none" w:sz="0" w:space="0" w:color="auto"/>
        <w:right w:val="none" w:sz="0" w:space="0" w:color="auto"/>
      </w:divBdr>
    </w:div>
    <w:div w:id="1815755608">
      <w:bodyDiv w:val="1"/>
      <w:marLeft w:val="0"/>
      <w:marRight w:val="0"/>
      <w:marTop w:val="0"/>
      <w:marBottom w:val="0"/>
      <w:divBdr>
        <w:top w:val="none" w:sz="0" w:space="0" w:color="auto"/>
        <w:left w:val="none" w:sz="0" w:space="0" w:color="auto"/>
        <w:bottom w:val="none" w:sz="0" w:space="0" w:color="auto"/>
        <w:right w:val="none" w:sz="0" w:space="0" w:color="auto"/>
      </w:divBdr>
    </w:div>
    <w:div w:id="1816100395">
      <w:bodyDiv w:val="1"/>
      <w:marLeft w:val="0"/>
      <w:marRight w:val="0"/>
      <w:marTop w:val="0"/>
      <w:marBottom w:val="0"/>
      <w:divBdr>
        <w:top w:val="none" w:sz="0" w:space="0" w:color="auto"/>
        <w:left w:val="none" w:sz="0" w:space="0" w:color="auto"/>
        <w:bottom w:val="none" w:sz="0" w:space="0" w:color="auto"/>
        <w:right w:val="none" w:sz="0" w:space="0" w:color="auto"/>
      </w:divBdr>
    </w:div>
    <w:div w:id="1816219433">
      <w:bodyDiv w:val="1"/>
      <w:marLeft w:val="0"/>
      <w:marRight w:val="0"/>
      <w:marTop w:val="0"/>
      <w:marBottom w:val="0"/>
      <w:divBdr>
        <w:top w:val="none" w:sz="0" w:space="0" w:color="auto"/>
        <w:left w:val="none" w:sz="0" w:space="0" w:color="auto"/>
        <w:bottom w:val="none" w:sz="0" w:space="0" w:color="auto"/>
        <w:right w:val="none" w:sz="0" w:space="0" w:color="auto"/>
      </w:divBdr>
    </w:div>
    <w:div w:id="1816221197">
      <w:bodyDiv w:val="1"/>
      <w:marLeft w:val="0"/>
      <w:marRight w:val="0"/>
      <w:marTop w:val="0"/>
      <w:marBottom w:val="0"/>
      <w:divBdr>
        <w:top w:val="none" w:sz="0" w:space="0" w:color="auto"/>
        <w:left w:val="none" w:sz="0" w:space="0" w:color="auto"/>
        <w:bottom w:val="none" w:sz="0" w:space="0" w:color="auto"/>
        <w:right w:val="none" w:sz="0" w:space="0" w:color="auto"/>
      </w:divBdr>
    </w:div>
    <w:div w:id="1816331133">
      <w:bodyDiv w:val="1"/>
      <w:marLeft w:val="0"/>
      <w:marRight w:val="0"/>
      <w:marTop w:val="0"/>
      <w:marBottom w:val="0"/>
      <w:divBdr>
        <w:top w:val="none" w:sz="0" w:space="0" w:color="auto"/>
        <w:left w:val="none" w:sz="0" w:space="0" w:color="auto"/>
        <w:bottom w:val="none" w:sz="0" w:space="0" w:color="auto"/>
        <w:right w:val="none" w:sz="0" w:space="0" w:color="auto"/>
      </w:divBdr>
    </w:div>
    <w:div w:id="1816408190">
      <w:bodyDiv w:val="1"/>
      <w:marLeft w:val="0"/>
      <w:marRight w:val="0"/>
      <w:marTop w:val="0"/>
      <w:marBottom w:val="0"/>
      <w:divBdr>
        <w:top w:val="none" w:sz="0" w:space="0" w:color="auto"/>
        <w:left w:val="none" w:sz="0" w:space="0" w:color="auto"/>
        <w:bottom w:val="none" w:sz="0" w:space="0" w:color="auto"/>
        <w:right w:val="none" w:sz="0" w:space="0" w:color="auto"/>
      </w:divBdr>
    </w:div>
    <w:div w:id="1816529423">
      <w:bodyDiv w:val="1"/>
      <w:marLeft w:val="0"/>
      <w:marRight w:val="0"/>
      <w:marTop w:val="0"/>
      <w:marBottom w:val="0"/>
      <w:divBdr>
        <w:top w:val="none" w:sz="0" w:space="0" w:color="auto"/>
        <w:left w:val="none" w:sz="0" w:space="0" w:color="auto"/>
        <w:bottom w:val="none" w:sz="0" w:space="0" w:color="auto"/>
        <w:right w:val="none" w:sz="0" w:space="0" w:color="auto"/>
      </w:divBdr>
    </w:div>
    <w:div w:id="1816557410">
      <w:bodyDiv w:val="1"/>
      <w:marLeft w:val="0"/>
      <w:marRight w:val="0"/>
      <w:marTop w:val="0"/>
      <w:marBottom w:val="0"/>
      <w:divBdr>
        <w:top w:val="none" w:sz="0" w:space="0" w:color="auto"/>
        <w:left w:val="none" w:sz="0" w:space="0" w:color="auto"/>
        <w:bottom w:val="none" w:sz="0" w:space="0" w:color="auto"/>
        <w:right w:val="none" w:sz="0" w:space="0" w:color="auto"/>
      </w:divBdr>
    </w:div>
    <w:div w:id="1816751180">
      <w:bodyDiv w:val="1"/>
      <w:marLeft w:val="0"/>
      <w:marRight w:val="0"/>
      <w:marTop w:val="0"/>
      <w:marBottom w:val="0"/>
      <w:divBdr>
        <w:top w:val="none" w:sz="0" w:space="0" w:color="auto"/>
        <w:left w:val="none" w:sz="0" w:space="0" w:color="auto"/>
        <w:bottom w:val="none" w:sz="0" w:space="0" w:color="auto"/>
        <w:right w:val="none" w:sz="0" w:space="0" w:color="auto"/>
      </w:divBdr>
    </w:div>
    <w:div w:id="1816796954">
      <w:bodyDiv w:val="1"/>
      <w:marLeft w:val="0"/>
      <w:marRight w:val="0"/>
      <w:marTop w:val="0"/>
      <w:marBottom w:val="0"/>
      <w:divBdr>
        <w:top w:val="none" w:sz="0" w:space="0" w:color="auto"/>
        <w:left w:val="none" w:sz="0" w:space="0" w:color="auto"/>
        <w:bottom w:val="none" w:sz="0" w:space="0" w:color="auto"/>
        <w:right w:val="none" w:sz="0" w:space="0" w:color="auto"/>
      </w:divBdr>
    </w:div>
    <w:div w:id="1817137484">
      <w:bodyDiv w:val="1"/>
      <w:marLeft w:val="0"/>
      <w:marRight w:val="0"/>
      <w:marTop w:val="0"/>
      <w:marBottom w:val="0"/>
      <w:divBdr>
        <w:top w:val="none" w:sz="0" w:space="0" w:color="auto"/>
        <w:left w:val="none" w:sz="0" w:space="0" w:color="auto"/>
        <w:bottom w:val="none" w:sz="0" w:space="0" w:color="auto"/>
        <w:right w:val="none" w:sz="0" w:space="0" w:color="auto"/>
      </w:divBdr>
    </w:div>
    <w:div w:id="1817183154">
      <w:bodyDiv w:val="1"/>
      <w:marLeft w:val="0"/>
      <w:marRight w:val="0"/>
      <w:marTop w:val="0"/>
      <w:marBottom w:val="0"/>
      <w:divBdr>
        <w:top w:val="none" w:sz="0" w:space="0" w:color="auto"/>
        <w:left w:val="none" w:sz="0" w:space="0" w:color="auto"/>
        <w:bottom w:val="none" w:sz="0" w:space="0" w:color="auto"/>
        <w:right w:val="none" w:sz="0" w:space="0" w:color="auto"/>
      </w:divBdr>
    </w:div>
    <w:div w:id="1817183294">
      <w:bodyDiv w:val="1"/>
      <w:marLeft w:val="0"/>
      <w:marRight w:val="0"/>
      <w:marTop w:val="0"/>
      <w:marBottom w:val="0"/>
      <w:divBdr>
        <w:top w:val="none" w:sz="0" w:space="0" w:color="auto"/>
        <w:left w:val="none" w:sz="0" w:space="0" w:color="auto"/>
        <w:bottom w:val="none" w:sz="0" w:space="0" w:color="auto"/>
        <w:right w:val="none" w:sz="0" w:space="0" w:color="auto"/>
      </w:divBdr>
    </w:div>
    <w:div w:id="1817184088">
      <w:bodyDiv w:val="1"/>
      <w:marLeft w:val="0"/>
      <w:marRight w:val="0"/>
      <w:marTop w:val="0"/>
      <w:marBottom w:val="0"/>
      <w:divBdr>
        <w:top w:val="none" w:sz="0" w:space="0" w:color="auto"/>
        <w:left w:val="none" w:sz="0" w:space="0" w:color="auto"/>
        <w:bottom w:val="none" w:sz="0" w:space="0" w:color="auto"/>
        <w:right w:val="none" w:sz="0" w:space="0" w:color="auto"/>
      </w:divBdr>
    </w:div>
    <w:div w:id="1817330054">
      <w:bodyDiv w:val="1"/>
      <w:marLeft w:val="0"/>
      <w:marRight w:val="0"/>
      <w:marTop w:val="0"/>
      <w:marBottom w:val="0"/>
      <w:divBdr>
        <w:top w:val="none" w:sz="0" w:space="0" w:color="auto"/>
        <w:left w:val="none" w:sz="0" w:space="0" w:color="auto"/>
        <w:bottom w:val="none" w:sz="0" w:space="0" w:color="auto"/>
        <w:right w:val="none" w:sz="0" w:space="0" w:color="auto"/>
      </w:divBdr>
    </w:div>
    <w:div w:id="1817339662">
      <w:bodyDiv w:val="1"/>
      <w:marLeft w:val="0"/>
      <w:marRight w:val="0"/>
      <w:marTop w:val="0"/>
      <w:marBottom w:val="0"/>
      <w:divBdr>
        <w:top w:val="none" w:sz="0" w:space="0" w:color="auto"/>
        <w:left w:val="none" w:sz="0" w:space="0" w:color="auto"/>
        <w:bottom w:val="none" w:sz="0" w:space="0" w:color="auto"/>
        <w:right w:val="none" w:sz="0" w:space="0" w:color="auto"/>
      </w:divBdr>
    </w:div>
    <w:div w:id="1817457514">
      <w:bodyDiv w:val="1"/>
      <w:marLeft w:val="0"/>
      <w:marRight w:val="0"/>
      <w:marTop w:val="0"/>
      <w:marBottom w:val="0"/>
      <w:divBdr>
        <w:top w:val="none" w:sz="0" w:space="0" w:color="auto"/>
        <w:left w:val="none" w:sz="0" w:space="0" w:color="auto"/>
        <w:bottom w:val="none" w:sz="0" w:space="0" w:color="auto"/>
        <w:right w:val="none" w:sz="0" w:space="0" w:color="auto"/>
      </w:divBdr>
    </w:div>
    <w:div w:id="1817525574">
      <w:bodyDiv w:val="1"/>
      <w:marLeft w:val="0"/>
      <w:marRight w:val="0"/>
      <w:marTop w:val="0"/>
      <w:marBottom w:val="0"/>
      <w:divBdr>
        <w:top w:val="none" w:sz="0" w:space="0" w:color="auto"/>
        <w:left w:val="none" w:sz="0" w:space="0" w:color="auto"/>
        <w:bottom w:val="none" w:sz="0" w:space="0" w:color="auto"/>
        <w:right w:val="none" w:sz="0" w:space="0" w:color="auto"/>
      </w:divBdr>
    </w:div>
    <w:div w:id="1817603765">
      <w:bodyDiv w:val="1"/>
      <w:marLeft w:val="0"/>
      <w:marRight w:val="0"/>
      <w:marTop w:val="0"/>
      <w:marBottom w:val="0"/>
      <w:divBdr>
        <w:top w:val="none" w:sz="0" w:space="0" w:color="auto"/>
        <w:left w:val="none" w:sz="0" w:space="0" w:color="auto"/>
        <w:bottom w:val="none" w:sz="0" w:space="0" w:color="auto"/>
        <w:right w:val="none" w:sz="0" w:space="0" w:color="auto"/>
      </w:divBdr>
    </w:div>
    <w:div w:id="1817606178">
      <w:bodyDiv w:val="1"/>
      <w:marLeft w:val="0"/>
      <w:marRight w:val="0"/>
      <w:marTop w:val="0"/>
      <w:marBottom w:val="0"/>
      <w:divBdr>
        <w:top w:val="none" w:sz="0" w:space="0" w:color="auto"/>
        <w:left w:val="none" w:sz="0" w:space="0" w:color="auto"/>
        <w:bottom w:val="none" w:sz="0" w:space="0" w:color="auto"/>
        <w:right w:val="none" w:sz="0" w:space="0" w:color="auto"/>
      </w:divBdr>
    </w:div>
    <w:div w:id="1817642277">
      <w:bodyDiv w:val="1"/>
      <w:marLeft w:val="0"/>
      <w:marRight w:val="0"/>
      <w:marTop w:val="0"/>
      <w:marBottom w:val="0"/>
      <w:divBdr>
        <w:top w:val="none" w:sz="0" w:space="0" w:color="auto"/>
        <w:left w:val="none" w:sz="0" w:space="0" w:color="auto"/>
        <w:bottom w:val="none" w:sz="0" w:space="0" w:color="auto"/>
        <w:right w:val="none" w:sz="0" w:space="0" w:color="auto"/>
      </w:divBdr>
    </w:div>
    <w:div w:id="1817724395">
      <w:bodyDiv w:val="1"/>
      <w:marLeft w:val="0"/>
      <w:marRight w:val="0"/>
      <w:marTop w:val="0"/>
      <w:marBottom w:val="0"/>
      <w:divBdr>
        <w:top w:val="none" w:sz="0" w:space="0" w:color="auto"/>
        <w:left w:val="none" w:sz="0" w:space="0" w:color="auto"/>
        <w:bottom w:val="none" w:sz="0" w:space="0" w:color="auto"/>
        <w:right w:val="none" w:sz="0" w:space="0" w:color="auto"/>
      </w:divBdr>
    </w:div>
    <w:div w:id="1817985537">
      <w:bodyDiv w:val="1"/>
      <w:marLeft w:val="0"/>
      <w:marRight w:val="0"/>
      <w:marTop w:val="0"/>
      <w:marBottom w:val="0"/>
      <w:divBdr>
        <w:top w:val="none" w:sz="0" w:space="0" w:color="auto"/>
        <w:left w:val="none" w:sz="0" w:space="0" w:color="auto"/>
        <w:bottom w:val="none" w:sz="0" w:space="0" w:color="auto"/>
        <w:right w:val="none" w:sz="0" w:space="0" w:color="auto"/>
      </w:divBdr>
    </w:div>
    <w:div w:id="1817993170">
      <w:bodyDiv w:val="1"/>
      <w:marLeft w:val="0"/>
      <w:marRight w:val="0"/>
      <w:marTop w:val="0"/>
      <w:marBottom w:val="0"/>
      <w:divBdr>
        <w:top w:val="none" w:sz="0" w:space="0" w:color="auto"/>
        <w:left w:val="none" w:sz="0" w:space="0" w:color="auto"/>
        <w:bottom w:val="none" w:sz="0" w:space="0" w:color="auto"/>
        <w:right w:val="none" w:sz="0" w:space="0" w:color="auto"/>
      </w:divBdr>
    </w:div>
    <w:div w:id="1818035265">
      <w:bodyDiv w:val="1"/>
      <w:marLeft w:val="0"/>
      <w:marRight w:val="0"/>
      <w:marTop w:val="0"/>
      <w:marBottom w:val="0"/>
      <w:divBdr>
        <w:top w:val="none" w:sz="0" w:space="0" w:color="auto"/>
        <w:left w:val="none" w:sz="0" w:space="0" w:color="auto"/>
        <w:bottom w:val="none" w:sz="0" w:space="0" w:color="auto"/>
        <w:right w:val="none" w:sz="0" w:space="0" w:color="auto"/>
      </w:divBdr>
    </w:div>
    <w:div w:id="1818104506">
      <w:bodyDiv w:val="1"/>
      <w:marLeft w:val="0"/>
      <w:marRight w:val="0"/>
      <w:marTop w:val="0"/>
      <w:marBottom w:val="0"/>
      <w:divBdr>
        <w:top w:val="none" w:sz="0" w:space="0" w:color="auto"/>
        <w:left w:val="none" w:sz="0" w:space="0" w:color="auto"/>
        <w:bottom w:val="none" w:sz="0" w:space="0" w:color="auto"/>
        <w:right w:val="none" w:sz="0" w:space="0" w:color="auto"/>
      </w:divBdr>
    </w:div>
    <w:div w:id="1818111027">
      <w:bodyDiv w:val="1"/>
      <w:marLeft w:val="0"/>
      <w:marRight w:val="0"/>
      <w:marTop w:val="0"/>
      <w:marBottom w:val="0"/>
      <w:divBdr>
        <w:top w:val="none" w:sz="0" w:space="0" w:color="auto"/>
        <w:left w:val="none" w:sz="0" w:space="0" w:color="auto"/>
        <w:bottom w:val="none" w:sz="0" w:space="0" w:color="auto"/>
        <w:right w:val="none" w:sz="0" w:space="0" w:color="auto"/>
      </w:divBdr>
    </w:div>
    <w:div w:id="1818112177">
      <w:bodyDiv w:val="1"/>
      <w:marLeft w:val="0"/>
      <w:marRight w:val="0"/>
      <w:marTop w:val="0"/>
      <w:marBottom w:val="0"/>
      <w:divBdr>
        <w:top w:val="none" w:sz="0" w:space="0" w:color="auto"/>
        <w:left w:val="none" w:sz="0" w:space="0" w:color="auto"/>
        <w:bottom w:val="none" w:sz="0" w:space="0" w:color="auto"/>
        <w:right w:val="none" w:sz="0" w:space="0" w:color="auto"/>
      </w:divBdr>
    </w:div>
    <w:div w:id="1818182990">
      <w:bodyDiv w:val="1"/>
      <w:marLeft w:val="0"/>
      <w:marRight w:val="0"/>
      <w:marTop w:val="0"/>
      <w:marBottom w:val="0"/>
      <w:divBdr>
        <w:top w:val="none" w:sz="0" w:space="0" w:color="auto"/>
        <w:left w:val="none" w:sz="0" w:space="0" w:color="auto"/>
        <w:bottom w:val="none" w:sz="0" w:space="0" w:color="auto"/>
        <w:right w:val="none" w:sz="0" w:space="0" w:color="auto"/>
      </w:divBdr>
    </w:div>
    <w:div w:id="1818254087">
      <w:bodyDiv w:val="1"/>
      <w:marLeft w:val="0"/>
      <w:marRight w:val="0"/>
      <w:marTop w:val="0"/>
      <w:marBottom w:val="0"/>
      <w:divBdr>
        <w:top w:val="none" w:sz="0" w:space="0" w:color="auto"/>
        <w:left w:val="none" w:sz="0" w:space="0" w:color="auto"/>
        <w:bottom w:val="none" w:sz="0" w:space="0" w:color="auto"/>
        <w:right w:val="none" w:sz="0" w:space="0" w:color="auto"/>
      </w:divBdr>
    </w:div>
    <w:div w:id="1818255345">
      <w:bodyDiv w:val="1"/>
      <w:marLeft w:val="0"/>
      <w:marRight w:val="0"/>
      <w:marTop w:val="0"/>
      <w:marBottom w:val="0"/>
      <w:divBdr>
        <w:top w:val="none" w:sz="0" w:space="0" w:color="auto"/>
        <w:left w:val="none" w:sz="0" w:space="0" w:color="auto"/>
        <w:bottom w:val="none" w:sz="0" w:space="0" w:color="auto"/>
        <w:right w:val="none" w:sz="0" w:space="0" w:color="auto"/>
      </w:divBdr>
    </w:div>
    <w:div w:id="1818261333">
      <w:bodyDiv w:val="1"/>
      <w:marLeft w:val="0"/>
      <w:marRight w:val="0"/>
      <w:marTop w:val="0"/>
      <w:marBottom w:val="0"/>
      <w:divBdr>
        <w:top w:val="none" w:sz="0" w:space="0" w:color="auto"/>
        <w:left w:val="none" w:sz="0" w:space="0" w:color="auto"/>
        <w:bottom w:val="none" w:sz="0" w:space="0" w:color="auto"/>
        <w:right w:val="none" w:sz="0" w:space="0" w:color="auto"/>
      </w:divBdr>
    </w:div>
    <w:div w:id="1818304152">
      <w:bodyDiv w:val="1"/>
      <w:marLeft w:val="0"/>
      <w:marRight w:val="0"/>
      <w:marTop w:val="0"/>
      <w:marBottom w:val="0"/>
      <w:divBdr>
        <w:top w:val="none" w:sz="0" w:space="0" w:color="auto"/>
        <w:left w:val="none" w:sz="0" w:space="0" w:color="auto"/>
        <w:bottom w:val="none" w:sz="0" w:space="0" w:color="auto"/>
        <w:right w:val="none" w:sz="0" w:space="0" w:color="auto"/>
      </w:divBdr>
    </w:div>
    <w:div w:id="1818448783">
      <w:bodyDiv w:val="1"/>
      <w:marLeft w:val="0"/>
      <w:marRight w:val="0"/>
      <w:marTop w:val="0"/>
      <w:marBottom w:val="0"/>
      <w:divBdr>
        <w:top w:val="none" w:sz="0" w:space="0" w:color="auto"/>
        <w:left w:val="none" w:sz="0" w:space="0" w:color="auto"/>
        <w:bottom w:val="none" w:sz="0" w:space="0" w:color="auto"/>
        <w:right w:val="none" w:sz="0" w:space="0" w:color="auto"/>
      </w:divBdr>
    </w:div>
    <w:div w:id="1818450020">
      <w:bodyDiv w:val="1"/>
      <w:marLeft w:val="0"/>
      <w:marRight w:val="0"/>
      <w:marTop w:val="0"/>
      <w:marBottom w:val="0"/>
      <w:divBdr>
        <w:top w:val="none" w:sz="0" w:space="0" w:color="auto"/>
        <w:left w:val="none" w:sz="0" w:space="0" w:color="auto"/>
        <w:bottom w:val="none" w:sz="0" w:space="0" w:color="auto"/>
        <w:right w:val="none" w:sz="0" w:space="0" w:color="auto"/>
      </w:divBdr>
    </w:div>
    <w:div w:id="1818571677">
      <w:bodyDiv w:val="1"/>
      <w:marLeft w:val="0"/>
      <w:marRight w:val="0"/>
      <w:marTop w:val="0"/>
      <w:marBottom w:val="0"/>
      <w:divBdr>
        <w:top w:val="none" w:sz="0" w:space="0" w:color="auto"/>
        <w:left w:val="none" w:sz="0" w:space="0" w:color="auto"/>
        <w:bottom w:val="none" w:sz="0" w:space="0" w:color="auto"/>
        <w:right w:val="none" w:sz="0" w:space="0" w:color="auto"/>
      </w:divBdr>
    </w:div>
    <w:div w:id="1818641505">
      <w:bodyDiv w:val="1"/>
      <w:marLeft w:val="0"/>
      <w:marRight w:val="0"/>
      <w:marTop w:val="0"/>
      <w:marBottom w:val="0"/>
      <w:divBdr>
        <w:top w:val="none" w:sz="0" w:space="0" w:color="auto"/>
        <w:left w:val="none" w:sz="0" w:space="0" w:color="auto"/>
        <w:bottom w:val="none" w:sz="0" w:space="0" w:color="auto"/>
        <w:right w:val="none" w:sz="0" w:space="0" w:color="auto"/>
      </w:divBdr>
    </w:div>
    <w:div w:id="1818644166">
      <w:bodyDiv w:val="1"/>
      <w:marLeft w:val="0"/>
      <w:marRight w:val="0"/>
      <w:marTop w:val="0"/>
      <w:marBottom w:val="0"/>
      <w:divBdr>
        <w:top w:val="none" w:sz="0" w:space="0" w:color="auto"/>
        <w:left w:val="none" w:sz="0" w:space="0" w:color="auto"/>
        <w:bottom w:val="none" w:sz="0" w:space="0" w:color="auto"/>
        <w:right w:val="none" w:sz="0" w:space="0" w:color="auto"/>
      </w:divBdr>
    </w:div>
    <w:div w:id="1818644189">
      <w:bodyDiv w:val="1"/>
      <w:marLeft w:val="0"/>
      <w:marRight w:val="0"/>
      <w:marTop w:val="0"/>
      <w:marBottom w:val="0"/>
      <w:divBdr>
        <w:top w:val="none" w:sz="0" w:space="0" w:color="auto"/>
        <w:left w:val="none" w:sz="0" w:space="0" w:color="auto"/>
        <w:bottom w:val="none" w:sz="0" w:space="0" w:color="auto"/>
        <w:right w:val="none" w:sz="0" w:space="0" w:color="auto"/>
      </w:divBdr>
    </w:div>
    <w:div w:id="1818764932">
      <w:bodyDiv w:val="1"/>
      <w:marLeft w:val="0"/>
      <w:marRight w:val="0"/>
      <w:marTop w:val="0"/>
      <w:marBottom w:val="0"/>
      <w:divBdr>
        <w:top w:val="none" w:sz="0" w:space="0" w:color="auto"/>
        <w:left w:val="none" w:sz="0" w:space="0" w:color="auto"/>
        <w:bottom w:val="none" w:sz="0" w:space="0" w:color="auto"/>
        <w:right w:val="none" w:sz="0" w:space="0" w:color="auto"/>
      </w:divBdr>
    </w:div>
    <w:div w:id="1818836699">
      <w:bodyDiv w:val="1"/>
      <w:marLeft w:val="0"/>
      <w:marRight w:val="0"/>
      <w:marTop w:val="0"/>
      <w:marBottom w:val="0"/>
      <w:divBdr>
        <w:top w:val="none" w:sz="0" w:space="0" w:color="auto"/>
        <w:left w:val="none" w:sz="0" w:space="0" w:color="auto"/>
        <w:bottom w:val="none" w:sz="0" w:space="0" w:color="auto"/>
        <w:right w:val="none" w:sz="0" w:space="0" w:color="auto"/>
      </w:divBdr>
    </w:div>
    <w:div w:id="1818914520">
      <w:bodyDiv w:val="1"/>
      <w:marLeft w:val="0"/>
      <w:marRight w:val="0"/>
      <w:marTop w:val="0"/>
      <w:marBottom w:val="0"/>
      <w:divBdr>
        <w:top w:val="none" w:sz="0" w:space="0" w:color="auto"/>
        <w:left w:val="none" w:sz="0" w:space="0" w:color="auto"/>
        <w:bottom w:val="none" w:sz="0" w:space="0" w:color="auto"/>
        <w:right w:val="none" w:sz="0" w:space="0" w:color="auto"/>
      </w:divBdr>
    </w:div>
    <w:div w:id="1818953112">
      <w:bodyDiv w:val="1"/>
      <w:marLeft w:val="0"/>
      <w:marRight w:val="0"/>
      <w:marTop w:val="0"/>
      <w:marBottom w:val="0"/>
      <w:divBdr>
        <w:top w:val="none" w:sz="0" w:space="0" w:color="auto"/>
        <w:left w:val="none" w:sz="0" w:space="0" w:color="auto"/>
        <w:bottom w:val="none" w:sz="0" w:space="0" w:color="auto"/>
        <w:right w:val="none" w:sz="0" w:space="0" w:color="auto"/>
      </w:divBdr>
    </w:div>
    <w:div w:id="1818953906">
      <w:bodyDiv w:val="1"/>
      <w:marLeft w:val="0"/>
      <w:marRight w:val="0"/>
      <w:marTop w:val="0"/>
      <w:marBottom w:val="0"/>
      <w:divBdr>
        <w:top w:val="none" w:sz="0" w:space="0" w:color="auto"/>
        <w:left w:val="none" w:sz="0" w:space="0" w:color="auto"/>
        <w:bottom w:val="none" w:sz="0" w:space="0" w:color="auto"/>
        <w:right w:val="none" w:sz="0" w:space="0" w:color="auto"/>
      </w:divBdr>
    </w:div>
    <w:div w:id="1819028717">
      <w:bodyDiv w:val="1"/>
      <w:marLeft w:val="0"/>
      <w:marRight w:val="0"/>
      <w:marTop w:val="0"/>
      <w:marBottom w:val="0"/>
      <w:divBdr>
        <w:top w:val="none" w:sz="0" w:space="0" w:color="auto"/>
        <w:left w:val="none" w:sz="0" w:space="0" w:color="auto"/>
        <w:bottom w:val="none" w:sz="0" w:space="0" w:color="auto"/>
        <w:right w:val="none" w:sz="0" w:space="0" w:color="auto"/>
      </w:divBdr>
    </w:div>
    <w:div w:id="1819030422">
      <w:bodyDiv w:val="1"/>
      <w:marLeft w:val="0"/>
      <w:marRight w:val="0"/>
      <w:marTop w:val="0"/>
      <w:marBottom w:val="0"/>
      <w:divBdr>
        <w:top w:val="none" w:sz="0" w:space="0" w:color="auto"/>
        <w:left w:val="none" w:sz="0" w:space="0" w:color="auto"/>
        <w:bottom w:val="none" w:sz="0" w:space="0" w:color="auto"/>
        <w:right w:val="none" w:sz="0" w:space="0" w:color="auto"/>
      </w:divBdr>
    </w:div>
    <w:div w:id="1819103917">
      <w:bodyDiv w:val="1"/>
      <w:marLeft w:val="0"/>
      <w:marRight w:val="0"/>
      <w:marTop w:val="0"/>
      <w:marBottom w:val="0"/>
      <w:divBdr>
        <w:top w:val="none" w:sz="0" w:space="0" w:color="auto"/>
        <w:left w:val="none" w:sz="0" w:space="0" w:color="auto"/>
        <w:bottom w:val="none" w:sz="0" w:space="0" w:color="auto"/>
        <w:right w:val="none" w:sz="0" w:space="0" w:color="auto"/>
      </w:divBdr>
    </w:div>
    <w:div w:id="1819151532">
      <w:bodyDiv w:val="1"/>
      <w:marLeft w:val="0"/>
      <w:marRight w:val="0"/>
      <w:marTop w:val="0"/>
      <w:marBottom w:val="0"/>
      <w:divBdr>
        <w:top w:val="none" w:sz="0" w:space="0" w:color="auto"/>
        <w:left w:val="none" w:sz="0" w:space="0" w:color="auto"/>
        <w:bottom w:val="none" w:sz="0" w:space="0" w:color="auto"/>
        <w:right w:val="none" w:sz="0" w:space="0" w:color="auto"/>
      </w:divBdr>
    </w:div>
    <w:div w:id="1819179084">
      <w:bodyDiv w:val="1"/>
      <w:marLeft w:val="0"/>
      <w:marRight w:val="0"/>
      <w:marTop w:val="0"/>
      <w:marBottom w:val="0"/>
      <w:divBdr>
        <w:top w:val="none" w:sz="0" w:space="0" w:color="auto"/>
        <w:left w:val="none" w:sz="0" w:space="0" w:color="auto"/>
        <w:bottom w:val="none" w:sz="0" w:space="0" w:color="auto"/>
        <w:right w:val="none" w:sz="0" w:space="0" w:color="auto"/>
      </w:divBdr>
    </w:div>
    <w:div w:id="1819225970">
      <w:bodyDiv w:val="1"/>
      <w:marLeft w:val="0"/>
      <w:marRight w:val="0"/>
      <w:marTop w:val="0"/>
      <w:marBottom w:val="0"/>
      <w:divBdr>
        <w:top w:val="none" w:sz="0" w:space="0" w:color="auto"/>
        <w:left w:val="none" w:sz="0" w:space="0" w:color="auto"/>
        <w:bottom w:val="none" w:sz="0" w:space="0" w:color="auto"/>
        <w:right w:val="none" w:sz="0" w:space="0" w:color="auto"/>
      </w:divBdr>
    </w:div>
    <w:div w:id="1819305586">
      <w:bodyDiv w:val="1"/>
      <w:marLeft w:val="0"/>
      <w:marRight w:val="0"/>
      <w:marTop w:val="0"/>
      <w:marBottom w:val="0"/>
      <w:divBdr>
        <w:top w:val="none" w:sz="0" w:space="0" w:color="auto"/>
        <w:left w:val="none" w:sz="0" w:space="0" w:color="auto"/>
        <w:bottom w:val="none" w:sz="0" w:space="0" w:color="auto"/>
        <w:right w:val="none" w:sz="0" w:space="0" w:color="auto"/>
      </w:divBdr>
    </w:div>
    <w:div w:id="1819373398">
      <w:bodyDiv w:val="1"/>
      <w:marLeft w:val="0"/>
      <w:marRight w:val="0"/>
      <w:marTop w:val="0"/>
      <w:marBottom w:val="0"/>
      <w:divBdr>
        <w:top w:val="none" w:sz="0" w:space="0" w:color="auto"/>
        <w:left w:val="none" w:sz="0" w:space="0" w:color="auto"/>
        <w:bottom w:val="none" w:sz="0" w:space="0" w:color="auto"/>
        <w:right w:val="none" w:sz="0" w:space="0" w:color="auto"/>
      </w:divBdr>
    </w:div>
    <w:div w:id="1819420235">
      <w:bodyDiv w:val="1"/>
      <w:marLeft w:val="0"/>
      <w:marRight w:val="0"/>
      <w:marTop w:val="0"/>
      <w:marBottom w:val="0"/>
      <w:divBdr>
        <w:top w:val="none" w:sz="0" w:space="0" w:color="auto"/>
        <w:left w:val="none" w:sz="0" w:space="0" w:color="auto"/>
        <w:bottom w:val="none" w:sz="0" w:space="0" w:color="auto"/>
        <w:right w:val="none" w:sz="0" w:space="0" w:color="auto"/>
      </w:divBdr>
    </w:div>
    <w:div w:id="1819422194">
      <w:bodyDiv w:val="1"/>
      <w:marLeft w:val="0"/>
      <w:marRight w:val="0"/>
      <w:marTop w:val="0"/>
      <w:marBottom w:val="0"/>
      <w:divBdr>
        <w:top w:val="none" w:sz="0" w:space="0" w:color="auto"/>
        <w:left w:val="none" w:sz="0" w:space="0" w:color="auto"/>
        <w:bottom w:val="none" w:sz="0" w:space="0" w:color="auto"/>
        <w:right w:val="none" w:sz="0" w:space="0" w:color="auto"/>
      </w:divBdr>
    </w:div>
    <w:div w:id="1819498855">
      <w:bodyDiv w:val="1"/>
      <w:marLeft w:val="0"/>
      <w:marRight w:val="0"/>
      <w:marTop w:val="0"/>
      <w:marBottom w:val="0"/>
      <w:divBdr>
        <w:top w:val="none" w:sz="0" w:space="0" w:color="auto"/>
        <w:left w:val="none" w:sz="0" w:space="0" w:color="auto"/>
        <w:bottom w:val="none" w:sz="0" w:space="0" w:color="auto"/>
        <w:right w:val="none" w:sz="0" w:space="0" w:color="auto"/>
      </w:divBdr>
    </w:div>
    <w:div w:id="1819565333">
      <w:bodyDiv w:val="1"/>
      <w:marLeft w:val="0"/>
      <w:marRight w:val="0"/>
      <w:marTop w:val="0"/>
      <w:marBottom w:val="0"/>
      <w:divBdr>
        <w:top w:val="none" w:sz="0" w:space="0" w:color="auto"/>
        <w:left w:val="none" w:sz="0" w:space="0" w:color="auto"/>
        <w:bottom w:val="none" w:sz="0" w:space="0" w:color="auto"/>
        <w:right w:val="none" w:sz="0" w:space="0" w:color="auto"/>
      </w:divBdr>
    </w:div>
    <w:div w:id="1819565783">
      <w:bodyDiv w:val="1"/>
      <w:marLeft w:val="0"/>
      <w:marRight w:val="0"/>
      <w:marTop w:val="0"/>
      <w:marBottom w:val="0"/>
      <w:divBdr>
        <w:top w:val="none" w:sz="0" w:space="0" w:color="auto"/>
        <w:left w:val="none" w:sz="0" w:space="0" w:color="auto"/>
        <w:bottom w:val="none" w:sz="0" w:space="0" w:color="auto"/>
        <w:right w:val="none" w:sz="0" w:space="0" w:color="auto"/>
      </w:divBdr>
    </w:div>
    <w:div w:id="1819573146">
      <w:bodyDiv w:val="1"/>
      <w:marLeft w:val="0"/>
      <w:marRight w:val="0"/>
      <w:marTop w:val="0"/>
      <w:marBottom w:val="0"/>
      <w:divBdr>
        <w:top w:val="none" w:sz="0" w:space="0" w:color="auto"/>
        <w:left w:val="none" w:sz="0" w:space="0" w:color="auto"/>
        <w:bottom w:val="none" w:sz="0" w:space="0" w:color="auto"/>
        <w:right w:val="none" w:sz="0" w:space="0" w:color="auto"/>
      </w:divBdr>
    </w:div>
    <w:div w:id="1819805576">
      <w:bodyDiv w:val="1"/>
      <w:marLeft w:val="0"/>
      <w:marRight w:val="0"/>
      <w:marTop w:val="0"/>
      <w:marBottom w:val="0"/>
      <w:divBdr>
        <w:top w:val="none" w:sz="0" w:space="0" w:color="auto"/>
        <w:left w:val="none" w:sz="0" w:space="0" w:color="auto"/>
        <w:bottom w:val="none" w:sz="0" w:space="0" w:color="auto"/>
        <w:right w:val="none" w:sz="0" w:space="0" w:color="auto"/>
      </w:divBdr>
    </w:div>
    <w:div w:id="1819806158">
      <w:bodyDiv w:val="1"/>
      <w:marLeft w:val="0"/>
      <w:marRight w:val="0"/>
      <w:marTop w:val="0"/>
      <w:marBottom w:val="0"/>
      <w:divBdr>
        <w:top w:val="none" w:sz="0" w:space="0" w:color="auto"/>
        <w:left w:val="none" w:sz="0" w:space="0" w:color="auto"/>
        <w:bottom w:val="none" w:sz="0" w:space="0" w:color="auto"/>
        <w:right w:val="none" w:sz="0" w:space="0" w:color="auto"/>
      </w:divBdr>
    </w:div>
    <w:div w:id="1819807042">
      <w:bodyDiv w:val="1"/>
      <w:marLeft w:val="0"/>
      <w:marRight w:val="0"/>
      <w:marTop w:val="0"/>
      <w:marBottom w:val="0"/>
      <w:divBdr>
        <w:top w:val="none" w:sz="0" w:space="0" w:color="auto"/>
        <w:left w:val="none" w:sz="0" w:space="0" w:color="auto"/>
        <w:bottom w:val="none" w:sz="0" w:space="0" w:color="auto"/>
        <w:right w:val="none" w:sz="0" w:space="0" w:color="auto"/>
      </w:divBdr>
    </w:div>
    <w:div w:id="1819810061">
      <w:bodyDiv w:val="1"/>
      <w:marLeft w:val="0"/>
      <w:marRight w:val="0"/>
      <w:marTop w:val="0"/>
      <w:marBottom w:val="0"/>
      <w:divBdr>
        <w:top w:val="none" w:sz="0" w:space="0" w:color="auto"/>
        <w:left w:val="none" w:sz="0" w:space="0" w:color="auto"/>
        <w:bottom w:val="none" w:sz="0" w:space="0" w:color="auto"/>
        <w:right w:val="none" w:sz="0" w:space="0" w:color="auto"/>
      </w:divBdr>
    </w:div>
    <w:div w:id="1819877820">
      <w:bodyDiv w:val="1"/>
      <w:marLeft w:val="0"/>
      <w:marRight w:val="0"/>
      <w:marTop w:val="0"/>
      <w:marBottom w:val="0"/>
      <w:divBdr>
        <w:top w:val="none" w:sz="0" w:space="0" w:color="auto"/>
        <w:left w:val="none" w:sz="0" w:space="0" w:color="auto"/>
        <w:bottom w:val="none" w:sz="0" w:space="0" w:color="auto"/>
        <w:right w:val="none" w:sz="0" w:space="0" w:color="auto"/>
      </w:divBdr>
    </w:div>
    <w:div w:id="1819880985">
      <w:bodyDiv w:val="1"/>
      <w:marLeft w:val="0"/>
      <w:marRight w:val="0"/>
      <w:marTop w:val="0"/>
      <w:marBottom w:val="0"/>
      <w:divBdr>
        <w:top w:val="none" w:sz="0" w:space="0" w:color="auto"/>
        <w:left w:val="none" w:sz="0" w:space="0" w:color="auto"/>
        <w:bottom w:val="none" w:sz="0" w:space="0" w:color="auto"/>
        <w:right w:val="none" w:sz="0" w:space="0" w:color="auto"/>
      </w:divBdr>
    </w:div>
    <w:div w:id="1819881191">
      <w:bodyDiv w:val="1"/>
      <w:marLeft w:val="0"/>
      <w:marRight w:val="0"/>
      <w:marTop w:val="0"/>
      <w:marBottom w:val="0"/>
      <w:divBdr>
        <w:top w:val="none" w:sz="0" w:space="0" w:color="auto"/>
        <w:left w:val="none" w:sz="0" w:space="0" w:color="auto"/>
        <w:bottom w:val="none" w:sz="0" w:space="0" w:color="auto"/>
        <w:right w:val="none" w:sz="0" w:space="0" w:color="auto"/>
      </w:divBdr>
    </w:div>
    <w:div w:id="1819953718">
      <w:bodyDiv w:val="1"/>
      <w:marLeft w:val="0"/>
      <w:marRight w:val="0"/>
      <w:marTop w:val="0"/>
      <w:marBottom w:val="0"/>
      <w:divBdr>
        <w:top w:val="none" w:sz="0" w:space="0" w:color="auto"/>
        <w:left w:val="none" w:sz="0" w:space="0" w:color="auto"/>
        <w:bottom w:val="none" w:sz="0" w:space="0" w:color="auto"/>
        <w:right w:val="none" w:sz="0" w:space="0" w:color="auto"/>
      </w:divBdr>
    </w:div>
    <w:div w:id="1819954355">
      <w:bodyDiv w:val="1"/>
      <w:marLeft w:val="0"/>
      <w:marRight w:val="0"/>
      <w:marTop w:val="0"/>
      <w:marBottom w:val="0"/>
      <w:divBdr>
        <w:top w:val="none" w:sz="0" w:space="0" w:color="auto"/>
        <w:left w:val="none" w:sz="0" w:space="0" w:color="auto"/>
        <w:bottom w:val="none" w:sz="0" w:space="0" w:color="auto"/>
        <w:right w:val="none" w:sz="0" w:space="0" w:color="auto"/>
      </w:divBdr>
    </w:div>
    <w:div w:id="1819958909">
      <w:bodyDiv w:val="1"/>
      <w:marLeft w:val="0"/>
      <w:marRight w:val="0"/>
      <w:marTop w:val="0"/>
      <w:marBottom w:val="0"/>
      <w:divBdr>
        <w:top w:val="none" w:sz="0" w:space="0" w:color="auto"/>
        <w:left w:val="none" w:sz="0" w:space="0" w:color="auto"/>
        <w:bottom w:val="none" w:sz="0" w:space="0" w:color="auto"/>
        <w:right w:val="none" w:sz="0" w:space="0" w:color="auto"/>
      </w:divBdr>
    </w:div>
    <w:div w:id="1820003327">
      <w:bodyDiv w:val="1"/>
      <w:marLeft w:val="0"/>
      <w:marRight w:val="0"/>
      <w:marTop w:val="0"/>
      <w:marBottom w:val="0"/>
      <w:divBdr>
        <w:top w:val="none" w:sz="0" w:space="0" w:color="auto"/>
        <w:left w:val="none" w:sz="0" w:space="0" w:color="auto"/>
        <w:bottom w:val="none" w:sz="0" w:space="0" w:color="auto"/>
        <w:right w:val="none" w:sz="0" w:space="0" w:color="auto"/>
      </w:divBdr>
    </w:div>
    <w:div w:id="1820070518">
      <w:bodyDiv w:val="1"/>
      <w:marLeft w:val="0"/>
      <w:marRight w:val="0"/>
      <w:marTop w:val="0"/>
      <w:marBottom w:val="0"/>
      <w:divBdr>
        <w:top w:val="none" w:sz="0" w:space="0" w:color="auto"/>
        <w:left w:val="none" w:sz="0" w:space="0" w:color="auto"/>
        <w:bottom w:val="none" w:sz="0" w:space="0" w:color="auto"/>
        <w:right w:val="none" w:sz="0" w:space="0" w:color="auto"/>
      </w:divBdr>
    </w:div>
    <w:div w:id="1820153649">
      <w:bodyDiv w:val="1"/>
      <w:marLeft w:val="0"/>
      <w:marRight w:val="0"/>
      <w:marTop w:val="0"/>
      <w:marBottom w:val="0"/>
      <w:divBdr>
        <w:top w:val="none" w:sz="0" w:space="0" w:color="auto"/>
        <w:left w:val="none" w:sz="0" w:space="0" w:color="auto"/>
        <w:bottom w:val="none" w:sz="0" w:space="0" w:color="auto"/>
        <w:right w:val="none" w:sz="0" w:space="0" w:color="auto"/>
      </w:divBdr>
    </w:div>
    <w:div w:id="1820415115">
      <w:bodyDiv w:val="1"/>
      <w:marLeft w:val="0"/>
      <w:marRight w:val="0"/>
      <w:marTop w:val="0"/>
      <w:marBottom w:val="0"/>
      <w:divBdr>
        <w:top w:val="none" w:sz="0" w:space="0" w:color="auto"/>
        <w:left w:val="none" w:sz="0" w:space="0" w:color="auto"/>
        <w:bottom w:val="none" w:sz="0" w:space="0" w:color="auto"/>
        <w:right w:val="none" w:sz="0" w:space="0" w:color="auto"/>
      </w:divBdr>
    </w:div>
    <w:div w:id="1820419560">
      <w:bodyDiv w:val="1"/>
      <w:marLeft w:val="0"/>
      <w:marRight w:val="0"/>
      <w:marTop w:val="0"/>
      <w:marBottom w:val="0"/>
      <w:divBdr>
        <w:top w:val="none" w:sz="0" w:space="0" w:color="auto"/>
        <w:left w:val="none" w:sz="0" w:space="0" w:color="auto"/>
        <w:bottom w:val="none" w:sz="0" w:space="0" w:color="auto"/>
        <w:right w:val="none" w:sz="0" w:space="0" w:color="auto"/>
      </w:divBdr>
    </w:div>
    <w:div w:id="1820683720">
      <w:bodyDiv w:val="1"/>
      <w:marLeft w:val="0"/>
      <w:marRight w:val="0"/>
      <w:marTop w:val="0"/>
      <w:marBottom w:val="0"/>
      <w:divBdr>
        <w:top w:val="none" w:sz="0" w:space="0" w:color="auto"/>
        <w:left w:val="none" w:sz="0" w:space="0" w:color="auto"/>
        <w:bottom w:val="none" w:sz="0" w:space="0" w:color="auto"/>
        <w:right w:val="none" w:sz="0" w:space="0" w:color="auto"/>
      </w:divBdr>
    </w:div>
    <w:div w:id="1820801812">
      <w:bodyDiv w:val="1"/>
      <w:marLeft w:val="0"/>
      <w:marRight w:val="0"/>
      <w:marTop w:val="0"/>
      <w:marBottom w:val="0"/>
      <w:divBdr>
        <w:top w:val="none" w:sz="0" w:space="0" w:color="auto"/>
        <w:left w:val="none" w:sz="0" w:space="0" w:color="auto"/>
        <w:bottom w:val="none" w:sz="0" w:space="0" w:color="auto"/>
        <w:right w:val="none" w:sz="0" w:space="0" w:color="auto"/>
      </w:divBdr>
    </w:div>
    <w:div w:id="1820802665">
      <w:bodyDiv w:val="1"/>
      <w:marLeft w:val="0"/>
      <w:marRight w:val="0"/>
      <w:marTop w:val="0"/>
      <w:marBottom w:val="0"/>
      <w:divBdr>
        <w:top w:val="none" w:sz="0" w:space="0" w:color="auto"/>
        <w:left w:val="none" w:sz="0" w:space="0" w:color="auto"/>
        <w:bottom w:val="none" w:sz="0" w:space="0" w:color="auto"/>
        <w:right w:val="none" w:sz="0" w:space="0" w:color="auto"/>
      </w:divBdr>
    </w:div>
    <w:div w:id="1820806998">
      <w:bodyDiv w:val="1"/>
      <w:marLeft w:val="0"/>
      <w:marRight w:val="0"/>
      <w:marTop w:val="0"/>
      <w:marBottom w:val="0"/>
      <w:divBdr>
        <w:top w:val="none" w:sz="0" w:space="0" w:color="auto"/>
        <w:left w:val="none" w:sz="0" w:space="0" w:color="auto"/>
        <w:bottom w:val="none" w:sz="0" w:space="0" w:color="auto"/>
        <w:right w:val="none" w:sz="0" w:space="0" w:color="auto"/>
      </w:divBdr>
    </w:div>
    <w:div w:id="1820880356">
      <w:bodyDiv w:val="1"/>
      <w:marLeft w:val="0"/>
      <w:marRight w:val="0"/>
      <w:marTop w:val="0"/>
      <w:marBottom w:val="0"/>
      <w:divBdr>
        <w:top w:val="none" w:sz="0" w:space="0" w:color="auto"/>
        <w:left w:val="none" w:sz="0" w:space="0" w:color="auto"/>
        <w:bottom w:val="none" w:sz="0" w:space="0" w:color="auto"/>
        <w:right w:val="none" w:sz="0" w:space="0" w:color="auto"/>
      </w:divBdr>
    </w:div>
    <w:div w:id="1820998531">
      <w:bodyDiv w:val="1"/>
      <w:marLeft w:val="0"/>
      <w:marRight w:val="0"/>
      <w:marTop w:val="0"/>
      <w:marBottom w:val="0"/>
      <w:divBdr>
        <w:top w:val="none" w:sz="0" w:space="0" w:color="auto"/>
        <w:left w:val="none" w:sz="0" w:space="0" w:color="auto"/>
        <w:bottom w:val="none" w:sz="0" w:space="0" w:color="auto"/>
        <w:right w:val="none" w:sz="0" w:space="0" w:color="auto"/>
      </w:divBdr>
    </w:div>
    <w:div w:id="1821117242">
      <w:bodyDiv w:val="1"/>
      <w:marLeft w:val="0"/>
      <w:marRight w:val="0"/>
      <w:marTop w:val="0"/>
      <w:marBottom w:val="0"/>
      <w:divBdr>
        <w:top w:val="none" w:sz="0" w:space="0" w:color="auto"/>
        <w:left w:val="none" w:sz="0" w:space="0" w:color="auto"/>
        <w:bottom w:val="none" w:sz="0" w:space="0" w:color="auto"/>
        <w:right w:val="none" w:sz="0" w:space="0" w:color="auto"/>
      </w:divBdr>
    </w:div>
    <w:div w:id="1821118870">
      <w:bodyDiv w:val="1"/>
      <w:marLeft w:val="0"/>
      <w:marRight w:val="0"/>
      <w:marTop w:val="0"/>
      <w:marBottom w:val="0"/>
      <w:divBdr>
        <w:top w:val="none" w:sz="0" w:space="0" w:color="auto"/>
        <w:left w:val="none" w:sz="0" w:space="0" w:color="auto"/>
        <w:bottom w:val="none" w:sz="0" w:space="0" w:color="auto"/>
        <w:right w:val="none" w:sz="0" w:space="0" w:color="auto"/>
      </w:divBdr>
    </w:div>
    <w:div w:id="1821144401">
      <w:bodyDiv w:val="1"/>
      <w:marLeft w:val="0"/>
      <w:marRight w:val="0"/>
      <w:marTop w:val="0"/>
      <w:marBottom w:val="0"/>
      <w:divBdr>
        <w:top w:val="none" w:sz="0" w:space="0" w:color="auto"/>
        <w:left w:val="none" w:sz="0" w:space="0" w:color="auto"/>
        <w:bottom w:val="none" w:sz="0" w:space="0" w:color="auto"/>
        <w:right w:val="none" w:sz="0" w:space="0" w:color="auto"/>
      </w:divBdr>
    </w:div>
    <w:div w:id="1821146739">
      <w:bodyDiv w:val="1"/>
      <w:marLeft w:val="0"/>
      <w:marRight w:val="0"/>
      <w:marTop w:val="0"/>
      <w:marBottom w:val="0"/>
      <w:divBdr>
        <w:top w:val="none" w:sz="0" w:space="0" w:color="auto"/>
        <w:left w:val="none" w:sz="0" w:space="0" w:color="auto"/>
        <w:bottom w:val="none" w:sz="0" w:space="0" w:color="auto"/>
        <w:right w:val="none" w:sz="0" w:space="0" w:color="auto"/>
      </w:divBdr>
    </w:div>
    <w:div w:id="1821262247">
      <w:bodyDiv w:val="1"/>
      <w:marLeft w:val="0"/>
      <w:marRight w:val="0"/>
      <w:marTop w:val="0"/>
      <w:marBottom w:val="0"/>
      <w:divBdr>
        <w:top w:val="none" w:sz="0" w:space="0" w:color="auto"/>
        <w:left w:val="none" w:sz="0" w:space="0" w:color="auto"/>
        <w:bottom w:val="none" w:sz="0" w:space="0" w:color="auto"/>
        <w:right w:val="none" w:sz="0" w:space="0" w:color="auto"/>
      </w:divBdr>
    </w:div>
    <w:div w:id="1821386396">
      <w:bodyDiv w:val="1"/>
      <w:marLeft w:val="0"/>
      <w:marRight w:val="0"/>
      <w:marTop w:val="0"/>
      <w:marBottom w:val="0"/>
      <w:divBdr>
        <w:top w:val="none" w:sz="0" w:space="0" w:color="auto"/>
        <w:left w:val="none" w:sz="0" w:space="0" w:color="auto"/>
        <w:bottom w:val="none" w:sz="0" w:space="0" w:color="auto"/>
        <w:right w:val="none" w:sz="0" w:space="0" w:color="auto"/>
      </w:divBdr>
    </w:div>
    <w:div w:id="1821454948">
      <w:bodyDiv w:val="1"/>
      <w:marLeft w:val="0"/>
      <w:marRight w:val="0"/>
      <w:marTop w:val="0"/>
      <w:marBottom w:val="0"/>
      <w:divBdr>
        <w:top w:val="none" w:sz="0" w:space="0" w:color="auto"/>
        <w:left w:val="none" w:sz="0" w:space="0" w:color="auto"/>
        <w:bottom w:val="none" w:sz="0" w:space="0" w:color="auto"/>
        <w:right w:val="none" w:sz="0" w:space="0" w:color="auto"/>
      </w:divBdr>
    </w:div>
    <w:div w:id="1821538895">
      <w:bodyDiv w:val="1"/>
      <w:marLeft w:val="0"/>
      <w:marRight w:val="0"/>
      <w:marTop w:val="0"/>
      <w:marBottom w:val="0"/>
      <w:divBdr>
        <w:top w:val="none" w:sz="0" w:space="0" w:color="auto"/>
        <w:left w:val="none" w:sz="0" w:space="0" w:color="auto"/>
        <w:bottom w:val="none" w:sz="0" w:space="0" w:color="auto"/>
        <w:right w:val="none" w:sz="0" w:space="0" w:color="auto"/>
      </w:divBdr>
    </w:div>
    <w:div w:id="1821650311">
      <w:bodyDiv w:val="1"/>
      <w:marLeft w:val="0"/>
      <w:marRight w:val="0"/>
      <w:marTop w:val="0"/>
      <w:marBottom w:val="0"/>
      <w:divBdr>
        <w:top w:val="none" w:sz="0" w:space="0" w:color="auto"/>
        <w:left w:val="none" w:sz="0" w:space="0" w:color="auto"/>
        <w:bottom w:val="none" w:sz="0" w:space="0" w:color="auto"/>
        <w:right w:val="none" w:sz="0" w:space="0" w:color="auto"/>
      </w:divBdr>
    </w:div>
    <w:div w:id="1821725236">
      <w:bodyDiv w:val="1"/>
      <w:marLeft w:val="0"/>
      <w:marRight w:val="0"/>
      <w:marTop w:val="0"/>
      <w:marBottom w:val="0"/>
      <w:divBdr>
        <w:top w:val="none" w:sz="0" w:space="0" w:color="auto"/>
        <w:left w:val="none" w:sz="0" w:space="0" w:color="auto"/>
        <w:bottom w:val="none" w:sz="0" w:space="0" w:color="auto"/>
        <w:right w:val="none" w:sz="0" w:space="0" w:color="auto"/>
      </w:divBdr>
    </w:div>
    <w:div w:id="1821732215">
      <w:bodyDiv w:val="1"/>
      <w:marLeft w:val="0"/>
      <w:marRight w:val="0"/>
      <w:marTop w:val="0"/>
      <w:marBottom w:val="0"/>
      <w:divBdr>
        <w:top w:val="none" w:sz="0" w:space="0" w:color="auto"/>
        <w:left w:val="none" w:sz="0" w:space="0" w:color="auto"/>
        <w:bottom w:val="none" w:sz="0" w:space="0" w:color="auto"/>
        <w:right w:val="none" w:sz="0" w:space="0" w:color="auto"/>
      </w:divBdr>
    </w:div>
    <w:div w:id="1821925558">
      <w:bodyDiv w:val="1"/>
      <w:marLeft w:val="0"/>
      <w:marRight w:val="0"/>
      <w:marTop w:val="0"/>
      <w:marBottom w:val="0"/>
      <w:divBdr>
        <w:top w:val="none" w:sz="0" w:space="0" w:color="auto"/>
        <w:left w:val="none" w:sz="0" w:space="0" w:color="auto"/>
        <w:bottom w:val="none" w:sz="0" w:space="0" w:color="auto"/>
        <w:right w:val="none" w:sz="0" w:space="0" w:color="auto"/>
      </w:divBdr>
    </w:div>
    <w:div w:id="1822114063">
      <w:bodyDiv w:val="1"/>
      <w:marLeft w:val="0"/>
      <w:marRight w:val="0"/>
      <w:marTop w:val="0"/>
      <w:marBottom w:val="0"/>
      <w:divBdr>
        <w:top w:val="none" w:sz="0" w:space="0" w:color="auto"/>
        <w:left w:val="none" w:sz="0" w:space="0" w:color="auto"/>
        <w:bottom w:val="none" w:sz="0" w:space="0" w:color="auto"/>
        <w:right w:val="none" w:sz="0" w:space="0" w:color="auto"/>
      </w:divBdr>
    </w:div>
    <w:div w:id="1822186236">
      <w:bodyDiv w:val="1"/>
      <w:marLeft w:val="0"/>
      <w:marRight w:val="0"/>
      <w:marTop w:val="0"/>
      <w:marBottom w:val="0"/>
      <w:divBdr>
        <w:top w:val="none" w:sz="0" w:space="0" w:color="auto"/>
        <w:left w:val="none" w:sz="0" w:space="0" w:color="auto"/>
        <w:bottom w:val="none" w:sz="0" w:space="0" w:color="auto"/>
        <w:right w:val="none" w:sz="0" w:space="0" w:color="auto"/>
      </w:divBdr>
    </w:div>
    <w:div w:id="1822455628">
      <w:bodyDiv w:val="1"/>
      <w:marLeft w:val="0"/>
      <w:marRight w:val="0"/>
      <w:marTop w:val="0"/>
      <w:marBottom w:val="0"/>
      <w:divBdr>
        <w:top w:val="none" w:sz="0" w:space="0" w:color="auto"/>
        <w:left w:val="none" w:sz="0" w:space="0" w:color="auto"/>
        <w:bottom w:val="none" w:sz="0" w:space="0" w:color="auto"/>
        <w:right w:val="none" w:sz="0" w:space="0" w:color="auto"/>
      </w:divBdr>
    </w:div>
    <w:div w:id="1822694874">
      <w:bodyDiv w:val="1"/>
      <w:marLeft w:val="0"/>
      <w:marRight w:val="0"/>
      <w:marTop w:val="0"/>
      <w:marBottom w:val="0"/>
      <w:divBdr>
        <w:top w:val="none" w:sz="0" w:space="0" w:color="auto"/>
        <w:left w:val="none" w:sz="0" w:space="0" w:color="auto"/>
        <w:bottom w:val="none" w:sz="0" w:space="0" w:color="auto"/>
        <w:right w:val="none" w:sz="0" w:space="0" w:color="auto"/>
      </w:divBdr>
    </w:div>
    <w:div w:id="1822771041">
      <w:bodyDiv w:val="1"/>
      <w:marLeft w:val="0"/>
      <w:marRight w:val="0"/>
      <w:marTop w:val="0"/>
      <w:marBottom w:val="0"/>
      <w:divBdr>
        <w:top w:val="none" w:sz="0" w:space="0" w:color="auto"/>
        <w:left w:val="none" w:sz="0" w:space="0" w:color="auto"/>
        <w:bottom w:val="none" w:sz="0" w:space="0" w:color="auto"/>
        <w:right w:val="none" w:sz="0" w:space="0" w:color="auto"/>
      </w:divBdr>
    </w:div>
    <w:div w:id="1822844016">
      <w:bodyDiv w:val="1"/>
      <w:marLeft w:val="0"/>
      <w:marRight w:val="0"/>
      <w:marTop w:val="0"/>
      <w:marBottom w:val="0"/>
      <w:divBdr>
        <w:top w:val="none" w:sz="0" w:space="0" w:color="auto"/>
        <w:left w:val="none" w:sz="0" w:space="0" w:color="auto"/>
        <w:bottom w:val="none" w:sz="0" w:space="0" w:color="auto"/>
        <w:right w:val="none" w:sz="0" w:space="0" w:color="auto"/>
      </w:divBdr>
    </w:div>
    <w:div w:id="1822887945">
      <w:bodyDiv w:val="1"/>
      <w:marLeft w:val="0"/>
      <w:marRight w:val="0"/>
      <w:marTop w:val="0"/>
      <w:marBottom w:val="0"/>
      <w:divBdr>
        <w:top w:val="none" w:sz="0" w:space="0" w:color="auto"/>
        <w:left w:val="none" w:sz="0" w:space="0" w:color="auto"/>
        <w:bottom w:val="none" w:sz="0" w:space="0" w:color="auto"/>
        <w:right w:val="none" w:sz="0" w:space="0" w:color="auto"/>
      </w:divBdr>
    </w:div>
    <w:div w:id="1822889080">
      <w:bodyDiv w:val="1"/>
      <w:marLeft w:val="0"/>
      <w:marRight w:val="0"/>
      <w:marTop w:val="0"/>
      <w:marBottom w:val="0"/>
      <w:divBdr>
        <w:top w:val="none" w:sz="0" w:space="0" w:color="auto"/>
        <w:left w:val="none" w:sz="0" w:space="0" w:color="auto"/>
        <w:bottom w:val="none" w:sz="0" w:space="0" w:color="auto"/>
        <w:right w:val="none" w:sz="0" w:space="0" w:color="auto"/>
      </w:divBdr>
    </w:div>
    <w:div w:id="1822916259">
      <w:bodyDiv w:val="1"/>
      <w:marLeft w:val="0"/>
      <w:marRight w:val="0"/>
      <w:marTop w:val="0"/>
      <w:marBottom w:val="0"/>
      <w:divBdr>
        <w:top w:val="none" w:sz="0" w:space="0" w:color="auto"/>
        <w:left w:val="none" w:sz="0" w:space="0" w:color="auto"/>
        <w:bottom w:val="none" w:sz="0" w:space="0" w:color="auto"/>
        <w:right w:val="none" w:sz="0" w:space="0" w:color="auto"/>
      </w:divBdr>
    </w:div>
    <w:div w:id="1822958928">
      <w:bodyDiv w:val="1"/>
      <w:marLeft w:val="0"/>
      <w:marRight w:val="0"/>
      <w:marTop w:val="0"/>
      <w:marBottom w:val="0"/>
      <w:divBdr>
        <w:top w:val="none" w:sz="0" w:space="0" w:color="auto"/>
        <w:left w:val="none" w:sz="0" w:space="0" w:color="auto"/>
        <w:bottom w:val="none" w:sz="0" w:space="0" w:color="auto"/>
        <w:right w:val="none" w:sz="0" w:space="0" w:color="auto"/>
      </w:divBdr>
    </w:div>
    <w:div w:id="1822965947">
      <w:bodyDiv w:val="1"/>
      <w:marLeft w:val="0"/>
      <w:marRight w:val="0"/>
      <w:marTop w:val="0"/>
      <w:marBottom w:val="0"/>
      <w:divBdr>
        <w:top w:val="none" w:sz="0" w:space="0" w:color="auto"/>
        <w:left w:val="none" w:sz="0" w:space="0" w:color="auto"/>
        <w:bottom w:val="none" w:sz="0" w:space="0" w:color="auto"/>
        <w:right w:val="none" w:sz="0" w:space="0" w:color="auto"/>
      </w:divBdr>
    </w:div>
    <w:div w:id="1823110912">
      <w:bodyDiv w:val="1"/>
      <w:marLeft w:val="0"/>
      <w:marRight w:val="0"/>
      <w:marTop w:val="0"/>
      <w:marBottom w:val="0"/>
      <w:divBdr>
        <w:top w:val="none" w:sz="0" w:space="0" w:color="auto"/>
        <w:left w:val="none" w:sz="0" w:space="0" w:color="auto"/>
        <w:bottom w:val="none" w:sz="0" w:space="0" w:color="auto"/>
        <w:right w:val="none" w:sz="0" w:space="0" w:color="auto"/>
      </w:divBdr>
    </w:div>
    <w:div w:id="1823278067">
      <w:bodyDiv w:val="1"/>
      <w:marLeft w:val="0"/>
      <w:marRight w:val="0"/>
      <w:marTop w:val="0"/>
      <w:marBottom w:val="0"/>
      <w:divBdr>
        <w:top w:val="none" w:sz="0" w:space="0" w:color="auto"/>
        <w:left w:val="none" w:sz="0" w:space="0" w:color="auto"/>
        <w:bottom w:val="none" w:sz="0" w:space="0" w:color="auto"/>
        <w:right w:val="none" w:sz="0" w:space="0" w:color="auto"/>
      </w:divBdr>
    </w:div>
    <w:div w:id="1823306989">
      <w:bodyDiv w:val="1"/>
      <w:marLeft w:val="0"/>
      <w:marRight w:val="0"/>
      <w:marTop w:val="0"/>
      <w:marBottom w:val="0"/>
      <w:divBdr>
        <w:top w:val="none" w:sz="0" w:space="0" w:color="auto"/>
        <w:left w:val="none" w:sz="0" w:space="0" w:color="auto"/>
        <w:bottom w:val="none" w:sz="0" w:space="0" w:color="auto"/>
        <w:right w:val="none" w:sz="0" w:space="0" w:color="auto"/>
      </w:divBdr>
    </w:div>
    <w:div w:id="1823423775">
      <w:bodyDiv w:val="1"/>
      <w:marLeft w:val="0"/>
      <w:marRight w:val="0"/>
      <w:marTop w:val="0"/>
      <w:marBottom w:val="0"/>
      <w:divBdr>
        <w:top w:val="none" w:sz="0" w:space="0" w:color="auto"/>
        <w:left w:val="none" w:sz="0" w:space="0" w:color="auto"/>
        <w:bottom w:val="none" w:sz="0" w:space="0" w:color="auto"/>
        <w:right w:val="none" w:sz="0" w:space="0" w:color="auto"/>
      </w:divBdr>
    </w:div>
    <w:div w:id="1823502990">
      <w:bodyDiv w:val="1"/>
      <w:marLeft w:val="0"/>
      <w:marRight w:val="0"/>
      <w:marTop w:val="0"/>
      <w:marBottom w:val="0"/>
      <w:divBdr>
        <w:top w:val="none" w:sz="0" w:space="0" w:color="auto"/>
        <w:left w:val="none" w:sz="0" w:space="0" w:color="auto"/>
        <w:bottom w:val="none" w:sz="0" w:space="0" w:color="auto"/>
        <w:right w:val="none" w:sz="0" w:space="0" w:color="auto"/>
      </w:divBdr>
    </w:div>
    <w:div w:id="1823505368">
      <w:bodyDiv w:val="1"/>
      <w:marLeft w:val="0"/>
      <w:marRight w:val="0"/>
      <w:marTop w:val="0"/>
      <w:marBottom w:val="0"/>
      <w:divBdr>
        <w:top w:val="none" w:sz="0" w:space="0" w:color="auto"/>
        <w:left w:val="none" w:sz="0" w:space="0" w:color="auto"/>
        <w:bottom w:val="none" w:sz="0" w:space="0" w:color="auto"/>
        <w:right w:val="none" w:sz="0" w:space="0" w:color="auto"/>
      </w:divBdr>
    </w:div>
    <w:div w:id="1823546035">
      <w:bodyDiv w:val="1"/>
      <w:marLeft w:val="0"/>
      <w:marRight w:val="0"/>
      <w:marTop w:val="0"/>
      <w:marBottom w:val="0"/>
      <w:divBdr>
        <w:top w:val="none" w:sz="0" w:space="0" w:color="auto"/>
        <w:left w:val="none" w:sz="0" w:space="0" w:color="auto"/>
        <w:bottom w:val="none" w:sz="0" w:space="0" w:color="auto"/>
        <w:right w:val="none" w:sz="0" w:space="0" w:color="auto"/>
      </w:divBdr>
    </w:div>
    <w:div w:id="1823547992">
      <w:bodyDiv w:val="1"/>
      <w:marLeft w:val="0"/>
      <w:marRight w:val="0"/>
      <w:marTop w:val="0"/>
      <w:marBottom w:val="0"/>
      <w:divBdr>
        <w:top w:val="none" w:sz="0" w:space="0" w:color="auto"/>
        <w:left w:val="none" w:sz="0" w:space="0" w:color="auto"/>
        <w:bottom w:val="none" w:sz="0" w:space="0" w:color="auto"/>
        <w:right w:val="none" w:sz="0" w:space="0" w:color="auto"/>
      </w:divBdr>
    </w:div>
    <w:div w:id="1823961374">
      <w:bodyDiv w:val="1"/>
      <w:marLeft w:val="0"/>
      <w:marRight w:val="0"/>
      <w:marTop w:val="0"/>
      <w:marBottom w:val="0"/>
      <w:divBdr>
        <w:top w:val="none" w:sz="0" w:space="0" w:color="auto"/>
        <w:left w:val="none" w:sz="0" w:space="0" w:color="auto"/>
        <w:bottom w:val="none" w:sz="0" w:space="0" w:color="auto"/>
        <w:right w:val="none" w:sz="0" w:space="0" w:color="auto"/>
      </w:divBdr>
    </w:div>
    <w:div w:id="1824084279">
      <w:bodyDiv w:val="1"/>
      <w:marLeft w:val="0"/>
      <w:marRight w:val="0"/>
      <w:marTop w:val="0"/>
      <w:marBottom w:val="0"/>
      <w:divBdr>
        <w:top w:val="none" w:sz="0" w:space="0" w:color="auto"/>
        <w:left w:val="none" w:sz="0" w:space="0" w:color="auto"/>
        <w:bottom w:val="none" w:sz="0" w:space="0" w:color="auto"/>
        <w:right w:val="none" w:sz="0" w:space="0" w:color="auto"/>
      </w:divBdr>
    </w:div>
    <w:div w:id="1824270129">
      <w:bodyDiv w:val="1"/>
      <w:marLeft w:val="0"/>
      <w:marRight w:val="0"/>
      <w:marTop w:val="0"/>
      <w:marBottom w:val="0"/>
      <w:divBdr>
        <w:top w:val="none" w:sz="0" w:space="0" w:color="auto"/>
        <w:left w:val="none" w:sz="0" w:space="0" w:color="auto"/>
        <w:bottom w:val="none" w:sz="0" w:space="0" w:color="auto"/>
        <w:right w:val="none" w:sz="0" w:space="0" w:color="auto"/>
      </w:divBdr>
    </w:div>
    <w:div w:id="1824351385">
      <w:bodyDiv w:val="1"/>
      <w:marLeft w:val="0"/>
      <w:marRight w:val="0"/>
      <w:marTop w:val="0"/>
      <w:marBottom w:val="0"/>
      <w:divBdr>
        <w:top w:val="none" w:sz="0" w:space="0" w:color="auto"/>
        <w:left w:val="none" w:sz="0" w:space="0" w:color="auto"/>
        <w:bottom w:val="none" w:sz="0" w:space="0" w:color="auto"/>
        <w:right w:val="none" w:sz="0" w:space="0" w:color="auto"/>
      </w:divBdr>
    </w:div>
    <w:div w:id="1824469360">
      <w:bodyDiv w:val="1"/>
      <w:marLeft w:val="0"/>
      <w:marRight w:val="0"/>
      <w:marTop w:val="0"/>
      <w:marBottom w:val="0"/>
      <w:divBdr>
        <w:top w:val="none" w:sz="0" w:space="0" w:color="auto"/>
        <w:left w:val="none" w:sz="0" w:space="0" w:color="auto"/>
        <w:bottom w:val="none" w:sz="0" w:space="0" w:color="auto"/>
        <w:right w:val="none" w:sz="0" w:space="0" w:color="auto"/>
      </w:divBdr>
    </w:div>
    <w:div w:id="1824546737">
      <w:bodyDiv w:val="1"/>
      <w:marLeft w:val="0"/>
      <w:marRight w:val="0"/>
      <w:marTop w:val="0"/>
      <w:marBottom w:val="0"/>
      <w:divBdr>
        <w:top w:val="none" w:sz="0" w:space="0" w:color="auto"/>
        <w:left w:val="none" w:sz="0" w:space="0" w:color="auto"/>
        <w:bottom w:val="none" w:sz="0" w:space="0" w:color="auto"/>
        <w:right w:val="none" w:sz="0" w:space="0" w:color="auto"/>
      </w:divBdr>
    </w:div>
    <w:div w:id="1824546854">
      <w:bodyDiv w:val="1"/>
      <w:marLeft w:val="0"/>
      <w:marRight w:val="0"/>
      <w:marTop w:val="0"/>
      <w:marBottom w:val="0"/>
      <w:divBdr>
        <w:top w:val="none" w:sz="0" w:space="0" w:color="auto"/>
        <w:left w:val="none" w:sz="0" w:space="0" w:color="auto"/>
        <w:bottom w:val="none" w:sz="0" w:space="0" w:color="auto"/>
        <w:right w:val="none" w:sz="0" w:space="0" w:color="auto"/>
      </w:divBdr>
    </w:div>
    <w:div w:id="1824615931">
      <w:bodyDiv w:val="1"/>
      <w:marLeft w:val="0"/>
      <w:marRight w:val="0"/>
      <w:marTop w:val="0"/>
      <w:marBottom w:val="0"/>
      <w:divBdr>
        <w:top w:val="none" w:sz="0" w:space="0" w:color="auto"/>
        <w:left w:val="none" w:sz="0" w:space="0" w:color="auto"/>
        <w:bottom w:val="none" w:sz="0" w:space="0" w:color="auto"/>
        <w:right w:val="none" w:sz="0" w:space="0" w:color="auto"/>
      </w:divBdr>
    </w:div>
    <w:div w:id="1824731637">
      <w:bodyDiv w:val="1"/>
      <w:marLeft w:val="0"/>
      <w:marRight w:val="0"/>
      <w:marTop w:val="0"/>
      <w:marBottom w:val="0"/>
      <w:divBdr>
        <w:top w:val="none" w:sz="0" w:space="0" w:color="auto"/>
        <w:left w:val="none" w:sz="0" w:space="0" w:color="auto"/>
        <w:bottom w:val="none" w:sz="0" w:space="0" w:color="auto"/>
        <w:right w:val="none" w:sz="0" w:space="0" w:color="auto"/>
      </w:divBdr>
    </w:div>
    <w:div w:id="1824740092">
      <w:bodyDiv w:val="1"/>
      <w:marLeft w:val="0"/>
      <w:marRight w:val="0"/>
      <w:marTop w:val="0"/>
      <w:marBottom w:val="0"/>
      <w:divBdr>
        <w:top w:val="none" w:sz="0" w:space="0" w:color="auto"/>
        <w:left w:val="none" w:sz="0" w:space="0" w:color="auto"/>
        <w:bottom w:val="none" w:sz="0" w:space="0" w:color="auto"/>
        <w:right w:val="none" w:sz="0" w:space="0" w:color="auto"/>
      </w:divBdr>
    </w:div>
    <w:div w:id="1824812632">
      <w:bodyDiv w:val="1"/>
      <w:marLeft w:val="0"/>
      <w:marRight w:val="0"/>
      <w:marTop w:val="0"/>
      <w:marBottom w:val="0"/>
      <w:divBdr>
        <w:top w:val="none" w:sz="0" w:space="0" w:color="auto"/>
        <w:left w:val="none" w:sz="0" w:space="0" w:color="auto"/>
        <w:bottom w:val="none" w:sz="0" w:space="0" w:color="auto"/>
        <w:right w:val="none" w:sz="0" w:space="0" w:color="auto"/>
      </w:divBdr>
    </w:div>
    <w:div w:id="1824928895">
      <w:bodyDiv w:val="1"/>
      <w:marLeft w:val="0"/>
      <w:marRight w:val="0"/>
      <w:marTop w:val="0"/>
      <w:marBottom w:val="0"/>
      <w:divBdr>
        <w:top w:val="none" w:sz="0" w:space="0" w:color="auto"/>
        <w:left w:val="none" w:sz="0" w:space="0" w:color="auto"/>
        <w:bottom w:val="none" w:sz="0" w:space="0" w:color="auto"/>
        <w:right w:val="none" w:sz="0" w:space="0" w:color="auto"/>
      </w:divBdr>
    </w:div>
    <w:div w:id="1825003128">
      <w:bodyDiv w:val="1"/>
      <w:marLeft w:val="0"/>
      <w:marRight w:val="0"/>
      <w:marTop w:val="0"/>
      <w:marBottom w:val="0"/>
      <w:divBdr>
        <w:top w:val="none" w:sz="0" w:space="0" w:color="auto"/>
        <w:left w:val="none" w:sz="0" w:space="0" w:color="auto"/>
        <w:bottom w:val="none" w:sz="0" w:space="0" w:color="auto"/>
        <w:right w:val="none" w:sz="0" w:space="0" w:color="auto"/>
      </w:divBdr>
    </w:div>
    <w:div w:id="1825271311">
      <w:bodyDiv w:val="1"/>
      <w:marLeft w:val="0"/>
      <w:marRight w:val="0"/>
      <w:marTop w:val="0"/>
      <w:marBottom w:val="0"/>
      <w:divBdr>
        <w:top w:val="none" w:sz="0" w:space="0" w:color="auto"/>
        <w:left w:val="none" w:sz="0" w:space="0" w:color="auto"/>
        <w:bottom w:val="none" w:sz="0" w:space="0" w:color="auto"/>
        <w:right w:val="none" w:sz="0" w:space="0" w:color="auto"/>
      </w:divBdr>
    </w:div>
    <w:div w:id="1825271469">
      <w:bodyDiv w:val="1"/>
      <w:marLeft w:val="0"/>
      <w:marRight w:val="0"/>
      <w:marTop w:val="0"/>
      <w:marBottom w:val="0"/>
      <w:divBdr>
        <w:top w:val="none" w:sz="0" w:space="0" w:color="auto"/>
        <w:left w:val="none" w:sz="0" w:space="0" w:color="auto"/>
        <w:bottom w:val="none" w:sz="0" w:space="0" w:color="auto"/>
        <w:right w:val="none" w:sz="0" w:space="0" w:color="auto"/>
      </w:divBdr>
    </w:div>
    <w:div w:id="1825393828">
      <w:bodyDiv w:val="1"/>
      <w:marLeft w:val="0"/>
      <w:marRight w:val="0"/>
      <w:marTop w:val="0"/>
      <w:marBottom w:val="0"/>
      <w:divBdr>
        <w:top w:val="none" w:sz="0" w:space="0" w:color="auto"/>
        <w:left w:val="none" w:sz="0" w:space="0" w:color="auto"/>
        <w:bottom w:val="none" w:sz="0" w:space="0" w:color="auto"/>
        <w:right w:val="none" w:sz="0" w:space="0" w:color="auto"/>
      </w:divBdr>
    </w:div>
    <w:div w:id="1825511677">
      <w:bodyDiv w:val="1"/>
      <w:marLeft w:val="0"/>
      <w:marRight w:val="0"/>
      <w:marTop w:val="0"/>
      <w:marBottom w:val="0"/>
      <w:divBdr>
        <w:top w:val="none" w:sz="0" w:space="0" w:color="auto"/>
        <w:left w:val="none" w:sz="0" w:space="0" w:color="auto"/>
        <w:bottom w:val="none" w:sz="0" w:space="0" w:color="auto"/>
        <w:right w:val="none" w:sz="0" w:space="0" w:color="auto"/>
      </w:divBdr>
    </w:div>
    <w:div w:id="1825585809">
      <w:bodyDiv w:val="1"/>
      <w:marLeft w:val="0"/>
      <w:marRight w:val="0"/>
      <w:marTop w:val="0"/>
      <w:marBottom w:val="0"/>
      <w:divBdr>
        <w:top w:val="none" w:sz="0" w:space="0" w:color="auto"/>
        <w:left w:val="none" w:sz="0" w:space="0" w:color="auto"/>
        <w:bottom w:val="none" w:sz="0" w:space="0" w:color="auto"/>
        <w:right w:val="none" w:sz="0" w:space="0" w:color="auto"/>
      </w:divBdr>
    </w:div>
    <w:div w:id="1825779569">
      <w:bodyDiv w:val="1"/>
      <w:marLeft w:val="0"/>
      <w:marRight w:val="0"/>
      <w:marTop w:val="0"/>
      <w:marBottom w:val="0"/>
      <w:divBdr>
        <w:top w:val="none" w:sz="0" w:space="0" w:color="auto"/>
        <w:left w:val="none" w:sz="0" w:space="0" w:color="auto"/>
        <w:bottom w:val="none" w:sz="0" w:space="0" w:color="auto"/>
        <w:right w:val="none" w:sz="0" w:space="0" w:color="auto"/>
      </w:divBdr>
    </w:div>
    <w:div w:id="1825780383">
      <w:bodyDiv w:val="1"/>
      <w:marLeft w:val="0"/>
      <w:marRight w:val="0"/>
      <w:marTop w:val="0"/>
      <w:marBottom w:val="0"/>
      <w:divBdr>
        <w:top w:val="none" w:sz="0" w:space="0" w:color="auto"/>
        <w:left w:val="none" w:sz="0" w:space="0" w:color="auto"/>
        <w:bottom w:val="none" w:sz="0" w:space="0" w:color="auto"/>
        <w:right w:val="none" w:sz="0" w:space="0" w:color="auto"/>
      </w:divBdr>
    </w:div>
    <w:div w:id="1825852109">
      <w:bodyDiv w:val="1"/>
      <w:marLeft w:val="0"/>
      <w:marRight w:val="0"/>
      <w:marTop w:val="0"/>
      <w:marBottom w:val="0"/>
      <w:divBdr>
        <w:top w:val="none" w:sz="0" w:space="0" w:color="auto"/>
        <w:left w:val="none" w:sz="0" w:space="0" w:color="auto"/>
        <w:bottom w:val="none" w:sz="0" w:space="0" w:color="auto"/>
        <w:right w:val="none" w:sz="0" w:space="0" w:color="auto"/>
      </w:divBdr>
    </w:div>
    <w:div w:id="1825854665">
      <w:bodyDiv w:val="1"/>
      <w:marLeft w:val="0"/>
      <w:marRight w:val="0"/>
      <w:marTop w:val="0"/>
      <w:marBottom w:val="0"/>
      <w:divBdr>
        <w:top w:val="none" w:sz="0" w:space="0" w:color="auto"/>
        <w:left w:val="none" w:sz="0" w:space="0" w:color="auto"/>
        <w:bottom w:val="none" w:sz="0" w:space="0" w:color="auto"/>
        <w:right w:val="none" w:sz="0" w:space="0" w:color="auto"/>
      </w:divBdr>
    </w:div>
    <w:div w:id="1826045741">
      <w:bodyDiv w:val="1"/>
      <w:marLeft w:val="0"/>
      <w:marRight w:val="0"/>
      <w:marTop w:val="0"/>
      <w:marBottom w:val="0"/>
      <w:divBdr>
        <w:top w:val="none" w:sz="0" w:space="0" w:color="auto"/>
        <w:left w:val="none" w:sz="0" w:space="0" w:color="auto"/>
        <w:bottom w:val="none" w:sz="0" w:space="0" w:color="auto"/>
        <w:right w:val="none" w:sz="0" w:space="0" w:color="auto"/>
      </w:divBdr>
    </w:div>
    <w:div w:id="1826120662">
      <w:bodyDiv w:val="1"/>
      <w:marLeft w:val="0"/>
      <w:marRight w:val="0"/>
      <w:marTop w:val="0"/>
      <w:marBottom w:val="0"/>
      <w:divBdr>
        <w:top w:val="none" w:sz="0" w:space="0" w:color="auto"/>
        <w:left w:val="none" w:sz="0" w:space="0" w:color="auto"/>
        <w:bottom w:val="none" w:sz="0" w:space="0" w:color="auto"/>
        <w:right w:val="none" w:sz="0" w:space="0" w:color="auto"/>
      </w:divBdr>
    </w:div>
    <w:div w:id="1826235859">
      <w:bodyDiv w:val="1"/>
      <w:marLeft w:val="0"/>
      <w:marRight w:val="0"/>
      <w:marTop w:val="0"/>
      <w:marBottom w:val="0"/>
      <w:divBdr>
        <w:top w:val="none" w:sz="0" w:space="0" w:color="auto"/>
        <w:left w:val="none" w:sz="0" w:space="0" w:color="auto"/>
        <w:bottom w:val="none" w:sz="0" w:space="0" w:color="auto"/>
        <w:right w:val="none" w:sz="0" w:space="0" w:color="auto"/>
      </w:divBdr>
    </w:div>
    <w:div w:id="1826237970">
      <w:bodyDiv w:val="1"/>
      <w:marLeft w:val="0"/>
      <w:marRight w:val="0"/>
      <w:marTop w:val="0"/>
      <w:marBottom w:val="0"/>
      <w:divBdr>
        <w:top w:val="none" w:sz="0" w:space="0" w:color="auto"/>
        <w:left w:val="none" w:sz="0" w:space="0" w:color="auto"/>
        <w:bottom w:val="none" w:sz="0" w:space="0" w:color="auto"/>
        <w:right w:val="none" w:sz="0" w:space="0" w:color="auto"/>
      </w:divBdr>
    </w:div>
    <w:div w:id="1826239629">
      <w:bodyDiv w:val="1"/>
      <w:marLeft w:val="0"/>
      <w:marRight w:val="0"/>
      <w:marTop w:val="0"/>
      <w:marBottom w:val="0"/>
      <w:divBdr>
        <w:top w:val="none" w:sz="0" w:space="0" w:color="auto"/>
        <w:left w:val="none" w:sz="0" w:space="0" w:color="auto"/>
        <w:bottom w:val="none" w:sz="0" w:space="0" w:color="auto"/>
        <w:right w:val="none" w:sz="0" w:space="0" w:color="auto"/>
      </w:divBdr>
    </w:div>
    <w:div w:id="1826241682">
      <w:bodyDiv w:val="1"/>
      <w:marLeft w:val="0"/>
      <w:marRight w:val="0"/>
      <w:marTop w:val="0"/>
      <w:marBottom w:val="0"/>
      <w:divBdr>
        <w:top w:val="none" w:sz="0" w:space="0" w:color="auto"/>
        <w:left w:val="none" w:sz="0" w:space="0" w:color="auto"/>
        <w:bottom w:val="none" w:sz="0" w:space="0" w:color="auto"/>
        <w:right w:val="none" w:sz="0" w:space="0" w:color="auto"/>
      </w:divBdr>
    </w:div>
    <w:div w:id="1826316134">
      <w:bodyDiv w:val="1"/>
      <w:marLeft w:val="0"/>
      <w:marRight w:val="0"/>
      <w:marTop w:val="0"/>
      <w:marBottom w:val="0"/>
      <w:divBdr>
        <w:top w:val="none" w:sz="0" w:space="0" w:color="auto"/>
        <w:left w:val="none" w:sz="0" w:space="0" w:color="auto"/>
        <w:bottom w:val="none" w:sz="0" w:space="0" w:color="auto"/>
        <w:right w:val="none" w:sz="0" w:space="0" w:color="auto"/>
      </w:divBdr>
    </w:div>
    <w:div w:id="1826361897">
      <w:bodyDiv w:val="1"/>
      <w:marLeft w:val="0"/>
      <w:marRight w:val="0"/>
      <w:marTop w:val="0"/>
      <w:marBottom w:val="0"/>
      <w:divBdr>
        <w:top w:val="none" w:sz="0" w:space="0" w:color="auto"/>
        <w:left w:val="none" w:sz="0" w:space="0" w:color="auto"/>
        <w:bottom w:val="none" w:sz="0" w:space="0" w:color="auto"/>
        <w:right w:val="none" w:sz="0" w:space="0" w:color="auto"/>
      </w:divBdr>
    </w:div>
    <w:div w:id="1826386398">
      <w:bodyDiv w:val="1"/>
      <w:marLeft w:val="0"/>
      <w:marRight w:val="0"/>
      <w:marTop w:val="0"/>
      <w:marBottom w:val="0"/>
      <w:divBdr>
        <w:top w:val="none" w:sz="0" w:space="0" w:color="auto"/>
        <w:left w:val="none" w:sz="0" w:space="0" w:color="auto"/>
        <w:bottom w:val="none" w:sz="0" w:space="0" w:color="auto"/>
        <w:right w:val="none" w:sz="0" w:space="0" w:color="auto"/>
      </w:divBdr>
    </w:div>
    <w:div w:id="1826583461">
      <w:bodyDiv w:val="1"/>
      <w:marLeft w:val="0"/>
      <w:marRight w:val="0"/>
      <w:marTop w:val="0"/>
      <w:marBottom w:val="0"/>
      <w:divBdr>
        <w:top w:val="none" w:sz="0" w:space="0" w:color="auto"/>
        <w:left w:val="none" w:sz="0" w:space="0" w:color="auto"/>
        <w:bottom w:val="none" w:sz="0" w:space="0" w:color="auto"/>
        <w:right w:val="none" w:sz="0" w:space="0" w:color="auto"/>
      </w:divBdr>
    </w:div>
    <w:div w:id="1826624059">
      <w:bodyDiv w:val="1"/>
      <w:marLeft w:val="0"/>
      <w:marRight w:val="0"/>
      <w:marTop w:val="0"/>
      <w:marBottom w:val="0"/>
      <w:divBdr>
        <w:top w:val="none" w:sz="0" w:space="0" w:color="auto"/>
        <w:left w:val="none" w:sz="0" w:space="0" w:color="auto"/>
        <w:bottom w:val="none" w:sz="0" w:space="0" w:color="auto"/>
        <w:right w:val="none" w:sz="0" w:space="0" w:color="auto"/>
      </w:divBdr>
    </w:div>
    <w:div w:id="1826777798">
      <w:bodyDiv w:val="1"/>
      <w:marLeft w:val="0"/>
      <w:marRight w:val="0"/>
      <w:marTop w:val="0"/>
      <w:marBottom w:val="0"/>
      <w:divBdr>
        <w:top w:val="none" w:sz="0" w:space="0" w:color="auto"/>
        <w:left w:val="none" w:sz="0" w:space="0" w:color="auto"/>
        <w:bottom w:val="none" w:sz="0" w:space="0" w:color="auto"/>
        <w:right w:val="none" w:sz="0" w:space="0" w:color="auto"/>
      </w:divBdr>
    </w:div>
    <w:div w:id="1826781600">
      <w:bodyDiv w:val="1"/>
      <w:marLeft w:val="0"/>
      <w:marRight w:val="0"/>
      <w:marTop w:val="0"/>
      <w:marBottom w:val="0"/>
      <w:divBdr>
        <w:top w:val="none" w:sz="0" w:space="0" w:color="auto"/>
        <w:left w:val="none" w:sz="0" w:space="0" w:color="auto"/>
        <w:bottom w:val="none" w:sz="0" w:space="0" w:color="auto"/>
        <w:right w:val="none" w:sz="0" w:space="0" w:color="auto"/>
      </w:divBdr>
    </w:div>
    <w:div w:id="1826818031">
      <w:bodyDiv w:val="1"/>
      <w:marLeft w:val="0"/>
      <w:marRight w:val="0"/>
      <w:marTop w:val="0"/>
      <w:marBottom w:val="0"/>
      <w:divBdr>
        <w:top w:val="none" w:sz="0" w:space="0" w:color="auto"/>
        <w:left w:val="none" w:sz="0" w:space="0" w:color="auto"/>
        <w:bottom w:val="none" w:sz="0" w:space="0" w:color="auto"/>
        <w:right w:val="none" w:sz="0" w:space="0" w:color="auto"/>
      </w:divBdr>
    </w:div>
    <w:div w:id="1826824812">
      <w:bodyDiv w:val="1"/>
      <w:marLeft w:val="0"/>
      <w:marRight w:val="0"/>
      <w:marTop w:val="0"/>
      <w:marBottom w:val="0"/>
      <w:divBdr>
        <w:top w:val="none" w:sz="0" w:space="0" w:color="auto"/>
        <w:left w:val="none" w:sz="0" w:space="0" w:color="auto"/>
        <w:bottom w:val="none" w:sz="0" w:space="0" w:color="auto"/>
        <w:right w:val="none" w:sz="0" w:space="0" w:color="auto"/>
      </w:divBdr>
    </w:div>
    <w:div w:id="1826896292">
      <w:bodyDiv w:val="1"/>
      <w:marLeft w:val="0"/>
      <w:marRight w:val="0"/>
      <w:marTop w:val="0"/>
      <w:marBottom w:val="0"/>
      <w:divBdr>
        <w:top w:val="none" w:sz="0" w:space="0" w:color="auto"/>
        <w:left w:val="none" w:sz="0" w:space="0" w:color="auto"/>
        <w:bottom w:val="none" w:sz="0" w:space="0" w:color="auto"/>
        <w:right w:val="none" w:sz="0" w:space="0" w:color="auto"/>
      </w:divBdr>
    </w:div>
    <w:div w:id="1827166515">
      <w:bodyDiv w:val="1"/>
      <w:marLeft w:val="0"/>
      <w:marRight w:val="0"/>
      <w:marTop w:val="0"/>
      <w:marBottom w:val="0"/>
      <w:divBdr>
        <w:top w:val="none" w:sz="0" w:space="0" w:color="auto"/>
        <w:left w:val="none" w:sz="0" w:space="0" w:color="auto"/>
        <w:bottom w:val="none" w:sz="0" w:space="0" w:color="auto"/>
        <w:right w:val="none" w:sz="0" w:space="0" w:color="auto"/>
      </w:divBdr>
    </w:div>
    <w:div w:id="1827210384">
      <w:bodyDiv w:val="1"/>
      <w:marLeft w:val="0"/>
      <w:marRight w:val="0"/>
      <w:marTop w:val="0"/>
      <w:marBottom w:val="0"/>
      <w:divBdr>
        <w:top w:val="none" w:sz="0" w:space="0" w:color="auto"/>
        <w:left w:val="none" w:sz="0" w:space="0" w:color="auto"/>
        <w:bottom w:val="none" w:sz="0" w:space="0" w:color="auto"/>
        <w:right w:val="none" w:sz="0" w:space="0" w:color="auto"/>
      </w:divBdr>
    </w:div>
    <w:div w:id="1827235067">
      <w:bodyDiv w:val="1"/>
      <w:marLeft w:val="0"/>
      <w:marRight w:val="0"/>
      <w:marTop w:val="0"/>
      <w:marBottom w:val="0"/>
      <w:divBdr>
        <w:top w:val="none" w:sz="0" w:space="0" w:color="auto"/>
        <w:left w:val="none" w:sz="0" w:space="0" w:color="auto"/>
        <w:bottom w:val="none" w:sz="0" w:space="0" w:color="auto"/>
        <w:right w:val="none" w:sz="0" w:space="0" w:color="auto"/>
      </w:divBdr>
    </w:div>
    <w:div w:id="1827237046">
      <w:bodyDiv w:val="1"/>
      <w:marLeft w:val="0"/>
      <w:marRight w:val="0"/>
      <w:marTop w:val="0"/>
      <w:marBottom w:val="0"/>
      <w:divBdr>
        <w:top w:val="none" w:sz="0" w:space="0" w:color="auto"/>
        <w:left w:val="none" w:sz="0" w:space="0" w:color="auto"/>
        <w:bottom w:val="none" w:sz="0" w:space="0" w:color="auto"/>
        <w:right w:val="none" w:sz="0" w:space="0" w:color="auto"/>
      </w:divBdr>
    </w:div>
    <w:div w:id="1827430723">
      <w:bodyDiv w:val="1"/>
      <w:marLeft w:val="0"/>
      <w:marRight w:val="0"/>
      <w:marTop w:val="0"/>
      <w:marBottom w:val="0"/>
      <w:divBdr>
        <w:top w:val="none" w:sz="0" w:space="0" w:color="auto"/>
        <w:left w:val="none" w:sz="0" w:space="0" w:color="auto"/>
        <w:bottom w:val="none" w:sz="0" w:space="0" w:color="auto"/>
        <w:right w:val="none" w:sz="0" w:space="0" w:color="auto"/>
      </w:divBdr>
    </w:div>
    <w:div w:id="1827471448">
      <w:bodyDiv w:val="1"/>
      <w:marLeft w:val="0"/>
      <w:marRight w:val="0"/>
      <w:marTop w:val="0"/>
      <w:marBottom w:val="0"/>
      <w:divBdr>
        <w:top w:val="none" w:sz="0" w:space="0" w:color="auto"/>
        <w:left w:val="none" w:sz="0" w:space="0" w:color="auto"/>
        <w:bottom w:val="none" w:sz="0" w:space="0" w:color="auto"/>
        <w:right w:val="none" w:sz="0" w:space="0" w:color="auto"/>
      </w:divBdr>
    </w:div>
    <w:div w:id="1827554300">
      <w:bodyDiv w:val="1"/>
      <w:marLeft w:val="0"/>
      <w:marRight w:val="0"/>
      <w:marTop w:val="0"/>
      <w:marBottom w:val="0"/>
      <w:divBdr>
        <w:top w:val="none" w:sz="0" w:space="0" w:color="auto"/>
        <w:left w:val="none" w:sz="0" w:space="0" w:color="auto"/>
        <w:bottom w:val="none" w:sz="0" w:space="0" w:color="auto"/>
        <w:right w:val="none" w:sz="0" w:space="0" w:color="auto"/>
      </w:divBdr>
    </w:div>
    <w:div w:id="1827697096">
      <w:bodyDiv w:val="1"/>
      <w:marLeft w:val="0"/>
      <w:marRight w:val="0"/>
      <w:marTop w:val="0"/>
      <w:marBottom w:val="0"/>
      <w:divBdr>
        <w:top w:val="none" w:sz="0" w:space="0" w:color="auto"/>
        <w:left w:val="none" w:sz="0" w:space="0" w:color="auto"/>
        <w:bottom w:val="none" w:sz="0" w:space="0" w:color="auto"/>
        <w:right w:val="none" w:sz="0" w:space="0" w:color="auto"/>
      </w:divBdr>
    </w:div>
    <w:div w:id="1827744386">
      <w:bodyDiv w:val="1"/>
      <w:marLeft w:val="0"/>
      <w:marRight w:val="0"/>
      <w:marTop w:val="0"/>
      <w:marBottom w:val="0"/>
      <w:divBdr>
        <w:top w:val="none" w:sz="0" w:space="0" w:color="auto"/>
        <w:left w:val="none" w:sz="0" w:space="0" w:color="auto"/>
        <w:bottom w:val="none" w:sz="0" w:space="0" w:color="auto"/>
        <w:right w:val="none" w:sz="0" w:space="0" w:color="auto"/>
      </w:divBdr>
    </w:div>
    <w:div w:id="1827746188">
      <w:bodyDiv w:val="1"/>
      <w:marLeft w:val="0"/>
      <w:marRight w:val="0"/>
      <w:marTop w:val="0"/>
      <w:marBottom w:val="0"/>
      <w:divBdr>
        <w:top w:val="none" w:sz="0" w:space="0" w:color="auto"/>
        <w:left w:val="none" w:sz="0" w:space="0" w:color="auto"/>
        <w:bottom w:val="none" w:sz="0" w:space="0" w:color="auto"/>
        <w:right w:val="none" w:sz="0" w:space="0" w:color="auto"/>
      </w:divBdr>
    </w:div>
    <w:div w:id="1827748242">
      <w:bodyDiv w:val="1"/>
      <w:marLeft w:val="0"/>
      <w:marRight w:val="0"/>
      <w:marTop w:val="0"/>
      <w:marBottom w:val="0"/>
      <w:divBdr>
        <w:top w:val="none" w:sz="0" w:space="0" w:color="auto"/>
        <w:left w:val="none" w:sz="0" w:space="0" w:color="auto"/>
        <w:bottom w:val="none" w:sz="0" w:space="0" w:color="auto"/>
        <w:right w:val="none" w:sz="0" w:space="0" w:color="auto"/>
      </w:divBdr>
    </w:div>
    <w:div w:id="1827823716">
      <w:bodyDiv w:val="1"/>
      <w:marLeft w:val="0"/>
      <w:marRight w:val="0"/>
      <w:marTop w:val="0"/>
      <w:marBottom w:val="0"/>
      <w:divBdr>
        <w:top w:val="none" w:sz="0" w:space="0" w:color="auto"/>
        <w:left w:val="none" w:sz="0" w:space="0" w:color="auto"/>
        <w:bottom w:val="none" w:sz="0" w:space="0" w:color="auto"/>
        <w:right w:val="none" w:sz="0" w:space="0" w:color="auto"/>
      </w:divBdr>
    </w:div>
    <w:div w:id="1827891702">
      <w:bodyDiv w:val="1"/>
      <w:marLeft w:val="0"/>
      <w:marRight w:val="0"/>
      <w:marTop w:val="0"/>
      <w:marBottom w:val="0"/>
      <w:divBdr>
        <w:top w:val="none" w:sz="0" w:space="0" w:color="auto"/>
        <w:left w:val="none" w:sz="0" w:space="0" w:color="auto"/>
        <w:bottom w:val="none" w:sz="0" w:space="0" w:color="auto"/>
        <w:right w:val="none" w:sz="0" w:space="0" w:color="auto"/>
      </w:divBdr>
    </w:div>
    <w:div w:id="1827935908">
      <w:bodyDiv w:val="1"/>
      <w:marLeft w:val="0"/>
      <w:marRight w:val="0"/>
      <w:marTop w:val="0"/>
      <w:marBottom w:val="0"/>
      <w:divBdr>
        <w:top w:val="none" w:sz="0" w:space="0" w:color="auto"/>
        <w:left w:val="none" w:sz="0" w:space="0" w:color="auto"/>
        <w:bottom w:val="none" w:sz="0" w:space="0" w:color="auto"/>
        <w:right w:val="none" w:sz="0" w:space="0" w:color="auto"/>
      </w:divBdr>
    </w:div>
    <w:div w:id="1827937231">
      <w:bodyDiv w:val="1"/>
      <w:marLeft w:val="0"/>
      <w:marRight w:val="0"/>
      <w:marTop w:val="0"/>
      <w:marBottom w:val="0"/>
      <w:divBdr>
        <w:top w:val="none" w:sz="0" w:space="0" w:color="auto"/>
        <w:left w:val="none" w:sz="0" w:space="0" w:color="auto"/>
        <w:bottom w:val="none" w:sz="0" w:space="0" w:color="auto"/>
        <w:right w:val="none" w:sz="0" w:space="0" w:color="auto"/>
      </w:divBdr>
    </w:div>
    <w:div w:id="1828008517">
      <w:bodyDiv w:val="1"/>
      <w:marLeft w:val="0"/>
      <w:marRight w:val="0"/>
      <w:marTop w:val="0"/>
      <w:marBottom w:val="0"/>
      <w:divBdr>
        <w:top w:val="none" w:sz="0" w:space="0" w:color="auto"/>
        <w:left w:val="none" w:sz="0" w:space="0" w:color="auto"/>
        <w:bottom w:val="none" w:sz="0" w:space="0" w:color="auto"/>
        <w:right w:val="none" w:sz="0" w:space="0" w:color="auto"/>
      </w:divBdr>
    </w:div>
    <w:div w:id="1828084485">
      <w:bodyDiv w:val="1"/>
      <w:marLeft w:val="0"/>
      <w:marRight w:val="0"/>
      <w:marTop w:val="0"/>
      <w:marBottom w:val="0"/>
      <w:divBdr>
        <w:top w:val="none" w:sz="0" w:space="0" w:color="auto"/>
        <w:left w:val="none" w:sz="0" w:space="0" w:color="auto"/>
        <w:bottom w:val="none" w:sz="0" w:space="0" w:color="auto"/>
        <w:right w:val="none" w:sz="0" w:space="0" w:color="auto"/>
      </w:divBdr>
    </w:div>
    <w:div w:id="1828087763">
      <w:bodyDiv w:val="1"/>
      <w:marLeft w:val="0"/>
      <w:marRight w:val="0"/>
      <w:marTop w:val="0"/>
      <w:marBottom w:val="0"/>
      <w:divBdr>
        <w:top w:val="none" w:sz="0" w:space="0" w:color="auto"/>
        <w:left w:val="none" w:sz="0" w:space="0" w:color="auto"/>
        <w:bottom w:val="none" w:sz="0" w:space="0" w:color="auto"/>
        <w:right w:val="none" w:sz="0" w:space="0" w:color="auto"/>
      </w:divBdr>
    </w:div>
    <w:div w:id="1828129405">
      <w:bodyDiv w:val="1"/>
      <w:marLeft w:val="0"/>
      <w:marRight w:val="0"/>
      <w:marTop w:val="0"/>
      <w:marBottom w:val="0"/>
      <w:divBdr>
        <w:top w:val="none" w:sz="0" w:space="0" w:color="auto"/>
        <w:left w:val="none" w:sz="0" w:space="0" w:color="auto"/>
        <w:bottom w:val="none" w:sz="0" w:space="0" w:color="auto"/>
        <w:right w:val="none" w:sz="0" w:space="0" w:color="auto"/>
      </w:divBdr>
    </w:div>
    <w:div w:id="1828206875">
      <w:bodyDiv w:val="1"/>
      <w:marLeft w:val="0"/>
      <w:marRight w:val="0"/>
      <w:marTop w:val="0"/>
      <w:marBottom w:val="0"/>
      <w:divBdr>
        <w:top w:val="none" w:sz="0" w:space="0" w:color="auto"/>
        <w:left w:val="none" w:sz="0" w:space="0" w:color="auto"/>
        <w:bottom w:val="none" w:sz="0" w:space="0" w:color="auto"/>
        <w:right w:val="none" w:sz="0" w:space="0" w:color="auto"/>
      </w:divBdr>
    </w:div>
    <w:div w:id="1828284284">
      <w:bodyDiv w:val="1"/>
      <w:marLeft w:val="0"/>
      <w:marRight w:val="0"/>
      <w:marTop w:val="0"/>
      <w:marBottom w:val="0"/>
      <w:divBdr>
        <w:top w:val="none" w:sz="0" w:space="0" w:color="auto"/>
        <w:left w:val="none" w:sz="0" w:space="0" w:color="auto"/>
        <w:bottom w:val="none" w:sz="0" w:space="0" w:color="auto"/>
        <w:right w:val="none" w:sz="0" w:space="0" w:color="auto"/>
      </w:divBdr>
    </w:div>
    <w:div w:id="1828395181">
      <w:bodyDiv w:val="1"/>
      <w:marLeft w:val="0"/>
      <w:marRight w:val="0"/>
      <w:marTop w:val="0"/>
      <w:marBottom w:val="0"/>
      <w:divBdr>
        <w:top w:val="none" w:sz="0" w:space="0" w:color="auto"/>
        <w:left w:val="none" w:sz="0" w:space="0" w:color="auto"/>
        <w:bottom w:val="none" w:sz="0" w:space="0" w:color="auto"/>
        <w:right w:val="none" w:sz="0" w:space="0" w:color="auto"/>
      </w:divBdr>
    </w:div>
    <w:div w:id="1828395475">
      <w:bodyDiv w:val="1"/>
      <w:marLeft w:val="0"/>
      <w:marRight w:val="0"/>
      <w:marTop w:val="0"/>
      <w:marBottom w:val="0"/>
      <w:divBdr>
        <w:top w:val="none" w:sz="0" w:space="0" w:color="auto"/>
        <w:left w:val="none" w:sz="0" w:space="0" w:color="auto"/>
        <w:bottom w:val="none" w:sz="0" w:space="0" w:color="auto"/>
        <w:right w:val="none" w:sz="0" w:space="0" w:color="auto"/>
      </w:divBdr>
    </w:div>
    <w:div w:id="1828520231">
      <w:bodyDiv w:val="1"/>
      <w:marLeft w:val="0"/>
      <w:marRight w:val="0"/>
      <w:marTop w:val="0"/>
      <w:marBottom w:val="0"/>
      <w:divBdr>
        <w:top w:val="none" w:sz="0" w:space="0" w:color="auto"/>
        <w:left w:val="none" w:sz="0" w:space="0" w:color="auto"/>
        <w:bottom w:val="none" w:sz="0" w:space="0" w:color="auto"/>
        <w:right w:val="none" w:sz="0" w:space="0" w:color="auto"/>
      </w:divBdr>
    </w:div>
    <w:div w:id="1828549265">
      <w:bodyDiv w:val="1"/>
      <w:marLeft w:val="0"/>
      <w:marRight w:val="0"/>
      <w:marTop w:val="0"/>
      <w:marBottom w:val="0"/>
      <w:divBdr>
        <w:top w:val="none" w:sz="0" w:space="0" w:color="auto"/>
        <w:left w:val="none" w:sz="0" w:space="0" w:color="auto"/>
        <w:bottom w:val="none" w:sz="0" w:space="0" w:color="auto"/>
        <w:right w:val="none" w:sz="0" w:space="0" w:color="auto"/>
      </w:divBdr>
    </w:div>
    <w:div w:id="1828551028">
      <w:bodyDiv w:val="1"/>
      <w:marLeft w:val="0"/>
      <w:marRight w:val="0"/>
      <w:marTop w:val="0"/>
      <w:marBottom w:val="0"/>
      <w:divBdr>
        <w:top w:val="none" w:sz="0" w:space="0" w:color="auto"/>
        <w:left w:val="none" w:sz="0" w:space="0" w:color="auto"/>
        <w:bottom w:val="none" w:sz="0" w:space="0" w:color="auto"/>
        <w:right w:val="none" w:sz="0" w:space="0" w:color="auto"/>
      </w:divBdr>
    </w:div>
    <w:div w:id="1828589499">
      <w:bodyDiv w:val="1"/>
      <w:marLeft w:val="0"/>
      <w:marRight w:val="0"/>
      <w:marTop w:val="0"/>
      <w:marBottom w:val="0"/>
      <w:divBdr>
        <w:top w:val="none" w:sz="0" w:space="0" w:color="auto"/>
        <w:left w:val="none" w:sz="0" w:space="0" w:color="auto"/>
        <w:bottom w:val="none" w:sz="0" w:space="0" w:color="auto"/>
        <w:right w:val="none" w:sz="0" w:space="0" w:color="auto"/>
      </w:divBdr>
    </w:div>
    <w:div w:id="1828590269">
      <w:bodyDiv w:val="1"/>
      <w:marLeft w:val="0"/>
      <w:marRight w:val="0"/>
      <w:marTop w:val="0"/>
      <w:marBottom w:val="0"/>
      <w:divBdr>
        <w:top w:val="none" w:sz="0" w:space="0" w:color="auto"/>
        <w:left w:val="none" w:sz="0" w:space="0" w:color="auto"/>
        <w:bottom w:val="none" w:sz="0" w:space="0" w:color="auto"/>
        <w:right w:val="none" w:sz="0" w:space="0" w:color="auto"/>
      </w:divBdr>
    </w:div>
    <w:div w:id="1828664752">
      <w:bodyDiv w:val="1"/>
      <w:marLeft w:val="0"/>
      <w:marRight w:val="0"/>
      <w:marTop w:val="0"/>
      <w:marBottom w:val="0"/>
      <w:divBdr>
        <w:top w:val="none" w:sz="0" w:space="0" w:color="auto"/>
        <w:left w:val="none" w:sz="0" w:space="0" w:color="auto"/>
        <w:bottom w:val="none" w:sz="0" w:space="0" w:color="auto"/>
        <w:right w:val="none" w:sz="0" w:space="0" w:color="auto"/>
      </w:divBdr>
    </w:div>
    <w:div w:id="1828665505">
      <w:bodyDiv w:val="1"/>
      <w:marLeft w:val="0"/>
      <w:marRight w:val="0"/>
      <w:marTop w:val="0"/>
      <w:marBottom w:val="0"/>
      <w:divBdr>
        <w:top w:val="none" w:sz="0" w:space="0" w:color="auto"/>
        <w:left w:val="none" w:sz="0" w:space="0" w:color="auto"/>
        <w:bottom w:val="none" w:sz="0" w:space="0" w:color="auto"/>
        <w:right w:val="none" w:sz="0" w:space="0" w:color="auto"/>
      </w:divBdr>
    </w:div>
    <w:div w:id="1828748021">
      <w:bodyDiv w:val="1"/>
      <w:marLeft w:val="0"/>
      <w:marRight w:val="0"/>
      <w:marTop w:val="0"/>
      <w:marBottom w:val="0"/>
      <w:divBdr>
        <w:top w:val="none" w:sz="0" w:space="0" w:color="auto"/>
        <w:left w:val="none" w:sz="0" w:space="0" w:color="auto"/>
        <w:bottom w:val="none" w:sz="0" w:space="0" w:color="auto"/>
        <w:right w:val="none" w:sz="0" w:space="0" w:color="auto"/>
      </w:divBdr>
    </w:div>
    <w:div w:id="1828785228">
      <w:bodyDiv w:val="1"/>
      <w:marLeft w:val="0"/>
      <w:marRight w:val="0"/>
      <w:marTop w:val="0"/>
      <w:marBottom w:val="0"/>
      <w:divBdr>
        <w:top w:val="none" w:sz="0" w:space="0" w:color="auto"/>
        <w:left w:val="none" w:sz="0" w:space="0" w:color="auto"/>
        <w:bottom w:val="none" w:sz="0" w:space="0" w:color="auto"/>
        <w:right w:val="none" w:sz="0" w:space="0" w:color="auto"/>
      </w:divBdr>
    </w:div>
    <w:div w:id="1828787374">
      <w:bodyDiv w:val="1"/>
      <w:marLeft w:val="0"/>
      <w:marRight w:val="0"/>
      <w:marTop w:val="0"/>
      <w:marBottom w:val="0"/>
      <w:divBdr>
        <w:top w:val="none" w:sz="0" w:space="0" w:color="auto"/>
        <w:left w:val="none" w:sz="0" w:space="0" w:color="auto"/>
        <w:bottom w:val="none" w:sz="0" w:space="0" w:color="auto"/>
        <w:right w:val="none" w:sz="0" w:space="0" w:color="auto"/>
      </w:divBdr>
    </w:div>
    <w:div w:id="1828814200">
      <w:bodyDiv w:val="1"/>
      <w:marLeft w:val="0"/>
      <w:marRight w:val="0"/>
      <w:marTop w:val="0"/>
      <w:marBottom w:val="0"/>
      <w:divBdr>
        <w:top w:val="none" w:sz="0" w:space="0" w:color="auto"/>
        <w:left w:val="none" w:sz="0" w:space="0" w:color="auto"/>
        <w:bottom w:val="none" w:sz="0" w:space="0" w:color="auto"/>
        <w:right w:val="none" w:sz="0" w:space="0" w:color="auto"/>
      </w:divBdr>
    </w:div>
    <w:div w:id="1828864336">
      <w:bodyDiv w:val="1"/>
      <w:marLeft w:val="0"/>
      <w:marRight w:val="0"/>
      <w:marTop w:val="0"/>
      <w:marBottom w:val="0"/>
      <w:divBdr>
        <w:top w:val="none" w:sz="0" w:space="0" w:color="auto"/>
        <w:left w:val="none" w:sz="0" w:space="0" w:color="auto"/>
        <w:bottom w:val="none" w:sz="0" w:space="0" w:color="auto"/>
        <w:right w:val="none" w:sz="0" w:space="0" w:color="auto"/>
      </w:divBdr>
    </w:div>
    <w:div w:id="1828934884">
      <w:bodyDiv w:val="1"/>
      <w:marLeft w:val="0"/>
      <w:marRight w:val="0"/>
      <w:marTop w:val="0"/>
      <w:marBottom w:val="0"/>
      <w:divBdr>
        <w:top w:val="none" w:sz="0" w:space="0" w:color="auto"/>
        <w:left w:val="none" w:sz="0" w:space="0" w:color="auto"/>
        <w:bottom w:val="none" w:sz="0" w:space="0" w:color="auto"/>
        <w:right w:val="none" w:sz="0" w:space="0" w:color="auto"/>
      </w:divBdr>
    </w:div>
    <w:div w:id="1829007952">
      <w:bodyDiv w:val="1"/>
      <w:marLeft w:val="0"/>
      <w:marRight w:val="0"/>
      <w:marTop w:val="0"/>
      <w:marBottom w:val="0"/>
      <w:divBdr>
        <w:top w:val="none" w:sz="0" w:space="0" w:color="auto"/>
        <w:left w:val="none" w:sz="0" w:space="0" w:color="auto"/>
        <w:bottom w:val="none" w:sz="0" w:space="0" w:color="auto"/>
        <w:right w:val="none" w:sz="0" w:space="0" w:color="auto"/>
      </w:divBdr>
    </w:div>
    <w:div w:id="1829051902">
      <w:bodyDiv w:val="1"/>
      <w:marLeft w:val="0"/>
      <w:marRight w:val="0"/>
      <w:marTop w:val="0"/>
      <w:marBottom w:val="0"/>
      <w:divBdr>
        <w:top w:val="none" w:sz="0" w:space="0" w:color="auto"/>
        <w:left w:val="none" w:sz="0" w:space="0" w:color="auto"/>
        <w:bottom w:val="none" w:sz="0" w:space="0" w:color="auto"/>
        <w:right w:val="none" w:sz="0" w:space="0" w:color="auto"/>
      </w:divBdr>
    </w:div>
    <w:div w:id="1829055654">
      <w:bodyDiv w:val="1"/>
      <w:marLeft w:val="0"/>
      <w:marRight w:val="0"/>
      <w:marTop w:val="0"/>
      <w:marBottom w:val="0"/>
      <w:divBdr>
        <w:top w:val="none" w:sz="0" w:space="0" w:color="auto"/>
        <w:left w:val="none" w:sz="0" w:space="0" w:color="auto"/>
        <w:bottom w:val="none" w:sz="0" w:space="0" w:color="auto"/>
        <w:right w:val="none" w:sz="0" w:space="0" w:color="auto"/>
      </w:divBdr>
    </w:div>
    <w:div w:id="1829126006">
      <w:bodyDiv w:val="1"/>
      <w:marLeft w:val="0"/>
      <w:marRight w:val="0"/>
      <w:marTop w:val="0"/>
      <w:marBottom w:val="0"/>
      <w:divBdr>
        <w:top w:val="none" w:sz="0" w:space="0" w:color="auto"/>
        <w:left w:val="none" w:sz="0" w:space="0" w:color="auto"/>
        <w:bottom w:val="none" w:sz="0" w:space="0" w:color="auto"/>
        <w:right w:val="none" w:sz="0" w:space="0" w:color="auto"/>
      </w:divBdr>
    </w:div>
    <w:div w:id="1829128367">
      <w:bodyDiv w:val="1"/>
      <w:marLeft w:val="0"/>
      <w:marRight w:val="0"/>
      <w:marTop w:val="0"/>
      <w:marBottom w:val="0"/>
      <w:divBdr>
        <w:top w:val="none" w:sz="0" w:space="0" w:color="auto"/>
        <w:left w:val="none" w:sz="0" w:space="0" w:color="auto"/>
        <w:bottom w:val="none" w:sz="0" w:space="0" w:color="auto"/>
        <w:right w:val="none" w:sz="0" w:space="0" w:color="auto"/>
      </w:divBdr>
    </w:div>
    <w:div w:id="1829202591">
      <w:bodyDiv w:val="1"/>
      <w:marLeft w:val="0"/>
      <w:marRight w:val="0"/>
      <w:marTop w:val="0"/>
      <w:marBottom w:val="0"/>
      <w:divBdr>
        <w:top w:val="none" w:sz="0" w:space="0" w:color="auto"/>
        <w:left w:val="none" w:sz="0" w:space="0" w:color="auto"/>
        <w:bottom w:val="none" w:sz="0" w:space="0" w:color="auto"/>
        <w:right w:val="none" w:sz="0" w:space="0" w:color="auto"/>
      </w:divBdr>
    </w:div>
    <w:div w:id="1829205615">
      <w:bodyDiv w:val="1"/>
      <w:marLeft w:val="0"/>
      <w:marRight w:val="0"/>
      <w:marTop w:val="0"/>
      <w:marBottom w:val="0"/>
      <w:divBdr>
        <w:top w:val="none" w:sz="0" w:space="0" w:color="auto"/>
        <w:left w:val="none" w:sz="0" w:space="0" w:color="auto"/>
        <w:bottom w:val="none" w:sz="0" w:space="0" w:color="auto"/>
        <w:right w:val="none" w:sz="0" w:space="0" w:color="auto"/>
      </w:divBdr>
    </w:div>
    <w:div w:id="1829397933">
      <w:bodyDiv w:val="1"/>
      <w:marLeft w:val="0"/>
      <w:marRight w:val="0"/>
      <w:marTop w:val="0"/>
      <w:marBottom w:val="0"/>
      <w:divBdr>
        <w:top w:val="none" w:sz="0" w:space="0" w:color="auto"/>
        <w:left w:val="none" w:sz="0" w:space="0" w:color="auto"/>
        <w:bottom w:val="none" w:sz="0" w:space="0" w:color="auto"/>
        <w:right w:val="none" w:sz="0" w:space="0" w:color="auto"/>
      </w:divBdr>
    </w:div>
    <w:div w:id="1829511833">
      <w:bodyDiv w:val="1"/>
      <w:marLeft w:val="0"/>
      <w:marRight w:val="0"/>
      <w:marTop w:val="0"/>
      <w:marBottom w:val="0"/>
      <w:divBdr>
        <w:top w:val="none" w:sz="0" w:space="0" w:color="auto"/>
        <w:left w:val="none" w:sz="0" w:space="0" w:color="auto"/>
        <w:bottom w:val="none" w:sz="0" w:space="0" w:color="auto"/>
        <w:right w:val="none" w:sz="0" w:space="0" w:color="auto"/>
      </w:divBdr>
    </w:div>
    <w:div w:id="1829706801">
      <w:bodyDiv w:val="1"/>
      <w:marLeft w:val="0"/>
      <w:marRight w:val="0"/>
      <w:marTop w:val="0"/>
      <w:marBottom w:val="0"/>
      <w:divBdr>
        <w:top w:val="none" w:sz="0" w:space="0" w:color="auto"/>
        <w:left w:val="none" w:sz="0" w:space="0" w:color="auto"/>
        <w:bottom w:val="none" w:sz="0" w:space="0" w:color="auto"/>
        <w:right w:val="none" w:sz="0" w:space="0" w:color="auto"/>
      </w:divBdr>
    </w:div>
    <w:div w:id="1829786253">
      <w:bodyDiv w:val="1"/>
      <w:marLeft w:val="0"/>
      <w:marRight w:val="0"/>
      <w:marTop w:val="0"/>
      <w:marBottom w:val="0"/>
      <w:divBdr>
        <w:top w:val="none" w:sz="0" w:space="0" w:color="auto"/>
        <w:left w:val="none" w:sz="0" w:space="0" w:color="auto"/>
        <w:bottom w:val="none" w:sz="0" w:space="0" w:color="auto"/>
        <w:right w:val="none" w:sz="0" w:space="0" w:color="auto"/>
      </w:divBdr>
    </w:div>
    <w:div w:id="1829856884">
      <w:bodyDiv w:val="1"/>
      <w:marLeft w:val="0"/>
      <w:marRight w:val="0"/>
      <w:marTop w:val="0"/>
      <w:marBottom w:val="0"/>
      <w:divBdr>
        <w:top w:val="none" w:sz="0" w:space="0" w:color="auto"/>
        <w:left w:val="none" w:sz="0" w:space="0" w:color="auto"/>
        <w:bottom w:val="none" w:sz="0" w:space="0" w:color="auto"/>
        <w:right w:val="none" w:sz="0" w:space="0" w:color="auto"/>
      </w:divBdr>
    </w:div>
    <w:div w:id="1829907676">
      <w:bodyDiv w:val="1"/>
      <w:marLeft w:val="0"/>
      <w:marRight w:val="0"/>
      <w:marTop w:val="0"/>
      <w:marBottom w:val="0"/>
      <w:divBdr>
        <w:top w:val="none" w:sz="0" w:space="0" w:color="auto"/>
        <w:left w:val="none" w:sz="0" w:space="0" w:color="auto"/>
        <w:bottom w:val="none" w:sz="0" w:space="0" w:color="auto"/>
        <w:right w:val="none" w:sz="0" w:space="0" w:color="auto"/>
      </w:divBdr>
    </w:div>
    <w:div w:id="1829976771">
      <w:bodyDiv w:val="1"/>
      <w:marLeft w:val="0"/>
      <w:marRight w:val="0"/>
      <w:marTop w:val="0"/>
      <w:marBottom w:val="0"/>
      <w:divBdr>
        <w:top w:val="none" w:sz="0" w:space="0" w:color="auto"/>
        <w:left w:val="none" w:sz="0" w:space="0" w:color="auto"/>
        <w:bottom w:val="none" w:sz="0" w:space="0" w:color="auto"/>
        <w:right w:val="none" w:sz="0" w:space="0" w:color="auto"/>
      </w:divBdr>
    </w:div>
    <w:div w:id="1829979253">
      <w:bodyDiv w:val="1"/>
      <w:marLeft w:val="0"/>
      <w:marRight w:val="0"/>
      <w:marTop w:val="0"/>
      <w:marBottom w:val="0"/>
      <w:divBdr>
        <w:top w:val="none" w:sz="0" w:space="0" w:color="auto"/>
        <w:left w:val="none" w:sz="0" w:space="0" w:color="auto"/>
        <w:bottom w:val="none" w:sz="0" w:space="0" w:color="auto"/>
        <w:right w:val="none" w:sz="0" w:space="0" w:color="auto"/>
      </w:divBdr>
    </w:div>
    <w:div w:id="1830055079">
      <w:bodyDiv w:val="1"/>
      <w:marLeft w:val="0"/>
      <w:marRight w:val="0"/>
      <w:marTop w:val="0"/>
      <w:marBottom w:val="0"/>
      <w:divBdr>
        <w:top w:val="none" w:sz="0" w:space="0" w:color="auto"/>
        <w:left w:val="none" w:sz="0" w:space="0" w:color="auto"/>
        <w:bottom w:val="none" w:sz="0" w:space="0" w:color="auto"/>
        <w:right w:val="none" w:sz="0" w:space="0" w:color="auto"/>
      </w:divBdr>
    </w:div>
    <w:div w:id="1830057912">
      <w:bodyDiv w:val="1"/>
      <w:marLeft w:val="0"/>
      <w:marRight w:val="0"/>
      <w:marTop w:val="0"/>
      <w:marBottom w:val="0"/>
      <w:divBdr>
        <w:top w:val="none" w:sz="0" w:space="0" w:color="auto"/>
        <w:left w:val="none" w:sz="0" w:space="0" w:color="auto"/>
        <w:bottom w:val="none" w:sz="0" w:space="0" w:color="auto"/>
        <w:right w:val="none" w:sz="0" w:space="0" w:color="auto"/>
      </w:divBdr>
    </w:div>
    <w:div w:id="1830249694">
      <w:bodyDiv w:val="1"/>
      <w:marLeft w:val="0"/>
      <w:marRight w:val="0"/>
      <w:marTop w:val="0"/>
      <w:marBottom w:val="0"/>
      <w:divBdr>
        <w:top w:val="none" w:sz="0" w:space="0" w:color="auto"/>
        <w:left w:val="none" w:sz="0" w:space="0" w:color="auto"/>
        <w:bottom w:val="none" w:sz="0" w:space="0" w:color="auto"/>
        <w:right w:val="none" w:sz="0" w:space="0" w:color="auto"/>
      </w:divBdr>
    </w:div>
    <w:div w:id="1830294454">
      <w:bodyDiv w:val="1"/>
      <w:marLeft w:val="0"/>
      <w:marRight w:val="0"/>
      <w:marTop w:val="0"/>
      <w:marBottom w:val="0"/>
      <w:divBdr>
        <w:top w:val="none" w:sz="0" w:space="0" w:color="auto"/>
        <w:left w:val="none" w:sz="0" w:space="0" w:color="auto"/>
        <w:bottom w:val="none" w:sz="0" w:space="0" w:color="auto"/>
        <w:right w:val="none" w:sz="0" w:space="0" w:color="auto"/>
      </w:divBdr>
    </w:div>
    <w:div w:id="1830442883">
      <w:bodyDiv w:val="1"/>
      <w:marLeft w:val="0"/>
      <w:marRight w:val="0"/>
      <w:marTop w:val="0"/>
      <w:marBottom w:val="0"/>
      <w:divBdr>
        <w:top w:val="none" w:sz="0" w:space="0" w:color="auto"/>
        <w:left w:val="none" w:sz="0" w:space="0" w:color="auto"/>
        <w:bottom w:val="none" w:sz="0" w:space="0" w:color="auto"/>
        <w:right w:val="none" w:sz="0" w:space="0" w:color="auto"/>
      </w:divBdr>
    </w:div>
    <w:div w:id="1830443365">
      <w:bodyDiv w:val="1"/>
      <w:marLeft w:val="0"/>
      <w:marRight w:val="0"/>
      <w:marTop w:val="0"/>
      <w:marBottom w:val="0"/>
      <w:divBdr>
        <w:top w:val="none" w:sz="0" w:space="0" w:color="auto"/>
        <w:left w:val="none" w:sz="0" w:space="0" w:color="auto"/>
        <w:bottom w:val="none" w:sz="0" w:space="0" w:color="auto"/>
        <w:right w:val="none" w:sz="0" w:space="0" w:color="auto"/>
      </w:divBdr>
    </w:div>
    <w:div w:id="1830515177">
      <w:bodyDiv w:val="1"/>
      <w:marLeft w:val="0"/>
      <w:marRight w:val="0"/>
      <w:marTop w:val="0"/>
      <w:marBottom w:val="0"/>
      <w:divBdr>
        <w:top w:val="none" w:sz="0" w:space="0" w:color="auto"/>
        <w:left w:val="none" w:sz="0" w:space="0" w:color="auto"/>
        <w:bottom w:val="none" w:sz="0" w:space="0" w:color="auto"/>
        <w:right w:val="none" w:sz="0" w:space="0" w:color="auto"/>
      </w:divBdr>
    </w:div>
    <w:div w:id="1830555731">
      <w:bodyDiv w:val="1"/>
      <w:marLeft w:val="0"/>
      <w:marRight w:val="0"/>
      <w:marTop w:val="0"/>
      <w:marBottom w:val="0"/>
      <w:divBdr>
        <w:top w:val="none" w:sz="0" w:space="0" w:color="auto"/>
        <w:left w:val="none" w:sz="0" w:space="0" w:color="auto"/>
        <w:bottom w:val="none" w:sz="0" w:space="0" w:color="auto"/>
        <w:right w:val="none" w:sz="0" w:space="0" w:color="auto"/>
      </w:divBdr>
    </w:div>
    <w:div w:id="1830704808">
      <w:bodyDiv w:val="1"/>
      <w:marLeft w:val="0"/>
      <w:marRight w:val="0"/>
      <w:marTop w:val="0"/>
      <w:marBottom w:val="0"/>
      <w:divBdr>
        <w:top w:val="none" w:sz="0" w:space="0" w:color="auto"/>
        <w:left w:val="none" w:sz="0" w:space="0" w:color="auto"/>
        <w:bottom w:val="none" w:sz="0" w:space="0" w:color="auto"/>
        <w:right w:val="none" w:sz="0" w:space="0" w:color="auto"/>
      </w:divBdr>
    </w:div>
    <w:div w:id="1830824169">
      <w:bodyDiv w:val="1"/>
      <w:marLeft w:val="0"/>
      <w:marRight w:val="0"/>
      <w:marTop w:val="0"/>
      <w:marBottom w:val="0"/>
      <w:divBdr>
        <w:top w:val="none" w:sz="0" w:space="0" w:color="auto"/>
        <w:left w:val="none" w:sz="0" w:space="0" w:color="auto"/>
        <w:bottom w:val="none" w:sz="0" w:space="0" w:color="auto"/>
        <w:right w:val="none" w:sz="0" w:space="0" w:color="auto"/>
      </w:divBdr>
    </w:div>
    <w:div w:id="1831024682">
      <w:bodyDiv w:val="1"/>
      <w:marLeft w:val="0"/>
      <w:marRight w:val="0"/>
      <w:marTop w:val="0"/>
      <w:marBottom w:val="0"/>
      <w:divBdr>
        <w:top w:val="none" w:sz="0" w:space="0" w:color="auto"/>
        <w:left w:val="none" w:sz="0" w:space="0" w:color="auto"/>
        <w:bottom w:val="none" w:sz="0" w:space="0" w:color="auto"/>
        <w:right w:val="none" w:sz="0" w:space="0" w:color="auto"/>
      </w:divBdr>
    </w:div>
    <w:div w:id="1831098724">
      <w:bodyDiv w:val="1"/>
      <w:marLeft w:val="0"/>
      <w:marRight w:val="0"/>
      <w:marTop w:val="0"/>
      <w:marBottom w:val="0"/>
      <w:divBdr>
        <w:top w:val="none" w:sz="0" w:space="0" w:color="auto"/>
        <w:left w:val="none" w:sz="0" w:space="0" w:color="auto"/>
        <w:bottom w:val="none" w:sz="0" w:space="0" w:color="auto"/>
        <w:right w:val="none" w:sz="0" w:space="0" w:color="auto"/>
      </w:divBdr>
    </w:div>
    <w:div w:id="1831168418">
      <w:bodyDiv w:val="1"/>
      <w:marLeft w:val="0"/>
      <w:marRight w:val="0"/>
      <w:marTop w:val="0"/>
      <w:marBottom w:val="0"/>
      <w:divBdr>
        <w:top w:val="none" w:sz="0" w:space="0" w:color="auto"/>
        <w:left w:val="none" w:sz="0" w:space="0" w:color="auto"/>
        <w:bottom w:val="none" w:sz="0" w:space="0" w:color="auto"/>
        <w:right w:val="none" w:sz="0" w:space="0" w:color="auto"/>
      </w:divBdr>
    </w:div>
    <w:div w:id="1831406356">
      <w:bodyDiv w:val="1"/>
      <w:marLeft w:val="0"/>
      <w:marRight w:val="0"/>
      <w:marTop w:val="0"/>
      <w:marBottom w:val="0"/>
      <w:divBdr>
        <w:top w:val="none" w:sz="0" w:space="0" w:color="auto"/>
        <w:left w:val="none" w:sz="0" w:space="0" w:color="auto"/>
        <w:bottom w:val="none" w:sz="0" w:space="0" w:color="auto"/>
        <w:right w:val="none" w:sz="0" w:space="0" w:color="auto"/>
      </w:divBdr>
    </w:div>
    <w:div w:id="1831483603">
      <w:bodyDiv w:val="1"/>
      <w:marLeft w:val="0"/>
      <w:marRight w:val="0"/>
      <w:marTop w:val="0"/>
      <w:marBottom w:val="0"/>
      <w:divBdr>
        <w:top w:val="none" w:sz="0" w:space="0" w:color="auto"/>
        <w:left w:val="none" w:sz="0" w:space="0" w:color="auto"/>
        <w:bottom w:val="none" w:sz="0" w:space="0" w:color="auto"/>
        <w:right w:val="none" w:sz="0" w:space="0" w:color="auto"/>
      </w:divBdr>
    </w:div>
    <w:div w:id="1831601875">
      <w:bodyDiv w:val="1"/>
      <w:marLeft w:val="0"/>
      <w:marRight w:val="0"/>
      <w:marTop w:val="0"/>
      <w:marBottom w:val="0"/>
      <w:divBdr>
        <w:top w:val="none" w:sz="0" w:space="0" w:color="auto"/>
        <w:left w:val="none" w:sz="0" w:space="0" w:color="auto"/>
        <w:bottom w:val="none" w:sz="0" w:space="0" w:color="auto"/>
        <w:right w:val="none" w:sz="0" w:space="0" w:color="auto"/>
      </w:divBdr>
    </w:div>
    <w:div w:id="1831679522">
      <w:bodyDiv w:val="1"/>
      <w:marLeft w:val="0"/>
      <w:marRight w:val="0"/>
      <w:marTop w:val="0"/>
      <w:marBottom w:val="0"/>
      <w:divBdr>
        <w:top w:val="none" w:sz="0" w:space="0" w:color="auto"/>
        <w:left w:val="none" w:sz="0" w:space="0" w:color="auto"/>
        <w:bottom w:val="none" w:sz="0" w:space="0" w:color="auto"/>
        <w:right w:val="none" w:sz="0" w:space="0" w:color="auto"/>
      </w:divBdr>
    </w:div>
    <w:div w:id="1831823619">
      <w:bodyDiv w:val="1"/>
      <w:marLeft w:val="0"/>
      <w:marRight w:val="0"/>
      <w:marTop w:val="0"/>
      <w:marBottom w:val="0"/>
      <w:divBdr>
        <w:top w:val="none" w:sz="0" w:space="0" w:color="auto"/>
        <w:left w:val="none" w:sz="0" w:space="0" w:color="auto"/>
        <w:bottom w:val="none" w:sz="0" w:space="0" w:color="auto"/>
        <w:right w:val="none" w:sz="0" w:space="0" w:color="auto"/>
      </w:divBdr>
    </w:div>
    <w:div w:id="1831827313">
      <w:bodyDiv w:val="1"/>
      <w:marLeft w:val="0"/>
      <w:marRight w:val="0"/>
      <w:marTop w:val="0"/>
      <w:marBottom w:val="0"/>
      <w:divBdr>
        <w:top w:val="none" w:sz="0" w:space="0" w:color="auto"/>
        <w:left w:val="none" w:sz="0" w:space="0" w:color="auto"/>
        <w:bottom w:val="none" w:sz="0" w:space="0" w:color="auto"/>
        <w:right w:val="none" w:sz="0" w:space="0" w:color="auto"/>
      </w:divBdr>
    </w:div>
    <w:div w:id="1831942854">
      <w:bodyDiv w:val="1"/>
      <w:marLeft w:val="0"/>
      <w:marRight w:val="0"/>
      <w:marTop w:val="0"/>
      <w:marBottom w:val="0"/>
      <w:divBdr>
        <w:top w:val="none" w:sz="0" w:space="0" w:color="auto"/>
        <w:left w:val="none" w:sz="0" w:space="0" w:color="auto"/>
        <w:bottom w:val="none" w:sz="0" w:space="0" w:color="auto"/>
        <w:right w:val="none" w:sz="0" w:space="0" w:color="auto"/>
      </w:divBdr>
    </w:div>
    <w:div w:id="1831947511">
      <w:bodyDiv w:val="1"/>
      <w:marLeft w:val="0"/>
      <w:marRight w:val="0"/>
      <w:marTop w:val="0"/>
      <w:marBottom w:val="0"/>
      <w:divBdr>
        <w:top w:val="none" w:sz="0" w:space="0" w:color="auto"/>
        <w:left w:val="none" w:sz="0" w:space="0" w:color="auto"/>
        <w:bottom w:val="none" w:sz="0" w:space="0" w:color="auto"/>
        <w:right w:val="none" w:sz="0" w:space="0" w:color="auto"/>
      </w:divBdr>
    </w:div>
    <w:div w:id="1832062324">
      <w:bodyDiv w:val="1"/>
      <w:marLeft w:val="0"/>
      <w:marRight w:val="0"/>
      <w:marTop w:val="0"/>
      <w:marBottom w:val="0"/>
      <w:divBdr>
        <w:top w:val="none" w:sz="0" w:space="0" w:color="auto"/>
        <w:left w:val="none" w:sz="0" w:space="0" w:color="auto"/>
        <w:bottom w:val="none" w:sz="0" w:space="0" w:color="auto"/>
        <w:right w:val="none" w:sz="0" w:space="0" w:color="auto"/>
      </w:divBdr>
    </w:div>
    <w:div w:id="1832256065">
      <w:bodyDiv w:val="1"/>
      <w:marLeft w:val="0"/>
      <w:marRight w:val="0"/>
      <w:marTop w:val="0"/>
      <w:marBottom w:val="0"/>
      <w:divBdr>
        <w:top w:val="none" w:sz="0" w:space="0" w:color="auto"/>
        <w:left w:val="none" w:sz="0" w:space="0" w:color="auto"/>
        <w:bottom w:val="none" w:sz="0" w:space="0" w:color="auto"/>
        <w:right w:val="none" w:sz="0" w:space="0" w:color="auto"/>
      </w:divBdr>
    </w:div>
    <w:div w:id="1832331510">
      <w:bodyDiv w:val="1"/>
      <w:marLeft w:val="0"/>
      <w:marRight w:val="0"/>
      <w:marTop w:val="0"/>
      <w:marBottom w:val="0"/>
      <w:divBdr>
        <w:top w:val="none" w:sz="0" w:space="0" w:color="auto"/>
        <w:left w:val="none" w:sz="0" w:space="0" w:color="auto"/>
        <w:bottom w:val="none" w:sz="0" w:space="0" w:color="auto"/>
        <w:right w:val="none" w:sz="0" w:space="0" w:color="auto"/>
      </w:divBdr>
    </w:div>
    <w:div w:id="1832333363">
      <w:bodyDiv w:val="1"/>
      <w:marLeft w:val="0"/>
      <w:marRight w:val="0"/>
      <w:marTop w:val="0"/>
      <w:marBottom w:val="0"/>
      <w:divBdr>
        <w:top w:val="none" w:sz="0" w:space="0" w:color="auto"/>
        <w:left w:val="none" w:sz="0" w:space="0" w:color="auto"/>
        <w:bottom w:val="none" w:sz="0" w:space="0" w:color="auto"/>
        <w:right w:val="none" w:sz="0" w:space="0" w:color="auto"/>
      </w:divBdr>
    </w:div>
    <w:div w:id="1832483210">
      <w:bodyDiv w:val="1"/>
      <w:marLeft w:val="0"/>
      <w:marRight w:val="0"/>
      <w:marTop w:val="0"/>
      <w:marBottom w:val="0"/>
      <w:divBdr>
        <w:top w:val="none" w:sz="0" w:space="0" w:color="auto"/>
        <w:left w:val="none" w:sz="0" w:space="0" w:color="auto"/>
        <w:bottom w:val="none" w:sz="0" w:space="0" w:color="auto"/>
        <w:right w:val="none" w:sz="0" w:space="0" w:color="auto"/>
      </w:divBdr>
    </w:div>
    <w:div w:id="1832676672">
      <w:bodyDiv w:val="1"/>
      <w:marLeft w:val="0"/>
      <w:marRight w:val="0"/>
      <w:marTop w:val="0"/>
      <w:marBottom w:val="0"/>
      <w:divBdr>
        <w:top w:val="none" w:sz="0" w:space="0" w:color="auto"/>
        <w:left w:val="none" w:sz="0" w:space="0" w:color="auto"/>
        <w:bottom w:val="none" w:sz="0" w:space="0" w:color="auto"/>
        <w:right w:val="none" w:sz="0" w:space="0" w:color="auto"/>
      </w:divBdr>
    </w:div>
    <w:div w:id="1832716038">
      <w:bodyDiv w:val="1"/>
      <w:marLeft w:val="0"/>
      <w:marRight w:val="0"/>
      <w:marTop w:val="0"/>
      <w:marBottom w:val="0"/>
      <w:divBdr>
        <w:top w:val="none" w:sz="0" w:space="0" w:color="auto"/>
        <w:left w:val="none" w:sz="0" w:space="0" w:color="auto"/>
        <w:bottom w:val="none" w:sz="0" w:space="0" w:color="auto"/>
        <w:right w:val="none" w:sz="0" w:space="0" w:color="auto"/>
      </w:divBdr>
    </w:div>
    <w:div w:id="1832941427">
      <w:bodyDiv w:val="1"/>
      <w:marLeft w:val="0"/>
      <w:marRight w:val="0"/>
      <w:marTop w:val="0"/>
      <w:marBottom w:val="0"/>
      <w:divBdr>
        <w:top w:val="none" w:sz="0" w:space="0" w:color="auto"/>
        <w:left w:val="none" w:sz="0" w:space="0" w:color="auto"/>
        <w:bottom w:val="none" w:sz="0" w:space="0" w:color="auto"/>
        <w:right w:val="none" w:sz="0" w:space="0" w:color="auto"/>
      </w:divBdr>
    </w:div>
    <w:div w:id="1832985307">
      <w:bodyDiv w:val="1"/>
      <w:marLeft w:val="0"/>
      <w:marRight w:val="0"/>
      <w:marTop w:val="0"/>
      <w:marBottom w:val="0"/>
      <w:divBdr>
        <w:top w:val="none" w:sz="0" w:space="0" w:color="auto"/>
        <w:left w:val="none" w:sz="0" w:space="0" w:color="auto"/>
        <w:bottom w:val="none" w:sz="0" w:space="0" w:color="auto"/>
        <w:right w:val="none" w:sz="0" w:space="0" w:color="auto"/>
      </w:divBdr>
    </w:div>
    <w:div w:id="1833108523">
      <w:bodyDiv w:val="1"/>
      <w:marLeft w:val="0"/>
      <w:marRight w:val="0"/>
      <w:marTop w:val="0"/>
      <w:marBottom w:val="0"/>
      <w:divBdr>
        <w:top w:val="none" w:sz="0" w:space="0" w:color="auto"/>
        <w:left w:val="none" w:sz="0" w:space="0" w:color="auto"/>
        <w:bottom w:val="none" w:sz="0" w:space="0" w:color="auto"/>
        <w:right w:val="none" w:sz="0" w:space="0" w:color="auto"/>
      </w:divBdr>
    </w:div>
    <w:div w:id="1833178612">
      <w:bodyDiv w:val="1"/>
      <w:marLeft w:val="0"/>
      <w:marRight w:val="0"/>
      <w:marTop w:val="0"/>
      <w:marBottom w:val="0"/>
      <w:divBdr>
        <w:top w:val="none" w:sz="0" w:space="0" w:color="auto"/>
        <w:left w:val="none" w:sz="0" w:space="0" w:color="auto"/>
        <w:bottom w:val="none" w:sz="0" w:space="0" w:color="auto"/>
        <w:right w:val="none" w:sz="0" w:space="0" w:color="auto"/>
      </w:divBdr>
    </w:div>
    <w:div w:id="1833372123">
      <w:bodyDiv w:val="1"/>
      <w:marLeft w:val="0"/>
      <w:marRight w:val="0"/>
      <w:marTop w:val="0"/>
      <w:marBottom w:val="0"/>
      <w:divBdr>
        <w:top w:val="none" w:sz="0" w:space="0" w:color="auto"/>
        <w:left w:val="none" w:sz="0" w:space="0" w:color="auto"/>
        <w:bottom w:val="none" w:sz="0" w:space="0" w:color="auto"/>
        <w:right w:val="none" w:sz="0" w:space="0" w:color="auto"/>
      </w:divBdr>
    </w:div>
    <w:div w:id="1833374853">
      <w:bodyDiv w:val="1"/>
      <w:marLeft w:val="0"/>
      <w:marRight w:val="0"/>
      <w:marTop w:val="0"/>
      <w:marBottom w:val="0"/>
      <w:divBdr>
        <w:top w:val="none" w:sz="0" w:space="0" w:color="auto"/>
        <w:left w:val="none" w:sz="0" w:space="0" w:color="auto"/>
        <w:bottom w:val="none" w:sz="0" w:space="0" w:color="auto"/>
        <w:right w:val="none" w:sz="0" w:space="0" w:color="auto"/>
      </w:divBdr>
    </w:div>
    <w:div w:id="1833570185">
      <w:bodyDiv w:val="1"/>
      <w:marLeft w:val="0"/>
      <w:marRight w:val="0"/>
      <w:marTop w:val="0"/>
      <w:marBottom w:val="0"/>
      <w:divBdr>
        <w:top w:val="none" w:sz="0" w:space="0" w:color="auto"/>
        <w:left w:val="none" w:sz="0" w:space="0" w:color="auto"/>
        <w:bottom w:val="none" w:sz="0" w:space="0" w:color="auto"/>
        <w:right w:val="none" w:sz="0" w:space="0" w:color="auto"/>
      </w:divBdr>
    </w:div>
    <w:div w:id="1833642213">
      <w:bodyDiv w:val="1"/>
      <w:marLeft w:val="0"/>
      <w:marRight w:val="0"/>
      <w:marTop w:val="0"/>
      <w:marBottom w:val="0"/>
      <w:divBdr>
        <w:top w:val="none" w:sz="0" w:space="0" w:color="auto"/>
        <w:left w:val="none" w:sz="0" w:space="0" w:color="auto"/>
        <w:bottom w:val="none" w:sz="0" w:space="0" w:color="auto"/>
        <w:right w:val="none" w:sz="0" w:space="0" w:color="auto"/>
      </w:divBdr>
    </w:div>
    <w:div w:id="1833830273">
      <w:bodyDiv w:val="1"/>
      <w:marLeft w:val="0"/>
      <w:marRight w:val="0"/>
      <w:marTop w:val="0"/>
      <w:marBottom w:val="0"/>
      <w:divBdr>
        <w:top w:val="none" w:sz="0" w:space="0" w:color="auto"/>
        <w:left w:val="none" w:sz="0" w:space="0" w:color="auto"/>
        <w:bottom w:val="none" w:sz="0" w:space="0" w:color="auto"/>
        <w:right w:val="none" w:sz="0" w:space="0" w:color="auto"/>
      </w:divBdr>
    </w:div>
    <w:div w:id="1833906511">
      <w:bodyDiv w:val="1"/>
      <w:marLeft w:val="0"/>
      <w:marRight w:val="0"/>
      <w:marTop w:val="0"/>
      <w:marBottom w:val="0"/>
      <w:divBdr>
        <w:top w:val="none" w:sz="0" w:space="0" w:color="auto"/>
        <w:left w:val="none" w:sz="0" w:space="0" w:color="auto"/>
        <w:bottom w:val="none" w:sz="0" w:space="0" w:color="auto"/>
        <w:right w:val="none" w:sz="0" w:space="0" w:color="auto"/>
      </w:divBdr>
    </w:div>
    <w:div w:id="1833906584">
      <w:bodyDiv w:val="1"/>
      <w:marLeft w:val="0"/>
      <w:marRight w:val="0"/>
      <w:marTop w:val="0"/>
      <w:marBottom w:val="0"/>
      <w:divBdr>
        <w:top w:val="none" w:sz="0" w:space="0" w:color="auto"/>
        <w:left w:val="none" w:sz="0" w:space="0" w:color="auto"/>
        <w:bottom w:val="none" w:sz="0" w:space="0" w:color="auto"/>
        <w:right w:val="none" w:sz="0" w:space="0" w:color="auto"/>
      </w:divBdr>
    </w:div>
    <w:div w:id="1834031673">
      <w:bodyDiv w:val="1"/>
      <w:marLeft w:val="0"/>
      <w:marRight w:val="0"/>
      <w:marTop w:val="0"/>
      <w:marBottom w:val="0"/>
      <w:divBdr>
        <w:top w:val="none" w:sz="0" w:space="0" w:color="auto"/>
        <w:left w:val="none" w:sz="0" w:space="0" w:color="auto"/>
        <w:bottom w:val="none" w:sz="0" w:space="0" w:color="auto"/>
        <w:right w:val="none" w:sz="0" w:space="0" w:color="auto"/>
      </w:divBdr>
    </w:div>
    <w:div w:id="1834104164">
      <w:bodyDiv w:val="1"/>
      <w:marLeft w:val="0"/>
      <w:marRight w:val="0"/>
      <w:marTop w:val="0"/>
      <w:marBottom w:val="0"/>
      <w:divBdr>
        <w:top w:val="none" w:sz="0" w:space="0" w:color="auto"/>
        <w:left w:val="none" w:sz="0" w:space="0" w:color="auto"/>
        <w:bottom w:val="none" w:sz="0" w:space="0" w:color="auto"/>
        <w:right w:val="none" w:sz="0" w:space="0" w:color="auto"/>
      </w:divBdr>
    </w:div>
    <w:div w:id="1834293692">
      <w:bodyDiv w:val="1"/>
      <w:marLeft w:val="0"/>
      <w:marRight w:val="0"/>
      <w:marTop w:val="0"/>
      <w:marBottom w:val="0"/>
      <w:divBdr>
        <w:top w:val="none" w:sz="0" w:space="0" w:color="auto"/>
        <w:left w:val="none" w:sz="0" w:space="0" w:color="auto"/>
        <w:bottom w:val="none" w:sz="0" w:space="0" w:color="auto"/>
        <w:right w:val="none" w:sz="0" w:space="0" w:color="auto"/>
      </w:divBdr>
    </w:div>
    <w:div w:id="1834299756">
      <w:bodyDiv w:val="1"/>
      <w:marLeft w:val="0"/>
      <w:marRight w:val="0"/>
      <w:marTop w:val="0"/>
      <w:marBottom w:val="0"/>
      <w:divBdr>
        <w:top w:val="none" w:sz="0" w:space="0" w:color="auto"/>
        <w:left w:val="none" w:sz="0" w:space="0" w:color="auto"/>
        <w:bottom w:val="none" w:sz="0" w:space="0" w:color="auto"/>
        <w:right w:val="none" w:sz="0" w:space="0" w:color="auto"/>
      </w:divBdr>
    </w:div>
    <w:div w:id="1834300653">
      <w:bodyDiv w:val="1"/>
      <w:marLeft w:val="0"/>
      <w:marRight w:val="0"/>
      <w:marTop w:val="0"/>
      <w:marBottom w:val="0"/>
      <w:divBdr>
        <w:top w:val="none" w:sz="0" w:space="0" w:color="auto"/>
        <w:left w:val="none" w:sz="0" w:space="0" w:color="auto"/>
        <w:bottom w:val="none" w:sz="0" w:space="0" w:color="auto"/>
        <w:right w:val="none" w:sz="0" w:space="0" w:color="auto"/>
      </w:divBdr>
    </w:div>
    <w:div w:id="1834448760">
      <w:bodyDiv w:val="1"/>
      <w:marLeft w:val="0"/>
      <w:marRight w:val="0"/>
      <w:marTop w:val="0"/>
      <w:marBottom w:val="0"/>
      <w:divBdr>
        <w:top w:val="none" w:sz="0" w:space="0" w:color="auto"/>
        <w:left w:val="none" w:sz="0" w:space="0" w:color="auto"/>
        <w:bottom w:val="none" w:sz="0" w:space="0" w:color="auto"/>
        <w:right w:val="none" w:sz="0" w:space="0" w:color="auto"/>
      </w:divBdr>
    </w:div>
    <w:div w:id="1834487464">
      <w:bodyDiv w:val="1"/>
      <w:marLeft w:val="0"/>
      <w:marRight w:val="0"/>
      <w:marTop w:val="0"/>
      <w:marBottom w:val="0"/>
      <w:divBdr>
        <w:top w:val="none" w:sz="0" w:space="0" w:color="auto"/>
        <w:left w:val="none" w:sz="0" w:space="0" w:color="auto"/>
        <w:bottom w:val="none" w:sz="0" w:space="0" w:color="auto"/>
        <w:right w:val="none" w:sz="0" w:space="0" w:color="auto"/>
      </w:divBdr>
    </w:div>
    <w:div w:id="1834568270">
      <w:bodyDiv w:val="1"/>
      <w:marLeft w:val="0"/>
      <w:marRight w:val="0"/>
      <w:marTop w:val="0"/>
      <w:marBottom w:val="0"/>
      <w:divBdr>
        <w:top w:val="none" w:sz="0" w:space="0" w:color="auto"/>
        <w:left w:val="none" w:sz="0" w:space="0" w:color="auto"/>
        <w:bottom w:val="none" w:sz="0" w:space="0" w:color="auto"/>
        <w:right w:val="none" w:sz="0" w:space="0" w:color="auto"/>
      </w:divBdr>
    </w:div>
    <w:div w:id="1834829224">
      <w:bodyDiv w:val="1"/>
      <w:marLeft w:val="0"/>
      <w:marRight w:val="0"/>
      <w:marTop w:val="0"/>
      <w:marBottom w:val="0"/>
      <w:divBdr>
        <w:top w:val="none" w:sz="0" w:space="0" w:color="auto"/>
        <w:left w:val="none" w:sz="0" w:space="0" w:color="auto"/>
        <w:bottom w:val="none" w:sz="0" w:space="0" w:color="auto"/>
        <w:right w:val="none" w:sz="0" w:space="0" w:color="auto"/>
      </w:divBdr>
    </w:div>
    <w:div w:id="1834877396">
      <w:bodyDiv w:val="1"/>
      <w:marLeft w:val="0"/>
      <w:marRight w:val="0"/>
      <w:marTop w:val="0"/>
      <w:marBottom w:val="0"/>
      <w:divBdr>
        <w:top w:val="none" w:sz="0" w:space="0" w:color="auto"/>
        <w:left w:val="none" w:sz="0" w:space="0" w:color="auto"/>
        <w:bottom w:val="none" w:sz="0" w:space="0" w:color="auto"/>
        <w:right w:val="none" w:sz="0" w:space="0" w:color="auto"/>
      </w:divBdr>
    </w:div>
    <w:div w:id="1834907642">
      <w:bodyDiv w:val="1"/>
      <w:marLeft w:val="0"/>
      <w:marRight w:val="0"/>
      <w:marTop w:val="0"/>
      <w:marBottom w:val="0"/>
      <w:divBdr>
        <w:top w:val="none" w:sz="0" w:space="0" w:color="auto"/>
        <w:left w:val="none" w:sz="0" w:space="0" w:color="auto"/>
        <w:bottom w:val="none" w:sz="0" w:space="0" w:color="auto"/>
        <w:right w:val="none" w:sz="0" w:space="0" w:color="auto"/>
      </w:divBdr>
    </w:div>
    <w:div w:id="1834951217">
      <w:bodyDiv w:val="1"/>
      <w:marLeft w:val="0"/>
      <w:marRight w:val="0"/>
      <w:marTop w:val="0"/>
      <w:marBottom w:val="0"/>
      <w:divBdr>
        <w:top w:val="none" w:sz="0" w:space="0" w:color="auto"/>
        <w:left w:val="none" w:sz="0" w:space="0" w:color="auto"/>
        <w:bottom w:val="none" w:sz="0" w:space="0" w:color="auto"/>
        <w:right w:val="none" w:sz="0" w:space="0" w:color="auto"/>
      </w:divBdr>
    </w:div>
    <w:div w:id="1834951709">
      <w:bodyDiv w:val="1"/>
      <w:marLeft w:val="0"/>
      <w:marRight w:val="0"/>
      <w:marTop w:val="0"/>
      <w:marBottom w:val="0"/>
      <w:divBdr>
        <w:top w:val="none" w:sz="0" w:space="0" w:color="auto"/>
        <w:left w:val="none" w:sz="0" w:space="0" w:color="auto"/>
        <w:bottom w:val="none" w:sz="0" w:space="0" w:color="auto"/>
        <w:right w:val="none" w:sz="0" w:space="0" w:color="auto"/>
      </w:divBdr>
    </w:div>
    <w:div w:id="1834956002">
      <w:bodyDiv w:val="1"/>
      <w:marLeft w:val="0"/>
      <w:marRight w:val="0"/>
      <w:marTop w:val="0"/>
      <w:marBottom w:val="0"/>
      <w:divBdr>
        <w:top w:val="none" w:sz="0" w:space="0" w:color="auto"/>
        <w:left w:val="none" w:sz="0" w:space="0" w:color="auto"/>
        <w:bottom w:val="none" w:sz="0" w:space="0" w:color="auto"/>
        <w:right w:val="none" w:sz="0" w:space="0" w:color="auto"/>
      </w:divBdr>
    </w:div>
    <w:div w:id="1835221406">
      <w:bodyDiv w:val="1"/>
      <w:marLeft w:val="0"/>
      <w:marRight w:val="0"/>
      <w:marTop w:val="0"/>
      <w:marBottom w:val="0"/>
      <w:divBdr>
        <w:top w:val="none" w:sz="0" w:space="0" w:color="auto"/>
        <w:left w:val="none" w:sz="0" w:space="0" w:color="auto"/>
        <w:bottom w:val="none" w:sz="0" w:space="0" w:color="auto"/>
        <w:right w:val="none" w:sz="0" w:space="0" w:color="auto"/>
      </w:divBdr>
    </w:div>
    <w:div w:id="1835343202">
      <w:bodyDiv w:val="1"/>
      <w:marLeft w:val="0"/>
      <w:marRight w:val="0"/>
      <w:marTop w:val="0"/>
      <w:marBottom w:val="0"/>
      <w:divBdr>
        <w:top w:val="none" w:sz="0" w:space="0" w:color="auto"/>
        <w:left w:val="none" w:sz="0" w:space="0" w:color="auto"/>
        <w:bottom w:val="none" w:sz="0" w:space="0" w:color="auto"/>
        <w:right w:val="none" w:sz="0" w:space="0" w:color="auto"/>
      </w:divBdr>
    </w:div>
    <w:div w:id="1835412367">
      <w:bodyDiv w:val="1"/>
      <w:marLeft w:val="0"/>
      <w:marRight w:val="0"/>
      <w:marTop w:val="0"/>
      <w:marBottom w:val="0"/>
      <w:divBdr>
        <w:top w:val="none" w:sz="0" w:space="0" w:color="auto"/>
        <w:left w:val="none" w:sz="0" w:space="0" w:color="auto"/>
        <w:bottom w:val="none" w:sz="0" w:space="0" w:color="auto"/>
        <w:right w:val="none" w:sz="0" w:space="0" w:color="auto"/>
      </w:divBdr>
    </w:div>
    <w:div w:id="1835486122">
      <w:bodyDiv w:val="1"/>
      <w:marLeft w:val="0"/>
      <w:marRight w:val="0"/>
      <w:marTop w:val="0"/>
      <w:marBottom w:val="0"/>
      <w:divBdr>
        <w:top w:val="none" w:sz="0" w:space="0" w:color="auto"/>
        <w:left w:val="none" w:sz="0" w:space="0" w:color="auto"/>
        <w:bottom w:val="none" w:sz="0" w:space="0" w:color="auto"/>
        <w:right w:val="none" w:sz="0" w:space="0" w:color="auto"/>
      </w:divBdr>
    </w:div>
    <w:div w:id="1835488416">
      <w:bodyDiv w:val="1"/>
      <w:marLeft w:val="0"/>
      <w:marRight w:val="0"/>
      <w:marTop w:val="0"/>
      <w:marBottom w:val="0"/>
      <w:divBdr>
        <w:top w:val="none" w:sz="0" w:space="0" w:color="auto"/>
        <w:left w:val="none" w:sz="0" w:space="0" w:color="auto"/>
        <w:bottom w:val="none" w:sz="0" w:space="0" w:color="auto"/>
        <w:right w:val="none" w:sz="0" w:space="0" w:color="auto"/>
      </w:divBdr>
    </w:div>
    <w:div w:id="1835532994">
      <w:bodyDiv w:val="1"/>
      <w:marLeft w:val="0"/>
      <w:marRight w:val="0"/>
      <w:marTop w:val="0"/>
      <w:marBottom w:val="0"/>
      <w:divBdr>
        <w:top w:val="none" w:sz="0" w:space="0" w:color="auto"/>
        <w:left w:val="none" w:sz="0" w:space="0" w:color="auto"/>
        <w:bottom w:val="none" w:sz="0" w:space="0" w:color="auto"/>
        <w:right w:val="none" w:sz="0" w:space="0" w:color="auto"/>
      </w:divBdr>
    </w:div>
    <w:div w:id="1835606681">
      <w:bodyDiv w:val="1"/>
      <w:marLeft w:val="0"/>
      <w:marRight w:val="0"/>
      <w:marTop w:val="0"/>
      <w:marBottom w:val="0"/>
      <w:divBdr>
        <w:top w:val="none" w:sz="0" w:space="0" w:color="auto"/>
        <w:left w:val="none" w:sz="0" w:space="0" w:color="auto"/>
        <w:bottom w:val="none" w:sz="0" w:space="0" w:color="auto"/>
        <w:right w:val="none" w:sz="0" w:space="0" w:color="auto"/>
      </w:divBdr>
    </w:div>
    <w:div w:id="1835729290">
      <w:bodyDiv w:val="1"/>
      <w:marLeft w:val="0"/>
      <w:marRight w:val="0"/>
      <w:marTop w:val="0"/>
      <w:marBottom w:val="0"/>
      <w:divBdr>
        <w:top w:val="none" w:sz="0" w:space="0" w:color="auto"/>
        <w:left w:val="none" w:sz="0" w:space="0" w:color="auto"/>
        <w:bottom w:val="none" w:sz="0" w:space="0" w:color="auto"/>
        <w:right w:val="none" w:sz="0" w:space="0" w:color="auto"/>
      </w:divBdr>
    </w:div>
    <w:div w:id="1835761214">
      <w:bodyDiv w:val="1"/>
      <w:marLeft w:val="0"/>
      <w:marRight w:val="0"/>
      <w:marTop w:val="0"/>
      <w:marBottom w:val="0"/>
      <w:divBdr>
        <w:top w:val="none" w:sz="0" w:space="0" w:color="auto"/>
        <w:left w:val="none" w:sz="0" w:space="0" w:color="auto"/>
        <w:bottom w:val="none" w:sz="0" w:space="0" w:color="auto"/>
        <w:right w:val="none" w:sz="0" w:space="0" w:color="auto"/>
      </w:divBdr>
    </w:div>
    <w:div w:id="1835875797">
      <w:bodyDiv w:val="1"/>
      <w:marLeft w:val="0"/>
      <w:marRight w:val="0"/>
      <w:marTop w:val="0"/>
      <w:marBottom w:val="0"/>
      <w:divBdr>
        <w:top w:val="none" w:sz="0" w:space="0" w:color="auto"/>
        <w:left w:val="none" w:sz="0" w:space="0" w:color="auto"/>
        <w:bottom w:val="none" w:sz="0" w:space="0" w:color="auto"/>
        <w:right w:val="none" w:sz="0" w:space="0" w:color="auto"/>
      </w:divBdr>
    </w:div>
    <w:div w:id="1835947949">
      <w:bodyDiv w:val="1"/>
      <w:marLeft w:val="0"/>
      <w:marRight w:val="0"/>
      <w:marTop w:val="0"/>
      <w:marBottom w:val="0"/>
      <w:divBdr>
        <w:top w:val="none" w:sz="0" w:space="0" w:color="auto"/>
        <w:left w:val="none" w:sz="0" w:space="0" w:color="auto"/>
        <w:bottom w:val="none" w:sz="0" w:space="0" w:color="auto"/>
        <w:right w:val="none" w:sz="0" w:space="0" w:color="auto"/>
      </w:divBdr>
    </w:div>
    <w:div w:id="1835992146">
      <w:bodyDiv w:val="1"/>
      <w:marLeft w:val="0"/>
      <w:marRight w:val="0"/>
      <w:marTop w:val="0"/>
      <w:marBottom w:val="0"/>
      <w:divBdr>
        <w:top w:val="none" w:sz="0" w:space="0" w:color="auto"/>
        <w:left w:val="none" w:sz="0" w:space="0" w:color="auto"/>
        <w:bottom w:val="none" w:sz="0" w:space="0" w:color="auto"/>
        <w:right w:val="none" w:sz="0" w:space="0" w:color="auto"/>
      </w:divBdr>
    </w:div>
    <w:div w:id="1836073062">
      <w:bodyDiv w:val="1"/>
      <w:marLeft w:val="0"/>
      <w:marRight w:val="0"/>
      <w:marTop w:val="0"/>
      <w:marBottom w:val="0"/>
      <w:divBdr>
        <w:top w:val="none" w:sz="0" w:space="0" w:color="auto"/>
        <w:left w:val="none" w:sz="0" w:space="0" w:color="auto"/>
        <w:bottom w:val="none" w:sz="0" w:space="0" w:color="auto"/>
        <w:right w:val="none" w:sz="0" w:space="0" w:color="auto"/>
      </w:divBdr>
    </w:div>
    <w:div w:id="1836191131">
      <w:bodyDiv w:val="1"/>
      <w:marLeft w:val="0"/>
      <w:marRight w:val="0"/>
      <w:marTop w:val="0"/>
      <w:marBottom w:val="0"/>
      <w:divBdr>
        <w:top w:val="none" w:sz="0" w:space="0" w:color="auto"/>
        <w:left w:val="none" w:sz="0" w:space="0" w:color="auto"/>
        <w:bottom w:val="none" w:sz="0" w:space="0" w:color="auto"/>
        <w:right w:val="none" w:sz="0" w:space="0" w:color="auto"/>
      </w:divBdr>
    </w:div>
    <w:div w:id="1836263457">
      <w:bodyDiv w:val="1"/>
      <w:marLeft w:val="0"/>
      <w:marRight w:val="0"/>
      <w:marTop w:val="0"/>
      <w:marBottom w:val="0"/>
      <w:divBdr>
        <w:top w:val="none" w:sz="0" w:space="0" w:color="auto"/>
        <w:left w:val="none" w:sz="0" w:space="0" w:color="auto"/>
        <w:bottom w:val="none" w:sz="0" w:space="0" w:color="auto"/>
        <w:right w:val="none" w:sz="0" w:space="0" w:color="auto"/>
      </w:divBdr>
    </w:div>
    <w:div w:id="1836531374">
      <w:bodyDiv w:val="1"/>
      <w:marLeft w:val="0"/>
      <w:marRight w:val="0"/>
      <w:marTop w:val="0"/>
      <w:marBottom w:val="0"/>
      <w:divBdr>
        <w:top w:val="none" w:sz="0" w:space="0" w:color="auto"/>
        <w:left w:val="none" w:sz="0" w:space="0" w:color="auto"/>
        <w:bottom w:val="none" w:sz="0" w:space="0" w:color="auto"/>
        <w:right w:val="none" w:sz="0" w:space="0" w:color="auto"/>
      </w:divBdr>
    </w:div>
    <w:div w:id="1836531959">
      <w:bodyDiv w:val="1"/>
      <w:marLeft w:val="0"/>
      <w:marRight w:val="0"/>
      <w:marTop w:val="0"/>
      <w:marBottom w:val="0"/>
      <w:divBdr>
        <w:top w:val="none" w:sz="0" w:space="0" w:color="auto"/>
        <w:left w:val="none" w:sz="0" w:space="0" w:color="auto"/>
        <w:bottom w:val="none" w:sz="0" w:space="0" w:color="auto"/>
        <w:right w:val="none" w:sz="0" w:space="0" w:color="auto"/>
      </w:divBdr>
    </w:div>
    <w:div w:id="1836533614">
      <w:bodyDiv w:val="1"/>
      <w:marLeft w:val="0"/>
      <w:marRight w:val="0"/>
      <w:marTop w:val="0"/>
      <w:marBottom w:val="0"/>
      <w:divBdr>
        <w:top w:val="none" w:sz="0" w:space="0" w:color="auto"/>
        <w:left w:val="none" w:sz="0" w:space="0" w:color="auto"/>
        <w:bottom w:val="none" w:sz="0" w:space="0" w:color="auto"/>
        <w:right w:val="none" w:sz="0" w:space="0" w:color="auto"/>
      </w:divBdr>
    </w:div>
    <w:div w:id="1836603654">
      <w:bodyDiv w:val="1"/>
      <w:marLeft w:val="0"/>
      <w:marRight w:val="0"/>
      <w:marTop w:val="0"/>
      <w:marBottom w:val="0"/>
      <w:divBdr>
        <w:top w:val="none" w:sz="0" w:space="0" w:color="auto"/>
        <w:left w:val="none" w:sz="0" w:space="0" w:color="auto"/>
        <w:bottom w:val="none" w:sz="0" w:space="0" w:color="auto"/>
        <w:right w:val="none" w:sz="0" w:space="0" w:color="auto"/>
      </w:divBdr>
    </w:div>
    <w:div w:id="1836605960">
      <w:bodyDiv w:val="1"/>
      <w:marLeft w:val="0"/>
      <w:marRight w:val="0"/>
      <w:marTop w:val="0"/>
      <w:marBottom w:val="0"/>
      <w:divBdr>
        <w:top w:val="none" w:sz="0" w:space="0" w:color="auto"/>
        <w:left w:val="none" w:sz="0" w:space="0" w:color="auto"/>
        <w:bottom w:val="none" w:sz="0" w:space="0" w:color="auto"/>
        <w:right w:val="none" w:sz="0" w:space="0" w:color="auto"/>
      </w:divBdr>
    </w:div>
    <w:div w:id="1836653518">
      <w:bodyDiv w:val="1"/>
      <w:marLeft w:val="0"/>
      <w:marRight w:val="0"/>
      <w:marTop w:val="0"/>
      <w:marBottom w:val="0"/>
      <w:divBdr>
        <w:top w:val="none" w:sz="0" w:space="0" w:color="auto"/>
        <w:left w:val="none" w:sz="0" w:space="0" w:color="auto"/>
        <w:bottom w:val="none" w:sz="0" w:space="0" w:color="auto"/>
        <w:right w:val="none" w:sz="0" w:space="0" w:color="auto"/>
      </w:divBdr>
    </w:div>
    <w:div w:id="1836724797">
      <w:bodyDiv w:val="1"/>
      <w:marLeft w:val="0"/>
      <w:marRight w:val="0"/>
      <w:marTop w:val="0"/>
      <w:marBottom w:val="0"/>
      <w:divBdr>
        <w:top w:val="none" w:sz="0" w:space="0" w:color="auto"/>
        <w:left w:val="none" w:sz="0" w:space="0" w:color="auto"/>
        <w:bottom w:val="none" w:sz="0" w:space="0" w:color="auto"/>
        <w:right w:val="none" w:sz="0" w:space="0" w:color="auto"/>
      </w:divBdr>
    </w:div>
    <w:div w:id="1836726888">
      <w:bodyDiv w:val="1"/>
      <w:marLeft w:val="0"/>
      <w:marRight w:val="0"/>
      <w:marTop w:val="0"/>
      <w:marBottom w:val="0"/>
      <w:divBdr>
        <w:top w:val="none" w:sz="0" w:space="0" w:color="auto"/>
        <w:left w:val="none" w:sz="0" w:space="0" w:color="auto"/>
        <w:bottom w:val="none" w:sz="0" w:space="0" w:color="auto"/>
        <w:right w:val="none" w:sz="0" w:space="0" w:color="auto"/>
      </w:divBdr>
    </w:div>
    <w:div w:id="1836728053">
      <w:bodyDiv w:val="1"/>
      <w:marLeft w:val="0"/>
      <w:marRight w:val="0"/>
      <w:marTop w:val="0"/>
      <w:marBottom w:val="0"/>
      <w:divBdr>
        <w:top w:val="none" w:sz="0" w:space="0" w:color="auto"/>
        <w:left w:val="none" w:sz="0" w:space="0" w:color="auto"/>
        <w:bottom w:val="none" w:sz="0" w:space="0" w:color="auto"/>
        <w:right w:val="none" w:sz="0" w:space="0" w:color="auto"/>
      </w:divBdr>
    </w:div>
    <w:div w:id="1836846585">
      <w:bodyDiv w:val="1"/>
      <w:marLeft w:val="0"/>
      <w:marRight w:val="0"/>
      <w:marTop w:val="0"/>
      <w:marBottom w:val="0"/>
      <w:divBdr>
        <w:top w:val="none" w:sz="0" w:space="0" w:color="auto"/>
        <w:left w:val="none" w:sz="0" w:space="0" w:color="auto"/>
        <w:bottom w:val="none" w:sz="0" w:space="0" w:color="auto"/>
        <w:right w:val="none" w:sz="0" w:space="0" w:color="auto"/>
      </w:divBdr>
    </w:div>
    <w:div w:id="1836916959">
      <w:bodyDiv w:val="1"/>
      <w:marLeft w:val="0"/>
      <w:marRight w:val="0"/>
      <w:marTop w:val="0"/>
      <w:marBottom w:val="0"/>
      <w:divBdr>
        <w:top w:val="none" w:sz="0" w:space="0" w:color="auto"/>
        <w:left w:val="none" w:sz="0" w:space="0" w:color="auto"/>
        <w:bottom w:val="none" w:sz="0" w:space="0" w:color="auto"/>
        <w:right w:val="none" w:sz="0" w:space="0" w:color="auto"/>
      </w:divBdr>
    </w:div>
    <w:div w:id="1836992976">
      <w:bodyDiv w:val="1"/>
      <w:marLeft w:val="0"/>
      <w:marRight w:val="0"/>
      <w:marTop w:val="0"/>
      <w:marBottom w:val="0"/>
      <w:divBdr>
        <w:top w:val="none" w:sz="0" w:space="0" w:color="auto"/>
        <w:left w:val="none" w:sz="0" w:space="0" w:color="auto"/>
        <w:bottom w:val="none" w:sz="0" w:space="0" w:color="auto"/>
        <w:right w:val="none" w:sz="0" w:space="0" w:color="auto"/>
      </w:divBdr>
    </w:div>
    <w:div w:id="1837069097">
      <w:bodyDiv w:val="1"/>
      <w:marLeft w:val="0"/>
      <w:marRight w:val="0"/>
      <w:marTop w:val="0"/>
      <w:marBottom w:val="0"/>
      <w:divBdr>
        <w:top w:val="none" w:sz="0" w:space="0" w:color="auto"/>
        <w:left w:val="none" w:sz="0" w:space="0" w:color="auto"/>
        <w:bottom w:val="none" w:sz="0" w:space="0" w:color="auto"/>
        <w:right w:val="none" w:sz="0" w:space="0" w:color="auto"/>
      </w:divBdr>
    </w:div>
    <w:div w:id="1837111986">
      <w:bodyDiv w:val="1"/>
      <w:marLeft w:val="0"/>
      <w:marRight w:val="0"/>
      <w:marTop w:val="0"/>
      <w:marBottom w:val="0"/>
      <w:divBdr>
        <w:top w:val="none" w:sz="0" w:space="0" w:color="auto"/>
        <w:left w:val="none" w:sz="0" w:space="0" w:color="auto"/>
        <w:bottom w:val="none" w:sz="0" w:space="0" w:color="auto"/>
        <w:right w:val="none" w:sz="0" w:space="0" w:color="auto"/>
      </w:divBdr>
    </w:div>
    <w:div w:id="1837185301">
      <w:bodyDiv w:val="1"/>
      <w:marLeft w:val="0"/>
      <w:marRight w:val="0"/>
      <w:marTop w:val="0"/>
      <w:marBottom w:val="0"/>
      <w:divBdr>
        <w:top w:val="none" w:sz="0" w:space="0" w:color="auto"/>
        <w:left w:val="none" w:sz="0" w:space="0" w:color="auto"/>
        <w:bottom w:val="none" w:sz="0" w:space="0" w:color="auto"/>
        <w:right w:val="none" w:sz="0" w:space="0" w:color="auto"/>
      </w:divBdr>
    </w:div>
    <w:div w:id="1837190983">
      <w:bodyDiv w:val="1"/>
      <w:marLeft w:val="0"/>
      <w:marRight w:val="0"/>
      <w:marTop w:val="0"/>
      <w:marBottom w:val="0"/>
      <w:divBdr>
        <w:top w:val="none" w:sz="0" w:space="0" w:color="auto"/>
        <w:left w:val="none" w:sz="0" w:space="0" w:color="auto"/>
        <w:bottom w:val="none" w:sz="0" w:space="0" w:color="auto"/>
        <w:right w:val="none" w:sz="0" w:space="0" w:color="auto"/>
      </w:divBdr>
    </w:div>
    <w:div w:id="1837261560">
      <w:bodyDiv w:val="1"/>
      <w:marLeft w:val="0"/>
      <w:marRight w:val="0"/>
      <w:marTop w:val="0"/>
      <w:marBottom w:val="0"/>
      <w:divBdr>
        <w:top w:val="none" w:sz="0" w:space="0" w:color="auto"/>
        <w:left w:val="none" w:sz="0" w:space="0" w:color="auto"/>
        <w:bottom w:val="none" w:sz="0" w:space="0" w:color="auto"/>
        <w:right w:val="none" w:sz="0" w:space="0" w:color="auto"/>
      </w:divBdr>
    </w:div>
    <w:div w:id="1837376689">
      <w:bodyDiv w:val="1"/>
      <w:marLeft w:val="0"/>
      <w:marRight w:val="0"/>
      <w:marTop w:val="0"/>
      <w:marBottom w:val="0"/>
      <w:divBdr>
        <w:top w:val="none" w:sz="0" w:space="0" w:color="auto"/>
        <w:left w:val="none" w:sz="0" w:space="0" w:color="auto"/>
        <w:bottom w:val="none" w:sz="0" w:space="0" w:color="auto"/>
        <w:right w:val="none" w:sz="0" w:space="0" w:color="auto"/>
      </w:divBdr>
    </w:div>
    <w:div w:id="1837377658">
      <w:bodyDiv w:val="1"/>
      <w:marLeft w:val="0"/>
      <w:marRight w:val="0"/>
      <w:marTop w:val="0"/>
      <w:marBottom w:val="0"/>
      <w:divBdr>
        <w:top w:val="none" w:sz="0" w:space="0" w:color="auto"/>
        <w:left w:val="none" w:sz="0" w:space="0" w:color="auto"/>
        <w:bottom w:val="none" w:sz="0" w:space="0" w:color="auto"/>
        <w:right w:val="none" w:sz="0" w:space="0" w:color="auto"/>
      </w:divBdr>
    </w:div>
    <w:div w:id="1837378587">
      <w:bodyDiv w:val="1"/>
      <w:marLeft w:val="0"/>
      <w:marRight w:val="0"/>
      <w:marTop w:val="0"/>
      <w:marBottom w:val="0"/>
      <w:divBdr>
        <w:top w:val="none" w:sz="0" w:space="0" w:color="auto"/>
        <w:left w:val="none" w:sz="0" w:space="0" w:color="auto"/>
        <w:bottom w:val="none" w:sz="0" w:space="0" w:color="auto"/>
        <w:right w:val="none" w:sz="0" w:space="0" w:color="auto"/>
      </w:divBdr>
    </w:div>
    <w:div w:id="1837454525">
      <w:bodyDiv w:val="1"/>
      <w:marLeft w:val="0"/>
      <w:marRight w:val="0"/>
      <w:marTop w:val="0"/>
      <w:marBottom w:val="0"/>
      <w:divBdr>
        <w:top w:val="none" w:sz="0" w:space="0" w:color="auto"/>
        <w:left w:val="none" w:sz="0" w:space="0" w:color="auto"/>
        <w:bottom w:val="none" w:sz="0" w:space="0" w:color="auto"/>
        <w:right w:val="none" w:sz="0" w:space="0" w:color="auto"/>
      </w:divBdr>
    </w:div>
    <w:div w:id="1837529840">
      <w:bodyDiv w:val="1"/>
      <w:marLeft w:val="0"/>
      <w:marRight w:val="0"/>
      <w:marTop w:val="0"/>
      <w:marBottom w:val="0"/>
      <w:divBdr>
        <w:top w:val="none" w:sz="0" w:space="0" w:color="auto"/>
        <w:left w:val="none" w:sz="0" w:space="0" w:color="auto"/>
        <w:bottom w:val="none" w:sz="0" w:space="0" w:color="auto"/>
        <w:right w:val="none" w:sz="0" w:space="0" w:color="auto"/>
      </w:divBdr>
    </w:div>
    <w:div w:id="1837569440">
      <w:bodyDiv w:val="1"/>
      <w:marLeft w:val="0"/>
      <w:marRight w:val="0"/>
      <w:marTop w:val="0"/>
      <w:marBottom w:val="0"/>
      <w:divBdr>
        <w:top w:val="none" w:sz="0" w:space="0" w:color="auto"/>
        <w:left w:val="none" w:sz="0" w:space="0" w:color="auto"/>
        <w:bottom w:val="none" w:sz="0" w:space="0" w:color="auto"/>
        <w:right w:val="none" w:sz="0" w:space="0" w:color="auto"/>
      </w:divBdr>
    </w:div>
    <w:div w:id="1837572039">
      <w:bodyDiv w:val="1"/>
      <w:marLeft w:val="0"/>
      <w:marRight w:val="0"/>
      <w:marTop w:val="0"/>
      <w:marBottom w:val="0"/>
      <w:divBdr>
        <w:top w:val="none" w:sz="0" w:space="0" w:color="auto"/>
        <w:left w:val="none" w:sz="0" w:space="0" w:color="auto"/>
        <w:bottom w:val="none" w:sz="0" w:space="0" w:color="auto"/>
        <w:right w:val="none" w:sz="0" w:space="0" w:color="auto"/>
      </w:divBdr>
    </w:div>
    <w:div w:id="1837647712">
      <w:bodyDiv w:val="1"/>
      <w:marLeft w:val="0"/>
      <w:marRight w:val="0"/>
      <w:marTop w:val="0"/>
      <w:marBottom w:val="0"/>
      <w:divBdr>
        <w:top w:val="none" w:sz="0" w:space="0" w:color="auto"/>
        <w:left w:val="none" w:sz="0" w:space="0" w:color="auto"/>
        <w:bottom w:val="none" w:sz="0" w:space="0" w:color="auto"/>
        <w:right w:val="none" w:sz="0" w:space="0" w:color="auto"/>
      </w:divBdr>
    </w:div>
    <w:div w:id="1837650410">
      <w:bodyDiv w:val="1"/>
      <w:marLeft w:val="0"/>
      <w:marRight w:val="0"/>
      <w:marTop w:val="0"/>
      <w:marBottom w:val="0"/>
      <w:divBdr>
        <w:top w:val="none" w:sz="0" w:space="0" w:color="auto"/>
        <w:left w:val="none" w:sz="0" w:space="0" w:color="auto"/>
        <w:bottom w:val="none" w:sz="0" w:space="0" w:color="auto"/>
        <w:right w:val="none" w:sz="0" w:space="0" w:color="auto"/>
      </w:divBdr>
    </w:div>
    <w:div w:id="1837765342">
      <w:bodyDiv w:val="1"/>
      <w:marLeft w:val="0"/>
      <w:marRight w:val="0"/>
      <w:marTop w:val="0"/>
      <w:marBottom w:val="0"/>
      <w:divBdr>
        <w:top w:val="none" w:sz="0" w:space="0" w:color="auto"/>
        <w:left w:val="none" w:sz="0" w:space="0" w:color="auto"/>
        <w:bottom w:val="none" w:sz="0" w:space="0" w:color="auto"/>
        <w:right w:val="none" w:sz="0" w:space="0" w:color="auto"/>
      </w:divBdr>
    </w:div>
    <w:div w:id="1837839164">
      <w:bodyDiv w:val="1"/>
      <w:marLeft w:val="0"/>
      <w:marRight w:val="0"/>
      <w:marTop w:val="0"/>
      <w:marBottom w:val="0"/>
      <w:divBdr>
        <w:top w:val="none" w:sz="0" w:space="0" w:color="auto"/>
        <w:left w:val="none" w:sz="0" w:space="0" w:color="auto"/>
        <w:bottom w:val="none" w:sz="0" w:space="0" w:color="auto"/>
        <w:right w:val="none" w:sz="0" w:space="0" w:color="auto"/>
      </w:divBdr>
    </w:div>
    <w:div w:id="1837914514">
      <w:bodyDiv w:val="1"/>
      <w:marLeft w:val="0"/>
      <w:marRight w:val="0"/>
      <w:marTop w:val="0"/>
      <w:marBottom w:val="0"/>
      <w:divBdr>
        <w:top w:val="none" w:sz="0" w:space="0" w:color="auto"/>
        <w:left w:val="none" w:sz="0" w:space="0" w:color="auto"/>
        <w:bottom w:val="none" w:sz="0" w:space="0" w:color="auto"/>
        <w:right w:val="none" w:sz="0" w:space="0" w:color="auto"/>
      </w:divBdr>
    </w:div>
    <w:div w:id="1837915250">
      <w:bodyDiv w:val="1"/>
      <w:marLeft w:val="0"/>
      <w:marRight w:val="0"/>
      <w:marTop w:val="0"/>
      <w:marBottom w:val="0"/>
      <w:divBdr>
        <w:top w:val="none" w:sz="0" w:space="0" w:color="auto"/>
        <w:left w:val="none" w:sz="0" w:space="0" w:color="auto"/>
        <w:bottom w:val="none" w:sz="0" w:space="0" w:color="auto"/>
        <w:right w:val="none" w:sz="0" w:space="0" w:color="auto"/>
      </w:divBdr>
    </w:div>
    <w:div w:id="1838381573">
      <w:bodyDiv w:val="1"/>
      <w:marLeft w:val="0"/>
      <w:marRight w:val="0"/>
      <w:marTop w:val="0"/>
      <w:marBottom w:val="0"/>
      <w:divBdr>
        <w:top w:val="none" w:sz="0" w:space="0" w:color="auto"/>
        <w:left w:val="none" w:sz="0" w:space="0" w:color="auto"/>
        <w:bottom w:val="none" w:sz="0" w:space="0" w:color="auto"/>
        <w:right w:val="none" w:sz="0" w:space="0" w:color="auto"/>
      </w:divBdr>
    </w:div>
    <w:div w:id="1838383098">
      <w:bodyDiv w:val="1"/>
      <w:marLeft w:val="0"/>
      <w:marRight w:val="0"/>
      <w:marTop w:val="0"/>
      <w:marBottom w:val="0"/>
      <w:divBdr>
        <w:top w:val="none" w:sz="0" w:space="0" w:color="auto"/>
        <w:left w:val="none" w:sz="0" w:space="0" w:color="auto"/>
        <w:bottom w:val="none" w:sz="0" w:space="0" w:color="auto"/>
        <w:right w:val="none" w:sz="0" w:space="0" w:color="auto"/>
      </w:divBdr>
    </w:div>
    <w:div w:id="1838425300">
      <w:bodyDiv w:val="1"/>
      <w:marLeft w:val="0"/>
      <w:marRight w:val="0"/>
      <w:marTop w:val="0"/>
      <w:marBottom w:val="0"/>
      <w:divBdr>
        <w:top w:val="none" w:sz="0" w:space="0" w:color="auto"/>
        <w:left w:val="none" w:sz="0" w:space="0" w:color="auto"/>
        <w:bottom w:val="none" w:sz="0" w:space="0" w:color="auto"/>
        <w:right w:val="none" w:sz="0" w:space="0" w:color="auto"/>
      </w:divBdr>
    </w:div>
    <w:div w:id="1838570284">
      <w:bodyDiv w:val="1"/>
      <w:marLeft w:val="0"/>
      <w:marRight w:val="0"/>
      <w:marTop w:val="0"/>
      <w:marBottom w:val="0"/>
      <w:divBdr>
        <w:top w:val="none" w:sz="0" w:space="0" w:color="auto"/>
        <w:left w:val="none" w:sz="0" w:space="0" w:color="auto"/>
        <w:bottom w:val="none" w:sz="0" w:space="0" w:color="auto"/>
        <w:right w:val="none" w:sz="0" w:space="0" w:color="auto"/>
      </w:divBdr>
    </w:div>
    <w:div w:id="1838837059">
      <w:bodyDiv w:val="1"/>
      <w:marLeft w:val="0"/>
      <w:marRight w:val="0"/>
      <w:marTop w:val="0"/>
      <w:marBottom w:val="0"/>
      <w:divBdr>
        <w:top w:val="none" w:sz="0" w:space="0" w:color="auto"/>
        <w:left w:val="none" w:sz="0" w:space="0" w:color="auto"/>
        <w:bottom w:val="none" w:sz="0" w:space="0" w:color="auto"/>
        <w:right w:val="none" w:sz="0" w:space="0" w:color="auto"/>
      </w:divBdr>
    </w:div>
    <w:div w:id="1838886038">
      <w:bodyDiv w:val="1"/>
      <w:marLeft w:val="0"/>
      <w:marRight w:val="0"/>
      <w:marTop w:val="0"/>
      <w:marBottom w:val="0"/>
      <w:divBdr>
        <w:top w:val="none" w:sz="0" w:space="0" w:color="auto"/>
        <w:left w:val="none" w:sz="0" w:space="0" w:color="auto"/>
        <w:bottom w:val="none" w:sz="0" w:space="0" w:color="auto"/>
        <w:right w:val="none" w:sz="0" w:space="0" w:color="auto"/>
      </w:divBdr>
    </w:div>
    <w:div w:id="1838887111">
      <w:bodyDiv w:val="1"/>
      <w:marLeft w:val="0"/>
      <w:marRight w:val="0"/>
      <w:marTop w:val="0"/>
      <w:marBottom w:val="0"/>
      <w:divBdr>
        <w:top w:val="none" w:sz="0" w:space="0" w:color="auto"/>
        <w:left w:val="none" w:sz="0" w:space="0" w:color="auto"/>
        <w:bottom w:val="none" w:sz="0" w:space="0" w:color="auto"/>
        <w:right w:val="none" w:sz="0" w:space="0" w:color="auto"/>
      </w:divBdr>
    </w:div>
    <w:div w:id="1838955768">
      <w:bodyDiv w:val="1"/>
      <w:marLeft w:val="0"/>
      <w:marRight w:val="0"/>
      <w:marTop w:val="0"/>
      <w:marBottom w:val="0"/>
      <w:divBdr>
        <w:top w:val="none" w:sz="0" w:space="0" w:color="auto"/>
        <w:left w:val="none" w:sz="0" w:space="0" w:color="auto"/>
        <w:bottom w:val="none" w:sz="0" w:space="0" w:color="auto"/>
        <w:right w:val="none" w:sz="0" w:space="0" w:color="auto"/>
      </w:divBdr>
    </w:div>
    <w:div w:id="1838959254">
      <w:bodyDiv w:val="1"/>
      <w:marLeft w:val="0"/>
      <w:marRight w:val="0"/>
      <w:marTop w:val="0"/>
      <w:marBottom w:val="0"/>
      <w:divBdr>
        <w:top w:val="none" w:sz="0" w:space="0" w:color="auto"/>
        <w:left w:val="none" w:sz="0" w:space="0" w:color="auto"/>
        <w:bottom w:val="none" w:sz="0" w:space="0" w:color="auto"/>
        <w:right w:val="none" w:sz="0" w:space="0" w:color="auto"/>
      </w:divBdr>
    </w:div>
    <w:div w:id="1838962035">
      <w:bodyDiv w:val="1"/>
      <w:marLeft w:val="0"/>
      <w:marRight w:val="0"/>
      <w:marTop w:val="0"/>
      <w:marBottom w:val="0"/>
      <w:divBdr>
        <w:top w:val="none" w:sz="0" w:space="0" w:color="auto"/>
        <w:left w:val="none" w:sz="0" w:space="0" w:color="auto"/>
        <w:bottom w:val="none" w:sz="0" w:space="0" w:color="auto"/>
        <w:right w:val="none" w:sz="0" w:space="0" w:color="auto"/>
      </w:divBdr>
    </w:div>
    <w:div w:id="1839032649">
      <w:bodyDiv w:val="1"/>
      <w:marLeft w:val="0"/>
      <w:marRight w:val="0"/>
      <w:marTop w:val="0"/>
      <w:marBottom w:val="0"/>
      <w:divBdr>
        <w:top w:val="none" w:sz="0" w:space="0" w:color="auto"/>
        <w:left w:val="none" w:sz="0" w:space="0" w:color="auto"/>
        <w:bottom w:val="none" w:sz="0" w:space="0" w:color="auto"/>
        <w:right w:val="none" w:sz="0" w:space="0" w:color="auto"/>
      </w:divBdr>
    </w:div>
    <w:div w:id="1839080454">
      <w:bodyDiv w:val="1"/>
      <w:marLeft w:val="0"/>
      <w:marRight w:val="0"/>
      <w:marTop w:val="0"/>
      <w:marBottom w:val="0"/>
      <w:divBdr>
        <w:top w:val="none" w:sz="0" w:space="0" w:color="auto"/>
        <w:left w:val="none" w:sz="0" w:space="0" w:color="auto"/>
        <w:bottom w:val="none" w:sz="0" w:space="0" w:color="auto"/>
        <w:right w:val="none" w:sz="0" w:space="0" w:color="auto"/>
      </w:divBdr>
    </w:div>
    <w:div w:id="1839152107">
      <w:bodyDiv w:val="1"/>
      <w:marLeft w:val="0"/>
      <w:marRight w:val="0"/>
      <w:marTop w:val="0"/>
      <w:marBottom w:val="0"/>
      <w:divBdr>
        <w:top w:val="none" w:sz="0" w:space="0" w:color="auto"/>
        <w:left w:val="none" w:sz="0" w:space="0" w:color="auto"/>
        <w:bottom w:val="none" w:sz="0" w:space="0" w:color="auto"/>
        <w:right w:val="none" w:sz="0" w:space="0" w:color="auto"/>
      </w:divBdr>
    </w:div>
    <w:div w:id="1839154058">
      <w:bodyDiv w:val="1"/>
      <w:marLeft w:val="0"/>
      <w:marRight w:val="0"/>
      <w:marTop w:val="0"/>
      <w:marBottom w:val="0"/>
      <w:divBdr>
        <w:top w:val="none" w:sz="0" w:space="0" w:color="auto"/>
        <w:left w:val="none" w:sz="0" w:space="0" w:color="auto"/>
        <w:bottom w:val="none" w:sz="0" w:space="0" w:color="auto"/>
        <w:right w:val="none" w:sz="0" w:space="0" w:color="auto"/>
      </w:divBdr>
    </w:div>
    <w:div w:id="1839228249">
      <w:bodyDiv w:val="1"/>
      <w:marLeft w:val="0"/>
      <w:marRight w:val="0"/>
      <w:marTop w:val="0"/>
      <w:marBottom w:val="0"/>
      <w:divBdr>
        <w:top w:val="none" w:sz="0" w:space="0" w:color="auto"/>
        <w:left w:val="none" w:sz="0" w:space="0" w:color="auto"/>
        <w:bottom w:val="none" w:sz="0" w:space="0" w:color="auto"/>
        <w:right w:val="none" w:sz="0" w:space="0" w:color="auto"/>
      </w:divBdr>
    </w:div>
    <w:div w:id="1839270163">
      <w:bodyDiv w:val="1"/>
      <w:marLeft w:val="0"/>
      <w:marRight w:val="0"/>
      <w:marTop w:val="0"/>
      <w:marBottom w:val="0"/>
      <w:divBdr>
        <w:top w:val="none" w:sz="0" w:space="0" w:color="auto"/>
        <w:left w:val="none" w:sz="0" w:space="0" w:color="auto"/>
        <w:bottom w:val="none" w:sz="0" w:space="0" w:color="auto"/>
        <w:right w:val="none" w:sz="0" w:space="0" w:color="auto"/>
      </w:divBdr>
    </w:div>
    <w:div w:id="1839349458">
      <w:bodyDiv w:val="1"/>
      <w:marLeft w:val="0"/>
      <w:marRight w:val="0"/>
      <w:marTop w:val="0"/>
      <w:marBottom w:val="0"/>
      <w:divBdr>
        <w:top w:val="none" w:sz="0" w:space="0" w:color="auto"/>
        <w:left w:val="none" w:sz="0" w:space="0" w:color="auto"/>
        <w:bottom w:val="none" w:sz="0" w:space="0" w:color="auto"/>
        <w:right w:val="none" w:sz="0" w:space="0" w:color="auto"/>
      </w:divBdr>
    </w:div>
    <w:div w:id="1839615263">
      <w:bodyDiv w:val="1"/>
      <w:marLeft w:val="0"/>
      <w:marRight w:val="0"/>
      <w:marTop w:val="0"/>
      <w:marBottom w:val="0"/>
      <w:divBdr>
        <w:top w:val="none" w:sz="0" w:space="0" w:color="auto"/>
        <w:left w:val="none" w:sz="0" w:space="0" w:color="auto"/>
        <w:bottom w:val="none" w:sz="0" w:space="0" w:color="auto"/>
        <w:right w:val="none" w:sz="0" w:space="0" w:color="auto"/>
      </w:divBdr>
    </w:div>
    <w:div w:id="1839616123">
      <w:bodyDiv w:val="1"/>
      <w:marLeft w:val="0"/>
      <w:marRight w:val="0"/>
      <w:marTop w:val="0"/>
      <w:marBottom w:val="0"/>
      <w:divBdr>
        <w:top w:val="none" w:sz="0" w:space="0" w:color="auto"/>
        <w:left w:val="none" w:sz="0" w:space="0" w:color="auto"/>
        <w:bottom w:val="none" w:sz="0" w:space="0" w:color="auto"/>
        <w:right w:val="none" w:sz="0" w:space="0" w:color="auto"/>
      </w:divBdr>
    </w:div>
    <w:div w:id="1839805537">
      <w:bodyDiv w:val="1"/>
      <w:marLeft w:val="0"/>
      <w:marRight w:val="0"/>
      <w:marTop w:val="0"/>
      <w:marBottom w:val="0"/>
      <w:divBdr>
        <w:top w:val="none" w:sz="0" w:space="0" w:color="auto"/>
        <w:left w:val="none" w:sz="0" w:space="0" w:color="auto"/>
        <w:bottom w:val="none" w:sz="0" w:space="0" w:color="auto"/>
        <w:right w:val="none" w:sz="0" w:space="0" w:color="auto"/>
      </w:divBdr>
    </w:div>
    <w:div w:id="1839928799">
      <w:bodyDiv w:val="1"/>
      <w:marLeft w:val="0"/>
      <w:marRight w:val="0"/>
      <w:marTop w:val="0"/>
      <w:marBottom w:val="0"/>
      <w:divBdr>
        <w:top w:val="none" w:sz="0" w:space="0" w:color="auto"/>
        <w:left w:val="none" w:sz="0" w:space="0" w:color="auto"/>
        <w:bottom w:val="none" w:sz="0" w:space="0" w:color="auto"/>
        <w:right w:val="none" w:sz="0" w:space="0" w:color="auto"/>
      </w:divBdr>
    </w:div>
    <w:div w:id="1840121794">
      <w:bodyDiv w:val="1"/>
      <w:marLeft w:val="0"/>
      <w:marRight w:val="0"/>
      <w:marTop w:val="0"/>
      <w:marBottom w:val="0"/>
      <w:divBdr>
        <w:top w:val="none" w:sz="0" w:space="0" w:color="auto"/>
        <w:left w:val="none" w:sz="0" w:space="0" w:color="auto"/>
        <w:bottom w:val="none" w:sz="0" w:space="0" w:color="auto"/>
        <w:right w:val="none" w:sz="0" w:space="0" w:color="auto"/>
      </w:divBdr>
    </w:div>
    <w:div w:id="1840149985">
      <w:bodyDiv w:val="1"/>
      <w:marLeft w:val="0"/>
      <w:marRight w:val="0"/>
      <w:marTop w:val="0"/>
      <w:marBottom w:val="0"/>
      <w:divBdr>
        <w:top w:val="none" w:sz="0" w:space="0" w:color="auto"/>
        <w:left w:val="none" w:sz="0" w:space="0" w:color="auto"/>
        <w:bottom w:val="none" w:sz="0" w:space="0" w:color="auto"/>
        <w:right w:val="none" w:sz="0" w:space="0" w:color="auto"/>
      </w:divBdr>
    </w:div>
    <w:div w:id="1840151586">
      <w:bodyDiv w:val="1"/>
      <w:marLeft w:val="0"/>
      <w:marRight w:val="0"/>
      <w:marTop w:val="0"/>
      <w:marBottom w:val="0"/>
      <w:divBdr>
        <w:top w:val="none" w:sz="0" w:space="0" w:color="auto"/>
        <w:left w:val="none" w:sz="0" w:space="0" w:color="auto"/>
        <w:bottom w:val="none" w:sz="0" w:space="0" w:color="auto"/>
        <w:right w:val="none" w:sz="0" w:space="0" w:color="auto"/>
      </w:divBdr>
    </w:div>
    <w:div w:id="1840268691">
      <w:bodyDiv w:val="1"/>
      <w:marLeft w:val="0"/>
      <w:marRight w:val="0"/>
      <w:marTop w:val="0"/>
      <w:marBottom w:val="0"/>
      <w:divBdr>
        <w:top w:val="none" w:sz="0" w:space="0" w:color="auto"/>
        <w:left w:val="none" w:sz="0" w:space="0" w:color="auto"/>
        <w:bottom w:val="none" w:sz="0" w:space="0" w:color="auto"/>
        <w:right w:val="none" w:sz="0" w:space="0" w:color="auto"/>
      </w:divBdr>
    </w:div>
    <w:div w:id="1840269343">
      <w:bodyDiv w:val="1"/>
      <w:marLeft w:val="0"/>
      <w:marRight w:val="0"/>
      <w:marTop w:val="0"/>
      <w:marBottom w:val="0"/>
      <w:divBdr>
        <w:top w:val="none" w:sz="0" w:space="0" w:color="auto"/>
        <w:left w:val="none" w:sz="0" w:space="0" w:color="auto"/>
        <w:bottom w:val="none" w:sz="0" w:space="0" w:color="auto"/>
        <w:right w:val="none" w:sz="0" w:space="0" w:color="auto"/>
      </w:divBdr>
    </w:div>
    <w:div w:id="1840270436">
      <w:bodyDiv w:val="1"/>
      <w:marLeft w:val="0"/>
      <w:marRight w:val="0"/>
      <w:marTop w:val="0"/>
      <w:marBottom w:val="0"/>
      <w:divBdr>
        <w:top w:val="none" w:sz="0" w:space="0" w:color="auto"/>
        <w:left w:val="none" w:sz="0" w:space="0" w:color="auto"/>
        <w:bottom w:val="none" w:sz="0" w:space="0" w:color="auto"/>
        <w:right w:val="none" w:sz="0" w:space="0" w:color="auto"/>
      </w:divBdr>
    </w:div>
    <w:div w:id="1840316742">
      <w:bodyDiv w:val="1"/>
      <w:marLeft w:val="0"/>
      <w:marRight w:val="0"/>
      <w:marTop w:val="0"/>
      <w:marBottom w:val="0"/>
      <w:divBdr>
        <w:top w:val="none" w:sz="0" w:space="0" w:color="auto"/>
        <w:left w:val="none" w:sz="0" w:space="0" w:color="auto"/>
        <w:bottom w:val="none" w:sz="0" w:space="0" w:color="auto"/>
        <w:right w:val="none" w:sz="0" w:space="0" w:color="auto"/>
      </w:divBdr>
    </w:div>
    <w:div w:id="1840340342">
      <w:bodyDiv w:val="1"/>
      <w:marLeft w:val="0"/>
      <w:marRight w:val="0"/>
      <w:marTop w:val="0"/>
      <w:marBottom w:val="0"/>
      <w:divBdr>
        <w:top w:val="none" w:sz="0" w:space="0" w:color="auto"/>
        <w:left w:val="none" w:sz="0" w:space="0" w:color="auto"/>
        <w:bottom w:val="none" w:sz="0" w:space="0" w:color="auto"/>
        <w:right w:val="none" w:sz="0" w:space="0" w:color="auto"/>
      </w:divBdr>
    </w:div>
    <w:div w:id="1840344652">
      <w:bodyDiv w:val="1"/>
      <w:marLeft w:val="0"/>
      <w:marRight w:val="0"/>
      <w:marTop w:val="0"/>
      <w:marBottom w:val="0"/>
      <w:divBdr>
        <w:top w:val="none" w:sz="0" w:space="0" w:color="auto"/>
        <w:left w:val="none" w:sz="0" w:space="0" w:color="auto"/>
        <w:bottom w:val="none" w:sz="0" w:space="0" w:color="auto"/>
        <w:right w:val="none" w:sz="0" w:space="0" w:color="auto"/>
      </w:divBdr>
    </w:div>
    <w:div w:id="1840345926">
      <w:bodyDiv w:val="1"/>
      <w:marLeft w:val="0"/>
      <w:marRight w:val="0"/>
      <w:marTop w:val="0"/>
      <w:marBottom w:val="0"/>
      <w:divBdr>
        <w:top w:val="none" w:sz="0" w:space="0" w:color="auto"/>
        <w:left w:val="none" w:sz="0" w:space="0" w:color="auto"/>
        <w:bottom w:val="none" w:sz="0" w:space="0" w:color="auto"/>
        <w:right w:val="none" w:sz="0" w:space="0" w:color="auto"/>
      </w:divBdr>
    </w:div>
    <w:div w:id="1840348353">
      <w:bodyDiv w:val="1"/>
      <w:marLeft w:val="0"/>
      <w:marRight w:val="0"/>
      <w:marTop w:val="0"/>
      <w:marBottom w:val="0"/>
      <w:divBdr>
        <w:top w:val="none" w:sz="0" w:space="0" w:color="auto"/>
        <w:left w:val="none" w:sz="0" w:space="0" w:color="auto"/>
        <w:bottom w:val="none" w:sz="0" w:space="0" w:color="auto"/>
        <w:right w:val="none" w:sz="0" w:space="0" w:color="auto"/>
      </w:divBdr>
    </w:div>
    <w:div w:id="1840385243">
      <w:bodyDiv w:val="1"/>
      <w:marLeft w:val="0"/>
      <w:marRight w:val="0"/>
      <w:marTop w:val="0"/>
      <w:marBottom w:val="0"/>
      <w:divBdr>
        <w:top w:val="none" w:sz="0" w:space="0" w:color="auto"/>
        <w:left w:val="none" w:sz="0" w:space="0" w:color="auto"/>
        <w:bottom w:val="none" w:sz="0" w:space="0" w:color="auto"/>
        <w:right w:val="none" w:sz="0" w:space="0" w:color="auto"/>
      </w:divBdr>
    </w:div>
    <w:div w:id="1840610337">
      <w:bodyDiv w:val="1"/>
      <w:marLeft w:val="0"/>
      <w:marRight w:val="0"/>
      <w:marTop w:val="0"/>
      <w:marBottom w:val="0"/>
      <w:divBdr>
        <w:top w:val="none" w:sz="0" w:space="0" w:color="auto"/>
        <w:left w:val="none" w:sz="0" w:space="0" w:color="auto"/>
        <w:bottom w:val="none" w:sz="0" w:space="0" w:color="auto"/>
        <w:right w:val="none" w:sz="0" w:space="0" w:color="auto"/>
      </w:divBdr>
    </w:div>
    <w:div w:id="1840659784">
      <w:bodyDiv w:val="1"/>
      <w:marLeft w:val="0"/>
      <w:marRight w:val="0"/>
      <w:marTop w:val="0"/>
      <w:marBottom w:val="0"/>
      <w:divBdr>
        <w:top w:val="none" w:sz="0" w:space="0" w:color="auto"/>
        <w:left w:val="none" w:sz="0" w:space="0" w:color="auto"/>
        <w:bottom w:val="none" w:sz="0" w:space="0" w:color="auto"/>
        <w:right w:val="none" w:sz="0" w:space="0" w:color="auto"/>
      </w:divBdr>
    </w:div>
    <w:div w:id="1840735639">
      <w:bodyDiv w:val="1"/>
      <w:marLeft w:val="0"/>
      <w:marRight w:val="0"/>
      <w:marTop w:val="0"/>
      <w:marBottom w:val="0"/>
      <w:divBdr>
        <w:top w:val="none" w:sz="0" w:space="0" w:color="auto"/>
        <w:left w:val="none" w:sz="0" w:space="0" w:color="auto"/>
        <w:bottom w:val="none" w:sz="0" w:space="0" w:color="auto"/>
        <w:right w:val="none" w:sz="0" w:space="0" w:color="auto"/>
      </w:divBdr>
    </w:div>
    <w:div w:id="1840804288">
      <w:bodyDiv w:val="1"/>
      <w:marLeft w:val="0"/>
      <w:marRight w:val="0"/>
      <w:marTop w:val="0"/>
      <w:marBottom w:val="0"/>
      <w:divBdr>
        <w:top w:val="none" w:sz="0" w:space="0" w:color="auto"/>
        <w:left w:val="none" w:sz="0" w:space="0" w:color="auto"/>
        <w:bottom w:val="none" w:sz="0" w:space="0" w:color="auto"/>
        <w:right w:val="none" w:sz="0" w:space="0" w:color="auto"/>
      </w:divBdr>
    </w:div>
    <w:div w:id="1840851287">
      <w:bodyDiv w:val="1"/>
      <w:marLeft w:val="0"/>
      <w:marRight w:val="0"/>
      <w:marTop w:val="0"/>
      <w:marBottom w:val="0"/>
      <w:divBdr>
        <w:top w:val="none" w:sz="0" w:space="0" w:color="auto"/>
        <w:left w:val="none" w:sz="0" w:space="0" w:color="auto"/>
        <w:bottom w:val="none" w:sz="0" w:space="0" w:color="auto"/>
        <w:right w:val="none" w:sz="0" w:space="0" w:color="auto"/>
      </w:divBdr>
    </w:div>
    <w:div w:id="1840921327">
      <w:bodyDiv w:val="1"/>
      <w:marLeft w:val="0"/>
      <w:marRight w:val="0"/>
      <w:marTop w:val="0"/>
      <w:marBottom w:val="0"/>
      <w:divBdr>
        <w:top w:val="none" w:sz="0" w:space="0" w:color="auto"/>
        <w:left w:val="none" w:sz="0" w:space="0" w:color="auto"/>
        <w:bottom w:val="none" w:sz="0" w:space="0" w:color="auto"/>
        <w:right w:val="none" w:sz="0" w:space="0" w:color="auto"/>
      </w:divBdr>
    </w:div>
    <w:div w:id="1841003601">
      <w:bodyDiv w:val="1"/>
      <w:marLeft w:val="0"/>
      <w:marRight w:val="0"/>
      <w:marTop w:val="0"/>
      <w:marBottom w:val="0"/>
      <w:divBdr>
        <w:top w:val="none" w:sz="0" w:space="0" w:color="auto"/>
        <w:left w:val="none" w:sz="0" w:space="0" w:color="auto"/>
        <w:bottom w:val="none" w:sz="0" w:space="0" w:color="auto"/>
        <w:right w:val="none" w:sz="0" w:space="0" w:color="auto"/>
      </w:divBdr>
    </w:div>
    <w:div w:id="1841037668">
      <w:bodyDiv w:val="1"/>
      <w:marLeft w:val="0"/>
      <w:marRight w:val="0"/>
      <w:marTop w:val="0"/>
      <w:marBottom w:val="0"/>
      <w:divBdr>
        <w:top w:val="none" w:sz="0" w:space="0" w:color="auto"/>
        <w:left w:val="none" w:sz="0" w:space="0" w:color="auto"/>
        <w:bottom w:val="none" w:sz="0" w:space="0" w:color="auto"/>
        <w:right w:val="none" w:sz="0" w:space="0" w:color="auto"/>
      </w:divBdr>
    </w:div>
    <w:div w:id="1841117858">
      <w:bodyDiv w:val="1"/>
      <w:marLeft w:val="0"/>
      <w:marRight w:val="0"/>
      <w:marTop w:val="0"/>
      <w:marBottom w:val="0"/>
      <w:divBdr>
        <w:top w:val="none" w:sz="0" w:space="0" w:color="auto"/>
        <w:left w:val="none" w:sz="0" w:space="0" w:color="auto"/>
        <w:bottom w:val="none" w:sz="0" w:space="0" w:color="auto"/>
        <w:right w:val="none" w:sz="0" w:space="0" w:color="auto"/>
      </w:divBdr>
    </w:div>
    <w:div w:id="1841265800">
      <w:bodyDiv w:val="1"/>
      <w:marLeft w:val="0"/>
      <w:marRight w:val="0"/>
      <w:marTop w:val="0"/>
      <w:marBottom w:val="0"/>
      <w:divBdr>
        <w:top w:val="none" w:sz="0" w:space="0" w:color="auto"/>
        <w:left w:val="none" w:sz="0" w:space="0" w:color="auto"/>
        <w:bottom w:val="none" w:sz="0" w:space="0" w:color="auto"/>
        <w:right w:val="none" w:sz="0" w:space="0" w:color="auto"/>
      </w:divBdr>
    </w:div>
    <w:div w:id="1841309619">
      <w:bodyDiv w:val="1"/>
      <w:marLeft w:val="0"/>
      <w:marRight w:val="0"/>
      <w:marTop w:val="0"/>
      <w:marBottom w:val="0"/>
      <w:divBdr>
        <w:top w:val="none" w:sz="0" w:space="0" w:color="auto"/>
        <w:left w:val="none" w:sz="0" w:space="0" w:color="auto"/>
        <w:bottom w:val="none" w:sz="0" w:space="0" w:color="auto"/>
        <w:right w:val="none" w:sz="0" w:space="0" w:color="auto"/>
      </w:divBdr>
    </w:div>
    <w:div w:id="1841458572">
      <w:bodyDiv w:val="1"/>
      <w:marLeft w:val="0"/>
      <w:marRight w:val="0"/>
      <w:marTop w:val="0"/>
      <w:marBottom w:val="0"/>
      <w:divBdr>
        <w:top w:val="none" w:sz="0" w:space="0" w:color="auto"/>
        <w:left w:val="none" w:sz="0" w:space="0" w:color="auto"/>
        <w:bottom w:val="none" w:sz="0" w:space="0" w:color="auto"/>
        <w:right w:val="none" w:sz="0" w:space="0" w:color="auto"/>
      </w:divBdr>
    </w:div>
    <w:div w:id="1841502136">
      <w:bodyDiv w:val="1"/>
      <w:marLeft w:val="0"/>
      <w:marRight w:val="0"/>
      <w:marTop w:val="0"/>
      <w:marBottom w:val="0"/>
      <w:divBdr>
        <w:top w:val="none" w:sz="0" w:space="0" w:color="auto"/>
        <w:left w:val="none" w:sz="0" w:space="0" w:color="auto"/>
        <w:bottom w:val="none" w:sz="0" w:space="0" w:color="auto"/>
        <w:right w:val="none" w:sz="0" w:space="0" w:color="auto"/>
      </w:divBdr>
    </w:div>
    <w:div w:id="1841847593">
      <w:bodyDiv w:val="1"/>
      <w:marLeft w:val="0"/>
      <w:marRight w:val="0"/>
      <w:marTop w:val="0"/>
      <w:marBottom w:val="0"/>
      <w:divBdr>
        <w:top w:val="none" w:sz="0" w:space="0" w:color="auto"/>
        <w:left w:val="none" w:sz="0" w:space="0" w:color="auto"/>
        <w:bottom w:val="none" w:sz="0" w:space="0" w:color="auto"/>
        <w:right w:val="none" w:sz="0" w:space="0" w:color="auto"/>
      </w:divBdr>
    </w:div>
    <w:div w:id="1842041675">
      <w:bodyDiv w:val="1"/>
      <w:marLeft w:val="0"/>
      <w:marRight w:val="0"/>
      <w:marTop w:val="0"/>
      <w:marBottom w:val="0"/>
      <w:divBdr>
        <w:top w:val="none" w:sz="0" w:space="0" w:color="auto"/>
        <w:left w:val="none" w:sz="0" w:space="0" w:color="auto"/>
        <w:bottom w:val="none" w:sz="0" w:space="0" w:color="auto"/>
        <w:right w:val="none" w:sz="0" w:space="0" w:color="auto"/>
      </w:divBdr>
    </w:div>
    <w:div w:id="1842041729">
      <w:bodyDiv w:val="1"/>
      <w:marLeft w:val="0"/>
      <w:marRight w:val="0"/>
      <w:marTop w:val="0"/>
      <w:marBottom w:val="0"/>
      <w:divBdr>
        <w:top w:val="none" w:sz="0" w:space="0" w:color="auto"/>
        <w:left w:val="none" w:sz="0" w:space="0" w:color="auto"/>
        <w:bottom w:val="none" w:sz="0" w:space="0" w:color="auto"/>
        <w:right w:val="none" w:sz="0" w:space="0" w:color="auto"/>
      </w:divBdr>
    </w:div>
    <w:div w:id="1842045852">
      <w:bodyDiv w:val="1"/>
      <w:marLeft w:val="0"/>
      <w:marRight w:val="0"/>
      <w:marTop w:val="0"/>
      <w:marBottom w:val="0"/>
      <w:divBdr>
        <w:top w:val="none" w:sz="0" w:space="0" w:color="auto"/>
        <w:left w:val="none" w:sz="0" w:space="0" w:color="auto"/>
        <w:bottom w:val="none" w:sz="0" w:space="0" w:color="auto"/>
        <w:right w:val="none" w:sz="0" w:space="0" w:color="auto"/>
      </w:divBdr>
    </w:div>
    <w:div w:id="1842087303">
      <w:bodyDiv w:val="1"/>
      <w:marLeft w:val="0"/>
      <w:marRight w:val="0"/>
      <w:marTop w:val="0"/>
      <w:marBottom w:val="0"/>
      <w:divBdr>
        <w:top w:val="none" w:sz="0" w:space="0" w:color="auto"/>
        <w:left w:val="none" w:sz="0" w:space="0" w:color="auto"/>
        <w:bottom w:val="none" w:sz="0" w:space="0" w:color="auto"/>
        <w:right w:val="none" w:sz="0" w:space="0" w:color="auto"/>
      </w:divBdr>
    </w:div>
    <w:div w:id="1842355171">
      <w:bodyDiv w:val="1"/>
      <w:marLeft w:val="0"/>
      <w:marRight w:val="0"/>
      <w:marTop w:val="0"/>
      <w:marBottom w:val="0"/>
      <w:divBdr>
        <w:top w:val="none" w:sz="0" w:space="0" w:color="auto"/>
        <w:left w:val="none" w:sz="0" w:space="0" w:color="auto"/>
        <w:bottom w:val="none" w:sz="0" w:space="0" w:color="auto"/>
        <w:right w:val="none" w:sz="0" w:space="0" w:color="auto"/>
      </w:divBdr>
    </w:div>
    <w:div w:id="1842616842">
      <w:bodyDiv w:val="1"/>
      <w:marLeft w:val="0"/>
      <w:marRight w:val="0"/>
      <w:marTop w:val="0"/>
      <w:marBottom w:val="0"/>
      <w:divBdr>
        <w:top w:val="none" w:sz="0" w:space="0" w:color="auto"/>
        <w:left w:val="none" w:sz="0" w:space="0" w:color="auto"/>
        <w:bottom w:val="none" w:sz="0" w:space="0" w:color="auto"/>
        <w:right w:val="none" w:sz="0" w:space="0" w:color="auto"/>
      </w:divBdr>
    </w:div>
    <w:div w:id="1842743822">
      <w:bodyDiv w:val="1"/>
      <w:marLeft w:val="0"/>
      <w:marRight w:val="0"/>
      <w:marTop w:val="0"/>
      <w:marBottom w:val="0"/>
      <w:divBdr>
        <w:top w:val="none" w:sz="0" w:space="0" w:color="auto"/>
        <w:left w:val="none" w:sz="0" w:space="0" w:color="auto"/>
        <w:bottom w:val="none" w:sz="0" w:space="0" w:color="auto"/>
        <w:right w:val="none" w:sz="0" w:space="0" w:color="auto"/>
      </w:divBdr>
    </w:div>
    <w:div w:id="1842811298">
      <w:bodyDiv w:val="1"/>
      <w:marLeft w:val="0"/>
      <w:marRight w:val="0"/>
      <w:marTop w:val="0"/>
      <w:marBottom w:val="0"/>
      <w:divBdr>
        <w:top w:val="none" w:sz="0" w:space="0" w:color="auto"/>
        <w:left w:val="none" w:sz="0" w:space="0" w:color="auto"/>
        <w:bottom w:val="none" w:sz="0" w:space="0" w:color="auto"/>
        <w:right w:val="none" w:sz="0" w:space="0" w:color="auto"/>
      </w:divBdr>
    </w:div>
    <w:div w:id="1842817309">
      <w:bodyDiv w:val="1"/>
      <w:marLeft w:val="0"/>
      <w:marRight w:val="0"/>
      <w:marTop w:val="0"/>
      <w:marBottom w:val="0"/>
      <w:divBdr>
        <w:top w:val="none" w:sz="0" w:space="0" w:color="auto"/>
        <w:left w:val="none" w:sz="0" w:space="0" w:color="auto"/>
        <w:bottom w:val="none" w:sz="0" w:space="0" w:color="auto"/>
        <w:right w:val="none" w:sz="0" w:space="0" w:color="auto"/>
      </w:divBdr>
    </w:div>
    <w:div w:id="1842962161">
      <w:bodyDiv w:val="1"/>
      <w:marLeft w:val="0"/>
      <w:marRight w:val="0"/>
      <w:marTop w:val="0"/>
      <w:marBottom w:val="0"/>
      <w:divBdr>
        <w:top w:val="none" w:sz="0" w:space="0" w:color="auto"/>
        <w:left w:val="none" w:sz="0" w:space="0" w:color="auto"/>
        <w:bottom w:val="none" w:sz="0" w:space="0" w:color="auto"/>
        <w:right w:val="none" w:sz="0" w:space="0" w:color="auto"/>
      </w:divBdr>
    </w:div>
    <w:div w:id="1843003591">
      <w:bodyDiv w:val="1"/>
      <w:marLeft w:val="0"/>
      <w:marRight w:val="0"/>
      <w:marTop w:val="0"/>
      <w:marBottom w:val="0"/>
      <w:divBdr>
        <w:top w:val="none" w:sz="0" w:space="0" w:color="auto"/>
        <w:left w:val="none" w:sz="0" w:space="0" w:color="auto"/>
        <w:bottom w:val="none" w:sz="0" w:space="0" w:color="auto"/>
        <w:right w:val="none" w:sz="0" w:space="0" w:color="auto"/>
      </w:divBdr>
    </w:div>
    <w:div w:id="1843155752">
      <w:bodyDiv w:val="1"/>
      <w:marLeft w:val="0"/>
      <w:marRight w:val="0"/>
      <w:marTop w:val="0"/>
      <w:marBottom w:val="0"/>
      <w:divBdr>
        <w:top w:val="none" w:sz="0" w:space="0" w:color="auto"/>
        <w:left w:val="none" w:sz="0" w:space="0" w:color="auto"/>
        <w:bottom w:val="none" w:sz="0" w:space="0" w:color="auto"/>
        <w:right w:val="none" w:sz="0" w:space="0" w:color="auto"/>
      </w:divBdr>
    </w:div>
    <w:div w:id="1843349180">
      <w:bodyDiv w:val="1"/>
      <w:marLeft w:val="0"/>
      <w:marRight w:val="0"/>
      <w:marTop w:val="0"/>
      <w:marBottom w:val="0"/>
      <w:divBdr>
        <w:top w:val="none" w:sz="0" w:space="0" w:color="auto"/>
        <w:left w:val="none" w:sz="0" w:space="0" w:color="auto"/>
        <w:bottom w:val="none" w:sz="0" w:space="0" w:color="auto"/>
        <w:right w:val="none" w:sz="0" w:space="0" w:color="auto"/>
      </w:divBdr>
    </w:div>
    <w:div w:id="1843470194">
      <w:bodyDiv w:val="1"/>
      <w:marLeft w:val="0"/>
      <w:marRight w:val="0"/>
      <w:marTop w:val="0"/>
      <w:marBottom w:val="0"/>
      <w:divBdr>
        <w:top w:val="none" w:sz="0" w:space="0" w:color="auto"/>
        <w:left w:val="none" w:sz="0" w:space="0" w:color="auto"/>
        <w:bottom w:val="none" w:sz="0" w:space="0" w:color="auto"/>
        <w:right w:val="none" w:sz="0" w:space="0" w:color="auto"/>
      </w:divBdr>
    </w:div>
    <w:div w:id="1843470857">
      <w:bodyDiv w:val="1"/>
      <w:marLeft w:val="0"/>
      <w:marRight w:val="0"/>
      <w:marTop w:val="0"/>
      <w:marBottom w:val="0"/>
      <w:divBdr>
        <w:top w:val="none" w:sz="0" w:space="0" w:color="auto"/>
        <w:left w:val="none" w:sz="0" w:space="0" w:color="auto"/>
        <w:bottom w:val="none" w:sz="0" w:space="0" w:color="auto"/>
        <w:right w:val="none" w:sz="0" w:space="0" w:color="auto"/>
      </w:divBdr>
    </w:div>
    <w:div w:id="1843620795">
      <w:bodyDiv w:val="1"/>
      <w:marLeft w:val="0"/>
      <w:marRight w:val="0"/>
      <w:marTop w:val="0"/>
      <w:marBottom w:val="0"/>
      <w:divBdr>
        <w:top w:val="none" w:sz="0" w:space="0" w:color="auto"/>
        <w:left w:val="none" w:sz="0" w:space="0" w:color="auto"/>
        <w:bottom w:val="none" w:sz="0" w:space="0" w:color="auto"/>
        <w:right w:val="none" w:sz="0" w:space="0" w:color="auto"/>
      </w:divBdr>
    </w:div>
    <w:div w:id="1843813497">
      <w:bodyDiv w:val="1"/>
      <w:marLeft w:val="0"/>
      <w:marRight w:val="0"/>
      <w:marTop w:val="0"/>
      <w:marBottom w:val="0"/>
      <w:divBdr>
        <w:top w:val="none" w:sz="0" w:space="0" w:color="auto"/>
        <w:left w:val="none" w:sz="0" w:space="0" w:color="auto"/>
        <w:bottom w:val="none" w:sz="0" w:space="0" w:color="auto"/>
        <w:right w:val="none" w:sz="0" w:space="0" w:color="auto"/>
      </w:divBdr>
    </w:div>
    <w:div w:id="1843928116">
      <w:bodyDiv w:val="1"/>
      <w:marLeft w:val="0"/>
      <w:marRight w:val="0"/>
      <w:marTop w:val="0"/>
      <w:marBottom w:val="0"/>
      <w:divBdr>
        <w:top w:val="none" w:sz="0" w:space="0" w:color="auto"/>
        <w:left w:val="none" w:sz="0" w:space="0" w:color="auto"/>
        <w:bottom w:val="none" w:sz="0" w:space="0" w:color="auto"/>
        <w:right w:val="none" w:sz="0" w:space="0" w:color="auto"/>
      </w:divBdr>
    </w:div>
    <w:div w:id="1843936133">
      <w:bodyDiv w:val="1"/>
      <w:marLeft w:val="0"/>
      <w:marRight w:val="0"/>
      <w:marTop w:val="0"/>
      <w:marBottom w:val="0"/>
      <w:divBdr>
        <w:top w:val="none" w:sz="0" w:space="0" w:color="auto"/>
        <w:left w:val="none" w:sz="0" w:space="0" w:color="auto"/>
        <w:bottom w:val="none" w:sz="0" w:space="0" w:color="auto"/>
        <w:right w:val="none" w:sz="0" w:space="0" w:color="auto"/>
      </w:divBdr>
    </w:div>
    <w:div w:id="1844083332">
      <w:bodyDiv w:val="1"/>
      <w:marLeft w:val="0"/>
      <w:marRight w:val="0"/>
      <w:marTop w:val="0"/>
      <w:marBottom w:val="0"/>
      <w:divBdr>
        <w:top w:val="none" w:sz="0" w:space="0" w:color="auto"/>
        <w:left w:val="none" w:sz="0" w:space="0" w:color="auto"/>
        <w:bottom w:val="none" w:sz="0" w:space="0" w:color="auto"/>
        <w:right w:val="none" w:sz="0" w:space="0" w:color="auto"/>
      </w:divBdr>
    </w:div>
    <w:div w:id="1844273569">
      <w:bodyDiv w:val="1"/>
      <w:marLeft w:val="0"/>
      <w:marRight w:val="0"/>
      <w:marTop w:val="0"/>
      <w:marBottom w:val="0"/>
      <w:divBdr>
        <w:top w:val="none" w:sz="0" w:space="0" w:color="auto"/>
        <w:left w:val="none" w:sz="0" w:space="0" w:color="auto"/>
        <w:bottom w:val="none" w:sz="0" w:space="0" w:color="auto"/>
        <w:right w:val="none" w:sz="0" w:space="0" w:color="auto"/>
      </w:divBdr>
    </w:div>
    <w:div w:id="1844315984">
      <w:bodyDiv w:val="1"/>
      <w:marLeft w:val="0"/>
      <w:marRight w:val="0"/>
      <w:marTop w:val="0"/>
      <w:marBottom w:val="0"/>
      <w:divBdr>
        <w:top w:val="none" w:sz="0" w:space="0" w:color="auto"/>
        <w:left w:val="none" w:sz="0" w:space="0" w:color="auto"/>
        <w:bottom w:val="none" w:sz="0" w:space="0" w:color="auto"/>
        <w:right w:val="none" w:sz="0" w:space="0" w:color="auto"/>
      </w:divBdr>
    </w:div>
    <w:div w:id="1844397357">
      <w:bodyDiv w:val="1"/>
      <w:marLeft w:val="0"/>
      <w:marRight w:val="0"/>
      <w:marTop w:val="0"/>
      <w:marBottom w:val="0"/>
      <w:divBdr>
        <w:top w:val="none" w:sz="0" w:space="0" w:color="auto"/>
        <w:left w:val="none" w:sz="0" w:space="0" w:color="auto"/>
        <w:bottom w:val="none" w:sz="0" w:space="0" w:color="auto"/>
        <w:right w:val="none" w:sz="0" w:space="0" w:color="auto"/>
      </w:divBdr>
    </w:div>
    <w:div w:id="1844513362">
      <w:bodyDiv w:val="1"/>
      <w:marLeft w:val="0"/>
      <w:marRight w:val="0"/>
      <w:marTop w:val="0"/>
      <w:marBottom w:val="0"/>
      <w:divBdr>
        <w:top w:val="none" w:sz="0" w:space="0" w:color="auto"/>
        <w:left w:val="none" w:sz="0" w:space="0" w:color="auto"/>
        <w:bottom w:val="none" w:sz="0" w:space="0" w:color="auto"/>
        <w:right w:val="none" w:sz="0" w:space="0" w:color="auto"/>
      </w:divBdr>
    </w:div>
    <w:div w:id="1844665361">
      <w:bodyDiv w:val="1"/>
      <w:marLeft w:val="0"/>
      <w:marRight w:val="0"/>
      <w:marTop w:val="0"/>
      <w:marBottom w:val="0"/>
      <w:divBdr>
        <w:top w:val="none" w:sz="0" w:space="0" w:color="auto"/>
        <w:left w:val="none" w:sz="0" w:space="0" w:color="auto"/>
        <w:bottom w:val="none" w:sz="0" w:space="0" w:color="auto"/>
        <w:right w:val="none" w:sz="0" w:space="0" w:color="auto"/>
      </w:divBdr>
    </w:div>
    <w:div w:id="1844776806">
      <w:bodyDiv w:val="1"/>
      <w:marLeft w:val="0"/>
      <w:marRight w:val="0"/>
      <w:marTop w:val="0"/>
      <w:marBottom w:val="0"/>
      <w:divBdr>
        <w:top w:val="none" w:sz="0" w:space="0" w:color="auto"/>
        <w:left w:val="none" w:sz="0" w:space="0" w:color="auto"/>
        <w:bottom w:val="none" w:sz="0" w:space="0" w:color="auto"/>
        <w:right w:val="none" w:sz="0" w:space="0" w:color="auto"/>
      </w:divBdr>
    </w:div>
    <w:div w:id="1844856027">
      <w:bodyDiv w:val="1"/>
      <w:marLeft w:val="0"/>
      <w:marRight w:val="0"/>
      <w:marTop w:val="0"/>
      <w:marBottom w:val="0"/>
      <w:divBdr>
        <w:top w:val="none" w:sz="0" w:space="0" w:color="auto"/>
        <w:left w:val="none" w:sz="0" w:space="0" w:color="auto"/>
        <w:bottom w:val="none" w:sz="0" w:space="0" w:color="auto"/>
        <w:right w:val="none" w:sz="0" w:space="0" w:color="auto"/>
      </w:divBdr>
    </w:div>
    <w:div w:id="1844970898">
      <w:bodyDiv w:val="1"/>
      <w:marLeft w:val="0"/>
      <w:marRight w:val="0"/>
      <w:marTop w:val="0"/>
      <w:marBottom w:val="0"/>
      <w:divBdr>
        <w:top w:val="none" w:sz="0" w:space="0" w:color="auto"/>
        <w:left w:val="none" w:sz="0" w:space="0" w:color="auto"/>
        <w:bottom w:val="none" w:sz="0" w:space="0" w:color="auto"/>
        <w:right w:val="none" w:sz="0" w:space="0" w:color="auto"/>
      </w:divBdr>
    </w:div>
    <w:div w:id="1845170531">
      <w:bodyDiv w:val="1"/>
      <w:marLeft w:val="0"/>
      <w:marRight w:val="0"/>
      <w:marTop w:val="0"/>
      <w:marBottom w:val="0"/>
      <w:divBdr>
        <w:top w:val="none" w:sz="0" w:space="0" w:color="auto"/>
        <w:left w:val="none" w:sz="0" w:space="0" w:color="auto"/>
        <w:bottom w:val="none" w:sz="0" w:space="0" w:color="auto"/>
        <w:right w:val="none" w:sz="0" w:space="0" w:color="auto"/>
      </w:divBdr>
    </w:div>
    <w:div w:id="1845171915">
      <w:bodyDiv w:val="1"/>
      <w:marLeft w:val="0"/>
      <w:marRight w:val="0"/>
      <w:marTop w:val="0"/>
      <w:marBottom w:val="0"/>
      <w:divBdr>
        <w:top w:val="none" w:sz="0" w:space="0" w:color="auto"/>
        <w:left w:val="none" w:sz="0" w:space="0" w:color="auto"/>
        <w:bottom w:val="none" w:sz="0" w:space="0" w:color="auto"/>
        <w:right w:val="none" w:sz="0" w:space="0" w:color="auto"/>
      </w:divBdr>
    </w:div>
    <w:div w:id="1845391425">
      <w:bodyDiv w:val="1"/>
      <w:marLeft w:val="0"/>
      <w:marRight w:val="0"/>
      <w:marTop w:val="0"/>
      <w:marBottom w:val="0"/>
      <w:divBdr>
        <w:top w:val="none" w:sz="0" w:space="0" w:color="auto"/>
        <w:left w:val="none" w:sz="0" w:space="0" w:color="auto"/>
        <w:bottom w:val="none" w:sz="0" w:space="0" w:color="auto"/>
        <w:right w:val="none" w:sz="0" w:space="0" w:color="auto"/>
      </w:divBdr>
    </w:div>
    <w:div w:id="1845392658">
      <w:bodyDiv w:val="1"/>
      <w:marLeft w:val="0"/>
      <w:marRight w:val="0"/>
      <w:marTop w:val="0"/>
      <w:marBottom w:val="0"/>
      <w:divBdr>
        <w:top w:val="none" w:sz="0" w:space="0" w:color="auto"/>
        <w:left w:val="none" w:sz="0" w:space="0" w:color="auto"/>
        <w:bottom w:val="none" w:sz="0" w:space="0" w:color="auto"/>
        <w:right w:val="none" w:sz="0" w:space="0" w:color="auto"/>
      </w:divBdr>
    </w:div>
    <w:div w:id="1845431675">
      <w:bodyDiv w:val="1"/>
      <w:marLeft w:val="0"/>
      <w:marRight w:val="0"/>
      <w:marTop w:val="0"/>
      <w:marBottom w:val="0"/>
      <w:divBdr>
        <w:top w:val="none" w:sz="0" w:space="0" w:color="auto"/>
        <w:left w:val="none" w:sz="0" w:space="0" w:color="auto"/>
        <w:bottom w:val="none" w:sz="0" w:space="0" w:color="auto"/>
        <w:right w:val="none" w:sz="0" w:space="0" w:color="auto"/>
      </w:divBdr>
    </w:div>
    <w:div w:id="1845435731">
      <w:bodyDiv w:val="1"/>
      <w:marLeft w:val="0"/>
      <w:marRight w:val="0"/>
      <w:marTop w:val="0"/>
      <w:marBottom w:val="0"/>
      <w:divBdr>
        <w:top w:val="none" w:sz="0" w:space="0" w:color="auto"/>
        <w:left w:val="none" w:sz="0" w:space="0" w:color="auto"/>
        <w:bottom w:val="none" w:sz="0" w:space="0" w:color="auto"/>
        <w:right w:val="none" w:sz="0" w:space="0" w:color="auto"/>
      </w:divBdr>
    </w:div>
    <w:div w:id="1845507950">
      <w:bodyDiv w:val="1"/>
      <w:marLeft w:val="0"/>
      <w:marRight w:val="0"/>
      <w:marTop w:val="0"/>
      <w:marBottom w:val="0"/>
      <w:divBdr>
        <w:top w:val="none" w:sz="0" w:space="0" w:color="auto"/>
        <w:left w:val="none" w:sz="0" w:space="0" w:color="auto"/>
        <w:bottom w:val="none" w:sz="0" w:space="0" w:color="auto"/>
        <w:right w:val="none" w:sz="0" w:space="0" w:color="auto"/>
      </w:divBdr>
    </w:div>
    <w:div w:id="1845512494">
      <w:bodyDiv w:val="1"/>
      <w:marLeft w:val="0"/>
      <w:marRight w:val="0"/>
      <w:marTop w:val="0"/>
      <w:marBottom w:val="0"/>
      <w:divBdr>
        <w:top w:val="none" w:sz="0" w:space="0" w:color="auto"/>
        <w:left w:val="none" w:sz="0" w:space="0" w:color="auto"/>
        <w:bottom w:val="none" w:sz="0" w:space="0" w:color="auto"/>
        <w:right w:val="none" w:sz="0" w:space="0" w:color="auto"/>
      </w:divBdr>
    </w:div>
    <w:div w:id="1845513240">
      <w:bodyDiv w:val="1"/>
      <w:marLeft w:val="0"/>
      <w:marRight w:val="0"/>
      <w:marTop w:val="0"/>
      <w:marBottom w:val="0"/>
      <w:divBdr>
        <w:top w:val="none" w:sz="0" w:space="0" w:color="auto"/>
        <w:left w:val="none" w:sz="0" w:space="0" w:color="auto"/>
        <w:bottom w:val="none" w:sz="0" w:space="0" w:color="auto"/>
        <w:right w:val="none" w:sz="0" w:space="0" w:color="auto"/>
      </w:divBdr>
    </w:div>
    <w:div w:id="1845627838">
      <w:bodyDiv w:val="1"/>
      <w:marLeft w:val="0"/>
      <w:marRight w:val="0"/>
      <w:marTop w:val="0"/>
      <w:marBottom w:val="0"/>
      <w:divBdr>
        <w:top w:val="none" w:sz="0" w:space="0" w:color="auto"/>
        <w:left w:val="none" w:sz="0" w:space="0" w:color="auto"/>
        <w:bottom w:val="none" w:sz="0" w:space="0" w:color="auto"/>
        <w:right w:val="none" w:sz="0" w:space="0" w:color="auto"/>
      </w:divBdr>
    </w:div>
    <w:div w:id="1845702998">
      <w:bodyDiv w:val="1"/>
      <w:marLeft w:val="0"/>
      <w:marRight w:val="0"/>
      <w:marTop w:val="0"/>
      <w:marBottom w:val="0"/>
      <w:divBdr>
        <w:top w:val="none" w:sz="0" w:space="0" w:color="auto"/>
        <w:left w:val="none" w:sz="0" w:space="0" w:color="auto"/>
        <w:bottom w:val="none" w:sz="0" w:space="0" w:color="auto"/>
        <w:right w:val="none" w:sz="0" w:space="0" w:color="auto"/>
      </w:divBdr>
    </w:div>
    <w:div w:id="1845708277">
      <w:bodyDiv w:val="1"/>
      <w:marLeft w:val="0"/>
      <w:marRight w:val="0"/>
      <w:marTop w:val="0"/>
      <w:marBottom w:val="0"/>
      <w:divBdr>
        <w:top w:val="none" w:sz="0" w:space="0" w:color="auto"/>
        <w:left w:val="none" w:sz="0" w:space="0" w:color="auto"/>
        <w:bottom w:val="none" w:sz="0" w:space="0" w:color="auto"/>
        <w:right w:val="none" w:sz="0" w:space="0" w:color="auto"/>
      </w:divBdr>
    </w:div>
    <w:div w:id="1845902268">
      <w:bodyDiv w:val="1"/>
      <w:marLeft w:val="0"/>
      <w:marRight w:val="0"/>
      <w:marTop w:val="0"/>
      <w:marBottom w:val="0"/>
      <w:divBdr>
        <w:top w:val="none" w:sz="0" w:space="0" w:color="auto"/>
        <w:left w:val="none" w:sz="0" w:space="0" w:color="auto"/>
        <w:bottom w:val="none" w:sz="0" w:space="0" w:color="auto"/>
        <w:right w:val="none" w:sz="0" w:space="0" w:color="auto"/>
      </w:divBdr>
    </w:div>
    <w:div w:id="1845972690">
      <w:bodyDiv w:val="1"/>
      <w:marLeft w:val="0"/>
      <w:marRight w:val="0"/>
      <w:marTop w:val="0"/>
      <w:marBottom w:val="0"/>
      <w:divBdr>
        <w:top w:val="none" w:sz="0" w:space="0" w:color="auto"/>
        <w:left w:val="none" w:sz="0" w:space="0" w:color="auto"/>
        <w:bottom w:val="none" w:sz="0" w:space="0" w:color="auto"/>
        <w:right w:val="none" w:sz="0" w:space="0" w:color="auto"/>
      </w:divBdr>
    </w:div>
    <w:div w:id="1846162309">
      <w:bodyDiv w:val="1"/>
      <w:marLeft w:val="0"/>
      <w:marRight w:val="0"/>
      <w:marTop w:val="0"/>
      <w:marBottom w:val="0"/>
      <w:divBdr>
        <w:top w:val="none" w:sz="0" w:space="0" w:color="auto"/>
        <w:left w:val="none" w:sz="0" w:space="0" w:color="auto"/>
        <w:bottom w:val="none" w:sz="0" w:space="0" w:color="auto"/>
        <w:right w:val="none" w:sz="0" w:space="0" w:color="auto"/>
      </w:divBdr>
    </w:div>
    <w:div w:id="1846167880">
      <w:bodyDiv w:val="1"/>
      <w:marLeft w:val="0"/>
      <w:marRight w:val="0"/>
      <w:marTop w:val="0"/>
      <w:marBottom w:val="0"/>
      <w:divBdr>
        <w:top w:val="none" w:sz="0" w:space="0" w:color="auto"/>
        <w:left w:val="none" w:sz="0" w:space="0" w:color="auto"/>
        <w:bottom w:val="none" w:sz="0" w:space="0" w:color="auto"/>
        <w:right w:val="none" w:sz="0" w:space="0" w:color="auto"/>
      </w:divBdr>
    </w:div>
    <w:div w:id="1846548940">
      <w:bodyDiv w:val="1"/>
      <w:marLeft w:val="0"/>
      <w:marRight w:val="0"/>
      <w:marTop w:val="0"/>
      <w:marBottom w:val="0"/>
      <w:divBdr>
        <w:top w:val="none" w:sz="0" w:space="0" w:color="auto"/>
        <w:left w:val="none" w:sz="0" w:space="0" w:color="auto"/>
        <w:bottom w:val="none" w:sz="0" w:space="0" w:color="auto"/>
        <w:right w:val="none" w:sz="0" w:space="0" w:color="auto"/>
      </w:divBdr>
    </w:div>
    <w:div w:id="1846630243">
      <w:bodyDiv w:val="1"/>
      <w:marLeft w:val="0"/>
      <w:marRight w:val="0"/>
      <w:marTop w:val="0"/>
      <w:marBottom w:val="0"/>
      <w:divBdr>
        <w:top w:val="none" w:sz="0" w:space="0" w:color="auto"/>
        <w:left w:val="none" w:sz="0" w:space="0" w:color="auto"/>
        <w:bottom w:val="none" w:sz="0" w:space="0" w:color="auto"/>
        <w:right w:val="none" w:sz="0" w:space="0" w:color="auto"/>
      </w:divBdr>
    </w:div>
    <w:div w:id="1846675095">
      <w:bodyDiv w:val="1"/>
      <w:marLeft w:val="0"/>
      <w:marRight w:val="0"/>
      <w:marTop w:val="0"/>
      <w:marBottom w:val="0"/>
      <w:divBdr>
        <w:top w:val="none" w:sz="0" w:space="0" w:color="auto"/>
        <w:left w:val="none" w:sz="0" w:space="0" w:color="auto"/>
        <w:bottom w:val="none" w:sz="0" w:space="0" w:color="auto"/>
        <w:right w:val="none" w:sz="0" w:space="0" w:color="auto"/>
      </w:divBdr>
    </w:div>
    <w:div w:id="1846676083">
      <w:bodyDiv w:val="1"/>
      <w:marLeft w:val="0"/>
      <w:marRight w:val="0"/>
      <w:marTop w:val="0"/>
      <w:marBottom w:val="0"/>
      <w:divBdr>
        <w:top w:val="none" w:sz="0" w:space="0" w:color="auto"/>
        <w:left w:val="none" w:sz="0" w:space="0" w:color="auto"/>
        <w:bottom w:val="none" w:sz="0" w:space="0" w:color="auto"/>
        <w:right w:val="none" w:sz="0" w:space="0" w:color="auto"/>
      </w:divBdr>
    </w:div>
    <w:div w:id="1846700512">
      <w:bodyDiv w:val="1"/>
      <w:marLeft w:val="0"/>
      <w:marRight w:val="0"/>
      <w:marTop w:val="0"/>
      <w:marBottom w:val="0"/>
      <w:divBdr>
        <w:top w:val="none" w:sz="0" w:space="0" w:color="auto"/>
        <w:left w:val="none" w:sz="0" w:space="0" w:color="auto"/>
        <w:bottom w:val="none" w:sz="0" w:space="0" w:color="auto"/>
        <w:right w:val="none" w:sz="0" w:space="0" w:color="auto"/>
      </w:divBdr>
    </w:div>
    <w:div w:id="1846704463">
      <w:bodyDiv w:val="1"/>
      <w:marLeft w:val="0"/>
      <w:marRight w:val="0"/>
      <w:marTop w:val="0"/>
      <w:marBottom w:val="0"/>
      <w:divBdr>
        <w:top w:val="none" w:sz="0" w:space="0" w:color="auto"/>
        <w:left w:val="none" w:sz="0" w:space="0" w:color="auto"/>
        <w:bottom w:val="none" w:sz="0" w:space="0" w:color="auto"/>
        <w:right w:val="none" w:sz="0" w:space="0" w:color="auto"/>
      </w:divBdr>
    </w:div>
    <w:div w:id="1846704899">
      <w:bodyDiv w:val="1"/>
      <w:marLeft w:val="0"/>
      <w:marRight w:val="0"/>
      <w:marTop w:val="0"/>
      <w:marBottom w:val="0"/>
      <w:divBdr>
        <w:top w:val="none" w:sz="0" w:space="0" w:color="auto"/>
        <w:left w:val="none" w:sz="0" w:space="0" w:color="auto"/>
        <w:bottom w:val="none" w:sz="0" w:space="0" w:color="auto"/>
        <w:right w:val="none" w:sz="0" w:space="0" w:color="auto"/>
      </w:divBdr>
    </w:div>
    <w:div w:id="1846745828">
      <w:bodyDiv w:val="1"/>
      <w:marLeft w:val="0"/>
      <w:marRight w:val="0"/>
      <w:marTop w:val="0"/>
      <w:marBottom w:val="0"/>
      <w:divBdr>
        <w:top w:val="none" w:sz="0" w:space="0" w:color="auto"/>
        <w:left w:val="none" w:sz="0" w:space="0" w:color="auto"/>
        <w:bottom w:val="none" w:sz="0" w:space="0" w:color="auto"/>
        <w:right w:val="none" w:sz="0" w:space="0" w:color="auto"/>
      </w:divBdr>
    </w:div>
    <w:div w:id="1846822448">
      <w:bodyDiv w:val="1"/>
      <w:marLeft w:val="0"/>
      <w:marRight w:val="0"/>
      <w:marTop w:val="0"/>
      <w:marBottom w:val="0"/>
      <w:divBdr>
        <w:top w:val="none" w:sz="0" w:space="0" w:color="auto"/>
        <w:left w:val="none" w:sz="0" w:space="0" w:color="auto"/>
        <w:bottom w:val="none" w:sz="0" w:space="0" w:color="auto"/>
        <w:right w:val="none" w:sz="0" w:space="0" w:color="auto"/>
      </w:divBdr>
    </w:div>
    <w:div w:id="1847012914">
      <w:bodyDiv w:val="1"/>
      <w:marLeft w:val="0"/>
      <w:marRight w:val="0"/>
      <w:marTop w:val="0"/>
      <w:marBottom w:val="0"/>
      <w:divBdr>
        <w:top w:val="none" w:sz="0" w:space="0" w:color="auto"/>
        <w:left w:val="none" w:sz="0" w:space="0" w:color="auto"/>
        <w:bottom w:val="none" w:sz="0" w:space="0" w:color="auto"/>
        <w:right w:val="none" w:sz="0" w:space="0" w:color="auto"/>
      </w:divBdr>
    </w:div>
    <w:div w:id="1847014764">
      <w:bodyDiv w:val="1"/>
      <w:marLeft w:val="0"/>
      <w:marRight w:val="0"/>
      <w:marTop w:val="0"/>
      <w:marBottom w:val="0"/>
      <w:divBdr>
        <w:top w:val="none" w:sz="0" w:space="0" w:color="auto"/>
        <w:left w:val="none" w:sz="0" w:space="0" w:color="auto"/>
        <w:bottom w:val="none" w:sz="0" w:space="0" w:color="auto"/>
        <w:right w:val="none" w:sz="0" w:space="0" w:color="auto"/>
      </w:divBdr>
    </w:div>
    <w:div w:id="1847016705">
      <w:bodyDiv w:val="1"/>
      <w:marLeft w:val="0"/>
      <w:marRight w:val="0"/>
      <w:marTop w:val="0"/>
      <w:marBottom w:val="0"/>
      <w:divBdr>
        <w:top w:val="none" w:sz="0" w:space="0" w:color="auto"/>
        <w:left w:val="none" w:sz="0" w:space="0" w:color="auto"/>
        <w:bottom w:val="none" w:sz="0" w:space="0" w:color="auto"/>
        <w:right w:val="none" w:sz="0" w:space="0" w:color="auto"/>
      </w:divBdr>
    </w:div>
    <w:div w:id="1847163495">
      <w:bodyDiv w:val="1"/>
      <w:marLeft w:val="0"/>
      <w:marRight w:val="0"/>
      <w:marTop w:val="0"/>
      <w:marBottom w:val="0"/>
      <w:divBdr>
        <w:top w:val="none" w:sz="0" w:space="0" w:color="auto"/>
        <w:left w:val="none" w:sz="0" w:space="0" w:color="auto"/>
        <w:bottom w:val="none" w:sz="0" w:space="0" w:color="auto"/>
        <w:right w:val="none" w:sz="0" w:space="0" w:color="auto"/>
      </w:divBdr>
    </w:div>
    <w:div w:id="1847163865">
      <w:bodyDiv w:val="1"/>
      <w:marLeft w:val="0"/>
      <w:marRight w:val="0"/>
      <w:marTop w:val="0"/>
      <w:marBottom w:val="0"/>
      <w:divBdr>
        <w:top w:val="none" w:sz="0" w:space="0" w:color="auto"/>
        <w:left w:val="none" w:sz="0" w:space="0" w:color="auto"/>
        <w:bottom w:val="none" w:sz="0" w:space="0" w:color="auto"/>
        <w:right w:val="none" w:sz="0" w:space="0" w:color="auto"/>
      </w:divBdr>
    </w:div>
    <w:div w:id="1847402671">
      <w:bodyDiv w:val="1"/>
      <w:marLeft w:val="0"/>
      <w:marRight w:val="0"/>
      <w:marTop w:val="0"/>
      <w:marBottom w:val="0"/>
      <w:divBdr>
        <w:top w:val="none" w:sz="0" w:space="0" w:color="auto"/>
        <w:left w:val="none" w:sz="0" w:space="0" w:color="auto"/>
        <w:bottom w:val="none" w:sz="0" w:space="0" w:color="auto"/>
        <w:right w:val="none" w:sz="0" w:space="0" w:color="auto"/>
      </w:divBdr>
    </w:div>
    <w:div w:id="1847548024">
      <w:bodyDiv w:val="1"/>
      <w:marLeft w:val="0"/>
      <w:marRight w:val="0"/>
      <w:marTop w:val="0"/>
      <w:marBottom w:val="0"/>
      <w:divBdr>
        <w:top w:val="none" w:sz="0" w:space="0" w:color="auto"/>
        <w:left w:val="none" w:sz="0" w:space="0" w:color="auto"/>
        <w:bottom w:val="none" w:sz="0" w:space="0" w:color="auto"/>
        <w:right w:val="none" w:sz="0" w:space="0" w:color="auto"/>
      </w:divBdr>
    </w:div>
    <w:div w:id="1847596401">
      <w:bodyDiv w:val="1"/>
      <w:marLeft w:val="0"/>
      <w:marRight w:val="0"/>
      <w:marTop w:val="0"/>
      <w:marBottom w:val="0"/>
      <w:divBdr>
        <w:top w:val="none" w:sz="0" w:space="0" w:color="auto"/>
        <w:left w:val="none" w:sz="0" w:space="0" w:color="auto"/>
        <w:bottom w:val="none" w:sz="0" w:space="0" w:color="auto"/>
        <w:right w:val="none" w:sz="0" w:space="0" w:color="auto"/>
      </w:divBdr>
    </w:div>
    <w:div w:id="1847747104">
      <w:bodyDiv w:val="1"/>
      <w:marLeft w:val="0"/>
      <w:marRight w:val="0"/>
      <w:marTop w:val="0"/>
      <w:marBottom w:val="0"/>
      <w:divBdr>
        <w:top w:val="none" w:sz="0" w:space="0" w:color="auto"/>
        <w:left w:val="none" w:sz="0" w:space="0" w:color="auto"/>
        <w:bottom w:val="none" w:sz="0" w:space="0" w:color="auto"/>
        <w:right w:val="none" w:sz="0" w:space="0" w:color="auto"/>
      </w:divBdr>
    </w:div>
    <w:div w:id="1847748178">
      <w:bodyDiv w:val="1"/>
      <w:marLeft w:val="0"/>
      <w:marRight w:val="0"/>
      <w:marTop w:val="0"/>
      <w:marBottom w:val="0"/>
      <w:divBdr>
        <w:top w:val="none" w:sz="0" w:space="0" w:color="auto"/>
        <w:left w:val="none" w:sz="0" w:space="0" w:color="auto"/>
        <w:bottom w:val="none" w:sz="0" w:space="0" w:color="auto"/>
        <w:right w:val="none" w:sz="0" w:space="0" w:color="auto"/>
      </w:divBdr>
    </w:div>
    <w:div w:id="1847788903">
      <w:bodyDiv w:val="1"/>
      <w:marLeft w:val="0"/>
      <w:marRight w:val="0"/>
      <w:marTop w:val="0"/>
      <w:marBottom w:val="0"/>
      <w:divBdr>
        <w:top w:val="none" w:sz="0" w:space="0" w:color="auto"/>
        <w:left w:val="none" w:sz="0" w:space="0" w:color="auto"/>
        <w:bottom w:val="none" w:sz="0" w:space="0" w:color="auto"/>
        <w:right w:val="none" w:sz="0" w:space="0" w:color="auto"/>
      </w:divBdr>
    </w:div>
    <w:div w:id="1847790728">
      <w:bodyDiv w:val="1"/>
      <w:marLeft w:val="0"/>
      <w:marRight w:val="0"/>
      <w:marTop w:val="0"/>
      <w:marBottom w:val="0"/>
      <w:divBdr>
        <w:top w:val="none" w:sz="0" w:space="0" w:color="auto"/>
        <w:left w:val="none" w:sz="0" w:space="0" w:color="auto"/>
        <w:bottom w:val="none" w:sz="0" w:space="0" w:color="auto"/>
        <w:right w:val="none" w:sz="0" w:space="0" w:color="auto"/>
      </w:divBdr>
    </w:div>
    <w:div w:id="1847939907">
      <w:bodyDiv w:val="1"/>
      <w:marLeft w:val="0"/>
      <w:marRight w:val="0"/>
      <w:marTop w:val="0"/>
      <w:marBottom w:val="0"/>
      <w:divBdr>
        <w:top w:val="none" w:sz="0" w:space="0" w:color="auto"/>
        <w:left w:val="none" w:sz="0" w:space="0" w:color="auto"/>
        <w:bottom w:val="none" w:sz="0" w:space="0" w:color="auto"/>
        <w:right w:val="none" w:sz="0" w:space="0" w:color="auto"/>
      </w:divBdr>
    </w:div>
    <w:div w:id="1848015065">
      <w:bodyDiv w:val="1"/>
      <w:marLeft w:val="0"/>
      <w:marRight w:val="0"/>
      <w:marTop w:val="0"/>
      <w:marBottom w:val="0"/>
      <w:divBdr>
        <w:top w:val="none" w:sz="0" w:space="0" w:color="auto"/>
        <w:left w:val="none" w:sz="0" w:space="0" w:color="auto"/>
        <w:bottom w:val="none" w:sz="0" w:space="0" w:color="auto"/>
        <w:right w:val="none" w:sz="0" w:space="0" w:color="auto"/>
      </w:divBdr>
    </w:div>
    <w:div w:id="1848060182">
      <w:bodyDiv w:val="1"/>
      <w:marLeft w:val="0"/>
      <w:marRight w:val="0"/>
      <w:marTop w:val="0"/>
      <w:marBottom w:val="0"/>
      <w:divBdr>
        <w:top w:val="none" w:sz="0" w:space="0" w:color="auto"/>
        <w:left w:val="none" w:sz="0" w:space="0" w:color="auto"/>
        <w:bottom w:val="none" w:sz="0" w:space="0" w:color="auto"/>
        <w:right w:val="none" w:sz="0" w:space="0" w:color="auto"/>
      </w:divBdr>
    </w:div>
    <w:div w:id="1848062085">
      <w:bodyDiv w:val="1"/>
      <w:marLeft w:val="0"/>
      <w:marRight w:val="0"/>
      <w:marTop w:val="0"/>
      <w:marBottom w:val="0"/>
      <w:divBdr>
        <w:top w:val="none" w:sz="0" w:space="0" w:color="auto"/>
        <w:left w:val="none" w:sz="0" w:space="0" w:color="auto"/>
        <w:bottom w:val="none" w:sz="0" w:space="0" w:color="auto"/>
        <w:right w:val="none" w:sz="0" w:space="0" w:color="auto"/>
      </w:divBdr>
    </w:div>
    <w:div w:id="1848133956">
      <w:bodyDiv w:val="1"/>
      <w:marLeft w:val="0"/>
      <w:marRight w:val="0"/>
      <w:marTop w:val="0"/>
      <w:marBottom w:val="0"/>
      <w:divBdr>
        <w:top w:val="none" w:sz="0" w:space="0" w:color="auto"/>
        <w:left w:val="none" w:sz="0" w:space="0" w:color="auto"/>
        <w:bottom w:val="none" w:sz="0" w:space="0" w:color="auto"/>
        <w:right w:val="none" w:sz="0" w:space="0" w:color="auto"/>
      </w:divBdr>
    </w:div>
    <w:div w:id="1848136629">
      <w:bodyDiv w:val="1"/>
      <w:marLeft w:val="0"/>
      <w:marRight w:val="0"/>
      <w:marTop w:val="0"/>
      <w:marBottom w:val="0"/>
      <w:divBdr>
        <w:top w:val="none" w:sz="0" w:space="0" w:color="auto"/>
        <w:left w:val="none" w:sz="0" w:space="0" w:color="auto"/>
        <w:bottom w:val="none" w:sz="0" w:space="0" w:color="auto"/>
        <w:right w:val="none" w:sz="0" w:space="0" w:color="auto"/>
      </w:divBdr>
    </w:div>
    <w:div w:id="1848321133">
      <w:bodyDiv w:val="1"/>
      <w:marLeft w:val="0"/>
      <w:marRight w:val="0"/>
      <w:marTop w:val="0"/>
      <w:marBottom w:val="0"/>
      <w:divBdr>
        <w:top w:val="none" w:sz="0" w:space="0" w:color="auto"/>
        <w:left w:val="none" w:sz="0" w:space="0" w:color="auto"/>
        <w:bottom w:val="none" w:sz="0" w:space="0" w:color="auto"/>
        <w:right w:val="none" w:sz="0" w:space="0" w:color="auto"/>
      </w:divBdr>
    </w:div>
    <w:div w:id="1848324898">
      <w:bodyDiv w:val="1"/>
      <w:marLeft w:val="0"/>
      <w:marRight w:val="0"/>
      <w:marTop w:val="0"/>
      <w:marBottom w:val="0"/>
      <w:divBdr>
        <w:top w:val="none" w:sz="0" w:space="0" w:color="auto"/>
        <w:left w:val="none" w:sz="0" w:space="0" w:color="auto"/>
        <w:bottom w:val="none" w:sz="0" w:space="0" w:color="auto"/>
        <w:right w:val="none" w:sz="0" w:space="0" w:color="auto"/>
      </w:divBdr>
    </w:div>
    <w:div w:id="1848329732">
      <w:bodyDiv w:val="1"/>
      <w:marLeft w:val="0"/>
      <w:marRight w:val="0"/>
      <w:marTop w:val="0"/>
      <w:marBottom w:val="0"/>
      <w:divBdr>
        <w:top w:val="none" w:sz="0" w:space="0" w:color="auto"/>
        <w:left w:val="none" w:sz="0" w:space="0" w:color="auto"/>
        <w:bottom w:val="none" w:sz="0" w:space="0" w:color="auto"/>
        <w:right w:val="none" w:sz="0" w:space="0" w:color="auto"/>
      </w:divBdr>
    </w:div>
    <w:div w:id="1848404169">
      <w:bodyDiv w:val="1"/>
      <w:marLeft w:val="0"/>
      <w:marRight w:val="0"/>
      <w:marTop w:val="0"/>
      <w:marBottom w:val="0"/>
      <w:divBdr>
        <w:top w:val="none" w:sz="0" w:space="0" w:color="auto"/>
        <w:left w:val="none" w:sz="0" w:space="0" w:color="auto"/>
        <w:bottom w:val="none" w:sz="0" w:space="0" w:color="auto"/>
        <w:right w:val="none" w:sz="0" w:space="0" w:color="auto"/>
      </w:divBdr>
    </w:div>
    <w:div w:id="1848514545">
      <w:bodyDiv w:val="1"/>
      <w:marLeft w:val="0"/>
      <w:marRight w:val="0"/>
      <w:marTop w:val="0"/>
      <w:marBottom w:val="0"/>
      <w:divBdr>
        <w:top w:val="none" w:sz="0" w:space="0" w:color="auto"/>
        <w:left w:val="none" w:sz="0" w:space="0" w:color="auto"/>
        <w:bottom w:val="none" w:sz="0" w:space="0" w:color="auto"/>
        <w:right w:val="none" w:sz="0" w:space="0" w:color="auto"/>
      </w:divBdr>
    </w:div>
    <w:div w:id="1848515488">
      <w:bodyDiv w:val="1"/>
      <w:marLeft w:val="0"/>
      <w:marRight w:val="0"/>
      <w:marTop w:val="0"/>
      <w:marBottom w:val="0"/>
      <w:divBdr>
        <w:top w:val="none" w:sz="0" w:space="0" w:color="auto"/>
        <w:left w:val="none" w:sz="0" w:space="0" w:color="auto"/>
        <w:bottom w:val="none" w:sz="0" w:space="0" w:color="auto"/>
        <w:right w:val="none" w:sz="0" w:space="0" w:color="auto"/>
      </w:divBdr>
    </w:div>
    <w:div w:id="1848666152">
      <w:bodyDiv w:val="1"/>
      <w:marLeft w:val="0"/>
      <w:marRight w:val="0"/>
      <w:marTop w:val="0"/>
      <w:marBottom w:val="0"/>
      <w:divBdr>
        <w:top w:val="none" w:sz="0" w:space="0" w:color="auto"/>
        <w:left w:val="none" w:sz="0" w:space="0" w:color="auto"/>
        <w:bottom w:val="none" w:sz="0" w:space="0" w:color="auto"/>
        <w:right w:val="none" w:sz="0" w:space="0" w:color="auto"/>
      </w:divBdr>
    </w:div>
    <w:div w:id="1848709482">
      <w:bodyDiv w:val="1"/>
      <w:marLeft w:val="0"/>
      <w:marRight w:val="0"/>
      <w:marTop w:val="0"/>
      <w:marBottom w:val="0"/>
      <w:divBdr>
        <w:top w:val="none" w:sz="0" w:space="0" w:color="auto"/>
        <w:left w:val="none" w:sz="0" w:space="0" w:color="auto"/>
        <w:bottom w:val="none" w:sz="0" w:space="0" w:color="auto"/>
        <w:right w:val="none" w:sz="0" w:space="0" w:color="auto"/>
      </w:divBdr>
    </w:div>
    <w:div w:id="1848789135">
      <w:bodyDiv w:val="1"/>
      <w:marLeft w:val="0"/>
      <w:marRight w:val="0"/>
      <w:marTop w:val="0"/>
      <w:marBottom w:val="0"/>
      <w:divBdr>
        <w:top w:val="none" w:sz="0" w:space="0" w:color="auto"/>
        <w:left w:val="none" w:sz="0" w:space="0" w:color="auto"/>
        <w:bottom w:val="none" w:sz="0" w:space="0" w:color="auto"/>
        <w:right w:val="none" w:sz="0" w:space="0" w:color="auto"/>
      </w:divBdr>
    </w:div>
    <w:div w:id="1848862038">
      <w:bodyDiv w:val="1"/>
      <w:marLeft w:val="0"/>
      <w:marRight w:val="0"/>
      <w:marTop w:val="0"/>
      <w:marBottom w:val="0"/>
      <w:divBdr>
        <w:top w:val="none" w:sz="0" w:space="0" w:color="auto"/>
        <w:left w:val="none" w:sz="0" w:space="0" w:color="auto"/>
        <w:bottom w:val="none" w:sz="0" w:space="0" w:color="auto"/>
        <w:right w:val="none" w:sz="0" w:space="0" w:color="auto"/>
      </w:divBdr>
    </w:div>
    <w:div w:id="1848981266">
      <w:bodyDiv w:val="1"/>
      <w:marLeft w:val="0"/>
      <w:marRight w:val="0"/>
      <w:marTop w:val="0"/>
      <w:marBottom w:val="0"/>
      <w:divBdr>
        <w:top w:val="none" w:sz="0" w:space="0" w:color="auto"/>
        <w:left w:val="none" w:sz="0" w:space="0" w:color="auto"/>
        <w:bottom w:val="none" w:sz="0" w:space="0" w:color="auto"/>
        <w:right w:val="none" w:sz="0" w:space="0" w:color="auto"/>
      </w:divBdr>
    </w:div>
    <w:div w:id="1849127840">
      <w:bodyDiv w:val="1"/>
      <w:marLeft w:val="0"/>
      <w:marRight w:val="0"/>
      <w:marTop w:val="0"/>
      <w:marBottom w:val="0"/>
      <w:divBdr>
        <w:top w:val="none" w:sz="0" w:space="0" w:color="auto"/>
        <w:left w:val="none" w:sz="0" w:space="0" w:color="auto"/>
        <w:bottom w:val="none" w:sz="0" w:space="0" w:color="auto"/>
        <w:right w:val="none" w:sz="0" w:space="0" w:color="auto"/>
      </w:divBdr>
    </w:div>
    <w:div w:id="1849326979">
      <w:bodyDiv w:val="1"/>
      <w:marLeft w:val="0"/>
      <w:marRight w:val="0"/>
      <w:marTop w:val="0"/>
      <w:marBottom w:val="0"/>
      <w:divBdr>
        <w:top w:val="none" w:sz="0" w:space="0" w:color="auto"/>
        <w:left w:val="none" w:sz="0" w:space="0" w:color="auto"/>
        <w:bottom w:val="none" w:sz="0" w:space="0" w:color="auto"/>
        <w:right w:val="none" w:sz="0" w:space="0" w:color="auto"/>
      </w:divBdr>
    </w:div>
    <w:div w:id="1849443260">
      <w:bodyDiv w:val="1"/>
      <w:marLeft w:val="0"/>
      <w:marRight w:val="0"/>
      <w:marTop w:val="0"/>
      <w:marBottom w:val="0"/>
      <w:divBdr>
        <w:top w:val="none" w:sz="0" w:space="0" w:color="auto"/>
        <w:left w:val="none" w:sz="0" w:space="0" w:color="auto"/>
        <w:bottom w:val="none" w:sz="0" w:space="0" w:color="auto"/>
        <w:right w:val="none" w:sz="0" w:space="0" w:color="auto"/>
      </w:divBdr>
    </w:div>
    <w:div w:id="1849445253">
      <w:bodyDiv w:val="1"/>
      <w:marLeft w:val="0"/>
      <w:marRight w:val="0"/>
      <w:marTop w:val="0"/>
      <w:marBottom w:val="0"/>
      <w:divBdr>
        <w:top w:val="none" w:sz="0" w:space="0" w:color="auto"/>
        <w:left w:val="none" w:sz="0" w:space="0" w:color="auto"/>
        <w:bottom w:val="none" w:sz="0" w:space="0" w:color="auto"/>
        <w:right w:val="none" w:sz="0" w:space="0" w:color="auto"/>
      </w:divBdr>
    </w:div>
    <w:div w:id="1849446754">
      <w:bodyDiv w:val="1"/>
      <w:marLeft w:val="0"/>
      <w:marRight w:val="0"/>
      <w:marTop w:val="0"/>
      <w:marBottom w:val="0"/>
      <w:divBdr>
        <w:top w:val="none" w:sz="0" w:space="0" w:color="auto"/>
        <w:left w:val="none" w:sz="0" w:space="0" w:color="auto"/>
        <w:bottom w:val="none" w:sz="0" w:space="0" w:color="auto"/>
        <w:right w:val="none" w:sz="0" w:space="0" w:color="auto"/>
      </w:divBdr>
    </w:div>
    <w:div w:id="1849447664">
      <w:bodyDiv w:val="1"/>
      <w:marLeft w:val="0"/>
      <w:marRight w:val="0"/>
      <w:marTop w:val="0"/>
      <w:marBottom w:val="0"/>
      <w:divBdr>
        <w:top w:val="none" w:sz="0" w:space="0" w:color="auto"/>
        <w:left w:val="none" w:sz="0" w:space="0" w:color="auto"/>
        <w:bottom w:val="none" w:sz="0" w:space="0" w:color="auto"/>
        <w:right w:val="none" w:sz="0" w:space="0" w:color="auto"/>
      </w:divBdr>
    </w:div>
    <w:div w:id="1849632452">
      <w:bodyDiv w:val="1"/>
      <w:marLeft w:val="0"/>
      <w:marRight w:val="0"/>
      <w:marTop w:val="0"/>
      <w:marBottom w:val="0"/>
      <w:divBdr>
        <w:top w:val="none" w:sz="0" w:space="0" w:color="auto"/>
        <w:left w:val="none" w:sz="0" w:space="0" w:color="auto"/>
        <w:bottom w:val="none" w:sz="0" w:space="0" w:color="auto"/>
        <w:right w:val="none" w:sz="0" w:space="0" w:color="auto"/>
      </w:divBdr>
    </w:div>
    <w:div w:id="1849637562">
      <w:bodyDiv w:val="1"/>
      <w:marLeft w:val="0"/>
      <w:marRight w:val="0"/>
      <w:marTop w:val="0"/>
      <w:marBottom w:val="0"/>
      <w:divBdr>
        <w:top w:val="none" w:sz="0" w:space="0" w:color="auto"/>
        <w:left w:val="none" w:sz="0" w:space="0" w:color="auto"/>
        <w:bottom w:val="none" w:sz="0" w:space="0" w:color="auto"/>
        <w:right w:val="none" w:sz="0" w:space="0" w:color="auto"/>
      </w:divBdr>
    </w:div>
    <w:div w:id="1849712864">
      <w:bodyDiv w:val="1"/>
      <w:marLeft w:val="0"/>
      <w:marRight w:val="0"/>
      <w:marTop w:val="0"/>
      <w:marBottom w:val="0"/>
      <w:divBdr>
        <w:top w:val="none" w:sz="0" w:space="0" w:color="auto"/>
        <w:left w:val="none" w:sz="0" w:space="0" w:color="auto"/>
        <w:bottom w:val="none" w:sz="0" w:space="0" w:color="auto"/>
        <w:right w:val="none" w:sz="0" w:space="0" w:color="auto"/>
      </w:divBdr>
    </w:div>
    <w:div w:id="1849784749">
      <w:bodyDiv w:val="1"/>
      <w:marLeft w:val="0"/>
      <w:marRight w:val="0"/>
      <w:marTop w:val="0"/>
      <w:marBottom w:val="0"/>
      <w:divBdr>
        <w:top w:val="none" w:sz="0" w:space="0" w:color="auto"/>
        <w:left w:val="none" w:sz="0" w:space="0" w:color="auto"/>
        <w:bottom w:val="none" w:sz="0" w:space="0" w:color="auto"/>
        <w:right w:val="none" w:sz="0" w:space="0" w:color="auto"/>
      </w:divBdr>
    </w:div>
    <w:div w:id="1849829798">
      <w:bodyDiv w:val="1"/>
      <w:marLeft w:val="0"/>
      <w:marRight w:val="0"/>
      <w:marTop w:val="0"/>
      <w:marBottom w:val="0"/>
      <w:divBdr>
        <w:top w:val="none" w:sz="0" w:space="0" w:color="auto"/>
        <w:left w:val="none" w:sz="0" w:space="0" w:color="auto"/>
        <w:bottom w:val="none" w:sz="0" w:space="0" w:color="auto"/>
        <w:right w:val="none" w:sz="0" w:space="0" w:color="auto"/>
      </w:divBdr>
    </w:div>
    <w:div w:id="1850097722">
      <w:bodyDiv w:val="1"/>
      <w:marLeft w:val="0"/>
      <w:marRight w:val="0"/>
      <w:marTop w:val="0"/>
      <w:marBottom w:val="0"/>
      <w:divBdr>
        <w:top w:val="none" w:sz="0" w:space="0" w:color="auto"/>
        <w:left w:val="none" w:sz="0" w:space="0" w:color="auto"/>
        <w:bottom w:val="none" w:sz="0" w:space="0" w:color="auto"/>
        <w:right w:val="none" w:sz="0" w:space="0" w:color="auto"/>
      </w:divBdr>
    </w:div>
    <w:div w:id="1850100195">
      <w:bodyDiv w:val="1"/>
      <w:marLeft w:val="0"/>
      <w:marRight w:val="0"/>
      <w:marTop w:val="0"/>
      <w:marBottom w:val="0"/>
      <w:divBdr>
        <w:top w:val="none" w:sz="0" w:space="0" w:color="auto"/>
        <w:left w:val="none" w:sz="0" w:space="0" w:color="auto"/>
        <w:bottom w:val="none" w:sz="0" w:space="0" w:color="auto"/>
        <w:right w:val="none" w:sz="0" w:space="0" w:color="auto"/>
      </w:divBdr>
    </w:div>
    <w:div w:id="1850172870">
      <w:bodyDiv w:val="1"/>
      <w:marLeft w:val="0"/>
      <w:marRight w:val="0"/>
      <w:marTop w:val="0"/>
      <w:marBottom w:val="0"/>
      <w:divBdr>
        <w:top w:val="none" w:sz="0" w:space="0" w:color="auto"/>
        <w:left w:val="none" w:sz="0" w:space="0" w:color="auto"/>
        <w:bottom w:val="none" w:sz="0" w:space="0" w:color="auto"/>
        <w:right w:val="none" w:sz="0" w:space="0" w:color="auto"/>
      </w:divBdr>
    </w:div>
    <w:div w:id="1850174962">
      <w:bodyDiv w:val="1"/>
      <w:marLeft w:val="0"/>
      <w:marRight w:val="0"/>
      <w:marTop w:val="0"/>
      <w:marBottom w:val="0"/>
      <w:divBdr>
        <w:top w:val="none" w:sz="0" w:space="0" w:color="auto"/>
        <w:left w:val="none" w:sz="0" w:space="0" w:color="auto"/>
        <w:bottom w:val="none" w:sz="0" w:space="0" w:color="auto"/>
        <w:right w:val="none" w:sz="0" w:space="0" w:color="auto"/>
      </w:divBdr>
    </w:div>
    <w:div w:id="1850178318">
      <w:bodyDiv w:val="1"/>
      <w:marLeft w:val="0"/>
      <w:marRight w:val="0"/>
      <w:marTop w:val="0"/>
      <w:marBottom w:val="0"/>
      <w:divBdr>
        <w:top w:val="none" w:sz="0" w:space="0" w:color="auto"/>
        <w:left w:val="none" w:sz="0" w:space="0" w:color="auto"/>
        <w:bottom w:val="none" w:sz="0" w:space="0" w:color="auto"/>
        <w:right w:val="none" w:sz="0" w:space="0" w:color="auto"/>
      </w:divBdr>
    </w:div>
    <w:div w:id="1850215334">
      <w:bodyDiv w:val="1"/>
      <w:marLeft w:val="0"/>
      <w:marRight w:val="0"/>
      <w:marTop w:val="0"/>
      <w:marBottom w:val="0"/>
      <w:divBdr>
        <w:top w:val="none" w:sz="0" w:space="0" w:color="auto"/>
        <w:left w:val="none" w:sz="0" w:space="0" w:color="auto"/>
        <w:bottom w:val="none" w:sz="0" w:space="0" w:color="auto"/>
        <w:right w:val="none" w:sz="0" w:space="0" w:color="auto"/>
      </w:divBdr>
    </w:div>
    <w:div w:id="1850291219">
      <w:bodyDiv w:val="1"/>
      <w:marLeft w:val="0"/>
      <w:marRight w:val="0"/>
      <w:marTop w:val="0"/>
      <w:marBottom w:val="0"/>
      <w:divBdr>
        <w:top w:val="none" w:sz="0" w:space="0" w:color="auto"/>
        <w:left w:val="none" w:sz="0" w:space="0" w:color="auto"/>
        <w:bottom w:val="none" w:sz="0" w:space="0" w:color="auto"/>
        <w:right w:val="none" w:sz="0" w:space="0" w:color="auto"/>
      </w:divBdr>
    </w:div>
    <w:div w:id="1850362281">
      <w:bodyDiv w:val="1"/>
      <w:marLeft w:val="0"/>
      <w:marRight w:val="0"/>
      <w:marTop w:val="0"/>
      <w:marBottom w:val="0"/>
      <w:divBdr>
        <w:top w:val="none" w:sz="0" w:space="0" w:color="auto"/>
        <w:left w:val="none" w:sz="0" w:space="0" w:color="auto"/>
        <w:bottom w:val="none" w:sz="0" w:space="0" w:color="auto"/>
        <w:right w:val="none" w:sz="0" w:space="0" w:color="auto"/>
      </w:divBdr>
    </w:div>
    <w:div w:id="1850362938">
      <w:bodyDiv w:val="1"/>
      <w:marLeft w:val="0"/>
      <w:marRight w:val="0"/>
      <w:marTop w:val="0"/>
      <w:marBottom w:val="0"/>
      <w:divBdr>
        <w:top w:val="none" w:sz="0" w:space="0" w:color="auto"/>
        <w:left w:val="none" w:sz="0" w:space="0" w:color="auto"/>
        <w:bottom w:val="none" w:sz="0" w:space="0" w:color="auto"/>
        <w:right w:val="none" w:sz="0" w:space="0" w:color="auto"/>
      </w:divBdr>
    </w:div>
    <w:div w:id="1850366593">
      <w:bodyDiv w:val="1"/>
      <w:marLeft w:val="0"/>
      <w:marRight w:val="0"/>
      <w:marTop w:val="0"/>
      <w:marBottom w:val="0"/>
      <w:divBdr>
        <w:top w:val="none" w:sz="0" w:space="0" w:color="auto"/>
        <w:left w:val="none" w:sz="0" w:space="0" w:color="auto"/>
        <w:bottom w:val="none" w:sz="0" w:space="0" w:color="auto"/>
        <w:right w:val="none" w:sz="0" w:space="0" w:color="auto"/>
      </w:divBdr>
    </w:div>
    <w:div w:id="1850370455">
      <w:bodyDiv w:val="1"/>
      <w:marLeft w:val="0"/>
      <w:marRight w:val="0"/>
      <w:marTop w:val="0"/>
      <w:marBottom w:val="0"/>
      <w:divBdr>
        <w:top w:val="none" w:sz="0" w:space="0" w:color="auto"/>
        <w:left w:val="none" w:sz="0" w:space="0" w:color="auto"/>
        <w:bottom w:val="none" w:sz="0" w:space="0" w:color="auto"/>
        <w:right w:val="none" w:sz="0" w:space="0" w:color="auto"/>
      </w:divBdr>
    </w:div>
    <w:div w:id="1850409866">
      <w:bodyDiv w:val="1"/>
      <w:marLeft w:val="0"/>
      <w:marRight w:val="0"/>
      <w:marTop w:val="0"/>
      <w:marBottom w:val="0"/>
      <w:divBdr>
        <w:top w:val="none" w:sz="0" w:space="0" w:color="auto"/>
        <w:left w:val="none" w:sz="0" w:space="0" w:color="auto"/>
        <w:bottom w:val="none" w:sz="0" w:space="0" w:color="auto"/>
        <w:right w:val="none" w:sz="0" w:space="0" w:color="auto"/>
      </w:divBdr>
    </w:div>
    <w:div w:id="1850412333">
      <w:bodyDiv w:val="1"/>
      <w:marLeft w:val="0"/>
      <w:marRight w:val="0"/>
      <w:marTop w:val="0"/>
      <w:marBottom w:val="0"/>
      <w:divBdr>
        <w:top w:val="none" w:sz="0" w:space="0" w:color="auto"/>
        <w:left w:val="none" w:sz="0" w:space="0" w:color="auto"/>
        <w:bottom w:val="none" w:sz="0" w:space="0" w:color="auto"/>
        <w:right w:val="none" w:sz="0" w:space="0" w:color="auto"/>
      </w:divBdr>
    </w:div>
    <w:div w:id="1850560406">
      <w:bodyDiv w:val="1"/>
      <w:marLeft w:val="0"/>
      <w:marRight w:val="0"/>
      <w:marTop w:val="0"/>
      <w:marBottom w:val="0"/>
      <w:divBdr>
        <w:top w:val="none" w:sz="0" w:space="0" w:color="auto"/>
        <w:left w:val="none" w:sz="0" w:space="0" w:color="auto"/>
        <w:bottom w:val="none" w:sz="0" w:space="0" w:color="auto"/>
        <w:right w:val="none" w:sz="0" w:space="0" w:color="auto"/>
      </w:divBdr>
    </w:div>
    <w:div w:id="1850605802">
      <w:bodyDiv w:val="1"/>
      <w:marLeft w:val="0"/>
      <w:marRight w:val="0"/>
      <w:marTop w:val="0"/>
      <w:marBottom w:val="0"/>
      <w:divBdr>
        <w:top w:val="none" w:sz="0" w:space="0" w:color="auto"/>
        <w:left w:val="none" w:sz="0" w:space="0" w:color="auto"/>
        <w:bottom w:val="none" w:sz="0" w:space="0" w:color="auto"/>
        <w:right w:val="none" w:sz="0" w:space="0" w:color="auto"/>
      </w:divBdr>
    </w:div>
    <w:div w:id="1850681910">
      <w:bodyDiv w:val="1"/>
      <w:marLeft w:val="0"/>
      <w:marRight w:val="0"/>
      <w:marTop w:val="0"/>
      <w:marBottom w:val="0"/>
      <w:divBdr>
        <w:top w:val="none" w:sz="0" w:space="0" w:color="auto"/>
        <w:left w:val="none" w:sz="0" w:space="0" w:color="auto"/>
        <w:bottom w:val="none" w:sz="0" w:space="0" w:color="auto"/>
        <w:right w:val="none" w:sz="0" w:space="0" w:color="auto"/>
      </w:divBdr>
    </w:div>
    <w:div w:id="1850749272">
      <w:bodyDiv w:val="1"/>
      <w:marLeft w:val="0"/>
      <w:marRight w:val="0"/>
      <w:marTop w:val="0"/>
      <w:marBottom w:val="0"/>
      <w:divBdr>
        <w:top w:val="none" w:sz="0" w:space="0" w:color="auto"/>
        <w:left w:val="none" w:sz="0" w:space="0" w:color="auto"/>
        <w:bottom w:val="none" w:sz="0" w:space="0" w:color="auto"/>
        <w:right w:val="none" w:sz="0" w:space="0" w:color="auto"/>
      </w:divBdr>
    </w:div>
    <w:div w:id="1850750175">
      <w:bodyDiv w:val="1"/>
      <w:marLeft w:val="0"/>
      <w:marRight w:val="0"/>
      <w:marTop w:val="0"/>
      <w:marBottom w:val="0"/>
      <w:divBdr>
        <w:top w:val="none" w:sz="0" w:space="0" w:color="auto"/>
        <w:left w:val="none" w:sz="0" w:space="0" w:color="auto"/>
        <w:bottom w:val="none" w:sz="0" w:space="0" w:color="auto"/>
        <w:right w:val="none" w:sz="0" w:space="0" w:color="auto"/>
      </w:divBdr>
    </w:div>
    <w:div w:id="1850756400">
      <w:bodyDiv w:val="1"/>
      <w:marLeft w:val="0"/>
      <w:marRight w:val="0"/>
      <w:marTop w:val="0"/>
      <w:marBottom w:val="0"/>
      <w:divBdr>
        <w:top w:val="none" w:sz="0" w:space="0" w:color="auto"/>
        <w:left w:val="none" w:sz="0" w:space="0" w:color="auto"/>
        <w:bottom w:val="none" w:sz="0" w:space="0" w:color="auto"/>
        <w:right w:val="none" w:sz="0" w:space="0" w:color="auto"/>
      </w:divBdr>
    </w:div>
    <w:div w:id="1850874478">
      <w:bodyDiv w:val="1"/>
      <w:marLeft w:val="0"/>
      <w:marRight w:val="0"/>
      <w:marTop w:val="0"/>
      <w:marBottom w:val="0"/>
      <w:divBdr>
        <w:top w:val="none" w:sz="0" w:space="0" w:color="auto"/>
        <w:left w:val="none" w:sz="0" w:space="0" w:color="auto"/>
        <w:bottom w:val="none" w:sz="0" w:space="0" w:color="auto"/>
        <w:right w:val="none" w:sz="0" w:space="0" w:color="auto"/>
      </w:divBdr>
    </w:div>
    <w:div w:id="1851139141">
      <w:bodyDiv w:val="1"/>
      <w:marLeft w:val="0"/>
      <w:marRight w:val="0"/>
      <w:marTop w:val="0"/>
      <w:marBottom w:val="0"/>
      <w:divBdr>
        <w:top w:val="none" w:sz="0" w:space="0" w:color="auto"/>
        <w:left w:val="none" w:sz="0" w:space="0" w:color="auto"/>
        <w:bottom w:val="none" w:sz="0" w:space="0" w:color="auto"/>
        <w:right w:val="none" w:sz="0" w:space="0" w:color="auto"/>
      </w:divBdr>
    </w:div>
    <w:div w:id="1851332509">
      <w:bodyDiv w:val="1"/>
      <w:marLeft w:val="0"/>
      <w:marRight w:val="0"/>
      <w:marTop w:val="0"/>
      <w:marBottom w:val="0"/>
      <w:divBdr>
        <w:top w:val="none" w:sz="0" w:space="0" w:color="auto"/>
        <w:left w:val="none" w:sz="0" w:space="0" w:color="auto"/>
        <w:bottom w:val="none" w:sz="0" w:space="0" w:color="auto"/>
        <w:right w:val="none" w:sz="0" w:space="0" w:color="auto"/>
      </w:divBdr>
    </w:div>
    <w:div w:id="1851337072">
      <w:bodyDiv w:val="1"/>
      <w:marLeft w:val="0"/>
      <w:marRight w:val="0"/>
      <w:marTop w:val="0"/>
      <w:marBottom w:val="0"/>
      <w:divBdr>
        <w:top w:val="none" w:sz="0" w:space="0" w:color="auto"/>
        <w:left w:val="none" w:sz="0" w:space="0" w:color="auto"/>
        <w:bottom w:val="none" w:sz="0" w:space="0" w:color="auto"/>
        <w:right w:val="none" w:sz="0" w:space="0" w:color="auto"/>
      </w:divBdr>
    </w:div>
    <w:div w:id="1851484169">
      <w:bodyDiv w:val="1"/>
      <w:marLeft w:val="0"/>
      <w:marRight w:val="0"/>
      <w:marTop w:val="0"/>
      <w:marBottom w:val="0"/>
      <w:divBdr>
        <w:top w:val="none" w:sz="0" w:space="0" w:color="auto"/>
        <w:left w:val="none" w:sz="0" w:space="0" w:color="auto"/>
        <w:bottom w:val="none" w:sz="0" w:space="0" w:color="auto"/>
        <w:right w:val="none" w:sz="0" w:space="0" w:color="auto"/>
      </w:divBdr>
    </w:div>
    <w:div w:id="1851529187">
      <w:bodyDiv w:val="1"/>
      <w:marLeft w:val="0"/>
      <w:marRight w:val="0"/>
      <w:marTop w:val="0"/>
      <w:marBottom w:val="0"/>
      <w:divBdr>
        <w:top w:val="none" w:sz="0" w:space="0" w:color="auto"/>
        <w:left w:val="none" w:sz="0" w:space="0" w:color="auto"/>
        <w:bottom w:val="none" w:sz="0" w:space="0" w:color="auto"/>
        <w:right w:val="none" w:sz="0" w:space="0" w:color="auto"/>
      </w:divBdr>
    </w:div>
    <w:div w:id="1851603528">
      <w:bodyDiv w:val="1"/>
      <w:marLeft w:val="0"/>
      <w:marRight w:val="0"/>
      <w:marTop w:val="0"/>
      <w:marBottom w:val="0"/>
      <w:divBdr>
        <w:top w:val="none" w:sz="0" w:space="0" w:color="auto"/>
        <w:left w:val="none" w:sz="0" w:space="0" w:color="auto"/>
        <w:bottom w:val="none" w:sz="0" w:space="0" w:color="auto"/>
        <w:right w:val="none" w:sz="0" w:space="0" w:color="auto"/>
      </w:divBdr>
    </w:div>
    <w:div w:id="1851604961">
      <w:bodyDiv w:val="1"/>
      <w:marLeft w:val="0"/>
      <w:marRight w:val="0"/>
      <w:marTop w:val="0"/>
      <w:marBottom w:val="0"/>
      <w:divBdr>
        <w:top w:val="none" w:sz="0" w:space="0" w:color="auto"/>
        <w:left w:val="none" w:sz="0" w:space="0" w:color="auto"/>
        <w:bottom w:val="none" w:sz="0" w:space="0" w:color="auto"/>
        <w:right w:val="none" w:sz="0" w:space="0" w:color="auto"/>
      </w:divBdr>
    </w:div>
    <w:div w:id="1851605352">
      <w:bodyDiv w:val="1"/>
      <w:marLeft w:val="0"/>
      <w:marRight w:val="0"/>
      <w:marTop w:val="0"/>
      <w:marBottom w:val="0"/>
      <w:divBdr>
        <w:top w:val="none" w:sz="0" w:space="0" w:color="auto"/>
        <w:left w:val="none" w:sz="0" w:space="0" w:color="auto"/>
        <w:bottom w:val="none" w:sz="0" w:space="0" w:color="auto"/>
        <w:right w:val="none" w:sz="0" w:space="0" w:color="auto"/>
      </w:divBdr>
    </w:div>
    <w:div w:id="1851606287">
      <w:bodyDiv w:val="1"/>
      <w:marLeft w:val="0"/>
      <w:marRight w:val="0"/>
      <w:marTop w:val="0"/>
      <w:marBottom w:val="0"/>
      <w:divBdr>
        <w:top w:val="none" w:sz="0" w:space="0" w:color="auto"/>
        <w:left w:val="none" w:sz="0" w:space="0" w:color="auto"/>
        <w:bottom w:val="none" w:sz="0" w:space="0" w:color="auto"/>
        <w:right w:val="none" w:sz="0" w:space="0" w:color="auto"/>
      </w:divBdr>
    </w:div>
    <w:div w:id="1851676230">
      <w:bodyDiv w:val="1"/>
      <w:marLeft w:val="0"/>
      <w:marRight w:val="0"/>
      <w:marTop w:val="0"/>
      <w:marBottom w:val="0"/>
      <w:divBdr>
        <w:top w:val="none" w:sz="0" w:space="0" w:color="auto"/>
        <w:left w:val="none" w:sz="0" w:space="0" w:color="auto"/>
        <w:bottom w:val="none" w:sz="0" w:space="0" w:color="auto"/>
        <w:right w:val="none" w:sz="0" w:space="0" w:color="auto"/>
      </w:divBdr>
    </w:div>
    <w:div w:id="1851677805">
      <w:bodyDiv w:val="1"/>
      <w:marLeft w:val="0"/>
      <w:marRight w:val="0"/>
      <w:marTop w:val="0"/>
      <w:marBottom w:val="0"/>
      <w:divBdr>
        <w:top w:val="none" w:sz="0" w:space="0" w:color="auto"/>
        <w:left w:val="none" w:sz="0" w:space="0" w:color="auto"/>
        <w:bottom w:val="none" w:sz="0" w:space="0" w:color="auto"/>
        <w:right w:val="none" w:sz="0" w:space="0" w:color="auto"/>
      </w:divBdr>
    </w:div>
    <w:div w:id="1851722111">
      <w:bodyDiv w:val="1"/>
      <w:marLeft w:val="0"/>
      <w:marRight w:val="0"/>
      <w:marTop w:val="0"/>
      <w:marBottom w:val="0"/>
      <w:divBdr>
        <w:top w:val="none" w:sz="0" w:space="0" w:color="auto"/>
        <w:left w:val="none" w:sz="0" w:space="0" w:color="auto"/>
        <w:bottom w:val="none" w:sz="0" w:space="0" w:color="auto"/>
        <w:right w:val="none" w:sz="0" w:space="0" w:color="auto"/>
      </w:divBdr>
    </w:div>
    <w:div w:id="1851724112">
      <w:bodyDiv w:val="1"/>
      <w:marLeft w:val="0"/>
      <w:marRight w:val="0"/>
      <w:marTop w:val="0"/>
      <w:marBottom w:val="0"/>
      <w:divBdr>
        <w:top w:val="none" w:sz="0" w:space="0" w:color="auto"/>
        <w:left w:val="none" w:sz="0" w:space="0" w:color="auto"/>
        <w:bottom w:val="none" w:sz="0" w:space="0" w:color="auto"/>
        <w:right w:val="none" w:sz="0" w:space="0" w:color="auto"/>
      </w:divBdr>
    </w:div>
    <w:div w:id="1851792168">
      <w:bodyDiv w:val="1"/>
      <w:marLeft w:val="0"/>
      <w:marRight w:val="0"/>
      <w:marTop w:val="0"/>
      <w:marBottom w:val="0"/>
      <w:divBdr>
        <w:top w:val="none" w:sz="0" w:space="0" w:color="auto"/>
        <w:left w:val="none" w:sz="0" w:space="0" w:color="auto"/>
        <w:bottom w:val="none" w:sz="0" w:space="0" w:color="auto"/>
        <w:right w:val="none" w:sz="0" w:space="0" w:color="auto"/>
      </w:divBdr>
    </w:div>
    <w:div w:id="1851794097">
      <w:bodyDiv w:val="1"/>
      <w:marLeft w:val="0"/>
      <w:marRight w:val="0"/>
      <w:marTop w:val="0"/>
      <w:marBottom w:val="0"/>
      <w:divBdr>
        <w:top w:val="none" w:sz="0" w:space="0" w:color="auto"/>
        <w:left w:val="none" w:sz="0" w:space="0" w:color="auto"/>
        <w:bottom w:val="none" w:sz="0" w:space="0" w:color="auto"/>
        <w:right w:val="none" w:sz="0" w:space="0" w:color="auto"/>
      </w:divBdr>
    </w:div>
    <w:div w:id="1851868029">
      <w:bodyDiv w:val="1"/>
      <w:marLeft w:val="0"/>
      <w:marRight w:val="0"/>
      <w:marTop w:val="0"/>
      <w:marBottom w:val="0"/>
      <w:divBdr>
        <w:top w:val="none" w:sz="0" w:space="0" w:color="auto"/>
        <w:left w:val="none" w:sz="0" w:space="0" w:color="auto"/>
        <w:bottom w:val="none" w:sz="0" w:space="0" w:color="auto"/>
        <w:right w:val="none" w:sz="0" w:space="0" w:color="auto"/>
      </w:divBdr>
    </w:div>
    <w:div w:id="1851871794">
      <w:bodyDiv w:val="1"/>
      <w:marLeft w:val="0"/>
      <w:marRight w:val="0"/>
      <w:marTop w:val="0"/>
      <w:marBottom w:val="0"/>
      <w:divBdr>
        <w:top w:val="none" w:sz="0" w:space="0" w:color="auto"/>
        <w:left w:val="none" w:sz="0" w:space="0" w:color="auto"/>
        <w:bottom w:val="none" w:sz="0" w:space="0" w:color="auto"/>
        <w:right w:val="none" w:sz="0" w:space="0" w:color="auto"/>
      </w:divBdr>
    </w:div>
    <w:div w:id="1851946167">
      <w:bodyDiv w:val="1"/>
      <w:marLeft w:val="0"/>
      <w:marRight w:val="0"/>
      <w:marTop w:val="0"/>
      <w:marBottom w:val="0"/>
      <w:divBdr>
        <w:top w:val="none" w:sz="0" w:space="0" w:color="auto"/>
        <w:left w:val="none" w:sz="0" w:space="0" w:color="auto"/>
        <w:bottom w:val="none" w:sz="0" w:space="0" w:color="auto"/>
        <w:right w:val="none" w:sz="0" w:space="0" w:color="auto"/>
      </w:divBdr>
    </w:div>
    <w:div w:id="1851989771">
      <w:bodyDiv w:val="1"/>
      <w:marLeft w:val="0"/>
      <w:marRight w:val="0"/>
      <w:marTop w:val="0"/>
      <w:marBottom w:val="0"/>
      <w:divBdr>
        <w:top w:val="none" w:sz="0" w:space="0" w:color="auto"/>
        <w:left w:val="none" w:sz="0" w:space="0" w:color="auto"/>
        <w:bottom w:val="none" w:sz="0" w:space="0" w:color="auto"/>
        <w:right w:val="none" w:sz="0" w:space="0" w:color="auto"/>
      </w:divBdr>
    </w:div>
    <w:div w:id="1852255804">
      <w:bodyDiv w:val="1"/>
      <w:marLeft w:val="0"/>
      <w:marRight w:val="0"/>
      <w:marTop w:val="0"/>
      <w:marBottom w:val="0"/>
      <w:divBdr>
        <w:top w:val="none" w:sz="0" w:space="0" w:color="auto"/>
        <w:left w:val="none" w:sz="0" w:space="0" w:color="auto"/>
        <w:bottom w:val="none" w:sz="0" w:space="0" w:color="auto"/>
        <w:right w:val="none" w:sz="0" w:space="0" w:color="auto"/>
      </w:divBdr>
    </w:div>
    <w:div w:id="1852378595">
      <w:bodyDiv w:val="1"/>
      <w:marLeft w:val="0"/>
      <w:marRight w:val="0"/>
      <w:marTop w:val="0"/>
      <w:marBottom w:val="0"/>
      <w:divBdr>
        <w:top w:val="none" w:sz="0" w:space="0" w:color="auto"/>
        <w:left w:val="none" w:sz="0" w:space="0" w:color="auto"/>
        <w:bottom w:val="none" w:sz="0" w:space="0" w:color="auto"/>
        <w:right w:val="none" w:sz="0" w:space="0" w:color="auto"/>
      </w:divBdr>
    </w:div>
    <w:div w:id="1852525726">
      <w:bodyDiv w:val="1"/>
      <w:marLeft w:val="0"/>
      <w:marRight w:val="0"/>
      <w:marTop w:val="0"/>
      <w:marBottom w:val="0"/>
      <w:divBdr>
        <w:top w:val="none" w:sz="0" w:space="0" w:color="auto"/>
        <w:left w:val="none" w:sz="0" w:space="0" w:color="auto"/>
        <w:bottom w:val="none" w:sz="0" w:space="0" w:color="auto"/>
        <w:right w:val="none" w:sz="0" w:space="0" w:color="auto"/>
      </w:divBdr>
    </w:div>
    <w:div w:id="1852639267">
      <w:bodyDiv w:val="1"/>
      <w:marLeft w:val="0"/>
      <w:marRight w:val="0"/>
      <w:marTop w:val="0"/>
      <w:marBottom w:val="0"/>
      <w:divBdr>
        <w:top w:val="none" w:sz="0" w:space="0" w:color="auto"/>
        <w:left w:val="none" w:sz="0" w:space="0" w:color="auto"/>
        <w:bottom w:val="none" w:sz="0" w:space="0" w:color="auto"/>
        <w:right w:val="none" w:sz="0" w:space="0" w:color="auto"/>
      </w:divBdr>
    </w:div>
    <w:div w:id="1852642659">
      <w:bodyDiv w:val="1"/>
      <w:marLeft w:val="0"/>
      <w:marRight w:val="0"/>
      <w:marTop w:val="0"/>
      <w:marBottom w:val="0"/>
      <w:divBdr>
        <w:top w:val="none" w:sz="0" w:space="0" w:color="auto"/>
        <w:left w:val="none" w:sz="0" w:space="0" w:color="auto"/>
        <w:bottom w:val="none" w:sz="0" w:space="0" w:color="auto"/>
        <w:right w:val="none" w:sz="0" w:space="0" w:color="auto"/>
      </w:divBdr>
    </w:div>
    <w:div w:id="1852791766">
      <w:bodyDiv w:val="1"/>
      <w:marLeft w:val="0"/>
      <w:marRight w:val="0"/>
      <w:marTop w:val="0"/>
      <w:marBottom w:val="0"/>
      <w:divBdr>
        <w:top w:val="none" w:sz="0" w:space="0" w:color="auto"/>
        <w:left w:val="none" w:sz="0" w:space="0" w:color="auto"/>
        <w:bottom w:val="none" w:sz="0" w:space="0" w:color="auto"/>
        <w:right w:val="none" w:sz="0" w:space="0" w:color="auto"/>
      </w:divBdr>
    </w:div>
    <w:div w:id="1852837624">
      <w:bodyDiv w:val="1"/>
      <w:marLeft w:val="0"/>
      <w:marRight w:val="0"/>
      <w:marTop w:val="0"/>
      <w:marBottom w:val="0"/>
      <w:divBdr>
        <w:top w:val="none" w:sz="0" w:space="0" w:color="auto"/>
        <w:left w:val="none" w:sz="0" w:space="0" w:color="auto"/>
        <w:bottom w:val="none" w:sz="0" w:space="0" w:color="auto"/>
        <w:right w:val="none" w:sz="0" w:space="0" w:color="auto"/>
      </w:divBdr>
    </w:div>
    <w:div w:id="1852865380">
      <w:bodyDiv w:val="1"/>
      <w:marLeft w:val="0"/>
      <w:marRight w:val="0"/>
      <w:marTop w:val="0"/>
      <w:marBottom w:val="0"/>
      <w:divBdr>
        <w:top w:val="none" w:sz="0" w:space="0" w:color="auto"/>
        <w:left w:val="none" w:sz="0" w:space="0" w:color="auto"/>
        <w:bottom w:val="none" w:sz="0" w:space="0" w:color="auto"/>
        <w:right w:val="none" w:sz="0" w:space="0" w:color="auto"/>
      </w:divBdr>
    </w:div>
    <w:div w:id="1852908605">
      <w:bodyDiv w:val="1"/>
      <w:marLeft w:val="0"/>
      <w:marRight w:val="0"/>
      <w:marTop w:val="0"/>
      <w:marBottom w:val="0"/>
      <w:divBdr>
        <w:top w:val="none" w:sz="0" w:space="0" w:color="auto"/>
        <w:left w:val="none" w:sz="0" w:space="0" w:color="auto"/>
        <w:bottom w:val="none" w:sz="0" w:space="0" w:color="auto"/>
        <w:right w:val="none" w:sz="0" w:space="0" w:color="auto"/>
      </w:divBdr>
    </w:div>
    <w:div w:id="1853105439">
      <w:bodyDiv w:val="1"/>
      <w:marLeft w:val="0"/>
      <w:marRight w:val="0"/>
      <w:marTop w:val="0"/>
      <w:marBottom w:val="0"/>
      <w:divBdr>
        <w:top w:val="none" w:sz="0" w:space="0" w:color="auto"/>
        <w:left w:val="none" w:sz="0" w:space="0" w:color="auto"/>
        <w:bottom w:val="none" w:sz="0" w:space="0" w:color="auto"/>
        <w:right w:val="none" w:sz="0" w:space="0" w:color="auto"/>
      </w:divBdr>
    </w:div>
    <w:div w:id="1853182603">
      <w:bodyDiv w:val="1"/>
      <w:marLeft w:val="0"/>
      <w:marRight w:val="0"/>
      <w:marTop w:val="0"/>
      <w:marBottom w:val="0"/>
      <w:divBdr>
        <w:top w:val="none" w:sz="0" w:space="0" w:color="auto"/>
        <w:left w:val="none" w:sz="0" w:space="0" w:color="auto"/>
        <w:bottom w:val="none" w:sz="0" w:space="0" w:color="auto"/>
        <w:right w:val="none" w:sz="0" w:space="0" w:color="auto"/>
      </w:divBdr>
    </w:div>
    <w:div w:id="1853373170">
      <w:bodyDiv w:val="1"/>
      <w:marLeft w:val="0"/>
      <w:marRight w:val="0"/>
      <w:marTop w:val="0"/>
      <w:marBottom w:val="0"/>
      <w:divBdr>
        <w:top w:val="none" w:sz="0" w:space="0" w:color="auto"/>
        <w:left w:val="none" w:sz="0" w:space="0" w:color="auto"/>
        <w:bottom w:val="none" w:sz="0" w:space="0" w:color="auto"/>
        <w:right w:val="none" w:sz="0" w:space="0" w:color="auto"/>
      </w:divBdr>
    </w:div>
    <w:div w:id="1853495302">
      <w:bodyDiv w:val="1"/>
      <w:marLeft w:val="0"/>
      <w:marRight w:val="0"/>
      <w:marTop w:val="0"/>
      <w:marBottom w:val="0"/>
      <w:divBdr>
        <w:top w:val="none" w:sz="0" w:space="0" w:color="auto"/>
        <w:left w:val="none" w:sz="0" w:space="0" w:color="auto"/>
        <w:bottom w:val="none" w:sz="0" w:space="0" w:color="auto"/>
        <w:right w:val="none" w:sz="0" w:space="0" w:color="auto"/>
      </w:divBdr>
    </w:div>
    <w:div w:id="1853640162">
      <w:bodyDiv w:val="1"/>
      <w:marLeft w:val="0"/>
      <w:marRight w:val="0"/>
      <w:marTop w:val="0"/>
      <w:marBottom w:val="0"/>
      <w:divBdr>
        <w:top w:val="none" w:sz="0" w:space="0" w:color="auto"/>
        <w:left w:val="none" w:sz="0" w:space="0" w:color="auto"/>
        <w:bottom w:val="none" w:sz="0" w:space="0" w:color="auto"/>
        <w:right w:val="none" w:sz="0" w:space="0" w:color="auto"/>
      </w:divBdr>
    </w:div>
    <w:div w:id="1853641728">
      <w:bodyDiv w:val="1"/>
      <w:marLeft w:val="0"/>
      <w:marRight w:val="0"/>
      <w:marTop w:val="0"/>
      <w:marBottom w:val="0"/>
      <w:divBdr>
        <w:top w:val="none" w:sz="0" w:space="0" w:color="auto"/>
        <w:left w:val="none" w:sz="0" w:space="0" w:color="auto"/>
        <w:bottom w:val="none" w:sz="0" w:space="0" w:color="auto"/>
        <w:right w:val="none" w:sz="0" w:space="0" w:color="auto"/>
      </w:divBdr>
    </w:div>
    <w:div w:id="1853688987">
      <w:bodyDiv w:val="1"/>
      <w:marLeft w:val="0"/>
      <w:marRight w:val="0"/>
      <w:marTop w:val="0"/>
      <w:marBottom w:val="0"/>
      <w:divBdr>
        <w:top w:val="none" w:sz="0" w:space="0" w:color="auto"/>
        <w:left w:val="none" w:sz="0" w:space="0" w:color="auto"/>
        <w:bottom w:val="none" w:sz="0" w:space="0" w:color="auto"/>
        <w:right w:val="none" w:sz="0" w:space="0" w:color="auto"/>
      </w:divBdr>
    </w:div>
    <w:div w:id="1853833695">
      <w:bodyDiv w:val="1"/>
      <w:marLeft w:val="0"/>
      <w:marRight w:val="0"/>
      <w:marTop w:val="0"/>
      <w:marBottom w:val="0"/>
      <w:divBdr>
        <w:top w:val="none" w:sz="0" w:space="0" w:color="auto"/>
        <w:left w:val="none" w:sz="0" w:space="0" w:color="auto"/>
        <w:bottom w:val="none" w:sz="0" w:space="0" w:color="auto"/>
        <w:right w:val="none" w:sz="0" w:space="0" w:color="auto"/>
      </w:divBdr>
    </w:div>
    <w:div w:id="1853914700">
      <w:bodyDiv w:val="1"/>
      <w:marLeft w:val="0"/>
      <w:marRight w:val="0"/>
      <w:marTop w:val="0"/>
      <w:marBottom w:val="0"/>
      <w:divBdr>
        <w:top w:val="none" w:sz="0" w:space="0" w:color="auto"/>
        <w:left w:val="none" w:sz="0" w:space="0" w:color="auto"/>
        <w:bottom w:val="none" w:sz="0" w:space="0" w:color="auto"/>
        <w:right w:val="none" w:sz="0" w:space="0" w:color="auto"/>
      </w:divBdr>
    </w:div>
    <w:div w:id="1853953734">
      <w:bodyDiv w:val="1"/>
      <w:marLeft w:val="0"/>
      <w:marRight w:val="0"/>
      <w:marTop w:val="0"/>
      <w:marBottom w:val="0"/>
      <w:divBdr>
        <w:top w:val="none" w:sz="0" w:space="0" w:color="auto"/>
        <w:left w:val="none" w:sz="0" w:space="0" w:color="auto"/>
        <w:bottom w:val="none" w:sz="0" w:space="0" w:color="auto"/>
        <w:right w:val="none" w:sz="0" w:space="0" w:color="auto"/>
      </w:divBdr>
    </w:div>
    <w:div w:id="1854176543">
      <w:bodyDiv w:val="1"/>
      <w:marLeft w:val="0"/>
      <w:marRight w:val="0"/>
      <w:marTop w:val="0"/>
      <w:marBottom w:val="0"/>
      <w:divBdr>
        <w:top w:val="none" w:sz="0" w:space="0" w:color="auto"/>
        <w:left w:val="none" w:sz="0" w:space="0" w:color="auto"/>
        <w:bottom w:val="none" w:sz="0" w:space="0" w:color="auto"/>
        <w:right w:val="none" w:sz="0" w:space="0" w:color="auto"/>
      </w:divBdr>
    </w:div>
    <w:div w:id="1854220899">
      <w:bodyDiv w:val="1"/>
      <w:marLeft w:val="0"/>
      <w:marRight w:val="0"/>
      <w:marTop w:val="0"/>
      <w:marBottom w:val="0"/>
      <w:divBdr>
        <w:top w:val="none" w:sz="0" w:space="0" w:color="auto"/>
        <w:left w:val="none" w:sz="0" w:space="0" w:color="auto"/>
        <w:bottom w:val="none" w:sz="0" w:space="0" w:color="auto"/>
        <w:right w:val="none" w:sz="0" w:space="0" w:color="auto"/>
      </w:divBdr>
    </w:div>
    <w:div w:id="1854299113">
      <w:bodyDiv w:val="1"/>
      <w:marLeft w:val="0"/>
      <w:marRight w:val="0"/>
      <w:marTop w:val="0"/>
      <w:marBottom w:val="0"/>
      <w:divBdr>
        <w:top w:val="none" w:sz="0" w:space="0" w:color="auto"/>
        <w:left w:val="none" w:sz="0" w:space="0" w:color="auto"/>
        <w:bottom w:val="none" w:sz="0" w:space="0" w:color="auto"/>
        <w:right w:val="none" w:sz="0" w:space="0" w:color="auto"/>
      </w:divBdr>
    </w:div>
    <w:div w:id="1854302039">
      <w:bodyDiv w:val="1"/>
      <w:marLeft w:val="0"/>
      <w:marRight w:val="0"/>
      <w:marTop w:val="0"/>
      <w:marBottom w:val="0"/>
      <w:divBdr>
        <w:top w:val="none" w:sz="0" w:space="0" w:color="auto"/>
        <w:left w:val="none" w:sz="0" w:space="0" w:color="auto"/>
        <w:bottom w:val="none" w:sz="0" w:space="0" w:color="auto"/>
        <w:right w:val="none" w:sz="0" w:space="0" w:color="auto"/>
      </w:divBdr>
    </w:div>
    <w:div w:id="1854341325">
      <w:bodyDiv w:val="1"/>
      <w:marLeft w:val="0"/>
      <w:marRight w:val="0"/>
      <w:marTop w:val="0"/>
      <w:marBottom w:val="0"/>
      <w:divBdr>
        <w:top w:val="none" w:sz="0" w:space="0" w:color="auto"/>
        <w:left w:val="none" w:sz="0" w:space="0" w:color="auto"/>
        <w:bottom w:val="none" w:sz="0" w:space="0" w:color="auto"/>
        <w:right w:val="none" w:sz="0" w:space="0" w:color="auto"/>
      </w:divBdr>
    </w:div>
    <w:div w:id="1854492369">
      <w:bodyDiv w:val="1"/>
      <w:marLeft w:val="0"/>
      <w:marRight w:val="0"/>
      <w:marTop w:val="0"/>
      <w:marBottom w:val="0"/>
      <w:divBdr>
        <w:top w:val="none" w:sz="0" w:space="0" w:color="auto"/>
        <w:left w:val="none" w:sz="0" w:space="0" w:color="auto"/>
        <w:bottom w:val="none" w:sz="0" w:space="0" w:color="auto"/>
        <w:right w:val="none" w:sz="0" w:space="0" w:color="auto"/>
      </w:divBdr>
    </w:div>
    <w:div w:id="1854562398">
      <w:bodyDiv w:val="1"/>
      <w:marLeft w:val="0"/>
      <w:marRight w:val="0"/>
      <w:marTop w:val="0"/>
      <w:marBottom w:val="0"/>
      <w:divBdr>
        <w:top w:val="none" w:sz="0" w:space="0" w:color="auto"/>
        <w:left w:val="none" w:sz="0" w:space="0" w:color="auto"/>
        <w:bottom w:val="none" w:sz="0" w:space="0" w:color="auto"/>
        <w:right w:val="none" w:sz="0" w:space="0" w:color="auto"/>
      </w:divBdr>
    </w:div>
    <w:div w:id="1854611256">
      <w:bodyDiv w:val="1"/>
      <w:marLeft w:val="0"/>
      <w:marRight w:val="0"/>
      <w:marTop w:val="0"/>
      <w:marBottom w:val="0"/>
      <w:divBdr>
        <w:top w:val="none" w:sz="0" w:space="0" w:color="auto"/>
        <w:left w:val="none" w:sz="0" w:space="0" w:color="auto"/>
        <w:bottom w:val="none" w:sz="0" w:space="0" w:color="auto"/>
        <w:right w:val="none" w:sz="0" w:space="0" w:color="auto"/>
      </w:divBdr>
    </w:div>
    <w:div w:id="1854684658">
      <w:bodyDiv w:val="1"/>
      <w:marLeft w:val="0"/>
      <w:marRight w:val="0"/>
      <w:marTop w:val="0"/>
      <w:marBottom w:val="0"/>
      <w:divBdr>
        <w:top w:val="none" w:sz="0" w:space="0" w:color="auto"/>
        <w:left w:val="none" w:sz="0" w:space="0" w:color="auto"/>
        <w:bottom w:val="none" w:sz="0" w:space="0" w:color="auto"/>
        <w:right w:val="none" w:sz="0" w:space="0" w:color="auto"/>
      </w:divBdr>
    </w:div>
    <w:div w:id="1855073261">
      <w:bodyDiv w:val="1"/>
      <w:marLeft w:val="0"/>
      <w:marRight w:val="0"/>
      <w:marTop w:val="0"/>
      <w:marBottom w:val="0"/>
      <w:divBdr>
        <w:top w:val="none" w:sz="0" w:space="0" w:color="auto"/>
        <w:left w:val="none" w:sz="0" w:space="0" w:color="auto"/>
        <w:bottom w:val="none" w:sz="0" w:space="0" w:color="auto"/>
        <w:right w:val="none" w:sz="0" w:space="0" w:color="auto"/>
      </w:divBdr>
    </w:div>
    <w:div w:id="1855147708">
      <w:bodyDiv w:val="1"/>
      <w:marLeft w:val="0"/>
      <w:marRight w:val="0"/>
      <w:marTop w:val="0"/>
      <w:marBottom w:val="0"/>
      <w:divBdr>
        <w:top w:val="none" w:sz="0" w:space="0" w:color="auto"/>
        <w:left w:val="none" w:sz="0" w:space="0" w:color="auto"/>
        <w:bottom w:val="none" w:sz="0" w:space="0" w:color="auto"/>
        <w:right w:val="none" w:sz="0" w:space="0" w:color="auto"/>
      </w:divBdr>
    </w:div>
    <w:div w:id="1855148223">
      <w:bodyDiv w:val="1"/>
      <w:marLeft w:val="0"/>
      <w:marRight w:val="0"/>
      <w:marTop w:val="0"/>
      <w:marBottom w:val="0"/>
      <w:divBdr>
        <w:top w:val="none" w:sz="0" w:space="0" w:color="auto"/>
        <w:left w:val="none" w:sz="0" w:space="0" w:color="auto"/>
        <w:bottom w:val="none" w:sz="0" w:space="0" w:color="auto"/>
        <w:right w:val="none" w:sz="0" w:space="0" w:color="auto"/>
      </w:divBdr>
    </w:div>
    <w:div w:id="1855148353">
      <w:bodyDiv w:val="1"/>
      <w:marLeft w:val="0"/>
      <w:marRight w:val="0"/>
      <w:marTop w:val="0"/>
      <w:marBottom w:val="0"/>
      <w:divBdr>
        <w:top w:val="none" w:sz="0" w:space="0" w:color="auto"/>
        <w:left w:val="none" w:sz="0" w:space="0" w:color="auto"/>
        <w:bottom w:val="none" w:sz="0" w:space="0" w:color="auto"/>
        <w:right w:val="none" w:sz="0" w:space="0" w:color="auto"/>
      </w:divBdr>
    </w:div>
    <w:div w:id="1855220884">
      <w:bodyDiv w:val="1"/>
      <w:marLeft w:val="0"/>
      <w:marRight w:val="0"/>
      <w:marTop w:val="0"/>
      <w:marBottom w:val="0"/>
      <w:divBdr>
        <w:top w:val="none" w:sz="0" w:space="0" w:color="auto"/>
        <w:left w:val="none" w:sz="0" w:space="0" w:color="auto"/>
        <w:bottom w:val="none" w:sz="0" w:space="0" w:color="auto"/>
        <w:right w:val="none" w:sz="0" w:space="0" w:color="auto"/>
      </w:divBdr>
    </w:div>
    <w:div w:id="1855457925">
      <w:bodyDiv w:val="1"/>
      <w:marLeft w:val="0"/>
      <w:marRight w:val="0"/>
      <w:marTop w:val="0"/>
      <w:marBottom w:val="0"/>
      <w:divBdr>
        <w:top w:val="none" w:sz="0" w:space="0" w:color="auto"/>
        <w:left w:val="none" w:sz="0" w:space="0" w:color="auto"/>
        <w:bottom w:val="none" w:sz="0" w:space="0" w:color="auto"/>
        <w:right w:val="none" w:sz="0" w:space="0" w:color="auto"/>
      </w:divBdr>
    </w:div>
    <w:div w:id="1855458236">
      <w:bodyDiv w:val="1"/>
      <w:marLeft w:val="0"/>
      <w:marRight w:val="0"/>
      <w:marTop w:val="0"/>
      <w:marBottom w:val="0"/>
      <w:divBdr>
        <w:top w:val="none" w:sz="0" w:space="0" w:color="auto"/>
        <w:left w:val="none" w:sz="0" w:space="0" w:color="auto"/>
        <w:bottom w:val="none" w:sz="0" w:space="0" w:color="auto"/>
        <w:right w:val="none" w:sz="0" w:space="0" w:color="auto"/>
      </w:divBdr>
    </w:div>
    <w:div w:id="1855536243">
      <w:bodyDiv w:val="1"/>
      <w:marLeft w:val="0"/>
      <w:marRight w:val="0"/>
      <w:marTop w:val="0"/>
      <w:marBottom w:val="0"/>
      <w:divBdr>
        <w:top w:val="none" w:sz="0" w:space="0" w:color="auto"/>
        <w:left w:val="none" w:sz="0" w:space="0" w:color="auto"/>
        <w:bottom w:val="none" w:sz="0" w:space="0" w:color="auto"/>
        <w:right w:val="none" w:sz="0" w:space="0" w:color="auto"/>
      </w:divBdr>
    </w:div>
    <w:div w:id="1855728417">
      <w:bodyDiv w:val="1"/>
      <w:marLeft w:val="0"/>
      <w:marRight w:val="0"/>
      <w:marTop w:val="0"/>
      <w:marBottom w:val="0"/>
      <w:divBdr>
        <w:top w:val="none" w:sz="0" w:space="0" w:color="auto"/>
        <w:left w:val="none" w:sz="0" w:space="0" w:color="auto"/>
        <w:bottom w:val="none" w:sz="0" w:space="0" w:color="auto"/>
        <w:right w:val="none" w:sz="0" w:space="0" w:color="auto"/>
      </w:divBdr>
    </w:div>
    <w:div w:id="1855803773">
      <w:bodyDiv w:val="1"/>
      <w:marLeft w:val="0"/>
      <w:marRight w:val="0"/>
      <w:marTop w:val="0"/>
      <w:marBottom w:val="0"/>
      <w:divBdr>
        <w:top w:val="none" w:sz="0" w:space="0" w:color="auto"/>
        <w:left w:val="none" w:sz="0" w:space="0" w:color="auto"/>
        <w:bottom w:val="none" w:sz="0" w:space="0" w:color="auto"/>
        <w:right w:val="none" w:sz="0" w:space="0" w:color="auto"/>
      </w:divBdr>
    </w:div>
    <w:div w:id="1855849707">
      <w:bodyDiv w:val="1"/>
      <w:marLeft w:val="0"/>
      <w:marRight w:val="0"/>
      <w:marTop w:val="0"/>
      <w:marBottom w:val="0"/>
      <w:divBdr>
        <w:top w:val="none" w:sz="0" w:space="0" w:color="auto"/>
        <w:left w:val="none" w:sz="0" w:space="0" w:color="auto"/>
        <w:bottom w:val="none" w:sz="0" w:space="0" w:color="auto"/>
        <w:right w:val="none" w:sz="0" w:space="0" w:color="auto"/>
      </w:divBdr>
    </w:div>
    <w:div w:id="1855873302">
      <w:bodyDiv w:val="1"/>
      <w:marLeft w:val="0"/>
      <w:marRight w:val="0"/>
      <w:marTop w:val="0"/>
      <w:marBottom w:val="0"/>
      <w:divBdr>
        <w:top w:val="none" w:sz="0" w:space="0" w:color="auto"/>
        <w:left w:val="none" w:sz="0" w:space="0" w:color="auto"/>
        <w:bottom w:val="none" w:sz="0" w:space="0" w:color="auto"/>
        <w:right w:val="none" w:sz="0" w:space="0" w:color="auto"/>
      </w:divBdr>
    </w:div>
    <w:div w:id="1856113191">
      <w:bodyDiv w:val="1"/>
      <w:marLeft w:val="0"/>
      <w:marRight w:val="0"/>
      <w:marTop w:val="0"/>
      <w:marBottom w:val="0"/>
      <w:divBdr>
        <w:top w:val="none" w:sz="0" w:space="0" w:color="auto"/>
        <w:left w:val="none" w:sz="0" w:space="0" w:color="auto"/>
        <w:bottom w:val="none" w:sz="0" w:space="0" w:color="auto"/>
        <w:right w:val="none" w:sz="0" w:space="0" w:color="auto"/>
      </w:divBdr>
    </w:div>
    <w:div w:id="1856142049">
      <w:bodyDiv w:val="1"/>
      <w:marLeft w:val="0"/>
      <w:marRight w:val="0"/>
      <w:marTop w:val="0"/>
      <w:marBottom w:val="0"/>
      <w:divBdr>
        <w:top w:val="none" w:sz="0" w:space="0" w:color="auto"/>
        <w:left w:val="none" w:sz="0" w:space="0" w:color="auto"/>
        <w:bottom w:val="none" w:sz="0" w:space="0" w:color="auto"/>
        <w:right w:val="none" w:sz="0" w:space="0" w:color="auto"/>
      </w:divBdr>
    </w:div>
    <w:div w:id="1856142077">
      <w:bodyDiv w:val="1"/>
      <w:marLeft w:val="0"/>
      <w:marRight w:val="0"/>
      <w:marTop w:val="0"/>
      <w:marBottom w:val="0"/>
      <w:divBdr>
        <w:top w:val="none" w:sz="0" w:space="0" w:color="auto"/>
        <w:left w:val="none" w:sz="0" w:space="0" w:color="auto"/>
        <w:bottom w:val="none" w:sz="0" w:space="0" w:color="auto"/>
        <w:right w:val="none" w:sz="0" w:space="0" w:color="auto"/>
      </w:divBdr>
    </w:div>
    <w:div w:id="1856262281">
      <w:bodyDiv w:val="1"/>
      <w:marLeft w:val="0"/>
      <w:marRight w:val="0"/>
      <w:marTop w:val="0"/>
      <w:marBottom w:val="0"/>
      <w:divBdr>
        <w:top w:val="none" w:sz="0" w:space="0" w:color="auto"/>
        <w:left w:val="none" w:sz="0" w:space="0" w:color="auto"/>
        <w:bottom w:val="none" w:sz="0" w:space="0" w:color="auto"/>
        <w:right w:val="none" w:sz="0" w:space="0" w:color="auto"/>
      </w:divBdr>
    </w:div>
    <w:div w:id="1856307785">
      <w:bodyDiv w:val="1"/>
      <w:marLeft w:val="0"/>
      <w:marRight w:val="0"/>
      <w:marTop w:val="0"/>
      <w:marBottom w:val="0"/>
      <w:divBdr>
        <w:top w:val="none" w:sz="0" w:space="0" w:color="auto"/>
        <w:left w:val="none" w:sz="0" w:space="0" w:color="auto"/>
        <w:bottom w:val="none" w:sz="0" w:space="0" w:color="auto"/>
        <w:right w:val="none" w:sz="0" w:space="0" w:color="auto"/>
      </w:divBdr>
    </w:div>
    <w:div w:id="1856308150">
      <w:bodyDiv w:val="1"/>
      <w:marLeft w:val="0"/>
      <w:marRight w:val="0"/>
      <w:marTop w:val="0"/>
      <w:marBottom w:val="0"/>
      <w:divBdr>
        <w:top w:val="none" w:sz="0" w:space="0" w:color="auto"/>
        <w:left w:val="none" w:sz="0" w:space="0" w:color="auto"/>
        <w:bottom w:val="none" w:sz="0" w:space="0" w:color="auto"/>
        <w:right w:val="none" w:sz="0" w:space="0" w:color="auto"/>
      </w:divBdr>
    </w:div>
    <w:div w:id="1856462037">
      <w:bodyDiv w:val="1"/>
      <w:marLeft w:val="0"/>
      <w:marRight w:val="0"/>
      <w:marTop w:val="0"/>
      <w:marBottom w:val="0"/>
      <w:divBdr>
        <w:top w:val="none" w:sz="0" w:space="0" w:color="auto"/>
        <w:left w:val="none" w:sz="0" w:space="0" w:color="auto"/>
        <w:bottom w:val="none" w:sz="0" w:space="0" w:color="auto"/>
        <w:right w:val="none" w:sz="0" w:space="0" w:color="auto"/>
      </w:divBdr>
    </w:div>
    <w:div w:id="1856532722">
      <w:bodyDiv w:val="1"/>
      <w:marLeft w:val="0"/>
      <w:marRight w:val="0"/>
      <w:marTop w:val="0"/>
      <w:marBottom w:val="0"/>
      <w:divBdr>
        <w:top w:val="none" w:sz="0" w:space="0" w:color="auto"/>
        <w:left w:val="none" w:sz="0" w:space="0" w:color="auto"/>
        <w:bottom w:val="none" w:sz="0" w:space="0" w:color="auto"/>
        <w:right w:val="none" w:sz="0" w:space="0" w:color="auto"/>
      </w:divBdr>
    </w:div>
    <w:div w:id="1856534733">
      <w:bodyDiv w:val="1"/>
      <w:marLeft w:val="0"/>
      <w:marRight w:val="0"/>
      <w:marTop w:val="0"/>
      <w:marBottom w:val="0"/>
      <w:divBdr>
        <w:top w:val="none" w:sz="0" w:space="0" w:color="auto"/>
        <w:left w:val="none" w:sz="0" w:space="0" w:color="auto"/>
        <w:bottom w:val="none" w:sz="0" w:space="0" w:color="auto"/>
        <w:right w:val="none" w:sz="0" w:space="0" w:color="auto"/>
      </w:divBdr>
    </w:div>
    <w:div w:id="1856647441">
      <w:bodyDiv w:val="1"/>
      <w:marLeft w:val="0"/>
      <w:marRight w:val="0"/>
      <w:marTop w:val="0"/>
      <w:marBottom w:val="0"/>
      <w:divBdr>
        <w:top w:val="none" w:sz="0" w:space="0" w:color="auto"/>
        <w:left w:val="none" w:sz="0" w:space="0" w:color="auto"/>
        <w:bottom w:val="none" w:sz="0" w:space="0" w:color="auto"/>
        <w:right w:val="none" w:sz="0" w:space="0" w:color="auto"/>
      </w:divBdr>
    </w:div>
    <w:div w:id="1856920457">
      <w:bodyDiv w:val="1"/>
      <w:marLeft w:val="0"/>
      <w:marRight w:val="0"/>
      <w:marTop w:val="0"/>
      <w:marBottom w:val="0"/>
      <w:divBdr>
        <w:top w:val="none" w:sz="0" w:space="0" w:color="auto"/>
        <w:left w:val="none" w:sz="0" w:space="0" w:color="auto"/>
        <w:bottom w:val="none" w:sz="0" w:space="0" w:color="auto"/>
        <w:right w:val="none" w:sz="0" w:space="0" w:color="auto"/>
      </w:divBdr>
    </w:div>
    <w:div w:id="1856965367">
      <w:bodyDiv w:val="1"/>
      <w:marLeft w:val="0"/>
      <w:marRight w:val="0"/>
      <w:marTop w:val="0"/>
      <w:marBottom w:val="0"/>
      <w:divBdr>
        <w:top w:val="none" w:sz="0" w:space="0" w:color="auto"/>
        <w:left w:val="none" w:sz="0" w:space="0" w:color="auto"/>
        <w:bottom w:val="none" w:sz="0" w:space="0" w:color="auto"/>
        <w:right w:val="none" w:sz="0" w:space="0" w:color="auto"/>
      </w:divBdr>
    </w:div>
    <w:div w:id="1857110849">
      <w:bodyDiv w:val="1"/>
      <w:marLeft w:val="0"/>
      <w:marRight w:val="0"/>
      <w:marTop w:val="0"/>
      <w:marBottom w:val="0"/>
      <w:divBdr>
        <w:top w:val="none" w:sz="0" w:space="0" w:color="auto"/>
        <w:left w:val="none" w:sz="0" w:space="0" w:color="auto"/>
        <w:bottom w:val="none" w:sz="0" w:space="0" w:color="auto"/>
        <w:right w:val="none" w:sz="0" w:space="0" w:color="auto"/>
      </w:divBdr>
    </w:div>
    <w:div w:id="1857385830">
      <w:bodyDiv w:val="1"/>
      <w:marLeft w:val="0"/>
      <w:marRight w:val="0"/>
      <w:marTop w:val="0"/>
      <w:marBottom w:val="0"/>
      <w:divBdr>
        <w:top w:val="none" w:sz="0" w:space="0" w:color="auto"/>
        <w:left w:val="none" w:sz="0" w:space="0" w:color="auto"/>
        <w:bottom w:val="none" w:sz="0" w:space="0" w:color="auto"/>
        <w:right w:val="none" w:sz="0" w:space="0" w:color="auto"/>
      </w:divBdr>
    </w:div>
    <w:div w:id="1857385955">
      <w:bodyDiv w:val="1"/>
      <w:marLeft w:val="0"/>
      <w:marRight w:val="0"/>
      <w:marTop w:val="0"/>
      <w:marBottom w:val="0"/>
      <w:divBdr>
        <w:top w:val="none" w:sz="0" w:space="0" w:color="auto"/>
        <w:left w:val="none" w:sz="0" w:space="0" w:color="auto"/>
        <w:bottom w:val="none" w:sz="0" w:space="0" w:color="auto"/>
        <w:right w:val="none" w:sz="0" w:space="0" w:color="auto"/>
      </w:divBdr>
    </w:div>
    <w:div w:id="1857496298">
      <w:bodyDiv w:val="1"/>
      <w:marLeft w:val="0"/>
      <w:marRight w:val="0"/>
      <w:marTop w:val="0"/>
      <w:marBottom w:val="0"/>
      <w:divBdr>
        <w:top w:val="none" w:sz="0" w:space="0" w:color="auto"/>
        <w:left w:val="none" w:sz="0" w:space="0" w:color="auto"/>
        <w:bottom w:val="none" w:sz="0" w:space="0" w:color="auto"/>
        <w:right w:val="none" w:sz="0" w:space="0" w:color="auto"/>
      </w:divBdr>
    </w:div>
    <w:div w:id="1857573376">
      <w:bodyDiv w:val="1"/>
      <w:marLeft w:val="0"/>
      <w:marRight w:val="0"/>
      <w:marTop w:val="0"/>
      <w:marBottom w:val="0"/>
      <w:divBdr>
        <w:top w:val="none" w:sz="0" w:space="0" w:color="auto"/>
        <w:left w:val="none" w:sz="0" w:space="0" w:color="auto"/>
        <w:bottom w:val="none" w:sz="0" w:space="0" w:color="auto"/>
        <w:right w:val="none" w:sz="0" w:space="0" w:color="auto"/>
      </w:divBdr>
    </w:div>
    <w:div w:id="1857648951">
      <w:bodyDiv w:val="1"/>
      <w:marLeft w:val="0"/>
      <w:marRight w:val="0"/>
      <w:marTop w:val="0"/>
      <w:marBottom w:val="0"/>
      <w:divBdr>
        <w:top w:val="none" w:sz="0" w:space="0" w:color="auto"/>
        <w:left w:val="none" w:sz="0" w:space="0" w:color="auto"/>
        <w:bottom w:val="none" w:sz="0" w:space="0" w:color="auto"/>
        <w:right w:val="none" w:sz="0" w:space="0" w:color="auto"/>
      </w:divBdr>
    </w:div>
    <w:div w:id="1857689513">
      <w:bodyDiv w:val="1"/>
      <w:marLeft w:val="0"/>
      <w:marRight w:val="0"/>
      <w:marTop w:val="0"/>
      <w:marBottom w:val="0"/>
      <w:divBdr>
        <w:top w:val="none" w:sz="0" w:space="0" w:color="auto"/>
        <w:left w:val="none" w:sz="0" w:space="0" w:color="auto"/>
        <w:bottom w:val="none" w:sz="0" w:space="0" w:color="auto"/>
        <w:right w:val="none" w:sz="0" w:space="0" w:color="auto"/>
      </w:divBdr>
    </w:div>
    <w:div w:id="1857695806">
      <w:bodyDiv w:val="1"/>
      <w:marLeft w:val="0"/>
      <w:marRight w:val="0"/>
      <w:marTop w:val="0"/>
      <w:marBottom w:val="0"/>
      <w:divBdr>
        <w:top w:val="none" w:sz="0" w:space="0" w:color="auto"/>
        <w:left w:val="none" w:sz="0" w:space="0" w:color="auto"/>
        <w:bottom w:val="none" w:sz="0" w:space="0" w:color="auto"/>
        <w:right w:val="none" w:sz="0" w:space="0" w:color="auto"/>
      </w:divBdr>
    </w:div>
    <w:div w:id="1857843792">
      <w:bodyDiv w:val="1"/>
      <w:marLeft w:val="0"/>
      <w:marRight w:val="0"/>
      <w:marTop w:val="0"/>
      <w:marBottom w:val="0"/>
      <w:divBdr>
        <w:top w:val="none" w:sz="0" w:space="0" w:color="auto"/>
        <w:left w:val="none" w:sz="0" w:space="0" w:color="auto"/>
        <w:bottom w:val="none" w:sz="0" w:space="0" w:color="auto"/>
        <w:right w:val="none" w:sz="0" w:space="0" w:color="auto"/>
      </w:divBdr>
    </w:div>
    <w:div w:id="1857884148">
      <w:bodyDiv w:val="1"/>
      <w:marLeft w:val="0"/>
      <w:marRight w:val="0"/>
      <w:marTop w:val="0"/>
      <w:marBottom w:val="0"/>
      <w:divBdr>
        <w:top w:val="none" w:sz="0" w:space="0" w:color="auto"/>
        <w:left w:val="none" w:sz="0" w:space="0" w:color="auto"/>
        <w:bottom w:val="none" w:sz="0" w:space="0" w:color="auto"/>
        <w:right w:val="none" w:sz="0" w:space="0" w:color="auto"/>
      </w:divBdr>
    </w:div>
    <w:div w:id="1858040235">
      <w:bodyDiv w:val="1"/>
      <w:marLeft w:val="0"/>
      <w:marRight w:val="0"/>
      <w:marTop w:val="0"/>
      <w:marBottom w:val="0"/>
      <w:divBdr>
        <w:top w:val="none" w:sz="0" w:space="0" w:color="auto"/>
        <w:left w:val="none" w:sz="0" w:space="0" w:color="auto"/>
        <w:bottom w:val="none" w:sz="0" w:space="0" w:color="auto"/>
        <w:right w:val="none" w:sz="0" w:space="0" w:color="auto"/>
      </w:divBdr>
    </w:div>
    <w:div w:id="1858226996">
      <w:bodyDiv w:val="1"/>
      <w:marLeft w:val="0"/>
      <w:marRight w:val="0"/>
      <w:marTop w:val="0"/>
      <w:marBottom w:val="0"/>
      <w:divBdr>
        <w:top w:val="none" w:sz="0" w:space="0" w:color="auto"/>
        <w:left w:val="none" w:sz="0" w:space="0" w:color="auto"/>
        <w:bottom w:val="none" w:sz="0" w:space="0" w:color="auto"/>
        <w:right w:val="none" w:sz="0" w:space="0" w:color="auto"/>
      </w:divBdr>
    </w:div>
    <w:div w:id="1858351286">
      <w:bodyDiv w:val="1"/>
      <w:marLeft w:val="0"/>
      <w:marRight w:val="0"/>
      <w:marTop w:val="0"/>
      <w:marBottom w:val="0"/>
      <w:divBdr>
        <w:top w:val="none" w:sz="0" w:space="0" w:color="auto"/>
        <w:left w:val="none" w:sz="0" w:space="0" w:color="auto"/>
        <w:bottom w:val="none" w:sz="0" w:space="0" w:color="auto"/>
        <w:right w:val="none" w:sz="0" w:space="0" w:color="auto"/>
      </w:divBdr>
    </w:div>
    <w:div w:id="1858498148">
      <w:bodyDiv w:val="1"/>
      <w:marLeft w:val="0"/>
      <w:marRight w:val="0"/>
      <w:marTop w:val="0"/>
      <w:marBottom w:val="0"/>
      <w:divBdr>
        <w:top w:val="none" w:sz="0" w:space="0" w:color="auto"/>
        <w:left w:val="none" w:sz="0" w:space="0" w:color="auto"/>
        <w:bottom w:val="none" w:sz="0" w:space="0" w:color="auto"/>
        <w:right w:val="none" w:sz="0" w:space="0" w:color="auto"/>
      </w:divBdr>
    </w:div>
    <w:div w:id="1858538073">
      <w:bodyDiv w:val="1"/>
      <w:marLeft w:val="0"/>
      <w:marRight w:val="0"/>
      <w:marTop w:val="0"/>
      <w:marBottom w:val="0"/>
      <w:divBdr>
        <w:top w:val="none" w:sz="0" w:space="0" w:color="auto"/>
        <w:left w:val="none" w:sz="0" w:space="0" w:color="auto"/>
        <w:bottom w:val="none" w:sz="0" w:space="0" w:color="auto"/>
        <w:right w:val="none" w:sz="0" w:space="0" w:color="auto"/>
      </w:divBdr>
    </w:div>
    <w:div w:id="1858806568">
      <w:bodyDiv w:val="1"/>
      <w:marLeft w:val="0"/>
      <w:marRight w:val="0"/>
      <w:marTop w:val="0"/>
      <w:marBottom w:val="0"/>
      <w:divBdr>
        <w:top w:val="none" w:sz="0" w:space="0" w:color="auto"/>
        <w:left w:val="none" w:sz="0" w:space="0" w:color="auto"/>
        <w:bottom w:val="none" w:sz="0" w:space="0" w:color="auto"/>
        <w:right w:val="none" w:sz="0" w:space="0" w:color="auto"/>
      </w:divBdr>
    </w:div>
    <w:div w:id="1858814852">
      <w:bodyDiv w:val="1"/>
      <w:marLeft w:val="0"/>
      <w:marRight w:val="0"/>
      <w:marTop w:val="0"/>
      <w:marBottom w:val="0"/>
      <w:divBdr>
        <w:top w:val="none" w:sz="0" w:space="0" w:color="auto"/>
        <w:left w:val="none" w:sz="0" w:space="0" w:color="auto"/>
        <w:bottom w:val="none" w:sz="0" w:space="0" w:color="auto"/>
        <w:right w:val="none" w:sz="0" w:space="0" w:color="auto"/>
      </w:divBdr>
    </w:div>
    <w:div w:id="1858882900">
      <w:bodyDiv w:val="1"/>
      <w:marLeft w:val="0"/>
      <w:marRight w:val="0"/>
      <w:marTop w:val="0"/>
      <w:marBottom w:val="0"/>
      <w:divBdr>
        <w:top w:val="none" w:sz="0" w:space="0" w:color="auto"/>
        <w:left w:val="none" w:sz="0" w:space="0" w:color="auto"/>
        <w:bottom w:val="none" w:sz="0" w:space="0" w:color="auto"/>
        <w:right w:val="none" w:sz="0" w:space="0" w:color="auto"/>
      </w:divBdr>
    </w:div>
    <w:div w:id="1858961243">
      <w:bodyDiv w:val="1"/>
      <w:marLeft w:val="0"/>
      <w:marRight w:val="0"/>
      <w:marTop w:val="0"/>
      <w:marBottom w:val="0"/>
      <w:divBdr>
        <w:top w:val="none" w:sz="0" w:space="0" w:color="auto"/>
        <w:left w:val="none" w:sz="0" w:space="0" w:color="auto"/>
        <w:bottom w:val="none" w:sz="0" w:space="0" w:color="auto"/>
        <w:right w:val="none" w:sz="0" w:space="0" w:color="auto"/>
      </w:divBdr>
    </w:div>
    <w:div w:id="1859196201">
      <w:bodyDiv w:val="1"/>
      <w:marLeft w:val="0"/>
      <w:marRight w:val="0"/>
      <w:marTop w:val="0"/>
      <w:marBottom w:val="0"/>
      <w:divBdr>
        <w:top w:val="none" w:sz="0" w:space="0" w:color="auto"/>
        <w:left w:val="none" w:sz="0" w:space="0" w:color="auto"/>
        <w:bottom w:val="none" w:sz="0" w:space="0" w:color="auto"/>
        <w:right w:val="none" w:sz="0" w:space="0" w:color="auto"/>
      </w:divBdr>
    </w:div>
    <w:div w:id="1859272319">
      <w:bodyDiv w:val="1"/>
      <w:marLeft w:val="0"/>
      <w:marRight w:val="0"/>
      <w:marTop w:val="0"/>
      <w:marBottom w:val="0"/>
      <w:divBdr>
        <w:top w:val="none" w:sz="0" w:space="0" w:color="auto"/>
        <w:left w:val="none" w:sz="0" w:space="0" w:color="auto"/>
        <w:bottom w:val="none" w:sz="0" w:space="0" w:color="auto"/>
        <w:right w:val="none" w:sz="0" w:space="0" w:color="auto"/>
      </w:divBdr>
    </w:div>
    <w:div w:id="1859391138">
      <w:bodyDiv w:val="1"/>
      <w:marLeft w:val="0"/>
      <w:marRight w:val="0"/>
      <w:marTop w:val="0"/>
      <w:marBottom w:val="0"/>
      <w:divBdr>
        <w:top w:val="none" w:sz="0" w:space="0" w:color="auto"/>
        <w:left w:val="none" w:sz="0" w:space="0" w:color="auto"/>
        <w:bottom w:val="none" w:sz="0" w:space="0" w:color="auto"/>
        <w:right w:val="none" w:sz="0" w:space="0" w:color="auto"/>
      </w:divBdr>
    </w:div>
    <w:div w:id="1859542601">
      <w:bodyDiv w:val="1"/>
      <w:marLeft w:val="0"/>
      <w:marRight w:val="0"/>
      <w:marTop w:val="0"/>
      <w:marBottom w:val="0"/>
      <w:divBdr>
        <w:top w:val="none" w:sz="0" w:space="0" w:color="auto"/>
        <w:left w:val="none" w:sz="0" w:space="0" w:color="auto"/>
        <w:bottom w:val="none" w:sz="0" w:space="0" w:color="auto"/>
        <w:right w:val="none" w:sz="0" w:space="0" w:color="auto"/>
      </w:divBdr>
    </w:div>
    <w:div w:id="1859611720">
      <w:bodyDiv w:val="1"/>
      <w:marLeft w:val="0"/>
      <w:marRight w:val="0"/>
      <w:marTop w:val="0"/>
      <w:marBottom w:val="0"/>
      <w:divBdr>
        <w:top w:val="none" w:sz="0" w:space="0" w:color="auto"/>
        <w:left w:val="none" w:sz="0" w:space="0" w:color="auto"/>
        <w:bottom w:val="none" w:sz="0" w:space="0" w:color="auto"/>
        <w:right w:val="none" w:sz="0" w:space="0" w:color="auto"/>
      </w:divBdr>
    </w:div>
    <w:div w:id="1859654800">
      <w:bodyDiv w:val="1"/>
      <w:marLeft w:val="0"/>
      <w:marRight w:val="0"/>
      <w:marTop w:val="0"/>
      <w:marBottom w:val="0"/>
      <w:divBdr>
        <w:top w:val="none" w:sz="0" w:space="0" w:color="auto"/>
        <w:left w:val="none" w:sz="0" w:space="0" w:color="auto"/>
        <w:bottom w:val="none" w:sz="0" w:space="0" w:color="auto"/>
        <w:right w:val="none" w:sz="0" w:space="0" w:color="auto"/>
      </w:divBdr>
    </w:div>
    <w:div w:id="1859657291">
      <w:bodyDiv w:val="1"/>
      <w:marLeft w:val="0"/>
      <w:marRight w:val="0"/>
      <w:marTop w:val="0"/>
      <w:marBottom w:val="0"/>
      <w:divBdr>
        <w:top w:val="none" w:sz="0" w:space="0" w:color="auto"/>
        <w:left w:val="none" w:sz="0" w:space="0" w:color="auto"/>
        <w:bottom w:val="none" w:sz="0" w:space="0" w:color="auto"/>
        <w:right w:val="none" w:sz="0" w:space="0" w:color="auto"/>
      </w:divBdr>
    </w:div>
    <w:div w:id="1859813295">
      <w:bodyDiv w:val="1"/>
      <w:marLeft w:val="0"/>
      <w:marRight w:val="0"/>
      <w:marTop w:val="0"/>
      <w:marBottom w:val="0"/>
      <w:divBdr>
        <w:top w:val="none" w:sz="0" w:space="0" w:color="auto"/>
        <w:left w:val="none" w:sz="0" w:space="0" w:color="auto"/>
        <w:bottom w:val="none" w:sz="0" w:space="0" w:color="auto"/>
        <w:right w:val="none" w:sz="0" w:space="0" w:color="auto"/>
      </w:divBdr>
    </w:div>
    <w:div w:id="1859851022">
      <w:bodyDiv w:val="1"/>
      <w:marLeft w:val="0"/>
      <w:marRight w:val="0"/>
      <w:marTop w:val="0"/>
      <w:marBottom w:val="0"/>
      <w:divBdr>
        <w:top w:val="none" w:sz="0" w:space="0" w:color="auto"/>
        <w:left w:val="none" w:sz="0" w:space="0" w:color="auto"/>
        <w:bottom w:val="none" w:sz="0" w:space="0" w:color="auto"/>
        <w:right w:val="none" w:sz="0" w:space="0" w:color="auto"/>
      </w:divBdr>
    </w:div>
    <w:div w:id="1860001658">
      <w:bodyDiv w:val="1"/>
      <w:marLeft w:val="0"/>
      <w:marRight w:val="0"/>
      <w:marTop w:val="0"/>
      <w:marBottom w:val="0"/>
      <w:divBdr>
        <w:top w:val="none" w:sz="0" w:space="0" w:color="auto"/>
        <w:left w:val="none" w:sz="0" w:space="0" w:color="auto"/>
        <w:bottom w:val="none" w:sz="0" w:space="0" w:color="auto"/>
        <w:right w:val="none" w:sz="0" w:space="0" w:color="auto"/>
      </w:divBdr>
    </w:div>
    <w:div w:id="1860046402">
      <w:bodyDiv w:val="1"/>
      <w:marLeft w:val="0"/>
      <w:marRight w:val="0"/>
      <w:marTop w:val="0"/>
      <w:marBottom w:val="0"/>
      <w:divBdr>
        <w:top w:val="none" w:sz="0" w:space="0" w:color="auto"/>
        <w:left w:val="none" w:sz="0" w:space="0" w:color="auto"/>
        <w:bottom w:val="none" w:sz="0" w:space="0" w:color="auto"/>
        <w:right w:val="none" w:sz="0" w:space="0" w:color="auto"/>
      </w:divBdr>
    </w:div>
    <w:div w:id="1860123311">
      <w:bodyDiv w:val="1"/>
      <w:marLeft w:val="0"/>
      <w:marRight w:val="0"/>
      <w:marTop w:val="0"/>
      <w:marBottom w:val="0"/>
      <w:divBdr>
        <w:top w:val="none" w:sz="0" w:space="0" w:color="auto"/>
        <w:left w:val="none" w:sz="0" w:space="0" w:color="auto"/>
        <w:bottom w:val="none" w:sz="0" w:space="0" w:color="auto"/>
        <w:right w:val="none" w:sz="0" w:space="0" w:color="auto"/>
      </w:divBdr>
    </w:div>
    <w:div w:id="1860124770">
      <w:bodyDiv w:val="1"/>
      <w:marLeft w:val="0"/>
      <w:marRight w:val="0"/>
      <w:marTop w:val="0"/>
      <w:marBottom w:val="0"/>
      <w:divBdr>
        <w:top w:val="none" w:sz="0" w:space="0" w:color="auto"/>
        <w:left w:val="none" w:sz="0" w:space="0" w:color="auto"/>
        <w:bottom w:val="none" w:sz="0" w:space="0" w:color="auto"/>
        <w:right w:val="none" w:sz="0" w:space="0" w:color="auto"/>
      </w:divBdr>
    </w:div>
    <w:div w:id="1860269471">
      <w:bodyDiv w:val="1"/>
      <w:marLeft w:val="0"/>
      <w:marRight w:val="0"/>
      <w:marTop w:val="0"/>
      <w:marBottom w:val="0"/>
      <w:divBdr>
        <w:top w:val="none" w:sz="0" w:space="0" w:color="auto"/>
        <w:left w:val="none" w:sz="0" w:space="0" w:color="auto"/>
        <w:bottom w:val="none" w:sz="0" w:space="0" w:color="auto"/>
        <w:right w:val="none" w:sz="0" w:space="0" w:color="auto"/>
      </w:divBdr>
    </w:div>
    <w:div w:id="1860315949">
      <w:bodyDiv w:val="1"/>
      <w:marLeft w:val="0"/>
      <w:marRight w:val="0"/>
      <w:marTop w:val="0"/>
      <w:marBottom w:val="0"/>
      <w:divBdr>
        <w:top w:val="none" w:sz="0" w:space="0" w:color="auto"/>
        <w:left w:val="none" w:sz="0" w:space="0" w:color="auto"/>
        <w:bottom w:val="none" w:sz="0" w:space="0" w:color="auto"/>
        <w:right w:val="none" w:sz="0" w:space="0" w:color="auto"/>
      </w:divBdr>
    </w:div>
    <w:div w:id="1860509334">
      <w:bodyDiv w:val="1"/>
      <w:marLeft w:val="0"/>
      <w:marRight w:val="0"/>
      <w:marTop w:val="0"/>
      <w:marBottom w:val="0"/>
      <w:divBdr>
        <w:top w:val="none" w:sz="0" w:space="0" w:color="auto"/>
        <w:left w:val="none" w:sz="0" w:space="0" w:color="auto"/>
        <w:bottom w:val="none" w:sz="0" w:space="0" w:color="auto"/>
        <w:right w:val="none" w:sz="0" w:space="0" w:color="auto"/>
      </w:divBdr>
    </w:div>
    <w:div w:id="1860510394">
      <w:bodyDiv w:val="1"/>
      <w:marLeft w:val="0"/>
      <w:marRight w:val="0"/>
      <w:marTop w:val="0"/>
      <w:marBottom w:val="0"/>
      <w:divBdr>
        <w:top w:val="none" w:sz="0" w:space="0" w:color="auto"/>
        <w:left w:val="none" w:sz="0" w:space="0" w:color="auto"/>
        <w:bottom w:val="none" w:sz="0" w:space="0" w:color="auto"/>
        <w:right w:val="none" w:sz="0" w:space="0" w:color="auto"/>
      </w:divBdr>
    </w:div>
    <w:div w:id="1860585264">
      <w:bodyDiv w:val="1"/>
      <w:marLeft w:val="0"/>
      <w:marRight w:val="0"/>
      <w:marTop w:val="0"/>
      <w:marBottom w:val="0"/>
      <w:divBdr>
        <w:top w:val="none" w:sz="0" w:space="0" w:color="auto"/>
        <w:left w:val="none" w:sz="0" w:space="0" w:color="auto"/>
        <w:bottom w:val="none" w:sz="0" w:space="0" w:color="auto"/>
        <w:right w:val="none" w:sz="0" w:space="0" w:color="auto"/>
      </w:divBdr>
    </w:div>
    <w:div w:id="1860698244">
      <w:bodyDiv w:val="1"/>
      <w:marLeft w:val="0"/>
      <w:marRight w:val="0"/>
      <w:marTop w:val="0"/>
      <w:marBottom w:val="0"/>
      <w:divBdr>
        <w:top w:val="none" w:sz="0" w:space="0" w:color="auto"/>
        <w:left w:val="none" w:sz="0" w:space="0" w:color="auto"/>
        <w:bottom w:val="none" w:sz="0" w:space="0" w:color="auto"/>
        <w:right w:val="none" w:sz="0" w:space="0" w:color="auto"/>
      </w:divBdr>
    </w:div>
    <w:div w:id="1860704542">
      <w:bodyDiv w:val="1"/>
      <w:marLeft w:val="0"/>
      <w:marRight w:val="0"/>
      <w:marTop w:val="0"/>
      <w:marBottom w:val="0"/>
      <w:divBdr>
        <w:top w:val="none" w:sz="0" w:space="0" w:color="auto"/>
        <w:left w:val="none" w:sz="0" w:space="0" w:color="auto"/>
        <w:bottom w:val="none" w:sz="0" w:space="0" w:color="auto"/>
        <w:right w:val="none" w:sz="0" w:space="0" w:color="auto"/>
      </w:divBdr>
    </w:div>
    <w:div w:id="1860773301">
      <w:bodyDiv w:val="1"/>
      <w:marLeft w:val="0"/>
      <w:marRight w:val="0"/>
      <w:marTop w:val="0"/>
      <w:marBottom w:val="0"/>
      <w:divBdr>
        <w:top w:val="none" w:sz="0" w:space="0" w:color="auto"/>
        <w:left w:val="none" w:sz="0" w:space="0" w:color="auto"/>
        <w:bottom w:val="none" w:sz="0" w:space="0" w:color="auto"/>
        <w:right w:val="none" w:sz="0" w:space="0" w:color="auto"/>
      </w:divBdr>
    </w:div>
    <w:div w:id="1860777333">
      <w:bodyDiv w:val="1"/>
      <w:marLeft w:val="0"/>
      <w:marRight w:val="0"/>
      <w:marTop w:val="0"/>
      <w:marBottom w:val="0"/>
      <w:divBdr>
        <w:top w:val="none" w:sz="0" w:space="0" w:color="auto"/>
        <w:left w:val="none" w:sz="0" w:space="0" w:color="auto"/>
        <w:bottom w:val="none" w:sz="0" w:space="0" w:color="auto"/>
        <w:right w:val="none" w:sz="0" w:space="0" w:color="auto"/>
      </w:divBdr>
    </w:div>
    <w:div w:id="1860778595">
      <w:bodyDiv w:val="1"/>
      <w:marLeft w:val="0"/>
      <w:marRight w:val="0"/>
      <w:marTop w:val="0"/>
      <w:marBottom w:val="0"/>
      <w:divBdr>
        <w:top w:val="none" w:sz="0" w:space="0" w:color="auto"/>
        <w:left w:val="none" w:sz="0" w:space="0" w:color="auto"/>
        <w:bottom w:val="none" w:sz="0" w:space="0" w:color="auto"/>
        <w:right w:val="none" w:sz="0" w:space="0" w:color="auto"/>
      </w:divBdr>
    </w:div>
    <w:div w:id="1860779351">
      <w:bodyDiv w:val="1"/>
      <w:marLeft w:val="0"/>
      <w:marRight w:val="0"/>
      <w:marTop w:val="0"/>
      <w:marBottom w:val="0"/>
      <w:divBdr>
        <w:top w:val="none" w:sz="0" w:space="0" w:color="auto"/>
        <w:left w:val="none" w:sz="0" w:space="0" w:color="auto"/>
        <w:bottom w:val="none" w:sz="0" w:space="0" w:color="auto"/>
        <w:right w:val="none" w:sz="0" w:space="0" w:color="auto"/>
      </w:divBdr>
    </w:div>
    <w:div w:id="1860925924">
      <w:bodyDiv w:val="1"/>
      <w:marLeft w:val="0"/>
      <w:marRight w:val="0"/>
      <w:marTop w:val="0"/>
      <w:marBottom w:val="0"/>
      <w:divBdr>
        <w:top w:val="none" w:sz="0" w:space="0" w:color="auto"/>
        <w:left w:val="none" w:sz="0" w:space="0" w:color="auto"/>
        <w:bottom w:val="none" w:sz="0" w:space="0" w:color="auto"/>
        <w:right w:val="none" w:sz="0" w:space="0" w:color="auto"/>
      </w:divBdr>
    </w:div>
    <w:div w:id="1860967346">
      <w:bodyDiv w:val="1"/>
      <w:marLeft w:val="0"/>
      <w:marRight w:val="0"/>
      <w:marTop w:val="0"/>
      <w:marBottom w:val="0"/>
      <w:divBdr>
        <w:top w:val="none" w:sz="0" w:space="0" w:color="auto"/>
        <w:left w:val="none" w:sz="0" w:space="0" w:color="auto"/>
        <w:bottom w:val="none" w:sz="0" w:space="0" w:color="auto"/>
        <w:right w:val="none" w:sz="0" w:space="0" w:color="auto"/>
      </w:divBdr>
    </w:div>
    <w:div w:id="1861238315">
      <w:bodyDiv w:val="1"/>
      <w:marLeft w:val="0"/>
      <w:marRight w:val="0"/>
      <w:marTop w:val="0"/>
      <w:marBottom w:val="0"/>
      <w:divBdr>
        <w:top w:val="none" w:sz="0" w:space="0" w:color="auto"/>
        <w:left w:val="none" w:sz="0" w:space="0" w:color="auto"/>
        <w:bottom w:val="none" w:sz="0" w:space="0" w:color="auto"/>
        <w:right w:val="none" w:sz="0" w:space="0" w:color="auto"/>
      </w:divBdr>
    </w:div>
    <w:div w:id="1861354797">
      <w:bodyDiv w:val="1"/>
      <w:marLeft w:val="0"/>
      <w:marRight w:val="0"/>
      <w:marTop w:val="0"/>
      <w:marBottom w:val="0"/>
      <w:divBdr>
        <w:top w:val="none" w:sz="0" w:space="0" w:color="auto"/>
        <w:left w:val="none" w:sz="0" w:space="0" w:color="auto"/>
        <w:bottom w:val="none" w:sz="0" w:space="0" w:color="auto"/>
        <w:right w:val="none" w:sz="0" w:space="0" w:color="auto"/>
      </w:divBdr>
    </w:div>
    <w:div w:id="1861577448">
      <w:bodyDiv w:val="1"/>
      <w:marLeft w:val="0"/>
      <w:marRight w:val="0"/>
      <w:marTop w:val="0"/>
      <w:marBottom w:val="0"/>
      <w:divBdr>
        <w:top w:val="none" w:sz="0" w:space="0" w:color="auto"/>
        <w:left w:val="none" w:sz="0" w:space="0" w:color="auto"/>
        <w:bottom w:val="none" w:sz="0" w:space="0" w:color="auto"/>
        <w:right w:val="none" w:sz="0" w:space="0" w:color="auto"/>
      </w:divBdr>
    </w:div>
    <w:div w:id="1861582260">
      <w:bodyDiv w:val="1"/>
      <w:marLeft w:val="0"/>
      <w:marRight w:val="0"/>
      <w:marTop w:val="0"/>
      <w:marBottom w:val="0"/>
      <w:divBdr>
        <w:top w:val="none" w:sz="0" w:space="0" w:color="auto"/>
        <w:left w:val="none" w:sz="0" w:space="0" w:color="auto"/>
        <w:bottom w:val="none" w:sz="0" w:space="0" w:color="auto"/>
        <w:right w:val="none" w:sz="0" w:space="0" w:color="auto"/>
      </w:divBdr>
    </w:div>
    <w:div w:id="1861620278">
      <w:bodyDiv w:val="1"/>
      <w:marLeft w:val="0"/>
      <w:marRight w:val="0"/>
      <w:marTop w:val="0"/>
      <w:marBottom w:val="0"/>
      <w:divBdr>
        <w:top w:val="none" w:sz="0" w:space="0" w:color="auto"/>
        <w:left w:val="none" w:sz="0" w:space="0" w:color="auto"/>
        <w:bottom w:val="none" w:sz="0" w:space="0" w:color="auto"/>
        <w:right w:val="none" w:sz="0" w:space="0" w:color="auto"/>
      </w:divBdr>
    </w:div>
    <w:div w:id="1861620617">
      <w:bodyDiv w:val="1"/>
      <w:marLeft w:val="0"/>
      <w:marRight w:val="0"/>
      <w:marTop w:val="0"/>
      <w:marBottom w:val="0"/>
      <w:divBdr>
        <w:top w:val="none" w:sz="0" w:space="0" w:color="auto"/>
        <w:left w:val="none" w:sz="0" w:space="0" w:color="auto"/>
        <w:bottom w:val="none" w:sz="0" w:space="0" w:color="auto"/>
        <w:right w:val="none" w:sz="0" w:space="0" w:color="auto"/>
      </w:divBdr>
    </w:div>
    <w:div w:id="1861623211">
      <w:bodyDiv w:val="1"/>
      <w:marLeft w:val="0"/>
      <w:marRight w:val="0"/>
      <w:marTop w:val="0"/>
      <w:marBottom w:val="0"/>
      <w:divBdr>
        <w:top w:val="none" w:sz="0" w:space="0" w:color="auto"/>
        <w:left w:val="none" w:sz="0" w:space="0" w:color="auto"/>
        <w:bottom w:val="none" w:sz="0" w:space="0" w:color="auto"/>
        <w:right w:val="none" w:sz="0" w:space="0" w:color="auto"/>
      </w:divBdr>
    </w:div>
    <w:div w:id="1861700727">
      <w:bodyDiv w:val="1"/>
      <w:marLeft w:val="0"/>
      <w:marRight w:val="0"/>
      <w:marTop w:val="0"/>
      <w:marBottom w:val="0"/>
      <w:divBdr>
        <w:top w:val="none" w:sz="0" w:space="0" w:color="auto"/>
        <w:left w:val="none" w:sz="0" w:space="0" w:color="auto"/>
        <w:bottom w:val="none" w:sz="0" w:space="0" w:color="auto"/>
        <w:right w:val="none" w:sz="0" w:space="0" w:color="auto"/>
      </w:divBdr>
    </w:div>
    <w:div w:id="1861704562">
      <w:bodyDiv w:val="1"/>
      <w:marLeft w:val="0"/>
      <w:marRight w:val="0"/>
      <w:marTop w:val="0"/>
      <w:marBottom w:val="0"/>
      <w:divBdr>
        <w:top w:val="none" w:sz="0" w:space="0" w:color="auto"/>
        <w:left w:val="none" w:sz="0" w:space="0" w:color="auto"/>
        <w:bottom w:val="none" w:sz="0" w:space="0" w:color="auto"/>
        <w:right w:val="none" w:sz="0" w:space="0" w:color="auto"/>
      </w:divBdr>
    </w:div>
    <w:div w:id="1861774492">
      <w:bodyDiv w:val="1"/>
      <w:marLeft w:val="0"/>
      <w:marRight w:val="0"/>
      <w:marTop w:val="0"/>
      <w:marBottom w:val="0"/>
      <w:divBdr>
        <w:top w:val="none" w:sz="0" w:space="0" w:color="auto"/>
        <w:left w:val="none" w:sz="0" w:space="0" w:color="auto"/>
        <w:bottom w:val="none" w:sz="0" w:space="0" w:color="auto"/>
        <w:right w:val="none" w:sz="0" w:space="0" w:color="auto"/>
      </w:divBdr>
    </w:div>
    <w:div w:id="1861897308">
      <w:bodyDiv w:val="1"/>
      <w:marLeft w:val="0"/>
      <w:marRight w:val="0"/>
      <w:marTop w:val="0"/>
      <w:marBottom w:val="0"/>
      <w:divBdr>
        <w:top w:val="none" w:sz="0" w:space="0" w:color="auto"/>
        <w:left w:val="none" w:sz="0" w:space="0" w:color="auto"/>
        <w:bottom w:val="none" w:sz="0" w:space="0" w:color="auto"/>
        <w:right w:val="none" w:sz="0" w:space="0" w:color="auto"/>
      </w:divBdr>
    </w:div>
    <w:div w:id="1861897342">
      <w:bodyDiv w:val="1"/>
      <w:marLeft w:val="0"/>
      <w:marRight w:val="0"/>
      <w:marTop w:val="0"/>
      <w:marBottom w:val="0"/>
      <w:divBdr>
        <w:top w:val="none" w:sz="0" w:space="0" w:color="auto"/>
        <w:left w:val="none" w:sz="0" w:space="0" w:color="auto"/>
        <w:bottom w:val="none" w:sz="0" w:space="0" w:color="auto"/>
        <w:right w:val="none" w:sz="0" w:space="0" w:color="auto"/>
      </w:divBdr>
    </w:div>
    <w:div w:id="1861969025">
      <w:bodyDiv w:val="1"/>
      <w:marLeft w:val="0"/>
      <w:marRight w:val="0"/>
      <w:marTop w:val="0"/>
      <w:marBottom w:val="0"/>
      <w:divBdr>
        <w:top w:val="none" w:sz="0" w:space="0" w:color="auto"/>
        <w:left w:val="none" w:sz="0" w:space="0" w:color="auto"/>
        <w:bottom w:val="none" w:sz="0" w:space="0" w:color="auto"/>
        <w:right w:val="none" w:sz="0" w:space="0" w:color="auto"/>
      </w:divBdr>
    </w:div>
    <w:div w:id="1862084864">
      <w:bodyDiv w:val="1"/>
      <w:marLeft w:val="0"/>
      <w:marRight w:val="0"/>
      <w:marTop w:val="0"/>
      <w:marBottom w:val="0"/>
      <w:divBdr>
        <w:top w:val="none" w:sz="0" w:space="0" w:color="auto"/>
        <w:left w:val="none" w:sz="0" w:space="0" w:color="auto"/>
        <w:bottom w:val="none" w:sz="0" w:space="0" w:color="auto"/>
        <w:right w:val="none" w:sz="0" w:space="0" w:color="auto"/>
      </w:divBdr>
    </w:div>
    <w:div w:id="1862090547">
      <w:bodyDiv w:val="1"/>
      <w:marLeft w:val="0"/>
      <w:marRight w:val="0"/>
      <w:marTop w:val="0"/>
      <w:marBottom w:val="0"/>
      <w:divBdr>
        <w:top w:val="none" w:sz="0" w:space="0" w:color="auto"/>
        <w:left w:val="none" w:sz="0" w:space="0" w:color="auto"/>
        <w:bottom w:val="none" w:sz="0" w:space="0" w:color="auto"/>
        <w:right w:val="none" w:sz="0" w:space="0" w:color="auto"/>
      </w:divBdr>
    </w:div>
    <w:div w:id="1862351665">
      <w:bodyDiv w:val="1"/>
      <w:marLeft w:val="0"/>
      <w:marRight w:val="0"/>
      <w:marTop w:val="0"/>
      <w:marBottom w:val="0"/>
      <w:divBdr>
        <w:top w:val="none" w:sz="0" w:space="0" w:color="auto"/>
        <w:left w:val="none" w:sz="0" w:space="0" w:color="auto"/>
        <w:bottom w:val="none" w:sz="0" w:space="0" w:color="auto"/>
        <w:right w:val="none" w:sz="0" w:space="0" w:color="auto"/>
      </w:divBdr>
    </w:div>
    <w:div w:id="1862552901">
      <w:bodyDiv w:val="1"/>
      <w:marLeft w:val="0"/>
      <w:marRight w:val="0"/>
      <w:marTop w:val="0"/>
      <w:marBottom w:val="0"/>
      <w:divBdr>
        <w:top w:val="none" w:sz="0" w:space="0" w:color="auto"/>
        <w:left w:val="none" w:sz="0" w:space="0" w:color="auto"/>
        <w:bottom w:val="none" w:sz="0" w:space="0" w:color="auto"/>
        <w:right w:val="none" w:sz="0" w:space="0" w:color="auto"/>
      </w:divBdr>
    </w:div>
    <w:div w:id="1862861598">
      <w:bodyDiv w:val="1"/>
      <w:marLeft w:val="0"/>
      <w:marRight w:val="0"/>
      <w:marTop w:val="0"/>
      <w:marBottom w:val="0"/>
      <w:divBdr>
        <w:top w:val="none" w:sz="0" w:space="0" w:color="auto"/>
        <w:left w:val="none" w:sz="0" w:space="0" w:color="auto"/>
        <w:bottom w:val="none" w:sz="0" w:space="0" w:color="auto"/>
        <w:right w:val="none" w:sz="0" w:space="0" w:color="auto"/>
      </w:divBdr>
    </w:div>
    <w:div w:id="1862890751">
      <w:bodyDiv w:val="1"/>
      <w:marLeft w:val="0"/>
      <w:marRight w:val="0"/>
      <w:marTop w:val="0"/>
      <w:marBottom w:val="0"/>
      <w:divBdr>
        <w:top w:val="none" w:sz="0" w:space="0" w:color="auto"/>
        <w:left w:val="none" w:sz="0" w:space="0" w:color="auto"/>
        <w:bottom w:val="none" w:sz="0" w:space="0" w:color="auto"/>
        <w:right w:val="none" w:sz="0" w:space="0" w:color="auto"/>
      </w:divBdr>
    </w:div>
    <w:div w:id="1863006350">
      <w:bodyDiv w:val="1"/>
      <w:marLeft w:val="0"/>
      <w:marRight w:val="0"/>
      <w:marTop w:val="0"/>
      <w:marBottom w:val="0"/>
      <w:divBdr>
        <w:top w:val="none" w:sz="0" w:space="0" w:color="auto"/>
        <w:left w:val="none" w:sz="0" w:space="0" w:color="auto"/>
        <w:bottom w:val="none" w:sz="0" w:space="0" w:color="auto"/>
        <w:right w:val="none" w:sz="0" w:space="0" w:color="auto"/>
      </w:divBdr>
    </w:div>
    <w:div w:id="1863088703">
      <w:bodyDiv w:val="1"/>
      <w:marLeft w:val="0"/>
      <w:marRight w:val="0"/>
      <w:marTop w:val="0"/>
      <w:marBottom w:val="0"/>
      <w:divBdr>
        <w:top w:val="none" w:sz="0" w:space="0" w:color="auto"/>
        <w:left w:val="none" w:sz="0" w:space="0" w:color="auto"/>
        <w:bottom w:val="none" w:sz="0" w:space="0" w:color="auto"/>
        <w:right w:val="none" w:sz="0" w:space="0" w:color="auto"/>
      </w:divBdr>
    </w:div>
    <w:div w:id="1863204438">
      <w:bodyDiv w:val="1"/>
      <w:marLeft w:val="0"/>
      <w:marRight w:val="0"/>
      <w:marTop w:val="0"/>
      <w:marBottom w:val="0"/>
      <w:divBdr>
        <w:top w:val="none" w:sz="0" w:space="0" w:color="auto"/>
        <w:left w:val="none" w:sz="0" w:space="0" w:color="auto"/>
        <w:bottom w:val="none" w:sz="0" w:space="0" w:color="auto"/>
        <w:right w:val="none" w:sz="0" w:space="0" w:color="auto"/>
      </w:divBdr>
    </w:div>
    <w:div w:id="1863279682">
      <w:bodyDiv w:val="1"/>
      <w:marLeft w:val="0"/>
      <w:marRight w:val="0"/>
      <w:marTop w:val="0"/>
      <w:marBottom w:val="0"/>
      <w:divBdr>
        <w:top w:val="none" w:sz="0" w:space="0" w:color="auto"/>
        <w:left w:val="none" w:sz="0" w:space="0" w:color="auto"/>
        <w:bottom w:val="none" w:sz="0" w:space="0" w:color="auto"/>
        <w:right w:val="none" w:sz="0" w:space="0" w:color="auto"/>
      </w:divBdr>
    </w:div>
    <w:div w:id="1863397804">
      <w:bodyDiv w:val="1"/>
      <w:marLeft w:val="0"/>
      <w:marRight w:val="0"/>
      <w:marTop w:val="0"/>
      <w:marBottom w:val="0"/>
      <w:divBdr>
        <w:top w:val="none" w:sz="0" w:space="0" w:color="auto"/>
        <w:left w:val="none" w:sz="0" w:space="0" w:color="auto"/>
        <w:bottom w:val="none" w:sz="0" w:space="0" w:color="auto"/>
        <w:right w:val="none" w:sz="0" w:space="0" w:color="auto"/>
      </w:divBdr>
    </w:div>
    <w:div w:id="1863398379">
      <w:bodyDiv w:val="1"/>
      <w:marLeft w:val="0"/>
      <w:marRight w:val="0"/>
      <w:marTop w:val="0"/>
      <w:marBottom w:val="0"/>
      <w:divBdr>
        <w:top w:val="none" w:sz="0" w:space="0" w:color="auto"/>
        <w:left w:val="none" w:sz="0" w:space="0" w:color="auto"/>
        <w:bottom w:val="none" w:sz="0" w:space="0" w:color="auto"/>
        <w:right w:val="none" w:sz="0" w:space="0" w:color="auto"/>
      </w:divBdr>
    </w:div>
    <w:div w:id="1863473692">
      <w:bodyDiv w:val="1"/>
      <w:marLeft w:val="0"/>
      <w:marRight w:val="0"/>
      <w:marTop w:val="0"/>
      <w:marBottom w:val="0"/>
      <w:divBdr>
        <w:top w:val="none" w:sz="0" w:space="0" w:color="auto"/>
        <w:left w:val="none" w:sz="0" w:space="0" w:color="auto"/>
        <w:bottom w:val="none" w:sz="0" w:space="0" w:color="auto"/>
        <w:right w:val="none" w:sz="0" w:space="0" w:color="auto"/>
      </w:divBdr>
    </w:div>
    <w:div w:id="1863588252">
      <w:bodyDiv w:val="1"/>
      <w:marLeft w:val="0"/>
      <w:marRight w:val="0"/>
      <w:marTop w:val="0"/>
      <w:marBottom w:val="0"/>
      <w:divBdr>
        <w:top w:val="none" w:sz="0" w:space="0" w:color="auto"/>
        <w:left w:val="none" w:sz="0" w:space="0" w:color="auto"/>
        <w:bottom w:val="none" w:sz="0" w:space="0" w:color="auto"/>
        <w:right w:val="none" w:sz="0" w:space="0" w:color="auto"/>
      </w:divBdr>
    </w:div>
    <w:div w:id="1863660956">
      <w:bodyDiv w:val="1"/>
      <w:marLeft w:val="0"/>
      <w:marRight w:val="0"/>
      <w:marTop w:val="0"/>
      <w:marBottom w:val="0"/>
      <w:divBdr>
        <w:top w:val="none" w:sz="0" w:space="0" w:color="auto"/>
        <w:left w:val="none" w:sz="0" w:space="0" w:color="auto"/>
        <w:bottom w:val="none" w:sz="0" w:space="0" w:color="auto"/>
        <w:right w:val="none" w:sz="0" w:space="0" w:color="auto"/>
      </w:divBdr>
    </w:div>
    <w:div w:id="1863665975">
      <w:bodyDiv w:val="1"/>
      <w:marLeft w:val="0"/>
      <w:marRight w:val="0"/>
      <w:marTop w:val="0"/>
      <w:marBottom w:val="0"/>
      <w:divBdr>
        <w:top w:val="none" w:sz="0" w:space="0" w:color="auto"/>
        <w:left w:val="none" w:sz="0" w:space="0" w:color="auto"/>
        <w:bottom w:val="none" w:sz="0" w:space="0" w:color="auto"/>
        <w:right w:val="none" w:sz="0" w:space="0" w:color="auto"/>
      </w:divBdr>
    </w:div>
    <w:div w:id="1863666902">
      <w:bodyDiv w:val="1"/>
      <w:marLeft w:val="0"/>
      <w:marRight w:val="0"/>
      <w:marTop w:val="0"/>
      <w:marBottom w:val="0"/>
      <w:divBdr>
        <w:top w:val="none" w:sz="0" w:space="0" w:color="auto"/>
        <w:left w:val="none" w:sz="0" w:space="0" w:color="auto"/>
        <w:bottom w:val="none" w:sz="0" w:space="0" w:color="auto"/>
        <w:right w:val="none" w:sz="0" w:space="0" w:color="auto"/>
      </w:divBdr>
    </w:div>
    <w:div w:id="1863786929">
      <w:bodyDiv w:val="1"/>
      <w:marLeft w:val="0"/>
      <w:marRight w:val="0"/>
      <w:marTop w:val="0"/>
      <w:marBottom w:val="0"/>
      <w:divBdr>
        <w:top w:val="none" w:sz="0" w:space="0" w:color="auto"/>
        <w:left w:val="none" w:sz="0" w:space="0" w:color="auto"/>
        <w:bottom w:val="none" w:sz="0" w:space="0" w:color="auto"/>
        <w:right w:val="none" w:sz="0" w:space="0" w:color="auto"/>
      </w:divBdr>
    </w:div>
    <w:div w:id="1863859108">
      <w:bodyDiv w:val="1"/>
      <w:marLeft w:val="0"/>
      <w:marRight w:val="0"/>
      <w:marTop w:val="0"/>
      <w:marBottom w:val="0"/>
      <w:divBdr>
        <w:top w:val="none" w:sz="0" w:space="0" w:color="auto"/>
        <w:left w:val="none" w:sz="0" w:space="0" w:color="auto"/>
        <w:bottom w:val="none" w:sz="0" w:space="0" w:color="auto"/>
        <w:right w:val="none" w:sz="0" w:space="0" w:color="auto"/>
      </w:divBdr>
    </w:div>
    <w:div w:id="1863981058">
      <w:bodyDiv w:val="1"/>
      <w:marLeft w:val="0"/>
      <w:marRight w:val="0"/>
      <w:marTop w:val="0"/>
      <w:marBottom w:val="0"/>
      <w:divBdr>
        <w:top w:val="none" w:sz="0" w:space="0" w:color="auto"/>
        <w:left w:val="none" w:sz="0" w:space="0" w:color="auto"/>
        <w:bottom w:val="none" w:sz="0" w:space="0" w:color="auto"/>
        <w:right w:val="none" w:sz="0" w:space="0" w:color="auto"/>
      </w:divBdr>
    </w:div>
    <w:div w:id="1864198202">
      <w:bodyDiv w:val="1"/>
      <w:marLeft w:val="0"/>
      <w:marRight w:val="0"/>
      <w:marTop w:val="0"/>
      <w:marBottom w:val="0"/>
      <w:divBdr>
        <w:top w:val="none" w:sz="0" w:space="0" w:color="auto"/>
        <w:left w:val="none" w:sz="0" w:space="0" w:color="auto"/>
        <w:bottom w:val="none" w:sz="0" w:space="0" w:color="auto"/>
        <w:right w:val="none" w:sz="0" w:space="0" w:color="auto"/>
      </w:divBdr>
    </w:div>
    <w:div w:id="1864199327">
      <w:bodyDiv w:val="1"/>
      <w:marLeft w:val="0"/>
      <w:marRight w:val="0"/>
      <w:marTop w:val="0"/>
      <w:marBottom w:val="0"/>
      <w:divBdr>
        <w:top w:val="none" w:sz="0" w:space="0" w:color="auto"/>
        <w:left w:val="none" w:sz="0" w:space="0" w:color="auto"/>
        <w:bottom w:val="none" w:sz="0" w:space="0" w:color="auto"/>
        <w:right w:val="none" w:sz="0" w:space="0" w:color="auto"/>
      </w:divBdr>
    </w:div>
    <w:div w:id="1864441633">
      <w:bodyDiv w:val="1"/>
      <w:marLeft w:val="0"/>
      <w:marRight w:val="0"/>
      <w:marTop w:val="0"/>
      <w:marBottom w:val="0"/>
      <w:divBdr>
        <w:top w:val="none" w:sz="0" w:space="0" w:color="auto"/>
        <w:left w:val="none" w:sz="0" w:space="0" w:color="auto"/>
        <w:bottom w:val="none" w:sz="0" w:space="0" w:color="auto"/>
        <w:right w:val="none" w:sz="0" w:space="0" w:color="auto"/>
      </w:divBdr>
    </w:div>
    <w:div w:id="1864631212">
      <w:bodyDiv w:val="1"/>
      <w:marLeft w:val="0"/>
      <w:marRight w:val="0"/>
      <w:marTop w:val="0"/>
      <w:marBottom w:val="0"/>
      <w:divBdr>
        <w:top w:val="none" w:sz="0" w:space="0" w:color="auto"/>
        <w:left w:val="none" w:sz="0" w:space="0" w:color="auto"/>
        <w:bottom w:val="none" w:sz="0" w:space="0" w:color="auto"/>
        <w:right w:val="none" w:sz="0" w:space="0" w:color="auto"/>
      </w:divBdr>
    </w:div>
    <w:div w:id="1864828840">
      <w:bodyDiv w:val="1"/>
      <w:marLeft w:val="0"/>
      <w:marRight w:val="0"/>
      <w:marTop w:val="0"/>
      <w:marBottom w:val="0"/>
      <w:divBdr>
        <w:top w:val="none" w:sz="0" w:space="0" w:color="auto"/>
        <w:left w:val="none" w:sz="0" w:space="0" w:color="auto"/>
        <w:bottom w:val="none" w:sz="0" w:space="0" w:color="auto"/>
        <w:right w:val="none" w:sz="0" w:space="0" w:color="auto"/>
      </w:divBdr>
    </w:div>
    <w:div w:id="1864905621">
      <w:bodyDiv w:val="1"/>
      <w:marLeft w:val="0"/>
      <w:marRight w:val="0"/>
      <w:marTop w:val="0"/>
      <w:marBottom w:val="0"/>
      <w:divBdr>
        <w:top w:val="none" w:sz="0" w:space="0" w:color="auto"/>
        <w:left w:val="none" w:sz="0" w:space="0" w:color="auto"/>
        <w:bottom w:val="none" w:sz="0" w:space="0" w:color="auto"/>
        <w:right w:val="none" w:sz="0" w:space="0" w:color="auto"/>
      </w:divBdr>
    </w:div>
    <w:div w:id="1864977190">
      <w:bodyDiv w:val="1"/>
      <w:marLeft w:val="0"/>
      <w:marRight w:val="0"/>
      <w:marTop w:val="0"/>
      <w:marBottom w:val="0"/>
      <w:divBdr>
        <w:top w:val="none" w:sz="0" w:space="0" w:color="auto"/>
        <w:left w:val="none" w:sz="0" w:space="0" w:color="auto"/>
        <w:bottom w:val="none" w:sz="0" w:space="0" w:color="auto"/>
        <w:right w:val="none" w:sz="0" w:space="0" w:color="auto"/>
      </w:divBdr>
    </w:div>
    <w:div w:id="1865048274">
      <w:bodyDiv w:val="1"/>
      <w:marLeft w:val="0"/>
      <w:marRight w:val="0"/>
      <w:marTop w:val="0"/>
      <w:marBottom w:val="0"/>
      <w:divBdr>
        <w:top w:val="none" w:sz="0" w:space="0" w:color="auto"/>
        <w:left w:val="none" w:sz="0" w:space="0" w:color="auto"/>
        <w:bottom w:val="none" w:sz="0" w:space="0" w:color="auto"/>
        <w:right w:val="none" w:sz="0" w:space="0" w:color="auto"/>
      </w:divBdr>
    </w:div>
    <w:div w:id="1865168842">
      <w:bodyDiv w:val="1"/>
      <w:marLeft w:val="0"/>
      <w:marRight w:val="0"/>
      <w:marTop w:val="0"/>
      <w:marBottom w:val="0"/>
      <w:divBdr>
        <w:top w:val="none" w:sz="0" w:space="0" w:color="auto"/>
        <w:left w:val="none" w:sz="0" w:space="0" w:color="auto"/>
        <w:bottom w:val="none" w:sz="0" w:space="0" w:color="auto"/>
        <w:right w:val="none" w:sz="0" w:space="0" w:color="auto"/>
      </w:divBdr>
    </w:div>
    <w:div w:id="1865171324">
      <w:bodyDiv w:val="1"/>
      <w:marLeft w:val="0"/>
      <w:marRight w:val="0"/>
      <w:marTop w:val="0"/>
      <w:marBottom w:val="0"/>
      <w:divBdr>
        <w:top w:val="none" w:sz="0" w:space="0" w:color="auto"/>
        <w:left w:val="none" w:sz="0" w:space="0" w:color="auto"/>
        <w:bottom w:val="none" w:sz="0" w:space="0" w:color="auto"/>
        <w:right w:val="none" w:sz="0" w:space="0" w:color="auto"/>
      </w:divBdr>
    </w:div>
    <w:div w:id="1865240491">
      <w:bodyDiv w:val="1"/>
      <w:marLeft w:val="0"/>
      <w:marRight w:val="0"/>
      <w:marTop w:val="0"/>
      <w:marBottom w:val="0"/>
      <w:divBdr>
        <w:top w:val="none" w:sz="0" w:space="0" w:color="auto"/>
        <w:left w:val="none" w:sz="0" w:space="0" w:color="auto"/>
        <w:bottom w:val="none" w:sz="0" w:space="0" w:color="auto"/>
        <w:right w:val="none" w:sz="0" w:space="0" w:color="auto"/>
      </w:divBdr>
    </w:div>
    <w:div w:id="1865242973">
      <w:bodyDiv w:val="1"/>
      <w:marLeft w:val="0"/>
      <w:marRight w:val="0"/>
      <w:marTop w:val="0"/>
      <w:marBottom w:val="0"/>
      <w:divBdr>
        <w:top w:val="none" w:sz="0" w:space="0" w:color="auto"/>
        <w:left w:val="none" w:sz="0" w:space="0" w:color="auto"/>
        <w:bottom w:val="none" w:sz="0" w:space="0" w:color="auto"/>
        <w:right w:val="none" w:sz="0" w:space="0" w:color="auto"/>
      </w:divBdr>
    </w:div>
    <w:div w:id="1865248401">
      <w:bodyDiv w:val="1"/>
      <w:marLeft w:val="0"/>
      <w:marRight w:val="0"/>
      <w:marTop w:val="0"/>
      <w:marBottom w:val="0"/>
      <w:divBdr>
        <w:top w:val="none" w:sz="0" w:space="0" w:color="auto"/>
        <w:left w:val="none" w:sz="0" w:space="0" w:color="auto"/>
        <w:bottom w:val="none" w:sz="0" w:space="0" w:color="auto"/>
        <w:right w:val="none" w:sz="0" w:space="0" w:color="auto"/>
      </w:divBdr>
    </w:div>
    <w:div w:id="1865317893">
      <w:bodyDiv w:val="1"/>
      <w:marLeft w:val="0"/>
      <w:marRight w:val="0"/>
      <w:marTop w:val="0"/>
      <w:marBottom w:val="0"/>
      <w:divBdr>
        <w:top w:val="none" w:sz="0" w:space="0" w:color="auto"/>
        <w:left w:val="none" w:sz="0" w:space="0" w:color="auto"/>
        <w:bottom w:val="none" w:sz="0" w:space="0" w:color="auto"/>
        <w:right w:val="none" w:sz="0" w:space="0" w:color="auto"/>
      </w:divBdr>
    </w:div>
    <w:div w:id="1865484235">
      <w:bodyDiv w:val="1"/>
      <w:marLeft w:val="0"/>
      <w:marRight w:val="0"/>
      <w:marTop w:val="0"/>
      <w:marBottom w:val="0"/>
      <w:divBdr>
        <w:top w:val="none" w:sz="0" w:space="0" w:color="auto"/>
        <w:left w:val="none" w:sz="0" w:space="0" w:color="auto"/>
        <w:bottom w:val="none" w:sz="0" w:space="0" w:color="auto"/>
        <w:right w:val="none" w:sz="0" w:space="0" w:color="auto"/>
      </w:divBdr>
    </w:div>
    <w:div w:id="1865560150">
      <w:bodyDiv w:val="1"/>
      <w:marLeft w:val="0"/>
      <w:marRight w:val="0"/>
      <w:marTop w:val="0"/>
      <w:marBottom w:val="0"/>
      <w:divBdr>
        <w:top w:val="none" w:sz="0" w:space="0" w:color="auto"/>
        <w:left w:val="none" w:sz="0" w:space="0" w:color="auto"/>
        <w:bottom w:val="none" w:sz="0" w:space="0" w:color="auto"/>
        <w:right w:val="none" w:sz="0" w:space="0" w:color="auto"/>
      </w:divBdr>
    </w:div>
    <w:div w:id="1865560659">
      <w:bodyDiv w:val="1"/>
      <w:marLeft w:val="0"/>
      <w:marRight w:val="0"/>
      <w:marTop w:val="0"/>
      <w:marBottom w:val="0"/>
      <w:divBdr>
        <w:top w:val="none" w:sz="0" w:space="0" w:color="auto"/>
        <w:left w:val="none" w:sz="0" w:space="0" w:color="auto"/>
        <w:bottom w:val="none" w:sz="0" w:space="0" w:color="auto"/>
        <w:right w:val="none" w:sz="0" w:space="0" w:color="auto"/>
      </w:divBdr>
    </w:div>
    <w:div w:id="1865633993">
      <w:bodyDiv w:val="1"/>
      <w:marLeft w:val="0"/>
      <w:marRight w:val="0"/>
      <w:marTop w:val="0"/>
      <w:marBottom w:val="0"/>
      <w:divBdr>
        <w:top w:val="none" w:sz="0" w:space="0" w:color="auto"/>
        <w:left w:val="none" w:sz="0" w:space="0" w:color="auto"/>
        <w:bottom w:val="none" w:sz="0" w:space="0" w:color="auto"/>
        <w:right w:val="none" w:sz="0" w:space="0" w:color="auto"/>
      </w:divBdr>
    </w:div>
    <w:div w:id="1865709793">
      <w:bodyDiv w:val="1"/>
      <w:marLeft w:val="0"/>
      <w:marRight w:val="0"/>
      <w:marTop w:val="0"/>
      <w:marBottom w:val="0"/>
      <w:divBdr>
        <w:top w:val="none" w:sz="0" w:space="0" w:color="auto"/>
        <w:left w:val="none" w:sz="0" w:space="0" w:color="auto"/>
        <w:bottom w:val="none" w:sz="0" w:space="0" w:color="auto"/>
        <w:right w:val="none" w:sz="0" w:space="0" w:color="auto"/>
      </w:divBdr>
    </w:div>
    <w:div w:id="1865751693">
      <w:bodyDiv w:val="1"/>
      <w:marLeft w:val="0"/>
      <w:marRight w:val="0"/>
      <w:marTop w:val="0"/>
      <w:marBottom w:val="0"/>
      <w:divBdr>
        <w:top w:val="none" w:sz="0" w:space="0" w:color="auto"/>
        <w:left w:val="none" w:sz="0" w:space="0" w:color="auto"/>
        <w:bottom w:val="none" w:sz="0" w:space="0" w:color="auto"/>
        <w:right w:val="none" w:sz="0" w:space="0" w:color="auto"/>
      </w:divBdr>
    </w:div>
    <w:div w:id="1865826700">
      <w:bodyDiv w:val="1"/>
      <w:marLeft w:val="0"/>
      <w:marRight w:val="0"/>
      <w:marTop w:val="0"/>
      <w:marBottom w:val="0"/>
      <w:divBdr>
        <w:top w:val="none" w:sz="0" w:space="0" w:color="auto"/>
        <w:left w:val="none" w:sz="0" w:space="0" w:color="auto"/>
        <w:bottom w:val="none" w:sz="0" w:space="0" w:color="auto"/>
        <w:right w:val="none" w:sz="0" w:space="0" w:color="auto"/>
      </w:divBdr>
    </w:div>
    <w:div w:id="1865903305">
      <w:bodyDiv w:val="1"/>
      <w:marLeft w:val="0"/>
      <w:marRight w:val="0"/>
      <w:marTop w:val="0"/>
      <w:marBottom w:val="0"/>
      <w:divBdr>
        <w:top w:val="none" w:sz="0" w:space="0" w:color="auto"/>
        <w:left w:val="none" w:sz="0" w:space="0" w:color="auto"/>
        <w:bottom w:val="none" w:sz="0" w:space="0" w:color="auto"/>
        <w:right w:val="none" w:sz="0" w:space="0" w:color="auto"/>
      </w:divBdr>
    </w:div>
    <w:div w:id="1865973421">
      <w:bodyDiv w:val="1"/>
      <w:marLeft w:val="0"/>
      <w:marRight w:val="0"/>
      <w:marTop w:val="0"/>
      <w:marBottom w:val="0"/>
      <w:divBdr>
        <w:top w:val="none" w:sz="0" w:space="0" w:color="auto"/>
        <w:left w:val="none" w:sz="0" w:space="0" w:color="auto"/>
        <w:bottom w:val="none" w:sz="0" w:space="0" w:color="auto"/>
        <w:right w:val="none" w:sz="0" w:space="0" w:color="auto"/>
      </w:divBdr>
    </w:div>
    <w:div w:id="1866093294">
      <w:bodyDiv w:val="1"/>
      <w:marLeft w:val="0"/>
      <w:marRight w:val="0"/>
      <w:marTop w:val="0"/>
      <w:marBottom w:val="0"/>
      <w:divBdr>
        <w:top w:val="none" w:sz="0" w:space="0" w:color="auto"/>
        <w:left w:val="none" w:sz="0" w:space="0" w:color="auto"/>
        <w:bottom w:val="none" w:sz="0" w:space="0" w:color="auto"/>
        <w:right w:val="none" w:sz="0" w:space="0" w:color="auto"/>
      </w:divBdr>
    </w:div>
    <w:div w:id="1866139120">
      <w:bodyDiv w:val="1"/>
      <w:marLeft w:val="0"/>
      <w:marRight w:val="0"/>
      <w:marTop w:val="0"/>
      <w:marBottom w:val="0"/>
      <w:divBdr>
        <w:top w:val="none" w:sz="0" w:space="0" w:color="auto"/>
        <w:left w:val="none" w:sz="0" w:space="0" w:color="auto"/>
        <w:bottom w:val="none" w:sz="0" w:space="0" w:color="auto"/>
        <w:right w:val="none" w:sz="0" w:space="0" w:color="auto"/>
      </w:divBdr>
    </w:div>
    <w:div w:id="1866140002">
      <w:bodyDiv w:val="1"/>
      <w:marLeft w:val="0"/>
      <w:marRight w:val="0"/>
      <w:marTop w:val="0"/>
      <w:marBottom w:val="0"/>
      <w:divBdr>
        <w:top w:val="none" w:sz="0" w:space="0" w:color="auto"/>
        <w:left w:val="none" w:sz="0" w:space="0" w:color="auto"/>
        <w:bottom w:val="none" w:sz="0" w:space="0" w:color="auto"/>
        <w:right w:val="none" w:sz="0" w:space="0" w:color="auto"/>
      </w:divBdr>
    </w:div>
    <w:div w:id="1866284010">
      <w:bodyDiv w:val="1"/>
      <w:marLeft w:val="0"/>
      <w:marRight w:val="0"/>
      <w:marTop w:val="0"/>
      <w:marBottom w:val="0"/>
      <w:divBdr>
        <w:top w:val="none" w:sz="0" w:space="0" w:color="auto"/>
        <w:left w:val="none" w:sz="0" w:space="0" w:color="auto"/>
        <w:bottom w:val="none" w:sz="0" w:space="0" w:color="auto"/>
        <w:right w:val="none" w:sz="0" w:space="0" w:color="auto"/>
      </w:divBdr>
    </w:div>
    <w:div w:id="1866289767">
      <w:bodyDiv w:val="1"/>
      <w:marLeft w:val="0"/>
      <w:marRight w:val="0"/>
      <w:marTop w:val="0"/>
      <w:marBottom w:val="0"/>
      <w:divBdr>
        <w:top w:val="none" w:sz="0" w:space="0" w:color="auto"/>
        <w:left w:val="none" w:sz="0" w:space="0" w:color="auto"/>
        <w:bottom w:val="none" w:sz="0" w:space="0" w:color="auto"/>
        <w:right w:val="none" w:sz="0" w:space="0" w:color="auto"/>
      </w:divBdr>
    </w:div>
    <w:div w:id="1866363356">
      <w:bodyDiv w:val="1"/>
      <w:marLeft w:val="0"/>
      <w:marRight w:val="0"/>
      <w:marTop w:val="0"/>
      <w:marBottom w:val="0"/>
      <w:divBdr>
        <w:top w:val="none" w:sz="0" w:space="0" w:color="auto"/>
        <w:left w:val="none" w:sz="0" w:space="0" w:color="auto"/>
        <w:bottom w:val="none" w:sz="0" w:space="0" w:color="auto"/>
        <w:right w:val="none" w:sz="0" w:space="0" w:color="auto"/>
      </w:divBdr>
    </w:div>
    <w:div w:id="1866475690">
      <w:bodyDiv w:val="1"/>
      <w:marLeft w:val="0"/>
      <w:marRight w:val="0"/>
      <w:marTop w:val="0"/>
      <w:marBottom w:val="0"/>
      <w:divBdr>
        <w:top w:val="none" w:sz="0" w:space="0" w:color="auto"/>
        <w:left w:val="none" w:sz="0" w:space="0" w:color="auto"/>
        <w:bottom w:val="none" w:sz="0" w:space="0" w:color="auto"/>
        <w:right w:val="none" w:sz="0" w:space="0" w:color="auto"/>
      </w:divBdr>
    </w:div>
    <w:div w:id="1866552478">
      <w:bodyDiv w:val="1"/>
      <w:marLeft w:val="0"/>
      <w:marRight w:val="0"/>
      <w:marTop w:val="0"/>
      <w:marBottom w:val="0"/>
      <w:divBdr>
        <w:top w:val="none" w:sz="0" w:space="0" w:color="auto"/>
        <w:left w:val="none" w:sz="0" w:space="0" w:color="auto"/>
        <w:bottom w:val="none" w:sz="0" w:space="0" w:color="auto"/>
        <w:right w:val="none" w:sz="0" w:space="0" w:color="auto"/>
      </w:divBdr>
    </w:div>
    <w:div w:id="1866557251">
      <w:bodyDiv w:val="1"/>
      <w:marLeft w:val="0"/>
      <w:marRight w:val="0"/>
      <w:marTop w:val="0"/>
      <w:marBottom w:val="0"/>
      <w:divBdr>
        <w:top w:val="none" w:sz="0" w:space="0" w:color="auto"/>
        <w:left w:val="none" w:sz="0" w:space="0" w:color="auto"/>
        <w:bottom w:val="none" w:sz="0" w:space="0" w:color="auto"/>
        <w:right w:val="none" w:sz="0" w:space="0" w:color="auto"/>
      </w:divBdr>
    </w:div>
    <w:div w:id="1866596977">
      <w:bodyDiv w:val="1"/>
      <w:marLeft w:val="0"/>
      <w:marRight w:val="0"/>
      <w:marTop w:val="0"/>
      <w:marBottom w:val="0"/>
      <w:divBdr>
        <w:top w:val="none" w:sz="0" w:space="0" w:color="auto"/>
        <w:left w:val="none" w:sz="0" w:space="0" w:color="auto"/>
        <w:bottom w:val="none" w:sz="0" w:space="0" w:color="auto"/>
        <w:right w:val="none" w:sz="0" w:space="0" w:color="auto"/>
      </w:divBdr>
    </w:div>
    <w:div w:id="1866669010">
      <w:bodyDiv w:val="1"/>
      <w:marLeft w:val="0"/>
      <w:marRight w:val="0"/>
      <w:marTop w:val="0"/>
      <w:marBottom w:val="0"/>
      <w:divBdr>
        <w:top w:val="none" w:sz="0" w:space="0" w:color="auto"/>
        <w:left w:val="none" w:sz="0" w:space="0" w:color="auto"/>
        <w:bottom w:val="none" w:sz="0" w:space="0" w:color="auto"/>
        <w:right w:val="none" w:sz="0" w:space="0" w:color="auto"/>
      </w:divBdr>
    </w:div>
    <w:div w:id="1866671179">
      <w:bodyDiv w:val="1"/>
      <w:marLeft w:val="0"/>
      <w:marRight w:val="0"/>
      <w:marTop w:val="0"/>
      <w:marBottom w:val="0"/>
      <w:divBdr>
        <w:top w:val="none" w:sz="0" w:space="0" w:color="auto"/>
        <w:left w:val="none" w:sz="0" w:space="0" w:color="auto"/>
        <w:bottom w:val="none" w:sz="0" w:space="0" w:color="auto"/>
        <w:right w:val="none" w:sz="0" w:space="0" w:color="auto"/>
      </w:divBdr>
    </w:div>
    <w:div w:id="1866678090">
      <w:bodyDiv w:val="1"/>
      <w:marLeft w:val="0"/>
      <w:marRight w:val="0"/>
      <w:marTop w:val="0"/>
      <w:marBottom w:val="0"/>
      <w:divBdr>
        <w:top w:val="none" w:sz="0" w:space="0" w:color="auto"/>
        <w:left w:val="none" w:sz="0" w:space="0" w:color="auto"/>
        <w:bottom w:val="none" w:sz="0" w:space="0" w:color="auto"/>
        <w:right w:val="none" w:sz="0" w:space="0" w:color="auto"/>
      </w:divBdr>
    </w:div>
    <w:div w:id="1866750475">
      <w:bodyDiv w:val="1"/>
      <w:marLeft w:val="0"/>
      <w:marRight w:val="0"/>
      <w:marTop w:val="0"/>
      <w:marBottom w:val="0"/>
      <w:divBdr>
        <w:top w:val="none" w:sz="0" w:space="0" w:color="auto"/>
        <w:left w:val="none" w:sz="0" w:space="0" w:color="auto"/>
        <w:bottom w:val="none" w:sz="0" w:space="0" w:color="auto"/>
        <w:right w:val="none" w:sz="0" w:space="0" w:color="auto"/>
      </w:divBdr>
    </w:div>
    <w:div w:id="1866794172">
      <w:bodyDiv w:val="1"/>
      <w:marLeft w:val="0"/>
      <w:marRight w:val="0"/>
      <w:marTop w:val="0"/>
      <w:marBottom w:val="0"/>
      <w:divBdr>
        <w:top w:val="none" w:sz="0" w:space="0" w:color="auto"/>
        <w:left w:val="none" w:sz="0" w:space="0" w:color="auto"/>
        <w:bottom w:val="none" w:sz="0" w:space="0" w:color="auto"/>
        <w:right w:val="none" w:sz="0" w:space="0" w:color="auto"/>
      </w:divBdr>
    </w:div>
    <w:div w:id="1867055475">
      <w:bodyDiv w:val="1"/>
      <w:marLeft w:val="0"/>
      <w:marRight w:val="0"/>
      <w:marTop w:val="0"/>
      <w:marBottom w:val="0"/>
      <w:divBdr>
        <w:top w:val="none" w:sz="0" w:space="0" w:color="auto"/>
        <w:left w:val="none" w:sz="0" w:space="0" w:color="auto"/>
        <w:bottom w:val="none" w:sz="0" w:space="0" w:color="auto"/>
        <w:right w:val="none" w:sz="0" w:space="0" w:color="auto"/>
      </w:divBdr>
    </w:div>
    <w:div w:id="1867256742">
      <w:bodyDiv w:val="1"/>
      <w:marLeft w:val="0"/>
      <w:marRight w:val="0"/>
      <w:marTop w:val="0"/>
      <w:marBottom w:val="0"/>
      <w:divBdr>
        <w:top w:val="none" w:sz="0" w:space="0" w:color="auto"/>
        <w:left w:val="none" w:sz="0" w:space="0" w:color="auto"/>
        <w:bottom w:val="none" w:sz="0" w:space="0" w:color="auto"/>
        <w:right w:val="none" w:sz="0" w:space="0" w:color="auto"/>
      </w:divBdr>
    </w:div>
    <w:div w:id="1867323778">
      <w:bodyDiv w:val="1"/>
      <w:marLeft w:val="0"/>
      <w:marRight w:val="0"/>
      <w:marTop w:val="0"/>
      <w:marBottom w:val="0"/>
      <w:divBdr>
        <w:top w:val="none" w:sz="0" w:space="0" w:color="auto"/>
        <w:left w:val="none" w:sz="0" w:space="0" w:color="auto"/>
        <w:bottom w:val="none" w:sz="0" w:space="0" w:color="auto"/>
        <w:right w:val="none" w:sz="0" w:space="0" w:color="auto"/>
      </w:divBdr>
    </w:div>
    <w:div w:id="1867327847">
      <w:bodyDiv w:val="1"/>
      <w:marLeft w:val="0"/>
      <w:marRight w:val="0"/>
      <w:marTop w:val="0"/>
      <w:marBottom w:val="0"/>
      <w:divBdr>
        <w:top w:val="none" w:sz="0" w:space="0" w:color="auto"/>
        <w:left w:val="none" w:sz="0" w:space="0" w:color="auto"/>
        <w:bottom w:val="none" w:sz="0" w:space="0" w:color="auto"/>
        <w:right w:val="none" w:sz="0" w:space="0" w:color="auto"/>
      </w:divBdr>
    </w:div>
    <w:div w:id="1867402645">
      <w:bodyDiv w:val="1"/>
      <w:marLeft w:val="0"/>
      <w:marRight w:val="0"/>
      <w:marTop w:val="0"/>
      <w:marBottom w:val="0"/>
      <w:divBdr>
        <w:top w:val="none" w:sz="0" w:space="0" w:color="auto"/>
        <w:left w:val="none" w:sz="0" w:space="0" w:color="auto"/>
        <w:bottom w:val="none" w:sz="0" w:space="0" w:color="auto"/>
        <w:right w:val="none" w:sz="0" w:space="0" w:color="auto"/>
      </w:divBdr>
    </w:div>
    <w:div w:id="1867480088">
      <w:bodyDiv w:val="1"/>
      <w:marLeft w:val="0"/>
      <w:marRight w:val="0"/>
      <w:marTop w:val="0"/>
      <w:marBottom w:val="0"/>
      <w:divBdr>
        <w:top w:val="none" w:sz="0" w:space="0" w:color="auto"/>
        <w:left w:val="none" w:sz="0" w:space="0" w:color="auto"/>
        <w:bottom w:val="none" w:sz="0" w:space="0" w:color="auto"/>
        <w:right w:val="none" w:sz="0" w:space="0" w:color="auto"/>
      </w:divBdr>
    </w:div>
    <w:div w:id="1867480304">
      <w:bodyDiv w:val="1"/>
      <w:marLeft w:val="0"/>
      <w:marRight w:val="0"/>
      <w:marTop w:val="0"/>
      <w:marBottom w:val="0"/>
      <w:divBdr>
        <w:top w:val="none" w:sz="0" w:space="0" w:color="auto"/>
        <w:left w:val="none" w:sz="0" w:space="0" w:color="auto"/>
        <w:bottom w:val="none" w:sz="0" w:space="0" w:color="auto"/>
        <w:right w:val="none" w:sz="0" w:space="0" w:color="auto"/>
      </w:divBdr>
    </w:div>
    <w:div w:id="1867596755">
      <w:bodyDiv w:val="1"/>
      <w:marLeft w:val="0"/>
      <w:marRight w:val="0"/>
      <w:marTop w:val="0"/>
      <w:marBottom w:val="0"/>
      <w:divBdr>
        <w:top w:val="none" w:sz="0" w:space="0" w:color="auto"/>
        <w:left w:val="none" w:sz="0" w:space="0" w:color="auto"/>
        <w:bottom w:val="none" w:sz="0" w:space="0" w:color="auto"/>
        <w:right w:val="none" w:sz="0" w:space="0" w:color="auto"/>
      </w:divBdr>
    </w:div>
    <w:div w:id="1867601236">
      <w:bodyDiv w:val="1"/>
      <w:marLeft w:val="0"/>
      <w:marRight w:val="0"/>
      <w:marTop w:val="0"/>
      <w:marBottom w:val="0"/>
      <w:divBdr>
        <w:top w:val="none" w:sz="0" w:space="0" w:color="auto"/>
        <w:left w:val="none" w:sz="0" w:space="0" w:color="auto"/>
        <w:bottom w:val="none" w:sz="0" w:space="0" w:color="auto"/>
        <w:right w:val="none" w:sz="0" w:space="0" w:color="auto"/>
      </w:divBdr>
    </w:div>
    <w:div w:id="1867672687">
      <w:bodyDiv w:val="1"/>
      <w:marLeft w:val="0"/>
      <w:marRight w:val="0"/>
      <w:marTop w:val="0"/>
      <w:marBottom w:val="0"/>
      <w:divBdr>
        <w:top w:val="none" w:sz="0" w:space="0" w:color="auto"/>
        <w:left w:val="none" w:sz="0" w:space="0" w:color="auto"/>
        <w:bottom w:val="none" w:sz="0" w:space="0" w:color="auto"/>
        <w:right w:val="none" w:sz="0" w:space="0" w:color="auto"/>
      </w:divBdr>
    </w:div>
    <w:div w:id="1867713558">
      <w:bodyDiv w:val="1"/>
      <w:marLeft w:val="0"/>
      <w:marRight w:val="0"/>
      <w:marTop w:val="0"/>
      <w:marBottom w:val="0"/>
      <w:divBdr>
        <w:top w:val="none" w:sz="0" w:space="0" w:color="auto"/>
        <w:left w:val="none" w:sz="0" w:space="0" w:color="auto"/>
        <w:bottom w:val="none" w:sz="0" w:space="0" w:color="auto"/>
        <w:right w:val="none" w:sz="0" w:space="0" w:color="auto"/>
      </w:divBdr>
    </w:div>
    <w:div w:id="1867789404">
      <w:bodyDiv w:val="1"/>
      <w:marLeft w:val="0"/>
      <w:marRight w:val="0"/>
      <w:marTop w:val="0"/>
      <w:marBottom w:val="0"/>
      <w:divBdr>
        <w:top w:val="none" w:sz="0" w:space="0" w:color="auto"/>
        <w:left w:val="none" w:sz="0" w:space="0" w:color="auto"/>
        <w:bottom w:val="none" w:sz="0" w:space="0" w:color="auto"/>
        <w:right w:val="none" w:sz="0" w:space="0" w:color="auto"/>
      </w:divBdr>
    </w:div>
    <w:div w:id="1867865561">
      <w:bodyDiv w:val="1"/>
      <w:marLeft w:val="0"/>
      <w:marRight w:val="0"/>
      <w:marTop w:val="0"/>
      <w:marBottom w:val="0"/>
      <w:divBdr>
        <w:top w:val="none" w:sz="0" w:space="0" w:color="auto"/>
        <w:left w:val="none" w:sz="0" w:space="0" w:color="auto"/>
        <w:bottom w:val="none" w:sz="0" w:space="0" w:color="auto"/>
        <w:right w:val="none" w:sz="0" w:space="0" w:color="auto"/>
      </w:divBdr>
    </w:div>
    <w:div w:id="1867910177">
      <w:bodyDiv w:val="1"/>
      <w:marLeft w:val="0"/>
      <w:marRight w:val="0"/>
      <w:marTop w:val="0"/>
      <w:marBottom w:val="0"/>
      <w:divBdr>
        <w:top w:val="none" w:sz="0" w:space="0" w:color="auto"/>
        <w:left w:val="none" w:sz="0" w:space="0" w:color="auto"/>
        <w:bottom w:val="none" w:sz="0" w:space="0" w:color="auto"/>
        <w:right w:val="none" w:sz="0" w:space="0" w:color="auto"/>
      </w:divBdr>
    </w:div>
    <w:div w:id="1868176878">
      <w:bodyDiv w:val="1"/>
      <w:marLeft w:val="0"/>
      <w:marRight w:val="0"/>
      <w:marTop w:val="0"/>
      <w:marBottom w:val="0"/>
      <w:divBdr>
        <w:top w:val="none" w:sz="0" w:space="0" w:color="auto"/>
        <w:left w:val="none" w:sz="0" w:space="0" w:color="auto"/>
        <w:bottom w:val="none" w:sz="0" w:space="0" w:color="auto"/>
        <w:right w:val="none" w:sz="0" w:space="0" w:color="auto"/>
      </w:divBdr>
    </w:div>
    <w:div w:id="1868177148">
      <w:bodyDiv w:val="1"/>
      <w:marLeft w:val="0"/>
      <w:marRight w:val="0"/>
      <w:marTop w:val="0"/>
      <w:marBottom w:val="0"/>
      <w:divBdr>
        <w:top w:val="none" w:sz="0" w:space="0" w:color="auto"/>
        <w:left w:val="none" w:sz="0" w:space="0" w:color="auto"/>
        <w:bottom w:val="none" w:sz="0" w:space="0" w:color="auto"/>
        <w:right w:val="none" w:sz="0" w:space="0" w:color="auto"/>
      </w:divBdr>
    </w:div>
    <w:div w:id="1868177528">
      <w:bodyDiv w:val="1"/>
      <w:marLeft w:val="0"/>
      <w:marRight w:val="0"/>
      <w:marTop w:val="0"/>
      <w:marBottom w:val="0"/>
      <w:divBdr>
        <w:top w:val="none" w:sz="0" w:space="0" w:color="auto"/>
        <w:left w:val="none" w:sz="0" w:space="0" w:color="auto"/>
        <w:bottom w:val="none" w:sz="0" w:space="0" w:color="auto"/>
        <w:right w:val="none" w:sz="0" w:space="0" w:color="auto"/>
      </w:divBdr>
    </w:div>
    <w:div w:id="1868253303">
      <w:bodyDiv w:val="1"/>
      <w:marLeft w:val="0"/>
      <w:marRight w:val="0"/>
      <w:marTop w:val="0"/>
      <w:marBottom w:val="0"/>
      <w:divBdr>
        <w:top w:val="none" w:sz="0" w:space="0" w:color="auto"/>
        <w:left w:val="none" w:sz="0" w:space="0" w:color="auto"/>
        <w:bottom w:val="none" w:sz="0" w:space="0" w:color="auto"/>
        <w:right w:val="none" w:sz="0" w:space="0" w:color="auto"/>
      </w:divBdr>
    </w:div>
    <w:div w:id="1868327306">
      <w:bodyDiv w:val="1"/>
      <w:marLeft w:val="0"/>
      <w:marRight w:val="0"/>
      <w:marTop w:val="0"/>
      <w:marBottom w:val="0"/>
      <w:divBdr>
        <w:top w:val="none" w:sz="0" w:space="0" w:color="auto"/>
        <w:left w:val="none" w:sz="0" w:space="0" w:color="auto"/>
        <w:bottom w:val="none" w:sz="0" w:space="0" w:color="auto"/>
        <w:right w:val="none" w:sz="0" w:space="0" w:color="auto"/>
      </w:divBdr>
    </w:div>
    <w:div w:id="1868366839">
      <w:bodyDiv w:val="1"/>
      <w:marLeft w:val="0"/>
      <w:marRight w:val="0"/>
      <w:marTop w:val="0"/>
      <w:marBottom w:val="0"/>
      <w:divBdr>
        <w:top w:val="none" w:sz="0" w:space="0" w:color="auto"/>
        <w:left w:val="none" w:sz="0" w:space="0" w:color="auto"/>
        <w:bottom w:val="none" w:sz="0" w:space="0" w:color="auto"/>
        <w:right w:val="none" w:sz="0" w:space="0" w:color="auto"/>
      </w:divBdr>
    </w:div>
    <w:div w:id="1868369516">
      <w:bodyDiv w:val="1"/>
      <w:marLeft w:val="0"/>
      <w:marRight w:val="0"/>
      <w:marTop w:val="0"/>
      <w:marBottom w:val="0"/>
      <w:divBdr>
        <w:top w:val="none" w:sz="0" w:space="0" w:color="auto"/>
        <w:left w:val="none" w:sz="0" w:space="0" w:color="auto"/>
        <w:bottom w:val="none" w:sz="0" w:space="0" w:color="auto"/>
        <w:right w:val="none" w:sz="0" w:space="0" w:color="auto"/>
      </w:divBdr>
    </w:div>
    <w:div w:id="1868518353">
      <w:bodyDiv w:val="1"/>
      <w:marLeft w:val="0"/>
      <w:marRight w:val="0"/>
      <w:marTop w:val="0"/>
      <w:marBottom w:val="0"/>
      <w:divBdr>
        <w:top w:val="none" w:sz="0" w:space="0" w:color="auto"/>
        <w:left w:val="none" w:sz="0" w:space="0" w:color="auto"/>
        <w:bottom w:val="none" w:sz="0" w:space="0" w:color="auto"/>
        <w:right w:val="none" w:sz="0" w:space="0" w:color="auto"/>
      </w:divBdr>
    </w:div>
    <w:div w:id="1868564908">
      <w:bodyDiv w:val="1"/>
      <w:marLeft w:val="0"/>
      <w:marRight w:val="0"/>
      <w:marTop w:val="0"/>
      <w:marBottom w:val="0"/>
      <w:divBdr>
        <w:top w:val="none" w:sz="0" w:space="0" w:color="auto"/>
        <w:left w:val="none" w:sz="0" w:space="0" w:color="auto"/>
        <w:bottom w:val="none" w:sz="0" w:space="0" w:color="auto"/>
        <w:right w:val="none" w:sz="0" w:space="0" w:color="auto"/>
      </w:divBdr>
    </w:div>
    <w:div w:id="1868566554">
      <w:bodyDiv w:val="1"/>
      <w:marLeft w:val="0"/>
      <w:marRight w:val="0"/>
      <w:marTop w:val="0"/>
      <w:marBottom w:val="0"/>
      <w:divBdr>
        <w:top w:val="none" w:sz="0" w:space="0" w:color="auto"/>
        <w:left w:val="none" w:sz="0" w:space="0" w:color="auto"/>
        <w:bottom w:val="none" w:sz="0" w:space="0" w:color="auto"/>
        <w:right w:val="none" w:sz="0" w:space="0" w:color="auto"/>
      </w:divBdr>
    </w:div>
    <w:div w:id="1868641461">
      <w:bodyDiv w:val="1"/>
      <w:marLeft w:val="0"/>
      <w:marRight w:val="0"/>
      <w:marTop w:val="0"/>
      <w:marBottom w:val="0"/>
      <w:divBdr>
        <w:top w:val="none" w:sz="0" w:space="0" w:color="auto"/>
        <w:left w:val="none" w:sz="0" w:space="0" w:color="auto"/>
        <w:bottom w:val="none" w:sz="0" w:space="0" w:color="auto"/>
        <w:right w:val="none" w:sz="0" w:space="0" w:color="auto"/>
      </w:divBdr>
    </w:div>
    <w:div w:id="1868717684">
      <w:bodyDiv w:val="1"/>
      <w:marLeft w:val="0"/>
      <w:marRight w:val="0"/>
      <w:marTop w:val="0"/>
      <w:marBottom w:val="0"/>
      <w:divBdr>
        <w:top w:val="none" w:sz="0" w:space="0" w:color="auto"/>
        <w:left w:val="none" w:sz="0" w:space="0" w:color="auto"/>
        <w:bottom w:val="none" w:sz="0" w:space="0" w:color="auto"/>
        <w:right w:val="none" w:sz="0" w:space="0" w:color="auto"/>
      </w:divBdr>
    </w:div>
    <w:div w:id="1868719409">
      <w:bodyDiv w:val="1"/>
      <w:marLeft w:val="0"/>
      <w:marRight w:val="0"/>
      <w:marTop w:val="0"/>
      <w:marBottom w:val="0"/>
      <w:divBdr>
        <w:top w:val="none" w:sz="0" w:space="0" w:color="auto"/>
        <w:left w:val="none" w:sz="0" w:space="0" w:color="auto"/>
        <w:bottom w:val="none" w:sz="0" w:space="0" w:color="auto"/>
        <w:right w:val="none" w:sz="0" w:space="0" w:color="auto"/>
      </w:divBdr>
    </w:div>
    <w:div w:id="1868910701">
      <w:bodyDiv w:val="1"/>
      <w:marLeft w:val="0"/>
      <w:marRight w:val="0"/>
      <w:marTop w:val="0"/>
      <w:marBottom w:val="0"/>
      <w:divBdr>
        <w:top w:val="none" w:sz="0" w:space="0" w:color="auto"/>
        <w:left w:val="none" w:sz="0" w:space="0" w:color="auto"/>
        <w:bottom w:val="none" w:sz="0" w:space="0" w:color="auto"/>
        <w:right w:val="none" w:sz="0" w:space="0" w:color="auto"/>
      </w:divBdr>
    </w:div>
    <w:div w:id="1869105492">
      <w:bodyDiv w:val="1"/>
      <w:marLeft w:val="0"/>
      <w:marRight w:val="0"/>
      <w:marTop w:val="0"/>
      <w:marBottom w:val="0"/>
      <w:divBdr>
        <w:top w:val="none" w:sz="0" w:space="0" w:color="auto"/>
        <w:left w:val="none" w:sz="0" w:space="0" w:color="auto"/>
        <w:bottom w:val="none" w:sz="0" w:space="0" w:color="auto"/>
        <w:right w:val="none" w:sz="0" w:space="0" w:color="auto"/>
      </w:divBdr>
    </w:div>
    <w:div w:id="1869172512">
      <w:bodyDiv w:val="1"/>
      <w:marLeft w:val="0"/>
      <w:marRight w:val="0"/>
      <w:marTop w:val="0"/>
      <w:marBottom w:val="0"/>
      <w:divBdr>
        <w:top w:val="none" w:sz="0" w:space="0" w:color="auto"/>
        <w:left w:val="none" w:sz="0" w:space="0" w:color="auto"/>
        <w:bottom w:val="none" w:sz="0" w:space="0" w:color="auto"/>
        <w:right w:val="none" w:sz="0" w:space="0" w:color="auto"/>
      </w:divBdr>
    </w:div>
    <w:div w:id="1869218837">
      <w:bodyDiv w:val="1"/>
      <w:marLeft w:val="0"/>
      <w:marRight w:val="0"/>
      <w:marTop w:val="0"/>
      <w:marBottom w:val="0"/>
      <w:divBdr>
        <w:top w:val="none" w:sz="0" w:space="0" w:color="auto"/>
        <w:left w:val="none" w:sz="0" w:space="0" w:color="auto"/>
        <w:bottom w:val="none" w:sz="0" w:space="0" w:color="auto"/>
        <w:right w:val="none" w:sz="0" w:space="0" w:color="auto"/>
      </w:divBdr>
    </w:div>
    <w:div w:id="1869222163">
      <w:bodyDiv w:val="1"/>
      <w:marLeft w:val="0"/>
      <w:marRight w:val="0"/>
      <w:marTop w:val="0"/>
      <w:marBottom w:val="0"/>
      <w:divBdr>
        <w:top w:val="none" w:sz="0" w:space="0" w:color="auto"/>
        <w:left w:val="none" w:sz="0" w:space="0" w:color="auto"/>
        <w:bottom w:val="none" w:sz="0" w:space="0" w:color="auto"/>
        <w:right w:val="none" w:sz="0" w:space="0" w:color="auto"/>
      </w:divBdr>
    </w:div>
    <w:div w:id="1869367875">
      <w:bodyDiv w:val="1"/>
      <w:marLeft w:val="0"/>
      <w:marRight w:val="0"/>
      <w:marTop w:val="0"/>
      <w:marBottom w:val="0"/>
      <w:divBdr>
        <w:top w:val="none" w:sz="0" w:space="0" w:color="auto"/>
        <w:left w:val="none" w:sz="0" w:space="0" w:color="auto"/>
        <w:bottom w:val="none" w:sz="0" w:space="0" w:color="auto"/>
        <w:right w:val="none" w:sz="0" w:space="0" w:color="auto"/>
      </w:divBdr>
    </w:div>
    <w:div w:id="1869369031">
      <w:bodyDiv w:val="1"/>
      <w:marLeft w:val="0"/>
      <w:marRight w:val="0"/>
      <w:marTop w:val="0"/>
      <w:marBottom w:val="0"/>
      <w:divBdr>
        <w:top w:val="none" w:sz="0" w:space="0" w:color="auto"/>
        <w:left w:val="none" w:sz="0" w:space="0" w:color="auto"/>
        <w:bottom w:val="none" w:sz="0" w:space="0" w:color="auto"/>
        <w:right w:val="none" w:sz="0" w:space="0" w:color="auto"/>
      </w:divBdr>
    </w:div>
    <w:div w:id="1869369216">
      <w:bodyDiv w:val="1"/>
      <w:marLeft w:val="0"/>
      <w:marRight w:val="0"/>
      <w:marTop w:val="0"/>
      <w:marBottom w:val="0"/>
      <w:divBdr>
        <w:top w:val="none" w:sz="0" w:space="0" w:color="auto"/>
        <w:left w:val="none" w:sz="0" w:space="0" w:color="auto"/>
        <w:bottom w:val="none" w:sz="0" w:space="0" w:color="auto"/>
        <w:right w:val="none" w:sz="0" w:space="0" w:color="auto"/>
      </w:divBdr>
    </w:div>
    <w:div w:id="1869369744">
      <w:bodyDiv w:val="1"/>
      <w:marLeft w:val="0"/>
      <w:marRight w:val="0"/>
      <w:marTop w:val="0"/>
      <w:marBottom w:val="0"/>
      <w:divBdr>
        <w:top w:val="none" w:sz="0" w:space="0" w:color="auto"/>
        <w:left w:val="none" w:sz="0" w:space="0" w:color="auto"/>
        <w:bottom w:val="none" w:sz="0" w:space="0" w:color="auto"/>
        <w:right w:val="none" w:sz="0" w:space="0" w:color="auto"/>
      </w:divBdr>
    </w:div>
    <w:div w:id="1869567617">
      <w:bodyDiv w:val="1"/>
      <w:marLeft w:val="0"/>
      <w:marRight w:val="0"/>
      <w:marTop w:val="0"/>
      <w:marBottom w:val="0"/>
      <w:divBdr>
        <w:top w:val="none" w:sz="0" w:space="0" w:color="auto"/>
        <w:left w:val="none" w:sz="0" w:space="0" w:color="auto"/>
        <w:bottom w:val="none" w:sz="0" w:space="0" w:color="auto"/>
        <w:right w:val="none" w:sz="0" w:space="0" w:color="auto"/>
      </w:divBdr>
    </w:div>
    <w:div w:id="1869905290">
      <w:bodyDiv w:val="1"/>
      <w:marLeft w:val="0"/>
      <w:marRight w:val="0"/>
      <w:marTop w:val="0"/>
      <w:marBottom w:val="0"/>
      <w:divBdr>
        <w:top w:val="none" w:sz="0" w:space="0" w:color="auto"/>
        <w:left w:val="none" w:sz="0" w:space="0" w:color="auto"/>
        <w:bottom w:val="none" w:sz="0" w:space="0" w:color="auto"/>
        <w:right w:val="none" w:sz="0" w:space="0" w:color="auto"/>
      </w:divBdr>
    </w:div>
    <w:div w:id="1869951123">
      <w:bodyDiv w:val="1"/>
      <w:marLeft w:val="0"/>
      <w:marRight w:val="0"/>
      <w:marTop w:val="0"/>
      <w:marBottom w:val="0"/>
      <w:divBdr>
        <w:top w:val="none" w:sz="0" w:space="0" w:color="auto"/>
        <w:left w:val="none" w:sz="0" w:space="0" w:color="auto"/>
        <w:bottom w:val="none" w:sz="0" w:space="0" w:color="auto"/>
        <w:right w:val="none" w:sz="0" w:space="0" w:color="auto"/>
      </w:divBdr>
    </w:div>
    <w:div w:id="1870024293">
      <w:bodyDiv w:val="1"/>
      <w:marLeft w:val="0"/>
      <w:marRight w:val="0"/>
      <w:marTop w:val="0"/>
      <w:marBottom w:val="0"/>
      <w:divBdr>
        <w:top w:val="none" w:sz="0" w:space="0" w:color="auto"/>
        <w:left w:val="none" w:sz="0" w:space="0" w:color="auto"/>
        <w:bottom w:val="none" w:sz="0" w:space="0" w:color="auto"/>
        <w:right w:val="none" w:sz="0" w:space="0" w:color="auto"/>
      </w:divBdr>
    </w:div>
    <w:div w:id="1870027840">
      <w:bodyDiv w:val="1"/>
      <w:marLeft w:val="0"/>
      <w:marRight w:val="0"/>
      <w:marTop w:val="0"/>
      <w:marBottom w:val="0"/>
      <w:divBdr>
        <w:top w:val="none" w:sz="0" w:space="0" w:color="auto"/>
        <w:left w:val="none" w:sz="0" w:space="0" w:color="auto"/>
        <w:bottom w:val="none" w:sz="0" w:space="0" w:color="auto"/>
        <w:right w:val="none" w:sz="0" w:space="0" w:color="auto"/>
      </w:divBdr>
    </w:div>
    <w:div w:id="1870095723">
      <w:bodyDiv w:val="1"/>
      <w:marLeft w:val="0"/>
      <w:marRight w:val="0"/>
      <w:marTop w:val="0"/>
      <w:marBottom w:val="0"/>
      <w:divBdr>
        <w:top w:val="none" w:sz="0" w:space="0" w:color="auto"/>
        <w:left w:val="none" w:sz="0" w:space="0" w:color="auto"/>
        <w:bottom w:val="none" w:sz="0" w:space="0" w:color="auto"/>
        <w:right w:val="none" w:sz="0" w:space="0" w:color="auto"/>
      </w:divBdr>
    </w:div>
    <w:div w:id="1870099540">
      <w:bodyDiv w:val="1"/>
      <w:marLeft w:val="0"/>
      <w:marRight w:val="0"/>
      <w:marTop w:val="0"/>
      <w:marBottom w:val="0"/>
      <w:divBdr>
        <w:top w:val="none" w:sz="0" w:space="0" w:color="auto"/>
        <w:left w:val="none" w:sz="0" w:space="0" w:color="auto"/>
        <w:bottom w:val="none" w:sz="0" w:space="0" w:color="auto"/>
        <w:right w:val="none" w:sz="0" w:space="0" w:color="auto"/>
      </w:divBdr>
    </w:div>
    <w:div w:id="1870140852">
      <w:bodyDiv w:val="1"/>
      <w:marLeft w:val="0"/>
      <w:marRight w:val="0"/>
      <w:marTop w:val="0"/>
      <w:marBottom w:val="0"/>
      <w:divBdr>
        <w:top w:val="none" w:sz="0" w:space="0" w:color="auto"/>
        <w:left w:val="none" w:sz="0" w:space="0" w:color="auto"/>
        <w:bottom w:val="none" w:sz="0" w:space="0" w:color="auto"/>
        <w:right w:val="none" w:sz="0" w:space="0" w:color="auto"/>
      </w:divBdr>
    </w:div>
    <w:div w:id="1870291458">
      <w:bodyDiv w:val="1"/>
      <w:marLeft w:val="0"/>
      <w:marRight w:val="0"/>
      <w:marTop w:val="0"/>
      <w:marBottom w:val="0"/>
      <w:divBdr>
        <w:top w:val="none" w:sz="0" w:space="0" w:color="auto"/>
        <w:left w:val="none" w:sz="0" w:space="0" w:color="auto"/>
        <w:bottom w:val="none" w:sz="0" w:space="0" w:color="auto"/>
        <w:right w:val="none" w:sz="0" w:space="0" w:color="auto"/>
      </w:divBdr>
    </w:div>
    <w:div w:id="1870332187">
      <w:bodyDiv w:val="1"/>
      <w:marLeft w:val="0"/>
      <w:marRight w:val="0"/>
      <w:marTop w:val="0"/>
      <w:marBottom w:val="0"/>
      <w:divBdr>
        <w:top w:val="none" w:sz="0" w:space="0" w:color="auto"/>
        <w:left w:val="none" w:sz="0" w:space="0" w:color="auto"/>
        <w:bottom w:val="none" w:sz="0" w:space="0" w:color="auto"/>
        <w:right w:val="none" w:sz="0" w:space="0" w:color="auto"/>
      </w:divBdr>
    </w:div>
    <w:div w:id="1870364342">
      <w:bodyDiv w:val="1"/>
      <w:marLeft w:val="0"/>
      <w:marRight w:val="0"/>
      <w:marTop w:val="0"/>
      <w:marBottom w:val="0"/>
      <w:divBdr>
        <w:top w:val="none" w:sz="0" w:space="0" w:color="auto"/>
        <w:left w:val="none" w:sz="0" w:space="0" w:color="auto"/>
        <w:bottom w:val="none" w:sz="0" w:space="0" w:color="auto"/>
        <w:right w:val="none" w:sz="0" w:space="0" w:color="auto"/>
      </w:divBdr>
    </w:div>
    <w:div w:id="1870412535">
      <w:bodyDiv w:val="1"/>
      <w:marLeft w:val="0"/>
      <w:marRight w:val="0"/>
      <w:marTop w:val="0"/>
      <w:marBottom w:val="0"/>
      <w:divBdr>
        <w:top w:val="none" w:sz="0" w:space="0" w:color="auto"/>
        <w:left w:val="none" w:sz="0" w:space="0" w:color="auto"/>
        <w:bottom w:val="none" w:sz="0" w:space="0" w:color="auto"/>
        <w:right w:val="none" w:sz="0" w:space="0" w:color="auto"/>
      </w:divBdr>
    </w:div>
    <w:div w:id="1870489403">
      <w:bodyDiv w:val="1"/>
      <w:marLeft w:val="0"/>
      <w:marRight w:val="0"/>
      <w:marTop w:val="0"/>
      <w:marBottom w:val="0"/>
      <w:divBdr>
        <w:top w:val="none" w:sz="0" w:space="0" w:color="auto"/>
        <w:left w:val="none" w:sz="0" w:space="0" w:color="auto"/>
        <w:bottom w:val="none" w:sz="0" w:space="0" w:color="auto"/>
        <w:right w:val="none" w:sz="0" w:space="0" w:color="auto"/>
      </w:divBdr>
    </w:div>
    <w:div w:id="1870609340">
      <w:bodyDiv w:val="1"/>
      <w:marLeft w:val="0"/>
      <w:marRight w:val="0"/>
      <w:marTop w:val="0"/>
      <w:marBottom w:val="0"/>
      <w:divBdr>
        <w:top w:val="none" w:sz="0" w:space="0" w:color="auto"/>
        <w:left w:val="none" w:sz="0" w:space="0" w:color="auto"/>
        <w:bottom w:val="none" w:sz="0" w:space="0" w:color="auto"/>
        <w:right w:val="none" w:sz="0" w:space="0" w:color="auto"/>
      </w:divBdr>
    </w:div>
    <w:div w:id="1870682046">
      <w:bodyDiv w:val="1"/>
      <w:marLeft w:val="0"/>
      <w:marRight w:val="0"/>
      <w:marTop w:val="0"/>
      <w:marBottom w:val="0"/>
      <w:divBdr>
        <w:top w:val="none" w:sz="0" w:space="0" w:color="auto"/>
        <w:left w:val="none" w:sz="0" w:space="0" w:color="auto"/>
        <w:bottom w:val="none" w:sz="0" w:space="0" w:color="auto"/>
        <w:right w:val="none" w:sz="0" w:space="0" w:color="auto"/>
      </w:divBdr>
    </w:div>
    <w:div w:id="1870683414">
      <w:bodyDiv w:val="1"/>
      <w:marLeft w:val="0"/>
      <w:marRight w:val="0"/>
      <w:marTop w:val="0"/>
      <w:marBottom w:val="0"/>
      <w:divBdr>
        <w:top w:val="none" w:sz="0" w:space="0" w:color="auto"/>
        <w:left w:val="none" w:sz="0" w:space="0" w:color="auto"/>
        <w:bottom w:val="none" w:sz="0" w:space="0" w:color="auto"/>
        <w:right w:val="none" w:sz="0" w:space="0" w:color="auto"/>
      </w:divBdr>
    </w:div>
    <w:div w:id="1870727620">
      <w:bodyDiv w:val="1"/>
      <w:marLeft w:val="0"/>
      <w:marRight w:val="0"/>
      <w:marTop w:val="0"/>
      <w:marBottom w:val="0"/>
      <w:divBdr>
        <w:top w:val="none" w:sz="0" w:space="0" w:color="auto"/>
        <w:left w:val="none" w:sz="0" w:space="0" w:color="auto"/>
        <w:bottom w:val="none" w:sz="0" w:space="0" w:color="auto"/>
        <w:right w:val="none" w:sz="0" w:space="0" w:color="auto"/>
      </w:divBdr>
    </w:div>
    <w:div w:id="1870754512">
      <w:bodyDiv w:val="1"/>
      <w:marLeft w:val="0"/>
      <w:marRight w:val="0"/>
      <w:marTop w:val="0"/>
      <w:marBottom w:val="0"/>
      <w:divBdr>
        <w:top w:val="none" w:sz="0" w:space="0" w:color="auto"/>
        <w:left w:val="none" w:sz="0" w:space="0" w:color="auto"/>
        <w:bottom w:val="none" w:sz="0" w:space="0" w:color="auto"/>
        <w:right w:val="none" w:sz="0" w:space="0" w:color="auto"/>
      </w:divBdr>
    </w:div>
    <w:div w:id="1870794918">
      <w:bodyDiv w:val="1"/>
      <w:marLeft w:val="0"/>
      <w:marRight w:val="0"/>
      <w:marTop w:val="0"/>
      <w:marBottom w:val="0"/>
      <w:divBdr>
        <w:top w:val="none" w:sz="0" w:space="0" w:color="auto"/>
        <w:left w:val="none" w:sz="0" w:space="0" w:color="auto"/>
        <w:bottom w:val="none" w:sz="0" w:space="0" w:color="auto"/>
        <w:right w:val="none" w:sz="0" w:space="0" w:color="auto"/>
      </w:divBdr>
    </w:div>
    <w:div w:id="1870799872">
      <w:bodyDiv w:val="1"/>
      <w:marLeft w:val="0"/>
      <w:marRight w:val="0"/>
      <w:marTop w:val="0"/>
      <w:marBottom w:val="0"/>
      <w:divBdr>
        <w:top w:val="none" w:sz="0" w:space="0" w:color="auto"/>
        <w:left w:val="none" w:sz="0" w:space="0" w:color="auto"/>
        <w:bottom w:val="none" w:sz="0" w:space="0" w:color="auto"/>
        <w:right w:val="none" w:sz="0" w:space="0" w:color="auto"/>
      </w:divBdr>
    </w:div>
    <w:div w:id="1871187684">
      <w:bodyDiv w:val="1"/>
      <w:marLeft w:val="0"/>
      <w:marRight w:val="0"/>
      <w:marTop w:val="0"/>
      <w:marBottom w:val="0"/>
      <w:divBdr>
        <w:top w:val="none" w:sz="0" w:space="0" w:color="auto"/>
        <w:left w:val="none" w:sz="0" w:space="0" w:color="auto"/>
        <w:bottom w:val="none" w:sz="0" w:space="0" w:color="auto"/>
        <w:right w:val="none" w:sz="0" w:space="0" w:color="auto"/>
      </w:divBdr>
    </w:div>
    <w:div w:id="1871256730">
      <w:bodyDiv w:val="1"/>
      <w:marLeft w:val="0"/>
      <w:marRight w:val="0"/>
      <w:marTop w:val="0"/>
      <w:marBottom w:val="0"/>
      <w:divBdr>
        <w:top w:val="none" w:sz="0" w:space="0" w:color="auto"/>
        <w:left w:val="none" w:sz="0" w:space="0" w:color="auto"/>
        <w:bottom w:val="none" w:sz="0" w:space="0" w:color="auto"/>
        <w:right w:val="none" w:sz="0" w:space="0" w:color="auto"/>
      </w:divBdr>
    </w:div>
    <w:div w:id="1871256743">
      <w:bodyDiv w:val="1"/>
      <w:marLeft w:val="0"/>
      <w:marRight w:val="0"/>
      <w:marTop w:val="0"/>
      <w:marBottom w:val="0"/>
      <w:divBdr>
        <w:top w:val="none" w:sz="0" w:space="0" w:color="auto"/>
        <w:left w:val="none" w:sz="0" w:space="0" w:color="auto"/>
        <w:bottom w:val="none" w:sz="0" w:space="0" w:color="auto"/>
        <w:right w:val="none" w:sz="0" w:space="0" w:color="auto"/>
      </w:divBdr>
    </w:div>
    <w:div w:id="1871333182">
      <w:bodyDiv w:val="1"/>
      <w:marLeft w:val="0"/>
      <w:marRight w:val="0"/>
      <w:marTop w:val="0"/>
      <w:marBottom w:val="0"/>
      <w:divBdr>
        <w:top w:val="none" w:sz="0" w:space="0" w:color="auto"/>
        <w:left w:val="none" w:sz="0" w:space="0" w:color="auto"/>
        <w:bottom w:val="none" w:sz="0" w:space="0" w:color="auto"/>
        <w:right w:val="none" w:sz="0" w:space="0" w:color="auto"/>
      </w:divBdr>
    </w:div>
    <w:div w:id="1871381005">
      <w:bodyDiv w:val="1"/>
      <w:marLeft w:val="0"/>
      <w:marRight w:val="0"/>
      <w:marTop w:val="0"/>
      <w:marBottom w:val="0"/>
      <w:divBdr>
        <w:top w:val="none" w:sz="0" w:space="0" w:color="auto"/>
        <w:left w:val="none" w:sz="0" w:space="0" w:color="auto"/>
        <w:bottom w:val="none" w:sz="0" w:space="0" w:color="auto"/>
        <w:right w:val="none" w:sz="0" w:space="0" w:color="auto"/>
      </w:divBdr>
    </w:div>
    <w:div w:id="1871451176">
      <w:bodyDiv w:val="1"/>
      <w:marLeft w:val="0"/>
      <w:marRight w:val="0"/>
      <w:marTop w:val="0"/>
      <w:marBottom w:val="0"/>
      <w:divBdr>
        <w:top w:val="none" w:sz="0" w:space="0" w:color="auto"/>
        <w:left w:val="none" w:sz="0" w:space="0" w:color="auto"/>
        <w:bottom w:val="none" w:sz="0" w:space="0" w:color="auto"/>
        <w:right w:val="none" w:sz="0" w:space="0" w:color="auto"/>
      </w:divBdr>
    </w:div>
    <w:div w:id="1871453269">
      <w:bodyDiv w:val="1"/>
      <w:marLeft w:val="0"/>
      <w:marRight w:val="0"/>
      <w:marTop w:val="0"/>
      <w:marBottom w:val="0"/>
      <w:divBdr>
        <w:top w:val="none" w:sz="0" w:space="0" w:color="auto"/>
        <w:left w:val="none" w:sz="0" w:space="0" w:color="auto"/>
        <w:bottom w:val="none" w:sz="0" w:space="0" w:color="auto"/>
        <w:right w:val="none" w:sz="0" w:space="0" w:color="auto"/>
      </w:divBdr>
    </w:div>
    <w:div w:id="1871453964">
      <w:bodyDiv w:val="1"/>
      <w:marLeft w:val="0"/>
      <w:marRight w:val="0"/>
      <w:marTop w:val="0"/>
      <w:marBottom w:val="0"/>
      <w:divBdr>
        <w:top w:val="none" w:sz="0" w:space="0" w:color="auto"/>
        <w:left w:val="none" w:sz="0" w:space="0" w:color="auto"/>
        <w:bottom w:val="none" w:sz="0" w:space="0" w:color="auto"/>
        <w:right w:val="none" w:sz="0" w:space="0" w:color="auto"/>
      </w:divBdr>
    </w:div>
    <w:div w:id="1871600286">
      <w:bodyDiv w:val="1"/>
      <w:marLeft w:val="0"/>
      <w:marRight w:val="0"/>
      <w:marTop w:val="0"/>
      <w:marBottom w:val="0"/>
      <w:divBdr>
        <w:top w:val="none" w:sz="0" w:space="0" w:color="auto"/>
        <w:left w:val="none" w:sz="0" w:space="0" w:color="auto"/>
        <w:bottom w:val="none" w:sz="0" w:space="0" w:color="auto"/>
        <w:right w:val="none" w:sz="0" w:space="0" w:color="auto"/>
      </w:divBdr>
    </w:div>
    <w:div w:id="1871607813">
      <w:bodyDiv w:val="1"/>
      <w:marLeft w:val="0"/>
      <w:marRight w:val="0"/>
      <w:marTop w:val="0"/>
      <w:marBottom w:val="0"/>
      <w:divBdr>
        <w:top w:val="none" w:sz="0" w:space="0" w:color="auto"/>
        <w:left w:val="none" w:sz="0" w:space="0" w:color="auto"/>
        <w:bottom w:val="none" w:sz="0" w:space="0" w:color="auto"/>
        <w:right w:val="none" w:sz="0" w:space="0" w:color="auto"/>
      </w:divBdr>
    </w:div>
    <w:div w:id="1871839562">
      <w:bodyDiv w:val="1"/>
      <w:marLeft w:val="0"/>
      <w:marRight w:val="0"/>
      <w:marTop w:val="0"/>
      <w:marBottom w:val="0"/>
      <w:divBdr>
        <w:top w:val="none" w:sz="0" w:space="0" w:color="auto"/>
        <w:left w:val="none" w:sz="0" w:space="0" w:color="auto"/>
        <w:bottom w:val="none" w:sz="0" w:space="0" w:color="auto"/>
        <w:right w:val="none" w:sz="0" w:space="0" w:color="auto"/>
      </w:divBdr>
    </w:div>
    <w:div w:id="1871868998">
      <w:bodyDiv w:val="1"/>
      <w:marLeft w:val="0"/>
      <w:marRight w:val="0"/>
      <w:marTop w:val="0"/>
      <w:marBottom w:val="0"/>
      <w:divBdr>
        <w:top w:val="none" w:sz="0" w:space="0" w:color="auto"/>
        <w:left w:val="none" w:sz="0" w:space="0" w:color="auto"/>
        <w:bottom w:val="none" w:sz="0" w:space="0" w:color="auto"/>
        <w:right w:val="none" w:sz="0" w:space="0" w:color="auto"/>
      </w:divBdr>
    </w:div>
    <w:div w:id="1871869978">
      <w:bodyDiv w:val="1"/>
      <w:marLeft w:val="0"/>
      <w:marRight w:val="0"/>
      <w:marTop w:val="0"/>
      <w:marBottom w:val="0"/>
      <w:divBdr>
        <w:top w:val="none" w:sz="0" w:space="0" w:color="auto"/>
        <w:left w:val="none" w:sz="0" w:space="0" w:color="auto"/>
        <w:bottom w:val="none" w:sz="0" w:space="0" w:color="auto"/>
        <w:right w:val="none" w:sz="0" w:space="0" w:color="auto"/>
      </w:divBdr>
    </w:div>
    <w:div w:id="1871911629">
      <w:bodyDiv w:val="1"/>
      <w:marLeft w:val="0"/>
      <w:marRight w:val="0"/>
      <w:marTop w:val="0"/>
      <w:marBottom w:val="0"/>
      <w:divBdr>
        <w:top w:val="none" w:sz="0" w:space="0" w:color="auto"/>
        <w:left w:val="none" w:sz="0" w:space="0" w:color="auto"/>
        <w:bottom w:val="none" w:sz="0" w:space="0" w:color="auto"/>
        <w:right w:val="none" w:sz="0" w:space="0" w:color="auto"/>
      </w:divBdr>
    </w:div>
    <w:div w:id="1871918929">
      <w:bodyDiv w:val="1"/>
      <w:marLeft w:val="0"/>
      <w:marRight w:val="0"/>
      <w:marTop w:val="0"/>
      <w:marBottom w:val="0"/>
      <w:divBdr>
        <w:top w:val="none" w:sz="0" w:space="0" w:color="auto"/>
        <w:left w:val="none" w:sz="0" w:space="0" w:color="auto"/>
        <w:bottom w:val="none" w:sz="0" w:space="0" w:color="auto"/>
        <w:right w:val="none" w:sz="0" w:space="0" w:color="auto"/>
      </w:divBdr>
    </w:div>
    <w:div w:id="1871988827">
      <w:bodyDiv w:val="1"/>
      <w:marLeft w:val="0"/>
      <w:marRight w:val="0"/>
      <w:marTop w:val="0"/>
      <w:marBottom w:val="0"/>
      <w:divBdr>
        <w:top w:val="none" w:sz="0" w:space="0" w:color="auto"/>
        <w:left w:val="none" w:sz="0" w:space="0" w:color="auto"/>
        <w:bottom w:val="none" w:sz="0" w:space="0" w:color="auto"/>
        <w:right w:val="none" w:sz="0" w:space="0" w:color="auto"/>
      </w:divBdr>
    </w:div>
    <w:div w:id="1872061873">
      <w:bodyDiv w:val="1"/>
      <w:marLeft w:val="0"/>
      <w:marRight w:val="0"/>
      <w:marTop w:val="0"/>
      <w:marBottom w:val="0"/>
      <w:divBdr>
        <w:top w:val="none" w:sz="0" w:space="0" w:color="auto"/>
        <w:left w:val="none" w:sz="0" w:space="0" w:color="auto"/>
        <w:bottom w:val="none" w:sz="0" w:space="0" w:color="auto"/>
        <w:right w:val="none" w:sz="0" w:space="0" w:color="auto"/>
      </w:divBdr>
    </w:div>
    <w:div w:id="1872104214">
      <w:bodyDiv w:val="1"/>
      <w:marLeft w:val="0"/>
      <w:marRight w:val="0"/>
      <w:marTop w:val="0"/>
      <w:marBottom w:val="0"/>
      <w:divBdr>
        <w:top w:val="none" w:sz="0" w:space="0" w:color="auto"/>
        <w:left w:val="none" w:sz="0" w:space="0" w:color="auto"/>
        <w:bottom w:val="none" w:sz="0" w:space="0" w:color="auto"/>
        <w:right w:val="none" w:sz="0" w:space="0" w:color="auto"/>
      </w:divBdr>
    </w:div>
    <w:div w:id="1872104419">
      <w:bodyDiv w:val="1"/>
      <w:marLeft w:val="0"/>
      <w:marRight w:val="0"/>
      <w:marTop w:val="0"/>
      <w:marBottom w:val="0"/>
      <w:divBdr>
        <w:top w:val="none" w:sz="0" w:space="0" w:color="auto"/>
        <w:left w:val="none" w:sz="0" w:space="0" w:color="auto"/>
        <w:bottom w:val="none" w:sz="0" w:space="0" w:color="auto"/>
        <w:right w:val="none" w:sz="0" w:space="0" w:color="auto"/>
      </w:divBdr>
    </w:div>
    <w:div w:id="1872257624">
      <w:bodyDiv w:val="1"/>
      <w:marLeft w:val="0"/>
      <w:marRight w:val="0"/>
      <w:marTop w:val="0"/>
      <w:marBottom w:val="0"/>
      <w:divBdr>
        <w:top w:val="none" w:sz="0" w:space="0" w:color="auto"/>
        <w:left w:val="none" w:sz="0" w:space="0" w:color="auto"/>
        <w:bottom w:val="none" w:sz="0" w:space="0" w:color="auto"/>
        <w:right w:val="none" w:sz="0" w:space="0" w:color="auto"/>
      </w:divBdr>
    </w:div>
    <w:div w:id="1872571844">
      <w:bodyDiv w:val="1"/>
      <w:marLeft w:val="0"/>
      <w:marRight w:val="0"/>
      <w:marTop w:val="0"/>
      <w:marBottom w:val="0"/>
      <w:divBdr>
        <w:top w:val="none" w:sz="0" w:space="0" w:color="auto"/>
        <w:left w:val="none" w:sz="0" w:space="0" w:color="auto"/>
        <w:bottom w:val="none" w:sz="0" w:space="0" w:color="auto"/>
        <w:right w:val="none" w:sz="0" w:space="0" w:color="auto"/>
      </w:divBdr>
    </w:div>
    <w:div w:id="1872573916">
      <w:bodyDiv w:val="1"/>
      <w:marLeft w:val="0"/>
      <w:marRight w:val="0"/>
      <w:marTop w:val="0"/>
      <w:marBottom w:val="0"/>
      <w:divBdr>
        <w:top w:val="none" w:sz="0" w:space="0" w:color="auto"/>
        <w:left w:val="none" w:sz="0" w:space="0" w:color="auto"/>
        <w:bottom w:val="none" w:sz="0" w:space="0" w:color="auto"/>
        <w:right w:val="none" w:sz="0" w:space="0" w:color="auto"/>
      </w:divBdr>
    </w:div>
    <w:div w:id="1872722701">
      <w:bodyDiv w:val="1"/>
      <w:marLeft w:val="0"/>
      <w:marRight w:val="0"/>
      <w:marTop w:val="0"/>
      <w:marBottom w:val="0"/>
      <w:divBdr>
        <w:top w:val="none" w:sz="0" w:space="0" w:color="auto"/>
        <w:left w:val="none" w:sz="0" w:space="0" w:color="auto"/>
        <w:bottom w:val="none" w:sz="0" w:space="0" w:color="auto"/>
        <w:right w:val="none" w:sz="0" w:space="0" w:color="auto"/>
      </w:divBdr>
    </w:div>
    <w:div w:id="1872761181">
      <w:bodyDiv w:val="1"/>
      <w:marLeft w:val="0"/>
      <w:marRight w:val="0"/>
      <w:marTop w:val="0"/>
      <w:marBottom w:val="0"/>
      <w:divBdr>
        <w:top w:val="none" w:sz="0" w:space="0" w:color="auto"/>
        <w:left w:val="none" w:sz="0" w:space="0" w:color="auto"/>
        <w:bottom w:val="none" w:sz="0" w:space="0" w:color="auto"/>
        <w:right w:val="none" w:sz="0" w:space="0" w:color="auto"/>
      </w:divBdr>
    </w:div>
    <w:div w:id="1872840207">
      <w:bodyDiv w:val="1"/>
      <w:marLeft w:val="0"/>
      <w:marRight w:val="0"/>
      <w:marTop w:val="0"/>
      <w:marBottom w:val="0"/>
      <w:divBdr>
        <w:top w:val="none" w:sz="0" w:space="0" w:color="auto"/>
        <w:left w:val="none" w:sz="0" w:space="0" w:color="auto"/>
        <w:bottom w:val="none" w:sz="0" w:space="0" w:color="auto"/>
        <w:right w:val="none" w:sz="0" w:space="0" w:color="auto"/>
      </w:divBdr>
    </w:div>
    <w:div w:id="1872840261">
      <w:bodyDiv w:val="1"/>
      <w:marLeft w:val="0"/>
      <w:marRight w:val="0"/>
      <w:marTop w:val="0"/>
      <w:marBottom w:val="0"/>
      <w:divBdr>
        <w:top w:val="none" w:sz="0" w:space="0" w:color="auto"/>
        <w:left w:val="none" w:sz="0" w:space="0" w:color="auto"/>
        <w:bottom w:val="none" w:sz="0" w:space="0" w:color="auto"/>
        <w:right w:val="none" w:sz="0" w:space="0" w:color="auto"/>
      </w:divBdr>
    </w:div>
    <w:div w:id="1873031455">
      <w:bodyDiv w:val="1"/>
      <w:marLeft w:val="0"/>
      <w:marRight w:val="0"/>
      <w:marTop w:val="0"/>
      <w:marBottom w:val="0"/>
      <w:divBdr>
        <w:top w:val="none" w:sz="0" w:space="0" w:color="auto"/>
        <w:left w:val="none" w:sz="0" w:space="0" w:color="auto"/>
        <w:bottom w:val="none" w:sz="0" w:space="0" w:color="auto"/>
        <w:right w:val="none" w:sz="0" w:space="0" w:color="auto"/>
      </w:divBdr>
    </w:div>
    <w:div w:id="1873036071">
      <w:bodyDiv w:val="1"/>
      <w:marLeft w:val="0"/>
      <w:marRight w:val="0"/>
      <w:marTop w:val="0"/>
      <w:marBottom w:val="0"/>
      <w:divBdr>
        <w:top w:val="none" w:sz="0" w:space="0" w:color="auto"/>
        <w:left w:val="none" w:sz="0" w:space="0" w:color="auto"/>
        <w:bottom w:val="none" w:sz="0" w:space="0" w:color="auto"/>
        <w:right w:val="none" w:sz="0" w:space="0" w:color="auto"/>
      </w:divBdr>
    </w:div>
    <w:div w:id="1873036740">
      <w:bodyDiv w:val="1"/>
      <w:marLeft w:val="0"/>
      <w:marRight w:val="0"/>
      <w:marTop w:val="0"/>
      <w:marBottom w:val="0"/>
      <w:divBdr>
        <w:top w:val="none" w:sz="0" w:space="0" w:color="auto"/>
        <w:left w:val="none" w:sz="0" w:space="0" w:color="auto"/>
        <w:bottom w:val="none" w:sz="0" w:space="0" w:color="auto"/>
        <w:right w:val="none" w:sz="0" w:space="0" w:color="auto"/>
      </w:divBdr>
    </w:div>
    <w:div w:id="1873111029">
      <w:bodyDiv w:val="1"/>
      <w:marLeft w:val="0"/>
      <w:marRight w:val="0"/>
      <w:marTop w:val="0"/>
      <w:marBottom w:val="0"/>
      <w:divBdr>
        <w:top w:val="none" w:sz="0" w:space="0" w:color="auto"/>
        <w:left w:val="none" w:sz="0" w:space="0" w:color="auto"/>
        <w:bottom w:val="none" w:sz="0" w:space="0" w:color="auto"/>
        <w:right w:val="none" w:sz="0" w:space="0" w:color="auto"/>
      </w:divBdr>
    </w:div>
    <w:div w:id="1873155477">
      <w:bodyDiv w:val="1"/>
      <w:marLeft w:val="0"/>
      <w:marRight w:val="0"/>
      <w:marTop w:val="0"/>
      <w:marBottom w:val="0"/>
      <w:divBdr>
        <w:top w:val="none" w:sz="0" w:space="0" w:color="auto"/>
        <w:left w:val="none" w:sz="0" w:space="0" w:color="auto"/>
        <w:bottom w:val="none" w:sz="0" w:space="0" w:color="auto"/>
        <w:right w:val="none" w:sz="0" w:space="0" w:color="auto"/>
      </w:divBdr>
    </w:div>
    <w:div w:id="1873182692">
      <w:bodyDiv w:val="1"/>
      <w:marLeft w:val="0"/>
      <w:marRight w:val="0"/>
      <w:marTop w:val="0"/>
      <w:marBottom w:val="0"/>
      <w:divBdr>
        <w:top w:val="none" w:sz="0" w:space="0" w:color="auto"/>
        <w:left w:val="none" w:sz="0" w:space="0" w:color="auto"/>
        <w:bottom w:val="none" w:sz="0" w:space="0" w:color="auto"/>
        <w:right w:val="none" w:sz="0" w:space="0" w:color="auto"/>
      </w:divBdr>
    </w:div>
    <w:div w:id="1873230057">
      <w:bodyDiv w:val="1"/>
      <w:marLeft w:val="0"/>
      <w:marRight w:val="0"/>
      <w:marTop w:val="0"/>
      <w:marBottom w:val="0"/>
      <w:divBdr>
        <w:top w:val="none" w:sz="0" w:space="0" w:color="auto"/>
        <w:left w:val="none" w:sz="0" w:space="0" w:color="auto"/>
        <w:bottom w:val="none" w:sz="0" w:space="0" w:color="auto"/>
        <w:right w:val="none" w:sz="0" w:space="0" w:color="auto"/>
      </w:divBdr>
    </w:div>
    <w:div w:id="1873372100">
      <w:bodyDiv w:val="1"/>
      <w:marLeft w:val="0"/>
      <w:marRight w:val="0"/>
      <w:marTop w:val="0"/>
      <w:marBottom w:val="0"/>
      <w:divBdr>
        <w:top w:val="none" w:sz="0" w:space="0" w:color="auto"/>
        <w:left w:val="none" w:sz="0" w:space="0" w:color="auto"/>
        <w:bottom w:val="none" w:sz="0" w:space="0" w:color="auto"/>
        <w:right w:val="none" w:sz="0" w:space="0" w:color="auto"/>
      </w:divBdr>
    </w:div>
    <w:div w:id="1873422348">
      <w:bodyDiv w:val="1"/>
      <w:marLeft w:val="0"/>
      <w:marRight w:val="0"/>
      <w:marTop w:val="0"/>
      <w:marBottom w:val="0"/>
      <w:divBdr>
        <w:top w:val="none" w:sz="0" w:space="0" w:color="auto"/>
        <w:left w:val="none" w:sz="0" w:space="0" w:color="auto"/>
        <w:bottom w:val="none" w:sz="0" w:space="0" w:color="auto"/>
        <w:right w:val="none" w:sz="0" w:space="0" w:color="auto"/>
      </w:divBdr>
    </w:div>
    <w:div w:id="1873567678">
      <w:bodyDiv w:val="1"/>
      <w:marLeft w:val="0"/>
      <w:marRight w:val="0"/>
      <w:marTop w:val="0"/>
      <w:marBottom w:val="0"/>
      <w:divBdr>
        <w:top w:val="none" w:sz="0" w:space="0" w:color="auto"/>
        <w:left w:val="none" w:sz="0" w:space="0" w:color="auto"/>
        <w:bottom w:val="none" w:sz="0" w:space="0" w:color="auto"/>
        <w:right w:val="none" w:sz="0" w:space="0" w:color="auto"/>
      </w:divBdr>
    </w:div>
    <w:div w:id="1873611981">
      <w:bodyDiv w:val="1"/>
      <w:marLeft w:val="0"/>
      <w:marRight w:val="0"/>
      <w:marTop w:val="0"/>
      <w:marBottom w:val="0"/>
      <w:divBdr>
        <w:top w:val="none" w:sz="0" w:space="0" w:color="auto"/>
        <w:left w:val="none" w:sz="0" w:space="0" w:color="auto"/>
        <w:bottom w:val="none" w:sz="0" w:space="0" w:color="auto"/>
        <w:right w:val="none" w:sz="0" w:space="0" w:color="auto"/>
      </w:divBdr>
    </w:div>
    <w:div w:id="1873683347">
      <w:bodyDiv w:val="1"/>
      <w:marLeft w:val="0"/>
      <w:marRight w:val="0"/>
      <w:marTop w:val="0"/>
      <w:marBottom w:val="0"/>
      <w:divBdr>
        <w:top w:val="none" w:sz="0" w:space="0" w:color="auto"/>
        <w:left w:val="none" w:sz="0" w:space="0" w:color="auto"/>
        <w:bottom w:val="none" w:sz="0" w:space="0" w:color="auto"/>
        <w:right w:val="none" w:sz="0" w:space="0" w:color="auto"/>
      </w:divBdr>
    </w:div>
    <w:div w:id="1873689552">
      <w:bodyDiv w:val="1"/>
      <w:marLeft w:val="0"/>
      <w:marRight w:val="0"/>
      <w:marTop w:val="0"/>
      <w:marBottom w:val="0"/>
      <w:divBdr>
        <w:top w:val="none" w:sz="0" w:space="0" w:color="auto"/>
        <w:left w:val="none" w:sz="0" w:space="0" w:color="auto"/>
        <w:bottom w:val="none" w:sz="0" w:space="0" w:color="auto"/>
        <w:right w:val="none" w:sz="0" w:space="0" w:color="auto"/>
      </w:divBdr>
    </w:div>
    <w:div w:id="1873691571">
      <w:bodyDiv w:val="1"/>
      <w:marLeft w:val="0"/>
      <w:marRight w:val="0"/>
      <w:marTop w:val="0"/>
      <w:marBottom w:val="0"/>
      <w:divBdr>
        <w:top w:val="none" w:sz="0" w:space="0" w:color="auto"/>
        <w:left w:val="none" w:sz="0" w:space="0" w:color="auto"/>
        <w:bottom w:val="none" w:sz="0" w:space="0" w:color="auto"/>
        <w:right w:val="none" w:sz="0" w:space="0" w:color="auto"/>
      </w:divBdr>
    </w:div>
    <w:div w:id="1873760510">
      <w:bodyDiv w:val="1"/>
      <w:marLeft w:val="0"/>
      <w:marRight w:val="0"/>
      <w:marTop w:val="0"/>
      <w:marBottom w:val="0"/>
      <w:divBdr>
        <w:top w:val="none" w:sz="0" w:space="0" w:color="auto"/>
        <w:left w:val="none" w:sz="0" w:space="0" w:color="auto"/>
        <w:bottom w:val="none" w:sz="0" w:space="0" w:color="auto"/>
        <w:right w:val="none" w:sz="0" w:space="0" w:color="auto"/>
      </w:divBdr>
    </w:div>
    <w:div w:id="1873765405">
      <w:bodyDiv w:val="1"/>
      <w:marLeft w:val="0"/>
      <w:marRight w:val="0"/>
      <w:marTop w:val="0"/>
      <w:marBottom w:val="0"/>
      <w:divBdr>
        <w:top w:val="none" w:sz="0" w:space="0" w:color="auto"/>
        <w:left w:val="none" w:sz="0" w:space="0" w:color="auto"/>
        <w:bottom w:val="none" w:sz="0" w:space="0" w:color="auto"/>
        <w:right w:val="none" w:sz="0" w:space="0" w:color="auto"/>
      </w:divBdr>
    </w:div>
    <w:div w:id="1873809354">
      <w:bodyDiv w:val="1"/>
      <w:marLeft w:val="0"/>
      <w:marRight w:val="0"/>
      <w:marTop w:val="0"/>
      <w:marBottom w:val="0"/>
      <w:divBdr>
        <w:top w:val="none" w:sz="0" w:space="0" w:color="auto"/>
        <w:left w:val="none" w:sz="0" w:space="0" w:color="auto"/>
        <w:bottom w:val="none" w:sz="0" w:space="0" w:color="auto"/>
        <w:right w:val="none" w:sz="0" w:space="0" w:color="auto"/>
      </w:divBdr>
    </w:div>
    <w:div w:id="1874034062">
      <w:bodyDiv w:val="1"/>
      <w:marLeft w:val="0"/>
      <w:marRight w:val="0"/>
      <w:marTop w:val="0"/>
      <w:marBottom w:val="0"/>
      <w:divBdr>
        <w:top w:val="none" w:sz="0" w:space="0" w:color="auto"/>
        <w:left w:val="none" w:sz="0" w:space="0" w:color="auto"/>
        <w:bottom w:val="none" w:sz="0" w:space="0" w:color="auto"/>
        <w:right w:val="none" w:sz="0" w:space="0" w:color="auto"/>
      </w:divBdr>
    </w:div>
    <w:div w:id="1874069999">
      <w:bodyDiv w:val="1"/>
      <w:marLeft w:val="0"/>
      <w:marRight w:val="0"/>
      <w:marTop w:val="0"/>
      <w:marBottom w:val="0"/>
      <w:divBdr>
        <w:top w:val="none" w:sz="0" w:space="0" w:color="auto"/>
        <w:left w:val="none" w:sz="0" w:space="0" w:color="auto"/>
        <w:bottom w:val="none" w:sz="0" w:space="0" w:color="auto"/>
        <w:right w:val="none" w:sz="0" w:space="0" w:color="auto"/>
      </w:divBdr>
    </w:div>
    <w:div w:id="1874079183">
      <w:bodyDiv w:val="1"/>
      <w:marLeft w:val="0"/>
      <w:marRight w:val="0"/>
      <w:marTop w:val="0"/>
      <w:marBottom w:val="0"/>
      <w:divBdr>
        <w:top w:val="none" w:sz="0" w:space="0" w:color="auto"/>
        <w:left w:val="none" w:sz="0" w:space="0" w:color="auto"/>
        <w:bottom w:val="none" w:sz="0" w:space="0" w:color="auto"/>
        <w:right w:val="none" w:sz="0" w:space="0" w:color="auto"/>
      </w:divBdr>
    </w:div>
    <w:div w:id="1874146148">
      <w:bodyDiv w:val="1"/>
      <w:marLeft w:val="0"/>
      <w:marRight w:val="0"/>
      <w:marTop w:val="0"/>
      <w:marBottom w:val="0"/>
      <w:divBdr>
        <w:top w:val="none" w:sz="0" w:space="0" w:color="auto"/>
        <w:left w:val="none" w:sz="0" w:space="0" w:color="auto"/>
        <w:bottom w:val="none" w:sz="0" w:space="0" w:color="auto"/>
        <w:right w:val="none" w:sz="0" w:space="0" w:color="auto"/>
      </w:divBdr>
    </w:div>
    <w:div w:id="1874224907">
      <w:bodyDiv w:val="1"/>
      <w:marLeft w:val="0"/>
      <w:marRight w:val="0"/>
      <w:marTop w:val="0"/>
      <w:marBottom w:val="0"/>
      <w:divBdr>
        <w:top w:val="none" w:sz="0" w:space="0" w:color="auto"/>
        <w:left w:val="none" w:sz="0" w:space="0" w:color="auto"/>
        <w:bottom w:val="none" w:sz="0" w:space="0" w:color="auto"/>
        <w:right w:val="none" w:sz="0" w:space="0" w:color="auto"/>
      </w:divBdr>
    </w:div>
    <w:div w:id="1874267991">
      <w:bodyDiv w:val="1"/>
      <w:marLeft w:val="0"/>
      <w:marRight w:val="0"/>
      <w:marTop w:val="0"/>
      <w:marBottom w:val="0"/>
      <w:divBdr>
        <w:top w:val="none" w:sz="0" w:space="0" w:color="auto"/>
        <w:left w:val="none" w:sz="0" w:space="0" w:color="auto"/>
        <w:bottom w:val="none" w:sz="0" w:space="0" w:color="auto"/>
        <w:right w:val="none" w:sz="0" w:space="0" w:color="auto"/>
      </w:divBdr>
    </w:div>
    <w:div w:id="1874347416">
      <w:bodyDiv w:val="1"/>
      <w:marLeft w:val="0"/>
      <w:marRight w:val="0"/>
      <w:marTop w:val="0"/>
      <w:marBottom w:val="0"/>
      <w:divBdr>
        <w:top w:val="none" w:sz="0" w:space="0" w:color="auto"/>
        <w:left w:val="none" w:sz="0" w:space="0" w:color="auto"/>
        <w:bottom w:val="none" w:sz="0" w:space="0" w:color="auto"/>
        <w:right w:val="none" w:sz="0" w:space="0" w:color="auto"/>
      </w:divBdr>
    </w:div>
    <w:div w:id="1874489351">
      <w:bodyDiv w:val="1"/>
      <w:marLeft w:val="0"/>
      <w:marRight w:val="0"/>
      <w:marTop w:val="0"/>
      <w:marBottom w:val="0"/>
      <w:divBdr>
        <w:top w:val="none" w:sz="0" w:space="0" w:color="auto"/>
        <w:left w:val="none" w:sz="0" w:space="0" w:color="auto"/>
        <w:bottom w:val="none" w:sz="0" w:space="0" w:color="auto"/>
        <w:right w:val="none" w:sz="0" w:space="0" w:color="auto"/>
      </w:divBdr>
    </w:div>
    <w:div w:id="1874492089">
      <w:bodyDiv w:val="1"/>
      <w:marLeft w:val="0"/>
      <w:marRight w:val="0"/>
      <w:marTop w:val="0"/>
      <w:marBottom w:val="0"/>
      <w:divBdr>
        <w:top w:val="none" w:sz="0" w:space="0" w:color="auto"/>
        <w:left w:val="none" w:sz="0" w:space="0" w:color="auto"/>
        <w:bottom w:val="none" w:sz="0" w:space="0" w:color="auto"/>
        <w:right w:val="none" w:sz="0" w:space="0" w:color="auto"/>
      </w:divBdr>
    </w:div>
    <w:div w:id="1874493186">
      <w:bodyDiv w:val="1"/>
      <w:marLeft w:val="0"/>
      <w:marRight w:val="0"/>
      <w:marTop w:val="0"/>
      <w:marBottom w:val="0"/>
      <w:divBdr>
        <w:top w:val="none" w:sz="0" w:space="0" w:color="auto"/>
        <w:left w:val="none" w:sz="0" w:space="0" w:color="auto"/>
        <w:bottom w:val="none" w:sz="0" w:space="0" w:color="auto"/>
        <w:right w:val="none" w:sz="0" w:space="0" w:color="auto"/>
      </w:divBdr>
    </w:div>
    <w:div w:id="1874541395">
      <w:bodyDiv w:val="1"/>
      <w:marLeft w:val="0"/>
      <w:marRight w:val="0"/>
      <w:marTop w:val="0"/>
      <w:marBottom w:val="0"/>
      <w:divBdr>
        <w:top w:val="none" w:sz="0" w:space="0" w:color="auto"/>
        <w:left w:val="none" w:sz="0" w:space="0" w:color="auto"/>
        <w:bottom w:val="none" w:sz="0" w:space="0" w:color="auto"/>
        <w:right w:val="none" w:sz="0" w:space="0" w:color="auto"/>
      </w:divBdr>
    </w:div>
    <w:div w:id="1874684632">
      <w:bodyDiv w:val="1"/>
      <w:marLeft w:val="0"/>
      <w:marRight w:val="0"/>
      <w:marTop w:val="0"/>
      <w:marBottom w:val="0"/>
      <w:divBdr>
        <w:top w:val="none" w:sz="0" w:space="0" w:color="auto"/>
        <w:left w:val="none" w:sz="0" w:space="0" w:color="auto"/>
        <w:bottom w:val="none" w:sz="0" w:space="0" w:color="auto"/>
        <w:right w:val="none" w:sz="0" w:space="0" w:color="auto"/>
      </w:divBdr>
    </w:div>
    <w:div w:id="1874686979">
      <w:bodyDiv w:val="1"/>
      <w:marLeft w:val="0"/>
      <w:marRight w:val="0"/>
      <w:marTop w:val="0"/>
      <w:marBottom w:val="0"/>
      <w:divBdr>
        <w:top w:val="none" w:sz="0" w:space="0" w:color="auto"/>
        <w:left w:val="none" w:sz="0" w:space="0" w:color="auto"/>
        <w:bottom w:val="none" w:sz="0" w:space="0" w:color="auto"/>
        <w:right w:val="none" w:sz="0" w:space="0" w:color="auto"/>
      </w:divBdr>
    </w:div>
    <w:div w:id="1874730800">
      <w:bodyDiv w:val="1"/>
      <w:marLeft w:val="0"/>
      <w:marRight w:val="0"/>
      <w:marTop w:val="0"/>
      <w:marBottom w:val="0"/>
      <w:divBdr>
        <w:top w:val="none" w:sz="0" w:space="0" w:color="auto"/>
        <w:left w:val="none" w:sz="0" w:space="0" w:color="auto"/>
        <w:bottom w:val="none" w:sz="0" w:space="0" w:color="auto"/>
        <w:right w:val="none" w:sz="0" w:space="0" w:color="auto"/>
      </w:divBdr>
    </w:div>
    <w:div w:id="1874730928">
      <w:bodyDiv w:val="1"/>
      <w:marLeft w:val="0"/>
      <w:marRight w:val="0"/>
      <w:marTop w:val="0"/>
      <w:marBottom w:val="0"/>
      <w:divBdr>
        <w:top w:val="none" w:sz="0" w:space="0" w:color="auto"/>
        <w:left w:val="none" w:sz="0" w:space="0" w:color="auto"/>
        <w:bottom w:val="none" w:sz="0" w:space="0" w:color="auto"/>
        <w:right w:val="none" w:sz="0" w:space="0" w:color="auto"/>
      </w:divBdr>
    </w:div>
    <w:div w:id="1874877074">
      <w:bodyDiv w:val="1"/>
      <w:marLeft w:val="0"/>
      <w:marRight w:val="0"/>
      <w:marTop w:val="0"/>
      <w:marBottom w:val="0"/>
      <w:divBdr>
        <w:top w:val="none" w:sz="0" w:space="0" w:color="auto"/>
        <w:left w:val="none" w:sz="0" w:space="0" w:color="auto"/>
        <w:bottom w:val="none" w:sz="0" w:space="0" w:color="auto"/>
        <w:right w:val="none" w:sz="0" w:space="0" w:color="auto"/>
      </w:divBdr>
    </w:div>
    <w:div w:id="1875187039">
      <w:bodyDiv w:val="1"/>
      <w:marLeft w:val="0"/>
      <w:marRight w:val="0"/>
      <w:marTop w:val="0"/>
      <w:marBottom w:val="0"/>
      <w:divBdr>
        <w:top w:val="none" w:sz="0" w:space="0" w:color="auto"/>
        <w:left w:val="none" w:sz="0" w:space="0" w:color="auto"/>
        <w:bottom w:val="none" w:sz="0" w:space="0" w:color="auto"/>
        <w:right w:val="none" w:sz="0" w:space="0" w:color="auto"/>
      </w:divBdr>
    </w:div>
    <w:div w:id="1875381061">
      <w:bodyDiv w:val="1"/>
      <w:marLeft w:val="0"/>
      <w:marRight w:val="0"/>
      <w:marTop w:val="0"/>
      <w:marBottom w:val="0"/>
      <w:divBdr>
        <w:top w:val="none" w:sz="0" w:space="0" w:color="auto"/>
        <w:left w:val="none" w:sz="0" w:space="0" w:color="auto"/>
        <w:bottom w:val="none" w:sz="0" w:space="0" w:color="auto"/>
        <w:right w:val="none" w:sz="0" w:space="0" w:color="auto"/>
      </w:divBdr>
    </w:div>
    <w:div w:id="1875653494">
      <w:bodyDiv w:val="1"/>
      <w:marLeft w:val="0"/>
      <w:marRight w:val="0"/>
      <w:marTop w:val="0"/>
      <w:marBottom w:val="0"/>
      <w:divBdr>
        <w:top w:val="none" w:sz="0" w:space="0" w:color="auto"/>
        <w:left w:val="none" w:sz="0" w:space="0" w:color="auto"/>
        <w:bottom w:val="none" w:sz="0" w:space="0" w:color="auto"/>
        <w:right w:val="none" w:sz="0" w:space="0" w:color="auto"/>
      </w:divBdr>
    </w:div>
    <w:div w:id="1875919032">
      <w:bodyDiv w:val="1"/>
      <w:marLeft w:val="0"/>
      <w:marRight w:val="0"/>
      <w:marTop w:val="0"/>
      <w:marBottom w:val="0"/>
      <w:divBdr>
        <w:top w:val="none" w:sz="0" w:space="0" w:color="auto"/>
        <w:left w:val="none" w:sz="0" w:space="0" w:color="auto"/>
        <w:bottom w:val="none" w:sz="0" w:space="0" w:color="auto"/>
        <w:right w:val="none" w:sz="0" w:space="0" w:color="auto"/>
      </w:divBdr>
    </w:div>
    <w:div w:id="1875921676">
      <w:bodyDiv w:val="1"/>
      <w:marLeft w:val="0"/>
      <w:marRight w:val="0"/>
      <w:marTop w:val="0"/>
      <w:marBottom w:val="0"/>
      <w:divBdr>
        <w:top w:val="none" w:sz="0" w:space="0" w:color="auto"/>
        <w:left w:val="none" w:sz="0" w:space="0" w:color="auto"/>
        <w:bottom w:val="none" w:sz="0" w:space="0" w:color="auto"/>
        <w:right w:val="none" w:sz="0" w:space="0" w:color="auto"/>
      </w:divBdr>
    </w:div>
    <w:div w:id="1875998250">
      <w:bodyDiv w:val="1"/>
      <w:marLeft w:val="0"/>
      <w:marRight w:val="0"/>
      <w:marTop w:val="0"/>
      <w:marBottom w:val="0"/>
      <w:divBdr>
        <w:top w:val="none" w:sz="0" w:space="0" w:color="auto"/>
        <w:left w:val="none" w:sz="0" w:space="0" w:color="auto"/>
        <w:bottom w:val="none" w:sz="0" w:space="0" w:color="auto"/>
        <w:right w:val="none" w:sz="0" w:space="0" w:color="auto"/>
      </w:divBdr>
    </w:div>
    <w:div w:id="1875999922">
      <w:bodyDiv w:val="1"/>
      <w:marLeft w:val="0"/>
      <w:marRight w:val="0"/>
      <w:marTop w:val="0"/>
      <w:marBottom w:val="0"/>
      <w:divBdr>
        <w:top w:val="none" w:sz="0" w:space="0" w:color="auto"/>
        <w:left w:val="none" w:sz="0" w:space="0" w:color="auto"/>
        <w:bottom w:val="none" w:sz="0" w:space="0" w:color="auto"/>
        <w:right w:val="none" w:sz="0" w:space="0" w:color="auto"/>
      </w:divBdr>
    </w:div>
    <w:div w:id="1876114194">
      <w:bodyDiv w:val="1"/>
      <w:marLeft w:val="0"/>
      <w:marRight w:val="0"/>
      <w:marTop w:val="0"/>
      <w:marBottom w:val="0"/>
      <w:divBdr>
        <w:top w:val="none" w:sz="0" w:space="0" w:color="auto"/>
        <w:left w:val="none" w:sz="0" w:space="0" w:color="auto"/>
        <w:bottom w:val="none" w:sz="0" w:space="0" w:color="auto"/>
        <w:right w:val="none" w:sz="0" w:space="0" w:color="auto"/>
      </w:divBdr>
    </w:div>
    <w:div w:id="1876117942">
      <w:bodyDiv w:val="1"/>
      <w:marLeft w:val="0"/>
      <w:marRight w:val="0"/>
      <w:marTop w:val="0"/>
      <w:marBottom w:val="0"/>
      <w:divBdr>
        <w:top w:val="none" w:sz="0" w:space="0" w:color="auto"/>
        <w:left w:val="none" w:sz="0" w:space="0" w:color="auto"/>
        <w:bottom w:val="none" w:sz="0" w:space="0" w:color="auto"/>
        <w:right w:val="none" w:sz="0" w:space="0" w:color="auto"/>
      </w:divBdr>
    </w:div>
    <w:div w:id="1876191228">
      <w:bodyDiv w:val="1"/>
      <w:marLeft w:val="0"/>
      <w:marRight w:val="0"/>
      <w:marTop w:val="0"/>
      <w:marBottom w:val="0"/>
      <w:divBdr>
        <w:top w:val="none" w:sz="0" w:space="0" w:color="auto"/>
        <w:left w:val="none" w:sz="0" w:space="0" w:color="auto"/>
        <w:bottom w:val="none" w:sz="0" w:space="0" w:color="auto"/>
        <w:right w:val="none" w:sz="0" w:space="0" w:color="auto"/>
      </w:divBdr>
    </w:div>
    <w:div w:id="1876261928">
      <w:bodyDiv w:val="1"/>
      <w:marLeft w:val="0"/>
      <w:marRight w:val="0"/>
      <w:marTop w:val="0"/>
      <w:marBottom w:val="0"/>
      <w:divBdr>
        <w:top w:val="none" w:sz="0" w:space="0" w:color="auto"/>
        <w:left w:val="none" w:sz="0" w:space="0" w:color="auto"/>
        <w:bottom w:val="none" w:sz="0" w:space="0" w:color="auto"/>
        <w:right w:val="none" w:sz="0" w:space="0" w:color="auto"/>
      </w:divBdr>
    </w:div>
    <w:div w:id="1876310642">
      <w:bodyDiv w:val="1"/>
      <w:marLeft w:val="0"/>
      <w:marRight w:val="0"/>
      <w:marTop w:val="0"/>
      <w:marBottom w:val="0"/>
      <w:divBdr>
        <w:top w:val="none" w:sz="0" w:space="0" w:color="auto"/>
        <w:left w:val="none" w:sz="0" w:space="0" w:color="auto"/>
        <w:bottom w:val="none" w:sz="0" w:space="0" w:color="auto"/>
        <w:right w:val="none" w:sz="0" w:space="0" w:color="auto"/>
      </w:divBdr>
    </w:div>
    <w:div w:id="1876311462">
      <w:bodyDiv w:val="1"/>
      <w:marLeft w:val="0"/>
      <w:marRight w:val="0"/>
      <w:marTop w:val="0"/>
      <w:marBottom w:val="0"/>
      <w:divBdr>
        <w:top w:val="none" w:sz="0" w:space="0" w:color="auto"/>
        <w:left w:val="none" w:sz="0" w:space="0" w:color="auto"/>
        <w:bottom w:val="none" w:sz="0" w:space="0" w:color="auto"/>
        <w:right w:val="none" w:sz="0" w:space="0" w:color="auto"/>
      </w:divBdr>
    </w:div>
    <w:div w:id="1876383871">
      <w:bodyDiv w:val="1"/>
      <w:marLeft w:val="0"/>
      <w:marRight w:val="0"/>
      <w:marTop w:val="0"/>
      <w:marBottom w:val="0"/>
      <w:divBdr>
        <w:top w:val="none" w:sz="0" w:space="0" w:color="auto"/>
        <w:left w:val="none" w:sz="0" w:space="0" w:color="auto"/>
        <w:bottom w:val="none" w:sz="0" w:space="0" w:color="auto"/>
        <w:right w:val="none" w:sz="0" w:space="0" w:color="auto"/>
      </w:divBdr>
    </w:div>
    <w:div w:id="1876385269">
      <w:bodyDiv w:val="1"/>
      <w:marLeft w:val="0"/>
      <w:marRight w:val="0"/>
      <w:marTop w:val="0"/>
      <w:marBottom w:val="0"/>
      <w:divBdr>
        <w:top w:val="none" w:sz="0" w:space="0" w:color="auto"/>
        <w:left w:val="none" w:sz="0" w:space="0" w:color="auto"/>
        <w:bottom w:val="none" w:sz="0" w:space="0" w:color="auto"/>
        <w:right w:val="none" w:sz="0" w:space="0" w:color="auto"/>
      </w:divBdr>
    </w:div>
    <w:div w:id="1876385398">
      <w:bodyDiv w:val="1"/>
      <w:marLeft w:val="0"/>
      <w:marRight w:val="0"/>
      <w:marTop w:val="0"/>
      <w:marBottom w:val="0"/>
      <w:divBdr>
        <w:top w:val="none" w:sz="0" w:space="0" w:color="auto"/>
        <w:left w:val="none" w:sz="0" w:space="0" w:color="auto"/>
        <w:bottom w:val="none" w:sz="0" w:space="0" w:color="auto"/>
        <w:right w:val="none" w:sz="0" w:space="0" w:color="auto"/>
      </w:divBdr>
    </w:div>
    <w:div w:id="1876386112">
      <w:bodyDiv w:val="1"/>
      <w:marLeft w:val="0"/>
      <w:marRight w:val="0"/>
      <w:marTop w:val="0"/>
      <w:marBottom w:val="0"/>
      <w:divBdr>
        <w:top w:val="none" w:sz="0" w:space="0" w:color="auto"/>
        <w:left w:val="none" w:sz="0" w:space="0" w:color="auto"/>
        <w:bottom w:val="none" w:sz="0" w:space="0" w:color="auto"/>
        <w:right w:val="none" w:sz="0" w:space="0" w:color="auto"/>
      </w:divBdr>
    </w:div>
    <w:div w:id="1876430773">
      <w:bodyDiv w:val="1"/>
      <w:marLeft w:val="0"/>
      <w:marRight w:val="0"/>
      <w:marTop w:val="0"/>
      <w:marBottom w:val="0"/>
      <w:divBdr>
        <w:top w:val="none" w:sz="0" w:space="0" w:color="auto"/>
        <w:left w:val="none" w:sz="0" w:space="0" w:color="auto"/>
        <w:bottom w:val="none" w:sz="0" w:space="0" w:color="auto"/>
        <w:right w:val="none" w:sz="0" w:space="0" w:color="auto"/>
      </w:divBdr>
    </w:div>
    <w:div w:id="1876455100">
      <w:bodyDiv w:val="1"/>
      <w:marLeft w:val="0"/>
      <w:marRight w:val="0"/>
      <w:marTop w:val="0"/>
      <w:marBottom w:val="0"/>
      <w:divBdr>
        <w:top w:val="none" w:sz="0" w:space="0" w:color="auto"/>
        <w:left w:val="none" w:sz="0" w:space="0" w:color="auto"/>
        <w:bottom w:val="none" w:sz="0" w:space="0" w:color="auto"/>
        <w:right w:val="none" w:sz="0" w:space="0" w:color="auto"/>
      </w:divBdr>
    </w:div>
    <w:div w:id="1876459319">
      <w:bodyDiv w:val="1"/>
      <w:marLeft w:val="0"/>
      <w:marRight w:val="0"/>
      <w:marTop w:val="0"/>
      <w:marBottom w:val="0"/>
      <w:divBdr>
        <w:top w:val="none" w:sz="0" w:space="0" w:color="auto"/>
        <w:left w:val="none" w:sz="0" w:space="0" w:color="auto"/>
        <w:bottom w:val="none" w:sz="0" w:space="0" w:color="auto"/>
        <w:right w:val="none" w:sz="0" w:space="0" w:color="auto"/>
      </w:divBdr>
    </w:div>
    <w:div w:id="1876499984">
      <w:bodyDiv w:val="1"/>
      <w:marLeft w:val="0"/>
      <w:marRight w:val="0"/>
      <w:marTop w:val="0"/>
      <w:marBottom w:val="0"/>
      <w:divBdr>
        <w:top w:val="none" w:sz="0" w:space="0" w:color="auto"/>
        <w:left w:val="none" w:sz="0" w:space="0" w:color="auto"/>
        <w:bottom w:val="none" w:sz="0" w:space="0" w:color="auto"/>
        <w:right w:val="none" w:sz="0" w:space="0" w:color="auto"/>
      </w:divBdr>
    </w:div>
    <w:div w:id="1876696713">
      <w:bodyDiv w:val="1"/>
      <w:marLeft w:val="0"/>
      <w:marRight w:val="0"/>
      <w:marTop w:val="0"/>
      <w:marBottom w:val="0"/>
      <w:divBdr>
        <w:top w:val="none" w:sz="0" w:space="0" w:color="auto"/>
        <w:left w:val="none" w:sz="0" w:space="0" w:color="auto"/>
        <w:bottom w:val="none" w:sz="0" w:space="0" w:color="auto"/>
        <w:right w:val="none" w:sz="0" w:space="0" w:color="auto"/>
      </w:divBdr>
    </w:div>
    <w:div w:id="1876774803">
      <w:bodyDiv w:val="1"/>
      <w:marLeft w:val="0"/>
      <w:marRight w:val="0"/>
      <w:marTop w:val="0"/>
      <w:marBottom w:val="0"/>
      <w:divBdr>
        <w:top w:val="none" w:sz="0" w:space="0" w:color="auto"/>
        <w:left w:val="none" w:sz="0" w:space="0" w:color="auto"/>
        <w:bottom w:val="none" w:sz="0" w:space="0" w:color="auto"/>
        <w:right w:val="none" w:sz="0" w:space="0" w:color="auto"/>
      </w:divBdr>
    </w:div>
    <w:div w:id="1876887597">
      <w:bodyDiv w:val="1"/>
      <w:marLeft w:val="0"/>
      <w:marRight w:val="0"/>
      <w:marTop w:val="0"/>
      <w:marBottom w:val="0"/>
      <w:divBdr>
        <w:top w:val="none" w:sz="0" w:space="0" w:color="auto"/>
        <w:left w:val="none" w:sz="0" w:space="0" w:color="auto"/>
        <w:bottom w:val="none" w:sz="0" w:space="0" w:color="auto"/>
        <w:right w:val="none" w:sz="0" w:space="0" w:color="auto"/>
      </w:divBdr>
    </w:div>
    <w:div w:id="1876964289">
      <w:bodyDiv w:val="1"/>
      <w:marLeft w:val="0"/>
      <w:marRight w:val="0"/>
      <w:marTop w:val="0"/>
      <w:marBottom w:val="0"/>
      <w:divBdr>
        <w:top w:val="none" w:sz="0" w:space="0" w:color="auto"/>
        <w:left w:val="none" w:sz="0" w:space="0" w:color="auto"/>
        <w:bottom w:val="none" w:sz="0" w:space="0" w:color="auto"/>
        <w:right w:val="none" w:sz="0" w:space="0" w:color="auto"/>
      </w:divBdr>
    </w:div>
    <w:div w:id="1877083005">
      <w:bodyDiv w:val="1"/>
      <w:marLeft w:val="0"/>
      <w:marRight w:val="0"/>
      <w:marTop w:val="0"/>
      <w:marBottom w:val="0"/>
      <w:divBdr>
        <w:top w:val="none" w:sz="0" w:space="0" w:color="auto"/>
        <w:left w:val="none" w:sz="0" w:space="0" w:color="auto"/>
        <w:bottom w:val="none" w:sz="0" w:space="0" w:color="auto"/>
        <w:right w:val="none" w:sz="0" w:space="0" w:color="auto"/>
      </w:divBdr>
    </w:div>
    <w:div w:id="1877084428">
      <w:bodyDiv w:val="1"/>
      <w:marLeft w:val="0"/>
      <w:marRight w:val="0"/>
      <w:marTop w:val="0"/>
      <w:marBottom w:val="0"/>
      <w:divBdr>
        <w:top w:val="none" w:sz="0" w:space="0" w:color="auto"/>
        <w:left w:val="none" w:sz="0" w:space="0" w:color="auto"/>
        <w:bottom w:val="none" w:sz="0" w:space="0" w:color="auto"/>
        <w:right w:val="none" w:sz="0" w:space="0" w:color="auto"/>
      </w:divBdr>
    </w:div>
    <w:div w:id="1877112852">
      <w:bodyDiv w:val="1"/>
      <w:marLeft w:val="0"/>
      <w:marRight w:val="0"/>
      <w:marTop w:val="0"/>
      <w:marBottom w:val="0"/>
      <w:divBdr>
        <w:top w:val="none" w:sz="0" w:space="0" w:color="auto"/>
        <w:left w:val="none" w:sz="0" w:space="0" w:color="auto"/>
        <w:bottom w:val="none" w:sz="0" w:space="0" w:color="auto"/>
        <w:right w:val="none" w:sz="0" w:space="0" w:color="auto"/>
      </w:divBdr>
    </w:div>
    <w:div w:id="1877112984">
      <w:bodyDiv w:val="1"/>
      <w:marLeft w:val="0"/>
      <w:marRight w:val="0"/>
      <w:marTop w:val="0"/>
      <w:marBottom w:val="0"/>
      <w:divBdr>
        <w:top w:val="none" w:sz="0" w:space="0" w:color="auto"/>
        <w:left w:val="none" w:sz="0" w:space="0" w:color="auto"/>
        <w:bottom w:val="none" w:sz="0" w:space="0" w:color="auto"/>
        <w:right w:val="none" w:sz="0" w:space="0" w:color="auto"/>
      </w:divBdr>
    </w:div>
    <w:div w:id="1877162563">
      <w:bodyDiv w:val="1"/>
      <w:marLeft w:val="0"/>
      <w:marRight w:val="0"/>
      <w:marTop w:val="0"/>
      <w:marBottom w:val="0"/>
      <w:divBdr>
        <w:top w:val="none" w:sz="0" w:space="0" w:color="auto"/>
        <w:left w:val="none" w:sz="0" w:space="0" w:color="auto"/>
        <w:bottom w:val="none" w:sz="0" w:space="0" w:color="auto"/>
        <w:right w:val="none" w:sz="0" w:space="0" w:color="auto"/>
      </w:divBdr>
    </w:div>
    <w:div w:id="1877230407">
      <w:bodyDiv w:val="1"/>
      <w:marLeft w:val="0"/>
      <w:marRight w:val="0"/>
      <w:marTop w:val="0"/>
      <w:marBottom w:val="0"/>
      <w:divBdr>
        <w:top w:val="none" w:sz="0" w:space="0" w:color="auto"/>
        <w:left w:val="none" w:sz="0" w:space="0" w:color="auto"/>
        <w:bottom w:val="none" w:sz="0" w:space="0" w:color="auto"/>
        <w:right w:val="none" w:sz="0" w:space="0" w:color="auto"/>
      </w:divBdr>
    </w:div>
    <w:div w:id="1877234594">
      <w:bodyDiv w:val="1"/>
      <w:marLeft w:val="0"/>
      <w:marRight w:val="0"/>
      <w:marTop w:val="0"/>
      <w:marBottom w:val="0"/>
      <w:divBdr>
        <w:top w:val="none" w:sz="0" w:space="0" w:color="auto"/>
        <w:left w:val="none" w:sz="0" w:space="0" w:color="auto"/>
        <w:bottom w:val="none" w:sz="0" w:space="0" w:color="auto"/>
        <w:right w:val="none" w:sz="0" w:space="0" w:color="auto"/>
      </w:divBdr>
    </w:div>
    <w:div w:id="1877349397">
      <w:bodyDiv w:val="1"/>
      <w:marLeft w:val="0"/>
      <w:marRight w:val="0"/>
      <w:marTop w:val="0"/>
      <w:marBottom w:val="0"/>
      <w:divBdr>
        <w:top w:val="none" w:sz="0" w:space="0" w:color="auto"/>
        <w:left w:val="none" w:sz="0" w:space="0" w:color="auto"/>
        <w:bottom w:val="none" w:sz="0" w:space="0" w:color="auto"/>
        <w:right w:val="none" w:sz="0" w:space="0" w:color="auto"/>
      </w:divBdr>
    </w:div>
    <w:div w:id="1877422735">
      <w:bodyDiv w:val="1"/>
      <w:marLeft w:val="0"/>
      <w:marRight w:val="0"/>
      <w:marTop w:val="0"/>
      <w:marBottom w:val="0"/>
      <w:divBdr>
        <w:top w:val="none" w:sz="0" w:space="0" w:color="auto"/>
        <w:left w:val="none" w:sz="0" w:space="0" w:color="auto"/>
        <w:bottom w:val="none" w:sz="0" w:space="0" w:color="auto"/>
        <w:right w:val="none" w:sz="0" w:space="0" w:color="auto"/>
      </w:divBdr>
    </w:div>
    <w:div w:id="1877545309">
      <w:bodyDiv w:val="1"/>
      <w:marLeft w:val="0"/>
      <w:marRight w:val="0"/>
      <w:marTop w:val="0"/>
      <w:marBottom w:val="0"/>
      <w:divBdr>
        <w:top w:val="none" w:sz="0" w:space="0" w:color="auto"/>
        <w:left w:val="none" w:sz="0" w:space="0" w:color="auto"/>
        <w:bottom w:val="none" w:sz="0" w:space="0" w:color="auto"/>
        <w:right w:val="none" w:sz="0" w:space="0" w:color="auto"/>
      </w:divBdr>
    </w:div>
    <w:div w:id="1877616464">
      <w:bodyDiv w:val="1"/>
      <w:marLeft w:val="0"/>
      <w:marRight w:val="0"/>
      <w:marTop w:val="0"/>
      <w:marBottom w:val="0"/>
      <w:divBdr>
        <w:top w:val="none" w:sz="0" w:space="0" w:color="auto"/>
        <w:left w:val="none" w:sz="0" w:space="0" w:color="auto"/>
        <w:bottom w:val="none" w:sz="0" w:space="0" w:color="auto"/>
        <w:right w:val="none" w:sz="0" w:space="0" w:color="auto"/>
      </w:divBdr>
    </w:div>
    <w:div w:id="1877698340">
      <w:bodyDiv w:val="1"/>
      <w:marLeft w:val="0"/>
      <w:marRight w:val="0"/>
      <w:marTop w:val="0"/>
      <w:marBottom w:val="0"/>
      <w:divBdr>
        <w:top w:val="none" w:sz="0" w:space="0" w:color="auto"/>
        <w:left w:val="none" w:sz="0" w:space="0" w:color="auto"/>
        <w:bottom w:val="none" w:sz="0" w:space="0" w:color="auto"/>
        <w:right w:val="none" w:sz="0" w:space="0" w:color="auto"/>
      </w:divBdr>
    </w:div>
    <w:div w:id="1877699372">
      <w:bodyDiv w:val="1"/>
      <w:marLeft w:val="0"/>
      <w:marRight w:val="0"/>
      <w:marTop w:val="0"/>
      <w:marBottom w:val="0"/>
      <w:divBdr>
        <w:top w:val="none" w:sz="0" w:space="0" w:color="auto"/>
        <w:left w:val="none" w:sz="0" w:space="0" w:color="auto"/>
        <w:bottom w:val="none" w:sz="0" w:space="0" w:color="auto"/>
        <w:right w:val="none" w:sz="0" w:space="0" w:color="auto"/>
      </w:divBdr>
    </w:div>
    <w:div w:id="1877964618">
      <w:bodyDiv w:val="1"/>
      <w:marLeft w:val="0"/>
      <w:marRight w:val="0"/>
      <w:marTop w:val="0"/>
      <w:marBottom w:val="0"/>
      <w:divBdr>
        <w:top w:val="none" w:sz="0" w:space="0" w:color="auto"/>
        <w:left w:val="none" w:sz="0" w:space="0" w:color="auto"/>
        <w:bottom w:val="none" w:sz="0" w:space="0" w:color="auto"/>
        <w:right w:val="none" w:sz="0" w:space="0" w:color="auto"/>
      </w:divBdr>
    </w:div>
    <w:div w:id="1878154763">
      <w:bodyDiv w:val="1"/>
      <w:marLeft w:val="0"/>
      <w:marRight w:val="0"/>
      <w:marTop w:val="0"/>
      <w:marBottom w:val="0"/>
      <w:divBdr>
        <w:top w:val="none" w:sz="0" w:space="0" w:color="auto"/>
        <w:left w:val="none" w:sz="0" w:space="0" w:color="auto"/>
        <w:bottom w:val="none" w:sz="0" w:space="0" w:color="auto"/>
        <w:right w:val="none" w:sz="0" w:space="0" w:color="auto"/>
      </w:divBdr>
    </w:div>
    <w:div w:id="1878202077">
      <w:bodyDiv w:val="1"/>
      <w:marLeft w:val="0"/>
      <w:marRight w:val="0"/>
      <w:marTop w:val="0"/>
      <w:marBottom w:val="0"/>
      <w:divBdr>
        <w:top w:val="none" w:sz="0" w:space="0" w:color="auto"/>
        <w:left w:val="none" w:sz="0" w:space="0" w:color="auto"/>
        <w:bottom w:val="none" w:sz="0" w:space="0" w:color="auto"/>
        <w:right w:val="none" w:sz="0" w:space="0" w:color="auto"/>
      </w:divBdr>
    </w:div>
    <w:div w:id="1878227737">
      <w:bodyDiv w:val="1"/>
      <w:marLeft w:val="0"/>
      <w:marRight w:val="0"/>
      <w:marTop w:val="0"/>
      <w:marBottom w:val="0"/>
      <w:divBdr>
        <w:top w:val="none" w:sz="0" w:space="0" w:color="auto"/>
        <w:left w:val="none" w:sz="0" w:space="0" w:color="auto"/>
        <w:bottom w:val="none" w:sz="0" w:space="0" w:color="auto"/>
        <w:right w:val="none" w:sz="0" w:space="0" w:color="auto"/>
      </w:divBdr>
    </w:div>
    <w:div w:id="1878271230">
      <w:bodyDiv w:val="1"/>
      <w:marLeft w:val="0"/>
      <w:marRight w:val="0"/>
      <w:marTop w:val="0"/>
      <w:marBottom w:val="0"/>
      <w:divBdr>
        <w:top w:val="none" w:sz="0" w:space="0" w:color="auto"/>
        <w:left w:val="none" w:sz="0" w:space="0" w:color="auto"/>
        <w:bottom w:val="none" w:sz="0" w:space="0" w:color="auto"/>
        <w:right w:val="none" w:sz="0" w:space="0" w:color="auto"/>
      </w:divBdr>
    </w:div>
    <w:div w:id="1878271657">
      <w:bodyDiv w:val="1"/>
      <w:marLeft w:val="0"/>
      <w:marRight w:val="0"/>
      <w:marTop w:val="0"/>
      <w:marBottom w:val="0"/>
      <w:divBdr>
        <w:top w:val="none" w:sz="0" w:space="0" w:color="auto"/>
        <w:left w:val="none" w:sz="0" w:space="0" w:color="auto"/>
        <w:bottom w:val="none" w:sz="0" w:space="0" w:color="auto"/>
        <w:right w:val="none" w:sz="0" w:space="0" w:color="auto"/>
      </w:divBdr>
    </w:div>
    <w:div w:id="1878348904">
      <w:bodyDiv w:val="1"/>
      <w:marLeft w:val="0"/>
      <w:marRight w:val="0"/>
      <w:marTop w:val="0"/>
      <w:marBottom w:val="0"/>
      <w:divBdr>
        <w:top w:val="none" w:sz="0" w:space="0" w:color="auto"/>
        <w:left w:val="none" w:sz="0" w:space="0" w:color="auto"/>
        <w:bottom w:val="none" w:sz="0" w:space="0" w:color="auto"/>
        <w:right w:val="none" w:sz="0" w:space="0" w:color="auto"/>
      </w:divBdr>
    </w:div>
    <w:div w:id="1878353138">
      <w:bodyDiv w:val="1"/>
      <w:marLeft w:val="0"/>
      <w:marRight w:val="0"/>
      <w:marTop w:val="0"/>
      <w:marBottom w:val="0"/>
      <w:divBdr>
        <w:top w:val="none" w:sz="0" w:space="0" w:color="auto"/>
        <w:left w:val="none" w:sz="0" w:space="0" w:color="auto"/>
        <w:bottom w:val="none" w:sz="0" w:space="0" w:color="auto"/>
        <w:right w:val="none" w:sz="0" w:space="0" w:color="auto"/>
      </w:divBdr>
    </w:div>
    <w:div w:id="1878424372">
      <w:bodyDiv w:val="1"/>
      <w:marLeft w:val="0"/>
      <w:marRight w:val="0"/>
      <w:marTop w:val="0"/>
      <w:marBottom w:val="0"/>
      <w:divBdr>
        <w:top w:val="none" w:sz="0" w:space="0" w:color="auto"/>
        <w:left w:val="none" w:sz="0" w:space="0" w:color="auto"/>
        <w:bottom w:val="none" w:sz="0" w:space="0" w:color="auto"/>
        <w:right w:val="none" w:sz="0" w:space="0" w:color="auto"/>
      </w:divBdr>
    </w:div>
    <w:div w:id="1878463480">
      <w:bodyDiv w:val="1"/>
      <w:marLeft w:val="0"/>
      <w:marRight w:val="0"/>
      <w:marTop w:val="0"/>
      <w:marBottom w:val="0"/>
      <w:divBdr>
        <w:top w:val="none" w:sz="0" w:space="0" w:color="auto"/>
        <w:left w:val="none" w:sz="0" w:space="0" w:color="auto"/>
        <w:bottom w:val="none" w:sz="0" w:space="0" w:color="auto"/>
        <w:right w:val="none" w:sz="0" w:space="0" w:color="auto"/>
      </w:divBdr>
    </w:div>
    <w:div w:id="1878542319">
      <w:bodyDiv w:val="1"/>
      <w:marLeft w:val="0"/>
      <w:marRight w:val="0"/>
      <w:marTop w:val="0"/>
      <w:marBottom w:val="0"/>
      <w:divBdr>
        <w:top w:val="none" w:sz="0" w:space="0" w:color="auto"/>
        <w:left w:val="none" w:sz="0" w:space="0" w:color="auto"/>
        <w:bottom w:val="none" w:sz="0" w:space="0" w:color="auto"/>
        <w:right w:val="none" w:sz="0" w:space="0" w:color="auto"/>
      </w:divBdr>
    </w:div>
    <w:div w:id="1878659898">
      <w:bodyDiv w:val="1"/>
      <w:marLeft w:val="0"/>
      <w:marRight w:val="0"/>
      <w:marTop w:val="0"/>
      <w:marBottom w:val="0"/>
      <w:divBdr>
        <w:top w:val="none" w:sz="0" w:space="0" w:color="auto"/>
        <w:left w:val="none" w:sz="0" w:space="0" w:color="auto"/>
        <w:bottom w:val="none" w:sz="0" w:space="0" w:color="auto"/>
        <w:right w:val="none" w:sz="0" w:space="0" w:color="auto"/>
      </w:divBdr>
    </w:div>
    <w:div w:id="1878732026">
      <w:bodyDiv w:val="1"/>
      <w:marLeft w:val="0"/>
      <w:marRight w:val="0"/>
      <w:marTop w:val="0"/>
      <w:marBottom w:val="0"/>
      <w:divBdr>
        <w:top w:val="none" w:sz="0" w:space="0" w:color="auto"/>
        <w:left w:val="none" w:sz="0" w:space="0" w:color="auto"/>
        <w:bottom w:val="none" w:sz="0" w:space="0" w:color="auto"/>
        <w:right w:val="none" w:sz="0" w:space="0" w:color="auto"/>
      </w:divBdr>
    </w:div>
    <w:div w:id="1878814062">
      <w:bodyDiv w:val="1"/>
      <w:marLeft w:val="0"/>
      <w:marRight w:val="0"/>
      <w:marTop w:val="0"/>
      <w:marBottom w:val="0"/>
      <w:divBdr>
        <w:top w:val="none" w:sz="0" w:space="0" w:color="auto"/>
        <w:left w:val="none" w:sz="0" w:space="0" w:color="auto"/>
        <w:bottom w:val="none" w:sz="0" w:space="0" w:color="auto"/>
        <w:right w:val="none" w:sz="0" w:space="0" w:color="auto"/>
      </w:divBdr>
    </w:div>
    <w:div w:id="1878854788">
      <w:bodyDiv w:val="1"/>
      <w:marLeft w:val="0"/>
      <w:marRight w:val="0"/>
      <w:marTop w:val="0"/>
      <w:marBottom w:val="0"/>
      <w:divBdr>
        <w:top w:val="none" w:sz="0" w:space="0" w:color="auto"/>
        <w:left w:val="none" w:sz="0" w:space="0" w:color="auto"/>
        <w:bottom w:val="none" w:sz="0" w:space="0" w:color="auto"/>
        <w:right w:val="none" w:sz="0" w:space="0" w:color="auto"/>
      </w:divBdr>
    </w:div>
    <w:div w:id="1879008782">
      <w:bodyDiv w:val="1"/>
      <w:marLeft w:val="0"/>
      <w:marRight w:val="0"/>
      <w:marTop w:val="0"/>
      <w:marBottom w:val="0"/>
      <w:divBdr>
        <w:top w:val="none" w:sz="0" w:space="0" w:color="auto"/>
        <w:left w:val="none" w:sz="0" w:space="0" w:color="auto"/>
        <w:bottom w:val="none" w:sz="0" w:space="0" w:color="auto"/>
        <w:right w:val="none" w:sz="0" w:space="0" w:color="auto"/>
      </w:divBdr>
    </w:div>
    <w:div w:id="1879076290">
      <w:bodyDiv w:val="1"/>
      <w:marLeft w:val="0"/>
      <w:marRight w:val="0"/>
      <w:marTop w:val="0"/>
      <w:marBottom w:val="0"/>
      <w:divBdr>
        <w:top w:val="none" w:sz="0" w:space="0" w:color="auto"/>
        <w:left w:val="none" w:sz="0" w:space="0" w:color="auto"/>
        <w:bottom w:val="none" w:sz="0" w:space="0" w:color="auto"/>
        <w:right w:val="none" w:sz="0" w:space="0" w:color="auto"/>
      </w:divBdr>
    </w:div>
    <w:div w:id="1879118922">
      <w:bodyDiv w:val="1"/>
      <w:marLeft w:val="0"/>
      <w:marRight w:val="0"/>
      <w:marTop w:val="0"/>
      <w:marBottom w:val="0"/>
      <w:divBdr>
        <w:top w:val="none" w:sz="0" w:space="0" w:color="auto"/>
        <w:left w:val="none" w:sz="0" w:space="0" w:color="auto"/>
        <w:bottom w:val="none" w:sz="0" w:space="0" w:color="auto"/>
        <w:right w:val="none" w:sz="0" w:space="0" w:color="auto"/>
      </w:divBdr>
    </w:div>
    <w:div w:id="1879315020">
      <w:bodyDiv w:val="1"/>
      <w:marLeft w:val="0"/>
      <w:marRight w:val="0"/>
      <w:marTop w:val="0"/>
      <w:marBottom w:val="0"/>
      <w:divBdr>
        <w:top w:val="none" w:sz="0" w:space="0" w:color="auto"/>
        <w:left w:val="none" w:sz="0" w:space="0" w:color="auto"/>
        <w:bottom w:val="none" w:sz="0" w:space="0" w:color="auto"/>
        <w:right w:val="none" w:sz="0" w:space="0" w:color="auto"/>
      </w:divBdr>
    </w:div>
    <w:div w:id="1879466784">
      <w:bodyDiv w:val="1"/>
      <w:marLeft w:val="0"/>
      <w:marRight w:val="0"/>
      <w:marTop w:val="0"/>
      <w:marBottom w:val="0"/>
      <w:divBdr>
        <w:top w:val="none" w:sz="0" w:space="0" w:color="auto"/>
        <w:left w:val="none" w:sz="0" w:space="0" w:color="auto"/>
        <w:bottom w:val="none" w:sz="0" w:space="0" w:color="auto"/>
        <w:right w:val="none" w:sz="0" w:space="0" w:color="auto"/>
      </w:divBdr>
    </w:div>
    <w:div w:id="1879580944">
      <w:bodyDiv w:val="1"/>
      <w:marLeft w:val="0"/>
      <w:marRight w:val="0"/>
      <w:marTop w:val="0"/>
      <w:marBottom w:val="0"/>
      <w:divBdr>
        <w:top w:val="none" w:sz="0" w:space="0" w:color="auto"/>
        <w:left w:val="none" w:sz="0" w:space="0" w:color="auto"/>
        <w:bottom w:val="none" w:sz="0" w:space="0" w:color="auto"/>
        <w:right w:val="none" w:sz="0" w:space="0" w:color="auto"/>
      </w:divBdr>
    </w:div>
    <w:div w:id="1879582910">
      <w:bodyDiv w:val="1"/>
      <w:marLeft w:val="0"/>
      <w:marRight w:val="0"/>
      <w:marTop w:val="0"/>
      <w:marBottom w:val="0"/>
      <w:divBdr>
        <w:top w:val="none" w:sz="0" w:space="0" w:color="auto"/>
        <w:left w:val="none" w:sz="0" w:space="0" w:color="auto"/>
        <w:bottom w:val="none" w:sz="0" w:space="0" w:color="auto"/>
        <w:right w:val="none" w:sz="0" w:space="0" w:color="auto"/>
      </w:divBdr>
    </w:div>
    <w:div w:id="1879588991">
      <w:bodyDiv w:val="1"/>
      <w:marLeft w:val="0"/>
      <w:marRight w:val="0"/>
      <w:marTop w:val="0"/>
      <w:marBottom w:val="0"/>
      <w:divBdr>
        <w:top w:val="none" w:sz="0" w:space="0" w:color="auto"/>
        <w:left w:val="none" w:sz="0" w:space="0" w:color="auto"/>
        <w:bottom w:val="none" w:sz="0" w:space="0" w:color="auto"/>
        <w:right w:val="none" w:sz="0" w:space="0" w:color="auto"/>
      </w:divBdr>
    </w:div>
    <w:div w:id="1879664225">
      <w:bodyDiv w:val="1"/>
      <w:marLeft w:val="0"/>
      <w:marRight w:val="0"/>
      <w:marTop w:val="0"/>
      <w:marBottom w:val="0"/>
      <w:divBdr>
        <w:top w:val="none" w:sz="0" w:space="0" w:color="auto"/>
        <w:left w:val="none" w:sz="0" w:space="0" w:color="auto"/>
        <w:bottom w:val="none" w:sz="0" w:space="0" w:color="auto"/>
        <w:right w:val="none" w:sz="0" w:space="0" w:color="auto"/>
      </w:divBdr>
    </w:div>
    <w:div w:id="1879735784">
      <w:bodyDiv w:val="1"/>
      <w:marLeft w:val="0"/>
      <w:marRight w:val="0"/>
      <w:marTop w:val="0"/>
      <w:marBottom w:val="0"/>
      <w:divBdr>
        <w:top w:val="none" w:sz="0" w:space="0" w:color="auto"/>
        <w:left w:val="none" w:sz="0" w:space="0" w:color="auto"/>
        <w:bottom w:val="none" w:sz="0" w:space="0" w:color="auto"/>
        <w:right w:val="none" w:sz="0" w:space="0" w:color="auto"/>
      </w:divBdr>
    </w:div>
    <w:div w:id="1879927476">
      <w:bodyDiv w:val="1"/>
      <w:marLeft w:val="0"/>
      <w:marRight w:val="0"/>
      <w:marTop w:val="0"/>
      <w:marBottom w:val="0"/>
      <w:divBdr>
        <w:top w:val="none" w:sz="0" w:space="0" w:color="auto"/>
        <w:left w:val="none" w:sz="0" w:space="0" w:color="auto"/>
        <w:bottom w:val="none" w:sz="0" w:space="0" w:color="auto"/>
        <w:right w:val="none" w:sz="0" w:space="0" w:color="auto"/>
      </w:divBdr>
    </w:div>
    <w:div w:id="1879930506">
      <w:bodyDiv w:val="1"/>
      <w:marLeft w:val="0"/>
      <w:marRight w:val="0"/>
      <w:marTop w:val="0"/>
      <w:marBottom w:val="0"/>
      <w:divBdr>
        <w:top w:val="none" w:sz="0" w:space="0" w:color="auto"/>
        <w:left w:val="none" w:sz="0" w:space="0" w:color="auto"/>
        <w:bottom w:val="none" w:sz="0" w:space="0" w:color="auto"/>
        <w:right w:val="none" w:sz="0" w:space="0" w:color="auto"/>
      </w:divBdr>
    </w:div>
    <w:div w:id="1879967446">
      <w:bodyDiv w:val="1"/>
      <w:marLeft w:val="0"/>
      <w:marRight w:val="0"/>
      <w:marTop w:val="0"/>
      <w:marBottom w:val="0"/>
      <w:divBdr>
        <w:top w:val="none" w:sz="0" w:space="0" w:color="auto"/>
        <w:left w:val="none" w:sz="0" w:space="0" w:color="auto"/>
        <w:bottom w:val="none" w:sz="0" w:space="0" w:color="auto"/>
        <w:right w:val="none" w:sz="0" w:space="0" w:color="auto"/>
      </w:divBdr>
    </w:div>
    <w:div w:id="1880046448">
      <w:bodyDiv w:val="1"/>
      <w:marLeft w:val="0"/>
      <w:marRight w:val="0"/>
      <w:marTop w:val="0"/>
      <w:marBottom w:val="0"/>
      <w:divBdr>
        <w:top w:val="none" w:sz="0" w:space="0" w:color="auto"/>
        <w:left w:val="none" w:sz="0" w:space="0" w:color="auto"/>
        <w:bottom w:val="none" w:sz="0" w:space="0" w:color="auto"/>
        <w:right w:val="none" w:sz="0" w:space="0" w:color="auto"/>
      </w:divBdr>
    </w:div>
    <w:div w:id="1880052286">
      <w:bodyDiv w:val="1"/>
      <w:marLeft w:val="0"/>
      <w:marRight w:val="0"/>
      <w:marTop w:val="0"/>
      <w:marBottom w:val="0"/>
      <w:divBdr>
        <w:top w:val="none" w:sz="0" w:space="0" w:color="auto"/>
        <w:left w:val="none" w:sz="0" w:space="0" w:color="auto"/>
        <w:bottom w:val="none" w:sz="0" w:space="0" w:color="auto"/>
        <w:right w:val="none" w:sz="0" w:space="0" w:color="auto"/>
      </w:divBdr>
    </w:div>
    <w:div w:id="1880120346">
      <w:bodyDiv w:val="1"/>
      <w:marLeft w:val="0"/>
      <w:marRight w:val="0"/>
      <w:marTop w:val="0"/>
      <w:marBottom w:val="0"/>
      <w:divBdr>
        <w:top w:val="none" w:sz="0" w:space="0" w:color="auto"/>
        <w:left w:val="none" w:sz="0" w:space="0" w:color="auto"/>
        <w:bottom w:val="none" w:sz="0" w:space="0" w:color="auto"/>
        <w:right w:val="none" w:sz="0" w:space="0" w:color="auto"/>
      </w:divBdr>
    </w:div>
    <w:div w:id="1880121486">
      <w:bodyDiv w:val="1"/>
      <w:marLeft w:val="0"/>
      <w:marRight w:val="0"/>
      <w:marTop w:val="0"/>
      <w:marBottom w:val="0"/>
      <w:divBdr>
        <w:top w:val="none" w:sz="0" w:space="0" w:color="auto"/>
        <w:left w:val="none" w:sz="0" w:space="0" w:color="auto"/>
        <w:bottom w:val="none" w:sz="0" w:space="0" w:color="auto"/>
        <w:right w:val="none" w:sz="0" w:space="0" w:color="auto"/>
      </w:divBdr>
    </w:div>
    <w:div w:id="1880316984">
      <w:bodyDiv w:val="1"/>
      <w:marLeft w:val="0"/>
      <w:marRight w:val="0"/>
      <w:marTop w:val="0"/>
      <w:marBottom w:val="0"/>
      <w:divBdr>
        <w:top w:val="none" w:sz="0" w:space="0" w:color="auto"/>
        <w:left w:val="none" w:sz="0" w:space="0" w:color="auto"/>
        <w:bottom w:val="none" w:sz="0" w:space="0" w:color="auto"/>
        <w:right w:val="none" w:sz="0" w:space="0" w:color="auto"/>
      </w:divBdr>
    </w:div>
    <w:div w:id="1880320330">
      <w:bodyDiv w:val="1"/>
      <w:marLeft w:val="0"/>
      <w:marRight w:val="0"/>
      <w:marTop w:val="0"/>
      <w:marBottom w:val="0"/>
      <w:divBdr>
        <w:top w:val="none" w:sz="0" w:space="0" w:color="auto"/>
        <w:left w:val="none" w:sz="0" w:space="0" w:color="auto"/>
        <w:bottom w:val="none" w:sz="0" w:space="0" w:color="auto"/>
        <w:right w:val="none" w:sz="0" w:space="0" w:color="auto"/>
      </w:divBdr>
    </w:div>
    <w:div w:id="1880320914">
      <w:bodyDiv w:val="1"/>
      <w:marLeft w:val="0"/>
      <w:marRight w:val="0"/>
      <w:marTop w:val="0"/>
      <w:marBottom w:val="0"/>
      <w:divBdr>
        <w:top w:val="none" w:sz="0" w:space="0" w:color="auto"/>
        <w:left w:val="none" w:sz="0" w:space="0" w:color="auto"/>
        <w:bottom w:val="none" w:sz="0" w:space="0" w:color="auto"/>
        <w:right w:val="none" w:sz="0" w:space="0" w:color="auto"/>
      </w:divBdr>
    </w:div>
    <w:div w:id="1880362589">
      <w:bodyDiv w:val="1"/>
      <w:marLeft w:val="0"/>
      <w:marRight w:val="0"/>
      <w:marTop w:val="0"/>
      <w:marBottom w:val="0"/>
      <w:divBdr>
        <w:top w:val="none" w:sz="0" w:space="0" w:color="auto"/>
        <w:left w:val="none" w:sz="0" w:space="0" w:color="auto"/>
        <w:bottom w:val="none" w:sz="0" w:space="0" w:color="auto"/>
        <w:right w:val="none" w:sz="0" w:space="0" w:color="auto"/>
      </w:divBdr>
    </w:div>
    <w:div w:id="1880431144">
      <w:bodyDiv w:val="1"/>
      <w:marLeft w:val="0"/>
      <w:marRight w:val="0"/>
      <w:marTop w:val="0"/>
      <w:marBottom w:val="0"/>
      <w:divBdr>
        <w:top w:val="none" w:sz="0" w:space="0" w:color="auto"/>
        <w:left w:val="none" w:sz="0" w:space="0" w:color="auto"/>
        <w:bottom w:val="none" w:sz="0" w:space="0" w:color="auto"/>
        <w:right w:val="none" w:sz="0" w:space="0" w:color="auto"/>
      </w:divBdr>
    </w:div>
    <w:div w:id="1880586104">
      <w:bodyDiv w:val="1"/>
      <w:marLeft w:val="0"/>
      <w:marRight w:val="0"/>
      <w:marTop w:val="0"/>
      <w:marBottom w:val="0"/>
      <w:divBdr>
        <w:top w:val="none" w:sz="0" w:space="0" w:color="auto"/>
        <w:left w:val="none" w:sz="0" w:space="0" w:color="auto"/>
        <w:bottom w:val="none" w:sz="0" w:space="0" w:color="auto"/>
        <w:right w:val="none" w:sz="0" w:space="0" w:color="auto"/>
      </w:divBdr>
    </w:div>
    <w:div w:id="1880625024">
      <w:bodyDiv w:val="1"/>
      <w:marLeft w:val="0"/>
      <w:marRight w:val="0"/>
      <w:marTop w:val="0"/>
      <w:marBottom w:val="0"/>
      <w:divBdr>
        <w:top w:val="none" w:sz="0" w:space="0" w:color="auto"/>
        <w:left w:val="none" w:sz="0" w:space="0" w:color="auto"/>
        <w:bottom w:val="none" w:sz="0" w:space="0" w:color="auto"/>
        <w:right w:val="none" w:sz="0" w:space="0" w:color="auto"/>
      </w:divBdr>
    </w:div>
    <w:div w:id="1880626059">
      <w:bodyDiv w:val="1"/>
      <w:marLeft w:val="0"/>
      <w:marRight w:val="0"/>
      <w:marTop w:val="0"/>
      <w:marBottom w:val="0"/>
      <w:divBdr>
        <w:top w:val="none" w:sz="0" w:space="0" w:color="auto"/>
        <w:left w:val="none" w:sz="0" w:space="0" w:color="auto"/>
        <w:bottom w:val="none" w:sz="0" w:space="0" w:color="auto"/>
        <w:right w:val="none" w:sz="0" w:space="0" w:color="auto"/>
      </w:divBdr>
    </w:div>
    <w:div w:id="1880631328">
      <w:bodyDiv w:val="1"/>
      <w:marLeft w:val="0"/>
      <w:marRight w:val="0"/>
      <w:marTop w:val="0"/>
      <w:marBottom w:val="0"/>
      <w:divBdr>
        <w:top w:val="none" w:sz="0" w:space="0" w:color="auto"/>
        <w:left w:val="none" w:sz="0" w:space="0" w:color="auto"/>
        <w:bottom w:val="none" w:sz="0" w:space="0" w:color="auto"/>
        <w:right w:val="none" w:sz="0" w:space="0" w:color="auto"/>
      </w:divBdr>
    </w:div>
    <w:div w:id="1880779651">
      <w:bodyDiv w:val="1"/>
      <w:marLeft w:val="0"/>
      <w:marRight w:val="0"/>
      <w:marTop w:val="0"/>
      <w:marBottom w:val="0"/>
      <w:divBdr>
        <w:top w:val="none" w:sz="0" w:space="0" w:color="auto"/>
        <w:left w:val="none" w:sz="0" w:space="0" w:color="auto"/>
        <w:bottom w:val="none" w:sz="0" w:space="0" w:color="auto"/>
        <w:right w:val="none" w:sz="0" w:space="0" w:color="auto"/>
      </w:divBdr>
    </w:div>
    <w:div w:id="1880892178">
      <w:bodyDiv w:val="1"/>
      <w:marLeft w:val="0"/>
      <w:marRight w:val="0"/>
      <w:marTop w:val="0"/>
      <w:marBottom w:val="0"/>
      <w:divBdr>
        <w:top w:val="none" w:sz="0" w:space="0" w:color="auto"/>
        <w:left w:val="none" w:sz="0" w:space="0" w:color="auto"/>
        <w:bottom w:val="none" w:sz="0" w:space="0" w:color="auto"/>
        <w:right w:val="none" w:sz="0" w:space="0" w:color="auto"/>
      </w:divBdr>
    </w:div>
    <w:div w:id="1881041806">
      <w:bodyDiv w:val="1"/>
      <w:marLeft w:val="0"/>
      <w:marRight w:val="0"/>
      <w:marTop w:val="0"/>
      <w:marBottom w:val="0"/>
      <w:divBdr>
        <w:top w:val="none" w:sz="0" w:space="0" w:color="auto"/>
        <w:left w:val="none" w:sz="0" w:space="0" w:color="auto"/>
        <w:bottom w:val="none" w:sz="0" w:space="0" w:color="auto"/>
        <w:right w:val="none" w:sz="0" w:space="0" w:color="auto"/>
      </w:divBdr>
    </w:div>
    <w:div w:id="1881043170">
      <w:bodyDiv w:val="1"/>
      <w:marLeft w:val="0"/>
      <w:marRight w:val="0"/>
      <w:marTop w:val="0"/>
      <w:marBottom w:val="0"/>
      <w:divBdr>
        <w:top w:val="none" w:sz="0" w:space="0" w:color="auto"/>
        <w:left w:val="none" w:sz="0" w:space="0" w:color="auto"/>
        <w:bottom w:val="none" w:sz="0" w:space="0" w:color="auto"/>
        <w:right w:val="none" w:sz="0" w:space="0" w:color="auto"/>
      </w:divBdr>
    </w:div>
    <w:div w:id="1881088878">
      <w:bodyDiv w:val="1"/>
      <w:marLeft w:val="0"/>
      <w:marRight w:val="0"/>
      <w:marTop w:val="0"/>
      <w:marBottom w:val="0"/>
      <w:divBdr>
        <w:top w:val="none" w:sz="0" w:space="0" w:color="auto"/>
        <w:left w:val="none" w:sz="0" w:space="0" w:color="auto"/>
        <w:bottom w:val="none" w:sz="0" w:space="0" w:color="auto"/>
        <w:right w:val="none" w:sz="0" w:space="0" w:color="auto"/>
      </w:divBdr>
    </w:div>
    <w:div w:id="1881239877">
      <w:bodyDiv w:val="1"/>
      <w:marLeft w:val="0"/>
      <w:marRight w:val="0"/>
      <w:marTop w:val="0"/>
      <w:marBottom w:val="0"/>
      <w:divBdr>
        <w:top w:val="none" w:sz="0" w:space="0" w:color="auto"/>
        <w:left w:val="none" w:sz="0" w:space="0" w:color="auto"/>
        <w:bottom w:val="none" w:sz="0" w:space="0" w:color="auto"/>
        <w:right w:val="none" w:sz="0" w:space="0" w:color="auto"/>
      </w:divBdr>
    </w:div>
    <w:div w:id="1881284476">
      <w:bodyDiv w:val="1"/>
      <w:marLeft w:val="0"/>
      <w:marRight w:val="0"/>
      <w:marTop w:val="0"/>
      <w:marBottom w:val="0"/>
      <w:divBdr>
        <w:top w:val="none" w:sz="0" w:space="0" w:color="auto"/>
        <w:left w:val="none" w:sz="0" w:space="0" w:color="auto"/>
        <w:bottom w:val="none" w:sz="0" w:space="0" w:color="auto"/>
        <w:right w:val="none" w:sz="0" w:space="0" w:color="auto"/>
      </w:divBdr>
    </w:div>
    <w:div w:id="1881359687">
      <w:bodyDiv w:val="1"/>
      <w:marLeft w:val="0"/>
      <w:marRight w:val="0"/>
      <w:marTop w:val="0"/>
      <w:marBottom w:val="0"/>
      <w:divBdr>
        <w:top w:val="none" w:sz="0" w:space="0" w:color="auto"/>
        <w:left w:val="none" w:sz="0" w:space="0" w:color="auto"/>
        <w:bottom w:val="none" w:sz="0" w:space="0" w:color="auto"/>
        <w:right w:val="none" w:sz="0" w:space="0" w:color="auto"/>
      </w:divBdr>
    </w:div>
    <w:div w:id="1881360578">
      <w:bodyDiv w:val="1"/>
      <w:marLeft w:val="0"/>
      <w:marRight w:val="0"/>
      <w:marTop w:val="0"/>
      <w:marBottom w:val="0"/>
      <w:divBdr>
        <w:top w:val="none" w:sz="0" w:space="0" w:color="auto"/>
        <w:left w:val="none" w:sz="0" w:space="0" w:color="auto"/>
        <w:bottom w:val="none" w:sz="0" w:space="0" w:color="auto"/>
        <w:right w:val="none" w:sz="0" w:space="0" w:color="auto"/>
      </w:divBdr>
    </w:div>
    <w:div w:id="1881504826">
      <w:bodyDiv w:val="1"/>
      <w:marLeft w:val="0"/>
      <w:marRight w:val="0"/>
      <w:marTop w:val="0"/>
      <w:marBottom w:val="0"/>
      <w:divBdr>
        <w:top w:val="none" w:sz="0" w:space="0" w:color="auto"/>
        <w:left w:val="none" w:sz="0" w:space="0" w:color="auto"/>
        <w:bottom w:val="none" w:sz="0" w:space="0" w:color="auto"/>
        <w:right w:val="none" w:sz="0" w:space="0" w:color="auto"/>
      </w:divBdr>
    </w:div>
    <w:div w:id="1881505117">
      <w:bodyDiv w:val="1"/>
      <w:marLeft w:val="0"/>
      <w:marRight w:val="0"/>
      <w:marTop w:val="0"/>
      <w:marBottom w:val="0"/>
      <w:divBdr>
        <w:top w:val="none" w:sz="0" w:space="0" w:color="auto"/>
        <w:left w:val="none" w:sz="0" w:space="0" w:color="auto"/>
        <w:bottom w:val="none" w:sz="0" w:space="0" w:color="auto"/>
        <w:right w:val="none" w:sz="0" w:space="0" w:color="auto"/>
      </w:divBdr>
    </w:div>
    <w:div w:id="1881554207">
      <w:bodyDiv w:val="1"/>
      <w:marLeft w:val="0"/>
      <w:marRight w:val="0"/>
      <w:marTop w:val="0"/>
      <w:marBottom w:val="0"/>
      <w:divBdr>
        <w:top w:val="none" w:sz="0" w:space="0" w:color="auto"/>
        <w:left w:val="none" w:sz="0" w:space="0" w:color="auto"/>
        <w:bottom w:val="none" w:sz="0" w:space="0" w:color="auto"/>
        <w:right w:val="none" w:sz="0" w:space="0" w:color="auto"/>
      </w:divBdr>
    </w:div>
    <w:div w:id="1881672017">
      <w:bodyDiv w:val="1"/>
      <w:marLeft w:val="0"/>
      <w:marRight w:val="0"/>
      <w:marTop w:val="0"/>
      <w:marBottom w:val="0"/>
      <w:divBdr>
        <w:top w:val="none" w:sz="0" w:space="0" w:color="auto"/>
        <w:left w:val="none" w:sz="0" w:space="0" w:color="auto"/>
        <w:bottom w:val="none" w:sz="0" w:space="0" w:color="auto"/>
        <w:right w:val="none" w:sz="0" w:space="0" w:color="auto"/>
      </w:divBdr>
    </w:div>
    <w:div w:id="1881741998">
      <w:bodyDiv w:val="1"/>
      <w:marLeft w:val="0"/>
      <w:marRight w:val="0"/>
      <w:marTop w:val="0"/>
      <w:marBottom w:val="0"/>
      <w:divBdr>
        <w:top w:val="none" w:sz="0" w:space="0" w:color="auto"/>
        <w:left w:val="none" w:sz="0" w:space="0" w:color="auto"/>
        <w:bottom w:val="none" w:sz="0" w:space="0" w:color="auto"/>
        <w:right w:val="none" w:sz="0" w:space="0" w:color="auto"/>
      </w:divBdr>
    </w:div>
    <w:div w:id="1881815906">
      <w:bodyDiv w:val="1"/>
      <w:marLeft w:val="0"/>
      <w:marRight w:val="0"/>
      <w:marTop w:val="0"/>
      <w:marBottom w:val="0"/>
      <w:divBdr>
        <w:top w:val="none" w:sz="0" w:space="0" w:color="auto"/>
        <w:left w:val="none" w:sz="0" w:space="0" w:color="auto"/>
        <w:bottom w:val="none" w:sz="0" w:space="0" w:color="auto"/>
        <w:right w:val="none" w:sz="0" w:space="0" w:color="auto"/>
      </w:divBdr>
    </w:div>
    <w:div w:id="1881897965">
      <w:bodyDiv w:val="1"/>
      <w:marLeft w:val="0"/>
      <w:marRight w:val="0"/>
      <w:marTop w:val="0"/>
      <w:marBottom w:val="0"/>
      <w:divBdr>
        <w:top w:val="none" w:sz="0" w:space="0" w:color="auto"/>
        <w:left w:val="none" w:sz="0" w:space="0" w:color="auto"/>
        <w:bottom w:val="none" w:sz="0" w:space="0" w:color="auto"/>
        <w:right w:val="none" w:sz="0" w:space="0" w:color="auto"/>
      </w:divBdr>
    </w:div>
    <w:div w:id="1881934825">
      <w:bodyDiv w:val="1"/>
      <w:marLeft w:val="0"/>
      <w:marRight w:val="0"/>
      <w:marTop w:val="0"/>
      <w:marBottom w:val="0"/>
      <w:divBdr>
        <w:top w:val="none" w:sz="0" w:space="0" w:color="auto"/>
        <w:left w:val="none" w:sz="0" w:space="0" w:color="auto"/>
        <w:bottom w:val="none" w:sz="0" w:space="0" w:color="auto"/>
        <w:right w:val="none" w:sz="0" w:space="0" w:color="auto"/>
      </w:divBdr>
    </w:div>
    <w:div w:id="1881935419">
      <w:bodyDiv w:val="1"/>
      <w:marLeft w:val="0"/>
      <w:marRight w:val="0"/>
      <w:marTop w:val="0"/>
      <w:marBottom w:val="0"/>
      <w:divBdr>
        <w:top w:val="none" w:sz="0" w:space="0" w:color="auto"/>
        <w:left w:val="none" w:sz="0" w:space="0" w:color="auto"/>
        <w:bottom w:val="none" w:sz="0" w:space="0" w:color="auto"/>
        <w:right w:val="none" w:sz="0" w:space="0" w:color="auto"/>
      </w:divBdr>
    </w:div>
    <w:div w:id="1881939213">
      <w:bodyDiv w:val="1"/>
      <w:marLeft w:val="0"/>
      <w:marRight w:val="0"/>
      <w:marTop w:val="0"/>
      <w:marBottom w:val="0"/>
      <w:divBdr>
        <w:top w:val="none" w:sz="0" w:space="0" w:color="auto"/>
        <w:left w:val="none" w:sz="0" w:space="0" w:color="auto"/>
        <w:bottom w:val="none" w:sz="0" w:space="0" w:color="auto"/>
        <w:right w:val="none" w:sz="0" w:space="0" w:color="auto"/>
      </w:divBdr>
    </w:div>
    <w:div w:id="1882010258">
      <w:bodyDiv w:val="1"/>
      <w:marLeft w:val="0"/>
      <w:marRight w:val="0"/>
      <w:marTop w:val="0"/>
      <w:marBottom w:val="0"/>
      <w:divBdr>
        <w:top w:val="none" w:sz="0" w:space="0" w:color="auto"/>
        <w:left w:val="none" w:sz="0" w:space="0" w:color="auto"/>
        <w:bottom w:val="none" w:sz="0" w:space="0" w:color="auto"/>
        <w:right w:val="none" w:sz="0" w:space="0" w:color="auto"/>
      </w:divBdr>
    </w:div>
    <w:div w:id="1882014734">
      <w:bodyDiv w:val="1"/>
      <w:marLeft w:val="0"/>
      <w:marRight w:val="0"/>
      <w:marTop w:val="0"/>
      <w:marBottom w:val="0"/>
      <w:divBdr>
        <w:top w:val="none" w:sz="0" w:space="0" w:color="auto"/>
        <w:left w:val="none" w:sz="0" w:space="0" w:color="auto"/>
        <w:bottom w:val="none" w:sz="0" w:space="0" w:color="auto"/>
        <w:right w:val="none" w:sz="0" w:space="0" w:color="auto"/>
      </w:divBdr>
    </w:div>
    <w:div w:id="1882017485">
      <w:bodyDiv w:val="1"/>
      <w:marLeft w:val="0"/>
      <w:marRight w:val="0"/>
      <w:marTop w:val="0"/>
      <w:marBottom w:val="0"/>
      <w:divBdr>
        <w:top w:val="none" w:sz="0" w:space="0" w:color="auto"/>
        <w:left w:val="none" w:sz="0" w:space="0" w:color="auto"/>
        <w:bottom w:val="none" w:sz="0" w:space="0" w:color="auto"/>
        <w:right w:val="none" w:sz="0" w:space="0" w:color="auto"/>
      </w:divBdr>
    </w:div>
    <w:div w:id="1882128709">
      <w:bodyDiv w:val="1"/>
      <w:marLeft w:val="0"/>
      <w:marRight w:val="0"/>
      <w:marTop w:val="0"/>
      <w:marBottom w:val="0"/>
      <w:divBdr>
        <w:top w:val="none" w:sz="0" w:space="0" w:color="auto"/>
        <w:left w:val="none" w:sz="0" w:space="0" w:color="auto"/>
        <w:bottom w:val="none" w:sz="0" w:space="0" w:color="auto"/>
        <w:right w:val="none" w:sz="0" w:space="0" w:color="auto"/>
      </w:divBdr>
    </w:div>
    <w:div w:id="1882131275">
      <w:bodyDiv w:val="1"/>
      <w:marLeft w:val="0"/>
      <w:marRight w:val="0"/>
      <w:marTop w:val="0"/>
      <w:marBottom w:val="0"/>
      <w:divBdr>
        <w:top w:val="none" w:sz="0" w:space="0" w:color="auto"/>
        <w:left w:val="none" w:sz="0" w:space="0" w:color="auto"/>
        <w:bottom w:val="none" w:sz="0" w:space="0" w:color="auto"/>
        <w:right w:val="none" w:sz="0" w:space="0" w:color="auto"/>
      </w:divBdr>
    </w:div>
    <w:div w:id="1882203293">
      <w:bodyDiv w:val="1"/>
      <w:marLeft w:val="0"/>
      <w:marRight w:val="0"/>
      <w:marTop w:val="0"/>
      <w:marBottom w:val="0"/>
      <w:divBdr>
        <w:top w:val="none" w:sz="0" w:space="0" w:color="auto"/>
        <w:left w:val="none" w:sz="0" w:space="0" w:color="auto"/>
        <w:bottom w:val="none" w:sz="0" w:space="0" w:color="auto"/>
        <w:right w:val="none" w:sz="0" w:space="0" w:color="auto"/>
      </w:divBdr>
    </w:div>
    <w:div w:id="1882208009">
      <w:bodyDiv w:val="1"/>
      <w:marLeft w:val="0"/>
      <w:marRight w:val="0"/>
      <w:marTop w:val="0"/>
      <w:marBottom w:val="0"/>
      <w:divBdr>
        <w:top w:val="none" w:sz="0" w:space="0" w:color="auto"/>
        <w:left w:val="none" w:sz="0" w:space="0" w:color="auto"/>
        <w:bottom w:val="none" w:sz="0" w:space="0" w:color="auto"/>
        <w:right w:val="none" w:sz="0" w:space="0" w:color="auto"/>
      </w:divBdr>
    </w:div>
    <w:div w:id="1882210883">
      <w:bodyDiv w:val="1"/>
      <w:marLeft w:val="0"/>
      <w:marRight w:val="0"/>
      <w:marTop w:val="0"/>
      <w:marBottom w:val="0"/>
      <w:divBdr>
        <w:top w:val="none" w:sz="0" w:space="0" w:color="auto"/>
        <w:left w:val="none" w:sz="0" w:space="0" w:color="auto"/>
        <w:bottom w:val="none" w:sz="0" w:space="0" w:color="auto"/>
        <w:right w:val="none" w:sz="0" w:space="0" w:color="auto"/>
      </w:divBdr>
    </w:div>
    <w:div w:id="1882283691">
      <w:bodyDiv w:val="1"/>
      <w:marLeft w:val="0"/>
      <w:marRight w:val="0"/>
      <w:marTop w:val="0"/>
      <w:marBottom w:val="0"/>
      <w:divBdr>
        <w:top w:val="none" w:sz="0" w:space="0" w:color="auto"/>
        <w:left w:val="none" w:sz="0" w:space="0" w:color="auto"/>
        <w:bottom w:val="none" w:sz="0" w:space="0" w:color="auto"/>
        <w:right w:val="none" w:sz="0" w:space="0" w:color="auto"/>
      </w:divBdr>
    </w:div>
    <w:div w:id="1882326795">
      <w:bodyDiv w:val="1"/>
      <w:marLeft w:val="0"/>
      <w:marRight w:val="0"/>
      <w:marTop w:val="0"/>
      <w:marBottom w:val="0"/>
      <w:divBdr>
        <w:top w:val="none" w:sz="0" w:space="0" w:color="auto"/>
        <w:left w:val="none" w:sz="0" w:space="0" w:color="auto"/>
        <w:bottom w:val="none" w:sz="0" w:space="0" w:color="auto"/>
        <w:right w:val="none" w:sz="0" w:space="0" w:color="auto"/>
      </w:divBdr>
    </w:div>
    <w:div w:id="1882357118">
      <w:bodyDiv w:val="1"/>
      <w:marLeft w:val="0"/>
      <w:marRight w:val="0"/>
      <w:marTop w:val="0"/>
      <w:marBottom w:val="0"/>
      <w:divBdr>
        <w:top w:val="none" w:sz="0" w:space="0" w:color="auto"/>
        <w:left w:val="none" w:sz="0" w:space="0" w:color="auto"/>
        <w:bottom w:val="none" w:sz="0" w:space="0" w:color="auto"/>
        <w:right w:val="none" w:sz="0" w:space="0" w:color="auto"/>
      </w:divBdr>
    </w:div>
    <w:div w:id="1882402730">
      <w:bodyDiv w:val="1"/>
      <w:marLeft w:val="0"/>
      <w:marRight w:val="0"/>
      <w:marTop w:val="0"/>
      <w:marBottom w:val="0"/>
      <w:divBdr>
        <w:top w:val="none" w:sz="0" w:space="0" w:color="auto"/>
        <w:left w:val="none" w:sz="0" w:space="0" w:color="auto"/>
        <w:bottom w:val="none" w:sz="0" w:space="0" w:color="auto"/>
        <w:right w:val="none" w:sz="0" w:space="0" w:color="auto"/>
      </w:divBdr>
    </w:div>
    <w:div w:id="1882479752">
      <w:bodyDiv w:val="1"/>
      <w:marLeft w:val="0"/>
      <w:marRight w:val="0"/>
      <w:marTop w:val="0"/>
      <w:marBottom w:val="0"/>
      <w:divBdr>
        <w:top w:val="none" w:sz="0" w:space="0" w:color="auto"/>
        <w:left w:val="none" w:sz="0" w:space="0" w:color="auto"/>
        <w:bottom w:val="none" w:sz="0" w:space="0" w:color="auto"/>
        <w:right w:val="none" w:sz="0" w:space="0" w:color="auto"/>
      </w:divBdr>
    </w:div>
    <w:div w:id="1882548720">
      <w:bodyDiv w:val="1"/>
      <w:marLeft w:val="0"/>
      <w:marRight w:val="0"/>
      <w:marTop w:val="0"/>
      <w:marBottom w:val="0"/>
      <w:divBdr>
        <w:top w:val="none" w:sz="0" w:space="0" w:color="auto"/>
        <w:left w:val="none" w:sz="0" w:space="0" w:color="auto"/>
        <w:bottom w:val="none" w:sz="0" w:space="0" w:color="auto"/>
        <w:right w:val="none" w:sz="0" w:space="0" w:color="auto"/>
      </w:divBdr>
    </w:div>
    <w:div w:id="1882670887">
      <w:bodyDiv w:val="1"/>
      <w:marLeft w:val="0"/>
      <w:marRight w:val="0"/>
      <w:marTop w:val="0"/>
      <w:marBottom w:val="0"/>
      <w:divBdr>
        <w:top w:val="none" w:sz="0" w:space="0" w:color="auto"/>
        <w:left w:val="none" w:sz="0" w:space="0" w:color="auto"/>
        <w:bottom w:val="none" w:sz="0" w:space="0" w:color="auto"/>
        <w:right w:val="none" w:sz="0" w:space="0" w:color="auto"/>
      </w:divBdr>
    </w:div>
    <w:div w:id="1882784413">
      <w:bodyDiv w:val="1"/>
      <w:marLeft w:val="0"/>
      <w:marRight w:val="0"/>
      <w:marTop w:val="0"/>
      <w:marBottom w:val="0"/>
      <w:divBdr>
        <w:top w:val="none" w:sz="0" w:space="0" w:color="auto"/>
        <w:left w:val="none" w:sz="0" w:space="0" w:color="auto"/>
        <w:bottom w:val="none" w:sz="0" w:space="0" w:color="auto"/>
        <w:right w:val="none" w:sz="0" w:space="0" w:color="auto"/>
      </w:divBdr>
    </w:div>
    <w:div w:id="1882791280">
      <w:bodyDiv w:val="1"/>
      <w:marLeft w:val="0"/>
      <w:marRight w:val="0"/>
      <w:marTop w:val="0"/>
      <w:marBottom w:val="0"/>
      <w:divBdr>
        <w:top w:val="none" w:sz="0" w:space="0" w:color="auto"/>
        <w:left w:val="none" w:sz="0" w:space="0" w:color="auto"/>
        <w:bottom w:val="none" w:sz="0" w:space="0" w:color="auto"/>
        <w:right w:val="none" w:sz="0" w:space="0" w:color="auto"/>
      </w:divBdr>
    </w:div>
    <w:div w:id="1882941715">
      <w:bodyDiv w:val="1"/>
      <w:marLeft w:val="0"/>
      <w:marRight w:val="0"/>
      <w:marTop w:val="0"/>
      <w:marBottom w:val="0"/>
      <w:divBdr>
        <w:top w:val="none" w:sz="0" w:space="0" w:color="auto"/>
        <w:left w:val="none" w:sz="0" w:space="0" w:color="auto"/>
        <w:bottom w:val="none" w:sz="0" w:space="0" w:color="auto"/>
        <w:right w:val="none" w:sz="0" w:space="0" w:color="auto"/>
      </w:divBdr>
    </w:div>
    <w:div w:id="1882982588">
      <w:bodyDiv w:val="1"/>
      <w:marLeft w:val="0"/>
      <w:marRight w:val="0"/>
      <w:marTop w:val="0"/>
      <w:marBottom w:val="0"/>
      <w:divBdr>
        <w:top w:val="none" w:sz="0" w:space="0" w:color="auto"/>
        <w:left w:val="none" w:sz="0" w:space="0" w:color="auto"/>
        <w:bottom w:val="none" w:sz="0" w:space="0" w:color="auto"/>
        <w:right w:val="none" w:sz="0" w:space="0" w:color="auto"/>
      </w:divBdr>
    </w:div>
    <w:div w:id="1883007742">
      <w:bodyDiv w:val="1"/>
      <w:marLeft w:val="0"/>
      <w:marRight w:val="0"/>
      <w:marTop w:val="0"/>
      <w:marBottom w:val="0"/>
      <w:divBdr>
        <w:top w:val="none" w:sz="0" w:space="0" w:color="auto"/>
        <w:left w:val="none" w:sz="0" w:space="0" w:color="auto"/>
        <w:bottom w:val="none" w:sz="0" w:space="0" w:color="auto"/>
        <w:right w:val="none" w:sz="0" w:space="0" w:color="auto"/>
      </w:divBdr>
    </w:div>
    <w:div w:id="1883056697">
      <w:bodyDiv w:val="1"/>
      <w:marLeft w:val="0"/>
      <w:marRight w:val="0"/>
      <w:marTop w:val="0"/>
      <w:marBottom w:val="0"/>
      <w:divBdr>
        <w:top w:val="none" w:sz="0" w:space="0" w:color="auto"/>
        <w:left w:val="none" w:sz="0" w:space="0" w:color="auto"/>
        <w:bottom w:val="none" w:sz="0" w:space="0" w:color="auto"/>
        <w:right w:val="none" w:sz="0" w:space="0" w:color="auto"/>
      </w:divBdr>
    </w:div>
    <w:div w:id="1883059585">
      <w:bodyDiv w:val="1"/>
      <w:marLeft w:val="0"/>
      <w:marRight w:val="0"/>
      <w:marTop w:val="0"/>
      <w:marBottom w:val="0"/>
      <w:divBdr>
        <w:top w:val="none" w:sz="0" w:space="0" w:color="auto"/>
        <w:left w:val="none" w:sz="0" w:space="0" w:color="auto"/>
        <w:bottom w:val="none" w:sz="0" w:space="0" w:color="auto"/>
        <w:right w:val="none" w:sz="0" w:space="0" w:color="auto"/>
      </w:divBdr>
    </w:div>
    <w:div w:id="1883130275">
      <w:bodyDiv w:val="1"/>
      <w:marLeft w:val="0"/>
      <w:marRight w:val="0"/>
      <w:marTop w:val="0"/>
      <w:marBottom w:val="0"/>
      <w:divBdr>
        <w:top w:val="none" w:sz="0" w:space="0" w:color="auto"/>
        <w:left w:val="none" w:sz="0" w:space="0" w:color="auto"/>
        <w:bottom w:val="none" w:sz="0" w:space="0" w:color="auto"/>
        <w:right w:val="none" w:sz="0" w:space="0" w:color="auto"/>
      </w:divBdr>
    </w:div>
    <w:div w:id="1883130528">
      <w:bodyDiv w:val="1"/>
      <w:marLeft w:val="0"/>
      <w:marRight w:val="0"/>
      <w:marTop w:val="0"/>
      <w:marBottom w:val="0"/>
      <w:divBdr>
        <w:top w:val="none" w:sz="0" w:space="0" w:color="auto"/>
        <w:left w:val="none" w:sz="0" w:space="0" w:color="auto"/>
        <w:bottom w:val="none" w:sz="0" w:space="0" w:color="auto"/>
        <w:right w:val="none" w:sz="0" w:space="0" w:color="auto"/>
      </w:divBdr>
    </w:div>
    <w:div w:id="1883319721">
      <w:bodyDiv w:val="1"/>
      <w:marLeft w:val="0"/>
      <w:marRight w:val="0"/>
      <w:marTop w:val="0"/>
      <w:marBottom w:val="0"/>
      <w:divBdr>
        <w:top w:val="none" w:sz="0" w:space="0" w:color="auto"/>
        <w:left w:val="none" w:sz="0" w:space="0" w:color="auto"/>
        <w:bottom w:val="none" w:sz="0" w:space="0" w:color="auto"/>
        <w:right w:val="none" w:sz="0" w:space="0" w:color="auto"/>
      </w:divBdr>
    </w:div>
    <w:div w:id="1883396455">
      <w:bodyDiv w:val="1"/>
      <w:marLeft w:val="0"/>
      <w:marRight w:val="0"/>
      <w:marTop w:val="0"/>
      <w:marBottom w:val="0"/>
      <w:divBdr>
        <w:top w:val="none" w:sz="0" w:space="0" w:color="auto"/>
        <w:left w:val="none" w:sz="0" w:space="0" w:color="auto"/>
        <w:bottom w:val="none" w:sz="0" w:space="0" w:color="auto"/>
        <w:right w:val="none" w:sz="0" w:space="0" w:color="auto"/>
      </w:divBdr>
    </w:div>
    <w:div w:id="1883402129">
      <w:bodyDiv w:val="1"/>
      <w:marLeft w:val="0"/>
      <w:marRight w:val="0"/>
      <w:marTop w:val="0"/>
      <w:marBottom w:val="0"/>
      <w:divBdr>
        <w:top w:val="none" w:sz="0" w:space="0" w:color="auto"/>
        <w:left w:val="none" w:sz="0" w:space="0" w:color="auto"/>
        <w:bottom w:val="none" w:sz="0" w:space="0" w:color="auto"/>
        <w:right w:val="none" w:sz="0" w:space="0" w:color="auto"/>
      </w:divBdr>
    </w:div>
    <w:div w:id="1883440808">
      <w:bodyDiv w:val="1"/>
      <w:marLeft w:val="0"/>
      <w:marRight w:val="0"/>
      <w:marTop w:val="0"/>
      <w:marBottom w:val="0"/>
      <w:divBdr>
        <w:top w:val="none" w:sz="0" w:space="0" w:color="auto"/>
        <w:left w:val="none" w:sz="0" w:space="0" w:color="auto"/>
        <w:bottom w:val="none" w:sz="0" w:space="0" w:color="auto"/>
        <w:right w:val="none" w:sz="0" w:space="0" w:color="auto"/>
      </w:divBdr>
    </w:div>
    <w:div w:id="1883512917">
      <w:bodyDiv w:val="1"/>
      <w:marLeft w:val="0"/>
      <w:marRight w:val="0"/>
      <w:marTop w:val="0"/>
      <w:marBottom w:val="0"/>
      <w:divBdr>
        <w:top w:val="none" w:sz="0" w:space="0" w:color="auto"/>
        <w:left w:val="none" w:sz="0" w:space="0" w:color="auto"/>
        <w:bottom w:val="none" w:sz="0" w:space="0" w:color="auto"/>
        <w:right w:val="none" w:sz="0" w:space="0" w:color="auto"/>
      </w:divBdr>
    </w:div>
    <w:div w:id="1883587646">
      <w:bodyDiv w:val="1"/>
      <w:marLeft w:val="0"/>
      <w:marRight w:val="0"/>
      <w:marTop w:val="0"/>
      <w:marBottom w:val="0"/>
      <w:divBdr>
        <w:top w:val="none" w:sz="0" w:space="0" w:color="auto"/>
        <w:left w:val="none" w:sz="0" w:space="0" w:color="auto"/>
        <w:bottom w:val="none" w:sz="0" w:space="0" w:color="auto"/>
        <w:right w:val="none" w:sz="0" w:space="0" w:color="auto"/>
      </w:divBdr>
    </w:div>
    <w:div w:id="1883592523">
      <w:bodyDiv w:val="1"/>
      <w:marLeft w:val="0"/>
      <w:marRight w:val="0"/>
      <w:marTop w:val="0"/>
      <w:marBottom w:val="0"/>
      <w:divBdr>
        <w:top w:val="none" w:sz="0" w:space="0" w:color="auto"/>
        <w:left w:val="none" w:sz="0" w:space="0" w:color="auto"/>
        <w:bottom w:val="none" w:sz="0" w:space="0" w:color="auto"/>
        <w:right w:val="none" w:sz="0" w:space="0" w:color="auto"/>
      </w:divBdr>
    </w:div>
    <w:div w:id="1883788010">
      <w:bodyDiv w:val="1"/>
      <w:marLeft w:val="0"/>
      <w:marRight w:val="0"/>
      <w:marTop w:val="0"/>
      <w:marBottom w:val="0"/>
      <w:divBdr>
        <w:top w:val="none" w:sz="0" w:space="0" w:color="auto"/>
        <w:left w:val="none" w:sz="0" w:space="0" w:color="auto"/>
        <w:bottom w:val="none" w:sz="0" w:space="0" w:color="auto"/>
        <w:right w:val="none" w:sz="0" w:space="0" w:color="auto"/>
      </w:divBdr>
    </w:div>
    <w:div w:id="1883789976">
      <w:bodyDiv w:val="1"/>
      <w:marLeft w:val="0"/>
      <w:marRight w:val="0"/>
      <w:marTop w:val="0"/>
      <w:marBottom w:val="0"/>
      <w:divBdr>
        <w:top w:val="none" w:sz="0" w:space="0" w:color="auto"/>
        <w:left w:val="none" w:sz="0" w:space="0" w:color="auto"/>
        <w:bottom w:val="none" w:sz="0" w:space="0" w:color="auto"/>
        <w:right w:val="none" w:sz="0" w:space="0" w:color="auto"/>
      </w:divBdr>
    </w:div>
    <w:div w:id="1883832664">
      <w:bodyDiv w:val="1"/>
      <w:marLeft w:val="0"/>
      <w:marRight w:val="0"/>
      <w:marTop w:val="0"/>
      <w:marBottom w:val="0"/>
      <w:divBdr>
        <w:top w:val="none" w:sz="0" w:space="0" w:color="auto"/>
        <w:left w:val="none" w:sz="0" w:space="0" w:color="auto"/>
        <w:bottom w:val="none" w:sz="0" w:space="0" w:color="auto"/>
        <w:right w:val="none" w:sz="0" w:space="0" w:color="auto"/>
      </w:divBdr>
    </w:div>
    <w:div w:id="1883902935">
      <w:bodyDiv w:val="1"/>
      <w:marLeft w:val="0"/>
      <w:marRight w:val="0"/>
      <w:marTop w:val="0"/>
      <w:marBottom w:val="0"/>
      <w:divBdr>
        <w:top w:val="none" w:sz="0" w:space="0" w:color="auto"/>
        <w:left w:val="none" w:sz="0" w:space="0" w:color="auto"/>
        <w:bottom w:val="none" w:sz="0" w:space="0" w:color="auto"/>
        <w:right w:val="none" w:sz="0" w:space="0" w:color="auto"/>
      </w:divBdr>
    </w:div>
    <w:div w:id="1883908293">
      <w:bodyDiv w:val="1"/>
      <w:marLeft w:val="0"/>
      <w:marRight w:val="0"/>
      <w:marTop w:val="0"/>
      <w:marBottom w:val="0"/>
      <w:divBdr>
        <w:top w:val="none" w:sz="0" w:space="0" w:color="auto"/>
        <w:left w:val="none" w:sz="0" w:space="0" w:color="auto"/>
        <w:bottom w:val="none" w:sz="0" w:space="0" w:color="auto"/>
        <w:right w:val="none" w:sz="0" w:space="0" w:color="auto"/>
      </w:divBdr>
    </w:div>
    <w:div w:id="1883978444">
      <w:bodyDiv w:val="1"/>
      <w:marLeft w:val="0"/>
      <w:marRight w:val="0"/>
      <w:marTop w:val="0"/>
      <w:marBottom w:val="0"/>
      <w:divBdr>
        <w:top w:val="none" w:sz="0" w:space="0" w:color="auto"/>
        <w:left w:val="none" w:sz="0" w:space="0" w:color="auto"/>
        <w:bottom w:val="none" w:sz="0" w:space="0" w:color="auto"/>
        <w:right w:val="none" w:sz="0" w:space="0" w:color="auto"/>
      </w:divBdr>
    </w:div>
    <w:div w:id="1884057761">
      <w:bodyDiv w:val="1"/>
      <w:marLeft w:val="0"/>
      <w:marRight w:val="0"/>
      <w:marTop w:val="0"/>
      <w:marBottom w:val="0"/>
      <w:divBdr>
        <w:top w:val="none" w:sz="0" w:space="0" w:color="auto"/>
        <w:left w:val="none" w:sz="0" w:space="0" w:color="auto"/>
        <w:bottom w:val="none" w:sz="0" w:space="0" w:color="auto"/>
        <w:right w:val="none" w:sz="0" w:space="0" w:color="auto"/>
      </w:divBdr>
    </w:div>
    <w:div w:id="1884098481">
      <w:bodyDiv w:val="1"/>
      <w:marLeft w:val="0"/>
      <w:marRight w:val="0"/>
      <w:marTop w:val="0"/>
      <w:marBottom w:val="0"/>
      <w:divBdr>
        <w:top w:val="none" w:sz="0" w:space="0" w:color="auto"/>
        <w:left w:val="none" w:sz="0" w:space="0" w:color="auto"/>
        <w:bottom w:val="none" w:sz="0" w:space="0" w:color="auto"/>
        <w:right w:val="none" w:sz="0" w:space="0" w:color="auto"/>
      </w:divBdr>
    </w:div>
    <w:div w:id="1884100346">
      <w:bodyDiv w:val="1"/>
      <w:marLeft w:val="0"/>
      <w:marRight w:val="0"/>
      <w:marTop w:val="0"/>
      <w:marBottom w:val="0"/>
      <w:divBdr>
        <w:top w:val="none" w:sz="0" w:space="0" w:color="auto"/>
        <w:left w:val="none" w:sz="0" w:space="0" w:color="auto"/>
        <w:bottom w:val="none" w:sz="0" w:space="0" w:color="auto"/>
        <w:right w:val="none" w:sz="0" w:space="0" w:color="auto"/>
      </w:divBdr>
    </w:div>
    <w:div w:id="1884173355">
      <w:bodyDiv w:val="1"/>
      <w:marLeft w:val="0"/>
      <w:marRight w:val="0"/>
      <w:marTop w:val="0"/>
      <w:marBottom w:val="0"/>
      <w:divBdr>
        <w:top w:val="none" w:sz="0" w:space="0" w:color="auto"/>
        <w:left w:val="none" w:sz="0" w:space="0" w:color="auto"/>
        <w:bottom w:val="none" w:sz="0" w:space="0" w:color="auto"/>
        <w:right w:val="none" w:sz="0" w:space="0" w:color="auto"/>
      </w:divBdr>
    </w:div>
    <w:div w:id="1884244692">
      <w:bodyDiv w:val="1"/>
      <w:marLeft w:val="0"/>
      <w:marRight w:val="0"/>
      <w:marTop w:val="0"/>
      <w:marBottom w:val="0"/>
      <w:divBdr>
        <w:top w:val="none" w:sz="0" w:space="0" w:color="auto"/>
        <w:left w:val="none" w:sz="0" w:space="0" w:color="auto"/>
        <w:bottom w:val="none" w:sz="0" w:space="0" w:color="auto"/>
        <w:right w:val="none" w:sz="0" w:space="0" w:color="auto"/>
      </w:divBdr>
    </w:div>
    <w:div w:id="1884249443">
      <w:bodyDiv w:val="1"/>
      <w:marLeft w:val="0"/>
      <w:marRight w:val="0"/>
      <w:marTop w:val="0"/>
      <w:marBottom w:val="0"/>
      <w:divBdr>
        <w:top w:val="none" w:sz="0" w:space="0" w:color="auto"/>
        <w:left w:val="none" w:sz="0" w:space="0" w:color="auto"/>
        <w:bottom w:val="none" w:sz="0" w:space="0" w:color="auto"/>
        <w:right w:val="none" w:sz="0" w:space="0" w:color="auto"/>
      </w:divBdr>
    </w:div>
    <w:div w:id="1884511829">
      <w:bodyDiv w:val="1"/>
      <w:marLeft w:val="0"/>
      <w:marRight w:val="0"/>
      <w:marTop w:val="0"/>
      <w:marBottom w:val="0"/>
      <w:divBdr>
        <w:top w:val="none" w:sz="0" w:space="0" w:color="auto"/>
        <w:left w:val="none" w:sz="0" w:space="0" w:color="auto"/>
        <w:bottom w:val="none" w:sz="0" w:space="0" w:color="auto"/>
        <w:right w:val="none" w:sz="0" w:space="0" w:color="auto"/>
      </w:divBdr>
    </w:div>
    <w:div w:id="1884515999">
      <w:bodyDiv w:val="1"/>
      <w:marLeft w:val="0"/>
      <w:marRight w:val="0"/>
      <w:marTop w:val="0"/>
      <w:marBottom w:val="0"/>
      <w:divBdr>
        <w:top w:val="none" w:sz="0" w:space="0" w:color="auto"/>
        <w:left w:val="none" w:sz="0" w:space="0" w:color="auto"/>
        <w:bottom w:val="none" w:sz="0" w:space="0" w:color="auto"/>
        <w:right w:val="none" w:sz="0" w:space="0" w:color="auto"/>
      </w:divBdr>
    </w:div>
    <w:div w:id="1884559963">
      <w:bodyDiv w:val="1"/>
      <w:marLeft w:val="0"/>
      <w:marRight w:val="0"/>
      <w:marTop w:val="0"/>
      <w:marBottom w:val="0"/>
      <w:divBdr>
        <w:top w:val="none" w:sz="0" w:space="0" w:color="auto"/>
        <w:left w:val="none" w:sz="0" w:space="0" w:color="auto"/>
        <w:bottom w:val="none" w:sz="0" w:space="0" w:color="auto"/>
        <w:right w:val="none" w:sz="0" w:space="0" w:color="auto"/>
      </w:divBdr>
    </w:div>
    <w:div w:id="1884560150">
      <w:bodyDiv w:val="1"/>
      <w:marLeft w:val="0"/>
      <w:marRight w:val="0"/>
      <w:marTop w:val="0"/>
      <w:marBottom w:val="0"/>
      <w:divBdr>
        <w:top w:val="none" w:sz="0" w:space="0" w:color="auto"/>
        <w:left w:val="none" w:sz="0" w:space="0" w:color="auto"/>
        <w:bottom w:val="none" w:sz="0" w:space="0" w:color="auto"/>
        <w:right w:val="none" w:sz="0" w:space="0" w:color="auto"/>
      </w:divBdr>
    </w:div>
    <w:div w:id="1884630272">
      <w:bodyDiv w:val="1"/>
      <w:marLeft w:val="0"/>
      <w:marRight w:val="0"/>
      <w:marTop w:val="0"/>
      <w:marBottom w:val="0"/>
      <w:divBdr>
        <w:top w:val="none" w:sz="0" w:space="0" w:color="auto"/>
        <w:left w:val="none" w:sz="0" w:space="0" w:color="auto"/>
        <w:bottom w:val="none" w:sz="0" w:space="0" w:color="auto"/>
        <w:right w:val="none" w:sz="0" w:space="0" w:color="auto"/>
      </w:divBdr>
    </w:div>
    <w:div w:id="1884631485">
      <w:bodyDiv w:val="1"/>
      <w:marLeft w:val="0"/>
      <w:marRight w:val="0"/>
      <w:marTop w:val="0"/>
      <w:marBottom w:val="0"/>
      <w:divBdr>
        <w:top w:val="none" w:sz="0" w:space="0" w:color="auto"/>
        <w:left w:val="none" w:sz="0" w:space="0" w:color="auto"/>
        <w:bottom w:val="none" w:sz="0" w:space="0" w:color="auto"/>
        <w:right w:val="none" w:sz="0" w:space="0" w:color="auto"/>
      </w:divBdr>
    </w:div>
    <w:div w:id="1884636857">
      <w:bodyDiv w:val="1"/>
      <w:marLeft w:val="0"/>
      <w:marRight w:val="0"/>
      <w:marTop w:val="0"/>
      <w:marBottom w:val="0"/>
      <w:divBdr>
        <w:top w:val="none" w:sz="0" w:space="0" w:color="auto"/>
        <w:left w:val="none" w:sz="0" w:space="0" w:color="auto"/>
        <w:bottom w:val="none" w:sz="0" w:space="0" w:color="auto"/>
        <w:right w:val="none" w:sz="0" w:space="0" w:color="auto"/>
      </w:divBdr>
    </w:div>
    <w:div w:id="1884949574">
      <w:bodyDiv w:val="1"/>
      <w:marLeft w:val="0"/>
      <w:marRight w:val="0"/>
      <w:marTop w:val="0"/>
      <w:marBottom w:val="0"/>
      <w:divBdr>
        <w:top w:val="none" w:sz="0" w:space="0" w:color="auto"/>
        <w:left w:val="none" w:sz="0" w:space="0" w:color="auto"/>
        <w:bottom w:val="none" w:sz="0" w:space="0" w:color="auto"/>
        <w:right w:val="none" w:sz="0" w:space="0" w:color="auto"/>
      </w:divBdr>
    </w:div>
    <w:div w:id="1885021251">
      <w:bodyDiv w:val="1"/>
      <w:marLeft w:val="0"/>
      <w:marRight w:val="0"/>
      <w:marTop w:val="0"/>
      <w:marBottom w:val="0"/>
      <w:divBdr>
        <w:top w:val="none" w:sz="0" w:space="0" w:color="auto"/>
        <w:left w:val="none" w:sz="0" w:space="0" w:color="auto"/>
        <w:bottom w:val="none" w:sz="0" w:space="0" w:color="auto"/>
        <w:right w:val="none" w:sz="0" w:space="0" w:color="auto"/>
      </w:divBdr>
    </w:div>
    <w:div w:id="1885022952">
      <w:bodyDiv w:val="1"/>
      <w:marLeft w:val="0"/>
      <w:marRight w:val="0"/>
      <w:marTop w:val="0"/>
      <w:marBottom w:val="0"/>
      <w:divBdr>
        <w:top w:val="none" w:sz="0" w:space="0" w:color="auto"/>
        <w:left w:val="none" w:sz="0" w:space="0" w:color="auto"/>
        <w:bottom w:val="none" w:sz="0" w:space="0" w:color="auto"/>
        <w:right w:val="none" w:sz="0" w:space="0" w:color="auto"/>
      </w:divBdr>
    </w:div>
    <w:div w:id="1885024676">
      <w:bodyDiv w:val="1"/>
      <w:marLeft w:val="0"/>
      <w:marRight w:val="0"/>
      <w:marTop w:val="0"/>
      <w:marBottom w:val="0"/>
      <w:divBdr>
        <w:top w:val="none" w:sz="0" w:space="0" w:color="auto"/>
        <w:left w:val="none" w:sz="0" w:space="0" w:color="auto"/>
        <w:bottom w:val="none" w:sz="0" w:space="0" w:color="auto"/>
        <w:right w:val="none" w:sz="0" w:space="0" w:color="auto"/>
      </w:divBdr>
    </w:div>
    <w:div w:id="1885093482">
      <w:bodyDiv w:val="1"/>
      <w:marLeft w:val="0"/>
      <w:marRight w:val="0"/>
      <w:marTop w:val="0"/>
      <w:marBottom w:val="0"/>
      <w:divBdr>
        <w:top w:val="none" w:sz="0" w:space="0" w:color="auto"/>
        <w:left w:val="none" w:sz="0" w:space="0" w:color="auto"/>
        <w:bottom w:val="none" w:sz="0" w:space="0" w:color="auto"/>
        <w:right w:val="none" w:sz="0" w:space="0" w:color="auto"/>
      </w:divBdr>
    </w:div>
    <w:div w:id="1885174007">
      <w:bodyDiv w:val="1"/>
      <w:marLeft w:val="0"/>
      <w:marRight w:val="0"/>
      <w:marTop w:val="0"/>
      <w:marBottom w:val="0"/>
      <w:divBdr>
        <w:top w:val="none" w:sz="0" w:space="0" w:color="auto"/>
        <w:left w:val="none" w:sz="0" w:space="0" w:color="auto"/>
        <w:bottom w:val="none" w:sz="0" w:space="0" w:color="auto"/>
        <w:right w:val="none" w:sz="0" w:space="0" w:color="auto"/>
      </w:divBdr>
    </w:div>
    <w:div w:id="1885175006">
      <w:bodyDiv w:val="1"/>
      <w:marLeft w:val="0"/>
      <w:marRight w:val="0"/>
      <w:marTop w:val="0"/>
      <w:marBottom w:val="0"/>
      <w:divBdr>
        <w:top w:val="none" w:sz="0" w:space="0" w:color="auto"/>
        <w:left w:val="none" w:sz="0" w:space="0" w:color="auto"/>
        <w:bottom w:val="none" w:sz="0" w:space="0" w:color="auto"/>
        <w:right w:val="none" w:sz="0" w:space="0" w:color="auto"/>
      </w:divBdr>
    </w:div>
    <w:div w:id="1885290754">
      <w:bodyDiv w:val="1"/>
      <w:marLeft w:val="0"/>
      <w:marRight w:val="0"/>
      <w:marTop w:val="0"/>
      <w:marBottom w:val="0"/>
      <w:divBdr>
        <w:top w:val="none" w:sz="0" w:space="0" w:color="auto"/>
        <w:left w:val="none" w:sz="0" w:space="0" w:color="auto"/>
        <w:bottom w:val="none" w:sz="0" w:space="0" w:color="auto"/>
        <w:right w:val="none" w:sz="0" w:space="0" w:color="auto"/>
      </w:divBdr>
    </w:div>
    <w:div w:id="1885361394">
      <w:bodyDiv w:val="1"/>
      <w:marLeft w:val="0"/>
      <w:marRight w:val="0"/>
      <w:marTop w:val="0"/>
      <w:marBottom w:val="0"/>
      <w:divBdr>
        <w:top w:val="none" w:sz="0" w:space="0" w:color="auto"/>
        <w:left w:val="none" w:sz="0" w:space="0" w:color="auto"/>
        <w:bottom w:val="none" w:sz="0" w:space="0" w:color="auto"/>
        <w:right w:val="none" w:sz="0" w:space="0" w:color="auto"/>
      </w:divBdr>
    </w:div>
    <w:div w:id="1885435773">
      <w:bodyDiv w:val="1"/>
      <w:marLeft w:val="0"/>
      <w:marRight w:val="0"/>
      <w:marTop w:val="0"/>
      <w:marBottom w:val="0"/>
      <w:divBdr>
        <w:top w:val="none" w:sz="0" w:space="0" w:color="auto"/>
        <w:left w:val="none" w:sz="0" w:space="0" w:color="auto"/>
        <w:bottom w:val="none" w:sz="0" w:space="0" w:color="auto"/>
        <w:right w:val="none" w:sz="0" w:space="0" w:color="auto"/>
      </w:divBdr>
    </w:div>
    <w:div w:id="1885484642">
      <w:bodyDiv w:val="1"/>
      <w:marLeft w:val="0"/>
      <w:marRight w:val="0"/>
      <w:marTop w:val="0"/>
      <w:marBottom w:val="0"/>
      <w:divBdr>
        <w:top w:val="none" w:sz="0" w:space="0" w:color="auto"/>
        <w:left w:val="none" w:sz="0" w:space="0" w:color="auto"/>
        <w:bottom w:val="none" w:sz="0" w:space="0" w:color="auto"/>
        <w:right w:val="none" w:sz="0" w:space="0" w:color="auto"/>
      </w:divBdr>
    </w:div>
    <w:div w:id="1885555774">
      <w:bodyDiv w:val="1"/>
      <w:marLeft w:val="0"/>
      <w:marRight w:val="0"/>
      <w:marTop w:val="0"/>
      <w:marBottom w:val="0"/>
      <w:divBdr>
        <w:top w:val="none" w:sz="0" w:space="0" w:color="auto"/>
        <w:left w:val="none" w:sz="0" w:space="0" w:color="auto"/>
        <w:bottom w:val="none" w:sz="0" w:space="0" w:color="auto"/>
        <w:right w:val="none" w:sz="0" w:space="0" w:color="auto"/>
      </w:divBdr>
    </w:div>
    <w:div w:id="1885559623">
      <w:bodyDiv w:val="1"/>
      <w:marLeft w:val="0"/>
      <w:marRight w:val="0"/>
      <w:marTop w:val="0"/>
      <w:marBottom w:val="0"/>
      <w:divBdr>
        <w:top w:val="none" w:sz="0" w:space="0" w:color="auto"/>
        <w:left w:val="none" w:sz="0" w:space="0" w:color="auto"/>
        <w:bottom w:val="none" w:sz="0" w:space="0" w:color="auto"/>
        <w:right w:val="none" w:sz="0" w:space="0" w:color="auto"/>
      </w:divBdr>
    </w:div>
    <w:div w:id="1885604447">
      <w:bodyDiv w:val="1"/>
      <w:marLeft w:val="0"/>
      <w:marRight w:val="0"/>
      <w:marTop w:val="0"/>
      <w:marBottom w:val="0"/>
      <w:divBdr>
        <w:top w:val="none" w:sz="0" w:space="0" w:color="auto"/>
        <w:left w:val="none" w:sz="0" w:space="0" w:color="auto"/>
        <w:bottom w:val="none" w:sz="0" w:space="0" w:color="auto"/>
        <w:right w:val="none" w:sz="0" w:space="0" w:color="auto"/>
      </w:divBdr>
    </w:div>
    <w:div w:id="1885632998">
      <w:bodyDiv w:val="1"/>
      <w:marLeft w:val="0"/>
      <w:marRight w:val="0"/>
      <w:marTop w:val="0"/>
      <w:marBottom w:val="0"/>
      <w:divBdr>
        <w:top w:val="none" w:sz="0" w:space="0" w:color="auto"/>
        <w:left w:val="none" w:sz="0" w:space="0" w:color="auto"/>
        <w:bottom w:val="none" w:sz="0" w:space="0" w:color="auto"/>
        <w:right w:val="none" w:sz="0" w:space="0" w:color="auto"/>
      </w:divBdr>
    </w:div>
    <w:div w:id="1885674531">
      <w:bodyDiv w:val="1"/>
      <w:marLeft w:val="0"/>
      <w:marRight w:val="0"/>
      <w:marTop w:val="0"/>
      <w:marBottom w:val="0"/>
      <w:divBdr>
        <w:top w:val="none" w:sz="0" w:space="0" w:color="auto"/>
        <w:left w:val="none" w:sz="0" w:space="0" w:color="auto"/>
        <w:bottom w:val="none" w:sz="0" w:space="0" w:color="auto"/>
        <w:right w:val="none" w:sz="0" w:space="0" w:color="auto"/>
      </w:divBdr>
    </w:div>
    <w:div w:id="1885753218">
      <w:bodyDiv w:val="1"/>
      <w:marLeft w:val="0"/>
      <w:marRight w:val="0"/>
      <w:marTop w:val="0"/>
      <w:marBottom w:val="0"/>
      <w:divBdr>
        <w:top w:val="none" w:sz="0" w:space="0" w:color="auto"/>
        <w:left w:val="none" w:sz="0" w:space="0" w:color="auto"/>
        <w:bottom w:val="none" w:sz="0" w:space="0" w:color="auto"/>
        <w:right w:val="none" w:sz="0" w:space="0" w:color="auto"/>
      </w:divBdr>
    </w:div>
    <w:div w:id="1885753800">
      <w:bodyDiv w:val="1"/>
      <w:marLeft w:val="0"/>
      <w:marRight w:val="0"/>
      <w:marTop w:val="0"/>
      <w:marBottom w:val="0"/>
      <w:divBdr>
        <w:top w:val="none" w:sz="0" w:space="0" w:color="auto"/>
        <w:left w:val="none" w:sz="0" w:space="0" w:color="auto"/>
        <w:bottom w:val="none" w:sz="0" w:space="0" w:color="auto"/>
        <w:right w:val="none" w:sz="0" w:space="0" w:color="auto"/>
      </w:divBdr>
    </w:div>
    <w:div w:id="1885755316">
      <w:bodyDiv w:val="1"/>
      <w:marLeft w:val="0"/>
      <w:marRight w:val="0"/>
      <w:marTop w:val="0"/>
      <w:marBottom w:val="0"/>
      <w:divBdr>
        <w:top w:val="none" w:sz="0" w:space="0" w:color="auto"/>
        <w:left w:val="none" w:sz="0" w:space="0" w:color="auto"/>
        <w:bottom w:val="none" w:sz="0" w:space="0" w:color="auto"/>
        <w:right w:val="none" w:sz="0" w:space="0" w:color="auto"/>
      </w:divBdr>
    </w:div>
    <w:div w:id="1885944411">
      <w:bodyDiv w:val="1"/>
      <w:marLeft w:val="0"/>
      <w:marRight w:val="0"/>
      <w:marTop w:val="0"/>
      <w:marBottom w:val="0"/>
      <w:divBdr>
        <w:top w:val="none" w:sz="0" w:space="0" w:color="auto"/>
        <w:left w:val="none" w:sz="0" w:space="0" w:color="auto"/>
        <w:bottom w:val="none" w:sz="0" w:space="0" w:color="auto"/>
        <w:right w:val="none" w:sz="0" w:space="0" w:color="auto"/>
      </w:divBdr>
    </w:div>
    <w:div w:id="1885947653">
      <w:bodyDiv w:val="1"/>
      <w:marLeft w:val="0"/>
      <w:marRight w:val="0"/>
      <w:marTop w:val="0"/>
      <w:marBottom w:val="0"/>
      <w:divBdr>
        <w:top w:val="none" w:sz="0" w:space="0" w:color="auto"/>
        <w:left w:val="none" w:sz="0" w:space="0" w:color="auto"/>
        <w:bottom w:val="none" w:sz="0" w:space="0" w:color="auto"/>
        <w:right w:val="none" w:sz="0" w:space="0" w:color="auto"/>
      </w:divBdr>
    </w:div>
    <w:div w:id="1886021332">
      <w:bodyDiv w:val="1"/>
      <w:marLeft w:val="0"/>
      <w:marRight w:val="0"/>
      <w:marTop w:val="0"/>
      <w:marBottom w:val="0"/>
      <w:divBdr>
        <w:top w:val="none" w:sz="0" w:space="0" w:color="auto"/>
        <w:left w:val="none" w:sz="0" w:space="0" w:color="auto"/>
        <w:bottom w:val="none" w:sz="0" w:space="0" w:color="auto"/>
        <w:right w:val="none" w:sz="0" w:space="0" w:color="auto"/>
      </w:divBdr>
    </w:div>
    <w:div w:id="1886060559">
      <w:bodyDiv w:val="1"/>
      <w:marLeft w:val="0"/>
      <w:marRight w:val="0"/>
      <w:marTop w:val="0"/>
      <w:marBottom w:val="0"/>
      <w:divBdr>
        <w:top w:val="none" w:sz="0" w:space="0" w:color="auto"/>
        <w:left w:val="none" w:sz="0" w:space="0" w:color="auto"/>
        <w:bottom w:val="none" w:sz="0" w:space="0" w:color="auto"/>
        <w:right w:val="none" w:sz="0" w:space="0" w:color="auto"/>
      </w:divBdr>
    </w:div>
    <w:div w:id="1886063520">
      <w:bodyDiv w:val="1"/>
      <w:marLeft w:val="0"/>
      <w:marRight w:val="0"/>
      <w:marTop w:val="0"/>
      <w:marBottom w:val="0"/>
      <w:divBdr>
        <w:top w:val="none" w:sz="0" w:space="0" w:color="auto"/>
        <w:left w:val="none" w:sz="0" w:space="0" w:color="auto"/>
        <w:bottom w:val="none" w:sz="0" w:space="0" w:color="auto"/>
        <w:right w:val="none" w:sz="0" w:space="0" w:color="auto"/>
      </w:divBdr>
    </w:div>
    <w:div w:id="1886092965">
      <w:bodyDiv w:val="1"/>
      <w:marLeft w:val="0"/>
      <w:marRight w:val="0"/>
      <w:marTop w:val="0"/>
      <w:marBottom w:val="0"/>
      <w:divBdr>
        <w:top w:val="none" w:sz="0" w:space="0" w:color="auto"/>
        <w:left w:val="none" w:sz="0" w:space="0" w:color="auto"/>
        <w:bottom w:val="none" w:sz="0" w:space="0" w:color="auto"/>
        <w:right w:val="none" w:sz="0" w:space="0" w:color="auto"/>
      </w:divBdr>
    </w:div>
    <w:div w:id="1886209269">
      <w:bodyDiv w:val="1"/>
      <w:marLeft w:val="0"/>
      <w:marRight w:val="0"/>
      <w:marTop w:val="0"/>
      <w:marBottom w:val="0"/>
      <w:divBdr>
        <w:top w:val="none" w:sz="0" w:space="0" w:color="auto"/>
        <w:left w:val="none" w:sz="0" w:space="0" w:color="auto"/>
        <w:bottom w:val="none" w:sz="0" w:space="0" w:color="auto"/>
        <w:right w:val="none" w:sz="0" w:space="0" w:color="auto"/>
      </w:divBdr>
    </w:div>
    <w:div w:id="1886404844">
      <w:bodyDiv w:val="1"/>
      <w:marLeft w:val="0"/>
      <w:marRight w:val="0"/>
      <w:marTop w:val="0"/>
      <w:marBottom w:val="0"/>
      <w:divBdr>
        <w:top w:val="none" w:sz="0" w:space="0" w:color="auto"/>
        <w:left w:val="none" w:sz="0" w:space="0" w:color="auto"/>
        <w:bottom w:val="none" w:sz="0" w:space="0" w:color="auto"/>
        <w:right w:val="none" w:sz="0" w:space="0" w:color="auto"/>
      </w:divBdr>
    </w:div>
    <w:div w:id="1886485508">
      <w:bodyDiv w:val="1"/>
      <w:marLeft w:val="0"/>
      <w:marRight w:val="0"/>
      <w:marTop w:val="0"/>
      <w:marBottom w:val="0"/>
      <w:divBdr>
        <w:top w:val="none" w:sz="0" w:space="0" w:color="auto"/>
        <w:left w:val="none" w:sz="0" w:space="0" w:color="auto"/>
        <w:bottom w:val="none" w:sz="0" w:space="0" w:color="auto"/>
        <w:right w:val="none" w:sz="0" w:space="0" w:color="auto"/>
      </w:divBdr>
    </w:div>
    <w:div w:id="1886598423">
      <w:bodyDiv w:val="1"/>
      <w:marLeft w:val="0"/>
      <w:marRight w:val="0"/>
      <w:marTop w:val="0"/>
      <w:marBottom w:val="0"/>
      <w:divBdr>
        <w:top w:val="none" w:sz="0" w:space="0" w:color="auto"/>
        <w:left w:val="none" w:sz="0" w:space="0" w:color="auto"/>
        <w:bottom w:val="none" w:sz="0" w:space="0" w:color="auto"/>
        <w:right w:val="none" w:sz="0" w:space="0" w:color="auto"/>
      </w:divBdr>
    </w:div>
    <w:div w:id="1886601582">
      <w:bodyDiv w:val="1"/>
      <w:marLeft w:val="0"/>
      <w:marRight w:val="0"/>
      <w:marTop w:val="0"/>
      <w:marBottom w:val="0"/>
      <w:divBdr>
        <w:top w:val="none" w:sz="0" w:space="0" w:color="auto"/>
        <w:left w:val="none" w:sz="0" w:space="0" w:color="auto"/>
        <w:bottom w:val="none" w:sz="0" w:space="0" w:color="auto"/>
        <w:right w:val="none" w:sz="0" w:space="0" w:color="auto"/>
      </w:divBdr>
    </w:div>
    <w:div w:id="1886720007">
      <w:bodyDiv w:val="1"/>
      <w:marLeft w:val="0"/>
      <w:marRight w:val="0"/>
      <w:marTop w:val="0"/>
      <w:marBottom w:val="0"/>
      <w:divBdr>
        <w:top w:val="none" w:sz="0" w:space="0" w:color="auto"/>
        <w:left w:val="none" w:sz="0" w:space="0" w:color="auto"/>
        <w:bottom w:val="none" w:sz="0" w:space="0" w:color="auto"/>
        <w:right w:val="none" w:sz="0" w:space="0" w:color="auto"/>
      </w:divBdr>
    </w:div>
    <w:div w:id="1886747462">
      <w:bodyDiv w:val="1"/>
      <w:marLeft w:val="0"/>
      <w:marRight w:val="0"/>
      <w:marTop w:val="0"/>
      <w:marBottom w:val="0"/>
      <w:divBdr>
        <w:top w:val="none" w:sz="0" w:space="0" w:color="auto"/>
        <w:left w:val="none" w:sz="0" w:space="0" w:color="auto"/>
        <w:bottom w:val="none" w:sz="0" w:space="0" w:color="auto"/>
        <w:right w:val="none" w:sz="0" w:space="0" w:color="auto"/>
      </w:divBdr>
    </w:div>
    <w:div w:id="1886795399">
      <w:bodyDiv w:val="1"/>
      <w:marLeft w:val="0"/>
      <w:marRight w:val="0"/>
      <w:marTop w:val="0"/>
      <w:marBottom w:val="0"/>
      <w:divBdr>
        <w:top w:val="none" w:sz="0" w:space="0" w:color="auto"/>
        <w:left w:val="none" w:sz="0" w:space="0" w:color="auto"/>
        <w:bottom w:val="none" w:sz="0" w:space="0" w:color="auto"/>
        <w:right w:val="none" w:sz="0" w:space="0" w:color="auto"/>
      </w:divBdr>
    </w:div>
    <w:div w:id="1886864118">
      <w:bodyDiv w:val="1"/>
      <w:marLeft w:val="0"/>
      <w:marRight w:val="0"/>
      <w:marTop w:val="0"/>
      <w:marBottom w:val="0"/>
      <w:divBdr>
        <w:top w:val="none" w:sz="0" w:space="0" w:color="auto"/>
        <w:left w:val="none" w:sz="0" w:space="0" w:color="auto"/>
        <w:bottom w:val="none" w:sz="0" w:space="0" w:color="auto"/>
        <w:right w:val="none" w:sz="0" w:space="0" w:color="auto"/>
      </w:divBdr>
    </w:div>
    <w:div w:id="1886865602">
      <w:bodyDiv w:val="1"/>
      <w:marLeft w:val="0"/>
      <w:marRight w:val="0"/>
      <w:marTop w:val="0"/>
      <w:marBottom w:val="0"/>
      <w:divBdr>
        <w:top w:val="none" w:sz="0" w:space="0" w:color="auto"/>
        <w:left w:val="none" w:sz="0" w:space="0" w:color="auto"/>
        <w:bottom w:val="none" w:sz="0" w:space="0" w:color="auto"/>
        <w:right w:val="none" w:sz="0" w:space="0" w:color="auto"/>
      </w:divBdr>
    </w:div>
    <w:div w:id="1886944133">
      <w:bodyDiv w:val="1"/>
      <w:marLeft w:val="0"/>
      <w:marRight w:val="0"/>
      <w:marTop w:val="0"/>
      <w:marBottom w:val="0"/>
      <w:divBdr>
        <w:top w:val="none" w:sz="0" w:space="0" w:color="auto"/>
        <w:left w:val="none" w:sz="0" w:space="0" w:color="auto"/>
        <w:bottom w:val="none" w:sz="0" w:space="0" w:color="auto"/>
        <w:right w:val="none" w:sz="0" w:space="0" w:color="auto"/>
      </w:divBdr>
    </w:div>
    <w:div w:id="1887062376">
      <w:bodyDiv w:val="1"/>
      <w:marLeft w:val="0"/>
      <w:marRight w:val="0"/>
      <w:marTop w:val="0"/>
      <w:marBottom w:val="0"/>
      <w:divBdr>
        <w:top w:val="none" w:sz="0" w:space="0" w:color="auto"/>
        <w:left w:val="none" w:sz="0" w:space="0" w:color="auto"/>
        <w:bottom w:val="none" w:sz="0" w:space="0" w:color="auto"/>
        <w:right w:val="none" w:sz="0" w:space="0" w:color="auto"/>
      </w:divBdr>
    </w:div>
    <w:div w:id="1887176472">
      <w:bodyDiv w:val="1"/>
      <w:marLeft w:val="0"/>
      <w:marRight w:val="0"/>
      <w:marTop w:val="0"/>
      <w:marBottom w:val="0"/>
      <w:divBdr>
        <w:top w:val="none" w:sz="0" w:space="0" w:color="auto"/>
        <w:left w:val="none" w:sz="0" w:space="0" w:color="auto"/>
        <w:bottom w:val="none" w:sz="0" w:space="0" w:color="auto"/>
        <w:right w:val="none" w:sz="0" w:space="0" w:color="auto"/>
      </w:divBdr>
    </w:div>
    <w:div w:id="1887181026">
      <w:bodyDiv w:val="1"/>
      <w:marLeft w:val="0"/>
      <w:marRight w:val="0"/>
      <w:marTop w:val="0"/>
      <w:marBottom w:val="0"/>
      <w:divBdr>
        <w:top w:val="none" w:sz="0" w:space="0" w:color="auto"/>
        <w:left w:val="none" w:sz="0" w:space="0" w:color="auto"/>
        <w:bottom w:val="none" w:sz="0" w:space="0" w:color="auto"/>
        <w:right w:val="none" w:sz="0" w:space="0" w:color="auto"/>
      </w:divBdr>
    </w:div>
    <w:div w:id="1887184098">
      <w:bodyDiv w:val="1"/>
      <w:marLeft w:val="0"/>
      <w:marRight w:val="0"/>
      <w:marTop w:val="0"/>
      <w:marBottom w:val="0"/>
      <w:divBdr>
        <w:top w:val="none" w:sz="0" w:space="0" w:color="auto"/>
        <w:left w:val="none" w:sz="0" w:space="0" w:color="auto"/>
        <w:bottom w:val="none" w:sz="0" w:space="0" w:color="auto"/>
        <w:right w:val="none" w:sz="0" w:space="0" w:color="auto"/>
      </w:divBdr>
    </w:div>
    <w:div w:id="1887251891">
      <w:bodyDiv w:val="1"/>
      <w:marLeft w:val="0"/>
      <w:marRight w:val="0"/>
      <w:marTop w:val="0"/>
      <w:marBottom w:val="0"/>
      <w:divBdr>
        <w:top w:val="none" w:sz="0" w:space="0" w:color="auto"/>
        <w:left w:val="none" w:sz="0" w:space="0" w:color="auto"/>
        <w:bottom w:val="none" w:sz="0" w:space="0" w:color="auto"/>
        <w:right w:val="none" w:sz="0" w:space="0" w:color="auto"/>
      </w:divBdr>
    </w:div>
    <w:div w:id="1887255342">
      <w:bodyDiv w:val="1"/>
      <w:marLeft w:val="0"/>
      <w:marRight w:val="0"/>
      <w:marTop w:val="0"/>
      <w:marBottom w:val="0"/>
      <w:divBdr>
        <w:top w:val="none" w:sz="0" w:space="0" w:color="auto"/>
        <w:left w:val="none" w:sz="0" w:space="0" w:color="auto"/>
        <w:bottom w:val="none" w:sz="0" w:space="0" w:color="auto"/>
        <w:right w:val="none" w:sz="0" w:space="0" w:color="auto"/>
      </w:divBdr>
    </w:div>
    <w:div w:id="1887332157">
      <w:bodyDiv w:val="1"/>
      <w:marLeft w:val="0"/>
      <w:marRight w:val="0"/>
      <w:marTop w:val="0"/>
      <w:marBottom w:val="0"/>
      <w:divBdr>
        <w:top w:val="none" w:sz="0" w:space="0" w:color="auto"/>
        <w:left w:val="none" w:sz="0" w:space="0" w:color="auto"/>
        <w:bottom w:val="none" w:sz="0" w:space="0" w:color="auto"/>
        <w:right w:val="none" w:sz="0" w:space="0" w:color="auto"/>
      </w:divBdr>
    </w:div>
    <w:div w:id="1887332236">
      <w:bodyDiv w:val="1"/>
      <w:marLeft w:val="0"/>
      <w:marRight w:val="0"/>
      <w:marTop w:val="0"/>
      <w:marBottom w:val="0"/>
      <w:divBdr>
        <w:top w:val="none" w:sz="0" w:space="0" w:color="auto"/>
        <w:left w:val="none" w:sz="0" w:space="0" w:color="auto"/>
        <w:bottom w:val="none" w:sz="0" w:space="0" w:color="auto"/>
        <w:right w:val="none" w:sz="0" w:space="0" w:color="auto"/>
      </w:divBdr>
    </w:div>
    <w:div w:id="1887401796">
      <w:bodyDiv w:val="1"/>
      <w:marLeft w:val="0"/>
      <w:marRight w:val="0"/>
      <w:marTop w:val="0"/>
      <w:marBottom w:val="0"/>
      <w:divBdr>
        <w:top w:val="none" w:sz="0" w:space="0" w:color="auto"/>
        <w:left w:val="none" w:sz="0" w:space="0" w:color="auto"/>
        <w:bottom w:val="none" w:sz="0" w:space="0" w:color="auto"/>
        <w:right w:val="none" w:sz="0" w:space="0" w:color="auto"/>
      </w:divBdr>
    </w:div>
    <w:div w:id="1887402459">
      <w:bodyDiv w:val="1"/>
      <w:marLeft w:val="0"/>
      <w:marRight w:val="0"/>
      <w:marTop w:val="0"/>
      <w:marBottom w:val="0"/>
      <w:divBdr>
        <w:top w:val="none" w:sz="0" w:space="0" w:color="auto"/>
        <w:left w:val="none" w:sz="0" w:space="0" w:color="auto"/>
        <w:bottom w:val="none" w:sz="0" w:space="0" w:color="auto"/>
        <w:right w:val="none" w:sz="0" w:space="0" w:color="auto"/>
      </w:divBdr>
    </w:div>
    <w:div w:id="1887402974">
      <w:bodyDiv w:val="1"/>
      <w:marLeft w:val="0"/>
      <w:marRight w:val="0"/>
      <w:marTop w:val="0"/>
      <w:marBottom w:val="0"/>
      <w:divBdr>
        <w:top w:val="none" w:sz="0" w:space="0" w:color="auto"/>
        <w:left w:val="none" w:sz="0" w:space="0" w:color="auto"/>
        <w:bottom w:val="none" w:sz="0" w:space="0" w:color="auto"/>
        <w:right w:val="none" w:sz="0" w:space="0" w:color="auto"/>
      </w:divBdr>
    </w:div>
    <w:div w:id="1887527736">
      <w:bodyDiv w:val="1"/>
      <w:marLeft w:val="0"/>
      <w:marRight w:val="0"/>
      <w:marTop w:val="0"/>
      <w:marBottom w:val="0"/>
      <w:divBdr>
        <w:top w:val="none" w:sz="0" w:space="0" w:color="auto"/>
        <w:left w:val="none" w:sz="0" w:space="0" w:color="auto"/>
        <w:bottom w:val="none" w:sz="0" w:space="0" w:color="auto"/>
        <w:right w:val="none" w:sz="0" w:space="0" w:color="auto"/>
      </w:divBdr>
    </w:div>
    <w:div w:id="1887570272">
      <w:bodyDiv w:val="1"/>
      <w:marLeft w:val="0"/>
      <w:marRight w:val="0"/>
      <w:marTop w:val="0"/>
      <w:marBottom w:val="0"/>
      <w:divBdr>
        <w:top w:val="none" w:sz="0" w:space="0" w:color="auto"/>
        <w:left w:val="none" w:sz="0" w:space="0" w:color="auto"/>
        <w:bottom w:val="none" w:sz="0" w:space="0" w:color="auto"/>
        <w:right w:val="none" w:sz="0" w:space="0" w:color="auto"/>
      </w:divBdr>
    </w:div>
    <w:div w:id="1887638378">
      <w:bodyDiv w:val="1"/>
      <w:marLeft w:val="0"/>
      <w:marRight w:val="0"/>
      <w:marTop w:val="0"/>
      <w:marBottom w:val="0"/>
      <w:divBdr>
        <w:top w:val="none" w:sz="0" w:space="0" w:color="auto"/>
        <w:left w:val="none" w:sz="0" w:space="0" w:color="auto"/>
        <w:bottom w:val="none" w:sz="0" w:space="0" w:color="auto"/>
        <w:right w:val="none" w:sz="0" w:space="0" w:color="auto"/>
      </w:divBdr>
    </w:div>
    <w:div w:id="1887719451">
      <w:bodyDiv w:val="1"/>
      <w:marLeft w:val="0"/>
      <w:marRight w:val="0"/>
      <w:marTop w:val="0"/>
      <w:marBottom w:val="0"/>
      <w:divBdr>
        <w:top w:val="none" w:sz="0" w:space="0" w:color="auto"/>
        <w:left w:val="none" w:sz="0" w:space="0" w:color="auto"/>
        <w:bottom w:val="none" w:sz="0" w:space="0" w:color="auto"/>
        <w:right w:val="none" w:sz="0" w:space="0" w:color="auto"/>
      </w:divBdr>
    </w:div>
    <w:div w:id="1887787967">
      <w:bodyDiv w:val="1"/>
      <w:marLeft w:val="0"/>
      <w:marRight w:val="0"/>
      <w:marTop w:val="0"/>
      <w:marBottom w:val="0"/>
      <w:divBdr>
        <w:top w:val="none" w:sz="0" w:space="0" w:color="auto"/>
        <w:left w:val="none" w:sz="0" w:space="0" w:color="auto"/>
        <w:bottom w:val="none" w:sz="0" w:space="0" w:color="auto"/>
        <w:right w:val="none" w:sz="0" w:space="0" w:color="auto"/>
      </w:divBdr>
    </w:div>
    <w:div w:id="1887982132">
      <w:bodyDiv w:val="1"/>
      <w:marLeft w:val="0"/>
      <w:marRight w:val="0"/>
      <w:marTop w:val="0"/>
      <w:marBottom w:val="0"/>
      <w:divBdr>
        <w:top w:val="none" w:sz="0" w:space="0" w:color="auto"/>
        <w:left w:val="none" w:sz="0" w:space="0" w:color="auto"/>
        <w:bottom w:val="none" w:sz="0" w:space="0" w:color="auto"/>
        <w:right w:val="none" w:sz="0" w:space="0" w:color="auto"/>
      </w:divBdr>
    </w:div>
    <w:div w:id="1887986806">
      <w:bodyDiv w:val="1"/>
      <w:marLeft w:val="0"/>
      <w:marRight w:val="0"/>
      <w:marTop w:val="0"/>
      <w:marBottom w:val="0"/>
      <w:divBdr>
        <w:top w:val="none" w:sz="0" w:space="0" w:color="auto"/>
        <w:left w:val="none" w:sz="0" w:space="0" w:color="auto"/>
        <w:bottom w:val="none" w:sz="0" w:space="0" w:color="auto"/>
        <w:right w:val="none" w:sz="0" w:space="0" w:color="auto"/>
      </w:divBdr>
    </w:div>
    <w:div w:id="1888032595">
      <w:bodyDiv w:val="1"/>
      <w:marLeft w:val="0"/>
      <w:marRight w:val="0"/>
      <w:marTop w:val="0"/>
      <w:marBottom w:val="0"/>
      <w:divBdr>
        <w:top w:val="none" w:sz="0" w:space="0" w:color="auto"/>
        <w:left w:val="none" w:sz="0" w:space="0" w:color="auto"/>
        <w:bottom w:val="none" w:sz="0" w:space="0" w:color="auto"/>
        <w:right w:val="none" w:sz="0" w:space="0" w:color="auto"/>
      </w:divBdr>
    </w:div>
    <w:div w:id="1888032697">
      <w:bodyDiv w:val="1"/>
      <w:marLeft w:val="0"/>
      <w:marRight w:val="0"/>
      <w:marTop w:val="0"/>
      <w:marBottom w:val="0"/>
      <w:divBdr>
        <w:top w:val="none" w:sz="0" w:space="0" w:color="auto"/>
        <w:left w:val="none" w:sz="0" w:space="0" w:color="auto"/>
        <w:bottom w:val="none" w:sz="0" w:space="0" w:color="auto"/>
        <w:right w:val="none" w:sz="0" w:space="0" w:color="auto"/>
      </w:divBdr>
    </w:div>
    <w:div w:id="1888033361">
      <w:bodyDiv w:val="1"/>
      <w:marLeft w:val="0"/>
      <w:marRight w:val="0"/>
      <w:marTop w:val="0"/>
      <w:marBottom w:val="0"/>
      <w:divBdr>
        <w:top w:val="none" w:sz="0" w:space="0" w:color="auto"/>
        <w:left w:val="none" w:sz="0" w:space="0" w:color="auto"/>
        <w:bottom w:val="none" w:sz="0" w:space="0" w:color="auto"/>
        <w:right w:val="none" w:sz="0" w:space="0" w:color="auto"/>
      </w:divBdr>
    </w:div>
    <w:div w:id="1888294109">
      <w:bodyDiv w:val="1"/>
      <w:marLeft w:val="0"/>
      <w:marRight w:val="0"/>
      <w:marTop w:val="0"/>
      <w:marBottom w:val="0"/>
      <w:divBdr>
        <w:top w:val="none" w:sz="0" w:space="0" w:color="auto"/>
        <w:left w:val="none" w:sz="0" w:space="0" w:color="auto"/>
        <w:bottom w:val="none" w:sz="0" w:space="0" w:color="auto"/>
        <w:right w:val="none" w:sz="0" w:space="0" w:color="auto"/>
      </w:divBdr>
    </w:div>
    <w:div w:id="1888369066">
      <w:bodyDiv w:val="1"/>
      <w:marLeft w:val="0"/>
      <w:marRight w:val="0"/>
      <w:marTop w:val="0"/>
      <w:marBottom w:val="0"/>
      <w:divBdr>
        <w:top w:val="none" w:sz="0" w:space="0" w:color="auto"/>
        <w:left w:val="none" w:sz="0" w:space="0" w:color="auto"/>
        <w:bottom w:val="none" w:sz="0" w:space="0" w:color="auto"/>
        <w:right w:val="none" w:sz="0" w:space="0" w:color="auto"/>
      </w:divBdr>
    </w:div>
    <w:div w:id="1888370627">
      <w:bodyDiv w:val="1"/>
      <w:marLeft w:val="0"/>
      <w:marRight w:val="0"/>
      <w:marTop w:val="0"/>
      <w:marBottom w:val="0"/>
      <w:divBdr>
        <w:top w:val="none" w:sz="0" w:space="0" w:color="auto"/>
        <w:left w:val="none" w:sz="0" w:space="0" w:color="auto"/>
        <w:bottom w:val="none" w:sz="0" w:space="0" w:color="auto"/>
        <w:right w:val="none" w:sz="0" w:space="0" w:color="auto"/>
      </w:divBdr>
    </w:div>
    <w:div w:id="1888370958">
      <w:bodyDiv w:val="1"/>
      <w:marLeft w:val="0"/>
      <w:marRight w:val="0"/>
      <w:marTop w:val="0"/>
      <w:marBottom w:val="0"/>
      <w:divBdr>
        <w:top w:val="none" w:sz="0" w:space="0" w:color="auto"/>
        <w:left w:val="none" w:sz="0" w:space="0" w:color="auto"/>
        <w:bottom w:val="none" w:sz="0" w:space="0" w:color="auto"/>
        <w:right w:val="none" w:sz="0" w:space="0" w:color="auto"/>
      </w:divBdr>
    </w:div>
    <w:div w:id="1888371979">
      <w:bodyDiv w:val="1"/>
      <w:marLeft w:val="0"/>
      <w:marRight w:val="0"/>
      <w:marTop w:val="0"/>
      <w:marBottom w:val="0"/>
      <w:divBdr>
        <w:top w:val="none" w:sz="0" w:space="0" w:color="auto"/>
        <w:left w:val="none" w:sz="0" w:space="0" w:color="auto"/>
        <w:bottom w:val="none" w:sz="0" w:space="0" w:color="auto"/>
        <w:right w:val="none" w:sz="0" w:space="0" w:color="auto"/>
      </w:divBdr>
    </w:div>
    <w:div w:id="1888486710">
      <w:bodyDiv w:val="1"/>
      <w:marLeft w:val="0"/>
      <w:marRight w:val="0"/>
      <w:marTop w:val="0"/>
      <w:marBottom w:val="0"/>
      <w:divBdr>
        <w:top w:val="none" w:sz="0" w:space="0" w:color="auto"/>
        <w:left w:val="none" w:sz="0" w:space="0" w:color="auto"/>
        <w:bottom w:val="none" w:sz="0" w:space="0" w:color="auto"/>
        <w:right w:val="none" w:sz="0" w:space="0" w:color="auto"/>
      </w:divBdr>
    </w:div>
    <w:div w:id="1888567660">
      <w:bodyDiv w:val="1"/>
      <w:marLeft w:val="0"/>
      <w:marRight w:val="0"/>
      <w:marTop w:val="0"/>
      <w:marBottom w:val="0"/>
      <w:divBdr>
        <w:top w:val="none" w:sz="0" w:space="0" w:color="auto"/>
        <w:left w:val="none" w:sz="0" w:space="0" w:color="auto"/>
        <w:bottom w:val="none" w:sz="0" w:space="0" w:color="auto"/>
        <w:right w:val="none" w:sz="0" w:space="0" w:color="auto"/>
      </w:divBdr>
    </w:div>
    <w:div w:id="1888642033">
      <w:bodyDiv w:val="1"/>
      <w:marLeft w:val="0"/>
      <w:marRight w:val="0"/>
      <w:marTop w:val="0"/>
      <w:marBottom w:val="0"/>
      <w:divBdr>
        <w:top w:val="none" w:sz="0" w:space="0" w:color="auto"/>
        <w:left w:val="none" w:sz="0" w:space="0" w:color="auto"/>
        <w:bottom w:val="none" w:sz="0" w:space="0" w:color="auto"/>
        <w:right w:val="none" w:sz="0" w:space="0" w:color="auto"/>
      </w:divBdr>
    </w:div>
    <w:div w:id="1888760036">
      <w:bodyDiv w:val="1"/>
      <w:marLeft w:val="0"/>
      <w:marRight w:val="0"/>
      <w:marTop w:val="0"/>
      <w:marBottom w:val="0"/>
      <w:divBdr>
        <w:top w:val="none" w:sz="0" w:space="0" w:color="auto"/>
        <w:left w:val="none" w:sz="0" w:space="0" w:color="auto"/>
        <w:bottom w:val="none" w:sz="0" w:space="0" w:color="auto"/>
        <w:right w:val="none" w:sz="0" w:space="0" w:color="auto"/>
      </w:divBdr>
    </w:div>
    <w:div w:id="1888910972">
      <w:bodyDiv w:val="1"/>
      <w:marLeft w:val="0"/>
      <w:marRight w:val="0"/>
      <w:marTop w:val="0"/>
      <w:marBottom w:val="0"/>
      <w:divBdr>
        <w:top w:val="none" w:sz="0" w:space="0" w:color="auto"/>
        <w:left w:val="none" w:sz="0" w:space="0" w:color="auto"/>
        <w:bottom w:val="none" w:sz="0" w:space="0" w:color="auto"/>
        <w:right w:val="none" w:sz="0" w:space="0" w:color="auto"/>
      </w:divBdr>
    </w:div>
    <w:div w:id="1889101392">
      <w:bodyDiv w:val="1"/>
      <w:marLeft w:val="0"/>
      <w:marRight w:val="0"/>
      <w:marTop w:val="0"/>
      <w:marBottom w:val="0"/>
      <w:divBdr>
        <w:top w:val="none" w:sz="0" w:space="0" w:color="auto"/>
        <w:left w:val="none" w:sz="0" w:space="0" w:color="auto"/>
        <w:bottom w:val="none" w:sz="0" w:space="0" w:color="auto"/>
        <w:right w:val="none" w:sz="0" w:space="0" w:color="auto"/>
      </w:divBdr>
    </w:div>
    <w:div w:id="1889220769">
      <w:bodyDiv w:val="1"/>
      <w:marLeft w:val="0"/>
      <w:marRight w:val="0"/>
      <w:marTop w:val="0"/>
      <w:marBottom w:val="0"/>
      <w:divBdr>
        <w:top w:val="none" w:sz="0" w:space="0" w:color="auto"/>
        <w:left w:val="none" w:sz="0" w:space="0" w:color="auto"/>
        <w:bottom w:val="none" w:sz="0" w:space="0" w:color="auto"/>
        <w:right w:val="none" w:sz="0" w:space="0" w:color="auto"/>
      </w:divBdr>
    </w:div>
    <w:div w:id="1889297010">
      <w:bodyDiv w:val="1"/>
      <w:marLeft w:val="0"/>
      <w:marRight w:val="0"/>
      <w:marTop w:val="0"/>
      <w:marBottom w:val="0"/>
      <w:divBdr>
        <w:top w:val="none" w:sz="0" w:space="0" w:color="auto"/>
        <w:left w:val="none" w:sz="0" w:space="0" w:color="auto"/>
        <w:bottom w:val="none" w:sz="0" w:space="0" w:color="auto"/>
        <w:right w:val="none" w:sz="0" w:space="0" w:color="auto"/>
      </w:divBdr>
    </w:div>
    <w:div w:id="1889339991">
      <w:bodyDiv w:val="1"/>
      <w:marLeft w:val="0"/>
      <w:marRight w:val="0"/>
      <w:marTop w:val="0"/>
      <w:marBottom w:val="0"/>
      <w:divBdr>
        <w:top w:val="none" w:sz="0" w:space="0" w:color="auto"/>
        <w:left w:val="none" w:sz="0" w:space="0" w:color="auto"/>
        <w:bottom w:val="none" w:sz="0" w:space="0" w:color="auto"/>
        <w:right w:val="none" w:sz="0" w:space="0" w:color="auto"/>
      </w:divBdr>
    </w:div>
    <w:div w:id="1889368338">
      <w:bodyDiv w:val="1"/>
      <w:marLeft w:val="0"/>
      <w:marRight w:val="0"/>
      <w:marTop w:val="0"/>
      <w:marBottom w:val="0"/>
      <w:divBdr>
        <w:top w:val="none" w:sz="0" w:space="0" w:color="auto"/>
        <w:left w:val="none" w:sz="0" w:space="0" w:color="auto"/>
        <w:bottom w:val="none" w:sz="0" w:space="0" w:color="auto"/>
        <w:right w:val="none" w:sz="0" w:space="0" w:color="auto"/>
      </w:divBdr>
    </w:div>
    <w:div w:id="1889410927">
      <w:bodyDiv w:val="1"/>
      <w:marLeft w:val="0"/>
      <w:marRight w:val="0"/>
      <w:marTop w:val="0"/>
      <w:marBottom w:val="0"/>
      <w:divBdr>
        <w:top w:val="none" w:sz="0" w:space="0" w:color="auto"/>
        <w:left w:val="none" w:sz="0" w:space="0" w:color="auto"/>
        <w:bottom w:val="none" w:sz="0" w:space="0" w:color="auto"/>
        <w:right w:val="none" w:sz="0" w:space="0" w:color="auto"/>
      </w:divBdr>
    </w:div>
    <w:div w:id="1889606159">
      <w:bodyDiv w:val="1"/>
      <w:marLeft w:val="0"/>
      <w:marRight w:val="0"/>
      <w:marTop w:val="0"/>
      <w:marBottom w:val="0"/>
      <w:divBdr>
        <w:top w:val="none" w:sz="0" w:space="0" w:color="auto"/>
        <w:left w:val="none" w:sz="0" w:space="0" w:color="auto"/>
        <w:bottom w:val="none" w:sz="0" w:space="0" w:color="auto"/>
        <w:right w:val="none" w:sz="0" w:space="0" w:color="auto"/>
      </w:divBdr>
    </w:div>
    <w:div w:id="1889755540">
      <w:bodyDiv w:val="1"/>
      <w:marLeft w:val="0"/>
      <w:marRight w:val="0"/>
      <w:marTop w:val="0"/>
      <w:marBottom w:val="0"/>
      <w:divBdr>
        <w:top w:val="none" w:sz="0" w:space="0" w:color="auto"/>
        <w:left w:val="none" w:sz="0" w:space="0" w:color="auto"/>
        <w:bottom w:val="none" w:sz="0" w:space="0" w:color="auto"/>
        <w:right w:val="none" w:sz="0" w:space="0" w:color="auto"/>
      </w:divBdr>
    </w:div>
    <w:div w:id="1889755646">
      <w:bodyDiv w:val="1"/>
      <w:marLeft w:val="0"/>
      <w:marRight w:val="0"/>
      <w:marTop w:val="0"/>
      <w:marBottom w:val="0"/>
      <w:divBdr>
        <w:top w:val="none" w:sz="0" w:space="0" w:color="auto"/>
        <w:left w:val="none" w:sz="0" w:space="0" w:color="auto"/>
        <w:bottom w:val="none" w:sz="0" w:space="0" w:color="auto"/>
        <w:right w:val="none" w:sz="0" w:space="0" w:color="auto"/>
      </w:divBdr>
    </w:div>
    <w:div w:id="1889803973">
      <w:bodyDiv w:val="1"/>
      <w:marLeft w:val="0"/>
      <w:marRight w:val="0"/>
      <w:marTop w:val="0"/>
      <w:marBottom w:val="0"/>
      <w:divBdr>
        <w:top w:val="none" w:sz="0" w:space="0" w:color="auto"/>
        <w:left w:val="none" w:sz="0" w:space="0" w:color="auto"/>
        <w:bottom w:val="none" w:sz="0" w:space="0" w:color="auto"/>
        <w:right w:val="none" w:sz="0" w:space="0" w:color="auto"/>
      </w:divBdr>
    </w:div>
    <w:div w:id="1889804591">
      <w:bodyDiv w:val="1"/>
      <w:marLeft w:val="0"/>
      <w:marRight w:val="0"/>
      <w:marTop w:val="0"/>
      <w:marBottom w:val="0"/>
      <w:divBdr>
        <w:top w:val="none" w:sz="0" w:space="0" w:color="auto"/>
        <w:left w:val="none" w:sz="0" w:space="0" w:color="auto"/>
        <w:bottom w:val="none" w:sz="0" w:space="0" w:color="auto"/>
        <w:right w:val="none" w:sz="0" w:space="0" w:color="auto"/>
      </w:divBdr>
    </w:div>
    <w:div w:id="1889878132">
      <w:bodyDiv w:val="1"/>
      <w:marLeft w:val="0"/>
      <w:marRight w:val="0"/>
      <w:marTop w:val="0"/>
      <w:marBottom w:val="0"/>
      <w:divBdr>
        <w:top w:val="none" w:sz="0" w:space="0" w:color="auto"/>
        <w:left w:val="none" w:sz="0" w:space="0" w:color="auto"/>
        <w:bottom w:val="none" w:sz="0" w:space="0" w:color="auto"/>
        <w:right w:val="none" w:sz="0" w:space="0" w:color="auto"/>
      </w:divBdr>
    </w:div>
    <w:div w:id="1889950078">
      <w:bodyDiv w:val="1"/>
      <w:marLeft w:val="0"/>
      <w:marRight w:val="0"/>
      <w:marTop w:val="0"/>
      <w:marBottom w:val="0"/>
      <w:divBdr>
        <w:top w:val="none" w:sz="0" w:space="0" w:color="auto"/>
        <w:left w:val="none" w:sz="0" w:space="0" w:color="auto"/>
        <w:bottom w:val="none" w:sz="0" w:space="0" w:color="auto"/>
        <w:right w:val="none" w:sz="0" w:space="0" w:color="auto"/>
      </w:divBdr>
    </w:div>
    <w:div w:id="1889952651">
      <w:bodyDiv w:val="1"/>
      <w:marLeft w:val="0"/>
      <w:marRight w:val="0"/>
      <w:marTop w:val="0"/>
      <w:marBottom w:val="0"/>
      <w:divBdr>
        <w:top w:val="none" w:sz="0" w:space="0" w:color="auto"/>
        <w:left w:val="none" w:sz="0" w:space="0" w:color="auto"/>
        <w:bottom w:val="none" w:sz="0" w:space="0" w:color="auto"/>
        <w:right w:val="none" w:sz="0" w:space="0" w:color="auto"/>
      </w:divBdr>
    </w:div>
    <w:div w:id="1889953310">
      <w:bodyDiv w:val="1"/>
      <w:marLeft w:val="0"/>
      <w:marRight w:val="0"/>
      <w:marTop w:val="0"/>
      <w:marBottom w:val="0"/>
      <w:divBdr>
        <w:top w:val="none" w:sz="0" w:space="0" w:color="auto"/>
        <w:left w:val="none" w:sz="0" w:space="0" w:color="auto"/>
        <w:bottom w:val="none" w:sz="0" w:space="0" w:color="auto"/>
        <w:right w:val="none" w:sz="0" w:space="0" w:color="auto"/>
      </w:divBdr>
    </w:div>
    <w:div w:id="1890190018">
      <w:bodyDiv w:val="1"/>
      <w:marLeft w:val="0"/>
      <w:marRight w:val="0"/>
      <w:marTop w:val="0"/>
      <w:marBottom w:val="0"/>
      <w:divBdr>
        <w:top w:val="none" w:sz="0" w:space="0" w:color="auto"/>
        <w:left w:val="none" w:sz="0" w:space="0" w:color="auto"/>
        <w:bottom w:val="none" w:sz="0" w:space="0" w:color="auto"/>
        <w:right w:val="none" w:sz="0" w:space="0" w:color="auto"/>
      </w:divBdr>
    </w:div>
    <w:div w:id="1890259326">
      <w:bodyDiv w:val="1"/>
      <w:marLeft w:val="0"/>
      <w:marRight w:val="0"/>
      <w:marTop w:val="0"/>
      <w:marBottom w:val="0"/>
      <w:divBdr>
        <w:top w:val="none" w:sz="0" w:space="0" w:color="auto"/>
        <w:left w:val="none" w:sz="0" w:space="0" w:color="auto"/>
        <w:bottom w:val="none" w:sz="0" w:space="0" w:color="auto"/>
        <w:right w:val="none" w:sz="0" w:space="0" w:color="auto"/>
      </w:divBdr>
    </w:div>
    <w:div w:id="1890333654">
      <w:bodyDiv w:val="1"/>
      <w:marLeft w:val="0"/>
      <w:marRight w:val="0"/>
      <w:marTop w:val="0"/>
      <w:marBottom w:val="0"/>
      <w:divBdr>
        <w:top w:val="none" w:sz="0" w:space="0" w:color="auto"/>
        <w:left w:val="none" w:sz="0" w:space="0" w:color="auto"/>
        <w:bottom w:val="none" w:sz="0" w:space="0" w:color="auto"/>
        <w:right w:val="none" w:sz="0" w:space="0" w:color="auto"/>
      </w:divBdr>
    </w:div>
    <w:div w:id="1890411567">
      <w:bodyDiv w:val="1"/>
      <w:marLeft w:val="0"/>
      <w:marRight w:val="0"/>
      <w:marTop w:val="0"/>
      <w:marBottom w:val="0"/>
      <w:divBdr>
        <w:top w:val="none" w:sz="0" w:space="0" w:color="auto"/>
        <w:left w:val="none" w:sz="0" w:space="0" w:color="auto"/>
        <w:bottom w:val="none" w:sz="0" w:space="0" w:color="auto"/>
        <w:right w:val="none" w:sz="0" w:space="0" w:color="auto"/>
      </w:divBdr>
    </w:div>
    <w:div w:id="1890417329">
      <w:bodyDiv w:val="1"/>
      <w:marLeft w:val="0"/>
      <w:marRight w:val="0"/>
      <w:marTop w:val="0"/>
      <w:marBottom w:val="0"/>
      <w:divBdr>
        <w:top w:val="none" w:sz="0" w:space="0" w:color="auto"/>
        <w:left w:val="none" w:sz="0" w:space="0" w:color="auto"/>
        <w:bottom w:val="none" w:sz="0" w:space="0" w:color="auto"/>
        <w:right w:val="none" w:sz="0" w:space="0" w:color="auto"/>
      </w:divBdr>
    </w:div>
    <w:div w:id="1890721482">
      <w:bodyDiv w:val="1"/>
      <w:marLeft w:val="0"/>
      <w:marRight w:val="0"/>
      <w:marTop w:val="0"/>
      <w:marBottom w:val="0"/>
      <w:divBdr>
        <w:top w:val="none" w:sz="0" w:space="0" w:color="auto"/>
        <w:left w:val="none" w:sz="0" w:space="0" w:color="auto"/>
        <w:bottom w:val="none" w:sz="0" w:space="0" w:color="auto"/>
        <w:right w:val="none" w:sz="0" w:space="0" w:color="auto"/>
      </w:divBdr>
    </w:div>
    <w:div w:id="1890729321">
      <w:bodyDiv w:val="1"/>
      <w:marLeft w:val="0"/>
      <w:marRight w:val="0"/>
      <w:marTop w:val="0"/>
      <w:marBottom w:val="0"/>
      <w:divBdr>
        <w:top w:val="none" w:sz="0" w:space="0" w:color="auto"/>
        <w:left w:val="none" w:sz="0" w:space="0" w:color="auto"/>
        <w:bottom w:val="none" w:sz="0" w:space="0" w:color="auto"/>
        <w:right w:val="none" w:sz="0" w:space="0" w:color="auto"/>
      </w:divBdr>
    </w:div>
    <w:div w:id="1890795800">
      <w:bodyDiv w:val="1"/>
      <w:marLeft w:val="0"/>
      <w:marRight w:val="0"/>
      <w:marTop w:val="0"/>
      <w:marBottom w:val="0"/>
      <w:divBdr>
        <w:top w:val="none" w:sz="0" w:space="0" w:color="auto"/>
        <w:left w:val="none" w:sz="0" w:space="0" w:color="auto"/>
        <w:bottom w:val="none" w:sz="0" w:space="0" w:color="auto"/>
        <w:right w:val="none" w:sz="0" w:space="0" w:color="auto"/>
      </w:divBdr>
    </w:div>
    <w:div w:id="1890796774">
      <w:bodyDiv w:val="1"/>
      <w:marLeft w:val="0"/>
      <w:marRight w:val="0"/>
      <w:marTop w:val="0"/>
      <w:marBottom w:val="0"/>
      <w:divBdr>
        <w:top w:val="none" w:sz="0" w:space="0" w:color="auto"/>
        <w:left w:val="none" w:sz="0" w:space="0" w:color="auto"/>
        <w:bottom w:val="none" w:sz="0" w:space="0" w:color="auto"/>
        <w:right w:val="none" w:sz="0" w:space="0" w:color="auto"/>
      </w:divBdr>
    </w:div>
    <w:div w:id="1890797512">
      <w:bodyDiv w:val="1"/>
      <w:marLeft w:val="0"/>
      <w:marRight w:val="0"/>
      <w:marTop w:val="0"/>
      <w:marBottom w:val="0"/>
      <w:divBdr>
        <w:top w:val="none" w:sz="0" w:space="0" w:color="auto"/>
        <w:left w:val="none" w:sz="0" w:space="0" w:color="auto"/>
        <w:bottom w:val="none" w:sz="0" w:space="0" w:color="auto"/>
        <w:right w:val="none" w:sz="0" w:space="0" w:color="auto"/>
      </w:divBdr>
    </w:div>
    <w:div w:id="1890798649">
      <w:bodyDiv w:val="1"/>
      <w:marLeft w:val="0"/>
      <w:marRight w:val="0"/>
      <w:marTop w:val="0"/>
      <w:marBottom w:val="0"/>
      <w:divBdr>
        <w:top w:val="none" w:sz="0" w:space="0" w:color="auto"/>
        <w:left w:val="none" w:sz="0" w:space="0" w:color="auto"/>
        <w:bottom w:val="none" w:sz="0" w:space="0" w:color="auto"/>
        <w:right w:val="none" w:sz="0" w:space="0" w:color="auto"/>
      </w:divBdr>
    </w:div>
    <w:div w:id="1890845768">
      <w:bodyDiv w:val="1"/>
      <w:marLeft w:val="0"/>
      <w:marRight w:val="0"/>
      <w:marTop w:val="0"/>
      <w:marBottom w:val="0"/>
      <w:divBdr>
        <w:top w:val="none" w:sz="0" w:space="0" w:color="auto"/>
        <w:left w:val="none" w:sz="0" w:space="0" w:color="auto"/>
        <w:bottom w:val="none" w:sz="0" w:space="0" w:color="auto"/>
        <w:right w:val="none" w:sz="0" w:space="0" w:color="auto"/>
      </w:divBdr>
    </w:div>
    <w:div w:id="1890922247">
      <w:bodyDiv w:val="1"/>
      <w:marLeft w:val="0"/>
      <w:marRight w:val="0"/>
      <w:marTop w:val="0"/>
      <w:marBottom w:val="0"/>
      <w:divBdr>
        <w:top w:val="none" w:sz="0" w:space="0" w:color="auto"/>
        <w:left w:val="none" w:sz="0" w:space="0" w:color="auto"/>
        <w:bottom w:val="none" w:sz="0" w:space="0" w:color="auto"/>
        <w:right w:val="none" w:sz="0" w:space="0" w:color="auto"/>
      </w:divBdr>
    </w:div>
    <w:div w:id="1891067711">
      <w:bodyDiv w:val="1"/>
      <w:marLeft w:val="0"/>
      <w:marRight w:val="0"/>
      <w:marTop w:val="0"/>
      <w:marBottom w:val="0"/>
      <w:divBdr>
        <w:top w:val="none" w:sz="0" w:space="0" w:color="auto"/>
        <w:left w:val="none" w:sz="0" w:space="0" w:color="auto"/>
        <w:bottom w:val="none" w:sz="0" w:space="0" w:color="auto"/>
        <w:right w:val="none" w:sz="0" w:space="0" w:color="auto"/>
      </w:divBdr>
    </w:div>
    <w:div w:id="1891185099">
      <w:bodyDiv w:val="1"/>
      <w:marLeft w:val="0"/>
      <w:marRight w:val="0"/>
      <w:marTop w:val="0"/>
      <w:marBottom w:val="0"/>
      <w:divBdr>
        <w:top w:val="none" w:sz="0" w:space="0" w:color="auto"/>
        <w:left w:val="none" w:sz="0" w:space="0" w:color="auto"/>
        <w:bottom w:val="none" w:sz="0" w:space="0" w:color="auto"/>
        <w:right w:val="none" w:sz="0" w:space="0" w:color="auto"/>
      </w:divBdr>
    </w:div>
    <w:div w:id="1891308893">
      <w:bodyDiv w:val="1"/>
      <w:marLeft w:val="0"/>
      <w:marRight w:val="0"/>
      <w:marTop w:val="0"/>
      <w:marBottom w:val="0"/>
      <w:divBdr>
        <w:top w:val="none" w:sz="0" w:space="0" w:color="auto"/>
        <w:left w:val="none" w:sz="0" w:space="0" w:color="auto"/>
        <w:bottom w:val="none" w:sz="0" w:space="0" w:color="auto"/>
        <w:right w:val="none" w:sz="0" w:space="0" w:color="auto"/>
      </w:divBdr>
    </w:div>
    <w:div w:id="1891719447">
      <w:bodyDiv w:val="1"/>
      <w:marLeft w:val="0"/>
      <w:marRight w:val="0"/>
      <w:marTop w:val="0"/>
      <w:marBottom w:val="0"/>
      <w:divBdr>
        <w:top w:val="none" w:sz="0" w:space="0" w:color="auto"/>
        <w:left w:val="none" w:sz="0" w:space="0" w:color="auto"/>
        <w:bottom w:val="none" w:sz="0" w:space="0" w:color="auto"/>
        <w:right w:val="none" w:sz="0" w:space="0" w:color="auto"/>
      </w:divBdr>
    </w:div>
    <w:div w:id="1891723512">
      <w:bodyDiv w:val="1"/>
      <w:marLeft w:val="0"/>
      <w:marRight w:val="0"/>
      <w:marTop w:val="0"/>
      <w:marBottom w:val="0"/>
      <w:divBdr>
        <w:top w:val="none" w:sz="0" w:space="0" w:color="auto"/>
        <w:left w:val="none" w:sz="0" w:space="0" w:color="auto"/>
        <w:bottom w:val="none" w:sz="0" w:space="0" w:color="auto"/>
        <w:right w:val="none" w:sz="0" w:space="0" w:color="auto"/>
      </w:divBdr>
    </w:div>
    <w:div w:id="1891771015">
      <w:bodyDiv w:val="1"/>
      <w:marLeft w:val="0"/>
      <w:marRight w:val="0"/>
      <w:marTop w:val="0"/>
      <w:marBottom w:val="0"/>
      <w:divBdr>
        <w:top w:val="none" w:sz="0" w:space="0" w:color="auto"/>
        <w:left w:val="none" w:sz="0" w:space="0" w:color="auto"/>
        <w:bottom w:val="none" w:sz="0" w:space="0" w:color="auto"/>
        <w:right w:val="none" w:sz="0" w:space="0" w:color="auto"/>
      </w:divBdr>
    </w:div>
    <w:div w:id="1891959596">
      <w:bodyDiv w:val="1"/>
      <w:marLeft w:val="0"/>
      <w:marRight w:val="0"/>
      <w:marTop w:val="0"/>
      <w:marBottom w:val="0"/>
      <w:divBdr>
        <w:top w:val="none" w:sz="0" w:space="0" w:color="auto"/>
        <w:left w:val="none" w:sz="0" w:space="0" w:color="auto"/>
        <w:bottom w:val="none" w:sz="0" w:space="0" w:color="auto"/>
        <w:right w:val="none" w:sz="0" w:space="0" w:color="auto"/>
      </w:divBdr>
    </w:div>
    <w:div w:id="1891959653">
      <w:bodyDiv w:val="1"/>
      <w:marLeft w:val="0"/>
      <w:marRight w:val="0"/>
      <w:marTop w:val="0"/>
      <w:marBottom w:val="0"/>
      <w:divBdr>
        <w:top w:val="none" w:sz="0" w:space="0" w:color="auto"/>
        <w:left w:val="none" w:sz="0" w:space="0" w:color="auto"/>
        <w:bottom w:val="none" w:sz="0" w:space="0" w:color="auto"/>
        <w:right w:val="none" w:sz="0" w:space="0" w:color="auto"/>
      </w:divBdr>
    </w:div>
    <w:div w:id="1891990166">
      <w:bodyDiv w:val="1"/>
      <w:marLeft w:val="0"/>
      <w:marRight w:val="0"/>
      <w:marTop w:val="0"/>
      <w:marBottom w:val="0"/>
      <w:divBdr>
        <w:top w:val="none" w:sz="0" w:space="0" w:color="auto"/>
        <w:left w:val="none" w:sz="0" w:space="0" w:color="auto"/>
        <w:bottom w:val="none" w:sz="0" w:space="0" w:color="auto"/>
        <w:right w:val="none" w:sz="0" w:space="0" w:color="auto"/>
      </w:divBdr>
    </w:div>
    <w:div w:id="1892032286">
      <w:bodyDiv w:val="1"/>
      <w:marLeft w:val="0"/>
      <w:marRight w:val="0"/>
      <w:marTop w:val="0"/>
      <w:marBottom w:val="0"/>
      <w:divBdr>
        <w:top w:val="none" w:sz="0" w:space="0" w:color="auto"/>
        <w:left w:val="none" w:sz="0" w:space="0" w:color="auto"/>
        <w:bottom w:val="none" w:sz="0" w:space="0" w:color="auto"/>
        <w:right w:val="none" w:sz="0" w:space="0" w:color="auto"/>
      </w:divBdr>
    </w:div>
    <w:div w:id="1892108580">
      <w:bodyDiv w:val="1"/>
      <w:marLeft w:val="0"/>
      <w:marRight w:val="0"/>
      <w:marTop w:val="0"/>
      <w:marBottom w:val="0"/>
      <w:divBdr>
        <w:top w:val="none" w:sz="0" w:space="0" w:color="auto"/>
        <w:left w:val="none" w:sz="0" w:space="0" w:color="auto"/>
        <w:bottom w:val="none" w:sz="0" w:space="0" w:color="auto"/>
        <w:right w:val="none" w:sz="0" w:space="0" w:color="auto"/>
      </w:divBdr>
    </w:div>
    <w:div w:id="1892305749">
      <w:bodyDiv w:val="1"/>
      <w:marLeft w:val="0"/>
      <w:marRight w:val="0"/>
      <w:marTop w:val="0"/>
      <w:marBottom w:val="0"/>
      <w:divBdr>
        <w:top w:val="none" w:sz="0" w:space="0" w:color="auto"/>
        <w:left w:val="none" w:sz="0" w:space="0" w:color="auto"/>
        <w:bottom w:val="none" w:sz="0" w:space="0" w:color="auto"/>
        <w:right w:val="none" w:sz="0" w:space="0" w:color="auto"/>
      </w:divBdr>
    </w:div>
    <w:div w:id="1892423961">
      <w:bodyDiv w:val="1"/>
      <w:marLeft w:val="0"/>
      <w:marRight w:val="0"/>
      <w:marTop w:val="0"/>
      <w:marBottom w:val="0"/>
      <w:divBdr>
        <w:top w:val="none" w:sz="0" w:space="0" w:color="auto"/>
        <w:left w:val="none" w:sz="0" w:space="0" w:color="auto"/>
        <w:bottom w:val="none" w:sz="0" w:space="0" w:color="auto"/>
        <w:right w:val="none" w:sz="0" w:space="0" w:color="auto"/>
      </w:divBdr>
    </w:div>
    <w:div w:id="1892767607">
      <w:bodyDiv w:val="1"/>
      <w:marLeft w:val="0"/>
      <w:marRight w:val="0"/>
      <w:marTop w:val="0"/>
      <w:marBottom w:val="0"/>
      <w:divBdr>
        <w:top w:val="none" w:sz="0" w:space="0" w:color="auto"/>
        <w:left w:val="none" w:sz="0" w:space="0" w:color="auto"/>
        <w:bottom w:val="none" w:sz="0" w:space="0" w:color="auto"/>
        <w:right w:val="none" w:sz="0" w:space="0" w:color="auto"/>
      </w:divBdr>
    </w:div>
    <w:div w:id="1892840413">
      <w:bodyDiv w:val="1"/>
      <w:marLeft w:val="0"/>
      <w:marRight w:val="0"/>
      <w:marTop w:val="0"/>
      <w:marBottom w:val="0"/>
      <w:divBdr>
        <w:top w:val="none" w:sz="0" w:space="0" w:color="auto"/>
        <w:left w:val="none" w:sz="0" w:space="0" w:color="auto"/>
        <w:bottom w:val="none" w:sz="0" w:space="0" w:color="auto"/>
        <w:right w:val="none" w:sz="0" w:space="0" w:color="auto"/>
      </w:divBdr>
    </w:div>
    <w:div w:id="1892883207">
      <w:bodyDiv w:val="1"/>
      <w:marLeft w:val="0"/>
      <w:marRight w:val="0"/>
      <w:marTop w:val="0"/>
      <w:marBottom w:val="0"/>
      <w:divBdr>
        <w:top w:val="none" w:sz="0" w:space="0" w:color="auto"/>
        <w:left w:val="none" w:sz="0" w:space="0" w:color="auto"/>
        <w:bottom w:val="none" w:sz="0" w:space="0" w:color="auto"/>
        <w:right w:val="none" w:sz="0" w:space="0" w:color="auto"/>
      </w:divBdr>
    </w:div>
    <w:div w:id="1892964355">
      <w:bodyDiv w:val="1"/>
      <w:marLeft w:val="0"/>
      <w:marRight w:val="0"/>
      <w:marTop w:val="0"/>
      <w:marBottom w:val="0"/>
      <w:divBdr>
        <w:top w:val="none" w:sz="0" w:space="0" w:color="auto"/>
        <w:left w:val="none" w:sz="0" w:space="0" w:color="auto"/>
        <w:bottom w:val="none" w:sz="0" w:space="0" w:color="auto"/>
        <w:right w:val="none" w:sz="0" w:space="0" w:color="auto"/>
      </w:divBdr>
    </w:div>
    <w:div w:id="1893035833">
      <w:bodyDiv w:val="1"/>
      <w:marLeft w:val="0"/>
      <w:marRight w:val="0"/>
      <w:marTop w:val="0"/>
      <w:marBottom w:val="0"/>
      <w:divBdr>
        <w:top w:val="none" w:sz="0" w:space="0" w:color="auto"/>
        <w:left w:val="none" w:sz="0" w:space="0" w:color="auto"/>
        <w:bottom w:val="none" w:sz="0" w:space="0" w:color="auto"/>
        <w:right w:val="none" w:sz="0" w:space="0" w:color="auto"/>
      </w:divBdr>
    </w:div>
    <w:div w:id="1893075973">
      <w:bodyDiv w:val="1"/>
      <w:marLeft w:val="0"/>
      <w:marRight w:val="0"/>
      <w:marTop w:val="0"/>
      <w:marBottom w:val="0"/>
      <w:divBdr>
        <w:top w:val="none" w:sz="0" w:space="0" w:color="auto"/>
        <w:left w:val="none" w:sz="0" w:space="0" w:color="auto"/>
        <w:bottom w:val="none" w:sz="0" w:space="0" w:color="auto"/>
        <w:right w:val="none" w:sz="0" w:space="0" w:color="auto"/>
      </w:divBdr>
    </w:div>
    <w:div w:id="1893150758">
      <w:bodyDiv w:val="1"/>
      <w:marLeft w:val="0"/>
      <w:marRight w:val="0"/>
      <w:marTop w:val="0"/>
      <w:marBottom w:val="0"/>
      <w:divBdr>
        <w:top w:val="none" w:sz="0" w:space="0" w:color="auto"/>
        <w:left w:val="none" w:sz="0" w:space="0" w:color="auto"/>
        <w:bottom w:val="none" w:sz="0" w:space="0" w:color="auto"/>
        <w:right w:val="none" w:sz="0" w:space="0" w:color="auto"/>
      </w:divBdr>
    </w:div>
    <w:div w:id="1893151287">
      <w:bodyDiv w:val="1"/>
      <w:marLeft w:val="0"/>
      <w:marRight w:val="0"/>
      <w:marTop w:val="0"/>
      <w:marBottom w:val="0"/>
      <w:divBdr>
        <w:top w:val="none" w:sz="0" w:space="0" w:color="auto"/>
        <w:left w:val="none" w:sz="0" w:space="0" w:color="auto"/>
        <w:bottom w:val="none" w:sz="0" w:space="0" w:color="auto"/>
        <w:right w:val="none" w:sz="0" w:space="0" w:color="auto"/>
      </w:divBdr>
    </w:div>
    <w:div w:id="1893154231">
      <w:bodyDiv w:val="1"/>
      <w:marLeft w:val="0"/>
      <w:marRight w:val="0"/>
      <w:marTop w:val="0"/>
      <w:marBottom w:val="0"/>
      <w:divBdr>
        <w:top w:val="none" w:sz="0" w:space="0" w:color="auto"/>
        <w:left w:val="none" w:sz="0" w:space="0" w:color="auto"/>
        <w:bottom w:val="none" w:sz="0" w:space="0" w:color="auto"/>
        <w:right w:val="none" w:sz="0" w:space="0" w:color="auto"/>
      </w:divBdr>
    </w:div>
    <w:div w:id="1893154238">
      <w:bodyDiv w:val="1"/>
      <w:marLeft w:val="0"/>
      <w:marRight w:val="0"/>
      <w:marTop w:val="0"/>
      <w:marBottom w:val="0"/>
      <w:divBdr>
        <w:top w:val="none" w:sz="0" w:space="0" w:color="auto"/>
        <w:left w:val="none" w:sz="0" w:space="0" w:color="auto"/>
        <w:bottom w:val="none" w:sz="0" w:space="0" w:color="auto"/>
        <w:right w:val="none" w:sz="0" w:space="0" w:color="auto"/>
      </w:divBdr>
    </w:div>
    <w:div w:id="1893229930">
      <w:bodyDiv w:val="1"/>
      <w:marLeft w:val="0"/>
      <w:marRight w:val="0"/>
      <w:marTop w:val="0"/>
      <w:marBottom w:val="0"/>
      <w:divBdr>
        <w:top w:val="none" w:sz="0" w:space="0" w:color="auto"/>
        <w:left w:val="none" w:sz="0" w:space="0" w:color="auto"/>
        <w:bottom w:val="none" w:sz="0" w:space="0" w:color="auto"/>
        <w:right w:val="none" w:sz="0" w:space="0" w:color="auto"/>
      </w:divBdr>
    </w:div>
    <w:div w:id="1893299180">
      <w:bodyDiv w:val="1"/>
      <w:marLeft w:val="0"/>
      <w:marRight w:val="0"/>
      <w:marTop w:val="0"/>
      <w:marBottom w:val="0"/>
      <w:divBdr>
        <w:top w:val="none" w:sz="0" w:space="0" w:color="auto"/>
        <w:left w:val="none" w:sz="0" w:space="0" w:color="auto"/>
        <w:bottom w:val="none" w:sz="0" w:space="0" w:color="auto"/>
        <w:right w:val="none" w:sz="0" w:space="0" w:color="auto"/>
      </w:divBdr>
    </w:div>
    <w:div w:id="1893422143">
      <w:bodyDiv w:val="1"/>
      <w:marLeft w:val="0"/>
      <w:marRight w:val="0"/>
      <w:marTop w:val="0"/>
      <w:marBottom w:val="0"/>
      <w:divBdr>
        <w:top w:val="none" w:sz="0" w:space="0" w:color="auto"/>
        <w:left w:val="none" w:sz="0" w:space="0" w:color="auto"/>
        <w:bottom w:val="none" w:sz="0" w:space="0" w:color="auto"/>
        <w:right w:val="none" w:sz="0" w:space="0" w:color="auto"/>
      </w:divBdr>
    </w:div>
    <w:div w:id="1893492709">
      <w:bodyDiv w:val="1"/>
      <w:marLeft w:val="0"/>
      <w:marRight w:val="0"/>
      <w:marTop w:val="0"/>
      <w:marBottom w:val="0"/>
      <w:divBdr>
        <w:top w:val="none" w:sz="0" w:space="0" w:color="auto"/>
        <w:left w:val="none" w:sz="0" w:space="0" w:color="auto"/>
        <w:bottom w:val="none" w:sz="0" w:space="0" w:color="auto"/>
        <w:right w:val="none" w:sz="0" w:space="0" w:color="auto"/>
      </w:divBdr>
    </w:div>
    <w:div w:id="1893497196">
      <w:bodyDiv w:val="1"/>
      <w:marLeft w:val="0"/>
      <w:marRight w:val="0"/>
      <w:marTop w:val="0"/>
      <w:marBottom w:val="0"/>
      <w:divBdr>
        <w:top w:val="none" w:sz="0" w:space="0" w:color="auto"/>
        <w:left w:val="none" w:sz="0" w:space="0" w:color="auto"/>
        <w:bottom w:val="none" w:sz="0" w:space="0" w:color="auto"/>
        <w:right w:val="none" w:sz="0" w:space="0" w:color="auto"/>
      </w:divBdr>
    </w:div>
    <w:div w:id="1893538234">
      <w:bodyDiv w:val="1"/>
      <w:marLeft w:val="0"/>
      <w:marRight w:val="0"/>
      <w:marTop w:val="0"/>
      <w:marBottom w:val="0"/>
      <w:divBdr>
        <w:top w:val="none" w:sz="0" w:space="0" w:color="auto"/>
        <w:left w:val="none" w:sz="0" w:space="0" w:color="auto"/>
        <w:bottom w:val="none" w:sz="0" w:space="0" w:color="auto"/>
        <w:right w:val="none" w:sz="0" w:space="0" w:color="auto"/>
      </w:divBdr>
    </w:div>
    <w:div w:id="1893541345">
      <w:bodyDiv w:val="1"/>
      <w:marLeft w:val="0"/>
      <w:marRight w:val="0"/>
      <w:marTop w:val="0"/>
      <w:marBottom w:val="0"/>
      <w:divBdr>
        <w:top w:val="none" w:sz="0" w:space="0" w:color="auto"/>
        <w:left w:val="none" w:sz="0" w:space="0" w:color="auto"/>
        <w:bottom w:val="none" w:sz="0" w:space="0" w:color="auto"/>
        <w:right w:val="none" w:sz="0" w:space="0" w:color="auto"/>
      </w:divBdr>
    </w:div>
    <w:div w:id="1893543466">
      <w:bodyDiv w:val="1"/>
      <w:marLeft w:val="0"/>
      <w:marRight w:val="0"/>
      <w:marTop w:val="0"/>
      <w:marBottom w:val="0"/>
      <w:divBdr>
        <w:top w:val="none" w:sz="0" w:space="0" w:color="auto"/>
        <w:left w:val="none" w:sz="0" w:space="0" w:color="auto"/>
        <w:bottom w:val="none" w:sz="0" w:space="0" w:color="auto"/>
        <w:right w:val="none" w:sz="0" w:space="0" w:color="auto"/>
      </w:divBdr>
    </w:div>
    <w:div w:id="1893543938">
      <w:bodyDiv w:val="1"/>
      <w:marLeft w:val="0"/>
      <w:marRight w:val="0"/>
      <w:marTop w:val="0"/>
      <w:marBottom w:val="0"/>
      <w:divBdr>
        <w:top w:val="none" w:sz="0" w:space="0" w:color="auto"/>
        <w:left w:val="none" w:sz="0" w:space="0" w:color="auto"/>
        <w:bottom w:val="none" w:sz="0" w:space="0" w:color="auto"/>
        <w:right w:val="none" w:sz="0" w:space="0" w:color="auto"/>
      </w:divBdr>
    </w:div>
    <w:div w:id="1893611571">
      <w:bodyDiv w:val="1"/>
      <w:marLeft w:val="0"/>
      <w:marRight w:val="0"/>
      <w:marTop w:val="0"/>
      <w:marBottom w:val="0"/>
      <w:divBdr>
        <w:top w:val="none" w:sz="0" w:space="0" w:color="auto"/>
        <w:left w:val="none" w:sz="0" w:space="0" w:color="auto"/>
        <w:bottom w:val="none" w:sz="0" w:space="0" w:color="auto"/>
        <w:right w:val="none" w:sz="0" w:space="0" w:color="auto"/>
      </w:divBdr>
    </w:div>
    <w:div w:id="1893689101">
      <w:bodyDiv w:val="1"/>
      <w:marLeft w:val="0"/>
      <w:marRight w:val="0"/>
      <w:marTop w:val="0"/>
      <w:marBottom w:val="0"/>
      <w:divBdr>
        <w:top w:val="none" w:sz="0" w:space="0" w:color="auto"/>
        <w:left w:val="none" w:sz="0" w:space="0" w:color="auto"/>
        <w:bottom w:val="none" w:sz="0" w:space="0" w:color="auto"/>
        <w:right w:val="none" w:sz="0" w:space="0" w:color="auto"/>
      </w:divBdr>
    </w:div>
    <w:div w:id="1893690707">
      <w:bodyDiv w:val="1"/>
      <w:marLeft w:val="0"/>
      <w:marRight w:val="0"/>
      <w:marTop w:val="0"/>
      <w:marBottom w:val="0"/>
      <w:divBdr>
        <w:top w:val="none" w:sz="0" w:space="0" w:color="auto"/>
        <w:left w:val="none" w:sz="0" w:space="0" w:color="auto"/>
        <w:bottom w:val="none" w:sz="0" w:space="0" w:color="auto"/>
        <w:right w:val="none" w:sz="0" w:space="0" w:color="auto"/>
      </w:divBdr>
    </w:div>
    <w:div w:id="1893885256">
      <w:bodyDiv w:val="1"/>
      <w:marLeft w:val="0"/>
      <w:marRight w:val="0"/>
      <w:marTop w:val="0"/>
      <w:marBottom w:val="0"/>
      <w:divBdr>
        <w:top w:val="none" w:sz="0" w:space="0" w:color="auto"/>
        <w:left w:val="none" w:sz="0" w:space="0" w:color="auto"/>
        <w:bottom w:val="none" w:sz="0" w:space="0" w:color="auto"/>
        <w:right w:val="none" w:sz="0" w:space="0" w:color="auto"/>
      </w:divBdr>
    </w:div>
    <w:div w:id="1893955364">
      <w:bodyDiv w:val="1"/>
      <w:marLeft w:val="0"/>
      <w:marRight w:val="0"/>
      <w:marTop w:val="0"/>
      <w:marBottom w:val="0"/>
      <w:divBdr>
        <w:top w:val="none" w:sz="0" w:space="0" w:color="auto"/>
        <w:left w:val="none" w:sz="0" w:space="0" w:color="auto"/>
        <w:bottom w:val="none" w:sz="0" w:space="0" w:color="auto"/>
        <w:right w:val="none" w:sz="0" w:space="0" w:color="auto"/>
      </w:divBdr>
    </w:div>
    <w:div w:id="1894000891">
      <w:bodyDiv w:val="1"/>
      <w:marLeft w:val="0"/>
      <w:marRight w:val="0"/>
      <w:marTop w:val="0"/>
      <w:marBottom w:val="0"/>
      <w:divBdr>
        <w:top w:val="none" w:sz="0" w:space="0" w:color="auto"/>
        <w:left w:val="none" w:sz="0" w:space="0" w:color="auto"/>
        <w:bottom w:val="none" w:sz="0" w:space="0" w:color="auto"/>
        <w:right w:val="none" w:sz="0" w:space="0" w:color="auto"/>
      </w:divBdr>
    </w:div>
    <w:div w:id="1894001509">
      <w:bodyDiv w:val="1"/>
      <w:marLeft w:val="0"/>
      <w:marRight w:val="0"/>
      <w:marTop w:val="0"/>
      <w:marBottom w:val="0"/>
      <w:divBdr>
        <w:top w:val="none" w:sz="0" w:space="0" w:color="auto"/>
        <w:left w:val="none" w:sz="0" w:space="0" w:color="auto"/>
        <w:bottom w:val="none" w:sz="0" w:space="0" w:color="auto"/>
        <w:right w:val="none" w:sz="0" w:space="0" w:color="auto"/>
      </w:divBdr>
    </w:div>
    <w:div w:id="1894002528">
      <w:bodyDiv w:val="1"/>
      <w:marLeft w:val="0"/>
      <w:marRight w:val="0"/>
      <w:marTop w:val="0"/>
      <w:marBottom w:val="0"/>
      <w:divBdr>
        <w:top w:val="none" w:sz="0" w:space="0" w:color="auto"/>
        <w:left w:val="none" w:sz="0" w:space="0" w:color="auto"/>
        <w:bottom w:val="none" w:sz="0" w:space="0" w:color="auto"/>
        <w:right w:val="none" w:sz="0" w:space="0" w:color="auto"/>
      </w:divBdr>
    </w:div>
    <w:div w:id="1894078979">
      <w:bodyDiv w:val="1"/>
      <w:marLeft w:val="0"/>
      <w:marRight w:val="0"/>
      <w:marTop w:val="0"/>
      <w:marBottom w:val="0"/>
      <w:divBdr>
        <w:top w:val="none" w:sz="0" w:space="0" w:color="auto"/>
        <w:left w:val="none" w:sz="0" w:space="0" w:color="auto"/>
        <w:bottom w:val="none" w:sz="0" w:space="0" w:color="auto"/>
        <w:right w:val="none" w:sz="0" w:space="0" w:color="auto"/>
      </w:divBdr>
    </w:div>
    <w:div w:id="1894347572">
      <w:bodyDiv w:val="1"/>
      <w:marLeft w:val="0"/>
      <w:marRight w:val="0"/>
      <w:marTop w:val="0"/>
      <w:marBottom w:val="0"/>
      <w:divBdr>
        <w:top w:val="none" w:sz="0" w:space="0" w:color="auto"/>
        <w:left w:val="none" w:sz="0" w:space="0" w:color="auto"/>
        <w:bottom w:val="none" w:sz="0" w:space="0" w:color="auto"/>
        <w:right w:val="none" w:sz="0" w:space="0" w:color="auto"/>
      </w:divBdr>
    </w:div>
    <w:div w:id="1894384464">
      <w:bodyDiv w:val="1"/>
      <w:marLeft w:val="0"/>
      <w:marRight w:val="0"/>
      <w:marTop w:val="0"/>
      <w:marBottom w:val="0"/>
      <w:divBdr>
        <w:top w:val="none" w:sz="0" w:space="0" w:color="auto"/>
        <w:left w:val="none" w:sz="0" w:space="0" w:color="auto"/>
        <w:bottom w:val="none" w:sz="0" w:space="0" w:color="auto"/>
        <w:right w:val="none" w:sz="0" w:space="0" w:color="auto"/>
      </w:divBdr>
    </w:div>
    <w:div w:id="1894390452">
      <w:bodyDiv w:val="1"/>
      <w:marLeft w:val="0"/>
      <w:marRight w:val="0"/>
      <w:marTop w:val="0"/>
      <w:marBottom w:val="0"/>
      <w:divBdr>
        <w:top w:val="none" w:sz="0" w:space="0" w:color="auto"/>
        <w:left w:val="none" w:sz="0" w:space="0" w:color="auto"/>
        <w:bottom w:val="none" w:sz="0" w:space="0" w:color="auto"/>
        <w:right w:val="none" w:sz="0" w:space="0" w:color="auto"/>
      </w:divBdr>
    </w:div>
    <w:div w:id="1894392787">
      <w:bodyDiv w:val="1"/>
      <w:marLeft w:val="0"/>
      <w:marRight w:val="0"/>
      <w:marTop w:val="0"/>
      <w:marBottom w:val="0"/>
      <w:divBdr>
        <w:top w:val="none" w:sz="0" w:space="0" w:color="auto"/>
        <w:left w:val="none" w:sz="0" w:space="0" w:color="auto"/>
        <w:bottom w:val="none" w:sz="0" w:space="0" w:color="auto"/>
        <w:right w:val="none" w:sz="0" w:space="0" w:color="auto"/>
      </w:divBdr>
    </w:div>
    <w:div w:id="1894541231">
      <w:bodyDiv w:val="1"/>
      <w:marLeft w:val="0"/>
      <w:marRight w:val="0"/>
      <w:marTop w:val="0"/>
      <w:marBottom w:val="0"/>
      <w:divBdr>
        <w:top w:val="none" w:sz="0" w:space="0" w:color="auto"/>
        <w:left w:val="none" w:sz="0" w:space="0" w:color="auto"/>
        <w:bottom w:val="none" w:sz="0" w:space="0" w:color="auto"/>
        <w:right w:val="none" w:sz="0" w:space="0" w:color="auto"/>
      </w:divBdr>
    </w:div>
    <w:div w:id="1894611111">
      <w:bodyDiv w:val="1"/>
      <w:marLeft w:val="0"/>
      <w:marRight w:val="0"/>
      <w:marTop w:val="0"/>
      <w:marBottom w:val="0"/>
      <w:divBdr>
        <w:top w:val="none" w:sz="0" w:space="0" w:color="auto"/>
        <w:left w:val="none" w:sz="0" w:space="0" w:color="auto"/>
        <w:bottom w:val="none" w:sz="0" w:space="0" w:color="auto"/>
        <w:right w:val="none" w:sz="0" w:space="0" w:color="auto"/>
      </w:divBdr>
    </w:div>
    <w:div w:id="1894807572">
      <w:bodyDiv w:val="1"/>
      <w:marLeft w:val="0"/>
      <w:marRight w:val="0"/>
      <w:marTop w:val="0"/>
      <w:marBottom w:val="0"/>
      <w:divBdr>
        <w:top w:val="none" w:sz="0" w:space="0" w:color="auto"/>
        <w:left w:val="none" w:sz="0" w:space="0" w:color="auto"/>
        <w:bottom w:val="none" w:sz="0" w:space="0" w:color="auto"/>
        <w:right w:val="none" w:sz="0" w:space="0" w:color="auto"/>
      </w:divBdr>
    </w:div>
    <w:div w:id="1895040006">
      <w:bodyDiv w:val="1"/>
      <w:marLeft w:val="0"/>
      <w:marRight w:val="0"/>
      <w:marTop w:val="0"/>
      <w:marBottom w:val="0"/>
      <w:divBdr>
        <w:top w:val="none" w:sz="0" w:space="0" w:color="auto"/>
        <w:left w:val="none" w:sz="0" w:space="0" w:color="auto"/>
        <w:bottom w:val="none" w:sz="0" w:space="0" w:color="auto"/>
        <w:right w:val="none" w:sz="0" w:space="0" w:color="auto"/>
      </w:divBdr>
    </w:div>
    <w:div w:id="1895044901">
      <w:bodyDiv w:val="1"/>
      <w:marLeft w:val="0"/>
      <w:marRight w:val="0"/>
      <w:marTop w:val="0"/>
      <w:marBottom w:val="0"/>
      <w:divBdr>
        <w:top w:val="none" w:sz="0" w:space="0" w:color="auto"/>
        <w:left w:val="none" w:sz="0" w:space="0" w:color="auto"/>
        <w:bottom w:val="none" w:sz="0" w:space="0" w:color="auto"/>
        <w:right w:val="none" w:sz="0" w:space="0" w:color="auto"/>
      </w:divBdr>
    </w:div>
    <w:div w:id="1895114070">
      <w:bodyDiv w:val="1"/>
      <w:marLeft w:val="0"/>
      <w:marRight w:val="0"/>
      <w:marTop w:val="0"/>
      <w:marBottom w:val="0"/>
      <w:divBdr>
        <w:top w:val="none" w:sz="0" w:space="0" w:color="auto"/>
        <w:left w:val="none" w:sz="0" w:space="0" w:color="auto"/>
        <w:bottom w:val="none" w:sz="0" w:space="0" w:color="auto"/>
        <w:right w:val="none" w:sz="0" w:space="0" w:color="auto"/>
      </w:divBdr>
    </w:div>
    <w:div w:id="1895196240">
      <w:bodyDiv w:val="1"/>
      <w:marLeft w:val="0"/>
      <w:marRight w:val="0"/>
      <w:marTop w:val="0"/>
      <w:marBottom w:val="0"/>
      <w:divBdr>
        <w:top w:val="none" w:sz="0" w:space="0" w:color="auto"/>
        <w:left w:val="none" w:sz="0" w:space="0" w:color="auto"/>
        <w:bottom w:val="none" w:sz="0" w:space="0" w:color="auto"/>
        <w:right w:val="none" w:sz="0" w:space="0" w:color="auto"/>
      </w:divBdr>
    </w:div>
    <w:div w:id="1895197868">
      <w:bodyDiv w:val="1"/>
      <w:marLeft w:val="0"/>
      <w:marRight w:val="0"/>
      <w:marTop w:val="0"/>
      <w:marBottom w:val="0"/>
      <w:divBdr>
        <w:top w:val="none" w:sz="0" w:space="0" w:color="auto"/>
        <w:left w:val="none" w:sz="0" w:space="0" w:color="auto"/>
        <w:bottom w:val="none" w:sz="0" w:space="0" w:color="auto"/>
        <w:right w:val="none" w:sz="0" w:space="0" w:color="auto"/>
      </w:divBdr>
    </w:div>
    <w:div w:id="1895236497">
      <w:bodyDiv w:val="1"/>
      <w:marLeft w:val="0"/>
      <w:marRight w:val="0"/>
      <w:marTop w:val="0"/>
      <w:marBottom w:val="0"/>
      <w:divBdr>
        <w:top w:val="none" w:sz="0" w:space="0" w:color="auto"/>
        <w:left w:val="none" w:sz="0" w:space="0" w:color="auto"/>
        <w:bottom w:val="none" w:sz="0" w:space="0" w:color="auto"/>
        <w:right w:val="none" w:sz="0" w:space="0" w:color="auto"/>
      </w:divBdr>
    </w:div>
    <w:div w:id="1895310414">
      <w:bodyDiv w:val="1"/>
      <w:marLeft w:val="0"/>
      <w:marRight w:val="0"/>
      <w:marTop w:val="0"/>
      <w:marBottom w:val="0"/>
      <w:divBdr>
        <w:top w:val="none" w:sz="0" w:space="0" w:color="auto"/>
        <w:left w:val="none" w:sz="0" w:space="0" w:color="auto"/>
        <w:bottom w:val="none" w:sz="0" w:space="0" w:color="auto"/>
        <w:right w:val="none" w:sz="0" w:space="0" w:color="auto"/>
      </w:divBdr>
    </w:div>
    <w:div w:id="1895462109">
      <w:bodyDiv w:val="1"/>
      <w:marLeft w:val="0"/>
      <w:marRight w:val="0"/>
      <w:marTop w:val="0"/>
      <w:marBottom w:val="0"/>
      <w:divBdr>
        <w:top w:val="none" w:sz="0" w:space="0" w:color="auto"/>
        <w:left w:val="none" w:sz="0" w:space="0" w:color="auto"/>
        <w:bottom w:val="none" w:sz="0" w:space="0" w:color="auto"/>
        <w:right w:val="none" w:sz="0" w:space="0" w:color="auto"/>
      </w:divBdr>
    </w:div>
    <w:div w:id="1895504042">
      <w:bodyDiv w:val="1"/>
      <w:marLeft w:val="0"/>
      <w:marRight w:val="0"/>
      <w:marTop w:val="0"/>
      <w:marBottom w:val="0"/>
      <w:divBdr>
        <w:top w:val="none" w:sz="0" w:space="0" w:color="auto"/>
        <w:left w:val="none" w:sz="0" w:space="0" w:color="auto"/>
        <w:bottom w:val="none" w:sz="0" w:space="0" w:color="auto"/>
        <w:right w:val="none" w:sz="0" w:space="0" w:color="auto"/>
      </w:divBdr>
    </w:div>
    <w:div w:id="1895506136">
      <w:bodyDiv w:val="1"/>
      <w:marLeft w:val="0"/>
      <w:marRight w:val="0"/>
      <w:marTop w:val="0"/>
      <w:marBottom w:val="0"/>
      <w:divBdr>
        <w:top w:val="none" w:sz="0" w:space="0" w:color="auto"/>
        <w:left w:val="none" w:sz="0" w:space="0" w:color="auto"/>
        <w:bottom w:val="none" w:sz="0" w:space="0" w:color="auto"/>
        <w:right w:val="none" w:sz="0" w:space="0" w:color="auto"/>
      </w:divBdr>
    </w:div>
    <w:div w:id="1895582995">
      <w:bodyDiv w:val="1"/>
      <w:marLeft w:val="0"/>
      <w:marRight w:val="0"/>
      <w:marTop w:val="0"/>
      <w:marBottom w:val="0"/>
      <w:divBdr>
        <w:top w:val="none" w:sz="0" w:space="0" w:color="auto"/>
        <w:left w:val="none" w:sz="0" w:space="0" w:color="auto"/>
        <w:bottom w:val="none" w:sz="0" w:space="0" w:color="auto"/>
        <w:right w:val="none" w:sz="0" w:space="0" w:color="auto"/>
      </w:divBdr>
    </w:div>
    <w:div w:id="1895770559">
      <w:bodyDiv w:val="1"/>
      <w:marLeft w:val="0"/>
      <w:marRight w:val="0"/>
      <w:marTop w:val="0"/>
      <w:marBottom w:val="0"/>
      <w:divBdr>
        <w:top w:val="none" w:sz="0" w:space="0" w:color="auto"/>
        <w:left w:val="none" w:sz="0" w:space="0" w:color="auto"/>
        <w:bottom w:val="none" w:sz="0" w:space="0" w:color="auto"/>
        <w:right w:val="none" w:sz="0" w:space="0" w:color="auto"/>
      </w:divBdr>
    </w:div>
    <w:div w:id="1895778484">
      <w:bodyDiv w:val="1"/>
      <w:marLeft w:val="0"/>
      <w:marRight w:val="0"/>
      <w:marTop w:val="0"/>
      <w:marBottom w:val="0"/>
      <w:divBdr>
        <w:top w:val="none" w:sz="0" w:space="0" w:color="auto"/>
        <w:left w:val="none" w:sz="0" w:space="0" w:color="auto"/>
        <w:bottom w:val="none" w:sz="0" w:space="0" w:color="auto"/>
        <w:right w:val="none" w:sz="0" w:space="0" w:color="auto"/>
      </w:divBdr>
    </w:div>
    <w:div w:id="1896039350">
      <w:bodyDiv w:val="1"/>
      <w:marLeft w:val="0"/>
      <w:marRight w:val="0"/>
      <w:marTop w:val="0"/>
      <w:marBottom w:val="0"/>
      <w:divBdr>
        <w:top w:val="none" w:sz="0" w:space="0" w:color="auto"/>
        <w:left w:val="none" w:sz="0" w:space="0" w:color="auto"/>
        <w:bottom w:val="none" w:sz="0" w:space="0" w:color="auto"/>
        <w:right w:val="none" w:sz="0" w:space="0" w:color="auto"/>
      </w:divBdr>
    </w:div>
    <w:div w:id="1896039588">
      <w:bodyDiv w:val="1"/>
      <w:marLeft w:val="0"/>
      <w:marRight w:val="0"/>
      <w:marTop w:val="0"/>
      <w:marBottom w:val="0"/>
      <w:divBdr>
        <w:top w:val="none" w:sz="0" w:space="0" w:color="auto"/>
        <w:left w:val="none" w:sz="0" w:space="0" w:color="auto"/>
        <w:bottom w:val="none" w:sz="0" w:space="0" w:color="auto"/>
        <w:right w:val="none" w:sz="0" w:space="0" w:color="auto"/>
      </w:divBdr>
    </w:div>
    <w:div w:id="1896308031">
      <w:bodyDiv w:val="1"/>
      <w:marLeft w:val="0"/>
      <w:marRight w:val="0"/>
      <w:marTop w:val="0"/>
      <w:marBottom w:val="0"/>
      <w:divBdr>
        <w:top w:val="none" w:sz="0" w:space="0" w:color="auto"/>
        <w:left w:val="none" w:sz="0" w:space="0" w:color="auto"/>
        <w:bottom w:val="none" w:sz="0" w:space="0" w:color="auto"/>
        <w:right w:val="none" w:sz="0" w:space="0" w:color="auto"/>
      </w:divBdr>
    </w:div>
    <w:div w:id="1896427564">
      <w:bodyDiv w:val="1"/>
      <w:marLeft w:val="0"/>
      <w:marRight w:val="0"/>
      <w:marTop w:val="0"/>
      <w:marBottom w:val="0"/>
      <w:divBdr>
        <w:top w:val="none" w:sz="0" w:space="0" w:color="auto"/>
        <w:left w:val="none" w:sz="0" w:space="0" w:color="auto"/>
        <w:bottom w:val="none" w:sz="0" w:space="0" w:color="auto"/>
        <w:right w:val="none" w:sz="0" w:space="0" w:color="auto"/>
      </w:divBdr>
    </w:div>
    <w:div w:id="1896431686">
      <w:bodyDiv w:val="1"/>
      <w:marLeft w:val="0"/>
      <w:marRight w:val="0"/>
      <w:marTop w:val="0"/>
      <w:marBottom w:val="0"/>
      <w:divBdr>
        <w:top w:val="none" w:sz="0" w:space="0" w:color="auto"/>
        <w:left w:val="none" w:sz="0" w:space="0" w:color="auto"/>
        <w:bottom w:val="none" w:sz="0" w:space="0" w:color="auto"/>
        <w:right w:val="none" w:sz="0" w:space="0" w:color="auto"/>
      </w:divBdr>
    </w:div>
    <w:div w:id="1896625352">
      <w:bodyDiv w:val="1"/>
      <w:marLeft w:val="0"/>
      <w:marRight w:val="0"/>
      <w:marTop w:val="0"/>
      <w:marBottom w:val="0"/>
      <w:divBdr>
        <w:top w:val="none" w:sz="0" w:space="0" w:color="auto"/>
        <w:left w:val="none" w:sz="0" w:space="0" w:color="auto"/>
        <w:bottom w:val="none" w:sz="0" w:space="0" w:color="auto"/>
        <w:right w:val="none" w:sz="0" w:space="0" w:color="auto"/>
      </w:divBdr>
    </w:div>
    <w:div w:id="1896625717">
      <w:bodyDiv w:val="1"/>
      <w:marLeft w:val="0"/>
      <w:marRight w:val="0"/>
      <w:marTop w:val="0"/>
      <w:marBottom w:val="0"/>
      <w:divBdr>
        <w:top w:val="none" w:sz="0" w:space="0" w:color="auto"/>
        <w:left w:val="none" w:sz="0" w:space="0" w:color="auto"/>
        <w:bottom w:val="none" w:sz="0" w:space="0" w:color="auto"/>
        <w:right w:val="none" w:sz="0" w:space="0" w:color="auto"/>
      </w:divBdr>
    </w:div>
    <w:div w:id="1896694435">
      <w:bodyDiv w:val="1"/>
      <w:marLeft w:val="0"/>
      <w:marRight w:val="0"/>
      <w:marTop w:val="0"/>
      <w:marBottom w:val="0"/>
      <w:divBdr>
        <w:top w:val="none" w:sz="0" w:space="0" w:color="auto"/>
        <w:left w:val="none" w:sz="0" w:space="0" w:color="auto"/>
        <w:bottom w:val="none" w:sz="0" w:space="0" w:color="auto"/>
        <w:right w:val="none" w:sz="0" w:space="0" w:color="auto"/>
      </w:divBdr>
    </w:div>
    <w:div w:id="1896744028">
      <w:bodyDiv w:val="1"/>
      <w:marLeft w:val="0"/>
      <w:marRight w:val="0"/>
      <w:marTop w:val="0"/>
      <w:marBottom w:val="0"/>
      <w:divBdr>
        <w:top w:val="none" w:sz="0" w:space="0" w:color="auto"/>
        <w:left w:val="none" w:sz="0" w:space="0" w:color="auto"/>
        <w:bottom w:val="none" w:sz="0" w:space="0" w:color="auto"/>
        <w:right w:val="none" w:sz="0" w:space="0" w:color="auto"/>
      </w:divBdr>
    </w:div>
    <w:div w:id="1896744069">
      <w:bodyDiv w:val="1"/>
      <w:marLeft w:val="0"/>
      <w:marRight w:val="0"/>
      <w:marTop w:val="0"/>
      <w:marBottom w:val="0"/>
      <w:divBdr>
        <w:top w:val="none" w:sz="0" w:space="0" w:color="auto"/>
        <w:left w:val="none" w:sz="0" w:space="0" w:color="auto"/>
        <w:bottom w:val="none" w:sz="0" w:space="0" w:color="auto"/>
        <w:right w:val="none" w:sz="0" w:space="0" w:color="auto"/>
      </w:divBdr>
    </w:div>
    <w:div w:id="1896888606">
      <w:bodyDiv w:val="1"/>
      <w:marLeft w:val="0"/>
      <w:marRight w:val="0"/>
      <w:marTop w:val="0"/>
      <w:marBottom w:val="0"/>
      <w:divBdr>
        <w:top w:val="none" w:sz="0" w:space="0" w:color="auto"/>
        <w:left w:val="none" w:sz="0" w:space="0" w:color="auto"/>
        <w:bottom w:val="none" w:sz="0" w:space="0" w:color="auto"/>
        <w:right w:val="none" w:sz="0" w:space="0" w:color="auto"/>
      </w:divBdr>
    </w:div>
    <w:div w:id="1896962662">
      <w:bodyDiv w:val="1"/>
      <w:marLeft w:val="0"/>
      <w:marRight w:val="0"/>
      <w:marTop w:val="0"/>
      <w:marBottom w:val="0"/>
      <w:divBdr>
        <w:top w:val="none" w:sz="0" w:space="0" w:color="auto"/>
        <w:left w:val="none" w:sz="0" w:space="0" w:color="auto"/>
        <w:bottom w:val="none" w:sz="0" w:space="0" w:color="auto"/>
        <w:right w:val="none" w:sz="0" w:space="0" w:color="auto"/>
      </w:divBdr>
    </w:div>
    <w:div w:id="1896964289">
      <w:bodyDiv w:val="1"/>
      <w:marLeft w:val="0"/>
      <w:marRight w:val="0"/>
      <w:marTop w:val="0"/>
      <w:marBottom w:val="0"/>
      <w:divBdr>
        <w:top w:val="none" w:sz="0" w:space="0" w:color="auto"/>
        <w:left w:val="none" w:sz="0" w:space="0" w:color="auto"/>
        <w:bottom w:val="none" w:sz="0" w:space="0" w:color="auto"/>
        <w:right w:val="none" w:sz="0" w:space="0" w:color="auto"/>
      </w:divBdr>
    </w:div>
    <w:div w:id="1896968471">
      <w:bodyDiv w:val="1"/>
      <w:marLeft w:val="0"/>
      <w:marRight w:val="0"/>
      <w:marTop w:val="0"/>
      <w:marBottom w:val="0"/>
      <w:divBdr>
        <w:top w:val="none" w:sz="0" w:space="0" w:color="auto"/>
        <w:left w:val="none" w:sz="0" w:space="0" w:color="auto"/>
        <w:bottom w:val="none" w:sz="0" w:space="0" w:color="auto"/>
        <w:right w:val="none" w:sz="0" w:space="0" w:color="auto"/>
      </w:divBdr>
    </w:div>
    <w:div w:id="1897010363">
      <w:bodyDiv w:val="1"/>
      <w:marLeft w:val="0"/>
      <w:marRight w:val="0"/>
      <w:marTop w:val="0"/>
      <w:marBottom w:val="0"/>
      <w:divBdr>
        <w:top w:val="none" w:sz="0" w:space="0" w:color="auto"/>
        <w:left w:val="none" w:sz="0" w:space="0" w:color="auto"/>
        <w:bottom w:val="none" w:sz="0" w:space="0" w:color="auto"/>
        <w:right w:val="none" w:sz="0" w:space="0" w:color="auto"/>
      </w:divBdr>
    </w:div>
    <w:div w:id="1897085517">
      <w:bodyDiv w:val="1"/>
      <w:marLeft w:val="0"/>
      <w:marRight w:val="0"/>
      <w:marTop w:val="0"/>
      <w:marBottom w:val="0"/>
      <w:divBdr>
        <w:top w:val="none" w:sz="0" w:space="0" w:color="auto"/>
        <w:left w:val="none" w:sz="0" w:space="0" w:color="auto"/>
        <w:bottom w:val="none" w:sz="0" w:space="0" w:color="auto"/>
        <w:right w:val="none" w:sz="0" w:space="0" w:color="auto"/>
      </w:divBdr>
    </w:div>
    <w:div w:id="1897205897">
      <w:bodyDiv w:val="1"/>
      <w:marLeft w:val="0"/>
      <w:marRight w:val="0"/>
      <w:marTop w:val="0"/>
      <w:marBottom w:val="0"/>
      <w:divBdr>
        <w:top w:val="none" w:sz="0" w:space="0" w:color="auto"/>
        <w:left w:val="none" w:sz="0" w:space="0" w:color="auto"/>
        <w:bottom w:val="none" w:sz="0" w:space="0" w:color="auto"/>
        <w:right w:val="none" w:sz="0" w:space="0" w:color="auto"/>
      </w:divBdr>
    </w:div>
    <w:div w:id="1897348459">
      <w:bodyDiv w:val="1"/>
      <w:marLeft w:val="0"/>
      <w:marRight w:val="0"/>
      <w:marTop w:val="0"/>
      <w:marBottom w:val="0"/>
      <w:divBdr>
        <w:top w:val="none" w:sz="0" w:space="0" w:color="auto"/>
        <w:left w:val="none" w:sz="0" w:space="0" w:color="auto"/>
        <w:bottom w:val="none" w:sz="0" w:space="0" w:color="auto"/>
        <w:right w:val="none" w:sz="0" w:space="0" w:color="auto"/>
      </w:divBdr>
    </w:div>
    <w:div w:id="1897425071">
      <w:bodyDiv w:val="1"/>
      <w:marLeft w:val="0"/>
      <w:marRight w:val="0"/>
      <w:marTop w:val="0"/>
      <w:marBottom w:val="0"/>
      <w:divBdr>
        <w:top w:val="none" w:sz="0" w:space="0" w:color="auto"/>
        <w:left w:val="none" w:sz="0" w:space="0" w:color="auto"/>
        <w:bottom w:val="none" w:sz="0" w:space="0" w:color="auto"/>
        <w:right w:val="none" w:sz="0" w:space="0" w:color="auto"/>
      </w:divBdr>
    </w:div>
    <w:div w:id="1897543959">
      <w:bodyDiv w:val="1"/>
      <w:marLeft w:val="0"/>
      <w:marRight w:val="0"/>
      <w:marTop w:val="0"/>
      <w:marBottom w:val="0"/>
      <w:divBdr>
        <w:top w:val="none" w:sz="0" w:space="0" w:color="auto"/>
        <w:left w:val="none" w:sz="0" w:space="0" w:color="auto"/>
        <w:bottom w:val="none" w:sz="0" w:space="0" w:color="auto"/>
        <w:right w:val="none" w:sz="0" w:space="0" w:color="auto"/>
      </w:divBdr>
    </w:div>
    <w:div w:id="1897548569">
      <w:bodyDiv w:val="1"/>
      <w:marLeft w:val="0"/>
      <w:marRight w:val="0"/>
      <w:marTop w:val="0"/>
      <w:marBottom w:val="0"/>
      <w:divBdr>
        <w:top w:val="none" w:sz="0" w:space="0" w:color="auto"/>
        <w:left w:val="none" w:sz="0" w:space="0" w:color="auto"/>
        <w:bottom w:val="none" w:sz="0" w:space="0" w:color="auto"/>
        <w:right w:val="none" w:sz="0" w:space="0" w:color="auto"/>
      </w:divBdr>
    </w:div>
    <w:div w:id="1897624982">
      <w:bodyDiv w:val="1"/>
      <w:marLeft w:val="0"/>
      <w:marRight w:val="0"/>
      <w:marTop w:val="0"/>
      <w:marBottom w:val="0"/>
      <w:divBdr>
        <w:top w:val="none" w:sz="0" w:space="0" w:color="auto"/>
        <w:left w:val="none" w:sz="0" w:space="0" w:color="auto"/>
        <w:bottom w:val="none" w:sz="0" w:space="0" w:color="auto"/>
        <w:right w:val="none" w:sz="0" w:space="0" w:color="auto"/>
      </w:divBdr>
    </w:div>
    <w:div w:id="1897737218">
      <w:bodyDiv w:val="1"/>
      <w:marLeft w:val="0"/>
      <w:marRight w:val="0"/>
      <w:marTop w:val="0"/>
      <w:marBottom w:val="0"/>
      <w:divBdr>
        <w:top w:val="none" w:sz="0" w:space="0" w:color="auto"/>
        <w:left w:val="none" w:sz="0" w:space="0" w:color="auto"/>
        <w:bottom w:val="none" w:sz="0" w:space="0" w:color="auto"/>
        <w:right w:val="none" w:sz="0" w:space="0" w:color="auto"/>
      </w:divBdr>
    </w:div>
    <w:div w:id="1897930601">
      <w:bodyDiv w:val="1"/>
      <w:marLeft w:val="0"/>
      <w:marRight w:val="0"/>
      <w:marTop w:val="0"/>
      <w:marBottom w:val="0"/>
      <w:divBdr>
        <w:top w:val="none" w:sz="0" w:space="0" w:color="auto"/>
        <w:left w:val="none" w:sz="0" w:space="0" w:color="auto"/>
        <w:bottom w:val="none" w:sz="0" w:space="0" w:color="auto"/>
        <w:right w:val="none" w:sz="0" w:space="0" w:color="auto"/>
      </w:divBdr>
    </w:div>
    <w:div w:id="1897934966">
      <w:bodyDiv w:val="1"/>
      <w:marLeft w:val="0"/>
      <w:marRight w:val="0"/>
      <w:marTop w:val="0"/>
      <w:marBottom w:val="0"/>
      <w:divBdr>
        <w:top w:val="none" w:sz="0" w:space="0" w:color="auto"/>
        <w:left w:val="none" w:sz="0" w:space="0" w:color="auto"/>
        <w:bottom w:val="none" w:sz="0" w:space="0" w:color="auto"/>
        <w:right w:val="none" w:sz="0" w:space="0" w:color="auto"/>
      </w:divBdr>
    </w:div>
    <w:div w:id="1898003588">
      <w:bodyDiv w:val="1"/>
      <w:marLeft w:val="0"/>
      <w:marRight w:val="0"/>
      <w:marTop w:val="0"/>
      <w:marBottom w:val="0"/>
      <w:divBdr>
        <w:top w:val="none" w:sz="0" w:space="0" w:color="auto"/>
        <w:left w:val="none" w:sz="0" w:space="0" w:color="auto"/>
        <w:bottom w:val="none" w:sz="0" w:space="0" w:color="auto"/>
        <w:right w:val="none" w:sz="0" w:space="0" w:color="auto"/>
      </w:divBdr>
    </w:div>
    <w:div w:id="1898128752">
      <w:bodyDiv w:val="1"/>
      <w:marLeft w:val="0"/>
      <w:marRight w:val="0"/>
      <w:marTop w:val="0"/>
      <w:marBottom w:val="0"/>
      <w:divBdr>
        <w:top w:val="none" w:sz="0" w:space="0" w:color="auto"/>
        <w:left w:val="none" w:sz="0" w:space="0" w:color="auto"/>
        <w:bottom w:val="none" w:sz="0" w:space="0" w:color="auto"/>
        <w:right w:val="none" w:sz="0" w:space="0" w:color="auto"/>
      </w:divBdr>
    </w:div>
    <w:div w:id="1898275898">
      <w:bodyDiv w:val="1"/>
      <w:marLeft w:val="0"/>
      <w:marRight w:val="0"/>
      <w:marTop w:val="0"/>
      <w:marBottom w:val="0"/>
      <w:divBdr>
        <w:top w:val="none" w:sz="0" w:space="0" w:color="auto"/>
        <w:left w:val="none" w:sz="0" w:space="0" w:color="auto"/>
        <w:bottom w:val="none" w:sz="0" w:space="0" w:color="auto"/>
        <w:right w:val="none" w:sz="0" w:space="0" w:color="auto"/>
      </w:divBdr>
    </w:div>
    <w:div w:id="1898390625">
      <w:bodyDiv w:val="1"/>
      <w:marLeft w:val="0"/>
      <w:marRight w:val="0"/>
      <w:marTop w:val="0"/>
      <w:marBottom w:val="0"/>
      <w:divBdr>
        <w:top w:val="none" w:sz="0" w:space="0" w:color="auto"/>
        <w:left w:val="none" w:sz="0" w:space="0" w:color="auto"/>
        <w:bottom w:val="none" w:sz="0" w:space="0" w:color="auto"/>
        <w:right w:val="none" w:sz="0" w:space="0" w:color="auto"/>
      </w:divBdr>
    </w:div>
    <w:div w:id="1898395701">
      <w:bodyDiv w:val="1"/>
      <w:marLeft w:val="0"/>
      <w:marRight w:val="0"/>
      <w:marTop w:val="0"/>
      <w:marBottom w:val="0"/>
      <w:divBdr>
        <w:top w:val="none" w:sz="0" w:space="0" w:color="auto"/>
        <w:left w:val="none" w:sz="0" w:space="0" w:color="auto"/>
        <w:bottom w:val="none" w:sz="0" w:space="0" w:color="auto"/>
        <w:right w:val="none" w:sz="0" w:space="0" w:color="auto"/>
      </w:divBdr>
    </w:div>
    <w:div w:id="1898469005">
      <w:bodyDiv w:val="1"/>
      <w:marLeft w:val="0"/>
      <w:marRight w:val="0"/>
      <w:marTop w:val="0"/>
      <w:marBottom w:val="0"/>
      <w:divBdr>
        <w:top w:val="none" w:sz="0" w:space="0" w:color="auto"/>
        <w:left w:val="none" w:sz="0" w:space="0" w:color="auto"/>
        <w:bottom w:val="none" w:sz="0" w:space="0" w:color="auto"/>
        <w:right w:val="none" w:sz="0" w:space="0" w:color="auto"/>
      </w:divBdr>
    </w:div>
    <w:div w:id="1898474986">
      <w:bodyDiv w:val="1"/>
      <w:marLeft w:val="0"/>
      <w:marRight w:val="0"/>
      <w:marTop w:val="0"/>
      <w:marBottom w:val="0"/>
      <w:divBdr>
        <w:top w:val="none" w:sz="0" w:space="0" w:color="auto"/>
        <w:left w:val="none" w:sz="0" w:space="0" w:color="auto"/>
        <w:bottom w:val="none" w:sz="0" w:space="0" w:color="auto"/>
        <w:right w:val="none" w:sz="0" w:space="0" w:color="auto"/>
      </w:divBdr>
    </w:div>
    <w:div w:id="1898709559">
      <w:bodyDiv w:val="1"/>
      <w:marLeft w:val="0"/>
      <w:marRight w:val="0"/>
      <w:marTop w:val="0"/>
      <w:marBottom w:val="0"/>
      <w:divBdr>
        <w:top w:val="none" w:sz="0" w:space="0" w:color="auto"/>
        <w:left w:val="none" w:sz="0" w:space="0" w:color="auto"/>
        <w:bottom w:val="none" w:sz="0" w:space="0" w:color="auto"/>
        <w:right w:val="none" w:sz="0" w:space="0" w:color="auto"/>
      </w:divBdr>
    </w:div>
    <w:div w:id="1898780175">
      <w:bodyDiv w:val="1"/>
      <w:marLeft w:val="0"/>
      <w:marRight w:val="0"/>
      <w:marTop w:val="0"/>
      <w:marBottom w:val="0"/>
      <w:divBdr>
        <w:top w:val="none" w:sz="0" w:space="0" w:color="auto"/>
        <w:left w:val="none" w:sz="0" w:space="0" w:color="auto"/>
        <w:bottom w:val="none" w:sz="0" w:space="0" w:color="auto"/>
        <w:right w:val="none" w:sz="0" w:space="0" w:color="auto"/>
      </w:divBdr>
    </w:div>
    <w:div w:id="1898781790">
      <w:bodyDiv w:val="1"/>
      <w:marLeft w:val="0"/>
      <w:marRight w:val="0"/>
      <w:marTop w:val="0"/>
      <w:marBottom w:val="0"/>
      <w:divBdr>
        <w:top w:val="none" w:sz="0" w:space="0" w:color="auto"/>
        <w:left w:val="none" w:sz="0" w:space="0" w:color="auto"/>
        <w:bottom w:val="none" w:sz="0" w:space="0" w:color="auto"/>
        <w:right w:val="none" w:sz="0" w:space="0" w:color="auto"/>
      </w:divBdr>
    </w:div>
    <w:div w:id="1899051966">
      <w:bodyDiv w:val="1"/>
      <w:marLeft w:val="0"/>
      <w:marRight w:val="0"/>
      <w:marTop w:val="0"/>
      <w:marBottom w:val="0"/>
      <w:divBdr>
        <w:top w:val="none" w:sz="0" w:space="0" w:color="auto"/>
        <w:left w:val="none" w:sz="0" w:space="0" w:color="auto"/>
        <w:bottom w:val="none" w:sz="0" w:space="0" w:color="auto"/>
        <w:right w:val="none" w:sz="0" w:space="0" w:color="auto"/>
      </w:divBdr>
    </w:div>
    <w:div w:id="1899170880">
      <w:bodyDiv w:val="1"/>
      <w:marLeft w:val="0"/>
      <w:marRight w:val="0"/>
      <w:marTop w:val="0"/>
      <w:marBottom w:val="0"/>
      <w:divBdr>
        <w:top w:val="none" w:sz="0" w:space="0" w:color="auto"/>
        <w:left w:val="none" w:sz="0" w:space="0" w:color="auto"/>
        <w:bottom w:val="none" w:sz="0" w:space="0" w:color="auto"/>
        <w:right w:val="none" w:sz="0" w:space="0" w:color="auto"/>
      </w:divBdr>
    </w:div>
    <w:div w:id="1899316140">
      <w:bodyDiv w:val="1"/>
      <w:marLeft w:val="0"/>
      <w:marRight w:val="0"/>
      <w:marTop w:val="0"/>
      <w:marBottom w:val="0"/>
      <w:divBdr>
        <w:top w:val="none" w:sz="0" w:space="0" w:color="auto"/>
        <w:left w:val="none" w:sz="0" w:space="0" w:color="auto"/>
        <w:bottom w:val="none" w:sz="0" w:space="0" w:color="auto"/>
        <w:right w:val="none" w:sz="0" w:space="0" w:color="auto"/>
      </w:divBdr>
    </w:div>
    <w:div w:id="1899633503">
      <w:bodyDiv w:val="1"/>
      <w:marLeft w:val="0"/>
      <w:marRight w:val="0"/>
      <w:marTop w:val="0"/>
      <w:marBottom w:val="0"/>
      <w:divBdr>
        <w:top w:val="none" w:sz="0" w:space="0" w:color="auto"/>
        <w:left w:val="none" w:sz="0" w:space="0" w:color="auto"/>
        <w:bottom w:val="none" w:sz="0" w:space="0" w:color="auto"/>
        <w:right w:val="none" w:sz="0" w:space="0" w:color="auto"/>
      </w:divBdr>
    </w:div>
    <w:div w:id="1899658469">
      <w:bodyDiv w:val="1"/>
      <w:marLeft w:val="0"/>
      <w:marRight w:val="0"/>
      <w:marTop w:val="0"/>
      <w:marBottom w:val="0"/>
      <w:divBdr>
        <w:top w:val="none" w:sz="0" w:space="0" w:color="auto"/>
        <w:left w:val="none" w:sz="0" w:space="0" w:color="auto"/>
        <w:bottom w:val="none" w:sz="0" w:space="0" w:color="auto"/>
        <w:right w:val="none" w:sz="0" w:space="0" w:color="auto"/>
      </w:divBdr>
    </w:div>
    <w:div w:id="1899707568">
      <w:bodyDiv w:val="1"/>
      <w:marLeft w:val="0"/>
      <w:marRight w:val="0"/>
      <w:marTop w:val="0"/>
      <w:marBottom w:val="0"/>
      <w:divBdr>
        <w:top w:val="none" w:sz="0" w:space="0" w:color="auto"/>
        <w:left w:val="none" w:sz="0" w:space="0" w:color="auto"/>
        <w:bottom w:val="none" w:sz="0" w:space="0" w:color="auto"/>
        <w:right w:val="none" w:sz="0" w:space="0" w:color="auto"/>
      </w:divBdr>
    </w:div>
    <w:div w:id="1899898532">
      <w:bodyDiv w:val="1"/>
      <w:marLeft w:val="0"/>
      <w:marRight w:val="0"/>
      <w:marTop w:val="0"/>
      <w:marBottom w:val="0"/>
      <w:divBdr>
        <w:top w:val="none" w:sz="0" w:space="0" w:color="auto"/>
        <w:left w:val="none" w:sz="0" w:space="0" w:color="auto"/>
        <w:bottom w:val="none" w:sz="0" w:space="0" w:color="auto"/>
        <w:right w:val="none" w:sz="0" w:space="0" w:color="auto"/>
      </w:divBdr>
    </w:div>
    <w:div w:id="1899899148">
      <w:bodyDiv w:val="1"/>
      <w:marLeft w:val="0"/>
      <w:marRight w:val="0"/>
      <w:marTop w:val="0"/>
      <w:marBottom w:val="0"/>
      <w:divBdr>
        <w:top w:val="none" w:sz="0" w:space="0" w:color="auto"/>
        <w:left w:val="none" w:sz="0" w:space="0" w:color="auto"/>
        <w:bottom w:val="none" w:sz="0" w:space="0" w:color="auto"/>
        <w:right w:val="none" w:sz="0" w:space="0" w:color="auto"/>
      </w:divBdr>
    </w:div>
    <w:div w:id="1900020388">
      <w:bodyDiv w:val="1"/>
      <w:marLeft w:val="0"/>
      <w:marRight w:val="0"/>
      <w:marTop w:val="0"/>
      <w:marBottom w:val="0"/>
      <w:divBdr>
        <w:top w:val="none" w:sz="0" w:space="0" w:color="auto"/>
        <w:left w:val="none" w:sz="0" w:space="0" w:color="auto"/>
        <w:bottom w:val="none" w:sz="0" w:space="0" w:color="auto"/>
        <w:right w:val="none" w:sz="0" w:space="0" w:color="auto"/>
      </w:divBdr>
    </w:div>
    <w:div w:id="1900089871">
      <w:bodyDiv w:val="1"/>
      <w:marLeft w:val="0"/>
      <w:marRight w:val="0"/>
      <w:marTop w:val="0"/>
      <w:marBottom w:val="0"/>
      <w:divBdr>
        <w:top w:val="none" w:sz="0" w:space="0" w:color="auto"/>
        <w:left w:val="none" w:sz="0" w:space="0" w:color="auto"/>
        <w:bottom w:val="none" w:sz="0" w:space="0" w:color="auto"/>
        <w:right w:val="none" w:sz="0" w:space="0" w:color="auto"/>
      </w:divBdr>
    </w:div>
    <w:div w:id="1900092962">
      <w:bodyDiv w:val="1"/>
      <w:marLeft w:val="0"/>
      <w:marRight w:val="0"/>
      <w:marTop w:val="0"/>
      <w:marBottom w:val="0"/>
      <w:divBdr>
        <w:top w:val="none" w:sz="0" w:space="0" w:color="auto"/>
        <w:left w:val="none" w:sz="0" w:space="0" w:color="auto"/>
        <w:bottom w:val="none" w:sz="0" w:space="0" w:color="auto"/>
        <w:right w:val="none" w:sz="0" w:space="0" w:color="auto"/>
      </w:divBdr>
    </w:div>
    <w:div w:id="1900096941">
      <w:bodyDiv w:val="1"/>
      <w:marLeft w:val="0"/>
      <w:marRight w:val="0"/>
      <w:marTop w:val="0"/>
      <w:marBottom w:val="0"/>
      <w:divBdr>
        <w:top w:val="none" w:sz="0" w:space="0" w:color="auto"/>
        <w:left w:val="none" w:sz="0" w:space="0" w:color="auto"/>
        <w:bottom w:val="none" w:sz="0" w:space="0" w:color="auto"/>
        <w:right w:val="none" w:sz="0" w:space="0" w:color="auto"/>
      </w:divBdr>
    </w:div>
    <w:div w:id="1900163571">
      <w:bodyDiv w:val="1"/>
      <w:marLeft w:val="0"/>
      <w:marRight w:val="0"/>
      <w:marTop w:val="0"/>
      <w:marBottom w:val="0"/>
      <w:divBdr>
        <w:top w:val="none" w:sz="0" w:space="0" w:color="auto"/>
        <w:left w:val="none" w:sz="0" w:space="0" w:color="auto"/>
        <w:bottom w:val="none" w:sz="0" w:space="0" w:color="auto"/>
        <w:right w:val="none" w:sz="0" w:space="0" w:color="auto"/>
      </w:divBdr>
    </w:div>
    <w:div w:id="1900164394">
      <w:bodyDiv w:val="1"/>
      <w:marLeft w:val="0"/>
      <w:marRight w:val="0"/>
      <w:marTop w:val="0"/>
      <w:marBottom w:val="0"/>
      <w:divBdr>
        <w:top w:val="none" w:sz="0" w:space="0" w:color="auto"/>
        <w:left w:val="none" w:sz="0" w:space="0" w:color="auto"/>
        <w:bottom w:val="none" w:sz="0" w:space="0" w:color="auto"/>
        <w:right w:val="none" w:sz="0" w:space="0" w:color="auto"/>
      </w:divBdr>
    </w:div>
    <w:div w:id="1900170248">
      <w:bodyDiv w:val="1"/>
      <w:marLeft w:val="0"/>
      <w:marRight w:val="0"/>
      <w:marTop w:val="0"/>
      <w:marBottom w:val="0"/>
      <w:divBdr>
        <w:top w:val="none" w:sz="0" w:space="0" w:color="auto"/>
        <w:left w:val="none" w:sz="0" w:space="0" w:color="auto"/>
        <w:bottom w:val="none" w:sz="0" w:space="0" w:color="auto"/>
        <w:right w:val="none" w:sz="0" w:space="0" w:color="auto"/>
      </w:divBdr>
    </w:div>
    <w:div w:id="1900238930">
      <w:bodyDiv w:val="1"/>
      <w:marLeft w:val="0"/>
      <w:marRight w:val="0"/>
      <w:marTop w:val="0"/>
      <w:marBottom w:val="0"/>
      <w:divBdr>
        <w:top w:val="none" w:sz="0" w:space="0" w:color="auto"/>
        <w:left w:val="none" w:sz="0" w:space="0" w:color="auto"/>
        <w:bottom w:val="none" w:sz="0" w:space="0" w:color="auto"/>
        <w:right w:val="none" w:sz="0" w:space="0" w:color="auto"/>
      </w:divBdr>
    </w:div>
    <w:div w:id="1900240617">
      <w:bodyDiv w:val="1"/>
      <w:marLeft w:val="0"/>
      <w:marRight w:val="0"/>
      <w:marTop w:val="0"/>
      <w:marBottom w:val="0"/>
      <w:divBdr>
        <w:top w:val="none" w:sz="0" w:space="0" w:color="auto"/>
        <w:left w:val="none" w:sz="0" w:space="0" w:color="auto"/>
        <w:bottom w:val="none" w:sz="0" w:space="0" w:color="auto"/>
        <w:right w:val="none" w:sz="0" w:space="0" w:color="auto"/>
      </w:divBdr>
    </w:div>
    <w:div w:id="1900284754">
      <w:bodyDiv w:val="1"/>
      <w:marLeft w:val="0"/>
      <w:marRight w:val="0"/>
      <w:marTop w:val="0"/>
      <w:marBottom w:val="0"/>
      <w:divBdr>
        <w:top w:val="none" w:sz="0" w:space="0" w:color="auto"/>
        <w:left w:val="none" w:sz="0" w:space="0" w:color="auto"/>
        <w:bottom w:val="none" w:sz="0" w:space="0" w:color="auto"/>
        <w:right w:val="none" w:sz="0" w:space="0" w:color="auto"/>
      </w:divBdr>
    </w:div>
    <w:div w:id="1900360333">
      <w:bodyDiv w:val="1"/>
      <w:marLeft w:val="0"/>
      <w:marRight w:val="0"/>
      <w:marTop w:val="0"/>
      <w:marBottom w:val="0"/>
      <w:divBdr>
        <w:top w:val="none" w:sz="0" w:space="0" w:color="auto"/>
        <w:left w:val="none" w:sz="0" w:space="0" w:color="auto"/>
        <w:bottom w:val="none" w:sz="0" w:space="0" w:color="auto"/>
        <w:right w:val="none" w:sz="0" w:space="0" w:color="auto"/>
      </w:divBdr>
    </w:div>
    <w:div w:id="1900365569">
      <w:bodyDiv w:val="1"/>
      <w:marLeft w:val="0"/>
      <w:marRight w:val="0"/>
      <w:marTop w:val="0"/>
      <w:marBottom w:val="0"/>
      <w:divBdr>
        <w:top w:val="none" w:sz="0" w:space="0" w:color="auto"/>
        <w:left w:val="none" w:sz="0" w:space="0" w:color="auto"/>
        <w:bottom w:val="none" w:sz="0" w:space="0" w:color="auto"/>
        <w:right w:val="none" w:sz="0" w:space="0" w:color="auto"/>
      </w:divBdr>
    </w:div>
    <w:div w:id="1900432583">
      <w:bodyDiv w:val="1"/>
      <w:marLeft w:val="0"/>
      <w:marRight w:val="0"/>
      <w:marTop w:val="0"/>
      <w:marBottom w:val="0"/>
      <w:divBdr>
        <w:top w:val="none" w:sz="0" w:space="0" w:color="auto"/>
        <w:left w:val="none" w:sz="0" w:space="0" w:color="auto"/>
        <w:bottom w:val="none" w:sz="0" w:space="0" w:color="auto"/>
        <w:right w:val="none" w:sz="0" w:space="0" w:color="auto"/>
      </w:divBdr>
    </w:div>
    <w:div w:id="1900435373">
      <w:bodyDiv w:val="1"/>
      <w:marLeft w:val="0"/>
      <w:marRight w:val="0"/>
      <w:marTop w:val="0"/>
      <w:marBottom w:val="0"/>
      <w:divBdr>
        <w:top w:val="none" w:sz="0" w:space="0" w:color="auto"/>
        <w:left w:val="none" w:sz="0" w:space="0" w:color="auto"/>
        <w:bottom w:val="none" w:sz="0" w:space="0" w:color="auto"/>
        <w:right w:val="none" w:sz="0" w:space="0" w:color="auto"/>
      </w:divBdr>
    </w:div>
    <w:div w:id="1900558962">
      <w:bodyDiv w:val="1"/>
      <w:marLeft w:val="0"/>
      <w:marRight w:val="0"/>
      <w:marTop w:val="0"/>
      <w:marBottom w:val="0"/>
      <w:divBdr>
        <w:top w:val="none" w:sz="0" w:space="0" w:color="auto"/>
        <w:left w:val="none" w:sz="0" w:space="0" w:color="auto"/>
        <w:bottom w:val="none" w:sz="0" w:space="0" w:color="auto"/>
        <w:right w:val="none" w:sz="0" w:space="0" w:color="auto"/>
      </w:divBdr>
    </w:div>
    <w:div w:id="1900627275">
      <w:bodyDiv w:val="1"/>
      <w:marLeft w:val="0"/>
      <w:marRight w:val="0"/>
      <w:marTop w:val="0"/>
      <w:marBottom w:val="0"/>
      <w:divBdr>
        <w:top w:val="none" w:sz="0" w:space="0" w:color="auto"/>
        <w:left w:val="none" w:sz="0" w:space="0" w:color="auto"/>
        <w:bottom w:val="none" w:sz="0" w:space="0" w:color="auto"/>
        <w:right w:val="none" w:sz="0" w:space="0" w:color="auto"/>
      </w:divBdr>
    </w:div>
    <w:div w:id="1900676416">
      <w:bodyDiv w:val="1"/>
      <w:marLeft w:val="0"/>
      <w:marRight w:val="0"/>
      <w:marTop w:val="0"/>
      <w:marBottom w:val="0"/>
      <w:divBdr>
        <w:top w:val="none" w:sz="0" w:space="0" w:color="auto"/>
        <w:left w:val="none" w:sz="0" w:space="0" w:color="auto"/>
        <w:bottom w:val="none" w:sz="0" w:space="0" w:color="auto"/>
        <w:right w:val="none" w:sz="0" w:space="0" w:color="auto"/>
      </w:divBdr>
    </w:div>
    <w:div w:id="1900704412">
      <w:bodyDiv w:val="1"/>
      <w:marLeft w:val="0"/>
      <w:marRight w:val="0"/>
      <w:marTop w:val="0"/>
      <w:marBottom w:val="0"/>
      <w:divBdr>
        <w:top w:val="none" w:sz="0" w:space="0" w:color="auto"/>
        <w:left w:val="none" w:sz="0" w:space="0" w:color="auto"/>
        <w:bottom w:val="none" w:sz="0" w:space="0" w:color="auto"/>
        <w:right w:val="none" w:sz="0" w:space="0" w:color="auto"/>
      </w:divBdr>
    </w:div>
    <w:div w:id="1900750881">
      <w:bodyDiv w:val="1"/>
      <w:marLeft w:val="0"/>
      <w:marRight w:val="0"/>
      <w:marTop w:val="0"/>
      <w:marBottom w:val="0"/>
      <w:divBdr>
        <w:top w:val="none" w:sz="0" w:space="0" w:color="auto"/>
        <w:left w:val="none" w:sz="0" w:space="0" w:color="auto"/>
        <w:bottom w:val="none" w:sz="0" w:space="0" w:color="auto"/>
        <w:right w:val="none" w:sz="0" w:space="0" w:color="auto"/>
      </w:divBdr>
    </w:div>
    <w:div w:id="1900900179">
      <w:bodyDiv w:val="1"/>
      <w:marLeft w:val="0"/>
      <w:marRight w:val="0"/>
      <w:marTop w:val="0"/>
      <w:marBottom w:val="0"/>
      <w:divBdr>
        <w:top w:val="none" w:sz="0" w:space="0" w:color="auto"/>
        <w:left w:val="none" w:sz="0" w:space="0" w:color="auto"/>
        <w:bottom w:val="none" w:sz="0" w:space="0" w:color="auto"/>
        <w:right w:val="none" w:sz="0" w:space="0" w:color="auto"/>
      </w:divBdr>
    </w:div>
    <w:div w:id="1900943410">
      <w:bodyDiv w:val="1"/>
      <w:marLeft w:val="0"/>
      <w:marRight w:val="0"/>
      <w:marTop w:val="0"/>
      <w:marBottom w:val="0"/>
      <w:divBdr>
        <w:top w:val="none" w:sz="0" w:space="0" w:color="auto"/>
        <w:left w:val="none" w:sz="0" w:space="0" w:color="auto"/>
        <w:bottom w:val="none" w:sz="0" w:space="0" w:color="auto"/>
        <w:right w:val="none" w:sz="0" w:space="0" w:color="auto"/>
      </w:divBdr>
    </w:div>
    <w:div w:id="1901015193">
      <w:bodyDiv w:val="1"/>
      <w:marLeft w:val="0"/>
      <w:marRight w:val="0"/>
      <w:marTop w:val="0"/>
      <w:marBottom w:val="0"/>
      <w:divBdr>
        <w:top w:val="none" w:sz="0" w:space="0" w:color="auto"/>
        <w:left w:val="none" w:sz="0" w:space="0" w:color="auto"/>
        <w:bottom w:val="none" w:sz="0" w:space="0" w:color="auto"/>
        <w:right w:val="none" w:sz="0" w:space="0" w:color="auto"/>
      </w:divBdr>
    </w:div>
    <w:div w:id="1901137150">
      <w:bodyDiv w:val="1"/>
      <w:marLeft w:val="0"/>
      <w:marRight w:val="0"/>
      <w:marTop w:val="0"/>
      <w:marBottom w:val="0"/>
      <w:divBdr>
        <w:top w:val="none" w:sz="0" w:space="0" w:color="auto"/>
        <w:left w:val="none" w:sz="0" w:space="0" w:color="auto"/>
        <w:bottom w:val="none" w:sz="0" w:space="0" w:color="auto"/>
        <w:right w:val="none" w:sz="0" w:space="0" w:color="auto"/>
      </w:divBdr>
    </w:div>
    <w:div w:id="1901166225">
      <w:bodyDiv w:val="1"/>
      <w:marLeft w:val="0"/>
      <w:marRight w:val="0"/>
      <w:marTop w:val="0"/>
      <w:marBottom w:val="0"/>
      <w:divBdr>
        <w:top w:val="none" w:sz="0" w:space="0" w:color="auto"/>
        <w:left w:val="none" w:sz="0" w:space="0" w:color="auto"/>
        <w:bottom w:val="none" w:sz="0" w:space="0" w:color="auto"/>
        <w:right w:val="none" w:sz="0" w:space="0" w:color="auto"/>
      </w:divBdr>
    </w:div>
    <w:div w:id="1901212888">
      <w:bodyDiv w:val="1"/>
      <w:marLeft w:val="0"/>
      <w:marRight w:val="0"/>
      <w:marTop w:val="0"/>
      <w:marBottom w:val="0"/>
      <w:divBdr>
        <w:top w:val="none" w:sz="0" w:space="0" w:color="auto"/>
        <w:left w:val="none" w:sz="0" w:space="0" w:color="auto"/>
        <w:bottom w:val="none" w:sz="0" w:space="0" w:color="auto"/>
        <w:right w:val="none" w:sz="0" w:space="0" w:color="auto"/>
      </w:divBdr>
    </w:div>
    <w:div w:id="1901280478">
      <w:bodyDiv w:val="1"/>
      <w:marLeft w:val="0"/>
      <w:marRight w:val="0"/>
      <w:marTop w:val="0"/>
      <w:marBottom w:val="0"/>
      <w:divBdr>
        <w:top w:val="none" w:sz="0" w:space="0" w:color="auto"/>
        <w:left w:val="none" w:sz="0" w:space="0" w:color="auto"/>
        <w:bottom w:val="none" w:sz="0" w:space="0" w:color="auto"/>
        <w:right w:val="none" w:sz="0" w:space="0" w:color="auto"/>
      </w:divBdr>
    </w:div>
    <w:div w:id="1901473727">
      <w:bodyDiv w:val="1"/>
      <w:marLeft w:val="0"/>
      <w:marRight w:val="0"/>
      <w:marTop w:val="0"/>
      <w:marBottom w:val="0"/>
      <w:divBdr>
        <w:top w:val="none" w:sz="0" w:space="0" w:color="auto"/>
        <w:left w:val="none" w:sz="0" w:space="0" w:color="auto"/>
        <w:bottom w:val="none" w:sz="0" w:space="0" w:color="auto"/>
        <w:right w:val="none" w:sz="0" w:space="0" w:color="auto"/>
      </w:divBdr>
    </w:div>
    <w:div w:id="1901474346">
      <w:bodyDiv w:val="1"/>
      <w:marLeft w:val="0"/>
      <w:marRight w:val="0"/>
      <w:marTop w:val="0"/>
      <w:marBottom w:val="0"/>
      <w:divBdr>
        <w:top w:val="none" w:sz="0" w:space="0" w:color="auto"/>
        <w:left w:val="none" w:sz="0" w:space="0" w:color="auto"/>
        <w:bottom w:val="none" w:sz="0" w:space="0" w:color="auto"/>
        <w:right w:val="none" w:sz="0" w:space="0" w:color="auto"/>
      </w:divBdr>
    </w:div>
    <w:div w:id="1901477994">
      <w:bodyDiv w:val="1"/>
      <w:marLeft w:val="0"/>
      <w:marRight w:val="0"/>
      <w:marTop w:val="0"/>
      <w:marBottom w:val="0"/>
      <w:divBdr>
        <w:top w:val="none" w:sz="0" w:space="0" w:color="auto"/>
        <w:left w:val="none" w:sz="0" w:space="0" w:color="auto"/>
        <w:bottom w:val="none" w:sz="0" w:space="0" w:color="auto"/>
        <w:right w:val="none" w:sz="0" w:space="0" w:color="auto"/>
      </w:divBdr>
    </w:div>
    <w:div w:id="1901480363">
      <w:bodyDiv w:val="1"/>
      <w:marLeft w:val="0"/>
      <w:marRight w:val="0"/>
      <w:marTop w:val="0"/>
      <w:marBottom w:val="0"/>
      <w:divBdr>
        <w:top w:val="none" w:sz="0" w:space="0" w:color="auto"/>
        <w:left w:val="none" w:sz="0" w:space="0" w:color="auto"/>
        <w:bottom w:val="none" w:sz="0" w:space="0" w:color="auto"/>
        <w:right w:val="none" w:sz="0" w:space="0" w:color="auto"/>
      </w:divBdr>
    </w:div>
    <w:div w:id="1901745070">
      <w:bodyDiv w:val="1"/>
      <w:marLeft w:val="0"/>
      <w:marRight w:val="0"/>
      <w:marTop w:val="0"/>
      <w:marBottom w:val="0"/>
      <w:divBdr>
        <w:top w:val="none" w:sz="0" w:space="0" w:color="auto"/>
        <w:left w:val="none" w:sz="0" w:space="0" w:color="auto"/>
        <w:bottom w:val="none" w:sz="0" w:space="0" w:color="auto"/>
        <w:right w:val="none" w:sz="0" w:space="0" w:color="auto"/>
      </w:divBdr>
    </w:div>
    <w:div w:id="1901745478">
      <w:bodyDiv w:val="1"/>
      <w:marLeft w:val="0"/>
      <w:marRight w:val="0"/>
      <w:marTop w:val="0"/>
      <w:marBottom w:val="0"/>
      <w:divBdr>
        <w:top w:val="none" w:sz="0" w:space="0" w:color="auto"/>
        <w:left w:val="none" w:sz="0" w:space="0" w:color="auto"/>
        <w:bottom w:val="none" w:sz="0" w:space="0" w:color="auto"/>
        <w:right w:val="none" w:sz="0" w:space="0" w:color="auto"/>
      </w:divBdr>
    </w:div>
    <w:div w:id="1901865978">
      <w:bodyDiv w:val="1"/>
      <w:marLeft w:val="0"/>
      <w:marRight w:val="0"/>
      <w:marTop w:val="0"/>
      <w:marBottom w:val="0"/>
      <w:divBdr>
        <w:top w:val="none" w:sz="0" w:space="0" w:color="auto"/>
        <w:left w:val="none" w:sz="0" w:space="0" w:color="auto"/>
        <w:bottom w:val="none" w:sz="0" w:space="0" w:color="auto"/>
        <w:right w:val="none" w:sz="0" w:space="0" w:color="auto"/>
      </w:divBdr>
    </w:div>
    <w:div w:id="1901867019">
      <w:bodyDiv w:val="1"/>
      <w:marLeft w:val="0"/>
      <w:marRight w:val="0"/>
      <w:marTop w:val="0"/>
      <w:marBottom w:val="0"/>
      <w:divBdr>
        <w:top w:val="none" w:sz="0" w:space="0" w:color="auto"/>
        <w:left w:val="none" w:sz="0" w:space="0" w:color="auto"/>
        <w:bottom w:val="none" w:sz="0" w:space="0" w:color="auto"/>
        <w:right w:val="none" w:sz="0" w:space="0" w:color="auto"/>
      </w:divBdr>
    </w:div>
    <w:div w:id="1901935169">
      <w:bodyDiv w:val="1"/>
      <w:marLeft w:val="0"/>
      <w:marRight w:val="0"/>
      <w:marTop w:val="0"/>
      <w:marBottom w:val="0"/>
      <w:divBdr>
        <w:top w:val="none" w:sz="0" w:space="0" w:color="auto"/>
        <w:left w:val="none" w:sz="0" w:space="0" w:color="auto"/>
        <w:bottom w:val="none" w:sz="0" w:space="0" w:color="auto"/>
        <w:right w:val="none" w:sz="0" w:space="0" w:color="auto"/>
      </w:divBdr>
    </w:div>
    <w:div w:id="1902012781">
      <w:bodyDiv w:val="1"/>
      <w:marLeft w:val="0"/>
      <w:marRight w:val="0"/>
      <w:marTop w:val="0"/>
      <w:marBottom w:val="0"/>
      <w:divBdr>
        <w:top w:val="none" w:sz="0" w:space="0" w:color="auto"/>
        <w:left w:val="none" w:sz="0" w:space="0" w:color="auto"/>
        <w:bottom w:val="none" w:sz="0" w:space="0" w:color="auto"/>
        <w:right w:val="none" w:sz="0" w:space="0" w:color="auto"/>
      </w:divBdr>
    </w:div>
    <w:div w:id="1902250800">
      <w:bodyDiv w:val="1"/>
      <w:marLeft w:val="0"/>
      <w:marRight w:val="0"/>
      <w:marTop w:val="0"/>
      <w:marBottom w:val="0"/>
      <w:divBdr>
        <w:top w:val="none" w:sz="0" w:space="0" w:color="auto"/>
        <w:left w:val="none" w:sz="0" w:space="0" w:color="auto"/>
        <w:bottom w:val="none" w:sz="0" w:space="0" w:color="auto"/>
        <w:right w:val="none" w:sz="0" w:space="0" w:color="auto"/>
      </w:divBdr>
    </w:div>
    <w:div w:id="1902322447">
      <w:bodyDiv w:val="1"/>
      <w:marLeft w:val="0"/>
      <w:marRight w:val="0"/>
      <w:marTop w:val="0"/>
      <w:marBottom w:val="0"/>
      <w:divBdr>
        <w:top w:val="none" w:sz="0" w:space="0" w:color="auto"/>
        <w:left w:val="none" w:sz="0" w:space="0" w:color="auto"/>
        <w:bottom w:val="none" w:sz="0" w:space="0" w:color="auto"/>
        <w:right w:val="none" w:sz="0" w:space="0" w:color="auto"/>
      </w:divBdr>
    </w:div>
    <w:div w:id="1902329853">
      <w:bodyDiv w:val="1"/>
      <w:marLeft w:val="0"/>
      <w:marRight w:val="0"/>
      <w:marTop w:val="0"/>
      <w:marBottom w:val="0"/>
      <w:divBdr>
        <w:top w:val="none" w:sz="0" w:space="0" w:color="auto"/>
        <w:left w:val="none" w:sz="0" w:space="0" w:color="auto"/>
        <w:bottom w:val="none" w:sz="0" w:space="0" w:color="auto"/>
        <w:right w:val="none" w:sz="0" w:space="0" w:color="auto"/>
      </w:divBdr>
    </w:div>
    <w:div w:id="1902397208">
      <w:bodyDiv w:val="1"/>
      <w:marLeft w:val="0"/>
      <w:marRight w:val="0"/>
      <w:marTop w:val="0"/>
      <w:marBottom w:val="0"/>
      <w:divBdr>
        <w:top w:val="none" w:sz="0" w:space="0" w:color="auto"/>
        <w:left w:val="none" w:sz="0" w:space="0" w:color="auto"/>
        <w:bottom w:val="none" w:sz="0" w:space="0" w:color="auto"/>
        <w:right w:val="none" w:sz="0" w:space="0" w:color="auto"/>
      </w:divBdr>
    </w:div>
    <w:div w:id="1902518625">
      <w:bodyDiv w:val="1"/>
      <w:marLeft w:val="0"/>
      <w:marRight w:val="0"/>
      <w:marTop w:val="0"/>
      <w:marBottom w:val="0"/>
      <w:divBdr>
        <w:top w:val="none" w:sz="0" w:space="0" w:color="auto"/>
        <w:left w:val="none" w:sz="0" w:space="0" w:color="auto"/>
        <w:bottom w:val="none" w:sz="0" w:space="0" w:color="auto"/>
        <w:right w:val="none" w:sz="0" w:space="0" w:color="auto"/>
      </w:divBdr>
    </w:div>
    <w:div w:id="1902713305">
      <w:bodyDiv w:val="1"/>
      <w:marLeft w:val="0"/>
      <w:marRight w:val="0"/>
      <w:marTop w:val="0"/>
      <w:marBottom w:val="0"/>
      <w:divBdr>
        <w:top w:val="none" w:sz="0" w:space="0" w:color="auto"/>
        <w:left w:val="none" w:sz="0" w:space="0" w:color="auto"/>
        <w:bottom w:val="none" w:sz="0" w:space="0" w:color="auto"/>
        <w:right w:val="none" w:sz="0" w:space="0" w:color="auto"/>
      </w:divBdr>
    </w:div>
    <w:div w:id="1902976964">
      <w:bodyDiv w:val="1"/>
      <w:marLeft w:val="0"/>
      <w:marRight w:val="0"/>
      <w:marTop w:val="0"/>
      <w:marBottom w:val="0"/>
      <w:divBdr>
        <w:top w:val="none" w:sz="0" w:space="0" w:color="auto"/>
        <w:left w:val="none" w:sz="0" w:space="0" w:color="auto"/>
        <w:bottom w:val="none" w:sz="0" w:space="0" w:color="auto"/>
        <w:right w:val="none" w:sz="0" w:space="0" w:color="auto"/>
      </w:divBdr>
    </w:div>
    <w:div w:id="1902982532">
      <w:bodyDiv w:val="1"/>
      <w:marLeft w:val="0"/>
      <w:marRight w:val="0"/>
      <w:marTop w:val="0"/>
      <w:marBottom w:val="0"/>
      <w:divBdr>
        <w:top w:val="none" w:sz="0" w:space="0" w:color="auto"/>
        <w:left w:val="none" w:sz="0" w:space="0" w:color="auto"/>
        <w:bottom w:val="none" w:sz="0" w:space="0" w:color="auto"/>
        <w:right w:val="none" w:sz="0" w:space="0" w:color="auto"/>
      </w:divBdr>
    </w:div>
    <w:div w:id="1903055954">
      <w:bodyDiv w:val="1"/>
      <w:marLeft w:val="0"/>
      <w:marRight w:val="0"/>
      <w:marTop w:val="0"/>
      <w:marBottom w:val="0"/>
      <w:divBdr>
        <w:top w:val="none" w:sz="0" w:space="0" w:color="auto"/>
        <w:left w:val="none" w:sz="0" w:space="0" w:color="auto"/>
        <w:bottom w:val="none" w:sz="0" w:space="0" w:color="auto"/>
        <w:right w:val="none" w:sz="0" w:space="0" w:color="auto"/>
      </w:divBdr>
    </w:div>
    <w:div w:id="1903177059">
      <w:bodyDiv w:val="1"/>
      <w:marLeft w:val="0"/>
      <w:marRight w:val="0"/>
      <w:marTop w:val="0"/>
      <w:marBottom w:val="0"/>
      <w:divBdr>
        <w:top w:val="none" w:sz="0" w:space="0" w:color="auto"/>
        <w:left w:val="none" w:sz="0" w:space="0" w:color="auto"/>
        <w:bottom w:val="none" w:sz="0" w:space="0" w:color="auto"/>
        <w:right w:val="none" w:sz="0" w:space="0" w:color="auto"/>
      </w:divBdr>
    </w:div>
    <w:div w:id="1903254515">
      <w:bodyDiv w:val="1"/>
      <w:marLeft w:val="0"/>
      <w:marRight w:val="0"/>
      <w:marTop w:val="0"/>
      <w:marBottom w:val="0"/>
      <w:divBdr>
        <w:top w:val="none" w:sz="0" w:space="0" w:color="auto"/>
        <w:left w:val="none" w:sz="0" w:space="0" w:color="auto"/>
        <w:bottom w:val="none" w:sz="0" w:space="0" w:color="auto"/>
        <w:right w:val="none" w:sz="0" w:space="0" w:color="auto"/>
      </w:divBdr>
    </w:div>
    <w:div w:id="1903368312">
      <w:bodyDiv w:val="1"/>
      <w:marLeft w:val="0"/>
      <w:marRight w:val="0"/>
      <w:marTop w:val="0"/>
      <w:marBottom w:val="0"/>
      <w:divBdr>
        <w:top w:val="none" w:sz="0" w:space="0" w:color="auto"/>
        <w:left w:val="none" w:sz="0" w:space="0" w:color="auto"/>
        <w:bottom w:val="none" w:sz="0" w:space="0" w:color="auto"/>
        <w:right w:val="none" w:sz="0" w:space="0" w:color="auto"/>
      </w:divBdr>
    </w:div>
    <w:div w:id="1903372617">
      <w:bodyDiv w:val="1"/>
      <w:marLeft w:val="0"/>
      <w:marRight w:val="0"/>
      <w:marTop w:val="0"/>
      <w:marBottom w:val="0"/>
      <w:divBdr>
        <w:top w:val="none" w:sz="0" w:space="0" w:color="auto"/>
        <w:left w:val="none" w:sz="0" w:space="0" w:color="auto"/>
        <w:bottom w:val="none" w:sz="0" w:space="0" w:color="auto"/>
        <w:right w:val="none" w:sz="0" w:space="0" w:color="auto"/>
      </w:divBdr>
    </w:div>
    <w:div w:id="1903442569">
      <w:bodyDiv w:val="1"/>
      <w:marLeft w:val="0"/>
      <w:marRight w:val="0"/>
      <w:marTop w:val="0"/>
      <w:marBottom w:val="0"/>
      <w:divBdr>
        <w:top w:val="none" w:sz="0" w:space="0" w:color="auto"/>
        <w:left w:val="none" w:sz="0" w:space="0" w:color="auto"/>
        <w:bottom w:val="none" w:sz="0" w:space="0" w:color="auto"/>
        <w:right w:val="none" w:sz="0" w:space="0" w:color="auto"/>
      </w:divBdr>
    </w:div>
    <w:div w:id="1903522885">
      <w:bodyDiv w:val="1"/>
      <w:marLeft w:val="0"/>
      <w:marRight w:val="0"/>
      <w:marTop w:val="0"/>
      <w:marBottom w:val="0"/>
      <w:divBdr>
        <w:top w:val="none" w:sz="0" w:space="0" w:color="auto"/>
        <w:left w:val="none" w:sz="0" w:space="0" w:color="auto"/>
        <w:bottom w:val="none" w:sz="0" w:space="0" w:color="auto"/>
        <w:right w:val="none" w:sz="0" w:space="0" w:color="auto"/>
      </w:divBdr>
    </w:div>
    <w:div w:id="1903566648">
      <w:bodyDiv w:val="1"/>
      <w:marLeft w:val="0"/>
      <w:marRight w:val="0"/>
      <w:marTop w:val="0"/>
      <w:marBottom w:val="0"/>
      <w:divBdr>
        <w:top w:val="none" w:sz="0" w:space="0" w:color="auto"/>
        <w:left w:val="none" w:sz="0" w:space="0" w:color="auto"/>
        <w:bottom w:val="none" w:sz="0" w:space="0" w:color="auto"/>
        <w:right w:val="none" w:sz="0" w:space="0" w:color="auto"/>
      </w:divBdr>
    </w:div>
    <w:div w:id="1903710739">
      <w:bodyDiv w:val="1"/>
      <w:marLeft w:val="0"/>
      <w:marRight w:val="0"/>
      <w:marTop w:val="0"/>
      <w:marBottom w:val="0"/>
      <w:divBdr>
        <w:top w:val="none" w:sz="0" w:space="0" w:color="auto"/>
        <w:left w:val="none" w:sz="0" w:space="0" w:color="auto"/>
        <w:bottom w:val="none" w:sz="0" w:space="0" w:color="auto"/>
        <w:right w:val="none" w:sz="0" w:space="0" w:color="auto"/>
      </w:divBdr>
    </w:div>
    <w:div w:id="1903829301">
      <w:bodyDiv w:val="1"/>
      <w:marLeft w:val="0"/>
      <w:marRight w:val="0"/>
      <w:marTop w:val="0"/>
      <w:marBottom w:val="0"/>
      <w:divBdr>
        <w:top w:val="none" w:sz="0" w:space="0" w:color="auto"/>
        <w:left w:val="none" w:sz="0" w:space="0" w:color="auto"/>
        <w:bottom w:val="none" w:sz="0" w:space="0" w:color="auto"/>
        <w:right w:val="none" w:sz="0" w:space="0" w:color="auto"/>
      </w:divBdr>
    </w:div>
    <w:div w:id="1903903713">
      <w:bodyDiv w:val="1"/>
      <w:marLeft w:val="0"/>
      <w:marRight w:val="0"/>
      <w:marTop w:val="0"/>
      <w:marBottom w:val="0"/>
      <w:divBdr>
        <w:top w:val="none" w:sz="0" w:space="0" w:color="auto"/>
        <w:left w:val="none" w:sz="0" w:space="0" w:color="auto"/>
        <w:bottom w:val="none" w:sz="0" w:space="0" w:color="auto"/>
        <w:right w:val="none" w:sz="0" w:space="0" w:color="auto"/>
      </w:divBdr>
    </w:div>
    <w:div w:id="1904096001">
      <w:bodyDiv w:val="1"/>
      <w:marLeft w:val="0"/>
      <w:marRight w:val="0"/>
      <w:marTop w:val="0"/>
      <w:marBottom w:val="0"/>
      <w:divBdr>
        <w:top w:val="none" w:sz="0" w:space="0" w:color="auto"/>
        <w:left w:val="none" w:sz="0" w:space="0" w:color="auto"/>
        <w:bottom w:val="none" w:sz="0" w:space="0" w:color="auto"/>
        <w:right w:val="none" w:sz="0" w:space="0" w:color="auto"/>
      </w:divBdr>
    </w:div>
    <w:div w:id="1904101589">
      <w:bodyDiv w:val="1"/>
      <w:marLeft w:val="0"/>
      <w:marRight w:val="0"/>
      <w:marTop w:val="0"/>
      <w:marBottom w:val="0"/>
      <w:divBdr>
        <w:top w:val="none" w:sz="0" w:space="0" w:color="auto"/>
        <w:left w:val="none" w:sz="0" w:space="0" w:color="auto"/>
        <w:bottom w:val="none" w:sz="0" w:space="0" w:color="auto"/>
        <w:right w:val="none" w:sz="0" w:space="0" w:color="auto"/>
      </w:divBdr>
    </w:div>
    <w:div w:id="1904214565">
      <w:bodyDiv w:val="1"/>
      <w:marLeft w:val="0"/>
      <w:marRight w:val="0"/>
      <w:marTop w:val="0"/>
      <w:marBottom w:val="0"/>
      <w:divBdr>
        <w:top w:val="none" w:sz="0" w:space="0" w:color="auto"/>
        <w:left w:val="none" w:sz="0" w:space="0" w:color="auto"/>
        <w:bottom w:val="none" w:sz="0" w:space="0" w:color="auto"/>
        <w:right w:val="none" w:sz="0" w:space="0" w:color="auto"/>
      </w:divBdr>
    </w:div>
    <w:div w:id="1904217575">
      <w:bodyDiv w:val="1"/>
      <w:marLeft w:val="0"/>
      <w:marRight w:val="0"/>
      <w:marTop w:val="0"/>
      <w:marBottom w:val="0"/>
      <w:divBdr>
        <w:top w:val="none" w:sz="0" w:space="0" w:color="auto"/>
        <w:left w:val="none" w:sz="0" w:space="0" w:color="auto"/>
        <w:bottom w:val="none" w:sz="0" w:space="0" w:color="auto"/>
        <w:right w:val="none" w:sz="0" w:space="0" w:color="auto"/>
      </w:divBdr>
    </w:div>
    <w:div w:id="1904290856">
      <w:bodyDiv w:val="1"/>
      <w:marLeft w:val="0"/>
      <w:marRight w:val="0"/>
      <w:marTop w:val="0"/>
      <w:marBottom w:val="0"/>
      <w:divBdr>
        <w:top w:val="none" w:sz="0" w:space="0" w:color="auto"/>
        <w:left w:val="none" w:sz="0" w:space="0" w:color="auto"/>
        <w:bottom w:val="none" w:sz="0" w:space="0" w:color="auto"/>
        <w:right w:val="none" w:sz="0" w:space="0" w:color="auto"/>
      </w:divBdr>
    </w:div>
    <w:div w:id="1904412110">
      <w:bodyDiv w:val="1"/>
      <w:marLeft w:val="0"/>
      <w:marRight w:val="0"/>
      <w:marTop w:val="0"/>
      <w:marBottom w:val="0"/>
      <w:divBdr>
        <w:top w:val="none" w:sz="0" w:space="0" w:color="auto"/>
        <w:left w:val="none" w:sz="0" w:space="0" w:color="auto"/>
        <w:bottom w:val="none" w:sz="0" w:space="0" w:color="auto"/>
        <w:right w:val="none" w:sz="0" w:space="0" w:color="auto"/>
      </w:divBdr>
    </w:div>
    <w:div w:id="1904412345">
      <w:bodyDiv w:val="1"/>
      <w:marLeft w:val="0"/>
      <w:marRight w:val="0"/>
      <w:marTop w:val="0"/>
      <w:marBottom w:val="0"/>
      <w:divBdr>
        <w:top w:val="none" w:sz="0" w:space="0" w:color="auto"/>
        <w:left w:val="none" w:sz="0" w:space="0" w:color="auto"/>
        <w:bottom w:val="none" w:sz="0" w:space="0" w:color="auto"/>
        <w:right w:val="none" w:sz="0" w:space="0" w:color="auto"/>
      </w:divBdr>
    </w:div>
    <w:div w:id="1904675264">
      <w:bodyDiv w:val="1"/>
      <w:marLeft w:val="0"/>
      <w:marRight w:val="0"/>
      <w:marTop w:val="0"/>
      <w:marBottom w:val="0"/>
      <w:divBdr>
        <w:top w:val="none" w:sz="0" w:space="0" w:color="auto"/>
        <w:left w:val="none" w:sz="0" w:space="0" w:color="auto"/>
        <w:bottom w:val="none" w:sz="0" w:space="0" w:color="auto"/>
        <w:right w:val="none" w:sz="0" w:space="0" w:color="auto"/>
      </w:divBdr>
    </w:div>
    <w:div w:id="1904679597">
      <w:bodyDiv w:val="1"/>
      <w:marLeft w:val="0"/>
      <w:marRight w:val="0"/>
      <w:marTop w:val="0"/>
      <w:marBottom w:val="0"/>
      <w:divBdr>
        <w:top w:val="none" w:sz="0" w:space="0" w:color="auto"/>
        <w:left w:val="none" w:sz="0" w:space="0" w:color="auto"/>
        <w:bottom w:val="none" w:sz="0" w:space="0" w:color="auto"/>
        <w:right w:val="none" w:sz="0" w:space="0" w:color="auto"/>
      </w:divBdr>
    </w:div>
    <w:div w:id="1904825382">
      <w:bodyDiv w:val="1"/>
      <w:marLeft w:val="0"/>
      <w:marRight w:val="0"/>
      <w:marTop w:val="0"/>
      <w:marBottom w:val="0"/>
      <w:divBdr>
        <w:top w:val="none" w:sz="0" w:space="0" w:color="auto"/>
        <w:left w:val="none" w:sz="0" w:space="0" w:color="auto"/>
        <w:bottom w:val="none" w:sz="0" w:space="0" w:color="auto"/>
        <w:right w:val="none" w:sz="0" w:space="0" w:color="auto"/>
      </w:divBdr>
    </w:div>
    <w:div w:id="1904832300">
      <w:bodyDiv w:val="1"/>
      <w:marLeft w:val="0"/>
      <w:marRight w:val="0"/>
      <w:marTop w:val="0"/>
      <w:marBottom w:val="0"/>
      <w:divBdr>
        <w:top w:val="none" w:sz="0" w:space="0" w:color="auto"/>
        <w:left w:val="none" w:sz="0" w:space="0" w:color="auto"/>
        <w:bottom w:val="none" w:sz="0" w:space="0" w:color="auto"/>
        <w:right w:val="none" w:sz="0" w:space="0" w:color="auto"/>
      </w:divBdr>
    </w:div>
    <w:div w:id="1904947788">
      <w:bodyDiv w:val="1"/>
      <w:marLeft w:val="0"/>
      <w:marRight w:val="0"/>
      <w:marTop w:val="0"/>
      <w:marBottom w:val="0"/>
      <w:divBdr>
        <w:top w:val="none" w:sz="0" w:space="0" w:color="auto"/>
        <w:left w:val="none" w:sz="0" w:space="0" w:color="auto"/>
        <w:bottom w:val="none" w:sz="0" w:space="0" w:color="auto"/>
        <w:right w:val="none" w:sz="0" w:space="0" w:color="auto"/>
      </w:divBdr>
    </w:div>
    <w:div w:id="1904951812">
      <w:bodyDiv w:val="1"/>
      <w:marLeft w:val="0"/>
      <w:marRight w:val="0"/>
      <w:marTop w:val="0"/>
      <w:marBottom w:val="0"/>
      <w:divBdr>
        <w:top w:val="none" w:sz="0" w:space="0" w:color="auto"/>
        <w:left w:val="none" w:sz="0" w:space="0" w:color="auto"/>
        <w:bottom w:val="none" w:sz="0" w:space="0" w:color="auto"/>
        <w:right w:val="none" w:sz="0" w:space="0" w:color="auto"/>
      </w:divBdr>
    </w:div>
    <w:div w:id="1905022124">
      <w:bodyDiv w:val="1"/>
      <w:marLeft w:val="0"/>
      <w:marRight w:val="0"/>
      <w:marTop w:val="0"/>
      <w:marBottom w:val="0"/>
      <w:divBdr>
        <w:top w:val="none" w:sz="0" w:space="0" w:color="auto"/>
        <w:left w:val="none" w:sz="0" w:space="0" w:color="auto"/>
        <w:bottom w:val="none" w:sz="0" w:space="0" w:color="auto"/>
        <w:right w:val="none" w:sz="0" w:space="0" w:color="auto"/>
      </w:divBdr>
    </w:div>
    <w:div w:id="1905026030">
      <w:bodyDiv w:val="1"/>
      <w:marLeft w:val="0"/>
      <w:marRight w:val="0"/>
      <w:marTop w:val="0"/>
      <w:marBottom w:val="0"/>
      <w:divBdr>
        <w:top w:val="none" w:sz="0" w:space="0" w:color="auto"/>
        <w:left w:val="none" w:sz="0" w:space="0" w:color="auto"/>
        <w:bottom w:val="none" w:sz="0" w:space="0" w:color="auto"/>
        <w:right w:val="none" w:sz="0" w:space="0" w:color="auto"/>
      </w:divBdr>
    </w:div>
    <w:div w:id="1905094803">
      <w:bodyDiv w:val="1"/>
      <w:marLeft w:val="0"/>
      <w:marRight w:val="0"/>
      <w:marTop w:val="0"/>
      <w:marBottom w:val="0"/>
      <w:divBdr>
        <w:top w:val="none" w:sz="0" w:space="0" w:color="auto"/>
        <w:left w:val="none" w:sz="0" w:space="0" w:color="auto"/>
        <w:bottom w:val="none" w:sz="0" w:space="0" w:color="auto"/>
        <w:right w:val="none" w:sz="0" w:space="0" w:color="auto"/>
      </w:divBdr>
    </w:div>
    <w:div w:id="1905095944">
      <w:bodyDiv w:val="1"/>
      <w:marLeft w:val="0"/>
      <w:marRight w:val="0"/>
      <w:marTop w:val="0"/>
      <w:marBottom w:val="0"/>
      <w:divBdr>
        <w:top w:val="none" w:sz="0" w:space="0" w:color="auto"/>
        <w:left w:val="none" w:sz="0" w:space="0" w:color="auto"/>
        <w:bottom w:val="none" w:sz="0" w:space="0" w:color="auto"/>
        <w:right w:val="none" w:sz="0" w:space="0" w:color="auto"/>
      </w:divBdr>
    </w:div>
    <w:div w:id="1905137393">
      <w:bodyDiv w:val="1"/>
      <w:marLeft w:val="0"/>
      <w:marRight w:val="0"/>
      <w:marTop w:val="0"/>
      <w:marBottom w:val="0"/>
      <w:divBdr>
        <w:top w:val="none" w:sz="0" w:space="0" w:color="auto"/>
        <w:left w:val="none" w:sz="0" w:space="0" w:color="auto"/>
        <w:bottom w:val="none" w:sz="0" w:space="0" w:color="auto"/>
        <w:right w:val="none" w:sz="0" w:space="0" w:color="auto"/>
      </w:divBdr>
    </w:div>
    <w:div w:id="1905141371">
      <w:bodyDiv w:val="1"/>
      <w:marLeft w:val="0"/>
      <w:marRight w:val="0"/>
      <w:marTop w:val="0"/>
      <w:marBottom w:val="0"/>
      <w:divBdr>
        <w:top w:val="none" w:sz="0" w:space="0" w:color="auto"/>
        <w:left w:val="none" w:sz="0" w:space="0" w:color="auto"/>
        <w:bottom w:val="none" w:sz="0" w:space="0" w:color="auto"/>
        <w:right w:val="none" w:sz="0" w:space="0" w:color="auto"/>
      </w:divBdr>
    </w:div>
    <w:div w:id="1905211420">
      <w:bodyDiv w:val="1"/>
      <w:marLeft w:val="0"/>
      <w:marRight w:val="0"/>
      <w:marTop w:val="0"/>
      <w:marBottom w:val="0"/>
      <w:divBdr>
        <w:top w:val="none" w:sz="0" w:space="0" w:color="auto"/>
        <w:left w:val="none" w:sz="0" w:space="0" w:color="auto"/>
        <w:bottom w:val="none" w:sz="0" w:space="0" w:color="auto"/>
        <w:right w:val="none" w:sz="0" w:space="0" w:color="auto"/>
      </w:divBdr>
    </w:div>
    <w:div w:id="1905289144">
      <w:bodyDiv w:val="1"/>
      <w:marLeft w:val="0"/>
      <w:marRight w:val="0"/>
      <w:marTop w:val="0"/>
      <w:marBottom w:val="0"/>
      <w:divBdr>
        <w:top w:val="none" w:sz="0" w:space="0" w:color="auto"/>
        <w:left w:val="none" w:sz="0" w:space="0" w:color="auto"/>
        <w:bottom w:val="none" w:sz="0" w:space="0" w:color="auto"/>
        <w:right w:val="none" w:sz="0" w:space="0" w:color="auto"/>
      </w:divBdr>
    </w:div>
    <w:div w:id="1905410340">
      <w:bodyDiv w:val="1"/>
      <w:marLeft w:val="0"/>
      <w:marRight w:val="0"/>
      <w:marTop w:val="0"/>
      <w:marBottom w:val="0"/>
      <w:divBdr>
        <w:top w:val="none" w:sz="0" w:space="0" w:color="auto"/>
        <w:left w:val="none" w:sz="0" w:space="0" w:color="auto"/>
        <w:bottom w:val="none" w:sz="0" w:space="0" w:color="auto"/>
        <w:right w:val="none" w:sz="0" w:space="0" w:color="auto"/>
      </w:divBdr>
    </w:div>
    <w:div w:id="1905410967">
      <w:bodyDiv w:val="1"/>
      <w:marLeft w:val="0"/>
      <w:marRight w:val="0"/>
      <w:marTop w:val="0"/>
      <w:marBottom w:val="0"/>
      <w:divBdr>
        <w:top w:val="none" w:sz="0" w:space="0" w:color="auto"/>
        <w:left w:val="none" w:sz="0" w:space="0" w:color="auto"/>
        <w:bottom w:val="none" w:sz="0" w:space="0" w:color="auto"/>
        <w:right w:val="none" w:sz="0" w:space="0" w:color="auto"/>
      </w:divBdr>
    </w:div>
    <w:div w:id="1905531506">
      <w:bodyDiv w:val="1"/>
      <w:marLeft w:val="0"/>
      <w:marRight w:val="0"/>
      <w:marTop w:val="0"/>
      <w:marBottom w:val="0"/>
      <w:divBdr>
        <w:top w:val="none" w:sz="0" w:space="0" w:color="auto"/>
        <w:left w:val="none" w:sz="0" w:space="0" w:color="auto"/>
        <w:bottom w:val="none" w:sz="0" w:space="0" w:color="auto"/>
        <w:right w:val="none" w:sz="0" w:space="0" w:color="auto"/>
      </w:divBdr>
    </w:div>
    <w:div w:id="1905793492">
      <w:bodyDiv w:val="1"/>
      <w:marLeft w:val="0"/>
      <w:marRight w:val="0"/>
      <w:marTop w:val="0"/>
      <w:marBottom w:val="0"/>
      <w:divBdr>
        <w:top w:val="none" w:sz="0" w:space="0" w:color="auto"/>
        <w:left w:val="none" w:sz="0" w:space="0" w:color="auto"/>
        <w:bottom w:val="none" w:sz="0" w:space="0" w:color="auto"/>
        <w:right w:val="none" w:sz="0" w:space="0" w:color="auto"/>
      </w:divBdr>
    </w:div>
    <w:div w:id="1905800224">
      <w:bodyDiv w:val="1"/>
      <w:marLeft w:val="0"/>
      <w:marRight w:val="0"/>
      <w:marTop w:val="0"/>
      <w:marBottom w:val="0"/>
      <w:divBdr>
        <w:top w:val="none" w:sz="0" w:space="0" w:color="auto"/>
        <w:left w:val="none" w:sz="0" w:space="0" w:color="auto"/>
        <w:bottom w:val="none" w:sz="0" w:space="0" w:color="auto"/>
        <w:right w:val="none" w:sz="0" w:space="0" w:color="auto"/>
      </w:divBdr>
    </w:div>
    <w:div w:id="1906065136">
      <w:bodyDiv w:val="1"/>
      <w:marLeft w:val="0"/>
      <w:marRight w:val="0"/>
      <w:marTop w:val="0"/>
      <w:marBottom w:val="0"/>
      <w:divBdr>
        <w:top w:val="none" w:sz="0" w:space="0" w:color="auto"/>
        <w:left w:val="none" w:sz="0" w:space="0" w:color="auto"/>
        <w:bottom w:val="none" w:sz="0" w:space="0" w:color="auto"/>
        <w:right w:val="none" w:sz="0" w:space="0" w:color="auto"/>
      </w:divBdr>
    </w:div>
    <w:div w:id="1906140046">
      <w:bodyDiv w:val="1"/>
      <w:marLeft w:val="0"/>
      <w:marRight w:val="0"/>
      <w:marTop w:val="0"/>
      <w:marBottom w:val="0"/>
      <w:divBdr>
        <w:top w:val="none" w:sz="0" w:space="0" w:color="auto"/>
        <w:left w:val="none" w:sz="0" w:space="0" w:color="auto"/>
        <w:bottom w:val="none" w:sz="0" w:space="0" w:color="auto"/>
        <w:right w:val="none" w:sz="0" w:space="0" w:color="auto"/>
      </w:divBdr>
    </w:div>
    <w:div w:id="1906184850">
      <w:bodyDiv w:val="1"/>
      <w:marLeft w:val="0"/>
      <w:marRight w:val="0"/>
      <w:marTop w:val="0"/>
      <w:marBottom w:val="0"/>
      <w:divBdr>
        <w:top w:val="none" w:sz="0" w:space="0" w:color="auto"/>
        <w:left w:val="none" w:sz="0" w:space="0" w:color="auto"/>
        <w:bottom w:val="none" w:sz="0" w:space="0" w:color="auto"/>
        <w:right w:val="none" w:sz="0" w:space="0" w:color="auto"/>
      </w:divBdr>
    </w:div>
    <w:div w:id="1906256032">
      <w:bodyDiv w:val="1"/>
      <w:marLeft w:val="0"/>
      <w:marRight w:val="0"/>
      <w:marTop w:val="0"/>
      <w:marBottom w:val="0"/>
      <w:divBdr>
        <w:top w:val="none" w:sz="0" w:space="0" w:color="auto"/>
        <w:left w:val="none" w:sz="0" w:space="0" w:color="auto"/>
        <w:bottom w:val="none" w:sz="0" w:space="0" w:color="auto"/>
        <w:right w:val="none" w:sz="0" w:space="0" w:color="auto"/>
      </w:divBdr>
    </w:div>
    <w:div w:id="1906405630">
      <w:bodyDiv w:val="1"/>
      <w:marLeft w:val="0"/>
      <w:marRight w:val="0"/>
      <w:marTop w:val="0"/>
      <w:marBottom w:val="0"/>
      <w:divBdr>
        <w:top w:val="none" w:sz="0" w:space="0" w:color="auto"/>
        <w:left w:val="none" w:sz="0" w:space="0" w:color="auto"/>
        <w:bottom w:val="none" w:sz="0" w:space="0" w:color="auto"/>
        <w:right w:val="none" w:sz="0" w:space="0" w:color="auto"/>
      </w:divBdr>
    </w:div>
    <w:div w:id="1906602761">
      <w:bodyDiv w:val="1"/>
      <w:marLeft w:val="0"/>
      <w:marRight w:val="0"/>
      <w:marTop w:val="0"/>
      <w:marBottom w:val="0"/>
      <w:divBdr>
        <w:top w:val="none" w:sz="0" w:space="0" w:color="auto"/>
        <w:left w:val="none" w:sz="0" w:space="0" w:color="auto"/>
        <w:bottom w:val="none" w:sz="0" w:space="0" w:color="auto"/>
        <w:right w:val="none" w:sz="0" w:space="0" w:color="auto"/>
      </w:divBdr>
    </w:div>
    <w:div w:id="1906602866">
      <w:bodyDiv w:val="1"/>
      <w:marLeft w:val="0"/>
      <w:marRight w:val="0"/>
      <w:marTop w:val="0"/>
      <w:marBottom w:val="0"/>
      <w:divBdr>
        <w:top w:val="none" w:sz="0" w:space="0" w:color="auto"/>
        <w:left w:val="none" w:sz="0" w:space="0" w:color="auto"/>
        <w:bottom w:val="none" w:sz="0" w:space="0" w:color="auto"/>
        <w:right w:val="none" w:sz="0" w:space="0" w:color="auto"/>
      </w:divBdr>
    </w:div>
    <w:div w:id="1906641032">
      <w:bodyDiv w:val="1"/>
      <w:marLeft w:val="0"/>
      <w:marRight w:val="0"/>
      <w:marTop w:val="0"/>
      <w:marBottom w:val="0"/>
      <w:divBdr>
        <w:top w:val="none" w:sz="0" w:space="0" w:color="auto"/>
        <w:left w:val="none" w:sz="0" w:space="0" w:color="auto"/>
        <w:bottom w:val="none" w:sz="0" w:space="0" w:color="auto"/>
        <w:right w:val="none" w:sz="0" w:space="0" w:color="auto"/>
      </w:divBdr>
    </w:div>
    <w:div w:id="1906791410">
      <w:bodyDiv w:val="1"/>
      <w:marLeft w:val="0"/>
      <w:marRight w:val="0"/>
      <w:marTop w:val="0"/>
      <w:marBottom w:val="0"/>
      <w:divBdr>
        <w:top w:val="none" w:sz="0" w:space="0" w:color="auto"/>
        <w:left w:val="none" w:sz="0" w:space="0" w:color="auto"/>
        <w:bottom w:val="none" w:sz="0" w:space="0" w:color="auto"/>
        <w:right w:val="none" w:sz="0" w:space="0" w:color="auto"/>
      </w:divBdr>
    </w:div>
    <w:div w:id="1906797230">
      <w:bodyDiv w:val="1"/>
      <w:marLeft w:val="0"/>
      <w:marRight w:val="0"/>
      <w:marTop w:val="0"/>
      <w:marBottom w:val="0"/>
      <w:divBdr>
        <w:top w:val="none" w:sz="0" w:space="0" w:color="auto"/>
        <w:left w:val="none" w:sz="0" w:space="0" w:color="auto"/>
        <w:bottom w:val="none" w:sz="0" w:space="0" w:color="auto"/>
        <w:right w:val="none" w:sz="0" w:space="0" w:color="auto"/>
      </w:divBdr>
    </w:div>
    <w:div w:id="1906840232">
      <w:bodyDiv w:val="1"/>
      <w:marLeft w:val="0"/>
      <w:marRight w:val="0"/>
      <w:marTop w:val="0"/>
      <w:marBottom w:val="0"/>
      <w:divBdr>
        <w:top w:val="none" w:sz="0" w:space="0" w:color="auto"/>
        <w:left w:val="none" w:sz="0" w:space="0" w:color="auto"/>
        <w:bottom w:val="none" w:sz="0" w:space="0" w:color="auto"/>
        <w:right w:val="none" w:sz="0" w:space="0" w:color="auto"/>
      </w:divBdr>
    </w:div>
    <w:div w:id="1906841882">
      <w:bodyDiv w:val="1"/>
      <w:marLeft w:val="0"/>
      <w:marRight w:val="0"/>
      <w:marTop w:val="0"/>
      <w:marBottom w:val="0"/>
      <w:divBdr>
        <w:top w:val="none" w:sz="0" w:space="0" w:color="auto"/>
        <w:left w:val="none" w:sz="0" w:space="0" w:color="auto"/>
        <w:bottom w:val="none" w:sz="0" w:space="0" w:color="auto"/>
        <w:right w:val="none" w:sz="0" w:space="0" w:color="auto"/>
      </w:divBdr>
    </w:div>
    <w:div w:id="1906917393">
      <w:bodyDiv w:val="1"/>
      <w:marLeft w:val="0"/>
      <w:marRight w:val="0"/>
      <w:marTop w:val="0"/>
      <w:marBottom w:val="0"/>
      <w:divBdr>
        <w:top w:val="none" w:sz="0" w:space="0" w:color="auto"/>
        <w:left w:val="none" w:sz="0" w:space="0" w:color="auto"/>
        <w:bottom w:val="none" w:sz="0" w:space="0" w:color="auto"/>
        <w:right w:val="none" w:sz="0" w:space="0" w:color="auto"/>
      </w:divBdr>
    </w:div>
    <w:div w:id="1907180552">
      <w:bodyDiv w:val="1"/>
      <w:marLeft w:val="0"/>
      <w:marRight w:val="0"/>
      <w:marTop w:val="0"/>
      <w:marBottom w:val="0"/>
      <w:divBdr>
        <w:top w:val="none" w:sz="0" w:space="0" w:color="auto"/>
        <w:left w:val="none" w:sz="0" w:space="0" w:color="auto"/>
        <w:bottom w:val="none" w:sz="0" w:space="0" w:color="auto"/>
        <w:right w:val="none" w:sz="0" w:space="0" w:color="auto"/>
      </w:divBdr>
    </w:div>
    <w:div w:id="1907259382">
      <w:bodyDiv w:val="1"/>
      <w:marLeft w:val="0"/>
      <w:marRight w:val="0"/>
      <w:marTop w:val="0"/>
      <w:marBottom w:val="0"/>
      <w:divBdr>
        <w:top w:val="none" w:sz="0" w:space="0" w:color="auto"/>
        <w:left w:val="none" w:sz="0" w:space="0" w:color="auto"/>
        <w:bottom w:val="none" w:sz="0" w:space="0" w:color="auto"/>
        <w:right w:val="none" w:sz="0" w:space="0" w:color="auto"/>
      </w:divBdr>
    </w:div>
    <w:div w:id="1907260713">
      <w:bodyDiv w:val="1"/>
      <w:marLeft w:val="0"/>
      <w:marRight w:val="0"/>
      <w:marTop w:val="0"/>
      <w:marBottom w:val="0"/>
      <w:divBdr>
        <w:top w:val="none" w:sz="0" w:space="0" w:color="auto"/>
        <w:left w:val="none" w:sz="0" w:space="0" w:color="auto"/>
        <w:bottom w:val="none" w:sz="0" w:space="0" w:color="auto"/>
        <w:right w:val="none" w:sz="0" w:space="0" w:color="auto"/>
      </w:divBdr>
    </w:div>
    <w:div w:id="1907452306">
      <w:bodyDiv w:val="1"/>
      <w:marLeft w:val="0"/>
      <w:marRight w:val="0"/>
      <w:marTop w:val="0"/>
      <w:marBottom w:val="0"/>
      <w:divBdr>
        <w:top w:val="none" w:sz="0" w:space="0" w:color="auto"/>
        <w:left w:val="none" w:sz="0" w:space="0" w:color="auto"/>
        <w:bottom w:val="none" w:sz="0" w:space="0" w:color="auto"/>
        <w:right w:val="none" w:sz="0" w:space="0" w:color="auto"/>
      </w:divBdr>
    </w:div>
    <w:div w:id="1907492762">
      <w:bodyDiv w:val="1"/>
      <w:marLeft w:val="0"/>
      <w:marRight w:val="0"/>
      <w:marTop w:val="0"/>
      <w:marBottom w:val="0"/>
      <w:divBdr>
        <w:top w:val="none" w:sz="0" w:space="0" w:color="auto"/>
        <w:left w:val="none" w:sz="0" w:space="0" w:color="auto"/>
        <w:bottom w:val="none" w:sz="0" w:space="0" w:color="auto"/>
        <w:right w:val="none" w:sz="0" w:space="0" w:color="auto"/>
      </w:divBdr>
    </w:div>
    <w:div w:id="1907494998">
      <w:bodyDiv w:val="1"/>
      <w:marLeft w:val="0"/>
      <w:marRight w:val="0"/>
      <w:marTop w:val="0"/>
      <w:marBottom w:val="0"/>
      <w:divBdr>
        <w:top w:val="none" w:sz="0" w:space="0" w:color="auto"/>
        <w:left w:val="none" w:sz="0" w:space="0" w:color="auto"/>
        <w:bottom w:val="none" w:sz="0" w:space="0" w:color="auto"/>
        <w:right w:val="none" w:sz="0" w:space="0" w:color="auto"/>
      </w:divBdr>
    </w:div>
    <w:div w:id="1907568191">
      <w:bodyDiv w:val="1"/>
      <w:marLeft w:val="0"/>
      <w:marRight w:val="0"/>
      <w:marTop w:val="0"/>
      <w:marBottom w:val="0"/>
      <w:divBdr>
        <w:top w:val="none" w:sz="0" w:space="0" w:color="auto"/>
        <w:left w:val="none" w:sz="0" w:space="0" w:color="auto"/>
        <w:bottom w:val="none" w:sz="0" w:space="0" w:color="auto"/>
        <w:right w:val="none" w:sz="0" w:space="0" w:color="auto"/>
      </w:divBdr>
    </w:div>
    <w:div w:id="1907648063">
      <w:bodyDiv w:val="1"/>
      <w:marLeft w:val="0"/>
      <w:marRight w:val="0"/>
      <w:marTop w:val="0"/>
      <w:marBottom w:val="0"/>
      <w:divBdr>
        <w:top w:val="none" w:sz="0" w:space="0" w:color="auto"/>
        <w:left w:val="none" w:sz="0" w:space="0" w:color="auto"/>
        <w:bottom w:val="none" w:sz="0" w:space="0" w:color="auto"/>
        <w:right w:val="none" w:sz="0" w:space="0" w:color="auto"/>
      </w:divBdr>
    </w:div>
    <w:div w:id="1907832518">
      <w:bodyDiv w:val="1"/>
      <w:marLeft w:val="0"/>
      <w:marRight w:val="0"/>
      <w:marTop w:val="0"/>
      <w:marBottom w:val="0"/>
      <w:divBdr>
        <w:top w:val="none" w:sz="0" w:space="0" w:color="auto"/>
        <w:left w:val="none" w:sz="0" w:space="0" w:color="auto"/>
        <w:bottom w:val="none" w:sz="0" w:space="0" w:color="auto"/>
        <w:right w:val="none" w:sz="0" w:space="0" w:color="auto"/>
      </w:divBdr>
    </w:div>
    <w:div w:id="1907916464">
      <w:bodyDiv w:val="1"/>
      <w:marLeft w:val="0"/>
      <w:marRight w:val="0"/>
      <w:marTop w:val="0"/>
      <w:marBottom w:val="0"/>
      <w:divBdr>
        <w:top w:val="none" w:sz="0" w:space="0" w:color="auto"/>
        <w:left w:val="none" w:sz="0" w:space="0" w:color="auto"/>
        <w:bottom w:val="none" w:sz="0" w:space="0" w:color="auto"/>
        <w:right w:val="none" w:sz="0" w:space="0" w:color="auto"/>
      </w:divBdr>
    </w:div>
    <w:div w:id="1908032866">
      <w:bodyDiv w:val="1"/>
      <w:marLeft w:val="0"/>
      <w:marRight w:val="0"/>
      <w:marTop w:val="0"/>
      <w:marBottom w:val="0"/>
      <w:divBdr>
        <w:top w:val="none" w:sz="0" w:space="0" w:color="auto"/>
        <w:left w:val="none" w:sz="0" w:space="0" w:color="auto"/>
        <w:bottom w:val="none" w:sz="0" w:space="0" w:color="auto"/>
        <w:right w:val="none" w:sz="0" w:space="0" w:color="auto"/>
      </w:divBdr>
    </w:div>
    <w:div w:id="1908102336">
      <w:bodyDiv w:val="1"/>
      <w:marLeft w:val="0"/>
      <w:marRight w:val="0"/>
      <w:marTop w:val="0"/>
      <w:marBottom w:val="0"/>
      <w:divBdr>
        <w:top w:val="none" w:sz="0" w:space="0" w:color="auto"/>
        <w:left w:val="none" w:sz="0" w:space="0" w:color="auto"/>
        <w:bottom w:val="none" w:sz="0" w:space="0" w:color="auto"/>
        <w:right w:val="none" w:sz="0" w:space="0" w:color="auto"/>
      </w:divBdr>
    </w:div>
    <w:div w:id="1908147920">
      <w:bodyDiv w:val="1"/>
      <w:marLeft w:val="0"/>
      <w:marRight w:val="0"/>
      <w:marTop w:val="0"/>
      <w:marBottom w:val="0"/>
      <w:divBdr>
        <w:top w:val="none" w:sz="0" w:space="0" w:color="auto"/>
        <w:left w:val="none" w:sz="0" w:space="0" w:color="auto"/>
        <w:bottom w:val="none" w:sz="0" w:space="0" w:color="auto"/>
        <w:right w:val="none" w:sz="0" w:space="0" w:color="auto"/>
      </w:divBdr>
    </w:div>
    <w:div w:id="1908151676">
      <w:bodyDiv w:val="1"/>
      <w:marLeft w:val="0"/>
      <w:marRight w:val="0"/>
      <w:marTop w:val="0"/>
      <w:marBottom w:val="0"/>
      <w:divBdr>
        <w:top w:val="none" w:sz="0" w:space="0" w:color="auto"/>
        <w:left w:val="none" w:sz="0" w:space="0" w:color="auto"/>
        <w:bottom w:val="none" w:sz="0" w:space="0" w:color="auto"/>
        <w:right w:val="none" w:sz="0" w:space="0" w:color="auto"/>
      </w:divBdr>
    </w:div>
    <w:div w:id="1908177779">
      <w:bodyDiv w:val="1"/>
      <w:marLeft w:val="0"/>
      <w:marRight w:val="0"/>
      <w:marTop w:val="0"/>
      <w:marBottom w:val="0"/>
      <w:divBdr>
        <w:top w:val="none" w:sz="0" w:space="0" w:color="auto"/>
        <w:left w:val="none" w:sz="0" w:space="0" w:color="auto"/>
        <w:bottom w:val="none" w:sz="0" w:space="0" w:color="auto"/>
        <w:right w:val="none" w:sz="0" w:space="0" w:color="auto"/>
      </w:divBdr>
    </w:div>
    <w:div w:id="1908614389">
      <w:bodyDiv w:val="1"/>
      <w:marLeft w:val="0"/>
      <w:marRight w:val="0"/>
      <w:marTop w:val="0"/>
      <w:marBottom w:val="0"/>
      <w:divBdr>
        <w:top w:val="none" w:sz="0" w:space="0" w:color="auto"/>
        <w:left w:val="none" w:sz="0" w:space="0" w:color="auto"/>
        <w:bottom w:val="none" w:sz="0" w:space="0" w:color="auto"/>
        <w:right w:val="none" w:sz="0" w:space="0" w:color="auto"/>
      </w:divBdr>
    </w:div>
    <w:div w:id="1908615118">
      <w:bodyDiv w:val="1"/>
      <w:marLeft w:val="0"/>
      <w:marRight w:val="0"/>
      <w:marTop w:val="0"/>
      <w:marBottom w:val="0"/>
      <w:divBdr>
        <w:top w:val="none" w:sz="0" w:space="0" w:color="auto"/>
        <w:left w:val="none" w:sz="0" w:space="0" w:color="auto"/>
        <w:bottom w:val="none" w:sz="0" w:space="0" w:color="auto"/>
        <w:right w:val="none" w:sz="0" w:space="0" w:color="auto"/>
      </w:divBdr>
    </w:div>
    <w:div w:id="1909067781">
      <w:bodyDiv w:val="1"/>
      <w:marLeft w:val="0"/>
      <w:marRight w:val="0"/>
      <w:marTop w:val="0"/>
      <w:marBottom w:val="0"/>
      <w:divBdr>
        <w:top w:val="none" w:sz="0" w:space="0" w:color="auto"/>
        <w:left w:val="none" w:sz="0" w:space="0" w:color="auto"/>
        <w:bottom w:val="none" w:sz="0" w:space="0" w:color="auto"/>
        <w:right w:val="none" w:sz="0" w:space="0" w:color="auto"/>
      </w:divBdr>
    </w:div>
    <w:div w:id="1909223427">
      <w:bodyDiv w:val="1"/>
      <w:marLeft w:val="0"/>
      <w:marRight w:val="0"/>
      <w:marTop w:val="0"/>
      <w:marBottom w:val="0"/>
      <w:divBdr>
        <w:top w:val="none" w:sz="0" w:space="0" w:color="auto"/>
        <w:left w:val="none" w:sz="0" w:space="0" w:color="auto"/>
        <w:bottom w:val="none" w:sz="0" w:space="0" w:color="auto"/>
        <w:right w:val="none" w:sz="0" w:space="0" w:color="auto"/>
      </w:divBdr>
    </w:div>
    <w:div w:id="1909265296">
      <w:bodyDiv w:val="1"/>
      <w:marLeft w:val="0"/>
      <w:marRight w:val="0"/>
      <w:marTop w:val="0"/>
      <w:marBottom w:val="0"/>
      <w:divBdr>
        <w:top w:val="none" w:sz="0" w:space="0" w:color="auto"/>
        <w:left w:val="none" w:sz="0" w:space="0" w:color="auto"/>
        <w:bottom w:val="none" w:sz="0" w:space="0" w:color="auto"/>
        <w:right w:val="none" w:sz="0" w:space="0" w:color="auto"/>
      </w:divBdr>
    </w:div>
    <w:div w:id="1909269867">
      <w:bodyDiv w:val="1"/>
      <w:marLeft w:val="0"/>
      <w:marRight w:val="0"/>
      <w:marTop w:val="0"/>
      <w:marBottom w:val="0"/>
      <w:divBdr>
        <w:top w:val="none" w:sz="0" w:space="0" w:color="auto"/>
        <w:left w:val="none" w:sz="0" w:space="0" w:color="auto"/>
        <w:bottom w:val="none" w:sz="0" w:space="0" w:color="auto"/>
        <w:right w:val="none" w:sz="0" w:space="0" w:color="auto"/>
      </w:divBdr>
    </w:div>
    <w:div w:id="1909345196">
      <w:bodyDiv w:val="1"/>
      <w:marLeft w:val="0"/>
      <w:marRight w:val="0"/>
      <w:marTop w:val="0"/>
      <w:marBottom w:val="0"/>
      <w:divBdr>
        <w:top w:val="none" w:sz="0" w:space="0" w:color="auto"/>
        <w:left w:val="none" w:sz="0" w:space="0" w:color="auto"/>
        <w:bottom w:val="none" w:sz="0" w:space="0" w:color="auto"/>
        <w:right w:val="none" w:sz="0" w:space="0" w:color="auto"/>
      </w:divBdr>
    </w:div>
    <w:div w:id="1909412271">
      <w:bodyDiv w:val="1"/>
      <w:marLeft w:val="0"/>
      <w:marRight w:val="0"/>
      <w:marTop w:val="0"/>
      <w:marBottom w:val="0"/>
      <w:divBdr>
        <w:top w:val="none" w:sz="0" w:space="0" w:color="auto"/>
        <w:left w:val="none" w:sz="0" w:space="0" w:color="auto"/>
        <w:bottom w:val="none" w:sz="0" w:space="0" w:color="auto"/>
        <w:right w:val="none" w:sz="0" w:space="0" w:color="auto"/>
      </w:divBdr>
    </w:div>
    <w:div w:id="1909462493">
      <w:bodyDiv w:val="1"/>
      <w:marLeft w:val="0"/>
      <w:marRight w:val="0"/>
      <w:marTop w:val="0"/>
      <w:marBottom w:val="0"/>
      <w:divBdr>
        <w:top w:val="none" w:sz="0" w:space="0" w:color="auto"/>
        <w:left w:val="none" w:sz="0" w:space="0" w:color="auto"/>
        <w:bottom w:val="none" w:sz="0" w:space="0" w:color="auto"/>
        <w:right w:val="none" w:sz="0" w:space="0" w:color="auto"/>
      </w:divBdr>
    </w:div>
    <w:div w:id="1909489041">
      <w:bodyDiv w:val="1"/>
      <w:marLeft w:val="0"/>
      <w:marRight w:val="0"/>
      <w:marTop w:val="0"/>
      <w:marBottom w:val="0"/>
      <w:divBdr>
        <w:top w:val="none" w:sz="0" w:space="0" w:color="auto"/>
        <w:left w:val="none" w:sz="0" w:space="0" w:color="auto"/>
        <w:bottom w:val="none" w:sz="0" w:space="0" w:color="auto"/>
        <w:right w:val="none" w:sz="0" w:space="0" w:color="auto"/>
      </w:divBdr>
    </w:div>
    <w:div w:id="1909533397">
      <w:bodyDiv w:val="1"/>
      <w:marLeft w:val="0"/>
      <w:marRight w:val="0"/>
      <w:marTop w:val="0"/>
      <w:marBottom w:val="0"/>
      <w:divBdr>
        <w:top w:val="none" w:sz="0" w:space="0" w:color="auto"/>
        <w:left w:val="none" w:sz="0" w:space="0" w:color="auto"/>
        <w:bottom w:val="none" w:sz="0" w:space="0" w:color="auto"/>
        <w:right w:val="none" w:sz="0" w:space="0" w:color="auto"/>
      </w:divBdr>
    </w:div>
    <w:div w:id="1909537183">
      <w:bodyDiv w:val="1"/>
      <w:marLeft w:val="0"/>
      <w:marRight w:val="0"/>
      <w:marTop w:val="0"/>
      <w:marBottom w:val="0"/>
      <w:divBdr>
        <w:top w:val="none" w:sz="0" w:space="0" w:color="auto"/>
        <w:left w:val="none" w:sz="0" w:space="0" w:color="auto"/>
        <w:bottom w:val="none" w:sz="0" w:space="0" w:color="auto"/>
        <w:right w:val="none" w:sz="0" w:space="0" w:color="auto"/>
      </w:divBdr>
    </w:div>
    <w:div w:id="1909607221">
      <w:bodyDiv w:val="1"/>
      <w:marLeft w:val="0"/>
      <w:marRight w:val="0"/>
      <w:marTop w:val="0"/>
      <w:marBottom w:val="0"/>
      <w:divBdr>
        <w:top w:val="none" w:sz="0" w:space="0" w:color="auto"/>
        <w:left w:val="none" w:sz="0" w:space="0" w:color="auto"/>
        <w:bottom w:val="none" w:sz="0" w:space="0" w:color="auto"/>
        <w:right w:val="none" w:sz="0" w:space="0" w:color="auto"/>
      </w:divBdr>
    </w:div>
    <w:div w:id="1909657079">
      <w:bodyDiv w:val="1"/>
      <w:marLeft w:val="0"/>
      <w:marRight w:val="0"/>
      <w:marTop w:val="0"/>
      <w:marBottom w:val="0"/>
      <w:divBdr>
        <w:top w:val="none" w:sz="0" w:space="0" w:color="auto"/>
        <w:left w:val="none" w:sz="0" w:space="0" w:color="auto"/>
        <w:bottom w:val="none" w:sz="0" w:space="0" w:color="auto"/>
        <w:right w:val="none" w:sz="0" w:space="0" w:color="auto"/>
      </w:divBdr>
    </w:div>
    <w:div w:id="1909725219">
      <w:bodyDiv w:val="1"/>
      <w:marLeft w:val="0"/>
      <w:marRight w:val="0"/>
      <w:marTop w:val="0"/>
      <w:marBottom w:val="0"/>
      <w:divBdr>
        <w:top w:val="none" w:sz="0" w:space="0" w:color="auto"/>
        <w:left w:val="none" w:sz="0" w:space="0" w:color="auto"/>
        <w:bottom w:val="none" w:sz="0" w:space="0" w:color="auto"/>
        <w:right w:val="none" w:sz="0" w:space="0" w:color="auto"/>
      </w:divBdr>
    </w:div>
    <w:div w:id="1909730462">
      <w:bodyDiv w:val="1"/>
      <w:marLeft w:val="0"/>
      <w:marRight w:val="0"/>
      <w:marTop w:val="0"/>
      <w:marBottom w:val="0"/>
      <w:divBdr>
        <w:top w:val="none" w:sz="0" w:space="0" w:color="auto"/>
        <w:left w:val="none" w:sz="0" w:space="0" w:color="auto"/>
        <w:bottom w:val="none" w:sz="0" w:space="0" w:color="auto"/>
        <w:right w:val="none" w:sz="0" w:space="0" w:color="auto"/>
      </w:divBdr>
    </w:div>
    <w:div w:id="1909805291">
      <w:bodyDiv w:val="1"/>
      <w:marLeft w:val="0"/>
      <w:marRight w:val="0"/>
      <w:marTop w:val="0"/>
      <w:marBottom w:val="0"/>
      <w:divBdr>
        <w:top w:val="none" w:sz="0" w:space="0" w:color="auto"/>
        <w:left w:val="none" w:sz="0" w:space="0" w:color="auto"/>
        <w:bottom w:val="none" w:sz="0" w:space="0" w:color="auto"/>
        <w:right w:val="none" w:sz="0" w:space="0" w:color="auto"/>
      </w:divBdr>
    </w:div>
    <w:div w:id="1909807503">
      <w:bodyDiv w:val="1"/>
      <w:marLeft w:val="0"/>
      <w:marRight w:val="0"/>
      <w:marTop w:val="0"/>
      <w:marBottom w:val="0"/>
      <w:divBdr>
        <w:top w:val="none" w:sz="0" w:space="0" w:color="auto"/>
        <w:left w:val="none" w:sz="0" w:space="0" w:color="auto"/>
        <w:bottom w:val="none" w:sz="0" w:space="0" w:color="auto"/>
        <w:right w:val="none" w:sz="0" w:space="0" w:color="auto"/>
      </w:divBdr>
    </w:div>
    <w:div w:id="1909807531">
      <w:bodyDiv w:val="1"/>
      <w:marLeft w:val="0"/>
      <w:marRight w:val="0"/>
      <w:marTop w:val="0"/>
      <w:marBottom w:val="0"/>
      <w:divBdr>
        <w:top w:val="none" w:sz="0" w:space="0" w:color="auto"/>
        <w:left w:val="none" w:sz="0" w:space="0" w:color="auto"/>
        <w:bottom w:val="none" w:sz="0" w:space="0" w:color="auto"/>
        <w:right w:val="none" w:sz="0" w:space="0" w:color="auto"/>
      </w:divBdr>
    </w:div>
    <w:div w:id="1910068529">
      <w:bodyDiv w:val="1"/>
      <w:marLeft w:val="0"/>
      <w:marRight w:val="0"/>
      <w:marTop w:val="0"/>
      <w:marBottom w:val="0"/>
      <w:divBdr>
        <w:top w:val="none" w:sz="0" w:space="0" w:color="auto"/>
        <w:left w:val="none" w:sz="0" w:space="0" w:color="auto"/>
        <w:bottom w:val="none" w:sz="0" w:space="0" w:color="auto"/>
        <w:right w:val="none" w:sz="0" w:space="0" w:color="auto"/>
      </w:divBdr>
    </w:div>
    <w:div w:id="1910119215">
      <w:bodyDiv w:val="1"/>
      <w:marLeft w:val="0"/>
      <w:marRight w:val="0"/>
      <w:marTop w:val="0"/>
      <w:marBottom w:val="0"/>
      <w:divBdr>
        <w:top w:val="none" w:sz="0" w:space="0" w:color="auto"/>
        <w:left w:val="none" w:sz="0" w:space="0" w:color="auto"/>
        <w:bottom w:val="none" w:sz="0" w:space="0" w:color="auto"/>
        <w:right w:val="none" w:sz="0" w:space="0" w:color="auto"/>
      </w:divBdr>
    </w:div>
    <w:div w:id="1910185129">
      <w:bodyDiv w:val="1"/>
      <w:marLeft w:val="0"/>
      <w:marRight w:val="0"/>
      <w:marTop w:val="0"/>
      <w:marBottom w:val="0"/>
      <w:divBdr>
        <w:top w:val="none" w:sz="0" w:space="0" w:color="auto"/>
        <w:left w:val="none" w:sz="0" w:space="0" w:color="auto"/>
        <w:bottom w:val="none" w:sz="0" w:space="0" w:color="auto"/>
        <w:right w:val="none" w:sz="0" w:space="0" w:color="auto"/>
      </w:divBdr>
    </w:div>
    <w:div w:id="1910269995">
      <w:bodyDiv w:val="1"/>
      <w:marLeft w:val="0"/>
      <w:marRight w:val="0"/>
      <w:marTop w:val="0"/>
      <w:marBottom w:val="0"/>
      <w:divBdr>
        <w:top w:val="none" w:sz="0" w:space="0" w:color="auto"/>
        <w:left w:val="none" w:sz="0" w:space="0" w:color="auto"/>
        <w:bottom w:val="none" w:sz="0" w:space="0" w:color="auto"/>
        <w:right w:val="none" w:sz="0" w:space="0" w:color="auto"/>
      </w:divBdr>
    </w:div>
    <w:div w:id="1910378679">
      <w:bodyDiv w:val="1"/>
      <w:marLeft w:val="0"/>
      <w:marRight w:val="0"/>
      <w:marTop w:val="0"/>
      <w:marBottom w:val="0"/>
      <w:divBdr>
        <w:top w:val="none" w:sz="0" w:space="0" w:color="auto"/>
        <w:left w:val="none" w:sz="0" w:space="0" w:color="auto"/>
        <w:bottom w:val="none" w:sz="0" w:space="0" w:color="auto"/>
        <w:right w:val="none" w:sz="0" w:space="0" w:color="auto"/>
      </w:divBdr>
    </w:div>
    <w:div w:id="1910380239">
      <w:bodyDiv w:val="1"/>
      <w:marLeft w:val="0"/>
      <w:marRight w:val="0"/>
      <w:marTop w:val="0"/>
      <w:marBottom w:val="0"/>
      <w:divBdr>
        <w:top w:val="none" w:sz="0" w:space="0" w:color="auto"/>
        <w:left w:val="none" w:sz="0" w:space="0" w:color="auto"/>
        <w:bottom w:val="none" w:sz="0" w:space="0" w:color="auto"/>
        <w:right w:val="none" w:sz="0" w:space="0" w:color="auto"/>
      </w:divBdr>
    </w:div>
    <w:div w:id="1910530150">
      <w:bodyDiv w:val="1"/>
      <w:marLeft w:val="0"/>
      <w:marRight w:val="0"/>
      <w:marTop w:val="0"/>
      <w:marBottom w:val="0"/>
      <w:divBdr>
        <w:top w:val="none" w:sz="0" w:space="0" w:color="auto"/>
        <w:left w:val="none" w:sz="0" w:space="0" w:color="auto"/>
        <w:bottom w:val="none" w:sz="0" w:space="0" w:color="auto"/>
        <w:right w:val="none" w:sz="0" w:space="0" w:color="auto"/>
      </w:divBdr>
    </w:div>
    <w:div w:id="1910537890">
      <w:bodyDiv w:val="1"/>
      <w:marLeft w:val="0"/>
      <w:marRight w:val="0"/>
      <w:marTop w:val="0"/>
      <w:marBottom w:val="0"/>
      <w:divBdr>
        <w:top w:val="none" w:sz="0" w:space="0" w:color="auto"/>
        <w:left w:val="none" w:sz="0" w:space="0" w:color="auto"/>
        <w:bottom w:val="none" w:sz="0" w:space="0" w:color="auto"/>
        <w:right w:val="none" w:sz="0" w:space="0" w:color="auto"/>
      </w:divBdr>
    </w:div>
    <w:div w:id="1910729597">
      <w:bodyDiv w:val="1"/>
      <w:marLeft w:val="0"/>
      <w:marRight w:val="0"/>
      <w:marTop w:val="0"/>
      <w:marBottom w:val="0"/>
      <w:divBdr>
        <w:top w:val="none" w:sz="0" w:space="0" w:color="auto"/>
        <w:left w:val="none" w:sz="0" w:space="0" w:color="auto"/>
        <w:bottom w:val="none" w:sz="0" w:space="0" w:color="auto"/>
        <w:right w:val="none" w:sz="0" w:space="0" w:color="auto"/>
      </w:divBdr>
    </w:div>
    <w:div w:id="1910841071">
      <w:bodyDiv w:val="1"/>
      <w:marLeft w:val="0"/>
      <w:marRight w:val="0"/>
      <w:marTop w:val="0"/>
      <w:marBottom w:val="0"/>
      <w:divBdr>
        <w:top w:val="none" w:sz="0" w:space="0" w:color="auto"/>
        <w:left w:val="none" w:sz="0" w:space="0" w:color="auto"/>
        <w:bottom w:val="none" w:sz="0" w:space="0" w:color="auto"/>
        <w:right w:val="none" w:sz="0" w:space="0" w:color="auto"/>
      </w:divBdr>
    </w:div>
    <w:div w:id="1910918906">
      <w:bodyDiv w:val="1"/>
      <w:marLeft w:val="0"/>
      <w:marRight w:val="0"/>
      <w:marTop w:val="0"/>
      <w:marBottom w:val="0"/>
      <w:divBdr>
        <w:top w:val="none" w:sz="0" w:space="0" w:color="auto"/>
        <w:left w:val="none" w:sz="0" w:space="0" w:color="auto"/>
        <w:bottom w:val="none" w:sz="0" w:space="0" w:color="auto"/>
        <w:right w:val="none" w:sz="0" w:space="0" w:color="auto"/>
      </w:divBdr>
    </w:div>
    <w:div w:id="1910996261">
      <w:bodyDiv w:val="1"/>
      <w:marLeft w:val="0"/>
      <w:marRight w:val="0"/>
      <w:marTop w:val="0"/>
      <w:marBottom w:val="0"/>
      <w:divBdr>
        <w:top w:val="none" w:sz="0" w:space="0" w:color="auto"/>
        <w:left w:val="none" w:sz="0" w:space="0" w:color="auto"/>
        <w:bottom w:val="none" w:sz="0" w:space="0" w:color="auto"/>
        <w:right w:val="none" w:sz="0" w:space="0" w:color="auto"/>
      </w:divBdr>
    </w:div>
    <w:div w:id="1911186226">
      <w:bodyDiv w:val="1"/>
      <w:marLeft w:val="0"/>
      <w:marRight w:val="0"/>
      <w:marTop w:val="0"/>
      <w:marBottom w:val="0"/>
      <w:divBdr>
        <w:top w:val="none" w:sz="0" w:space="0" w:color="auto"/>
        <w:left w:val="none" w:sz="0" w:space="0" w:color="auto"/>
        <w:bottom w:val="none" w:sz="0" w:space="0" w:color="auto"/>
        <w:right w:val="none" w:sz="0" w:space="0" w:color="auto"/>
      </w:divBdr>
    </w:div>
    <w:div w:id="1911187279">
      <w:bodyDiv w:val="1"/>
      <w:marLeft w:val="0"/>
      <w:marRight w:val="0"/>
      <w:marTop w:val="0"/>
      <w:marBottom w:val="0"/>
      <w:divBdr>
        <w:top w:val="none" w:sz="0" w:space="0" w:color="auto"/>
        <w:left w:val="none" w:sz="0" w:space="0" w:color="auto"/>
        <w:bottom w:val="none" w:sz="0" w:space="0" w:color="auto"/>
        <w:right w:val="none" w:sz="0" w:space="0" w:color="auto"/>
      </w:divBdr>
    </w:div>
    <w:div w:id="1911227082">
      <w:bodyDiv w:val="1"/>
      <w:marLeft w:val="0"/>
      <w:marRight w:val="0"/>
      <w:marTop w:val="0"/>
      <w:marBottom w:val="0"/>
      <w:divBdr>
        <w:top w:val="none" w:sz="0" w:space="0" w:color="auto"/>
        <w:left w:val="none" w:sz="0" w:space="0" w:color="auto"/>
        <w:bottom w:val="none" w:sz="0" w:space="0" w:color="auto"/>
        <w:right w:val="none" w:sz="0" w:space="0" w:color="auto"/>
      </w:divBdr>
    </w:div>
    <w:div w:id="1911228562">
      <w:bodyDiv w:val="1"/>
      <w:marLeft w:val="0"/>
      <w:marRight w:val="0"/>
      <w:marTop w:val="0"/>
      <w:marBottom w:val="0"/>
      <w:divBdr>
        <w:top w:val="none" w:sz="0" w:space="0" w:color="auto"/>
        <w:left w:val="none" w:sz="0" w:space="0" w:color="auto"/>
        <w:bottom w:val="none" w:sz="0" w:space="0" w:color="auto"/>
        <w:right w:val="none" w:sz="0" w:space="0" w:color="auto"/>
      </w:divBdr>
    </w:div>
    <w:div w:id="1911234318">
      <w:bodyDiv w:val="1"/>
      <w:marLeft w:val="0"/>
      <w:marRight w:val="0"/>
      <w:marTop w:val="0"/>
      <w:marBottom w:val="0"/>
      <w:divBdr>
        <w:top w:val="none" w:sz="0" w:space="0" w:color="auto"/>
        <w:left w:val="none" w:sz="0" w:space="0" w:color="auto"/>
        <w:bottom w:val="none" w:sz="0" w:space="0" w:color="auto"/>
        <w:right w:val="none" w:sz="0" w:space="0" w:color="auto"/>
      </w:divBdr>
    </w:div>
    <w:div w:id="1911311654">
      <w:bodyDiv w:val="1"/>
      <w:marLeft w:val="0"/>
      <w:marRight w:val="0"/>
      <w:marTop w:val="0"/>
      <w:marBottom w:val="0"/>
      <w:divBdr>
        <w:top w:val="none" w:sz="0" w:space="0" w:color="auto"/>
        <w:left w:val="none" w:sz="0" w:space="0" w:color="auto"/>
        <w:bottom w:val="none" w:sz="0" w:space="0" w:color="auto"/>
        <w:right w:val="none" w:sz="0" w:space="0" w:color="auto"/>
      </w:divBdr>
    </w:div>
    <w:div w:id="1911428011">
      <w:bodyDiv w:val="1"/>
      <w:marLeft w:val="0"/>
      <w:marRight w:val="0"/>
      <w:marTop w:val="0"/>
      <w:marBottom w:val="0"/>
      <w:divBdr>
        <w:top w:val="none" w:sz="0" w:space="0" w:color="auto"/>
        <w:left w:val="none" w:sz="0" w:space="0" w:color="auto"/>
        <w:bottom w:val="none" w:sz="0" w:space="0" w:color="auto"/>
        <w:right w:val="none" w:sz="0" w:space="0" w:color="auto"/>
      </w:divBdr>
    </w:div>
    <w:div w:id="1911453075">
      <w:bodyDiv w:val="1"/>
      <w:marLeft w:val="0"/>
      <w:marRight w:val="0"/>
      <w:marTop w:val="0"/>
      <w:marBottom w:val="0"/>
      <w:divBdr>
        <w:top w:val="none" w:sz="0" w:space="0" w:color="auto"/>
        <w:left w:val="none" w:sz="0" w:space="0" w:color="auto"/>
        <w:bottom w:val="none" w:sz="0" w:space="0" w:color="auto"/>
        <w:right w:val="none" w:sz="0" w:space="0" w:color="auto"/>
      </w:divBdr>
    </w:div>
    <w:div w:id="1911571786">
      <w:bodyDiv w:val="1"/>
      <w:marLeft w:val="0"/>
      <w:marRight w:val="0"/>
      <w:marTop w:val="0"/>
      <w:marBottom w:val="0"/>
      <w:divBdr>
        <w:top w:val="none" w:sz="0" w:space="0" w:color="auto"/>
        <w:left w:val="none" w:sz="0" w:space="0" w:color="auto"/>
        <w:bottom w:val="none" w:sz="0" w:space="0" w:color="auto"/>
        <w:right w:val="none" w:sz="0" w:space="0" w:color="auto"/>
      </w:divBdr>
    </w:div>
    <w:div w:id="1911576944">
      <w:bodyDiv w:val="1"/>
      <w:marLeft w:val="0"/>
      <w:marRight w:val="0"/>
      <w:marTop w:val="0"/>
      <w:marBottom w:val="0"/>
      <w:divBdr>
        <w:top w:val="none" w:sz="0" w:space="0" w:color="auto"/>
        <w:left w:val="none" w:sz="0" w:space="0" w:color="auto"/>
        <w:bottom w:val="none" w:sz="0" w:space="0" w:color="auto"/>
        <w:right w:val="none" w:sz="0" w:space="0" w:color="auto"/>
      </w:divBdr>
    </w:div>
    <w:div w:id="1911646939">
      <w:bodyDiv w:val="1"/>
      <w:marLeft w:val="0"/>
      <w:marRight w:val="0"/>
      <w:marTop w:val="0"/>
      <w:marBottom w:val="0"/>
      <w:divBdr>
        <w:top w:val="none" w:sz="0" w:space="0" w:color="auto"/>
        <w:left w:val="none" w:sz="0" w:space="0" w:color="auto"/>
        <w:bottom w:val="none" w:sz="0" w:space="0" w:color="auto"/>
        <w:right w:val="none" w:sz="0" w:space="0" w:color="auto"/>
      </w:divBdr>
    </w:div>
    <w:div w:id="1911694948">
      <w:bodyDiv w:val="1"/>
      <w:marLeft w:val="0"/>
      <w:marRight w:val="0"/>
      <w:marTop w:val="0"/>
      <w:marBottom w:val="0"/>
      <w:divBdr>
        <w:top w:val="none" w:sz="0" w:space="0" w:color="auto"/>
        <w:left w:val="none" w:sz="0" w:space="0" w:color="auto"/>
        <w:bottom w:val="none" w:sz="0" w:space="0" w:color="auto"/>
        <w:right w:val="none" w:sz="0" w:space="0" w:color="auto"/>
      </w:divBdr>
    </w:div>
    <w:div w:id="1911840747">
      <w:bodyDiv w:val="1"/>
      <w:marLeft w:val="0"/>
      <w:marRight w:val="0"/>
      <w:marTop w:val="0"/>
      <w:marBottom w:val="0"/>
      <w:divBdr>
        <w:top w:val="none" w:sz="0" w:space="0" w:color="auto"/>
        <w:left w:val="none" w:sz="0" w:space="0" w:color="auto"/>
        <w:bottom w:val="none" w:sz="0" w:space="0" w:color="auto"/>
        <w:right w:val="none" w:sz="0" w:space="0" w:color="auto"/>
      </w:divBdr>
    </w:div>
    <w:div w:id="1911891739">
      <w:bodyDiv w:val="1"/>
      <w:marLeft w:val="0"/>
      <w:marRight w:val="0"/>
      <w:marTop w:val="0"/>
      <w:marBottom w:val="0"/>
      <w:divBdr>
        <w:top w:val="none" w:sz="0" w:space="0" w:color="auto"/>
        <w:left w:val="none" w:sz="0" w:space="0" w:color="auto"/>
        <w:bottom w:val="none" w:sz="0" w:space="0" w:color="auto"/>
        <w:right w:val="none" w:sz="0" w:space="0" w:color="auto"/>
      </w:divBdr>
    </w:div>
    <w:div w:id="1911958083">
      <w:bodyDiv w:val="1"/>
      <w:marLeft w:val="0"/>
      <w:marRight w:val="0"/>
      <w:marTop w:val="0"/>
      <w:marBottom w:val="0"/>
      <w:divBdr>
        <w:top w:val="none" w:sz="0" w:space="0" w:color="auto"/>
        <w:left w:val="none" w:sz="0" w:space="0" w:color="auto"/>
        <w:bottom w:val="none" w:sz="0" w:space="0" w:color="auto"/>
        <w:right w:val="none" w:sz="0" w:space="0" w:color="auto"/>
      </w:divBdr>
    </w:div>
    <w:div w:id="1912080024">
      <w:bodyDiv w:val="1"/>
      <w:marLeft w:val="0"/>
      <w:marRight w:val="0"/>
      <w:marTop w:val="0"/>
      <w:marBottom w:val="0"/>
      <w:divBdr>
        <w:top w:val="none" w:sz="0" w:space="0" w:color="auto"/>
        <w:left w:val="none" w:sz="0" w:space="0" w:color="auto"/>
        <w:bottom w:val="none" w:sz="0" w:space="0" w:color="auto"/>
        <w:right w:val="none" w:sz="0" w:space="0" w:color="auto"/>
      </w:divBdr>
    </w:div>
    <w:div w:id="1912081056">
      <w:bodyDiv w:val="1"/>
      <w:marLeft w:val="0"/>
      <w:marRight w:val="0"/>
      <w:marTop w:val="0"/>
      <w:marBottom w:val="0"/>
      <w:divBdr>
        <w:top w:val="none" w:sz="0" w:space="0" w:color="auto"/>
        <w:left w:val="none" w:sz="0" w:space="0" w:color="auto"/>
        <w:bottom w:val="none" w:sz="0" w:space="0" w:color="auto"/>
        <w:right w:val="none" w:sz="0" w:space="0" w:color="auto"/>
      </w:divBdr>
    </w:div>
    <w:div w:id="1912108666">
      <w:bodyDiv w:val="1"/>
      <w:marLeft w:val="0"/>
      <w:marRight w:val="0"/>
      <w:marTop w:val="0"/>
      <w:marBottom w:val="0"/>
      <w:divBdr>
        <w:top w:val="none" w:sz="0" w:space="0" w:color="auto"/>
        <w:left w:val="none" w:sz="0" w:space="0" w:color="auto"/>
        <w:bottom w:val="none" w:sz="0" w:space="0" w:color="auto"/>
        <w:right w:val="none" w:sz="0" w:space="0" w:color="auto"/>
      </w:divBdr>
    </w:div>
    <w:div w:id="1912152889">
      <w:bodyDiv w:val="1"/>
      <w:marLeft w:val="0"/>
      <w:marRight w:val="0"/>
      <w:marTop w:val="0"/>
      <w:marBottom w:val="0"/>
      <w:divBdr>
        <w:top w:val="none" w:sz="0" w:space="0" w:color="auto"/>
        <w:left w:val="none" w:sz="0" w:space="0" w:color="auto"/>
        <w:bottom w:val="none" w:sz="0" w:space="0" w:color="auto"/>
        <w:right w:val="none" w:sz="0" w:space="0" w:color="auto"/>
      </w:divBdr>
    </w:div>
    <w:div w:id="1912158616">
      <w:bodyDiv w:val="1"/>
      <w:marLeft w:val="0"/>
      <w:marRight w:val="0"/>
      <w:marTop w:val="0"/>
      <w:marBottom w:val="0"/>
      <w:divBdr>
        <w:top w:val="none" w:sz="0" w:space="0" w:color="auto"/>
        <w:left w:val="none" w:sz="0" w:space="0" w:color="auto"/>
        <w:bottom w:val="none" w:sz="0" w:space="0" w:color="auto"/>
        <w:right w:val="none" w:sz="0" w:space="0" w:color="auto"/>
      </w:divBdr>
    </w:div>
    <w:div w:id="1912275348">
      <w:bodyDiv w:val="1"/>
      <w:marLeft w:val="0"/>
      <w:marRight w:val="0"/>
      <w:marTop w:val="0"/>
      <w:marBottom w:val="0"/>
      <w:divBdr>
        <w:top w:val="none" w:sz="0" w:space="0" w:color="auto"/>
        <w:left w:val="none" w:sz="0" w:space="0" w:color="auto"/>
        <w:bottom w:val="none" w:sz="0" w:space="0" w:color="auto"/>
        <w:right w:val="none" w:sz="0" w:space="0" w:color="auto"/>
      </w:divBdr>
    </w:div>
    <w:div w:id="1912426468">
      <w:bodyDiv w:val="1"/>
      <w:marLeft w:val="0"/>
      <w:marRight w:val="0"/>
      <w:marTop w:val="0"/>
      <w:marBottom w:val="0"/>
      <w:divBdr>
        <w:top w:val="none" w:sz="0" w:space="0" w:color="auto"/>
        <w:left w:val="none" w:sz="0" w:space="0" w:color="auto"/>
        <w:bottom w:val="none" w:sz="0" w:space="0" w:color="auto"/>
        <w:right w:val="none" w:sz="0" w:space="0" w:color="auto"/>
      </w:divBdr>
    </w:div>
    <w:div w:id="1912427753">
      <w:bodyDiv w:val="1"/>
      <w:marLeft w:val="0"/>
      <w:marRight w:val="0"/>
      <w:marTop w:val="0"/>
      <w:marBottom w:val="0"/>
      <w:divBdr>
        <w:top w:val="none" w:sz="0" w:space="0" w:color="auto"/>
        <w:left w:val="none" w:sz="0" w:space="0" w:color="auto"/>
        <w:bottom w:val="none" w:sz="0" w:space="0" w:color="auto"/>
        <w:right w:val="none" w:sz="0" w:space="0" w:color="auto"/>
      </w:divBdr>
    </w:div>
    <w:div w:id="1912428138">
      <w:bodyDiv w:val="1"/>
      <w:marLeft w:val="0"/>
      <w:marRight w:val="0"/>
      <w:marTop w:val="0"/>
      <w:marBottom w:val="0"/>
      <w:divBdr>
        <w:top w:val="none" w:sz="0" w:space="0" w:color="auto"/>
        <w:left w:val="none" w:sz="0" w:space="0" w:color="auto"/>
        <w:bottom w:val="none" w:sz="0" w:space="0" w:color="auto"/>
        <w:right w:val="none" w:sz="0" w:space="0" w:color="auto"/>
      </w:divBdr>
    </w:div>
    <w:div w:id="1912428332">
      <w:bodyDiv w:val="1"/>
      <w:marLeft w:val="0"/>
      <w:marRight w:val="0"/>
      <w:marTop w:val="0"/>
      <w:marBottom w:val="0"/>
      <w:divBdr>
        <w:top w:val="none" w:sz="0" w:space="0" w:color="auto"/>
        <w:left w:val="none" w:sz="0" w:space="0" w:color="auto"/>
        <w:bottom w:val="none" w:sz="0" w:space="0" w:color="auto"/>
        <w:right w:val="none" w:sz="0" w:space="0" w:color="auto"/>
      </w:divBdr>
    </w:div>
    <w:div w:id="1912891021">
      <w:bodyDiv w:val="1"/>
      <w:marLeft w:val="0"/>
      <w:marRight w:val="0"/>
      <w:marTop w:val="0"/>
      <w:marBottom w:val="0"/>
      <w:divBdr>
        <w:top w:val="none" w:sz="0" w:space="0" w:color="auto"/>
        <w:left w:val="none" w:sz="0" w:space="0" w:color="auto"/>
        <w:bottom w:val="none" w:sz="0" w:space="0" w:color="auto"/>
        <w:right w:val="none" w:sz="0" w:space="0" w:color="auto"/>
      </w:divBdr>
    </w:div>
    <w:div w:id="1912930531">
      <w:bodyDiv w:val="1"/>
      <w:marLeft w:val="0"/>
      <w:marRight w:val="0"/>
      <w:marTop w:val="0"/>
      <w:marBottom w:val="0"/>
      <w:divBdr>
        <w:top w:val="none" w:sz="0" w:space="0" w:color="auto"/>
        <w:left w:val="none" w:sz="0" w:space="0" w:color="auto"/>
        <w:bottom w:val="none" w:sz="0" w:space="0" w:color="auto"/>
        <w:right w:val="none" w:sz="0" w:space="0" w:color="auto"/>
      </w:divBdr>
    </w:div>
    <w:div w:id="1912932963">
      <w:bodyDiv w:val="1"/>
      <w:marLeft w:val="0"/>
      <w:marRight w:val="0"/>
      <w:marTop w:val="0"/>
      <w:marBottom w:val="0"/>
      <w:divBdr>
        <w:top w:val="none" w:sz="0" w:space="0" w:color="auto"/>
        <w:left w:val="none" w:sz="0" w:space="0" w:color="auto"/>
        <w:bottom w:val="none" w:sz="0" w:space="0" w:color="auto"/>
        <w:right w:val="none" w:sz="0" w:space="0" w:color="auto"/>
      </w:divBdr>
    </w:div>
    <w:div w:id="1913000940">
      <w:bodyDiv w:val="1"/>
      <w:marLeft w:val="0"/>
      <w:marRight w:val="0"/>
      <w:marTop w:val="0"/>
      <w:marBottom w:val="0"/>
      <w:divBdr>
        <w:top w:val="none" w:sz="0" w:space="0" w:color="auto"/>
        <w:left w:val="none" w:sz="0" w:space="0" w:color="auto"/>
        <w:bottom w:val="none" w:sz="0" w:space="0" w:color="auto"/>
        <w:right w:val="none" w:sz="0" w:space="0" w:color="auto"/>
      </w:divBdr>
    </w:div>
    <w:div w:id="1913152173">
      <w:bodyDiv w:val="1"/>
      <w:marLeft w:val="0"/>
      <w:marRight w:val="0"/>
      <w:marTop w:val="0"/>
      <w:marBottom w:val="0"/>
      <w:divBdr>
        <w:top w:val="none" w:sz="0" w:space="0" w:color="auto"/>
        <w:left w:val="none" w:sz="0" w:space="0" w:color="auto"/>
        <w:bottom w:val="none" w:sz="0" w:space="0" w:color="auto"/>
        <w:right w:val="none" w:sz="0" w:space="0" w:color="auto"/>
      </w:divBdr>
    </w:div>
    <w:div w:id="1913159206">
      <w:bodyDiv w:val="1"/>
      <w:marLeft w:val="0"/>
      <w:marRight w:val="0"/>
      <w:marTop w:val="0"/>
      <w:marBottom w:val="0"/>
      <w:divBdr>
        <w:top w:val="none" w:sz="0" w:space="0" w:color="auto"/>
        <w:left w:val="none" w:sz="0" w:space="0" w:color="auto"/>
        <w:bottom w:val="none" w:sz="0" w:space="0" w:color="auto"/>
        <w:right w:val="none" w:sz="0" w:space="0" w:color="auto"/>
      </w:divBdr>
    </w:div>
    <w:div w:id="1913194329">
      <w:bodyDiv w:val="1"/>
      <w:marLeft w:val="0"/>
      <w:marRight w:val="0"/>
      <w:marTop w:val="0"/>
      <w:marBottom w:val="0"/>
      <w:divBdr>
        <w:top w:val="none" w:sz="0" w:space="0" w:color="auto"/>
        <w:left w:val="none" w:sz="0" w:space="0" w:color="auto"/>
        <w:bottom w:val="none" w:sz="0" w:space="0" w:color="auto"/>
        <w:right w:val="none" w:sz="0" w:space="0" w:color="auto"/>
      </w:divBdr>
    </w:div>
    <w:div w:id="1913194706">
      <w:bodyDiv w:val="1"/>
      <w:marLeft w:val="0"/>
      <w:marRight w:val="0"/>
      <w:marTop w:val="0"/>
      <w:marBottom w:val="0"/>
      <w:divBdr>
        <w:top w:val="none" w:sz="0" w:space="0" w:color="auto"/>
        <w:left w:val="none" w:sz="0" w:space="0" w:color="auto"/>
        <w:bottom w:val="none" w:sz="0" w:space="0" w:color="auto"/>
        <w:right w:val="none" w:sz="0" w:space="0" w:color="auto"/>
      </w:divBdr>
    </w:div>
    <w:div w:id="1913349541">
      <w:bodyDiv w:val="1"/>
      <w:marLeft w:val="0"/>
      <w:marRight w:val="0"/>
      <w:marTop w:val="0"/>
      <w:marBottom w:val="0"/>
      <w:divBdr>
        <w:top w:val="none" w:sz="0" w:space="0" w:color="auto"/>
        <w:left w:val="none" w:sz="0" w:space="0" w:color="auto"/>
        <w:bottom w:val="none" w:sz="0" w:space="0" w:color="auto"/>
        <w:right w:val="none" w:sz="0" w:space="0" w:color="auto"/>
      </w:divBdr>
    </w:div>
    <w:div w:id="1913420026">
      <w:bodyDiv w:val="1"/>
      <w:marLeft w:val="0"/>
      <w:marRight w:val="0"/>
      <w:marTop w:val="0"/>
      <w:marBottom w:val="0"/>
      <w:divBdr>
        <w:top w:val="none" w:sz="0" w:space="0" w:color="auto"/>
        <w:left w:val="none" w:sz="0" w:space="0" w:color="auto"/>
        <w:bottom w:val="none" w:sz="0" w:space="0" w:color="auto"/>
        <w:right w:val="none" w:sz="0" w:space="0" w:color="auto"/>
      </w:divBdr>
    </w:div>
    <w:div w:id="1913464505">
      <w:bodyDiv w:val="1"/>
      <w:marLeft w:val="0"/>
      <w:marRight w:val="0"/>
      <w:marTop w:val="0"/>
      <w:marBottom w:val="0"/>
      <w:divBdr>
        <w:top w:val="none" w:sz="0" w:space="0" w:color="auto"/>
        <w:left w:val="none" w:sz="0" w:space="0" w:color="auto"/>
        <w:bottom w:val="none" w:sz="0" w:space="0" w:color="auto"/>
        <w:right w:val="none" w:sz="0" w:space="0" w:color="auto"/>
      </w:divBdr>
    </w:div>
    <w:div w:id="1913536813">
      <w:bodyDiv w:val="1"/>
      <w:marLeft w:val="0"/>
      <w:marRight w:val="0"/>
      <w:marTop w:val="0"/>
      <w:marBottom w:val="0"/>
      <w:divBdr>
        <w:top w:val="none" w:sz="0" w:space="0" w:color="auto"/>
        <w:left w:val="none" w:sz="0" w:space="0" w:color="auto"/>
        <w:bottom w:val="none" w:sz="0" w:space="0" w:color="auto"/>
        <w:right w:val="none" w:sz="0" w:space="0" w:color="auto"/>
      </w:divBdr>
    </w:div>
    <w:div w:id="1913661093">
      <w:bodyDiv w:val="1"/>
      <w:marLeft w:val="0"/>
      <w:marRight w:val="0"/>
      <w:marTop w:val="0"/>
      <w:marBottom w:val="0"/>
      <w:divBdr>
        <w:top w:val="none" w:sz="0" w:space="0" w:color="auto"/>
        <w:left w:val="none" w:sz="0" w:space="0" w:color="auto"/>
        <w:bottom w:val="none" w:sz="0" w:space="0" w:color="auto"/>
        <w:right w:val="none" w:sz="0" w:space="0" w:color="auto"/>
      </w:divBdr>
    </w:div>
    <w:div w:id="1913662056">
      <w:bodyDiv w:val="1"/>
      <w:marLeft w:val="0"/>
      <w:marRight w:val="0"/>
      <w:marTop w:val="0"/>
      <w:marBottom w:val="0"/>
      <w:divBdr>
        <w:top w:val="none" w:sz="0" w:space="0" w:color="auto"/>
        <w:left w:val="none" w:sz="0" w:space="0" w:color="auto"/>
        <w:bottom w:val="none" w:sz="0" w:space="0" w:color="auto"/>
        <w:right w:val="none" w:sz="0" w:space="0" w:color="auto"/>
      </w:divBdr>
    </w:div>
    <w:div w:id="1913733109">
      <w:bodyDiv w:val="1"/>
      <w:marLeft w:val="0"/>
      <w:marRight w:val="0"/>
      <w:marTop w:val="0"/>
      <w:marBottom w:val="0"/>
      <w:divBdr>
        <w:top w:val="none" w:sz="0" w:space="0" w:color="auto"/>
        <w:left w:val="none" w:sz="0" w:space="0" w:color="auto"/>
        <w:bottom w:val="none" w:sz="0" w:space="0" w:color="auto"/>
        <w:right w:val="none" w:sz="0" w:space="0" w:color="auto"/>
      </w:divBdr>
    </w:div>
    <w:div w:id="1913739062">
      <w:bodyDiv w:val="1"/>
      <w:marLeft w:val="0"/>
      <w:marRight w:val="0"/>
      <w:marTop w:val="0"/>
      <w:marBottom w:val="0"/>
      <w:divBdr>
        <w:top w:val="none" w:sz="0" w:space="0" w:color="auto"/>
        <w:left w:val="none" w:sz="0" w:space="0" w:color="auto"/>
        <w:bottom w:val="none" w:sz="0" w:space="0" w:color="auto"/>
        <w:right w:val="none" w:sz="0" w:space="0" w:color="auto"/>
      </w:divBdr>
    </w:div>
    <w:div w:id="1913849831">
      <w:bodyDiv w:val="1"/>
      <w:marLeft w:val="0"/>
      <w:marRight w:val="0"/>
      <w:marTop w:val="0"/>
      <w:marBottom w:val="0"/>
      <w:divBdr>
        <w:top w:val="none" w:sz="0" w:space="0" w:color="auto"/>
        <w:left w:val="none" w:sz="0" w:space="0" w:color="auto"/>
        <w:bottom w:val="none" w:sz="0" w:space="0" w:color="auto"/>
        <w:right w:val="none" w:sz="0" w:space="0" w:color="auto"/>
      </w:divBdr>
    </w:div>
    <w:div w:id="1913927034">
      <w:bodyDiv w:val="1"/>
      <w:marLeft w:val="0"/>
      <w:marRight w:val="0"/>
      <w:marTop w:val="0"/>
      <w:marBottom w:val="0"/>
      <w:divBdr>
        <w:top w:val="none" w:sz="0" w:space="0" w:color="auto"/>
        <w:left w:val="none" w:sz="0" w:space="0" w:color="auto"/>
        <w:bottom w:val="none" w:sz="0" w:space="0" w:color="auto"/>
        <w:right w:val="none" w:sz="0" w:space="0" w:color="auto"/>
      </w:divBdr>
    </w:div>
    <w:div w:id="1913999808">
      <w:bodyDiv w:val="1"/>
      <w:marLeft w:val="0"/>
      <w:marRight w:val="0"/>
      <w:marTop w:val="0"/>
      <w:marBottom w:val="0"/>
      <w:divBdr>
        <w:top w:val="none" w:sz="0" w:space="0" w:color="auto"/>
        <w:left w:val="none" w:sz="0" w:space="0" w:color="auto"/>
        <w:bottom w:val="none" w:sz="0" w:space="0" w:color="auto"/>
        <w:right w:val="none" w:sz="0" w:space="0" w:color="auto"/>
      </w:divBdr>
    </w:div>
    <w:div w:id="1914003715">
      <w:bodyDiv w:val="1"/>
      <w:marLeft w:val="0"/>
      <w:marRight w:val="0"/>
      <w:marTop w:val="0"/>
      <w:marBottom w:val="0"/>
      <w:divBdr>
        <w:top w:val="none" w:sz="0" w:space="0" w:color="auto"/>
        <w:left w:val="none" w:sz="0" w:space="0" w:color="auto"/>
        <w:bottom w:val="none" w:sz="0" w:space="0" w:color="auto"/>
        <w:right w:val="none" w:sz="0" w:space="0" w:color="auto"/>
      </w:divBdr>
    </w:div>
    <w:div w:id="1914267705">
      <w:bodyDiv w:val="1"/>
      <w:marLeft w:val="0"/>
      <w:marRight w:val="0"/>
      <w:marTop w:val="0"/>
      <w:marBottom w:val="0"/>
      <w:divBdr>
        <w:top w:val="none" w:sz="0" w:space="0" w:color="auto"/>
        <w:left w:val="none" w:sz="0" w:space="0" w:color="auto"/>
        <w:bottom w:val="none" w:sz="0" w:space="0" w:color="auto"/>
        <w:right w:val="none" w:sz="0" w:space="0" w:color="auto"/>
      </w:divBdr>
    </w:div>
    <w:div w:id="1914268331">
      <w:bodyDiv w:val="1"/>
      <w:marLeft w:val="0"/>
      <w:marRight w:val="0"/>
      <w:marTop w:val="0"/>
      <w:marBottom w:val="0"/>
      <w:divBdr>
        <w:top w:val="none" w:sz="0" w:space="0" w:color="auto"/>
        <w:left w:val="none" w:sz="0" w:space="0" w:color="auto"/>
        <w:bottom w:val="none" w:sz="0" w:space="0" w:color="auto"/>
        <w:right w:val="none" w:sz="0" w:space="0" w:color="auto"/>
      </w:divBdr>
    </w:div>
    <w:div w:id="1914318422">
      <w:bodyDiv w:val="1"/>
      <w:marLeft w:val="0"/>
      <w:marRight w:val="0"/>
      <w:marTop w:val="0"/>
      <w:marBottom w:val="0"/>
      <w:divBdr>
        <w:top w:val="none" w:sz="0" w:space="0" w:color="auto"/>
        <w:left w:val="none" w:sz="0" w:space="0" w:color="auto"/>
        <w:bottom w:val="none" w:sz="0" w:space="0" w:color="auto"/>
        <w:right w:val="none" w:sz="0" w:space="0" w:color="auto"/>
      </w:divBdr>
    </w:div>
    <w:div w:id="1914319041">
      <w:bodyDiv w:val="1"/>
      <w:marLeft w:val="0"/>
      <w:marRight w:val="0"/>
      <w:marTop w:val="0"/>
      <w:marBottom w:val="0"/>
      <w:divBdr>
        <w:top w:val="none" w:sz="0" w:space="0" w:color="auto"/>
        <w:left w:val="none" w:sz="0" w:space="0" w:color="auto"/>
        <w:bottom w:val="none" w:sz="0" w:space="0" w:color="auto"/>
        <w:right w:val="none" w:sz="0" w:space="0" w:color="auto"/>
      </w:divBdr>
    </w:div>
    <w:div w:id="1914385916">
      <w:bodyDiv w:val="1"/>
      <w:marLeft w:val="0"/>
      <w:marRight w:val="0"/>
      <w:marTop w:val="0"/>
      <w:marBottom w:val="0"/>
      <w:divBdr>
        <w:top w:val="none" w:sz="0" w:space="0" w:color="auto"/>
        <w:left w:val="none" w:sz="0" w:space="0" w:color="auto"/>
        <w:bottom w:val="none" w:sz="0" w:space="0" w:color="auto"/>
        <w:right w:val="none" w:sz="0" w:space="0" w:color="auto"/>
      </w:divBdr>
    </w:div>
    <w:div w:id="1914578895">
      <w:bodyDiv w:val="1"/>
      <w:marLeft w:val="0"/>
      <w:marRight w:val="0"/>
      <w:marTop w:val="0"/>
      <w:marBottom w:val="0"/>
      <w:divBdr>
        <w:top w:val="none" w:sz="0" w:space="0" w:color="auto"/>
        <w:left w:val="none" w:sz="0" w:space="0" w:color="auto"/>
        <w:bottom w:val="none" w:sz="0" w:space="0" w:color="auto"/>
        <w:right w:val="none" w:sz="0" w:space="0" w:color="auto"/>
      </w:divBdr>
    </w:div>
    <w:div w:id="1914581031">
      <w:bodyDiv w:val="1"/>
      <w:marLeft w:val="0"/>
      <w:marRight w:val="0"/>
      <w:marTop w:val="0"/>
      <w:marBottom w:val="0"/>
      <w:divBdr>
        <w:top w:val="none" w:sz="0" w:space="0" w:color="auto"/>
        <w:left w:val="none" w:sz="0" w:space="0" w:color="auto"/>
        <w:bottom w:val="none" w:sz="0" w:space="0" w:color="auto"/>
        <w:right w:val="none" w:sz="0" w:space="0" w:color="auto"/>
      </w:divBdr>
    </w:div>
    <w:div w:id="1914582568">
      <w:bodyDiv w:val="1"/>
      <w:marLeft w:val="0"/>
      <w:marRight w:val="0"/>
      <w:marTop w:val="0"/>
      <w:marBottom w:val="0"/>
      <w:divBdr>
        <w:top w:val="none" w:sz="0" w:space="0" w:color="auto"/>
        <w:left w:val="none" w:sz="0" w:space="0" w:color="auto"/>
        <w:bottom w:val="none" w:sz="0" w:space="0" w:color="auto"/>
        <w:right w:val="none" w:sz="0" w:space="0" w:color="auto"/>
      </w:divBdr>
    </w:div>
    <w:div w:id="1914583620">
      <w:bodyDiv w:val="1"/>
      <w:marLeft w:val="0"/>
      <w:marRight w:val="0"/>
      <w:marTop w:val="0"/>
      <w:marBottom w:val="0"/>
      <w:divBdr>
        <w:top w:val="none" w:sz="0" w:space="0" w:color="auto"/>
        <w:left w:val="none" w:sz="0" w:space="0" w:color="auto"/>
        <w:bottom w:val="none" w:sz="0" w:space="0" w:color="auto"/>
        <w:right w:val="none" w:sz="0" w:space="0" w:color="auto"/>
      </w:divBdr>
    </w:div>
    <w:div w:id="1914774850">
      <w:bodyDiv w:val="1"/>
      <w:marLeft w:val="0"/>
      <w:marRight w:val="0"/>
      <w:marTop w:val="0"/>
      <w:marBottom w:val="0"/>
      <w:divBdr>
        <w:top w:val="none" w:sz="0" w:space="0" w:color="auto"/>
        <w:left w:val="none" w:sz="0" w:space="0" w:color="auto"/>
        <w:bottom w:val="none" w:sz="0" w:space="0" w:color="auto"/>
        <w:right w:val="none" w:sz="0" w:space="0" w:color="auto"/>
      </w:divBdr>
    </w:div>
    <w:div w:id="1914850361">
      <w:bodyDiv w:val="1"/>
      <w:marLeft w:val="0"/>
      <w:marRight w:val="0"/>
      <w:marTop w:val="0"/>
      <w:marBottom w:val="0"/>
      <w:divBdr>
        <w:top w:val="none" w:sz="0" w:space="0" w:color="auto"/>
        <w:left w:val="none" w:sz="0" w:space="0" w:color="auto"/>
        <w:bottom w:val="none" w:sz="0" w:space="0" w:color="auto"/>
        <w:right w:val="none" w:sz="0" w:space="0" w:color="auto"/>
      </w:divBdr>
    </w:div>
    <w:div w:id="1914851233">
      <w:bodyDiv w:val="1"/>
      <w:marLeft w:val="0"/>
      <w:marRight w:val="0"/>
      <w:marTop w:val="0"/>
      <w:marBottom w:val="0"/>
      <w:divBdr>
        <w:top w:val="none" w:sz="0" w:space="0" w:color="auto"/>
        <w:left w:val="none" w:sz="0" w:space="0" w:color="auto"/>
        <w:bottom w:val="none" w:sz="0" w:space="0" w:color="auto"/>
        <w:right w:val="none" w:sz="0" w:space="0" w:color="auto"/>
      </w:divBdr>
    </w:div>
    <w:div w:id="1914965489">
      <w:bodyDiv w:val="1"/>
      <w:marLeft w:val="0"/>
      <w:marRight w:val="0"/>
      <w:marTop w:val="0"/>
      <w:marBottom w:val="0"/>
      <w:divBdr>
        <w:top w:val="none" w:sz="0" w:space="0" w:color="auto"/>
        <w:left w:val="none" w:sz="0" w:space="0" w:color="auto"/>
        <w:bottom w:val="none" w:sz="0" w:space="0" w:color="auto"/>
        <w:right w:val="none" w:sz="0" w:space="0" w:color="auto"/>
      </w:divBdr>
    </w:div>
    <w:div w:id="1915116570">
      <w:bodyDiv w:val="1"/>
      <w:marLeft w:val="0"/>
      <w:marRight w:val="0"/>
      <w:marTop w:val="0"/>
      <w:marBottom w:val="0"/>
      <w:divBdr>
        <w:top w:val="none" w:sz="0" w:space="0" w:color="auto"/>
        <w:left w:val="none" w:sz="0" w:space="0" w:color="auto"/>
        <w:bottom w:val="none" w:sz="0" w:space="0" w:color="auto"/>
        <w:right w:val="none" w:sz="0" w:space="0" w:color="auto"/>
      </w:divBdr>
    </w:div>
    <w:div w:id="1915125379">
      <w:bodyDiv w:val="1"/>
      <w:marLeft w:val="0"/>
      <w:marRight w:val="0"/>
      <w:marTop w:val="0"/>
      <w:marBottom w:val="0"/>
      <w:divBdr>
        <w:top w:val="none" w:sz="0" w:space="0" w:color="auto"/>
        <w:left w:val="none" w:sz="0" w:space="0" w:color="auto"/>
        <w:bottom w:val="none" w:sz="0" w:space="0" w:color="auto"/>
        <w:right w:val="none" w:sz="0" w:space="0" w:color="auto"/>
      </w:divBdr>
    </w:div>
    <w:div w:id="1915236812">
      <w:bodyDiv w:val="1"/>
      <w:marLeft w:val="0"/>
      <w:marRight w:val="0"/>
      <w:marTop w:val="0"/>
      <w:marBottom w:val="0"/>
      <w:divBdr>
        <w:top w:val="none" w:sz="0" w:space="0" w:color="auto"/>
        <w:left w:val="none" w:sz="0" w:space="0" w:color="auto"/>
        <w:bottom w:val="none" w:sz="0" w:space="0" w:color="auto"/>
        <w:right w:val="none" w:sz="0" w:space="0" w:color="auto"/>
      </w:divBdr>
    </w:div>
    <w:div w:id="1915309186">
      <w:bodyDiv w:val="1"/>
      <w:marLeft w:val="0"/>
      <w:marRight w:val="0"/>
      <w:marTop w:val="0"/>
      <w:marBottom w:val="0"/>
      <w:divBdr>
        <w:top w:val="none" w:sz="0" w:space="0" w:color="auto"/>
        <w:left w:val="none" w:sz="0" w:space="0" w:color="auto"/>
        <w:bottom w:val="none" w:sz="0" w:space="0" w:color="auto"/>
        <w:right w:val="none" w:sz="0" w:space="0" w:color="auto"/>
      </w:divBdr>
    </w:div>
    <w:div w:id="1915315614">
      <w:bodyDiv w:val="1"/>
      <w:marLeft w:val="0"/>
      <w:marRight w:val="0"/>
      <w:marTop w:val="0"/>
      <w:marBottom w:val="0"/>
      <w:divBdr>
        <w:top w:val="none" w:sz="0" w:space="0" w:color="auto"/>
        <w:left w:val="none" w:sz="0" w:space="0" w:color="auto"/>
        <w:bottom w:val="none" w:sz="0" w:space="0" w:color="auto"/>
        <w:right w:val="none" w:sz="0" w:space="0" w:color="auto"/>
      </w:divBdr>
    </w:div>
    <w:div w:id="1915316937">
      <w:bodyDiv w:val="1"/>
      <w:marLeft w:val="0"/>
      <w:marRight w:val="0"/>
      <w:marTop w:val="0"/>
      <w:marBottom w:val="0"/>
      <w:divBdr>
        <w:top w:val="none" w:sz="0" w:space="0" w:color="auto"/>
        <w:left w:val="none" w:sz="0" w:space="0" w:color="auto"/>
        <w:bottom w:val="none" w:sz="0" w:space="0" w:color="auto"/>
        <w:right w:val="none" w:sz="0" w:space="0" w:color="auto"/>
      </w:divBdr>
    </w:div>
    <w:div w:id="1915428807">
      <w:bodyDiv w:val="1"/>
      <w:marLeft w:val="0"/>
      <w:marRight w:val="0"/>
      <w:marTop w:val="0"/>
      <w:marBottom w:val="0"/>
      <w:divBdr>
        <w:top w:val="none" w:sz="0" w:space="0" w:color="auto"/>
        <w:left w:val="none" w:sz="0" w:space="0" w:color="auto"/>
        <w:bottom w:val="none" w:sz="0" w:space="0" w:color="auto"/>
        <w:right w:val="none" w:sz="0" w:space="0" w:color="auto"/>
      </w:divBdr>
    </w:div>
    <w:div w:id="1915436514">
      <w:bodyDiv w:val="1"/>
      <w:marLeft w:val="0"/>
      <w:marRight w:val="0"/>
      <w:marTop w:val="0"/>
      <w:marBottom w:val="0"/>
      <w:divBdr>
        <w:top w:val="none" w:sz="0" w:space="0" w:color="auto"/>
        <w:left w:val="none" w:sz="0" w:space="0" w:color="auto"/>
        <w:bottom w:val="none" w:sz="0" w:space="0" w:color="auto"/>
        <w:right w:val="none" w:sz="0" w:space="0" w:color="auto"/>
      </w:divBdr>
    </w:div>
    <w:div w:id="1915554631">
      <w:bodyDiv w:val="1"/>
      <w:marLeft w:val="0"/>
      <w:marRight w:val="0"/>
      <w:marTop w:val="0"/>
      <w:marBottom w:val="0"/>
      <w:divBdr>
        <w:top w:val="none" w:sz="0" w:space="0" w:color="auto"/>
        <w:left w:val="none" w:sz="0" w:space="0" w:color="auto"/>
        <w:bottom w:val="none" w:sz="0" w:space="0" w:color="auto"/>
        <w:right w:val="none" w:sz="0" w:space="0" w:color="auto"/>
      </w:divBdr>
    </w:div>
    <w:div w:id="1915703626">
      <w:bodyDiv w:val="1"/>
      <w:marLeft w:val="0"/>
      <w:marRight w:val="0"/>
      <w:marTop w:val="0"/>
      <w:marBottom w:val="0"/>
      <w:divBdr>
        <w:top w:val="none" w:sz="0" w:space="0" w:color="auto"/>
        <w:left w:val="none" w:sz="0" w:space="0" w:color="auto"/>
        <w:bottom w:val="none" w:sz="0" w:space="0" w:color="auto"/>
        <w:right w:val="none" w:sz="0" w:space="0" w:color="auto"/>
      </w:divBdr>
    </w:div>
    <w:div w:id="1915780412">
      <w:bodyDiv w:val="1"/>
      <w:marLeft w:val="0"/>
      <w:marRight w:val="0"/>
      <w:marTop w:val="0"/>
      <w:marBottom w:val="0"/>
      <w:divBdr>
        <w:top w:val="none" w:sz="0" w:space="0" w:color="auto"/>
        <w:left w:val="none" w:sz="0" w:space="0" w:color="auto"/>
        <w:bottom w:val="none" w:sz="0" w:space="0" w:color="auto"/>
        <w:right w:val="none" w:sz="0" w:space="0" w:color="auto"/>
      </w:divBdr>
    </w:div>
    <w:div w:id="1915898541">
      <w:bodyDiv w:val="1"/>
      <w:marLeft w:val="0"/>
      <w:marRight w:val="0"/>
      <w:marTop w:val="0"/>
      <w:marBottom w:val="0"/>
      <w:divBdr>
        <w:top w:val="none" w:sz="0" w:space="0" w:color="auto"/>
        <w:left w:val="none" w:sz="0" w:space="0" w:color="auto"/>
        <w:bottom w:val="none" w:sz="0" w:space="0" w:color="auto"/>
        <w:right w:val="none" w:sz="0" w:space="0" w:color="auto"/>
      </w:divBdr>
    </w:div>
    <w:div w:id="1915966594">
      <w:bodyDiv w:val="1"/>
      <w:marLeft w:val="0"/>
      <w:marRight w:val="0"/>
      <w:marTop w:val="0"/>
      <w:marBottom w:val="0"/>
      <w:divBdr>
        <w:top w:val="none" w:sz="0" w:space="0" w:color="auto"/>
        <w:left w:val="none" w:sz="0" w:space="0" w:color="auto"/>
        <w:bottom w:val="none" w:sz="0" w:space="0" w:color="auto"/>
        <w:right w:val="none" w:sz="0" w:space="0" w:color="auto"/>
      </w:divBdr>
    </w:div>
    <w:div w:id="1915967395">
      <w:bodyDiv w:val="1"/>
      <w:marLeft w:val="0"/>
      <w:marRight w:val="0"/>
      <w:marTop w:val="0"/>
      <w:marBottom w:val="0"/>
      <w:divBdr>
        <w:top w:val="none" w:sz="0" w:space="0" w:color="auto"/>
        <w:left w:val="none" w:sz="0" w:space="0" w:color="auto"/>
        <w:bottom w:val="none" w:sz="0" w:space="0" w:color="auto"/>
        <w:right w:val="none" w:sz="0" w:space="0" w:color="auto"/>
      </w:divBdr>
    </w:div>
    <w:div w:id="1916040971">
      <w:bodyDiv w:val="1"/>
      <w:marLeft w:val="0"/>
      <w:marRight w:val="0"/>
      <w:marTop w:val="0"/>
      <w:marBottom w:val="0"/>
      <w:divBdr>
        <w:top w:val="none" w:sz="0" w:space="0" w:color="auto"/>
        <w:left w:val="none" w:sz="0" w:space="0" w:color="auto"/>
        <w:bottom w:val="none" w:sz="0" w:space="0" w:color="auto"/>
        <w:right w:val="none" w:sz="0" w:space="0" w:color="auto"/>
      </w:divBdr>
    </w:div>
    <w:div w:id="1916085814">
      <w:bodyDiv w:val="1"/>
      <w:marLeft w:val="0"/>
      <w:marRight w:val="0"/>
      <w:marTop w:val="0"/>
      <w:marBottom w:val="0"/>
      <w:divBdr>
        <w:top w:val="none" w:sz="0" w:space="0" w:color="auto"/>
        <w:left w:val="none" w:sz="0" w:space="0" w:color="auto"/>
        <w:bottom w:val="none" w:sz="0" w:space="0" w:color="auto"/>
        <w:right w:val="none" w:sz="0" w:space="0" w:color="auto"/>
      </w:divBdr>
    </w:div>
    <w:div w:id="1916088124">
      <w:bodyDiv w:val="1"/>
      <w:marLeft w:val="0"/>
      <w:marRight w:val="0"/>
      <w:marTop w:val="0"/>
      <w:marBottom w:val="0"/>
      <w:divBdr>
        <w:top w:val="none" w:sz="0" w:space="0" w:color="auto"/>
        <w:left w:val="none" w:sz="0" w:space="0" w:color="auto"/>
        <w:bottom w:val="none" w:sz="0" w:space="0" w:color="auto"/>
        <w:right w:val="none" w:sz="0" w:space="0" w:color="auto"/>
      </w:divBdr>
    </w:div>
    <w:div w:id="1916163988">
      <w:bodyDiv w:val="1"/>
      <w:marLeft w:val="0"/>
      <w:marRight w:val="0"/>
      <w:marTop w:val="0"/>
      <w:marBottom w:val="0"/>
      <w:divBdr>
        <w:top w:val="none" w:sz="0" w:space="0" w:color="auto"/>
        <w:left w:val="none" w:sz="0" w:space="0" w:color="auto"/>
        <w:bottom w:val="none" w:sz="0" w:space="0" w:color="auto"/>
        <w:right w:val="none" w:sz="0" w:space="0" w:color="auto"/>
      </w:divBdr>
    </w:div>
    <w:div w:id="1916280483">
      <w:bodyDiv w:val="1"/>
      <w:marLeft w:val="0"/>
      <w:marRight w:val="0"/>
      <w:marTop w:val="0"/>
      <w:marBottom w:val="0"/>
      <w:divBdr>
        <w:top w:val="none" w:sz="0" w:space="0" w:color="auto"/>
        <w:left w:val="none" w:sz="0" w:space="0" w:color="auto"/>
        <w:bottom w:val="none" w:sz="0" w:space="0" w:color="auto"/>
        <w:right w:val="none" w:sz="0" w:space="0" w:color="auto"/>
      </w:divBdr>
    </w:div>
    <w:div w:id="1916283056">
      <w:bodyDiv w:val="1"/>
      <w:marLeft w:val="0"/>
      <w:marRight w:val="0"/>
      <w:marTop w:val="0"/>
      <w:marBottom w:val="0"/>
      <w:divBdr>
        <w:top w:val="none" w:sz="0" w:space="0" w:color="auto"/>
        <w:left w:val="none" w:sz="0" w:space="0" w:color="auto"/>
        <w:bottom w:val="none" w:sz="0" w:space="0" w:color="auto"/>
        <w:right w:val="none" w:sz="0" w:space="0" w:color="auto"/>
      </w:divBdr>
    </w:div>
    <w:div w:id="1916428270">
      <w:bodyDiv w:val="1"/>
      <w:marLeft w:val="0"/>
      <w:marRight w:val="0"/>
      <w:marTop w:val="0"/>
      <w:marBottom w:val="0"/>
      <w:divBdr>
        <w:top w:val="none" w:sz="0" w:space="0" w:color="auto"/>
        <w:left w:val="none" w:sz="0" w:space="0" w:color="auto"/>
        <w:bottom w:val="none" w:sz="0" w:space="0" w:color="auto"/>
        <w:right w:val="none" w:sz="0" w:space="0" w:color="auto"/>
      </w:divBdr>
    </w:div>
    <w:div w:id="1916430166">
      <w:bodyDiv w:val="1"/>
      <w:marLeft w:val="0"/>
      <w:marRight w:val="0"/>
      <w:marTop w:val="0"/>
      <w:marBottom w:val="0"/>
      <w:divBdr>
        <w:top w:val="none" w:sz="0" w:space="0" w:color="auto"/>
        <w:left w:val="none" w:sz="0" w:space="0" w:color="auto"/>
        <w:bottom w:val="none" w:sz="0" w:space="0" w:color="auto"/>
        <w:right w:val="none" w:sz="0" w:space="0" w:color="auto"/>
      </w:divBdr>
    </w:div>
    <w:div w:id="1916474418">
      <w:bodyDiv w:val="1"/>
      <w:marLeft w:val="0"/>
      <w:marRight w:val="0"/>
      <w:marTop w:val="0"/>
      <w:marBottom w:val="0"/>
      <w:divBdr>
        <w:top w:val="none" w:sz="0" w:space="0" w:color="auto"/>
        <w:left w:val="none" w:sz="0" w:space="0" w:color="auto"/>
        <w:bottom w:val="none" w:sz="0" w:space="0" w:color="auto"/>
        <w:right w:val="none" w:sz="0" w:space="0" w:color="auto"/>
      </w:divBdr>
    </w:div>
    <w:div w:id="1916475656">
      <w:bodyDiv w:val="1"/>
      <w:marLeft w:val="0"/>
      <w:marRight w:val="0"/>
      <w:marTop w:val="0"/>
      <w:marBottom w:val="0"/>
      <w:divBdr>
        <w:top w:val="none" w:sz="0" w:space="0" w:color="auto"/>
        <w:left w:val="none" w:sz="0" w:space="0" w:color="auto"/>
        <w:bottom w:val="none" w:sz="0" w:space="0" w:color="auto"/>
        <w:right w:val="none" w:sz="0" w:space="0" w:color="auto"/>
      </w:divBdr>
    </w:div>
    <w:div w:id="1916550980">
      <w:bodyDiv w:val="1"/>
      <w:marLeft w:val="0"/>
      <w:marRight w:val="0"/>
      <w:marTop w:val="0"/>
      <w:marBottom w:val="0"/>
      <w:divBdr>
        <w:top w:val="none" w:sz="0" w:space="0" w:color="auto"/>
        <w:left w:val="none" w:sz="0" w:space="0" w:color="auto"/>
        <w:bottom w:val="none" w:sz="0" w:space="0" w:color="auto"/>
        <w:right w:val="none" w:sz="0" w:space="0" w:color="auto"/>
      </w:divBdr>
    </w:div>
    <w:div w:id="1916623435">
      <w:bodyDiv w:val="1"/>
      <w:marLeft w:val="0"/>
      <w:marRight w:val="0"/>
      <w:marTop w:val="0"/>
      <w:marBottom w:val="0"/>
      <w:divBdr>
        <w:top w:val="none" w:sz="0" w:space="0" w:color="auto"/>
        <w:left w:val="none" w:sz="0" w:space="0" w:color="auto"/>
        <w:bottom w:val="none" w:sz="0" w:space="0" w:color="auto"/>
        <w:right w:val="none" w:sz="0" w:space="0" w:color="auto"/>
      </w:divBdr>
    </w:div>
    <w:div w:id="1916667042">
      <w:bodyDiv w:val="1"/>
      <w:marLeft w:val="0"/>
      <w:marRight w:val="0"/>
      <w:marTop w:val="0"/>
      <w:marBottom w:val="0"/>
      <w:divBdr>
        <w:top w:val="none" w:sz="0" w:space="0" w:color="auto"/>
        <w:left w:val="none" w:sz="0" w:space="0" w:color="auto"/>
        <w:bottom w:val="none" w:sz="0" w:space="0" w:color="auto"/>
        <w:right w:val="none" w:sz="0" w:space="0" w:color="auto"/>
      </w:divBdr>
    </w:div>
    <w:div w:id="1916745333">
      <w:bodyDiv w:val="1"/>
      <w:marLeft w:val="0"/>
      <w:marRight w:val="0"/>
      <w:marTop w:val="0"/>
      <w:marBottom w:val="0"/>
      <w:divBdr>
        <w:top w:val="none" w:sz="0" w:space="0" w:color="auto"/>
        <w:left w:val="none" w:sz="0" w:space="0" w:color="auto"/>
        <w:bottom w:val="none" w:sz="0" w:space="0" w:color="auto"/>
        <w:right w:val="none" w:sz="0" w:space="0" w:color="auto"/>
      </w:divBdr>
    </w:div>
    <w:div w:id="1916812995">
      <w:bodyDiv w:val="1"/>
      <w:marLeft w:val="0"/>
      <w:marRight w:val="0"/>
      <w:marTop w:val="0"/>
      <w:marBottom w:val="0"/>
      <w:divBdr>
        <w:top w:val="none" w:sz="0" w:space="0" w:color="auto"/>
        <w:left w:val="none" w:sz="0" w:space="0" w:color="auto"/>
        <w:bottom w:val="none" w:sz="0" w:space="0" w:color="auto"/>
        <w:right w:val="none" w:sz="0" w:space="0" w:color="auto"/>
      </w:divBdr>
    </w:div>
    <w:div w:id="1916816470">
      <w:bodyDiv w:val="1"/>
      <w:marLeft w:val="0"/>
      <w:marRight w:val="0"/>
      <w:marTop w:val="0"/>
      <w:marBottom w:val="0"/>
      <w:divBdr>
        <w:top w:val="none" w:sz="0" w:space="0" w:color="auto"/>
        <w:left w:val="none" w:sz="0" w:space="0" w:color="auto"/>
        <w:bottom w:val="none" w:sz="0" w:space="0" w:color="auto"/>
        <w:right w:val="none" w:sz="0" w:space="0" w:color="auto"/>
      </w:divBdr>
    </w:div>
    <w:div w:id="1917011474">
      <w:bodyDiv w:val="1"/>
      <w:marLeft w:val="0"/>
      <w:marRight w:val="0"/>
      <w:marTop w:val="0"/>
      <w:marBottom w:val="0"/>
      <w:divBdr>
        <w:top w:val="none" w:sz="0" w:space="0" w:color="auto"/>
        <w:left w:val="none" w:sz="0" w:space="0" w:color="auto"/>
        <w:bottom w:val="none" w:sz="0" w:space="0" w:color="auto"/>
        <w:right w:val="none" w:sz="0" w:space="0" w:color="auto"/>
      </w:divBdr>
    </w:div>
    <w:div w:id="1917013419">
      <w:bodyDiv w:val="1"/>
      <w:marLeft w:val="0"/>
      <w:marRight w:val="0"/>
      <w:marTop w:val="0"/>
      <w:marBottom w:val="0"/>
      <w:divBdr>
        <w:top w:val="none" w:sz="0" w:space="0" w:color="auto"/>
        <w:left w:val="none" w:sz="0" w:space="0" w:color="auto"/>
        <w:bottom w:val="none" w:sz="0" w:space="0" w:color="auto"/>
        <w:right w:val="none" w:sz="0" w:space="0" w:color="auto"/>
      </w:divBdr>
    </w:div>
    <w:div w:id="1917129416">
      <w:bodyDiv w:val="1"/>
      <w:marLeft w:val="0"/>
      <w:marRight w:val="0"/>
      <w:marTop w:val="0"/>
      <w:marBottom w:val="0"/>
      <w:divBdr>
        <w:top w:val="none" w:sz="0" w:space="0" w:color="auto"/>
        <w:left w:val="none" w:sz="0" w:space="0" w:color="auto"/>
        <w:bottom w:val="none" w:sz="0" w:space="0" w:color="auto"/>
        <w:right w:val="none" w:sz="0" w:space="0" w:color="auto"/>
      </w:divBdr>
    </w:div>
    <w:div w:id="1917129932">
      <w:bodyDiv w:val="1"/>
      <w:marLeft w:val="0"/>
      <w:marRight w:val="0"/>
      <w:marTop w:val="0"/>
      <w:marBottom w:val="0"/>
      <w:divBdr>
        <w:top w:val="none" w:sz="0" w:space="0" w:color="auto"/>
        <w:left w:val="none" w:sz="0" w:space="0" w:color="auto"/>
        <w:bottom w:val="none" w:sz="0" w:space="0" w:color="auto"/>
        <w:right w:val="none" w:sz="0" w:space="0" w:color="auto"/>
      </w:divBdr>
    </w:div>
    <w:div w:id="1917397401">
      <w:bodyDiv w:val="1"/>
      <w:marLeft w:val="0"/>
      <w:marRight w:val="0"/>
      <w:marTop w:val="0"/>
      <w:marBottom w:val="0"/>
      <w:divBdr>
        <w:top w:val="none" w:sz="0" w:space="0" w:color="auto"/>
        <w:left w:val="none" w:sz="0" w:space="0" w:color="auto"/>
        <w:bottom w:val="none" w:sz="0" w:space="0" w:color="auto"/>
        <w:right w:val="none" w:sz="0" w:space="0" w:color="auto"/>
      </w:divBdr>
    </w:div>
    <w:div w:id="1917470969">
      <w:bodyDiv w:val="1"/>
      <w:marLeft w:val="0"/>
      <w:marRight w:val="0"/>
      <w:marTop w:val="0"/>
      <w:marBottom w:val="0"/>
      <w:divBdr>
        <w:top w:val="none" w:sz="0" w:space="0" w:color="auto"/>
        <w:left w:val="none" w:sz="0" w:space="0" w:color="auto"/>
        <w:bottom w:val="none" w:sz="0" w:space="0" w:color="auto"/>
        <w:right w:val="none" w:sz="0" w:space="0" w:color="auto"/>
      </w:divBdr>
    </w:div>
    <w:div w:id="1917475792">
      <w:bodyDiv w:val="1"/>
      <w:marLeft w:val="0"/>
      <w:marRight w:val="0"/>
      <w:marTop w:val="0"/>
      <w:marBottom w:val="0"/>
      <w:divBdr>
        <w:top w:val="none" w:sz="0" w:space="0" w:color="auto"/>
        <w:left w:val="none" w:sz="0" w:space="0" w:color="auto"/>
        <w:bottom w:val="none" w:sz="0" w:space="0" w:color="auto"/>
        <w:right w:val="none" w:sz="0" w:space="0" w:color="auto"/>
      </w:divBdr>
    </w:div>
    <w:div w:id="1917595417">
      <w:bodyDiv w:val="1"/>
      <w:marLeft w:val="0"/>
      <w:marRight w:val="0"/>
      <w:marTop w:val="0"/>
      <w:marBottom w:val="0"/>
      <w:divBdr>
        <w:top w:val="none" w:sz="0" w:space="0" w:color="auto"/>
        <w:left w:val="none" w:sz="0" w:space="0" w:color="auto"/>
        <w:bottom w:val="none" w:sz="0" w:space="0" w:color="auto"/>
        <w:right w:val="none" w:sz="0" w:space="0" w:color="auto"/>
      </w:divBdr>
    </w:div>
    <w:div w:id="1917781020">
      <w:bodyDiv w:val="1"/>
      <w:marLeft w:val="0"/>
      <w:marRight w:val="0"/>
      <w:marTop w:val="0"/>
      <w:marBottom w:val="0"/>
      <w:divBdr>
        <w:top w:val="none" w:sz="0" w:space="0" w:color="auto"/>
        <w:left w:val="none" w:sz="0" w:space="0" w:color="auto"/>
        <w:bottom w:val="none" w:sz="0" w:space="0" w:color="auto"/>
        <w:right w:val="none" w:sz="0" w:space="0" w:color="auto"/>
      </w:divBdr>
    </w:div>
    <w:div w:id="1917859374">
      <w:bodyDiv w:val="1"/>
      <w:marLeft w:val="0"/>
      <w:marRight w:val="0"/>
      <w:marTop w:val="0"/>
      <w:marBottom w:val="0"/>
      <w:divBdr>
        <w:top w:val="none" w:sz="0" w:space="0" w:color="auto"/>
        <w:left w:val="none" w:sz="0" w:space="0" w:color="auto"/>
        <w:bottom w:val="none" w:sz="0" w:space="0" w:color="auto"/>
        <w:right w:val="none" w:sz="0" w:space="0" w:color="auto"/>
      </w:divBdr>
    </w:div>
    <w:div w:id="1917937180">
      <w:bodyDiv w:val="1"/>
      <w:marLeft w:val="0"/>
      <w:marRight w:val="0"/>
      <w:marTop w:val="0"/>
      <w:marBottom w:val="0"/>
      <w:divBdr>
        <w:top w:val="none" w:sz="0" w:space="0" w:color="auto"/>
        <w:left w:val="none" w:sz="0" w:space="0" w:color="auto"/>
        <w:bottom w:val="none" w:sz="0" w:space="0" w:color="auto"/>
        <w:right w:val="none" w:sz="0" w:space="0" w:color="auto"/>
      </w:divBdr>
    </w:div>
    <w:div w:id="1918126786">
      <w:bodyDiv w:val="1"/>
      <w:marLeft w:val="0"/>
      <w:marRight w:val="0"/>
      <w:marTop w:val="0"/>
      <w:marBottom w:val="0"/>
      <w:divBdr>
        <w:top w:val="none" w:sz="0" w:space="0" w:color="auto"/>
        <w:left w:val="none" w:sz="0" w:space="0" w:color="auto"/>
        <w:bottom w:val="none" w:sz="0" w:space="0" w:color="auto"/>
        <w:right w:val="none" w:sz="0" w:space="0" w:color="auto"/>
      </w:divBdr>
    </w:div>
    <w:div w:id="1918129522">
      <w:bodyDiv w:val="1"/>
      <w:marLeft w:val="0"/>
      <w:marRight w:val="0"/>
      <w:marTop w:val="0"/>
      <w:marBottom w:val="0"/>
      <w:divBdr>
        <w:top w:val="none" w:sz="0" w:space="0" w:color="auto"/>
        <w:left w:val="none" w:sz="0" w:space="0" w:color="auto"/>
        <w:bottom w:val="none" w:sz="0" w:space="0" w:color="auto"/>
        <w:right w:val="none" w:sz="0" w:space="0" w:color="auto"/>
      </w:divBdr>
    </w:div>
    <w:div w:id="1918202882">
      <w:bodyDiv w:val="1"/>
      <w:marLeft w:val="0"/>
      <w:marRight w:val="0"/>
      <w:marTop w:val="0"/>
      <w:marBottom w:val="0"/>
      <w:divBdr>
        <w:top w:val="none" w:sz="0" w:space="0" w:color="auto"/>
        <w:left w:val="none" w:sz="0" w:space="0" w:color="auto"/>
        <w:bottom w:val="none" w:sz="0" w:space="0" w:color="auto"/>
        <w:right w:val="none" w:sz="0" w:space="0" w:color="auto"/>
      </w:divBdr>
    </w:div>
    <w:div w:id="1918205512">
      <w:bodyDiv w:val="1"/>
      <w:marLeft w:val="0"/>
      <w:marRight w:val="0"/>
      <w:marTop w:val="0"/>
      <w:marBottom w:val="0"/>
      <w:divBdr>
        <w:top w:val="none" w:sz="0" w:space="0" w:color="auto"/>
        <w:left w:val="none" w:sz="0" w:space="0" w:color="auto"/>
        <w:bottom w:val="none" w:sz="0" w:space="0" w:color="auto"/>
        <w:right w:val="none" w:sz="0" w:space="0" w:color="auto"/>
      </w:divBdr>
    </w:div>
    <w:div w:id="1918317112">
      <w:bodyDiv w:val="1"/>
      <w:marLeft w:val="0"/>
      <w:marRight w:val="0"/>
      <w:marTop w:val="0"/>
      <w:marBottom w:val="0"/>
      <w:divBdr>
        <w:top w:val="none" w:sz="0" w:space="0" w:color="auto"/>
        <w:left w:val="none" w:sz="0" w:space="0" w:color="auto"/>
        <w:bottom w:val="none" w:sz="0" w:space="0" w:color="auto"/>
        <w:right w:val="none" w:sz="0" w:space="0" w:color="auto"/>
      </w:divBdr>
    </w:div>
    <w:div w:id="1918317273">
      <w:bodyDiv w:val="1"/>
      <w:marLeft w:val="0"/>
      <w:marRight w:val="0"/>
      <w:marTop w:val="0"/>
      <w:marBottom w:val="0"/>
      <w:divBdr>
        <w:top w:val="none" w:sz="0" w:space="0" w:color="auto"/>
        <w:left w:val="none" w:sz="0" w:space="0" w:color="auto"/>
        <w:bottom w:val="none" w:sz="0" w:space="0" w:color="auto"/>
        <w:right w:val="none" w:sz="0" w:space="0" w:color="auto"/>
      </w:divBdr>
    </w:div>
    <w:div w:id="1918319386">
      <w:bodyDiv w:val="1"/>
      <w:marLeft w:val="0"/>
      <w:marRight w:val="0"/>
      <w:marTop w:val="0"/>
      <w:marBottom w:val="0"/>
      <w:divBdr>
        <w:top w:val="none" w:sz="0" w:space="0" w:color="auto"/>
        <w:left w:val="none" w:sz="0" w:space="0" w:color="auto"/>
        <w:bottom w:val="none" w:sz="0" w:space="0" w:color="auto"/>
        <w:right w:val="none" w:sz="0" w:space="0" w:color="auto"/>
      </w:divBdr>
    </w:div>
    <w:div w:id="1918322086">
      <w:bodyDiv w:val="1"/>
      <w:marLeft w:val="0"/>
      <w:marRight w:val="0"/>
      <w:marTop w:val="0"/>
      <w:marBottom w:val="0"/>
      <w:divBdr>
        <w:top w:val="none" w:sz="0" w:space="0" w:color="auto"/>
        <w:left w:val="none" w:sz="0" w:space="0" w:color="auto"/>
        <w:bottom w:val="none" w:sz="0" w:space="0" w:color="auto"/>
        <w:right w:val="none" w:sz="0" w:space="0" w:color="auto"/>
      </w:divBdr>
    </w:div>
    <w:div w:id="1918322896">
      <w:bodyDiv w:val="1"/>
      <w:marLeft w:val="0"/>
      <w:marRight w:val="0"/>
      <w:marTop w:val="0"/>
      <w:marBottom w:val="0"/>
      <w:divBdr>
        <w:top w:val="none" w:sz="0" w:space="0" w:color="auto"/>
        <w:left w:val="none" w:sz="0" w:space="0" w:color="auto"/>
        <w:bottom w:val="none" w:sz="0" w:space="0" w:color="auto"/>
        <w:right w:val="none" w:sz="0" w:space="0" w:color="auto"/>
      </w:divBdr>
    </w:div>
    <w:div w:id="1918588386">
      <w:bodyDiv w:val="1"/>
      <w:marLeft w:val="0"/>
      <w:marRight w:val="0"/>
      <w:marTop w:val="0"/>
      <w:marBottom w:val="0"/>
      <w:divBdr>
        <w:top w:val="none" w:sz="0" w:space="0" w:color="auto"/>
        <w:left w:val="none" w:sz="0" w:space="0" w:color="auto"/>
        <w:bottom w:val="none" w:sz="0" w:space="0" w:color="auto"/>
        <w:right w:val="none" w:sz="0" w:space="0" w:color="auto"/>
      </w:divBdr>
    </w:div>
    <w:div w:id="1918636523">
      <w:bodyDiv w:val="1"/>
      <w:marLeft w:val="0"/>
      <w:marRight w:val="0"/>
      <w:marTop w:val="0"/>
      <w:marBottom w:val="0"/>
      <w:divBdr>
        <w:top w:val="none" w:sz="0" w:space="0" w:color="auto"/>
        <w:left w:val="none" w:sz="0" w:space="0" w:color="auto"/>
        <w:bottom w:val="none" w:sz="0" w:space="0" w:color="auto"/>
        <w:right w:val="none" w:sz="0" w:space="0" w:color="auto"/>
      </w:divBdr>
    </w:div>
    <w:div w:id="1918711803">
      <w:bodyDiv w:val="1"/>
      <w:marLeft w:val="0"/>
      <w:marRight w:val="0"/>
      <w:marTop w:val="0"/>
      <w:marBottom w:val="0"/>
      <w:divBdr>
        <w:top w:val="none" w:sz="0" w:space="0" w:color="auto"/>
        <w:left w:val="none" w:sz="0" w:space="0" w:color="auto"/>
        <w:bottom w:val="none" w:sz="0" w:space="0" w:color="auto"/>
        <w:right w:val="none" w:sz="0" w:space="0" w:color="auto"/>
      </w:divBdr>
    </w:div>
    <w:div w:id="1918781813">
      <w:bodyDiv w:val="1"/>
      <w:marLeft w:val="0"/>
      <w:marRight w:val="0"/>
      <w:marTop w:val="0"/>
      <w:marBottom w:val="0"/>
      <w:divBdr>
        <w:top w:val="none" w:sz="0" w:space="0" w:color="auto"/>
        <w:left w:val="none" w:sz="0" w:space="0" w:color="auto"/>
        <w:bottom w:val="none" w:sz="0" w:space="0" w:color="auto"/>
        <w:right w:val="none" w:sz="0" w:space="0" w:color="auto"/>
      </w:divBdr>
    </w:div>
    <w:div w:id="1918830316">
      <w:bodyDiv w:val="1"/>
      <w:marLeft w:val="0"/>
      <w:marRight w:val="0"/>
      <w:marTop w:val="0"/>
      <w:marBottom w:val="0"/>
      <w:divBdr>
        <w:top w:val="none" w:sz="0" w:space="0" w:color="auto"/>
        <w:left w:val="none" w:sz="0" w:space="0" w:color="auto"/>
        <w:bottom w:val="none" w:sz="0" w:space="0" w:color="auto"/>
        <w:right w:val="none" w:sz="0" w:space="0" w:color="auto"/>
      </w:divBdr>
    </w:div>
    <w:div w:id="1918859028">
      <w:bodyDiv w:val="1"/>
      <w:marLeft w:val="0"/>
      <w:marRight w:val="0"/>
      <w:marTop w:val="0"/>
      <w:marBottom w:val="0"/>
      <w:divBdr>
        <w:top w:val="none" w:sz="0" w:space="0" w:color="auto"/>
        <w:left w:val="none" w:sz="0" w:space="0" w:color="auto"/>
        <w:bottom w:val="none" w:sz="0" w:space="0" w:color="auto"/>
        <w:right w:val="none" w:sz="0" w:space="0" w:color="auto"/>
      </w:divBdr>
    </w:div>
    <w:div w:id="1918904805">
      <w:bodyDiv w:val="1"/>
      <w:marLeft w:val="0"/>
      <w:marRight w:val="0"/>
      <w:marTop w:val="0"/>
      <w:marBottom w:val="0"/>
      <w:divBdr>
        <w:top w:val="none" w:sz="0" w:space="0" w:color="auto"/>
        <w:left w:val="none" w:sz="0" w:space="0" w:color="auto"/>
        <w:bottom w:val="none" w:sz="0" w:space="0" w:color="auto"/>
        <w:right w:val="none" w:sz="0" w:space="0" w:color="auto"/>
      </w:divBdr>
    </w:div>
    <w:div w:id="1918981027">
      <w:bodyDiv w:val="1"/>
      <w:marLeft w:val="0"/>
      <w:marRight w:val="0"/>
      <w:marTop w:val="0"/>
      <w:marBottom w:val="0"/>
      <w:divBdr>
        <w:top w:val="none" w:sz="0" w:space="0" w:color="auto"/>
        <w:left w:val="none" w:sz="0" w:space="0" w:color="auto"/>
        <w:bottom w:val="none" w:sz="0" w:space="0" w:color="auto"/>
        <w:right w:val="none" w:sz="0" w:space="0" w:color="auto"/>
      </w:divBdr>
    </w:div>
    <w:div w:id="1919050240">
      <w:bodyDiv w:val="1"/>
      <w:marLeft w:val="0"/>
      <w:marRight w:val="0"/>
      <w:marTop w:val="0"/>
      <w:marBottom w:val="0"/>
      <w:divBdr>
        <w:top w:val="none" w:sz="0" w:space="0" w:color="auto"/>
        <w:left w:val="none" w:sz="0" w:space="0" w:color="auto"/>
        <w:bottom w:val="none" w:sz="0" w:space="0" w:color="auto"/>
        <w:right w:val="none" w:sz="0" w:space="0" w:color="auto"/>
      </w:divBdr>
    </w:div>
    <w:div w:id="1919054770">
      <w:bodyDiv w:val="1"/>
      <w:marLeft w:val="0"/>
      <w:marRight w:val="0"/>
      <w:marTop w:val="0"/>
      <w:marBottom w:val="0"/>
      <w:divBdr>
        <w:top w:val="none" w:sz="0" w:space="0" w:color="auto"/>
        <w:left w:val="none" w:sz="0" w:space="0" w:color="auto"/>
        <w:bottom w:val="none" w:sz="0" w:space="0" w:color="auto"/>
        <w:right w:val="none" w:sz="0" w:space="0" w:color="auto"/>
      </w:divBdr>
    </w:div>
    <w:div w:id="1919097820">
      <w:bodyDiv w:val="1"/>
      <w:marLeft w:val="0"/>
      <w:marRight w:val="0"/>
      <w:marTop w:val="0"/>
      <w:marBottom w:val="0"/>
      <w:divBdr>
        <w:top w:val="none" w:sz="0" w:space="0" w:color="auto"/>
        <w:left w:val="none" w:sz="0" w:space="0" w:color="auto"/>
        <w:bottom w:val="none" w:sz="0" w:space="0" w:color="auto"/>
        <w:right w:val="none" w:sz="0" w:space="0" w:color="auto"/>
      </w:divBdr>
    </w:div>
    <w:div w:id="1919169415">
      <w:bodyDiv w:val="1"/>
      <w:marLeft w:val="0"/>
      <w:marRight w:val="0"/>
      <w:marTop w:val="0"/>
      <w:marBottom w:val="0"/>
      <w:divBdr>
        <w:top w:val="none" w:sz="0" w:space="0" w:color="auto"/>
        <w:left w:val="none" w:sz="0" w:space="0" w:color="auto"/>
        <w:bottom w:val="none" w:sz="0" w:space="0" w:color="auto"/>
        <w:right w:val="none" w:sz="0" w:space="0" w:color="auto"/>
      </w:divBdr>
    </w:div>
    <w:div w:id="1919243065">
      <w:bodyDiv w:val="1"/>
      <w:marLeft w:val="0"/>
      <w:marRight w:val="0"/>
      <w:marTop w:val="0"/>
      <w:marBottom w:val="0"/>
      <w:divBdr>
        <w:top w:val="none" w:sz="0" w:space="0" w:color="auto"/>
        <w:left w:val="none" w:sz="0" w:space="0" w:color="auto"/>
        <w:bottom w:val="none" w:sz="0" w:space="0" w:color="auto"/>
        <w:right w:val="none" w:sz="0" w:space="0" w:color="auto"/>
      </w:divBdr>
    </w:div>
    <w:div w:id="1919245283">
      <w:bodyDiv w:val="1"/>
      <w:marLeft w:val="0"/>
      <w:marRight w:val="0"/>
      <w:marTop w:val="0"/>
      <w:marBottom w:val="0"/>
      <w:divBdr>
        <w:top w:val="none" w:sz="0" w:space="0" w:color="auto"/>
        <w:left w:val="none" w:sz="0" w:space="0" w:color="auto"/>
        <w:bottom w:val="none" w:sz="0" w:space="0" w:color="auto"/>
        <w:right w:val="none" w:sz="0" w:space="0" w:color="auto"/>
      </w:divBdr>
    </w:div>
    <w:div w:id="1919438082">
      <w:bodyDiv w:val="1"/>
      <w:marLeft w:val="0"/>
      <w:marRight w:val="0"/>
      <w:marTop w:val="0"/>
      <w:marBottom w:val="0"/>
      <w:divBdr>
        <w:top w:val="none" w:sz="0" w:space="0" w:color="auto"/>
        <w:left w:val="none" w:sz="0" w:space="0" w:color="auto"/>
        <w:bottom w:val="none" w:sz="0" w:space="0" w:color="auto"/>
        <w:right w:val="none" w:sz="0" w:space="0" w:color="auto"/>
      </w:divBdr>
    </w:div>
    <w:div w:id="1919438909">
      <w:bodyDiv w:val="1"/>
      <w:marLeft w:val="0"/>
      <w:marRight w:val="0"/>
      <w:marTop w:val="0"/>
      <w:marBottom w:val="0"/>
      <w:divBdr>
        <w:top w:val="none" w:sz="0" w:space="0" w:color="auto"/>
        <w:left w:val="none" w:sz="0" w:space="0" w:color="auto"/>
        <w:bottom w:val="none" w:sz="0" w:space="0" w:color="auto"/>
        <w:right w:val="none" w:sz="0" w:space="0" w:color="auto"/>
      </w:divBdr>
    </w:div>
    <w:div w:id="1919631781">
      <w:bodyDiv w:val="1"/>
      <w:marLeft w:val="0"/>
      <w:marRight w:val="0"/>
      <w:marTop w:val="0"/>
      <w:marBottom w:val="0"/>
      <w:divBdr>
        <w:top w:val="none" w:sz="0" w:space="0" w:color="auto"/>
        <w:left w:val="none" w:sz="0" w:space="0" w:color="auto"/>
        <w:bottom w:val="none" w:sz="0" w:space="0" w:color="auto"/>
        <w:right w:val="none" w:sz="0" w:space="0" w:color="auto"/>
      </w:divBdr>
    </w:div>
    <w:div w:id="1920016919">
      <w:bodyDiv w:val="1"/>
      <w:marLeft w:val="0"/>
      <w:marRight w:val="0"/>
      <w:marTop w:val="0"/>
      <w:marBottom w:val="0"/>
      <w:divBdr>
        <w:top w:val="none" w:sz="0" w:space="0" w:color="auto"/>
        <w:left w:val="none" w:sz="0" w:space="0" w:color="auto"/>
        <w:bottom w:val="none" w:sz="0" w:space="0" w:color="auto"/>
        <w:right w:val="none" w:sz="0" w:space="0" w:color="auto"/>
      </w:divBdr>
    </w:div>
    <w:div w:id="1920211351">
      <w:bodyDiv w:val="1"/>
      <w:marLeft w:val="0"/>
      <w:marRight w:val="0"/>
      <w:marTop w:val="0"/>
      <w:marBottom w:val="0"/>
      <w:divBdr>
        <w:top w:val="none" w:sz="0" w:space="0" w:color="auto"/>
        <w:left w:val="none" w:sz="0" w:space="0" w:color="auto"/>
        <w:bottom w:val="none" w:sz="0" w:space="0" w:color="auto"/>
        <w:right w:val="none" w:sz="0" w:space="0" w:color="auto"/>
      </w:divBdr>
    </w:div>
    <w:div w:id="1920212890">
      <w:bodyDiv w:val="1"/>
      <w:marLeft w:val="0"/>
      <w:marRight w:val="0"/>
      <w:marTop w:val="0"/>
      <w:marBottom w:val="0"/>
      <w:divBdr>
        <w:top w:val="none" w:sz="0" w:space="0" w:color="auto"/>
        <w:left w:val="none" w:sz="0" w:space="0" w:color="auto"/>
        <w:bottom w:val="none" w:sz="0" w:space="0" w:color="auto"/>
        <w:right w:val="none" w:sz="0" w:space="0" w:color="auto"/>
      </w:divBdr>
    </w:div>
    <w:div w:id="1920288654">
      <w:bodyDiv w:val="1"/>
      <w:marLeft w:val="0"/>
      <w:marRight w:val="0"/>
      <w:marTop w:val="0"/>
      <w:marBottom w:val="0"/>
      <w:divBdr>
        <w:top w:val="none" w:sz="0" w:space="0" w:color="auto"/>
        <w:left w:val="none" w:sz="0" w:space="0" w:color="auto"/>
        <w:bottom w:val="none" w:sz="0" w:space="0" w:color="auto"/>
        <w:right w:val="none" w:sz="0" w:space="0" w:color="auto"/>
      </w:divBdr>
    </w:div>
    <w:div w:id="1920290470">
      <w:bodyDiv w:val="1"/>
      <w:marLeft w:val="0"/>
      <w:marRight w:val="0"/>
      <w:marTop w:val="0"/>
      <w:marBottom w:val="0"/>
      <w:divBdr>
        <w:top w:val="none" w:sz="0" w:space="0" w:color="auto"/>
        <w:left w:val="none" w:sz="0" w:space="0" w:color="auto"/>
        <w:bottom w:val="none" w:sz="0" w:space="0" w:color="auto"/>
        <w:right w:val="none" w:sz="0" w:space="0" w:color="auto"/>
      </w:divBdr>
    </w:div>
    <w:div w:id="1920291114">
      <w:bodyDiv w:val="1"/>
      <w:marLeft w:val="0"/>
      <w:marRight w:val="0"/>
      <w:marTop w:val="0"/>
      <w:marBottom w:val="0"/>
      <w:divBdr>
        <w:top w:val="none" w:sz="0" w:space="0" w:color="auto"/>
        <w:left w:val="none" w:sz="0" w:space="0" w:color="auto"/>
        <w:bottom w:val="none" w:sz="0" w:space="0" w:color="auto"/>
        <w:right w:val="none" w:sz="0" w:space="0" w:color="auto"/>
      </w:divBdr>
    </w:div>
    <w:div w:id="1920362655">
      <w:bodyDiv w:val="1"/>
      <w:marLeft w:val="0"/>
      <w:marRight w:val="0"/>
      <w:marTop w:val="0"/>
      <w:marBottom w:val="0"/>
      <w:divBdr>
        <w:top w:val="none" w:sz="0" w:space="0" w:color="auto"/>
        <w:left w:val="none" w:sz="0" w:space="0" w:color="auto"/>
        <w:bottom w:val="none" w:sz="0" w:space="0" w:color="auto"/>
        <w:right w:val="none" w:sz="0" w:space="0" w:color="auto"/>
      </w:divBdr>
    </w:div>
    <w:div w:id="1920401580">
      <w:bodyDiv w:val="1"/>
      <w:marLeft w:val="0"/>
      <w:marRight w:val="0"/>
      <w:marTop w:val="0"/>
      <w:marBottom w:val="0"/>
      <w:divBdr>
        <w:top w:val="none" w:sz="0" w:space="0" w:color="auto"/>
        <w:left w:val="none" w:sz="0" w:space="0" w:color="auto"/>
        <w:bottom w:val="none" w:sz="0" w:space="0" w:color="auto"/>
        <w:right w:val="none" w:sz="0" w:space="0" w:color="auto"/>
      </w:divBdr>
    </w:div>
    <w:div w:id="1920484873">
      <w:bodyDiv w:val="1"/>
      <w:marLeft w:val="0"/>
      <w:marRight w:val="0"/>
      <w:marTop w:val="0"/>
      <w:marBottom w:val="0"/>
      <w:divBdr>
        <w:top w:val="none" w:sz="0" w:space="0" w:color="auto"/>
        <w:left w:val="none" w:sz="0" w:space="0" w:color="auto"/>
        <w:bottom w:val="none" w:sz="0" w:space="0" w:color="auto"/>
        <w:right w:val="none" w:sz="0" w:space="0" w:color="auto"/>
      </w:divBdr>
    </w:div>
    <w:div w:id="1920559949">
      <w:bodyDiv w:val="1"/>
      <w:marLeft w:val="0"/>
      <w:marRight w:val="0"/>
      <w:marTop w:val="0"/>
      <w:marBottom w:val="0"/>
      <w:divBdr>
        <w:top w:val="none" w:sz="0" w:space="0" w:color="auto"/>
        <w:left w:val="none" w:sz="0" w:space="0" w:color="auto"/>
        <w:bottom w:val="none" w:sz="0" w:space="0" w:color="auto"/>
        <w:right w:val="none" w:sz="0" w:space="0" w:color="auto"/>
      </w:divBdr>
    </w:div>
    <w:div w:id="1920627911">
      <w:bodyDiv w:val="1"/>
      <w:marLeft w:val="0"/>
      <w:marRight w:val="0"/>
      <w:marTop w:val="0"/>
      <w:marBottom w:val="0"/>
      <w:divBdr>
        <w:top w:val="none" w:sz="0" w:space="0" w:color="auto"/>
        <w:left w:val="none" w:sz="0" w:space="0" w:color="auto"/>
        <w:bottom w:val="none" w:sz="0" w:space="0" w:color="auto"/>
        <w:right w:val="none" w:sz="0" w:space="0" w:color="auto"/>
      </w:divBdr>
    </w:div>
    <w:div w:id="1920672711">
      <w:bodyDiv w:val="1"/>
      <w:marLeft w:val="0"/>
      <w:marRight w:val="0"/>
      <w:marTop w:val="0"/>
      <w:marBottom w:val="0"/>
      <w:divBdr>
        <w:top w:val="none" w:sz="0" w:space="0" w:color="auto"/>
        <w:left w:val="none" w:sz="0" w:space="0" w:color="auto"/>
        <w:bottom w:val="none" w:sz="0" w:space="0" w:color="auto"/>
        <w:right w:val="none" w:sz="0" w:space="0" w:color="auto"/>
      </w:divBdr>
    </w:div>
    <w:div w:id="1920675967">
      <w:bodyDiv w:val="1"/>
      <w:marLeft w:val="0"/>
      <w:marRight w:val="0"/>
      <w:marTop w:val="0"/>
      <w:marBottom w:val="0"/>
      <w:divBdr>
        <w:top w:val="none" w:sz="0" w:space="0" w:color="auto"/>
        <w:left w:val="none" w:sz="0" w:space="0" w:color="auto"/>
        <w:bottom w:val="none" w:sz="0" w:space="0" w:color="auto"/>
        <w:right w:val="none" w:sz="0" w:space="0" w:color="auto"/>
      </w:divBdr>
    </w:div>
    <w:div w:id="1920748179">
      <w:bodyDiv w:val="1"/>
      <w:marLeft w:val="0"/>
      <w:marRight w:val="0"/>
      <w:marTop w:val="0"/>
      <w:marBottom w:val="0"/>
      <w:divBdr>
        <w:top w:val="none" w:sz="0" w:space="0" w:color="auto"/>
        <w:left w:val="none" w:sz="0" w:space="0" w:color="auto"/>
        <w:bottom w:val="none" w:sz="0" w:space="0" w:color="auto"/>
        <w:right w:val="none" w:sz="0" w:space="0" w:color="auto"/>
      </w:divBdr>
    </w:div>
    <w:div w:id="1920749469">
      <w:bodyDiv w:val="1"/>
      <w:marLeft w:val="0"/>
      <w:marRight w:val="0"/>
      <w:marTop w:val="0"/>
      <w:marBottom w:val="0"/>
      <w:divBdr>
        <w:top w:val="none" w:sz="0" w:space="0" w:color="auto"/>
        <w:left w:val="none" w:sz="0" w:space="0" w:color="auto"/>
        <w:bottom w:val="none" w:sz="0" w:space="0" w:color="auto"/>
        <w:right w:val="none" w:sz="0" w:space="0" w:color="auto"/>
      </w:divBdr>
    </w:div>
    <w:div w:id="1920825361">
      <w:bodyDiv w:val="1"/>
      <w:marLeft w:val="0"/>
      <w:marRight w:val="0"/>
      <w:marTop w:val="0"/>
      <w:marBottom w:val="0"/>
      <w:divBdr>
        <w:top w:val="none" w:sz="0" w:space="0" w:color="auto"/>
        <w:left w:val="none" w:sz="0" w:space="0" w:color="auto"/>
        <w:bottom w:val="none" w:sz="0" w:space="0" w:color="auto"/>
        <w:right w:val="none" w:sz="0" w:space="0" w:color="auto"/>
      </w:divBdr>
    </w:div>
    <w:div w:id="1920864945">
      <w:bodyDiv w:val="1"/>
      <w:marLeft w:val="0"/>
      <w:marRight w:val="0"/>
      <w:marTop w:val="0"/>
      <w:marBottom w:val="0"/>
      <w:divBdr>
        <w:top w:val="none" w:sz="0" w:space="0" w:color="auto"/>
        <w:left w:val="none" w:sz="0" w:space="0" w:color="auto"/>
        <w:bottom w:val="none" w:sz="0" w:space="0" w:color="auto"/>
        <w:right w:val="none" w:sz="0" w:space="0" w:color="auto"/>
      </w:divBdr>
    </w:div>
    <w:div w:id="1921133185">
      <w:bodyDiv w:val="1"/>
      <w:marLeft w:val="0"/>
      <w:marRight w:val="0"/>
      <w:marTop w:val="0"/>
      <w:marBottom w:val="0"/>
      <w:divBdr>
        <w:top w:val="none" w:sz="0" w:space="0" w:color="auto"/>
        <w:left w:val="none" w:sz="0" w:space="0" w:color="auto"/>
        <w:bottom w:val="none" w:sz="0" w:space="0" w:color="auto"/>
        <w:right w:val="none" w:sz="0" w:space="0" w:color="auto"/>
      </w:divBdr>
    </w:div>
    <w:div w:id="1921133732">
      <w:bodyDiv w:val="1"/>
      <w:marLeft w:val="0"/>
      <w:marRight w:val="0"/>
      <w:marTop w:val="0"/>
      <w:marBottom w:val="0"/>
      <w:divBdr>
        <w:top w:val="none" w:sz="0" w:space="0" w:color="auto"/>
        <w:left w:val="none" w:sz="0" w:space="0" w:color="auto"/>
        <w:bottom w:val="none" w:sz="0" w:space="0" w:color="auto"/>
        <w:right w:val="none" w:sz="0" w:space="0" w:color="auto"/>
      </w:divBdr>
    </w:div>
    <w:div w:id="1921206880">
      <w:bodyDiv w:val="1"/>
      <w:marLeft w:val="0"/>
      <w:marRight w:val="0"/>
      <w:marTop w:val="0"/>
      <w:marBottom w:val="0"/>
      <w:divBdr>
        <w:top w:val="none" w:sz="0" w:space="0" w:color="auto"/>
        <w:left w:val="none" w:sz="0" w:space="0" w:color="auto"/>
        <w:bottom w:val="none" w:sz="0" w:space="0" w:color="auto"/>
        <w:right w:val="none" w:sz="0" w:space="0" w:color="auto"/>
      </w:divBdr>
    </w:div>
    <w:div w:id="1921210019">
      <w:bodyDiv w:val="1"/>
      <w:marLeft w:val="0"/>
      <w:marRight w:val="0"/>
      <w:marTop w:val="0"/>
      <w:marBottom w:val="0"/>
      <w:divBdr>
        <w:top w:val="none" w:sz="0" w:space="0" w:color="auto"/>
        <w:left w:val="none" w:sz="0" w:space="0" w:color="auto"/>
        <w:bottom w:val="none" w:sz="0" w:space="0" w:color="auto"/>
        <w:right w:val="none" w:sz="0" w:space="0" w:color="auto"/>
      </w:divBdr>
    </w:div>
    <w:div w:id="1921255265">
      <w:bodyDiv w:val="1"/>
      <w:marLeft w:val="0"/>
      <w:marRight w:val="0"/>
      <w:marTop w:val="0"/>
      <w:marBottom w:val="0"/>
      <w:divBdr>
        <w:top w:val="none" w:sz="0" w:space="0" w:color="auto"/>
        <w:left w:val="none" w:sz="0" w:space="0" w:color="auto"/>
        <w:bottom w:val="none" w:sz="0" w:space="0" w:color="auto"/>
        <w:right w:val="none" w:sz="0" w:space="0" w:color="auto"/>
      </w:divBdr>
    </w:div>
    <w:div w:id="1921284074">
      <w:bodyDiv w:val="1"/>
      <w:marLeft w:val="0"/>
      <w:marRight w:val="0"/>
      <w:marTop w:val="0"/>
      <w:marBottom w:val="0"/>
      <w:divBdr>
        <w:top w:val="none" w:sz="0" w:space="0" w:color="auto"/>
        <w:left w:val="none" w:sz="0" w:space="0" w:color="auto"/>
        <w:bottom w:val="none" w:sz="0" w:space="0" w:color="auto"/>
        <w:right w:val="none" w:sz="0" w:space="0" w:color="auto"/>
      </w:divBdr>
    </w:div>
    <w:div w:id="1921523340">
      <w:bodyDiv w:val="1"/>
      <w:marLeft w:val="0"/>
      <w:marRight w:val="0"/>
      <w:marTop w:val="0"/>
      <w:marBottom w:val="0"/>
      <w:divBdr>
        <w:top w:val="none" w:sz="0" w:space="0" w:color="auto"/>
        <w:left w:val="none" w:sz="0" w:space="0" w:color="auto"/>
        <w:bottom w:val="none" w:sz="0" w:space="0" w:color="auto"/>
        <w:right w:val="none" w:sz="0" w:space="0" w:color="auto"/>
      </w:divBdr>
    </w:div>
    <w:div w:id="1921527567">
      <w:bodyDiv w:val="1"/>
      <w:marLeft w:val="0"/>
      <w:marRight w:val="0"/>
      <w:marTop w:val="0"/>
      <w:marBottom w:val="0"/>
      <w:divBdr>
        <w:top w:val="none" w:sz="0" w:space="0" w:color="auto"/>
        <w:left w:val="none" w:sz="0" w:space="0" w:color="auto"/>
        <w:bottom w:val="none" w:sz="0" w:space="0" w:color="auto"/>
        <w:right w:val="none" w:sz="0" w:space="0" w:color="auto"/>
      </w:divBdr>
    </w:div>
    <w:div w:id="1921714956">
      <w:bodyDiv w:val="1"/>
      <w:marLeft w:val="0"/>
      <w:marRight w:val="0"/>
      <w:marTop w:val="0"/>
      <w:marBottom w:val="0"/>
      <w:divBdr>
        <w:top w:val="none" w:sz="0" w:space="0" w:color="auto"/>
        <w:left w:val="none" w:sz="0" w:space="0" w:color="auto"/>
        <w:bottom w:val="none" w:sz="0" w:space="0" w:color="auto"/>
        <w:right w:val="none" w:sz="0" w:space="0" w:color="auto"/>
      </w:divBdr>
    </w:div>
    <w:div w:id="1921793345">
      <w:bodyDiv w:val="1"/>
      <w:marLeft w:val="0"/>
      <w:marRight w:val="0"/>
      <w:marTop w:val="0"/>
      <w:marBottom w:val="0"/>
      <w:divBdr>
        <w:top w:val="none" w:sz="0" w:space="0" w:color="auto"/>
        <w:left w:val="none" w:sz="0" w:space="0" w:color="auto"/>
        <w:bottom w:val="none" w:sz="0" w:space="0" w:color="auto"/>
        <w:right w:val="none" w:sz="0" w:space="0" w:color="auto"/>
      </w:divBdr>
    </w:div>
    <w:div w:id="1921862714">
      <w:bodyDiv w:val="1"/>
      <w:marLeft w:val="0"/>
      <w:marRight w:val="0"/>
      <w:marTop w:val="0"/>
      <w:marBottom w:val="0"/>
      <w:divBdr>
        <w:top w:val="none" w:sz="0" w:space="0" w:color="auto"/>
        <w:left w:val="none" w:sz="0" w:space="0" w:color="auto"/>
        <w:bottom w:val="none" w:sz="0" w:space="0" w:color="auto"/>
        <w:right w:val="none" w:sz="0" w:space="0" w:color="auto"/>
      </w:divBdr>
    </w:div>
    <w:div w:id="1921869485">
      <w:bodyDiv w:val="1"/>
      <w:marLeft w:val="0"/>
      <w:marRight w:val="0"/>
      <w:marTop w:val="0"/>
      <w:marBottom w:val="0"/>
      <w:divBdr>
        <w:top w:val="none" w:sz="0" w:space="0" w:color="auto"/>
        <w:left w:val="none" w:sz="0" w:space="0" w:color="auto"/>
        <w:bottom w:val="none" w:sz="0" w:space="0" w:color="auto"/>
        <w:right w:val="none" w:sz="0" w:space="0" w:color="auto"/>
      </w:divBdr>
    </w:div>
    <w:div w:id="1922136310">
      <w:bodyDiv w:val="1"/>
      <w:marLeft w:val="0"/>
      <w:marRight w:val="0"/>
      <w:marTop w:val="0"/>
      <w:marBottom w:val="0"/>
      <w:divBdr>
        <w:top w:val="none" w:sz="0" w:space="0" w:color="auto"/>
        <w:left w:val="none" w:sz="0" w:space="0" w:color="auto"/>
        <w:bottom w:val="none" w:sz="0" w:space="0" w:color="auto"/>
        <w:right w:val="none" w:sz="0" w:space="0" w:color="auto"/>
      </w:divBdr>
    </w:div>
    <w:div w:id="1922178382">
      <w:bodyDiv w:val="1"/>
      <w:marLeft w:val="0"/>
      <w:marRight w:val="0"/>
      <w:marTop w:val="0"/>
      <w:marBottom w:val="0"/>
      <w:divBdr>
        <w:top w:val="none" w:sz="0" w:space="0" w:color="auto"/>
        <w:left w:val="none" w:sz="0" w:space="0" w:color="auto"/>
        <w:bottom w:val="none" w:sz="0" w:space="0" w:color="auto"/>
        <w:right w:val="none" w:sz="0" w:space="0" w:color="auto"/>
      </w:divBdr>
    </w:div>
    <w:div w:id="1922399270">
      <w:bodyDiv w:val="1"/>
      <w:marLeft w:val="0"/>
      <w:marRight w:val="0"/>
      <w:marTop w:val="0"/>
      <w:marBottom w:val="0"/>
      <w:divBdr>
        <w:top w:val="none" w:sz="0" w:space="0" w:color="auto"/>
        <w:left w:val="none" w:sz="0" w:space="0" w:color="auto"/>
        <w:bottom w:val="none" w:sz="0" w:space="0" w:color="auto"/>
        <w:right w:val="none" w:sz="0" w:space="0" w:color="auto"/>
      </w:divBdr>
    </w:div>
    <w:div w:id="1922445981">
      <w:bodyDiv w:val="1"/>
      <w:marLeft w:val="0"/>
      <w:marRight w:val="0"/>
      <w:marTop w:val="0"/>
      <w:marBottom w:val="0"/>
      <w:divBdr>
        <w:top w:val="none" w:sz="0" w:space="0" w:color="auto"/>
        <w:left w:val="none" w:sz="0" w:space="0" w:color="auto"/>
        <w:bottom w:val="none" w:sz="0" w:space="0" w:color="auto"/>
        <w:right w:val="none" w:sz="0" w:space="0" w:color="auto"/>
      </w:divBdr>
    </w:div>
    <w:div w:id="1922448042">
      <w:bodyDiv w:val="1"/>
      <w:marLeft w:val="0"/>
      <w:marRight w:val="0"/>
      <w:marTop w:val="0"/>
      <w:marBottom w:val="0"/>
      <w:divBdr>
        <w:top w:val="none" w:sz="0" w:space="0" w:color="auto"/>
        <w:left w:val="none" w:sz="0" w:space="0" w:color="auto"/>
        <w:bottom w:val="none" w:sz="0" w:space="0" w:color="auto"/>
        <w:right w:val="none" w:sz="0" w:space="0" w:color="auto"/>
      </w:divBdr>
    </w:div>
    <w:div w:id="1922450519">
      <w:bodyDiv w:val="1"/>
      <w:marLeft w:val="0"/>
      <w:marRight w:val="0"/>
      <w:marTop w:val="0"/>
      <w:marBottom w:val="0"/>
      <w:divBdr>
        <w:top w:val="none" w:sz="0" w:space="0" w:color="auto"/>
        <w:left w:val="none" w:sz="0" w:space="0" w:color="auto"/>
        <w:bottom w:val="none" w:sz="0" w:space="0" w:color="auto"/>
        <w:right w:val="none" w:sz="0" w:space="0" w:color="auto"/>
      </w:divBdr>
    </w:div>
    <w:div w:id="1922524392">
      <w:bodyDiv w:val="1"/>
      <w:marLeft w:val="0"/>
      <w:marRight w:val="0"/>
      <w:marTop w:val="0"/>
      <w:marBottom w:val="0"/>
      <w:divBdr>
        <w:top w:val="none" w:sz="0" w:space="0" w:color="auto"/>
        <w:left w:val="none" w:sz="0" w:space="0" w:color="auto"/>
        <w:bottom w:val="none" w:sz="0" w:space="0" w:color="auto"/>
        <w:right w:val="none" w:sz="0" w:space="0" w:color="auto"/>
      </w:divBdr>
    </w:div>
    <w:div w:id="1922568244">
      <w:bodyDiv w:val="1"/>
      <w:marLeft w:val="0"/>
      <w:marRight w:val="0"/>
      <w:marTop w:val="0"/>
      <w:marBottom w:val="0"/>
      <w:divBdr>
        <w:top w:val="none" w:sz="0" w:space="0" w:color="auto"/>
        <w:left w:val="none" w:sz="0" w:space="0" w:color="auto"/>
        <w:bottom w:val="none" w:sz="0" w:space="0" w:color="auto"/>
        <w:right w:val="none" w:sz="0" w:space="0" w:color="auto"/>
      </w:divBdr>
    </w:div>
    <w:div w:id="1922592819">
      <w:bodyDiv w:val="1"/>
      <w:marLeft w:val="0"/>
      <w:marRight w:val="0"/>
      <w:marTop w:val="0"/>
      <w:marBottom w:val="0"/>
      <w:divBdr>
        <w:top w:val="none" w:sz="0" w:space="0" w:color="auto"/>
        <w:left w:val="none" w:sz="0" w:space="0" w:color="auto"/>
        <w:bottom w:val="none" w:sz="0" w:space="0" w:color="auto"/>
        <w:right w:val="none" w:sz="0" w:space="0" w:color="auto"/>
      </w:divBdr>
    </w:div>
    <w:div w:id="1922760938">
      <w:bodyDiv w:val="1"/>
      <w:marLeft w:val="0"/>
      <w:marRight w:val="0"/>
      <w:marTop w:val="0"/>
      <w:marBottom w:val="0"/>
      <w:divBdr>
        <w:top w:val="none" w:sz="0" w:space="0" w:color="auto"/>
        <w:left w:val="none" w:sz="0" w:space="0" w:color="auto"/>
        <w:bottom w:val="none" w:sz="0" w:space="0" w:color="auto"/>
        <w:right w:val="none" w:sz="0" w:space="0" w:color="auto"/>
      </w:divBdr>
    </w:div>
    <w:div w:id="1922787094">
      <w:bodyDiv w:val="1"/>
      <w:marLeft w:val="0"/>
      <w:marRight w:val="0"/>
      <w:marTop w:val="0"/>
      <w:marBottom w:val="0"/>
      <w:divBdr>
        <w:top w:val="none" w:sz="0" w:space="0" w:color="auto"/>
        <w:left w:val="none" w:sz="0" w:space="0" w:color="auto"/>
        <w:bottom w:val="none" w:sz="0" w:space="0" w:color="auto"/>
        <w:right w:val="none" w:sz="0" w:space="0" w:color="auto"/>
      </w:divBdr>
    </w:div>
    <w:div w:id="1922790686">
      <w:bodyDiv w:val="1"/>
      <w:marLeft w:val="0"/>
      <w:marRight w:val="0"/>
      <w:marTop w:val="0"/>
      <w:marBottom w:val="0"/>
      <w:divBdr>
        <w:top w:val="none" w:sz="0" w:space="0" w:color="auto"/>
        <w:left w:val="none" w:sz="0" w:space="0" w:color="auto"/>
        <w:bottom w:val="none" w:sz="0" w:space="0" w:color="auto"/>
        <w:right w:val="none" w:sz="0" w:space="0" w:color="auto"/>
      </w:divBdr>
    </w:div>
    <w:div w:id="1922907693">
      <w:bodyDiv w:val="1"/>
      <w:marLeft w:val="0"/>
      <w:marRight w:val="0"/>
      <w:marTop w:val="0"/>
      <w:marBottom w:val="0"/>
      <w:divBdr>
        <w:top w:val="none" w:sz="0" w:space="0" w:color="auto"/>
        <w:left w:val="none" w:sz="0" w:space="0" w:color="auto"/>
        <w:bottom w:val="none" w:sz="0" w:space="0" w:color="auto"/>
        <w:right w:val="none" w:sz="0" w:space="0" w:color="auto"/>
      </w:divBdr>
    </w:div>
    <w:div w:id="1922982313">
      <w:bodyDiv w:val="1"/>
      <w:marLeft w:val="0"/>
      <w:marRight w:val="0"/>
      <w:marTop w:val="0"/>
      <w:marBottom w:val="0"/>
      <w:divBdr>
        <w:top w:val="none" w:sz="0" w:space="0" w:color="auto"/>
        <w:left w:val="none" w:sz="0" w:space="0" w:color="auto"/>
        <w:bottom w:val="none" w:sz="0" w:space="0" w:color="auto"/>
        <w:right w:val="none" w:sz="0" w:space="0" w:color="auto"/>
      </w:divBdr>
    </w:div>
    <w:div w:id="1922988794">
      <w:bodyDiv w:val="1"/>
      <w:marLeft w:val="0"/>
      <w:marRight w:val="0"/>
      <w:marTop w:val="0"/>
      <w:marBottom w:val="0"/>
      <w:divBdr>
        <w:top w:val="none" w:sz="0" w:space="0" w:color="auto"/>
        <w:left w:val="none" w:sz="0" w:space="0" w:color="auto"/>
        <w:bottom w:val="none" w:sz="0" w:space="0" w:color="auto"/>
        <w:right w:val="none" w:sz="0" w:space="0" w:color="auto"/>
      </w:divBdr>
    </w:div>
    <w:div w:id="1923029155">
      <w:bodyDiv w:val="1"/>
      <w:marLeft w:val="0"/>
      <w:marRight w:val="0"/>
      <w:marTop w:val="0"/>
      <w:marBottom w:val="0"/>
      <w:divBdr>
        <w:top w:val="none" w:sz="0" w:space="0" w:color="auto"/>
        <w:left w:val="none" w:sz="0" w:space="0" w:color="auto"/>
        <w:bottom w:val="none" w:sz="0" w:space="0" w:color="auto"/>
        <w:right w:val="none" w:sz="0" w:space="0" w:color="auto"/>
      </w:divBdr>
    </w:div>
    <w:div w:id="1923098944">
      <w:bodyDiv w:val="1"/>
      <w:marLeft w:val="0"/>
      <w:marRight w:val="0"/>
      <w:marTop w:val="0"/>
      <w:marBottom w:val="0"/>
      <w:divBdr>
        <w:top w:val="none" w:sz="0" w:space="0" w:color="auto"/>
        <w:left w:val="none" w:sz="0" w:space="0" w:color="auto"/>
        <w:bottom w:val="none" w:sz="0" w:space="0" w:color="auto"/>
        <w:right w:val="none" w:sz="0" w:space="0" w:color="auto"/>
      </w:divBdr>
    </w:div>
    <w:div w:id="1923175123">
      <w:bodyDiv w:val="1"/>
      <w:marLeft w:val="0"/>
      <w:marRight w:val="0"/>
      <w:marTop w:val="0"/>
      <w:marBottom w:val="0"/>
      <w:divBdr>
        <w:top w:val="none" w:sz="0" w:space="0" w:color="auto"/>
        <w:left w:val="none" w:sz="0" w:space="0" w:color="auto"/>
        <w:bottom w:val="none" w:sz="0" w:space="0" w:color="auto"/>
        <w:right w:val="none" w:sz="0" w:space="0" w:color="auto"/>
      </w:divBdr>
    </w:div>
    <w:div w:id="1923292000">
      <w:bodyDiv w:val="1"/>
      <w:marLeft w:val="0"/>
      <w:marRight w:val="0"/>
      <w:marTop w:val="0"/>
      <w:marBottom w:val="0"/>
      <w:divBdr>
        <w:top w:val="none" w:sz="0" w:space="0" w:color="auto"/>
        <w:left w:val="none" w:sz="0" w:space="0" w:color="auto"/>
        <w:bottom w:val="none" w:sz="0" w:space="0" w:color="auto"/>
        <w:right w:val="none" w:sz="0" w:space="0" w:color="auto"/>
      </w:divBdr>
    </w:div>
    <w:div w:id="1923441405">
      <w:bodyDiv w:val="1"/>
      <w:marLeft w:val="0"/>
      <w:marRight w:val="0"/>
      <w:marTop w:val="0"/>
      <w:marBottom w:val="0"/>
      <w:divBdr>
        <w:top w:val="none" w:sz="0" w:space="0" w:color="auto"/>
        <w:left w:val="none" w:sz="0" w:space="0" w:color="auto"/>
        <w:bottom w:val="none" w:sz="0" w:space="0" w:color="auto"/>
        <w:right w:val="none" w:sz="0" w:space="0" w:color="auto"/>
      </w:divBdr>
    </w:div>
    <w:div w:id="1923493295">
      <w:bodyDiv w:val="1"/>
      <w:marLeft w:val="0"/>
      <w:marRight w:val="0"/>
      <w:marTop w:val="0"/>
      <w:marBottom w:val="0"/>
      <w:divBdr>
        <w:top w:val="none" w:sz="0" w:space="0" w:color="auto"/>
        <w:left w:val="none" w:sz="0" w:space="0" w:color="auto"/>
        <w:bottom w:val="none" w:sz="0" w:space="0" w:color="auto"/>
        <w:right w:val="none" w:sz="0" w:space="0" w:color="auto"/>
      </w:divBdr>
    </w:div>
    <w:div w:id="1923567747">
      <w:bodyDiv w:val="1"/>
      <w:marLeft w:val="0"/>
      <w:marRight w:val="0"/>
      <w:marTop w:val="0"/>
      <w:marBottom w:val="0"/>
      <w:divBdr>
        <w:top w:val="none" w:sz="0" w:space="0" w:color="auto"/>
        <w:left w:val="none" w:sz="0" w:space="0" w:color="auto"/>
        <w:bottom w:val="none" w:sz="0" w:space="0" w:color="auto"/>
        <w:right w:val="none" w:sz="0" w:space="0" w:color="auto"/>
      </w:divBdr>
    </w:div>
    <w:div w:id="1923755318">
      <w:bodyDiv w:val="1"/>
      <w:marLeft w:val="0"/>
      <w:marRight w:val="0"/>
      <w:marTop w:val="0"/>
      <w:marBottom w:val="0"/>
      <w:divBdr>
        <w:top w:val="none" w:sz="0" w:space="0" w:color="auto"/>
        <w:left w:val="none" w:sz="0" w:space="0" w:color="auto"/>
        <w:bottom w:val="none" w:sz="0" w:space="0" w:color="auto"/>
        <w:right w:val="none" w:sz="0" w:space="0" w:color="auto"/>
      </w:divBdr>
    </w:div>
    <w:div w:id="1923755371">
      <w:bodyDiv w:val="1"/>
      <w:marLeft w:val="0"/>
      <w:marRight w:val="0"/>
      <w:marTop w:val="0"/>
      <w:marBottom w:val="0"/>
      <w:divBdr>
        <w:top w:val="none" w:sz="0" w:space="0" w:color="auto"/>
        <w:left w:val="none" w:sz="0" w:space="0" w:color="auto"/>
        <w:bottom w:val="none" w:sz="0" w:space="0" w:color="auto"/>
        <w:right w:val="none" w:sz="0" w:space="0" w:color="auto"/>
      </w:divBdr>
    </w:div>
    <w:div w:id="1923877672">
      <w:bodyDiv w:val="1"/>
      <w:marLeft w:val="0"/>
      <w:marRight w:val="0"/>
      <w:marTop w:val="0"/>
      <w:marBottom w:val="0"/>
      <w:divBdr>
        <w:top w:val="none" w:sz="0" w:space="0" w:color="auto"/>
        <w:left w:val="none" w:sz="0" w:space="0" w:color="auto"/>
        <w:bottom w:val="none" w:sz="0" w:space="0" w:color="auto"/>
        <w:right w:val="none" w:sz="0" w:space="0" w:color="auto"/>
      </w:divBdr>
    </w:div>
    <w:div w:id="1923953692">
      <w:bodyDiv w:val="1"/>
      <w:marLeft w:val="0"/>
      <w:marRight w:val="0"/>
      <w:marTop w:val="0"/>
      <w:marBottom w:val="0"/>
      <w:divBdr>
        <w:top w:val="none" w:sz="0" w:space="0" w:color="auto"/>
        <w:left w:val="none" w:sz="0" w:space="0" w:color="auto"/>
        <w:bottom w:val="none" w:sz="0" w:space="0" w:color="auto"/>
        <w:right w:val="none" w:sz="0" w:space="0" w:color="auto"/>
      </w:divBdr>
    </w:div>
    <w:div w:id="1924022067">
      <w:bodyDiv w:val="1"/>
      <w:marLeft w:val="0"/>
      <w:marRight w:val="0"/>
      <w:marTop w:val="0"/>
      <w:marBottom w:val="0"/>
      <w:divBdr>
        <w:top w:val="none" w:sz="0" w:space="0" w:color="auto"/>
        <w:left w:val="none" w:sz="0" w:space="0" w:color="auto"/>
        <w:bottom w:val="none" w:sz="0" w:space="0" w:color="auto"/>
        <w:right w:val="none" w:sz="0" w:space="0" w:color="auto"/>
      </w:divBdr>
    </w:div>
    <w:div w:id="1924022945">
      <w:bodyDiv w:val="1"/>
      <w:marLeft w:val="0"/>
      <w:marRight w:val="0"/>
      <w:marTop w:val="0"/>
      <w:marBottom w:val="0"/>
      <w:divBdr>
        <w:top w:val="none" w:sz="0" w:space="0" w:color="auto"/>
        <w:left w:val="none" w:sz="0" w:space="0" w:color="auto"/>
        <w:bottom w:val="none" w:sz="0" w:space="0" w:color="auto"/>
        <w:right w:val="none" w:sz="0" w:space="0" w:color="auto"/>
      </w:divBdr>
    </w:div>
    <w:div w:id="1924148592">
      <w:bodyDiv w:val="1"/>
      <w:marLeft w:val="0"/>
      <w:marRight w:val="0"/>
      <w:marTop w:val="0"/>
      <w:marBottom w:val="0"/>
      <w:divBdr>
        <w:top w:val="none" w:sz="0" w:space="0" w:color="auto"/>
        <w:left w:val="none" w:sz="0" w:space="0" w:color="auto"/>
        <w:bottom w:val="none" w:sz="0" w:space="0" w:color="auto"/>
        <w:right w:val="none" w:sz="0" w:space="0" w:color="auto"/>
      </w:divBdr>
    </w:div>
    <w:div w:id="1924292439">
      <w:bodyDiv w:val="1"/>
      <w:marLeft w:val="0"/>
      <w:marRight w:val="0"/>
      <w:marTop w:val="0"/>
      <w:marBottom w:val="0"/>
      <w:divBdr>
        <w:top w:val="none" w:sz="0" w:space="0" w:color="auto"/>
        <w:left w:val="none" w:sz="0" w:space="0" w:color="auto"/>
        <w:bottom w:val="none" w:sz="0" w:space="0" w:color="auto"/>
        <w:right w:val="none" w:sz="0" w:space="0" w:color="auto"/>
      </w:divBdr>
    </w:div>
    <w:div w:id="1924292867">
      <w:bodyDiv w:val="1"/>
      <w:marLeft w:val="0"/>
      <w:marRight w:val="0"/>
      <w:marTop w:val="0"/>
      <w:marBottom w:val="0"/>
      <w:divBdr>
        <w:top w:val="none" w:sz="0" w:space="0" w:color="auto"/>
        <w:left w:val="none" w:sz="0" w:space="0" w:color="auto"/>
        <w:bottom w:val="none" w:sz="0" w:space="0" w:color="auto"/>
        <w:right w:val="none" w:sz="0" w:space="0" w:color="auto"/>
      </w:divBdr>
    </w:div>
    <w:div w:id="1924294739">
      <w:bodyDiv w:val="1"/>
      <w:marLeft w:val="0"/>
      <w:marRight w:val="0"/>
      <w:marTop w:val="0"/>
      <w:marBottom w:val="0"/>
      <w:divBdr>
        <w:top w:val="none" w:sz="0" w:space="0" w:color="auto"/>
        <w:left w:val="none" w:sz="0" w:space="0" w:color="auto"/>
        <w:bottom w:val="none" w:sz="0" w:space="0" w:color="auto"/>
        <w:right w:val="none" w:sz="0" w:space="0" w:color="auto"/>
      </w:divBdr>
    </w:div>
    <w:div w:id="1924298419">
      <w:bodyDiv w:val="1"/>
      <w:marLeft w:val="0"/>
      <w:marRight w:val="0"/>
      <w:marTop w:val="0"/>
      <w:marBottom w:val="0"/>
      <w:divBdr>
        <w:top w:val="none" w:sz="0" w:space="0" w:color="auto"/>
        <w:left w:val="none" w:sz="0" w:space="0" w:color="auto"/>
        <w:bottom w:val="none" w:sz="0" w:space="0" w:color="auto"/>
        <w:right w:val="none" w:sz="0" w:space="0" w:color="auto"/>
      </w:divBdr>
    </w:div>
    <w:div w:id="1924412869">
      <w:bodyDiv w:val="1"/>
      <w:marLeft w:val="0"/>
      <w:marRight w:val="0"/>
      <w:marTop w:val="0"/>
      <w:marBottom w:val="0"/>
      <w:divBdr>
        <w:top w:val="none" w:sz="0" w:space="0" w:color="auto"/>
        <w:left w:val="none" w:sz="0" w:space="0" w:color="auto"/>
        <w:bottom w:val="none" w:sz="0" w:space="0" w:color="auto"/>
        <w:right w:val="none" w:sz="0" w:space="0" w:color="auto"/>
      </w:divBdr>
    </w:div>
    <w:div w:id="1924532767">
      <w:bodyDiv w:val="1"/>
      <w:marLeft w:val="0"/>
      <w:marRight w:val="0"/>
      <w:marTop w:val="0"/>
      <w:marBottom w:val="0"/>
      <w:divBdr>
        <w:top w:val="none" w:sz="0" w:space="0" w:color="auto"/>
        <w:left w:val="none" w:sz="0" w:space="0" w:color="auto"/>
        <w:bottom w:val="none" w:sz="0" w:space="0" w:color="auto"/>
        <w:right w:val="none" w:sz="0" w:space="0" w:color="auto"/>
      </w:divBdr>
    </w:div>
    <w:div w:id="1924608380">
      <w:bodyDiv w:val="1"/>
      <w:marLeft w:val="0"/>
      <w:marRight w:val="0"/>
      <w:marTop w:val="0"/>
      <w:marBottom w:val="0"/>
      <w:divBdr>
        <w:top w:val="none" w:sz="0" w:space="0" w:color="auto"/>
        <w:left w:val="none" w:sz="0" w:space="0" w:color="auto"/>
        <w:bottom w:val="none" w:sz="0" w:space="0" w:color="auto"/>
        <w:right w:val="none" w:sz="0" w:space="0" w:color="auto"/>
      </w:divBdr>
    </w:div>
    <w:div w:id="1924727133">
      <w:bodyDiv w:val="1"/>
      <w:marLeft w:val="0"/>
      <w:marRight w:val="0"/>
      <w:marTop w:val="0"/>
      <w:marBottom w:val="0"/>
      <w:divBdr>
        <w:top w:val="none" w:sz="0" w:space="0" w:color="auto"/>
        <w:left w:val="none" w:sz="0" w:space="0" w:color="auto"/>
        <w:bottom w:val="none" w:sz="0" w:space="0" w:color="auto"/>
        <w:right w:val="none" w:sz="0" w:space="0" w:color="auto"/>
      </w:divBdr>
    </w:div>
    <w:div w:id="1924755101">
      <w:bodyDiv w:val="1"/>
      <w:marLeft w:val="0"/>
      <w:marRight w:val="0"/>
      <w:marTop w:val="0"/>
      <w:marBottom w:val="0"/>
      <w:divBdr>
        <w:top w:val="none" w:sz="0" w:space="0" w:color="auto"/>
        <w:left w:val="none" w:sz="0" w:space="0" w:color="auto"/>
        <w:bottom w:val="none" w:sz="0" w:space="0" w:color="auto"/>
        <w:right w:val="none" w:sz="0" w:space="0" w:color="auto"/>
      </w:divBdr>
    </w:div>
    <w:div w:id="1924758235">
      <w:bodyDiv w:val="1"/>
      <w:marLeft w:val="0"/>
      <w:marRight w:val="0"/>
      <w:marTop w:val="0"/>
      <w:marBottom w:val="0"/>
      <w:divBdr>
        <w:top w:val="none" w:sz="0" w:space="0" w:color="auto"/>
        <w:left w:val="none" w:sz="0" w:space="0" w:color="auto"/>
        <w:bottom w:val="none" w:sz="0" w:space="0" w:color="auto"/>
        <w:right w:val="none" w:sz="0" w:space="0" w:color="auto"/>
      </w:divBdr>
    </w:div>
    <w:div w:id="1924802303">
      <w:bodyDiv w:val="1"/>
      <w:marLeft w:val="0"/>
      <w:marRight w:val="0"/>
      <w:marTop w:val="0"/>
      <w:marBottom w:val="0"/>
      <w:divBdr>
        <w:top w:val="none" w:sz="0" w:space="0" w:color="auto"/>
        <w:left w:val="none" w:sz="0" w:space="0" w:color="auto"/>
        <w:bottom w:val="none" w:sz="0" w:space="0" w:color="auto"/>
        <w:right w:val="none" w:sz="0" w:space="0" w:color="auto"/>
      </w:divBdr>
    </w:div>
    <w:div w:id="1924803801">
      <w:bodyDiv w:val="1"/>
      <w:marLeft w:val="0"/>
      <w:marRight w:val="0"/>
      <w:marTop w:val="0"/>
      <w:marBottom w:val="0"/>
      <w:divBdr>
        <w:top w:val="none" w:sz="0" w:space="0" w:color="auto"/>
        <w:left w:val="none" w:sz="0" w:space="0" w:color="auto"/>
        <w:bottom w:val="none" w:sz="0" w:space="0" w:color="auto"/>
        <w:right w:val="none" w:sz="0" w:space="0" w:color="auto"/>
      </w:divBdr>
    </w:div>
    <w:div w:id="1924878327">
      <w:bodyDiv w:val="1"/>
      <w:marLeft w:val="0"/>
      <w:marRight w:val="0"/>
      <w:marTop w:val="0"/>
      <w:marBottom w:val="0"/>
      <w:divBdr>
        <w:top w:val="none" w:sz="0" w:space="0" w:color="auto"/>
        <w:left w:val="none" w:sz="0" w:space="0" w:color="auto"/>
        <w:bottom w:val="none" w:sz="0" w:space="0" w:color="auto"/>
        <w:right w:val="none" w:sz="0" w:space="0" w:color="auto"/>
      </w:divBdr>
    </w:div>
    <w:div w:id="1924949394">
      <w:bodyDiv w:val="1"/>
      <w:marLeft w:val="0"/>
      <w:marRight w:val="0"/>
      <w:marTop w:val="0"/>
      <w:marBottom w:val="0"/>
      <w:divBdr>
        <w:top w:val="none" w:sz="0" w:space="0" w:color="auto"/>
        <w:left w:val="none" w:sz="0" w:space="0" w:color="auto"/>
        <w:bottom w:val="none" w:sz="0" w:space="0" w:color="auto"/>
        <w:right w:val="none" w:sz="0" w:space="0" w:color="auto"/>
      </w:divBdr>
    </w:div>
    <w:div w:id="1925140729">
      <w:bodyDiv w:val="1"/>
      <w:marLeft w:val="0"/>
      <w:marRight w:val="0"/>
      <w:marTop w:val="0"/>
      <w:marBottom w:val="0"/>
      <w:divBdr>
        <w:top w:val="none" w:sz="0" w:space="0" w:color="auto"/>
        <w:left w:val="none" w:sz="0" w:space="0" w:color="auto"/>
        <w:bottom w:val="none" w:sz="0" w:space="0" w:color="auto"/>
        <w:right w:val="none" w:sz="0" w:space="0" w:color="auto"/>
      </w:divBdr>
    </w:div>
    <w:div w:id="1925146779">
      <w:bodyDiv w:val="1"/>
      <w:marLeft w:val="0"/>
      <w:marRight w:val="0"/>
      <w:marTop w:val="0"/>
      <w:marBottom w:val="0"/>
      <w:divBdr>
        <w:top w:val="none" w:sz="0" w:space="0" w:color="auto"/>
        <w:left w:val="none" w:sz="0" w:space="0" w:color="auto"/>
        <w:bottom w:val="none" w:sz="0" w:space="0" w:color="auto"/>
        <w:right w:val="none" w:sz="0" w:space="0" w:color="auto"/>
      </w:divBdr>
    </w:div>
    <w:div w:id="1925190497">
      <w:bodyDiv w:val="1"/>
      <w:marLeft w:val="0"/>
      <w:marRight w:val="0"/>
      <w:marTop w:val="0"/>
      <w:marBottom w:val="0"/>
      <w:divBdr>
        <w:top w:val="none" w:sz="0" w:space="0" w:color="auto"/>
        <w:left w:val="none" w:sz="0" w:space="0" w:color="auto"/>
        <w:bottom w:val="none" w:sz="0" w:space="0" w:color="auto"/>
        <w:right w:val="none" w:sz="0" w:space="0" w:color="auto"/>
      </w:divBdr>
    </w:div>
    <w:div w:id="1925216914">
      <w:bodyDiv w:val="1"/>
      <w:marLeft w:val="0"/>
      <w:marRight w:val="0"/>
      <w:marTop w:val="0"/>
      <w:marBottom w:val="0"/>
      <w:divBdr>
        <w:top w:val="none" w:sz="0" w:space="0" w:color="auto"/>
        <w:left w:val="none" w:sz="0" w:space="0" w:color="auto"/>
        <w:bottom w:val="none" w:sz="0" w:space="0" w:color="auto"/>
        <w:right w:val="none" w:sz="0" w:space="0" w:color="auto"/>
      </w:divBdr>
    </w:div>
    <w:div w:id="1925339149">
      <w:bodyDiv w:val="1"/>
      <w:marLeft w:val="0"/>
      <w:marRight w:val="0"/>
      <w:marTop w:val="0"/>
      <w:marBottom w:val="0"/>
      <w:divBdr>
        <w:top w:val="none" w:sz="0" w:space="0" w:color="auto"/>
        <w:left w:val="none" w:sz="0" w:space="0" w:color="auto"/>
        <w:bottom w:val="none" w:sz="0" w:space="0" w:color="auto"/>
        <w:right w:val="none" w:sz="0" w:space="0" w:color="auto"/>
      </w:divBdr>
    </w:div>
    <w:div w:id="1925410016">
      <w:bodyDiv w:val="1"/>
      <w:marLeft w:val="0"/>
      <w:marRight w:val="0"/>
      <w:marTop w:val="0"/>
      <w:marBottom w:val="0"/>
      <w:divBdr>
        <w:top w:val="none" w:sz="0" w:space="0" w:color="auto"/>
        <w:left w:val="none" w:sz="0" w:space="0" w:color="auto"/>
        <w:bottom w:val="none" w:sz="0" w:space="0" w:color="auto"/>
        <w:right w:val="none" w:sz="0" w:space="0" w:color="auto"/>
      </w:divBdr>
    </w:div>
    <w:div w:id="1925414586">
      <w:bodyDiv w:val="1"/>
      <w:marLeft w:val="0"/>
      <w:marRight w:val="0"/>
      <w:marTop w:val="0"/>
      <w:marBottom w:val="0"/>
      <w:divBdr>
        <w:top w:val="none" w:sz="0" w:space="0" w:color="auto"/>
        <w:left w:val="none" w:sz="0" w:space="0" w:color="auto"/>
        <w:bottom w:val="none" w:sz="0" w:space="0" w:color="auto"/>
        <w:right w:val="none" w:sz="0" w:space="0" w:color="auto"/>
      </w:divBdr>
    </w:div>
    <w:div w:id="1925602621">
      <w:bodyDiv w:val="1"/>
      <w:marLeft w:val="0"/>
      <w:marRight w:val="0"/>
      <w:marTop w:val="0"/>
      <w:marBottom w:val="0"/>
      <w:divBdr>
        <w:top w:val="none" w:sz="0" w:space="0" w:color="auto"/>
        <w:left w:val="none" w:sz="0" w:space="0" w:color="auto"/>
        <w:bottom w:val="none" w:sz="0" w:space="0" w:color="auto"/>
        <w:right w:val="none" w:sz="0" w:space="0" w:color="auto"/>
      </w:divBdr>
    </w:div>
    <w:div w:id="1925603578">
      <w:bodyDiv w:val="1"/>
      <w:marLeft w:val="0"/>
      <w:marRight w:val="0"/>
      <w:marTop w:val="0"/>
      <w:marBottom w:val="0"/>
      <w:divBdr>
        <w:top w:val="none" w:sz="0" w:space="0" w:color="auto"/>
        <w:left w:val="none" w:sz="0" w:space="0" w:color="auto"/>
        <w:bottom w:val="none" w:sz="0" w:space="0" w:color="auto"/>
        <w:right w:val="none" w:sz="0" w:space="0" w:color="auto"/>
      </w:divBdr>
    </w:div>
    <w:div w:id="1925604821">
      <w:bodyDiv w:val="1"/>
      <w:marLeft w:val="0"/>
      <w:marRight w:val="0"/>
      <w:marTop w:val="0"/>
      <w:marBottom w:val="0"/>
      <w:divBdr>
        <w:top w:val="none" w:sz="0" w:space="0" w:color="auto"/>
        <w:left w:val="none" w:sz="0" w:space="0" w:color="auto"/>
        <w:bottom w:val="none" w:sz="0" w:space="0" w:color="auto"/>
        <w:right w:val="none" w:sz="0" w:space="0" w:color="auto"/>
      </w:divBdr>
    </w:div>
    <w:div w:id="1925649101">
      <w:bodyDiv w:val="1"/>
      <w:marLeft w:val="0"/>
      <w:marRight w:val="0"/>
      <w:marTop w:val="0"/>
      <w:marBottom w:val="0"/>
      <w:divBdr>
        <w:top w:val="none" w:sz="0" w:space="0" w:color="auto"/>
        <w:left w:val="none" w:sz="0" w:space="0" w:color="auto"/>
        <w:bottom w:val="none" w:sz="0" w:space="0" w:color="auto"/>
        <w:right w:val="none" w:sz="0" w:space="0" w:color="auto"/>
      </w:divBdr>
    </w:div>
    <w:div w:id="1925994560">
      <w:bodyDiv w:val="1"/>
      <w:marLeft w:val="0"/>
      <w:marRight w:val="0"/>
      <w:marTop w:val="0"/>
      <w:marBottom w:val="0"/>
      <w:divBdr>
        <w:top w:val="none" w:sz="0" w:space="0" w:color="auto"/>
        <w:left w:val="none" w:sz="0" w:space="0" w:color="auto"/>
        <w:bottom w:val="none" w:sz="0" w:space="0" w:color="auto"/>
        <w:right w:val="none" w:sz="0" w:space="0" w:color="auto"/>
      </w:divBdr>
    </w:div>
    <w:div w:id="1926065295">
      <w:bodyDiv w:val="1"/>
      <w:marLeft w:val="0"/>
      <w:marRight w:val="0"/>
      <w:marTop w:val="0"/>
      <w:marBottom w:val="0"/>
      <w:divBdr>
        <w:top w:val="none" w:sz="0" w:space="0" w:color="auto"/>
        <w:left w:val="none" w:sz="0" w:space="0" w:color="auto"/>
        <w:bottom w:val="none" w:sz="0" w:space="0" w:color="auto"/>
        <w:right w:val="none" w:sz="0" w:space="0" w:color="auto"/>
      </w:divBdr>
    </w:div>
    <w:div w:id="1926065679">
      <w:bodyDiv w:val="1"/>
      <w:marLeft w:val="0"/>
      <w:marRight w:val="0"/>
      <w:marTop w:val="0"/>
      <w:marBottom w:val="0"/>
      <w:divBdr>
        <w:top w:val="none" w:sz="0" w:space="0" w:color="auto"/>
        <w:left w:val="none" w:sz="0" w:space="0" w:color="auto"/>
        <w:bottom w:val="none" w:sz="0" w:space="0" w:color="auto"/>
        <w:right w:val="none" w:sz="0" w:space="0" w:color="auto"/>
      </w:divBdr>
    </w:div>
    <w:div w:id="1926069665">
      <w:bodyDiv w:val="1"/>
      <w:marLeft w:val="0"/>
      <w:marRight w:val="0"/>
      <w:marTop w:val="0"/>
      <w:marBottom w:val="0"/>
      <w:divBdr>
        <w:top w:val="none" w:sz="0" w:space="0" w:color="auto"/>
        <w:left w:val="none" w:sz="0" w:space="0" w:color="auto"/>
        <w:bottom w:val="none" w:sz="0" w:space="0" w:color="auto"/>
        <w:right w:val="none" w:sz="0" w:space="0" w:color="auto"/>
      </w:divBdr>
    </w:div>
    <w:div w:id="1926108549">
      <w:bodyDiv w:val="1"/>
      <w:marLeft w:val="0"/>
      <w:marRight w:val="0"/>
      <w:marTop w:val="0"/>
      <w:marBottom w:val="0"/>
      <w:divBdr>
        <w:top w:val="none" w:sz="0" w:space="0" w:color="auto"/>
        <w:left w:val="none" w:sz="0" w:space="0" w:color="auto"/>
        <w:bottom w:val="none" w:sz="0" w:space="0" w:color="auto"/>
        <w:right w:val="none" w:sz="0" w:space="0" w:color="auto"/>
      </w:divBdr>
    </w:div>
    <w:div w:id="1926113443">
      <w:bodyDiv w:val="1"/>
      <w:marLeft w:val="0"/>
      <w:marRight w:val="0"/>
      <w:marTop w:val="0"/>
      <w:marBottom w:val="0"/>
      <w:divBdr>
        <w:top w:val="none" w:sz="0" w:space="0" w:color="auto"/>
        <w:left w:val="none" w:sz="0" w:space="0" w:color="auto"/>
        <w:bottom w:val="none" w:sz="0" w:space="0" w:color="auto"/>
        <w:right w:val="none" w:sz="0" w:space="0" w:color="auto"/>
      </w:divBdr>
    </w:div>
    <w:div w:id="1926181239">
      <w:bodyDiv w:val="1"/>
      <w:marLeft w:val="0"/>
      <w:marRight w:val="0"/>
      <w:marTop w:val="0"/>
      <w:marBottom w:val="0"/>
      <w:divBdr>
        <w:top w:val="none" w:sz="0" w:space="0" w:color="auto"/>
        <w:left w:val="none" w:sz="0" w:space="0" w:color="auto"/>
        <w:bottom w:val="none" w:sz="0" w:space="0" w:color="auto"/>
        <w:right w:val="none" w:sz="0" w:space="0" w:color="auto"/>
      </w:divBdr>
    </w:div>
    <w:div w:id="1926185279">
      <w:bodyDiv w:val="1"/>
      <w:marLeft w:val="0"/>
      <w:marRight w:val="0"/>
      <w:marTop w:val="0"/>
      <w:marBottom w:val="0"/>
      <w:divBdr>
        <w:top w:val="none" w:sz="0" w:space="0" w:color="auto"/>
        <w:left w:val="none" w:sz="0" w:space="0" w:color="auto"/>
        <w:bottom w:val="none" w:sz="0" w:space="0" w:color="auto"/>
        <w:right w:val="none" w:sz="0" w:space="0" w:color="auto"/>
      </w:divBdr>
    </w:div>
    <w:div w:id="1926304449">
      <w:bodyDiv w:val="1"/>
      <w:marLeft w:val="0"/>
      <w:marRight w:val="0"/>
      <w:marTop w:val="0"/>
      <w:marBottom w:val="0"/>
      <w:divBdr>
        <w:top w:val="none" w:sz="0" w:space="0" w:color="auto"/>
        <w:left w:val="none" w:sz="0" w:space="0" w:color="auto"/>
        <w:bottom w:val="none" w:sz="0" w:space="0" w:color="auto"/>
        <w:right w:val="none" w:sz="0" w:space="0" w:color="auto"/>
      </w:divBdr>
    </w:div>
    <w:div w:id="1926375901">
      <w:bodyDiv w:val="1"/>
      <w:marLeft w:val="0"/>
      <w:marRight w:val="0"/>
      <w:marTop w:val="0"/>
      <w:marBottom w:val="0"/>
      <w:divBdr>
        <w:top w:val="none" w:sz="0" w:space="0" w:color="auto"/>
        <w:left w:val="none" w:sz="0" w:space="0" w:color="auto"/>
        <w:bottom w:val="none" w:sz="0" w:space="0" w:color="auto"/>
        <w:right w:val="none" w:sz="0" w:space="0" w:color="auto"/>
      </w:divBdr>
    </w:div>
    <w:div w:id="1926382271">
      <w:bodyDiv w:val="1"/>
      <w:marLeft w:val="0"/>
      <w:marRight w:val="0"/>
      <w:marTop w:val="0"/>
      <w:marBottom w:val="0"/>
      <w:divBdr>
        <w:top w:val="none" w:sz="0" w:space="0" w:color="auto"/>
        <w:left w:val="none" w:sz="0" w:space="0" w:color="auto"/>
        <w:bottom w:val="none" w:sz="0" w:space="0" w:color="auto"/>
        <w:right w:val="none" w:sz="0" w:space="0" w:color="auto"/>
      </w:divBdr>
    </w:div>
    <w:div w:id="1926524449">
      <w:bodyDiv w:val="1"/>
      <w:marLeft w:val="0"/>
      <w:marRight w:val="0"/>
      <w:marTop w:val="0"/>
      <w:marBottom w:val="0"/>
      <w:divBdr>
        <w:top w:val="none" w:sz="0" w:space="0" w:color="auto"/>
        <w:left w:val="none" w:sz="0" w:space="0" w:color="auto"/>
        <w:bottom w:val="none" w:sz="0" w:space="0" w:color="auto"/>
        <w:right w:val="none" w:sz="0" w:space="0" w:color="auto"/>
      </w:divBdr>
    </w:div>
    <w:div w:id="1926570114">
      <w:bodyDiv w:val="1"/>
      <w:marLeft w:val="0"/>
      <w:marRight w:val="0"/>
      <w:marTop w:val="0"/>
      <w:marBottom w:val="0"/>
      <w:divBdr>
        <w:top w:val="none" w:sz="0" w:space="0" w:color="auto"/>
        <w:left w:val="none" w:sz="0" w:space="0" w:color="auto"/>
        <w:bottom w:val="none" w:sz="0" w:space="0" w:color="auto"/>
        <w:right w:val="none" w:sz="0" w:space="0" w:color="auto"/>
      </w:divBdr>
    </w:div>
    <w:div w:id="1926646486">
      <w:bodyDiv w:val="1"/>
      <w:marLeft w:val="0"/>
      <w:marRight w:val="0"/>
      <w:marTop w:val="0"/>
      <w:marBottom w:val="0"/>
      <w:divBdr>
        <w:top w:val="none" w:sz="0" w:space="0" w:color="auto"/>
        <w:left w:val="none" w:sz="0" w:space="0" w:color="auto"/>
        <w:bottom w:val="none" w:sz="0" w:space="0" w:color="auto"/>
        <w:right w:val="none" w:sz="0" w:space="0" w:color="auto"/>
      </w:divBdr>
    </w:div>
    <w:div w:id="1926647344">
      <w:bodyDiv w:val="1"/>
      <w:marLeft w:val="0"/>
      <w:marRight w:val="0"/>
      <w:marTop w:val="0"/>
      <w:marBottom w:val="0"/>
      <w:divBdr>
        <w:top w:val="none" w:sz="0" w:space="0" w:color="auto"/>
        <w:left w:val="none" w:sz="0" w:space="0" w:color="auto"/>
        <w:bottom w:val="none" w:sz="0" w:space="0" w:color="auto"/>
        <w:right w:val="none" w:sz="0" w:space="0" w:color="auto"/>
      </w:divBdr>
    </w:div>
    <w:div w:id="1926720282">
      <w:bodyDiv w:val="1"/>
      <w:marLeft w:val="0"/>
      <w:marRight w:val="0"/>
      <w:marTop w:val="0"/>
      <w:marBottom w:val="0"/>
      <w:divBdr>
        <w:top w:val="none" w:sz="0" w:space="0" w:color="auto"/>
        <w:left w:val="none" w:sz="0" w:space="0" w:color="auto"/>
        <w:bottom w:val="none" w:sz="0" w:space="0" w:color="auto"/>
        <w:right w:val="none" w:sz="0" w:space="0" w:color="auto"/>
      </w:divBdr>
    </w:div>
    <w:div w:id="1926764178">
      <w:bodyDiv w:val="1"/>
      <w:marLeft w:val="0"/>
      <w:marRight w:val="0"/>
      <w:marTop w:val="0"/>
      <w:marBottom w:val="0"/>
      <w:divBdr>
        <w:top w:val="none" w:sz="0" w:space="0" w:color="auto"/>
        <w:left w:val="none" w:sz="0" w:space="0" w:color="auto"/>
        <w:bottom w:val="none" w:sz="0" w:space="0" w:color="auto"/>
        <w:right w:val="none" w:sz="0" w:space="0" w:color="auto"/>
      </w:divBdr>
    </w:div>
    <w:div w:id="1926764862">
      <w:bodyDiv w:val="1"/>
      <w:marLeft w:val="0"/>
      <w:marRight w:val="0"/>
      <w:marTop w:val="0"/>
      <w:marBottom w:val="0"/>
      <w:divBdr>
        <w:top w:val="none" w:sz="0" w:space="0" w:color="auto"/>
        <w:left w:val="none" w:sz="0" w:space="0" w:color="auto"/>
        <w:bottom w:val="none" w:sz="0" w:space="0" w:color="auto"/>
        <w:right w:val="none" w:sz="0" w:space="0" w:color="auto"/>
      </w:divBdr>
    </w:div>
    <w:div w:id="1926912490">
      <w:bodyDiv w:val="1"/>
      <w:marLeft w:val="0"/>
      <w:marRight w:val="0"/>
      <w:marTop w:val="0"/>
      <w:marBottom w:val="0"/>
      <w:divBdr>
        <w:top w:val="none" w:sz="0" w:space="0" w:color="auto"/>
        <w:left w:val="none" w:sz="0" w:space="0" w:color="auto"/>
        <w:bottom w:val="none" w:sz="0" w:space="0" w:color="auto"/>
        <w:right w:val="none" w:sz="0" w:space="0" w:color="auto"/>
      </w:divBdr>
    </w:div>
    <w:div w:id="1926914980">
      <w:bodyDiv w:val="1"/>
      <w:marLeft w:val="0"/>
      <w:marRight w:val="0"/>
      <w:marTop w:val="0"/>
      <w:marBottom w:val="0"/>
      <w:divBdr>
        <w:top w:val="none" w:sz="0" w:space="0" w:color="auto"/>
        <w:left w:val="none" w:sz="0" w:space="0" w:color="auto"/>
        <w:bottom w:val="none" w:sz="0" w:space="0" w:color="auto"/>
        <w:right w:val="none" w:sz="0" w:space="0" w:color="auto"/>
      </w:divBdr>
    </w:div>
    <w:div w:id="1926955337">
      <w:bodyDiv w:val="1"/>
      <w:marLeft w:val="0"/>
      <w:marRight w:val="0"/>
      <w:marTop w:val="0"/>
      <w:marBottom w:val="0"/>
      <w:divBdr>
        <w:top w:val="none" w:sz="0" w:space="0" w:color="auto"/>
        <w:left w:val="none" w:sz="0" w:space="0" w:color="auto"/>
        <w:bottom w:val="none" w:sz="0" w:space="0" w:color="auto"/>
        <w:right w:val="none" w:sz="0" w:space="0" w:color="auto"/>
      </w:divBdr>
    </w:div>
    <w:div w:id="1926956725">
      <w:bodyDiv w:val="1"/>
      <w:marLeft w:val="0"/>
      <w:marRight w:val="0"/>
      <w:marTop w:val="0"/>
      <w:marBottom w:val="0"/>
      <w:divBdr>
        <w:top w:val="none" w:sz="0" w:space="0" w:color="auto"/>
        <w:left w:val="none" w:sz="0" w:space="0" w:color="auto"/>
        <w:bottom w:val="none" w:sz="0" w:space="0" w:color="auto"/>
        <w:right w:val="none" w:sz="0" w:space="0" w:color="auto"/>
      </w:divBdr>
    </w:div>
    <w:div w:id="1927033000">
      <w:bodyDiv w:val="1"/>
      <w:marLeft w:val="0"/>
      <w:marRight w:val="0"/>
      <w:marTop w:val="0"/>
      <w:marBottom w:val="0"/>
      <w:divBdr>
        <w:top w:val="none" w:sz="0" w:space="0" w:color="auto"/>
        <w:left w:val="none" w:sz="0" w:space="0" w:color="auto"/>
        <w:bottom w:val="none" w:sz="0" w:space="0" w:color="auto"/>
        <w:right w:val="none" w:sz="0" w:space="0" w:color="auto"/>
      </w:divBdr>
    </w:div>
    <w:div w:id="1927034522">
      <w:bodyDiv w:val="1"/>
      <w:marLeft w:val="0"/>
      <w:marRight w:val="0"/>
      <w:marTop w:val="0"/>
      <w:marBottom w:val="0"/>
      <w:divBdr>
        <w:top w:val="none" w:sz="0" w:space="0" w:color="auto"/>
        <w:left w:val="none" w:sz="0" w:space="0" w:color="auto"/>
        <w:bottom w:val="none" w:sz="0" w:space="0" w:color="auto"/>
        <w:right w:val="none" w:sz="0" w:space="0" w:color="auto"/>
      </w:divBdr>
    </w:div>
    <w:div w:id="1927229534">
      <w:bodyDiv w:val="1"/>
      <w:marLeft w:val="0"/>
      <w:marRight w:val="0"/>
      <w:marTop w:val="0"/>
      <w:marBottom w:val="0"/>
      <w:divBdr>
        <w:top w:val="none" w:sz="0" w:space="0" w:color="auto"/>
        <w:left w:val="none" w:sz="0" w:space="0" w:color="auto"/>
        <w:bottom w:val="none" w:sz="0" w:space="0" w:color="auto"/>
        <w:right w:val="none" w:sz="0" w:space="0" w:color="auto"/>
      </w:divBdr>
    </w:div>
    <w:div w:id="1927303810">
      <w:bodyDiv w:val="1"/>
      <w:marLeft w:val="0"/>
      <w:marRight w:val="0"/>
      <w:marTop w:val="0"/>
      <w:marBottom w:val="0"/>
      <w:divBdr>
        <w:top w:val="none" w:sz="0" w:space="0" w:color="auto"/>
        <w:left w:val="none" w:sz="0" w:space="0" w:color="auto"/>
        <w:bottom w:val="none" w:sz="0" w:space="0" w:color="auto"/>
        <w:right w:val="none" w:sz="0" w:space="0" w:color="auto"/>
      </w:divBdr>
    </w:div>
    <w:div w:id="1927380122">
      <w:bodyDiv w:val="1"/>
      <w:marLeft w:val="0"/>
      <w:marRight w:val="0"/>
      <w:marTop w:val="0"/>
      <w:marBottom w:val="0"/>
      <w:divBdr>
        <w:top w:val="none" w:sz="0" w:space="0" w:color="auto"/>
        <w:left w:val="none" w:sz="0" w:space="0" w:color="auto"/>
        <w:bottom w:val="none" w:sz="0" w:space="0" w:color="auto"/>
        <w:right w:val="none" w:sz="0" w:space="0" w:color="auto"/>
      </w:divBdr>
    </w:div>
    <w:div w:id="1927415192">
      <w:bodyDiv w:val="1"/>
      <w:marLeft w:val="0"/>
      <w:marRight w:val="0"/>
      <w:marTop w:val="0"/>
      <w:marBottom w:val="0"/>
      <w:divBdr>
        <w:top w:val="none" w:sz="0" w:space="0" w:color="auto"/>
        <w:left w:val="none" w:sz="0" w:space="0" w:color="auto"/>
        <w:bottom w:val="none" w:sz="0" w:space="0" w:color="auto"/>
        <w:right w:val="none" w:sz="0" w:space="0" w:color="auto"/>
      </w:divBdr>
    </w:div>
    <w:div w:id="1927416281">
      <w:bodyDiv w:val="1"/>
      <w:marLeft w:val="0"/>
      <w:marRight w:val="0"/>
      <w:marTop w:val="0"/>
      <w:marBottom w:val="0"/>
      <w:divBdr>
        <w:top w:val="none" w:sz="0" w:space="0" w:color="auto"/>
        <w:left w:val="none" w:sz="0" w:space="0" w:color="auto"/>
        <w:bottom w:val="none" w:sz="0" w:space="0" w:color="auto"/>
        <w:right w:val="none" w:sz="0" w:space="0" w:color="auto"/>
      </w:divBdr>
    </w:div>
    <w:div w:id="1927616767">
      <w:bodyDiv w:val="1"/>
      <w:marLeft w:val="0"/>
      <w:marRight w:val="0"/>
      <w:marTop w:val="0"/>
      <w:marBottom w:val="0"/>
      <w:divBdr>
        <w:top w:val="none" w:sz="0" w:space="0" w:color="auto"/>
        <w:left w:val="none" w:sz="0" w:space="0" w:color="auto"/>
        <w:bottom w:val="none" w:sz="0" w:space="0" w:color="auto"/>
        <w:right w:val="none" w:sz="0" w:space="0" w:color="auto"/>
      </w:divBdr>
    </w:div>
    <w:div w:id="1927686123">
      <w:bodyDiv w:val="1"/>
      <w:marLeft w:val="0"/>
      <w:marRight w:val="0"/>
      <w:marTop w:val="0"/>
      <w:marBottom w:val="0"/>
      <w:divBdr>
        <w:top w:val="none" w:sz="0" w:space="0" w:color="auto"/>
        <w:left w:val="none" w:sz="0" w:space="0" w:color="auto"/>
        <w:bottom w:val="none" w:sz="0" w:space="0" w:color="auto"/>
        <w:right w:val="none" w:sz="0" w:space="0" w:color="auto"/>
      </w:divBdr>
    </w:div>
    <w:div w:id="1927687086">
      <w:bodyDiv w:val="1"/>
      <w:marLeft w:val="0"/>
      <w:marRight w:val="0"/>
      <w:marTop w:val="0"/>
      <w:marBottom w:val="0"/>
      <w:divBdr>
        <w:top w:val="none" w:sz="0" w:space="0" w:color="auto"/>
        <w:left w:val="none" w:sz="0" w:space="0" w:color="auto"/>
        <w:bottom w:val="none" w:sz="0" w:space="0" w:color="auto"/>
        <w:right w:val="none" w:sz="0" w:space="0" w:color="auto"/>
      </w:divBdr>
    </w:div>
    <w:div w:id="1927763587">
      <w:bodyDiv w:val="1"/>
      <w:marLeft w:val="0"/>
      <w:marRight w:val="0"/>
      <w:marTop w:val="0"/>
      <w:marBottom w:val="0"/>
      <w:divBdr>
        <w:top w:val="none" w:sz="0" w:space="0" w:color="auto"/>
        <w:left w:val="none" w:sz="0" w:space="0" w:color="auto"/>
        <w:bottom w:val="none" w:sz="0" w:space="0" w:color="auto"/>
        <w:right w:val="none" w:sz="0" w:space="0" w:color="auto"/>
      </w:divBdr>
    </w:div>
    <w:div w:id="1927809078">
      <w:bodyDiv w:val="1"/>
      <w:marLeft w:val="0"/>
      <w:marRight w:val="0"/>
      <w:marTop w:val="0"/>
      <w:marBottom w:val="0"/>
      <w:divBdr>
        <w:top w:val="none" w:sz="0" w:space="0" w:color="auto"/>
        <w:left w:val="none" w:sz="0" w:space="0" w:color="auto"/>
        <w:bottom w:val="none" w:sz="0" w:space="0" w:color="auto"/>
        <w:right w:val="none" w:sz="0" w:space="0" w:color="auto"/>
      </w:divBdr>
    </w:div>
    <w:div w:id="1927955404">
      <w:bodyDiv w:val="1"/>
      <w:marLeft w:val="0"/>
      <w:marRight w:val="0"/>
      <w:marTop w:val="0"/>
      <w:marBottom w:val="0"/>
      <w:divBdr>
        <w:top w:val="none" w:sz="0" w:space="0" w:color="auto"/>
        <w:left w:val="none" w:sz="0" w:space="0" w:color="auto"/>
        <w:bottom w:val="none" w:sz="0" w:space="0" w:color="auto"/>
        <w:right w:val="none" w:sz="0" w:space="0" w:color="auto"/>
      </w:divBdr>
    </w:div>
    <w:div w:id="1928229405">
      <w:bodyDiv w:val="1"/>
      <w:marLeft w:val="0"/>
      <w:marRight w:val="0"/>
      <w:marTop w:val="0"/>
      <w:marBottom w:val="0"/>
      <w:divBdr>
        <w:top w:val="none" w:sz="0" w:space="0" w:color="auto"/>
        <w:left w:val="none" w:sz="0" w:space="0" w:color="auto"/>
        <w:bottom w:val="none" w:sz="0" w:space="0" w:color="auto"/>
        <w:right w:val="none" w:sz="0" w:space="0" w:color="auto"/>
      </w:divBdr>
    </w:div>
    <w:div w:id="1928265958">
      <w:bodyDiv w:val="1"/>
      <w:marLeft w:val="0"/>
      <w:marRight w:val="0"/>
      <w:marTop w:val="0"/>
      <w:marBottom w:val="0"/>
      <w:divBdr>
        <w:top w:val="none" w:sz="0" w:space="0" w:color="auto"/>
        <w:left w:val="none" w:sz="0" w:space="0" w:color="auto"/>
        <w:bottom w:val="none" w:sz="0" w:space="0" w:color="auto"/>
        <w:right w:val="none" w:sz="0" w:space="0" w:color="auto"/>
      </w:divBdr>
    </w:div>
    <w:div w:id="1928346519">
      <w:bodyDiv w:val="1"/>
      <w:marLeft w:val="0"/>
      <w:marRight w:val="0"/>
      <w:marTop w:val="0"/>
      <w:marBottom w:val="0"/>
      <w:divBdr>
        <w:top w:val="none" w:sz="0" w:space="0" w:color="auto"/>
        <w:left w:val="none" w:sz="0" w:space="0" w:color="auto"/>
        <w:bottom w:val="none" w:sz="0" w:space="0" w:color="auto"/>
        <w:right w:val="none" w:sz="0" w:space="0" w:color="auto"/>
      </w:divBdr>
    </w:div>
    <w:div w:id="1928421823">
      <w:bodyDiv w:val="1"/>
      <w:marLeft w:val="0"/>
      <w:marRight w:val="0"/>
      <w:marTop w:val="0"/>
      <w:marBottom w:val="0"/>
      <w:divBdr>
        <w:top w:val="none" w:sz="0" w:space="0" w:color="auto"/>
        <w:left w:val="none" w:sz="0" w:space="0" w:color="auto"/>
        <w:bottom w:val="none" w:sz="0" w:space="0" w:color="auto"/>
        <w:right w:val="none" w:sz="0" w:space="0" w:color="auto"/>
      </w:divBdr>
    </w:div>
    <w:div w:id="1928462575">
      <w:bodyDiv w:val="1"/>
      <w:marLeft w:val="0"/>
      <w:marRight w:val="0"/>
      <w:marTop w:val="0"/>
      <w:marBottom w:val="0"/>
      <w:divBdr>
        <w:top w:val="none" w:sz="0" w:space="0" w:color="auto"/>
        <w:left w:val="none" w:sz="0" w:space="0" w:color="auto"/>
        <w:bottom w:val="none" w:sz="0" w:space="0" w:color="auto"/>
        <w:right w:val="none" w:sz="0" w:space="0" w:color="auto"/>
      </w:divBdr>
    </w:div>
    <w:div w:id="1928464175">
      <w:bodyDiv w:val="1"/>
      <w:marLeft w:val="0"/>
      <w:marRight w:val="0"/>
      <w:marTop w:val="0"/>
      <w:marBottom w:val="0"/>
      <w:divBdr>
        <w:top w:val="none" w:sz="0" w:space="0" w:color="auto"/>
        <w:left w:val="none" w:sz="0" w:space="0" w:color="auto"/>
        <w:bottom w:val="none" w:sz="0" w:space="0" w:color="auto"/>
        <w:right w:val="none" w:sz="0" w:space="0" w:color="auto"/>
      </w:divBdr>
    </w:div>
    <w:div w:id="1928465376">
      <w:bodyDiv w:val="1"/>
      <w:marLeft w:val="0"/>
      <w:marRight w:val="0"/>
      <w:marTop w:val="0"/>
      <w:marBottom w:val="0"/>
      <w:divBdr>
        <w:top w:val="none" w:sz="0" w:space="0" w:color="auto"/>
        <w:left w:val="none" w:sz="0" w:space="0" w:color="auto"/>
        <w:bottom w:val="none" w:sz="0" w:space="0" w:color="auto"/>
        <w:right w:val="none" w:sz="0" w:space="0" w:color="auto"/>
      </w:divBdr>
    </w:div>
    <w:div w:id="1928540807">
      <w:bodyDiv w:val="1"/>
      <w:marLeft w:val="0"/>
      <w:marRight w:val="0"/>
      <w:marTop w:val="0"/>
      <w:marBottom w:val="0"/>
      <w:divBdr>
        <w:top w:val="none" w:sz="0" w:space="0" w:color="auto"/>
        <w:left w:val="none" w:sz="0" w:space="0" w:color="auto"/>
        <w:bottom w:val="none" w:sz="0" w:space="0" w:color="auto"/>
        <w:right w:val="none" w:sz="0" w:space="0" w:color="auto"/>
      </w:divBdr>
    </w:div>
    <w:div w:id="1928541000">
      <w:bodyDiv w:val="1"/>
      <w:marLeft w:val="0"/>
      <w:marRight w:val="0"/>
      <w:marTop w:val="0"/>
      <w:marBottom w:val="0"/>
      <w:divBdr>
        <w:top w:val="none" w:sz="0" w:space="0" w:color="auto"/>
        <w:left w:val="none" w:sz="0" w:space="0" w:color="auto"/>
        <w:bottom w:val="none" w:sz="0" w:space="0" w:color="auto"/>
        <w:right w:val="none" w:sz="0" w:space="0" w:color="auto"/>
      </w:divBdr>
    </w:div>
    <w:div w:id="1928615814">
      <w:bodyDiv w:val="1"/>
      <w:marLeft w:val="0"/>
      <w:marRight w:val="0"/>
      <w:marTop w:val="0"/>
      <w:marBottom w:val="0"/>
      <w:divBdr>
        <w:top w:val="none" w:sz="0" w:space="0" w:color="auto"/>
        <w:left w:val="none" w:sz="0" w:space="0" w:color="auto"/>
        <w:bottom w:val="none" w:sz="0" w:space="0" w:color="auto"/>
        <w:right w:val="none" w:sz="0" w:space="0" w:color="auto"/>
      </w:divBdr>
    </w:div>
    <w:div w:id="1928685790">
      <w:bodyDiv w:val="1"/>
      <w:marLeft w:val="0"/>
      <w:marRight w:val="0"/>
      <w:marTop w:val="0"/>
      <w:marBottom w:val="0"/>
      <w:divBdr>
        <w:top w:val="none" w:sz="0" w:space="0" w:color="auto"/>
        <w:left w:val="none" w:sz="0" w:space="0" w:color="auto"/>
        <w:bottom w:val="none" w:sz="0" w:space="0" w:color="auto"/>
        <w:right w:val="none" w:sz="0" w:space="0" w:color="auto"/>
      </w:divBdr>
    </w:div>
    <w:div w:id="1928801833">
      <w:bodyDiv w:val="1"/>
      <w:marLeft w:val="0"/>
      <w:marRight w:val="0"/>
      <w:marTop w:val="0"/>
      <w:marBottom w:val="0"/>
      <w:divBdr>
        <w:top w:val="none" w:sz="0" w:space="0" w:color="auto"/>
        <w:left w:val="none" w:sz="0" w:space="0" w:color="auto"/>
        <w:bottom w:val="none" w:sz="0" w:space="0" w:color="auto"/>
        <w:right w:val="none" w:sz="0" w:space="0" w:color="auto"/>
      </w:divBdr>
    </w:div>
    <w:div w:id="1929073058">
      <w:bodyDiv w:val="1"/>
      <w:marLeft w:val="0"/>
      <w:marRight w:val="0"/>
      <w:marTop w:val="0"/>
      <w:marBottom w:val="0"/>
      <w:divBdr>
        <w:top w:val="none" w:sz="0" w:space="0" w:color="auto"/>
        <w:left w:val="none" w:sz="0" w:space="0" w:color="auto"/>
        <w:bottom w:val="none" w:sz="0" w:space="0" w:color="auto"/>
        <w:right w:val="none" w:sz="0" w:space="0" w:color="auto"/>
      </w:divBdr>
    </w:div>
    <w:div w:id="1929191204">
      <w:bodyDiv w:val="1"/>
      <w:marLeft w:val="0"/>
      <w:marRight w:val="0"/>
      <w:marTop w:val="0"/>
      <w:marBottom w:val="0"/>
      <w:divBdr>
        <w:top w:val="none" w:sz="0" w:space="0" w:color="auto"/>
        <w:left w:val="none" w:sz="0" w:space="0" w:color="auto"/>
        <w:bottom w:val="none" w:sz="0" w:space="0" w:color="auto"/>
        <w:right w:val="none" w:sz="0" w:space="0" w:color="auto"/>
      </w:divBdr>
    </w:div>
    <w:div w:id="1929272289">
      <w:bodyDiv w:val="1"/>
      <w:marLeft w:val="0"/>
      <w:marRight w:val="0"/>
      <w:marTop w:val="0"/>
      <w:marBottom w:val="0"/>
      <w:divBdr>
        <w:top w:val="none" w:sz="0" w:space="0" w:color="auto"/>
        <w:left w:val="none" w:sz="0" w:space="0" w:color="auto"/>
        <w:bottom w:val="none" w:sz="0" w:space="0" w:color="auto"/>
        <w:right w:val="none" w:sz="0" w:space="0" w:color="auto"/>
      </w:divBdr>
    </w:div>
    <w:div w:id="1929343166">
      <w:bodyDiv w:val="1"/>
      <w:marLeft w:val="0"/>
      <w:marRight w:val="0"/>
      <w:marTop w:val="0"/>
      <w:marBottom w:val="0"/>
      <w:divBdr>
        <w:top w:val="none" w:sz="0" w:space="0" w:color="auto"/>
        <w:left w:val="none" w:sz="0" w:space="0" w:color="auto"/>
        <w:bottom w:val="none" w:sz="0" w:space="0" w:color="auto"/>
        <w:right w:val="none" w:sz="0" w:space="0" w:color="auto"/>
      </w:divBdr>
    </w:div>
    <w:div w:id="1929382378">
      <w:bodyDiv w:val="1"/>
      <w:marLeft w:val="0"/>
      <w:marRight w:val="0"/>
      <w:marTop w:val="0"/>
      <w:marBottom w:val="0"/>
      <w:divBdr>
        <w:top w:val="none" w:sz="0" w:space="0" w:color="auto"/>
        <w:left w:val="none" w:sz="0" w:space="0" w:color="auto"/>
        <w:bottom w:val="none" w:sz="0" w:space="0" w:color="auto"/>
        <w:right w:val="none" w:sz="0" w:space="0" w:color="auto"/>
      </w:divBdr>
    </w:div>
    <w:div w:id="1929457264">
      <w:bodyDiv w:val="1"/>
      <w:marLeft w:val="0"/>
      <w:marRight w:val="0"/>
      <w:marTop w:val="0"/>
      <w:marBottom w:val="0"/>
      <w:divBdr>
        <w:top w:val="none" w:sz="0" w:space="0" w:color="auto"/>
        <w:left w:val="none" w:sz="0" w:space="0" w:color="auto"/>
        <w:bottom w:val="none" w:sz="0" w:space="0" w:color="auto"/>
        <w:right w:val="none" w:sz="0" w:space="0" w:color="auto"/>
      </w:divBdr>
    </w:div>
    <w:div w:id="1929465648">
      <w:bodyDiv w:val="1"/>
      <w:marLeft w:val="0"/>
      <w:marRight w:val="0"/>
      <w:marTop w:val="0"/>
      <w:marBottom w:val="0"/>
      <w:divBdr>
        <w:top w:val="none" w:sz="0" w:space="0" w:color="auto"/>
        <w:left w:val="none" w:sz="0" w:space="0" w:color="auto"/>
        <w:bottom w:val="none" w:sz="0" w:space="0" w:color="auto"/>
        <w:right w:val="none" w:sz="0" w:space="0" w:color="auto"/>
      </w:divBdr>
    </w:div>
    <w:div w:id="1929659315">
      <w:bodyDiv w:val="1"/>
      <w:marLeft w:val="0"/>
      <w:marRight w:val="0"/>
      <w:marTop w:val="0"/>
      <w:marBottom w:val="0"/>
      <w:divBdr>
        <w:top w:val="none" w:sz="0" w:space="0" w:color="auto"/>
        <w:left w:val="none" w:sz="0" w:space="0" w:color="auto"/>
        <w:bottom w:val="none" w:sz="0" w:space="0" w:color="auto"/>
        <w:right w:val="none" w:sz="0" w:space="0" w:color="auto"/>
      </w:divBdr>
    </w:div>
    <w:div w:id="1929730368">
      <w:bodyDiv w:val="1"/>
      <w:marLeft w:val="0"/>
      <w:marRight w:val="0"/>
      <w:marTop w:val="0"/>
      <w:marBottom w:val="0"/>
      <w:divBdr>
        <w:top w:val="none" w:sz="0" w:space="0" w:color="auto"/>
        <w:left w:val="none" w:sz="0" w:space="0" w:color="auto"/>
        <w:bottom w:val="none" w:sz="0" w:space="0" w:color="auto"/>
        <w:right w:val="none" w:sz="0" w:space="0" w:color="auto"/>
      </w:divBdr>
    </w:div>
    <w:div w:id="1929851477">
      <w:bodyDiv w:val="1"/>
      <w:marLeft w:val="0"/>
      <w:marRight w:val="0"/>
      <w:marTop w:val="0"/>
      <w:marBottom w:val="0"/>
      <w:divBdr>
        <w:top w:val="none" w:sz="0" w:space="0" w:color="auto"/>
        <w:left w:val="none" w:sz="0" w:space="0" w:color="auto"/>
        <w:bottom w:val="none" w:sz="0" w:space="0" w:color="auto"/>
        <w:right w:val="none" w:sz="0" w:space="0" w:color="auto"/>
      </w:divBdr>
    </w:div>
    <w:div w:id="1929925523">
      <w:bodyDiv w:val="1"/>
      <w:marLeft w:val="0"/>
      <w:marRight w:val="0"/>
      <w:marTop w:val="0"/>
      <w:marBottom w:val="0"/>
      <w:divBdr>
        <w:top w:val="none" w:sz="0" w:space="0" w:color="auto"/>
        <w:left w:val="none" w:sz="0" w:space="0" w:color="auto"/>
        <w:bottom w:val="none" w:sz="0" w:space="0" w:color="auto"/>
        <w:right w:val="none" w:sz="0" w:space="0" w:color="auto"/>
      </w:divBdr>
    </w:div>
    <w:div w:id="1929995243">
      <w:bodyDiv w:val="1"/>
      <w:marLeft w:val="0"/>
      <w:marRight w:val="0"/>
      <w:marTop w:val="0"/>
      <w:marBottom w:val="0"/>
      <w:divBdr>
        <w:top w:val="none" w:sz="0" w:space="0" w:color="auto"/>
        <w:left w:val="none" w:sz="0" w:space="0" w:color="auto"/>
        <w:bottom w:val="none" w:sz="0" w:space="0" w:color="auto"/>
        <w:right w:val="none" w:sz="0" w:space="0" w:color="auto"/>
      </w:divBdr>
    </w:div>
    <w:div w:id="1930000752">
      <w:bodyDiv w:val="1"/>
      <w:marLeft w:val="0"/>
      <w:marRight w:val="0"/>
      <w:marTop w:val="0"/>
      <w:marBottom w:val="0"/>
      <w:divBdr>
        <w:top w:val="none" w:sz="0" w:space="0" w:color="auto"/>
        <w:left w:val="none" w:sz="0" w:space="0" w:color="auto"/>
        <w:bottom w:val="none" w:sz="0" w:space="0" w:color="auto"/>
        <w:right w:val="none" w:sz="0" w:space="0" w:color="auto"/>
      </w:divBdr>
    </w:div>
    <w:div w:id="1930001269">
      <w:bodyDiv w:val="1"/>
      <w:marLeft w:val="0"/>
      <w:marRight w:val="0"/>
      <w:marTop w:val="0"/>
      <w:marBottom w:val="0"/>
      <w:divBdr>
        <w:top w:val="none" w:sz="0" w:space="0" w:color="auto"/>
        <w:left w:val="none" w:sz="0" w:space="0" w:color="auto"/>
        <w:bottom w:val="none" w:sz="0" w:space="0" w:color="auto"/>
        <w:right w:val="none" w:sz="0" w:space="0" w:color="auto"/>
      </w:divBdr>
    </w:div>
    <w:div w:id="1930119892">
      <w:bodyDiv w:val="1"/>
      <w:marLeft w:val="0"/>
      <w:marRight w:val="0"/>
      <w:marTop w:val="0"/>
      <w:marBottom w:val="0"/>
      <w:divBdr>
        <w:top w:val="none" w:sz="0" w:space="0" w:color="auto"/>
        <w:left w:val="none" w:sz="0" w:space="0" w:color="auto"/>
        <w:bottom w:val="none" w:sz="0" w:space="0" w:color="auto"/>
        <w:right w:val="none" w:sz="0" w:space="0" w:color="auto"/>
      </w:divBdr>
    </w:div>
    <w:div w:id="1930234527">
      <w:bodyDiv w:val="1"/>
      <w:marLeft w:val="0"/>
      <w:marRight w:val="0"/>
      <w:marTop w:val="0"/>
      <w:marBottom w:val="0"/>
      <w:divBdr>
        <w:top w:val="none" w:sz="0" w:space="0" w:color="auto"/>
        <w:left w:val="none" w:sz="0" w:space="0" w:color="auto"/>
        <w:bottom w:val="none" w:sz="0" w:space="0" w:color="auto"/>
        <w:right w:val="none" w:sz="0" w:space="0" w:color="auto"/>
      </w:divBdr>
    </w:div>
    <w:div w:id="1930385948">
      <w:bodyDiv w:val="1"/>
      <w:marLeft w:val="0"/>
      <w:marRight w:val="0"/>
      <w:marTop w:val="0"/>
      <w:marBottom w:val="0"/>
      <w:divBdr>
        <w:top w:val="none" w:sz="0" w:space="0" w:color="auto"/>
        <w:left w:val="none" w:sz="0" w:space="0" w:color="auto"/>
        <w:bottom w:val="none" w:sz="0" w:space="0" w:color="auto"/>
        <w:right w:val="none" w:sz="0" w:space="0" w:color="auto"/>
      </w:divBdr>
    </w:div>
    <w:div w:id="1930581878">
      <w:bodyDiv w:val="1"/>
      <w:marLeft w:val="0"/>
      <w:marRight w:val="0"/>
      <w:marTop w:val="0"/>
      <w:marBottom w:val="0"/>
      <w:divBdr>
        <w:top w:val="none" w:sz="0" w:space="0" w:color="auto"/>
        <w:left w:val="none" w:sz="0" w:space="0" w:color="auto"/>
        <w:bottom w:val="none" w:sz="0" w:space="0" w:color="auto"/>
        <w:right w:val="none" w:sz="0" w:space="0" w:color="auto"/>
      </w:divBdr>
    </w:div>
    <w:div w:id="1930655897">
      <w:bodyDiv w:val="1"/>
      <w:marLeft w:val="0"/>
      <w:marRight w:val="0"/>
      <w:marTop w:val="0"/>
      <w:marBottom w:val="0"/>
      <w:divBdr>
        <w:top w:val="none" w:sz="0" w:space="0" w:color="auto"/>
        <w:left w:val="none" w:sz="0" w:space="0" w:color="auto"/>
        <w:bottom w:val="none" w:sz="0" w:space="0" w:color="auto"/>
        <w:right w:val="none" w:sz="0" w:space="0" w:color="auto"/>
      </w:divBdr>
    </w:div>
    <w:div w:id="1930691741">
      <w:bodyDiv w:val="1"/>
      <w:marLeft w:val="0"/>
      <w:marRight w:val="0"/>
      <w:marTop w:val="0"/>
      <w:marBottom w:val="0"/>
      <w:divBdr>
        <w:top w:val="none" w:sz="0" w:space="0" w:color="auto"/>
        <w:left w:val="none" w:sz="0" w:space="0" w:color="auto"/>
        <w:bottom w:val="none" w:sz="0" w:space="0" w:color="auto"/>
        <w:right w:val="none" w:sz="0" w:space="0" w:color="auto"/>
      </w:divBdr>
    </w:div>
    <w:div w:id="1930694075">
      <w:bodyDiv w:val="1"/>
      <w:marLeft w:val="0"/>
      <w:marRight w:val="0"/>
      <w:marTop w:val="0"/>
      <w:marBottom w:val="0"/>
      <w:divBdr>
        <w:top w:val="none" w:sz="0" w:space="0" w:color="auto"/>
        <w:left w:val="none" w:sz="0" w:space="0" w:color="auto"/>
        <w:bottom w:val="none" w:sz="0" w:space="0" w:color="auto"/>
        <w:right w:val="none" w:sz="0" w:space="0" w:color="auto"/>
      </w:divBdr>
    </w:div>
    <w:div w:id="1930767596">
      <w:bodyDiv w:val="1"/>
      <w:marLeft w:val="0"/>
      <w:marRight w:val="0"/>
      <w:marTop w:val="0"/>
      <w:marBottom w:val="0"/>
      <w:divBdr>
        <w:top w:val="none" w:sz="0" w:space="0" w:color="auto"/>
        <w:left w:val="none" w:sz="0" w:space="0" w:color="auto"/>
        <w:bottom w:val="none" w:sz="0" w:space="0" w:color="auto"/>
        <w:right w:val="none" w:sz="0" w:space="0" w:color="auto"/>
      </w:divBdr>
    </w:div>
    <w:div w:id="1930968612">
      <w:bodyDiv w:val="1"/>
      <w:marLeft w:val="0"/>
      <w:marRight w:val="0"/>
      <w:marTop w:val="0"/>
      <w:marBottom w:val="0"/>
      <w:divBdr>
        <w:top w:val="none" w:sz="0" w:space="0" w:color="auto"/>
        <w:left w:val="none" w:sz="0" w:space="0" w:color="auto"/>
        <w:bottom w:val="none" w:sz="0" w:space="0" w:color="auto"/>
        <w:right w:val="none" w:sz="0" w:space="0" w:color="auto"/>
      </w:divBdr>
    </w:div>
    <w:div w:id="1931113007">
      <w:bodyDiv w:val="1"/>
      <w:marLeft w:val="0"/>
      <w:marRight w:val="0"/>
      <w:marTop w:val="0"/>
      <w:marBottom w:val="0"/>
      <w:divBdr>
        <w:top w:val="none" w:sz="0" w:space="0" w:color="auto"/>
        <w:left w:val="none" w:sz="0" w:space="0" w:color="auto"/>
        <w:bottom w:val="none" w:sz="0" w:space="0" w:color="auto"/>
        <w:right w:val="none" w:sz="0" w:space="0" w:color="auto"/>
      </w:divBdr>
    </w:div>
    <w:div w:id="1931229443">
      <w:bodyDiv w:val="1"/>
      <w:marLeft w:val="0"/>
      <w:marRight w:val="0"/>
      <w:marTop w:val="0"/>
      <w:marBottom w:val="0"/>
      <w:divBdr>
        <w:top w:val="none" w:sz="0" w:space="0" w:color="auto"/>
        <w:left w:val="none" w:sz="0" w:space="0" w:color="auto"/>
        <w:bottom w:val="none" w:sz="0" w:space="0" w:color="auto"/>
        <w:right w:val="none" w:sz="0" w:space="0" w:color="auto"/>
      </w:divBdr>
    </w:div>
    <w:div w:id="1931229930">
      <w:bodyDiv w:val="1"/>
      <w:marLeft w:val="0"/>
      <w:marRight w:val="0"/>
      <w:marTop w:val="0"/>
      <w:marBottom w:val="0"/>
      <w:divBdr>
        <w:top w:val="none" w:sz="0" w:space="0" w:color="auto"/>
        <w:left w:val="none" w:sz="0" w:space="0" w:color="auto"/>
        <w:bottom w:val="none" w:sz="0" w:space="0" w:color="auto"/>
        <w:right w:val="none" w:sz="0" w:space="0" w:color="auto"/>
      </w:divBdr>
    </w:div>
    <w:div w:id="1931236828">
      <w:bodyDiv w:val="1"/>
      <w:marLeft w:val="0"/>
      <w:marRight w:val="0"/>
      <w:marTop w:val="0"/>
      <w:marBottom w:val="0"/>
      <w:divBdr>
        <w:top w:val="none" w:sz="0" w:space="0" w:color="auto"/>
        <w:left w:val="none" w:sz="0" w:space="0" w:color="auto"/>
        <w:bottom w:val="none" w:sz="0" w:space="0" w:color="auto"/>
        <w:right w:val="none" w:sz="0" w:space="0" w:color="auto"/>
      </w:divBdr>
    </w:div>
    <w:div w:id="1931353663">
      <w:bodyDiv w:val="1"/>
      <w:marLeft w:val="0"/>
      <w:marRight w:val="0"/>
      <w:marTop w:val="0"/>
      <w:marBottom w:val="0"/>
      <w:divBdr>
        <w:top w:val="none" w:sz="0" w:space="0" w:color="auto"/>
        <w:left w:val="none" w:sz="0" w:space="0" w:color="auto"/>
        <w:bottom w:val="none" w:sz="0" w:space="0" w:color="auto"/>
        <w:right w:val="none" w:sz="0" w:space="0" w:color="auto"/>
      </w:divBdr>
    </w:div>
    <w:div w:id="1931429104">
      <w:bodyDiv w:val="1"/>
      <w:marLeft w:val="0"/>
      <w:marRight w:val="0"/>
      <w:marTop w:val="0"/>
      <w:marBottom w:val="0"/>
      <w:divBdr>
        <w:top w:val="none" w:sz="0" w:space="0" w:color="auto"/>
        <w:left w:val="none" w:sz="0" w:space="0" w:color="auto"/>
        <w:bottom w:val="none" w:sz="0" w:space="0" w:color="auto"/>
        <w:right w:val="none" w:sz="0" w:space="0" w:color="auto"/>
      </w:divBdr>
    </w:div>
    <w:div w:id="1931430245">
      <w:bodyDiv w:val="1"/>
      <w:marLeft w:val="0"/>
      <w:marRight w:val="0"/>
      <w:marTop w:val="0"/>
      <w:marBottom w:val="0"/>
      <w:divBdr>
        <w:top w:val="none" w:sz="0" w:space="0" w:color="auto"/>
        <w:left w:val="none" w:sz="0" w:space="0" w:color="auto"/>
        <w:bottom w:val="none" w:sz="0" w:space="0" w:color="auto"/>
        <w:right w:val="none" w:sz="0" w:space="0" w:color="auto"/>
      </w:divBdr>
    </w:div>
    <w:div w:id="1931499113">
      <w:bodyDiv w:val="1"/>
      <w:marLeft w:val="0"/>
      <w:marRight w:val="0"/>
      <w:marTop w:val="0"/>
      <w:marBottom w:val="0"/>
      <w:divBdr>
        <w:top w:val="none" w:sz="0" w:space="0" w:color="auto"/>
        <w:left w:val="none" w:sz="0" w:space="0" w:color="auto"/>
        <w:bottom w:val="none" w:sz="0" w:space="0" w:color="auto"/>
        <w:right w:val="none" w:sz="0" w:space="0" w:color="auto"/>
      </w:divBdr>
    </w:div>
    <w:div w:id="1931573817">
      <w:bodyDiv w:val="1"/>
      <w:marLeft w:val="0"/>
      <w:marRight w:val="0"/>
      <w:marTop w:val="0"/>
      <w:marBottom w:val="0"/>
      <w:divBdr>
        <w:top w:val="none" w:sz="0" w:space="0" w:color="auto"/>
        <w:left w:val="none" w:sz="0" w:space="0" w:color="auto"/>
        <w:bottom w:val="none" w:sz="0" w:space="0" w:color="auto"/>
        <w:right w:val="none" w:sz="0" w:space="0" w:color="auto"/>
      </w:divBdr>
    </w:div>
    <w:div w:id="1931620639">
      <w:bodyDiv w:val="1"/>
      <w:marLeft w:val="0"/>
      <w:marRight w:val="0"/>
      <w:marTop w:val="0"/>
      <w:marBottom w:val="0"/>
      <w:divBdr>
        <w:top w:val="none" w:sz="0" w:space="0" w:color="auto"/>
        <w:left w:val="none" w:sz="0" w:space="0" w:color="auto"/>
        <w:bottom w:val="none" w:sz="0" w:space="0" w:color="auto"/>
        <w:right w:val="none" w:sz="0" w:space="0" w:color="auto"/>
      </w:divBdr>
    </w:div>
    <w:div w:id="1931624351">
      <w:bodyDiv w:val="1"/>
      <w:marLeft w:val="0"/>
      <w:marRight w:val="0"/>
      <w:marTop w:val="0"/>
      <w:marBottom w:val="0"/>
      <w:divBdr>
        <w:top w:val="none" w:sz="0" w:space="0" w:color="auto"/>
        <w:left w:val="none" w:sz="0" w:space="0" w:color="auto"/>
        <w:bottom w:val="none" w:sz="0" w:space="0" w:color="auto"/>
        <w:right w:val="none" w:sz="0" w:space="0" w:color="auto"/>
      </w:divBdr>
    </w:div>
    <w:div w:id="1931810565">
      <w:bodyDiv w:val="1"/>
      <w:marLeft w:val="0"/>
      <w:marRight w:val="0"/>
      <w:marTop w:val="0"/>
      <w:marBottom w:val="0"/>
      <w:divBdr>
        <w:top w:val="none" w:sz="0" w:space="0" w:color="auto"/>
        <w:left w:val="none" w:sz="0" w:space="0" w:color="auto"/>
        <w:bottom w:val="none" w:sz="0" w:space="0" w:color="auto"/>
        <w:right w:val="none" w:sz="0" w:space="0" w:color="auto"/>
      </w:divBdr>
    </w:div>
    <w:div w:id="1931815861">
      <w:bodyDiv w:val="1"/>
      <w:marLeft w:val="0"/>
      <w:marRight w:val="0"/>
      <w:marTop w:val="0"/>
      <w:marBottom w:val="0"/>
      <w:divBdr>
        <w:top w:val="none" w:sz="0" w:space="0" w:color="auto"/>
        <w:left w:val="none" w:sz="0" w:space="0" w:color="auto"/>
        <w:bottom w:val="none" w:sz="0" w:space="0" w:color="auto"/>
        <w:right w:val="none" w:sz="0" w:space="0" w:color="auto"/>
      </w:divBdr>
    </w:div>
    <w:div w:id="1931886016">
      <w:bodyDiv w:val="1"/>
      <w:marLeft w:val="0"/>
      <w:marRight w:val="0"/>
      <w:marTop w:val="0"/>
      <w:marBottom w:val="0"/>
      <w:divBdr>
        <w:top w:val="none" w:sz="0" w:space="0" w:color="auto"/>
        <w:left w:val="none" w:sz="0" w:space="0" w:color="auto"/>
        <w:bottom w:val="none" w:sz="0" w:space="0" w:color="auto"/>
        <w:right w:val="none" w:sz="0" w:space="0" w:color="auto"/>
      </w:divBdr>
    </w:div>
    <w:div w:id="1931890130">
      <w:bodyDiv w:val="1"/>
      <w:marLeft w:val="0"/>
      <w:marRight w:val="0"/>
      <w:marTop w:val="0"/>
      <w:marBottom w:val="0"/>
      <w:divBdr>
        <w:top w:val="none" w:sz="0" w:space="0" w:color="auto"/>
        <w:left w:val="none" w:sz="0" w:space="0" w:color="auto"/>
        <w:bottom w:val="none" w:sz="0" w:space="0" w:color="auto"/>
        <w:right w:val="none" w:sz="0" w:space="0" w:color="auto"/>
      </w:divBdr>
    </w:div>
    <w:div w:id="1931892918">
      <w:bodyDiv w:val="1"/>
      <w:marLeft w:val="0"/>
      <w:marRight w:val="0"/>
      <w:marTop w:val="0"/>
      <w:marBottom w:val="0"/>
      <w:divBdr>
        <w:top w:val="none" w:sz="0" w:space="0" w:color="auto"/>
        <w:left w:val="none" w:sz="0" w:space="0" w:color="auto"/>
        <w:bottom w:val="none" w:sz="0" w:space="0" w:color="auto"/>
        <w:right w:val="none" w:sz="0" w:space="0" w:color="auto"/>
      </w:divBdr>
    </w:div>
    <w:div w:id="1932007219">
      <w:bodyDiv w:val="1"/>
      <w:marLeft w:val="0"/>
      <w:marRight w:val="0"/>
      <w:marTop w:val="0"/>
      <w:marBottom w:val="0"/>
      <w:divBdr>
        <w:top w:val="none" w:sz="0" w:space="0" w:color="auto"/>
        <w:left w:val="none" w:sz="0" w:space="0" w:color="auto"/>
        <w:bottom w:val="none" w:sz="0" w:space="0" w:color="auto"/>
        <w:right w:val="none" w:sz="0" w:space="0" w:color="auto"/>
      </w:divBdr>
    </w:div>
    <w:div w:id="1932080052">
      <w:bodyDiv w:val="1"/>
      <w:marLeft w:val="0"/>
      <w:marRight w:val="0"/>
      <w:marTop w:val="0"/>
      <w:marBottom w:val="0"/>
      <w:divBdr>
        <w:top w:val="none" w:sz="0" w:space="0" w:color="auto"/>
        <w:left w:val="none" w:sz="0" w:space="0" w:color="auto"/>
        <w:bottom w:val="none" w:sz="0" w:space="0" w:color="auto"/>
        <w:right w:val="none" w:sz="0" w:space="0" w:color="auto"/>
      </w:divBdr>
    </w:div>
    <w:div w:id="1932200256">
      <w:bodyDiv w:val="1"/>
      <w:marLeft w:val="0"/>
      <w:marRight w:val="0"/>
      <w:marTop w:val="0"/>
      <w:marBottom w:val="0"/>
      <w:divBdr>
        <w:top w:val="none" w:sz="0" w:space="0" w:color="auto"/>
        <w:left w:val="none" w:sz="0" w:space="0" w:color="auto"/>
        <w:bottom w:val="none" w:sz="0" w:space="0" w:color="auto"/>
        <w:right w:val="none" w:sz="0" w:space="0" w:color="auto"/>
      </w:divBdr>
    </w:div>
    <w:div w:id="1932274222">
      <w:bodyDiv w:val="1"/>
      <w:marLeft w:val="0"/>
      <w:marRight w:val="0"/>
      <w:marTop w:val="0"/>
      <w:marBottom w:val="0"/>
      <w:divBdr>
        <w:top w:val="none" w:sz="0" w:space="0" w:color="auto"/>
        <w:left w:val="none" w:sz="0" w:space="0" w:color="auto"/>
        <w:bottom w:val="none" w:sz="0" w:space="0" w:color="auto"/>
        <w:right w:val="none" w:sz="0" w:space="0" w:color="auto"/>
      </w:divBdr>
    </w:div>
    <w:div w:id="1932274734">
      <w:bodyDiv w:val="1"/>
      <w:marLeft w:val="0"/>
      <w:marRight w:val="0"/>
      <w:marTop w:val="0"/>
      <w:marBottom w:val="0"/>
      <w:divBdr>
        <w:top w:val="none" w:sz="0" w:space="0" w:color="auto"/>
        <w:left w:val="none" w:sz="0" w:space="0" w:color="auto"/>
        <w:bottom w:val="none" w:sz="0" w:space="0" w:color="auto"/>
        <w:right w:val="none" w:sz="0" w:space="0" w:color="auto"/>
      </w:divBdr>
    </w:div>
    <w:div w:id="1932355374">
      <w:bodyDiv w:val="1"/>
      <w:marLeft w:val="0"/>
      <w:marRight w:val="0"/>
      <w:marTop w:val="0"/>
      <w:marBottom w:val="0"/>
      <w:divBdr>
        <w:top w:val="none" w:sz="0" w:space="0" w:color="auto"/>
        <w:left w:val="none" w:sz="0" w:space="0" w:color="auto"/>
        <w:bottom w:val="none" w:sz="0" w:space="0" w:color="auto"/>
        <w:right w:val="none" w:sz="0" w:space="0" w:color="auto"/>
      </w:divBdr>
    </w:div>
    <w:div w:id="1932395662">
      <w:bodyDiv w:val="1"/>
      <w:marLeft w:val="0"/>
      <w:marRight w:val="0"/>
      <w:marTop w:val="0"/>
      <w:marBottom w:val="0"/>
      <w:divBdr>
        <w:top w:val="none" w:sz="0" w:space="0" w:color="auto"/>
        <w:left w:val="none" w:sz="0" w:space="0" w:color="auto"/>
        <w:bottom w:val="none" w:sz="0" w:space="0" w:color="auto"/>
        <w:right w:val="none" w:sz="0" w:space="0" w:color="auto"/>
      </w:divBdr>
    </w:div>
    <w:div w:id="1932397260">
      <w:bodyDiv w:val="1"/>
      <w:marLeft w:val="0"/>
      <w:marRight w:val="0"/>
      <w:marTop w:val="0"/>
      <w:marBottom w:val="0"/>
      <w:divBdr>
        <w:top w:val="none" w:sz="0" w:space="0" w:color="auto"/>
        <w:left w:val="none" w:sz="0" w:space="0" w:color="auto"/>
        <w:bottom w:val="none" w:sz="0" w:space="0" w:color="auto"/>
        <w:right w:val="none" w:sz="0" w:space="0" w:color="auto"/>
      </w:divBdr>
    </w:div>
    <w:div w:id="1932425876">
      <w:bodyDiv w:val="1"/>
      <w:marLeft w:val="0"/>
      <w:marRight w:val="0"/>
      <w:marTop w:val="0"/>
      <w:marBottom w:val="0"/>
      <w:divBdr>
        <w:top w:val="none" w:sz="0" w:space="0" w:color="auto"/>
        <w:left w:val="none" w:sz="0" w:space="0" w:color="auto"/>
        <w:bottom w:val="none" w:sz="0" w:space="0" w:color="auto"/>
        <w:right w:val="none" w:sz="0" w:space="0" w:color="auto"/>
      </w:divBdr>
    </w:div>
    <w:div w:id="1932427164">
      <w:bodyDiv w:val="1"/>
      <w:marLeft w:val="0"/>
      <w:marRight w:val="0"/>
      <w:marTop w:val="0"/>
      <w:marBottom w:val="0"/>
      <w:divBdr>
        <w:top w:val="none" w:sz="0" w:space="0" w:color="auto"/>
        <w:left w:val="none" w:sz="0" w:space="0" w:color="auto"/>
        <w:bottom w:val="none" w:sz="0" w:space="0" w:color="auto"/>
        <w:right w:val="none" w:sz="0" w:space="0" w:color="auto"/>
      </w:divBdr>
    </w:div>
    <w:div w:id="1932471858">
      <w:bodyDiv w:val="1"/>
      <w:marLeft w:val="0"/>
      <w:marRight w:val="0"/>
      <w:marTop w:val="0"/>
      <w:marBottom w:val="0"/>
      <w:divBdr>
        <w:top w:val="none" w:sz="0" w:space="0" w:color="auto"/>
        <w:left w:val="none" w:sz="0" w:space="0" w:color="auto"/>
        <w:bottom w:val="none" w:sz="0" w:space="0" w:color="auto"/>
        <w:right w:val="none" w:sz="0" w:space="0" w:color="auto"/>
      </w:divBdr>
    </w:div>
    <w:div w:id="1932472368">
      <w:bodyDiv w:val="1"/>
      <w:marLeft w:val="0"/>
      <w:marRight w:val="0"/>
      <w:marTop w:val="0"/>
      <w:marBottom w:val="0"/>
      <w:divBdr>
        <w:top w:val="none" w:sz="0" w:space="0" w:color="auto"/>
        <w:left w:val="none" w:sz="0" w:space="0" w:color="auto"/>
        <w:bottom w:val="none" w:sz="0" w:space="0" w:color="auto"/>
        <w:right w:val="none" w:sz="0" w:space="0" w:color="auto"/>
      </w:divBdr>
    </w:div>
    <w:div w:id="1932617441">
      <w:bodyDiv w:val="1"/>
      <w:marLeft w:val="0"/>
      <w:marRight w:val="0"/>
      <w:marTop w:val="0"/>
      <w:marBottom w:val="0"/>
      <w:divBdr>
        <w:top w:val="none" w:sz="0" w:space="0" w:color="auto"/>
        <w:left w:val="none" w:sz="0" w:space="0" w:color="auto"/>
        <w:bottom w:val="none" w:sz="0" w:space="0" w:color="auto"/>
        <w:right w:val="none" w:sz="0" w:space="0" w:color="auto"/>
      </w:divBdr>
    </w:div>
    <w:div w:id="1932620287">
      <w:bodyDiv w:val="1"/>
      <w:marLeft w:val="0"/>
      <w:marRight w:val="0"/>
      <w:marTop w:val="0"/>
      <w:marBottom w:val="0"/>
      <w:divBdr>
        <w:top w:val="none" w:sz="0" w:space="0" w:color="auto"/>
        <w:left w:val="none" w:sz="0" w:space="0" w:color="auto"/>
        <w:bottom w:val="none" w:sz="0" w:space="0" w:color="auto"/>
        <w:right w:val="none" w:sz="0" w:space="0" w:color="auto"/>
      </w:divBdr>
    </w:div>
    <w:div w:id="1932659395">
      <w:bodyDiv w:val="1"/>
      <w:marLeft w:val="0"/>
      <w:marRight w:val="0"/>
      <w:marTop w:val="0"/>
      <w:marBottom w:val="0"/>
      <w:divBdr>
        <w:top w:val="none" w:sz="0" w:space="0" w:color="auto"/>
        <w:left w:val="none" w:sz="0" w:space="0" w:color="auto"/>
        <w:bottom w:val="none" w:sz="0" w:space="0" w:color="auto"/>
        <w:right w:val="none" w:sz="0" w:space="0" w:color="auto"/>
      </w:divBdr>
    </w:div>
    <w:div w:id="1932661331">
      <w:bodyDiv w:val="1"/>
      <w:marLeft w:val="0"/>
      <w:marRight w:val="0"/>
      <w:marTop w:val="0"/>
      <w:marBottom w:val="0"/>
      <w:divBdr>
        <w:top w:val="none" w:sz="0" w:space="0" w:color="auto"/>
        <w:left w:val="none" w:sz="0" w:space="0" w:color="auto"/>
        <w:bottom w:val="none" w:sz="0" w:space="0" w:color="auto"/>
        <w:right w:val="none" w:sz="0" w:space="0" w:color="auto"/>
      </w:divBdr>
    </w:div>
    <w:div w:id="1932815954">
      <w:bodyDiv w:val="1"/>
      <w:marLeft w:val="0"/>
      <w:marRight w:val="0"/>
      <w:marTop w:val="0"/>
      <w:marBottom w:val="0"/>
      <w:divBdr>
        <w:top w:val="none" w:sz="0" w:space="0" w:color="auto"/>
        <w:left w:val="none" w:sz="0" w:space="0" w:color="auto"/>
        <w:bottom w:val="none" w:sz="0" w:space="0" w:color="auto"/>
        <w:right w:val="none" w:sz="0" w:space="0" w:color="auto"/>
      </w:divBdr>
    </w:div>
    <w:div w:id="1932930402">
      <w:bodyDiv w:val="1"/>
      <w:marLeft w:val="0"/>
      <w:marRight w:val="0"/>
      <w:marTop w:val="0"/>
      <w:marBottom w:val="0"/>
      <w:divBdr>
        <w:top w:val="none" w:sz="0" w:space="0" w:color="auto"/>
        <w:left w:val="none" w:sz="0" w:space="0" w:color="auto"/>
        <w:bottom w:val="none" w:sz="0" w:space="0" w:color="auto"/>
        <w:right w:val="none" w:sz="0" w:space="0" w:color="auto"/>
      </w:divBdr>
    </w:div>
    <w:div w:id="1933008659">
      <w:bodyDiv w:val="1"/>
      <w:marLeft w:val="0"/>
      <w:marRight w:val="0"/>
      <w:marTop w:val="0"/>
      <w:marBottom w:val="0"/>
      <w:divBdr>
        <w:top w:val="none" w:sz="0" w:space="0" w:color="auto"/>
        <w:left w:val="none" w:sz="0" w:space="0" w:color="auto"/>
        <w:bottom w:val="none" w:sz="0" w:space="0" w:color="auto"/>
        <w:right w:val="none" w:sz="0" w:space="0" w:color="auto"/>
      </w:divBdr>
    </w:div>
    <w:div w:id="1933052247">
      <w:bodyDiv w:val="1"/>
      <w:marLeft w:val="0"/>
      <w:marRight w:val="0"/>
      <w:marTop w:val="0"/>
      <w:marBottom w:val="0"/>
      <w:divBdr>
        <w:top w:val="none" w:sz="0" w:space="0" w:color="auto"/>
        <w:left w:val="none" w:sz="0" w:space="0" w:color="auto"/>
        <w:bottom w:val="none" w:sz="0" w:space="0" w:color="auto"/>
        <w:right w:val="none" w:sz="0" w:space="0" w:color="auto"/>
      </w:divBdr>
    </w:div>
    <w:div w:id="1933127897">
      <w:bodyDiv w:val="1"/>
      <w:marLeft w:val="0"/>
      <w:marRight w:val="0"/>
      <w:marTop w:val="0"/>
      <w:marBottom w:val="0"/>
      <w:divBdr>
        <w:top w:val="none" w:sz="0" w:space="0" w:color="auto"/>
        <w:left w:val="none" w:sz="0" w:space="0" w:color="auto"/>
        <w:bottom w:val="none" w:sz="0" w:space="0" w:color="auto"/>
        <w:right w:val="none" w:sz="0" w:space="0" w:color="auto"/>
      </w:divBdr>
    </w:div>
    <w:div w:id="1933128930">
      <w:bodyDiv w:val="1"/>
      <w:marLeft w:val="0"/>
      <w:marRight w:val="0"/>
      <w:marTop w:val="0"/>
      <w:marBottom w:val="0"/>
      <w:divBdr>
        <w:top w:val="none" w:sz="0" w:space="0" w:color="auto"/>
        <w:left w:val="none" w:sz="0" w:space="0" w:color="auto"/>
        <w:bottom w:val="none" w:sz="0" w:space="0" w:color="auto"/>
        <w:right w:val="none" w:sz="0" w:space="0" w:color="auto"/>
      </w:divBdr>
    </w:div>
    <w:div w:id="1933312872">
      <w:bodyDiv w:val="1"/>
      <w:marLeft w:val="0"/>
      <w:marRight w:val="0"/>
      <w:marTop w:val="0"/>
      <w:marBottom w:val="0"/>
      <w:divBdr>
        <w:top w:val="none" w:sz="0" w:space="0" w:color="auto"/>
        <w:left w:val="none" w:sz="0" w:space="0" w:color="auto"/>
        <w:bottom w:val="none" w:sz="0" w:space="0" w:color="auto"/>
        <w:right w:val="none" w:sz="0" w:space="0" w:color="auto"/>
      </w:divBdr>
    </w:div>
    <w:div w:id="1933315269">
      <w:bodyDiv w:val="1"/>
      <w:marLeft w:val="0"/>
      <w:marRight w:val="0"/>
      <w:marTop w:val="0"/>
      <w:marBottom w:val="0"/>
      <w:divBdr>
        <w:top w:val="none" w:sz="0" w:space="0" w:color="auto"/>
        <w:left w:val="none" w:sz="0" w:space="0" w:color="auto"/>
        <w:bottom w:val="none" w:sz="0" w:space="0" w:color="auto"/>
        <w:right w:val="none" w:sz="0" w:space="0" w:color="auto"/>
      </w:divBdr>
    </w:div>
    <w:div w:id="1933391551">
      <w:bodyDiv w:val="1"/>
      <w:marLeft w:val="0"/>
      <w:marRight w:val="0"/>
      <w:marTop w:val="0"/>
      <w:marBottom w:val="0"/>
      <w:divBdr>
        <w:top w:val="none" w:sz="0" w:space="0" w:color="auto"/>
        <w:left w:val="none" w:sz="0" w:space="0" w:color="auto"/>
        <w:bottom w:val="none" w:sz="0" w:space="0" w:color="auto"/>
        <w:right w:val="none" w:sz="0" w:space="0" w:color="auto"/>
      </w:divBdr>
    </w:div>
    <w:div w:id="1933513229">
      <w:bodyDiv w:val="1"/>
      <w:marLeft w:val="0"/>
      <w:marRight w:val="0"/>
      <w:marTop w:val="0"/>
      <w:marBottom w:val="0"/>
      <w:divBdr>
        <w:top w:val="none" w:sz="0" w:space="0" w:color="auto"/>
        <w:left w:val="none" w:sz="0" w:space="0" w:color="auto"/>
        <w:bottom w:val="none" w:sz="0" w:space="0" w:color="auto"/>
        <w:right w:val="none" w:sz="0" w:space="0" w:color="auto"/>
      </w:divBdr>
    </w:div>
    <w:div w:id="1933541200">
      <w:bodyDiv w:val="1"/>
      <w:marLeft w:val="0"/>
      <w:marRight w:val="0"/>
      <w:marTop w:val="0"/>
      <w:marBottom w:val="0"/>
      <w:divBdr>
        <w:top w:val="none" w:sz="0" w:space="0" w:color="auto"/>
        <w:left w:val="none" w:sz="0" w:space="0" w:color="auto"/>
        <w:bottom w:val="none" w:sz="0" w:space="0" w:color="auto"/>
        <w:right w:val="none" w:sz="0" w:space="0" w:color="auto"/>
      </w:divBdr>
    </w:div>
    <w:div w:id="1933582998">
      <w:bodyDiv w:val="1"/>
      <w:marLeft w:val="0"/>
      <w:marRight w:val="0"/>
      <w:marTop w:val="0"/>
      <w:marBottom w:val="0"/>
      <w:divBdr>
        <w:top w:val="none" w:sz="0" w:space="0" w:color="auto"/>
        <w:left w:val="none" w:sz="0" w:space="0" w:color="auto"/>
        <w:bottom w:val="none" w:sz="0" w:space="0" w:color="auto"/>
        <w:right w:val="none" w:sz="0" w:space="0" w:color="auto"/>
      </w:divBdr>
    </w:div>
    <w:div w:id="1933589499">
      <w:bodyDiv w:val="1"/>
      <w:marLeft w:val="0"/>
      <w:marRight w:val="0"/>
      <w:marTop w:val="0"/>
      <w:marBottom w:val="0"/>
      <w:divBdr>
        <w:top w:val="none" w:sz="0" w:space="0" w:color="auto"/>
        <w:left w:val="none" w:sz="0" w:space="0" w:color="auto"/>
        <w:bottom w:val="none" w:sz="0" w:space="0" w:color="auto"/>
        <w:right w:val="none" w:sz="0" w:space="0" w:color="auto"/>
      </w:divBdr>
    </w:div>
    <w:div w:id="1933734352">
      <w:bodyDiv w:val="1"/>
      <w:marLeft w:val="0"/>
      <w:marRight w:val="0"/>
      <w:marTop w:val="0"/>
      <w:marBottom w:val="0"/>
      <w:divBdr>
        <w:top w:val="none" w:sz="0" w:space="0" w:color="auto"/>
        <w:left w:val="none" w:sz="0" w:space="0" w:color="auto"/>
        <w:bottom w:val="none" w:sz="0" w:space="0" w:color="auto"/>
        <w:right w:val="none" w:sz="0" w:space="0" w:color="auto"/>
      </w:divBdr>
    </w:div>
    <w:div w:id="1933851798">
      <w:bodyDiv w:val="1"/>
      <w:marLeft w:val="0"/>
      <w:marRight w:val="0"/>
      <w:marTop w:val="0"/>
      <w:marBottom w:val="0"/>
      <w:divBdr>
        <w:top w:val="none" w:sz="0" w:space="0" w:color="auto"/>
        <w:left w:val="none" w:sz="0" w:space="0" w:color="auto"/>
        <w:bottom w:val="none" w:sz="0" w:space="0" w:color="auto"/>
        <w:right w:val="none" w:sz="0" w:space="0" w:color="auto"/>
      </w:divBdr>
    </w:div>
    <w:div w:id="1933853090">
      <w:bodyDiv w:val="1"/>
      <w:marLeft w:val="0"/>
      <w:marRight w:val="0"/>
      <w:marTop w:val="0"/>
      <w:marBottom w:val="0"/>
      <w:divBdr>
        <w:top w:val="none" w:sz="0" w:space="0" w:color="auto"/>
        <w:left w:val="none" w:sz="0" w:space="0" w:color="auto"/>
        <w:bottom w:val="none" w:sz="0" w:space="0" w:color="auto"/>
        <w:right w:val="none" w:sz="0" w:space="0" w:color="auto"/>
      </w:divBdr>
    </w:div>
    <w:div w:id="1933970801">
      <w:bodyDiv w:val="1"/>
      <w:marLeft w:val="0"/>
      <w:marRight w:val="0"/>
      <w:marTop w:val="0"/>
      <w:marBottom w:val="0"/>
      <w:divBdr>
        <w:top w:val="none" w:sz="0" w:space="0" w:color="auto"/>
        <w:left w:val="none" w:sz="0" w:space="0" w:color="auto"/>
        <w:bottom w:val="none" w:sz="0" w:space="0" w:color="auto"/>
        <w:right w:val="none" w:sz="0" w:space="0" w:color="auto"/>
      </w:divBdr>
    </w:div>
    <w:div w:id="1933976747">
      <w:bodyDiv w:val="1"/>
      <w:marLeft w:val="0"/>
      <w:marRight w:val="0"/>
      <w:marTop w:val="0"/>
      <w:marBottom w:val="0"/>
      <w:divBdr>
        <w:top w:val="none" w:sz="0" w:space="0" w:color="auto"/>
        <w:left w:val="none" w:sz="0" w:space="0" w:color="auto"/>
        <w:bottom w:val="none" w:sz="0" w:space="0" w:color="auto"/>
        <w:right w:val="none" w:sz="0" w:space="0" w:color="auto"/>
      </w:divBdr>
    </w:div>
    <w:div w:id="1934239288">
      <w:bodyDiv w:val="1"/>
      <w:marLeft w:val="0"/>
      <w:marRight w:val="0"/>
      <w:marTop w:val="0"/>
      <w:marBottom w:val="0"/>
      <w:divBdr>
        <w:top w:val="none" w:sz="0" w:space="0" w:color="auto"/>
        <w:left w:val="none" w:sz="0" w:space="0" w:color="auto"/>
        <w:bottom w:val="none" w:sz="0" w:space="0" w:color="auto"/>
        <w:right w:val="none" w:sz="0" w:space="0" w:color="auto"/>
      </w:divBdr>
    </w:div>
    <w:div w:id="1934242486">
      <w:bodyDiv w:val="1"/>
      <w:marLeft w:val="0"/>
      <w:marRight w:val="0"/>
      <w:marTop w:val="0"/>
      <w:marBottom w:val="0"/>
      <w:divBdr>
        <w:top w:val="none" w:sz="0" w:space="0" w:color="auto"/>
        <w:left w:val="none" w:sz="0" w:space="0" w:color="auto"/>
        <w:bottom w:val="none" w:sz="0" w:space="0" w:color="auto"/>
        <w:right w:val="none" w:sz="0" w:space="0" w:color="auto"/>
      </w:divBdr>
    </w:div>
    <w:div w:id="1934314837">
      <w:bodyDiv w:val="1"/>
      <w:marLeft w:val="0"/>
      <w:marRight w:val="0"/>
      <w:marTop w:val="0"/>
      <w:marBottom w:val="0"/>
      <w:divBdr>
        <w:top w:val="none" w:sz="0" w:space="0" w:color="auto"/>
        <w:left w:val="none" w:sz="0" w:space="0" w:color="auto"/>
        <w:bottom w:val="none" w:sz="0" w:space="0" w:color="auto"/>
        <w:right w:val="none" w:sz="0" w:space="0" w:color="auto"/>
      </w:divBdr>
    </w:div>
    <w:div w:id="1934315528">
      <w:bodyDiv w:val="1"/>
      <w:marLeft w:val="0"/>
      <w:marRight w:val="0"/>
      <w:marTop w:val="0"/>
      <w:marBottom w:val="0"/>
      <w:divBdr>
        <w:top w:val="none" w:sz="0" w:space="0" w:color="auto"/>
        <w:left w:val="none" w:sz="0" w:space="0" w:color="auto"/>
        <w:bottom w:val="none" w:sz="0" w:space="0" w:color="auto"/>
        <w:right w:val="none" w:sz="0" w:space="0" w:color="auto"/>
      </w:divBdr>
    </w:div>
    <w:div w:id="1934434699">
      <w:bodyDiv w:val="1"/>
      <w:marLeft w:val="0"/>
      <w:marRight w:val="0"/>
      <w:marTop w:val="0"/>
      <w:marBottom w:val="0"/>
      <w:divBdr>
        <w:top w:val="none" w:sz="0" w:space="0" w:color="auto"/>
        <w:left w:val="none" w:sz="0" w:space="0" w:color="auto"/>
        <w:bottom w:val="none" w:sz="0" w:space="0" w:color="auto"/>
        <w:right w:val="none" w:sz="0" w:space="0" w:color="auto"/>
      </w:divBdr>
    </w:div>
    <w:div w:id="1934588229">
      <w:bodyDiv w:val="1"/>
      <w:marLeft w:val="0"/>
      <w:marRight w:val="0"/>
      <w:marTop w:val="0"/>
      <w:marBottom w:val="0"/>
      <w:divBdr>
        <w:top w:val="none" w:sz="0" w:space="0" w:color="auto"/>
        <w:left w:val="none" w:sz="0" w:space="0" w:color="auto"/>
        <w:bottom w:val="none" w:sz="0" w:space="0" w:color="auto"/>
        <w:right w:val="none" w:sz="0" w:space="0" w:color="auto"/>
      </w:divBdr>
    </w:div>
    <w:div w:id="1934623734">
      <w:bodyDiv w:val="1"/>
      <w:marLeft w:val="0"/>
      <w:marRight w:val="0"/>
      <w:marTop w:val="0"/>
      <w:marBottom w:val="0"/>
      <w:divBdr>
        <w:top w:val="none" w:sz="0" w:space="0" w:color="auto"/>
        <w:left w:val="none" w:sz="0" w:space="0" w:color="auto"/>
        <w:bottom w:val="none" w:sz="0" w:space="0" w:color="auto"/>
        <w:right w:val="none" w:sz="0" w:space="0" w:color="auto"/>
      </w:divBdr>
    </w:div>
    <w:div w:id="1934625947">
      <w:bodyDiv w:val="1"/>
      <w:marLeft w:val="0"/>
      <w:marRight w:val="0"/>
      <w:marTop w:val="0"/>
      <w:marBottom w:val="0"/>
      <w:divBdr>
        <w:top w:val="none" w:sz="0" w:space="0" w:color="auto"/>
        <w:left w:val="none" w:sz="0" w:space="0" w:color="auto"/>
        <w:bottom w:val="none" w:sz="0" w:space="0" w:color="auto"/>
        <w:right w:val="none" w:sz="0" w:space="0" w:color="auto"/>
      </w:divBdr>
    </w:div>
    <w:div w:id="1934704820">
      <w:bodyDiv w:val="1"/>
      <w:marLeft w:val="0"/>
      <w:marRight w:val="0"/>
      <w:marTop w:val="0"/>
      <w:marBottom w:val="0"/>
      <w:divBdr>
        <w:top w:val="none" w:sz="0" w:space="0" w:color="auto"/>
        <w:left w:val="none" w:sz="0" w:space="0" w:color="auto"/>
        <w:bottom w:val="none" w:sz="0" w:space="0" w:color="auto"/>
        <w:right w:val="none" w:sz="0" w:space="0" w:color="auto"/>
      </w:divBdr>
    </w:div>
    <w:div w:id="1934899250">
      <w:bodyDiv w:val="1"/>
      <w:marLeft w:val="0"/>
      <w:marRight w:val="0"/>
      <w:marTop w:val="0"/>
      <w:marBottom w:val="0"/>
      <w:divBdr>
        <w:top w:val="none" w:sz="0" w:space="0" w:color="auto"/>
        <w:left w:val="none" w:sz="0" w:space="0" w:color="auto"/>
        <w:bottom w:val="none" w:sz="0" w:space="0" w:color="auto"/>
        <w:right w:val="none" w:sz="0" w:space="0" w:color="auto"/>
      </w:divBdr>
    </w:div>
    <w:div w:id="1934969575">
      <w:bodyDiv w:val="1"/>
      <w:marLeft w:val="0"/>
      <w:marRight w:val="0"/>
      <w:marTop w:val="0"/>
      <w:marBottom w:val="0"/>
      <w:divBdr>
        <w:top w:val="none" w:sz="0" w:space="0" w:color="auto"/>
        <w:left w:val="none" w:sz="0" w:space="0" w:color="auto"/>
        <w:bottom w:val="none" w:sz="0" w:space="0" w:color="auto"/>
        <w:right w:val="none" w:sz="0" w:space="0" w:color="auto"/>
      </w:divBdr>
    </w:div>
    <w:div w:id="1935017819">
      <w:bodyDiv w:val="1"/>
      <w:marLeft w:val="0"/>
      <w:marRight w:val="0"/>
      <w:marTop w:val="0"/>
      <w:marBottom w:val="0"/>
      <w:divBdr>
        <w:top w:val="none" w:sz="0" w:space="0" w:color="auto"/>
        <w:left w:val="none" w:sz="0" w:space="0" w:color="auto"/>
        <w:bottom w:val="none" w:sz="0" w:space="0" w:color="auto"/>
        <w:right w:val="none" w:sz="0" w:space="0" w:color="auto"/>
      </w:divBdr>
    </w:div>
    <w:div w:id="1935086320">
      <w:bodyDiv w:val="1"/>
      <w:marLeft w:val="0"/>
      <w:marRight w:val="0"/>
      <w:marTop w:val="0"/>
      <w:marBottom w:val="0"/>
      <w:divBdr>
        <w:top w:val="none" w:sz="0" w:space="0" w:color="auto"/>
        <w:left w:val="none" w:sz="0" w:space="0" w:color="auto"/>
        <w:bottom w:val="none" w:sz="0" w:space="0" w:color="auto"/>
        <w:right w:val="none" w:sz="0" w:space="0" w:color="auto"/>
      </w:divBdr>
    </w:div>
    <w:div w:id="1935090809">
      <w:bodyDiv w:val="1"/>
      <w:marLeft w:val="0"/>
      <w:marRight w:val="0"/>
      <w:marTop w:val="0"/>
      <w:marBottom w:val="0"/>
      <w:divBdr>
        <w:top w:val="none" w:sz="0" w:space="0" w:color="auto"/>
        <w:left w:val="none" w:sz="0" w:space="0" w:color="auto"/>
        <w:bottom w:val="none" w:sz="0" w:space="0" w:color="auto"/>
        <w:right w:val="none" w:sz="0" w:space="0" w:color="auto"/>
      </w:divBdr>
    </w:div>
    <w:div w:id="1935167732">
      <w:bodyDiv w:val="1"/>
      <w:marLeft w:val="0"/>
      <w:marRight w:val="0"/>
      <w:marTop w:val="0"/>
      <w:marBottom w:val="0"/>
      <w:divBdr>
        <w:top w:val="none" w:sz="0" w:space="0" w:color="auto"/>
        <w:left w:val="none" w:sz="0" w:space="0" w:color="auto"/>
        <w:bottom w:val="none" w:sz="0" w:space="0" w:color="auto"/>
        <w:right w:val="none" w:sz="0" w:space="0" w:color="auto"/>
      </w:divBdr>
    </w:div>
    <w:div w:id="1935242071">
      <w:bodyDiv w:val="1"/>
      <w:marLeft w:val="0"/>
      <w:marRight w:val="0"/>
      <w:marTop w:val="0"/>
      <w:marBottom w:val="0"/>
      <w:divBdr>
        <w:top w:val="none" w:sz="0" w:space="0" w:color="auto"/>
        <w:left w:val="none" w:sz="0" w:space="0" w:color="auto"/>
        <w:bottom w:val="none" w:sz="0" w:space="0" w:color="auto"/>
        <w:right w:val="none" w:sz="0" w:space="0" w:color="auto"/>
      </w:divBdr>
    </w:div>
    <w:div w:id="1935433435">
      <w:bodyDiv w:val="1"/>
      <w:marLeft w:val="0"/>
      <w:marRight w:val="0"/>
      <w:marTop w:val="0"/>
      <w:marBottom w:val="0"/>
      <w:divBdr>
        <w:top w:val="none" w:sz="0" w:space="0" w:color="auto"/>
        <w:left w:val="none" w:sz="0" w:space="0" w:color="auto"/>
        <w:bottom w:val="none" w:sz="0" w:space="0" w:color="auto"/>
        <w:right w:val="none" w:sz="0" w:space="0" w:color="auto"/>
      </w:divBdr>
    </w:div>
    <w:div w:id="1935434777">
      <w:bodyDiv w:val="1"/>
      <w:marLeft w:val="0"/>
      <w:marRight w:val="0"/>
      <w:marTop w:val="0"/>
      <w:marBottom w:val="0"/>
      <w:divBdr>
        <w:top w:val="none" w:sz="0" w:space="0" w:color="auto"/>
        <w:left w:val="none" w:sz="0" w:space="0" w:color="auto"/>
        <w:bottom w:val="none" w:sz="0" w:space="0" w:color="auto"/>
        <w:right w:val="none" w:sz="0" w:space="0" w:color="auto"/>
      </w:divBdr>
    </w:div>
    <w:div w:id="1935435139">
      <w:bodyDiv w:val="1"/>
      <w:marLeft w:val="0"/>
      <w:marRight w:val="0"/>
      <w:marTop w:val="0"/>
      <w:marBottom w:val="0"/>
      <w:divBdr>
        <w:top w:val="none" w:sz="0" w:space="0" w:color="auto"/>
        <w:left w:val="none" w:sz="0" w:space="0" w:color="auto"/>
        <w:bottom w:val="none" w:sz="0" w:space="0" w:color="auto"/>
        <w:right w:val="none" w:sz="0" w:space="0" w:color="auto"/>
      </w:divBdr>
    </w:div>
    <w:div w:id="1935436567">
      <w:bodyDiv w:val="1"/>
      <w:marLeft w:val="0"/>
      <w:marRight w:val="0"/>
      <w:marTop w:val="0"/>
      <w:marBottom w:val="0"/>
      <w:divBdr>
        <w:top w:val="none" w:sz="0" w:space="0" w:color="auto"/>
        <w:left w:val="none" w:sz="0" w:space="0" w:color="auto"/>
        <w:bottom w:val="none" w:sz="0" w:space="0" w:color="auto"/>
        <w:right w:val="none" w:sz="0" w:space="0" w:color="auto"/>
      </w:divBdr>
    </w:div>
    <w:div w:id="1935553561">
      <w:bodyDiv w:val="1"/>
      <w:marLeft w:val="0"/>
      <w:marRight w:val="0"/>
      <w:marTop w:val="0"/>
      <w:marBottom w:val="0"/>
      <w:divBdr>
        <w:top w:val="none" w:sz="0" w:space="0" w:color="auto"/>
        <w:left w:val="none" w:sz="0" w:space="0" w:color="auto"/>
        <w:bottom w:val="none" w:sz="0" w:space="0" w:color="auto"/>
        <w:right w:val="none" w:sz="0" w:space="0" w:color="auto"/>
      </w:divBdr>
    </w:div>
    <w:div w:id="1935698460">
      <w:bodyDiv w:val="1"/>
      <w:marLeft w:val="0"/>
      <w:marRight w:val="0"/>
      <w:marTop w:val="0"/>
      <w:marBottom w:val="0"/>
      <w:divBdr>
        <w:top w:val="none" w:sz="0" w:space="0" w:color="auto"/>
        <w:left w:val="none" w:sz="0" w:space="0" w:color="auto"/>
        <w:bottom w:val="none" w:sz="0" w:space="0" w:color="auto"/>
        <w:right w:val="none" w:sz="0" w:space="0" w:color="auto"/>
      </w:divBdr>
    </w:div>
    <w:div w:id="1935703345">
      <w:bodyDiv w:val="1"/>
      <w:marLeft w:val="0"/>
      <w:marRight w:val="0"/>
      <w:marTop w:val="0"/>
      <w:marBottom w:val="0"/>
      <w:divBdr>
        <w:top w:val="none" w:sz="0" w:space="0" w:color="auto"/>
        <w:left w:val="none" w:sz="0" w:space="0" w:color="auto"/>
        <w:bottom w:val="none" w:sz="0" w:space="0" w:color="auto"/>
        <w:right w:val="none" w:sz="0" w:space="0" w:color="auto"/>
      </w:divBdr>
    </w:div>
    <w:div w:id="1935743896">
      <w:bodyDiv w:val="1"/>
      <w:marLeft w:val="0"/>
      <w:marRight w:val="0"/>
      <w:marTop w:val="0"/>
      <w:marBottom w:val="0"/>
      <w:divBdr>
        <w:top w:val="none" w:sz="0" w:space="0" w:color="auto"/>
        <w:left w:val="none" w:sz="0" w:space="0" w:color="auto"/>
        <w:bottom w:val="none" w:sz="0" w:space="0" w:color="auto"/>
        <w:right w:val="none" w:sz="0" w:space="0" w:color="auto"/>
      </w:divBdr>
    </w:div>
    <w:div w:id="1935935589">
      <w:bodyDiv w:val="1"/>
      <w:marLeft w:val="0"/>
      <w:marRight w:val="0"/>
      <w:marTop w:val="0"/>
      <w:marBottom w:val="0"/>
      <w:divBdr>
        <w:top w:val="none" w:sz="0" w:space="0" w:color="auto"/>
        <w:left w:val="none" w:sz="0" w:space="0" w:color="auto"/>
        <w:bottom w:val="none" w:sz="0" w:space="0" w:color="auto"/>
        <w:right w:val="none" w:sz="0" w:space="0" w:color="auto"/>
      </w:divBdr>
    </w:div>
    <w:div w:id="1935939436">
      <w:bodyDiv w:val="1"/>
      <w:marLeft w:val="0"/>
      <w:marRight w:val="0"/>
      <w:marTop w:val="0"/>
      <w:marBottom w:val="0"/>
      <w:divBdr>
        <w:top w:val="none" w:sz="0" w:space="0" w:color="auto"/>
        <w:left w:val="none" w:sz="0" w:space="0" w:color="auto"/>
        <w:bottom w:val="none" w:sz="0" w:space="0" w:color="auto"/>
        <w:right w:val="none" w:sz="0" w:space="0" w:color="auto"/>
      </w:divBdr>
    </w:div>
    <w:div w:id="1936009616">
      <w:bodyDiv w:val="1"/>
      <w:marLeft w:val="0"/>
      <w:marRight w:val="0"/>
      <w:marTop w:val="0"/>
      <w:marBottom w:val="0"/>
      <w:divBdr>
        <w:top w:val="none" w:sz="0" w:space="0" w:color="auto"/>
        <w:left w:val="none" w:sz="0" w:space="0" w:color="auto"/>
        <w:bottom w:val="none" w:sz="0" w:space="0" w:color="auto"/>
        <w:right w:val="none" w:sz="0" w:space="0" w:color="auto"/>
      </w:divBdr>
    </w:div>
    <w:div w:id="1936086133">
      <w:bodyDiv w:val="1"/>
      <w:marLeft w:val="0"/>
      <w:marRight w:val="0"/>
      <w:marTop w:val="0"/>
      <w:marBottom w:val="0"/>
      <w:divBdr>
        <w:top w:val="none" w:sz="0" w:space="0" w:color="auto"/>
        <w:left w:val="none" w:sz="0" w:space="0" w:color="auto"/>
        <w:bottom w:val="none" w:sz="0" w:space="0" w:color="auto"/>
        <w:right w:val="none" w:sz="0" w:space="0" w:color="auto"/>
      </w:divBdr>
    </w:div>
    <w:div w:id="1936133983">
      <w:bodyDiv w:val="1"/>
      <w:marLeft w:val="0"/>
      <w:marRight w:val="0"/>
      <w:marTop w:val="0"/>
      <w:marBottom w:val="0"/>
      <w:divBdr>
        <w:top w:val="none" w:sz="0" w:space="0" w:color="auto"/>
        <w:left w:val="none" w:sz="0" w:space="0" w:color="auto"/>
        <w:bottom w:val="none" w:sz="0" w:space="0" w:color="auto"/>
        <w:right w:val="none" w:sz="0" w:space="0" w:color="auto"/>
      </w:divBdr>
    </w:div>
    <w:div w:id="1936208155">
      <w:bodyDiv w:val="1"/>
      <w:marLeft w:val="0"/>
      <w:marRight w:val="0"/>
      <w:marTop w:val="0"/>
      <w:marBottom w:val="0"/>
      <w:divBdr>
        <w:top w:val="none" w:sz="0" w:space="0" w:color="auto"/>
        <w:left w:val="none" w:sz="0" w:space="0" w:color="auto"/>
        <w:bottom w:val="none" w:sz="0" w:space="0" w:color="auto"/>
        <w:right w:val="none" w:sz="0" w:space="0" w:color="auto"/>
      </w:divBdr>
    </w:div>
    <w:div w:id="1936211782">
      <w:bodyDiv w:val="1"/>
      <w:marLeft w:val="0"/>
      <w:marRight w:val="0"/>
      <w:marTop w:val="0"/>
      <w:marBottom w:val="0"/>
      <w:divBdr>
        <w:top w:val="none" w:sz="0" w:space="0" w:color="auto"/>
        <w:left w:val="none" w:sz="0" w:space="0" w:color="auto"/>
        <w:bottom w:val="none" w:sz="0" w:space="0" w:color="auto"/>
        <w:right w:val="none" w:sz="0" w:space="0" w:color="auto"/>
      </w:divBdr>
    </w:div>
    <w:div w:id="1936285509">
      <w:bodyDiv w:val="1"/>
      <w:marLeft w:val="0"/>
      <w:marRight w:val="0"/>
      <w:marTop w:val="0"/>
      <w:marBottom w:val="0"/>
      <w:divBdr>
        <w:top w:val="none" w:sz="0" w:space="0" w:color="auto"/>
        <w:left w:val="none" w:sz="0" w:space="0" w:color="auto"/>
        <w:bottom w:val="none" w:sz="0" w:space="0" w:color="auto"/>
        <w:right w:val="none" w:sz="0" w:space="0" w:color="auto"/>
      </w:divBdr>
    </w:div>
    <w:div w:id="1936357396">
      <w:bodyDiv w:val="1"/>
      <w:marLeft w:val="0"/>
      <w:marRight w:val="0"/>
      <w:marTop w:val="0"/>
      <w:marBottom w:val="0"/>
      <w:divBdr>
        <w:top w:val="none" w:sz="0" w:space="0" w:color="auto"/>
        <w:left w:val="none" w:sz="0" w:space="0" w:color="auto"/>
        <w:bottom w:val="none" w:sz="0" w:space="0" w:color="auto"/>
        <w:right w:val="none" w:sz="0" w:space="0" w:color="auto"/>
      </w:divBdr>
    </w:div>
    <w:div w:id="1936397637">
      <w:bodyDiv w:val="1"/>
      <w:marLeft w:val="0"/>
      <w:marRight w:val="0"/>
      <w:marTop w:val="0"/>
      <w:marBottom w:val="0"/>
      <w:divBdr>
        <w:top w:val="none" w:sz="0" w:space="0" w:color="auto"/>
        <w:left w:val="none" w:sz="0" w:space="0" w:color="auto"/>
        <w:bottom w:val="none" w:sz="0" w:space="0" w:color="auto"/>
        <w:right w:val="none" w:sz="0" w:space="0" w:color="auto"/>
      </w:divBdr>
    </w:div>
    <w:div w:id="1936474042">
      <w:bodyDiv w:val="1"/>
      <w:marLeft w:val="0"/>
      <w:marRight w:val="0"/>
      <w:marTop w:val="0"/>
      <w:marBottom w:val="0"/>
      <w:divBdr>
        <w:top w:val="none" w:sz="0" w:space="0" w:color="auto"/>
        <w:left w:val="none" w:sz="0" w:space="0" w:color="auto"/>
        <w:bottom w:val="none" w:sz="0" w:space="0" w:color="auto"/>
        <w:right w:val="none" w:sz="0" w:space="0" w:color="auto"/>
      </w:divBdr>
    </w:div>
    <w:div w:id="1936479428">
      <w:bodyDiv w:val="1"/>
      <w:marLeft w:val="0"/>
      <w:marRight w:val="0"/>
      <w:marTop w:val="0"/>
      <w:marBottom w:val="0"/>
      <w:divBdr>
        <w:top w:val="none" w:sz="0" w:space="0" w:color="auto"/>
        <w:left w:val="none" w:sz="0" w:space="0" w:color="auto"/>
        <w:bottom w:val="none" w:sz="0" w:space="0" w:color="auto"/>
        <w:right w:val="none" w:sz="0" w:space="0" w:color="auto"/>
      </w:divBdr>
    </w:div>
    <w:div w:id="1936550548">
      <w:bodyDiv w:val="1"/>
      <w:marLeft w:val="0"/>
      <w:marRight w:val="0"/>
      <w:marTop w:val="0"/>
      <w:marBottom w:val="0"/>
      <w:divBdr>
        <w:top w:val="none" w:sz="0" w:space="0" w:color="auto"/>
        <w:left w:val="none" w:sz="0" w:space="0" w:color="auto"/>
        <w:bottom w:val="none" w:sz="0" w:space="0" w:color="auto"/>
        <w:right w:val="none" w:sz="0" w:space="0" w:color="auto"/>
      </w:divBdr>
    </w:div>
    <w:div w:id="1936552561">
      <w:bodyDiv w:val="1"/>
      <w:marLeft w:val="0"/>
      <w:marRight w:val="0"/>
      <w:marTop w:val="0"/>
      <w:marBottom w:val="0"/>
      <w:divBdr>
        <w:top w:val="none" w:sz="0" w:space="0" w:color="auto"/>
        <w:left w:val="none" w:sz="0" w:space="0" w:color="auto"/>
        <w:bottom w:val="none" w:sz="0" w:space="0" w:color="auto"/>
        <w:right w:val="none" w:sz="0" w:space="0" w:color="auto"/>
      </w:divBdr>
    </w:div>
    <w:div w:id="1936592262">
      <w:bodyDiv w:val="1"/>
      <w:marLeft w:val="0"/>
      <w:marRight w:val="0"/>
      <w:marTop w:val="0"/>
      <w:marBottom w:val="0"/>
      <w:divBdr>
        <w:top w:val="none" w:sz="0" w:space="0" w:color="auto"/>
        <w:left w:val="none" w:sz="0" w:space="0" w:color="auto"/>
        <w:bottom w:val="none" w:sz="0" w:space="0" w:color="auto"/>
        <w:right w:val="none" w:sz="0" w:space="0" w:color="auto"/>
      </w:divBdr>
    </w:div>
    <w:div w:id="1936665546">
      <w:bodyDiv w:val="1"/>
      <w:marLeft w:val="0"/>
      <w:marRight w:val="0"/>
      <w:marTop w:val="0"/>
      <w:marBottom w:val="0"/>
      <w:divBdr>
        <w:top w:val="none" w:sz="0" w:space="0" w:color="auto"/>
        <w:left w:val="none" w:sz="0" w:space="0" w:color="auto"/>
        <w:bottom w:val="none" w:sz="0" w:space="0" w:color="auto"/>
        <w:right w:val="none" w:sz="0" w:space="0" w:color="auto"/>
      </w:divBdr>
    </w:div>
    <w:div w:id="1936744924">
      <w:bodyDiv w:val="1"/>
      <w:marLeft w:val="0"/>
      <w:marRight w:val="0"/>
      <w:marTop w:val="0"/>
      <w:marBottom w:val="0"/>
      <w:divBdr>
        <w:top w:val="none" w:sz="0" w:space="0" w:color="auto"/>
        <w:left w:val="none" w:sz="0" w:space="0" w:color="auto"/>
        <w:bottom w:val="none" w:sz="0" w:space="0" w:color="auto"/>
        <w:right w:val="none" w:sz="0" w:space="0" w:color="auto"/>
      </w:divBdr>
    </w:div>
    <w:div w:id="1936749487">
      <w:bodyDiv w:val="1"/>
      <w:marLeft w:val="0"/>
      <w:marRight w:val="0"/>
      <w:marTop w:val="0"/>
      <w:marBottom w:val="0"/>
      <w:divBdr>
        <w:top w:val="none" w:sz="0" w:space="0" w:color="auto"/>
        <w:left w:val="none" w:sz="0" w:space="0" w:color="auto"/>
        <w:bottom w:val="none" w:sz="0" w:space="0" w:color="auto"/>
        <w:right w:val="none" w:sz="0" w:space="0" w:color="auto"/>
      </w:divBdr>
    </w:div>
    <w:div w:id="1936861478">
      <w:bodyDiv w:val="1"/>
      <w:marLeft w:val="0"/>
      <w:marRight w:val="0"/>
      <w:marTop w:val="0"/>
      <w:marBottom w:val="0"/>
      <w:divBdr>
        <w:top w:val="none" w:sz="0" w:space="0" w:color="auto"/>
        <w:left w:val="none" w:sz="0" w:space="0" w:color="auto"/>
        <w:bottom w:val="none" w:sz="0" w:space="0" w:color="auto"/>
        <w:right w:val="none" w:sz="0" w:space="0" w:color="auto"/>
      </w:divBdr>
    </w:div>
    <w:div w:id="1936935874">
      <w:bodyDiv w:val="1"/>
      <w:marLeft w:val="0"/>
      <w:marRight w:val="0"/>
      <w:marTop w:val="0"/>
      <w:marBottom w:val="0"/>
      <w:divBdr>
        <w:top w:val="none" w:sz="0" w:space="0" w:color="auto"/>
        <w:left w:val="none" w:sz="0" w:space="0" w:color="auto"/>
        <w:bottom w:val="none" w:sz="0" w:space="0" w:color="auto"/>
        <w:right w:val="none" w:sz="0" w:space="0" w:color="auto"/>
      </w:divBdr>
    </w:div>
    <w:div w:id="1936937716">
      <w:bodyDiv w:val="1"/>
      <w:marLeft w:val="0"/>
      <w:marRight w:val="0"/>
      <w:marTop w:val="0"/>
      <w:marBottom w:val="0"/>
      <w:divBdr>
        <w:top w:val="none" w:sz="0" w:space="0" w:color="auto"/>
        <w:left w:val="none" w:sz="0" w:space="0" w:color="auto"/>
        <w:bottom w:val="none" w:sz="0" w:space="0" w:color="auto"/>
        <w:right w:val="none" w:sz="0" w:space="0" w:color="auto"/>
      </w:divBdr>
    </w:div>
    <w:div w:id="1936938983">
      <w:bodyDiv w:val="1"/>
      <w:marLeft w:val="0"/>
      <w:marRight w:val="0"/>
      <w:marTop w:val="0"/>
      <w:marBottom w:val="0"/>
      <w:divBdr>
        <w:top w:val="none" w:sz="0" w:space="0" w:color="auto"/>
        <w:left w:val="none" w:sz="0" w:space="0" w:color="auto"/>
        <w:bottom w:val="none" w:sz="0" w:space="0" w:color="auto"/>
        <w:right w:val="none" w:sz="0" w:space="0" w:color="auto"/>
      </w:divBdr>
    </w:div>
    <w:div w:id="1936939206">
      <w:bodyDiv w:val="1"/>
      <w:marLeft w:val="0"/>
      <w:marRight w:val="0"/>
      <w:marTop w:val="0"/>
      <w:marBottom w:val="0"/>
      <w:divBdr>
        <w:top w:val="none" w:sz="0" w:space="0" w:color="auto"/>
        <w:left w:val="none" w:sz="0" w:space="0" w:color="auto"/>
        <w:bottom w:val="none" w:sz="0" w:space="0" w:color="auto"/>
        <w:right w:val="none" w:sz="0" w:space="0" w:color="auto"/>
      </w:divBdr>
    </w:div>
    <w:div w:id="1936984134">
      <w:bodyDiv w:val="1"/>
      <w:marLeft w:val="0"/>
      <w:marRight w:val="0"/>
      <w:marTop w:val="0"/>
      <w:marBottom w:val="0"/>
      <w:divBdr>
        <w:top w:val="none" w:sz="0" w:space="0" w:color="auto"/>
        <w:left w:val="none" w:sz="0" w:space="0" w:color="auto"/>
        <w:bottom w:val="none" w:sz="0" w:space="0" w:color="auto"/>
        <w:right w:val="none" w:sz="0" w:space="0" w:color="auto"/>
      </w:divBdr>
    </w:div>
    <w:div w:id="1937131902">
      <w:bodyDiv w:val="1"/>
      <w:marLeft w:val="0"/>
      <w:marRight w:val="0"/>
      <w:marTop w:val="0"/>
      <w:marBottom w:val="0"/>
      <w:divBdr>
        <w:top w:val="none" w:sz="0" w:space="0" w:color="auto"/>
        <w:left w:val="none" w:sz="0" w:space="0" w:color="auto"/>
        <w:bottom w:val="none" w:sz="0" w:space="0" w:color="auto"/>
        <w:right w:val="none" w:sz="0" w:space="0" w:color="auto"/>
      </w:divBdr>
    </w:div>
    <w:div w:id="1937519342">
      <w:bodyDiv w:val="1"/>
      <w:marLeft w:val="0"/>
      <w:marRight w:val="0"/>
      <w:marTop w:val="0"/>
      <w:marBottom w:val="0"/>
      <w:divBdr>
        <w:top w:val="none" w:sz="0" w:space="0" w:color="auto"/>
        <w:left w:val="none" w:sz="0" w:space="0" w:color="auto"/>
        <w:bottom w:val="none" w:sz="0" w:space="0" w:color="auto"/>
        <w:right w:val="none" w:sz="0" w:space="0" w:color="auto"/>
      </w:divBdr>
    </w:div>
    <w:div w:id="1937785538">
      <w:bodyDiv w:val="1"/>
      <w:marLeft w:val="0"/>
      <w:marRight w:val="0"/>
      <w:marTop w:val="0"/>
      <w:marBottom w:val="0"/>
      <w:divBdr>
        <w:top w:val="none" w:sz="0" w:space="0" w:color="auto"/>
        <w:left w:val="none" w:sz="0" w:space="0" w:color="auto"/>
        <w:bottom w:val="none" w:sz="0" w:space="0" w:color="auto"/>
        <w:right w:val="none" w:sz="0" w:space="0" w:color="auto"/>
      </w:divBdr>
    </w:div>
    <w:div w:id="1937860788">
      <w:bodyDiv w:val="1"/>
      <w:marLeft w:val="0"/>
      <w:marRight w:val="0"/>
      <w:marTop w:val="0"/>
      <w:marBottom w:val="0"/>
      <w:divBdr>
        <w:top w:val="none" w:sz="0" w:space="0" w:color="auto"/>
        <w:left w:val="none" w:sz="0" w:space="0" w:color="auto"/>
        <w:bottom w:val="none" w:sz="0" w:space="0" w:color="auto"/>
        <w:right w:val="none" w:sz="0" w:space="0" w:color="auto"/>
      </w:divBdr>
    </w:div>
    <w:div w:id="1937901922">
      <w:bodyDiv w:val="1"/>
      <w:marLeft w:val="0"/>
      <w:marRight w:val="0"/>
      <w:marTop w:val="0"/>
      <w:marBottom w:val="0"/>
      <w:divBdr>
        <w:top w:val="none" w:sz="0" w:space="0" w:color="auto"/>
        <w:left w:val="none" w:sz="0" w:space="0" w:color="auto"/>
        <w:bottom w:val="none" w:sz="0" w:space="0" w:color="auto"/>
        <w:right w:val="none" w:sz="0" w:space="0" w:color="auto"/>
      </w:divBdr>
    </w:div>
    <w:div w:id="1937908270">
      <w:bodyDiv w:val="1"/>
      <w:marLeft w:val="0"/>
      <w:marRight w:val="0"/>
      <w:marTop w:val="0"/>
      <w:marBottom w:val="0"/>
      <w:divBdr>
        <w:top w:val="none" w:sz="0" w:space="0" w:color="auto"/>
        <w:left w:val="none" w:sz="0" w:space="0" w:color="auto"/>
        <w:bottom w:val="none" w:sz="0" w:space="0" w:color="auto"/>
        <w:right w:val="none" w:sz="0" w:space="0" w:color="auto"/>
      </w:divBdr>
    </w:div>
    <w:div w:id="1937978749">
      <w:bodyDiv w:val="1"/>
      <w:marLeft w:val="0"/>
      <w:marRight w:val="0"/>
      <w:marTop w:val="0"/>
      <w:marBottom w:val="0"/>
      <w:divBdr>
        <w:top w:val="none" w:sz="0" w:space="0" w:color="auto"/>
        <w:left w:val="none" w:sz="0" w:space="0" w:color="auto"/>
        <w:bottom w:val="none" w:sz="0" w:space="0" w:color="auto"/>
        <w:right w:val="none" w:sz="0" w:space="0" w:color="auto"/>
      </w:divBdr>
    </w:div>
    <w:div w:id="1937981619">
      <w:bodyDiv w:val="1"/>
      <w:marLeft w:val="0"/>
      <w:marRight w:val="0"/>
      <w:marTop w:val="0"/>
      <w:marBottom w:val="0"/>
      <w:divBdr>
        <w:top w:val="none" w:sz="0" w:space="0" w:color="auto"/>
        <w:left w:val="none" w:sz="0" w:space="0" w:color="auto"/>
        <w:bottom w:val="none" w:sz="0" w:space="0" w:color="auto"/>
        <w:right w:val="none" w:sz="0" w:space="0" w:color="auto"/>
      </w:divBdr>
    </w:div>
    <w:div w:id="1938054792">
      <w:bodyDiv w:val="1"/>
      <w:marLeft w:val="0"/>
      <w:marRight w:val="0"/>
      <w:marTop w:val="0"/>
      <w:marBottom w:val="0"/>
      <w:divBdr>
        <w:top w:val="none" w:sz="0" w:space="0" w:color="auto"/>
        <w:left w:val="none" w:sz="0" w:space="0" w:color="auto"/>
        <w:bottom w:val="none" w:sz="0" w:space="0" w:color="auto"/>
        <w:right w:val="none" w:sz="0" w:space="0" w:color="auto"/>
      </w:divBdr>
    </w:div>
    <w:div w:id="1938248399">
      <w:bodyDiv w:val="1"/>
      <w:marLeft w:val="0"/>
      <w:marRight w:val="0"/>
      <w:marTop w:val="0"/>
      <w:marBottom w:val="0"/>
      <w:divBdr>
        <w:top w:val="none" w:sz="0" w:space="0" w:color="auto"/>
        <w:left w:val="none" w:sz="0" w:space="0" w:color="auto"/>
        <w:bottom w:val="none" w:sz="0" w:space="0" w:color="auto"/>
        <w:right w:val="none" w:sz="0" w:space="0" w:color="auto"/>
      </w:divBdr>
    </w:div>
    <w:div w:id="1938556938">
      <w:bodyDiv w:val="1"/>
      <w:marLeft w:val="0"/>
      <w:marRight w:val="0"/>
      <w:marTop w:val="0"/>
      <w:marBottom w:val="0"/>
      <w:divBdr>
        <w:top w:val="none" w:sz="0" w:space="0" w:color="auto"/>
        <w:left w:val="none" w:sz="0" w:space="0" w:color="auto"/>
        <w:bottom w:val="none" w:sz="0" w:space="0" w:color="auto"/>
        <w:right w:val="none" w:sz="0" w:space="0" w:color="auto"/>
      </w:divBdr>
    </w:div>
    <w:div w:id="1938706656">
      <w:bodyDiv w:val="1"/>
      <w:marLeft w:val="0"/>
      <w:marRight w:val="0"/>
      <w:marTop w:val="0"/>
      <w:marBottom w:val="0"/>
      <w:divBdr>
        <w:top w:val="none" w:sz="0" w:space="0" w:color="auto"/>
        <w:left w:val="none" w:sz="0" w:space="0" w:color="auto"/>
        <w:bottom w:val="none" w:sz="0" w:space="0" w:color="auto"/>
        <w:right w:val="none" w:sz="0" w:space="0" w:color="auto"/>
      </w:divBdr>
    </w:div>
    <w:div w:id="1938707268">
      <w:bodyDiv w:val="1"/>
      <w:marLeft w:val="0"/>
      <w:marRight w:val="0"/>
      <w:marTop w:val="0"/>
      <w:marBottom w:val="0"/>
      <w:divBdr>
        <w:top w:val="none" w:sz="0" w:space="0" w:color="auto"/>
        <w:left w:val="none" w:sz="0" w:space="0" w:color="auto"/>
        <w:bottom w:val="none" w:sz="0" w:space="0" w:color="auto"/>
        <w:right w:val="none" w:sz="0" w:space="0" w:color="auto"/>
      </w:divBdr>
    </w:div>
    <w:div w:id="1938783476">
      <w:bodyDiv w:val="1"/>
      <w:marLeft w:val="0"/>
      <w:marRight w:val="0"/>
      <w:marTop w:val="0"/>
      <w:marBottom w:val="0"/>
      <w:divBdr>
        <w:top w:val="none" w:sz="0" w:space="0" w:color="auto"/>
        <w:left w:val="none" w:sz="0" w:space="0" w:color="auto"/>
        <w:bottom w:val="none" w:sz="0" w:space="0" w:color="auto"/>
        <w:right w:val="none" w:sz="0" w:space="0" w:color="auto"/>
      </w:divBdr>
    </w:div>
    <w:div w:id="1938784147">
      <w:bodyDiv w:val="1"/>
      <w:marLeft w:val="0"/>
      <w:marRight w:val="0"/>
      <w:marTop w:val="0"/>
      <w:marBottom w:val="0"/>
      <w:divBdr>
        <w:top w:val="none" w:sz="0" w:space="0" w:color="auto"/>
        <w:left w:val="none" w:sz="0" w:space="0" w:color="auto"/>
        <w:bottom w:val="none" w:sz="0" w:space="0" w:color="auto"/>
        <w:right w:val="none" w:sz="0" w:space="0" w:color="auto"/>
      </w:divBdr>
    </w:div>
    <w:div w:id="1939025151">
      <w:bodyDiv w:val="1"/>
      <w:marLeft w:val="0"/>
      <w:marRight w:val="0"/>
      <w:marTop w:val="0"/>
      <w:marBottom w:val="0"/>
      <w:divBdr>
        <w:top w:val="none" w:sz="0" w:space="0" w:color="auto"/>
        <w:left w:val="none" w:sz="0" w:space="0" w:color="auto"/>
        <w:bottom w:val="none" w:sz="0" w:space="0" w:color="auto"/>
        <w:right w:val="none" w:sz="0" w:space="0" w:color="auto"/>
      </w:divBdr>
    </w:div>
    <w:div w:id="1939171250">
      <w:bodyDiv w:val="1"/>
      <w:marLeft w:val="0"/>
      <w:marRight w:val="0"/>
      <w:marTop w:val="0"/>
      <w:marBottom w:val="0"/>
      <w:divBdr>
        <w:top w:val="none" w:sz="0" w:space="0" w:color="auto"/>
        <w:left w:val="none" w:sz="0" w:space="0" w:color="auto"/>
        <w:bottom w:val="none" w:sz="0" w:space="0" w:color="auto"/>
        <w:right w:val="none" w:sz="0" w:space="0" w:color="auto"/>
      </w:divBdr>
    </w:div>
    <w:div w:id="1939172656">
      <w:bodyDiv w:val="1"/>
      <w:marLeft w:val="0"/>
      <w:marRight w:val="0"/>
      <w:marTop w:val="0"/>
      <w:marBottom w:val="0"/>
      <w:divBdr>
        <w:top w:val="none" w:sz="0" w:space="0" w:color="auto"/>
        <w:left w:val="none" w:sz="0" w:space="0" w:color="auto"/>
        <w:bottom w:val="none" w:sz="0" w:space="0" w:color="auto"/>
        <w:right w:val="none" w:sz="0" w:space="0" w:color="auto"/>
      </w:divBdr>
    </w:div>
    <w:div w:id="1939291983">
      <w:bodyDiv w:val="1"/>
      <w:marLeft w:val="0"/>
      <w:marRight w:val="0"/>
      <w:marTop w:val="0"/>
      <w:marBottom w:val="0"/>
      <w:divBdr>
        <w:top w:val="none" w:sz="0" w:space="0" w:color="auto"/>
        <w:left w:val="none" w:sz="0" w:space="0" w:color="auto"/>
        <w:bottom w:val="none" w:sz="0" w:space="0" w:color="auto"/>
        <w:right w:val="none" w:sz="0" w:space="0" w:color="auto"/>
      </w:divBdr>
    </w:div>
    <w:div w:id="1939364442">
      <w:bodyDiv w:val="1"/>
      <w:marLeft w:val="0"/>
      <w:marRight w:val="0"/>
      <w:marTop w:val="0"/>
      <w:marBottom w:val="0"/>
      <w:divBdr>
        <w:top w:val="none" w:sz="0" w:space="0" w:color="auto"/>
        <w:left w:val="none" w:sz="0" w:space="0" w:color="auto"/>
        <w:bottom w:val="none" w:sz="0" w:space="0" w:color="auto"/>
        <w:right w:val="none" w:sz="0" w:space="0" w:color="auto"/>
      </w:divBdr>
    </w:div>
    <w:div w:id="1939368826">
      <w:bodyDiv w:val="1"/>
      <w:marLeft w:val="0"/>
      <w:marRight w:val="0"/>
      <w:marTop w:val="0"/>
      <w:marBottom w:val="0"/>
      <w:divBdr>
        <w:top w:val="none" w:sz="0" w:space="0" w:color="auto"/>
        <w:left w:val="none" w:sz="0" w:space="0" w:color="auto"/>
        <w:bottom w:val="none" w:sz="0" w:space="0" w:color="auto"/>
        <w:right w:val="none" w:sz="0" w:space="0" w:color="auto"/>
      </w:divBdr>
    </w:div>
    <w:div w:id="1939559339">
      <w:bodyDiv w:val="1"/>
      <w:marLeft w:val="0"/>
      <w:marRight w:val="0"/>
      <w:marTop w:val="0"/>
      <w:marBottom w:val="0"/>
      <w:divBdr>
        <w:top w:val="none" w:sz="0" w:space="0" w:color="auto"/>
        <w:left w:val="none" w:sz="0" w:space="0" w:color="auto"/>
        <w:bottom w:val="none" w:sz="0" w:space="0" w:color="auto"/>
        <w:right w:val="none" w:sz="0" w:space="0" w:color="auto"/>
      </w:divBdr>
    </w:div>
    <w:div w:id="1939635481">
      <w:bodyDiv w:val="1"/>
      <w:marLeft w:val="0"/>
      <w:marRight w:val="0"/>
      <w:marTop w:val="0"/>
      <w:marBottom w:val="0"/>
      <w:divBdr>
        <w:top w:val="none" w:sz="0" w:space="0" w:color="auto"/>
        <w:left w:val="none" w:sz="0" w:space="0" w:color="auto"/>
        <w:bottom w:val="none" w:sz="0" w:space="0" w:color="auto"/>
        <w:right w:val="none" w:sz="0" w:space="0" w:color="auto"/>
      </w:divBdr>
    </w:div>
    <w:div w:id="1939828196">
      <w:bodyDiv w:val="1"/>
      <w:marLeft w:val="0"/>
      <w:marRight w:val="0"/>
      <w:marTop w:val="0"/>
      <w:marBottom w:val="0"/>
      <w:divBdr>
        <w:top w:val="none" w:sz="0" w:space="0" w:color="auto"/>
        <w:left w:val="none" w:sz="0" w:space="0" w:color="auto"/>
        <w:bottom w:val="none" w:sz="0" w:space="0" w:color="auto"/>
        <w:right w:val="none" w:sz="0" w:space="0" w:color="auto"/>
      </w:divBdr>
    </w:div>
    <w:div w:id="1939873952">
      <w:bodyDiv w:val="1"/>
      <w:marLeft w:val="0"/>
      <w:marRight w:val="0"/>
      <w:marTop w:val="0"/>
      <w:marBottom w:val="0"/>
      <w:divBdr>
        <w:top w:val="none" w:sz="0" w:space="0" w:color="auto"/>
        <w:left w:val="none" w:sz="0" w:space="0" w:color="auto"/>
        <w:bottom w:val="none" w:sz="0" w:space="0" w:color="auto"/>
        <w:right w:val="none" w:sz="0" w:space="0" w:color="auto"/>
      </w:divBdr>
    </w:div>
    <w:div w:id="1940066614">
      <w:bodyDiv w:val="1"/>
      <w:marLeft w:val="0"/>
      <w:marRight w:val="0"/>
      <w:marTop w:val="0"/>
      <w:marBottom w:val="0"/>
      <w:divBdr>
        <w:top w:val="none" w:sz="0" w:space="0" w:color="auto"/>
        <w:left w:val="none" w:sz="0" w:space="0" w:color="auto"/>
        <w:bottom w:val="none" w:sz="0" w:space="0" w:color="auto"/>
        <w:right w:val="none" w:sz="0" w:space="0" w:color="auto"/>
      </w:divBdr>
    </w:div>
    <w:div w:id="1940215610">
      <w:bodyDiv w:val="1"/>
      <w:marLeft w:val="0"/>
      <w:marRight w:val="0"/>
      <w:marTop w:val="0"/>
      <w:marBottom w:val="0"/>
      <w:divBdr>
        <w:top w:val="none" w:sz="0" w:space="0" w:color="auto"/>
        <w:left w:val="none" w:sz="0" w:space="0" w:color="auto"/>
        <w:bottom w:val="none" w:sz="0" w:space="0" w:color="auto"/>
        <w:right w:val="none" w:sz="0" w:space="0" w:color="auto"/>
      </w:divBdr>
    </w:div>
    <w:div w:id="1940287343">
      <w:bodyDiv w:val="1"/>
      <w:marLeft w:val="0"/>
      <w:marRight w:val="0"/>
      <w:marTop w:val="0"/>
      <w:marBottom w:val="0"/>
      <w:divBdr>
        <w:top w:val="none" w:sz="0" w:space="0" w:color="auto"/>
        <w:left w:val="none" w:sz="0" w:space="0" w:color="auto"/>
        <w:bottom w:val="none" w:sz="0" w:space="0" w:color="auto"/>
        <w:right w:val="none" w:sz="0" w:space="0" w:color="auto"/>
      </w:divBdr>
    </w:div>
    <w:div w:id="1940329560">
      <w:bodyDiv w:val="1"/>
      <w:marLeft w:val="0"/>
      <w:marRight w:val="0"/>
      <w:marTop w:val="0"/>
      <w:marBottom w:val="0"/>
      <w:divBdr>
        <w:top w:val="none" w:sz="0" w:space="0" w:color="auto"/>
        <w:left w:val="none" w:sz="0" w:space="0" w:color="auto"/>
        <w:bottom w:val="none" w:sz="0" w:space="0" w:color="auto"/>
        <w:right w:val="none" w:sz="0" w:space="0" w:color="auto"/>
      </w:divBdr>
    </w:div>
    <w:div w:id="1940409951">
      <w:bodyDiv w:val="1"/>
      <w:marLeft w:val="0"/>
      <w:marRight w:val="0"/>
      <w:marTop w:val="0"/>
      <w:marBottom w:val="0"/>
      <w:divBdr>
        <w:top w:val="none" w:sz="0" w:space="0" w:color="auto"/>
        <w:left w:val="none" w:sz="0" w:space="0" w:color="auto"/>
        <w:bottom w:val="none" w:sz="0" w:space="0" w:color="auto"/>
        <w:right w:val="none" w:sz="0" w:space="0" w:color="auto"/>
      </w:divBdr>
    </w:div>
    <w:div w:id="1940523305">
      <w:bodyDiv w:val="1"/>
      <w:marLeft w:val="0"/>
      <w:marRight w:val="0"/>
      <w:marTop w:val="0"/>
      <w:marBottom w:val="0"/>
      <w:divBdr>
        <w:top w:val="none" w:sz="0" w:space="0" w:color="auto"/>
        <w:left w:val="none" w:sz="0" w:space="0" w:color="auto"/>
        <w:bottom w:val="none" w:sz="0" w:space="0" w:color="auto"/>
        <w:right w:val="none" w:sz="0" w:space="0" w:color="auto"/>
      </w:divBdr>
    </w:div>
    <w:div w:id="1940525987">
      <w:bodyDiv w:val="1"/>
      <w:marLeft w:val="0"/>
      <w:marRight w:val="0"/>
      <w:marTop w:val="0"/>
      <w:marBottom w:val="0"/>
      <w:divBdr>
        <w:top w:val="none" w:sz="0" w:space="0" w:color="auto"/>
        <w:left w:val="none" w:sz="0" w:space="0" w:color="auto"/>
        <w:bottom w:val="none" w:sz="0" w:space="0" w:color="auto"/>
        <w:right w:val="none" w:sz="0" w:space="0" w:color="auto"/>
      </w:divBdr>
    </w:div>
    <w:div w:id="1940596475">
      <w:bodyDiv w:val="1"/>
      <w:marLeft w:val="0"/>
      <w:marRight w:val="0"/>
      <w:marTop w:val="0"/>
      <w:marBottom w:val="0"/>
      <w:divBdr>
        <w:top w:val="none" w:sz="0" w:space="0" w:color="auto"/>
        <w:left w:val="none" w:sz="0" w:space="0" w:color="auto"/>
        <w:bottom w:val="none" w:sz="0" w:space="0" w:color="auto"/>
        <w:right w:val="none" w:sz="0" w:space="0" w:color="auto"/>
      </w:divBdr>
    </w:div>
    <w:div w:id="1940599532">
      <w:bodyDiv w:val="1"/>
      <w:marLeft w:val="0"/>
      <w:marRight w:val="0"/>
      <w:marTop w:val="0"/>
      <w:marBottom w:val="0"/>
      <w:divBdr>
        <w:top w:val="none" w:sz="0" w:space="0" w:color="auto"/>
        <w:left w:val="none" w:sz="0" w:space="0" w:color="auto"/>
        <w:bottom w:val="none" w:sz="0" w:space="0" w:color="auto"/>
        <w:right w:val="none" w:sz="0" w:space="0" w:color="auto"/>
      </w:divBdr>
    </w:div>
    <w:div w:id="1940673338">
      <w:bodyDiv w:val="1"/>
      <w:marLeft w:val="0"/>
      <w:marRight w:val="0"/>
      <w:marTop w:val="0"/>
      <w:marBottom w:val="0"/>
      <w:divBdr>
        <w:top w:val="none" w:sz="0" w:space="0" w:color="auto"/>
        <w:left w:val="none" w:sz="0" w:space="0" w:color="auto"/>
        <w:bottom w:val="none" w:sz="0" w:space="0" w:color="auto"/>
        <w:right w:val="none" w:sz="0" w:space="0" w:color="auto"/>
      </w:divBdr>
    </w:div>
    <w:div w:id="1940674711">
      <w:bodyDiv w:val="1"/>
      <w:marLeft w:val="0"/>
      <w:marRight w:val="0"/>
      <w:marTop w:val="0"/>
      <w:marBottom w:val="0"/>
      <w:divBdr>
        <w:top w:val="none" w:sz="0" w:space="0" w:color="auto"/>
        <w:left w:val="none" w:sz="0" w:space="0" w:color="auto"/>
        <w:bottom w:val="none" w:sz="0" w:space="0" w:color="auto"/>
        <w:right w:val="none" w:sz="0" w:space="0" w:color="auto"/>
      </w:divBdr>
    </w:div>
    <w:div w:id="1940721475">
      <w:bodyDiv w:val="1"/>
      <w:marLeft w:val="0"/>
      <w:marRight w:val="0"/>
      <w:marTop w:val="0"/>
      <w:marBottom w:val="0"/>
      <w:divBdr>
        <w:top w:val="none" w:sz="0" w:space="0" w:color="auto"/>
        <w:left w:val="none" w:sz="0" w:space="0" w:color="auto"/>
        <w:bottom w:val="none" w:sz="0" w:space="0" w:color="auto"/>
        <w:right w:val="none" w:sz="0" w:space="0" w:color="auto"/>
      </w:divBdr>
    </w:div>
    <w:div w:id="1940747080">
      <w:bodyDiv w:val="1"/>
      <w:marLeft w:val="0"/>
      <w:marRight w:val="0"/>
      <w:marTop w:val="0"/>
      <w:marBottom w:val="0"/>
      <w:divBdr>
        <w:top w:val="none" w:sz="0" w:space="0" w:color="auto"/>
        <w:left w:val="none" w:sz="0" w:space="0" w:color="auto"/>
        <w:bottom w:val="none" w:sz="0" w:space="0" w:color="auto"/>
        <w:right w:val="none" w:sz="0" w:space="0" w:color="auto"/>
      </w:divBdr>
    </w:div>
    <w:div w:id="1940796050">
      <w:bodyDiv w:val="1"/>
      <w:marLeft w:val="0"/>
      <w:marRight w:val="0"/>
      <w:marTop w:val="0"/>
      <w:marBottom w:val="0"/>
      <w:divBdr>
        <w:top w:val="none" w:sz="0" w:space="0" w:color="auto"/>
        <w:left w:val="none" w:sz="0" w:space="0" w:color="auto"/>
        <w:bottom w:val="none" w:sz="0" w:space="0" w:color="auto"/>
        <w:right w:val="none" w:sz="0" w:space="0" w:color="auto"/>
      </w:divBdr>
    </w:div>
    <w:div w:id="1940797918">
      <w:bodyDiv w:val="1"/>
      <w:marLeft w:val="0"/>
      <w:marRight w:val="0"/>
      <w:marTop w:val="0"/>
      <w:marBottom w:val="0"/>
      <w:divBdr>
        <w:top w:val="none" w:sz="0" w:space="0" w:color="auto"/>
        <w:left w:val="none" w:sz="0" w:space="0" w:color="auto"/>
        <w:bottom w:val="none" w:sz="0" w:space="0" w:color="auto"/>
        <w:right w:val="none" w:sz="0" w:space="0" w:color="auto"/>
      </w:divBdr>
    </w:div>
    <w:div w:id="1940941161">
      <w:bodyDiv w:val="1"/>
      <w:marLeft w:val="0"/>
      <w:marRight w:val="0"/>
      <w:marTop w:val="0"/>
      <w:marBottom w:val="0"/>
      <w:divBdr>
        <w:top w:val="none" w:sz="0" w:space="0" w:color="auto"/>
        <w:left w:val="none" w:sz="0" w:space="0" w:color="auto"/>
        <w:bottom w:val="none" w:sz="0" w:space="0" w:color="auto"/>
        <w:right w:val="none" w:sz="0" w:space="0" w:color="auto"/>
      </w:divBdr>
    </w:div>
    <w:div w:id="1940985962">
      <w:bodyDiv w:val="1"/>
      <w:marLeft w:val="0"/>
      <w:marRight w:val="0"/>
      <w:marTop w:val="0"/>
      <w:marBottom w:val="0"/>
      <w:divBdr>
        <w:top w:val="none" w:sz="0" w:space="0" w:color="auto"/>
        <w:left w:val="none" w:sz="0" w:space="0" w:color="auto"/>
        <w:bottom w:val="none" w:sz="0" w:space="0" w:color="auto"/>
        <w:right w:val="none" w:sz="0" w:space="0" w:color="auto"/>
      </w:divBdr>
    </w:div>
    <w:div w:id="1940988379">
      <w:bodyDiv w:val="1"/>
      <w:marLeft w:val="0"/>
      <w:marRight w:val="0"/>
      <w:marTop w:val="0"/>
      <w:marBottom w:val="0"/>
      <w:divBdr>
        <w:top w:val="none" w:sz="0" w:space="0" w:color="auto"/>
        <w:left w:val="none" w:sz="0" w:space="0" w:color="auto"/>
        <w:bottom w:val="none" w:sz="0" w:space="0" w:color="auto"/>
        <w:right w:val="none" w:sz="0" w:space="0" w:color="auto"/>
      </w:divBdr>
    </w:div>
    <w:div w:id="1941182022">
      <w:bodyDiv w:val="1"/>
      <w:marLeft w:val="0"/>
      <w:marRight w:val="0"/>
      <w:marTop w:val="0"/>
      <w:marBottom w:val="0"/>
      <w:divBdr>
        <w:top w:val="none" w:sz="0" w:space="0" w:color="auto"/>
        <w:left w:val="none" w:sz="0" w:space="0" w:color="auto"/>
        <w:bottom w:val="none" w:sz="0" w:space="0" w:color="auto"/>
        <w:right w:val="none" w:sz="0" w:space="0" w:color="auto"/>
      </w:divBdr>
    </w:div>
    <w:div w:id="1941328617">
      <w:bodyDiv w:val="1"/>
      <w:marLeft w:val="0"/>
      <w:marRight w:val="0"/>
      <w:marTop w:val="0"/>
      <w:marBottom w:val="0"/>
      <w:divBdr>
        <w:top w:val="none" w:sz="0" w:space="0" w:color="auto"/>
        <w:left w:val="none" w:sz="0" w:space="0" w:color="auto"/>
        <w:bottom w:val="none" w:sz="0" w:space="0" w:color="auto"/>
        <w:right w:val="none" w:sz="0" w:space="0" w:color="auto"/>
      </w:divBdr>
    </w:div>
    <w:div w:id="1941331559">
      <w:bodyDiv w:val="1"/>
      <w:marLeft w:val="0"/>
      <w:marRight w:val="0"/>
      <w:marTop w:val="0"/>
      <w:marBottom w:val="0"/>
      <w:divBdr>
        <w:top w:val="none" w:sz="0" w:space="0" w:color="auto"/>
        <w:left w:val="none" w:sz="0" w:space="0" w:color="auto"/>
        <w:bottom w:val="none" w:sz="0" w:space="0" w:color="auto"/>
        <w:right w:val="none" w:sz="0" w:space="0" w:color="auto"/>
      </w:divBdr>
    </w:div>
    <w:div w:id="1941524911">
      <w:bodyDiv w:val="1"/>
      <w:marLeft w:val="0"/>
      <w:marRight w:val="0"/>
      <w:marTop w:val="0"/>
      <w:marBottom w:val="0"/>
      <w:divBdr>
        <w:top w:val="none" w:sz="0" w:space="0" w:color="auto"/>
        <w:left w:val="none" w:sz="0" w:space="0" w:color="auto"/>
        <w:bottom w:val="none" w:sz="0" w:space="0" w:color="auto"/>
        <w:right w:val="none" w:sz="0" w:space="0" w:color="auto"/>
      </w:divBdr>
    </w:div>
    <w:div w:id="1941642655">
      <w:bodyDiv w:val="1"/>
      <w:marLeft w:val="0"/>
      <w:marRight w:val="0"/>
      <w:marTop w:val="0"/>
      <w:marBottom w:val="0"/>
      <w:divBdr>
        <w:top w:val="none" w:sz="0" w:space="0" w:color="auto"/>
        <w:left w:val="none" w:sz="0" w:space="0" w:color="auto"/>
        <w:bottom w:val="none" w:sz="0" w:space="0" w:color="auto"/>
        <w:right w:val="none" w:sz="0" w:space="0" w:color="auto"/>
      </w:divBdr>
    </w:div>
    <w:div w:id="1941788919">
      <w:bodyDiv w:val="1"/>
      <w:marLeft w:val="0"/>
      <w:marRight w:val="0"/>
      <w:marTop w:val="0"/>
      <w:marBottom w:val="0"/>
      <w:divBdr>
        <w:top w:val="none" w:sz="0" w:space="0" w:color="auto"/>
        <w:left w:val="none" w:sz="0" w:space="0" w:color="auto"/>
        <w:bottom w:val="none" w:sz="0" w:space="0" w:color="auto"/>
        <w:right w:val="none" w:sz="0" w:space="0" w:color="auto"/>
      </w:divBdr>
    </w:div>
    <w:div w:id="1941795390">
      <w:bodyDiv w:val="1"/>
      <w:marLeft w:val="0"/>
      <w:marRight w:val="0"/>
      <w:marTop w:val="0"/>
      <w:marBottom w:val="0"/>
      <w:divBdr>
        <w:top w:val="none" w:sz="0" w:space="0" w:color="auto"/>
        <w:left w:val="none" w:sz="0" w:space="0" w:color="auto"/>
        <w:bottom w:val="none" w:sz="0" w:space="0" w:color="auto"/>
        <w:right w:val="none" w:sz="0" w:space="0" w:color="auto"/>
      </w:divBdr>
    </w:div>
    <w:div w:id="1941832474">
      <w:bodyDiv w:val="1"/>
      <w:marLeft w:val="0"/>
      <w:marRight w:val="0"/>
      <w:marTop w:val="0"/>
      <w:marBottom w:val="0"/>
      <w:divBdr>
        <w:top w:val="none" w:sz="0" w:space="0" w:color="auto"/>
        <w:left w:val="none" w:sz="0" w:space="0" w:color="auto"/>
        <w:bottom w:val="none" w:sz="0" w:space="0" w:color="auto"/>
        <w:right w:val="none" w:sz="0" w:space="0" w:color="auto"/>
      </w:divBdr>
    </w:div>
    <w:div w:id="1941840067">
      <w:bodyDiv w:val="1"/>
      <w:marLeft w:val="0"/>
      <w:marRight w:val="0"/>
      <w:marTop w:val="0"/>
      <w:marBottom w:val="0"/>
      <w:divBdr>
        <w:top w:val="none" w:sz="0" w:space="0" w:color="auto"/>
        <w:left w:val="none" w:sz="0" w:space="0" w:color="auto"/>
        <w:bottom w:val="none" w:sz="0" w:space="0" w:color="auto"/>
        <w:right w:val="none" w:sz="0" w:space="0" w:color="auto"/>
      </w:divBdr>
    </w:div>
    <w:div w:id="1941912464">
      <w:bodyDiv w:val="1"/>
      <w:marLeft w:val="0"/>
      <w:marRight w:val="0"/>
      <w:marTop w:val="0"/>
      <w:marBottom w:val="0"/>
      <w:divBdr>
        <w:top w:val="none" w:sz="0" w:space="0" w:color="auto"/>
        <w:left w:val="none" w:sz="0" w:space="0" w:color="auto"/>
        <w:bottom w:val="none" w:sz="0" w:space="0" w:color="auto"/>
        <w:right w:val="none" w:sz="0" w:space="0" w:color="auto"/>
      </w:divBdr>
    </w:div>
    <w:div w:id="1941986940">
      <w:bodyDiv w:val="1"/>
      <w:marLeft w:val="0"/>
      <w:marRight w:val="0"/>
      <w:marTop w:val="0"/>
      <w:marBottom w:val="0"/>
      <w:divBdr>
        <w:top w:val="none" w:sz="0" w:space="0" w:color="auto"/>
        <w:left w:val="none" w:sz="0" w:space="0" w:color="auto"/>
        <w:bottom w:val="none" w:sz="0" w:space="0" w:color="auto"/>
        <w:right w:val="none" w:sz="0" w:space="0" w:color="auto"/>
      </w:divBdr>
    </w:div>
    <w:div w:id="1942103377">
      <w:bodyDiv w:val="1"/>
      <w:marLeft w:val="0"/>
      <w:marRight w:val="0"/>
      <w:marTop w:val="0"/>
      <w:marBottom w:val="0"/>
      <w:divBdr>
        <w:top w:val="none" w:sz="0" w:space="0" w:color="auto"/>
        <w:left w:val="none" w:sz="0" w:space="0" w:color="auto"/>
        <w:bottom w:val="none" w:sz="0" w:space="0" w:color="auto"/>
        <w:right w:val="none" w:sz="0" w:space="0" w:color="auto"/>
      </w:divBdr>
    </w:div>
    <w:div w:id="1942105153">
      <w:bodyDiv w:val="1"/>
      <w:marLeft w:val="0"/>
      <w:marRight w:val="0"/>
      <w:marTop w:val="0"/>
      <w:marBottom w:val="0"/>
      <w:divBdr>
        <w:top w:val="none" w:sz="0" w:space="0" w:color="auto"/>
        <w:left w:val="none" w:sz="0" w:space="0" w:color="auto"/>
        <w:bottom w:val="none" w:sz="0" w:space="0" w:color="auto"/>
        <w:right w:val="none" w:sz="0" w:space="0" w:color="auto"/>
      </w:divBdr>
    </w:div>
    <w:div w:id="1942179302">
      <w:bodyDiv w:val="1"/>
      <w:marLeft w:val="0"/>
      <w:marRight w:val="0"/>
      <w:marTop w:val="0"/>
      <w:marBottom w:val="0"/>
      <w:divBdr>
        <w:top w:val="none" w:sz="0" w:space="0" w:color="auto"/>
        <w:left w:val="none" w:sz="0" w:space="0" w:color="auto"/>
        <w:bottom w:val="none" w:sz="0" w:space="0" w:color="auto"/>
        <w:right w:val="none" w:sz="0" w:space="0" w:color="auto"/>
      </w:divBdr>
    </w:div>
    <w:div w:id="1942180070">
      <w:bodyDiv w:val="1"/>
      <w:marLeft w:val="0"/>
      <w:marRight w:val="0"/>
      <w:marTop w:val="0"/>
      <w:marBottom w:val="0"/>
      <w:divBdr>
        <w:top w:val="none" w:sz="0" w:space="0" w:color="auto"/>
        <w:left w:val="none" w:sz="0" w:space="0" w:color="auto"/>
        <w:bottom w:val="none" w:sz="0" w:space="0" w:color="auto"/>
        <w:right w:val="none" w:sz="0" w:space="0" w:color="auto"/>
      </w:divBdr>
    </w:div>
    <w:div w:id="1942180400">
      <w:bodyDiv w:val="1"/>
      <w:marLeft w:val="0"/>
      <w:marRight w:val="0"/>
      <w:marTop w:val="0"/>
      <w:marBottom w:val="0"/>
      <w:divBdr>
        <w:top w:val="none" w:sz="0" w:space="0" w:color="auto"/>
        <w:left w:val="none" w:sz="0" w:space="0" w:color="auto"/>
        <w:bottom w:val="none" w:sz="0" w:space="0" w:color="auto"/>
        <w:right w:val="none" w:sz="0" w:space="0" w:color="auto"/>
      </w:divBdr>
    </w:div>
    <w:div w:id="1942181599">
      <w:bodyDiv w:val="1"/>
      <w:marLeft w:val="0"/>
      <w:marRight w:val="0"/>
      <w:marTop w:val="0"/>
      <w:marBottom w:val="0"/>
      <w:divBdr>
        <w:top w:val="none" w:sz="0" w:space="0" w:color="auto"/>
        <w:left w:val="none" w:sz="0" w:space="0" w:color="auto"/>
        <w:bottom w:val="none" w:sz="0" w:space="0" w:color="auto"/>
        <w:right w:val="none" w:sz="0" w:space="0" w:color="auto"/>
      </w:divBdr>
    </w:div>
    <w:div w:id="1942183075">
      <w:bodyDiv w:val="1"/>
      <w:marLeft w:val="0"/>
      <w:marRight w:val="0"/>
      <w:marTop w:val="0"/>
      <w:marBottom w:val="0"/>
      <w:divBdr>
        <w:top w:val="none" w:sz="0" w:space="0" w:color="auto"/>
        <w:left w:val="none" w:sz="0" w:space="0" w:color="auto"/>
        <w:bottom w:val="none" w:sz="0" w:space="0" w:color="auto"/>
        <w:right w:val="none" w:sz="0" w:space="0" w:color="auto"/>
      </w:divBdr>
    </w:div>
    <w:div w:id="1942184061">
      <w:bodyDiv w:val="1"/>
      <w:marLeft w:val="0"/>
      <w:marRight w:val="0"/>
      <w:marTop w:val="0"/>
      <w:marBottom w:val="0"/>
      <w:divBdr>
        <w:top w:val="none" w:sz="0" w:space="0" w:color="auto"/>
        <w:left w:val="none" w:sz="0" w:space="0" w:color="auto"/>
        <w:bottom w:val="none" w:sz="0" w:space="0" w:color="auto"/>
        <w:right w:val="none" w:sz="0" w:space="0" w:color="auto"/>
      </w:divBdr>
    </w:div>
    <w:div w:id="1942184196">
      <w:bodyDiv w:val="1"/>
      <w:marLeft w:val="0"/>
      <w:marRight w:val="0"/>
      <w:marTop w:val="0"/>
      <w:marBottom w:val="0"/>
      <w:divBdr>
        <w:top w:val="none" w:sz="0" w:space="0" w:color="auto"/>
        <w:left w:val="none" w:sz="0" w:space="0" w:color="auto"/>
        <w:bottom w:val="none" w:sz="0" w:space="0" w:color="auto"/>
        <w:right w:val="none" w:sz="0" w:space="0" w:color="auto"/>
      </w:divBdr>
    </w:div>
    <w:div w:id="1942298591">
      <w:bodyDiv w:val="1"/>
      <w:marLeft w:val="0"/>
      <w:marRight w:val="0"/>
      <w:marTop w:val="0"/>
      <w:marBottom w:val="0"/>
      <w:divBdr>
        <w:top w:val="none" w:sz="0" w:space="0" w:color="auto"/>
        <w:left w:val="none" w:sz="0" w:space="0" w:color="auto"/>
        <w:bottom w:val="none" w:sz="0" w:space="0" w:color="auto"/>
        <w:right w:val="none" w:sz="0" w:space="0" w:color="auto"/>
      </w:divBdr>
    </w:div>
    <w:div w:id="1942300523">
      <w:bodyDiv w:val="1"/>
      <w:marLeft w:val="0"/>
      <w:marRight w:val="0"/>
      <w:marTop w:val="0"/>
      <w:marBottom w:val="0"/>
      <w:divBdr>
        <w:top w:val="none" w:sz="0" w:space="0" w:color="auto"/>
        <w:left w:val="none" w:sz="0" w:space="0" w:color="auto"/>
        <w:bottom w:val="none" w:sz="0" w:space="0" w:color="auto"/>
        <w:right w:val="none" w:sz="0" w:space="0" w:color="auto"/>
      </w:divBdr>
    </w:div>
    <w:div w:id="1942371294">
      <w:bodyDiv w:val="1"/>
      <w:marLeft w:val="0"/>
      <w:marRight w:val="0"/>
      <w:marTop w:val="0"/>
      <w:marBottom w:val="0"/>
      <w:divBdr>
        <w:top w:val="none" w:sz="0" w:space="0" w:color="auto"/>
        <w:left w:val="none" w:sz="0" w:space="0" w:color="auto"/>
        <w:bottom w:val="none" w:sz="0" w:space="0" w:color="auto"/>
        <w:right w:val="none" w:sz="0" w:space="0" w:color="auto"/>
      </w:divBdr>
    </w:div>
    <w:div w:id="1942443926">
      <w:bodyDiv w:val="1"/>
      <w:marLeft w:val="0"/>
      <w:marRight w:val="0"/>
      <w:marTop w:val="0"/>
      <w:marBottom w:val="0"/>
      <w:divBdr>
        <w:top w:val="none" w:sz="0" w:space="0" w:color="auto"/>
        <w:left w:val="none" w:sz="0" w:space="0" w:color="auto"/>
        <w:bottom w:val="none" w:sz="0" w:space="0" w:color="auto"/>
        <w:right w:val="none" w:sz="0" w:space="0" w:color="auto"/>
      </w:divBdr>
    </w:div>
    <w:div w:id="1942566252">
      <w:bodyDiv w:val="1"/>
      <w:marLeft w:val="0"/>
      <w:marRight w:val="0"/>
      <w:marTop w:val="0"/>
      <w:marBottom w:val="0"/>
      <w:divBdr>
        <w:top w:val="none" w:sz="0" w:space="0" w:color="auto"/>
        <w:left w:val="none" w:sz="0" w:space="0" w:color="auto"/>
        <w:bottom w:val="none" w:sz="0" w:space="0" w:color="auto"/>
        <w:right w:val="none" w:sz="0" w:space="0" w:color="auto"/>
      </w:divBdr>
    </w:div>
    <w:div w:id="1942642819">
      <w:bodyDiv w:val="1"/>
      <w:marLeft w:val="0"/>
      <w:marRight w:val="0"/>
      <w:marTop w:val="0"/>
      <w:marBottom w:val="0"/>
      <w:divBdr>
        <w:top w:val="none" w:sz="0" w:space="0" w:color="auto"/>
        <w:left w:val="none" w:sz="0" w:space="0" w:color="auto"/>
        <w:bottom w:val="none" w:sz="0" w:space="0" w:color="auto"/>
        <w:right w:val="none" w:sz="0" w:space="0" w:color="auto"/>
      </w:divBdr>
    </w:div>
    <w:div w:id="1942643561">
      <w:bodyDiv w:val="1"/>
      <w:marLeft w:val="0"/>
      <w:marRight w:val="0"/>
      <w:marTop w:val="0"/>
      <w:marBottom w:val="0"/>
      <w:divBdr>
        <w:top w:val="none" w:sz="0" w:space="0" w:color="auto"/>
        <w:left w:val="none" w:sz="0" w:space="0" w:color="auto"/>
        <w:bottom w:val="none" w:sz="0" w:space="0" w:color="auto"/>
        <w:right w:val="none" w:sz="0" w:space="0" w:color="auto"/>
      </w:divBdr>
    </w:div>
    <w:div w:id="1942688255">
      <w:bodyDiv w:val="1"/>
      <w:marLeft w:val="0"/>
      <w:marRight w:val="0"/>
      <w:marTop w:val="0"/>
      <w:marBottom w:val="0"/>
      <w:divBdr>
        <w:top w:val="none" w:sz="0" w:space="0" w:color="auto"/>
        <w:left w:val="none" w:sz="0" w:space="0" w:color="auto"/>
        <w:bottom w:val="none" w:sz="0" w:space="0" w:color="auto"/>
        <w:right w:val="none" w:sz="0" w:space="0" w:color="auto"/>
      </w:divBdr>
    </w:div>
    <w:div w:id="1942760203">
      <w:bodyDiv w:val="1"/>
      <w:marLeft w:val="0"/>
      <w:marRight w:val="0"/>
      <w:marTop w:val="0"/>
      <w:marBottom w:val="0"/>
      <w:divBdr>
        <w:top w:val="none" w:sz="0" w:space="0" w:color="auto"/>
        <w:left w:val="none" w:sz="0" w:space="0" w:color="auto"/>
        <w:bottom w:val="none" w:sz="0" w:space="0" w:color="auto"/>
        <w:right w:val="none" w:sz="0" w:space="0" w:color="auto"/>
      </w:divBdr>
    </w:div>
    <w:div w:id="1942882085">
      <w:bodyDiv w:val="1"/>
      <w:marLeft w:val="0"/>
      <w:marRight w:val="0"/>
      <w:marTop w:val="0"/>
      <w:marBottom w:val="0"/>
      <w:divBdr>
        <w:top w:val="none" w:sz="0" w:space="0" w:color="auto"/>
        <w:left w:val="none" w:sz="0" w:space="0" w:color="auto"/>
        <w:bottom w:val="none" w:sz="0" w:space="0" w:color="auto"/>
        <w:right w:val="none" w:sz="0" w:space="0" w:color="auto"/>
      </w:divBdr>
    </w:div>
    <w:div w:id="1942950736">
      <w:bodyDiv w:val="1"/>
      <w:marLeft w:val="0"/>
      <w:marRight w:val="0"/>
      <w:marTop w:val="0"/>
      <w:marBottom w:val="0"/>
      <w:divBdr>
        <w:top w:val="none" w:sz="0" w:space="0" w:color="auto"/>
        <w:left w:val="none" w:sz="0" w:space="0" w:color="auto"/>
        <w:bottom w:val="none" w:sz="0" w:space="0" w:color="auto"/>
        <w:right w:val="none" w:sz="0" w:space="0" w:color="auto"/>
      </w:divBdr>
    </w:div>
    <w:div w:id="1943107476">
      <w:bodyDiv w:val="1"/>
      <w:marLeft w:val="0"/>
      <w:marRight w:val="0"/>
      <w:marTop w:val="0"/>
      <w:marBottom w:val="0"/>
      <w:divBdr>
        <w:top w:val="none" w:sz="0" w:space="0" w:color="auto"/>
        <w:left w:val="none" w:sz="0" w:space="0" w:color="auto"/>
        <w:bottom w:val="none" w:sz="0" w:space="0" w:color="auto"/>
        <w:right w:val="none" w:sz="0" w:space="0" w:color="auto"/>
      </w:divBdr>
    </w:div>
    <w:div w:id="1943219545">
      <w:bodyDiv w:val="1"/>
      <w:marLeft w:val="0"/>
      <w:marRight w:val="0"/>
      <w:marTop w:val="0"/>
      <w:marBottom w:val="0"/>
      <w:divBdr>
        <w:top w:val="none" w:sz="0" w:space="0" w:color="auto"/>
        <w:left w:val="none" w:sz="0" w:space="0" w:color="auto"/>
        <w:bottom w:val="none" w:sz="0" w:space="0" w:color="auto"/>
        <w:right w:val="none" w:sz="0" w:space="0" w:color="auto"/>
      </w:divBdr>
    </w:div>
    <w:div w:id="1943224591">
      <w:bodyDiv w:val="1"/>
      <w:marLeft w:val="0"/>
      <w:marRight w:val="0"/>
      <w:marTop w:val="0"/>
      <w:marBottom w:val="0"/>
      <w:divBdr>
        <w:top w:val="none" w:sz="0" w:space="0" w:color="auto"/>
        <w:left w:val="none" w:sz="0" w:space="0" w:color="auto"/>
        <w:bottom w:val="none" w:sz="0" w:space="0" w:color="auto"/>
        <w:right w:val="none" w:sz="0" w:space="0" w:color="auto"/>
      </w:divBdr>
    </w:div>
    <w:div w:id="1943299684">
      <w:bodyDiv w:val="1"/>
      <w:marLeft w:val="0"/>
      <w:marRight w:val="0"/>
      <w:marTop w:val="0"/>
      <w:marBottom w:val="0"/>
      <w:divBdr>
        <w:top w:val="none" w:sz="0" w:space="0" w:color="auto"/>
        <w:left w:val="none" w:sz="0" w:space="0" w:color="auto"/>
        <w:bottom w:val="none" w:sz="0" w:space="0" w:color="auto"/>
        <w:right w:val="none" w:sz="0" w:space="0" w:color="auto"/>
      </w:divBdr>
    </w:div>
    <w:div w:id="1943339579">
      <w:bodyDiv w:val="1"/>
      <w:marLeft w:val="0"/>
      <w:marRight w:val="0"/>
      <w:marTop w:val="0"/>
      <w:marBottom w:val="0"/>
      <w:divBdr>
        <w:top w:val="none" w:sz="0" w:space="0" w:color="auto"/>
        <w:left w:val="none" w:sz="0" w:space="0" w:color="auto"/>
        <w:bottom w:val="none" w:sz="0" w:space="0" w:color="auto"/>
        <w:right w:val="none" w:sz="0" w:space="0" w:color="auto"/>
      </w:divBdr>
    </w:div>
    <w:div w:id="1943416130">
      <w:bodyDiv w:val="1"/>
      <w:marLeft w:val="0"/>
      <w:marRight w:val="0"/>
      <w:marTop w:val="0"/>
      <w:marBottom w:val="0"/>
      <w:divBdr>
        <w:top w:val="none" w:sz="0" w:space="0" w:color="auto"/>
        <w:left w:val="none" w:sz="0" w:space="0" w:color="auto"/>
        <w:bottom w:val="none" w:sz="0" w:space="0" w:color="auto"/>
        <w:right w:val="none" w:sz="0" w:space="0" w:color="auto"/>
      </w:divBdr>
    </w:div>
    <w:div w:id="1943486153">
      <w:bodyDiv w:val="1"/>
      <w:marLeft w:val="0"/>
      <w:marRight w:val="0"/>
      <w:marTop w:val="0"/>
      <w:marBottom w:val="0"/>
      <w:divBdr>
        <w:top w:val="none" w:sz="0" w:space="0" w:color="auto"/>
        <w:left w:val="none" w:sz="0" w:space="0" w:color="auto"/>
        <w:bottom w:val="none" w:sz="0" w:space="0" w:color="auto"/>
        <w:right w:val="none" w:sz="0" w:space="0" w:color="auto"/>
      </w:divBdr>
    </w:div>
    <w:div w:id="1943683912">
      <w:bodyDiv w:val="1"/>
      <w:marLeft w:val="0"/>
      <w:marRight w:val="0"/>
      <w:marTop w:val="0"/>
      <w:marBottom w:val="0"/>
      <w:divBdr>
        <w:top w:val="none" w:sz="0" w:space="0" w:color="auto"/>
        <w:left w:val="none" w:sz="0" w:space="0" w:color="auto"/>
        <w:bottom w:val="none" w:sz="0" w:space="0" w:color="auto"/>
        <w:right w:val="none" w:sz="0" w:space="0" w:color="auto"/>
      </w:divBdr>
    </w:div>
    <w:div w:id="1943684074">
      <w:bodyDiv w:val="1"/>
      <w:marLeft w:val="0"/>
      <w:marRight w:val="0"/>
      <w:marTop w:val="0"/>
      <w:marBottom w:val="0"/>
      <w:divBdr>
        <w:top w:val="none" w:sz="0" w:space="0" w:color="auto"/>
        <w:left w:val="none" w:sz="0" w:space="0" w:color="auto"/>
        <w:bottom w:val="none" w:sz="0" w:space="0" w:color="auto"/>
        <w:right w:val="none" w:sz="0" w:space="0" w:color="auto"/>
      </w:divBdr>
    </w:div>
    <w:div w:id="1943688432">
      <w:bodyDiv w:val="1"/>
      <w:marLeft w:val="0"/>
      <w:marRight w:val="0"/>
      <w:marTop w:val="0"/>
      <w:marBottom w:val="0"/>
      <w:divBdr>
        <w:top w:val="none" w:sz="0" w:space="0" w:color="auto"/>
        <w:left w:val="none" w:sz="0" w:space="0" w:color="auto"/>
        <w:bottom w:val="none" w:sz="0" w:space="0" w:color="auto"/>
        <w:right w:val="none" w:sz="0" w:space="0" w:color="auto"/>
      </w:divBdr>
    </w:div>
    <w:div w:id="1943798535">
      <w:bodyDiv w:val="1"/>
      <w:marLeft w:val="0"/>
      <w:marRight w:val="0"/>
      <w:marTop w:val="0"/>
      <w:marBottom w:val="0"/>
      <w:divBdr>
        <w:top w:val="none" w:sz="0" w:space="0" w:color="auto"/>
        <w:left w:val="none" w:sz="0" w:space="0" w:color="auto"/>
        <w:bottom w:val="none" w:sz="0" w:space="0" w:color="auto"/>
        <w:right w:val="none" w:sz="0" w:space="0" w:color="auto"/>
      </w:divBdr>
    </w:div>
    <w:div w:id="1943872547">
      <w:bodyDiv w:val="1"/>
      <w:marLeft w:val="0"/>
      <w:marRight w:val="0"/>
      <w:marTop w:val="0"/>
      <w:marBottom w:val="0"/>
      <w:divBdr>
        <w:top w:val="none" w:sz="0" w:space="0" w:color="auto"/>
        <w:left w:val="none" w:sz="0" w:space="0" w:color="auto"/>
        <w:bottom w:val="none" w:sz="0" w:space="0" w:color="auto"/>
        <w:right w:val="none" w:sz="0" w:space="0" w:color="auto"/>
      </w:divBdr>
    </w:div>
    <w:div w:id="1943876489">
      <w:bodyDiv w:val="1"/>
      <w:marLeft w:val="0"/>
      <w:marRight w:val="0"/>
      <w:marTop w:val="0"/>
      <w:marBottom w:val="0"/>
      <w:divBdr>
        <w:top w:val="none" w:sz="0" w:space="0" w:color="auto"/>
        <w:left w:val="none" w:sz="0" w:space="0" w:color="auto"/>
        <w:bottom w:val="none" w:sz="0" w:space="0" w:color="auto"/>
        <w:right w:val="none" w:sz="0" w:space="0" w:color="auto"/>
      </w:divBdr>
    </w:div>
    <w:div w:id="1943877144">
      <w:bodyDiv w:val="1"/>
      <w:marLeft w:val="0"/>
      <w:marRight w:val="0"/>
      <w:marTop w:val="0"/>
      <w:marBottom w:val="0"/>
      <w:divBdr>
        <w:top w:val="none" w:sz="0" w:space="0" w:color="auto"/>
        <w:left w:val="none" w:sz="0" w:space="0" w:color="auto"/>
        <w:bottom w:val="none" w:sz="0" w:space="0" w:color="auto"/>
        <w:right w:val="none" w:sz="0" w:space="0" w:color="auto"/>
      </w:divBdr>
    </w:div>
    <w:div w:id="1943951636">
      <w:bodyDiv w:val="1"/>
      <w:marLeft w:val="0"/>
      <w:marRight w:val="0"/>
      <w:marTop w:val="0"/>
      <w:marBottom w:val="0"/>
      <w:divBdr>
        <w:top w:val="none" w:sz="0" w:space="0" w:color="auto"/>
        <w:left w:val="none" w:sz="0" w:space="0" w:color="auto"/>
        <w:bottom w:val="none" w:sz="0" w:space="0" w:color="auto"/>
        <w:right w:val="none" w:sz="0" w:space="0" w:color="auto"/>
      </w:divBdr>
    </w:div>
    <w:div w:id="1944144253">
      <w:bodyDiv w:val="1"/>
      <w:marLeft w:val="0"/>
      <w:marRight w:val="0"/>
      <w:marTop w:val="0"/>
      <w:marBottom w:val="0"/>
      <w:divBdr>
        <w:top w:val="none" w:sz="0" w:space="0" w:color="auto"/>
        <w:left w:val="none" w:sz="0" w:space="0" w:color="auto"/>
        <w:bottom w:val="none" w:sz="0" w:space="0" w:color="auto"/>
        <w:right w:val="none" w:sz="0" w:space="0" w:color="auto"/>
      </w:divBdr>
    </w:div>
    <w:div w:id="1944338833">
      <w:bodyDiv w:val="1"/>
      <w:marLeft w:val="0"/>
      <w:marRight w:val="0"/>
      <w:marTop w:val="0"/>
      <w:marBottom w:val="0"/>
      <w:divBdr>
        <w:top w:val="none" w:sz="0" w:space="0" w:color="auto"/>
        <w:left w:val="none" w:sz="0" w:space="0" w:color="auto"/>
        <w:bottom w:val="none" w:sz="0" w:space="0" w:color="auto"/>
        <w:right w:val="none" w:sz="0" w:space="0" w:color="auto"/>
      </w:divBdr>
    </w:div>
    <w:div w:id="1944413715">
      <w:bodyDiv w:val="1"/>
      <w:marLeft w:val="0"/>
      <w:marRight w:val="0"/>
      <w:marTop w:val="0"/>
      <w:marBottom w:val="0"/>
      <w:divBdr>
        <w:top w:val="none" w:sz="0" w:space="0" w:color="auto"/>
        <w:left w:val="none" w:sz="0" w:space="0" w:color="auto"/>
        <w:bottom w:val="none" w:sz="0" w:space="0" w:color="auto"/>
        <w:right w:val="none" w:sz="0" w:space="0" w:color="auto"/>
      </w:divBdr>
    </w:div>
    <w:div w:id="1944458096">
      <w:bodyDiv w:val="1"/>
      <w:marLeft w:val="0"/>
      <w:marRight w:val="0"/>
      <w:marTop w:val="0"/>
      <w:marBottom w:val="0"/>
      <w:divBdr>
        <w:top w:val="none" w:sz="0" w:space="0" w:color="auto"/>
        <w:left w:val="none" w:sz="0" w:space="0" w:color="auto"/>
        <w:bottom w:val="none" w:sz="0" w:space="0" w:color="auto"/>
        <w:right w:val="none" w:sz="0" w:space="0" w:color="auto"/>
      </w:divBdr>
    </w:div>
    <w:div w:id="1944528826">
      <w:bodyDiv w:val="1"/>
      <w:marLeft w:val="0"/>
      <w:marRight w:val="0"/>
      <w:marTop w:val="0"/>
      <w:marBottom w:val="0"/>
      <w:divBdr>
        <w:top w:val="none" w:sz="0" w:space="0" w:color="auto"/>
        <w:left w:val="none" w:sz="0" w:space="0" w:color="auto"/>
        <w:bottom w:val="none" w:sz="0" w:space="0" w:color="auto"/>
        <w:right w:val="none" w:sz="0" w:space="0" w:color="auto"/>
      </w:divBdr>
    </w:div>
    <w:div w:id="1944531206">
      <w:bodyDiv w:val="1"/>
      <w:marLeft w:val="0"/>
      <w:marRight w:val="0"/>
      <w:marTop w:val="0"/>
      <w:marBottom w:val="0"/>
      <w:divBdr>
        <w:top w:val="none" w:sz="0" w:space="0" w:color="auto"/>
        <w:left w:val="none" w:sz="0" w:space="0" w:color="auto"/>
        <w:bottom w:val="none" w:sz="0" w:space="0" w:color="auto"/>
        <w:right w:val="none" w:sz="0" w:space="0" w:color="auto"/>
      </w:divBdr>
    </w:div>
    <w:div w:id="1944650907">
      <w:bodyDiv w:val="1"/>
      <w:marLeft w:val="0"/>
      <w:marRight w:val="0"/>
      <w:marTop w:val="0"/>
      <w:marBottom w:val="0"/>
      <w:divBdr>
        <w:top w:val="none" w:sz="0" w:space="0" w:color="auto"/>
        <w:left w:val="none" w:sz="0" w:space="0" w:color="auto"/>
        <w:bottom w:val="none" w:sz="0" w:space="0" w:color="auto"/>
        <w:right w:val="none" w:sz="0" w:space="0" w:color="auto"/>
      </w:divBdr>
    </w:div>
    <w:div w:id="1944723941">
      <w:bodyDiv w:val="1"/>
      <w:marLeft w:val="0"/>
      <w:marRight w:val="0"/>
      <w:marTop w:val="0"/>
      <w:marBottom w:val="0"/>
      <w:divBdr>
        <w:top w:val="none" w:sz="0" w:space="0" w:color="auto"/>
        <w:left w:val="none" w:sz="0" w:space="0" w:color="auto"/>
        <w:bottom w:val="none" w:sz="0" w:space="0" w:color="auto"/>
        <w:right w:val="none" w:sz="0" w:space="0" w:color="auto"/>
      </w:divBdr>
    </w:div>
    <w:div w:id="1944879033">
      <w:bodyDiv w:val="1"/>
      <w:marLeft w:val="0"/>
      <w:marRight w:val="0"/>
      <w:marTop w:val="0"/>
      <w:marBottom w:val="0"/>
      <w:divBdr>
        <w:top w:val="none" w:sz="0" w:space="0" w:color="auto"/>
        <w:left w:val="none" w:sz="0" w:space="0" w:color="auto"/>
        <w:bottom w:val="none" w:sz="0" w:space="0" w:color="auto"/>
        <w:right w:val="none" w:sz="0" w:space="0" w:color="auto"/>
      </w:divBdr>
    </w:div>
    <w:div w:id="1944916093">
      <w:bodyDiv w:val="1"/>
      <w:marLeft w:val="0"/>
      <w:marRight w:val="0"/>
      <w:marTop w:val="0"/>
      <w:marBottom w:val="0"/>
      <w:divBdr>
        <w:top w:val="none" w:sz="0" w:space="0" w:color="auto"/>
        <w:left w:val="none" w:sz="0" w:space="0" w:color="auto"/>
        <w:bottom w:val="none" w:sz="0" w:space="0" w:color="auto"/>
        <w:right w:val="none" w:sz="0" w:space="0" w:color="auto"/>
      </w:divBdr>
    </w:div>
    <w:div w:id="1944989872">
      <w:bodyDiv w:val="1"/>
      <w:marLeft w:val="0"/>
      <w:marRight w:val="0"/>
      <w:marTop w:val="0"/>
      <w:marBottom w:val="0"/>
      <w:divBdr>
        <w:top w:val="none" w:sz="0" w:space="0" w:color="auto"/>
        <w:left w:val="none" w:sz="0" w:space="0" w:color="auto"/>
        <w:bottom w:val="none" w:sz="0" w:space="0" w:color="auto"/>
        <w:right w:val="none" w:sz="0" w:space="0" w:color="auto"/>
      </w:divBdr>
    </w:div>
    <w:div w:id="1945265874">
      <w:bodyDiv w:val="1"/>
      <w:marLeft w:val="0"/>
      <w:marRight w:val="0"/>
      <w:marTop w:val="0"/>
      <w:marBottom w:val="0"/>
      <w:divBdr>
        <w:top w:val="none" w:sz="0" w:space="0" w:color="auto"/>
        <w:left w:val="none" w:sz="0" w:space="0" w:color="auto"/>
        <w:bottom w:val="none" w:sz="0" w:space="0" w:color="auto"/>
        <w:right w:val="none" w:sz="0" w:space="0" w:color="auto"/>
      </w:divBdr>
    </w:div>
    <w:div w:id="1945336456">
      <w:bodyDiv w:val="1"/>
      <w:marLeft w:val="0"/>
      <w:marRight w:val="0"/>
      <w:marTop w:val="0"/>
      <w:marBottom w:val="0"/>
      <w:divBdr>
        <w:top w:val="none" w:sz="0" w:space="0" w:color="auto"/>
        <w:left w:val="none" w:sz="0" w:space="0" w:color="auto"/>
        <w:bottom w:val="none" w:sz="0" w:space="0" w:color="auto"/>
        <w:right w:val="none" w:sz="0" w:space="0" w:color="auto"/>
      </w:divBdr>
    </w:div>
    <w:div w:id="1945377858">
      <w:bodyDiv w:val="1"/>
      <w:marLeft w:val="0"/>
      <w:marRight w:val="0"/>
      <w:marTop w:val="0"/>
      <w:marBottom w:val="0"/>
      <w:divBdr>
        <w:top w:val="none" w:sz="0" w:space="0" w:color="auto"/>
        <w:left w:val="none" w:sz="0" w:space="0" w:color="auto"/>
        <w:bottom w:val="none" w:sz="0" w:space="0" w:color="auto"/>
        <w:right w:val="none" w:sz="0" w:space="0" w:color="auto"/>
      </w:divBdr>
    </w:div>
    <w:div w:id="1945460951">
      <w:bodyDiv w:val="1"/>
      <w:marLeft w:val="0"/>
      <w:marRight w:val="0"/>
      <w:marTop w:val="0"/>
      <w:marBottom w:val="0"/>
      <w:divBdr>
        <w:top w:val="none" w:sz="0" w:space="0" w:color="auto"/>
        <w:left w:val="none" w:sz="0" w:space="0" w:color="auto"/>
        <w:bottom w:val="none" w:sz="0" w:space="0" w:color="auto"/>
        <w:right w:val="none" w:sz="0" w:space="0" w:color="auto"/>
      </w:divBdr>
    </w:div>
    <w:div w:id="1945648681">
      <w:bodyDiv w:val="1"/>
      <w:marLeft w:val="0"/>
      <w:marRight w:val="0"/>
      <w:marTop w:val="0"/>
      <w:marBottom w:val="0"/>
      <w:divBdr>
        <w:top w:val="none" w:sz="0" w:space="0" w:color="auto"/>
        <w:left w:val="none" w:sz="0" w:space="0" w:color="auto"/>
        <w:bottom w:val="none" w:sz="0" w:space="0" w:color="auto"/>
        <w:right w:val="none" w:sz="0" w:space="0" w:color="auto"/>
      </w:divBdr>
    </w:div>
    <w:div w:id="1945650441">
      <w:bodyDiv w:val="1"/>
      <w:marLeft w:val="0"/>
      <w:marRight w:val="0"/>
      <w:marTop w:val="0"/>
      <w:marBottom w:val="0"/>
      <w:divBdr>
        <w:top w:val="none" w:sz="0" w:space="0" w:color="auto"/>
        <w:left w:val="none" w:sz="0" w:space="0" w:color="auto"/>
        <w:bottom w:val="none" w:sz="0" w:space="0" w:color="auto"/>
        <w:right w:val="none" w:sz="0" w:space="0" w:color="auto"/>
      </w:divBdr>
    </w:div>
    <w:div w:id="1945764305">
      <w:bodyDiv w:val="1"/>
      <w:marLeft w:val="0"/>
      <w:marRight w:val="0"/>
      <w:marTop w:val="0"/>
      <w:marBottom w:val="0"/>
      <w:divBdr>
        <w:top w:val="none" w:sz="0" w:space="0" w:color="auto"/>
        <w:left w:val="none" w:sz="0" w:space="0" w:color="auto"/>
        <w:bottom w:val="none" w:sz="0" w:space="0" w:color="auto"/>
        <w:right w:val="none" w:sz="0" w:space="0" w:color="auto"/>
      </w:divBdr>
    </w:div>
    <w:div w:id="1945767747">
      <w:bodyDiv w:val="1"/>
      <w:marLeft w:val="0"/>
      <w:marRight w:val="0"/>
      <w:marTop w:val="0"/>
      <w:marBottom w:val="0"/>
      <w:divBdr>
        <w:top w:val="none" w:sz="0" w:space="0" w:color="auto"/>
        <w:left w:val="none" w:sz="0" w:space="0" w:color="auto"/>
        <w:bottom w:val="none" w:sz="0" w:space="0" w:color="auto"/>
        <w:right w:val="none" w:sz="0" w:space="0" w:color="auto"/>
      </w:divBdr>
    </w:div>
    <w:div w:id="1945796298">
      <w:bodyDiv w:val="1"/>
      <w:marLeft w:val="0"/>
      <w:marRight w:val="0"/>
      <w:marTop w:val="0"/>
      <w:marBottom w:val="0"/>
      <w:divBdr>
        <w:top w:val="none" w:sz="0" w:space="0" w:color="auto"/>
        <w:left w:val="none" w:sz="0" w:space="0" w:color="auto"/>
        <w:bottom w:val="none" w:sz="0" w:space="0" w:color="auto"/>
        <w:right w:val="none" w:sz="0" w:space="0" w:color="auto"/>
      </w:divBdr>
    </w:div>
    <w:div w:id="1945842868">
      <w:bodyDiv w:val="1"/>
      <w:marLeft w:val="0"/>
      <w:marRight w:val="0"/>
      <w:marTop w:val="0"/>
      <w:marBottom w:val="0"/>
      <w:divBdr>
        <w:top w:val="none" w:sz="0" w:space="0" w:color="auto"/>
        <w:left w:val="none" w:sz="0" w:space="0" w:color="auto"/>
        <w:bottom w:val="none" w:sz="0" w:space="0" w:color="auto"/>
        <w:right w:val="none" w:sz="0" w:space="0" w:color="auto"/>
      </w:divBdr>
    </w:div>
    <w:div w:id="1945920981">
      <w:bodyDiv w:val="1"/>
      <w:marLeft w:val="0"/>
      <w:marRight w:val="0"/>
      <w:marTop w:val="0"/>
      <w:marBottom w:val="0"/>
      <w:divBdr>
        <w:top w:val="none" w:sz="0" w:space="0" w:color="auto"/>
        <w:left w:val="none" w:sz="0" w:space="0" w:color="auto"/>
        <w:bottom w:val="none" w:sz="0" w:space="0" w:color="auto"/>
        <w:right w:val="none" w:sz="0" w:space="0" w:color="auto"/>
      </w:divBdr>
    </w:div>
    <w:div w:id="1945964435">
      <w:bodyDiv w:val="1"/>
      <w:marLeft w:val="0"/>
      <w:marRight w:val="0"/>
      <w:marTop w:val="0"/>
      <w:marBottom w:val="0"/>
      <w:divBdr>
        <w:top w:val="none" w:sz="0" w:space="0" w:color="auto"/>
        <w:left w:val="none" w:sz="0" w:space="0" w:color="auto"/>
        <w:bottom w:val="none" w:sz="0" w:space="0" w:color="auto"/>
        <w:right w:val="none" w:sz="0" w:space="0" w:color="auto"/>
      </w:divBdr>
    </w:div>
    <w:div w:id="1945991152">
      <w:bodyDiv w:val="1"/>
      <w:marLeft w:val="0"/>
      <w:marRight w:val="0"/>
      <w:marTop w:val="0"/>
      <w:marBottom w:val="0"/>
      <w:divBdr>
        <w:top w:val="none" w:sz="0" w:space="0" w:color="auto"/>
        <w:left w:val="none" w:sz="0" w:space="0" w:color="auto"/>
        <w:bottom w:val="none" w:sz="0" w:space="0" w:color="auto"/>
        <w:right w:val="none" w:sz="0" w:space="0" w:color="auto"/>
      </w:divBdr>
    </w:div>
    <w:div w:id="1946116233">
      <w:bodyDiv w:val="1"/>
      <w:marLeft w:val="0"/>
      <w:marRight w:val="0"/>
      <w:marTop w:val="0"/>
      <w:marBottom w:val="0"/>
      <w:divBdr>
        <w:top w:val="none" w:sz="0" w:space="0" w:color="auto"/>
        <w:left w:val="none" w:sz="0" w:space="0" w:color="auto"/>
        <w:bottom w:val="none" w:sz="0" w:space="0" w:color="auto"/>
        <w:right w:val="none" w:sz="0" w:space="0" w:color="auto"/>
      </w:divBdr>
    </w:div>
    <w:div w:id="1946116423">
      <w:bodyDiv w:val="1"/>
      <w:marLeft w:val="0"/>
      <w:marRight w:val="0"/>
      <w:marTop w:val="0"/>
      <w:marBottom w:val="0"/>
      <w:divBdr>
        <w:top w:val="none" w:sz="0" w:space="0" w:color="auto"/>
        <w:left w:val="none" w:sz="0" w:space="0" w:color="auto"/>
        <w:bottom w:val="none" w:sz="0" w:space="0" w:color="auto"/>
        <w:right w:val="none" w:sz="0" w:space="0" w:color="auto"/>
      </w:divBdr>
    </w:div>
    <w:div w:id="1946188719">
      <w:bodyDiv w:val="1"/>
      <w:marLeft w:val="0"/>
      <w:marRight w:val="0"/>
      <w:marTop w:val="0"/>
      <w:marBottom w:val="0"/>
      <w:divBdr>
        <w:top w:val="none" w:sz="0" w:space="0" w:color="auto"/>
        <w:left w:val="none" w:sz="0" w:space="0" w:color="auto"/>
        <w:bottom w:val="none" w:sz="0" w:space="0" w:color="auto"/>
        <w:right w:val="none" w:sz="0" w:space="0" w:color="auto"/>
      </w:divBdr>
    </w:div>
    <w:div w:id="1946303209">
      <w:bodyDiv w:val="1"/>
      <w:marLeft w:val="0"/>
      <w:marRight w:val="0"/>
      <w:marTop w:val="0"/>
      <w:marBottom w:val="0"/>
      <w:divBdr>
        <w:top w:val="none" w:sz="0" w:space="0" w:color="auto"/>
        <w:left w:val="none" w:sz="0" w:space="0" w:color="auto"/>
        <w:bottom w:val="none" w:sz="0" w:space="0" w:color="auto"/>
        <w:right w:val="none" w:sz="0" w:space="0" w:color="auto"/>
      </w:divBdr>
    </w:div>
    <w:div w:id="1946305658">
      <w:bodyDiv w:val="1"/>
      <w:marLeft w:val="0"/>
      <w:marRight w:val="0"/>
      <w:marTop w:val="0"/>
      <w:marBottom w:val="0"/>
      <w:divBdr>
        <w:top w:val="none" w:sz="0" w:space="0" w:color="auto"/>
        <w:left w:val="none" w:sz="0" w:space="0" w:color="auto"/>
        <w:bottom w:val="none" w:sz="0" w:space="0" w:color="auto"/>
        <w:right w:val="none" w:sz="0" w:space="0" w:color="auto"/>
      </w:divBdr>
    </w:div>
    <w:div w:id="1946426848">
      <w:bodyDiv w:val="1"/>
      <w:marLeft w:val="0"/>
      <w:marRight w:val="0"/>
      <w:marTop w:val="0"/>
      <w:marBottom w:val="0"/>
      <w:divBdr>
        <w:top w:val="none" w:sz="0" w:space="0" w:color="auto"/>
        <w:left w:val="none" w:sz="0" w:space="0" w:color="auto"/>
        <w:bottom w:val="none" w:sz="0" w:space="0" w:color="auto"/>
        <w:right w:val="none" w:sz="0" w:space="0" w:color="auto"/>
      </w:divBdr>
    </w:div>
    <w:div w:id="1946646837">
      <w:bodyDiv w:val="1"/>
      <w:marLeft w:val="0"/>
      <w:marRight w:val="0"/>
      <w:marTop w:val="0"/>
      <w:marBottom w:val="0"/>
      <w:divBdr>
        <w:top w:val="none" w:sz="0" w:space="0" w:color="auto"/>
        <w:left w:val="none" w:sz="0" w:space="0" w:color="auto"/>
        <w:bottom w:val="none" w:sz="0" w:space="0" w:color="auto"/>
        <w:right w:val="none" w:sz="0" w:space="0" w:color="auto"/>
      </w:divBdr>
    </w:div>
    <w:div w:id="1946886437">
      <w:bodyDiv w:val="1"/>
      <w:marLeft w:val="0"/>
      <w:marRight w:val="0"/>
      <w:marTop w:val="0"/>
      <w:marBottom w:val="0"/>
      <w:divBdr>
        <w:top w:val="none" w:sz="0" w:space="0" w:color="auto"/>
        <w:left w:val="none" w:sz="0" w:space="0" w:color="auto"/>
        <w:bottom w:val="none" w:sz="0" w:space="0" w:color="auto"/>
        <w:right w:val="none" w:sz="0" w:space="0" w:color="auto"/>
      </w:divBdr>
    </w:div>
    <w:div w:id="1946958141">
      <w:bodyDiv w:val="1"/>
      <w:marLeft w:val="0"/>
      <w:marRight w:val="0"/>
      <w:marTop w:val="0"/>
      <w:marBottom w:val="0"/>
      <w:divBdr>
        <w:top w:val="none" w:sz="0" w:space="0" w:color="auto"/>
        <w:left w:val="none" w:sz="0" w:space="0" w:color="auto"/>
        <w:bottom w:val="none" w:sz="0" w:space="0" w:color="auto"/>
        <w:right w:val="none" w:sz="0" w:space="0" w:color="auto"/>
      </w:divBdr>
    </w:div>
    <w:div w:id="1946960107">
      <w:bodyDiv w:val="1"/>
      <w:marLeft w:val="0"/>
      <w:marRight w:val="0"/>
      <w:marTop w:val="0"/>
      <w:marBottom w:val="0"/>
      <w:divBdr>
        <w:top w:val="none" w:sz="0" w:space="0" w:color="auto"/>
        <w:left w:val="none" w:sz="0" w:space="0" w:color="auto"/>
        <w:bottom w:val="none" w:sz="0" w:space="0" w:color="auto"/>
        <w:right w:val="none" w:sz="0" w:space="0" w:color="auto"/>
      </w:divBdr>
    </w:div>
    <w:div w:id="1947033686">
      <w:bodyDiv w:val="1"/>
      <w:marLeft w:val="0"/>
      <w:marRight w:val="0"/>
      <w:marTop w:val="0"/>
      <w:marBottom w:val="0"/>
      <w:divBdr>
        <w:top w:val="none" w:sz="0" w:space="0" w:color="auto"/>
        <w:left w:val="none" w:sz="0" w:space="0" w:color="auto"/>
        <w:bottom w:val="none" w:sz="0" w:space="0" w:color="auto"/>
        <w:right w:val="none" w:sz="0" w:space="0" w:color="auto"/>
      </w:divBdr>
    </w:div>
    <w:div w:id="1947038431">
      <w:bodyDiv w:val="1"/>
      <w:marLeft w:val="0"/>
      <w:marRight w:val="0"/>
      <w:marTop w:val="0"/>
      <w:marBottom w:val="0"/>
      <w:divBdr>
        <w:top w:val="none" w:sz="0" w:space="0" w:color="auto"/>
        <w:left w:val="none" w:sz="0" w:space="0" w:color="auto"/>
        <w:bottom w:val="none" w:sz="0" w:space="0" w:color="auto"/>
        <w:right w:val="none" w:sz="0" w:space="0" w:color="auto"/>
      </w:divBdr>
    </w:div>
    <w:div w:id="1947075937">
      <w:bodyDiv w:val="1"/>
      <w:marLeft w:val="0"/>
      <w:marRight w:val="0"/>
      <w:marTop w:val="0"/>
      <w:marBottom w:val="0"/>
      <w:divBdr>
        <w:top w:val="none" w:sz="0" w:space="0" w:color="auto"/>
        <w:left w:val="none" w:sz="0" w:space="0" w:color="auto"/>
        <w:bottom w:val="none" w:sz="0" w:space="0" w:color="auto"/>
        <w:right w:val="none" w:sz="0" w:space="0" w:color="auto"/>
      </w:divBdr>
    </w:div>
    <w:div w:id="1947300402">
      <w:bodyDiv w:val="1"/>
      <w:marLeft w:val="0"/>
      <w:marRight w:val="0"/>
      <w:marTop w:val="0"/>
      <w:marBottom w:val="0"/>
      <w:divBdr>
        <w:top w:val="none" w:sz="0" w:space="0" w:color="auto"/>
        <w:left w:val="none" w:sz="0" w:space="0" w:color="auto"/>
        <w:bottom w:val="none" w:sz="0" w:space="0" w:color="auto"/>
        <w:right w:val="none" w:sz="0" w:space="0" w:color="auto"/>
      </w:divBdr>
    </w:div>
    <w:div w:id="1947343192">
      <w:bodyDiv w:val="1"/>
      <w:marLeft w:val="0"/>
      <w:marRight w:val="0"/>
      <w:marTop w:val="0"/>
      <w:marBottom w:val="0"/>
      <w:divBdr>
        <w:top w:val="none" w:sz="0" w:space="0" w:color="auto"/>
        <w:left w:val="none" w:sz="0" w:space="0" w:color="auto"/>
        <w:bottom w:val="none" w:sz="0" w:space="0" w:color="auto"/>
        <w:right w:val="none" w:sz="0" w:space="0" w:color="auto"/>
      </w:divBdr>
    </w:div>
    <w:div w:id="1947616271">
      <w:bodyDiv w:val="1"/>
      <w:marLeft w:val="0"/>
      <w:marRight w:val="0"/>
      <w:marTop w:val="0"/>
      <w:marBottom w:val="0"/>
      <w:divBdr>
        <w:top w:val="none" w:sz="0" w:space="0" w:color="auto"/>
        <w:left w:val="none" w:sz="0" w:space="0" w:color="auto"/>
        <w:bottom w:val="none" w:sz="0" w:space="0" w:color="auto"/>
        <w:right w:val="none" w:sz="0" w:space="0" w:color="auto"/>
      </w:divBdr>
    </w:div>
    <w:div w:id="1947686172">
      <w:bodyDiv w:val="1"/>
      <w:marLeft w:val="0"/>
      <w:marRight w:val="0"/>
      <w:marTop w:val="0"/>
      <w:marBottom w:val="0"/>
      <w:divBdr>
        <w:top w:val="none" w:sz="0" w:space="0" w:color="auto"/>
        <w:left w:val="none" w:sz="0" w:space="0" w:color="auto"/>
        <w:bottom w:val="none" w:sz="0" w:space="0" w:color="auto"/>
        <w:right w:val="none" w:sz="0" w:space="0" w:color="auto"/>
      </w:divBdr>
    </w:div>
    <w:div w:id="1947733326">
      <w:bodyDiv w:val="1"/>
      <w:marLeft w:val="0"/>
      <w:marRight w:val="0"/>
      <w:marTop w:val="0"/>
      <w:marBottom w:val="0"/>
      <w:divBdr>
        <w:top w:val="none" w:sz="0" w:space="0" w:color="auto"/>
        <w:left w:val="none" w:sz="0" w:space="0" w:color="auto"/>
        <w:bottom w:val="none" w:sz="0" w:space="0" w:color="auto"/>
        <w:right w:val="none" w:sz="0" w:space="0" w:color="auto"/>
      </w:divBdr>
    </w:div>
    <w:div w:id="1947808620">
      <w:bodyDiv w:val="1"/>
      <w:marLeft w:val="0"/>
      <w:marRight w:val="0"/>
      <w:marTop w:val="0"/>
      <w:marBottom w:val="0"/>
      <w:divBdr>
        <w:top w:val="none" w:sz="0" w:space="0" w:color="auto"/>
        <w:left w:val="none" w:sz="0" w:space="0" w:color="auto"/>
        <w:bottom w:val="none" w:sz="0" w:space="0" w:color="auto"/>
        <w:right w:val="none" w:sz="0" w:space="0" w:color="auto"/>
      </w:divBdr>
    </w:div>
    <w:div w:id="1947884371">
      <w:bodyDiv w:val="1"/>
      <w:marLeft w:val="0"/>
      <w:marRight w:val="0"/>
      <w:marTop w:val="0"/>
      <w:marBottom w:val="0"/>
      <w:divBdr>
        <w:top w:val="none" w:sz="0" w:space="0" w:color="auto"/>
        <w:left w:val="none" w:sz="0" w:space="0" w:color="auto"/>
        <w:bottom w:val="none" w:sz="0" w:space="0" w:color="auto"/>
        <w:right w:val="none" w:sz="0" w:space="0" w:color="auto"/>
      </w:divBdr>
    </w:div>
    <w:div w:id="1947929335">
      <w:bodyDiv w:val="1"/>
      <w:marLeft w:val="0"/>
      <w:marRight w:val="0"/>
      <w:marTop w:val="0"/>
      <w:marBottom w:val="0"/>
      <w:divBdr>
        <w:top w:val="none" w:sz="0" w:space="0" w:color="auto"/>
        <w:left w:val="none" w:sz="0" w:space="0" w:color="auto"/>
        <w:bottom w:val="none" w:sz="0" w:space="0" w:color="auto"/>
        <w:right w:val="none" w:sz="0" w:space="0" w:color="auto"/>
      </w:divBdr>
    </w:div>
    <w:div w:id="1947959191">
      <w:bodyDiv w:val="1"/>
      <w:marLeft w:val="0"/>
      <w:marRight w:val="0"/>
      <w:marTop w:val="0"/>
      <w:marBottom w:val="0"/>
      <w:divBdr>
        <w:top w:val="none" w:sz="0" w:space="0" w:color="auto"/>
        <w:left w:val="none" w:sz="0" w:space="0" w:color="auto"/>
        <w:bottom w:val="none" w:sz="0" w:space="0" w:color="auto"/>
        <w:right w:val="none" w:sz="0" w:space="0" w:color="auto"/>
      </w:divBdr>
    </w:div>
    <w:div w:id="1948345236">
      <w:bodyDiv w:val="1"/>
      <w:marLeft w:val="0"/>
      <w:marRight w:val="0"/>
      <w:marTop w:val="0"/>
      <w:marBottom w:val="0"/>
      <w:divBdr>
        <w:top w:val="none" w:sz="0" w:space="0" w:color="auto"/>
        <w:left w:val="none" w:sz="0" w:space="0" w:color="auto"/>
        <w:bottom w:val="none" w:sz="0" w:space="0" w:color="auto"/>
        <w:right w:val="none" w:sz="0" w:space="0" w:color="auto"/>
      </w:divBdr>
    </w:div>
    <w:div w:id="1948463998">
      <w:bodyDiv w:val="1"/>
      <w:marLeft w:val="0"/>
      <w:marRight w:val="0"/>
      <w:marTop w:val="0"/>
      <w:marBottom w:val="0"/>
      <w:divBdr>
        <w:top w:val="none" w:sz="0" w:space="0" w:color="auto"/>
        <w:left w:val="none" w:sz="0" w:space="0" w:color="auto"/>
        <w:bottom w:val="none" w:sz="0" w:space="0" w:color="auto"/>
        <w:right w:val="none" w:sz="0" w:space="0" w:color="auto"/>
      </w:divBdr>
    </w:div>
    <w:div w:id="1948585048">
      <w:bodyDiv w:val="1"/>
      <w:marLeft w:val="0"/>
      <w:marRight w:val="0"/>
      <w:marTop w:val="0"/>
      <w:marBottom w:val="0"/>
      <w:divBdr>
        <w:top w:val="none" w:sz="0" w:space="0" w:color="auto"/>
        <w:left w:val="none" w:sz="0" w:space="0" w:color="auto"/>
        <w:bottom w:val="none" w:sz="0" w:space="0" w:color="auto"/>
        <w:right w:val="none" w:sz="0" w:space="0" w:color="auto"/>
      </w:divBdr>
    </w:div>
    <w:div w:id="1948809159">
      <w:bodyDiv w:val="1"/>
      <w:marLeft w:val="0"/>
      <w:marRight w:val="0"/>
      <w:marTop w:val="0"/>
      <w:marBottom w:val="0"/>
      <w:divBdr>
        <w:top w:val="none" w:sz="0" w:space="0" w:color="auto"/>
        <w:left w:val="none" w:sz="0" w:space="0" w:color="auto"/>
        <w:bottom w:val="none" w:sz="0" w:space="0" w:color="auto"/>
        <w:right w:val="none" w:sz="0" w:space="0" w:color="auto"/>
      </w:divBdr>
    </w:div>
    <w:div w:id="1948809730">
      <w:bodyDiv w:val="1"/>
      <w:marLeft w:val="0"/>
      <w:marRight w:val="0"/>
      <w:marTop w:val="0"/>
      <w:marBottom w:val="0"/>
      <w:divBdr>
        <w:top w:val="none" w:sz="0" w:space="0" w:color="auto"/>
        <w:left w:val="none" w:sz="0" w:space="0" w:color="auto"/>
        <w:bottom w:val="none" w:sz="0" w:space="0" w:color="auto"/>
        <w:right w:val="none" w:sz="0" w:space="0" w:color="auto"/>
      </w:divBdr>
    </w:div>
    <w:div w:id="1948848038">
      <w:bodyDiv w:val="1"/>
      <w:marLeft w:val="0"/>
      <w:marRight w:val="0"/>
      <w:marTop w:val="0"/>
      <w:marBottom w:val="0"/>
      <w:divBdr>
        <w:top w:val="none" w:sz="0" w:space="0" w:color="auto"/>
        <w:left w:val="none" w:sz="0" w:space="0" w:color="auto"/>
        <w:bottom w:val="none" w:sz="0" w:space="0" w:color="auto"/>
        <w:right w:val="none" w:sz="0" w:space="0" w:color="auto"/>
      </w:divBdr>
    </w:div>
    <w:div w:id="1948849172">
      <w:bodyDiv w:val="1"/>
      <w:marLeft w:val="0"/>
      <w:marRight w:val="0"/>
      <w:marTop w:val="0"/>
      <w:marBottom w:val="0"/>
      <w:divBdr>
        <w:top w:val="none" w:sz="0" w:space="0" w:color="auto"/>
        <w:left w:val="none" w:sz="0" w:space="0" w:color="auto"/>
        <w:bottom w:val="none" w:sz="0" w:space="0" w:color="auto"/>
        <w:right w:val="none" w:sz="0" w:space="0" w:color="auto"/>
      </w:divBdr>
    </w:div>
    <w:div w:id="1948925476">
      <w:bodyDiv w:val="1"/>
      <w:marLeft w:val="0"/>
      <w:marRight w:val="0"/>
      <w:marTop w:val="0"/>
      <w:marBottom w:val="0"/>
      <w:divBdr>
        <w:top w:val="none" w:sz="0" w:space="0" w:color="auto"/>
        <w:left w:val="none" w:sz="0" w:space="0" w:color="auto"/>
        <w:bottom w:val="none" w:sz="0" w:space="0" w:color="auto"/>
        <w:right w:val="none" w:sz="0" w:space="0" w:color="auto"/>
      </w:divBdr>
    </w:div>
    <w:div w:id="1949046102">
      <w:bodyDiv w:val="1"/>
      <w:marLeft w:val="0"/>
      <w:marRight w:val="0"/>
      <w:marTop w:val="0"/>
      <w:marBottom w:val="0"/>
      <w:divBdr>
        <w:top w:val="none" w:sz="0" w:space="0" w:color="auto"/>
        <w:left w:val="none" w:sz="0" w:space="0" w:color="auto"/>
        <w:bottom w:val="none" w:sz="0" w:space="0" w:color="auto"/>
        <w:right w:val="none" w:sz="0" w:space="0" w:color="auto"/>
      </w:divBdr>
    </w:div>
    <w:div w:id="1949047511">
      <w:bodyDiv w:val="1"/>
      <w:marLeft w:val="0"/>
      <w:marRight w:val="0"/>
      <w:marTop w:val="0"/>
      <w:marBottom w:val="0"/>
      <w:divBdr>
        <w:top w:val="none" w:sz="0" w:space="0" w:color="auto"/>
        <w:left w:val="none" w:sz="0" w:space="0" w:color="auto"/>
        <w:bottom w:val="none" w:sz="0" w:space="0" w:color="auto"/>
        <w:right w:val="none" w:sz="0" w:space="0" w:color="auto"/>
      </w:divBdr>
    </w:div>
    <w:div w:id="1949114442">
      <w:bodyDiv w:val="1"/>
      <w:marLeft w:val="0"/>
      <w:marRight w:val="0"/>
      <w:marTop w:val="0"/>
      <w:marBottom w:val="0"/>
      <w:divBdr>
        <w:top w:val="none" w:sz="0" w:space="0" w:color="auto"/>
        <w:left w:val="none" w:sz="0" w:space="0" w:color="auto"/>
        <w:bottom w:val="none" w:sz="0" w:space="0" w:color="auto"/>
        <w:right w:val="none" w:sz="0" w:space="0" w:color="auto"/>
      </w:divBdr>
    </w:div>
    <w:div w:id="1949653294">
      <w:bodyDiv w:val="1"/>
      <w:marLeft w:val="0"/>
      <w:marRight w:val="0"/>
      <w:marTop w:val="0"/>
      <w:marBottom w:val="0"/>
      <w:divBdr>
        <w:top w:val="none" w:sz="0" w:space="0" w:color="auto"/>
        <w:left w:val="none" w:sz="0" w:space="0" w:color="auto"/>
        <w:bottom w:val="none" w:sz="0" w:space="0" w:color="auto"/>
        <w:right w:val="none" w:sz="0" w:space="0" w:color="auto"/>
      </w:divBdr>
    </w:div>
    <w:div w:id="1949656319">
      <w:bodyDiv w:val="1"/>
      <w:marLeft w:val="0"/>
      <w:marRight w:val="0"/>
      <w:marTop w:val="0"/>
      <w:marBottom w:val="0"/>
      <w:divBdr>
        <w:top w:val="none" w:sz="0" w:space="0" w:color="auto"/>
        <w:left w:val="none" w:sz="0" w:space="0" w:color="auto"/>
        <w:bottom w:val="none" w:sz="0" w:space="0" w:color="auto"/>
        <w:right w:val="none" w:sz="0" w:space="0" w:color="auto"/>
      </w:divBdr>
    </w:div>
    <w:div w:id="1949697854">
      <w:bodyDiv w:val="1"/>
      <w:marLeft w:val="0"/>
      <w:marRight w:val="0"/>
      <w:marTop w:val="0"/>
      <w:marBottom w:val="0"/>
      <w:divBdr>
        <w:top w:val="none" w:sz="0" w:space="0" w:color="auto"/>
        <w:left w:val="none" w:sz="0" w:space="0" w:color="auto"/>
        <w:bottom w:val="none" w:sz="0" w:space="0" w:color="auto"/>
        <w:right w:val="none" w:sz="0" w:space="0" w:color="auto"/>
      </w:divBdr>
    </w:div>
    <w:div w:id="1949700701">
      <w:bodyDiv w:val="1"/>
      <w:marLeft w:val="0"/>
      <w:marRight w:val="0"/>
      <w:marTop w:val="0"/>
      <w:marBottom w:val="0"/>
      <w:divBdr>
        <w:top w:val="none" w:sz="0" w:space="0" w:color="auto"/>
        <w:left w:val="none" w:sz="0" w:space="0" w:color="auto"/>
        <w:bottom w:val="none" w:sz="0" w:space="0" w:color="auto"/>
        <w:right w:val="none" w:sz="0" w:space="0" w:color="auto"/>
      </w:divBdr>
    </w:div>
    <w:div w:id="1949770977">
      <w:bodyDiv w:val="1"/>
      <w:marLeft w:val="0"/>
      <w:marRight w:val="0"/>
      <w:marTop w:val="0"/>
      <w:marBottom w:val="0"/>
      <w:divBdr>
        <w:top w:val="none" w:sz="0" w:space="0" w:color="auto"/>
        <w:left w:val="none" w:sz="0" w:space="0" w:color="auto"/>
        <w:bottom w:val="none" w:sz="0" w:space="0" w:color="auto"/>
        <w:right w:val="none" w:sz="0" w:space="0" w:color="auto"/>
      </w:divBdr>
    </w:div>
    <w:div w:id="1949849753">
      <w:bodyDiv w:val="1"/>
      <w:marLeft w:val="0"/>
      <w:marRight w:val="0"/>
      <w:marTop w:val="0"/>
      <w:marBottom w:val="0"/>
      <w:divBdr>
        <w:top w:val="none" w:sz="0" w:space="0" w:color="auto"/>
        <w:left w:val="none" w:sz="0" w:space="0" w:color="auto"/>
        <w:bottom w:val="none" w:sz="0" w:space="0" w:color="auto"/>
        <w:right w:val="none" w:sz="0" w:space="0" w:color="auto"/>
      </w:divBdr>
    </w:div>
    <w:div w:id="1949971045">
      <w:bodyDiv w:val="1"/>
      <w:marLeft w:val="0"/>
      <w:marRight w:val="0"/>
      <w:marTop w:val="0"/>
      <w:marBottom w:val="0"/>
      <w:divBdr>
        <w:top w:val="none" w:sz="0" w:space="0" w:color="auto"/>
        <w:left w:val="none" w:sz="0" w:space="0" w:color="auto"/>
        <w:bottom w:val="none" w:sz="0" w:space="0" w:color="auto"/>
        <w:right w:val="none" w:sz="0" w:space="0" w:color="auto"/>
      </w:divBdr>
    </w:div>
    <w:div w:id="1950160913">
      <w:bodyDiv w:val="1"/>
      <w:marLeft w:val="0"/>
      <w:marRight w:val="0"/>
      <w:marTop w:val="0"/>
      <w:marBottom w:val="0"/>
      <w:divBdr>
        <w:top w:val="none" w:sz="0" w:space="0" w:color="auto"/>
        <w:left w:val="none" w:sz="0" w:space="0" w:color="auto"/>
        <w:bottom w:val="none" w:sz="0" w:space="0" w:color="auto"/>
        <w:right w:val="none" w:sz="0" w:space="0" w:color="auto"/>
      </w:divBdr>
    </w:div>
    <w:div w:id="1950307950">
      <w:bodyDiv w:val="1"/>
      <w:marLeft w:val="0"/>
      <w:marRight w:val="0"/>
      <w:marTop w:val="0"/>
      <w:marBottom w:val="0"/>
      <w:divBdr>
        <w:top w:val="none" w:sz="0" w:space="0" w:color="auto"/>
        <w:left w:val="none" w:sz="0" w:space="0" w:color="auto"/>
        <w:bottom w:val="none" w:sz="0" w:space="0" w:color="auto"/>
        <w:right w:val="none" w:sz="0" w:space="0" w:color="auto"/>
      </w:divBdr>
    </w:div>
    <w:div w:id="1950500351">
      <w:bodyDiv w:val="1"/>
      <w:marLeft w:val="0"/>
      <w:marRight w:val="0"/>
      <w:marTop w:val="0"/>
      <w:marBottom w:val="0"/>
      <w:divBdr>
        <w:top w:val="none" w:sz="0" w:space="0" w:color="auto"/>
        <w:left w:val="none" w:sz="0" w:space="0" w:color="auto"/>
        <w:bottom w:val="none" w:sz="0" w:space="0" w:color="auto"/>
        <w:right w:val="none" w:sz="0" w:space="0" w:color="auto"/>
      </w:divBdr>
    </w:div>
    <w:div w:id="1950507650">
      <w:bodyDiv w:val="1"/>
      <w:marLeft w:val="0"/>
      <w:marRight w:val="0"/>
      <w:marTop w:val="0"/>
      <w:marBottom w:val="0"/>
      <w:divBdr>
        <w:top w:val="none" w:sz="0" w:space="0" w:color="auto"/>
        <w:left w:val="none" w:sz="0" w:space="0" w:color="auto"/>
        <w:bottom w:val="none" w:sz="0" w:space="0" w:color="auto"/>
        <w:right w:val="none" w:sz="0" w:space="0" w:color="auto"/>
      </w:divBdr>
    </w:div>
    <w:div w:id="1950697259">
      <w:bodyDiv w:val="1"/>
      <w:marLeft w:val="0"/>
      <w:marRight w:val="0"/>
      <w:marTop w:val="0"/>
      <w:marBottom w:val="0"/>
      <w:divBdr>
        <w:top w:val="none" w:sz="0" w:space="0" w:color="auto"/>
        <w:left w:val="none" w:sz="0" w:space="0" w:color="auto"/>
        <w:bottom w:val="none" w:sz="0" w:space="0" w:color="auto"/>
        <w:right w:val="none" w:sz="0" w:space="0" w:color="auto"/>
      </w:divBdr>
    </w:div>
    <w:div w:id="1950745318">
      <w:bodyDiv w:val="1"/>
      <w:marLeft w:val="0"/>
      <w:marRight w:val="0"/>
      <w:marTop w:val="0"/>
      <w:marBottom w:val="0"/>
      <w:divBdr>
        <w:top w:val="none" w:sz="0" w:space="0" w:color="auto"/>
        <w:left w:val="none" w:sz="0" w:space="0" w:color="auto"/>
        <w:bottom w:val="none" w:sz="0" w:space="0" w:color="auto"/>
        <w:right w:val="none" w:sz="0" w:space="0" w:color="auto"/>
      </w:divBdr>
    </w:div>
    <w:div w:id="1950817756">
      <w:bodyDiv w:val="1"/>
      <w:marLeft w:val="0"/>
      <w:marRight w:val="0"/>
      <w:marTop w:val="0"/>
      <w:marBottom w:val="0"/>
      <w:divBdr>
        <w:top w:val="none" w:sz="0" w:space="0" w:color="auto"/>
        <w:left w:val="none" w:sz="0" w:space="0" w:color="auto"/>
        <w:bottom w:val="none" w:sz="0" w:space="0" w:color="auto"/>
        <w:right w:val="none" w:sz="0" w:space="0" w:color="auto"/>
      </w:divBdr>
    </w:div>
    <w:div w:id="1950890071">
      <w:bodyDiv w:val="1"/>
      <w:marLeft w:val="0"/>
      <w:marRight w:val="0"/>
      <w:marTop w:val="0"/>
      <w:marBottom w:val="0"/>
      <w:divBdr>
        <w:top w:val="none" w:sz="0" w:space="0" w:color="auto"/>
        <w:left w:val="none" w:sz="0" w:space="0" w:color="auto"/>
        <w:bottom w:val="none" w:sz="0" w:space="0" w:color="auto"/>
        <w:right w:val="none" w:sz="0" w:space="0" w:color="auto"/>
      </w:divBdr>
    </w:div>
    <w:div w:id="1950963973">
      <w:bodyDiv w:val="1"/>
      <w:marLeft w:val="0"/>
      <w:marRight w:val="0"/>
      <w:marTop w:val="0"/>
      <w:marBottom w:val="0"/>
      <w:divBdr>
        <w:top w:val="none" w:sz="0" w:space="0" w:color="auto"/>
        <w:left w:val="none" w:sz="0" w:space="0" w:color="auto"/>
        <w:bottom w:val="none" w:sz="0" w:space="0" w:color="auto"/>
        <w:right w:val="none" w:sz="0" w:space="0" w:color="auto"/>
      </w:divBdr>
    </w:div>
    <w:div w:id="1950969632">
      <w:bodyDiv w:val="1"/>
      <w:marLeft w:val="0"/>
      <w:marRight w:val="0"/>
      <w:marTop w:val="0"/>
      <w:marBottom w:val="0"/>
      <w:divBdr>
        <w:top w:val="none" w:sz="0" w:space="0" w:color="auto"/>
        <w:left w:val="none" w:sz="0" w:space="0" w:color="auto"/>
        <w:bottom w:val="none" w:sz="0" w:space="0" w:color="auto"/>
        <w:right w:val="none" w:sz="0" w:space="0" w:color="auto"/>
      </w:divBdr>
    </w:div>
    <w:div w:id="1951038160">
      <w:bodyDiv w:val="1"/>
      <w:marLeft w:val="0"/>
      <w:marRight w:val="0"/>
      <w:marTop w:val="0"/>
      <w:marBottom w:val="0"/>
      <w:divBdr>
        <w:top w:val="none" w:sz="0" w:space="0" w:color="auto"/>
        <w:left w:val="none" w:sz="0" w:space="0" w:color="auto"/>
        <w:bottom w:val="none" w:sz="0" w:space="0" w:color="auto"/>
        <w:right w:val="none" w:sz="0" w:space="0" w:color="auto"/>
      </w:divBdr>
    </w:div>
    <w:div w:id="1951160504">
      <w:bodyDiv w:val="1"/>
      <w:marLeft w:val="0"/>
      <w:marRight w:val="0"/>
      <w:marTop w:val="0"/>
      <w:marBottom w:val="0"/>
      <w:divBdr>
        <w:top w:val="none" w:sz="0" w:space="0" w:color="auto"/>
        <w:left w:val="none" w:sz="0" w:space="0" w:color="auto"/>
        <w:bottom w:val="none" w:sz="0" w:space="0" w:color="auto"/>
        <w:right w:val="none" w:sz="0" w:space="0" w:color="auto"/>
      </w:divBdr>
    </w:div>
    <w:div w:id="1951234556">
      <w:bodyDiv w:val="1"/>
      <w:marLeft w:val="0"/>
      <w:marRight w:val="0"/>
      <w:marTop w:val="0"/>
      <w:marBottom w:val="0"/>
      <w:divBdr>
        <w:top w:val="none" w:sz="0" w:space="0" w:color="auto"/>
        <w:left w:val="none" w:sz="0" w:space="0" w:color="auto"/>
        <w:bottom w:val="none" w:sz="0" w:space="0" w:color="auto"/>
        <w:right w:val="none" w:sz="0" w:space="0" w:color="auto"/>
      </w:divBdr>
    </w:div>
    <w:div w:id="1951542599">
      <w:bodyDiv w:val="1"/>
      <w:marLeft w:val="0"/>
      <w:marRight w:val="0"/>
      <w:marTop w:val="0"/>
      <w:marBottom w:val="0"/>
      <w:divBdr>
        <w:top w:val="none" w:sz="0" w:space="0" w:color="auto"/>
        <w:left w:val="none" w:sz="0" w:space="0" w:color="auto"/>
        <w:bottom w:val="none" w:sz="0" w:space="0" w:color="auto"/>
        <w:right w:val="none" w:sz="0" w:space="0" w:color="auto"/>
      </w:divBdr>
    </w:div>
    <w:div w:id="1951544142">
      <w:bodyDiv w:val="1"/>
      <w:marLeft w:val="0"/>
      <w:marRight w:val="0"/>
      <w:marTop w:val="0"/>
      <w:marBottom w:val="0"/>
      <w:divBdr>
        <w:top w:val="none" w:sz="0" w:space="0" w:color="auto"/>
        <w:left w:val="none" w:sz="0" w:space="0" w:color="auto"/>
        <w:bottom w:val="none" w:sz="0" w:space="0" w:color="auto"/>
        <w:right w:val="none" w:sz="0" w:space="0" w:color="auto"/>
      </w:divBdr>
    </w:div>
    <w:div w:id="1951626157">
      <w:bodyDiv w:val="1"/>
      <w:marLeft w:val="0"/>
      <w:marRight w:val="0"/>
      <w:marTop w:val="0"/>
      <w:marBottom w:val="0"/>
      <w:divBdr>
        <w:top w:val="none" w:sz="0" w:space="0" w:color="auto"/>
        <w:left w:val="none" w:sz="0" w:space="0" w:color="auto"/>
        <w:bottom w:val="none" w:sz="0" w:space="0" w:color="auto"/>
        <w:right w:val="none" w:sz="0" w:space="0" w:color="auto"/>
      </w:divBdr>
    </w:div>
    <w:div w:id="1951816621">
      <w:bodyDiv w:val="1"/>
      <w:marLeft w:val="0"/>
      <w:marRight w:val="0"/>
      <w:marTop w:val="0"/>
      <w:marBottom w:val="0"/>
      <w:divBdr>
        <w:top w:val="none" w:sz="0" w:space="0" w:color="auto"/>
        <w:left w:val="none" w:sz="0" w:space="0" w:color="auto"/>
        <w:bottom w:val="none" w:sz="0" w:space="0" w:color="auto"/>
        <w:right w:val="none" w:sz="0" w:space="0" w:color="auto"/>
      </w:divBdr>
    </w:div>
    <w:div w:id="1951817672">
      <w:bodyDiv w:val="1"/>
      <w:marLeft w:val="0"/>
      <w:marRight w:val="0"/>
      <w:marTop w:val="0"/>
      <w:marBottom w:val="0"/>
      <w:divBdr>
        <w:top w:val="none" w:sz="0" w:space="0" w:color="auto"/>
        <w:left w:val="none" w:sz="0" w:space="0" w:color="auto"/>
        <w:bottom w:val="none" w:sz="0" w:space="0" w:color="auto"/>
        <w:right w:val="none" w:sz="0" w:space="0" w:color="auto"/>
      </w:divBdr>
    </w:div>
    <w:div w:id="1951860760">
      <w:bodyDiv w:val="1"/>
      <w:marLeft w:val="0"/>
      <w:marRight w:val="0"/>
      <w:marTop w:val="0"/>
      <w:marBottom w:val="0"/>
      <w:divBdr>
        <w:top w:val="none" w:sz="0" w:space="0" w:color="auto"/>
        <w:left w:val="none" w:sz="0" w:space="0" w:color="auto"/>
        <w:bottom w:val="none" w:sz="0" w:space="0" w:color="auto"/>
        <w:right w:val="none" w:sz="0" w:space="0" w:color="auto"/>
      </w:divBdr>
    </w:div>
    <w:div w:id="1952005120">
      <w:bodyDiv w:val="1"/>
      <w:marLeft w:val="0"/>
      <w:marRight w:val="0"/>
      <w:marTop w:val="0"/>
      <w:marBottom w:val="0"/>
      <w:divBdr>
        <w:top w:val="none" w:sz="0" w:space="0" w:color="auto"/>
        <w:left w:val="none" w:sz="0" w:space="0" w:color="auto"/>
        <w:bottom w:val="none" w:sz="0" w:space="0" w:color="auto"/>
        <w:right w:val="none" w:sz="0" w:space="0" w:color="auto"/>
      </w:divBdr>
    </w:div>
    <w:div w:id="1952009738">
      <w:bodyDiv w:val="1"/>
      <w:marLeft w:val="0"/>
      <w:marRight w:val="0"/>
      <w:marTop w:val="0"/>
      <w:marBottom w:val="0"/>
      <w:divBdr>
        <w:top w:val="none" w:sz="0" w:space="0" w:color="auto"/>
        <w:left w:val="none" w:sz="0" w:space="0" w:color="auto"/>
        <w:bottom w:val="none" w:sz="0" w:space="0" w:color="auto"/>
        <w:right w:val="none" w:sz="0" w:space="0" w:color="auto"/>
      </w:divBdr>
    </w:div>
    <w:div w:id="1952084124">
      <w:bodyDiv w:val="1"/>
      <w:marLeft w:val="0"/>
      <w:marRight w:val="0"/>
      <w:marTop w:val="0"/>
      <w:marBottom w:val="0"/>
      <w:divBdr>
        <w:top w:val="none" w:sz="0" w:space="0" w:color="auto"/>
        <w:left w:val="none" w:sz="0" w:space="0" w:color="auto"/>
        <w:bottom w:val="none" w:sz="0" w:space="0" w:color="auto"/>
        <w:right w:val="none" w:sz="0" w:space="0" w:color="auto"/>
      </w:divBdr>
    </w:div>
    <w:div w:id="1952128119">
      <w:bodyDiv w:val="1"/>
      <w:marLeft w:val="0"/>
      <w:marRight w:val="0"/>
      <w:marTop w:val="0"/>
      <w:marBottom w:val="0"/>
      <w:divBdr>
        <w:top w:val="none" w:sz="0" w:space="0" w:color="auto"/>
        <w:left w:val="none" w:sz="0" w:space="0" w:color="auto"/>
        <w:bottom w:val="none" w:sz="0" w:space="0" w:color="auto"/>
        <w:right w:val="none" w:sz="0" w:space="0" w:color="auto"/>
      </w:divBdr>
    </w:div>
    <w:div w:id="1952277807">
      <w:bodyDiv w:val="1"/>
      <w:marLeft w:val="0"/>
      <w:marRight w:val="0"/>
      <w:marTop w:val="0"/>
      <w:marBottom w:val="0"/>
      <w:divBdr>
        <w:top w:val="none" w:sz="0" w:space="0" w:color="auto"/>
        <w:left w:val="none" w:sz="0" w:space="0" w:color="auto"/>
        <w:bottom w:val="none" w:sz="0" w:space="0" w:color="auto"/>
        <w:right w:val="none" w:sz="0" w:space="0" w:color="auto"/>
      </w:divBdr>
    </w:div>
    <w:div w:id="1952348202">
      <w:bodyDiv w:val="1"/>
      <w:marLeft w:val="0"/>
      <w:marRight w:val="0"/>
      <w:marTop w:val="0"/>
      <w:marBottom w:val="0"/>
      <w:divBdr>
        <w:top w:val="none" w:sz="0" w:space="0" w:color="auto"/>
        <w:left w:val="none" w:sz="0" w:space="0" w:color="auto"/>
        <w:bottom w:val="none" w:sz="0" w:space="0" w:color="auto"/>
        <w:right w:val="none" w:sz="0" w:space="0" w:color="auto"/>
      </w:divBdr>
    </w:div>
    <w:div w:id="1952588598">
      <w:bodyDiv w:val="1"/>
      <w:marLeft w:val="0"/>
      <w:marRight w:val="0"/>
      <w:marTop w:val="0"/>
      <w:marBottom w:val="0"/>
      <w:divBdr>
        <w:top w:val="none" w:sz="0" w:space="0" w:color="auto"/>
        <w:left w:val="none" w:sz="0" w:space="0" w:color="auto"/>
        <w:bottom w:val="none" w:sz="0" w:space="0" w:color="auto"/>
        <w:right w:val="none" w:sz="0" w:space="0" w:color="auto"/>
      </w:divBdr>
    </w:div>
    <w:div w:id="1952663006">
      <w:bodyDiv w:val="1"/>
      <w:marLeft w:val="0"/>
      <w:marRight w:val="0"/>
      <w:marTop w:val="0"/>
      <w:marBottom w:val="0"/>
      <w:divBdr>
        <w:top w:val="none" w:sz="0" w:space="0" w:color="auto"/>
        <w:left w:val="none" w:sz="0" w:space="0" w:color="auto"/>
        <w:bottom w:val="none" w:sz="0" w:space="0" w:color="auto"/>
        <w:right w:val="none" w:sz="0" w:space="0" w:color="auto"/>
      </w:divBdr>
    </w:div>
    <w:div w:id="1952742273">
      <w:bodyDiv w:val="1"/>
      <w:marLeft w:val="0"/>
      <w:marRight w:val="0"/>
      <w:marTop w:val="0"/>
      <w:marBottom w:val="0"/>
      <w:divBdr>
        <w:top w:val="none" w:sz="0" w:space="0" w:color="auto"/>
        <w:left w:val="none" w:sz="0" w:space="0" w:color="auto"/>
        <w:bottom w:val="none" w:sz="0" w:space="0" w:color="auto"/>
        <w:right w:val="none" w:sz="0" w:space="0" w:color="auto"/>
      </w:divBdr>
    </w:div>
    <w:div w:id="1952782526">
      <w:bodyDiv w:val="1"/>
      <w:marLeft w:val="0"/>
      <w:marRight w:val="0"/>
      <w:marTop w:val="0"/>
      <w:marBottom w:val="0"/>
      <w:divBdr>
        <w:top w:val="none" w:sz="0" w:space="0" w:color="auto"/>
        <w:left w:val="none" w:sz="0" w:space="0" w:color="auto"/>
        <w:bottom w:val="none" w:sz="0" w:space="0" w:color="auto"/>
        <w:right w:val="none" w:sz="0" w:space="0" w:color="auto"/>
      </w:divBdr>
    </w:div>
    <w:div w:id="1952930911">
      <w:bodyDiv w:val="1"/>
      <w:marLeft w:val="0"/>
      <w:marRight w:val="0"/>
      <w:marTop w:val="0"/>
      <w:marBottom w:val="0"/>
      <w:divBdr>
        <w:top w:val="none" w:sz="0" w:space="0" w:color="auto"/>
        <w:left w:val="none" w:sz="0" w:space="0" w:color="auto"/>
        <w:bottom w:val="none" w:sz="0" w:space="0" w:color="auto"/>
        <w:right w:val="none" w:sz="0" w:space="0" w:color="auto"/>
      </w:divBdr>
    </w:div>
    <w:div w:id="1953319181">
      <w:bodyDiv w:val="1"/>
      <w:marLeft w:val="0"/>
      <w:marRight w:val="0"/>
      <w:marTop w:val="0"/>
      <w:marBottom w:val="0"/>
      <w:divBdr>
        <w:top w:val="none" w:sz="0" w:space="0" w:color="auto"/>
        <w:left w:val="none" w:sz="0" w:space="0" w:color="auto"/>
        <w:bottom w:val="none" w:sz="0" w:space="0" w:color="auto"/>
        <w:right w:val="none" w:sz="0" w:space="0" w:color="auto"/>
      </w:divBdr>
    </w:div>
    <w:div w:id="1953319190">
      <w:bodyDiv w:val="1"/>
      <w:marLeft w:val="0"/>
      <w:marRight w:val="0"/>
      <w:marTop w:val="0"/>
      <w:marBottom w:val="0"/>
      <w:divBdr>
        <w:top w:val="none" w:sz="0" w:space="0" w:color="auto"/>
        <w:left w:val="none" w:sz="0" w:space="0" w:color="auto"/>
        <w:bottom w:val="none" w:sz="0" w:space="0" w:color="auto"/>
        <w:right w:val="none" w:sz="0" w:space="0" w:color="auto"/>
      </w:divBdr>
    </w:div>
    <w:div w:id="1953394518">
      <w:bodyDiv w:val="1"/>
      <w:marLeft w:val="0"/>
      <w:marRight w:val="0"/>
      <w:marTop w:val="0"/>
      <w:marBottom w:val="0"/>
      <w:divBdr>
        <w:top w:val="none" w:sz="0" w:space="0" w:color="auto"/>
        <w:left w:val="none" w:sz="0" w:space="0" w:color="auto"/>
        <w:bottom w:val="none" w:sz="0" w:space="0" w:color="auto"/>
        <w:right w:val="none" w:sz="0" w:space="0" w:color="auto"/>
      </w:divBdr>
    </w:div>
    <w:div w:id="1953434258">
      <w:bodyDiv w:val="1"/>
      <w:marLeft w:val="0"/>
      <w:marRight w:val="0"/>
      <w:marTop w:val="0"/>
      <w:marBottom w:val="0"/>
      <w:divBdr>
        <w:top w:val="none" w:sz="0" w:space="0" w:color="auto"/>
        <w:left w:val="none" w:sz="0" w:space="0" w:color="auto"/>
        <w:bottom w:val="none" w:sz="0" w:space="0" w:color="auto"/>
        <w:right w:val="none" w:sz="0" w:space="0" w:color="auto"/>
      </w:divBdr>
    </w:div>
    <w:div w:id="1953509340">
      <w:bodyDiv w:val="1"/>
      <w:marLeft w:val="0"/>
      <w:marRight w:val="0"/>
      <w:marTop w:val="0"/>
      <w:marBottom w:val="0"/>
      <w:divBdr>
        <w:top w:val="none" w:sz="0" w:space="0" w:color="auto"/>
        <w:left w:val="none" w:sz="0" w:space="0" w:color="auto"/>
        <w:bottom w:val="none" w:sz="0" w:space="0" w:color="auto"/>
        <w:right w:val="none" w:sz="0" w:space="0" w:color="auto"/>
      </w:divBdr>
    </w:div>
    <w:div w:id="1953589556">
      <w:bodyDiv w:val="1"/>
      <w:marLeft w:val="0"/>
      <w:marRight w:val="0"/>
      <w:marTop w:val="0"/>
      <w:marBottom w:val="0"/>
      <w:divBdr>
        <w:top w:val="none" w:sz="0" w:space="0" w:color="auto"/>
        <w:left w:val="none" w:sz="0" w:space="0" w:color="auto"/>
        <w:bottom w:val="none" w:sz="0" w:space="0" w:color="auto"/>
        <w:right w:val="none" w:sz="0" w:space="0" w:color="auto"/>
      </w:divBdr>
    </w:div>
    <w:div w:id="1953592101">
      <w:bodyDiv w:val="1"/>
      <w:marLeft w:val="0"/>
      <w:marRight w:val="0"/>
      <w:marTop w:val="0"/>
      <w:marBottom w:val="0"/>
      <w:divBdr>
        <w:top w:val="none" w:sz="0" w:space="0" w:color="auto"/>
        <w:left w:val="none" w:sz="0" w:space="0" w:color="auto"/>
        <w:bottom w:val="none" w:sz="0" w:space="0" w:color="auto"/>
        <w:right w:val="none" w:sz="0" w:space="0" w:color="auto"/>
      </w:divBdr>
    </w:div>
    <w:div w:id="1953628959">
      <w:bodyDiv w:val="1"/>
      <w:marLeft w:val="0"/>
      <w:marRight w:val="0"/>
      <w:marTop w:val="0"/>
      <w:marBottom w:val="0"/>
      <w:divBdr>
        <w:top w:val="none" w:sz="0" w:space="0" w:color="auto"/>
        <w:left w:val="none" w:sz="0" w:space="0" w:color="auto"/>
        <w:bottom w:val="none" w:sz="0" w:space="0" w:color="auto"/>
        <w:right w:val="none" w:sz="0" w:space="0" w:color="auto"/>
      </w:divBdr>
    </w:div>
    <w:div w:id="1953895244">
      <w:bodyDiv w:val="1"/>
      <w:marLeft w:val="0"/>
      <w:marRight w:val="0"/>
      <w:marTop w:val="0"/>
      <w:marBottom w:val="0"/>
      <w:divBdr>
        <w:top w:val="none" w:sz="0" w:space="0" w:color="auto"/>
        <w:left w:val="none" w:sz="0" w:space="0" w:color="auto"/>
        <w:bottom w:val="none" w:sz="0" w:space="0" w:color="auto"/>
        <w:right w:val="none" w:sz="0" w:space="0" w:color="auto"/>
      </w:divBdr>
    </w:div>
    <w:div w:id="1953972458">
      <w:bodyDiv w:val="1"/>
      <w:marLeft w:val="0"/>
      <w:marRight w:val="0"/>
      <w:marTop w:val="0"/>
      <w:marBottom w:val="0"/>
      <w:divBdr>
        <w:top w:val="none" w:sz="0" w:space="0" w:color="auto"/>
        <w:left w:val="none" w:sz="0" w:space="0" w:color="auto"/>
        <w:bottom w:val="none" w:sz="0" w:space="0" w:color="auto"/>
        <w:right w:val="none" w:sz="0" w:space="0" w:color="auto"/>
      </w:divBdr>
    </w:div>
    <w:div w:id="1954090737">
      <w:bodyDiv w:val="1"/>
      <w:marLeft w:val="0"/>
      <w:marRight w:val="0"/>
      <w:marTop w:val="0"/>
      <w:marBottom w:val="0"/>
      <w:divBdr>
        <w:top w:val="none" w:sz="0" w:space="0" w:color="auto"/>
        <w:left w:val="none" w:sz="0" w:space="0" w:color="auto"/>
        <w:bottom w:val="none" w:sz="0" w:space="0" w:color="auto"/>
        <w:right w:val="none" w:sz="0" w:space="0" w:color="auto"/>
      </w:divBdr>
    </w:div>
    <w:div w:id="1954165027">
      <w:bodyDiv w:val="1"/>
      <w:marLeft w:val="0"/>
      <w:marRight w:val="0"/>
      <w:marTop w:val="0"/>
      <w:marBottom w:val="0"/>
      <w:divBdr>
        <w:top w:val="none" w:sz="0" w:space="0" w:color="auto"/>
        <w:left w:val="none" w:sz="0" w:space="0" w:color="auto"/>
        <w:bottom w:val="none" w:sz="0" w:space="0" w:color="auto"/>
        <w:right w:val="none" w:sz="0" w:space="0" w:color="auto"/>
      </w:divBdr>
    </w:div>
    <w:div w:id="1954239308">
      <w:bodyDiv w:val="1"/>
      <w:marLeft w:val="0"/>
      <w:marRight w:val="0"/>
      <w:marTop w:val="0"/>
      <w:marBottom w:val="0"/>
      <w:divBdr>
        <w:top w:val="none" w:sz="0" w:space="0" w:color="auto"/>
        <w:left w:val="none" w:sz="0" w:space="0" w:color="auto"/>
        <w:bottom w:val="none" w:sz="0" w:space="0" w:color="auto"/>
        <w:right w:val="none" w:sz="0" w:space="0" w:color="auto"/>
      </w:divBdr>
    </w:div>
    <w:div w:id="1954244611">
      <w:bodyDiv w:val="1"/>
      <w:marLeft w:val="0"/>
      <w:marRight w:val="0"/>
      <w:marTop w:val="0"/>
      <w:marBottom w:val="0"/>
      <w:divBdr>
        <w:top w:val="none" w:sz="0" w:space="0" w:color="auto"/>
        <w:left w:val="none" w:sz="0" w:space="0" w:color="auto"/>
        <w:bottom w:val="none" w:sz="0" w:space="0" w:color="auto"/>
        <w:right w:val="none" w:sz="0" w:space="0" w:color="auto"/>
      </w:divBdr>
    </w:div>
    <w:div w:id="1954314757">
      <w:bodyDiv w:val="1"/>
      <w:marLeft w:val="0"/>
      <w:marRight w:val="0"/>
      <w:marTop w:val="0"/>
      <w:marBottom w:val="0"/>
      <w:divBdr>
        <w:top w:val="none" w:sz="0" w:space="0" w:color="auto"/>
        <w:left w:val="none" w:sz="0" w:space="0" w:color="auto"/>
        <w:bottom w:val="none" w:sz="0" w:space="0" w:color="auto"/>
        <w:right w:val="none" w:sz="0" w:space="0" w:color="auto"/>
      </w:divBdr>
    </w:div>
    <w:div w:id="1954316022">
      <w:bodyDiv w:val="1"/>
      <w:marLeft w:val="0"/>
      <w:marRight w:val="0"/>
      <w:marTop w:val="0"/>
      <w:marBottom w:val="0"/>
      <w:divBdr>
        <w:top w:val="none" w:sz="0" w:space="0" w:color="auto"/>
        <w:left w:val="none" w:sz="0" w:space="0" w:color="auto"/>
        <w:bottom w:val="none" w:sz="0" w:space="0" w:color="auto"/>
        <w:right w:val="none" w:sz="0" w:space="0" w:color="auto"/>
      </w:divBdr>
    </w:div>
    <w:div w:id="1954634653">
      <w:bodyDiv w:val="1"/>
      <w:marLeft w:val="0"/>
      <w:marRight w:val="0"/>
      <w:marTop w:val="0"/>
      <w:marBottom w:val="0"/>
      <w:divBdr>
        <w:top w:val="none" w:sz="0" w:space="0" w:color="auto"/>
        <w:left w:val="none" w:sz="0" w:space="0" w:color="auto"/>
        <w:bottom w:val="none" w:sz="0" w:space="0" w:color="auto"/>
        <w:right w:val="none" w:sz="0" w:space="0" w:color="auto"/>
      </w:divBdr>
    </w:div>
    <w:div w:id="1954827068">
      <w:bodyDiv w:val="1"/>
      <w:marLeft w:val="0"/>
      <w:marRight w:val="0"/>
      <w:marTop w:val="0"/>
      <w:marBottom w:val="0"/>
      <w:divBdr>
        <w:top w:val="none" w:sz="0" w:space="0" w:color="auto"/>
        <w:left w:val="none" w:sz="0" w:space="0" w:color="auto"/>
        <w:bottom w:val="none" w:sz="0" w:space="0" w:color="auto"/>
        <w:right w:val="none" w:sz="0" w:space="0" w:color="auto"/>
      </w:divBdr>
    </w:div>
    <w:div w:id="1954898835">
      <w:bodyDiv w:val="1"/>
      <w:marLeft w:val="0"/>
      <w:marRight w:val="0"/>
      <w:marTop w:val="0"/>
      <w:marBottom w:val="0"/>
      <w:divBdr>
        <w:top w:val="none" w:sz="0" w:space="0" w:color="auto"/>
        <w:left w:val="none" w:sz="0" w:space="0" w:color="auto"/>
        <w:bottom w:val="none" w:sz="0" w:space="0" w:color="auto"/>
        <w:right w:val="none" w:sz="0" w:space="0" w:color="auto"/>
      </w:divBdr>
    </w:div>
    <w:div w:id="1955089090">
      <w:bodyDiv w:val="1"/>
      <w:marLeft w:val="0"/>
      <w:marRight w:val="0"/>
      <w:marTop w:val="0"/>
      <w:marBottom w:val="0"/>
      <w:divBdr>
        <w:top w:val="none" w:sz="0" w:space="0" w:color="auto"/>
        <w:left w:val="none" w:sz="0" w:space="0" w:color="auto"/>
        <w:bottom w:val="none" w:sz="0" w:space="0" w:color="auto"/>
        <w:right w:val="none" w:sz="0" w:space="0" w:color="auto"/>
      </w:divBdr>
    </w:div>
    <w:div w:id="1955096223">
      <w:bodyDiv w:val="1"/>
      <w:marLeft w:val="0"/>
      <w:marRight w:val="0"/>
      <w:marTop w:val="0"/>
      <w:marBottom w:val="0"/>
      <w:divBdr>
        <w:top w:val="none" w:sz="0" w:space="0" w:color="auto"/>
        <w:left w:val="none" w:sz="0" w:space="0" w:color="auto"/>
        <w:bottom w:val="none" w:sz="0" w:space="0" w:color="auto"/>
        <w:right w:val="none" w:sz="0" w:space="0" w:color="auto"/>
      </w:divBdr>
    </w:div>
    <w:div w:id="1955168202">
      <w:bodyDiv w:val="1"/>
      <w:marLeft w:val="0"/>
      <w:marRight w:val="0"/>
      <w:marTop w:val="0"/>
      <w:marBottom w:val="0"/>
      <w:divBdr>
        <w:top w:val="none" w:sz="0" w:space="0" w:color="auto"/>
        <w:left w:val="none" w:sz="0" w:space="0" w:color="auto"/>
        <w:bottom w:val="none" w:sz="0" w:space="0" w:color="auto"/>
        <w:right w:val="none" w:sz="0" w:space="0" w:color="auto"/>
      </w:divBdr>
    </w:div>
    <w:div w:id="1955206781">
      <w:bodyDiv w:val="1"/>
      <w:marLeft w:val="0"/>
      <w:marRight w:val="0"/>
      <w:marTop w:val="0"/>
      <w:marBottom w:val="0"/>
      <w:divBdr>
        <w:top w:val="none" w:sz="0" w:space="0" w:color="auto"/>
        <w:left w:val="none" w:sz="0" w:space="0" w:color="auto"/>
        <w:bottom w:val="none" w:sz="0" w:space="0" w:color="auto"/>
        <w:right w:val="none" w:sz="0" w:space="0" w:color="auto"/>
      </w:divBdr>
    </w:div>
    <w:div w:id="1955211450">
      <w:bodyDiv w:val="1"/>
      <w:marLeft w:val="0"/>
      <w:marRight w:val="0"/>
      <w:marTop w:val="0"/>
      <w:marBottom w:val="0"/>
      <w:divBdr>
        <w:top w:val="none" w:sz="0" w:space="0" w:color="auto"/>
        <w:left w:val="none" w:sz="0" w:space="0" w:color="auto"/>
        <w:bottom w:val="none" w:sz="0" w:space="0" w:color="auto"/>
        <w:right w:val="none" w:sz="0" w:space="0" w:color="auto"/>
      </w:divBdr>
    </w:div>
    <w:div w:id="1955475946">
      <w:bodyDiv w:val="1"/>
      <w:marLeft w:val="0"/>
      <w:marRight w:val="0"/>
      <w:marTop w:val="0"/>
      <w:marBottom w:val="0"/>
      <w:divBdr>
        <w:top w:val="none" w:sz="0" w:space="0" w:color="auto"/>
        <w:left w:val="none" w:sz="0" w:space="0" w:color="auto"/>
        <w:bottom w:val="none" w:sz="0" w:space="0" w:color="auto"/>
        <w:right w:val="none" w:sz="0" w:space="0" w:color="auto"/>
      </w:divBdr>
    </w:div>
    <w:div w:id="1955477051">
      <w:bodyDiv w:val="1"/>
      <w:marLeft w:val="0"/>
      <w:marRight w:val="0"/>
      <w:marTop w:val="0"/>
      <w:marBottom w:val="0"/>
      <w:divBdr>
        <w:top w:val="none" w:sz="0" w:space="0" w:color="auto"/>
        <w:left w:val="none" w:sz="0" w:space="0" w:color="auto"/>
        <w:bottom w:val="none" w:sz="0" w:space="0" w:color="auto"/>
        <w:right w:val="none" w:sz="0" w:space="0" w:color="auto"/>
      </w:divBdr>
    </w:div>
    <w:div w:id="1955480439">
      <w:bodyDiv w:val="1"/>
      <w:marLeft w:val="0"/>
      <w:marRight w:val="0"/>
      <w:marTop w:val="0"/>
      <w:marBottom w:val="0"/>
      <w:divBdr>
        <w:top w:val="none" w:sz="0" w:space="0" w:color="auto"/>
        <w:left w:val="none" w:sz="0" w:space="0" w:color="auto"/>
        <w:bottom w:val="none" w:sz="0" w:space="0" w:color="auto"/>
        <w:right w:val="none" w:sz="0" w:space="0" w:color="auto"/>
      </w:divBdr>
    </w:div>
    <w:div w:id="1955549234">
      <w:bodyDiv w:val="1"/>
      <w:marLeft w:val="0"/>
      <w:marRight w:val="0"/>
      <w:marTop w:val="0"/>
      <w:marBottom w:val="0"/>
      <w:divBdr>
        <w:top w:val="none" w:sz="0" w:space="0" w:color="auto"/>
        <w:left w:val="none" w:sz="0" w:space="0" w:color="auto"/>
        <w:bottom w:val="none" w:sz="0" w:space="0" w:color="auto"/>
        <w:right w:val="none" w:sz="0" w:space="0" w:color="auto"/>
      </w:divBdr>
    </w:div>
    <w:div w:id="1955553064">
      <w:bodyDiv w:val="1"/>
      <w:marLeft w:val="0"/>
      <w:marRight w:val="0"/>
      <w:marTop w:val="0"/>
      <w:marBottom w:val="0"/>
      <w:divBdr>
        <w:top w:val="none" w:sz="0" w:space="0" w:color="auto"/>
        <w:left w:val="none" w:sz="0" w:space="0" w:color="auto"/>
        <w:bottom w:val="none" w:sz="0" w:space="0" w:color="auto"/>
        <w:right w:val="none" w:sz="0" w:space="0" w:color="auto"/>
      </w:divBdr>
    </w:div>
    <w:div w:id="1955558088">
      <w:bodyDiv w:val="1"/>
      <w:marLeft w:val="0"/>
      <w:marRight w:val="0"/>
      <w:marTop w:val="0"/>
      <w:marBottom w:val="0"/>
      <w:divBdr>
        <w:top w:val="none" w:sz="0" w:space="0" w:color="auto"/>
        <w:left w:val="none" w:sz="0" w:space="0" w:color="auto"/>
        <w:bottom w:val="none" w:sz="0" w:space="0" w:color="auto"/>
        <w:right w:val="none" w:sz="0" w:space="0" w:color="auto"/>
      </w:divBdr>
    </w:div>
    <w:div w:id="1955747279">
      <w:bodyDiv w:val="1"/>
      <w:marLeft w:val="0"/>
      <w:marRight w:val="0"/>
      <w:marTop w:val="0"/>
      <w:marBottom w:val="0"/>
      <w:divBdr>
        <w:top w:val="none" w:sz="0" w:space="0" w:color="auto"/>
        <w:left w:val="none" w:sz="0" w:space="0" w:color="auto"/>
        <w:bottom w:val="none" w:sz="0" w:space="0" w:color="auto"/>
        <w:right w:val="none" w:sz="0" w:space="0" w:color="auto"/>
      </w:divBdr>
    </w:div>
    <w:div w:id="1955748696">
      <w:bodyDiv w:val="1"/>
      <w:marLeft w:val="0"/>
      <w:marRight w:val="0"/>
      <w:marTop w:val="0"/>
      <w:marBottom w:val="0"/>
      <w:divBdr>
        <w:top w:val="none" w:sz="0" w:space="0" w:color="auto"/>
        <w:left w:val="none" w:sz="0" w:space="0" w:color="auto"/>
        <w:bottom w:val="none" w:sz="0" w:space="0" w:color="auto"/>
        <w:right w:val="none" w:sz="0" w:space="0" w:color="auto"/>
      </w:divBdr>
    </w:div>
    <w:div w:id="1955864622">
      <w:bodyDiv w:val="1"/>
      <w:marLeft w:val="0"/>
      <w:marRight w:val="0"/>
      <w:marTop w:val="0"/>
      <w:marBottom w:val="0"/>
      <w:divBdr>
        <w:top w:val="none" w:sz="0" w:space="0" w:color="auto"/>
        <w:left w:val="none" w:sz="0" w:space="0" w:color="auto"/>
        <w:bottom w:val="none" w:sz="0" w:space="0" w:color="auto"/>
        <w:right w:val="none" w:sz="0" w:space="0" w:color="auto"/>
      </w:divBdr>
    </w:div>
    <w:div w:id="1955936197">
      <w:bodyDiv w:val="1"/>
      <w:marLeft w:val="0"/>
      <w:marRight w:val="0"/>
      <w:marTop w:val="0"/>
      <w:marBottom w:val="0"/>
      <w:divBdr>
        <w:top w:val="none" w:sz="0" w:space="0" w:color="auto"/>
        <w:left w:val="none" w:sz="0" w:space="0" w:color="auto"/>
        <w:bottom w:val="none" w:sz="0" w:space="0" w:color="auto"/>
        <w:right w:val="none" w:sz="0" w:space="0" w:color="auto"/>
      </w:divBdr>
    </w:div>
    <w:div w:id="1956014090">
      <w:bodyDiv w:val="1"/>
      <w:marLeft w:val="0"/>
      <w:marRight w:val="0"/>
      <w:marTop w:val="0"/>
      <w:marBottom w:val="0"/>
      <w:divBdr>
        <w:top w:val="none" w:sz="0" w:space="0" w:color="auto"/>
        <w:left w:val="none" w:sz="0" w:space="0" w:color="auto"/>
        <w:bottom w:val="none" w:sz="0" w:space="0" w:color="auto"/>
        <w:right w:val="none" w:sz="0" w:space="0" w:color="auto"/>
      </w:divBdr>
    </w:div>
    <w:div w:id="1956016955">
      <w:bodyDiv w:val="1"/>
      <w:marLeft w:val="0"/>
      <w:marRight w:val="0"/>
      <w:marTop w:val="0"/>
      <w:marBottom w:val="0"/>
      <w:divBdr>
        <w:top w:val="none" w:sz="0" w:space="0" w:color="auto"/>
        <w:left w:val="none" w:sz="0" w:space="0" w:color="auto"/>
        <w:bottom w:val="none" w:sz="0" w:space="0" w:color="auto"/>
        <w:right w:val="none" w:sz="0" w:space="0" w:color="auto"/>
      </w:divBdr>
    </w:div>
    <w:div w:id="1956053827">
      <w:bodyDiv w:val="1"/>
      <w:marLeft w:val="0"/>
      <w:marRight w:val="0"/>
      <w:marTop w:val="0"/>
      <w:marBottom w:val="0"/>
      <w:divBdr>
        <w:top w:val="none" w:sz="0" w:space="0" w:color="auto"/>
        <w:left w:val="none" w:sz="0" w:space="0" w:color="auto"/>
        <w:bottom w:val="none" w:sz="0" w:space="0" w:color="auto"/>
        <w:right w:val="none" w:sz="0" w:space="0" w:color="auto"/>
      </w:divBdr>
    </w:div>
    <w:div w:id="1956133463">
      <w:bodyDiv w:val="1"/>
      <w:marLeft w:val="0"/>
      <w:marRight w:val="0"/>
      <w:marTop w:val="0"/>
      <w:marBottom w:val="0"/>
      <w:divBdr>
        <w:top w:val="none" w:sz="0" w:space="0" w:color="auto"/>
        <w:left w:val="none" w:sz="0" w:space="0" w:color="auto"/>
        <w:bottom w:val="none" w:sz="0" w:space="0" w:color="auto"/>
        <w:right w:val="none" w:sz="0" w:space="0" w:color="auto"/>
      </w:divBdr>
    </w:div>
    <w:div w:id="1956207247">
      <w:bodyDiv w:val="1"/>
      <w:marLeft w:val="0"/>
      <w:marRight w:val="0"/>
      <w:marTop w:val="0"/>
      <w:marBottom w:val="0"/>
      <w:divBdr>
        <w:top w:val="none" w:sz="0" w:space="0" w:color="auto"/>
        <w:left w:val="none" w:sz="0" w:space="0" w:color="auto"/>
        <w:bottom w:val="none" w:sz="0" w:space="0" w:color="auto"/>
        <w:right w:val="none" w:sz="0" w:space="0" w:color="auto"/>
      </w:divBdr>
    </w:div>
    <w:div w:id="1956249912">
      <w:bodyDiv w:val="1"/>
      <w:marLeft w:val="0"/>
      <w:marRight w:val="0"/>
      <w:marTop w:val="0"/>
      <w:marBottom w:val="0"/>
      <w:divBdr>
        <w:top w:val="none" w:sz="0" w:space="0" w:color="auto"/>
        <w:left w:val="none" w:sz="0" w:space="0" w:color="auto"/>
        <w:bottom w:val="none" w:sz="0" w:space="0" w:color="auto"/>
        <w:right w:val="none" w:sz="0" w:space="0" w:color="auto"/>
      </w:divBdr>
    </w:div>
    <w:div w:id="1956250985">
      <w:bodyDiv w:val="1"/>
      <w:marLeft w:val="0"/>
      <w:marRight w:val="0"/>
      <w:marTop w:val="0"/>
      <w:marBottom w:val="0"/>
      <w:divBdr>
        <w:top w:val="none" w:sz="0" w:space="0" w:color="auto"/>
        <w:left w:val="none" w:sz="0" w:space="0" w:color="auto"/>
        <w:bottom w:val="none" w:sz="0" w:space="0" w:color="auto"/>
        <w:right w:val="none" w:sz="0" w:space="0" w:color="auto"/>
      </w:divBdr>
    </w:div>
    <w:div w:id="1956323689">
      <w:bodyDiv w:val="1"/>
      <w:marLeft w:val="0"/>
      <w:marRight w:val="0"/>
      <w:marTop w:val="0"/>
      <w:marBottom w:val="0"/>
      <w:divBdr>
        <w:top w:val="none" w:sz="0" w:space="0" w:color="auto"/>
        <w:left w:val="none" w:sz="0" w:space="0" w:color="auto"/>
        <w:bottom w:val="none" w:sz="0" w:space="0" w:color="auto"/>
        <w:right w:val="none" w:sz="0" w:space="0" w:color="auto"/>
      </w:divBdr>
    </w:div>
    <w:div w:id="1956405762">
      <w:bodyDiv w:val="1"/>
      <w:marLeft w:val="0"/>
      <w:marRight w:val="0"/>
      <w:marTop w:val="0"/>
      <w:marBottom w:val="0"/>
      <w:divBdr>
        <w:top w:val="none" w:sz="0" w:space="0" w:color="auto"/>
        <w:left w:val="none" w:sz="0" w:space="0" w:color="auto"/>
        <w:bottom w:val="none" w:sz="0" w:space="0" w:color="auto"/>
        <w:right w:val="none" w:sz="0" w:space="0" w:color="auto"/>
      </w:divBdr>
    </w:div>
    <w:div w:id="1956522644">
      <w:bodyDiv w:val="1"/>
      <w:marLeft w:val="0"/>
      <w:marRight w:val="0"/>
      <w:marTop w:val="0"/>
      <w:marBottom w:val="0"/>
      <w:divBdr>
        <w:top w:val="none" w:sz="0" w:space="0" w:color="auto"/>
        <w:left w:val="none" w:sz="0" w:space="0" w:color="auto"/>
        <w:bottom w:val="none" w:sz="0" w:space="0" w:color="auto"/>
        <w:right w:val="none" w:sz="0" w:space="0" w:color="auto"/>
      </w:divBdr>
    </w:div>
    <w:div w:id="1956592640">
      <w:bodyDiv w:val="1"/>
      <w:marLeft w:val="0"/>
      <w:marRight w:val="0"/>
      <w:marTop w:val="0"/>
      <w:marBottom w:val="0"/>
      <w:divBdr>
        <w:top w:val="none" w:sz="0" w:space="0" w:color="auto"/>
        <w:left w:val="none" w:sz="0" w:space="0" w:color="auto"/>
        <w:bottom w:val="none" w:sz="0" w:space="0" w:color="auto"/>
        <w:right w:val="none" w:sz="0" w:space="0" w:color="auto"/>
      </w:divBdr>
    </w:div>
    <w:div w:id="1956671283">
      <w:bodyDiv w:val="1"/>
      <w:marLeft w:val="0"/>
      <w:marRight w:val="0"/>
      <w:marTop w:val="0"/>
      <w:marBottom w:val="0"/>
      <w:divBdr>
        <w:top w:val="none" w:sz="0" w:space="0" w:color="auto"/>
        <w:left w:val="none" w:sz="0" w:space="0" w:color="auto"/>
        <w:bottom w:val="none" w:sz="0" w:space="0" w:color="auto"/>
        <w:right w:val="none" w:sz="0" w:space="0" w:color="auto"/>
      </w:divBdr>
    </w:div>
    <w:div w:id="1956861503">
      <w:bodyDiv w:val="1"/>
      <w:marLeft w:val="0"/>
      <w:marRight w:val="0"/>
      <w:marTop w:val="0"/>
      <w:marBottom w:val="0"/>
      <w:divBdr>
        <w:top w:val="none" w:sz="0" w:space="0" w:color="auto"/>
        <w:left w:val="none" w:sz="0" w:space="0" w:color="auto"/>
        <w:bottom w:val="none" w:sz="0" w:space="0" w:color="auto"/>
        <w:right w:val="none" w:sz="0" w:space="0" w:color="auto"/>
      </w:divBdr>
    </w:div>
    <w:div w:id="1956987438">
      <w:bodyDiv w:val="1"/>
      <w:marLeft w:val="0"/>
      <w:marRight w:val="0"/>
      <w:marTop w:val="0"/>
      <w:marBottom w:val="0"/>
      <w:divBdr>
        <w:top w:val="none" w:sz="0" w:space="0" w:color="auto"/>
        <w:left w:val="none" w:sz="0" w:space="0" w:color="auto"/>
        <w:bottom w:val="none" w:sz="0" w:space="0" w:color="auto"/>
        <w:right w:val="none" w:sz="0" w:space="0" w:color="auto"/>
      </w:divBdr>
    </w:div>
    <w:div w:id="1957060961">
      <w:bodyDiv w:val="1"/>
      <w:marLeft w:val="0"/>
      <w:marRight w:val="0"/>
      <w:marTop w:val="0"/>
      <w:marBottom w:val="0"/>
      <w:divBdr>
        <w:top w:val="none" w:sz="0" w:space="0" w:color="auto"/>
        <w:left w:val="none" w:sz="0" w:space="0" w:color="auto"/>
        <w:bottom w:val="none" w:sz="0" w:space="0" w:color="auto"/>
        <w:right w:val="none" w:sz="0" w:space="0" w:color="auto"/>
      </w:divBdr>
    </w:div>
    <w:div w:id="1957174904">
      <w:bodyDiv w:val="1"/>
      <w:marLeft w:val="0"/>
      <w:marRight w:val="0"/>
      <w:marTop w:val="0"/>
      <w:marBottom w:val="0"/>
      <w:divBdr>
        <w:top w:val="none" w:sz="0" w:space="0" w:color="auto"/>
        <w:left w:val="none" w:sz="0" w:space="0" w:color="auto"/>
        <w:bottom w:val="none" w:sz="0" w:space="0" w:color="auto"/>
        <w:right w:val="none" w:sz="0" w:space="0" w:color="auto"/>
      </w:divBdr>
    </w:div>
    <w:div w:id="1957178091">
      <w:bodyDiv w:val="1"/>
      <w:marLeft w:val="0"/>
      <w:marRight w:val="0"/>
      <w:marTop w:val="0"/>
      <w:marBottom w:val="0"/>
      <w:divBdr>
        <w:top w:val="none" w:sz="0" w:space="0" w:color="auto"/>
        <w:left w:val="none" w:sz="0" w:space="0" w:color="auto"/>
        <w:bottom w:val="none" w:sz="0" w:space="0" w:color="auto"/>
        <w:right w:val="none" w:sz="0" w:space="0" w:color="auto"/>
      </w:divBdr>
    </w:div>
    <w:div w:id="1957440871">
      <w:bodyDiv w:val="1"/>
      <w:marLeft w:val="0"/>
      <w:marRight w:val="0"/>
      <w:marTop w:val="0"/>
      <w:marBottom w:val="0"/>
      <w:divBdr>
        <w:top w:val="none" w:sz="0" w:space="0" w:color="auto"/>
        <w:left w:val="none" w:sz="0" w:space="0" w:color="auto"/>
        <w:bottom w:val="none" w:sz="0" w:space="0" w:color="auto"/>
        <w:right w:val="none" w:sz="0" w:space="0" w:color="auto"/>
      </w:divBdr>
    </w:div>
    <w:div w:id="1957516925">
      <w:bodyDiv w:val="1"/>
      <w:marLeft w:val="0"/>
      <w:marRight w:val="0"/>
      <w:marTop w:val="0"/>
      <w:marBottom w:val="0"/>
      <w:divBdr>
        <w:top w:val="none" w:sz="0" w:space="0" w:color="auto"/>
        <w:left w:val="none" w:sz="0" w:space="0" w:color="auto"/>
        <w:bottom w:val="none" w:sz="0" w:space="0" w:color="auto"/>
        <w:right w:val="none" w:sz="0" w:space="0" w:color="auto"/>
      </w:divBdr>
    </w:div>
    <w:div w:id="1957560692">
      <w:bodyDiv w:val="1"/>
      <w:marLeft w:val="0"/>
      <w:marRight w:val="0"/>
      <w:marTop w:val="0"/>
      <w:marBottom w:val="0"/>
      <w:divBdr>
        <w:top w:val="none" w:sz="0" w:space="0" w:color="auto"/>
        <w:left w:val="none" w:sz="0" w:space="0" w:color="auto"/>
        <w:bottom w:val="none" w:sz="0" w:space="0" w:color="auto"/>
        <w:right w:val="none" w:sz="0" w:space="0" w:color="auto"/>
      </w:divBdr>
    </w:div>
    <w:div w:id="1957565577">
      <w:bodyDiv w:val="1"/>
      <w:marLeft w:val="0"/>
      <w:marRight w:val="0"/>
      <w:marTop w:val="0"/>
      <w:marBottom w:val="0"/>
      <w:divBdr>
        <w:top w:val="none" w:sz="0" w:space="0" w:color="auto"/>
        <w:left w:val="none" w:sz="0" w:space="0" w:color="auto"/>
        <w:bottom w:val="none" w:sz="0" w:space="0" w:color="auto"/>
        <w:right w:val="none" w:sz="0" w:space="0" w:color="auto"/>
      </w:divBdr>
    </w:div>
    <w:div w:id="1957712581">
      <w:bodyDiv w:val="1"/>
      <w:marLeft w:val="0"/>
      <w:marRight w:val="0"/>
      <w:marTop w:val="0"/>
      <w:marBottom w:val="0"/>
      <w:divBdr>
        <w:top w:val="none" w:sz="0" w:space="0" w:color="auto"/>
        <w:left w:val="none" w:sz="0" w:space="0" w:color="auto"/>
        <w:bottom w:val="none" w:sz="0" w:space="0" w:color="auto"/>
        <w:right w:val="none" w:sz="0" w:space="0" w:color="auto"/>
      </w:divBdr>
    </w:div>
    <w:div w:id="1957830021">
      <w:bodyDiv w:val="1"/>
      <w:marLeft w:val="0"/>
      <w:marRight w:val="0"/>
      <w:marTop w:val="0"/>
      <w:marBottom w:val="0"/>
      <w:divBdr>
        <w:top w:val="none" w:sz="0" w:space="0" w:color="auto"/>
        <w:left w:val="none" w:sz="0" w:space="0" w:color="auto"/>
        <w:bottom w:val="none" w:sz="0" w:space="0" w:color="auto"/>
        <w:right w:val="none" w:sz="0" w:space="0" w:color="auto"/>
      </w:divBdr>
    </w:div>
    <w:div w:id="1957907342">
      <w:bodyDiv w:val="1"/>
      <w:marLeft w:val="0"/>
      <w:marRight w:val="0"/>
      <w:marTop w:val="0"/>
      <w:marBottom w:val="0"/>
      <w:divBdr>
        <w:top w:val="none" w:sz="0" w:space="0" w:color="auto"/>
        <w:left w:val="none" w:sz="0" w:space="0" w:color="auto"/>
        <w:bottom w:val="none" w:sz="0" w:space="0" w:color="auto"/>
        <w:right w:val="none" w:sz="0" w:space="0" w:color="auto"/>
      </w:divBdr>
    </w:div>
    <w:div w:id="1957978416">
      <w:bodyDiv w:val="1"/>
      <w:marLeft w:val="0"/>
      <w:marRight w:val="0"/>
      <w:marTop w:val="0"/>
      <w:marBottom w:val="0"/>
      <w:divBdr>
        <w:top w:val="none" w:sz="0" w:space="0" w:color="auto"/>
        <w:left w:val="none" w:sz="0" w:space="0" w:color="auto"/>
        <w:bottom w:val="none" w:sz="0" w:space="0" w:color="auto"/>
        <w:right w:val="none" w:sz="0" w:space="0" w:color="auto"/>
      </w:divBdr>
    </w:div>
    <w:div w:id="1957983846">
      <w:bodyDiv w:val="1"/>
      <w:marLeft w:val="0"/>
      <w:marRight w:val="0"/>
      <w:marTop w:val="0"/>
      <w:marBottom w:val="0"/>
      <w:divBdr>
        <w:top w:val="none" w:sz="0" w:space="0" w:color="auto"/>
        <w:left w:val="none" w:sz="0" w:space="0" w:color="auto"/>
        <w:bottom w:val="none" w:sz="0" w:space="0" w:color="auto"/>
        <w:right w:val="none" w:sz="0" w:space="0" w:color="auto"/>
      </w:divBdr>
    </w:div>
    <w:div w:id="1958020243">
      <w:bodyDiv w:val="1"/>
      <w:marLeft w:val="0"/>
      <w:marRight w:val="0"/>
      <w:marTop w:val="0"/>
      <w:marBottom w:val="0"/>
      <w:divBdr>
        <w:top w:val="none" w:sz="0" w:space="0" w:color="auto"/>
        <w:left w:val="none" w:sz="0" w:space="0" w:color="auto"/>
        <w:bottom w:val="none" w:sz="0" w:space="0" w:color="auto"/>
        <w:right w:val="none" w:sz="0" w:space="0" w:color="auto"/>
      </w:divBdr>
    </w:div>
    <w:div w:id="1958096554">
      <w:bodyDiv w:val="1"/>
      <w:marLeft w:val="0"/>
      <w:marRight w:val="0"/>
      <w:marTop w:val="0"/>
      <w:marBottom w:val="0"/>
      <w:divBdr>
        <w:top w:val="none" w:sz="0" w:space="0" w:color="auto"/>
        <w:left w:val="none" w:sz="0" w:space="0" w:color="auto"/>
        <w:bottom w:val="none" w:sz="0" w:space="0" w:color="auto"/>
        <w:right w:val="none" w:sz="0" w:space="0" w:color="auto"/>
      </w:divBdr>
    </w:div>
    <w:div w:id="1958098542">
      <w:bodyDiv w:val="1"/>
      <w:marLeft w:val="0"/>
      <w:marRight w:val="0"/>
      <w:marTop w:val="0"/>
      <w:marBottom w:val="0"/>
      <w:divBdr>
        <w:top w:val="none" w:sz="0" w:space="0" w:color="auto"/>
        <w:left w:val="none" w:sz="0" w:space="0" w:color="auto"/>
        <w:bottom w:val="none" w:sz="0" w:space="0" w:color="auto"/>
        <w:right w:val="none" w:sz="0" w:space="0" w:color="auto"/>
      </w:divBdr>
    </w:div>
    <w:div w:id="1958176930">
      <w:bodyDiv w:val="1"/>
      <w:marLeft w:val="0"/>
      <w:marRight w:val="0"/>
      <w:marTop w:val="0"/>
      <w:marBottom w:val="0"/>
      <w:divBdr>
        <w:top w:val="none" w:sz="0" w:space="0" w:color="auto"/>
        <w:left w:val="none" w:sz="0" w:space="0" w:color="auto"/>
        <w:bottom w:val="none" w:sz="0" w:space="0" w:color="auto"/>
        <w:right w:val="none" w:sz="0" w:space="0" w:color="auto"/>
      </w:divBdr>
    </w:div>
    <w:div w:id="1958177532">
      <w:bodyDiv w:val="1"/>
      <w:marLeft w:val="0"/>
      <w:marRight w:val="0"/>
      <w:marTop w:val="0"/>
      <w:marBottom w:val="0"/>
      <w:divBdr>
        <w:top w:val="none" w:sz="0" w:space="0" w:color="auto"/>
        <w:left w:val="none" w:sz="0" w:space="0" w:color="auto"/>
        <w:bottom w:val="none" w:sz="0" w:space="0" w:color="auto"/>
        <w:right w:val="none" w:sz="0" w:space="0" w:color="auto"/>
      </w:divBdr>
    </w:div>
    <w:div w:id="1958414214">
      <w:bodyDiv w:val="1"/>
      <w:marLeft w:val="0"/>
      <w:marRight w:val="0"/>
      <w:marTop w:val="0"/>
      <w:marBottom w:val="0"/>
      <w:divBdr>
        <w:top w:val="none" w:sz="0" w:space="0" w:color="auto"/>
        <w:left w:val="none" w:sz="0" w:space="0" w:color="auto"/>
        <w:bottom w:val="none" w:sz="0" w:space="0" w:color="auto"/>
        <w:right w:val="none" w:sz="0" w:space="0" w:color="auto"/>
      </w:divBdr>
    </w:div>
    <w:div w:id="1958442027">
      <w:bodyDiv w:val="1"/>
      <w:marLeft w:val="0"/>
      <w:marRight w:val="0"/>
      <w:marTop w:val="0"/>
      <w:marBottom w:val="0"/>
      <w:divBdr>
        <w:top w:val="none" w:sz="0" w:space="0" w:color="auto"/>
        <w:left w:val="none" w:sz="0" w:space="0" w:color="auto"/>
        <w:bottom w:val="none" w:sz="0" w:space="0" w:color="auto"/>
        <w:right w:val="none" w:sz="0" w:space="0" w:color="auto"/>
      </w:divBdr>
    </w:div>
    <w:div w:id="1958565402">
      <w:bodyDiv w:val="1"/>
      <w:marLeft w:val="0"/>
      <w:marRight w:val="0"/>
      <w:marTop w:val="0"/>
      <w:marBottom w:val="0"/>
      <w:divBdr>
        <w:top w:val="none" w:sz="0" w:space="0" w:color="auto"/>
        <w:left w:val="none" w:sz="0" w:space="0" w:color="auto"/>
        <w:bottom w:val="none" w:sz="0" w:space="0" w:color="auto"/>
        <w:right w:val="none" w:sz="0" w:space="0" w:color="auto"/>
      </w:divBdr>
    </w:div>
    <w:div w:id="1958678765">
      <w:bodyDiv w:val="1"/>
      <w:marLeft w:val="0"/>
      <w:marRight w:val="0"/>
      <w:marTop w:val="0"/>
      <w:marBottom w:val="0"/>
      <w:divBdr>
        <w:top w:val="none" w:sz="0" w:space="0" w:color="auto"/>
        <w:left w:val="none" w:sz="0" w:space="0" w:color="auto"/>
        <w:bottom w:val="none" w:sz="0" w:space="0" w:color="auto"/>
        <w:right w:val="none" w:sz="0" w:space="0" w:color="auto"/>
      </w:divBdr>
    </w:div>
    <w:div w:id="1958679191">
      <w:bodyDiv w:val="1"/>
      <w:marLeft w:val="0"/>
      <w:marRight w:val="0"/>
      <w:marTop w:val="0"/>
      <w:marBottom w:val="0"/>
      <w:divBdr>
        <w:top w:val="none" w:sz="0" w:space="0" w:color="auto"/>
        <w:left w:val="none" w:sz="0" w:space="0" w:color="auto"/>
        <w:bottom w:val="none" w:sz="0" w:space="0" w:color="auto"/>
        <w:right w:val="none" w:sz="0" w:space="0" w:color="auto"/>
      </w:divBdr>
    </w:div>
    <w:div w:id="1958681083">
      <w:bodyDiv w:val="1"/>
      <w:marLeft w:val="0"/>
      <w:marRight w:val="0"/>
      <w:marTop w:val="0"/>
      <w:marBottom w:val="0"/>
      <w:divBdr>
        <w:top w:val="none" w:sz="0" w:space="0" w:color="auto"/>
        <w:left w:val="none" w:sz="0" w:space="0" w:color="auto"/>
        <w:bottom w:val="none" w:sz="0" w:space="0" w:color="auto"/>
        <w:right w:val="none" w:sz="0" w:space="0" w:color="auto"/>
      </w:divBdr>
    </w:div>
    <w:div w:id="1958952929">
      <w:bodyDiv w:val="1"/>
      <w:marLeft w:val="0"/>
      <w:marRight w:val="0"/>
      <w:marTop w:val="0"/>
      <w:marBottom w:val="0"/>
      <w:divBdr>
        <w:top w:val="none" w:sz="0" w:space="0" w:color="auto"/>
        <w:left w:val="none" w:sz="0" w:space="0" w:color="auto"/>
        <w:bottom w:val="none" w:sz="0" w:space="0" w:color="auto"/>
        <w:right w:val="none" w:sz="0" w:space="0" w:color="auto"/>
      </w:divBdr>
    </w:div>
    <w:div w:id="1959023610">
      <w:bodyDiv w:val="1"/>
      <w:marLeft w:val="0"/>
      <w:marRight w:val="0"/>
      <w:marTop w:val="0"/>
      <w:marBottom w:val="0"/>
      <w:divBdr>
        <w:top w:val="none" w:sz="0" w:space="0" w:color="auto"/>
        <w:left w:val="none" w:sz="0" w:space="0" w:color="auto"/>
        <w:bottom w:val="none" w:sz="0" w:space="0" w:color="auto"/>
        <w:right w:val="none" w:sz="0" w:space="0" w:color="auto"/>
      </w:divBdr>
    </w:div>
    <w:div w:id="1959025214">
      <w:bodyDiv w:val="1"/>
      <w:marLeft w:val="0"/>
      <w:marRight w:val="0"/>
      <w:marTop w:val="0"/>
      <w:marBottom w:val="0"/>
      <w:divBdr>
        <w:top w:val="none" w:sz="0" w:space="0" w:color="auto"/>
        <w:left w:val="none" w:sz="0" w:space="0" w:color="auto"/>
        <w:bottom w:val="none" w:sz="0" w:space="0" w:color="auto"/>
        <w:right w:val="none" w:sz="0" w:space="0" w:color="auto"/>
      </w:divBdr>
    </w:div>
    <w:div w:id="1959099793">
      <w:bodyDiv w:val="1"/>
      <w:marLeft w:val="0"/>
      <w:marRight w:val="0"/>
      <w:marTop w:val="0"/>
      <w:marBottom w:val="0"/>
      <w:divBdr>
        <w:top w:val="none" w:sz="0" w:space="0" w:color="auto"/>
        <w:left w:val="none" w:sz="0" w:space="0" w:color="auto"/>
        <w:bottom w:val="none" w:sz="0" w:space="0" w:color="auto"/>
        <w:right w:val="none" w:sz="0" w:space="0" w:color="auto"/>
      </w:divBdr>
    </w:div>
    <w:div w:id="1959335277">
      <w:bodyDiv w:val="1"/>
      <w:marLeft w:val="0"/>
      <w:marRight w:val="0"/>
      <w:marTop w:val="0"/>
      <w:marBottom w:val="0"/>
      <w:divBdr>
        <w:top w:val="none" w:sz="0" w:space="0" w:color="auto"/>
        <w:left w:val="none" w:sz="0" w:space="0" w:color="auto"/>
        <w:bottom w:val="none" w:sz="0" w:space="0" w:color="auto"/>
        <w:right w:val="none" w:sz="0" w:space="0" w:color="auto"/>
      </w:divBdr>
    </w:div>
    <w:div w:id="1959409901">
      <w:bodyDiv w:val="1"/>
      <w:marLeft w:val="0"/>
      <w:marRight w:val="0"/>
      <w:marTop w:val="0"/>
      <w:marBottom w:val="0"/>
      <w:divBdr>
        <w:top w:val="none" w:sz="0" w:space="0" w:color="auto"/>
        <w:left w:val="none" w:sz="0" w:space="0" w:color="auto"/>
        <w:bottom w:val="none" w:sz="0" w:space="0" w:color="auto"/>
        <w:right w:val="none" w:sz="0" w:space="0" w:color="auto"/>
      </w:divBdr>
    </w:div>
    <w:div w:id="1959415194">
      <w:bodyDiv w:val="1"/>
      <w:marLeft w:val="0"/>
      <w:marRight w:val="0"/>
      <w:marTop w:val="0"/>
      <w:marBottom w:val="0"/>
      <w:divBdr>
        <w:top w:val="none" w:sz="0" w:space="0" w:color="auto"/>
        <w:left w:val="none" w:sz="0" w:space="0" w:color="auto"/>
        <w:bottom w:val="none" w:sz="0" w:space="0" w:color="auto"/>
        <w:right w:val="none" w:sz="0" w:space="0" w:color="auto"/>
      </w:divBdr>
    </w:div>
    <w:div w:id="1959605901">
      <w:bodyDiv w:val="1"/>
      <w:marLeft w:val="0"/>
      <w:marRight w:val="0"/>
      <w:marTop w:val="0"/>
      <w:marBottom w:val="0"/>
      <w:divBdr>
        <w:top w:val="none" w:sz="0" w:space="0" w:color="auto"/>
        <w:left w:val="none" w:sz="0" w:space="0" w:color="auto"/>
        <w:bottom w:val="none" w:sz="0" w:space="0" w:color="auto"/>
        <w:right w:val="none" w:sz="0" w:space="0" w:color="auto"/>
      </w:divBdr>
    </w:div>
    <w:div w:id="1959607822">
      <w:bodyDiv w:val="1"/>
      <w:marLeft w:val="0"/>
      <w:marRight w:val="0"/>
      <w:marTop w:val="0"/>
      <w:marBottom w:val="0"/>
      <w:divBdr>
        <w:top w:val="none" w:sz="0" w:space="0" w:color="auto"/>
        <w:left w:val="none" w:sz="0" w:space="0" w:color="auto"/>
        <w:bottom w:val="none" w:sz="0" w:space="0" w:color="auto"/>
        <w:right w:val="none" w:sz="0" w:space="0" w:color="auto"/>
      </w:divBdr>
    </w:div>
    <w:div w:id="1959724206">
      <w:bodyDiv w:val="1"/>
      <w:marLeft w:val="0"/>
      <w:marRight w:val="0"/>
      <w:marTop w:val="0"/>
      <w:marBottom w:val="0"/>
      <w:divBdr>
        <w:top w:val="none" w:sz="0" w:space="0" w:color="auto"/>
        <w:left w:val="none" w:sz="0" w:space="0" w:color="auto"/>
        <w:bottom w:val="none" w:sz="0" w:space="0" w:color="auto"/>
        <w:right w:val="none" w:sz="0" w:space="0" w:color="auto"/>
      </w:divBdr>
    </w:div>
    <w:div w:id="1959754665">
      <w:bodyDiv w:val="1"/>
      <w:marLeft w:val="0"/>
      <w:marRight w:val="0"/>
      <w:marTop w:val="0"/>
      <w:marBottom w:val="0"/>
      <w:divBdr>
        <w:top w:val="none" w:sz="0" w:space="0" w:color="auto"/>
        <w:left w:val="none" w:sz="0" w:space="0" w:color="auto"/>
        <w:bottom w:val="none" w:sz="0" w:space="0" w:color="auto"/>
        <w:right w:val="none" w:sz="0" w:space="0" w:color="auto"/>
      </w:divBdr>
    </w:div>
    <w:div w:id="1959793509">
      <w:bodyDiv w:val="1"/>
      <w:marLeft w:val="0"/>
      <w:marRight w:val="0"/>
      <w:marTop w:val="0"/>
      <w:marBottom w:val="0"/>
      <w:divBdr>
        <w:top w:val="none" w:sz="0" w:space="0" w:color="auto"/>
        <w:left w:val="none" w:sz="0" w:space="0" w:color="auto"/>
        <w:bottom w:val="none" w:sz="0" w:space="0" w:color="auto"/>
        <w:right w:val="none" w:sz="0" w:space="0" w:color="auto"/>
      </w:divBdr>
    </w:div>
    <w:div w:id="1960142567">
      <w:bodyDiv w:val="1"/>
      <w:marLeft w:val="0"/>
      <w:marRight w:val="0"/>
      <w:marTop w:val="0"/>
      <w:marBottom w:val="0"/>
      <w:divBdr>
        <w:top w:val="none" w:sz="0" w:space="0" w:color="auto"/>
        <w:left w:val="none" w:sz="0" w:space="0" w:color="auto"/>
        <w:bottom w:val="none" w:sz="0" w:space="0" w:color="auto"/>
        <w:right w:val="none" w:sz="0" w:space="0" w:color="auto"/>
      </w:divBdr>
    </w:div>
    <w:div w:id="1960256720">
      <w:bodyDiv w:val="1"/>
      <w:marLeft w:val="0"/>
      <w:marRight w:val="0"/>
      <w:marTop w:val="0"/>
      <w:marBottom w:val="0"/>
      <w:divBdr>
        <w:top w:val="none" w:sz="0" w:space="0" w:color="auto"/>
        <w:left w:val="none" w:sz="0" w:space="0" w:color="auto"/>
        <w:bottom w:val="none" w:sz="0" w:space="0" w:color="auto"/>
        <w:right w:val="none" w:sz="0" w:space="0" w:color="auto"/>
      </w:divBdr>
    </w:div>
    <w:div w:id="1960258526">
      <w:bodyDiv w:val="1"/>
      <w:marLeft w:val="0"/>
      <w:marRight w:val="0"/>
      <w:marTop w:val="0"/>
      <w:marBottom w:val="0"/>
      <w:divBdr>
        <w:top w:val="none" w:sz="0" w:space="0" w:color="auto"/>
        <w:left w:val="none" w:sz="0" w:space="0" w:color="auto"/>
        <w:bottom w:val="none" w:sz="0" w:space="0" w:color="auto"/>
        <w:right w:val="none" w:sz="0" w:space="0" w:color="auto"/>
      </w:divBdr>
    </w:div>
    <w:div w:id="1960447538">
      <w:bodyDiv w:val="1"/>
      <w:marLeft w:val="0"/>
      <w:marRight w:val="0"/>
      <w:marTop w:val="0"/>
      <w:marBottom w:val="0"/>
      <w:divBdr>
        <w:top w:val="none" w:sz="0" w:space="0" w:color="auto"/>
        <w:left w:val="none" w:sz="0" w:space="0" w:color="auto"/>
        <w:bottom w:val="none" w:sz="0" w:space="0" w:color="auto"/>
        <w:right w:val="none" w:sz="0" w:space="0" w:color="auto"/>
      </w:divBdr>
    </w:div>
    <w:div w:id="1960724844">
      <w:bodyDiv w:val="1"/>
      <w:marLeft w:val="0"/>
      <w:marRight w:val="0"/>
      <w:marTop w:val="0"/>
      <w:marBottom w:val="0"/>
      <w:divBdr>
        <w:top w:val="none" w:sz="0" w:space="0" w:color="auto"/>
        <w:left w:val="none" w:sz="0" w:space="0" w:color="auto"/>
        <w:bottom w:val="none" w:sz="0" w:space="0" w:color="auto"/>
        <w:right w:val="none" w:sz="0" w:space="0" w:color="auto"/>
      </w:divBdr>
    </w:div>
    <w:div w:id="1960793068">
      <w:bodyDiv w:val="1"/>
      <w:marLeft w:val="0"/>
      <w:marRight w:val="0"/>
      <w:marTop w:val="0"/>
      <w:marBottom w:val="0"/>
      <w:divBdr>
        <w:top w:val="none" w:sz="0" w:space="0" w:color="auto"/>
        <w:left w:val="none" w:sz="0" w:space="0" w:color="auto"/>
        <w:bottom w:val="none" w:sz="0" w:space="0" w:color="auto"/>
        <w:right w:val="none" w:sz="0" w:space="0" w:color="auto"/>
      </w:divBdr>
    </w:div>
    <w:div w:id="1960840722">
      <w:bodyDiv w:val="1"/>
      <w:marLeft w:val="0"/>
      <w:marRight w:val="0"/>
      <w:marTop w:val="0"/>
      <w:marBottom w:val="0"/>
      <w:divBdr>
        <w:top w:val="none" w:sz="0" w:space="0" w:color="auto"/>
        <w:left w:val="none" w:sz="0" w:space="0" w:color="auto"/>
        <w:bottom w:val="none" w:sz="0" w:space="0" w:color="auto"/>
        <w:right w:val="none" w:sz="0" w:space="0" w:color="auto"/>
      </w:divBdr>
    </w:div>
    <w:div w:id="1960913826">
      <w:bodyDiv w:val="1"/>
      <w:marLeft w:val="0"/>
      <w:marRight w:val="0"/>
      <w:marTop w:val="0"/>
      <w:marBottom w:val="0"/>
      <w:divBdr>
        <w:top w:val="none" w:sz="0" w:space="0" w:color="auto"/>
        <w:left w:val="none" w:sz="0" w:space="0" w:color="auto"/>
        <w:bottom w:val="none" w:sz="0" w:space="0" w:color="auto"/>
        <w:right w:val="none" w:sz="0" w:space="0" w:color="auto"/>
      </w:divBdr>
    </w:div>
    <w:div w:id="1960916679">
      <w:bodyDiv w:val="1"/>
      <w:marLeft w:val="0"/>
      <w:marRight w:val="0"/>
      <w:marTop w:val="0"/>
      <w:marBottom w:val="0"/>
      <w:divBdr>
        <w:top w:val="none" w:sz="0" w:space="0" w:color="auto"/>
        <w:left w:val="none" w:sz="0" w:space="0" w:color="auto"/>
        <w:bottom w:val="none" w:sz="0" w:space="0" w:color="auto"/>
        <w:right w:val="none" w:sz="0" w:space="0" w:color="auto"/>
      </w:divBdr>
    </w:div>
    <w:div w:id="1960985023">
      <w:bodyDiv w:val="1"/>
      <w:marLeft w:val="0"/>
      <w:marRight w:val="0"/>
      <w:marTop w:val="0"/>
      <w:marBottom w:val="0"/>
      <w:divBdr>
        <w:top w:val="none" w:sz="0" w:space="0" w:color="auto"/>
        <w:left w:val="none" w:sz="0" w:space="0" w:color="auto"/>
        <w:bottom w:val="none" w:sz="0" w:space="0" w:color="auto"/>
        <w:right w:val="none" w:sz="0" w:space="0" w:color="auto"/>
      </w:divBdr>
    </w:div>
    <w:div w:id="1961035470">
      <w:bodyDiv w:val="1"/>
      <w:marLeft w:val="0"/>
      <w:marRight w:val="0"/>
      <w:marTop w:val="0"/>
      <w:marBottom w:val="0"/>
      <w:divBdr>
        <w:top w:val="none" w:sz="0" w:space="0" w:color="auto"/>
        <w:left w:val="none" w:sz="0" w:space="0" w:color="auto"/>
        <w:bottom w:val="none" w:sz="0" w:space="0" w:color="auto"/>
        <w:right w:val="none" w:sz="0" w:space="0" w:color="auto"/>
      </w:divBdr>
    </w:div>
    <w:div w:id="1961254195">
      <w:bodyDiv w:val="1"/>
      <w:marLeft w:val="0"/>
      <w:marRight w:val="0"/>
      <w:marTop w:val="0"/>
      <w:marBottom w:val="0"/>
      <w:divBdr>
        <w:top w:val="none" w:sz="0" w:space="0" w:color="auto"/>
        <w:left w:val="none" w:sz="0" w:space="0" w:color="auto"/>
        <w:bottom w:val="none" w:sz="0" w:space="0" w:color="auto"/>
        <w:right w:val="none" w:sz="0" w:space="0" w:color="auto"/>
      </w:divBdr>
    </w:div>
    <w:div w:id="1961302854">
      <w:bodyDiv w:val="1"/>
      <w:marLeft w:val="0"/>
      <w:marRight w:val="0"/>
      <w:marTop w:val="0"/>
      <w:marBottom w:val="0"/>
      <w:divBdr>
        <w:top w:val="none" w:sz="0" w:space="0" w:color="auto"/>
        <w:left w:val="none" w:sz="0" w:space="0" w:color="auto"/>
        <w:bottom w:val="none" w:sz="0" w:space="0" w:color="auto"/>
        <w:right w:val="none" w:sz="0" w:space="0" w:color="auto"/>
      </w:divBdr>
    </w:div>
    <w:div w:id="1961374658">
      <w:bodyDiv w:val="1"/>
      <w:marLeft w:val="0"/>
      <w:marRight w:val="0"/>
      <w:marTop w:val="0"/>
      <w:marBottom w:val="0"/>
      <w:divBdr>
        <w:top w:val="none" w:sz="0" w:space="0" w:color="auto"/>
        <w:left w:val="none" w:sz="0" w:space="0" w:color="auto"/>
        <w:bottom w:val="none" w:sz="0" w:space="0" w:color="auto"/>
        <w:right w:val="none" w:sz="0" w:space="0" w:color="auto"/>
      </w:divBdr>
    </w:div>
    <w:div w:id="1961497112">
      <w:bodyDiv w:val="1"/>
      <w:marLeft w:val="0"/>
      <w:marRight w:val="0"/>
      <w:marTop w:val="0"/>
      <w:marBottom w:val="0"/>
      <w:divBdr>
        <w:top w:val="none" w:sz="0" w:space="0" w:color="auto"/>
        <w:left w:val="none" w:sz="0" w:space="0" w:color="auto"/>
        <w:bottom w:val="none" w:sz="0" w:space="0" w:color="auto"/>
        <w:right w:val="none" w:sz="0" w:space="0" w:color="auto"/>
      </w:divBdr>
    </w:div>
    <w:div w:id="1961641305">
      <w:bodyDiv w:val="1"/>
      <w:marLeft w:val="0"/>
      <w:marRight w:val="0"/>
      <w:marTop w:val="0"/>
      <w:marBottom w:val="0"/>
      <w:divBdr>
        <w:top w:val="none" w:sz="0" w:space="0" w:color="auto"/>
        <w:left w:val="none" w:sz="0" w:space="0" w:color="auto"/>
        <w:bottom w:val="none" w:sz="0" w:space="0" w:color="auto"/>
        <w:right w:val="none" w:sz="0" w:space="0" w:color="auto"/>
      </w:divBdr>
    </w:div>
    <w:div w:id="1961644701">
      <w:bodyDiv w:val="1"/>
      <w:marLeft w:val="0"/>
      <w:marRight w:val="0"/>
      <w:marTop w:val="0"/>
      <w:marBottom w:val="0"/>
      <w:divBdr>
        <w:top w:val="none" w:sz="0" w:space="0" w:color="auto"/>
        <w:left w:val="none" w:sz="0" w:space="0" w:color="auto"/>
        <w:bottom w:val="none" w:sz="0" w:space="0" w:color="auto"/>
        <w:right w:val="none" w:sz="0" w:space="0" w:color="auto"/>
      </w:divBdr>
    </w:div>
    <w:div w:id="1961691639">
      <w:bodyDiv w:val="1"/>
      <w:marLeft w:val="0"/>
      <w:marRight w:val="0"/>
      <w:marTop w:val="0"/>
      <w:marBottom w:val="0"/>
      <w:divBdr>
        <w:top w:val="none" w:sz="0" w:space="0" w:color="auto"/>
        <w:left w:val="none" w:sz="0" w:space="0" w:color="auto"/>
        <w:bottom w:val="none" w:sz="0" w:space="0" w:color="auto"/>
        <w:right w:val="none" w:sz="0" w:space="0" w:color="auto"/>
      </w:divBdr>
    </w:div>
    <w:div w:id="1961913303">
      <w:bodyDiv w:val="1"/>
      <w:marLeft w:val="0"/>
      <w:marRight w:val="0"/>
      <w:marTop w:val="0"/>
      <w:marBottom w:val="0"/>
      <w:divBdr>
        <w:top w:val="none" w:sz="0" w:space="0" w:color="auto"/>
        <w:left w:val="none" w:sz="0" w:space="0" w:color="auto"/>
        <w:bottom w:val="none" w:sz="0" w:space="0" w:color="auto"/>
        <w:right w:val="none" w:sz="0" w:space="0" w:color="auto"/>
      </w:divBdr>
    </w:div>
    <w:div w:id="1961958167">
      <w:bodyDiv w:val="1"/>
      <w:marLeft w:val="0"/>
      <w:marRight w:val="0"/>
      <w:marTop w:val="0"/>
      <w:marBottom w:val="0"/>
      <w:divBdr>
        <w:top w:val="none" w:sz="0" w:space="0" w:color="auto"/>
        <w:left w:val="none" w:sz="0" w:space="0" w:color="auto"/>
        <w:bottom w:val="none" w:sz="0" w:space="0" w:color="auto"/>
        <w:right w:val="none" w:sz="0" w:space="0" w:color="auto"/>
      </w:divBdr>
    </w:div>
    <w:div w:id="1962148306">
      <w:bodyDiv w:val="1"/>
      <w:marLeft w:val="0"/>
      <w:marRight w:val="0"/>
      <w:marTop w:val="0"/>
      <w:marBottom w:val="0"/>
      <w:divBdr>
        <w:top w:val="none" w:sz="0" w:space="0" w:color="auto"/>
        <w:left w:val="none" w:sz="0" w:space="0" w:color="auto"/>
        <w:bottom w:val="none" w:sz="0" w:space="0" w:color="auto"/>
        <w:right w:val="none" w:sz="0" w:space="0" w:color="auto"/>
      </w:divBdr>
    </w:div>
    <w:div w:id="1962227815">
      <w:bodyDiv w:val="1"/>
      <w:marLeft w:val="0"/>
      <w:marRight w:val="0"/>
      <w:marTop w:val="0"/>
      <w:marBottom w:val="0"/>
      <w:divBdr>
        <w:top w:val="none" w:sz="0" w:space="0" w:color="auto"/>
        <w:left w:val="none" w:sz="0" w:space="0" w:color="auto"/>
        <w:bottom w:val="none" w:sz="0" w:space="0" w:color="auto"/>
        <w:right w:val="none" w:sz="0" w:space="0" w:color="auto"/>
      </w:divBdr>
    </w:div>
    <w:div w:id="1962345668">
      <w:bodyDiv w:val="1"/>
      <w:marLeft w:val="0"/>
      <w:marRight w:val="0"/>
      <w:marTop w:val="0"/>
      <w:marBottom w:val="0"/>
      <w:divBdr>
        <w:top w:val="none" w:sz="0" w:space="0" w:color="auto"/>
        <w:left w:val="none" w:sz="0" w:space="0" w:color="auto"/>
        <w:bottom w:val="none" w:sz="0" w:space="0" w:color="auto"/>
        <w:right w:val="none" w:sz="0" w:space="0" w:color="auto"/>
      </w:divBdr>
    </w:div>
    <w:div w:id="1962370810">
      <w:bodyDiv w:val="1"/>
      <w:marLeft w:val="0"/>
      <w:marRight w:val="0"/>
      <w:marTop w:val="0"/>
      <w:marBottom w:val="0"/>
      <w:divBdr>
        <w:top w:val="none" w:sz="0" w:space="0" w:color="auto"/>
        <w:left w:val="none" w:sz="0" w:space="0" w:color="auto"/>
        <w:bottom w:val="none" w:sz="0" w:space="0" w:color="auto"/>
        <w:right w:val="none" w:sz="0" w:space="0" w:color="auto"/>
      </w:divBdr>
    </w:div>
    <w:div w:id="1962415335">
      <w:bodyDiv w:val="1"/>
      <w:marLeft w:val="0"/>
      <w:marRight w:val="0"/>
      <w:marTop w:val="0"/>
      <w:marBottom w:val="0"/>
      <w:divBdr>
        <w:top w:val="none" w:sz="0" w:space="0" w:color="auto"/>
        <w:left w:val="none" w:sz="0" w:space="0" w:color="auto"/>
        <w:bottom w:val="none" w:sz="0" w:space="0" w:color="auto"/>
        <w:right w:val="none" w:sz="0" w:space="0" w:color="auto"/>
      </w:divBdr>
    </w:div>
    <w:div w:id="1962494722">
      <w:bodyDiv w:val="1"/>
      <w:marLeft w:val="0"/>
      <w:marRight w:val="0"/>
      <w:marTop w:val="0"/>
      <w:marBottom w:val="0"/>
      <w:divBdr>
        <w:top w:val="none" w:sz="0" w:space="0" w:color="auto"/>
        <w:left w:val="none" w:sz="0" w:space="0" w:color="auto"/>
        <w:bottom w:val="none" w:sz="0" w:space="0" w:color="auto"/>
        <w:right w:val="none" w:sz="0" w:space="0" w:color="auto"/>
      </w:divBdr>
    </w:div>
    <w:div w:id="1962565605">
      <w:bodyDiv w:val="1"/>
      <w:marLeft w:val="0"/>
      <w:marRight w:val="0"/>
      <w:marTop w:val="0"/>
      <w:marBottom w:val="0"/>
      <w:divBdr>
        <w:top w:val="none" w:sz="0" w:space="0" w:color="auto"/>
        <w:left w:val="none" w:sz="0" w:space="0" w:color="auto"/>
        <w:bottom w:val="none" w:sz="0" w:space="0" w:color="auto"/>
        <w:right w:val="none" w:sz="0" w:space="0" w:color="auto"/>
      </w:divBdr>
    </w:div>
    <w:div w:id="1962762305">
      <w:bodyDiv w:val="1"/>
      <w:marLeft w:val="0"/>
      <w:marRight w:val="0"/>
      <w:marTop w:val="0"/>
      <w:marBottom w:val="0"/>
      <w:divBdr>
        <w:top w:val="none" w:sz="0" w:space="0" w:color="auto"/>
        <w:left w:val="none" w:sz="0" w:space="0" w:color="auto"/>
        <w:bottom w:val="none" w:sz="0" w:space="0" w:color="auto"/>
        <w:right w:val="none" w:sz="0" w:space="0" w:color="auto"/>
      </w:divBdr>
    </w:div>
    <w:div w:id="1962766038">
      <w:bodyDiv w:val="1"/>
      <w:marLeft w:val="0"/>
      <w:marRight w:val="0"/>
      <w:marTop w:val="0"/>
      <w:marBottom w:val="0"/>
      <w:divBdr>
        <w:top w:val="none" w:sz="0" w:space="0" w:color="auto"/>
        <w:left w:val="none" w:sz="0" w:space="0" w:color="auto"/>
        <w:bottom w:val="none" w:sz="0" w:space="0" w:color="auto"/>
        <w:right w:val="none" w:sz="0" w:space="0" w:color="auto"/>
      </w:divBdr>
    </w:div>
    <w:div w:id="1962876874">
      <w:bodyDiv w:val="1"/>
      <w:marLeft w:val="0"/>
      <w:marRight w:val="0"/>
      <w:marTop w:val="0"/>
      <w:marBottom w:val="0"/>
      <w:divBdr>
        <w:top w:val="none" w:sz="0" w:space="0" w:color="auto"/>
        <w:left w:val="none" w:sz="0" w:space="0" w:color="auto"/>
        <w:bottom w:val="none" w:sz="0" w:space="0" w:color="auto"/>
        <w:right w:val="none" w:sz="0" w:space="0" w:color="auto"/>
      </w:divBdr>
    </w:div>
    <w:div w:id="1963030040">
      <w:bodyDiv w:val="1"/>
      <w:marLeft w:val="0"/>
      <w:marRight w:val="0"/>
      <w:marTop w:val="0"/>
      <w:marBottom w:val="0"/>
      <w:divBdr>
        <w:top w:val="none" w:sz="0" w:space="0" w:color="auto"/>
        <w:left w:val="none" w:sz="0" w:space="0" w:color="auto"/>
        <w:bottom w:val="none" w:sz="0" w:space="0" w:color="auto"/>
        <w:right w:val="none" w:sz="0" w:space="0" w:color="auto"/>
      </w:divBdr>
    </w:div>
    <w:div w:id="1963068746">
      <w:bodyDiv w:val="1"/>
      <w:marLeft w:val="0"/>
      <w:marRight w:val="0"/>
      <w:marTop w:val="0"/>
      <w:marBottom w:val="0"/>
      <w:divBdr>
        <w:top w:val="none" w:sz="0" w:space="0" w:color="auto"/>
        <w:left w:val="none" w:sz="0" w:space="0" w:color="auto"/>
        <w:bottom w:val="none" w:sz="0" w:space="0" w:color="auto"/>
        <w:right w:val="none" w:sz="0" w:space="0" w:color="auto"/>
      </w:divBdr>
    </w:div>
    <w:div w:id="1963072491">
      <w:bodyDiv w:val="1"/>
      <w:marLeft w:val="0"/>
      <w:marRight w:val="0"/>
      <w:marTop w:val="0"/>
      <w:marBottom w:val="0"/>
      <w:divBdr>
        <w:top w:val="none" w:sz="0" w:space="0" w:color="auto"/>
        <w:left w:val="none" w:sz="0" w:space="0" w:color="auto"/>
        <w:bottom w:val="none" w:sz="0" w:space="0" w:color="auto"/>
        <w:right w:val="none" w:sz="0" w:space="0" w:color="auto"/>
      </w:divBdr>
    </w:div>
    <w:div w:id="1963144250">
      <w:bodyDiv w:val="1"/>
      <w:marLeft w:val="0"/>
      <w:marRight w:val="0"/>
      <w:marTop w:val="0"/>
      <w:marBottom w:val="0"/>
      <w:divBdr>
        <w:top w:val="none" w:sz="0" w:space="0" w:color="auto"/>
        <w:left w:val="none" w:sz="0" w:space="0" w:color="auto"/>
        <w:bottom w:val="none" w:sz="0" w:space="0" w:color="auto"/>
        <w:right w:val="none" w:sz="0" w:space="0" w:color="auto"/>
      </w:divBdr>
    </w:div>
    <w:div w:id="1963149526">
      <w:bodyDiv w:val="1"/>
      <w:marLeft w:val="0"/>
      <w:marRight w:val="0"/>
      <w:marTop w:val="0"/>
      <w:marBottom w:val="0"/>
      <w:divBdr>
        <w:top w:val="none" w:sz="0" w:space="0" w:color="auto"/>
        <w:left w:val="none" w:sz="0" w:space="0" w:color="auto"/>
        <w:bottom w:val="none" w:sz="0" w:space="0" w:color="auto"/>
        <w:right w:val="none" w:sz="0" w:space="0" w:color="auto"/>
      </w:divBdr>
    </w:div>
    <w:div w:id="1963152454">
      <w:bodyDiv w:val="1"/>
      <w:marLeft w:val="0"/>
      <w:marRight w:val="0"/>
      <w:marTop w:val="0"/>
      <w:marBottom w:val="0"/>
      <w:divBdr>
        <w:top w:val="none" w:sz="0" w:space="0" w:color="auto"/>
        <w:left w:val="none" w:sz="0" w:space="0" w:color="auto"/>
        <w:bottom w:val="none" w:sz="0" w:space="0" w:color="auto"/>
        <w:right w:val="none" w:sz="0" w:space="0" w:color="auto"/>
      </w:divBdr>
    </w:div>
    <w:div w:id="1963223612">
      <w:bodyDiv w:val="1"/>
      <w:marLeft w:val="0"/>
      <w:marRight w:val="0"/>
      <w:marTop w:val="0"/>
      <w:marBottom w:val="0"/>
      <w:divBdr>
        <w:top w:val="none" w:sz="0" w:space="0" w:color="auto"/>
        <w:left w:val="none" w:sz="0" w:space="0" w:color="auto"/>
        <w:bottom w:val="none" w:sz="0" w:space="0" w:color="auto"/>
        <w:right w:val="none" w:sz="0" w:space="0" w:color="auto"/>
      </w:divBdr>
    </w:div>
    <w:div w:id="1963536754">
      <w:bodyDiv w:val="1"/>
      <w:marLeft w:val="0"/>
      <w:marRight w:val="0"/>
      <w:marTop w:val="0"/>
      <w:marBottom w:val="0"/>
      <w:divBdr>
        <w:top w:val="none" w:sz="0" w:space="0" w:color="auto"/>
        <w:left w:val="none" w:sz="0" w:space="0" w:color="auto"/>
        <w:bottom w:val="none" w:sz="0" w:space="0" w:color="auto"/>
        <w:right w:val="none" w:sz="0" w:space="0" w:color="auto"/>
      </w:divBdr>
    </w:div>
    <w:div w:id="1963683229">
      <w:bodyDiv w:val="1"/>
      <w:marLeft w:val="0"/>
      <w:marRight w:val="0"/>
      <w:marTop w:val="0"/>
      <w:marBottom w:val="0"/>
      <w:divBdr>
        <w:top w:val="none" w:sz="0" w:space="0" w:color="auto"/>
        <w:left w:val="none" w:sz="0" w:space="0" w:color="auto"/>
        <w:bottom w:val="none" w:sz="0" w:space="0" w:color="auto"/>
        <w:right w:val="none" w:sz="0" w:space="0" w:color="auto"/>
      </w:divBdr>
    </w:div>
    <w:div w:id="1963725773">
      <w:bodyDiv w:val="1"/>
      <w:marLeft w:val="0"/>
      <w:marRight w:val="0"/>
      <w:marTop w:val="0"/>
      <w:marBottom w:val="0"/>
      <w:divBdr>
        <w:top w:val="none" w:sz="0" w:space="0" w:color="auto"/>
        <w:left w:val="none" w:sz="0" w:space="0" w:color="auto"/>
        <w:bottom w:val="none" w:sz="0" w:space="0" w:color="auto"/>
        <w:right w:val="none" w:sz="0" w:space="0" w:color="auto"/>
      </w:divBdr>
    </w:div>
    <w:div w:id="1963923204">
      <w:bodyDiv w:val="1"/>
      <w:marLeft w:val="0"/>
      <w:marRight w:val="0"/>
      <w:marTop w:val="0"/>
      <w:marBottom w:val="0"/>
      <w:divBdr>
        <w:top w:val="none" w:sz="0" w:space="0" w:color="auto"/>
        <w:left w:val="none" w:sz="0" w:space="0" w:color="auto"/>
        <w:bottom w:val="none" w:sz="0" w:space="0" w:color="auto"/>
        <w:right w:val="none" w:sz="0" w:space="0" w:color="auto"/>
      </w:divBdr>
    </w:div>
    <w:div w:id="1964075787">
      <w:bodyDiv w:val="1"/>
      <w:marLeft w:val="0"/>
      <w:marRight w:val="0"/>
      <w:marTop w:val="0"/>
      <w:marBottom w:val="0"/>
      <w:divBdr>
        <w:top w:val="none" w:sz="0" w:space="0" w:color="auto"/>
        <w:left w:val="none" w:sz="0" w:space="0" w:color="auto"/>
        <w:bottom w:val="none" w:sz="0" w:space="0" w:color="auto"/>
        <w:right w:val="none" w:sz="0" w:space="0" w:color="auto"/>
      </w:divBdr>
    </w:div>
    <w:div w:id="1964076605">
      <w:bodyDiv w:val="1"/>
      <w:marLeft w:val="0"/>
      <w:marRight w:val="0"/>
      <w:marTop w:val="0"/>
      <w:marBottom w:val="0"/>
      <w:divBdr>
        <w:top w:val="none" w:sz="0" w:space="0" w:color="auto"/>
        <w:left w:val="none" w:sz="0" w:space="0" w:color="auto"/>
        <w:bottom w:val="none" w:sz="0" w:space="0" w:color="auto"/>
        <w:right w:val="none" w:sz="0" w:space="0" w:color="auto"/>
      </w:divBdr>
    </w:div>
    <w:div w:id="1964116566">
      <w:bodyDiv w:val="1"/>
      <w:marLeft w:val="0"/>
      <w:marRight w:val="0"/>
      <w:marTop w:val="0"/>
      <w:marBottom w:val="0"/>
      <w:divBdr>
        <w:top w:val="none" w:sz="0" w:space="0" w:color="auto"/>
        <w:left w:val="none" w:sz="0" w:space="0" w:color="auto"/>
        <w:bottom w:val="none" w:sz="0" w:space="0" w:color="auto"/>
        <w:right w:val="none" w:sz="0" w:space="0" w:color="auto"/>
      </w:divBdr>
    </w:div>
    <w:div w:id="1964380944">
      <w:bodyDiv w:val="1"/>
      <w:marLeft w:val="0"/>
      <w:marRight w:val="0"/>
      <w:marTop w:val="0"/>
      <w:marBottom w:val="0"/>
      <w:divBdr>
        <w:top w:val="none" w:sz="0" w:space="0" w:color="auto"/>
        <w:left w:val="none" w:sz="0" w:space="0" w:color="auto"/>
        <w:bottom w:val="none" w:sz="0" w:space="0" w:color="auto"/>
        <w:right w:val="none" w:sz="0" w:space="0" w:color="auto"/>
      </w:divBdr>
    </w:div>
    <w:div w:id="1964575021">
      <w:bodyDiv w:val="1"/>
      <w:marLeft w:val="0"/>
      <w:marRight w:val="0"/>
      <w:marTop w:val="0"/>
      <w:marBottom w:val="0"/>
      <w:divBdr>
        <w:top w:val="none" w:sz="0" w:space="0" w:color="auto"/>
        <w:left w:val="none" w:sz="0" w:space="0" w:color="auto"/>
        <w:bottom w:val="none" w:sz="0" w:space="0" w:color="auto"/>
        <w:right w:val="none" w:sz="0" w:space="0" w:color="auto"/>
      </w:divBdr>
    </w:div>
    <w:div w:id="1964725592">
      <w:bodyDiv w:val="1"/>
      <w:marLeft w:val="0"/>
      <w:marRight w:val="0"/>
      <w:marTop w:val="0"/>
      <w:marBottom w:val="0"/>
      <w:divBdr>
        <w:top w:val="none" w:sz="0" w:space="0" w:color="auto"/>
        <w:left w:val="none" w:sz="0" w:space="0" w:color="auto"/>
        <w:bottom w:val="none" w:sz="0" w:space="0" w:color="auto"/>
        <w:right w:val="none" w:sz="0" w:space="0" w:color="auto"/>
      </w:divBdr>
    </w:div>
    <w:div w:id="1964844968">
      <w:bodyDiv w:val="1"/>
      <w:marLeft w:val="0"/>
      <w:marRight w:val="0"/>
      <w:marTop w:val="0"/>
      <w:marBottom w:val="0"/>
      <w:divBdr>
        <w:top w:val="none" w:sz="0" w:space="0" w:color="auto"/>
        <w:left w:val="none" w:sz="0" w:space="0" w:color="auto"/>
        <w:bottom w:val="none" w:sz="0" w:space="0" w:color="auto"/>
        <w:right w:val="none" w:sz="0" w:space="0" w:color="auto"/>
      </w:divBdr>
    </w:div>
    <w:div w:id="1964850203">
      <w:bodyDiv w:val="1"/>
      <w:marLeft w:val="0"/>
      <w:marRight w:val="0"/>
      <w:marTop w:val="0"/>
      <w:marBottom w:val="0"/>
      <w:divBdr>
        <w:top w:val="none" w:sz="0" w:space="0" w:color="auto"/>
        <w:left w:val="none" w:sz="0" w:space="0" w:color="auto"/>
        <w:bottom w:val="none" w:sz="0" w:space="0" w:color="auto"/>
        <w:right w:val="none" w:sz="0" w:space="0" w:color="auto"/>
      </w:divBdr>
    </w:div>
    <w:div w:id="1964995683">
      <w:bodyDiv w:val="1"/>
      <w:marLeft w:val="0"/>
      <w:marRight w:val="0"/>
      <w:marTop w:val="0"/>
      <w:marBottom w:val="0"/>
      <w:divBdr>
        <w:top w:val="none" w:sz="0" w:space="0" w:color="auto"/>
        <w:left w:val="none" w:sz="0" w:space="0" w:color="auto"/>
        <w:bottom w:val="none" w:sz="0" w:space="0" w:color="auto"/>
        <w:right w:val="none" w:sz="0" w:space="0" w:color="auto"/>
      </w:divBdr>
    </w:div>
    <w:div w:id="1965043649">
      <w:bodyDiv w:val="1"/>
      <w:marLeft w:val="0"/>
      <w:marRight w:val="0"/>
      <w:marTop w:val="0"/>
      <w:marBottom w:val="0"/>
      <w:divBdr>
        <w:top w:val="none" w:sz="0" w:space="0" w:color="auto"/>
        <w:left w:val="none" w:sz="0" w:space="0" w:color="auto"/>
        <w:bottom w:val="none" w:sz="0" w:space="0" w:color="auto"/>
        <w:right w:val="none" w:sz="0" w:space="0" w:color="auto"/>
      </w:divBdr>
    </w:div>
    <w:div w:id="1965194426">
      <w:bodyDiv w:val="1"/>
      <w:marLeft w:val="0"/>
      <w:marRight w:val="0"/>
      <w:marTop w:val="0"/>
      <w:marBottom w:val="0"/>
      <w:divBdr>
        <w:top w:val="none" w:sz="0" w:space="0" w:color="auto"/>
        <w:left w:val="none" w:sz="0" w:space="0" w:color="auto"/>
        <w:bottom w:val="none" w:sz="0" w:space="0" w:color="auto"/>
        <w:right w:val="none" w:sz="0" w:space="0" w:color="auto"/>
      </w:divBdr>
    </w:div>
    <w:div w:id="1965230833">
      <w:bodyDiv w:val="1"/>
      <w:marLeft w:val="0"/>
      <w:marRight w:val="0"/>
      <w:marTop w:val="0"/>
      <w:marBottom w:val="0"/>
      <w:divBdr>
        <w:top w:val="none" w:sz="0" w:space="0" w:color="auto"/>
        <w:left w:val="none" w:sz="0" w:space="0" w:color="auto"/>
        <w:bottom w:val="none" w:sz="0" w:space="0" w:color="auto"/>
        <w:right w:val="none" w:sz="0" w:space="0" w:color="auto"/>
      </w:divBdr>
    </w:div>
    <w:div w:id="1965233556">
      <w:bodyDiv w:val="1"/>
      <w:marLeft w:val="0"/>
      <w:marRight w:val="0"/>
      <w:marTop w:val="0"/>
      <w:marBottom w:val="0"/>
      <w:divBdr>
        <w:top w:val="none" w:sz="0" w:space="0" w:color="auto"/>
        <w:left w:val="none" w:sz="0" w:space="0" w:color="auto"/>
        <w:bottom w:val="none" w:sz="0" w:space="0" w:color="auto"/>
        <w:right w:val="none" w:sz="0" w:space="0" w:color="auto"/>
      </w:divBdr>
    </w:div>
    <w:div w:id="1965235788">
      <w:bodyDiv w:val="1"/>
      <w:marLeft w:val="0"/>
      <w:marRight w:val="0"/>
      <w:marTop w:val="0"/>
      <w:marBottom w:val="0"/>
      <w:divBdr>
        <w:top w:val="none" w:sz="0" w:space="0" w:color="auto"/>
        <w:left w:val="none" w:sz="0" w:space="0" w:color="auto"/>
        <w:bottom w:val="none" w:sz="0" w:space="0" w:color="auto"/>
        <w:right w:val="none" w:sz="0" w:space="0" w:color="auto"/>
      </w:divBdr>
    </w:div>
    <w:div w:id="1965304406">
      <w:bodyDiv w:val="1"/>
      <w:marLeft w:val="0"/>
      <w:marRight w:val="0"/>
      <w:marTop w:val="0"/>
      <w:marBottom w:val="0"/>
      <w:divBdr>
        <w:top w:val="none" w:sz="0" w:space="0" w:color="auto"/>
        <w:left w:val="none" w:sz="0" w:space="0" w:color="auto"/>
        <w:bottom w:val="none" w:sz="0" w:space="0" w:color="auto"/>
        <w:right w:val="none" w:sz="0" w:space="0" w:color="auto"/>
      </w:divBdr>
    </w:div>
    <w:div w:id="1965306555">
      <w:bodyDiv w:val="1"/>
      <w:marLeft w:val="0"/>
      <w:marRight w:val="0"/>
      <w:marTop w:val="0"/>
      <w:marBottom w:val="0"/>
      <w:divBdr>
        <w:top w:val="none" w:sz="0" w:space="0" w:color="auto"/>
        <w:left w:val="none" w:sz="0" w:space="0" w:color="auto"/>
        <w:bottom w:val="none" w:sz="0" w:space="0" w:color="auto"/>
        <w:right w:val="none" w:sz="0" w:space="0" w:color="auto"/>
      </w:divBdr>
    </w:div>
    <w:div w:id="1965310029">
      <w:bodyDiv w:val="1"/>
      <w:marLeft w:val="0"/>
      <w:marRight w:val="0"/>
      <w:marTop w:val="0"/>
      <w:marBottom w:val="0"/>
      <w:divBdr>
        <w:top w:val="none" w:sz="0" w:space="0" w:color="auto"/>
        <w:left w:val="none" w:sz="0" w:space="0" w:color="auto"/>
        <w:bottom w:val="none" w:sz="0" w:space="0" w:color="auto"/>
        <w:right w:val="none" w:sz="0" w:space="0" w:color="auto"/>
      </w:divBdr>
    </w:div>
    <w:div w:id="1965425893">
      <w:bodyDiv w:val="1"/>
      <w:marLeft w:val="0"/>
      <w:marRight w:val="0"/>
      <w:marTop w:val="0"/>
      <w:marBottom w:val="0"/>
      <w:divBdr>
        <w:top w:val="none" w:sz="0" w:space="0" w:color="auto"/>
        <w:left w:val="none" w:sz="0" w:space="0" w:color="auto"/>
        <w:bottom w:val="none" w:sz="0" w:space="0" w:color="auto"/>
        <w:right w:val="none" w:sz="0" w:space="0" w:color="auto"/>
      </w:divBdr>
    </w:div>
    <w:div w:id="1965453810">
      <w:bodyDiv w:val="1"/>
      <w:marLeft w:val="0"/>
      <w:marRight w:val="0"/>
      <w:marTop w:val="0"/>
      <w:marBottom w:val="0"/>
      <w:divBdr>
        <w:top w:val="none" w:sz="0" w:space="0" w:color="auto"/>
        <w:left w:val="none" w:sz="0" w:space="0" w:color="auto"/>
        <w:bottom w:val="none" w:sz="0" w:space="0" w:color="auto"/>
        <w:right w:val="none" w:sz="0" w:space="0" w:color="auto"/>
      </w:divBdr>
    </w:div>
    <w:div w:id="1965580820">
      <w:bodyDiv w:val="1"/>
      <w:marLeft w:val="0"/>
      <w:marRight w:val="0"/>
      <w:marTop w:val="0"/>
      <w:marBottom w:val="0"/>
      <w:divBdr>
        <w:top w:val="none" w:sz="0" w:space="0" w:color="auto"/>
        <w:left w:val="none" w:sz="0" w:space="0" w:color="auto"/>
        <w:bottom w:val="none" w:sz="0" w:space="0" w:color="auto"/>
        <w:right w:val="none" w:sz="0" w:space="0" w:color="auto"/>
      </w:divBdr>
    </w:div>
    <w:div w:id="1965689505">
      <w:bodyDiv w:val="1"/>
      <w:marLeft w:val="0"/>
      <w:marRight w:val="0"/>
      <w:marTop w:val="0"/>
      <w:marBottom w:val="0"/>
      <w:divBdr>
        <w:top w:val="none" w:sz="0" w:space="0" w:color="auto"/>
        <w:left w:val="none" w:sz="0" w:space="0" w:color="auto"/>
        <w:bottom w:val="none" w:sz="0" w:space="0" w:color="auto"/>
        <w:right w:val="none" w:sz="0" w:space="0" w:color="auto"/>
      </w:divBdr>
    </w:div>
    <w:div w:id="1965844262">
      <w:bodyDiv w:val="1"/>
      <w:marLeft w:val="0"/>
      <w:marRight w:val="0"/>
      <w:marTop w:val="0"/>
      <w:marBottom w:val="0"/>
      <w:divBdr>
        <w:top w:val="none" w:sz="0" w:space="0" w:color="auto"/>
        <w:left w:val="none" w:sz="0" w:space="0" w:color="auto"/>
        <w:bottom w:val="none" w:sz="0" w:space="0" w:color="auto"/>
        <w:right w:val="none" w:sz="0" w:space="0" w:color="auto"/>
      </w:divBdr>
    </w:div>
    <w:div w:id="1965887267">
      <w:bodyDiv w:val="1"/>
      <w:marLeft w:val="0"/>
      <w:marRight w:val="0"/>
      <w:marTop w:val="0"/>
      <w:marBottom w:val="0"/>
      <w:divBdr>
        <w:top w:val="none" w:sz="0" w:space="0" w:color="auto"/>
        <w:left w:val="none" w:sz="0" w:space="0" w:color="auto"/>
        <w:bottom w:val="none" w:sz="0" w:space="0" w:color="auto"/>
        <w:right w:val="none" w:sz="0" w:space="0" w:color="auto"/>
      </w:divBdr>
    </w:div>
    <w:div w:id="1965960429">
      <w:bodyDiv w:val="1"/>
      <w:marLeft w:val="0"/>
      <w:marRight w:val="0"/>
      <w:marTop w:val="0"/>
      <w:marBottom w:val="0"/>
      <w:divBdr>
        <w:top w:val="none" w:sz="0" w:space="0" w:color="auto"/>
        <w:left w:val="none" w:sz="0" w:space="0" w:color="auto"/>
        <w:bottom w:val="none" w:sz="0" w:space="0" w:color="auto"/>
        <w:right w:val="none" w:sz="0" w:space="0" w:color="auto"/>
      </w:divBdr>
    </w:div>
    <w:div w:id="1965960901">
      <w:bodyDiv w:val="1"/>
      <w:marLeft w:val="0"/>
      <w:marRight w:val="0"/>
      <w:marTop w:val="0"/>
      <w:marBottom w:val="0"/>
      <w:divBdr>
        <w:top w:val="none" w:sz="0" w:space="0" w:color="auto"/>
        <w:left w:val="none" w:sz="0" w:space="0" w:color="auto"/>
        <w:bottom w:val="none" w:sz="0" w:space="0" w:color="auto"/>
        <w:right w:val="none" w:sz="0" w:space="0" w:color="auto"/>
      </w:divBdr>
    </w:div>
    <w:div w:id="1966085051">
      <w:bodyDiv w:val="1"/>
      <w:marLeft w:val="0"/>
      <w:marRight w:val="0"/>
      <w:marTop w:val="0"/>
      <w:marBottom w:val="0"/>
      <w:divBdr>
        <w:top w:val="none" w:sz="0" w:space="0" w:color="auto"/>
        <w:left w:val="none" w:sz="0" w:space="0" w:color="auto"/>
        <w:bottom w:val="none" w:sz="0" w:space="0" w:color="auto"/>
        <w:right w:val="none" w:sz="0" w:space="0" w:color="auto"/>
      </w:divBdr>
    </w:div>
    <w:div w:id="1966110547">
      <w:bodyDiv w:val="1"/>
      <w:marLeft w:val="0"/>
      <w:marRight w:val="0"/>
      <w:marTop w:val="0"/>
      <w:marBottom w:val="0"/>
      <w:divBdr>
        <w:top w:val="none" w:sz="0" w:space="0" w:color="auto"/>
        <w:left w:val="none" w:sz="0" w:space="0" w:color="auto"/>
        <w:bottom w:val="none" w:sz="0" w:space="0" w:color="auto"/>
        <w:right w:val="none" w:sz="0" w:space="0" w:color="auto"/>
      </w:divBdr>
    </w:div>
    <w:div w:id="1966159422">
      <w:bodyDiv w:val="1"/>
      <w:marLeft w:val="0"/>
      <w:marRight w:val="0"/>
      <w:marTop w:val="0"/>
      <w:marBottom w:val="0"/>
      <w:divBdr>
        <w:top w:val="none" w:sz="0" w:space="0" w:color="auto"/>
        <w:left w:val="none" w:sz="0" w:space="0" w:color="auto"/>
        <w:bottom w:val="none" w:sz="0" w:space="0" w:color="auto"/>
        <w:right w:val="none" w:sz="0" w:space="0" w:color="auto"/>
      </w:divBdr>
    </w:div>
    <w:div w:id="1966236161">
      <w:bodyDiv w:val="1"/>
      <w:marLeft w:val="0"/>
      <w:marRight w:val="0"/>
      <w:marTop w:val="0"/>
      <w:marBottom w:val="0"/>
      <w:divBdr>
        <w:top w:val="none" w:sz="0" w:space="0" w:color="auto"/>
        <w:left w:val="none" w:sz="0" w:space="0" w:color="auto"/>
        <w:bottom w:val="none" w:sz="0" w:space="0" w:color="auto"/>
        <w:right w:val="none" w:sz="0" w:space="0" w:color="auto"/>
      </w:divBdr>
    </w:div>
    <w:div w:id="1966276851">
      <w:bodyDiv w:val="1"/>
      <w:marLeft w:val="0"/>
      <w:marRight w:val="0"/>
      <w:marTop w:val="0"/>
      <w:marBottom w:val="0"/>
      <w:divBdr>
        <w:top w:val="none" w:sz="0" w:space="0" w:color="auto"/>
        <w:left w:val="none" w:sz="0" w:space="0" w:color="auto"/>
        <w:bottom w:val="none" w:sz="0" w:space="0" w:color="auto"/>
        <w:right w:val="none" w:sz="0" w:space="0" w:color="auto"/>
      </w:divBdr>
    </w:div>
    <w:div w:id="1966304344">
      <w:bodyDiv w:val="1"/>
      <w:marLeft w:val="0"/>
      <w:marRight w:val="0"/>
      <w:marTop w:val="0"/>
      <w:marBottom w:val="0"/>
      <w:divBdr>
        <w:top w:val="none" w:sz="0" w:space="0" w:color="auto"/>
        <w:left w:val="none" w:sz="0" w:space="0" w:color="auto"/>
        <w:bottom w:val="none" w:sz="0" w:space="0" w:color="auto"/>
        <w:right w:val="none" w:sz="0" w:space="0" w:color="auto"/>
      </w:divBdr>
    </w:div>
    <w:div w:id="1966345753">
      <w:bodyDiv w:val="1"/>
      <w:marLeft w:val="0"/>
      <w:marRight w:val="0"/>
      <w:marTop w:val="0"/>
      <w:marBottom w:val="0"/>
      <w:divBdr>
        <w:top w:val="none" w:sz="0" w:space="0" w:color="auto"/>
        <w:left w:val="none" w:sz="0" w:space="0" w:color="auto"/>
        <w:bottom w:val="none" w:sz="0" w:space="0" w:color="auto"/>
        <w:right w:val="none" w:sz="0" w:space="0" w:color="auto"/>
      </w:divBdr>
    </w:div>
    <w:div w:id="1966426450">
      <w:bodyDiv w:val="1"/>
      <w:marLeft w:val="0"/>
      <w:marRight w:val="0"/>
      <w:marTop w:val="0"/>
      <w:marBottom w:val="0"/>
      <w:divBdr>
        <w:top w:val="none" w:sz="0" w:space="0" w:color="auto"/>
        <w:left w:val="none" w:sz="0" w:space="0" w:color="auto"/>
        <w:bottom w:val="none" w:sz="0" w:space="0" w:color="auto"/>
        <w:right w:val="none" w:sz="0" w:space="0" w:color="auto"/>
      </w:divBdr>
    </w:div>
    <w:div w:id="1966429203">
      <w:bodyDiv w:val="1"/>
      <w:marLeft w:val="0"/>
      <w:marRight w:val="0"/>
      <w:marTop w:val="0"/>
      <w:marBottom w:val="0"/>
      <w:divBdr>
        <w:top w:val="none" w:sz="0" w:space="0" w:color="auto"/>
        <w:left w:val="none" w:sz="0" w:space="0" w:color="auto"/>
        <w:bottom w:val="none" w:sz="0" w:space="0" w:color="auto"/>
        <w:right w:val="none" w:sz="0" w:space="0" w:color="auto"/>
      </w:divBdr>
    </w:div>
    <w:div w:id="1966693357">
      <w:bodyDiv w:val="1"/>
      <w:marLeft w:val="0"/>
      <w:marRight w:val="0"/>
      <w:marTop w:val="0"/>
      <w:marBottom w:val="0"/>
      <w:divBdr>
        <w:top w:val="none" w:sz="0" w:space="0" w:color="auto"/>
        <w:left w:val="none" w:sz="0" w:space="0" w:color="auto"/>
        <w:bottom w:val="none" w:sz="0" w:space="0" w:color="auto"/>
        <w:right w:val="none" w:sz="0" w:space="0" w:color="auto"/>
      </w:divBdr>
    </w:div>
    <w:div w:id="1966739280">
      <w:bodyDiv w:val="1"/>
      <w:marLeft w:val="0"/>
      <w:marRight w:val="0"/>
      <w:marTop w:val="0"/>
      <w:marBottom w:val="0"/>
      <w:divBdr>
        <w:top w:val="none" w:sz="0" w:space="0" w:color="auto"/>
        <w:left w:val="none" w:sz="0" w:space="0" w:color="auto"/>
        <w:bottom w:val="none" w:sz="0" w:space="0" w:color="auto"/>
        <w:right w:val="none" w:sz="0" w:space="0" w:color="auto"/>
      </w:divBdr>
    </w:div>
    <w:div w:id="1966815743">
      <w:bodyDiv w:val="1"/>
      <w:marLeft w:val="0"/>
      <w:marRight w:val="0"/>
      <w:marTop w:val="0"/>
      <w:marBottom w:val="0"/>
      <w:divBdr>
        <w:top w:val="none" w:sz="0" w:space="0" w:color="auto"/>
        <w:left w:val="none" w:sz="0" w:space="0" w:color="auto"/>
        <w:bottom w:val="none" w:sz="0" w:space="0" w:color="auto"/>
        <w:right w:val="none" w:sz="0" w:space="0" w:color="auto"/>
      </w:divBdr>
    </w:div>
    <w:div w:id="1966884507">
      <w:bodyDiv w:val="1"/>
      <w:marLeft w:val="0"/>
      <w:marRight w:val="0"/>
      <w:marTop w:val="0"/>
      <w:marBottom w:val="0"/>
      <w:divBdr>
        <w:top w:val="none" w:sz="0" w:space="0" w:color="auto"/>
        <w:left w:val="none" w:sz="0" w:space="0" w:color="auto"/>
        <w:bottom w:val="none" w:sz="0" w:space="0" w:color="auto"/>
        <w:right w:val="none" w:sz="0" w:space="0" w:color="auto"/>
      </w:divBdr>
    </w:div>
    <w:div w:id="1966887862">
      <w:bodyDiv w:val="1"/>
      <w:marLeft w:val="0"/>
      <w:marRight w:val="0"/>
      <w:marTop w:val="0"/>
      <w:marBottom w:val="0"/>
      <w:divBdr>
        <w:top w:val="none" w:sz="0" w:space="0" w:color="auto"/>
        <w:left w:val="none" w:sz="0" w:space="0" w:color="auto"/>
        <w:bottom w:val="none" w:sz="0" w:space="0" w:color="auto"/>
        <w:right w:val="none" w:sz="0" w:space="0" w:color="auto"/>
      </w:divBdr>
    </w:div>
    <w:div w:id="1966932556">
      <w:bodyDiv w:val="1"/>
      <w:marLeft w:val="0"/>
      <w:marRight w:val="0"/>
      <w:marTop w:val="0"/>
      <w:marBottom w:val="0"/>
      <w:divBdr>
        <w:top w:val="none" w:sz="0" w:space="0" w:color="auto"/>
        <w:left w:val="none" w:sz="0" w:space="0" w:color="auto"/>
        <w:bottom w:val="none" w:sz="0" w:space="0" w:color="auto"/>
        <w:right w:val="none" w:sz="0" w:space="0" w:color="auto"/>
      </w:divBdr>
    </w:div>
    <w:div w:id="1967079090">
      <w:bodyDiv w:val="1"/>
      <w:marLeft w:val="0"/>
      <w:marRight w:val="0"/>
      <w:marTop w:val="0"/>
      <w:marBottom w:val="0"/>
      <w:divBdr>
        <w:top w:val="none" w:sz="0" w:space="0" w:color="auto"/>
        <w:left w:val="none" w:sz="0" w:space="0" w:color="auto"/>
        <w:bottom w:val="none" w:sz="0" w:space="0" w:color="auto"/>
        <w:right w:val="none" w:sz="0" w:space="0" w:color="auto"/>
      </w:divBdr>
    </w:div>
    <w:div w:id="1967278367">
      <w:bodyDiv w:val="1"/>
      <w:marLeft w:val="0"/>
      <w:marRight w:val="0"/>
      <w:marTop w:val="0"/>
      <w:marBottom w:val="0"/>
      <w:divBdr>
        <w:top w:val="none" w:sz="0" w:space="0" w:color="auto"/>
        <w:left w:val="none" w:sz="0" w:space="0" w:color="auto"/>
        <w:bottom w:val="none" w:sz="0" w:space="0" w:color="auto"/>
        <w:right w:val="none" w:sz="0" w:space="0" w:color="auto"/>
      </w:divBdr>
    </w:div>
    <w:div w:id="1967352226">
      <w:bodyDiv w:val="1"/>
      <w:marLeft w:val="0"/>
      <w:marRight w:val="0"/>
      <w:marTop w:val="0"/>
      <w:marBottom w:val="0"/>
      <w:divBdr>
        <w:top w:val="none" w:sz="0" w:space="0" w:color="auto"/>
        <w:left w:val="none" w:sz="0" w:space="0" w:color="auto"/>
        <w:bottom w:val="none" w:sz="0" w:space="0" w:color="auto"/>
        <w:right w:val="none" w:sz="0" w:space="0" w:color="auto"/>
      </w:divBdr>
    </w:div>
    <w:div w:id="1967393236">
      <w:bodyDiv w:val="1"/>
      <w:marLeft w:val="0"/>
      <w:marRight w:val="0"/>
      <w:marTop w:val="0"/>
      <w:marBottom w:val="0"/>
      <w:divBdr>
        <w:top w:val="none" w:sz="0" w:space="0" w:color="auto"/>
        <w:left w:val="none" w:sz="0" w:space="0" w:color="auto"/>
        <w:bottom w:val="none" w:sz="0" w:space="0" w:color="auto"/>
        <w:right w:val="none" w:sz="0" w:space="0" w:color="auto"/>
      </w:divBdr>
    </w:div>
    <w:div w:id="1967393425">
      <w:bodyDiv w:val="1"/>
      <w:marLeft w:val="0"/>
      <w:marRight w:val="0"/>
      <w:marTop w:val="0"/>
      <w:marBottom w:val="0"/>
      <w:divBdr>
        <w:top w:val="none" w:sz="0" w:space="0" w:color="auto"/>
        <w:left w:val="none" w:sz="0" w:space="0" w:color="auto"/>
        <w:bottom w:val="none" w:sz="0" w:space="0" w:color="auto"/>
        <w:right w:val="none" w:sz="0" w:space="0" w:color="auto"/>
      </w:divBdr>
    </w:div>
    <w:div w:id="1967395407">
      <w:bodyDiv w:val="1"/>
      <w:marLeft w:val="0"/>
      <w:marRight w:val="0"/>
      <w:marTop w:val="0"/>
      <w:marBottom w:val="0"/>
      <w:divBdr>
        <w:top w:val="none" w:sz="0" w:space="0" w:color="auto"/>
        <w:left w:val="none" w:sz="0" w:space="0" w:color="auto"/>
        <w:bottom w:val="none" w:sz="0" w:space="0" w:color="auto"/>
        <w:right w:val="none" w:sz="0" w:space="0" w:color="auto"/>
      </w:divBdr>
    </w:div>
    <w:div w:id="1967462125">
      <w:bodyDiv w:val="1"/>
      <w:marLeft w:val="0"/>
      <w:marRight w:val="0"/>
      <w:marTop w:val="0"/>
      <w:marBottom w:val="0"/>
      <w:divBdr>
        <w:top w:val="none" w:sz="0" w:space="0" w:color="auto"/>
        <w:left w:val="none" w:sz="0" w:space="0" w:color="auto"/>
        <w:bottom w:val="none" w:sz="0" w:space="0" w:color="auto"/>
        <w:right w:val="none" w:sz="0" w:space="0" w:color="auto"/>
      </w:divBdr>
    </w:div>
    <w:div w:id="1967542209">
      <w:bodyDiv w:val="1"/>
      <w:marLeft w:val="0"/>
      <w:marRight w:val="0"/>
      <w:marTop w:val="0"/>
      <w:marBottom w:val="0"/>
      <w:divBdr>
        <w:top w:val="none" w:sz="0" w:space="0" w:color="auto"/>
        <w:left w:val="none" w:sz="0" w:space="0" w:color="auto"/>
        <w:bottom w:val="none" w:sz="0" w:space="0" w:color="auto"/>
        <w:right w:val="none" w:sz="0" w:space="0" w:color="auto"/>
      </w:divBdr>
    </w:div>
    <w:div w:id="1967655423">
      <w:bodyDiv w:val="1"/>
      <w:marLeft w:val="0"/>
      <w:marRight w:val="0"/>
      <w:marTop w:val="0"/>
      <w:marBottom w:val="0"/>
      <w:divBdr>
        <w:top w:val="none" w:sz="0" w:space="0" w:color="auto"/>
        <w:left w:val="none" w:sz="0" w:space="0" w:color="auto"/>
        <w:bottom w:val="none" w:sz="0" w:space="0" w:color="auto"/>
        <w:right w:val="none" w:sz="0" w:space="0" w:color="auto"/>
      </w:divBdr>
    </w:div>
    <w:div w:id="1967656845">
      <w:bodyDiv w:val="1"/>
      <w:marLeft w:val="0"/>
      <w:marRight w:val="0"/>
      <w:marTop w:val="0"/>
      <w:marBottom w:val="0"/>
      <w:divBdr>
        <w:top w:val="none" w:sz="0" w:space="0" w:color="auto"/>
        <w:left w:val="none" w:sz="0" w:space="0" w:color="auto"/>
        <w:bottom w:val="none" w:sz="0" w:space="0" w:color="auto"/>
        <w:right w:val="none" w:sz="0" w:space="0" w:color="auto"/>
      </w:divBdr>
    </w:div>
    <w:div w:id="1967664067">
      <w:bodyDiv w:val="1"/>
      <w:marLeft w:val="0"/>
      <w:marRight w:val="0"/>
      <w:marTop w:val="0"/>
      <w:marBottom w:val="0"/>
      <w:divBdr>
        <w:top w:val="none" w:sz="0" w:space="0" w:color="auto"/>
        <w:left w:val="none" w:sz="0" w:space="0" w:color="auto"/>
        <w:bottom w:val="none" w:sz="0" w:space="0" w:color="auto"/>
        <w:right w:val="none" w:sz="0" w:space="0" w:color="auto"/>
      </w:divBdr>
    </w:div>
    <w:div w:id="1967731516">
      <w:bodyDiv w:val="1"/>
      <w:marLeft w:val="0"/>
      <w:marRight w:val="0"/>
      <w:marTop w:val="0"/>
      <w:marBottom w:val="0"/>
      <w:divBdr>
        <w:top w:val="none" w:sz="0" w:space="0" w:color="auto"/>
        <w:left w:val="none" w:sz="0" w:space="0" w:color="auto"/>
        <w:bottom w:val="none" w:sz="0" w:space="0" w:color="auto"/>
        <w:right w:val="none" w:sz="0" w:space="0" w:color="auto"/>
      </w:divBdr>
    </w:div>
    <w:div w:id="1967849610">
      <w:bodyDiv w:val="1"/>
      <w:marLeft w:val="0"/>
      <w:marRight w:val="0"/>
      <w:marTop w:val="0"/>
      <w:marBottom w:val="0"/>
      <w:divBdr>
        <w:top w:val="none" w:sz="0" w:space="0" w:color="auto"/>
        <w:left w:val="none" w:sz="0" w:space="0" w:color="auto"/>
        <w:bottom w:val="none" w:sz="0" w:space="0" w:color="auto"/>
        <w:right w:val="none" w:sz="0" w:space="0" w:color="auto"/>
      </w:divBdr>
    </w:div>
    <w:div w:id="1967927415">
      <w:bodyDiv w:val="1"/>
      <w:marLeft w:val="0"/>
      <w:marRight w:val="0"/>
      <w:marTop w:val="0"/>
      <w:marBottom w:val="0"/>
      <w:divBdr>
        <w:top w:val="none" w:sz="0" w:space="0" w:color="auto"/>
        <w:left w:val="none" w:sz="0" w:space="0" w:color="auto"/>
        <w:bottom w:val="none" w:sz="0" w:space="0" w:color="auto"/>
        <w:right w:val="none" w:sz="0" w:space="0" w:color="auto"/>
      </w:divBdr>
    </w:div>
    <w:div w:id="1967930741">
      <w:bodyDiv w:val="1"/>
      <w:marLeft w:val="0"/>
      <w:marRight w:val="0"/>
      <w:marTop w:val="0"/>
      <w:marBottom w:val="0"/>
      <w:divBdr>
        <w:top w:val="none" w:sz="0" w:space="0" w:color="auto"/>
        <w:left w:val="none" w:sz="0" w:space="0" w:color="auto"/>
        <w:bottom w:val="none" w:sz="0" w:space="0" w:color="auto"/>
        <w:right w:val="none" w:sz="0" w:space="0" w:color="auto"/>
      </w:divBdr>
    </w:div>
    <w:div w:id="1968005285">
      <w:bodyDiv w:val="1"/>
      <w:marLeft w:val="0"/>
      <w:marRight w:val="0"/>
      <w:marTop w:val="0"/>
      <w:marBottom w:val="0"/>
      <w:divBdr>
        <w:top w:val="none" w:sz="0" w:space="0" w:color="auto"/>
        <w:left w:val="none" w:sz="0" w:space="0" w:color="auto"/>
        <w:bottom w:val="none" w:sz="0" w:space="0" w:color="auto"/>
        <w:right w:val="none" w:sz="0" w:space="0" w:color="auto"/>
      </w:divBdr>
    </w:div>
    <w:div w:id="1968048630">
      <w:bodyDiv w:val="1"/>
      <w:marLeft w:val="0"/>
      <w:marRight w:val="0"/>
      <w:marTop w:val="0"/>
      <w:marBottom w:val="0"/>
      <w:divBdr>
        <w:top w:val="none" w:sz="0" w:space="0" w:color="auto"/>
        <w:left w:val="none" w:sz="0" w:space="0" w:color="auto"/>
        <w:bottom w:val="none" w:sz="0" w:space="0" w:color="auto"/>
        <w:right w:val="none" w:sz="0" w:space="0" w:color="auto"/>
      </w:divBdr>
    </w:div>
    <w:div w:id="1968075805">
      <w:bodyDiv w:val="1"/>
      <w:marLeft w:val="0"/>
      <w:marRight w:val="0"/>
      <w:marTop w:val="0"/>
      <w:marBottom w:val="0"/>
      <w:divBdr>
        <w:top w:val="none" w:sz="0" w:space="0" w:color="auto"/>
        <w:left w:val="none" w:sz="0" w:space="0" w:color="auto"/>
        <w:bottom w:val="none" w:sz="0" w:space="0" w:color="auto"/>
        <w:right w:val="none" w:sz="0" w:space="0" w:color="auto"/>
      </w:divBdr>
    </w:div>
    <w:div w:id="1968078044">
      <w:bodyDiv w:val="1"/>
      <w:marLeft w:val="0"/>
      <w:marRight w:val="0"/>
      <w:marTop w:val="0"/>
      <w:marBottom w:val="0"/>
      <w:divBdr>
        <w:top w:val="none" w:sz="0" w:space="0" w:color="auto"/>
        <w:left w:val="none" w:sz="0" w:space="0" w:color="auto"/>
        <w:bottom w:val="none" w:sz="0" w:space="0" w:color="auto"/>
        <w:right w:val="none" w:sz="0" w:space="0" w:color="auto"/>
      </w:divBdr>
    </w:div>
    <w:div w:id="1968123347">
      <w:bodyDiv w:val="1"/>
      <w:marLeft w:val="0"/>
      <w:marRight w:val="0"/>
      <w:marTop w:val="0"/>
      <w:marBottom w:val="0"/>
      <w:divBdr>
        <w:top w:val="none" w:sz="0" w:space="0" w:color="auto"/>
        <w:left w:val="none" w:sz="0" w:space="0" w:color="auto"/>
        <w:bottom w:val="none" w:sz="0" w:space="0" w:color="auto"/>
        <w:right w:val="none" w:sz="0" w:space="0" w:color="auto"/>
      </w:divBdr>
    </w:div>
    <w:div w:id="1968198609">
      <w:bodyDiv w:val="1"/>
      <w:marLeft w:val="0"/>
      <w:marRight w:val="0"/>
      <w:marTop w:val="0"/>
      <w:marBottom w:val="0"/>
      <w:divBdr>
        <w:top w:val="none" w:sz="0" w:space="0" w:color="auto"/>
        <w:left w:val="none" w:sz="0" w:space="0" w:color="auto"/>
        <w:bottom w:val="none" w:sz="0" w:space="0" w:color="auto"/>
        <w:right w:val="none" w:sz="0" w:space="0" w:color="auto"/>
      </w:divBdr>
    </w:div>
    <w:div w:id="1968386326">
      <w:bodyDiv w:val="1"/>
      <w:marLeft w:val="0"/>
      <w:marRight w:val="0"/>
      <w:marTop w:val="0"/>
      <w:marBottom w:val="0"/>
      <w:divBdr>
        <w:top w:val="none" w:sz="0" w:space="0" w:color="auto"/>
        <w:left w:val="none" w:sz="0" w:space="0" w:color="auto"/>
        <w:bottom w:val="none" w:sz="0" w:space="0" w:color="auto"/>
        <w:right w:val="none" w:sz="0" w:space="0" w:color="auto"/>
      </w:divBdr>
    </w:div>
    <w:div w:id="1968390075">
      <w:bodyDiv w:val="1"/>
      <w:marLeft w:val="0"/>
      <w:marRight w:val="0"/>
      <w:marTop w:val="0"/>
      <w:marBottom w:val="0"/>
      <w:divBdr>
        <w:top w:val="none" w:sz="0" w:space="0" w:color="auto"/>
        <w:left w:val="none" w:sz="0" w:space="0" w:color="auto"/>
        <w:bottom w:val="none" w:sz="0" w:space="0" w:color="auto"/>
        <w:right w:val="none" w:sz="0" w:space="0" w:color="auto"/>
      </w:divBdr>
    </w:div>
    <w:div w:id="1968393325">
      <w:bodyDiv w:val="1"/>
      <w:marLeft w:val="0"/>
      <w:marRight w:val="0"/>
      <w:marTop w:val="0"/>
      <w:marBottom w:val="0"/>
      <w:divBdr>
        <w:top w:val="none" w:sz="0" w:space="0" w:color="auto"/>
        <w:left w:val="none" w:sz="0" w:space="0" w:color="auto"/>
        <w:bottom w:val="none" w:sz="0" w:space="0" w:color="auto"/>
        <w:right w:val="none" w:sz="0" w:space="0" w:color="auto"/>
      </w:divBdr>
    </w:div>
    <w:div w:id="1968509081">
      <w:bodyDiv w:val="1"/>
      <w:marLeft w:val="0"/>
      <w:marRight w:val="0"/>
      <w:marTop w:val="0"/>
      <w:marBottom w:val="0"/>
      <w:divBdr>
        <w:top w:val="none" w:sz="0" w:space="0" w:color="auto"/>
        <w:left w:val="none" w:sz="0" w:space="0" w:color="auto"/>
        <w:bottom w:val="none" w:sz="0" w:space="0" w:color="auto"/>
        <w:right w:val="none" w:sz="0" w:space="0" w:color="auto"/>
      </w:divBdr>
    </w:div>
    <w:div w:id="1968536972">
      <w:bodyDiv w:val="1"/>
      <w:marLeft w:val="0"/>
      <w:marRight w:val="0"/>
      <w:marTop w:val="0"/>
      <w:marBottom w:val="0"/>
      <w:divBdr>
        <w:top w:val="none" w:sz="0" w:space="0" w:color="auto"/>
        <w:left w:val="none" w:sz="0" w:space="0" w:color="auto"/>
        <w:bottom w:val="none" w:sz="0" w:space="0" w:color="auto"/>
        <w:right w:val="none" w:sz="0" w:space="0" w:color="auto"/>
      </w:divBdr>
    </w:div>
    <w:div w:id="1968585819">
      <w:bodyDiv w:val="1"/>
      <w:marLeft w:val="0"/>
      <w:marRight w:val="0"/>
      <w:marTop w:val="0"/>
      <w:marBottom w:val="0"/>
      <w:divBdr>
        <w:top w:val="none" w:sz="0" w:space="0" w:color="auto"/>
        <w:left w:val="none" w:sz="0" w:space="0" w:color="auto"/>
        <w:bottom w:val="none" w:sz="0" w:space="0" w:color="auto"/>
        <w:right w:val="none" w:sz="0" w:space="0" w:color="auto"/>
      </w:divBdr>
    </w:div>
    <w:div w:id="1968701491">
      <w:bodyDiv w:val="1"/>
      <w:marLeft w:val="0"/>
      <w:marRight w:val="0"/>
      <w:marTop w:val="0"/>
      <w:marBottom w:val="0"/>
      <w:divBdr>
        <w:top w:val="none" w:sz="0" w:space="0" w:color="auto"/>
        <w:left w:val="none" w:sz="0" w:space="0" w:color="auto"/>
        <w:bottom w:val="none" w:sz="0" w:space="0" w:color="auto"/>
        <w:right w:val="none" w:sz="0" w:space="0" w:color="auto"/>
      </w:divBdr>
    </w:div>
    <w:div w:id="1968730879">
      <w:bodyDiv w:val="1"/>
      <w:marLeft w:val="0"/>
      <w:marRight w:val="0"/>
      <w:marTop w:val="0"/>
      <w:marBottom w:val="0"/>
      <w:divBdr>
        <w:top w:val="none" w:sz="0" w:space="0" w:color="auto"/>
        <w:left w:val="none" w:sz="0" w:space="0" w:color="auto"/>
        <w:bottom w:val="none" w:sz="0" w:space="0" w:color="auto"/>
        <w:right w:val="none" w:sz="0" w:space="0" w:color="auto"/>
      </w:divBdr>
    </w:div>
    <w:div w:id="1968773479">
      <w:bodyDiv w:val="1"/>
      <w:marLeft w:val="0"/>
      <w:marRight w:val="0"/>
      <w:marTop w:val="0"/>
      <w:marBottom w:val="0"/>
      <w:divBdr>
        <w:top w:val="none" w:sz="0" w:space="0" w:color="auto"/>
        <w:left w:val="none" w:sz="0" w:space="0" w:color="auto"/>
        <w:bottom w:val="none" w:sz="0" w:space="0" w:color="auto"/>
        <w:right w:val="none" w:sz="0" w:space="0" w:color="auto"/>
      </w:divBdr>
    </w:div>
    <w:div w:id="1968974690">
      <w:bodyDiv w:val="1"/>
      <w:marLeft w:val="0"/>
      <w:marRight w:val="0"/>
      <w:marTop w:val="0"/>
      <w:marBottom w:val="0"/>
      <w:divBdr>
        <w:top w:val="none" w:sz="0" w:space="0" w:color="auto"/>
        <w:left w:val="none" w:sz="0" w:space="0" w:color="auto"/>
        <w:bottom w:val="none" w:sz="0" w:space="0" w:color="auto"/>
        <w:right w:val="none" w:sz="0" w:space="0" w:color="auto"/>
      </w:divBdr>
    </w:div>
    <w:div w:id="1969042504">
      <w:bodyDiv w:val="1"/>
      <w:marLeft w:val="0"/>
      <w:marRight w:val="0"/>
      <w:marTop w:val="0"/>
      <w:marBottom w:val="0"/>
      <w:divBdr>
        <w:top w:val="none" w:sz="0" w:space="0" w:color="auto"/>
        <w:left w:val="none" w:sz="0" w:space="0" w:color="auto"/>
        <w:bottom w:val="none" w:sz="0" w:space="0" w:color="auto"/>
        <w:right w:val="none" w:sz="0" w:space="0" w:color="auto"/>
      </w:divBdr>
    </w:div>
    <w:div w:id="1969387440">
      <w:bodyDiv w:val="1"/>
      <w:marLeft w:val="0"/>
      <w:marRight w:val="0"/>
      <w:marTop w:val="0"/>
      <w:marBottom w:val="0"/>
      <w:divBdr>
        <w:top w:val="none" w:sz="0" w:space="0" w:color="auto"/>
        <w:left w:val="none" w:sz="0" w:space="0" w:color="auto"/>
        <w:bottom w:val="none" w:sz="0" w:space="0" w:color="auto"/>
        <w:right w:val="none" w:sz="0" w:space="0" w:color="auto"/>
      </w:divBdr>
    </w:div>
    <w:div w:id="1969428104">
      <w:bodyDiv w:val="1"/>
      <w:marLeft w:val="0"/>
      <w:marRight w:val="0"/>
      <w:marTop w:val="0"/>
      <w:marBottom w:val="0"/>
      <w:divBdr>
        <w:top w:val="none" w:sz="0" w:space="0" w:color="auto"/>
        <w:left w:val="none" w:sz="0" w:space="0" w:color="auto"/>
        <w:bottom w:val="none" w:sz="0" w:space="0" w:color="auto"/>
        <w:right w:val="none" w:sz="0" w:space="0" w:color="auto"/>
      </w:divBdr>
    </w:div>
    <w:div w:id="1969437171">
      <w:bodyDiv w:val="1"/>
      <w:marLeft w:val="0"/>
      <w:marRight w:val="0"/>
      <w:marTop w:val="0"/>
      <w:marBottom w:val="0"/>
      <w:divBdr>
        <w:top w:val="none" w:sz="0" w:space="0" w:color="auto"/>
        <w:left w:val="none" w:sz="0" w:space="0" w:color="auto"/>
        <w:bottom w:val="none" w:sz="0" w:space="0" w:color="auto"/>
        <w:right w:val="none" w:sz="0" w:space="0" w:color="auto"/>
      </w:divBdr>
    </w:div>
    <w:div w:id="1969507868">
      <w:bodyDiv w:val="1"/>
      <w:marLeft w:val="0"/>
      <w:marRight w:val="0"/>
      <w:marTop w:val="0"/>
      <w:marBottom w:val="0"/>
      <w:divBdr>
        <w:top w:val="none" w:sz="0" w:space="0" w:color="auto"/>
        <w:left w:val="none" w:sz="0" w:space="0" w:color="auto"/>
        <w:bottom w:val="none" w:sz="0" w:space="0" w:color="auto"/>
        <w:right w:val="none" w:sz="0" w:space="0" w:color="auto"/>
      </w:divBdr>
    </w:div>
    <w:div w:id="1969582332">
      <w:bodyDiv w:val="1"/>
      <w:marLeft w:val="0"/>
      <w:marRight w:val="0"/>
      <w:marTop w:val="0"/>
      <w:marBottom w:val="0"/>
      <w:divBdr>
        <w:top w:val="none" w:sz="0" w:space="0" w:color="auto"/>
        <w:left w:val="none" w:sz="0" w:space="0" w:color="auto"/>
        <w:bottom w:val="none" w:sz="0" w:space="0" w:color="auto"/>
        <w:right w:val="none" w:sz="0" w:space="0" w:color="auto"/>
      </w:divBdr>
    </w:div>
    <w:div w:id="1969816626">
      <w:bodyDiv w:val="1"/>
      <w:marLeft w:val="0"/>
      <w:marRight w:val="0"/>
      <w:marTop w:val="0"/>
      <w:marBottom w:val="0"/>
      <w:divBdr>
        <w:top w:val="none" w:sz="0" w:space="0" w:color="auto"/>
        <w:left w:val="none" w:sz="0" w:space="0" w:color="auto"/>
        <w:bottom w:val="none" w:sz="0" w:space="0" w:color="auto"/>
        <w:right w:val="none" w:sz="0" w:space="0" w:color="auto"/>
      </w:divBdr>
    </w:div>
    <w:div w:id="1969894282">
      <w:bodyDiv w:val="1"/>
      <w:marLeft w:val="0"/>
      <w:marRight w:val="0"/>
      <w:marTop w:val="0"/>
      <w:marBottom w:val="0"/>
      <w:divBdr>
        <w:top w:val="none" w:sz="0" w:space="0" w:color="auto"/>
        <w:left w:val="none" w:sz="0" w:space="0" w:color="auto"/>
        <w:bottom w:val="none" w:sz="0" w:space="0" w:color="auto"/>
        <w:right w:val="none" w:sz="0" w:space="0" w:color="auto"/>
      </w:divBdr>
    </w:div>
    <w:div w:id="1969895485">
      <w:bodyDiv w:val="1"/>
      <w:marLeft w:val="0"/>
      <w:marRight w:val="0"/>
      <w:marTop w:val="0"/>
      <w:marBottom w:val="0"/>
      <w:divBdr>
        <w:top w:val="none" w:sz="0" w:space="0" w:color="auto"/>
        <w:left w:val="none" w:sz="0" w:space="0" w:color="auto"/>
        <w:bottom w:val="none" w:sz="0" w:space="0" w:color="auto"/>
        <w:right w:val="none" w:sz="0" w:space="0" w:color="auto"/>
      </w:divBdr>
    </w:div>
    <w:div w:id="1969967268">
      <w:bodyDiv w:val="1"/>
      <w:marLeft w:val="0"/>
      <w:marRight w:val="0"/>
      <w:marTop w:val="0"/>
      <w:marBottom w:val="0"/>
      <w:divBdr>
        <w:top w:val="none" w:sz="0" w:space="0" w:color="auto"/>
        <w:left w:val="none" w:sz="0" w:space="0" w:color="auto"/>
        <w:bottom w:val="none" w:sz="0" w:space="0" w:color="auto"/>
        <w:right w:val="none" w:sz="0" w:space="0" w:color="auto"/>
      </w:divBdr>
    </w:div>
    <w:div w:id="1970163257">
      <w:bodyDiv w:val="1"/>
      <w:marLeft w:val="0"/>
      <w:marRight w:val="0"/>
      <w:marTop w:val="0"/>
      <w:marBottom w:val="0"/>
      <w:divBdr>
        <w:top w:val="none" w:sz="0" w:space="0" w:color="auto"/>
        <w:left w:val="none" w:sz="0" w:space="0" w:color="auto"/>
        <w:bottom w:val="none" w:sz="0" w:space="0" w:color="auto"/>
        <w:right w:val="none" w:sz="0" w:space="0" w:color="auto"/>
      </w:divBdr>
    </w:div>
    <w:div w:id="1970165930">
      <w:bodyDiv w:val="1"/>
      <w:marLeft w:val="0"/>
      <w:marRight w:val="0"/>
      <w:marTop w:val="0"/>
      <w:marBottom w:val="0"/>
      <w:divBdr>
        <w:top w:val="none" w:sz="0" w:space="0" w:color="auto"/>
        <w:left w:val="none" w:sz="0" w:space="0" w:color="auto"/>
        <w:bottom w:val="none" w:sz="0" w:space="0" w:color="auto"/>
        <w:right w:val="none" w:sz="0" w:space="0" w:color="auto"/>
      </w:divBdr>
    </w:div>
    <w:div w:id="1970240486">
      <w:bodyDiv w:val="1"/>
      <w:marLeft w:val="0"/>
      <w:marRight w:val="0"/>
      <w:marTop w:val="0"/>
      <w:marBottom w:val="0"/>
      <w:divBdr>
        <w:top w:val="none" w:sz="0" w:space="0" w:color="auto"/>
        <w:left w:val="none" w:sz="0" w:space="0" w:color="auto"/>
        <w:bottom w:val="none" w:sz="0" w:space="0" w:color="auto"/>
        <w:right w:val="none" w:sz="0" w:space="0" w:color="auto"/>
      </w:divBdr>
    </w:div>
    <w:div w:id="1970281702">
      <w:bodyDiv w:val="1"/>
      <w:marLeft w:val="0"/>
      <w:marRight w:val="0"/>
      <w:marTop w:val="0"/>
      <w:marBottom w:val="0"/>
      <w:divBdr>
        <w:top w:val="none" w:sz="0" w:space="0" w:color="auto"/>
        <w:left w:val="none" w:sz="0" w:space="0" w:color="auto"/>
        <w:bottom w:val="none" w:sz="0" w:space="0" w:color="auto"/>
        <w:right w:val="none" w:sz="0" w:space="0" w:color="auto"/>
      </w:divBdr>
    </w:div>
    <w:div w:id="1970353135">
      <w:bodyDiv w:val="1"/>
      <w:marLeft w:val="0"/>
      <w:marRight w:val="0"/>
      <w:marTop w:val="0"/>
      <w:marBottom w:val="0"/>
      <w:divBdr>
        <w:top w:val="none" w:sz="0" w:space="0" w:color="auto"/>
        <w:left w:val="none" w:sz="0" w:space="0" w:color="auto"/>
        <w:bottom w:val="none" w:sz="0" w:space="0" w:color="auto"/>
        <w:right w:val="none" w:sz="0" w:space="0" w:color="auto"/>
      </w:divBdr>
    </w:div>
    <w:div w:id="1970427290">
      <w:bodyDiv w:val="1"/>
      <w:marLeft w:val="0"/>
      <w:marRight w:val="0"/>
      <w:marTop w:val="0"/>
      <w:marBottom w:val="0"/>
      <w:divBdr>
        <w:top w:val="none" w:sz="0" w:space="0" w:color="auto"/>
        <w:left w:val="none" w:sz="0" w:space="0" w:color="auto"/>
        <w:bottom w:val="none" w:sz="0" w:space="0" w:color="auto"/>
        <w:right w:val="none" w:sz="0" w:space="0" w:color="auto"/>
      </w:divBdr>
    </w:div>
    <w:div w:id="1970436350">
      <w:bodyDiv w:val="1"/>
      <w:marLeft w:val="0"/>
      <w:marRight w:val="0"/>
      <w:marTop w:val="0"/>
      <w:marBottom w:val="0"/>
      <w:divBdr>
        <w:top w:val="none" w:sz="0" w:space="0" w:color="auto"/>
        <w:left w:val="none" w:sz="0" w:space="0" w:color="auto"/>
        <w:bottom w:val="none" w:sz="0" w:space="0" w:color="auto"/>
        <w:right w:val="none" w:sz="0" w:space="0" w:color="auto"/>
      </w:divBdr>
    </w:div>
    <w:div w:id="1970471771">
      <w:bodyDiv w:val="1"/>
      <w:marLeft w:val="0"/>
      <w:marRight w:val="0"/>
      <w:marTop w:val="0"/>
      <w:marBottom w:val="0"/>
      <w:divBdr>
        <w:top w:val="none" w:sz="0" w:space="0" w:color="auto"/>
        <w:left w:val="none" w:sz="0" w:space="0" w:color="auto"/>
        <w:bottom w:val="none" w:sz="0" w:space="0" w:color="auto"/>
        <w:right w:val="none" w:sz="0" w:space="0" w:color="auto"/>
      </w:divBdr>
    </w:div>
    <w:div w:id="1970476600">
      <w:bodyDiv w:val="1"/>
      <w:marLeft w:val="0"/>
      <w:marRight w:val="0"/>
      <w:marTop w:val="0"/>
      <w:marBottom w:val="0"/>
      <w:divBdr>
        <w:top w:val="none" w:sz="0" w:space="0" w:color="auto"/>
        <w:left w:val="none" w:sz="0" w:space="0" w:color="auto"/>
        <w:bottom w:val="none" w:sz="0" w:space="0" w:color="auto"/>
        <w:right w:val="none" w:sz="0" w:space="0" w:color="auto"/>
      </w:divBdr>
    </w:div>
    <w:div w:id="1970549304">
      <w:bodyDiv w:val="1"/>
      <w:marLeft w:val="0"/>
      <w:marRight w:val="0"/>
      <w:marTop w:val="0"/>
      <w:marBottom w:val="0"/>
      <w:divBdr>
        <w:top w:val="none" w:sz="0" w:space="0" w:color="auto"/>
        <w:left w:val="none" w:sz="0" w:space="0" w:color="auto"/>
        <w:bottom w:val="none" w:sz="0" w:space="0" w:color="auto"/>
        <w:right w:val="none" w:sz="0" w:space="0" w:color="auto"/>
      </w:divBdr>
    </w:div>
    <w:div w:id="1970742616">
      <w:bodyDiv w:val="1"/>
      <w:marLeft w:val="0"/>
      <w:marRight w:val="0"/>
      <w:marTop w:val="0"/>
      <w:marBottom w:val="0"/>
      <w:divBdr>
        <w:top w:val="none" w:sz="0" w:space="0" w:color="auto"/>
        <w:left w:val="none" w:sz="0" w:space="0" w:color="auto"/>
        <w:bottom w:val="none" w:sz="0" w:space="0" w:color="auto"/>
        <w:right w:val="none" w:sz="0" w:space="0" w:color="auto"/>
      </w:divBdr>
    </w:div>
    <w:div w:id="1970889053">
      <w:bodyDiv w:val="1"/>
      <w:marLeft w:val="0"/>
      <w:marRight w:val="0"/>
      <w:marTop w:val="0"/>
      <w:marBottom w:val="0"/>
      <w:divBdr>
        <w:top w:val="none" w:sz="0" w:space="0" w:color="auto"/>
        <w:left w:val="none" w:sz="0" w:space="0" w:color="auto"/>
        <w:bottom w:val="none" w:sz="0" w:space="0" w:color="auto"/>
        <w:right w:val="none" w:sz="0" w:space="0" w:color="auto"/>
      </w:divBdr>
    </w:div>
    <w:div w:id="1970932751">
      <w:bodyDiv w:val="1"/>
      <w:marLeft w:val="0"/>
      <w:marRight w:val="0"/>
      <w:marTop w:val="0"/>
      <w:marBottom w:val="0"/>
      <w:divBdr>
        <w:top w:val="none" w:sz="0" w:space="0" w:color="auto"/>
        <w:left w:val="none" w:sz="0" w:space="0" w:color="auto"/>
        <w:bottom w:val="none" w:sz="0" w:space="0" w:color="auto"/>
        <w:right w:val="none" w:sz="0" w:space="0" w:color="auto"/>
      </w:divBdr>
    </w:div>
    <w:div w:id="1970937133">
      <w:bodyDiv w:val="1"/>
      <w:marLeft w:val="0"/>
      <w:marRight w:val="0"/>
      <w:marTop w:val="0"/>
      <w:marBottom w:val="0"/>
      <w:divBdr>
        <w:top w:val="none" w:sz="0" w:space="0" w:color="auto"/>
        <w:left w:val="none" w:sz="0" w:space="0" w:color="auto"/>
        <w:bottom w:val="none" w:sz="0" w:space="0" w:color="auto"/>
        <w:right w:val="none" w:sz="0" w:space="0" w:color="auto"/>
      </w:divBdr>
    </w:div>
    <w:div w:id="1971082566">
      <w:bodyDiv w:val="1"/>
      <w:marLeft w:val="0"/>
      <w:marRight w:val="0"/>
      <w:marTop w:val="0"/>
      <w:marBottom w:val="0"/>
      <w:divBdr>
        <w:top w:val="none" w:sz="0" w:space="0" w:color="auto"/>
        <w:left w:val="none" w:sz="0" w:space="0" w:color="auto"/>
        <w:bottom w:val="none" w:sz="0" w:space="0" w:color="auto"/>
        <w:right w:val="none" w:sz="0" w:space="0" w:color="auto"/>
      </w:divBdr>
    </w:div>
    <w:div w:id="1971277162">
      <w:bodyDiv w:val="1"/>
      <w:marLeft w:val="0"/>
      <w:marRight w:val="0"/>
      <w:marTop w:val="0"/>
      <w:marBottom w:val="0"/>
      <w:divBdr>
        <w:top w:val="none" w:sz="0" w:space="0" w:color="auto"/>
        <w:left w:val="none" w:sz="0" w:space="0" w:color="auto"/>
        <w:bottom w:val="none" w:sz="0" w:space="0" w:color="auto"/>
        <w:right w:val="none" w:sz="0" w:space="0" w:color="auto"/>
      </w:divBdr>
    </w:div>
    <w:div w:id="1971395687">
      <w:bodyDiv w:val="1"/>
      <w:marLeft w:val="0"/>
      <w:marRight w:val="0"/>
      <w:marTop w:val="0"/>
      <w:marBottom w:val="0"/>
      <w:divBdr>
        <w:top w:val="none" w:sz="0" w:space="0" w:color="auto"/>
        <w:left w:val="none" w:sz="0" w:space="0" w:color="auto"/>
        <w:bottom w:val="none" w:sz="0" w:space="0" w:color="auto"/>
        <w:right w:val="none" w:sz="0" w:space="0" w:color="auto"/>
      </w:divBdr>
    </w:div>
    <w:div w:id="1971471568">
      <w:bodyDiv w:val="1"/>
      <w:marLeft w:val="0"/>
      <w:marRight w:val="0"/>
      <w:marTop w:val="0"/>
      <w:marBottom w:val="0"/>
      <w:divBdr>
        <w:top w:val="none" w:sz="0" w:space="0" w:color="auto"/>
        <w:left w:val="none" w:sz="0" w:space="0" w:color="auto"/>
        <w:bottom w:val="none" w:sz="0" w:space="0" w:color="auto"/>
        <w:right w:val="none" w:sz="0" w:space="0" w:color="auto"/>
      </w:divBdr>
    </w:div>
    <w:div w:id="1971520219">
      <w:bodyDiv w:val="1"/>
      <w:marLeft w:val="0"/>
      <w:marRight w:val="0"/>
      <w:marTop w:val="0"/>
      <w:marBottom w:val="0"/>
      <w:divBdr>
        <w:top w:val="none" w:sz="0" w:space="0" w:color="auto"/>
        <w:left w:val="none" w:sz="0" w:space="0" w:color="auto"/>
        <w:bottom w:val="none" w:sz="0" w:space="0" w:color="auto"/>
        <w:right w:val="none" w:sz="0" w:space="0" w:color="auto"/>
      </w:divBdr>
    </w:div>
    <w:div w:id="1971591487">
      <w:bodyDiv w:val="1"/>
      <w:marLeft w:val="0"/>
      <w:marRight w:val="0"/>
      <w:marTop w:val="0"/>
      <w:marBottom w:val="0"/>
      <w:divBdr>
        <w:top w:val="none" w:sz="0" w:space="0" w:color="auto"/>
        <w:left w:val="none" w:sz="0" w:space="0" w:color="auto"/>
        <w:bottom w:val="none" w:sz="0" w:space="0" w:color="auto"/>
        <w:right w:val="none" w:sz="0" w:space="0" w:color="auto"/>
      </w:divBdr>
    </w:div>
    <w:div w:id="1971937829">
      <w:bodyDiv w:val="1"/>
      <w:marLeft w:val="0"/>
      <w:marRight w:val="0"/>
      <w:marTop w:val="0"/>
      <w:marBottom w:val="0"/>
      <w:divBdr>
        <w:top w:val="none" w:sz="0" w:space="0" w:color="auto"/>
        <w:left w:val="none" w:sz="0" w:space="0" w:color="auto"/>
        <w:bottom w:val="none" w:sz="0" w:space="0" w:color="auto"/>
        <w:right w:val="none" w:sz="0" w:space="0" w:color="auto"/>
      </w:divBdr>
    </w:div>
    <w:div w:id="1971938144">
      <w:bodyDiv w:val="1"/>
      <w:marLeft w:val="0"/>
      <w:marRight w:val="0"/>
      <w:marTop w:val="0"/>
      <w:marBottom w:val="0"/>
      <w:divBdr>
        <w:top w:val="none" w:sz="0" w:space="0" w:color="auto"/>
        <w:left w:val="none" w:sz="0" w:space="0" w:color="auto"/>
        <w:bottom w:val="none" w:sz="0" w:space="0" w:color="auto"/>
        <w:right w:val="none" w:sz="0" w:space="0" w:color="auto"/>
      </w:divBdr>
    </w:div>
    <w:div w:id="1971982770">
      <w:bodyDiv w:val="1"/>
      <w:marLeft w:val="0"/>
      <w:marRight w:val="0"/>
      <w:marTop w:val="0"/>
      <w:marBottom w:val="0"/>
      <w:divBdr>
        <w:top w:val="none" w:sz="0" w:space="0" w:color="auto"/>
        <w:left w:val="none" w:sz="0" w:space="0" w:color="auto"/>
        <w:bottom w:val="none" w:sz="0" w:space="0" w:color="auto"/>
        <w:right w:val="none" w:sz="0" w:space="0" w:color="auto"/>
      </w:divBdr>
    </w:div>
    <w:div w:id="1972052515">
      <w:bodyDiv w:val="1"/>
      <w:marLeft w:val="0"/>
      <w:marRight w:val="0"/>
      <w:marTop w:val="0"/>
      <w:marBottom w:val="0"/>
      <w:divBdr>
        <w:top w:val="none" w:sz="0" w:space="0" w:color="auto"/>
        <w:left w:val="none" w:sz="0" w:space="0" w:color="auto"/>
        <w:bottom w:val="none" w:sz="0" w:space="0" w:color="auto"/>
        <w:right w:val="none" w:sz="0" w:space="0" w:color="auto"/>
      </w:divBdr>
    </w:div>
    <w:div w:id="1972124290">
      <w:bodyDiv w:val="1"/>
      <w:marLeft w:val="0"/>
      <w:marRight w:val="0"/>
      <w:marTop w:val="0"/>
      <w:marBottom w:val="0"/>
      <w:divBdr>
        <w:top w:val="none" w:sz="0" w:space="0" w:color="auto"/>
        <w:left w:val="none" w:sz="0" w:space="0" w:color="auto"/>
        <w:bottom w:val="none" w:sz="0" w:space="0" w:color="auto"/>
        <w:right w:val="none" w:sz="0" w:space="0" w:color="auto"/>
      </w:divBdr>
    </w:div>
    <w:div w:id="1972438697">
      <w:bodyDiv w:val="1"/>
      <w:marLeft w:val="0"/>
      <w:marRight w:val="0"/>
      <w:marTop w:val="0"/>
      <w:marBottom w:val="0"/>
      <w:divBdr>
        <w:top w:val="none" w:sz="0" w:space="0" w:color="auto"/>
        <w:left w:val="none" w:sz="0" w:space="0" w:color="auto"/>
        <w:bottom w:val="none" w:sz="0" w:space="0" w:color="auto"/>
        <w:right w:val="none" w:sz="0" w:space="0" w:color="auto"/>
      </w:divBdr>
    </w:div>
    <w:div w:id="1972510843">
      <w:bodyDiv w:val="1"/>
      <w:marLeft w:val="0"/>
      <w:marRight w:val="0"/>
      <w:marTop w:val="0"/>
      <w:marBottom w:val="0"/>
      <w:divBdr>
        <w:top w:val="none" w:sz="0" w:space="0" w:color="auto"/>
        <w:left w:val="none" w:sz="0" w:space="0" w:color="auto"/>
        <w:bottom w:val="none" w:sz="0" w:space="0" w:color="auto"/>
        <w:right w:val="none" w:sz="0" w:space="0" w:color="auto"/>
      </w:divBdr>
    </w:div>
    <w:div w:id="1972513627">
      <w:bodyDiv w:val="1"/>
      <w:marLeft w:val="0"/>
      <w:marRight w:val="0"/>
      <w:marTop w:val="0"/>
      <w:marBottom w:val="0"/>
      <w:divBdr>
        <w:top w:val="none" w:sz="0" w:space="0" w:color="auto"/>
        <w:left w:val="none" w:sz="0" w:space="0" w:color="auto"/>
        <w:bottom w:val="none" w:sz="0" w:space="0" w:color="auto"/>
        <w:right w:val="none" w:sz="0" w:space="0" w:color="auto"/>
      </w:divBdr>
    </w:div>
    <w:div w:id="1972590508">
      <w:bodyDiv w:val="1"/>
      <w:marLeft w:val="0"/>
      <w:marRight w:val="0"/>
      <w:marTop w:val="0"/>
      <w:marBottom w:val="0"/>
      <w:divBdr>
        <w:top w:val="none" w:sz="0" w:space="0" w:color="auto"/>
        <w:left w:val="none" w:sz="0" w:space="0" w:color="auto"/>
        <w:bottom w:val="none" w:sz="0" w:space="0" w:color="auto"/>
        <w:right w:val="none" w:sz="0" w:space="0" w:color="auto"/>
      </w:divBdr>
    </w:div>
    <w:div w:id="1972705968">
      <w:bodyDiv w:val="1"/>
      <w:marLeft w:val="0"/>
      <w:marRight w:val="0"/>
      <w:marTop w:val="0"/>
      <w:marBottom w:val="0"/>
      <w:divBdr>
        <w:top w:val="none" w:sz="0" w:space="0" w:color="auto"/>
        <w:left w:val="none" w:sz="0" w:space="0" w:color="auto"/>
        <w:bottom w:val="none" w:sz="0" w:space="0" w:color="auto"/>
        <w:right w:val="none" w:sz="0" w:space="0" w:color="auto"/>
      </w:divBdr>
    </w:div>
    <w:div w:id="1972781871">
      <w:bodyDiv w:val="1"/>
      <w:marLeft w:val="0"/>
      <w:marRight w:val="0"/>
      <w:marTop w:val="0"/>
      <w:marBottom w:val="0"/>
      <w:divBdr>
        <w:top w:val="none" w:sz="0" w:space="0" w:color="auto"/>
        <w:left w:val="none" w:sz="0" w:space="0" w:color="auto"/>
        <w:bottom w:val="none" w:sz="0" w:space="0" w:color="auto"/>
        <w:right w:val="none" w:sz="0" w:space="0" w:color="auto"/>
      </w:divBdr>
    </w:div>
    <w:div w:id="1972788625">
      <w:bodyDiv w:val="1"/>
      <w:marLeft w:val="0"/>
      <w:marRight w:val="0"/>
      <w:marTop w:val="0"/>
      <w:marBottom w:val="0"/>
      <w:divBdr>
        <w:top w:val="none" w:sz="0" w:space="0" w:color="auto"/>
        <w:left w:val="none" w:sz="0" w:space="0" w:color="auto"/>
        <w:bottom w:val="none" w:sz="0" w:space="0" w:color="auto"/>
        <w:right w:val="none" w:sz="0" w:space="0" w:color="auto"/>
      </w:divBdr>
    </w:div>
    <w:div w:id="1972859091">
      <w:bodyDiv w:val="1"/>
      <w:marLeft w:val="0"/>
      <w:marRight w:val="0"/>
      <w:marTop w:val="0"/>
      <w:marBottom w:val="0"/>
      <w:divBdr>
        <w:top w:val="none" w:sz="0" w:space="0" w:color="auto"/>
        <w:left w:val="none" w:sz="0" w:space="0" w:color="auto"/>
        <w:bottom w:val="none" w:sz="0" w:space="0" w:color="auto"/>
        <w:right w:val="none" w:sz="0" w:space="0" w:color="auto"/>
      </w:divBdr>
    </w:div>
    <w:div w:id="1972905589">
      <w:bodyDiv w:val="1"/>
      <w:marLeft w:val="0"/>
      <w:marRight w:val="0"/>
      <w:marTop w:val="0"/>
      <w:marBottom w:val="0"/>
      <w:divBdr>
        <w:top w:val="none" w:sz="0" w:space="0" w:color="auto"/>
        <w:left w:val="none" w:sz="0" w:space="0" w:color="auto"/>
        <w:bottom w:val="none" w:sz="0" w:space="0" w:color="auto"/>
        <w:right w:val="none" w:sz="0" w:space="0" w:color="auto"/>
      </w:divBdr>
    </w:div>
    <w:div w:id="1972978802">
      <w:bodyDiv w:val="1"/>
      <w:marLeft w:val="0"/>
      <w:marRight w:val="0"/>
      <w:marTop w:val="0"/>
      <w:marBottom w:val="0"/>
      <w:divBdr>
        <w:top w:val="none" w:sz="0" w:space="0" w:color="auto"/>
        <w:left w:val="none" w:sz="0" w:space="0" w:color="auto"/>
        <w:bottom w:val="none" w:sz="0" w:space="0" w:color="auto"/>
        <w:right w:val="none" w:sz="0" w:space="0" w:color="auto"/>
      </w:divBdr>
    </w:div>
    <w:div w:id="1973097988">
      <w:bodyDiv w:val="1"/>
      <w:marLeft w:val="0"/>
      <w:marRight w:val="0"/>
      <w:marTop w:val="0"/>
      <w:marBottom w:val="0"/>
      <w:divBdr>
        <w:top w:val="none" w:sz="0" w:space="0" w:color="auto"/>
        <w:left w:val="none" w:sz="0" w:space="0" w:color="auto"/>
        <w:bottom w:val="none" w:sz="0" w:space="0" w:color="auto"/>
        <w:right w:val="none" w:sz="0" w:space="0" w:color="auto"/>
      </w:divBdr>
    </w:div>
    <w:div w:id="1973248368">
      <w:bodyDiv w:val="1"/>
      <w:marLeft w:val="0"/>
      <w:marRight w:val="0"/>
      <w:marTop w:val="0"/>
      <w:marBottom w:val="0"/>
      <w:divBdr>
        <w:top w:val="none" w:sz="0" w:space="0" w:color="auto"/>
        <w:left w:val="none" w:sz="0" w:space="0" w:color="auto"/>
        <w:bottom w:val="none" w:sz="0" w:space="0" w:color="auto"/>
        <w:right w:val="none" w:sz="0" w:space="0" w:color="auto"/>
      </w:divBdr>
    </w:div>
    <w:div w:id="1973292227">
      <w:bodyDiv w:val="1"/>
      <w:marLeft w:val="0"/>
      <w:marRight w:val="0"/>
      <w:marTop w:val="0"/>
      <w:marBottom w:val="0"/>
      <w:divBdr>
        <w:top w:val="none" w:sz="0" w:space="0" w:color="auto"/>
        <w:left w:val="none" w:sz="0" w:space="0" w:color="auto"/>
        <w:bottom w:val="none" w:sz="0" w:space="0" w:color="auto"/>
        <w:right w:val="none" w:sz="0" w:space="0" w:color="auto"/>
      </w:divBdr>
    </w:div>
    <w:div w:id="1973365974">
      <w:bodyDiv w:val="1"/>
      <w:marLeft w:val="0"/>
      <w:marRight w:val="0"/>
      <w:marTop w:val="0"/>
      <w:marBottom w:val="0"/>
      <w:divBdr>
        <w:top w:val="none" w:sz="0" w:space="0" w:color="auto"/>
        <w:left w:val="none" w:sz="0" w:space="0" w:color="auto"/>
        <w:bottom w:val="none" w:sz="0" w:space="0" w:color="auto"/>
        <w:right w:val="none" w:sz="0" w:space="0" w:color="auto"/>
      </w:divBdr>
    </w:div>
    <w:div w:id="1973435748">
      <w:bodyDiv w:val="1"/>
      <w:marLeft w:val="0"/>
      <w:marRight w:val="0"/>
      <w:marTop w:val="0"/>
      <w:marBottom w:val="0"/>
      <w:divBdr>
        <w:top w:val="none" w:sz="0" w:space="0" w:color="auto"/>
        <w:left w:val="none" w:sz="0" w:space="0" w:color="auto"/>
        <w:bottom w:val="none" w:sz="0" w:space="0" w:color="auto"/>
        <w:right w:val="none" w:sz="0" w:space="0" w:color="auto"/>
      </w:divBdr>
    </w:div>
    <w:div w:id="1973437741">
      <w:bodyDiv w:val="1"/>
      <w:marLeft w:val="0"/>
      <w:marRight w:val="0"/>
      <w:marTop w:val="0"/>
      <w:marBottom w:val="0"/>
      <w:divBdr>
        <w:top w:val="none" w:sz="0" w:space="0" w:color="auto"/>
        <w:left w:val="none" w:sz="0" w:space="0" w:color="auto"/>
        <w:bottom w:val="none" w:sz="0" w:space="0" w:color="auto"/>
        <w:right w:val="none" w:sz="0" w:space="0" w:color="auto"/>
      </w:divBdr>
    </w:div>
    <w:div w:id="1973443656">
      <w:bodyDiv w:val="1"/>
      <w:marLeft w:val="0"/>
      <w:marRight w:val="0"/>
      <w:marTop w:val="0"/>
      <w:marBottom w:val="0"/>
      <w:divBdr>
        <w:top w:val="none" w:sz="0" w:space="0" w:color="auto"/>
        <w:left w:val="none" w:sz="0" w:space="0" w:color="auto"/>
        <w:bottom w:val="none" w:sz="0" w:space="0" w:color="auto"/>
        <w:right w:val="none" w:sz="0" w:space="0" w:color="auto"/>
      </w:divBdr>
    </w:div>
    <w:div w:id="1973444045">
      <w:bodyDiv w:val="1"/>
      <w:marLeft w:val="0"/>
      <w:marRight w:val="0"/>
      <w:marTop w:val="0"/>
      <w:marBottom w:val="0"/>
      <w:divBdr>
        <w:top w:val="none" w:sz="0" w:space="0" w:color="auto"/>
        <w:left w:val="none" w:sz="0" w:space="0" w:color="auto"/>
        <w:bottom w:val="none" w:sz="0" w:space="0" w:color="auto"/>
        <w:right w:val="none" w:sz="0" w:space="0" w:color="auto"/>
      </w:divBdr>
    </w:div>
    <w:div w:id="1973512903">
      <w:bodyDiv w:val="1"/>
      <w:marLeft w:val="0"/>
      <w:marRight w:val="0"/>
      <w:marTop w:val="0"/>
      <w:marBottom w:val="0"/>
      <w:divBdr>
        <w:top w:val="none" w:sz="0" w:space="0" w:color="auto"/>
        <w:left w:val="none" w:sz="0" w:space="0" w:color="auto"/>
        <w:bottom w:val="none" w:sz="0" w:space="0" w:color="auto"/>
        <w:right w:val="none" w:sz="0" w:space="0" w:color="auto"/>
      </w:divBdr>
    </w:div>
    <w:div w:id="1973554015">
      <w:bodyDiv w:val="1"/>
      <w:marLeft w:val="0"/>
      <w:marRight w:val="0"/>
      <w:marTop w:val="0"/>
      <w:marBottom w:val="0"/>
      <w:divBdr>
        <w:top w:val="none" w:sz="0" w:space="0" w:color="auto"/>
        <w:left w:val="none" w:sz="0" w:space="0" w:color="auto"/>
        <w:bottom w:val="none" w:sz="0" w:space="0" w:color="auto"/>
        <w:right w:val="none" w:sz="0" w:space="0" w:color="auto"/>
      </w:divBdr>
    </w:div>
    <w:div w:id="1973707125">
      <w:bodyDiv w:val="1"/>
      <w:marLeft w:val="0"/>
      <w:marRight w:val="0"/>
      <w:marTop w:val="0"/>
      <w:marBottom w:val="0"/>
      <w:divBdr>
        <w:top w:val="none" w:sz="0" w:space="0" w:color="auto"/>
        <w:left w:val="none" w:sz="0" w:space="0" w:color="auto"/>
        <w:bottom w:val="none" w:sz="0" w:space="0" w:color="auto"/>
        <w:right w:val="none" w:sz="0" w:space="0" w:color="auto"/>
      </w:divBdr>
    </w:div>
    <w:div w:id="1973750420">
      <w:bodyDiv w:val="1"/>
      <w:marLeft w:val="0"/>
      <w:marRight w:val="0"/>
      <w:marTop w:val="0"/>
      <w:marBottom w:val="0"/>
      <w:divBdr>
        <w:top w:val="none" w:sz="0" w:space="0" w:color="auto"/>
        <w:left w:val="none" w:sz="0" w:space="0" w:color="auto"/>
        <w:bottom w:val="none" w:sz="0" w:space="0" w:color="auto"/>
        <w:right w:val="none" w:sz="0" w:space="0" w:color="auto"/>
      </w:divBdr>
    </w:div>
    <w:div w:id="1973753843">
      <w:bodyDiv w:val="1"/>
      <w:marLeft w:val="0"/>
      <w:marRight w:val="0"/>
      <w:marTop w:val="0"/>
      <w:marBottom w:val="0"/>
      <w:divBdr>
        <w:top w:val="none" w:sz="0" w:space="0" w:color="auto"/>
        <w:left w:val="none" w:sz="0" w:space="0" w:color="auto"/>
        <w:bottom w:val="none" w:sz="0" w:space="0" w:color="auto"/>
        <w:right w:val="none" w:sz="0" w:space="0" w:color="auto"/>
      </w:divBdr>
    </w:div>
    <w:div w:id="1973754041">
      <w:bodyDiv w:val="1"/>
      <w:marLeft w:val="0"/>
      <w:marRight w:val="0"/>
      <w:marTop w:val="0"/>
      <w:marBottom w:val="0"/>
      <w:divBdr>
        <w:top w:val="none" w:sz="0" w:space="0" w:color="auto"/>
        <w:left w:val="none" w:sz="0" w:space="0" w:color="auto"/>
        <w:bottom w:val="none" w:sz="0" w:space="0" w:color="auto"/>
        <w:right w:val="none" w:sz="0" w:space="0" w:color="auto"/>
      </w:divBdr>
    </w:div>
    <w:div w:id="1973829059">
      <w:bodyDiv w:val="1"/>
      <w:marLeft w:val="0"/>
      <w:marRight w:val="0"/>
      <w:marTop w:val="0"/>
      <w:marBottom w:val="0"/>
      <w:divBdr>
        <w:top w:val="none" w:sz="0" w:space="0" w:color="auto"/>
        <w:left w:val="none" w:sz="0" w:space="0" w:color="auto"/>
        <w:bottom w:val="none" w:sz="0" w:space="0" w:color="auto"/>
        <w:right w:val="none" w:sz="0" w:space="0" w:color="auto"/>
      </w:divBdr>
    </w:div>
    <w:div w:id="1974020779">
      <w:bodyDiv w:val="1"/>
      <w:marLeft w:val="0"/>
      <w:marRight w:val="0"/>
      <w:marTop w:val="0"/>
      <w:marBottom w:val="0"/>
      <w:divBdr>
        <w:top w:val="none" w:sz="0" w:space="0" w:color="auto"/>
        <w:left w:val="none" w:sz="0" w:space="0" w:color="auto"/>
        <w:bottom w:val="none" w:sz="0" w:space="0" w:color="auto"/>
        <w:right w:val="none" w:sz="0" w:space="0" w:color="auto"/>
      </w:divBdr>
    </w:div>
    <w:div w:id="1974022428">
      <w:bodyDiv w:val="1"/>
      <w:marLeft w:val="0"/>
      <w:marRight w:val="0"/>
      <w:marTop w:val="0"/>
      <w:marBottom w:val="0"/>
      <w:divBdr>
        <w:top w:val="none" w:sz="0" w:space="0" w:color="auto"/>
        <w:left w:val="none" w:sz="0" w:space="0" w:color="auto"/>
        <w:bottom w:val="none" w:sz="0" w:space="0" w:color="auto"/>
        <w:right w:val="none" w:sz="0" w:space="0" w:color="auto"/>
      </w:divBdr>
    </w:div>
    <w:div w:id="1974024327">
      <w:bodyDiv w:val="1"/>
      <w:marLeft w:val="0"/>
      <w:marRight w:val="0"/>
      <w:marTop w:val="0"/>
      <w:marBottom w:val="0"/>
      <w:divBdr>
        <w:top w:val="none" w:sz="0" w:space="0" w:color="auto"/>
        <w:left w:val="none" w:sz="0" w:space="0" w:color="auto"/>
        <w:bottom w:val="none" w:sz="0" w:space="0" w:color="auto"/>
        <w:right w:val="none" w:sz="0" w:space="0" w:color="auto"/>
      </w:divBdr>
    </w:div>
    <w:div w:id="1974091782">
      <w:bodyDiv w:val="1"/>
      <w:marLeft w:val="0"/>
      <w:marRight w:val="0"/>
      <w:marTop w:val="0"/>
      <w:marBottom w:val="0"/>
      <w:divBdr>
        <w:top w:val="none" w:sz="0" w:space="0" w:color="auto"/>
        <w:left w:val="none" w:sz="0" w:space="0" w:color="auto"/>
        <w:bottom w:val="none" w:sz="0" w:space="0" w:color="auto"/>
        <w:right w:val="none" w:sz="0" w:space="0" w:color="auto"/>
      </w:divBdr>
    </w:div>
    <w:div w:id="1974094200">
      <w:bodyDiv w:val="1"/>
      <w:marLeft w:val="0"/>
      <w:marRight w:val="0"/>
      <w:marTop w:val="0"/>
      <w:marBottom w:val="0"/>
      <w:divBdr>
        <w:top w:val="none" w:sz="0" w:space="0" w:color="auto"/>
        <w:left w:val="none" w:sz="0" w:space="0" w:color="auto"/>
        <w:bottom w:val="none" w:sz="0" w:space="0" w:color="auto"/>
        <w:right w:val="none" w:sz="0" w:space="0" w:color="auto"/>
      </w:divBdr>
    </w:div>
    <w:div w:id="1974285305">
      <w:bodyDiv w:val="1"/>
      <w:marLeft w:val="0"/>
      <w:marRight w:val="0"/>
      <w:marTop w:val="0"/>
      <w:marBottom w:val="0"/>
      <w:divBdr>
        <w:top w:val="none" w:sz="0" w:space="0" w:color="auto"/>
        <w:left w:val="none" w:sz="0" w:space="0" w:color="auto"/>
        <w:bottom w:val="none" w:sz="0" w:space="0" w:color="auto"/>
        <w:right w:val="none" w:sz="0" w:space="0" w:color="auto"/>
      </w:divBdr>
    </w:div>
    <w:div w:id="1974363041">
      <w:bodyDiv w:val="1"/>
      <w:marLeft w:val="0"/>
      <w:marRight w:val="0"/>
      <w:marTop w:val="0"/>
      <w:marBottom w:val="0"/>
      <w:divBdr>
        <w:top w:val="none" w:sz="0" w:space="0" w:color="auto"/>
        <w:left w:val="none" w:sz="0" w:space="0" w:color="auto"/>
        <w:bottom w:val="none" w:sz="0" w:space="0" w:color="auto"/>
        <w:right w:val="none" w:sz="0" w:space="0" w:color="auto"/>
      </w:divBdr>
    </w:div>
    <w:div w:id="1974365470">
      <w:bodyDiv w:val="1"/>
      <w:marLeft w:val="0"/>
      <w:marRight w:val="0"/>
      <w:marTop w:val="0"/>
      <w:marBottom w:val="0"/>
      <w:divBdr>
        <w:top w:val="none" w:sz="0" w:space="0" w:color="auto"/>
        <w:left w:val="none" w:sz="0" w:space="0" w:color="auto"/>
        <w:bottom w:val="none" w:sz="0" w:space="0" w:color="auto"/>
        <w:right w:val="none" w:sz="0" w:space="0" w:color="auto"/>
      </w:divBdr>
    </w:div>
    <w:div w:id="1974409782">
      <w:bodyDiv w:val="1"/>
      <w:marLeft w:val="0"/>
      <w:marRight w:val="0"/>
      <w:marTop w:val="0"/>
      <w:marBottom w:val="0"/>
      <w:divBdr>
        <w:top w:val="none" w:sz="0" w:space="0" w:color="auto"/>
        <w:left w:val="none" w:sz="0" w:space="0" w:color="auto"/>
        <w:bottom w:val="none" w:sz="0" w:space="0" w:color="auto"/>
        <w:right w:val="none" w:sz="0" w:space="0" w:color="auto"/>
      </w:divBdr>
    </w:div>
    <w:div w:id="1974481366">
      <w:bodyDiv w:val="1"/>
      <w:marLeft w:val="0"/>
      <w:marRight w:val="0"/>
      <w:marTop w:val="0"/>
      <w:marBottom w:val="0"/>
      <w:divBdr>
        <w:top w:val="none" w:sz="0" w:space="0" w:color="auto"/>
        <w:left w:val="none" w:sz="0" w:space="0" w:color="auto"/>
        <w:bottom w:val="none" w:sz="0" w:space="0" w:color="auto"/>
        <w:right w:val="none" w:sz="0" w:space="0" w:color="auto"/>
      </w:divBdr>
    </w:div>
    <w:div w:id="1974559270">
      <w:bodyDiv w:val="1"/>
      <w:marLeft w:val="0"/>
      <w:marRight w:val="0"/>
      <w:marTop w:val="0"/>
      <w:marBottom w:val="0"/>
      <w:divBdr>
        <w:top w:val="none" w:sz="0" w:space="0" w:color="auto"/>
        <w:left w:val="none" w:sz="0" w:space="0" w:color="auto"/>
        <w:bottom w:val="none" w:sz="0" w:space="0" w:color="auto"/>
        <w:right w:val="none" w:sz="0" w:space="0" w:color="auto"/>
      </w:divBdr>
    </w:div>
    <w:div w:id="1974600949">
      <w:bodyDiv w:val="1"/>
      <w:marLeft w:val="0"/>
      <w:marRight w:val="0"/>
      <w:marTop w:val="0"/>
      <w:marBottom w:val="0"/>
      <w:divBdr>
        <w:top w:val="none" w:sz="0" w:space="0" w:color="auto"/>
        <w:left w:val="none" w:sz="0" w:space="0" w:color="auto"/>
        <w:bottom w:val="none" w:sz="0" w:space="0" w:color="auto"/>
        <w:right w:val="none" w:sz="0" w:space="0" w:color="auto"/>
      </w:divBdr>
    </w:div>
    <w:div w:id="1974630676">
      <w:bodyDiv w:val="1"/>
      <w:marLeft w:val="0"/>
      <w:marRight w:val="0"/>
      <w:marTop w:val="0"/>
      <w:marBottom w:val="0"/>
      <w:divBdr>
        <w:top w:val="none" w:sz="0" w:space="0" w:color="auto"/>
        <w:left w:val="none" w:sz="0" w:space="0" w:color="auto"/>
        <w:bottom w:val="none" w:sz="0" w:space="0" w:color="auto"/>
        <w:right w:val="none" w:sz="0" w:space="0" w:color="auto"/>
      </w:divBdr>
    </w:div>
    <w:div w:id="1974678471">
      <w:bodyDiv w:val="1"/>
      <w:marLeft w:val="0"/>
      <w:marRight w:val="0"/>
      <w:marTop w:val="0"/>
      <w:marBottom w:val="0"/>
      <w:divBdr>
        <w:top w:val="none" w:sz="0" w:space="0" w:color="auto"/>
        <w:left w:val="none" w:sz="0" w:space="0" w:color="auto"/>
        <w:bottom w:val="none" w:sz="0" w:space="0" w:color="auto"/>
        <w:right w:val="none" w:sz="0" w:space="0" w:color="auto"/>
      </w:divBdr>
    </w:div>
    <w:div w:id="1974871087">
      <w:bodyDiv w:val="1"/>
      <w:marLeft w:val="0"/>
      <w:marRight w:val="0"/>
      <w:marTop w:val="0"/>
      <w:marBottom w:val="0"/>
      <w:divBdr>
        <w:top w:val="none" w:sz="0" w:space="0" w:color="auto"/>
        <w:left w:val="none" w:sz="0" w:space="0" w:color="auto"/>
        <w:bottom w:val="none" w:sz="0" w:space="0" w:color="auto"/>
        <w:right w:val="none" w:sz="0" w:space="0" w:color="auto"/>
      </w:divBdr>
    </w:div>
    <w:div w:id="1974947865">
      <w:bodyDiv w:val="1"/>
      <w:marLeft w:val="0"/>
      <w:marRight w:val="0"/>
      <w:marTop w:val="0"/>
      <w:marBottom w:val="0"/>
      <w:divBdr>
        <w:top w:val="none" w:sz="0" w:space="0" w:color="auto"/>
        <w:left w:val="none" w:sz="0" w:space="0" w:color="auto"/>
        <w:bottom w:val="none" w:sz="0" w:space="0" w:color="auto"/>
        <w:right w:val="none" w:sz="0" w:space="0" w:color="auto"/>
      </w:divBdr>
    </w:div>
    <w:div w:id="1975018666">
      <w:bodyDiv w:val="1"/>
      <w:marLeft w:val="0"/>
      <w:marRight w:val="0"/>
      <w:marTop w:val="0"/>
      <w:marBottom w:val="0"/>
      <w:divBdr>
        <w:top w:val="none" w:sz="0" w:space="0" w:color="auto"/>
        <w:left w:val="none" w:sz="0" w:space="0" w:color="auto"/>
        <w:bottom w:val="none" w:sz="0" w:space="0" w:color="auto"/>
        <w:right w:val="none" w:sz="0" w:space="0" w:color="auto"/>
      </w:divBdr>
    </w:div>
    <w:div w:id="1975058855">
      <w:bodyDiv w:val="1"/>
      <w:marLeft w:val="0"/>
      <w:marRight w:val="0"/>
      <w:marTop w:val="0"/>
      <w:marBottom w:val="0"/>
      <w:divBdr>
        <w:top w:val="none" w:sz="0" w:space="0" w:color="auto"/>
        <w:left w:val="none" w:sz="0" w:space="0" w:color="auto"/>
        <w:bottom w:val="none" w:sz="0" w:space="0" w:color="auto"/>
        <w:right w:val="none" w:sz="0" w:space="0" w:color="auto"/>
      </w:divBdr>
    </w:div>
    <w:div w:id="1975089916">
      <w:bodyDiv w:val="1"/>
      <w:marLeft w:val="0"/>
      <w:marRight w:val="0"/>
      <w:marTop w:val="0"/>
      <w:marBottom w:val="0"/>
      <w:divBdr>
        <w:top w:val="none" w:sz="0" w:space="0" w:color="auto"/>
        <w:left w:val="none" w:sz="0" w:space="0" w:color="auto"/>
        <w:bottom w:val="none" w:sz="0" w:space="0" w:color="auto"/>
        <w:right w:val="none" w:sz="0" w:space="0" w:color="auto"/>
      </w:divBdr>
    </w:div>
    <w:div w:id="1975208236">
      <w:bodyDiv w:val="1"/>
      <w:marLeft w:val="0"/>
      <w:marRight w:val="0"/>
      <w:marTop w:val="0"/>
      <w:marBottom w:val="0"/>
      <w:divBdr>
        <w:top w:val="none" w:sz="0" w:space="0" w:color="auto"/>
        <w:left w:val="none" w:sz="0" w:space="0" w:color="auto"/>
        <w:bottom w:val="none" w:sz="0" w:space="0" w:color="auto"/>
        <w:right w:val="none" w:sz="0" w:space="0" w:color="auto"/>
      </w:divBdr>
    </w:div>
    <w:div w:id="1975216461">
      <w:bodyDiv w:val="1"/>
      <w:marLeft w:val="0"/>
      <w:marRight w:val="0"/>
      <w:marTop w:val="0"/>
      <w:marBottom w:val="0"/>
      <w:divBdr>
        <w:top w:val="none" w:sz="0" w:space="0" w:color="auto"/>
        <w:left w:val="none" w:sz="0" w:space="0" w:color="auto"/>
        <w:bottom w:val="none" w:sz="0" w:space="0" w:color="auto"/>
        <w:right w:val="none" w:sz="0" w:space="0" w:color="auto"/>
      </w:divBdr>
    </w:div>
    <w:div w:id="1975257415">
      <w:bodyDiv w:val="1"/>
      <w:marLeft w:val="0"/>
      <w:marRight w:val="0"/>
      <w:marTop w:val="0"/>
      <w:marBottom w:val="0"/>
      <w:divBdr>
        <w:top w:val="none" w:sz="0" w:space="0" w:color="auto"/>
        <w:left w:val="none" w:sz="0" w:space="0" w:color="auto"/>
        <w:bottom w:val="none" w:sz="0" w:space="0" w:color="auto"/>
        <w:right w:val="none" w:sz="0" w:space="0" w:color="auto"/>
      </w:divBdr>
    </w:div>
    <w:div w:id="1975258778">
      <w:bodyDiv w:val="1"/>
      <w:marLeft w:val="0"/>
      <w:marRight w:val="0"/>
      <w:marTop w:val="0"/>
      <w:marBottom w:val="0"/>
      <w:divBdr>
        <w:top w:val="none" w:sz="0" w:space="0" w:color="auto"/>
        <w:left w:val="none" w:sz="0" w:space="0" w:color="auto"/>
        <w:bottom w:val="none" w:sz="0" w:space="0" w:color="auto"/>
        <w:right w:val="none" w:sz="0" w:space="0" w:color="auto"/>
      </w:divBdr>
    </w:div>
    <w:div w:id="1975328469">
      <w:bodyDiv w:val="1"/>
      <w:marLeft w:val="0"/>
      <w:marRight w:val="0"/>
      <w:marTop w:val="0"/>
      <w:marBottom w:val="0"/>
      <w:divBdr>
        <w:top w:val="none" w:sz="0" w:space="0" w:color="auto"/>
        <w:left w:val="none" w:sz="0" w:space="0" w:color="auto"/>
        <w:bottom w:val="none" w:sz="0" w:space="0" w:color="auto"/>
        <w:right w:val="none" w:sz="0" w:space="0" w:color="auto"/>
      </w:divBdr>
    </w:div>
    <w:div w:id="1975333795">
      <w:bodyDiv w:val="1"/>
      <w:marLeft w:val="0"/>
      <w:marRight w:val="0"/>
      <w:marTop w:val="0"/>
      <w:marBottom w:val="0"/>
      <w:divBdr>
        <w:top w:val="none" w:sz="0" w:space="0" w:color="auto"/>
        <w:left w:val="none" w:sz="0" w:space="0" w:color="auto"/>
        <w:bottom w:val="none" w:sz="0" w:space="0" w:color="auto"/>
        <w:right w:val="none" w:sz="0" w:space="0" w:color="auto"/>
      </w:divBdr>
    </w:div>
    <w:div w:id="1975452642">
      <w:bodyDiv w:val="1"/>
      <w:marLeft w:val="0"/>
      <w:marRight w:val="0"/>
      <w:marTop w:val="0"/>
      <w:marBottom w:val="0"/>
      <w:divBdr>
        <w:top w:val="none" w:sz="0" w:space="0" w:color="auto"/>
        <w:left w:val="none" w:sz="0" w:space="0" w:color="auto"/>
        <w:bottom w:val="none" w:sz="0" w:space="0" w:color="auto"/>
        <w:right w:val="none" w:sz="0" w:space="0" w:color="auto"/>
      </w:divBdr>
    </w:div>
    <w:div w:id="1975594079">
      <w:bodyDiv w:val="1"/>
      <w:marLeft w:val="0"/>
      <w:marRight w:val="0"/>
      <w:marTop w:val="0"/>
      <w:marBottom w:val="0"/>
      <w:divBdr>
        <w:top w:val="none" w:sz="0" w:space="0" w:color="auto"/>
        <w:left w:val="none" w:sz="0" w:space="0" w:color="auto"/>
        <w:bottom w:val="none" w:sz="0" w:space="0" w:color="auto"/>
        <w:right w:val="none" w:sz="0" w:space="0" w:color="auto"/>
      </w:divBdr>
    </w:div>
    <w:div w:id="1975674996">
      <w:bodyDiv w:val="1"/>
      <w:marLeft w:val="0"/>
      <w:marRight w:val="0"/>
      <w:marTop w:val="0"/>
      <w:marBottom w:val="0"/>
      <w:divBdr>
        <w:top w:val="none" w:sz="0" w:space="0" w:color="auto"/>
        <w:left w:val="none" w:sz="0" w:space="0" w:color="auto"/>
        <w:bottom w:val="none" w:sz="0" w:space="0" w:color="auto"/>
        <w:right w:val="none" w:sz="0" w:space="0" w:color="auto"/>
      </w:divBdr>
    </w:div>
    <w:div w:id="1975677452">
      <w:bodyDiv w:val="1"/>
      <w:marLeft w:val="0"/>
      <w:marRight w:val="0"/>
      <w:marTop w:val="0"/>
      <w:marBottom w:val="0"/>
      <w:divBdr>
        <w:top w:val="none" w:sz="0" w:space="0" w:color="auto"/>
        <w:left w:val="none" w:sz="0" w:space="0" w:color="auto"/>
        <w:bottom w:val="none" w:sz="0" w:space="0" w:color="auto"/>
        <w:right w:val="none" w:sz="0" w:space="0" w:color="auto"/>
      </w:divBdr>
    </w:div>
    <w:div w:id="1975678759">
      <w:bodyDiv w:val="1"/>
      <w:marLeft w:val="0"/>
      <w:marRight w:val="0"/>
      <w:marTop w:val="0"/>
      <w:marBottom w:val="0"/>
      <w:divBdr>
        <w:top w:val="none" w:sz="0" w:space="0" w:color="auto"/>
        <w:left w:val="none" w:sz="0" w:space="0" w:color="auto"/>
        <w:bottom w:val="none" w:sz="0" w:space="0" w:color="auto"/>
        <w:right w:val="none" w:sz="0" w:space="0" w:color="auto"/>
      </w:divBdr>
    </w:div>
    <w:div w:id="1975720288">
      <w:bodyDiv w:val="1"/>
      <w:marLeft w:val="0"/>
      <w:marRight w:val="0"/>
      <w:marTop w:val="0"/>
      <w:marBottom w:val="0"/>
      <w:divBdr>
        <w:top w:val="none" w:sz="0" w:space="0" w:color="auto"/>
        <w:left w:val="none" w:sz="0" w:space="0" w:color="auto"/>
        <w:bottom w:val="none" w:sz="0" w:space="0" w:color="auto"/>
        <w:right w:val="none" w:sz="0" w:space="0" w:color="auto"/>
      </w:divBdr>
    </w:div>
    <w:div w:id="1975870535">
      <w:bodyDiv w:val="1"/>
      <w:marLeft w:val="0"/>
      <w:marRight w:val="0"/>
      <w:marTop w:val="0"/>
      <w:marBottom w:val="0"/>
      <w:divBdr>
        <w:top w:val="none" w:sz="0" w:space="0" w:color="auto"/>
        <w:left w:val="none" w:sz="0" w:space="0" w:color="auto"/>
        <w:bottom w:val="none" w:sz="0" w:space="0" w:color="auto"/>
        <w:right w:val="none" w:sz="0" w:space="0" w:color="auto"/>
      </w:divBdr>
    </w:div>
    <w:div w:id="1975939915">
      <w:bodyDiv w:val="1"/>
      <w:marLeft w:val="0"/>
      <w:marRight w:val="0"/>
      <w:marTop w:val="0"/>
      <w:marBottom w:val="0"/>
      <w:divBdr>
        <w:top w:val="none" w:sz="0" w:space="0" w:color="auto"/>
        <w:left w:val="none" w:sz="0" w:space="0" w:color="auto"/>
        <w:bottom w:val="none" w:sz="0" w:space="0" w:color="auto"/>
        <w:right w:val="none" w:sz="0" w:space="0" w:color="auto"/>
      </w:divBdr>
    </w:div>
    <w:div w:id="1975940454">
      <w:bodyDiv w:val="1"/>
      <w:marLeft w:val="0"/>
      <w:marRight w:val="0"/>
      <w:marTop w:val="0"/>
      <w:marBottom w:val="0"/>
      <w:divBdr>
        <w:top w:val="none" w:sz="0" w:space="0" w:color="auto"/>
        <w:left w:val="none" w:sz="0" w:space="0" w:color="auto"/>
        <w:bottom w:val="none" w:sz="0" w:space="0" w:color="auto"/>
        <w:right w:val="none" w:sz="0" w:space="0" w:color="auto"/>
      </w:divBdr>
    </w:div>
    <w:div w:id="1975987103">
      <w:bodyDiv w:val="1"/>
      <w:marLeft w:val="0"/>
      <w:marRight w:val="0"/>
      <w:marTop w:val="0"/>
      <w:marBottom w:val="0"/>
      <w:divBdr>
        <w:top w:val="none" w:sz="0" w:space="0" w:color="auto"/>
        <w:left w:val="none" w:sz="0" w:space="0" w:color="auto"/>
        <w:bottom w:val="none" w:sz="0" w:space="0" w:color="auto"/>
        <w:right w:val="none" w:sz="0" w:space="0" w:color="auto"/>
      </w:divBdr>
    </w:div>
    <w:div w:id="1976059801">
      <w:bodyDiv w:val="1"/>
      <w:marLeft w:val="0"/>
      <w:marRight w:val="0"/>
      <w:marTop w:val="0"/>
      <w:marBottom w:val="0"/>
      <w:divBdr>
        <w:top w:val="none" w:sz="0" w:space="0" w:color="auto"/>
        <w:left w:val="none" w:sz="0" w:space="0" w:color="auto"/>
        <w:bottom w:val="none" w:sz="0" w:space="0" w:color="auto"/>
        <w:right w:val="none" w:sz="0" w:space="0" w:color="auto"/>
      </w:divBdr>
    </w:div>
    <w:div w:id="1976252260">
      <w:bodyDiv w:val="1"/>
      <w:marLeft w:val="0"/>
      <w:marRight w:val="0"/>
      <w:marTop w:val="0"/>
      <w:marBottom w:val="0"/>
      <w:divBdr>
        <w:top w:val="none" w:sz="0" w:space="0" w:color="auto"/>
        <w:left w:val="none" w:sz="0" w:space="0" w:color="auto"/>
        <w:bottom w:val="none" w:sz="0" w:space="0" w:color="auto"/>
        <w:right w:val="none" w:sz="0" w:space="0" w:color="auto"/>
      </w:divBdr>
    </w:div>
    <w:div w:id="1976253078">
      <w:bodyDiv w:val="1"/>
      <w:marLeft w:val="0"/>
      <w:marRight w:val="0"/>
      <w:marTop w:val="0"/>
      <w:marBottom w:val="0"/>
      <w:divBdr>
        <w:top w:val="none" w:sz="0" w:space="0" w:color="auto"/>
        <w:left w:val="none" w:sz="0" w:space="0" w:color="auto"/>
        <w:bottom w:val="none" w:sz="0" w:space="0" w:color="auto"/>
        <w:right w:val="none" w:sz="0" w:space="0" w:color="auto"/>
      </w:divBdr>
    </w:div>
    <w:div w:id="1976256410">
      <w:bodyDiv w:val="1"/>
      <w:marLeft w:val="0"/>
      <w:marRight w:val="0"/>
      <w:marTop w:val="0"/>
      <w:marBottom w:val="0"/>
      <w:divBdr>
        <w:top w:val="none" w:sz="0" w:space="0" w:color="auto"/>
        <w:left w:val="none" w:sz="0" w:space="0" w:color="auto"/>
        <w:bottom w:val="none" w:sz="0" w:space="0" w:color="auto"/>
        <w:right w:val="none" w:sz="0" w:space="0" w:color="auto"/>
      </w:divBdr>
    </w:div>
    <w:div w:id="1976256754">
      <w:bodyDiv w:val="1"/>
      <w:marLeft w:val="0"/>
      <w:marRight w:val="0"/>
      <w:marTop w:val="0"/>
      <w:marBottom w:val="0"/>
      <w:divBdr>
        <w:top w:val="none" w:sz="0" w:space="0" w:color="auto"/>
        <w:left w:val="none" w:sz="0" w:space="0" w:color="auto"/>
        <w:bottom w:val="none" w:sz="0" w:space="0" w:color="auto"/>
        <w:right w:val="none" w:sz="0" w:space="0" w:color="auto"/>
      </w:divBdr>
    </w:div>
    <w:div w:id="1976326096">
      <w:bodyDiv w:val="1"/>
      <w:marLeft w:val="0"/>
      <w:marRight w:val="0"/>
      <w:marTop w:val="0"/>
      <w:marBottom w:val="0"/>
      <w:divBdr>
        <w:top w:val="none" w:sz="0" w:space="0" w:color="auto"/>
        <w:left w:val="none" w:sz="0" w:space="0" w:color="auto"/>
        <w:bottom w:val="none" w:sz="0" w:space="0" w:color="auto"/>
        <w:right w:val="none" w:sz="0" w:space="0" w:color="auto"/>
      </w:divBdr>
    </w:div>
    <w:div w:id="1976328235">
      <w:bodyDiv w:val="1"/>
      <w:marLeft w:val="0"/>
      <w:marRight w:val="0"/>
      <w:marTop w:val="0"/>
      <w:marBottom w:val="0"/>
      <w:divBdr>
        <w:top w:val="none" w:sz="0" w:space="0" w:color="auto"/>
        <w:left w:val="none" w:sz="0" w:space="0" w:color="auto"/>
        <w:bottom w:val="none" w:sz="0" w:space="0" w:color="auto"/>
        <w:right w:val="none" w:sz="0" w:space="0" w:color="auto"/>
      </w:divBdr>
    </w:div>
    <w:div w:id="1976330125">
      <w:bodyDiv w:val="1"/>
      <w:marLeft w:val="0"/>
      <w:marRight w:val="0"/>
      <w:marTop w:val="0"/>
      <w:marBottom w:val="0"/>
      <w:divBdr>
        <w:top w:val="none" w:sz="0" w:space="0" w:color="auto"/>
        <w:left w:val="none" w:sz="0" w:space="0" w:color="auto"/>
        <w:bottom w:val="none" w:sz="0" w:space="0" w:color="auto"/>
        <w:right w:val="none" w:sz="0" w:space="0" w:color="auto"/>
      </w:divBdr>
    </w:div>
    <w:div w:id="1976450345">
      <w:bodyDiv w:val="1"/>
      <w:marLeft w:val="0"/>
      <w:marRight w:val="0"/>
      <w:marTop w:val="0"/>
      <w:marBottom w:val="0"/>
      <w:divBdr>
        <w:top w:val="none" w:sz="0" w:space="0" w:color="auto"/>
        <w:left w:val="none" w:sz="0" w:space="0" w:color="auto"/>
        <w:bottom w:val="none" w:sz="0" w:space="0" w:color="auto"/>
        <w:right w:val="none" w:sz="0" w:space="0" w:color="auto"/>
      </w:divBdr>
    </w:div>
    <w:div w:id="1976519578">
      <w:bodyDiv w:val="1"/>
      <w:marLeft w:val="0"/>
      <w:marRight w:val="0"/>
      <w:marTop w:val="0"/>
      <w:marBottom w:val="0"/>
      <w:divBdr>
        <w:top w:val="none" w:sz="0" w:space="0" w:color="auto"/>
        <w:left w:val="none" w:sz="0" w:space="0" w:color="auto"/>
        <w:bottom w:val="none" w:sz="0" w:space="0" w:color="auto"/>
        <w:right w:val="none" w:sz="0" w:space="0" w:color="auto"/>
      </w:divBdr>
    </w:div>
    <w:div w:id="1976640491">
      <w:bodyDiv w:val="1"/>
      <w:marLeft w:val="0"/>
      <w:marRight w:val="0"/>
      <w:marTop w:val="0"/>
      <w:marBottom w:val="0"/>
      <w:divBdr>
        <w:top w:val="none" w:sz="0" w:space="0" w:color="auto"/>
        <w:left w:val="none" w:sz="0" w:space="0" w:color="auto"/>
        <w:bottom w:val="none" w:sz="0" w:space="0" w:color="auto"/>
        <w:right w:val="none" w:sz="0" w:space="0" w:color="auto"/>
      </w:divBdr>
    </w:div>
    <w:div w:id="1976792819">
      <w:bodyDiv w:val="1"/>
      <w:marLeft w:val="0"/>
      <w:marRight w:val="0"/>
      <w:marTop w:val="0"/>
      <w:marBottom w:val="0"/>
      <w:divBdr>
        <w:top w:val="none" w:sz="0" w:space="0" w:color="auto"/>
        <w:left w:val="none" w:sz="0" w:space="0" w:color="auto"/>
        <w:bottom w:val="none" w:sz="0" w:space="0" w:color="auto"/>
        <w:right w:val="none" w:sz="0" w:space="0" w:color="auto"/>
      </w:divBdr>
    </w:div>
    <w:div w:id="1976832135">
      <w:bodyDiv w:val="1"/>
      <w:marLeft w:val="0"/>
      <w:marRight w:val="0"/>
      <w:marTop w:val="0"/>
      <w:marBottom w:val="0"/>
      <w:divBdr>
        <w:top w:val="none" w:sz="0" w:space="0" w:color="auto"/>
        <w:left w:val="none" w:sz="0" w:space="0" w:color="auto"/>
        <w:bottom w:val="none" w:sz="0" w:space="0" w:color="auto"/>
        <w:right w:val="none" w:sz="0" w:space="0" w:color="auto"/>
      </w:divBdr>
    </w:div>
    <w:div w:id="1976835399">
      <w:bodyDiv w:val="1"/>
      <w:marLeft w:val="0"/>
      <w:marRight w:val="0"/>
      <w:marTop w:val="0"/>
      <w:marBottom w:val="0"/>
      <w:divBdr>
        <w:top w:val="none" w:sz="0" w:space="0" w:color="auto"/>
        <w:left w:val="none" w:sz="0" w:space="0" w:color="auto"/>
        <w:bottom w:val="none" w:sz="0" w:space="0" w:color="auto"/>
        <w:right w:val="none" w:sz="0" w:space="0" w:color="auto"/>
      </w:divBdr>
    </w:div>
    <w:div w:id="1976835782">
      <w:bodyDiv w:val="1"/>
      <w:marLeft w:val="0"/>
      <w:marRight w:val="0"/>
      <w:marTop w:val="0"/>
      <w:marBottom w:val="0"/>
      <w:divBdr>
        <w:top w:val="none" w:sz="0" w:space="0" w:color="auto"/>
        <w:left w:val="none" w:sz="0" w:space="0" w:color="auto"/>
        <w:bottom w:val="none" w:sz="0" w:space="0" w:color="auto"/>
        <w:right w:val="none" w:sz="0" w:space="0" w:color="auto"/>
      </w:divBdr>
    </w:div>
    <w:div w:id="1976836490">
      <w:bodyDiv w:val="1"/>
      <w:marLeft w:val="0"/>
      <w:marRight w:val="0"/>
      <w:marTop w:val="0"/>
      <w:marBottom w:val="0"/>
      <w:divBdr>
        <w:top w:val="none" w:sz="0" w:space="0" w:color="auto"/>
        <w:left w:val="none" w:sz="0" w:space="0" w:color="auto"/>
        <w:bottom w:val="none" w:sz="0" w:space="0" w:color="auto"/>
        <w:right w:val="none" w:sz="0" w:space="0" w:color="auto"/>
      </w:divBdr>
    </w:div>
    <w:div w:id="1976909486">
      <w:bodyDiv w:val="1"/>
      <w:marLeft w:val="0"/>
      <w:marRight w:val="0"/>
      <w:marTop w:val="0"/>
      <w:marBottom w:val="0"/>
      <w:divBdr>
        <w:top w:val="none" w:sz="0" w:space="0" w:color="auto"/>
        <w:left w:val="none" w:sz="0" w:space="0" w:color="auto"/>
        <w:bottom w:val="none" w:sz="0" w:space="0" w:color="auto"/>
        <w:right w:val="none" w:sz="0" w:space="0" w:color="auto"/>
      </w:divBdr>
    </w:div>
    <w:div w:id="1976912245">
      <w:bodyDiv w:val="1"/>
      <w:marLeft w:val="0"/>
      <w:marRight w:val="0"/>
      <w:marTop w:val="0"/>
      <w:marBottom w:val="0"/>
      <w:divBdr>
        <w:top w:val="none" w:sz="0" w:space="0" w:color="auto"/>
        <w:left w:val="none" w:sz="0" w:space="0" w:color="auto"/>
        <w:bottom w:val="none" w:sz="0" w:space="0" w:color="auto"/>
        <w:right w:val="none" w:sz="0" w:space="0" w:color="auto"/>
      </w:divBdr>
    </w:div>
    <w:div w:id="1976983577">
      <w:bodyDiv w:val="1"/>
      <w:marLeft w:val="0"/>
      <w:marRight w:val="0"/>
      <w:marTop w:val="0"/>
      <w:marBottom w:val="0"/>
      <w:divBdr>
        <w:top w:val="none" w:sz="0" w:space="0" w:color="auto"/>
        <w:left w:val="none" w:sz="0" w:space="0" w:color="auto"/>
        <w:bottom w:val="none" w:sz="0" w:space="0" w:color="auto"/>
        <w:right w:val="none" w:sz="0" w:space="0" w:color="auto"/>
      </w:divBdr>
    </w:div>
    <w:div w:id="1976989187">
      <w:bodyDiv w:val="1"/>
      <w:marLeft w:val="0"/>
      <w:marRight w:val="0"/>
      <w:marTop w:val="0"/>
      <w:marBottom w:val="0"/>
      <w:divBdr>
        <w:top w:val="none" w:sz="0" w:space="0" w:color="auto"/>
        <w:left w:val="none" w:sz="0" w:space="0" w:color="auto"/>
        <w:bottom w:val="none" w:sz="0" w:space="0" w:color="auto"/>
        <w:right w:val="none" w:sz="0" w:space="0" w:color="auto"/>
      </w:divBdr>
    </w:div>
    <w:div w:id="1977028476">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107376">
      <w:bodyDiv w:val="1"/>
      <w:marLeft w:val="0"/>
      <w:marRight w:val="0"/>
      <w:marTop w:val="0"/>
      <w:marBottom w:val="0"/>
      <w:divBdr>
        <w:top w:val="none" w:sz="0" w:space="0" w:color="auto"/>
        <w:left w:val="none" w:sz="0" w:space="0" w:color="auto"/>
        <w:bottom w:val="none" w:sz="0" w:space="0" w:color="auto"/>
        <w:right w:val="none" w:sz="0" w:space="0" w:color="auto"/>
      </w:divBdr>
    </w:div>
    <w:div w:id="1977251423">
      <w:bodyDiv w:val="1"/>
      <w:marLeft w:val="0"/>
      <w:marRight w:val="0"/>
      <w:marTop w:val="0"/>
      <w:marBottom w:val="0"/>
      <w:divBdr>
        <w:top w:val="none" w:sz="0" w:space="0" w:color="auto"/>
        <w:left w:val="none" w:sz="0" w:space="0" w:color="auto"/>
        <w:bottom w:val="none" w:sz="0" w:space="0" w:color="auto"/>
        <w:right w:val="none" w:sz="0" w:space="0" w:color="auto"/>
      </w:divBdr>
    </w:div>
    <w:div w:id="1977486652">
      <w:bodyDiv w:val="1"/>
      <w:marLeft w:val="0"/>
      <w:marRight w:val="0"/>
      <w:marTop w:val="0"/>
      <w:marBottom w:val="0"/>
      <w:divBdr>
        <w:top w:val="none" w:sz="0" w:space="0" w:color="auto"/>
        <w:left w:val="none" w:sz="0" w:space="0" w:color="auto"/>
        <w:bottom w:val="none" w:sz="0" w:space="0" w:color="auto"/>
        <w:right w:val="none" w:sz="0" w:space="0" w:color="auto"/>
      </w:divBdr>
    </w:div>
    <w:div w:id="1977635386">
      <w:bodyDiv w:val="1"/>
      <w:marLeft w:val="0"/>
      <w:marRight w:val="0"/>
      <w:marTop w:val="0"/>
      <w:marBottom w:val="0"/>
      <w:divBdr>
        <w:top w:val="none" w:sz="0" w:space="0" w:color="auto"/>
        <w:left w:val="none" w:sz="0" w:space="0" w:color="auto"/>
        <w:bottom w:val="none" w:sz="0" w:space="0" w:color="auto"/>
        <w:right w:val="none" w:sz="0" w:space="0" w:color="auto"/>
      </w:divBdr>
    </w:div>
    <w:div w:id="1977639000">
      <w:bodyDiv w:val="1"/>
      <w:marLeft w:val="0"/>
      <w:marRight w:val="0"/>
      <w:marTop w:val="0"/>
      <w:marBottom w:val="0"/>
      <w:divBdr>
        <w:top w:val="none" w:sz="0" w:space="0" w:color="auto"/>
        <w:left w:val="none" w:sz="0" w:space="0" w:color="auto"/>
        <w:bottom w:val="none" w:sz="0" w:space="0" w:color="auto"/>
        <w:right w:val="none" w:sz="0" w:space="0" w:color="auto"/>
      </w:divBdr>
    </w:div>
    <w:div w:id="1977680307">
      <w:bodyDiv w:val="1"/>
      <w:marLeft w:val="0"/>
      <w:marRight w:val="0"/>
      <w:marTop w:val="0"/>
      <w:marBottom w:val="0"/>
      <w:divBdr>
        <w:top w:val="none" w:sz="0" w:space="0" w:color="auto"/>
        <w:left w:val="none" w:sz="0" w:space="0" w:color="auto"/>
        <w:bottom w:val="none" w:sz="0" w:space="0" w:color="auto"/>
        <w:right w:val="none" w:sz="0" w:space="0" w:color="auto"/>
      </w:divBdr>
    </w:div>
    <w:div w:id="1977681059">
      <w:bodyDiv w:val="1"/>
      <w:marLeft w:val="0"/>
      <w:marRight w:val="0"/>
      <w:marTop w:val="0"/>
      <w:marBottom w:val="0"/>
      <w:divBdr>
        <w:top w:val="none" w:sz="0" w:space="0" w:color="auto"/>
        <w:left w:val="none" w:sz="0" w:space="0" w:color="auto"/>
        <w:bottom w:val="none" w:sz="0" w:space="0" w:color="auto"/>
        <w:right w:val="none" w:sz="0" w:space="0" w:color="auto"/>
      </w:divBdr>
    </w:div>
    <w:div w:id="1977684794">
      <w:bodyDiv w:val="1"/>
      <w:marLeft w:val="0"/>
      <w:marRight w:val="0"/>
      <w:marTop w:val="0"/>
      <w:marBottom w:val="0"/>
      <w:divBdr>
        <w:top w:val="none" w:sz="0" w:space="0" w:color="auto"/>
        <w:left w:val="none" w:sz="0" w:space="0" w:color="auto"/>
        <w:bottom w:val="none" w:sz="0" w:space="0" w:color="auto"/>
        <w:right w:val="none" w:sz="0" w:space="0" w:color="auto"/>
      </w:divBdr>
    </w:div>
    <w:div w:id="1977685949">
      <w:bodyDiv w:val="1"/>
      <w:marLeft w:val="0"/>
      <w:marRight w:val="0"/>
      <w:marTop w:val="0"/>
      <w:marBottom w:val="0"/>
      <w:divBdr>
        <w:top w:val="none" w:sz="0" w:space="0" w:color="auto"/>
        <w:left w:val="none" w:sz="0" w:space="0" w:color="auto"/>
        <w:bottom w:val="none" w:sz="0" w:space="0" w:color="auto"/>
        <w:right w:val="none" w:sz="0" w:space="0" w:color="auto"/>
      </w:divBdr>
    </w:div>
    <w:div w:id="1977686638">
      <w:bodyDiv w:val="1"/>
      <w:marLeft w:val="0"/>
      <w:marRight w:val="0"/>
      <w:marTop w:val="0"/>
      <w:marBottom w:val="0"/>
      <w:divBdr>
        <w:top w:val="none" w:sz="0" w:space="0" w:color="auto"/>
        <w:left w:val="none" w:sz="0" w:space="0" w:color="auto"/>
        <w:bottom w:val="none" w:sz="0" w:space="0" w:color="auto"/>
        <w:right w:val="none" w:sz="0" w:space="0" w:color="auto"/>
      </w:divBdr>
    </w:div>
    <w:div w:id="1977907964">
      <w:bodyDiv w:val="1"/>
      <w:marLeft w:val="0"/>
      <w:marRight w:val="0"/>
      <w:marTop w:val="0"/>
      <w:marBottom w:val="0"/>
      <w:divBdr>
        <w:top w:val="none" w:sz="0" w:space="0" w:color="auto"/>
        <w:left w:val="none" w:sz="0" w:space="0" w:color="auto"/>
        <w:bottom w:val="none" w:sz="0" w:space="0" w:color="auto"/>
        <w:right w:val="none" w:sz="0" w:space="0" w:color="auto"/>
      </w:divBdr>
    </w:div>
    <w:div w:id="1978100986">
      <w:bodyDiv w:val="1"/>
      <w:marLeft w:val="0"/>
      <w:marRight w:val="0"/>
      <w:marTop w:val="0"/>
      <w:marBottom w:val="0"/>
      <w:divBdr>
        <w:top w:val="none" w:sz="0" w:space="0" w:color="auto"/>
        <w:left w:val="none" w:sz="0" w:space="0" w:color="auto"/>
        <w:bottom w:val="none" w:sz="0" w:space="0" w:color="auto"/>
        <w:right w:val="none" w:sz="0" w:space="0" w:color="auto"/>
      </w:divBdr>
    </w:div>
    <w:div w:id="1978218227">
      <w:bodyDiv w:val="1"/>
      <w:marLeft w:val="0"/>
      <w:marRight w:val="0"/>
      <w:marTop w:val="0"/>
      <w:marBottom w:val="0"/>
      <w:divBdr>
        <w:top w:val="none" w:sz="0" w:space="0" w:color="auto"/>
        <w:left w:val="none" w:sz="0" w:space="0" w:color="auto"/>
        <w:bottom w:val="none" w:sz="0" w:space="0" w:color="auto"/>
        <w:right w:val="none" w:sz="0" w:space="0" w:color="auto"/>
      </w:divBdr>
    </w:div>
    <w:div w:id="1978413122">
      <w:bodyDiv w:val="1"/>
      <w:marLeft w:val="0"/>
      <w:marRight w:val="0"/>
      <w:marTop w:val="0"/>
      <w:marBottom w:val="0"/>
      <w:divBdr>
        <w:top w:val="none" w:sz="0" w:space="0" w:color="auto"/>
        <w:left w:val="none" w:sz="0" w:space="0" w:color="auto"/>
        <w:bottom w:val="none" w:sz="0" w:space="0" w:color="auto"/>
        <w:right w:val="none" w:sz="0" w:space="0" w:color="auto"/>
      </w:divBdr>
    </w:div>
    <w:div w:id="1978414011">
      <w:bodyDiv w:val="1"/>
      <w:marLeft w:val="0"/>
      <w:marRight w:val="0"/>
      <w:marTop w:val="0"/>
      <w:marBottom w:val="0"/>
      <w:divBdr>
        <w:top w:val="none" w:sz="0" w:space="0" w:color="auto"/>
        <w:left w:val="none" w:sz="0" w:space="0" w:color="auto"/>
        <w:bottom w:val="none" w:sz="0" w:space="0" w:color="auto"/>
        <w:right w:val="none" w:sz="0" w:space="0" w:color="auto"/>
      </w:divBdr>
    </w:div>
    <w:div w:id="1978485640">
      <w:bodyDiv w:val="1"/>
      <w:marLeft w:val="0"/>
      <w:marRight w:val="0"/>
      <w:marTop w:val="0"/>
      <w:marBottom w:val="0"/>
      <w:divBdr>
        <w:top w:val="none" w:sz="0" w:space="0" w:color="auto"/>
        <w:left w:val="none" w:sz="0" w:space="0" w:color="auto"/>
        <w:bottom w:val="none" w:sz="0" w:space="0" w:color="auto"/>
        <w:right w:val="none" w:sz="0" w:space="0" w:color="auto"/>
      </w:divBdr>
    </w:div>
    <w:div w:id="1978533826">
      <w:bodyDiv w:val="1"/>
      <w:marLeft w:val="0"/>
      <w:marRight w:val="0"/>
      <w:marTop w:val="0"/>
      <w:marBottom w:val="0"/>
      <w:divBdr>
        <w:top w:val="none" w:sz="0" w:space="0" w:color="auto"/>
        <w:left w:val="none" w:sz="0" w:space="0" w:color="auto"/>
        <w:bottom w:val="none" w:sz="0" w:space="0" w:color="auto"/>
        <w:right w:val="none" w:sz="0" w:space="0" w:color="auto"/>
      </w:divBdr>
    </w:div>
    <w:div w:id="1978563536">
      <w:bodyDiv w:val="1"/>
      <w:marLeft w:val="0"/>
      <w:marRight w:val="0"/>
      <w:marTop w:val="0"/>
      <w:marBottom w:val="0"/>
      <w:divBdr>
        <w:top w:val="none" w:sz="0" w:space="0" w:color="auto"/>
        <w:left w:val="none" w:sz="0" w:space="0" w:color="auto"/>
        <w:bottom w:val="none" w:sz="0" w:space="0" w:color="auto"/>
        <w:right w:val="none" w:sz="0" w:space="0" w:color="auto"/>
      </w:divBdr>
    </w:div>
    <w:div w:id="1978801670">
      <w:bodyDiv w:val="1"/>
      <w:marLeft w:val="0"/>
      <w:marRight w:val="0"/>
      <w:marTop w:val="0"/>
      <w:marBottom w:val="0"/>
      <w:divBdr>
        <w:top w:val="none" w:sz="0" w:space="0" w:color="auto"/>
        <w:left w:val="none" w:sz="0" w:space="0" w:color="auto"/>
        <w:bottom w:val="none" w:sz="0" w:space="0" w:color="auto"/>
        <w:right w:val="none" w:sz="0" w:space="0" w:color="auto"/>
      </w:divBdr>
    </w:div>
    <w:div w:id="1978873681">
      <w:bodyDiv w:val="1"/>
      <w:marLeft w:val="0"/>
      <w:marRight w:val="0"/>
      <w:marTop w:val="0"/>
      <w:marBottom w:val="0"/>
      <w:divBdr>
        <w:top w:val="none" w:sz="0" w:space="0" w:color="auto"/>
        <w:left w:val="none" w:sz="0" w:space="0" w:color="auto"/>
        <w:bottom w:val="none" w:sz="0" w:space="0" w:color="auto"/>
        <w:right w:val="none" w:sz="0" w:space="0" w:color="auto"/>
      </w:divBdr>
    </w:div>
    <w:div w:id="1978949441">
      <w:bodyDiv w:val="1"/>
      <w:marLeft w:val="0"/>
      <w:marRight w:val="0"/>
      <w:marTop w:val="0"/>
      <w:marBottom w:val="0"/>
      <w:divBdr>
        <w:top w:val="none" w:sz="0" w:space="0" w:color="auto"/>
        <w:left w:val="none" w:sz="0" w:space="0" w:color="auto"/>
        <w:bottom w:val="none" w:sz="0" w:space="0" w:color="auto"/>
        <w:right w:val="none" w:sz="0" w:space="0" w:color="auto"/>
      </w:divBdr>
    </w:div>
    <w:div w:id="1978949912">
      <w:bodyDiv w:val="1"/>
      <w:marLeft w:val="0"/>
      <w:marRight w:val="0"/>
      <w:marTop w:val="0"/>
      <w:marBottom w:val="0"/>
      <w:divBdr>
        <w:top w:val="none" w:sz="0" w:space="0" w:color="auto"/>
        <w:left w:val="none" w:sz="0" w:space="0" w:color="auto"/>
        <w:bottom w:val="none" w:sz="0" w:space="0" w:color="auto"/>
        <w:right w:val="none" w:sz="0" w:space="0" w:color="auto"/>
      </w:divBdr>
    </w:div>
    <w:div w:id="1979144298">
      <w:bodyDiv w:val="1"/>
      <w:marLeft w:val="0"/>
      <w:marRight w:val="0"/>
      <w:marTop w:val="0"/>
      <w:marBottom w:val="0"/>
      <w:divBdr>
        <w:top w:val="none" w:sz="0" w:space="0" w:color="auto"/>
        <w:left w:val="none" w:sz="0" w:space="0" w:color="auto"/>
        <w:bottom w:val="none" w:sz="0" w:space="0" w:color="auto"/>
        <w:right w:val="none" w:sz="0" w:space="0" w:color="auto"/>
      </w:divBdr>
    </w:div>
    <w:div w:id="1979259079">
      <w:bodyDiv w:val="1"/>
      <w:marLeft w:val="0"/>
      <w:marRight w:val="0"/>
      <w:marTop w:val="0"/>
      <w:marBottom w:val="0"/>
      <w:divBdr>
        <w:top w:val="none" w:sz="0" w:space="0" w:color="auto"/>
        <w:left w:val="none" w:sz="0" w:space="0" w:color="auto"/>
        <w:bottom w:val="none" w:sz="0" w:space="0" w:color="auto"/>
        <w:right w:val="none" w:sz="0" w:space="0" w:color="auto"/>
      </w:divBdr>
    </w:div>
    <w:div w:id="1979336577">
      <w:bodyDiv w:val="1"/>
      <w:marLeft w:val="0"/>
      <w:marRight w:val="0"/>
      <w:marTop w:val="0"/>
      <w:marBottom w:val="0"/>
      <w:divBdr>
        <w:top w:val="none" w:sz="0" w:space="0" w:color="auto"/>
        <w:left w:val="none" w:sz="0" w:space="0" w:color="auto"/>
        <w:bottom w:val="none" w:sz="0" w:space="0" w:color="auto"/>
        <w:right w:val="none" w:sz="0" w:space="0" w:color="auto"/>
      </w:divBdr>
    </w:div>
    <w:div w:id="1979529108">
      <w:bodyDiv w:val="1"/>
      <w:marLeft w:val="0"/>
      <w:marRight w:val="0"/>
      <w:marTop w:val="0"/>
      <w:marBottom w:val="0"/>
      <w:divBdr>
        <w:top w:val="none" w:sz="0" w:space="0" w:color="auto"/>
        <w:left w:val="none" w:sz="0" w:space="0" w:color="auto"/>
        <w:bottom w:val="none" w:sz="0" w:space="0" w:color="auto"/>
        <w:right w:val="none" w:sz="0" w:space="0" w:color="auto"/>
      </w:divBdr>
    </w:div>
    <w:div w:id="1979609137">
      <w:bodyDiv w:val="1"/>
      <w:marLeft w:val="0"/>
      <w:marRight w:val="0"/>
      <w:marTop w:val="0"/>
      <w:marBottom w:val="0"/>
      <w:divBdr>
        <w:top w:val="none" w:sz="0" w:space="0" w:color="auto"/>
        <w:left w:val="none" w:sz="0" w:space="0" w:color="auto"/>
        <w:bottom w:val="none" w:sz="0" w:space="0" w:color="auto"/>
        <w:right w:val="none" w:sz="0" w:space="0" w:color="auto"/>
      </w:divBdr>
    </w:div>
    <w:div w:id="1979799554">
      <w:bodyDiv w:val="1"/>
      <w:marLeft w:val="0"/>
      <w:marRight w:val="0"/>
      <w:marTop w:val="0"/>
      <w:marBottom w:val="0"/>
      <w:divBdr>
        <w:top w:val="none" w:sz="0" w:space="0" w:color="auto"/>
        <w:left w:val="none" w:sz="0" w:space="0" w:color="auto"/>
        <w:bottom w:val="none" w:sz="0" w:space="0" w:color="auto"/>
        <w:right w:val="none" w:sz="0" w:space="0" w:color="auto"/>
      </w:divBdr>
    </w:div>
    <w:div w:id="1979916501">
      <w:bodyDiv w:val="1"/>
      <w:marLeft w:val="0"/>
      <w:marRight w:val="0"/>
      <w:marTop w:val="0"/>
      <w:marBottom w:val="0"/>
      <w:divBdr>
        <w:top w:val="none" w:sz="0" w:space="0" w:color="auto"/>
        <w:left w:val="none" w:sz="0" w:space="0" w:color="auto"/>
        <w:bottom w:val="none" w:sz="0" w:space="0" w:color="auto"/>
        <w:right w:val="none" w:sz="0" w:space="0" w:color="auto"/>
      </w:divBdr>
    </w:div>
    <w:div w:id="1980039419">
      <w:bodyDiv w:val="1"/>
      <w:marLeft w:val="0"/>
      <w:marRight w:val="0"/>
      <w:marTop w:val="0"/>
      <w:marBottom w:val="0"/>
      <w:divBdr>
        <w:top w:val="none" w:sz="0" w:space="0" w:color="auto"/>
        <w:left w:val="none" w:sz="0" w:space="0" w:color="auto"/>
        <w:bottom w:val="none" w:sz="0" w:space="0" w:color="auto"/>
        <w:right w:val="none" w:sz="0" w:space="0" w:color="auto"/>
      </w:divBdr>
    </w:div>
    <w:div w:id="1980107321">
      <w:bodyDiv w:val="1"/>
      <w:marLeft w:val="0"/>
      <w:marRight w:val="0"/>
      <w:marTop w:val="0"/>
      <w:marBottom w:val="0"/>
      <w:divBdr>
        <w:top w:val="none" w:sz="0" w:space="0" w:color="auto"/>
        <w:left w:val="none" w:sz="0" w:space="0" w:color="auto"/>
        <w:bottom w:val="none" w:sz="0" w:space="0" w:color="auto"/>
        <w:right w:val="none" w:sz="0" w:space="0" w:color="auto"/>
      </w:divBdr>
    </w:div>
    <w:div w:id="1980182193">
      <w:bodyDiv w:val="1"/>
      <w:marLeft w:val="0"/>
      <w:marRight w:val="0"/>
      <w:marTop w:val="0"/>
      <w:marBottom w:val="0"/>
      <w:divBdr>
        <w:top w:val="none" w:sz="0" w:space="0" w:color="auto"/>
        <w:left w:val="none" w:sz="0" w:space="0" w:color="auto"/>
        <w:bottom w:val="none" w:sz="0" w:space="0" w:color="auto"/>
        <w:right w:val="none" w:sz="0" w:space="0" w:color="auto"/>
      </w:divBdr>
    </w:div>
    <w:div w:id="1980182614">
      <w:bodyDiv w:val="1"/>
      <w:marLeft w:val="0"/>
      <w:marRight w:val="0"/>
      <w:marTop w:val="0"/>
      <w:marBottom w:val="0"/>
      <w:divBdr>
        <w:top w:val="none" w:sz="0" w:space="0" w:color="auto"/>
        <w:left w:val="none" w:sz="0" w:space="0" w:color="auto"/>
        <w:bottom w:val="none" w:sz="0" w:space="0" w:color="auto"/>
        <w:right w:val="none" w:sz="0" w:space="0" w:color="auto"/>
      </w:divBdr>
    </w:div>
    <w:div w:id="1980265663">
      <w:bodyDiv w:val="1"/>
      <w:marLeft w:val="0"/>
      <w:marRight w:val="0"/>
      <w:marTop w:val="0"/>
      <w:marBottom w:val="0"/>
      <w:divBdr>
        <w:top w:val="none" w:sz="0" w:space="0" w:color="auto"/>
        <w:left w:val="none" w:sz="0" w:space="0" w:color="auto"/>
        <w:bottom w:val="none" w:sz="0" w:space="0" w:color="auto"/>
        <w:right w:val="none" w:sz="0" w:space="0" w:color="auto"/>
      </w:divBdr>
    </w:div>
    <w:div w:id="1980306419">
      <w:bodyDiv w:val="1"/>
      <w:marLeft w:val="0"/>
      <w:marRight w:val="0"/>
      <w:marTop w:val="0"/>
      <w:marBottom w:val="0"/>
      <w:divBdr>
        <w:top w:val="none" w:sz="0" w:space="0" w:color="auto"/>
        <w:left w:val="none" w:sz="0" w:space="0" w:color="auto"/>
        <w:bottom w:val="none" w:sz="0" w:space="0" w:color="auto"/>
        <w:right w:val="none" w:sz="0" w:space="0" w:color="auto"/>
      </w:divBdr>
    </w:div>
    <w:div w:id="1980331925">
      <w:bodyDiv w:val="1"/>
      <w:marLeft w:val="0"/>
      <w:marRight w:val="0"/>
      <w:marTop w:val="0"/>
      <w:marBottom w:val="0"/>
      <w:divBdr>
        <w:top w:val="none" w:sz="0" w:space="0" w:color="auto"/>
        <w:left w:val="none" w:sz="0" w:space="0" w:color="auto"/>
        <w:bottom w:val="none" w:sz="0" w:space="0" w:color="auto"/>
        <w:right w:val="none" w:sz="0" w:space="0" w:color="auto"/>
      </w:divBdr>
    </w:div>
    <w:div w:id="1980376744">
      <w:bodyDiv w:val="1"/>
      <w:marLeft w:val="0"/>
      <w:marRight w:val="0"/>
      <w:marTop w:val="0"/>
      <w:marBottom w:val="0"/>
      <w:divBdr>
        <w:top w:val="none" w:sz="0" w:space="0" w:color="auto"/>
        <w:left w:val="none" w:sz="0" w:space="0" w:color="auto"/>
        <w:bottom w:val="none" w:sz="0" w:space="0" w:color="auto"/>
        <w:right w:val="none" w:sz="0" w:space="0" w:color="auto"/>
      </w:divBdr>
    </w:div>
    <w:div w:id="1980383479">
      <w:bodyDiv w:val="1"/>
      <w:marLeft w:val="0"/>
      <w:marRight w:val="0"/>
      <w:marTop w:val="0"/>
      <w:marBottom w:val="0"/>
      <w:divBdr>
        <w:top w:val="none" w:sz="0" w:space="0" w:color="auto"/>
        <w:left w:val="none" w:sz="0" w:space="0" w:color="auto"/>
        <w:bottom w:val="none" w:sz="0" w:space="0" w:color="auto"/>
        <w:right w:val="none" w:sz="0" w:space="0" w:color="auto"/>
      </w:divBdr>
    </w:div>
    <w:div w:id="1980383507">
      <w:bodyDiv w:val="1"/>
      <w:marLeft w:val="0"/>
      <w:marRight w:val="0"/>
      <w:marTop w:val="0"/>
      <w:marBottom w:val="0"/>
      <w:divBdr>
        <w:top w:val="none" w:sz="0" w:space="0" w:color="auto"/>
        <w:left w:val="none" w:sz="0" w:space="0" w:color="auto"/>
        <w:bottom w:val="none" w:sz="0" w:space="0" w:color="auto"/>
        <w:right w:val="none" w:sz="0" w:space="0" w:color="auto"/>
      </w:divBdr>
    </w:div>
    <w:div w:id="1980569050">
      <w:bodyDiv w:val="1"/>
      <w:marLeft w:val="0"/>
      <w:marRight w:val="0"/>
      <w:marTop w:val="0"/>
      <w:marBottom w:val="0"/>
      <w:divBdr>
        <w:top w:val="none" w:sz="0" w:space="0" w:color="auto"/>
        <w:left w:val="none" w:sz="0" w:space="0" w:color="auto"/>
        <w:bottom w:val="none" w:sz="0" w:space="0" w:color="auto"/>
        <w:right w:val="none" w:sz="0" w:space="0" w:color="auto"/>
      </w:divBdr>
    </w:div>
    <w:div w:id="1980571830">
      <w:bodyDiv w:val="1"/>
      <w:marLeft w:val="0"/>
      <w:marRight w:val="0"/>
      <w:marTop w:val="0"/>
      <w:marBottom w:val="0"/>
      <w:divBdr>
        <w:top w:val="none" w:sz="0" w:space="0" w:color="auto"/>
        <w:left w:val="none" w:sz="0" w:space="0" w:color="auto"/>
        <w:bottom w:val="none" w:sz="0" w:space="0" w:color="auto"/>
        <w:right w:val="none" w:sz="0" w:space="0" w:color="auto"/>
      </w:divBdr>
    </w:div>
    <w:div w:id="1980646744">
      <w:bodyDiv w:val="1"/>
      <w:marLeft w:val="0"/>
      <w:marRight w:val="0"/>
      <w:marTop w:val="0"/>
      <w:marBottom w:val="0"/>
      <w:divBdr>
        <w:top w:val="none" w:sz="0" w:space="0" w:color="auto"/>
        <w:left w:val="none" w:sz="0" w:space="0" w:color="auto"/>
        <w:bottom w:val="none" w:sz="0" w:space="0" w:color="auto"/>
        <w:right w:val="none" w:sz="0" w:space="0" w:color="auto"/>
      </w:divBdr>
    </w:div>
    <w:div w:id="1980649691">
      <w:bodyDiv w:val="1"/>
      <w:marLeft w:val="0"/>
      <w:marRight w:val="0"/>
      <w:marTop w:val="0"/>
      <w:marBottom w:val="0"/>
      <w:divBdr>
        <w:top w:val="none" w:sz="0" w:space="0" w:color="auto"/>
        <w:left w:val="none" w:sz="0" w:space="0" w:color="auto"/>
        <w:bottom w:val="none" w:sz="0" w:space="0" w:color="auto"/>
        <w:right w:val="none" w:sz="0" w:space="0" w:color="auto"/>
      </w:divBdr>
    </w:div>
    <w:div w:id="1980725188">
      <w:bodyDiv w:val="1"/>
      <w:marLeft w:val="0"/>
      <w:marRight w:val="0"/>
      <w:marTop w:val="0"/>
      <w:marBottom w:val="0"/>
      <w:divBdr>
        <w:top w:val="none" w:sz="0" w:space="0" w:color="auto"/>
        <w:left w:val="none" w:sz="0" w:space="0" w:color="auto"/>
        <w:bottom w:val="none" w:sz="0" w:space="0" w:color="auto"/>
        <w:right w:val="none" w:sz="0" w:space="0" w:color="auto"/>
      </w:divBdr>
    </w:div>
    <w:div w:id="1980726305">
      <w:bodyDiv w:val="1"/>
      <w:marLeft w:val="0"/>
      <w:marRight w:val="0"/>
      <w:marTop w:val="0"/>
      <w:marBottom w:val="0"/>
      <w:divBdr>
        <w:top w:val="none" w:sz="0" w:space="0" w:color="auto"/>
        <w:left w:val="none" w:sz="0" w:space="0" w:color="auto"/>
        <w:bottom w:val="none" w:sz="0" w:space="0" w:color="auto"/>
        <w:right w:val="none" w:sz="0" w:space="0" w:color="auto"/>
      </w:divBdr>
    </w:div>
    <w:div w:id="1980760733">
      <w:bodyDiv w:val="1"/>
      <w:marLeft w:val="0"/>
      <w:marRight w:val="0"/>
      <w:marTop w:val="0"/>
      <w:marBottom w:val="0"/>
      <w:divBdr>
        <w:top w:val="none" w:sz="0" w:space="0" w:color="auto"/>
        <w:left w:val="none" w:sz="0" w:space="0" w:color="auto"/>
        <w:bottom w:val="none" w:sz="0" w:space="0" w:color="auto"/>
        <w:right w:val="none" w:sz="0" w:space="0" w:color="auto"/>
      </w:divBdr>
    </w:div>
    <w:div w:id="1980761101">
      <w:bodyDiv w:val="1"/>
      <w:marLeft w:val="0"/>
      <w:marRight w:val="0"/>
      <w:marTop w:val="0"/>
      <w:marBottom w:val="0"/>
      <w:divBdr>
        <w:top w:val="none" w:sz="0" w:space="0" w:color="auto"/>
        <w:left w:val="none" w:sz="0" w:space="0" w:color="auto"/>
        <w:bottom w:val="none" w:sz="0" w:space="0" w:color="auto"/>
        <w:right w:val="none" w:sz="0" w:space="0" w:color="auto"/>
      </w:divBdr>
    </w:div>
    <w:div w:id="1980766836">
      <w:bodyDiv w:val="1"/>
      <w:marLeft w:val="0"/>
      <w:marRight w:val="0"/>
      <w:marTop w:val="0"/>
      <w:marBottom w:val="0"/>
      <w:divBdr>
        <w:top w:val="none" w:sz="0" w:space="0" w:color="auto"/>
        <w:left w:val="none" w:sz="0" w:space="0" w:color="auto"/>
        <w:bottom w:val="none" w:sz="0" w:space="0" w:color="auto"/>
        <w:right w:val="none" w:sz="0" w:space="0" w:color="auto"/>
      </w:divBdr>
    </w:div>
    <w:div w:id="1980844342">
      <w:bodyDiv w:val="1"/>
      <w:marLeft w:val="0"/>
      <w:marRight w:val="0"/>
      <w:marTop w:val="0"/>
      <w:marBottom w:val="0"/>
      <w:divBdr>
        <w:top w:val="none" w:sz="0" w:space="0" w:color="auto"/>
        <w:left w:val="none" w:sz="0" w:space="0" w:color="auto"/>
        <w:bottom w:val="none" w:sz="0" w:space="0" w:color="auto"/>
        <w:right w:val="none" w:sz="0" w:space="0" w:color="auto"/>
      </w:divBdr>
    </w:div>
    <w:div w:id="1980961705">
      <w:bodyDiv w:val="1"/>
      <w:marLeft w:val="0"/>
      <w:marRight w:val="0"/>
      <w:marTop w:val="0"/>
      <w:marBottom w:val="0"/>
      <w:divBdr>
        <w:top w:val="none" w:sz="0" w:space="0" w:color="auto"/>
        <w:left w:val="none" w:sz="0" w:space="0" w:color="auto"/>
        <w:bottom w:val="none" w:sz="0" w:space="0" w:color="auto"/>
        <w:right w:val="none" w:sz="0" w:space="0" w:color="auto"/>
      </w:divBdr>
    </w:div>
    <w:div w:id="1980963108">
      <w:bodyDiv w:val="1"/>
      <w:marLeft w:val="0"/>
      <w:marRight w:val="0"/>
      <w:marTop w:val="0"/>
      <w:marBottom w:val="0"/>
      <w:divBdr>
        <w:top w:val="none" w:sz="0" w:space="0" w:color="auto"/>
        <w:left w:val="none" w:sz="0" w:space="0" w:color="auto"/>
        <w:bottom w:val="none" w:sz="0" w:space="0" w:color="auto"/>
        <w:right w:val="none" w:sz="0" w:space="0" w:color="auto"/>
      </w:divBdr>
    </w:div>
    <w:div w:id="1981230136">
      <w:bodyDiv w:val="1"/>
      <w:marLeft w:val="0"/>
      <w:marRight w:val="0"/>
      <w:marTop w:val="0"/>
      <w:marBottom w:val="0"/>
      <w:divBdr>
        <w:top w:val="none" w:sz="0" w:space="0" w:color="auto"/>
        <w:left w:val="none" w:sz="0" w:space="0" w:color="auto"/>
        <w:bottom w:val="none" w:sz="0" w:space="0" w:color="auto"/>
        <w:right w:val="none" w:sz="0" w:space="0" w:color="auto"/>
      </w:divBdr>
    </w:div>
    <w:div w:id="1981300795">
      <w:bodyDiv w:val="1"/>
      <w:marLeft w:val="0"/>
      <w:marRight w:val="0"/>
      <w:marTop w:val="0"/>
      <w:marBottom w:val="0"/>
      <w:divBdr>
        <w:top w:val="none" w:sz="0" w:space="0" w:color="auto"/>
        <w:left w:val="none" w:sz="0" w:space="0" w:color="auto"/>
        <w:bottom w:val="none" w:sz="0" w:space="0" w:color="auto"/>
        <w:right w:val="none" w:sz="0" w:space="0" w:color="auto"/>
      </w:divBdr>
    </w:div>
    <w:div w:id="1981374365">
      <w:bodyDiv w:val="1"/>
      <w:marLeft w:val="0"/>
      <w:marRight w:val="0"/>
      <w:marTop w:val="0"/>
      <w:marBottom w:val="0"/>
      <w:divBdr>
        <w:top w:val="none" w:sz="0" w:space="0" w:color="auto"/>
        <w:left w:val="none" w:sz="0" w:space="0" w:color="auto"/>
        <w:bottom w:val="none" w:sz="0" w:space="0" w:color="auto"/>
        <w:right w:val="none" w:sz="0" w:space="0" w:color="auto"/>
      </w:divBdr>
    </w:div>
    <w:div w:id="1981416579">
      <w:bodyDiv w:val="1"/>
      <w:marLeft w:val="0"/>
      <w:marRight w:val="0"/>
      <w:marTop w:val="0"/>
      <w:marBottom w:val="0"/>
      <w:divBdr>
        <w:top w:val="none" w:sz="0" w:space="0" w:color="auto"/>
        <w:left w:val="none" w:sz="0" w:space="0" w:color="auto"/>
        <w:bottom w:val="none" w:sz="0" w:space="0" w:color="auto"/>
        <w:right w:val="none" w:sz="0" w:space="0" w:color="auto"/>
      </w:divBdr>
    </w:div>
    <w:div w:id="1981492138">
      <w:bodyDiv w:val="1"/>
      <w:marLeft w:val="0"/>
      <w:marRight w:val="0"/>
      <w:marTop w:val="0"/>
      <w:marBottom w:val="0"/>
      <w:divBdr>
        <w:top w:val="none" w:sz="0" w:space="0" w:color="auto"/>
        <w:left w:val="none" w:sz="0" w:space="0" w:color="auto"/>
        <w:bottom w:val="none" w:sz="0" w:space="0" w:color="auto"/>
        <w:right w:val="none" w:sz="0" w:space="0" w:color="auto"/>
      </w:divBdr>
    </w:div>
    <w:div w:id="1981567335">
      <w:bodyDiv w:val="1"/>
      <w:marLeft w:val="0"/>
      <w:marRight w:val="0"/>
      <w:marTop w:val="0"/>
      <w:marBottom w:val="0"/>
      <w:divBdr>
        <w:top w:val="none" w:sz="0" w:space="0" w:color="auto"/>
        <w:left w:val="none" w:sz="0" w:space="0" w:color="auto"/>
        <w:bottom w:val="none" w:sz="0" w:space="0" w:color="auto"/>
        <w:right w:val="none" w:sz="0" w:space="0" w:color="auto"/>
      </w:divBdr>
    </w:div>
    <w:div w:id="1981613656">
      <w:bodyDiv w:val="1"/>
      <w:marLeft w:val="0"/>
      <w:marRight w:val="0"/>
      <w:marTop w:val="0"/>
      <w:marBottom w:val="0"/>
      <w:divBdr>
        <w:top w:val="none" w:sz="0" w:space="0" w:color="auto"/>
        <w:left w:val="none" w:sz="0" w:space="0" w:color="auto"/>
        <w:bottom w:val="none" w:sz="0" w:space="0" w:color="auto"/>
        <w:right w:val="none" w:sz="0" w:space="0" w:color="auto"/>
      </w:divBdr>
    </w:div>
    <w:div w:id="1981618556">
      <w:bodyDiv w:val="1"/>
      <w:marLeft w:val="0"/>
      <w:marRight w:val="0"/>
      <w:marTop w:val="0"/>
      <w:marBottom w:val="0"/>
      <w:divBdr>
        <w:top w:val="none" w:sz="0" w:space="0" w:color="auto"/>
        <w:left w:val="none" w:sz="0" w:space="0" w:color="auto"/>
        <w:bottom w:val="none" w:sz="0" w:space="0" w:color="auto"/>
        <w:right w:val="none" w:sz="0" w:space="0" w:color="auto"/>
      </w:divBdr>
    </w:div>
    <w:div w:id="1981762188">
      <w:bodyDiv w:val="1"/>
      <w:marLeft w:val="0"/>
      <w:marRight w:val="0"/>
      <w:marTop w:val="0"/>
      <w:marBottom w:val="0"/>
      <w:divBdr>
        <w:top w:val="none" w:sz="0" w:space="0" w:color="auto"/>
        <w:left w:val="none" w:sz="0" w:space="0" w:color="auto"/>
        <w:bottom w:val="none" w:sz="0" w:space="0" w:color="auto"/>
        <w:right w:val="none" w:sz="0" w:space="0" w:color="auto"/>
      </w:divBdr>
    </w:div>
    <w:div w:id="1981840071">
      <w:bodyDiv w:val="1"/>
      <w:marLeft w:val="0"/>
      <w:marRight w:val="0"/>
      <w:marTop w:val="0"/>
      <w:marBottom w:val="0"/>
      <w:divBdr>
        <w:top w:val="none" w:sz="0" w:space="0" w:color="auto"/>
        <w:left w:val="none" w:sz="0" w:space="0" w:color="auto"/>
        <w:bottom w:val="none" w:sz="0" w:space="0" w:color="auto"/>
        <w:right w:val="none" w:sz="0" w:space="0" w:color="auto"/>
      </w:divBdr>
    </w:div>
    <w:div w:id="1981954771">
      <w:bodyDiv w:val="1"/>
      <w:marLeft w:val="0"/>
      <w:marRight w:val="0"/>
      <w:marTop w:val="0"/>
      <w:marBottom w:val="0"/>
      <w:divBdr>
        <w:top w:val="none" w:sz="0" w:space="0" w:color="auto"/>
        <w:left w:val="none" w:sz="0" w:space="0" w:color="auto"/>
        <w:bottom w:val="none" w:sz="0" w:space="0" w:color="auto"/>
        <w:right w:val="none" w:sz="0" w:space="0" w:color="auto"/>
      </w:divBdr>
    </w:div>
    <w:div w:id="1982028927">
      <w:bodyDiv w:val="1"/>
      <w:marLeft w:val="0"/>
      <w:marRight w:val="0"/>
      <w:marTop w:val="0"/>
      <w:marBottom w:val="0"/>
      <w:divBdr>
        <w:top w:val="none" w:sz="0" w:space="0" w:color="auto"/>
        <w:left w:val="none" w:sz="0" w:space="0" w:color="auto"/>
        <w:bottom w:val="none" w:sz="0" w:space="0" w:color="auto"/>
        <w:right w:val="none" w:sz="0" w:space="0" w:color="auto"/>
      </w:divBdr>
    </w:div>
    <w:div w:id="1982032836">
      <w:bodyDiv w:val="1"/>
      <w:marLeft w:val="0"/>
      <w:marRight w:val="0"/>
      <w:marTop w:val="0"/>
      <w:marBottom w:val="0"/>
      <w:divBdr>
        <w:top w:val="none" w:sz="0" w:space="0" w:color="auto"/>
        <w:left w:val="none" w:sz="0" w:space="0" w:color="auto"/>
        <w:bottom w:val="none" w:sz="0" w:space="0" w:color="auto"/>
        <w:right w:val="none" w:sz="0" w:space="0" w:color="auto"/>
      </w:divBdr>
    </w:div>
    <w:div w:id="1982079224">
      <w:bodyDiv w:val="1"/>
      <w:marLeft w:val="0"/>
      <w:marRight w:val="0"/>
      <w:marTop w:val="0"/>
      <w:marBottom w:val="0"/>
      <w:divBdr>
        <w:top w:val="none" w:sz="0" w:space="0" w:color="auto"/>
        <w:left w:val="none" w:sz="0" w:space="0" w:color="auto"/>
        <w:bottom w:val="none" w:sz="0" w:space="0" w:color="auto"/>
        <w:right w:val="none" w:sz="0" w:space="0" w:color="auto"/>
      </w:divBdr>
    </w:div>
    <w:div w:id="1982153424">
      <w:bodyDiv w:val="1"/>
      <w:marLeft w:val="0"/>
      <w:marRight w:val="0"/>
      <w:marTop w:val="0"/>
      <w:marBottom w:val="0"/>
      <w:divBdr>
        <w:top w:val="none" w:sz="0" w:space="0" w:color="auto"/>
        <w:left w:val="none" w:sz="0" w:space="0" w:color="auto"/>
        <w:bottom w:val="none" w:sz="0" w:space="0" w:color="auto"/>
        <w:right w:val="none" w:sz="0" w:space="0" w:color="auto"/>
      </w:divBdr>
    </w:div>
    <w:div w:id="1982154658">
      <w:bodyDiv w:val="1"/>
      <w:marLeft w:val="0"/>
      <w:marRight w:val="0"/>
      <w:marTop w:val="0"/>
      <w:marBottom w:val="0"/>
      <w:divBdr>
        <w:top w:val="none" w:sz="0" w:space="0" w:color="auto"/>
        <w:left w:val="none" w:sz="0" w:space="0" w:color="auto"/>
        <w:bottom w:val="none" w:sz="0" w:space="0" w:color="auto"/>
        <w:right w:val="none" w:sz="0" w:space="0" w:color="auto"/>
      </w:divBdr>
    </w:div>
    <w:div w:id="1982227042">
      <w:bodyDiv w:val="1"/>
      <w:marLeft w:val="0"/>
      <w:marRight w:val="0"/>
      <w:marTop w:val="0"/>
      <w:marBottom w:val="0"/>
      <w:divBdr>
        <w:top w:val="none" w:sz="0" w:space="0" w:color="auto"/>
        <w:left w:val="none" w:sz="0" w:space="0" w:color="auto"/>
        <w:bottom w:val="none" w:sz="0" w:space="0" w:color="auto"/>
        <w:right w:val="none" w:sz="0" w:space="0" w:color="auto"/>
      </w:divBdr>
    </w:div>
    <w:div w:id="1982227095">
      <w:bodyDiv w:val="1"/>
      <w:marLeft w:val="0"/>
      <w:marRight w:val="0"/>
      <w:marTop w:val="0"/>
      <w:marBottom w:val="0"/>
      <w:divBdr>
        <w:top w:val="none" w:sz="0" w:space="0" w:color="auto"/>
        <w:left w:val="none" w:sz="0" w:space="0" w:color="auto"/>
        <w:bottom w:val="none" w:sz="0" w:space="0" w:color="auto"/>
        <w:right w:val="none" w:sz="0" w:space="0" w:color="auto"/>
      </w:divBdr>
    </w:div>
    <w:div w:id="1982231224">
      <w:bodyDiv w:val="1"/>
      <w:marLeft w:val="0"/>
      <w:marRight w:val="0"/>
      <w:marTop w:val="0"/>
      <w:marBottom w:val="0"/>
      <w:divBdr>
        <w:top w:val="none" w:sz="0" w:space="0" w:color="auto"/>
        <w:left w:val="none" w:sz="0" w:space="0" w:color="auto"/>
        <w:bottom w:val="none" w:sz="0" w:space="0" w:color="auto"/>
        <w:right w:val="none" w:sz="0" w:space="0" w:color="auto"/>
      </w:divBdr>
    </w:div>
    <w:div w:id="1982349263">
      <w:bodyDiv w:val="1"/>
      <w:marLeft w:val="0"/>
      <w:marRight w:val="0"/>
      <w:marTop w:val="0"/>
      <w:marBottom w:val="0"/>
      <w:divBdr>
        <w:top w:val="none" w:sz="0" w:space="0" w:color="auto"/>
        <w:left w:val="none" w:sz="0" w:space="0" w:color="auto"/>
        <w:bottom w:val="none" w:sz="0" w:space="0" w:color="auto"/>
        <w:right w:val="none" w:sz="0" w:space="0" w:color="auto"/>
      </w:divBdr>
    </w:div>
    <w:div w:id="1982535719">
      <w:bodyDiv w:val="1"/>
      <w:marLeft w:val="0"/>
      <w:marRight w:val="0"/>
      <w:marTop w:val="0"/>
      <w:marBottom w:val="0"/>
      <w:divBdr>
        <w:top w:val="none" w:sz="0" w:space="0" w:color="auto"/>
        <w:left w:val="none" w:sz="0" w:space="0" w:color="auto"/>
        <w:bottom w:val="none" w:sz="0" w:space="0" w:color="auto"/>
        <w:right w:val="none" w:sz="0" w:space="0" w:color="auto"/>
      </w:divBdr>
    </w:div>
    <w:div w:id="1982612720">
      <w:bodyDiv w:val="1"/>
      <w:marLeft w:val="0"/>
      <w:marRight w:val="0"/>
      <w:marTop w:val="0"/>
      <w:marBottom w:val="0"/>
      <w:divBdr>
        <w:top w:val="none" w:sz="0" w:space="0" w:color="auto"/>
        <w:left w:val="none" w:sz="0" w:space="0" w:color="auto"/>
        <w:bottom w:val="none" w:sz="0" w:space="0" w:color="auto"/>
        <w:right w:val="none" w:sz="0" w:space="0" w:color="auto"/>
      </w:divBdr>
    </w:div>
    <w:div w:id="1982808480">
      <w:bodyDiv w:val="1"/>
      <w:marLeft w:val="0"/>
      <w:marRight w:val="0"/>
      <w:marTop w:val="0"/>
      <w:marBottom w:val="0"/>
      <w:divBdr>
        <w:top w:val="none" w:sz="0" w:space="0" w:color="auto"/>
        <w:left w:val="none" w:sz="0" w:space="0" w:color="auto"/>
        <w:bottom w:val="none" w:sz="0" w:space="0" w:color="auto"/>
        <w:right w:val="none" w:sz="0" w:space="0" w:color="auto"/>
      </w:divBdr>
    </w:div>
    <w:div w:id="1982809943">
      <w:bodyDiv w:val="1"/>
      <w:marLeft w:val="0"/>
      <w:marRight w:val="0"/>
      <w:marTop w:val="0"/>
      <w:marBottom w:val="0"/>
      <w:divBdr>
        <w:top w:val="none" w:sz="0" w:space="0" w:color="auto"/>
        <w:left w:val="none" w:sz="0" w:space="0" w:color="auto"/>
        <w:bottom w:val="none" w:sz="0" w:space="0" w:color="auto"/>
        <w:right w:val="none" w:sz="0" w:space="0" w:color="auto"/>
      </w:divBdr>
    </w:div>
    <w:div w:id="1982882679">
      <w:bodyDiv w:val="1"/>
      <w:marLeft w:val="0"/>
      <w:marRight w:val="0"/>
      <w:marTop w:val="0"/>
      <w:marBottom w:val="0"/>
      <w:divBdr>
        <w:top w:val="none" w:sz="0" w:space="0" w:color="auto"/>
        <w:left w:val="none" w:sz="0" w:space="0" w:color="auto"/>
        <w:bottom w:val="none" w:sz="0" w:space="0" w:color="auto"/>
        <w:right w:val="none" w:sz="0" w:space="0" w:color="auto"/>
      </w:divBdr>
    </w:div>
    <w:div w:id="1982924875">
      <w:bodyDiv w:val="1"/>
      <w:marLeft w:val="0"/>
      <w:marRight w:val="0"/>
      <w:marTop w:val="0"/>
      <w:marBottom w:val="0"/>
      <w:divBdr>
        <w:top w:val="none" w:sz="0" w:space="0" w:color="auto"/>
        <w:left w:val="none" w:sz="0" w:space="0" w:color="auto"/>
        <w:bottom w:val="none" w:sz="0" w:space="0" w:color="auto"/>
        <w:right w:val="none" w:sz="0" w:space="0" w:color="auto"/>
      </w:divBdr>
    </w:div>
    <w:div w:id="1983001087">
      <w:bodyDiv w:val="1"/>
      <w:marLeft w:val="0"/>
      <w:marRight w:val="0"/>
      <w:marTop w:val="0"/>
      <w:marBottom w:val="0"/>
      <w:divBdr>
        <w:top w:val="none" w:sz="0" w:space="0" w:color="auto"/>
        <w:left w:val="none" w:sz="0" w:space="0" w:color="auto"/>
        <w:bottom w:val="none" w:sz="0" w:space="0" w:color="auto"/>
        <w:right w:val="none" w:sz="0" w:space="0" w:color="auto"/>
      </w:divBdr>
    </w:div>
    <w:div w:id="1983002602">
      <w:bodyDiv w:val="1"/>
      <w:marLeft w:val="0"/>
      <w:marRight w:val="0"/>
      <w:marTop w:val="0"/>
      <w:marBottom w:val="0"/>
      <w:divBdr>
        <w:top w:val="none" w:sz="0" w:space="0" w:color="auto"/>
        <w:left w:val="none" w:sz="0" w:space="0" w:color="auto"/>
        <w:bottom w:val="none" w:sz="0" w:space="0" w:color="auto"/>
        <w:right w:val="none" w:sz="0" w:space="0" w:color="auto"/>
      </w:divBdr>
    </w:div>
    <w:div w:id="1983121060">
      <w:bodyDiv w:val="1"/>
      <w:marLeft w:val="0"/>
      <w:marRight w:val="0"/>
      <w:marTop w:val="0"/>
      <w:marBottom w:val="0"/>
      <w:divBdr>
        <w:top w:val="none" w:sz="0" w:space="0" w:color="auto"/>
        <w:left w:val="none" w:sz="0" w:space="0" w:color="auto"/>
        <w:bottom w:val="none" w:sz="0" w:space="0" w:color="auto"/>
        <w:right w:val="none" w:sz="0" w:space="0" w:color="auto"/>
      </w:divBdr>
    </w:div>
    <w:div w:id="1983146286">
      <w:bodyDiv w:val="1"/>
      <w:marLeft w:val="0"/>
      <w:marRight w:val="0"/>
      <w:marTop w:val="0"/>
      <w:marBottom w:val="0"/>
      <w:divBdr>
        <w:top w:val="none" w:sz="0" w:space="0" w:color="auto"/>
        <w:left w:val="none" w:sz="0" w:space="0" w:color="auto"/>
        <w:bottom w:val="none" w:sz="0" w:space="0" w:color="auto"/>
        <w:right w:val="none" w:sz="0" w:space="0" w:color="auto"/>
      </w:divBdr>
    </w:div>
    <w:div w:id="1983195078">
      <w:bodyDiv w:val="1"/>
      <w:marLeft w:val="0"/>
      <w:marRight w:val="0"/>
      <w:marTop w:val="0"/>
      <w:marBottom w:val="0"/>
      <w:divBdr>
        <w:top w:val="none" w:sz="0" w:space="0" w:color="auto"/>
        <w:left w:val="none" w:sz="0" w:space="0" w:color="auto"/>
        <w:bottom w:val="none" w:sz="0" w:space="0" w:color="auto"/>
        <w:right w:val="none" w:sz="0" w:space="0" w:color="auto"/>
      </w:divBdr>
    </w:div>
    <w:div w:id="1983196986">
      <w:bodyDiv w:val="1"/>
      <w:marLeft w:val="0"/>
      <w:marRight w:val="0"/>
      <w:marTop w:val="0"/>
      <w:marBottom w:val="0"/>
      <w:divBdr>
        <w:top w:val="none" w:sz="0" w:space="0" w:color="auto"/>
        <w:left w:val="none" w:sz="0" w:space="0" w:color="auto"/>
        <w:bottom w:val="none" w:sz="0" w:space="0" w:color="auto"/>
        <w:right w:val="none" w:sz="0" w:space="0" w:color="auto"/>
      </w:divBdr>
    </w:div>
    <w:div w:id="1983463112">
      <w:bodyDiv w:val="1"/>
      <w:marLeft w:val="0"/>
      <w:marRight w:val="0"/>
      <w:marTop w:val="0"/>
      <w:marBottom w:val="0"/>
      <w:divBdr>
        <w:top w:val="none" w:sz="0" w:space="0" w:color="auto"/>
        <w:left w:val="none" w:sz="0" w:space="0" w:color="auto"/>
        <w:bottom w:val="none" w:sz="0" w:space="0" w:color="auto"/>
        <w:right w:val="none" w:sz="0" w:space="0" w:color="auto"/>
      </w:divBdr>
    </w:div>
    <w:div w:id="1983608254">
      <w:bodyDiv w:val="1"/>
      <w:marLeft w:val="0"/>
      <w:marRight w:val="0"/>
      <w:marTop w:val="0"/>
      <w:marBottom w:val="0"/>
      <w:divBdr>
        <w:top w:val="none" w:sz="0" w:space="0" w:color="auto"/>
        <w:left w:val="none" w:sz="0" w:space="0" w:color="auto"/>
        <w:bottom w:val="none" w:sz="0" w:space="0" w:color="auto"/>
        <w:right w:val="none" w:sz="0" w:space="0" w:color="auto"/>
      </w:divBdr>
    </w:div>
    <w:div w:id="1983803072">
      <w:bodyDiv w:val="1"/>
      <w:marLeft w:val="0"/>
      <w:marRight w:val="0"/>
      <w:marTop w:val="0"/>
      <w:marBottom w:val="0"/>
      <w:divBdr>
        <w:top w:val="none" w:sz="0" w:space="0" w:color="auto"/>
        <w:left w:val="none" w:sz="0" w:space="0" w:color="auto"/>
        <w:bottom w:val="none" w:sz="0" w:space="0" w:color="auto"/>
        <w:right w:val="none" w:sz="0" w:space="0" w:color="auto"/>
      </w:divBdr>
    </w:div>
    <w:div w:id="1983804194">
      <w:bodyDiv w:val="1"/>
      <w:marLeft w:val="0"/>
      <w:marRight w:val="0"/>
      <w:marTop w:val="0"/>
      <w:marBottom w:val="0"/>
      <w:divBdr>
        <w:top w:val="none" w:sz="0" w:space="0" w:color="auto"/>
        <w:left w:val="none" w:sz="0" w:space="0" w:color="auto"/>
        <w:bottom w:val="none" w:sz="0" w:space="0" w:color="auto"/>
        <w:right w:val="none" w:sz="0" w:space="0" w:color="auto"/>
      </w:divBdr>
    </w:div>
    <w:div w:id="1983848408">
      <w:bodyDiv w:val="1"/>
      <w:marLeft w:val="0"/>
      <w:marRight w:val="0"/>
      <w:marTop w:val="0"/>
      <w:marBottom w:val="0"/>
      <w:divBdr>
        <w:top w:val="none" w:sz="0" w:space="0" w:color="auto"/>
        <w:left w:val="none" w:sz="0" w:space="0" w:color="auto"/>
        <w:bottom w:val="none" w:sz="0" w:space="0" w:color="auto"/>
        <w:right w:val="none" w:sz="0" w:space="0" w:color="auto"/>
      </w:divBdr>
    </w:div>
    <w:div w:id="1983850000">
      <w:bodyDiv w:val="1"/>
      <w:marLeft w:val="0"/>
      <w:marRight w:val="0"/>
      <w:marTop w:val="0"/>
      <w:marBottom w:val="0"/>
      <w:divBdr>
        <w:top w:val="none" w:sz="0" w:space="0" w:color="auto"/>
        <w:left w:val="none" w:sz="0" w:space="0" w:color="auto"/>
        <w:bottom w:val="none" w:sz="0" w:space="0" w:color="auto"/>
        <w:right w:val="none" w:sz="0" w:space="0" w:color="auto"/>
      </w:divBdr>
    </w:div>
    <w:div w:id="1983921582">
      <w:bodyDiv w:val="1"/>
      <w:marLeft w:val="0"/>
      <w:marRight w:val="0"/>
      <w:marTop w:val="0"/>
      <w:marBottom w:val="0"/>
      <w:divBdr>
        <w:top w:val="none" w:sz="0" w:space="0" w:color="auto"/>
        <w:left w:val="none" w:sz="0" w:space="0" w:color="auto"/>
        <w:bottom w:val="none" w:sz="0" w:space="0" w:color="auto"/>
        <w:right w:val="none" w:sz="0" w:space="0" w:color="auto"/>
      </w:divBdr>
    </w:div>
    <w:div w:id="1984042821">
      <w:bodyDiv w:val="1"/>
      <w:marLeft w:val="0"/>
      <w:marRight w:val="0"/>
      <w:marTop w:val="0"/>
      <w:marBottom w:val="0"/>
      <w:divBdr>
        <w:top w:val="none" w:sz="0" w:space="0" w:color="auto"/>
        <w:left w:val="none" w:sz="0" w:space="0" w:color="auto"/>
        <w:bottom w:val="none" w:sz="0" w:space="0" w:color="auto"/>
        <w:right w:val="none" w:sz="0" w:space="0" w:color="auto"/>
      </w:divBdr>
    </w:div>
    <w:div w:id="1984043948">
      <w:bodyDiv w:val="1"/>
      <w:marLeft w:val="0"/>
      <w:marRight w:val="0"/>
      <w:marTop w:val="0"/>
      <w:marBottom w:val="0"/>
      <w:divBdr>
        <w:top w:val="none" w:sz="0" w:space="0" w:color="auto"/>
        <w:left w:val="none" w:sz="0" w:space="0" w:color="auto"/>
        <w:bottom w:val="none" w:sz="0" w:space="0" w:color="auto"/>
        <w:right w:val="none" w:sz="0" w:space="0" w:color="auto"/>
      </w:divBdr>
    </w:div>
    <w:div w:id="1984120146">
      <w:bodyDiv w:val="1"/>
      <w:marLeft w:val="0"/>
      <w:marRight w:val="0"/>
      <w:marTop w:val="0"/>
      <w:marBottom w:val="0"/>
      <w:divBdr>
        <w:top w:val="none" w:sz="0" w:space="0" w:color="auto"/>
        <w:left w:val="none" w:sz="0" w:space="0" w:color="auto"/>
        <w:bottom w:val="none" w:sz="0" w:space="0" w:color="auto"/>
        <w:right w:val="none" w:sz="0" w:space="0" w:color="auto"/>
      </w:divBdr>
    </w:div>
    <w:div w:id="1984194426">
      <w:bodyDiv w:val="1"/>
      <w:marLeft w:val="0"/>
      <w:marRight w:val="0"/>
      <w:marTop w:val="0"/>
      <w:marBottom w:val="0"/>
      <w:divBdr>
        <w:top w:val="none" w:sz="0" w:space="0" w:color="auto"/>
        <w:left w:val="none" w:sz="0" w:space="0" w:color="auto"/>
        <w:bottom w:val="none" w:sz="0" w:space="0" w:color="auto"/>
        <w:right w:val="none" w:sz="0" w:space="0" w:color="auto"/>
      </w:divBdr>
    </w:div>
    <w:div w:id="1984195557">
      <w:bodyDiv w:val="1"/>
      <w:marLeft w:val="0"/>
      <w:marRight w:val="0"/>
      <w:marTop w:val="0"/>
      <w:marBottom w:val="0"/>
      <w:divBdr>
        <w:top w:val="none" w:sz="0" w:space="0" w:color="auto"/>
        <w:left w:val="none" w:sz="0" w:space="0" w:color="auto"/>
        <w:bottom w:val="none" w:sz="0" w:space="0" w:color="auto"/>
        <w:right w:val="none" w:sz="0" w:space="0" w:color="auto"/>
      </w:divBdr>
    </w:div>
    <w:div w:id="1984235303">
      <w:bodyDiv w:val="1"/>
      <w:marLeft w:val="0"/>
      <w:marRight w:val="0"/>
      <w:marTop w:val="0"/>
      <w:marBottom w:val="0"/>
      <w:divBdr>
        <w:top w:val="none" w:sz="0" w:space="0" w:color="auto"/>
        <w:left w:val="none" w:sz="0" w:space="0" w:color="auto"/>
        <w:bottom w:val="none" w:sz="0" w:space="0" w:color="auto"/>
        <w:right w:val="none" w:sz="0" w:space="0" w:color="auto"/>
      </w:divBdr>
    </w:div>
    <w:div w:id="1984308477">
      <w:bodyDiv w:val="1"/>
      <w:marLeft w:val="0"/>
      <w:marRight w:val="0"/>
      <w:marTop w:val="0"/>
      <w:marBottom w:val="0"/>
      <w:divBdr>
        <w:top w:val="none" w:sz="0" w:space="0" w:color="auto"/>
        <w:left w:val="none" w:sz="0" w:space="0" w:color="auto"/>
        <w:bottom w:val="none" w:sz="0" w:space="0" w:color="auto"/>
        <w:right w:val="none" w:sz="0" w:space="0" w:color="auto"/>
      </w:divBdr>
    </w:div>
    <w:div w:id="1984430205">
      <w:bodyDiv w:val="1"/>
      <w:marLeft w:val="0"/>
      <w:marRight w:val="0"/>
      <w:marTop w:val="0"/>
      <w:marBottom w:val="0"/>
      <w:divBdr>
        <w:top w:val="none" w:sz="0" w:space="0" w:color="auto"/>
        <w:left w:val="none" w:sz="0" w:space="0" w:color="auto"/>
        <w:bottom w:val="none" w:sz="0" w:space="0" w:color="auto"/>
        <w:right w:val="none" w:sz="0" w:space="0" w:color="auto"/>
      </w:divBdr>
    </w:div>
    <w:div w:id="1984653854">
      <w:bodyDiv w:val="1"/>
      <w:marLeft w:val="0"/>
      <w:marRight w:val="0"/>
      <w:marTop w:val="0"/>
      <w:marBottom w:val="0"/>
      <w:divBdr>
        <w:top w:val="none" w:sz="0" w:space="0" w:color="auto"/>
        <w:left w:val="none" w:sz="0" w:space="0" w:color="auto"/>
        <w:bottom w:val="none" w:sz="0" w:space="0" w:color="auto"/>
        <w:right w:val="none" w:sz="0" w:space="0" w:color="auto"/>
      </w:divBdr>
    </w:div>
    <w:div w:id="1984658598">
      <w:bodyDiv w:val="1"/>
      <w:marLeft w:val="0"/>
      <w:marRight w:val="0"/>
      <w:marTop w:val="0"/>
      <w:marBottom w:val="0"/>
      <w:divBdr>
        <w:top w:val="none" w:sz="0" w:space="0" w:color="auto"/>
        <w:left w:val="none" w:sz="0" w:space="0" w:color="auto"/>
        <w:bottom w:val="none" w:sz="0" w:space="0" w:color="auto"/>
        <w:right w:val="none" w:sz="0" w:space="0" w:color="auto"/>
      </w:divBdr>
    </w:div>
    <w:div w:id="1984698788">
      <w:bodyDiv w:val="1"/>
      <w:marLeft w:val="0"/>
      <w:marRight w:val="0"/>
      <w:marTop w:val="0"/>
      <w:marBottom w:val="0"/>
      <w:divBdr>
        <w:top w:val="none" w:sz="0" w:space="0" w:color="auto"/>
        <w:left w:val="none" w:sz="0" w:space="0" w:color="auto"/>
        <w:bottom w:val="none" w:sz="0" w:space="0" w:color="auto"/>
        <w:right w:val="none" w:sz="0" w:space="0" w:color="auto"/>
      </w:divBdr>
    </w:div>
    <w:div w:id="1984773129">
      <w:bodyDiv w:val="1"/>
      <w:marLeft w:val="0"/>
      <w:marRight w:val="0"/>
      <w:marTop w:val="0"/>
      <w:marBottom w:val="0"/>
      <w:divBdr>
        <w:top w:val="none" w:sz="0" w:space="0" w:color="auto"/>
        <w:left w:val="none" w:sz="0" w:space="0" w:color="auto"/>
        <w:bottom w:val="none" w:sz="0" w:space="0" w:color="auto"/>
        <w:right w:val="none" w:sz="0" w:space="0" w:color="auto"/>
      </w:divBdr>
    </w:div>
    <w:div w:id="1984892146">
      <w:bodyDiv w:val="1"/>
      <w:marLeft w:val="0"/>
      <w:marRight w:val="0"/>
      <w:marTop w:val="0"/>
      <w:marBottom w:val="0"/>
      <w:divBdr>
        <w:top w:val="none" w:sz="0" w:space="0" w:color="auto"/>
        <w:left w:val="none" w:sz="0" w:space="0" w:color="auto"/>
        <w:bottom w:val="none" w:sz="0" w:space="0" w:color="auto"/>
        <w:right w:val="none" w:sz="0" w:space="0" w:color="auto"/>
      </w:divBdr>
    </w:div>
    <w:div w:id="1984963499">
      <w:bodyDiv w:val="1"/>
      <w:marLeft w:val="0"/>
      <w:marRight w:val="0"/>
      <w:marTop w:val="0"/>
      <w:marBottom w:val="0"/>
      <w:divBdr>
        <w:top w:val="none" w:sz="0" w:space="0" w:color="auto"/>
        <w:left w:val="none" w:sz="0" w:space="0" w:color="auto"/>
        <w:bottom w:val="none" w:sz="0" w:space="0" w:color="auto"/>
        <w:right w:val="none" w:sz="0" w:space="0" w:color="auto"/>
      </w:divBdr>
    </w:div>
    <w:div w:id="1984966302">
      <w:bodyDiv w:val="1"/>
      <w:marLeft w:val="0"/>
      <w:marRight w:val="0"/>
      <w:marTop w:val="0"/>
      <w:marBottom w:val="0"/>
      <w:divBdr>
        <w:top w:val="none" w:sz="0" w:space="0" w:color="auto"/>
        <w:left w:val="none" w:sz="0" w:space="0" w:color="auto"/>
        <w:bottom w:val="none" w:sz="0" w:space="0" w:color="auto"/>
        <w:right w:val="none" w:sz="0" w:space="0" w:color="auto"/>
      </w:divBdr>
    </w:div>
    <w:div w:id="1985355400">
      <w:bodyDiv w:val="1"/>
      <w:marLeft w:val="0"/>
      <w:marRight w:val="0"/>
      <w:marTop w:val="0"/>
      <w:marBottom w:val="0"/>
      <w:divBdr>
        <w:top w:val="none" w:sz="0" w:space="0" w:color="auto"/>
        <w:left w:val="none" w:sz="0" w:space="0" w:color="auto"/>
        <w:bottom w:val="none" w:sz="0" w:space="0" w:color="auto"/>
        <w:right w:val="none" w:sz="0" w:space="0" w:color="auto"/>
      </w:divBdr>
    </w:div>
    <w:div w:id="1985355819">
      <w:bodyDiv w:val="1"/>
      <w:marLeft w:val="0"/>
      <w:marRight w:val="0"/>
      <w:marTop w:val="0"/>
      <w:marBottom w:val="0"/>
      <w:divBdr>
        <w:top w:val="none" w:sz="0" w:space="0" w:color="auto"/>
        <w:left w:val="none" w:sz="0" w:space="0" w:color="auto"/>
        <w:bottom w:val="none" w:sz="0" w:space="0" w:color="auto"/>
        <w:right w:val="none" w:sz="0" w:space="0" w:color="auto"/>
      </w:divBdr>
    </w:div>
    <w:div w:id="1985498363">
      <w:bodyDiv w:val="1"/>
      <w:marLeft w:val="0"/>
      <w:marRight w:val="0"/>
      <w:marTop w:val="0"/>
      <w:marBottom w:val="0"/>
      <w:divBdr>
        <w:top w:val="none" w:sz="0" w:space="0" w:color="auto"/>
        <w:left w:val="none" w:sz="0" w:space="0" w:color="auto"/>
        <w:bottom w:val="none" w:sz="0" w:space="0" w:color="auto"/>
        <w:right w:val="none" w:sz="0" w:space="0" w:color="auto"/>
      </w:divBdr>
    </w:div>
    <w:div w:id="1985545464">
      <w:bodyDiv w:val="1"/>
      <w:marLeft w:val="0"/>
      <w:marRight w:val="0"/>
      <w:marTop w:val="0"/>
      <w:marBottom w:val="0"/>
      <w:divBdr>
        <w:top w:val="none" w:sz="0" w:space="0" w:color="auto"/>
        <w:left w:val="none" w:sz="0" w:space="0" w:color="auto"/>
        <w:bottom w:val="none" w:sz="0" w:space="0" w:color="auto"/>
        <w:right w:val="none" w:sz="0" w:space="0" w:color="auto"/>
      </w:divBdr>
    </w:div>
    <w:div w:id="1985576827">
      <w:bodyDiv w:val="1"/>
      <w:marLeft w:val="0"/>
      <w:marRight w:val="0"/>
      <w:marTop w:val="0"/>
      <w:marBottom w:val="0"/>
      <w:divBdr>
        <w:top w:val="none" w:sz="0" w:space="0" w:color="auto"/>
        <w:left w:val="none" w:sz="0" w:space="0" w:color="auto"/>
        <w:bottom w:val="none" w:sz="0" w:space="0" w:color="auto"/>
        <w:right w:val="none" w:sz="0" w:space="0" w:color="auto"/>
      </w:divBdr>
    </w:div>
    <w:div w:id="1985623371">
      <w:bodyDiv w:val="1"/>
      <w:marLeft w:val="0"/>
      <w:marRight w:val="0"/>
      <w:marTop w:val="0"/>
      <w:marBottom w:val="0"/>
      <w:divBdr>
        <w:top w:val="none" w:sz="0" w:space="0" w:color="auto"/>
        <w:left w:val="none" w:sz="0" w:space="0" w:color="auto"/>
        <w:bottom w:val="none" w:sz="0" w:space="0" w:color="auto"/>
        <w:right w:val="none" w:sz="0" w:space="0" w:color="auto"/>
      </w:divBdr>
    </w:div>
    <w:div w:id="1985693031">
      <w:bodyDiv w:val="1"/>
      <w:marLeft w:val="0"/>
      <w:marRight w:val="0"/>
      <w:marTop w:val="0"/>
      <w:marBottom w:val="0"/>
      <w:divBdr>
        <w:top w:val="none" w:sz="0" w:space="0" w:color="auto"/>
        <w:left w:val="none" w:sz="0" w:space="0" w:color="auto"/>
        <w:bottom w:val="none" w:sz="0" w:space="0" w:color="auto"/>
        <w:right w:val="none" w:sz="0" w:space="0" w:color="auto"/>
      </w:divBdr>
    </w:div>
    <w:div w:id="1985697312">
      <w:bodyDiv w:val="1"/>
      <w:marLeft w:val="0"/>
      <w:marRight w:val="0"/>
      <w:marTop w:val="0"/>
      <w:marBottom w:val="0"/>
      <w:divBdr>
        <w:top w:val="none" w:sz="0" w:space="0" w:color="auto"/>
        <w:left w:val="none" w:sz="0" w:space="0" w:color="auto"/>
        <w:bottom w:val="none" w:sz="0" w:space="0" w:color="auto"/>
        <w:right w:val="none" w:sz="0" w:space="0" w:color="auto"/>
      </w:divBdr>
    </w:div>
    <w:div w:id="1985742304">
      <w:bodyDiv w:val="1"/>
      <w:marLeft w:val="0"/>
      <w:marRight w:val="0"/>
      <w:marTop w:val="0"/>
      <w:marBottom w:val="0"/>
      <w:divBdr>
        <w:top w:val="none" w:sz="0" w:space="0" w:color="auto"/>
        <w:left w:val="none" w:sz="0" w:space="0" w:color="auto"/>
        <w:bottom w:val="none" w:sz="0" w:space="0" w:color="auto"/>
        <w:right w:val="none" w:sz="0" w:space="0" w:color="auto"/>
      </w:divBdr>
    </w:div>
    <w:div w:id="1985809648">
      <w:bodyDiv w:val="1"/>
      <w:marLeft w:val="0"/>
      <w:marRight w:val="0"/>
      <w:marTop w:val="0"/>
      <w:marBottom w:val="0"/>
      <w:divBdr>
        <w:top w:val="none" w:sz="0" w:space="0" w:color="auto"/>
        <w:left w:val="none" w:sz="0" w:space="0" w:color="auto"/>
        <w:bottom w:val="none" w:sz="0" w:space="0" w:color="auto"/>
        <w:right w:val="none" w:sz="0" w:space="0" w:color="auto"/>
      </w:divBdr>
    </w:div>
    <w:div w:id="1985813546">
      <w:bodyDiv w:val="1"/>
      <w:marLeft w:val="0"/>
      <w:marRight w:val="0"/>
      <w:marTop w:val="0"/>
      <w:marBottom w:val="0"/>
      <w:divBdr>
        <w:top w:val="none" w:sz="0" w:space="0" w:color="auto"/>
        <w:left w:val="none" w:sz="0" w:space="0" w:color="auto"/>
        <w:bottom w:val="none" w:sz="0" w:space="0" w:color="auto"/>
        <w:right w:val="none" w:sz="0" w:space="0" w:color="auto"/>
      </w:divBdr>
    </w:div>
    <w:div w:id="1985891606">
      <w:bodyDiv w:val="1"/>
      <w:marLeft w:val="0"/>
      <w:marRight w:val="0"/>
      <w:marTop w:val="0"/>
      <w:marBottom w:val="0"/>
      <w:divBdr>
        <w:top w:val="none" w:sz="0" w:space="0" w:color="auto"/>
        <w:left w:val="none" w:sz="0" w:space="0" w:color="auto"/>
        <w:bottom w:val="none" w:sz="0" w:space="0" w:color="auto"/>
        <w:right w:val="none" w:sz="0" w:space="0" w:color="auto"/>
      </w:divBdr>
    </w:div>
    <w:div w:id="1986086887">
      <w:bodyDiv w:val="1"/>
      <w:marLeft w:val="0"/>
      <w:marRight w:val="0"/>
      <w:marTop w:val="0"/>
      <w:marBottom w:val="0"/>
      <w:divBdr>
        <w:top w:val="none" w:sz="0" w:space="0" w:color="auto"/>
        <w:left w:val="none" w:sz="0" w:space="0" w:color="auto"/>
        <w:bottom w:val="none" w:sz="0" w:space="0" w:color="auto"/>
        <w:right w:val="none" w:sz="0" w:space="0" w:color="auto"/>
      </w:divBdr>
    </w:div>
    <w:div w:id="1986158785">
      <w:bodyDiv w:val="1"/>
      <w:marLeft w:val="0"/>
      <w:marRight w:val="0"/>
      <w:marTop w:val="0"/>
      <w:marBottom w:val="0"/>
      <w:divBdr>
        <w:top w:val="none" w:sz="0" w:space="0" w:color="auto"/>
        <w:left w:val="none" w:sz="0" w:space="0" w:color="auto"/>
        <w:bottom w:val="none" w:sz="0" w:space="0" w:color="auto"/>
        <w:right w:val="none" w:sz="0" w:space="0" w:color="auto"/>
      </w:divBdr>
    </w:div>
    <w:div w:id="1986201114">
      <w:bodyDiv w:val="1"/>
      <w:marLeft w:val="0"/>
      <w:marRight w:val="0"/>
      <w:marTop w:val="0"/>
      <w:marBottom w:val="0"/>
      <w:divBdr>
        <w:top w:val="none" w:sz="0" w:space="0" w:color="auto"/>
        <w:left w:val="none" w:sz="0" w:space="0" w:color="auto"/>
        <w:bottom w:val="none" w:sz="0" w:space="0" w:color="auto"/>
        <w:right w:val="none" w:sz="0" w:space="0" w:color="auto"/>
      </w:divBdr>
    </w:div>
    <w:div w:id="1986423267">
      <w:bodyDiv w:val="1"/>
      <w:marLeft w:val="0"/>
      <w:marRight w:val="0"/>
      <w:marTop w:val="0"/>
      <w:marBottom w:val="0"/>
      <w:divBdr>
        <w:top w:val="none" w:sz="0" w:space="0" w:color="auto"/>
        <w:left w:val="none" w:sz="0" w:space="0" w:color="auto"/>
        <w:bottom w:val="none" w:sz="0" w:space="0" w:color="auto"/>
        <w:right w:val="none" w:sz="0" w:space="0" w:color="auto"/>
      </w:divBdr>
    </w:div>
    <w:div w:id="1986424356">
      <w:bodyDiv w:val="1"/>
      <w:marLeft w:val="0"/>
      <w:marRight w:val="0"/>
      <w:marTop w:val="0"/>
      <w:marBottom w:val="0"/>
      <w:divBdr>
        <w:top w:val="none" w:sz="0" w:space="0" w:color="auto"/>
        <w:left w:val="none" w:sz="0" w:space="0" w:color="auto"/>
        <w:bottom w:val="none" w:sz="0" w:space="0" w:color="auto"/>
        <w:right w:val="none" w:sz="0" w:space="0" w:color="auto"/>
      </w:divBdr>
    </w:div>
    <w:div w:id="1986426368">
      <w:bodyDiv w:val="1"/>
      <w:marLeft w:val="0"/>
      <w:marRight w:val="0"/>
      <w:marTop w:val="0"/>
      <w:marBottom w:val="0"/>
      <w:divBdr>
        <w:top w:val="none" w:sz="0" w:space="0" w:color="auto"/>
        <w:left w:val="none" w:sz="0" w:space="0" w:color="auto"/>
        <w:bottom w:val="none" w:sz="0" w:space="0" w:color="auto"/>
        <w:right w:val="none" w:sz="0" w:space="0" w:color="auto"/>
      </w:divBdr>
    </w:div>
    <w:div w:id="1986464773">
      <w:bodyDiv w:val="1"/>
      <w:marLeft w:val="0"/>
      <w:marRight w:val="0"/>
      <w:marTop w:val="0"/>
      <w:marBottom w:val="0"/>
      <w:divBdr>
        <w:top w:val="none" w:sz="0" w:space="0" w:color="auto"/>
        <w:left w:val="none" w:sz="0" w:space="0" w:color="auto"/>
        <w:bottom w:val="none" w:sz="0" w:space="0" w:color="auto"/>
        <w:right w:val="none" w:sz="0" w:space="0" w:color="auto"/>
      </w:divBdr>
    </w:div>
    <w:div w:id="1986469372">
      <w:bodyDiv w:val="1"/>
      <w:marLeft w:val="0"/>
      <w:marRight w:val="0"/>
      <w:marTop w:val="0"/>
      <w:marBottom w:val="0"/>
      <w:divBdr>
        <w:top w:val="none" w:sz="0" w:space="0" w:color="auto"/>
        <w:left w:val="none" w:sz="0" w:space="0" w:color="auto"/>
        <w:bottom w:val="none" w:sz="0" w:space="0" w:color="auto"/>
        <w:right w:val="none" w:sz="0" w:space="0" w:color="auto"/>
      </w:divBdr>
    </w:div>
    <w:div w:id="1986544834">
      <w:bodyDiv w:val="1"/>
      <w:marLeft w:val="0"/>
      <w:marRight w:val="0"/>
      <w:marTop w:val="0"/>
      <w:marBottom w:val="0"/>
      <w:divBdr>
        <w:top w:val="none" w:sz="0" w:space="0" w:color="auto"/>
        <w:left w:val="none" w:sz="0" w:space="0" w:color="auto"/>
        <w:bottom w:val="none" w:sz="0" w:space="0" w:color="auto"/>
        <w:right w:val="none" w:sz="0" w:space="0" w:color="auto"/>
      </w:divBdr>
    </w:div>
    <w:div w:id="1986549215">
      <w:bodyDiv w:val="1"/>
      <w:marLeft w:val="0"/>
      <w:marRight w:val="0"/>
      <w:marTop w:val="0"/>
      <w:marBottom w:val="0"/>
      <w:divBdr>
        <w:top w:val="none" w:sz="0" w:space="0" w:color="auto"/>
        <w:left w:val="none" w:sz="0" w:space="0" w:color="auto"/>
        <w:bottom w:val="none" w:sz="0" w:space="0" w:color="auto"/>
        <w:right w:val="none" w:sz="0" w:space="0" w:color="auto"/>
      </w:divBdr>
    </w:div>
    <w:div w:id="1986665092">
      <w:bodyDiv w:val="1"/>
      <w:marLeft w:val="0"/>
      <w:marRight w:val="0"/>
      <w:marTop w:val="0"/>
      <w:marBottom w:val="0"/>
      <w:divBdr>
        <w:top w:val="none" w:sz="0" w:space="0" w:color="auto"/>
        <w:left w:val="none" w:sz="0" w:space="0" w:color="auto"/>
        <w:bottom w:val="none" w:sz="0" w:space="0" w:color="auto"/>
        <w:right w:val="none" w:sz="0" w:space="0" w:color="auto"/>
      </w:divBdr>
    </w:div>
    <w:div w:id="1986736217">
      <w:bodyDiv w:val="1"/>
      <w:marLeft w:val="0"/>
      <w:marRight w:val="0"/>
      <w:marTop w:val="0"/>
      <w:marBottom w:val="0"/>
      <w:divBdr>
        <w:top w:val="none" w:sz="0" w:space="0" w:color="auto"/>
        <w:left w:val="none" w:sz="0" w:space="0" w:color="auto"/>
        <w:bottom w:val="none" w:sz="0" w:space="0" w:color="auto"/>
        <w:right w:val="none" w:sz="0" w:space="0" w:color="auto"/>
      </w:divBdr>
    </w:div>
    <w:div w:id="1986811834">
      <w:bodyDiv w:val="1"/>
      <w:marLeft w:val="0"/>
      <w:marRight w:val="0"/>
      <w:marTop w:val="0"/>
      <w:marBottom w:val="0"/>
      <w:divBdr>
        <w:top w:val="none" w:sz="0" w:space="0" w:color="auto"/>
        <w:left w:val="none" w:sz="0" w:space="0" w:color="auto"/>
        <w:bottom w:val="none" w:sz="0" w:space="0" w:color="auto"/>
        <w:right w:val="none" w:sz="0" w:space="0" w:color="auto"/>
      </w:divBdr>
    </w:div>
    <w:div w:id="1986813639">
      <w:bodyDiv w:val="1"/>
      <w:marLeft w:val="0"/>
      <w:marRight w:val="0"/>
      <w:marTop w:val="0"/>
      <w:marBottom w:val="0"/>
      <w:divBdr>
        <w:top w:val="none" w:sz="0" w:space="0" w:color="auto"/>
        <w:left w:val="none" w:sz="0" w:space="0" w:color="auto"/>
        <w:bottom w:val="none" w:sz="0" w:space="0" w:color="auto"/>
        <w:right w:val="none" w:sz="0" w:space="0" w:color="auto"/>
      </w:divBdr>
    </w:div>
    <w:div w:id="1986856557">
      <w:bodyDiv w:val="1"/>
      <w:marLeft w:val="0"/>
      <w:marRight w:val="0"/>
      <w:marTop w:val="0"/>
      <w:marBottom w:val="0"/>
      <w:divBdr>
        <w:top w:val="none" w:sz="0" w:space="0" w:color="auto"/>
        <w:left w:val="none" w:sz="0" w:space="0" w:color="auto"/>
        <w:bottom w:val="none" w:sz="0" w:space="0" w:color="auto"/>
        <w:right w:val="none" w:sz="0" w:space="0" w:color="auto"/>
      </w:divBdr>
    </w:div>
    <w:div w:id="1986885644">
      <w:bodyDiv w:val="1"/>
      <w:marLeft w:val="0"/>
      <w:marRight w:val="0"/>
      <w:marTop w:val="0"/>
      <w:marBottom w:val="0"/>
      <w:divBdr>
        <w:top w:val="none" w:sz="0" w:space="0" w:color="auto"/>
        <w:left w:val="none" w:sz="0" w:space="0" w:color="auto"/>
        <w:bottom w:val="none" w:sz="0" w:space="0" w:color="auto"/>
        <w:right w:val="none" w:sz="0" w:space="0" w:color="auto"/>
      </w:divBdr>
    </w:div>
    <w:div w:id="1986931481">
      <w:bodyDiv w:val="1"/>
      <w:marLeft w:val="0"/>
      <w:marRight w:val="0"/>
      <w:marTop w:val="0"/>
      <w:marBottom w:val="0"/>
      <w:divBdr>
        <w:top w:val="none" w:sz="0" w:space="0" w:color="auto"/>
        <w:left w:val="none" w:sz="0" w:space="0" w:color="auto"/>
        <w:bottom w:val="none" w:sz="0" w:space="0" w:color="auto"/>
        <w:right w:val="none" w:sz="0" w:space="0" w:color="auto"/>
      </w:divBdr>
    </w:div>
    <w:div w:id="1986932532">
      <w:bodyDiv w:val="1"/>
      <w:marLeft w:val="0"/>
      <w:marRight w:val="0"/>
      <w:marTop w:val="0"/>
      <w:marBottom w:val="0"/>
      <w:divBdr>
        <w:top w:val="none" w:sz="0" w:space="0" w:color="auto"/>
        <w:left w:val="none" w:sz="0" w:space="0" w:color="auto"/>
        <w:bottom w:val="none" w:sz="0" w:space="0" w:color="auto"/>
        <w:right w:val="none" w:sz="0" w:space="0" w:color="auto"/>
      </w:divBdr>
    </w:div>
    <w:div w:id="1987004500">
      <w:bodyDiv w:val="1"/>
      <w:marLeft w:val="0"/>
      <w:marRight w:val="0"/>
      <w:marTop w:val="0"/>
      <w:marBottom w:val="0"/>
      <w:divBdr>
        <w:top w:val="none" w:sz="0" w:space="0" w:color="auto"/>
        <w:left w:val="none" w:sz="0" w:space="0" w:color="auto"/>
        <w:bottom w:val="none" w:sz="0" w:space="0" w:color="auto"/>
        <w:right w:val="none" w:sz="0" w:space="0" w:color="auto"/>
      </w:divBdr>
    </w:div>
    <w:div w:id="1987125997">
      <w:bodyDiv w:val="1"/>
      <w:marLeft w:val="0"/>
      <w:marRight w:val="0"/>
      <w:marTop w:val="0"/>
      <w:marBottom w:val="0"/>
      <w:divBdr>
        <w:top w:val="none" w:sz="0" w:space="0" w:color="auto"/>
        <w:left w:val="none" w:sz="0" w:space="0" w:color="auto"/>
        <w:bottom w:val="none" w:sz="0" w:space="0" w:color="auto"/>
        <w:right w:val="none" w:sz="0" w:space="0" w:color="auto"/>
      </w:divBdr>
    </w:div>
    <w:div w:id="1987202307">
      <w:bodyDiv w:val="1"/>
      <w:marLeft w:val="0"/>
      <w:marRight w:val="0"/>
      <w:marTop w:val="0"/>
      <w:marBottom w:val="0"/>
      <w:divBdr>
        <w:top w:val="none" w:sz="0" w:space="0" w:color="auto"/>
        <w:left w:val="none" w:sz="0" w:space="0" w:color="auto"/>
        <w:bottom w:val="none" w:sz="0" w:space="0" w:color="auto"/>
        <w:right w:val="none" w:sz="0" w:space="0" w:color="auto"/>
      </w:divBdr>
    </w:div>
    <w:div w:id="1987278187">
      <w:bodyDiv w:val="1"/>
      <w:marLeft w:val="0"/>
      <w:marRight w:val="0"/>
      <w:marTop w:val="0"/>
      <w:marBottom w:val="0"/>
      <w:divBdr>
        <w:top w:val="none" w:sz="0" w:space="0" w:color="auto"/>
        <w:left w:val="none" w:sz="0" w:space="0" w:color="auto"/>
        <w:bottom w:val="none" w:sz="0" w:space="0" w:color="auto"/>
        <w:right w:val="none" w:sz="0" w:space="0" w:color="auto"/>
      </w:divBdr>
    </w:div>
    <w:div w:id="1987464082">
      <w:bodyDiv w:val="1"/>
      <w:marLeft w:val="0"/>
      <w:marRight w:val="0"/>
      <w:marTop w:val="0"/>
      <w:marBottom w:val="0"/>
      <w:divBdr>
        <w:top w:val="none" w:sz="0" w:space="0" w:color="auto"/>
        <w:left w:val="none" w:sz="0" w:space="0" w:color="auto"/>
        <w:bottom w:val="none" w:sz="0" w:space="0" w:color="auto"/>
        <w:right w:val="none" w:sz="0" w:space="0" w:color="auto"/>
      </w:divBdr>
    </w:div>
    <w:div w:id="1987541679">
      <w:bodyDiv w:val="1"/>
      <w:marLeft w:val="0"/>
      <w:marRight w:val="0"/>
      <w:marTop w:val="0"/>
      <w:marBottom w:val="0"/>
      <w:divBdr>
        <w:top w:val="none" w:sz="0" w:space="0" w:color="auto"/>
        <w:left w:val="none" w:sz="0" w:space="0" w:color="auto"/>
        <w:bottom w:val="none" w:sz="0" w:space="0" w:color="auto"/>
        <w:right w:val="none" w:sz="0" w:space="0" w:color="auto"/>
      </w:divBdr>
    </w:div>
    <w:div w:id="1987659023">
      <w:bodyDiv w:val="1"/>
      <w:marLeft w:val="0"/>
      <w:marRight w:val="0"/>
      <w:marTop w:val="0"/>
      <w:marBottom w:val="0"/>
      <w:divBdr>
        <w:top w:val="none" w:sz="0" w:space="0" w:color="auto"/>
        <w:left w:val="none" w:sz="0" w:space="0" w:color="auto"/>
        <w:bottom w:val="none" w:sz="0" w:space="0" w:color="auto"/>
        <w:right w:val="none" w:sz="0" w:space="0" w:color="auto"/>
      </w:divBdr>
    </w:div>
    <w:div w:id="1987780708">
      <w:bodyDiv w:val="1"/>
      <w:marLeft w:val="0"/>
      <w:marRight w:val="0"/>
      <w:marTop w:val="0"/>
      <w:marBottom w:val="0"/>
      <w:divBdr>
        <w:top w:val="none" w:sz="0" w:space="0" w:color="auto"/>
        <w:left w:val="none" w:sz="0" w:space="0" w:color="auto"/>
        <w:bottom w:val="none" w:sz="0" w:space="0" w:color="auto"/>
        <w:right w:val="none" w:sz="0" w:space="0" w:color="auto"/>
      </w:divBdr>
    </w:div>
    <w:div w:id="1988047112">
      <w:bodyDiv w:val="1"/>
      <w:marLeft w:val="0"/>
      <w:marRight w:val="0"/>
      <w:marTop w:val="0"/>
      <w:marBottom w:val="0"/>
      <w:divBdr>
        <w:top w:val="none" w:sz="0" w:space="0" w:color="auto"/>
        <w:left w:val="none" w:sz="0" w:space="0" w:color="auto"/>
        <w:bottom w:val="none" w:sz="0" w:space="0" w:color="auto"/>
        <w:right w:val="none" w:sz="0" w:space="0" w:color="auto"/>
      </w:divBdr>
    </w:div>
    <w:div w:id="1988198146">
      <w:bodyDiv w:val="1"/>
      <w:marLeft w:val="0"/>
      <w:marRight w:val="0"/>
      <w:marTop w:val="0"/>
      <w:marBottom w:val="0"/>
      <w:divBdr>
        <w:top w:val="none" w:sz="0" w:space="0" w:color="auto"/>
        <w:left w:val="none" w:sz="0" w:space="0" w:color="auto"/>
        <w:bottom w:val="none" w:sz="0" w:space="0" w:color="auto"/>
        <w:right w:val="none" w:sz="0" w:space="0" w:color="auto"/>
      </w:divBdr>
    </w:div>
    <w:div w:id="1988238064">
      <w:bodyDiv w:val="1"/>
      <w:marLeft w:val="0"/>
      <w:marRight w:val="0"/>
      <w:marTop w:val="0"/>
      <w:marBottom w:val="0"/>
      <w:divBdr>
        <w:top w:val="none" w:sz="0" w:space="0" w:color="auto"/>
        <w:left w:val="none" w:sz="0" w:space="0" w:color="auto"/>
        <w:bottom w:val="none" w:sz="0" w:space="0" w:color="auto"/>
        <w:right w:val="none" w:sz="0" w:space="0" w:color="auto"/>
      </w:divBdr>
    </w:div>
    <w:div w:id="1988315798">
      <w:bodyDiv w:val="1"/>
      <w:marLeft w:val="0"/>
      <w:marRight w:val="0"/>
      <w:marTop w:val="0"/>
      <w:marBottom w:val="0"/>
      <w:divBdr>
        <w:top w:val="none" w:sz="0" w:space="0" w:color="auto"/>
        <w:left w:val="none" w:sz="0" w:space="0" w:color="auto"/>
        <w:bottom w:val="none" w:sz="0" w:space="0" w:color="auto"/>
        <w:right w:val="none" w:sz="0" w:space="0" w:color="auto"/>
      </w:divBdr>
    </w:div>
    <w:div w:id="1988433447">
      <w:bodyDiv w:val="1"/>
      <w:marLeft w:val="0"/>
      <w:marRight w:val="0"/>
      <w:marTop w:val="0"/>
      <w:marBottom w:val="0"/>
      <w:divBdr>
        <w:top w:val="none" w:sz="0" w:space="0" w:color="auto"/>
        <w:left w:val="none" w:sz="0" w:space="0" w:color="auto"/>
        <w:bottom w:val="none" w:sz="0" w:space="0" w:color="auto"/>
        <w:right w:val="none" w:sz="0" w:space="0" w:color="auto"/>
      </w:divBdr>
    </w:div>
    <w:div w:id="1988586112">
      <w:bodyDiv w:val="1"/>
      <w:marLeft w:val="0"/>
      <w:marRight w:val="0"/>
      <w:marTop w:val="0"/>
      <w:marBottom w:val="0"/>
      <w:divBdr>
        <w:top w:val="none" w:sz="0" w:space="0" w:color="auto"/>
        <w:left w:val="none" w:sz="0" w:space="0" w:color="auto"/>
        <w:bottom w:val="none" w:sz="0" w:space="0" w:color="auto"/>
        <w:right w:val="none" w:sz="0" w:space="0" w:color="auto"/>
      </w:divBdr>
    </w:div>
    <w:div w:id="1988777484">
      <w:bodyDiv w:val="1"/>
      <w:marLeft w:val="0"/>
      <w:marRight w:val="0"/>
      <w:marTop w:val="0"/>
      <w:marBottom w:val="0"/>
      <w:divBdr>
        <w:top w:val="none" w:sz="0" w:space="0" w:color="auto"/>
        <w:left w:val="none" w:sz="0" w:space="0" w:color="auto"/>
        <w:bottom w:val="none" w:sz="0" w:space="0" w:color="auto"/>
        <w:right w:val="none" w:sz="0" w:space="0" w:color="auto"/>
      </w:divBdr>
    </w:div>
    <w:div w:id="1988900679">
      <w:bodyDiv w:val="1"/>
      <w:marLeft w:val="0"/>
      <w:marRight w:val="0"/>
      <w:marTop w:val="0"/>
      <w:marBottom w:val="0"/>
      <w:divBdr>
        <w:top w:val="none" w:sz="0" w:space="0" w:color="auto"/>
        <w:left w:val="none" w:sz="0" w:space="0" w:color="auto"/>
        <w:bottom w:val="none" w:sz="0" w:space="0" w:color="auto"/>
        <w:right w:val="none" w:sz="0" w:space="0" w:color="auto"/>
      </w:divBdr>
    </w:div>
    <w:div w:id="1988968007">
      <w:bodyDiv w:val="1"/>
      <w:marLeft w:val="0"/>
      <w:marRight w:val="0"/>
      <w:marTop w:val="0"/>
      <w:marBottom w:val="0"/>
      <w:divBdr>
        <w:top w:val="none" w:sz="0" w:space="0" w:color="auto"/>
        <w:left w:val="none" w:sz="0" w:space="0" w:color="auto"/>
        <w:bottom w:val="none" w:sz="0" w:space="0" w:color="auto"/>
        <w:right w:val="none" w:sz="0" w:space="0" w:color="auto"/>
      </w:divBdr>
    </w:div>
    <w:div w:id="1989091773">
      <w:bodyDiv w:val="1"/>
      <w:marLeft w:val="0"/>
      <w:marRight w:val="0"/>
      <w:marTop w:val="0"/>
      <w:marBottom w:val="0"/>
      <w:divBdr>
        <w:top w:val="none" w:sz="0" w:space="0" w:color="auto"/>
        <w:left w:val="none" w:sz="0" w:space="0" w:color="auto"/>
        <w:bottom w:val="none" w:sz="0" w:space="0" w:color="auto"/>
        <w:right w:val="none" w:sz="0" w:space="0" w:color="auto"/>
      </w:divBdr>
    </w:div>
    <w:div w:id="1989624750">
      <w:bodyDiv w:val="1"/>
      <w:marLeft w:val="0"/>
      <w:marRight w:val="0"/>
      <w:marTop w:val="0"/>
      <w:marBottom w:val="0"/>
      <w:divBdr>
        <w:top w:val="none" w:sz="0" w:space="0" w:color="auto"/>
        <w:left w:val="none" w:sz="0" w:space="0" w:color="auto"/>
        <w:bottom w:val="none" w:sz="0" w:space="0" w:color="auto"/>
        <w:right w:val="none" w:sz="0" w:space="0" w:color="auto"/>
      </w:divBdr>
    </w:div>
    <w:div w:id="1989626400">
      <w:bodyDiv w:val="1"/>
      <w:marLeft w:val="0"/>
      <w:marRight w:val="0"/>
      <w:marTop w:val="0"/>
      <w:marBottom w:val="0"/>
      <w:divBdr>
        <w:top w:val="none" w:sz="0" w:space="0" w:color="auto"/>
        <w:left w:val="none" w:sz="0" w:space="0" w:color="auto"/>
        <w:bottom w:val="none" w:sz="0" w:space="0" w:color="auto"/>
        <w:right w:val="none" w:sz="0" w:space="0" w:color="auto"/>
      </w:divBdr>
    </w:div>
    <w:div w:id="1989746790">
      <w:bodyDiv w:val="1"/>
      <w:marLeft w:val="0"/>
      <w:marRight w:val="0"/>
      <w:marTop w:val="0"/>
      <w:marBottom w:val="0"/>
      <w:divBdr>
        <w:top w:val="none" w:sz="0" w:space="0" w:color="auto"/>
        <w:left w:val="none" w:sz="0" w:space="0" w:color="auto"/>
        <w:bottom w:val="none" w:sz="0" w:space="0" w:color="auto"/>
        <w:right w:val="none" w:sz="0" w:space="0" w:color="auto"/>
      </w:divBdr>
    </w:div>
    <w:div w:id="1989819535">
      <w:bodyDiv w:val="1"/>
      <w:marLeft w:val="0"/>
      <w:marRight w:val="0"/>
      <w:marTop w:val="0"/>
      <w:marBottom w:val="0"/>
      <w:divBdr>
        <w:top w:val="none" w:sz="0" w:space="0" w:color="auto"/>
        <w:left w:val="none" w:sz="0" w:space="0" w:color="auto"/>
        <w:bottom w:val="none" w:sz="0" w:space="0" w:color="auto"/>
        <w:right w:val="none" w:sz="0" w:space="0" w:color="auto"/>
      </w:divBdr>
    </w:div>
    <w:div w:id="1989821378">
      <w:bodyDiv w:val="1"/>
      <w:marLeft w:val="0"/>
      <w:marRight w:val="0"/>
      <w:marTop w:val="0"/>
      <w:marBottom w:val="0"/>
      <w:divBdr>
        <w:top w:val="none" w:sz="0" w:space="0" w:color="auto"/>
        <w:left w:val="none" w:sz="0" w:space="0" w:color="auto"/>
        <w:bottom w:val="none" w:sz="0" w:space="0" w:color="auto"/>
        <w:right w:val="none" w:sz="0" w:space="0" w:color="auto"/>
      </w:divBdr>
    </w:div>
    <w:div w:id="1989892439">
      <w:bodyDiv w:val="1"/>
      <w:marLeft w:val="0"/>
      <w:marRight w:val="0"/>
      <w:marTop w:val="0"/>
      <w:marBottom w:val="0"/>
      <w:divBdr>
        <w:top w:val="none" w:sz="0" w:space="0" w:color="auto"/>
        <w:left w:val="none" w:sz="0" w:space="0" w:color="auto"/>
        <w:bottom w:val="none" w:sz="0" w:space="0" w:color="auto"/>
        <w:right w:val="none" w:sz="0" w:space="0" w:color="auto"/>
      </w:divBdr>
    </w:div>
    <w:div w:id="1989893116">
      <w:bodyDiv w:val="1"/>
      <w:marLeft w:val="0"/>
      <w:marRight w:val="0"/>
      <w:marTop w:val="0"/>
      <w:marBottom w:val="0"/>
      <w:divBdr>
        <w:top w:val="none" w:sz="0" w:space="0" w:color="auto"/>
        <w:left w:val="none" w:sz="0" w:space="0" w:color="auto"/>
        <w:bottom w:val="none" w:sz="0" w:space="0" w:color="auto"/>
        <w:right w:val="none" w:sz="0" w:space="0" w:color="auto"/>
      </w:divBdr>
    </w:div>
    <w:div w:id="1989901066">
      <w:bodyDiv w:val="1"/>
      <w:marLeft w:val="0"/>
      <w:marRight w:val="0"/>
      <w:marTop w:val="0"/>
      <w:marBottom w:val="0"/>
      <w:divBdr>
        <w:top w:val="none" w:sz="0" w:space="0" w:color="auto"/>
        <w:left w:val="none" w:sz="0" w:space="0" w:color="auto"/>
        <w:bottom w:val="none" w:sz="0" w:space="0" w:color="auto"/>
        <w:right w:val="none" w:sz="0" w:space="0" w:color="auto"/>
      </w:divBdr>
    </w:div>
    <w:div w:id="1989936091">
      <w:bodyDiv w:val="1"/>
      <w:marLeft w:val="0"/>
      <w:marRight w:val="0"/>
      <w:marTop w:val="0"/>
      <w:marBottom w:val="0"/>
      <w:divBdr>
        <w:top w:val="none" w:sz="0" w:space="0" w:color="auto"/>
        <w:left w:val="none" w:sz="0" w:space="0" w:color="auto"/>
        <w:bottom w:val="none" w:sz="0" w:space="0" w:color="auto"/>
        <w:right w:val="none" w:sz="0" w:space="0" w:color="auto"/>
      </w:divBdr>
    </w:div>
    <w:div w:id="1989941028">
      <w:bodyDiv w:val="1"/>
      <w:marLeft w:val="0"/>
      <w:marRight w:val="0"/>
      <w:marTop w:val="0"/>
      <w:marBottom w:val="0"/>
      <w:divBdr>
        <w:top w:val="none" w:sz="0" w:space="0" w:color="auto"/>
        <w:left w:val="none" w:sz="0" w:space="0" w:color="auto"/>
        <w:bottom w:val="none" w:sz="0" w:space="0" w:color="auto"/>
        <w:right w:val="none" w:sz="0" w:space="0" w:color="auto"/>
      </w:divBdr>
    </w:div>
    <w:div w:id="1990134655">
      <w:bodyDiv w:val="1"/>
      <w:marLeft w:val="0"/>
      <w:marRight w:val="0"/>
      <w:marTop w:val="0"/>
      <w:marBottom w:val="0"/>
      <w:divBdr>
        <w:top w:val="none" w:sz="0" w:space="0" w:color="auto"/>
        <w:left w:val="none" w:sz="0" w:space="0" w:color="auto"/>
        <w:bottom w:val="none" w:sz="0" w:space="0" w:color="auto"/>
        <w:right w:val="none" w:sz="0" w:space="0" w:color="auto"/>
      </w:divBdr>
    </w:div>
    <w:div w:id="1990134740">
      <w:bodyDiv w:val="1"/>
      <w:marLeft w:val="0"/>
      <w:marRight w:val="0"/>
      <w:marTop w:val="0"/>
      <w:marBottom w:val="0"/>
      <w:divBdr>
        <w:top w:val="none" w:sz="0" w:space="0" w:color="auto"/>
        <w:left w:val="none" w:sz="0" w:space="0" w:color="auto"/>
        <w:bottom w:val="none" w:sz="0" w:space="0" w:color="auto"/>
        <w:right w:val="none" w:sz="0" w:space="0" w:color="auto"/>
      </w:divBdr>
    </w:div>
    <w:div w:id="1990205245">
      <w:bodyDiv w:val="1"/>
      <w:marLeft w:val="0"/>
      <w:marRight w:val="0"/>
      <w:marTop w:val="0"/>
      <w:marBottom w:val="0"/>
      <w:divBdr>
        <w:top w:val="none" w:sz="0" w:space="0" w:color="auto"/>
        <w:left w:val="none" w:sz="0" w:space="0" w:color="auto"/>
        <w:bottom w:val="none" w:sz="0" w:space="0" w:color="auto"/>
        <w:right w:val="none" w:sz="0" w:space="0" w:color="auto"/>
      </w:divBdr>
    </w:div>
    <w:div w:id="1990282888">
      <w:bodyDiv w:val="1"/>
      <w:marLeft w:val="0"/>
      <w:marRight w:val="0"/>
      <w:marTop w:val="0"/>
      <w:marBottom w:val="0"/>
      <w:divBdr>
        <w:top w:val="none" w:sz="0" w:space="0" w:color="auto"/>
        <w:left w:val="none" w:sz="0" w:space="0" w:color="auto"/>
        <w:bottom w:val="none" w:sz="0" w:space="0" w:color="auto"/>
        <w:right w:val="none" w:sz="0" w:space="0" w:color="auto"/>
      </w:divBdr>
    </w:div>
    <w:div w:id="1990287136">
      <w:bodyDiv w:val="1"/>
      <w:marLeft w:val="0"/>
      <w:marRight w:val="0"/>
      <w:marTop w:val="0"/>
      <w:marBottom w:val="0"/>
      <w:divBdr>
        <w:top w:val="none" w:sz="0" w:space="0" w:color="auto"/>
        <w:left w:val="none" w:sz="0" w:space="0" w:color="auto"/>
        <w:bottom w:val="none" w:sz="0" w:space="0" w:color="auto"/>
        <w:right w:val="none" w:sz="0" w:space="0" w:color="auto"/>
      </w:divBdr>
    </w:div>
    <w:div w:id="1990358182">
      <w:bodyDiv w:val="1"/>
      <w:marLeft w:val="0"/>
      <w:marRight w:val="0"/>
      <w:marTop w:val="0"/>
      <w:marBottom w:val="0"/>
      <w:divBdr>
        <w:top w:val="none" w:sz="0" w:space="0" w:color="auto"/>
        <w:left w:val="none" w:sz="0" w:space="0" w:color="auto"/>
        <w:bottom w:val="none" w:sz="0" w:space="0" w:color="auto"/>
        <w:right w:val="none" w:sz="0" w:space="0" w:color="auto"/>
      </w:divBdr>
    </w:div>
    <w:div w:id="1990399800">
      <w:bodyDiv w:val="1"/>
      <w:marLeft w:val="0"/>
      <w:marRight w:val="0"/>
      <w:marTop w:val="0"/>
      <w:marBottom w:val="0"/>
      <w:divBdr>
        <w:top w:val="none" w:sz="0" w:space="0" w:color="auto"/>
        <w:left w:val="none" w:sz="0" w:space="0" w:color="auto"/>
        <w:bottom w:val="none" w:sz="0" w:space="0" w:color="auto"/>
        <w:right w:val="none" w:sz="0" w:space="0" w:color="auto"/>
      </w:divBdr>
    </w:div>
    <w:div w:id="1990480430">
      <w:bodyDiv w:val="1"/>
      <w:marLeft w:val="0"/>
      <w:marRight w:val="0"/>
      <w:marTop w:val="0"/>
      <w:marBottom w:val="0"/>
      <w:divBdr>
        <w:top w:val="none" w:sz="0" w:space="0" w:color="auto"/>
        <w:left w:val="none" w:sz="0" w:space="0" w:color="auto"/>
        <w:bottom w:val="none" w:sz="0" w:space="0" w:color="auto"/>
        <w:right w:val="none" w:sz="0" w:space="0" w:color="auto"/>
      </w:divBdr>
    </w:div>
    <w:div w:id="1990554817">
      <w:bodyDiv w:val="1"/>
      <w:marLeft w:val="0"/>
      <w:marRight w:val="0"/>
      <w:marTop w:val="0"/>
      <w:marBottom w:val="0"/>
      <w:divBdr>
        <w:top w:val="none" w:sz="0" w:space="0" w:color="auto"/>
        <w:left w:val="none" w:sz="0" w:space="0" w:color="auto"/>
        <w:bottom w:val="none" w:sz="0" w:space="0" w:color="auto"/>
        <w:right w:val="none" w:sz="0" w:space="0" w:color="auto"/>
      </w:divBdr>
    </w:div>
    <w:div w:id="1990590837">
      <w:bodyDiv w:val="1"/>
      <w:marLeft w:val="0"/>
      <w:marRight w:val="0"/>
      <w:marTop w:val="0"/>
      <w:marBottom w:val="0"/>
      <w:divBdr>
        <w:top w:val="none" w:sz="0" w:space="0" w:color="auto"/>
        <w:left w:val="none" w:sz="0" w:space="0" w:color="auto"/>
        <w:bottom w:val="none" w:sz="0" w:space="0" w:color="auto"/>
        <w:right w:val="none" w:sz="0" w:space="0" w:color="auto"/>
      </w:divBdr>
    </w:div>
    <w:div w:id="1990984265">
      <w:bodyDiv w:val="1"/>
      <w:marLeft w:val="0"/>
      <w:marRight w:val="0"/>
      <w:marTop w:val="0"/>
      <w:marBottom w:val="0"/>
      <w:divBdr>
        <w:top w:val="none" w:sz="0" w:space="0" w:color="auto"/>
        <w:left w:val="none" w:sz="0" w:space="0" w:color="auto"/>
        <w:bottom w:val="none" w:sz="0" w:space="0" w:color="auto"/>
        <w:right w:val="none" w:sz="0" w:space="0" w:color="auto"/>
      </w:divBdr>
    </w:div>
    <w:div w:id="1990985925">
      <w:bodyDiv w:val="1"/>
      <w:marLeft w:val="0"/>
      <w:marRight w:val="0"/>
      <w:marTop w:val="0"/>
      <w:marBottom w:val="0"/>
      <w:divBdr>
        <w:top w:val="none" w:sz="0" w:space="0" w:color="auto"/>
        <w:left w:val="none" w:sz="0" w:space="0" w:color="auto"/>
        <w:bottom w:val="none" w:sz="0" w:space="0" w:color="auto"/>
        <w:right w:val="none" w:sz="0" w:space="0" w:color="auto"/>
      </w:divBdr>
    </w:div>
    <w:div w:id="1991052188">
      <w:bodyDiv w:val="1"/>
      <w:marLeft w:val="0"/>
      <w:marRight w:val="0"/>
      <w:marTop w:val="0"/>
      <w:marBottom w:val="0"/>
      <w:divBdr>
        <w:top w:val="none" w:sz="0" w:space="0" w:color="auto"/>
        <w:left w:val="none" w:sz="0" w:space="0" w:color="auto"/>
        <w:bottom w:val="none" w:sz="0" w:space="0" w:color="auto"/>
        <w:right w:val="none" w:sz="0" w:space="0" w:color="auto"/>
      </w:divBdr>
    </w:div>
    <w:div w:id="1991206211">
      <w:bodyDiv w:val="1"/>
      <w:marLeft w:val="0"/>
      <w:marRight w:val="0"/>
      <w:marTop w:val="0"/>
      <w:marBottom w:val="0"/>
      <w:divBdr>
        <w:top w:val="none" w:sz="0" w:space="0" w:color="auto"/>
        <w:left w:val="none" w:sz="0" w:space="0" w:color="auto"/>
        <w:bottom w:val="none" w:sz="0" w:space="0" w:color="auto"/>
        <w:right w:val="none" w:sz="0" w:space="0" w:color="auto"/>
      </w:divBdr>
    </w:div>
    <w:div w:id="1991209789">
      <w:bodyDiv w:val="1"/>
      <w:marLeft w:val="0"/>
      <w:marRight w:val="0"/>
      <w:marTop w:val="0"/>
      <w:marBottom w:val="0"/>
      <w:divBdr>
        <w:top w:val="none" w:sz="0" w:space="0" w:color="auto"/>
        <w:left w:val="none" w:sz="0" w:space="0" w:color="auto"/>
        <w:bottom w:val="none" w:sz="0" w:space="0" w:color="auto"/>
        <w:right w:val="none" w:sz="0" w:space="0" w:color="auto"/>
      </w:divBdr>
    </w:div>
    <w:div w:id="1991246527">
      <w:bodyDiv w:val="1"/>
      <w:marLeft w:val="0"/>
      <w:marRight w:val="0"/>
      <w:marTop w:val="0"/>
      <w:marBottom w:val="0"/>
      <w:divBdr>
        <w:top w:val="none" w:sz="0" w:space="0" w:color="auto"/>
        <w:left w:val="none" w:sz="0" w:space="0" w:color="auto"/>
        <w:bottom w:val="none" w:sz="0" w:space="0" w:color="auto"/>
        <w:right w:val="none" w:sz="0" w:space="0" w:color="auto"/>
      </w:divBdr>
    </w:div>
    <w:div w:id="1991278330">
      <w:bodyDiv w:val="1"/>
      <w:marLeft w:val="0"/>
      <w:marRight w:val="0"/>
      <w:marTop w:val="0"/>
      <w:marBottom w:val="0"/>
      <w:divBdr>
        <w:top w:val="none" w:sz="0" w:space="0" w:color="auto"/>
        <w:left w:val="none" w:sz="0" w:space="0" w:color="auto"/>
        <w:bottom w:val="none" w:sz="0" w:space="0" w:color="auto"/>
        <w:right w:val="none" w:sz="0" w:space="0" w:color="auto"/>
      </w:divBdr>
    </w:div>
    <w:div w:id="1991323442">
      <w:bodyDiv w:val="1"/>
      <w:marLeft w:val="0"/>
      <w:marRight w:val="0"/>
      <w:marTop w:val="0"/>
      <w:marBottom w:val="0"/>
      <w:divBdr>
        <w:top w:val="none" w:sz="0" w:space="0" w:color="auto"/>
        <w:left w:val="none" w:sz="0" w:space="0" w:color="auto"/>
        <w:bottom w:val="none" w:sz="0" w:space="0" w:color="auto"/>
        <w:right w:val="none" w:sz="0" w:space="0" w:color="auto"/>
      </w:divBdr>
    </w:div>
    <w:div w:id="1991399318">
      <w:bodyDiv w:val="1"/>
      <w:marLeft w:val="0"/>
      <w:marRight w:val="0"/>
      <w:marTop w:val="0"/>
      <w:marBottom w:val="0"/>
      <w:divBdr>
        <w:top w:val="none" w:sz="0" w:space="0" w:color="auto"/>
        <w:left w:val="none" w:sz="0" w:space="0" w:color="auto"/>
        <w:bottom w:val="none" w:sz="0" w:space="0" w:color="auto"/>
        <w:right w:val="none" w:sz="0" w:space="0" w:color="auto"/>
      </w:divBdr>
    </w:div>
    <w:div w:id="1991589908">
      <w:bodyDiv w:val="1"/>
      <w:marLeft w:val="0"/>
      <w:marRight w:val="0"/>
      <w:marTop w:val="0"/>
      <w:marBottom w:val="0"/>
      <w:divBdr>
        <w:top w:val="none" w:sz="0" w:space="0" w:color="auto"/>
        <w:left w:val="none" w:sz="0" w:space="0" w:color="auto"/>
        <w:bottom w:val="none" w:sz="0" w:space="0" w:color="auto"/>
        <w:right w:val="none" w:sz="0" w:space="0" w:color="auto"/>
      </w:divBdr>
    </w:div>
    <w:div w:id="1991592658">
      <w:bodyDiv w:val="1"/>
      <w:marLeft w:val="0"/>
      <w:marRight w:val="0"/>
      <w:marTop w:val="0"/>
      <w:marBottom w:val="0"/>
      <w:divBdr>
        <w:top w:val="none" w:sz="0" w:space="0" w:color="auto"/>
        <w:left w:val="none" w:sz="0" w:space="0" w:color="auto"/>
        <w:bottom w:val="none" w:sz="0" w:space="0" w:color="auto"/>
        <w:right w:val="none" w:sz="0" w:space="0" w:color="auto"/>
      </w:divBdr>
    </w:div>
    <w:div w:id="1991862861">
      <w:bodyDiv w:val="1"/>
      <w:marLeft w:val="0"/>
      <w:marRight w:val="0"/>
      <w:marTop w:val="0"/>
      <w:marBottom w:val="0"/>
      <w:divBdr>
        <w:top w:val="none" w:sz="0" w:space="0" w:color="auto"/>
        <w:left w:val="none" w:sz="0" w:space="0" w:color="auto"/>
        <w:bottom w:val="none" w:sz="0" w:space="0" w:color="auto"/>
        <w:right w:val="none" w:sz="0" w:space="0" w:color="auto"/>
      </w:divBdr>
    </w:div>
    <w:div w:id="1991978191">
      <w:bodyDiv w:val="1"/>
      <w:marLeft w:val="0"/>
      <w:marRight w:val="0"/>
      <w:marTop w:val="0"/>
      <w:marBottom w:val="0"/>
      <w:divBdr>
        <w:top w:val="none" w:sz="0" w:space="0" w:color="auto"/>
        <w:left w:val="none" w:sz="0" w:space="0" w:color="auto"/>
        <w:bottom w:val="none" w:sz="0" w:space="0" w:color="auto"/>
        <w:right w:val="none" w:sz="0" w:space="0" w:color="auto"/>
      </w:divBdr>
    </w:div>
    <w:div w:id="1992245014">
      <w:bodyDiv w:val="1"/>
      <w:marLeft w:val="0"/>
      <w:marRight w:val="0"/>
      <w:marTop w:val="0"/>
      <w:marBottom w:val="0"/>
      <w:divBdr>
        <w:top w:val="none" w:sz="0" w:space="0" w:color="auto"/>
        <w:left w:val="none" w:sz="0" w:space="0" w:color="auto"/>
        <w:bottom w:val="none" w:sz="0" w:space="0" w:color="auto"/>
        <w:right w:val="none" w:sz="0" w:space="0" w:color="auto"/>
      </w:divBdr>
    </w:div>
    <w:div w:id="1992364031">
      <w:bodyDiv w:val="1"/>
      <w:marLeft w:val="0"/>
      <w:marRight w:val="0"/>
      <w:marTop w:val="0"/>
      <w:marBottom w:val="0"/>
      <w:divBdr>
        <w:top w:val="none" w:sz="0" w:space="0" w:color="auto"/>
        <w:left w:val="none" w:sz="0" w:space="0" w:color="auto"/>
        <w:bottom w:val="none" w:sz="0" w:space="0" w:color="auto"/>
        <w:right w:val="none" w:sz="0" w:space="0" w:color="auto"/>
      </w:divBdr>
    </w:div>
    <w:div w:id="1992438300">
      <w:bodyDiv w:val="1"/>
      <w:marLeft w:val="0"/>
      <w:marRight w:val="0"/>
      <w:marTop w:val="0"/>
      <w:marBottom w:val="0"/>
      <w:divBdr>
        <w:top w:val="none" w:sz="0" w:space="0" w:color="auto"/>
        <w:left w:val="none" w:sz="0" w:space="0" w:color="auto"/>
        <w:bottom w:val="none" w:sz="0" w:space="0" w:color="auto"/>
        <w:right w:val="none" w:sz="0" w:space="0" w:color="auto"/>
      </w:divBdr>
    </w:div>
    <w:div w:id="1992517085">
      <w:bodyDiv w:val="1"/>
      <w:marLeft w:val="0"/>
      <w:marRight w:val="0"/>
      <w:marTop w:val="0"/>
      <w:marBottom w:val="0"/>
      <w:divBdr>
        <w:top w:val="none" w:sz="0" w:space="0" w:color="auto"/>
        <w:left w:val="none" w:sz="0" w:space="0" w:color="auto"/>
        <w:bottom w:val="none" w:sz="0" w:space="0" w:color="auto"/>
        <w:right w:val="none" w:sz="0" w:space="0" w:color="auto"/>
      </w:divBdr>
    </w:div>
    <w:div w:id="1992709386">
      <w:bodyDiv w:val="1"/>
      <w:marLeft w:val="0"/>
      <w:marRight w:val="0"/>
      <w:marTop w:val="0"/>
      <w:marBottom w:val="0"/>
      <w:divBdr>
        <w:top w:val="none" w:sz="0" w:space="0" w:color="auto"/>
        <w:left w:val="none" w:sz="0" w:space="0" w:color="auto"/>
        <w:bottom w:val="none" w:sz="0" w:space="0" w:color="auto"/>
        <w:right w:val="none" w:sz="0" w:space="0" w:color="auto"/>
      </w:divBdr>
    </w:div>
    <w:div w:id="1992905759">
      <w:bodyDiv w:val="1"/>
      <w:marLeft w:val="0"/>
      <w:marRight w:val="0"/>
      <w:marTop w:val="0"/>
      <w:marBottom w:val="0"/>
      <w:divBdr>
        <w:top w:val="none" w:sz="0" w:space="0" w:color="auto"/>
        <w:left w:val="none" w:sz="0" w:space="0" w:color="auto"/>
        <w:bottom w:val="none" w:sz="0" w:space="0" w:color="auto"/>
        <w:right w:val="none" w:sz="0" w:space="0" w:color="auto"/>
      </w:divBdr>
    </w:div>
    <w:div w:id="1992908440">
      <w:bodyDiv w:val="1"/>
      <w:marLeft w:val="0"/>
      <w:marRight w:val="0"/>
      <w:marTop w:val="0"/>
      <w:marBottom w:val="0"/>
      <w:divBdr>
        <w:top w:val="none" w:sz="0" w:space="0" w:color="auto"/>
        <w:left w:val="none" w:sz="0" w:space="0" w:color="auto"/>
        <w:bottom w:val="none" w:sz="0" w:space="0" w:color="auto"/>
        <w:right w:val="none" w:sz="0" w:space="0" w:color="auto"/>
      </w:divBdr>
    </w:div>
    <w:div w:id="1992908689">
      <w:bodyDiv w:val="1"/>
      <w:marLeft w:val="0"/>
      <w:marRight w:val="0"/>
      <w:marTop w:val="0"/>
      <w:marBottom w:val="0"/>
      <w:divBdr>
        <w:top w:val="none" w:sz="0" w:space="0" w:color="auto"/>
        <w:left w:val="none" w:sz="0" w:space="0" w:color="auto"/>
        <w:bottom w:val="none" w:sz="0" w:space="0" w:color="auto"/>
        <w:right w:val="none" w:sz="0" w:space="0" w:color="auto"/>
      </w:divBdr>
    </w:div>
    <w:div w:id="1993023253">
      <w:bodyDiv w:val="1"/>
      <w:marLeft w:val="0"/>
      <w:marRight w:val="0"/>
      <w:marTop w:val="0"/>
      <w:marBottom w:val="0"/>
      <w:divBdr>
        <w:top w:val="none" w:sz="0" w:space="0" w:color="auto"/>
        <w:left w:val="none" w:sz="0" w:space="0" w:color="auto"/>
        <w:bottom w:val="none" w:sz="0" w:space="0" w:color="auto"/>
        <w:right w:val="none" w:sz="0" w:space="0" w:color="auto"/>
      </w:divBdr>
    </w:div>
    <w:div w:id="1993025098">
      <w:bodyDiv w:val="1"/>
      <w:marLeft w:val="0"/>
      <w:marRight w:val="0"/>
      <w:marTop w:val="0"/>
      <w:marBottom w:val="0"/>
      <w:divBdr>
        <w:top w:val="none" w:sz="0" w:space="0" w:color="auto"/>
        <w:left w:val="none" w:sz="0" w:space="0" w:color="auto"/>
        <w:bottom w:val="none" w:sz="0" w:space="0" w:color="auto"/>
        <w:right w:val="none" w:sz="0" w:space="0" w:color="auto"/>
      </w:divBdr>
    </w:div>
    <w:div w:id="1993171090">
      <w:bodyDiv w:val="1"/>
      <w:marLeft w:val="0"/>
      <w:marRight w:val="0"/>
      <w:marTop w:val="0"/>
      <w:marBottom w:val="0"/>
      <w:divBdr>
        <w:top w:val="none" w:sz="0" w:space="0" w:color="auto"/>
        <w:left w:val="none" w:sz="0" w:space="0" w:color="auto"/>
        <w:bottom w:val="none" w:sz="0" w:space="0" w:color="auto"/>
        <w:right w:val="none" w:sz="0" w:space="0" w:color="auto"/>
      </w:divBdr>
    </w:div>
    <w:div w:id="1993286278">
      <w:bodyDiv w:val="1"/>
      <w:marLeft w:val="0"/>
      <w:marRight w:val="0"/>
      <w:marTop w:val="0"/>
      <w:marBottom w:val="0"/>
      <w:divBdr>
        <w:top w:val="none" w:sz="0" w:space="0" w:color="auto"/>
        <w:left w:val="none" w:sz="0" w:space="0" w:color="auto"/>
        <w:bottom w:val="none" w:sz="0" w:space="0" w:color="auto"/>
        <w:right w:val="none" w:sz="0" w:space="0" w:color="auto"/>
      </w:divBdr>
    </w:div>
    <w:div w:id="1993563301">
      <w:bodyDiv w:val="1"/>
      <w:marLeft w:val="0"/>
      <w:marRight w:val="0"/>
      <w:marTop w:val="0"/>
      <w:marBottom w:val="0"/>
      <w:divBdr>
        <w:top w:val="none" w:sz="0" w:space="0" w:color="auto"/>
        <w:left w:val="none" w:sz="0" w:space="0" w:color="auto"/>
        <w:bottom w:val="none" w:sz="0" w:space="0" w:color="auto"/>
        <w:right w:val="none" w:sz="0" w:space="0" w:color="auto"/>
      </w:divBdr>
    </w:div>
    <w:div w:id="1993674078">
      <w:bodyDiv w:val="1"/>
      <w:marLeft w:val="0"/>
      <w:marRight w:val="0"/>
      <w:marTop w:val="0"/>
      <w:marBottom w:val="0"/>
      <w:divBdr>
        <w:top w:val="none" w:sz="0" w:space="0" w:color="auto"/>
        <w:left w:val="none" w:sz="0" w:space="0" w:color="auto"/>
        <w:bottom w:val="none" w:sz="0" w:space="0" w:color="auto"/>
        <w:right w:val="none" w:sz="0" w:space="0" w:color="auto"/>
      </w:divBdr>
    </w:div>
    <w:div w:id="1993680701">
      <w:bodyDiv w:val="1"/>
      <w:marLeft w:val="0"/>
      <w:marRight w:val="0"/>
      <w:marTop w:val="0"/>
      <w:marBottom w:val="0"/>
      <w:divBdr>
        <w:top w:val="none" w:sz="0" w:space="0" w:color="auto"/>
        <w:left w:val="none" w:sz="0" w:space="0" w:color="auto"/>
        <w:bottom w:val="none" w:sz="0" w:space="0" w:color="auto"/>
        <w:right w:val="none" w:sz="0" w:space="0" w:color="auto"/>
      </w:divBdr>
    </w:div>
    <w:div w:id="1993946925">
      <w:bodyDiv w:val="1"/>
      <w:marLeft w:val="0"/>
      <w:marRight w:val="0"/>
      <w:marTop w:val="0"/>
      <w:marBottom w:val="0"/>
      <w:divBdr>
        <w:top w:val="none" w:sz="0" w:space="0" w:color="auto"/>
        <w:left w:val="none" w:sz="0" w:space="0" w:color="auto"/>
        <w:bottom w:val="none" w:sz="0" w:space="0" w:color="auto"/>
        <w:right w:val="none" w:sz="0" w:space="0" w:color="auto"/>
      </w:divBdr>
    </w:div>
    <w:div w:id="1994020314">
      <w:bodyDiv w:val="1"/>
      <w:marLeft w:val="0"/>
      <w:marRight w:val="0"/>
      <w:marTop w:val="0"/>
      <w:marBottom w:val="0"/>
      <w:divBdr>
        <w:top w:val="none" w:sz="0" w:space="0" w:color="auto"/>
        <w:left w:val="none" w:sz="0" w:space="0" w:color="auto"/>
        <w:bottom w:val="none" w:sz="0" w:space="0" w:color="auto"/>
        <w:right w:val="none" w:sz="0" w:space="0" w:color="auto"/>
      </w:divBdr>
    </w:div>
    <w:div w:id="1994022110">
      <w:bodyDiv w:val="1"/>
      <w:marLeft w:val="0"/>
      <w:marRight w:val="0"/>
      <w:marTop w:val="0"/>
      <w:marBottom w:val="0"/>
      <w:divBdr>
        <w:top w:val="none" w:sz="0" w:space="0" w:color="auto"/>
        <w:left w:val="none" w:sz="0" w:space="0" w:color="auto"/>
        <w:bottom w:val="none" w:sz="0" w:space="0" w:color="auto"/>
        <w:right w:val="none" w:sz="0" w:space="0" w:color="auto"/>
      </w:divBdr>
    </w:div>
    <w:div w:id="1994025055">
      <w:bodyDiv w:val="1"/>
      <w:marLeft w:val="0"/>
      <w:marRight w:val="0"/>
      <w:marTop w:val="0"/>
      <w:marBottom w:val="0"/>
      <w:divBdr>
        <w:top w:val="none" w:sz="0" w:space="0" w:color="auto"/>
        <w:left w:val="none" w:sz="0" w:space="0" w:color="auto"/>
        <w:bottom w:val="none" w:sz="0" w:space="0" w:color="auto"/>
        <w:right w:val="none" w:sz="0" w:space="0" w:color="auto"/>
      </w:divBdr>
    </w:div>
    <w:div w:id="1994095751">
      <w:bodyDiv w:val="1"/>
      <w:marLeft w:val="0"/>
      <w:marRight w:val="0"/>
      <w:marTop w:val="0"/>
      <w:marBottom w:val="0"/>
      <w:divBdr>
        <w:top w:val="none" w:sz="0" w:space="0" w:color="auto"/>
        <w:left w:val="none" w:sz="0" w:space="0" w:color="auto"/>
        <w:bottom w:val="none" w:sz="0" w:space="0" w:color="auto"/>
        <w:right w:val="none" w:sz="0" w:space="0" w:color="auto"/>
      </w:divBdr>
    </w:div>
    <w:div w:id="1994136161">
      <w:bodyDiv w:val="1"/>
      <w:marLeft w:val="0"/>
      <w:marRight w:val="0"/>
      <w:marTop w:val="0"/>
      <w:marBottom w:val="0"/>
      <w:divBdr>
        <w:top w:val="none" w:sz="0" w:space="0" w:color="auto"/>
        <w:left w:val="none" w:sz="0" w:space="0" w:color="auto"/>
        <w:bottom w:val="none" w:sz="0" w:space="0" w:color="auto"/>
        <w:right w:val="none" w:sz="0" w:space="0" w:color="auto"/>
      </w:divBdr>
    </w:div>
    <w:div w:id="1994139916">
      <w:bodyDiv w:val="1"/>
      <w:marLeft w:val="0"/>
      <w:marRight w:val="0"/>
      <w:marTop w:val="0"/>
      <w:marBottom w:val="0"/>
      <w:divBdr>
        <w:top w:val="none" w:sz="0" w:space="0" w:color="auto"/>
        <w:left w:val="none" w:sz="0" w:space="0" w:color="auto"/>
        <w:bottom w:val="none" w:sz="0" w:space="0" w:color="auto"/>
        <w:right w:val="none" w:sz="0" w:space="0" w:color="auto"/>
      </w:divBdr>
    </w:div>
    <w:div w:id="1994141153">
      <w:bodyDiv w:val="1"/>
      <w:marLeft w:val="0"/>
      <w:marRight w:val="0"/>
      <w:marTop w:val="0"/>
      <w:marBottom w:val="0"/>
      <w:divBdr>
        <w:top w:val="none" w:sz="0" w:space="0" w:color="auto"/>
        <w:left w:val="none" w:sz="0" w:space="0" w:color="auto"/>
        <w:bottom w:val="none" w:sz="0" w:space="0" w:color="auto"/>
        <w:right w:val="none" w:sz="0" w:space="0" w:color="auto"/>
      </w:divBdr>
    </w:div>
    <w:div w:id="1994336390">
      <w:bodyDiv w:val="1"/>
      <w:marLeft w:val="0"/>
      <w:marRight w:val="0"/>
      <w:marTop w:val="0"/>
      <w:marBottom w:val="0"/>
      <w:divBdr>
        <w:top w:val="none" w:sz="0" w:space="0" w:color="auto"/>
        <w:left w:val="none" w:sz="0" w:space="0" w:color="auto"/>
        <w:bottom w:val="none" w:sz="0" w:space="0" w:color="auto"/>
        <w:right w:val="none" w:sz="0" w:space="0" w:color="auto"/>
      </w:divBdr>
    </w:div>
    <w:div w:id="1994406914">
      <w:bodyDiv w:val="1"/>
      <w:marLeft w:val="0"/>
      <w:marRight w:val="0"/>
      <w:marTop w:val="0"/>
      <w:marBottom w:val="0"/>
      <w:divBdr>
        <w:top w:val="none" w:sz="0" w:space="0" w:color="auto"/>
        <w:left w:val="none" w:sz="0" w:space="0" w:color="auto"/>
        <w:bottom w:val="none" w:sz="0" w:space="0" w:color="auto"/>
        <w:right w:val="none" w:sz="0" w:space="0" w:color="auto"/>
      </w:divBdr>
    </w:div>
    <w:div w:id="1994411067">
      <w:bodyDiv w:val="1"/>
      <w:marLeft w:val="0"/>
      <w:marRight w:val="0"/>
      <w:marTop w:val="0"/>
      <w:marBottom w:val="0"/>
      <w:divBdr>
        <w:top w:val="none" w:sz="0" w:space="0" w:color="auto"/>
        <w:left w:val="none" w:sz="0" w:space="0" w:color="auto"/>
        <w:bottom w:val="none" w:sz="0" w:space="0" w:color="auto"/>
        <w:right w:val="none" w:sz="0" w:space="0" w:color="auto"/>
      </w:divBdr>
    </w:div>
    <w:div w:id="1994484020">
      <w:bodyDiv w:val="1"/>
      <w:marLeft w:val="0"/>
      <w:marRight w:val="0"/>
      <w:marTop w:val="0"/>
      <w:marBottom w:val="0"/>
      <w:divBdr>
        <w:top w:val="none" w:sz="0" w:space="0" w:color="auto"/>
        <w:left w:val="none" w:sz="0" w:space="0" w:color="auto"/>
        <w:bottom w:val="none" w:sz="0" w:space="0" w:color="auto"/>
        <w:right w:val="none" w:sz="0" w:space="0" w:color="auto"/>
      </w:divBdr>
    </w:div>
    <w:div w:id="1994674494">
      <w:bodyDiv w:val="1"/>
      <w:marLeft w:val="0"/>
      <w:marRight w:val="0"/>
      <w:marTop w:val="0"/>
      <w:marBottom w:val="0"/>
      <w:divBdr>
        <w:top w:val="none" w:sz="0" w:space="0" w:color="auto"/>
        <w:left w:val="none" w:sz="0" w:space="0" w:color="auto"/>
        <w:bottom w:val="none" w:sz="0" w:space="0" w:color="auto"/>
        <w:right w:val="none" w:sz="0" w:space="0" w:color="auto"/>
      </w:divBdr>
    </w:div>
    <w:div w:id="1994677562">
      <w:bodyDiv w:val="1"/>
      <w:marLeft w:val="0"/>
      <w:marRight w:val="0"/>
      <w:marTop w:val="0"/>
      <w:marBottom w:val="0"/>
      <w:divBdr>
        <w:top w:val="none" w:sz="0" w:space="0" w:color="auto"/>
        <w:left w:val="none" w:sz="0" w:space="0" w:color="auto"/>
        <w:bottom w:val="none" w:sz="0" w:space="0" w:color="auto"/>
        <w:right w:val="none" w:sz="0" w:space="0" w:color="auto"/>
      </w:divBdr>
    </w:div>
    <w:div w:id="1994791315">
      <w:bodyDiv w:val="1"/>
      <w:marLeft w:val="0"/>
      <w:marRight w:val="0"/>
      <w:marTop w:val="0"/>
      <w:marBottom w:val="0"/>
      <w:divBdr>
        <w:top w:val="none" w:sz="0" w:space="0" w:color="auto"/>
        <w:left w:val="none" w:sz="0" w:space="0" w:color="auto"/>
        <w:bottom w:val="none" w:sz="0" w:space="0" w:color="auto"/>
        <w:right w:val="none" w:sz="0" w:space="0" w:color="auto"/>
      </w:divBdr>
    </w:div>
    <w:div w:id="1994798900">
      <w:bodyDiv w:val="1"/>
      <w:marLeft w:val="0"/>
      <w:marRight w:val="0"/>
      <w:marTop w:val="0"/>
      <w:marBottom w:val="0"/>
      <w:divBdr>
        <w:top w:val="none" w:sz="0" w:space="0" w:color="auto"/>
        <w:left w:val="none" w:sz="0" w:space="0" w:color="auto"/>
        <w:bottom w:val="none" w:sz="0" w:space="0" w:color="auto"/>
        <w:right w:val="none" w:sz="0" w:space="0" w:color="auto"/>
      </w:divBdr>
    </w:div>
    <w:div w:id="1994865810">
      <w:bodyDiv w:val="1"/>
      <w:marLeft w:val="0"/>
      <w:marRight w:val="0"/>
      <w:marTop w:val="0"/>
      <w:marBottom w:val="0"/>
      <w:divBdr>
        <w:top w:val="none" w:sz="0" w:space="0" w:color="auto"/>
        <w:left w:val="none" w:sz="0" w:space="0" w:color="auto"/>
        <w:bottom w:val="none" w:sz="0" w:space="0" w:color="auto"/>
        <w:right w:val="none" w:sz="0" w:space="0" w:color="auto"/>
      </w:divBdr>
    </w:div>
    <w:div w:id="1994874324">
      <w:bodyDiv w:val="1"/>
      <w:marLeft w:val="0"/>
      <w:marRight w:val="0"/>
      <w:marTop w:val="0"/>
      <w:marBottom w:val="0"/>
      <w:divBdr>
        <w:top w:val="none" w:sz="0" w:space="0" w:color="auto"/>
        <w:left w:val="none" w:sz="0" w:space="0" w:color="auto"/>
        <w:bottom w:val="none" w:sz="0" w:space="0" w:color="auto"/>
        <w:right w:val="none" w:sz="0" w:space="0" w:color="auto"/>
      </w:divBdr>
    </w:div>
    <w:div w:id="1994940911">
      <w:bodyDiv w:val="1"/>
      <w:marLeft w:val="0"/>
      <w:marRight w:val="0"/>
      <w:marTop w:val="0"/>
      <w:marBottom w:val="0"/>
      <w:divBdr>
        <w:top w:val="none" w:sz="0" w:space="0" w:color="auto"/>
        <w:left w:val="none" w:sz="0" w:space="0" w:color="auto"/>
        <w:bottom w:val="none" w:sz="0" w:space="0" w:color="auto"/>
        <w:right w:val="none" w:sz="0" w:space="0" w:color="auto"/>
      </w:divBdr>
    </w:div>
    <w:div w:id="1994943388">
      <w:bodyDiv w:val="1"/>
      <w:marLeft w:val="0"/>
      <w:marRight w:val="0"/>
      <w:marTop w:val="0"/>
      <w:marBottom w:val="0"/>
      <w:divBdr>
        <w:top w:val="none" w:sz="0" w:space="0" w:color="auto"/>
        <w:left w:val="none" w:sz="0" w:space="0" w:color="auto"/>
        <w:bottom w:val="none" w:sz="0" w:space="0" w:color="auto"/>
        <w:right w:val="none" w:sz="0" w:space="0" w:color="auto"/>
      </w:divBdr>
    </w:div>
    <w:div w:id="1994985720">
      <w:bodyDiv w:val="1"/>
      <w:marLeft w:val="0"/>
      <w:marRight w:val="0"/>
      <w:marTop w:val="0"/>
      <w:marBottom w:val="0"/>
      <w:divBdr>
        <w:top w:val="none" w:sz="0" w:space="0" w:color="auto"/>
        <w:left w:val="none" w:sz="0" w:space="0" w:color="auto"/>
        <w:bottom w:val="none" w:sz="0" w:space="0" w:color="auto"/>
        <w:right w:val="none" w:sz="0" w:space="0" w:color="auto"/>
      </w:divBdr>
    </w:div>
    <w:div w:id="1994985880">
      <w:bodyDiv w:val="1"/>
      <w:marLeft w:val="0"/>
      <w:marRight w:val="0"/>
      <w:marTop w:val="0"/>
      <w:marBottom w:val="0"/>
      <w:divBdr>
        <w:top w:val="none" w:sz="0" w:space="0" w:color="auto"/>
        <w:left w:val="none" w:sz="0" w:space="0" w:color="auto"/>
        <w:bottom w:val="none" w:sz="0" w:space="0" w:color="auto"/>
        <w:right w:val="none" w:sz="0" w:space="0" w:color="auto"/>
      </w:divBdr>
    </w:div>
    <w:div w:id="1994987423">
      <w:bodyDiv w:val="1"/>
      <w:marLeft w:val="0"/>
      <w:marRight w:val="0"/>
      <w:marTop w:val="0"/>
      <w:marBottom w:val="0"/>
      <w:divBdr>
        <w:top w:val="none" w:sz="0" w:space="0" w:color="auto"/>
        <w:left w:val="none" w:sz="0" w:space="0" w:color="auto"/>
        <w:bottom w:val="none" w:sz="0" w:space="0" w:color="auto"/>
        <w:right w:val="none" w:sz="0" w:space="0" w:color="auto"/>
      </w:divBdr>
    </w:div>
    <w:div w:id="1995134779">
      <w:bodyDiv w:val="1"/>
      <w:marLeft w:val="0"/>
      <w:marRight w:val="0"/>
      <w:marTop w:val="0"/>
      <w:marBottom w:val="0"/>
      <w:divBdr>
        <w:top w:val="none" w:sz="0" w:space="0" w:color="auto"/>
        <w:left w:val="none" w:sz="0" w:space="0" w:color="auto"/>
        <w:bottom w:val="none" w:sz="0" w:space="0" w:color="auto"/>
        <w:right w:val="none" w:sz="0" w:space="0" w:color="auto"/>
      </w:divBdr>
    </w:div>
    <w:div w:id="1995180109">
      <w:bodyDiv w:val="1"/>
      <w:marLeft w:val="0"/>
      <w:marRight w:val="0"/>
      <w:marTop w:val="0"/>
      <w:marBottom w:val="0"/>
      <w:divBdr>
        <w:top w:val="none" w:sz="0" w:space="0" w:color="auto"/>
        <w:left w:val="none" w:sz="0" w:space="0" w:color="auto"/>
        <w:bottom w:val="none" w:sz="0" w:space="0" w:color="auto"/>
        <w:right w:val="none" w:sz="0" w:space="0" w:color="auto"/>
      </w:divBdr>
    </w:div>
    <w:div w:id="1995180183">
      <w:bodyDiv w:val="1"/>
      <w:marLeft w:val="0"/>
      <w:marRight w:val="0"/>
      <w:marTop w:val="0"/>
      <w:marBottom w:val="0"/>
      <w:divBdr>
        <w:top w:val="none" w:sz="0" w:space="0" w:color="auto"/>
        <w:left w:val="none" w:sz="0" w:space="0" w:color="auto"/>
        <w:bottom w:val="none" w:sz="0" w:space="0" w:color="auto"/>
        <w:right w:val="none" w:sz="0" w:space="0" w:color="auto"/>
      </w:divBdr>
    </w:div>
    <w:div w:id="1995327910">
      <w:bodyDiv w:val="1"/>
      <w:marLeft w:val="0"/>
      <w:marRight w:val="0"/>
      <w:marTop w:val="0"/>
      <w:marBottom w:val="0"/>
      <w:divBdr>
        <w:top w:val="none" w:sz="0" w:space="0" w:color="auto"/>
        <w:left w:val="none" w:sz="0" w:space="0" w:color="auto"/>
        <w:bottom w:val="none" w:sz="0" w:space="0" w:color="auto"/>
        <w:right w:val="none" w:sz="0" w:space="0" w:color="auto"/>
      </w:divBdr>
    </w:div>
    <w:div w:id="1995379350">
      <w:bodyDiv w:val="1"/>
      <w:marLeft w:val="0"/>
      <w:marRight w:val="0"/>
      <w:marTop w:val="0"/>
      <w:marBottom w:val="0"/>
      <w:divBdr>
        <w:top w:val="none" w:sz="0" w:space="0" w:color="auto"/>
        <w:left w:val="none" w:sz="0" w:space="0" w:color="auto"/>
        <w:bottom w:val="none" w:sz="0" w:space="0" w:color="auto"/>
        <w:right w:val="none" w:sz="0" w:space="0" w:color="auto"/>
      </w:divBdr>
    </w:div>
    <w:div w:id="1995403355">
      <w:bodyDiv w:val="1"/>
      <w:marLeft w:val="0"/>
      <w:marRight w:val="0"/>
      <w:marTop w:val="0"/>
      <w:marBottom w:val="0"/>
      <w:divBdr>
        <w:top w:val="none" w:sz="0" w:space="0" w:color="auto"/>
        <w:left w:val="none" w:sz="0" w:space="0" w:color="auto"/>
        <w:bottom w:val="none" w:sz="0" w:space="0" w:color="auto"/>
        <w:right w:val="none" w:sz="0" w:space="0" w:color="auto"/>
      </w:divBdr>
    </w:div>
    <w:div w:id="1995403622">
      <w:bodyDiv w:val="1"/>
      <w:marLeft w:val="0"/>
      <w:marRight w:val="0"/>
      <w:marTop w:val="0"/>
      <w:marBottom w:val="0"/>
      <w:divBdr>
        <w:top w:val="none" w:sz="0" w:space="0" w:color="auto"/>
        <w:left w:val="none" w:sz="0" w:space="0" w:color="auto"/>
        <w:bottom w:val="none" w:sz="0" w:space="0" w:color="auto"/>
        <w:right w:val="none" w:sz="0" w:space="0" w:color="auto"/>
      </w:divBdr>
    </w:div>
    <w:div w:id="1995447799">
      <w:bodyDiv w:val="1"/>
      <w:marLeft w:val="0"/>
      <w:marRight w:val="0"/>
      <w:marTop w:val="0"/>
      <w:marBottom w:val="0"/>
      <w:divBdr>
        <w:top w:val="none" w:sz="0" w:space="0" w:color="auto"/>
        <w:left w:val="none" w:sz="0" w:space="0" w:color="auto"/>
        <w:bottom w:val="none" w:sz="0" w:space="0" w:color="auto"/>
        <w:right w:val="none" w:sz="0" w:space="0" w:color="auto"/>
      </w:divBdr>
    </w:div>
    <w:div w:id="1995448509">
      <w:bodyDiv w:val="1"/>
      <w:marLeft w:val="0"/>
      <w:marRight w:val="0"/>
      <w:marTop w:val="0"/>
      <w:marBottom w:val="0"/>
      <w:divBdr>
        <w:top w:val="none" w:sz="0" w:space="0" w:color="auto"/>
        <w:left w:val="none" w:sz="0" w:space="0" w:color="auto"/>
        <w:bottom w:val="none" w:sz="0" w:space="0" w:color="auto"/>
        <w:right w:val="none" w:sz="0" w:space="0" w:color="auto"/>
      </w:divBdr>
    </w:div>
    <w:div w:id="1995454665">
      <w:bodyDiv w:val="1"/>
      <w:marLeft w:val="0"/>
      <w:marRight w:val="0"/>
      <w:marTop w:val="0"/>
      <w:marBottom w:val="0"/>
      <w:divBdr>
        <w:top w:val="none" w:sz="0" w:space="0" w:color="auto"/>
        <w:left w:val="none" w:sz="0" w:space="0" w:color="auto"/>
        <w:bottom w:val="none" w:sz="0" w:space="0" w:color="auto"/>
        <w:right w:val="none" w:sz="0" w:space="0" w:color="auto"/>
      </w:divBdr>
    </w:div>
    <w:div w:id="1995522810">
      <w:bodyDiv w:val="1"/>
      <w:marLeft w:val="0"/>
      <w:marRight w:val="0"/>
      <w:marTop w:val="0"/>
      <w:marBottom w:val="0"/>
      <w:divBdr>
        <w:top w:val="none" w:sz="0" w:space="0" w:color="auto"/>
        <w:left w:val="none" w:sz="0" w:space="0" w:color="auto"/>
        <w:bottom w:val="none" w:sz="0" w:space="0" w:color="auto"/>
        <w:right w:val="none" w:sz="0" w:space="0" w:color="auto"/>
      </w:divBdr>
    </w:div>
    <w:div w:id="1995598525">
      <w:bodyDiv w:val="1"/>
      <w:marLeft w:val="0"/>
      <w:marRight w:val="0"/>
      <w:marTop w:val="0"/>
      <w:marBottom w:val="0"/>
      <w:divBdr>
        <w:top w:val="none" w:sz="0" w:space="0" w:color="auto"/>
        <w:left w:val="none" w:sz="0" w:space="0" w:color="auto"/>
        <w:bottom w:val="none" w:sz="0" w:space="0" w:color="auto"/>
        <w:right w:val="none" w:sz="0" w:space="0" w:color="auto"/>
      </w:divBdr>
    </w:div>
    <w:div w:id="1995645945">
      <w:bodyDiv w:val="1"/>
      <w:marLeft w:val="0"/>
      <w:marRight w:val="0"/>
      <w:marTop w:val="0"/>
      <w:marBottom w:val="0"/>
      <w:divBdr>
        <w:top w:val="none" w:sz="0" w:space="0" w:color="auto"/>
        <w:left w:val="none" w:sz="0" w:space="0" w:color="auto"/>
        <w:bottom w:val="none" w:sz="0" w:space="0" w:color="auto"/>
        <w:right w:val="none" w:sz="0" w:space="0" w:color="auto"/>
      </w:divBdr>
    </w:div>
    <w:div w:id="1995716340">
      <w:bodyDiv w:val="1"/>
      <w:marLeft w:val="0"/>
      <w:marRight w:val="0"/>
      <w:marTop w:val="0"/>
      <w:marBottom w:val="0"/>
      <w:divBdr>
        <w:top w:val="none" w:sz="0" w:space="0" w:color="auto"/>
        <w:left w:val="none" w:sz="0" w:space="0" w:color="auto"/>
        <w:bottom w:val="none" w:sz="0" w:space="0" w:color="auto"/>
        <w:right w:val="none" w:sz="0" w:space="0" w:color="auto"/>
      </w:divBdr>
    </w:div>
    <w:div w:id="1995793862">
      <w:bodyDiv w:val="1"/>
      <w:marLeft w:val="0"/>
      <w:marRight w:val="0"/>
      <w:marTop w:val="0"/>
      <w:marBottom w:val="0"/>
      <w:divBdr>
        <w:top w:val="none" w:sz="0" w:space="0" w:color="auto"/>
        <w:left w:val="none" w:sz="0" w:space="0" w:color="auto"/>
        <w:bottom w:val="none" w:sz="0" w:space="0" w:color="auto"/>
        <w:right w:val="none" w:sz="0" w:space="0" w:color="auto"/>
      </w:divBdr>
    </w:div>
    <w:div w:id="1995839182">
      <w:bodyDiv w:val="1"/>
      <w:marLeft w:val="0"/>
      <w:marRight w:val="0"/>
      <w:marTop w:val="0"/>
      <w:marBottom w:val="0"/>
      <w:divBdr>
        <w:top w:val="none" w:sz="0" w:space="0" w:color="auto"/>
        <w:left w:val="none" w:sz="0" w:space="0" w:color="auto"/>
        <w:bottom w:val="none" w:sz="0" w:space="0" w:color="auto"/>
        <w:right w:val="none" w:sz="0" w:space="0" w:color="auto"/>
      </w:divBdr>
    </w:div>
    <w:div w:id="1995983583">
      <w:bodyDiv w:val="1"/>
      <w:marLeft w:val="0"/>
      <w:marRight w:val="0"/>
      <w:marTop w:val="0"/>
      <w:marBottom w:val="0"/>
      <w:divBdr>
        <w:top w:val="none" w:sz="0" w:space="0" w:color="auto"/>
        <w:left w:val="none" w:sz="0" w:space="0" w:color="auto"/>
        <w:bottom w:val="none" w:sz="0" w:space="0" w:color="auto"/>
        <w:right w:val="none" w:sz="0" w:space="0" w:color="auto"/>
      </w:divBdr>
    </w:div>
    <w:div w:id="1996033717">
      <w:bodyDiv w:val="1"/>
      <w:marLeft w:val="0"/>
      <w:marRight w:val="0"/>
      <w:marTop w:val="0"/>
      <w:marBottom w:val="0"/>
      <w:divBdr>
        <w:top w:val="none" w:sz="0" w:space="0" w:color="auto"/>
        <w:left w:val="none" w:sz="0" w:space="0" w:color="auto"/>
        <w:bottom w:val="none" w:sz="0" w:space="0" w:color="auto"/>
        <w:right w:val="none" w:sz="0" w:space="0" w:color="auto"/>
      </w:divBdr>
    </w:div>
    <w:div w:id="1996107645">
      <w:bodyDiv w:val="1"/>
      <w:marLeft w:val="0"/>
      <w:marRight w:val="0"/>
      <w:marTop w:val="0"/>
      <w:marBottom w:val="0"/>
      <w:divBdr>
        <w:top w:val="none" w:sz="0" w:space="0" w:color="auto"/>
        <w:left w:val="none" w:sz="0" w:space="0" w:color="auto"/>
        <w:bottom w:val="none" w:sz="0" w:space="0" w:color="auto"/>
        <w:right w:val="none" w:sz="0" w:space="0" w:color="auto"/>
      </w:divBdr>
    </w:div>
    <w:div w:id="1996446151">
      <w:bodyDiv w:val="1"/>
      <w:marLeft w:val="0"/>
      <w:marRight w:val="0"/>
      <w:marTop w:val="0"/>
      <w:marBottom w:val="0"/>
      <w:divBdr>
        <w:top w:val="none" w:sz="0" w:space="0" w:color="auto"/>
        <w:left w:val="none" w:sz="0" w:space="0" w:color="auto"/>
        <w:bottom w:val="none" w:sz="0" w:space="0" w:color="auto"/>
        <w:right w:val="none" w:sz="0" w:space="0" w:color="auto"/>
      </w:divBdr>
    </w:div>
    <w:div w:id="1996446200">
      <w:bodyDiv w:val="1"/>
      <w:marLeft w:val="0"/>
      <w:marRight w:val="0"/>
      <w:marTop w:val="0"/>
      <w:marBottom w:val="0"/>
      <w:divBdr>
        <w:top w:val="none" w:sz="0" w:space="0" w:color="auto"/>
        <w:left w:val="none" w:sz="0" w:space="0" w:color="auto"/>
        <w:bottom w:val="none" w:sz="0" w:space="0" w:color="auto"/>
        <w:right w:val="none" w:sz="0" w:space="0" w:color="auto"/>
      </w:divBdr>
    </w:div>
    <w:div w:id="1996564180">
      <w:bodyDiv w:val="1"/>
      <w:marLeft w:val="0"/>
      <w:marRight w:val="0"/>
      <w:marTop w:val="0"/>
      <w:marBottom w:val="0"/>
      <w:divBdr>
        <w:top w:val="none" w:sz="0" w:space="0" w:color="auto"/>
        <w:left w:val="none" w:sz="0" w:space="0" w:color="auto"/>
        <w:bottom w:val="none" w:sz="0" w:space="0" w:color="auto"/>
        <w:right w:val="none" w:sz="0" w:space="0" w:color="auto"/>
      </w:divBdr>
    </w:div>
    <w:div w:id="1996570833">
      <w:bodyDiv w:val="1"/>
      <w:marLeft w:val="0"/>
      <w:marRight w:val="0"/>
      <w:marTop w:val="0"/>
      <w:marBottom w:val="0"/>
      <w:divBdr>
        <w:top w:val="none" w:sz="0" w:space="0" w:color="auto"/>
        <w:left w:val="none" w:sz="0" w:space="0" w:color="auto"/>
        <w:bottom w:val="none" w:sz="0" w:space="0" w:color="auto"/>
        <w:right w:val="none" w:sz="0" w:space="0" w:color="auto"/>
      </w:divBdr>
    </w:div>
    <w:div w:id="1996645569">
      <w:bodyDiv w:val="1"/>
      <w:marLeft w:val="0"/>
      <w:marRight w:val="0"/>
      <w:marTop w:val="0"/>
      <w:marBottom w:val="0"/>
      <w:divBdr>
        <w:top w:val="none" w:sz="0" w:space="0" w:color="auto"/>
        <w:left w:val="none" w:sz="0" w:space="0" w:color="auto"/>
        <w:bottom w:val="none" w:sz="0" w:space="0" w:color="auto"/>
        <w:right w:val="none" w:sz="0" w:space="0" w:color="auto"/>
      </w:divBdr>
    </w:div>
    <w:div w:id="1996646019">
      <w:bodyDiv w:val="1"/>
      <w:marLeft w:val="0"/>
      <w:marRight w:val="0"/>
      <w:marTop w:val="0"/>
      <w:marBottom w:val="0"/>
      <w:divBdr>
        <w:top w:val="none" w:sz="0" w:space="0" w:color="auto"/>
        <w:left w:val="none" w:sz="0" w:space="0" w:color="auto"/>
        <w:bottom w:val="none" w:sz="0" w:space="0" w:color="auto"/>
        <w:right w:val="none" w:sz="0" w:space="0" w:color="auto"/>
      </w:divBdr>
    </w:div>
    <w:div w:id="1996764043">
      <w:bodyDiv w:val="1"/>
      <w:marLeft w:val="0"/>
      <w:marRight w:val="0"/>
      <w:marTop w:val="0"/>
      <w:marBottom w:val="0"/>
      <w:divBdr>
        <w:top w:val="none" w:sz="0" w:space="0" w:color="auto"/>
        <w:left w:val="none" w:sz="0" w:space="0" w:color="auto"/>
        <w:bottom w:val="none" w:sz="0" w:space="0" w:color="auto"/>
        <w:right w:val="none" w:sz="0" w:space="0" w:color="auto"/>
      </w:divBdr>
    </w:div>
    <w:div w:id="1996831601">
      <w:bodyDiv w:val="1"/>
      <w:marLeft w:val="0"/>
      <w:marRight w:val="0"/>
      <w:marTop w:val="0"/>
      <w:marBottom w:val="0"/>
      <w:divBdr>
        <w:top w:val="none" w:sz="0" w:space="0" w:color="auto"/>
        <w:left w:val="none" w:sz="0" w:space="0" w:color="auto"/>
        <w:bottom w:val="none" w:sz="0" w:space="0" w:color="auto"/>
        <w:right w:val="none" w:sz="0" w:space="0" w:color="auto"/>
      </w:divBdr>
    </w:div>
    <w:div w:id="1996882966">
      <w:bodyDiv w:val="1"/>
      <w:marLeft w:val="0"/>
      <w:marRight w:val="0"/>
      <w:marTop w:val="0"/>
      <w:marBottom w:val="0"/>
      <w:divBdr>
        <w:top w:val="none" w:sz="0" w:space="0" w:color="auto"/>
        <w:left w:val="none" w:sz="0" w:space="0" w:color="auto"/>
        <w:bottom w:val="none" w:sz="0" w:space="0" w:color="auto"/>
        <w:right w:val="none" w:sz="0" w:space="0" w:color="auto"/>
      </w:divBdr>
    </w:div>
    <w:div w:id="1996914613">
      <w:bodyDiv w:val="1"/>
      <w:marLeft w:val="0"/>
      <w:marRight w:val="0"/>
      <w:marTop w:val="0"/>
      <w:marBottom w:val="0"/>
      <w:divBdr>
        <w:top w:val="none" w:sz="0" w:space="0" w:color="auto"/>
        <w:left w:val="none" w:sz="0" w:space="0" w:color="auto"/>
        <w:bottom w:val="none" w:sz="0" w:space="0" w:color="auto"/>
        <w:right w:val="none" w:sz="0" w:space="0" w:color="auto"/>
      </w:divBdr>
    </w:div>
    <w:div w:id="1996950665">
      <w:bodyDiv w:val="1"/>
      <w:marLeft w:val="0"/>
      <w:marRight w:val="0"/>
      <w:marTop w:val="0"/>
      <w:marBottom w:val="0"/>
      <w:divBdr>
        <w:top w:val="none" w:sz="0" w:space="0" w:color="auto"/>
        <w:left w:val="none" w:sz="0" w:space="0" w:color="auto"/>
        <w:bottom w:val="none" w:sz="0" w:space="0" w:color="auto"/>
        <w:right w:val="none" w:sz="0" w:space="0" w:color="auto"/>
      </w:divBdr>
    </w:div>
    <w:div w:id="1997176626">
      <w:bodyDiv w:val="1"/>
      <w:marLeft w:val="0"/>
      <w:marRight w:val="0"/>
      <w:marTop w:val="0"/>
      <w:marBottom w:val="0"/>
      <w:divBdr>
        <w:top w:val="none" w:sz="0" w:space="0" w:color="auto"/>
        <w:left w:val="none" w:sz="0" w:space="0" w:color="auto"/>
        <w:bottom w:val="none" w:sz="0" w:space="0" w:color="auto"/>
        <w:right w:val="none" w:sz="0" w:space="0" w:color="auto"/>
      </w:divBdr>
    </w:div>
    <w:div w:id="1997607485">
      <w:bodyDiv w:val="1"/>
      <w:marLeft w:val="0"/>
      <w:marRight w:val="0"/>
      <w:marTop w:val="0"/>
      <w:marBottom w:val="0"/>
      <w:divBdr>
        <w:top w:val="none" w:sz="0" w:space="0" w:color="auto"/>
        <w:left w:val="none" w:sz="0" w:space="0" w:color="auto"/>
        <w:bottom w:val="none" w:sz="0" w:space="0" w:color="auto"/>
        <w:right w:val="none" w:sz="0" w:space="0" w:color="auto"/>
      </w:divBdr>
    </w:div>
    <w:div w:id="1997684216">
      <w:bodyDiv w:val="1"/>
      <w:marLeft w:val="0"/>
      <w:marRight w:val="0"/>
      <w:marTop w:val="0"/>
      <w:marBottom w:val="0"/>
      <w:divBdr>
        <w:top w:val="none" w:sz="0" w:space="0" w:color="auto"/>
        <w:left w:val="none" w:sz="0" w:space="0" w:color="auto"/>
        <w:bottom w:val="none" w:sz="0" w:space="0" w:color="auto"/>
        <w:right w:val="none" w:sz="0" w:space="0" w:color="auto"/>
      </w:divBdr>
    </w:div>
    <w:div w:id="1997688418">
      <w:bodyDiv w:val="1"/>
      <w:marLeft w:val="0"/>
      <w:marRight w:val="0"/>
      <w:marTop w:val="0"/>
      <w:marBottom w:val="0"/>
      <w:divBdr>
        <w:top w:val="none" w:sz="0" w:space="0" w:color="auto"/>
        <w:left w:val="none" w:sz="0" w:space="0" w:color="auto"/>
        <w:bottom w:val="none" w:sz="0" w:space="0" w:color="auto"/>
        <w:right w:val="none" w:sz="0" w:space="0" w:color="auto"/>
      </w:divBdr>
    </w:div>
    <w:div w:id="1997805436">
      <w:bodyDiv w:val="1"/>
      <w:marLeft w:val="0"/>
      <w:marRight w:val="0"/>
      <w:marTop w:val="0"/>
      <w:marBottom w:val="0"/>
      <w:divBdr>
        <w:top w:val="none" w:sz="0" w:space="0" w:color="auto"/>
        <w:left w:val="none" w:sz="0" w:space="0" w:color="auto"/>
        <w:bottom w:val="none" w:sz="0" w:space="0" w:color="auto"/>
        <w:right w:val="none" w:sz="0" w:space="0" w:color="auto"/>
      </w:divBdr>
    </w:div>
    <w:div w:id="1998066888">
      <w:bodyDiv w:val="1"/>
      <w:marLeft w:val="0"/>
      <w:marRight w:val="0"/>
      <w:marTop w:val="0"/>
      <w:marBottom w:val="0"/>
      <w:divBdr>
        <w:top w:val="none" w:sz="0" w:space="0" w:color="auto"/>
        <w:left w:val="none" w:sz="0" w:space="0" w:color="auto"/>
        <w:bottom w:val="none" w:sz="0" w:space="0" w:color="auto"/>
        <w:right w:val="none" w:sz="0" w:space="0" w:color="auto"/>
      </w:divBdr>
    </w:div>
    <w:div w:id="1998067689">
      <w:bodyDiv w:val="1"/>
      <w:marLeft w:val="0"/>
      <w:marRight w:val="0"/>
      <w:marTop w:val="0"/>
      <w:marBottom w:val="0"/>
      <w:divBdr>
        <w:top w:val="none" w:sz="0" w:space="0" w:color="auto"/>
        <w:left w:val="none" w:sz="0" w:space="0" w:color="auto"/>
        <w:bottom w:val="none" w:sz="0" w:space="0" w:color="auto"/>
        <w:right w:val="none" w:sz="0" w:space="0" w:color="auto"/>
      </w:divBdr>
    </w:div>
    <w:div w:id="1998074657">
      <w:bodyDiv w:val="1"/>
      <w:marLeft w:val="0"/>
      <w:marRight w:val="0"/>
      <w:marTop w:val="0"/>
      <w:marBottom w:val="0"/>
      <w:divBdr>
        <w:top w:val="none" w:sz="0" w:space="0" w:color="auto"/>
        <w:left w:val="none" w:sz="0" w:space="0" w:color="auto"/>
        <w:bottom w:val="none" w:sz="0" w:space="0" w:color="auto"/>
        <w:right w:val="none" w:sz="0" w:space="0" w:color="auto"/>
      </w:divBdr>
    </w:div>
    <w:div w:id="1998142588">
      <w:bodyDiv w:val="1"/>
      <w:marLeft w:val="0"/>
      <w:marRight w:val="0"/>
      <w:marTop w:val="0"/>
      <w:marBottom w:val="0"/>
      <w:divBdr>
        <w:top w:val="none" w:sz="0" w:space="0" w:color="auto"/>
        <w:left w:val="none" w:sz="0" w:space="0" w:color="auto"/>
        <w:bottom w:val="none" w:sz="0" w:space="0" w:color="auto"/>
        <w:right w:val="none" w:sz="0" w:space="0" w:color="auto"/>
      </w:divBdr>
    </w:div>
    <w:div w:id="1998193762">
      <w:bodyDiv w:val="1"/>
      <w:marLeft w:val="0"/>
      <w:marRight w:val="0"/>
      <w:marTop w:val="0"/>
      <w:marBottom w:val="0"/>
      <w:divBdr>
        <w:top w:val="none" w:sz="0" w:space="0" w:color="auto"/>
        <w:left w:val="none" w:sz="0" w:space="0" w:color="auto"/>
        <w:bottom w:val="none" w:sz="0" w:space="0" w:color="auto"/>
        <w:right w:val="none" w:sz="0" w:space="0" w:color="auto"/>
      </w:divBdr>
    </w:div>
    <w:div w:id="1998217644">
      <w:bodyDiv w:val="1"/>
      <w:marLeft w:val="0"/>
      <w:marRight w:val="0"/>
      <w:marTop w:val="0"/>
      <w:marBottom w:val="0"/>
      <w:divBdr>
        <w:top w:val="none" w:sz="0" w:space="0" w:color="auto"/>
        <w:left w:val="none" w:sz="0" w:space="0" w:color="auto"/>
        <w:bottom w:val="none" w:sz="0" w:space="0" w:color="auto"/>
        <w:right w:val="none" w:sz="0" w:space="0" w:color="auto"/>
      </w:divBdr>
    </w:div>
    <w:div w:id="1998223615">
      <w:bodyDiv w:val="1"/>
      <w:marLeft w:val="0"/>
      <w:marRight w:val="0"/>
      <w:marTop w:val="0"/>
      <w:marBottom w:val="0"/>
      <w:divBdr>
        <w:top w:val="none" w:sz="0" w:space="0" w:color="auto"/>
        <w:left w:val="none" w:sz="0" w:space="0" w:color="auto"/>
        <w:bottom w:val="none" w:sz="0" w:space="0" w:color="auto"/>
        <w:right w:val="none" w:sz="0" w:space="0" w:color="auto"/>
      </w:divBdr>
    </w:div>
    <w:div w:id="1998339550">
      <w:bodyDiv w:val="1"/>
      <w:marLeft w:val="0"/>
      <w:marRight w:val="0"/>
      <w:marTop w:val="0"/>
      <w:marBottom w:val="0"/>
      <w:divBdr>
        <w:top w:val="none" w:sz="0" w:space="0" w:color="auto"/>
        <w:left w:val="none" w:sz="0" w:space="0" w:color="auto"/>
        <w:bottom w:val="none" w:sz="0" w:space="0" w:color="auto"/>
        <w:right w:val="none" w:sz="0" w:space="0" w:color="auto"/>
      </w:divBdr>
    </w:div>
    <w:div w:id="1998413459">
      <w:bodyDiv w:val="1"/>
      <w:marLeft w:val="0"/>
      <w:marRight w:val="0"/>
      <w:marTop w:val="0"/>
      <w:marBottom w:val="0"/>
      <w:divBdr>
        <w:top w:val="none" w:sz="0" w:space="0" w:color="auto"/>
        <w:left w:val="none" w:sz="0" w:space="0" w:color="auto"/>
        <w:bottom w:val="none" w:sz="0" w:space="0" w:color="auto"/>
        <w:right w:val="none" w:sz="0" w:space="0" w:color="auto"/>
      </w:divBdr>
    </w:div>
    <w:div w:id="1998414941">
      <w:bodyDiv w:val="1"/>
      <w:marLeft w:val="0"/>
      <w:marRight w:val="0"/>
      <w:marTop w:val="0"/>
      <w:marBottom w:val="0"/>
      <w:divBdr>
        <w:top w:val="none" w:sz="0" w:space="0" w:color="auto"/>
        <w:left w:val="none" w:sz="0" w:space="0" w:color="auto"/>
        <w:bottom w:val="none" w:sz="0" w:space="0" w:color="auto"/>
        <w:right w:val="none" w:sz="0" w:space="0" w:color="auto"/>
      </w:divBdr>
    </w:div>
    <w:div w:id="1998419348">
      <w:bodyDiv w:val="1"/>
      <w:marLeft w:val="0"/>
      <w:marRight w:val="0"/>
      <w:marTop w:val="0"/>
      <w:marBottom w:val="0"/>
      <w:divBdr>
        <w:top w:val="none" w:sz="0" w:space="0" w:color="auto"/>
        <w:left w:val="none" w:sz="0" w:space="0" w:color="auto"/>
        <w:bottom w:val="none" w:sz="0" w:space="0" w:color="auto"/>
        <w:right w:val="none" w:sz="0" w:space="0" w:color="auto"/>
      </w:divBdr>
    </w:div>
    <w:div w:id="1998531068">
      <w:bodyDiv w:val="1"/>
      <w:marLeft w:val="0"/>
      <w:marRight w:val="0"/>
      <w:marTop w:val="0"/>
      <w:marBottom w:val="0"/>
      <w:divBdr>
        <w:top w:val="none" w:sz="0" w:space="0" w:color="auto"/>
        <w:left w:val="none" w:sz="0" w:space="0" w:color="auto"/>
        <w:bottom w:val="none" w:sz="0" w:space="0" w:color="auto"/>
        <w:right w:val="none" w:sz="0" w:space="0" w:color="auto"/>
      </w:divBdr>
    </w:div>
    <w:div w:id="1998606108">
      <w:bodyDiv w:val="1"/>
      <w:marLeft w:val="0"/>
      <w:marRight w:val="0"/>
      <w:marTop w:val="0"/>
      <w:marBottom w:val="0"/>
      <w:divBdr>
        <w:top w:val="none" w:sz="0" w:space="0" w:color="auto"/>
        <w:left w:val="none" w:sz="0" w:space="0" w:color="auto"/>
        <w:bottom w:val="none" w:sz="0" w:space="0" w:color="auto"/>
        <w:right w:val="none" w:sz="0" w:space="0" w:color="auto"/>
      </w:divBdr>
    </w:div>
    <w:div w:id="1998874910">
      <w:bodyDiv w:val="1"/>
      <w:marLeft w:val="0"/>
      <w:marRight w:val="0"/>
      <w:marTop w:val="0"/>
      <w:marBottom w:val="0"/>
      <w:divBdr>
        <w:top w:val="none" w:sz="0" w:space="0" w:color="auto"/>
        <w:left w:val="none" w:sz="0" w:space="0" w:color="auto"/>
        <w:bottom w:val="none" w:sz="0" w:space="0" w:color="auto"/>
        <w:right w:val="none" w:sz="0" w:space="0" w:color="auto"/>
      </w:divBdr>
    </w:div>
    <w:div w:id="1998918333">
      <w:bodyDiv w:val="1"/>
      <w:marLeft w:val="0"/>
      <w:marRight w:val="0"/>
      <w:marTop w:val="0"/>
      <w:marBottom w:val="0"/>
      <w:divBdr>
        <w:top w:val="none" w:sz="0" w:space="0" w:color="auto"/>
        <w:left w:val="none" w:sz="0" w:space="0" w:color="auto"/>
        <w:bottom w:val="none" w:sz="0" w:space="0" w:color="auto"/>
        <w:right w:val="none" w:sz="0" w:space="0" w:color="auto"/>
      </w:divBdr>
    </w:div>
    <w:div w:id="1998921955">
      <w:bodyDiv w:val="1"/>
      <w:marLeft w:val="0"/>
      <w:marRight w:val="0"/>
      <w:marTop w:val="0"/>
      <w:marBottom w:val="0"/>
      <w:divBdr>
        <w:top w:val="none" w:sz="0" w:space="0" w:color="auto"/>
        <w:left w:val="none" w:sz="0" w:space="0" w:color="auto"/>
        <w:bottom w:val="none" w:sz="0" w:space="0" w:color="auto"/>
        <w:right w:val="none" w:sz="0" w:space="0" w:color="auto"/>
      </w:divBdr>
    </w:div>
    <w:div w:id="1998923065">
      <w:bodyDiv w:val="1"/>
      <w:marLeft w:val="0"/>
      <w:marRight w:val="0"/>
      <w:marTop w:val="0"/>
      <w:marBottom w:val="0"/>
      <w:divBdr>
        <w:top w:val="none" w:sz="0" w:space="0" w:color="auto"/>
        <w:left w:val="none" w:sz="0" w:space="0" w:color="auto"/>
        <w:bottom w:val="none" w:sz="0" w:space="0" w:color="auto"/>
        <w:right w:val="none" w:sz="0" w:space="0" w:color="auto"/>
      </w:divBdr>
    </w:div>
    <w:div w:id="1998990925">
      <w:bodyDiv w:val="1"/>
      <w:marLeft w:val="0"/>
      <w:marRight w:val="0"/>
      <w:marTop w:val="0"/>
      <w:marBottom w:val="0"/>
      <w:divBdr>
        <w:top w:val="none" w:sz="0" w:space="0" w:color="auto"/>
        <w:left w:val="none" w:sz="0" w:space="0" w:color="auto"/>
        <w:bottom w:val="none" w:sz="0" w:space="0" w:color="auto"/>
        <w:right w:val="none" w:sz="0" w:space="0" w:color="auto"/>
      </w:divBdr>
    </w:div>
    <w:div w:id="1998994321">
      <w:bodyDiv w:val="1"/>
      <w:marLeft w:val="0"/>
      <w:marRight w:val="0"/>
      <w:marTop w:val="0"/>
      <w:marBottom w:val="0"/>
      <w:divBdr>
        <w:top w:val="none" w:sz="0" w:space="0" w:color="auto"/>
        <w:left w:val="none" w:sz="0" w:space="0" w:color="auto"/>
        <w:bottom w:val="none" w:sz="0" w:space="0" w:color="auto"/>
        <w:right w:val="none" w:sz="0" w:space="0" w:color="auto"/>
      </w:divBdr>
    </w:div>
    <w:div w:id="1998995533">
      <w:bodyDiv w:val="1"/>
      <w:marLeft w:val="0"/>
      <w:marRight w:val="0"/>
      <w:marTop w:val="0"/>
      <w:marBottom w:val="0"/>
      <w:divBdr>
        <w:top w:val="none" w:sz="0" w:space="0" w:color="auto"/>
        <w:left w:val="none" w:sz="0" w:space="0" w:color="auto"/>
        <w:bottom w:val="none" w:sz="0" w:space="0" w:color="auto"/>
        <w:right w:val="none" w:sz="0" w:space="0" w:color="auto"/>
      </w:divBdr>
    </w:div>
    <w:div w:id="1998997133">
      <w:bodyDiv w:val="1"/>
      <w:marLeft w:val="0"/>
      <w:marRight w:val="0"/>
      <w:marTop w:val="0"/>
      <w:marBottom w:val="0"/>
      <w:divBdr>
        <w:top w:val="none" w:sz="0" w:space="0" w:color="auto"/>
        <w:left w:val="none" w:sz="0" w:space="0" w:color="auto"/>
        <w:bottom w:val="none" w:sz="0" w:space="0" w:color="auto"/>
        <w:right w:val="none" w:sz="0" w:space="0" w:color="auto"/>
      </w:divBdr>
    </w:div>
    <w:div w:id="1999382758">
      <w:bodyDiv w:val="1"/>
      <w:marLeft w:val="0"/>
      <w:marRight w:val="0"/>
      <w:marTop w:val="0"/>
      <w:marBottom w:val="0"/>
      <w:divBdr>
        <w:top w:val="none" w:sz="0" w:space="0" w:color="auto"/>
        <w:left w:val="none" w:sz="0" w:space="0" w:color="auto"/>
        <w:bottom w:val="none" w:sz="0" w:space="0" w:color="auto"/>
        <w:right w:val="none" w:sz="0" w:space="0" w:color="auto"/>
      </w:divBdr>
    </w:div>
    <w:div w:id="1999578756">
      <w:bodyDiv w:val="1"/>
      <w:marLeft w:val="0"/>
      <w:marRight w:val="0"/>
      <w:marTop w:val="0"/>
      <w:marBottom w:val="0"/>
      <w:divBdr>
        <w:top w:val="none" w:sz="0" w:space="0" w:color="auto"/>
        <w:left w:val="none" w:sz="0" w:space="0" w:color="auto"/>
        <w:bottom w:val="none" w:sz="0" w:space="0" w:color="auto"/>
        <w:right w:val="none" w:sz="0" w:space="0" w:color="auto"/>
      </w:divBdr>
    </w:div>
    <w:div w:id="1999648691">
      <w:bodyDiv w:val="1"/>
      <w:marLeft w:val="0"/>
      <w:marRight w:val="0"/>
      <w:marTop w:val="0"/>
      <w:marBottom w:val="0"/>
      <w:divBdr>
        <w:top w:val="none" w:sz="0" w:space="0" w:color="auto"/>
        <w:left w:val="none" w:sz="0" w:space="0" w:color="auto"/>
        <w:bottom w:val="none" w:sz="0" w:space="0" w:color="auto"/>
        <w:right w:val="none" w:sz="0" w:space="0" w:color="auto"/>
      </w:divBdr>
    </w:div>
    <w:div w:id="1999848268">
      <w:bodyDiv w:val="1"/>
      <w:marLeft w:val="0"/>
      <w:marRight w:val="0"/>
      <w:marTop w:val="0"/>
      <w:marBottom w:val="0"/>
      <w:divBdr>
        <w:top w:val="none" w:sz="0" w:space="0" w:color="auto"/>
        <w:left w:val="none" w:sz="0" w:space="0" w:color="auto"/>
        <w:bottom w:val="none" w:sz="0" w:space="0" w:color="auto"/>
        <w:right w:val="none" w:sz="0" w:space="0" w:color="auto"/>
      </w:divBdr>
    </w:div>
    <w:div w:id="2000036085">
      <w:bodyDiv w:val="1"/>
      <w:marLeft w:val="0"/>
      <w:marRight w:val="0"/>
      <w:marTop w:val="0"/>
      <w:marBottom w:val="0"/>
      <w:divBdr>
        <w:top w:val="none" w:sz="0" w:space="0" w:color="auto"/>
        <w:left w:val="none" w:sz="0" w:space="0" w:color="auto"/>
        <w:bottom w:val="none" w:sz="0" w:space="0" w:color="auto"/>
        <w:right w:val="none" w:sz="0" w:space="0" w:color="auto"/>
      </w:divBdr>
    </w:div>
    <w:div w:id="2000187582">
      <w:bodyDiv w:val="1"/>
      <w:marLeft w:val="0"/>
      <w:marRight w:val="0"/>
      <w:marTop w:val="0"/>
      <w:marBottom w:val="0"/>
      <w:divBdr>
        <w:top w:val="none" w:sz="0" w:space="0" w:color="auto"/>
        <w:left w:val="none" w:sz="0" w:space="0" w:color="auto"/>
        <w:bottom w:val="none" w:sz="0" w:space="0" w:color="auto"/>
        <w:right w:val="none" w:sz="0" w:space="0" w:color="auto"/>
      </w:divBdr>
    </w:div>
    <w:div w:id="2000190517">
      <w:bodyDiv w:val="1"/>
      <w:marLeft w:val="0"/>
      <w:marRight w:val="0"/>
      <w:marTop w:val="0"/>
      <w:marBottom w:val="0"/>
      <w:divBdr>
        <w:top w:val="none" w:sz="0" w:space="0" w:color="auto"/>
        <w:left w:val="none" w:sz="0" w:space="0" w:color="auto"/>
        <w:bottom w:val="none" w:sz="0" w:space="0" w:color="auto"/>
        <w:right w:val="none" w:sz="0" w:space="0" w:color="auto"/>
      </w:divBdr>
    </w:div>
    <w:div w:id="2000229419">
      <w:bodyDiv w:val="1"/>
      <w:marLeft w:val="0"/>
      <w:marRight w:val="0"/>
      <w:marTop w:val="0"/>
      <w:marBottom w:val="0"/>
      <w:divBdr>
        <w:top w:val="none" w:sz="0" w:space="0" w:color="auto"/>
        <w:left w:val="none" w:sz="0" w:space="0" w:color="auto"/>
        <w:bottom w:val="none" w:sz="0" w:space="0" w:color="auto"/>
        <w:right w:val="none" w:sz="0" w:space="0" w:color="auto"/>
      </w:divBdr>
    </w:div>
    <w:div w:id="2000578536">
      <w:bodyDiv w:val="1"/>
      <w:marLeft w:val="0"/>
      <w:marRight w:val="0"/>
      <w:marTop w:val="0"/>
      <w:marBottom w:val="0"/>
      <w:divBdr>
        <w:top w:val="none" w:sz="0" w:space="0" w:color="auto"/>
        <w:left w:val="none" w:sz="0" w:space="0" w:color="auto"/>
        <w:bottom w:val="none" w:sz="0" w:space="0" w:color="auto"/>
        <w:right w:val="none" w:sz="0" w:space="0" w:color="auto"/>
      </w:divBdr>
    </w:div>
    <w:div w:id="2000958056">
      <w:bodyDiv w:val="1"/>
      <w:marLeft w:val="0"/>
      <w:marRight w:val="0"/>
      <w:marTop w:val="0"/>
      <w:marBottom w:val="0"/>
      <w:divBdr>
        <w:top w:val="none" w:sz="0" w:space="0" w:color="auto"/>
        <w:left w:val="none" w:sz="0" w:space="0" w:color="auto"/>
        <w:bottom w:val="none" w:sz="0" w:space="0" w:color="auto"/>
        <w:right w:val="none" w:sz="0" w:space="0" w:color="auto"/>
      </w:divBdr>
    </w:div>
    <w:div w:id="2001032792">
      <w:bodyDiv w:val="1"/>
      <w:marLeft w:val="0"/>
      <w:marRight w:val="0"/>
      <w:marTop w:val="0"/>
      <w:marBottom w:val="0"/>
      <w:divBdr>
        <w:top w:val="none" w:sz="0" w:space="0" w:color="auto"/>
        <w:left w:val="none" w:sz="0" w:space="0" w:color="auto"/>
        <w:bottom w:val="none" w:sz="0" w:space="0" w:color="auto"/>
        <w:right w:val="none" w:sz="0" w:space="0" w:color="auto"/>
      </w:divBdr>
    </w:div>
    <w:div w:id="2001038210">
      <w:bodyDiv w:val="1"/>
      <w:marLeft w:val="0"/>
      <w:marRight w:val="0"/>
      <w:marTop w:val="0"/>
      <w:marBottom w:val="0"/>
      <w:divBdr>
        <w:top w:val="none" w:sz="0" w:space="0" w:color="auto"/>
        <w:left w:val="none" w:sz="0" w:space="0" w:color="auto"/>
        <w:bottom w:val="none" w:sz="0" w:space="0" w:color="auto"/>
        <w:right w:val="none" w:sz="0" w:space="0" w:color="auto"/>
      </w:divBdr>
    </w:div>
    <w:div w:id="2001155973">
      <w:bodyDiv w:val="1"/>
      <w:marLeft w:val="0"/>
      <w:marRight w:val="0"/>
      <w:marTop w:val="0"/>
      <w:marBottom w:val="0"/>
      <w:divBdr>
        <w:top w:val="none" w:sz="0" w:space="0" w:color="auto"/>
        <w:left w:val="none" w:sz="0" w:space="0" w:color="auto"/>
        <w:bottom w:val="none" w:sz="0" w:space="0" w:color="auto"/>
        <w:right w:val="none" w:sz="0" w:space="0" w:color="auto"/>
      </w:divBdr>
    </w:div>
    <w:div w:id="2001231774">
      <w:bodyDiv w:val="1"/>
      <w:marLeft w:val="0"/>
      <w:marRight w:val="0"/>
      <w:marTop w:val="0"/>
      <w:marBottom w:val="0"/>
      <w:divBdr>
        <w:top w:val="none" w:sz="0" w:space="0" w:color="auto"/>
        <w:left w:val="none" w:sz="0" w:space="0" w:color="auto"/>
        <w:bottom w:val="none" w:sz="0" w:space="0" w:color="auto"/>
        <w:right w:val="none" w:sz="0" w:space="0" w:color="auto"/>
      </w:divBdr>
    </w:div>
    <w:div w:id="2001272857">
      <w:bodyDiv w:val="1"/>
      <w:marLeft w:val="0"/>
      <w:marRight w:val="0"/>
      <w:marTop w:val="0"/>
      <w:marBottom w:val="0"/>
      <w:divBdr>
        <w:top w:val="none" w:sz="0" w:space="0" w:color="auto"/>
        <w:left w:val="none" w:sz="0" w:space="0" w:color="auto"/>
        <w:bottom w:val="none" w:sz="0" w:space="0" w:color="auto"/>
        <w:right w:val="none" w:sz="0" w:space="0" w:color="auto"/>
      </w:divBdr>
    </w:div>
    <w:div w:id="2001274778">
      <w:bodyDiv w:val="1"/>
      <w:marLeft w:val="0"/>
      <w:marRight w:val="0"/>
      <w:marTop w:val="0"/>
      <w:marBottom w:val="0"/>
      <w:divBdr>
        <w:top w:val="none" w:sz="0" w:space="0" w:color="auto"/>
        <w:left w:val="none" w:sz="0" w:space="0" w:color="auto"/>
        <w:bottom w:val="none" w:sz="0" w:space="0" w:color="auto"/>
        <w:right w:val="none" w:sz="0" w:space="0" w:color="auto"/>
      </w:divBdr>
    </w:div>
    <w:div w:id="2001347531">
      <w:bodyDiv w:val="1"/>
      <w:marLeft w:val="0"/>
      <w:marRight w:val="0"/>
      <w:marTop w:val="0"/>
      <w:marBottom w:val="0"/>
      <w:divBdr>
        <w:top w:val="none" w:sz="0" w:space="0" w:color="auto"/>
        <w:left w:val="none" w:sz="0" w:space="0" w:color="auto"/>
        <w:bottom w:val="none" w:sz="0" w:space="0" w:color="auto"/>
        <w:right w:val="none" w:sz="0" w:space="0" w:color="auto"/>
      </w:divBdr>
    </w:div>
    <w:div w:id="2001424494">
      <w:bodyDiv w:val="1"/>
      <w:marLeft w:val="0"/>
      <w:marRight w:val="0"/>
      <w:marTop w:val="0"/>
      <w:marBottom w:val="0"/>
      <w:divBdr>
        <w:top w:val="none" w:sz="0" w:space="0" w:color="auto"/>
        <w:left w:val="none" w:sz="0" w:space="0" w:color="auto"/>
        <w:bottom w:val="none" w:sz="0" w:space="0" w:color="auto"/>
        <w:right w:val="none" w:sz="0" w:space="0" w:color="auto"/>
      </w:divBdr>
    </w:div>
    <w:div w:id="2001495944">
      <w:bodyDiv w:val="1"/>
      <w:marLeft w:val="0"/>
      <w:marRight w:val="0"/>
      <w:marTop w:val="0"/>
      <w:marBottom w:val="0"/>
      <w:divBdr>
        <w:top w:val="none" w:sz="0" w:space="0" w:color="auto"/>
        <w:left w:val="none" w:sz="0" w:space="0" w:color="auto"/>
        <w:bottom w:val="none" w:sz="0" w:space="0" w:color="auto"/>
        <w:right w:val="none" w:sz="0" w:space="0" w:color="auto"/>
      </w:divBdr>
    </w:div>
    <w:div w:id="2001500908">
      <w:bodyDiv w:val="1"/>
      <w:marLeft w:val="0"/>
      <w:marRight w:val="0"/>
      <w:marTop w:val="0"/>
      <w:marBottom w:val="0"/>
      <w:divBdr>
        <w:top w:val="none" w:sz="0" w:space="0" w:color="auto"/>
        <w:left w:val="none" w:sz="0" w:space="0" w:color="auto"/>
        <w:bottom w:val="none" w:sz="0" w:space="0" w:color="auto"/>
        <w:right w:val="none" w:sz="0" w:space="0" w:color="auto"/>
      </w:divBdr>
    </w:div>
    <w:div w:id="2001502207">
      <w:bodyDiv w:val="1"/>
      <w:marLeft w:val="0"/>
      <w:marRight w:val="0"/>
      <w:marTop w:val="0"/>
      <w:marBottom w:val="0"/>
      <w:divBdr>
        <w:top w:val="none" w:sz="0" w:space="0" w:color="auto"/>
        <w:left w:val="none" w:sz="0" w:space="0" w:color="auto"/>
        <w:bottom w:val="none" w:sz="0" w:space="0" w:color="auto"/>
        <w:right w:val="none" w:sz="0" w:space="0" w:color="auto"/>
      </w:divBdr>
    </w:div>
    <w:div w:id="2001881987">
      <w:bodyDiv w:val="1"/>
      <w:marLeft w:val="0"/>
      <w:marRight w:val="0"/>
      <w:marTop w:val="0"/>
      <w:marBottom w:val="0"/>
      <w:divBdr>
        <w:top w:val="none" w:sz="0" w:space="0" w:color="auto"/>
        <w:left w:val="none" w:sz="0" w:space="0" w:color="auto"/>
        <w:bottom w:val="none" w:sz="0" w:space="0" w:color="auto"/>
        <w:right w:val="none" w:sz="0" w:space="0" w:color="auto"/>
      </w:divBdr>
    </w:div>
    <w:div w:id="2001959563">
      <w:bodyDiv w:val="1"/>
      <w:marLeft w:val="0"/>
      <w:marRight w:val="0"/>
      <w:marTop w:val="0"/>
      <w:marBottom w:val="0"/>
      <w:divBdr>
        <w:top w:val="none" w:sz="0" w:space="0" w:color="auto"/>
        <w:left w:val="none" w:sz="0" w:space="0" w:color="auto"/>
        <w:bottom w:val="none" w:sz="0" w:space="0" w:color="auto"/>
        <w:right w:val="none" w:sz="0" w:space="0" w:color="auto"/>
      </w:divBdr>
    </w:div>
    <w:div w:id="2002005252">
      <w:bodyDiv w:val="1"/>
      <w:marLeft w:val="0"/>
      <w:marRight w:val="0"/>
      <w:marTop w:val="0"/>
      <w:marBottom w:val="0"/>
      <w:divBdr>
        <w:top w:val="none" w:sz="0" w:space="0" w:color="auto"/>
        <w:left w:val="none" w:sz="0" w:space="0" w:color="auto"/>
        <w:bottom w:val="none" w:sz="0" w:space="0" w:color="auto"/>
        <w:right w:val="none" w:sz="0" w:space="0" w:color="auto"/>
      </w:divBdr>
    </w:div>
    <w:div w:id="2002005584">
      <w:bodyDiv w:val="1"/>
      <w:marLeft w:val="0"/>
      <w:marRight w:val="0"/>
      <w:marTop w:val="0"/>
      <w:marBottom w:val="0"/>
      <w:divBdr>
        <w:top w:val="none" w:sz="0" w:space="0" w:color="auto"/>
        <w:left w:val="none" w:sz="0" w:space="0" w:color="auto"/>
        <w:bottom w:val="none" w:sz="0" w:space="0" w:color="auto"/>
        <w:right w:val="none" w:sz="0" w:space="0" w:color="auto"/>
      </w:divBdr>
    </w:div>
    <w:div w:id="2002078302">
      <w:bodyDiv w:val="1"/>
      <w:marLeft w:val="0"/>
      <w:marRight w:val="0"/>
      <w:marTop w:val="0"/>
      <w:marBottom w:val="0"/>
      <w:divBdr>
        <w:top w:val="none" w:sz="0" w:space="0" w:color="auto"/>
        <w:left w:val="none" w:sz="0" w:space="0" w:color="auto"/>
        <w:bottom w:val="none" w:sz="0" w:space="0" w:color="auto"/>
        <w:right w:val="none" w:sz="0" w:space="0" w:color="auto"/>
      </w:divBdr>
    </w:div>
    <w:div w:id="2002153672">
      <w:bodyDiv w:val="1"/>
      <w:marLeft w:val="0"/>
      <w:marRight w:val="0"/>
      <w:marTop w:val="0"/>
      <w:marBottom w:val="0"/>
      <w:divBdr>
        <w:top w:val="none" w:sz="0" w:space="0" w:color="auto"/>
        <w:left w:val="none" w:sz="0" w:space="0" w:color="auto"/>
        <w:bottom w:val="none" w:sz="0" w:space="0" w:color="auto"/>
        <w:right w:val="none" w:sz="0" w:space="0" w:color="auto"/>
      </w:divBdr>
    </w:div>
    <w:div w:id="2002156518">
      <w:bodyDiv w:val="1"/>
      <w:marLeft w:val="0"/>
      <w:marRight w:val="0"/>
      <w:marTop w:val="0"/>
      <w:marBottom w:val="0"/>
      <w:divBdr>
        <w:top w:val="none" w:sz="0" w:space="0" w:color="auto"/>
        <w:left w:val="none" w:sz="0" w:space="0" w:color="auto"/>
        <w:bottom w:val="none" w:sz="0" w:space="0" w:color="auto"/>
        <w:right w:val="none" w:sz="0" w:space="0" w:color="auto"/>
      </w:divBdr>
    </w:div>
    <w:div w:id="2002156741">
      <w:bodyDiv w:val="1"/>
      <w:marLeft w:val="0"/>
      <w:marRight w:val="0"/>
      <w:marTop w:val="0"/>
      <w:marBottom w:val="0"/>
      <w:divBdr>
        <w:top w:val="none" w:sz="0" w:space="0" w:color="auto"/>
        <w:left w:val="none" w:sz="0" w:space="0" w:color="auto"/>
        <w:bottom w:val="none" w:sz="0" w:space="0" w:color="auto"/>
        <w:right w:val="none" w:sz="0" w:space="0" w:color="auto"/>
      </w:divBdr>
    </w:div>
    <w:div w:id="2002198630">
      <w:bodyDiv w:val="1"/>
      <w:marLeft w:val="0"/>
      <w:marRight w:val="0"/>
      <w:marTop w:val="0"/>
      <w:marBottom w:val="0"/>
      <w:divBdr>
        <w:top w:val="none" w:sz="0" w:space="0" w:color="auto"/>
        <w:left w:val="none" w:sz="0" w:space="0" w:color="auto"/>
        <w:bottom w:val="none" w:sz="0" w:space="0" w:color="auto"/>
        <w:right w:val="none" w:sz="0" w:space="0" w:color="auto"/>
      </w:divBdr>
    </w:div>
    <w:div w:id="2002342174">
      <w:bodyDiv w:val="1"/>
      <w:marLeft w:val="0"/>
      <w:marRight w:val="0"/>
      <w:marTop w:val="0"/>
      <w:marBottom w:val="0"/>
      <w:divBdr>
        <w:top w:val="none" w:sz="0" w:space="0" w:color="auto"/>
        <w:left w:val="none" w:sz="0" w:space="0" w:color="auto"/>
        <w:bottom w:val="none" w:sz="0" w:space="0" w:color="auto"/>
        <w:right w:val="none" w:sz="0" w:space="0" w:color="auto"/>
      </w:divBdr>
    </w:div>
    <w:div w:id="2002346824">
      <w:bodyDiv w:val="1"/>
      <w:marLeft w:val="0"/>
      <w:marRight w:val="0"/>
      <w:marTop w:val="0"/>
      <w:marBottom w:val="0"/>
      <w:divBdr>
        <w:top w:val="none" w:sz="0" w:space="0" w:color="auto"/>
        <w:left w:val="none" w:sz="0" w:space="0" w:color="auto"/>
        <w:bottom w:val="none" w:sz="0" w:space="0" w:color="auto"/>
        <w:right w:val="none" w:sz="0" w:space="0" w:color="auto"/>
      </w:divBdr>
    </w:div>
    <w:div w:id="2002388668">
      <w:bodyDiv w:val="1"/>
      <w:marLeft w:val="0"/>
      <w:marRight w:val="0"/>
      <w:marTop w:val="0"/>
      <w:marBottom w:val="0"/>
      <w:divBdr>
        <w:top w:val="none" w:sz="0" w:space="0" w:color="auto"/>
        <w:left w:val="none" w:sz="0" w:space="0" w:color="auto"/>
        <w:bottom w:val="none" w:sz="0" w:space="0" w:color="auto"/>
        <w:right w:val="none" w:sz="0" w:space="0" w:color="auto"/>
      </w:divBdr>
    </w:div>
    <w:div w:id="2002419065">
      <w:bodyDiv w:val="1"/>
      <w:marLeft w:val="0"/>
      <w:marRight w:val="0"/>
      <w:marTop w:val="0"/>
      <w:marBottom w:val="0"/>
      <w:divBdr>
        <w:top w:val="none" w:sz="0" w:space="0" w:color="auto"/>
        <w:left w:val="none" w:sz="0" w:space="0" w:color="auto"/>
        <w:bottom w:val="none" w:sz="0" w:space="0" w:color="auto"/>
        <w:right w:val="none" w:sz="0" w:space="0" w:color="auto"/>
      </w:divBdr>
    </w:div>
    <w:div w:id="2002461595">
      <w:bodyDiv w:val="1"/>
      <w:marLeft w:val="0"/>
      <w:marRight w:val="0"/>
      <w:marTop w:val="0"/>
      <w:marBottom w:val="0"/>
      <w:divBdr>
        <w:top w:val="none" w:sz="0" w:space="0" w:color="auto"/>
        <w:left w:val="none" w:sz="0" w:space="0" w:color="auto"/>
        <w:bottom w:val="none" w:sz="0" w:space="0" w:color="auto"/>
        <w:right w:val="none" w:sz="0" w:space="0" w:color="auto"/>
      </w:divBdr>
    </w:div>
    <w:div w:id="2002539042">
      <w:bodyDiv w:val="1"/>
      <w:marLeft w:val="0"/>
      <w:marRight w:val="0"/>
      <w:marTop w:val="0"/>
      <w:marBottom w:val="0"/>
      <w:divBdr>
        <w:top w:val="none" w:sz="0" w:space="0" w:color="auto"/>
        <w:left w:val="none" w:sz="0" w:space="0" w:color="auto"/>
        <w:bottom w:val="none" w:sz="0" w:space="0" w:color="auto"/>
        <w:right w:val="none" w:sz="0" w:space="0" w:color="auto"/>
      </w:divBdr>
    </w:div>
    <w:div w:id="2002541308">
      <w:bodyDiv w:val="1"/>
      <w:marLeft w:val="0"/>
      <w:marRight w:val="0"/>
      <w:marTop w:val="0"/>
      <w:marBottom w:val="0"/>
      <w:divBdr>
        <w:top w:val="none" w:sz="0" w:space="0" w:color="auto"/>
        <w:left w:val="none" w:sz="0" w:space="0" w:color="auto"/>
        <w:bottom w:val="none" w:sz="0" w:space="0" w:color="auto"/>
        <w:right w:val="none" w:sz="0" w:space="0" w:color="auto"/>
      </w:divBdr>
    </w:div>
    <w:div w:id="2002585516">
      <w:bodyDiv w:val="1"/>
      <w:marLeft w:val="0"/>
      <w:marRight w:val="0"/>
      <w:marTop w:val="0"/>
      <w:marBottom w:val="0"/>
      <w:divBdr>
        <w:top w:val="none" w:sz="0" w:space="0" w:color="auto"/>
        <w:left w:val="none" w:sz="0" w:space="0" w:color="auto"/>
        <w:bottom w:val="none" w:sz="0" w:space="0" w:color="auto"/>
        <w:right w:val="none" w:sz="0" w:space="0" w:color="auto"/>
      </w:divBdr>
    </w:div>
    <w:div w:id="2002655454">
      <w:bodyDiv w:val="1"/>
      <w:marLeft w:val="0"/>
      <w:marRight w:val="0"/>
      <w:marTop w:val="0"/>
      <w:marBottom w:val="0"/>
      <w:divBdr>
        <w:top w:val="none" w:sz="0" w:space="0" w:color="auto"/>
        <w:left w:val="none" w:sz="0" w:space="0" w:color="auto"/>
        <w:bottom w:val="none" w:sz="0" w:space="0" w:color="auto"/>
        <w:right w:val="none" w:sz="0" w:space="0" w:color="auto"/>
      </w:divBdr>
    </w:div>
    <w:div w:id="2002803896">
      <w:bodyDiv w:val="1"/>
      <w:marLeft w:val="0"/>
      <w:marRight w:val="0"/>
      <w:marTop w:val="0"/>
      <w:marBottom w:val="0"/>
      <w:divBdr>
        <w:top w:val="none" w:sz="0" w:space="0" w:color="auto"/>
        <w:left w:val="none" w:sz="0" w:space="0" w:color="auto"/>
        <w:bottom w:val="none" w:sz="0" w:space="0" w:color="auto"/>
        <w:right w:val="none" w:sz="0" w:space="0" w:color="auto"/>
      </w:divBdr>
    </w:div>
    <w:div w:id="2002849535">
      <w:bodyDiv w:val="1"/>
      <w:marLeft w:val="0"/>
      <w:marRight w:val="0"/>
      <w:marTop w:val="0"/>
      <w:marBottom w:val="0"/>
      <w:divBdr>
        <w:top w:val="none" w:sz="0" w:space="0" w:color="auto"/>
        <w:left w:val="none" w:sz="0" w:space="0" w:color="auto"/>
        <w:bottom w:val="none" w:sz="0" w:space="0" w:color="auto"/>
        <w:right w:val="none" w:sz="0" w:space="0" w:color="auto"/>
      </w:divBdr>
    </w:div>
    <w:div w:id="2002855060">
      <w:bodyDiv w:val="1"/>
      <w:marLeft w:val="0"/>
      <w:marRight w:val="0"/>
      <w:marTop w:val="0"/>
      <w:marBottom w:val="0"/>
      <w:divBdr>
        <w:top w:val="none" w:sz="0" w:space="0" w:color="auto"/>
        <w:left w:val="none" w:sz="0" w:space="0" w:color="auto"/>
        <w:bottom w:val="none" w:sz="0" w:space="0" w:color="auto"/>
        <w:right w:val="none" w:sz="0" w:space="0" w:color="auto"/>
      </w:divBdr>
    </w:div>
    <w:div w:id="2003006013">
      <w:bodyDiv w:val="1"/>
      <w:marLeft w:val="0"/>
      <w:marRight w:val="0"/>
      <w:marTop w:val="0"/>
      <w:marBottom w:val="0"/>
      <w:divBdr>
        <w:top w:val="none" w:sz="0" w:space="0" w:color="auto"/>
        <w:left w:val="none" w:sz="0" w:space="0" w:color="auto"/>
        <w:bottom w:val="none" w:sz="0" w:space="0" w:color="auto"/>
        <w:right w:val="none" w:sz="0" w:space="0" w:color="auto"/>
      </w:divBdr>
    </w:div>
    <w:div w:id="2003195567">
      <w:bodyDiv w:val="1"/>
      <w:marLeft w:val="0"/>
      <w:marRight w:val="0"/>
      <w:marTop w:val="0"/>
      <w:marBottom w:val="0"/>
      <w:divBdr>
        <w:top w:val="none" w:sz="0" w:space="0" w:color="auto"/>
        <w:left w:val="none" w:sz="0" w:space="0" w:color="auto"/>
        <w:bottom w:val="none" w:sz="0" w:space="0" w:color="auto"/>
        <w:right w:val="none" w:sz="0" w:space="0" w:color="auto"/>
      </w:divBdr>
    </w:div>
    <w:div w:id="2003312387">
      <w:bodyDiv w:val="1"/>
      <w:marLeft w:val="0"/>
      <w:marRight w:val="0"/>
      <w:marTop w:val="0"/>
      <w:marBottom w:val="0"/>
      <w:divBdr>
        <w:top w:val="none" w:sz="0" w:space="0" w:color="auto"/>
        <w:left w:val="none" w:sz="0" w:space="0" w:color="auto"/>
        <w:bottom w:val="none" w:sz="0" w:space="0" w:color="auto"/>
        <w:right w:val="none" w:sz="0" w:space="0" w:color="auto"/>
      </w:divBdr>
    </w:div>
    <w:div w:id="2003312444">
      <w:bodyDiv w:val="1"/>
      <w:marLeft w:val="0"/>
      <w:marRight w:val="0"/>
      <w:marTop w:val="0"/>
      <w:marBottom w:val="0"/>
      <w:divBdr>
        <w:top w:val="none" w:sz="0" w:space="0" w:color="auto"/>
        <w:left w:val="none" w:sz="0" w:space="0" w:color="auto"/>
        <w:bottom w:val="none" w:sz="0" w:space="0" w:color="auto"/>
        <w:right w:val="none" w:sz="0" w:space="0" w:color="auto"/>
      </w:divBdr>
    </w:div>
    <w:div w:id="2003393235">
      <w:bodyDiv w:val="1"/>
      <w:marLeft w:val="0"/>
      <w:marRight w:val="0"/>
      <w:marTop w:val="0"/>
      <w:marBottom w:val="0"/>
      <w:divBdr>
        <w:top w:val="none" w:sz="0" w:space="0" w:color="auto"/>
        <w:left w:val="none" w:sz="0" w:space="0" w:color="auto"/>
        <w:bottom w:val="none" w:sz="0" w:space="0" w:color="auto"/>
        <w:right w:val="none" w:sz="0" w:space="0" w:color="auto"/>
      </w:divBdr>
    </w:div>
    <w:div w:id="2003464399">
      <w:bodyDiv w:val="1"/>
      <w:marLeft w:val="0"/>
      <w:marRight w:val="0"/>
      <w:marTop w:val="0"/>
      <w:marBottom w:val="0"/>
      <w:divBdr>
        <w:top w:val="none" w:sz="0" w:space="0" w:color="auto"/>
        <w:left w:val="none" w:sz="0" w:space="0" w:color="auto"/>
        <w:bottom w:val="none" w:sz="0" w:space="0" w:color="auto"/>
        <w:right w:val="none" w:sz="0" w:space="0" w:color="auto"/>
      </w:divBdr>
    </w:div>
    <w:div w:id="2003503382">
      <w:bodyDiv w:val="1"/>
      <w:marLeft w:val="0"/>
      <w:marRight w:val="0"/>
      <w:marTop w:val="0"/>
      <w:marBottom w:val="0"/>
      <w:divBdr>
        <w:top w:val="none" w:sz="0" w:space="0" w:color="auto"/>
        <w:left w:val="none" w:sz="0" w:space="0" w:color="auto"/>
        <w:bottom w:val="none" w:sz="0" w:space="0" w:color="auto"/>
        <w:right w:val="none" w:sz="0" w:space="0" w:color="auto"/>
      </w:divBdr>
    </w:div>
    <w:div w:id="2003505111">
      <w:bodyDiv w:val="1"/>
      <w:marLeft w:val="0"/>
      <w:marRight w:val="0"/>
      <w:marTop w:val="0"/>
      <w:marBottom w:val="0"/>
      <w:divBdr>
        <w:top w:val="none" w:sz="0" w:space="0" w:color="auto"/>
        <w:left w:val="none" w:sz="0" w:space="0" w:color="auto"/>
        <w:bottom w:val="none" w:sz="0" w:space="0" w:color="auto"/>
        <w:right w:val="none" w:sz="0" w:space="0" w:color="auto"/>
      </w:divBdr>
    </w:div>
    <w:div w:id="2003579592">
      <w:bodyDiv w:val="1"/>
      <w:marLeft w:val="0"/>
      <w:marRight w:val="0"/>
      <w:marTop w:val="0"/>
      <w:marBottom w:val="0"/>
      <w:divBdr>
        <w:top w:val="none" w:sz="0" w:space="0" w:color="auto"/>
        <w:left w:val="none" w:sz="0" w:space="0" w:color="auto"/>
        <w:bottom w:val="none" w:sz="0" w:space="0" w:color="auto"/>
        <w:right w:val="none" w:sz="0" w:space="0" w:color="auto"/>
      </w:divBdr>
    </w:div>
    <w:div w:id="2003579899">
      <w:bodyDiv w:val="1"/>
      <w:marLeft w:val="0"/>
      <w:marRight w:val="0"/>
      <w:marTop w:val="0"/>
      <w:marBottom w:val="0"/>
      <w:divBdr>
        <w:top w:val="none" w:sz="0" w:space="0" w:color="auto"/>
        <w:left w:val="none" w:sz="0" w:space="0" w:color="auto"/>
        <w:bottom w:val="none" w:sz="0" w:space="0" w:color="auto"/>
        <w:right w:val="none" w:sz="0" w:space="0" w:color="auto"/>
      </w:divBdr>
    </w:div>
    <w:div w:id="2003585525">
      <w:bodyDiv w:val="1"/>
      <w:marLeft w:val="0"/>
      <w:marRight w:val="0"/>
      <w:marTop w:val="0"/>
      <w:marBottom w:val="0"/>
      <w:divBdr>
        <w:top w:val="none" w:sz="0" w:space="0" w:color="auto"/>
        <w:left w:val="none" w:sz="0" w:space="0" w:color="auto"/>
        <w:bottom w:val="none" w:sz="0" w:space="0" w:color="auto"/>
        <w:right w:val="none" w:sz="0" w:space="0" w:color="auto"/>
      </w:divBdr>
    </w:div>
    <w:div w:id="2003658612">
      <w:bodyDiv w:val="1"/>
      <w:marLeft w:val="0"/>
      <w:marRight w:val="0"/>
      <w:marTop w:val="0"/>
      <w:marBottom w:val="0"/>
      <w:divBdr>
        <w:top w:val="none" w:sz="0" w:space="0" w:color="auto"/>
        <w:left w:val="none" w:sz="0" w:space="0" w:color="auto"/>
        <w:bottom w:val="none" w:sz="0" w:space="0" w:color="auto"/>
        <w:right w:val="none" w:sz="0" w:space="0" w:color="auto"/>
      </w:divBdr>
    </w:div>
    <w:div w:id="2003661938">
      <w:bodyDiv w:val="1"/>
      <w:marLeft w:val="0"/>
      <w:marRight w:val="0"/>
      <w:marTop w:val="0"/>
      <w:marBottom w:val="0"/>
      <w:divBdr>
        <w:top w:val="none" w:sz="0" w:space="0" w:color="auto"/>
        <w:left w:val="none" w:sz="0" w:space="0" w:color="auto"/>
        <w:bottom w:val="none" w:sz="0" w:space="0" w:color="auto"/>
        <w:right w:val="none" w:sz="0" w:space="0" w:color="auto"/>
      </w:divBdr>
    </w:div>
    <w:div w:id="2003698787">
      <w:bodyDiv w:val="1"/>
      <w:marLeft w:val="0"/>
      <w:marRight w:val="0"/>
      <w:marTop w:val="0"/>
      <w:marBottom w:val="0"/>
      <w:divBdr>
        <w:top w:val="none" w:sz="0" w:space="0" w:color="auto"/>
        <w:left w:val="none" w:sz="0" w:space="0" w:color="auto"/>
        <w:bottom w:val="none" w:sz="0" w:space="0" w:color="auto"/>
        <w:right w:val="none" w:sz="0" w:space="0" w:color="auto"/>
      </w:divBdr>
    </w:div>
    <w:div w:id="2003728080">
      <w:bodyDiv w:val="1"/>
      <w:marLeft w:val="0"/>
      <w:marRight w:val="0"/>
      <w:marTop w:val="0"/>
      <w:marBottom w:val="0"/>
      <w:divBdr>
        <w:top w:val="none" w:sz="0" w:space="0" w:color="auto"/>
        <w:left w:val="none" w:sz="0" w:space="0" w:color="auto"/>
        <w:bottom w:val="none" w:sz="0" w:space="0" w:color="auto"/>
        <w:right w:val="none" w:sz="0" w:space="0" w:color="auto"/>
      </w:divBdr>
    </w:div>
    <w:div w:id="2003772113">
      <w:bodyDiv w:val="1"/>
      <w:marLeft w:val="0"/>
      <w:marRight w:val="0"/>
      <w:marTop w:val="0"/>
      <w:marBottom w:val="0"/>
      <w:divBdr>
        <w:top w:val="none" w:sz="0" w:space="0" w:color="auto"/>
        <w:left w:val="none" w:sz="0" w:space="0" w:color="auto"/>
        <w:bottom w:val="none" w:sz="0" w:space="0" w:color="auto"/>
        <w:right w:val="none" w:sz="0" w:space="0" w:color="auto"/>
      </w:divBdr>
    </w:div>
    <w:div w:id="2004040967">
      <w:bodyDiv w:val="1"/>
      <w:marLeft w:val="0"/>
      <w:marRight w:val="0"/>
      <w:marTop w:val="0"/>
      <w:marBottom w:val="0"/>
      <w:divBdr>
        <w:top w:val="none" w:sz="0" w:space="0" w:color="auto"/>
        <w:left w:val="none" w:sz="0" w:space="0" w:color="auto"/>
        <w:bottom w:val="none" w:sz="0" w:space="0" w:color="auto"/>
        <w:right w:val="none" w:sz="0" w:space="0" w:color="auto"/>
      </w:divBdr>
    </w:div>
    <w:div w:id="2004045296">
      <w:bodyDiv w:val="1"/>
      <w:marLeft w:val="0"/>
      <w:marRight w:val="0"/>
      <w:marTop w:val="0"/>
      <w:marBottom w:val="0"/>
      <w:divBdr>
        <w:top w:val="none" w:sz="0" w:space="0" w:color="auto"/>
        <w:left w:val="none" w:sz="0" w:space="0" w:color="auto"/>
        <w:bottom w:val="none" w:sz="0" w:space="0" w:color="auto"/>
        <w:right w:val="none" w:sz="0" w:space="0" w:color="auto"/>
      </w:divBdr>
    </w:div>
    <w:div w:id="2004046015">
      <w:bodyDiv w:val="1"/>
      <w:marLeft w:val="0"/>
      <w:marRight w:val="0"/>
      <w:marTop w:val="0"/>
      <w:marBottom w:val="0"/>
      <w:divBdr>
        <w:top w:val="none" w:sz="0" w:space="0" w:color="auto"/>
        <w:left w:val="none" w:sz="0" w:space="0" w:color="auto"/>
        <w:bottom w:val="none" w:sz="0" w:space="0" w:color="auto"/>
        <w:right w:val="none" w:sz="0" w:space="0" w:color="auto"/>
      </w:divBdr>
    </w:div>
    <w:div w:id="2004122671">
      <w:bodyDiv w:val="1"/>
      <w:marLeft w:val="0"/>
      <w:marRight w:val="0"/>
      <w:marTop w:val="0"/>
      <w:marBottom w:val="0"/>
      <w:divBdr>
        <w:top w:val="none" w:sz="0" w:space="0" w:color="auto"/>
        <w:left w:val="none" w:sz="0" w:space="0" w:color="auto"/>
        <w:bottom w:val="none" w:sz="0" w:space="0" w:color="auto"/>
        <w:right w:val="none" w:sz="0" w:space="0" w:color="auto"/>
      </w:divBdr>
    </w:div>
    <w:div w:id="2004241926">
      <w:bodyDiv w:val="1"/>
      <w:marLeft w:val="0"/>
      <w:marRight w:val="0"/>
      <w:marTop w:val="0"/>
      <w:marBottom w:val="0"/>
      <w:divBdr>
        <w:top w:val="none" w:sz="0" w:space="0" w:color="auto"/>
        <w:left w:val="none" w:sz="0" w:space="0" w:color="auto"/>
        <w:bottom w:val="none" w:sz="0" w:space="0" w:color="auto"/>
        <w:right w:val="none" w:sz="0" w:space="0" w:color="auto"/>
      </w:divBdr>
    </w:div>
    <w:div w:id="2004314869">
      <w:bodyDiv w:val="1"/>
      <w:marLeft w:val="0"/>
      <w:marRight w:val="0"/>
      <w:marTop w:val="0"/>
      <w:marBottom w:val="0"/>
      <w:divBdr>
        <w:top w:val="none" w:sz="0" w:space="0" w:color="auto"/>
        <w:left w:val="none" w:sz="0" w:space="0" w:color="auto"/>
        <w:bottom w:val="none" w:sz="0" w:space="0" w:color="auto"/>
        <w:right w:val="none" w:sz="0" w:space="0" w:color="auto"/>
      </w:divBdr>
    </w:div>
    <w:div w:id="2004505057">
      <w:bodyDiv w:val="1"/>
      <w:marLeft w:val="0"/>
      <w:marRight w:val="0"/>
      <w:marTop w:val="0"/>
      <w:marBottom w:val="0"/>
      <w:divBdr>
        <w:top w:val="none" w:sz="0" w:space="0" w:color="auto"/>
        <w:left w:val="none" w:sz="0" w:space="0" w:color="auto"/>
        <w:bottom w:val="none" w:sz="0" w:space="0" w:color="auto"/>
        <w:right w:val="none" w:sz="0" w:space="0" w:color="auto"/>
      </w:divBdr>
    </w:div>
    <w:div w:id="2004510102">
      <w:bodyDiv w:val="1"/>
      <w:marLeft w:val="0"/>
      <w:marRight w:val="0"/>
      <w:marTop w:val="0"/>
      <w:marBottom w:val="0"/>
      <w:divBdr>
        <w:top w:val="none" w:sz="0" w:space="0" w:color="auto"/>
        <w:left w:val="none" w:sz="0" w:space="0" w:color="auto"/>
        <w:bottom w:val="none" w:sz="0" w:space="0" w:color="auto"/>
        <w:right w:val="none" w:sz="0" w:space="0" w:color="auto"/>
      </w:divBdr>
    </w:div>
    <w:div w:id="2004628378">
      <w:bodyDiv w:val="1"/>
      <w:marLeft w:val="0"/>
      <w:marRight w:val="0"/>
      <w:marTop w:val="0"/>
      <w:marBottom w:val="0"/>
      <w:divBdr>
        <w:top w:val="none" w:sz="0" w:space="0" w:color="auto"/>
        <w:left w:val="none" w:sz="0" w:space="0" w:color="auto"/>
        <w:bottom w:val="none" w:sz="0" w:space="0" w:color="auto"/>
        <w:right w:val="none" w:sz="0" w:space="0" w:color="auto"/>
      </w:divBdr>
    </w:div>
    <w:div w:id="2004695308">
      <w:bodyDiv w:val="1"/>
      <w:marLeft w:val="0"/>
      <w:marRight w:val="0"/>
      <w:marTop w:val="0"/>
      <w:marBottom w:val="0"/>
      <w:divBdr>
        <w:top w:val="none" w:sz="0" w:space="0" w:color="auto"/>
        <w:left w:val="none" w:sz="0" w:space="0" w:color="auto"/>
        <w:bottom w:val="none" w:sz="0" w:space="0" w:color="auto"/>
        <w:right w:val="none" w:sz="0" w:space="0" w:color="auto"/>
      </w:divBdr>
    </w:div>
    <w:div w:id="2004746334">
      <w:bodyDiv w:val="1"/>
      <w:marLeft w:val="0"/>
      <w:marRight w:val="0"/>
      <w:marTop w:val="0"/>
      <w:marBottom w:val="0"/>
      <w:divBdr>
        <w:top w:val="none" w:sz="0" w:space="0" w:color="auto"/>
        <w:left w:val="none" w:sz="0" w:space="0" w:color="auto"/>
        <w:bottom w:val="none" w:sz="0" w:space="0" w:color="auto"/>
        <w:right w:val="none" w:sz="0" w:space="0" w:color="auto"/>
      </w:divBdr>
    </w:div>
    <w:div w:id="2004894808">
      <w:bodyDiv w:val="1"/>
      <w:marLeft w:val="0"/>
      <w:marRight w:val="0"/>
      <w:marTop w:val="0"/>
      <w:marBottom w:val="0"/>
      <w:divBdr>
        <w:top w:val="none" w:sz="0" w:space="0" w:color="auto"/>
        <w:left w:val="none" w:sz="0" w:space="0" w:color="auto"/>
        <w:bottom w:val="none" w:sz="0" w:space="0" w:color="auto"/>
        <w:right w:val="none" w:sz="0" w:space="0" w:color="auto"/>
      </w:divBdr>
    </w:div>
    <w:div w:id="2004971441">
      <w:bodyDiv w:val="1"/>
      <w:marLeft w:val="0"/>
      <w:marRight w:val="0"/>
      <w:marTop w:val="0"/>
      <w:marBottom w:val="0"/>
      <w:divBdr>
        <w:top w:val="none" w:sz="0" w:space="0" w:color="auto"/>
        <w:left w:val="none" w:sz="0" w:space="0" w:color="auto"/>
        <w:bottom w:val="none" w:sz="0" w:space="0" w:color="auto"/>
        <w:right w:val="none" w:sz="0" w:space="0" w:color="auto"/>
      </w:divBdr>
    </w:div>
    <w:div w:id="2005088275">
      <w:bodyDiv w:val="1"/>
      <w:marLeft w:val="0"/>
      <w:marRight w:val="0"/>
      <w:marTop w:val="0"/>
      <w:marBottom w:val="0"/>
      <w:divBdr>
        <w:top w:val="none" w:sz="0" w:space="0" w:color="auto"/>
        <w:left w:val="none" w:sz="0" w:space="0" w:color="auto"/>
        <w:bottom w:val="none" w:sz="0" w:space="0" w:color="auto"/>
        <w:right w:val="none" w:sz="0" w:space="0" w:color="auto"/>
      </w:divBdr>
    </w:div>
    <w:div w:id="2005236930">
      <w:bodyDiv w:val="1"/>
      <w:marLeft w:val="0"/>
      <w:marRight w:val="0"/>
      <w:marTop w:val="0"/>
      <w:marBottom w:val="0"/>
      <w:divBdr>
        <w:top w:val="none" w:sz="0" w:space="0" w:color="auto"/>
        <w:left w:val="none" w:sz="0" w:space="0" w:color="auto"/>
        <w:bottom w:val="none" w:sz="0" w:space="0" w:color="auto"/>
        <w:right w:val="none" w:sz="0" w:space="0" w:color="auto"/>
      </w:divBdr>
    </w:div>
    <w:div w:id="2005352321">
      <w:bodyDiv w:val="1"/>
      <w:marLeft w:val="0"/>
      <w:marRight w:val="0"/>
      <w:marTop w:val="0"/>
      <w:marBottom w:val="0"/>
      <w:divBdr>
        <w:top w:val="none" w:sz="0" w:space="0" w:color="auto"/>
        <w:left w:val="none" w:sz="0" w:space="0" w:color="auto"/>
        <w:bottom w:val="none" w:sz="0" w:space="0" w:color="auto"/>
        <w:right w:val="none" w:sz="0" w:space="0" w:color="auto"/>
      </w:divBdr>
    </w:div>
    <w:div w:id="2005433310">
      <w:bodyDiv w:val="1"/>
      <w:marLeft w:val="0"/>
      <w:marRight w:val="0"/>
      <w:marTop w:val="0"/>
      <w:marBottom w:val="0"/>
      <w:divBdr>
        <w:top w:val="none" w:sz="0" w:space="0" w:color="auto"/>
        <w:left w:val="none" w:sz="0" w:space="0" w:color="auto"/>
        <w:bottom w:val="none" w:sz="0" w:space="0" w:color="auto"/>
        <w:right w:val="none" w:sz="0" w:space="0" w:color="auto"/>
      </w:divBdr>
    </w:div>
    <w:div w:id="2005695094">
      <w:bodyDiv w:val="1"/>
      <w:marLeft w:val="0"/>
      <w:marRight w:val="0"/>
      <w:marTop w:val="0"/>
      <w:marBottom w:val="0"/>
      <w:divBdr>
        <w:top w:val="none" w:sz="0" w:space="0" w:color="auto"/>
        <w:left w:val="none" w:sz="0" w:space="0" w:color="auto"/>
        <w:bottom w:val="none" w:sz="0" w:space="0" w:color="auto"/>
        <w:right w:val="none" w:sz="0" w:space="0" w:color="auto"/>
      </w:divBdr>
    </w:div>
    <w:div w:id="2005812471">
      <w:bodyDiv w:val="1"/>
      <w:marLeft w:val="0"/>
      <w:marRight w:val="0"/>
      <w:marTop w:val="0"/>
      <w:marBottom w:val="0"/>
      <w:divBdr>
        <w:top w:val="none" w:sz="0" w:space="0" w:color="auto"/>
        <w:left w:val="none" w:sz="0" w:space="0" w:color="auto"/>
        <w:bottom w:val="none" w:sz="0" w:space="0" w:color="auto"/>
        <w:right w:val="none" w:sz="0" w:space="0" w:color="auto"/>
      </w:divBdr>
    </w:div>
    <w:div w:id="2006123540">
      <w:bodyDiv w:val="1"/>
      <w:marLeft w:val="0"/>
      <w:marRight w:val="0"/>
      <w:marTop w:val="0"/>
      <w:marBottom w:val="0"/>
      <w:divBdr>
        <w:top w:val="none" w:sz="0" w:space="0" w:color="auto"/>
        <w:left w:val="none" w:sz="0" w:space="0" w:color="auto"/>
        <w:bottom w:val="none" w:sz="0" w:space="0" w:color="auto"/>
        <w:right w:val="none" w:sz="0" w:space="0" w:color="auto"/>
      </w:divBdr>
    </w:div>
    <w:div w:id="2006275043">
      <w:bodyDiv w:val="1"/>
      <w:marLeft w:val="0"/>
      <w:marRight w:val="0"/>
      <w:marTop w:val="0"/>
      <w:marBottom w:val="0"/>
      <w:divBdr>
        <w:top w:val="none" w:sz="0" w:space="0" w:color="auto"/>
        <w:left w:val="none" w:sz="0" w:space="0" w:color="auto"/>
        <w:bottom w:val="none" w:sz="0" w:space="0" w:color="auto"/>
        <w:right w:val="none" w:sz="0" w:space="0" w:color="auto"/>
      </w:divBdr>
    </w:div>
    <w:div w:id="2006319971">
      <w:bodyDiv w:val="1"/>
      <w:marLeft w:val="0"/>
      <w:marRight w:val="0"/>
      <w:marTop w:val="0"/>
      <w:marBottom w:val="0"/>
      <w:divBdr>
        <w:top w:val="none" w:sz="0" w:space="0" w:color="auto"/>
        <w:left w:val="none" w:sz="0" w:space="0" w:color="auto"/>
        <w:bottom w:val="none" w:sz="0" w:space="0" w:color="auto"/>
        <w:right w:val="none" w:sz="0" w:space="0" w:color="auto"/>
      </w:divBdr>
    </w:div>
    <w:div w:id="2006323987">
      <w:bodyDiv w:val="1"/>
      <w:marLeft w:val="0"/>
      <w:marRight w:val="0"/>
      <w:marTop w:val="0"/>
      <w:marBottom w:val="0"/>
      <w:divBdr>
        <w:top w:val="none" w:sz="0" w:space="0" w:color="auto"/>
        <w:left w:val="none" w:sz="0" w:space="0" w:color="auto"/>
        <w:bottom w:val="none" w:sz="0" w:space="0" w:color="auto"/>
        <w:right w:val="none" w:sz="0" w:space="0" w:color="auto"/>
      </w:divBdr>
    </w:div>
    <w:div w:id="2006395380">
      <w:bodyDiv w:val="1"/>
      <w:marLeft w:val="0"/>
      <w:marRight w:val="0"/>
      <w:marTop w:val="0"/>
      <w:marBottom w:val="0"/>
      <w:divBdr>
        <w:top w:val="none" w:sz="0" w:space="0" w:color="auto"/>
        <w:left w:val="none" w:sz="0" w:space="0" w:color="auto"/>
        <w:bottom w:val="none" w:sz="0" w:space="0" w:color="auto"/>
        <w:right w:val="none" w:sz="0" w:space="0" w:color="auto"/>
      </w:divBdr>
    </w:div>
    <w:div w:id="2006546096">
      <w:bodyDiv w:val="1"/>
      <w:marLeft w:val="0"/>
      <w:marRight w:val="0"/>
      <w:marTop w:val="0"/>
      <w:marBottom w:val="0"/>
      <w:divBdr>
        <w:top w:val="none" w:sz="0" w:space="0" w:color="auto"/>
        <w:left w:val="none" w:sz="0" w:space="0" w:color="auto"/>
        <w:bottom w:val="none" w:sz="0" w:space="0" w:color="auto"/>
        <w:right w:val="none" w:sz="0" w:space="0" w:color="auto"/>
      </w:divBdr>
    </w:div>
    <w:div w:id="2006548428">
      <w:bodyDiv w:val="1"/>
      <w:marLeft w:val="0"/>
      <w:marRight w:val="0"/>
      <w:marTop w:val="0"/>
      <w:marBottom w:val="0"/>
      <w:divBdr>
        <w:top w:val="none" w:sz="0" w:space="0" w:color="auto"/>
        <w:left w:val="none" w:sz="0" w:space="0" w:color="auto"/>
        <w:bottom w:val="none" w:sz="0" w:space="0" w:color="auto"/>
        <w:right w:val="none" w:sz="0" w:space="0" w:color="auto"/>
      </w:divBdr>
    </w:div>
    <w:div w:id="2006590580">
      <w:bodyDiv w:val="1"/>
      <w:marLeft w:val="0"/>
      <w:marRight w:val="0"/>
      <w:marTop w:val="0"/>
      <w:marBottom w:val="0"/>
      <w:divBdr>
        <w:top w:val="none" w:sz="0" w:space="0" w:color="auto"/>
        <w:left w:val="none" w:sz="0" w:space="0" w:color="auto"/>
        <w:bottom w:val="none" w:sz="0" w:space="0" w:color="auto"/>
        <w:right w:val="none" w:sz="0" w:space="0" w:color="auto"/>
      </w:divBdr>
    </w:div>
    <w:div w:id="2006664802">
      <w:bodyDiv w:val="1"/>
      <w:marLeft w:val="0"/>
      <w:marRight w:val="0"/>
      <w:marTop w:val="0"/>
      <w:marBottom w:val="0"/>
      <w:divBdr>
        <w:top w:val="none" w:sz="0" w:space="0" w:color="auto"/>
        <w:left w:val="none" w:sz="0" w:space="0" w:color="auto"/>
        <w:bottom w:val="none" w:sz="0" w:space="0" w:color="auto"/>
        <w:right w:val="none" w:sz="0" w:space="0" w:color="auto"/>
      </w:divBdr>
    </w:div>
    <w:div w:id="2006665616">
      <w:bodyDiv w:val="1"/>
      <w:marLeft w:val="0"/>
      <w:marRight w:val="0"/>
      <w:marTop w:val="0"/>
      <w:marBottom w:val="0"/>
      <w:divBdr>
        <w:top w:val="none" w:sz="0" w:space="0" w:color="auto"/>
        <w:left w:val="none" w:sz="0" w:space="0" w:color="auto"/>
        <w:bottom w:val="none" w:sz="0" w:space="0" w:color="auto"/>
        <w:right w:val="none" w:sz="0" w:space="0" w:color="auto"/>
      </w:divBdr>
    </w:div>
    <w:div w:id="2006669737">
      <w:bodyDiv w:val="1"/>
      <w:marLeft w:val="0"/>
      <w:marRight w:val="0"/>
      <w:marTop w:val="0"/>
      <w:marBottom w:val="0"/>
      <w:divBdr>
        <w:top w:val="none" w:sz="0" w:space="0" w:color="auto"/>
        <w:left w:val="none" w:sz="0" w:space="0" w:color="auto"/>
        <w:bottom w:val="none" w:sz="0" w:space="0" w:color="auto"/>
        <w:right w:val="none" w:sz="0" w:space="0" w:color="auto"/>
      </w:divBdr>
    </w:div>
    <w:div w:id="2006744694">
      <w:bodyDiv w:val="1"/>
      <w:marLeft w:val="0"/>
      <w:marRight w:val="0"/>
      <w:marTop w:val="0"/>
      <w:marBottom w:val="0"/>
      <w:divBdr>
        <w:top w:val="none" w:sz="0" w:space="0" w:color="auto"/>
        <w:left w:val="none" w:sz="0" w:space="0" w:color="auto"/>
        <w:bottom w:val="none" w:sz="0" w:space="0" w:color="auto"/>
        <w:right w:val="none" w:sz="0" w:space="0" w:color="auto"/>
      </w:divBdr>
    </w:div>
    <w:div w:id="2006778194">
      <w:bodyDiv w:val="1"/>
      <w:marLeft w:val="0"/>
      <w:marRight w:val="0"/>
      <w:marTop w:val="0"/>
      <w:marBottom w:val="0"/>
      <w:divBdr>
        <w:top w:val="none" w:sz="0" w:space="0" w:color="auto"/>
        <w:left w:val="none" w:sz="0" w:space="0" w:color="auto"/>
        <w:bottom w:val="none" w:sz="0" w:space="0" w:color="auto"/>
        <w:right w:val="none" w:sz="0" w:space="0" w:color="auto"/>
      </w:divBdr>
    </w:div>
    <w:div w:id="2006936486">
      <w:bodyDiv w:val="1"/>
      <w:marLeft w:val="0"/>
      <w:marRight w:val="0"/>
      <w:marTop w:val="0"/>
      <w:marBottom w:val="0"/>
      <w:divBdr>
        <w:top w:val="none" w:sz="0" w:space="0" w:color="auto"/>
        <w:left w:val="none" w:sz="0" w:space="0" w:color="auto"/>
        <w:bottom w:val="none" w:sz="0" w:space="0" w:color="auto"/>
        <w:right w:val="none" w:sz="0" w:space="0" w:color="auto"/>
      </w:divBdr>
    </w:div>
    <w:div w:id="2007243323">
      <w:bodyDiv w:val="1"/>
      <w:marLeft w:val="0"/>
      <w:marRight w:val="0"/>
      <w:marTop w:val="0"/>
      <w:marBottom w:val="0"/>
      <w:divBdr>
        <w:top w:val="none" w:sz="0" w:space="0" w:color="auto"/>
        <w:left w:val="none" w:sz="0" w:space="0" w:color="auto"/>
        <w:bottom w:val="none" w:sz="0" w:space="0" w:color="auto"/>
        <w:right w:val="none" w:sz="0" w:space="0" w:color="auto"/>
      </w:divBdr>
    </w:div>
    <w:div w:id="2007318172">
      <w:bodyDiv w:val="1"/>
      <w:marLeft w:val="0"/>
      <w:marRight w:val="0"/>
      <w:marTop w:val="0"/>
      <w:marBottom w:val="0"/>
      <w:divBdr>
        <w:top w:val="none" w:sz="0" w:space="0" w:color="auto"/>
        <w:left w:val="none" w:sz="0" w:space="0" w:color="auto"/>
        <w:bottom w:val="none" w:sz="0" w:space="0" w:color="auto"/>
        <w:right w:val="none" w:sz="0" w:space="0" w:color="auto"/>
      </w:divBdr>
    </w:div>
    <w:div w:id="2007367753">
      <w:bodyDiv w:val="1"/>
      <w:marLeft w:val="0"/>
      <w:marRight w:val="0"/>
      <w:marTop w:val="0"/>
      <w:marBottom w:val="0"/>
      <w:divBdr>
        <w:top w:val="none" w:sz="0" w:space="0" w:color="auto"/>
        <w:left w:val="none" w:sz="0" w:space="0" w:color="auto"/>
        <w:bottom w:val="none" w:sz="0" w:space="0" w:color="auto"/>
        <w:right w:val="none" w:sz="0" w:space="0" w:color="auto"/>
      </w:divBdr>
    </w:div>
    <w:div w:id="2007392714">
      <w:bodyDiv w:val="1"/>
      <w:marLeft w:val="0"/>
      <w:marRight w:val="0"/>
      <w:marTop w:val="0"/>
      <w:marBottom w:val="0"/>
      <w:divBdr>
        <w:top w:val="none" w:sz="0" w:space="0" w:color="auto"/>
        <w:left w:val="none" w:sz="0" w:space="0" w:color="auto"/>
        <w:bottom w:val="none" w:sz="0" w:space="0" w:color="auto"/>
        <w:right w:val="none" w:sz="0" w:space="0" w:color="auto"/>
      </w:divBdr>
    </w:div>
    <w:div w:id="2007435714">
      <w:bodyDiv w:val="1"/>
      <w:marLeft w:val="0"/>
      <w:marRight w:val="0"/>
      <w:marTop w:val="0"/>
      <w:marBottom w:val="0"/>
      <w:divBdr>
        <w:top w:val="none" w:sz="0" w:space="0" w:color="auto"/>
        <w:left w:val="none" w:sz="0" w:space="0" w:color="auto"/>
        <w:bottom w:val="none" w:sz="0" w:space="0" w:color="auto"/>
        <w:right w:val="none" w:sz="0" w:space="0" w:color="auto"/>
      </w:divBdr>
    </w:div>
    <w:div w:id="2007440355">
      <w:bodyDiv w:val="1"/>
      <w:marLeft w:val="0"/>
      <w:marRight w:val="0"/>
      <w:marTop w:val="0"/>
      <w:marBottom w:val="0"/>
      <w:divBdr>
        <w:top w:val="none" w:sz="0" w:space="0" w:color="auto"/>
        <w:left w:val="none" w:sz="0" w:space="0" w:color="auto"/>
        <w:bottom w:val="none" w:sz="0" w:space="0" w:color="auto"/>
        <w:right w:val="none" w:sz="0" w:space="0" w:color="auto"/>
      </w:divBdr>
    </w:div>
    <w:div w:id="2007515096">
      <w:bodyDiv w:val="1"/>
      <w:marLeft w:val="0"/>
      <w:marRight w:val="0"/>
      <w:marTop w:val="0"/>
      <w:marBottom w:val="0"/>
      <w:divBdr>
        <w:top w:val="none" w:sz="0" w:space="0" w:color="auto"/>
        <w:left w:val="none" w:sz="0" w:space="0" w:color="auto"/>
        <w:bottom w:val="none" w:sz="0" w:space="0" w:color="auto"/>
        <w:right w:val="none" w:sz="0" w:space="0" w:color="auto"/>
      </w:divBdr>
    </w:div>
    <w:div w:id="2007584231">
      <w:bodyDiv w:val="1"/>
      <w:marLeft w:val="0"/>
      <w:marRight w:val="0"/>
      <w:marTop w:val="0"/>
      <w:marBottom w:val="0"/>
      <w:divBdr>
        <w:top w:val="none" w:sz="0" w:space="0" w:color="auto"/>
        <w:left w:val="none" w:sz="0" w:space="0" w:color="auto"/>
        <w:bottom w:val="none" w:sz="0" w:space="0" w:color="auto"/>
        <w:right w:val="none" w:sz="0" w:space="0" w:color="auto"/>
      </w:divBdr>
    </w:div>
    <w:div w:id="2007592210">
      <w:bodyDiv w:val="1"/>
      <w:marLeft w:val="0"/>
      <w:marRight w:val="0"/>
      <w:marTop w:val="0"/>
      <w:marBottom w:val="0"/>
      <w:divBdr>
        <w:top w:val="none" w:sz="0" w:space="0" w:color="auto"/>
        <w:left w:val="none" w:sz="0" w:space="0" w:color="auto"/>
        <w:bottom w:val="none" w:sz="0" w:space="0" w:color="auto"/>
        <w:right w:val="none" w:sz="0" w:space="0" w:color="auto"/>
      </w:divBdr>
    </w:div>
    <w:div w:id="2007707368">
      <w:bodyDiv w:val="1"/>
      <w:marLeft w:val="0"/>
      <w:marRight w:val="0"/>
      <w:marTop w:val="0"/>
      <w:marBottom w:val="0"/>
      <w:divBdr>
        <w:top w:val="none" w:sz="0" w:space="0" w:color="auto"/>
        <w:left w:val="none" w:sz="0" w:space="0" w:color="auto"/>
        <w:bottom w:val="none" w:sz="0" w:space="0" w:color="auto"/>
        <w:right w:val="none" w:sz="0" w:space="0" w:color="auto"/>
      </w:divBdr>
    </w:div>
    <w:div w:id="2007777414">
      <w:bodyDiv w:val="1"/>
      <w:marLeft w:val="0"/>
      <w:marRight w:val="0"/>
      <w:marTop w:val="0"/>
      <w:marBottom w:val="0"/>
      <w:divBdr>
        <w:top w:val="none" w:sz="0" w:space="0" w:color="auto"/>
        <w:left w:val="none" w:sz="0" w:space="0" w:color="auto"/>
        <w:bottom w:val="none" w:sz="0" w:space="0" w:color="auto"/>
        <w:right w:val="none" w:sz="0" w:space="0" w:color="auto"/>
      </w:divBdr>
    </w:div>
    <w:div w:id="2007902153">
      <w:bodyDiv w:val="1"/>
      <w:marLeft w:val="0"/>
      <w:marRight w:val="0"/>
      <w:marTop w:val="0"/>
      <w:marBottom w:val="0"/>
      <w:divBdr>
        <w:top w:val="none" w:sz="0" w:space="0" w:color="auto"/>
        <w:left w:val="none" w:sz="0" w:space="0" w:color="auto"/>
        <w:bottom w:val="none" w:sz="0" w:space="0" w:color="auto"/>
        <w:right w:val="none" w:sz="0" w:space="0" w:color="auto"/>
      </w:divBdr>
    </w:div>
    <w:div w:id="2008090094">
      <w:bodyDiv w:val="1"/>
      <w:marLeft w:val="0"/>
      <w:marRight w:val="0"/>
      <w:marTop w:val="0"/>
      <w:marBottom w:val="0"/>
      <w:divBdr>
        <w:top w:val="none" w:sz="0" w:space="0" w:color="auto"/>
        <w:left w:val="none" w:sz="0" w:space="0" w:color="auto"/>
        <w:bottom w:val="none" w:sz="0" w:space="0" w:color="auto"/>
        <w:right w:val="none" w:sz="0" w:space="0" w:color="auto"/>
      </w:divBdr>
    </w:div>
    <w:div w:id="2008173518">
      <w:bodyDiv w:val="1"/>
      <w:marLeft w:val="0"/>
      <w:marRight w:val="0"/>
      <w:marTop w:val="0"/>
      <w:marBottom w:val="0"/>
      <w:divBdr>
        <w:top w:val="none" w:sz="0" w:space="0" w:color="auto"/>
        <w:left w:val="none" w:sz="0" w:space="0" w:color="auto"/>
        <w:bottom w:val="none" w:sz="0" w:space="0" w:color="auto"/>
        <w:right w:val="none" w:sz="0" w:space="0" w:color="auto"/>
      </w:divBdr>
    </w:div>
    <w:div w:id="2008249055">
      <w:bodyDiv w:val="1"/>
      <w:marLeft w:val="0"/>
      <w:marRight w:val="0"/>
      <w:marTop w:val="0"/>
      <w:marBottom w:val="0"/>
      <w:divBdr>
        <w:top w:val="none" w:sz="0" w:space="0" w:color="auto"/>
        <w:left w:val="none" w:sz="0" w:space="0" w:color="auto"/>
        <w:bottom w:val="none" w:sz="0" w:space="0" w:color="auto"/>
        <w:right w:val="none" w:sz="0" w:space="0" w:color="auto"/>
      </w:divBdr>
    </w:div>
    <w:div w:id="2008557943">
      <w:bodyDiv w:val="1"/>
      <w:marLeft w:val="0"/>
      <w:marRight w:val="0"/>
      <w:marTop w:val="0"/>
      <w:marBottom w:val="0"/>
      <w:divBdr>
        <w:top w:val="none" w:sz="0" w:space="0" w:color="auto"/>
        <w:left w:val="none" w:sz="0" w:space="0" w:color="auto"/>
        <w:bottom w:val="none" w:sz="0" w:space="0" w:color="auto"/>
        <w:right w:val="none" w:sz="0" w:space="0" w:color="auto"/>
      </w:divBdr>
    </w:div>
    <w:div w:id="2008629764">
      <w:bodyDiv w:val="1"/>
      <w:marLeft w:val="0"/>
      <w:marRight w:val="0"/>
      <w:marTop w:val="0"/>
      <w:marBottom w:val="0"/>
      <w:divBdr>
        <w:top w:val="none" w:sz="0" w:space="0" w:color="auto"/>
        <w:left w:val="none" w:sz="0" w:space="0" w:color="auto"/>
        <w:bottom w:val="none" w:sz="0" w:space="0" w:color="auto"/>
        <w:right w:val="none" w:sz="0" w:space="0" w:color="auto"/>
      </w:divBdr>
    </w:div>
    <w:div w:id="2008634685">
      <w:bodyDiv w:val="1"/>
      <w:marLeft w:val="0"/>
      <w:marRight w:val="0"/>
      <w:marTop w:val="0"/>
      <w:marBottom w:val="0"/>
      <w:divBdr>
        <w:top w:val="none" w:sz="0" w:space="0" w:color="auto"/>
        <w:left w:val="none" w:sz="0" w:space="0" w:color="auto"/>
        <w:bottom w:val="none" w:sz="0" w:space="0" w:color="auto"/>
        <w:right w:val="none" w:sz="0" w:space="0" w:color="auto"/>
      </w:divBdr>
    </w:div>
    <w:div w:id="2008825031">
      <w:bodyDiv w:val="1"/>
      <w:marLeft w:val="0"/>
      <w:marRight w:val="0"/>
      <w:marTop w:val="0"/>
      <w:marBottom w:val="0"/>
      <w:divBdr>
        <w:top w:val="none" w:sz="0" w:space="0" w:color="auto"/>
        <w:left w:val="none" w:sz="0" w:space="0" w:color="auto"/>
        <w:bottom w:val="none" w:sz="0" w:space="0" w:color="auto"/>
        <w:right w:val="none" w:sz="0" w:space="0" w:color="auto"/>
      </w:divBdr>
    </w:div>
    <w:div w:id="2008825493">
      <w:bodyDiv w:val="1"/>
      <w:marLeft w:val="0"/>
      <w:marRight w:val="0"/>
      <w:marTop w:val="0"/>
      <w:marBottom w:val="0"/>
      <w:divBdr>
        <w:top w:val="none" w:sz="0" w:space="0" w:color="auto"/>
        <w:left w:val="none" w:sz="0" w:space="0" w:color="auto"/>
        <w:bottom w:val="none" w:sz="0" w:space="0" w:color="auto"/>
        <w:right w:val="none" w:sz="0" w:space="0" w:color="auto"/>
      </w:divBdr>
    </w:div>
    <w:div w:id="2008895230">
      <w:bodyDiv w:val="1"/>
      <w:marLeft w:val="0"/>
      <w:marRight w:val="0"/>
      <w:marTop w:val="0"/>
      <w:marBottom w:val="0"/>
      <w:divBdr>
        <w:top w:val="none" w:sz="0" w:space="0" w:color="auto"/>
        <w:left w:val="none" w:sz="0" w:space="0" w:color="auto"/>
        <w:bottom w:val="none" w:sz="0" w:space="0" w:color="auto"/>
        <w:right w:val="none" w:sz="0" w:space="0" w:color="auto"/>
      </w:divBdr>
    </w:div>
    <w:div w:id="2008901997">
      <w:bodyDiv w:val="1"/>
      <w:marLeft w:val="0"/>
      <w:marRight w:val="0"/>
      <w:marTop w:val="0"/>
      <w:marBottom w:val="0"/>
      <w:divBdr>
        <w:top w:val="none" w:sz="0" w:space="0" w:color="auto"/>
        <w:left w:val="none" w:sz="0" w:space="0" w:color="auto"/>
        <w:bottom w:val="none" w:sz="0" w:space="0" w:color="auto"/>
        <w:right w:val="none" w:sz="0" w:space="0" w:color="auto"/>
      </w:divBdr>
    </w:div>
    <w:div w:id="2009015182">
      <w:bodyDiv w:val="1"/>
      <w:marLeft w:val="0"/>
      <w:marRight w:val="0"/>
      <w:marTop w:val="0"/>
      <w:marBottom w:val="0"/>
      <w:divBdr>
        <w:top w:val="none" w:sz="0" w:space="0" w:color="auto"/>
        <w:left w:val="none" w:sz="0" w:space="0" w:color="auto"/>
        <w:bottom w:val="none" w:sz="0" w:space="0" w:color="auto"/>
        <w:right w:val="none" w:sz="0" w:space="0" w:color="auto"/>
      </w:divBdr>
    </w:div>
    <w:div w:id="2009015514">
      <w:bodyDiv w:val="1"/>
      <w:marLeft w:val="0"/>
      <w:marRight w:val="0"/>
      <w:marTop w:val="0"/>
      <w:marBottom w:val="0"/>
      <w:divBdr>
        <w:top w:val="none" w:sz="0" w:space="0" w:color="auto"/>
        <w:left w:val="none" w:sz="0" w:space="0" w:color="auto"/>
        <w:bottom w:val="none" w:sz="0" w:space="0" w:color="auto"/>
        <w:right w:val="none" w:sz="0" w:space="0" w:color="auto"/>
      </w:divBdr>
    </w:div>
    <w:div w:id="2009088504">
      <w:bodyDiv w:val="1"/>
      <w:marLeft w:val="0"/>
      <w:marRight w:val="0"/>
      <w:marTop w:val="0"/>
      <w:marBottom w:val="0"/>
      <w:divBdr>
        <w:top w:val="none" w:sz="0" w:space="0" w:color="auto"/>
        <w:left w:val="none" w:sz="0" w:space="0" w:color="auto"/>
        <w:bottom w:val="none" w:sz="0" w:space="0" w:color="auto"/>
        <w:right w:val="none" w:sz="0" w:space="0" w:color="auto"/>
      </w:divBdr>
    </w:div>
    <w:div w:id="2009089140">
      <w:bodyDiv w:val="1"/>
      <w:marLeft w:val="0"/>
      <w:marRight w:val="0"/>
      <w:marTop w:val="0"/>
      <w:marBottom w:val="0"/>
      <w:divBdr>
        <w:top w:val="none" w:sz="0" w:space="0" w:color="auto"/>
        <w:left w:val="none" w:sz="0" w:space="0" w:color="auto"/>
        <w:bottom w:val="none" w:sz="0" w:space="0" w:color="auto"/>
        <w:right w:val="none" w:sz="0" w:space="0" w:color="auto"/>
      </w:divBdr>
    </w:div>
    <w:div w:id="2009089710">
      <w:bodyDiv w:val="1"/>
      <w:marLeft w:val="0"/>
      <w:marRight w:val="0"/>
      <w:marTop w:val="0"/>
      <w:marBottom w:val="0"/>
      <w:divBdr>
        <w:top w:val="none" w:sz="0" w:space="0" w:color="auto"/>
        <w:left w:val="none" w:sz="0" w:space="0" w:color="auto"/>
        <w:bottom w:val="none" w:sz="0" w:space="0" w:color="auto"/>
        <w:right w:val="none" w:sz="0" w:space="0" w:color="auto"/>
      </w:divBdr>
    </w:div>
    <w:div w:id="2009090954">
      <w:bodyDiv w:val="1"/>
      <w:marLeft w:val="0"/>
      <w:marRight w:val="0"/>
      <w:marTop w:val="0"/>
      <w:marBottom w:val="0"/>
      <w:divBdr>
        <w:top w:val="none" w:sz="0" w:space="0" w:color="auto"/>
        <w:left w:val="none" w:sz="0" w:space="0" w:color="auto"/>
        <w:bottom w:val="none" w:sz="0" w:space="0" w:color="auto"/>
        <w:right w:val="none" w:sz="0" w:space="0" w:color="auto"/>
      </w:divBdr>
    </w:div>
    <w:div w:id="2009090965">
      <w:bodyDiv w:val="1"/>
      <w:marLeft w:val="0"/>
      <w:marRight w:val="0"/>
      <w:marTop w:val="0"/>
      <w:marBottom w:val="0"/>
      <w:divBdr>
        <w:top w:val="none" w:sz="0" w:space="0" w:color="auto"/>
        <w:left w:val="none" w:sz="0" w:space="0" w:color="auto"/>
        <w:bottom w:val="none" w:sz="0" w:space="0" w:color="auto"/>
        <w:right w:val="none" w:sz="0" w:space="0" w:color="auto"/>
      </w:divBdr>
    </w:div>
    <w:div w:id="2009287199">
      <w:bodyDiv w:val="1"/>
      <w:marLeft w:val="0"/>
      <w:marRight w:val="0"/>
      <w:marTop w:val="0"/>
      <w:marBottom w:val="0"/>
      <w:divBdr>
        <w:top w:val="none" w:sz="0" w:space="0" w:color="auto"/>
        <w:left w:val="none" w:sz="0" w:space="0" w:color="auto"/>
        <w:bottom w:val="none" w:sz="0" w:space="0" w:color="auto"/>
        <w:right w:val="none" w:sz="0" w:space="0" w:color="auto"/>
      </w:divBdr>
    </w:div>
    <w:div w:id="2009365980">
      <w:bodyDiv w:val="1"/>
      <w:marLeft w:val="0"/>
      <w:marRight w:val="0"/>
      <w:marTop w:val="0"/>
      <w:marBottom w:val="0"/>
      <w:divBdr>
        <w:top w:val="none" w:sz="0" w:space="0" w:color="auto"/>
        <w:left w:val="none" w:sz="0" w:space="0" w:color="auto"/>
        <w:bottom w:val="none" w:sz="0" w:space="0" w:color="auto"/>
        <w:right w:val="none" w:sz="0" w:space="0" w:color="auto"/>
      </w:divBdr>
    </w:div>
    <w:div w:id="2009477335">
      <w:bodyDiv w:val="1"/>
      <w:marLeft w:val="0"/>
      <w:marRight w:val="0"/>
      <w:marTop w:val="0"/>
      <w:marBottom w:val="0"/>
      <w:divBdr>
        <w:top w:val="none" w:sz="0" w:space="0" w:color="auto"/>
        <w:left w:val="none" w:sz="0" w:space="0" w:color="auto"/>
        <w:bottom w:val="none" w:sz="0" w:space="0" w:color="auto"/>
        <w:right w:val="none" w:sz="0" w:space="0" w:color="auto"/>
      </w:divBdr>
    </w:div>
    <w:div w:id="2009483315">
      <w:bodyDiv w:val="1"/>
      <w:marLeft w:val="0"/>
      <w:marRight w:val="0"/>
      <w:marTop w:val="0"/>
      <w:marBottom w:val="0"/>
      <w:divBdr>
        <w:top w:val="none" w:sz="0" w:space="0" w:color="auto"/>
        <w:left w:val="none" w:sz="0" w:space="0" w:color="auto"/>
        <w:bottom w:val="none" w:sz="0" w:space="0" w:color="auto"/>
        <w:right w:val="none" w:sz="0" w:space="0" w:color="auto"/>
      </w:divBdr>
    </w:div>
    <w:div w:id="2009597926">
      <w:bodyDiv w:val="1"/>
      <w:marLeft w:val="0"/>
      <w:marRight w:val="0"/>
      <w:marTop w:val="0"/>
      <w:marBottom w:val="0"/>
      <w:divBdr>
        <w:top w:val="none" w:sz="0" w:space="0" w:color="auto"/>
        <w:left w:val="none" w:sz="0" w:space="0" w:color="auto"/>
        <w:bottom w:val="none" w:sz="0" w:space="0" w:color="auto"/>
        <w:right w:val="none" w:sz="0" w:space="0" w:color="auto"/>
      </w:divBdr>
    </w:div>
    <w:div w:id="2009746466">
      <w:bodyDiv w:val="1"/>
      <w:marLeft w:val="0"/>
      <w:marRight w:val="0"/>
      <w:marTop w:val="0"/>
      <w:marBottom w:val="0"/>
      <w:divBdr>
        <w:top w:val="none" w:sz="0" w:space="0" w:color="auto"/>
        <w:left w:val="none" w:sz="0" w:space="0" w:color="auto"/>
        <w:bottom w:val="none" w:sz="0" w:space="0" w:color="auto"/>
        <w:right w:val="none" w:sz="0" w:space="0" w:color="auto"/>
      </w:divBdr>
    </w:div>
    <w:div w:id="2009820733">
      <w:bodyDiv w:val="1"/>
      <w:marLeft w:val="0"/>
      <w:marRight w:val="0"/>
      <w:marTop w:val="0"/>
      <w:marBottom w:val="0"/>
      <w:divBdr>
        <w:top w:val="none" w:sz="0" w:space="0" w:color="auto"/>
        <w:left w:val="none" w:sz="0" w:space="0" w:color="auto"/>
        <w:bottom w:val="none" w:sz="0" w:space="0" w:color="auto"/>
        <w:right w:val="none" w:sz="0" w:space="0" w:color="auto"/>
      </w:divBdr>
    </w:div>
    <w:div w:id="2009867047">
      <w:bodyDiv w:val="1"/>
      <w:marLeft w:val="0"/>
      <w:marRight w:val="0"/>
      <w:marTop w:val="0"/>
      <w:marBottom w:val="0"/>
      <w:divBdr>
        <w:top w:val="none" w:sz="0" w:space="0" w:color="auto"/>
        <w:left w:val="none" w:sz="0" w:space="0" w:color="auto"/>
        <w:bottom w:val="none" w:sz="0" w:space="0" w:color="auto"/>
        <w:right w:val="none" w:sz="0" w:space="0" w:color="auto"/>
      </w:divBdr>
    </w:div>
    <w:div w:id="2009939503">
      <w:bodyDiv w:val="1"/>
      <w:marLeft w:val="0"/>
      <w:marRight w:val="0"/>
      <w:marTop w:val="0"/>
      <w:marBottom w:val="0"/>
      <w:divBdr>
        <w:top w:val="none" w:sz="0" w:space="0" w:color="auto"/>
        <w:left w:val="none" w:sz="0" w:space="0" w:color="auto"/>
        <w:bottom w:val="none" w:sz="0" w:space="0" w:color="auto"/>
        <w:right w:val="none" w:sz="0" w:space="0" w:color="auto"/>
      </w:divBdr>
    </w:div>
    <w:div w:id="2009944364">
      <w:bodyDiv w:val="1"/>
      <w:marLeft w:val="0"/>
      <w:marRight w:val="0"/>
      <w:marTop w:val="0"/>
      <w:marBottom w:val="0"/>
      <w:divBdr>
        <w:top w:val="none" w:sz="0" w:space="0" w:color="auto"/>
        <w:left w:val="none" w:sz="0" w:space="0" w:color="auto"/>
        <w:bottom w:val="none" w:sz="0" w:space="0" w:color="auto"/>
        <w:right w:val="none" w:sz="0" w:space="0" w:color="auto"/>
      </w:divBdr>
    </w:div>
    <w:div w:id="2010018473">
      <w:bodyDiv w:val="1"/>
      <w:marLeft w:val="0"/>
      <w:marRight w:val="0"/>
      <w:marTop w:val="0"/>
      <w:marBottom w:val="0"/>
      <w:divBdr>
        <w:top w:val="none" w:sz="0" w:space="0" w:color="auto"/>
        <w:left w:val="none" w:sz="0" w:space="0" w:color="auto"/>
        <w:bottom w:val="none" w:sz="0" w:space="0" w:color="auto"/>
        <w:right w:val="none" w:sz="0" w:space="0" w:color="auto"/>
      </w:divBdr>
    </w:div>
    <w:div w:id="2010055964">
      <w:bodyDiv w:val="1"/>
      <w:marLeft w:val="0"/>
      <w:marRight w:val="0"/>
      <w:marTop w:val="0"/>
      <w:marBottom w:val="0"/>
      <w:divBdr>
        <w:top w:val="none" w:sz="0" w:space="0" w:color="auto"/>
        <w:left w:val="none" w:sz="0" w:space="0" w:color="auto"/>
        <w:bottom w:val="none" w:sz="0" w:space="0" w:color="auto"/>
        <w:right w:val="none" w:sz="0" w:space="0" w:color="auto"/>
      </w:divBdr>
    </w:div>
    <w:div w:id="2010138141">
      <w:bodyDiv w:val="1"/>
      <w:marLeft w:val="0"/>
      <w:marRight w:val="0"/>
      <w:marTop w:val="0"/>
      <w:marBottom w:val="0"/>
      <w:divBdr>
        <w:top w:val="none" w:sz="0" w:space="0" w:color="auto"/>
        <w:left w:val="none" w:sz="0" w:space="0" w:color="auto"/>
        <w:bottom w:val="none" w:sz="0" w:space="0" w:color="auto"/>
        <w:right w:val="none" w:sz="0" w:space="0" w:color="auto"/>
      </w:divBdr>
    </w:div>
    <w:div w:id="2010281673">
      <w:bodyDiv w:val="1"/>
      <w:marLeft w:val="0"/>
      <w:marRight w:val="0"/>
      <w:marTop w:val="0"/>
      <w:marBottom w:val="0"/>
      <w:divBdr>
        <w:top w:val="none" w:sz="0" w:space="0" w:color="auto"/>
        <w:left w:val="none" w:sz="0" w:space="0" w:color="auto"/>
        <w:bottom w:val="none" w:sz="0" w:space="0" w:color="auto"/>
        <w:right w:val="none" w:sz="0" w:space="0" w:color="auto"/>
      </w:divBdr>
    </w:div>
    <w:div w:id="2010401647">
      <w:bodyDiv w:val="1"/>
      <w:marLeft w:val="0"/>
      <w:marRight w:val="0"/>
      <w:marTop w:val="0"/>
      <w:marBottom w:val="0"/>
      <w:divBdr>
        <w:top w:val="none" w:sz="0" w:space="0" w:color="auto"/>
        <w:left w:val="none" w:sz="0" w:space="0" w:color="auto"/>
        <w:bottom w:val="none" w:sz="0" w:space="0" w:color="auto"/>
        <w:right w:val="none" w:sz="0" w:space="0" w:color="auto"/>
      </w:divBdr>
    </w:div>
    <w:div w:id="2010449442">
      <w:bodyDiv w:val="1"/>
      <w:marLeft w:val="0"/>
      <w:marRight w:val="0"/>
      <w:marTop w:val="0"/>
      <w:marBottom w:val="0"/>
      <w:divBdr>
        <w:top w:val="none" w:sz="0" w:space="0" w:color="auto"/>
        <w:left w:val="none" w:sz="0" w:space="0" w:color="auto"/>
        <w:bottom w:val="none" w:sz="0" w:space="0" w:color="auto"/>
        <w:right w:val="none" w:sz="0" w:space="0" w:color="auto"/>
      </w:divBdr>
    </w:div>
    <w:div w:id="2010477373">
      <w:bodyDiv w:val="1"/>
      <w:marLeft w:val="0"/>
      <w:marRight w:val="0"/>
      <w:marTop w:val="0"/>
      <w:marBottom w:val="0"/>
      <w:divBdr>
        <w:top w:val="none" w:sz="0" w:space="0" w:color="auto"/>
        <w:left w:val="none" w:sz="0" w:space="0" w:color="auto"/>
        <w:bottom w:val="none" w:sz="0" w:space="0" w:color="auto"/>
        <w:right w:val="none" w:sz="0" w:space="0" w:color="auto"/>
      </w:divBdr>
    </w:div>
    <w:div w:id="2010479906">
      <w:bodyDiv w:val="1"/>
      <w:marLeft w:val="0"/>
      <w:marRight w:val="0"/>
      <w:marTop w:val="0"/>
      <w:marBottom w:val="0"/>
      <w:divBdr>
        <w:top w:val="none" w:sz="0" w:space="0" w:color="auto"/>
        <w:left w:val="none" w:sz="0" w:space="0" w:color="auto"/>
        <w:bottom w:val="none" w:sz="0" w:space="0" w:color="auto"/>
        <w:right w:val="none" w:sz="0" w:space="0" w:color="auto"/>
      </w:divBdr>
    </w:div>
    <w:div w:id="2010525651">
      <w:bodyDiv w:val="1"/>
      <w:marLeft w:val="0"/>
      <w:marRight w:val="0"/>
      <w:marTop w:val="0"/>
      <w:marBottom w:val="0"/>
      <w:divBdr>
        <w:top w:val="none" w:sz="0" w:space="0" w:color="auto"/>
        <w:left w:val="none" w:sz="0" w:space="0" w:color="auto"/>
        <w:bottom w:val="none" w:sz="0" w:space="0" w:color="auto"/>
        <w:right w:val="none" w:sz="0" w:space="0" w:color="auto"/>
      </w:divBdr>
    </w:div>
    <w:div w:id="2010674887">
      <w:bodyDiv w:val="1"/>
      <w:marLeft w:val="0"/>
      <w:marRight w:val="0"/>
      <w:marTop w:val="0"/>
      <w:marBottom w:val="0"/>
      <w:divBdr>
        <w:top w:val="none" w:sz="0" w:space="0" w:color="auto"/>
        <w:left w:val="none" w:sz="0" w:space="0" w:color="auto"/>
        <w:bottom w:val="none" w:sz="0" w:space="0" w:color="auto"/>
        <w:right w:val="none" w:sz="0" w:space="0" w:color="auto"/>
      </w:divBdr>
    </w:div>
    <w:div w:id="2010865916">
      <w:bodyDiv w:val="1"/>
      <w:marLeft w:val="0"/>
      <w:marRight w:val="0"/>
      <w:marTop w:val="0"/>
      <w:marBottom w:val="0"/>
      <w:divBdr>
        <w:top w:val="none" w:sz="0" w:space="0" w:color="auto"/>
        <w:left w:val="none" w:sz="0" w:space="0" w:color="auto"/>
        <w:bottom w:val="none" w:sz="0" w:space="0" w:color="auto"/>
        <w:right w:val="none" w:sz="0" w:space="0" w:color="auto"/>
      </w:divBdr>
    </w:div>
    <w:div w:id="2010866928">
      <w:bodyDiv w:val="1"/>
      <w:marLeft w:val="0"/>
      <w:marRight w:val="0"/>
      <w:marTop w:val="0"/>
      <w:marBottom w:val="0"/>
      <w:divBdr>
        <w:top w:val="none" w:sz="0" w:space="0" w:color="auto"/>
        <w:left w:val="none" w:sz="0" w:space="0" w:color="auto"/>
        <w:bottom w:val="none" w:sz="0" w:space="0" w:color="auto"/>
        <w:right w:val="none" w:sz="0" w:space="0" w:color="auto"/>
      </w:divBdr>
    </w:div>
    <w:div w:id="2010868511">
      <w:bodyDiv w:val="1"/>
      <w:marLeft w:val="0"/>
      <w:marRight w:val="0"/>
      <w:marTop w:val="0"/>
      <w:marBottom w:val="0"/>
      <w:divBdr>
        <w:top w:val="none" w:sz="0" w:space="0" w:color="auto"/>
        <w:left w:val="none" w:sz="0" w:space="0" w:color="auto"/>
        <w:bottom w:val="none" w:sz="0" w:space="0" w:color="auto"/>
        <w:right w:val="none" w:sz="0" w:space="0" w:color="auto"/>
      </w:divBdr>
    </w:div>
    <w:div w:id="2010909388">
      <w:bodyDiv w:val="1"/>
      <w:marLeft w:val="0"/>
      <w:marRight w:val="0"/>
      <w:marTop w:val="0"/>
      <w:marBottom w:val="0"/>
      <w:divBdr>
        <w:top w:val="none" w:sz="0" w:space="0" w:color="auto"/>
        <w:left w:val="none" w:sz="0" w:space="0" w:color="auto"/>
        <w:bottom w:val="none" w:sz="0" w:space="0" w:color="auto"/>
        <w:right w:val="none" w:sz="0" w:space="0" w:color="auto"/>
      </w:divBdr>
    </w:div>
    <w:div w:id="2010979966">
      <w:bodyDiv w:val="1"/>
      <w:marLeft w:val="0"/>
      <w:marRight w:val="0"/>
      <w:marTop w:val="0"/>
      <w:marBottom w:val="0"/>
      <w:divBdr>
        <w:top w:val="none" w:sz="0" w:space="0" w:color="auto"/>
        <w:left w:val="none" w:sz="0" w:space="0" w:color="auto"/>
        <w:bottom w:val="none" w:sz="0" w:space="0" w:color="auto"/>
        <w:right w:val="none" w:sz="0" w:space="0" w:color="auto"/>
      </w:divBdr>
    </w:div>
    <w:div w:id="2011055532">
      <w:bodyDiv w:val="1"/>
      <w:marLeft w:val="0"/>
      <w:marRight w:val="0"/>
      <w:marTop w:val="0"/>
      <w:marBottom w:val="0"/>
      <w:divBdr>
        <w:top w:val="none" w:sz="0" w:space="0" w:color="auto"/>
        <w:left w:val="none" w:sz="0" w:space="0" w:color="auto"/>
        <w:bottom w:val="none" w:sz="0" w:space="0" w:color="auto"/>
        <w:right w:val="none" w:sz="0" w:space="0" w:color="auto"/>
      </w:divBdr>
    </w:div>
    <w:div w:id="2011056373">
      <w:bodyDiv w:val="1"/>
      <w:marLeft w:val="0"/>
      <w:marRight w:val="0"/>
      <w:marTop w:val="0"/>
      <w:marBottom w:val="0"/>
      <w:divBdr>
        <w:top w:val="none" w:sz="0" w:space="0" w:color="auto"/>
        <w:left w:val="none" w:sz="0" w:space="0" w:color="auto"/>
        <w:bottom w:val="none" w:sz="0" w:space="0" w:color="auto"/>
        <w:right w:val="none" w:sz="0" w:space="0" w:color="auto"/>
      </w:divBdr>
    </w:div>
    <w:div w:id="2011132686">
      <w:bodyDiv w:val="1"/>
      <w:marLeft w:val="0"/>
      <w:marRight w:val="0"/>
      <w:marTop w:val="0"/>
      <w:marBottom w:val="0"/>
      <w:divBdr>
        <w:top w:val="none" w:sz="0" w:space="0" w:color="auto"/>
        <w:left w:val="none" w:sz="0" w:space="0" w:color="auto"/>
        <w:bottom w:val="none" w:sz="0" w:space="0" w:color="auto"/>
        <w:right w:val="none" w:sz="0" w:space="0" w:color="auto"/>
      </w:divBdr>
    </w:div>
    <w:div w:id="2011180879">
      <w:bodyDiv w:val="1"/>
      <w:marLeft w:val="0"/>
      <w:marRight w:val="0"/>
      <w:marTop w:val="0"/>
      <w:marBottom w:val="0"/>
      <w:divBdr>
        <w:top w:val="none" w:sz="0" w:space="0" w:color="auto"/>
        <w:left w:val="none" w:sz="0" w:space="0" w:color="auto"/>
        <w:bottom w:val="none" w:sz="0" w:space="0" w:color="auto"/>
        <w:right w:val="none" w:sz="0" w:space="0" w:color="auto"/>
      </w:divBdr>
    </w:div>
    <w:div w:id="2011328497">
      <w:bodyDiv w:val="1"/>
      <w:marLeft w:val="0"/>
      <w:marRight w:val="0"/>
      <w:marTop w:val="0"/>
      <w:marBottom w:val="0"/>
      <w:divBdr>
        <w:top w:val="none" w:sz="0" w:space="0" w:color="auto"/>
        <w:left w:val="none" w:sz="0" w:space="0" w:color="auto"/>
        <w:bottom w:val="none" w:sz="0" w:space="0" w:color="auto"/>
        <w:right w:val="none" w:sz="0" w:space="0" w:color="auto"/>
      </w:divBdr>
    </w:div>
    <w:div w:id="2011329140">
      <w:bodyDiv w:val="1"/>
      <w:marLeft w:val="0"/>
      <w:marRight w:val="0"/>
      <w:marTop w:val="0"/>
      <w:marBottom w:val="0"/>
      <w:divBdr>
        <w:top w:val="none" w:sz="0" w:space="0" w:color="auto"/>
        <w:left w:val="none" w:sz="0" w:space="0" w:color="auto"/>
        <w:bottom w:val="none" w:sz="0" w:space="0" w:color="auto"/>
        <w:right w:val="none" w:sz="0" w:space="0" w:color="auto"/>
      </w:divBdr>
    </w:div>
    <w:div w:id="2011366333">
      <w:bodyDiv w:val="1"/>
      <w:marLeft w:val="0"/>
      <w:marRight w:val="0"/>
      <w:marTop w:val="0"/>
      <w:marBottom w:val="0"/>
      <w:divBdr>
        <w:top w:val="none" w:sz="0" w:space="0" w:color="auto"/>
        <w:left w:val="none" w:sz="0" w:space="0" w:color="auto"/>
        <w:bottom w:val="none" w:sz="0" w:space="0" w:color="auto"/>
        <w:right w:val="none" w:sz="0" w:space="0" w:color="auto"/>
      </w:divBdr>
    </w:div>
    <w:div w:id="2011565603">
      <w:bodyDiv w:val="1"/>
      <w:marLeft w:val="0"/>
      <w:marRight w:val="0"/>
      <w:marTop w:val="0"/>
      <w:marBottom w:val="0"/>
      <w:divBdr>
        <w:top w:val="none" w:sz="0" w:space="0" w:color="auto"/>
        <w:left w:val="none" w:sz="0" w:space="0" w:color="auto"/>
        <w:bottom w:val="none" w:sz="0" w:space="0" w:color="auto"/>
        <w:right w:val="none" w:sz="0" w:space="0" w:color="auto"/>
      </w:divBdr>
    </w:div>
    <w:div w:id="2011636101">
      <w:bodyDiv w:val="1"/>
      <w:marLeft w:val="0"/>
      <w:marRight w:val="0"/>
      <w:marTop w:val="0"/>
      <w:marBottom w:val="0"/>
      <w:divBdr>
        <w:top w:val="none" w:sz="0" w:space="0" w:color="auto"/>
        <w:left w:val="none" w:sz="0" w:space="0" w:color="auto"/>
        <w:bottom w:val="none" w:sz="0" w:space="0" w:color="auto"/>
        <w:right w:val="none" w:sz="0" w:space="0" w:color="auto"/>
      </w:divBdr>
    </w:div>
    <w:div w:id="2011640659">
      <w:bodyDiv w:val="1"/>
      <w:marLeft w:val="0"/>
      <w:marRight w:val="0"/>
      <w:marTop w:val="0"/>
      <w:marBottom w:val="0"/>
      <w:divBdr>
        <w:top w:val="none" w:sz="0" w:space="0" w:color="auto"/>
        <w:left w:val="none" w:sz="0" w:space="0" w:color="auto"/>
        <w:bottom w:val="none" w:sz="0" w:space="0" w:color="auto"/>
        <w:right w:val="none" w:sz="0" w:space="0" w:color="auto"/>
      </w:divBdr>
    </w:div>
    <w:div w:id="2011712581">
      <w:bodyDiv w:val="1"/>
      <w:marLeft w:val="0"/>
      <w:marRight w:val="0"/>
      <w:marTop w:val="0"/>
      <w:marBottom w:val="0"/>
      <w:divBdr>
        <w:top w:val="none" w:sz="0" w:space="0" w:color="auto"/>
        <w:left w:val="none" w:sz="0" w:space="0" w:color="auto"/>
        <w:bottom w:val="none" w:sz="0" w:space="0" w:color="auto"/>
        <w:right w:val="none" w:sz="0" w:space="0" w:color="auto"/>
      </w:divBdr>
    </w:div>
    <w:div w:id="2011717900">
      <w:bodyDiv w:val="1"/>
      <w:marLeft w:val="0"/>
      <w:marRight w:val="0"/>
      <w:marTop w:val="0"/>
      <w:marBottom w:val="0"/>
      <w:divBdr>
        <w:top w:val="none" w:sz="0" w:space="0" w:color="auto"/>
        <w:left w:val="none" w:sz="0" w:space="0" w:color="auto"/>
        <w:bottom w:val="none" w:sz="0" w:space="0" w:color="auto"/>
        <w:right w:val="none" w:sz="0" w:space="0" w:color="auto"/>
      </w:divBdr>
    </w:div>
    <w:div w:id="2011760247">
      <w:bodyDiv w:val="1"/>
      <w:marLeft w:val="0"/>
      <w:marRight w:val="0"/>
      <w:marTop w:val="0"/>
      <w:marBottom w:val="0"/>
      <w:divBdr>
        <w:top w:val="none" w:sz="0" w:space="0" w:color="auto"/>
        <w:left w:val="none" w:sz="0" w:space="0" w:color="auto"/>
        <w:bottom w:val="none" w:sz="0" w:space="0" w:color="auto"/>
        <w:right w:val="none" w:sz="0" w:space="0" w:color="auto"/>
      </w:divBdr>
    </w:div>
    <w:div w:id="2012026746">
      <w:bodyDiv w:val="1"/>
      <w:marLeft w:val="0"/>
      <w:marRight w:val="0"/>
      <w:marTop w:val="0"/>
      <w:marBottom w:val="0"/>
      <w:divBdr>
        <w:top w:val="none" w:sz="0" w:space="0" w:color="auto"/>
        <w:left w:val="none" w:sz="0" w:space="0" w:color="auto"/>
        <w:bottom w:val="none" w:sz="0" w:space="0" w:color="auto"/>
        <w:right w:val="none" w:sz="0" w:space="0" w:color="auto"/>
      </w:divBdr>
    </w:div>
    <w:div w:id="2012173013">
      <w:bodyDiv w:val="1"/>
      <w:marLeft w:val="0"/>
      <w:marRight w:val="0"/>
      <w:marTop w:val="0"/>
      <w:marBottom w:val="0"/>
      <w:divBdr>
        <w:top w:val="none" w:sz="0" w:space="0" w:color="auto"/>
        <w:left w:val="none" w:sz="0" w:space="0" w:color="auto"/>
        <w:bottom w:val="none" w:sz="0" w:space="0" w:color="auto"/>
        <w:right w:val="none" w:sz="0" w:space="0" w:color="auto"/>
      </w:divBdr>
    </w:div>
    <w:div w:id="2012173173">
      <w:bodyDiv w:val="1"/>
      <w:marLeft w:val="0"/>
      <w:marRight w:val="0"/>
      <w:marTop w:val="0"/>
      <w:marBottom w:val="0"/>
      <w:divBdr>
        <w:top w:val="none" w:sz="0" w:space="0" w:color="auto"/>
        <w:left w:val="none" w:sz="0" w:space="0" w:color="auto"/>
        <w:bottom w:val="none" w:sz="0" w:space="0" w:color="auto"/>
        <w:right w:val="none" w:sz="0" w:space="0" w:color="auto"/>
      </w:divBdr>
    </w:div>
    <w:div w:id="2012370999">
      <w:bodyDiv w:val="1"/>
      <w:marLeft w:val="0"/>
      <w:marRight w:val="0"/>
      <w:marTop w:val="0"/>
      <w:marBottom w:val="0"/>
      <w:divBdr>
        <w:top w:val="none" w:sz="0" w:space="0" w:color="auto"/>
        <w:left w:val="none" w:sz="0" w:space="0" w:color="auto"/>
        <w:bottom w:val="none" w:sz="0" w:space="0" w:color="auto"/>
        <w:right w:val="none" w:sz="0" w:space="0" w:color="auto"/>
      </w:divBdr>
    </w:div>
    <w:div w:id="2012444216">
      <w:bodyDiv w:val="1"/>
      <w:marLeft w:val="0"/>
      <w:marRight w:val="0"/>
      <w:marTop w:val="0"/>
      <w:marBottom w:val="0"/>
      <w:divBdr>
        <w:top w:val="none" w:sz="0" w:space="0" w:color="auto"/>
        <w:left w:val="none" w:sz="0" w:space="0" w:color="auto"/>
        <w:bottom w:val="none" w:sz="0" w:space="0" w:color="auto"/>
        <w:right w:val="none" w:sz="0" w:space="0" w:color="auto"/>
      </w:divBdr>
    </w:div>
    <w:div w:id="2012445442">
      <w:bodyDiv w:val="1"/>
      <w:marLeft w:val="0"/>
      <w:marRight w:val="0"/>
      <w:marTop w:val="0"/>
      <w:marBottom w:val="0"/>
      <w:divBdr>
        <w:top w:val="none" w:sz="0" w:space="0" w:color="auto"/>
        <w:left w:val="none" w:sz="0" w:space="0" w:color="auto"/>
        <w:bottom w:val="none" w:sz="0" w:space="0" w:color="auto"/>
        <w:right w:val="none" w:sz="0" w:space="0" w:color="auto"/>
      </w:divBdr>
    </w:div>
    <w:div w:id="2012566594">
      <w:bodyDiv w:val="1"/>
      <w:marLeft w:val="0"/>
      <w:marRight w:val="0"/>
      <w:marTop w:val="0"/>
      <w:marBottom w:val="0"/>
      <w:divBdr>
        <w:top w:val="none" w:sz="0" w:space="0" w:color="auto"/>
        <w:left w:val="none" w:sz="0" w:space="0" w:color="auto"/>
        <w:bottom w:val="none" w:sz="0" w:space="0" w:color="auto"/>
        <w:right w:val="none" w:sz="0" w:space="0" w:color="auto"/>
      </w:divBdr>
    </w:div>
    <w:div w:id="2012642199">
      <w:bodyDiv w:val="1"/>
      <w:marLeft w:val="0"/>
      <w:marRight w:val="0"/>
      <w:marTop w:val="0"/>
      <w:marBottom w:val="0"/>
      <w:divBdr>
        <w:top w:val="none" w:sz="0" w:space="0" w:color="auto"/>
        <w:left w:val="none" w:sz="0" w:space="0" w:color="auto"/>
        <w:bottom w:val="none" w:sz="0" w:space="0" w:color="auto"/>
        <w:right w:val="none" w:sz="0" w:space="0" w:color="auto"/>
      </w:divBdr>
    </w:div>
    <w:div w:id="2012683303">
      <w:bodyDiv w:val="1"/>
      <w:marLeft w:val="0"/>
      <w:marRight w:val="0"/>
      <w:marTop w:val="0"/>
      <w:marBottom w:val="0"/>
      <w:divBdr>
        <w:top w:val="none" w:sz="0" w:space="0" w:color="auto"/>
        <w:left w:val="none" w:sz="0" w:space="0" w:color="auto"/>
        <w:bottom w:val="none" w:sz="0" w:space="0" w:color="auto"/>
        <w:right w:val="none" w:sz="0" w:space="0" w:color="auto"/>
      </w:divBdr>
    </w:div>
    <w:div w:id="2012754163">
      <w:bodyDiv w:val="1"/>
      <w:marLeft w:val="0"/>
      <w:marRight w:val="0"/>
      <w:marTop w:val="0"/>
      <w:marBottom w:val="0"/>
      <w:divBdr>
        <w:top w:val="none" w:sz="0" w:space="0" w:color="auto"/>
        <w:left w:val="none" w:sz="0" w:space="0" w:color="auto"/>
        <w:bottom w:val="none" w:sz="0" w:space="0" w:color="auto"/>
        <w:right w:val="none" w:sz="0" w:space="0" w:color="auto"/>
      </w:divBdr>
    </w:div>
    <w:div w:id="2012874836">
      <w:bodyDiv w:val="1"/>
      <w:marLeft w:val="0"/>
      <w:marRight w:val="0"/>
      <w:marTop w:val="0"/>
      <w:marBottom w:val="0"/>
      <w:divBdr>
        <w:top w:val="none" w:sz="0" w:space="0" w:color="auto"/>
        <w:left w:val="none" w:sz="0" w:space="0" w:color="auto"/>
        <w:bottom w:val="none" w:sz="0" w:space="0" w:color="auto"/>
        <w:right w:val="none" w:sz="0" w:space="0" w:color="auto"/>
      </w:divBdr>
    </w:div>
    <w:div w:id="2013020675">
      <w:bodyDiv w:val="1"/>
      <w:marLeft w:val="0"/>
      <w:marRight w:val="0"/>
      <w:marTop w:val="0"/>
      <w:marBottom w:val="0"/>
      <w:divBdr>
        <w:top w:val="none" w:sz="0" w:space="0" w:color="auto"/>
        <w:left w:val="none" w:sz="0" w:space="0" w:color="auto"/>
        <w:bottom w:val="none" w:sz="0" w:space="0" w:color="auto"/>
        <w:right w:val="none" w:sz="0" w:space="0" w:color="auto"/>
      </w:divBdr>
    </w:div>
    <w:div w:id="2013021686">
      <w:bodyDiv w:val="1"/>
      <w:marLeft w:val="0"/>
      <w:marRight w:val="0"/>
      <w:marTop w:val="0"/>
      <w:marBottom w:val="0"/>
      <w:divBdr>
        <w:top w:val="none" w:sz="0" w:space="0" w:color="auto"/>
        <w:left w:val="none" w:sz="0" w:space="0" w:color="auto"/>
        <w:bottom w:val="none" w:sz="0" w:space="0" w:color="auto"/>
        <w:right w:val="none" w:sz="0" w:space="0" w:color="auto"/>
      </w:divBdr>
    </w:div>
    <w:div w:id="2013069566">
      <w:bodyDiv w:val="1"/>
      <w:marLeft w:val="0"/>
      <w:marRight w:val="0"/>
      <w:marTop w:val="0"/>
      <w:marBottom w:val="0"/>
      <w:divBdr>
        <w:top w:val="none" w:sz="0" w:space="0" w:color="auto"/>
        <w:left w:val="none" w:sz="0" w:space="0" w:color="auto"/>
        <w:bottom w:val="none" w:sz="0" w:space="0" w:color="auto"/>
        <w:right w:val="none" w:sz="0" w:space="0" w:color="auto"/>
      </w:divBdr>
    </w:div>
    <w:div w:id="2013137878">
      <w:bodyDiv w:val="1"/>
      <w:marLeft w:val="0"/>
      <w:marRight w:val="0"/>
      <w:marTop w:val="0"/>
      <w:marBottom w:val="0"/>
      <w:divBdr>
        <w:top w:val="none" w:sz="0" w:space="0" w:color="auto"/>
        <w:left w:val="none" w:sz="0" w:space="0" w:color="auto"/>
        <w:bottom w:val="none" w:sz="0" w:space="0" w:color="auto"/>
        <w:right w:val="none" w:sz="0" w:space="0" w:color="auto"/>
      </w:divBdr>
    </w:div>
    <w:div w:id="2013143695">
      <w:bodyDiv w:val="1"/>
      <w:marLeft w:val="0"/>
      <w:marRight w:val="0"/>
      <w:marTop w:val="0"/>
      <w:marBottom w:val="0"/>
      <w:divBdr>
        <w:top w:val="none" w:sz="0" w:space="0" w:color="auto"/>
        <w:left w:val="none" w:sz="0" w:space="0" w:color="auto"/>
        <w:bottom w:val="none" w:sz="0" w:space="0" w:color="auto"/>
        <w:right w:val="none" w:sz="0" w:space="0" w:color="auto"/>
      </w:divBdr>
    </w:div>
    <w:div w:id="2013213008">
      <w:bodyDiv w:val="1"/>
      <w:marLeft w:val="0"/>
      <w:marRight w:val="0"/>
      <w:marTop w:val="0"/>
      <w:marBottom w:val="0"/>
      <w:divBdr>
        <w:top w:val="none" w:sz="0" w:space="0" w:color="auto"/>
        <w:left w:val="none" w:sz="0" w:space="0" w:color="auto"/>
        <w:bottom w:val="none" w:sz="0" w:space="0" w:color="auto"/>
        <w:right w:val="none" w:sz="0" w:space="0" w:color="auto"/>
      </w:divBdr>
    </w:div>
    <w:div w:id="2013288735">
      <w:bodyDiv w:val="1"/>
      <w:marLeft w:val="0"/>
      <w:marRight w:val="0"/>
      <w:marTop w:val="0"/>
      <w:marBottom w:val="0"/>
      <w:divBdr>
        <w:top w:val="none" w:sz="0" w:space="0" w:color="auto"/>
        <w:left w:val="none" w:sz="0" w:space="0" w:color="auto"/>
        <w:bottom w:val="none" w:sz="0" w:space="0" w:color="auto"/>
        <w:right w:val="none" w:sz="0" w:space="0" w:color="auto"/>
      </w:divBdr>
    </w:div>
    <w:div w:id="2013335096">
      <w:bodyDiv w:val="1"/>
      <w:marLeft w:val="0"/>
      <w:marRight w:val="0"/>
      <w:marTop w:val="0"/>
      <w:marBottom w:val="0"/>
      <w:divBdr>
        <w:top w:val="none" w:sz="0" w:space="0" w:color="auto"/>
        <w:left w:val="none" w:sz="0" w:space="0" w:color="auto"/>
        <w:bottom w:val="none" w:sz="0" w:space="0" w:color="auto"/>
        <w:right w:val="none" w:sz="0" w:space="0" w:color="auto"/>
      </w:divBdr>
    </w:div>
    <w:div w:id="2013411197">
      <w:bodyDiv w:val="1"/>
      <w:marLeft w:val="0"/>
      <w:marRight w:val="0"/>
      <w:marTop w:val="0"/>
      <w:marBottom w:val="0"/>
      <w:divBdr>
        <w:top w:val="none" w:sz="0" w:space="0" w:color="auto"/>
        <w:left w:val="none" w:sz="0" w:space="0" w:color="auto"/>
        <w:bottom w:val="none" w:sz="0" w:space="0" w:color="auto"/>
        <w:right w:val="none" w:sz="0" w:space="0" w:color="auto"/>
      </w:divBdr>
    </w:div>
    <w:div w:id="2013531538">
      <w:bodyDiv w:val="1"/>
      <w:marLeft w:val="0"/>
      <w:marRight w:val="0"/>
      <w:marTop w:val="0"/>
      <w:marBottom w:val="0"/>
      <w:divBdr>
        <w:top w:val="none" w:sz="0" w:space="0" w:color="auto"/>
        <w:left w:val="none" w:sz="0" w:space="0" w:color="auto"/>
        <w:bottom w:val="none" w:sz="0" w:space="0" w:color="auto"/>
        <w:right w:val="none" w:sz="0" w:space="0" w:color="auto"/>
      </w:divBdr>
    </w:div>
    <w:div w:id="2013533214">
      <w:bodyDiv w:val="1"/>
      <w:marLeft w:val="0"/>
      <w:marRight w:val="0"/>
      <w:marTop w:val="0"/>
      <w:marBottom w:val="0"/>
      <w:divBdr>
        <w:top w:val="none" w:sz="0" w:space="0" w:color="auto"/>
        <w:left w:val="none" w:sz="0" w:space="0" w:color="auto"/>
        <w:bottom w:val="none" w:sz="0" w:space="0" w:color="auto"/>
        <w:right w:val="none" w:sz="0" w:space="0" w:color="auto"/>
      </w:divBdr>
    </w:div>
    <w:div w:id="2013599943">
      <w:bodyDiv w:val="1"/>
      <w:marLeft w:val="0"/>
      <w:marRight w:val="0"/>
      <w:marTop w:val="0"/>
      <w:marBottom w:val="0"/>
      <w:divBdr>
        <w:top w:val="none" w:sz="0" w:space="0" w:color="auto"/>
        <w:left w:val="none" w:sz="0" w:space="0" w:color="auto"/>
        <w:bottom w:val="none" w:sz="0" w:space="0" w:color="auto"/>
        <w:right w:val="none" w:sz="0" w:space="0" w:color="auto"/>
      </w:divBdr>
    </w:div>
    <w:div w:id="2013677365">
      <w:bodyDiv w:val="1"/>
      <w:marLeft w:val="0"/>
      <w:marRight w:val="0"/>
      <w:marTop w:val="0"/>
      <w:marBottom w:val="0"/>
      <w:divBdr>
        <w:top w:val="none" w:sz="0" w:space="0" w:color="auto"/>
        <w:left w:val="none" w:sz="0" w:space="0" w:color="auto"/>
        <w:bottom w:val="none" w:sz="0" w:space="0" w:color="auto"/>
        <w:right w:val="none" w:sz="0" w:space="0" w:color="auto"/>
      </w:divBdr>
    </w:div>
    <w:div w:id="2013682050">
      <w:bodyDiv w:val="1"/>
      <w:marLeft w:val="0"/>
      <w:marRight w:val="0"/>
      <w:marTop w:val="0"/>
      <w:marBottom w:val="0"/>
      <w:divBdr>
        <w:top w:val="none" w:sz="0" w:space="0" w:color="auto"/>
        <w:left w:val="none" w:sz="0" w:space="0" w:color="auto"/>
        <w:bottom w:val="none" w:sz="0" w:space="0" w:color="auto"/>
        <w:right w:val="none" w:sz="0" w:space="0" w:color="auto"/>
      </w:divBdr>
    </w:div>
    <w:div w:id="2013755714">
      <w:bodyDiv w:val="1"/>
      <w:marLeft w:val="0"/>
      <w:marRight w:val="0"/>
      <w:marTop w:val="0"/>
      <w:marBottom w:val="0"/>
      <w:divBdr>
        <w:top w:val="none" w:sz="0" w:space="0" w:color="auto"/>
        <w:left w:val="none" w:sz="0" w:space="0" w:color="auto"/>
        <w:bottom w:val="none" w:sz="0" w:space="0" w:color="auto"/>
        <w:right w:val="none" w:sz="0" w:space="0" w:color="auto"/>
      </w:divBdr>
    </w:div>
    <w:div w:id="2013797233">
      <w:bodyDiv w:val="1"/>
      <w:marLeft w:val="0"/>
      <w:marRight w:val="0"/>
      <w:marTop w:val="0"/>
      <w:marBottom w:val="0"/>
      <w:divBdr>
        <w:top w:val="none" w:sz="0" w:space="0" w:color="auto"/>
        <w:left w:val="none" w:sz="0" w:space="0" w:color="auto"/>
        <w:bottom w:val="none" w:sz="0" w:space="0" w:color="auto"/>
        <w:right w:val="none" w:sz="0" w:space="0" w:color="auto"/>
      </w:divBdr>
    </w:div>
    <w:div w:id="2013800698">
      <w:bodyDiv w:val="1"/>
      <w:marLeft w:val="0"/>
      <w:marRight w:val="0"/>
      <w:marTop w:val="0"/>
      <w:marBottom w:val="0"/>
      <w:divBdr>
        <w:top w:val="none" w:sz="0" w:space="0" w:color="auto"/>
        <w:left w:val="none" w:sz="0" w:space="0" w:color="auto"/>
        <w:bottom w:val="none" w:sz="0" w:space="0" w:color="auto"/>
        <w:right w:val="none" w:sz="0" w:space="0" w:color="auto"/>
      </w:divBdr>
    </w:div>
    <w:div w:id="2013946459">
      <w:bodyDiv w:val="1"/>
      <w:marLeft w:val="0"/>
      <w:marRight w:val="0"/>
      <w:marTop w:val="0"/>
      <w:marBottom w:val="0"/>
      <w:divBdr>
        <w:top w:val="none" w:sz="0" w:space="0" w:color="auto"/>
        <w:left w:val="none" w:sz="0" w:space="0" w:color="auto"/>
        <w:bottom w:val="none" w:sz="0" w:space="0" w:color="auto"/>
        <w:right w:val="none" w:sz="0" w:space="0" w:color="auto"/>
      </w:divBdr>
    </w:div>
    <w:div w:id="2013948862">
      <w:bodyDiv w:val="1"/>
      <w:marLeft w:val="0"/>
      <w:marRight w:val="0"/>
      <w:marTop w:val="0"/>
      <w:marBottom w:val="0"/>
      <w:divBdr>
        <w:top w:val="none" w:sz="0" w:space="0" w:color="auto"/>
        <w:left w:val="none" w:sz="0" w:space="0" w:color="auto"/>
        <w:bottom w:val="none" w:sz="0" w:space="0" w:color="auto"/>
        <w:right w:val="none" w:sz="0" w:space="0" w:color="auto"/>
      </w:divBdr>
    </w:div>
    <w:div w:id="2013989810">
      <w:bodyDiv w:val="1"/>
      <w:marLeft w:val="0"/>
      <w:marRight w:val="0"/>
      <w:marTop w:val="0"/>
      <w:marBottom w:val="0"/>
      <w:divBdr>
        <w:top w:val="none" w:sz="0" w:space="0" w:color="auto"/>
        <w:left w:val="none" w:sz="0" w:space="0" w:color="auto"/>
        <w:bottom w:val="none" w:sz="0" w:space="0" w:color="auto"/>
        <w:right w:val="none" w:sz="0" w:space="0" w:color="auto"/>
      </w:divBdr>
    </w:div>
    <w:div w:id="2013992076">
      <w:bodyDiv w:val="1"/>
      <w:marLeft w:val="0"/>
      <w:marRight w:val="0"/>
      <w:marTop w:val="0"/>
      <w:marBottom w:val="0"/>
      <w:divBdr>
        <w:top w:val="none" w:sz="0" w:space="0" w:color="auto"/>
        <w:left w:val="none" w:sz="0" w:space="0" w:color="auto"/>
        <w:bottom w:val="none" w:sz="0" w:space="0" w:color="auto"/>
        <w:right w:val="none" w:sz="0" w:space="0" w:color="auto"/>
      </w:divBdr>
    </w:div>
    <w:div w:id="2014140488">
      <w:bodyDiv w:val="1"/>
      <w:marLeft w:val="0"/>
      <w:marRight w:val="0"/>
      <w:marTop w:val="0"/>
      <w:marBottom w:val="0"/>
      <w:divBdr>
        <w:top w:val="none" w:sz="0" w:space="0" w:color="auto"/>
        <w:left w:val="none" w:sz="0" w:space="0" w:color="auto"/>
        <w:bottom w:val="none" w:sz="0" w:space="0" w:color="auto"/>
        <w:right w:val="none" w:sz="0" w:space="0" w:color="auto"/>
      </w:divBdr>
    </w:div>
    <w:div w:id="2014260591">
      <w:bodyDiv w:val="1"/>
      <w:marLeft w:val="0"/>
      <w:marRight w:val="0"/>
      <w:marTop w:val="0"/>
      <w:marBottom w:val="0"/>
      <w:divBdr>
        <w:top w:val="none" w:sz="0" w:space="0" w:color="auto"/>
        <w:left w:val="none" w:sz="0" w:space="0" w:color="auto"/>
        <w:bottom w:val="none" w:sz="0" w:space="0" w:color="auto"/>
        <w:right w:val="none" w:sz="0" w:space="0" w:color="auto"/>
      </w:divBdr>
    </w:div>
    <w:div w:id="2014260661">
      <w:bodyDiv w:val="1"/>
      <w:marLeft w:val="0"/>
      <w:marRight w:val="0"/>
      <w:marTop w:val="0"/>
      <w:marBottom w:val="0"/>
      <w:divBdr>
        <w:top w:val="none" w:sz="0" w:space="0" w:color="auto"/>
        <w:left w:val="none" w:sz="0" w:space="0" w:color="auto"/>
        <w:bottom w:val="none" w:sz="0" w:space="0" w:color="auto"/>
        <w:right w:val="none" w:sz="0" w:space="0" w:color="auto"/>
      </w:divBdr>
    </w:div>
    <w:div w:id="2014260974">
      <w:bodyDiv w:val="1"/>
      <w:marLeft w:val="0"/>
      <w:marRight w:val="0"/>
      <w:marTop w:val="0"/>
      <w:marBottom w:val="0"/>
      <w:divBdr>
        <w:top w:val="none" w:sz="0" w:space="0" w:color="auto"/>
        <w:left w:val="none" w:sz="0" w:space="0" w:color="auto"/>
        <w:bottom w:val="none" w:sz="0" w:space="0" w:color="auto"/>
        <w:right w:val="none" w:sz="0" w:space="0" w:color="auto"/>
      </w:divBdr>
    </w:div>
    <w:div w:id="2014263915">
      <w:bodyDiv w:val="1"/>
      <w:marLeft w:val="0"/>
      <w:marRight w:val="0"/>
      <w:marTop w:val="0"/>
      <w:marBottom w:val="0"/>
      <w:divBdr>
        <w:top w:val="none" w:sz="0" w:space="0" w:color="auto"/>
        <w:left w:val="none" w:sz="0" w:space="0" w:color="auto"/>
        <w:bottom w:val="none" w:sz="0" w:space="0" w:color="auto"/>
        <w:right w:val="none" w:sz="0" w:space="0" w:color="auto"/>
      </w:divBdr>
    </w:div>
    <w:div w:id="2014411045">
      <w:bodyDiv w:val="1"/>
      <w:marLeft w:val="0"/>
      <w:marRight w:val="0"/>
      <w:marTop w:val="0"/>
      <w:marBottom w:val="0"/>
      <w:divBdr>
        <w:top w:val="none" w:sz="0" w:space="0" w:color="auto"/>
        <w:left w:val="none" w:sz="0" w:space="0" w:color="auto"/>
        <w:bottom w:val="none" w:sz="0" w:space="0" w:color="auto"/>
        <w:right w:val="none" w:sz="0" w:space="0" w:color="auto"/>
      </w:divBdr>
    </w:div>
    <w:div w:id="2014527438">
      <w:bodyDiv w:val="1"/>
      <w:marLeft w:val="0"/>
      <w:marRight w:val="0"/>
      <w:marTop w:val="0"/>
      <w:marBottom w:val="0"/>
      <w:divBdr>
        <w:top w:val="none" w:sz="0" w:space="0" w:color="auto"/>
        <w:left w:val="none" w:sz="0" w:space="0" w:color="auto"/>
        <w:bottom w:val="none" w:sz="0" w:space="0" w:color="auto"/>
        <w:right w:val="none" w:sz="0" w:space="0" w:color="auto"/>
      </w:divBdr>
    </w:div>
    <w:div w:id="2014599818">
      <w:bodyDiv w:val="1"/>
      <w:marLeft w:val="0"/>
      <w:marRight w:val="0"/>
      <w:marTop w:val="0"/>
      <w:marBottom w:val="0"/>
      <w:divBdr>
        <w:top w:val="none" w:sz="0" w:space="0" w:color="auto"/>
        <w:left w:val="none" w:sz="0" w:space="0" w:color="auto"/>
        <w:bottom w:val="none" w:sz="0" w:space="0" w:color="auto"/>
        <w:right w:val="none" w:sz="0" w:space="0" w:color="auto"/>
      </w:divBdr>
    </w:div>
    <w:div w:id="2014797615">
      <w:bodyDiv w:val="1"/>
      <w:marLeft w:val="0"/>
      <w:marRight w:val="0"/>
      <w:marTop w:val="0"/>
      <w:marBottom w:val="0"/>
      <w:divBdr>
        <w:top w:val="none" w:sz="0" w:space="0" w:color="auto"/>
        <w:left w:val="none" w:sz="0" w:space="0" w:color="auto"/>
        <w:bottom w:val="none" w:sz="0" w:space="0" w:color="auto"/>
        <w:right w:val="none" w:sz="0" w:space="0" w:color="auto"/>
      </w:divBdr>
    </w:div>
    <w:div w:id="2014871376">
      <w:bodyDiv w:val="1"/>
      <w:marLeft w:val="0"/>
      <w:marRight w:val="0"/>
      <w:marTop w:val="0"/>
      <w:marBottom w:val="0"/>
      <w:divBdr>
        <w:top w:val="none" w:sz="0" w:space="0" w:color="auto"/>
        <w:left w:val="none" w:sz="0" w:space="0" w:color="auto"/>
        <w:bottom w:val="none" w:sz="0" w:space="0" w:color="auto"/>
        <w:right w:val="none" w:sz="0" w:space="0" w:color="auto"/>
      </w:divBdr>
    </w:div>
    <w:div w:id="2015064224">
      <w:bodyDiv w:val="1"/>
      <w:marLeft w:val="0"/>
      <w:marRight w:val="0"/>
      <w:marTop w:val="0"/>
      <w:marBottom w:val="0"/>
      <w:divBdr>
        <w:top w:val="none" w:sz="0" w:space="0" w:color="auto"/>
        <w:left w:val="none" w:sz="0" w:space="0" w:color="auto"/>
        <w:bottom w:val="none" w:sz="0" w:space="0" w:color="auto"/>
        <w:right w:val="none" w:sz="0" w:space="0" w:color="auto"/>
      </w:divBdr>
    </w:div>
    <w:div w:id="2015261690">
      <w:bodyDiv w:val="1"/>
      <w:marLeft w:val="0"/>
      <w:marRight w:val="0"/>
      <w:marTop w:val="0"/>
      <w:marBottom w:val="0"/>
      <w:divBdr>
        <w:top w:val="none" w:sz="0" w:space="0" w:color="auto"/>
        <w:left w:val="none" w:sz="0" w:space="0" w:color="auto"/>
        <w:bottom w:val="none" w:sz="0" w:space="0" w:color="auto"/>
        <w:right w:val="none" w:sz="0" w:space="0" w:color="auto"/>
      </w:divBdr>
    </w:div>
    <w:div w:id="2015378183">
      <w:bodyDiv w:val="1"/>
      <w:marLeft w:val="0"/>
      <w:marRight w:val="0"/>
      <w:marTop w:val="0"/>
      <w:marBottom w:val="0"/>
      <w:divBdr>
        <w:top w:val="none" w:sz="0" w:space="0" w:color="auto"/>
        <w:left w:val="none" w:sz="0" w:space="0" w:color="auto"/>
        <w:bottom w:val="none" w:sz="0" w:space="0" w:color="auto"/>
        <w:right w:val="none" w:sz="0" w:space="0" w:color="auto"/>
      </w:divBdr>
    </w:div>
    <w:div w:id="2015454227">
      <w:bodyDiv w:val="1"/>
      <w:marLeft w:val="0"/>
      <w:marRight w:val="0"/>
      <w:marTop w:val="0"/>
      <w:marBottom w:val="0"/>
      <w:divBdr>
        <w:top w:val="none" w:sz="0" w:space="0" w:color="auto"/>
        <w:left w:val="none" w:sz="0" w:space="0" w:color="auto"/>
        <w:bottom w:val="none" w:sz="0" w:space="0" w:color="auto"/>
        <w:right w:val="none" w:sz="0" w:space="0" w:color="auto"/>
      </w:divBdr>
    </w:div>
    <w:div w:id="2015457079">
      <w:bodyDiv w:val="1"/>
      <w:marLeft w:val="0"/>
      <w:marRight w:val="0"/>
      <w:marTop w:val="0"/>
      <w:marBottom w:val="0"/>
      <w:divBdr>
        <w:top w:val="none" w:sz="0" w:space="0" w:color="auto"/>
        <w:left w:val="none" w:sz="0" w:space="0" w:color="auto"/>
        <w:bottom w:val="none" w:sz="0" w:space="0" w:color="auto"/>
        <w:right w:val="none" w:sz="0" w:space="0" w:color="auto"/>
      </w:divBdr>
    </w:div>
    <w:div w:id="2015499583">
      <w:bodyDiv w:val="1"/>
      <w:marLeft w:val="0"/>
      <w:marRight w:val="0"/>
      <w:marTop w:val="0"/>
      <w:marBottom w:val="0"/>
      <w:divBdr>
        <w:top w:val="none" w:sz="0" w:space="0" w:color="auto"/>
        <w:left w:val="none" w:sz="0" w:space="0" w:color="auto"/>
        <w:bottom w:val="none" w:sz="0" w:space="0" w:color="auto"/>
        <w:right w:val="none" w:sz="0" w:space="0" w:color="auto"/>
      </w:divBdr>
    </w:div>
    <w:div w:id="2015644304">
      <w:bodyDiv w:val="1"/>
      <w:marLeft w:val="0"/>
      <w:marRight w:val="0"/>
      <w:marTop w:val="0"/>
      <w:marBottom w:val="0"/>
      <w:divBdr>
        <w:top w:val="none" w:sz="0" w:space="0" w:color="auto"/>
        <w:left w:val="none" w:sz="0" w:space="0" w:color="auto"/>
        <w:bottom w:val="none" w:sz="0" w:space="0" w:color="auto"/>
        <w:right w:val="none" w:sz="0" w:space="0" w:color="auto"/>
      </w:divBdr>
    </w:div>
    <w:div w:id="2015955501">
      <w:bodyDiv w:val="1"/>
      <w:marLeft w:val="0"/>
      <w:marRight w:val="0"/>
      <w:marTop w:val="0"/>
      <w:marBottom w:val="0"/>
      <w:divBdr>
        <w:top w:val="none" w:sz="0" w:space="0" w:color="auto"/>
        <w:left w:val="none" w:sz="0" w:space="0" w:color="auto"/>
        <w:bottom w:val="none" w:sz="0" w:space="0" w:color="auto"/>
        <w:right w:val="none" w:sz="0" w:space="0" w:color="auto"/>
      </w:divBdr>
    </w:div>
    <w:div w:id="2016028138">
      <w:bodyDiv w:val="1"/>
      <w:marLeft w:val="0"/>
      <w:marRight w:val="0"/>
      <w:marTop w:val="0"/>
      <w:marBottom w:val="0"/>
      <w:divBdr>
        <w:top w:val="none" w:sz="0" w:space="0" w:color="auto"/>
        <w:left w:val="none" w:sz="0" w:space="0" w:color="auto"/>
        <w:bottom w:val="none" w:sz="0" w:space="0" w:color="auto"/>
        <w:right w:val="none" w:sz="0" w:space="0" w:color="auto"/>
      </w:divBdr>
    </w:div>
    <w:div w:id="2016153724">
      <w:bodyDiv w:val="1"/>
      <w:marLeft w:val="0"/>
      <w:marRight w:val="0"/>
      <w:marTop w:val="0"/>
      <w:marBottom w:val="0"/>
      <w:divBdr>
        <w:top w:val="none" w:sz="0" w:space="0" w:color="auto"/>
        <w:left w:val="none" w:sz="0" w:space="0" w:color="auto"/>
        <w:bottom w:val="none" w:sz="0" w:space="0" w:color="auto"/>
        <w:right w:val="none" w:sz="0" w:space="0" w:color="auto"/>
      </w:divBdr>
    </w:div>
    <w:div w:id="2016373796">
      <w:bodyDiv w:val="1"/>
      <w:marLeft w:val="0"/>
      <w:marRight w:val="0"/>
      <w:marTop w:val="0"/>
      <w:marBottom w:val="0"/>
      <w:divBdr>
        <w:top w:val="none" w:sz="0" w:space="0" w:color="auto"/>
        <w:left w:val="none" w:sz="0" w:space="0" w:color="auto"/>
        <w:bottom w:val="none" w:sz="0" w:space="0" w:color="auto"/>
        <w:right w:val="none" w:sz="0" w:space="0" w:color="auto"/>
      </w:divBdr>
    </w:div>
    <w:div w:id="2016375834">
      <w:bodyDiv w:val="1"/>
      <w:marLeft w:val="0"/>
      <w:marRight w:val="0"/>
      <w:marTop w:val="0"/>
      <w:marBottom w:val="0"/>
      <w:divBdr>
        <w:top w:val="none" w:sz="0" w:space="0" w:color="auto"/>
        <w:left w:val="none" w:sz="0" w:space="0" w:color="auto"/>
        <w:bottom w:val="none" w:sz="0" w:space="0" w:color="auto"/>
        <w:right w:val="none" w:sz="0" w:space="0" w:color="auto"/>
      </w:divBdr>
    </w:div>
    <w:div w:id="2016496346">
      <w:bodyDiv w:val="1"/>
      <w:marLeft w:val="0"/>
      <w:marRight w:val="0"/>
      <w:marTop w:val="0"/>
      <w:marBottom w:val="0"/>
      <w:divBdr>
        <w:top w:val="none" w:sz="0" w:space="0" w:color="auto"/>
        <w:left w:val="none" w:sz="0" w:space="0" w:color="auto"/>
        <w:bottom w:val="none" w:sz="0" w:space="0" w:color="auto"/>
        <w:right w:val="none" w:sz="0" w:space="0" w:color="auto"/>
      </w:divBdr>
    </w:div>
    <w:div w:id="2016688504">
      <w:bodyDiv w:val="1"/>
      <w:marLeft w:val="0"/>
      <w:marRight w:val="0"/>
      <w:marTop w:val="0"/>
      <w:marBottom w:val="0"/>
      <w:divBdr>
        <w:top w:val="none" w:sz="0" w:space="0" w:color="auto"/>
        <w:left w:val="none" w:sz="0" w:space="0" w:color="auto"/>
        <w:bottom w:val="none" w:sz="0" w:space="0" w:color="auto"/>
        <w:right w:val="none" w:sz="0" w:space="0" w:color="auto"/>
      </w:divBdr>
    </w:div>
    <w:div w:id="2016833385">
      <w:bodyDiv w:val="1"/>
      <w:marLeft w:val="0"/>
      <w:marRight w:val="0"/>
      <w:marTop w:val="0"/>
      <w:marBottom w:val="0"/>
      <w:divBdr>
        <w:top w:val="none" w:sz="0" w:space="0" w:color="auto"/>
        <w:left w:val="none" w:sz="0" w:space="0" w:color="auto"/>
        <w:bottom w:val="none" w:sz="0" w:space="0" w:color="auto"/>
        <w:right w:val="none" w:sz="0" w:space="0" w:color="auto"/>
      </w:divBdr>
    </w:div>
    <w:div w:id="2016957741">
      <w:bodyDiv w:val="1"/>
      <w:marLeft w:val="0"/>
      <w:marRight w:val="0"/>
      <w:marTop w:val="0"/>
      <w:marBottom w:val="0"/>
      <w:divBdr>
        <w:top w:val="none" w:sz="0" w:space="0" w:color="auto"/>
        <w:left w:val="none" w:sz="0" w:space="0" w:color="auto"/>
        <w:bottom w:val="none" w:sz="0" w:space="0" w:color="auto"/>
        <w:right w:val="none" w:sz="0" w:space="0" w:color="auto"/>
      </w:divBdr>
    </w:div>
    <w:div w:id="2017072196">
      <w:bodyDiv w:val="1"/>
      <w:marLeft w:val="0"/>
      <w:marRight w:val="0"/>
      <w:marTop w:val="0"/>
      <w:marBottom w:val="0"/>
      <w:divBdr>
        <w:top w:val="none" w:sz="0" w:space="0" w:color="auto"/>
        <w:left w:val="none" w:sz="0" w:space="0" w:color="auto"/>
        <w:bottom w:val="none" w:sz="0" w:space="0" w:color="auto"/>
        <w:right w:val="none" w:sz="0" w:space="0" w:color="auto"/>
      </w:divBdr>
    </w:div>
    <w:div w:id="2017076388">
      <w:bodyDiv w:val="1"/>
      <w:marLeft w:val="0"/>
      <w:marRight w:val="0"/>
      <w:marTop w:val="0"/>
      <w:marBottom w:val="0"/>
      <w:divBdr>
        <w:top w:val="none" w:sz="0" w:space="0" w:color="auto"/>
        <w:left w:val="none" w:sz="0" w:space="0" w:color="auto"/>
        <w:bottom w:val="none" w:sz="0" w:space="0" w:color="auto"/>
        <w:right w:val="none" w:sz="0" w:space="0" w:color="auto"/>
      </w:divBdr>
    </w:div>
    <w:div w:id="2017150458">
      <w:bodyDiv w:val="1"/>
      <w:marLeft w:val="0"/>
      <w:marRight w:val="0"/>
      <w:marTop w:val="0"/>
      <w:marBottom w:val="0"/>
      <w:divBdr>
        <w:top w:val="none" w:sz="0" w:space="0" w:color="auto"/>
        <w:left w:val="none" w:sz="0" w:space="0" w:color="auto"/>
        <w:bottom w:val="none" w:sz="0" w:space="0" w:color="auto"/>
        <w:right w:val="none" w:sz="0" w:space="0" w:color="auto"/>
      </w:divBdr>
    </w:div>
    <w:div w:id="2017225519">
      <w:bodyDiv w:val="1"/>
      <w:marLeft w:val="0"/>
      <w:marRight w:val="0"/>
      <w:marTop w:val="0"/>
      <w:marBottom w:val="0"/>
      <w:divBdr>
        <w:top w:val="none" w:sz="0" w:space="0" w:color="auto"/>
        <w:left w:val="none" w:sz="0" w:space="0" w:color="auto"/>
        <w:bottom w:val="none" w:sz="0" w:space="0" w:color="auto"/>
        <w:right w:val="none" w:sz="0" w:space="0" w:color="auto"/>
      </w:divBdr>
    </w:div>
    <w:div w:id="2017340934">
      <w:bodyDiv w:val="1"/>
      <w:marLeft w:val="0"/>
      <w:marRight w:val="0"/>
      <w:marTop w:val="0"/>
      <w:marBottom w:val="0"/>
      <w:divBdr>
        <w:top w:val="none" w:sz="0" w:space="0" w:color="auto"/>
        <w:left w:val="none" w:sz="0" w:space="0" w:color="auto"/>
        <w:bottom w:val="none" w:sz="0" w:space="0" w:color="auto"/>
        <w:right w:val="none" w:sz="0" w:space="0" w:color="auto"/>
      </w:divBdr>
    </w:div>
    <w:div w:id="2017344831">
      <w:bodyDiv w:val="1"/>
      <w:marLeft w:val="0"/>
      <w:marRight w:val="0"/>
      <w:marTop w:val="0"/>
      <w:marBottom w:val="0"/>
      <w:divBdr>
        <w:top w:val="none" w:sz="0" w:space="0" w:color="auto"/>
        <w:left w:val="none" w:sz="0" w:space="0" w:color="auto"/>
        <w:bottom w:val="none" w:sz="0" w:space="0" w:color="auto"/>
        <w:right w:val="none" w:sz="0" w:space="0" w:color="auto"/>
      </w:divBdr>
    </w:div>
    <w:div w:id="2017464858">
      <w:bodyDiv w:val="1"/>
      <w:marLeft w:val="0"/>
      <w:marRight w:val="0"/>
      <w:marTop w:val="0"/>
      <w:marBottom w:val="0"/>
      <w:divBdr>
        <w:top w:val="none" w:sz="0" w:space="0" w:color="auto"/>
        <w:left w:val="none" w:sz="0" w:space="0" w:color="auto"/>
        <w:bottom w:val="none" w:sz="0" w:space="0" w:color="auto"/>
        <w:right w:val="none" w:sz="0" w:space="0" w:color="auto"/>
      </w:divBdr>
    </w:div>
    <w:div w:id="2017533550">
      <w:bodyDiv w:val="1"/>
      <w:marLeft w:val="0"/>
      <w:marRight w:val="0"/>
      <w:marTop w:val="0"/>
      <w:marBottom w:val="0"/>
      <w:divBdr>
        <w:top w:val="none" w:sz="0" w:space="0" w:color="auto"/>
        <w:left w:val="none" w:sz="0" w:space="0" w:color="auto"/>
        <w:bottom w:val="none" w:sz="0" w:space="0" w:color="auto"/>
        <w:right w:val="none" w:sz="0" w:space="0" w:color="auto"/>
      </w:divBdr>
    </w:div>
    <w:div w:id="2017611481">
      <w:bodyDiv w:val="1"/>
      <w:marLeft w:val="0"/>
      <w:marRight w:val="0"/>
      <w:marTop w:val="0"/>
      <w:marBottom w:val="0"/>
      <w:divBdr>
        <w:top w:val="none" w:sz="0" w:space="0" w:color="auto"/>
        <w:left w:val="none" w:sz="0" w:space="0" w:color="auto"/>
        <w:bottom w:val="none" w:sz="0" w:space="0" w:color="auto"/>
        <w:right w:val="none" w:sz="0" w:space="0" w:color="auto"/>
      </w:divBdr>
    </w:div>
    <w:div w:id="2017732315">
      <w:bodyDiv w:val="1"/>
      <w:marLeft w:val="0"/>
      <w:marRight w:val="0"/>
      <w:marTop w:val="0"/>
      <w:marBottom w:val="0"/>
      <w:divBdr>
        <w:top w:val="none" w:sz="0" w:space="0" w:color="auto"/>
        <w:left w:val="none" w:sz="0" w:space="0" w:color="auto"/>
        <w:bottom w:val="none" w:sz="0" w:space="0" w:color="auto"/>
        <w:right w:val="none" w:sz="0" w:space="0" w:color="auto"/>
      </w:divBdr>
    </w:div>
    <w:div w:id="2017920082">
      <w:bodyDiv w:val="1"/>
      <w:marLeft w:val="0"/>
      <w:marRight w:val="0"/>
      <w:marTop w:val="0"/>
      <w:marBottom w:val="0"/>
      <w:divBdr>
        <w:top w:val="none" w:sz="0" w:space="0" w:color="auto"/>
        <w:left w:val="none" w:sz="0" w:space="0" w:color="auto"/>
        <w:bottom w:val="none" w:sz="0" w:space="0" w:color="auto"/>
        <w:right w:val="none" w:sz="0" w:space="0" w:color="auto"/>
      </w:divBdr>
    </w:div>
    <w:div w:id="2017998100">
      <w:bodyDiv w:val="1"/>
      <w:marLeft w:val="0"/>
      <w:marRight w:val="0"/>
      <w:marTop w:val="0"/>
      <w:marBottom w:val="0"/>
      <w:divBdr>
        <w:top w:val="none" w:sz="0" w:space="0" w:color="auto"/>
        <w:left w:val="none" w:sz="0" w:space="0" w:color="auto"/>
        <w:bottom w:val="none" w:sz="0" w:space="0" w:color="auto"/>
        <w:right w:val="none" w:sz="0" w:space="0" w:color="auto"/>
      </w:divBdr>
    </w:div>
    <w:div w:id="2018001851">
      <w:bodyDiv w:val="1"/>
      <w:marLeft w:val="0"/>
      <w:marRight w:val="0"/>
      <w:marTop w:val="0"/>
      <w:marBottom w:val="0"/>
      <w:divBdr>
        <w:top w:val="none" w:sz="0" w:space="0" w:color="auto"/>
        <w:left w:val="none" w:sz="0" w:space="0" w:color="auto"/>
        <w:bottom w:val="none" w:sz="0" w:space="0" w:color="auto"/>
        <w:right w:val="none" w:sz="0" w:space="0" w:color="auto"/>
      </w:divBdr>
    </w:div>
    <w:div w:id="2018117423">
      <w:bodyDiv w:val="1"/>
      <w:marLeft w:val="0"/>
      <w:marRight w:val="0"/>
      <w:marTop w:val="0"/>
      <w:marBottom w:val="0"/>
      <w:divBdr>
        <w:top w:val="none" w:sz="0" w:space="0" w:color="auto"/>
        <w:left w:val="none" w:sz="0" w:space="0" w:color="auto"/>
        <w:bottom w:val="none" w:sz="0" w:space="0" w:color="auto"/>
        <w:right w:val="none" w:sz="0" w:space="0" w:color="auto"/>
      </w:divBdr>
    </w:div>
    <w:div w:id="2018192150">
      <w:bodyDiv w:val="1"/>
      <w:marLeft w:val="0"/>
      <w:marRight w:val="0"/>
      <w:marTop w:val="0"/>
      <w:marBottom w:val="0"/>
      <w:divBdr>
        <w:top w:val="none" w:sz="0" w:space="0" w:color="auto"/>
        <w:left w:val="none" w:sz="0" w:space="0" w:color="auto"/>
        <w:bottom w:val="none" w:sz="0" w:space="0" w:color="auto"/>
        <w:right w:val="none" w:sz="0" w:space="0" w:color="auto"/>
      </w:divBdr>
    </w:div>
    <w:div w:id="2018262643">
      <w:bodyDiv w:val="1"/>
      <w:marLeft w:val="0"/>
      <w:marRight w:val="0"/>
      <w:marTop w:val="0"/>
      <w:marBottom w:val="0"/>
      <w:divBdr>
        <w:top w:val="none" w:sz="0" w:space="0" w:color="auto"/>
        <w:left w:val="none" w:sz="0" w:space="0" w:color="auto"/>
        <w:bottom w:val="none" w:sz="0" w:space="0" w:color="auto"/>
        <w:right w:val="none" w:sz="0" w:space="0" w:color="auto"/>
      </w:divBdr>
    </w:div>
    <w:div w:id="2018269084">
      <w:bodyDiv w:val="1"/>
      <w:marLeft w:val="0"/>
      <w:marRight w:val="0"/>
      <w:marTop w:val="0"/>
      <w:marBottom w:val="0"/>
      <w:divBdr>
        <w:top w:val="none" w:sz="0" w:space="0" w:color="auto"/>
        <w:left w:val="none" w:sz="0" w:space="0" w:color="auto"/>
        <w:bottom w:val="none" w:sz="0" w:space="0" w:color="auto"/>
        <w:right w:val="none" w:sz="0" w:space="0" w:color="auto"/>
      </w:divBdr>
    </w:div>
    <w:div w:id="2018455990">
      <w:bodyDiv w:val="1"/>
      <w:marLeft w:val="0"/>
      <w:marRight w:val="0"/>
      <w:marTop w:val="0"/>
      <w:marBottom w:val="0"/>
      <w:divBdr>
        <w:top w:val="none" w:sz="0" w:space="0" w:color="auto"/>
        <w:left w:val="none" w:sz="0" w:space="0" w:color="auto"/>
        <w:bottom w:val="none" w:sz="0" w:space="0" w:color="auto"/>
        <w:right w:val="none" w:sz="0" w:space="0" w:color="auto"/>
      </w:divBdr>
    </w:div>
    <w:div w:id="2018532129">
      <w:bodyDiv w:val="1"/>
      <w:marLeft w:val="0"/>
      <w:marRight w:val="0"/>
      <w:marTop w:val="0"/>
      <w:marBottom w:val="0"/>
      <w:divBdr>
        <w:top w:val="none" w:sz="0" w:space="0" w:color="auto"/>
        <w:left w:val="none" w:sz="0" w:space="0" w:color="auto"/>
        <w:bottom w:val="none" w:sz="0" w:space="0" w:color="auto"/>
        <w:right w:val="none" w:sz="0" w:space="0" w:color="auto"/>
      </w:divBdr>
    </w:div>
    <w:div w:id="2018534014">
      <w:bodyDiv w:val="1"/>
      <w:marLeft w:val="0"/>
      <w:marRight w:val="0"/>
      <w:marTop w:val="0"/>
      <w:marBottom w:val="0"/>
      <w:divBdr>
        <w:top w:val="none" w:sz="0" w:space="0" w:color="auto"/>
        <w:left w:val="none" w:sz="0" w:space="0" w:color="auto"/>
        <w:bottom w:val="none" w:sz="0" w:space="0" w:color="auto"/>
        <w:right w:val="none" w:sz="0" w:space="0" w:color="auto"/>
      </w:divBdr>
    </w:div>
    <w:div w:id="2018576789">
      <w:bodyDiv w:val="1"/>
      <w:marLeft w:val="0"/>
      <w:marRight w:val="0"/>
      <w:marTop w:val="0"/>
      <w:marBottom w:val="0"/>
      <w:divBdr>
        <w:top w:val="none" w:sz="0" w:space="0" w:color="auto"/>
        <w:left w:val="none" w:sz="0" w:space="0" w:color="auto"/>
        <w:bottom w:val="none" w:sz="0" w:space="0" w:color="auto"/>
        <w:right w:val="none" w:sz="0" w:space="0" w:color="auto"/>
      </w:divBdr>
    </w:div>
    <w:div w:id="2018582027">
      <w:bodyDiv w:val="1"/>
      <w:marLeft w:val="0"/>
      <w:marRight w:val="0"/>
      <w:marTop w:val="0"/>
      <w:marBottom w:val="0"/>
      <w:divBdr>
        <w:top w:val="none" w:sz="0" w:space="0" w:color="auto"/>
        <w:left w:val="none" w:sz="0" w:space="0" w:color="auto"/>
        <w:bottom w:val="none" w:sz="0" w:space="0" w:color="auto"/>
        <w:right w:val="none" w:sz="0" w:space="0" w:color="auto"/>
      </w:divBdr>
    </w:div>
    <w:div w:id="2018656646">
      <w:bodyDiv w:val="1"/>
      <w:marLeft w:val="0"/>
      <w:marRight w:val="0"/>
      <w:marTop w:val="0"/>
      <w:marBottom w:val="0"/>
      <w:divBdr>
        <w:top w:val="none" w:sz="0" w:space="0" w:color="auto"/>
        <w:left w:val="none" w:sz="0" w:space="0" w:color="auto"/>
        <w:bottom w:val="none" w:sz="0" w:space="0" w:color="auto"/>
        <w:right w:val="none" w:sz="0" w:space="0" w:color="auto"/>
      </w:divBdr>
    </w:div>
    <w:div w:id="2018657881">
      <w:bodyDiv w:val="1"/>
      <w:marLeft w:val="0"/>
      <w:marRight w:val="0"/>
      <w:marTop w:val="0"/>
      <w:marBottom w:val="0"/>
      <w:divBdr>
        <w:top w:val="none" w:sz="0" w:space="0" w:color="auto"/>
        <w:left w:val="none" w:sz="0" w:space="0" w:color="auto"/>
        <w:bottom w:val="none" w:sz="0" w:space="0" w:color="auto"/>
        <w:right w:val="none" w:sz="0" w:space="0" w:color="auto"/>
      </w:divBdr>
    </w:div>
    <w:div w:id="2018729772">
      <w:bodyDiv w:val="1"/>
      <w:marLeft w:val="0"/>
      <w:marRight w:val="0"/>
      <w:marTop w:val="0"/>
      <w:marBottom w:val="0"/>
      <w:divBdr>
        <w:top w:val="none" w:sz="0" w:space="0" w:color="auto"/>
        <w:left w:val="none" w:sz="0" w:space="0" w:color="auto"/>
        <w:bottom w:val="none" w:sz="0" w:space="0" w:color="auto"/>
        <w:right w:val="none" w:sz="0" w:space="0" w:color="auto"/>
      </w:divBdr>
    </w:div>
    <w:div w:id="2018731891">
      <w:bodyDiv w:val="1"/>
      <w:marLeft w:val="0"/>
      <w:marRight w:val="0"/>
      <w:marTop w:val="0"/>
      <w:marBottom w:val="0"/>
      <w:divBdr>
        <w:top w:val="none" w:sz="0" w:space="0" w:color="auto"/>
        <w:left w:val="none" w:sz="0" w:space="0" w:color="auto"/>
        <w:bottom w:val="none" w:sz="0" w:space="0" w:color="auto"/>
        <w:right w:val="none" w:sz="0" w:space="0" w:color="auto"/>
      </w:divBdr>
    </w:div>
    <w:div w:id="2018844980">
      <w:bodyDiv w:val="1"/>
      <w:marLeft w:val="0"/>
      <w:marRight w:val="0"/>
      <w:marTop w:val="0"/>
      <w:marBottom w:val="0"/>
      <w:divBdr>
        <w:top w:val="none" w:sz="0" w:space="0" w:color="auto"/>
        <w:left w:val="none" w:sz="0" w:space="0" w:color="auto"/>
        <w:bottom w:val="none" w:sz="0" w:space="0" w:color="auto"/>
        <w:right w:val="none" w:sz="0" w:space="0" w:color="auto"/>
      </w:divBdr>
    </w:div>
    <w:div w:id="2018847298">
      <w:bodyDiv w:val="1"/>
      <w:marLeft w:val="0"/>
      <w:marRight w:val="0"/>
      <w:marTop w:val="0"/>
      <w:marBottom w:val="0"/>
      <w:divBdr>
        <w:top w:val="none" w:sz="0" w:space="0" w:color="auto"/>
        <w:left w:val="none" w:sz="0" w:space="0" w:color="auto"/>
        <w:bottom w:val="none" w:sz="0" w:space="0" w:color="auto"/>
        <w:right w:val="none" w:sz="0" w:space="0" w:color="auto"/>
      </w:divBdr>
    </w:div>
    <w:div w:id="2018967582">
      <w:bodyDiv w:val="1"/>
      <w:marLeft w:val="0"/>
      <w:marRight w:val="0"/>
      <w:marTop w:val="0"/>
      <w:marBottom w:val="0"/>
      <w:divBdr>
        <w:top w:val="none" w:sz="0" w:space="0" w:color="auto"/>
        <w:left w:val="none" w:sz="0" w:space="0" w:color="auto"/>
        <w:bottom w:val="none" w:sz="0" w:space="0" w:color="auto"/>
        <w:right w:val="none" w:sz="0" w:space="0" w:color="auto"/>
      </w:divBdr>
    </w:div>
    <w:div w:id="2019038083">
      <w:bodyDiv w:val="1"/>
      <w:marLeft w:val="0"/>
      <w:marRight w:val="0"/>
      <w:marTop w:val="0"/>
      <w:marBottom w:val="0"/>
      <w:divBdr>
        <w:top w:val="none" w:sz="0" w:space="0" w:color="auto"/>
        <w:left w:val="none" w:sz="0" w:space="0" w:color="auto"/>
        <w:bottom w:val="none" w:sz="0" w:space="0" w:color="auto"/>
        <w:right w:val="none" w:sz="0" w:space="0" w:color="auto"/>
      </w:divBdr>
    </w:div>
    <w:div w:id="2019261201">
      <w:bodyDiv w:val="1"/>
      <w:marLeft w:val="0"/>
      <w:marRight w:val="0"/>
      <w:marTop w:val="0"/>
      <w:marBottom w:val="0"/>
      <w:divBdr>
        <w:top w:val="none" w:sz="0" w:space="0" w:color="auto"/>
        <w:left w:val="none" w:sz="0" w:space="0" w:color="auto"/>
        <w:bottom w:val="none" w:sz="0" w:space="0" w:color="auto"/>
        <w:right w:val="none" w:sz="0" w:space="0" w:color="auto"/>
      </w:divBdr>
    </w:div>
    <w:div w:id="2019429110">
      <w:bodyDiv w:val="1"/>
      <w:marLeft w:val="0"/>
      <w:marRight w:val="0"/>
      <w:marTop w:val="0"/>
      <w:marBottom w:val="0"/>
      <w:divBdr>
        <w:top w:val="none" w:sz="0" w:space="0" w:color="auto"/>
        <w:left w:val="none" w:sz="0" w:space="0" w:color="auto"/>
        <w:bottom w:val="none" w:sz="0" w:space="0" w:color="auto"/>
        <w:right w:val="none" w:sz="0" w:space="0" w:color="auto"/>
      </w:divBdr>
    </w:div>
    <w:div w:id="2019455473">
      <w:bodyDiv w:val="1"/>
      <w:marLeft w:val="0"/>
      <w:marRight w:val="0"/>
      <w:marTop w:val="0"/>
      <w:marBottom w:val="0"/>
      <w:divBdr>
        <w:top w:val="none" w:sz="0" w:space="0" w:color="auto"/>
        <w:left w:val="none" w:sz="0" w:space="0" w:color="auto"/>
        <w:bottom w:val="none" w:sz="0" w:space="0" w:color="auto"/>
        <w:right w:val="none" w:sz="0" w:space="0" w:color="auto"/>
      </w:divBdr>
    </w:div>
    <w:div w:id="2019580108">
      <w:bodyDiv w:val="1"/>
      <w:marLeft w:val="0"/>
      <w:marRight w:val="0"/>
      <w:marTop w:val="0"/>
      <w:marBottom w:val="0"/>
      <w:divBdr>
        <w:top w:val="none" w:sz="0" w:space="0" w:color="auto"/>
        <w:left w:val="none" w:sz="0" w:space="0" w:color="auto"/>
        <w:bottom w:val="none" w:sz="0" w:space="0" w:color="auto"/>
        <w:right w:val="none" w:sz="0" w:space="0" w:color="auto"/>
      </w:divBdr>
    </w:div>
    <w:div w:id="2019695465">
      <w:bodyDiv w:val="1"/>
      <w:marLeft w:val="0"/>
      <w:marRight w:val="0"/>
      <w:marTop w:val="0"/>
      <w:marBottom w:val="0"/>
      <w:divBdr>
        <w:top w:val="none" w:sz="0" w:space="0" w:color="auto"/>
        <w:left w:val="none" w:sz="0" w:space="0" w:color="auto"/>
        <w:bottom w:val="none" w:sz="0" w:space="0" w:color="auto"/>
        <w:right w:val="none" w:sz="0" w:space="0" w:color="auto"/>
      </w:divBdr>
    </w:div>
    <w:div w:id="2019769469">
      <w:bodyDiv w:val="1"/>
      <w:marLeft w:val="0"/>
      <w:marRight w:val="0"/>
      <w:marTop w:val="0"/>
      <w:marBottom w:val="0"/>
      <w:divBdr>
        <w:top w:val="none" w:sz="0" w:space="0" w:color="auto"/>
        <w:left w:val="none" w:sz="0" w:space="0" w:color="auto"/>
        <w:bottom w:val="none" w:sz="0" w:space="0" w:color="auto"/>
        <w:right w:val="none" w:sz="0" w:space="0" w:color="auto"/>
      </w:divBdr>
    </w:div>
    <w:div w:id="2019887987">
      <w:bodyDiv w:val="1"/>
      <w:marLeft w:val="0"/>
      <w:marRight w:val="0"/>
      <w:marTop w:val="0"/>
      <w:marBottom w:val="0"/>
      <w:divBdr>
        <w:top w:val="none" w:sz="0" w:space="0" w:color="auto"/>
        <w:left w:val="none" w:sz="0" w:space="0" w:color="auto"/>
        <w:bottom w:val="none" w:sz="0" w:space="0" w:color="auto"/>
        <w:right w:val="none" w:sz="0" w:space="0" w:color="auto"/>
      </w:divBdr>
    </w:div>
    <w:div w:id="2019916829">
      <w:bodyDiv w:val="1"/>
      <w:marLeft w:val="0"/>
      <w:marRight w:val="0"/>
      <w:marTop w:val="0"/>
      <w:marBottom w:val="0"/>
      <w:divBdr>
        <w:top w:val="none" w:sz="0" w:space="0" w:color="auto"/>
        <w:left w:val="none" w:sz="0" w:space="0" w:color="auto"/>
        <w:bottom w:val="none" w:sz="0" w:space="0" w:color="auto"/>
        <w:right w:val="none" w:sz="0" w:space="0" w:color="auto"/>
      </w:divBdr>
    </w:div>
    <w:div w:id="2019966987">
      <w:bodyDiv w:val="1"/>
      <w:marLeft w:val="0"/>
      <w:marRight w:val="0"/>
      <w:marTop w:val="0"/>
      <w:marBottom w:val="0"/>
      <w:divBdr>
        <w:top w:val="none" w:sz="0" w:space="0" w:color="auto"/>
        <w:left w:val="none" w:sz="0" w:space="0" w:color="auto"/>
        <w:bottom w:val="none" w:sz="0" w:space="0" w:color="auto"/>
        <w:right w:val="none" w:sz="0" w:space="0" w:color="auto"/>
      </w:divBdr>
    </w:div>
    <w:div w:id="2020082455">
      <w:bodyDiv w:val="1"/>
      <w:marLeft w:val="0"/>
      <w:marRight w:val="0"/>
      <w:marTop w:val="0"/>
      <w:marBottom w:val="0"/>
      <w:divBdr>
        <w:top w:val="none" w:sz="0" w:space="0" w:color="auto"/>
        <w:left w:val="none" w:sz="0" w:space="0" w:color="auto"/>
        <w:bottom w:val="none" w:sz="0" w:space="0" w:color="auto"/>
        <w:right w:val="none" w:sz="0" w:space="0" w:color="auto"/>
      </w:divBdr>
    </w:div>
    <w:div w:id="2020309138">
      <w:bodyDiv w:val="1"/>
      <w:marLeft w:val="0"/>
      <w:marRight w:val="0"/>
      <w:marTop w:val="0"/>
      <w:marBottom w:val="0"/>
      <w:divBdr>
        <w:top w:val="none" w:sz="0" w:space="0" w:color="auto"/>
        <w:left w:val="none" w:sz="0" w:space="0" w:color="auto"/>
        <w:bottom w:val="none" w:sz="0" w:space="0" w:color="auto"/>
        <w:right w:val="none" w:sz="0" w:space="0" w:color="auto"/>
      </w:divBdr>
    </w:div>
    <w:div w:id="2020429083">
      <w:bodyDiv w:val="1"/>
      <w:marLeft w:val="0"/>
      <w:marRight w:val="0"/>
      <w:marTop w:val="0"/>
      <w:marBottom w:val="0"/>
      <w:divBdr>
        <w:top w:val="none" w:sz="0" w:space="0" w:color="auto"/>
        <w:left w:val="none" w:sz="0" w:space="0" w:color="auto"/>
        <w:bottom w:val="none" w:sz="0" w:space="0" w:color="auto"/>
        <w:right w:val="none" w:sz="0" w:space="0" w:color="auto"/>
      </w:divBdr>
    </w:div>
    <w:div w:id="2020572941">
      <w:bodyDiv w:val="1"/>
      <w:marLeft w:val="0"/>
      <w:marRight w:val="0"/>
      <w:marTop w:val="0"/>
      <w:marBottom w:val="0"/>
      <w:divBdr>
        <w:top w:val="none" w:sz="0" w:space="0" w:color="auto"/>
        <w:left w:val="none" w:sz="0" w:space="0" w:color="auto"/>
        <w:bottom w:val="none" w:sz="0" w:space="0" w:color="auto"/>
        <w:right w:val="none" w:sz="0" w:space="0" w:color="auto"/>
      </w:divBdr>
    </w:div>
    <w:div w:id="2020689698">
      <w:bodyDiv w:val="1"/>
      <w:marLeft w:val="0"/>
      <w:marRight w:val="0"/>
      <w:marTop w:val="0"/>
      <w:marBottom w:val="0"/>
      <w:divBdr>
        <w:top w:val="none" w:sz="0" w:space="0" w:color="auto"/>
        <w:left w:val="none" w:sz="0" w:space="0" w:color="auto"/>
        <w:bottom w:val="none" w:sz="0" w:space="0" w:color="auto"/>
        <w:right w:val="none" w:sz="0" w:space="0" w:color="auto"/>
      </w:divBdr>
    </w:div>
    <w:div w:id="2020694206">
      <w:bodyDiv w:val="1"/>
      <w:marLeft w:val="0"/>
      <w:marRight w:val="0"/>
      <w:marTop w:val="0"/>
      <w:marBottom w:val="0"/>
      <w:divBdr>
        <w:top w:val="none" w:sz="0" w:space="0" w:color="auto"/>
        <w:left w:val="none" w:sz="0" w:space="0" w:color="auto"/>
        <w:bottom w:val="none" w:sz="0" w:space="0" w:color="auto"/>
        <w:right w:val="none" w:sz="0" w:space="0" w:color="auto"/>
      </w:divBdr>
    </w:div>
    <w:div w:id="2020696507">
      <w:bodyDiv w:val="1"/>
      <w:marLeft w:val="0"/>
      <w:marRight w:val="0"/>
      <w:marTop w:val="0"/>
      <w:marBottom w:val="0"/>
      <w:divBdr>
        <w:top w:val="none" w:sz="0" w:space="0" w:color="auto"/>
        <w:left w:val="none" w:sz="0" w:space="0" w:color="auto"/>
        <w:bottom w:val="none" w:sz="0" w:space="0" w:color="auto"/>
        <w:right w:val="none" w:sz="0" w:space="0" w:color="auto"/>
      </w:divBdr>
    </w:div>
    <w:div w:id="2020765824">
      <w:bodyDiv w:val="1"/>
      <w:marLeft w:val="0"/>
      <w:marRight w:val="0"/>
      <w:marTop w:val="0"/>
      <w:marBottom w:val="0"/>
      <w:divBdr>
        <w:top w:val="none" w:sz="0" w:space="0" w:color="auto"/>
        <w:left w:val="none" w:sz="0" w:space="0" w:color="auto"/>
        <w:bottom w:val="none" w:sz="0" w:space="0" w:color="auto"/>
        <w:right w:val="none" w:sz="0" w:space="0" w:color="auto"/>
      </w:divBdr>
    </w:div>
    <w:div w:id="2020766644">
      <w:bodyDiv w:val="1"/>
      <w:marLeft w:val="0"/>
      <w:marRight w:val="0"/>
      <w:marTop w:val="0"/>
      <w:marBottom w:val="0"/>
      <w:divBdr>
        <w:top w:val="none" w:sz="0" w:space="0" w:color="auto"/>
        <w:left w:val="none" w:sz="0" w:space="0" w:color="auto"/>
        <w:bottom w:val="none" w:sz="0" w:space="0" w:color="auto"/>
        <w:right w:val="none" w:sz="0" w:space="0" w:color="auto"/>
      </w:divBdr>
    </w:div>
    <w:div w:id="2020807444">
      <w:bodyDiv w:val="1"/>
      <w:marLeft w:val="0"/>
      <w:marRight w:val="0"/>
      <w:marTop w:val="0"/>
      <w:marBottom w:val="0"/>
      <w:divBdr>
        <w:top w:val="none" w:sz="0" w:space="0" w:color="auto"/>
        <w:left w:val="none" w:sz="0" w:space="0" w:color="auto"/>
        <w:bottom w:val="none" w:sz="0" w:space="0" w:color="auto"/>
        <w:right w:val="none" w:sz="0" w:space="0" w:color="auto"/>
      </w:divBdr>
    </w:div>
    <w:div w:id="2020815678">
      <w:bodyDiv w:val="1"/>
      <w:marLeft w:val="0"/>
      <w:marRight w:val="0"/>
      <w:marTop w:val="0"/>
      <w:marBottom w:val="0"/>
      <w:divBdr>
        <w:top w:val="none" w:sz="0" w:space="0" w:color="auto"/>
        <w:left w:val="none" w:sz="0" w:space="0" w:color="auto"/>
        <w:bottom w:val="none" w:sz="0" w:space="0" w:color="auto"/>
        <w:right w:val="none" w:sz="0" w:space="0" w:color="auto"/>
      </w:divBdr>
    </w:div>
    <w:div w:id="2020817114">
      <w:bodyDiv w:val="1"/>
      <w:marLeft w:val="0"/>
      <w:marRight w:val="0"/>
      <w:marTop w:val="0"/>
      <w:marBottom w:val="0"/>
      <w:divBdr>
        <w:top w:val="none" w:sz="0" w:space="0" w:color="auto"/>
        <w:left w:val="none" w:sz="0" w:space="0" w:color="auto"/>
        <w:bottom w:val="none" w:sz="0" w:space="0" w:color="auto"/>
        <w:right w:val="none" w:sz="0" w:space="0" w:color="auto"/>
      </w:divBdr>
    </w:div>
    <w:div w:id="2020884510">
      <w:bodyDiv w:val="1"/>
      <w:marLeft w:val="0"/>
      <w:marRight w:val="0"/>
      <w:marTop w:val="0"/>
      <w:marBottom w:val="0"/>
      <w:divBdr>
        <w:top w:val="none" w:sz="0" w:space="0" w:color="auto"/>
        <w:left w:val="none" w:sz="0" w:space="0" w:color="auto"/>
        <w:bottom w:val="none" w:sz="0" w:space="0" w:color="auto"/>
        <w:right w:val="none" w:sz="0" w:space="0" w:color="auto"/>
      </w:divBdr>
    </w:div>
    <w:div w:id="2020961739">
      <w:bodyDiv w:val="1"/>
      <w:marLeft w:val="0"/>
      <w:marRight w:val="0"/>
      <w:marTop w:val="0"/>
      <w:marBottom w:val="0"/>
      <w:divBdr>
        <w:top w:val="none" w:sz="0" w:space="0" w:color="auto"/>
        <w:left w:val="none" w:sz="0" w:space="0" w:color="auto"/>
        <w:bottom w:val="none" w:sz="0" w:space="0" w:color="auto"/>
        <w:right w:val="none" w:sz="0" w:space="0" w:color="auto"/>
      </w:divBdr>
    </w:div>
    <w:div w:id="2021001624">
      <w:bodyDiv w:val="1"/>
      <w:marLeft w:val="0"/>
      <w:marRight w:val="0"/>
      <w:marTop w:val="0"/>
      <w:marBottom w:val="0"/>
      <w:divBdr>
        <w:top w:val="none" w:sz="0" w:space="0" w:color="auto"/>
        <w:left w:val="none" w:sz="0" w:space="0" w:color="auto"/>
        <w:bottom w:val="none" w:sz="0" w:space="0" w:color="auto"/>
        <w:right w:val="none" w:sz="0" w:space="0" w:color="auto"/>
      </w:divBdr>
    </w:div>
    <w:div w:id="2021009147">
      <w:bodyDiv w:val="1"/>
      <w:marLeft w:val="0"/>
      <w:marRight w:val="0"/>
      <w:marTop w:val="0"/>
      <w:marBottom w:val="0"/>
      <w:divBdr>
        <w:top w:val="none" w:sz="0" w:space="0" w:color="auto"/>
        <w:left w:val="none" w:sz="0" w:space="0" w:color="auto"/>
        <w:bottom w:val="none" w:sz="0" w:space="0" w:color="auto"/>
        <w:right w:val="none" w:sz="0" w:space="0" w:color="auto"/>
      </w:divBdr>
    </w:div>
    <w:div w:id="2021076472">
      <w:bodyDiv w:val="1"/>
      <w:marLeft w:val="0"/>
      <w:marRight w:val="0"/>
      <w:marTop w:val="0"/>
      <w:marBottom w:val="0"/>
      <w:divBdr>
        <w:top w:val="none" w:sz="0" w:space="0" w:color="auto"/>
        <w:left w:val="none" w:sz="0" w:space="0" w:color="auto"/>
        <w:bottom w:val="none" w:sz="0" w:space="0" w:color="auto"/>
        <w:right w:val="none" w:sz="0" w:space="0" w:color="auto"/>
      </w:divBdr>
    </w:div>
    <w:div w:id="2021469771">
      <w:bodyDiv w:val="1"/>
      <w:marLeft w:val="0"/>
      <w:marRight w:val="0"/>
      <w:marTop w:val="0"/>
      <w:marBottom w:val="0"/>
      <w:divBdr>
        <w:top w:val="none" w:sz="0" w:space="0" w:color="auto"/>
        <w:left w:val="none" w:sz="0" w:space="0" w:color="auto"/>
        <w:bottom w:val="none" w:sz="0" w:space="0" w:color="auto"/>
        <w:right w:val="none" w:sz="0" w:space="0" w:color="auto"/>
      </w:divBdr>
    </w:div>
    <w:div w:id="2021660062">
      <w:bodyDiv w:val="1"/>
      <w:marLeft w:val="0"/>
      <w:marRight w:val="0"/>
      <w:marTop w:val="0"/>
      <w:marBottom w:val="0"/>
      <w:divBdr>
        <w:top w:val="none" w:sz="0" w:space="0" w:color="auto"/>
        <w:left w:val="none" w:sz="0" w:space="0" w:color="auto"/>
        <w:bottom w:val="none" w:sz="0" w:space="0" w:color="auto"/>
        <w:right w:val="none" w:sz="0" w:space="0" w:color="auto"/>
      </w:divBdr>
    </w:div>
    <w:div w:id="2021660746">
      <w:bodyDiv w:val="1"/>
      <w:marLeft w:val="0"/>
      <w:marRight w:val="0"/>
      <w:marTop w:val="0"/>
      <w:marBottom w:val="0"/>
      <w:divBdr>
        <w:top w:val="none" w:sz="0" w:space="0" w:color="auto"/>
        <w:left w:val="none" w:sz="0" w:space="0" w:color="auto"/>
        <w:bottom w:val="none" w:sz="0" w:space="0" w:color="auto"/>
        <w:right w:val="none" w:sz="0" w:space="0" w:color="auto"/>
      </w:divBdr>
    </w:div>
    <w:div w:id="2021735228">
      <w:bodyDiv w:val="1"/>
      <w:marLeft w:val="0"/>
      <w:marRight w:val="0"/>
      <w:marTop w:val="0"/>
      <w:marBottom w:val="0"/>
      <w:divBdr>
        <w:top w:val="none" w:sz="0" w:space="0" w:color="auto"/>
        <w:left w:val="none" w:sz="0" w:space="0" w:color="auto"/>
        <w:bottom w:val="none" w:sz="0" w:space="0" w:color="auto"/>
        <w:right w:val="none" w:sz="0" w:space="0" w:color="auto"/>
      </w:divBdr>
    </w:div>
    <w:div w:id="2021809090">
      <w:bodyDiv w:val="1"/>
      <w:marLeft w:val="0"/>
      <w:marRight w:val="0"/>
      <w:marTop w:val="0"/>
      <w:marBottom w:val="0"/>
      <w:divBdr>
        <w:top w:val="none" w:sz="0" w:space="0" w:color="auto"/>
        <w:left w:val="none" w:sz="0" w:space="0" w:color="auto"/>
        <w:bottom w:val="none" w:sz="0" w:space="0" w:color="auto"/>
        <w:right w:val="none" w:sz="0" w:space="0" w:color="auto"/>
      </w:divBdr>
    </w:div>
    <w:div w:id="2021809284">
      <w:bodyDiv w:val="1"/>
      <w:marLeft w:val="0"/>
      <w:marRight w:val="0"/>
      <w:marTop w:val="0"/>
      <w:marBottom w:val="0"/>
      <w:divBdr>
        <w:top w:val="none" w:sz="0" w:space="0" w:color="auto"/>
        <w:left w:val="none" w:sz="0" w:space="0" w:color="auto"/>
        <w:bottom w:val="none" w:sz="0" w:space="0" w:color="auto"/>
        <w:right w:val="none" w:sz="0" w:space="0" w:color="auto"/>
      </w:divBdr>
    </w:div>
    <w:div w:id="2021851452">
      <w:bodyDiv w:val="1"/>
      <w:marLeft w:val="0"/>
      <w:marRight w:val="0"/>
      <w:marTop w:val="0"/>
      <w:marBottom w:val="0"/>
      <w:divBdr>
        <w:top w:val="none" w:sz="0" w:space="0" w:color="auto"/>
        <w:left w:val="none" w:sz="0" w:space="0" w:color="auto"/>
        <w:bottom w:val="none" w:sz="0" w:space="0" w:color="auto"/>
        <w:right w:val="none" w:sz="0" w:space="0" w:color="auto"/>
      </w:divBdr>
    </w:div>
    <w:div w:id="2021858830">
      <w:bodyDiv w:val="1"/>
      <w:marLeft w:val="0"/>
      <w:marRight w:val="0"/>
      <w:marTop w:val="0"/>
      <w:marBottom w:val="0"/>
      <w:divBdr>
        <w:top w:val="none" w:sz="0" w:space="0" w:color="auto"/>
        <w:left w:val="none" w:sz="0" w:space="0" w:color="auto"/>
        <w:bottom w:val="none" w:sz="0" w:space="0" w:color="auto"/>
        <w:right w:val="none" w:sz="0" w:space="0" w:color="auto"/>
      </w:divBdr>
    </w:div>
    <w:div w:id="2021926239">
      <w:bodyDiv w:val="1"/>
      <w:marLeft w:val="0"/>
      <w:marRight w:val="0"/>
      <w:marTop w:val="0"/>
      <w:marBottom w:val="0"/>
      <w:divBdr>
        <w:top w:val="none" w:sz="0" w:space="0" w:color="auto"/>
        <w:left w:val="none" w:sz="0" w:space="0" w:color="auto"/>
        <w:bottom w:val="none" w:sz="0" w:space="0" w:color="auto"/>
        <w:right w:val="none" w:sz="0" w:space="0" w:color="auto"/>
      </w:divBdr>
    </w:div>
    <w:div w:id="2022006482">
      <w:bodyDiv w:val="1"/>
      <w:marLeft w:val="0"/>
      <w:marRight w:val="0"/>
      <w:marTop w:val="0"/>
      <w:marBottom w:val="0"/>
      <w:divBdr>
        <w:top w:val="none" w:sz="0" w:space="0" w:color="auto"/>
        <w:left w:val="none" w:sz="0" w:space="0" w:color="auto"/>
        <w:bottom w:val="none" w:sz="0" w:space="0" w:color="auto"/>
        <w:right w:val="none" w:sz="0" w:space="0" w:color="auto"/>
      </w:divBdr>
    </w:div>
    <w:div w:id="2022048328">
      <w:bodyDiv w:val="1"/>
      <w:marLeft w:val="0"/>
      <w:marRight w:val="0"/>
      <w:marTop w:val="0"/>
      <w:marBottom w:val="0"/>
      <w:divBdr>
        <w:top w:val="none" w:sz="0" w:space="0" w:color="auto"/>
        <w:left w:val="none" w:sz="0" w:space="0" w:color="auto"/>
        <w:bottom w:val="none" w:sz="0" w:space="0" w:color="auto"/>
        <w:right w:val="none" w:sz="0" w:space="0" w:color="auto"/>
      </w:divBdr>
    </w:div>
    <w:div w:id="2022118432">
      <w:bodyDiv w:val="1"/>
      <w:marLeft w:val="0"/>
      <w:marRight w:val="0"/>
      <w:marTop w:val="0"/>
      <w:marBottom w:val="0"/>
      <w:divBdr>
        <w:top w:val="none" w:sz="0" w:space="0" w:color="auto"/>
        <w:left w:val="none" w:sz="0" w:space="0" w:color="auto"/>
        <w:bottom w:val="none" w:sz="0" w:space="0" w:color="auto"/>
        <w:right w:val="none" w:sz="0" w:space="0" w:color="auto"/>
      </w:divBdr>
    </w:div>
    <w:div w:id="2022120552">
      <w:bodyDiv w:val="1"/>
      <w:marLeft w:val="0"/>
      <w:marRight w:val="0"/>
      <w:marTop w:val="0"/>
      <w:marBottom w:val="0"/>
      <w:divBdr>
        <w:top w:val="none" w:sz="0" w:space="0" w:color="auto"/>
        <w:left w:val="none" w:sz="0" w:space="0" w:color="auto"/>
        <w:bottom w:val="none" w:sz="0" w:space="0" w:color="auto"/>
        <w:right w:val="none" w:sz="0" w:space="0" w:color="auto"/>
      </w:divBdr>
    </w:div>
    <w:div w:id="2022125496">
      <w:bodyDiv w:val="1"/>
      <w:marLeft w:val="0"/>
      <w:marRight w:val="0"/>
      <w:marTop w:val="0"/>
      <w:marBottom w:val="0"/>
      <w:divBdr>
        <w:top w:val="none" w:sz="0" w:space="0" w:color="auto"/>
        <w:left w:val="none" w:sz="0" w:space="0" w:color="auto"/>
        <w:bottom w:val="none" w:sz="0" w:space="0" w:color="auto"/>
        <w:right w:val="none" w:sz="0" w:space="0" w:color="auto"/>
      </w:divBdr>
    </w:div>
    <w:div w:id="2022195416">
      <w:bodyDiv w:val="1"/>
      <w:marLeft w:val="0"/>
      <w:marRight w:val="0"/>
      <w:marTop w:val="0"/>
      <w:marBottom w:val="0"/>
      <w:divBdr>
        <w:top w:val="none" w:sz="0" w:space="0" w:color="auto"/>
        <w:left w:val="none" w:sz="0" w:space="0" w:color="auto"/>
        <w:bottom w:val="none" w:sz="0" w:space="0" w:color="auto"/>
        <w:right w:val="none" w:sz="0" w:space="0" w:color="auto"/>
      </w:divBdr>
    </w:div>
    <w:div w:id="2022200278">
      <w:bodyDiv w:val="1"/>
      <w:marLeft w:val="0"/>
      <w:marRight w:val="0"/>
      <w:marTop w:val="0"/>
      <w:marBottom w:val="0"/>
      <w:divBdr>
        <w:top w:val="none" w:sz="0" w:space="0" w:color="auto"/>
        <w:left w:val="none" w:sz="0" w:space="0" w:color="auto"/>
        <w:bottom w:val="none" w:sz="0" w:space="0" w:color="auto"/>
        <w:right w:val="none" w:sz="0" w:space="0" w:color="auto"/>
      </w:divBdr>
    </w:div>
    <w:div w:id="2022393578">
      <w:bodyDiv w:val="1"/>
      <w:marLeft w:val="0"/>
      <w:marRight w:val="0"/>
      <w:marTop w:val="0"/>
      <w:marBottom w:val="0"/>
      <w:divBdr>
        <w:top w:val="none" w:sz="0" w:space="0" w:color="auto"/>
        <w:left w:val="none" w:sz="0" w:space="0" w:color="auto"/>
        <w:bottom w:val="none" w:sz="0" w:space="0" w:color="auto"/>
        <w:right w:val="none" w:sz="0" w:space="0" w:color="auto"/>
      </w:divBdr>
    </w:div>
    <w:div w:id="2022395000">
      <w:bodyDiv w:val="1"/>
      <w:marLeft w:val="0"/>
      <w:marRight w:val="0"/>
      <w:marTop w:val="0"/>
      <w:marBottom w:val="0"/>
      <w:divBdr>
        <w:top w:val="none" w:sz="0" w:space="0" w:color="auto"/>
        <w:left w:val="none" w:sz="0" w:space="0" w:color="auto"/>
        <w:bottom w:val="none" w:sz="0" w:space="0" w:color="auto"/>
        <w:right w:val="none" w:sz="0" w:space="0" w:color="auto"/>
      </w:divBdr>
    </w:div>
    <w:div w:id="2022581035">
      <w:bodyDiv w:val="1"/>
      <w:marLeft w:val="0"/>
      <w:marRight w:val="0"/>
      <w:marTop w:val="0"/>
      <w:marBottom w:val="0"/>
      <w:divBdr>
        <w:top w:val="none" w:sz="0" w:space="0" w:color="auto"/>
        <w:left w:val="none" w:sz="0" w:space="0" w:color="auto"/>
        <w:bottom w:val="none" w:sz="0" w:space="0" w:color="auto"/>
        <w:right w:val="none" w:sz="0" w:space="0" w:color="auto"/>
      </w:divBdr>
    </w:div>
    <w:div w:id="2022587705">
      <w:bodyDiv w:val="1"/>
      <w:marLeft w:val="0"/>
      <w:marRight w:val="0"/>
      <w:marTop w:val="0"/>
      <w:marBottom w:val="0"/>
      <w:divBdr>
        <w:top w:val="none" w:sz="0" w:space="0" w:color="auto"/>
        <w:left w:val="none" w:sz="0" w:space="0" w:color="auto"/>
        <w:bottom w:val="none" w:sz="0" w:space="0" w:color="auto"/>
        <w:right w:val="none" w:sz="0" w:space="0" w:color="auto"/>
      </w:divBdr>
    </w:div>
    <w:div w:id="2022777654">
      <w:bodyDiv w:val="1"/>
      <w:marLeft w:val="0"/>
      <w:marRight w:val="0"/>
      <w:marTop w:val="0"/>
      <w:marBottom w:val="0"/>
      <w:divBdr>
        <w:top w:val="none" w:sz="0" w:space="0" w:color="auto"/>
        <w:left w:val="none" w:sz="0" w:space="0" w:color="auto"/>
        <w:bottom w:val="none" w:sz="0" w:space="0" w:color="auto"/>
        <w:right w:val="none" w:sz="0" w:space="0" w:color="auto"/>
      </w:divBdr>
    </w:div>
    <w:div w:id="2022929357">
      <w:bodyDiv w:val="1"/>
      <w:marLeft w:val="0"/>
      <w:marRight w:val="0"/>
      <w:marTop w:val="0"/>
      <w:marBottom w:val="0"/>
      <w:divBdr>
        <w:top w:val="none" w:sz="0" w:space="0" w:color="auto"/>
        <w:left w:val="none" w:sz="0" w:space="0" w:color="auto"/>
        <w:bottom w:val="none" w:sz="0" w:space="0" w:color="auto"/>
        <w:right w:val="none" w:sz="0" w:space="0" w:color="auto"/>
      </w:divBdr>
    </w:div>
    <w:div w:id="2023124638">
      <w:bodyDiv w:val="1"/>
      <w:marLeft w:val="0"/>
      <w:marRight w:val="0"/>
      <w:marTop w:val="0"/>
      <w:marBottom w:val="0"/>
      <w:divBdr>
        <w:top w:val="none" w:sz="0" w:space="0" w:color="auto"/>
        <w:left w:val="none" w:sz="0" w:space="0" w:color="auto"/>
        <w:bottom w:val="none" w:sz="0" w:space="0" w:color="auto"/>
        <w:right w:val="none" w:sz="0" w:space="0" w:color="auto"/>
      </w:divBdr>
    </w:div>
    <w:div w:id="2023126720">
      <w:bodyDiv w:val="1"/>
      <w:marLeft w:val="0"/>
      <w:marRight w:val="0"/>
      <w:marTop w:val="0"/>
      <w:marBottom w:val="0"/>
      <w:divBdr>
        <w:top w:val="none" w:sz="0" w:space="0" w:color="auto"/>
        <w:left w:val="none" w:sz="0" w:space="0" w:color="auto"/>
        <w:bottom w:val="none" w:sz="0" w:space="0" w:color="auto"/>
        <w:right w:val="none" w:sz="0" w:space="0" w:color="auto"/>
      </w:divBdr>
    </w:div>
    <w:div w:id="2023165322">
      <w:bodyDiv w:val="1"/>
      <w:marLeft w:val="0"/>
      <w:marRight w:val="0"/>
      <w:marTop w:val="0"/>
      <w:marBottom w:val="0"/>
      <w:divBdr>
        <w:top w:val="none" w:sz="0" w:space="0" w:color="auto"/>
        <w:left w:val="none" w:sz="0" w:space="0" w:color="auto"/>
        <w:bottom w:val="none" w:sz="0" w:space="0" w:color="auto"/>
        <w:right w:val="none" w:sz="0" w:space="0" w:color="auto"/>
      </w:divBdr>
    </w:div>
    <w:div w:id="2023193306">
      <w:bodyDiv w:val="1"/>
      <w:marLeft w:val="0"/>
      <w:marRight w:val="0"/>
      <w:marTop w:val="0"/>
      <w:marBottom w:val="0"/>
      <w:divBdr>
        <w:top w:val="none" w:sz="0" w:space="0" w:color="auto"/>
        <w:left w:val="none" w:sz="0" w:space="0" w:color="auto"/>
        <w:bottom w:val="none" w:sz="0" w:space="0" w:color="auto"/>
        <w:right w:val="none" w:sz="0" w:space="0" w:color="auto"/>
      </w:divBdr>
    </w:div>
    <w:div w:id="2023433681">
      <w:bodyDiv w:val="1"/>
      <w:marLeft w:val="0"/>
      <w:marRight w:val="0"/>
      <w:marTop w:val="0"/>
      <w:marBottom w:val="0"/>
      <w:divBdr>
        <w:top w:val="none" w:sz="0" w:space="0" w:color="auto"/>
        <w:left w:val="none" w:sz="0" w:space="0" w:color="auto"/>
        <w:bottom w:val="none" w:sz="0" w:space="0" w:color="auto"/>
        <w:right w:val="none" w:sz="0" w:space="0" w:color="auto"/>
      </w:divBdr>
    </w:div>
    <w:div w:id="2023509999">
      <w:bodyDiv w:val="1"/>
      <w:marLeft w:val="0"/>
      <w:marRight w:val="0"/>
      <w:marTop w:val="0"/>
      <w:marBottom w:val="0"/>
      <w:divBdr>
        <w:top w:val="none" w:sz="0" w:space="0" w:color="auto"/>
        <w:left w:val="none" w:sz="0" w:space="0" w:color="auto"/>
        <w:bottom w:val="none" w:sz="0" w:space="0" w:color="auto"/>
        <w:right w:val="none" w:sz="0" w:space="0" w:color="auto"/>
      </w:divBdr>
    </w:div>
    <w:div w:id="2023703403">
      <w:bodyDiv w:val="1"/>
      <w:marLeft w:val="0"/>
      <w:marRight w:val="0"/>
      <w:marTop w:val="0"/>
      <w:marBottom w:val="0"/>
      <w:divBdr>
        <w:top w:val="none" w:sz="0" w:space="0" w:color="auto"/>
        <w:left w:val="none" w:sz="0" w:space="0" w:color="auto"/>
        <w:bottom w:val="none" w:sz="0" w:space="0" w:color="auto"/>
        <w:right w:val="none" w:sz="0" w:space="0" w:color="auto"/>
      </w:divBdr>
    </w:div>
    <w:div w:id="2023773786">
      <w:bodyDiv w:val="1"/>
      <w:marLeft w:val="0"/>
      <w:marRight w:val="0"/>
      <w:marTop w:val="0"/>
      <w:marBottom w:val="0"/>
      <w:divBdr>
        <w:top w:val="none" w:sz="0" w:space="0" w:color="auto"/>
        <w:left w:val="none" w:sz="0" w:space="0" w:color="auto"/>
        <w:bottom w:val="none" w:sz="0" w:space="0" w:color="auto"/>
        <w:right w:val="none" w:sz="0" w:space="0" w:color="auto"/>
      </w:divBdr>
    </w:div>
    <w:div w:id="2023819645">
      <w:bodyDiv w:val="1"/>
      <w:marLeft w:val="0"/>
      <w:marRight w:val="0"/>
      <w:marTop w:val="0"/>
      <w:marBottom w:val="0"/>
      <w:divBdr>
        <w:top w:val="none" w:sz="0" w:space="0" w:color="auto"/>
        <w:left w:val="none" w:sz="0" w:space="0" w:color="auto"/>
        <w:bottom w:val="none" w:sz="0" w:space="0" w:color="auto"/>
        <w:right w:val="none" w:sz="0" w:space="0" w:color="auto"/>
      </w:divBdr>
    </w:div>
    <w:div w:id="2023898958">
      <w:bodyDiv w:val="1"/>
      <w:marLeft w:val="0"/>
      <w:marRight w:val="0"/>
      <w:marTop w:val="0"/>
      <w:marBottom w:val="0"/>
      <w:divBdr>
        <w:top w:val="none" w:sz="0" w:space="0" w:color="auto"/>
        <w:left w:val="none" w:sz="0" w:space="0" w:color="auto"/>
        <w:bottom w:val="none" w:sz="0" w:space="0" w:color="auto"/>
        <w:right w:val="none" w:sz="0" w:space="0" w:color="auto"/>
      </w:divBdr>
    </w:div>
    <w:div w:id="2024015856">
      <w:bodyDiv w:val="1"/>
      <w:marLeft w:val="0"/>
      <w:marRight w:val="0"/>
      <w:marTop w:val="0"/>
      <w:marBottom w:val="0"/>
      <w:divBdr>
        <w:top w:val="none" w:sz="0" w:space="0" w:color="auto"/>
        <w:left w:val="none" w:sz="0" w:space="0" w:color="auto"/>
        <w:bottom w:val="none" w:sz="0" w:space="0" w:color="auto"/>
        <w:right w:val="none" w:sz="0" w:space="0" w:color="auto"/>
      </w:divBdr>
    </w:div>
    <w:div w:id="2024046400">
      <w:bodyDiv w:val="1"/>
      <w:marLeft w:val="0"/>
      <w:marRight w:val="0"/>
      <w:marTop w:val="0"/>
      <w:marBottom w:val="0"/>
      <w:divBdr>
        <w:top w:val="none" w:sz="0" w:space="0" w:color="auto"/>
        <w:left w:val="none" w:sz="0" w:space="0" w:color="auto"/>
        <w:bottom w:val="none" w:sz="0" w:space="0" w:color="auto"/>
        <w:right w:val="none" w:sz="0" w:space="0" w:color="auto"/>
      </w:divBdr>
    </w:div>
    <w:div w:id="2024093374">
      <w:bodyDiv w:val="1"/>
      <w:marLeft w:val="0"/>
      <w:marRight w:val="0"/>
      <w:marTop w:val="0"/>
      <w:marBottom w:val="0"/>
      <w:divBdr>
        <w:top w:val="none" w:sz="0" w:space="0" w:color="auto"/>
        <w:left w:val="none" w:sz="0" w:space="0" w:color="auto"/>
        <w:bottom w:val="none" w:sz="0" w:space="0" w:color="auto"/>
        <w:right w:val="none" w:sz="0" w:space="0" w:color="auto"/>
      </w:divBdr>
    </w:div>
    <w:div w:id="2024160043">
      <w:bodyDiv w:val="1"/>
      <w:marLeft w:val="0"/>
      <w:marRight w:val="0"/>
      <w:marTop w:val="0"/>
      <w:marBottom w:val="0"/>
      <w:divBdr>
        <w:top w:val="none" w:sz="0" w:space="0" w:color="auto"/>
        <w:left w:val="none" w:sz="0" w:space="0" w:color="auto"/>
        <w:bottom w:val="none" w:sz="0" w:space="0" w:color="auto"/>
        <w:right w:val="none" w:sz="0" w:space="0" w:color="auto"/>
      </w:divBdr>
    </w:div>
    <w:div w:id="2024163046">
      <w:bodyDiv w:val="1"/>
      <w:marLeft w:val="0"/>
      <w:marRight w:val="0"/>
      <w:marTop w:val="0"/>
      <w:marBottom w:val="0"/>
      <w:divBdr>
        <w:top w:val="none" w:sz="0" w:space="0" w:color="auto"/>
        <w:left w:val="none" w:sz="0" w:space="0" w:color="auto"/>
        <w:bottom w:val="none" w:sz="0" w:space="0" w:color="auto"/>
        <w:right w:val="none" w:sz="0" w:space="0" w:color="auto"/>
      </w:divBdr>
    </w:div>
    <w:div w:id="2024164830">
      <w:bodyDiv w:val="1"/>
      <w:marLeft w:val="0"/>
      <w:marRight w:val="0"/>
      <w:marTop w:val="0"/>
      <w:marBottom w:val="0"/>
      <w:divBdr>
        <w:top w:val="none" w:sz="0" w:space="0" w:color="auto"/>
        <w:left w:val="none" w:sz="0" w:space="0" w:color="auto"/>
        <w:bottom w:val="none" w:sz="0" w:space="0" w:color="auto"/>
        <w:right w:val="none" w:sz="0" w:space="0" w:color="auto"/>
      </w:divBdr>
    </w:div>
    <w:div w:id="2024278762">
      <w:bodyDiv w:val="1"/>
      <w:marLeft w:val="0"/>
      <w:marRight w:val="0"/>
      <w:marTop w:val="0"/>
      <w:marBottom w:val="0"/>
      <w:divBdr>
        <w:top w:val="none" w:sz="0" w:space="0" w:color="auto"/>
        <w:left w:val="none" w:sz="0" w:space="0" w:color="auto"/>
        <w:bottom w:val="none" w:sz="0" w:space="0" w:color="auto"/>
        <w:right w:val="none" w:sz="0" w:space="0" w:color="auto"/>
      </w:divBdr>
    </w:div>
    <w:div w:id="2024355930">
      <w:bodyDiv w:val="1"/>
      <w:marLeft w:val="0"/>
      <w:marRight w:val="0"/>
      <w:marTop w:val="0"/>
      <w:marBottom w:val="0"/>
      <w:divBdr>
        <w:top w:val="none" w:sz="0" w:space="0" w:color="auto"/>
        <w:left w:val="none" w:sz="0" w:space="0" w:color="auto"/>
        <w:bottom w:val="none" w:sz="0" w:space="0" w:color="auto"/>
        <w:right w:val="none" w:sz="0" w:space="0" w:color="auto"/>
      </w:divBdr>
    </w:div>
    <w:div w:id="2024356574">
      <w:bodyDiv w:val="1"/>
      <w:marLeft w:val="0"/>
      <w:marRight w:val="0"/>
      <w:marTop w:val="0"/>
      <w:marBottom w:val="0"/>
      <w:divBdr>
        <w:top w:val="none" w:sz="0" w:space="0" w:color="auto"/>
        <w:left w:val="none" w:sz="0" w:space="0" w:color="auto"/>
        <w:bottom w:val="none" w:sz="0" w:space="0" w:color="auto"/>
        <w:right w:val="none" w:sz="0" w:space="0" w:color="auto"/>
      </w:divBdr>
    </w:div>
    <w:div w:id="2024356992">
      <w:bodyDiv w:val="1"/>
      <w:marLeft w:val="0"/>
      <w:marRight w:val="0"/>
      <w:marTop w:val="0"/>
      <w:marBottom w:val="0"/>
      <w:divBdr>
        <w:top w:val="none" w:sz="0" w:space="0" w:color="auto"/>
        <w:left w:val="none" w:sz="0" w:space="0" w:color="auto"/>
        <w:bottom w:val="none" w:sz="0" w:space="0" w:color="auto"/>
        <w:right w:val="none" w:sz="0" w:space="0" w:color="auto"/>
      </w:divBdr>
    </w:div>
    <w:div w:id="2024358046">
      <w:bodyDiv w:val="1"/>
      <w:marLeft w:val="0"/>
      <w:marRight w:val="0"/>
      <w:marTop w:val="0"/>
      <w:marBottom w:val="0"/>
      <w:divBdr>
        <w:top w:val="none" w:sz="0" w:space="0" w:color="auto"/>
        <w:left w:val="none" w:sz="0" w:space="0" w:color="auto"/>
        <w:bottom w:val="none" w:sz="0" w:space="0" w:color="auto"/>
        <w:right w:val="none" w:sz="0" w:space="0" w:color="auto"/>
      </w:divBdr>
    </w:div>
    <w:div w:id="2024472775">
      <w:bodyDiv w:val="1"/>
      <w:marLeft w:val="0"/>
      <w:marRight w:val="0"/>
      <w:marTop w:val="0"/>
      <w:marBottom w:val="0"/>
      <w:divBdr>
        <w:top w:val="none" w:sz="0" w:space="0" w:color="auto"/>
        <w:left w:val="none" w:sz="0" w:space="0" w:color="auto"/>
        <w:bottom w:val="none" w:sz="0" w:space="0" w:color="auto"/>
        <w:right w:val="none" w:sz="0" w:space="0" w:color="auto"/>
      </w:divBdr>
    </w:div>
    <w:div w:id="2024472777">
      <w:bodyDiv w:val="1"/>
      <w:marLeft w:val="0"/>
      <w:marRight w:val="0"/>
      <w:marTop w:val="0"/>
      <w:marBottom w:val="0"/>
      <w:divBdr>
        <w:top w:val="none" w:sz="0" w:space="0" w:color="auto"/>
        <w:left w:val="none" w:sz="0" w:space="0" w:color="auto"/>
        <w:bottom w:val="none" w:sz="0" w:space="0" w:color="auto"/>
        <w:right w:val="none" w:sz="0" w:space="0" w:color="auto"/>
      </w:divBdr>
    </w:div>
    <w:div w:id="2024473751">
      <w:bodyDiv w:val="1"/>
      <w:marLeft w:val="0"/>
      <w:marRight w:val="0"/>
      <w:marTop w:val="0"/>
      <w:marBottom w:val="0"/>
      <w:divBdr>
        <w:top w:val="none" w:sz="0" w:space="0" w:color="auto"/>
        <w:left w:val="none" w:sz="0" w:space="0" w:color="auto"/>
        <w:bottom w:val="none" w:sz="0" w:space="0" w:color="auto"/>
        <w:right w:val="none" w:sz="0" w:space="0" w:color="auto"/>
      </w:divBdr>
    </w:div>
    <w:div w:id="2024551234">
      <w:bodyDiv w:val="1"/>
      <w:marLeft w:val="0"/>
      <w:marRight w:val="0"/>
      <w:marTop w:val="0"/>
      <w:marBottom w:val="0"/>
      <w:divBdr>
        <w:top w:val="none" w:sz="0" w:space="0" w:color="auto"/>
        <w:left w:val="none" w:sz="0" w:space="0" w:color="auto"/>
        <w:bottom w:val="none" w:sz="0" w:space="0" w:color="auto"/>
        <w:right w:val="none" w:sz="0" w:space="0" w:color="auto"/>
      </w:divBdr>
    </w:div>
    <w:div w:id="2024629133">
      <w:bodyDiv w:val="1"/>
      <w:marLeft w:val="0"/>
      <w:marRight w:val="0"/>
      <w:marTop w:val="0"/>
      <w:marBottom w:val="0"/>
      <w:divBdr>
        <w:top w:val="none" w:sz="0" w:space="0" w:color="auto"/>
        <w:left w:val="none" w:sz="0" w:space="0" w:color="auto"/>
        <w:bottom w:val="none" w:sz="0" w:space="0" w:color="auto"/>
        <w:right w:val="none" w:sz="0" w:space="0" w:color="auto"/>
      </w:divBdr>
    </w:div>
    <w:div w:id="2024673144">
      <w:bodyDiv w:val="1"/>
      <w:marLeft w:val="0"/>
      <w:marRight w:val="0"/>
      <w:marTop w:val="0"/>
      <w:marBottom w:val="0"/>
      <w:divBdr>
        <w:top w:val="none" w:sz="0" w:space="0" w:color="auto"/>
        <w:left w:val="none" w:sz="0" w:space="0" w:color="auto"/>
        <w:bottom w:val="none" w:sz="0" w:space="0" w:color="auto"/>
        <w:right w:val="none" w:sz="0" w:space="0" w:color="auto"/>
      </w:divBdr>
    </w:div>
    <w:div w:id="2024696572">
      <w:bodyDiv w:val="1"/>
      <w:marLeft w:val="0"/>
      <w:marRight w:val="0"/>
      <w:marTop w:val="0"/>
      <w:marBottom w:val="0"/>
      <w:divBdr>
        <w:top w:val="none" w:sz="0" w:space="0" w:color="auto"/>
        <w:left w:val="none" w:sz="0" w:space="0" w:color="auto"/>
        <w:bottom w:val="none" w:sz="0" w:space="0" w:color="auto"/>
        <w:right w:val="none" w:sz="0" w:space="0" w:color="auto"/>
      </w:divBdr>
    </w:div>
    <w:div w:id="2024892258">
      <w:bodyDiv w:val="1"/>
      <w:marLeft w:val="0"/>
      <w:marRight w:val="0"/>
      <w:marTop w:val="0"/>
      <w:marBottom w:val="0"/>
      <w:divBdr>
        <w:top w:val="none" w:sz="0" w:space="0" w:color="auto"/>
        <w:left w:val="none" w:sz="0" w:space="0" w:color="auto"/>
        <w:bottom w:val="none" w:sz="0" w:space="0" w:color="auto"/>
        <w:right w:val="none" w:sz="0" w:space="0" w:color="auto"/>
      </w:divBdr>
    </w:div>
    <w:div w:id="2025017434">
      <w:bodyDiv w:val="1"/>
      <w:marLeft w:val="0"/>
      <w:marRight w:val="0"/>
      <w:marTop w:val="0"/>
      <w:marBottom w:val="0"/>
      <w:divBdr>
        <w:top w:val="none" w:sz="0" w:space="0" w:color="auto"/>
        <w:left w:val="none" w:sz="0" w:space="0" w:color="auto"/>
        <w:bottom w:val="none" w:sz="0" w:space="0" w:color="auto"/>
        <w:right w:val="none" w:sz="0" w:space="0" w:color="auto"/>
      </w:divBdr>
    </w:div>
    <w:div w:id="2025090801">
      <w:bodyDiv w:val="1"/>
      <w:marLeft w:val="0"/>
      <w:marRight w:val="0"/>
      <w:marTop w:val="0"/>
      <w:marBottom w:val="0"/>
      <w:divBdr>
        <w:top w:val="none" w:sz="0" w:space="0" w:color="auto"/>
        <w:left w:val="none" w:sz="0" w:space="0" w:color="auto"/>
        <w:bottom w:val="none" w:sz="0" w:space="0" w:color="auto"/>
        <w:right w:val="none" w:sz="0" w:space="0" w:color="auto"/>
      </w:divBdr>
    </w:div>
    <w:div w:id="2025129054">
      <w:bodyDiv w:val="1"/>
      <w:marLeft w:val="0"/>
      <w:marRight w:val="0"/>
      <w:marTop w:val="0"/>
      <w:marBottom w:val="0"/>
      <w:divBdr>
        <w:top w:val="none" w:sz="0" w:space="0" w:color="auto"/>
        <w:left w:val="none" w:sz="0" w:space="0" w:color="auto"/>
        <w:bottom w:val="none" w:sz="0" w:space="0" w:color="auto"/>
        <w:right w:val="none" w:sz="0" w:space="0" w:color="auto"/>
      </w:divBdr>
    </w:div>
    <w:div w:id="2025131130">
      <w:bodyDiv w:val="1"/>
      <w:marLeft w:val="0"/>
      <w:marRight w:val="0"/>
      <w:marTop w:val="0"/>
      <w:marBottom w:val="0"/>
      <w:divBdr>
        <w:top w:val="none" w:sz="0" w:space="0" w:color="auto"/>
        <w:left w:val="none" w:sz="0" w:space="0" w:color="auto"/>
        <w:bottom w:val="none" w:sz="0" w:space="0" w:color="auto"/>
        <w:right w:val="none" w:sz="0" w:space="0" w:color="auto"/>
      </w:divBdr>
    </w:div>
    <w:div w:id="2025205767">
      <w:bodyDiv w:val="1"/>
      <w:marLeft w:val="0"/>
      <w:marRight w:val="0"/>
      <w:marTop w:val="0"/>
      <w:marBottom w:val="0"/>
      <w:divBdr>
        <w:top w:val="none" w:sz="0" w:space="0" w:color="auto"/>
        <w:left w:val="none" w:sz="0" w:space="0" w:color="auto"/>
        <w:bottom w:val="none" w:sz="0" w:space="0" w:color="auto"/>
        <w:right w:val="none" w:sz="0" w:space="0" w:color="auto"/>
      </w:divBdr>
    </w:div>
    <w:div w:id="2025208757">
      <w:bodyDiv w:val="1"/>
      <w:marLeft w:val="0"/>
      <w:marRight w:val="0"/>
      <w:marTop w:val="0"/>
      <w:marBottom w:val="0"/>
      <w:divBdr>
        <w:top w:val="none" w:sz="0" w:space="0" w:color="auto"/>
        <w:left w:val="none" w:sz="0" w:space="0" w:color="auto"/>
        <w:bottom w:val="none" w:sz="0" w:space="0" w:color="auto"/>
        <w:right w:val="none" w:sz="0" w:space="0" w:color="auto"/>
      </w:divBdr>
    </w:div>
    <w:div w:id="2025210765">
      <w:bodyDiv w:val="1"/>
      <w:marLeft w:val="0"/>
      <w:marRight w:val="0"/>
      <w:marTop w:val="0"/>
      <w:marBottom w:val="0"/>
      <w:divBdr>
        <w:top w:val="none" w:sz="0" w:space="0" w:color="auto"/>
        <w:left w:val="none" w:sz="0" w:space="0" w:color="auto"/>
        <w:bottom w:val="none" w:sz="0" w:space="0" w:color="auto"/>
        <w:right w:val="none" w:sz="0" w:space="0" w:color="auto"/>
      </w:divBdr>
    </w:div>
    <w:div w:id="2025282275">
      <w:bodyDiv w:val="1"/>
      <w:marLeft w:val="0"/>
      <w:marRight w:val="0"/>
      <w:marTop w:val="0"/>
      <w:marBottom w:val="0"/>
      <w:divBdr>
        <w:top w:val="none" w:sz="0" w:space="0" w:color="auto"/>
        <w:left w:val="none" w:sz="0" w:space="0" w:color="auto"/>
        <w:bottom w:val="none" w:sz="0" w:space="0" w:color="auto"/>
        <w:right w:val="none" w:sz="0" w:space="0" w:color="auto"/>
      </w:divBdr>
    </w:div>
    <w:div w:id="2025326689">
      <w:bodyDiv w:val="1"/>
      <w:marLeft w:val="0"/>
      <w:marRight w:val="0"/>
      <w:marTop w:val="0"/>
      <w:marBottom w:val="0"/>
      <w:divBdr>
        <w:top w:val="none" w:sz="0" w:space="0" w:color="auto"/>
        <w:left w:val="none" w:sz="0" w:space="0" w:color="auto"/>
        <w:bottom w:val="none" w:sz="0" w:space="0" w:color="auto"/>
        <w:right w:val="none" w:sz="0" w:space="0" w:color="auto"/>
      </w:divBdr>
    </w:div>
    <w:div w:id="2025401972">
      <w:bodyDiv w:val="1"/>
      <w:marLeft w:val="0"/>
      <w:marRight w:val="0"/>
      <w:marTop w:val="0"/>
      <w:marBottom w:val="0"/>
      <w:divBdr>
        <w:top w:val="none" w:sz="0" w:space="0" w:color="auto"/>
        <w:left w:val="none" w:sz="0" w:space="0" w:color="auto"/>
        <w:bottom w:val="none" w:sz="0" w:space="0" w:color="auto"/>
        <w:right w:val="none" w:sz="0" w:space="0" w:color="auto"/>
      </w:divBdr>
    </w:div>
    <w:div w:id="2025551856">
      <w:bodyDiv w:val="1"/>
      <w:marLeft w:val="0"/>
      <w:marRight w:val="0"/>
      <w:marTop w:val="0"/>
      <w:marBottom w:val="0"/>
      <w:divBdr>
        <w:top w:val="none" w:sz="0" w:space="0" w:color="auto"/>
        <w:left w:val="none" w:sz="0" w:space="0" w:color="auto"/>
        <w:bottom w:val="none" w:sz="0" w:space="0" w:color="auto"/>
        <w:right w:val="none" w:sz="0" w:space="0" w:color="auto"/>
      </w:divBdr>
    </w:div>
    <w:div w:id="2025592429">
      <w:bodyDiv w:val="1"/>
      <w:marLeft w:val="0"/>
      <w:marRight w:val="0"/>
      <w:marTop w:val="0"/>
      <w:marBottom w:val="0"/>
      <w:divBdr>
        <w:top w:val="none" w:sz="0" w:space="0" w:color="auto"/>
        <w:left w:val="none" w:sz="0" w:space="0" w:color="auto"/>
        <w:bottom w:val="none" w:sz="0" w:space="0" w:color="auto"/>
        <w:right w:val="none" w:sz="0" w:space="0" w:color="auto"/>
      </w:divBdr>
    </w:div>
    <w:div w:id="2025594257">
      <w:bodyDiv w:val="1"/>
      <w:marLeft w:val="0"/>
      <w:marRight w:val="0"/>
      <w:marTop w:val="0"/>
      <w:marBottom w:val="0"/>
      <w:divBdr>
        <w:top w:val="none" w:sz="0" w:space="0" w:color="auto"/>
        <w:left w:val="none" w:sz="0" w:space="0" w:color="auto"/>
        <w:bottom w:val="none" w:sz="0" w:space="0" w:color="auto"/>
        <w:right w:val="none" w:sz="0" w:space="0" w:color="auto"/>
      </w:divBdr>
    </w:div>
    <w:div w:id="2025814150">
      <w:bodyDiv w:val="1"/>
      <w:marLeft w:val="0"/>
      <w:marRight w:val="0"/>
      <w:marTop w:val="0"/>
      <w:marBottom w:val="0"/>
      <w:divBdr>
        <w:top w:val="none" w:sz="0" w:space="0" w:color="auto"/>
        <w:left w:val="none" w:sz="0" w:space="0" w:color="auto"/>
        <w:bottom w:val="none" w:sz="0" w:space="0" w:color="auto"/>
        <w:right w:val="none" w:sz="0" w:space="0" w:color="auto"/>
      </w:divBdr>
    </w:div>
    <w:div w:id="2025933628">
      <w:bodyDiv w:val="1"/>
      <w:marLeft w:val="0"/>
      <w:marRight w:val="0"/>
      <w:marTop w:val="0"/>
      <w:marBottom w:val="0"/>
      <w:divBdr>
        <w:top w:val="none" w:sz="0" w:space="0" w:color="auto"/>
        <w:left w:val="none" w:sz="0" w:space="0" w:color="auto"/>
        <w:bottom w:val="none" w:sz="0" w:space="0" w:color="auto"/>
        <w:right w:val="none" w:sz="0" w:space="0" w:color="auto"/>
      </w:divBdr>
    </w:div>
    <w:div w:id="2025939937">
      <w:bodyDiv w:val="1"/>
      <w:marLeft w:val="0"/>
      <w:marRight w:val="0"/>
      <w:marTop w:val="0"/>
      <w:marBottom w:val="0"/>
      <w:divBdr>
        <w:top w:val="none" w:sz="0" w:space="0" w:color="auto"/>
        <w:left w:val="none" w:sz="0" w:space="0" w:color="auto"/>
        <w:bottom w:val="none" w:sz="0" w:space="0" w:color="auto"/>
        <w:right w:val="none" w:sz="0" w:space="0" w:color="auto"/>
      </w:divBdr>
    </w:div>
    <w:div w:id="2026011264">
      <w:bodyDiv w:val="1"/>
      <w:marLeft w:val="0"/>
      <w:marRight w:val="0"/>
      <w:marTop w:val="0"/>
      <w:marBottom w:val="0"/>
      <w:divBdr>
        <w:top w:val="none" w:sz="0" w:space="0" w:color="auto"/>
        <w:left w:val="none" w:sz="0" w:space="0" w:color="auto"/>
        <w:bottom w:val="none" w:sz="0" w:space="0" w:color="auto"/>
        <w:right w:val="none" w:sz="0" w:space="0" w:color="auto"/>
      </w:divBdr>
    </w:div>
    <w:div w:id="2026056630">
      <w:bodyDiv w:val="1"/>
      <w:marLeft w:val="0"/>
      <w:marRight w:val="0"/>
      <w:marTop w:val="0"/>
      <w:marBottom w:val="0"/>
      <w:divBdr>
        <w:top w:val="none" w:sz="0" w:space="0" w:color="auto"/>
        <w:left w:val="none" w:sz="0" w:space="0" w:color="auto"/>
        <w:bottom w:val="none" w:sz="0" w:space="0" w:color="auto"/>
        <w:right w:val="none" w:sz="0" w:space="0" w:color="auto"/>
      </w:divBdr>
    </w:div>
    <w:div w:id="2026128994">
      <w:bodyDiv w:val="1"/>
      <w:marLeft w:val="0"/>
      <w:marRight w:val="0"/>
      <w:marTop w:val="0"/>
      <w:marBottom w:val="0"/>
      <w:divBdr>
        <w:top w:val="none" w:sz="0" w:space="0" w:color="auto"/>
        <w:left w:val="none" w:sz="0" w:space="0" w:color="auto"/>
        <w:bottom w:val="none" w:sz="0" w:space="0" w:color="auto"/>
        <w:right w:val="none" w:sz="0" w:space="0" w:color="auto"/>
      </w:divBdr>
    </w:div>
    <w:div w:id="2026132806">
      <w:bodyDiv w:val="1"/>
      <w:marLeft w:val="0"/>
      <w:marRight w:val="0"/>
      <w:marTop w:val="0"/>
      <w:marBottom w:val="0"/>
      <w:divBdr>
        <w:top w:val="none" w:sz="0" w:space="0" w:color="auto"/>
        <w:left w:val="none" w:sz="0" w:space="0" w:color="auto"/>
        <w:bottom w:val="none" w:sz="0" w:space="0" w:color="auto"/>
        <w:right w:val="none" w:sz="0" w:space="0" w:color="auto"/>
      </w:divBdr>
    </w:div>
    <w:div w:id="2026326527">
      <w:bodyDiv w:val="1"/>
      <w:marLeft w:val="0"/>
      <w:marRight w:val="0"/>
      <w:marTop w:val="0"/>
      <w:marBottom w:val="0"/>
      <w:divBdr>
        <w:top w:val="none" w:sz="0" w:space="0" w:color="auto"/>
        <w:left w:val="none" w:sz="0" w:space="0" w:color="auto"/>
        <w:bottom w:val="none" w:sz="0" w:space="0" w:color="auto"/>
        <w:right w:val="none" w:sz="0" w:space="0" w:color="auto"/>
      </w:divBdr>
    </w:div>
    <w:div w:id="2026514601">
      <w:bodyDiv w:val="1"/>
      <w:marLeft w:val="0"/>
      <w:marRight w:val="0"/>
      <w:marTop w:val="0"/>
      <w:marBottom w:val="0"/>
      <w:divBdr>
        <w:top w:val="none" w:sz="0" w:space="0" w:color="auto"/>
        <w:left w:val="none" w:sz="0" w:space="0" w:color="auto"/>
        <w:bottom w:val="none" w:sz="0" w:space="0" w:color="auto"/>
        <w:right w:val="none" w:sz="0" w:space="0" w:color="auto"/>
      </w:divBdr>
    </w:div>
    <w:div w:id="2026635831">
      <w:bodyDiv w:val="1"/>
      <w:marLeft w:val="0"/>
      <w:marRight w:val="0"/>
      <w:marTop w:val="0"/>
      <w:marBottom w:val="0"/>
      <w:divBdr>
        <w:top w:val="none" w:sz="0" w:space="0" w:color="auto"/>
        <w:left w:val="none" w:sz="0" w:space="0" w:color="auto"/>
        <w:bottom w:val="none" w:sz="0" w:space="0" w:color="auto"/>
        <w:right w:val="none" w:sz="0" w:space="0" w:color="auto"/>
      </w:divBdr>
    </w:div>
    <w:div w:id="2026709508">
      <w:bodyDiv w:val="1"/>
      <w:marLeft w:val="0"/>
      <w:marRight w:val="0"/>
      <w:marTop w:val="0"/>
      <w:marBottom w:val="0"/>
      <w:divBdr>
        <w:top w:val="none" w:sz="0" w:space="0" w:color="auto"/>
        <w:left w:val="none" w:sz="0" w:space="0" w:color="auto"/>
        <w:bottom w:val="none" w:sz="0" w:space="0" w:color="auto"/>
        <w:right w:val="none" w:sz="0" w:space="0" w:color="auto"/>
      </w:divBdr>
    </w:div>
    <w:div w:id="2026861118">
      <w:bodyDiv w:val="1"/>
      <w:marLeft w:val="0"/>
      <w:marRight w:val="0"/>
      <w:marTop w:val="0"/>
      <w:marBottom w:val="0"/>
      <w:divBdr>
        <w:top w:val="none" w:sz="0" w:space="0" w:color="auto"/>
        <w:left w:val="none" w:sz="0" w:space="0" w:color="auto"/>
        <w:bottom w:val="none" w:sz="0" w:space="0" w:color="auto"/>
        <w:right w:val="none" w:sz="0" w:space="0" w:color="auto"/>
      </w:divBdr>
    </w:div>
    <w:div w:id="2026975483">
      <w:bodyDiv w:val="1"/>
      <w:marLeft w:val="0"/>
      <w:marRight w:val="0"/>
      <w:marTop w:val="0"/>
      <w:marBottom w:val="0"/>
      <w:divBdr>
        <w:top w:val="none" w:sz="0" w:space="0" w:color="auto"/>
        <w:left w:val="none" w:sz="0" w:space="0" w:color="auto"/>
        <w:bottom w:val="none" w:sz="0" w:space="0" w:color="auto"/>
        <w:right w:val="none" w:sz="0" w:space="0" w:color="auto"/>
      </w:divBdr>
    </w:div>
    <w:div w:id="2027172628">
      <w:bodyDiv w:val="1"/>
      <w:marLeft w:val="0"/>
      <w:marRight w:val="0"/>
      <w:marTop w:val="0"/>
      <w:marBottom w:val="0"/>
      <w:divBdr>
        <w:top w:val="none" w:sz="0" w:space="0" w:color="auto"/>
        <w:left w:val="none" w:sz="0" w:space="0" w:color="auto"/>
        <w:bottom w:val="none" w:sz="0" w:space="0" w:color="auto"/>
        <w:right w:val="none" w:sz="0" w:space="0" w:color="auto"/>
      </w:divBdr>
    </w:div>
    <w:div w:id="2027173065">
      <w:bodyDiv w:val="1"/>
      <w:marLeft w:val="0"/>
      <w:marRight w:val="0"/>
      <w:marTop w:val="0"/>
      <w:marBottom w:val="0"/>
      <w:divBdr>
        <w:top w:val="none" w:sz="0" w:space="0" w:color="auto"/>
        <w:left w:val="none" w:sz="0" w:space="0" w:color="auto"/>
        <w:bottom w:val="none" w:sz="0" w:space="0" w:color="auto"/>
        <w:right w:val="none" w:sz="0" w:space="0" w:color="auto"/>
      </w:divBdr>
    </w:div>
    <w:div w:id="2027174130">
      <w:bodyDiv w:val="1"/>
      <w:marLeft w:val="0"/>
      <w:marRight w:val="0"/>
      <w:marTop w:val="0"/>
      <w:marBottom w:val="0"/>
      <w:divBdr>
        <w:top w:val="none" w:sz="0" w:space="0" w:color="auto"/>
        <w:left w:val="none" w:sz="0" w:space="0" w:color="auto"/>
        <w:bottom w:val="none" w:sz="0" w:space="0" w:color="auto"/>
        <w:right w:val="none" w:sz="0" w:space="0" w:color="auto"/>
      </w:divBdr>
    </w:div>
    <w:div w:id="2027251205">
      <w:bodyDiv w:val="1"/>
      <w:marLeft w:val="0"/>
      <w:marRight w:val="0"/>
      <w:marTop w:val="0"/>
      <w:marBottom w:val="0"/>
      <w:divBdr>
        <w:top w:val="none" w:sz="0" w:space="0" w:color="auto"/>
        <w:left w:val="none" w:sz="0" w:space="0" w:color="auto"/>
        <w:bottom w:val="none" w:sz="0" w:space="0" w:color="auto"/>
        <w:right w:val="none" w:sz="0" w:space="0" w:color="auto"/>
      </w:divBdr>
    </w:div>
    <w:div w:id="2027319071">
      <w:bodyDiv w:val="1"/>
      <w:marLeft w:val="0"/>
      <w:marRight w:val="0"/>
      <w:marTop w:val="0"/>
      <w:marBottom w:val="0"/>
      <w:divBdr>
        <w:top w:val="none" w:sz="0" w:space="0" w:color="auto"/>
        <w:left w:val="none" w:sz="0" w:space="0" w:color="auto"/>
        <w:bottom w:val="none" w:sz="0" w:space="0" w:color="auto"/>
        <w:right w:val="none" w:sz="0" w:space="0" w:color="auto"/>
      </w:divBdr>
    </w:div>
    <w:div w:id="2027369547">
      <w:bodyDiv w:val="1"/>
      <w:marLeft w:val="0"/>
      <w:marRight w:val="0"/>
      <w:marTop w:val="0"/>
      <w:marBottom w:val="0"/>
      <w:divBdr>
        <w:top w:val="none" w:sz="0" w:space="0" w:color="auto"/>
        <w:left w:val="none" w:sz="0" w:space="0" w:color="auto"/>
        <w:bottom w:val="none" w:sz="0" w:space="0" w:color="auto"/>
        <w:right w:val="none" w:sz="0" w:space="0" w:color="auto"/>
      </w:divBdr>
    </w:div>
    <w:div w:id="2027435758">
      <w:bodyDiv w:val="1"/>
      <w:marLeft w:val="0"/>
      <w:marRight w:val="0"/>
      <w:marTop w:val="0"/>
      <w:marBottom w:val="0"/>
      <w:divBdr>
        <w:top w:val="none" w:sz="0" w:space="0" w:color="auto"/>
        <w:left w:val="none" w:sz="0" w:space="0" w:color="auto"/>
        <w:bottom w:val="none" w:sz="0" w:space="0" w:color="auto"/>
        <w:right w:val="none" w:sz="0" w:space="0" w:color="auto"/>
      </w:divBdr>
    </w:div>
    <w:div w:id="2027629099">
      <w:bodyDiv w:val="1"/>
      <w:marLeft w:val="0"/>
      <w:marRight w:val="0"/>
      <w:marTop w:val="0"/>
      <w:marBottom w:val="0"/>
      <w:divBdr>
        <w:top w:val="none" w:sz="0" w:space="0" w:color="auto"/>
        <w:left w:val="none" w:sz="0" w:space="0" w:color="auto"/>
        <w:bottom w:val="none" w:sz="0" w:space="0" w:color="auto"/>
        <w:right w:val="none" w:sz="0" w:space="0" w:color="auto"/>
      </w:divBdr>
    </w:div>
    <w:div w:id="2027712936">
      <w:bodyDiv w:val="1"/>
      <w:marLeft w:val="0"/>
      <w:marRight w:val="0"/>
      <w:marTop w:val="0"/>
      <w:marBottom w:val="0"/>
      <w:divBdr>
        <w:top w:val="none" w:sz="0" w:space="0" w:color="auto"/>
        <w:left w:val="none" w:sz="0" w:space="0" w:color="auto"/>
        <w:bottom w:val="none" w:sz="0" w:space="0" w:color="auto"/>
        <w:right w:val="none" w:sz="0" w:space="0" w:color="auto"/>
      </w:divBdr>
    </w:div>
    <w:div w:id="2027831482">
      <w:bodyDiv w:val="1"/>
      <w:marLeft w:val="0"/>
      <w:marRight w:val="0"/>
      <w:marTop w:val="0"/>
      <w:marBottom w:val="0"/>
      <w:divBdr>
        <w:top w:val="none" w:sz="0" w:space="0" w:color="auto"/>
        <w:left w:val="none" w:sz="0" w:space="0" w:color="auto"/>
        <w:bottom w:val="none" w:sz="0" w:space="0" w:color="auto"/>
        <w:right w:val="none" w:sz="0" w:space="0" w:color="auto"/>
      </w:divBdr>
    </w:div>
    <w:div w:id="2027976652">
      <w:bodyDiv w:val="1"/>
      <w:marLeft w:val="0"/>
      <w:marRight w:val="0"/>
      <w:marTop w:val="0"/>
      <w:marBottom w:val="0"/>
      <w:divBdr>
        <w:top w:val="none" w:sz="0" w:space="0" w:color="auto"/>
        <w:left w:val="none" w:sz="0" w:space="0" w:color="auto"/>
        <w:bottom w:val="none" w:sz="0" w:space="0" w:color="auto"/>
        <w:right w:val="none" w:sz="0" w:space="0" w:color="auto"/>
      </w:divBdr>
    </w:div>
    <w:div w:id="2028093793">
      <w:bodyDiv w:val="1"/>
      <w:marLeft w:val="0"/>
      <w:marRight w:val="0"/>
      <w:marTop w:val="0"/>
      <w:marBottom w:val="0"/>
      <w:divBdr>
        <w:top w:val="none" w:sz="0" w:space="0" w:color="auto"/>
        <w:left w:val="none" w:sz="0" w:space="0" w:color="auto"/>
        <w:bottom w:val="none" w:sz="0" w:space="0" w:color="auto"/>
        <w:right w:val="none" w:sz="0" w:space="0" w:color="auto"/>
      </w:divBdr>
    </w:div>
    <w:div w:id="2028142602">
      <w:bodyDiv w:val="1"/>
      <w:marLeft w:val="0"/>
      <w:marRight w:val="0"/>
      <w:marTop w:val="0"/>
      <w:marBottom w:val="0"/>
      <w:divBdr>
        <w:top w:val="none" w:sz="0" w:space="0" w:color="auto"/>
        <w:left w:val="none" w:sz="0" w:space="0" w:color="auto"/>
        <w:bottom w:val="none" w:sz="0" w:space="0" w:color="auto"/>
        <w:right w:val="none" w:sz="0" w:space="0" w:color="auto"/>
      </w:divBdr>
    </w:div>
    <w:div w:id="2028174746">
      <w:bodyDiv w:val="1"/>
      <w:marLeft w:val="0"/>
      <w:marRight w:val="0"/>
      <w:marTop w:val="0"/>
      <w:marBottom w:val="0"/>
      <w:divBdr>
        <w:top w:val="none" w:sz="0" w:space="0" w:color="auto"/>
        <w:left w:val="none" w:sz="0" w:space="0" w:color="auto"/>
        <w:bottom w:val="none" w:sz="0" w:space="0" w:color="auto"/>
        <w:right w:val="none" w:sz="0" w:space="0" w:color="auto"/>
      </w:divBdr>
    </w:div>
    <w:div w:id="2028287861">
      <w:bodyDiv w:val="1"/>
      <w:marLeft w:val="0"/>
      <w:marRight w:val="0"/>
      <w:marTop w:val="0"/>
      <w:marBottom w:val="0"/>
      <w:divBdr>
        <w:top w:val="none" w:sz="0" w:space="0" w:color="auto"/>
        <w:left w:val="none" w:sz="0" w:space="0" w:color="auto"/>
        <w:bottom w:val="none" w:sz="0" w:space="0" w:color="auto"/>
        <w:right w:val="none" w:sz="0" w:space="0" w:color="auto"/>
      </w:divBdr>
    </w:div>
    <w:div w:id="2028408042">
      <w:bodyDiv w:val="1"/>
      <w:marLeft w:val="0"/>
      <w:marRight w:val="0"/>
      <w:marTop w:val="0"/>
      <w:marBottom w:val="0"/>
      <w:divBdr>
        <w:top w:val="none" w:sz="0" w:space="0" w:color="auto"/>
        <w:left w:val="none" w:sz="0" w:space="0" w:color="auto"/>
        <w:bottom w:val="none" w:sz="0" w:space="0" w:color="auto"/>
        <w:right w:val="none" w:sz="0" w:space="0" w:color="auto"/>
      </w:divBdr>
    </w:div>
    <w:div w:id="2028480493">
      <w:bodyDiv w:val="1"/>
      <w:marLeft w:val="0"/>
      <w:marRight w:val="0"/>
      <w:marTop w:val="0"/>
      <w:marBottom w:val="0"/>
      <w:divBdr>
        <w:top w:val="none" w:sz="0" w:space="0" w:color="auto"/>
        <w:left w:val="none" w:sz="0" w:space="0" w:color="auto"/>
        <w:bottom w:val="none" w:sz="0" w:space="0" w:color="auto"/>
        <w:right w:val="none" w:sz="0" w:space="0" w:color="auto"/>
      </w:divBdr>
    </w:div>
    <w:div w:id="2028601751">
      <w:bodyDiv w:val="1"/>
      <w:marLeft w:val="0"/>
      <w:marRight w:val="0"/>
      <w:marTop w:val="0"/>
      <w:marBottom w:val="0"/>
      <w:divBdr>
        <w:top w:val="none" w:sz="0" w:space="0" w:color="auto"/>
        <w:left w:val="none" w:sz="0" w:space="0" w:color="auto"/>
        <w:bottom w:val="none" w:sz="0" w:space="0" w:color="auto"/>
        <w:right w:val="none" w:sz="0" w:space="0" w:color="auto"/>
      </w:divBdr>
    </w:div>
    <w:div w:id="2028629887">
      <w:bodyDiv w:val="1"/>
      <w:marLeft w:val="0"/>
      <w:marRight w:val="0"/>
      <w:marTop w:val="0"/>
      <w:marBottom w:val="0"/>
      <w:divBdr>
        <w:top w:val="none" w:sz="0" w:space="0" w:color="auto"/>
        <w:left w:val="none" w:sz="0" w:space="0" w:color="auto"/>
        <w:bottom w:val="none" w:sz="0" w:space="0" w:color="auto"/>
        <w:right w:val="none" w:sz="0" w:space="0" w:color="auto"/>
      </w:divBdr>
    </w:div>
    <w:div w:id="2028630232">
      <w:bodyDiv w:val="1"/>
      <w:marLeft w:val="0"/>
      <w:marRight w:val="0"/>
      <w:marTop w:val="0"/>
      <w:marBottom w:val="0"/>
      <w:divBdr>
        <w:top w:val="none" w:sz="0" w:space="0" w:color="auto"/>
        <w:left w:val="none" w:sz="0" w:space="0" w:color="auto"/>
        <w:bottom w:val="none" w:sz="0" w:space="0" w:color="auto"/>
        <w:right w:val="none" w:sz="0" w:space="0" w:color="auto"/>
      </w:divBdr>
    </w:div>
    <w:div w:id="2028871643">
      <w:bodyDiv w:val="1"/>
      <w:marLeft w:val="0"/>
      <w:marRight w:val="0"/>
      <w:marTop w:val="0"/>
      <w:marBottom w:val="0"/>
      <w:divBdr>
        <w:top w:val="none" w:sz="0" w:space="0" w:color="auto"/>
        <w:left w:val="none" w:sz="0" w:space="0" w:color="auto"/>
        <w:bottom w:val="none" w:sz="0" w:space="0" w:color="auto"/>
        <w:right w:val="none" w:sz="0" w:space="0" w:color="auto"/>
      </w:divBdr>
    </w:div>
    <w:div w:id="2029258477">
      <w:bodyDiv w:val="1"/>
      <w:marLeft w:val="0"/>
      <w:marRight w:val="0"/>
      <w:marTop w:val="0"/>
      <w:marBottom w:val="0"/>
      <w:divBdr>
        <w:top w:val="none" w:sz="0" w:space="0" w:color="auto"/>
        <w:left w:val="none" w:sz="0" w:space="0" w:color="auto"/>
        <w:bottom w:val="none" w:sz="0" w:space="0" w:color="auto"/>
        <w:right w:val="none" w:sz="0" w:space="0" w:color="auto"/>
      </w:divBdr>
    </w:div>
    <w:div w:id="2029409612">
      <w:bodyDiv w:val="1"/>
      <w:marLeft w:val="0"/>
      <w:marRight w:val="0"/>
      <w:marTop w:val="0"/>
      <w:marBottom w:val="0"/>
      <w:divBdr>
        <w:top w:val="none" w:sz="0" w:space="0" w:color="auto"/>
        <w:left w:val="none" w:sz="0" w:space="0" w:color="auto"/>
        <w:bottom w:val="none" w:sz="0" w:space="0" w:color="auto"/>
        <w:right w:val="none" w:sz="0" w:space="0" w:color="auto"/>
      </w:divBdr>
    </w:div>
    <w:div w:id="2029485899">
      <w:bodyDiv w:val="1"/>
      <w:marLeft w:val="0"/>
      <w:marRight w:val="0"/>
      <w:marTop w:val="0"/>
      <w:marBottom w:val="0"/>
      <w:divBdr>
        <w:top w:val="none" w:sz="0" w:space="0" w:color="auto"/>
        <w:left w:val="none" w:sz="0" w:space="0" w:color="auto"/>
        <w:bottom w:val="none" w:sz="0" w:space="0" w:color="auto"/>
        <w:right w:val="none" w:sz="0" w:space="0" w:color="auto"/>
      </w:divBdr>
    </w:div>
    <w:div w:id="2029719830">
      <w:bodyDiv w:val="1"/>
      <w:marLeft w:val="0"/>
      <w:marRight w:val="0"/>
      <w:marTop w:val="0"/>
      <w:marBottom w:val="0"/>
      <w:divBdr>
        <w:top w:val="none" w:sz="0" w:space="0" w:color="auto"/>
        <w:left w:val="none" w:sz="0" w:space="0" w:color="auto"/>
        <w:bottom w:val="none" w:sz="0" w:space="0" w:color="auto"/>
        <w:right w:val="none" w:sz="0" w:space="0" w:color="auto"/>
      </w:divBdr>
    </w:div>
    <w:div w:id="2029790464">
      <w:bodyDiv w:val="1"/>
      <w:marLeft w:val="0"/>
      <w:marRight w:val="0"/>
      <w:marTop w:val="0"/>
      <w:marBottom w:val="0"/>
      <w:divBdr>
        <w:top w:val="none" w:sz="0" w:space="0" w:color="auto"/>
        <w:left w:val="none" w:sz="0" w:space="0" w:color="auto"/>
        <w:bottom w:val="none" w:sz="0" w:space="0" w:color="auto"/>
        <w:right w:val="none" w:sz="0" w:space="0" w:color="auto"/>
      </w:divBdr>
    </w:div>
    <w:div w:id="2029791727">
      <w:bodyDiv w:val="1"/>
      <w:marLeft w:val="0"/>
      <w:marRight w:val="0"/>
      <w:marTop w:val="0"/>
      <w:marBottom w:val="0"/>
      <w:divBdr>
        <w:top w:val="none" w:sz="0" w:space="0" w:color="auto"/>
        <w:left w:val="none" w:sz="0" w:space="0" w:color="auto"/>
        <w:bottom w:val="none" w:sz="0" w:space="0" w:color="auto"/>
        <w:right w:val="none" w:sz="0" w:space="0" w:color="auto"/>
      </w:divBdr>
    </w:div>
    <w:div w:id="2029913522">
      <w:bodyDiv w:val="1"/>
      <w:marLeft w:val="0"/>
      <w:marRight w:val="0"/>
      <w:marTop w:val="0"/>
      <w:marBottom w:val="0"/>
      <w:divBdr>
        <w:top w:val="none" w:sz="0" w:space="0" w:color="auto"/>
        <w:left w:val="none" w:sz="0" w:space="0" w:color="auto"/>
        <w:bottom w:val="none" w:sz="0" w:space="0" w:color="auto"/>
        <w:right w:val="none" w:sz="0" w:space="0" w:color="auto"/>
      </w:divBdr>
    </w:div>
    <w:div w:id="2029938841">
      <w:bodyDiv w:val="1"/>
      <w:marLeft w:val="0"/>
      <w:marRight w:val="0"/>
      <w:marTop w:val="0"/>
      <w:marBottom w:val="0"/>
      <w:divBdr>
        <w:top w:val="none" w:sz="0" w:space="0" w:color="auto"/>
        <w:left w:val="none" w:sz="0" w:space="0" w:color="auto"/>
        <w:bottom w:val="none" w:sz="0" w:space="0" w:color="auto"/>
        <w:right w:val="none" w:sz="0" w:space="0" w:color="auto"/>
      </w:divBdr>
    </w:div>
    <w:div w:id="2029989229">
      <w:bodyDiv w:val="1"/>
      <w:marLeft w:val="0"/>
      <w:marRight w:val="0"/>
      <w:marTop w:val="0"/>
      <w:marBottom w:val="0"/>
      <w:divBdr>
        <w:top w:val="none" w:sz="0" w:space="0" w:color="auto"/>
        <w:left w:val="none" w:sz="0" w:space="0" w:color="auto"/>
        <w:bottom w:val="none" w:sz="0" w:space="0" w:color="auto"/>
        <w:right w:val="none" w:sz="0" w:space="0" w:color="auto"/>
      </w:divBdr>
    </w:div>
    <w:div w:id="2030060962">
      <w:bodyDiv w:val="1"/>
      <w:marLeft w:val="0"/>
      <w:marRight w:val="0"/>
      <w:marTop w:val="0"/>
      <w:marBottom w:val="0"/>
      <w:divBdr>
        <w:top w:val="none" w:sz="0" w:space="0" w:color="auto"/>
        <w:left w:val="none" w:sz="0" w:space="0" w:color="auto"/>
        <w:bottom w:val="none" w:sz="0" w:space="0" w:color="auto"/>
        <w:right w:val="none" w:sz="0" w:space="0" w:color="auto"/>
      </w:divBdr>
    </w:div>
    <w:div w:id="2030180933">
      <w:bodyDiv w:val="1"/>
      <w:marLeft w:val="0"/>
      <w:marRight w:val="0"/>
      <w:marTop w:val="0"/>
      <w:marBottom w:val="0"/>
      <w:divBdr>
        <w:top w:val="none" w:sz="0" w:space="0" w:color="auto"/>
        <w:left w:val="none" w:sz="0" w:space="0" w:color="auto"/>
        <w:bottom w:val="none" w:sz="0" w:space="0" w:color="auto"/>
        <w:right w:val="none" w:sz="0" w:space="0" w:color="auto"/>
      </w:divBdr>
    </w:div>
    <w:div w:id="2030257663">
      <w:bodyDiv w:val="1"/>
      <w:marLeft w:val="0"/>
      <w:marRight w:val="0"/>
      <w:marTop w:val="0"/>
      <w:marBottom w:val="0"/>
      <w:divBdr>
        <w:top w:val="none" w:sz="0" w:space="0" w:color="auto"/>
        <w:left w:val="none" w:sz="0" w:space="0" w:color="auto"/>
        <w:bottom w:val="none" w:sz="0" w:space="0" w:color="auto"/>
        <w:right w:val="none" w:sz="0" w:space="0" w:color="auto"/>
      </w:divBdr>
    </w:div>
    <w:div w:id="2030257762">
      <w:bodyDiv w:val="1"/>
      <w:marLeft w:val="0"/>
      <w:marRight w:val="0"/>
      <w:marTop w:val="0"/>
      <w:marBottom w:val="0"/>
      <w:divBdr>
        <w:top w:val="none" w:sz="0" w:space="0" w:color="auto"/>
        <w:left w:val="none" w:sz="0" w:space="0" w:color="auto"/>
        <w:bottom w:val="none" w:sz="0" w:space="0" w:color="auto"/>
        <w:right w:val="none" w:sz="0" w:space="0" w:color="auto"/>
      </w:divBdr>
    </w:div>
    <w:div w:id="2030334802">
      <w:bodyDiv w:val="1"/>
      <w:marLeft w:val="0"/>
      <w:marRight w:val="0"/>
      <w:marTop w:val="0"/>
      <w:marBottom w:val="0"/>
      <w:divBdr>
        <w:top w:val="none" w:sz="0" w:space="0" w:color="auto"/>
        <w:left w:val="none" w:sz="0" w:space="0" w:color="auto"/>
        <w:bottom w:val="none" w:sz="0" w:space="0" w:color="auto"/>
        <w:right w:val="none" w:sz="0" w:space="0" w:color="auto"/>
      </w:divBdr>
    </w:div>
    <w:div w:id="2030403285">
      <w:bodyDiv w:val="1"/>
      <w:marLeft w:val="0"/>
      <w:marRight w:val="0"/>
      <w:marTop w:val="0"/>
      <w:marBottom w:val="0"/>
      <w:divBdr>
        <w:top w:val="none" w:sz="0" w:space="0" w:color="auto"/>
        <w:left w:val="none" w:sz="0" w:space="0" w:color="auto"/>
        <w:bottom w:val="none" w:sz="0" w:space="0" w:color="auto"/>
        <w:right w:val="none" w:sz="0" w:space="0" w:color="auto"/>
      </w:divBdr>
    </w:div>
    <w:div w:id="2030719070">
      <w:bodyDiv w:val="1"/>
      <w:marLeft w:val="0"/>
      <w:marRight w:val="0"/>
      <w:marTop w:val="0"/>
      <w:marBottom w:val="0"/>
      <w:divBdr>
        <w:top w:val="none" w:sz="0" w:space="0" w:color="auto"/>
        <w:left w:val="none" w:sz="0" w:space="0" w:color="auto"/>
        <w:bottom w:val="none" w:sz="0" w:space="0" w:color="auto"/>
        <w:right w:val="none" w:sz="0" w:space="0" w:color="auto"/>
      </w:divBdr>
    </w:div>
    <w:div w:id="2030790050">
      <w:bodyDiv w:val="1"/>
      <w:marLeft w:val="0"/>
      <w:marRight w:val="0"/>
      <w:marTop w:val="0"/>
      <w:marBottom w:val="0"/>
      <w:divBdr>
        <w:top w:val="none" w:sz="0" w:space="0" w:color="auto"/>
        <w:left w:val="none" w:sz="0" w:space="0" w:color="auto"/>
        <w:bottom w:val="none" w:sz="0" w:space="0" w:color="auto"/>
        <w:right w:val="none" w:sz="0" w:space="0" w:color="auto"/>
      </w:divBdr>
    </w:div>
    <w:div w:id="2030790908">
      <w:bodyDiv w:val="1"/>
      <w:marLeft w:val="0"/>
      <w:marRight w:val="0"/>
      <w:marTop w:val="0"/>
      <w:marBottom w:val="0"/>
      <w:divBdr>
        <w:top w:val="none" w:sz="0" w:space="0" w:color="auto"/>
        <w:left w:val="none" w:sz="0" w:space="0" w:color="auto"/>
        <w:bottom w:val="none" w:sz="0" w:space="0" w:color="auto"/>
        <w:right w:val="none" w:sz="0" w:space="0" w:color="auto"/>
      </w:divBdr>
    </w:div>
    <w:div w:id="2031028808">
      <w:bodyDiv w:val="1"/>
      <w:marLeft w:val="0"/>
      <w:marRight w:val="0"/>
      <w:marTop w:val="0"/>
      <w:marBottom w:val="0"/>
      <w:divBdr>
        <w:top w:val="none" w:sz="0" w:space="0" w:color="auto"/>
        <w:left w:val="none" w:sz="0" w:space="0" w:color="auto"/>
        <w:bottom w:val="none" w:sz="0" w:space="0" w:color="auto"/>
        <w:right w:val="none" w:sz="0" w:space="0" w:color="auto"/>
      </w:divBdr>
    </w:div>
    <w:div w:id="2031174949">
      <w:bodyDiv w:val="1"/>
      <w:marLeft w:val="0"/>
      <w:marRight w:val="0"/>
      <w:marTop w:val="0"/>
      <w:marBottom w:val="0"/>
      <w:divBdr>
        <w:top w:val="none" w:sz="0" w:space="0" w:color="auto"/>
        <w:left w:val="none" w:sz="0" w:space="0" w:color="auto"/>
        <w:bottom w:val="none" w:sz="0" w:space="0" w:color="auto"/>
        <w:right w:val="none" w:sz="0" w:space="0" w:color="auto"/>
      </w:divBdr>
    </w:div>
    <w:div w:id="2031179103">
      <w:bodyDiv w:val="1"/>
      <w:marLeft w:val="0"/>
      <w:marRight w:val="0"/>
      <w:marTop w:val="0"/>
      <w:marBottom w:val="0"/>
      <w:divBdr>
        <w:top w:val="none" w:sz="0" w:space="0" w:color="auto"/>
        <w:left w:val="none" w:sz="0" w:space="0" w:color="auto"/>
        <w:bottom w:val="none" w:sz="0" w:space="0" w:color="auto"/>
        <w:right w:val="none" w:sz="0" w:space="0" w:color="auto"/>
      </w:divBdr>
    </w:div>
    <w:div w:id="2031183467">
      <w:bodyDiv w:val="1"/>
      <w:marLeft w:val="0"/>
      <w:marRight w:val="0"/>
      <w:marTop w:val="0"/>
      <w:marBottom w:val="0"/>
      <w:divBdr>
        <w:top w:val="none" w:sz="0" w:space="0" w:color="auto"/>
        <w:left w:val="none" w:sz="0" w:space="0" w:color="auto"/>
        <w:bottom w:val="none" w:sz="0" w:space="0" w:color="auto"/>
        <w:right w:val="none" w:sz="0" w:space="0" w:color="auto"/>
      </w:divBdr>
    </w:div>
    <w:div w:id="2031444761">
      <w:bodyDiv w:val="1"/>
      <w:marLeft w:val="0"/>
      <w:marRight w:val="0"/>
      <w:marTop w:val="0"/>
      <w:marBottom w:val="0"/>
      <w:divBdr>
        <w:top w:val="none" w:sz="0" w:space="0" w:color="auto"/>
        <w:left w:val="none" w:sz="0" w:space="0" w:color="auto"/>
        <w:bottom w:val="none" w:sz="0" w:space="0" w:color="auto"/>
        <w:right w:val="none" w:sz="0" w:space="0" w:color="auto"/>
      </w:divBdr>
    </w:div>
    <w:div w:id="2031492794">
      <w:bodyDiv w:val="1"/>
      <w:marLeft w:val="0"/>
      <w:marRight w:val="0"/>
      <w:marTop w:val="0"/>
      <w:marBottom w:val="0"/>
      <w:divBdr>
        <w:top w:val="none" w:sz="0" w:space="0" w:color="auto"/>
        <w:left w:val="none" w:sz="0" w:space="0" w:color="auto"/>
        <w:bottom w:val="none" w:sz="0" w:space="0" w:color="auto"/>
        <w:right w:val="none" w:sz="0" w:space="0" w:color="auto"/>
      </w:divBdr>
    </w:div>
    <w:div w:id="2031681576">
      <w:bodyDiv w:val="1"/>
      <w:marLeft w:val="0"/>
      <w:marRight w:val="0"/>
      <w:marTop w:val="0"/>
      <w:marBottom w:val="0"/>
      <w:divBdr>
        <w:top w:val="none" w:sz="0" w:space="0" w:color="auto"/>
        <w:left w:val="none" w:sz="0" w:space="0" w:color="auto"/>
        <w:bottom w:val="none" w:sz="0" w:space="0" w:color="auto"/>
        <w:right w:val="none" w:sz="0" w:space="0" w:color="auto"/>
      </w:divBdr>
    </w:div>
    <w:div w:id="2031830083">
      <w:bodyDiv w:val="1"/>
      <w:marLeft w:val="0"/>
      <w:marRight w:val="0"/>
      <w:marTop w:val="0"/>
      <w:marBottom w:val="0"/>
      <w:divBdr>
        <w:top w:val="none" w:sz="0" w:space="0" w:color="auto"/>
        <w:left w:val="none" w:sz="0" w:space="0" w:color="auto"/>
        <w:bottom w:val="none" w:sz="0" w:space="0" w:color="auto"/>
        <w:right w:val="none" w:sz="0" w:space="0" w:color="auto"/>
      </w:divBdr>
    </w:div>
    <w:div w:id="2031909323">
      <w:bodyDiv w:val="1"/>
      <w:marLeft w:val="0"/>
      <w:marRight w:val="0"/>
      <w:marTop w:val="0"/>
      <w:marBottom w:val="0"/>
      <w:divBdr>
        <w:top w:val="none" w:sz="0" w:space="0" w:color="auto"/>
        <w:left w:val="none" w:sz="0" w:space="0" w:color="auto"/>
        <w:bottom w:val="none" w:sz="0" w:space="0" w:color="auto"/>
        <w:right w:val="none" w:sz="0" w:space="0" w:color="auto"/>
      </w:divBdr>
    </w:div>
    <w:div w:id="2031956541">
      <w:bodyDiv w:val="1"/>
      <w:marLeft w:val="0"/>
      <w:marRight w:val="0"/>
      <w:marTop w:val="0"/>
      <w:marBottom w:val="0"/>
      <w:divBdr>
        <w:top w:val="none" w:sz="0" w:space="0" w:color="auto"/>
        <w:left w:val="none" w:sz="0" w:space="0" w:color="auto"/>
        <w:bottom w:val="none" w:sz="0" w:space="0" w:color="auto"/>
        <w:right w:val="none" w:sz="0" w:space="0" w:color="auto"/>
      </w:divBdr>
    </w:div>
    <w:div w:id="2032028979">
      <w:bodyDiv w:val="1"/>
      <w:marLeft w:val="0"/>
      <w:marRight w:val="0"/>
      <w:marTop w:val="0"/>
      <w:marBottom w:val="0"/>
      <w:divBdr>
        <w:top w:val="none" w:sz="0" w:space="0" w:color="auto"/>
        <w:left w:val="none" w:sz="0" w:space="0" w:color="auto"/>
        <w:bottom w:val="none" w:sz="0" w:space="0" w:color="auto"/>
        <w:right w:val="none" w:sz="0" w:space="0" w:color="auto"/>
      </w:divBdr>
    </w:div>
    <w:div w:id="2032098414">
      <w:bodyDiv w:val="1"/>
      <w:marLeft w:val="0"/>
      <w:marRight w:val="0"/>
      <w:marTop w:val="0"/>
      <w:marBottom w:val="0"/>
      <w:divBdr>
        <w:top w:val="none" w:sz="0" w:space="0" w:color="auto"/>
        <w:left w:val="none" w:sz="0" w:space="0" w:color="auto"/>
        <w:bottom w:val="none" w:sz="0" w:space="0" w:color="auto"/>
        <w:right w:val="none" w:sz="0" w:space="0" w:color="auto"/>
      </w:divBdr>
    </w:div>
    <w:div w:id="2032146018">
      <w:bodyDiv w:val="1"/>
      <w:marLeft w:val="0"/>
      <w:marRight w:val="0"/>
      <w:marTop w:val="0"/>
      <w:marBottom w:val="0"/>
      <w:divBdr>
        <w:top w:val="none" w:sz="0" w:space="0" w:color="auto"/>
        <w:left w:val="none" w:sz="0" w:space="0" w:color="auto"/>
        <w:bottom w:val="none" w:sz="0" w:space="0" w:color="auto"/>
        <w:right w:val="none" w:sz="0" w:space="0" w:color="auto"/>
      </w:divBdr>
    </w:div>
    <w:div w:id="2032294322">
      <w:bodyDiv w:val="1"/>
      <w:marLeft w:val="0"/>
      <w:marRight w:val="0"/>
      <w:marTop w:val="0"/>
      <w:marBottom w:val="0"/>
      <w:divBdr>
        <w:top w:val="none" w:sz="0" w:space="0" w:color="auto"/>
        <w:left w:val="none" w:sz="0" w:space="0" w:color="auto"/>
        <w:bottom w:val="none" w:sz="0" w:space="0" w:color="auto"/>
        <w:right w:val="none" w:sz="0" w:space="0" w:color="auto"/>
      </w:divBdr>
    </w:div>
    <w:div w:id="2032340450">
      <w:bodyDiv w:val="1"/>
      <w:marLeft w:val="0"/>
      <w:marRight w:val="0"/>
      <w:marTop w:val="0"/>
      <w:marBottom w:val="0"/>
      <w:divBdr>
        <w:top w:val="none" w:sz="0" w:space="0" w:color="auto"/>
        <w:left w:val="none" w:sz="0" w:space="0" w:color="auto"/>
        <w:bottom w:val="none" w:sz="0" w:space="0" w:color="auto"/>
        <w:right w:val="none" w:sz="0" w:space="0" w:color="auto"/>
      </w:divBdr>
    </w:div>
    <w:div w:id="2032488531">
      <w:bodyDiv w:val="1"/>
      <w:marLeft w:val="0"/>
      <w:marRight w:val="0"/>
      <w:marTop w:val="0"/>
      <w:marBottom w:val="0"/>
      <w:divBdr>
        <w:top w:val="none" w:sz="0" w:space="0" w:color="auto"/>
        <w:left w:val="none" w:sz="0" w:space="0" w:color="auto"/>
        <w:bottom w:val="none" w:sz="0" w:space="0" w:color="auto"/>
        <w:right w:val="none" w:sz="0" w:space="0" w:color="auto"/>
      </w:divBdr>
    </w:div>
    <w:div w:id="2032488644">
      <w:bodyDiv w:val="1"/>
      <w:marLeft w:val="0"/>
      <w:marRight w:val="0"/>
      <w:marTop w:val="0"/>
      <w:marBottom w:val="0"/>
      <w:divBdr>
        <w:top w:val="none" w:sz="0" w:space="0" w:color="auto"/>
        <w:left w:val="none" w:sz="0" w:space="0" w:color="auto"/>
        <w:bottom w:val="none" w:sz="0" w:space="0" w:color="auto"/>
        <w:right w:val="none" w:sz="0" w:space="0" w:color="auto"/>
      </w:divBdr>
    </w:div>
    <w:div w:id="2032534540">
      <w:bodyDiv w:val="1"/>
      <w:marLeft w:val="0"/>
      <w:marRight w:val="0"/>
      <w:marTop w:val="0"/>
      <w:marBottom w:val="0"/>
      <w:divBdr>
        <w:top w:val="none" w:sz="0" w:space="0" w:color="auto"/>
        <w:left w:val="none" w:sz="0" w:space="0" w:color="auto"/>
        <w:bottom w:val="none" w:sz="0" w:space="0" w:color="auto"/>
        <w:right w:val="none" w:sz="0" w:space="0" w:color="auto"/>
      </w:divBdr>
    </w:div>
    <w:div w:id="2032535476">
      <w:bodyDiv w:val="1"/>
      <w:marLeft w:val="0"/>
      <w:marRight w:val="0"/>
      <w:marTop w:val="0"/>
      <w:marBottom w:val="0"/>
      <w:divBdr>
        <w:top w:val="none" w:sz="0" w:space="0" w:color="auto"/>
        <w:left w:val="none" w:sz="0" w:space="0" w:color="auto"/>
        <w:bottom w:val="none" w:sz="0" w:space="0" w:color="auto"/>
        <w:right w:val="none" w:sz="0" w:space="0" w:color="auto"/>
      </w:divBdr>
    </w:div>
    <w:div w:id="2032535649">
      <w:bodyDiv w:val="1"/>
      <w:marLeft w:val="0"/>
      <w:marRight w:val="0"/>
      <w:marTop w:val="0"/>
      <w:marBottom w:val="0"/>
      <w:divBdr>
        <w:top w:val="none" w:sz="0" w:space="0" w:color="auto"/>
        <w:left w:val="none" w:sz="0" w:space="0" w:color="auto"/>
        <w:bottom w:val="none" w:sz="0" w:space="0" w:color="auto"/>
        <w:right w:val="none" w:sz="0" w:space="0" w:color="auto"/>
      </w:divBdr>
    </w:div>
    <w:div w:id="2032603497">
      <w:bodyDiv w:val="1"/>
      <w:marLeft w:val="0"/>
      <w:marRight w:val="0"/>
      <w:marTop w:val="0"/>
      <w:marBottom w:val="0"/>
      <w:divBdr>
        <w:top w:val="none" w:sz="0" w:space="0" w:color="auto"/>
        <w:left w:val="none" w:sz="0" w:space="0" w:color="auto"/>
        <w:bottom w:val="none" w:sz="0" w:space="0" w:color="auto"/>
        <w:right w:val="none" w:sz="0" w:space="0" w:color="auto"/>
      </w:divBdr>
    </w:div>
    <w:div w:id="2032878857">
      <w:bodyDiv w:val="1"/>
      <w:marLeft w:val="0"/>
      <w:marRight w:val="0"/>
      <w:marTop w:val="0"/>
      <w:marBottom w:val="0"/>
      <w:divBdr>
        <w:top w:val="none" w:sz="0" w:space="0" w:color="auto"/>
        <w:left w:val="none" w:sz="0" w:space="0" w:color="auto"/>
        <w:bottom w:val="none" w:sz="0" w:space="0" w:color="auto"/>
        <w:right w:val="none" w:sz="0" w:space="0" w:color="auto"/>
      </w:divBdr>
    </w:div>
    <w:div w:id="2032993643">
      <w:bodyDiv w:val="1"/>
      <w:marLeft w:val="0"/>
      <w:marRight w:val="0"/>
      <w:marTop w:val="0"/>
      <w:marBottom w:val="0"/>
      <w:divBdr>
        <w:top w:val="none" w:sz="0" w:space="0" w:color="auto"/>
        <w:left w:val="none" w:sz="0" w:space="0" w:color="auto"/>
        <w:bottom w:val="none" w:sz="0" w:space="0" w:color="auto"/>
        <w:right w:val="none" w:sz="0" w:space="0" w:color="auto"/>
      </w:divBdr>
    </w:div>
    <w:div w:id="2033065083">
      <w:bodyDiv w:val="1"/>
      <w:marLeft w:val="0"/>
      <w:marRight w:val="0"/>
      <w:marTop w:val="0"/>
      <w:marBottom w:val="0"/>
      <w:divBdr>
        <w:top w:val="none" w:sz="0" w:space="0" w:color="auto"/>
        <w:left w:val="none" w:sz="0" w:space="0" w:color="auto"/>
        <w:bottom w:val="none" w:sz="0" w:space="0" w:color="auto"/>
        <w:right w:val="none" w:sz="0" w:space="0" w:color="auto"/>
      </w:divBdr>
    </w:div>
    <w:div w:id="2033066953">
      <w:bodyDiv w:val="1"/>
      <w:marLeft w:val="0"/>
      <w:marRight w:val="0"/>
      <w:marTop w:val="0"/>
      <w:marBottom w:val="0"/>
      <w:divBdr>
        <w:top w:val="none" w:sz="0" w:space="0" w:color="auto"/>
        <w:left w:val="none" w:sz="0" w:space="0" w:color="auto"/>
        <w:bottom w:val="none" w:sz="0" w:space="0" w:color="auto"/>
        <w:right w:val="none" w:sz="0" w:space="0" w:color="auto"/>
      </w:divBdr>
    </w:div>
    <w:div w:id="2033070793">
      <w:bodyDiv w:val="1"/>
      <w:marLeft w:val="0"/>
      <w:marRight w:val="0"/>
      <w:marTop w:val="0"/>
      <w:marBottom w:val="0"/>
      <w:divBdr>
        <w:top w:val="none" w:sz="0" w:space="0" w:color="auto"/>
        <w:left w:val="none" w:sz="0" w:space="0" w:color="auto"/>
        <w:bottom w:val="none" w:sz="0" w:space="0" w:color="auto"/>
        <w:right w:val="none" w:sz="0" w:space="0" w:color="auto"/>
      </w:divBdr>
    </w:div>
    <w:div w:id="2033146038">
      <w:bodyDiv w:val="1"/>
      <w:marLeft w:val="0"/>
      <w:marRight w:val="0"/>
      <w:marTop w:val="0"/>
      <w:marBottom w:val="0"/>
      <w:divBdr>
        <w:top w:val="none" w:sz="0" w:space="0" w:color="auto"/>
        <w:left w:val="none" w:sz="0" w:space="0" w:color="auto"/>
        <w:bottom w:val="none" w:sz="0" w:space="0" w:color="auto"/>
        <w:right w:val="none" w:sz="0" w:space="0" w:color="auto"/>
      </w:divBdr>
    </w:div>
    <w:div w:id="2033215624">
      <w:bodyDiv w:val="1"/>
      <w:marLeft w:val="0"/>
      <w:marRight w:val="0"/>
      <w:marTop w:val="0"/>
      <w:marBottom w:val="0"/>
      <w:divBdr>
        <w:top w:val="none" w:sz="0" w:space="0" w:color="auto"/>
        <w:left w:val="none" w:sz="0" w:space="0" w:color="auto"/>
        <w:bottom w:val="none" w:sz="0" w:space="0" w:color="auto"/>
        <w:right w:val="none" w:sz="0" w:space="0" w:color="auto"/>
      </w:divBdr>
    </w:div>
    <w:div w:id="2033217126">
      <w:bodyDiv w:val="1"/>
      <w:marLeft w:val="0"/>
      <w:marRight w:val="0"/>
      <w:marTop w:val="0"/>
      <w:marBottom w:val="0"/>
      <w:divBdr>
        <w:top w:val="none" w:sz="0" w:space="0" w:color="auto"/>
        <w:left w:val="none" w:sz="0" w:space="0" w:color="auto"/>
        <w:bottom w:val="none" w:sz="0" w:space="0" w:color="auto"/>
        <w:right w:val="none" w:sz="0" w:space="0" w:color="auto"/>
      </w:divBdr>
    </w:div>
    <w:div w:id="2033263640">
      <w:bodyDiv w:val="1"/>
      <w:marLeft w:val="0"/>
      <w:marRight w:val="0"/>
      <w:marTop w:val="0"/>
      <w:marBottom w:val="0"/>
      <w:divBdr>
        <w:top w:val="none" w:sz="0" w:space="0" w:color="auto"/>
        <w:left w:val="none" w:sz="0" w:space="0" w:color="auto"/>
        <w:bottom w:val="none" w:sz="0" w:space="0" w:color="auto"/>
        <w:right w:val="none" w:sz="0" w:space="0" w:color="auto"/>
      </w:divBdr>
    </w:div>
    <w:div w:id="2033456280">
      <w:bodyDiv w:val="1"/>
      <w:marLeft w:val="0"/>
      <w:marRight w:val="0"/>
      <w:marTop w:val="0"/>
      <w:marBottom w:val="0"/>
      <w:divBdr>
        <w:top w:val="none" w:sz="0" w:space="0" w:color="auto"/>
        <w:left w:val="none" w:sz="0" w:space="0" w:color="auto"/>
        <w:bottom w:val="none" w:sz="0" w:space="0" w:color="auto"/>
        <w:right w:val="none" w:sz="0" w:space="0" w:color="auto"/>
      </w:divBdr>
    </w:div>
    <w:div w:id="2033678577">
      <w:bodyDiv w:val="1"/>
      <w:marLeft w:val="0"/>
      <w:marRight w:val="0"/>
      <w:marTop w:val="0"/>
      <w:marBottom w:val="0"/>
      <w:divBdr>
        <w:top w:val="none" w:sz="0" w:space="0" w:color="auto"/>
        <w:left w:val="none" w:sz="0" w:space="0" w:color="auto"/>
        <w:bottom w:val="none" w:sz="0" w:space="0" w:color="auto"/>
        <w:right w:val="none" w:sz="0" w:space="0" w:color="auto"/>
      </w:divBdr>
    </w:div>
    <w:div w:id="2033801030">
      <w:bodyDiv w:val="1"/>
      <w:marLeft w:val="0"/>
      <w:marRight w:val="0"/>
      <w:marTop w:val="0"/>
      <w:marBottom w:val="0"/>
      <w:divBdr>
        <w:top w:val="none" w:sz="0" w:space="0" w:color="auto"/>
        <w:left w:val="none" w:sz="0" w:space="0" w:color="auto"/>
        <w:bottom w:val="none" w:sz="0" w:space="0" w:color="auto"/>
        <w:right w:val="none" w:sz="0" w:space="0" w:color="auto"/>
      </w:divBdr>
    </w:div>
    <w:div w:id="2033918085">
      <w:bodyDiv w:val="1"/>
      <w:marLeft w:val="0"/>
      <w:marRight w:val="0"/>
      <w:marTop w:val="0"/>
      <w:marBottom w:val="0"/>
      <w:divBdr>
        <w:top w:val="none" w:sz="0" w:space="0" w:color="auto"/>
        <w:left w:val="none" w:sz="0" w:space="0" w:color="auto"/>
        <w:bottom w:val="none" w:sz="0" w:space="0" w:color="auto"/>
        <w:right w:val="none" w:sz="0" w:space="0" w:color="auto"/>
      </w:divBdr>
    </w:div>
    <w:div w:id="2033996724">
      <w:bodyDiv w:val="1"/>
      <w:marLeft w:val="0"/>
      <w:marRight w:val="0"/>
      <w:marTop w:val="0"/>
      <w:marBottom w:val="0"/>
      <w:divBdr>
        <w:top w:val="none" w:sz="0" w:space="0" w:color="auto"/>
        <w:left w:val="none" w:sz="0" w:space="0" w:color="auto"/>
        <w:bottom w:val="none" w:sz="0" w:space="0" w:color="auto"/>
        <w:right w:val="none" w:sz="0" w:space="0" w:color="auto"/>
      </w:divBdr>
    </w:div>
    <w:div w:id="2034183891">
      <w:bodyDiv w:val="1"/>
      <w:marLeft w:val="0"/>
      <w:marRight w:val="0"/>
      <w:marTop w:val="0"/>
      <w:marBottom w:val="0"/>
      <w:divBdr>
        <w:top w:val="none" w:sz="0" w:space="0" w:color="auto"/>
        <w:left w:val="none" w:sz="0" w:space="0" w:color="auto"/>
        <w:bottom w:val="none" w:sz="0" w:space="0" w:color="auto"/>
        <w:right w:val="none" w:sz="0" w:space="0" w:color="auto"/>
      </w:divBdr>
    </w:div>
    <w:div w:id="2034187435">
      <w:bodyDiv w:val="1"/>
      <w:marLeft w:val="0"/>
      <w:marRight w:val="0"/>
      <w:marTop w:val="0"/>
      <w:marBottom w:val="0"/>
      <w:divBdr>
        <w:top w:val="none" w:sz="0" w:space="0" w:color="auto"/>
        <w:left w:val="none" w:sz="0" w:space="0" w:color="auto"/>
        <w:bottom w:val="none" w:sz="0" w:space="0" w:color="auto"/>
        <w:right w:val="none" w:sz="0" w:space="0" w:color="auto"/>
      </w:divBdr>
    </w:div>
    <w:div w:id="2034527401">
      <w:bodyDiv w:val="1"/>
      <w:marLeft w:val="0"/>
      <w:marRight w:val="0"/>
      <w:marTop w:val="0"/>
      <w:marBottom w:val="0"/>
      <w:divBdr>
        <w:top w:val="none" w:sz="0" w:space="0" w:color="auto"/>
        <w:left w:val="none" w:sz="0" w:space="0" w:color="auto"/>
        <w:bottom w:val="none" w:sz="0" w:space="0" w:color="auto"/>
        <w:right w:val="none" w:sz="0" w:space="0" w:color="auto"/>
      </w:divBdr>
    </w:div>
    <w:div w:id="2034838424">
      <w:bodyDiv w:val="1"/>
      <w:marLeft w:val="0"/>
      <w:marRight w:val="0"/>
      <w:marTop w:val="0"/>
      <w:marBottom w:val="0"/>
      <w:divBdr>
        <w:top w:val="none" w:sz="0" w:space="0" w:color="auto"/>
        <w:left w:val="none" w:sz="0" w:space="0" w:color="auto"/>
        <w:bottom w:val="none" w:sz="0" w:space="0" w:color="auto"/>
        <w:right w:val="none" w:sz="0" w:space="0" w:color="auto"/>
      </w:divBdr>
    </w:div>
    <w:div w:id="2035186649">
      <w:bodyDiv w:val="1"/>
      <w:marLeft w:val="0"/>
      <w:marRight w:val="0"/>
      <w:marTop w:val="0"/>
      <w:marBottom w:val="0"/>
      <w:divBdr>
        <w:top w:val="none" w:sz="0" w:space="0" w:color="auto"/>
        <w:left w:val="none" w:sz="0" w:space="0" w:color="auto"/>
        <w:bottom w:val="none" w:sz="0" w:space="0" w:color="auto"/>
        <w:right w:val="none" w:sz="0" w:space="0" w:color="auto"/>
      </w:divBdr>
    </w:div>
    <w:div w:id="2035300282">
      <w:bodyDiv w:val="1"/>
      <w:marLeft w:val="0"/>
      <w:marRight w:val="0"/>
      <w:marTop w:val="0"/>
      <w:marBottom w:val="0"/>
      <w:divBdr>
        <w:top w:val="none" w:sz="0" w:space="0" w:color="auto"/>
        <w:left w:val="none" w:sz="0" w:space="0" w:color="auto"/>
        <w:bottom w:val="none" w:sz="0" w:space="0" w:color="auto"/>
        <w:right w:val="none" w:sz="0" w:space="0" w:color="auto"/>
      </w:divBdr>
    </w:div>
    <w:div w:id="2035306882">
      <w:bodyDiv w:val="1"/>
      <w:marLeft w:val="0"/>
      <w:marRight w:val="0"/>
      <w:marTop w:val="0"/>
      <w:marBottom w:val="0"/>
      <w:divBdr>
        <w:top w:val="none" w:sz="0" w:space="0" w:color="auto"/>
        <w:left w:val="none" w:sz="0" w:space="0" w:color="auto"/>
        <w:bottom w:val="none" w:sz="0" w:space="0" w:color="auto"/>
        <w:right w:val="none" w:sz="0" w:space="0" w:color="auto"/>
      </w:divBdr>
    </w:div>
    <w:div w:id="2035376614">
      <w:bodyDiv w:val="1"/>
      <w:marLeft w:val="0"/>
      <w:marRight w:val="0"/>
      <w:marTop w:val="0"/>
      <w:marBottom w:val="0"/>
      <w:divBdr>
        <w:top w:val="none" w:sz="0" w:space="0" w:color="auto"/>
        <w:left w:val="none" w:sz="0" w:space="0" w:color="auto"/>
        <w:bottom w:val="none" w:sz="0" w:space="0" w:color="auto"/>
        <w:right w:val="none" w:sz="0" w:space="0" w:color="auto"/>
      </w:divBdr>
    </w:div>
    <w:div w:id="2035418607">
      <w:bodyDiv w:val="1"/>
      <w:marLeft w:val="0"/>
      <w:marRight w:val="0"/>
      <w:marTop w:val="0"/>
      <w:marBottom w:val="0"/>
      <w:divBdr>
        <w:top w:val="none" w:sz="0" w:space="0" w:color="auto"/>
        <w:left w:val="none" w:sz="0" w:space="0" w:color="auto"/>
        <w:bottom w:val="none" w:sz="0" w:space="0" w:color="auto"/>
        <w:right w:val="none" w:sz="0" w:space="0" w:color="auto"/>
      </w:divBdr>
    </w:div>
    <w:div w:id="2035423172">
      <w:bodyDiv w:val="1"/>
      <w:marLeft w:val="0"/>
      <w:marRight w:val="0"/>
      <w:marTop w:val="0"/>
      <w:marBottom w:val="0"/>
      <w:divBdr>
        <w:top w:val="none" w:sz="0" w:space="0" w:color="auto"/>
        <w:left w:val="none" w:sz="0" w:space="0" w:color="auto"/>
        <w:bottom w:val="none" w:sz="0" w:space="0" w:color="auto"/>
        <w:right w:val="none" w:sz="0" w:space="0" w:color="auto"/>
      </w:divBdr>
    </w:div>
    <w:div w:id="2035500713">
      <w:bodyDiv w:val="1"/>
      <w:marLeft w:val="0"/>
      <w:marRight w:val="0"/>
      <w:marTop w:val="0"/>
      <w:marBottom w:val="0"/>
      <w:divBdr>
        <w:top w:val="none" w:sz="0" w:space="0" w:color="auto"/>
        <w:left w:val="none" w:sz="0" w:space="0" w:color="auto"/>
        <w:bottom w:val="none" w:sz="0" w:space="0" w:color="auto"/>
        <w:right w:val="none" w:sz="0" w:space="0" w:color="auto"/>
      </w:divBdr>
    </w:div>
    <w:div w:id="2035500800">
      <w:bodyDiv w:val="1"/>
      <w:marLeft w:val="0"/>
      <w:marRight w:val="0"/>
      <w:marTop w:val="0"/>
      <w:marBottom w:val="0"/>
      <w:divBdr>
        <w:top w:val="none" w:sz="0" w:space="0" w:color="auto"/>
        <w:left w:val="none" w:sz="0" w:space="0" w:color="auto"/>
        <w:bottom w:val="none" w:sz="0" w:space="0" w:color="auto"/>
        <w:right w:val="none" w:sz="0" w:space="0" w:color="auto"/>
      </w:divBdr>
    </w:div>
    <w:div w:id="2035685691">
      <w:bodyDiv w:val="1"/>
      <w:marLeft w:val="0"/>
      <w:marRight w:val="0"/>
      <w:marTop w:val="0"/>
      <w:marBottom w:val="0"/>
      <w:divBdr>
        <w:top w:val="none" w:sz="0" w:space="0" w:color="auto"/>
        <w:left w:val="none" w:sz="0" w:space="0" w:color="auto"/>
        <w:bottom w:val="none" w:sz="0" w:space="0" w:color="auto"/>
        <w:right w:val="none" w:sz="0" w:space="0" w:color="auto"/>
      </w:divBdr>
    </w:div>
    <w:div w:id="2035690132">
      <w:bodyDiv w:val="1"/>
      <w:marLeft w:val="0"/>
      <w:marRight w:val="0"/>
      <w:marTop w:val="0"/>
      <w:marBottom w:val="0"/>
      <w:divBdr>
        <w:top w:val="none" w:sz="0" w:space="0" w:color="auto"/>
        <w:left w:val="none" w:sz="0" w:space="0" w:color="auto"/>
        <w:bottom w:val="none" w:sz="0" w:space="0" w:color="auto"/>
        <w:right w:val="none" w:sz="0" w:space="0" w:color="auto"/>
      </w:divBdr>
    </w:div>
    <w:div w:id="2035762600">
      <w:bodyDiv w:val="1"/>
      <w:marLeft w:val="0"/>
      <w:marRight w:val="0"/>
      <w:marTop w:val="0"/>
      <w:marBottom w:val="0"/>
      <w:divBdr>
        <w:top w:val="none" w:sz="0" w:space="0" w:color="auto"/>
        <w:left w:val="none" w:sz="0" w:space="0" w:color="auto"/>
        <w:bottom w:val="none" w:sz="0" w:space="0" w:color="auto"/>
        <w:right w:val="none" w:sz="0" w:space="0" w:color="auto"/>
      </w:divBdr>
    </w:div>
    <w:div w:id="2035838353">
      <w:bodyDiv w:val="1"/>
      <w:marLeft w:val="0"/>
      <w:marRight w:val="0"/>
      <w:marTop w:val="0"/>
      <w:marBottom w:val="0"/>
      <w:divBdr>
        <w:top w:val="none" w:sz="0" w:space="0" w:color="auto"/>
        <w:left w:val="none" w:sz="0" w:space="0" w:color="auto"/>
        <w:bottom w:val="none" w:sz="0" w:space="0" w:color="auto"/>
        <w:right w:val="none" w:sz="0" w:space="0" w:color="auto"/>
      </w:divBdr>
    </w:div>
    <w:div w:id="2036152371">
      <w:bodyDiv w:val="1"/>
      <w:marLeft w:val="0"/>
      <w:marRight w:val="0"/>
      <w:marTop w:val="0"/>
      <w:marBottom w:val="0"/>
      <w:divBdr>
        <w:top w:val="none" w:sz="0" w:space="0" w:color="auto"/>
        <w:left w:val="none" w:sz="0" w:space="0" w:color="auto"/>
        <w:bottom w:val="none" w:sz="0" w:space="0" w:color="auto"/>
        <w:right w:val="none" w:sz="0" w:space="0" w:color="auto"/>
      </w:divBdr>
    </w:div>
    <w:div w:id="2036230772">
      <w:bodyDiv w:val="1"/>
      <w:marLeft w:val="0"/>
      <w:marRight w:val="0"/>
      <w:marTop w:val="0"/>
      <w:marBottom w:val="0"/>
      <w:divBdr>
        <w:top w:val="none" w:sz="0" w:space="0" w:color="auto"/>
        <w:left w:val="none" w:sz="0" w:space="0" w:color="auto"/>
        <w:bottom w:val="none" w:sz="0" w:space="0" w:color="auto"/>
        <w:right w:val="none" w:sz="0" w:space="0" w:color="auto"/>
      </w:divBdr>
    </w:div>
    <w:div w:id="2036269703">
      <w:bodyDiv w:val="1"/>
      <w:marLeft w:val="0"/>
      <w:marRight w:val="0"/>
      <w:marTop w:val="0"/>
      <w:marBottom w:val="0"/>
      <w:divBdr>
        <w:top w:val="none" w:sz="0" w:space="0" w:color="auto"/>
        <w:left w:val="none" w:sz="0" w:space="0" w:color="auto"/>
        <w:bottom w:val="none" w:sz="0" w:space="0" w:color="auto"/>
        <w:right w:val="none" w:sz="0" w:space="0" w:color="auto"/>
      </w:divBdr>
    </w:div>
    <w:div w:id="2036343775">
      <w:bodyDiv w:val="1"/>
      <w:marLeft w:val="0"/>
      <w:marRight w:val="0"/>
      <w:marTop w:val="0"/>
      <w:marBottom w:val="0"/>
      <w:divBdr>
        <w:top w:val="none" w:sz="0" w:space="0" w:color="auto"/>
        <w:left w:val="none" w:sz="0" w:space="0" w:color="auto"/>
        <w:bottom w:val="none" w:sz="0" w:space="0" w:color="auto"/>
        <w:right w:val="none" w:sz="0" w:space="0" w:color="auto"/>
      </w:divBdr>
    </w:div>
    <w:div w:id="2036468262">
      <w:bodyDiv w:val="1"/>
      <w:marLeft w:val="0"/>
      <w:marRight w:val="0"/>
      <w:marTop w:val="0"/>
      <w:marBottom w:val="0"/>
      <w:divBdr>
        <w:top w:val="none" w:sz="0" w:space="0" w:color="auto"/>
        <w:left w:val="none" w:sz="0" w:space="0" w:color="auto"/>
        <w:bottom w:val="none" w:sz="0" w:space="0" w:color="auto"/>
        <w:right w:val="none" w:sz="0" w:space="0" w:color="auto"/>
      </w:divBdr>
    </w:div>
    <w:div w:id="2036495032">
      <w:bodyDiv w:val="1"/>
      <w:marLeft w:val="0"/>
      <w:marRight w:val="0"/>
      <w:marTop w:val="0"/>
      <w:marBottom w:val="0"/>
      <w:divBdr>
        <w:top w:val="none" w:sz="0" w:space="0" w:color="auto"/>
        <w:left w:val="none" w:sz="0" w:space="0" w:color="auto"/>
        <w:bottom w:val="none" w:sz="0" w:space="0" w:color="auto"/>
        <w:right w:val="none" w:sz="0" w:space="0" w:color="auto"/>
      </w:divBdr>
    </w:div>
    <w:div w:id="2036540828">
      <w:bodyDiv w:val="1"/>
      <w:marLeft w:val="0"/>
      <w:marRight w:val="0"/>
      <w:marTop w:val="0"/>
      <w:marBottom w:val="0"/>
      <w:divBdr>
        <w:top w:val="none" w:sz="0" w:space="0" w:color="auto"/>
        <w:left w:val="none" w:sz="0" w:space="0" w:color="auto"/>
        <w:bottom w:val="none" w:sz="0" w:space="0" w:color="auto"/>
        <w:right w:val="none" w:sz="0" w:space="0" w:color="auto"/>
      </w:divBdr>
    </w:div>
    <w:div w:id="2036610472">
      <w:bodyDiv w:val="1"/>
      <w:marLeft w:val="0"/>
      <w:marRight w:val="0"/>
      <w:marTop w:val="0"/>
      <w:marBottom w:val="0"/>
      <w:divBdr>
        <w:top w:val="none" w:sz="0" w:space="0" w:color="auto"/>
        <w:left w:val="none" w:sz="0" w:space="0" w:color="auto"/>
        <w:bottom w:val="none" w:sz="0" w:space="0" w:color="auto"/>
        <w:right w:val="none" w:sz="0" w:space="0" w:color="auto"/>
      </w:divBdr>
    </w:div>
    <w:div w:id="2036686496">
      <w:bodyDiv w:val="1"/>
      <w:marLeft w:val="0"/>
      <w:marRight w:val="0"/>
      <w:marTop w:val="0"/>
      <w:marBottom w:val="0"/>
      <w:divBdr>
        <w:top w:val="none" w:sz="0" w:space="0" w:color="auto"/>
        <w:left w:val="none" w:sz="0" w:space="0" w:color="auto"/>
        <w:bottom w:val="none" w:sz="0" w:space="0" w:color="auto"/>
        <w:right w:val="none" w:sz="0" w:space="0" w:color="auto"/>
      </w:divBdr>
    </w:div>
    <w:div w:id="2036807555">
      <w:bodyDiv w:val="1"/>
      <w:marLeft w:val="0"/>
      <w:marRight w:val="0"/>
      <w:marTop w:val="0"/>
      <w:marBottom w:val="0"/>
      <w:divBdr>
        <w:top w:val="none" w:sz="0" w:space="0" w:color="auto"/>
        <w:left w:val="none" w:sz="0" w:space="0" w:color="auto"/>
        <w:bottom w:val="none" w:sz="0" w:space="0" w:color="auto"/>
        <w:right w:val="none" w:sz="0" w:space="0" w:color="auto"/>
      </w:divBdr>
    </w:div>
    <w:div w:id="2036954635">
      <w:bodyDiv w:val="1"/>
      <w:marLeft w:val="0"/>
      <w:marRight w:val="0"/>
      <w:marTop w:val="0"/>
      <w:marBottom w:val="0"/>
      <w:divBdr>
        <w:top w:val="none" w:sz="0" w:space="0" w:color="auto"/>
        <w:left w:val="none" w:sz="0" w:space="0" w:color="auto"/>
        <w:bottom w:val="none" w:sz="0" w:space="0" w:color="auto"/>
        <w:right w:val="none" w:sz="0" w:space="0" w:color="auto"/>
      </w:divBdr>
    </w:div>
    <w:div w:id="2037151495">
      <w:bodyDiv w:val="1"/>
      <w:marLeft w:val="0"/>
      <w:marRight w:val="0"/>
      <w:marTop w:val="0"/>
      <w:marBottom w:val="0"/>
      <w:divBdr>
        <w:top w:val="none" w:sz="0" w:space="0" w:color="auto"/>
        <w:left w:val="none" w:sz="0" w:space="0" w:color="auto"/>
        <w:bottom w:val="none" w:sz="0" w:space="0" w:color="auto"/>
        <w:right w:val="none" w:sz="0" w:space="0" w:color="auto"/>
      </w:divBdr>
    </w:div>
    <w:div w:id="2037190427">
      <w:bodyDiv w:val="1"/>
      <w:marLeft w:val="0"/>
      <w:marRight w:val="0"/>
      <w:marTop w:val="0"/>
      <w:marBottom w:val="0"/>
      <w:divBdr>
        <w:top w:val="none" w:sz="0" w:space="0" w:color="auto"/>
        <w:left w:val="none" w:sz="0" w:space="0" w:color="auto"/>
        <w:bottom w:val="none" w:sz="0" w:space="0" w:color="auto"/>
        <w:right w:val="none" w:sz="0" w:space="0" w:color="auto"/>
      </w:divBdr>
    </w:div>
    <w:div w:id="2037193091">
      <w:bodyDiv w:val="1"/>
      <w:marLeft w:val="0"/>
      <w:marRight w:val="0"/>
      <w:marTop w:val="0"/>
      <w:marBottom w:val="0"/>
      <w:divBdr>
        <w:top w:val="none" w:sz="0" w:space="0" w:color="auto"/>
        <w:left w:val="none" w:sz="0" w:space="0" w:color="auto"/>
        <w:bottom w:val="none" w:sz="0" w:space="0" w:color="auto"/>
        <w:right w:val="none" w:sz="0" w:space="0" w:color="auto"/>
      </w:divBdr>
    </w:div>
    <w:div w:id="2037194752">
      <w:bodyDiv w:val="1"/>
      <w:marLeft w:val="0"/>
      <w:marRight w:val="0"/>
      <w:marTop w:val="0"/>
      <w:marBottom w:val="0"/>
      <w:divBdr>
        <w:top w:val="none" w:sz="0" w:space="0" w:color="auto"/>
        <w:left w:val="none" w:sz="0" w:space="0" w:color="auto"/>
        <w:bottom w:val="none" w:sz="0" w:space="0" w:color="auto"/>
        <w:right w:val="none" w:sz="0" w:space="0" w:color="auto"/>
      </w:divBdr>
    </w:div>
    <w:div w:id="2037272528">
      <w:bodyDiv w:val="1"/>
      <w:marLeft w:val="0"/>
      <w:marRight w:val="0"/>
      <w:marTop w:val="0"/>
      <w:marBottom w:val="0"/>
      <w:divBdr>
        <w:top w:val="none" w:sz="0" w:space="0" w:color="auto"/>
        <w:left w:val="none" w:sz="0" w:space="0" w:color="auto"/>
        <w:bottom w:val="none" w:sz="0" w:space="0" w:color="auto"/>
        <w:right w:val="none" w:sz="0" w:space="0" w:color="auto"/>
      </w:divBdr>
    </w:div>
    <w:div w:id="2037386499">
      <w:bodyDiv w:val="1"/>
      <w:marLeft w:val="0"/>
      <w:marRight w:val="0"/>
      <w:marTop w:val="0"/>
      <w:marBottom w:val="0"/>
      <w:divBdr>
        <w:top w:val="none" w:sz="0" w:space="0" w:color="auto"/>
        <w:left w:val="none" w:sz="0" w:space="0" w:color="auto"/>
        <w:bottom w:val="none" w:sz="0" w:space="0" w:color="auto"/>
        <w:right w:val="none" w:sz="0" w:space="0" w:color="auto"/>
      </w:divBdr>
    </w:div>
    <w:div w:id="2037390185">
      <w:bodyDiv w:val="1"/>
      <w:marLeft w:val="0"/>
      <w:marRight w:val="0"/>
      <w:marTop w:val="0"/>
      <w:marBottom w:val="0"/>
      <w:divBdr>
        <w:top w:val="none" w:sz="0" w:space="0" w:color="auto"/>
        <w:left w:val="none" w:sz="0" w:space="0" w:color="auto"/>
        <w:bottom w:val="none" w:sz="0" w:space="0" w:color="auto"/>
        <w:right w:val="none" w:sz="0" w:space="0" w:color="auto"/>
      </w:divBdr>
    </w:div>
    <w:div w:id="2037459159">
      <w:bodyDiv w:val="1"/>
      <w:marLeft w:val="0"/>
      <w:marRight w:val="0"/>
      <w:marTop w:val="0"/>
      <w:marBottom w:val="0"/>
      <w:divBdr>
        <w:top w:val="none" w:sz="0" w:space="0" w:color="auto"/>
        <w:left w:val="none" w:sz="0" w:space="0" w:color="auto"/>
        <w:bottom w:val="none" w:sz="0" w:space="0" w:color="auto"/>
        <w:right w:val="none" w:sz="0" w:space="0" w:color="auto"/>
      </w:divBdr>
    </w:div>
    <w:div w:id="2037461537">
      <w:bodyDiv w:val="1"/>
      <w:marLeft w:val="0"/>
      <w:marRight w:val="0"/>
      <w:marTop w:val="0"/>
      <w:marBottom w:val="0"/>
      <w:divBdr>
        <w:top w:val="none" w:sz="0" w:space="0" w:color="auto"/>
        <w:left w:val="none" w:sz="0" w:space="0" w:color="auto"/>
        <w:bottom w:val="none" w:sz="0" w:space="0" w:color="auto"/>
        <w:right w:val="none" w:sz="0" w:space="0" w:color="auto"/>
      </w:divBdr>
    </w:div>
    <w:div w:id="2037535748">
      <w:bodyDiv w:val="1"/>
      <w:marLeft w:val="0"/>
      <w:marRight w:val="0"/>
      <w:marTop w:val="0"/>
      <w:marBottom w:val="0"/>
      <w:divBdr>
        <w:top w:val="none" w:sz="0" w:space="0" w:color="auto"/>
        <w:left w:val="none" w:sz="0" w:space="0" w:color="auto"/>
        <w:bottom w:val="none" w:sz="0" w:space="0" w:color="auto"/>
        <w:right w:val="none" w:sz="0" w:space="0" w:color="auto"/>
      </w:divBdr>
    </w:div>
    <w:div w:id="2037541389">
      <w:bodyDiv w:val="1"/>
      <w:marLeft w:val="0"/>
      <w:marRight w:val="0"/>
      <w:marTop w:val="0"/>
      <w:marBottom w:val="0"/>
      <w:divBdr>
        <w:top w:val="none" w:sz="0" w:space="0" w:color="auto"/>
        <w:left w:val="none" w:sz="0" w:space="0" w:color="auto"/>
        <w:bottom w:val="none" w:sz="0" w:space="0" w:color="auto"/>
        <w:right w:val="none" w:sz="0" w:space="0" w:color="auto"/>
      </w:divBdr>
    </w:div>
    <w:div w:id="2037653616">
      <w:bodyDiv w:val="1"/>
      <w:marLeft w:val="0"/>
      <w:marRight w:val="0"/>
      <w:marTop w:val="0"/>
      <w:marBottom w:val="0"/>
      <w:divBdr>
        <w:top w:val="none" w:sz="0" w:space="0" w:color="auto"/>
        <w:left w:val="none" w:sz="0" w:space="0" w:color="auto"/>
        <w:bottom w:val="none" w:sz="0" w:space="0" w:color="auto"/>
        <w:right w:val="none" w:sz="0" w:space="0" w:color="auto"/>
      </w:divBdr>
    </w:div>
    <w:div w:id="2037734221">
      <w:bodyDiv w:val="1"/>
      <w:marLeft w:val="0"/>
      <w:marRight w:val="0"/>
      <w:marTop w:val="0"/>
      <w:marBottom w:val="0"/>
      <w:divBdr>
        <w:top w:val="none" w:sz="0" w:space="0" w:color="auto"/>
        <w:left w:val="none" w:sz="0" w:space="0" w:color="auto"/>
        <w:bottom w:val="none" w:sz="0" w:space="0" w:color="auto"/>
        <w:right w:val="none" w:sz="0" w:space="0" w:color="auto"/>
      </w:divBdr>
    </w:div>
    <w:div w:id="2037845173">
      <w:bodyDiv w:val="1"/>
      <w:marLeft w:val="0"/>
      <w:marRight w:val="0"/>
      <w:marTop w:val="0"/>
      <w:marBottom w:val="0"/>
      <w:divBdr>
        <w:top w:val="none" w:sz="0" w:space="0" w:color="auto"/>
        <w:left w:val="none" w:sz="0" w:space="0" w:color="auto"/>
        <w:bottom w:val="none" w:sz="0" w:space="0" w:color="auto"/>
        <w:right w:val="none" w:sz="0" w:space="0" w:color="auto"/>
      </w:divBdr>
    </w:div>
    <w:div w:id="2037845485">
      <w:bodyDiv w:val="1"/>
      <w:marLeft w:val="0"/>
      <w:marRight w:val="0"/>
      <w:marTop w:val="0"/>
      <w:marBottom w:val="0"/>
      <w:divBdr>
        <w:top w:val="none" w:sz="0" w:space="0" w:color="auto"/>
        <w:left w:val="none" w:sz="0" w:space="0" w:color="auto"/>
        <w:bottom w:val="none" w:sz="0" w:space="0" w:color="auto"/>
        <w:right w:val="none" w:sz="0" w:space="0" w:color="auto"/>
      </w:divBdr>
    </w:div>
    <w:div w:id="2037926045">
      <w:bodyDiv w:val="1"/>
      <w:marLeft w:val="0"/>
      <w:marRight w:val="0"/>
      <w:marTop w:val="0"/>
      <w:marBottom w:val="0"/>
      <w:divBdr>
        <w:top w:val="none" w:sz="0" w:space="0" w:color="auto"/>
        <w:left w:val="none" w:sz="0" w:space="0" w:color="auto"/>
        <w:bottom w:val="none" w:sz="0" w:space="0" w:color="auto"/>
        <w:right w:val="none" w:sz="0" w:space="0" w:color="auto"/>
      </w:divBdr>
    </w:div>
    <w:div w:id="2037997284">
      <w:bodyDiv w:val="1"/>
      <w:marLeft w:val="0"/>
      <w:marRight w:val="0"/>
      <w:marTop w:val="0"/>
      <w:marBottom w:val="0"/>
      <w:divBdr>
        <w:top w:val="none" w:sz="0" w:space="0" w:color="auto"/>
        <w:left w:val="none" w:sz="0" w:space="0" w:color="auto"/>
        <w:bottom w:val="none" w:sz="0" w:space="0" w:color="auto"/>
        <w:right w:val="none" w:sz="0" w:space="0" w:color="auto"/>
      </w:divBdr>
    </w:div>
    <w:div w:id="2038240051">
      <w:bodyDiv w:val="1"/>
      <w:marLeft w:val="0"/>
      <w:marRight w:val="0"/>
      <w:marTop w:val="0"/>
      <w:marBottom w:val="0"/>
      <w:divBdr>
        <w:top w:val="none" w:sz="0" w:space="0" w:color="auto"/>
        <w:left w:val="none" w:sz="0" w:space="0" w:color="auto"/>
        <w:bottom w:val="none" w:sz="0" w:space="0" w:color="auto"/>
        <w:right w:val="none" w:sz="0" w:space="0" w:color="auto"/>
      </w:divBdr>
    </w:div>
    <w:div w:id="2038307902">
      <w:bodyDiv w:val="1"/>
      <w:marLeft w:val="0"/>
      <w:marRight w:val="0"/>
      <w:marTop w:val="0"/>
      <w:marBottom w:val="0"/>
      <w:divBdr>
        <w:top w:val="none" w:sz="0" w:space="0" w:color="auto"/>
        <w:left w:val="none" w:sz="0" w:space="0" w:color="auto"/>
        <w:bottom w:val="none" w:sz="0" w:space="0" w:color="auto"/>
        <w:right w:val="none" w:sz="0" w:space="0" w:color="auto"/>
      </w:divBdr>
    </w:div>
    <w:div w:id="2038308904">
      <w:bodyDiv w:val="1"/>
      <w:marLeft w:val="0"/>
      <w:marRight w:val="0"/>
      <w:marTop w:val="0"/>
      <w:marBottom w:val="0"/>
      <w:divBdr>
        <w:top w:val="none" w:sz="0" w:space="0" w:color="auto"/>
        <w:left w:val="none" w:sz="0" w:space="0" w:color="auto"/>
        <w:bottom w:val="none" w:sz="0" w:space="0" w:color="auto"/>
        <w:right w:val="none" w:sz="0" w:space="0" w:color="auto"/>
      </w:divBdr>
    </w:div>
    <w:div w:id="2038575043">
      <w:bodyDiv w:val="1"/>
      <w:marLeft w:val="0"/>
      <w:marRight w:val="0"/>
      <w:marTop w:val="0"/>
      <w:marBottom w:val="0"/>
      <w:divBdr>
        <w:top w:val="none" w:sz="0" w:space="0" w:color="auto"/>
        <w:left w:val="none" w:sz="0" w:space="0" w:color="auto"/>
        <w:bottom w:val="none" w:sz="0" w:space="0" w:color="auto"/>
        <w:right w:val="none" w:sz="0" w:space="0" w:color="auto"/>
      </w:divBdr>
    </w:div>
    <w:div w:id="2038651526">
      <w:bodyDiv w:val="1"/>
      <w:marLeft w:val="0"/>
      <w:marRight w:val="0"/>
      <w:marTop w:val="0"/>
      <w:marBottom w:val="0"/>
      <w:divBdr>
        <w:top w:val="none" w:sz="0" w:space="0" w:color="auto"/>
        <w:left w:val="none" w:sz="0" w:space="0" w:color="auto"/>
        <w:bottom w:val="none" w:sz="0" w:space="0" w:color="auto"/>
        <w:right w:val="none" w:sz="0" w:space="0" w:color="auto"/>
      </w:divBdr>
    </w:div>
    <w:div w:id="2038696388">
      <w:bodyDiv w:val="1"/>
      <w:marLeft w:val="0"/>
      <w:marRight w:val="0"/>
      <w:marTop w:val="0"/>
      <w:marBottom w:val="0"/>
      <w:divBdr>
        <w:top w:val="none" w:sz="0" w:space="0" w:color="auto"/>
        <w:left w:val="none" w:sz="0" w:space="0" w:color="auto"/>
        <w:bottom w:val="none" w:sz="0" w:space="0" w:color="auto"/>
        <w:right w:val="none" w:sz="0" w:space="0" w:color="auto"/>
      </w:divBdr>
    </w:div>
    <w:div w:id="2038847241">
      <w:bodyDiv w:val="1"/>
      <w:marLeft w:val="0"/>
      <w:marRight w:val="0"/>
      <w:marTop w:val="0"/>
      <w:marBottom w:val="0"/>
      <w:divBdr>
        <w:top w:val="none" w:sz="0" w:space="0" w:color="auto"/>
        <w:left w:val="none" w:sz="0" w:space="0" w:color="auto"/>
        <w:bottom w:val="none" w:sz="0" w:space="0" w:color="auto"/>
        <w:right w:val="none" w:sz="0" w:space="0" w:color="auto"/>
      </w:divBdr>
    </w:div>
    <w:div w:id="2038892415">
      <w:bodyDiv w:val="1"/>
      <w:marLeft w:val="0"/>
      <w:marRight w:val="0"/>
      <w:marTop w:val="0"/>
      <w:marBottom w:val="0"/>
      <w:divBdr>
        <w:top w:val="none" w:sz="0" w:space="0" w:color="auto"/>
        <w:left w:val="none" w:sz="0" w:space="0" w:color="auto"/>
        <w:bottom w:val="none" w:sz="0" w:space="0" w:color="auto"/>
        <w:right w:val="none" w:sz="0" w:space="0" w:color="auto"/>
      </w:divBdr>
    </w:div>
    <w:div w:id="2038922444">
      <w:bodyDiv w:val="1"/>
      <w:marLeft w:val="0"/>
      <w:marRight w:val="0"/>
      <w:marTop w:val="0"/>
      <w:marBottom w:val="0"/>
      <w:divBdr>
        <w:top w:val="none" w:sz="0" w:space="0" w:color="auto"/>
        <w:left w:val="none" w:sz="0" w:space="0" w:color="auto"/>
        <w:bottom w:val="none" w:sz="0" w:space="0" w:color="auto"/>
        <w:right w:val="none" w:sz="0" w:space="0" w:color="auto"/>
      </w:divBdr>
    </w:div>
    <w:div w:id="2039040122">
      <w:bodyDiv w:val="1"/>
      <w:marLeft w:val="0"/>
      <w:marRight w:val="0"/>
      <w:marTop w:val="0"/>
      <w:marBottom w:val="0"/>
      <w:divBdr>
        <w:top w:val="none" w:sz="0" w:space="0" w:color="auto"/>
        <w:left w:val="none" w:sz="0" w:space="0" w:color="auto"/>
        <w:bottom w:val="none" w:sz="0" w:space="0" w:color="auto"/>
        <w:right w:val="none" w:sz="0" w:space="0" w:color="auto"/>
      </w:divBdr>
    </w:div>
    <w:div w:id="2039045882">
      <w:bodyDiv w:val="1"/>
      <w:marLeft w:val="0"/>
      <w:marRight w:val="0"/>
      <w:marTop w:val="0"/>
      <w:marBottom w:val="0"/>
      <w:divBdr>
        <w:top w:val="none" w:sz="0" w:space="0" w:color="auto"/>
        <w:left w:val="none" w:sz="0" w:space="0" w:color="auto"/>
        <w:bottom w:val="none" w:sz="0" w:space="0" w:color="auto"/>
        <w:right w:val="none" w:sz="0" w:space="0" w:color="auto"/>
      </w:divBdr>
    </w:div>
    <w:div w:id="2039088036">
      <w:bodyDiv w:val="1"/>
      <w:marLeft w:val="0"/>
      <w:marRight w:val="0"/>
      <w:marTop w:val="0"/>
      <w:marBottom w:val="0"/>
      <w:divBdr>
        <w:top w:val="none" w:sz="0" w:space="0" w:color="auto"/>
        <w:left w:val="none" w:sz="0" w:space="0" w:color="auto"/>
        <w:bottom w:val="none" w:sz="0" w:space="0" w:color="auto"/>
        <w:right w:val="none" w:sz="0" w:space="0" w:color="auto"/>
      </w:divBdr>
    </w:div>
    <w:div w:id="2039112889">
      <w:bodyDiv w:val="1"/>
      <w:marLeft w:val="0"/>
      <w:marRight w:val="0"/>
      <w:marTop w:val="0"/>
      <w:marBottom w:val="0"/>
      <w:divBdr>
        <w:top w:val="none" w:sz="0" w:space="0" w:color="auto"/>
        <w:left w:val="none" w:sz="0" w:space="0" w:color="auto"/>
        <w:bottom w:val="none" w:sz="0" w:space="0" w:color="auto"/>
        <w:right w:val="none" w:sz="0" w:space="0" w:color="auto"/>
      </w:divBdr>
    </w:div>
    <w:div w:id="2039351348">
      <w:bodyDiv w:val="1"/>
      <w:marLeft w:val="0"/>
      <w:marRight w:val="0"/>
      <w:marTop w:val="0"/>
      <w:marBottom w:val="0"/>
      <w:divBdr>
        <w:top w:val="none" w:sz="0" w:space="0" w:color="auto"/>
        <w:left w:val="none" w:sz="0" w:space="0" w:color="auto"/>
        <w:bottom w:val="none" w:sz="0" w:space="0" w:color="auto"/>
        <w:right w:val="none" w:sz="0" w:space="0" w:color="auto"/>
      </w:divBdr>
    </w:div>
    <w:div w:id="2039430955">
      <w:bodyDiv w:val="1"/>
      <w:marLeft w:val="0"/>
      <w:marRight w:val="0"/>
      <w:marTop w:val="0"/>
      <w:marBottom w:val="0"/>
      <w:divBdr>
        <w:top w:val="none" w:sz="0" w:space="0" w:color="auto"/>
        <w:left w:val="none" w:sz="0" w:space="0" w:color="auto"/>
        <w:bottom w:val="none" w:sz="0" w:space="0" w:color="auto"/>
        <w:right w:val="none" w:sz="0" w:space="0" w:color="auto"/>
      </w:divBdr>
    </w:div>
    <w:div w:id="2039696994">
      <w:bodyDiv w:val="1"/>
      <w:marLeft w:val="0"/>
      <w:marRight w:val="0"/>
      <w:marTop w:val="0"/>
      <w:marBottom w:val="0"/>
      <w:divBdr>
        <w:top w:val="none" w:sz="0" w:space="0" w:color="auto"/>
        <w:left w:val="none" w:sz="0" w:space="0" w:color="auto"/>
        <w:bottom w:val="none" w:sz="0" w:space="0" w:color="auto"/>
        <w:right w:val="none" w:sz="0" w:space="0" w:color="auto"/>
      </w:divBdr>
    </w:div>
    <w:div w:id="2039700470">
      <w:bodyDiv w:val="1"/>
      <w:marLeft w:val="0"/>
      <w:marRight w:val="0"/>
      <w:marTop w:val="0"/>
      <w:marBottom w:val="0"/>
      <w:divBdr>
        <w:top w:val="none" w:sz="0" w:space="0" w:color="auto"/>
        <w:left w:val="none" w:sz="0" w:space="0" w:color="auto"/>
        <w:bottom w:val="none" w:sz="0" w:space="0" w:color="auto"/>
        <w:right w:val="none" w:sz="0" w:space="0" w:color="auto"/>
      </w:divBdr>
    </w:div>
    <w:div w:id="2039768135">
      <w:bodyDiv w:val="1"/>
      <w:marLeft w:val="0"/>
      <w:marRight w:val="0"/>
      <w:marTop w:val="0"/>
      <w:marBottom w:val="0"/>
      <w:divBdr>
        <w:top w:val="none" w:sz="0" w:space="0" w:color="auto"/>
        <w:left w:val="none" w:sz="0" w:space="0" w:color="auto"/>
        <w:bottom w:val="none" w:sz="0" w:space="0" w:color="auto"/>
        <w:right w:val="none" w:sz="0" w:space="0" w:color="auto"/>
      </w:divBdr>
    </w:div>
    <w:div w:id="2039814174">
      <w:bodyDiv w:val="1"/>
      <w:marLeft w:val="0"/>
      <w:marRight w:val="0"/>
      <w:marTop w:val="0"/>
      <w:marBottom w:val="0"/>
      <w:divBdr>
        <w:top w:val="none" w:sz="0" w:space="0" w:color="auto"/>
        <w:left w:val="none" w:sz="0" w:space="0" w:color="auto"/>
        <w:bottom w:val="none" w:sz="0" w:space="0" w:color="auto"/>
        <w:right w:val="none" w:sz="0" w:space="0" w:color="auto"/>
      </w:divBdr>
    </w:div>
    <w:div w:id="2039814973">
      <w:bodyDiv w:val="1"/>
      <w:marLeft w:val="0"/>
      <w:marRight w:val="0"/>
      <w:marTop w:val="0"/>
      <w:marBottom w:val="0"/>
      <w:divBdr>
        <w:top w:val="none" w:sz="0" w:space="0" w:color="auto"/>
        <w:left w:val="none" w:sz="0" w:space="0" w:color="auto"/>
        <w:bottom w:val="none" w:sz="0" w:space="0" w:color="auto"/>
        <w:right w:val="none" w:sz="0" w:space="0" w:color="auto"/>
      </w:divBdr>
    </w:div>
    <w:div w:id="2039962122">
      <w:bodyDiv w:val="1"/>
      <w:marLeft w:val="0"/>
      <w:marRight w:val="0"/>
      <w:marTop w:val="0"/>
      <w:marBottom w:val="0"/>
      <w:divBdr>
        <w:top w:val="none" w:sz="0" w:space="0" w:color="auto"/>
        <w:left w:val="none" w:sz="0" w:space="0" w:color="auto"/>
        <w:bottom w:val="none" w:sz="0" w:space="0" w:color="auto"/>
        <w:right w:val="none" w:sz="0" w:space="0" w:color="auto"/>
      </w:divBdr>
    </w:div>
    <w:div w:id="2039966668">
      <w:bodyDiv w:val="1"/>
      <w:marLeft w:val="0"/>
      <w:marRight w:val="0"/>
      <w:marTop w:val="0"/>
      <w:marBottom w:val="0"/>
      <w:divBdr>
        <w:top w:val="none" w:sz="0" w:space="0" w:color="auto"/>
        <w:left w:val="none" w:sz="0" w:space="0" w:color="auto"/>
        <w:bottom w:val="none" w:sz="0" w:space="0" w:color="auto"/>
        <w:right w:val="none" w:sz="0" w:space="0" w:color="auto"/>
      </w:divBdr>
    </w:div>
    <w:div w:id="2040005597">
      <w:bodyDiv w:val="1"/>
      <w:marLeft w:val="0"/>
      <w:marRight w:val="0"/>
      <w:marTop w:val="0"/>
      <w:marBottom w:val="0"/>
      <w:divBdr>
        <w:top w:val="none" w:sz="0" w:space="0" w:color="auto"/>
        <w:left w:val="none" w:sz="0" w:space="0" w:color="auto"/>
        <w:bottom w:val="none" w:sz="0" w:space="0" w:color="auto"/>
        <w:right w:val="none" w:sz="0" w:space="0" w:color="auto"/>
      </w:divBdr>
    </w:div>
    <w:div w:id="2040007937">
      <w:bodyDiv w:val="1"/>
      <w:marLeft w:val="0"/>
      <w:marRight w:val="0"/>
      <w:marTop w:val="0"/>
      <w:marBottom w:val="0"/>
      <w:divBdr>
        <w:top w:val="none" w:sz="0" w:space="0" w:color="auto"/>
        <w:left w:val="none" w:sz="0" w:space="0" w:color="auto"/>
        <w:bottom w:val="none" w:sz="0" w:space="0" w:color="auto"/>
        <w:right w:val="none" w:sz="0" w:space="0" w:color="auto"/>
      </w:divBdr>
    </w:div>
    <w:div w:id="2040083888">
      <w:bodyDiv w:val="1"/>
      <w:marLeft w:val="0"/>
      <w:marRight w:val="0"/>
      <w:marTop w:val="0"/>
      <w:marBottom w:val="0"/>
      <w:divBdr>
        <w:top w:val="none" w:sz="0" w:space="0" w:color="auto"/>
        <w:left w:val="none" w:sz="0" w:space="0" w:color="auto"/>
        <w:bottom w:val="none" w:sz="0" w:space="0" w:color="auto"/>
        <w:right w:val="none" w:sz="0" w:space="0" w:color="auto"/>
      </w:divBdr>
    </w:div>
    <w:div w:id="2040233092">
      <w:bodyDiv w:val="1"/>
      <w:marLeft w:val="0"/>
      <w:marRight w:val="0"/>
      <w:marTop w:val="0"/>
      <w:marBottom w:val="0"/>
      <w:divBdr>
        <w:top w:val="none" w:sz="0" w:space="0" w:color="auto"/>
        <w:left w:val="none" w:sz="0" w:space="0" w:color="auto"/>
        <w:bottom w:val="none" w:sz="0" w:space="0" w:color="auto"/>
        <w:right w:val="none" w:sz="0" w:space="0" w:color="auto"/>
      </w:divBdr>
    </w:div>
    <w:div w:id="2040473358">
      <w:bodyDiv w:val="1"/>
      <w:marLeft w:val="0"/>
      <w:marRight w:val="0"/>
      <w:marTop w:val="0"/>
      <w:marBottom w:val="0"/>
      <w:divBdr>
        <w:top w:val="none" w:sz="0" w:space="0" w:color="auto"/>
        <w:left w:val="none" w:sz="0" w:space="0" w:color="auto"/>
        <w:bottom w:val="none" w:sz="0" w:space="0" w:color="auto"/>
        <w:right w:val="none" w:sz="0" w:space="0" w:color="auto"/>
      </w:divBdr>
    </w:div>
    <w:div w:id="2040544683">
      <w:bodyDiv w:val="1"/>
      <w:marLeft w:val="0"/>
      <w:marRight w:val="0"/>
      <w:marTop w:val="0"/>
      <w:marBottom w:val="0"/>
      <w:divBdr>
        <w:top w:val="none" w:sz="0" w:space="0" w:color="auto"/>
        <w:left w:val="none" w:sz="0" w:space="0" w:color="auto"/>
        <w:bottom w:val="none" w:sz="0" w:space="0" w:color="auto"/>
        <w:right w:val="none" w:sz="0" w:space="0" w:color="auto"/>
      </w:divBdr>
    </w:div>
    <w:div w:id="2040545925">
      <w:bodyDiv w:val="1"/>
      <w:marLeft w:val="0"/>
      <w:marRight w:val="0"/>
      <w:marTop w:val="0"/>
      <w:marBottom w:val="0"/>
      <w:divBdr>
        <w:top w:val="none" w:sz="0" w:space="0" w:color="auto"/>
        <w:left w:val="none" w:sz="0" w:space="0" w:color="auto"/>
        <w:bottom w:val="none" w:sz="0" w:space="0" w:color="auto"/>
        <w:right w:val="none" w:sz="0" w:space="0" w:color="auto"/>
      </w:divBdr>
    </w:div>
    <w:div w:id="2040617658">
      <w:bodyDiv w:val="1"/>
      <w:marLeft w:val="0"/>
      <w:marRight w:val="0"/>
      <w:marTop w:val="0"/>
      <w:marBottom w:val="0"/>
      <w:divBdr>
        <w:top w:val="none" w:sz="0" w:space="0" w:color="auto"/>
        <w:left w:val="none" w:sz="0" w:space="0" w:color="auto"/>
        <w:bottom w:val="none" w:sz="0" w:space="0" w:color="auto"/>
        <w:right w:val="none" w:sz="0" w:space="0" w:color="auto"/>
      </w:divBdr>
    </w:div>
    <w:div w:id="2040692516">
      <w:bodyDiv w:val="1"/>
      <w:marLeft w:val="0"/>
      <w:marRight w:val="0"/>
      <w:marTop w:val="0"/>
      <w:marBottom w:val="0"/>
      <w:divBdr>
        <w:top w:val="none" w:sz="0" w:space="0" w:color="auto"/>
        <w:left w:val="none" w:sz="0" w:space="0" w:color="auto"/>
        <w:bottom w:val="none" w:sz="0" w:space="0" w:color="auto"/>
        <w:right w:val="none" w:sz="0" w:space="0" w:color="auto"/>
      </w:divBdr>
    </w:div>
    <w:div w:id="2040735947">
      <w:bodyDiv w:val="1"/>
      <w:marLeft w:val="0"/>
      <w:marRight w:val="0"/>
      <w:marTop w:val="0"/>
      <w:marBottom w:val="0"/>
      <w:divBdr>
        <w:top w:val="none" w:sz="0" w:space="0" w:color="auto"/>
        <w:left w:val="none" w:sz="0" w:space="0" w:color="auto"/>
        <w:bottom w:val="none" w:sz="0" w:space="0" w:color="auto"/>
        <w:right w:val="none" w:sz="0" w:space="0" w:color="auto"/>
      </w:divBdr>
    </w:div>
    <w:div w:id="2040815895">
      <w:bodyDiv w:val="1"/>
      <w:marLeft w:val="0"/>
      <w:marRight w:val="0"/>
      <w:marTop w:val="0"/>
      <w:marBottom w:val="0"/>
      <w:divBdr>
        <w:top w:val="none" w:sz="0" w:space="0" w:color="auto"/>
        <w:left w:val="none" w:sz="0" w:space="0" w:color="auto"/>
        <w:bottom w:val="none" w:sz="0" w:space="0" w:color="auto"/>
        <w:right w:val="none" w:sz="0" w:space="0" w:color="auto"/>
      </w:divBdr>
    </w:div>
    <w:div w:id="2040817540">
      <w:bodyDiv w:val="1"/>
      <w:marLeft w:val="0"/>
      <w:marRight w:val="0"/>
      <w:marTop w:val="0"/>
      <w:marBottom w:val="0"/>
      <w:divBdr>
        <w:top w:val="none" w:sz="0" w:space="0" w:color="auto"/>
        <w:left w:val="none" w:sz="0" w:space="0" w:color="auto"/>
        <w:bottom w:val="none" w:sz="0" w:space="0" w:color="auto"/>
        <w:right w:val="none" w:sz="0" w:space="0" w:color="auto"/>
      </w:divBdr>
    </w:div>
    <w:div w:id="2040860504">
      <w:bodyDiv w:val="1"/>
      <w:marLeft w:val="0"/>
      <w:marRight w:val="0"/>
      <w:marTop w:val="0"/>
      <w:marBottom w:val="0"/>
      <w:divBdr>
        <w:top w:val="none" w:sz="0" w:space="0" w:color="auto"/>
        <w:left w:val="none" w:sz="0" w:space="0" w:color="auto"/>
        <w:bottom w:val="none" w:sz="0" w:space="0" w:color="auto"/>
        <w:right w:val="none" w:sz="0" w:space="0" w:color="auto"/>
      </w:divBdr>
    </w:div>
    <w:div w:id="2041204226">
      <w:bodyDiv w:val="1"/>
      <w:marLeft w:val="0"/>
      <w:marRight w:val="0"/>
      <w:marTop w:val="0"/>
      <w:marBottom w:val="0"/>
      <w:divBdr>
        <w:top w:val="none" w:sz="0" w:space="0" w:color="auto"/>
        <w:left w:val="none" w:sz="0" w:space="0" w:color="auto"/>
        <w:bottom w:val="none" w:sz="0" w:space="0" w:color="auto"/>
        <w:right w:val="none" w:sz="0" w:space="0" w:color="auto"/>
      </w:divBdr>
    </w:div>
    <w:div w:id="2041205621">
      <w:bodyDiv w:val="1"/>
      <w:marLeft w:val="0"/>
      <w:marRight w:val="0"/>
      <w:marTop w:val="0"/>
      <w:marBottom w:val="0"/>
      <w:divBdr>
        <w:top w:val="none" w:sz="0" w:space="0" w:color="auto"/>
        <w:left w:val="none" w:sz="0" w:space="0" w:color="auto"/>
        <w:bottom w:val="none" w:sz="0" w:space="0" w:color="auto"/>
        <w:right w:val="none" w:sz="0" w:space="0" w:color="auto"/>
      </w:divBdr>
    </w:div>
    <w:div w:id="2041316673">
      <w:bodyDiv w:val="1"/>
      <w:marLeft w:val="0"/>
      <w:marRight w:val="0"/>
      <w:marTop w:val="0"/>
      <w:marBottom w:val="0"/>
      <w:divBdr>
        <w:top w:val="none" w:sz="0" w:space="0" w:color="auto"/>
        <w:left w:val="none" w:sz="0" w:space="0" w:color="auto"/>
        <w:bottom w:val="none" w:sz="0" w:space="0" w:color="auto"/>
        <w:right w:val="none" w:sz="0" w:space="0" w:color="auto"/>
      </w:divBdr>
    </w:div>
    <w:div w:id="2041320392">
      <w:bodyDiv w:val="1"/>
      <w:marLeft w:val="0"/>
      <w:marRight w:val="0"/>
      <w:marTop w:val="0"/>
      <w:marBottom w:val="0"/>
      <w:divBdr>
        <w:top w:val="none" w:sz="0" w:space="0" w:color="auto"/>
        <w:left w:val="none" w:sz="0" w:space="0" w:color="auto"/>
        <w:bottom w:val="none" w:sz="0" w:space="0" w:color="auto"/>
        <w:right w:val="none" w:sz="0" w:space="0" w:color="auto"/>
      </w:divBdr>
    </w:div>
    <w:div w:id="2041391825">
      <w:bodyDiv w:val="1"/>
      <w:marLeft w:val="0"/>
      <w:marRight w:val="0"/>
      <w:marTop w:val="0"/>
      <w:marBottom w:val="0"/>
      <w:divBdr>
        <w:top w:val="none" w:sz="0" w:space="0" w:color="auto"/>
        <w:left w:val="none" w:sz="0" w:space="0" w:color="auto"/>
        <w:bottom w:val="none" w:sz="0" w:space="0" w:color="auto"/>
        <w:right w:val="none" w:sz="0" w:space="0" w:color="auto"/>
      </w:divBdr>
    </w:div>
    <w:div w:id="2041515216">
      <w:bodyDiv w:val="1"/>
      <w:marLeft w:val="0"/>
      <w:marRight w:val="0"/>
      <w:marTop w:val="0"/>
      <w:marBottom w:val="0"/>
      <w:divBdr>
        <w:top w:val="none" w:sz="0" w:space="0" w:color="auto"/>
        <w:left w:val="none" w:sz="0" w:space="0" w:color="auto"/>
        <w:bottom w:val="none" w:sz="0" w:space="0" w:color="auto"/>
        <w:right w:val="none" w:sz="0" w:space="0" w:color="auto"/>
      </w:divBdr>
    </w:div>
    <w:div w:id="2041592157">
      <w:bodyDiv w:val="1"/>
      <w:marLeft w:val="0"/>
      <w:marRight w:val="0"/>
      <w:marTop w:val="0"/>
      <w:marBottom w:val="0"/>
      <w:divBdr>
        <w:top w:val="none" w:sz="0" w:space="0" w:color="auto"/>
        <w:left w:val="none" w:sz="0" w:space="0" w:color="auto"/>
        <w:bottom w:val="none" w:sz="0" w:space="0" w:color="auto"/>
        <w:right w:val="none" w:sz="0" w:space="0" w:color="auto"/>
      </w:divBdr>
    </w:div>
    <w:div w:id="2041667722">
      <w:bodyDiv w:val="1"/>
      <w:marLeft w:val="0"/>
      <w:marRight w:val="0"/>
      <w:marTop w:val="0"/>
      <w:marBottom w:val="0"/>
      <w:divBdr>
        <w:top w:val="none" w:sz="0" w:space="0" w:color="auto"/>
        <w:left w:val="none" w:sz="0" w:space="0" w:color="auto"/>
        <w:bottom w:val="none" w:sz="0" w:space="0" w:color="auto"/>
        <w:right w:val="none" w:sz="0" w:space="0" w:color="auto"/>
      </w:divBdr>
    </w:div>
    <w:div w:id="2041737137">
      <w:bodyDiv w:val="1"/>
      <w:marLeft w:val="0"/>
      <w:marRight w:val="0"/>
      <w:marTop w:val="0"/>
      <w:marBottom w:val="0"/>
      <w:divBdr>
        <w:top w:val="none" w:sz="0" w:space="0" w:color="auto"/>
        <w:left w:val="none" w:sz="0" w:space="0" w:color="auto"/>
        <w:bottom w:val="none" w:sz="0" w:space="0" w:color="auto"/>
        <w:right w:val="none" w:sz="0" w:space="0" w:color="auto"/>
      </w:divBdr>
    </w:div>
    <w:div w:id="2041738395">
      <w:bodyDiv w:val="1"/>
      <w:marLeft w:val="0"/>
      <w:marRight w:val="0"/>
      <w:marTop w:val="0"/>
      <w:marBottom w:val="0"/>
      <w:divBdr>
        <w:top w:val="none" w:sz="0" w:space="0" w:color="auto"/>
        <w:left w:val="none" w:sz="0" w:space="0" w:color="auto"/>
        <w:bottom w:val="none" w:sz="0" w:space="0" w:color="auto"/>
        <w:right w:val="none" w:sz="0" w:space="0" w:color="auto"/>
      </w:divBdr>
    </w:div>
    <w:div w:id="2041781508">
      <w:bodyDiv w:val="1"/>
      <w:marLeft w:val="0"/>
      <w:marRight w:val="0"/>
      <w:marTop w:val="0"/>
      <w:marBottom w:val="0"/>
      <w:divBdr>
        <w:top w:val="none" w:sz="0" w:space="0" w:color="auto"/>
        <w:left w:val="none" w:sz="0" w:space="0" w:color="auto"/>
        <w:bottom w:val="none" w:sz="0" w:space="0" w:color="auto"/>
        <w:right w:val="none" w:sz="0" w:space="0" w:color="auto"/>
      </w:divBdr>
    </w:div>
    <w:div w:id="2041928555">
      <w:bodyDiv w:val="1"/>
      <w:marLeft w:val="0"/>
      <w:marRight w:val="0"/>
      <w:marTop w:val="0"/>
      <w:marBottom w:val="0"/>
      <w:divBdr>
        <w:top w:val="none" w:sz="0" w:space="0" w:color="auto"/>
        <w:left w:val="none" w:sz="0" w:space="0" w:color="auto"/>
        <w:bottom w:val="none" w:sz="0" w:space="0" w:color="auto"/>
        <w:right w:val="none" w:sz="0" w:space="0" w:color="auto"/>
      </w:divBdr>
    </w:div>
    <w:div w:id="2041971141">
      <w:bodyDiv w:val="1"/>
      <w:marLeft w:val="0"/>
      <w:marRight w:val="0"/>
      <w:marTop w:val="0"/>
      <w:marBottom w:val="0"/>
      <w:divBdr>
        <w:top w:val="none" w:sz="0" w:space="0" w:color="auto"/>
        <w:left w:val="none" w:sz="0" w:space="0" w:color="auto"/>
        <w:bottom w:val="none" w:sz="0" w:space="0" w:color="auto"/>
        <w:right w:val="none" w:sz="0" w:space="0" w:color="auto"/>
      </w:divBdr>
    </w:div>
    <w:div w:id="2041973452">
      <w:bodyDiv w:val="1"/>
      <w:marLeft w:val="0"/>
      <w:marRight w:val="0"/>
      <w:marTop w:val="0"/>
      <w:marBottom w:val="0"/>
      <w:divBdr>
        <w:top w:val="none" w:sz="0" w:space="0" w:color="auto"/>
        <w:left w:val="none" w:sz="0" w:space="0" w:color="auto"/>
        <w:bottom w:val="none" w:sz="0" w:space="0" w:color="auto"/>
        <w:right w:val="none" w:sz="0" w:space="0" w:color="auto"/>
      </w:divBdr>
    </w:div>
    <w:div w:id="2042048016">
      <w:bodyDiv w:val="1"/>
      <w:marLeft w:val="0"/>
      <w:marRight w:val="0"/>
      <w:marTop w:val="0"/>
      <w:marBottom w:val="0"/>
      <w:divBdr>
        <w:top w:val="none" w:sz="0" w:space="0" w:color="auto"/>
        <w:left w:val="none" w:sz="0" w:space="0" w:color="auto"/>
        <w:bottom w:val="none" w:sz="0" w:space="0" w:color="auto"/>
        <w:right w:val="none" w:sz="0" w:space="0" w:color="auto"/>
      </w:divBdr>
    </w:div>
    <w:div w:id="2042121528">
      <w:bodyDiv w:val="1"/>
      <w:marLeft w:val="0"/>
      <w:marRight w:val="0"/>
      <w:marTop w:val="0"/>
      <w:marBottom w:val="0"/>
      <w:divBdr>
        <w:top w:val="none" w:sz="0" w:space="0" w:color="auto"/>
        <w:left w:val="none" w:sz="0" w:space="0" w:color="auto"/>
        <w:bottom w:val="none" w:sz="0" w:space="0" w:color="auto"/>
        <w:right w:val="none" w:sz="0" w:space="0" w:color="auto"/>
      </w:divBdr>
    </w:div>
    <w:div w:id="2042395182">
      <w:bodyDiv w:val="1"/>
      <w:marLeft w:val="0"/>
      <w:marRight w:val="0"/>
      <w:marTop w:val="0"/>
      <w:marBottom w:val="0"/>
      <w:divBdr>
        <w:top w:val="none" w:sz="0" w:space="0" w:color="auto"/>
        <w:left w:val="none" w:sz="0" w:space="0" w:color="auto"/>
        <w:bottom w:val="none" w:sz="0" w:space="0" w:color="auto"/>
        <w:right w:val="none" w:sz="0" w:space="0" w:color="auto"/>
      </w:divBdr>
    </w:div>
    <w:div w:id="2042434209">
      <w:bodyDiv w:val="1"/>
      <w:marLeft w:val="0"/>
      <w:marRight w:val="0"/>
      <w:marTop w:val="0"/>
      <w:marBottom w:val="0"/>
      <w:divBdr>
        <w:top w:val="none" w:sz="0" w:space="0" w:color="auto"/>
        <w:left w:val="none" w:sz="0" w:space="0" w:color="auto"/>
        <w:bottom w:val="none" w:sz="0" w:space="0" w:color="auto"/>
        <w:right w:val="none" w:sz="0" w:space="0" w:color="auto"/>
      </w:divBdr>
    </w:div>
    <w:div w:id="2042435063">
      <w:bodyDiv w:val="1"/>
      <w:marLeft w:val="0"/>
      <w:marRight w:val="0"/>
      <w:marTop w:val="0"/>
      <w:marBottom w:val="0"/>
      <w:divBdr>
        <w:top w:val="none" w:sz="0" w:space="0" w:color="auto"/>
        <w:left w:val="none" w:sz="0" w:space="0" w:color="auto"/>
        <w:bottom w:val="none" w:sz="0" w:space="0" w:color="auto"/>
        <w:right w:val="none" w:sz="0" w:space="0" w:color="auto"/>
      </w:divBdr>
    </w:div>
    <w:div w:id="2042440860">
      <w:bodyDiv w:val="1"/>
      <w:marLeft w:val="0"/>
      <w:marRight w:val="0"/>
      <w:marTop w:val="0"/>
      <w:marBottom w:val="0"/>
      <w:divBdr>
        <w:top w:val="none" w:sz="0" w:space="0" w:color="auto"/>
        <w:left w:val="none" w:sz="0" w:space="0" w:color="auto"/>
        <w:bottom w:val="none" w:sz="0" w:space="0" w:color="auto"/>
        <w:right w:val="none" w:sz="0" w:space="0" w:color="auto"/>
      </w:divBdr>
    </w:div>
    <w:div w:id="2042582209">
      <w:bodyDiv w:val="1"/>
      <w:marLeft w:val="0"/>
      <w:marRight w:val="0"/>
      <w:marTop w:val="0"/>
      <w:marBottom w:val="0"/>
      <w:divBdr>
        <w:top w:val="none" w:sz="0" w:space="0" w:color="auto"/>
        <w:left w:val="none" w:sz="0" w:space="0" w:color="auto"/>
        <w:bottom w:val="none" w:sz="0" w:space="0" w:color="auto"/>
        <w:right w:val="none" w:sz="0" w:space="0" w:color="auto"/>
      </w:divBdr>
    </w:div>
    <w:div w:id="2042591265">
      <w:bodyDiv w:val="1"/>
      <w:marLeft w:val="0"/>
      <w:marRight w:val="0"/>
      <w:marTop w:val="0"/>
      <w:marBottom w:val="0"/>
      <w:divBdr>
        <w:top w:val="none" w:sz="0" w:space="0" w:color="auto"/>
        <w:left w:val="none" w:sz="0" w:space="0" w:color="auto"/>
        <w:bottom w:val="none" w:sz="0" w:space="0" w:color="auto"/>
        <w:right w:val="none" w:sz="0" w:space="0" w:color="auto"/>
      </w:divBdr>
    </w:div>
    <w:div w:id="2042971431">
      <w:bodyDiv w:val="1"/>
      <w:marLeft w:val="0"/>
      <w:marRight w:val="0"/>
      <w:marTop w:val="0"/>
      <w:marBottom w:val="0"/>
      <w:divBdr>
        <w:top w:val="none" w:sz="0" w:space="0" w:color="auto"/>
        <w:left w:val="none" w:sz="0" w:space="0" w:color="auto"/>
        <w:bottom w:val="none" w:sz="0" w:space="0" w:color="auto"/>
        <w:right w:val="none" w:sz="0" w:space="0" w:color="auto"/>
      </w:divBdr>
    </w:div>
    <w:div w:id="2043020388">
      <w:bodyDiv w:val="1"/>
      <w:marLeft w:val="0"/>
      <w:marRight w:val="0"/>
      <w:marTop w:val="0"/>
      <w:marBottom w:val="0"/>
      <w:divBdr>
        <w:top w:val="none" w:sz="0" w:space="0" w:color="auto"/>
        <w:left w:val="none" w:sz="0" w:space="0" w:color="auto"/>
        <w:bottom w:val="none" w:sz="0" w:space="0" w:color="auto"/>
        <w:right w:val="none" w:sz="0" w:space="0" w:color="auto"/>
      </w:divBdr>
    </w:div>
    <w:div w:id="2043363537">
      <w:bodyDiv w:val="1"/>
      <w:marLeft w:val="0"/>
      <w:marRight w:val="0"/>
      <w:marTop w:val="0"/>
      <w:marBottom w:val="0"/>
      <w:divBdr>
        <w:top w:val="none" w:sz="0" w:space="0" w:color="auto"/>
        <w:left w:val="none" w:sz="0" w:space="0" w:color="auto"/>
        <w:bottom w:val="none" w:sz="0" w:space="0" w:color="auto"/>
        <w:right w:val="none" w:sz="0" w:space="0" w:color="auto"/>
      </w:divBdr>
    </w:div>
    <w:div w:id="2043432475">
      <w:bodyDiv w:val="1"/>
      <w:marLeft w:val="0"/>
      <w:marRight w:val="0"/>
      <w:marTop w:val="0"/>
      <w:marBottom w:val="0"/>
      <w:divBdr>
        <w:top w:val="none" w:sz="0" w:space="0" w:color="auto"/>
        <w:left w:val="none" w:sz="0" w:space="0" w:color="auto"/>
        <w:bottom w:val="none" w:sz="0" w:space="0" w:color="auto"/>
        <w:right w:val="none" w:sz="0" w:space="0" w:color="auto"/>
      </w:divBdr>
    </w:div>
    <w:div w:id="2043433466">
      <w:bodyDiv w:val="1"/>
      <w:marLeft w:val="0"/>
      <w:marRight w:val="0"/>
      <w:marTop w:val="0"/>
      <w:marBottom w:val="0"/>
      <w:divBdr>
        <w:top w:val="none" w:sz="0" w:space="0" w:color="auto"/>
        <w:left w:val="none" w:sz="0" w:space="0" w:color="auto"/>
        <w:bottom w:val="none" w:sz="0" w:space="0" w:color="auto"/>
        <w:right w:val="none" w:sz="0" w:space="0" w:color="auto"/>
      </w:divBdr>
    </w:div>
    <w:div w:id="2043436910">
      <w:bodyDiv w:val="1"/>
      <w:marLeft w:val="0"/>
      <w:marRight w:val="0"/>
      <w:marTop w:val="0"/>
      <w:marBottom w:val="0"/>
      <w:divBdr>
        <w:top w:val="none" w:sz="0" w:space="0" w:color="auto"/>
        <w:left w:val="none" w:sz="0" w:space="0" w:color="auto"/>
        <w:bottom w:val="none" w:sz="0" w:space="0" w:color="auto"/>
        <w:right w:val="none" w:sz="0" w:space="0" w:color="auto"/>
      </w:divBdr>
    </w:div>
    <w:div w:id="2043506326">
      <w:bodyDiv w:val="1"/>
      <w:marLeft w:val="0"/>
      <w:marRight w:val="0"/>
      <w:marTop w:val="0"/>
      <w:marBottom w:val="0"/>
      <w:divBdr>
        <w:top w:val="none" w:sz="0" w:space="0" w:color="auto"/>
        <w:left w:val="none" w:sz="0" w:space="0" w:color="auto"/>
        <w:bottom w:val="none" w:sz="0" w:space="0" w:color="auto"/>
        <w:right w:val="none" w:sz="0" w:space="0" w:color="auto"/>
      </w:divBdr>
    </w:div>
    <w:div w:id="2043675330">
      <w:bodyDiv w:val="1"/>
      <w:marLeft w:val="0"/>
      <w:marRight w:val="0"/>
      <w:marTop w:val="0"/>
      <w:marBottom w:val="0"/>
      <w:divBdr>
        <w:top w:val="none" w:sz="0" w:space="0" w:color="auto"/>
        <w:left w:val="none" w:sz="0" w:space="0" w:color="auto"/>
        <w:bottom w:val="none" w:sz="0" w:space="0" w:color="auto"/>
        <w:right w:val="none" w:sz="0" w:space="0" w:color="auto"/>
      </w:divBdr>
    </w:div>
    <w:div w:id="2043746328">
      <w:bodyDiv w:val="1"/>
      <w:marLeft w:val="0"/>
      <w:marRight w:val="0"/>
      <w:marTop w:val="0"/>
      <w:marBottom w:val="0"/>
      <w:divBdr>
        <w:top w:val="none" w:sz="0" w:space="0" w:color="auto"/>
        <w:left w:val="none" w:sz="0" w:space="0" w:color="auto"/>
        <w:bottom w:val="none" w:sz="0" w:space="0" w:color="auto"/>
        <w:right w:val="none" w:sz="0" w:space="0" w:color="auto"/>
      </w:divBdr>
    </w:div>
    <w:div w:id="2043820736">
      <w:bodyDiv w:val="1"/>
      <w:marLeft w:val="0"/>
      <w:marRight w:val="0"/>
      <w:marTop w:val="0"/>
      <w:marBottom w:val="0"/>
      <w:divBdr>
        <w:top w:val="none" w:sz="0" w:space="0" w:color="auto"/>
        <w:left w:val="none" w:sz="0" w:space="0" w:color="auto"/>
        <w:bottom w:val="none" w:sz="0" w:space="0" w:color="auto"/>
        <w:right w:val="none" w:sz="0" w:space="0" w:color="auto"/>
      </w:divBdr>
    </w:div>
    <w:div w:id="2043821159">
      <w:bodyDiv w:val="1"/>
      <w:marLeft w:val="0"/>
      <w:marRight w:val="0"/>
      <w:marTop w:val="0"/>
      <w:marBottom w:val="0"/>
      <w:divBdr>
        <w:top w:val="none" w:sz="0" w:space="0" w:color="auto"/>
        <w:left w:val="none" w:sz="0" w:space="0" w:color="auto"/>
        <w:bottom w:val="none" w:sz="0" w:space="0" w:color="auto"/>
        <w:right w:val="none" w:sz="0" w:space="0" w:color="auto"/>
      </w:divBdr>
    </w:div>
    <w:div w:id="2043824123">
      <w:bodyDiv w:val="1"/>
      <w:marLeft w:val="0"/>
      <w:marRight w:val="0"/>
      <w:marTop w:val="0"/>
      <w:marBottom w:val="0"/>
      <w:divBdr>
        <w:top w:val="none" w:sz="0" w:space="0" w:color="auto"/>
        <w:left w:val="none" w:sz="0" w:space="0" w:color="auto"/>
        <w:bottom w:val="none" w:sz="0" w:space="0" w:color="auto"/>
        <w:right w:val="none" w:sz="0" w:space="0" w:color="auto"/>
      </w:divBdr>
    </w:div>
    <w:div w:id="2043937323">
      <w:bodyDiv w:val="1"/>
      <w:marLeft w:val="0"/>
      <w:marRight w:val="0"/>
      <w:marTop w:val="0"/>
      <w:marBottom w:val="0"/>
      <w:divBdr>
        <w:top w:val="none" w:sz="0" w:space="0" w:color="auto"/>
        <w:left w:val="none" w:sz="0" w:space="0" w:color="auto"/>
        <w:bottom w:val="none" w:sz="0" w:space="0" w:color="auto"/>
        <w:right w:val="none" w:sz="0" w:space="0" w:color="auto"/>
      </w:divBdr>
    </w:div>
    <w:div w:id="2044015856">
      <w:bodyDiv w:val="1"/>
      <w:marLeft w:val="0"/>
      <w:marRight w:val="0"/>
      <w:marTop w:val="0"/>
      <w:marBottom w:val="0"/>
      <w:divBdr>
        <w:top w:val="none" w:sz="0" w:space="0" w:color="auto"/>
        <w:left w:val="none" w:sz="0" w:space="0" w:color="auto"/>
        <w:bottom w:val="none" w:sz="0" w:space="0" w:color="auto"/>
        <w:right w:val="none" w:sz="0" w:space="0" w:color="auto"/>
      </w:divBdr>
    </w:div>
    <w:div w:id="2044018141">
      <w:bodyDiv w:val="1"/>
      <w:marLeft w:val="0"/>
      <w:marRight w:val="0"/>
      <w:marTop w:val="0"/>
      <w:marBottom w:val="0"/>
      <w:divBdr>
        <w:top w:val="none" w:sz="0" w:space="0" w:color="auto"/>
        <w:left w:val="none" w:sz="0" w:space="0" w:color="auto"/>
        <w:bottom w:val="none" w:sz="0" w:space="0" w:color="auto"/>
        <w:right w:val="none" w:sz="0" w:space="0" w:color="auto"/>
      </w:divBdr>
    </w:div>
    <w:div w:id="2044205290">
      <w:bodyDiv w:val="1"/>
      <w:marLeft w:val="0"/>
      <w:marRight w:val="0"/>
      <w:marTop w:val="0"/>
      <w:marBottom w:val="0"/>
      <w:divBdr>
        <w:top w:val="none" w:sz="0" w:space="0" w:color="auto"/>
        <w:left w:val="none" w:sz="0" w:space="0" w:color="auto"/>
        <w:bottom w:val="none" w:sz="0" w:space="0" w:color="auto"/>
        <w:right w:val="none" w:sz="0" w:space="0" w:color="auto"/>
      </w:divBdr>
    </w:div>
    <w:div w:id="2044280268">
      <w:bodyDiv w:val="1"/>
      <w:marLeft w:val="0"/>
      <w:marRight w:val="0"/>
      <w:marTop w:val="0"/>
      <w:marBottom w:val="0"/>
      <w:divBdr>
        <w:top w:val="none" w:sz="0" w:space="0" w:color="auto"/>
        <w:left w:val="none" w:sz="0" w:space="0" w:color="auto"/>
        <w:bottom w:val="none" w:sz="0" w:space="0" w:color="auto"/>
        <w:right w:val="none" w:sz="0" w:space="0" w:color="auto"/>
      </w:divBdr>
    </w:div>
    <w:div w:id="2044286627">
      <w:bodyDiv w:val="1"/>
      <w:marLeft w:val="0"/>
      <w:marRight w:val="0"/>
      <w:marTop w:val="0"/>
      <w:marBottom w:val="0"/>
      <w:divBdr>
        <w:top w:val="none" w:sz="0" w:space="0" w:color="auto"/>
        <w:left w:val="none" w:sz="0" w:space="0" w:color="auto"/>
        <w:bottom w:val="none" w:sz="0" w:space="0" w:color="auto"/>
        <w:right w:val="none" w:sz="0" w:space="0" w:color="auto"/>
      </w:divBdr>
    </w:div>
    <w:div w:id="2044330968">
      <w:bodyDiv w:val="1"/>
      <w:marLeft w:val="0"/>
      <w:marRight w:val="0"/>
      <w:marTop w:val="0"/>
      <w:marBottom w:val="0"/>
      <w:divBdr>
        <w:top w:val="none" w:sz="0" w:space="0" w:color="auto"/>
        <w:left w:val="none" w:sz="0" w:space="0" w:color="auto"/>
        <w:bottom w:val="none" w:sz="0" w:space="0" w:color="auto"/>
        <w:right w:val="none" w:sz="0" w:space="0" w:color="auto"/>
      </w:divBdr>
    </w:div>
    <w:div w:id="2044356484">
      <w:bodyDiv w:val="1"/>
      <w:marLeft w:val="0"/>
      <w:marRight w:val="0"/>
      <w:marTop w:val="0"/>
      <w:marBottom w:val="0"/>
      <w:divBdr>
        <w:top w:val="none" w:sz="0" w:space="0" w:color="auto"/>
        <w:left w:val="none" w:sz="0" w:space="0" w:color="auto"/>
        <w:bottom w:val="none" w:sz="0" w:space="0" w:color="auto"/>
        <w:right w:val="none" w:sz="0" w:space="0" w:color="auto"/>
      </w:divBdr>
    </w:div>
    <w:div w:id="2044399735">
      <w:bodyDiv w:val="1"/>
      <w:marLeft w:val="0"/>
      <w:marRight w:val="0"/>
      <w:marTop w:val="0"/>
      <w:marBottom w:val="0"/>
      <w:divBdr>
        <w:top w:val="none" w:sz="0" w:space="0" w:color="auto"/>
        <w:left w:val="none" w:sz="0" w:space="0" w:color="auto"/>
        <w:bottom w:val="none" w:sz="0" w:space="0" w:color="auto"/>
        <w:right w:val="none" w:sz="0" w:space="0" w:color="auto"/>
      </w:divBdr>
    </w:div>
    <w:div w:id="2044402694">
      <w:bodyDiv w:val="1"/>
      <w:marLeft w:val="0"/>
      <w:marRight w:val="0"/>
      <w:marTop w:val="0"/>
      <w:marBottom w:val="0"/>
      <w:divBdr>
        <w:top w:val="none" w:sz="0" w:space="0" w:color="auto"/>
        <w:left w:val="none" w:sz="0" w:space="0" w:color="auto"/>
        <w:bottom w:val="none" w:sz="0" w:space="0" w:color="auto"/>
        <w:right w:val="none" w:sz="0" w:space="0" w:color="auto"/>
      </w:divBdr>
    </w:div>
    <w:div w:id="2044405310">
      <w:bodyDiv w:val="1"/>
      <w:marLeft w:val="0"/>
      <w:marRight w:val="0"/>
      <w:marTop w:val="0"/>
      <w:marBottom w:val="0"/>
      <w:divBdr>
        <w:top w:val="none" w:sz="0" w:space="0" w:color="auto"/>
        <w:left w:val="none" w:sz="0" w:space="0" w:color="auto"/>
        <w:bottom w:val="none" w:sz="0" w:space="0" w:color="auto"/>
        <w:right w:val="none" w:sz="0" w:space="0" w:color="auto"/>
      </w:divBdr>
    </w:div>
    <w:div w:id="2044671276">
      <w:bodyDiv w:val="1"/>
      <w:marLeft w:val="0"/>
      <w:marRight w:val="0"/>
      <w:marTop w:val="0"/>
      <w:marBottom w:val="0"/>
      <w:divBdr>
        <w:top w:val="none" w:sz="0" w:space="0" w:color="auto"/>
        <w:left w:val="none" w:sz="0" w:space="0" w:color="auto"/>
        <w:bottom w:val="none" w:sz="0" w:space="0" w:color="auto"/>
        <w:right w:val="none" w:sz="0" w:space="0" w:color="auto"/>
      </w:divBdr>
    </w:div>
    <w:div w:id="2044671361">
      <w:bodyDiv w:val="1"/>
      <w:marLeft w:val="0"/>
      <w:marRight w:val="0"/>
      <w:marTop w:val="0"/>
      <w:marBottom w:val="0"/>
      <w:divBdr>
        <w:top w:val="none" w:sz="0" w:space="0" w:color="auto"/>
        <w:left w:val="none" w:sz="0" w:space="0" w:color="auto"/>
        <w:bottom w:val="none" w:sz="0" w:space="0" w:color="auto"/>
        <w:right w:val="none" w:sz="0" w:space="0" w:color="auto"/>
      </w:divBdr>
    </w:div>
    <w:div w:id="2044744903">
      <w:bodyDiv w:val="1"/>
      <w:marLeft w:val="0"/>
      <w:marRight w:val="0"/>
      <w:marTop w:val="0"/>
      <w:marBottom w:val="0"/>
      <w:divBdr>
        <w:top w:val="none" w:sz="0" w:space="0" w:color="auto"/>
        <w:left w:val="none" w:sz="0" w:space="0" w:color="auto"/>
        <w:bottom w:val="none" w:sz="0" w:space="0" w:color="auto"/>
        <w:right w:val="none" w:sz="0" w:space="0" w:color="auto"/>
      </w:divBdr>
    </w:div>
    <w:div w:id="2044748326">
      <w:bodyDiv w:val="1"/>
      <w:marLeft w:val="0"/>
      <w:marRight w:val="0"/>
      <w:marTop w:val="0"/>
      <w:marBottom w:val="0"/>
      <w:divBdr>
        <w:top w:val="none" w:sz="0" w:space="0" w:color="auto"/>
        <w:left w:val="none" w:sz="0" w:space="0" w:color="auto"/>
        <w:bottom w:val="none" w:sz="0" w:space="0" w:color="auto"/>
        <w:right w:val="none" w:sz="0" w:space="0" w:color="auto"/>
      </w:divBdr>
    </w:div>
    <w:div w:id="2044938053">
      <w:bodyDiv w:val="1"/>
      <w:marLeft w:val="0"/>
      <w:marRight w:val="0"/>
      <w:marTop w:val="0"/>
      <w:marBottom w:val="0"/>
      <w:divBdr>
        <w:top w:val="none" w:sz="0" w:space="0" w:color="auto"/>
        <w:left w:val="none" w:sz="0" w:space="0" w:color="auto"/>
        <w:bottom w:val="none" w:sz="0" w:space="0" w:color="auto"/>
        <w:right w:val="none" w:sz="0" w:space="0" w:color="auto"/>
      </w:divBdr>
    </w:div>
    <w:div w:id="2044940795">
      <w:bodyDiv w:val="1"/>
      <w:marLeft w:val="0"/>
      <w:marRight w:val="0"/>
      <w:marTop w:val="0"/>
      <w:marBottom w:val="0"/>
      <w:divBdr>
        <w:top w:val="none" w:sz="0" w:space="0" w:color="auto"/>
        <w:left w:val="none" w:sz="0" w:space="0" w:color="auto"/>
        <w:bottom w:val="none" w:sz="0" w:space="0" w:color="auto"/>
        <w:right w:val="none" w:sz="0" w:space="0" w:color="auto"/>
      </w:divBdr>
    </w:div>
    <w:div w:id="2044943214">
      <w:bodyDiv w:val="1"/>
      <w:marLeft w:val="0"/>
      <w:marRight w:val="0"/>
      <w:marTop w:val="0"/>
      <w:marBottom w:val="0"/>
      <w:divBdr>
        <w:top w:val="none" w:sz="0" w:space="0" w:color="auto"/>
        <w:left w:val="none" w:sz="0" w:space="0" w:color="auto"/>
        <w:bottom w:val="none" w:sz="0" w:space="0" w:color="auto"/>
        <w:right w:val="none" w:sz="0" w:space="0" w:color="auto"/>
      </w:divBdr>
    </w:div>
    <w:div w:id="2044943273">
      <w:bodyDiv w:val="1"/>
      <w:marLeft w:val="0"/>
      <w:marRight w:val="0"/>
      <w:marTop w:val="0"/>
      <w:marBottom w:val="0"/>
      <w:divBdr>
        <w:top w:val="none" w:sz="0" w:space="0" w:color="auto"/>
        <w:left w:val="none" w:sz="0" w:space="0" w:color="auto"/>
        <w:bottom w:val="none" w:sz="0" w:space="0" w:color="auto"/>
        <w:right w:val="none" w:sz="0" w:space="0" w:color="auto"/>
      </w:divBdr>
    </w:div>
    <w:div w:id="2045013867">
      <w:bodyDiv w:val="1"/>
      <w:marLeft w:val="0"/>
      <w:marRight w:val="0"/>
      <w:marTop w:val="0"/>
      <w:marBottom w:val="0"/>
      <w:divBdr>
        <w:top w:val="none" w:sz="0" w:space="0" w:color="auto"/>
        <w:left w:val="none" w:sz="0" w:space="0" w:color="auto"/>
        <w:bottom w:val="none" w:sz="0" w:space="0" w:color="auto"/>
        <w:right w:val="none" w:sz="0" w:space="0" w:color="auto"/>
      </w:divBdr>
    </w:div>
    <w:div w:id="2045052723">
      <w:bodyDiv w:val="1"/>
      <w:marLeft w:val="0"/>
      <w:marRight w:val="0"/>
      <w:marTop w:val="0"/>
      <w:marBottom w:val="0"/>
      <w:divBdr>
        <w:top w:val="none" w:sz="0" w:space="0" w:color="auto"/>
        <w:left w:val="none" w:sz="0" w:space="0" w:color="auto"/>
        <w:bottom w:val="none" w:sz="0" w:space="0" w:color="auto"/>
        <w:right w:val="none" w:sz="0" w:space="0" w:color="auto"/>
      </w:divBdr>
    </w:div>
    <w:div w:id="2045055641">
      <w:bodyDiv w:val="1"/>
      <w:marLeft w:val="0"/>
      <w:marRight w:val="0"/>
      <w:marTop w:val="0"/>
      <w:marBottom w:val="0"/>
      <w:divBdr>
        <w:top w:val="none" w:sz="0" w:space="0" w:color="auto"/>
        <w:left w:val="none" w:sz="0" w:space="0" w:color="auto"/>
        <w:bottom w:val="none" w:sz="0" w:space="0" w:color="auto"/>
        <w:right w:val="none" w:sz="0" w:space="0" w:color="auto"/>
      </w:divBdr>
    </w:div>
    <w:div w:id="2045208241">
      <w:bodyDiv w:val="1"/>
      <w:marLeft w:val="0"/>
      <w:marRight w:val="0"/>
      <w:marTop w:val="0"/>
      <w:marBottom w:val="0"/>
      <w:divBdr>
        <w:top w:val="none" w:sz="0" w:space="0" w:color="auto"/>
        <w:left w:val="none" w:sz="0" w:space="0" w:color="auto"/>
        <w:bottom w:val="none" w:sz="0" w:space="0" w:color="auto"/>
        <w:right w:val="none" w:sz="0" w:space="0" w:color="auto"/>
      </w:divBdr>
    </w:div>
    <w:div w:id="2045329934">
      <w:bodyDiv w:val="1"/>
      <w:marLeft w:val="0"/>
      <w:marRight w:val="0"/>
      <w:marTop w:val="0"/>
      <w:marBottom w:val="0"/>
      <w:divBdr>
        <w:top w:val="none" w:sz="0" w:space="0" w:color="auto"/>
        <w:left w:val="none" w:sz="0" w:space="0" w:color="auto"/>
        <w:bottom w:val="none" w:sz="0" w:space="0" w:color="auto"/>
        <w:right w:val="none" w:sz="0" w:space="0" w:color="auto"/>
      </w:divBdr>
    </w:div>
    <w:div w:id="2045447615">
      <w:bodyDiv w:val="1"/>
      <w:marLeft w:val="0"/>
      <w:marRight w:val="0"/>
      <w:marTop w:val="0"/>
      <w:marBottom w:val="0"/>
      <w:divBdr>
        <w:top w:val="none" w:sz="0" w:space="0" w:color="auto"/>
        <w:left w:val="none" w:sz="0" w:space="0" w:color="auto"/>
        <w:bottom w:val="none" w:sz="0" w:space="0" w:color="auto"/>
        <w:right w:val="none" w:sz="0" w:space="0" w:color="auto"/>
      </w:divBdr>
    </w:div>
    <w:div w:id="2045474446">
      <w:bodyDiv w:val="1"/>
      <w:marLeft w:val="0"/>
      <w:marRight w:val="0"/>
      <w:marTop w:val="0"/>
      <w:marBottom w:val="0"/>
      <w:divBdr>
        <w:top w:val="none" w:sz="0" w:space="0" w:color="auto"/>
        <w:left w:val="none" w:sz="0" w:space="0" w:color="auto"/>
        <w:bottom w:val="none" w:sz="0" w:space="0" w:color="auto"/>
        <w:right w:val="none" w:sz="0" w:space="0" w:color="auto"/>
      </w:divBdr>
    </w:div>
    <w:div w:id="2045475917">
      <w:bodyDiv w:val="1"/>
      <w:marLeft w:val="0"/>
      <w:marRight w:val="0"/>
      <w:marTop w:val="0"/>
      <w:marBottom w:val="0"/>
      <w:divBdr>
        <w:top w:val="none" w:sz="0" w:space="0" w:color="auto"/>
        <w:left w:val="none" w:sz="0" w:space="0" w:color="auto"/>
        <w:bottom w:val="none" w:sz="0" w:space="0" w:color="auto"/>
        <w:right w:val="none" w:sz="0" w:space="0" w:color="auto"/>
      </w:divBdr>
    </w:div>
    <w:div w:id="2045516383">
      <w:bodyDiv w:val="1"/>
      <w:marLeft w:val="0"/>
      <w:marRight w:val="0"/>
      <w:marTop w:val="0"/>
      <w:marBottom w:val="0"/>
      <w:divBdr>
        <w:top w:val="none" w:sz="0" w:space="0" w:color="auto"/>
        <w:left w:val="none" w:sz="0" w:space="0" w:color="auto"/>
        <w:bottom w:val="none" w:sz="0" w:space="0" w:color="auto"/>
        <w:right w:val="none" w:sz="0" w:space="0" w:color="auto"/>
      </w:divBdr>
    </w:div>
    <w:div w:id="2045591448">
      <w:bodyDiv w:val="1"/>
      <w:marLeft w:val="0"/>
      <w:marRight w:val="0"/>
      <w:marTop w:val="0"/>
      <w:marBottom w:val="0"/>
      <w:divBdr>
        <w:top w:val="none" w:sz="0" w:space="0" w:color="auto"/>
        <w:left w:val="none" w:sz="0" w:space="0" w:color="auto"/>
        <w:bottom w:val="none" w:sz="0" w:space="0" w:color="auto"/>
        <w:right w:val="none" w:sz="0" w:space="0" w:color="auto"/>
      </w:divBdr>
    </w:div>
    <w:div w:id="2045981422">
      <w:bodyDiv w:val="1"/>
      <w:marLeft w:val="0"/>
      <w:marRight w:val="0"/>
      <w:marTop w:val="0"/>
      <w:marBottom w:val="0"/>
      <w:divBdr>
        <w:top w:val="none" w:sz="0" w:space="0" w:color="auto"/>
        <w:left w:val="none" w:sz="0" w:space="0" w:color="auto"/>
        <w:bottom w:val="none" w:sz="0" w:space="0" w:color="auto"/>
        <w:right w:val="none" w:sz="0" w:space="0" w:color="auto"/>
      </w:divBdr>
    </w:div>
    <w:div w:id="2045981467">
      <w:bodyDiv w:val="1"/>
      <w:marLeft w:val="0"/>
      <w:marRight w:val="0"/>
      <w:marTop w:val="0"/>
      <w:marBottom w:val="0"/>
      <w:divBdr>
        <w:top w:val="none" w:sz="0" w:space="0" w:color="auto"/>
        <w:left w:val="none" w:sz="0" w:space="0" w:color="auto"/>
        <w:bottom w:val="none" w:sz="0" w:space="0" w:color="auto"/>
        <w:right w:val="none" w:sz="0" w:space="0" w:color="auto"/>
      </w:divBdr>
    </w:div>
    <w:div w:id="2046170124">
      <w:bodyDiv w:val="1"/>
      <w:marLeft w:val="0"/>
      <w:marRight w:val="0"/>
      <w:marTop w:val="0"/>
      <w:marBottom w:val="0"/>
      <w:divBdr>
        <w:top w:val="none" w:sz="0" w:space="0" w:color="auto"/>
        <w:left w:val="none" w:sz="0" w:space="0" w:color="auto"/>
        <w:bottom w:val="none" w:sz="0" w:space="0" w:color="auto"/>
        <w:right w:val="none" w:sz="0" w:space="0" w:color="auto"/>
      </w:divBdr>
    </w:div>
    <w:div w:id="2046364753">
      <w:bodyDiv w:val="1"/>
      <w:marLeft w:val="0"/>
      <w:marRight w:val="0"/>
      <w:marTop w:val="0"/>
      <w:marBottom w:val="0"/>
      <w:divBdr>
        <w:top w:val="none" w:sz="0" w:space="0" w:color="auto"/>
        <w:left w:val="none" w:sz="0" w:space="0" w:color="auto"/>
        <w:bottom w:val="none" w:sz="0" w:space="0" w:color="auto"/>
        <w:right w:val="none" w:sz="0" w:space="0" w:color="auto"/>
      </w:divBdr>
    </w:div>
    <w:div w:id="2046367936">
      <w:bodyDiv w:val="1"/>
      <w:marLeft w:val="0"/>
      <w:marRight w:val="0"/>
      <w:marTop w:val="0"/>
      <w:marBottom w:val="0"/>
      <w:divBdr>
        <w:top w:val="none" w:sz="0" w:space="0" w:color="auto"/>
        <w:left w:val="none" w:sz="0" w:space="0" w:color="auto"/>
        <w:bottom w:val="none" w:sz="0" w:space="0" w:color="auto"/>
        <w:right w:val="none" w:sz="0" w:space="0" w:color="auto"/>
      </w:divBdr>
    </w:div>
    <w:div w:id="2046522542">
      <w:bodyDiv w:val="1"/>
      <w:marLeft w:val="0"/>
      <w:marRight w:val="0"/>
      <w:marTop w:val="0"/>
      <w:marBottom w:val="0"/>
      <w:divBdr>
        <w:top w:val="none" w:sz="0" w:space="0" w:color="auto"/>
        <w:left w:val="none" w:sz="0" w:space="0" w:color="auto"/>
        <w:bottom w:val="none" w:sz="0" w:space="0" w:color="auto"/>
        <w:right w:val="none" w:sz="0" w:space="0" w:color="auto"/>
      </w:divBdr>
    </w:div>
    <w:div w:id="2046633563">
      <w:bodyDiv w:val="1"/>
      <w:marLeft w:val="0"/>
      <w:marRight w:val="0"/>
      <w:marTop w:val="0"/>
      <w:marBottom w:val="0"/>
      <w:divBdr>
        <w:top w:val="none" w:sz="0" w:space="0" w:color="auto"/>
        <w:left w:val="none" w:sz="0" w:space="0" w:color="auto"/>
        <w:bottom w:val="none" w:sz="0" w:space="0" w:color="auto"/>
        <w:right w:val="none" w:sz="0" w:space="0" w:color="auto"/>
      </w:divBdr>
    </w:div>
    <w:div w:id="2046634956">
      <w:bodyDiv w:val="1"/>
      <w:marLeft w:val="0"/>
      <w:marRight w:val="0"/>
      <w:marTop w:val="0"/>
      <w:marBottom w:val="0"/>
      <w:divBdr>
        <w:top w:val="none" w:sz="0" w:space="0" w:color="auto"/>
        <w:left w:val="none" w:sz="0" w:space="0" w:color="auto"/>
        <w:bottom w:val="none" w:sz="0" w:space="0" w:color="auto"/>
        <w:right w:val="none" w:sz="0" w:space="0" w:color="auto"/>
      </w:divBdr>
    </w:div>
    <w:div w:id="2046711398">
      <w:bodyDiv w:val="1"/>
      <w:marLeft w:val="0"/>
      <w:marRight w:val="0"/>
      <w:marTop w:val="0"/>
      <w:marBottom w:val="0"/>
      <w:divBdr>
        <w:top w:val="none" w:sz="0" w:space="0" w:color="auto"/>
        <w:left w:val="none" w:sz="0" w:space="0" w:color="auto"/>
        <w:bottom w:val="none" w:sz="0" w:space="0" w:color="auto"/>
        <w:right w:val="none" w:sz="0" w:space="0" w:color="auto"/>
      </w:divBdr>
    </w:div>
    <w:div w:id="2046756778">
      <w:bodyDiv w:val="1"/>
      <w:marLeft w:val="0"/>
      <w:marRight w:val="0"/>
      <w:marTop w:val="0"/>
      <w:marBottom w:val="0"/>
      <w:divBdr>
        <w:top w:val="none" w:sz="0" w:space="0" w:color="auto"/>
        <w:left w:val="none" w:sz="0" w:space="0" w:color="auto"/>
        <w:bottom w:val="none" w:sz="0" w:space="0" w:color="auto"/>
        <w:right w:val="none" w:sz="0" w:space="0" w:color="auto"/>
      </w:divBdr>
    </w:div>
    <w:div w:id="2046785854">
      <w:bodyDiv w:val="1"/>
      <w:marLeft w:val="0"/>
      <w:marRight w:val="0"/>
      <w:marTop w:val="0"/>
      <w:marBottom w:val="0"/>
      <w:divBdr>
        <w:top w:val="none" w:sz="0" w:space="0" w:color="auto"/>
        <w:left w:val="none" w:sz="0" w:space="0" w:color="auto"/>
        <w:bottom w:val="none" w:sz="0" w:space="0" w:color="auto"/>
        <w:right w:val="none" w:sz="0" w:space="0" w:color="auto"/>
      </w:divBdr>
    </w:div>
    <w:div w:id="2046824998">
      <w:bodyDiv w:val="1"/>
      <w:marLeft w:val="0"/>
      <w:marRight w:val="0"/>
      <w:marTop w:val="0"/>
      <w:marBottom w:val="0"/>
      <w:divBdr>
        <w:top w:val="none" w:sz="0" w:space="0" w:color="auto"/>
        <w:left w:val="none" w:sz="0" w:space="0" w:color="auto"/>
        <w:bottom w:val="none" w:sz="0" w:space="0" w:color="auto"/>
        <w:right w:val="none" w:sz="0" w:space="0" w:color="auto"/>
      </w:divBdr>
    </w:div>
    <w:div w:id="2046833895">
      <w:bodyDiv w:val="1"/>
      <w:marLeft w:val="0"/>
      <w:marRight w:val="0"/>
      <w:marTop w:val="0"/>
      <w:marBottom w:val="0"/>
      <w:divBdr>
        <w:top w:val="none" w:sz="0" w:space="0" w:color="auto"/>
        <w:left w:val="none" w:sz="0" w:space="0" w:color="auto"/>
        <w:bottom w:val="none" w:sz="0" w:space="0" w:color="auto"/>
        <w:right w:val="none" w:sz="0" w:space="0" w:color="auto"/>
      </w:divBdr>
    </w:div>
    <w:div w:id="2046977575">
      <w:bodyDiv w:val="1"/>
      <w:marLeft w:val="0"/>
      <w:marRight w:val="0"/>
      <w:marTop w:val="0"/>
      <w:marBottom w:val="0"/>
      <w:divBdr>
        <w:top w:val="none" w:sz="0" w:space="0" w:color="auto"/>
        <w:left w:val="none" w:sz="0" w:space="0" w:color="auto"/>
        <w:bottom w:val="none" w:sz="0" w:space="0" w:color="auto"/>
        <w:right w:val="none" w:sz="0" w:space="0" w:color="auto"/>
      </w:divBdr>
    </w:div>
    <w:div w:id="2047214898">
      <w:bodyDiv w:val="1"/>
      <w:marLeft w:val="0"/>
      <w:marRight w:val="0"/>
      <w:marTop w:val="0"/>
      <w:marBottom w:val="0"/>
      <w:divBdr>
        <w:top w:val="none" w:sz="0" w:space="0" w:color="auto"/>
        <w:left w:val="none" w:sz="0" w:space="0" w:color="auto"/>
        <w:bottom w:val="none" w:sz="0" w:space="0" w:color="auto"/>
        <w:right w:val="none" w:sz="0" w:space="0" w:color="auto"/>
      </w:divBdr>
    </w:div>
    <w:div w:id="2047215282">
      <w:bodyDiv w:val="1"/>
      <w:marLeft w:val="0"/>
      <w:marRight w:val="0"/>
      <w:marTop w:val="0"/>
      <w:marBottom w:val="0"/>
      <w:divBdr>
        <w:top w:val="none" w:sz="0" w:space="0" w:color="auto"/>
        <w:left w:val="none" w:sz="0" w:space="0" w:color="auto"/>
        <w:bottom w:val="none" w:sz="0" w:space="0" w:color="auto"/>
        <w:right w:val="none" w:sz="0" w:space="0" w:color="auto"/>
      </w:divBdr>
    </w:div>
    <w:div w:id="2047216583">
      <w:bodyDiv w:val="1"/>
      <w:marLeft w:val="0"/>
      <w:marRight w:val="0"/>
      <w:marTop w:val="0"/>
      <w:marBottom w:val="0"/>
      <w:divBdr>
        <w:top w:val="none" w:sz="0" w:space="0" w:color="auto"/>
        <w:left w:val="none" w:sz="0" w:space="0" w:color="auto"/>
        <w:bottom w:val="none" w:sz="0" w:space="0" w:color="auto"/>
        <w:right w:val="none" w:sz="0" w:space="0" w:color="auto"/>
      </w:divBdr>
    </w:div>
    <w:div w:id="2047245826">
      <w:bodyDiv w:val="1"/>
      <w:marLeft w:val="0"/>
      <w:marRight w:val="0"/>
      <w:marTop w:val="0"/>
      <w:marBottom w:val="0"/>
      <w:divBdr>
        <w:top w:val="none" w:sz="0" w:space="0" w:color="auto"/>
        <w:left w:val="none" w:sz="0" w:space="0" w:color="auto"/>
        <w:bottom w:val="none" w:sz="0" w:space="0" w:color="auto"/>
        <w:right w:val="none" w:sz="0" w:space="0" w:color="auto"/>
      </w:divBdr>
    </w:div>
    <w:div w:id="2047482795">
      <w:bodyDiv w:val="1"/>
      <w:marLeft w:val="0"/>
      <w:marRight w:val="0"/>
      <w:marTop w:val="0"/>
      <w:marBottom w:val="0"/>
      <w:divBdr>
        <w:top w:val="none" w:sz="0" w:space="0" w:color="auto"/>
        <w:left w:val="none" w:sz="0" w:space="0" w:color="auto"/>
        <w:bottom w:val="none" w:sz="0" w:space="0" w:color="auto"/>
        <w:right w:val="none" w:sz="0" w:space="0" w:color="auto"/>
      </w:divBdr>
    </w:div>
    <w:div w:id="2047486437">
      <w:bodyDiv w:val="1"/>
      <w:marLeft w:val="0"/>
      <w:marRight w:val="0"/>
      <w:marTop w:val="0"/>
      <w:marBottom w:val="0"/>
      <w:divBdr>
        <w:top w:val="none" w:sz="0" w:space="0" w:color="auto"/>
        <w:left w:val="none" w:sz="0" w:space="0" w:color="auto"/>
        <w:bottom w:val="none" w:sz="0" w:space="0" w:color="auto"/>
        <w:right w:val="none" w:sz="0" w:space="0" w:color="auto"/>
      </w:divBdr>
    </w:div>
    <w:div w:id="2047559753">
      <w:bodyDiv w:val="1"/>
      <w:marLeft w:val="0"/>
      <w:marRight w:val="0"/>
      <w:marTop w:val="0"/>
      <w:marBottom w:val="0"/>
      <w:divBdr>
        <w:top w:val="none" w:sz="0" w:space="0" w:color="auto"/>
        <w:left w:val="none" w:sz="0" w:space="0" w:color="auto"/>
        <w:bottom w:val="none" w:sz="0" w:space="0" w:color="auto"/>
        <w:right w:val="none" w:sz="0" w:space="0" w:color="auto"/>
      </w:divBdr>
    </w:div>
    <w:div w:id="2047633944">
      <w:bodyDiv w:val="1"/>
      <w:marLeft w:val="0"/>
      <w:marRight w:val="0"/>
      <w:marTop w:val="0"/>
      <w:marBottom w:val="0"/>
      <w:divBdr>
        <w:top w:val="none" w:sz="0" w:space="0" w:color="auto"/>
        <w:left w:val="none" w:sz="0" w:space="0" w:color="auto"/>
        <w:bottom w:val="none" w:sz="0" w:space="0" w:color="auto"/>
        <w:right w:val="none" w:sz="0" w:space="0" w:color="auto"/>
      </w:divBdr>
    </w:div>
    <w:div w:id="2047828910">
      <w:bodyDiv w:val="1"/>
      <w:marLeft w:val="0"/>
      <w:marRight w:val="0"/>
      <w:marTop w:val="0"/>
      <w:marBottom w:val="0"/>
      <w:divBdr>
        <w:top w:val="none" w:sz="0" w:space="0" w:color="auto"/>
        <w:left w:val="none" w:sz="0" w:space="0" w:color="auto"/>
        <w:bottom w:val="none" w:sz="0" w:space="0" w:color="auto"/>
        <w:right w:val="none" w:sz="0" w:space="0" w:color="auto"/>
      </w:divBdr>
    </w:div>
    <w:div w:id="2047869063">
      <w:bodyDiv w:val="1"/>
      <w:marLeft w:val="0"/>
      <w:marRight w:val="0"/>
      <w:marTop w:val="0"/>
      <w:marBottom w:val="0"/>
      <w:divBdr>
        <w:top w:val="none" w:sz="0" w:space="0" w:color="auto"/>
        <w:left w:val="none" w:sz="0" w:space="0" w:color="auto"/>
        <w:bottom w:val="none" w:sz="0" w:space="0" w:color="auto"/>
        <w:right w:val="none" w:sz="0" w:space="0" w:color="auto"/>
      </w:divBdr>
    </w:div>
    <w:div w:id="2047870655">
      <w:bodyDiv w:val="1"/>
      <w:marLeft w:val="0"/>
      <w:marRight w:val="0"/>
      <w:marTop w:val="0"/>
      <w:marBottom w:val="0"/>
      <w:divBdr>
        <w:top w:val="none" w:sz="0" w:space="0" w:color="auto"/>
        <w:left w:val="none" w:sz="0" w:space="0" w:color="auto"/>
        <w:bottom w:val="none" w:sz="0" w:space="0" w:color="auto"/>
        <w:right w:val="none" w:sz="0" w:space="0" w:color="auto"/>
      </w:divBdr>
    </w:div>
    <w:div w:id="2047947160">
      <w:bodyDiv w:val="1"/>
      <w:marLeft w:val="0"/>
      <w:marRight w:val="0"/>
      <w:marTop w:val="0"/>
      <w:marBottom w:val="0"/>
      <w:divBdr>
        <w:top w:val="none" w:sz="0" w:space="0" w:color="auto"/>
        <w:left w:val="none" w:sz="0" w:space="0" w:color="auto"/>
        <w:bottom w:val="none" w:sz="0" w:space="0" w:color="auto"/>
        <w:right w:val="none" w:sz="0" w:space="0" w:color="auto"/>
      </w:divBdr>
    </w:div>
    <w:div w:id="2047950334">
      <w:bodyDiv w:val="1"/>
      <w:marLeft w:val="0"/>
      <w:marRight w:val="0"/>
      <w:marTop w:val="0"/>
      <w:marBottom w:val="0"/>
      <w:divBdr>
        <w:top w:val="none" w:sz="0" w:space="0" w:color="auto"/>
        <w:left w:val="none" w:sz="0" w:space="0" w:color="auto"/>
        <w:bottom w:val="none" w:sz="0" w:space="0" w:color="auto"/>
        <w:right w:val="none" w:sz="0" w:space="0" w:color="auto"/>
      </w:divBdr>
    </w:div>
    <w:div w:id="2047951637">
      <w:bodyDiv w:val="1"/>
      <w:marLeft w:val="0"/>
      <w:marRight w:val="0"/>
      <w:marTop w:val="0"/>
      <w:marBottom w:val="0"/>
      <w:divBdr>
        <w:top w:val="none" w:sz="0" w:space="0" w:color="auto"/>
        <w:left w:val="none" w:sz="0" w:space="0" w:color="auto"/>
        <w:bottom w:val="none" w:sz="0" w:space="0" w:color="auto"/>
        <w:right w:val="none" w:sz="0" w:space="0" w:color="auto"/>
      </w:divBdr>
    </w:div>
    <w:div w:id="2048020378">
      <w:bodyDiv w:val="1"/>
      <w:marLeft w:val="0"/>
      <w:marRight w:val="0"/>
      <w:marTop w:val="0"/>
      <w:marBottom w:val="0"/>
      <w:divBdr>
        <w:top w:val="none" w:sz="0" w:space="0" w:color="auto"/>
        <w:left w:val="none" w:sz="0" w:space="0" w:color="auto"/>
        <w:bottom w:val="none" w:sz="0" w:space="0" w:color="auto"/>
        <w:right w:val="none" w:sz="0" w:space="0" w:color="auto"/>
      </w:divBdr>
    </w:div>
    <w:div w:id="2048097202">
      <w:bodyDiv w:val="1"/>
      <w:marLeft w:val="0"/>
      <w:marRight w:val="0"/>
      <w:marTop w:val="0"/>
      <w:marBottom w:val="0"/>
      <w:divBdr>
        <w:top w:val="none" w:sz="0" w:space="0" w:color="auto"/>
        <w:left w:val="none" w:sz="0" w:space="0" w:color="auto"/>
        <w:bottom w:val="none" w:sz="0" w:space="0" w:color="auto"/>
        <w:right w:val="none" w:sz="0" w:space="0" w:color="auto"/>
      </w:divBdr>
    </w:div>
    <w:div w:id="2048212765">
      <w:bodyDiv w:val="1"/>
      <w:marLeft w:val="0"/>
      <w:marRight w:val="0"/>
      <w:marTop w:val="0"/>
      <w:marBottom w:val="0"/>
      <w:divBdr>
        <w:top w:val="none" w:sz="0" w:space="0" w:color="auto"/>
        <w:left w:val="none" w:sz="0" w:space="0" w:color="auto"/>
        <w:bottom w:val="none" w:sz="0" w:space="0" w:color="auto"/>
        <w:right w:val="none" w:sz="0" w:space="0" w:color="auto"/>
      </w:divBdr>
    </w:div>
    <w:div w:id="2048218298">
      <w:bodyDiv w:val="1"/>
      <w:marLeft w:val="0"/>
      <w:marRight w:val="0"/>
      <w:marTop w:val="0"/>
      <w:marBottom w:val="0"/>
      <w:divBdr>
        <w:top w:val="none" w:sz="0" w:space="0" w:color="auto"/>
        <w:left w:val="none" w:sz="0" w:space="0" w:color="auto"/>
        <w:bottom w:val="none" w:sz="0" w:space="0" w:color="auto"/>
        <w:right w:val="none" w:sz="0" w:space="0" w:color="auto"/>
      </w:divBdr>
    </w:div>
    <w:div w:id="2048220524">
      <w:bodyDiv w:val="1"/>
      <w:marLeft w:val="0"/>
      <w:marRight w:val="0"/>
      <w:marTop w:val="0"/>
      <w:marBottom w:val="0"/>
      <w:divBdr>
        <w:top w:val="none" w:sz="0" w:space="0" w:color="auto"/>
        <w:left w:val="none" w:sz="0" w:space="0" w:color="auto"/>
        <w:bottom w:val="none" w:sz="0" w:space="0" w:color="auto"/>
        <w:right w:val="none" w:sz="0" w:space="0" w:color="auto"/>
      </w:divBdr>
    </w:div>
    <w:div w:id="2048262974">
      <w:bodyDiv w:val="1"/>
      <w:marLeft w:val="0"/>
      <w:marRight w:val="0"/>
      <w:marTop w:val="0"/>
      <w:marBottom w:val="0"/>
      <w:divBdr>
        <w:top w:val="none" w:sz="0" w:space="0" w:color="auto"/>
        <w:left w:val="none" w:sz="0" w:space="0" w:color="auto"/>
        <w:bottom w:val="none" w:sz="0" w:space="0" w:color="auto"/>
        <w:right w:val="none" w:sz="0" w:space="0" w:color="auto"/>
      </w:divBdr>
    </w:div>
    <w:div w:id="2048287783">
      <w:bodyDiv w:val="1"/>
      <w:marLeft w:val="0"/>
      <w:marRight w:val="0"/>
      <w:marTop w:val="0"/>
      <w:marBottom w:val="0"/>
      <w:divBdr>
        <w:top w:val="none" w:sz="0" w:space="0" w:color="auto"/>
        <w:left w:val="none" w:sz="0" w:space="0" w:color="auto"/>
        <w:bottom w:val="none" w:sz="0" w:space="0" w:color="auto"/>
        <w:right w:val="none" w:sz="0" w:space="0" w:color="auto"/>
      </w:divBdr>
    </w:div>
    <w:div w:id="2048294814">
      <w:bodyDiv w:val="1"/>
      <w:marLeft w:val="0"/>
      <w:marRight w:val="0"/>
      <w:marTop w:val="0"/>
      <w:marBottom w:val="0"/>
      <w:divBdr>
        <w:top w:val="none" w:sz="0" w:space="0" w:color="auto"/>
        <w:left w:val="none" w:sz="0" w:space="0" w:color="auto"/>
        <w:bottom w:val="none" w:sz="0" w:space="0" w:color="auto"/>
        <w:right w:val="none" w:sz="0" w:space="0" w:color="auto"/>
      </w:divBdr>
    </w:div>
    <w:div w:id="2048338198">
      <w:bodyDiv w:val="1"/>
      <w:marLeft w:val="0"/>
      <w:marRight w:val="0"/>
      <w:marTop w:val="0"/>
      <w:marBottom w:val="0"/>
      <w:divBdr>
        <w:top w:val="none" w:sz="0" w:space="0" w:color="auto"/>
        <w:left w:val="none" w:sz="0" w:space="0" w:color="auto"/>
        <w:bottom w:val="none" w:sz="0" w:space="0" w:color="auto"/>
        <w:right w:val="none" w:sz="0" w:space="0" w:color="auto"/>
      </w:divBdr>
    </w:div>
    <w:div w:id="2048480478">
      <w:bodyDiv w:val="1"/>
      <w:marLeft w:val="0"/>
      <w:marRight w:val="0"/>
      <w:marTop w:val="0"/>
      <w:marBottom w:val="0"/>
      <w:divBdr>
        <w:top w:val="none" w:sz="0" w:space="0" w:color="auto"/>
        <w:left w:val="none" w:sz="0" w:space="0" w:color="auto"/>
        <w:bottom w:val="none" w:sz="0" w:space="0" w:color="auto"/>
        <w:right w:val="none" w:sz="0" w:space="0" w:color="auto"/>
      </w:divBdr>
    </w:div>
    <w:div w:id="2048524444">
      <w:bodyDiv w:val="1"/>
      <w:marLeft w:val="0"/>
      <w:marRight w:val="0"/>
      <w:marTop w:val="0"/>
      <w:marBottom w:val="0"/>
      <w:divBdr>
        <w:top w:val="none" w:sz="0" w:space="0" w:color="auto"/>
        <w:left w:val="none" w:sz="0" w:space="0" w:color="auto"/>
        <w:bottom w:val="none" w:sz="0" w:space="0" w:color="auto"/>
        <w:right w:val="none" w:sz="0" w:space="0" w:color="auto"/>
      </w:divBdr>
    </w:div>
    <w:div w:id="2048600923">
      <w:bodyDiv w:val="1"/>
      <w:marLeft w:val="0"/>
      <w:marRight w:val="0"/>
      <w:marTop w:val="0"/>
      <w:marBottom w:val="0"/>
      <w:divBdr>
        <w:top w:val="none" w:sz="0" w:space="0" w:color="auto"/>
        <w:left w:val="none" w:sz="0" w:space="0" w:color="auto"/>
        <w:bottom w:val="none" w:sz="0" w:space="0" w:color="auto"/>
        <w:right w:val="none" w:sz="0" w:space="0" w:color="auto"/>
      </w:divBdr>
    </w:div>
    <w:div w:id="2048603360">
      <w:bodyDiv w:val="1"/>
      <w:marLeft w:val="0"/>
      <w:marRight w:val="0"/>
      <w:marTop w:val="0"/>
      <w:marBottom w:val="0"/>
      <w:divBdr>
        <w:top w:val="none" w:sz="0" w:space="0" w:color="auto"/>
        <w:left w:val="none" w:sz="0" w:space="0" w:color="auto"/>
        <w:bottom w:val="none" w:sz="0" w:space="0" w:color="auto"/>
        <w:right w:val="none" w:sz="0" w:space="0" w:color="auto"/>
      </w:divBdr>
    </w:div>
    <w:div w:id="2048675375">
      <w:bodyDiv w:val="1"/>
      <w:marLeft w:val="0"/>
      <w:marRight w:val="0"/>
      <w:marTop w:val="0"/>
      <w:marBottom w:val="0"/>
      <w:divBdr>
        <w:top w:val="none" w:sz="0" w:space="0" w:color="auto"/>
        <w:left w:val="none" w:sz="0" w:space="0" w:color="auto"/>
        <w:bottom w:val="none" w:sz="0" w:space="0" w:color="auto"/>
        <w:right w:val="none" w:sz="0" w:space="0" w:color="auto"/>
      </w:divBdr>
    </w:div>
    <w:div w:id="2048724561">
      <w:bodyDiv w:val="1"/>
      <w:marLeft w:val="0"/>
      <w:marRight w:val="0"/>
      <w:marTop w:val="0"/>
      <w:marBottom w:val="0"/>
      <w:divBdr>
        <w:top w:val="none" w:sz="0" w:space="0" w:color="auto"/>
        <w:left w:val="none" w:sz="0" w:space="0" w:color="auto"/>
        <w:bottom w:val="none" w:sz="0" w:space="0" w:color="auto"/>
        <w:right w:val="none" w:sz="0" w:space="0" w:color="auto"/>
      </w:divBdr>
    </w:div>
    <w:div w:id="2048799271">
      <w:bodyDiv w:val="1"/>
      <w:marLeft w:val="0"/>
      <w:marRight w:val="0"/>
      <w:marTop w:val="0"/>
      <w:marBottom w:val="0"/>
      <w:divBdr>
        <w:top w:val="none" w:sz="0" w:space="0" w:color="auto"/>
        <w:left w:val="none" w:sz="0" w:space="0" w:color="auto"/>
        <w:bottom w:val="none" w:sz="0" w:space="0" w:color="auto"/>
        <w:right w:val="none" w:sz="0" w:space="0" w:color="auto"/>
      </w:divBdr>
    </w:div>
    <w:div w:id="2048873684">
      <w:bodyDiv w:val="1"/>
      <w:marLeft w:val="0"/>
      <w:marRight w:val="0"/>
      <w:marTop w:val="0"/>
      <w:marBottom w:val="0"/>
      <w:divBdr>
        <w:top w:val="none" w:sz="0" w:space="0" w:color="auto"/>
        <w:left w:val="none" w:sz="0" w:space="0" w:color="auto"/>
        <w:bottom w:val="none" w:sz="0" w:space="0" w:color="auto"/>
        <w:right w:val="none" w:sz="0" w:space="0" w:color="auto"/>
      </w:divBdr>
    </w:div>
    <w:div w:id="2048948729">
      <w:bodyDiv w:val="1"/>
      <w:marLeft w:val="0"/>
      <w:marRight w:val="0"/>
      <w:marTop w:val="0"/>
      <w:marBottom w:val="0"/>
      <w:divBdr>
        <w:top w:val="none" w:sz="0" w:space="0" w:color="auto"/>
        <w:left w:val="none" w:sz="0" w:space="0" w:color="auto"/>
        <w:bottom w:val="none" w:sz="0" w:space="0" w:color="auto"/>
        <w:right w:val="none" w:sz="0" w:space="0" w:color="auto"/>
      </w:divBdr>
    </w:div>
    <w:div w:id="2048987410">
      <w:bodyDiv w:val="1"/>
      <w:marLeft w:val="0"/>
      <w:marRight w:val="0"/>
      <w:marTop w:val="0"/>
      <w:marBottom w:val="0"/>
      <w:divBdr>
        <w:top w:val="none" w:sz="0" w:space="0" w:color="auto"/>
        <w:left w:val="none" w:sz="0" w:space="0" w:color="auto"/>
        <w:bottom w:val="none" w:sz="0" w:space="0" w:color="auto"/>
        <w:right w:val="none" w:sz="0" w:space="0" w:color="auto"/>
      </w:divBdr>
    </w:div>
    <w:div w:id="2049185847">
      <w:bodyDiv w:val="1"/>
      <w:marLeft w:val="0"/>
      <w:marRight w:val="0"/>
      <w:marTop w:val="0"/>
      <w:marBottom w:val="0"/>
      <w:divBdr>
        <w:top w:val="none" w:sz="0" w:space="0" w:color="auto"/>
        <w:left w:val="none" w:sz="0" w:space="0" w:color="auto"/>
        <w:bottom w:val="none" w:sz="0" w:space="0" w:color="auto"/>
        <w:right w:val="none" w:sz="0" w:space="0" w:color="auto"/>
      </w:divBdr>
    </w:div>
    <w:div w:id="2049211292">
      <w:bodyDiv w:val="1"/>
      <w:marLeft w:val="0"/>
      <w:marRight w:val="0"/>
      <w:marTop w:val="0"/>
      <w:marBottom w:val="0"/>
      <w:divBdr>
        <w:top w:val="none" w:sz="0" w:space="0" w:color="auto"/>
        <w:left w:val="none" w:sz="0" w:space="0" w:color="auto"/>
        <w:bottom w:val="none" w:sz="0" w:space="0" w:color="auto"/>
        <w:right w:val="none" w:sz="0" w:space="0" w:color="auto"/>
      </w:divBdr>
    </w:div>
    <w:div w:id="2049254121">
      <w:bodyDiv w:val="1"/>
      <w:marLeft w:val="0"/>
      <w:marRight w:val="0"/>
      <w:marTop w:val="0"/>
      <w:marBottom w:val="0"/>
      <w:divBdr>
        <w:top w:val="none" w:sz="0" w:space="0" w:color="auto"/>
        <w:left w:val="none" w:sz="0" w:space="0" w:color="auto"/>
        <w:bottom w:val="none" w:sz="0" w:space="0" w:color="auto"/>
        <w:right w:val="none" w:sz="0" w:space="0" w:color="auto"/>
      </w:divBdr>
    </w:div>
    <w:div w:id="2049255703">
      <w:bodyDiv w:val="1"/>
      <w:marLeft w:val="0"/>
      <w:marRight w:val="0"/>
      <w:marTop w:val="0"/>
      <w:marBottom w:val="0"/>
      <w:divBdr>
        <w:top w:val="none" w:sz="0" w:space="0" w:color="auto"/>
        <w:left w:val="none" w:sz="0" w:space="0" w:color="auto"/>
        <w:bottom w:val="none" w:sz="0" w:space="0" w:color="auto"/>
        <w:right w:val="none" w:sz="0" w:space="0" w:color="auto"/>
      </w:divBdr>
    </w:div>
    <w:div w:id="2049258955">
      <w:bodyDiv w:val="1"/>
      <w:marLeft w:val="0"/>
      <w:marRight w:val="0"/>
      <w:marTop w:val="0"/>
      <w:marBottom w:val="0"/>
      <w:divBdr>
        <w:top w:val="none" w:sz="0" w:space="0" w:color="auto"/>
        <w:left w:val="none" w:sz="0" w:space="0" w:color="auto"/>
        <w:bottom w:val="none" w:sz="0" w:space="0" w:color="auto"/>
        <w:right w:val="none" w:sz="0" w:space="0" w:color="auto"/>
      </w:divBdr>
    </w:div>
    <w:div w:id="2049261551">
      <w:bodyDiv w:val="1"/>
      <w:marLeft w:val="0"/>
      <w:marRight w:val="0"/>
      <w:marTop w:val="0"/>
      <w:marBottom w:val="0"/>
      <w:divBdr>
        <w:top w:val="none" w:sz="0" w:space="0" w:color="auto"/>
        <w:left w:val="none" w:sz="0" w:space="0" w:color="auto"/>
        <w:bottom w:val="none" w:sz="0" w:space="0" w:color="auto"/>
        <w:right w:val="none" w:sz="0" w:space="0" w:color="auto"/>
      </w:divBdr>
    </w:div>
    <w:div w:id="2049721837">
      <w:bodyDiv w:val="1"/>
      <w:marLeft w:val="0"/>
      <w:marRight w:val="0"/>
      <w:marTop w:val="0"/>
      <w:marBottom w:val="0"/>
      <w:divBdr>
        <w:top w:val="none" w:sz="0" w:space="0" w:color="auto"/>
        <w:left w:val="none" w:sz="0" w:space="0" w:color="auto"/>
        <w:bottom w:val="none" w:sz="0" w:space="0" w:color="auto"/>
        <w:right w:val="none" w:sz="0" w:space="0" w:color="auto"/>
      </w:divBdr>
    </w:div>
    <w:div w:id="2049791190">
      <w:bodyDiv w:val="1"/>
      <w:marLeft w:val="0"/>
      <w:marRight w:val="0"/>
      <w:marTop w:val="0"/>
      <w:marBottom w:val="0"/>
      <w:divBdr>
        <w:top w:val="none" w:sz="0" w:space="0" w:color="auto"/>
        <w:left w:val="none" w:sz="0" w:space="0" w:color="auto"/>
        <w:bottom w:val="none" w:sz="0" w:space="0" w:color="auto"/>
        <w:right w:val="none" w:sz="0" w:space="0" w:color="auto"/>
      </w:divBdr>
    </w:div>
    <w:div w:id="2049985882">
      <w:bodyDiv w:val="1"/>
      <w:marLeft w:val="0"/>
      <w:marRight w:val="0"/>
      <w:marTop w:val="0"/>
      <w:marBottom w:val="0"/>
      <w:divBdr>
        <w:top w:val="none" w:sz="0" w:space="0" w:color="auto"/>
        <w:left w:val="none" w:sz="0" w:space="0" w:color="auto"/>
        <w:bottom w:val="none" w:sz="0" w:space="0" w:color="auto"/>
        <w:right w:val="none" w:sz="0" w:space="0" w:color="auto"/>
      </w:divBdr>
    </w:div>
    <w:div w:id="2049989358">
      <w:bodyDiv w:val="1"/>
      <w:marLeft w:val="0"/>
      <w:marRight w:val="0"/>
      <w:marTop w:val="0"/>
      <w:marBottom w:val="0"/>
      <w:divBdr>
        <w:top w:val="none" w:sz="0" w:space="0" w:color="auto"/>
        <w:left w:val="none" w:sz="0" w:space="0" w:color="auto"/>
        <w:bottom w:val="none" w:sz="0" w:space="0" w:color="auto"/>
        <w:right w:val="none" w:sz="0" w:space="0" w:color="auto"/>
      </w:divBdr>
    </w:div>
    <w:div w:id="2050033094">
      <w:bodyDiv w:val="1"/>
      <w:marLeft w:val="0"/>
      <w:marRight w:val="0"/>
      <w:marTop w:val="0"/>
      <w:marBottom w:val="0"/>
      <w:divBdr>
        <w:top w:val="none" w:sz="0" w:space="0" w:color="auto"/>
        <w:left w:val="none" w:sz="0" w:space="0" w:color="auto"/>
        <w:bottom w:val="none" w:sz="0" w:space="0" w:color="auto"/>
        <w:right w:val="none" w:sz="0" w:space="0" w:color="auto"/>
      </w:divBdr>
    </w:div>
    <w:div w:id="2050105792">
      <w:bodyDiv w:val="1"/>
      <w:marLeft w:val="0"/>
      <w:marRight w:val="0"/>
      <w:marTop w:val="0"/>
      <w:marBottom w:val="0"/>
      <w:divBdr>
        <w:top w:val="none" w:sz="0" w:space="0" w:color="auto"/>
        <w:left w:val="none" w:sz="0" w:space="0" w:color="auto"/>
        <w:bottom w:val="none" w:sz="0" w:space="0" w:color="auto"/>
        <w:right w:val="none" w:sz="0" w:space="0" w:color="auto"/>
      </w:divBdr>
    </w:div>
    <w:div w:id="2050374050">
      <w:bodyDiv w:val="1"/>
      <w:marLeft w:val="0"/>
      <w:marRight w:val="0"/>
      <w:marTop w:val="0"/>
      <w:marBottom w:val="0"/>
      <w:divBdr>
        <w:top w:val="none" w:sz="0" w:space="0" w:color="auto"/>
        <w:left w:val="none" w:sz="0" w:space="0" w:color="auto"/>
        <w:bottom w:val="none" w:sz="0" w:space="0" w:color="auto"/>
        <w:right w:val="none" w:sz="0" w:space="0" w:color="auto"/>
      </w:divBdr>
    </w:div>
    <w:div w:id="2050451570">
      <w:bodyDiv w:val="1"/>
      <w:marLeft w:val="0"/>
      <w:marRight w:val="0"/>
      <w:marTop w:val="0"/>
      <w:marBottom w:val="0"/>
      <w:divBdr>
        <w:top w:val="none" w:sz="0" w:space="0" w:color="auto"/>
        <w:left w:val="none" w:sz="0" w:space="0" w:color="auto"/>
        <w:bottom w:val="none" w:sz="0" w:space="0" w:color="auto"/>
        <w:right w:val="none" w:sz="0" w:space="0" w:color="auto"/>
      </w:divBdr>
    </w:div>
    <w:div w:id="2050522582">
      <w:bodyDiv w:val="1"/>
      <w:marLeft w:val="0"/>
      <w:marRight w:val="0"/>
      <w:marTop w:val="0"/>
      <w:marBottom w:val="0"/>
      <w:divBdr>
        <w:top w:val="none" w:sz="0" w:space="0" w:color="auto"/>
        <w:left w:val="none" w:sz="0" w:space="0" w:color="auto"/>
        <w:bottom w:val="none" w:sz="0" w:space="0" w:color="auto"/>
        <w:right w:val="none" w:sz="0" w:space="0" w:color="auto"/>
      </w:divBdr>
    </w:div>
    <w:div w:id="2050563731">
      <w:bodyDiv w:val="1"/>
      <w:marLeft w:val="0"/>
      <w:marRight w:val="0"/>
      <w:marTop w:val="0"/>
      <w:marBottom w:val="0"/>
      <w:divBdr>
        <w:top w:val="none" w:sz="0" w:space="0" w:color="auto"/>
        <w:left w:val="none" w:sz="0" w:space="0" w:color="auto"/>
        <w:bottom w:val="none" w:sz="0" w:space="0" w:color="auto"/>
        <w:right w:val="none" w:sz="0" w:space="0" w:color="auto"/>
      </w:divBdr>
    </w:div>
    <w:div w:id="2050719089">
      <w:bodyDiv w:val="1"/>
      <w:marLeft w:val="0"/>
      <w:marRight w:val="0"/>
      <w:marTop w:val="0"/>
      <w:marBottom w:val="0"/>
      <w:divBdr>
        <w:top w:val="none" w:sz="0" w:space="0" w:color="auto"/>
        <w:left w:val="none" w:sz="0" w:space="0" w:color="auto"/>
        <w:bottom w:val="none" w:sz="0" w:space="0" w:color="auto"/>
        <w:right w:val="none" w:sz="0" w:space="0" w:color="auto"/>
      </w:divBdr>
    </w:div>
    <w:div w:id="2050759906">
      <w:bodyDiv w:val="1"/>
      <w:marLeft w:val="0"/>
      <w:marRight w:val="0"/>
      <w:marTop w:val="0"/>
      <w:marBottom w:val="0"/>
      <w:divBdr>
        <w:top w:val="none" w:sz="0" w:space="0" w:color="auto"/>
        <w:left w:val="none" w:sz="0" w:space="0" w:color="auto"/>
        <w:bottom w:val="none" w:sz="0" w:space="0" w:color="auto"/>
        <w:right w:val="none" w:sz="0" w:space="0" w:color="auto"/>
      </w:divBdr>
    </w:div>
    <w:div w:id="2050950766">
      <w:bodyDiv w:val="1"/>
      <w:marLeft w:val="0"/>
      <w:marRight w:val="0"/>
      <w:marTop w:val="0"/>
      <w:marBottom w:val="0"/>
      <w:divBdr>
        <w:top w:val="none" w:sz="0" w:space="0" w:color="auto"/>
        <w:left w:val="none" w:sz="0" w:space="0" w:color="auto"/>
        <w:bottom w:val="none" w:sz="0" w:space="0" w:color="auto"/>
        <w:right w:val="none" w:sz="0" w:space="0" w:color="auto"/>
      </w:divBdr>
    </w:div>
    <w:div w:id="2051027800">
      <w:bodyDiv w:val="1"/>
      <w:marLeft w:val="0"/>
      <w:marRight w:val="0"/>
      <w:marTop w:val="0"/>
      <w:marBottom w:val="0"/>
      <w:divBdr>
        <w:top w:val="none" w:sz="0" w:space="0" w:color="auto"/>
        <w:left w:val="none" w:sz="0" w:space="0" w:color="auto"/>
        <w:bottom w:val="none" w:sz="0" w:space="0" w:color="auto"/>
        <w:right w:val="none" w:sz="0" w:space="0" w:color="auto"/>
      </w:divBdr>
    </w:div>
    <w:div w:id="2051100801">
      <w:bodyDiv w:val="1"/>
      <w:marLeft w:val="0"/>
      <w:marRight w:val="0"/>
      <w:marTop w:val="0"/>
      <w:marBottom w:val="0"/>
      <w:divBdr>
        <w:top w:val="none" w:sz="0" w:space="0" w:color="auto"/>
        <w:left w:val="none" w:sz="0" w:space="0" w:color="auto"/>
        <w:bottom w:val="none" w:sz="0" w:space="0" w:color="auto"/>
        <w:right w:val="none" w:sz="0" w:space="0" w:color="auto"/>
      </w:divBdr>
    </w:div>
    <w:div w:id="2051109238">
      <w:bodyDiv w:val="1"/>
      <w:marLeft w:val="0"/>
      <w:marRight w:val="0"/>
      <w:marTop w:val="0"/>
      <w:marBottom w:val="0"/>
      <w:divBdr>
        <w:top w:val="none" w:sz="0" w:space="0" w:color="auto"/>
        <w:left w:val="none" w:sz="0" w:space="0" w:color="auto"/>
        <w:bottom w:val="none" w:sz="0" w:space="0" w:color="auto"/>
        <w:right w:val="none" w:sz="0" w:space="0" w:color="auto"/>
      </w:divBdr>
    </w:div>
    <w:div w:id="2051218772">
      <w:bodyDiv w:val="1"/>
      <w:marLeft w:val="0"/>
      <w:marRight w:val="0"/>
      <w:marTop w:val="0"/>
      <w:marBottom w:val="0"/>
      <w:divBdr>
        <w:top w:val="none" w:sz="0" w:space="0" w:color="auto"/>
        <w:left w:val="none" w:sz="0" w:space="0" w:color="auto"/>
        <w:bottom w:val="none" w:sz="0" w:space="0" w:color="auto"/>
        <w:right w:val="none" w:sz="0" w:space="0" w:color="auto"/>
      </w:divBdr>
    </w:div>
    <w:div w:id="2051294219">
      <w:bodyDiv w:val="1"/>
      <w:marLeft w:val="0"/>
      <w:marRight w:val="0"/>
      <w:marTop w:val="0"/>
      <w:marBottom w:val="0"/>
      <w:divBdr>
        <w:top w:val="none" w:sz="0" w:space="0" w:color="auto"/>
        <w:left w:val="none" w:sz="0" w:space="0" w:color="auto"/>
        <w:bottom w:val="none" w:sz="0" w:space="0" w:color="auto"/>
        <w:right w:val="none" w:sz="0" w:space="0" w:color="auto"/>
      </w:divBdr>
    </w:div>
    <w:div w:id="2051297628">
      <w:bodyDiv w:val="1"/>
      <w:marLeft w:val="0"/>
      <w:marRight w:val="0"/>
      <w:marTop w:val="0"/>
      <w:marBottom w:val="0"/>
      <w:divBdr>
        <w:top w:val="none" w:sz="0" w:space="0" w:color="auto"/>
        <w:left w:val="none" w:sz="0" w:space="0" w:color="auto"/>
        <w:bottom w:val="none" w:sz="0" w:space="0" w:color="auto"/>
        <w:right w:val="none" w:sz="0" w:space="0" w:color="auto"/>
      </w:divBdr>
    </w:div>
    <w:div w:id="2051298984">
      <w:bodyDiv w:val="1"/>
      <w:marLeft w:val="0"/>
      <w:marRight w:val="0"/>
      <w:marTop w:val="0"/>
      <w:marBottom w:val="0"/>
      <w:divBdr>
        <w:top w:val="none" w:sz="0" w:space="0" w:color="auto"/>
        <w:left w:val="none" w:sz="0" w:space="0" w:color="auto"/>
        <w:bottom w:val="none" w:sz="0" w:space="0" w:color="auto"/>
        <w:right w:val="none" w:sz="0" w:space="0" w:color="auto"/>
      </w:divBdr>
    </w:div>
    <w:div w:id="2051343761">
      <w:bodyDiv w:val="1"/>
      <w:marLeft w:val="0"/>
      <w:marRight w:val="0"/>
      <w:marTop w:val="0"/>
      <w:marBottom w:val="0"/>
      <w:divBdr>
        <w:top w:val="none" w:sz="0" w:space="0" w:color="auto"/>
        <w:left w:val="none" w:sz="0" w:space="0" w:color="auto"/>
        <w:bottom w:val="none" w:sz="0" w:space="0" w:color="auto"/>
        <w:right w:val="none" w:sz="0" w:space="0" w:color="auto"/>
      </w:divBdr>
    </w:div>
    <w:div w:id="2051371550">
      <w:bodyDiv w:val="1"/>
      <w:marLeft w:val="0"/>
      <w:marRight w:val="0"/>
      <w:marTop w:val="0"/>
      <w:marBottom w:val="0"/>
      <w:divBdr>
        <w:top w:val="none" w:sz="0" w:space="0" w:color="auto"/>
        <w:left w:val="none" w:sz="0" w:space="0" w:color="auto"/>
        <w:bottom w:val="none" w:sz="0" w:space="0" w:color="auto"/>
        <w:right w:val="none" w:sz="0" w:space="0" w:color="auto"/>
      </w:divBdr>
    </w:div>
    <w:div w:id="2051375045">
      <w:bodyDiv w:val="1"/>
      <w:marLeft w:val="0"/>
      <w:marRight w:val="0"/>
      <w:marTop w:val="0"/>
      <w:marBottom w:val="0"/>
      <w:divBdr>
        <w:top w:val="none" w:sz="0" w:space="0" w:color="auto"/>
        <w:left w:val="none" w:sz="0" w:space="0" w:color="auto"/>
        <w:bottom w:val="none" w:sz="0" w:space="0" w:color="auto"/>
        <w:right w:val="none" w:sz="0" w:space="0" w:color="auto"/>
      </w:divBdr>
    </w:div>
    <w:div w:id="2051417797">
      <w:bodyDiv w:val="1"/>
      <w:marLeft w:val="0"/>
      <w:marRight w:val="0"/>
      <w:marTop w:val="0"/>
      <w:marBottom w:val="0"/>
      <w:divBdr>
        <w:top w:val="none" w:sz="0" w:space="0" w:color="auto"/>
        <w:left w:val="none" w:sz="0" w:space="0" w:color="auto"/>
        <w:bottom w:val="none" w:sz="0" w:space="0" w:color="auto"/>
        <w:right w:val="none" w:sz="0" w:space="0" w:color="auto"/>
      </w:divBdr>
    </w:div>
    <w:div w:id="2051565223">
      <w:bodyDiv w:val="1"/>
      <w:marLeft w:val="0"/>
      <w:marRight w:val="0"/>
      <w:marTop w:val="0"/>
      <w:marBottom w:val="0"/>
      <w:divBdr>
        <w:top w:val="none" w:sz="0" w:space="0" w:color="auto"/>
        <w:left w:val="none" w:sz="0" w:space="0" w:color="auto"/>
        <w:bottom w:val="none" w:sz="0" w:space="0" w:color="auto"/>
        <w:right w:val="none" w:sz="0" w:space="0" w:color="auto"/>
      </w:divBdr>
    </w:div>
    <w:div w:id="2051607117">
      <w:bodyDiv w:val="1"/>
      <w:marLeft w:val="0"/>
      <w:marRight w:val="0"/>
      <w:marTop w:val="0"/>
      <w:marBottom w:val="0"/>
      <w:divBdr>
        <w:top w:val="none" w:sz="0" w:space="0" w:color="auto"/>
        <w:left w:val="none" w:sz="0" w:space="0" w:color="auto"/>
        <w:bottom w:val="none" w:sz="0" w:space="0" w:color="auto"/>
        <w:right w:val="none" w:sz="0" w:space="0" w:color="auto"/>
      </w:divBdr>
    </w:div>
    <w:div w:id="2051873840">
      <w:bodyDiv w:val="1"/>
      <w:marLeft w:val="0"/>
      <w:marRight w:val="0"/>
      <w:marTop w:val="0"/>
      <w:marBottom w:val="0"/>
      <w:divBdr>
        <w:top w:val="none" w:sz="0" w:space="0" w:color="auto"/>
        <w:left w:val="none" w:sz="0" w:space="0" w:color="auto"/>
        <w:bottom w:val="none" w:sz="0" w:space="0" w:color="auto"/>
        <w:right w:val="none" w:sz="0" w:space="0" w:color="auto"/>
      </w:divBdr>
    </w:div>
    <w:div w:id="2051877144">
      <w:bodyDiv w:val="1"/>
      <w:marLeft w:val="0"/>
      <w:marRight w:val="0"/>
      <w:marTop w:val="0"/>
      <w:marBottom w:val="0"/>
      <w:divBdr>
        <w:top w:val="none" w:sz="0" w:space="0" w:color="auto"/>
        <w:left w:val="none" w:sz="0" w:space="0" w:color="auto"/>
        <w:bottom w:val="none" w:sz="0" w:space="0" w:color="auto"/>
        <w:right w:val="none" w:sz="0" w:space="0" w:color="auto"/>
      </w:divBdr>
    </w:div>
    <w:div w:id="2051953926">
      <w:bodyDiv w:val="1"/>
      <w:marLeft w:val="0"/>
      <w:marRight w:val="0"/>
      <w:marTop w:val="0"/>
      <w:marBottom w:val="0"/>
      <w:divBdr>
        <w:top w:val="none" w:sz="0" w:space="0" w:color="auto"/>
        <w:left w:val="none" w:sz="0" w:space="0" w:color="auto"/>
        <w:bottom w:val="none" w:sz="0" w:space="0" w:color="auto"/>
        <w:right w:val="none" w:sz="0" w:space="0" w:color="auto"/>
      </w:divBdr>
    </w:div>
    <w:div w:id="2051955043">
      <w:bodyDiv w:val="1"/>
      <w:marLeft w:val="0"/>
      <w:marRight w:val="0"/>
      <w:marTop w:val="0"/>
      <w:marBottom w:val="0"/>
      <w:divBdr>
        <w:top w:val="none" w:sz="0" w:space="0" w:color="auto"/>
        <w:left w:val="none" w:sz="0" w:space="0" w:color="auto"/>
        <w:bottom w:val="none" w:sz="0" w:space="0" w:color="auto"/>
        <w:right w:val="none" w:sz="0" w:space="0" w:color="auto"/>
      </w:divBdr>
    </w:div>
    <w:div w:id="2052144573">
      <w:bodyDiv w:val="1"/>
      <w:marLeft w:val="0"/>
      <w:marRight w:val="0"/>
      <w:marTop w:val="0"/>
      <w:marBottom w:val="0"/>
      <w:divBdr>
        <w:top w:val="none" w:sz="0" w:space="0" w:color="auto"/>
        <w:left w:val="none" w:sz="0" w:space="0" w:color="auto"/>
        <w:bottom w:val="none" w:sz="0" w:space="0" w:color="auto"/>
        <w:right w:val="none" w:sz="0" w:space="0" w:color="auto"/>
      </w:divBdr>
    </w:div>
    <w:div w:id="2052148206">
      <w:bodyDiv w:val="1"/>
      <w:marLeft w:val="0"/>
      <w:marRight w:val="0"/>
      <w:marTop w:val="0"/>
      <w:marBottom w:val="0"/>
      <w:divBdr>
        <w:top w:val="none" w:sz="0" w:space="0" w:color="auto"/>
        <w:left w:val="none" w:sz="0" w:space="0" w:color="auto"/>
        <w:bottom w:val="none" w:sz="0" w:space="0" w:color="auto"/>
        <w:right w:val="none" w:sz="0" w:space="0" w:color="auto"/>
      </w:divBdr>
    </w:div>
    <w:div w:id="2052194554">
      <w:bodyDiv w:val="1"/>
      <w:marLeft w:val="0"/>
      <w:marRight w:val="0"/>
      <w:marTop w:val="0"/>
      <w:marBottom w:val="0"/>
      <w:divBdr>
        <w:top w:val="none" w:sz="0" w:space="0" w:color="auto"/>
        <w:left w:val="none" w:sz="0" w:space="0" w:color="auto"/>
        <w:bottom w:val="none" w:sz="0" w:space="0" w:color="auto"/>
        <w:right w:val="none" w:sz="0" w:space="0" w:color="auto"/>
      </w:divBdr>
    </w:div>
    <w:div w:id="2052220159">
      <w:bodyDiv w:val="1"/>
      <w:marLeft w:val="0"/>
      <w:marRight w:val="0"/>
      <w:marTop w:val="0"/>
      <w:marBottom w:val="0"/>
      <w:divBdr>
        <w:top w:val="none" w:sz="0" w:space="0" w:color="auto"/>
        <w:left w:val="none" w:sz="0" w:space="0" w:color="auto"/>
        <w:bottom w:val="none" w:sz="0" w:space="0" w:color="auto"/>
        <w:right w:val="none" w:sz="0" w:space="0" w:color="auto"/>
      </w:divBdr>
    </w:div>
    <w:div w:id="2052261996">
      <w:bodyDiv w:val="1"/>
      <w:marLeft w:val="0"/>
      <w:marRight w:val="0"/>
      <w:marTop w:val="0"/>
      <w:marBottom w:val="0"/>
      <w:divBdr>
        <w:top w:val="none" w:sz="0" w:space="0" w:color="auto"/>
        <w:left w:val="none" w:sz="0" w:space="0" w:color="auto"/>
        <w:bottom w:val="none" w:sz="0" w:space="0" w:color="auto"/>
        <w:right w:val="none" w:sz="0" w:space="0" w:color="auto"/>
      </w:divBdr>
    </w:div>
    <w:div w:id="2052530162">
      <w:bodyDiv w:val="1"/>
      <w:marLeft w:val="0"/>
      <w:marRight w:val="0"/>
      <w:marTop w:val="0"/>
      <w:marBottom w:val="0"/>
      <w:divBdr>
        <w:top w:val="none" w:sz="0" w:space="0" w:color="auto"/>
        <w:left w:val="none" w:sz="0" w:space="0" w:color="auto"/>
        <w:bottom w:val="none" w:sz="0" w:space="0" w:color="auto"/>
        <w:right w:val="none" w:sz="0" w:space="0" w:color="auto"/>
      </w:divBdr>
    </w:div>
    <w:div w:id="2052530725">
      <w:bodyDiv w:val="1"/>
      <w:marLeft w:val="0"/>
      <w:marRight w:val="0"/>
      <w:marTop w:val="0"/>
      <w:marBottom w:val="0"/>
      <w:divBdr>
        <w:top w:val="none" w:sz="0" w:space="0" w:color="auto"/>
        <w:left w:val="none" w:sz="0" w:space="0" w:color="auto"/>
        <w:bottom w:val="none" w:sz="0" w:space="0" w:color="auto"/>
        <w:right w:val="none" w:sz="0" w:space="0" w:color="auto"/>
      </w:divBdr>
    </w:div>
    <w:div w:id="2052610261">
      <w:bodyDiv w:val="1"/>
      <w:marLeft w:val="0"/>
      <w:marRight w:val="0"/>
      <w:marTop w:val="0"/>
      <w:marBottom w:val="0"/>
      <w:divBdr>
        <w:top w:val="none" w:sz="0" w:space="0" w:color="auto"/>
        <w:left w:val="none" w:sz="0" w:space="0" w:color="auto"/>
        <w:bottom w:val="none" w:sz="0" w:space="0" w:color="auto"/>
        <w:right w:val="none" w:sz="0" w:space="0" w:color="auto"/>
      </w:divBdr>
    </w:div>
    <w:div w:id="2052723790">
      <w:bodyDiv w:val="1"/>
      <w:marLeft w:val="0"/>
      <w:marRight w:val="0"/>
      <w:marTop w:val="0"/>
      <w:marBottom w:val="0"/>
      <w:divBdr>
        <w:top w:val="none" w:sz="0" w:space="0" w:color="auto"/>
        <w:left w:val="none" w:sz="0" w:space="0" w:color="auto"/>
        <w:bottom w:val="none" w:sz="0" w:space="0" w:color="auto"/>
        <w:right w:val="none" w:sz="0" w:space="0" w:color="auto"/>
      </w:divBdr>
    </w:div>
    <w:div w:id="2052798775">
      <w:bodyDiv w:val="1"/>
      <w:marLeft w:val="0"/>
      <w:marRight w:val="0"/>
      <w:marTop w:val="0"/>
      <w:marBottom w:val="0"/>
      <w:divBdr>
        <w:top w:val="none" w:sz="0" w:space="0" w:color="auto"/>
        <w:left w:val="none" w:sz="0" w:space="0" w:color="auto"/>
        <w:bottom w:val="none" w:sz="0" w:space="0" w:color="auto"/>
        <w:right w:val="none" w:sz="0" w:space="0" w:color="auto"/>
      </w:divBdr>
    </w:div>
    <w:div w:id="2052800283">
      <w:bodyDiv w:val="1"/>
      <w:marLeft w:val="0"/>
      <w:marRight w:val="0"/>
      <w:marTop w:val="0"/>
      <w:marBottom w:val="0"/>
      <w:divBdr>
        <w:top w:val="none" w:sz="0" w:space="0" w:color="auto"/>
        <w:left w:val="none" w:sz="0" w:space="0" w:color="auto"/>
        <w:bottom w:val="none" w:sz="0" w:space="0" w:color="auto"/>
        <w:right w:val="none" w:sz="0" w:space="0" w:color="auto"/>
      </w:divBdr>
    </w:div>
    <w:div w:id="2052923762">
      <w:bodyDiv w:val="1"/>
      <w:marLeft w:val="0"/>
      <w:marRight w:val="0"/>
      <w:marTop w:val="0"/>
      <w:marBottom w:val="0"/>
      <w:divBdr>
        <w:top w:val="none" w:sz="0" w:space="0" w:color="auto"/>
        <w:left w:val="none" w:sz="0" w:space="0" w:color="auto"/>
        <w:bottom w:val="none" w:sz="0" w:space="0" w:color="auto"/>
        <w:right w:val="none" w:sz="0" w:space="0" w:color="auto"/>
      </w:divBdr>
    </w:div>
    <w:div w:id="2052992996">
      <w:bodyDiv w:val="1"/>
      <w:marLeft w:val="0"/>
      <w:marRight w:val="0"/>
      <w:marTop w:val="0"/>
      <w:marBottom w:val="0"/>
      <w:divBdr>
        <w:top w:val="none" w:sz="0" w:space="0" w:color="auto"/>
        <w:left w:val="none" w:sz="0" w:space="0" w:color="auto"/>
        <w:bottom w:val="none" w:sz="0" w:space="0" w:color="auto"/>
        <w:right w:val="none" w:sz="0" w:space="0" w:color="auto"/>
      </w:divBdr>
    </w:div>
    <w:div w:id="2053070532">
      <w:bodyDiv w:val="1"/>
      <w:marLeft w:val="0"/>
      <w:marRight w:val="0"/>
      <w:marTop w:val="0"/>
      <w:marBottom w:val="0"/>
      <w:divBdr>
        <w:top w:val="none" w:sz="0" w:space="0" w:color="auto"/>
        <w:left w:val="none" w:sz="0" w:space="0" w:color="auto"/>
        <w:bottom w:val="none" w:sz="0" w:space="0" w:color="auto"/>
        <w:right w:val="none" w:sz="0" w:space="0" w:color="auto"/>
      </w:divBdr>
    </w:div>
    <w:div w:id="2053070777">
      <w:bodyDiv w:val="1"/>
      <w:marLeft w:val="0"/>
      <w:marRight w:val="0"/>
      <w:marTop w:val="0"/>
      <w:marBottom w:val="0"/>
      <w:divBdr>
        <w:top w:val="none" w:sz="0" w:space="0" w:color="auto"/>
        <w:left w:val="none" w:sz="0" w:space="0" w:color="auto"/>
        <w:bottom w:val="none" w:sz="0" w:space="0" w:color="auto"/>
        <w:right w:val="none" w:sz="0" w:space="0" w:color="auto"/>
      </w:divBdr>
    </w:div>
    <w:div w:id="2053071507">
      <w:bodyDiv w:val="1"/>
      <w:marLeft w:val="0"/>
      <w:marRight w:val="0"/>
      <w:marTop w:val="0"/>
      <w:marBottom w:val="0"/>
      <w:divBdr>
        <w:top w:val="none" w:sz="0" w:space="0" w:color="auto"/>
        <w:left w:val="none" w:sz="0" w:space="0" w:color="auto"/>
        <w:bottom w:val="none" w:sz="0" w:space="0" w:color="auto"/>
        <w:right w:val="none" w:sz="0" w:space="0" w:color="auto"/>
      </w:divBdr>
    </w:div>
    <w:div w:id="2053075634">
      <w:bodyDiv w:val="1"/>
      <w:marLeft w:val="0"/>
      <w:marRight w:val="0"/>
      <w:marTop w:val="0"/>
      <w:marBottom w:val="0"/>
      <w:divBdr>
        <w:top w:val="none" w:sz="0" w:space="0" w:color="auto"/>
        <w:left w:val="none" w:sz="0" w:space="0" w:color="auto"/>
        <w:bottom w:val="none" w:sz="0" w:space="0" w:color="auto"/>
        <w:right w:val="none" w:sz="0" w:space="0" w:color="auto"/>
      </w:divBdr>
    </w:div>
    <w:div w:id="2053112507">
      <w:bodyDiv w:val="1"/>
      <w:marLeft w:val="0"/>
      <w:marRight w:val="0"/>
      <w:marTop w:val="0"/>
      <w:marBottom w:val="0"/>
      <w:divBdr>
        <w:top w:val="none" w:sz="0" w:space="0" w:color="auto"/>
        <w:left w:val="none" w:sz="0" w:space="0" w:color="auto"/>
        <w:bottom w:val="none" w:sz="0" w:space="0" w:color="auto"/>
        <w:right w:val="none" w:sz="0" w:space="0" w:color="auto"/>
      </w:divBdr>
    </w:div>
    <w:div w:id="2053265450">
      <w:bodyDiv w:val="1"/>
      <w:marLeft w:val="0"/>
      <w:marRight w:val="0"/>
      <w:marTop w:val="0"/>
      <w:marBottom w:val="0"/>
      <w:divBdr>
        <w:top w:val="none" w:sz="0" w:space="0" w:color="auto"/>
        <w:left w:val="none" w:sz="0" w:space="0" w:color="auto"/>
        <w:bottom w:val="none" w:sz="0" w:space="0" w:color="auto"/>
        <w:right w:val="none" w:sz="0" w:space="0" w:color="auto"/>
      </w:divBdr>
    </w:div>
    <w:div w:id="2053528868">
      <w:bodyDiv w:val="1"/>
      <w:marLeft w:val="0"/>
      <w:marRight w:val="0"/>
      <w:marTop w:val="0"/>
      <w:marBottom w:val="0"/>
      <w:divBdr>
        <w:top w:val="none" w:sz="0" w:space="0" w:color="auto"/>
        <w:left w:val="none" w:sz="0" w:space="0" w:color="auto"/>
        <w:bottom w:val="none" w:sz="0" w:space="0" w:color="auto"/>
        <w:right w:val="none" w:sz="0" w:space="0" w:color="auto"/>
      </w:divBdr>
    </w:div>
    <w:div w:id="2053530150">
      <w:bodyDiv w:val="1"/>
      <w:marLeft w:val="0"/>
      <w:marRight w:val="0"/>
      <w:marTop w:val="0"/>
      <w:marBottom w:val="0"/>
      <w:divBdr>
        <w:top w:val="none" w:sz="0" w:space="0" w:color="auto"/>
        <w:left w:val="none" w:sz="0" w:space="0" w:color="auto"/>
        <w:bottom w:val="none" w:sz="0" w:space="0" w:color="auto"/>
        <w:right w:val="none" w:sz="0" w:space="0" w:color="auto"/>
      </w:divBdr>
    </w:div>
    <w:div w:id="2053532201">
      <w:bodyDiv w:val="1"/>
      <w:marLeft w:val="0"/>
      <w:marRight w:val="0"/>
      <w:marTop w:val="0"/>
      <w:marBottom w:val="0"/>
      <w:divBdr>
        <w:top w:val="none" w:sz="0" w:space="0" w:color="auto"/>
        <w:left w:val="none" w:sz="0" w:space="0" w:color="auto"/>
        <w:bottom w:val="none" w:sz="0" w:space="0" w:color="auto"/>
        <w:right w:val="none" w:sz="0" w:space="0" w:color="auto"/>
      </w:divBdr>
    </w:div>
    <w:div w:id="2053533514">
      <w:bodyDiv w:val="1"/>
      <w:marLeft w:val="0"/>
      <w:marRight w:val="0"/>
      <w:marTop w:val="0"/>
      <w:marBottom w:val="0"/>
      <w:divBdr>
        <w:top w:val="none" w:sz="0" w:space="0" w:color="auto"/>
        <w:left w:val="none" w:sz="0" w:space="0" w:color="auto"/>
        <w:bottom w:val="none" w:sz="0" w:space="0" w:color="auto"/>
        <w:right w:val="none" w:sz="0" w:space="0" w:color="auto"/>
      </w:divBdr>
    </w:div>
    <w:div w:id="2053534150">
      <w:bodyDiv w:val="1"/>
      <w:marLeft w:val="0"/>
      <w:marRight w:val="0"/>
      <w:marTop w:val="0"/>
      <w:marBottom w:val="0"/>
      <w:divBdr>
        <w:top w:val="none" w:sz="0" w:space="0" w:color="auto"/>
        <w:left w:val="none" w:sz="0" w:space="0" w:color="auto"/>
        <w:bottom w:val="none" w:sz="0" w:space="0" w:color="auto"/>
        <w:right w:val="none" w:sz="0" w:space="0" w:color="auto"/>
      </w:divBdr>
    </w:div>
    <w:div w:id="2053571087">
      <w:bodyDiv w:val="1"/>
      <w:marLeft w:val="0"/>
      <w:marRight w:val="0"/>
      <w:marTop w:val="0"/>
      <w:marBottom w:val="0"/>
      <w:divBdr>
        <w:top w:val="none" w:sz="0" w:space="0" w:color="auto"/>
        <w:left w:val="none" w:sz="0" w:space="0" w:color="auto"/>
        <w:bottom w:val="none" w:sz="0" w:space="0" w:color="auto"/>
        <w:right w:val="none" w:sz="0" w:space="0" w:color="auto"/>
      </w:divBdr>
    </w:div>
    <w:div w:id="2053647554">
      <w:bodyDiv w:val="1"/>
      <w:marLeft w:val="0"/>
      <w:marRight w:val="0"/>
      <w:marTop w:val="0"/>
      <w:marBottom w:val="0"/>
      <w:divBdr>
        <w:top w:val="none" w:sz="0" w:space="0" w:color="auto"/>
        <w:left w:val="none" w:sz="0" w:space="0" w:color="auto"/>
        <w:bottom w:val="none" w:sz="0" w:space="0" w:color="auto"/>
        <w:right w:val="none" w:sz="0" w:space="0" w:color="auto"/>
      </w:divBdr>
    </w:div>
    <w:div w:id="2053655282">
      <w:bodyDiv w:val="1"/>
      <w:marLeft w:val="0"/>
      <w:marRight w:val="0"/>
      <w:marTop w:val="0"/>
      <w:marBottom w:val="0"/>
      <w:divBdr>
        <w:top w:val="none" w:sz="0" w:space="0" w:color="auto"/>
        <w:left w:val="none" w:sz="0" w:space="0" w:color="auto"/>
        <w:bottom w:val="none" w:sz="0" w:space="0" w:color="auto"/>
        <w:right w:val="none" w:sz="0" w:space="0" w:color="auto"/>
      </w:divBdr>
    </w:div>
    <w:div w:id="2053769911">
      <w:bodyDiv w:val="1"/>
      <w:marLeft w:val="0"/>
      <w:marRight w:val="0"/>
      <w:marTop w:val="0"/>
      <w:marBottom w:val="0"/>
      <w:divBdr>
        <w:top w:val="none" w:sz="0" w:space="0" w:color="auto"/>
        <w:left w:val="none" w:sz="0" w:space="0" w:color="auto"/>
        <w:bottom w:val="none" w:sz="0" w:space="0" w:color="auto"/>
        <w:right w:val="none" w:sz="0" w:space="0" w:color="auto"/>
      </w:divBdr>
    </w:div>
    <w:div w:id="2053849239">
      <w:bodyDiv w:val="1"/>
      <w:marLeft w:val="0"/>
      <w:marRight w:val="0"/>
      <w:marTop w:val="0"/>
      <w:marBottom w:val="0"/>
      <w:divBdr>
        <w:top w:val="none" w:sz="0" w:space="0" w:color="auto"/>
        <w:left w:val="none" w:sz="0" w:space="0" w:color="auto"/>
        <w:bottom w:val="none" w:sz="0" w:space="0" w:color="auto"/>
        <w:right w:val="none" w:sz="0" w:space="0" w:color="auto"/>
      </w:divBdr>
    </w:div>
    <w:div w:id="2053918996">
      <w:bodyDiv w:val="1"/>
      <w:marLeft w:val="0"/>
      <w:marRight w:val="0"/>
      <w:marTop w:val="0"/>
      <w:marBottom w:val="0"/>
      <w:divBdr>
        <w:top w:val="none" w:sz="0" w:space="0" w:color="auto"/>
        <w:left w:val="none" w:sz="0" w:space="0" w:color="auto"/>
        <w:bottom w:val="none" w:sz="0" w:space="0" w:color="auto"/>
        <w:right w:val="none" w:sz="0" w:space="0" w:color="auto"/>
      </w:divBdr>
    </w:div>
    <w:div w:id="2053923936">
      <w:bodyDiv w:val="1"/>
      <w:marLeft w:val="0"/>
      <w:marRight w:val="0"/>
      <w:marTop w:val="0"/>
      <w:marBottom w:val="0"/>
      <w:divBdr>
        <w:top w:val="none" w:sz="0" w:space="0" w:color="auto"/>
        <w:left w:val="none" w:sz="0" w:space="0" w:color="auto"/>
        <w:bottom w:val="none" w:sz="0" w:space="0" w:color="auto"/>
        <w:right w:val="none" w:sz="0" w:space="0" w:color="auto"/>
      </w:divBdr>
    </w:div>
    <w:div w:id="2053992079">
      <w:bodyDiv w:val="1"/>
      <w:marLeft w:val="0"/>
      <w:marRight w:val="0"/>
      <w:marTop w:val="0"/>
      <w:marBottom w:val="0"/>
      <w:divBdr>
        <w:top w:val="none" w:sz="0" w:space="0" w:color="auto"/>
        <w:left w:val="none" w:sz="0" w:space="0" w:color="auto"/>
        <w:bottom w:val="none" w:sz="0" w:space="0" w:color="auto"/>
        <w:right w:val="none" w:sz="0" w:space="0" w:color="auto"/>
      </w:divBdr>
    </w:div>
    <w:div w:id="2054191744">
      <w:bodyDiv w:val="1"/>
      <w:marLeft w:val="0"/>
      <w:marRight w:val="0"/>
      <w:marTop w:val="0"/>
      <w:marBottom w:val="0"/>
      <w:divBdr>
        <w:top w:val="none" w:sz="0" w:space="0" w:color="auto"/>
        <w:left w:val="none" w:sz="0" w:space="0" w:color="auto"/>
        <w:bottom w:val="none" w:sz="0" w:space="0" w:color="auto"/>
        <w:right w:val="none" w:sz="0" w:space="0" w:color="auto"/>
      </w:divBdr>
    </w:div>
    <w:div w:id="2054426616">
      <w:bodyDiv w:val="1"/>
      <w:marLeft w:val="0"/>
      <w:marRight w:val="0"/>
      <w:marTop w:val="0"/>
      <w:marBottom w:val="0"/>
      <w:divBdr>
        <w:top w:val="none" w:sz="0" w:space="0" w:color="auto"/>
        <w:left w:val="none" w:sz="0" w:space="0" w:color="auto"/>
        <w:bottom w:val="none" w:sz="0" w:space="0" w:color="auto"/>
        <w:right w:val="none" w:sz="0" w:space="0" w:color="auto"/>
      </w:divBdr>
    </w:div>
    <w:div w:id="2054499172">
      <w:bodyDiv w:val="1"/>
      <w:marLeft w:val="0"/>
      <w:marRight w:val="0"/>
      <w:marTop w:val="0"/>
      <w:marBottom w:val="0"/>
      <w:divBdr>
        <w:top w:val="none" w:sz="0" w:space="0" w:color="auto"/>
        <w:left w:val="none" w:sz="0" w:space="0" w:color="auto"/>
        <w:bottom w:val="none" w:sz="0" w:space="0" w:color="auto"/>
        <w:right w:val="none" w:sz="0" w:space="0" w:color="auto"/>
      </w:divBdr>
    </w:div>
    <w:div w:id="2054579888">
      <w:bodyDiv w:val="1"/>
      <w:marLeft w:val="0"/>
      <w:marRight w:val="0"/>
      <w:marTop w:val="0"/>
      <w:marBottom w:val="0"/>
      <w:divBdr>
        <w:top w:val="none" w:sz="0" w:space="0" w:color="auto"/>
        <w:left w:val="none" w:sz="0" w:space="0" w:color="auto"/>
        <w:bottom w:val="none" w:sz="0" w:space="0" w:color="auto"/>
        <w:right w:val="none" w:sz="0" w:space="0" w:color="auto"/>
      </w:divBdr>
    </w:div>
    <w:div w:id="2054764377">
      <w:bodyDiv w:val="1"/>
      <w:marLeft w:val="0"/>
      <w:marRight w:val="0"/>
      <w:marTop w:val="0"/>
      <w:marBottom w:val="0"/>
      <w:divBdr>
        <w:top w:val="none" w:sz="0" w:space="0" w:color="auto"/>
        <w:left w:val="none" w:sz="0" w:space="0" w:color="auto"/>
        <w:bottom w:val="none" w:sz="0" w:space="0" w:color="auto"/>
        <w:right w:val="none" w:sz="0" w:space="0" w:color="auto"/>
      </w:divBdr>
    </w:div>
    <w:div w:id="2054840914">
      <w:bodyDiv w:val="1"/>
      <w:marLeft w:val="0"/>
      <w:marRight w:val="0"/>
      <w:marTop w:val="0"/>
      <w:marBottom w:val="0"/>
      <w:divBdr>
        <w:top w:val="none" w:sz="0" w:space="0" w:color="auto"/>
        <w:left w:val="none" w:sz="0" w:space="0" w:color="auto"/>
        <w:bottom w:val="none" w:sz="0" w:space="0" w:color="auto"/>
        <w:right w:val="none" w:sz="0" w:space="0" w:color="auto"/>
      </w:divBdr>
    </w:div>
    <w:div w:id="2054959946">
      <w:bodyDiv w:val="1"/>
      <w:marLeft w:val="0"/>
      <w:marRight w:val="0"/>
      <w:marTop w:val="0"/>
      <w:marBottom w:val="0"/>
      <w:divBdr>
        <w:top w:val="none" w:sz="0" w:space="0" w:color="auto"/>
        <w:left w:val="none" w:sz="0" w:space="0" w:color="auto"/>
        <w:bottom w:val="none" w:sz="0" w:space="0" w:color="auto"/>
        <w:right w:val="none" w:sz="0" w:space="0" w:color="auto"/>
      </w:divBdr>
    </w:div>
    <w:div w:id="2054965164">
      <w:bodyDiv w:val="1"/>
      <w:marLeft w:val="0"/>
      <w:marRight w:val="0"/>
      <w:marTop w:val="0"/>
      <w:marBottom w:val="0"/>
      <w:divBdr>
        <w:top w:val="none" w:sz="0" w:space="0" w:color="auto"/>
        <w:left w:val="none" w:sz="0" w:space="0" w:color="auto"/>
        <w:bottom w:val="none" w:sz="0" w:space="0" w:color="auto"/>
        <w:right w:val="none" w:sz="0" w:space="0" w:color="auto"/>
      </w:divBdr>
    </w:div>
    <w:div w:id="2055033146">
      <w:bodyDiv w:val="1"/>
      <w:marLeft w:val="0"/>
      <w:marRight w:val="0"/>
      <w:marTop w:val="0"/>
      <w:marBottom w:val="0"/>
      <w:divBdr>
        <w:top w:val="none" w:sz="0" w:space="0" w:color="auto"/>
        <w:left w:val="none" w:sz="0" w:space="0" w:color="auto"/>
        <w:bottom w:val="none" w:sz="0" w:space="0" w:color="auto"/>
        <w:right w:val="none" w:sz="0" w:space="0" w:color="auto"/>
      </w:divBdr>
    </w:div>
    <w:div w:id="2055038533">
      <w:bodyDiv w:val="1"/>
      <w:marLeft w:val="0"/>
      <w:marRight w:val="0"/>
      <w:marTop w:val="0"/>
      <w:marBottom w:val="0"/>
      <w:divBdr>
        <w:top w:val="none" w:sz="0" w:space="0" w:color="auto"/>
        <w:left w:val="none" w:sz="0" w:space="0" w:color="auto"/>
        <w:bottom w:val="none" w:sz="0" w:space="0" w:color="auto"/>
        <w:right w:val="none" w:sz="0" w:space="0" w:color="auto"/>
      </w:divBdr>
    </w:div>
    <w:div w:id="2055039746">
      <w:bodyDiv w:val="1"/>
      <w:marLeft w:val="0"/>
      <w:marRight w:val="0"/>
      <w:marTop w:val="0"/>
      <w:marBottom w:val="0"/>
      <w:divBdr>
        <w:top w:val="none" w:sz="0" w:space="0" w:color="auto"/>
        <w:left w:val="none" w:sz="0" w:space="0" w:color="auto"/>
        <w:bottom w:val="none" w:sz="0" w:space="0" w:color="auto"/>
        <w:right w:val="none" w:sz="0" w:space="0" w:color="auto"/>
      </w:divBdr>
    </w:div>
    <w:div w:id="2055109589">
      <w:bodyDiv w:val="1"/>
      <w:marLeft w:val="0"/>
      <w:marRight w:val="0"/>
      <w:marTop w:val="0"/>
      <w:marBottom w:val="0"/>
      <w:divBdr>
        <w:top w:val="none" w:sz="0" w:space="0" w:color="auto"/>
        <w:left w:val="none" w:sz="0" w:space="0" w:color="auto"/>
        <w:bottom w:val="none" w:sz="0" w:space="0" w:color="auto"/>
        <w:right w:val="none" w:sz="0" w:space="0" w:color="auto"/>
      </w:divBdr>
    </w:div>
    <w:div w:id="2055150956">
      <w:bodyDiv w:val="1"/>
      <w:marLeft w:val="0"/>
      <w:marRight w:val="0"/>
      <w:marTop w:val="0"/>
      <w:marBottom w:val="0"/>
      <w:divBdr>
        <w:top w:val="none" w:sz="0" w:space="0" w:color="auto"/>
        <w:left w:val="none" w:sz="0" w:space="0" w:color="auto"/>
        <w:bottom w:val="none" w:sz="0" w:space="0" w:color="auto"/>
        <w:right w:val="none" w:sz="0" w:space="0" w:color="auto"/>
      </w:divBdr>
    </w:div>
    <w:div w:id="2055158171">
      <w:bodyDiv w:val="1"/>
      <w:marLeft w:val="0"/>
      <w:marRight w:val="0"/>
      <w:marTop w:val="0"/>
      <w:marBottom w:val="0"/>
      <w:divBdr>
        <w:top w:val="none" w:sz="0" w:space="0" w:color="auto"/>
        <w:left w:val="none" w:sz="0" w:space="0" w:color="auto"/>
        <w:bottom w:val="none" w:sz="0" w:space="0" w:color="auto"/>
        <w:right w:val="none" w:sz="0" w:space="0" w:color="auto"/>
      </w:divBdr>
    </w:div>
    <w:div w:id="2055301754">
      <w:bodyDiv w:val="1"/>
      <w:marLeft w:val="0"/>
      <w:marRight w:val="0"/>
      <w:marTop w:val="0"/>
      <w:marBottom w:val="0"/>
      <w:divBdr>
        <w:top w:val="none" w:sz="0" w:space="0" w:color="auto"/>
        <w:left w:val="none" w:sz="0" w:space="0" w:color="auto"/>
        <w:bottom w:val="none" w:sz="0" w:space="0" w:color="auto"/>
        <w:right w:val="none" w:sz="0" w:space="0" w:color="auto"/>
      </w:divBdr>
    </w:div>
    <w:div w:id="2055350170">
      <w:bodyDiv w:val="1"/>
      <w:marLeft w:val="0"/>
      <w:marRight w:val="0"/>
      <w:marTop w:val="0"/>
      <w:marBottom w:val="0"/>
      <w:divBdr>
        <w:top w:val="none" w:sz="0" w:space="0" w:color="auto"/>
        <w:left w:val="none" w:sz="0" w:space="0" w:color="auto"/>
        <w:bottom w:val="none" w:sz="0" w:space="0" w:color="auto"/>
        <w:right w:val="none" w:sz="0" w:space="0" w:color="auto"/>
      </w:divBdr>
    </w:div>
    <w:div w:id="2055494582">
      <w:bodyDiv w:val="1"/>
      <w:marLeft w:val="0"/>
      <w:marRight w:val="0"/>
      <w:marTop w:val="0"/>
      <w:marBottom w:val="0"/>
      <w:divBdr>
        <w:top w:val="none" w:sz="0" w:space="0" w:color="auto"/>
        <w:left w:val="none" w:sz="0" w:space="0" w:color="auto"/>
        <w:bottom w:val="none" w:sz="0" w:space="0" w:color="auto"/>
        <w:right w:val="none" w:sz="0" w:space="0" w:color="auto"/>
      </w:divBdr>
    </w:div>
    <w:div w:id="2055495137">
      <w:bodyDiv w:val="1"/>
      <w:marLeft w:val="0"/>
      <w:marRight w:val="0"/>
      <w:marTop w:val="0"/>
      <w:marBottom w:val="0"/>
      <w:divBdr>
        <w:top w:val="none" w:sz="0" w:space="0" w:color="auto"/>
        <w:left w:val="none" w:sz="0" w:space="0" w:color="auto"/>
        <w:bottom w:val="none" w:sz="0" w:space="0" w:color="auto"/>
        <w:right w:val="none" w:sz="0" w:space="0" w:color="auto"/>
      </w:divBdr>
    </w:div>
    <w:div w:id="2055503164">
      <w:bodyDiv w:val="1"/>
      <w:marLeft w:val="0"/>
      <w:marRight w:val="0"/>
      <w:marTop w:val="0"/>
      <w:marBottom w:val="0"/>
      <w:divBdr>
        <w:top w:val="none" w:sz="0" w:space="0" w:color="auto"/>
        <w:left w:val="none" w:sz="0" w:space="0" w:color="auto"/>
        <w:bottom w:val="none" w:sz="0" w:space="0" w:color="auto"/>
        <w:right w:val="none" w:sz="0" w:space="0" w:color="auto"/>
      </w:divBdr>
    </w:div>
    <w:div w:id="2055614869">
      <w:bodyDiv w:val="1"/>
      <w:marLeft w:val="0"/>
      <w:marRight w:val="0"/>
      <w:marTop w:val="0"/>
      <w:marBottom w:val="0"/>
      <w:divBdr>
        <w:top w:val="none" w:sz="0" w:space="0" w:color="auto"/>
        <w:left w:val="none" w:sz="0" w:space="0" w:color="auto"/>
        <w:bottom w:val="none" w:sz="0" w:space="0" w:color="auto"/>
        <w:right w:val="none" w:sz="0" w:space="0" w:color="auto"/>
      </w:divBdr>
    </w:div>
    <w:div w:id="2055693275">
      <w:bodyDiv w:val="1"/>
      <w:marLeft w:val="0"/>
      <w:marRight w:val="0"/>
      <w:marTop w:val="0"/>
      <w:marBottom w:val="0"/>
      <w:divBdr>
        <w:top w:val="none" w:sz="0" w:space="0" w:color="auto"/>
        <w:left w:val="none" w:sz="0" w:space="0" w:color="auto"/>
        <w:bottom w:val="none" w:sz="0" w:space="0" w:color="auto"/>
        <w:right w:val="none" w:sz="0" w:space="0" w:color="auto"/>
      </w:divBdr>
    </w:div>
    <w:div w:id="2055813057">
      <w:bodyDiv w:val="1"/>
      <w:marLeft w:val="0"/>
      <w:marRight w:val="0"/>
      <w:marTop w:val="0"/>
      <w:marBottom w:val="0"/>
      <w:divBdr>
        <w:top w:val="none" w:sz="0" w:space="0" w:color="auto"/>
        <w:left w:val="none" w:sz="0" w:space="0" w:color="auto"/>
        <w:bottom w:val="none" w:sz="0" w:space="0" w:color="auto"/>
        <w:right w:val="none" w:sz="0" w:space="0" w:color="auto"/>
      </w:divBdr>
    </w:div>
    <w:div w:id="2056078714">
      <w:bodyDiv w:val="1"/>
      <w:marLeft w:val="0"/>
      <w:marRight w:val="0"/>
      <w:marTop w:val="0"/>
      <w:marBottom w:val="0"/>
      <w:divBdr>
        <w:top w:val="none" w:sz="0" w:space="0" w:color="auto"/>
        <w:left w:val="none" w:sz="0" w:space="0" w:color="auto"/>
        <w:bottom w:val="none" w:sz="0" w:space="0" w:color="auto"/>
        <w:right w:val="none" w:sz="0" w:space="0" w:color="auto"/>
      </w:divBdr>
    </w:div>
    <w:div w:id="2056199538">
      <w:bodyDiv w:val="1"/>
      <w:marLeft w:val="0"/>
      <w:marRight w:val="0"/>
      <w:marTop w:val="0"/>
      <w:marBottom w:val="0"/>
      <w:divBdr>
        <w:top w:val="none" w:sz="0" w:space="0" w:color="auto"/>
        <w:left w:val="none" w:sz="0" w:space="0" w:color="auto"/>
        <w:bottom w:val="none" w:sz="0" w:space="0" w:color="auto"/>
        <w:right w:val="none" w:sz="0" w:space="0" w:color="auto"/>
      </w:divBdr>
    </w:div>
    <w:div w:id="2056348246">
      <w:bodyDiv w:val="1"/>
      <w:marLeft w:val="0"/>
      <w:marRight w:val="0"/>
      <w:marTop w:val="0"/>
      <w:marBottom w:val="0"/>
      <w:divBdr>
        <w:top w:val="none" w:sz="0" w:space="0" w:color="auto"/>
        <w:left w:val="none" w:sz="0" w:space="0" w:color="auto"/>
        <w:bottom w:val="none" w:sz="0" w:space="0" w:color="auto"/>
        <w:right w:val="none" w:sz="0" w:space="0" w:color="auto"/>
      </w:divBdr>
    </w:div>
    <w:div w:id="2056349290">
      <w:bodyDiv w:val="1"/>
      <w:marLeft w:val="0"/>
      <w:marRight w:val="0"/>
      <w:marTop w:val="0"/>
      <w:marBottom w:val="0"/>
      <w:divBdr>
        <w:top w:val="none" w:sz="0" w:space="0" w:color="auto"/>
        <w:left w:val="none" w:sz="0" w:space="0" w:color="auto"/>
        <w:bottom w:val="none" w:sz="0" w:space="0" w:color="auto"/>
        <w:right w:val="none" w:sz="0" w:space="0" w:color="auto"/>
      </w:divBdr>
    </w:div>
    <w:div w:id="2056468481">
      <w:bodyDiv w:val="1"/>
      <w:marLeft w:val="0"/>
      <w:marRight w:val="0"/>
      <w:marTop w:val="0"/>
      <w:marBottom w:val="0"/>
      <w:divBdr>
        <w:top w:val="none" w:sz="0" w:space="0" w:color="auto"/>
        <w:left w:val="none" w:sz="0" w:space="0" w:color="auto"/>
        <w:bottom w:val="none" w:sz="0" w:space="0" w:color="auto"/>
        <w:right w:val="none" w:sz="0" w:space="0" w:color="auto"/>
      </w:divBdr>
    </w:div>
    <w:div w:id="2056543759">
      <w:bodyDiv w:val="1"/>
      <w:marLeft w:val="0"/>
      <w:marRight w:val="0"/>
      <w:marTop w:val="0"/>
      <w:marBottom w:val="0"/>
      <w:divBdr>
        <w:top w:val="none" w:sz="0" w:space="0" w:color="auto"/>
        <w:left w:val="none" w:sz="0" w:space="0" w:color="auto"/>
        <w:bottom w:val="none" w:sz="0" w:space="0" w:color="auto"/>
        <w:right w:val="none" w:sz="0" w:space="0" w:color="auto"/>
      </w:divBdr>
    </w:div>
    <w:div w:id="2056588355">
      <w:bodyDiv w:val="1"/>
      <w:marLeft w:val="0"/>
      <w:marRight w:val="0"/>
      <w:marTop w:val="0"/>
      <w:marBottom w:val="0"/>
      <w:divBdr>
        <w:top w:val="none" w:sz="0" w:space="0" w:color="auto"/>
        <w:left w:val="none" w:sz="0" w:space="0" w:color="auto"/>
        <w:bottom w:val="none" w:sz="0" w:space="0" w:color="auto"/>
        <w:right w:val="none" w:sz="0" w:space="0" w:color="auto"/>
      </w:divBdr>
    </w:div>
    <w:div w:id="2056615502">
      <w:bodyDiv w:val="1"/>
      <w:marLeft w:val="0"/>
      <w:marRight w:val="0"/>
      <w:marTop w:val="0"/>
      <w:marBottom w:val="0"/>
      <w:divBdr>
        <w:top w:val="none" w:sz="0" w:space="0" w:color="auto"/>
        <w:left w:val="none" w:sz="0" w:space="0" w:color="auto"/>
        <w:bottom w:val="none" w:sz="0" w:space="0" w:color="auto"/>
        <w:right w:val="none" w:sz="0" w:space="0" w:color="auto"/>
      </w:divBdr>
    </w:div>
    <w:div w:id="2056658409">
      <w:bodyDiv w:val="1"/>
      <w:marLeft w:val="0"/>
      <w:marRight w:val="0"/>
      <w:marTop w:val="0"/>
      <w:marBottom w:val="0"/>
      <w:divBdr>
        <w:top w:val="none" w:sz="0" w:space="0" w:color="auto"/>
        <w:left w:val="none" w:sz="0" w:space="0" w:color="auto"/>
        <w:bottom w:val="none" w:sz="0" w:space="0" w:color="auto"/>
        <w:right w:val="none" w:sz="0" w:space="0" w:color="auto"/>
      </w:divBdr>
    </w:div>
    <w:div w:id="2056808844">
      <w:bodyDiv w:val="1"/>
      <w:marLeft w:val="0"/>
      <w:marRight w:val="0"/>
      <w:marTop w:val="0"/>
      <w:marBottom w:val="0"/>
      <w:divBdr>
        <w:top w:val="none" w:sz="0" w:space="0" w:color="auto"/>
        <w:left w:val="none" w:sz="0" w:space="0" w:color="auto"/>
        <w:bottom w:val="none" w:sz="0" w:space="0" w:color="auto"/>
        <w:right w:val="none" w:sz="0" w:space="0" w:color="auto"/>
      </w:divBdr>
    </w:div>
    <w:div w:id="2056811489">
      <w:bodyDiv w:val="1"/>
      <w:marLeft w:val="0"/>
      <w:marRight w:val="0"/>
      <w:marTop w:val="0"/>
      <w:marBottom w:val="0"/>
      <w:divBdr>
        <w:top w:val="none" w:sz="0" w:space="0" w:color="auto"/>
        <w:left w:val="none" w:sz="0" w:space="0" w:color="auto"/>
        <w:bottom w:val="none" w:sz="0" w:space="0" w:color="auto"/>
        <w:right w:val="none" w:sz="0" w:space="0" w:color="auto"/>
      </w:divBdr>
    </w:div>
    <w:div w:id="2056855689">
      <w:bodyDiv w:val="1"/>
      <w:marLeft w:val="0"/>
      <w:marRight w:val="0"/>
      <w:marTop w:val="0"/>
      <w:marBottom w:val="0"/>
      <w:divBdr>
        <w:top w:val="none" w:sz="0" w:space="0" w:color="auto"/>
        <w:left w:val="none" w:sz="0" w:space="0" w:color="auto"/>
        <w:bottom w:val="none" w:sz="0" w:space="0" w:color="auto"/>
        <w:right w:val="none" w:sz="0" w:space="0" w:color="auto"/>
      </w:divBdr>
    </w:div>
    <w:div w:id="2057048602">
      <w:bodyDiv w:val="1"/>
      <w:marLeft w:val="0"/>
      <w:marRight w:val="0"/>
      <w:marTop w:val="0"/>
      <w:marBottom w:val="0"/>
      <w:divBdr>
        <w:top w:val="none" w:sz="0" w:space="0" w:color="auto"/>
        <w:left w:val="none" w:sz="0" w:space="0" w:color="auto"/>
        <w:bottom w:val="none" w:sz="0" w:space="0" w:color="auto"/>
        <w:right w:val="none" w:sz="0" w:space="0" w:color="auto"/>
      </w:divBdr>
    </w:div>
    <w:div w:id="2057241837">
      <w:bodyDiv w:val="1"/>
      <w:marLeft w:val="0"/>
      <w:marRight w:val="0"/>
      <w:marTop w:val="0"/>
      <w:marBottom w:val="0"/>
      <w:divBdr>
        <w:top w:val="none" w:sz="0" w:space="0" w:color="auto"/>
        <w:left w:val="none" w:sz="0" w:space="0" w:color="auto"/>
        <w:bottom w:val="none" w:sz="0" w:space="0" w:color="auto"/>
        <w:right w:val="none" w:sz="0" w:space="0" w:color="auto"/>
      </w:divBdr>
    </w:div>
    <w:div w:id="2057270355">
      <w:bodyDiv w:val="1"/>
      <w:marLeft w:val="0"/>
      <w:marRight w:val="0"/>
      <w:marTop w:val="0"/>
      <w:marBottom w:val="0"/>
      <w:divBdr>
        <w:top w:val="none" w:sz="0" w:space="0" w:color="auto"/>
        <w:left w:val="none" w:sz="0" w:space="0" w:color="auto"/>
        <w:bottom w:val="none" w:sz="0" w:space="0" w:color="auto"/>
        <w:right w:val="none" w:sz="0" w:space="0" w:color="auto"/>
      </w:divBdr>
    </w:div>
    <w:div w:id="2057271368">
      <w:bodyDiv w:val="1"/>
      <w:marLeft w:val="0"/>
      <w:marRight w:val="0"/>
      <w:marTop w:val="0"/>
      <w:marBottom w:val="0"/>
      <w:divBdr>
        <w:top w:val="none" w:sz="0" w:space="0" w:color="auto"/>
        <w:left w:val="none" w:sz="0" w:space="0" w:color="auto"/>
        <w:bottom w:val="none" w:sz="0" w:space="0" w:color="auto"/>
        <w:right w:val="none" w:sz="0" w:space="0" w:color="auto"/>
      </w:divBdr>
    </w:div>
    <w:div w:id="2057272359">
      <w:bodyDiv w:val="1"/>
      <w:marLeft w:val="0"/>
      <w:marRight w:val="0"/>
      <w:marTop w:val="0"/>
      <w:marBottom w:val="0"/>
      <w:divBdr>
        <w:top w:val="none" w:sz="0" w:space="0" w:color="auto"/>
        <w:left w:val="none" w:sz="0" w:space="0" w:color="auto"/>
        <w:bottom w:val="none" w:sz="0" w:space="0" w:color="auto"/>
        <w:right w:val="none" w:sz="0" w:space="0" w:color="auto"/>
      </w:divBdr>
    </w:div>
    <w:div w:id="2057316854">
      <w:bodyDiv w:val="1"/>
      <w:marLeft w:val="0"/>
      <w:marRight w:val="0"/>
      <w:marTop w:val="0"/>
      <w:marBottom w:val="0"/>
      <w:divBdr>
        <w:top w:val="none" w:sz="0" w:space="0" w:color="auto"/>
        <w:left w:val="none" w:sz="0" w:space="0" w:color="auto"/>
        <w:bottom w:val="none" w:sz="0" w:space="0" w:color="auto"/>
        <w:right w:val="none" w:sz="0" w:space="0" w:color="auto"/>
      </w:divBdr>
    </w:div>
    <w:div w:id="2057462041">
      <w:bodyDiv w:val="1"/>
      <w:marLeft w:val="0"/>
      <w:marRight w:val="0"/>
      <w:marTop w:val="0"/>
      <w:marBottom w:val="0"/>
      <w:divBdr>
        <w:top w:val="none" w:sz="0" w:space="0" w:color="auto"/>
        <w:left w:val="none" w:sz="0" w:space="0" w:color="auto"/>
        <w:bottom w:val="none" w:sz="0" w:space="0" w:color="auto"/>
        <w:right w:val="none" w:sz="0" w:space="0" w:color="auto"/>
      </w:divBdr>
    </w:div>
    <w:div w:id="2057503144">
      <w:bodyDiv w:val="1"/>
      <w:marLeft w:val="0"/>
      <w:marRight w:val="0"/>
      <w:marTop w:val="0"/>
      <w:marBottom w:val="0"/>
      <w:divBdr>
        <w:top w:val="none" w:sz="0" w:space="0" w:color="auto"/>
        <w:left w:val="none" w:sz="0" w:space="0" w:color="auto"/>
        <w:bottom w:val="none" w:sz="0" w:space="0" w:color="auto"/>
        <w:right w:val="none" w:sz="0" w:space="0" w:color="auto"/>
      </w:divBdr>
    </w:div>
    <w:div w:id="2057507703">
      <w:bodyDiv w:val="1"/>
      <w:marLeft w:val="0"/>
      <w:marRight w:val="0"/>
      <w:marTop w:val="0"/>
      <w:marBottom w:val="0"/>
      <w:divBdr>
        <w:top w:val="none" w:sz="0" w:space="0" w:color="auto"/>
        <w:left w:val="none" w:sz="0" w:space="0" w:color="auto"/>
        <w:bottom w:val="none" w:sz="0" w:space="0" w:color="auto"/>
        <w:right w:val="none" w:sz="0" w:space="0" w:color="auto"/>
      </w:divBdr>
    </w:div>
    <w:div w:id="2057855856">
      <w:bodyDiv w:val="1"/>
      <w:marLeft w:val="0"/>
      <w:marRight w:val="0"/>
      <w:marTop w:val="0"/>
      <w:marBottom w:val="0"/>
      <w:divBdr>
        <w:top w:val="none" w:sz="0" w:space="0" w:color="auto"/>
        <w:left w:val="none" w:sz="0" w:space="0" w:color="auto"/>
        <w:bottom w:val="none" w:sz="0" w:space="0" w:color="auto"/>
        <w:right w:val="none" w:sz="0" w:space="0" w:color="auto"/>
      </w:divBdr>
    </w:div>
    <w:div w:id="2057897904">
      <w:bodyDiv w:val="1"/>
      <w:marLeft w:val="0"/>
      <w:marRight w:val="0"/>
      <w:marTop w:val="0"/>
      <w:marBottom w:val="0"/>
      <w:divBdr>
        <w:top w:val="none" w:sz="0" w:space="0" w:color="auto"/>
        <w:left w:val="none" w:sz="0" w:space="0" w:color="auto"/>
        <w:bottom w:val="none" w:sz="0" w:space="0" w:color="auto"/>
        <w:right w:val="none" w:sz="0" w:space="0" w:color="auto"/>
      </w:divBdr>
    </w:div>
    <w:div w:id="2057925563">
      <w:bodyDiv w:val="1"/>
      <w:marLeft w:val="0"/>
      <w:marRight w:val="0"/>
      <w:marTop w:val="0"/>
      <w:marBottom w:val="0"/>
      <w:divBdr>
        <w:top w:val="none" w:sz="0" w:space="0" w:color="auto"/>
        <w:left w:val="none" w:sz="0" w:space="0" w:color="auto"/>
        <w:bottom w:val="none" w:sz="0" w:space="0" w:color="auto"/>
        <w:right w:val="none" w:sz="0" w:space="0" w:color="auto"/>
      </w:divBdr>
    </w:div>
    <w:div w:id="2057970358">
      <w:bodyDiv w:val="1"/>
      <w:marLeft w:val="0"/>
      <w:marRight w:val="0"/>
      <w:marTop w:val="0"/>
      <w:marBottom w:val="0"/>
      <w:divBdr>
        <w:top w:val="none" w:sz="0" w:space="0" w:color="auto"/>
        <w:left w:val="none" w:sz="0" w:space="0" w:color="auto"/>
        <w:bottom w:val="none" w:sz="0" w:space="0" w:color="auto"/>
        <w:right w:val="none" w:sz="0" w:space="0" w:color="auto"/>
      </w:divBdr>
    </w:div>
    <w:div w:id="2058317976">
      <w:bodyDiv w:val="1"/>
      <w:marLeft w:val="0"/>
      <w:marRight w:val="0"/>
      <w:marTop w:val="0"/>
      <w:marBottom w:val="0"/>
      <w:divBdr>
        <w:top w:val="none" w:sz="0" w:space="0" w:color="auto"/>
        <w:left w:val="none" w:sz="0" w:space="0" w:color="auto"/>
        <w:bottom w:val="none" w:sz="0" w:space="0" w:color="auto"/>
        <w:right w:val="none" w:sz="0" w:space="0" w:color="auto"/>
      </w:divBdr>
    </w:div>
    <w:div w:id="2058384904">
      <w:bodyDiv w:val="1"/>
      <w:marLeft w:val="0"/>
      <w:marRight w:val="0"/>
      <w:marTop w:val="0"/>
      <w:marBottom w:val="0"/>
      <w:divBdr>
        <w:top w:val="none" w:sz="0" w:space="0" w:color="auto"/>
        <w:left w:val="none" w:sz="0" w:space="0" w:color="auto"/>
        <w:bottom w:val="none" w:sz="0" w:space="0" w:color="auto"/>
        <w:right w:val="none" w:sz="0" w:space="0" w:color="auto"/>
      </w:divBdr>
    </w:div>
    <w:div w:id="2058579337">
      <w:bodyDiv w:val="1"/>
      <w:marLeft w:val="0"/>
      <w:marRight w:val="0"/>
      <w:marTop w:val="0"/>
      <w:marBottom w:val="0"/>
      <w:divBdr>
        <w:top w:val="none" w:sz="0" w:space="0" w:color="auto"/>
        <w:left w:val="none" w:sz="0" w:space="0" w:color="auto"/>
        <w:bottom w:val="none" w:sz="0" w:space="0" w:color="auto"/>
        <w:right w:val="none" w:sz="0" w:space="0" w:color="auto"/>
      </w:divBdr>
    </w:div>
    <w:div w:id="2058582613">
      <w:bodyDiv w:val="1"/>
      <w:marLeft w:val="0"/>
      <w:marRight w:val="0"/>
      <w:marTop w:val="0"/>
      <w:marBottom w:val="0"/>
      <w:divBdr>
        <w:top w:val="none" w:sz="0" w:space="0" w:color="auto"/>
        <w:left w:val="none" w:sz="0" w:space="0" w:color="auto"/>
        <w:bottom w:val="none" w:sz="0" w:space="0" w:color="auto"/>
        <w:right w:val="none" w:sz="0" w:space="0" w:color="auto"/>
      </w:divBdr>
    </w:div>
    <w:div w:id="2058629071">
      <w:bodyDiv w:val="1"/>
      <w:marLeft w:val="0"/>
      <w:marRight w:val="0"/>
      <w:marTop w:val="0"/>
      <w:marBottom w:val="0"/>
      <w:divBdr>
        <w:top w:val="none" w:sz="0" w:space="0" w:color="auto"/>
        <w:left w:val="none" w:sz="0" w:space="0" w:color="auto"/>
        <w:bottom w:val="none" w:sz="0" w:space="0" w:color="auto"/>
        <w:right w:val="none" w:sz="0" w:space="0" w:color="auto"/>
      </w:divBdr>
    </w:div>
    <w:div w:id="2058771091">
      <w:bodyDiv w:val="1"/>
      <w:marLeft w:val="0"/>
      <w:marRight w:val="0"/>
      <w:marTop w:val="0"/>
      <w:marBottom w:val="0"/>
      <w:divBdr>
        <w:top w:val="none" w:sz="0" w:space="0" w:color="auto"/>
        <w:left w:val="none" w:sz="0" w:space="0" w:color="auto"/>
        <w:bottom w:val="none" w:sz="0" w:space="0" w:color="auto"/>
        <w:right w:val="none" w:sz="0" w:space="0" w:color="auto"/>
      </w:divBdr>
    </w:div>
    <w:div w:id="2058779796">
      <w:bodyDiv w:val="1"/>
      <w:marLeft w:val="0"/>
      <w:marRight w:val="0"/>
      <w:marTop w:val="0"/>
      <w:marBottom w:val="0"/>
      <w:divBdr>
        <w:top w:val="none" w:sz="0" w:space="0" w:color="auto"/>
        <w:left w:val="none" w:sz="0" w:space="0" w:color="auto"/>
        <w:bottom w:val="none" w:sz="0" w:space="0" w:color="auto"/>
        <w:right w:val="none" w:sz="0" w:space="0" w:color="auto"/>
      </w:divBdr>
    </w:div>
    <w:div w:id="2058818996">
      <w:bodyDiv w:val="1"/>
      <w:marLeft w:val="0"/>
      <w:marRight w:val="0"/>
      <w:marTop w:val="0"/>
      <w:marBottom w:val="0"/>
      <w:divBdr>
        <w:top w:val="none" w:sz="0" w:space="0" w:color="auto"/>
        <w:left w:val="none" w:sz="0" w:space="0" w:color="auto"/>
        <w:bottom w:val="none" w:sz="0" w:space="0" w:color="auto"/>
        <w:right w:val="none" w:sz="0" w:space="0" w:color="auto"/>
      </w:divBdr>
    </w:div>
    <w:div w:id="2058964747">
      <w:bodyDiv w:val="1"/>
      <w:marLeft w:val="0"/>
      <w:marRight w:val="0"/>
      <w:marTop w:val="0"/>
      <w:marBottom w:val="0"/>
      <w:divBdr>
        <w:top w:val="none" w:sz="0" w:space="0" w:color="auto"/>
        <w:left w:val="none" w:sz="0" w:space="0" w:color="auto"/>
        <w:bottom w:val="none" w:sz="0" w:space="0" w:color="auto"/>
        <w:right w:val="none" w:sz="0" w:space="0" w:color="auto"/>
      </w:divBdr>
    </w:div>
    <w:div w:id="2059083391">
      <w:bodyDiv w:val="1"/>
      <w:marLeft w:val="0"/>
      <w:marRight w:val="0"/>
      <w:marTop w:val="0"/>
      <w:marBottom w:val="0"/>
      <w:divBdr>
        <w:top w:val="none" w:sz="0" w:space="0" w:color="auto"/>
        <w:left w:val="none" w:sz="0" w:space="0" w:color="auto"/>
        <w:bottom w:val="none" w:sz="0" w:space="0" w:color="auto"/>
        <w:right w:val="none" w:sz="0" w:space="0" w:color="auto"/>
      </w:divBdr>
    </w:div>
    <w:div w:id="2059165011">
      <w:bodyDiv w:val="1"/>
      <w:marLeft w:val="0"/>
      <w:marRight w:val="0"/>
      <w:marTop w:val="0"/>
      <w:marBottom w:val="0"/>
      <w:divBdr>
        <w:top w:val="none" w:sz="0" w:space="0" w:color="auto"/>
        <w:left w:val="none" w:sz="0" w:space="0" w:color="auto"/>
        <w:bottom w:val="none" w:sz="0" w:space="0" w:color="auto"/>
        <w:right w:val="none" w:sz="0" w:space="0" w:color="auto"/>
      </w:divBdr>
    </w:div>
    <w:div w:id="2059208814">
      <w:bodyDiv w:val="1"/>
      <w:marLeft w:val="0"/>
      <w:marRight w:val="0"/>
      <w:marTop w:val="0"/>
      <w:marBottom w:val="0"/>
      <w:divBdr>
        <w:top w:val="none" w:sz="0" w:space="0" w:color="auto"/>
        <w:left w:val="none" w:sz="0" w:space="0" w:color="auto"/>
        <w:bottom w:val="none" w:sz="0" w:space="0" w:color="auto"/>
        <w:right w:val="none" w:sz="0" w:space="0" w:color="auto"/>
      </w:divBdr>
    </w:div>
    <w:div w:id="2059237863">
      <w:bodyDiv w:val="1"/>
      <w:marLeft w:val="0"/>
      <w:marRight w:val="0"/>
      <w:marTop w:val="0"/>
      <w:marBottom w:val="0"/>
      <w:divBdr>
        <w:top w:val="none" w:sz="0" w:space="0" w:color="auto"/>
        <w:left w:val="none" w:sz="0" w:space="0" w:color="auto"/>
        <w:bottom w:val="none" w:sz="0" w:space="0" w:color="auto"/>
        <w:right w:val="none" w:sz="0" w:space="0" w:color="auto"/>
      </w:divBdr>
    </w:div>
    <w:div w:id="2059278531">
      <w:bodyDiv w:val="1"/>
      <w:marLeft w:val="0"/>
      <w:marRight w:val="0"/>
      <w:marTop w:val="0"/>
      <w:marBottom w:val="0"/>
      <w:divBdr>
        <w:top w:val="none" w:sz="0" w:space="0" w:color="auto"/>
        <w:left w:val="none" w:sz="0" w:space="0" w:color="auto"/>
        <w:bottom w:val="none" w:sz="0" w:space="0" w:color="auto"/>
        <w:right w:val="none" w:sz="0" w:space="0" w:color="auto"/>
      </w:divBdr>
    </w:div>
    <w:div w:id="2059278703">
      <w:bodyDiv w:val="1"/>
      <w:marLeft w:val="0"/>
      <w:marRight w:val="0"/>
      <w:marTop w:val="0"/>
      <w:marBottom w:val="0"/>
      <w:divBdr>
        <w:top w:val="none" w:sz="0" w:space="0" w:color="auto"/>
        <w:left w:val="none" w:sz="0" w:space="0" w:color="auto"/>
        <w:bottom w:val="none" w:sz="0" w:space="0" w:color="auto"/>
        <w:right w:val="none" w:sz="0" w:space="0" w:color="auto"/>
      </w:divBdr>
    </w:div>
    <w:div w:id="2059427608">
      <w:bodyDiv w:val="1"/>
      <w:marLeft w:val="0"/>
      <w:marRight w:val="0"/>
      <w:marTop w:val="0"/>
      <w:marBottom w:val="0"/>
      <w:divBdr>
        <w:top w:val="none" w:sz="0" w:space="0" w:color="auto"/>
        <w:left w:val="none" w:sz="0" w:space="0" w:color="auto"/>
        <w:bottom w:val="none" w:sz="0" w:space="0" w:color="auto"/>
        <w:right w:val="none" w:sz="0" w:space="0" w:color="auto"/>
      </w:divBdr>
    </w:div>
    <w:div w:id="2059547936">
      <w:bodyDiv w:val="1"/>
      <w:marLeft w:val="0"/>
      <w:marRight w:val="0"/>
      <w:marTop w:val="0"/>
      <w:marBottom w:val="0"/>
      <w:divBdr>
        <w:top w:val="none" w:sz="0" w:space="0" w:color="auto"/>
        <w:left w:val="none" w:sz="0" w:space="0" w:color="auto"/>
        <w:bottom w:val="none" w:sz="0" w:space="0" w:color="auto"/>
        <w:right w:val="none" w:sz="0" w:space="0" w:color="auto"/>
      </w:divBdr>
    </w:div>
    <w:div w:id="2059622632">
      <w:bodyDiv w:val="1"/>
      <w:marLeft w:val="0"/>
      <w:marRight w:val="0"/>
      <w:marTop w:val="0"/>
      <w:marBottom w:val="0"/>
      <w:divBdr>
        <w:top w:val="none" w:sz="0" w:space="0" w:color="auto"/>
        <w:left w:val="none" w:sz="0" w:space="0" w:color="auto"/>
        <w:bottom w:val="none" w:sz="0" w:space="0" w:color="auto"/>
        <w:right w:val="none" w:sz="0" w:space="0" w:color="auto"/>
      </w:divBdr>
    </w:div>
    <w:div w:id="2059739189">
      <w:bodyDiv w:val="1"/>
      <w:marLeft w:val="0"/>
      <w:marRight w:val="0"/>
      <w:marTop w:val="0"/>
      <w:marBottom w:val="0"/>
      <w:divBdr>
        <w:top w:val="none" w:sz="0" w:space="0" w:color="auto"/>
        <w:left w:val="none" w:sz="0" w:space="0" w:color="auto"/>
        <w:bottom w:val="none" w:sz="0" w:space="0" w:color="auto"/>
        <w:right w:val="none" w:sz="0" w:space="0" w:color="auto"/>
      </w:divBdr>
    </w:div>
    <w:div w:id="2059745397">
      <w:bodyDiv w:val="1"/>
      <w:marLeft w:val="0"/>
      <w:marRight w:val="0"/>
      <w:marTop w:val="0"/>
      <w:marBottom w:val="0"/>
      <w:divBdr>
        <w:top w:val="none" w:sz="0" w:space="0" w:color="auto"/>
        <w:left w:val="none" w:sz="0" w:space="0" w:color="auto"/>
        <w:bottom w:val="none" w:sz="0" w:space="0" w:color="auto"/>
        <w:right w:val="none" w:sz="0" w:space="0" w:color="auto"/>
      </w:divBdr>
    </w:div>
    <w:div w:id="2059888441">
      <w:bodyDiv w:val="1"/>
      <w:marLeft w:val="0"/>
      <w:marRight w:val="0"/>
      <w:marTop w:val="0"/>
      <w:marBottom w:val="0"/>
      <w:divBdr>
        <w:top w:val="none" w:sz="0" w:space="0" w:color="auto"/>
        <w:left w:val="none" w:sz="0" w:space="0" w:color="auto"/>
        <w:bottom w:val="none" w:sz="0" w:space="0" w:color="auto"/>
        <w:right w:val="none" w:sz="0" w:space="0" w:color="auto"/>
      </w:divBdr>
    </w:div>
    <w:div w:id="2059938305">
      <w:bodyDiv w:val="1"/>
      <w:marLeft w:val="0"/>
      <w:marRight w:val="0"/>
      <w:marTop w:val="0"/>
      <w:marBottom w:val="0"/>
      <w:divBdr>
        <w:top w:val="none" w:sz="0" w:space="0" w:color="auto"/>
        <w:left w:val="none" w:sz="0" w:space="0" w:color="auto"/>
        <w:bottom w:val="none" w:sz="0" w:space="0" w:color="auto"/>
        <w:right w:val="none" w:sz="0" w:space="0" w:color="auto"/>
      </w:divBdr>
    </w:div>
    <w:div w:id="2060083263">
      <w:bodyDiv w:val="1"/>
      <w:marLeft w:val="0"/>
      <w:marRight w:val="0"/>
      <w:marTop w:val="0"/>
      <w:marBottom w:val="0"/>
      <w:divBdr>
        <w:top w:val="none" w:sz="0" w:space="0" w:color="auto"/>
        <w:left w:val="none" w:sz="0" w:space="0" w:color="auto"/>
        <w:bottom w:val="none" w:sz="0" w:space="0" w:color="auto"/>
        <w:right w:val="none" w:sz="0" w:space="0" w:color="auto"/>
      </w:divBdr>
    </w:div>
    <w:div w:id="2060282190">
      <w:bodyDiv w:val="1"/>
      <w:marLeft w:val="0"/>
      <w:marRight w:val="0"/>
      <w:marTop w:val="0"/>
      <w:marBottom w:val="0"/>
      <w:divBdr>
        <w:top w:val="none" w:sz="0" w:space="0" w:color="auto"/>
        <w:left w:val="none" w:sz="0" w:space="0" w:color="auto"/>
        <w:bottom w:val="none" w:sz="0" w:space="0" w:color="auto"/>
        <w:right w:val="none" w:sz="0" w:space="0" w:color="auto"/>
      </w:divBdr>
    </w:div>
    <w:div w:id="2060283363">
      <w:bodyDiv w:val="1"/>
      <w:marLeft w:val="0"/>
      <w:marRight w:val="0"/>
      <w:marTop w:val="0"/>
      <w:marBottom w:val="0"/>
      <w:divBdr>
        <w:top w:val="none" w:sz="0" w:space="0" w:color="auto"/>
        <w:left w:val="none" w:sz="0" w:space="0" w:color="auto"/>
        <w:bottom w:val="none" w:sz="0" w:space="0" w:color="auto"/>
        <w:right w:val="none" w:sz="0" w:space="0" w:color="auto"/>
      </w:divBdr>
    </w:div>
    <w:div w:id="2060399211">
      <w:bodyDiv w:val="1"/>
      <w:marLeft w:val="0"/>
      <w:marRight w:val="0"/>
      <w:marTop w:val="0"/>
      <w:marBottom w:val="0"/>
      <w:divBdr>
        <w:top w:val="none" w:sz="0" w:space="0" w:color="auto"/>
        <w:left w:val="none" w:sz="0" w:space="0" w:color="auto"/>
        <w:bottom w:val="none" w:sz="0" w:space="0" w:color="auto"/>
        <w:right w:val="none" w:sz="0" w:space="0" w:color="auto"/>
      </w:divBdr>
    </w:div>
    <w:div w:id="2060518253">
      <w:bodyDiv w:val="1"/>
      <w:marLeft w:val="0"/>
      <w:marRight w:val="0"/>
      <w:marTop w:val="0"/>
      <w:marBottom w:val="0"/>
      <w:divBdr>
        <w:top w:val="none" w:sz="0" w:space="0" w:color="auto"/>
        <w:left w:val="none" w:sz="0" w:space="0" w:color="auto"/>
        <w:bottom w:val="none" w:sz="0" w:space="0" w:color="auto"/>
        <w:right w:val="none" w:sz="0" w:space="0" w:color="auto"/>
      </w:divBdr>
    </w:div>
    <w:div w:id="2060589687">
      <w:bodyDiv w:val="1"/>
      <w:marLeft w:val="0"/>
      <w:marRight w:val="0"/>
      <w:marTop w:val="0"/>
      <w:marBottom w:val="0"/>
      <w:divBdr>
        <w:top w:val="none" w:sz="0" w:space="0" w:color="auto"/>
        <w:left w:val="none" w:sz="0" w:space="0" w:color="auto"/>
        <w:bottom w:val="none" w:sz="0" w:space="0" w:color="auto"/>
        <w:right w:val="none" w:sz="0" w:space="0" w:color="auto"/>
      </w:divBdr>
    </w:div>
    <w:div w:id="2060593992">
      <w:bodyDiv w:val="1"/>
      <w:marLeft w:val="0"/>
      <w:marRight w:val="0"/>
      <w:marTop w:val="0"/>
      <w:marBottom w:val="0"/>
      <w:divBdr>
        <w:top w:val="none" w:sz="0" w:space="0" w:color="auto"/>
        <w:left w:val="none" w:sz="0" w:space="0" w:color="auto"/>
        <w:bottom w:val="none" w:sz="0" w:space="0" w:color="auto"/>
        <w:right w:val="none" w:sz="0" w:space="0" w:color="auto"/>
      </w:divBdr>
    </w:div>
    <w:div w:id="2060667378">
      <w:bodyDiv w:val="1"/>
      <w:marLeft w:val="0"/>
      <w:marRight w:val="0"/>
      <w:marTop w:val="0"/>
      <w:marBottom w:val="0"/>
      <w:divBdr>
        <w:top w:val="none" w:sz="0" w:space="0" w:color="auto"/>
        <w:left w:val="none" w:sz="0" w:space="0" w:color="auto"/>
        <w:bottom w:val="none" w:sz="0" w:space="0" w:color="auto"/>
        <w:right w:val="none" w:sz="0" w:space="0" w:color="auto"/>
      </w:divBdr>
    </w:div>
    <w:div w:id="2060745401">
      <w:bodyDiv w:val="1"/>
      <w:marLeft w:val="0"/>
      <w:marRight w:val="0"/>
      <w:marTop w:val="0"/>
      <w:marBottom w:val="0"/>
      <w:divBdr>
        <w:top w:val="none" w:sz="0" w:space="0" w:color="auto"/>
        <w:left w:val="none" w:sz="0" w:space="0" w:color="auto"/>
        <w:bottom w:val="none" w:sz="0" w:space="0" w:color="auto"/>
        <w:right w:val="none" w:sz="0" w:space="0" w:color="auto"/>
      </w:divBdr>
    </w:div>
    <w:div w:id="2060780073">
      <w:bodyDiv w:val="1"/>
      <w:marLeft w:val="0"/>
      <w:marRight w:val="0"/>
      <w:marTop w:val="0"/>
      <w:marBottom w:val="0"/>
      <w:divBdr>
        <w:top w:val="none" w:sz="0" w:space="0" w:color="auto"/>
        <w:left w:val="none" w:sz="0" w:space="0" w:color="auto"/>
        <w:bottom w:val="none" w:sz="0" w:space="0" w:color="auto"/>
        <w:right w:val="none" w:sz="0" w:space="0" w:color="auto"/>
      </w:divBdr>
    </w:div>
    <w:div w:id="2060782776">
      <w:bodyDiv w:val="1"/>
      <w:marLeft w:val="0"/>
      <w:marRight w:val="0"/>
      <w:marTop w:val="0"/>
      <w:marBottom w:val="0"/>
      <w:divBdr>
        <w:top w:val="none" w:sz="0" w:space="0" w:color="auto"/>
        <w:left w:val="none" w:sz="0" w:space="0" w:color="auto"/>
        <w:bottom w:val="none" w:sz="0" w:space="0" w:color="auto"/>
        <w:right w:val="none" w:sz="0" w:space="0" w:color="auto"/>
      </w:divBdr>
    </w:div>
    <w:div w:id="2060784117">
      <w:bodyDiv w:val="1"/>
      <w:marLeft w:val="0"/>
      <w:marRight w:val="0"/>
      <w:marTop w:val="0"/>
      <w:marBottom w:val="0"/>
      <w:divBdr>
        <w:top w:val="none" w:sz="0" w:space="0" w:color="auto"/>
        <w:left w:val="none" w:sz="0" w:space="0" w:color="auto"/>
        <w:bottom w:val="none" w:sz="0" w:space="0" w:color="auto"/>
        <w:right w:val="none" w:sz="0" w:space="0" w:color="auto"/>
      </w:divBdr>
    </w:div>
    <w:div w:id="2060784652">
      <w:bodyDiv w:val="1"/>
      <w:marLeft w:val="0"/>
      <w:marRight w:val="0"/>
      <w:marTop w:val="0"/>
      <w:marBottom w:val="0"/>
      <w:divBdr>
        <w:top w:val="none" w:sz="0" w:space="0" w:color="auto"/>
        <w:left w:val="none" w:sz="0" w:space="0" w:color="auto"/>
        <w:bottom w:val="none" w:sz="0" w:space="0" w:color="auto"/>
        <w:right w:val="none" w:sz="0" w:space="0" w:color="auto"/>
      </w:divBdr>
    </w:div>
    <w:div w:id="2060785312">
      <w:bodyDiv w:val="1"/>
      <w:marLeft w:val="0"/>
      <w:marRight w:val="0"/>
      <w:marTop w:val="0"/>
      <w:marBottom w:val="0"/>
      <w:divBdr>
        <w:top w:val="none" w:sz="0" w:space="0" w:color="auto"/>
        <w:left w:val="none" w:sz="0" w:space="0" w:color="auto"/>
        <w:bottom w:val="none" w:sz="0" w:space="0" w:color="auto"/>
        <w:right w:val="none" w:sz="0" w:space="0" w:color="auto"/>
      </w:divBdr>
    </w:div>
    <w:div w:id="2060855537">
      <w:bodyDiv w:val="1"/>
      <w:marLeft w:val="0"/>
      <w:marRight w:val="0"/>
      <w:marTop w:val="0"/>
      <w:marBottom w:val="0"/>
      <w:divBdr>
        <w:top w:val="none" w:sz="0" w:space="0" w:color="auto"/>
        <w:left w:val="none" w:sz="0" w:space="0" w:color="auto"/>
        <w:bottom w:val="none" w:sz="0" w:space="0" w:color="auto"/>
        <w:right w:val="none" w:sz="0" w:space="0" w:color="auto"/>
      </w:divBdr>
    </w:div>
    <w:div w:id="2060860432">
      <w:bodyDiv w:val="1"/>
      <w:marLeft w:val="0"/>
      <w:marRight w:val="0"/>
      <w:marTop w:val="0"/>
      <w:marBottom w:val="0"/>
      <w:divBdr>
        <w:top w:val="none" w:sz="0" w:space="0" w:color="auto"/>
        <w:left w:val="none" w:sz="0" w:space="0" w:color="auto"/>
        <w:bottom w:val="none" w:sz="0" w:space="0" w:color="auto"/>
        <w:right w:val="none" w:sz="0" w:space="0" w:color="auto"/>
      </w:divBdr>
    </w:div>
    <w:div w:id="2060931322">
      <w:bodyDiv w:val="1"/>
      <w:marLeft w:val="0"/>
      <w:marRight w:val="0"/>
      <w:marTop w:val="0"/>
      <w:marBottom w:val="0"/>
      <w:divBdr>
        <w:top w:val="none" w:sz="0" w:space="0" w:color="auto"/>
        <w:left w:val="none" w:sz="0" w:space="0" w:color="auto"/>
        <w:bottom w:val="none" w:sz="0" w:space="0" w:color="auto"/>
        <w:right w:val="none" w:sz="0" w:space="0" w:color="auto"/>
      </w:divBdr>
    </w:div>
    <w:div w:id="2060935183">
      <w:bodyDiv w:val="1"/>
      <w:marLeft w:val="0"/>
      <w:marRight w:val="0"/>
      <w:marTop w:val="0"/>
      <w:marBottom w:val="0"/>
      <w:divBdr>
        <w:top w:val="none" w:sz="0" w:space="0" w:color="auto"/>
        <w:left w:val="none" w:sz="0" w:space="0" w:color="auto"/>
        <w:bottom w:val="none" w:sz="0" w:space="0" w:color="auto"/>
        <w:right w:val="none" w:sz="0" w:space="0" w:color="auto"/>
      </w:divBdr>
    </w:div>
    <w:div w:id="2061249679">
      <w:bodyDiv w:val="1"/>
      <w:marLeft w:val="0"/>
      <w:marRight w:val="0"/>
      <w:marTop w:val="0"/>
      <w:marBottom w:val="0"/>
      <w:divBdr>
        <w:top w:val="none" w:sz="0" w:space="0" w:color="auto"/>
        <w:left w:val="none" w:sz="0" w:space="0" w:color="auto"/>
        <w:bottom w:val="none" w:sz="0" w:space="0" w:color="auto"/>
        <w:right w:val="none" w:sz="0" w:space="0" w:color="auto"/>
      </w:divBdr>
    </w:div>
    <w:div w:id="2061317833">
      <w:bodyDiv w:val="1"/>
      <w:marLeft w:val="0"/>
      <w:marRight w:val="0"/>
      <w:marTop w:val="0"/>
      <w:marBottom w:val="0"/>
      <w:divBdr>
        <w:top w:val="none" w:sz="0" w:space="0" w:color="auto"/>
        <w:left w:val="none" w:sz="0" w:space="0" w:color="auto"/>
        <w:bottom w:val="none" w:sz="0" w:space="0" w:color="auto"/>
        <w:right w:val="none" w:sz="0" w:space="0" w:color="auto"/>
      </w:divBdr>
    </w:div>
    <w:div w:id="2061324226">
      <w:bodyDiv w:val="1"/>
      <w:marLeft w:val="0"/>
      <w:marRight w:val="0"/>
      <w:marTop w:val="0"/>
      <w:marBottom w:val="0"/>
      <w:divBdr>
        <w:top w:val="none" w:sz="0" w:space="0" w:color="auto"/>
        <w:left w:val="none" w:sz="0" w:space="0" w:color="auto"/>
        <w:bottom w:val="none" w:sz="0" w:space="0" w:color="auto"/>
        <w:right w:val="none" w:sz="0" w:space="0" w:color="auto"/>
      </w:divBdr>
    </w:div>
    <w:div w:id="2061517623">
      <w:bodyDiv w:val="1"/>
      <w:marLeft w:val="0"/>
      <w:marRight w:val="0"/>
      <w:marTop w:val="0"/>
      <w:marBottom w:val="0"/>
      <w:divBdr>
        <w:top w:val="none" w:sz="0" w:space="0" w:color="auto"/>
        <w:left w:val="none" w:sz="0" w:space="0" w:color="auto"/>
        <w:bottom w:val="none" w:sz="0" w:space="0" w:color="auto"/>
        <w:right w:val="none" w:sz="0" w:space="0" w:color="auto"/>
      </w:divBdr>
    </w:div>
    <w:div w:id="2061635436">
      <w:bodyDiv w:val="1"/>
      <w:marLeft w:val="0"/>
      <w:marRight w:val="0"/>
      <w:marTop w:val="0"/>
      <w:marBottom w:val="0"/>
      <w:divBdr>
        <w:top w:val="none" w:sz="0" w:space="0" w:color="auto"/>
        <w:left w:val="none" w:sz="0" w:space="0" w:color="auto"/>
        <w:bottom w:val="none" w:sz="0" w:space="0" w:color="auto"/>
        <w:right w:val="none" w:sz="0" w:space="0" w:color="auto"/>
      </w:divBdr>
    </w:div>
    <w:div w:id="2061853616">
      <w:bodyDiv w:val="1"/>
      <w:marLeft w:val="0"/>
      <w:marRight w:val="0"/>
      <w:marTop w:val="0"/>
      <w:marBottom w:val="0"/>
      <w:divBdr>
        <w:top w:val="none" w:sz="0" w:space="0" w:color="auto"/>
        <w:left w:val="none" w:sz="0" w:space="0" w:color="auto"/>
        <w:bottom w:val="none" w:sz="0" w:space="0" w:color="auto"/>
        <w:right w:val="none" w:sz="0" w:space="0" w:color="auto"/>
      </w:divBdr>
    </w:div>
    <w:div w:id="2061854142">
      <w:bodyDiv w:val="1"/>
      <w:marLeft w:val="0"/>
      <w:marRight w:val="0"/>
      <w:marTop w:val="0"/>
      <w:marBottom w:val="0"/>
      <w:divBdr>
        <w:top w:val="none" w:sz="0" w:space="0" w:color="auto"/>
        <w:left w:val="none" w:sz="0" w:space="0" w:color="auto"/>
        <w:bottom w:val="none" w:sz="0" w:space="0" w:color="auto"/>
        <w:right w:val="none" w:sz="0" w:space="0" w:color="auto"/>
      </w:divBdr>
    </w:div>
    <w:div w:id="2061899311">
      <w:bodyDiv w:val="1"/>
      <w:marLeft w:val="0"/>
      <w:marRight w:val="0"/>
      <w:marTop w:val="0"/>
      <w:marBottom w:val="0"/>
      <w:divBdr>
        <w:top w:val="none" w:sz="0" w:space="0" w:color="auto"/>
        <w:left w:val="none" w:sz="0" w:space="0" w:color="auto"/>
        <w:bottom w:val="none" w:sz="0" w:space="0" w:color="auto"/>
        <w:right w:val="none" w:sz="0" w:space="0" w:color="auto"/>
      </w:divBdr>
    </w:div>
    <w:div w:id="2061905270">
      <w:bodyDiv w:val="1"/>
      <w:marLeft w:val="0"/>
      <w:marRight w:val="0"/>
      <w:marTop w:val="0"/>
      <w:marBottom w:val="0"/>
      <w:divBdr>
        <w:top w:val="none" w:sz="0" w:space="0" w:color="auto"/>
        <w:left w:val="none" w:sz="0" w:space="0" w:color="auto"/>
        <w:bottom w:val="none" w:sz="0" w:space="0" w:color="auto"/>
        <w:right w:val="none" w:sz="0" w:space="0" w:color="auto"/>
      </w:divBdr>
    </w:div>
    <w:div w:id="2061905537">
      <w:bodyDiv w:val="1"/>
      <w:marLeft w:val="0"/>
      <w:marRight w:val="0"/>
      <w:marTop w:val="0"/>
      <w:marBottom w:val="0"/>
      <w:divBdr>
        <w:top w:val="none" w:sz="0" w:space="0" w:color="auto"/>
        <w:left w:val="none" w:sz="0" w:space="0" w:color="auto"/>
        <w:bottom w:val="none" w:sz="0" w:space="0" w:color="auto"/>
        <w:right w:val="none" w:sz="0" w:space="0" w:color="auto"/>
      </w:divBdr>
    </w:div>
    <w:div w:id="2062164747">
      <w:bodyDiv w:val="1"/>
      <w:marLeft w:val="0"/>
      <w:marRight w:val="0"/>
      <w:marTop w:val="0"/>
      <w:marBottom w:val="0"/>
      <w:divBdr>
        <w:top w:val="none" w:sz="0" w:space="0" w:color="auto"/>
        <w:left w:val="none" w:sz="0" w:space="0" w:color="auto"/>
        <w:bottom w:val="none" w:sz="0" w:space="0" w:color="auto"/>
        <w:right w:val="none" w:sz="0" w:space="0" w:color="auto"/>
      </w:divBdr>
    </w:div>
    <w:div w:id="2062170957">
      <w:bodyDiv w:val="1"/>
      <w:marLeft w:val="0"/>
      <w:marRight w:val="0"/>
      <w:marTop w:val="0"/>
      <w:marBottom w:val="0"/>
      <w:divBdr>
        <w:top w:val="none" w:sz="0" w:space="0" w:color="auto"/>
        <w:left w:val="none" w:sz="0" w:space="0" w:color="auto"/>
        <w:bottom w:val="none" w:sz="0" w:space="0" w:color="auto"/>
        <w:right w:val="none" w:sz="0" w:space="0" w:color="auto"/>
      </w:divBdr>
    </w:div>
    <w:div w:id="2062319338">
      <w:bodyDiv w:val="1"/>
      <w:marLeft w:val="0"/>
      <w:marRight w:val="0"/>
      <w:marTop w:val="0"/>
      <w:marBottom w:val="0"/>
      <w:divBdr>
        <w:top w:val="none" w:sz="0" w:space="0" w:color="auto"/>
        <w:left w:val="none" w:sz="0" w:space="0" w:color="auto"/>
        <w:bottom w:val="none" w:sz="0" w:space="0" w:color="auto"/>
        <w:right w:val="none" w:sz="0" w:space="0" w:color="auto"/>
      </w:divBdr>
    </w:div>
    <w:div w:id="2062364039">
      <w:bodyDiv w:val="1"/>
      <w:marLeft w:val="0"/>
      <w:marRight w:val="0"/>
      <w:marTop w:val="0"/>
      <w:marBottom w:val="0"/>
      <w:divBdr>
        <w:top w:val="none" w:sz="0" w:space="0" w:color="auto"/>
        <w:left w:val="none" w:sz="0" w:space="0" w:color="auto"/>
        <w:bottom w:val="none" w:sz="0" w:space="0" w:color="auto"/>
        <w:right w:val="none" w:sz="0" w:space="0" w:color="auto"/>
      </w:divBdr>
    </w:div>
    <w:div w:id="2062557929">
      <w:bodyDiv w:val="1"/>
      <w:marLeft w:val="0"/>
      <w:marRight w:val="0"/>
      <w:marTop w:val="0"/>
      <w:marBottom w:val="0"/>
      <w:divBdr>
        <w:top w:val="none" w:sz="0" w:space="0" w:color="auto"/>
        <w:left w:val="none" w:sz="0" w:space="0" w:color="auto"/>
        <w:bottom w:val="none" w:sz="0" w:space="0" w:color="auto"/>
        <w:right w:val="none" w:sz="0" w:space="0" w:color="auto"/>
      </w:divBdr>
    </w:div>
    <w:div w:id="2062626707">
      <w:bodyDiv w:val="1"/>
      <w:marLeft w:val="0"/>
      <w:marRight w:val="0"/>
      <w:marTop w:val="0"/>
      <w:marBottom w:val="0"/>
      <w:divBdr>
        <w:top w:val="none" w:sz="0" w:space="0" w:color="auto"/>
        <w:left w:val="none" w:sz="0" w:space="0" w:color="auto"/>
        <w:bottom w:val="none" w:sz="0" w:space="0" w:color="auto"/>
        <w:right w:val="none" w:sz="0" w:space="0" w:color="auto"/>
      </w:divBdr>
    </w:div>
    <w:div w:id="2062627750">
      <w:bodyDiv w:val="1"/>
      <w:marLeft w:val="0"/>
      <w:marRight w:val="0"/>
      <w:marTop w:val="0"/>
      <w:marBottom w:val="0"/>
      <w:divBdr>
        <w:top w:val="none" w:sz="0" w:space="0" w:color="auto"/>
        <w:left w:val="none" w:sz="0" w:space="0" w:color="auto"/>
        <w:bottom w:val="none" w:sz="0" w:space="0" w:color="auto"/>
        <w:right w:val="none" w:sz="0" w:space="0" w:color="auto"/>
      </w:divBdr>
    </w:div>
    <w:div w:id="2062896559">
      <w:bodyDiv w:val="1"/>
      <w:marLeft w:val="0"/>
      <w:marRight w:val="0"/>
      <w:marTop w:val="0"/>
      <w:marBottom w:val="0"/>
      <w:divBdr>
        <w:top w:val="none" w:sz="0" w:space="0" w:color="auto"/>
        <w:left w:val="none" w:sz="0" w:space="0" w:color="auto"/>
        <w:bottom w:val="none" w:sz="0" w:space="0" w:color="auto"/>
        <w:right w:val="none" w:sz="0" w:space="0" w:color="auto"/>
      </w:divBdr>
    </w:div>
    <w:div w:id="2062901316">
      <w:bodyDiv w:val="1"/>
      <w:marLeft w:val="0"/>
      <w:marRight w:val="0"/>
      <w:marTop w:val="0"/>
      <w:marBottom w:val="0"/>
      <w:divBdr>
        <w:top w:val="none" w:sz="0" w:space="0" w:color="auto"/>
        <w:left w:val="none" w:sz="0" w:space="0" w:color="auto"/>
        <w:bottom w:val="none" w:sz="0" w:space="0" w:color="auto"/>
        <w:right w:val="none" w:sz="0" w:space="0" w:color="auto"/>
      </w:divBdr>
    </w:div>
    <w:div w:id="2062945368">
      <w:bodyDiv w:val="1"/>
      <w:marLeft w:val="0"/>
      <w:marRight w:val="0"/>
      <w:marTop w:val="0"/>
      <w:marBottom w:val="0"/>
      <w:divBdr>
        <w:top w:val="none" w:sz="0" w:space="0" w:color="auto"/>
        <w:left w:val="none" w:sz="0" w:space="0" w:color="auto"/>
        <w:bottom w:val="none" w:sz="0" w:space="0" w:color="auto"/>
        <w:right w:val="none" w:sz="0" w:space="0" w:color="auto"/>
      </w:divBdr>
    </w:div>
    <w:div w:id="2063092348">
      <w:bodyDiv w:val="1"/>
      <w:marLeft w:val="0"/>
      <w:marRight w:val="0"/>
      <w:marTop w:val="0"/>
      <w:marBottom w:val="0"/>
      <w:divBdr>
        <w:top w:val="none" w:sz="0" w:space="0" w:color="auto"/>
        <w:left w:val="none" w:sz="0" w:space="0" w:color="auto"/>
        <w:bottom w:val="none" w:sz="0" w:space="0" w:color="auto"/>
        <w:right w:val="none" w:sz="0" w:space="0" w:color="auto"/>
      </w:divBdr>
    </w:div>
    <w:div w:id="2063097221">
      <w:bodyDiv w:val="1"/>
      <w:marLeft w:val="0"/>
      <w:marRight w:val="0"/>
      <w:marTop w:val="0"/>
      <w:marBottom w:val="0"/>
      <w:divBdr>
        <w:top w:val="none" w:sz="0" w:space="0" w:color="auto"/>
        <w:left w:val="none" w:sz="0" w:space="0" w:color="auto"/>
        <w:bottom w:val="none" w:sz="0" w:space="0" w:color="auto"/>
        <w:right w:val="none" w:sz="0" w:space="0" w:color="auto"/>
      </w:divBdr>
    </w:div>
    <w:div w:id="2063098449">
      <w:bodyDiv w:val="1"/>
      <w:marLeft w:val="0"/>
      <w:marRight w:val="0"/>
      <w:marTop w:val="0"/>
      <w:marBottom w:val="0"/>
      <w:divBdr>
        <w:top w:val="none" w:sz="0" w:space="0" w:color="auto"/>
        <w:left w:val="none" w:sz="0" w:space="0" w:color="auto"/>
        <w:bottom w:val="none" w:sz="0" w:space="0" w:color="auto"/>
        <w:right w:val="none" w:sz="0" w:space="0" w:color="auto"/>
      </w:divBdr>
    </w:div>
    <w:div w:id="2063170610">
      <w:bodyDiv w:val="1"/>
      <w:marLeft w:val="0"/>
      <w:marRight w:val="0"/>
      <w:marTop w:val="0"/>
      <w:marBottom w:val="0"/>
      <w:divBdr>
        <w:top w:val="none" w:sz="0" w:space="0" w:color="auto"/>
        <w:left w:val="none" w:sz="0" w:space="0" w:color="auto"/>
        <w:bottom w:val="none" w:sz="0" w:space="0" w:color="auto"/>
        <w:right w:val="none" w:sz="0" w:space="0" w:color="auto"/>
      </w:divBdr>
    </w:div>
    <w:div w:id="2063210213">
      <w:bodyDiv w:val="1"/>
      <w:marLeft w:val="0"/>
      <w:marRight w:val="0"/>
      <w:marTop w:val="0"/>
      <w:marBottom w:val="0"/>
      <w:divBdr>
        <w:top w:val="none" w:sz="0" w:space="0" w:color="auto"/>
        <w:left w:val="none" w:sz="0" w:space="0" w:color="auto"/>
        <w:bottom w:val="none" w:sz="0" w:space="0" w:color="auto"/>
        <w:right w:val="none" w:sz="0" w:space="0" w:color="auto"/>
      </w:divBdr>
    </w:div>
    <w:div w:id="2063484643">
      <w:bodyDiv w:val="1"/>
      <w:marLeft w:val="0"/>
      <w:marRight w:val="0"/>
      <w:marTop w:val="0"/>
      <w:marBottom w:val="0"/>
      <w:divBdr>
        <w:top w:val="none" w:sz="0" w:space="0" w:color="auto"/>
        <w:left w:val="none" w:sz="0" w:space="0" w:color="auto"/>
        <w:bottom w:val="none" w:sz="0" w:space="0" w:color="auto"/>
        <w:right w:val="none" w:sz="0" w:space="0" w:color="auto"/>
      </w:divBdr>
    </w:div>
    <w:div w:id="2063553636">
      <w:bodyDiv w:val="1"/>
      <w:marLeft w:val="0"/>
      <w:marRight w:val="0"/>
      <w:marTop w:val="0"/>
      <w:marBottom w:val="0"/>
      <w:divBdr>
        <w:top w:val="none" w:sz="0" w:space="0" w:color="auto"/>
        <w:left w:val="none" w:sz="0" w:space="0" w:color="auto"/>
        <w:bottom w:val="none" w:sz="0" w:space="0" w:color="auto"/>
        <w:right w:val="none" w:sz="0" w:space="0" w:color="auto"/>
      </w:divBdr>
    </w:div>
    <w:div w:id="2063748761">
      <w:bodyDiv w:val="1"/>
      <w:marLeft w:val="0"/>
      <w:marRight w:val="0"/>
      <w:marTop w:val="0"/>
      <w:marBottom w:val="0"/>
      <w:divBdr>
        <w:top w:val="none" w:sz="0" w:space="0" w:color="auto"/>
        <w:left w:val="none" w:sz="0" w:space="0" w:color="auto"/>
        <w:bottom w:val="none" w:sz="0" w:space="0" w:color="auto"/>
        <w:right w:val="none" w:sz="0" w:space="0" w:color="auto"/>
      </w:divBdr>
    </w:div>
    <w:div w:id="2063867139">
      <w:bodyDiv w:val="1"/>
      <w:marLeft w:val="0"/>
      <w:marRight w:val="0"/>
      <w:marTop w:val="0"/>
      <w:marBottom w:val="0"/>
      <w:divBdr>
        <w:top w:val="none" w:sz="0" w:space="0" w:color="auto"/>
        <w:left w:val="none" w:sz="0" w:space="0" w:color="auto"/>
        <w:bottom w:val="none" w:sz="0" w:space="0" w:color="auto"/>
        <w:right w:val="none" w:sz="0" w:space="0" w:color="auto"/>
      </w:divBdr>
    </w:div>
    <w:div w:id="2063940040">
      <w:bodyDiv w:val="1"/>
      <w:marLeft w:val="0"/>
      <w:marRight w:val="0"/>
      <w:marTop w:val="0"/>
      <w:marBottom w:val="0"/>
      <w:divBdr>
        <w:top w:val="none" w:sz="0" w:space="0" w:color="auto"/>
        <w:left w:val="none" w:sz="0" w:space="0" w:color="auto"/>
        <w:bottom w:val="none" w:sz="0" w:space="0" w:color="auto"/>
        <w:right w:val="none" w:sz="0" w:space="0" w:color="auto"/>
      </w:divBdr>
    </w:div>
    <w:div w:id="2063940641">
      <w:bodyDiv w:val="1"/>
      <w:marLeft w:val="0"/>
      <w:marRight w:val="0"/>
      <w:marTop w:val="0"/>
      <w:marBottom w:val="0"/>
      <w:divBdr>
        <w:top w:val="none" w:sz="0" w:space="0" w:color="auto"/>
        <w:left w:val="none" w:sz="0" w:space="0" w:color="auto"/>
        <w:bottom w:val="none" w:sz="0" w:space="0" w:color="auto"/>
        <w:right w:val="none" w:sz="0" w:space="0" w:color="auto"/>
      </w:divBdr>
    </w:div>
    <w:div w:id="2064012923">
      <w:bodyDiv w:val="1"/>
      <w:marLeft w:val="0"/>
      <w:marRight w:val="0"/>
      <w:marTop w:val="0"/>
      <w:marBottom w:val="0"/>
      <w:divBdr>
        <w:top w:val="none" w:sz="0" w:space="0" w:color="auto"/>
        <w:left w:val="none" w:sz="0" w:space="0" w:color="auto"/>
        <w:bottom w:val="none" w:sz="0" w:space="0" w:color="auto"/>
        <w:right w:val="none" w:sz="0" w:space="0" w:color="auto"/>
      </w:divBdr>
    </w:div>
    <w:div w:id="2064207146">
      <w:bodyDiv w:val="1"/>
      <w:marLeft w:val="0"/>
      <w:marRight w:val="0"/>
      <w:marTop w:val="0"/>
      <w:marBottom w:val="0"/>
      <w:divBdr>
        <w:top w:val="none" w:sz="0" w:space="0" w:color="auto"/>
        <w:left w:val="none" w:sz="0" w:space="0" w:color="auto"/>
        <w:bottom w:val="none" w:sz="0" w:space="0" w:color="auto"/>
        <w:right w:val="none" w:sz="0" w:space="0" w:color="auto"/>
      </w:divBdr>
    </w:div>
    <w:div w:id="2064400476">
      <w:bodyDiv w:val="1"/>
      <w:marLeft w:val="0"/>
      <w:marRight w:val="0"/>
      <w:marTop w:val="0"/>
      <w:marBottom w:val="0"/>
      <w:divBdr>
        <w:top w:val="none" w:sz="0" w:space="0" w:color="auto"/>
        <w:left w:val="none" w:sz="0" w:space="0" w:color="auto"/>
        <w:bottom w:val="none" w:sz="0" w:space="0" w:color="auto"/>
        <w:right w:val="none" w:sz="0" w:space="0" w:color="auto"/>
      </w:divBdr>
    </w:div>
    <w:div w:id="2064478178">
      <w:bodyDiv w:val="1"/>
      <w:marLeft w:val="0"/>
      <w:marRight w:val="0"/>
      <w:marTop w:val="0"/>
      <w:marBottom w:val="0"/>
      <w:divBdr>
        <w:top w:val="none" w:sz="0" w:space="0" w:color="auto"/>
        <w:left w:val="none" w:sz="0" w:space="0" w:color="auto"/>
        <w:bottom w:val="none" w:sz="0" w:space="0" w:color="auto"/>
        <w:right w:val="none" w:sz="0" w:space="0" w:color="auto"/>
      </w:divBdr>
    </w:div>
    <w:div w:id="2064673157">
      <w:bodyDiv w:val="1"/>
      <w:marLeft w:val="0"/>
      <w:marRight w:val="0"/>
      <w:marTop w:val="0"/>
      <w:marBottom w:val="0"/>
      <w:divBdr>
        <w:top w:val="none" w:sz="0" w:space="0" w:color="auto"/>
        <w:left w:val="none" w:sz="0" w:space="0" w:color="auto"/>
        <w:bottom w:val="none" w:sz="0" w:space="0" w:color="auto"/>
        <w:right w:val="none" w:sz="0" w:space="0" w:color="auto"/>
      </w:divBdr>
    </w:div>
    <w:div w:id="2064674455">
      <w:bodyDiv w:val="1"/>
      <w:marLeft w:val="0"/>
      <w:marRight w:val="0"/>
      <w:marTop w:val="0"/>
      <w:marBottom w:val="0"/>
      <w:divBdr>
        <w:top w:val="none" w:sz="0" w:space="0" w:color="auto"/>
        <w:left w:val="none" w:sz="0" w:space="0" w:color="auto"/>
        <w:bottom w:val="none" w:sz="0" w:space="0" w:color="auto"/>
        <w:right w:val="none" w:sz="0" w:space="0" w:color="auto"/>
      </w:divBdr>
    </w:div>
    <w:div w:id="2064718640">
      <w:bodyDiv w:val="1"/>
      <w:marLeft w:val="0"/>
      <w:marRight w:val="0"/>
      <w:marTop w:val="0"/>
      <w:marBottom w:val="0"/>
      <w:divBdr>
        <w:top w:val="none" w:sz="0" w:space="0" w:color="auto"/>
        <w:left w:val="none" w:sz="0" w:space="0" w:color="auto"/>
        <w:bottom w:val="none" w:sz="0" w:space="0" w:color="auto"/>
        <w:right w:val="none" w:sz="0" w:space="0" w:color="auto"/>
      </w:divBdr>
    </w:div>
    <w:div w:id="2064979664">
      <w:bodyDiv w:val="1"/>
      <w:marLeft w:val="0"/>
      <w:marRight w:val="0"/>
      <w:marTop w:val="0"/>
      <w:marBottom w:val="0"/>
      <w:divBdr>
        <w:top w:val="none" w:sz="0" w:space="0" w:color="auto"/>
        <w:left w:val="none" w:sz="0" w:space="0" w:color="auto"/>
        <w:bottom w:val="none" w:sz="0" w:space="0" w:color="auto"/>
        <w:right w:val="none" w:sz="0" w:space="0" w:color="auto"/>
      </w:divBdr>
    </w:div>
    <w:div w:id="2064986024">
      <w:bodyDiv w:val="1"/>
      <w:marLeft w:val="0"/>
      <w:marRight w:val="0"/>
      <w:marTop w:val="0"/>
      <w:marBottom w:val="0"/>
      <w:divBdr>
        <w:top w:val="none" w:sz="0" w:space="0" w:color="auto"/>
        <w:left w:val="none" w:sz="0" w:space="0" w:color="auto"/>
        <w:bottom w:val="none" w:sz="0" w:space="0" w:color="auto"/>
        <w:right w:val="none" w:sz="0" w:space="0" w:color="auto"/>
      </w:divBdr>
    </w:div>
    <w:div w:id="2065063448">
      <w:bodyDiv w:val="1"/>
      <w:marLeft w:val="0"/>
      <w:marRight w:val="0"/>
      <w:marTop w:val="0"/>
      <w:marBottom w:val="0"/>
      <w:divBdr>
        <w:top w:val="none" w:sz="0" w:space="0" w:color="auto"/>
        <w:left w:val="none" w:sz="0" w:space="0" w:color="auto"/>
        <w:bottom w:val="none" w:sz="0" w:space="0" w:color="auto"/>
        <w:right w:val="none" w:sz="0" w:space="0" w:color="auto"/>
      </w:divBdr>
    </w:div>
    <w:div w:id="2065175688">
      <w:bodyDiv w:val="1"/>
      <w:marLeft w:val="0"/>
      <w:marRight w:val="0"/>
      <w:marTop w:val="0"/>
      <w:marBottom w:val="0"/>
      <w:divBdr>
        <w:top w:val="none" w:sz="0" w:space="0" w:color="auto"/>
        <w:left w:val="none" w:sz="0" w:space="0" w:color="auto"/>
        <w:bottom w:val="none" w:sz="0" w:space="0" w:color="auto"/>
        <w:right w:val="none" w:sz="0" w:space="0" w:color="auto"/>
      </w:divBdr>
    </w:div>
    <w:div w:id="2065523394">
      <w:bodyDiv w:val="1"/>
      <w:marLeft w:val="0"/>
      <w:marRight w:val="0"/>
      <w:marTop w:val="0"/>
      <w:marBottom w:val="0"/>
      <w:divBdr>
        <w:top w:val="none" w:sz="0" w:space="0" w:color="auto"/>
        <w:left w:val="none" w:sz="0" w:space="0" w:color="auto"/>
        <w:bottom w:val="none" w:sz="0" w:space="0" w:color="auto"/>
        <w:right w:val="none" w:sz="0" w:space="0" w:color="auto"/>
      </w:divBdr>
    </w:div>
    <w:div w:id="2065594409">
      <w:bodyDiv w:val="1"/>
      <w:marLeft w:val="0"/>
      <w:marRight w:val="0"/>
      <w:marTop w:val="0"/>
      <w:marBottom w:val="0"/>
      <w:divBdr>
        <w:top w:val="none" w:sz="0" w:space="0" w:color="auto"/>
        <w:left w:val="none" w:sz="0" w:space="0" w:color="auto"/>
        <w:bottom w:val="none" w:sz="0" w:space="0" w:color="auto"/>
        <w:right w:val="none" w:sz="0" w:space="0" w:color="auto"/>
      </w:divBdr>
    </w:div>
    <w:div w:id="2065641313">
      <w:bodyDiv w:val="1"/>
      <w:marLeft w:val="0"/>
      <w:marRight w:val="0"/>
      <w:marTop w:val="0"/>
      <w:marBottom w:val="0"/>
      <w:divBdr>
        <w:top w:val="none" w:sz="0" w:space="0" w:color="auto"/>
        <w:left w:val="none" w:sz="0" w:space="0" w:color="auto"/>
        <w:bottom w:val="none" w:sz="0" w:space="0" w:color="auto"/>
        <w:right w:val="none" w:sz="0" w:space="0" w:color="auto"/>
      </w:divBdr>
    </w:div>
    <w:div w:id="2065714024">
      <w:bodyDiv w:val="1"/>
      <w:marLeft w:val="0"/>
      <w:marRight w:val="0"/>
      <w:marTop w:val="0"/>
      <w:marBottom w:val="0"/>
      <w:divBdr>
        <w:top w:val="none" w:sz="0" w:space="0" w:color="auto"/>
        <w:left w:val="none" w:sz="0" w:space="0" w:color="auto"/>
        <w:bottom w:val="none" w:sz="0" w:space="0" w:color="auto"/>
        <w:right w:val="none" w:sz="0" w:space="0" w:color="auto"/>
      </w:divBdr>
    </w:div>
    <w:div w:id="2065785294">
      <w:bodyDiv w:val="1"/>
      <w:marLeft w:val="0"/>
      <w:marRight w:val="0"/>
      <w:marTop w:val="0"/>
      <w:marBottom w:val="0"/>
      <w:divBdr>
        <w:top w:val="none" w:sz="0" w:space="0" w:color="auto"/>
        <w:left w:val="none" w:sz="0" w:space="0" w:color="auto"/>
        <w:bottom w:val="none" w:sz="0" w:space="0" w:color="auto"/>
        <w:right w:val="none" w:sz="0" w:space="0" w:color="auto"/>
      </w:divBdr>
    </w:div>
    <w:div w:id="2065833676">
      <w:bodyDiv w:val="1"/>
      <w:marLeft w:val="0"/>
      <w:marRight w:val="0"/>
      <w:marTop w:val="0"/>
      <w:marBottom w:val="0"/>
      <w:divBdr>
        <w:top w:val="none" w:sz="0" w:space="0" w:color="auto"/>
        <w:left w:val="none" w:sz="0" w:space="0" w:color="auto"/>
        <w:bottom w:val="none" w:sz="0" w:space="0" w:color="auto"/>
        <w:right w:val="none" w:sz="0" w:space="0" w:color="auto"/>
      </w:divBdr>
    </w:div>
    <w:div w:id="2065909026">
      <w:bodyDiv w:val="1"/>
      <w:marLeft w:val="0"/>
      <w:marRight w:val="0"/>
      <w:marTop w:val="0"/>
      <w:marBottom w:val="0"/>
      <w:divBdr>
        <w:top w:val="none" w:sz="0" w:space="0" w:color="auto"/>
        <w:left w:val="none" w:sz="0" w:space="0" w:color="auto"/>
        <w:bottom w:val="none" w:sz="0" w:space="0" w:color="auto"/>
        <w:right w:val="none" w:sz="0" w:space="0" w:color="auto"/>
      </w:divBdr>
    </w:div>
    <w:div w:id="2065982761">
      <w:bodyDiv w:val="1"/>
      <w:marLeft w:val="0"/>
      <w:marRight w:val="0"/>
      <w:marTop w:val="0"/>
      <w:marBottom w:val="0"/>
      <w:divBdr>
        <w:top w:val="none" w:sz="0" w:space="0" w:color="auto"/>
        <w:left w:val="none" w:sz="0" w:space="0" w:color="auto"/>
        <w:bottom w:val="none" w:sz="0" w:space="0" w:color="auto"/>
        <w:right w:val="none" w:sz="0" w:space="0" w:color="auto"/>
      </w:divBdr>
    </w:div>
    <w:div w:id="2066174545">
      <w:bodyDiv w:val="1"/>
      <w:marLeft w:val="0"/>
      <w:marRight w:val="0"/>
      <w:marTop w:val="0"/>
      <w:marBottom w:val="0"/>
      <w:divBdr>
        <w:top w:val="none" w:sz="0" w:space="0" w:color="auto"/>
        <w:left w:val="none" w:sz="0" w:space="0" w:color="auto"/>
        <w:bottom w:val="none" w:sz="0" w:space="0" w:color="auto"/>
        <w:right w:val="none" w:sz="0" w:space="0" w:color="auto"/>
      </w:divBdr>
    </w:div>
    <w:div w:id="2066372855">
      <w:bodyDiv w:val="1"/>
      <w:marLeft w:val="0"/>
      <w:marRight w:val="0"/>
      <w:marTop w:val="0"/>
      <w:marBottom w:val="0"/>
      <w:divBdr>
        <w:top w:val="none" w:sz="0" w:space="0" w:color="auto"/>
        <w:left w:val="none" w:sz="0" w:space="0" w:color="auto"/>
        <w:bottom w:val="none" w:sz="0" w:space="0" w:color="auto"/>
        <w:right w:val="none" w:sz="0" w:space="0" w:color="auto"/>
      </w:divBdr>
    </w:div>
    <w:div w:id="2066372908">
      <w:bodyDiv w:val="1"/>
      <w:marLeft w:val="0"/>
      <w:marRight w:val="0"/>
      <w:marTop w:val="0"/>
      <w:marBottom w:val="0"/>
      <w:divBdr>
        <w:top w:val="none" w:sz="0" w:space="0" w:color="auto"/>
        <w:left w:val="none" w:sz="0" w:space="0" w:color="auto"/>
        <w:bottom w:val="none" w:sz="0" w:space="0" w:color="auto"/>
        <w:right w:val="none" w:sz="0" w:space="0" w:color="auto"/>
      </w:divBdr>
    </w:div>
    <w:div w:id="2066416405">
      <w:bodyDiv w:val="1"/>
      <w:marLeft w:val="0"/>
      <w:marRight w:val="0"/>
      <w:marTop w:val="0"/>
      <w:marBottom w:val="0"/>
      <w:divBdr>
        <w:top w:val="none" w:sz="0" w:space="0" w:color="auto"/>
        <w:left w:val="none" w:sz="0" w:space="0" w:color="auto"/>
        <w:bottom w:val="none" w:sz="0" w:space="0" w:color="auto"/>
        <w:right w:val="none" w:sz="0" w:space="0" w:color="auto"/>
      </w:divBdr>
    </w:div>
    <w:div w:id="2066444209">
      <w:bodyDiv w:val="1"/>
      <w:marLeft w:val="0"/>
      <w:marRight w:val="0"/>
      <w:marTop w:val="0"/>
      <w:marBottom w:val="0"/>
      <w:divBdr>
        <w:top w:val="none" w:sz="0" w:space="0" w:color="auto"/>
        <w:left w:val="none" w:sz="0" w:space="0" w:color="auto"/>
        <w:bottom w:val="none" w:sz="0" w:space="0" w:color="auto"/>
        <w:right w:val="none" w:sz="0" w:space="0" w:color="auto"/>
      </w:divBdr>
    </w:div>
    <w:div w:id="2066483680">
      <w:bodyDiv w:val="1"/>
      <w:marLeft w:val="0"/>
      <w:marRight w:val="0"/>
      <w:marTop w:val="0"/>
      <w:marBottom w:val="0"/>
      <w:divBdr>
        <w:top w:val="none" w:sz="0" w:space="0" w:color="auto"/>
        <w:left w:val="none" w:sz="0" w:space="0" w:color="auto"/>
        <w:bottom w:val="none" w:sz="0" w:space="0" w:color="auto"/>
        <w:right w:val="none" w:sz="0" w:space="0" w:color="auto"/>
      </w:divBdr>
    </w:div>
    <w:div w:id="2066492258">
      <w:bodyDiv w:val="1"/>
      <w:marLeft w:val="0"/>
      <w:marRight w:val="0"/>
      <w:marTop w:val="0"/>
      <w:marBottom w:val="0"/>
      <w:divBdr>
        <w:top w:val="none" w:sz="0" w:space="0" w:color="auto"/>
        <w:left w:val="none" w:sz="0" w:space="0" w:color="auto"/>
        <w:bottom w:val="none" w:sz="0" w:space="0" w:color="auto"/>
        <w:right w:val="none" w:sz="0" w:space="0" w:color="auto"/>
      </w:divBdr>
    </w:div>
    <w:div w:id="2066566519">
      <w:bodyDiv w:val="1"/>
      <w:marLeft w:val="0"/>
      <w:marRight w:val="0"/>
      <w:marTop w:val="0"/>
      <w:marBottom w:val="0"/>
      <w:divBdr>
        <w:top w:val="none" w:sz="0" w:space="0" w:color="auto"/>
        <w:left w:val="none" w:sz="0" w:space="0" w:color="auto"/>
        <w:bottom w:val="none" w:sz="0" w:space="0" w:color="auto"/>
        <w:right w:val="none" w:sz="0" w:space="0" w:color="auto"/>
      </w:divBdr>
    </w:div>
    <w:div w:id="2066758505">
      <w:bodyDiv w:val="1"/>
      <w:marLeft w:val="0"/>
      <w:marRight w:val="0"/>
      <w:marTop w:val="0"/>
      <w:marBottom w:val="0"/>
      <w:divBdr>
        <w:top w:val="none" w:sz="0" w:space="0" w:color="auto"/>
        <w:left w:val="none" w:sz="0" w:space="0" w:color="auto"/>
        <w:bottom w:val="none" w:sz="0" w:space="0" w:color="auto"/>
        <w:right w:val="none" w:sz="0" w:space="0" w:color="auto"/>
      </w:divBdr>
    </w:div>
    <w:div w:id="2066830233">
      <w:bodyDiv w:val="1"/>
      <w:marLeft w:val="0"/>
      <w:marRight w:val="0"/>
      <w:marTop w:val="0"/>
      <w:marBottom w:val="0"/>
      <w:divBdr>
        <w:top w:val="none" w:sz="0" w:space="0" w:color="auto"/>
        <w:left w:val="none" w:sz="0" w:space="0" w:color="auto"/>
        <w:bottom w:val="none" w:sz="0" w:space="0" w:color="auto"/>
        <w:right w:val="none" w:sz="0" w:space="0" w:color="auto"/>
      </w:divBdr>
    </w:div>
    <w:div w:id="2066835186">
      <w:bodyDiv w:val="1"/>
      <w:marLeft w:val="0"/>
      <w:marRight w:val="0"/>
      <w:marTop w:val="0"/>
      <w:marBottom w:val="0"/>
      <w:divBdr>
        <w:top w:val="none" w:sz="0" w:space="0" w:color="auto"/>
        <w:left w:val="none" w:sz="0" w:space="0" w:color="auto"/>
        <w:bottom w:val="none" w:sz="0" w:space="0" w:color="auto"/>
        <w:right w:val="none" w:sz="0" w:space="0" w:color="auto"/>
      </w:divBdr>
    </w:div>
    <w:div w:id="2067022049">
      <w:bodyDiv w:val="1"/>
      <w:marLeft w:val="0"/>
      <w:marRight w:val="0"/>
      <w:marTop w:val="0"/>
      <w:marBottom w:val="0"/>
      <w:divBdr>
        <w:top w:val="none" w:sz="0" w:space="0" w:color="auto"/>
        <w:left w:val="none" w:sz="0" w:space="0" w:color="auto"/>
        <w:bottom w:val="none" w:sz="0" w:space="0" w:color="auto"/>
        <w:right w:val="none" w:sz="0" w:space="0" w:color="auto"/>
      </w:divBdr>
    </w:div>
    <w:div w:id="2067145720">
      <w:bodyDiv w:val="1"/>
      <w:marLeft w:val="0"/>
      <w:marRight w:val="0"/>
      <w:marTop w:val="0"/>
      <w:marBottom w:val="0"/>
      <w:divBdr>
        <w:top w:val="none" w:sz="0" w:space="0" w:color="auto"/>
        <w:left w:val="none" w:sz="0" w:space="0" w:color="auto"/>
        <w:bottom w:val="none" w:sz="0" w:space="0" w:color="auto"/>
        <w:right w:val="none" w:sz="0" w:space="0" w:color="auto"/>
      </w:divBdr>
    </w:div>
    <w:div w:id="2067216544">
      <w:bodyDiv w:val="1"/>
      <w:marLeft w:val="0"/>
      <w:marRight w:val="0"/>
      <w:marTop w:val="0"/>
      <w:marBottom w:val="0"/>
      <w:divBdr>
        <w:top w:val="none" w:sz="0" w:space="0" w:color="auto"/>
        <w:left w:val="none" w:sz="0" w:space="0" w:color="auto"/>
        <w:bottom w:val="none" w:sz="0" w:space="0" w:color="auto"/>
        <w:right w:val="none" w:sz="0" w:space="0" w:color="auto"/>
      </w:divBdr>
    </w:div>
    <w:div w:id="2067295447">
      <w:bodyDiv w:val="1"/>
      <w:marLeft w:val="0"/>
      <w:marRight w:val="0"/>
      <w:marTop w:val="0"/>
      <w:marBottom w:val="0"/>
      <w:divBdr>
        <w:top w:val="none" w:sz="0" w:space="0" w:color="auto"/>
        <w:left w:val="none" w:sz="0" w:space="0" w:color="auto"/>
        <w:bottom w:val="none" w:sz="0" w:space="0" w:color="auto"/>
        <w:right w:val="none" w:sz="0" w:space="0" w:color="auto"/>
      </w:divBdr>
    </w:div>
    <w:div w:id="2067488763">
      <w:bodyDiv w:val="1"/>
      <w:marLeft w:val="0"/>
      <w:marRight w:val="0"/>
      <w:marTop w:val="0"/>
      <w:marBottom w:val="0"/>
      <w:divBdr>
        <w:top w:val="none" w:sz="0" w:space="0" w:color="auto"/>
        <w:left w:val="none" w:sz="0" w:space="0" w:color="auto"/>
        <w:bottom w:val="none" w:sz="0" w:space="0" w:color="auto"/>
        <w:right w:val="none" w:sz="0" w:space="0" w:color="auto"/>
      </w:divBdr>
    </w:div>
    <w:div w:id="2067530789">
      <w:bodyDiv w:val="1"/>
      <w:marLeft w:val="0"/>
      <w:marRight w:val="0"/>
      <w:marTop w:val="0"/>
      <w:marBottom w:val="0"/>
      <w:divBdr>
        <w:top w:val="none" w:sz="0" w:space="0" w:color="auto"/>
        <w:left w:val="none" w:sz="0" w:space="0" w:color="auto"/>
        <w:bottom w:val="none" w:sz="0" w:space="0" w:color="auto"/>
        <w:right w:val="none" w:sz="0" w:space="0" w:color="auto"/>
      </w:divBdr>
    </w:div>
    <w:div w:id="2067560045">
      <w:bodyDiv w:val="1"/>
      <w:marLeft w:val="0"/>
      <w:marRight w:val="0"/>
      <w:marTop w:val="0"/>
      <w:marBottom w:val="0"/>
      <w:divBdr>
        <w:top w:val="none" w:sz="0" w:space="0" w:color="auto"/>
        <w:left w:val="none" w:sz="0" w:space="0" w:color="auto"/>
        <w:bottom w:val="none" w:sz="0" w:space="0" w:color="auto"/>
        <w:right w:val="none" w:sz="0" w:space="0" w:color="auto"/>
      </w:divBdr>
    </w:div>
    <w:div w:id="2067608475">
      <w:bodyDiv w:val="1"/>
      <w:marLeft w:val="0"/>
      <w:marRight w:val="0"/>
      <w:marTop w:val="0"/>
      <w:marBottom w:val="0"/>
      <w:divBdr>
        <w:top w:val="none" w:sz="0" w:space="0" w:color="auto"/>
        <w:left w:val="none" w:sz="0" w:space="0" w:color="auto"/>
        <w:bottom w:val="none" w:sz="0" w:space="0" w:color="auto"/>
        <w:right w:val="none" w:sz="0" w:space="0" w:color="auto"/>
      </w:divBdr>
    </w:div>
    <w:div w:id="2067682614">
      <w:bodyDiv w:val="1"/>
      <w:marLeft w:val="0"/>
      <w:marRight w:val="0"/>
      <w:marTop w:val="0"/>
      <w:marBottom w:val="0"/>
      <w:divBdr>
        <w:top w:val="none" w:sz="0" w:space="0" w:color="auto"/>
        <w:left w:val="none" w:sz="0" w:space="0" w:color="auto"/>
        <w:bottom w:val="none" w:sz="0" w:space="0" w:color="auto"/>
        <w:right w:val="none" w:sz="0" w:space="0" w:color="auto"/>
      </w:divBdr>
    </w:div>
    <w:div w:id="2067683512">
      <w:bodyDiv w:val="1"/>
      <w:marLeft w:val="0"/>
      <w:marRight w:val="0"/>
      <w:marTop w:val="0"/>
      <w:marBottom w:val="0"/>
      <w:divBdr>
        <w:top w:val="none" w:sz="0" w:space="0" w:color="auto"/>
        <w:left w:val="none" w:sz="0" w:space="0" w:color="auto"/>
        <w:bottom w:val="none" w:sz="0" w:space="0" w:color="auto"/>
        <w:right w:val="none" w:sz="0" w:space="0" w:color="auto"/>
      </w:divBdr>
    </w:div>
    <w:div w:id="2067795865">
      <w:bodyDiv w:val="1"/>
      <w:marLeft w:val="0"/>
      <w:marRight w:val="0"/>
      <w:marTop w:val="0"/>
      <w:marBottom w:val="0"/>
      <w:divBdr>
        <w:top w:val="none" w:sz="0" w:space="0" w:color="auto"/>
        <w:left w:val="none" w:sz="0" w:space="0" w:color="auto"/>
        <w:bottom w:val="none" w:sz="0" w:space="0" w:color="auto"/>
        <w:right w:val="none" w:sz="0" w:space="0" w:color="auto"/>
      </w:divBdr>
    </w:div>
    <w:div w:id="2067796848">
      <w:bodyDiv w:val="1"/>
      <w:marLeft w:val="0"/>
      <w:marRight w:val="0"/>
      <w:marTop w:val="0"/>
      <w:marBottom w:val="0"/>
      <w:divBdr>
        <w:top w:val="none" w:sz="0" w:space="0" w:color="auto"/>
        <w:left w:val="none" w:sz="0" w:space="0" w:color="auto"/>
        <w:bottom w:val="none" w:sz="0" w:space="0" w:color="auto"/>
        <w:right w:val="none" w:sz="0" w:space="0" w:color="auto"/>
      </w:divBdr>
    </w:div>
    <w:div w:id="2067797082">
      <w:bodyDiv w:val="1"/>
      <w:marLeft w:val="0"/>
      <w:marRight w:val="0"/>
      <w:marTop w:val="0"/>
      <w:marBottom w:val="0"/>
      <w:divBdr>
        <w:top w:val="none" w:sz="0" w:space="0" w:color="auto"/>
        <w:left w:val="none" w:sz="0" w:space="0" w:color="auto"/>
        <w:bottom w:val="none" w:sz="0" w:space="0" w:color="auto"/>
        <w:right w:val="none" w:sz="0" w:space="0" w:color="auto"/>
      </w:divBdr>
    </w:div>
    <w:div w:id="2067797950">
      <w:bodyDiv w:val="1"/>
      <w:marLeft w:val="0"/>
      <w:marRight w:val="0"/>
      <w:marTop w:val="0"/>
      <w:marBottom w:val="0"/>
      <w:divBdr>
        <w:top w:val="none" w:sz="0" w:space="0" w:color="auto"/>
        <w:left w:val="none" w:sz="0" w:space="0" w:color="auto"/>
        <w:bottom w:val="none" w:sz="0" w:space="0" w:color="auto"/>
        <w:right w:val="none" w:sz="0" w:space="0" w:color="auto"/>
      </w:divBdr>
    </w:div>
    <w:div w:id="2067869332">
      <w:bodyDiv w:val="1"/>
      <w:marLeft w:val="0"/>
      <w:marRight w:val="0"/>
      <w:marTop w:val="0"/>
      <w:marBottom w:val="0"/>
      <w:divBdr>
        <w:top w:val="none" w:sz="0" w:space="0" w:color="auto"/>
        <w:left w:val="none" w:sz="0" w:space="0" w:color="auto"/>
        <w:bottom w:val="none" w:sz="0" w:space="0" w:color="auto"/>
        <w:right w:val="none" w:sz="0" w:space="0" w:color="auto"/>
      </w:divBdr>
    </w:div>
    <w:div w:id="2067949752">
      <w:bodyDiv w:val="1"/>
      <w:marLeft w:val="0"/>
      <w:marRight w:val="0"/>
      <w:marTop w:val="0"/>
      <w:marBottom w:val="0"/>
      <w:divBdr>
        <w:top w:val="none" w:sz="0" w:space="0" w:color="auto"/>
        <w:left w:val="none" w:sz="0" w:space="0" w:color="auto"/>
        <w:bottom w:val="none" w:sz="0" w:space="0" w:color="auto"/>
        <w:right w:val="none" w:sz="0" w:space="0" w:color="auto"/>
      </w:divBdr>
    </w:div>
    <w:div w:id="2067990876">
      <w:bodyDiv w:val="1"/>
      <w:marLeft w:val="0"/>
      <w:marRight w:val="0"/>
      <w:marTop w:val="0"/>
      <w:marBottom w:val="0"/>
      <w:divBdr>
        <w:top w:val="none" w:sz="0" w:space="0" w:color="auto"/>
        <w:left w:val="none" w:sz="0" w:space="0" w:color="auto"/>
        <w:bottom w:val="none" w:sz="0" w:space="0" w:color="auto"/>
        <w:right w:val="none" w:sz="0" w:space="0" w:color="auto"/>
      </w:divBdr>
    </w:div>
    <w:div w:id="2068019697">
      <w:bodyDiv w:val="1"/>
      <w:marLeft w:val="0"/>
      <w:marRight w:val="0"/>
      <w:marTop w:val="0"/>
      <w:marBottom w:val="0"/>
      <w:divBdr>
        <w:top w:val="none" w:sz="0" w:space="0" w:color="auto"/>
        <w:left w:val="none" w:sz="0" w:space="0" w:color="auto"/>
        <w:bottom w:val="none" w:sz="0" w:space="0" w:color="auto"/>
        <w:right w:val="none" w:sz="0" w:space="0" w:color="auto"/>
      </w:divBdr>
    </w:div>
    <w:div w:id="2068062696">
      <w:bodyDiv w:val="1"/>
      <w:marLeft w:val="0"/>
      <w:marRight w:val="0"/>
      <w:marTop w:val="0"/>
      <w:marBottom w:val="0"/>
      <w:divBdr>
        <w:top w:val="none" w:sz="0" w:space="0" w:color="auto"/>
        <w:left w:val="none" w:sz="0" w:space="0" w:color="auto"/>
        <w:bottom w:val="none" w:sz="0" w:space="0" w:color="auto"/>
        <w:right w:val="none" w:sz="0" w:space="0" w:color="auto"/>
      </w:divBdr>
    </w:div>
    <w:div w:id="2068065786">
      <w:bodyDiv w:val="1"/>
      <w:marLeft w:val="0"/>
      <w:marRight w:val="0"/>
      <w:marTop w:val="0"/>
      <w:marBottom w:val="0"/>
      <w:divBdr>
        <w:top w:val="none" w:sz="0" w:space="0" w:color="auto"/>
        <w:left w:val="none" w:sz="0" w:space="0" w:color="auto"/>
        <w:bottom w:val="none" w:sz="0" w:space="0" w:color="auto"/>
        <w:right w:val="none" w:sz="0" w:space="0" w:color="auto"/>
      </w:divBdr>
    </w:div>
    <w:div w:id="2068142665">
      <w:bodyDiv w:val="1"/>
      <w:marLeft w:val="0"/>
      <w:marRight w:val="0"/>
      <w:marTop w:val="0"/>
      <w:marBottom w:val="0"/>
      <w:divBdr>
        <w:top w:val="none" w:sz="0" w:space="0" w:color="auto"/>
        <w:left w:val="none" w:sz="0" w:space="0" w:color="auto"/>
        <w:bottom w:val="none" w:sz="0" w:space="0" w:color="auto"/>
        <w:right w:val="none" w:sz="0" w:space="0" w:color="auto"/>
      </w:divBdr>
    </w:div>
    <w:div w:id="2068264234">
      <w:bodyDiv w:val="1"/>
      <w:marLeft w:val="0"/>
      <w:marRight w:val="0"/>
      <w:marTop w:val="0"/>
      <w:marBottom w:val="0"/>
      <w:divBdr>
        <w:top w:val="none" w:sz="0" w:space="0" w:color="auto"/>
        <w:left w:val="none" w:sz="0" w:space="0" w:color="auto"/>
        <w:bottom w:val="none" w:sz="0" w:space="0" w:color="auto"/>
        <w:right w:val="none" w:sz="0" w:space="0" w:color="auto"/>
      </w:divBdr>
    </w:div>
    <w:div w:id="2068524847">
      <w:bodyDiv w:val="1"/>
      <w:marLeft w:val="0"/>
      <w:marRight w:val="0"/>
      <w:marTop w:val="0"/>
      <w:marBottom w:val="0"/>
      <w:divBdr>
        <w:top w:val="none" w:sz="0" w:space="0" w:color="auto"/>
        <w:left w:val="none" w:sz="0" w:space="0" w:color="auto"/>
        <w:bottom w:val="none" w:sz="0" w:space="0" w:color="auto"/>
        <w:right w:val="none" w:sz="0" w:space="0" w:color="auto"/>
      </w:divBdr>
    </w:div>
    <w:div w:id="2068526778">
      <w:bodyDiv w:val="1"/>
      <w:marLeft w:val="0"/>
      <w:marRight w:val="0"/>
      <w:marTop w:val="0"/>
      <w:marBottom w:val="0"/>
      <w:divBdr>
        <w:top w:val="none" w:sz="0" w:space="0" w:color="auto"/>
        <w:left w:val="none" w:sz="0" w:space="0" w:color="auto"/>
        <w:bottom w:val="none" w:sz="0" w:space="0" w:color="auto"/>
        <w:right w:val="none" w:sz="0" w:space="0" w:color="auto"/>
      </w:divBdr>
    </w:div>
    <w:div w:id="2068601899">
      <w:bodyDiv w:val="1"/>
      <w:marLeft w:val="0"/>
      <w:marRight w:val="0"/>
      <w:marTop w:val="0"/>
      <w:marBottom w:val="0"/>
      <w:divBdr>
        <w:top w:val="none" w:sz="0" w:space="0" w:color="auto"/>
        <w:left w:val="none" w:sz="0" w:space="0" w:color="auto"/>
        <w:bottom w:val="none" w:sz="0" w:space="0" w:color="auto"/>
        <w:right w:val="none" w:sz="0" w:space="0" w:color="auto"/>
      </w:divBdr>
    </w:div>
    <w:div w:id="2068646953">
      <w:bodyDiv w:val="1"/>
      <w:marLeft w:val="0"/>
      <w:marRight w:val="0"/>
      <w:marTop w:val="0"/>
      <w:marBottom w:val="0"/>
      <w:divBdr>
        <w:top w:val="none" w:sz="0" w:space="0" w:color="auto"/>
        <w:left w:val="none" w:sz="0" w:space="0" w:color="auto"/>
        <w:bottom w:val="none" w:sz="0" w:space="0" w:color="auto"/>
        <w:right w:val="none" w:sz="0" w:space="0" w:color="auto"/>
      </w:divBdr>
    </w:div>
    <w:div w:id="2068723058">
      <w:bodyDiv w:val="1"/>
      <w:marLeft w:val="0"/>
      <w:marRight w:val="0"/>
      <w:marTop w:val="0"/>
      <w:marBottom w:val="0"/>
      <w:divBdr>
        <w:top w:val="none" w:sz="0" w:space="0" w:color="auto"/>
        <w:left w:val="none" w:sz="0" w:space="0" w:color="auto"/>
        <w:bottom w:val="none" w:sz="0" w:space="0" w:color="auto"/>
        <w:right w:val="none" w:sz="0" w:space="0" w:color="auto"/>
      </w:divBdr>
    </w:div>
    <w:div w:id="2068842525">
      <w:bodyDiv w:val="1"/>
      <w:marLeft w:val="0"/>
      <w:marRight w:val="0"/>
      <w:marTop w:val="0"/>
      <w:marBottom w:val="0"/>
      <w:divBdr>
        <w:top w:val="none" w:sz="0" w:space="0" w:color="auto"/>
        <w:left w:val="none" w:sz="0" w:space="0" w:color="auto"/>
        <w:bottom w:val="none" w:sz="0" w:space="0" w:color="auto"/>
        <w:right w:val="none" w:sz="0" w:space="0" w:color="auto"/>
      </w:divBdr>
    </w:div>
    <w:div w:id="2068872223">
      <w:bodyDiv w:val="1"/>
      <w:marLeft w:val="0"/>
      <w:marRight w:val="0"/>
      <w:marTop w:val="0"/>
      <w:marBottom w:val="0"/>
      <w:divBdr>
        <w:top w:val="none" w:sz="0" w:space="0" w:color="auto"/>
        <w:left w:val="none" w:sz="0" w:space="0" w:color="auto"/>
        <w:bottom w:val="none" w:sz="0" w:space="0" w:color="auto"/>
        <w:right w:val="none" w:sz="0" w:space="0" w:color="auto"/>
      </w:divBdr>
    </w:div>
    <w:div w:id="2068914937">
      <w:bodyDiv w:val="1"/>
      <w:marLeft w:val="0"/>
      <w:marRight w:val="0"/>
      <w:marTop w:val="0"/>
      <w:marBottom w:val="0"/>
      <w:divBdr>
        <w:top w:val="none" w:sz="0" w:space="0" w:color="auto"/>
        <w:left w:val="none" w:sz="0" w:space="0" w:color="auto"/>
        <w:bottom w:val="none" w:sz="0" w:space="0" w:color="auto"/>
        <w:right w:val="none" w:sz="0" w:space="0" w:color="auto"/>
      </w:divBdr>
    </w:div>
    <w:div w:id="2068994885">
      <w:bodyDiv w:val="1"/>
      <w:marLeft w:val="0"/>
      <w:marRight w:val="0"/>
      <w:marTop w:val="0"/>
      <w:marBottom w:val="0"/>
      <w:divBdr>
        <w:top w:val="none" w:sz="0" w:space="0" w:color="auto"/>
        <w:left w:val="none" w:sz="0" w:space="0" w:color="auto"/>
        <w:bottom w:val="none" w:sz="0" w:space="0" w:color="auto"/>
        <w:right w:val="none" w:sz="0" w:space="0" w:color="auto"/>
      </w:divBdr>
    </w:div>
    <w:div w:id="2069105267">
      <w:bodyDiv w:val="1"/>
      <w:marLeft w:val="0"/>
      <w:marRight w:val="0"/>
      <w:marTop w:val="0"/>
      <w:marBottom w:val="0"/>
      <w:divBdr>
        <w:top w:val="none" w:sz="0" w:space="0" w:color="auto"/>
        <w:left w:val="none" w:sz="0" w:space="0" w:color="auto"/>
        <w:bottom w:val="none" w:sz="0" w:space="0" w:color="auto"/>
        <w:right w:val="none" w:sz="0" w:space="0" w:color="auto"/>
      </w:divBdr>
    </w:div>
    <w:div w:id="2069107220">
      <w:bodyDiv w:val="1"/>
      <w:marLeft w:val="0"/>
      <w:marRight w:val="0"/>
      <w:marTop w:val="0"/>
      <w:marBottom w:val="0"/>
      <w:divBdr>
        <w:top w:val="none" w:sz="0" w:space="0" w:color="auto"/>
        <w:left w:val="none" w:sz="0" w:space="0" w:color="auto"/>
        <w:bottom w:val="none" w:sz="0" w:space="0" w:color="auto"/>
        <w:right w:val="none" w:sz="0" w:space="0" w:color="auto"/>
      </w:divBdr>
    </w:div>
    <w:div w:id="2069109421">
      <w:bodyDiv w:val="1"/>
      <w:marLeft w:val="0"/>
      <w:marRight w:val="0"/>
      <w:marTop w:val="0"/>
      <w:marBottom w:val="0"/>
      <w:divBdr>
        <w:top w:val="none" w:sz="0" w:space="0" w:color="auto"/>
        <w:left w:val="none" w:sz="0" w:space="0" w:color="auto"/>
        <w:bottom w:val="none" w:sz="0" w:space="0" w:color="auto"/>
        <w:right w:val="none" w:sz="0" w:space="0" w:color="auto"/>
      </w:divBdr>
    </w:div>
    <w:div w:id="2069180417">
      <w:bodyDiv w:val="1"/>
      <w:marLeft w:val="0"/>
      <w:marRight w:val="0"/>
      <w:marTop w:val="0"/>
      <w:marBottom w:val="0"/>
      <w:divBdr>
        <w:top w:val="none" w:sz="0" w:space="0" w:color="auto"/>
        <w:left w:val="none" w:sz="0" w:space="0" w:color="auto"/>
        <w:bottom w:val="none" w:sz="0" w:space="0" w:color="auto"/>
        <w:right w:val="none" w:sz="0" w:space="0" w:color="auto"/>
      </w:divBdr>
    </w:div>
    <w:div w:id="2069258367">
      <w:bodyDiv w:val="1"/>
      <w:marLeft w:val="0"/>
      <w:marRight w:val="0"/>
      <w:marTop w:val="0"/>
      <w:marBottom w:val="0"/>
      <w:divBdr>
        <w:top w:val="none" w:sz="0" w:space="0" w:color="auto"/>
        <w:left w:val="none" w:sz="0" w:space="0" w:color="auto"/>
        <w:bottom w:val="none" w:sz="0" w:space="0" w:color="auto"/>
        <w:right w:val="none" w:sz="0" w:space="0" w:color="auto"/>
      </w:divBdr>
    </w:div>
    <w:div w:id="2069305334">
      <w:bodyDiv w:val="1"/>
      <w:marLeft w:val="0"/>
      <w:marRight w:val="0"/>
      <w:marTop w:val="0"/>
      <w:marBottom w:val="0"/>
      <w:divBdr>
        <w:top w:val="none" w:sz="0" w:space="0" w:color="auto"/>
        <w:left w:val="none" w:sz="0" w:space="0" w:color="auto"/>
        <w:bottom w:val="none" w:sz="0" w:space="0" w:color="auto"/>
        <w:right w:val="none" w:sz="0" w:space="0" w:color="auto"/>
      </w:divBdr>
    </w:div>
    <w:div w:id="2069379069">
      <w:bodyDiv w:val="1"/>
      <w:marLeft w:val="0"/>
      <w:marRight w:val="0"/>
      <w:marTop w:val="0"/>
      <w:marBottom w:val="0"/>
      <w:divBdr>
        <w:top w:val="none" w:sz="0" w:space="0" w:color="auto"/>
        <w:left w:val="none" w:sz="0" w:space="0" w:color="auto"/>
        <w:bottom w:val="none" w:sz="0" w:space="0" w:color="auto"/>
        <w:right w:val="none" w:sz="0" w:space="0" w:color="auto"/>
      </w:divBdr>
    </w:div>
    <w:div w:id="2069456966">
      <w:bodyDiv w:val="1"/>
      <w:marLeft w:val="0"/>
      <w:marRight w:val="0"/>
      <w:marTop w:val="0"/>
      <w:marBottom w:val="0"/>
      <w:divBdr>
        <w:top w:val="none" w:sz="0" w:space="0" w:color="auto"/>
        <w:left w:val="none" w:sz="0" w:space="0" w:color="auto"/>
        <w:bottom w:val="none" w:sz="0" w:space="0" w:color="auto"/>
        <w:right w:val="none" w:sz="0" w:space="0" w:color="auto"/>
      </w:divBdr>
    </w:div>
    <w:div w:id="2069457811">
      <w:bodyDiv w:val="1"/>
      <w:marLeft w:val="0"/>
      <w:marRight w:val="0"/>
      <w:marTop w:val="0"/>
      <w:marBottom w:val="0"/>
      <w:divBdr>
        <w:top w:val="none" w:sz="0" w:space="0" w:color="auto"/>
        <w:left w:val="none" w:sz="0" w:space="0" w:color="auto"/>
        <w:bottom w:val="none" w:sz="0" w:space="0" w:color="auto"/>
        <w:right w:val="none" w:sz="0" w:space="0" w:color="auto"/>
      </w:divBdr>
    </w:div>
    <w:div w:id="2069527109">
      <w:bodyDiv w:val="1"/>
      <w:marLeft w:val="0"/>
      <w:marRight w:val="0"/>
      <w:marTop w:val="0"/>
      <w:marBottom w:val="0"/>
      <w:divBdr>
        <w:top w:val="none" w:sz="0" w:space="0" w:color="auto"/>
        <w:left w:val="none" w:sz="0" w:space="0" w:color="auto"/>
        <w:bottom w:val="none" w:sz="0" w:space="0" w:color="auto"/>
        <w:right w:val="none" w:sz="0" w:space="0" w:color="auto"/>
      </w:divBdr>
    </w:div>
    <w:div w:id="2069572341">
      <w:bodyDiv w:val="1"/>
      <w:marLeft w:val="0"/>
      <w:marRight w:val="0"/>
      <w:marTop w:val="0"/>
      <w:marBottom w:val="0"/>
      <w:divBdr>
        <w:top w:val="none" w:sz="0" w:space="0" w:color="auto"/>
        <w:left w:val="none" w:sz="0" w:space="0" w:color="auto"/>
        <w:bottom w:val="none" w:sz="0" w:space="0" w:color="auto"/>
        <w:right w:val="none" w:sz="0" w:space="0" w:color="auto"/>
      </w:divBdr>
    </w:div>
    <w:div w:id="2069573249">
      <w:bodyDiv w:val="1"/>
      <w:marLeft w:val="0"/>
      <w:marRight w:val="0"/>
      <w:marTop w:val="0"/>
      <w:marBottom w:val="0"/>
      <w:divBdr>
        <w:top w:val="none" w:sz="0" w:space="0" w:color="auto"/>
        <w:left w:val="none" w:sz="0" w:space="0" w:color="auto"/>
        <w:bottom w:val="none" w:sz="0" w:space="0" w:color="auto"/>
        <w:right w:val="none" w:sz="0" w:space="0" w:color="auto"/>
      </w:divBdr>
    </w:div>
    <w:div w:id="2069650235">
      <w:bodyDiv w:val="1"/>
      <w:marLeft w:val="0"/>
      <w:marRight w:val="0"/>
      <w:marTop w:val="0"/>
      <w:marBottom w:val="0"/>
      <w:divBdr>
        <w:top w:val="none" w:sz="0" w:space="0" w:color="auto"/>
        <w:left w:val="none" w:sz="0" w:space="0" w:color="auto"/>
        <w:bottom w:val="none" w:sz="0" w:space="0" w:color="auto"/>
        <w:right w:val="none" w:sz="0" w:space="0" w:color="auto"/>
      </w:divBdr>
    </w:div>
    <w:div w:id="2069717989">
      <w:bodyDiv w:val="1"/>
      <w:marLeft w:val="0"/>
      <w:marRight w:val="0"/>
      <w:marTop w:val="0"/>
      <w:marBottom w:val="0"/>
      <w:divBdr>
        <w:top w:val="none" w:sz="0" w:space="0" w:color="auto"/>
        <w:left w:val="none" w:sz="0" w:space="0" w:color="auto"/>
        <w:bottom w:val="none" w:sz="0" w:space="0" w:color="auto"/>
        <w:right w:val="none" w:sz="0" w:space="0" w:color="auto"/>
      </w:divBdr>
    </w:div>
    <w:div w:id="2069842892">
      <w:bodyDiv w:val="1"/>
      <w:marLeft w:val="0"/>
      <w:marRight w:val="0"/>
      <w:marTop w:val="0"/>
      <w:marBottom w:val="0"/>
      <w:divBdr>
        <w:top w:val="none" w:sz="0" w:space="0" w:color="auto"/>
        <w:left w:val="none" w:sz="0" w:space="0" w:color="auto"/>
        <w:bottom w:val="none" w:sz="0" w:space="0" w:color="auto"/>
        <w:right w:val="none" w:sz="0" w:space="0" w:color="auto"/>
      </w:divBdr>
    </w:div>
    <w:div w:id="2069956383">
      <w:bodyDiv w:val="1"/>
      <w:marLeft w:val="0"/>
      <w:marRight w:val="0"/>
      <w:marTop w:val="0"/>
      <w:marBottom w:val="0"/>
      <w:divBdr>
        <w:top w:val="none" w:sz="0" w:space="0" w:color="auto"/>
        <w:left w:val="none" w:sz="0" w:space="0" w:color="auto"/>
        <w:bottom w:val="none" w:sz="0" w:space="0" w:color="auto"/>
        <w:right w:val="none" w:sz="0" w:space="0" w:color="auto"/>
      </w:divBdr>
    </w:div>
    <w:div w:id="2069986713">
      <w:bodyDiv w:val="1"/>
      <w:marLeft w:val="0"/>
      <w:marRight w:val="0"/>
      <w:marTop w:val="0"/>
      <w:marBottom w:val="0"/>
      <w:divBdr>
        <w:top w:val="none" w:sz="0" w:space="0" w:color="auto"/>
        <w:left w:val="none" w:sz="0" w:space="0" w:color="auto"/>
        <w:bottom w:val="none" w:sz="0" w:space="0" w:color="auto"/>
        <w:right w:val="none" w:sz="0" w:space="0" w:color="auto"/>
      </w:divBdr>
    </w:div>
    <w:div w:id="2070035348">
      <w:bodyDiv w:val="1"/>
      <w:marLeft w:val="0"/>
      <w:marRight w:val="0"/>
      <w:marTop w:val="0"/>
      <w:marBottom w:val="0"/>
      <w:divBdr>
        <w:top w:val="none" w:sz="0" w:space="0" w:color="auto"/>
        <w:left w:val="none" w:sz="0" w:space="0" w:color="auto"/>
        <w:bottom w:val="none" w:sz="0" w:space="0" w:color="auto"/>
        <w:right w:val="none" w:sz="0" w:space="0" w:color="auto"/>
      </w:divBdr>
    </w:div>
    <w:div w:id="2070112324">
      <w:bodyDiv w:val="1"/>
      <w:marLeft w:val="0"/>
      <w:marRight w:val="0"/>
      <w:marTop w:val="0"/>
      <w:marBottom w:val="0"/>
      <w:divBdr>
        <w:top w:val="none" w:sz="0" w:space="0" w:color="auto"/>
        <w:left w:val="none" w:sz="0" w:space="0" w:color="auto"/>
        <w:bottom w:val="none" w:sz="0" w:space="0" w:color="auto"/>
        <w:right w:val="none" w:sz="0" w:space="0" w:color="auto"/>
      </w:divBdr>
    </w:div>
    <w:div w:id="2070181665">
      <w:bodyDiv w:val="1"/>
      <w:marLeft w:val="0"/>
      <w:marRight w:val="0"/>
      <w:marTop w:val="0"/>
      <w:marBottom w:val="0"/>
      <w:divBdr>
        <w:top w:val="none" w:sz="0" w:space="0" w:color="auto"/>
        <w:left w:val="none" w:sz="0" w:space="0" w:color="auto"/>
        <w:bottom w:val="none" w:sz="0" w:space="0" w:color="auto"/>
        <w:right w:val="none" w:sz="0" w:space="0" w:color="auto"/>
      </w:divBdr>
    </w:div>
    <w:div w:id="2070378979">
      <w:bodyDiv w:val="1"/>
      <w:marLeft w:val="0"/>
      <w:marRight w:val="0"/>
      <w:marTop w:val="0"/>
      <w:marBottom w:val="0"/>
      <w:divBdr>
        <w:top w:val="none" w:sz="0" w:space="0" w:color="auto"/>
        <w:left w:val="none" w:sz="0" w:space="0" w:color="auto"/>
        <w:bottom w:val="none" w:sz="0" w:space="0" w:color="auto"/>
        <w:right w:val="none" w:sz="0" w:space="0" w:color="auto"/>
      </w:divBdr>
    </w:div>
    <w:div w:id="2070493830">
      <w:bodyDiv w:val="1"/>
      <w:marLeft w:val="0"/>
      <w:marRight w:val="0"/>
      <w:marTop w:val="0"/>
      <w:marBottom w:val="0"/>
      <w:divBdr>
        <w:top w:val="none" w:sz="0" w:space="0" w:color="auto"/>
        <w:left w:val="none" w:sz="0" w:space="0" w:color="auto"/>
        <w:bottom w:val="none" w:sz="0" w:space="0" w:color="auto"/>
        <w:right w:val="none" w:sz="0" w:space="0" w:color="auto"/>
      </w:divBdr>
    </w:div>
    <w:div w:id="2070574954">
      <w:bodyDiv w:val="1"/>
      <w:marLeft w:val="0"/>
      <w:marRight w:val="0"/>
      <w:marTop w:val="0"/>
      <w:marBottom w:val="0"/>
      <w:divBdr>
        <w:top w:val="none" w:sz="0" w:space="0" w:color="auto"/>
        <w:left w:val="none" w:sz="0" w:space="0" w:color="auto"/>
        <w:bottom w:val="none" w:sz="0" w:space="0" w:color="auto"/>
        <w:right w:val="none" w:sz="0" w:space="0" w:color="auto"/>
      </w:divBdr>
    </w:div>
    <w:div w:id="2070760304">
      <w:bodyDiv w:val="1"/>
      <w:marLeft w:val="0"/>
      <w:marRight w:val="0"/>
      <w:marTop w:val="0"/>
      <w:marBottom w:val="0"/>
      <w:divBdr>
        <w:top w:val="none" w:sz="0" w:space="0" w:color="auto"/>
        <w:left w:val="none" w:sz="0" w:space="0" w:color="auto"/>
        <w:bottom w:val="none" w:sz="0" w:space="0" w:color="auto"/>
        <w:right w:val="none" w:sz="0" w:space="0" w:color="auto"/>
      </w:divBdr>
    </w:div>
    <w:div w:id="2070762699">
      <w:bodyDiv w:val="1"/>
      <w:marLeft w:val="0"/>
      <w:marRight w:val="0"/>
      <w:marTop w:val="0"/>
      <w:marBottom w:val="0"/>
      <w:divBdr>
        <w:top w:val="none" w:sz="0" w:space="0" w:color="auto"/>
        <w:left w:val="none" w:sz="0" w:space="0" w:color="auto"/>
        <w:bottom w:val="none" w:sz="0" w:space="0" w:color="auto"/>
        <w:right w:val="none" w:sz="0" w:space="0" w:color="auto"/>
      </w:divBdr>
    </w:div>
    <w:div w:id="2070837149">
      <w:bodyDiv w:val="1"/>
      <w:marLeft w:val="0"/>
      <w:marRight w:val="0"/>
      <w:marTop w:val="0"/>
      <w:marBottom w:val="0"/>
      <w:divBdr>
        <w:top w:val="none" w:sz="0" w:space="0" w:color="auto"/>
        <w:left w:val="none" w:sz="0" w:space="0" w:color="auto"/>
        <w:bottom w:val="none" w:sz="0" w:space="0" w:color="auto"/>
        <w:right w:val="none" w:sz="0" w:space="0" w:color="auto"/>
      </w:divBdr>
    </w:div>
    <w:div w:id="2071149150">
      <w:bodyDiv w:val="1"/>
      <w:marLeft w:val="0"/>
      <w:marRight w:val="0"/>
      <w:marTop w:val="0"/>
      <w:marBottom w:val="0"/>
      <w:divBdr>
        <w:top w:val="none" w:sz="0" w:space="0" w:color="auto"/>
        <w:left w:val="none" w:sz="0" w:space="0" w:color="auto"/>
        <w:bottom w:val="none" w:sz="0" w:space="0" w:color="auto"/>
        <w:right w:val="none" w:sz="0" w:space="0" w:color="auto"/>
      </w:divBdr>
    </w:div>
    <w:div w:id="2071342297">
      <w:bodyDiv w:val="1"/>
      <w:marLeft w:val="0"/>
      <w:marRight w:val="0"/>
      <w:marTop w:val="0"/>
      <w:marBottom w:val="0"/>
      <w:divBdr>
        <w:top w:val="none" w:sz="0" w:space="0" w:color="auto"/>
        <w:left w:val="none" w:sz="0" w:space="0" w:color="auto"/>
        <w:bottom w:val="none" w:sz="0" w:space="0" w:color="auto"/>
        <w:right w:val="none" w:sz="0" w:space="0" w:color="auto"/>
      </w:divBdr>
    </w:div>
    <w:div w:id="2071725821">
      <w:bodyDiv w:val="1"/>
      <w:marLeft w:val="0"/>
      <w:marRight w:val="0"/>
      <w:marTop w:val="0"/>
      <w:marBottom w:val="0"/>
      <w:divBdr>
        <w:top w:val="none" w:sz="0" w:space="0" w:color="auto"/>
        <w:left w:val="none" w:sz="0" w:space="0" w:color="auto"/>
        <w:bottom w:val="none" w:sz="0" w:space="0" w:color="auto"/>
        <w:right w:val="none" w:sz="0" w:space="0" w:color="auto"/>
      </w:divBdr>
    </w:div>
    <w:div w:id="2071730260">
      <w:bodyDiv w:val="1"/>
      <w:marLeft w:val="0"/>
      <w:marRight w:val="0"/>
      <w:marTop w:val="0"/>
      <w:marBottom w:val="0"/>
      <w:divBdr>
        <w:top w:val="none" w:sz="0" w:space="0" w:color="auto"/>
        <w:left w:val="none" w:sz="0" w:space="0" w:color="auto"/>
        <w:bottom w:val="none" w:sz="0" w:space="0" w:color="auto"/>
        <w:right w:val="none" w:sz="0" w:space="0" w:color="auto"/>
      </w:divBdr>
    </w:div>
    <w:div w:id="2071730324">
      <w:bodyDiv w:val="1"/>
      <w:marLeft w:val="0"/>
      <w:marRight w:val="0"/>
      <w:marTop w:val="0"/>
      <w:marBottom w:val="0"/>
      <w:divBdr>
        <w:top w:val="none" w:sz="0" w:space="0" w:color="auto"/>
        <w:left w:val="none" w:sz="0" w:space="0" w:color="auto"/>
        <w:bottom w:val="none" w:sz="0" w:space="0" w:color="auto"/>
        <w:right w:val="none" w:sz="0" w:space="0" w:color="auto"/>
      </w:divBdr>
    </w:div>
    <w:div w:id="2071732040">
      <w:bodyDiv w:val="1"/>
      <w:marLeft w:val="0"/>
      <w:marRight w:val="0"/>
      <w:marTop w:val="0"/>
      <w:marBottom w:val="0"/>
      <w:divBdr>
        <w:top w:val="none" w:sz="0" w:space="0" w:color="auto"/>
        <w:left w:val="none" w:sz="0" w:space="0" w:color="auto"/>
        <w:bottom w:val="none" w:sz="0" w:space="0" w:color="auto"/>
        <w:right w:val="none" w:sz="0" w:space="0" w:color="auto"/>
      </w:divBdr>
    </w:div>
    <w:div w:id="2071883482">
      <w:bodyDiv w:val="1"/>
      <w:marLeft w:val="0"/>
      <w:marRight w:val="0"/>
      <w:marTop w:val="0"/>
      <w:marBottom w:val="0"/>
      <w:divBdr>
        <w:top w:val="none" w:sz="0" w:space="0" w:color="auto"/>
        <w:left w:val="none" w:sz="0" w:space="0" w:color="auto"/>
        <w:bottom w:val="none" w:sz="0" w:space="0" w:color="auto"/>
        <w:right w:val="none" w:sz="0" w:space="0" w:color="auto"/>
      </w:divBdr>
    </w:div>
    <w:div w:id="2072002958">
      <w:bodyDiv w:val="1"/>
      <w:marLeft w:val="0"/>
      <w:marRight w:val="0"/>
      <w:marTop w:val="0"/>
      <w:marBottom w:val="0"/>
      <w:divBdr>
        <w:top w:val="none" w:sz="0" w:space="0" w:color="auto"/>
        <w:left w:val="none" w:sz="0" w:space="0" w:color="auto"/>
        <w:bottom w:val="none" w:sz="0" w:space="0" w:color="auto"/>
        <w:right w:val="none" w:sz="0" w:space="0" w:color="auto"/>
      </w:divBdr>
    </w:div>
    <w:div w:id="2072069243">
      <w:bodyDiv w:val="1"/>
      <w:marLeft w:val="0"/>
      <w:marRight w:val="0"/>
      <w:marTop w:val="0"/>
      <w:marBottom w:val="0"/>
      <w:divBdr>
        <w:top w:val="none" w:sz="0" w:space="0" w:color="auto"/>
        <w:left w:val="none" w:sz="0" w:space="0" w:color="auto"/>
        <w:bottom w:val="none" w:sz="0" w:space="0" w:color="auto"/>
        <w:right w:val="none" w:sz="0" w:space="0" w:color="auto"/>
      </w:divBdr>
    </w:div>
    <w:div w:id="2072073492">
      <w:bodyDiv w:val="1"/>
      <w:marLeft w:val="0"/>
      <w:marRight w:val="0"/>
      <w:marTop w:val="0"/>
      <w:marBottom w:val="0"/>
      <w:divBdr>
        <w:top w:val="none" w:sz="0" w:space="0" w:color="auto"/>
        <w:left w:val="none" w:sz="0" w:space="0" w:color="auto"/>
        <w:bottom w:val="none" w:sz="0" w:space="0" w:color="auto"/>
        <w:right w:val="none" w:sz="0" w:space="0" w:color="auto"/>
      </w:divBdr>
    </w:div>
    <w:div w:id="2072118295">
      <w:bodyDiv w:val="1"/>
      <w:marLeft w:val="0"/>
      <w:marRight w:val="0"/>
      <w:marTop w:val="0"/>
      <w:marBottom w:val="0"/>
      <w:divBdr>
        <w:top w:val="none" w:sz="0" w:space="0" w:color="auto"/>
        <w:left w:val="none" w:sz="0" w:space="0" w:color="auto"/>
        <w:bottom w:val="none" w:sz="0" w:space="0" w:color="auto"/>
        <w:right w:val="none" w:sz="0" w:space="0" w:color="auto"/>
      </w:divBdr>
    </w:div>
    <w:div w:id="2072196492">
      <w:bodyDiv w:val="1"/>
      <w:marLeft w:val="0"/>
      <w:marRight w:val="0"/>
      <w:marTop w:val="0"/>
      <w:marBottom w:val="0"/>
      <w:divBdr>
        <w:top w:val="none" w:sz="0" w:space="0" w:color="auto"/>
        <w:left w:val="none" w:sz="0" w:space="0" w:color="auto"/>
        <w:bottom w:val="none" w:sz="0" w:space="0" w:color="auto"/>
        <w:right w:val="none" w:sz="0" w:space="0" w:color="auto"/>
      </w:divBdr>
    </w:div>
    <w:div w:id="2072265777">
      <w:bodyDiv w:val="1"/>
      <w:marLeft w:val="0"/>
      <w:marRight w:val="0"/>
      <w:marTop w:val="0"/>
      <w:marBottom w:val="0"/>
      <w:divBdr>
        <w:top w:val="none" w:sz="0" w:space="0" w:color="auto"/>
        <w:left w:val="none" w:sz="0" w:space="0" w:color="auto"/>
        <w:bottom w:val="none" w:sz="0" w:space="0" w:color="auto"/>
        <w:right w:val="none" w:sz="0" w:space="0" w:color="auto"/>
      </w:divBdr>
    </w:div>
    <w:div w:id="2072271683">
      <w:bodyDiv w:val="1"/>
      <w:marLeft w:val="0"/>
      <w:marRight w:val="0"/>
      <w:marTop w:val="0"/>
      <w:marBottom w:val="0"/>
      <w:divBdr>
        <w:top w:val="none" w:sz="0" w:space="0" w:color="auto"/>
        <w:left w:val="none" w:sz="0" w:space="0" w:color="auto"/>
        <w:bottom w:val="none" w:sz="0" w:space="0" w:color="auto"/>
        <w:right w:val="none" w:sz="0" w:space="0" w:color="auto"/>
      </w:divBdr>
    </w:div>
    <w:div w:id="2072344184">
      <w:bodyDiv w:val="1"/>
      <w:marLeft w:val="0"/>
      <w:marRight w:val="0"/>
      <w:marTop w:val="0"/>
      <w:marBottom w:val="0"/>
      <w:divBdr>
        <w:top w:val="none" w:sz="0" w:space="0" w:color="auto"/>
        <w:left w:val="none" w:sz="0" w:space="0" w:color="auto"/>
        <w:bottom w:val="none" w:sz="0" w:space="0" w:color="auto"/>
        <w:right w:val="none" w:sz="0" w:space="0" w:color="auto"/>
      </w:divBdr>
    </w:div>
    <w:div w:id="2072576648">
      <w:bodyDiv w:val="1"/>
      <w:marLeft w:val="0"/>
      <w:marRight w:val="0"/>
      <w:marTop w:val="0"/>
      <w:marBottom w:val="0"/>
      <w:divBdr>
        <w:top w:val="none" w:sz="0" w:space="0" w:color="auto"/>
        <w:left w:val="none" w:sz="0" w:space="0" w:color="auto"/>
        <w:bottom w:val="none" w:sz="0" w:space="0" w:color="auto"/>
        <w:right w:val="none" w:sz="0" w:space="0" w:color="auto"/>
      </w:divBdr>
    </w:div>
    <w:div w:id="2072580405">
      <w:bodyDiv w:val="1"/>
      <w:marLeft w:val="0"/>
      <w:marRight w:val="0"/>
      <w:marTop w:val="0"/>
      <w:marBottom w:val="0"/>
      <w:divBdr>
        <w:top w:val="none" w:sz="0" w:space="0" w:color="auto"/>
        <w:left w:val="none" w:sz="0" w:space="0" w:color="auto"/>
        <w:bottom w:val="none" w:sz="0" w:space="0" w:color="auto"/>
        <w:right w:val="none" w:sz="0" w:space="0" w:color="auto"/>
      </w:divBdr>
    </w:div>
    <w:div w:id="2072580632">
      <w:bodyDiv w:val="1"/>
      <w:marLeft w:val="0"/>
      <w:marRight w:val="0"/>
      <w:marTop w:val="0"/>
      <w:marBottom w:val="0"/>
      <w:divBdr>
        <w:top w:val="none" w:sz="0" w:space="0" w:color="auto"/>
        <w:left w:val="none" w:sz="0" w:space="0" w:color="auto"/>
        <w:bottom w:val="none" w:sz="0" w:space="0" w:color="auto"/>
        <w:right w:val="none" w:sz="0" w:space="0" w:color="auto"/>
      </w:divBdr>
    </w:div>
    <w:div w:id="2072606529">
      <w:bodyDiv w:val="1"/>
      <w:marLeft w:val="0"/>
      <w:marRight w:val="0"/>
      <w:marTop w:val="0"/>
      <w:marBottom w:val="0"/>
      <w:divBdr>
        <w:top w:val="none" w:sz="0" w:space="0" w:color="auto"/>
        <w:left w:val="none" w:sz="0" w:space="0" w:color="auto"/>
        <w:bottom w:val="none" w:sz="0" w:space="0" w:color="auto"/>
        <w:right w:val="none" w:sz="0" w:space="0" w:color="auto"/>
      </w:divBdr>
    </w:div>
    <w:div w:id="2072606743">
      <w:bodyDiv w:val="1"/>
      <w:marLeft w:val="0"/>
      <w:marRight w:val="0"/>
      <w:marTop w:val="0"/>
      <w:marBottom w:val="0"/>
      <w:divBdr>
        <w:top w:val="none" w:sz="0" w:space="0" w:color="auto"/>
        <w:left w:val="none" w:sz="0" w:space="0" w:color="auto"/>
        <w:bottom w:val="none" w:sz="0" w:space="0" w:color="auto"/>
        <w:right w:val="none" w:sz="0" w:space="0" w:color="auto"/>
      </w:divBdr>
    </w:div>
    <w:div w:id="2072725754">
      <w:bodyDiv w:val="1"/>
      <w:marLeft w:val="0"/>
      <w:marRight w:val="0"/>
      <w:marTop w:val="0"/>
      <w:marBottom w:val="0"/>
      <w:divBdr>
        <w:top w:val="none" w:sz="0" w:space="0" w:color="auto"/>
        <w:left w:val="none" w:sz="0" w:space="0" w:color="auto"/>
        <w:bottom w:val="none" w:sz="0" w:space="0" w:color="auto"/>
        <w:right w:val="none" w:sz="0" w:space="0" w:color="auto"/>
      </w:divBdr>
    </w:div>
    <w:div w:id="2072726654">
      <w:bodyDiv w:val="1"/>
      <w:marLeft w:val="0"/>
      <w:marRight w:val="0"/>
      <w:marTop w:val="0"/>
      <w:marBottom w:val="0"/>
      <w:divBdr>
        <w:top w:val="none" w:sz="0" w:space="0" w:color="auto"/>
        <w:left w:val="none" w:sz="0" w:space="0" w:color="auto"/>
        <w:bottom w:val="none" w:sz="0" w:space="0" w:color="auto"/>
        <w:right w:val="none" w:sz="0" w:space="0" w:color="auto"/>
      </w:divBdr>
    </w:div>
    <w:div w:id="2072772878">
      <w:bodyDiv w:val="1"/>
      <w:marLeft w:val="0"/>
      <w:marRight w:val="0"/>
      <w:marTop w:val="0"/>
      <w:marBottom w:val="0"/>
      <w:divBdr>
        <w:top w:val="none" w:sz="0" w:space="0" w:color="auto"/>
        <w:left w:val="none" w:sz="0" w:space="0" w:color="auto"/>
        <w:bottom w:val="none" w:sz="0" w:space="0" w:color="auto"/>
        <w:right w:val="none" w:sz="0" w:space="0" w:color="auto"/>
      </w:divBdr>
    </w:div>
    <w:div w:id="2072997517">
      <w:bodyDiv w:val="1"/>
      <w:marLeft w:val="0"/>
      <w:marRight w:val="0"/>
      <w:marTop w:val="0"/>
      <w:marBottom w:val="0"/>
      <w:divBdr>
        <w:top w:val="none" w:sz="0" w:space="0" w:color="auto"/>
        <w:left w:val="none" w:sz="0" w:space="0" w:color="auto"/>
        <w:bottom w:val="none" w:sz="0" w:space="0" w:color="auto"/>
        <w:right w:val="none" w:sz="0" w:space="0" w:color="auto"/>
      </w:divBdr>
    </w:div>
    <w:div w:id="2072998152">
      <w:bodyDiv w:val="1"/>
      <w:marLeft w:val="0"/>
      <w:marRight w:val="0"/>
      <w:marTop w:val="0"/>
      <w:marBottom w:val="0"/>
      <w:divBdr>
        <w:top w:val="none" w:sz="0" w:space="0" w:color="auto"/>
        <w:left w:val="none" w:sz="0" w:space="0" w:color="auto"/>
        <w:bottom w:val="none" w:sz="0" w:space="0" w:color="auto"/>
        <w:right w:val="none" w:sz="0" w:space="0" w:color="auto"/>
      </w:divBdr>
    </w:div>
    <w:div w:id="2073194396">
      <w:bodyDiv w:val="1"/>
      <w:marLeft w:val="0"/>
      <w:marRight w:val="0"/>
      <w:marTop w:val="0"/>
      <w:marBottom w:val="0"/>
      <w:divBdr>
        <w:top w:val="none" w:sz="0" w:space="0" w:color="auto"/>
        <w:left w:val="none" w:sz="0" w:space="0" w:color="auto"/>
        <w:bottom w:val="none" w:sz="0" w:space="0" w:color="auto"/>
        <w:right w:val="none" w:sz="0" w:space="0" w:color="auto"/>
      </w:divBdr>
    </w:div>
    <w:div w:id="2073195128">
      <w:bodyDiv w:val="1"/>
      <w:marLeft w:val="0"/>
      <w:marRight w:val="0"/>
      <w:marTop w:val="0"/>
      <w:marBottom w:val="0"/>
      <w:divBdr>
        <w:top w:val="none" w:sz="0" w:space="0" w:color="auto"/>
        <w:left w:val="none" w:sz="0" w:space="0" w:color="auto"/>
        <w:bottom w:val="none" w:sz="0" w:space="0" w:color="auto"/>
        <w:right w:val="none" w:sz="0" w:space="0" w:color="auto"/>
      </w:divBdr>
    </w:div>
    <w:div w:id="2073236725">
      <w:bodyDiv w:val="1"/>
      <w:marLeft w:val="0"/>
      <w:marRight w:val="0"/>
      <w:marTop w:val="0"/>
      <w:marBottom w:val="0"/>
      <w:divBdr>
        <w:top w:val="none" w:sz="0" w:space="0" w:color="auto"/>
        <w:left w:val="none" w:sz="0" w:space="0" w:color="auto"/>
        <w:bottom w:val="none" w:sz="0" w:space="0" w:color="auto"/>
        <w:right w:val="none" w:sz="0" w:space="0" w:color="auto"/>
      </w:divBdr>
    </w:div>
    <w:div w:id="2073238258">
      <w:bodyDiv w:val="1"/>
      <w:marLeft w:val="0"/>
      <w:marRight w:val="0"/>
      <w:marTop w:val="0"/>
      <w:marBottom w:val="0"/>
      <w:divBdr>
        <w:top w:val="none" w:sz="0" w:space="0" w:color="auto"/>
        <w:left w:val="none" w:sz="0" w:space="0" w:color="auto"/>
        <w:bottom w:val="none" w:sz="0" w:space="0" w:color="auto"/>
        <w:right w:val="none" w:sz="0" w:space="0" w:color="auto"/>
      </w:divBdr>
    </w:div>
    <w:div w:id="2073264039">
      <w:bodyDiv w:val="1"/>
      <w:marLeft w:val="0"/>
      <w:marRight w:val="0"/>
      <w:marTop w:val="0"/>
      <w:marBottom w:val="0"/>
      <w:divBdr>
        <w:top w:val="none" w:sz="0" w:space="0" w:color="auto"/>
        <w:left w:val="none" w:sz="0" w:space="0" w:color="auto"/>
        <w:bottom w:val="none" w:sz="0" w:space="0" w:color="auto"/>
        <w:right w:val="none" w:sz="0" w:space="0" w:color="auto"/>
      </w:divBdr>
    </w:div>
    <w:div w:id="2073383900">
      <w:bodyDiv w:val="1"/>
      <w:marLeft w:val="0"/>
      <w:marRight w:val="0"/>
      <w:marTop w:val="0"/>
      <w:marBottom w:val="0"/>
      <w:divBdr>
        <w:top w:val="none" w:sz="0" w:space="0" w:color="auto"/>
        <w:left w:val="none" w:sz="0" w:space="0" w:color="auto"/>
        <w:bottom w:val="none" w:sz="0" w:space="0" w:color="auto"/>
        <w:right w:val="none" w:sz="0" w:space="0" w:color="auto"/>
      </w:divBdr>
    </w:div>
    <w:div w:id="2073624622">
      <w:bodyDiv w:val="1"/>
      <w:marLeft w:val="0"/>
      <w:marRight w:val="0"/>
      <w:marTop w:val="0"/>
      <w:marBottom w:val="0"/>
      <w:divBdr>
        <w:top w:val="none" w:sz="0" w:space="0" w:color="auto"/>
        <w:left w:val="none" w:sz="0" w:space="0" w:color="auto"/>
        <w:bottom w:val="none" w:sz="0" w:space="0" w:color="auto"/>
        <w:right w:val="none" w:sz="0" w:space="0" w:color="auto"/>
      </w:divBdr>
    </w:div>
    <w:div w:id="2073699900">
      <w:bodyDiv w:val="1"/>
      <w:marLeft w:val="0"/>
      <w:marRight w:val="0"/>
      <w:marTop w:val="0"/>
      <w:marBottom w:val="0"/>
      <w:divBdr>
        <w:top w:val="none" w:sz="0" w:space="0" w:color="auto"/>
        <w:left w:val="none" w:sz="0" w:space="0" w:color="auto"/>
        <w:bottom w:val="none" w:sz="0" w:space="0" w:color="auto"/>
        <w:right w:val="none" w:sz="0" w:space="0" w:color="auto"/>
      </w:divBdr>
    </w:div>
    <w:div w:id="2073848661">
      <w:bodyDiv w:val="1"/>
      <w:marLeft w:val="0"/>
      <w:marRight w:val="0"/>
      <w:marTop w:val="0"/>
      <w:marBottom w:val="0"/>
      <w:divBdr>
        <w:top w:val="none" w:sz="0" w:space="0" w:color="auto"/>
        <w:left w:val="none" w:sz="0" w:space="0" w:color="auto"/>
        <w:bottom w:val="none" w:sz="0" w:space="0" w:color="auto"/>
        <w:right w:val="none" w:sz="0" w:space="0" w:color="auto"/>
      </w:divBdr>
    </w:div>
    <w:div w:id="2073850412">
      <w:bodyDiv w:val="1"/>
      <w:marLeft w:val="0"/>
      <w:marRight w:val="0"/>
      <w:marTop w:val="0"/>
      <w:marBottom w:val="0"/>
      <w:divBdr>
        <w:top w:val="none" w:sz="0" w:space="0" w:color="auto"/>
        <w:left w:val="none" w:sz="0" w:space="0" w:color="auto"/>
        <w:bottom w:val="none" w:sz="0" w:space="0" w:color="auto"/>
        <w:right w:val="none" w:sz="0" w:space="0" w:color="auto"/>
      </w:divBdr>
    </w:div>
    <w:div w:id="2073851395">
      <w:bodyDiv w:val="1"/>
      <w:marLeft w:val="0"/>
      <w:marRight w:val="0"/>
      <w:marTop w:val="0"/>
      <w:marBottom w:val="0"/>
      <w:divBdr>
        <w:top w:val="none" w:sz="0" w:space="0" w:color="auto"/>
        <w:left w:val="none" w:sz="0" w:space="0" w:color="auto"/>
        <w:bottom w:val="none" w:sz="0" w:space="0" w:color="auto"/>
        <w:right w:val="none" w:sz="0" w:space="0" w:color="auto"/>
      </w:divBdr>
    </w:div>
    <w:div w:id="2073965598">
      <w:bodyDiv w:val="1"/>
      <w:marLeft w:val="0"/>
      <w:marRight w:val="0"/>
      <w:marTop w:val="0"/>
      <w:marBottom w:val="0"/>
      <w:divBdr>
        <w:top w:val="none" w:sz="0" w:space="0" w:color="auto"/>
        <w:left w:val="none" w:sz="0" w:space="0" w:color="auto"/>
        <w:bottom w:val="none" w:sz="0" w:space="0" w:color="auto"/>
        <w:right w:val="none" w:sz="0" w:space="0" w:color="auto"/>
      </w:divBdr>
    </w:div>
    <w:div w:id="2074156257">
      <w:bodyDiv w:val="1"/>
      <w:marLeft w:val="0"/>
      <w:marRight w:val="0"/>
      <w:marTop w:val="0"/>
      <w:marBottom w:val="0"/>
      <w:divBdr>
        <w:top w:val="none" w:sz="0" w:space="0" w:color="auto"/>
        <w:left w:val="none" w:sz="0" w:space="0" w:color="auto"/>
        <w:bottom w:val="none" w:sz="0" w:space="0" w:color="auto"/>
        <w:right w:val="none" w:sz="0" w:space="0" w:color="auto"/>
      </w:divBdr>
    </w:div>
    <w:div w:id="2074160877">
      <w:bodyDiv w:val="1"/>
      <w:marLeft w:val="0"/>
      <w:marRight w:val="0"/>
      <w:marTop w:val="0"/>
      <w:marBottom w:val="0"/>
      <w:divBdr>
        <w:top w:val="none" w:sz="0" w:space="0" w:color="auto"/>
        <w:left w:val="none" w:sz="0" w:space="0" w:color="auto"/>
        <w:bottom w:val="none" w:sz="0" w:space="0" w:color="auto"/>
        <w:right w:val="none" w:sz="0" w:space="0" w:color="auto"/>
      </w:divBdr>
    </w:div>
    <w:div w:id="2074352779">
      <w:bodyDiv w:val="1"/>
      <w:marLeft w:val="0"/>
      <w:marRight w:val="0"/>
      <w:marTop w:val="0"/>
      <w:marBottom w:val="0"/>
      <w:divBdr>
        <w:top w:val="none" w:sz="0" w:space="0" w:color="auto"/>
        <w:left w:val="none" w:sz="0" w:space="0" w:color="auto"/>
        <w:bottom w:val="none" w:sz="0" w:space="0" w:color="auto"/>
        <w:right w:val="none" w:sz="0" w:space="0" w:color="auto"/>
      </w:divBdr>
    </w:div>
    <w:div w:id="2074542171">
      <w:bodyDiv w:val="1"/>
      <w:marLeft w:val="0"/>
      <w:marRight w:val="0"/>
      <w:marTop w:val="0"/>
      <w:marBottom w:val="0"/>
      <w:divBdr>
        <w:top w:val="none" w:sz="0" w:space="0" w:color="auto"/>
        <w:left w:val="none" w:sz="0" w:space="0" w:color="auto"/>
        <w:bottom w:val="none" w:sz="0" w:space="0" w:color="auto"/>
        <w:right w:val="none" w:sz="0" w:space="0" w:color="auto"/>
      </w:divBdr>
    </w:div>
    <w:div w:id="2074766000">
      <w:bodyDiv w:val="1"/>
      <w:marLeft w:val="0"/>
      <w:marRight w:val="0"/>
      <w:marTop w:val="0"/>
      <w:marBottom w:val="0"/>
      <w:divBdr>
        <w:top w:val="none" w:sz="0" w:space="0" w:color="auto"/>
        <w:left w:val="none" w:sz="0" w:space="0" w:color="auto"/>
        <w:bottom w:val="none" w:sz="0" w:space="0" w:color="auto"/>
        <w:right w:val="none" w:sz="0" w:space="0" w:color="auto"/>
      </w:divBdr>
    </w:div>
    <w:div w:id="2074812881">
      <w:bodyDiv w:val="1"/>
      <w:marLeft w:val="0"/>
      <w:marRight w:val="0"/>
      <w:marTop w:val="0"/>
      <w:marBottom w:val="0"/>
      <w:divBdr>
        <w:top w:val="none" w:sz="0" w:space="0" w:color="auto"/>
        <w:left w:val="none" w:sz="0" w:space="0" w:color="auto"/>
        <w:bottom w:val="none" w:sz="0" w:space="0" w:color="auto"/>
        <w:right w:val="none" w:sz="0" w:space="0" w:color="auto"/>
      </w:divBdr>
    </w:div>
    <w:div w:id="2074885478">
      <w:bodyDiv w:val="1"/>
      <w:marLeft w:val="0"/>
      <w:marRight w:val="0"/>
      <w:marTop w:val="0"/>
      <w:marBottom w:val="0"/>
      <w:divBdr>
        <w:top w:val="none" w:sz="0" w:space="0" w:color="auto"/>
        <w:left w:val="none" w:sz="0" w:space="0" w:color="auto"/>
        <w:bottom w:val="none" w:sz="0" w:space="0" w:color="auto"/>
        <w:right w:val="none" w:sz="0" w:space="0" w:color="auto"/>
      </w:divBdr>
    </w:div>
    <w:div w:id="2074962094">
      <w:bodyDiv w:val="1"/>
      <w:marLeft w:val="0"/>
      <w:marRight w:val="0"/>
      <w:marTop w:val="0"/>
      <w:marBottom w:val="0"/>
      <w:divBdr>
        <w:top w:val="none" w:sz="0" w:space="0" w:color="auto"/>
        <w:left w:val="none" w:sz="0" w:space="0" w:color="auto"/>
        <w:bottom w:val="none" w:sz="0" w:space="0" w:color="auto"/>
        <w:right w:val="none" w:sz="0" w:space="0" w:color="auto"/>
      </w:divBdr>
    </w:div>
    <w:div w:id="2075002415">
      <w:bodyDiv w:val="1"/>
      <w:marLeft w:val="0"/>
      <w:marRight w:val="0"/>
      <w:marTop w:val="0"/>
      <w:marBottom w:val="0"/>
      <w:divBdr>
        <w:top w:val="none" w:sz="0" w:space="0" w:color="auto"/>
        <w:left w:val="none" w:sz="0" w:space="0" w:color="auto"/>
        <w:bottom w:val="none" w:sz="0" w:space="0" w:color="auto"/>
        <w:right w:val="none" w:sz="0" w:space="0" w:color="auto"/>
      </w:divBdr>
    </w:div>
    <w:div w:id="2075009898">
      <w:bodyDiv w:val="1"/>
      <w:marLeft w:val="0"/>
      <w:marRight w:val="0"/>
      <w:marTop w:val="0"/>
      <w:marBottom w:val="0"/>
      <w:divBdr>
        <w:top w:val="none" w:sz="0" w:space="0" w:color="auto"/>
        <w:left w:val="none" w:sz="0" w:space="0" w:color="auto"/>
        <w:bottom w:val="none" w:sz="0" w:space="0" w:color="auto"/>
        <w:right w:val="none" w:sz="0" w:space="0" w:color="auto"/>
      </w:divBdr>
    </w:div>
    <w:div w:id="2075077491">
      <w:bodyDiv w:val="1"/>
      <w:marLeft w:val="0"/>
      <w:marRight w:val="0"/>
      <w:marTop w:val="0"/>
      <w:marBottom w:val="0"/>
      <w:divBdr>
        <w:top w:val="none" w:sz="0" w:space="0" w:color="auto"/>
        <w:left w:val="none" w:sz="0" w:space="0" w:color="auto"/>
        <w:bottom w:val="none" w:sz="0" w:space="0" w:color="auto"/>
        <w:right w:val="none" w:sz="0" w:space="0" w:color="auto"/>
      </w:divBdr>
    </w:div>
    <w:div w:id="2075086530">
      <w:bodyDiv w:val="1"/>
      <w:marLeft w:val="0"/>
      <w:marRight w:val="0"/>
      <w:marTop w:val="0"/>
      <w:marBottom w:val="0"/>
      <w:divBdr>
        <w:top w:val="none" w:sz="0" w:space="0" w:color="auto"/>
        <w:left w:val="none" w:sz="0" w:space="0" w:color="auto"/>
        <w:bottom w:val="none" w:sz="0" w:space="0" w:color="auto"/>
        <w:right w:val="none" w:sz="0" w:space="0" w:color="auto"/>
      </w:divBdr>
    </w:div>
    <w:div w:id="2075154983">
      <w:bodyDiv w:val="1"/>
      <w:marLeft w:val="0"/>
      <w:marRight w:val="0"/>
      <w:marTop w:val="0"/>
      <w:marBottom w:val="0"/>
      <w:divBdr>
        <w:top w:val="none" w:sz="0" w:space="0" w:color="auto"/>
        <w:left w:val="none" w:sz="0" w:space="0" w:color="auto"/>
        <w:bottom w:val="none" w:sz="0" w:space="0" w:color="auto"/>
        <w:right w:val="none" w:sz="0" w:space="0" w:color="auto"/>
      </w:divBdr>
    </w:div>
    <w:div w:id="2075158928">
      <w:bodyDiv w:val="1"/>
      <w:marLeft w:val="0"/>
      <w:marRight w:val="0"/>
      <w:marTop w:val="0"/>
      <w:marBottom w:val="0"/>
      <w:divBdr>
        <w:top w:val="none" w:sz="0" w:space="0" w:color="auto"/>
        <w:left w:val="none" w:sz="0" w:space="0" w:color="auto"/>
        <w:bottom w:val="none" w:sz="0" w:space="0" w:color="auto"/>
        <w:right w:val="none" w:sz="0" w:space="0" w:color="auto"/>
      </w:divBdr>
    </w:div>
    <w:div w:id="2075228434">
      <w:bodyDiv w:val="1"/>
      <w:marLeft w:val="0"/>
      <w:marRight w:val="0"/>
      <w:marTop w:val="0"/>
      <w:marBottom w:val="0"/>
      <w:divBdr>
        <w:top w:val="none" w:sz="0" w:space="0" w:color="auto"/>
        <w:left w:val="none" w:sz="0" w:space="0" w:color="auto"/>
        <w:bottom w:val="none" w:sz="0" w:space="0" w:color="auto"/>
        <w:right w:val="none" w:sz="0" w:space="0" w:color="auto"/>
      </w:divBdr>
    </w:div>
    <w:div w:id="2075396732">
      <w:bodyDiv w:val="1"/>
      <w:marLeft w:val="0"/>
      <w:marRight w:val="0"/>
      <w:marTop w:val="0"/>
      <w:marBottom w:val="0"/>
      <w:divBdr>
        <w:top w:val="none" w:sz="0" w:space="0" w:color="auto"/>
        <w:left w:val="none" w:sz="0" w:space="0" w:color="auto"/>
        <w:bottom w:val="none" w:sz="0" w:space="0" w:color="auto"/>
        <w:right w:val="none" w:sz="0" w:space="0" w:color="auto"/>
      </w:divBdr>
    </w:div>
    <w:div w:id="2075423942">
      <w:bodyDiv w:val="1"/>
      <w:marLeft w:val="0"/>
      <w:marRight w:val="0"/>
      <w:marTop w:val="0"/>
      <w:marBottom w:val="0"/>
      <w:divBdr>
        <w:top w:val="none" w:sz="0" w:space="0" w:color="auto"/>
        <w:left w:val="none" w:sz="0" w:space="0" w:color="auto"/>
        <w:bottom w:val="none" w:sz="0" w:space="0" w:color="auto"/>
        <w:right w:val="none" w:sz="0" w:space="0" w:color="auto"/>
      </w:divBdr>
    </w:div>
    <w:div w:id="2075472725">
      <w:bodyDiv w:val="1"/>
      <w:marLeft w:val="0"/>
      <w:marRight w:val="0"/>
      <w:marTop w:val="0"/>
      <w:marBottom w:val="0"/>
      <w:divBdr>
        <w:top w:val="none" w:sz="0" w:space="0" w:color="auto"/>
        <w:left w:val="none" w:sz="0" w:space="0" w:color="auto"/>
        <w:bottom w:val="none" w:sz="0" w:space="0" w:color="auto"/>
        <w:right w:val="none" w:sz="0" w:space="0" w:color="auto"/>
      </w:divBdr>
    </w:div>
    <w:div w:id="2075540231">
      <w:bodyDiv w:val="1"/>
      <w:marLeft w:val="0"/>
      <w:marRight w:val="0"/>
      <w:marTop w:val="0"/>
      <w:marBottom w:val="0"/>
      <w:divBdr>
        <w:top w:val="none" w:sz="0" w:space="0" w:color="auto"/>
        <w:left w:val="none" w:sz="0" w:space="0" w:color="auto"/>
        <w:bottom w:val="none" w:sz="0" w:space="0" w:color="auto"/>
        <w:right w:val="none" w:sz="0" w:space="0" w:color="auto"/>
      </w:divBdr>
    </w:div>
    <w:div w:id="2075542107">
      <w:bodyDiv w:val="1"/>
      <w:marLeft w:val="0"/>
      <w:marRight w:val="0"/>
      <w:marTop w:val="0"/>
      <w:marBottom w:val="0"/>
      <w:divBdr>
        <w:top w:val="none" w:sz="0" w:space="0" w:color="auto"/>
        <w:left w:val="none" w:sz="0" w:space="0" w:color="auto"/>
        <w:bottom w:val="none" w:sz="0" w:space="0" w:color="auto"/>
        <w:right w:val="none" w:sz="0" w:space="0" w:color="auto"/>
      </w:divBdr>
    </w:div>
    <w:div w:id="2075615551">
      <w:bodyDiv w:val="1"/>
      <w:marLeft w:val="0"/>
      <w:marRight w:val="0"/>
      <w:marTop w:val="0"/>
      <w:marBottom w:val="0"/>
      <w:divBdr>
        <w:top w:val="none" w:sz="0" w:space="0" w:color="auto"/>
        <w:left w:val="none" w:sz="0" w:space="0" w:color="auto"/>
        <w:bottom w:val="none" w:sz="0" w:space="0" w:color="auto"/>
        <w:right w:val="none" w:sz="0" w:space="0" w:color="auto"/>
      </w:divBdr>
    </w:div>
    <w:div w:id="2075808503">
      <w:bodyDiv w:val="1"/>
      <w:marLeft w:val="0"/>
      <w:marRight w:val="0"/>
      <w:marTop w:val="0"/>
      <w:marBottom w:val="0"/>
      <w:divBdr>
        <w:top w:val="none" w:sz="0" w:space="0" w:color="auto"/>
        <w:left w:val="none" w:sz="0" w:space="0" w:color="auto"/>
        <w:bottom w:val="none" w:sz="0" w:space="0" w:color="auto"/>
        <w:right w:val="none" w:sz="0" w:space="0" w:color="auto"/>
      </w:divBdr>
    </w:div>
    <w:div w:id="2075856317">
      <w:bodyDiv w:val="1"/>
      <w:marLeft w:val="0"/>
      <w:marRight w:val="0"/>
      <w:marTop w:val="0"/>
      <w:marBottom w:val="0"/>
      <w:divBdr>
        <w:top w:val="none" w:sz="0" w:space="0" w:color="auto"/>
        <w:left w:val="none" w:sz="0" w:space="0" w:color="auto"/>
        <w:bottom w:val="none" w:sz="0" w:space="0" w:color="auto"/>
        <w:right w:val="none" w:sz="0" w:space="0" w:color="auto"/>
      </w:divBdr>
    </w:div>
    <w:div w:id="2075933923">
      <w:bodyDiv w:val="1"/>
      <w:marLeft w:val="0"/>
      <w:marRight w:val="0"/>
      <w:marTop w:val="0"/>
      <w:marBottom w:val="0"/>
      <w:divBdr>
        <w:top w:val="none" w:sz="0" w:space="0" w:color="auto"/>
        <w:left w:val="none" w:sz="0" w:space="0" w:color="auto"/>
        <w:bottom w:val="none" w:sz="0" w:space="0" w:color="auto"/>
        <w:right w:val="none" w:sz="0" w:space="0" w:color="auto"/>
      </w:divBdr>
    </w:div>
    <w:div w:id="2076079248">
      <w:bodyDiv w:val="1"/>
      <w:marLeft w:val="0"/>
      <w:marRight w:val="0"/>
      <w:marTop w:val="0"/>
      <w:marBottom w:val="0"/>
      <w:divBdr>
        <w:top w:val="none" w:sz="0" w:space="0" w:color="auto"/>
        <w:left w:val="none" w:sz="0" w:space="0" w:color="auto"/>
        <w:bottom w:val="none" w:sz="0" w:space="0" w:color="auto"/>
        <w:right w:val="none" w:sz="0" w:space="0" w:color="auto"/>
      </w:divBdr>
    </w:div>
    <w:div w:id="2076127598">
      <w:bodyDiv w:val="1"/>
      <w:marLeft w:val="0"/>
      <w:marRight w:val="0"/>
      <w:marTop w:val="0"/>
      <w:marBottom w:val="0"/>
      <w:divBdr>
        <w:top w:val="none" w:sz="0" w:space="0" w:color="auto"/>
        <w:left w:val="none" w:sz="0" w:space="0" w:color="auto"/>
        <w:bottom w:val="none" w:sz="0" w:space="0" w:color="auto"/>
        <w:right w:val="none" w:sz="0" w:space="0" w:color="auto"/>
      </w:divBdr>
    </w:div>
    <w:div w:id="2076128138">
      <w:bodyDiv w:val="1"/>
      <w:marLeft w:val="0"/>
      <w:marRight w:val="0"/>
      <w:marTop w:val="0"/>
      <w:marBottom w:val="0"/>
      <w:divBdr>
        <w:top w:val="none" w:sz="0" w:space="0" w:color="auto"/>
        <w:left w:val="none" w:sz="0" w:space="0" w:color="auto"/>
        <w:bottom w:val="none" w:sz="0" w:space="0" w:color="auto"/>
        <w:right w:val="none" w:sz="0" w:space="0" w:color="auto"/>
      </w:divBdr>
    </w:div>
    <w:div w:id="2076198839">
      <w:bodyDiv w:val="1"/>
      <w:marLeft w:val="0"/>
      <w:marRight w:val="0"/>
      <w:marTop w:val="0"/>
      <w:marBottom w:val="0"/>
      <w:divBdr>
        <w:top w:val="none" w:sz="0" w:space="0" w:color="auto"/>
        <w:left w:val="none" w:sz="0" w:space="0" w:color="auto"/>
        <w:bottom w:val="none" w:sz="0" w:space="0" w:color="auto"/>
        <w:right w:val="none" w:sz="0" w:space="0" w:color="auto"/>
      </w:divBdr>
    </w:div>
    <w:div w:id="2076203629">
      <w:bodyDiv w:val="1"/>
      <w:marLeft w:val="0"/>
      <w:marRight w:val="0"/>
      <w:marTop w:val="0"/>
      <w:marBottom w:val="0"/>
      <w:divBdr>
        <w:top w:val="none" w:sz="0" w:space="0" w:color="auto"/>
        <w:left w:val="none" w:sz="0" w:space="0" w:color="auto"/>
        <w:bottom w:val="none" w:sz="0" w:space="0" w:color="auto"/>
        <w:right w:val="none" w:sz="0" w:space="0" w:color="auto"/>
      </w:divBdr>
    </w:div>
    <w:div w:id="2076269846">
      <w:bodyDiv w:val="1"/>
      <w:marLeft w:val="0"/>
      <w:marRight w:val="0"/>
      <w:marTop w:val="0"/>
      <w:marBottom w:val="0"/>
      <w:divBdr>
        <w:top w:val="none" w:sz="0" w:space="0" w:color="auto"/>
        <w:left w:val="none" w:sz="0" w:space="0" w:color="auto"/>
        <w:bottom w:val="none" w:sz="0" w:space="0" w:color="auto"/>
        <w:right w:val="none" w:sz="0" w:space="0" w:color="auto"/>
      </w:divBdr>
    </w:div>
    <w:div w:id="2076463428">
      <w:bodyDiv w:val="1"/>
      <w:marLeft w:val="0"/>
      <w:marRight w:val="0"/>
      <w:marTop w:val="0"/>
      <w:marBottom w:val="0"/>
      <w:divBdr>
        <w:top w:val="none" w:sz="0" w:space="0" w:color="auto"/>
        <w:left w:val="none" w:sz="0" w:space="0" w:color="auto"/>
        <w:bottom w:val="none" w:sz="0" w:space="0" w:color="auto"/>
        <w:right w:val="none" w:sz="0" w:space="0" w:color="auto"/>
      </w:divBdr>
    </w:div>
    <w:div w:id="2076468513">
      <w:bodyDiv w:val="1"/>
      <w:marLeft w:val="0"/>
      <w:marRight w:val="0"/>
      <w:marTop w:val="0"/>
      <w:marBottom w:val="0"/>
      <w:divBdr>
        <w:top w:val="none" w:sz="0" w:space="0" w:color="auto"/>
        <w:left w:val="none" w:sz="0" w:space="0" w:color="auto"/>
        <w:bottom w:val="none" w:sz="0" w:space="0" w:color="auto"/>
        <w:right w:val="none" w:sz="0" w:space="0" w:color="auto"/>
      </w:divBdr>
    </w:div>
    <w:div w:id="2076508952">
      <w:bodyDiv w:val="1"/>
      <w:marLeft w:val="0"/>
      <w:marRight w:val="0"/>
      <w:marTop w:val="0"/>
      <w:marBottom w:val="0"/>
      <w:divBdr>
        <w:top w:val="none" w:sz="0" w:space="0" w:color="auto"/>
        <w:left w:val="none" w:sz="0" w:space="0" w:color="auto"/>
        <w:bottom w:val="none" w:sz="0" w:space="0" w:color="auto"/>
        <w:right w:val="none" w:sz="0" w:space="0" w:color="auto"/>
      </w:divBdr>
    </w:div>
    <w:div w:id="2076583087">
      <w:bodyDiv w:val="1"/>
      <w:marLeft w:val="0"/>
      <w:marRight w:val="0"/>
      <w:marTop w:val="0"/>
      <w:marBottom w:val="0"/>
      <w:divBdr>
        <w:top w:val="none" w:sz="0" w:space="0" w:color="auto"/>
        <w:left w:val="none" w:sz="0" w:space="0" w:color="auto"/>
        <w:bottom w:val="none" w:sz="0" w:space="0" w:color="auto"/>
        <w:right w:val="none" w:sz="0" w:space="0" w:color="auto"/>
      </w:divBdr>
    </w:div>
    <w:div w:id="2076584095">
      <w:bodyDiv w:val="1"/>
      <w:marLeft w:val="0"/>
      <w:marRight w:val="0"/>
      <w:marTop w:val="0"/>
      <w:marBottom w:val="0"/>
      <w:divBdr>
        <w:top w:val="none" w:sz="0" w:space="0" w:color="auto"/>
        <w:left w:val="none" w:sz="0" w:space="0" w:color="auto"/>
        <w:bottom w:val="none" w:sz="0" w:space="0" w:color="auto"/>
        <w:right w:val="none" w:sz="0" w:space="0" w:color="auto"/>
      </w:divBdr>
    </w:div>
    <w:div w:id="2076664875">
      <w:bodyDiv w:val="1"/>
      <w:marLeft w:val="0"/>
      <w:marRight w:val="0"/>
      <w:marTop w:val="0"/>
      <w:marBottom w:val="0"/>
      <w:divBdr>
        <w:top w:val="none" w:sz="0" w:space="0" w:color="auto"/>
        <w:left w:val="none" w:sz="0" w:space="0" w:color="auto"/>
        <w:bottom w:val="none" w:sz="0" w:space="0" w:color="auto"/>
        <w:right w:val="none" w:sz="0" w:space="0" w:color="auto"/>
      </w:divBdr>
    </w:div>
    <w:div w:id="2076926291">
      <w:bodyDiv w:val="1"/>
      <w:marLeft w:val="0"/>
      <w:marRight w:val="0"/>
      <w:marTop w:val="0"/>
      <w:marBottom w:val="0"/>
      <w:divBdr>
        <w:top w:val="none" w:sz="0" w:space="0" w:color="auto"/>
        <w:left w:val="none" w:sz="0" w:space="0" w:color="auto"/>
        <w:bottom w:val="none" w:sz="0" w:space="0" w:color="auto"/>
        <w:right w:val="none" w:sz="0" w:space="0" w:color="auto"/>
      </w:divBdr>
    </w:div>
    <w:div w:id="2076975054">
      <w:bodyDiv w:val="1"/>
      <w:marLeft w:val="0"/>
      <w:marRight w:val="0"/>
      <w:marTop w:val="0"/>
      <w:marBottom w:val="0"/>
      <w:divBdr>
        <w:top w:val="none" w:sz="0" w:space="0" w:color="auto"/>
        <w:left w:val="none" w:sz="0" w:space="0" w:color="auto"/>
        <w:bottom w:val="none" w:sz="0" w:space="0" w:color="auto"/>
        <w:right w:val="none" w:sz="0" w:space="0" w:color="auto"/>
      </w:divBdr>
    </w:div>
    <w:div w:id="2077048709">
      <w:bodyDiv w:val="1"/>
      <w:marLeft w:val="0"/>
      <w:marRight w:val="0"/>
      <w:marTop w:val="0"/>
      <w:marBottom w:val="0"/>
      <w:divBdr>
        <w:top w:val="none" w:sz="0" w:space="0" w:color="auto"/>
        <w:left w:val="none" w:sz="0" w:space="0" w:color="auto"/>
        <w:bottom w:val="none" w:sz="0" w:space="0" w:color="auto"/>
        <w:right w:val="none" w:sz="0" w:space="0" w:color="auto"/>
      </w:divBdr>
    </w:div>
    <w:div w:id="2077125737">
      <w:bodyDiv w:val="1"/>
      <w:marLeft w:val="0"/>
      <w:marRight w:val="0"/>
      <w:marTop w:val="0"/>
      <w:marBottom w:val="0"/>
      <w:divBdr>
        <w:top w:val="none" w:sz="0" w:space="0" w:color="auto"/>
        <w:left w:val="none" w:sz="0" w:space="0" w:color="auto"/>
        <w:bottom w:val="none" w:sz="0" w:space="0" w:color="auto"/>
        <w:right w:val="none" w:sz="0" w:space="0" w:color="auto"/>
      </w:divBdr>
    </w:div>
    <w:div w:id="2077241503">
      <w:bodyDiv w:val="1"/>
      <w:marLeft w:val="0"/>
      <w:marRight w:val="0"/>
      <w:marTop w:val="0"/>
      <w:marBottom w:val="0"/>
      <w:divBdr>
        <w:top w:val="none" w:sz="0" w:space="0" w:color="auto"/>
        <w:left w:val="none" w:sz="0" w:space="0" w:color="auto"/>
        <w:bottom w:val="none" w:sz="0" w:space="0" w:color="auto"/>
        <w:right w:val="none" w:sz="0" w:space="0" w:color="auto"/>
      </w:divBdr>
    </w:div>
    <w:div w:id="2077241848">
      <w:bodyDiv w:val="1"/>
      <w:marLeft w:val="0"/>
      <w:marRight w:val="0"/>
      <w:marTop w:val="0"/>
      <w:marBottom w:val="0"/>
      <w:divBdr>
        <w:top w:val="none" w:sz="0" w:space="0" w:color="auto"/>
        <w:left w:val="none" w:sz="0" w:space="0" w:color="auto"/>
        <w:bottom w:val="none" w:sz="0" w:space="0" w:color="auto"/>
        <w:right w:val="none" w:sz="0" w:space="0" w:color="auto"/>
      </w:divBdr>
    </w:div>
    <w:div w:id="2077313804">
      <w:bodyDiv w:val="1"/>
      <w:marLeft w:val="0"/>
      <w:marRight w:val="0"/>
      <w:marTop w:val="0"/>
      <w:marBottom w:val="0"/>
      <w:divBdr>
        <w:top w:val="none" w:sz="0" w:space="0" w:color="auto"/>
        <w:left w:val="none" w:sz="0" w:space="0" w:color="auto"/>
        <w:bottom w:val="none" w:sz="0" w:space="0" w:color="auto"/>
        <w:right w:val="none" w:sz="0" w:space="0" w:color="auto"/>
      </w:divBdr>
    </w:div>
    <w:div w:id="2077315413">
      <w:bodyDiv w:val="1"/>
      <w:marLeft w:val="0"/>
      <w:marRight w:val="0"/>
      <w:marTop w:val="0"/>
      <w:marBottom w:val="0"/>
      <w:divBdr>
        <w:top w:val="none" w:sz="0" w:space="0" w:color="auto"/>
        <w:left w:val="none" w:sz="0" w:space="0" w:color="auto"/>
        <w:bottom w:val="none" w:sz="0" w:space="0" w:color="auto"/>
        <w:right w:val="none" w:sz="0" w:space="0" w:color="auto"/>
      </w:divBdr>
    </w:div>
    <w:div w:id="2077317900">
      <w:bodyDiv w:val="1"/>
      <w:marLeft w:val="0"/>
      <w:marRight w:val="0"/>
      <w:marTop w:val="0"/>
      <w:marBottom w:val="0"/>
      <w:divBdr>
        <w:top w:val="none" w:sz="0" w:space="0" w:color="auto"/>
        <w:left w:val="none" w:sz="0" w:space="0" w:color="auto"/>
        <w:bottom w:val="none" w:sz="0" w:space="0" w:color="auto"/>
        <w:right w:val="none" w:sz="0" w:space="0" w:color="auto"/>
      </w:divBdr>
    </w:div>
    <w:div w:id="2077589305">
      <w:bodyDiv w:val="1"/>
      <w:marLeft w:val="0"/>
      <w:marRight w:val="0"/>
      <w:marTop w:val="0"/>
      <w:marBottom w:val="0"/>
      <w:divBdr>
        <w:top w:val="none" w:sz="0" w:space="0" w:color="auto"/>
        <w:left w:val="none" w:sz="0" w:space="0" w:color="auto"/>
        <w:bottom w:val="none" w:sz="0" w:space="0" w:color="auto"/>
        <w:right w:val="none" w:sz="0" w:space="0" w:color="auto"/>
      </w:divBdr>
    </w:div>
    <w:div w:id="2077624124">
      <w:bodyDiv w:val="1"/>
      <w:marLeft w:val="0"/>
      <w:marRight w:val="0"/>
      <w:marTop w:val="0"/>
      <w:marBottom w:val="0"/>
      <w:divBdr>
        <w:top w:val="none" w:sz="0" w:space="0" w:color="auto"/>
        <w:left w:val="none" w:sz="0" w:space="0" w:color="auto"/>
        <w:bottom w:val="none" w:sz="0" w:space="0" w:color="auto"/>
        <w:right w:val="none" w:sz="0" w:space="0" w:color="auto"/>
      </w:divBdr>
    </w:div>
    <w:div w:id="2077972052">
      <w:bodyDiv w:val="1"/>
      <w:marLeft w:val="0"/>
      <w:marRight w:val="0"/>
      <w:marTop w:val="0"/>
      <w:marBottom w:val="0"/>
      <w:divBdr>
        <w:top w:val="none" w:sz="0" w:space="0" w:color="auto"/>
        <w:left w:val="none" w:sz="0" w:space="0" w:color="auto"/>
        <w:bottom w:val="none" w:sz="0" w:space="0" w:color="auto"/>
        <w:right w:val="none" w:sz="0" w:space="0" w:color="auto"/>
      </w:divBdr>
    </w:div>
    <w:div w:id="2078042327">
      <w:bodyDiv w:val="1"/>
      <w:marLeft w:val="0"/>
      <w:marRight w:val="0"/>
      <w:marTop w:val="0"/>
      <w:marBottom w:val="0"/>
      <w:divBdr>
        <w:top w:val="none" w:sz="0" w:space="0" w:color="auto"/>
        <w:left w:val="none" w:sz="0" w:space="0" w:color="auto"/>
        <w:bottom w:val="none" w:sz="0" w:space="0" w:color="auto"/>
        <w:right w:val="none" w:sz="0" w:space="0" w:color="auto"/>
      </w:divBdr>
    </w:div>
    <w:div w:id="2078091387">
      <w:bodyDiv w:val="1"/>
      <w:marLeft w:val="0"/>
      <w:marRight w:val="0"/>
      <w:marTop w:val="0"/>
      <w:marBottom w:val="0"/>
      <w:divBdr>
        <w:top w:val="none" w:sz="0" w:space="0" w:color="auto"/>
        <w:left w:val="none" w:sz="0" w:space="0" w:color="auto"/>
        <w:bottom w:val="none" w:sz="0" w:space="0" w:color="auto"/>
        <w:right w:val="none" w:sz="0" w:space="0" w:color="auto"/>
      </w:divBdr>
    </w:div>
    <w:div w:id="2078278032">
      <w:bodyDiv w:val="1"/>
      <w:marLeft w:val="0"/>
      <w:marRight w:val="0"/>
      <w:marTop w:val="0"/>
      <w:marBottom w:val="0"/>
      <w:divBdr>
        <w:top w:val="none" w:sz="0" w:space="0" w:color="auto"/>
        <w:left w:val="none" w:sz="0" w:space="0" w:color="auto"/>
        <w:bottom w:val="none" w:sz="0" w:space="0" w:color="auto"/>
        <w:right w:val="none" w:sz="0" w:space="0" w:color="auto"/>
      </w:divBdr>
    </w:div>
    <w:div w:id="2078430483">
      <w:bodyDiv w:val="1"/>
      <w:marLeft w:val="0"/>
      <w:marRight w:val="0"/>
      <w:marTop w:val="0"/>
      <w:marBottom w:val="0"/>
      <w:divBdr>
        <w:top w:val="none" w:sz="0" w:space="0" w:color="auto"/>
        <w:left w:val="none" w:sz="0" w:space="0" w:color="auto"/>
        <w:bottom w:val="none" w:sz="0" w:space="0" w:color="auto"/>
        <w:right w:val="none" w:sz="0" w:space="0" w:color="auto"/>
      </w:divBdr>
    </w:div>
    <w:div w:id="2078549429">
      <w:bodyDiv w:val="1"/>
      <w:marLeft w:val="0"/>
      <w:marRight w:val="0"/>
      <w:marTop w:val="0"/>
      <w:marBottom w:val="0"/>
      <w:divBdr>
        <w:top w:val="none" w:sz="0" w:space="0" w:color="auto"/>
        <w:left w:val="none" w:sz="0" w:space="0" w:color="auto"/>
        <w:bottom w:val="none" w:sz="0" w:space="0" w:color="auto"/>
        <w:right w:val="none" w:sz="0" w:space="0" w:color="auto"/>
      </w:divBdr>
    </w:div>
    <w:div w:id="2078700589">
      <w:bodyDiv w:val="1"/>
      <w:marLeft w:val="0"/>
      <w:marRight w:val="0"/>
      <w:marTop w:val="0"/>
      <w:marBottom w:val="0"/>
      <w:divBdr>
        <w:top w:val="none" w:sz="0" w:space="0" w:color="auto"/>
        <w:left w:val="none" w:sz="0" w:space="0" w:color="auto"/>
        <w:bottom w:val="none" w:sz="0" w:space="0" w:color="auto"/>
        <w:right w:val="none" w:sz="0" w:space="0" w:color="auto"/>
      </w:divBdr>
    </w:div>
    <w:div w:id="2078701393">
      <w:bodyDiv w:val="1"/>
      <w:marLeft w:val="0"/>
      <w:marRight w:val="0"/>
      <w:marTop w:val="0"/>
      <w:marBottom w:val="0"/>
      <w:divBdr>
        <w:top w:val="none" w:sz="0" w:space="0" w:color="auto"/>
        <w:left w:val="none" w:sz="0" w:space="0" w:color="auto"/>
        <w:bottom w:val="none" w:sz="0" w:space="0" w:color="auto"/>
        <w:right w:val="none" w:sz="0" w:space="0" w:color="auto"/>
      </w:divBdr>
    </w:div>
    <w:div w:id="2078740838">
      <w:bodyDiv w:val="1"/>
      <w:marLeft w:val="0"/>
      <w:marRight w:val="0"/>
      <w:marTop w:val="0"/>
      <w:marBottom w:val="0"/>
      <w:divBdr>
        <w:top w:val="none" w:sz="0" w:space="0" w:color="auto"/>
        <w:left w:val="none" w:sz="0" w:space="0" w:color="auto"/>
        <w:bottom w:val="none" w:sz="0" w:space="0" w:color="auto"/>
        <w:right w:val="none" w:sz="0" w:space="0" w:color="auto"/>
      </w:divBdr>
    </w:div>
    <w:div w:id="2078939890">
      <w:bodyDiv w:val="1"/>
      <w:marLeft w:val="0"/>
      <w:marRight w:val="0"/>
      <w:marTop w:val="0"/>
      <w:marBottom w:val="0"/>
      <w:divBdr>
        <w:top w:val="none" w:sz="0" w:space="0" w:color="auto"/>
        <w:left w:val="none" w:sz="0" w:space="0" w:color="auto"/>
        <w:bottom w:val="none" w:sz="0" w:space="0" w:color="auto"/>
        <w:right w:val="none" w:sz="0" w:space="0" w:color="auto"/>
      </w:divBdr>
    </w:div>
    <w:div w:id="2078942361">
      <w:bodyDiv w:val="1"/>
      <w:marLeft w:val="0"/>
      <w:marRight w:val="0"/>
      <w:marTop w:val="0"/>
      <w:marBottom w:val="0"/>
      <w:divBdr>
        <w:top w:val="none" w:sz="0" w:space="0" w:color="auto"/>
        <w:left w:val="none" w:sz="0" w:space="0" w:color="auto"/>
        <w:bottom w:val="none" w:sz="0" w:space="0" w:color="auto"/>
        <w:right w:val="none" w:sz="0" w:space="0" w:color="auto"/>
      </w:divBdr>
    </w:div>
    <w:div w:id="2079008706">
      <w:bodyDiv w:val="1"/>
      <w:marLeft w:val="0"/>
      <w:marRight w:val="0"/>
      <w:marTop w:val="0"/>
      <w:marBottom w:val="0"/>
      <w:divBdr>
        <w:top w:val="none" w:sz="0" w:space="0" w:color="auto"/>
        <w:left w:val="none" w:sz="0" w:space="0" w:color="auto"/>
        <w:bottom w:val="none" w:sz="0" w:space="0" w:color="auto"/>
        <w:right w:val="none" w:sz="0" w:space="0" w:color="auto"/>
      </w:divBdr>
    </w:div>
    <w:div w:id="2079131121">
      <w:bodyDiv w:val="1"/>
      <w:marLeft w:val="0"/>
      <w:marRight w:val="0"/>
      <w:marTop w:val="0"/>
      <w:marBottom w:val="0"/>
      <w:divBdr>
        <w:top w:val="none" w:sz="0" w:space="0" w:color="auto"/>
        <w:left w:val="none" w:sz="0" w:space="0" w:color="auto"/>
        <w:bottom w:val="none" w:sz="0" w:space="0" w:color="auto"/>
        <w:right w:val="none" w:sz="0" w:space="0" w:color="auto"/>
      </w:divBdr>
    </w:div>
    <w:div w:id="2079131200">
      <w:bodyDiv w:val="1"/>
      <w:marLeft w:val="0"/>
      <w:marRight w:val="0"/>
      <w:marTop w:val="0"/>
      <w:marBottom w:val="0"/>
      <w:divBdr>
        <w:top w:val="none" w:sz="0" w:space="0" w:color="auto"/>
        <w:left w:val="none" w:sz="0" w:space="0" w:color="auto"/>
        <w:bottom w:val="none" w:sz="0" w:space="0" w:color="auto"/>
        <w:right w:val="none" w:sz="0" w:space="0" w:color="auto"/>
      </w:divBdr>
    </w:div>
    <w:div w:id="2079354609">
      <w:bodyDiv w:val="1"/>
      <w:marLeft w:val="0"/>
      <w:marRight w:val="0"/>
      <w:marTop w:val="0"/>
      <w:marBottom w:val="0"/>
      <w:divBdr>
        <w:top w:val="none" w:sz="0" w:space="0" w:color="auto"/>
        <w:left w:val="none" w:sz="0" w:space="0" w:color="auto"/>
        <w:bottom w:val="none" w:sz="0" w:space="0" w:color="auto"/>
        <w:right w:val="none" w:sz="0" w:space="0" w:color="auto"/>
      </w:divBdr>
    </w:div>
    <w:div w:id="2079354686">
      <w:bodyDiv w:val="1"/>
      <w:marLeft w:val="0"/>
      <w:marRight w:val="0"/>
      <w:marTop w:val="0"/>
      <w:marBottom w:val="0"/>
      <w:divBdr>
        <w:top w:val="none" w:sz="0" w:space="0" w:color="auto"/>
        <w:left w:val="none" w:sz="0" w:space="0" w:color="auto"/>
        <w:bottom w:val="none" w:sz="0" w:space="0" w:color="auto"/>
        <w:right w:val="none" w:sz="0" w:space="0" w:color="auto"/>
      </w:divBdr>
    </w:div>
    <w:div w:id="2079742836">
      <w:bodyDiv w:val="1"/>
      <w:marLeft w:val="0"/>
      <w:marRight w:val="0"/>
      <w:marTop w:val="0"/>
      <w:marBottom w:val="0"/>
      <w:divBdr>
        <w:top w:val="none" w:sz="0" w:space="0" w:color="auto"/>
        <w:left w:val="none" w:sz="0" w:space="0" w:color="auto"/>
        <w:bottom w:val="none" w:sz="0" w:space="0" w:color="auto"/>
        <w:right w:val="none" w:sz="0" w:space="0" w:color="auto"/>
      </w:divBdr>
    </w:div>
    <w:div w:id="2079788299">
      <w:bodyDiv w:val="1"/>
      <w:marLeft w:val="0"/>
      <w:marRight w:val="0"/>
      <w:marTop w:val="0"/>
      <w:marBottom w:val="0"/>
      <w:divBdr>
        <w:top w:val="none" w:sz="0" w:space="0" w:color="auto"/>
        <w:left w:val="none" w:sz="0" w:space="0" w:color="auto"/>
        <w:bottom w:val="none" w:sz="0" w:space="0" w:color="auto"/>
        <w:right w:val="none" w:sz="0" w:space="0" w:color="auto"/>
      </w:divBdr>
    </w:div>
    <w:div w:id="2080009929">
      <w:bodyDiv w:val="1"/>
      <w:marLeft w:val="0"/>
      <w:marRight w:val="0"/>
      <w:marTop w:val="0"/>
      <w:marBottom w:val="0"/>
      <w:divBdr>
        <w:top w:val="none" w:sz="0" w:space="0" w:color="auto"/>
        <w:left w:val="none" w:sz="0" w:space="0" w:color="auto"/>
        <w:bottom w:val="none" w:sz="0" w:space="0" w:color="auto"/>
        <w:right w:val="none" w:sz="0" w:space="0" w:color="auto"/>
      </w:divBdr>
    </w:div>
    <w:div w:id="2080054774">
      <w:bodyDiv w:val="1"/>
      <w:marLeft w:val="0"/>
      <w:marRight w:val="0"/>
      <w:marTop w:val="0"/>
      <w:marBottom w:val="0"/>
      <w:divBdr>
        <w:top w:val="none" w:sz="0" w:space="0" w:color="auto"/>
        <w:left w:val="none" w:sz="0" w:space="0" w:color="auto"/>
        <w:bottom w:val="none" w:sz="0" w:space="0" w:color="auto"/>
        <w:right w:val="none" w:sz="0" w:space="0" w:color="auto"/>
      </w:divBdr>
    </w:div>
    <w:div w:id="2080326693">
      <w:bodyDiv w:val="1"/>
      <w:marLeft w:val="0"/>
      <w:marRight w:val="0"/>
      <w:marTop w:val="0"/>
      <w:marBottom w:val="0"/>
      <w:divBdr>
        <w:top w:val="none" w:sz="0" w:space="0" w:color="auto"/>
        <w:left w:val="none" w:sz="0" w:space="0" w:color="auto"/>
        <w:bottom w:val="none" w:sz="0" w:space="0" w:color="auto"/>
        <w:right w:val="none" w:sz="0" w:space="0" w:color="auto"/>
      </w:divBdr>
    </w:div>
    <w:div w:id="2080328184">
      <w:bodyDiv w:val="1"/>
      <w:marLeft w:val="0"/>
      <w:marRight w:val="0"/>
      <w:marTop w:val="0"/>
      <w:marBottom w:val="0"/>
      <w:divBdr>
        <w:top w:val="none" w:sz="0" w:space="0" w:color="auto"/>
        <w:left w:val="none" w:sz="0" w:space="0" w:color="auto"/>
        <w:bottom w:val="none" w:sz="0" w:space="0" w:color="auto"/>
        <w:right w:val="none" w:sz="0" w:space="0" w:color="auto"/>
      </w:divBdr>
    </w:div>
    <w:div w:id="2080397582">
      <w:bodyDiv w:val="1"/>
      <w:marLeft w:val="0"/>
      <w:marRight w:val="0"/>
      <w:marTop w:val="0"/>
      <w:marBottom w:val="0"/>
      <w:divBdr>
        <w:top w:val="none" w:sz="0" w:space="0" w:color="auto"/>
        <w:left w:val="none" w:sz="0" w:space="0" w:color="auto"/>
        <w:bottom w:val="none" w:sz="0" w:space="0" w:color="auto"/>
        <w:right w:val="none" w:sz="0" w:space="0" w:color="auto"/>
      </w:divBdr>
    </w:div>
    <w:div w:id="2080398078">
      <w:bodyDiv w:val="1"/>
      <w:marLeft w:val="0"/>
      <w:marRight w:val="0"/>
      <w:marTop w:val="0"/>
      <w:marBottom w:val="0"/>
      <w:divBdr>
        <w:top w:val="none" w:sz="0" w:space="0" w:color="auto"/>
        <w:left w:val="none" w:sz="0" w:space="0" w:color="auto"/>
        <w:bottom w:val="none" w:sz="0" w:space="0" w:color="auto"/>
        <w:right w:val="none" w:sz="0" w:space="0" w:color="auto"/>
      </w:divBdr>
    </w:div>
    <w:div w:id="2080441206">
      <w:bodyDiv w:val="1"/>
      <w:marLeft w:val="0"/>
      <w:marRight w:val="0"/>
      <w:marTop w:val="0"/>
      <w:marBottom w:val="0"/>
      <w:divBdr>
        <w:top w:val="none" w:sz="0" w:space="0" w:color="auto"/>
        <w:left w:val="none" w:sz="0" w:space="0" w:color="auto"/>
        <w:bottom w:val="none" w:sz="0" w:space="0" w:color="auto"/>
        <w:right w:val="none" w:sz="0" w:space="0" w:color="auto"/>
      </w:divBdr>
    </w:div>
    <w:div w:id="2080512488">
      <w:bodyDiv w:val="1"/>
      <w:marLeft w:val="0"/>
      <w:marRight w:val="0"/>
      <w:marTop w:val="0"/>
      <w:marBottom w:val="0"/>
      <w:divBdr>
        <w:top w:val="none" w:sz="0" w:space="0" w:color="auto"/>
        <w:left w:val="none" w:sz="0" w:space="0" w:color="auto"/>
        <w:bottom w:val="none" w:sz="0" w:space="0" w:color="auto"/>
        <w:right w:val="none" w:sz="0" w:space="0" w:color="auto"/>
      </w:divBdr>
    </w:div>
    <w:div w:id="2080517182">
      <w:bodyDiv w:val="1"/>
      <w:marLeft w:val="0"/>
      <w:marRight w:val="0"/>
      <w:marTop w:val="0"/>
      <w:marBottom w:val="0"/>
      <w:divBdr>
        <w:top w:val="none" w:sz="0" w:space="0" w:color="auto"/>
        <w:left w:val="none" w:sz="0" w:space="0" w:color="auto"/>
        <w:bottom w:val="none" w:sz="0" w:space="0" w:color="auto"/>
        <w:right w:val="none" w:sz="0" w:space="0" w:color="auto"/>
      </w:divBdr>
    </w:div>
    <w:div w:id="2080857234">
      <w:bodyDiv w:val="1"/>
      <w:marLeft w:val="0"/>
      <w:marRight w:val="0"/>
      <w:marTop w:val="0"/>
      <w:marBottom w:val="0"/>
      <w:divBdr>
        <w:top w:val="none" w:sz="0" w:space="0" w:color="auto"/>
        <w:left w:val="none" w:sz="0" w:space="0" w:color="auto"/>
        <w:bottom w:val="none" w:sz="0" w:space="0" w:color="auto"/>
        <w:right w:val="none" w:sz="0" w:space="0" w:color="auto"/>
      </w:divBdr>
    </w:div>
    <w:div w:id="2080865723">
      <w:bodyDiv w:val="1"/>
      <w:marLeft w:val="0"/>
      <w:marRight w:val="0"/>
      <w:marTop w:val="0"/>
      <w:marBottom w:val="0"/>
      <w:divBdr>
        <w:top w:val="none" w:sz="0" w:space="0" w:color="auto"/>
        <w:left w:val="none" w:sz="0" w:space="0" w:color="auto"/>
        <w:bottom w:val="none" w:sz="0" w:space="0" w:color="auto"/>
        <w:right w:val="none" w:sz="0" w:space="0" w:color="auto"/>
      </w:divBdr>
    </w:div>
    <w:div w:id="2080906341">
      <w:bodyDiv w:val="1"/>
      <w:marLeft w:val="0"/>
      <w:marRight w:val="0"/>
      <w:marTop w:val="0"/>
      <w:marBottom w:val="0"/>
      <w:divBdr>
        <w:top w:val="none" w:sz="0" w:space="0" w:color="auto"/>
        <w:left w:val="none" w:sz="0" w:space="0" w:color="auto"/>
        <w:bottom w:val="none" w:sz="0" w:space="0" w:color="auto"/>
        <w:right w:val="none" w:sz="0" w:space="0" w:color="auto"/>
      </w:divBdr>
    </w:div>
    <w:div w:id="2080980474">
      <w:bodyDiv w:val="1"/>
      <w:marLeft w:val="0"/>
      <w:marRight w:val="0"/>
      <w:marTop w:val="0"/>
      <w:marBottom w:val="0"/>
      <w:divBdr>
        <w:top w:val="none" w:sz="0" w:space="0" w:color="auto"/>
        <w:left w:val="none" w:sz="0" w:space="0" w:color="auto"/>
        <w:bottom w:val="none" w:sz="0" w:space="0" w:color="auto"/>
        <w:right w:val="none" w:sz="0" w:space="0" w:color="auto"/>
      </w:divBdr>
    </w:div>
    <w:div w:id="2081054134">
      <w:bodyDiv w:val="1"/>
      <w:marLeft w:val="0"/>
      <w:marRight w:val="0"/>
      <w:marTop w:val="0"/>
      <w:marBottom w:val="0"/>
      <w:divBdr>
        <w:top w:val="none" w:sz="0" w:space="0" w:color="auto"/>
        <w:left w:val="none" w:sz="0" w:space="0" w:color="auto"/>
        <w:bottom w:val="none" w:sz="0" w:space="0" w:color="auto"/>
        <w:right w:val="none" w:sz="0" w:space="0" w:color="auto"/>
      </w:divBdr>
    </w:div>
    <w:div w:id="2081097498">
      <w:bodyDiv w:val="1"/>
      <w:marLeft w:val="0"/>
      <w:marRight w:val="0"/>
      <w:marTop w:val="0"/>
      <w:marBottom w:val="0"/>
      <w:divBdr>
        <w:top w:val="none" w:sz="0" w:space="0" w:color="auto"/>
        <w:left w:val="none" w:sz="0" w:space="0" w:color="auto"/>
        <w:bottom w:val="none" w:sz="0" w:space="0" w:color="auto"/>
        <w:right w:val="none" w:sz="0" w:space="0" w:color="auto"/>
      </w:divBdr>
    </w:div>
    <w:div w:id="2081176101">
      <w:bodyDiv w:val="1"/>
      <w:marLeft w:val="0"/>
      <w:marRight w:val="0"/>
      <w:marTop w:val="0"/>
      <w:marBottom w:val="0"/>
      <w:divBdr>
        <w:top w:val="none" w:sz="0" w:space="0" w:color="auto"/>
        <w:left w:val="none" w:sz="0" w:space="0" w:color="auto"/>
        <w:bottom w:val="none" w:sz="0" w:space="0" w:color="auto"/>
        <w:right w:val="none" w:sz="0" w:space="0" w:color="auto"/>
      </w:divBdr>
    </w:div>
    <w:div w:id="2081248399">
      <w:bodyDiv w:val="1"/>
      <w:marLeft w:val="0"/>
      <w:marRight w:val="0"/>
      <w:marTop w:val="0"/>
      <w:marBottom w:val="0"/>
      <w:divBdr>
        <w:top w:val="none" w:sz="0" w:space="0" w:color="auto"/>
        <w:left w:val="none" w:sz="0" w:space="0" w:color="auto"/>
        <w:bottom w:val="none" w:sz="0" w:space="0" w:color="auto"/>
        <w:right w:val="none" w:sz="0" w:space="0" w:color="auto"/>
      </w:divBdr>
    </w:div>
    <w:div w:id="2081293458">
      <w:bodyDiv w:val="1"/>
      <w:marLeft w:val="0"/>
      <w:marRight w:val="0"/>
      <w:marTop w:val="0"/>
      <w:marBottom w:val="0"/>
      <w:divBdr>
        <w:top w:val="none" w:sz="0" w:space="0" w:color="auto"/>
        <w:left w:val="none" w:sz="0" w:space="0" w:color="auto"/>
        <w:bottom w:val="none" w:sz="0" w:space="0" w:color="auto"/>
        <w:right w:val="none" w:sz="0" w:space="0" w:color="auto"/>
      </w:divBdr>
    </w:div>
    <w:div w:id="2081322987">
      <w:bodyDiv w:val="1"/>
      <w:marLeft w:val="0"/>
      <w:marRight w:val="0"/>
      <w:marTop w:val="0"/>
      <w:marBottom w:val="0"/>
      <w:divBdr>
        <w:top w:val="none" w:sz="0" w:space="0" w:color="auto"/>
        <w:left w:val="none" w:sz="0" w:space="0" w:color="auto"/>
        <w:bottom w:val="none" w:sz="0" w:space="0" w:color="auto"/>
        <w:right w:val="none" w:sz="0" w:space="0" w:color="auto"/>
      </w:divBdr>
    </w:div>
    <w:div w:id="2081362397">
      <w:bodyDiv w:val="1"/>
      <w:marLeft w:val="0"/>
      <w:marRight w:val="0"/>
      <w:marTop w:val="0"/>
      <w:marBottom w:val="0"/>
      <w:divBdr>
        <w:top w:val="none" w:sz="0" w:space="0" w:color="auto"/>
        <w:left w:val="none" w:sz="0" w:space="0" w:color="auto"/>
        <w:bottom w:val="none" w:sz="0" w:space="0" w:color="auto"/>
        <w:right w:val="none" w:sz="0" w:space="0" w:color="auto"/>
      </w:divBdr>
    </w:div>
    <w:div w:id="2081366017">
      <w:bodyDiv w:val="1"/>
      <w:marLeft w:val="0"/>
      <w:marRight w:val="0"/>
      <w:marTop w:val="0"/>
      <w:marBottom w:val="0"/>
      <w:divBdr>
        <w:top w:val="none" w:sz="0" w:space="0" w:color="auto"/>
        <w:left w:val="none" w:sz="0" w:space="0" w:color="auto"/>
        <w:bottom w:val="none" w:sz="0" w:space="0" w:color="auto"/>
        <w:right w:val="none" w:sz="0" w:space="0" w:color="auto"/>
      </w:divBdr>
    </w:div>
    <w:div w:id="2081514303">
      <w:bodyDiv w:val="1"/>
      <w:marLeft w:val="0"/>
      <w:marRight w:val="0"/>
      <w:marTop w:val="0"/>
      <w:marBottom w:val="0"/>
      <w:divBdr>
        <w:top w:val="none" w:sz="0" w:space="0" w:color="auto"/>
        <w:left w:val="none" w:sz="0" w:space="0" w:color="auto"/>
        <w:bottom w:val="none" w:sz="0" w:space="0" w:color="auto"/>
        <w:right w:val="none" w:sz="0" w:space="0" w:color="auto"/>
      </w:divBdr>
    </w:div>
    <w:div w:id="2081515639">
      <w:bodyDiv w:val="1"/>
      <w:marLeft w:val="0"/>
      <w:marRight w:val="0"/>
      <w:marTop w:val="0"/>
      <w:marBottom w:val="0"/>
      <w:divBdr>
        <w:top w:val="none" w:sz="0" w:space="0" w:color="auto"/>
        <w:left w:val="none" w:sz="0" w:space="0" w:color="auto"/>
        <w:bottom w:val="none" w:sz="0" w:space="0" w:color="auto"/>
        <w:right w:val="none" w:sz="0" w:space="0" w:color="auto"/>
      </w:divBdr>
    </w:div>
    <w:div w:id="2081562999">
      <w:bodyDiv w:val="1"/>
      <w:marLeft w:val="0"/>
      <w:marRight w:val="0"/>
      <w:marTop w:val="0"/>
      <w:marBottom w:val="0"/>
      <w:divBdr>
        <w:top w:val="none" w:sz="0" w:space="0" w:color="auto"/>
        <w:left w:val="none" w:sz="0" w:space="0" w:color="auto"/>
        <w:bottom w:val="none" w:sz="0" w:space="0" w:color="auto"/>
        <w:right w:val="none" w:sz="0" w:space="0" w:color="auto"/>
      </w:divBdr>
    </w:div>
    <w:div w:id="2081638521">
      <w:bodyDiv w:val="1"/>
      <w:marLeft w:val="0"/>
      <w:marRight w:val="0"/>
      <w:marTop w:val="0"/>
      <w:marBottom w:val="0"/>
      <w:divBdr>
        <w:top w:val="none" w:sz="0" w:space="0" w:color="auto"/>
        <w:left w:val="none" w:sz="0" w:space="0" w:color="auto"/>
        <w:bottom w:val="none" w:sz="0" w:space="0" w:color="auto"/>
        <w:right w:val="none" w:sz="0" w:space="0" w:color="auto"/>
      </w:divBdr>
    </w:div>
    <w:div w:id="2081707292">
      <w:bodyDiv w:val="1"/>
      <w:marLeft w:val="0"/>
      <w:marRight w:val="0"/>
      <w:marTop w:val="0"/>
      <w:marBottom w:val="0"/>
      <w:divBdr>
        <w:top w:val="none" w:sz="0" w:space="0" w:color="auto"/>
        <w:left w:val="none" w:sz="0" w:space="0" w:color="auto"/>
        <w:bottom w:val="none" w:sz="0" w:space="0" w:color="auto"/>
        <w:right w:val="none" w:sz="0" w:space="0" w:color="auto"/>
      </w:divBdr>
    </w:div>
    <w:div w:id="2081899498">
      <w:bodyDiv w:val="1"/>
      <w:marLeft w:val="0"/>
      <w:marRight w:val="0"/>
      <w:marTop w:val="0"/>
      <w:marBottom w:val="0"/>
      <w:divBdr>
        <w:top w:val="none" w:sz="0" w:space="0" w:color="auto"/>
        <w:left w:val="none" w:sz="0" w:space="0" w:color="auto"/>
        <w:bottom w:val="none" w:sz="0" w:space="0" w:color="auto"/>
        <w:right w:val="none" w:sz="0" w:space="0" w:color="auto"/>
      </w:divBdr>
    </w:div>
    <w:div w:id="2081901739">
      <w:bodyDiv w:val="1"/>
      <w:marLeft w:val="0"/>
      <w:marRight w:val="0"/>
      <w:marTop w:val="0"/>
      <w:marBottom w:val="0"/>
      <w:divBdr>
        <w:top w:val="none" w:sz="0" w:space="0" w:color="auto"/>
        <w:left w:val="none" w:sz="0" w:space="0" w:color="auto"/>
        <w:bottom w:val="none" w:sz="0" w:space="0" w:color="auto"/>
        <w:right w:val="none" w:sz="0" w:space="0" w:color="auto"/>
      </w:divBdr>
    </w:div>
    <w:div w:id="2081906494">
      <w:bodyDiv w:val="1"/>
      <w:marLeft w:val="0"/>
      <w:marRight w:val="0"/>
      <w:marTop w:val="0"/>
      <w:marBottom w:val="0"/>
      <w:divBdr>
        <w:top w:val="none" w:sz="0" w:space="0" w:color="auto"/>
        <w:left w:val="none" w:sz="0" w:space="0" w:color="auto"/>
        <w:bottom w:val="none" w:sz="0" w:space="0" w:color="auto"/>
        <w:right w:val="none" w:sz="0" w:space="0" w:color="auto"/>
      </w:divBdr>
    </w:div>
    <w:div w:id="2081976230">
      <w:bodyDiv w:val="1"/>
      <w:marLeft w:val="0"/>
      <w:marRight w:val="0"/>
      <w:marTop w:val="0"/>
      <w:marBottom w:val="0"/>
      <w:divBdr>
        <w:top w:val="none" w:sz="0" w:space="0" w:color="auto"/>
        <w:left w:val="none" w:sz="0" w:space="0" w:color="auto"/>
        <w:bottom w:val="none" w:sz="0" w:space="0" w:color="auto"/>
        <w:right w:val="none" w:sz="0" w:space="0" w:color="auto"/>
      </w:divBdr>
    </w:div>
    <w:div w:id="2082096376">
      <w:bodyDiv w:val="1"/>
      <w:marLeft w:val="0"/>
      <w:marRight w:val="0"/>
      <w:marTop w:val="0"/>
      <w:marBottom w:val="0"/>
      <w:divBdr>
        <w:top w:val="none" w:sz="0" w:space="0" w:color="auto"/>
        <w:left w:val="none" w:sz="0" w:space="0" w:color="auto"/>
        <w:bottom w:val="none" w:sz="0" w:space="0" w:color="auto"/>
        <w:right w:val="none" w:sz="0" w:space="0" w:color="auto"/>
      </w:divBdr>
    </w:div>
    <w:div w:id="2082175314">
      <w:bodyDiv w:val="1"/>
      <w:marLeft w:val="0"/>
      <w:marRight w:val="0"/>
      <w:marTop w:val="0"/>
      <w:marBottom w:val="0"/>
      <w:divBdr>
        <w:top w:val="none" w:sz="0" w:space="0" w:color="auto"/>
        <w:left w:val="none" w:sz="0" w:space="0" w:color="auto"/>
        <w:bottom w:val="none" w:sz="0" w:space="0" w:color="auto"/>
        <w:right w:val="none" w:sz="0" w:space="0" w:color="auto"/>
      </w:divBdr>
    </w:div>
    <w:div w:id="2082211086">
      <w:bodyDiv w:val="1"/>
      <w:marLeft w:val="0"/>
      <w:marRight w:val="0"/>
      <w:marTop w:val="0"/>
      <w:marBottom w:val="0"/>
      <w:divBdr>
        <w:top w:val="none" w:sz="0" w:space="0" w:color="auto"/>
        <w:left w:val="none" w:sz="0" w:space="0" w:color="auto"/>
        <w:bottom w:val="none" w:sz="0" w:space="0" w:color="auto"/>
        <w:right w:val="none" w:sz="0" w:space="0" w:color="auto"/>
      </w:divBdr>
    </w:div>
    <w:div w:id="2082285885">
      <w:bodyDiv w:val="1"/>
      <w:marLeft w:val="0"/>
      <w:marRight w:val="0"/>
      <w:marTop w:val="0"/>
      <w:marBottom w:val="0"/>
      <w:divBdr>
        <w:top w:val="none" w:sz="0" w:space="0" w:color="auto"/>
        <w:left w:val="none" w:sz="0" w:space="0" w:color="auto"/>
        <w:bottom w:val="none" w:sz="0" w:space="0" w:color="auto"/>
        <w:right w:val="none" w:sz="0" w:space="0" w:color="auto"/>
      </w:divBdr>
    </w:div>
    <w:div w:id="2082291234">
      <w:bodyDiv w:val="1"/>
      <w:marLeft w:val="0"/>
      <w:marRight w:val="0"/>
      <w:marTop w:val="0"/>
      <w:marBottom w:val="0"/>
      <w:divBdr>
        <w:top w:val="none" w:sz="0" w:space="0" w:color="auto"/>
        <w:left w:val="none" w:sz="0" w:space="0" w:color="auto"/>
        <w:bottom w:val="none" w:sz="0" w:space="0" w:color="auto"/>
        <w:right w:val="none" w:sz="0" w:space="0" w:color="auto"/>
      </w:divBdr>
    </w:div>
    <w:div w:id="2082438204">
      <w:bodyDiv w:val="1"/>
      <w:marLeft w:val="0"/>
      <w:marRight w:val="0"/>
      <w:marTop w:val="0"/>
      <w:marBottom w:val="0"/>
      <w:divBdr>
        <w:top w:val="none" w:sz="0" w:space="0" w:color="auto"/>
        <w:left w:val="none" w:sz="0" w:space="0" w:color="auto"/>
        <w:bottom w:val="none" w:sz="0" w:space="0" w:color="auto"/>
        <w:right w:val="none" w:sz="0" w:space="0" w:color="auto"/>
      </w:divBdr>
    </w:div>
    <w:div w:id="2082633144">
      <w:bodyDiv w:val="1"/>
      <w:marLeft w:val="0"/>
      <w:marRight w:val="0"/>
      <w:marTop w:val="0"/>
      <w:marBottom w:val="0"/>
      <w:divBdr>
        <w:top w:val="none" w:sz="0" w:space="0" w:color="auto"/>
        <w:left w:val="none" w:sz="0" w:space="0" w:color="auto"/>
        <w:bottom w:val="none" w:sz="0" w:space="0" w:color="auto"/>
        <w:right w:val="none" w:sz="0" w:space="0" w:color="auto"/>
      </w:divBdr>
    </w:div>
    <w:div w:id="2082671751">
      <w:bodyDiv w:val="1"/>
      <w:marLeft w:val="0"/>
      <w:marRight w:val="0"/>
      <w:marTop w:val="0"/>
      <w:marBottom w:val="0"/>
      <w:divBdr>
        <w:top w:val="none" w:sz="0" w:space="0" w:color="auto"/>
        <w:left w:val="none" w:sz="0" w:space="0" w:color="auto"/>
        <w:bottom w:val="none" w:sz="0" w:space="0" w:color="auto"/>
        <w:right w:val="none" w:sz="0" w:space="0" w:color="auto"/>
      </w:divBdr>
    </w:div>
    <w:div w:id="2082678374">
      <w:bodyDiv w:val="1"/>
      <w:marLeft w:val="0"/>
      <w:marRight w:val="0"/>
      <w:marTop w:val="0"/>
      <w:marBottom w:val="0"/>
      <w:divBdr>
        <w:top w:val="none" w:sz="0" w:space="0" w:color="auto"/>
        <w:left w:val="none" w:sz="0" w:space="0" w:color="auto"/>
        <w:bottom w:val="none" w:sz="0" w:space="0" w:color="auto"/>
        <w:right w:val="none" w:sz="0" w:space="0" w:color="auto"/>
      </w:divBdr>
    </w:div>
    <w:div w:id="2082747595">
      <w:bodyDiv w:val="1"/>
      <w:marLeft w:val="0"/>
      <w:marRight w:val="0"/>
      <w:marTop w:val="0"/>
      <w:marBottom w:val="0"/>
      <w:divBdr>
        <w:top w:val="none" w:sz="0" w:space="0" w:color="auto"/>
        <w:left w:val="none" w:sz="0" w:space="0" w:color="auto"/>
        <w:bottom w:val="none" w:sz="0" w:space="0" w:color="auto"/>
        <w:right w:val="none" w:sz="0" w:space="0" w:color="auto"/>
      </w:divBdr>
    </w:div>
    <w:div w:id="2082754726">
      <w:bodyDiv w:val="1"/>
      <w:marLeft w:val="0"/>
      <w:marRight w:val="0"/>
      <w:marTop w:val="0"/>
      <w:marBottom w:val="0"/>
      <w:divBdr>
        <w:top w:val="none" w:sz="0" w:space="0" w:color="auto"/>
        <w:left w:val="none" w:sz="0" w:space="0" w:color="auto"/>
        <w:bottom w:val="none" w:sz="0" w:space="0" w:color="auto"/>
        <w:right w:val="none" w:sz="0" w:space="0" w:color="auto"/>
      </w:divBdr>
    </w:div>
    <w:div w:id="2082872169">
      <w:bodyDiv w:val="1"/>
      <w:marLeft w:val="0"/>
      <w:marRight w:val="0"/>
      <w:marTop w:val="0"/>
      <w:marBottom w:val="0"/>
      <w:divBdr>
        <w:top w:val="none" w:sz="0" w:space="0" w:color="auto"/>
        <w:left w:val="none" w:sz="0" w:space="0" w:color="auto"/>
        <w:bottom w:val="none" w:sz="0" w:space="0" w:color="auto"/>
        <w:right w:val="none" w:sz="0" w:space="0" w:color="auto"/>
      </w:divBdr>
    </w:div>
    <w:div w:id="2083062274">
      <w:bodyDiv w:val="1"/>
      <w:marLeft w:val="0"/>
      <w:marRight w:val="0"/>
      <w:marTop w:val="0"/>
      <w:marBottom w:val="0"/>
      <w:divBdr>
        <w:top w:val="none" w:sz="0" w:space="0" w:color="auto"/>
        <w:left w:val="none" w:sz="0" w:space="0" w:color="auto"/>
        <w:bottom w:val="none" w:sz="0" w:space="0" w:color="auto"/>
        <w:right w:val="none" w:sz="0" w:space="0" w:color="auto"/>
      </w:divBdr>
    </w:div>
    <w:div w:id="2083094201">
      <w:bodyDiv w:val="1"/>
      <w:marLeft w:val="0"/>
      <w:marRight w:val="0"/>
      <w:marTop w:val="0"/>
      <w:marBottom w:val="0"/>
      <w:divBdr>
        <w:top w:val="none" w:sz="0" w:space="0" w:color="auto"/>
        <w:left w:val="none" w:sz="0" w:space="0" w:color="auto"/>
        <w:bottom w:val="none" w:sz="0" w:space="0" w:color="auto"/>
        <w:right w:val="none" w:sz="0" w:space="0" w:color="auto"/>
      </w:divBdr>
    </w:div>
    <w:div w:id="2083142920">
      <w:bodyDiv w:val="1"/>
      <w:marLeft w:val="0"/>
      <w:marRight w:val="0"/>
      <w:marTop w:val="0"/>
      <w:marBottom w:val="0"/>
      <w:divBdr>
        <w:top w:val="none" w:sz="0" w:space="0" w:color="auto"/>
        <w:left w:val="none" w:sz="0" w:space="0" w:color="auto"/>
        <w:bottom w:val="none" w:sz="0" w:space="0" w:color="auto"/>
        <w:right w:val="none" w:sz="0" w:space="0" w:color="auto"/>
      </w:divBdr>
    </w:div>
    <w:div w:id="2083216831">
      <w:bodyDiv w:val="1"/>
      <w:marLeft w:val="0"/>
      <w:marRight w:val="0"/>
      <w:marTop w:val="0"/>
      <w:marBottom w:val="0"/>
      <w:divBdr>
        <w:top w:val="none" w:sz="0" w:space="0" w:color="auto"/>
        <w:left w:val="none" w:sz="0" w:space="0" w:color="auto"/>
        <w:bottom w:val="none" w:sz="0" w:space="0" w:color="auto"/>
        <w:right w:val="none" w:sz="0" w:space="0" w:color="auto"/>
      </w:divBdr>
    </w:div>
    <w:div w:id="2083284418">
      <w:bodyDiv w:val="1"/>
      <w:marLeft w:val="0"/>
      <w:marRight w:val="0"/>
      <w:marTop w:val="0"/>
      <w:marBottom w:val="0"/>
      <w:divBdr>
        <w:top w:val="none" w:sz="0" w:space="0" w:color="auto"/>
        <w:left w:val="none" w:sz="0" w:space="0" w:color="auto"/>
        <w:bottom w:val="none" w:sz="0" w:space="0" w:color="auto"/>
        <w:right w:val="none" w:sz="0" w:space="0" w:color="auto"/>
      </w:divBdr>
    </w:div>
    <w:div w:id="2083289064">
      <w:bodyDiv w:val="1"/>
      <w:marLeft w:val="0"/>
      <w:marRight w:val="0"/>
      <w:marTop w:val="0"/>
      <w:marBottom w:val="0"/>
      <w:divBdr>
        <w:top w:val="none" w:sz="0" w:space="0" w:color="auto"/>
        <w:left w:val="none" w:sz="0" w:space="0" w:color="auto"/>
        <w:bottom w:val="none" w:sz="0" w:space="0" w:color="auto"/>
        <w:right w:val="none" w:sz="0" w:space="0" w:color="auto"/>
      </w:divBdr>
    </w:div>
    <w:div w:id="2083407251">
      <w:bodyDiv w:val="1"/>
      <w:marLeft w:val="0"/>
      <w:marRight w:val="0"/>
      <w:marTop w:val="0"/>
      <w:marBottom w:val="0"/>
      <w:divBdr>
        <w:top w:val="none" w:sz="0" w:space="0" w:color="auto"/>
        <w:left w:val="none" w:sz="0" w:space="0" w:color="auto"/>
        <w:bottom w:val="none" w:sz="0" w:space="0" w:color="auto"/>
        <w:right w:val="none" w:sz="0" w:space="0" w:color="auto"/>
      </w:divBdr>
    </w:div>
    <w:div w:id="2083410743">
      <w:bodyDiv w:val="1"/>
      <w:marLeft w:val="0"/>
      <w:marRight w:val="0"/>
      <w:marTop w:val="0"/>
      <w:marBottom w:val="0"/>
      <w:divBdr>
        <w:top w:val="none" w:sz="0" w:space="0" w:color="auto"/>
        <w:left w:val="none" w:sz="0" w:space="0" w:color="auto"/>
        <w:bottom w:val="none" w:sz="0" w:space="0" w:color="auto"/>
        <w:right w:val="none" w:sz="0" w:space="0" w:color="auto"/>
      </w:divBdr>
    </w:div>
    <w:div w:id="2083480429">
      <w:bodyDiv w:val="1"/>
      <w:marLeft w:val="0"/>
      <w:marRight w:val="0"/>
      <w:marTop w:val="0"/>
      <w:marBottom w:val="0"/>
      <w:divBdr>
        <w:top w:val="none" w:sz="0" w:space="0" w:color="auto"/>
        <w:left w:val="none" w:sz="0" w:space="0" w:color="auto"/>
        <w:bottom w:val="none" w:sz="0" w:space="0" w:color="auto"/>
        <w:right w:val="none" w:sz="0" w:space="0" w:color="auto"/>
      </w:divBdr>
    </w:div>
    <w:div w:id="2083672950">
      <w:bodyDiv w:val="1"/>
      <w:marLeft w:val="0"/>
      <w:marRight w:val="0"/>
      <w:marTop w:val="0"/>
      <w:marBottom w:val="0"/>
      <w:divBdr>
        <w:top w:val="none" w:sz="0" w:space="0" w:color="auto"/>
        <w:left w:val="none" w:sz="0" w:space="0" w:color="auto"/>
        <w:bottom w:val="none" w:sz="0" w:space="0" w:color="auto"/>
        <w:right w:val="none" w:sz="0" w:space="0" w:color="auto"/>
      </w:divBdr>
    </w:div>
    <w:div w:id="2083677771">
      <w:bodyDiv w:val="1"/>
      <w:marLeft w:val="0"/>
      <w:marRight w:val="0"/>
      <w:marTop w:val="0"/>
      <w:marBottom w:val="0"/>
      <w:divBdr>
        <w:top w:val="none" w:sz="0" w:space="0" w:color="auto"/>
        <w:left w:val="none" w:sz="0" w:space="0" w:color="auto"/>
        <w:bottom w:val="none" w:sz="0" w:space="0" w:color="auto"/>
        <w:right w:val="none" w:sz="0" w:space="0" w:color="auto"/>
      </w:divBdr>
    </w:div>
    <w:div w:id="2083720299">
      <w:bodyDiv w:val="1"/>
      <w:marLeft w:val="0"/>
      <w:marRight w:val="0"/>
      <w:marTop w:val="0"/>
      <w:marBottom w:val="0"/>
      <w:divBdr>
        <w:top w:val="none" w:sz="0" w:space="0" w:color="auto"/>
        <w:left w:val="none" w:sz="0" w:space="0" w:color="auto"/>
        <w:bottom w:val="none" w:sz="0" w:space="0" w:color="auto"/>
        <w:right w:val="none" w:sz="0" w:space="0" w:color="auto"/>
      </w:divBdr>
    </w:div>
    <w:div w:id="2083790212">
      <w:bodyDiv w:val="1"/>
      <w:marLeft w:val="0"/>
      <w:marRight w:val="0"/>
      <w:marTop w:val="0"/>
      <w:marBottom w:val="0"/>
      <w:divBdr>
        <w:top w:val="none" w:sz="0" w:space="0" w:color="auto"/>
        <w:left w:val="none" w:sz="0" w:space="0" w:color="auto"/>
        <w:bottom w:val="none" w:sz="0" w:space="0" w:color="auto"/>
        <w:right w:val="none" w:sz="0" w:space="0" w:color="auto"/>
      </w:divBdr>
    </w:div>
    <w:div w:id="2083865242">
      <w:bodyDiv w:val="1"/>
      <w:marLeft w:val="0"/>
      <w:marRight w:val="0"/>
      <w:marTop w:val="0"/>
      <w:marBottom w:val="0"/>
      <w:divBdr>
        <w:top w:val="none" w:sz="0" w:space="0" w:color="auto"/>
        <w:left w:val="none" w:sz="0" w:space="0" w:color="auto"/>
        <w:bottom w:val="none" w:sz="0" w:space="0" w:color="auto"/>
        <w:right w:val="none" w:sz="0" w:space="0" w:color="auto"/>
      </w:divBdr>
    </w:div>
    <w:div w:id="2083871113">
      <w:bodyDiv w:val="1"/>
      <w:marLeft w:val="0"/>
      <w:marRight w:val="0"/>
      <w:marTop w:val="0"/>
      <w:marBottom w:val="0"/>
      <w:divBdr>
        <w:top w:val="none" w:sz="0" w:space="0" w:color="auto"/>
        <w:left w:val="none" w:sz="0" w:space="0" w:color="auto"/>
        <w:bottom w:val="none" w:sz="0" w:space="0" w:color="auto"/>
        <w:right w:val="none" w:sz="0" w:space="0" w:color="auto"/>
      </w:divBdr>
    </w:div>
    <w:div w:id="2083873253">
      <w:bodyDiv w:val="1"/>
      <w:marLeft w:val="0"/>
      <w:marRight w:val="0"/>
      <w:marTop w:val="0"/>
      <w:marBottom w:val="0"/>
      <w:divBdr>
        <w:top w:val="none" w:sz="0" w:space="0" w:color="auto"/>
        <w:left w:val="none" w:sz="0" w:space="0" w:color="auto"/>
        <w:bottom w:val="none" w:sz="0" w:space="0" w:color="auto"/>
        <w:right w:val="none" w:sz="0" w:space="0" w:color="auto"/>
      </w:divBdr>
    </w:div>
    <w:div w:id="2083945541">
      <w:bodyDiv w:val="1"/>
      <w:marLeft w:val="0"/>
      <w:marRight w:val="0"/>
      <w:marTop w:val="0"/>
      <w:marBottom w:val="0"/>
      <w:divBdr>
        <w:top w:val="none" w:sz="0" w:space="0" w:color="auto"/>
        <w:left w:val="none" w:sz="0" w:space="0" w:color="auto"/>
        <w:bottom w:val="none" w:sz="0" w:space="0" w:color="auto"/>
        <w:right w:val="none" w:sz="0" w:space="0" w:color="auto"/>
      </w:divBdr>
    </w:div>
    <w:div w:id="2083982490">
      <w:bodyDiv w:val="1"/>
      <w:marLeft w:val="0"/>
      <w:marRight w:val="0"/>
      <w:marTop w:val="0"/>
      <w:marBottom w:val="0"/>
      <w:divBdr>
        <w:top w:val="none" w:sz="0" w:space="0" w:color="auto"/>
        <w:left w:val="none" w:sz="0" w:space="0" w:color="auto"/>
        <w:bottom w:val="none" w:sz="0" w:space="0" w:color="auto"/>
        <w:right w:val="none" w:sz="0" w:space="0" w:color="auto"/>
      </w:divBdr>
    </w:div>
    <w:div w:id="2083989857">
      <w:bodyDiv w:val="1"/>
      <w:marLeft w:val="0"/>
      <w:marRight w:val="0"/>
      <w:marTop w:val="0"/>
      <w:marBottom w:val="0"/>
      <w:divBdr>
        <w:top w:val="none" w:sz="0" w:space="0" w:color="auto"/>
        <w:left w:val="none" w:sz="0" w:space="0" w:color="auto"/>
        <w:bottom w:val="none" w:sz="0" w:space="0" w:color="auto"/>
        <w:right w:val="none" w:sz="0" w:space="0" w:color="auto"/>
      </w:divBdr>
    </w:div>
    <w:div w:id="2084061704">
      <w:bodyDiv w:val="1"/>
      <w:marLeft w:val="0"/>
      <w:marRight w:val="0"/>
      <w:marTop w:val="0"/>
      <w:marBottom w:val="0"/>
      <w:divBdr>
        <w:top w:val="none" w:sz="0" w:space="0" w:color="auto"/>
        <w:left w:val="none" w:sz="0" w:space="0" w:color="auto"/>
        <w:bottom w:val="none" w:sz="0" w:space="0" w:color="auto"/>
        <w:right w:val="none" w:sz="0" w:space="0" w:color="auto"/>
      </w:divBdr>
    </w:div>
    <w:div w:id="2084064987">
      <w:bodyDiv w:val="1"/>
      <w:marLeft w:val="0"/>
      <w:marRight w:val="0"/>
      <w:marTop w:val="0"/>
      <w:marBottom w:val="0"/>
      <w:divBdr>
        <w:top w:val="none" w:sz="0" w:space="0" w:color="auto"/>
        <w:left w:val="none" w:sz="0" w:space="0" w:color="auto"/>
        <w:bottom w:val="none" w:sz="0" w:space="0" w:color="auto"/>
        <w:right w:val="none" w:sz="0" w:space="0" w:color="auto"/>
      </w:divBdr>
    </w:div>
    <w:div w:id="2084133502">
      <w:bodyDiv w:val="1"/>
      <w:marLeft w:val="0"/>
      <w:marRight w:val="0"/>
      <w:marTop w:val="0"/>
      <w:marBottom w:val="0"/>
      <w:divBdr>
        <w:top w:val="none" w:sz="0" w:space="0" w:color="auto"/>
        <w:left w:val="none" w:sz="0" w:space="0" w:color="auto"/>
        <w:bottom w:val="none" w:sz="0" w:space="0" w:color="auto"/>
        <w:right w:val="none" w:sz="0" w:space="0" w:color="auto"/>
      </w:divBdr>
    </w:div>
    <w:div w:id="2084183315">
      <w:bodyDiv w:val="1"/>
      <w:marLeft w:val="0"/>
      <w:marRight w:val="0"/>
      <w:marTop w:val="0"/>
      <w:marBottom w:val="0"/>
      <w:divBdr>
        <w:top w:val="none" w:sz="0" w:space="0" w:color="auto"/>
        <w:left w:val="none" w:sz="0" w:space="0" w:color="auto"/>
        <w:bottom w:val="none" w:sz="0" w:space="0" w:color="auto"/>
        <w:right w:val="none" w:sz="0" w:space="0" w:color="auto"/>
      </w:divBdr>
    </w:div>
    <w:div w:id="2084259350">
      <w:bodyDiv w:val="1"/>
      <w:marLeft w:val="0"/>
      <w:marRight w:val="0"/>
      <w:marTop w:val="0"/>
      <w:marBottom w:val="0"/>
      <w:divBdr>
        <w:top w:val="none" w:sz="0" w:space="0" w:color="auto"/>
        <w:left w:val="none" w:sz="0" w:space="0" w:color="auto"/>
        <w:bottom w:val="none" w:sz="0" w:space="0" w:color="auto"/>
        <w:right w:val="none" w:sz="0" w:space="0" w:color="auto"/>
      </w:divBdr>
    </w:div>
    <w:div w:id="2084330208">
      <w:bodyDiv w:val="1"/>
      <w:marLeft w:val="0"/>
      <w:marRight w:val="0"/>
      <w:marTop w:val="0"/>
      <w:marBottom w:val="0"/>
      <w:divBdr>
        <w:top w:val="none" w:sz="0" w:space="0" w:color="auto"/>
        <w:left w:val="none" w:sz="0" w:space="0" w:color="auto"/>
        <w:bottom w:val="none" w:sz="0" w:space="0" w:color="auto"/>
        <w:right w:val="none" w:sz="0" w:space="0" w:color="auto"/>
      </w:divBdr>
    </w:div>
    <w:div w:id="2084378242">
      <w:bodyDiv w:val="1"/>
      <w:marLeft w:val="0"/>
      <w:marRight w:val="0"/>
      <w:marTop w:val="0"/>
      <w:marBottom w:val="0"/>
      <w:divBdr>
        <w:top w:val="none" w:sz="0" w:space="0" w:color="auto"/>
        <w:left w:val="none" w:sz="0" w:space="0" w:color="auto"/>
        <w:bottom w:val="none" w:sz="0" w:space="0" w:color="auto"/>
        <w:right w:val="none" w:sz="0" w:space="0" w:color="auto"/>
      </w:divBdr>
    </w:div>
    <w:div w:id="2084449028">
      <w:bodyDiv w:val="1"/>
      <w:marLeft w:val="0"/>
      <w:marRight w:val="0"/>
      <w:marTop w:val="0"/>
      <w:marBottom w:val="0"/>
      <w:divBdr>
        <w:top w:val="none" w:sz="0" w:space="0" w:color="auto"/>
        <w:left w:val="none" w:sz="0" w:space="0" w:color="auto"/>
        <w:bottom w:val="none" w:sz="0" w:space="0" w:color="auto"/>
        <w:right w:val="none" w:sz="0" w:space="0" w:color="auto"/>
      </w:divBdr>
    </w:div>
    <w:div w:id="2084525488">
      <w:bodyDiv w:val="1"/>
      <w:marLeft w:val="0"/>
      <w:marRight w:val="0"/>
      <w:marTop w:val="0"/>
      <w:marBottom w:val="0"/>
      <w:divBdr>
        <w:top w:val="none" w:sz="0" w:space="0" w:color="auto"/>
        <w:left w:val="none" w:sz="0" w:space="0" w:color="auto"/>
        <w:bottom w:val="none" w:sz="0" w:space="0" w:color="auto"/>
        <w:right w:val="none" w:sz="0" w:space="0" w:color="auto"/>
      </w:divBdr>
    </w:div>
    <w:div w:id="2084569283">
      <w:bodyDiv w:val="1"/>
      <w:marLeft w:val="0"/>
      <w:marRight w:val="0"/>
      <w:marTop w:val="0"/>
      <w:marBottom w:val="0"/>
      <w:divBdr>
        <w:top w:val="none" w:sz="0" w:space="0" w:color="auto"/>
        <w:left w:val="none" w:sz="0" w:space="0" w:color="auto"/>
        <w:bottom w:val="none" w:sz="0" w:space="0" w:color="auto"/>
        <w:right w:val="none" w:sz="0" w:space="0" w:color="auto"/>
      </w:divBdr>
    </w:div>
    <w:div w:id="2084600527">
      <w:bodyDiv w:val="1"/>
      <w:marLeft w:val="0"/>
      <w:marRight w:val="0"/>
      <w:marTop w:val="0"/>
      <w:marBottom w:val="0"/>
      <w:divBdr>
        <w:top w:val="none" w:sz="0" w:space="0" w:color="auto"/>
        <w:left w:val="none" w:sz="0" w:space="0" w:color="auto"/>
        <w:bottom w:val="none" w:sz="0" w:space="0" w:color="auto"/>
        <w:right w:val="none" w:sz="0" w:space="0" w:color="auto"/>
      </w:divBdr>
    </w:div>
    <w:div w:id="2084718545">
      <w:bodyDiv w:val="1"/>
      <w:marLeft w:val="0"/>
      <w:marRight w:val="0"/>
      <w:marTop w:val="0"/>
      <w:marBottom w:val="0"/>
      <w:divBdr>
        <w:top w:val="none" w:sz="0" w:space="0" w:color="auto"/>
        <w:left w:val="none" w:sz="0" w:space="0" w:color="auto"/>
        <w:bottom w:val="none" w:sz="0" w:space="0" w:color="auto"/>
        <w:right w:val="none" w:sz="0" w:space="0" w:color="auto"/>
      </w:divBdr>
    </w:div>
    <w:div w:id="2084718727">
      <w:bodyDiv w:val="1"/>
      <w:marLeft w:val="0"/>
      <w:marRight w:val="0"/>
      <w:marTop w:val="0"/>
      <w:marBottom w:val="0"/>
      <w:divBdr>
        <w:top w:val="none" w:sz="0" w:space="0" w:color="auto"/>
        <w:left w:val="none" w:sz="0" w:space="0" w:color="auto"/>
        <w:bottom w:val="none" w:sz="0" w:space="0" w:color="auto"/>
        <w:right w:val="none" w:sz="0" w:space="0" w:color="auto"/>
      </w:divBdr>
    </w:div>
    <w:div w:id="2084789550">
      <w:bodyDiv w:val="1"/>
      <w:marLeft w:val="0"/>
      <w:marRight w:val="0"/>
      <w:marTop w:val="0"/>
      <w:marBottom w:val="0"/>
      <w:divBdr>
        <w:top w:val="none" w:sz="0" w:space="0" w:color="auto"/>
        <w:left w:val="none" w:sz="0" w:space="0" w:color="auto"/>
        <w:bottom w:val="none" w:sz="0" w:space="0" w:color="auto"/>
        <w:right w:val="none" w:sz="0" w:space="0" w:color="auto"/>
      </w:divBdr>
    </w:div>
    <w:div w:id="2084797203">
      <w:bodyDiv w:val="1"/>
      <w:marLeft w:val="0"/>
      <w:marRight w:val="0"/>
      <w:marTop w:val="0"/>
      <w:marBottom w:val="0"/>
      <w:divBdr>
        <w:top w:val="none" w:sz="0" w:space="0" w:color="auto"/>
        <w:left w:val="none" w:sz="0" w:space="0" w:color="auto"/>
        <w:bottom w:val="none" w:sz="0" w:space="0" w:color="auto"/>
        <w:right w:val="none" w:sz="0" w:space="0" w:color="auto"/>
      </w:divBdr>
    </w:div>
    <w:div w:id="2084839267">
      <w:bodyDiv w:val="1"/>
      <w:marLeft w:val="0"/>
      <w:marRight w:val="0"/>
      <w:marTop w:val="0"/>
      <w:marBottom w:val="0"/>
      <w:divBdr>
        <w:top w:val="none" w:sz="0" w:space="0" w:color="auto"/>
        <w:left w:val="none" w:sz="0" w:space="0" w:color="auto"/>
        <w:bottom w:val="none" w:sz="0" w:space="0" w:color="auto"/>
        <w:right w:val="none" w:sz="0" w:space="0" w:color="auto"/>
      </w:divBdr>
    </w:div>
    <w:div w:id="2084839319">
      <w:bodyDiv w:val="1"/>
      <w:marLeft w:val="0"/>
      <w:marRight w:val="0"/>
      <w:marTop w:val="0"/>
      <w:marBottom w:val="0"/>
      <w:divBdr>
        <w:top w:val="none" w:sz="0" w:space="0" w:color="auto"/>
        <w:left w:val="none" w:sz="0" w:space="0" w:color="auto"/>
        <w:bottom w:val="none" w:sz="0" w:space="0" w:color="auto"/>
        <w:right w:val="none" w:sz="0" w:space="0" w:color="auto"/>
      </w:divBdr>
    </w:div>
    <w:div w:id="2085100020">
      <w:bodyDiv w:val="1"/>
      <w:marLeft w:val="0"/>
      <w:marRight w:val="0"/>
      <w:marTop w:val="0"/>
      <w:marBottom w:val="0"/>
      <w:divBdr>
        <w:top w:val="none" w:sz="0" w:space="0" w:color="auto"/>
        <w:left w:val="none" w:sz="0" w:space="0" w:color="auto"/>
        <w:bottom w:val="none" w:sz="0" w:space="0" w:color="auto"/>
        <w:right w:val="none" w:sz="0" w:space="0" w:color="auto"/>
      </w:divBdr>
    </w:div>
    <w:div w:id="2085251747">
      <w:bodyDiv w:val="1"/>
      <w:marLeft w:val="0"/>
      <w:marRight w:val="0"/>
      <w:marTop w:val="0"/>
      <w:marBottom w:val="0"/>
      <w:divBdr>
        <w:top w:val="none" w:sz="0" w:space="0" w:color="auto"/>
        <w:left w:val="none" w:sz="0" w:space="0" w:color="auto"/>
        <w:bottom w:val="none" w:sz="0" w:space="0" w:color="auto"/>
        <w:right w:val="none" w:sz="0" w:space="0" w:color="auto"/>
      </w:divBdr>
    </w:div>
    <w:div w:id="2085300467">
      <w:bodyDiv w:val="1"/>
      <w:marLeft w:val="0"/>
      <w:marRight w:val="0"/>
      <w:marTop w:val="0"/>
      <w:marBottom w:val="0"/>
      <w:divBdr>
        <w:top w:val="none" w:sz="0" w:space="0" w:color="auto"/>
        <w:left w:val="none" w:sz="0" w:space="0" w:color="auto"/>
        <w:bottom w:val="none" w:sz="0" w:space="0" w:color="auto"/>
        <w:right w:val="none" w:sz="0" w:space="0" w:color="auto"/>
      </w:divBdr>
    </w:div>
    <w:div w:id="2085300782">
      <w:bodyDiv w:val="1"/>
      <w:marLeft w:val="0"/>
      <w:marRight w:val="0"/>
      <w:marTop w:val="0"/>
      <w:marBottom w:val="0"/>
      <w:divBdr>
        <w:top w:val="none" w:sz="0" w:space="0" w:color="auto"/>
        <w:left w:val="none" w:sz="0" w:space="0" w:color="auto"/>
        <w:bottom w:val="none" w:sz="0" w:space="0" w:color="auto"/>
        <w:right w:val="none" w:sz="0" w:space="0" w:color="auto"/>
      </w:divBdr>
    </w:div>
    <w:div w:id="2085367921">
      <w:bodyDiv w:val="1"/>
      <w:marLeft w:val="0"/>
      <w:marRight w:val="0"/>
      <w:marTop w:val="0"/>
      <w:marBottom w:val="0"/>
      <w:divBdr>
        <w:top w:val="none" w:sz="0" w:space="0" w:color="auto"/>
        <w:left w:val="none" w:sz="0" w:space="0" w:color="auto"/>
        <w:bottom w:val="none" w:sz="0" w:space="0" w:color="auto"/>
        <w:right w:val="none" w:sz="0" w:space="0" w:color="auto"/>
      </w:divBdr>
    </w:div>
    <w:div w:id="2085641855">
      <w:bodyDiv w:val="1"/>
      <w:marLeft w:val="0"/>
      <w:marRight w:val="0"/>
      <w:marTop w:val="0"/>
      <w:marBottom w:val="0"/>
      <w:divBdr>
        <w:top w:val="none" w:sz="0" w:space="0" w:color="auto"/>
        <w:left w:val="none" w:sz="0" w:space="0" w:color="auto"/>
        <w:bottom w:val="none" w:sz="0" w:space="0" w:color="auto"/>
        <w:right w:val="none" w:sz="0" w:space="0" w:color="auto"/>
      </w:divBdr>
    </w:div>
    <w:div w:id="2085645962">
      <w:bodyDiv w:val="1"/>
      <w:marLeft w:val="0"/>
      <w:marRight w:val="0"/>
      <w:marTop w:val="0"/>
      <w:marBottom w:val="0"/>
      <w:divBdr>
        <w:top w:val="none" w:sz="0" w:space="0" w:color="auto"/>
        <w:left w:val="none" w:sz="0" w:space="0" w:color="auto"/>
        <w:bottom w:val="none" w:sz="0" w:space="0" w:color="auto"/>
        <w:right w:val="none" w:sz="0" w:space="0" w:color="auto"/>
      </w:divBdr>
    </w:div>
    <w:div w:id="2085684787">
      <w:bodyDiv w:val="1"/>
      <w:marLeft w:val="0"/>
      <w:marRight w:val="0"/>
      <w:marTop w:val="0"/>
      <w:marBottom w:val="0"/>
      <w:divBdr>
        <w:top w:val="none" w:sz="0" w:space="0" w:color="auto"/>
        <w:left w:val="none" w:sz="0" w:space="0" w:color="auto"/>
        <w:bottom w:val="none" w:sz="0" w:space="0" w:color="auto"/>
        <w:right w:val="none" w:sz="0" w:space="0" w:color="auto"/>
      </w:divBdr>
    </w:div>
    <w:div w:id="2085688168">
      <w:bodyDiv w:val="1"/>
      <w:marLeft w:val="0"/>
      <w:marRight w:val="0"/>
      <w:marTop w:val="0"/>
      <w:marBottom w:val="0"/>
      <w:divBdr>
        <w:top w:val="none" w:sz="0" w:space="0" w:color="auto"/>
        <w:left w:val="none" w:sz="0" w:space="0" w:color="auto"/>
        <w:bottom w:val="none" w:sz="0" w:space="0" w:color="auto"/>
        <w:right w:val="none" w:sz="0" w:space="0" w:color="auto"/>
      </w:divBdr>
    </w:div>
    <w:div w:id="2085905206">
      <w:bodyDiv w:val="1"/>
      <w:marLeft w:val="0"/>
      <w:marRight w:val="0"/>
      <w:marTop w:val="0"/>
      <w:marBottom w:val="0"/>
      <w:divBdr>
        <w:top w:val="none" w:sz="0" w:space="0" w:color="auto"/>
        <w:left w:val="none" w:sz="0" w:space="0" w:color="auto"/>
        <w:bottom w:val="none" w:sz="0" w:space="0" w:color="auto"/>
        <w:right w:val="none" w:sz="0" w:space="0" w:color="auto"/>
      </w:divBdr>
    </w:div>
    <w:div w:id="2085905330">
      <w:bodyDiv w:val="1"/>
      <w:marLeft w:val="0"/>
      <w:marRight w:val="0"/>
      <w:marTop w:val="0"/>
      <w:marBottom w:val="0"/>
      <w:divBdr>
        <w:top w:val="none" w:sz="0" w:space="0" w:color="auto"/>
        <w:left w:val="none" w:sz="0" w:space="0" w:color="auto"/>
        <w:bottom w:val="none" w:sz="0" w:space="0" w:color="auto"/>
        <w:right w:val="none" w:sz="0" w:space="0" w:color="auto"/>
      </w:divBdr>
    </w:div>
    <w:div w:id="2085906003">
      <w:bodyDiv w:val="1"/>
      <w:marLeft w:val="0"/>
      <w:marRight w:val="0"/>
      <w:marTop w:val="0"/>
      <w:marBottom w:val="0"/>
      <w:divBdr>
        <w:top w:val="none" w:sz="0" w:space="0" w:color="auto"/>
        <w:left w:val="none" w:sz="0" w:space="0" w:color="auto"/>
        <w:bottom w:val="none" w:sz="0" w:space="0" w:color="auto"/>
        <w:right w:val="none" w:sz="0" w:space="0" w:color="auto"/>
      </w:divBdr>
    </w:div>
    <w:div w:id="2085909289">
      <w:bodyDiv w:val="1"/>
      <w:marLeft w:val="0"/>
      <w:marRight w:val="0"/>
      <w:marTop w:val="0"/>
      <w:marBottom w:val="0"/>
      <w:divBdr>
        <w:top w:val="none" w:sz="0" w:space="0" w:color="auto"/>
        <w:left w:val="none" w:sz="0" w:space="0" w:color="auto"/>
        <w:bottom w:val="none" w:sz="0" w:space="0" w:color="auto"/>
        <w:right w:val="none" w:sz="0" w:space="0" w:color="auto"/>
      </w:divBdr>
    </w:div>
    <w:div w:id="2086026874">
      <w:bodyDiv w:val="1"/>
      <w:marLeft w:val="0"/>
      <w:marRight w:val="0"/>
      <w:marTop w:val="0"/>
      <w:marBottom w:val="0"/>
      <w:divBdr>
        <w:top w:val="none" w:sz="0" w:space="0" w:color="auto"/>
        <w:left w:val="none" w:sz="0" w:space="0" w:color="auto"/>
        <w:bottom w:val="none" w:sz="0" w:space="0" w:color="auto"/>
        <w:right w:val="none" w:sz="0" w:space="0" w:color="auto"/>
      </w:divBdr>
    </w:div>
    <w:div w:id="2086029092">
      <w:bodyDiv w:val="1"/>
      <w:marLeft w:val="0"/>
      <w:marRight w:val="0"/>
      <w:marTop w:val="0"/>
      <w:marBottom w:val="0"/>
      <w:divBdr>
        <w:top w:val="none" w:sz="0" w:space="0" w:color="auto"/>
        <w:left w:val="none" w:sz="0" w:space="0" w:color="auto"/>
        <w:bottom w:val="none" w:sz="0" w:space="0" w:color="auto"/>
        <w:right w:val="none" w:sz="0" w:space="0" w:color="auto"/>
      </w:divBdr>
    </w:div>
    <w:div w:id="2086104049">
      <w:bodyDiv w:val="1"/>
      <w:marLeft w:val="0"/>
      <w:marRight w:val="0"/>
      <w:marTop w:val="0"/>
      <w:marBottom w:val="0"/>
      <w:divBdr>
        <w:top w:val="none" w:sz="0" w:space="0" w:color="auto"/>
        <w:left w:val="none" w:sz="0" w:space="0" w:color="auto"/>
        <w:bottom w:val="none" w:sz="0" w:space="0" w:color="auto"/>
        <w:right w:val="none" w:sz="0" w:space="0" w:color="auto"/>
      </w:divBdr>
    </w:div>
    <w:div w:id="2086144107">
      <w:bodyDiv w:val="1"/>
      <w:marLeft w:val="0"/>
      <w:marRight w:val="0"/>
      <w:marTop w:val="0"/>
      <w:marBottom w:val="0"/>
      <w:divBdr>
        <w:top w:val="none" w:sz="0" w:space="0" w:color="auto"/>
        <w:left w:val="none" w:sz="0" w:space="0" w:color="auto"/>
        <w:bottom w:val="none" w:sz="0" w:space="0" w:color="auto"/>
        <w:right w:val="none" w:sz="0" w:space="0" w:color="auto"/>
      </w:divBdr>
    </w:div>
    <w:div w:id="2086299783">
      <w:bodyDiv w:val="1"/>
      <w:marLeft w:val="0"/>
      <w:marRight w:val="0"/>
      <w:marTop w:val="0"/>
      <w:marBottom w:val="0"/>
      <w:divBdr>
        <w:top w:val="none" w:sz="0" w:space="0" w:color="auto"/>
        <w:left w:val="none" w:sz="0" w:space="0" w:color="auto"/>
        <w:bottom w:val="none" w:sz="0" w:space="0" w:color="auto"/>
        <w:right w:val="none" w:sz="0" w:space="0" w:color="auto"/>
      </w:divBdr>
    </w:div>
    <w:div w:id="2086342569">
      <w:bodyDiv w:val="1"/>
      <w:marLeft w:val="0"/>
      <w:marRight w:val="0"/>
      <w:marTop w:val="0"/>
      <w:marBottom w:val="0"/>
      <w:divBdr>
        <w:top w:val="none" w:sz="0" w:space="0" w:color="auto"/>
        <w:left w:val="none" w:sz="0" w:space="0" w:color="auto"/>
        <w:bottom w:val="none" w:sz="0" w:space="0" w:color="auto"/>
        <w:right w:val="none" w:sz="0" w:space="0" w:color="auto"/>
      </w:divBdr>
    </w:div>
    <w:div w:id="2086603077">
      <w:bodyDiv w:val="1"/>
      <w:marLeft w:val="0"/>
      <w:marRight w:val="0"/>
      <w:marTop w:val="0"/>
      <w:marBottom w:val="0"/>
      <w:divBdr>
        <w:top w:val="none" w:sz="0" w:space="0" w:color="auto"/>
        <w:left w:val="none" w:sz="0" w:space="0" w:color="auto"/>
        <w:bottom w:val="none" w:sz="0" w:space="0" w:color="auto"/>
        <w:right w:val="none" w:sz="0" w:space="0" w:color="auto"/>
      </w:divBdr>
    </w:div>
    <w:div w:id="2086760841">
      <w:bodyDiv w:val="1"/>
      <w:marLeft w:val="0"/>
      <w:marRight w:val="0"/>
      <w:marTop w:val="0"/>
      <w:marBottom w:val="0"/>
      <w:divBdr>
        <w:top w:val="none" w:sz="0" w:space="0" w:color="auto"/>
        <w:left w:val="none" w:sz="0" w:space="0" w:color="auto"/>
        <w:bottom w:val="none" w:sz="0" w:space="0" w:color="auto"/>
        <w:right w:val="none" w:sz="0" w:space="0" w:color="auto"/>
      </w:divBdr>
    </w:div>
    <w:div w:id="2086761194">
      <w:bodyDiv w:val="1"/>
      <w:marLeft w:val="0"/>
      <w:marRight w:val="0"/>
      <w:marTop w:val="0"/>
      <w:marBottom w:val="0"/>
      <w:divBdr>
        <w:top w:val="none" w:sz="0" w:space="0" w:color="auto"/>
        <w:left w:val="none" w:sz="0" w:space="0" w:color="auto"/>
        <w:bottom w:val="none" w:sz="0" w:space="0" w:color="auto"/>
        <w:right w:val="none" w:sz="0" w:space="0" w:color="auto"/>
      </w:divBdr>
    </w:div>
    <w:div w:id="2086876085">
      <w:bodyDiv w:val="1"/>
      <w:marLeft w:val="0"/>
      <w:marRight w:val="0"/>
      <w:marTop w:val="0"/>
      <w:marBottom w:val="0"/>
      <w:divBdr>
        <w:top w:val="none" w:sz="0" w:space="0" w:color="auto"/>
        <w:left w:val="none" w:sz="0" w:space="0" w:color="auto"/>
        <w:bottom w:val="none" w:sz="0" w:space="0" w:color="auto"/>
        <w:right w:val="none" w:sz="0" w:space="0" w:color="auto"/>
      </w:divBdr>
    </w:div>
    <w:div w:id="2086951055">
      <w:bodyDiv w:val="1"/>
      <w:marLeft w:val="0"/>
      <w:marRight w:val="0"/>
      <w:marTop w:val="0"/>
      <w:marBottom w:val="0"/>
      <w:divBdr>
        <w:top w:val="none" w:sz="0" w:space="0" w:color="auto"/>
        <w:left w:val="none" w:sz="0" w:space="0" w:color="auto"/>
        <w:bottom w:val="none" w:sz="0" w:space="0" w:color="auto"/>
        <w:right w:val="none" w:sz="0" w:space="0" w:color="auto"/>
      </w:divBdr>
    </w:div>
    <w:div w:id="2086951391">
      <w:bodyDiv w:val="1"/>
      <w:marLeft w:val="0"/>
      <w:marRight w:val="0"/>
      <w:marTop w:val="0"/>
      <w:marBottom w:val="0"/>
      <w:divBdr>
        <w:top w:val="none" w:sz="0" w:space="0" w:color="auto"/>
        <w:left w:val="none" w:sz="0" w:space="0" w:color="auto"/>
        <w:bottom w:val="none" w:sz="0" w:space="0" w:color="auto"/>
        <w:right w:val="none" w:sz="0" w:space="0" w:color="auto"/>
      </w:divBdr>
    </w:div>
    <w:div w:id="2086995158">
      <w:bodyDiv w:val="1"/>
      <w:marLeft w:val="0"/>
      <w:marRight w:val="0"/>
      <w:marTop w:val="0"/>
      <w:marBottom w:val="0"/>
      <w:divBdr>
        <w:top w:val="none" w:sz="0" w:space="0" w:color="auto"/>
        <w:left w:val="none" w:sz="0" w:space="0" w:color="auto"/>
        <w:bottom w:val="none" w:sz="0" w:space="0" w:color="auto"/>
        <w:right w:val="none" w:sz="0" w:space="0" w:color="auto"/>
      </w:divBdr>
    </w:div>
    <w:div w:id="2087022874">
      <w:bodyDiv w:val="1"/>
      <w:marLeft w:val="0"/>
      <w:marRight w:val="0"/>
      <w:marTop w:val="0"/>
      <w:marBottom w:val="0"/>
      <w:divBdr>
        <w:top w:val="none" w:sz="0" w:space="0" w:color="auto"/>
        <w:left w:val="none" w:sz="0" w:space="0" w:color="auto"/>
        <w:bottom w:val="none" w:sz="0" w:space="0" w:color="auto"/>
        <w:right w:val="none" w:sz="0" w:space="0" w:color="auto"/>
      </w:divBdr>
    </w:div>
    <w:div w:id="2087066229">
      <w:bodyDiv w:val="1"/>
      <w:marLeft w:val="0"/>
      <w:marRight w:val="0"/>
      <w:marTop w:val="0"/>
      <w:marBottom w:val="0"/>
      <w:divBdr>
        <w:top w:val="none" w:sz="0" w:space="0" w:color="auto"/>
        <w:left w:val="none" w:sz="0" w:space="0" w:color="auto"/>
        <w:bottom w:val="none" w:sz="0" w:space="0" w:color="auto"/>
        <w:right w:val="none" w:sz="0" w:space="0" w:color="auto"/>
      </w:divBdr>
    </w:div>
    <w:div w:id="2087070497">
      <w:bodyDiv w:val="1"/>
      <w:marLeft w:val="0"/>
      <w:marRight w:val="0"/>
      <w:marTop w:val="0"/>
      <w:marBottom w:val="0"/>
      <w:divBdr>
        <w:top w:val="none" w:sz="0" w:space="0" w:color="auto"/>
        <w:left w:val="none" w:sz="0" w:space="0" w:color="auto"/>
        <w:bottom w:val="none" w:sz="0" w:space="0" w:color="auto"/>
        <w:right w:val="none" w:sz="0" w:space="0" w:color="auto"/>
      </w:divBdr>
    </w:div>
    <w:div w:id="2087452926">
      <w:bodyDiv w:val="1"/>
      <w:marLeft w:val="0"/>
      <w:marRight w:val="0"/>
      <w:marTop w:val="0"/>
      <w:marBottom w:val="0"/>
      <w:divBdr>
        <w:top w:val="none" w:sz="0" w:space="0" w:color="auto"/>
        <w:left w:val="none" w:sz="0" w:space="0" w:color="auto"/>
        <w:bottom w:val="none" w:sz="0" w:space="0" w:color="auto"/>
        <w:right w:val="none" w:sz="0" w:space="0" w:color="auto"/>
      </w:divBdr>
    </w:div>
    <w:div w:id="2087529652">
      <w:bodyDiv w:val="1"/>
      <w:marLeft w:val="0"/>
      <w:marRight w:val="0"/>
      <w:marTop w:val="0"/>
      <w:marBottom w:val="0"/>
      <w:divBdr>
        <w:top w:val="none" w:sz="0" w:space="0" w:color="auto"/>
        <w:left w:val="none" w:sz="0" w:space="0" w:color="auto"/>
        <w:bottom w:val="none" w:sz="0" w:space="0" w:color="auto"/>
        <w:right w:val="none" w:sz="0" w:space="0" w:color="auto"/>
      </w:divBdr>
    </w:div>
    <w:div w:id="2087532518">
      <w:bodyDiv w:val="1"/>
      <w:marLeft w:val="0"/>
      <w:marRight w:val="0"/>
      <w:marTop w:val="0"/>
      <w:marBottom w:val="0"/>
      <w:divBdr>
        <w:top w:val="none" w:sz="0" w:space="0" w:color="auto"/>
        <w:left w:val="none" w:sz="0" w:space="0" w:color="auto"/>
        <w:bottom w:val="none" w:sz="0" w:space="0" w:color="auto"/>
        <w:right w:val="none" w:sz="0" w:space="0" w:color="auto"/>
      </w:divBdr>
    </w:div>
    <w:div w:id="2087650966">
      <w:bodyDiv w:val="1"/>
      <w:marLeft w:val="0"/>
      <w:marRight w:val="0"/>
      <w:marTop w:val="0"/>
      <w:marBottom w:val="0"/>
      <w:divBdr>
        <w:top w:val="none" w:sz="0" w:space="0" w:color="auto"/>
        <w:left w:val="none" w:sz="0" w:space="0" w:color="auto"/>
        <w:bottom w:val="none" w:sz="0" w:space="0" w:color="auto"/>
        <w:right w:val="none" w:sz="0" w:space="0" w:color="auto"/>
      </w:divBdr>
    </w:div>
    <w:div w:id="2087721160">
      <w:bodyDiv w:val="1"/>
      <w:marLeft w:val="0"/>
      <w:marRight w:val="0"/>
      <w:marTop w:val="0"/>
      <w:marBottom w:val="0"/>
      <w:divBdr>
        <w:top w:val="none" w:sz="0" w:space="0" w:color="auto"/>
        <w:left w:val="none" w:sz="0" w:space="0" w:color="auto"/>
        <w:bottom w:val="none" w:sz="0" w:space="0" w:color="auto"/>
        <w:right w:val="none" w:sz="0" w:space="0" w:color="auto"/>
      </w:divBdr>
    </w:div>
    <w:div w:id="2087798620">
      <w:bodyDiv w:val="1"/>
      <w:marLeft w:val="0"/>
      <w:marRight w:val="0"/>
      <w:marTop w:val="0"/>
      <w:marBottom w:val="0"/>
      <w:divBdr>
        <w:top w:val="none" w:sz="0" w:space="0" w:color="auto"/>
        <w:left w:val="none" w:sz="0" w:space="0" w:color="auto"/>
        <w:bottom w:val="none" w:sz="0" w:space="0" w:color="auto"/>
        <w:right w:val="none" w:sz="0" w:space="0" w:color="auto"/>
      </w:divBdr>
    </w:div>
    <w:div w:id="2087800060">
      <w:bodyDiv w:val="1"/>
      <w:marLeft w:val="0"/>
      <w:marRight w:val="0"/>
      <w:marTop w:val="0"/>
      <w:marBottom w:val="0"/>
      <w:divBdr>
        <w:top w:val="none" w:sz="0" w:space="0" w:color="auto"/>
        <w:left w:val="none" w:sz="0" w:space="0" w:color="auto"/>
        <w:bottom w:val="none" w:sz="0" w:space="0" w:color="auto"/>
        <w:right w:val="none" w:sz="0" w:space="0" w:color="auto"/>
      </w:divBdr>
    </w:div>
    <w:div w:id="2087875189">
      <w:bodyDiv w:val="1"/>
      <w:marLeft w:val="0"/>
      <w:marRight w:val="0"/>
      <w:marTop w:val="0"/>
      <w:marBottom w:val="0"/>
      <w:divBdr>
        <w:top w:val="none" w:sz="0" w:space="0" w:color="auto"/>
        <w:left w:val="none" w:sz="0" w:space="0" w:color="auto"/>
        <w:bottom w:val="none" w:sz="0" w:space="0" w:color="auto"/>
        <w:right w:val="none" w:sz="0" w:space="0" w:color="auto"/>
      </w:divBdr>
    </w:div>
    <w:div w:id="2087920587">
      <w:bodyDiv w:val="1"/>
      <w:marLeft w:val="0"/>
      <w:marRight w:val="0"/>
      <w:marTop w:val="0"/>
      <w:marBottom w:val="0"/>
      <w:divBdr>
        <w:top w:val="none" w:sz="0" w:space="0" w:color="auto"/>
        <w:left w:val="none" w:sz="0" w:space="0" w:color="auto"/>
        <w:bottom w:val="none" w:sz="0" w:space="0" w:color="auto"/>
        <w:right w:val="none" w:sz="0" w:space="0" w:color="auto"/>
      </w:divBdr>
    </w:div>
    <w:div w:id="2087990209">
      <w:bodyDiv w:val="1"/>
      <w:marLeft w:val="0"/>
      <w:marRight w:val="0"/>
      <w:marTop w:val="0"/>
      <w:marBottom w:val="0"/>
      <w:divBdr>
        <w:top w:val="none" w:sz="0" w:space="0" w:color="auto"/>
        <w:left w:val="none" w:sz="0" w:space="0" w:color="auto"/>
        <w:bottom w:val="none" w:sz="0" w:space="0" w:color="auto"/>
        <w:right w:val="none" w:sz="0" w:space="0" w:color="auto"/>
      </w:divBdr>
    </w:div>
    <w:div w:id="2087991657">
      <w:bodyDiv w:val="1"/>
      <w:marLeft w:val="0"/>
      <w:marRight w:val="0"/>
      <w:marTop w:val="0"/>
      <w:marBottom w:val="0"/>
      <w:divBdr>
        <w:top w:val="none" w:sz="0" w:space="0" w:color="auto"/>
        <w:left w:val="none" w:sz="0" w:space="0" w:color="auto"/>
        <w:bottom w:val="none" w:sz="0" w:space="0" w:color="auto"/>
        <w:right w:val="none" w:sz="0" w:space="0" w:color="auto"/>
      </w:divBdr>
    </w:div>
    <w:div w:id="2088109115">
      <w:bodyDiv w:val="1"/>
      <w:marLeft w:val="0"/>
      <w:marRight w:val="0"/>
      <w:marTop w:val="0"/>
      <w:marBottom w:val="0"/>
      <w:divBdr>
        <w:top w:val="none" w:sz="0" w:space="0" w:color="auto"/>
        <w:left w:val="none" w:sz="0" w:space="0" w:color="auto"/>
        <w:bottom w:val="none" w:sz="0" w:space="0" w:color="auto"/>
        <w:right w:val="none" w:sz="0" w:space="0" w:color="auto"/>
      </w:divBdr>
    </w:div>
    <w:div w:id="2088110766">
      <w:bodyDiv w:val="1"/>
      <w:marLeft w:val="0"/>
      <w:marRight w:val="0"/>
      <w:marTop w:val="0"/>
      <w:marBottom w:val="0"/>
      <w:divBdr>
        <w:top w:val="none" w:sz="0" w:space="0" w:color="auto"/>
        <w:left w:val="none" w:sz="0" w:space="0" w:color="auto"/>
        <w:bottom w:val="none" w:sz="0" w:space="0" w:color="auto"/>
        <w:right w:val="none" w:sz="0" w:space="0" w:color="auto"/>
      </w:divBdr>
    </w:div>
    <w:div w:id="2088116526">
      <w:bodyDiv w:val="1"/>
      <w:marLeft w:val="0"/>
      <w:marRight w:val="0"/>
      <w:marTop w:val="0"/>
      <w:marBottom w:val="0"/>
      <w:divBdr>
        <w:top w:val="none" w:sz="0" w:space="0" w:color="auto"/>
        <w:left w:val="none" w:sz="0" w:space="0" w:color="auto"/>
        <w:bottom w:val="none" w:sz="0" w:space="0" w:color="auto"/>
        <w:right w:val="none" w:sz="0" w:space="0" w:color="auto"/>
      </w:divBdr>
    </w:div>
    <w:div w:id="2088186700">
      <w:bodyDiv w:val="1"/>
      <w:marLeft w:val="0"/>
      <w:marRight w:val="0"/>
      <w:marTop w:val="0"/>
      <w:marBottom w:val="0"/>
      <w:divBdr>
        <w:top w:val="none" w:sz="0" w:space="0" w:color="auto"/>
        <w:left w:val="none" w:sz="0" w:space="0" w:color="auto"/>
        <w:bottom w:val="none" w:sz="0" w:space="0" w:color="auto"/>
        <w:right w:val="none" w:sz="0" w:space="0" w:color="auto"/>
      </w:divBdr>
    </w:div>
    <w:div w:id="2088263655">
      <w:bodyDiv w:val="1"/>
      <w:marLeft w:val="0"/>
      <w:marRight w:val="0"/>
      <w:marTop w:val="0"/>
      <w:marBottom w:val="0"/>
      <w:divBdr>
        <w:top w:val="none" w:sz="0" w:space="0" w:color="auto"/>
        <w:left w:val="none" w:sz="0" w:space="0" w:color="auto"/>
        <w:bottom w:val="none" w:sz="0" w:space="0" w:color="auto"/>
        <w:right w:val="none" w:sz="0" w:space="0" w:color="auto"/>
      </w:divBdr>
    </w:div>
    <w:div w:id="2088501254">
      <w:bodyDiv w:val="1"/>
      <w:marLeft w:val="0"/>
      <w:marRight w:val="0"/>
      <w:marTop w:val="0"/>
      <w:marBottom w:val="0"/>
      <w:divBdr>
        <w:top w:val="none" w:sz="0" w:space="0" w:color="auto"/>
        <w:left w:val="none" w:sz="0" w:space="0" w:color="auto"/>
        <w:bottom w:val="none" w:sz="0" w:space="0" w:color="auto"/>
        <w:right w:val="none" w:sz="0" w:space="0" w:color="auto"/>
      </w:divBdr>
    </w:div>
    <w:div w:id="2088526788">
      <w:bodyDiv w:val="1"/>
      <w:marLeft w:val="0"/>
      <w:marRight w:val="0"/>
      <w:marTop w:val="0"/>
      <w:marBottom w:val="0"/>
      <w:divBdr>
        <w:top w:val="none" w:sz="0" w:space="0" w:color="auto"/>
        <w:left w:val="none" w:sz="0" w:space="0" w:color="auto"/>
        <w:bottom w:val="none" w:sz="0" w:space="0" w:color="auto"/>
        <w:right w:val="none" w:sz="0" w:space="0" w:color="auto"/>
      </w:divBdr>
    </w:div>
    <w:div w:id="2088527517">
      <w:bodyDiv w:val="1"/>
      <w:marLeft w:val="0"/>
      <w:marRight w:val="0"/>
      <w:marTop w:val="0"/>
      <w:marBottom w:val="0"/>
      <w:divBdr>
        <w:top w:val="none" w:sz="0" w:space="0" w:color="auto"/>
        <w:left w:val="none" w:sz="0" w:space="0" w:color="auto"/>
        <w:bottom w:val="none" w:sz="0" w:space="0" w:color="auto"/>
        <w:right w:val="none" w:sz="0" w:space="0" w:color="auto"/>
      </w:divBdr>
    </w:div>
    <w:div w:id="2088569305">
      <w:bodyDiv w:val="1"/>
      <w:marLeft w:val="0"/>
      <w:marRight w:val="0"/>
      <w:marTop w:val="0"/>
      <w:marBottom w:val="0"/>
      <w:divBdr>
        <w:top w:val="none" w:sz="0" w:space="0" w:color="auto"/>
        <w:left w:val="none" w:sz="0" w:space="0" w:color="auto"/>
        <w:bottom w:val="none" w:sz="0" w:space="0" w:color="auto"/>
        <w:right w:val="none" w:sz="0" w:space="0" w:color="auto"/>
      </w:divBdr>
    </w:div>
    <w:div w:id="2088574407">
      <w:bodyDiv w:val="1"/>
      <w:marLeft w:val="0"/>
      <w:marRight w:val="0"/>
      <w:marTop w:val="0"/>
      <w:marBottom w:val="0"/>
      <w:divBdr>
        <w:top w:val="none" w:sz="0" w:space="0" w:color="auto"/>
        <w:left w:val="none" w:sz="0" w:space="0" w:color="auto"/>
        <w:bottom w:val="none" w:sz="0" w:space="0" w:color="auto"/>
        <w:right w:val="none" w:sz="0" w:space="0" w:color="auto"/>
      </w:divBdr>
    </w:div>
    <w:div w:id="2088645657">
      <w:bodyDiv w:val="1"/>
      <w:marLeft w:val="0"/>
      <w:marRight w:val="0"/>
      <w:marTop w:val="0"/>
      <w:marBottom w:val="0"/>
      <w:divBdr>
        <w:top w:val="none" w:sz="0" w:space="0" w:color="auto"/>
        <w:left w:val="none" w:sz="0" w:space="0" w:color="auto"/>
        <w:bottom w:val="none" w:sz="0" w:space="0" w:color="auto"/>
        <w:right w:val="none" w:sz="0" w:space="0" w:color="auto"/>
      </w:divBdr>
    </w:div>
    <w:div w:id="2088722932">
      <w:bodyDiv w:val="1"/>
      <w:marLeft w:val="0"/>
      <w:marRight w:val="0"/>
      <w:marTop w:val="0"/>
      <w:marBottom w:val="0"/>
      <w:divBdr>
        <w:top w:val="none" w:sz="0" w:space="0" w:color="auto"/>
        <w:left w:val="none" w:sz="0" w:space="0" w:color="auto"/>
        <w:bottom w:val="none" w:sz="0" w:space="0" w:color="auto"/>
        <w:right w:val="none" w:sz="0" w:space="0" w:color="auto"/>
      </w:divBdr>
    </w:div>
    <w:div w:id="2088767297">
      <w:bodyDiv w:val="1"/>
      <w:marLeft w:val="0"/>
      <w:marRight w:val="0"/>
      <w:marTop w:val="0"/>
      <w:marBottom w:val="0"/>
      <w:divBdr>
        <w:top w:val="none" w:sz="0" w:space="0" w:color="auto"/>
        <w:left w:val="none" w:sz="0" w:space="0" w:color="auto"/>
        <w:bottom w:val="none" w:sz="0" w:space="0" w:color="auto"/>
        <w:right w:val="none" w:sz="0" w:space="0" w:color="auto"/>
      </w:divBdr>
    </w:div>
    <w:div w:id="2088838357">
      <w:bodyDiv w:val="1"/>
      <w:marLeft w:val="0"/>
      <w:marRight w:val="0"/>
      <w:marTop w:val="0"/>
      <w:marBottom w:val="0"/>
      <w:divBdr>
        <w:top w:val="none" w:sz="0" w:space="0" w:color="auto"/>
        <w:left w:val="none" w:sz="0" w:space="0" w:color="auto"/>
        <w:bottom w:val="none" w:sz="0" w:space="0" w:color="auto"/>
        <w:right w:val="none" w:sz="0" w:space="0" w:color="auto"/>
      </w:divBdr>
    </w:div>
    <w:div w:id="2088915064">
      <w:bodyDiv w:val="1"/>
      <w:marLeft w:val="0"/>
      <w:marRight w:val="0"/>
      <w:marTop w:val="0"/>
      <w:marBottom w:val="0"/>
      <w:divBdr>
        <w:top w:val="none" w:sz="0" w:space="0" w:color="auto"/>
        <w:left w:val="none" w:sz="0" w:space="0" w:color="auto"/>
        <w:bottom w:val="none" w:sz="0" w:space="0" w:color="auto"/>
        <w:right w:val="none" w:sz="0" w:space="0" w:color="auto"/>
      </w:divBdr>
    </w:div>
    <w:div w:id="2088918905">
      <w:bodyDiv w:val="1"/>
      <w:marLeft w:val="0"/>
      <w:marRight w:val="0"/>
      <w:marTop w:val="0"/>
      <w:marBottom w:val="0"/>
      <w:divBdr>
        <w:top w:val="none" w:sz="0" w:space="0" w:color="auto"/>
        <w:left w:val="none" w:sz="0" w:space="0" w:color="auto"/>
        <w:bottom w:val="none" w:sz="0" w:space="0" w:color="auto"/>
        <w:right w:val="none" w:sz="0" w:space="0" w:color="auto"/>
      </w:divBdr>
    </w:div>
    <w:div w:id="2089033186">
      <w:bodyDiv w:val="1"/>
      <w:marLeft w:val="0"/>
      <w:marRight w:val="0"/>
      <w:marTop w:val="0"/>
      <w:marBottom w:val="0"/>
      <w:divBdr>
        <w:top w:val="none" w:sz="0" w:space="0" w:color="auto"/>
        <w:left w:val="none" w:sz="0" w:space="0" w:color="auto"/>
        <w:bottom w:val="none" w:sz="0" w:space="0" w:color="auto"/>
        <w:right w:val="none" w:sz="0" w:space="0" w:color="auto"/>
      </w:divBdr>
    </w:div>
    <w:div w:id="2089225553">
      <w:bodyDiv w:val="1"/>
      <w:marLeft w:val="0"/>
      <w:marRight w:val="0"/>
      <w:marTop w:val="0"/>
      <w:marBottom w:val="0"/>
      <w:divBdr>
        <w:top w:val="none" w:sz="0" w:space="0" w:color="auto"/>
        <w:left w:val="none" w:sz="0" w:space="0" w:color="auto"/>
        <w:bottom w:val="none" w:sz="0" w:space="0" w:color="auto"/>
        <w:right w:val="none" w:sz="0" w:space="0" w:color="auto"/>
      </w:divBdr>
    </w:div>
    <w:div w:id="2089300668">
      <w:bodyDiv w:val="1"/>
      <w:marLeft w:val="0"/>
      <w:marRight w:val="0"/>
      <w:marTop w:val="0"/>
      <w:marBottom w:val="0"/>
      <w:divBdr>
        <w:top w:val="none" w:sz="0" w:space="0" w:color="auto"/>
        <w:left w:val="none" w:sz="0" w:space="0" w:color="auto"/>
        <w:bottom w:val="none" w:sz="0" w:space="0" w:color="auto"/>
        <w:right w:val="none" w:sz="0" w:space="0" w:color="auto"/>
      </w:divBdr>
    </w:div>
    <w:div w:id="2089425450">
      <w:bodyDiv w:val="1"/>
      <w:marLeft w:val="0"/>
      <w:marRight w:val="0"/>
      <w:marTop w:val="0"/>
      <w:marBottom w:val="0"/>
      <w:divBdr>
        <w:top w:val="none" w:sz="0" w:space="0" w:color="auto"/>
        <w:left w:val="none" w:sz="0" w:space="0" w:color="auto"/>
        <w:bottom w:val="none" w:sz="0" w:space="0" w:color="auto"/>
        <w:right w:val="none" w:sz="0" w:space="0" w:color="auto"/>
      </w:divBdr>
    </w:div>
    <w:div w:id="2089695422">
      <w:bodyDiv w:val="1"/>
      <w:marLeft w:val="0"/>
      <w:marRight w:val="0"/>
      <w:marTop w:val="0"/>
      <w:marBottom w:val="0"/>
      <w:divBdr>
        <w:top w:val="none" w:sz="0" w:space="0" w:color="auto"/>
        <w:left w:val="none" w:sz="0" w:space="0" w:color="auto"/>
        <w:bottom w:val="none" w:sz="0" w:space="0" w:color="auto"/>
        <w:right w:val="none" w:sz="0" w:space="0" w:color="auto"/>
      </w:divBdr>
    </w:div>
    <w:div w:id="2089761974">
      <w:bodyDiv w:val="1"/>
      <w:marLeft w:val="0"/>
      <w:marRight w:val="0"/>
      <w:marTop w:val="0"/>
      <w:marBottom w:val="0"/>
      <w:divBdr>
        <w:top w:val="none" w:sz="0" w:space="0" w:color="auto"/>
        <w:left w:val="none" w:sz="0" w:space="0" w:color="auto"/>
        <w:bottom w:val="none" w:sz="0" w:space="0" w:color="auto"/>
        <w:right w:val="none" w:sz="0" w:space="0" w:color="auto"/>
      </w:divBdr>
    </w:div>
    <w:div w:id="2090224445">
      <w:bodyDiv w:val="1"/>
      <w:marLeft w:val="0"/>
      <w:marRight w:val="0"/>
      <w:marTop w:val="0"/>
      <w:marBottom w:val="0"/>
      <w:divBdr>
        <w:top w:val="none" w:sz="0" w:space="0" w:color="auto"/>
        <w:left w:val="none" w:sz="0" w:space="0" w:color="auto"/>
        <w:bottom w:val="none" w:sz="0" w:space="0" w:color="auto"/>
        <w:right w:val="none" w:sz="0" w:space="0" w:color="auto"/>
      </w:divBdr>
    </w:div>
    <w:div w:id="2090347962">
      <w:bodyDiv w:val="1"/>
      <w:marLeft w:val="0"/>
      <w:marRight w:val="0"/>
      <w:marTop w:val="0"/>
      <w:marBottom w:val="0"/>
      <w:divBdr>
        <w:top w:val="none" w:sz="0" w:space="0" w:color="auto"/>
        <w:left w:val="none" w:sz="0" w:space="0" w:color="auto"/>
        <w:bottom w:val="none" w:sz="0" w:space="0" w:color="auto"/>
        <w:right w:val="none" w:sz="0" w:space="0" w:color="auto"/>
      </w:divBdr>
    </w:div>
    <w:div w:id="2090542178">
      <w:bodyDiv w:val="1"/>
      <w:marLeft w:val="0"/>
      <w:marRight w:val="0"/>
      <w:marTop w:val="0"/>
      <w:marBottom w:val="0"/>
      <w:divBdr>
        <w:top w:val="none" w:sz="0" w:space="0" w:color="auto"/>
        <w:left w:val="none" w:sz="0" w:space="0" w:color="auto"/>
        <w:bottom w:val="none" w:sz="0" w:space="0" w:color="auto"/>
        <w:right w:val="none" w:sz="0" w:space="0" w:color="auto"/>
      </w:divBdr>
    </w:div>
    <w:div w:id="2090685388">
      <w:bodyDiv w:val="1"/>
      <w:marLeft w:val="0"/>
      <w:marRight w:val="0"/>
      <w:marTop w:val="0"/>
      <w:marBottom w:val="0"/>
      <w:divBdr>
        <w:top w:val="none" w:sz="0" w:space="0" w:color="auto"/>
        <w:left w:val="none" w:sz="0" w:space="0" w:color="auto"/>
        <w:bottom w:val="none" w:sz="0" w:space="0" w:color="auto"/>
        <w:right w:val="none" w:sz="0" w:space="0" w:color="auto"/>
      </w:divBdr>
    </w:div>
    <w:div w:id="2090808860">
      <w:bodyDiv w:val="1"/>
      <w:marLeft w:val="0"/>
      <w:marRight w:val="0"/>
      <w:marTop w:val="0"/>
      <w:marBottom w:val="0"/>
      <w:divBdr>
        <w:top w:val="none" w:sz="0" w:space="0" w:color="auto"/>
        <w:left w:val="none" w:sz="0" w:space="0" w:color="auto"/>
        <w:bottom w:val="none" w:sz="0" w:space="0" w:color="auto"/>
        <w:right w:val="none" w:sz="0" w:space="0" w:color="auto"/>
      </w:divBdr>
    </w:div>
    <w:div w:id="2091081297">
      <w:bodyDiv w:val="1"/>
      <w:marLeft w:val="0"/>
      <w:marRight w:val="0"/>
      <w:marTop w:val="0"/>
      <w:marBottom w:val="0"/>
      <w:divBdr>
        <w:top w:val="none" w:sz="0" w:space="0" w:color="auto"/>
        <w:left w:val="none" w:sz="0" w:space="0" w:color="auto"/>
        <w:bottom w:val="none" w:sz="0" w:space="0" w:color="auto"/>
        <w:right w:val="none" w:sz="0" w:space="0" w:color="auto"/>
      </w:divBdr>
    </w:div>
    <w:div w:id="2091153312">
      <w:bodyDiv w:val="1"/>
      <w:marLeft w:val="0"/>
      <w:marRight w:val="0"/>
      <w:marTop w:val="0"/>
      <w:marBottom w:val="0"/>
      <w:divBdr>
        <w:top w:val="none" w:sz="0" w:space="0" w:color="auto"/>
        <w:left w:val="none" w:sz="0" w:space="0" w:color="auto"/>
        <w:bottom w:val="none" w:sz="0" w:space="0" w:color="auto"/>
        <w:right w:val="none" w:sz="0" w:space="0" w:color="auto"/>
      </w:divBdr>
    </w:div>
    <w:div w:id="2091342932">
      <w:bodyDiv w:val="1"/>
      <w:marLeft w:val="0"/>
      <w:marRight w:val="0"/>
      <w:marTop w:val="0"/>
      <w:marBottom w:val="0"/>
      <w:divBdr>
        <w:top w:val="none" w:sz="0" w:space="0" w:color="auto"/>
        <w:left w:val="none" w:sz="0" w:space="0" w:color="auto"/>
        <w:bottom w:val="none" w:sz="0" w:space="0" w:color="auto"/>
        <w:right w:val="none" w:sz="0" w:space="0" w:color="auto"/>
      </w:divBdr>
    </w:div>
    <w:div w:id="2091385407">
      <w:bodyDiv w:val="1"/>
      <w:marLeft w:val="0"/>
      <w:marRight w:val="0"/>
      <w:marTop w:val="0"/>
      <w:marBottom w:val="0"/>
      <w:divBdr>
        <w:top w:val="none" w:sz="0" w:space="0" w:color="auto"/>
        <w:left w:val="none" w:sz="0" w:space="0" w:color="auto"/>
        <w:bottom w:val="none" w:sz="0" w:space="0" w:color="auto"/>
        <w:right w:val="none" w:sz="0" w:space="0" w:color="auto"/>
      </w:divBdr>
    </w:div>
    <w:div w:id="2091654127">
      <w:bodyDiv w:val="1"/>
      <w:marLeft w:val="0"/>
      <w:marRight w:val="0"/>
      <w:marTop w:val="0"/>
      <w:marBottom w:val="0"/>
      <w:divBdr>
        <w:top w:val="none" w:sz="0" w:space="0" w:color="auto"/>
        <w:left w:val="none" w:sz="0" w:space="0" w:color="auto"/>
        <w:bottom w:val="none" w:sz="0" w:space="0" w:color="auto"/>
        <w:right w:val="none" w:sz="0" w:space="0" w:color="auto"/>
      </w:divBdr>
    </w:div>
    <w:div w:id="2091660326">
      <w:bodyDiv w:val="1"/>
      <w:marLeft w:val="0"/>
      <w:marRight w:val="0"/>
      <w:marTop w:val="0"/>
      <w:marBottom w:val="0"/>
      <w:divBdr>
        <w:top w:val="none" w:sz="0" w:space="0" w:color="auto"/>
        <w:left w:val="none" w:sz="0" w:space="0" w:color="auto"/>
        <w:bottom w:val="none" w:sz="0" w:space="0" w:color="auto"/>
        <w:right w:val="none" w:sz="0" w:space="0" w:color="auto"/>
      </w:divBdr>
    </w:div>
    <w:div w:id="2091850569">
      <w:bodyDiv w:val="1"/>
      <w:marLeft w:val="0"/>
      <w:marRight w:val="0"/>
      <w:marTop w:val="0"/>
      <w:marBottom w:val="0"/>
      <w:divBdr>
        <w:top w:val="none" w:sz="0" w:space="0" w:color="auto"/>
        <w:left w:val="none" w:sz="0" w:space="0" w:color="auto"/>
        <w:bottom w:val="none" w:sz="0" w:space="0" w:color="auto"/>
        <w:right w:val="none" w:sz="0" w:space="0" w:color="auto"/>
      </w:divBdr>
    </w:div>
    <w:div w:id="2091927552">
      <w:bodyDiv w:val="1"/>
      <w:marLeft w:val="0"/>
      <w:marRight w:val="0"/>
      <w:marTop w:val="0"/>
      <w:marBottom w:val="0"/>
      <w:divBdr>
        <w:top w:val="none" w:sz="0" w:space="0" w:color="auto"/>
        <w:left w:val="none" w:sz="0" w:space="0" w:color="auto"/>
        <w:bottom w:val="none" w:sz="0" w:space="0" w:color="auto"/>
        <w:right w:val="none" w:sz="0" w:space="0" w:color="auto"/>
      </w:divBdr>
    </w:div>
    <w:div w:id="2091929564">
      <w:bodyDiv w:val="1"/>
      <w:marLeft w:val="0"/>
      <w:marRight w:val="0"/>
      <w:marTop w:val="0"/>
      <w:marBottom w:val="0"/>
      <w:divBdr>
        <w:top w:val="none" w:sz="0" w:space="0" w:color="auto"/>
        <w:left w:val="none" w:sz="0" w:space="0" w:color="auto"/>
        <w:bottom w:val="none" w:sz="0" w:space="0" w:color="auto"/>
        <w:right w:val="none" w:sz="0" w:space="0" w:color="auto"/>
      </w:divBdr>
    </w:div>
    <w:div w:id="2091995867">
      <w:bodyDiv w:val="1"/>
      <w:marLeft w:val="0"/>
      <w:marRight w:val="0"/>
      <w:marTop w:val="0"/>
      <w:marBottom w:val="0"/>
      <w:divBdr>
        <w:top w:val="none" w:sz="0" w:space="0" w:color="auto"/>
        <w:left w:val="none" w:sz="0" w:space="0" w:color="auto"/>
        <w:bottom w:val="none" w:sz="0" w:space="0" w:color="auto"/>
        <w:right w:val="none" w:sz="0" w:space="0" w:color="auto"/>
      </w:divBdr>
    </w:div>
    <w:div w:id="2091998099">
      <w:bodyDiv w:val="1"/>
      <w:marLeft w:val="0"/>
      <w:marRight w:val="0"/>
      <w:marTop w:val="0"/>
      <w:marBottom w:val="0"/>
      <w:divBdr>
        <w:top w:val="none" w:sz="0" w:space="0" w:color="auto"/>
        <w:left w:val="none" w:sz="0" w:space="0" w:color="auto"/>
        <w:bottom w:val="none" w:sz="0" w:space="0" w:color="auto"/>
        <w:right w:val="none" w:sz="0" w:space="0" w:color="auto"/>
      </w:divBdr>
    </w:div>
    <w:div w:id="2092195434">
      <w:bodyDiv w:val="1"/>
      <w:marLeft w:val="0"/>
      <w:marRight w:val="0"/>
      <w:marTop w:val="0"/>
      <w:marBottom w:val="0"/>
      <w:divBdr>
        <w:top w:val="none" w:sz="0" w:space="0" w:color="auto"/>
        <w:left w:val="none" w:sz="0" w:space="0" w:color="auto"/>
        <w:bottom w:val="none" w:sz="0" w:space="0" w:color="auto"/>
        <w:right w:val="none" w:sz="0" w:space="0" w:color="auto"/>
      </w:divBdr>
    </w:div>
    <w:div w:id="2092382654">
      <w:bodyDiv w:val="1"/>
      <w:marLeft w:val="0"/>
      <w:marRight w:val="0"/>
      <w:marTop w:val="0"/>
      <w:marBottom w:val="0"/>
      <w:divBdr>
        <w:top w:val="none" w:sz="0" w:space="0" w:color="auto"/>
        <w:left w:val="none" w:sz="0" w:space="0" w:color="auto"/>
        <w:bottom w:val="none" w:sz="0" w:space="0" w:color="auto"/>
        <w:right w:val="none" w:sz="0" w:space="0" w:color="auto"/>
      </w:divBdr>
    </w:div>
    <w:div w:id="2092465076">
      <w:bodyDiv w:val="1"/>
      <w:marLeft w:val="0"/>
      <w:marRight w:val="0"/>
      <w:marTop w:val="0"/>
      <w:marBottom w:val="0"/>
      <w:divBdr>
        <w:top w:val="none" w:sz="0" w:space="0" w:color="auto"/>
        <w:left w:val="none" w:sz="0" w:space="0" w:color="auto"/>
        <w:bottom w:val="none" w:sz="0" w:space="0" w:color="auto"/>
        <w:right w:val="none" w:sz="0" w:space="0" w:color="auto"/>
      </w:divBdr>
    </w:div>
    <w:div w:id="2092465823">
      <w:bodyDiv w:val="1"/>
      <w:marLeft w:val="0"/>
      <w:marRight w:val="0"/>
      <w:marTop w:val="0"/>
      <w:marBottom w:val="0"/>
      <w:divBdr>
        <w:top w:val="none" w:sz="0" w:space="0" w:color="auto"/>
        <w:left w:val="none" w:sz="0" w:space="0" w:color="auto"/>
        <w:bottom w:val="none" w:sz="0" w:space="0" w:color="auto"/>
        <w:right w:val="none" w:sz="0" w:space="0" w:color="auto"/>
      </w:divBdr>
    </w:div>
    <w:div w:id="2092507114">
      <w:bodyDiv w:val="1"/>
      <w:marLeft w:val="0"/>
      <w:marRight w:val="0"/>
      <w:marTop w:val="0"/>
      <w:marBottom w:val="0"/>
      <w:divBdr>
        <w:top w:val="none" w:sz="0" w:space="0" w:color="auto"/>
        <w:left w:val="none" w:sz="0" w:space="0" w:color="auto"/>
        <w:bottom w:val="none" w:sz="0" w:space="0" w:color="auto"/>
        <w:right w:val="none" w:sz="0" w:space="0" w:color="auto"/>
      </w:divBdr>
    </w:div>
    <w:div w:id="2092581520">
      <w:bodyDiv w:val="1"/>
      <w:marLeft w:val="0"/>
      <w:marRight w:val="0"/>
      <w:marTop w:val="0"/>
      <w:marBottom w:val="0"/>
      <w:divBdr>
        <w:top w:val="none" w:sz="0" w:space="0" w:color="auto"/>
        <w:left w:val="none" w:sz="0" w:space="0" w:color="auto"/>
        <w:bottom w:val="none" w:sz="0" w:space="0" w:color="auto"/>
        <w:right w:val="none" w:sz="0" w:space="0" w:color="auto"/>
      </w:divBdr>
    </w:div>
    <w:div w:id="2092584019">
      <w:bodyDiv w:val="1"/>
      <w:marLeft w:val="0"/>
      <w:marRight w:val="0"/>
      <w:marTop w:val="0"/>
      <w:marBottom w:val="0"/>
      <w:divBdr>
        <w:top w:val="none" w:sz="0" w:space="0" w:color="auto"/>
        <w:left w:val="none" w:sz="0" w:space="0" w:color="auto"/>
        <w:bottom w:val="none" w:sz="0" w:space="0" w:color="auto"/>
        <w:right w:val="none" w:sz="0" w:space="0" w:color="auto"/>
      </w:divBdr>
    </w:div>
    <w:div w:id="2092850887">
      <w:bodyDiv w:val="1"/>
      <w:marLeft w:val="0"/>
      <w:marRight w:val="0"/>
      <w:marTop w:val="0"/>
      <w:marBottom w:val="0"/>
      <w:divBdr>
        <w:top w:val="none" w:sz="0" w:space="0" w:color="auto"/>
        <w:left w:val="none" w:sz="0" w:space="0" w:color="auto"/>
        <w:bottom w:val="none" w:sz="0" w:space="0" w:color="auto"/>
        <w:right w:val="none" w:sz="0" w:space="0" w:color="auto"/>
      </w:divBdr>
    </w:div>
    <w:div w:id="2092851916">
      <w:bodyDiv w:val="1"/>
      <w:marLeft w:val="0"/>
      <w:marRight w:val="0"/>
      <w:marTop w:val="0"/>
      <w:marBottom w:val="0"/>
      <w:divBdr>
        <w:top w:val="none" w:sz="0" w:space="0" w:color="auto"/>
        <w:left w:val="none" w:sz="0" w:space="0" w:color="auto"/>
        <w:bottom w:val="none" w:sz="0" w:space="0" w:color="auto"/>
        <w:right w:val="none" w:sz="0" w:space="0" w:color="auto"/>
      </w:divBdr>
    </w:div>
    <w:div w:id="2092852191">
      <w:bodyDiv w:val="1"/>
      <w:marLeft w:val="0"/>
      <w:marRight w:val="0"/>
      <w:marTop w:val="0"/>
      <w:marBottom w:val="0"/>
      <w:divBdr>
        <w:top w:val="none" w:sz="0" w:space="0" w:color="auto"/>
        <w:left w:val="none" w:sz="0" w:space="0" w:color="auto"/>
        <w:bottom w:val="none" w:sz="0" w:space="0" w:color="auto"/>
        <w:right w:val="none" w:sz="0" w:space="0" w:color="auto"/>
      </w:divBdr>
    </w:div>
    <w:div w:id="2092852830">
      <w:bodyDiv w:val="1"/>
      <w:marLeft w:val="0"/>
      <w:marRight w:val="0"/>
      <w:marTop w:val="0"/>
      <w:marBottom w:val="0"/>
      <w:divBdr>
        <w:top w:val="none" w:sz="0" w:space="0" w:color="auto"/>
        <w:left w:val="none" w:sz="0" w:space="0" w:color="auto"/>
        <w:bottom w:val="none" w:sz="0" w:space="0" w:color="auto"/>
        <w:right w:val="none" w:sz="0" w:space="0" w:color="auto"/>
      </w:divBdr>
    </w:div>
    <w:div w:id="2092968969">
      <w:bodyDiv w:val="1"/>
      <w:marLeft w:val="0"/>
      <w:marRight w:val="0"/>
      <w:marTop w:val="0"/>
      <w:marBottom w:val="0"/>
      <w:divBdr>
        <w:top w:val="none" w:sz="0" w:space="0" w:color="auto"/>
        <w:left w:val="none" w:sz="0" w:space="0" w:color="auto"/>
        <w:bottom w:val="none" w:sz="0" w:space="0" w:color="auto"/>
        <w:right w:val="none" w:sz="0" w:space="0" w:color="auto"/>
      </w:divBdr>
    </w:div>
    <w:div w:id="2093043337">
      <w:bodyDiv w:val="1"/>
      <w:marLeft w:val="0"/>
      <w:marRight w:val="0"/>
      <w:marTop w:val="0"/>
      <w:marBottom w:val="0"/>
      <w:divBdr>
        <w:top w:val="none" w:sz="0" w:space="0" w:color="auto"/>
        <w:left w:val="none" w:sz="0" w:space="0" w:color="auto"/>
        <w:bottom w:val="none" w:sz="0" w:space="0" w:color="auto"/>
        <w:right w:val="none" w:sz="0" w:space="0" w:color="auto"/>
      </w:divBdr>
    </w:div>
    <w:div w:id="2093047201">
      <w:bodyDiv w:val="1"/>
      <w:marLeft w:val="0"/>
      <w:marRight w:val="0"/>
      <w:marTop w:val="0"/>
      <w:marBottom w:val="0"/>
      <w:divBdr>
        <w:top w:val="none" w:sz="0" w:space="0" w:color="auto"/>
        <w:left w:val="none" w:sz="0" w:space="0" w:color="auto"/>
        <w:bottom w:val="none" w:sz="0" w:space="0" w:color="auto"/>
        <w:right w:val="none" w:sz="0" w:space="0" w:color="auto"/>
      </w:divBdr>
    </w:div>
    <w:div w:id="2093114167">
      <w:bodyDiv w:val="1"/>
      <w:marLeft w:val="0"/>
      <w:marRight w:val="0"/>
      <w:marTop w:val="0"/>
      <w:marBottom w:val="0"/>
      <w:divBdr>
        <w:top w:val="none" w:sz="0" w:space="0" w:color="auto"/>
        <w:left w:val="none" w:sz="0" w:space="0" w:color="auto"/>
        <w:bottom w:val="none" w:sz="0" w:space="0" w:color="auto"/>
        <w:right w:val="none" w:sz="0" w:space="0" w:color="auto"/>
      </w:divBdr>
    </w:div>
    <w:div w:id="2093121250">
      <w:bodyDiv w:val="1"/>
      <w:marLeft w:val="0"/>
      <w:marRight w:val="0"/>
      <w:marTop w:val="0"/>
      <w:marBottom w:val="0"/>
      <w:divBdr>
        <w:top w:val="none" w:sz="0" w:space="0" w:color="auto"/>
        <w:left w:val="none" w:sz="0" w:space="0" w:color="auto"/>
        <w:bottom w:val="none" w:sz="0" w:space="0" w:color="auto"/>
        <w:right w:val="none" w:sz="0" w:space="0" w:color="auto"/>
      </w:divBdr>
    </w:div>
    <w:div w:id="2093232368">
      <w:bodyDiv w:val="1"/>
      <w:marLeft w:val="0"/>
      <w:marRight w:val="0"/>
      <w:marTop w:val="0"/>
      <w:marBottom w:val="0"/>
      <w:divBdr>
        <w:top w:val="none" w:sz="0" w:space="0" w:color="auto"/>
        <w:left w:val="none" w:sz="0" w:space="0" w:color="auto"/>
        <w:bottom w:val="none" w:sz="0" w:space="0" w:color="auto"/>
        <w:right w:val="none" w:sz="0" w:space="0" w:color="auto"/>
      </w:divBdr>
    </w:div>
    <w:div w:id="2093238768">
      <w:bodyDiv w:val="1"/>
      <w:marLeft w:val="0"/>
      <w:marRight w:val="0"/>
      <w:marTop w:val="0"/>
      <w:marBottom w:val="0"/>
      <w:divBdr>
        <w:top w:val="none" w:sz="0" w:space="0" w:color="auto"/>
        <w:left w:val="none" w:sz="0" w:space="0" w:color="auto"/>
        <w:bottom w:val="none" w:sz="0" w:space="0" w:color="auto"/>
        <w:right w:val="none" w:sz="0" w:space="0" w:color="auto"/>
      </w:divBdr>
    </w:div>
    <w:div w:id="2093357633">
      <w:bodyDiv w:val="1"/>
      <w:marLeft w:val="0"/>
      <w:marRight w:val="0"/>
      <w:marTop w:val="0"/>
      <w:marBottom w:val="0"/>
      <w:divBdr>
        <w:top w:val="none" w:sz="0" w:space="0" w:color="auto"/>
        <w:left w:val="none" w:sz="0" w:space="0" w:color="auto"/>
        <w:bottom w:val="none" w:sz="0" w:space="0" w:color="auto"/>
        <w:right w:val="none" w:sz="0" w:space="0" w:color="auto"/>
      </w:divBdr>
    </w:div>
    <w:div w:id="2093382217">
      <w:bodyDiv w:val="1"/>
      <w:marLeft w:val="0"/>
      <w:marRight w:val="0"/>
      <w:marTop w:val="0"/>
      <w:marBottom w:val="0"/>
      <w:divBdr>
        <w:top w:val="none" w:sz="0" w:space="0" w:color="auto"/>
        <w:left w:val="none" w:sz="0" w:space="0" w:color="auto"/>
        <w:bottom w:val="none" w:sz="0" w:space="0" w:color="auto"/>
        <w:right w:val="none" w:sz="0" w:space="0" w:color="auto"/>
      </w:divBdr>
    </w:div>
    <w:div w:id="2093432340">
      <w:bodyDiv w:val="1"/>
      <w:marLeft w:val="0"/>
      <w:marRight w:val="0"/>
      <w:marTop w:val="0"/>
      <w:marBottom w:val="0"/>
      <w:divBdr>
        <w:top w:val="none" w:sz="0" w:space="0" w:color="auto"/>
        <w:left w:val="none" w:sz="0" w:space="0" w:color="auto"/>
        <w:bottom w:val="none" w:sz="0" w:space="0" w:color="auto"/>
        <w:right w:val="none" w:sz="0" w:space="0" w:color="auto"/>
      </w:divBdr>
    </w:div>
    <w:div w:id="2093500632">
      <w:bodyDiv w:val="1"/>
      <w:marLeft w:val="0"/>
      <w:marRight w:val="0"/>
      <w:marTop w:val="0"/>
      <w:marBottom w:val="0"/>
      <w:divBdr>
        <w:top w:val="none" w:sz="0" w:space="0" w:color="auto"/>
        <w:left w:val="none" w:sz="0" w:space="0" w:color="auto"/>
        <w:bottom w:val="none" w:sz="0" w:space="0" w:color="auto"/>
        <w:right w:val="none" w:sz="0" w:space="0" w:color="auto"/>
      </w:divBdr>
    </w:div>
    <w:div w:id="2093503304">
      <w:bodyDiv w:val="1"/>
      <w:marLeft w:val="0"/>
      <w:marRight w:val="0"/>
      <w:marTop w:val="0"/>
      <w:marBottom w:val="0"/>
      <w:divBdr>
        <w:top w:val="none" w:sz="0" w:space="0" w:color="auto"/>
        <w:left w:val="none" w:sz="0" w:space="0" w:color="auto"/>
        <w:bottom w:val="none" w:sz="0" w:space="0" w:color="auto"/>
        <w:right w:val="none" w:sz="0" w:space="0" w:color="auto"/>
      </w:divBdr>
    </w:div>
    <w:div w:id="2093617647">
      <w:bodyDiv w:val="1"/>
      <w:marLeft w:val="0"/>
      <w:marRight w:val="0"/>
      <w:marTop w:val="0"/>
      <w:marBottom w:val="0"/>
      <w:divBdr>
        <w:top w:val="none" w:sz="0" w:space="0" w:color="auto"/>
        <w:left w:val="none" w:sz="0" w:space="0" w:color="auto"/>
        <w:bottom w:val="none" w:sz="0" w:space="0" w:color="auto"/>
        <w:right w:val="none" w:sz="0" w:space="0" w:color="auto"/>
      </w:divBdr>
    </w:div>
    <w:div w:id="2093626194">
      <w:bodyDiv w:val="1"/>
      <w:marLeft w:val="0"/>
      <w:marRight w:val="0"/>
      <w:marTop w:val="0"/>
      <w:marBottom w:val="0"/>
      <w:divBdr>
        <w:top w:val="none" w:sz="0" w:space="0" w:color="auto"/>
        <w:left w:val="none" w:sz="0" w:space="0" w:color="auto"/>
        <w:bottom w:val="none" w:sz="0" w:space="0" w:color="auto"/>
        <w:right w:val="none" w:sz="0" w:space="0" w:color="auto"/>
      </w:divBdr>
    </w:div>
    <w:div w:id="2093696607">
      <w:bodyDiv w:val="1"/>
      <w:marLeft w:val="0"/>
      <w:marRight w:val="0"/>
      <w:marTop w:val="0"/>
      <w:marBottom w:val="0"/>
      <w:divBdr>
        <w:top w:val="none" w:sz="0" w:space="0" w:color="auto"/>
        <w:left w:val="none" w:sz="0" w:space="0" w:color="auto"/>
        <w:bottom w:val="none" w:sz="0" w:space="0" w:color="auto"/>
        <w:right w:val="none" w:sz="0" w:space="0" w:color="auto"/>
      </w:divBdr>
    </w:div>
    <w:div w:id="2093772346">
      <w:bodyDiv w:val="1"/>
      <w:marLeft w:val="0"/>
      <w:marRight w:val="0"/>
      <w:marTop w:val="0"/>
      <w:marBottom w:val="0"/>
      <w:divBdr>
        <w:top w:val="none" w:sz="0" w:space="0" w:color="auto"/>
        <w:left w:val="none" w:sz="0" w:space="0" w:color="auto"/>
        <w:bottom w:val="none" w:sz="0" w:space="0" w:color="auto"/>
        <w:right w:val="none" w:sz="0" w:space="0" w:color="auto"/>
      </w:divBdr>
    </w:div>
    <w:div w:id="2093776649">
      <w:bodyDiv w:val="1"/>
      <w:marLeft w:val="0"/>
      <w:marRight w:val="0"/>
      <w:marTop w:val="0"/>
      <w:marBottom w:val="0"/>
      <w:divBdr>
        <w:top w:val="none" w:sz="0" w:space="0" w:color="auto"/>
        <w:left w:val="none" w:sz="0" w:space="0" w:color="auto"/>
        <w:bottom w:val="none" w:sz="0" w:space="0" w:color="auto"/>
        <w:right w:val="none" w:sz="0" w:space="0" w:color="auto"/>
      </w:divBdr>
    </w:div>
    <w:div w:id="2094086548">
      <w:bodyDiv w:val="1"/>
      <w:marLeft w:val="0"/>
      <w:marRight w:val="0"/>
      <w:marTop w:val="0"/>
      <w:marBottom w:val="0"/>
      <w:divBdr>
        <w:top w:val="none" w:sz="0" w:space="0" w:color="auto"/>
        <w:left w:val="none" w:sz="0" w:space="0" w:color="auto"/>
        <w:bottom w:val="none" w:sz="0" w:space="0" w:color="auto"/>
        <w:right w:val="none" w:sz="0" w:space="0" w:color="auto"/>
      </w:divBdr>
    </w:div>
    <w:div w:id="2094156267">
      <w:bodyDiv w:val="1"/>
      <w:marLeft w:val="0"/>
      <w:marRight w:val="0"/>
      <w:marTop w:val="0"/>
      <w:marBottom w:val="0"/>
      <w:divBdr>
        <w:top w:val="none" w:sz="0" w:space="0" w:color="auto"/>
        <w:left w:val="none" w:sz="0" w:space="0" w:color="auto"/>
        <w:bottom w:val="none" w:sz="0" w:space="0" w:color="auto"/>
        <w:right w:val="none" w:sz="0" w:space="0" w:color="auto"/>
      </w:divBdr>
    </w:div>
    <w:div w:id="2094164553">
      <w:bodyDiv w:val="1"/>
      <w:marLeft w:val="0"/>
      <w:marRight w:val="0"/>
      <w:marTop w:val="0"/>
      <w:marBottom w:val="0"/>
      <w:divBdr>
        <w:top w:val="none" w:sz="0" w:space="0" w:color="auto"/>
        <w:left w:val="none" w:sz="0" w:space="0" w:color="auto"/>
        <w:bottom w:val="none" w:sz="0" w:space="0" w:color="auto"/>
        <w:right w:val="none" w:sz="0" w:space="0" w:color="auto"/>
      </w:divBdr>
    </w:div>
    <w:div w:id="2094275802">
      <w:bodyDiv w:val="1"/>
      <w:marLeft w:val="0"/>
      <w:marRight w:val="0"/>
      <w:marTop w:val="0"/>
      <w:marBottom w:val="0"/>
      <w:divBdr>
        <w:top w:val="none" w:sz="0" w:space="0" w:color="auto"/>
        <w:left w:val="none" w:sz="0" w:space="0" w:color="auto"/>
        <w:bottom w:val="none" w:sz="0" w:space="0" w:color="auto"/>
        <w:right w:val="none" w:sz="0" w:space="0" w:color="auto"/>
      </w:divBdr>
    </w:div>
    <w:div w:id="2094351181">
      <w:bodyDiv w:val="1"/>
      <w:marLeft w:val="0"/>
      <w:marRight w:val="0"/>
      <w:marTop w:val="0"/>
      <w:marBottom w:val="0"/>
      <w:divBdr>
        <w:top w:val="none" w:sz="0" w:space="0" w:color="auto"/>
        <w:left w:val="none" w:sz="0" w:space="0" w:color="auto"/>
        <w:bottom w:val="none" w:sz="0" w:space="0" w:color="auto"/>
        <w:right w:val="none" w:sz="0" w:space="0" w:color="auto"/>
      </w:divBdr>
    </w:div>
    <w:div w:id="2094662183">
      <w:bodyDiv w:val="1"/>
      <w:marLeft w:val="0"/>
      <w:marRight w:val="0"/>
      <w:marTop w:val="0"/>
      <w:marBottom w:val="0"/>
      <w:divBdr>
        <w:top w:val="none" w:sz="0" w:space="0" w:color="auto"/>
        <w:left w:val="none" w:sz="0" w:space="0" w:color="auto"/>
        <w:bottom w:val="none" w:sz="0" w:space="0" w:color="auto"/>
        <w:right w:val="none" w:sz="0" w:space="0" w:color="auto"/>
      </w:divBdr>
    </w:div>
    <w:div w:id="2094739574">
      <w:bodyDiv w:val="1"/>
      <w:marLeft w:val="0"/>
      <w:marRight w:val="0"/>
      <w:marTop w:val="0"/>
      <w:marBottom w:val="0"/>
      <w:divBdr>
        <w:top w:val="none" w:sz="0" w:space="0" w:color="auto"/>
        <w:left w:val="none" w:sz="0" w:space="0" w:color="auto"/>
        <w:bottom w:val="none" w:sz="0" w:space="0" w:color="auto"/>
        <w:right w:val="none" w:sz="0" w:space="0" w:color="auto"/>
      </w:divBdr>
    </w:div>
    <w:div w:id="2094740423">
      <w:bodyDiv w:val="1"/>
      <w:marLeft w:val="0"/>
      <w:marRight w:val="0"/>
      <w:marTop w:val="0"/>
      <w:marBottom w:val="0"/>
      <w:divBdr>
        <w:top w:val="none" w:sz="0" w:space="0" w:color="auto"/>
        <w:left w:val="none" w:sz="0" w:space="0" w:color="auto"/>
        <w:bottom w:val="none" w:sz="0" w:space="0" w:color="auto"/>
        <w:right w:val="none" w:sz="0" w:space="0" w:color="auto"/>
      </w:divBdr>
    </w:div>
    <w:div w:id="2094816631">
      <w:bodyDiv w:val="1"/>
      <w:marLeft w:val="0"/>
      <w:marRight w:val="0"/>
      <w:marTop w:val="0"/>
      <w:marBottom w:val="0"/>
      <w:divBdr>
        <w:top w:val="none" w:sz="0" w:space="0" w:color="auto"/>
        <w:left w:val="none" w:sz="0" w:space="0" w:color="auto"/>
        <w:bottom w:val="none" w:sz="0" w:space="0" w:color="auto"/>
        <w:right w:val="none" w:sz="0" w:space="0" w:color="auto"/>
      </w:divBdr>
    </w:div>
    <w:div w:id="2095129804">
      <w:bodyDiv w:val="1"/>
      <w:marLeft w:val="0"/>
      <w:marRight w:val="0"/>
      <w:marTop w:val="0"/>
      <w:marBottom w:val="0"/>
      <w:divBdr>
        <w:top w:val="none" w:sz="0" w:space="0" w:color="auto"/>
        <w:left w:val="none" w:sz="0" w:space="0" w:color="auto"/>
        <w:bottom w:val="none" w:sz="0" w:space="0" w:color="auto"/>
        <w:right w:val="none" w:sz="0" w:space="0" w:color="auto"/>
      </w:divBdr>
    </w:div>
    <w:div w:id="2095198172">
      <w:bodyDiv w:val="1"/>
      <w:marLeft w:val="0"/>
      <w:marRight w:val="0"/>
      <w:marTop w:val="0"/>
      <w:marBottom w:val="0"/>
      <w:divBdr>
        <w:top w:val="none" w:sz="0" w:space="0" w:color="auto"/>
        <w:left w:val="none" w:sz="0" w:space="0" w:color="auto"/>
        <w:bottom w:val="none" w:sz="0" w:space="0" w:color="auto"/>
        <w:right w:val="none" w:sz="0" w:space="0" w:color="auto"/>
      </w:divBdr>
    </w:div>
    <w:div w:id="2095204968">
      <w:bodyDiv w:val="1"/>
      <w:marLeft w:val="0"/>
      <w:marRight w:val="0"/>
      <w:marTop w:val="0"/>
      <w:marBottom w:val="0"/>
      <w:divBdr>
        <w:top w:val="none" w:sz="0" w:space="0" w:color="auto"/>
        <w:left w:val="none" w:sz="0" w:space="0" w:color="auto"/>
        <w:bottom w:val="none" w:sz="0" w:space="0" w:color="auto"/>
        <w:right w:val="none" w:sz="0" w:space="0" w:color="auto"/>
      </w:divBdr>
    </w:div>
    <w:div w:id="2095205808">
      <w:bodyDiv w:val="1"/>
      <w:marLeft w:val="0"/>
      <w:marRight w:val="0"/>
      <w:marTop w:val="0"/>
      <w:marBottom w:val="0"/>
      <w:divBdr>
        <w:top w:val="none" w:sz="0" w:space="0" w:color="auto"/>
        <w:left w:val="none" w:sz="0" w:space="0" w:color="auto"/>
        <w:bottom w:val="none" w:sz="0" w:space="0" w:color="auto"/>
        <w:right w:val="none" w:sz="0" w:space="0" w:color="auto"/>
      </w:divBdr>
    </w:div>
    <w:div w:id="2095281427">
      <w:bodyDiv w:val="1"/>
      <w:marLeft w:val="0"/>
      <w:marRight w:val="0"/>
      <w:marTop w:val="0"/>
      <w:marBottom w:val="0"/>
      <w:divBdr>
        <w:top w:val="none" w:sz="0" w:space="0" w:color="auto"/>
        <w:left w:val="none" w:sz="0" w:space="0" w:color="auto"/>
        <w:bottom w:val="none" w:sz="0" w:space="0" w:color="auto"/>
        <w:right w:val="none" w:sz="0" w:space="0" w:color="auto"/>
      </w:divBdr>
    </w:div>
    <w:div w:id="2095323549">
      <w:bodyDiv w:val="1"/>
      <w:marLeft w:val="0"/>
      <w:marRight w:val="0"/>
      <w:marTop w:val="0"/>
      <w:marBottom w:val="0"/>
      <w:divBdr>
        <w:top w:val="none" w:sz="0" w:space="0" w:color="auto"/>
        <w:left w:val="none" w:sz="0" w:space="0" w:color="auto"/>
        <w:bottom w:val="none" w:sz="0" w:space="0" w:color="auto"/>
        <w:right w:val="none" w:sz="0" w:space="0" w:color="auto"/>
      </w:divBdr>
    </w:div>
    <w:div w:id="2095392895">
      <w:bodyDiv w:val="1"/>
      <w:marLeft w:val="0"/>
      <w:marRight w:val="0"/>
      <w:marTop w:val="0"/>
      <w:marBottom w:val="0"/>
      <w:divBdr>
        <w:top w:val="none" w:sz="0" w:space="0" w:color="auto"/>
        <w:left w:val="none" w:sz="0" w:space="0" w:color="auto"/>
        <w:bottom w:val="none" w:sz="0" w:space="0" w:color="auto"/>
        <w:right w:val="none" w:sz="0" w:space="0" w:color="auto"/>
      </w:divBdr>
    </w:div>
    <w:div w:id="2095393702">
      <w:bodyDiv w:val="1"/>
      <w:marLeft w:val="0"/>
      <w:marRight w:val="0"/>
      <w:marTop w:val="0"/>
      <w:marBottom w:val="0"/>
      <w:divBdr>
        <w:top w:val="none" w:sz="0" w:space="0" w:color="auto"/>
        <w:left w:val="none" w:sz="0" w:space="0" w:color="auto"/>
        <w:bottom w:val="none" w:sz="0" w:space="0" w:color="auto"/>
        <w:right w:val="none" w:sz="0" w:space="0" w:color="auto"/>
      </w:divBdr>
    </w:div>
    <w:div w:id="2095473459">
      <w:bodyDiv w:val="1"/>
      <w:marLeft w:val="0"/>
      <w:marRight w:val="0"/>
      <w:marTop w:val="0"/>
      <w:marBottom w:val="0"/>
      <w:divBdr>
        <w:top w:val="none" w:sz="0" w:space="0" w:color="auto"/>
        <w:left w:val="none" w:sz="0" w:space="0" w:color="auto"/>
        <w:bottom w:val="none" w:sz="0" w:space="0" w:color="auto"/>
        <w:right w:val="none" w:sz="0" w:space="0" w:color="auto"/>
      </w:divBdr>
    </w:div>
    <w:div w:id="2095474141">
      <w:bodyDiv w:val="1"/>
      <w:marLeft w:val="0"/>
      <w:marRight w:val="0"/>
      <w:marTop w:val="0"/>
      <w:marBottom w:val="0"/>
      <w:divBdr>
        <w:top w:val="none" w:sz="0" w:space="0" w:color="auto"/>
        <w:left w:val="none" w:sz="0" w:space="0" w:color="auto"/>
        <w:bottom w:val="none" w:sz="0" w:space="0" w:color="auto"/>
        <w:right w:val="none" w:sz="0" w:space="0" w:color="auto"/>
      </w:divBdr>
    </w:div>
    <w:div w:id="2095515713">
      <w:bodyDiv w:val="1"/>
      <w:marLeft w:val="0"/>
      <w:marRight w:val="0"/>
      <w:marTop w:val="0"/>
      <w:marBottom w:val="0"/>
      <w:divBdr>
        <w:top w:val="none" w:sz="0" w:space="0" w:color="auto"/>
        <w:left w:val="none" w:sz="0" w:space="0" w:color="auto"/>
        <w:bottom w:val="none" w:sz="0" w:space="0" w:color="auto"/>
        <w:right w:val="none" w:sz="0" w:space="0" w:color="auto"/>
      </w:divBdr>
    </w:div>
    <w:div w:id="2095542576">
      <w:bodyDiv w:val="1"/>
      <w:marLeft w:val="0"/>
      <w:marRight w:val="0"/>
      <w:marTop w:val="0"/>
      <w:marBottom w:val="0"/>
      <w:divBdr>
        <w:top w:val="none" w:sz="0" w:space="0" w:color="auto"/>
        <w:left w:val="none" w:sz="0" w:space="0" w:color="auto"/>
        <w:bottom w:val="none" w:sz="0" w:space="0" w:color="auto"/>
        <w:right w:val="none" w:sz="0" w:space="0" w:color="auto"/>
      </w:divBdr>
    </w:div>
    <w:div w:id="2095583742">
      <w:bodyDiv w:val="1"/>
      <w:marLeft w:val="0"/>
      <w:marRight w:val="0"/>
      <w:marTop w:val="0"/>
      <w:marBottom w:val="0"/>
      <w:divBdr>
        <w:top w:val="none" w:sz="0" w:space="0" w:color="auto"/>
        <w:left w:val="none" w:sz="0" w:space="0" w:color="auto"/>
        <w:bottom w:val="none" w:sz="0" w:space="0" w:color="auto"/>
        <w:right w:val="none" w:sz="0" w:space="0" w:color="auto"/>
      </w:divBdr>
    </w:div>
    <w:div w:id="2095589952">
      <w:bodyDiv w:val="1"/>
      <w:marLeft w:val="0"/>
      <w:marRight w:val="0"/>
      <w:marTop w:val="0"/>
      <w:marBottom w:val="0"/>
      <w:divBdr>
        <w:top w:val="none" w:sz="0" w:space="0" w:color="auto"/>
        <w:left w:val="none" w:sz="0" w:space="0" w:color="auto"/>
        <w:bottom w:val="none" w:sz="0" w:space="0" w:color="auto"/>
        <w:right w:val="none" w:sz="0" w:space="0" w:color="auto"/>
      </w:divBdr>
    </w:div>
    <w:div w:id="2095659506">
      <w:bodyDiv w:val="1"/>
      <w:marLeft w:val="0"/>
      <w:marRight w:val="0"/>
      <w:marTop w:val="0"/>
      <w:marBottom w:val="0"/>
      <w:divBdr>
        <w:top w:val="none" w:sz="0" w:space="0" w:color="auto"/>
        <w:left w:val="none" w:sz="0" w:space="0" w:color="auto"/>
        <w:bottom w:val="none" w:sz="0" w:space="0" w:color="auto"/>
        <w:right w:val="none" w:sz="0" w:space="0" w:color="auto"/>
      </w:divBdr>
    </w:div>
    <w:div w:id="2095736184">
      <w:bodyDiv w:val="1"/>
      <w:marLeft w:val="0"/>
      <w:marRight w:val="0"/>
      <w:marTop w:val="0"/>
      <w:marBottom w:val="0"/>
      <w:divBdr>
        <w:top w:val="none" w:sz="0" w:space="0" w:color="auto"/>
        <w:left w:val="none" w:sz="0" w:space="0" w:color="auto"/>
        <w:bottom w:val="none" w:sz="0" w:space="0" w:color="auto"/>
        <w:right w:val="none" w:sz="0" w:space="0" w:color="auto"/>
      </w:divBdr>
    </w:div>
    <w:div w:id="2095858856">
      <w:bodyDiv w:val="1"/>
      <w:marLeft w:val="0"/>
      <w:marRight w:val="0"/>
      <w:marTop w:val="0"/>
      <w:marBottom w:val="0"/>
      <w:divBdr>
        <w:top w:val="none" w:sz="0" w:space="0" w:color="auto"/>
        <w:left w:val="none" w:sz="0" w:space="0" w:color="auto"/>
        <w:bottom w:val="none" w:sz="0" w:space="0" w:color="auto"/>
        <w:right w:val="none" w:sz="0" w:space="0" w:color="auto"/>
      </w:divBdr>
    </w:div>
    <w:div w:id="2095934931">
      <w:bodyDiv w:val="1"/>
      <w:marLeft w:val="0"/>
      <w:marRight w:val="0"/>
      <w:marTop w:val="0"/>
      <w:marBottom w:val="0"/>
      <w:divBdr>
        <w:top w:val="none" w:sz="0" w:space="0" w:color="auto"/>
        <w:left w:val="none" w:sz="0" w:space="0" w:color="auto"/>
        <w:bottom w:val="none" w:sz="0" w:space="0" w:color="auto"/>
        <w:right w:val="none" w:sz="0" w:space="0" w:color="auto"/>
      </w:divBdr>
    </w:div>
    <w:div w:id="2096046328">
      <w:bodyDiv w:val="1"/>
      <w:marLeft w:val="0"/>
      <w:marRight w:val="0"/>
      <w:marTop w:val="0"/>
      <w:marBottom w:val="0"/>
      <w:divBdr>
        <w:top w:val="none" w:sz="0" w:space="0" w:color="auto"/>
        <w:left w:val="none" w:sz="0" w:space="0" w:color="auto"/>
        <w:bottom w:val="none" w:sz="0" w:space="0" w:color="auto"/>
        <w:right w:val="none" w:sz="0" w:space="0" w:color="auto"/>
      </w:divBdr>
    </w:div>
    <w:div w:id="2096054177">
      <w:bodyDiv w:val="1"/>
      <w:marLeft w:val="0"/>
      <w:marRight w:val="0"/>
      <w:marTop w:val="0"/>
      <w:marBottom w:val="0"/>
      <w:divBdr>
        <w:top w:val="none" w:sz="0" w:space="0" w:color="auto"/>
        <w:left w:val="none" w:sz="0" w:space="0" w:color="auto"/>
        <w:bottom w:val="none" w:sz="0" w:space="0" w:color="auto"/>
        <w:right w:val="none" w:sz="0" w:space="0" w:color="auto"/>
      </w:divBdr>
    </w:div>
    <w:div w:id="2096239189">
      <w:bodyDiv w:val="1"/>
      <w:marLeft w:val="0"/>
      <w:marRight w:val="0"/>
      <w:marTop w:val="0"/>
      <w:marBottom w:val="0"/>
      <w:divBdr>
        <w:top w:val="none" w:sz="0" w:space="0" w:color="auto"/>
        <w:left w:val="none" w:sz="0" w:space="0" w:color="auto"/>
        <w:bottom w:val="none" w:sz="0" w:space="0" w:color="auto"/>
        <w:right w:val="none" w:sz="0" w:space="0" w:color="auto"/>
      </w:divBdr>
    </w:div>
    <w:div w:id="2096318560">
      <w:bodyDiv w:val="1"/>
      <w:marLeft w:val="0"/>
      <w:marRight w:val="0"/>
      <w:marTop w:val="0"/>
      <w:marBottom w:val="0"/>
      <w:divBdr>
        <w:top w:val="none" w:sz="0" w:space="0" w:color="auto"/>
        <w:left w:val="none" w:sz="0" w:space="0" w:color="auto"/>
        <w:bottom w:val="none" w:sz="0" w:space="0" w:color="auto"/>
        <w:right w:val="none" w:sz="0" w:space="0" w:color="auto"/>
      </w:divBdr>
    </w:div>
    <w:div w:id="2096391805">
      <w:bodyDiv w:val="1"/>
      <w:marLeft w:val="0"/>
      <w:marRight w:val="0"/>
      <w:marTop w:val="0"/>
      <w:marBottom w:val="0"/>
      <w:divBdr>
        <w:top w:val="none" w:sz="0" w:space="0" w:color="auto"/>
        <w:left w:val="none" w:sz="0" w:space="0" w:color="auto"/>
        <w:bottom w:val="none" w:sz="0" w:space="0" w:color="auto"/>
        <w:right w:val="none" w:sz="0" w:space="0" w:color="auto"/>
      </w:divBdr>
    </w:div>
    <w:div w:id="2096433659">
      <w:bodyDiv w:val="1"/>
      <w:marLeft w:val="0"/>
      <w:marRight w:val="0"/>
      <w:marTop w:val="0"/>
      <w:marBottom w:val="0"/>
      <w:divBdr>
        <w:top w:val="none" w:sz="0" w:space="0" w:color="auto"/>
        <w:left w:val="none" w:sz="0" w:space="0" w:color="auto"/>
        <w:bottom w:val="none" w:sz="0" w:space="0" w:color="auto"/>
        <w:right w:val="none" w:sz="0" w:space="0" w:color="auto"/>
      </w:divBdr>
    </w:div>
    <w:div w:id="2096433753">
      <w:bodyDiv w:val="1"/>
      <w:marLeft w:val="0"/>
      <w:marRight w:val="0"/>
      <w:marTop w:val="0"/>
      <w:marBottom w:val="0"/>
      <w:divBdr>
        <w:top w:val="none" w:sz="0" w:space="0" w:color="auto"/>
        <w:left w:val="none" w:sz="0" w:space="0" w:color="auto"/>
        <w:bottom w:val="none" w:sz="0" w:space="0" w:color="auto"/>
        <w:right w:val="none" w:sz="0" w:space="0" w:color="auto"/>
      </w:divBdr>
    </w:div>
    <w:div w:id="2096514715">
      <w:bodyDiv w:val="1"/>
      <w:marLeft w:val="0"/>
      <w:marRight w:val="0"/>
      <w:marTop w:val="0"/>
      <w:marBottom w:val="0"/>
      <w:divBdr>
        <w:top w:val="none" w:sz="0" w:space="0" w:color="auto"/>
        <w:left w:val="none" w:sz="0" w:space="0" w:color="auto"/>
        <w:bottom w:val="none" w:sz="0" w:space="0" w:color="auto"/>
        <w:right w:val="none" w:sz="0" w:space="0" w:color="auto"/>
      </w:divBdr>
    </w:div>
    <w:div w:id="2096586680">
      <w:bodyDiv w:val="1"/>
      <w:marLeft w:val="0"/>
      <w:marRight w:val="0"/>
      <w:marTop w:val="0"/>
      <w:marBottom w:val="0"/>
      <w:divBdr>
        <w:top w:val="none" w:sz="0" w:space="0" w:color="auto"/>
        <w:left w:val="none" w:sz="0" w:space="0" w:color="auto"/>
        <w:bottom w:val="none" w:sz="0" w:space="0" w:color="auto"/>
        <w:right w:val="none" w:sz="0" w:space="0" w:color="auto"/>
      </w:divBdr>
    </w:div>
    <w:div w:id="2096778715">
      <w:bodyDiv w:val="1"/>
      <w:marLeft w:val="0"/>
      <w:marRight w:val="0"/>
      <w:marTop w:val="0"/>
      <w:marBottom w:val="0"/>
      <w:divBdr>
        <w:top w:val="none" w:sz="0" w:space="0" w:color="auto"/>
        <w:left w:val="none" w:sz="0" w:space="0" w:color="auto"/>
        <w:bottom w:val="none" w:sz="0" w:space="0" w:color="auto"/>
        <w:right w:val="none" w:sz="0" w:space="0" w:color="auto"/>
      </w:divBdr>
    </w:div>
    <w:div w:id="2096825033">
      <w:bodyDiv w:val="1"/>
      <w:marLeft w:val="0"/>
      <w:marRight w:val="0"/>
      <w:marTop w:val="0"/>
      <w:marBottom w:val="0"/>
      <w:divBdr>
        <w:top w:val="none" w:sz="0" w:space="0" w:color="auto"/>
        <w:left w:val="none" w:sz="0" w:space="0" w:color="auto"/>
        <w:bottom w:val="none" w:sz="0" w:space="0" w:color="auto"/>
        <w:right w:val="none" w:sz="0" w:space="0" w:color="auto"/>
      </w:divBdr>
    </w:div>
    <w:div w:id="2096857086">
      <w:bodyDiv w:val="1"/>
      <w:marLeft w:val="0"/>
      <w:marRight w:val="0"/>
      <w:marTop w:val="0"/>
      <w:marBottom w:val="0"/>
      <w:divBdr>
        <w:top w:val="none" w:sz="0" w:space="0" w:color="auto"/>
        <w:left w:val="none" w:sz="0" w:space="0" w:color="auto"/>
        <w:bottom w:val="none" w:sz="0" w:space="0" w:color="auto"/>
        <w:right w:val="none" w:sz="0" w:space="0" w:color="auto"/>
      </w:divBdr>
    </w:div>
    <w:div w:id="2096894042">
      <w:bodyDiv w:val="1"/>
      <w:marLeft w:val="0"/>
      <w:marRight w:val="0"/>
      <w:marTop w:val="0"/>
      <w:marBottom w:val="0"/>
      <w:divBdr>
        <w:top w:val="none" w:sz="0" w:space="0" w:color="auto"/>
        <w:left w:val="none" w:sz="0" w:space="0" w:color="auto"/>
        <w:bottom w:val="none" w:sz="0" w:space="0" w:color="auto"/>
        <w:right w:val="none" w:sz="0" w:space="0" w:color="auto"/>
      </w:divBdr>
    </w:div>
    <w:div w:id="2096898385">
      <w:bodyDiv w:val="1"/>
      <w:marLeft w:val="0"/>
      <w:marRight w:val="0"/>
      <w:marTop w:val="0"/>
      <w:marBottom w:val="0"/>
      <w:divBdr>
        <w:top w:val="none" w:sz="0" w:space="0" w:color="auto"/>
        <w:left w:val="none" w:sz="0" w:space="0" w:color="auto"/>
        <w:bottom w:val="none" w:sz="0" w:space="0" w:color="auto"/>
        <w:right w:val="none" w:sz="0" w:space="0" w:color="auto"/>
      </w:divBdr>
    </w:div>
    <w:div w:id="2097047979">
      <w:bodyDiv w:val="1"/>
      <w:marLeft w:val="0"/>
      <w:marRight w:val="0"/>
      <w:marTop w:val="0"/>
      <w:marBottom w:val="0"/>
      <w:divBdr>
        <w:top w:val="none" w:sz="0" w:space="0" w:color="auto"/>
        <w:left w:val="none" w:sz="0" w:space="0" w:color="auto"/>
        <w:bottom w:val="none" w:sz="0" w:space="0" w:color="auto"/>
        <w:right w:val="none" w:sz="0" w:space="0" w:color="auto"/>
      </w:divBdr>
    </w:div>
    <w:div w:id="2097048295">
      <w:bodyDiv w:val="1"/>
      <w:marLeft w:val="0"/>
      <w:marRight w:val="0"/>
      <w:marTop w:val="0"/>
      <w:marBottom w:val="0"/>
      <w:divBdr>
        <w:top w:val="none" w:sz="0" w:space="0" w:color="auto"/>
        <w:left w:val="none" w:sz="0" w:space="0" w:color="auto"/>
        <w:bottom w:val="none" w:sz="0" w:space="0" w:color="auto"/>
        <w:right w:val="none" w:sz="0" w:space="0" w:color="auto"/>
      </w:divBdr>
    </w:div>
    <w:div w:id="2097246653">
      <w:bodyDiv w:val="1"/>
      <w:marLeft w:val="0"/>
      <w:marRight w:val="0"/>
      <w:marTop w:val="0"/>
      <w:marBottom w:val="0"/>
      <w:divBdr>
        <w:top w:val="none" w:sz="0" w:space="0" w:color="auto"/>
        <w:left w:val="none" w:sz="0" w:space="0" w:color="auto"/>
        <w:bottom w:val="none" w:sz="0" w:space="0" w:color="auto"/>
        <w:right w:val="none" w:sz="0" w:space="0" w:color="auto"/>
      </w:divBdr>
    </w:div>
    <w:div w:id="2097508773">
      <w:bodyDiv w:val="1"/>
      <w:marLeft w:val="0"/>
      <w:marRight w:val="0"/>
      <w:marTop w:val="0"/>
      <w:marBottom w:val="0"/>
      <w:divBdr>
        <w:top w:val="none" w:sz="0" w:space="0" w:color="auto"/>
        <w:left w:val="none" w:sz="0" w:space="0" w:color="auto"/>
        <w:bottom w:val="none" w:sz="0" w:space="0" w:color="auto"/>
        <w:right w:val="none" w:sz="0" w:space="0" w:color="auto"/>
      </w:divBdr>
    </w:div>
    <w:div w:id="2097750041">
      <w:bodyDiv w:val="1"/>
      <w:marLeft w:val="0"/>
      <w:marRight w:val="0"/>
      <w:marTop w:val="0"/>
      <w:marBottom w:val="0"/>
      <w:divBdr>
        <w:top w:val="none" w:sz="0" w:space="0" w:color="auto"/>
        <w:left w:val="none" w:sz="0" w:space="0" w:color="auto"/>
        <w:bottom w:val="none" w:sz="0" w:space="0" w:color="auto"/>
        <w:right w:val="none" w:sz="0" w:space="0" w:color="auto"/>
      </w:divBdr>
    </w:div>
    <w:div w:id="2097751190">
      <w:bodyDiv w:val="1"/>
      <w:marLeft w:val="0"/>
      <w:marRight w:val="0"/>
      <w:marTop w:val="0"/>
      <w:marBottom w:val="0"/>
      <w:divBdr>
        <w:top w:val="none" w:sz="0" w:space="0" w:color="auto"/>
        <w:left w:val="none" w:sz="0" w:space="0" w:color="auto"/>
        <w:bottom w:val="none" w:sz="0" w:space="0" w:color="auto"/>
        <w:right w:val="none" w:sz="0" w:space="0" w:color="auto"/>
      </w:divBdr>
    </w:div>
    <w:div w:id="2097942944">
      <w:bodyDiv w:val="1"/>
      <w:marLeft w:val="0"/>
      <w:marRight w:val="0"/>
      <w:marTop w:val="0"/>
      <w:marBottom w:val="0"/>
      <w:divBdr>
        <w:top w:val="none" w:sz="0" w:space="0" w:color="auto"/>
        <w:left w:val="none" w:sz="0" w:space="0" w:color="auto"/>
        <w:bottom w:val="none" w:sz="0" w:space="0" w:color="auto"/>
        <w:right w:val="none" w:sz="0" w:space="0" w:color="auto"/>
      </w:divBdr>
    </w:div>
    <w:div w:id="2098088769">
      <w:bodyDiv w:val="1"/>
      <w:marLeft w:val="0"/>
      <w:marRight w:val="0"/>
      <w:marTop w:val="0"/>
      <w:marBottom w:val="0"/>
      <w:divBdr>
        <w:top w:val="none" w:sz="0" w:space="0" w:color="auto"/>
        <w:left w:val="none" w:sz="0" w:space="0" w:color="auto"/>
        <w:bottom w:val="none" w:sz="0" w:space="0" w:color="auto"/>
        <w:right w:val="none" w:sz="0" w:space="0" w:color="auto"/>
      </w:divBdr>
    </w:div>
    <w:div w:id="2098089621">
      <w:bodyDiv w:val="1"/>
      <w:marLeft w:val="0"/>
      <w:marRight w:val="0"/>
      <w:marTop w:val="0"/>
      <w:marBottom w:val="0"/>
      <w:divBdr>
        <w:top w:val="none" w:sz="0" w:space="0" w:color="auto"/>
        <w:left w:val="none" w:sz="0" w:space="0" w:color="auto"/>
        <w:bottom w:val="none" w:sz="0" w:space="0" w:color="auto"/>
        <w:right w:val="none" w:sz="0" w:space="0" w:color="auto"/>
      </w:divBdr>
    </w:div>
    <w:div w:id="2098094807">
      <w:bodyDiv w:val="1"/>
      <w:marLeft w:val="0"/>
      <w:marRight w:val="0"/>
      <w:marTop w:val="0"/>
      <w:marBottom w:val="0"/>
      <w:divBdr>
        <w:top w:val="none" w:sz="0" w:space="0" w:color="auto"/>
        <w:left w:val="none" w:sz="0" w:space="0" w:color="auto"/>
        <w:bottom w:val="none" w:sz="0" w:space="0" w:color="auto"/>
        <w:right w:val="none" w:sz="0" w:space="0" w:color="auto"/>
      </w:divBdr>
    </w:div>
    <w:div w:id="2098162556">
      <w:bodyDiv w:val="1"/>
      <w:marLeft w:val="0"/>
      <w:marRight w:val="0"/>
      <w:marTop w:val="0"/>
      <w:marBottom w:val="0"/>
      <w:divBdr>
        <w:top w:val="none" w:sz="0" w:space="0" w:color="auto"/>
        <w:left w:val="none" w:sz="0" w:space="0" w:color="auto"/>
        <w:bottom w:val="none" w:sz="0" w:space="0" w:color="auto"/>
        <w:right w:val="none" w:sz="0" w:space="0" w:color="auto"/>
      </w:divBdr>
    </w:div>
    <w:div w:id="2098281456">
      <w:bodyDiv w:val="1"/>
      <w:marLeft w:val="0"/>
      <w:marRight w:val="0"/>
      <w:marTop w:val="0"/>
      <w:marBottom w:val="0"/>
      <w:divBdr>
        <w:top w:val="none" w:sz="0" w:space="0" w:color="auto"/>
        <w:left w:val="none" w:sz="0" w:space="0" w:color="auto"/>
        <w:bottom w:val="none" w:sz="0" w:space="0" w:color="auto"/>
        <w:right w:val="none" w:sz="0" w:space="0" w:color="auto"/>
      </w:divBdr>
    </w:div>
    <w:div w:id="2098283555">
      <w:bodyDiv w:val="1"/>
      <w:marLeft w:val="0"/>
      <w:marRight w:val="0"/>
      <w:marTop w:val="0"/>
      <w:marBottom w:val="0"/>
      <w:divBdr>
        <w:top w:val="none" w:sz="0" w:space="0" w:color="auto"/>
        <w:left w:val="none" w:sz="0" w:space="0" w:color="auto"/>
        <w:bottom w:val="none" w:sz="0" w:space="0" w:color="auto"/>
        <w:right w:val="none" w:sz="0" w:space="0" w:color="auto"/>
      </w:divBdr>
    </w:div>
    <w:div w:id="2098548975">
      <w:bodyDiv w:val="1"/>
      <w:marLeft w:val="0"/>
      <w:marRight w:val="0"/>
      <w:marTop w:val="0"/>
      <w:marBottom w:val="0"/>
      <w:divBdr>
        <w:top w:val="none" w:sz="0" w:space="0" w:color="auto"/>
        <w:left w:val="none" w:sz="0" w:space="0" w:color="auto"/>
        <w:bottom w:val="none" w:sz="0" w:space="0" w:color="auto"/>
        <w:right w:val="none" w:sz="0" w:space="0" w:color="auto"/>
      </w:divBdr>
    </w:div>
    <w:div w:id="2098557699">
      <w:bodyDiv w:val="1"/>
      <w:marLeft w:val="0"/>
      <w:marRight w:val="0"/>
      <w:marTop w:val="0"/>
      <w:marBottom w:val="0"/>
      <w:divBdr>
        <w:top w:val="none" w:sz="0" w:space="0" w:color="auto"/>
        <w:left w:val="none" w:sz="0" w:space="0" w:color="auto"/>
        <w:bottom w:val="none" w:sz="0" w:space="0" w:color="auto"/>
        <w:right w:val="none" w:sz="0" w:space="0" w:color="auto"/>
      </w:divBdr>
    </w:div>
    <w:div w:id="2098594026">
      <w:bodyDiv w:val="1"/>
      <w:marLeft w:val="0"/>
      <w:marRight w:val="0"/>
      <w:marTop w:val="0"/>
      <w:marBottom w:val="0"/>
      <w:divBdr>
        <w:top w:val="none" w:sz="0" w:space="0" w:color="auto"/>
        <w:left w:val="none" w:sz="0" w:space="0" w:color="auto"/>
        <w:bottom w:val="none" w:sz="0" w:space="0" w:color="auto"/>
        <w:right w:val="none" w:sz="0" w:space="0" w:color="auto"/>
      </w:divBdr>
    </w:div>
    <w:div w:id="2098598332">
      <w:bodyDiv w:val="1"/>
      <w:marLeft w:val="0"/>
      <w:marRight w:val="0"/>
      <w:marTop w:val="0"/>
      <w:marBottom w:val="0"/>
      <w:divBdr>
        <w:top w:val="none" w:sz="0" w:space="0" w:color="auto"/>
        <w:left w:val="none" w:sz="0" w:space="0" w:color="auto"/>
        <w:bottom w:val="none" w:sz="0" w:space="0" w:color="auto"/>
        <w:right w:val="none" w:sz="0" w:space="0" w:color="auto"/>
      </w:divBdr>
    </w:div>
    <w:div w:id="2098625176">
      <w:bodyDiv w:val="1"/>
      <w:marLeft w:val="0"/>
      <w:marRight w:val="0"/>
      <w:marTop w:val="0"/>
      <w:marBottom w:val="0"/>
      <w:divBdr>
        <w:top w:val="none" w:sz="0" w:space="0" w:color="auto"/>
        <w:left w:val="none" w:sz="0" w:space="0" w:color="auto"/>
        <w:bottom w:val="none" w:sz="0" w:space="0" w:color="auto"/>
        <w:right w:val="none" w:sz="0" w:space="0" w:color="auto"/>
      </w:divBdr>
    </w:div>
    <w:div w:id="2098674886">
      <w:bodyDiv w:val="1"/>
      <w:marLeft w:val="0"/>
      <w:marRight w:val="0"/>
      <w:marTop w:val="0"/>
      <w:marBottom w:val="0"/>
      <w:divBdr>
        <w:top w:val="none" w:sz="0" w:space="0" w:color="auto"/>
        <w:left w:val="none" w:sz="0" w:space="0" w:color="auto"/>
        <w:bottom w:val="none" w:sz="0" w:space="0" w:color="auto"/>
        <w:right w:val="none" w:sz="0" w:space="0" w:color="auto"/>
      </w:divBdr>
    </w:div>
    <w:div w:id="2098747668">
      <w:bodyDiv w:val="1"/>
      <w:marLeft w:val="0"/>
      <w:marRight w:val="0"/>
      <w:marTop w:val="0"/>
      <w:marBottom w:val="0"/>
      <w:divBdr>
        <w:top w:val="none" w:sz="0" w:space="0" w:color="auto"/>
        <w:left w:val="none" w:sz="0" w:space="0" w:color="auto"/>
        <w:bottom w:val="none" w:sz="0" w:space="0" w:color="auto"/>
        <w:right w:val="none" w:sz="0" w:space="0" w:color="auto"/>
      </w:divBdr>
    </w:div>
    <w:div w:id="2098750720">
      <w:bodyDiv w:val="1"/>
      <w:marLeft w:val="0"/>
      <w:marRight w:val="0"/>
      <w:marTop w:val="0"/>
      <w:marBottom w:val="0"/>
      <w:divBdr>
        <w:top w:val="none" w:sz="0" w:space="0" w:color="auto"/>
        <w:left w:val="none" w:sz="0" w:space="0" w:color="auto"/>
        <w:bottom w:val="none" w:sz="0" w:space="0" w:color="auto"/>
        <w:right w:val="none" w:sz="0" w:space="0" w:color="auto"/>
      </w:divBdr>
    </w:div>
    <w:div w:id="2098793178">
      <w:bodyDiv w:val="1"/>
      <w:marLeft w:val="0"/>
      <w:marRight w:val="0"/>
      <w:marTop w:val="0"/>
      <w:marBottom w:val="0"/>
      <w:divBdr>
        <w:top w:val="none" w:sz="0" w:space="0" w:color="auto"/>
        <w:left w:val="none" w:sz="0" w:space="0" w:color="auto"/>
        <w:bottom w:val="none" w:sz="0" w:space="0" w:color="auto"/>
        <w:right w:val="none" w:sz="0" w:space="0" w:color="auto"/>
      </w:divBdr>
    </w:div>
    <w:div w:id="2098817186">
      <w:bodyDiv w:val="1"/>
      <w:marLeft w:val="0"/>
      <w:marRight w:val="0"/>
      <w:marTop w:val="0"/>
      <w:marBottom w:val="0"/>
      <w:divBdr>
        <w:top w:val="none" w:sz="0" w:space="0" w:color="auto"/>
        <w:left w:val="none" w:sz="0" w:space="0" w:color="auto"/>
        <w:bottom w:val="none" w:sz="0" w:space="0" w:color="auto"/>
        <w:right w:val="none" w:sz="0" w:space="0" w:color="auto"/>
      </w:divBdr>
    </w:div>
    <w:div w:id="2098818096">
      <w:bodyDiv w:val="1"/>
      <w:marLeft w:val="0"/>
      <w:marRight w:val="0"/>
      <w:marTop w:val="0"/>
      <w:marBottom w:val="0"/>
      <w:divBdr>
        <w:top w:val="none" w:sz="0" w:space="0" w:color="auto"/>
        <w:left w:val="none" w:sz="0" w:space="0" w:color="auto"/>
        <w:bottom w:val="none" w:sz="0" w:space="0" w:color="auto"/>
        <w:right w:val="none" w:sz="0" w:space="0" w:color="auto"/>
      </w:divBdr>
    </w:div>
    <w:div w:id="2098819862">
      <w:bodyDiv w:val="1"/>
      <w:marLeft w:val="0"/>
      <w:marRight w:val="0"/>
      <w:marTop w:val="0"/>
      <w:marBottom w:val="0"/>
      <w:divBdr>
        <w:top w:val="none" w:sz="0" w:space="0" w:color="auto"/>
        <w:left w:val="none" w:sz="0" w:space="0" w:color="auto"/>
        <w:bottom w:val="none" w:sz="0" w:space="0" w:color="auto"/>
        <w:right w:val="none" w:sz="0" w:space="0" w:color="auto"/>
      </w:divBdr>
    </w:div>
    <w:div w:id="2098868174">
      <w:bodyDiv w:val="1"/>
      <w:marLeft w:val="0"/>
      <w:marRight w:val="0"/>
      <w:marTop w:val="0"/>
      <w:marBottom w:val="0"/>
      <w:divBdr>
        <w:top w:val="none" w:sz="0" w:space="0" w:color="auto"/>
        <w:left w:val="none" w:sz="0" w:space="0" w:color="auto"/>
        <w:bottom w:val="none" w:sz="0" w:space="0" w:color="auto"/>
        <w:right w:val="none" w:sz="0" w:space="0" w:color="auto"/>
      </w:divBdr>
    </w:div>
    <w:div w:id="2098939085">
      <w:bodyDiv w:val="1"/>
      <w:marLeft w:val="0"/>
      <w:marRight w:val="0"/>
      <w:marTop w:val="0"/>
      <w:marBottom w:val="0"/>
      <w:divBdr>
        <w:top w:val="none" w:sz="0" w:space="0" w:color="auto"/>
        <w:left w:val="none" w:sz="0" w:space="0" w:color="auto"/>
        <w:bottom w:val="none" w:sz="0" w:space="0" w:color="auto"/>
        <w:right w:val="none" w:sz="0" w:space="0" w:color="auto"/>
      </w:divBdr>
    </w:div>
    <w:div w:id="2098941988">
      <w:bodyDiv w:val="1"/>
      <w:marLeft w:val="0"/>
      <w:marRight w:val="0"/>
      <w:marTop w:val="0"/>
      <w:marBottom w:val="0"/>
      <w:divBdr>
        <w:top w:val="none" w:sz="0" w:space="0" w:color="auto"/>
        <w:left w:val="none" w:sz="0" w:space="0" w:color="auto"/>
        <w:bottom w:val="none" w:sz="0" w:space="0" w:color="auto"/>
        <w:right w:val="none" w:sz="0" w:space="0" w:color="auto"/>
      </w:divBdr>
    </w:div>
    <w:div w:id="2098987057">
      <w:bodyDiv w:val="1"/>
      <w:marLeft w:val="0"/>
      <w:marRight w:val="0"/>
      <w:marTop w:val="0"/>
      <w:marBottom w:val="0"/>
      <w:divBdr>
        <w:top w:val="none" w:sz="0" w:space="0" w:color="auto"/>
        <w:left w:val="none" w:sz="0" w:space="0" w:color="auto"/>
        <w:bottom w:val="none" w:sz="0" w:space="0" w:color="auto"/>
        <w:right w:val="none" w:sz="0" w:space="0" w:color="auto"/>
      </w:divBdr>
    </w:div>
    <w:div w:id="2099136710">
      <w:bodyDiv w:val="1"/>
      <w:marLeft w:val="0"/>
      <w:marRight w:val="0"/>
      <w:marTop w:val="0"/>
      <w:marBottom w:val="0"/>
      <w:divBdr>
        <w:top w:val="none" w:sz="0" w:space="0" w:color="auto"/>
        <w:left w:val="none" w:sz="0" w:space="0" w:color="auto"/>
        <w:bottom w:val="none" w:sz="0" w:space="0" w:color="auto"/>
        <w:right w:val="none" w:sz="0" w:space="0" w:color="auto"/>
      </w:divBdr>
    </w:div>
    <w:div w:id="2099210490">
      <w:bodyDiv w:val="1"/>
      <w:marLeft w:val="0"/>
      <w:marRight w:val="0"/>
      <w:marTop w:val="0"/>
      <w:marBottom w:val="0"/>
      <w:divBdr>
        <w:top w:val="none" w:sz="0" w:space="0" w:color="auto"/>
        <w:left w:val="none" w:sz="0" w:space="0" w:color="auto"/>
        <w:bottom w:val="none" w:sz="0" w:space="0" w:color="auto"/>
        <w:right w:val="none" w:sz="0" w:space="0" w:color="auto"/>
      </w:divBdr>
    </w:div>
    <w:div w:id="2099280631">
      <w:bodyDiv w:val="1"/>
      <w:marLeft w:val="0"/>
      <w:marRight w:val="0"/>
      <w:marTop w:val="0"/>
      <w:marBottom w:val="0"/>
      <w:divBdr>
        <w:top w:val="none" w:sz="0" w:space="0" w:color="auto"/>
        <w:left w:val="none" w:sz="0" w:space="0" w:color="auto"/>
        <w:bottom w:val="none" w:sz="0" w:space="0" w:color="auto"/>
        <w:right w:val="none" w:sz="0" w:space="0" w:color="auto"/>
      </w:divBdr>
    </w:div>
    <w:div w:id="2099322340">
      <w:bodyDiv w:val="1"/>
      <w:marLeft w:val="0"/>
      <w:marRight w:val="0"/>
      <w:marTop w:val="0"/>
      <w:marBottom w:val="0"/>
      <w:divBdr>
        <w:top w:val="none" w:sz="0" w:space="0" w:color="auto"/>
        <w:left w:val="none" w:sz="0" w:space="0" w:color="auto"/>
        <w:bottom w:val="none" w:sz="0" w:space="0" w:color="auto"/>
        <w:right w:val="none" w:sz="0" w:space="0" w:color="auto"/>
      </w:divBdr>
    </w:div>
    <w:div w:id="2099323656">
      <w:bodyDiv w:val="1"/>
      <w:marLeft w:val="0"/>
      <w:marRight w:val="0"/>
      <w:marTop w:val="0"/>
      <w:marBottom w:val="0"/>
      <w:divBdr>
        <w:top w:val="none" w:sz="0" w:space="0" w:color="auto"/>
        <w:left w:val="none" w:sz="0" w:space="0" w:color="auto"/>
        <w:bottom w:val="none" w:sz="0" w:space="0" w:color="auto"/>
        <w:right w:val="none" w:sz="0" w:space="0" w:color="auto"/>
      </w:divBdr>
    </w:div>
    <w:div w:id="2099330892">
      <w:bodyDiv w:val="1"/>
      <w:marLeft w:val="0"/>
      <w:marRight w:val="0"/>
      <w:marTop w:val="0"/>
      <w:marBottom w:val="0"/>
      <w:divBdr>
        <w:top w:val="none" w:sz="0" w:space="0" w:color="auto"/>
        <w:left w:val="none" w:sz="0" w:space="0" w:color="auto"/>
        <w:bottom w:val="none" w:sz="0" w:space="0" w:color="auto"/>
        <w:right w:val="none" w:sz="0" w:space="0" w:color="auto"/>
      </w:divBdr>
    </w:div>
    <w:div w:id="2099446389">
      <w:bodyDiv w:val="1"/>
      <w:marLeft w:val="0"/>
      <w:marRight w:val="0"/>
      <w:marTop w:val="0"/>
      <w:marBottom w:val="0"/>
      <w:divBdr>
        <w:top w:val="none" w:sz="0" w:space="0" w:color="auto"/>
        <w:left w:val="none" w:sz="0" w:space="0" w:color="auto"/>
        <w:bottom w:val="none" w:sz="0" w:space="0" w:color="auto"/>
        <w:right w:val="none" w:sz="0" w:space="0" w:color="auto"/>
      </w:divBdr>
    </w:div>
    <w:div w:id="2099517424">
      <w:bodyDiv w:val="1"/>
      <w:marLeft w:val="0"/>
      <w:marRight w:val="0"/>
      <w:marTop w:val="0"/>
      <w:marBottom w:val="0"/>
      <w:divBdr>
        <w:top w:val="none" w:sz="0" w:space="0" w:color="auto"/>
        <w:left w:val="none" w:sz="0" w:space="0" w:color="auto"/>
        <w:bottom w:val="none" w:sz="0" w:space="0" w:color="auto"/>
        <w:right w:val="none" w:sz="0" w:space="0" w:color="auto"/>
      </w:divBdr>
    </w:div>
    <w:div w:id="2099517990">
      <w:bodyDiv w:val="1"/>
      <w:marLeft w:val="0"/>
      <w:marRight w:val="0"/>
      <w:marTop w:val="0"/>
      <w:marBottom w:val="0"/>
      <w:divBdr>
        <w:top w:val="none" w:sz="0" w:space="0" w:color="auto"/>
        <w:left w:val="none" w:sz="0" w:space="0" w:color="auto"/>
        <w:bottom w:val="none" w:sz="0" w:space="0" w:color="auto"/>
        <w:right w:val="none" w:sz="0" w:space="0" w:color="auto"/>
      </w:divBdr>
    </w:div>
    <w:div w:id="2099595706">
      <w:bodyDiv w:val="1"/>
      <w:marLeft w:val="0"/>
      <w:marRight w:val="0"/>
      <w:marTop w:val="0"/>
      <w:marBottom w:val="0"/>
      <w:divBdr>
        <w:top w:val="none" w:sz="0" w:space="0" w:color="auto"/>
        <w:left w:val="none" w:sz="0" w:space="0" w:color="auto"/>
        <w:bottom w:val="none" w:sz="0" w:space="0" w:color="auto"/>
        <w:right w:val="none" w:sz="0" w:space="0" w:color="auto"/>
      </w:divBdr>
    </w:div>
    <w:div w:id="2099673197">
      <w:bodyDiv w:val="1"/>
      <w:marLeft w:val="0"/>
      <w:marRight w:val="0"/>
      <w:marTop w:val="0"/>
      <w:marBottom w:val="0"/>
      <w:divBdr>
        <w:top w:val="none" w:sz="0" w:space="0" w:color="auto"/>
        <w:left w:val="none" w:sz="0" w:space="0" w:color="auto"/>
        <w:bottom w:val="none" w:sz="0" w:space="0" w:color="auto"/>
        <w:right w:val="none" w:sz="0" w:space="0" w:color="auto"/>
      </w:divBdr>
    </w:div>
    <w:div w:id="2099713506">
      <w:bodyDiv w:val="1"/>
      <w:marLeft w:val="0"/>
      <w:marRight w:val="0"/>
      <w:marTop w:val="0"/>
      <w:marBottom w:val="0"/>
      <w:divBdr>
        <w:top w:val="none" w:sz="0" w:space="0" w:color="auto"/>
        <w:left w:val="none" w:sz="0" w:space="0" w:color="auto"/>
        <w:bottom w:val="none" w:sz="0" w:space="0" w:color="auto"/>
        <w:right w:val="none" w:sz="0" w:space="0" w:color="auto"/>
      </w:divBdr>
    </w:div>
    <w:div w:id="2099866258">
      <w:bodyDiv w:val="1"/>
      <w:marLeft w:val="0"/>
      <w:marRight w:val="0"/>
      <w:marTop w:val="0"/>
      <w:marBottom w:val="0"/>
      <w:divBdr>
        <w:top w:val="none" w:sz="0" w:space="0" w:color="auto"/>
        <w:left w:val="none" w:sz="0" w:space="0" w:color="auto"/>
        <w:bottom w:val="none" w:sz="0" w:space="0" w:color="auto"/>
        <w:right w:val="none" w:sz="0" w:space="0" w:color="auto"/>
      </w:divBdr>
    </w:div>
    <w:div w:id="2099908585">
      <w:bodyDiv w:val="1"/>
      <w:marLeft w:val="0"/>
      <w:marRight w:val="0"/>
      <w:marTop w:val="0"/>
      <w:marBottom w:val="0"/>
      <w:divBdr>
        <w:top w:val="none" w:sz="0" w:space="0" w:color="auto"/>
        <w:left w:val="none" w:sz="0" w:space="0" w:color="auto"/>
        <w:bottom w:val="none" w:sz="0" w:space="0" w:color="auto"/>
        <w:right w:val="none" w:sz="0" w:space="0" w:color="auto"/>
      </w:divBdr>
    </w:div>
    <w:div w:id="2099981664">
      <w:bodyDiv w:val="1"/>
      <w:marLeft w:val="0"/>
      <w:marRight w:val="0"/>
      <w:marTop w:val="0"/>
      <w:marBottom w:val="0"/>
      <w:divBdr>
        <w:top w:val="none" w:sz="0" w:space="0" w:color="auto"/>
        <w:left w:val="none" w:sz="0" w:space="0" w:color="auto"/>
        <w:bottom w:val="none" w:sz="0" w:space="0" w:color="auto"/>
        <w:right w:val="none" w:sz="0" w:space="0" w:color="auto"/>
      </w:divBdr>
    </w:div>
    <w:div w:id="2100059988">
      <w:bodyDiv w:val="1"/>
      <w:marLeft w:val="0"/>
      <w:marRight w:val="0"/>
      <w:marTop w:val="0"/>
      <w:marBottom w:val="0"/>
      <w:divBdr>
        <w:top w:val="none" w:sz="0" w:space="0" w:color="auto"/>
        <w:left w:val="none" w:sz="0" w:space="0" w:color="auto"/>
        <w:bottom w:val="none" w:sz="0" w:space="0" w:color="auto"/>
        <w:right w:val="none" w:sz="0" w:space="0" w:color="auto"/>
      </w:divBdr>
    </w:div>
    <w:div w:id="2100060126">
      <w:bodyDiv w:val="1"/>
      <w:marLeft w:val="0"/>
      <w:marRight w:val="0"/>
      <w:marTop w:val="0"/>
      <w:marBottom w:val="0"/>
      <w:divBdr>
        <w:top w:val="none" w:sz="0" w:space="0" w:color="auto"/>
        <w:left w:val="none" w:sz="0" w:space="0" w:color="auto"/>
        <w:bottom w:val="none" w:sz="0" w:space="0" w:color="auto"/>
        <w:right w:val="none" w:sz="0" w:space="0" w:color="auto"/>
      </w:divBdr>
    </w:div>
    <w:div w:id="2100128770">
      <w:bodyDiv w:val="1"/>
      <w:marLeft w:val="0"/>
      <w:marRight w:val="0"/>
      <w:marTop w:val="0"/>
      <w:marBottom w:val="0"/>
      <w:divBdr>
        <w:top w:val="none" w:sz="0" w:space="0" w:color="auto"/>
        <w:left w:val="none" w:sz="0" w:space="0" w:color="auto"/>
        <w:bottom w:val="none" w:sz="0" w:space="0" w:color="auto"/>
        <w:right w:val="none" w:sz="0" w:space="0" w:color="auto"/>
      </w:divBdr>
    </w:div>
    <w:div w:id="2100131394">
      <w:bodyDiv w:val="1"/>
      <w:marLeft w:val="0"/>
      <w:marRight w:val="0"/>
      <w:marTop w:val="0"/>
      <w:marBottom w:val="0"/>
      <w:divBdr>
        <w:top w:val="none" w:sz="0" w:space="0" w:color="auto"/>
        <w:left w:val="none" w:sz="0" w:space="0" w:color="auto"/>
        <w:bottom w:val="none" w:sz="0" w:space="0" w:color="auto"/>
        <w:right w:val="none" w:sz="0" w:space="0" w:color="auto"/>
      </w:divBdr>
    </w:div>
    <w:div w:id="2100171088">
      <w:bodyDiv w:val="1"/>
      <w:marLeft w:val="0"/>
      <w:marRight w:val="0"/>
      <w:marTop w:val="0"/>
      <w:marBottom w:val="0"/>
      <w:divBdr>
        <w:top w:val="none" w:sz="0" w:space="0" w:color="auto"/>
        <w:left w:val="none" w:sz="0" w:space="0" w:color="auto"/>
        <w:bottom w:val="none" w:sz="0" w:space="0" w:color="auto"/>
        <w:right w:val="none" w:sz="0" w:space="0" w:color="auto"/>
      </w:divBdr>
    </w:div>
    <w:div w:id="2100171775">
      <w:bodyDiv w:val="1"/>
      <w:marLeft w:val="0"/>
      <w:marRight w:val="0"/>
      <w:marTop w:val="0"/>
      <w:marBottom w:val="0"/>
      <w:divBdr>
        <w:top w:val="none" w:sz="0" w:space="0" w:color="auto"/>
        <w:left w:val="none" w:sz="0" w:space="0" w:color="auto"/>
        <w:bottom w:val="none" w:sz="0" w:space="0" w:color="auto"/>
        <w:right w:val="none" w:sz="0" w:space="0" w:color="auto"/>
      </w:divBdr>
    </w:div>
    <w:div w:id="2100177149">
      <w:bodyDiv w:val="1"/>
      <w:marLeft w:val="0"/>
      <w:marRight w:val="0"/>
      <w:marTop w:val="0"/>
      <w:marBottom w:val="0"/>
      <w:divBdr>
        <w:top w:val="none" w:sz="0" w:space="0" w:color="auto"/>
        <w:left w:val="none" w:sz="0" w:space="0" w:color="auto"/>
        <w:bottom w:val="none" w:sz="0" w:space="0" w:color="auto"/>
        <w:right w:val="none" w:sz="0" w:space="0" w:color="auto"/>
      </w:divBdr>
    </w:div>
    <w:div w:id="2100179524">
      <w:bodyDiv w:val="1"/>
      <w:marLeft w:val="0"/>
      <w:marRight w:val="0"/>
      <w:marTop w:val="0"/>
      <w:marBottom w:val="0"/>
      <w:divBdr>
        <w:top w:val="none" w:sz="0" w:space="0" w:color="auto"/>
        <w:left w:val="none" w:sz="0" w:space="0" w:color="auto"/>
        <w:bottom w:val="none" w:sz="0" w:space="0" w:color="auto"/>
        <w:right w:val="none" w:sz="0" w:space="0" w:color="auto"/>
      </w:divBdr>
    </w:div>
    <w:div w:id="2100247094">
      <w:bodyDiv w:val="1"/>
      <w:marLeft w:val="0"/>
      <w:marRight w:val="0"/>
      <w:marTop w:val="0"/>
      <w:marBottom w:val="0"/>
      <w:divBdr>
        <w:top w:val="none" w:sz="0" w:space="0" w:color="auto"/>
        <w:left w:val="none" w:sz="0" w:space="0" w:color="auto"/>
        <w:bottom w:val="none" w:sz="0" w:space="0" w:color="auto"/>
        <w:right w:val="none" w:sz="0" w:space="0" w:color="auto"/>
      </w:divBdr>
    </w:div>
    <w:div w:id="2100249182">
      <w:bodyDiv w:val="1"/>
      <w:marLeft w:val="0"/>
      <w:marRight w:val="0"/>
      <w:marTop w:val="0"/>
      <w:marBottom w:val="0"/>
      <w:divBdr>
        <w:top w:val="none" w:sz="0" w:space="0" w:color="auto"/>
        <w:left w:val="none" w:sz="0" w:space="0" w:color="auto"/>
        <w:bottom w:val="none" w:sz="0" w:space="0" w:color="auto"/>
        <w:right w:val="none" w:sz="0" w:space="0" w:color="auto"/>
      </w:divBdr>
    </w:div>
    <w:div w:id="2100523630">
      <w:bodyDiv w:val="1"/>
      <w:marLeft w:val="0"/>
      <w:marRight w:val="0"/>
      <w:marTop w:val="0"/>
      <w:marBottom w:val="0"/>
      <w:divBdr>
        <w:top w:val="none" w:sz="0" w:space="0" w:color="auto"/>
        <w:left w:val="none" w:sz="0" w:space="0" w:color="auto"/>
        <w:bottom w:val="none" w:sz="0" w:space="0" w:color="auto"/>
        <w:right w:val="none" w:sz="0" w:space="0" w:color="auto"/>
      </w:divBdr>
    </w:div>
    <w:div w:id="2100635366">
      <w:bodyDiv w:val="1"/>
      <w:marLeft w:val="0"/>
      <w:marRight w:val="0"/>
      <w:marTop w:val="0"/>
      <w:marBottom w:val="0"/>
      <w:divBdr>
        <w:top w:val="none" w:sz="0" w:space="0" w:color="auto"/>
        <w:left w:val="none" w:sz="0" w:space="0" w:color="auto"/>
        <w:bottom w:val="none" w:sz="0" w:space="0" w:color="auto"/>
        <w:right w:val="none" w:sz="0" w:space="0" w:color="auto"/>
      </w:divBdr>
    </w:div>
    <w:div w:id="2100759222">
      <w:bodyDiv w:val="1"/>
      <w:marLeft w:val="0"/>
      <w:marRight w:val="0"/>
      <w:marTop w:val="0"/>
      <w:marBottom w:val="0"/>
      <w:divBdr>
        <w:top w:val="none" w:sz="0" w:space="0" w:color="auto"/>
        <w:left w:val="none" w:sz="0" w:space="0" w:color="auto"/>
        <w:bottom w:val="none" w:sz="0" w:space="0" w:color="auto"/>
        <w:right w:val="none" w:sz="0" w:space="0" w:color="auto"/>
      </w:divBdr>
    </w:div>
    <w:div w:id="2100783465">
      <w:bodyDiv w:val="1"/>
      <w:marLeft w:val="0"/>
      <w:marRight w:val="0"/>
      <w:marTop w:val="0"/>
      <w:marBottom w:val="0"/>
      <w:divBdr>
        <w:top w:val="none" w:sz="0" w:space="0" w:color="auto"/>
        <w:left w:val="none" w:sz="0" w:space="0" w:color="auto"/>
        <w:bottom w:val="none" w:sz="0" w:space="0" w:color="auto"/>
        <w:right w:val="none" w:sz="0" w:space="0" w:color="auto"/>
      </w:divBdr>
    </w:div>
    <w:div w:id="2100787635">
      <w:bodyDiv w:val="1"/>
      <w:marLeft w:val="0"/>
      <w:marRight w:val="0"/>
      <w:marTop w:val="0"/>
      <w:marBottom w:val="0"/>
      <w:divBdr>
        <w:top w:val="none" w:sz="0" w:space="0" w:color="auto"/>
        <w:left w:val="none" w:sz="0" w:space="0" w:color="auto"/>
        <w:bottom w:val="none" w:sz="0" w:space="0" w:color="auto"/>
        <w:right w:val="none" w:sz="0" w:space="0" w:color="auto"/>
      </w:divBdr>
    </w:div>
    <w:div w:id="2100829668">
      <w:bodyDiv w:val="1"/>
      <w:marLeft w:val="0"/>
      <w:marRight w:val="0"/>
      <w:marTop w:val="0"/>
      <w:marBottom w:val="0"/>
      <w:divBdr>
        <w:top w:val="none" w:sz="0" w:space="0" w:color="auto"/>
        <w:left w:val="none" w:sz="0" w:space="0" w:color="auto"/>
        <w:bottom w:val="none" w:sz="0" w:space="0" w:color="auto"/>
        <w:right w:val="none" w:sz="0" w:space="0" w:color="auto"/>
      </w:divBdr>
    </w:div>
    <w:div w:id="2100831139">
      <w:bodyDiv w:val="1"/>
      <w:marLeft w:val="0"/>
      <w:marRight w:val="0"/>
      <w:marTop w:val="0"/>
      <w:marBottom w:val="0"/>
      <w:divBdr>
        <w:top w:val="none" w:sz="0" w:space="0" w:color="auto"/>
        <w:left w:val="none" w:sz="0" w:space="0" w:color="auto"/>
        <w:bottom w:val="none" w:sz="0" w:space="0" w:color="auto"/>
        <w:right w:val="none" w:sz="0" w:space="0" w:color="auto"/>
      </w:divBdr>
    </w:div>
    <w:div w:id="2101025813">
      <w:bodyDiv w:val="1"/>
      <w:marLeft w:val="0"/>
      <w:marRight w:val="0"/>
      <w:marTop w:val="0"/>
      <w:marBottom w:val="0"/>
      <w:divBdr>
        <w:top w:val="none" w:sz="0" w:space="0" w:color="auto"/>
        <w:left w:val="none" w:sz="0" w:space="0" w:color="auto"/>
        <w:bottom w:val="none" w:sz="0" w:space="0" w:color="auto"/>
        <w:right w:val="none" w:sz="0" w:space="0" w:color="auto"/>
      </w:divBdr>
    </w:div>
    <w:div w:id="2101219971">
      <w:bodyDiv w:val="1"/>
      <w:marLeft w:val="0"/>
      <w:marRight w:val="0"/>
      <w:marTop w:val="0"/>
      <w:marBottom w:val="0"/>
      <w:divBdr>
        <w:top w:val="none" w:sz="0" w:space="0" w:color="auto"/>
        <w:left w:val="none" w:sz="0" w:space="0" w:color="auto"/>
        <w:bottom w:val="none" w:sz="0" w:space="0" w:color="auto"/>
        <w:right w:val="none" w:sz="0" w:space="0" w:color="auto"/>
      </w:divBdr>
    </w:div>
    <w:div w:id="2101367675">
      <w:bodyDiv w:val="1"/>
      <w:marLeft w:val="0"/>
      <w:marRight w:val="0"/>
      <w:marTop w:val="0"/>
      <w:marBottom w:val="0"/>
      <w:divBdr>
        <w:top w:val="none" w:sz="0" w:space="0" w:color="auto"/>
        <w:left w:val="none" w:sz="0" w:space="0" w:color="auto"/>
        <w:bottom w:val="none" w:sz="0" w:space="0" w:color="auto"/>
        <w:right w:val="none" w:sz="0" w:space="0" w:color="auto"/>
      </w:divBdr>
    </w:div>
    <w:div w:id="2101369562">
      <w:bodyDiv w:val="1"/>
      <w:marLeft w:val="0"/>
      <w:marRight w:val="0"/>
      <w:marTop w:val="0"/>
      <w:marBottom w:val="0"/>
      <w:divBdr>
        <w:top w:val="none" w:sz="0" w:space="0" w:color="auto"/>
        <w:left w:val="none" w:sz="0" w:space="0" w:color="auto"/>
        <w:bottom w:val="none" w:sz="0" w:space="0" w:color="auto"/>
        <w:right w:val="none" w:sz="0" w:space="0" w:color="auto"/>
      </w:divBdr>
    </w:div>
    <w:div w:id="2101371891">
      <w:bodyDiv w:val="1"/>
      <w:marLeft w:val="0"/>
      <w:marRight w:val="0"/>
      <w:marTop w:val="0"/>
      <w:marBottom w:val="0"/>
      <w:divBdr>
        <w:top w:val="none" w:sz="0" w:space="0" w:color="auto"/>
        <w:left w:val="none" w:sz="0" w:space="0" w:color="auto"/>
        <w:bottom w:val="none" w:sz="0" w:space="0" w:color="auto"/>
        <w:right w:val="none" w:sz="0" w:space="0" w:color="auto"/>
      </w:divBdr>
    </w:div>
    <w:div w:id="2101443411">
      <w:bodyDiv w:val="1"/>
      <w:marLeft w:val="0"/>
      <w:marRight w:val="0"/>
      <w:marTop w:val="0"/>
      <w:marBottom w:val="0"/>
      <w:divBdr>
        <w:top w:val="none" w:sz="0" w:space="0" w:color="auto"/>
        <w:left w:val="none" w:sz="0" w:space="0" w:color="auto"/>
        <w:bottom w:val="none" w:sz="0" w:space="0" w:color="auto"/>
        <w:right w:val="none" w:sz="0" w:space="0" w:color="auto"/>
      </w:divBdr>
    </w:div>
    <w:div w:id="2101564007">
      <w:bodyDiv w:val="1"/>
      <w:marLeft w:val="0"/>
      <w:marRight w:val="0"/>
      <w:marTop w:val="0"/>
      <w:marBottom w:val="0"/>
      <w:divBdr>
        <w:top w:val="none" w:sz="0" w:space="0" w:color="auto"/>
        <w:left w:val="none" w:sz="0" w:space="0" w:color="auto"/>
        <w:bottom w:val="none" w:sz="0" w:space="0" w:color="auto"/>
        <w:right w:val="none" w:sz="0" w:space="0" w:color="auto"/>
      </w:divBdr>
    </w:div>
    <w:div w:id="2101638482">
      <w:bodyDiv w:val="1"/>
      <w:marLeft w:val="0"/>
      <w:marRight w:val="0"/>
      <w:marTop w:val="0"/>
      <w:marBottom w:val="0"/>
      <w:divBdr>
        <w:top w:val="none" w:sz="0" w:space="0" w:color="auto"/>
        <w:left w:val="none" w:sz="0" w:space="0" w:color="auto"/>
        <w:bottom w:val="none" w:sz="0" w:space="0" w:color="auto"/>
        <w:right w:val="none" w:sz="0" w:space="0" w:color="auto"/>
      </w:divBdr>
    </w:div>
    <w:div w:id="2101679514">
      <w:bodyDiv w:val="1"/>
      <w:marLeft w:val="0"/>
      <w:marRight w:val="0"/>
      <w:marTop w:val="0"/>
      <w:marBottom w:val="0"/>
      <w:divBdr>
        <w:top w:val="none" w:sz="0" w:space="0" w:color="auto"/>
        <w:left w:val="none" w:sz="0" w:space="0" w:color="auto"/>
        <w:bottom w:val="none" w:sz="0" w:space="0" w:color="auto"/>
        <w:right w:val="none" w:sz="0" w:space="0" w:color="auto"/>
      </w:divBdr>
    </w:div>
    <w:div w:id="2101758808">
      <w:bodyDiv w:val="1"/>
      <w:marLeft w:val="0"/>
      <w:marRight w:val="0"/>
      <w:marTop w:val="0"/>
      <w:marBottom w:val="0"/>
      <w:divBdr>
        <w:top w:val="none" w:sz="0" w:space="0" w:color="auto"/>
        <w:left w:val="none" w:sz="0" w:space="0" w:color="auto"/>
        <w:bottom w:val="none" w:sz="0" w:space="0" w:color="auto"/>
        <w:right w:val="none" w:sz="0" w:space="0" w:color="auto"/>
      </w:divBdr>
    </w:div>
    <w:div w:id="2101829834">
      <w:bodyDiv w:val="1"/>
      <w:marLeft w:val="0"/>
      <w:marRight w:val="0"/>
      <w:marTop w:val="0"/>
      <w:marBottom w:val="0"/>
      <w:divBdr>
        <w:top w:val="none" w:sz="0" w:space="0" w:color="auto"/>
        <w:left w:val="none" w:sz="0" w:space="0" w:color="auto"/>
        <w:bottom w:val="none" w:sz="0" w:space="0" w:color="auto"/>
        <w:right w:val="none" w:sz="0" w:space="0" w:color="auto"/>
      </w:divBdr>
    </w:div>
    <w:div w:id="2101830425">
      <w:bodyDiv w:val="1"/>
      <w:marLeft w:val="0"/>
      <w:marRight w:val="0"/>
      <w:marTop w:val="0"/>
      <w:marBottom w:val="0"/>
      <w:divBdr>
        <w:top w:val="none" w:sz="0" w:space="0" w:color="auto"/>
        <w:left w:val="none" w:sz="0" w:space="0" w:color="auto"/>
        <w:bottom w:val="none" w:sz="0" w:space="0" w:color="auto"/>
        <w:right w:val="none" w:sz="0" w:space="0" w:color="auto"/>
      </w:divBdr>
    </w:div>
    <w:div w:id="2101872423">
      <w:bodyDiv w:val="1"/>
      <w:marLeft w:val="0"/>
      <w:marRight w:val="0"/>
      <w:marTop w:val="0"/>
      <w:marBottom w:val="0"/>
      <w:divBdr>
        <w:top w:val="none" w:sz="0" w:space="0" w:color="auto"/>
        <w:left w:val="none" w:sz="0" w:space="0" w:color="auto"/>
        <w:bottom w:val="none" w:sz="0" w:space="0" w:color="auto"/>
        <w:right w:val="none" w:sz="0" w:space="0" w:color="auto"/>
      </w:divBdr>
    </w:div>
    <w:div w:id="2101947062">
      <w:bodyDiv w:val="1"/>
      <w:marLeft w:val="0"/>
      <w:marRight w:val="0"/>
      <w:marTop w:val="0"/>
      <w:marBottom w:val="0"/>
      <w:divBdr>
        <w:top w:val="none" w:sz="0" w:space="0" w:color="auto"/>
        <w:left w:val="none" w:sz="0" w:space="0" w:color="auto"/>
        <w:bottom w:val="none" w:sz="0" w:space="0" w:color="auto"/>
        <w:right w:val="none" w:sz="0" w:space="0" w:color="auto"/>
      </w:divBdr>
    </w:div>
    <w:div w:id="2101952450">
      <w:bodyDiv w:val="1"/>
      <w:marLeft w:val="0"/>
      <w:marRight w:val="0"/>
      <w:marTop w:val="0"/>
      <w:marBottom w:val="0"/>
      <w:divBdr>
        <w:top w:val="none" w:sz="0" w:space="0" w:color="auto"/>
        <w:left w:val="none" w:sz="0" w:space="0" w:color="auto"/>
        <w:bottom w:val="none" w:sz="0" w:space="0" w:color="auto"/>
        <w:right w:val="none" w:sz="0" w:space="0" w:color="auto"/>
      </w:divBdr>
    </w:div>
    <w:div w:id="2102219306">
      <w:bodyDiv w:val="1"/>
      <w:marLeft w:val="0"/>
      <w:marRight w:val="0"/>
      <w:marTop w:val="0"/>
      <w:marBottom w:val="0"/>
      <w:divBdr>
        <w:top w:val="none" w:sz="0" w:space="0" w:color="auto"/>
        <w:left w:val="none" w:sz="0" w:space="0" w:color="auto"/>
        <w:bottom w:val="none" w:sz="0" w:space="0" w:color="auto"/>
        <w:right w:val="none" w:sz="0" w:space="0" w:color="auto"/>
      </w:divBdr>
    </w:div>
    <w:div w:id="2102294485">
      <w:bodyDiv w:val="1"/>
      <w:marLeft w:val="0"/>
      <w:marRight w:val="0"/>
      <w:marTop w:val="0"/>
      <w:marBottom w:val="0"/>
      <w:divBdr>
        <w:top w:val="none" w:sz="0" w:space="0" w:color="auto"/>
        <w:left w:val="none" w:sz="0" w:space="0" w:color="auto"/>
        <w:bottom w:val="none" w:sz="0" w:space="0" w:color="auto"/>
        <w:right w:val="none" w:sz="0" w:space="0" w:color="auto"/>
      </w:divBdr>
    </w:div>
    <w:div w:id="2102333752">
      <w:bodyDiv w:val="1"/>
      <w:marLeft w:val="0"/>
      <w:marRight w:val="0"/>
      <w:marTop w:val="0"/>
      <w:marBottom w:val="0"/>
      <w:divBdr>
        <w:top w:val="none" w:sz="0" w:space="0" w:color="auto"/>
        <w:left w:val="none" w:sz="0" w:space="0" w:color="auto"/>
        <w:bottom w:val="none" w:sz="0" w:space="0" w:color="auto"/>
        <w:right w:val="none" w:sz="0" w:space="0" w:color="auto"/>
      </w:divBdr>
    </w:div>
    <w:div w:id="2102334589">
      <w:bodyDiv w:val="1"/>
      <w:marLeft w:val="0"/>
      <w:marRight w:val="0"/>
      <w:marTop w:val="0"/>
      <w:marBottom w:val="0"/>
      <w:divBdr>
        <w:top w:val="none" w:sz="0" w:space="0" w:color="auto"/>
        <w:left w:val="none" w:sz="0" w:space="0" w:color="auto"/>
        <w:bottom w:val="none" w:sz="0" w:space="0" w:color="auto"/>
        <w:right w:val="none" w:sz="0" w:space="0" w:color="auto"/>
      </w:divBdr>
    </w:div>
    <w:div w:id="2102411266">
      <w:bodyDiv w:val="1"/>
      <w:marLeft w:val="0"/>
      <w:marRight w:val="0"/>
      <w:marTop w:val="0"/>
      <w:marBottom w:val="0"/>
      <w:divBdr>
        <w:top w:val="none" w:sz="0" w:space="0" w:color="auto"/>
        <w:left w:val="none" w:sz="0" w:space="0" w:color="auto"/>
        <w:bottom w:val="none" w:sz="0" w:space="0" w:color="auto"/>
        <w:right w:val="none" w:sz="0" w:space="0" w:color="auto"/>
      </w:divBdr>
    </w:div>
    <w:div w:id="2102485410">
      <w:bodyDiv w:val="1"/>
      <w:marLeft w:val="0"/>
      <w:marRight w:val="0"/>
      <w:marTop w:val="0"/>
      <w:marBottom w:val="0"/>
      <w:divBdr>
        <w:top w:val="none" w:sz="0" w:space="0" w:color="auto"/>
        <w:left w:val="none" w:sz="0" w:space="0" w:color="auto"/>
        <w:bottom w:val="none" w:sz="0" w:space="0" w:color="auto"/>
        <w:right w:val="none" w:sz="0" w:space="0" w:color="auto"/>
      </w:divBdr>
    </w:div>
    <w:div w:id="2102486602">
      <w:bodyDiv w:val="1"/>
      <w:marLeft w:val="0"/>
      <w:marRight w:val="0"/>
      <w:marTop w:val="0"/>
      <w:marBottom w:val="0"/>
      <w:divBdr>
        <w:top w:val="none" w:sz="0" w:space="0" w:color="auto"/>
        <w:left w:val="none" w:sz="0" w:space="0" w:color="auto"/>
        <w:bottom w:val="none" w:sz="0" w:space="0" w:color="auto"/>
        <w:right w:val="none" w:sz="0" w:space="0" w:color="auto"/>
      </w:divBdr>
    </w:div>
    <w:div w:id="2102682715">
      <w:bodyDiv w:val="1"/>
      <w:marLeft w:val="0"/>
      <w:marRight w:val="0"/>
      <w:marTop w:val="0"/>
      <w:marBottom w:val="0"/>
      <w:divBdr>
        <w:top w:val="none" w:sz="0" w:space="0" w:color="auto"/>
        <w:left w:val="none" w:sz="0" w:space="0" w:color="auto"/>
        <w:bottom w:val="none" w:sz="0" w:space="0" w:color="auto"/>
        <w:right w:val="none" w:sz="0" w:space="0" w:color="auto"/>
      </w:divBdr>
    </w:div>
    <w:div w:id="2103140104">
      <w:bodyDiv w:val="1"/>
      <w:marLeft w:val="0"/>
      <w:marRight w:val="0"/>
      <w:marTop w:val="0"/>
      <w:marBottom w:val="0"/>
      <w:divBdr>
        <w:top w:val="none" w:sz="0" w:space="0" w:color="auto"/>
        <w:left w:val="none" w:sz="0" w:space="0" w:color="auto"/>
        <w:bottom w:val="none" w:sz="0" w:space="0" w:color="auto"/>
        <w:right w:val="none" w:sz="0" w:space="0" w:color="auto"/>
      </w:divBdr>
    </w:div>
    <w:div w:id="2103143310">
      <w:bodyDiv w:val="1"/>
      <w:marLeft w:val="0"/>
      <w:marRight w:val="0"/>
      <w:marTop w:val="0"/>
      <w:marBottom w:val="0"/>
      <w:divBdr>
        <w:top w:val="none" w:sz="0" w:space="0" w:color="auto"/>
        <w:left w:val="none" w:sz="0" w:space="0" w:color="auto"/>
        <w:bottom w:val="none" w:sz="0" w:space="0" w:color="auto"/>
        <w:right w:val="none" w:sz="0" w:space="0" w:color="auto"/>
      </w:divBdr>
    </w:div>
    <w:div w:id="2103182900">
      <w:bodyDiv w:val="1"/>
      <w:marLeft w:val="0"/>
      <w:marRight w:val="0"/>
      <w:marTop w:val="0"/>
      <w:marBottom w:val="0"/>
      <w:divBdr>
        <w:top w:val="none" w:sz="0" w:space="0" w:color="auto"/>
        <w:left w:val="none" w:sz="0" w:space="0" w:color="auto"/>
        <w:bottom w:val="none" w:sz="0" w:space="0" w:color="auto"/>
        <w:right w:val="none" w:sz="0" w:space="0" w:color="auto"/>
      </w:divBdr>
    </w:div>
    <w:div w:id="2103183220">
      <w:bodyDiv w:val="1"/>
      <w:marLeft w:val="0"/>
      <w:marRight w:val="0"/>
      <w:marTop w:val="0"/>
      <w:marBottom w:val="0"/>
      <w:divBdr>
        <w:top w:val="none" w:sz="0" w:space="0" w:color="auto"/>
        <w:left w:val="none" w:sz="0" w:space="0" w:color="auto"/>
        <w:bottom w:val="none" w:sz="0" w:space="0" w:color="auto"/>
        <w:right w:val="none" w:sz="0" w:space="0" w:color="auto"/>
      </w:divBdr>
    </w:div>
    <w:div w:id="2103212273">
      <w:bodyDiv w:val="1"/>
      <w:marLeft w:val="0"/>
      <w:marRight w:val="0"/>
      <w:marTop w:val="0"/>
      <w:marBottom w:val="0"/>
      <w:divBdr>
        <w:top w:val="none" w:sz="0" w:space="0" w:color="auto"/>
        <w:left w:val="none" w:sz="0" w:space="0" w:color="auto"/>
        <w:bottom w:val="none" w:sz="0" w:space="0" w:color="auto"/>
        <w:right w:val="none" w:sz="0" w:space="0" w:color="auto"/>
      </w:divBdr>
    </w:div>
    <w:div w:id="2103258471">
      <w:bodyDiv w:val="1"/>
      <w:marLeft w:val="0"/>
      <w:marRight w:val="0"/>
      <w:marTop w:val="0"/>
      <w:marBottom w:val="0"/>
      <w:divBdr>
        <w:top w:val="none" w:sz="0" w:space="0" w:color="auto"/>
        <w:left w:val="none" w:sz="0" w:space="0" w:color="auto"/>
        <w:bottom w:val="none" w:sz="0" w:space="0" w:color="auto"/>
        <w:right w:val="none" w:sz="0" w:space="0" w:color="auto"/>
      </w:divBdr>
    </w:div>
    <w:div w:id="2103407485">
      <w:bodyDiv w:val="1"/>
      <w:marLeft w:val="0"/>
      <w:marRight w:val="0"/>
      <w:marTop w:val="0"/>
      <w:marBottom w:val="0"/>
      <w:divBdr>
        <w:top w:val="none" w:sz="0" w:space="0" w:color="auto"/>
        <w:left w:val="none" w:sz="0" w:space="0" w:color="auto"/>
        <w:bottom w:val="none" w:sz="0" w:space="0" w:color="auto"/>
        <w:right w:val="none" w:sz="0" w:space="0" w:color="auto"/>
      </w:divBdr>
    </w:div>
    <w:div w:id="2103450849">
      <w:bodyDiv w:val="1"/>
      <w:marLeft w:val="0"/>
      <w:marRight w:val="0"/>
      <w:marTop w:val="0"/>
      <w:marBottom w:val="0"/>
      <w:divBdr>
        <w:top w:val="none" w:sz="0" w:space="0" w:color="auto"/>
        <w:left w:val="none" w:sz="0" w:space="0" w:color="auto"/>
        <w:bottom w:val="none" w:sz="0" w:space="0" w:color="auto"/>
        <w:right w:val="none" w:sz="0" w:space="0" w:color="auto"/>
      </w:divBdr>
    </w:div>
    <w:div w:id="2103453495">
      <w:bodyDiv w:val="1"/>
      <w:marLeft w:val="0"/>
      <w:marRight w:val="0"/>
      <w:marTop w:val="0"/>
      <w:marBottom w:val="0"/>
      <w:divBdr>
        <w:top w:val="none" w:sz="0" w:space="0" w:color="auto"/>
        <w:left w:val="none" w:sz="0" w:space="0" w:color="auto"/>
        <w:bottom w:val="none" w:sz="0" w:space="0" w:color="auto"/>
        <w:right w:val="none" w:sz="0" w:space="0" w:color="auto"/>
      </w:divBdr>
    </w:div>
    <w:div w:id="2103601939">
      <w:bodyDiv w:val="1"/>
      <w:marLeft w:val="0"/>
      <w:marRight w:val="0"/>
      <w:marTop w:val="0"/>
      <w:marBottom w:val="0"/>
      <w:divBdr>
        <w:top w:val="none" w:sz="0" w:space="0" w:color="auto"/>
        <w:left w:val="none" w:sz="0" w:space="0" w:color="auto"/>
        <w:bottom w:val="none" w:sz="0" w:space="0" w:color="auto"/>
        <w:right w:val="none" w:sz="0" w:space="0" w:color="auto"/>
      </w:divBdr>
    </w:div>
    <w:div w:id="2103604898">
      <w:bodyDiv w:val="1"/>
      <w:marLeft w:val="0"/>
      <w:marRight w:val="0"/>
      <w:marTop w:val="0"/>
      <w:marBottom w:val="0"/>
      <w:divBdr>
        <w:top w:val="none" w:sz="0" w:space="0" w:color="auto"/>
        <w:left w:val="none" w:sz="0" w:space="0" w:color="auto"/>
        <w:bottom w:val="none" w:sz="0" w:space="0" w:color="auto"/>
        <w:right w:val="none" w:sz="0" w:space="0" w:color="auto"/>
      </w:divBdr>
    </w:div>
    <w:div w:id="2103722593">
      <w:bodyDiv w:val="1"/>
      <w:marLeft w:val="0"/>
      <w:marRight w:val="0"/>
      <w:marTop w:val="0"/>
      <w:marBottom w:val="0"/>
      <w:divBdr>
        <w:top w:val="none" w:sz="0" w:space="0" w:color="auto"/>
        <w:left w:val="none" w:sz="0" w:space="0" w:color="auto"/>
        <w:bottom w:val="none" w:sz="0" w:space="0" w:color="auto"/>
        <w:right w:val="none" w:sz="0" w:space="0" w:color="auto"/>
      </w:divBdr>
    </w:div>
    <w:div w:id="2103794111">
      <w:bodyDiv w:val="1"/>
      <w:marLeft w:val="0"/>
      <w:marRight w:val="0"/>
      <w:marTop w:val="0"/>
      <w:marBottom w:val="0"/>
      <w:divBdr>
        <w:top w:val="none" w:sz="0" w:space="0" w:color="auto"/>
        <w:left w:val="none" w:sz="0" w:space="0" w:color="auto"/>
        <w:bottom w:val="none" w:sz="0" w:space="0" w:color="auto"/>
        <w:right w:val="none" w:sz="0" w:space="0" w:color="auto"/>
      </w:divBdr>
    </w:div>
    <w:div w:id="2103918178">
      <w:bodyDiv w:val="1"/>
      <w:marLeft w:val="0"/>
      <w:marRight w:val="0"/>
      <w:marTop w:val="0"/>
      <w:marBottom w:val="0"/>
      <w:divBdr>
        <w:top w:val="none" w:sz="0" w:space="0" w:color="auto"/>
        <w:left w:val="none" w:sz="0" w:space="0" w:color="auto"/>
        <w:bottom w:val="none" w:sz="0" w:space="0" w:color="auto"/>
        <w:right w:val="none" w:sz="0" w:space="0" w:color="auto"/>
      </w:divBdr>
    </w:div>
    <w:div w:id="2104102931">
      <w:bodyDiv w:val="1"/>
      <w:marLeft w:val="0"/>
      <w:marRight w:val="0"/>
      <w:marTop w:val="0"/>
      <w:marBottom w:val="0"/>
      <w:divBdr>
        <w:top w:val="none" w:sz="0" w:space="0" w:color="auto"/>
        <w:left w:val="none" w:sz="0" w:space="0" w:color="auto"/>
        <w:bottom w:val="none" w:sz="0" w:space="0" w:color="auto"/>
        <w:right w:val="none" w:sz="0" w:space="0" w:color="auto"/>
      </w:divBdr>
    </w:div>
    <w:div w:id="2104110464">
      <w:bodyDiv w:val="1"/>
      <w:marLeft w:val="0"/>
      <w:marRight w:val="0"/>
      <w:marTop w:val="0"/>
      <w:marBottom w:val="0"/>
      <w:divBdr>
        <w:top w:val="none" w:sz="0" w:space="0" w:color="auto"/>
        <w:left w:val="none" w:sz="0" w:space="0" w:color="auto"/>
        <w:bottom w:val="none" w:sz="0" w:space="0" w:color="auto"/>
        <w:right w:val="none" w:sz="0" w:space="0" w:color="auto"/>
      </w:divBdr>
    </w:div>
    <w:div w:id="2104183152">
      <w:bodyDiv w:val="1"/>
      <w:marLeft w:val="0"/>
      <w:marRight w:val="0"/>
      <w:marTop w:val="0"/>
      <w:marBottom w:val="0"/>
      <w:divBdr>
        <w:top w:val="none" w:sz="0" w:space="0" w:color="auto"/>
        <w:left w:val="none" w:sz="0" w:space="0" w:color="auto"/>
        <w:bottom w:val="none" w:sz="0" w:space="0" w:color="auto"/>
        <w:right w:val="none" w:sz="0" w:space="0" w:color="auto"/>
      </w:divBdr>
    </w:div>
    <w:div w:id="2104184764">
      <w:bodyDiv w:val="1"/>
      <w:marLeft w:val="0"/>
      <w:marRight w:val="0"/>
      <w:marTop w:val="0"/>
      <w:marBottom w:val="0"/>
      <w:divBdr>
        <w:top w:val="none" w:sz="0" w:space="0" w:color="auto"/>
        <w:left w:val="none" w:sz="0" w:space="0" w:color="auto"/>
        <w:bottom w:val="none" w:sz="0" w:space="0" w:color="auto"/>
        <w:right w:val="none" w:sz="0" w:space="0" w:color="auto"/>
      </w:divBdr>
    </w:div>
    <w:div w:id="2104256745">
      <w:bodyDiv w:val="1"/>
      <w:marLeft w:val="0"/>
      <w:marRight w:val="0"/>
      <w:marTop w:val="0"/>
      <w:marBottom w:val="0"/>
      <w:divBdr>
        <w:top w:val="none" w:sz="0" w:space="0" w:color="auto"/>
        <w:left w:val="none" w:sz="0" w:space="0" w:color="auto"/>
        <w:bottom w:val="none" w:sz="0" w:space="0" w:color="auto"/>
        <w:right w:val="none" w:sz="0" w:space="0" w:color="auto"/>
      </w:divBdr>
    </w:div>
    <w:div w:id="2104303839">
      <w:bodyDiv w:val="1"/>
      <w:marLeft w:val="0"/>
      <w:marRight w:val="0"/>
      <w:marTop w:val="0"/>
      <w:marBottom w:val="0"/>
      <w:divBdr>
        <w:top w:val="none" w:sz="0" w:space="0" w:color="auto"/>
        <w:left w:val="none" w:sz="0" w:space="0" w:color="auto"/>
        <w:bottom w:val="none" w:sz="0" w:space="0" w:color="auto"/>
        <w:right w:val="none" w:sz="0" w:space="0" w:color="auto"/>
      </w:divBdr>
    </w:div>
    <w:div w:id="2104376333">
      <w:bodyDiv w:val="1"/>
      <w:marLeft w:val="0"/>
      <w:marRight w:val="0"/>
      <w:marTop w:val="0"/>
      <w:marBottom w:val="0"/>
      <w:divBdr>
        <w:top w:val="none" w:sz="0" w:space="0" w:color="auto"/>
        <w:left w:val="none" w:sz="0" w:space="0" w:color="auto"/>
        <w:bottom w:val="none" w:sz="0" w:space="0" w:color="auto"/>
        <w:right w:val="none" w:sz="0" w:space="0" w:color="auto"/>
      </w:divBdr>
    </w:div>
    <w:div w:id="2104379052">
      <w:bodyDiv w:val="1"/>
      <w:marLeft w:val="0"/>
      <w:marRight w:val="0"/>
      <w:marTop w:val="0"/>
      <w:marBottom w:val="0"/>
      <w:divBdr>
        <w:top w:val="none" w:sz="0" w:space="0" w:color="auto"/>
        <w:left w:val="none" w:sz="0" w:space="0" w:color="auto"/>
        <w:bottom w:val="none" w:sz="0" w:space="0" w:color="auto"/>
        <w:right w:val="none" w:sz="0" w:space="0" w:color="auto"/>
      </w:divBdr>
    </w:div>
    <w:div w:id="2104451468">
      <w:bodyDiv w:val="1"/>
      <w:marLeft w:val="0"/>
      <w:marRight w:val="0"/>
      <w:marTop w:val="0"/>
      <w:marBottom w:val="0"/>
      <w:divBdr>
        <w:top w:val="none" w:sz="0" w:space="0" w:color="auto"/>
        <w:left w:val="none" w:sz="0" w:space="0" w:color="auto"/>
        <w:bottom w:val="none" w:sz="0" w:space="0" w:color="auto"/>
        <w:right w:val="none" w:sz="0" w:space="0" w:color="auto"/>
      </w:divBdr>
    </w:div>
    <w:div w:id="2104572490">
      <w:bodyDiv w:val="1"/>
      <w:marLeft w:val="0"/>
      <w:marRight w:val="0"/>
      <w:marTop w:val="0"/>
      <w:marBottom w:val="0"/>
      <w:divBdr>
        <w:top w:val="none" w:sz="0" w:space="0" w:color="auto"/>
        <w:left w:val="none" w:sz="0" w:space="0" w:color="auto"/>
        <w:bottom w:val="none" w:sz="0" w:space="0" w:color="auto"/>
        <w:right w:val="none" w:sz="0" w:space="0" w:color="auto"/>
      </w:divBdr>
    </w:div>
    <w:div w:id="2104715394">
      <w:bodyDiv w:val="1"/>
      <w:marLeft w:val="0"/>
      <w:marRight w:val="0"/>
      <w:marTop w:val="0"/>
      <w:marBottom w:val="0"/>
      <w:divBdr>
        <w:top w:val="none" w:sz="0" w:space="0" w:color="auto"/>
        <w:left w:val="none" w:sz="0" w:space="0" w:color="auto"/>
        <w:bottom w:val="none" w:sz="0" w:space="0" w:color="auto"/>
        <w:right w:val="none" w:sz="0" w:space="0" w:color="auto"/>
      </w:divBdr>
    </w:div>
    <w:div w:id="2104758727">
      <w:bodyDiv w:val="1"/>
      <w:marLeft w:val="0"/>
      <w:marRight w:val="0"/>
      <w:marTop w:val="0"/>
      <w:marBottom w:val="0"/>
      <w:divBdr>
        <w:top w:val="none" w:sz="0" w:space="0" w:color="auto"/>
        <w:left w:val="none" w:sz="0" w:space="0" w:color="auto"/>
        <w:bottom w:val="none" w:sz="0" w:space="0" w:color="auto"/>
        <w:right w:val="none" w:sz="0" w:space="0" w:color="auto"/>
      </w:divBdr>
    </w:div>
    <w:div w:id="2104837826">
      <w:bodyDiv w:val="1"/>
      <w:marLeft w:val="0"/>
      <w:marRight w:val="0"/>
      <w:marTop w:val="0"/>
      <w:marBottom w:val="0"/>
      <w:divBdr>
        <w:top w:val="none" w:sz="0" w:space="0" w:color="auto"/>
        <w:left w:val="none" w:sz="0" w:space="0" w:color="auto"/>
        <w:bottom w:val="none" w:sz="0" w:space="0" w:color="auto"/>
        <w:right w:val="none" w:sz="0" w:space="0" w:color="auto"/>
      </w:divBdr>
    </w:div>
    <w:div w:id="2105031187">
      <w:bodyDiv w:val="1"/>
      <w:marLeft w:val="0"/>
      <w:marRight w:val="0"/>
      <w:marTop w:val="0"/>
      <w:marBottom w:val="0"/>
      <w:divBdr>
        <w:top w:val="none" w:sz="0" w:space="0" w:color="auto"/>
        <w:left w:val="none" w:sz="0" w:space="0" w:color="auto"/>
        <w:bottom w:val="none" w:sz="0" w:space="0" w:color="auto"/>
        <w:right w:val="none" w:sz="0" w:space="0" w:color="auto"/>
      </w:divBdr>
    </w:div>
    <w:div w:id="2105179640">
      <w:bodyDiv w:val="1"/>
      <w:marLeft w:val="0"/>
      <w:marRight w:val="0"/>
      <w:marTop w:val="0"/>
      <w:marBottom w:val="0"/>
      <w:divBdr>
        <w:top w:val="none" w:sz="0" w:space="0" w:color="auto"/>
        <w:left w:val="none" w:sz="0" w:space="0" w:color="auto"/>
        <w:bottom w:val="none" w:sz="0" w:space="0" w:color="auto"/>
        <w:right w:val="none" w:sz="0" w:space="0" w:color="auto"/>
      </w:divBdr>
    </w:div>
    <w:div w:id="2105179645">
      <w:bodyDiv w:val="1"/>
      <w:marLeft w:val="0"/>
      <w:marRight w:val="0"/>
      <w:marTop w:val="0"/>
      <w:marBottom w:val="0"/>
      <w:divBdr>
        <w:top w:val="none" w:sz="0" w:space="0" w:color="auto"/>
        <w:left w:val="none" w:sz="0" w:space="0" w:color="auto"/>
        <w:bottom w:val="none" w:sz="0" w:space="0" w:color="auto"/>
        <w:right w:val="none" w:sz="0" w:space="0" w:color="auto"/>
      </w:divBdr>
    </w:div>
    <w:div w:id="2105221561">
      <w:bodyDiv w:val="1"/>
      <w:marLeft w:val="0"/>
      <w:marRight w:val="0"/>
      <w:marTop w:val="0"/>
      <w:marBottom w:val="0"/>
      <w:divBdr>
        <w:top w:val="none" w:sz="0" w:space="0" w:color="auto"/>
        <w:left w:val="none" w:sz="0" w:space="0" w:color="auto"/>
        <w:bottom w:val="none" w:sz="0" w:space="0" w:color="auto"/>
        <w:right w:val="none" w:sz="0" w:space="0" w:color="auto"/>
      </w:divBdr>
    </w:div>
    <w:div w:id="2105418568">
      <w:bodyDiv w:val="1"/>
      <w:marLeft w:val="0"/>
      <w:marRight w:val="0"/>
      <w:marTop w:val="0"/>
      <w:marBottom w:val="0"/>
      <w:divBdr>
        <w:top w:val="none" w:sz="0" w:space="0" w:color="auto"/>
        <w:left w:val="none" w:sz="0" w:space="0" w:color="auto"/>
        <w:bottom w:val="none" w:sz="0" w:space="0" w:color="auto"/>
        <w:right w:val="none" w:sz="0" w:space="0" w:color="auto"/>
      </w:divBdr>
    </w:div>
    <w:div w:id="2105420392">
      <w:bodyDiv w:val="1"/>
      <w:marLeft w:val="0"/>
      <w:marRight w:val="0"/>
      <w:marTop w:val="0"/>
      <w:marBottom w:val="0"/>
      <w:divBdr>
        <w:top w:val="none" w:sz="0" w:space="0" w:color="auto"/>
        <w:left w:val="none" w:sz="0" w:space="0" w:color="auto"/>
        <w:bottom w:val="none" w:sz="0" w:space="0" w:color="auto"/>
        <w:right w:val="none" w:sz="0" w:space="0" w:color="auto"/>
      </w:divBdr>
    </w:div>
    <w:div w:id="2105609290">
      <w:bodyDiv w:val="1"/>
      <w:marLeft w:val="0"/>
      <w:marRight w:val="0"/>
      <w:marTop w:val="0"/>
      <w:marBottom w:val="0"/>
      <w:divBdr>
        <w:top w:val="none" w:sz="0" w:space="0" w:color="auto"/>
        <w:left w:val="none" w:sz="0" w:space="0" w:color="auto"/>
        <w:bottom w:val="none" w:sz="0" w:space="0" w:color="auto"/>
        <w:right w:val="none" w:sz="0" w:space="0" w:color="auto"/>
      </w:divBdr>
    </w:div>
    <w:div w:id="2105806106">
      <w:bodyDiv w:val="1"/>
      <w:marLeft w:val="0"/>
      <w:marRight w:val="0"/>
      <w:marTop w:val="0"/>
      <w:marBottom w:val="0"/>
      <w:divBdr>
        <w:top w:val="none" w:sz="0" w:space="0" w:color="auto"/>
        <w:left w:val="none" w:sz="0" w:space="0" w:color="auto"/>
        <w:bottom w:val="none" w:sz="0" w:space="0" w:color="auto"/>
        <w:right w:val="none" w:sz="0" w:space="0" w:color="auto"/>
      </w:divBdr>
    </w:div>
    <w:div w:id="2105832416">
      <w:bodyDiv w:val="1"/>
      <w:marLeft w:val="0"/>
      <w:marRight w:val="0"/>
      <w:marTop w:val="0"/>
      <w:marBottom w:val="0"/>
      <w:divBdr>
        <w:top w:val="none" w:sz="0" w:space="0" w:color="auto"/>
        <w:left w:val="none" w:sz="0" w:space="0" w:color="auto"/>
        <w:bottom w:val="none" w:sz="0" w:space="0" w:color="auto"/>
        <w:right w:val="none" w:sz="0" w:space="0" w:color="auto"/>
      </w:divBdr>
    </w:div>
    <w:div w:id="2105879435">
      <w:bodyDiv w:val="1"/>
      <w:marLeft w:val="0"/>
      <w:marRight w:val="0"/>
      <w:marTop w:val="0"/>
      <w:marBottom w:val="0"/>
      <w:divBdr>
        <w:top w:val="none" w:sz="0" w:space="0" w:color="auto"/>
        <w:left w:val="none" w:sz="0" w:space="0" w:color="auto"/>
        <w:bottom w:val="none" w:sz="0" w:space="0" w:color="auto"/>
        <w:right w:val="none" w:sz="0" w:space="0" w:color="auto"/>
      </w:divBdr>
    </w:div>
    <w:div w:id="2105958579">
      <w:bodyDiv w:val="1"/>
      <w:marLeft w:val="0"/>
      <w:marRight w:val="0"/>
      <w:marTop w:val="0"/>
      <w:marBottom w:val="0"/>
      <w:divBdr>
        <w:top w:val="none" w:sz="0" w:space="0" w:color="auto"/>
        <w:left w:val="none" w:sz="0" w:space="0" w:color="auto"/>
        <w:bottom w:val="none" w:sz="0" w:space="0" w:color="auto"/>
        <w:right w:val="none" w:sz="0" w:space="0" w:color="auto"/>
      </w:divBdr>
    </w:div>
    <w:div w:id="2105959587">
      <w:bodyDiv w:val="1"/>
      <w:marLeft w:val="0"/>
      <w:marRight w:val="0"/>
      <w:marTop w:val="0"/>
      <w:marBottom w:val="0"/>
      <w:divBdr>
        <w:top w:val="none" w:sz="0" w:space="0" w:color="auto"/>
        <w:left w:val="none" w:sz="0" w:space="0" w:color="auto"/>
        <w:bottom w:val="none" w:sz="0" w:space="0" w:color="auto"/>
        <w:right w:val="none" w:sz="0" w:space="0" w:color="auto"/>
      </w:divBdr>
    </w:div>
    <w:div w:id="2106147162">
      <w:bodyDiv w:val="1"/>
      <w:marLeft w:val="0"/>
      <w:marRight w:val="0"/>
      <w:marTop w:val="0"/>
      <w:marBottom w:val="0"/>
      <w:divBdr>
        <w:top w:val="none" w:sz="0" w:space="0" w:color="auto"/>
        <w:left w:val="none" w:sz="0" w:space="0" w:color="auto"/>
        <w:bottom w:val="none" w:sz="0" w:space="0" w:color="auto"/>
        <w:right w:val="none" w:sz="0" w:space="0" w:color="auto"/>
      </w:divBdr>
    </w:div>
    <w:div w:id="2106151833">
      <w:bodyDiv w:val="1"/>
      <w:marLeft w:val="0"/>
      <w:marRight w:val="0"/>
      <w:marTop w:val="0"/>
      <w:marBottom w:val="0"/>
      <w:divBdr>
        <w:top w:val="none" w:sz="0" w:space="0" w:color="auto"/>
        <w:left w:val="none" w:sz="0" w:space="0" w:color="auto"/>
        <w:bottom w:val="none" w:sz="0" w:space="0" w:color="auto"/>
        <w:right w:val="none" w:sz="0" w:space="0" w:color="auto"/>
      </w:divBdr>
    </w:div>
    <w:div w:id="2106222619">
      <w:bodyDiv w:val="1"/>
      <w:marLeft w:val="0"/>
      <w:marRight w:val="0"/>
      <w:marTop w:val="0"/>
      <w:marBottom w:val="0"/>
      <w:divBdr>
        <w:top w:val="none" w:sz="0" w:space="0" w:color="auto"/>
        <w:left w:val="none" w:sz="0" w:space="0" w:color="auto"/>
        <w:bottom w:val="none" w:sz="0" w:space="0" w:color="auto"/>
        <w:right w:val="none" w:sz="0" w:space="0" w:color="auto"/>
      </w:divBdr>
    </w:div>
    <w:div w:id="2106226494">
      <w:bodyDiv w:val="1"/>
      <w:marLeft w:val="0"/>
      <w:marRight w:val="0"/>
      <w:marTop w:val="0"/>
      <w:marBottom w:val="0"/>
      <w:divBdr>
        <w:top w:val="none" w:sz="0" w:space="0" w:color="auto"/>
        <w:left w:val="none" w:sz="0" w:space="0" w:color="auto"/>
        <w:bottom w:val="none" w:sz="0" w:space="0" w:color="auto"/>
        <w:right w:val="none" w:sz="0" w:space="0" w:color="auto"/>
      </w:divBdr>
    </w:div>
    <w:div w:id="2106344466">
      <w:bodyDiv w:val="1"/>
      <w:marLeft w:val="0"/>
      <w:marRight w:val="0"/>
      <w:marTop w:val="0"/>
      <w:marBottom w:val="0"/>
      <w:divBdr>
        <w:top w:val="none" w:sz="0" w:space="0" w:color="auto"/>
        <w:left w:val="none" w:sz="0" w:space="0" w:color="auto"/>
        <w:bottom w:val="none" w:sz="0" w:space="0" w:color="auto"/>
        <w:right w:val="none" w:sz="0" w:space="0" w:color="auto"/>
      </w:divBdr>
    </w:div>
    <w:div w:id="2106460971">
      <w:bodyDiv w:val="1"/>
      <w:marLeft w:val="0"/>
      <w:marRight w:val="0"/>
      <w:marTop w:val="0"/>
      <w:marBottom w:val="0"/>
      <w:divBdr>
        <w:top w:val="none" w:sz="0" w:space="0" w:color="auto"/>
        <w:left w:val="none" w:sz="0" w:space="0" w:color="auto"/>
        <w:bottom w:val="none" w:sz="0" w:space="0" w:color="auto"/>
        <w:right w:val="none" w:sz="0" w:space="0" w:color="auto"/>
      </w:divBdr>
    </w:div>
    <w:div w:id="2106463197">
      <w:bodyDiv w:val="1"/>
      <w:marLeft w:val="0"/>
      <w:marRight w:val="0"/>
      <w:marTop w:val="0"/>
      <w:marBottom w:val="0"/>
      <w:divBdr>
        <w:top w:val="none" w:sz="0" w:space="0" w:color="auto"/>
        <w:left w:val="none" w:sz="0" w:space="0" w:color="auto"/>
        <w:bottom w:val="none" w:sz="0" w:space="0" w:color="auto"/>
        <w:right w:val="none" w:sz="0" w:space="0" w:color="auto"/>
      </w:divBdr>
    </w:div>
    <w:div w:id="2106729114">
      <w:bodyDiv w:val="1"/>
      <w:marLeft w:val="0"/>
      <w:marRight w:val="0"/>
      <w:marTop w:val="0"/>
      <w:marBottom w:val="0"/>
      <w:divBdr>
        <w:top w:val="none" w:sz="0" w:space="0" w:color="auto"/>
        <w:left w:val="none" w:sz="0" w:space="0" w:color="auto"/>
        <w:bottom w:val="none" w:sz="0" w:space="0" w:color="auto"/>
        <w:right w:val="none" w:sz="0" w:space="0" w:color="auto"/>
      </w:divBdr>
    </w:div>
    <w:div w:id="2106799764">
      <w:bodyDiv w:val="1"/>
      <w:marLeft w:val="0"/>
      <w:marRight w:val="0"/>
      <w:marTop w:val="0"/>
      <w:marBottom w:val="0"/>
      <w:divBdr>
        <w:top w:val="none" w:sz="0" w:space="0" w:color="auto"/>
        <w:left w:val="none" w:sz="0" w:space="0" w:color="auto"/>
        <w:bottom w:val="none" w:sz="0" w:space="0" w:color="auto"/>
        <w:right w:val="none" w:sz="0" w:space="0" w:color="auto"/>
      </w:divBdr>
    </w:div>
    <w:div w:id="2106802312">
      <w:bodyDiv w:val="1"/>
      <w:marLeft w:val="0"/>
      <w:marRight w:val="0"/>
      <w:marTop w:val="0"/>
      <w:marBottom w:val="0"/>
      <w:divBdr>
        <w:top w:val="none" w:sz="0" w:space="0" w:color="auto"/>
        <w:left w:val="none" w:sz="0" w:space="0" w:color="auto"/>
        <w:bottom w:val="none" w:sz="0" w:space="0" w:color="auto"/>
        <w:right w:val="none" w:sz="0" w:space="0" w:color="auto"/>
      </w:divBdr>
    </w:div>
    <w:div w:id="2106879800">
      <w:bodyDiv w:val="1"/>
      <w:marLeft w:val="0"/>
      <w:marRight w:val="0"/>
      <w:marTop w:val="0"/>
      <w:marBottom w:val="0"/>
      <w:divBdr>
        <w:top w:val="none" w:sz="0" w:space="0" w:color="auto"/>
        <w:left w:val="none" w:sz="0" w:space="0" w:color="auto"/>
        <w:bottom w:val="none" w:sz="0" w:space="0" w:color="auto"/>
        <w:right w:val="none" w:sz="0" w:space="0" w:color="auto"/>
      </w:divBdr>
    </w:div>
    <w:div w:id="2106994382">
      <w:bodyDiv w:val="1"/>
      <w:marLeft w:val="0"/>
      <w:marRight w:val="0"/>
      <w:marTop w:val="0"/>
      <w:marBottom w:val="0"/>
      <w:divBdr>
        <w:top w:val="none" w:sz="0" w:space="0" w:color="auto"/>
        <w:left w:val="none" w:sz="0" w:space="0" w:color="auto"/>
        <w:bottom w:val="none" w:sz="0" w:space="0" w:color="auto"/>
        <w:right w:val="none" w:sz="0" w:space="0" w:color="auto"/>
      </w:divBdr>
    </w:div>
    <w:div w:id="2107070019">
      <w:bodyDiv w:val="1"/>
      <w:marLeft w:val="0"/>
      <w:marRight w:val="0"/>
      <w:marTop w:val="0"/>
      <w:marBottom w:val="0"/>
      <w:divBdr>
        <w:top w:val="none" w:sz="0" w:space="0" w:color="auto"/>
        <w:left w:val="none" w:sz="0" w:space="0" w:color="auto"/>
        <w:bottom w:val="none" w:sz="0" w:space="0" w:color="auto"/>
        <w:right w:val="none" w:sz="0" w:space="0" w:color="auto"/>
      </w:divBdr>
    </w:div>
    <w:div w:id="2107267033">
      <w:bodyDiv w:val="1"/>
      <w:marLeft w:val="0"/>
      <w:marRight w:val="0"/>
      <w:marTop w:val="0"/>
      <w:marBottom w:val="0"/>
      <w:divBdr>
        <w:top w:val="none" w:sz="0" w:space="0" w:color="auto"/>
        <w:left w:val="none" w:sz="0" w:space="0" w:color="auto"/>
        <w:bottom w:val="none" w:sz="0" w:space="0" w:color="auto"/>
        <w:right w:val="none" w:sz="0" w:space="0" w:color="auto"/>
      </w:divBdr>
    </w:div>
    <w:div w:id="2107312124">
      <w:bodyDiv w:val="1"/>
      <w:marLeft w:val="0"/>
      <w:marRight w:val="0"/>
      <w:marTop w:val="0"/>
      <w:marBottom w:val="0"/>
      <w:divBdr>
        <w:top w:val="none" w:sz="0" w:space="0" w:color="auto"/>
        <w:left w:val="none" w:sz="0" w:space="0" w:color="auto"/>
        <w:bottom w:val="none" w:sz="0" w:space="0" w:color="auto"/>
        <w:right w:val="none" w:sz="0" w:space="0" w:color="auto"/>
      </w:divBdr>
    </w:div>
    <w:div w:id="2107339257">
      <w:bodyDiv w:val="1"/>
      <w:marLeft w:val="0"/>
      <w:marRight w:val="0"/>
      <w:marTop w:val="0"/>
      <w:marBottom w:val="0"/>
      <w:divBdr>
        <w:top w:val="none" w:sz="0" w:space="0" w:color="auto"/>
        <w:left w:val="none" w:sz="0" w:space="0" w:color="auto"/>
        <w:bottom w:val="none" w:sz="0" w:space="0" w:color="auto"/>
        <w:right w:val="none" w:sz="0" w:space="0" w:color="auto"/>
      </w:divBdr>
    </w:div>
    <w:div w:id="2107339848">
      <w:bodyDiv w:val="1"/>
      <w:marLeft w:val="0"/>
      <w:marRight w:val="0"/>
      <w:marTop w:val="0"/>
      <w:marBottom w:val="0"/>
      <w:divBdr>
        <w:top w:val="none" w:sz="0" w:space="0" w:color="auto"/>
        <w:left w:val="none" w:sz="0" w:space="0" w:color="auto"/>
        <w:bottom w:val="none" w:sz="0" w:space="0" w:color="auto"/>
        <w:right w:val="none" w:sz="0" w:space="0" w:color="auto"/>
      </w:divBdr>
    </w:div>
    <w:div w:id="2107384005">
      <w:bodyDiv w:val="1"/>
      <w:marLeft w:val="0"/>
      <w:marRight w:val="0"/>
      <w:marTop w:val="0"/>
      <w:marBottom w:val="0"/>
      <w:divBdr>
        <w:top w:val="none" w:sz="0" w:space="0" w:color="auto"/>
        <w:left w:val="none" w:sz="0" w:space="0" w:color="auto"/>
        <w:bottom w:val="none" w:sz="0" w:space="0" w:color="auto"/>
        <w:right w:val="none" w:sz="0" w:space="0" w:color="auto"/>
      </w:divBdr>
    </w:div>
    <w:div w:id="2107384141">
      <w:bodyDiv w:val="1"/>
      <w:marLeft w:val="0"/>
      <w:marRight w:val="0"/>
      <w:marTop w:val="0"/>
      <w:marBottom w:val="0"/>
      <w:divBdr>
        <w:top w:val="none" w:sz="0" w:space="0" w:color="auto"/>
        <w:left w:val="none" w:sz="0" w:space="0" w:color="auto"/>
        <w:bottom w:val="none" w:sz="0" w:space="0" w:color="auto"/>
        <w:right w:val="none" w:sz="0" w:space="0" w:color="auto"/>
      </w:divBdr>
    </w:div>
    <w:div w:id="2107456322">
      <w:bodyDiv w:val="1"/>
      <w:marLeft w:val="0"/>
      <w:marRight w:val="0"/>
      <w:marTop w:val="0"/>
      <w:marBottom w:val="0"/>
      <w:divBdr>
        <w:top w:val="none" w:sz="0" w:space="0" w:color="auto"/>
        <w:left w:val="none" w:sz="0" w:space="0" w:color="auto"/>
        <w:bottom w:val="none" w:sz="0" w:space="0" w:color="auto"/>
        <w:right w:val="none" w:sz="0" w:space="0" w:color="auto"/>
      </w:divBdr>
    </w:div>
    <w:div w:id="2107533537">
      <w:bodyDiv w:val="1"/>
      <w:marLeft w:val="0"/>
      <w:marRight w:val="0"/>
      <w:marTop w:val="0"/>
      <w:marBottom w:val="0"/>
      <w:divBdr>
        <w:top w:val="none" w:sz="0" w:space="0" w:color="auto"/>
        <w:left w:val="none" w:sz="0" w:space="0" w:color="auto"/>
        <w:bottom w:val="none" w:sz="0" w:space="0" w:color="auto"/>
        <w:right w:val="none" w:sz="0" w:space="0" w:color="auto"/>
      </w:divBdr>
    </w:div>
    <w:div w:id="2107652937">
      <w:bodyDiv w:val="1"/>
      <w:marLeft w:val="0"/>
      <w:marRight w:val="0"/>
      <w:marTop w:val="0"/>
      <w:marBottom w:val="0"/>
      <w:divBdr>
        <w:top w:val="none" w:sz="0" w:space="0" w:color="auto"/>
        <w:left w:val="none" w:sz="0" w:space="0" w:color="auto"/>
        <w:bottom w:val="none" w:sz="0" w:space="0" w:color="auto"/>
        <w:right w:val="none" w:sz="0" w:space="0" w:color="auto"/>
      </w:divBdr>
    </w:div>
    <w:div w:id="2107727352">
      <w:bodyDiv w:val="1"/>
      <w:marLeft w:val="0"/>
      <w:marRight w:val="0"/>
      <w:marTop w:val="0"/>
      <w:marBottom w:val="0"/>
      <w:divBdr>
        <w:top w:val="none" w:sz="0" w:space="0" w:color="auto"/>
        <w:left w:val="none" w:sz="0" w:space="0" w:color="auto"/>
        <w:bottom w:val="none" w:sz="0" w:space="0" w:color="auto"/>
        <w:right w:val="none" w:sz="0" w:space="0" w:color="auto"/>
      </w:divBdr>
    </w:div>
    <w:div w:id="2107798232">
      <w:bodyDiv w:val="1"/>
      <w:marLeft w:val="0"/>
      <w:marRight w:val="0"/>
      <w:marTop w:val="0"/>
      <w:marBottom w:val="0"/>
      <w:divBdr>
        <w:top w:val="none" w:sz="0" w:space="0" w:color="auto"/>
        <w:left w:val="none" w:sz="0" w:space="0" w:color="auto"/>
        <w:bottom w:val="none" w:sz="0" w:space="0" w:color="auto"/>
        <w:right w:val="none" w:sz="0" w:space="0" w:color="auto"/>
      </w:divBdr>
    </w:div>
    <w:div w:id="2107842816">
      <w:bodyDiv w:val="1"/>
      <w:marLeft w:val="0"/>
      <w:marRight w:val="0"/>
      <w:marTop w:val="0"/>
      <w:marBottom w:val="0"/>
      <w:divBdr>
        <w:top w:val="none" w:sz="0" w:space="0" w:color="auto"/>
        <w:left w:val="none" w:sz="0" w:space="0" w:color="auto"/>
        <w:bottom w:val="none" w:sz="0" w:space="0" w:color="auto"/>
        <w:right w:val="none" w:sz="0" w:space="0" w:color="auto"/>
      </w:divBdr>
    </w:div>
    <w:div w:id="2107845228">
      <w:bodyDiv w:val="1"/>
      <w:marLeft w:val="0"/>
      <w:marRight w:val="0"/>
      <w:marTop w:val="0"/>
      <w:marBottom w:val="0"/>
      <w:divBdr>
        <w:top w:val="none" w:sz="0" w:space="0" w:color="auto"/>
        <w:left w:val="none" w:sz="0" w:space="0" w:color="auto"/>
        <w:bottom w:val="none" w:sz="0" w:space="0" w:color="auto"/>
        <w:right w:val="none" w:sz="0" w:space="0" w:color="auto"/>
      </w:divBdr>
    </w:div>
    <w:div w:id="2107965452">
      <w:bodyDiv w:val="1"/>
      <w:marLeft w:val="0"/>
      <w:marRight w:val="0"/>
      <w:marTop w:val="0"/>
      <w:marBottom w:val="0"/>
      <w:divBdr>
        <w:top w:val="none" w:sz="0" w:space="0" w:color="auto"/>
        <w:left w:val="none" w:sz="0" w:space="0" w:color="auto"/>
        <w:bottom w:val="none" w:sz="0" w:space="0" w:color="auto"/>
        <w:right w:val="none" w:sz="0" w:space="0" w:color="auto"/>
      </w:divBdr>
    </w:div>
    <w:div w:id="2108035528">
      <w:bodyDiv w:val="1"/>
      <w:marLeft w:val="0"/>
      <w:marRight w:val="0"/>
      <w:marTop w:val="0"/>
      <w:marBottom w:val="0"/>
      <w:divBdr>
        <w:top w:val="none" w:sz="0" w:space="0" w:color="auto"/>
        <w:left w:val="none" w:sz="0" w:space="0" w:color="auto"/>
        <w:bottom w:val="none" w:sz="0" w:space="0" w:color="auto"/>
        <w:right w:val="none" w:sz="0" w:space="0" w:color="auto"/>
      </w:divBdr>
    </w:div>
    <w:div w:id="2108042812">
      <w:bodyDiv w:val="1"/>
      <w:marLeft w:val="0"/>
      <w:marRight w:val="0"/>
      <w:marTop w:val="0"/>
      <w:marBottom w:val="0"/>
      <w:divBdr>
        <w:top w:val="none" w:sz="0" w:space="0" w:color="auto"/>
        <w:left w:val="none" w:sz="0" w:space="0" w:color="auto"/>
        <w:bottom w:val="none" w:sz="0" w:space="0" w:color="auto"/>
        <w:right w:val="none" w:sz="0" w:space="0" w:color="auto"/>
      </w:divBdr>
    </w:div>
    <w:div w:id="2108186269">
      <w:bodyDiv w:val="1"/>
      <w:marLeft w:val="0"/>
      <w:marRight w:val="0"/>
      <w:marTop w:val="0"/>
      <w:marBottom w:val="0"/>
      <w:divBdr>
        <w:top w:val="none" w:sz="0" w:space="0" w:color="auto"/>
        <w:left w:val="none" w:sz="0" w:space="0" w:color="auto"/>
        <w:bottom w:val="none" w:sz="0" w:space="0" w:color="auto"/>
        <w:right w:val="none" w:sz="0" w:space="0" w:color="auto"/>
      </w:divBdr>
    </w:div>
    <w:div w:id="2108500906">
      <w:bodyDiv w:val="1"/>
      <w:marLeft w:val="0"/>
      <w:marRight w:val="0"/>
      <w:marTop w:val="0"/>
      <w:marBottom w:val="0"/>
      <w:divBdr>
        <w:top w:val="none" w:sz="0" w:space="0" w:color="auto"/>
        <w:left w:val="none" w:sz="0" w:space="0" w:color="auto"/>
        <w:bottom w:val="none" w:sz="0" w:space="0" w:color="auto"/>
        <w:right w:val="none" w:sz="0" w:space="0" w:color="auto"/>
      </w:divBdr>
    </w:div>
    <w:div w:id="2108578071">
      <w:bodyDiv w:val="1"/>
      <w:marLeft w:val="0"/>
      <w:marRight w:val="0"/>
      <w:marTop w:val="0"/>
      <w:marBottom w:val="0"/>
      <w:divBdr>
        <w:top w:val="none" w:sz="0" w:space="0" w:color="auto"/>
        <w:left w:val="none" w:sz="0" w:space="0" w:color="auto"/>
        <w:bottom w:val="none" w:sz="0" w:space="0" w:color="auto"/>
        <w:right w:val="none" w:sz="0" w:space="0" w:color="auto"/>
      </w:divBdr>
    </w:div>
    <w:div w:id="2108646977">
      <w:bodyDiv w:val="1"/>
      <w:marLeft w:val="0"/>
      <w:marRight w:val="0"/>
      <w:marTop w:val="0"/>
      <w:marBottom w:val="0"/>
      <w:divBdr>
        <w:top w:val="none" w:sz="0" w:space="0" w:color="auto"/>
        <w:left w:val="none" w:sz="0" w:space="0" w:color="auto"/>
        <w:bottom w:val="none" w:sz="0" w:space="0" w:color="auto"/>
        <w:right w:val="none" w:sz="0" w:space="0" w:color="auto"/>
      </w:divBdr>
    </w:div>
    <w:div w:id="2108698622">
      <w:bodyDiv w:val="1"/>
      <w:marLeft w:val="0"/>
      <w:marRight w:val="0"/>
      <w:marTop w:val="0"/>
      <w:marBottom w:val="0"/>
      <w:divBdr>
        <w:top w:val="none" w:sz="0" w:space="0" w:color="auto"/>
        <w:left w:val="none" w:sz="0" w:space="0" w:color="auto"/>
        <w:bottom w:val="none" w:sz="0" w:space="0" w:color="auto"/>
        <w:right w:val="none" w:sz="0" w:space="0" w:color="auto"/>
      </w:divBdr>
    </w:div>
    <w:div w:id="2108771678">
      <w:bodyDiv w:val="1"/>
      <w:marLeft w:val="0"/>
      <w:marRight w:val="0"/>
      <w:marTop w:val="0"/>
      <w:marBottom w:val="0"/>
      <w:divBdr>
        <w:top w:val="none" w:sz="0" w:space="0" w:color="auto"/>
        <w:left w:val="none" w:sz="0" w:space="0" w:color="auto"/>
        <w:bottom w:val="none" w:sz="0" w:space="0" w:color="auto"/>
        <w:right w:val="none" w:sz="0" w:space="0" w:color="auto"/>
      </w:divBdr>
    </w:div>
    <w:div w:id="2109083355">
      <w:bodyDiv w:val="1"/>
      <w:marLeft w:val="0"/>
      <w:marRight w:val="0"/>
      <w:marTop w:val="0"/>
      <w:marBottom w:val="0"/>
      <w:divBdr>
        <w:top w:val="none" w:sz="0" w:space="0" w:color="auto"/>
        <w:left w:val="none" w:sz="0" w:space="0" w:color="auto"/>
        <w:bottom w:val="none" w:sz="0" w:space="0" w:color="auto"/>
        <w:right w:val="none" w:sz="0" w:space="0" w:color="auto"/>
      </w:divBdr>
    </w:div>
    <w:div w:id="2109084256">
      <w:bodyDiv w:val="1"/>
      <w:marLeft w:val="0"/>
      <w:marRight w:val="0"/>
      <w:marTop w:val="0"/>
      <w:marBottom w:val="0"/>
      <w:divBdr>
        <w:top w:val="none" w:sz="0" w:space="0" w:color="auto"/>
        <w:left w:val="none" w:sz="0" w:space="0" w:color="auto"/>
        <w:bottom w:val="none" w:sz="0" w:space="0" w:color="auto"/>
        <w:right w:val="none" w:sz="0" w:space="0" w:color="auto"/>
      </w:divBdr>
    </w:div>
    <w:div w:id="2109353010">
      <w:bodyDiv w:val="1"/>
      <w:marLeft w:val="0"/>
      <w:marRight w:val="0"/>
      <w:marTop w:val="0"/>
      <w:marBottom w:val="0"/>
      <w:divBdr>
        <w:top w:val="none" w:sz="0" w:space="0" w:color="auto"/>
        <w:left w:val="none" w:sz="0" w:space="0" w:color="auto"/>
        <w:bottom w:val="none" w:sz="0" w:space="0" w:color="auto"/>
        <w:right w:val="none" w:sz="0" w:space="0" w:color="auto"/>
      </w:divBdr>
    </w:div>
    <w:div w:id="2109419814">
      <w:bodyDiv w:val="1"/>
      <w:marLeft w:val="0"/>
      <w:marRight w:val="0"/>
      <w:marTop w:val="0"/>
      <w:marBottom w:val="0"/>
      <w:divBdr>
        <w:top w:val="none" w:sz="0" w:space="0" w:color="auto"/>
        <w:left w:val="none" w:sz="0" w:space="0" w:color="auto"/>
        <w:bottom w:val="none" w:sz="0" w:space="0" w:color="auto"/>
        <w:right w:val="none" w:sz="0" w:space="0" w:color="auto"/>
      </w:divBdr>
    </w:div>
    <w:div w:id="2109420384">
      <w:bodyDiv w:val="1"/>
      <w:marLeft w:val="0"/>
      <w:marRight w:val="0"/>
      <w:marTop w:val="0"/>
      <w:marBottom w:val="0"/>
      <w:divBdr>
        <w:top w:val="none" w:sz="0" w:space="0" w:color="auto"/>
        <w:left w:val="none" w:sz="0" w:space="0" w:color="auto"/>
        <w:bottom w:val="none" w:sz="0" w:space="0" w:color="auto"/>
        <w:right w:val="none" w:sz="0" w:space="0" w:color="auto"/>
      </w:divBdr>
    </w:div>
    <w:div w:id="2109541752">
      <w:bodyDiv w:val="1"/>
      <w:marLeft w:val="0"/>
      <w:marRight w:val="0"/>
      <w:marTop w:val="0"/>
      <w:marBottom w:val="0"/>
      <w:divBdr>
        <w:top w:val="none" w:sz="0" w:space="0" w:color="auto"/>
        <w:left w:val="none" w:sz="0" w:space="0" w:color="auto"/>
        <w:bottom w:val="none" w:sz="0" w:space="0" w:color="auto"/>
        <w:right w:val="none" w:sz="0" w:space="0" w:color="auto"/>
      </w:divBdr>
    </w:div>
    <w:div w:id="2109613014">
      <w:bodyDiv w:val="1"/>
      <w:marLeft w:val="0"/>
      <w:marRight w:val="0"/>
      <w:marTop w:val="0"/>
      <w:marBottom w:val="0"/>
      <w:divBdr>
        <w:top w:val="none" w:sz="0" w:space="0" w:color="auto"/>
        <w:left w:val="none" w:sz="0" w:space="0" w:color="auto"/>
        <w:bottom w:val="none" w:sz="0" w:space="0" w:color="auto"/>
        <w:right w:val="none" w:sz="0" w:space="0" w:color="auto"/>
      </w:divBdr>
    </w:div>
    <w:div w:id="2109813839">
      <w:bodyDiv w:val="1"/>
      <w:marLeft w:val="0"/>
      <w:marRight w:val="0"/>
      <w:marTop w:val="0"/>
      <w:marBottom w:val="0"/>
      <w:divBdr>
        <w:top w:val="none" w:sz="0" w:space="0" w:color="auto"/>
        <w:left w:val="none" w:sz="0" w:space="0" w:color="auto"/>
        <w:bottom w:val="none" w:sz="0" w:space="0" w:color="auto"/>
        <w:right w:val="none" w:sz="0" w:space="0" w:color="auto"/>
      </w:divBdr>
    </w:div>
    <w:div w:id="2109881746">
      <w:bodyDiv w:val="1"/>
      <w:marLeft w:val="0"/>
      <w:marRight w:val="0"/>
      <w:marTop w:val="0"/>
      <w:marBottom w:val="0"/>
      <w:divBdr>
        <w:top w:val="none" w:sz="0" w:space="0" w:color="auto"/>
        <w:left w:val="none" w:sz="0" w:space="0" w:color="auto"/>
        <w:bottom w:val="none" w:sz="0" w:space="0" w:color="auto"/>
        <w:right w:val="none" w:sz="0" w:space="0" w:color="auto"/>
      </w:divBdr>
    </w:div>
    <w:div w:id="2109884482">
      <w:bodyDiv w:val="1"/>
      <w:marLeft w:val="0"/>
      <w:marRight w:val="0"/>
      <w:marTop w:val="0"/>
      <w:marBottom w:val="0"/>
      <w:divBdr>
        <w:top w:val="none" w:sz="0" w:space="0" w:color="auto"/>
        <w:left w:val="none" w:sz="0" w:space="0" w:color="auto"/>
        <w:bottom w:val="none" w:sz="0" w:space="0" w:color="auto"/>
        <w:right w:val="none" w:sz="0" w:space="0" w:color="auto"/>
      </w:divBdr>
    </w:div>
    <w:div w:id="2110084312">
      <w:bodyDiv w:val="1"/>
      <w:marLeft w:val="0"/>
      <w:marRight w:val="0"/>
      <w:marTop w:val="0"/>
      <w:marBottom w:val="0"/>
      <w:divBdr>
        <w:top w:val="none" w:sz="0" w:space="0" w:color="auto"/>
        <w:left w:val="none" w:sz="0" w:space="0" w:color="auto"/>
        <w:bottom w:val="none" w:sz="0" w:space="0" w:color="auto"/>
        <w:right w:val="none" w:sz="0" w:space="0" w:color="auto"/>
      </w:divBdr>
    </w:div>
    <w:div w:id="2110155374">
      <w:bodyDiv w:val="1"/>
      <w:marLeft w:val="0"/>
      <w:marRight w:val="0"/>
      <w:marTop w:val="0"/>
      <w:marBottom w:val="0"/>
      <w:divBdr>
        <w:top w:val="none" w:sz="0" w:space="0" w:color="auto"/>
        <w:left w:val="none" w:sz="0" w:space="0" w:color="auto"/>
        <w:bottom w:val="none" w:sz="0" w:space="0" w:color="auto"/>
        <w:right w:val="none" w:sz="0" w:space="0" w:color="auto"/>
      </w:divBdr>
    </w:div>
    <w:div w:id="2110159568">
      <w:bodyDiv w:val="1"/>
      <w:marLeft w:val="0"/>
      <w:marRight w:val="0"/>
      <w:marTop w:val="0"/>
      <w:marBottom w:val="0"/>
      <w:divBdr>
        <w:top w:val="none" w:sz="0" w:space="0" w:color="auto"/>
        <w:left w:val="none" w:sz="0" w:space="0" w:color="auto"/>
        <w:bottom w:val="none" w:sz="0" w:space="0" w:color="auto"/>
        <w:right w:val="none" w:sz="0" w:space="0" w:color="auto"/>
      </w:divBdr>
    </w:div>
    <w:div w:id="2110195628">
      <w:bodyDiv w:val="1"/>
      <w:marLeft w:val="0"/>
      <w:marRight w:val="0"/>
      <w:marTop w:val="0"/>
      <w:marBottom w:val="0"/>
      <w:divBdr>
        <w:top w:val="none" w:sz="0" w:space="0" w:color="auto"/>
        <w:left w:val="none" w:sz="0" w:space="0" w:color="auto"/>
        <w:bottom w:val="none" w:sz="0" w:space="0" w:color="auto"/>
        <w:right w:val="none" w:sz="0" w:space="0" w:color="auto"/>
      </w:divBdr>
    </w:div>
    <w:div w:id="2110196306">
      <w:bodyDiv w:val="1"/>
      <w:marLeft w:val="0"/>
      <w:marRight w:val="0"/>
      <w:marTop w:val="0"/>
      <w:marBottom w:val="0"/>
      <w:divBdr>
        <w:top w:val="none" w:sz="0" w:space="0" w:color="auto"/>
        <w:left w:val="none" w:sz="0" w:space="0" w:color="auto"/>
        <w:bottom w:val="none" w:sz="0" w:space="0" w:color="auto"/>
        <w:right w:val="none" w:sz="0" w:space="0" w:color="auto"/>
      </w:divBdr>
    </w:div>
    <w:div w:id="2110198348">
      <w:bodyDiv w:val="1"/>
      <w:marLeft w:val="0"/>
      <w:marRight w:val="0"/>
      <w:marTop w:val="0"/>
      <w:marBottom w:val="0"/>
      <w:divBdr>
        <w:top w:val="none" w:sz="0" w:space="0" w:color="auto"/>
        <w:left w:val="none" w:sz="0" w:space="0" w:color="auto"/>
        <w:bottom w:val="none" w:sz="0" w:space="0" w:color="auto"/>
        <w:right w:val="none" w:sz="0" w:space="0" w:color="auto"/>
      </w:divBdr>
    </w:div>
    <w:div w:id="2110346160">
      <w:bodyDiv w:val="1"/>
      <w:marLeft w:val="0"/>
      <w:marRight w:val="0"/>
      <w:marTop w:val="0"/>
      <w:marBottom w:val="0"/>
      <w:divBdr>
        <w:top w:val="none" w:sz="0" w:space="0" w:color="auto"/>
        <w:left w:val="none" w:sz="0" w:space="0" w:color="auto"/>
        <w:bottom w:val="none" w:sz="0" w:space="0" w:color="auto"/>
        <w:right w:val="none" w:sz="0" w:space="0" w:color="auto"/>
      </w:divBdr>
    </w:div>
    <w:div w:id="2110348310">
      <w:bodyDiv w:val="1"/>
      <w:marLeft w:val="0"/>
      <w:marRight w:val="0"/>
      <w:marTop w:val="0"/>
      <w:marBottom w:val="0"/>
      <w:divBdr>
        <w:top w:val="none" w:sz="0" w:space="0" w:color="auto"/>
        <w:left w:val="none" w:sz="0" w:space="0" w:color="auto"/>
        <w:bottom w:val="none" w:sz="0" w:space="0" w:color="auto"/>
        <w:right w:val="none" w:sz="0" w:space="0" w:color="auto"/>
      </w:divBdr>
    </w:div>
    <w:div w:id="2110348859">
      <w:bodyDiv w:val="1"/>
      <w:marLeft w:val="0"/>
      <w:marRight w:val="0"/>
      <w:marTop w:val="0"/>
      <w:marBottom w:val="0"/>
      <w:divBdr>
        <w:top w:val="none" w:sz="0" w:space="0" w:color="auto"/>
        <w:left w:val="none" w:sz="0" w:space="0" w:color="auto"/>
        <w:bottom w:val="none" w:sz="0" w:space="0" w:color="auto"/>
        <w:right w:val="none" w:sz="0" w:space="0" w:color="auto"/>
      </w:divBdr>
    </w:div>
    <w:div w:id="2110391859">
      <w:bodyDiv w:val="1"/>
      <w:marLeft w:val="0"/>
      <w:marRight w:val="0"/>
      <w:marTop w:val="0"/>
      <w:marBottom w:val="0"/>
      <w:divBdr>
        <w:top w:val="none" w:sz="0" w:space="0" w:color="auto"/>
        <w:left w:val="none" w:sz="0" w:space="0" w:color="auto"/>
        <w:bottom w:val="none" w:sz="0" w:space="0" w:color="auto"/>
        <w:right w:val="none" w:sz="0" w:space="0" w:color="auto"/>
      </w:divBdr>
    </w:div>
    <w:div w:id="2110463816">
      <w:bodyDiv w:val="1"/>
      <w:marLeft w:val="0"/>
      <w:marRight w:val="0"/>
      <w:marTop w:val="0"/>
      <w:marBottom w:val="0"/>
      <w:divBdr>
        <w:top w:val="none" w:sz="0" w:space="0" w:color="auto"/>
        <w:left w:val="none" w:sz="0" w:space="0" w:color="auto"/>
        <w:bottom w:val="none" w:sz="0" w:space="0" w:color="auto"/>
        <w:right w:val="none" w:sz="0" w:space="0" w:color="auto"/>
      </w:divBdr>
    </w:div>
    <w:div w:id="2110616763">
      <w:bodyDiv w:val="1"/>
      <w:marLeft w:val="0"/>
      <w:marRight w:val="0"/>
      <w:marTop w:val="0"/>
      <w:marBottom w:val="0"/>
      <w:divBdr>
        <w:top w:val="none" w:sz="0" w:space="0" w:color="auto"/>
        <w:left w:val="none" w:sz="0" w:space="0" w:color="auto"/>
        <w:bottom w:val="none" w:sz="0" w:space="0" w:color="auto"/>
        <w:right w:val="none" w:sz="0" w:space="0" w:color="auto"/>
      </w:divBdr>
    </w:div>
    <w:div w:id="2110661758">
      <w:bodyDiv w:val="1"/>
      <w:marLeft w:val="0"/>
      <w:marRight w:val="0"/>
      <w:marTop w:val="0"/>
      <w:marBottom w:val="0"/>
      <w:divBdr>
        <w:top w:val="none" w:sz="0" w:space="0" w:color="auto"/>
        <w:left w:val="none" w:sz="0" w:space="0" w:color="auto"/>
        <w:bottom w:val="none" w:sz="0" w:space="0" w:color="auto"/>
        <w:right w:val="none" w:sz="0" w:space="0" w:color="auto"/>
      </w:divBdr>
    </w:div>
    <w:div w:id="2110811633">
      <w:bodyDiv w:val="1"/>
      <w:marLeft w:val="0"/>
      <w:marRight w:val="0"/>
      <w:marTop w:val="0"/>
      <w:marBottom w:val="0"/>
      <w:divBdr>
        <w:top w:val="none" w:sz="0" w:space="0" w:color="auto"/>
        <w:left w:val="none" w:sz="0" w:space="0" w:color="auto"/>
        <w:bottom w:val="none" w:sz="0" w:space="0" w:color="auto"/>
        <w:right w:val="none" w:sz="0" w:space="0" w:color="auto"/>
      </w:divBdr>
    </w:div>
    <w:div w:id="2110856385">
      <w:bodyDiv w:val="1"/>
      <w:marLeft w:val="0"/>
      <w:marRight w:val="0"/>
      <w:marTop w:val="0"/>
      <w:marBottom w:val="0"/>
      <w:divBdr>
        <w:top w:val="none" w:sz="0" w:space="0" w:color="auto"/>
        <w:left w:val="none" w:sz="0" w:space="0" w:color="auto"/>
        <w:bottom w:val="none" w:sz="0" w:space="0" w:color="auto"/>
        <w:right w:val="none" w:sz="0" w:space="0" w:color="auto"/>
      </w:divBdr>
    </w:div>
    <w:div w:id="2111118972">
      <w:bodyDiv w:val="1"/>
      <w:marLeft w:val="0"/>
      <w:marRight w:val="0"/>
      <w:marTop w:val="0"/>
      <w:marBottom w:val="0"/>
      <w:divBdr>
        <w:top w:val="none" w:sz="0" w:space="0" w:color="auto"/>
        <w:left w:val="none" w:sz="0" w:space="0" w:color="auto"/>
        <w:bottom w:val="none" w:sz="0" w:space="0" w:color="auto"/>
        <w:right w:val="none" w:sz="0" w:space="0" w:color="auto"/>
      </w:divBdr>
    </w:div>
    <w:div w:id="2111199735">
      <w:bodyDiv w:val="1"/>
      <w:marLeft w:val="0"/>
      <w:marRight w:val="0"/>
      <w:marTop w:val="0"/>
      <w:marBottom w:val="0"/>
      <w:divBdr>
        <w:top w:val="none" w:sz="0" w:space="0" w:color="auto"/>
        <w:left w:val="none" w:sz="0" w:space="0" w:color="auto"/>
        <w:bottom w:val="none" w:sz="0" w:space="0" w:color="auto"/>
        <w:right w:val="none" w:sz="0" w:space="0" w:color="auto"/>
      </w:divBdr>
    </w:div>
    <w:div w:id="2111390440">
      <w:bodyDiv w:val="1"/>
      <w:marLeft w:val="0"/>
      <w:marRight w:val="0"/>
      <w:marTop w:val="0"/>
      <w:marBottom w:val="0"/>
      <w:divBdr>
        <w:top w:val="none" w:sz="0" w:space="0" w:color="auto"/>
        <w:left w:val="none" w:sz="0" w:space="0" w:color="auto"/>
        <w:bottom w:val="none" w:sz="0" w:space="0" w:color="auto"/>
        <w:right w:val="none" w:sz="0" w:space="0" w:color="auto"/>
      </w:divBdr>
    </w:div>
    <w:div w:id="2111466276">
      <w:bodyDiv w:val="1"/>
      <w:marLeft w:val="0"/>
      <w:marRight w:val="0"/>
      <w:marTop w:val="0"/>
      <w:marBottom w:val="0"/>
      <w:divBdr>
        <w:top w:val="none" w:sz="0" w:space="0" w:color="auto"/>
        <w:left w:val="none" w:sz="0" w:space="0" w:color="auto"/>
        <w:bottom w:val="none" w:sz="0" w:space="0" w:color="auto"/>
        <w:right w:val="none" w:sz="0" w:space="0" w:color="auto"/>
      </w:divBdr>
    </w:div>
    <w:div w:id="2111467132">
      <w:bodyDiv w:val="1"/>
      <w:marLeft w:val="0"/>
      <w:marRight w:val="0"/>
      <w:marTop w:val="0"/>
      <w:marBottom w:val="0"/>
      <w:divBdr>
        <w:top w:val="none" w:sz="0" w:space="0" w:color="auto"/>
        <w:left w:val="none" w:sz="0" w:space="0" w:color="auto"/>
        <w:bottom w:val="none" w:sz="0" w:space="0" w:color="auto"/>
        <w:right w:val="none" w:sz="0" w:space="0" w:color="auto"/>
      </w:divBdr>
    </w:div>
    <w:div w:id="2112124102">
      <w:bodyDiv w:val="1"/>
      <w:marLeft w:val="0"/>
      <w:marRight w:val="0"/>
      <w:marTop w:val="0"/>
      <w:marBottom w:val="0"/>
      <w:divBdr>
        <w:top w:val="none" w:sz="0" w:space="0" w:color="auto"/>
        <w:left w:val="none" w:sz="0" w:space="0" w:color="auto"/>
        <w:bottom w:val="none" w:sz="0" w:space="0" w:color="auto"/>
        <w:right w:val="none" w:sz="0" w:space="0" w:color="auto"/>
      </w:divBdr>
    </w:div>
    <w:div w:id="2112161071">
      <w:bodyDiv w:val="1"/>
      <w:marLeft w:val="0"/>
      <w:marRight w:val="0"/>
      <w:marTop w:val="0"/>
      <w:marBottom w:val="0"/>
      <w:divBdr>
        <w:top w:val="none" w:sz="0" w:space="0" w:color="auto"/>
        <w:left w:val="none" w:sz="0" w:space="0" w:color="auto"/>
        <w:bottom w:val="none" w:sz="0" w:space="0" w:color="auto"/>
        <w:right w:val="none" w:sz="0" w:space="0" w:color="auto"/>
      </w:divBdr>
    </w:div>
    <w:div w:id="2112191265">
      <w:bodyDiv w:val="1"/>
      <w:marLeft w:val="0"/>
      <w:marRight w:val="0"/>
      <w:marTop w:val="0"/>
      <w:marBottom w:val="0"/>
      <w:divBdr>
        <w:top w:val="none" w:sz="0" w:space="0" w:color="auto"/>
        <w:left w:val="none" w:sz="0" w:space="0" w:color="auto"/>
        <w:bottom w:val="none" w:sz="0" w:space="0" w:color="auto"/>
        <w:right w:val="none" w:sz="0" w:space="0" w:color="auto"/>
      </w:divBdr>
    </w:div>
    <w:div w:id="2112356895">
      <w:bodyDiv w:val="1"/>
      <w:marLeft w:val="0"/>
      <w:marRight w:val="0"/>
      <w:marTop w:val="0"/>
      <w:marBottom w:val="0"/>
      <w:divBdr>
        <w:top w:val="none" w:sz="0" w:space="0" w:color="auto"/>
        <w:left w:val="none" w:sz="0" w:space="0" w:color="auto"/>
        <w:bottom w:val="none" w:sz="0" w:space="0" w:color="auto"/>
        <w:right w:val="none" w:sz="0" w:space="0" w:color="auto"/>
      </w:divBdr>
    </w:div>
    <w:div w:id="2112384846">
      <w:bodyDiv w:val="1"/>
      <w:marLeft w:val="0"/>
      <w:marRight w:val="0"/>
      <w:marTop w:val="0"/>
      <w:marBottom w:val="0"/>
      <w:divBdr>
        <w:top w:val="none" w:sz="0" w:space="0" w:color="auto"/>
        <w:left w:val="none" w:sz="0" w:space="0" w:color="auto"/>
        <w:bottom w:val="none" w:sz="0" w:space="0" w:color="auto"/>
        <w:right w:val="none" w:sz="0" w:space="0" w:color="auto"/>
      </w:divBdr>
    </w:div>
    <w:div w:id="2112427184">
      <w:bodyDiv w:val="1"/>
      <w:marLeft w:val="0"/>
      <w:marRight w:val="0"/>
      <w:marTop w:val="0"/>
      <w:marBottom w:val="0"/>
      <w:divBdr>
        <w:top w:val="none" w:sz="0" w:space="0" w:color="auto"/>
        <w:left w:val="none" w:sz="0" w:space="0" w:color="auto"/>
        <w:bottom w:val="none" w:sz="0" w:space="0" w:color="auto"/>
        <w:right w:val="none" w:sz="0" w:space="0" w:color="auto"/>
      </w:divBdr>
    </w:div>
    <w:div w:id="2112505654">
      <w:bodyDiv w:val="1"/>
      <w:marLeft w:val="0"/>
      <w:marRight w:val="0"/>
      <w:marTop w:val="0"/>
      <w:marBottom w:val="0"/>
      <w:divBdr>
        <w:top w:val="none" w:sz="0" w:space="0" w:color="auto"/>
        <w:left w:val="none" w:sz="0" w:space="0" w:color="auto"/>
        <w:bottom w:val="none" w:sz="0" w:space="0" w:color="auto"/>
        <w:right w:val="none" w:sz="0" w:space="0" w:color="auto"/>
      </w:divBdr>
    </w:div>
    <w:div w:id="2112507633">
      <w:bodyDiv w:val="1"/>
      <w:marLeft w:val="0"/>
      <w:marRight w:val="0"/>
      <w:marTop w:val="0"/>
      <w:marBottom w:val="0"/>
      <w:divBdr>
        <w:top w:val="none" w:sz="0" w:space="0" w:color="auto"/>
        <w:left w:val="none" w:sz="0" w:space="0" w:color="auto"/>
        <w:bottom w:val="none" w:sz="0" w:space="0" w:color="auto"/>
        <w:right w:val="none" w:sz="0" w:space="0" w:color="auto"/>
      </w:divBdr>
    </w:div>
    <w:div w:id="2112582591">
      <w:bodyDiv w:val="1"/>
      <w:marLeft w:val="0"/>
      <w:marRight w:val="0"/>
      <w:marTop w:val="0"/>
      <w:marBottom w:val="0"/>
      <w:divBdr>
        <w:top w:val="none" w:sz="0" w:space="0" w:color="auto"/>
        <w:left w:val="none" w:sz="0" w:space="0" w:color="auto"/>
        <w:bottom w:val="none" w:sz="0" w:space="0" w:color="auto"/>
        <w:right w:val="none" w:sz="0" w:space="0" w:color="auto"/>
      </w:divBdr>
    </w:div>
    <w:div w:id="2112623160">
      <w:bodyDiv w:val="1"/>
      <w:marLeft w:val="0"/>
      <w:marRight w:val="0"/>
      <w:marTop w:val="0"/>
      <w:marBottom w:val="0"/>
      <w:divBdr>
        <w:top w:val="none" w:sz="0" w:space="0" w:color="auto"/>
        <w:left w:val="none" w:sz="0" w:space="0" w:color="auto"/>
        <w:bottom w:val="none" w:sz="0" w:space="0" w:color="auto"/>
        <w:right w:val="none" w:sz="0" w:space="0" w:color="auto"/>
      </w:divBdr>
    </w:div>
    <w:div w:id="2112623310">
      <w:bodyDiv w:val="1"/>
      <w:marLeft w:val="0"/>
      <w:marRight w:val="0"/>
      <w:marTop w:val="0"/>
      <w:marBottom w:val="0"/>
      <w:divBdr>
        <w:top w:val="none" w:sz="0" w:space="0" w:color="auto"/>
        <w:left w:val="none" w:sz="0" w:space="0" w:color="auto"/>
        <w:bottom w:val="none" w:sz="0" w:space="0" w:color="auto"/>
        <w:right w:val="none" w:sz="0" w:space="0" w:color="auto"/>
      </w:divBdr>
    </w:div>
    <w:div w:id="2112625450">
      <w:bodyDiv w:val="1"/>
      <w:marLeft w:val="0"/>
      <w:marRight w:val="0"/>
      <w:marTop w:val="0"/>
      <w:marBottom w:val="0"/>
      <w:divBdr>
        <w:top w:val="none" w:sz="0" w:space="0" w:color="auto"/>
        <w:left w:val="none" w:sz="0" w:space="0" w:color="auto"/>
        <w:bottom w:val="none" w:sz="0" w:space="0" w:color="auto"/>
        <w:right w:val="none" w:sz="0" w:space="0" w:color="auto"/>
      </w:divBdr>
    </w:div>
    <w:div w:id="2112626225">
      <w:bodyDiv w:val="1"/>
      <w:marLeft w:val="0"/>
      <w:marRight w:val="0"/>
      <w:marTop w:val="0"/>
      <w:marBottom w:val="0"/>
      <w:divBdr>
        <w:top w:val="none" w:sz="0" w:space="0" w:color="auto"/>
        <w:left w:val="none" w:sz="0" w:space="0" w:color="auto"/>
        <w:bottom w:val="none" w:sz="0" w:space="0" w:color="auto"/>
        <w:right w:val="none" w:sz="0" w:space="0" w:color="auto"/>
      </w:divBdr>
    </w:div>
    <w:div w:id="2112628610">
      <w:bodyDiv w:val="1"/>
      <w:marLeft w:val="0"/>
      <w:marRight w:val="0"/>
      <w:marTop w:val="0"/>
      <w:marBottom w:val="0"/>
      <w:divBdr>
        <w:top w:val="none" w:sz="0" w:space="0" w:color="auto"/>
        <w:left w:val="none" w:sz="0" w:space="0" w:color="auto"/>
        <w:bottom w:val="none" w:sz="0" w:space="0" w:color="auto"/>
        <w:right w:val="none" w:sz="0" w:space="0" w:color="auto"/>
      </w:divBdr>
    </w:div>
    <w:div w:id="2112771709">
      <w:bodyDiv w:val="1"/>
      <w:marLeft w:val="0"/>
      <w:marRight w:val="0"/>
      <w:marTop w:val="0"/>
      <w:marBottom w:val="0"/>
      <w:divBdr>
        <w:top w:val="none" w:sz="0" w:space="0" w:color="auto"/>
        <w:left w:val="none" w:sz="0" w:space="0" w:color="auto"/>
        <w:bottom w:val="none" w:sz="0" w:space="0" w:color="auto"/>
        <w:right w:val="none" w:sz="0" w:space="0" w:color="auto"/>
      </w:divBdr>
    </w:div>
    <w:div w:id="2112966911">
      <w:bodyDiv w:val="1"/>
      <w:marLeft w:val="0"/>
      <w:marRight w:val="0"/>
      <w:marTop w:val="0"/>
      <w:marBottom w:val="0"/>
      <w:divBdr>
        <w:top w:val="none" w:sz="0" w:space="0" w:color="auto"/>
        <w:left w:val="none" w:sz="0" w:space="0" w:color="auto"/>
        <w:bottom w:val="none" w:sz="0" w:space="0" w:color="auto"/>
        <w:right w:val="none" w:sz="0" w:space="0" w:color="auto"/>
      </w:divBdr>
    </w:div>
    <w:div w:id="2112970337">
      <w:bodyDiv w:val="1"/>
      <w:marLeft w:val="0"/>
      <w:marRight w:val="0"/>
      <w:marTop w:val="0"/>
      <w:marBottom w:val="0"/>
      <w:divBdr>
        <w:top w:val="none" w:sz="0" w:space="0" w:color="auto"/>
        <w:left w:val="none" w:sz="0" w:space="0" w:color="auto"/>
        <w:bottom w:val="none" w:sz="0" w:space="0" w:color="auto"/>
        <w:right w:val="none" w:sz="0" w:space="0" w:color="auto"/>
      </w:divBdr>
    </w:div>
    <w:div w:id="2112973037">
      <w:bodyDiv w:val="1"/>
      <w:marLeft w:val="0"/>
      <w:marRight w:val="0"/>
      <w:marTop w:val="0"/>
      <w:marBottom w:val="0"/>
      <w:divBdr>
        <w:top w:val="none" w:sz="0" w:space="0" w:color="auto"/>
        <w:left w:val="none" w:sz="0" w:space="0" w:color="auto"/>
        <w:bottom w:val="none" w:sz="0" w:space="0" w:color="auto"/>
        <w:right w:val="none" w:sz="0" w:space="0" w:color="auto"/>
      </w:divBdr>
    </w:div>
    <w:div w:id="2113090765">
      <w:bodyDiv w:val="1"/>
      <w:marLeft w:val="0"/>
      <w:marRight w:val="0"/>
      <w:marTop w:val="0"/>
      <w:marBottom w:val="0"/>
      <w:divBdr>
        <w:top w:val="none" w:sz="0" w:space="0" w:color="auto"/>
        <w:left w:val="none" w:sz="0" w:space="0" w:color="auto"/>
        <w:bottom w:val="none" w:sz="0" w:space="0" w:color="auto"/>
        <w:right w:val="none" w:sz="0" w:space="0" w:color="auto"/>
      </w:divBdr>
    </w:div>
    <w:div w:id="2113167186">
      <w:bodyDiv w:val="1"/>
      <w:marLeft w:val="0"/>
      <w:marRight w:val="0"/>
      <w:marTop w:val="0"/>
      <w:marBottom w:val="0"/>
      <w:divBdr>
        <w:top w:val="none" w:sz="0" w:space="0" w:color="auto"/>
        <w:left w:val="none" w:sz="0" w:space="0" w:color="auto"/>
        <w:bottom w:val="none" w:sz="0" w:space="0" w:color="auto"/>
        <w:right w:val="none" w:sz="0" w:space="0" w:color="auto"/>
      </w:divBdr>
    </w:div>
    <w:div w:id="2113547660">
      <w:bodyDiv w:val="1"/>
      <w:marLeft w:val="0"/>
      <w:marRight w:val="0"/>
      <w:marTop w:val="0"/>
      <w:marBottom w:val="0"/>
      <w:divBdr>
        <w:top w:val="none" w:sz="0" w:space="0" w:color="auto"/>
        <w:left w:val="none" w:sz="0" w:space="0" w:color="auto"/>
        <w:bottom w:val="none" w:sz="0" w:space="0" w:color="auto"/>
        <w:right w:val="none" w:sz="0" w:space="0" w:color="auto"/>
      </w:divBdr>
    </w:div>
    <w:div w:id="2113625675">
      <w:bodyDiv w:val="1"/>
      <w:marLeft w:val="0"/>
      <w:marRight w:val="0"/>
      <w:marTop w:val="0"/>
      <w:marBottom w:val="0"/>
      <w:divBdr>
        <w:top w:val="none" w:sz="0" w:space="0" w:color="auto"/>
        <w:left w:val="none" w:sz="0" w:space="0" w:color="auto"/>
        <w:bottom w:val="none" w:sz="0" w:space="0" w:color="auto"/>
        <w:right w:val="none" w:sz="0" w:space="0" w:color="auto"/>
      </w:divBdr>
    </w:div>
    <w:div w:id="2113628842">
      <w:bodyDiv w:val="1"/>
      <w:marLeft w:val="0"/>
      <w:marRight w:val="0"/>
      <w:marTop w:val="0"/>
      <w:marBottom w:val="0"/>
      <w:divBdr>
        <w:top w:val="none" w:sz="0" w:space="0" w:color="auto"/>
        <w:left w:val="none" w:sz="0" w:space="0" w:color="auto"/>
        <w:bottom w:val="none" w:sz="0" w:space="0" w:color="auto"/>
        <w:right w:val="none" w:sz="0" w:space="0" w:color="auto"/>
      </w:divBdr>
    </w:div>
    <w:div w:id="2113670120">
      <w:bodyDiv w:val="1"/>
      <w:marLeft w:val="0"/>
      <w:marRight w:val="0"/>
      <w:marTop w:val="0"/>
      <w:marBottom w:val="0"/>
      <w:divBdr>
        <w:top w:val="none" w:sz="0" w:space="0" w:color="auto"/>
        <w:left w:val="none" w:sz="0" w:space="0" w:color="auto"/>
        <w:bottom w:val="none" w:sz="0" w:space="0" w:color="auto"/>
        <w:right w:val="none" w:sz="0" w:space="0" w:color="auto"/>
      </w:divBdr>
    </w:div>
    <w:div w:id="2113745340">
      <w:bodyDiv w:val="1"/>
      <w:marLeft w:val="0"/>
      <w:marRight w:val="0"/>
      <w:marTop w:val="0"/>
      <w:marBottom w:val="0"/>
      <w:divBdr>
        <w:top w:val="none" w:sz="0" w:space="0" w:color="auto"/>
        <w:left w:val="none" w:sz="0" w:space="0" w:color="auto"/>
        <w:bottom w:val="none" w:sz="0" w:space="0" w:color="auto"/>
        <w:right w:val="none" w:sz="0" w:space="0" w:color="auto"/>
      </w:divBdr>
    </w:div>
    <w:div w:id="2113817111">
      <w:bodyDiv w:val="1"/>
      <w:marLeft w:val="0"/>
      <w:marRight w:val="0"/>
      <w:marTop w:val="0"/>
      <w:marBottom w:val="0"/>
      <w:divBdr>
        <w:top w:val="none" w:sz="0" w:space="0" w:color="auto"/>
        <w:left w:val="none" w:sz="0" w:space="0" w:color="auto"/>
        <w:bottom w:val="none" w:sz="0" w:space="0" w:color="auto"/>
        <w:right w:val="none" w:sz="0" w:space="0" w:color="auto"/>
      </w:divBdr>
    </w:div>
    <w:div w:id="2113865418">
      <w:bodyDiv w:val="1"/>
      <w:marLeft w:val="0"/>
      <w:marRight w:val="0"/>
      <w:marTop w:val="0"/>
      <w:marBottom w:val="0"/>
      <w:divBdr>
        <w:top w:val="none" w:sz="0" w:space="0" w:color="auto"/>
        <w:left w:val="none" w:sz="0" w:space="0" w:color="auto"/>
        <w:bottom w:val="none" w:sz="0" w:space="0" w:color="auto"/>
        <w:right w:val="none" w:sz="0" w:space="0" w:color="auto"/>
      </w:divBdr>
    </w:div>
    <w:div w:id="2113931417">
      <w:bodyDiv w:val="1"/>
      <w:marLeft w:val="0"/>
      <w:marRight w:val="0"/>
      <w:marTop w:val="0"/>
      <w:marBottom w:val="0"/>
      <w:divBdr>
        <w:top w:val="none" w:sz="0" w:space="0" w:color="auto"/>
        <w:left w:val="none" w:sz="0" w:space="0" w:color="auto"/>
        <w:bottom w:val="none" w:sz="0" w:space="0" w:color="auto"/>
        <w:right w:val="none" w:sz="0" w:space="0" w:color="auto"/>
      </w:divBdr>
    </w:div>
    <w:div w:id="2114006711">
      <w:bodyDiv w:val="1"/>
      <w:marLeft w:val="0"/>
      <w:marRight w:val="0"/>
      <w:marTop w:val="0"/>
      <w:marBottom w:val="0"/>
      <w:divBdr>
        <w:top w:val="none" w:sz="0" w:space="0" w:color="auto"/>
        <w:left w:val="none" w:sz="0" w:space="0" w:color="auto"/>
        <w:bottom w:val="none" w:sz="0" w:space="0" w:color="auto"/>
        <w:right w:val="none" w:sz="0" w:space="0" w:color="auto"/>
      </w:divBdr>
    </w:div>
    <w:div w:id="2114007246">
      <w:bodyDiv w:val="1"/>
      <w:marLeft w:val="0"/>
      <w:marRight w:val="0"/>
      <w:marTop w:val="0"/>
      <w:marBottom w:val="0"/>
      <w:divBdr>
        <w:top w:val="none" w:sz="0" w:space="0" w:color="auto"/>
        <w:left w:val="none" w:sz="0" w:space="0" w:color="auto"/>
        <w:bottom w:val="none" w:sz="0" w:space="0" w:color="auto"/>
        <w:right w:val="none" w:sz="0" w:space="0" w:color="auto"/>
      </w:divBdr>
    </w:div>
    <w:div w:id="2114327022">
      <w:bodyDiv w:val="1"/>
      <w:marLeft w:val="0"/>
      <w:marRight w:val="0"/>
      <w:marTop w:val="0"/>
      <w:marBottom w:val="0"/>
      <w:divBdr>
        <w:top w:val="none" w:sz="0" w:space="0" w:color="auto"/>
        <w:left w:val="none" w:sz="0" w:space="0" w:color="auto"/>
        <w:bottom w:val="none" w:sz="0" w:space="0" w:color="auto"/>
        <w:right w:val="none" w:sz="0" w:space="0" w:color="auto"/>
      </w:divBdr>
    </w:div>
    <w:div w:id="2114472127">
      <w:bodyDiv w:val="1"/>
      <w:marLeft w:val="0"/>
      <w:marRight w:val="0"/>
      <w:marTop w:val="0"/>
      <w:marBottom w:val="0"/>
      <w:divBdr>
        <w:top w:val="none" w:sz="0" w:space="0" w:color="auto"/>
        <w:left w:val="none" w:sz="0" w:space="0" w:color="auto"/>
        <w:bottom w:val="none" w:sz="0" w:space="0" w:color="auto"/>
        <w:right w:val="none" w:sz="0" w:space="0" w:color="auto"/>
      </w:divBdr>
    </w:div>
    <w:div w:id="2114520031">
      <w:bodyDiv w:val="1"/>
      <w:marLeft w:val="0"/>
      <w:marRight w:val="0"/>
      <w:marTop w:val="0"/>
      <w:marBottom w:val="0"/>
      <w:divBdr>
        <w:top w:val="none" w:sz="0" w:space="0" w:color="auto"/>
        <w:left w:val="none" w:sz="0" w:space="0" w:color="auto"/>
        <w:bottom w:val="none" w:sz="0" w:space="0" w:color="auto"/>
        <w:right w:val="none" w:sz="0" w:space="0" w:color="auto"/>
      </w:divBdr>
    </w:div>
    <w:div w:id="2114593554">
      <w:bodyDiv w:val="1"/>
      <w:marLeft w:val="0"/>
      <w:marRight w:val="0"/>
      <w:marTop w:val="0"/>
      <w:marBottom w:val="0"/>
      <w:divBdr>
        <w:top w:val="none" w:sz="0" w:space="0" w:color="auto"/>
        <w:left w:val="none" w:sz="0" w:space="0" w:color="auto"/>
        <w:bottom w:val="none" w:sz="0" w:space="0" w:color="auto"/>
        <w:right w:val="none" w:sz="0" w:space="0" w:color="auto"/>
      </w:divBdr>
    </w:div>
    <w:div w:id="2114593829">
      <w:bodyDiv w:val="1"/>
      <w:marLeft w:val="0"/>
      <w:marRight w:val="0"/>
      <w:marTop w:val="0"/>
      <w:marBottom w:val="0"/>
      <w:divBdr>
        <w:top w:val="none" w:sz="0" w:space="0" w:color="auto"/>
        <w:left w:val="none" w:sz="0" w:space="0" w:color="auto"/>
        <w:bottom w:val="none" w:sz="0" w:space="0" w:color="auto"/>
        <w:right w:val="none" w:sz="0" w:space="0" w:color="auto"/>
      </w:divBdr>
    </w:div>
    <w:div w:id="2114666327">
      <w:bodyDiv w:val="1"/>
      <w:marLeft w:val="0"/>
      <w:marRight w:val="0"/>
      <w:marTop w:val="0"/>
      <w:marBottom w:val="0"/>
      <w:divBdr>
        <w:top w:val="none" w:sz="0" w:space="0" w:color="auto"/>
        <w:left w:val="none" w:sz="0" w:space="0" w:color="auto"/>
        <w:bottom w:val="none" w:sz="0" w:space="0" w:color="auto"/>
        <w:right w:val="none" w:sz="0" w:space="0" w:color="auto"/>
      </w:divBdr>
    </w:div>
    <w:div w:id="2114937932">
      <w:bodyDiv w:val="1"/>
      <w:marLeft w:val="0"/>
      <w:marRight w:val="0"/>
      <w:marTop w:val="0"/>
      <w:marBottom w:val="0"/>
      <w:divBdr>
        <w:top w:val="none" w:sz="0" w:space="0" w:color="auto"/>
        <w:left w:val="none" w:sz="0" w:space="0" w:color="auto"/>
        <w:bottom w:val="none" w:sz="0" w:space="0" w:color="auto"/>
        <w:right w:val="none" w:sz="0" w:space="0" w:color="auto"/>
      </w:divBdr>
    </w:div>
    <w:div w:id="2115007618">
      <w:bodyDiv w:val="1"/>
      <w:marLeft w:val="0"/>
      <w:marRight w:val="0"/>
      <w:marTop w:val="0"/>
      <w:marBottom w:val="0"/>
      <w:divBdr>
        <w:top w:val="none" w:sz="0" w:space="0" w:color="auto"/>
        <w:left w:val="none" w:sz="0" w:space="0" w:color="auto"/>
        <w:bottom w:val="none" w:sz="0" w:space="0" w:color="auto"/>
        <w:right w:val="none" w:sz="0" w:space="0" w:color="auto"/>
      </w:divBdr>
    </w:div>
    <w:div w:id="2115050073">
      <w:bodyDiv w:val="1"/>
      <w:marLeft w:val="0"/>
      <w:marRight w:val="0"/>
      <w:marTop w:val="0"/>
      <w:marBottom w:val="0"/>
      <w:divBdr>
        <w:top w:val="none" w:sz="0" w:space="0" w:color="auto"/>
        <w:left w:val="none" w:sz="0" w:space="0" w:color="auto"/>
        <w:bottom w:val="none" w:sz="0" w:space="0" w:color="auto"/>
        <w:right w:val="none" w:sz="0" w:space="0" w:color="auto"/>
      </w:divBdr>
    </w:div>
    <w:div w:id="2115132204">
      <w:bodyDiv w:val="1"/>
      <w:marLeft w:val="0"/>
      <w:marRight w:val="0"/>
      <w:marTop w:val="0"/>
      <w:marBottom w:val="0"/>
      <w:divBdr>
        <w:top w:val="none" w:sz="0" w:space="0" w:color="auto"/>
        <w:left w:val="none" w:sz="0" w:space="0" w:color="auto"/>
        <w:bottom w:val="none" w:sz="0" w:space="0" w:color="auto"/>
        <w:right w:val="none" w:sz="0" w:space="0" w:color="auto"/>
      </w:divBdr>
    </w:div>
    <w:div w:id="2115201960">
      <w:bodyDiv w:val="1"/>
      <w:marLeft w:val="0"/>
      <w:marRight w:val="0"/>
      <w:marTop w:val="0"/>
      <w:marBottom w:val="0"/>
      <w:divBdr>
        <w:top w:val="none" w:sz="0" w:space="0" w:color="auto"/>
        <w:left w:val="none" w:sz="0" w:space="0" w:color="auto"/>
        <w:bottom w:val="none" w:sz="0" w:space="0" w:color="auto"/>
        <w:right w:val="none" w:sz="0" w:space="0" w:color="auto"/>
      </w:divBdr>
    </w:div>
    <w:div w:id="2115401572">
      <w:bodyDiv w:val="1"/>
      <w:marLeft w:val="0"/>
      <w:marRight w:val="0"/>
      <w:marTop w:val="0"/>
      <w:marBottom w:val="0"/>
      <w:divBdr>
        <w:top w:val="none" w:sz="0" w:space="0" w:color="auto"/>
        <w:left w:val="none" w:sz="0" w:space="0" w:color="auto"/>
        <w:bottom w:val="none" w:sz="0" w:space="0" w:color="auto"/>
        <w:right w:val="none" w:sz="0" w:space="0" w:color="auto"/>
      </w:divBdr>
    </w:div>
    <w:div w:id="2115438970">
      <w:bodyDiv w:val="1"/>
      <w:marLeft w:val="0"/>
      <w:marRight w:val="0"/>
      <w:marTop w:val="0"/>
      <w:marBottom w:val="0"/>
      <w:divBdr>
        <w:top w:val="none" w:sz="0" w:space="0" w:color="auto"/>
        <w:left w:val="none" w:sz="0" w:space="0" w:color="auto"/>
        <w:bottom w:val="none" w:sz="0" w:space="0" w:color="auto"/>
        <w:right w:val="none" w:sz="0" w:space="0" w:color="auto"/>
      </w:divBdr>
    </w:div>
    <w:div w:id="2115443999">
      <w:bodyDiv w:val="1"/>
      <w:marLeft w:val="0"/>
      <w:marRight w:val="0"/>
      <w:marTop w:val="0"/>
      <w:marBottom w:val="0"/>
      <w:divBdr>
        <w:top w:val="none" w:sz="0" w:space="0" w:color="auto"/>
        <w:left w:val="none" w:sz="0" w:space="0" w:color="auto"/>
        <w:bottom w:val="none" w:sz="0" w:space="0" w:color="auto"/>
        <w:right w:val="none" w:sz="0" w:space="0" w:color="auto"/>
      </w:divBdr>
    </w:div>
    <w:div w:id="2115511416">
      <w:bodyDiv w:val="1"/>
      <w:marLeft w:val="0"/>
      <w:marRight w:val="0"/>
      <w:marTop w:val="0"/>
      <w:marBottom w:val="0"/>
      <w:divBdr>
        <w:top w:val="none" w:sz="0" w:space="0" w:color="auto"/>
        <w:left w:val="none" w:sz="0" w:space="0" w:color="auto"/>
        <w:bottom w:val="none" w:sz="0" w:space="0" w:color="auto"/>
        <w:right w:val="none" w:sz="0" w:space="0" w:color="auto"/>
      </w:divBdr>
    </w:div>
    <w:div w:id="2115662055">
      <w:bodyDiv w:val="1"/>
      <w:marLeft w:val="0"/>
      <w:marRight w:val="0"/>
      <w:marTop w:val="0"/>
      <w:marBottom w:val="0"/>
      <w:divBdr>
        <w:top w:val="none" w:sz="0" w:space="0" w:color="auto"/>
        <w:left w:val="none" w:sz="0" w:space="0" w:color="auto"/>
        <w:bottom w:val="none" w:sz="0" w:space="0" w:color="auto"/>
        <w:right w:val="none" w:sz="0" w:space="0" w:color="auto"/>
      </w:divBdr>
    </w:div>
    <w:div w:id="2115712279">
      <w:bodyDiv w:val="1"/>
      <w:marLeft w:val="0"/>
      <w:marRight w:val="0"/>
      <w:marTop w:val="0"/>
      <w:marBottom w:val="0"/>
      <w:divBdr>
        <w:top w:val="none" w:sz="0" w:space="0" w:color="auto"/>
        <w:left w:val="none" w:sz="0" w:space="0" w:color="auto"/>
        <w:bottom w:val="none" w:sz="0" w:space="0" w:color="auto"/>
        <w:right w:val="none" w:sz="0" w:space="0" w:color="auto"/>
      </w:divBdr>
    </w:div>
    <w:div w:id="2115712471">
      <w:bodyDiv w:val="1"/>
      <w:marLeft w:val="0"/>
      <w:marRight w:val="0"/>
      <w:marTop w:val="0"/>
      <w:marBottom w:val="0"/>
      <w:divBdr>
        <w:top w:val="none" w:sz="0" w:space="0" w:color="auto"/>
        <w:left w:val="none" w:sz="0" w:space="0" w:color="auto"/>
        <w:bottom w:val="none" w:sz="0" w:space="0" w:color="auto"/>
        <w:right w:val="none" w:sz="0" w:space="0" w:color="auto"/>
      </w:divBdr>
    </w:div>
    <w:div w:id="2115785899">
      <w:bodyDiv w:val="1"/>
      <w:marLeft w:val="0"/>
      <w:marRight w:val="0"/>
      <w:marTop w:val="0"/>
      <w:marBottom w:val="0"/>
      <w:divBdr>
        <w:top w:val="none" w:sz="0" w:space="0" w:color="auto"/>
        <w:left w:val="none" w:sz="0" w:space="0" w:color="auto"/>
        <w:bottom w:val="none" w:sz="0" w:space="0" w:color="auto"/>
        <w:right w:val="none" w:sz="0" w:space="0" w:color="auto"/>
      </w:divBdr>
    </w:div>
    <w:div w:id="2115901425">
      <w:bodyDiv w:val="1"/>
      <w:marLeft w:val="0"/>
      <w:marRight w:val="0"/>
      <w:marTop w:val="0"/>
      <w:marBottom w:val="0"/>
      <w:divBdr>
        <w:top w:val="none" w:sz="0" w:space="0" w:color="auto"/>
        <w:left w:val="none" w:sz="0" w:space="0" w:color="auto"/>
        <w:bottom w:val="none" w:sz="0" w:space="0" w:color="auto"/>
        <w:right w:val="none" w:sz="0" w:space="0" w:color="auto"/>
      </w:divBdr>
    </w:div>
    <w:div w:id="2115905895">
      <w:bodyDiv w:val="1"/>
      <w:marLeft w:val="0"/>
      <w:marRight w:val="0"/>
      <w:marTop w:val="0"/>
      <w:marBottom w:val="0"/>
      <w:divBdr>
        <w:top w:val="none" w:sz="0" w:space="0" w:color="auto"/>
        <w:left w:val="none" w:sz="0" w:space="0" w:color="auto"/>
        <w:bottom w:val="none" w:sz="0" w:space="0" w:color="auto"/>
        <w:right w:val="none" w:sz="0" w:space="0" w:color="auto"/>
      </w:divBdr>
    </w:div>
    <w:div w:id="2116170119">
      <w:bodyDiv w:val="1"/>
      <w:marLeft w:val="0"/>
      <w:marRight w:val="0"/>
      <w:marTop w:val="0"/>
      <w:marBottom w:val="0"/>
      <w:divBdr>
        <w:top w:val="none" w:sz="0" w:space="0" w:color="auto"/>
        <w:left w:val="none" w:sz="0" w:space="0" w:color="auto"/>
        <w:bottom w:val="none" w:sz="0" w:space="0" w:color="auto"/>
        <w:right w:val="none" w:sz="0" w:space="0" w:color="auto"/>
      </w:divBdr>
    </w:div>
    <w:div w:id="2116241107">
      <w:bodyDiv w:val="1"/>
      <w:marLeft w:val="0"/>
      <w:marRight w:val="0"/>
      <w:marTop w:val="0"/>
      <w:marBottom w:val="0"/>
      <w:divBdr>
        <w:top w:val="none" w:sz="0" w:space="0" w:color="auto"/>
        <w:left w:val="none" w:sz="0" w:space="0" w:color="auto"/>
        <w:bottom w:val="none" w:sz="0" w:space="0" w:color="auto"/>
        <w:right w:val="none" w:sz="0" w:space="0" w:color="auto"/>
      </w:divBdr>
    </w:div>
    <w:div w:id="2116364532">
      <w:bodyDiv w:val="1"/>
      <w:marLeft w:val="0"/>
      <w:marRight w:val="0"/>
      <w:marTop w:val="0"/>
      <w:marBottom w:val="0"/>
      <w:divBdr>
        <w:top w:val="none" w:sz="0" w:space="0" w:color="auto"/>
        <w:left w:val="none" w:sz="0" w:space="0" w:color="auto"/>
        <w:bottom w:val="none" w:sz="0" w:space="0" w:color="auto"/>
        <w:right w:val="none" w:sz="0" w:space="0" w:color="auto"/>
      </w:divBdr>
    </w:div>
    <w:div w:id="2116435884">
      <w:bodyDiv w:val="1"/>
      <w:marLeft w:val="0"/>
      <w:marRight w:val="0"/>
      <w:marTop w:val="0"/>
      <w:marBottom w:val="0"/>
      <w:divBdr>
        <w:top w:val="none" w:sz="0" w:space="0" w:color="auto"/>
        <w:left w:val="none" w:sz="0" w:space="0" w:color="auto"/>
        <w:bottom w:val="none" w:sz="0" w:space="0" w:color="auto"/>
        <w:right w:val="none" w:sz="0" w:space="0" w:color="auto"/>
      </w:divBdr>
    </w:div>
    <w:div w:id="2116513453">
      <w:bodyDiv w:val="1"/>
      <w:marLeft w:val="0"/>
      <w:marRight w:val="0"/>
      <w:marTop w:val="0"/>
      <w:marBottom w:val="0"/>
      <w:divBdr>
        <w:top w:val="none" w:sz="0" w:space="0" w:color="auto"/>
        <w:left w:val="none" w:sz="0" w:space="0" w:color="auto"/>
        <w:bottom w:val="none" w:sz="0" w:space="0" w:color="auto"/>
        <w:right w:val="none" w:sz="0" w:space="0" w:color="auto"/>
      </w:divBdr>
    </w:div>
    <w:div w:id="2116517053">
      <w:bodyDiv w:val="1"/>
      <w:marLeft w:val="0"/>
      <w:marRight w:val="0"/>
      <w:marTop w:val="0"/>
      <w:marBottom w:val="0"/>
      <w:divBdr>
        <w:top w:val="none" w:sz="0" w:space="0" w:color="auto"/>
        <w:left w:val="none" w:sz="0" w:space="0" w:color="auto"/>
        <w:bottom w:val="none" w:sz="0" w:space="0" w:color="auto"/>
        <w:right w:val="none" w:sz="0" w:space="0" w:color="auto"/>
      </w:divBdr>
    </w:div>
    <w:div w:id="2116517277">
      <w:bodyDiv w:val="1"/>
      <w:marLeft w:val="0"/>
      <w:marRight w:val="0"/>
      <w:marTop w:val="0"/>
      <w:marBottom w:val="0"/>
      <w:divBdr>
        <w:top w:val="none" w:sz="0" w:space="0" w:color="auto"/>
        <w:left w:val="none" w:sz="0" w:space="0" w:color="auto"/>
        <w:bottom w:val="none" w:sz="0" w:space="0" w:color="auto"/>
        <w:right w:val="none" w:sz="0" w:space="0" w:color="auto"/>
      </w:divBdr>
    </w:div>
    <w:div w:id="2116552691">
      <w:bodyDiv w:val="1"/>
      <w:marLeft w:val="0"/>
      <w:marRight w:val="0"/>
      <w:marTop w:val="0"/>
      <w:marBottom w:val="0"/>
      <w:divBdr>
        <w:top w:val="none" w:sz="0" w:space="0" w:color="auto"/>
        <w:left w:val="none" w:sz="0" w:space="0" w:color="auto"/>
        <w:bottom w:val="none" w:sz="0" w:space="0" w:color="auto"/>
        <w:right w:val="none" w:sz="0" w:space="0" w:color="auto"/>
      </w:divBdr>
    </w:div>
    <w:div w:id="2116557758">
      <w:bodyDiv w:val="1"/>
      <w:marLeft w:val="0"/>
      <w:marRight w:val="0"/>
      <w:marTop w:val="0"/>
      <w:marBottom w:val="0"/>
      <w:divBdr>
        <w:top w:val="none" w:sz="0" w:space="0" w:color="auto"/>
        <w:left w:val="none" w:sz="0" w:space="0" w:color="auto"/>
        <w:bottom w:val="none" w:sz="0" w:space="0" w:color="auto"/>
        <w:right w:val="none" w:sz="0" w:space="0" w:color="auto"/>
      </w:divBdr>
    </w:div>
    <w:div w:id="2116779332">
      <w:bodyDiv w:val="1"/>
      <w:marLeft w:val="0"/>
      <w:marRight w:val="0"/>
      <w:marTop w:val="0"/>
      <w:marBottom w:val="0"/>
      <w:divBdr>
        <w:top w:val="none" w:sz="0" w:space="0" w:color="auto"/>
        <w:left w:val="none" w:sz="0" w:space="0" w:color="auto"/>
        <w:bottom w:val="none" w:sz="0" w:space="0" w:color="auto"/>
        <w:right w:val="none" w:sz="0" w:space="0" w:color="auto"/>
      </w:divBdr>
    </w:div>
    <w:div w:id="2116820981">
      <w:bodyDiv w:val="1"/>
      <w:marLeft w:val="0"/>
      <w:marRight w:val="0"/>
      <w:marTop w:val="0"/>
      <w:marBottom w:val="0"/>
      <w:divBdr>
        <w:top w:val="none" w:sz="0" w:space="0" w:color="auto"/>
        <w:left w:val="none" w:sz="0" w:space="0" w:color="auto"/>
        <w:bottom w:val="none" w:sz="0" w:space="0" w:color="auto"/>
        <w:right w:val="none" w:sz="0" w:space="0" w:color="auto"/>
      </w:divBdr>
    </w:div>
    <w:div w:id="2116830264">
      <w:bodyDiv w:val="1"/>
      <w:marLeft w:val="0"/>
      <w:marRight w:val="0"/>
      <w:marTop w:val="0"/>
      <w:marBottom w:val="0"/>
      <w:divBdr>
        <w:top w:val="none" w:sz="0" w:space="0" w:color="auto"/>
        <w:left w:val="none" w:sz="0" w:space="0" w:color="auto"/>
        <w:bottom w:val="none" w:sz="0" w:space="0" w:color="auto"/>
        <w:right w:val="none" w:sz="0" w:space="0" w:color="auto"/>
      </w:divBdr>
    </w:div>
    <w:div w:id="2116899378">
      <w:bodyDiv w:val="1"/>
      <w:marLeft w:val="0"/>
      <w:marRight w:val="0"/>
      <w:marTop w:val="0"/>
      <w:marBottom w:val="0"/>
      <w:divBdr>
        <w:top w:val="none" w:sz="0" w:space="0" w:color="auto"/>
        <w:left w:val="none" w:sz="0" w:space="0" w:color="auto"/>
        <w:bottom w:val="none" w:sz="0" w:space="0" w:color="auto"/>
        <w:right w:val="none" w:sz="0" w:space="0" w:color="auto"/>
      </w:divBdr>
    </w:div>
    <w:div w:id="2116899811">
      <w:bodyDiv w:val="1"/>
      <w:marLeft w:val="0"/>
      <w:marRight w:val="0"/>
      <w:marTop w:val="0"/>
      <w:marBottom w:val="0"/>
      <w:divBdr>
        <w:top w:val="none" w:sz="0" w:space="0" w:color="auto"/>
        <w:left w:val="none" w:sz="0" w:space="0" w:color="auto"/>
        <w:bottom w:val="none" w:sz="0" w:space="0" w:color="auto"/>
        <w:right w:val="none" w:sz="0" w:space="0" w:color="auto"/>
      </w:divBdr>
    </w:div>
    <w:div w:id="2117017060">
      <w:bodyDiv w:val="1"/>
      <w:marLeft w:val="0"/>
      <w:marRight w:val="0"/>
      <w:marTop w:val="0"/>
      <w:marBottom w:val="0"/>
      <w:divBdr>
        <w:top w:val="none" w:sz="0" w:space="0" w:color="auto"/>
        <w:left w:val="none" w:sz="0" w:space="0" w:color="auto"/>
        <w:bottom w:val="none" w:sz="0" w:space="0" w:color="auto"/>
        <w:right w:val="none" w:sz="0" w:space="0" w:color="auto"/>
      </w:divBdr>
    </w:div>
    <w:div w:id="2117022622">
      <w:bodyDiv w:val="1"/>
      <w:marLeft w:val="0"/>
      <w:marRight w:val="0"/>
      <w:marTop w:val="0"/>
      <w:marBottom w:val="0"/>
      <w:divBdr>
        <w:top w:val="none" w:sz="0" w:space="0" w:color="auto"/>
        <w:left w:val="none" w:sz="0" w:space="0" w:color="auto"/>
        <w:bottom w:val="none" w:sz="0" w:space="0" w:color="auto"/>
        <w:right w:val="none" w:sz="0" w:space="0" w:color="auto"/>
      </w:divBdr>
    </w:div>
    <w:div w:id="2117097154">
      <w:bodyDiv w:val="1"/>
      <w:marLeft w:val="0"/>
      <w:marRight w:val="0"/>
      <w:marTop w:val="0"/>
      <w:marBottom w:val="0"/>
      <w:divBdr>
        <w:top w:val="none" w:sz="0" w:space="0" w:color="auto"/>
        <w:left w:val="none" w:sz="0" w:space="0" w:color="auto"/>
        <w:bottom w:val="none" w:sz="0" w:space="0" w:color="auto"/>
        <w:right w:val="none" w:sz="0" w:space="0" w:color="auto"/>
      </w:divBdr>
    </w:div>
    <w:div w:id="2117213482">
      <w:bodyDiv w:val="1"/>
      <w:marLeft w:val="0"/>
      <w:marRight w:val="0"/>
      <w:marTop w:val="0"/>
      <w:marBottom w:val="0"/>
      <w:divBdr>
        <w:top w:val="none" w:sz="0" w:space="0" w:color="auto"/>
        <w:left w:val="none" w:sz="0" w:space="0" w:color="auto"/>
        <w:bottom w:val="none" w:sz="0" w:space="0" w:color="auto"/>
        <w:right w:val="none" w:sz="0" w:space="0" w:color="auto"/>
      </w:divBdr>
    </w:div>
    <w:div w:id="2117292286">
      <w:bodyDiv w:val="1"/>
      <w:marLeft w:val="0"/>
      <w:marRight w:val="0"/>
      <w:marTop w:val="0"/>
      <w:marBottom w:val="0"/>
      <w:divBdr>
        <w:top w:val="none" w:sz="0" w:space="0" w:color="auto"/>
        <w:left w:val="none" w:sz="0" w:space="0" w:color="auto"/>
        <w:bottom w:val="none" w:sz="0" w:space="0" w:color="auto"/>
        <w:right w:val="none" w:sz="0" w:space="0" w:color="auto"/>
      </w:divBdr>
    </w:div>
    <w:div w:id="2117363696">
      <w:bodyDiv w:val="1"/>
      <w:marLeft w:val="0"/>
      <w:marRight w:val="0"/>
      <w:marTop w:val="0"/>
      <w:marBottom w:val="0"/>
      <w:divBdr>
        <w:top w:val="none" w:sz="0" w:space="0" w:color="auto"/>
        <w:left w:val="none" w:sz="0" w:space="0" w:color="auto"/>
        <w:bottom w:val="none" w:sz="0" w:space="0" w:color="auto"/>
        <w:right w:val="none" w:sz="0" w:space="0" w:color="auto"/>
      </w:divBdr>
    </w:div>
    <w:div w:id="2117405501">
      <w:bodyDiv w:val="1"/>
      <w:marLeft w:val="0"/>
      <w:marRight w:val="0"/>
      <w:marTop w:val="0"/>
      <w:marBottom w:val="0"/>
      <w:divBdr>
        <w:top w:val="none" w:sz="0" w:space="0" w:color="auto"/>
        <w:left w:val="none" w:sz="0" w:space="0" w:color="auto"/>
        <w:bottom w:val="none" w:sz="0" w:space="0" w:color="auto"/>
        <w:right w:val="none" w:sz="0" w:space="0" w:color="auto"/>
      </w:divBdr>
    </w:div>
    <w:div w:id="2117481111">
      <w:bodyDiv w:val="1"/>
      <w:marLeft w:val="0"/>
      <w:marRight w:val="0"/>
      <w:marTop w:val="0"/>
      <w:marBottom w:val="0"/>
      <w:divBdr>
        <w:top w:val="none" w:sz="0" w:space="0" w:color="auto"/>
        <w:left w:val="none" w:sz="0" w:space="0" w:color="auto"/>
        <w:bottom w:val="none" w:sz="0" w:space="0" w:color="auto"/>
        <w:right w:val="none" w:sz="0" w:space="0" w:color="auto"/>
      </w:divBdr>
    </w:div>
    <w:div w:id="2117671207">
      <w:bodyDiv w:val="1"/>
      <w:marLeft w:val="0"/>
      <w:marRight w:val="0"/>
      <w:marTop w:val="0"/>
      <w:marBottom w:val="0"/>
      <w:divBdr>
        <w:top w:val="none" w:sz="0" w:space="0" w:color="auto"/>
        <w:left w:val="none" w:sz="0" w:space="0" w:color="auto"/>
        <w:bottom w:val="none" w:sz="0" w:space="0" w:color="auto"/>
        <w:right w:val="none" w:sz="0" w:space="0" w:color="auto"/>
      </w:divBdr>
    </w:div>
    <w:div w:id="2117676298">
      <w:bodyDiv w:val="1"/>
      <w:marLeft w:val="0"/>
      <w:marRight w:val="0"/>
      <w:marTop w:val="0"/>
      <w:marBottom w:val="0"/>
      <w:divBdr>
        <w:top w:val="none" w:sz="0" w:space="0" w:color="auto"/>
        <w:left w:val="none" w:sz="0" w:space="0" w:color="auto"/>
        <w:bottom w:val="none" w:sz="0" w:space="0" w:color="auto"/>
        <w:right w:val="none" w:sz="0" w:space="0" w:color="auto"/>
      </w:divBdr>
    </w:div>
    <w:div w:id="2117752549">
      <w:bodyDiv w:val="1"/>
      <w:marLeft w:val="0"/>
      <w:marRight w:val="0"/>
      <w:marTop w:val="0"/>
      <w:marBottom w:val="0"/>
      <w:divBdr>
        <w:top w:val="none" w:sz="0" w:space="0" w:color="auto"/>
        <w:left w:val="none" w:sz="0" w:space="0" w:color="auto"/>
        <w:bottom w:val="none" w:sz="0" w:space="0" w:color="auto"/>
        <w:right w:val="none" w:sz="0" w:space="0" w:color="auto"/>
      </w:divBdr>
    </w:div>
    <w:div w:id="2117943443">
      <w:bodyDiv w:val="1"/>
      <w:marLeft w:val="0"/>
      <w:marRight w:val="0"/>
      <w:marTop w:val="0"/>
      <w:marBottom w:val="0"/>
      <w:divBdr>
        <w:top w:val="none" w:sz="0" w:space="0" w:color="auto"/>
        <w:left w:val="none" w:sz="0" w:space="0" w:color="auto"/>
        <w:bottom w:val="none" w:sz="0" w:space="0" w:color="auto"/>
        <w:right w:val="none" w:sz="0" w:space="0" w:color="auto"/>
      </w:divBdr>
    </w:div>
    <w:div w:id="2118018683">
      <w:bodyDiv w:val="1"/>
      <w:marLeft w:val="0"/>
      <w:marRight w:val="0"/>
      <w:marTop w:val="0"/>
      <w:marBottom w:val="0"/>
      <w:divBdr>
        <w:top w:val="none" w:sz="0" w:space="0" w:color="auto"/>
        <w:left w:val="none" w:sz="0" w:space="0" w:color="auto"/>
        <w:bottom w:val="none" w:sz="0" w:space="0" w:color="auto"/>
        <w:right w:val="none" w:sz="0" w:space="0" w:color="auto"/>
      </w:divBdr>
    </w:div>
    <w:div w:id="2118061231">
      <w:bodyDiv w:val="1"/>
      <w:marLeft w:val="0"/>
      <w:marRight w:val="0"/>
      <w:marTop w:val="0"/>
      <w:marBottom w:val="0"/>
      <w:divBdr>
        <w:top w:val="none" w:sz="0" w:space="0" w:color="auto"/>
        <w:left w:val="none" w:sz="0" w:space="0" w:color="auto"/>
        <w:bottom w:val="none" w:sz="0" w:space="0" w:color="auto"/>
        <w:right w:val="none" w:sz="0" w:space="0" w:color="auto"/>
      </w:divBdr>
    </w:div>
    <w:div w:id="2118216280">
      <w:bodyDiv w:val="1"/>
      <w:marLeft w:val="0"/>
      <w:marRight w:val="0"/>
      <w:marTop w:val="0"/>
      <w:marBottom w:val="0"/>
      <w:divBdr>
        <w:top w:val="none" w:sz="0" w:space="0" w:color="auto"/>
        <w:left w:val="none" w:sz="0" w:space="0" w:color="auto"/>
        <w:bottom w:val="none" w:sz="0" w:space="0" w:color="auto"/>
        <w:right w:val="none" w:sz="0" w:space="0" w:color="auto"/>
      </w:divBdr>
    </w:div>
    <w:div w:id="2118258786">
      <w:bodyDiv w:val="1"/>
      <w:marLeft w:val="0"/>
      <w:marRight w:val="0"/>
      <w:marTop w:val="0"/>
      <w:marBottom w:val="0"/>
      <w:divBdr>
        <w:top w:val="none" w:sz="0" w:space="0" w:color="auto"/>
        <w:left w:val="none" w:sz="0" w:space="0" w:color="auto"/>
        <w:bottom w:val="none" w:sz="0" w:space="0" w:color="auto"/>
        <w:right w:val="none" w:sz="0" w:space="0" w:color="auto"/>
      </w:divBdr>
    </w:div>
    <w:div w:id="2118324736">
      <w:bodyDiv w:val="1"/>
      <w:marLeft w:val="0"/>
      <w:marRight w:val="0"/>
      <w:marTop w:val="0"/>
      <w:marBottom w:val="0"/>
      <w:divBdr>
        <w:top w:val="none" w:sz="0" w:space="0" w:color="auto"/>
        <w:left w:val="none" w:sz="0" w:space="0" w:color="auto"/>
        <w:bottom w:val="none" w:sz="0" w:space="0" w:color="auto"/>
        <w:right w:val="none" w:sz="0" w:space="0" w:color="auto"/>
      </w:divBdr>
    </w:div>
    <w:div w:id="2118332401">
      <w:bodyDiv w:val="1"/>
      <w:marLeft w:val="0"/>
      <w:marRight w:val="0"/>
      <w:marTop w:val="0"/>
      <w:marBottom w:val="0"/>
      <w:divBdr>
        <w:top w:val="none" w:sz="0" w:space="0" w:color="auto"/>
        <w:left w:val="none" w:sz="0" w:space="0" w:color="auto"/>
        <w:bottom w:val="none" w:sz="0" w:space="0" w:color="auto"/>
        <w:right w:val="none" w:sz="0" w:space="0" w:color="auto"/>
      </w:divBdr>
    </w:div>
    <w:div w:id="2118405725">
      <w:bodyDiv w:val="1"/>
      <w:marLeft w:val="0"/>
      <w:marRight w:val="0"/>
      <w:marTop w:val="0"/>
      <w:marBottom w:val="0"/>
      <w:divBdr>
        <w:top w:val="none" w:sz="0" w:space="0" w:color="auto"/>
        <w:left w:val="none" w:sz="0" w:space="0" w:color="auto"/>
        <w:bottom w:val="none" w:sz="0" w:space="0" w:color="auto"/>
        <w:right w:val="none" w:sz="0" w:space="0" w:color="auto"/>
      </w:divBdr>
    </w:div>
    <w:div w:id="2118479981">
      <w:bodyDiv w:val="1"/>
      <w:marLeft w:val="0"/>
      <w:marRight w:val="0"/>
      <w:marTop w:val="0"/>
      <w:marBottom w:val="0"/>
      <w:divBdr>
        <w:top w:val="none" w:sz="0" w:space="0" w:color="auto"/>
        <w:left w:val="none" w:sz="0" w:space="0" w:color="auto"/>
        <w:bottom w:val="none" w:sz="0" w:space="0" w:color="auto"/>
        <w:right w:val="none" w:sz="0" w:space="0" w:color="auto"/>
      </w:divBdr>
    </w:div>
    <w:div w:id="2118598305">
      <w:bodyDiv w:val="1"/>
      <w:marLeft w:val="0"/>
      <w:marRight w:val="0"/>
      <w:marTop w:val="0"/>
      <w:marBottom w:val="0"/>
      <w:divBdr>
        <w:top w:val="none" w:sz="0" w:space="0" w:color="auto"/>
        <w:left w:val="none" w:sz="0" w:space="0" w:color="auto"/>
        <w:bottom w:val="none" w:sz="0" w:space="0" w:color="auto"/>
        <w:right w:val="none" w:sz="0" w:space="0" w:color="auto"/>
      </w:divBdr>
    </w:div>
    <w:div w:id="2118600420">
      <w:bodyDiv w:val="1"/>
      <w:marLeft w:val="0"/>
      <w:marRight w:val="0"/>
      <w:marTop w:val="0"/>
      <w:marBottom w:val="0"/>
      <w:divBdr>
        <w:top w:val="none" w:sz="0" w:space="0" w:color="auto"/>
        <w:left w:val="none" w:sz="0" w:space="0" w:color="auto"/>
        <w:bottom w:val="none" w:sz="0" w:space="0" w:color="auto"/>
        <w:right w:val="none" w:sz="0" w:space="0" w:color="auto"/>
      </w:divBdr>
    </w:div>
    <w:div w:id="2118674660">
      <w:bodyDiv w:val="1"/>
      <w:marLeft w:val="0"/>
      <w:marRight w:val="0"/>
      <w:marTop w:val="0"/>
      <w:marBottom w:val="0"/>
      <w:divBdr>
        <w:top w:val="none" w:sz="0" w:space="0" w:color="auto"/>
        <w:left w:val="none" w:sz="0" w:space="0" w:color="auto"/>
        <w:bottom w:val="none" w:sz="0" w:space="0" w:color="auto"/>
        <w:right w:val="none" w:sz="0" w:space="0" w:color="auto"/>
      </w:divBdr>
    </w:div>
    <w:div w:id="2118720361">
      <w:bodyDiv w:val="1"/>
      <w:marLeft w:val="0"/>
      <w:marRight w:val="0"/>
      <w:marTop w:val="0"/>
      <w:marBottom w:val="0"/>
      <w:divBdr>
        <w:top w:val="none" w:sz="0" w:space="0" w:color="auto"/>
        <w:left w:val="none" w:sz="0" w:space="0" w:color="auto"/>
        <w:bottom w:val="none" w:sz="0" w:space="0" w:color="auto"/>
        <w:right w:val="none" w:sz="0" w:space="0" w:color="auto"/>
      </w:divBdr>
    </w:div>
    <w:div w:id="2118864358">
      <w:bodyDiv w:val="1"/>
      <w:marLeft w:val="0"/>
      <w:marRight w:val="0"/>
      <w:marTop w:val="0"/>
      <w:marBottom w:val="0"/>
      <w:divBdr>
        <w:top w:val="none" w:sz="0" w:space="0" w:color="auto"/>
        <w:left w:val="none" w:sz="0" w:space="0" w:color="auto"/>
        <w:bottom w:val="none" w:sz="0" w:space="0" w:color="auto"/>
        <w:right w:val="none" w:sz="0" w:space="0" w:color="auto"/>
      </w:divBdr>
    </w:div>
    <w:div w:id="2118986578">
      <w:bodyDiv w:val="1"/>
      <w:marLeft w:val="0"/>
      <w:marRight w:val="0"/>
      <w:marTop w:val="0"/>
      <w:marBottom w:val="0"/>
      <w:divBdr>
        <w:top w:val="none" w:sz="0" w:space="0" w:color="auto"/>
        <w:left w:val="none" w:sz="0" w:space="0" w:color="auto"/>
        <w:bottom w:val="none" w:sz="0" w:space="0" w:color="auto"/>
        <w:right w:val="none" w:sz="0" w:space="0" w:color="auto"/>
      </w:divBdr>
    </w:div>
    <w:div w:id="2119137993">
      <w:bodyDiv w:val="1"/>
      <w:marLeft w:val="0"/>
      <w:marRight w:val="0"/>
      <w:marTop w:val="0"/>
      <w:marBottom w:val="0"/>
      <w:divBdr>
        <w:top w:val="none" w:sz="0" w:space="0" w:color="auto"/>
        <w:left w:val="none" w:sz="0" w:space="0" w:color="auto"/>
        <w:bottom w:val="none" w:sz="0" w:space="0" w:color="auto"/>
        <w:right w:val="none" w:sz="0" w:space="0" w:color="auto"/>
      </w:divBdr>
    </w:div>
    <w:div w:id="2119173975">
      <w:bodyDiv w:val="1"/>
      <w:marLeft w:val="0"/>
      <w:marRight w:val="0"/>
      <w:marTop w:val="0"/>
      <w:marBottom w:val="0"/>
      <w:divBdr>
        <w:top w:val="none" w:sz="0" w:space="0" w:color="auto"/>
        <w:left w:val="none" w:sz="0" w:space="0" w:color="auto"/>
        <w:bottom w:val="none" w:sz="0" w:space="0" w:color="auto"/>
        <w:right w:val="none" w:sz="0" w:space="0" w:color="auto"/>
      </w:divBdr>
    </w:div>
    <w:div w:id="2119177481">
      <w:bodyDiv w:val="1"/>
      <w:marLeft w:val="0"/>
      <w:marRight w:val="0"/>
      <w:marTop w:val="0"/>
      <w:marBottom w:val="0"/>
      <w:divBdr>
        <w:top w:val="none" w:sz="0" w:space="0" w:color="auto"/>
        <w:left w:val="none" w:sz="0" w:space="0" w:color="auto"/>
        <w:bottom w:val="none" w:sz="0" w:space="0" w:color="auto"/>
        <w:right w:val="none" w:sz="0" w:space="0" w:color="auto"/>
      </w:divBdr>
    </w:div>
    <w:div w:id="2119327091">
      <w:bodyDiv w:val="1"/>
      <w:marLeft w:val="0"/>
      <w:marRight w:val="0"/>
      <w:marTop w:val="0"/>
      <w:marBottom w:val="0"/>
      <w:divBdr>
        <w:top w:val="none" w:sz="0" w:space="0" w:color="auto"/>
        <w:left w:val="none" w:sz="0" w:space="0" w:color="auto"/>
        <w:bottom w:val="none" w:sz="0" w:space="0" w:color="auto"/>
        <w:right w:val="none" w:sz="0" w:space="0" w:color="auto"/>
      </w:divBdr>
    </w:div>
    <w:div w:id="2119373802">
      <w:bodyDiv w:val="1"/>
      <w:marLeft w:val="0"/>
      <w:marRight w:val="0"/>
      <w:marTop w:val="0"/>
      <w:marBottom w:val="0"/>
      <w:divBdr>
        <w:top w:val="none" w:sz="0" w:space="0" w:color="auto"/>
        <w:left w:val="none" w:sz="0" w:space="0" w:color="auto"/>
        <w:bottom w:val="none" w:sz="0" w:space="0" w:color="auto"/>
        <w:right w:val="none" w:sz="0" w:space="0" w:color="auto"/>
      </w:divBdr>
    </w:div>
    <w:div w:id="2119449829">
      <w:bodyDiv w:val="1"/>
      <w:marLeft w:val="0"/>
      <w:marRight w:val="0"/>
      <w:marTop w:val="0"/>
      <w:marBottom w:val="0"/>
      <w:divBdr>
        <w:top w:val="none" w:sz="0" w:space="0" w:color="auto"/>
        <w:left w:val="none" w:sz="0" w:space="0" w:color="auto"/>
        <w:bottom w:val="none" w:sz="0" w:space="0" w:color="auto"/>
        <w:right w:val="none" w:sz="0" w:space="0" w:color="auto"/>
      </w:divBdr>
    </w:div>
    <w:div w:id="2119524175">
      <w:bodyDiv w:val="1"/>
      <w:marLeft w:val="0"/>
      <w:marRight w:val="0"/>
      <w:marTop w:val="0"/>
      <w:marBottom w:val="0"/>
      <w:divBdr>
        <w:top w:val="none" w:sz="0" w:space="0" w:color="auto"/>
        <w:left w:val="none" w:sz="0" w:space="0" w:color="auto"/>
        <w:bottom w:val="none" w:sz="0" w:space="0" w:color="auto"/>
        <w:right w:val="none" w:sz="0" w:space="0" w:color="auto"/>
      </w:divBdr>
    </w:div>
    <w:div w:id="2119525391">
      <w:bodyDiv w:val="1"/>
      <w:marLeft w:val="0"/>
      <w:marRight w:val="0"/>
      <w:marTop w:val="0"/>
      <w:marBottom w:val="0"/>
      <w:divBdr>
        <w:top w:val="none" w:sz="0" w:space="0" w:color="auto"/>
        <w:left w:val="none" w:sz="0" w:space="0" w:color="auto"/>
        <w:bottom w:val="none" w:sz="0" w:space="0" w:color="auto"/>
        <w:right w:val="none" w:sz="0" w:space="0" w:color="auto"/>
      </w:divBdr>
    </w:div>
    <w:div w:id="2119636762">
      <w:bodyDiv w:val="1"/>
      <w:marLeft w:val="0"/>
      <w:marRight w:val="0"/>
      <w:marTop w:val="0"/>
      <w:marBottom w:val="0"/>
      <w:divBdr>
        <w:top w:val="none" w:sz="0" w:space="0" w:color="auto"/>
        <w:left w:val="none" w:sz="0" w:space="0" w:color="auto"/>
        <w:bottom w:val="none" w:sz="0" w:space="0" w:color="auto"/>
        <w:right w:val="none" w:sz="0" w:space="0" w:color="auto"/>
      </w:divBdr>
    </w:div>
    <w:div w:id="2119712799">
      <w:bodyDiv w:val="1"/>
      <w:marLeft w:val="0"/>
      <w:marRight w:val="0"/>
      <w:marTop w:val="0"/>
      <w:marBottom w:val="0"/>
      <w:divBdr>
        <w:top w:val="none" w:sz="0" w:space="0" w:color="auto"/>
        <w:left w:val="none" w:sz="0" w:space="0" w:color="auto"/>
        <w:bottom w:val="none" w:sz="0" w:space="0" w:color="auto"/>
        <w:right w:val="none" w:sz="0" w:space="0" w:color="auto"/>
      </w:divBdr>
    </w:div>
    <w:div w:id="2119913460">
      <w:bodyDiv w:val="1"/>
      <w:marLeft w:val="0"/>
      <w:marRight w:val="0"/>
      <w:marTop w:val="0"/>
      <w:marBottom w:val="0"/>
      <w:divBdr>
        <w:top w:val="none" w:sz="0" w:space="0" w:color="auto"/>
        <w:left w:val="none" w:sz="0" w:space="0" w:color="auto"/>
        <w:bottom w:val="none" w:sz="0" w:space="0" w:color="auto"/>
        <w:right w:val="none" w:sz="0" w:space="0" w:color="auto"/>
      </w:divBdr>
    </w:div>
    <w:div w:id="2120106860">
      <w:bodyDiv w:val="1"/>
      <w:marLeft w:val="0"/>
      <w:marRight w:val="0"/>
      <w:marTop w:val="0"/>
      <w:marBottom w:val="0"/>
      <w:divBdr>
        <w:top w:val="none" w:sz="0" w:space="0" w:color="auto"/>
        <w:left w:val="none" w:sz="0" w:space="0" w:color="auto"/>
        <w:bottom w:val="none" w:sz="0" w:space="0" w:color="auto"/>
        <w:right w:val="none" w:sz="0" w:space="0" w:color="auto"/>
      </w:divBdr>
    </w:div>
    <w:div w:id="2120176363">
      <w:bodyDiv w:val="1"/>
      <w:marLeft w:val="0"/>
      <w:marRight w:val="0"/>
      <w:marTop w:val="0"/>
      <w:marBottom w:val="0"/>
      <w:divBdr>
        <w:top w:val="none" w:sz="0" w:space="0" w:color="auto"/>
        <w:left w:val="none" w:sz="0" w:space="0" w:color="auto"/>
        <w:bottom w:val="none" w:sz="0" w:space="0" w:color="auto"/>
        <w:right w:val="none" w:sz="0" w:space="0" w:color="auto"/>
      </w:divBdr>
    </w:div>
    <w:div w:id="2120181518">
      <w:bodyDiv w:val="1"/>
      <w:marLeft w:val="0"/>
      <w:marRight w:val="0"/>
      <w:marTop w:val="0"/>
      <w:marBottom w:val="0"/>
      <w:divBdr>
        <w:top w:val="none" w:sz="0" w:space="0" w:color="auto"/>
        <w:left w:val="none" w:sz="0" w:space="0" w:color="auto"/>
        <w:bottom w:val="none" w:sz="0" w:space="0" w:color="auto"/>
        <w:right w:val="none" w:sz="0" w:space="0" w:color="auto"/>
      </w:divBdr>
    </w:div>
    <w:div w:id="2120181764">
      <w:bodyDiv w:val="1"/>
      <w:marLeft w:val="0"/>
      <w:marRight w:val="0"/>
      <w:marTop w:val="0"/>
      <w:marBottom w:val="0"/>
      <w:divBdr>
        <w:top w:val="none" w:sz="0" w:space="0" w:color="auto"/>
        <w:left w:val="none" w:sz="0" w:space="0" w:color="auto"/>
        <w:bottom w:val="none" w:sz="0" w:space="0" w:color="auto"/>
        <w:right w:val="none" w:sz="0" w:space="0" w:color="auto"/>
      </w:divBdr>
    </w:div>
    <w:div w:id="2120222118">
      <w:bodyDiv w:val="1"/>
      <w:marLeft w:val="0"/>
      <w:marRight w:val="0"/>
      <w:marTop w:val="0"/>
      <w:marBottom w:val="0"/>
      <w:divBdr>
        <w:top w:val="none" w:sz="0" w:space="0" w:color="auto"/>
        <w:left w:val="none" w:sz="0" w:space="0" w:color="auto"/>
        <w:bottom w:val="none" w:sz="0" w:space="0" w:color="auto"/>
        <w:right w:val="none" w:sz="0" w:space="0" w:color="auto"/>
      </w:divBdr>
    </w:div>
    <w:div w:id="2120291457">
      <w:bodyDiv w:val="1"/>
      <w:marLeft w:val="0"/>
      <w:marRight w:val="0"/>
      <w:marTop w:val="0"/>
      <w:marBottom w:val="0"/>
      <w:divBdr>
        <w:top w:val="none" w:sz="0" w:space="0" w:color="auto"/>
        <w:left w:val="none" w:sz="0" w:space="0" w:color="auto"/>
        <w:bottom w:val="none" w:sz="0" w:space="0" w:color="auto"/>
        <w:right w:val="none" w:sz="0" w:space="0" w:color="auto"/>
      </w:divBdr>
    </w:div>
    <w:div w:id="2120299234">
      <w:bodyDiv w:val="1"/>
      <w:marLeft w:val="0"/>
      <w:marRight w:val="0"/>
      <w:marTop w:val="0"/>
      <w:marBottom w:val="0"/>
      <w:divBdr>
        <w:top w:val="none" w:sz="0" w:space="0" w:color="auto"/>
        <w:left w:val="none" w:sz="0" w:space="0" w:color="auto"/>
        <w:bottom w:val="none" w:sz="0" w:space="0" w:color="auto"/>
        <w:right w:val="none" w:sz="0" w:space="0" w:color="auto"/>
      </w:divBdr>
    </w:div>
    <w:div w:id="2120367447">
      <w:bodyDiv w:val="1"/>
      <w:marLeft w:val="0"/>
      <w:marRight w:val="0"/>
      <w:marTop w:val="0"/>
      <w:marBottom w:val="0"/>
      <w:divBdr>
        <w:top w:val="none" w:sz="0" w:space="0" w:color="auto"/>
        <w:left w:val="none" w:sz="0" w:space="0" w:color="auto"/>
        <w:bottom w:val="none" w:sz="0" w:space="0" w:color="auto"/>
        <w:right w:val="none" w:sz="0" w:space="0" w:color="auto"/>
      </w:divBdr>
    </w:div>
    <w:div w:id="2120372866">
      <w:bodyDiv w:val="1"/>
      <w:marLeft w:val="0"/>
      <w:marRight w:val="0"/>
      <w:marTop w:val="0"/>
      <w:marBottom w:val="0"/>
      <w:divBdr>
        <w:top w:val="none" w:sz="0" w:space="0" w:color="auto"/>
        <w:left w:val="none" w:sz="0" w:space="0" w:color="auto"/>
        <w:bottom w:val="none" w:sz="0" w:space="0" w:color="auto"/>
        <w:right w:val="none" w:sz="0" w:space="0" w:color="auto"/>
      </w:divBdr>
    </w:div>
    <w:div w:id="2120488350">
      <w:bodyDiv w:val="1"/>
      <w:marLeft w:val="0"/>
      <w:marRight w:val="0"/>
      <w:marTop w:val="0"/>
      <w:marBottom w:val="0"/>
      <w:divBdr>
        <w:top w:val="none" w:sz="0" w:space="0" w:color="auto"/>
        <w:left w:val="none" w:sz="0" w:space="0" w:color="auto"/>
        <w:bottom w:val="none" w:sz="0" w:space="0" w:color="auto"/>
        <w:right w:val="none" w:sz="0" w:space="0" w:color="auto"/>
      </w:divBdr>
    </w:div>
    <w:div w:id="2120634830">
      <w:bodyDiv w:val="1"/>
      <w:marLeft w:val="0"/>
      <w:marRight w:val="0"/>
      <w:marTop w:val="0"/>
      <w:marBottom w:val="0"/>
      <w:divBdr>
        <w:top w:val="none" w:sz="0" w:space="0" w:color="auto"/>
        <w:left w:val="none" w:sz="0" w:space="0" w:color="auto"/>
        <w:bottom w:val="none" w:sz="0" w:space="0" w:color="auto"/>
        <w:right w:val="none" w:sz="0" w:space="0" w:color="auto"/>
      </w:divBdr>
    </w:div>
    <w:div w:id="2120752394">
      <w:bodyDiv w:val="1"/>
      <w:marLeft w:val="0"/>
      <w:marRight w:val="0"/>
      <w:marTop w:val="0"/>
      <w:marBottom w:val="0"/>
      <w:divBdr>
        <w:top w:val="none" w:sz="0" w:space="0" w:color="auto"/>
        <w:left w:val="none" w:sz="0" w:space="0" w:color="auto"/>
        <w:bottom w:val="none" w:sz="0" w:space="0" w:color="auto"/>
        <w:right w:val="none" w:sz="0" w:space="0" w:color="auto"/>
      </w:divBdr>
    </w:div>
    <w:div w:id="2120832539">
      <w:bodyDiv w:val="1"/>
      <w:marLeft w:val="0"/>
      <w:marRight w:val="0"/>
      <w:marTop w:val="0"/>
      <w:marBottom w:val="0"/>
      <w:divBdr>
        <w:top w:val="none" w:sz="0" w:space="0" w:color="auto"/>
        <w:left w:val="none" w:sz="0" w:space="0" w:color="auto"/>
        <w:bottom w:val="none" w:sz="0" w:space="0" w:color="auto"/>
        <w:right w:val="none" w:sz="0" w:space="0" w:color="auto"/>
      </w:divBdr>
    </w:div>
    <w:div w:id="2120836161">
      <w:bodyDiv w:val="1"/>
      <w:marLeft w:val="0"/>
      <w:marRight w:val="0"/>
      <w:marTop w:val="0"/>
      <w:marBottom w:val="0"/>
      <w:divBdr>
        <w:top w:val="none" w:sz="0" w:space="0" w:color="auto"/>
        <w:left w:val="none" w:sz="0" w:space="0" w:color="auto"/>
        <w:bottom w:val="none" w:sz="0" w:space="0" w:color="auto"/>
        <w:right w:val="none" w:sz="0" w:space="0" w:color="auto"/>
      </w:divBdr>
    </w:div>
    <w:div w:id="2121028156">
      <w:bodyDiv w:val="1"/>
      <w:marLeft w:val="0"/>
      <w:marRight w:val="0"/>
      <w:marTop w:val="0"/>
      <w:marBottom w:val="0"/>
      <w:divBdr>
        <w:top w:val="none" w:sz="0" w:space="0" w:color="auto"/>
        <w:left w:val="none" w:sz="0" w:space="0" w:color="auto"/>
        <w:bottom w:val="none" w:sz="0" w:space="0" w:color="auto"/>
        <w:right w:val="none" w:sz="0" w:space="0" w:color="auto"/>
      </w:divBdr>
    </w:div>
    <w:div w:id="2121098388">
      <w:bodyDiv w:val="1"/>
      <w:marLeft w:val="0"/>
      <w:marRight w:val="0"/>
      <w:marTop w:val="0"/>
      <w:marBottom w:val="0"/>
      <w:divBdr>
        <w:top w:val="none" w:sz="0" w:space="0" w:color="auto"/>
        <w:left w:val="none" w:sz="0" w:space="0" w:color="auto"/>
        <w:bottom w:val="none" w:sz="0" w:space="0" w:color="auto"/>
        <w:right w:val="none" w:sz="0" w:space="0" w:color="auto"/>
      </w:divBdr>
    </w:div>
    <w:div w:id="2121139202">
      <w:bodyDiv w:val="1"/>
      <w:marLeft w:val="0"/>
      <w:marRight w:val="0"/>
      <w:marTop w:val="0"/>
      <w:marBottom w:val="0"/>
      <w:divBdr>
        <w:top w:val="none" w:sz="0" w:space="0" w:color="auto"/>
        <w:left w:val="none" w:sz="0" w:space="0" w:color="auto"/>
        <w:bottom w:val="none" w:sz="0" w:space="0" w:color="auto"/>
        <w:right w:val="none" w:sz="0" w:space="0" w:color="auto"/>
      </w:divBdr>
    </w:div>
    <w:div w:id="2121219648">
      <w:bodyDiv w:val="1"/>
      <w:marLeft w:val="0"/>
      <w:marRight w:val="0"/>
      <w:marTop w:val="0"/>
      <w:marBottom w:val="0"/>
      <w:divBdr>
        <w:top w:val="none" w:sz="0" w:space="0" w:color="auto"/>
        <w:left w:val="none" w:sz="0" w:space="0" w:color="auto"/>
        <w:bottom w:val="none" w:sz="0" w:space="0" w:color="auto"/>
        <w:right w:val="none" w:sz="0" w:space="0" w:color="auto"/>
      </w:divBdr>
    </w:div>
    <w:div w:id="2121289904">
      <w:bodyDiv w:val="1"/>
      <w:marLeft w:val="0"/>
      <w:marRight w:val="0"/>
      <w:marTop w:val="0"/>
      <w:marBottom w:val="0"/>
      <w:divBdr>
        <w:top w:val="none" w:sz="0" w:space="0" w:color="auto"/>
        <w:left w:val="none" w:sz="0" w:space="0" w:color="auto"/>
        <w:bottom w:val="none" w:sz="0" w:space="0" w:color="auto"/>
        <w:right w:val="none" w:sz="0" w:space="0" w:color="auto"/>
      </w:divBdr>
    </w:div>
    <w:div w:id="2121294507">
      <w:bodyDiv w:val="1"/>
      <w:marLeft w:val="0"/>
      <w:marRight w:val="0"/>
      <w:marTop w:val="0"/>
      <w:marBottom w:val="0"/>
      <w:divBdr>
        <w:top w:val="none" w:sz="0" w:space="0" w:color="auto"/>
        <w:left w:val="none" w:sz="0" w:space="0" w:color="auto"/>
        <w:bottom w:val="none" w:sz="0" w:space="0" w:color="auto"/>
        <w:right w:val="none" w:sz="0" w:space="0" w:color="auto"/>
      </w:divBdr>
    </w:div>
    <w:div w:id="2121483261">
      <w:bodyDiv w:val="1"/>
      <w:marLeft w:val="0"/>
      <w:marRight w:val="0"/>
      <w:marTop w:val="0"/>
      <w:marBottom w:val="0"/>
      <w:divBdr>
        <w:top w:val="none" w:sz="0" w:space="0" w:color="auto"/>
        <w:left w:val="none" w:sz="0" w:space="0" w:color="auto"/>
        <w:bottom w:val="none" w:sz="0" w:space="0" w:color="auto"/>
        <w:right w:val="none" w:sz="0" w:space="0" w:color="auto"/>
      </w:divBdr>
    </w:div>
    <w:div w:id="2121488107">
      <w:bodyDiv w:val="1"/>
      <w:marLeft w:val="0"/>
      <w:marRight w:val="0"/>
      <w:marTop w:val="0"/>
      <w:marBottom w:val="0"/>
      <w:divBdr>
        <w:top w:val="none" w:sz="0" w:space="0" w:color="auto"/>
        <w:left w:val="none" w:sz="0" w:space="0" w:color="auto"/>
        <w:bottom w:val="none" w:sz="0" w:space="0" w:color="auto"/>
        <w:right w:val="none" w:sz="0" w:space="0" w:color="auto"/>
      </w:divBdr>
    </w:div>
    <w:div w:id="2121490957">
      <w:bodyDiv w:val="1"/>
      <w:marLeft w:val="0"/>
      <w:marRight w:val="0"/>
      <w:marTop w:val="0"/>
      <w:marBottom w:val="0"/>
      <w:divBdr>
        <w:top w:val="none" w:sz="0" w:space="0" w:color="auto"/>
        <w:left w:val="none" w:sz="0" w:space="0" w:color="auto"/>
        <w:bottom w:val="none" w:sz="0" w:space="0" w:color="auto"/>
        <w:right w:val="none" w:sz="0" w:space="0" w:color="auto"/>
      </w:divBdr>
    </w:div>
    <w:div w:id="2121605460">
      <w:bodyDiv w:val="1"/>
      <w:marLeft w:val="0"/>
      <w:marRight w:val="0"/>
      <w:marTop w:val="0"/>
      <w:marBottom w:val="0"/>
      <w:divBdr>
        <w:top w:val="none" w:sz="0" w:space="0" w:color="auto"/>
        <w:left w:val="none" w:sz="0" w:space="0" w:color="auto"/>
        <w:bottom w:val="none" w:sz="0" w:space="0" w:color="auto"/>
        <w:right w:val="none" w:sz="0" w:space="0" w:color="auto"/>
      </w:divBdr>
    </w:div>
    <w:div w:id="2121608765">
      <w:bodyDiv w:val="1"/>
      <w:marLeft w:val="0"/>
      <w:marRight w:val="0"/>
      <w:marTop w:val="0"/>
      <w:marBottom w:val="0"/>
      <w:divBdr>
        <w:top w:val="none" w:sz="0" w:space="0" w:color="auto"/>
        <w:left w:val="none" w:sz="0" w:space="0" w:color="auto"/>
        <w:bottom w:val="none" w:sz="0" w:space="0" w:color="auto"/>
        <w:right w:val="none" w:sz="0" w:space="0" w:color="auto"/>
      </w:divBdr>
    </w:div>
    <w:div w:id="2121728452">
      <w:bodyDiv w:val="1"/>
      <w:marLeft w:val="0"/>
      <w:marRight w:val="0"/>
      <w:marTop w:val="0"/>
      <w:marBottom w:val="0"/>
      <w:divBdr>
        <w:top w:val="none" w:sz="0" w:space="0" w:color="auto"/>
        <w:left w:val="none" w:sz="0" w:space="0" w:color="auto"/>
        <w:bottom w:val="none" w:sz="0" w:space="0" w:color="auto"/>
        <w:right w:val="none" w:sz="0" w:space="0" w:color="auto"/>
      </w:divBdr>
    </w:div>
    <w:div w:id="2121795560">
      <w:bodyDiv w:val="1"/>
      <w:marLeft w:val="0"/>
      <w:marRight w:val="0"/>
      <w:marTop w:val="0"/>
      <w:marBottom w:val="0"/>
      <w:divBdr>
        <w:top w:val="none" w:sz="0" w:space="0" w:color="auto"/>
        <w:left w:val="none" w:sz="0" w:space="0" w:color="auto"/>
        <w:bottom w:val="none" w:sz="0" w:space="0" w:color="auto"/>
        <w:right w:val="none" w:sz="0" w:space="0" w:color="auto"/>
      </w:divBdr>
    </w:div>
    <w:div w:id="2121800855">
      <w:bodyDiv w:val="1"/>
      <w:marLeft w:val="0"/>
      <w:marRight w:val="0"/>
      <w:marTop w:val="0"/>
      <w:marBottom w:val="0"/>
      <w:divBdr>
        <w:top w:val="none" w:sz="0" w:space="0" w:color="auto"/>
        <w:left w:val="none" w:sz="0" w:space="0" w:color="auto"/>
        <w:bottom w:val="none" w:sz="0" w:space="0" w:color="auto"/>
        <w:right w:val="none" w:sz="0" w:space="0" w:color="auto"/>
      </w:divBdr>
    </w:div>
    <w:div w:id="2121801821">
      <w:bodyDiv w:val="1"/>
      <w:marLeft w:val="0"/>
      <w:marRight w:val="0"/>
      <w:marTop w:val="0"/>
      <w:marBottom w:val="0"/>
      <w:divBdr>
        <w:top w:val="none" w:sz="0" w:space="0" w:color="auto"/>
        <w:left w:val="none" w:sz="0" w:space="0" w:color="auto"/>
        <w:bottom w:val="none" w:sz="0" w:space="0" w:color="auto"/>
        <w:right w:val="none" w:sz="0" w:space="0" w:color="auto"/>
      </w:divBdr>
    </w:div>
    <w:div w:id="2121874444">
      <w:bodyDiv w:val="1"/>
      <w:marLeft w:val="0"/>
      <w:marRight w:val="0"/>
      <w:marTop w:val="0"/>
      <w:marBottom w:val="0"/>
      <w:divBdr>
        <w:top w:val="none" w:sz="0" w:space="0" w:color="auto"/>
        <w:left w:val="none" w:sz="0" w:space="0" w:color="auto"/>
        <w:bottom w:val="none" w:sz="0" w:space="0" w:color="auto"/>
        <w:right w:val="none" w:sz="0" w:space="0" w:color="auto"/>
      </w:divBdr>
    </w:div>
    <w:div w:id="2121947294">
      <w:bodyDiv w:val="1"/>
      <w:marLeft w:val="0"/>
      <w:marRight w:val="0"/>
      <w:marTop w:val="0"/>
      <w:marBottom w:val="0"/>
      <w:divBdr>
        <w:top w:val="none" w:sz="0" w:space="0" w:color="auto"/>
        <w:left w:val="none" w:sz="0" w:space="0" w:color="auto"/>
        <w:bottom w:val="none" w:sz="0" w:space="0" w:color="auto"/>
        <w:right w:val="none" w:sz="0" w:space="0" w:color="auto"/>
      </w:divBdr>
    </w:div>
    <w:div w:id="2121948728">
      <w:bodyDiv w:val="1"/>
      <w:marLeft w:val="0"/>
      <w:marRight w:val="0"/>
      <w:marTop w:val="0"/>
      <w:marBottom w:val="0"/>
      <w:divBdr>
        <w:top w:val="none" w:sz="0" w:space="0" w:color="auto"/>
        <w:left w:val="none" w:sz="0" w:space="0" w:color="auto"/>
        <w:bottom w:val="none" w:sz="0" w:space="0" w:color="auto"/>
        <w:right w:val="none" w:sz="0" w:space="0" w:color="auto"/>
      </w:divBdr>
    </w:div>
    <w:div w:id="2122066891">
      <w:bodyDiv w:val="1"/>
      <w:marLeft w:val="0"/>
      <w:marRight w:val="0"/>
      <w:marTop w:val="0"/>
      <w:marBottom w:val="0"/>
      <w:divBdr>
        <w:top w:val="none" w:sz="0" w:space="0" w:color="auto"/>
        <w:left w:val="none" w:sz="0" w:space="0" w:color="auto"/>
        <w:bottom w:val="none" w:sz="0" w:space="0" w:color="auto"/>
        <w:right w:val="none" w:sz="0" w:space="0" w:color="auto"/>
      </w:divBdr>
    </w:div>
    <w:div w:id="2122069058">
      <w:bodyDiv w:val="1"/>
      <w:marLeft w:val="0"/>
      <w:marRight w:val="0"/>
      <w:marTop w:val="0"/>
      <w:marBottom w:val="0"/>
      <w:divBdr>
        <w:top w:val="none" w:sz="0" w:space="0" w:color="auto"/>
        <w:left w:val="none" w:sz="0" w:space="0" w:color="auto"/>
        <w:bottom w:val="none" w:sz="0" w:space="0" w:color="auto"/>
        <w:right w:val="none" w:sz="0" w:space="0" w:color="auto"/>
      </w:divBdr>
    </w:div>
    <w:div w:id="2122145579">
      <w:bodyDiv w:val="1"/>
      <w:marLeft w:val="0"/>
      <w:marRight w:val="0"/>
      <w:marTop w:val="0"/>
      <w:marBottom w:val="0"/>
      <w:divBdr>
        <w:top w:val="none" w:sz="0" w:space="0" w:color="auto"/>
        <w:left w:val="none" w:sz="0" w:space="0" w:color="auto"/>
        <w:bottom w:val="none" w:sz="0" w:space="0" w:color="auto"/>
        <w:right w:val="none" w:sz="0" w:space="0" w:color="auto"/>
      </w:divBdr>
    </w:div>
    <w:div w:id="2122331926">
      <w:bodyDiv w:val="1"/>
      <w:marLeft w:val="0"/>
      <w:marRight w:val="0"/>
      <w:marTop w:val="0"/>
      <w:marBottom w:val="0"/>
      <w:divBdr>
        <w:top w:val="none" w:sz="0" w:space="0" w:color="auto"/>
        <w:left w:val="none" w:sz="0" w:space="0" w:color="auto"/>
        <w:bottom w:val="none" w:sz="0" w:space="0" w:color="auto"/>
        <w:right w:val="none" w:sz="0" w:space="0" w:color="auto"/>
      </w:divBdr>
    </w:div>
    <w:div w:id="2122332663">
      <w:bodyDiv w:val="1"/>
      <w:marLeft w:val="0"/>
      <w:marRight w:val="0"/>
      <w:marTop w:val="0"/>
      <w:marBottom w:val="0"/>
      <w:divBdr>
        <w:top w:val="none" w:sz="0" w:space="0" w:color="auto"/>
        <w:left w:val="none" w:sz="0" w:space="0" w:color="auto"/>
        <w:bottom w:val="none" w:sz="0" w:space="0" w:color="auto"/>
        <w:right w:val="none" w:sz="0" w:space="0" w:color="auto"/>
      </w:divBdr>
    </w:div>
    <w:div w:id="2122334085">
      <w:bodyDiv w:val="1"/>
      <w:marLeft w:val="0"/>
      <w:marRight w:val="0"/>
      <w:marTop w:val="0"/>
      <w:marBottom w:val="0"/>
      <w:divBdr>
        <w:top w:val="none" w:sz="0" w:space="0" w:color="auto"/>
        <w:left w:val="none" w:sz="0" w:space="0" w:color="auto"/>
        <w:bottom w:val="none" w:sz="0" w:space="0" w:color="auto"/>
        <w:right w:val="none" w:sz="0" w:space="0" w:color="auto"/>
      </w:divBdr>
    </w:div>
    <w:div w:id="2122407728">
      <w:bodyDiv w:val="1"/>
      <w:marLeft w:val="0"/>
      <w:marRight w:val="0"/>
      <w:marTop w:val="0"/>
      <w:marBottom w:val="0"/>
      <w:divBdr>
        <w:top w:val="none" w:sz="0" w:space="0" w:color="auto"/>
        <w:left w:val="none" w:sz="0" w:space="0" w:color="auto"/>
        <w:bottom w:val="none" w:sz="0" w:space="0" w:color="auto"/>
        <w:right w:val="none" w:sz="0" w:space="0" w:color="auto"/>
      </w:divBdr>
    </w:div>
    <w:div w:id="2122410482">
      <w:bodyDiv w:val="1"/>
      <w:marLeft w:val="0"/>
      <w:marRight w:val="0"/>
      <w:marTop w:val="0"/>
      <w:marBottom w:val="0"/>
      <w:divBdr>
        <w:top w:val="none" w:sz="0" w:space="0" w:color="auto"/>
        <w:left w:val="none" w:sz="0" w:space="0" w:color="auto"/>
        <w:bottom w:val="none" w:sz="0" w:space="0" w:color="auto"/>
        <w:right w:val="none" w:sz="0" w:space="0" w:color="auto"/>
      </w:divBdr>
    </w:div>
    <w:div w:id="2122526132">
      <w:bodyDiv w:val="1"/>
      <w:marLeft w:val="0"/>
      <w:marRight w:val="0"/>
      <w:marTop w:val="0"/>
      <w:marBottom w:val="0"/>
      <w:divBdr>
        <w:top w:val="none" w:sz="0" w:space="0" w:color="auto"/>
        <w:left w:val="none" w:sz="0" w:space="0" w:color="auto"/>
        <w:bottom w:val="none" w:sz="0" w:space="0" w:color="auto"/>
        <w:right w:val="none" w:sz="0" w:space="0" w:color="auto"/>
      </w:divBdr>
    </w:div>
    <w:div w:id="2122645755">
      <w:bodyDiv w:val="1"/>
      <w:marLeft w:val="0"/>
      <w:marRight w:val="0"/>
      <w:marTop w:val="0"/>
      <w:marBottom w:val="0"/>
      <w:divBdr>
        <w:top w:val="none" w:sz="0" w:space="0" w:color="auto"/>
        <w:left w:val="none" w:sz="0" w:space="0" w:color="auto"/>
        <w:bottom w:val="none" w:sz="0" w:space="0" w:color="auto"/>
        <w:right w:val="none" w:sz="0" w:space="0" w:color="auto"/>
      </w:divBdr>
    </w:div>
    <w:div w:id="2122648138">
      <w:bodyDiv w:val="1"/>
      <w:marLeft w:val="0"/>
      <w:marRight w:val="0"/>
      <w:marTop w:val="0"/>
      <w:marBottom w:val="0"/>
      <w:divBdr>
        <w:top w:val="none" w:sz="0" w:space="0" w:color="auto"/>
        <w:left w:val="none" w:sz="0" w:space="0" w:color="auto"/>
        <w:bottom w:val="none" w:sz="0" w:space="0" w:color="auto"/>
        <w:right w:val="none" w:sz="0" w:space="0" w:color="auto"/>
      </w:divBdr>
    </w:div>
    <w:div w:id="2122796127">
      <w:bodyDiv w:val="1"/>
      <w:marLeft w:val="0"/>
      <w:marRight w:val="0"/>
      <w:marTop w:val="0"/>
      <w:marBottom w:val="0"/>
      <w:divBdr>
        <w:top w:val="none" w:sz="0" w:space="0" w:color="auto"/>
        <w:left w:val="none" w:sz="0" w:space="0" w:color="auto"/>
        <w:bottom w:val="none" w:sz="0" w:space="0" w:color="auto"/>
        <w:right w:val="none" w:sz="0" w:space="0" w:color="auto"/>
      </w:divBdr>
    </w:div>
    <w:div w:id="2122919457">
      <w:bodyDiv w:val="1"/>
      <w:marLeft w:val="0"/>
      <w:marRight w:val="0"/>
      <w:marTop w:val="0"/>
      <w:marBottom w:val="0"/>
      <w:divBdr>
        <w:top w:val="none" w:sz="0" w:space="0" w:color="auto"/>
        <w:left w:val="none" w:sz="0" w:space="0" w:color="auto"/>
        <w:bottom w:val="none" w:sz="0" w:space="0" w:color="auto"/>
        <w:right w:val="none" w:sz="0" w:space="0" w:color="auto"/>
      </w:divBdr>
    </w:div>
    <w:div w:id="2123065854">
      <w:bodyDiv w:val="1"/>
      <w:marLeft w:val="0"/>
      <w:marRight w:val="0"/>
      <w:marTop w:val="0"/>
      <w:marBottom w:val="0"/>
      <w:divBdr>
        <w:top w:val="none" w:sz="0" w:space="0" w:color="auto"/>
        <w:left w:val="none" w:sz="0" w:space="0" w:color="auto"/>
        <w:bottom w:val="none" w:sz="0" w:space="0" w:color="auto"/>
        <w:right w:val="none" w:sz="0" w:space="0" w:color="auto"/>
      </w:divBdr>
    </w:div>
    <w:div w:id="2123109618">
      <w:bodyDiv w:val="1"/>
      <w:marLeft w:val="0"/>
      <w:marRight w:val="0"/>
      <w:marTop w:val="0"/>
      <w:marBottom w:val="0"/>
      <w:divBdr>
        <w:top w:val="none" w:sz="0" w:space="0" w:color="auto"/>
        <w:left w:val="none" w:sz="0" w:space="0" w:color="auto"/>
        <w:bottom w:val="none" w:sz="0" w:space="0" w:color="auto"/>
        <w:right w:val="none" w:sz="0" w:space="0" w:color="auto"/>
      </w:divBdr>
    </w:div>
    <w:div w:id="2123186353">
      <w:bodyDiv w:val="1"/>
      <w:marLeft w:val="0"/>
      <w:marRight w:val="0"/>
      <w:marTop w:val="0"/>
      <w:marBottom w:val="0"/>
      <w:divBdr>
        <w:top w:val="none" w:sz="0" w:space="0" w:color="auto"/>
        <w:left w:val="none" w:sz="0" w:space="0" w:color="auto"/>
        <w:bottom w:val="none" w:sz="0" w:space="0" w:color="auto"/>
        <w:right w:val="none" w:sz="0" w:space="0" w:color="auto"/>
      </w:divBdr>
    </w:div>
    <w:div w:id="2123262468">
      <w:bodyDiv w:val="1"/>
      <w:marLeft w:val="0"/>
      <w:marRight w:val="0"/>
      <w:marTop w:val="0"/>
      <w:marBottom w:val="0"/>
      <w:divBdr>
        <w:top w:val="none" w:sz="0" w:space="0" w:color="auto"/>
        <w:left w:val="none" w:sz="0" w:space="0" w:color="auto"/>
        <w:bottom w:val="none" w:sz="0" w:space="0" w:color="auto"/>
        <w:right w:val="none" w:sz="0" w:space="0" w:color="auto"/>
      </w:divBdr>
    </w:div>
    <w:div w:id="2123305758">
      <w:bodyDiv w:val="1"/>
      <w:marLeft w:val="0"/>
      <w:marRight w:val="0"/>
      <w:marTop w:val="0"/>
      <w:marBottom w:val="0"/>
      <w:divBdr>
        <w:top w:val="none" w:sz="0" w:space="0" w:color="auto"/>
        <w:left w:val="none" w:sz="0" w:space="0" w:color="auto"/>
        <w:bottom w:val="none" w:sz="0" w:space="0" w:color="auto"/>
        <w:right w:val="none" w:sz="0" w:space="0" w:color="auto"/>
      </w:divBdr>
    </w:div>
    <w:div w:id="2123376221">
      <w:bodyDiv w:val="1"/>
      <w:marLeft w:val="0"/>
      <w:marRight w:val="0"/>
      <w:marTop w:val="0"/>
      <w:marBottom w:val="0"/>
      <w:divBdr>
        <w:top w:val="none" w:sz="0" w:space="0" w:color="auto"/>
        <w:left w:val="none" w:sz="0" w:space="0" w:color="auto"/>
        <w:bottom w:val="none" w:sz="0" w:space="0" w:color="auto"/>
        <w:right w:val="none" w:sz="0" w:space="0" w:color="auto"/>
      </w:divBdr>
    </w:div>
    <w:div w:id="2123380903">
      <w:bodyDiv w:val="1"/>
      <w:marLeft w:val="0"/>
      <w:marRight w:val="0"/>
      <w:marTop w:val="0"/>
      <w:marBottom w:val="0"/>
      <w:divBdr>
        <w:top w:val="none" w:sz="0" w:space="0" w:color="auto"/>
        <w:left w:val="none" w:sz="0" w:space="0" w:color="auto"/>
        <w:bottom w:val="none" w:sz="0" w:space="0" w:color="auto"/>
        <w:right w:val="none" w:sz="0" w:space="0" w:color="auto"/>
      </w:divBdr>
    </w:div>
    <w:div w:id="2123651461">
      <w:bodyDiv w:val="1"/>
      <w:marLeft w:val="0"/>
      <w:marRight w:val="0"/>
      <w:marTop w:val="0"/>
      <w:marBottom w:val="0"/>
      <w:divBdr>
        <w:top w:val="none" w:sz="0" w:space="0" w:color="auto"/>
        <w:left w:val="none" w:sz="0" w:space="0" w:color="auto"/>
        <w:bottom w:val="none" w:sz="0" w:space="0" w:color="auto"/>
        <w:right w:val="none" w:sz="0" w:space="0" w:color="auto"/>
      </w:divBdr>
    </w:div>
    <w:div w:id="2123766854">
      <w:bodyDiv w:val="1"/>
      <w:marLeft w:val="0"/>
      <w:marRight w:val="0"/>
      <w:marTop w:val="0"/>
      <w:marBottom w:val="0"/>
      <w:divBdr>
        <w:top w:val="none" w:sz="0" w:space="0" w:color="auto"/>
        <w:left w:val="none" w:sz="0" w:space="0" w:color="auto"/>
        <w:bottom w:val="none" w:sz="0" w:space="0" w:color="auto"/>
        <w:right w:val="none" w:sz="0" w:space="0" w:color="auto"/>
      </w:divBdr>
    </w:div>
    <w:div w:id="2123843126">
      <w:bodyDiv w:val="1"/>
      <w:marLeft w:val="0"/>
      <w:marRight w:val="0"/>
      <w:marTop w:val="0"/>
      <w:marBottom w:val="0"/>
      <w:divBdr>
        <w:top w:val="none" w:sz="0" w:space="0" w:color="auto"/>
        <w:left w:val="none" w:sz="0" w:space="0" w:color="auto"/>
        <w:bottom w:val="none" w:sz="0" w:space="0" w:color="auto"/>
        <w:right w:val="none" w:sz="0" w:space="0" w:color="auto"/>
      </w:divBdr>
    </w:div>
    <w:div w:id="2123919978">
      <w:bodyDiv w:val="1"/>
      <w:marLeft w:val="0"/>
      <w:marRight w:val="0"/>
      <w:marTop w:val="0"/>
      <w:marBottom w:val="0"/>
      <w:divBdr>
        <w:top w:val="none" w:sz="0" w:space="0" w:color="auto"/>
        <w:left w:val="none" w:sz="0" w:space="0" w:color="auto"/>
        <w:bottom w:val="none" w:sz="0" w:space="0" w:color="auto"/>
        <w:right w:val="none" w:sz="0" w:space="0" w:color="auto"/>
      </w:divBdr>
    </w:div>
    <w:div w:id="2124107156">
      <w:bodyDiv w:val="1"/>
      <w:marLeft w:val="0"/>
      <w:marRight w:val="0"/>
      <w:marTop w:val="0"/>
      <w:marBottom w:val="0"/>
      <w:divBdr>
        <w:top w:val="none" w:sz="0" w:space="0" w:color="auto"/>
        <w:left w:val="none" w:sz="0" w:space="0" w:color="auto"/>
        <w:bottom w:val="none" w:sz="0" w:space="0" w:color="auto"/>
        <w:right w:val="none" w:sz="0" w:space="0" w:color="auto"/>
      </w:divBdr>
    </w:div>
    <w:div w:id="2124374260">
      <w:bodyDiv w:val="1"/>
      <w:marLeft w:val="0"/>
      <w:marRight w:val="0"/>
      <w:marTop w:val="0"/>
      <w:marBottom w:val="0"/>
      <w:divBdr>
        <w:top w:val="none" w:sz="0" w:space="0" w:color="auto"/>
        <w:left w:val="none" w:sz="0" w:space="0" w:color="auto"/>
        <w:bottom w:val="none" w:sz="0" w:space="0" w:color="auto"/>
        <w:right w:val="none" w:sz="0" w:space="0" w:color="auto"/>
      </w:divBdr>
    </w:div>
    <w:div w:id="2124492400">
      <w:bodyDiv w:val="1"/>
      <w:marLeft w:val="0"/>
      <w:marRight w:val="0"/>
      <w:marTop w:val="0"/>
      <w:marBottom w:val="0"/>
      <w:divBdr>
        <w:top w:val="none" w:sz="0" w:space="0" w:color="auto"/>
        <w:left w:val="none" w:sz="0" w:space="0" w:color="auto"/>
        <w:bottom w:val="none" w:sz="0" w:space="0" w:color="auto"/>
        <w:right w:val="none" w:sz="0" w:space="0" w:color="auto"/>
      </w:divBdr>
    </w:div>
    <w:div w:id="2124496268">
      <w:bodyDiv w:val="1"/>
      <w:marLeft w:val="0"/>
      <w:marRight w:val="0"/>
      <w:marTop w:val="0"/>
      <w:marBottom w:val="0"/>
      <w:divBdr>
        <w:top w:val="none" w:sz="0" w:space="0" w:color="auto"/>
        <w:left w:val="none" w:sz="0" w:space="0" w:color="auto"/>
        <w:bottom w:val="none" w:sz="0" w:space="0" w:color="auto"/>
        <w:right w:val="none" w:sz="0" w:space="0" w:color="auto"/>
      </w:divBdr>
    </w:div>
    <w:div w:id="2124566005">
      <w:bodyDiv w:val="1"/>
      <w:marLeft w:val="0"/>
      <w:marRight w:val="0"/>
      <w:marTop w:val="0"/>
      <w:marBottom w:val="0"/>
      <w:divBdr>
        <w:top w:val="none" w:sz="0" w:space="0" w:color="auto"/>
        <w:left w:val="none" w:sz="0" w:space="0" w:color="auto"/>
        <w:bottom w:val="none" w:sz="0" w:space="0" w:color="auto"/>
        <w:right w:val="none" w:sz="0" w:space="0" w:color="auto"/>
      </w:divBdr>
    </w:div>
    <w:div w:id="2124571062">
      <w:bodyDiv w:val="1"/>
      <w:marLeft w:val="0"/>
      <w:marRight w:val="0"/>
      <w:marTop w:val="0"/>
      <w:marBottom w:val="0"/>
      <w:divBdr>
        <w:top w:val="none" w:sz="0" w:space="0" w:color="auto"/>
        <w:left w:val="none" w:sz="0" w:space="0" w:color="auto"/>
        <w:bottom w:val="none" w:sz="0" w:space="0" w:color="auto"/>
        <w:right w:val="none" w:sz="0" w:space="0" w:color="auto"/>
      </w:divBdr>
    </w:div>
    <w:div w:id="2124691873">
      <w:bodyDiv w:val="1"/>
      <w:marLeft w:val="0"/>
      <w:marRight w:val="0"/>
      <w:marTop w:val="0"/>
      <w:marBottom w:val="0"/>
      <w:divBdr>
        <w:top w:val="none" w:sz="0" w:space="0" w:color="auto"/>
        <w:left w:val="none" w:sz="0" w:space="0" w:color="auto"/>
        <w:bottom w:val="none" w:sz="0" w:space="0" w:color="auto"/>
        <w:right w:val="none" w:sz="0" w:space="0" w:color="auto"/>
      </w:divBdr>
    </w:div>
    <w:div w:id="2124834907">
      <w:bodyDiv w:val="1"/>
      <w:marLeft w:val="0"/>
      <w:marRight w:val="0"/>
      <w:marTop w:val="0"/>
      <w:marBottom w:val="0"/>
      <w:divBdr>
        <w:top w:val="none" w:sz="0" w:space="0" w:color="auto"/>
        <w:left w:val="none" w:sz="0" w:space="0" w:color="auto"/>
        <w:bottom w:val="none" w:sz="0" w:space="0" w:color="auto"/>
        <w:right w:val="none" w:sz="0" w:space="0" w:color="auto"/>
      </w:divBdr>
    </w:div>
    <w:div w:id="2124836049">
      <w:bodyDiv w:val="1"/>
      <w:marLeft w:val="0"/>
      <w:marRight w:val="0"/>
      <w:marTop w:val="0"/>
      <w:marBottom w:val="0"/>
      <w:divBdr>
        <w:top w:val="none" w:sz="0" w:space="0" w:color="auto"/>
        <w:left w:val="none" w:sz="0" w:space="0" w:color="auto"/>
        <w:bottom w:val="none" w:sz="0" w:space="0" w:color="auto"/>
        <w:right w:val="none" w:sz="0" w:space="0" w:color="auto"/>
      </w:divBdr>
    </w:div>
    <w:div w:id="2124879261">
      <w:bodyDiv w:val="1"/>
      <w:marLeft w:val="0"/>
      <w:marRight w:val="0"/>
      <w:marTop w:val="0"/>
      <w:marBottom w:val="0"/>
      <w:divBdr>
        <w:top w:val="none" w:sz="0" w:space="0" w:color="auto"/>
        <w:left w:val="none" w:sz="0" w:space="0" w:color="auto"/>
        <w:bottom w:val="none" w:sz="0" w:space="0" w:color="auto"/>
        <w:right w:val="none" w:sz="0" w:space="0" w:color="auto"/>
      </w:divBdr>
    </w:div>
    <w:div w:id="2124879533">
      <w:bodyDiv w:val="1"/>
      <w:marLeft w:val="0"/>
      <w:marRight w:val="0"/>
      <w:marTop w:val="0"/>
      <w:marBottom w:val="0"/>
      <w:divBdr>
        <w:top w:val="none" w:sz="0" w:space="0" w:color="auto"/>
        <w:left w:val="none" w:sz="0" w:space="0" w:color="auto"/>
        <w:bottom w:val="none" w:sz="0" w:space="0" w:color="auto"/>
        <w:right w:val="none" w:sz="0" w:space="0" w:color="auto"/>
      </w:divBdr>
    </w:div>
    <w:div w:id="2124886559">
      <w:bodyDiv w:val="1"/>
      <w:marLeft w:val="0"/>
      <w:marRight w:val="0"/>
      <w:marTop w:val="0"/>
      <w:marBottom w:val="0"/>
      <w:divBdr>
        <w:top w:val="none" w:sz="0" w:space="0" w:color="auto"/>
        <w:left w:val="none" w:sz="0" w:space="0" w:color="auto"/>
        <w:bottom w:val="none" w:sz="0" w:space="0" w:color="auto"/>
        <w:right w:val="none" w:sz="0" w:space="0" w:color="auto"/>
      </w:divBdr>
    </w:div>
    <w:div w:id="2125071286">
      <w:bodyDiv w:val="1"/>
      <w:marLeft w:val="0"/>
      <w:marRight w:val="0"/>
      <w:marTop w:val="0"/>
      <w:marBottom w:val="0"/>
      <w:divBdr>
        <w:top w:val="none" w:sz="0" w:space="0" w:color="auto"/>
        <w:left w:val="none" w:sz="0" w:space="0" w:color="auto"/>
        <w:bottom w:val="none" w:sz="0" w:space="0" w:color="auto"/>
        <w:right w:val="none" w:sz="0" w:space="0" w:color="auto"/>
      </w:divBdr>
    </w:div>
    <w:div w:id="2125078913">
      <w:bodyDiv w:val="1"/>
      <w:marLeft w:val="0"/>
      <w:marRight w:val="0"/>
      <w:marTop w:val="0"/>
      <w:marBottom w:val="0"/>
      <w:divBdr>
        <w:top w:val="none" w:sz="0" w:space="0" w:color="auto"/>
        <w:left w:val="none" w:sz="0" w:space="0" w:color="auto"/>
        <w:bottom w:val="none" w:sz="0" w:space="0" w:color="auto"/>
        <w:right w:val="none" w:sz="0" w:space="0" w:color="auto"/>
      </w:divBdr>
    </w:div>
    <w:div w:id="2125298175">
      <w:bodyDiv w:val="1"/>
      <w:marLeft w:val="0"/>
      <w:marRight w:val="0"/>
      <w:marTop w:val="0"/>
      <w:marBottom w:val="0"/>
      <w:divBdr>
        <w:top w:val="none" w:sz="0" w:space="0" w:color="auto"/>
        <w:left w:val="none" w:sz="0" w:space="0" w:color="auto"/>
        <w:bottom w:val="none" w:sz="0" w:space="0" w:color="auto"/>
        <w:right w:val="none" w:sz="0" w:space="0" w:color="auto"/>
      </w:divBdr>
    </w:div>
    <w:div w:id="2125339320">
      <w:bodyDiv w:val="1"/>
      <w:marLeft w:val="0"/>
      <w:marRight w:val="0"/>
      <w:marTop w:val="0"/>
      <w:marBottom w:val="0"/>
      <w:divBdr>
        <w:top w:val="none" w:sz="0" w:space="0" w:color="auto"/>
        <w:left w:val="none" w:sz="0" w:space="0" w:color="auto"/>
        <w:bottom w:val="none" w:sz="0" w:space="0" w:color="auto"/>
        <w:right w:val="none" w:sz="0" w:space="0" w:color="auto"/>
      </w:divBdr>
    </w:div>
    <w:div w:id="2125422028">
      <w:bodyDiv w:val="1"/>
      <w:marLeft w:val="0"/>
      <w:marRight w:val="0"/>
      <w:marTop w:val="0"/>
      <w:marBottom w:val="0"/>
      <w:divBdr>
        <w:top w:val="none" w:sz="0" w:space="0" w:color="auto"/>
        <w:left w:val="none" w:sz="0" w:space="0" w:color="auto"/>
        <w:bottom w:val="none" w:sz="0" w:space="0" w:color="auto"/>
        <w:right w:val="none" w:sz="0" w:space="0" w:color="auto"/>
      </w:divBdr>
    </w:div>
    <w:div w:id="2125495181">
      <w:bodyDiv w:val="1"/>
      <w:marLeft w:val="0"/>
      <w:marRight w:val="0"/>
      <w:marTop w:val="0"/>
      <w:marBottom w:val="0"/>
      <w:divBdr>
        <w:top w:val="none" w:sz="0" w:space="0" w:color="auto"/>
        <w:left w:val="none" w:sz="0" w:space="0" w:color="auto"/>
        <w:bottom w:val="none" w:sz="0" w:space="0" w:color="auto"/>
        <w:right w:val="none" w:sz="0" w:space="0" w:color="auto"/>
      </w:divBdr>
    </w:div>
    <w:div w:id="2125882204">
      <w:bodyDiv w:val="1"/>
      <w:marLeft w:val="0"/>
      <w:marRight w:val="0"/>
      <w:marTop w:val="0"/>
      <w:marBottom w:val="0"/>
      <w:divBdr>
        <w:top w:val="none" w:sz="0" w:space="0" w:color="auto"/>
        <w:left w:val="none" w:sz="0" w:space="0" w:color="auto"/>
        <w:bottom w:val="none" w:sz="0" w:space="0" w:color="auto"/>
        <w:right w:val="none" w:sz="0" w:space="0" w:color="auto"/>
      </w:divBdr>
    </w:div>
    <w:div w:id="2125928650">
      <w:bodyDiv w:val="1"/>
      <w:marLeft w:val="0"/>
      <w:marRight w:val="0"/>
      <w:marTop w:val="0"/>
      <w:marBottom w:val="0"/>
      <w:divBdr>
        <w:top w:val="none" w:sz="0" w:space="0" w:color="auto"/>
        <w:left w:val="none" w:sz="0" w:space="0" w:color="auto"/>
        <w:bottom w:val="none" w:sz="0" w:space="0" w:color="auto"/>
        <w:right w:val="none" w:sz="0" w:space="0" w:color="auto"/>
      </w:divBdr>
    </w:div>
    <w:div w:id="2126002671">
      <w:bodyDiv w:val="1"/>
      <w:marLeft w:val="0"/>
      <w:marRight w:val="0"/>
      <w:marTop w:val="0"/>
      <w:marBottom w:val="0"/>
      <w:divBdr>
        <w:top w:val="none" w:sz="0" w:space="0" w:color="auto"/>
        <w:left w:val="none" w:sz="0" w:space="0" w:color="auto"/>
        <w:bottom w:val="none" w:sz="0" w:space="0" w:color="auto"/>
        <w:right w:val="none" w:sz="0" w:space="0" w:color="auto"/>
      </w:divBdr>
    </w:div>
    <w:div w:id="2126070292">
      <w:bodyDiv w:val="1"/>
      <w:marLeft w:val="0"/>
      <w:marRight w:val="0"/>
      <w:marTop w:val="0"/>
      <w:marBottom w:val="0"/>
      <w:divBdr>
        <w:top w:val="none" w:sz="0" w:space="0" w:color="auto"/>
        <w:left w:val="none" w:sz="0" w:space="0" w:color="auto"/>
        <w:bottom w:val="none" w:sz="0" w:space="0" w:color="auto"/>
        <w:right w:val="none" w:sz="0" w:space="0" w:color="auto"/>
      </w:divBdr>
    </w:div>
    <w:div w:id="2126151082">
      <w:bodyDiv w:val="1"/>
      <w:marLeft w:val="0"/>
      <w:marRight w:val="0"/>
      <w:marTop w:val="0"/>
      <w:marBottom w:val="0"/>
      <w:divBdr>
        <w:top w:val="none" w:sz="0" w:space="0" w:color="auto"/>
        <w:left w:val="none" w:sz="0" w:space="0" w:color="auto"/>
        <w:bottom w:val="none" w:sz="0" w:space="0" w:color="auto"/>
        <w:right w:val="none" w:sz="0" w:space="0" w:color="auto"/>
      </w:divBdr>
    </w:div>
    <w:div w:id="2126189695">
      <w:bodyDiv w:val="1"/>
      <w:marLeft w:val="0"/>
      <w:marRight w:val="0"/>
      <w:marTop w:val="0"/>
      <w:marBottom w:val="0"/>
      <w:divBdr>
        <w:top w:val="none" w:sz="0" w:space="0" w:color="auto"/>
        <w:left w:val="none" w:sz="0" w:space="0" w:color="auto"/>
        <w:bottom w:val="none" w:sz="0" w:space="0" w:color="auto"/>
        <w:right w:val="none" w:sz="0" w:space="0" w:color="auto"/>
      </w:divBdr>
    </w:div>
    <w:div w:id="2126195021">
      <w:bodyDiv w:val="1"/>
      <w:marLeft w:val="0"/>
      <w:marRight w:val="0"/>
      <w:marTop w:val="0"/>
      <w:marBottom w:val="0"/>
      <w:divBdr>
        <w:top w:val="none" w:sz="0" w:space="0" w:color="auto"/>
        <w:left w:val="none" w:sz="0" w:space="0" w:color="auto"/>
        <w:bottom w:val="none" w:sz="0" w:space="0" w:color="auto"/>
        <w:right w:val="none" w:sz="0" w:space="0" w:color="auto"/>
      </w:divBdr>
    </w:div>
    <w:div w:id="2126386945">
      <w:bodyDiv w:val="1"/>
      <w:marLeft w:val="0"/>
      <w:marRight w:val="0"/>
      <w:marTop w:val="0"/>
      <w:marBottom w:val="0"/>
      <w:divBdr>
        <w:top w:val="none" w:sz="0" w:space="0" w:color="auto"/>
        <w:left w:val="none" w:sz="0" w:space="0" w:color="auto"/>
        <w:bottom w:val="none" w:sz="0" w:space="0" w:color="auto"/>
        <w:right w:val="none" w:sz="0" w:space="0" w:color="auto"/>
      </w:divBdr>
    </w:div>
    <w:div w:id="2126535127">
      <w:bodyDiv w:val="1"/>
      <w:marLeft w:val="0"/>
      <w:marRight w:val="0"/>
      <w:marTop w:val="0"/>
      <w:marBottom w:val="0"/>
      <w:divBdr>
        <w:top w:val="none" w:sz="0" w:space="0" w:color="auto"/>
        <w:left w:val="none" w:sz="0" w:space="0" w:color="auto"/>
        <w:bottom w:val="none" w:sz="0" w:space="0" w:color="auto"/>
        <w:right w:val="none" w:sz="0" w:space="0" w:color="auto"/>
      </w:divBdr>
    </w:div>
    <w:div w:id="2126537274">
      <w:bodyDiv w:val="1"/>
      <w:marLeft w:val="0"/>
      <w:marRight w:val="0"/>
      <w:marTop w:val="0"/>
      <w:marBottom w:val="0"/>
      <w:divBdr>
        <w:top w:val="none" w:sz="0" w:space="0" w:color="auto"/>
        <w:left w:val="none" w:sz="0" w:space="0" w:color="auto"/>
        <w:bottom w:val="none" w:sz="0" w:space="0" w:color="auto"/>
        <w:right w:val="none" w:sz="0" w:space="0" w:color="auto"/>
      </w:divBdr>
    </w:div>
    <w:div w:id="2126579807">
      <w:bodyDiv w:val="1"/>
      <w:marLeft w:val="0"/>
      <w:marRight w:val="0"/>
      <w:marTop w:val="0"/>
      <w:marBottom w:val="0"/>
      <w:divBdr>
        <w:top w:val="none" w:sz="0" w:space="0" w:color="auto"/>
        <w:left w:val="none" w:sz="0" w:space="0" w:color="auto"/>
        <w:bottom w:val="none" w:sz="0" w:space="0" w:color="auto"/>
        <w:right w:val="none" w:sz="0" w:space="0" w:color="auto"/>
      </w:divBdr>
    </w:div>
    <w:div w:id="2126608889">
      <w:bodyDiv w:val="1"/>
      <w:marLeft w:val="0"/>
      <w:marRight w:val="0"/>
      <w:marTop w:val="0"/>
      <w:marBottom w:val="0"/>
      <w:divBdr>
        <w:top w:val="none" w:sz="0" w:space="0" w:color="auto"/>
        <w:left w:val="none" w:sz="0" w:space="0" w:color="auto"/>
        <w:bottom w:val="none" w:sz="0" w:space="0" w:color="auto"/>
        <w:right w:val="none" w:sz="0" w:space="0" w:color="auto"/>
      </w:divBdr>
    </w:div>
    <w:div w:id="2126656043">
      <w:bodyDiv w:val="1"/>
      <w:marLeft w:val="0"/>
      <w:marRight w:val="0"/>
      <w:marTop w:val="0"/>
      <w:marBottom w:val="0"/>
      <w:divBdr>
        <w:top w:val="none" w:sz="0" w:space="0" w:color="auto"/>
        <w:left w:val="none" w:sz="0" w:space="0" w:color="auto"/>
        <w:bottom w:val="none" w:sz="0" w:space="0" w:color="auto"/>
        <w:right w:val="none" w:sz="0" w:space="0" w:color="auto"/>
      </w:divBdr>
    </w:div>
    <w:div w:id="2126775619">
      <w:bodyDiv w:val="1"/>
      <w:marLeft w:val="0"/>
      <w:marRight w:val="0"/>
      <w:marTop w:val="0"/>
      <w:marBottom w:val="0"/>
      <w:divBdr>
        <w:top w:val="none" w:sz="0" w:space="0" w:color="auto"/>
        <w:left w:val="none" w:sz="0" w:space="0" w:color="auto"/>
        <w:bottom w:val="none" w:sz="0" w:space="0" w:color="auto"/>
        <w:right w:val="none" w:sz="0" w:space="0" w:color="auto"/>
      </w:divBdr>
    </w:div>
    <w:div w:id="2126803732">
      <w:bodyDiv w:val="1"/>
      <w:marLeft w:val="0"/>
      <w:marRight w:val="0"/>
      <w:marTop w:val="0"/>
      <w:marBottom w:val="0"/>
      <w:divBdr>
        <w:top w:val="none" w:sz="0" w:space="0" w:color="auto"/>
        <w:left w:val="none" w:sz="0" w:space="0" w:color="auto"/>
        <w:bottom w:val="none" w:sz="0" w:space="0" w:color="auto"/>
        <w:right w:val="none" w:sz="0" w:space="0" w:color="auto"/>
      </w:divBdr>
    </w:div>
    <w:div w:id="2126805724">
      <w:bodyDiv w:val="1"/>
      <w:marLeft w:val="0"/>
      <w:marRight w:val="0"/>
      <w:marTop w:val="0"/>
      <w:marBottom w:val="0"/>
      <w:divBdr>
        <w:top w:val="none" w:sz="0" w:space="0" w:color="auto"/>
        <w:left w:val="none" w:sz="0" w:space="0" w:color="auto"/>
        <w:bottom w:val="none" w:sz="0" w:space="0" w:color="auto"/>
        <w:right w:val="none" w:sz="0" w:space="0" w:color="auto"/>
      </w:divBdr>
    </w:div>
    <w:div w:id="2127041425">
      <w:bodyDiv w:val="1"/>
      <w:marLeft w:val="0"/>
      <w:marRight w:val="0"/>
      <w:marTop w:val="0"/>
      <w:marBottom w:val="0"/>
      <w:divBdr>
        <w:top w:val="none" w:sz="0" w:space="0" w:color="auto"/>
        <w:left w:val="none" w:sz="0" w:space="0" w:color="auto"/>
        <w:bottom w:val="none" w:sz="0" w:space="0" w:color="auto"/>
        <w:right w:val="none" w:sz="0" w:space="0" w:color="auto"/>
      </w:divBdr>
    </w:div>
    <w:div w:id="2127114797">
      <w:bodyDiv w:val="1"/>
      <w:marLeft w:val="0"/>
      <w:marRight w:val="0"/>
      <w:marTop w:val="0"/>
      <w:marBottom w:val="0"/>
      <w:divBdr>
        <w:top w:val="none" w:sz="0" w:space="0" w:color="auto"/>
        <w:left w:val="none" w:sz="0" w:space="0" w:color="auto"/>
        <w:bottom w:val="none" w:sz="0" w:space="0" w:color="auto"/>
        <w:right w:val="none" w:sz="0" w:space="0" w:color="auto"/>
      </w:divBdr>
    </w:div>
    <w:div w:id="2127188280">
      <w:bodyDiv w:val="1"/>
      <w:marLeft w:val="0"/>
      <w:marRight w:val="0"/>
      <w:marTop w:val="0"/>
      <w:marBottom w:val="0"/>
      <w:divBdr>
        <w:top w:val="none" w:sz="0" w:space="0" w:color="auto"/>
        <w:left w:val="none" w:sz="0" w:space="0" w:color="auto"/>
        <w:bottom w:val="none" w:sz="0" w:space="0" w:color="auto"/>
        <w:right w:val="none" w:sz="0" w:space="0" w:color="auto"/>
      </w:divBdr>
    </w:div>
    <w:div w:id="2127189330">
      <w:bodyDiv w:val="1"/>
      <w:marLeft w:val="0"/>
      <w:marRight w:val="0"/>
      <w:marTop w:val="0"/>
      <w:marBottom w:val="0"/>
      <w:divBdr>
        <w:top w:val="none" w:sz="0" w:space="0" w:color="auto"/>
        <w:left w:val="none" w:sz="0" w:space="0" w:color="auto"/>
        <w:bottom w:val="none" w:sz="0" w:space="0" w:color="auto"/>
        <w:right w:val="none" w:sz="0" w:space="0" w:color="auto"/>
      </w:divBdr>
    </w:div>
    <w:div w:id="2127383066">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27505886">
      <w:bodyDiv w:val="1"/>
      <w:marLeft w:val="0"/>
      <w:marRight w:val="0"/>
      <w:marTop w:val="0"/>
      <w:marBottom w:val="0"/>
      <w:divBdr>
        <w:top w:val="none" w:sz="0" w:space="0" w:color="auto"/>
        <w:left w:val="none" w:sz="0" w:space="0" w:color="auto"/>
        <w:bottom w:val="none" w:sz="0" w:space="0" w:color="auto"/>
        <w:right w:val="none" w:sz="0" w:space="0" w:color="auto"/>
      </w:divBdr>
    </w:div>
    <w:div w:id="2127507049">
      <w:bodyDiv w:val="1"/>
      <w:marLeft w:val="0"/>
      <w:marRight w:val="0"/>
      <w:marTop w:val="0"/>
      <w:marBottom w:val="0"/>
      <w:divBdr>
        <w:top w:val="none" w:sz="0" w:space="0" w:color="auto"/>
        <w:left w:val="none" w:sz="0" w:space="0" w:color="auto"/>
        <w:bottom w:val="none" w:sz="0" w:space="0" w:color="auto"/>
        <w:right w:val="none" w:sz="0" w:space="0" w:color="auto"/>
      </w:divBdr>
    </w:div>
    <w:div w:id="2127577692">
      <w:bodyDiv w:val="1"/>
      <w:marLeft w:val="0"/>
      <w:marRight w:val="0"/>
      <w:marTop w:val="0"/>
      <w:marBottom w:val="0"/>
      <w:divBdr>
        <w:top w:val="none" w:sz="0" w:space="0" w:color="auto"/>
        <w:left w:val="none" w:sz="0" w:space="0" w:color="auto"/>
        <w:bottom w:val="none" w:sz="0" w:space="0" w:color="auto"/>
        <w:right w:val="none" w:sz="0" w:space="0" w:color="auto"/>
      </w:divBdr>
    </w:div>
    <w:div w:id="2127651215">
      <w:bodyDiv w:val="1"/>
      <w:marLeft w:val="0"/>
      <w:marRight w:val="0"/>
      <w:marTop w:val="0"/>
      <w:marBottom w:val="0"/>
      <w:divBdr>
        <w:top w:val="none" w:sz="0" w:space="0" w:color="auto"/>
        <w:left w:val="none" w:sz="0" w:space="0" w:color="auto"/>
        <w:bottom w:val="none" w:sz="0" w:space="0" w:color="auto"/>
        <w:right w:val="none" w:sz="0" w:space="0" w:color="auto"/>
      </w:divBdr>
    </w:div>
    <w:div w:id="2127656065">
      <w:bodyDiv w:val="1"/>
      <w:marLeft w:val="0"/>
      <w:marRight w:val="0"/>
      <w:marTop w:val="0"/>
      <w:marBottom w:val="0"/>
      <w:divBdr>
        <w:top w:val="none" w:sz="0" w:space="0" w:color="auto"/>
        <w:left w:val="none" w:sz="0" w:space="0" w:color="auto"/>
        <w:bottom w:val="none" w:sz="0" w:space="0" w:color="auto"/>
        <w:right w:val="none" w:sz="0" w:space="0" w:color="auto"/>
      </w:divBdr>
    </w:div>
    <w:div w:id="2127692750">
      <w:bodyDiv w:val="1"/>
      <w:marLeft w:val="0"/>
      <w:marRight w:val="0"/>
      <w:marTop w:val="0"/>
      <w:marBottom w:val="0"/>
      <w:divBdr>
        <w:top w:val="none" w:sz="0" w:space="0" w:color="auto"/>
        <w:left w:val="none" w:sz="0" w:space="0" w:color="auto"/>
        <w:bottom w:val="none" w:sz="0" w:space="0" w:color="auto"/>
        <w:right w:val="none" w:sz="0" w:space="0" w:color="auto"/>
      </w:divBdr>
    </w:div>
    <w:div w:id="2127893838">
      <w:bodyDiv w:val="1"/>
      <w:marLeft w:val="0"/>
      <w:marRight w:val="0"/>
      <w:marTop w:val="0"/>
      <w:marBottom w:val="0"/>
      <w:divBdr>
        <w:top w:val="none" w:sz="0" w:space="0" w:color="auto"/>
        <w:left w:val="none" w:sz="0" w:space="0" w:color="auto"/>
        <w:bottom w:val="none" w:sz="0" w:space="0" w:color="auto"/>
        <w:right w:val="none" w:sz="0" w:space="0" w:color="auto"/>
      </w:divBdr>
    </w:div>
    <w:div w:id="2127918529">
      <w:bodyDiv w:val="1"/>
      <w:marLeft w:val="0"/>
      <w:marRight w:val="0"/>
      <w:marTop w:val="0"/>
      <w:marBottom w:val="0"/>
      <w:divBdr>
        <w:top w:val="none" w:sz="0" w:space="0" w:color="auto"/>
        <w:left w:val="none" w:sz="0" w:space="0" w:color="auto"/>
        <w:bottom w:val="none" w:sz="0" w:space="0" w:color="auto"/>
        <w:right w:val="none" w:sz="0" w:space="0" w:color="auto"/>
      </w:divBdr>
    </w:div>
    <w:div w:id="2127920134">
      <w:bodyDiv w:val="1"/>
      <w:marLeft w:val="0"/>
      <w:marRight w:val="0"/>
      <w:marTop w:val="0"/>
      <w:marBottom w:val="0"/>
      <w:divBdr>
        <w:top w:val="none" w:sz="0" w:space="0" w:color="auto"/>
        <w:left w:val="none" w:sz="0" w:space="0" w:color="auto"/>
        <w:bottom w:val="none" w:sz="0" w:space="0" w:color="auto"/>
        <w:right w:val="none" w:sz="0" w:space="0" w:color="auto"/>
      </w:divBdr>
    </w:div>
    <w:div w:id="2127968097">
      <w:bodyDiv w:val="1"/>
      <w:marLeft w:val="0"/>
      <w:marRight w:val="0"/>
      <w:marTop w:val="0"/>
      <w:marBottom w:val="0"/>
      <w:divBdr>
        <w:top w:val="none" w:sz="0" w:space="0" w:color="auto"/>
        <w:left w:val="none" w:sz="0" w:space="0" w:color="auto"/>
        <w:bottom w:val="none" w:sz="0" w:space="0" w:color="auto"/>
        <w:right w:val="none" w:sz="0" w:space="0" w:color="auto"/>
      </w:divBdr>
    </w:div>
    <w:div w:id="2127968406">
      <w:bodyDiv w:val="1"/>
      <w:marLeft w:val="0"/>
      <w:marRight w:val="0"/>
      <w:marTop w:val="0"/>
      <w:marBottom w:val="0"/>
      <w:divBdr>
        <w:top w:val="none" w:sz="0" w:space="0" w:color="auto"/>
        <w:left w:val="none" w:sz="0" w:space="0" w:color="auto"/>
        <w:bottom w:val="none" w:sz="0" w:space="0" w:color="auto"/>
        <w:right w:val="none" w:sz="0" w:space="0" w:color="auto"/>
      </w:divBdr>
    </w:div>
    <w:div w:id="2128117526">
      <w:bodyDiv w:val="1"/>
      <w:marLeft w:val="0"/>
      <w:marRight w:val="0"/>
      <w:marTop w:val="0"/>
      <w:marBottom w:val="0"/>
      <w:divBdr>
        <w:top w:val="none" w:sz="0" w:space="0" w:color="auto"/>
        <w:left w:val="none" w:sz="0" w:space="0" w:color="auto"/>
        <w:bottom w:val="none" w:sz="0" w:space="0" w:color="auto"/>
        <w:right w:val="none" w:sz="0" w:space="0" w:color="auto"/>
      </w:divBdr>
    </w:div>
    <w:div w:id="2128161313">
      <w:bodyDiv w:val="1"/>
      <w:marLeft w:val="0"/>
      <w:marRight w:val="0"/>
      <w:marTop w:val="0"/>
      <w:marBottom w:val="0"/>
      <w:divBdr>
        <w:top w:val="none" w:sz="0" w:space="0" w:color="auto"/>
        <w:left w:val="none" w:sz="0" w:space="0" w:color="auto"/>
        <w:bottom w:val="none" w:sz="0" w:space="0" w:color="auto"/>
        <w:right w:val="none" w:sz="0" w:space="0" w:color="auto"/>
      </w:divBdr>
    </w:div>
    <w:div w:id="2128235642">
      <w:bodyDiv w:val="1"/>
      <w:marLeft w:val="0"/>
      <w:marRight w:val="0"/>
      <w:marTop w:val="0"/>
      <w:marBottom w:val="0"/>
      <w:divBdr>
        <w:top w:val="none" w:sz="0" w:space="0" w:color="auto"/>
        <w:left w:val="none" w:sz="0" w:space="0" w:color="auto"/>
        <w:bottom w:val="none" w:sz="0" w:space="0" w:color="auto"/>
        <w:right w:val="none" w:sz="0" w:space="0" w:color="auto"/>
      </w:divBdr>
    </w:div>
    <w:div w:id="2128309169">
      <w:bodyDiv w:val="1"/>
      <w:marLeft w:val="0"/>
      <w:marRight w:val="0"/>
      <w:marTop w:val="0"/>
      <w:marBottom w:val="0"/>
      <w:divBdr>
        <w:top w:val="none" w:sz="0" w:space="0" w:color="auto"/>
        <w:left w:val="none" w:sz="0" w:space="0" w:color="auto"/>
        <w:bottom w:val="none" w:sz="0" w:space="0" w:color="auto"/>
        <w:right w:val="none" w:sz="0" w:space="0" w:color="auto"/>
      </w:divBdr>
    </w:div>
    <w:div w:id="2128427668">
      <w:bodyDiv w:val="1"/>
      <w:marLeft w:val="0"/>
      <w:marRight w:val="0"/>
      <w:marTop w:val="0"/>
      <w:marBottom w:val="0"/>
      <w:divBdr>
        <w:top w:val="none" w:sz="0" w:space="0" w:color="auto"/>
        <w:left w:val="none" w:sz="0" w:space="0" w:color="auto"/>
        <w:bottom w:val="none" w:sz="0" w:space="0" w:color="auto"/>
        <w:right w:val="none" w:sz="0" w:space="0" w:color="auto"/>
      </w:divBdr>
    </w:div>
    <w:div w:id="2128505413">
      <w:bodyDiv w:val="1"/>
      <w:marLeft w:val="0"/>
      <w:marRight w:val="0"/>
      <w:marTop w:val="0"/>
      <w:marBottom w:val="0"/>
      <w:divBdr>
        <w:top w:val="none" w:sz="0" w:space="0" w:color="auto"/>
        <w:left w:val="none" w:sz="0" w:space="0" w:color="auto"/>
        <w:bottom w:val="none" w:sz="0" w:space="0" w:color="auto"/>
        <w:right w:val="none" w:sz="0" w:space="0" w:color="auto"/>
      </w:divBdr>
    </w:div>
    <w:div w:id="2128615720">
      <w:bodyDiv w:val="1"/>
      <w:marLeft w:val="0"/>
      <w:marRight w:val="0"/>
      <w:marTop w:val="0"/>
      <w:marBottom w:val="0"/>
      <w:divBdr>
        <w:top w:val="none" w:sz="0" w:space="0" w:color="auto"/>
        <w:left w:val="none" w:sz="0" w:space="0" w:color="auto"/>
        <w:bottom w:val="none" w:sz="0" w:space="0" w:color="auto"/>
        <w:right w:val="none" w:sz="0" w:space="0" w:color="auto"/>
      </w:divBdr>
    </w:div>
    <w:div w:id="2128697599">
      <w:bodyDiv w:val="1"/>
      <w:marLeft w:val="0"/>
      <w:marRight w:val="0"/>
      <w:marTop w:val="0"/>
      <w:marBottom w:val="0"/>
      <w:divBdr>
        <w:top w:val="none" w:sz="0" w:space="0" w:color="auto"/>
        <w:left w:val="none" w:sz="0" w:space="0" w:color="auto"/>
        <w:bottom w:val="none" w:sz="0" w:space="0" w:color="auto"/>
        <w:right w:val="none" w:sz="0" w:space="0" w:color="auto"/>
      </w:divBdr>
    </w:div>
    <w:div w:id="2128769969">
      <w:bodyDiv w:val="1"/>
      <w:marLeft w:val="0"/>
      <w:marRight w:val="0"/>
      <w:marTop w:val="0"/>
      <w:marBottom w:val="0"/>
      <w:divBdr>
        <w:top w:val="none" w:sz="0" w:space="0" w:color="auto"/>
        <w:left w:val="none" w:sz="0" w:space="0" w:color="auto"/>
        <w:bottom w:val="none" w:sz="0" w:space="0" w:color="auto"/>
        <w:right w:val="none" w:sz="0" w:space="0" w:color="auto"/>
      </w:divBdr>
    </w:div>
    <w:div w:id="2129006096">
      <w:bodyDiv w:val="1"/>
      <w:marLeft w:val="0"/>
      <w:marRight w:val="0"/>
      <w:marTop w:val="0"/>
      <w:marBottom w:val="0"/>
      <w:divBdr>
        <w:top w:val="none" w:sz="0" w:space="0" w:color="auto"/>
        <w:left w:val="none" w:sz="0" w:space="0" w:color="auto"/>
        <w:bottom w:val="none" w:sz="0" w:space="0" w:color="auto"/>
        <w:right w:val="none" w:sz="0" w:space="0" w:color="auto"/>
      </w:divBdr>
    </w:div>
    <w:div w:id="2129155564">
      <w:bodyDiv w:val="1"/>
      <w:marLeft w:val="0"/>
      <w:marRight w:val="0"/>
      <w:marTop w:val="0"/>
      <w:marBottom w:val="0"/>
      <w:divBdr>
        <w:top w:val="none" w:sz="0" w:space="0" w:color="auto"/>
        <w:left w:val="none" w:sz="0" w:space="0" w:color="auto"/>
        <w:bottom w:val="none" w:sz="0" w:space="0" w:color="auto"/>
        <w:right w:val="none" w:sz="0" w:space="0" w:color="auto"/>
      </w:divBdr>
    </w:div>
    <w:div w:id="2129200563">
      <w:bodyDiv w:val="1"/>
      <w:marLeft w:val="0"/>
      <w:marRight w:val="0"/>
      <w:marTop w:val="0"/>
      <w:marBottom w:val="0"/>
      <w:divBdr>
        <w:top w:val="none" w:sz="0" w:space="0" w:color="auto"/>
        <w:left w:val="none" w:sz="0" w:space="0" w:color="auto"/>
        <w:bottom w:val="none" w:sz="0" w:space="0" w:color="auto"/>
        <w:right w:val="none" w:sz="0" w:space="0" w:color="auto"/>
      </w:divBdr>
    </w:div>
    <w:div w:id="2129270977">
      <w:bodyDiv w:val="1"/>
      <w:marLeft w:val="0"/>
      <w:marRight w:val="0"/>
      <w:marTop w:val="0"/>
      <w:marBottom w:val="0"/>
      <w:divBdr>
        <w:top w:val="none" w:sz="0" w:space="0" w:color="auto"/>
        <w:left w:val="none" w:sz="0" w:space="0" w:color="auto"/>
        <w:bottom w:val="none" w:sz="0" w:space="0" w:color="auto"/>
        <w:right w:val="none" w:sz="0" w:space="0" w:color="auto"/>
      </w:divBdr>
    </w:div>
    <w:div w:id="2129346183">
      <w:bodyDiv w:val="1"/>
      <w:marLeft w:val="0"/>
      <w:marRight w:val="0"/>
      <w:marTop w:val="0"/>
      <w:marBottom w:val="0"/>
      <w:divBdr>
        <w:top w:val="none" w:sz="0" w:space="0" w:color="auto"/>
        <w:left w:val="none" w:sz="0" w:space="0" w:color="auto"/>
        <w:bottom w:val="none" w:sz="0" w:space="0" w:color="auto"/>
        <w:right w:val="none" w:sz="0" w:space="0" w:color="auto"/>
      </w:divBdr>
    </w:div>
    <w:div w:id="2129422019">
      <w:bodyDiv w:val="1"/>
      <w:marLeft w:val="0"/>
      <w:marRight w:val="0"/>
      <w:marTop w:val="0"/>
      <w:marBottom w:val="0"/>
      <w:divBdr>
        <w:top w:val="none" w:sz="0" w:space="0" w:color="auto"/>
        <w:left w:val="none" w:sz="0" w:space="0" w:color="auto"/>
        <w:bottom w:val="none" w:sz="0" w:space="0" w:color="auto"/>
        <w:right w:val="none" w:sz="0" w:space="0" w:color="auto"/>
      </w:divBdr>
    </w:div>
    <w:div w:id="2129424111">
      <w:bodyDiv w:val="1"/>
      <w:marLeft w:val="0"/>
      <w:marRight w:val="0"/>
      <w:marTop w:val="0"/>
      <w:marBottom w:val="0"/>
      <w:divBdr>
        <w:top w:val="none" w:sz="0" w:space="0" w:color="auto"/>
        <w:left w:val="none" w:sz="0" w:space="0" w:color="auto"/>
        <w:bottom w:val="none" w:sz="0" w:space="0" w:color="auto"/>
        <w:right w:val="none" w:sz="0" w:space="0" w:color="auto"/>
      </w:divBdr>
    </w:div>
    <w:div w:id="2129468019">
      <w:bodyDiv w:val="1"/>
      <w:marLeft w:val="0"/>
      <w:marRight w:val="0"/>
      <w:marTop w:val="0"/>
      <w:marBottom w:val="0"/>
      <w:divBdr>
        <w:top w:val="none" w:sz="0" w:space="0" w:color="auto"/>
        <w:left w:val="none" w:sz="0" w:space="0" w:color="auto"/>
        <w:bottom w:val="none" w:sz="0" w:space="0" w:color="auto"/>
        <w:right w:val="none" w:sz="0" w:space="0" w:color="auto"/>
      </w:divBdr>
    </w:div>
    <w:div w:id="2129545668">
      <w:bodyDiv w:val="1"/>
      <w:marLeft w:val="0"/>
      <w:marRight w:val="0"/>
      <w:marTop w:val="0"/>
      <w:marBottom w:val="0"/>
      <w:divBdr>
        <w:top w:val="none" w:sz="0" w:space="0" w:color="auto"/>
        <w:left w:val="none" w:sz="0" w:space="0" w:color="auto"/>
        <w:bottom w:val="none" w:sz="0" w:space="0" w:color="auto"/>
        <w:right w:val="none" w:sz="0" w:space="0" w:color="auto"/>
      </w:divBdr>
    </w:div>
    <w:div w:id="2129617083">
      <w:bodyDiv w:val="1"/>
      <w:marLeft w:val="0"/>
      <w:marRight w:val="0"/>
      <w:marTop w:val="0"/>
      <w:marBottom w:val="0"/>
      <w:divBdr>
        <w:top w:val="none" w:sz="0" w:space="0" w:color="auto"/>
        <w:left w:val="none" w:sz="0" w:space="0" w:color="auto"/>
        <w:bottom w:val="none" w:sz="0" w:space="0" w:color="auto"/>
        <w:right w:val="none" w:sz="0" w:space="0" w:color="auto"/>
      </w:divBdr>
    </w:div>
    <w:div w:id="2129623567">
      <w:bodyDiv w:val="1"/>
      <w:marLeft w:val="0"/>
      <w:marRight w:val="0"/>
      <w:marTop w:val="0"/>
      <w:marBottom w:val="0"/>
      <w:divBdr>
        <w:top w:val="none" w:sz="0" w:space="0" w:color="auto"/>
        <w:left w:val="none" w:sz="0" w:space="0" w:color="auto"/>
        <w:bottom w:val="none" w:sz="0" w:space="0" w:color="auto"/>
        <w:right w:val="none" w:sz="0" w:space="0" w:color="auto"/>
      </w:divBdr>
    </w:div>
    <w:div w:id="2129658687">
      <w:bodyDiv w:val="1"/>
      <w:marLeft w:val="0"/>
      <w:marRight w:val="0"/>
      <w:marTop w:val="0"/>
      <w:marBottom w:val="0"/>
      <w:divBdr>
        <w:top w:val="none" w:sz="0" w:space="0" w:color="auto"/>
        <w:left w:val="none" w:sz="0" w:space="0" w:color="auto"/>
        <w:bottom w:val="none" w:sz="0" w:space="0" w:color="auto"/>
        <w:right w:val="none" w:sz="0" w:space="0" w:color="auto"/>
      </w:divBdr>
    </w:div>
    <w:div w:id="2129666366">
      <w:bodyDiv w:val="1"/>
      <w:marLeft w:val="0"/>
      <w:marRight w:val="0"/>
      <w:marTop w:val="0"/>
      <w:marBottom w:val="0"/>
      <w:divBdr>
        <w:top w:val="none" w:sz="0" w:space="0" w:color="auto"/>
        <w:left w:val="none" w:sz="0" w:space="0" w:color="auto"/>
        <w:bottom w:val="none" w:sz="0" w:space="0" w:color="auto"/>
        <w:right w:val="none" w:sz="0" w:space="0" w:color="auto"/>
      </w:divBdr>
    </w:div>
    <w:div w:id="2129855804">
      <w:bodyDiv w:val="1"/>
      <w:marLeft w:val="0"/>
      <w:marRight w:val="0"/>
      <w:marTop w:val="0"/>
      <w:marBottom w:val="0"/>
      <w:divBdr>
        <w:top w:val="none" w:sz="0" w:space="0" w:color="auto"/>
        <w:left w:val="none" w:sz="0" w:space="0" w:color="auto"/>
        <w:bottom w:val="none" w:sz="0" w:space="0" w:color="auto"/>
        <w:right w:val="none" w:sz="0" w:space="0" w:color="auto"/>
      </w:divBdr>
    </w:div>
    <w:div w:id="2129883738">
      <w:bodyDiv w:val="1"/>
      <w:marLeft w:val="0"/>
      <w:marRight w:val="0"/>
      <w:marTop w:val="0"/>
      <w:marBottom w:val="0"/>
      <w:divBdr>
        <w:top w:val="none" w:sz="0" w:space="0" w:color="auto"/>
        <w:left w:val="none" w:sz="0" w:space="0" w:color="auto"/>
        <w:bottom w:val="none" w:sz="0" w:space="0" w:color="auto"/>
        <w:right w:val="none" w:sz="0" w:space="0" w:color="auto"/>
      </w:divBdr>
    </w:div>
    <w:div w:id="2129934388">
      <w:bodyDiv w:val="1"/>
      <w:marLeft w:val="0"/>
      <w:marRight w:val="0"/>
      <w:marTop w:val="0"/>
      <w:marBottom w:val="0"/>
      <w:divBdr>
        <w:top w:val="none" w:sz="0" w:space="0" w:color="auto"/>
        <w:left w:val="none" w:sz="0" w:space="0" w:color="auto"/>
        <w:bottom w:val="none" w:sz="0" w:space="0" w:color="auto"/>
        <w:right w:val="none" w:sz="0" w:space="0" w:color="auto"/>
      </w:divBdr>
    </w:div>
    <w:div w:id="2130128792">
      <w:bodyDiv w:val="1"/>
      <w:marLeft w:val="0"/>
      <w:marRight w:val="0"/>
      <w:marTop w:val="0"/>
      <w:marBottom w:val="0"/>
      <w:divBdr>
        <w:top w:val="none" w:sz="0" w:space="0" w:color="auto"/>
        <w:left w:val="none" w:sz="0" w:space="0" w:color="auto"/>
        <w:bottom w:val="none" w:sz="0" w:space="0" w:color="auto"/>
        <w:right w:val="none" w:sz="0" w:space="0" w:color="auto"/>
      </w:divBdr>
    </w:div>
    <w:div w:id="2130396238">
      <w:bodyDiv w:val="1"/>
      <w:marLeft w:val="0"/>
      <w:marRight w:val="0"/>
      <w:marTop w:val="0"/>
      <w:marBottom w:val="0"/>
      <w:divBdr>
        <w:top w:val="none" w:sz="0" w:space="0" w:color="auto"/>
        <w:left w:val="none" w:sz="0" w:space="0" w:color="auto"/>
        <w:bottom w:val="none" w:sz="0" w:space="0" w:color="auto"/>
        <w:right w:val="none" w:sz="0" w:space="0" w:color="auto"/>
      </w:divBdr>
    </w:div>
    <w:div w:id="2130467710">
      <w:bodyDiv w:val="1"/>
      <w:marLeft w:val="0"/>
      <w:marRight w:val="0"/>
      <w:marTop w:val="0"/>
      <w:marBottom w:val="0"/>
      <w:divBdr>
        <w:top w:val="none" w:sz="0" w:space="0" w:color="auto"/>
        <w:left w:val="none" w:sz="0" w:space="0" w:color="auto"/>
        <w:bottom w:val="none" w:sz="0" w:space="0" w:color="auto"/>
        <w:right w:val="none" w:sz="0" w:space="0" w:color="auto"/>
      </w:divBdr>
    </w:div>
    <w:div w:id="2130467835">
      <w:bodyDiv w:val="1"/>
      <w:marLeft w:val="0"/>
      <w:marRight w:val="0"/>
      <w:marTop w:val="0"/>
      <w:marBottom w:val="0"/>
      <w:divBdr>
        <w:top w:val="none" w:sz="0" w:space="0" w:color="auto"/>
        <w:left w:val="none" w:sz="0" w:space="0" w:color="auto"/>
        <w:bottom w:val="none" w:sz="0" w:space="0" w:color="auto"/>
        <w:right w:val="none" w:sz="0" w:space="0" w:color="auto"/>
      </w:divBdr>
    </w:div>
    <w:div w:id="2130470830">
      <w:bodyDiv w:val="1"/>
      <w:marLeft w:val="0"/>
      <w:marRight w:val="0"/>
      <w:marTop w:val="0"/>
      <w:marBottom w:val="0"/>
      <w:divBdr>
        <w:top w:val="none" w:sz="0" w:space="0" w:color="auto"/>
        <w:left w:val="none" w:sz="0" w:space="0" w:color="auto"/>
        <w:bottom w:val="none" w:sz="0" w:space="0" w:color="auto"/>
        <w:right w:val="none" w:sz="0" w:space="0" w:color="auto"/>
      </w:divBdr>
    </w:div>
    <w:div w:id="2130584525">
      <w:bodyDiv w:val="1"/>
      <w:marLeft w:val="0"/>
      <w:marRight w:val="0"/>
      <w:marTop w:val="0"/>
      <w:marBottom w:val="0"/>
      <w:divBdr>
        <w:top w:val="none" w:sz="0" w:space="0" w:color="auto"/>
        <w:left w:val="none" w:sz="0" w:space="0" w:color="auto"/>
        <w:bottom w:val="none" w:sz="0" w:space="0" w:color="auto"/>
        <w:right w:val="none" w:sz="0" w:space="0" w:color="auto"/>
      </w:divBdr>
    </w:div>
    <w:div w:id="2130774951">
      <w:bodyDiv w:val="1"/>
      <w:marLeft w:val="0"/>
      <w:marRight w:val="0"/>
      <w:marTop w:val="0"/>
      <w:marBottom w:val="0"/>
      <w:divBdr>
        <w:top w:val="none" w:sz="0" w:space="0" w:color="auto"/>
        <w:left w:val="none" w:sz="0" w:space="0" w:color="auto"/>
        <w:bottom w:val="none" w:sz="0" w:space="0" w:color="auto"/>
        <w:right w:val="none" w:sz="0" w:space="0" w:color="auto"/>
      </w:divBdr>
    </w:div>
    <w:div w:id="2130850171">
      <w:bodyDiv w:val="1"/>
      <w:marLeft w:val="0"/>
      <w:marRight w:val="0"/>
      <w:marTop w:val="0"/>
      <w:marBottom w:val="0"/>
      <w:divBdr>
        <w:top w:val="none" w:sz="0" w:space="0" w:color="auto"/>
        <w:left w:val="none" w:sz="0" w:space="0" w:color="auto"/>
        <w:bottom w:val="none" w:sz="0" w:space="0" w:color="auto"/>
        <w:right w:val="none" w:sz="0" w:space="0" w:color="auto"/>
      </w:divBdr>
    </w:div>
    <w:div w:id="2130927605">
      <w:bodyDiv w:val="1"/>
      <w:marLeft w:val="0"/>
      <w:marRight w:val="0"/>
      <w:marTop w:val="0"/>
      <w:marBottom w:val="0"/>
      <w:divBdr>
        <w:top w:val="none" w:sz="0" w:space="0" w:color="auto"/>
        <w:left w:val="none" w:sz="0" w:space="0" w:color="auto"/>
        <w:bottom w:val="none" w:sz="0" w:space="0" w:color="auto"/>
        <w:right w:val="none" w:sz="0" w:space="0" w:color="auto"/>
      </w:divBdr>
    </w:div>
    <w:div w:id="2130969797">
      <w:bodyDiv w:val="1"/>
      <w:marLeft w:val="0"/>
      <w:marRight w:val="0"/>
      <w:marTop w:val="0"/>
      <w:marBottom w:val="0"/>
      <w:divBdr>
        <w:top w:val="none" w:sz="0" w:space="0" w:color="auto"/>
        <w:left w:val="none" w:sz="0" w:space="0" w:color="auto"/>
        <w:bottom w:val="none" w:sz="0" w:space="0" w:color="auto"/>
        <w:right w:val="none" w:sz="0" w:space="0" w:color="auto"/>
      </w:divBdr>
    </w:div>
    <w:div w:id="2130975615">
      <w:bodyDiv w:val="1"/>
      <w:marLeft w:val="0"/>
      <w:marRight w:val="0"/>
      <w:marTop w:val="0"/>
      <w:marBottom w:val="0"/>
      <w:divBdr>
        <w:top w:val="none" w:sz="0" w:space="0" w:color="auto"/>
        <w:left w:val="none" w:sz="0" w:space="0" w:color="auto"/>
        <w:bottom w:val="none" w:sz="0" w:space="0" w:color="auto"/>
        <w:right w:val="none" w:sz="0" w:space="0" w:color="auto"/>
      </w:divBdr>
    </w:div>
    <w:div w:id="2131119354">
      <w:bodyDiv w:val="1"/>
      <w:marLeft w:val="0"/>
      <w:marRight w:val="0"/>
      <w:marTop w:val="0"/>
      <w:marBottom w:val="0"/>
      <w:divBdr>
        <w:top w:val="none" w:sz="0" w:space="0" w:color="auto"/>
        <w:left w:val="none" w:sz="0" w:space="0" w:color="auto"/>
        <w:bottom w:val="none" w:sz="0" w:space="0" w:color="auto"/>
        <w:right w:val="none" w:sz="0" w:space="0" w:color="auto"/>
      </w:divBdr>
    </w:div>
    <w:div w:id="2131165261">
      <w:bodyDiv w:val="1"/>
      <w:marLeft w:val="0"/>
      <w:marRight w:val="0"/>
      <w:marTop w:val="0"/>
      <w:marBottom w:val="0"/>
      <w:divBdr>
        <w:top w:val="none" w:sz="0" w:space="0" w:color="auto"/>
        <w:left w:val="none" w:sz="0" w:space="0" w:color="auto"/>
        <w:bottom w:val="none" w:sz="0" w:space="0" w:color="auto"/>
        <w:right w:val="none" w:sz="0" w:space="0" w:color="auto"/>
      </w:divBdr>
    </w:div>
    <w:div w:id="2131168876">
      <w:bodyDiv w:val="1"/>
      <w:marLeft w:val="0"/>
      <w:marRight w:val="0"/>
      <w:marTop w:val="0"/>
      <w:marBottom w:val="0"/>
      <w:divBdr>
        <w:top w:val="none" w:sz="0" w:space="0" w:color="auto"/>
        <w:left w:val="none" w:sz="0" w:space="0" w:color="auto"/>
        <w:bottom w:val="none" w:sz="0" w:space="0" w:color="auto"/>
        <w:right w:val="none" w:sz="0" w:space="0" w:color="auto"/>
      </w:divBdr>
    </w:div>
    <w:div w:id="2131236974">
      <w:bodyDiv w:val="1"/>
      <w:marLeft w:val="0"/>
      <w:marRight w:val="0"/>
      <w:marTop w:val="0"/>
      <w:marBottom w:val="0"/>
      <w:divBdr>
        <w:top w:val="none" w:sz="0" w:space="0" w:color="auto"/>
        <w:left w:val="none" w:sz="0" w:space="0" w:color="auto"/>
        <w:bottom w:val="none" w:sz="0" w:space="0" w:color="auto"/>
        <w:right w:val="none" w:sz="0" w:space="0" w:color="auto"/>
      </w:divBdr>
    </w:div>
    <w:div w:id="2131238559">
      <w:bodyDiv w:val="1"/>
      <w:marLeft w:val="0"/>
      <w:marRight w:val="0"/>
      <w:marTop w:val="0"/>
      <w:marBottom w:val="0"/>
      <w:divBdr>
        <w:top w:val="none" w:sz="0" w:space="0" w:color="auto"/>
        <w:left w:val="none" w:sz="0" w:space="0" w:color="auto"/>
        <w:bottom w:val="none" w:sz="0" w:space="0" w:color="auto"/>
        <w:right w:val="none" w:sz="0" w:space="0" w:color="auto"/>
      </w:divBdr>
    </w:div>
    <w:div w:id="2131245891">
      <w:bodyDiv w:val="1"/>
      <w:marLeft w:val="0"/>
      <w:marRight w:val="0"/>
      <w:marTop w:val="0"/>
      <w:marBottom w:val="0"/>
      <w:divBdr>
        <w:top w:val="none" w:sz="0" w:space="0" w:color="auto"/>
        <w:left w:val="none" w:sz="0" w:space="0" w:color="auto"/>
        <w:bottom w:val="none" w:sz="0" w:space="0" w:color="auto"/>
        <w:right w:val="none" w:sz="0" w:space="0" w:color="auto"/>
      </w:divBdr>
    </w:div>
    <w:div w:id="2131387852">
      <w:bodyDiv w:val="1"/>
      <w:marLeft w:val="0"/>
      <w:marRight w:val="0"/>
      <w:marTop w:val="0"/>
      <w:marBottom w:val="0"/>
      <w:divBdr>
        <w:top w:val="none" w:sz="0" w:space="0" w:color="auto"/>
        <w:left w:val="none" w:sz="0" w:space="0" w:color="auto"/>
        <w:bottom w:val="none" w:sz="0" w:space="0" w:color="auto"/>
        <w:right w:val="none" w:sz="0" w:space="0" w:color="auto"/>
      </w:divBdr>
    </w:div>
    <w:div w:id="2131507595">
      <w:bodyDiv w:val="1"/>
      <w:marLeft w:val="0"/>
      <w:marRight w:val="0"/>
      <w:marTop w:val="0"/>
      <w:marBottom w:val="0"/>
      <w:divBdr>
        <w:top w:val="none" w:sz="0" w:space="0" w:color="auto"/>
        <w:left w:val="none" w:sz="0" w:space="0" w:color="auto"/>
        <w:bottom w:val="none" w:sz="0" w:space="0" w:color="auto"/>
        <w:right w:val="none" w:sz="0" w:space="0" w:color="auto"/>
      </w:divBdr>
    </w:div>
    <w:div w:id="2131589541">
      <w:bodyDiv w:val="1"/>
      <w:marLeft w:val="0"/>
      <w:marRight w:val="0"/>
      <w:marTop w:val="0"/>
      <w:marBottom w:val="0"/>
      <w:divBdr>
        <w:top w:val="none" w:sz="0" w:space="0" w:color="auto"/>
        <w:left w:val="none" w:sz="0" w:space="0" w:color="auto"/>
        <w:bottom w:val="none" w:sz="0" w:space="0" w:color="auto"/>
        <w:right w:val="none" w:sz="0" w:space="0" w:color="auto"/>
      </w:divBdr>
    </w:div>
    <w:div w:id="2131625010">
      <w:bodyDiv w:val="1"/>
      <w:marLeft w:val="0"/>
      <w:marRight w:val="0"/>
      <w:marTop w:val="0"/>
      <w:marBottom w:val="0"/>
      <w:divBdr>
        <w:top w:val="none" w:sz="0" w:space="0" w:color="auto"/>
        <w:left w:val="none" w:sz="0" w:space="0" w:color="auto"/>
        <w:bottom w:val="none" w:sz="0" w:space="0" w:color="auto"/>
        <w:right w:val="none" w:sz="0" w:space="0" w:color="auto"/>
      </w:divBdr>
    </w:div>
    <w:div w:id="2131820574">
      <w:bodyDiv w:val="1"/>
      <w:marLeft w:val="0"/>
      <w:marRight w:val="0"/>
      <w:marTop w:val="0"/>
      <w:marBottom w:val="0"/>
      <w:divBdr>
        <w:top w:val="none" w:sz="0" w:space="0" w:color="auto"/>
        <w:left w:val="none" w:sz="0" w:space="0" w:color="auto"/>
        <w:bottom w:val="none" w:sz="0" w:space="0" w:color="auto"/>
        <w:right w:val="none" w:sz="0" w:space="0" w:color="auto"/>
      </w:divBdr>
    </w:div>
    <w:div w:id="2131895412">
      <w:bodyDiv w:val="1"/>
      <w:marLeft w:val="0"/>
      <w:marRight w:val="0"/>
      <w:marTop w:val="0"/>
      <w:marBottom w:val="0"/>
      <w:divBdr>
        <w:top w:val="none" w:sz="0" w:space="0" w:color="auto"/>
        <w:left w:val="none" w:sz="0" w:space="0" w:color="auto"/>
        <w:bottom w:val="none" w:sz="0" w:space="0" w:color="auto"/>
        <w:right w:val="none" w:sz="0" w:space="0" w:color="auto"/>
      </w:divBdr>
    </w:div>
    <w:div w:id="2132091656">
      <w:bodyDiv w:val="1"/>
      <w:marLeft w:val="0"/>
      <w:marRight w:val="0"/>
      <w:marTop w:val="0"/>
      <w:marBottom w:val="0"/>
      <w:divBdr>
        <w:top w:val="none" w:sz="0" w:space="0" w:color="auto"/>
        <w:left w:val="none" w:sz="0" w:space="0" w:color="auto"/>
        <w:bottom w:val="none" w:sz="0" w:space="0" w:color="auto"/>
        <w:right w:val="none" w:sz="0" w:space="0" w:color="auto"/>
      </w:divBdr>
    </w:div>
    <w:div w:id="2132244069">
      <w:bodyDiv w:val="1"/>
      <w:marLeft w:val="0"/>
      <w:marRight w:val="0"/>
      <w:marTop w:val="0"/>
      <w:marBottom w:val="0"/>
      <w:divBdr>
        <w:top w:val="none" w:sz="0" w:space="0" w:color="auto"/>
        <w:left w:val="none" w:sz="0" w:space="0" w:color="auto"/>
        <w:bottom w:val="none" w:sz="0" w:space="0" w:color="auto"/>
        <w:right w:val="none" w:sz="0" w:space="0" w:color="auto"/>
      </w:divBdr>
    </w:div>
    <w:div w:id="2132245460">
      <w:bodyDiv w:val="1"/>
      <w:marLeft w:val="0"/>
      <w:marRight w:val="0"/>
      <w:marTop w:val="0"/>
      <w:marBottom w:val="0"/>
      <w:divBdr>
        <w:top w:val="none" w:sz="0" w:space="0" w:color="auto"/>
        <w:left w:val="none" w:sz="0" w:space="0" w:color="auto"/>
        <w:bottom w:val="none" w:sz="0" w:space="0" w:color="auto"/>
        <w:right w:val="none" w:sz="0" w:space="0" w:color="auto"/>
      </w:divBdr>
    </w:div>
    <w:div w:id="2132312028">
      <w:bodyDiv w:val="1"/>
      <w:marLeft w:val="0"/>
      <w:marRight w:val="0"/>
      <w:marTop w:val="0"/>
      <w:marBottom w:val="0"/>
      <w:divBdr>
        <w:top w:val="none" w:sz="0" w:space="0" w:color="auto"/>
        <w:left w:val="none" w:sz="0" w:space="0" w:color="auto"/>
        <w:bottom w:val="none" w:sz="0" w:space="0" w:color="auto"/>
        <w:right w:val="none" w:sz="0" w:space="0" w:color="auto"/>
      </w:divBdr>
    </w:div>
    <w:div w:id="2132431357">
      <w:bodyDiv w:val="1"/>
      <w:marLeft w:val="0"/>
      <w:marRight w:val="0"/>
      <w:marTop w:val="0"/>
      <w:marBottom w:val="0"/>
      <w:divBdr>
        <w:top w:val="none" w:sz="0" w:space="0" w:color="auto"/>
        <w:left w:val="none" w:sz="0" w:space="0" w:color="auto"/>
        <w:bottom w:val="none" w:sz="0" w:space="0" w:color="auto"/>
        <w:right w:val="none" w:sz="0" w:space="0" w:color="auto"/>
      </w:divBdr>
    </w:div>
    <w:div w:id="2132481309">
      <w:bodyDiv w:val="1"/>
      <w:marLeft w:val="0"/>
      <w:marRight w:val="0"/>
      <w:marTop w:val="0"/>
      <w:marBottom w:val="0"/>
      <w:divBdr>
        <w:top w:val="none" w:sz="0" w:space="0" w:color="auto"/>
        <w:left w:val="none" w:sz="0" w:space="0" w:color="auto"/>
        <w:bottom w:val="none" w:sz="0" w:space="0" w:color="auto"/>
        <w:right w:val="none" w:sz="0" w:space="0" w:color="auto"/>
      </w:divBdr>
    </w:div>
    <w:div w:id="2132700026">
      <w:bodyDiv w:val="1"/>
      <w:marLeft w:val="0"/>
      <w:marRight w:val="0"/>
      <w:marTop w:val="0"/>
      <w:marBottom w:val="0"/>
      <w:divBdr>
        <w:top w:val="none" w:sz="0" w:space="0" w:color="auto"/>
        <w:left w:val="none" w:sz="0" w:space="0" w:color="auto"/>
        <w:bottom w:val="none" w:sz="0" w:space="0" w:color="auto"/>
        <w:right w:val="none" w:sz="0" w:space="0" w:color="auto"/>
      </w:divBdr>
    </w:div>
    <w:div w:id="2132743606">
      <w:bodyDiv w:val="1"/>
      <w:marLeft w:val="0"/>
      <w:marRight w:val="0"/>
      <w:marTop w:val="0"/>
      <w:marBottom w:val="0"/>
      <w:divBdr>
        <w:top w:val="none" w:sz="0" w:space="0" w:color="auto"/>
        <w:left w:val="none" w:sz="0" w:space="0" w:color="auto"/>
        <w:bottom w:val="none" w:sz="0" w:space="0" w:color="auto"/>
        <w:right w:val="none" w:sz="0" w:space="0" w:color="auto"/>
      </w:divBdr>
    </w:div>
    <w:div w:id="2132819052">
      <w:bodyDiv w:val="1"/>
      <w:marLeft w:val="0"/>
      <w:marRight w:val="0"/>
      <w:marTop w:val="0"/>
      <w:marBottom w:val="0"/>
      <w:divBdr>
        <w:top w:val="none" w:sz="0" w:space="0" w:color="auto"/>
        <w:left w:val="none" w:sz="0" w:space="0" w:color="auto"/>
        <w:bottom w:val="none" w:sz="0" w:space="0" w:color="auto"/>
        <w:right w:val="none" w:sz="0" w:space="0" w:color="auto"/>
      </w:divBdr>
    </w:div>
    <w:div w:id="2132895489">
      <w:bodyDiv w:val="1"/>
      <w:marLeft w:val="0"/>
      <w:marRight w:val="0"/>
      <w:marTop w:val="0"/>
      <w:marBottom w:val="0"/>
      <w:divBdr>
        <w:top w:val="none" w:sz="0" w:space="0" w:color="auto"/>
        <w:left w:val="none" w:sz="0" w:space="0" w:color="auto"/>
        <w:bottom w:val="none" w:sz="0" w:space="0" w:color="auto"/>
        <w:right w:val="none" w:sz="0" w:space="0" w:color="auto"/>
      </w:divBdr>
    </w:div>
    <w:div w:id="2133010649">
      <w:bodyDiv w:val="1"/>
      <w:marLeft w:val="0"/>
      <w:marRight w:val="0"/>
      <w:marTop w:val="0"/>
      <w:marBottom w:val="0"/>
      <w:divBdr>
        <w:top w:val="none" w:sz="0" w:space="0" w:color="auto"/>
        <w:left w:val="none" w:sz="0" w:space="0" w:color="auto"/>
        <w:bottom w:val="none" w:sz="0" w:space="0" w:color="auto"/>
        <w:right w:val="none" w:sz="0" w:space="0" w:color="auto"/>
      </w:divBdr>
    </w:div>
    <w:div w:id="2133017373">
      <w:bodyDiv w:val="1"/>
      <w:marLeft w:val="0"/>
      <w:marRight w:val="0"/>
      <w:marTop w:val="0"/>
      <w:marBottom w:val="0"/>
      <w:divBdr>
        <w:top w:val="none" w:sz="0" w:space="0" w:color="auto"/>
        <w:left w:val="none" w:sz="0" w:space="0" w:color="auto"/>
        <w:bottom w:val="none" w:sz="0" w:space="0" w:color="auto"/>
        <w:right w:val="none" w:sz="0" w:space="0" w:color="auto"/>
      </w:divBdr>
    </w:div>
    <w:div w:id="2133018651">
      <w:bodyDiv w:val="1"/>
      <w:marLeft w:val="0"/>
      <w:marRight w:val="0"/>
      <w:marTop w:val="0"/>
      <w:marBottom w:val="0"/>
      <w:divBdr>
        <w:top w:val="none" w:sz="0" w:space="0" w:color="auto"/>
        <w:left w:val="none" w:sz="0" w:space="0" w:color="auto"/>
        <w:bottom w:val="none" w:sz="0" w:space="0" w:color="auto"/>
        <w:right w:val="none" w:sz="0" w:space="0" w:color="auto"/>
      </w:divBdr>
    </w:div>
    <w:div w:id="2133086878">
      <w:bodyDiv w:val="1"/>
      <w:marLeft w:val="0"/>
      <w:marRight w:val="0"/>
      <w:marTop w:val="0"/>
      <w:marBottom w:val="0"/>
      <w:divBdr>
        <w:top w:val="none" w:sz="0" w:space="0" w:color="auto"/>
        <w:left w:val="none" w:sz="0" w:space="0" w:color="auto"/>
        <w:bottom w:val="none" w:sz="0" w:space="0" w:color="auto"/>
        <w:right w:val="none" w:sz="0" w:space="0" w:color="auto"/>
      </w:divBdr>
    </w:div>
    <w:div w:id="2133087279">
      <w:bodyDiv w:val="1"/>
      <w:marLeft w:val="0"/>
      <w:marRight w:val="0"/>
      <w:marTop w:val="0"/>
      <w:marBottom w:val="0"/>
      <w:divBdr>
        <w:top w:val="none" w:sz="0" w:space="0" w:color="auto"/>
        <w:left w:val="none" w:sz="0" w:space="0" w:color="auto"/>
        <w:bottom w:val="none" w:sz="0" w:space="0" w:color="auto"/>
        <w:right w:val="none" w:sz="0" w:space="0" w:color="auto"/>
      </w:divBdr>
    </w:div>
    <w:div w:id="2133136139">
      <w:bodyDiv w:val="1"/>
      <w:marLeft w:val="0"/>
      <w:marRight w:val="0"/>
      <w:marTop w:val="0"/>
      <w:marBottom w:val="0"/>
      <w:divBdr>
        <w:top w:val="none" w:sz="0" w:space="0" w:color="auto"/>
        <w:left w:val="none" w:sz="0" w:space="0" w:color="auto"/>
        <w:bottom w:val="none" w:sz="0" w:space="0" w:color="auto"/>
        <w:right w:val="none" w:sz="0" w:space="0" w:color="auto"/>
      </w:divBdr>
    </w:div>
    <w:div w:id="2133136277">
      <w:bodyDiv w:val="1"/>
      <w:marLeft w:val="0"/>
      <w:marRight w:val="0"/>
      <w:marTop w:val="0"/>
      <w:marBottom w:val="0"/>
      <w:divBdr>
        <w:top w:val="none" w:sz="0" w:space="0" w:color="auto"/>
        <w:left w:val="none" w:sz="0" w:space="0" w:color="auto"/>
        <w:bottom w:val="none" w:sz="0" w:space="0" w:color="auto"/>
        <w:right w:val="none" w:sz="0" w:space="0" w:color="auto"/>
      </w:divBdr>
    </w:div>
    <w:div w:id="2133282773">
      <w:bodyDiv w:val="1"/>
      <w:marLeft w:val="0"/>
      <w:marRight w:val="0"/>
      <w:marTop w:val="0"/>
      <w:marBottom w:val="0"/>
      <w:divBdr>
        <w:top w:val="none" w:sz="0" w:space="0" w:color="auto"/>
        <w:left w:val="none" w:sz="0" w:space="0" w:color="auto"/>
        <w:bottom w:val="none" w:sz="0" w:space="0" w:color="auto"/>
        <w:right w:val="none" w:sz="0" w:space="0" w:color="auto"/>
      </w:divBdr>
    </w:div>
    <w:div w:id="2133404628">
      <w:bodyDiv w:val="1"/>
      <w:marLeft w:val="0"/>
      <w:marRight w:val="0"/>
      <w:marTop w:val="0"/>
      <w:marBottom w:val="0"/>
      <w:divBdr>
        <w:top w:val="none" w:sz="0" w:space="0" w:color="auto"/>
        <w:left w:val="none" w:sz="0" w:space="0" w:color="auto"/>
        <w:bottom w:val="none" w:sz="0" w:space="0" w:color="auto"/>
        <w:right w:val="none" w:sz="0" w:space="0" w:color="auto"/>
      </w:divBdr>
    </w:div>
    <w:div w:id="2133473692">
      <w:bodyDiv w:val="1"/>
      <w:marLeft w:val="0"/>
      <w:marRight w:val="0"/>
      <w:marTop w:val="0"/>
      <w:marBottom w:val="0"/>
      <w:divBdr>
        <w:top w:val="none" w:sz="0" w:space="0" w:color="auto"/>
        <w:left w:val="none" w:sz="0" w:space="0" w:color="auto"/>
        <w:bottom w:val="none" w:sz="0" w:space="0" w:color="auto"/>
        <w:right w:val="none" w:sz="0" w:space="0" w:color="auto"/>
      </w:divBdr>
    </w:div>
    <w:div w:id="2133477187">
      <w:bodyDiv w:val="1"/>
      <w:marLeft w:val="0"/>
      <w:marRight w:val="0"/>
      <w:marTop w:val="0"/>
      <w:marBottom w:val="0"/>
      <w:divBdr>
        <w:top w:val="none" w:sz="0" w:space="0" w:color="auto"/>
        <w:left w:val="none" w:sz="0" w:space="0" w:color="auto"/>
        <w:bottom w:val="none" w:sz="0" w:space="0" w:color="auto"/>
        <w:right w:val="none" w:sz="0" w:space="0" w:color="auto"/>
      </w:divBdr>
    </w:div>
    <w:div w:id="2133554899">
      <w:bodyDiv w:val="1"/>
      <w:marLeft w:val="0"/>
      <w:marRight w:val="0"/>
      <w:marTop w:val="0"/>
      <w:marBottom w:val="0"/>
      <w:divBdr>
        <w:top w:val="none" w:sz="0" w:space="0" w:color="auto"/>
        <w:left w:val="none" w:sz="0" w:space="0" w:color="auto"/>
        <w:bottom w:val="none" w:sz="0" w:space="0" w:color="auto"/>
        <w:right w:val="none" w:sz="0" w:space="0" w:color="auto"/>
      </w:divBdr>
    </w:div>
    <w:div w:id="2133593324">
      <w:bodyDiv w:val="1"/>
      <w:marLeft w:val="0"/>
      <w:marRight w:val="0"/>
      <w:marTop w:val="0"/>
      <w:marBottom w:val="0"/>
      <w:divBdr>
        <w:top w:val="none" w:sz="0" w:space="0" w:color="auto"/>
        <w:left w:val="none" w:sz="0" w:space="0" w:color="auto"/>
        <w:bottom w:val="none" w:sz="0" w:space="0" w:color="auto"/>
        <w:right w:val="none" w:sz="0" w:space="0" w:color="auto"/>
      </w:divBdr>
    </w:div>
    <w:div w:id="2133670820">
      <w:bodyDiv w:val="1"/>
      <w:marLeft w:val="0"/>
      <w:marRight w:val="0"/>
      <w:marTop w:val="0"/>
      <w:marBottom w:val="0"/>
      <w:divBdr>
        <w:top w:val="none" w:sz="0" w:space="0" w:color="auto"/>
        <w:left w:val="none" w:sz="0" w:space="0" w:color="auto"/>
        <w:bottom w:val="none" w:sz="0" w:space="0" w:color="auto"/>
        <w:right w:val="none" w:sz="0" w:space="0" w:color="auto"/>
      </w:divBdr>
    </w:div>
    <w:div w:id="2133671547">
      <w:bodyDiv w:val="1"/>
      <w:marLeft w:val="0"/>
      <w:marRight w:val="0"/>
      <w:marTop w:val="0"/>
      <w:marBottom w:val="0"/>
      <w:divBdr>
        <w:top w:val="none" w:sz="0" w:space="0" w:color="auto"/>
        <w:left w:val="none" w:sz="0" w:space="0" w:color="auto"/>
        <w:bottom w:val="none" w:sz="0" w:space="0" w:color="auto"/>
        <w:right w:val="none" w:sz="0" w:space="0" w:color="auto"/>
      </w:divBdr>
    </w:div>
    <w:div w:id="2133859700">
      <w:bodyDiv w:val="1"/>
      <w:marLeft w:val="0"/>
      <w:marRight w:val="0"/>
      <w:marTop w:val="0"/>
      <w:marBottom w:val="0"/>
      <w:divBdr>
        <w:top w:val="none" w:sz="0" w:space="0" w:color="auto"/>
        <w:left w:val="none" w:sz="0" w:space="0" w:color="auto"/>
        <w:bottom w:val="none" w:sz="0" w:space="0" w:color="auto"/>
        <w:right w:val="none" w:sz="0" w:space="0" w:color="auto"/>
      </w:divBdr>
    </w:div>
    <w:div w:id="2133935957">
      <w:bodyDiv w:val="1"/>
      <w:marLeft w:val="0"/>
      <w:marRight w:val="0"/>
      <w:marTop w:val="0"/>
      <w:marBottom w:val="0"/>
      <w:divBdr>
        <w:top w:val="none" w:sz="0" w:space="0" w:color="auto"/>
        <w:left w:val="none" w:sz="0" w:space="0" w:color="auto"/>
        <w:bottom w:val="none" w:sz="0" w:space="0" w:color="auto"/>
        <w:right w:val="none" w:sz="0" w:space="0" w:color="auto"/>
      </w:divBdr>
    </w:div>
    <w:div w:id="2133983694">
      <w:bodyDiv w:val="1"/>
      <w:marLeft w:val="0"/>
      <w:marRight w:val="0"/>
      <w:marTop w:val="0"/>
      <w:marBottom w:val="0"/>
      <w:divBdr>
        <w:top w:val="none" w:sz="0" w:space="0" w:color="auto"/>
        <w:left w:val="none" w:sz="0" w:space="0" w:color="auto"/>
        <w:bottom w:val="none" w:sz="0" w:space="0" w:color="auto"/>
        <w:right w:val="none" w:sz="0" w:space="0" w:color="auto"/>
      </w:divBdr>
    </w:div>
    <w:div w:id="2134009979">
      <w:bodyDiv w:val="1"/>
      <w:marLeft w:val="0"/>
      <w:marRight w:val="0"/>
      <w:marTop w:val="0"/>
      <w:marBottom w:val="0"/>
      <w:divBdr>
        <w:top w:val="none" w:sz="0" w:space="0" w:color="auto"/>
        <w:left w:val="none" w:sz="0" w:space="0" w:color="auto"/>
        <w:bottom w:val="none" w:sz="0" w:space="0" w:color="auto"/>
        <w:right w:val="none" w:sz="0" w:space="0" w:color="auto"/>
      </w:divBdr>
    </w:div>
    <w:div w:id="2134012310">
      <w:bodyDiv w:val="1"/>
      <w:marLeft w:val="0"/>
      <w:marRight w:val="0"/>
      <w:marTop w:val="0"/>
      <w:marBottom w:val="0"/>
      <w:divBdr>
        <w:top w:val="none" w:sz="0" w:space="0" w:color="auto"/>
        <w:left w:val="none" w:sz="0" w:space="0" w:color="auto"/>
        <w:bottom w:val="none" w:sz="0" w:space="0" w:color="auto"/>
        <w:right w:val="none" w:sz="0" w:space="0" w:color="auto"/>
      </w:divBdr>
    </w:div>
    <w:div w:id="2134014782">
      <w:bodyDiv w:val="1"/>
      <w:marLeft w:val="0"/>
      <w:marRight w:val="0"/>
      <w:marTop w:val="0"/>
      <w:marBottom w:val="0"/>
      <w:divBdr>
        <w:top w:val="none" w:sz="0" w:space="0" w:color="auto"/>
        <w:left w:val="none" w:sz="0" w:space="0" w:color="auto"/>
        <w:bottom w:val="none" w:sz="0" w:space="0" w:color="auto"/>
        <w:right w:val="none" w:sz="0" w:space="0" w:color="auto"/>
      </w:divBdr>
    </w:div>
    <w:div w:id="2134015054">
      <w:bodyDiv w:val="1"/>
      <w:marLeft w:val="0"/>
      <w:marRight w:val="0"/>
      <w:marTop w:val="0"/>
      <w:marBottom w:val="0"/>
      <w:divBdr>
        <w:top w:val="none" w:sz="0" w:space="0" w:color="auto"/>
        <w:left w:val="none" w:sz="0" w:space="0" w:color="auto"/>
        <w:bottom w:val="none" w:sz="0" w:space="0" w:color="auto"/>
        <w:right w:val="none" w:sz="0" w:space="0" w:color="auto"/>
      </w:divBdr>
    </w:div>
    <w:div w:id="2134015477">
      <w:bodyDiv w:val="1"/>
      <w:marLeft w:val="0"/>
      <w:marRight w:val="0"/>
      <w:marTop w:val="0"/>
      <w:marBottom w:val="0"/>
      <w:divBdr>
        <w:top w:val="none" w:sz="0" w:space="0" w:color="auto"/>
        <w:left w:val="none" w:sz="0" w:space="0" w:color="auto"/>
        <w:bottom w:val="none" w:sz="0" w:space="0" w:color="auto"/>
        <w:right w:val="none" w:sz="0" w:space="0" w:color="auto"/>
      </w:divBdr>
    </w:div>
    <w:div w:id="2134131227">
      <w:bodyDiv w:val="1"/>
      <w:marLeft w:val="0"/>
      <w:marRight w:val="0"/>
      <w:marTop w:val="0"/>
      <w:marBottom w:val="0"/>
      <w:divBdr>
        <w:top w:val="none" w:sz="0" w:space="0" w:color="auto"/>
        <w:left w:val="none" w:sz="0" w:space="0" w:color="auto"/>
        <w:bottom w:val="none" w:sz="0" w:space="0" w:color="auto"/>
        <w:right w:val="none" w:sz="0" w:space="0" w:color="auto"/>
      </w:divBdr>
    </w:div>
    <w:div w:id="2134253682">
      <w:bodyDiv w:val="1"/>
      <w:marLeft w:val="0"/>
      <w:marRight w:val="0"/>
      <w:marTop w:val="0"/>
      <w:marBottom w:val="0"/>
      <w:divBdr>
        <w:top w:val="none" w:sz="0" w:space="0" w:color="auto"/>
        <w:left w:val="none" w:sz="0" w:space="0" w:color="auto"/>
        <w:bottom w:val="none" w:sz="0" w:space="0" w:color="auto"/>
        <w:right w:val="none" w:sz="0" w:space="0" w:color="auto"/>
      </w:divBdr>
    </w:div>
    <w:div w:id="2134444149">
      <w:bodyDiv w:val="1"/>
      <w:marLeft w:val="0"/>
      <w:marRight w:val="0"/>
      <w:marTop w:val="0"/>
      <w:marBottom w:val="0"/>
      <w:divBdr>
        <w:top w:val="none" w:sz="0" w:space="0" w:color="auto"/>
        <w:left w:val="none" w:sz="0" w:space="0" w:color="auto"/>
        <w:bottom w:val="none" w:sz="0" w:space="0" w:color="auto"/>
        <w:right w:val="none" w:sz="0" w:space="0" w:color="auto"/>
      </w:divBdr>
    </w:div>
    <w:div w:id="2134598058">
      <w:bodyDiv w:val="1"/>
      <w:marLeft w:val="0"/>
      <w:marRight w:val="0"/>
      <w:marTop w:val="0"/>
      <w:marBottom w:val="0"/>
      <w:divBdr>
        <w:top w:val="none" w:sz="0" w:space="0" w:color="auto"/>
        <w:left w:val="none" w:sz="0" w:space="0" w:color="auto"/>
        <w:bottom w:val="none" w:sz="0" w:space="0" w:color="auto"/>
        <w:right w:val="none" w:sz="0" w:space="0" w:color="auto"/>
      </w:divBdr>
    </w:div>
    <w:div w:id="2134640239">
      <w:bodyDiv w:val="1"/>
      <w:marLeft w:val="0"/>
      <w:marRight w:val="0"/>
      <w:marTop w:val="0"/>
      <w:marBottom w:val="0"/>
      <w:divBdr>
        <w:top w:val="none" w:sz="0" w:space="0" w:color="auto"/>
        <w:left w:val="none" w:sz="0" w:space="0" w:color="auto"/>
        <w:bottom w:val="none" w:sz="0" w:space="0" w:color="auto"/>
        <w:right w:val="none" w:sz="0" w:space="0" w:color="auto"/>
      </w:divBdr>
    </w:div>
    <w:div w:id="2134667473">
      <w:bodyDiv w:val="1"/>
      <w:marLeft w:val="0"/>
      <w:marRight w:val="0"/>
      <w:marTop w:val="0"/>
      <w:marBottom w:val="0"/>
      <w:divBdr>
        <w:top w:val="none" w:sz="0" w:space="0" w:color="auto"/>
        <w:left w:val="none" w:sz="0" w:space="0" w:color="auto"/>
        <w:bottom w:val="none" w:sz="0" w:space="0" w:color="auto"/>
        <w:right w:val="none" w:sz="0" w:space="0" w:color="auto"/>
      </w:divBdr>
    </w:div>
    <w:div w:id="2134788753">
      <w:bodyDiv w:val="1"/>
      <w:marLeft w:val="0"/>
      <w:marRight w:val="0"/>
      <w:marTop w:val="0"/>
      <w:marBottom w:val="0"/>
      <w:divBdr>
        <w:top w:val="none" w:sz="0" w:space="0" w:color="auto"/>
        <w:left w:val="none" w:sz="0" w:space="0" w:color="auto"/>
        <w:bottom w:val="none" w:sz="0" w:space="0" w:color="auto"/>
        <w:right w:val="none" w:sz="0" w:space="0" w:color="auto"/>
      </w:divBdr>
    </w:div>
    <w:div w:id="2134862891">
      <w:bodyDiv w:val="1"/>
      <w:marLeft w:val="0"/>
      <w:marRight w:val="0"/>
      <w:marTop w:val="0"/>
      <w:marBottom w:val="0"/>
      <w:divBdr>
        <w:top w:val="none" w:sz="0" w:space="0" w:color="auto"/>
        <w:left w:val="none" w:sz="0" w:space="0" w:color="auto"/>
        <w:bottom w:val="none" w:sz="0" w:space="0" w:color="auto"/>
        <w:right w:val="none" w:sz="0" w:space="0" w:color="auto"/>
      </w:divBdr>
    </w:div>
    <w:div w:id="2134863340">
      <w:bodyDiv w:val="1"/>
      <w:marLeft w:val="0"/>
      <w:marRight w:val="0"/>
      <w:marTop w:val="0"/>
      <w:marBottom w:val="0"/>
      <w:divBdr>
        <w:top w:val="none" w:sz="0" w:space="0" w:color="auto"/>
        <w:left w:val="none" w:sz="0" w:space="0" w:color="auto"/>
        <w:bottom w:val="none" w:sz="0" w:space="0" w:color="auto"/>
        <w:right w:val="none" w:sz="0" w:space="0" w:color="auto"/>
      </w:divBdr>
    </w:div>
    <w:div w:id="2134903087">
      <w:bodyDiv w:val="1"/>
      <w:marLeft w:val="0"/>
      <w:marRight w:val="0"/>
      <w:marTop w:val="0"/>
      <w:marBottom w:val="0"/>
      <w:divBdr>
        <w:top w:val="none" w:sz="0" w:space="0" w:color="auto"/>
        <w:left w:val="none" w:sz="0" w:space="0" w:color="auto"/>
        <w:bottom w:val="none" w:sz="0" w:space="0" w:color="auto"/>
        <w:right w:val="none" w:sz="0" w:space="0" w:color="auto"/>
      </w:divBdr>
    </w:div>
    <w:div w:id="2134904852">
      <w:bodyDiv w:val="1"/>
      <w:marLeft w:val="0"/>
      <w:marRight w:val="0"/>
      <w:marTop w:val="0"/>
      <w:marBottom w:val="0"/>
      <w:divBdr>
        <w:top w:val="none" w:sz="0" w:space="0" w:color="auto"/>
        <w:left w:val="none" w:sz="0" w:space="0" w:color="auto"/>
        <w:bottom w:val="none" w:sz="0" w:space="0" w:color="auto"/>
        <w:right w:val="none" w:sz="0" w:space="0" w:color="auto"/>
      </w:divBdr>
    </w:div>
    <w:div w:id="2135050861">
      <w:bodyDiv w:val="1"/>
      <w:marLeft w:val="0"/>
      <w:marRight w:val="0"/>
      <w:marTop w:val="0"/>
      <w:marBottom w:val="0"/>
      <w:divBdr>
        <w:top w:val="none" w:sz="0" w:space="0" w:color="auto"/>
        <w:left w:val="none" w:sz="0" w:space="0" w:color="auto"/>
        <w:bottom w:val="none" w:sz="0" w:space="0" w:color="auto"/>
        <w:right w:val="none" w:sz="0" w:space="0" w:color="auto"/>
      </w:divBdr>
    </w:div>
    <w:div w:id="2135057588">
      <w:bodyDiv w:val="1"/>
      <w:marLeft w:val="0"/>
      <w:marRight w:val="0"/>
      <w:marTop w:val="0"/>
      <w:marBottom w:val="0"/>
      <w:divBdr>
        <w:top w:val="none" w:sz="0" w:space="0" w:color="auto"/>
        <w:left w:val="none" w:sz="0" w:space="0" w:color="auto"/>
        <w:bottom w:val="none" w:sz="0" w:space="0" w:color="auto"/>
        <w:right w:val="none" w:sz="0" w:space="0" w:color="auto"/>
      </w:divBdr>
    </w:div>
    <w:div w:id="2135174287">
      <w:bodyDiv w:val="1"/>
      <w:marLeft w:val="0"/>
      <w:marRight w:val="0"/>
      <w:marTop w:val="0"/>
      <w:marBottom w:val="0"/>
      <w:divBdr>
        <w:top w:val="none" w:sz="0" w:space="0" w:color="auto"/>
        <w:left w:val="none" w:sz="0" w:space="0" w:color="auto"/>
        <w:bottom w:val="none" w:sz="0" w:space="0" w:color="auto"/>
        <w:right w:val="none" w:sz="0" w:space="0" w:color="auto"/>
      </w:divBdr>
    </w:div>
    <w:div w:id="2135444946">
      <w:bodyDiv w:val="1"/>
      <w:marLeft w:val="0"/>
      <w:marRight w:val="0"/>
      <w:marTop w:val="0"/>
      <w:marBottom w:val="0"/>
      <w:divBdr>
        <w:top w:val="none" w:sz="0" w:space="0" w:color="auto"/>
        <w:left w:val="none" w:sz="0" w:space="0" w:color="auto"/>
        <w:bottom w:val="none" w:sz="0" w:space="0" w:color="auto"/>
        <w:right w:val="none" w:sz="0" w:space="0" w:color="auto"/>
      </w:divBdr>
    </w:div>
    <w:div w:id="2135445879">
      <w:bodyDiv w:val="1"/>
      <w:marLeft w:val="0"/>
      <w:marRight w:val="0"/>
      <w:marTop w:val="0"/>
      <w:marBottom w:val="0"/>
      <w:divBdr>
        <w:top w:val="none" w:sz="0" w:space="0" w:color="auto"/>
        <w:left w:val="none" w:sz="0" w:space="0" w:color="auto"/>
        <w:bottom w:val="none" w:sz="0" w:space="0" w:color="auto"/>
        <w:right w:val="none" w:sz="0" w:space="0" w:color="auto"/>
      </w:divBdr>
    </w:div>
    <w:div w:id="2135446029">
      <w:bodyDiv w:val="1"/>
      <w:marLeft w:val="0"/>
      <w:marRight w:val="0"/>
      <w:marTop w:val="0"/>
      <w:marBottom w:val="0"/>
      <w:divBdr>
        <w:top w:val="none" w:sz="0" w:space="0" w:color="auto"/>
        <w:left w:val="none" w:sz="0" w:space="0" w:color="auto"/>
        <w:bottom w:val="none" w:sz="0" w:space="0" w:color="auto"/>
        <w:right w:val="none" w:sz="0" w:space="0" w:color="auto"/>
      </w:divBdr>
    </w:div>
    <w:div w:id="2135513205">
      <w:bodyDiv w:val="1"/>
      <w:marLeft w:val="0"/>
      <w:marRight w:val="0"/>
      <w:marTop w:val="0"/>
      <w:marBottom w:val="0"/>
      <w:divBdr>
        <w:top w:val="none" w:sz="0" w:space="0" w:color="auto"/>
        <w:left w:val="none" w:sz="0" w:space="0" w:color="auto"/>
        <w:bottom w:val="none" w:sz="0" w:space="0" w:color="auto"/>
        <w:right w:val="none" w:sz="0" w:space="0" w:color="auto"/>
      </w:divBdr>
    </w:div>
    <w:div w:id="2135636172">
      <w:bodyDiv w:val="1"/>
      <w:marLeft w:val="0"/>
      <w:marRight w:val="0"/>
      <w:marTop w:val="0"/>
      <w:marBottom w:val="0"/>
      <w:divBdr>
        <w:top w:val="none" w:sz="0" w:space="0" w:color="auto"/>
        <w:left w:val="none" w:sz="0" w:space="0" w:color="auto"/>
        <w:bottom w:val="none" w:sz="0" w:space="0" w:color="auto"/>
        <w:right w:val="none" w:sz="0" w:space="0" w:color="auto"/>
      </w:divBdr>
    </w:div>
    <w:div w:id="2135713715">
      <w:bodyDiv w:val="1"/>
      <w:marLeft w:val="0"/>
      <w:marRight w:val="0"/>
      <w:marTop w:val="0"/>
      <w:marBottom w:val="0"/>
      <w:divBdr>
        <w:top w:val="none" w:sz="0" w:space="0" w:color="auto"/>
        <w:left w:val="none" w:sz="0" w:space="0" w:color="auto"/>
        <w:bottom w:val="none" w:sz="0" w:space="0" w:color="auto"/>
        <w:right w:val="none" w:sz="0" w:space="0" w:color="auto"/>
      </w:divBdr>
    </w:div>
    <w:div w:id="2135783072">
      <w:bodyDiv w:val="1"/>
      <w:marLeft w:val="0"/>
      <w:marRight w:val="0"/>
      <w:marTop w:val="0"/>
      <w:marBottom w:val="0"/>
      <w:divBdr>
        <w:top w:val="none" w:sz="0" w:space="0" w:color="auto"/>
        <w:left w:val="none" w:sz="0" w:space="0" w:color="auto"/>
        <w:bottom w:val="none" w:sz="0" w:space="0" w:color="auto"/>
        <w:right w:val="none" w:sz="0" w:space="0" w:color="auto"/>
      </w:divBdr>
    </w:div>
    <w:div w:id="2135784901">
      <w:bodyDiv w:val="1"/>
      <w:marLeft w:val="0"/>
      <w:marRight w:val="0"/>
      <w:marTop w:val="0"/>
      <w:marBottom w:val="0"/>
      <w:divBdr>
        <w:top w:val="none" w:sz="0" w:space="0" w:color="auto"/>
        <w:left w:val="none" w:sz="0" w:space="0" w:color="auto"/>
        <w:bottom w:val="none" w:sz="0" w:space="0" w:color="auto"/>
        <w:right w:val="none" w:sz="0" w:space="0" w:color="auto"/>
      </w:divBdr>
    </w:div>
    <w:div w:id="2135902474">
      <w:bodyDiv w:val="1"/>
      <w:marLeft w:val="0"/>
      <w:marRight w:val="0"/>
      <w:marTop w:val="0"/>
      <w:marBottom w:val="0"/>
      <w:divBdr>
        <w:top w:val="none" w:sz="0" w:space="0" w:color="auto"/>
        <w:left w:val="none" w:sz="0" w:space="0" w:color="auto"/>
        <w:bottom w:val="none" w:sz="0" w:space="0" w:color="auto"/>
        <w:right w:val="none" w:sz="0" w:space="0" w:color="auto"/>
      </w:divBdr>
    </w:div>
    <w:div w:id="2135905886">
      <w:bodyDiv w:val="1"/>
      <w:marLeft w:val="0"/>
      <w:marRight w:val="0"/>
      <w:marTop w:val="0"/>
      <w:marBottom w:val="0"/>
      <w:divBdr>
        <w:top w:val="none" w:sz="0" w:space="0" w:color="auto"/>
        <w:left w:val="none" w:sz="0" w:space="0" w:color="auto"/>
        <w:bottom w:val="none" w:sz="0" w:space="0" w:color="auto"/>
        <w:right w:val="none" w:sz="0" w:space="0" w:color="auto"/>
      </w:divBdr>
    </w:div>
    <w:div w:id="2135949752">
      <w:bodyDiv w:val="1"/>
      <w:marLeft w:val="0"/>
      <w:marRight w:val="0"/>
      <w:marTop w:val="0"/>
      <w:marBottom w:val="0"/>
      <w:divBdr>
        <w:top w:val="none" w:sz="0" w:space="0" w:color="auto"/>
        <w:left w:val="none" w:sz="0" w:space="0" w:color="auto"/>
        <w:bottom w:val="none" w:sz="0" w:space="0" w:color="auto"/>
        <w:right w:val="none" w:sz="0" w:space="0" w:color="auto"/>
      </w:divBdr>
    </w:div>
    <w:div w:id="2135950747">
      <w:bodyDiv w:val="1"/>
      <w:marLeft w:val="0"/>
      <w:marRight w:val="0"/>
      <w:marTop w:val="0"/>
      <w:marBottom w:val="0"/>
      <w:divBdr>
        <w:top w:val="none" w:sz="0" w:space="0" w:color="auto"/>
        <w:left w:val="none" w:sz="0" w:space="0" w:color="auto"/>
        <w:bottom w:val="none" w:sz="0" w:space="0" w:color="auto"/>
        <w:right w:val="none" w:sz="0" w:space="0" w:color="auto"/>
      </w:divBdr>
    </w:div>
    <w:div w:id="2135980130">
      <w:bodyDiv w:val="1"/>
      <w:marLeft w:val="0"/>
      <w:marRight w:val="0"/>
      <w:marTop w:val="0"/>
      <w:marBottom w:val="0"/>
      <w:divBdr>
        <w:top w:val="none" w:sz="0" w:space="0" w:color="auto"/>
        <w:left w:val="none" w:sz="0" w:space="0" w:color="auto"/>
        <w:bottom w:val="none" w:sz="0" w:space="0" w:color="auto"/>
        <w:right w:val="none" w:sz="0" w:space="0" w:color="auto"/>
      </w:divBdr>
    </w:div>
    <w:div w:id="2136017330">
      <w:bodyDiv w:val="1"/>
      <w:marLeft w:val="0"/>
      <w:marRight w:val="0"/>
      <w:marTop w:val="0"/>
      <w:marBottom w:val="0"/>
      <w:divBdr>
        <w:top w:val="none" w:sz="0" w:space="0" w:color="auto"/>
        <w:left w:val="none" w:sz="0" w:space="0" w:color="auto"/>
        <w:bottom w:val="none" w:sz="0" w:space="0" w:color="auto"/>
        <w:right w:val="none" w:sz="0" w:space="0" w:color="auto"/>
      </w:divBdr>
    </w:div>
    <w:div w:id="2136095004">
      <w:bodyDiv w:val="1"/>
      <w:marLeft w:val="0"/>
      <w:marRight w:val="0"/>
      <w:marTop w:val="0"/>
      <w:marBottom w:val="0"/>
      <w:divBdr>
        <w:top w:val="none" w:sz="0" w:space="0" w:color="auto"/>
        <w:left w:val="none" w:sz="0" w:space="0" w:color="auto"/>
        <w:bottom w:val="none" w:sz="0" w:space="0" w:color="auto"/>
        <w:right w:val="none" w:sz="0" w:space="0" w:color="auto"/>
      </w:divBdr>
    </w:div>
    <w:div w:id="2136101961">
      <w:bodyDiv w:val="1"/>
      <w:marLeft w:val="0"/>
      <w:marRight w:val="0"/>
      <w:marTop w:val="0"/>
      <w:marBottom w:val="0"/>
      <w:divBdr>
        <w:top w:val="none" w:sz="0" w:space="0" w:color="auto"/>
        <w:left w:val="none" w:sz="0" w:space="0" w:color="auto"/>
        <w:bottom w:val="none" w:sz="0" w:space="0" w:color="auto"/>
        <w:right w:val="none" w:sz="0" w:space="0" w:color="auto"/>
      </w:divBdr>
    </w:div>
    <w:div w:id="2136216157">
      <w:bodyDiv w:val="1"/>
      <w:marLeft w:val="0"/>
      <w:marRight w:val="0"/>
      <w:marTop w:val="0"/>
      <w:marBottom w:val="0"/>
      <w:divBdr>
        <w:top w:val="none" w:sz="0" w:space="0" w:color="auto"/>
        <w:left w:val="none" w:sz="0" w:space="0" w:color="auto"/>
        <w:bottom w:val="none" w:sz="0" w:space="0" w:color="auto"/>
        <w:right w:val="none" w:sz="0" w:space="0" w:color="auto"/>
      </w:divBdr>
    </w:div>
    <w:div w:id="2136408447">
      <w:bodyDiv w:val="1"/>
      <w:marLeft w:val="0"/>
      <w:marRight w:val="0"/>
      <w:marTop w:val="0"/>
      <w:marBottom w:val="0"/>
      <w:divBdr>
        <w:top w:val="none" w:sz="0" w:space="0" w:color="auto"/>
        <w:left w:val="none" w:sz="0" w:space="0" w:color="auto"/>
        <w:bottom w:val="none" w:sz="0" w:space="0" w:color="auto"/>
        <w:right w:val="none" w:sz="0" w:space="0" w:color="auto"/>
      </w:divBdr>
    </w:div>
    <w:div w:id="2136439925">
      <w:bodyDiv w:val="1"/>
      <w:marLeft w:val="0"/>
      <w:marRight w:val="0"/>
      <w:marTop w:val="0"/>
      <w:marBottom w:val="0"/>
      <w:divBdr>
        <w:top w:val="none" w:sz="0" w:space="0" w:color="auto"/>
        <w:left w:val="none" w:sz="0" w:space="0" w:color="auto"/>
        <w:bottom w:val="none" w:sz="0" w:space="0" w:color="auto"/>
        <w:right w:val="none" w:sz="0" w:space="0" w:color="auto"/>
      </w:divBdr>
    </w:div>
    <w:div w:id="2136554418">
      <w:bodyDiv w:val="1"/>
      <w:marLeft w:val="0"/>
      <w:marRight w:val="0"/>
      <w:marTop w:val="0"/>
      <w:marBottom w:val="0"/>
      <w:divBdr>
        <w:top w:val="none" w:sz="0" w:space="0" w:color="auto"/>
        <w:left w:val="none" w:sz="0" w:space="0" w:color="auto"/>
        <w:bottom w:val="none" w:sz="0" w:space="0" w:color="auto"/>
        <w:right w:val="none" w:sz="0" w:space="0" w:color="auto"/>
      </w:divBdr>
    </w:div>
    <w:div w:id="2136555703">
      <w:bodyDiv w:val="1"/>
      <w:marLeft w:val="0"/>
      <w:marRight w:val="0"/>
      <w:marTop w:val="0"/>
      <w:marBottom w:val="0"/>
      <w:divBdr>
        <w:top w:val="none" w:sz="0" w:space="0" w:color="auto"/>
        <w:left w:val="none" w:sz="0" w:space="0" w:color="auto"/>
        <w:bottom w:val="none" w:sz="0" w:space="0" w:color="auto"/>
        <w:right w:val="none" w:sz="0" w:space="0" w:color="auto"/>
      </w:divBdr>
    </w:div>
    <w:div w:id="2136754621">
      <w:bodyDiv w:val="1"/>
      <w:marLeft w:val="0"/>
      <w:marRight w:val="0"/>
      <w:marTop w:val="0"/>
      <w:marBottom w:val="0"/>
      <w:divBdr>
        <w:top w:val="none" w:sz="0" w:space="0" w:color="auto"/>
        <w:left w:val="none" w:sz="0" w:space="0" w:color="auto"/>
        <w:bottom w:val="none" w:sz="0" w:space="0" w:color="auto"/>
        <w:right w:val="none" w:sz="0" w:space="0" w:color="auto"/>
      </w:divBdr>
    </w:div>
    <w:div w:id="2136830581">
      <w:bodyDiv w:val="1"/>
      <w:marLeft w:val="0"/>
      <w:marRight w:val="0"/>
      <w:marTop w:val="0"/>
      <w:marBottom w:val="0"/>
      <w:divBdr>
        <w:top w:val="none" w:sz="0" w:space="0" w:color="auto"/>
        <w:left w:val="none" w:sz="0" w:space="0" w:color="auto"/>
        <w:bottom w:val="none" w:sz="0" w:space="0" w:color="auto"/>
        <w:right w:val="none" w:sz="0" w:space="0" w:color="auto"/>
      </w:divBdr>
    </w:div>
    <w:div w:id="2136871560">
      <w:bodyDiv w:val="1"/>
      <w:marLeft w:val="0"/>
      <w:marRight w:val="0"/>
      <w:marTop w:val="0"/>
      <w:marBottom w:val="0"/>
      <w:divBdr>
        <w:top w:val="none" w:sz="0" w:space="0" w:color="auto"/>
        <w:left w:val="none" w:sz="0" w:space="0" w:color="auto"/>
        <w:bottom w:val="none" w:sz="0" w:space="0" w:color="auto"/>
        <w:right w:val="none" w:sz="0" w:space="0" w:color="auto"/>
      </w:divBdr>
    </w:div>
    <w:div w:id="2136875036">
      <w:bodyDiv w:val="1"/>
      <w:marLeft w:val="0"/>
      <w:marRight w:val="0"/>
      <w:marTop w:val="0"/>
      <w:marBottom w:val="0"/>
      <w:divBdr>
        <w:top w:val="none" w:sz="0" w:space="0" w:color="auto"/>
        <w:left w:val="none" w:sz="0" w:space="0" w:color="auto"/>
        <w:bottom w:val="none" w:sz="0" w:space="0" w:color="auto"/>
        <w:right w:val="none" w:sz="0" w:space="0" w:color="auto"/>
      </w:divBdr>
    </w:div>
    <w:div w:id="2136941957">
      <w:bodyDiv w:val="1"/>
      <w:marLeft w:val="0"/>
      <w:marRight w:val="0"/>
      <w:marTop w:val="0"/>
      <w:marBottom w:val="0"/>
      <w:divBdr>
        <w:top w:val="none" w:sz="0" w:space="0" w:color="auto"/>
        <w:left w:val="none" w:sz="0" w:space="0" w:color="auto"/>
        <w:bottom w:val="none" w:sz="0" w:space="0" w:color="auto"/>
        <w:right w:val="none" w:sz="0" w:space="0" w:color="auto"/>
      </w:divBdr>
    </w:div>
    <w:div w:id="2136945623">
      <w:bodyDiv w:val="1"/>
      <w:marLeft w:val="0"/>
      <w:marRight w:val="0"/>
      <w:marTop w:val="0"/>
      <w:marBottom w:val="0"/>
      <w:divBdr>
        <w:top w:val="none" w:sz="0" w:space="0" w:color="auto"/>
        <w:left w:val="none" w:sz="0" w:space="0" w:color="auto"/>
        <w:bottom w:val="none" w:sz="0" w:space="0" w:color="auto"/>
        <w:right w:val="none" w:sz="0" w:space="0" w:color="auto"/>
      </w:divBdr>
    </w:div>
    <w:div w:id="2137135113">
      <w:bodyDiv w:val="1"/>
      <w:marLeft w:val="0"/>
      <w:marRight w:val="0"/>
      <w:marTop w:val="0"/>
      <w:marBottom w:val="0"/>
      <w:divBdr>
        <w:top w:val="none" w:sz="0" w:space="0" w:color="auto"/>
        <w:left w:val="none" w:sz="0" w:space="0" w:color="auto"/>
        <w:bottom w:val="none" w:sz="0" w:space="0" w:color="auto"/>
        <w:right w:val="none" w:sz="0" w:space="0" w:color="auto"/>
      </w:divBdr>
    </w:div>
    <w:div w:id="2137137735">
      <w:bodyDiv w:val="1"/>
      <w:marLeft w:val="0"/>
      <w:marRight w:val="0"/>
      <w:marTop w:val="0"/>
      <w:marBottom w:val="0"/>
      <w:divBdr>
        <w:top w:val="none" w:sz="0" w:space="0" w:color="auto"/>
        <w:left w:val="none" w:sz="0" w:space="0" w:color="auto"/>
        <w:bottom w:val="none" w:sz="0" w:space="0" w:color="auto"/>
        <w:right w:val="none" w:sz="0" w:space="0" w:color="auto"/>
      </w:divBdr>
    </w:div>
    <w:div w:id="2137142609">
      <w:bodyDiv w:val="1"/>
      <w:marLeft w:val="0"/>
      <w:marRight w:val="0"/>
      <w:marTop w:val="0"/>
      <w:marBottom w:val="0"/>
      <w:divBdr>
        <w:top w:val="none" w:sz="0" w:space="0" w:color="auto"/>
        <w:left w:val="none" w:sz="0" w:space="0" w:color="auto"/>
        <w:bottom w:val="none" w:sz="0" w:space="0" w:color="auto"/>
        <w:right w:val="none" w:sz="0" w:space="0" w:color="auto"/>
      </w:divBdr>
    </w:div>
    <w:div w:id="2137143003">
      <w:bodyDiv w:val="1"/>
      <w:marLeft w:val="0"/>
      <w:marRight w:val="0"/>
      <w:marTop w:val="0"/>
      <w:marBottom w:val="0"/>
      <w:divBdr>
        <w:top w:val="none" w:sz="0" w:space="0" w:color="auto"/>
        <w:left w:val="none" w:sz="0" w:space="0" w:color="auto"/>
        <w:bottom w:val="none" w:sz="0" w:space="0" w:color="auto"/>
        <w:right w:val="none" w:sz="0" w:space="0" w:color="auto"/>
      </w:divBdr>
    </w:div>
    <w:div w:id="2137213107">
      <w:bodyDiv w:val="1"/>
      <w:marLeft w:val="0"/>
      <w:marRight w:val="0"/>
      <w:marTop w:val="0"/>
      <w:marBottom w:val="0"/>
      <w:divBdr>
        <w:top w:val="none" w:sz="0" w:space="0" w:color="auto"/>
        <w:left w:val="none" w:sz="0" w:space="0" w:color="auto"/>
        <w:bottom w:val="none" w:sz="0" w:space="0" w:color="auto"/>
        <w:right w:val="none" w:sz="0" w:space="0" w:color="auto"/>
      </w:divBdr>
    </w:div>
    <w:div w:id="2137335375">
      <w:bodyDiv w:val="1"/>
      <w:marLeft w:val="0"/>
      <w:marRight w:val="0"/>
      <w:marTop w:val="0"/>
      <w:marBottom w:val="0"/>
      <w:divBdr>
        <w:top w:val="none" w:sz="0" w:space="0" w:color="auto"/>
        <w:left w:val="none" w:sz="0" w:space="0" w:color="auto"/>
        <w:bottom w:val="none" w:sz="0" w:space="0" w:color="auto"/>
        <w:right w:val="none" w:sz="0" w:space="0" w:color="auto"/>
      </w:divBdr>
    </w:div>
    <w:div w:id="2137403391">
      <w:bodyDiv w:val="1"/>
      <w:marLeft w:val="0"/>
      <w:marRight w:val="0"/>
      <w:marTop w:val="0"/>
      <w:marBottom w:val="0"/>
      <w:divBdr>
        <w:top w:val="none" w:sz="0" w:space="0" w:color="auto"/>
        <w:left w:val="none" w:sz="0" w:space="0" w:color="auto"/>
        <w:bottom w:val="none" w:sz="0" w:space="0" w:color="auto"/>
        <w:right w:val="none" w:sz="0" w:space="0" w:color="auto"/>
      </w:divBdr>
    </w:div>
    <w:div w:id="2137409775">
      <w:bodyDiv w:val="1"/>
      <w:marLeft w:val="0"/>
      <w:marRight w:val="0"/>
      <w:marTop w:val="0"/>
      <w:marBottom w:val="0"/>
      <w:divBdr>
        <w:top w:val="none" w:sz="0" w:space="0" w:color="auto"/>
        <w:left w:val="none" w:sz="0" w:space="0" w:color="auto"/>
        <w:bottom w:val="none" w:sz="0" w:space="0" w:color="auto"/>
        <w:right w:val="none" w:sz="0" w:space="0" w:color="auto"/>
      </w:divBdr>
    </w:div>
    <w:div w:id="2137410361">
      <w:bodyDiv w:val="1"/>
      <w:marLeft w:val="0"/>
      <w:marRight w:val="0"/>
      <w:marTop w:val="0"/>
      <w:marBottom w:val="0"/>
      <w:divBdr>
        <w:top w:val="none" w:sz="0" w:space="0" w:color="auto"/>
        <w:left w:val="none" w:sz="0" w:space="0" w:color="auto"/>
        <w:bottom w:val="none" w:sz="0" w:space="0" w:color="auto"/>
        <w:right w:val="none" w:sz="0" w:space="0" w:color="auto"/>
      </w:divBdr>
    </w:div>
    <w:div w:id="2137486891">
      <w:bodyDiv w:val="1"/>
      <w:marLeft w:val="0"/>
      <w:marRight w:val="0"/>
      <w:marTop w:val="0"/>
      <w:marBottom w:val="0"/>
      <w:divBdr>
        <w:top w:val="none" w:sz="0" w:space="0" w:color="auto"/>
        <w:left w:val="none" w:sz="0" w:space="0" w:color="auto"/>
        <w:bottom w:val="none" w:sz="0" w:space="0" w:color="auto"/>
        <w:right w:val="none" w:sz="0" w:space="0" w:color="auto"/>
      </w:divBdr>
    </w:div>
    <w:div w:id="2137596485">
      <w:bodyDiv w:val="1"/>
      <w:marLeft w:val="0"/>
      <w:marRight w:val="0"/>
      <w:marTop w:val="0"/>
      <w:marBottom w:val="0"/>
      <w:divBdr>
        <w:top w:val="none" w:sz="0" w:space="0" w:color="auto"/>
        <w:left w:val="none" w:sz="0" w:space="0" w:color="auto"/>
        <w:bottom w:val="none" w:sz="0" w:space="0" w:color="auto"/>
        <w:right w:val="none" w:sz="0" w:space="0" w:color="auto"/>
      </w:divBdr>
    </w:div>
    <w:div w:id="2137600617">
      <w:bodyDiv w:val="1"/>
      <w:marLeft w:val="0"/>
      <w:marRight w:val="0"/>
      <w:marTop w:val="0"/>
      <w:marBottom w:val="0"/>
      <w:divBdr>
        <w:top w:val="none" w:sz="0" w:space="0" w:color="auto"/>
        <w:left w:val="none" w:sz="0" w:space="0" w:color="auto"/>
        <w:bottom w:val="none" w:sz="0" w:space="0" w:color="auto"/>
        <w:right w:val="none" w:sz="0" w:space="0" w:color="auto"/>
      </w:divBdr>
    </w:div>
    <w:div w:id="2137680179">
      <w:bodyDiv w:val="1"/>
      <w:marLeft w:val="0"/>
      <w:marRight w:val="0"/>
      <w:marTop w:val="0"/>
      <w:marBottom w:val="0"/>
      <w:divBdr>
        <w:top w:val="none" w:sz="0" w:space="0" w:color="auto"/>
        <w:left w:val="none" w:sz="0" w:space="0" w:color="auto"/>
        <w:bottom w:val="none" w:sz="0" w:space="0" w:color="auto"/>
        <w:right w:val="none" w:sz="0" w:space="0" w:color="auto"/>
      </w:divBdr>
    </w:div>
    <w:div w:id="2137986261">
      <w:bodyDiv w:val="1"/>
      <w:marLeft w:val="0"/>
      <w:marRight w:val="0"/>
      <w:marTop w:val="0"/>
      <w:marBottom w:val="0"/>
      <w:divBdr>
        <w:top w:val="none" w:sz="0" w:space="0" w:color="auto"/>
        <w:left w:val="none" w:sz="0" w:space="0" w:color="auto"/>
        <w:bottom w:val="none" w:sz="0" w:space="0" w:color="auto"/>
        <w:right w:val="none" w:sz="0" w:space="0" w:color="auto"/>
      </w:divBdr>
    </w:div>
    <w:div w:id="2137987418">
      <w:bodyDiv w:val="1"/>
      <w:marLeft w:val="0"/>
      <w:marRight w:val="0"/>
      <w:marTop w:val="0"/>
      <w:marBottom w:val="0"/>
      <w:divBdr>
        <w:top w:val="none" w:sz="0" w:space="0" w:color="auto"/>
        <w:left w:val="none" w:sz="0" w:space="0" w:color="auto"/>
        <w:bottom w:val="none" w:sz="0" w:space="0" w:color="auto"/>
        <w:right w:val="none" w:sz="0" w:space="0" w:color="auto"/>
      </w:divBdr>
    </w:div>
    <w:div w:id="2137988390">
      <w:bodyDiv w:val="1"/>
      <w:marLeft w:val="0"/>
      <w:marRight w:val="0"/>
      <w:marTop w:val="0"/>
      <w:marBottom w:val="0"/>
      <w:divBdr>
        <w:top w:val="none" w:sz="0" w:space="0" w:color="auto"/>
        <w:left w:val="none" w:sz="0" w:space="0" w:color="auto"/>
        <w:bottom w:val="none" w:sz="0" w:space="0" w:color="auto"/>
        <w:right w:val="none" w:sz="0" w:space="0" w:color="auto"/>
      </w:divBdr>
    </w:div>
    <w:div w:id="2138066407">
      <w:bodyDiv w:val="1"/>
      <w:marLeft w:val="0"/>
      <w:marRight w:val="0"/>
      <w:marTop w:val="0"/>
      <w:marBottom w:val="0"/>
      <w:divBdr>
        <w:top w:val="none" w:sz="0" w:space="0" w:color="auto"/>
        <w:left w:val="none" w:sz="0" w:space="0" w:color="auto"/>
        <w:bottom w:val="none" w:sz="0" w:space="0" w:color="auto"/>
        <w:right w:val="none" w:sz="0" w:space="0" w:color="auto"/>
      </w:divBdr>
    </w:div>
    <w:div w:id="2138138886">
      <w:bodyDiv w:val="1"/>
      <w:marLeft w:val="0"/>
      <w:marRight w:val="0"/>
      <w:marTop w:val="0"/>
      <w:marBottom w:val="0"/>
      <w:divBdr>
        <w:top w:val="none" w:sz="0" w:space="0" w:color="auto"/>
        <w:left w:val="none" w:sz="0" w:space="0" w:color="auto"/>
        <w:bottom w:val="none" w:sz="0" w:space="0" w:color="auto"/>
        <w:right w:val="none" w:sz="0" w:space="0" w:color="auto"/>
      </w:divBdr>
    </w:div>
    <w:div w:id="2138253972">
      <w:bodyDiv w:val="1"/>
      <w:marLeft w:val="0"/>
      <w:marRight w:val="0"/>
      <w:marTop w:val="0"/>
      <w:marBottom w:val="0"/>
      <w:divBdr>
        <w:top w:val="none" w:sz="0" w:space="0" w:color="auto"/>
        <w:left w:val="none" w:sz="0" w:space="0" w:color="auto"/>
        <w:bottom w:val="none" w:sz="0" w:space="0" w:color="auto"/>
        <w:right w:val="none" w:sz="0" w:space="0" w:color="auto"/>
      </w:divBdr>
    </w:div>
    <w:div w:id="2138260416">
      <w:bodyDiv w:val="1"/>
      <w:marLeft w:val="0"/>
      <w:marRight w:val="0"/>
      <w:marTop w:val="0"/>
      <w:marBottom w:val="0"/>
      <w:divBdr>
        <w:top w:val="none" w:sz="0" w:space="0" w:color="auto"/>
        <w:left w:val="none" w:sz="0" w:space="0" w:color="auto"/>
        <w:bottom w:val="none" w:sz="0" w:space="0" w:color="auto"/>
        <w:right w:val="none" w:sz="0" w:space="0" w:color="auto"/>
      </w:divBdr>
    </w:div>
    <w:div w:id="2138600868">
      <w:bodyDiv w:val="1"/>
      <w:marLeft w:val="0"/>
      <w:marRight w:val="0"/>
      <w:marTop w:val="0"/>
      <w:marBottom w:val="0"/>
      <w:divBdr>
        <w:top w:val="none" w:sz="0" w:space="0" w:color="auto"/>
        <w:left w:val="none" w:sz="0" w:space="0" w:color="auto"/>
        <w:bottom w:val="none" w:sz="0" w:space="0" w:color="auto"/>
        <w:right w:val="none" w:sz="0" w:space="0" w:color="auto"/>
      </w:divBdr>
    </w:div>
    <w:div w:id="2138645460">
      <w:bodyDiv w:val="1"/>
      <w:marLeft w:val="0"/>
      <w:marRight w:val="0"/>
      <w:marTop w:val="0"/>
      <w:marBottom w:val="0"/>
      <w:divBdr>
        <w:top w:val="none" w:sz="0" w:space="0" w:color="auto"/>
        <w:left w:val="none" w:sz="0" w:space="0" w:color="auto"/>
        <w:bottom w:val="none" w:sz="0" w:space="0" w:color="auto"/>
        <w:right w:val="none" w:sz="0" w:space="0" w:color="auto"/>
      </w:divBdr>
    </w:div>
    <w:div w:id="2138717411">
      <w:bodyDiv w:val="1"/>
      <w:marLeft w:val="0"/>
      <w:marRight w:val="0"/>
      <w:marTop w:val="0"/>
      <w:marBottom w:val="0"/>
      <w:divBdr>
        <w:top w:val="none" w:sz="0" w:space="0" w:color="auto"/>
        <w:left w:val="none" w:sz="0" w:space="0" w:color="auto"/>
        <w:bottom w:val="none" w:sz="0" w:space="0" w:color="auto"/>
        <w:right w:val="none" w:sz="0" w:space="0" w:color="auto"/>
      </w:divBdr>
    </w:div>
    <w:div w:id="2138722424">
      <w:bodyDiv w:val="1"/>
      <w:marLeft w:val="0"/>
      <w:marRight w:val="0"/>
      <w:marTop w:val="0"/>
      <w:marBottom w:val="0"/>
      <w:divBdr>
        <w:top w:val="none" w:sz="0" w:space="0" w:color="auto"/>
        <w:left w:val="none" w:sz="0" w:space="0" w:color="auto"/>
        <w:bottom w:val="none" w:sz="0" w:space="0" w:color="auto"/>
        <w:right w:val="none" w:sz="0" w:space="0" w:color="auto"/>
      </w:divBdr>
    </w:div>
    <w:div w:id="2138794919">
      <w:bodyDiv w:val="1"/>
      <w:marLeft w:val="0"/>
      <w:marRight w:val="0"/>
      <w:marTop w:val="0"/>
      <w:marBottom w:val="0"/>
      <w:divBdr>
        <w:top w:val="none" w:sz="0" w:space="0" w:color="auto"/>
        <w:left w:val="none" w:sz="0" w:space="0" w:color="auto"/>
        <w:bottom w:val="none" w:sz="0" w:space="0" w:color="auto"/>
        <w:right w:val="none" w:sz="0" w:space="0" w:color="auto"/>
      </w:divBdr>
    </w:div>
    <w:div w:id="2138797832">
      <w:bodyDiv w:val="1"/>
      <w:marLeft w:val="0"/>
      <w:marRight w:val="0"/>
      <w:marTop w:val="0"/>
      <w:marBottom w:val="0"/>
      <w:divBdr>
        <w:top w:val="none" w:sz="0" w:space="0" w:color="auto"/>
        <w:left w:val="none" w:sz="0" w:space="0" w:color="auto"/>
        <w:bottom w:val="none" w:sz="0" w:space="0" w:color="auto"/>
        <w:right w:val="none" w:sz="0" w:space="0" w:color="auto"/>
      </w:divBdr>
    </w:div>
    <w:div w:id="2138833598">
      <w:bodyDiv w:val="1"/>
      <w:marLeft w:val="0"/>
      <w:marRight w:val="0"/>
      <w:marTop w:val="0"/>
      <w:marBottom w:val="0"/>
      <w:divBdr>
        <w:top w:val="none" w:sz="0" w:space="0" w:color="auto"/>
        <w:left w:val="none" w:sz="0" w:space="0" w:color="auto"/>
        <w:bottom w:val="none" w:sz="0" w:space="0" w:color="auto"/>
        <w:right w:val="none" w:sz="0" w:space="0" w:color="auto"/>
      </w:divBdr>
    </w:div>
    <w:div w:id="2139057264">
      <w:bodyDiv w:val="1"/>
      <w:marLeft w:val="0"/>
      <w:marRight w:val="0"/>
      <w:marTop w:val="0"/>
      <w:marBottom w:val="0"/>
      <w:divBdr>
        <w:top w:val="none" w:sz="0" w:space="0" w:color="auto"/>
        <w:left w:val="none" w:sz="0" w:space="0" w:color="auto"/>
        <w:bottom w:val="none" w:sz="0" w:space="0" w:color="auto"/>
        <w:right w:val="none" w:sz="0" w:space="0" w:color="auto"/>
      </w:divBdr>
    </w:div>
    <w:div w:id="2139060460">
      <w:bodyDiv w:val="1"/>
      <w:marLeft w:val="0"/>
      <w:marRight w:val="0"/>
      <w:marTop w:val="0"/>
      <w:marBottom w:val="0"/>
      <w:divBdr>
        <w:top w:val="none" w:sz="0" w:space="0" w:color="auto"/>
        <w:left w:val="none" w:sz="0" w:space="0" w:color="auto"/>
        <w:bottom w:val="none" w:sz="0" w:space="0" w:color="auto"/>
        <w:right w:val="none" w:sz="0" w:space="0" w:color="auto"/>
      </w:divBdr>
    </w:div>
    <w:div w:id="2139100799">
      <w:bodyDiv w:val="1"/>
      <w:marLeft w:val="0"/>
      <w:marRight w:val="0"/>
      <w:marTop w:val="0"/>
      <w:marBottom w:val="0"/>
      <w:divBdr>
        <w:top w:val="none" w:sz="0" w:space="0" w:color="auto"/>
        <w:left w:val="none" w:sz="0" w:space="0" w:color="auto"/>
        <w:bottom w:val="none" w:sz="0" w:space="0" w:color="auto"/>
        <w:right w:val="none" w:sz="0" w:space="0" w:color="auto"/>
      </w:divBdr>
    </w:div>
    <w:div w:id="2139106789">
      <w:bodyDiv w:val="1"/>
      <w:marLeft w:val="0"/>
      <w:marRight w:val="0"/>
      <w:marTop w:val="0"/>
      <w:marBottom w:val="0"/>
      <w:divBdr>
        <w:top w:val="none" w:sz="0" w:space="0" w:color="auto"/>
        <w:left w:val="none" w:sz="0" w:space="0" w:color="auto"/>
        <w:bottom w:val="none" w:sz="0" w:space="0" w:color="auto"/>
        <w:right w:val="none" w:sz="0" w:space="0" w:color="auto"/>
      </w:divBdr>
    </w:div>
    <w:div w:id="2139107612">
      <w:bodyDiv w:val="1"/>
      <w:marLeft w:val="0"/>
      <w:marRight w:val="0"/>
      <w:marTop w:val="0"/>
      <w:marBottom w:val="0"/>
      <w:divBdr>
        <w:top w:val="none" w:sz="0" w:space="0" w:color="auto"/>
        <w:left w:val="none" w:sz="0" w:space="0" w:color="auto"/>
        <w:bottom w:val="none" w:sz="0" w:space="0" w:color="auto"/>
        <w:right w:val="none" w:sz="0" w:space="0" w:color="auto"/>
      </w:divBdr>
    </w:div>
    <w:div w:id="2139176336">
      <w:bodyDiv w:val="1"/>
      <w:marLeft w:val="0"/>
      <w:marRight w:val="0"/>
      <w:marTop w:val="0"/>
      <w:marBottom w:val="0"/>
      <w:divBdr>
        <w:top w:val="none" w:sz="0" w:space="0" w:color="auto"/>
        <w:left w:val="none" w:sz="0" w:space="0" w:color="auto"/>
        <w:bottom w:val="none" w:sz="0" w:space="0" w:color="auto"/>
        <w:right w:val="none" w:sz="0" w:space="0" w:color="auto"/>
      </w:divBdr>
    </w:div>
    <w:div w:id="2139185005">
      <w:bodyDiv w:val="1"/>
      <w:marLeft w:val="0"/>
      <w:marRight w:val="0"/>
      <w:marTop w:val="0"/>
      <w:marBottom w:val="0"/>
      <w:divBdr>
        <w:top w:val="none" w:sz="0" w:space="0" w:color="auto"/>
        <w:left w:val="none" w:sz="0" w:space="0" w:color="auto"/>
        <w:bottom w:val="none" w:sz="0" w:space="0" w:color="auto"/>
        <w:right w:val="none" w:sz="0" w:space="0" w:color="auto"/>
      </w:divBdr>
    </w:div>
    <w:div w:id="2139252631">
      <w:bodyDiv w:val="1"/>
      <w:marLeft w:val="0"/>
      <w:marRight w:val="0"/>
      <w:marTop w:val="0"/>
      <w:marBottom w:val="0"/>
      <w:divBdr>
        <w:top w:val="none" w:sz="0" w:space="0" w:color="auto"/>
        <w:left w:val="none" w:sz="0" w:space="0" w:color="auto"/>
        <w:bottom w:val="none" w:sz="0" w:space="0" w:color="auto"/>
        <w:right w:val="none" w:sz="0" w:space="0" w:color="auto"/>
      </w:divBdr>
    </w:div>
    <w:div w:id="2139253351">
      <w:bodyDiv w:val="1"/>
      <w:marLeft w:val="0"/>
      <w:marRight w:val="0"/>
      <w:marTop w:val="0"/>
      <w:marBottom w:val="0"/>
      <w:divBdr>
        <w:top w:val="none" w:sz="0" w:space="0" w:color="auto"/>
        <w:left w:val="none" w:sz="0" w:space="0" w:color="auto"/>
        <w:bottom w:val="none" w:sz="0" w:space="0" w:color="auto"/>
        <w:right w:val="none" w:sz="0" w:space="0" w:color="auto"/>
      </w:divBdr>
    </w:div>
    <w:div w:id="2139299545">
      <w:bodyDiv w:val="1"/>
      <w:marLeft w:val="0"/>
      <w:marRight w:val="0"/>
      <w:marTop w:val="0"/>
      <w:marBottom w:val="0"/>
      <w:divBdr>
        <w:top w:val="none" w:sz="0" w:space="0" w:color="auto"/>
        <w:left w:val="none" w:sz="0" w:space="0" w:color="auto"/>
        <w:bottom w:val="none" w:sz="0" w:space="0" w:color="auto"/>
        <w:right w:val="none" w:sz="0" w:space="0" w:color="auto"/>
      </w:divBdr>
    </w:div>
    <w:div w:id="2139375247">
      <w:bodyDiv w:val="1"/>
      <w:marLeft w:val="0"/>
      <w:marRight w:val="0"/>
      <w:marTop w:val="0"/>
      <w:marBottom w:val="0"/>
      <w:divBdr>
        <w:top w:val="none" w:sz="0" w:space="0" w:color="auto"/>
        <w:left w:val="none" w:sz="0" w:space="0" w:color="auto"/>
        <w:bottom w:val="none" w:sz="0" w:space="0" w:color="auto"/>
        <w:right w:val="none" w:sz="0" w:space="0" w:color="auto"/>
      </w:divBdr>
    </w:div>
    <w:div w:id="2139450974">
      <w:bodyDiv w:val="1"/>
      <w:marLeft w:val="0"/>
      <w:marRight w:val="0"/>
      <w:marTop w:val="0"/>
      <w:marBottom w:val="0"/>
      <w:divBdr>
        <w:top w:val="none" w:sz="0" w:space="0" w:color="auto"/>
        <w:left w:val="none" w:sz="0" w:space="0" w:color="auto"/>
        <w:bottom w:val="none" w:sz="0" w:space="0" w:color="auto"/>
        <w:right w:val="none" w:sz="0" w:space="0" w:color="auto"/>
      </w:divBdr>
    </w:div>
    <w:div w:id="2139565607">
      <w:bodyDiv w:val="1"/>
      <w:marLeft w:val="0"/>
      <w:marRight w:val="0"/>
      <w:marTop w:val="0"/>
      <w:marBottom w:val="0"/>
      <w:divBdr>
        <w:top w:val="none" w:sz="0" w:space="0" w:color="auto"/>
        <w:left w:val="none" w:sz="0" w:space="0" w:color="auto"/>
        <w:bottom w:val="none" w:sz="0" w:space="0" w:color="auto"/>
        <w:right w:val="none" w:sz="0" w:space="0" w:color="auto"/>
      </w:divBdr>
    </w:div>
    <w:div w:id="2139567891">
      <w:bodyDiv w:val="1"/>
      <w:marLeft w:val="0"/>
      <w:marRight w:val="0"/>
      <w:marTop w:val="0"/>
      <w:marBottom w:val="0"/>
      <w:divBdr>
        <w:top w:val="none" w:sz="0" w:space="0" w:color="auto"/>
        <w:left w:val="none" w:sz="0" w:space="0" w:color="auto"/>
        <w:bottom w:val="none" w:sz="0" w:space="0" w:color="auto"/>
        <w:right w:val="none" w:sz="0" w:space="0" w:color="auto"/>
      </w:divBdr>
    </w:div>
    <w:div w:id="2139712659">
      <w:bodyDiv w:val="1"/>
      <w:marLeft w:val="0"/>
      <w:marRight w:val="0"/>
      <w:marTop w:val="0"/>
      <w:marBottom w:val="0"/>
      <w:divBdr>
        <w:top w:val="none" w:sz="0" w:space="0" w:color="auto"/>
        <w:left w:val="none" w:sz="0" w:space="0" w:color="auto"/>
        <w:bottom w:val="none" w:sz="0" w:space="0" w:color="auto"/>
        <w:right w:val="none" w:sz="0" w:space="0" w:color="auto"/>
      </w:divBdr>
    </w:div>
    <w:div w:id="2139717503">
      <w:bodyDiv w:val="1"/>
      <w:marLeft w:val="0"/>
      <w:marRight w:val="0"/>
      <w:marTop w:val="0"/>
      <w:marBottom w:val="0"/>
      <w:divBdr>
        <w:top w:val="none" w:sz="0" w:space="0" w:color="auto"/>
        <w:left w:val="none" w:sz="0" w:space="0" w:color="auto"/>
        <w:bottom w:val="none" w:sz="0" w:space="0" w:color="auto"/>
        <w:right w:val="none" w:sz="0" w:space="0" w:color="auto"/>
      </w:divBdr>
    </w:div>
    <w:div w:id="2139760915">
      <w:bodyDiv w:val="1"/>
      <w:marLeft w:val="0"/>
      <w:marRight w:val="0"/>
      <w:marTop w:val="0"/>
      <w:marBottom w:val="0"/>
      <w:divBdr>
        <w:top w:val="none" w:sz="0" w:space="0" w:color="auto"/>
        <w:left w:val="none" w:sz="0" w:space="0" w:color="auto"/>
        <w:bottom w:val="none" w:sz="0" w:space="0" w:color="auto"/>
        <w:right w:val="none" w:sz="0" w:space="0" w:color="auto"/>
      </w:divBdr>
    </w:div>
    <w:div w:id="2139835096">
      <w:bodyDiv w:val="1"/>
      <w:marLeft w:val="0"/>
      <w:marRight w:val="0"/>
      <w:marTop w:val="0"/>
      <w:marBottom w:val="0"/>
      <w:divBdr>
        <w:top w:val="none" w:sz="0" w:space="0" w:color="auto"/>
        <w:left w:val="none" w:sz="0" w:space="0" w:color="auto"/>
        <w:bottom w:val="none" w:sz="0" w:space="0" w:color="auto"/>
        <w:right w:val="none" w:sz="0" w:space="0" w:color="auto"/>
      </w:divBdr>
    </w:div>
    <w:div w:id="2139908927">
      <w:bodyDiv w:val="1"/>
      <w:marLeft w:val="0"/>
      <w:marRight w:val="0"/>
      <w:marTop w:val="0"/>
      <w:marBottom w:val="0"/>
      <w:divBdr>
        <w:top w:val="none" w:sz="0" w:space="0" w:color="auto"/>
        <w:left w:val="none" w:sz="0" w:space="0" w:color="auto"/>
        <w:bottom w:val="none" w:sz="0" w:space="0" w:color="auto"/>
        <w:right w:val="none" w:sz="0" w:space="0" w:color="auto"/>
      </w:divBdr>
    </w:div>
    <w:div w:id="2139912375">
      <w:bodyDiv w:val="1"/>
      <w:marLeft w:val="0"/>
      <w:marRight w:val="0"/>
      <w:marTop w:val="0"/>
      <w:marBottom w:val="0"/>
      <w:divBdr>
        <w:top w:val="none" w:sz="0" w:space="0" w:color="auto"/>
        <w:left w:val="none" w:sz="0" w:space="0" w:color="auto"/>
        <w:bottom w:val="none" w:sz="0" w:space="0" w:color="auto"/>
        <w:right w:val="none" w:sz="0" w:space="0" w:color="auto"/>
      </w:divBdr>
    </w:div>
    <w:div w:id="2139949082">
      <w:bodyDiv w:val="1"/>
      <w:marLeft w:val="0"/>
      <w:marRight w:val="0"/>
      <w:marTop w:val="0"/>
      <w:marBottom w:val="0"/>
      <w:divBdr>
        <w:top w:val="none" w:sz="0" w:space="0" w:color="auto"/>
        <w:left w:val="none" w:sz="0" w:space="0" w:color="auto"/>
        <w:bottom w:val="none" w:sz="0" w:space="0" w:color="auto"/>
        <w:right w:val="none" w:sz="0" w:space="0" w:color="auto"/>
      </w:divBdr>
    </w:div>
    <w:div w:id="2140104563">
      <w:bodyDiv w:val="1"/>
      <w:marLeft w:val="0"/>
      <w:marRight w:val="0"/>
      <w:marTop w:val="0"/>
      <w:marBottom w:val="0"/>
      <w:divBdr>
        <w:top w:val="none" w:sz="0" w:space="0" w:color="auto"/>
        <w:left w:val="none" w:sz="0" w:space="0" w:color="auto"/>
        <w:bottom w:val="none" w:sz="0" w:space="0" w:color="auto"/>
        <w:right w:val="none" w:sz="0" w:space="0" w:color="auto"/>
      </w:divBdr>
    </w:div>
    <w:div w:id="2140220516">
      <w:bodyDiv w:val="1"/>
      <w:marLeft w:val="0"/>
      <w:marRight w:val="0"/>
      <w:marTop w:val="0"/>
      <w:marBottom w:val="0"/>
      <w:divBdr>
        <w:top w:val="none" w:sz="0" w:space="0" w:color="auto"/>
        <w:left w:val="none" w:sz="0" w:space="0" w:color="auto"/>
        <w:bottom w:val="none" w:sz="0" w:space="0" w:color="auto"/>
        <w:right w:val="none" w:sz="0" w:space="0" w:color="auto"/>
      </w:divBdr>
    </w:div>
    <w:div w:id="2140220540">
      <w:bodyDiv w:val="1"/>
      <w:marLeft w:val="0"/>
      <w:marRight w:val="0"/>
      <w:marTop w:val="0"/>
      <w:marBottom w:val="0"/>
      <w:divBdr>
        <w:top w:val="none" w:sz="0" w:space="0" w:color="auto"/>
        <w:left w:val="none" w:sz="0" w:space="0" w:color="auto"/>
        <w:bottom w:val="none" w:sz="0" w:space="0" w:color="auto"/>
        <w:right w:val="none" w:sz="0" w:space="0" w:color="auto"/>
      </w:divBdr>
    </w:div>
    <w:div w:id="2140223752">
      <w:bodyDiv w:val="1"/>
      <w:marLeft w:val="0"/>
      <w:marRight w:val="0"/>
      <w:marTop w:val="0"/>
      <w:marBottom w:val="0"/>
      <w:divBdr>
        <w:top w:val="none" w:sz="0" w:space="0" w:color="auto"/>
        <w:left w:val="none" w:sz="0" w:space="0" w:color="auto"/>
        <w:bottom w:val="none" w:sz="0" w:space="0" w:color="auto"/>
        <w:right w:val="none" w:sz="0" w:space="0" w:color="auto"/>
      </w:divBdr>
    </w:div>
    <w:div w:id="2140369703">
      <w:bodyDiv w:val="1"/>
      <w:marLeft w:val="0"/>
      <w:marRight w:val="0"/>
      <w:marTop w:val="0"/>
      <w:marBottom w:val="0"/>
      <w:divBdr>
        <w:top w:val="none" w:sz="0" w:space="0" w:color="auto"/>
        <w:left w:val="none" w:sz="0" w:space="0" w:color="auto"/>
        <w:bottom w:val="none" w:sz="0" w:space="0" w:color="auto"/>
        <w:right w:val="none" w:sz="0" w:space="0" w:color="auto"/>
      </w:divBdr>
    </w:div>
    <w:div w:id="2140411597">
      <w:bodyDiv w:val="1"/>
      <w:marLeft w:val="0"/>
      <w:marRight w:val="0"/>
      <w:marTop w:val="0"/>
      <w:marBottom w:val="0"/>
      <w:divBdr>
        <w:top w:val="none" w:sz="0" w:space="0" w:color="auto"/>
        <w:left w:val="none" w:sz="0" w:space="0" w:color="auto"/>
        <w:bottom w:val="none" w:sz="0" w:space="0" w:color="auto"/>
        <w:right w:val="none" w:sz="0" w:space="0" w:color="auto"/>
      </w:divBdr>
    </w:div>
    <w:div w:id="2140414187">
      <w:bodyDiv w:val="1"/>
      <w:marLeft w:val="0"/>
      <w:marRight w:val="0"/>
      <w:marTop w:val="0"/>
      <w:marBottom w:val="0"/>
      <w:divBdr>
        <w:top w:val="none" w:sz="0" w:space="0" w:color="auto"/>
        <w:left w:val="none" w:sz="0" w:space="0" w:color="auto"/>
        <w:bottom w:val="none" w:sz="0" w:space="0" w:color="auto"/>
        <w:right w:val="none" w:sz="0" w:space="0" w:color="auto"/>
      </w:divBdr>
    </w:div>
    <w:div w:id="2140414202">
      <w:bodyDiv w:val="1"/>
      <w:marLeft w:val="0"/>
      <w:marRight w:val="0"/>
      <w:marTop w:val="0"/>
      <w:marBottom w:val="0"/>
      <w:divBdr>
        <w:top w:val="none" w:sz="0" w:space="0" w:color="auto"/>
        <w:left w:val="none" w:sz="0" w:space="0" w:color="auto"/>
        <w:bottom w:val="none" w:sz="0" w:space="0" w:color="auto"/>
        <w:right w:val="none" w:sz="0" w:space="0" w:color="auto"/>
      </w:divBdr>
    </w:div>
    <w:div w:id="2140565116">
      <w:bodyDiv w:val="1"/>
      <w:marLeft w:val="0"/>
      <w:marRight w:val="0"/>
      <w:marTop w:val="0"/>
      <w:marBottom w:val="0"/>
      <w:divBdr>
        <w:top w:val="none" w:sz="0" w:space="0" w:color="auto"/>
        <w:left w:val="none" w:sz="0" w:space="0" w:color="auto"/>
        <w:bottom w:val="none" w:sz="0" w:space="0" w:color="auto"/>
        <w:right w:val="none" w:sz="0" w:space="0" w:color="auto"/>
      </w:divBdr>
    </w:div>
    <w:div w:id="2140686126">
      <w:bodyDiv w:val="1"/>
      <w:marLeft w:val="0"/>
      <w:marRight w:val="0"/>
      <w:marTop w:val="0"/>
      <w:marBottom w:val="0"/>
      <w:divBdr>
        <w:top w:val="none" w:sz="0" w:space="0" w:color="auto"/>
        <w:left w:val="none" w:sz="0" w:space="0" w:color="auto"/>
        <w:bottom w:val="none" w:sz="0" w:space="0" w:color="auto"/>
        <w:right w:val="none" w:sz="0" w:space="0" w:color="auto"/>
      </w:divBdr>
    </w:div>
    <w:div w:id="2140878791">
      <w:bodyDiv w:val="1"/>
      <w:marLeft w:val="0"/>
      <w:marRight w:val="0"/>
      <w:marTop w:val="0"/>
      <w:marBottom w:val="0"/>
      <w:divBdr>
        <w:top w:val="none" w:sz="0" w:space="0" w:color="auto"/>
        <w:left w:val="none" w:sz="0" w:space="0" w:color="auto"/>
        <w:bottom w:val="none" w:sz="0" w:space="0" w:color="auto"/>
        <w:right w:val="none" w:sz="0" w:space="0" w:color="auto"/>
      </w:divBdr>
    </w:div>
    <w:div w:id="2141223486">
      <w:bodyDiv w:val="1"/>
      <w:marLeft w:val="0"/>
      <w:marRight w:val="0"/>
      <w:marTop w:val="0"/>
      <w:marBottom w:val="0"/>
      <w:divBdr>
        <w:top w:val="none" w:sz="0" w:space="0" w:color="auto"/>
        <w:left w:val="none" w:sz="0" w:space="0" w:color="auto"/>
        <w:bottom w:val="none" w:sz="0" w:space="0" w:color="auto"/>
        <w:right w:val="none" w:sz="0" w:space="0" w:color="auto"/>
      </w:divBdr>
    </w:div>
    <w:div w:id="2141265096">
      <w:bodyDiv w:val="1"/>
      <w:marLeft w:val="0"/>
      <w:marRight w:val="0"/>
      <w:marTop w:val="0"/>
      <w:marBottom w:val="0"/>
      <w:divBdr>
        <w:top w:val="none" w:sz="0" w:space="0" w:color="auto"/>
        <w:left w:val="none" w:sz="0" w:space="0" w:color="auto"/>
        <w:bottom w:val="none" w:sz="0" w:space="0" w:color="auto"/>
        <w:right w:val="none" w:sz="0" w:space="0" w:color="auto"/>
      </w:divBdr>
    </w:div>
    <w:div w:id="2141266086">
      <w:bodyDiv w:val="1"/>
      <w:marLeft w:val="0"/>
      <w:marRight w:val="0"/>
      <w:marTop w:val="0"/>
      <w:marBottom w:val="0"/>
      <w:divBdr>
        <w:top w:val="none" w:sz="0" w:space="0" w:color="auto"/>
        <w:left w:val="none" w:sz="0" w:space="0" w:color="auto"/>
        <w:bottom w:val="none" w:sz="0" w:space="0" w:color="auto"/>
        <w:right w:val="none" w:sz="0" w:space="0" w:color="auto"/>
      </w:divBdr>
    </w:div>
    <w:div w:id="2141336888">
      <w:bodyDiv w:val="1"/>
      <w:marLeft w:val="0"/>
      <w:marRight w:val="0"/>
      <w:marTop w:val="0"/>
      <w:marBottom w:val="0"/>
      <w:divBdr>
        <w:top w:val="none" w:sz="0" w:space="0" w:color="auto"/>
        <w:left w:val="none" w:sz="0" w:space="0" w:color="auto"/>
        <w:bottom w:val="none" w:sz="0" w:space="0" w:color="auto"/>
        <w:right w:val="none" w:sz="0" w:space="0" w:color="auto"/>
      </w:divBdr>
    </w:div>
    <w:div w:id="2141412886">
      <w:bodyDiv w:val="1"/>
      <w:marLeft w:val="0"/>
      <w:marRight w:val="0"/>
      <w:marTop w:val="0"/>
      <w:marBottom w:val="0"/>
      <w:divBdr>
        <w:top w:val="none" w:sz="0" w:space="0" w:color="auto"/>
        <w:left w:val="none" w:sz="0" w:space="0" w:color="auto"/>
        <w:bottom w:val="none" w:sz="0" w:space="0" w:color="auto"/>
        <w:right w:val="none" w:sz="0" w:space="0" w:color="auto"/>
      </w:divBdr>
    </w:div>
    <w:div w:id="2141413837">
      <w:bodyDiv w:val="1"/>
      <w:marLeft w:val="0"/>
      <w:marRight w:val="0"/>
      <w:marTop w:val="0"/>
      <w:marBottom w:val="0"/>
      <w:divBdr>
        <w:top w:val="none" w:sz="0" w:space="0" w:color="auto"/>
        <w:left w:val="none" w:sz="0" w:space="0" w:color="auto"/>
        <w:bottom w:val="none" w:sz="0" w:space="0" w:color="auto"/>
        <w:right w:val="none" w:sz="0" w:space="0" w:color="auto"/>
      </w:divBdr>
    </w:div>
    <w:div w:id="2141529216">
      <w:bodyDiv w:val="1"/>
      <w:marLeft w:val="0"/>
      <w:marRight w:val="0"/>
      <w:marTop w:val="0"/>
      <w:marBottom w:val="0"/>
      <w:divBdr>
        <w:top w:val="none" w:sz="0" w:space="0" w:color="auto"/>
        <w:left w:val="none" w:sz="0" w:space="0" w:color="auto"/>
        <w:bottom w:val="none" w:sz="0" w:space="0" w:color="auto"/>
        <w:right w:val="none" w:sz="0" w:space="0" w:color="auto"/>
      </w:divBdr>
    </w:div>
    <w:div w:id="2141607350">
      <w:bodyDiv w:val="1"/>
      <w:marLeft w:val="0"/>
      <w:marRight w:val="0"/>
      <w:marTop w:val="0"/>
      <w:marBottom w:val="0"/>
      <w:divBdr>
        <w:top w:val="none" w:sz="0" w:space="0" w:color="auto"/>
        <w:left w:val="none" w:sz="0" w:space="0" w:color="auto"/>
        <w:bottom w:val="none" w:sz="0" w:space="0" w:color="auto"/>
        <w:right w:val="none" w:sz="0" w:space="0" w:color="auto"/>
      </w:divBdr>
    </w:div>
    <w:div w:id="2141722449">
      <w:bodyDiv w:val="1"/>
      <w:marLeft w:val="0"/>
      <w:marRight w:val="0"/>
      <w:marTop w:val="0"/>
      <w:marBottom w:val="0"/>
      <w:divBdr>
        <w:top w:val="none" w:sz="0" w:space="0" w:color="auto"/>
        <w:left w:val="none" w:sz="0" w:space="0" w:color="auto"/>
        <w:bottom w:val="none" w:sz="0" w:space="0" w:color="auto"/>
        <w:right w:val="none" w:sz="0" w:space="0" w:color="auto"/>
      </w:divBdr>
    </w:div>
    <w:div w:id="2141801299">
      <w:bodyDiv w:val="1"/>
      <w:marLeft w:val="0"/>
      <w:marRight w:val="0"/>
      <w:marTop w:val="0"/>
      <w:marBottom w:val="0"/>
      <w:divBdr>
        <w:top w:val="none" w:sz="0" w:space="0" w:color="auto"/>
        <w:left w:val="none" w:sz="0" w:space="0" w:color="auto"/>
        <w:bottom w:val="none" w:sz="0" w:space="0" w:color="auto"/>
        <w:right w:val="none" w:sz="0" w:space="0" w:color="auto"/>
      </w:divBdr>
    </w:div>
    <w:div w:id="2141990969">
      <w:bodyDiv w:val="1"/>
      <w:marLeft w:val="0"/>
      <w:marRight w:val="0"/>
      <w:marTop w:val="0"/>
      <w:marBottom w:val="0"/>
      <w:divBdr>
        <w:top w:val="none" w:sz="0" w:space="0" w:color="auto"/>
        <w:left w:val="none" w:sz="0" w:space="0" w:color="auto"/>
        <w:bottom w:val="none" w:sz="0" w:space="0" w:color="auto"/>
        <w:right w:val="none" w:sz="0" w:space="0" w:color="auto"/>
      </w:divBdr>
    </w:div>
    <w:div w:id="2142065557">
      <w:bodyDiv w:val="1"/>
      <w:marLeft w:val="0"/>
      <w:marRight w:val="0"/>
      <w:marTop w:val="0"/>
      <w:marBottom w:val="0"/>
      <w:divBdr>
        <w:top w:val="none" w:sz="0" w:space="0" w:color="auto"/>
        <w:left w:val="none" w:sz="0" w:space="0" w:color="auto"/>
        <w:bottom w:val="none" w:sz="0" w:space="0" w:color="auto"/>
        <w:right w:val="none" w:sz="0" w:space="0" w:color="auto"/>
      </w:divBdr>
    </w:div>
    <w:div w:id="2142070904">
      <w:bodyDiv w:val="1"/>
      <w:marLeft w:val="0"/>
      <w:marRight w:val="0"/>
      <w:marTop w:val="0"/>
      <w:marBottom w:val="0"/>
      <w:divBdr>
        <w:top w:val="none" w:sz="0" w:space="0" w:color="auto"/>
        <w:left w:val="none" w:sz="0" w:space="0" w:color="auto"/>
        <w:bottom w:val="none" w:sz="0" w:space="0" w:color="auto"/>
        <w:right w:val="none" w:sz="0" w:space="0" w:color="auto"/>
      </w:divBdr>
    </w:div>
    <w:div w:id="2142072775">
      <w:bodyDiv w:val="1"/>
      <w:marLeft w:val="0"/>
      <w:marRight w:val="0"/>
      <w:marTop w:val="0"/>
      <w:marBottom w:val="0"/>
      <w:divBdr>
        <w:top w:val="none" w:sz="0" w:space="0" w:color="auto"/>
        <w:left w:val="none" w:sz="0" w:space="0" w:color="auto"/>
        <w:bottom w:val="none" w:sz="0" w:space="0" w:color="auto"/>
        <w:right w:val="none" w:sz="0" w:space="0" w:color="auto"/>
      </w:divBdr>
    </w:div>
    <w:div w:id="2142074467">
      <w:bodyDiv w:val="1"/>
      <w:marLeft w:val="0"/>
      <w:marRight w:val="0"/>
      <w:marTop w:val="0"/>
      <w:marBottom w:val="0"/>
      <w:divBdr>
        <w:top w:val="none" w:sz="0" w:space="0" w:color="auto"/>
        <w:left w:val="none" w:sz="0" w:space="0" w:color="auto"/>
        <w:bottom w:val="none" w:sz="0" w:space="0" w:color="auto"/>
        <w:right w:val="none" w:sz="0" w:space="0" w:color="auto"/>
      </w:divBdr>
    </w:div>
    <w:div w:id="2142111555">
      <w:bodyDiv w:val="1"/>
      <w:marLeft w:val="0"/>
      <w:marRight w:val="0"/>
      <w:marTop w:val="0"/>
      <w:marBottom w:val="0"/>
      <w:divBdr>
        <w:top w:val="none" w:sz="0" w:space="0" w:color="auto"/>
        <w:left w:val="none" w:sz="0" w:space="0" w:color="auto"/>
        <w:bottom w:val="none" w:sz="0" w:space="0" w:color="auto"/>
        <w:right w:val="none" w:sz="0" w:space="0" w:color="auto"/>
      </w:divBdr>
    </w:div>
    <w:div w:id="2142112733">
      <w:bodyDiv w:val="1"/>
      <w:marLeft w:val="0"/>
      <w:marRight w:val="0"/>
      <w:marTop w:val="0"/>
      <w:marBottom w:val="0"/>
      <w:divBdr>
        <w:top w:val="none" w:sz="0" w:space="0" w:color="auto"/>
        <w:left w:val="none" w:sz="0" w:space="0" w:color="auto"/>
        <w:bottom w:val="none" w:sz="0" w:space="0" w:color="auto"/>
        <w:right w:val="none" w:sz="0" w:space="0" w:color="auto"/>
      </w:divBdr>
    </w:div>
    <w:div w:id="2142113691">
      <w:bodyDiv w:val="1"/>
      <w:marLeft w:val="0"/>
      <w:marRight w:val="0"/>
      <w:marTop w:val="0"/>
      <w:marBottom w:val="0"/>
      <w:divBdr>
        <w:top w:val="none" w:sz="0" w:space="0" w:color="auto"/>
        <w:left w:val="none" w:sz="0" w:space="0" w:color="auto"/>
        <w:bottom w:val="none" w:sz="0" w:space="0" w:color="auto"/>
        <w:right w:val="none" w:sz="0" w:space="0" w:color="auto"/>
      </w:divBdr>
    </w:div>
    <w:div w:id="2142191328">
      <w:bodyDiv w:val="1"/>
      <w:marLeft w:val="0"/>
      <w:marRight w:val="0"/>
      <w:marTop w:val="0"/>
      <w:marBottom w:val="0"/>
      <w:divBdr>
        <w:top w:val="none" w:sz="0" w:space="0" w:color="auto"/>
        <w:left w:val="none" w:sz="0" w:space="0" w:color="auto"/>
        <w:bottom w:val="none" w:sz="0" w:space="0" w:color="auto"/>
        <w:right w:val="none" w:sz="0" w:space="0" w:color="auto"/>
      </w:divBdr>
    </w:div>
    <w:div w:id="2142336314">
      <w:bodyDiv w:val="1"/>
      <w:marLeft w:val="0"/>
      <w:marRight w:val="0"/>
      <w:marTop w:val="0"/>
      <w:marBottom w:val="0"/>
      <w:divBdr>
        <w:top w:val="none" w:sz="0" w:space="0" w:color="auto"/>
        <w:left w:val="none" w:sz="0" w:space="0" w:color="auto"/>
        <w:bottom w:val="none" w:sz="0" w:space="0" w:color="auto"/>
        <w:right w:val="none" w:sz="0" w:space="0" w:color="auto"/>
      </w:divBdr>
    </w:div>
    <w:div w:id="2142336771">
      <w:bodyDiv w:val="1"/>
      <w:marLeft w:val="0"/>
      <w:marRight w:val="0"/>
      <w:marTop w:val="0"/>
      <w:marBottom w:val="0"/>
      <w:divBdr>
        <w:top w:val="none" w:sz="0" w:space="0" w:color="auto"/>
        <w:left w:val="none" w:sz="0" w:space="0" w:color="auto"/>
        <w:bottom w:val="none" w:sz="0" w:space="0" w:color="auto"/>
        <w:right w:val="none" w:sz="0" w:space="0" w:color="auto"/>
      </w:divBdr>
    </w:div>
    <w:div w:id="2142337896">
      <w:bodyDiv w:val="1"/>
      <w:marLeft w:val="0"/>
      <w:marRight w:val="0"/>
      <w:marTop w:val="0"/>
      <w:marBottom w:val="0"/>
      <w:divBdr>
        <w:top w:val="none" w:sz="0" w:space="0" w:color="auto"/>
        <w:left w:val="none" w:sz="0" w:space="0" w:color="auto"/>
        <w:bottom w:val="none" w:sz="0" w:space="0" w:color="auto"/>
        <w:right w:val="none" w:sz="0" w:space="0" w:color="auto"/>
      </w:divBdr>
    </w:div>
    <w:div w:id="2142379617">
      <w:bodyDiv w:val="1"/>
      <w:marLeft w:val="0"/>
      <w:marRight w:val="0"/>
      <w:marTop w:val="0"/>
      <w:marBottom w:val="0"/>
      <w:divBdr>
        <w:top w:val="none" w:sz="0" w:space="0" w:color="auto"/>
        <w:left w:val="none" w:sz="0" w:space="0" w:color="auto"/>
        <w:bottom w:val="none" w:sz="0" w:space="0" w:color="auto"/>
        <w:right w:val="none" w:sz="0" w:space="0" w:color="auto"/>
      </w:divBdr>
    </w:div>
    <w:div w:id="2142455845">
      <w:bodyDiv w:val="1"/>
      <w:marLeft w:val="0"/>
      <w:marRight w:val="0"/>
      <w:marTop w:val="0"/>
      <w:marBottom w:val="0"/>
      <w:divBdr>
        <w:top w:val="none" w:sz="0" w:space="0" w:color="auto"/>
        <w:left w:val="none" w:sz="0" w:space="0" w:color="auto"/>
        <w:bottom w:val="none" w:sz="0" w:space="0" w:color="auto"/>
        <w:right w:val="none" w:sz="0" w:space="0" w:color="auto"/>
      </w:divBdr>
    </w:div>
    <w:div w:id="2142653282">
      <w:bodyDiv w:val="1"/>
      <w:marLeft w:val="0"/>
      <w:marRight w:val="0"/>
      <w:marTop w:val="0"/>
      <w:marBottom w:val="0"/>
      <w:divBdr>
        <w:top w:val="none" w:sz="0" w:space="0" w:color="auto"/>
        <w:left w:val="none" w:sz="0" w:space="0" w:color="auto"/>
        <w:bottom w:val="none" w:sz="0" w:space="0" w:color="auto"/>
        <w:right w:val="none" w:sz="0" w:space="0" w:color="auto"/>
      </w:divBdr>
    </w:div>
    <w:div w:id="2142770149">
      <w:bodyDiv w:val="1"/>
      <w:marLeft w:val="0"/>
      <w:marRight w:val="0"/>
      <w:marTop w:val="0"/>
      <w:marBottom w:val="0"/>
      <w:divBdr>
        <w:top w:val="none" w:sz="0" w:space="0" w:color="auto"/>
        <w:left w:val="none" w:sz="0" w:space="0" w:color="auto"/>
        <w:bottom w:val="none" w:sz="0" w:space="0" w:color="auto"/>
        <w:right w:val="none" w:sz="0" w:space="0" w:color="auto"/>
      </w:divBdr>
    </w:div>
    <w:div w:id="2142795893">
      <w:bodyDiv w:val="1"/>
      <w:marLeft w:val="0"/>
      <w:marRight w:val="0"/>
      <w:marTop w:val="0"/>
      <w:marBottom w:val="0"/>
      <w:divBdr>
        <w:top w:val="none" w:sz="0" w:space="0" w:color="auto"/>
        <w:left w:val="none" w:sz="0" w:space="0" w:color="auto"/>
        <w:bottom w:val="none" w:sz="0" w:space="0" w:color="auto"/>
        <w:right w:val="none" w:sz="0" w:space="0" w:color="auto"/>
      </w:divBdr>
    </w:div>
    <w:div w:id="2142964720">
      <w:bodyDiv w:val="1"/>
      <w:marLeft w:val="0"/>
      <w:marRight w:val="0"/>
      <w:marTop w:val="0"/>
      <w:marBottom w:val="0"/>
      <w:divBdr>
        <w:top w:val="none" w:sz="0" w:space="0" w:color="auto"/>
        <w:left w:val="none" w:sz="0" w:space="0" w:color="auto"/>
        <w:bottom w:val="none" w:sz="0" w:space="0" w:color="auto"/>
        <w:right w:val="none" w:sz="0" w:space="0" w:color="auto"/>
      </w:divBdr>
    </w:div>
    <w:div w:id="2143035539">
      <w:bodyDiv w:val="1"/>
      <w:marLeft w:val="0"/>
      <w:marRight w:val="0"/>
      <w:marTop w:val="0"/>
      <w:marBottom w:val="0"/>
      <w:divBdr>
        <w:top w:val="none" w:sz="0" w:space="0" w:color="auto"/>
        <w:left w:val="none" w:sz="0" w:space="0" w:color="auto"/>
        <w:bottom w:val="none" w:sz="0" w:space="0" w:color="auto"/>
        <w:right w:val="none" w:sz="0" w:space="0" w:color="auto"/>
      </w:divBdr>
    </w:div>
    <w:div w:id="2143040497">
      <w:bodyDiv w:val="1"/>
      <w:marLeft w:val="0"/>
      <w:marRight w:val="0"/>
      <w:marTop w:val="0"/>
      <w:marBottom w:val="0"/>
      <w:divBdr>
        <w:top w:val="none" w:sz="0" w:space="0" w:color="auto"/>
        <w:left w:val="none" w:sz="0" w:space="0" w:color="auto"/>
        <w:bottom w:val="none" w:sz="0" w:space="0" w:color="auto"/>
        <w:right w:val="none" w:sz="0" w:space="0" w:color="auto"/>
      </w:divBdr>
    </w:div>
    <w:div w:id="2143106901">
      <w:bodyDiv w:val="1"/>
      <w:marLeft w:val="0"/>
      <w:marRight w:val="0"/>
      <w:marTop w:val="0"/>
      <w:marBottom w:val="0"/>
      <w:divBdr>
        <w:top w:val="none" w:sz="0" w:space="0" w:color="auto"/>
        <w:left w:val="none" w:sz="0" w:space="0" w:color="auto"/>
        <w:bottom w:val="none" w:sz="0" w:space="0" w:color="auto"/>
        <w:right w:val="none" w:sz="0" w:space="0" w:color="auto"/>
      </w:divBdr>
    </w:div>
    <w:div w:id="2143107162">
      <w:bodyDiv w:val="1"/>
      <w:marLeft w:val="0"/>
      <w:marRight w:val="0"/>
      <w:marTop w:val="0"/>
      <w:marBottom w:val="0"/>
      <w:divBdr>
        <w:top w:val="none" w:sz="0" w:space="0" w:color="auto"/>
        <w:left w:val="none" w:sz="0" w:space="0" w:color="auto"/>
        <w:bottom w:val="none" w:sz="0" w:space="0" w:color="auto"/>
        <w:right w:val="none" w:sz="0" w:space="0" w:color="auto"/>
      </w:divBdr>
    </w:div>
    <w:div w:id="2143113540">
      <w:bodyDiv w:val="1"/>
      <w:marLeft w:val="0"/>
      <w:marRight w:val="0"/>
      <w:marTop w:val="0"/>
      <w:marBottom w:val="0"/>
      <w:divBdr>
        <w:top w:val="none" w:sz="0" w:space="0" w:color="auto"/>
        <w:left w:val="none" w:sz="0" w:space="0" w:color="auto"/>
        <w:bottom w:val="none" w:sz="0" w:space="0" w:color="auto"/>
        <w:right w:val="none" w:sz="0" w:space="0" w:color="auto"/>
      </w:divBdr>
    </w:div>
    <w:div w:id="2143182248">
      <w:bodyDiv w:val="1"/>
      <w:marLeft w:val="0"/>
      <w:marRight w:val="0"/>
      <w:marTop w:val="0"/>
      <w:marBottom w:val="0"/>
      <w:divBdr>
        <w:top w:val="none" w:sz="0" w:space="0" w:color="auto"/>
        <w:left w:val="none" w:sz="0" w:space="0" w:color="auto"/>
        <w:bottom w:val="none" w:sz="0" w:space="0" w:color="auto"/>
        <w:right w:val="none" w:sz="0" w:space="0" w:color="auto"/>
      </w:divBdr>
    </w:div>
    <w:div w:id="2143226257">
      <w:bodyDiv w:val="1"/>
      <w:marLeft w:val="0"/>
      <w:marRight w:val="0"/>
      <w:marTop w:val="0"/>
      <w:marBottom w:val="0"/>
      <w:divBdr>
        <w:top w:val="none" w:sz="0" w:space="0" w:color="auto"/>
        <w:left w:val="none" w:sz="0" w:space="0" w:color="auto"/>
        <w:bottom w:val="none" w:sz="0" w:space="0" w:color="auto"/>
        <w:right w:val="none" w:sz="0" w:space="0" w:color="auto"/>
      </w:divBdr>
    </w:div>
    <w:div w:id="2143233027">
      <w:bodyDiv w:val="1"/>
      <w:marLeft w:val="0"/>
      <w:marRight w:val="0"/>
      <w:marTop w:val="0"/>
      <w:marBottom w:val="0"/>
      <w:divBdr>
        <w:top w:val="none" w:sz="0" w:space="0" w:color="auto"/>
        <w:left w:val="none" w:sz="0" w:space="0" w:color="auto"/>
        <w:bottom w:val="none" w:sz="0" w:space="0" w:color="auto"/>
        <w:right w:val="none" w:sz="0" w:space="0" w:color="auto"/>
      </w:divBdr>
    </w:div>
    <w:div w:id="2143306956">
      <w:bodyDiv w:val="1"/>
      <w:marLeft w:val="0"/>
      <w:marRight w:val="0"/>
      <w:marTop w:val="0"/>
      <w:marBottom w:val="0"/>
      <w:divBdr>
        <w:top w:val="none" w:sz="0" w:space="0" w:color="auto"/>
        <w:left w:val="none" w:sz="0" w:space="0" w:color="auto"/>
        <w:bottom w:val="none" w:sz="0" w:space="0" w:color="auto"/>
        <w:right w:val="none" w:sz="0" w:space="0" w:color="auto"/>
      </w:divBdr>
    </w:div>
    <w:div w:id="2143307842">
      <w:bodyDiv w:val="1"/>
      <w:marLeft w:val="0"/>
      <w:marRight w:val="0"/>
      <w:marTop w:val="0"/>
      <w:marBottom w:val="0"/>
      <w:divBdr>
        <w:top w:val="none" w:sz="0" w:space="0" w:color="auto"/>
        <w:left w:val="none" w:sz="0" w:space="0" w:color="auto"/>
        <w:bottom w:val="none" w:sz="0" w:space="0" w:color="auto"/>
        <w:right w:val="none" w:sz="0" w:space="0" w:color="auto"/>
      </w:divBdr>
    </w:div>
    <w:div w:id="2143309027">
      <w:bodyDiv w:val="1"/>
      <w:marLeft w:val="0"/>
      <w:marRight w:val="0"/>
      <w:marTop w:val="0"/>
      <w:marBottom w:val="0"/>
      <w:divBdr>
        <w:top w:val="none" w:sz="0" w:space="0" w:color="auto"/>
        <w:left w:val="none" w:sz="0" w:space="0" w:color="auto"/>
        <w:bottom w:val="none" w:sz="0" w:space="0" w:color="auto"/>
        <w:right w:val="none" w:sz="0" w:space="0" w:color="auto"/>
      </w:divBdr>
    </w:div>
    <w:div w:id="2143379602">
      <w:bodyDiv w:val="1"/>
      <w:marLeft w:val="0"/>
      <w:marRight w:val="0"/>
      <w:marTop w:val="0"/>
      <w:marBottom w:val="0"/>
      <w:divBdr>
        <w:top w:val="none" w:sz="0" w:space="0" w:color="auto"/>
        <w:left w:val="none" w:sz="0" w:space="0" w:color="auto"/>
        <w:bottom w:val="none" w:sz="0" w:space="0" w:color="auto"/>
        <w:right w:val="none" w:sz="0" w:space="0" w:color="auto"/>
      </w:divBdr>
    </w:div>
    <w:div w:id="2143384663">
      <w:bodyDiv w:val="1"/>
      <w:marLeft w:val="0"/>
      <w:marRight w:val="0"/>
      <w:marTop w:val="0"/>
      <w:marBottom w:val="0"/>
      <w:divBdr>
        <w:top w:val="none" w:sz="0" w:space="0" w:color="auto"/>
        <w:left w:val="none" w:sz="0" w:space="0" w:color="auto"/>
        <w:bottom w:val="none" w:sz="0" w:space="0" w:color="auto"/>
        <w:right w:val="none" w:sz="0" w:space="0" w:color="auto"/>
      </w:divBdr>
    </w:div>
    <w:div w:id="2143452446">
      <w:bodyDiv w:val="1"/>
      <w:marLeft w:val="0"/>
      <w:marRight w:val="0"/>
      <w:marTop w:val="0"/>
      <w:marBottom w:val="0"/>
      <w:divBdr>
        <w:top w:val="none" w:sz="0" w:space="0" w:color="auto"/>
        <w:left w:val="none" w:sz="0" w:space="0" w:color="auto"/>
        <w:bottom w:val="none" w:sz="0" w:space="0" w:color="auto"/>
        <w:right w:val="none" w:sz="0" w:space="0" w:color="auto"/>
      </w:divBdr>
    </w:div>
    <w:div w:id="2143502688">
      <w:bodyDiv w:val="1"/>
      <w:marLeft w:val="0"/>
      <w:marRight w:val="0"/>
      <w:marTop w:val="0"/>
      <w:marBottom w:val="0"/>
      <w:divBdr>
        <w:top w:val="none" w:sz="0" w:space="0" w:color="auto"/>
        <w:left w:val="none" w:sz="0" w:space="0" w:color="auto"/>
        <w:bottom w:val="none" w:sz="0" w:space="0" w:color="auto"/>
        <w:right w:val="none" w:sz="0" w:space="0" w:color="auto"/>
      </w:divBdr>
    </w:div>
    <w:div w:id="2143648151">
      <w:bodyDiv w:val="1"/>
      <w:marLeft w:val="0"/>
      <w:marRight w:val="0"/>
      <w:marTop w:val="0"/>
      <w:marBottom w:val="0"/>
      <w:divBdr>
        <w:top w:val="none" w:sz="0" w:space="0" w:color="auto"/>
        <w:left w:val="none" w:sz="0" w:space="0" w:color="auto"/>
        <w:bottom w:val="none" w:sz="0" w:space="0" w:color="auto"/>
        <w:right w:val="none" w:sz="0" w:space="0" w:color="auto"/>
      </w:divBdr>
    </w:div>
    <w:div w:id="2143690595">
      <w:bodyDiv w:val="1"/>
      <w:marLeft w:val="0"/>
      <w:marRight w:val="0"/>
      <w:marTop w:val="0"/>
      <w:marBottom w:val="0"/>
      <w:divBdr>
        <w:top w:val="none" w:sz="0" w:space="0" w:color="auto"/>
        <w:left w:val="none" w:sz="0" w:space="0" w:color="auto"/>
        <w:bottom w:val="none" w:sz="0" w:space="0" w:color="auto"/>
        <w:right w:val="none" w:sz="0" w:space="0" w:color="auto"/>
      </w:divBdr>
    </w:div>
    <w:div w:id="2143694121">
      <w:bodyDiv w:val="1"/>
      <w:marLeft w:val="0"/>
      <w:marRight w:val="0"/>
      <w:marTop w:val="0"/>
      <w:marBottom w:val="0"/>
      <w:divBdr>
        <w:top w:val="none" w:sz="0" w:space="0" w:color="auto"/>
        <w:left w:val="none" w:sz="0" w:space="0" w:color="auto"/>
        <w:bottom w:val="none" w:sz="0" w:space="0" w:color="auto"/>
        <w:right w:val="none" w:sz="0" w:space="0" w:color="auto"/>
      </w:divBdr>
    </w:div>
    <w:div w:id="2143765685">
      <w:bodyDiv w:val="1"/>
      <w:marLeft w:val="0"/>
      <w:marRight w:val="0"/>
      <w:marTop w:val="0"/>
      <w:marBottom w:val="0"/>
      <w:divBdr>
        <w:top w:val="none" w:sz="0" w:space="0" w:color="auto"/>
        <w:left w:val="none" w:sz="0" w:space="0" w:color="auto"/>
        <w:bottom w:val="none" w:sz="0" w:space="0" w:color="auto"/>
        <w:right w:val="none" w:sz="0" w:space="0" w:color="auto"/>
      </w:divBdr>
    </w:div>
    <w:div w:id="2143838067">
      <w:bodyDiv w:val="1"/>
      <w:marLeft w:val="0"/>
      <w:marRight w:val="0"/>
      <w:marTop w:val="0"/>
      <w:marBottom w:val="0"/>
      <w:divBdr>
        <w:top w:val="none" w:sz="0" w:space="0" w:color="auto"/>
        <w:left w:val="none" w:sz="0" w:space="0" w:color="auto"/>
        <w:bottom w:val="none" w:sz="0" w:space="0" w:color="auto"/>
        <w:right w:val="none" w:sz="0" w:space="0" w:color="auto"/>
      </w:divBdr>
    </w:div>
    <w:div w:id="2143880430">
      <w:bodyDiv w:val="1"/>
      <w:marLeft w:val="0"/>
      <w:marRight w:val="0"/>
      <w:marTop w:val="0"/>
      <w:marBottom w:val="0"/>
      <w:divBdr>
        <w:top w:val="none" w:sz="0" w:space="0" w:color="auto"/>
        <w:left w:val="none" w:sz="0" w:space="0" w:color="auto"/>
        <w:bottom w:val="none" w:sz="0" w:space="0" w:color="auto"/>
        <w:right w:val="none" w:sz="0" w:space="0" w:color="auto"/>
      </w:divBdr>
    </w:div>
    <w:div w:id="2143888307">
      <w:bodyDiv w:val="1"/>
      <w:marLeft w:val="0"/>
      <w:marRight w:val="0"/>
      <w:marTop w:val="0"/>
      <w:marBottom w:val="0"/>
      <w:divBdr>
        <w:top w:val="none" w:sz="0" w:space="0" w:color="auto"/>
        <w:left w:val="none" w:sz="0" w:space="0" w:color="auto"/>
        <w:bottom w:val="none" w:sz="0" w:space="0" w:color="auto"/>
        <w:right w:val="none" w:sz="0" w:space="0" w:color="auto"/>
      </w:divBdr>
    </w:div>
    <w:div w:id="2144082036">
      <w:bodyDiv w:val="1"/>
      <w:marLeft w:val="0"/>
      <w:marRight w:val="0"/>
      <w:marTop w:val="0"/>
      <w:marBottom w:val="0"/>
      <w:divBdr>
        <w:top w:val="none" w:sz="0" w:space="0" w:color="auto"/>
        <w:left w:val="none" w:sz="0" w:space="0" w:color="auto"/>
        <w:bottom w:val="none" w:sz="0" w:space="0" w:color="auto"/>
        <w:right w:val="none" w:sz="0" w:space="0" w:color="auto"/>
      </w:divBdr>
    </w:div>
    <w:div w:id="2144233603">
      <w:bodyDiv w:val="1"/>
      <w:marLeft w:val="0"/>
      <w:marRight w:val="0"/>
      <w:marTop w:val="0"/>
      <w:marBottom w:val="0"/>
      <w:divBdr>
        <w:top w:val="none" w:sz="0" w:space="0" w:color="auto"/>
        <w:left w:val="none" w:sz="0" w:space="0" w:color="auto"/>
        <w:bottom w:val="none" w:sz="0" w:space="0" w:color="auto"/>
        <w:right w:val="none" w:sz="0" w:space="0" w:color="auto"/>
      </w:divBdr>
    </w:div>
    <w:div w:id="2144347091">
      <w:bodyDiv w:val="1"/>
      <w:marLeft w:val="0"/>
      <w:marRight w:val="0"/>
      <w:marTop w:val="0"/>
      <w:marBottom w:val="0"/>
      <w:divBdr>
        <w:top w:val="none" w:sz="0" w:space="0" w:color="auto"/>
        <w:left w:val="none" w:sz="0" w:space="0" w:color="auto"/>
        <w:bottom w:val="none" w:sz="0" w:space="0" w:color="auto"/>
        <w:right w:val="none" w:sz="0" w:space="0" w:color="auto"/>
      </w:divBdr>
    </w:div>
    <w:div w:id="2144493378">
      <w:bodyDiv w:val="1"/>
      <w:marLeft w:val="0"/>
      <w:marRight w:val="0"/>
      <w:marTop w:val="0"/>
      <w:marBottom w:val="0"/>
      <w:divBdr>
        <w:top w:val="none" w:sz="0" w:space="0" w:color="auto"/>
        <w:left w:val="none" w:sz="0" w:space="0" w:color="auto"/>
        <w:bottom w:val="none" w:sz="0" w:space="0" w:color="auto"/>
        <w:right w:val="none" w:sz="0" w:space="0" w:color="auto"/>
      </w:divBdr>
    </w:div>
    <w:div w:id="2144500493">
      <w:bodyDiv w:val="1"/>
      <w:marLeft w:val="0"/>
      <w:marRight w:val="0"/>
      <w:marTop w:val="0"/>
      <w:marBottom w:val="0"/>
      <w:divBdr>
        <w:top w:val="none" w:sz="0" w:space="0" w:color="auto"/>
        <w:left w:val="none" w:sz="0" w:space="0" w:color="auto"/>
        <w:bottom w:val="none" w:sz="0" w:space="0" w:color="auto"/>
        <w:right w:val="none" w:sz="0" w:space="0" w:color="auto"/>
      </w:divBdr>
    </w:div>
    <w:div w:id="2144620336">
      <w:bodyDiv w:val="1"/>
      <w:marLeft w:val="0"/>
      <w:marRight w:val="0"/>
      <w:marTop w:val="0"/>
      <w:marBottom w:val="0"/>
      <w:divBdr>
        <w:top w:val="none" w:sz="0" w:space="0" w:color="auto"/>
        <w:left w:val="none" w:sz="0" w:space="0" w:color="auto"/>
        <w:bottom w:val="none" w:sz="0" w:space="0" w:color="auto"/>
        <w:right w:val="none" w:sz="0" w:space="0" w:color="auto"/>
      </w:divBdr>
    </w:div>
    <w:div w:id="2144808118">
      <w:bodyDiv w:val="1"/>
      <w:marLeft w:val="0"/>
      <w:marRight w:val="0"/>
      <w:marTop w:val="0"/>
      <w:marBottom w:val="0"/>
      <w:divBdr>
        <w:top w:val="none" w:sz="0" w:space="0" w:color="auto"/>
        <w:left w:val="none" w:sz="0" w:space="0" w:color="auto"/>
        <w:bottom w:val="none" w:sz="0" w:space="0" w:color="auto"/>
        <w:right w:val="none" w:sz="0" w:space="0" w:color="auto"/>
      </w:divBdr>
    </w:div>
    <w:div w:id="2144879458">
      <w:bodyDiv w:val="1"/>
      <w:marLeft w:val="0"/>
      <w:marRight w:val="0"/>
      <w:marTop w:val="0"/>
      <w:marBottom w:val="0"/>
      <w:divBdr>
        <w:top w:val="none" w:sz="0" w:space="0" w:color="auto"/>
        <w:left w:val="none" w:sz="0" w:space="0" w:color="auto"/>
        <w:bottom w:val="none" w:sz="0" w:space="0" w:color="auto"/>
        <w:right w:val="none" w:sz="0" w:space="0" w:color="auto"/>
      </w:divBdr>
    </w:div>
    <w:div w:id="2145000219">
      <w:bodyDiv w:val="1"/>
      <w:marLeft w:val="0"/>
      <w:marRight w:val="0"/>
      <w:marTop w:val="0"/>
      <w:marBottom w:val="0"/>
      <w:divBdr>
        <w:top w:val="none" w:sz="0" w:space="0" w:color="auto"/>
        <w:left w:val="none" w:sz="0" w:space="0" w:color="auto"/>
        <w:bottom w:val="none" w:sz="0" w:space="0" w:color="auto"/>
        <w:right w:val="none" w:sz="0" w:space="0" w:color="auto"/>
      </w:divBdr>
    </w:div>
    <w:div w:id="2145005420">
      <w:bodyDiv w:val="1"/>
      <w:marLeft w:val="0"/>
      <w:marRight w:val="0"/>
      <w:marTop w:val="0"/>
      <w:marBottom w:val="0"/>
      <w:divBdr>
        <w:top w:val="none" w:sz="0" w:space="0" w:color="auto"/>
        <w:left w:val="none" w:sz="0" w:space="0" w:color="auto"/>
        <w:bottom w:val="none" w:sz="0" w:space="0" w:color="auto"/>
        <w:right w:val="none" w:sz="0" w:space="0" w:color="auto"/>
      </w:divBdr>
    </w:div>
    <w:div w:id="2145080633">
      <w:bodyDiv w:val="1"/>
      <w:marLeft w:val="0"/>
      <w:marRight w:val="0"/>
      <w:marTop w:val="0"/>
      <w:marBottom w:val="0"/>
      <w:divBdr>
        <w:top w:val="none" w:sz="0" w:space="0" w:color="auto"/>
        <w:left w:val="none" w:sz="0" w:space="0" w:color="auto"/>
        <w:bottom w:val="none" w:sz="0" w:space="0" w:color="auto"/>
        <w:right w:val="none" w:sz="0" w:space="0" w:color="auto"/>
      </w:divBdr>
    </w:div>
    <w:div w:id="2145156512">
      <w:bodyDiv w:val="1"/>
      <w:marLeft w:val="0"/>
      <w:marRight w:val="0"/>
      <w:marTop w:val="0"/>
      <w:marBottom w:val="0"/>
      <w:divBdr>
        <w:top w:val="none" w:sz="0" w:space="0" w:color="auto"/>
        <w:left w:val="none" w:sz="0" w:space="0" w:color="auto"/>
        <w:bottom w:val="none" w:sz="0" w:space="0" w:color="auto"/>
        <w:right w:val="none" w:sz="0" w:space="0" w:color="auto"/>
      </w:divBdr>
    </w:div>
    <w:div w:id="2145350839">
      <w:bodyDiv w:val="1"/>
      <w:marLeft w:val="0"/>
      <w:marRight w:val="0"/>
      <w:marTop w:val="0"/>
      <w:marBottom w:val="0"/>
      <w:divBdr>
        <w:top w:val="none" w:sz="0" w:space="0" w:color="auto"/>
        <w:left w:val="none" w:sz="0" w:space="0" w:color="auto"/>
        <w:bottom w:val="none" w:sz="0" w:space="0" w:color="auto"/>
        <w:right w:val="none" w:sz="0" w:space="0" w:color="auto"/>
      </w:divBdr>
    </w:div>
    <w:div w:id="2145389292">
      <w:bodyDiv w:val="1"/>
      <w:marLeft w:val="0"/>
      <w:marRight w:val="0"/>
      <w:marTop w:val="0"/>
      <w:marBottom w:val="0"/>
      <w:divBdr>
        <w:top w:val="none" w:sz="0" w:space="0" w:color="auto"/>
        <w:left w:val="none" w:sz="0" w:space="0" w:color="auto"/>
        <w:bottom w:val="none" w:sz="0" w:space="0" w:color="auto"/>
        <w:right w:val="none" w:sz="0" w:space="0" w:color="auto"/>
      </w:divBdr>
    </w:div>
    <w:div w:id="2145417137">
      <w:bodyDiv w:val="1"/>
      <w:marLeft w:val="0"/>
      <w:marRight w:val="0"/>
      <w:marTop w:val="0"/>
      <w:marBottom w:val="0"/>
      <w:divBdr>
        <w:top w:val="none" w:sz="0" w:space="0" w:color="auto"/>
        <w:left w:val="none" w:sz="0" w:space="0" w:color="auto"/>
        <w:bottom w:val="none" w:sz="0" w:space="0" w:color="auto"/>
        <w:right w:val="none" w:sz="0" w:space="0" w:color="auto"/>
      </w:divBdr>
    </w:div>
    <w:div w:id="2145461189">
      <w:bodyDiv w:val="1"/>
      <w:marLeft w:val="0"/>
      <w:marRight w:val="0"/>
      <w:marTop w:val="0"/>
      <w:marBottom w:val="0"/>
      <w:divBdr>
        <w:top w:val="none" w:sz="0" w:space="0" w:color="auto"/>
        <w:left w:val="none" w:sz="0" w:space="0" w:color="auto"/>
        <w:bottom w:val="none" w:sz="0" w:space="0" w:color="auto"/>
        <w:right w:val="none" w:sz="0" w:space="0" w:color="auto"/>
      </w:divBdr>
    </w:div>
    <w:div w:id="2145468635">
      <w:bodyDiv w:val="1"/>
      <w:marLeft w:val="0"/>
      <w:marRight w:val="0"/>
      <w:marTop w:val="0"/>
      <w:marBottom w:val="0"/>
      <w:divBdr>
        <w:top w:val="none" w:sz="0" w:space="0" w:color="auto"/>
        <w:left w:val="none" w:sz="0" w:space="0" w:color="auto"/>
        <w:bottom w:val="none" w:sz="0" w:space="0" w:color="auto"/>
        <w:right w:val="none" w:sz="0" w:space="0" w:color="auto"/>
      </w:divBdr>
    </w:div>
    <w:div w:id="2145585890">
      <w:bodyDiv w:val="1"/>
      <w:marLeft w:val="0"/>
      <w:marRight w:val="0"/>
      <w:marTop w:val="0"/>
      <w:marBottom w:val="0"/>
      <w:divBdr>
        <w:top w:val="none" w:sz="0" w:space="0" w:color="auto"/>
        <w:left w:val="none" w:sz="0" w:space="0" w:color="auto"/>
        <w:bottom w:val="none" w:sz="0" w:space="0" w:color="auto"/>
        <w:right w:val="none" w:sz="0" w:space="0" w:color="auto"/>
      </w:divBdr>
    </w:div>
    <w:div w:id="2145615103">
      <w:bodyDiv w:val="1"/>
      <w:marLeft w:val="0"/>
      <w:marRight w:val="0"/>
      <w:marTop w:val="0"/>
      <w:marBottom w:val="0"/>
      <w:divBdr>
        <w:top w:val="none" w:sz="0" w:space="0" w:color="auto"/>
        <w:left w:val="none" w:sz="0" w:space="0" w:color="auto"/>
        <w:bottom w:val="none" w:sz="0" w:space="0" w:color="auto"/>
        <w:right w:val="none" w:sz="0" w:space="0" w:color="auto"/>
      </w:divBdr>
    </w:div>
    <w:div w:id="2145652935">
      <w:bodyDiv w:val="1"/>
      <w:marLeft w:val="0"/>
      <w:marRight w:val="0"/>
      <w:marTop w:val="0"/>
      <w:marBottom w:val="0"/>
      <w:divBdr>
        <w:top w:val="none" w:sz="0" w:space="0" w:color="auto"/>
        <w:left w:val="none" w:sz="0" w:space="0" w:color="auto"/>
        <w:bottom w:val="none" w:sz="0" w:space="0" w:color="auto"/>
        <w:right w:val="none" w:sz="0" w:space="0" w:color="auto"/>
      </w:divBdr>
    </w:div>
    <w:div w:id="2145661184">
      <w:bodyDiv w:val="1"/>
      <w:marLeft w:val="0"/>
      <w:marRight w:val="0"/>
      <w:marTop w:val="0"/>
      <w:marBottom w:val="0"/>
      <w:divBdr>
        <w:top w:val="none" w:sz="0" w:space="0" w:color="auto"/>
        <w:left w:val="none" w:sz="0" w:space="0" w:color="auto"/>
        <w:bottom w:val="none" w:sz="0" w:space="0" w:color="auto"/>
        <w:right w:val="none" w:sz="0" w:space="0" w:color="auto"/>
      </w:divBdr>
    </w:div>
    <w:div w:id="2145807831">
      <w:bodyDiv w:val="1"/>
      <w:marLeft w:val="0"/>
      <w:marRight w:val="0"/>
      <w:marTop w:val="0"/>
      <w:marBottom w:val="0"/>
      <w:divBdr>
        <w:top w:val="none" w:sz="0" w:space="0" w:color="auto"/>
        <w:left w:val="none" w:sz="0" w:space="0" w:color="auto"/>
        <w:bottom w:val="none" w:sz="0" w:space="0" w:color="auto"/>
        <w:right w:val="none" w:sz="0" w:space="0" w:color="auto"/>
      </w:divBdr>
    </w:div>
    <w:div w:id="2145807941">
      <w:bodyDiv w:val="1"/>
      <w:marLeft w:val="0"/>
      <w:marRight w:val="0"/>
      <w:marTop w:val="0"/>
      <w:marBottom w:val="0"/>
      <w:divBdr>
        <w:top w:val="none" w:sz="0" w:space="0" w:color="auto"/>
        <w:left w:val="none" w:sz="0" w:space="0" w:color="auto"/>
        <w:bottom w:val="none" w:sz="0" w:space="0" w:color="auto"/>
        <w:right w:val="none" w:sz="0" w:space="0" w:color="auto"/>
      </w:divBdr>
    </w:div>
    <w:div w:id="2145847773">
      <w:bodyDiv w:val="1"/>
      <w:marLeft w:val="0"/>
      <w:marRight w:val="0"/>
      <w:marTop w:val="0"/>
      <w:marBottom w:val="0"/>
      <w:divBdr>
        <w:top w:val="none" w:sz="0" w:space="0" w:color="auto"/>
        <w:left w:val="none" w:sz="0" w:space="0" w:color="auto"/>
        <w:bottom w:val="none" w:sz="0" w:space="0" w:color="auto"/>
        <w:right w:val="none" w:sz="0" w:space="0" w:color="auto"/>
      </w:divBdr>
    </w:div>
    <w:div w:id="2146000700">
      <w:bodyDiv w:val="1"/>
      <w:marLeft w:val="0"/>
      <w:marRight w:val="0"/>
      <w:marTop w:val="0"/>
      <w:marBottom w:val="0"/>
      <w:divBdr>
        <w:top w:val="none" w:sz="0" w:space="0" w:color="auto"/>
        <w:left w:val="none" w:sz="0" w:space="0" w:color="auto"/>
        <w:bottom w:val="none" w:sz="0" w:space="0" w:color="auto"/>
        <w:right w:val="none" w:sz="0" w:space="0" w:color="auto"/>
      </w:divBdr>
    </w:div>
    <w:div w:id="2146004931">
      <w:bodyDiv w:val="1"/>
      <w:marLeft w:val="0"/>
      <w:marRight w:val="0"/>
      <w:marTop w:val="0"/>
      <w:marBottom w:val="0"/>
      <w:divBdr>
        <w:top w:val="none" w:sz="0" w:space="0" w:color="auto"/>
        <w:left w:val="none" w:sz="0" w:space="0" w:color="auto"/>
        <w:bottom w:val="none" w:sz="0" w:space="0" w:color="auto"/>
        <w:right w:val="none" w:sz="0" w:space="0" w:color="auto"/>
      </w:divBdr>
    </w:div>
    <w:div w:id="2146073599">
      <w:bodyDiv w:val="1"/>
      <w:marLeft w:val="0"/>
      <w:marRight w:val="0"/>
      <w:marTop w:val="0"/>
      <w:marBottom w:val="0"/>
      <w:divBdr>
        <w:top w:val="none" w:sz="0" w:space="0" w:color="auto"/>
        <w:left w:val="none" w:sz="0" w:space="0" w:color="auto"/>
        <w:bottom w:val="none" w:sz="0" w:space="0" w:color="auto"/>
        <w:right w:val="none" w:sz="0" w:space="0" w:color="auto"/>
      </w:divBdr>
    </w:div>
    <w:div w:id="2146122112">
      <w:bodyDiv w:val="1"/>
      <w:marLeft w:val="0"/>
      <w:marRight w:val="0"/>
      <w:marTop w:val="0"/>
      <w:marBottom w:val="0"/>
      <w:divBdr>
        <w:top w:val="none" w:sz="0" w:space="0" w:color="auto"/>
        <w:left w:val="none" w:sz="0" w:space="0" w:color="auto"/>
        <w:bottom w:val="none" w:sz="0" w:space="0" w:color="auto"/>
        <w:right w:val="none" w:sz="0" w:space="0" w:color="auto"/>
      </w:divBdr>
    </w:div>
    <w:div w:id="2146193057">
      <w:bodyDiv w:val="1"/>
      <w:marLeft w:val="0"/>
      <w:marRight w:val="0"/>
      <w:marTop w:val="0"/>
      <w:marBottom w:val="0"/>
      <w:divBdr>
        <w:top w:val="none" w:sz="0" w:space="0" w:color="auto"/>
        <w:left w:val="none" w:sz="0" w:space="0" w:color="auto"/>
        <w:bottom w:val="none" w:sz="0" w:space="0" w:color="auto"/>
        <w:right w:val="none" w:sz="0" w:space="0" w:color="auto"/>
      </w:divBdr>
    </w:div>
    <w:div w:id="2146197054">
      <w:bodyDiv w:val="1"/>
      <w:marLeft w:val="0"/>
      <w:marRight w:val="0"/>
      <w:marTop w:val="0"/>
      <w:marBottom w:val="0"/>
      <w:divBdr>
        <w:top w:val="none" w:sz="0" w:space="0" w:color="auto"/>
        <w:left w:val="none" w:sz="0" w:space="0" w:color="auto"/>
        <w:bottom w:val="none" w:sz="0" w:space="0" w:color="auto"/>
        <w:right w:val="none" w:sz="0" w:space="0" w:color="auto"/>
      </w:divBdr>
    </w:div>
    <w:div w:id="2146241622">
      <w:bodyDiv w:val="1"/>
      <w:marLeft w:val="0"/>
      <w:marRight w:val="0"/>
      <w:marTop w:val="0"/>
      <w:marBottom w:val="0"/>
      <w:divBdr>
        <w:top w:val="none" w:sz="0" w:space="0" w:color="auto"/>
        <w:left w:val="none" w:sz="0" w:space="0" w:color="auto"/>
        <w:bottom w:val="none" w:sz="0" w:space="0" w:color="auto"/>
        <w:right w:val="none" w:sz="0" w:space="0" w:color="auto"/>
      </w:divBdr>
    </w:div>
    <w:div w:id="2146271037">
      <w:bodyDiv w:val="1"/>
      <w:marLeft w:val="0"/>
      <w:marRight w:val="0"/>
      <w:marTop w:val="0"/>
      <w:marBottom w:val="0"/>
      <w:divBdr>
        <w:top w:val="none" w:sz="0" w:space="0" w:color="auto"/>
        <w:left w:val="none" w:sz="0" w:space="0" w:color="auto"/>
        <w:bottom w:val="none" w:sz="0" w:space="0" w:color="auto"/>
        <w:right w:val="none" w:sz="0" w:space="0" w:color="auto"/>
      </w:divBdr>
    </w:div>
    <w:div w:id="2146383878">
      <w:bodyDiv w:val="1"/>
      <w:marLeft w:val="0"/>
      <w:marRight w:val="0"/>
      <w:marTop w:val="0"/>
      <w:marBottom w:val="0"/>
      <w:divBdr>
        <w:top w:val="none" w:sz="0" w:space="0" w:color="auto"/>
        <w:left w:val="none" w:sz="0" w:space="0" w:color="auto"/>
        <w:bottom w:val="none" w:sz="0" w:space="0" w:color="auto"/>
        <w:right w:val="none" w:sz="0" w:space="0" w:color="auto"/>
      </w:divBdr>
    </w:div>
    <w:div w:id="2146388830">
      <w:bodyDiv w:val="1"/>
      <w:marLeft w:val="0"/>
      <w:marRight w:val="0"/>
      <w:marTop w:val="0"/>
      <w:marBottom w:val="0"/>
      <w:divBdr>
        <w:top w:val="none" w:sz="0" w:space="0" w:color="auto"/>
        <w:left w:val="none" w:sz="0" w:space="0" w:color="auto"/>
        <w:bottom w:val="none" w:sz="0" w:space="0" w:color="auto"/>
        <w:right w:val="none" w:sz="0" w:space="0" w:color="auto"/>
      </w:divBdr>
    </w:div>
    <w:div w:id="2146503197">
      <w:bodyDiv w:val="1"/>
      <w:marLeft w:val="0"/>
      <w:marRight w:val="0"/>
      <w:marTop w:val="0"/>
      <w:marBottom w:val="0"/>
      <w:divBdr>
        <w:top w:val="none" w:sz="0" w:space="0" w:color="auto"/>
        <w:left w:val="none" w:sz="0" w:space="0" w:color="auto"/>
        <w:bottom w:val="none" w:sz="0" w:space="0" w:color="auto"/>
        <w:right w:val="none" w:sz="0" w:space="0" w:color="auto"/>
      </w:divBdr>
    </w:div>
    <w:div w:id="2146652229">
      <w:bodyDiv w:val="1"/>
      <w:marLeft w:val="0"/>
      <w:marRight w:val="0"/>
      <w:marTop w:val="0"/>
      <w:marBottom w:val="0"/>
      <w:divBdr>
        <w:top w:val="none" w:sz="0" w:space="0" w:color="auto"/>
        <w:left w:val="none" w:sz="0" w:space="0" w:color="auto"/>
        <w:bottom w:val="none" w:sz="0" w:space="0" w:color="auto"/>
        <w:right w:val="none" w:sz="0" w:space="0" w:color="auto"/>
      </w:divBdr>
    </w:div>
    <w:div w:id="2146654800">
      <w:bodyDiv w:val="1"/>
      <w:marLeft w:val="0"/>
      <w:marRight w:val="0"/>
      <w:marTop w:val="0"/>
      <w:marBottom w:val="0"/>
      <w:divBdr>
        <w:top w:val="none" w:sz="0" w:space="0" w:color="auto"/>
        <w:left w:val="none" w:sz="0" w:space="0" w:color="auto"/>
        <w:bottom w:val="none" w:sz="0" w:space="0" w:color="auto"/>
        <w:right w:val="none" w:sz="0" w:space="0" w:color="auto"/>
      </w:divBdr>
    </w:div>
    <w:div w:id="2146656062">
      <w:bodyDiv w:val="1"/>
      <w:marLeft w:val="0"/>
      <w:marRight w:val="0"/>
      <w:marTop w:val="0"/>
      <w:marBottom w:val="0"/>
      <w:divBdr>
        <w:top w:val="none" w:sz="0" w:space="0" w:color="auto"/>
        <w:left w:val="none" w:sz="0" w:space="0" w:color="auto"/>
        <w:bottom w:val="none" w:sz="0" w:space="0" w:color="auto"/>
        <w:right w:val="none" w:sz="0" w:space="0" w:color="auto"/>
      </w:divBdr>
    </w:div>
    <w:div w:id="2146729140">
      <w:bodyDiv w:val="1"/>
      <w:marLeft w:val="0"/>
      <w:marRight w:val="0"/>
      <w:marTop w:val="0"/>
      <w:marBottom w:val="0"/>
      <w:divBdr>
        <w:top w:val="none" w:sz="0" w:space="0" w:color="auto"/>
        <w:left w:val="none" w:sz="0" w:space="0" w:color="auto"/>
        <w:bottom w:val="none" w:sz="0" w:space="0" w:color="auto"/>
        <w:right w:val="none" w:sz="0" w:space="0" w:color="auto"/>
      </w:divBdr>
    </w:div>
    <w:div w:id="2146771585">
      <w:bodyDiv w:val="1"/>
      <w:marLeft w:val="0"/>
      <w:marRight w:val="0"/>
      <w:marTop w:val="0"/>
      <w:marBottom w:val="0"/>
      <w:divBdr>
        <w:top w:val="none" w:sz="0" w:space="0" w:color="auto"/>
        <w:left w:val="none" w:sz="0" w:space="0" w:color="auto"/>
        <w:bottom w:val="none" w:sz="0" w:space="0" w:color="auto"/>
        <w:right w:val="none" w:sz="0" w:space="0" w:color="auto"/>
      </w:divBdr>
    </w:div>
    <w:div w:id="2146774688">
      <w:bodyDiv w:val="1"/>
      <w:marLeft w:val="0"/>
      <w:marRight w:val="0"/>
      <w:marTop w:val="0"/>
      <w:marBottom w:val="0"/>
      <w:divBdr>
        <w:top w:val="none" w:sz="0" w:space="0" w:color="auto"/>
        <w:left w:val="none" w:sz="0" w:space="0" w:color="auto"/>
        <w:bottom w:val="none" w:sz="0" w:space="0" w:color="auto"/>
        <w:right w:val="none" w:sz="0" w:space="0" w:color="auto"/>
      </w:divBdr>
    </w:div>
    <w:div w:id="2146851690">
      <w:bodyDiv w:val="1"/>
      <w:marLeft w:val="0"/>
      <w:marRight w:val="0"/>
      <w:marTop w:val="0"/>
      <w:marBottom w:val="0"/>
      <w:divBdr>
        <w:top w:val="none" w:sz="0" w:space="0" w:color="auto"/>
        <w:left w:val="none" w:sz="0" w:space="0" w:color="auto"/>
        <w:bottom w:val="none" w:sz="0" w:space="0" w:color="auto"/>
        <w:right w:val="none" w:sz="0" w:space="0" w:color="auto"/>
      </w:divBdr>
    </w:div>
    <w:div w:id="2146922284">
      <w:bodyDiv w:val="1"/>
      <w:marLeft w:val="0"/>
      <w:marRight w:val="0"/>
      <w:marTop w:val="0"/>
      <w:marBottom w:val="0"/>
      <w:divBdr>
        <w:top w:val="none" w:sz="0" w:space="0" w:color="auto"/>
        <w:left w:val="none" w:sz="0" w:space="0" w:color="auto"/>
        <w:bottom w:val="none" w:sz="0" w:space="0" w:color="auto"/>
        <w:right w:val="none" w:sz="0" w:space="0" w:color="auto"/>
      </w:divBdr>
    </w:div>
    <w:div w:id="2146972866">
      <w:bodyDiv w:val="1"/>
      <w:marLeft w:val="0"/>
      <w:marRight w:val="0"/>
      <w:marTop w:val="0"/>
      <w:marBottom w:val="0"/>
      <w:divBdr>
        <w:top w:val="none" w:sz="0" w:space="0" w:color="auto"/>
        <w:left w:val="none" w:sz="0" w:space="0" w:color="auto"/>
        <w:bottom w:val="none" w:sz="0" w:space="0" w:color="auto"/>
        <w:right w:val="none" w:sz="0" w:space="0" w:color="auto"/>
      </w:divBdr>
    </w:div>
    <w:div w:id="2147040983">
      <w:bodyDiv w:val="1"/>
      <w:marLeft w:val="0"/>
      <w:marRight w:val="0"/>
      <w:marTop w:val="0"/>
      <w:marBottom w:val="0"/>
      <w:divBdr>
        <w:top w:val="none" w:sz="0" w:space="0" w:color="auto"/>
        <w:left w:val="none" w:sz="0" w:space="0" w:color="auto"/>
        <w:bottom w:val="none" w:sz="0" w:space="0" w:color="auto"/>
        <w:right w:val="none" w:sz="0" w:space="0" w:color="auto"/>
      </w:divBdr>
    </w:div>
    <w:div w:id="2147114353">
      <w:bodyDiv w:val="1"/>
      <w:marLeft w:val="0"/>
      <w:marRight w:val="0"/>
      <w:marTop w:val="0"/>
      <w:marBottom w:val="0"/>
      <w:divBdr>
        <w:top w:val="none" w:sz="0" w:space="0" w:color="auto"/>
        <w:left w:val="none" w:sz="0" w:space="0" w:color="auto"/>
        <w:bottom w:val="none" w:sz="0" w:space="0" w:color="auto"/>
        <w:right w:val="none" w:sz="0" w:space="0" w:color="auto"/>
      </w:divBdr>
    </w:div>
    <w:div w:id="2147120626">
      <w:bodyDiv w:val="1"/>
      <w:marLeft w:val="0"/>
      <w:marRight w:val="0"/>
      <w:marTop w:val="0"/>
      <w:marBottom w:val="0"/>
      <w:divBdr>
        <w:top w:val="none" w:sz="0" w:space="0" w:color="auto"/>
        <w:left w:val="none" w:sz="0" w:space="0" w:color="auto"/>
        <w:bottom w:val="none" w:sz="0" w:space="0" w:color="auto"/>
        <w:right w:val="none" w:sz="0" w:space="0" w:color="auto"/>
      </w:divBdr>
    </w:div>
    <w:div w:id="2147121135">
      <w:bodyDiv w:val="1"/>
      <w:marLeft w:val="0"/>
      <w:marRight w:val="0"/>
      <w:marTop w:val="0"/>
      <w:marBottom w:val="0"/>
      <w:divBdr>
        <w:top w:val="none" w:sz="0" w:space="0" w:color="auto"/>
        <w:left w:val="none" w:sz="0" w:space="0" w:color="auto"/>
        <w:bottom w:val="none" w:sz="0" w:space="0" w:color="auto"/>
        <w:right w:val="none" w:sz="0" w:space="0" w:color="auto"/>
      </w:divBdr>
    </w:div>
    <w:div w:id="2147234625">
      <w:bodyDiv w:val="1"/>
      <w:marLeft w:val="0"/>
      <w:marRight w:val="0"/>
      <w:marTop w:val="0"/>
      <w:marBottom w:val="0"/>
      <w:divBdr>
        <w:top w:val="none" w:sz="0" w:space="0" w:color="auto"/>
        <w:left w:val="none" w:sz="0" w:space="0" w:color="auto"/>
        <w:bottom w:val="none" w:sz="0" w:space="0" w:color="auto"/>
        <w:right w:val="none" w:sz="0" w:space="0" w:color="auto"/>
      </w:divBdr>
    </w:div>
    <w:div w:id="2147236125">
      <w:bodyDiv w:val="1"/>
      <w:marLeft w:val="0"/>
      <w:marRight w:val="0"/>
      <w:marTop w:val="0"/>
      <w:marBottom w:val="0"/>
      <w:divBdr>
        <w:top w:val="none" w:sz="0" w:space="0" w:color="auto"/>
        <w:left w:val="none" w:sz="0" w:space="0" w:color="auto"/>
        <w:bottom w:val="none" w:sz="0" w:space="0" w:color="auto"/>
        <w:right w:val="none" w:sz="0" w:space="0" w:color="auto"/>
      </w:divBdr>
    </w:div>
    <w:div w:id="2147310509">
      <w:bodyDiv w:val="1"/>
      <w:marLeft w:val="0"/>
      <w:marRight w:val="0"/>
      <w:marTop w:val="0"/>
      <w:marBottom w:val="0"/>
      <w:divBdr>
        <w:top w:val="none" w:sz="0" w:space="0" w:color="auto"/>
        <w:left w:val="none" w:sz="0" w:space="0" w:color="auto"/>
        <w:bottom w:val="none" w:sz="0" w:space="0" w:color="auto"/>
        <w:right w:val="none" w:sz="0" w:space="0" w:color="auto"/>
      </w:divBdr>
    </w:div>
    <w:div w:id="2147355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emf"/><Relationship Id="rId63" Type="http://schemas.openxmlformats.org/officeDocument/2006/relationships/image" Target="media/image52.emf"/><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em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emf"/><Relationship Id="rId45" Type="http://schemas.openxmlformats.org/officeDocument/2006/relationships/image" Target="media/image34.png"/><Relationship Id="rId53" Type="http://schemas.openxmlformats.org/officeDocument/2006/relationships/image" Target="media/image42.emf"/><Relationship Id="rId58" Type="http://schemas.openxmlformats.org/officeDocument/2006/relationships/image" Target="media/image47.emf"/><Relationship Id="rId66" Type="http://schemas.openxmlformats.org/officeDocument/2006/relationships/image" Target="media/image55.emf"/><Relationship Id="rId5" Type="http://schemas.openxmlformats.org/officeDocument/2006/relationships/numbering" Target="numbering.xml"/><Relationship Id="rId61" Type="http://schemas.openxmlformats.org/officeDocument/2006/relationships/image" Target="media/image50.emf"/><Relationship Id="rId19" Type="http://schemas.openxmlformats.org/officeDocument/2006/relationships/image" Target="media/image8.emf"/><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emf"/><Relationship Id="rId56" Type="http://schemas.openxmlformats.org/officeDocument/2006/relationships/image" Target="media/image45.emf"/><Relationship Id="rId64" Type="http://schemas.openxmlformats.org/officeDocument/2006/relationships/image" Target="media/image53.emf"/><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package" Target="embeddings/Hoja_de_c_lculo_de_Microsoft_Excel.xlsx"/><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emf"/><Relationship Id="rId46" Type="http://schemas.openxmlformats.org/officeDocument/2006/relationships/image" Target="media/image35.png"/><Relationship Id="rId59" Type="http://schemas.openxmlformats.org/officeDocument/2006/relationships/image" Target="media/image48.emf"/><Relationship Id="rId67" Type="http://schemas.openxmlformats.org/officeDocument/2006/relationships/footer" Target="footer1.xml"/><Relationship Id="rId20" Type="http://schemas.openxmlformats.org/officeDocument/2006/relationships/image" Target="media/image9.emf"/><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image" Target="media/image51.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image" Target="media/image25.png"/><Relationship Id="rId49" Type="http://schemas.openxmlformats.org/officeDocument/2006/relationships/image" Target="media/image38.emf"/><Relationship Id="rId57" Type="http://schemas.openxmlformats.org/officeDocument/2006/relationships/image" Target="media/image46.emf"/><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image" Target="media/image54.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7.png"/><Relationship Id="rId39" Type="http://schemas.openxmlformats.org/officeDocument/2006/relationships/image" Target="media/image28.emf"/><Relationship Id="rId34" Type="http://schemas.openxmlformats.org/officeDocument/2006/relationships/image" Target="media/image23.png"/><Relationship Id="rId50" Type="http://schemas.openxmlformats.org/officeDocument/2006/relationships/image" Target="media/image39.emf"/><Relationship Id="rId55" Type="http://schemas.openxmlformats.org/officeDocument/2006/relationships/image" Target="media/image4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3C8BCFE7743104BA9718C808D7F294D" ma:contentTypeVersion="13" ma:contentTypeDescription="Crear nuevo documento." ma:contentTypeScope="" ma:versionID="03bcd83968f5eda76503fe38c712ec48">
  <xsd:schema xmlns:xsd="http://www.w3.org/2001/XMLSchema" xmlns:xs="http://www.w3.org/2001/XMLSchema" xmlns:p="http://schemas.microsoft.com/office/2006/metadata/properties" xmlns:ns3="c843b8ec-2682-47b1-b411-6972f8da745f" xmlns:ns4="fad90b0a-29e6-4b0b-b4fe-3ce3eeab6bda" targetNamespace="http://schemas.microsoft.com/office/2006/metadata/properties" ma:root="true" ma:fieldsID="7b3a87a8ef0873486afb9f3e085b69fe" ns3:_="" ns4:_="">
    <xsd:import namespace="c843b8ec-2682-47b1-b411-6972f8da745f"/>
    <xsd:import namespace="fad90b0a-29e6-4b0b-b4fe-3ce3eeab6bd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43b8ec-2682-47b1-b411-6972f8da74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ad90b0a-29e6-4b0b-b4fe-3ce3eeab6bda"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D7F94-FC68-4119-A4D7-7AA575D17D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43b8ec-2682-47b1-b411-6972f8da745f"/>
    <ds:schemaRef ds:uri="fad90b0a-29e6-4b0b-b4fe-3ce3eeab6b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873A67-C1E4-4341-8326-37E9CDDB6C6A}">
  <ds:schemaRefs>
    <ds:schemaRef ds:uri="fad90b0a-29e6-4b0b-b4fe-3ce3eeab6bda"/>
    <ds:schemaRef ds:uri="http://www.w3.org/XML/1998/namespace"/>
    <ds:schemaRef ds:uri="c843b8ec-2682-47b1-b411-6972f8da745f"/>
    <ds:schemaRef ds:uri="http://schemas.microsoft.com/office/2006/documentManagement/types"/>
    <ds:schemaRef ds:uri="http://schemas.microsoft.com/office/2006/metadata/properties"/>
    <ds:schemaRef ds:uri="http://schemas.microsoft.com/office/infopath/2007/PartnerControls"/>
    <ds:schemaRef ds:uri="http://purl.org/dc/dcmitype/"/>
    <ds:schemaRef ds:uri="http://purl.org/dc/terms/"/>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BC14BA10-FEF9-4EBF-BCFB-771F21279234}">
  <ds:schemaRefs>
    <ds:schemaRef ds:uri="http://schemas.microsoft.com/sharepoint/v3/contenttype/forms"/>
  </ds:schemaRefs>
</ds:datastoreItem>
</file>

<file path=customXml/itemProps4.xml><?xml version="1.0" encoding="utf-8"?>
<ds:datastoreItem xmlns:ds="http://schemas.openxmlformats.org/officeDocument/2006/customXml" ds:itemID="{E5B020A2-978A-4725-A534-2C77AFEA4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3408</TotalTime>
  <Pages>233</Pages>
  <Words>81182</Words>
  <Characters>446503</Characters>
  <Application>Microsoft Office Word</Application>
  <DocSecurity>0</DocSecurity>
  <Lines>3720</Lines>
  <Paragraphs>1053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Ministerio de Hacienda Costa Rica</Company>
  <LinksUpToDate>false</LinksUpToDate>
  <CharactersWithSpaces>526632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Sharling Bermudez Fernandez</dc:creator>
  <cp:keywords/>
  <dc:description/>
  <cp:lastModifiedBy>Gerardo Cordero Arguedas</cp:lastModifiedBy>
  <cp:revision>75</cp:revision>
  <cp:lastPrinted>2024-07-31T15:02:00Z</cp:lastPrinted>
  <dcterms:created xsi:type="dcterms:W3CDTF">2024-07-15T23:50:00Z</dcterms:created>
  <dcterms:modified xsi:type="dcterms:W3CDTF">2024-07-31T15:05:00Z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0x010100E3C8BCFE7743104BA9718C808D7F294D</vt:lpwstr>
  </property>
</Properties>
</file>